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93.png" ContentType="image/png"/>
  <Override PartName="/word/media/rId912.png" ContentType="image/png"/>
  <Override PartName="/word/media/rId466.png" ContentType="image/png"/>
  <Override PartName="/word/media/rId974.png" ContentType="image/png"/>
  <Override PartName="/word/media/rId1859.png" ContentType="image/png"/>
  <Override PartName="/word/media/rId1449.png" ContentType="image/png"/>
  <Override PartName="/word/media/rId414.png" ContentType="image/png"/>
  <Override PartName="/word/media/rId172.png" ContentType="image/png"/>
  <Override PartName="/word/media/rId2788.png" ContentType="image/png"/>
  <Override PartName="/word/media/rId3146.png" ContentType="image/png"/>
  <Override PartName="/word/media/rId246.png" ContentType="image/png"/>
  <Override PartName="/word/media/rId1771.png" ContentType="image/png"/>
  <Override PartName="/word/media/rId3313.png" ContentType="image/png"/>
  <Override PartName="/word/media/rId2603.png" ContentType="image/png"/>
  <Override PartName="/word/media/rId733.png" ContentType="image/png"/>
  <Override PartName="/word/media/rId1437.png" ContentType="image/png"/>
  <Override PartName="/word/media/rId2519.png" ContentType="image/png"/>
  <Override PartName="/word/media/rId2119.png" ContentType="image/png"/>
  <Override PartName="/word/media/rId1014.png" ContentType="image/png"/>
  <Override PartName="/word/media/rId2863.png" ContentType="image/png"/>
  <Override PartName="/word/media/rId2492.png" ContentType="image/png"/>
  <Override PartName="/word/media/rId192.png" ContentType="image/png"/>
  <Override PartName="/word/media/rId3280.png" ContentType="image/png"/>
  <Override PartName="/word/media/rId1112.png" ContentType="image/png"/>
  <Override PartName="/word/media/rId1477.png" ContentType="image/png"/>
  <Override PartName="/word/media/rId937.png" ContentType="image/png"/>
  <Override PartName="/word/media/rId2291.png" ContentType="image/png"/>
  <Override PartName="/word/media/rId2852.png" ContentType="image/png"/>
  <Override PartName="/word/media/rId594.png" ContentType="image/png"/>
  <Override PartName="/word/media/rId2677.png" ContentType="image/png"/>
  <Override PartName="/word/media/rId2176.png" ContentType="image/png"/>
  <Override PartName="/word/media/rId480.png" ContentType="image/png"/>
  <Override PartName="/word/media/rId2071.png" ContentType="image/png"/>
  <Override PartName="/word/media/rId2690.png" ContentType="image/png"/>
  <Override PartName="/word/media/rId2248.png" ContentType="image/png"/>
  <Override PartName="/word/media/rId318.png" ContentType="image/png"/>
  <Override PartName="/word/media/rId2539.png" ContentType="image/png"/>
  <Override PartName="/word/media/rId786.png" ContentType="image/png"/>
  <Override PartName="/word/media/rId1951.png" ContentType="image/png"/>
  <Override PartName="/word/media/rId105.png" ContentType="image/png"/>
  <Override PartName="/word/media/rId2444.png" ContentType="image/png"/>
  <Override PartName="/word/media/rId605.png" ContentType="image/png"/>
  <Override PartName="/word/media/rId2218.png" ContentType="image/png"/>
  <Override PartName="/word/media/rId2713.png" ContentType="image/png"/>
  <Override PartName="/word/media/rId2589.png" ContentType="image/png"/>
  <Override PartName="/word/media/rId1490.png" ContentType="image/png"/>
  <Override PartName="/word/media/rId2190.png" ContentType="image/png"/>
  <Override PartName="/word/media/rId2398.png" ContentType="image/png"/>
  <Override PartName="/word/media/rId1132.png" ContentType="image/png"/>
  <Override PartName="/word/media/rId1878.png" ContentType="image/png"/>
  <Override PartName="/word/media/rId1463.png" ContentType="image/png"/>
  <Override PartName="/word/media/rId2979.png" ContentType="image/png"/>
  <Override PartName="/word/media/rId527.png" ContentType="image/png"/>
  <Override PartName="/word/media/rId2299.png" ContentType="image/png"/>
  <Override PartName="/word/media/rId2983.png" ContentType="image/png"/>
  <Override PartName="/word/media/rId1915.png" ContentType="image/png"/>
  <Override PartName="/word/media/rId1150.png" ContentType="image/png"/>
  <Override PartName="/word/media/rId2026.png" ContentType="image/png"/>
  <Override PartName="/word/media/rId1222.png" ContentType="image/png"/>
  <Override PartName="/word/media/rId636.png" ContentType="image/png"/>
  <Override PartName="/word/media/rId2729.png" ContentType="image/png"/>
  <Override PartName="/word/media/rId2629.png" ContentType="image/png"/>
  <Override PartName="/word/media/rId2622.png" ContentType="image/png"/>
  <Override PartName="/word/media/rId3323.png" ContentType="image/png"/>
  <Override PartName="/word/media/rId1257.png" ContentType="image/png"/>
  <Override PartName="/word/media/rId1412.png" ContentType="image/png"/>
  <Override PartName="/word/media/rId3140.png" ContentType="image/png"/>
  <Override PartName="/word/media/rId3097.png" ContentType="image/png"/>
  <Override PartName="/word/media/rId2410.png" ContentType="image/png"/>
  <Override PartName="/word/media/rId3124.png" ContentType="image/png"/>
  <Override PartName="/word/media/rId1808.png" ContentType="image/png"/>
  <Override PartName="/word/media/rId1232.png" ContentType="image/png"/>
  <Override PartName="/word/media/rId1361.png" ContentType="image/png"/>
  <Override PartName="/word/media/rId904.png" ContentType="image/png"/>
  <Override PartName="/word/media/rId520.png" ContentType="image/png"/>
  <Override PartName="/word/media/rId1727.png" ContentType="image/png"/>
  <Override PartName="/word/media/rId1976.png" ContentType="image/png"/>
  <Override PartName="/word/media/rId2615.png" ContentType="image/png"/>
  <Override PartName="/word/media/rId1049.png" ContentType="image/png"/>
  <Override PartName="/word/media/rId3253.png" ContentType="image/png"/>
  <Override PartName="/word/media/rId1289.png" ContentType="image/png"/>
  <Override PartName="/word/media/rId3259.png" ContentType="image/png"/>
  <Override PartName="/word/media/rId3214.png" ContentType="image/png"/>
  <Override PartName="/word/media/rId1556.png" ContentType="image/png"/>
  <Override PartName="/word/media/rId1707.png" ContentType="image/png"/>
  <Override PartName="/word/media/rId2106.png" ContentType="image/png"/>
  <Override PartName="/word/media/rId2683.png" ContentType="image/png"/>
  <Override PartName="/word/media/rId1169.png" ContentType="image/png"/>
  <Override PartName="/word/media/rId1838.png" ContentType="image/png"/>
  <Override PartName="/word/media/rId1143.png" ContentType="image/png"/>
  <Override PartName="/word/media/rId1962.png" ContentType="image/png"/>
  <Override PartName="/word/media/rId102.png" ContentType="image/png"/>
  <Override PartName="/word/media/rId389.png" ContentType="image/png"/>
  <Override PartName="/word/media/rId2060.png" ContentType="image/png"/>
  <Override PartName="/word/media/rId2303.png" ContentType="image/png"/>
  <Override PartName="/word/media/rId2818.png" ContentType="image/png"/>
  <Override PartName="/word/media/rId3305.png" ContentType="image/png"/>
  <Override PartName="/word/media/rId2485.png" ContentType="image/png"/>
  <Override PartName="/word/media/rId1392.png" ContentType="image/png"/>
  <Override PartName="/word/media/rId2261.png" ContentType="image/png"/>
  <Override PartName="/word/media/rId241.png" ContentType="image/png"/>
  <Override PartName="/word/media/rId2422.png" ContentType="image/png"/>
  <Override PartName="/word/media/rId1003.png" ContentType="image/png"/>
  <Override PartName="/word/media/rId2703.png" ContentType="image/png"/>
  <Override PartName="/word/media/rId3028.png" ContentType="image/png"/>
  <Override PartName="/word/media/rId692.png" ContentType="image/png"/>
  <Override PartName="/word/media/rId2287.png" ContentType="image/png"/>
  <Override PartName="/word/media/rId1650.png" ContentType="image/png"/>
  <Override PartName="/word/media/rId2369.png" ContentType="image/png"/>
  <Override PartName="/word/media/rId1829.png" ContentType="image/png"/>
  <Override PartName="/word/media/rId3163.png" ContentType="image/png"/>
  <Override PartName="/word/media/rId2464.png" ContentType="image/png"/>
  <Override PartName="/word/media/rId425.png" ContentType="image/png"/>
  <Override PartName="/word/media/rId1642.png" ContentType="image/png"/>
  <Override PartName="/word/media/rId1032.png" ContentType="image/png"/>
  <Override PartName="/word/media/rId1576.png" ContentType="image/png"/>
  <Override PartName="/word/media/rId828.png" ContentType="image/png"/>
  <Override PartName="/word/media/rId764.png" ContentType="image/png"/>
  <Override PartName="/word/media/rId292.png" ContentType="image/png"/>
  <Override PartName="/word/media/rId3246.png" ContentType="image/png"/>
  <Override PartName="/word/media/rId737.png" ContentType="image/png"/>
  <Override PartName="/word/media/rId1737.png" ContentType="image/png"/>
  <Override PartName="/word/media/rId1164.png" ContentType="image/png"/>
  <Override PartName="/word/media/rId1597.png" ContentType="image/png"/>
  <Override PartName="/word/media/rId2657.png" ContentType="image/png"/>
  <Override PartName="/word/media/rId1063.png" ContentType="image/png"/>
  <Override PartName="/word/media/rId1322.png" ContentType="image/png"/>
  <Override PartName="/word/media/rId1665.png" ContentType="image/png"/>
  <Override PartName="/word/media/rId2224.png" ContentType="image/png"/>
  <Override PartName="/word/media/rId1989.png" ContentType="image/png"/>
  <Override PartName="/word/media/rId1884.png" ContentType="image/png"/>
  <Override PartName="/word/media/rId567.png" ContentType="image/png"/>
  <Override PartName="/word/media/rId3188.png" ContentType="image/png"/>
  <Override PartName="/word/media/rId2798.png" ContentType="image/png"/>
  <Override PartName="/word/media/rId782.png" ContentType="image/png"/>
  <Override PartName="/word/media/rId1986.png" ContentType="image/png"/>
  <Override PartName="/word/media/rId2838.png" ContentType="image/png"/>
  <Override PartName="/word/media/rId1671.png" ContentType="image/png"/>
  <Override PartName="/word/media/rId709.png" ContentType="image/png"/>
  <Override PartName="/word/media/rId1511.png" ContentType="image/png"/>
  <Override PartName="/word/media/rId2957.png" ContentType="image/png"/>
  <Override PartName="/word/media/rId488.png" ContentType="image/png"/>
  <Override PartName="/word/media/rId3185.png" ContentType="image/png"/>
  <Override PartName="/word/media/rId1587.png" ContentType="image/png"/>
  <Override PartName="/word/media/rId433.png" ContentType="image/png"/>
  <Override PartName="/word/media/rId2782.png" ContentType="image/png"/>
  <Override PartName="/word/media/rId399.png" ContentType="image/png"/>
  <Override PartName="/word/media/rId2021.png" ContentType="image/png"/>
  <Override PartName="/word/media/rId644.png" ContentType="image/png"/>
  <Override PartName="/word/media/rId1786.png" ContentType="image/png"/>
  <Override PartName="/word/media/rId538.png" ContentType="image/png"/>
  <Override PartName="/word/media/rId500.png" ContentType="image/png"/>
  <Override PartName="/word/media/rId1027.png" ContentType="image/png"/>
  <Override PartName="/word/media/rId1873.png" ContentType="image/png"/>
  <Override PartName="/word/media/rId1933.png" ContentType="image/png"/>
  <Override PartName="/word/media/rId3274.png" ContentType="image/png"/>
  <Override PartName="/word/media/rId1260.png" ContentType="image/png"/>
  <Override PartName="/word/media/rId1202.png" ContentType="image/png"/>
  <Override PartName="/word/media/rId2488.png" ContentType="image/png"/>
  <Override PartName="/word/media/rId2008.png" ContentType="image/png"/>
  <Override PartName="/word/media/rId300.png" ContentType="image/png"/>
  <Override PartName="/word/media/rId2453.png" ContentType="image/png"/>
  <Override PartName="/word/media/rId2903.png" ContentType="image/png"/>
  <Override PartName="/word/media/rId2888.png" ContentType="image/png"/>
  <Override PartName="/word/media/rId57.png" ContentType="image/png"/>
  <Override PartName="/word/media/rId2131.png" ContentType="image/png"/>
  <Override PartName="/word/media/rId1615.png" ContentType="image/png"/>
  <Override PartName="/word/media/rId2742.png" ContentType="image/png"/>
  <Override PartName="/word/media/rId3023.png" ContentType="image/png"/>
  <Override PartName="/word/media/rId1355.png" ContentType="image/png"/>
  <Override PartName="/word/media/rId2078.png" ContentType="image/png"/>
  <Override PartName="/word/media/rId1123.png" ContentType="image/png"/>
  <Override PartName="/word/media/rId2694.png" ContentType="image/png"/>
  <Override PartName="/word/media/rId2706.png" ContentType="image/png"/>
  <Override PartName="/word/media/rId1704.png" ContentType="image/png"/>
  <Override PartName="/word/media/rId2316.png" ContentType="image/png"/>
  <Override PartName="/word/media/rId1760.png" ContentType="image/png"/>
  <Override PartName="/word/media/rId2002.png" ContentType="image/png"/>
  <Override PartName="/word/media/rId2125.png" ContentType="image/png"/>
  <Override PartName="/word/media/rId394.png" ContentType="image/png"/>
  <Override PartName="/word/media/rId121.png" ContentType="image/png"/>
  <Override PartName="/word/media/rId130.png" ContentType="image/png"/>
  <Override PartName="/word/media/rId1263.png" ContentType="image/png"/>
  <Override PartName="/word/media/rId2663.png" ContentType="image/png"/>
  <Override PartName="/word/media/rId2472.png" ContentType="image/png"/>
  <Override PartName="/word/media/rId898.png" ContentType="image/png"/>
  <Override PartName="/word/media/rId1744.png" ContentType="image/png"/>
  <Override PartName="/word/media/rId3243.png" ContentType="image/png"/>
  <Override PartName="/word/media/rId3004.png" ContentType="image/png"/>
  <Override PartName="/word/media/rId583.png" ContentType="image/png"/>
  <Override PartName="/word/media/rId266.png" ContentType="image/png"/>
  <Override PartName="/word/media/rId839.png" ContentType="image/png"/>
  <Override PartName="/word/media/rId2271.png" ContentType="image/png"/>
  <Override PartName="/word/media/rId3288.png" ContentType="image/png"/>
  <Override PartName="/word/media/rId2806.png" ContentType="image/png"/>
  <Override PartName="/word/media/rId2609.png" ContentType="image/png"/>
  <Override PartName="/word/media/rId2927.png" ContentType="image/png"/>
  <Override PartName="/word/media/rId2811.png" ContentType="image/png"/>
  <Override PartName="/word/media/rId3131.png" ContentType="image/png"/>
  <Override PartName="/word/media/rId1467.png" ContentType="image/png"/>
  <Override PartName="/word/media/rId3233.png" ContentType="image/png"/>
  <Override PartName="/word/media/rId2921.png" ContentType="image/png"/>
  <Override PartName="/word/media/rId419.png" ContentType="image/png"/>
  <Override PartName="/word/media/rId3085.png" ContentType="image/png"/>
  <Override PartName="/word/media/rId546.png" ContentType="image/png"/>
  <Override PartName="/word/media/rId2337.png" ContentType="image/png"/>
  <Override PartName="/word/media/rId1499.png" ContentType="image/png"/>
  <Override PartName="/word/media/rId2503.png" ContentType="image/png"/>
  <Override PartName="/word/media/rId1926.png" ContentType="image/png"/>
  <Override PartName="/word/media/rId2580.png" ContentType="image/png"/>
  <Override PartName="/word/media/rId2508.png" ContentType="image/png"/>
  <Override PartName="/word/media/rId2940.png" ContentType="image/png"/>
  <Override PartName="/word/media/rId2512.png" ContentType="image/png"/>
  <Override PartName="/word/media/rId3136.png" ContentType="image/png"/>
  <Override PartName="/word/media/rId54.png" ContentType="image/png"/>
  <Override PartName="/word/media/rId1405.png" ContentType="image/png"/>
  <Override PartName="/word/media/rId1996.png" ContentType="image/png"/>
  <Override PartName="/word/media/rId3037.png" ContentType="image/png"/>
  <Override PartName="/word/media/rId87.png" ContentType="image/png"/>
  <Override PartName="/word/media/rId2122.png" ContentType="image/png"/>
  <Override PartName="/word/media/rId1372.png" ContentType="image/png"/>
  <Override PartName="/word/media/rId2821.png" ContentType="image/png"/>
  <Override PartName="/word/media/rId2153.png" ContentType="image/png"/>
  <Override PartName="/word/media/rId2092.png" ContentType="image/png"/>
  <Override PartName="/word/media/rId1529.png" ContentType="image/png"/>
  <Override PartName="/word/media/rId1968.png" ContentType="image/png"/>
  <Override PartName="/word/media/rId28.png" ContentType="image/png"/>
  <Override PartName="/word/media/rId2722.png" ContentType="image/png"/>
  <Override PartName="/word/media/rId3158.png" ContentType="image/png"/>
  <Override PartName="/word/media/rId888.png" ContentType="image/png"/>
  <Override PartName="/word/media/rId375.png" ContentType="image/png"/>
  <Override PartName="/word/media/rId2948.png" ContentType="image/png"/>
  <Override PartName="/word/media/rId1503.png" ContentType="image/png"/>
  <Override PartName="/word/media/rId459.png" ContentType="image/png"/>
  <Override PartName="/word/media/rId108.png" ContentType="image/png"/>
  <Override PartName="/word/media/rId2205.png" ContentType="image/png"/>
  <Override PartName="/word/media/rId2295.png" ContentType="image/png"/>
  <Override PartName="/word/media/rId3175.png" ContentType="image/png"/>
  <Override PartName="/word/media/rId2083.png" ContentType="image/png"/>
  <Override PartName="/word/media/rId657.png" ContentType="image/png"/>
  <Override PartName="/word/media/rId2330.png" ContentType="image/png"/>
  <Override PartName="/word/media/rId3074.png" ContentType="image/png"/>
  <Override PartName="/word/media/rId2576.png" ContentType="image/png"/>
  <Override PartName="/word/media/rId1084.png" ContentType="image/png"/>
  <Override PartName="/word/media/rId2976.png" ContentType="image/png"/>
  <Override PartName="/word/media/rId1846.png" ContentType="image/png"/>
  <Override PartName="/word/media/rId1794.png" ContentType="image/png"/>
  <Override PartName="/word/media/rId2843.png" ContentType="image/png"/>
  <Override PartName="/word/media/rId616.png" ContentType="image/png"/>
  <Override PartName="/word/media/rId882.png" ContentType="image/png"/>
  <Override PartName="/word/media/rId1240.png" ContentType="image/png"/>
  <Override PartName="/word/media/rId1890.png" ContentType="image/png"/>
  <Override PartName="/word/media/rId275.png" ContentType="image/png"/>
  <Override PartName="/word/media/rId151.png" ContentType="image/png"/>
  <Override PartName="/word/media/rId2636.png" ContentType="image/png"/>
  <Override PartName="/word/media/rId2756.png" ContentType="image/png"/>
  <Override PartName="/word/media/rId2568.png" ContentType="image/png"/>
  <Override PartName="/word/media/rId807.png" ContentType="image/png"/>
  <Override PartName="/word/media/rId2530.png" ContentType="image/png"/>
  <Override PartName="/word/media/rId2415.png" ContentType="image/png"/>
  <Override PartName="/word/media/rId801.png" ContentType="image/png"/>
  <Override PartName="/word/media/rId1281.png" ContentType="image/png"/>
  <Override PartName="/word/media/rId3055.png" ContentType="image/png"/>
  <Override PartName="/word/media/rId2893.png" ContentType="image/png"/>
  <Override PartName="/word/media/rId1106.png" ContentType="image/png"/>
  <Override PartName="/word/media/rId653.png" ContentType="image/png"/>
  <Override PartName="/word/media/rId1634.png" ContentType="image/png"/>
  <Override PartName="/word/media/rId1864.png" ContentType="image/png"/>
  <Override PartName="/word/media/rId3062.png" ContentType="image/png"/>
  <Override PartName="/word/media/rId2404.png" ContentType="image/png"/>
  <Override PartName="/word/media/rId1568.png" ContentType="image/png"/>
  <Override PartName="/word/media/rId1752.png" ContentType="image/png"/>
  <Override PartName="/word/media/rId989.png" ContentType="image/png"/>
  <Override PartName="/word/media/rId846.png" ContentType="image/png"/>
  <Override PartName="/word/media/rId778.png" ContentType="image/png"/>
  <Override PartName="/word/media/rId623.png" ContentType="image/png"/>
  <Override PartName="/word/media/rId2535.png" ContentType="image/png"/>
  <Override PartName="/word/media/rId1605.png" ContentType="image/png"/>
  <Override PartName="/word/media/rId2343.png" ContentType="image/png"/>
  <Override PartName="/word/media/rId1938.png" ContentType="image/png"/>
  <Override PartName="/word/media/rId3091.png" ContentType="image/png"/>
  <Override PartName="/word/media/rId351.png" ContentType="image/png"/>
  <Override PartName="/word/media/rId2932.png" ContentType="image/png"/>
  <Override PartName="/word/media/rId1275.png" ContentType="image/png"/>
  <Override PartName="/word/media/rId2128.png" ContentType="image/png"/>
  <Override PartName="/word/media/rId1157.png" ContentType="image/png"/>
  <Override PartName="/word/media/rId214.png" ContentType="image/png"/>
  <Override PartName="/word/media/rId1721.png" ContentType="image/png"/>
  <Override PartName="/word/media/rId158.png" ContentType="image/png"/>
  <Override PartName="/word/media/rId3198.png" ContentType="image/png"/>
  <Override PartName="/word/media/rId312.png" ContentType="image/png"/>
  <Override PartName="/word/media/rId2282.png" ContentType="image/png"/>
  <Override PartName="/word/media/rId2593.png" ContentType="image/png"/>
  <Override PartName="/word/media/rId3012.png" ContentType="image/png"/>
  <Override PartName="/word/media/rId3292.png" ContentType="image/png"/>
  <Override PartName="/word/media/rId2213.png" ContentType="image/png"/>
  <Override PartName="/word/media/rId2098.png" ContentType="image/png"/>
  <Override PartName="/word/media/rId2373.png" ContentType="image/png"/>
  <Override PartName="/word/media/rId1852.png" ContentType="image/png"/>
  <Override PartName="/word/media/rId2384.png" ContentType="image/png"/>
  <Override PartName="/word/media/rId3205.png" ContentType="image/png"/>
  <Override PartName="/word/media/rId3168.png" ContentType="image/png"/>
  <Override PartName="/word/media/rId2750.png" ContentType="image/png"/>
  <Override PartName="/word/media/rId2324.png" ContentType="image/png"/>
  <Override PartName="/word/media/rId2916.png" ContentType="image/png"/>
  <Override PartName="/word/media/rId1692.png" ContentType="image/png"/>
  <Override PartName="/word/media/rId1039.png" ContentType="image/png"/>
  <Override PartName="/word/media/rId3301.png" ContentType="image/png"/>
  <Override PartName="/word/media/rId2525.png" ContentType="image/png"/>
  <Override PartName="/word/media/rId2733.png" ContentType="image/png"/>
  <Override PartName="/word/media/rId2157.png" ContentType="image/png"/>
  <Override PartName="/word/media/rId919.png" ContentType="image/png"/>
  <Override PartName="/word/media/rId507.png" ContentType="image/png"/>
  <Override PartName="/word/media/rId1328.png" ContentType="image/png"/>
  <Override PartName="/word/media/rId3079.png" ContentType="image/png"/>
  <Override PartName="/word/media/rId3151.png" ContentType="image/png"/>
  <Override PartName="/word/media/rId572.png" ContentType="image/png"/>
  <Override PartName="/word/media/rId959.png" ContentType="image/png"/>
  <Override PartName="/word/media/rId1212.png" ContentType="image/png"/>
  <Override PartName="/word/media/rId2936.png" ContentType="image/png"/>
  <Override PartName="/word/media/rId2209.png" ContentType="image/png"/>
  <Override PartName="/word/media/rId2197.png" ContentType="image/png"/>
  <Override PartName="/word/media/rId2830.png" ContentType="image/png"/>
  <Override PartName="/word/media/rId2911.png" ContentType="image/png"/>
  <Override PartName="/word/media/rId1271.png" ContentType="image/png"/>
  <Override PartName="/word/media/rId222.png" ContentType="image/png"/>
  <Override PartName="/word/media/rId3317.png" ContentType="image/png"/>
  <Override PartName="/word/media/rId2562.png" ContentType="image/png"/>
  <Override PartName="/word/media/rId3269.png" ContentType="image/png"/>
  <Override PartName="/word/media/rId1387.png" ContentType="image/png"/>
  <Override PartName="/word/media/rId1343.png" ContentType="image/png"/>
  <Override PartName="/word/media/rId1524.png" ContentType="image/png"/>
  <Override PartName="/word/media/rId2112.png" ContentType="image/png"/>
  <Override PartName="/word/media/rId1312.png" ContentType="image/png"/>
  <Override PartName="/word/media/rId771.png" ContentType="image/png"/>
  <Override PartName="/word/media/rId2015.png" ContentType="image/png"/>
  <Override PartName="/word/media/rId3048.png" ContentType="image/png"/>
  <Override PartName="/word/media/rId1658.png" ContentType="image/png"/>
  <Override PartName="/word/media/rId743.png" ContentType="image/png"/>
  <Override PartName="/word/media/rId283.png" ContentType="image/png"/>
  <Override PartName="/word/media/rId2278.png" ContentType="image/png"/>
  <Override PartName="/word/media/rId2307.png" ContentType="image/png"/>
  <Override PartName="/word/media/rId2779.png" ContentType="image/png"/>
  <Override PartName="/word/media/rId927.png" ContentType="image/png"/>
  <Override PartName="/word/media/rId664.png" ContentType="image/png"/>
  <Override PartName="/word/media/rId719.png" ContentType="image/png"/>
  <Override PartName="/word/media/rId875.png" ContentType="image/png"/>
  <Override PartName="/word/media/rId2228.png" ContentType="image/png"/>
  <Override PartName="/word/media/rId236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Complete System Design Knowledge Base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Xd82a5166477218c4f1c96f437c06c7c39f22be0"/>
    <w:p>
      <w:pPr>
        <w:pStyle w:val="Heading1"/>
      </w:pPr>
      <w:r>
        <w:t xml:space="preserve">Part I — Foundations of System Design Thinking</w:t>
      </w:r>
    </w:p>
    <w:bookmarkEnd w:id="20"/>
    <w:bookmarkStart w:id="148" w:name="chapter-1-what-is-system-design"/>
    <w:p>
      <w:pPr>
        <w:pStyle w:val="Heading1"/>
      </w:pPr>
      <w:r>
        <w:t xml:space="preserve">Chapter 1 — What Is System Design?</w:t>
      </w:r>
    </w:p>
    <w:p>
      <w:pPr>
        <w:pStyle w:val="BlockText"/>
      </w:pPr>
      <w:r>
        <w:rPr>
          <w:bCs/>
          <w:b/>
        </w:rPr>
        <w:t xml:space="preserve">Level:</w:t>
      </w:r>
      <w:r>
        <w:t xml:space="preserve"> </w:t>
      </w:r>
      <w:r>
        <w:t xml:space="preserve">1 ·</w:t>
      </w:r>
      <w:r>
        <w:t xml:space="preserve"> </w:t>
      </w:r>
      <w:r>
        <w:rPr>
          <w:bCs/>
          <w:b/>
        </w:rPr>
        <w:t xml:space="preserve">Track:</w:t>
      </w:r>
      <w:r>
        <w:t xml:space="preserve"> </w:t>
      </w:r>
      <w:r>
        <w:t xml:space="preserve">Shared ·</w:t>
      </w:r>
      <w:r>
        <w:t xml:space="preserve"> </w:t>
      </w:r>
      <w:r>
        <w:rPr>
          <w:bCs/>
          <w:b/>
        </w:rPr>
        <w:t xml:space="preserve">Estimated reading time:</w:t>
      </w:r>
      <w:r>
        <w:t xml:space="preserve"> </w:t>
      </w:r>
      <w:r>
        <w:t xml:space="preserve">3.5 h</w:t>
      </w:r>
    </w:p>
    <w:p>
      <w:pPr>
        <w:pStyle w:val="FirstParagraph"/>
      </w:pPr>
      <w:r>
        <w:t xml:space="preserve">Every application you have ever used — a photo app, a bank, a search engine — is two things at once. It is</w:t>
      </w:r>
      <w:r>
        <w:t xml:space="preserve"> </w:t>
      </w:r>
      <w:r>
        <w:rPr>
          <w:iCs/>
          <w:i/>
        </w:rPr>
        <w:t xml:space="preserve">code</w:t>
      </w:r>
      <w:r>
        <w:t xml:space="preserve">, which tells a computer what to do, and it is a</w:t>
      </w:r>
      <w:r>
        <w:t xml:space="preserve"> </w:t>
      </w:r>
      <w:r>
        <w:rPr>
          <w:iCs/>
          <w:i/>
        </w:rPr>
        <w:t xml:space="preserve">system</w:t>
      </w:r>
      <w:r>
        <w:t xml:space="preserve">, which decides where that code runs, where its data lives, how many copies of each exist, what happens when a machine dies at 3 a.m., and how the whole thing keeps working when ten times more people show up next month. This chapter is about the second thing.</w:t>
      </w:r>
    </w:p>
    <w:p>
      <w:pPr>
        <w:pStyle w:val="BodyText"/>
      </w:pPr>
      <w:r>
        <w:t xml:space="preserve">We will follow one fictional product through the whole chapter:</w:t>
      </w:r>
      <w:r>
        <w:t xml:space="preserve"> </w:t>
      </w:r>
      <w:r>
        <w:rPr>
          <w:bCs/>
          <w:b/>
        </w:rPr>
        <w:t xml:space="preserve">PhotoShare</w:t>
      </w:r>
      <w:r>
        <w:t xml:space="preserve">, a simple photo-sharing app in which people upload photos, follow friends and scroll a feed. PhotoShare starts life on a single rented server with a thousand users. By the end of the chapter it serves ten million daily users across multiple machines and data centers. At every stage you will see</w:t>
      </w:r>
      <w:r>
        <w:t xml:space="preserve"> </w:t>
      </w:r>
      <w:r>
        <w:rPr>
          <w:iCs/>
          <w:i/>
        </w:rPr>
        <w:t xml:space="preserve">why</w:t>
      </w:r>
      <w:r>
        <w:t xml:space="preserve"> </w:t>
      </w:r>
      <w:r>
        <w:t xml:space="preserve">the design had to change,</w:t>
      </w:r>
      <w:r>
        <w:t xml:space="preserve"> </w:t>
      </w:r>
      <w:r>
        <w:rPr>
          <w:iCs/>
          <w:i/>
        </w:rPr>
        <w:t xml:space="preserve">which requirement</w:t>
      </w:r>
      <w:r>
        <w:t xml:space="preserve"> </w:t>
      </w:r>
      <w:r>
        <w:t xml:space="preserve">forced the change, and</w:t>
      </w:r>
      <w:r>
        <w:t xml:space="preserve"> </w:t>
      </w:r>
      <w:r>
        <w:rPr>
          <w:iCs/>
          <w:i/>
        </w:rPr>
        <w:t xml:space="preserve">what it cost</w:t>
      </w:r>
      <w:r>
        <w:t xml:space="preserve">. That progression — requirements forcing decisions, decisions carrying costs — is system design.</w:t>
      </w:r>
    </w:p>
    <w:bookmarkStart w:id="21" w:name="learning-objectives"/>
    <w:p>
      <w:pPr>
        <w:pStyle w:val="Heading2"/>
      </w:pPr>
      <w:r>
        <w:t xml:space="preserve">1.1 Learning objectives</w:t>
      </w:r>
    </w:p>
    <w:p>
      <w:pPr>
        <w:pStyle w:val="FirstParagraph"/>
      </w:pPr>
      <w:r>
        <w:t xml:space="preserve">After this chapter you should be able to:</w:t>
      </w:r>
    </w:p>
    <w:p>
      <w:pPr>
        <w:numPr>
          <w:ilvl w:val="0"/>
          <w:numId w:val="1001"/>
        </w:numPr>
        <w:pStyle w:val="Compact"/>
      </w:pPr>
      <w:r>
        <w:t xml:space="preserve">Define</w:t>
      </w:r>
      <w:r>
        <w:t xml:space="preserve"> </w:t>
      </w:r>
      <w:r>
        <w:rPr>
          <w:iCs/>
          <w:i/>
        </w:rPr>
        <w:t xml:space="preserve">system design</w:t>
      </w:r>
      <w:r>
        <w:t xml:space="preserve">,</w:t>
      </w:r>
      <w:r>
        <w:t xml:space="preserve"> </w:t>
      </w:r>
      <w:r>
        <w:rPr>
          <w:iCs/>
          <w:i/>
        </w:rPr>
        <w:t xml:space="preserve">software architecture</w:t>
      </w:r>
      <w:r>
        <w:t xml:space="preserve">,</w:t>
      </w:r>
      <w:r>
        <w:t xml:space="preserve"> </w:t>
      </w:r>
      <w:r>
        <w:rPr>
          <w:iCs/>
          <w:i/>
        </w:rPr>
        <w:t xml:space="preserve">high-level design</w:t>
      </w:r>
      <w:r>
        <w:t xml:space="preserve"> </w:t>
      </w:r>
      <w:r>
        <w:t xml:space="preserve">and</w:t>
      </w:r>
      <w:r>
        <w:t xml:space="preserve"> </w:t>
      </w:r>
      <w:r>
        <w:rPr>
          <w:iCs/>
          <w:i/>
        </w:rPr>
        <w:t xml:space="preserve">low-level design</w:t>
      </w:r>
      <w:r>
        <w:t xml:space="preserve">, and explain how they differ and overlap.</w:t>
      </w:r>
    </w:p>
    <w:p>
      <w:pPr>
        <w:numPr>
          <w:ilvl w:val="0"/>
          <w:numId w:val="1001"/>
        </w:numPr>
        <w:pStyle w:val="Compact"/>
      </w:pPr>
      <w:r>
        <w:t xml:space="preserve">Distinguish functional requirements from non-functional requirements, and write each in a testable form.</w:t>
      </w:r>
    </w:p>
    <w:p>
      <w:pPr>
        <w:numPr>
          <w:ilvl w:val="0"/>
          <w:numId w:val="1001"/>
        </w:numPr>
        <w:pStyle w:val="Compact"/>
      </w:pPr>
      <w:r>
        <w:t xml:space="preserve">Name at least fifteen quality attributes (</w:t>
      </w:r>
      <w:r>
        <w:t xml:space="preserve">“</w:t>
      </w:r>
      <w:r>
        <w:t xml:space="preserve">-ilities</w:t>
      </w:r>
      <w:r>
        <w:t xml:space="preserve">”</w:t>
      </w:r>
      <w:r>
        <w:t xml:space="preserve">), state a measurable metric for each, and identify common tensions between them.</w:t>
      </w:r>
    </w:p>
    <w:p>
      <w:pPr>
        <w:numPr>
          <w:ilvl w:val="0"/>
          <w:numId w:val="1001"/>
        </w:numPr>
        <w:pStyle w:val="Compact"/>
      </w:pPr>
      <w:r>
        <w:t xml:space="preserve">Convert an availability target (for example 99.9%) into an allowed-downtime budget, and compute the availability of components in series.</w:t>
      </w:r>
    </w:p>
    <w:p>
      <w:pPr>
        <w:numPr>
          <w:ilvl w:val="0"/>
          <w:numId w:val="1001"/>
        </w:numPr>
        <w:pStyle w:val="Compact"/>
      </w:pPr>
      <w:r>
        <w:t xml:space="preserve">Estimate average and peak request rates, storage growth and network egress from a user count, using explicit assumptions.</w:t>
      </w:r>
    </w:p>
    <w:p>
      <w:pPr>
        <w:numPr>
          <w:ilvl w:val="0"/>
          <w:numId w:val="1001"/>
        </w:numPr>
        <w:pStyle w:val="Compact"/>
      </w:pPr>
      <w:r>
        <w:t xml:space="preserve">Write an Architecture Decision Record (ADR) in Nygard’s format and use a weighted decision matrix to compare options.</w:t>
      </w:r>
    </w:p>
    <w:p>
      <w:pPr>
        <w:numPr>
          <w:ilvl w:val="0"/>
          <w:numId w:val="1001"/>
        </w:numPr>
        <w:pStyle w:val="Compact"/>
      </w:pPr>
      <w:r>
        <w:t xml:space="preserve">Explain why early architectural decisions are expensive to reverse, using a concrete migration-cost calculation.</w:t>
      </w:r>
    </w:p>
    <w:p>
      <w:pPr>
        <w:numPr>
          <w:ilvl w:val="0"/>
          <w:numId w:val="1001"/>
        </w:numPr>
        <w:pStyle w:val="Compact"/>
      </w:pPr>
      <w:r>
        <w:t xml:space="preserve">Describe how design documents, design reviews and RFC processes work in industry.</w:t>
      </w:r>
    </w:p>
    <w:p>
      <w:pPr>
        <w:numPr>
          <w:ilvl w:val="0"/>
          <w:numId w:val="1001"/>
        </w:numPr>
        <w:pStyle w:val="Compact"/>
      </w:pPr>
      <w:r>
        <w:t xml:space="preserve">Describe the structure of a 45–60-minute system design interview and what interviewers evaluate.</w:t>
      </w:r>
    </w:p>
    <w:p>
      <w:pPr>
        <w:numPr>
          <w:ilvl w:val="0"/>
          <w:numId w:val="1001"/>
        </w:numPr>
        <w:pStyle w:val="Compact"/>
      </w:pPr>
      <w:r>
        <w:t xml:space="preserve">Recognize and avoid the twelve most common beginner mistakes in system design.</w:t>
      </w:r>
    </w:p>
    <w:bookmarkEnd w:id="21"/>
    <w:bookmarkStart w:id="22" w:name="prerequisites"/>
    <w:p>
      <w:pPr>
        <w:pStyle w:val="Heading2"/>
      </w:pPr>
      <w:r>
        <w:t xml:space="preserve">1.2 Prerequisites</w:t>
      </w:r>
    </w:p>
    <w:p>
      <w:pPr>
        <w:pStyle w:val="FirstParagraph"/>
      </w:pPr>
      <w:r>
        <w:t xml:space="preserve">This chapter assumes no prior system design knowledge. Helpful but not required:</w:t>
      </w:r>
    </w:p>
    <w:p>
      <w:pPr>
        <w:numPr>
          <w:ilvl w:val="0"/>
          <w:numId w:val="1002"/>
        </w:numPr>
        <w:pStyle w:val="Compact"/>
      </w:pPr>
      <w:r>
        <w:t xml:space="preserve">Basic programming in any language — so that</w:t>
      </w:r>
      <w:r>
        <w:t xml:space="preserve"> </w:t>
      </w:r>
      <w:r>
        <w:t xml:space="preserve">“</w:t>
      </w:r>
      <w:r>
        <w:t xml:space="preserve">a function</w:t>
      </w:r>
      <w:r>
        <w:t xml:space="preserve">”</w:t>
      </w:r>
      <w:r>
        <w:t xml:space="preserve">,</w:t>
      </w:r>
      <w:r>
        <w:t xml:space="preserve"> </w:t>
      </w:r>
      <w:r>
        <w:t xml:space="preserve">“</w:t>
      </w:r>
      <w:r>
        <w:t xml:space="preserve">a class</w:t>
      </w:r>
      <w:r>
        <w:t xml:space="preserve">”</w:t>
      </w:r>
      <w:r>
        <w:t xml:space="preserve"> </w:t>
      </w:r>
      <w:r>
        <w:t xml:space="preserve">and</w:t>
      </w:r>
      <w:r>
        <w:t xml:space="preserve"> </w:t>
      </w:r>
      <w:r>
        <w:t xml:space="preserve">“</w:t>
      </w:r>
      <w:r>
        <w:t xml:space="preserve">a web request</w:t>
      </w:r>
      <w:r>
        <w:t xml:space="preserve">”</w:t>
      </w:r>
      <w:r>
        <w:t xml:space="preserve"> </w:t>
      </w:r>
      <w:r>
        <w:t xml:space="preserve">are familiar words.</w:t>
      </w:r>
    </w:p>
    <w:p>
      <w:pPr>
        <w:numPr>
          <w:ilvl w:val="0"/>
          <w:numId w:val="1002"/>
        </w:numPr>
        <w:pStyle w:val="Compact"/>
      </w:pPr>
      <w:r>
        <w:t xml:space="preserve">A rough idea of what happens when a browser loads a web page — treated fully in §8.5 (The request–response lifecycle end to end); here we only need</w:t>
      </w:r>
      <w:r>
        <w:t xml:space="preserve"> </w:t>
      </w:r>
      <w:r>
        <w:t xml:space="preserve">“</w:t>
      </w:r>
      <w:r>
        <w:t xml:space="preserve">a client sends a request, a server sends a response</w:t>
      </w:r>
      <w:r>
        <w:t xml:space="preserve">”</w:t>
      </w:r>
      <w:r>
        <w:t xml:space="preserve">.</w:t>
      </w:r>
    </w:p>
    <w:p>
      <w:pPr>
        <w:numPr>
          <w:ilvl w:val="0"/>
          <w:numId w:val="1002"/>
        </w:numPr>
        <w:pStyle w:val="Compact"/>
      </w:pPr>
      <w:r>
        <w:t xml:space="preserve">A rough idea of what a database is — treated fully in Ch 11 (Relational Databases); here we only need</w:t>
      </w:r>
      <w:r>
        <w:t xml:space="preserve"> </w:t>
      </w:r>
      <w:r>
        <w:t xml:space="preserve">“</w:t>
      </w:r>
      <w:r>
        <w:t xml:space="preserve">a program that stores data durably and answers queries about it</w:t>
      </w:r>
      <w:r>
        <w:t xml:space="preserve">”</w:t>
      </w:r>
      <w:r>
        <w:t xml:space="preserve">.</w:t>
      </w:r>
    </w:p>
    <w:p>
      <w:pPr>
        <w:pStyle w:val="FirstParagraph"/>
      </w:pPr>
      <w:r>
        <w:t xml:space="preserve">Every other term is defined when it first appears.</w:t>
      </w:r>
    </w:p>
    <w:bookmarkEnd w:id="22"/>
    <w:bookmarkStart w:id="40" w:name="definition-of-system-design"/>
    <w:p>
      <w:pPr>
        <w:pStyle w:val="Heading2"/>
      </w:pPr>
      <w:r>
        <w:t xml:space="preserve">1.3 Definition of system design</w:t>
      </w:r>
    </w:p>
    <w:bookmarkStart w:id="24" w:name="what-a-system-is"/>
    <w:p>
      <w:pPr>
        <w:pStyle w:val="Heading3"/>
      </w:pPr>
      <w:r>
        <w:t xml:space="preserve">1.3.1 What a</w:t>
      </w:r>
      <w:r>
        <w:t xml:space="preserve"> </w:t>
      </w:r>
      <w:r>
        <w:t xml:space="preserve">“</w:t>
      </w:r>
      <w:r>
        <w:t xml:space="preserve">system</w:t>
      </w:r>
      <w:r>
        <w:t xml:space="preserve">”</w:t>
      </w:r>
      <w:r>
        <w:t xml:space="preserve"> </w:t>
      </w:r>
      <w:r>
        <w:t xml:space="preserve">is</w:t>
      </w:r>
    </w:p>
    <w:p>
      <w:pPr>
        <w:pStyle w:val="CalloutDefinition"/>
      </w:pPr>
      <w:r>
        <w:rPr>
          <w:bCs/>
          <w:b/>
        </w:rPr>
        <w:t xml:space="preserve">DEFINITION</w:t>
      </w:r>
    </w:p>
    <w:p>
      <w:pPr>
        <w:pStyle w:val="CalloutDefinition"/>
      </w:pPr>
      <w:r>
        <w:rPr>
          <w:bCs/>
          <w:b/>
        </w:rPr>
        <w:t xml:space="preserve">Definition — System.</w:t>
      </w:r>
      <w:r>
        <w:t xml:space="preserve"> </w:t>
      </w:r>
      <w:r>
        <w:t xml:space="preserve">A set of interacting</w:t>
      </w:r>
      <w:r>
        <w:t xml:space="preserve"> </w:t>
      </w:r>
      <w:r>
        <w:rPr>
          <w:bCs/>
          <w:b/>
        </w:rPr>
        <w:t xml:space="preserve">components</w:t>
      </w:r>
      <w:r>
        <w:t xml:space="preserve"> </w:t>
      </w:r>
      <w:r>
        <w:t xml:space="preserve">(programs, machines, data stores, networks and people) that together deliver a capability no single component delivers alone. Components interact only through</w:t>
      </w:r>
      <w:r>
        <w:t xml:space="preserve"> </w:t>
      </w:r>
      <w:r>
        <w:rPr>
          <w:bCs/>
          <w:b/>
        </w:rPr>
        <w:t xml:space="preserve">interfaces</w:t>
      </w:r>
      <w:r>
        <w:t xml:space="preserve">: agreed formats and protocols for exchanging requests, responses and data.</w:t>
      </w:r>
    </w:p>
    <w:p>
      <w:pPr>
        <w:pStyle w:val="CalloutDefinition"/>
      </w:pPr>
      <w:r>
        <w:rPr>
          <w:bCs/>
          <w:b/>
        </w:rPr>
        <w:t xml:space="preserve">DEFINITION</w:t>
      </w:r>
    </w:p>
    <w:p>
      <w:pPr>
        <w:pStyle w:val="CalloutDefinition"/>
      </w:pPr>
      <w:r>
        <w:rPr>
          <w:bCs/>
          <w:b/>
        </w:rPr>
        <w:t xml:space="preserve">Definition — Component.</w:t>
      </w:r>
      <w:r>
        <w:t xml:space="preserve"> </w:t>
      </w:r>
      <w:r>
        <w:t xml:space="preserve">A unit of a system with a clear responsibility and an interface — for example a web service, a database, a cache, a message queue, a load balancer or a third-party payment provider.</w:t>
      </w:r>
    </w:p>
    <w:bookmarkStart w:id="23" w:name="first-principles-explanation"/>
    <w:p>
      <w:pPr>
        <w:pStyle w:val="Heading4"/>
      </w:pPr>
      <w:r>
        <w:t xml:space="preserve">First-principles explanation</w:t>
      </w:r>
    </w:p>
    <w:p>
      <w:pPr>
        <w:pStyle w:val="FirstParagraph"/>
      </w:pPr>
      <w:r>
        <w:t xml:space="preserve">Think of a busy restaurant. A single recipe is like a single function in code: it turns inputs (ingredients) into an output (a dish). But a restaurant is not a recipe. It is a</w:t>
      </w:r>
      <w:r>
        <w:t xml:space="preserve"> </w:t>
      </w:r>
      <w:r>
        <w:rPr>
          <w:iCs/>
          <w:i/>
        </w:rPr>
        <w:t xml:space="preserve">system</w:t>
      </w:r>
      <w:r>
        <w:t xml:space="preserve">: a front-of-house that takes orders, a ticket rail that queues them, stations for grill and salad, a walk-in fridge (storage), a dishwasher (cleanup), a manager who notices when the grill cook is overwhelmed, and a supplier who delivers flour every Tuesday. The food can be excellent and the restaurant can still fail — because orders get lost, the fridge breaks, or Saturday night brings three times more guests than the kitchen can handle.</w:t>
      </w:r>
    </w:p>
    <w:p>
      <w:pPr>
        <w:pStyle w:val="BodyText"/>
      </w:pPr>
      <w:r>
        <w:t xml:space="preserve">Software is the same. The code that resizes a photo can be perfect, and PhotoShare can still fail because the disk filled up, the only server rebooted during a deploy, or a celebrity’s post caused a thousand times the normal traffic in ten seconds.</w:t>
      </w:r>
    </w:p>
    <w:bookmarkEnd w:id="23"/>
    <w:bookmarkEnd w:id="24"/>
    <w:bookmarkStart w:id="39" w:name="system-design"/>
    <w:p>
      <w:pPr>
        <w:pStyle w:val="Heading3"/>
      </w:pPr>
      <w:r>
        <w:t xml:space="preserve">1.3.2 System design</w:t>
      </w:r>
    </w:p>
    <w:p>
      <w:pPr>
        <w:pStyle w:val="CalloutDefinition"/>
      </w:pPr>
      <w:r>
        <w:rPr>
          <w:bCs/>
          <w:b/>
        </w:rPr>
        <w:t xml:space="preserve">DEFINITION</w:t>
      </w:r>
    </w:p>
    <w:p>
      <w:pPr>
        <w:pStyle w:val="CalloutDefinition"/>
      </w:pPr>
      <w:r>
        <w:rPr>
          <w:bCs/>
          <w:b/>
        </w:rPr>
        <w:t xml:space="preserve">Definition — System design.</w:t>
      </w:r>
      <w:r>
        <w:t xml:space="preserve"> </w:t>
      </w:r>
      <w:r>
        <w:t xml:space="preserve">The process of deciding the components of a software system, their responsibilities, their interfaces, how data flows and is stored between them, and how they are deployed — so that the system meets its functional requirements</w:t>
      </w:r>
      <w:r>
        <w:t xml:space="preserve"> </w:t>
      </w:r>
      <w:r>
        <w:rPr>
          <w:iCs/>
          <w:i/>
        </w:rPr>
        <w:t xml:space="preserve">and</w:t>
      </w:r>
      <w:r>
        <w:t xml:space="preserve"> </w:t>
      </w:r>
      <w:r>
        <w:t xml:space="preserve">its non-functional requirements (performance, scalability, availability, durability, security, cost and others) under stated assumptions about load and failure. The output of the process is also called the</w:t>
      </w:r>
      <w:r>
        <w:t xml:space="preserve"> </w:t>
      </w:r>
      <w:r>
        <w:rPr>
          <w:iCs/>
          <w:i/>
        </w:rPr>
        <w:t xml:space="preserve">system design</w:t>
      </w:r>
      <w:r>
        <w:t xml:space="preserve">: a set of decisions, diagrams and documents.</w:t>
      </w:r>
    </w:p>
    <w:p>
      <w:pPr>
        <w:pStyle w:val="BodyText"/>
      </w:pPr>
      <w:r>
        <w:t xml:space="preserve">Two parts of the definition deserve emphasis.</w:t>
      </w:r>
    </w:p>
    <w:p>
      <w:pPr>
        <w:numPr>
          <w:ilvl w:val="0"/>
          <w:numId w:val="1003"/>
        </w:numPr>
        <w:pStyle w:val="Compact"/>
      </w:pPr>
      <w:r>
        <w:rPr>
          <w:bCs/>
          <w:b/>
        </w:rPr>
        <w:t xml:space="preserve">“</w:t>
      </w:r>
      <w:r>
        <w:rPr>
          <w:bCs/>
          <w:b/>
        </w:rPr>
        <w:t xml:space="preserve">So that it meets its requirements.</w:t>
      </w:r>
      <w:r>
        <w:rPr>
          <w:bCs/>
          <w:b/>
        </w:rPr>
        <w:t xml:space="preserve">”</w:t>
      </w:r>
      <w:r>
        <w:t xml:space="preserve"> </w:t>
      </w:r>
      <w:r>
        <w:t xml:space="preserve">A design is never good or bad in the abstract — only good or bad</w:t>
      </w:r>
      <w:r>
        <w:t xml:space="preserve"> </w:t>
      </w:r>
      <w:r>
        <w:rPr>
          <w:iCs/>
          <w:i/>
        </w:rPr>
        <w:t xml:space="preserve">for a stated set of requirements</w:t>
      </w:r>
      <w:r>
        <w:t xml:space="preserve">. A single server is an excellent design for 1,000 users and a terrible one for 10 million.</w:t>
      </w:r>
    </w:p>
    <w:p>
      <w:pPr>
        <w:numPr>
          <w:ilvl w:val="0"/>
          <w:numId w:val="1003"/>
        </w:numPr>
        <w:pStyle w:val="Compact"/>
      </w:pPr>
      <w:r>
        <w:rPr>
          <w:bCs/>
          <w:b/>
        </w:rPr>
        <w:t xml:space="preserve">“</w:t>
      </w:r>
      <w:r>
        <w:rPr>
          <w:bCs/>
          <w:b/>
        </w:rPr>
        <w:t xml:space="preserve">Under stated assumptions about load and failure.</w:t>
      </w:r>
      <w:r>
        <w:rPr>
          <w:bCs/>
          <w:b/>
        </w:rPr>
        <w:t xml:space="preserve">”</w:t>
      </w:r>
      <w:r>
        <w:t xml:space="preserve"> </w:t>
      </w:r>
      <w:r>
        <w:t xml:space="preserve">Designers must say out loud how much traffic they expect and what kinds of failure they expect to survive. A design that is silent about these is not finished.</w:t>
      </w:r>
    </w:p>
    <w:bookmarkStart w:id="26" w:name="why-does-this-exist"/>
    <w:p>
      <w:pPr>
        <w:pStyle w:val="Heading4"/>
      </w:pPr>
      <w:r>
        <w:t xml:space="preserve">Why does this exist?</w:t>
      </w:r>
    </w:p>
    <w:p>
      <w:pPr>
        <w:pStyle w:val="FirstParagraph"/>
      </w:pPr>
      <w:r>
        <w:t xml:space="preserve">For most of computing history, a program ran on one machine. Today almost any useful service must handle more data, more users and more failure than one machine can. A modern commodity server fails on the order of once every few years; a fleet of thousands therefore sees failures every day</w:t>
      </w:r>
      <w:r>
        <w:t xml:space="preserve"> </w:t>
      </w:r>
      <w:hyperlink r:id="rId25">
        <w:r>
          <w:rPr>
            <w:rStyle w:val="Hyperlink"/>
          </w:rPr>
          <w:t xml:space="preserve">Barroso et al. 2018</w:t>
        </w:r>
      </w:hyperlink>
      <w:r>
        <w:t xml:space="preserve">. Users are spread across continents, and light in optical fiber needs roughly 5 ms per 1,000 km one way, so a single location cannot be fast for everyone (see §7.15 (Latency, bandwidth, BDP, packet loss)). Regulations require some data to stay in certain countries. Each of these forces pushes the system apart into multiple components, and the moment you have multiple components you must decide how they divide the work, how they talk, and what happens when one of them stops. System design exists because those decisions are hard to get right, expensive to get wrong and impossible to avoid.</w:t>
      </w:r>
    </w:p>
    <w:bookmarkEnd w:id="26"/>
    <w:bookmarkStart w:id="27" w:name="how-it-works-internally"/>
    <w:p>
      <w:pPr>
        <w:pStyle w:val="Heading4"/>
      </w:pPr>
      <w:r>
        <w:t xml:space="preserve">How it works internally</w:t>
      </w:r>
    </w:p>
    <w:p>
      <w:pPr>
        <w:pStyle w:val="FirstParagraph"/>
      </w:pPr>
      <w:r>
        <w:t xml:space="preserve">System design is iterative, but in practice most designers follow a loop like this:</w:t>
      </w:r>
    </w:p>
    <w:p>
      <w:pPr>
        <w:numPr>
          <w:ilvl w:val="0"/>
          <w:numId w:val="1004"/>
        </w:numPr>
        <w:pStyle w:val="Compact"/>
      </w:pPr>
      <w:r>
        <w:rPr>
          <w:bCs/>
          <w:b/>
        </w:rPr>
        <w:t xml:space="preserve">Understand the problem.</w:t>
      </w:r>
      <w:r>
        <w:t xml:space="preserve"> </w:t>
      </w:r>
      <w:r>
        <w:t xml:space="preserve">Who are the users? What must the system do (functional requirements, §1.6)? How well must it do it (non-functional requirements, §1.7)?</w:t>
      </w:r>
    </w:p>
    <w:p>
      <w:pPr>
        <w:numPr>
          <w:ilvl w:val="0"/>
          <w:numId w:val="1004"/>
        </w:numPr>
        <w:pStyle w:val="Compact"/>
      </w:pPr>
      <w:r>
        <w:rPr>
          <w:bCs/>
          <w:b/>
        </w:rPr>
        <w:t xml:space="preserve">Quantify.</w:t>
      </w:r>
      <w:r>
        <w:t xml:space="preserve"> </w:t>
      </w:r>
      <w:r>
        <w:t xml:space="preserve">Estimate users, request rates, data sizes and growth (back-of-the-envelope estimation; see §2.11 and Ch 89).</w:t>
      </w:r>
    </w:p>
    <w:p>
      <w:pPr>
        <w:numPr>
          <w:ilvl w:val="0"/>
          <w:numId w:val="1004"/>
        </w:numPr>
        <w:pStyle w:val="Compact"/>
      </w:pPr>
      <w:r>
        <w:rPr>
          <w:bCs/>
          <w:b/>
        </w:rPr>
        <w:t xml:space="preserve">Propose a simple design.</w:t>
      </w:r>
      <w:r>
        <w:t xml:space="preserve"> </w:t>
      </w:r>
      <w:r>
        <w:t xml:space="preserve">Start with the smallest design that could work: a client, a service, a database.</w:t>
      </w:r>
    </w:p>
    <w:p>
      <w:pPr>
        <w:numPr>
          <w:ilvl w:val="0"/>
          <w:numId w:val="1004"/>
        </w:numPr>
        <w:pStyle w:val="Compact"/>
      </w:pPr>
      <w:r>
        <w:rPr>
          <w:bCs/>
          <w:b/>
        </w:rPr>
        <w:t xml:space="preserve">Stress the design against the requirements.</w:t>
      </w:r>
      <w:r>
        <w:t xml:space="preserve"> </w:t>
      </w:r>
      <w:r>
        <w:t xml:space="preserve">Where does it break first — CPU, memory, disk, network, a single point of failure, a consistency rule? (See §2.6 (Identifying bottlenecks).)</w:t>
      </w:r>
    </w:p>
    <w:p>
      <w:pPr>
        <w:numPr>
          <w:ilvl w:val="0"/>
          <w:numId w:val="1004"/>
        </w:numPr>
        <w:pStyle w:val="Compact"/>
      </w:pPr>
      <w:r>
        <w:rPr>
          <w:bCs/>
          <w:b/>
        </w:rPr>
        <w:t xml:space="preserve">Evolve the design.</w:t>
      </w:r>
      <w:r>
        <w:t xml:space="preserve"> </w:t>
      </w:r>
      <w:r>
        <w:t xml:space="preserve">Add or change components to fix the weakest point, noting what each change costs.</w:t>
      </w:r>
    </w:p>
    <w:p>
      <w:pPr>
        <w:numPr>
          <w:ilvl w:val="0"/>
          <w:numId w:val="1004"/>
        </w:numPr>
        <w:pStyle w:val="Compact"/>
      </w:pPr>
      <w:r>
        <w:rPr>
          <w:bCs/>
          <w:b/>
        </w:rPr>
        <w:t xml:space="preserve">Record decisions</w:t>
      </w:r>
      <w:r>
        <w:t xml:space="preserve"> </w:t>
      </w:r>
      <w:r>
        <w:t xml:space="preserve">and their rationale (ADRs, §1.8), and communicate the design (design docs, §1.10).</w:t>
      </w:r>
    </w:p>
    <w:p>
      <w:pPr>
        <w:numPr>
          <w:ilvl w:val="0"/>
          <w:numId w:val="1004"/>
        </w:numPr>
        <w:pStyle w:val="Compact"/>
      </w:pPr>
      <w:r>
        <w:rPr>
          <w:bCs/>
          <w:b/>
        </w:rPr>
        <w:t xml:space="preserve">Validate in production</w:t>
      </w:r>
      <w:r>
        <w:t xml:space="preserve"> </w:t>
      </w:r>
      <w:r>
        <w:t xml:space="preserve">with monitoring, load tests and incidents, and feed what you learn back into step 1.</w:t>
      </w:r>
    </w:p>
    <w:bookmarkEnd w:id="27"/>
    <w:bookmarkStart w:id="31" w:name="architecture-diagram"/>
    <w:p>
      <w:pPr>
        <w:pStyle w:val="Heading4"/>
      </w:pPr>
      <w:r>
        <w:t xml:space="preserve">Architecture diagram</w:t>
      </w:r>
    </w:p>
    <w:p>
      <w:pPr>
        <w:pStyle w:val="FirstParagraph"/>
      </w:pPr>
      <w:r>
        <w:t xml:space="preserve">Here is PhotoShare on launch day. Everything runs on one rented virtual machine.</w:t>
      </w:r>
    </w:p>
    <w:p>
      <w:pPr>
        <w:pStyle w:val="BodyText"/>
      </w:pPr>
      <w:r>
        <w:rPr>
          <w:bCs/>
          <w:b/>
        </w:rPr>
        <w:t xml:space="preserve">Figure 1.1 — PhotoShare v0: a single-server design.</w:t>
      </w:r>
    </w:p>
    <w:p>
      <w:pPr>
        <w:pStyle w:val="BodyText"/>
      </w:pPr>
      <w:r>
        <w:drawing>
          <wp:inline>
            <wp:extent cx="5334000" cy="1395634"/>
            <wp:effectExtent b="0" l="0" r="0" t="0"/>
            <wp:docPr descr="" title="" id="29" name="Picture"/>
            <a:graphic>
              <a:graphicData uri="http://schemas.openxmlformats.org/drawingml/2006/picture">
                <pic:pic>
                  <pic:nvPicPr>
                    <pic:cNvPr descr="/home/user/System-Design/build/.cache/diagrams/ac2e0633b4a8.png" id="30" name="Picture"/>
                    <pic:cNvPicPr>
                      <a:picLocks noChangeArrowheads="1" noChangeAspect="1"/>
                    </pic:cNvPicPr>
                  </pic:nvPicPr>
                  <pic:blipFill>
                    <a:blip r:embed="rId28"/>
                    <a:stretch>
                      <a:fillRect/>
                    </a:stretch>
                  </pic:blipFill>
                  <pic:spPr bwMode="auto">
                    <a:xfrm>
                      <a:off x="0" y="0"/>
                      <a:ext cx="5334000" cy="1395634"/>
                    </a:xfrm>
                    <a:prstGeom prst="rect">
                      <a:avLst/>
                    </a:prstGeom>
                    <a:noFill/>
                    <a:ln w="9525">
                      <a:noFill/>
                      <a:headEnd/>
                      <a:tailEnd/>
                    </a:ln>
                  </pic:spPr>
                </pic:pic>
              </a:graphicData>
            </a:graphic>
          </wp:inline>
        </w:drawing>
      </w:r>
    </w:p>
    <w:p>
      <w:pPr>
        <w:pStyle w:val="BodyText"/>
      </w:pPr>
      <w:r>
        <w:rPr>
          <w:bCs/>
          <w:b/>
        </w:rPr>
        <w:t xml:space="preserve">Reading the diagram.</w:t>
      </w:r>
    </w:p>
    <w:p>
      <w:pPr>
        <w:numPr>
          <w:ilvl w:val="0"/>
          <w:numId w:val="1005"/>
        </w:numPr>
        <w:pStyle w:val="Compact"/>
      </w:pPr>
      <w:r>
        <w:rPr>
          <w:bCs/>
          <w:b/>
        </w:rPr>
        <w:t xml:space="preserve">Components.</w:t>
      </w:r>
      <w:r>
        <w:t xml:space="preserve"> </w:t>
      </w:r>
      <w:r>
        <w:t xml:space="preserve">A</w:t>
      </w:r>
      <w:r>
        <w:t xml:space="preserve"> </w:t>
      </w:r>
      <w:r>
        <w:rPr>
          <w:iCs/>
          <w:i/>
        </w:rPr>
        <w:t xml:space="preserve">client</w:t>
      </w:r>
      <w:r>
        <w:t xml:space="preserve"> </w:t>
      </w:r>
      <w:r>
        <w:t xml:space="preserve">(the mobile app or browser), a</w:t>
      </w:r>
      <w:r>
        <w:t xml:space="preserve"> </w:t>
      </w:r>
      <w:r>
        <w:rPr>
          <w:iCs/>
          <w:i/>
        </w:rPr>
        <w:t xml:space="preserve">web server</w:t>
      </w:r>
      <w:r>
        <w:t xml:space="preserve"> </w:t>
      </w:r>
      <w:r>
        <w:t xml:space="preserve">that terminates HTTPS and serves static files, the</w:t>
      </w:r>
      <w:r>
        <w:t xml:space="preserve"> </w:t>
      </w:r>
      <w:r>
        <w:rPr>
          <w:iCs/>
          <w:i/>
        </w:rPr>
        <w:t xml:space="preserve">PhotoShare application</w:t>
      </w:r>
      <w:r>
        <w:t xml:space="preserve"> </w:t>
      </w:r>
      <w:r>
        <w:t xml:space="preserve">(business logic: sign-up, upload, feed), a</w:t>
      </w:r>
      <w:r>
        <w:t xml:space="preserve"> </w:t>
      </w:r>
      <w:r>
        <w:rPr>
          <w:iCs/>
          <w:i/>
        </w:rPr>
        <w:t xml:space="preserve">relational database</w:t>
      </w:r>
      <w:r>
        <w:t xml:space="preserve"> </w:t>
      </w:r>
      <w:r>
        <w:t xml:space="preserve">holding users, follows and photo metadata, and the</w:t>
      </w:r>
      <w:r>
        <w:t xml:space="preserve"> </w:t>
      </w:r>
      <w:r>
        <w:rPr>
          <w:iCs/>
          <w:i/>
        </w:rPr>
        <w:t xml:space="preserve">local disk</w:t>
      </w:r>
      <w:r>
        <w:t xml:space="preserve"> </w:t>
      </w:r>
      <w:r>
        <w:t xml:space="preserve">holding the photo files themselves.</w:t>
      </w:r>
    </w:p>
    <w:p>
      <w:pPr>
        <w:numPr>
          <w:ilvl w:val="0"/>
          <w:numId w:val="1005"/>
        </w:numPr>
        <w:pStyle w:val="Compact"/>
      </w:pPr>
      <w:r>
        <w:rPr>
          <w:bCs/>
          <w:b/>
        </w:rPr>
        <w:t xml:space="preserve">Protocols.</w:t>
      </w:r>
      <w:r>
        <w:t xml:space="preserve"> </w:t>
      </w:r>
      <w:r>
        <w:t xml:space="preserve">The client speaks HTTPS to the web server. Inside the machine, the application talks to the database over a local socket using SQL and reads and writes photo files through the operating system’s file system.</w:t>
      </w:r>
    </w:p>
    <w:p>
      <w:pPr>
        <w:numPr>
          <w:ilvl w:val="0"/>
          <w:numId w:val="1005"/>
        </w:numPr>
        <w:pStyle w:val="Compact"/>
      </w:pPr>
      <w:r>
        <w:rPr>
          <w:bCs/>
          <w:b/>
        </w:rPr>
        <w:t xml:space="preserve">Direction of data flow.</w:t>
      </w:r>
      <w:r>
        <w:t xml:space="preserve"> </w:t>
      </w:r>
      <w:r>
        <w:t xml:space="preserve">Uploads flow left to right: client → web server → application → database row plus file on disk. Feed requests flow the same way and responses return along the same path.</w:t>
      </w:r>
    </w:p>
    <w:p>
      <w:pPr>
        <w:numPr>
          <w:ilvl w:val="0"/>
          <w:numId w:val="1005"/>
        </w:numPr>
        <w:pStyle w:val="Compact"/>
      </w:pPr>
      <w:r>
        <w:rPr>
          <w:bCs/>
          <w:b/>
        </w:rPr>
        <w:t xml:space="preserve">Synchronous vs asynchronous.</w:t>
      </w:r>
      <w:r>
        <w:t xml:space="preserve"> </w:t>
      </w:r>
      <w:r>
        <w:t xml:space="preserve">Every arrow is solid: every step is synchronous. The client waits while the application stores the photo and generates any thumbnails.</w:t>
      </w:r>
    </w:p>
    <w:p>
      <w:pPr>
        <w:numPr>
          <w:ilvl w:val="0"/>
          <w:numId w:val="1005"/>
        </w:numPr>
        <w:pStyle w:val="Compact"/>
      </w:pPr>
      <w:r>
        <w:rPr>
          <w:bCs/>
          <w:b/>
        </w:rPr>
        <w:t xml:space="preserve">Storage boundaries.</w:t>
      </w:r>
      <w:r>
        <w:t xml:space="preserve"> </w:t>
      </w:r>
      <w:r>
        <w:t xml:space="preserve">All state — rows and files — lives on one machine’s disk. The</w:t>
      </w:r>
      <w:r>
        <w:t xml:space="preserve"> </w:t>
      </w:r>
      <w:r>
        <w:rPr>
          <w:iCs/>
          <w:i/>
        </w:rPr>
        <w:t xml:space="preserve">subgraph</w:t>
      </w:r>
      <w:r>
        <w:t xml:space="preserve"> </w:t>
      </w:r>
      <w:r>
        <w:t xml:space="preserve">is the deployment boundary: everything inside shares one fate.</w:t>
      </w:r>
    </w:p>
    <w:p>
      <w:pPr>
        <w:numPr>
          <w:ilvl w:val="0"/>
          <w:numId w:val="1005"/>
        </w:numPr>
        <w:pStyle w:val="Compact"/>
      </w:pPr>
      <w:r>
        <w:rPr>
          <w:bCs/>
          <w:b/>
        </w:rPr>
        <w:t xml:space="preserve">Failure points.</w:t>
      </w:r>
      <w:r>
        <w:t xml:space="preserve"> </w:t>
      </w:r>
      <w:r>
        <w:t xml:space="preserve">The virtual machine is a</w:t>
      </w:r>
      <w:r>
        <w:t xml:space="preserve"> </w:t>
      </w:r>
      <w:r>
        <w:rPr>
          <w:bCs/>
          <w:b/>
        </w:rPr>
        <w:t xml:space="preserve">single point of failure (SPOF)</w:t>
      </w:r>
      <w:r>
        <w:t xml:space="preserve">: if it reboots, crashes, or its disk fails, PhotoShare is completely down, and photos may be lost if there is no backup.</w:t>
      </w:r>
    </w:p>
    <w:p>
      <w:pPr>
        <w:numPr>
          <w:ilvl w:val="0"/>
          <w:numId w:val="1005"/>
        </w:numPr>
        <w:pStyle w:val="Compact"/>
      </w:pPr>
      <w:r>
        <w:rPr>
          <w:bCs/>
          <w:b/>
        </w:rPr>
        <w:t xml:space="preserve">Scaling options.</w:t>
      </w:r>
      <w:r>
        <w:t xml:space="preserve"> </w:t>
      </w:r>
      <w:r>
        <w:t xml:space="preserve">The only option without redesign is</w:t>
      </w:r>
      <w:r>
        <w:t xml:space="preserve"> </w:t>
      </w:r>
      <w:r>
        <w:rPr>
          <w:bCs/>
          <w:b/>
        </w:rPr>
        <w:t xml:space="preserve">vertical scaling</w:t>
      </w:r>
      <w:r>
        <w:t xml:space="preserve"> </w:t>
      </w:r>
      <w:r>
        <w:t xml:space="preserve">— renting a bigger machine (see §18.3). That buys time but has a ceiling and does not remove the SPOF.</w:t>
      </w:r>
    </w:p>
    <w:p>
      <w:pPr>
        <w:pStyle w:val="FirstParagraph"/>
      </w:pPr>
      <w:r>
        <w:t xml:space="preserve">This design is not a mistake. For a launch with 1,000 users it is the</w:t>
      </w:r>
      <w:r>
        <w:t xml:space="preserve"> </w:t>
      </w:r>
      <w:r>
        <w:rPr>
          <w:iCs/>
          <w:i/>
        </w:rPr>
        <w:t xml:space="preserve">right</w:t>
      </w:r>
      <w:r>
        <w:t xml:space="preserve"> </w:t>
      </w:r>
      <w:r>
        <w:t xml:space="preserve">design: cheap, simple, and easy to change. The rest of the chapter shows which requirements eventually break it.</w:t>
      </w:r>
    </w:p>
    <w:bookmarkEnd w:id="31"/>
    <w:bookmarkStart w:id="32" w:name="mathematical-foundations"/>
    <w:p>
      <w:pPr>
        <w:pStyle w:val="Heading4"/>
      </w:pPr>
      <w:r>
        <w:t xml:space="preserve">Mathematical foundations</w:t>
      </w:r>
    </w:p>
    <w:p>
      <w:pPr>
        <w:pStyle w:val="FirstParagraph"/>
      </w:pPr>
      <w:r>
        <w:t xml:space="preserve">The first quantitative question in any design is</w:t>
      </w:r>
      <w:r>
        <w:t xml:space="preserve"> </w:t>
      </w:r>
      <w:r>
        <w:t xml:space="preserve">“</w:t>
      </w:r>
      <w:r>
        <w:t xml:space="preserve">how much load?</w:t>
      </w:r>
      <w:r>
        <w:t xml:space="preserve">”</w:t>
      </w:r>
      <w:r>
        <w:t xml:space="preserve"> </w:t>
      </w:r>
      <w:r>
        <w:t xml:space="preserve">The simplest useful formula converts daily activity into a request rate.</w:t>
      </w:r>
    </w:p>
    <w:p>
      <w:pPr>
        <w:pStyle w:val="CalloutFormula"/>
      </w:pPr>
      <w:r>
        <w:rPr>
          <w:bCs/>
          <w:b/>
        </w:rPr>
        <w:t xml:space="preserve">FORMULA</w:t>
      </w:r>
    </w:p>
    <w:p>
      <w:pPr>
        <w:pStyle w:val="CalloutFormula"/>
      </w:pPr>
      <w:r>
        <w:rPr>
          <w:bCs/>
          <w:b/>
        </w:rPr>
        <w:t xml:space="preserve">Average and peak request rate</w:t>
      </w:r>
    </w:p>
    <w:p>
      <w:pPr>
        <w:pStyle w:val="CalloutFormula"/>
      </w:pPr>
      <m:oMathPara>
        <m:oMathParaPr>
          <m:jc m:val="center"/>
        </m:oMathParaPr>
        <m:oMath>
          <m:sSub>
            <m:e>
              <m:r>
                <m:rPr>
                  <m:nor/>
                  <m:sty m:val="p"/>
                </m:rPr>
                <m:t>RPS</m:t>
              </m:r>
            </m:e>
            <m:sub>
              <m:r>
                <m:rPr>
                  <m:nor/>
                  <m:sty m:val="p"/>
                </m:rPr>
                <m:t>avg</m:t>
              </m:r>
            </m:sub>
          </m:sSub>
          <m:r>
            <m:rPr>
              <m:sty m:val="p"/>
            </m:rPr>
            <m:t>=</m:t>
          </m:r>
          <m:f>
            <m:fPr>
              <m:type m:val="bar"/>
            </m:fPr>
            <m:num>
              <m:r>
                <m:rPr>
                  <m:nor/>
                  <m:sty m:val="p"/>
                </m:rPr>
                <m:t>DAU</m:t>
              </m:r>
              <m:r>
                <m:rPr>
                  <m:sty m:val="p"/>
                </m:rPr>
                <m:t>×</m:t>
              </m:r>
              <m:r>
                <m:t>r</m:t>
              </m:r>
            </m:num>
            <m:den>
              <m:r>
                <m:t>86</m:t>
              </m:r>
              <m:r>
                <m:rPr>
                  <m:sty m:val="p"/>
                </m:rPr>
                <m:t>,</m:t>
              </m:r>
              <m:r>
                <m:t>400</m:t>
              </m:r>
            </m:den>
          </m:f>
          <m:r>
            <m:t>  </m:t>
          </m:r>
          <m:sSub>
            <m:e>
              <m:r>
                <m:rPr>
                  <m:nor/>
                  <m:sty m:val="p"/>
                </m:rPr>
                <m:t>RPS</m:t>
              </m:r>
            </m:e>
            <m:sub>
              <m:r>
                <m:rPr>
                  <m:nor/>
                  <m:sty m:val="p"/>
                </m:rPr>
                <m:t>peak</m:t>
              </m:r>
            </m:sub>
          </m:sSub>
          <m:r>
            <m:rPr>
              <m:sty m:val="p"/>
            </m:rPr>
            <m:t>=</m:t>
          </m:r>
          <m:r>
            <m:t>k</m:t>
          </m:r>
          <m:r>
            <m:rPr>
              <m:sty m:val="p"/>
            </m:rPr>
            <m:t>×</m:t>
          </m:r>
          <m:sSub>
            <m:e>
              <m:r>
                <m:rPr>
                  <m:nor/>
                  <m:sty m:val="p"/>
                </m:rPr>
                <m:t>RPS</m:t>
              </m:r>
            </m:e>
            <m:sub>
              <m:r>
                <m:rPr>
                  <m:nor/>
                  <m:sty m:val="p"/>
                </m:rPr>
                <m:t>avg</m:t>
              </m:r>
            </m:sub>
          </m:sSub>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rPr>
                      <m:nor/>
                      <m:sty m:val="p"/>
                    </m:rPr>
                    <m:t>RPS</m:t>
                  </m:r>
                </m:e>
                <m:sub>
                  <m:r>
                    <m:rPr>
                      <m:nor/>
                      <m:sty m:val="p"/>
                    </m:rPr>
                    <m:t>avg</m:t>
                  </m:r>
                </m:sub>
              </m:sSub>
            </m:oMath>
          </w:p>
        </w:tc>
        <w:tc>
          <w:tcPr/>
          <w:p>
            <w:pPr>
              <w:pStyle w:val="Compact"/>
              <w:jc w:val="left"/>
            </w:pPr>
            <w:r>
              <w:t xml:space="preserve">Average request rate over a day</w:t>
            </w:r>
          </w:p>
        </w:tc>
        <w:tc>
          <w:tcPr/>
          <w:p>
            <w:pPr>
              <w:pStyle w:val="Compact"/>
              <w:jc w:val="left"/>
            </w:pPr>
            <w:r>
              <w:t xml:space="preserve">requests/second</w:t>
            </w:r>
          </w:p>
        </w:tc>
      </w:tr>
      <w:tr>
        <w:tc>
          <w:tcPr/>
          <w:p>
            <w:pPr>
              <w:pStyle w:val="Compact"/>
              <w:jc w:val="left"/>
            </w:pPr>
            <m:oMath>
              <m:r>
                <m:rPr>
                  <m:nor/>
                  <m:sty m:val="p"/>
                </m:rPr>
                <m:t>DAU</m:t>
              </m:r>
            </m:oMath>
          </w:p>
        </w:tc>
        <w:tc>
          <w:tcPr/>
          <w:p>
            <w:pPr>
              <w:pStyle w:val="Compact"/>
              <w:jc w:val="left"/>
            </w:pPr>
            <w:r>
              <w:t xml:space="preserve">Daily active users</w:t>
            </w:r>
          </w:p>
        </w:tc>
        <w:tc>
          <w:tcPr/>
          <w:p>
            <w:pPr>
              <w:pStyle w:val="Compact"/>
              <w:jc w:val="left"/>
            </w:pPr>
            <w:r>
              <w:t xml:space="preserve">users</w:t>
            </w:r>
          </w:p>
        </w:tc>
      </w:tr>
      <w:tr>
        <w:tc>
          <w:tcPr/>
          <w:p>
            <w:pPr>
              <w:pStyle w:val="Compact"/>
              <w:jc w:val="left"/>
            </w:pPr>
            <m:oMath>
              <m:r>
                <m:t>r</m:t>
              </m:r>
            </m:oMath>
          </w:p>
        </w:tc>
        <w:tc>
          <w:tcPr/>
          <w:p>
            <w:pPr>
              <w:pStyle w:val="Compact"/>
              <w:jc w:val="left"/>
            </w:pPr>
            <w:r>
              <w:t xml:space="preserve">Requests (of the type being estimated) per user per day</w:t>
            </w:r>
          </w:p>
        </w:tc>
        <w:tc>
          <w:tcPr/>
          <w:p>
            <w:pPr>
              <w:pStyle w:val="Compact"/>
              <w:jc w:val="left"/>
            </w:pPr>
            <w:r>
              <w:t xml:space="preserve">requests/user/day</w:t>
            </w:r>
          </w:p>
        </w:tc>
      </w:tr>
      <w:tr>
        <w:tc>
          <w:tcPr/>
          <w:p>
            <w:pPr>
              <w:pStyle w:val="Compact"/>
              <w:jc w:val="left"/>
            </w:pPr>
            <m:oMath>
              <m:r>
                <m:t>86</m:t>
              </m:r>
              <m:r>
                <m:rPr>
                  <m:sty m:val="p"/>
                </m:rPr>
                <m:t>,</m:t>
              </m:r>
              <m:r>
                <m:t>400</m:t>
              </m:r>
            </m:oMath>
          </w:p>
        </w:tc>
        <w:tc>
          <w:tcPr/>
          <w:p>
            <w:pPr>
              <w:pStyle w:val="Compact"/>
              <w:jc w:val="left"/>
            </w:pPr>
            <w:r>
              <w:t xml:space="preserve">Seconds in a day</w:t>
            </w:r>
          </w:p>
        </w:tc>
        <w:tc>
          <w:tcPr/>
          <w:p>
            <w:pPr>
              <w:pStyle w:val="Compact"/>
              <w:jc w:val="left"/>
            </w:pPr>
            <w:r>
              <w:t xml:space="preserve">seconds/day</w:t>
            </w:r>
          </w:p>
        </w:tc>
      </w:tr>
      <w:tr>
        <w:tc>
          <w:tcPr/>
          <w:p>
            <w:pPr>
              <w:pStyle w:val="Compact"/>
              <w:jc w:val="left"/>
            </w:pPr>
            <m:oMath>
              <m:r>
                <m:t>k</m:t>
              </m:r>
            </m:oMath>
          </w:p>
        </w:tc>
        <w:tc>
          <w:tcPr/>
          <w:p>
            <w:pPr>
              <w:pStyle w:val="Compact"/>
              <w:jc w:val="left"/>
            </w:pPr>
            <w:r>
              <w:t xml:space="preserve">Peak factor: ratio of the busiest period’s rate to the daily average (dimensionless; 2–5 is a common assumption for consumer apps)</w:t>
            </w:r>
          </w:p>
        </w:tc>
        <w:tc>
          <w:tcPr/>
          <w:p>
            <w:pPr>
              <w:pStyle w:val="Compact"/>
              <w:jc w:val="left"/>
            </w:pPr>
            <w:r>
              <w:t xml:space="preserve">—</w:t>
            </w:r>
          </w:p>
        </w:tc>
      </w:tr>
      <w:tr>
        <w:tc>
          <w:tcPr/>
          <w:p>
            <w:pPr>
              <w:pStyle w:val="Compact"/>
              <w:jc w:val="left"/>
            </w:pPr>
            <m:oMath>
              <m:sSub>
                <m:e>
                  <m:r>
                    <m:rPr>
                      <m:nor/>
                      <m:sty m:val="p"/>
                    </m:rPr>
                    <m:t>RPS</m:t>
                  </m:r>
                </m:e>
                <m:sub>
                  <m:r>
                    <m:rPr>
                      <m:nor/>
                      <m:sty m:val="p"/>
                    </m:rPr>
                    <m:t>peak</m:t>
                  </m:r>
                </m:sub>
              </m:sSub>
            </m:oMath>
          </w:p>
        </w:tc>
        <w:tc>
          <w:tcPr/>
          <w:p>
            <w:pPr>
              <w:pStyle w:val="Compact"/>
              <w:jc w:val="left"/>
            </w:pPr>
            <w:r>
              <w:t xml:space="preserve">Request rate during the busiest period</w:t>
            </w:r>
          </w:p>
        </w:tc>
        <w:tc>
          <w:tcPr/>
          <w:p>
            <w:pPr>
              <w:pStyle w:val="Compact"/>
              <w:jc w:val="left"/>
            </w:pPr>
            <w:r>
              <w:t xml:space="preserve">requests/second</w:t>
            </w:r>
          </w:p>
        </w:tc>
      </w:tr>
    </w:tbl>
    <w:p>
      <w:pPr>
        <w:pStyle w:val="BodyText"/>
      </w:pPr>
      <w:r>
        <w:rPr>
          <w:bCs/>
          <w:b/>
        </w:rPr>
        <w:t xml:space="preserve">RPS</w:t>
      </w:r>
      <w:r>
        <w:t xml:space="preserve"> </w:t>
      </w:r>
      <w:r>
        <w:t xml:space="preserve">(requests per second) is the canonical unit in this book; you will also see</w:t>
      </w:r>
      <w:r>
        <w:t xml:space="preserve"> </w:t>
      </w:r>
      <w:r>
        <w:rPr>
          <w:bCs/>
          <w:b/>
        </w:rPr>
        <w:t xml:space="preserve">QPS</w:t>
      </w:r>
      <w:r>
        <w:t xml:space="preserve"> </w:t>
      </w:r>
      <w:r>
        <w:t xml:space="preserve">(queries per second) used as a synonym.</w:t>
      </w:r>
    </w:p>
    <w:p>
      <w:pPr>
        <w:pStyle w:val="CalloutExample"/>
      </w:pPr>
      <w:r>
        <w:rPr>
          <w:bCs/>
          <w:b/>
        </w:rPr>
        <w:t xml:space="preserve">WORKED EXAMPLE</w:t>
      </w:r>
    </w:p>
    <w:p>
      <w:pPr>
        <w:pStyle w:val="CalloutExample"/>
      </w:pPr>
      <w:r>
        <w:rPr>
          <w:bCs/>
          <w:b/>
        </w:rPr>
        <w:t xml:space="preserve">Worked example — PhotoShare on launch day.</w:t>
      </w:r>
    </w:p>
    <w:p>
      <w:pPr>
        <w:pStyle w:val="CalloutExample"/>
      </w:pPr>
      <w:r>
        <w:t xml:space="preserve">Assumptions (stated, as always): 1,000 DAU; each user views 50 photos per day; peak factor</w:t>
      </w:r>
      <w:r>
        <w:t xml:space="preserve"> </w:t>
      </w:r>
      <m:oMath>
        <m:r>
          <m:t>k</m:t>
        </m:r>
        <m:r>
          <m:rPr>
            <m:sty m:val="p"/>
          </m:rPr>
          <m:t>=</m:t>
        </m:r>
        <m:r>
          <m:t>3</m:t>
        </m:r>
      </m:oMath>
      <w:r>
        <w:t xml:space="preserve">.</w:t>
      </w:r>
    </w:p>
    <w:p>
      <w:pPr>
        <w:numPr>
          <w:ilvl w:val="0"/>
          <w:numId w:val="1006"/>
        </w:numPr>
        <w:pStyle w:val="Compact"/>
      </w:pPr>
      <w:r>
        <w:t xml:space="preserve">Daily photo views:</w:t>
      </w:r>
      <w:r>
        <w:t xml:space="preserve"> </w:t>
      </w:r>
      <m:oMath>
        <m:r>
          <m:t>1</m:t>
        </m:r>
        <m:r>
          <m:rPr>
            <m:sty m:val="p"/>
          </m:rPr>
          <m:t>,</m:t>
        </m:r>
        <m:r>
          <m:t>000</m:t>
        </m:r>
        <m:r>
          <m:rPr>
            <m:sty m:val="p"/>
          </m:rPr>
          <m:t>×</m:t>
        </m:r>
        <m:r>
          <m:t>50</m:t>
        </m:r>
        <m:r>
          <m:rPr>
            <m:sty m:val="p"/>
          </m:rPr>
          <m:t>=</m:t>
        </m:r>
        <m:r>
          <m:t>50</m:t>
        </m:r>
        <m:r>
          <m:rPr>
            <m:sty m:val="p"/>
          </m:rPr>
          <m:t>,</m:t>
        </m:r>
        <m:r>
          <m:t>000</m:t>
        </m:r>
      </m:oMath>
      <w:r>
        <w:t xml:space="preserve"> </w:t>
      </w:r>
      <w:r>
        <w:t xml:space="preserve">views/day.</w:t>
      </w:r>
    </w:p>
    <w:p>
      <w:pPr>
        <w:numPr>
          <w:ilvl w:val="0"/>
          <w:numId w:val="1006"/>
        </w:numPr>
        <w:pStyle w:val="Compact"/>
      </w:pPr>
      <w:r>
        <w:t xml:space="preserve">Average rate:</w:t>
      </w:r>
      <w:r>
        <w:t xml:space="preserve"> </w:t>
      </w:r>
      <m:oMath>
        <m:r>
          <m:t>50</m:t>
        </m:r>
        <m:r>
          <m:rPr>
            <m:sty m:val="p"/>
          </m:rPr>
          <m:t>,</m:t>
        </m:r>
        <m:r>
          <m:t>000</m:t>
        </m:r>
        <m:r>
          <m:rPr>
            <m:sty m:val="p"/>
          </m:rPr>
          <m:t>/</m:t>
        </m:r>
        <m:r>
          <m:t>86</m:t>
        </m:r>
        <m:r>
          <m:rPr>
            <m:sty m:val="p"/>
          </m:rPr>
          <m:t>,</m:t>
        </m:r>
        <m:r>
          <m:t>400</m:t>
        </m:r>
        <m:r>
          <m:rPr>
            <m:sty m:val="p"/>
          </m:rPr>
          <m:t>≈</m:t>
        </m:r>
        <m:r>
          <m:t>0.58</m:t>
        </m:r>
      </m:oMath>
      <w:r>
        <w:t xml:space="preserve"> </w:t>
      </w:r>
      <w:r>
        <w:t xml:space="preserve">RPS.</w:t>
      </w:r>
    </w:p>
    <w:p>
      <w:pPr>
        <w:numPr>
          <w:ilvl w:val="0"/>
          <w:numId w:val="1006"/>
        </w:numPr>
        <w:pStyle w:val="Compact"/>
      </w:pPr>
      <w:r>
        <w:t xml:space="preserve">Peak rate:</w:t>
      </w:r>
      <w:r>
        <w:t xml:space="preserve"> </w:t>
      </w:r>
      <m:oMath>
        <m:r>
          <m:t>3</m:t>
        </m:r>
        <m:r>
          <m:rPr>
            <m:sty m:val="p"/>
          </m:rPr>
          <m:t>×</m:t>
        </m:r>
        <m:r>
          <m:t>0.58</m:t>
        </m:r>
        <m:r>
          <m:rPr>
            <m:sty m:val="p"/>
          </m:rPr>
          <m:t>≈</m:t>
        </m:r>
        <m:r>
          <m:t>1.7</m:t>
        </m:r>
      </m:oMath>
      <w:r>
        <w:t xml:space="preserve"> </w:t>
      </w:r>
      <w:r>
        <w:t xml:space="preserve">RPS.</w:t>
      </w:r>
    </w:p>
    <w:p>
      <w:pPr>
        <w:pStyle w:val="CalloutExample"/>
      </w:pPr>
      <w:r>
        <w:rPr>
          <w:bCs/>
          <w:b/>
        </w:rPr>
        <w:t xml:space="preserve">Interpretation.</w:t>
      </w:r>
      <w:r>
        <w:t xml:space="preserve"> </w:t>
      </w:r>
      <w:r>
        <w:t xml:space="preserve">Under two requests per second at peak. A single small virtual machine running an ordinary web framework typically handles hundreds of such requests per second (an order-of-magnitude assumption; measure your own stack, see §23.10).</w:t>
      </w:r>
    </w:p>
    <w:p>
      <w:pPr>
        <w:pStyle w:val="CalloutExample"/>
      </w:pPr>
      <w:r>
        <w:rPr>
          <w:bCs/>
          <w:b/>
        </w:rPr>
        <w:t xml:space="preserve">Engineering implication.</w:t>
      </w:r>
      <w:r>
        <w:t xml:space="preserve"> </w:t>
      </w:r>
      <w:r>
        <w:t xml:space="preserve">Any design more complex than Figure 1.1 would be</w:t>
      </w:r>
      <w:r>
        <w:t xml:space="preserve"> </w:t>
      </w:r>
      <w:r>
        <w:rPr>
          <w:iCs/>
          <w:i/>
        </w:rPr>
        <w:t xml:space="preserve">over-engineering</w:t>
      </w:r>
      <w:r>
        <w:t xml:space="preserve"> </w:t>
      </w:r>
      <w:r>
        <w:t xml:space="preserve">at this scale: more cost, more moving parts, more ways to fail, and no benefit users can feel.</w:t>
      </w:r>
    </w:p>
    <w:bookmarkEnd w:id="32"/>
    <w:bookmarkStart w:id="33" w:name="code-example"/>
    <w:p>
      <w:pPr>
        <w:pStyle w:val="Heading4"/>
      </w:pPr>
      <w:r>
        <w:t xml:space="preserve">Code example</w:t>
      </w:r>
    </w:p>
    <w:p>
      <w:pPr>
        <w:pStyle w:val="FirstParagraph"/>
      </w:pPr>
      <w:r>
        <w:t xml:space="preserve">Estimation is arithmetic, but writing it as a tiny program makes your assumptions explicit and easy to change. The same script is reused in §1.9 when PhotoShare grows.</w:t>
      </w:r>
    </w:p>
    <w:p>
      <w:pPr>
        <w:pStyle w:val="SourceCode"/>
      </w:pPr>
      <w:r>
        <w:rPr>
          <w:rStyle w:val="CommentTok"/>
        </w:rPr>
        <w:t xml:space="preserve">"""Back-of-the-envelope estimator for the PhotoShare running example.</w:t>
      </w:r>
      <w:r>
        <w:br/>
      </w:r>
      <w:r>
        <w:br/>
      </w:r>
      <w:r>
        <w:rPr>
          <w:rStyle w:val="CommentTok"/>
        </w:rPr>
        <w:t xml:space="preserve">Uses SI units: 1 MB = 10**6 bytes, 1 TB = 10**12 bytes.</w:t>
      </w:r>
      <w:r>
        <w:br/>
      </w:r>
      <w:r>
        <w:rPr>
          <w:rStyle w:val="CommentTok"/>
        </w:rPr>
        <w:t xml:space="preserve">"""</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br/>
      </w:r>
      <w:r>
        <w:rPr>
          <w:rStyle w:val="NormalTok"/>
        </w:rPr>
        <w:t xml:space="preserve">SECONDS_PER_DAY </w:t>
      </w:r>
      <w:r>
        <w:rPr>
          <w:rStyle w:val="OperatorTok"/>
        </w:rPr>
        <w:t xml:space="preserve">=</w:t>
      </w:r>
      <w:r>
        <w:rPr>
          <w:rStyle w:val="NormalTok"/>
        </w:rPr>
        <w:t xml:space="preserve"> </w:t>
      </w:r>
      <w:r>
        <w:rPr>
          <w:rStyle w:val="DecValTok"/>
        </w:rPr>
        <w:t xml:space="preserve">86_400</w:t>
      </w:r>
      <w:r>
        <w:br/>
      </w:r>
      <w:r>
        <w:br/>
      </w:r>
      <w:r>
        <w:br/>
      </w:r>
      <w:r>
        <w:rPr>
          <w:rStyle w:val="AttributeTok"/>
        </w:rPr>
        <w:t xml:space="preserve">@dataclass</w:t>
      </w:r>
      <w:r>
        <w:br/>
      </w:r>
      <w:r>
        <w:rPr>
          <w:rStyle w:val="KeywordTok"/>
        </w:rPr>
        <w:t xml:space="preserve">class</w:t>
      </w:r>
      <w:r>
        <w:rPr>
          <w:rStyle w:val="NormalTok"/>
        </w:rPr>
        <w:t xml:space="preserve"> Workload:</w:t>
      </w:r>
      <w:r>
        <w:br/>
      </w:r>
      <w:r>
        <w:rPr>
          <w:rStyle w:val="NormalTok"/>
        </w:rPr>
        <w:t xml:space="preserve">    dau: </w:t>
      </w:r>
      <w:r>
        <w:rPr>
          <w:rStyle w:val="BuiltInTok"/>
        </w:rPr>
        <w:t xml:space="preserve">int</w:t>
      </w:r>
      <w:r>
        <w:rPr>
          <w:rStyle w:val="NormalTok"/>
        </w:rPr>
        <w:t xml:space="preserve">                  </w:t>
      </w:r>
      <w:r>
        <w:rPr>
          <w:rStyle w:val="CommentTok"/>
        </w:rPr>
        <w:t xml:space="preserve"># daily active users</w:t>
      </w:r>
      <w:r>
        <w:br/>
      </w:r>
      <w:r>
        <w:rPr>
          <w:rStyle w:val="NormalTok"/>
        </w:rPr>
        <w:t xml:space="preserve">    views_per_user: </w:t>
      </w:r>
      <w:r>
        <w:rPr>
          <w:rStyle w:val="BuiltInTok"/>
        </w:rPr>
        <w:t xml:space="preserve">float</w:t>
      </w:r>
      <w:r>
        <w:rPr>
          <w:rStyle w:val="NormalTok"/>
        </w:rPr>
        <w:t xml:space="preserve">     </w:t>
      </w:r>
      <w:r>
        <w:rPr>
          <w:rStyle w:val="CommentTok"/>
        </w:rPr>
        <w:t xml:space="preserve"># photo views per user per day</w:t>
      </w:r>
      <w:r>
        <w:br/>
      </w:r>
      <w:r>
        <w:rPr>
          <w:rStyle w:val="NormalTok"/>
        </w:rPr>
        <w:t xml:space="preserve">    uploads_per_user: </w:t>
      </w:r>
      <w:r>
        <w:rPr>
          <w:rStyle w:val="BuiltInTok"/>
        </w:rPr>
        <w:t xml:space="preserve">float</w:t>
      </w:r>
      <w:r>
        <w:rPr>
          <w:rStyle w:val="NormalTok"/>
        </w:rPr>
        <w:t xml:space="preserve">   </w:t>
      </w:r>
      <w:r>
        <w:rPr>
          <w:rStyle w:val="CommentTok"/>
        </w:rPr>
        <w:t xml:space="preserve"># photo uploads per user per day</w:t>
      </w:r>
      <w:r>
        <w:br/>
      </w:r>
      <w:r>
        <w:rPr>
          <w:rStyle w:val="NormalTok"/>
        </w:rPr>
        <w:t xml:space="preserve">    stored_bytes_per_upload: </w:t>
      </w:r>
      <w:r>
        <w:rPr>
          <w:rStyle w:val="BuiltInTok"/>
        </w:rPr>
        <w:t xml:space="preserve">int</w:t>
      </w:r>
      <w:r>
        <w:rPr>
          <w:rStyle w:val="NormalTok"/>
        </w:rPr>
        <w:t xml:space="preserve">  </w:t>
      </w:r>
      <w:r>
        <w:rPr>
          <w:rStyle w:val="CommentTok"/>
        </w:rPr>
        <w:t xml:space="preserve"># original + thumbnails, bytes</w:t>
      </w:r>
      <w:r>
        <w:br/>
      </w:r>
      <w:r>
        <w:rPr>
          <w:rStyle w:val="NormalTok"/>
        </w:rPr>
        <w:t xml:space="preserve">    served_bytes_per_view: </w:t>
      </w:r>
      <w:r>
        <w:rPr>
          <w:rStyle w:val="BuiltInTok"/>
        </w:rPr>
        <w:t xml:space="preserve">int</w:t>
      </w:r>
      <w:r>
        <w:rPr>
          <w:rStyle w:val="NormalTok"/>
        </w:rPr>
        <w:t xml:space="preserve">    </w:t>
      </w:r>
      <w:r>
        <w:rPr>
          <w:rStyle w:val="CommentTok"/>
        </w:rPr>
        <w:t xml:space="preserve"># bytes sent to the client per view</w:t>
      </w:r>
      <w:r>
        <w:br/>
      </w:r>
      <w:r>
        <w:rPr>
          <w:rStyle w:val="NormalTok"/>
        </w:rPr>
        <w:t xml:space="preserve">    peak_factor: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3.0</w:t>
      </w:r>
      <w:r>
        <w:rPr>
          <w:rStyle w:val="NormalTok"/>
        </w:rPr>
        <w:t xml:space="preserve">      </w:t>
      </w:r>
      <w:r>
        <w:rPr>
          <w:rStyle w:val="CommentTok"/>
        </w:rPr>
        <w:t xml:space="preserve"># peak-hour rate / daily average rate</w:t>
      </w:r>
      <w:r>
        <w:br/>
      </w:r>
      <w:r>
        <w:br/>
      </w:r>
      <w:r>
        <w:br/>
      </w:r>
      <w:r>
        <w:rPr>
          <w:rStyle w:val="KeywordTok"/>
        </w:rPr>
        <w:t xml:space="preserve">def</w:t>
      </w:r>
      <w:r>
        <w:rPr>
          <w:rStyle w:val="NormalTok"/>
        </w:rPr>
        <w:t xml:space="preserve"> estimate(w: Workload)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views_per_day </w:t>
      </w:r>
      <w:r>
        <w:rPr>
          <w:rStyle w:val="OperatorTok"/>
        </w:rPr>
        <w:t xml:space="preserve">=</w:t>
      </w:r>
      <w:r>
        <w:rPr>
          <w:rStyle w:val="NormalTok"/>
        </w:rPr>
        <w:t xml:space="preserve"> w.dau </w:t>
      </w:r>
      <w:r>
        <w:rPr>
          <w:rStyle w:val="OperatorTok"/>
        </w:rPr>
        <w:t xml:space="preserve">*</w:t>
      </w:r>
      <w:r>
        <w:rPr>
          <w:rStyle w:val="NormalTok"/>
        </w:rPr>
        <w:t xml:space="preserve"> w.views_per_user</w:t>
      </w:r>
      <w:r>
        <w:br/>
      </w:r>
      <w:r>
        <w:rPr>
          <w:rStyle w:val="NormalTok"/>
        </w:rPr>
        <w:t xml:space="preserve">    uploads_per_day </w:t>
      </w:r>
      <w:r>
        <w:rPr>
          <w:rStyle w:val="OperatorTok"/>
        </w:rPr>
        <w:t xml:space="preserve">=</w:t>
      </w:r>
      <w:r>
        <w:rPr>
          <w:rStyle w:val="NormalTok"/>
        </w:rPr>
        <w:t xml:space="preserve"> w.dau </w:t>
      </w:r>
      <w:r>
        <w:rPr>
          <w:rStyle w:val="OperatorTok"/>
        </w:rPr>
        <w:t xml:space="preserve">*</w:t>
      </w:r>
      <w:r>
        <w:rPr>
          <w:rStyle w:val="NormalTok"/>
        </w:rPr>
        <w:t xml:space="preserve"> w.uploads_per_user</w:t>
      </w:r>
      <w:r>
        <w:br/>
      </w:r>
      <w:r>
        <w:rPr>
          <w:rStyle w:val="NormalTok"/>
        </w:rPr>
        <w:t xml:space="preserve">    read_rps </w:t>
      </w:r>
      <w:r>
        <w:rPr>
          <w:rStyle w:val="OperatorTok"/>
        </w:rPr>
        <w:t xml:space="preserve">=</w:t>
      </w:r>
      <w:r>
        <w:rPr>
          <w:rStyle w:val="NormalTok"/>
        </w:rPr>
        <w:t xml:space="preserve"> views_per_day </w:t>
      </w:r>
      <w:r>
        <w:rPr>
          <w:rStyle w:val="OperatorTok"/>
        </w:rPr>
        <w:t xml:space="preserve">/</w:t>
      </w:r>
      <w:r>
        <w:rPr>
          <w:rStyle w:val="NormalTok"/>
        </w:rPr>
        <w:t xml:space="preserve"> SECONDS_PER_DAY</w:t>
      </w:r>
      <w:r>
        <w:br/>
      </w:r>
      <w:r>
        <w:rPr>
          <w:rStyle w:val="NormalTok"/>
        </w:rPr>
        <w:t xml:space="preserve">    write_rps </w:t>
      </w:r>
      <w:r>
        <w:rPr>
          <w:rStyle w:val="OperatorTok"/>
        </w:rPr>
        <w:t xml:space="preserve">=</w:t>
      </w:r>
      <w:r>
        <w:rPr>
          <w:rStyle w:val="NormalTok"/>
        </w:rPr>
        <w:t xml:space="preserve"> uploads_per_day </w:t>
      </w:r>
      <w:r>
        <w:rPr>
          <w:rStyle w:val="OperatorTok"/>
        </w:rPr>
        <w:t xml:space="preserve">/</w:t>
      </w:r>
      <w:r>
        <w:rPr>
          <w:rStyle w:val="NormalTok"/>
        </w:rPr>
        <w:t xml:space="preserve"> SECONDS_PER_DAY</w:t>
      </w:r>
      <w:r>
        <w:br/>
      </w:r>
      <w:r>
        <w:rPr>
          <w:rStyle w:val="NormalTok"/>
        </w:rPr>
        <w:t xml:space="preserve">    storage_per_day </w:t>
      </w:r>
      <w:r>
        <w:rPr>
          <w:rStyle w:val="OperatorTok"/>
        </w:rPr>
        <w:t xml:space="preserve">=</w:t>
      </w:r>
      <w:r>
        <w:rPr>
          <w:rStyle w:val="NormalTok"/>
        </w:rPr>
        <w:t xml:space="preserve"> uploads_per_day </w:t>
      </w:r>
      <w:r>
        <w:rPr>
          <w:rStyle w:val="OperatorTok"/>
        </w:rPr>
        <w:t xml:space="preserve">*</w:t>
      </w:r>
      <w:r>
        <w:rPr>
          <w:rStyle w:val="NormalTok"/>
        </w:rPr>
        <w:t xml:space="preserve"> w.stored_bytes_per_upload</w:t>
      </w:r>
      <w:r>
        <w:br/>
      </w:r>
      <w:r>
        <w:rPr>
          <w:rStyle w:val="NormalTok"/>
        </w:rPr>
        <w:t xml:space="preserve">    egress_bits_per_s </w:t>
      </w:r>
      <w:r>
        <w:rPr>
          <w:rStyle w:val="OperatorTok"/>
        </w:rPr>
        <w:t xml:space="preserve">=</w:t>
      </w:r>
      <w:r>
        <w:rPr>
          <w:rStyle w:val="NormalTok"/>
        </w:rPr>
        <w:t xml:space="preserve"> views_per_day </w:t>
      </w:r>
      <w:r>
        <w:rPr>
          <w:rStyle w:val="OperatorTok"/>
        </w:rPr>
        <w:t xml:space="preserve">*</w:t>
      </w:r>
      <w:r>
        <w:rPr>
          <w:rStyle w:val="NormalTok"/>
        </w:rPr>
        <w:t xml:space="preserve"> w.served_bytes_per_view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SECONDS_PER_DAY</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"read_rps_avg"</w:t>
      </w:r>
      <w:r>
        <w:rPr>
          <w:rStyle w:val="NormalTok"/>
        </w:rPr>
        <w:t xml:space="preserve">: read_rps,</w:t>
      </w:r>
      <w:r>
        <w:br/>
      </w:r>
      <w:r>
        <w:rPr>
          <w:rStyle w:val="NormalTok"/>
        </w:rPr>
        <w:t xml:space="preserve">        </w:t>
      </w:r>
      <w:r>
        <w:rPr>
          <w:rStyle w:val="StringTok"/>
        </w:rPr>
        <w:t xml:space="preserve">"read_rps_peak"</w:t>
      </w:r>
      <w:r>
        <w:rPr>
          <w:rStyle w:val="NormalTok"/>
        </w:rPr>
        <w:t xml:space="preserve">: read_rps </w:t>
      </w:r>
      <w:r>
        <w:rPr>
          <w:rStyle w:val="OperatorTok"/>
        </w:rPr>
        <w:t xml:space="preserve">*</w:t>
      </w:r>
      <w:r>
        <w:rPr>
          <w:rStyle w:val="NormalTok"/>
        </w:rPr>
        <w:t xml:space="preserve"> w.peak_factor,</w:t>
      </w:r>
      <w:r>
        <w:br/>
      </w:r>
      <w:r>
        <w:rPr>
          <w:rStyle w:val="NormalTok"/>
        </w:rPr>
        <w:t xml:space="preserve">        </w:t>
      </w:r>
      <w:r>
        <w:rPr>
          <w:rStyle w:val="StringTok"/>
        </w:rPr>
        <w:t xml:space="preserve">"write_rps_avg"</w:t>
      </w:r>
      <w:r>
        <w:rPr>
          <w:rStyle w:val="NormalTok"/>
        </w:rPr>
        <w:t xml:space="preserve">: write_rps,</w:t>
      </w:r>
      <w:r>
        <w:br/>
      </w:r>
      <w:r>
        <w:rPr>
          <w:rStyle w:val="NormalTok"/>
        </w:rPr>
        <w:t xml:space="preserve">        </w:t>
      </w:r>
      <w:r>
        <w:rPr>
          <w:rStyle w:val="StringTok"/>
        </w:rPr>
        <w:t xml:space="preserve">"write_rps_peak"</w:t>
      </w:r>
      <w:r>
        <w:rPr>
          <w:rStyle w:val="NormalTok"/>
        </w:rPr>
        <w:t xml:space="preserve">: write_rps </w:t>
      </w:r>
      <w:r>
        <w:rPr>
          <w:rStyle w:val="OperatorTok"/>
        </w:rPr>
        <w:t xml:space="preserve">*</w:t>
      </w:r>
      <w:r>
        <w:rPr>
          <w:rStyle w:val="NormalTok"/>
        </w:rPr>
        <w:t xml:space="preserve"> w.peak_factor,</w:t>
      </w:r>
      <w:r>
        <w:br/>
      </w:r>
      <w:r>
        <w:rPr>
          <w:rStyle w:val="NormalTok"/>
        </w:rPr>
        <w:t xml:space="preserve">        </w:t>
      </w:r>
      <w:r>
        <w:rPr>
          <w:rStyle w:val="StringTok"/>
        </w:rPr>
        <w:t xml:space="preserve">"storage_TB_per_day"</w:t>
      </w:r>
      <w:r>
        <w:rPr>
          <w:rStyle w:val="NormalTok"/>
        </w:rPr>
        <w:t xml:space="preserve">: storage_per_day </w:t>
      </w:r>
      <w:r>
        <w:rPr>
          <w:rStyle w:val="OperatorTok"/>
        </w:rPr>
        <w:t xml:space="preserve">/</w:t>
      </w:r>
      <w:r>
        <w:rPr>
          <w:rStyle w:val="NormalTok"/>
        </w:rPr>
        <w:t xml:space="preserve"> </w:t>
      </w:r>
      <w:r>
        <w:rPr>
          <w:rStyle w:val="FloatTok"/>
        </w:rPr>
        <w:t xml:space="preserve">1e12</w:t>
      </w:r>
      <w:r>
        <w:rPr>
          <w:rStyle w:val="NormalTok"/>
        </w:rPr>
        <w:t xml:space="preserve">,</w:t>
      </w:r>
      <w:r>
        <w:br/>
      </w:r>
      <w:r>
        <w:rPr>
          <w:rStyle w:val="NormalTok"/>
        </w:rPr>
        <w:t xml:space="preserve">        </w:t>
      </w:r>
      <w:r>
        <w:rPr>
          <w:rStyle w:val="StringTok"/>
        </w:rPr>
        <w:t xml:space="preserve">"storage_PB_per_year"</w:t>
      </w:r>
      <w:r>
        <w:rPr>
          <w:rStyle w:val="NormalTok"/>
        </w:rPr>
        <w:t xml:space="preserve">: storage_per_day </w:t>
      </w:r>
      <w:r>
        <w:rPr>
          <w:rStyle w:val="OperatorTok"/>
        </w:rPr>
        <w:t xml:space="preserve">*</w:t>
      </w:r>
      <w:r>
        <w:rPr>
          <w:rStyle w:val="NormalTok"/>
        </w:rPr>
        <w:t xml:space="preserve"> </w:t>
      </w:r>
      <w:r>
        <w:rPr>
          <w:rStyle w:val="DecValTok"/>
        </w:rPr>
        <w:t xml:space="preserve">365</w:t>
      </w:r>
      <w:r>
        <w:rPr>
          <w:rStyle w:val="NormalTok"/>
        </w:rPr>
        <w:t xml:space="preserve"> </w:t>
      </w:r>
      <w:r>
        <w:rPr>
          <w:rStyle w:val="OperatorTok"/>
        </w:rPr>
        <w:t xml:space="preserve">/</w:t>
      </w:r>
      <w:r>
        <w:rPr>
          <w:rStyle w:val="NormalTok"/>
        </w:rPr>
        <w:t xml:space="preserve"> </w:t>
      </w:r>
      <w:r>
        <w:rPr>
          <w:rStyle w:val="FloatTok"/>
        </w:rPr>
        <w:t xml:space="preserve">1e15</w:t>
      </w:r>
      <w:r>
        <w:rPr>
          <w:rStyle w:val="NormalTok"/>
        </w:rPr>
        <w:t xml:space="preserve">,</w:t>
      </w:r>
      <w:r>
        <w:br/>
      </w:r>
      <w:r>
        <w:rPr>
          <w:rStyle w:val="NormalTok"/>
        </w:rPr>
        <w:t xml:space="preserve">        </w:t>
      </w:r>
      <w:r>
        <w:rPr>
          <w:rStyle w:val="StringTok"/>
        </w:rPr>
        <w:t xml:space="preserve">"egress_Gbps_avg"</w:t>
      </w:r>
      <w:r>
        <w:rPr>
          <w:rStyle w:val="NormalTok"/>
        </w:rPr>
        <w:t xml:space="preserve">: egress_bits_per_s </w:t>
      </w:r>
      <w:r>
        <w:rPr>
          <w:rStyle w:val="OperatorTok"/>
        </w:rPr>
        <w:t xml:space="preserve">/</w:t>
      </w:r>
      <w:r>
        <w:rPr>
          <w:rStyle w:val="NormalTok"/>
        </w:rPr>
        <w:t xml:space="preserve"> </w:t>
      </w:r>
      <w:r>
        <w:rPr>
          <w:rStyle w:val="FloatTok"/>
        </w:rPr>
        <w:t xml:space="preserve">1e9</w:t>
      </w:r>
      <w:r>
        <w:rPr>
          <w:rStyle w:val="NormalTok"/>
        </w:rPr>
        <w:t xml:space="preserve">,</w:t>
      </w:r>
      <w:r>
        <w:br/>
      </w:r>
      <w:r>
        <w:rPr>
          <w:rStyle w:val="NormalTok"/>
        </w:rPr>
        <w:t xml:space="preserve">        </w:t>
      </w:r>
      <w:r>
        <w:rPr>
          <w:rStyle w:val="StringTok"/>
        </w:rPr>
        <w:t xml:space="preserve">"egress_Gbps_peak"</w:t>
      </w:r>
      <w:r>
        <w:rPr>
          <w:rStyle w:val="NormalTok"/>
        </w:rPr>
        <w:t xml:space="preserve">: egress_bits_per_s </w:t>
      </w:r>
      <w:r>
        <w:rPr>
          <w:rStyle w:val="OperatorTok"/>
        </w:rPr>
        <w:t xml:space="preserve">*</w:t>
      </w:r>
      <w:r>
        <w:rPr>
          <w:rStyle w:val="NormalTok"/>
        </w:rPr>
        <w:t xml:space="preserve"> w.peak_factor </w:t>
      </w:r>
      <w:r>
        <w:rPr>
          <w:rStyle w:val="OperatorTok"/>
        </w:rPr>
        <w:t xml:space="preserve">/</w:t>
      </w:r>
      <w:r>
        <w:rPr>
          <w:rStyle w:val="NormalTok"/>
        </w:rPr>
        <w:t xml:space="preserve"> </w:t>
      </w:r>
      <w:r>
        <w:rPr>
          <w:rStyle w:val="FloatTok"/>
        </w:rPr>
        <w:t xml:space="preserve">1e9</w:t>
      </w:r>
      <w:r>
        <w:rPr>
          <w:rStyle w:val="NormalTok"/>
        </w:rPr>
        <w:t xml:space="preserve">,</w:t>
      </w:r>
      <w:r>
        <w:br/>
      </w:r>
      <w:r>
        <w:rPr>
          <w:rStyle w:val="NormalTok"/>
        </w:rPr>
        <w:t xml:space="preserve">    }</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ntrolFlowTok"/>
        </w:rPr>
        <w:t xml:space="preserve">for</w:t>
      </w:r>
      <w:r>
        <w:rPr>
          <w:rStyle w:val="NormalTok"/>
        </w:rPr>
        <w:t xml:space="preserve"> label, dau </w:t>
      </w:r>
      <w:r>
        <w:rPr>
          <w:rStyle w:val="KeywordTok"/>
        </w:rPr>
        <w:t xml:space="preserve">in</w:t>
      </w:r>
      <w:r>
        <w:rPr>
          <w:rStyle w:val="NormalTok"/>
        </w:rPr>
        <w:t xml:space="preserve"> [(</w:t>
      </w:r>
      <w:r>
        <w:rPr>
          <w:rStyle w:val="StringTok"/>
        </w:rPr>
        <w:t xml:space="preserve">"v0 launch"</w:t>
      </w:r>
      <w:r>
        <w:rPr>
          <w:rStyle w:val="NormalTok"/>
        </w:rPr>
        <w:t xml:space="preserve">, </w:t>
      </w:r>
      <w:r>
        <w:rPr>
          <w:rStyle w:val="DecValTok"/>
        </w:rPr>
        <w:t xml:space="preserve">1_000</w:t>
      </w:r>
      <w:r>
        <w:rPr>
          <w:rStyle w:val="NormalTok"/>
        </w:rPr>
        <w:t xml:space="preserve">), (</w:t>
      </w:r>
      <w:r>
        <w:rPr>
          <w:rStyle w:val="StringTok"/>
        </w:rPr>
        <w:t xml:space="preserve">"v3 scale"</w:t>
      </w:r>
      <w:r>
        <w:rPr>
          <w:rStyle w:val="NormalTok"/>
        </w:rPr>
        <w:t xml:space="preserve">, </w:t>
      </w:r>
      <w:r>
        <w:rPr>
          <w:rStyle w:val="DecValTok"/>
        </w:rPr>
        <w:t xml:space="preserve">10_000_000</w:t>
      </w:r>
      <w:r>
        <w:rPr>
          <w:rStyle w:val="NormalTok"/>
        </w:rPr>
        <w:t xml:space="preserve">)]:</w:t>
      </w:r>
      <w:r>
        <w:br/>
      </w:r>
      <w:r>
        <w:rPr>
          <w:rStyle w:val="NormalTok"/>
        </w:rPr>
        <w:t xml:space="preserve">        w </w:t>
      </w:r>
      <w:r>
        <w:rPr>
          <w:rStyle w:val="OperatorTok"/>
        </w:rPr>
        <w:t xml:space="preserve">=</w:t>
      </w:r>
      <w:r>
        <w:rPr>
          <w:rStyle w:val="NormalTok"/>
        </w:rPr>
        <w:t xml:space="preserve"> Workload(dau</w:t>
      </w:r>
      <w:r>
        <w:rPr>
          <w:rStyle w:val="OperatorTok"/>
        </w:rPr>
        <w:t xml:space="preserve">=</w:t>
      </w:r>
      <w:r>
        <w:rPr>
          <w:rStyle w:val="NormalTok"/>
        </w:rPr>
        <w:t xml:space="preserve">dau, views_per_user</w:t>
      </w:r>
      <w:r>
        <w:rPr>
          <w:rStyle w:val="OperatorTok"/>
        </w:rPr>
        <w:t xml:space="preserve">=</w:t>
      </w:r>
      <w:r>
        <w:rPr>
          <w:rStyle w:val="DecValTok"/>
        </w:rPr>
        <w:t xml:space="preserve">50</w:t>
      </w:r>
      <w:r>
        <w:rPr>
          <w:rStyle w:val="NormalTok"/>
        </w:rPr>
        <w:t xml:space="preserve">, uploads_per_user</w:t>
      </w:r>
      <w:r>
        <w:rPr>
          <w:rStyle w:val="OperatorTok"/>
        </w:rPr>
        <w:t xml:space="preserve">=</w:t>
      </w:r>
      <w:r>
        <w:rPr>
          <w:rStyle w:val="FloatTok"/>
        </w:rPr>
        <w:t xml:space="preserve">0.2</w:t>
      </w:r>
      <w:r>
        <w:rPr>
          <w:rStyle w:val="NormalTok"/>
        </w:rPr>
        <w:t xml:space="preserve">,</w:t>
      </w:r>
      <w:r>
        <w:br/>
      </w:r>
      <w:r>
        <w:rPr>
          <w:rStyle w:val="NormalTok"/>
        </w:rPr>
        <w:t xml:space="preserve">                     stored_bytes_per_upload</w:t>
      </w:r>
      <w:r>
        <w:rPr>
          <w:rStyle w:val="OperatorTok"/>
        </w:rPr>
        <w:t xml:space="preserve">=</w:t>
      </w:r>
      <w:r>
        <w:rPr>
          <w:rStyle w:val="DecValTok"/>
        </w:rPr>
        <w:t xml:space="preserve">2_500_000</w:t>
      </w:r>
      <w:r>
        <w:rPr>
          <w:rStyle w:val="NormalTok"/>
        </w:rPr>
        <w:t xml:space="preserve">,</w:t>
      </w:r>
      <w:r>
        <w:br/>
      </w:r>
      <w:r>
        <w:rPr>
          <w:rStyle w:val="NormalTok"/>
        </w:rPr>
        <w:t xml:space="preserve">                     served_bytes_per_view</w:t>
      </w:r>
      <w:r>
        <w:rPr>
          <w:rStyle w:val="OperatorTok"/>
        </w:rPr>
        <w:t xml:space="preserve">=</w:t>
      </w:r>
      <w:r>
        <w:rPr>
          <w:rStyle w:val="DecValTok"/>
        </w:rPr>
        <w:t xml:space="preserve">200_000</w:t>
      </w:r>
      <w:r>
        <w:rPr>
          <w:rStyle w:val="NormalTok"/>
        </w:rPr>
        <w:t xml:space="preserve">)</w:t>
      </w:r>
      <w:r>
        <w:br/>
      </w:r>
      <w:r>
        <w:rPr>
          <w:rStyle w:val="NormalTok"/>
        </w:rPr>
        <w:t xml:space="preserve">        </w:t>
      </w:r>
      <w:r>
        <w:rPr>
          <w:rStyle w:val="BuiltInTok"/>
        </w:rPr>
        <w:t xml:space="preserve">print</w:t>
      </w:r>
      <w:r>
        <w:rPr>
          <w:rStyle w:val="NormalTok"/>
        </w:rPr>
        <w:t xml:space="preserve">(label)</w:t>
      </w:r>
      <w:r>
        <w:br/>
      </w:r>
      <w:r>
        <w:rPr>
          <w:rStyle w:val="NormalTok"/>
        </w:rPr>
        <w:t xml:space="preserve">        </w:t>
      </w:r>
      <w:r>
        <w:rPr>
          <w:rStyle w:val="ControlFlowTok"/>
        </w:rPr>
        <w:t xml:space="preserve">for</w:t>
      </w:r>
      <w:r>
        <w:rPr>
          <w:rStyle w:val="NormalTok"/>
        </w:rPr>
        <w:t xml:space="preserve"> key, value </w:t>
      </w:r>
      <w:r>
        <w:rPr>
          <w:rStyle w:val="KeywordTok"/>
        </w:rPr>
        <w:t xml:space="preserve">in</w:t>
      </w:r>
      <w:r>
        <w:rPr>
          <w:rStyle w:val="NormalTok"/>
        </w:rPr>
        <w:t xml:space="preserve"> estimate(w).items():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key</w:t>
      </w:r>
      <w:r>
        <w:rPr>
          <w:rStyle w:val="SpecialCharTok"/>
        </w:rPr>
        <w:t xml:space="preserve">:&gt;20}</w:t>
      </w:r>
      <w:r>
        <w:rPr>
          <w:rStyle w:val="SpecialStringTok"/>
        </w:rPr>
        <w:t xml:space="preserve">: </w:t>
      </w:r>
      <w:r>
        <w:rPr>
          <w:rStyle w:val="SpecialCharTok"/>
        </w:rPr>
        <w:t xml:space="preserve">{</w:t>
      </w:r>
      <w:r>
        <w:rPr>
          <w:rStyle w:val="NormalTok"/>
        </w:rPr>
        <w:t xml:space="preserve">value</w:t>
      </w:r>
      <w:r>
        <w:rPr>
          <w:rStyle w:val="SpecialCharTok"/>
        </w:rPr>
        <w:t xml:space="preserve">:,.3f}</w:t>
      </w:r>
      <w:r>
        <w:rPr>
          <w:rStyle w:val="SpecialStringTok"/>
        </w:rPr>
        <w:t xml:space="preserve">"</w:t>
      </w:r>
      <w:r>
        <w:rPr>
          <w:rStyle w:val="NormalTok"/>
        </w:rPr>
        <w:t xml:space="preserve">)</w:t>
      </w:r>
    </w:p>
    <w:p>
      <w:pPr>
        <w:pStyle w:val="FirstParagraph"/>
      </w:pPr>
      <w:r>
        <w:t xml:space="preserve">What to notice:</w:t>
      </w:r>
    </w:p>
    <w:p>
      <w:pPr>
        <w:numPr>
          <w:ilvl w:val="0"/>
          <w:numId w:val="1007"/>
        </w:numPr>
        <w:pStyle w:val="Compact"/>
      </w:pPr>
      <w:r>
        <w:t xml:space="preserve">Every assumption is a named field with a unit in the comment. When a reviewer disagrees with</w:t>
      </w:r>
      <w:r>
        <w:t xml:space="preserve"> </w:t>
      </w:r>
      <w:r>
        <w:t xml:space="preserve">“</w:t>
      </w:r>
      <w:r>
        <w:t xml:space="preserve">50 views per user</w:t>
      </w:r>
      <w:r>
        <w:t xml:space="preserve">”</w:t>
      </w:r>
      <w:r>
        <w:t xml:space="preserve">, they change one number, not your reasoning.</w:t>
      </w:r>
    </w:p>
    <w:p>
      <w:pPr>
        <w:numPr>
          <w:ilvl w:val="0"/>
          <w:numId w:val="1007"/>
        </w:numPr>
        <w:pStyle w:val="Compact"/>
      </w:pPr>
      <w:r>
        <w:t xml:space="preserve">The peak factor is explicit. Systems are sized for the peak, not the average.</w:t>
      </w:r>
    </w:p>
    <w:p>
      <w:pPr>
        <w:numPr>
          <w:ilvl w:val="0"/>
          <w:numId w:val="1007"/>
        </w:numPr>
        <w:pStyle w:val="Compact"/>
      </w:pPr>
      <w:r>
        <w:t xml:space="preserve">Egress is converted from bytes to</w:t>
      </w:r>
      <w:r>
        <w:t xml:space="preserve"> </w:t>
      </w:r>
      <w:r>
        <w:rPr>
          <w:bCs/>
          <w:b/>
        </w:rPr>
        <w:t xml:space="preserve">bits</w:t>
      </w:r>
      <w:r>
        <w:t xml:space="preserve"> </w:t>
      </w:r>
      <w:r>
        <w:t xml:space="preserve">(</w:t>
      </w:r>
      <w:r>
        <w:rPr>
          <w:rStyle w:val="VerbatimChar"/>
        </w:rPr>
        <w:t xml:space="preserve">* 8</w:t>
      </w:r>
      <w:r>
        <w:t xml:space="preserve">) because network links are rated in bits per second.</w:t>
      </w:r>
    </w:p>
    <w:p>
      <w:pPr>
        <w:numPr>
          <w:ilvl w:val="0"/>
          <w:numId w:val="1007"/>
        </w:numPr>
        <w:pStyle w:val="Compact"/>
      </w:pPr>
      <w:r>
        <w:t xml:space="preserve">Running it prints about 0.58 average read RPS for v0 and about 5,787 average (17,361 peak) read RPS, 5 TB/day of new storage and about 9.3 Gbit/s average egress for v3. Those v3 numbers drive most of §1.9.</w:t>
      </w:r>
    </w:p>
    <w:bookmarkEnd w:id="33"/>
    <w:bookmarkStart w:id="35" w:name="real-world-industry-applications"/>
    <w:p>
      <w:pPr>
        <w:pStyle w:val="Heading4"/>
      </w:pPr>
      <w:r>
        <w:t xml:space="preserve">Real-world industry applications</w:t>
      </w:r>
    </w:p>
    <w:p>
      <w:pPr>
        <w:pStyle w:val="CalloutIndustry"/>
      </w:pPr>
      <w:r>
        <w:rPr>
          <w:bCs/>
          <w:b/>
        </w:rPr>
        <w:t xml:space="preserve">INDUSTRY EXAMPLE</w:t>
      </w:r>
    </w:p>
    <w:p>
      <w:pPr>
        <w:pStyle w:val="CalloutIndustry"/>
      </w:pPr>
      <w:r>
        <w:rPr>
          <w:bCs/>
          <w:b/>
        </w:rPr>
        <w:t xml:space="preserve">Instagram (2011).</w:t>
      </w:r>
      <w:r>
        <w:t xml:space="preserve"> </w:t>
      </w:r>
      <w:r>
        <w:t xml:space="preserve">About a year after launch, Instagram’s engineering team published a description of its stack: a load balancer in front of Django application servers, PostgreSQL for data (partitioned across multiple database instances, with replicas in a different availability zone), Redis and Memcached for feeds and caching, photos stored in Amazon S3 and served through a CDN, and a task queue for asynchronous work. Their stated principles were to keep things simple, avoid reinventing the wheel, and use proven technologies. The problem (rapid growth with a tiny team) drove an architecture built mostly from well-understood, managed components rather than custom infrastructure. The trade-off: less control and some vendor dependence, in exchange for a very small operations burden.</w:t>
      </w:r>
      <w:r>
        <w:t xml:space="preserve"> </w:t>
      </w:r>
      <w:r>
        <w:rPr>
          <w:iCs/>
          <w:i/>
        </w:rPr>
        <w:t xml:space="preserve">Evidence: Primary</w:t>
      </w:r>
      <w:r>
        <w:t xml:space="preserve"> </w:t>
      </w:r>
      <w:r>
        <w:t xml:space="preserve">—</w:t>
      </w:r>
      <w:r>
        <w:t xml:space="preserve"> </w:t>
      </w:r>
      <w:hyperlink r:id="rId34">
        <w:r>
          <w:rPr>
            <w:rStyle w:val="Hyperlink"/>
          </w:rPr>
          <w:t xml:space="preserve">Instagram Engineering 2011</w:t>
        </w:r>
      </w:hyperlink>
    </w:p>
    <w:bookmarkEnd w:id="35"/>
    <w:bookmarkStart w:id="36" w:name="advantages-and-disadvantages"/>
    <w:p>
      <w:pPr>
        <w:pStyle w:val="Heading4"/>
      </w:pPr>
      <w:r>
        <w:t xml:space="preserve">Advantages and disadvantages</w:t>
      </w:r>
    </w:p>
    <w:p>
      <w:pPr>
        <w:pStyle w:val="FirstParagraph"/>
      </w:pPr>
      <w:r>
        <w:t xml:space="preserve">Treating design as an explicit activity — rather than letting structure emerge from whatever code is written first — has a clear profile.</w:t>
      </w:r>
      <w:r>
        <w:t xml:space="preserve"> </w:t>
      </w:r>
      <w:r>
        <w:rPr>
          <w:bCs/>
          <w:b/>
        </w:rPr>
        <w:t xml:space="preserve">Advantages:</w:t>
      </w:r>
      <w:r>
        <w:t xml:space="preserve"> </w:t>
      </w:r>
      <w:r>
        <w:t xml:space="preserve">problems are found on a whiteboard instead of in production; trade-offs are chosen deliberately; teams share a mental model; costs are predictable.</w:t>
      </w:r>
      <w:r>
        <w:t xml:space="preserve"> </w:t>
      </w:r>
      <w:r>
        <w:rPr>
          <w:bCs/>
          <w:b/>
        </w:rPr>
        <w:t xml:space="preserve">Disadvantages:</w:t>
      </w:r>
      <w:r>
        <w:t xml:space="preserve"> </w:t>
      </w:r>
      <w:r>
        <w:t xml:space="preserve">design takes time; designs made with poor information can be confidently wrong; and heavy upfront design can delay learning from real users. The practical answer is</w:t>
      </w:r>
      <w:r>
        <w:t xml:space="preserve"> </w:t>
      </w:r>
      <w:r>
        <w:rPr>
          <w:iCs/>
          <w:i/>
        </w:rPr>
        <w:t xml:space="preserve">proportionate</w:t>
      </w:r>
      <w:r>
        <w:t xml:space="preserve"> </w:t>
      </w:r>
      <w:r>
        <w:t xml:space="preserve">design: spend design effort in proportion to how expensive a decision would be to reverse (§1.8, §2.8).</w:t>
      </w:r>
    </w:p>
    <w:bookmarkEnd w:id="36"/>
    <w:bookmarkStart w:id="37" w:name="failure-scenarios"/>
    <w:p>
      <w:pPr>
        <w:pStyle w:val="Heading4"/>
      </w:pPr>
      <w:r>
        <w:t xml:space="preserve">Failure scenarios</w:t>
      </w:r>
    </w:p>
    <w:p>
      <w:pPr>
        <w:pStyle w:val="FirstParagraph"/>
      </w:pPr>
      <w:r>
        <w:rPr>
          <w:bCs/>
          <w:b/>
        </w:rPr>
        <w:t xml:space="preserve">Table 1.1 — Failure scenarios for the design process itself.</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System collapses under launch traffic</w:t>
            </w:r>
          </w:p>
        </w:tc>
        <w:tc>
          <w:tcPr/>
          <w:p>
            <w:pPr>
              <w:pStyle w:val="Compact"/>
              <w:jc w:val="left"/>
            </w:pPr>
            <w:r>
              <w:t xml:space="preserve">Load never estimated; peak factor ignored</w:t>
            </w:r>
          </w:p>
        </w:tc>
        <w:tc>
          <w:tcPr/>
          <w:p>
            <w:pPr>
              <w:pStyle w:val="Compact"/>
              <w:jc w:val="left"/>
            </w:pPr>
            <w:r>
              <w:t xml:space="preserve">Latency and error rate spike; saturated CPU or connections</w:t>
            </w:r>
          </w:p>
        </w:tc>
        <w:tc>
          <w:tcPr/>
          <w:p>
            <w:pPr>
              <w:pStyle w:val="Compact"/>
              <w:jc w:val="left"/>
            </w:pPr>
            <w:r>
              <w:t xml:space="preserve">Emergency vertical scaling; shed load</w:t>
            </w:r>
          </w:p>
        </w:tc>
        <w:tc>
          <w:tcPr/>
          <w:p>
            <w:pPr>
              <w:pStyle w:val="Compact"/>
              <w:jc w:val="left"/>
            </w:pPr>
            <w:r>
              <w:t xml:space="preserve">Estimate peak load before launch (§1.3.2); load-test</w:t>
            </w:r>
          </w:p>
        </w:tc>
      </w:tr>
      <w:tr>
        <w:tc>
          <w:tcPr/>
          <w:p>
            <w:pPr>
              <w:pStyle w:val="Compact"/>
              <w:jc w:val="left"/>
            </w:pPr>
            <w:r>
              <w:t xml:space="preserve">Total outage when one machine fails</w:t>
            </w:r>
          </w:p>
        </w:tc>
        <w:tc>
          <w:tcPr/>
          <w:p>
            <w:pPr>
              <w:pStyle w:val="Compact"/>
              <w:jc w:val="left"/>
            </w:pPr>
            <w:r>
              <w:t xml:space="preserve">Single point of failure nobody named</w:t>
            </w:r>
          </w:p>
        </w:tc>
        <w:tc>
          <w:tcPr/>
          <w:p>
            <w:pPr>
              <w:pStyle w:val="Compact"/>
              <w:jc w:val="left"/>
            </w:pPr>
            <w:r>
              <w:t xml:space="preserve">Health checks fail; users report outage</w:t>
            </w:r>
          </w:p>
        </w:tc>
        <w:tc>
          <w:tcPr/>
          <w:p>
            <w:pPr>
              <w:pStyle w:val="Compact"/>
              <w:jc w:val="left"/>
            </w:pPr>
            <w:r>
              <w:t xml:space="preserve">Restore from backup onto a new machine</w:t>
            </w:r>
          </w:p>
        </w:tc>
        <w:tc>
          <w:tcPr/>
          <w:p>
            <w:pPr>
              <w:pStyle w:val="Compact"/>
              <w:jc w:val="left"/>
            </w:pPr>
            <w:r>
              <w:t xml:space="preserve">List SPOFs in every design review (§1.10)</w:t>
            </w:r>
          </w:p>
        </w:tc>
      </w:tr>
      <w:tr>
        <w:tc>
          <w:tcPr/>
          <w:p>
            <w:pPr>
              <w:pStyle w:val="Compact"/>
              <w:jc w:val="left"/>
            </w:pPr>
            <w:r>
              <w:t xml:space="preserve">Months spent building infrastructure for users who never arrive</w:t>
            </w:r>
          </w:p>
        </w:tc>
        <w:tc>
          <w:tcPr/>
          <w:p>
            <w:pPr>
              <w:pStyle w:val="Compact"/>
              <w:jc w:val="left"/>
            </w:pPr>
            <w:r>
              <w:t xml:space="preserve">Design sized for imagined scale</w:t>
            </w:r>
          </w:p>
        </w:tc>
        <w:tc>
          <w:tcPr/>
          <w:p>
            <w:pPr>
              <w:pStyle w:val="Compact"/>
              <w:jc w:val="left"/>
            </w:pPr>
            <w:r>
              <w:t xml:space="preserve">Low utilization; slipped launch</w:t>
            </w:r>
          </w:p>
        </w:tc>
        <w:tc>
          <w:tcPr/>
          <w:p>
            <w:pPr>
              <w:pStyle w:val="Compact"/>
              <w:jc w:val="left"/>
            </w:pPr>
            <w:r>
              <w:t xml:space="preserve">Simplify; delete unused components</w:t>
            </w:r>
          </w:p>
        </w:tc>
        <w:tc>
          <w:tcPr/>
          <w:p>
            <w:pPr>
              <w:pStyle w:val="Compact"/>
              <w:jc w:val="left"/>
            </w:pPr>
            <w:r>
              <w:t xml:space="preserve">Design for 10× current load, not 1,000×</w:t>
            </w:r>
          </w:p>
        </w:tc>
      </w:tr>
      <w:tr>
        <w:tc>
          <w:tcPr/>
          <w:p>
            <w:pPr>
              <w:pStyle w:val="Compact"/>
              <w:jc w:val="left"/>
            </w:pPr>
            <w:r>
              <w:t xml:space="preserve">Nobody remembers why a component exists</w:t>
            </w:r>
          </w:p>
        </w:tc>
        <w:tc>
          <w:tcPr/>
          <w:p>
            <w:pPr>
              <w:pStyle w:val="Compact"/>
              <w:jc w:val="left"/>
            </w:pPr>
            <w:r>
              <w:t xml:space="preserve">Decisions not recorded</w:t>
            </w:r>
          </w:p>
        </w:tc>
        <w:tc>
          <w:tcPr/>
          <w:p>
            <w:pPr>
              <w:pStyle w:val="Compact"/>
              <w:jc w:val="left"/>
            </w:pPr>
            <w:r>
              <w:t xml:space="preserve">Repeated debates; fear of changing anything</w:t>
            </w:r>
          </w:p>
        </w:tc>
        <w:tc>
          <w:tcPr/>
          <w:p>
            <w:pPr>
              <w:pStyle w:val="Compact"/>
              <w:jc w:val="left"/>
            </w:pPr>
            <w:r>
              <w:t xml:space="preserve">Reconstruct history from commits and people</w:t>
            </w:r>
          </w:p>
        </w:tc>
        <w:tc>
          <w:tcPr/>
          <w:p>
            <w:pPr>
              <w:pStyle w:val="Compact"/>
              <w:jc w:val="left"/>
            </w:pPr>
            <w:r>
              <w:t xml:space="preserve">ADRs (§1.8)</w:t>
            </w:r>
          </w:p>
        </w:tc>
      </w:tr>
    </w:tbl>
    <w:bookmarkEnd w:id="37"/>
    <w:bookmarkStart w:id="38" w:name="common-misconceptions"/>
    <w:p>
      <w:pPr>
        <w:pStyle w:val="Heading4"/>
      </w:pPr>
      <w:r>
        <w:t xml:space="preserve">Common misconceptions</w:t>
      </w:r>
    </w:p>
    <w:p>
      <w:pPr>
        <w:pStyle w:val="CalloutMistake"/>
      </w:pPr>
      <w:r>
        <w:rPr>
          <w:bCs/>
          <w:b/>
        </w:rPr>
        <w:t xml:space="preserve">COMMON MISTAKE</w:t>
      </w:r>
    </w:p>
    <w:p>
      <w:pPr>
        <w:pStyle w:val="CalloutMistake"/>
      </w:pPr>
      <w:r>
        <w:rPr>
          <w:bCs/>
          <w:b/>
        </w:rPr>
        <w:t xml:space="preserve">“</w:t>
      </w:r>
      <w:r>
        <w:rPr>
          <w:bCs/>
          <w:b/>
        </w:rPr>
        <w:t xml:space="preserve">System design means drawing boxes and arrows.</w:t>
      </w:r>
      <w:r>
        <w:rPr>
          <w:bCs/>
          <w:b/>
        </w:rPr>
        <w:t xml:space="preserve">”</w:t>
      </w:r>
      <w:r>
        <w:t xml:space="preserve"> </w:t>
      </w:r>
      <w:r>
        <w:t xml:space="preserve">The diagram is the</w:t>
      </w:r>
      <w:r>
        <w:t xml:space="preserve"> </w:t>
      </w:r>
      <w:r>
        <w:rPr>
          <w:iCs/>
          <w:i/>
        </w:rPr>
        <w:t xml:space="preserve">output</w:t>
      </w:r>
      <w:r>
        <w:t xml:space="preserve">. The substance is the reasoning: which requirements forced each box, what each arrow carries, what happens when each box fails, and what the design costs. A beautiful diagram with no requirements and no numbers is decoration.</w:t>
      </w:r>
    </w:p>
    <w:p>
      <w:pPr>
        <w:pStyle w:val="CalloutMistake"/>
      </w:pPr>
      <w:r>
        <w:rPr>
          <w:bCs/>
          <w:b/>
        </w:rPr>
        <w:t xml:space="preserve">COMMON MISTAKE</w:t>
      </w:r>
    </w:p>
    <w:p>
      <w:pPr>
        <w:pStyle w:val="CalloutMistake"/>
      </w:pPr>
      <w:r>
        <w:rPr>
          <w:bCs/>
          <w:b/>
        </w:rPr>
        <w:t xml:space="preserve">“</w:t>
      </w:r>
      <w:r>
        <w:rPr>
          <w:bCs/>
          <w:b/>
        </w:rPr>
        <w:t xml:space="preserve">System design only matters at Google scale.</w:t>
      </w:r>
      <w:r>
        <w:rPr>
          <w:bCs/>
          <w:b/>
        </w:rPr>
        <w:t xml:space="preserve">”</w:t>
      </w:r>
      <w:r>
        <w:t xml:space="preserve"> </w:t>
      </w:r>
      <w:r>
        <w:t xml:space="preserve">A three-person startup still chooses where its data lives, how it backs up, and what happens during a deploy. The decisions are smaller, but the cost of getting the</w:t>
      </w:r>
      <w:r>
        <w:t xml:space="preserve"> </w:t>
      </w:r>
      <w:r>
        <w:rPr>
          <w:iCs/>
          <w:i/>
        </w:rPr>
        <w:t xml:space="preserve">irreversible</w:t>
      </w:r>
      <w:r>
        <w:t xml:space="preserve"> </w:t>
      </w:r>
      <w:r>
        <w:t xml:space="preserve">ones wrong (data model, identifiers, storage location of user files) is felt at every scale.</w:t>
      </w:r>
    </w:p>
    <w:bookmarkEnd w:id="38"/>
    <w:bookmarkEnd w:id="39"/>
    <w:bookmarkEnd w:id="40"/>
    <w:bookmarkStart w:id="50" w:name="software-architecture"/>
    <w:p>
      <w:pPr>
        <w:pStyle w:val="Heading2"/>
      </w:pPr>
      <w:r>
        <w:t xml:space="preserve">1.4 Software architecture</w:t>
      </w:r>
    </w:p>
    <w:bookmarkStart w:id="44" w:name="what-architecture-is"/>
    <w:p>
      <w:pPr>
        <w:pStyle w:val="Heading3"/>
      </w:pPr>
      <w:r>
        <w:t xml:space="preserve">1.4.1 What architecture is</w:t>
      </w:r>
    </w:p>
    <w:p>
      <w:pPr>
        <w:pStyle w:val="CalloutDefinition"/>
      </w:pPr>
      <w:r>
        <w:rPr>
          <w:bCs/>
          <w:b/>
        </w:rPr>
        <w:t xml:space="preserve">DEFINITION</w:t>
      </w:r>
    </w:p>
    <w:p>
      <w:pPr>
        <w:pStyle w:val="CalloutDefinition"/>
      </w:pPr>
      <w:r>
        <w:rPr>
          <w:bCs/>
          <w:b/>
        </w:rPr>
        <w:t xml:space="preserve">Definition — Software architecture.</w:t>
      </w:r>
      <w:r>
        <w:t xml:space="preserve"> </w:t>
      </w:r>
      <w:r>
        <w:t xml:space="preserve">“</w:t>
      </w:r>
      <w:r>
        <w:t xml:space="preserve">The set of structures needed to reason about the system, which comprise software elements, relations among them, and properties of both</w:t>
      </w:r>
      <w:r>
        <w:t xml:space="preserve">”</w:t>
      </w:r>
      <w:r>
        <w:t xml:space="preserve"> </w:t>
      </w:r>
      <w:r>
        <w:t xml:space="preserve">[Bass et al. 2021]. The international standard for architecture description defines it as the fundamental concepts or properties of a system in its environment, embodied in its elements, relationships, and in the principles of its design and evolution [ISO/IEC/IEEE 42010].</w:t>
      </w:r>
    </w:p>
    <w:bookmarkStart w:id="41" w:name="first-principles-explanation-1"/>
    <w:p>
      <w:pPr>
        <w:pStyle w:val="Heading4"/>
      </w:pPr>
      <w:r>
        <w:t xml:space="preserve">First-principles explanation</w:t>
      </w:r>
    </w:p>
    <w:p>
      <w:pPr>
        <w:pStyle w:val="FirstParagraph"/>
      </w:pPr>
      <w:r>
        <w:t xml:space="preserve">Return to the restaurant. Its</w:t>
      </w:r>
      <w:r>
        <w:t xml:space="preserve"> </w:t>
      </w:r>
      <w:r>
        <w:rPr>
          <w:iCs/>
          <w:i/>
        </w:rPr>
        <w:t xml:space="preserve">architecture</w:t>
      </w:r>
      <w:r>
        <w:t xml:space="preserve"> </w:t>
      </w:r>
      <w:r>
        <w:t xml:space="preserve">is not the color of the napkins; it is the set of decisions that would be painful to change once the doors open: where the kitchen sits relative to the dining room, how many burners there are, whether orders go through a single ticket rail or directly to stations, whether there is a walk-in fridge or daily deliveries. You can change the menu weekly; moving the kitchen means closing for months.</w:t>
      </w:r>
    </w:p>
    <w:p>
      <w:pPr>
        <w:pStyle w:val="BodyText"/>
      </w:pPr>
      <w:r>
        <w:t xml:space="preserve">Martin Fowler summarized the same idea for software: architecture is about</w:t>
      </w:r>
      <w:r>
        <w:t xml:space="preserve"> </w:t>
      </w:r>
      <w:r>
        <w:t xml:space="preserve">“</w:t>
      </w:r>
      <w:r>
        <w:t xml:space="preserve">the important stuff — whatever that is</w:t>
      </w:r>
      <w:r>
        <w:t xml:space="preserve">”</w:t>
      </w:r>
      <w:r>
        <w:t xml:space="preserve">, meaning the decisions that are hard to change and that the team must share an understanding of [Fowler 2003]. The parenthetical</w:t>
      </w:r>
      <w:r>
        <w:t xml:space="preserve"> </w:t>
      </w:r>
      <w:r>
        <w:t xml:space="preserve">“</w:t>
      </w:r>
      <w:r>
        <w:t xml:space="preserve">whatever that is</w:t>
      </w:r>
      <w:r>
        <w:t xml:space="preserve">”</w:t>
      </w:r>
      <w:r>
        <w:t xml:space="preserve"> </w:t>
      </w:r>
      <w:r>
        <w:t xml:space="preserve">is honest: what counts as architectural depends on the system. For PhotoShare,</w:t>
      </w:r>
      <w:r>
        <w:t xml:space="preserve"> </w:t>
      </w:r>
      <w:r>
        <w:rPr>
          <w:iCs/>
          <w:i/>
        </w:rPr>
        <w:t xml:space="preserve">where photo files live</w:t>
      </w:r>
      <w:r>
        <w:t xml:space="preserve"> </w:t>
      </w:r>
      <w:r>
        <w:t xml:space="preserve">is architectural (changing it means migrating terabytes);</w:t>
      </w:r>
      <w:r>
        <w:t xml:space="preserve"> </w:t>
      </w:r>
      <w:r>
        <w:rPr>
          <w:iCs/>
          <w:i/>
        </w:rPr>
        <w:t xml:space="preserve">which image-resizing library we call</w:t>
      </w:r>
      <w:r>
        <w:t xml:space="preserve"> </w:t>
      </w:r>
      <w:r>
        <w:t xml:space="preserve">is usually not.</w:t>
      </w:r>
    </w:p>
    <w:bookmarkEnd w:id="41"/>
    <w:bookmarkStart w:id="42" w:name="why-does-this-exist-1"/>
    <w:p>
      <w:pPr>
        <w:pStyle w:val="Heading4"/>
      </w:pPr>
      <w:r>
        <w:t xml:space="preserve">Why does this exist?</w:t>
      </w:r>
    </w:p>
    <w:p>
      <w:pPr>
        <w:pStyle w:val="FirstParagraph"/>
      </w:pPr>
      <w:r>
        <w:t xml:space="preserve">Large systems are built by many people over many years. Without a shared structure, each person optimizes locally and the whole becomes inconsistent: three ways to authenticate, four copies of the user table, no one able to say what happens if the cache is down. Architecture exists to (1) make the system understandable enough to reason about, (2) make the most important qualities — performance, availability, security, modifiability — achievable by design rather than by luck, and (3) let teams work in parallel along stable boundaries.</w:t>
      </w:r>
    </w:p>
    <w:bookmarkEnd w:id="42"/>
    <w:bookmarkStart w:id="43" w:name="how-it-works-internally-1"/>
    <w:p>
      <w:pPr>
        <w:pStyle w:val="Heading4"/>
      </w:pPr>
      <w:r>
        <w:t xml:space="preserve">How it works internally</w:t>
      </w:r>
    </w:p>
    <w:p>
      <w:pPr>
        <w:pStyle w:val="FirstParagraph"/>
      </w:pPr>
      <w:r>
        <w:t xml:space="preserve">An architecture is described by several</w:t>
      </w:r>
      <w:r>
        <w:t xml:space="preserve"> </w:t>
      </w:r>
      <w:r>
        <w:rPr>
          <w:bCs/>
          <w:b/>
        </w:rPr>
        <w:t xml:space="preserve">views</w:t>
      </w:r>
      <w:r>
        <w:t xml:space="preserve">, because no single picture answers every question. Kruchten’s influential</w:t>
      </w:r>
      <w:r>
        <w:t xml:space="preserve"> </w:t>
      </w:r>
      <w:r>
        <w:t xml:space="preserve">“</w:t>
      </w:r>
      <w:r>
        <w:t xml:space="preserve">4+1</w:t>
      </w:r>
      <w:r>
        <w:t xml:space="preserve">”</w:t>
      </w:r>
      <w:r>
        <w:t xml:space="preserve"> </w:t>
      </w:r>
      <w:r>
        <w:t xml:space="preserve">model proposes four views plus scenarios that tie them together [Kruchten 1995]:</w:t>
      </w:r>
    </w:p>
    <w:p>
      <w:pPr>
        <w:numPr>
          <w:ilvl w:val="0"/>
          <w:numId w:val="1008"/>
        </w:numPr>
        <w:pStyle w:val="Compact"/>
      </w:pPr>
      <w:r>
        <w:rPr>
          <w:bCs/>
          <w:b/>
        </w:rPr>
        <w:t xml:space="preserve">Logical view</w:t>
      </w:r>
      <w:r>
        <w:t xml:space="preserve"> </w:t>
      </w:r>
      <w:r>
        <w:t xml:space="preserve">— the main abstractions and their responsibilities (users, photos, feeds, follows).</w:t>
      </w:r>
    </w:p>
    <w:p>
      <w:pPr>
        <w:numPr>
          <w:ilvl w:val="0"/>
          <w:numId w:val="1008"/>
        </w:numPr>
        <w:pStyle w:val="Compact"/>
      </w:pPr>
      <w:r>
        <w:rPr>
          <w:bCs/>
          <w:b/>
        </w:rPr>
        <w:t xml:space="preserve">Process view</w:t>
      </w:r>
      <w:r>
        <w:t xml:space="preserve"> </w:t>
      </w:r>
      <w:r>
        <w:t xml:space="preserve">— what runs concurrently, and how runtime components communicate (requests, queues, threads).</w:t>
      </w:r>
    </w:p>
    <w:p>
      <w:pPr>
        <w:numPr>
          <w:ilvl w:val="0"/>
          <w:numId w:val="1008"/>
        </w:numPr>
        <w:pStyle w:val="Compact"/>
      </w:pPr>
      <w:r>
        <w:rPr>
          <w:bCs/>
          <w:b/>
        </w:rPr>
        <w:t xml:space="preserve">Development view</w:t>
      </w:r>
      <w:r>
        <w:t xml:space="preserve"> </w:t>
      </w:r>
      <w:r>
        <w:t xml:space="preserve">— how the code is organized into modules, packages and repositories, and which teams own them.</w:t>
      </w:r>
    </w:p>
    <w:p>
      <w:pPr>
        <w:numPr>
          <w:ilvl w:val="0"/>
          <w:numId w:val="1008"/>
        </w:numPr>
        <w:pStyle w:val="Compact"/>
      </w:pPr>
      <w:r>
        <w:rPr>
          <w:bCs/>
          <w:b/>
        </w:rPr>
        <w:t xml:space="preserve">Physical view</w:t>
      </w:r>
      <w:r>
        <w:t xml:space="preserve"> </w:t>
      </w:r>
      <w:r>
        <w:t xml:space="preserve">— which machines, data centers and networks the software is deployed on.</w:t>
      </w:r>
    </w:p>
    <w:p>
      <w:pPr>
        <w:numPr>
          <w:ilvl w:val="0"/>
          <w:numId w:val="1008"/>
        </w:numPr>
        <w:pStyle w:val="Compact"/>
      </w:pPr>
      <w:r>
        <w:rPr>
          <w:bCs/>
          <w:b/>
        </w:rPr>
        <w:t xml:space="preserve">+1: Scenarios</w:t>
      </w:r>
      <w:r>
        <w:t xml:space="preserve"> </w:t>
      </w:r>
      <w:r>
        <w:t xml:space="preserve">— a few important use cases (</w:t>
      </w:r>
      <w:r>
        <w:t xml:space="preserve">“</w:t>
      </w:r>
      <w:r>
        <w:t xml:space="preserve">a user uploads a photo</w:t>
      </w:r>
      <w:r>
        <w:t xml:space="preserve">”</w:t>
      </w:r>
      <w:r>
        <w:t xml:space="preserve">) traced through all four views to validate them.</w:t>
      </w:r>
    </w:p>
    <w:p>
      <w:pPr>
        <w:pStyle w:val="FirstParagraph"/>
      </w:pPr>
      <w:r>
        <w:t xml:space="preserve">The C4 model (context, containers, components, code) is a more recent, lightweight alternative used widely in industry; it is covered in §2.12 (Architecture documentation).</w:t>
      </w:r>
    </w:p>
    <w:p>
      <w:pPr>
        <w:pStyle w:val="BodyText"/>
      </w:pPr>
      <w:r>
        <w:t xml:space="preserve">Architectures also follow recognizable</w:t>
      </w:r>
      <w:r>
        <w:t xml:space="preserve"> </w:t>
      </w:r>
      <w:r>
        <w:rPr>
          <w:bCs/>
          <w:b/>
        </w:rPr>
        <w:t xml:space="preserve">styles</w:t>
      </w:r>
      <w:r>
        <w:t xml:space="preserve"> </w:t>
      </w:r>
      <w:r>
        <w:t xml:space="preserve">or</w:t>
      </w:r>
      <w:r>
        <w:t xml:space="preserve"> </w:t>
      </w:r>
      <w:r>
        <w:rPr>
          <w:bCs/>
          <w:b/>
        </w:rPr>
        <w:t xml:space="preserve">patterns</w:t>
      </w:r>
      <w:r>
        <w:t xml:space="preserve"> </w:t>
      </w:r>
      <w:r>
        <w:t xml:space="preserve">— layered, monolithic, modular monolith, microservices, event-driven, serverless — each a reusable answer to a recurring set of forces. They are the subject of Ch 33 (Architecture Patterns) and Ch 34 (Microservices).</w:t>
      </w:r>
    </w:p>
    <w:p>
      <w:pPr>
        <w:pStyle w:val="CalloutConcept"/>
      </w:pPr>
      <w:r>
        <w:rPr>
          <w:bCs/>
          <w:b/>
        </w:rPr>
        <w:t xml:space="preserve">KEY CONCEPT</w:t>
      </w:r>
    </w:p>
    <w:p>
      <w:pPr>
        <w:pStyle w:val="CalloutConcept"/>
      </w:pPr>
      <w:r>
        <w:rPr>
          <w:bCs/>
          <w:b/>
        </w:rPr>
        <w:t xml:space="preserve">Conway’s law.</w:t>
      </w:r>
      <w:r>
        <w:t xml:space="preserve"> </w:t>
      </w:r>
      <w:r>
        <w:t xml:space="preserve">Melvin Conway observed in 1968 that organizations which design systems are constrained to produce designs that copy the organization’s communication structure [Conway 1968]. If three teams build a compiler, you tend to get a three-pass compiler. Architecture and team structure therefore co-evolve: choosing service boundaries is partly choosing team boundaries, and vice versa (see §34.3 (Service boundaries)).</w:t>
      </w:r>
    </w:p>
    <w:bookmarkEnd w:id="43"/>
    <w:bookmarkEnd w:id="44"/>
    <w:bookmarkStart w:id="49" w:name="X7cb0a0f8d1a61154f9820f1ca294040e240964f"/>
    <w:p>
      <w:pPr>
        <w:pStyle w:val="Heading3"/>
      </w:pPr>
      <w:r>
        <w:t xml:space="preserve">1.4.2 Architecture, system design and design: how the words relate</w:t>
      </w:r>
    </w:p>
    <w:p>
      <w:pPr>
        <w:pStyle w:val="FirstParagraph"/>
      </w:pPr>
      <w:r>
        <w:t xml:space="preserve">The terms overlap heavily, and different companies use them differently. The working distinction used in this book is in Table 1.2.</w:t>
      </w:r>
    </w:p>
    <w:p>
      <w:pPr>
        <w:pStyle w:val="BodyText"/>
      </w:pPr>
      <w:r>
        <w:rPr>
          <w:bCs/>
          <w:b/>
        </w:rPr>
        <w:t xml:space="preserve">Table 1.2 — Overlapping disciplines: architecture, system design and low-level design.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Aspect</w:t>
            </w:r>
          </w:p>
        </w:tc>
        <w:tc>
          <w:tcPr/>
          <w:p>
            <w:pPr>
              <w:pStyle w:val="Compact"/>
              <w:jc w:val="left"/>
            </w:pPr>
            <w:r>
              <w:t xml:space="preserve">Software architecture</w:t>
            </w:r>
          </w:p>
        </w:tc>
        <w:tc>
          <w:tcPr/>
          <w:p>
            <w:pPr>
              <w:pStyle w:val="Compact"/>
              <w:jc w:val="left"/>
            </w:pPr>
            <w:r>
              <w:t xml:space="preserve">System design</w:t>
            </w:r>
          </w:p>
        </w:tc>
        <w:tc>
          <w:tcPr/>
          <w:p>
            <w:pPr>
              <w:pStyle w:val="Compact"/>
              <w:jc w:val="left"/>
            </w:pPr>
            <w:r>
              <w:t xml:space="preserve">Low-level design</w:t>
            </w:r>
          </w:p>
        </w:tc>
      </w:tr>
      <w:tr>
        <w:tc>
          <w:tcPr/>
          <w:p>
            <w:pPr>
              <w:pStyle w:val="Compact"/>
              <w:jc w:val="left"/>
            </w:pPr>
            <w:r>
              <w:t xml:space="preserve">What it is</w:t>
            </w:r>
          </w:p>
        </w:tc>
        <w:tc>
          <w:tcPr/>
          <w:p>
            <w:pPr>
              <w:pStyle w:val="Compact"/>
              <w:jc w:val="left"/>
            </w:pPr>
            <w:r>
              <w:t xml:space="preserve">The significant, hard-to-change structures of a system</w:t>
            </w:r>
          </w:p>
        </w:tc>
        <w:tc>
          <w:tcPr/>
          <w:p>
            <w:pPr>
              <w:pStyle w:val="Compact"/>
              <w:jc w:val="left"/>
            </w:pPr>
            <w:r>
              <w:t xml:space="preserve">Choosing components, data flow and deployment to meet requirements at scale</w:t>
            </w:r>
          </w:p>
        </w:tc>
        <w:tc>
          <w:tcPr/>
          <w:p>
            <w:pPr>
              <w:pStyle w:val="Compact"/>
              <w:jc w:val="left"/>
            </w:pPr>
            <w:r>
              <w:t xml:space="preserve">Internal structure of one component</w:t>
            </w:r>
          </w:p>
        </w:tc>
      </w:tr>
      <w:tr>
        <w:tc>
          <w:tcPr/>
          <w:p>
            <w:pPr>
              <w:pStyle w:val="Compact"/>
              <w:jc w:val="left"/>
            </w:pPr>
            <w:r>
              <w:t xml:space="preserve">Typical questions</w:t>
            </w:r>
          </w:p>
        </w:tc>
        <w:tc>
          <w:tcPr/>
          <w:p>
            <w:pPr>
              <w:pStyle w:val="Compact"/>
              <w:jc w:val="left"/>
            </w:pPr>
            <w:r>
              <w:t xml:space="preserve">Monolith or services? Which quality attributes dominate?</w:t>
            </w:r>
          </w:p>
        </w:tc>
        <w:tc>
          <w:tcPr/>
          <w:p>
            <w:pPr>
              <w:pStyle w:val="Compact"/>
              <w:jc w:val="left"/>
            </w:pPr>
            <w:r>
              <w:t xml:space="preserve">How many servers? Which database? Where to cache? What if a node fails?</w:t>
            </w:r>
          </w:p>
        </w:tc>
        <w:tc>
          <w:tcPr/>
          <w:p>
            <w:pPr>
              <w:pStyle w:val="Compact"/>
              <w:jc w:val="left"/>
            </w:pPr>
            <w:r>
              <w:t xml:space="preserve">Which classes, interfaces, algorithms, schemas?</w:t>
            </w:r>
          </w:p>
        </w:tc>
      </w:tr>
      <w:tr>
        <w:tc>
          <w:tcPr/>
          <w:p>
            <w:pPr>
              <w:pStyle w:val="Compact"/>
              <w:jc w:val="left"/>
            </w:pPr>
            <w:r>
              <w:t xml:space="preserve">Unit of reasoning</w:t>
            </w:r>
          </w:p>
        </w:tc>
        <w:tc>
          <w:tcPr/>
          <w:p>
            <w:pPr>
              <w:pStyle w:val="Compact"/>
              <w:jc w:val="left"/>
            </w:pPr>
            <w:r>
              <w:t xml:space="preserve">Elements, relations, properties</w:t>
            </w:r>
          </w:p>
        </w:tc>
        <w:tc>
          <w:tcPr/>
          <w:p>
            <w:pPr>
              <w:pStyle w:val="Compact"/>
              <w:jc w:val="left"/>
            </w:pPr>
            <w:r>
              <w:t xml:space="preserve">Services, stores, networks, traffic, failures</w:t>
            </w:r>
          </w:p>
        </w:tc>
        <w:tc>
          <w:tcPr/>
          <w:p>
            <w:pPr>
              <w:pStyle w:val="Compact"/>
              <w:jc w:val="left"/>
            </w:pPr>
            <w:r>
              <w:t xml:space="preserve">Classes, functions, tables, state machines</w:t>
            </w:r>
          </w:p>
        </w:tc>
      </w:tr>
      <w:tr>
        <w:tc>
          <w:tcPr/>
          <w:p>
            <w:pPr>
              <w:pStyle w:val="Compact"/>
              <w:jc w:val="left"/>
            </w:pPr>
            <w:r>
              <w:t xml:space="preserve">Time horizon</w:t>
            </w:r>
          </w:p>
        </w:tc>
        <w:tc>
          <w:tcPr/>
          <w:p>
            <w:pPr>
              <w:pStyle w:val="Compact"/>
              <w:jc w:val="left"/>
            </w:pPr>
            <w:r>
              <w:t xml:space="preserve">Years</w:t>
            </w:r>
          </w:p>
        </w:tc>
        <w:tc>
          <w:tcPr/>
          <w:p>
            <w:pPr>
              <w:pStyle w:val="Compact"/>
              <w:jc w:val="left"/>
            </w:pPr>
            <w:r>
              <w:t xml:space="preserve">Months to years</w:t>
            </w:r>
          </w:p>
        </w:tc>
        <w:tc>
          <w:tcPr/>
          <w:p>
            <w:pPr>
              <w:pStyle w:val="Compact"/>
              <w:jc w:val="left"/>
            </w:pPr>
            <w:r>
              <w:t xml:space="preserve">Weeks to months</w:t>
            </w:r>
          </w:p>
        </w:tc>
      </w:tr>
      <w:tr>
        <w:tc>
          <w:tcPr/>
          <w:p>
            <w:pPr>
              <w:pStyle w:val="Compact"/>
              <w:jc w:val="left"/>
            </w:pPr>
            <w:r>
              <w:t xml:space="preserve">Typical artifacts</w:t>
            </w:r>
          </w:p>
        </w:tc>
        <w:tc>
          <w:tcPr/>
          <w:p>
            <w:pPr>
              <w:pStyle w:val="Compact"/>
              <w:jc w:val="left"/>
            </w:pPr>
            <w:r>
              <w:t xml:space="preserve">Architecture views, principles, ADRs</w:t>
            </w:r>
          </w:p>
        </w:tc>
        <w:tc>
          <w:tcPr/>
          <w:p>
            <w:pPr>
              <w:pStyle w:val="Compact"/>
              <w:jc w:val="left"/>
            </w:pPr>
            <w:r>
              <w:t xml:space="preserve">Design docs, capacity estimates, deployment diagrams</w:t>
            </w:r>
          </w:p>
        </w:tc>
        <w:tc>
          <w:tcPr/>
          <w:p>
            <w:pPr>
              <w:pStyle w:val="Compact"/>
              <w:jc w:val="left"/>
            </w:pPr>
            <w:r>
              <w:t xml:space="preserve">Class/sequence diagrams, API specs, schema DDL</w:t>
            </w:r>
          </w:p>
        </w:tc>
      </w:tr>
      <w:tr>
        <w:tc>
          <w:tcPr/>
          <w:p>
            <w:pPr>
              <w:pStyle w:val="Compact"/>
              <w:jc w:val="left"/>
            </w:pPr>
            <w:r>
              <w:t xml:space="preserve">Where in this book</w:t>
            </w:r>
          </w:p>
        </w:tc>
        <w:tc>
          <w:tcPr/>
          <w:p>
            <w:pPr>
              <w:pStyle w:val="Compact"/>
              <w:jc w:val="left"/>
            </w:pPr>
            <w:r>
              <w:t xml:space="preserve">Ch 33–34</w:t>
            </w:r>
          </w:p>
        </w:tc>
        <w:tc>
          <w:tcPr/>
          <w:p>
            <w:pPr>
              <w:pStyle w:val="Compact"/>
              <w:jc w:val="left"/>
            </w:pPr>
            <w:r>
              <w:t xml:space="preserve">Most of Book I; case studies Ch 52–56</w:t>
            </w:r>
          </w:p>
        </w:tc>
        <w:tc>
          <w:tcPr/>
          <w:p>
            <w:pPr>
              <w:pStyle w:val="Compact"/>
              <w:jc w:val="left"/>
            </w:pPr>
            <w:r>
              <w:t xml:space="preserve">Ch 35–38</w:t>
            </w:r>
          </w:p>
        </w:tc>
      </w:tr>
    </w:tbl>
    <w:p>
      <w:pPr>
        <w:pStyle w:val="BodyText"/>
      </w:pPr>
      <w:r>
        <w:t xml:space="preserve">In everyday industry usage,</w:t>
      </w:r>
      <w:r>
        <w:t xml:space="preserve"> </w:t>
      </w:r>
      <w:r>
        <w:t xml:space="preserve">“</w:t>
      </w:r>
      <w:r>
        <w:t xml:space="preserve">system design</w:t>
      </w:r>
      <w:r>
        <w:t xml:space="preserve">”</w:t>
      </w:r>
      <w:r>
        <w:t xml:space="preserve"> </w:t>
      </w:r>
      <w:r>
        <w:t xml:space="preserve">usually means the distributed-systems end of architecture: servers, databases, caches, queues, networks and their failure modes.</w:t>
      </w:r>
      <w:r>
        <w:t xml:space="preserve"> </w:t>
      </w:r>
      <w:r>
        <w:t xml:space="preserve">“</w:t>
      </w:r>
      <w:r>
        <w:t xml:space="preserve">Software architecture</w:t>
      </w:r>
      <w:r>
        <w:t xml:space="preserve">”</w:t>
      </w:r>
      <w:r>
        <w:t xml:space="preserve"> </w:t>
      </w:r>
      <w:r>
        <w:t xml:space="preserve">is the broader discipline that also includes code-level structure and organizational concerns. This book treats system design as the large-scale, runtime-focused part of architecture.</w:t>
      </w:r>
    </w:p>
    <w:bookmarkStart w:id="45" w:name="real-world-industry-applications-1"/>
    <w:p>
      <w:pPr>
        <w:pStyle w:val="Heading4"/>
      </w:pPr>
      <w:r>
        <w:t xml:space="preserve">Real-world industry applications</w:t>
      </w:r>
    </w:p>
    <w:p>
      <w:pPr>
        <w:pStyle w:val="CalloutIndustry"/>
      </w:pPr>
      <w:r>
        <w:rPr>
          <w:bCs/>
          <w:b/>
        </w:rPr>
        <w:t xml:space="preserve">INDUSTRY EXAMPLE</w:t>
      </w:r>
    </w:p>
    <w:p>
      <w:pPr>
        <w:pStyle w:val="CalloutIndustry"/>
      </w:pPr>
      <w:r>
        <w:rPr>
          <w:bCs/>
          <w:b/>
        </w:rPr>
        <w:t xml:space="preserve">Architecture as a role.</w:t>
      </w:r>
      <w:r>
        <w:t xml:space="preserve"> </w:t>
      </w:r>
      <w:r>
        <w:t xml:space="preserve">Many companies do not have a job titled</w:t>
      </w:r>
      <w:r>
        <w:t xml:space="preserve"> </w:t>
      </w:r>
      <w:r>
        <w:t xml:space="preserve">“</w:t>
      </w:r>
      <w:r>
        <w:t xml:space="preserve">architect</w:t>
      </w:r>
      <w:r>
        <w:t xml:space="preserve">”</w:t>
      </w:r>
      <w:r>
        <w:t xml:space="preserve">; architectural decisions are made by senior and staff engineers through design documents and reviews (§1.10). Others have dedicated architects who own cross-team standards. In both models the activity is the same — identifying the hard-to-change decisions and making them deliberately — but the accountability differs.</w:t>
      </w:r>
      <w:r>
        <w:t xml:space="preserve"> </w:t>
      </w:r>
      <w:r>
        <w:rPr>
          <w:iCs/>
          <w:i/>
        </w:rPr>
        <w:t xml:space="preserve">Evidence: Illustrative</w:t>
      </w:r>
      <w:r>
        <w:t xml:space="preserve"> </w:t>
      </w:r>
      <w:r>
        <w:t xml:space="preserve">— a general description of common industry practice, not a claim about any specific company.</w:t>
      </w:r>
    </w:p>
    <w:bookmarkEnd w:id="45"/>
    <w:bookmarkStart w:id="46" w:name="advantages-and-disadvantages-1"/>
    <w:p>
      <w:pPr>
        <w:pStyle w:val="Heading4"/>
      </w:pPr>
      <w:r>
        <w:t xml:space="preserve">Advantages and disadvantages</w:t>
      </w:r>
    </w:p>
    <w:p>
      <w:pPr>
        <w:pStyle w:val="FirstParagraph"/>
      </w:pPr>
      <w:r>
        <w:t xml:space="preserve">An explicit architecture makes systems understandable, supports parallel work, and lets you predict quality attributes before building. Its costs are upfront effort, the risk of an</w:t>
      </w:r>
      <w:r>
        <w:t xml:space="preserve"> </w:t>
      </w:r>
      <w:r>
        <w:t xml:space="preserve">“</w:t>
      </w:r>
      <w:r>
        <w:t xml:space="preserve">ivory-tower</w:t>
      </w:r>
      <w:r>
        <w:t xml:space="preserve">”</w:t>
      </w:r>
      <w:r>
        <w:t xml:space="preserve"> </w:t>
      </w:r>
      <w:r>
        <w:t xml:space="preserve">architecture that ignores implementation realities, and rigidity if the architecture is enforced long after the requirements that justified it have changed.</w:t>
      </w:r>
    </w:p>
    <w:bookmarkEnd w:id="46"/>
    <w:bookmarkStart w:id="47" w:name="failure-scenarios-1"/>
    <w:p>
      <w:pPr>
        <w:pStyle w:val="Heading4"/>
      </w:pPr>
      <w:r>
        <w:t xml:space="preserve">Failure scenarios</w:t>
      </w:r>
    </w:p>
    <w:p>
      <w:pPr>
        <w:pStyle w:val="FirstParagraph"/>
      </w:pPr>
      <w:r>
        <w:rPr>
          <w:bCs/>
          <w:b/>
        </w:rPr>
        <w:t xml:space="preserve">Table 1.3 — Architecture-level 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w:t>
            </w:r>
            <w:r>
              <w:t xml:space="preserve">Big ball of mud</w:t>
            </w:r>
            <w:r>
              <w:t xml:space="preserve">”</w:t>
            </w:r>
            <w:r>
              <w:t xml:space="preserve"> </w:t>
            </w:r>
            <w:r>
              <w:t xml:space="preserve">— every module depends on every other</w:t>
            </w:r>
          </w:p>
        </w:tc>
        <w:tc>
          <w:tcPr/>
          <w:p>
            <w:pPr>
              <w:pStyle w:val="Compact"/>
              <w:jc w:val="left"/>
            </w:pPr>
            <w:r>
              <w:t xml:space="preserve">No agreed structure; boundaries eroded under deadline pressure</w:t>
            </w:r>
          </w:p>
        </w:tc>
        <w:tc>
          <w:tcPr/>
          <w:p>
            <w:pPr>
              <w:pStyle w:val="Compact"/>
              <w:jc w:val="left"/>
            </w:pPr>
            <w:r>
              <w:t xml:space="preserve">Small changes break distant features; slow builds</w:t>
            </w:r>
          </w:p>
        </w:tc>
        <w:tc>
          <w:tcPr/>
          <w:p>
            <w:pPr>
              <w:pStyle w:val="Compact"/>
              <w:jc w:val="left"/>
            </w:pPr>
            <w:r>
              <w:t xml:space="preserve">Incremental refactoring toward modules (§33.5)</w:t>
            </w:r>
          </w:p>
        </w:tc>
        <w:tc>
          <w:tcPr/>
          <w:p>
            <w:pPr>
              <w:pStyle w:val="Compact"/>
              <w:jc w:val="left"/>
            </w:pPr>
            <w:r>
              <w:t xml:space="preserve">Explicit module boundaries; dependency checks in CI</w:t>
            </w:r>
          </w:p>
        </w:tc>
      </w:tr>
      <w:tr>
        <w:tc>
          <w:tcPr/>
          <w:p>
            <w:pPr>
              <w:pStyle w:val="Compact"/>
              <w:jc w:val="left"/>
            </w:pPr>
            <w:r>
              <w:t xml:space="preserve">Architecture on paper differs from reality</w:t>
            </w:r>
          </w:p>
        </w:tc>
        <w:tc>
          <w:tcPr/>
          <w:p>
            <w:pPr>
              <w:pStyle w:val="Compact"/>
              <w:jc w:val="left"/>
            </w:pPr>
            <w:r>
              <w:t xml:space="preserve">Diagrams never updated</w:t>
            </w:r>
          </w:p>
        </w:tc>
        <w:tc>
          <w:tcPr/>
          <w:p>
            <w:pPr>
              <w:pStyle w:val="Compact"/>
              <w:jc w:val="left"/>
            </w:pPr>
            <w:r>
              <w:t xml:space="preserve">New engineers’ mental model is wrong; incidents surprise everyone</w:t>
            </w:r>
          </w:p>
        </w:tc>
        <w:tc>
          <w:tcPr/>
          <w:p>
            <w:pPr>
              <w:pStyle w:val="Compact"/>
              <w:jc w:val="left"/>
            </w:pPr>
            <w:r>
              <w:t xml:space="preserve">Re-derive diagrams from deployment config and traces</w:t>
            </w:r>
          </w:p>
        </w:tc>
        <w:tc>
          <w:tcPr/>
          <w:p>
            <w:pPr>
              <w:pStyle w:val="Compact"/>
              <w:jc w:val="left"/>
            </w:pPr>
            <w:r>
              <w:t xml:space="preserve">Keep diagrams next to code; review in design reviews</w:t>
            </w:r>
          </w:p>
        </w:tc>
      </w:tr>
      <w:tr>
        <w:tc>
          <w:tcPr/>
          <w:p>
            <w:pPr>
              <w:pStyle w:val="Compact"/>
              <w:jc w:val="left"/>
            </w:pPr>
            <w:r>
              <w:t xml:space="preserve">Distributed monolith</w:t>
            </w:r>
          </w:p>
        </w:tc>
        <w:tc>
          <w:tcPr/>
          <w:p>
            <w:pPr>
              <w:pStyle w:val="Compact"/>
              <w:jc w:val="left"/>
            </w:pPr>
            <w:r>
              <w:t xml:space="preserve">Split into services without splitting data or ownership</w:t>
            </w:r>
          </w:p>
        </w:tc>
        <w:tc>
          <w:tcPr/>
          <w:p>
            <w:pPr>
              <w:pStyle w:val="Compact"/>
              <w:jc w:val="left"/>
            </w:pPr>
            <w:r>
              <w:t xml:space="preserve">Every release requires coordinating many services</w:t>
            </w:r>
          </w:p>
        </w:tc>
        <w:tc>
          <w:tcPr/>
          <w:p>
            <w:pPr>
              <w:pStyle w:val="Compact"/>
              <w:jc w:val="left"/>
            </w:pPr>
            <w:r>
              <w:t xml:space="preserve">Merge services or re-cut boundaries</w:t>
            </w:r>
          </w:p>
        </w:tc>
        <w:tc>
          <w:tcPr/>
          <w:p>
            <w:pPr>
              <w:pStyle w:val="Compact"/>
              <w:jc w:val="left"/>
            </w:pPr>
            <w:r>
              <w:t xml:space="preserve">Draw boundaries around data ownership (§34.11, §34.14)</w:t>
            </w:r>
          </w:p>
        </w:tc>
      </w:tr>
    </w:tbl>
    <w:bookmarkEnd w:id="47"/>
    <w:bookmarkStart w:id="48" w:name="common-misconceptions-1"/>
    <w:p>
      <w:pPr>
        <w:pStyle w:val="Heading4"/>
      </w:pPr>
      <w:r>
        <w:t xml:space="preserve">Common misconceptions</w:t>
      </w:r>
    </w:p>
    <w:p>
      <w:pPr>
        <w:pStyle w:val="CalloutMistake"/>
      </w:pPr>
      <w:r>
        <w:rPr>
          <w:bCs/>
          <w:b/>
        </w:rPr>
        <w:t xml:space="preserve">COMMON MISTAKE</w:t>
      </w:r>
    </w:p>
    <w:p>
      <w:pPr>
        <w:pStyle w:val="CalloutMistake"/>
      </w:pPr>
      <w:r>
        <w:rPr>
          <w:bCs/>
          <w:b/>
        </w:rPr>
        <w:t xml:space="preserve">“</w:t>
      </w:r>
      <w:r>
        <w:rPr>
          <w:bCs/>
          <w:b/>
        </w:rPr>
        <w:t xml:space="preserve">Architecture is decided once, at the start.</w:t>
      </w:r>
      <w:r>
        <w:rPr>
          <w:bCs/>
          <w:b/>
        </w:rPr>
        <w:t xml:space="preserve">”</w:t>
      </w:r>
      <w:r>
        <w:t xml:space="preserve"> </w:t>
      </w:r>
      <w:r>
        <w:t xml:space="preserve">Requirements change, traffic grows, teams reorganize. Good architecture is</w:t>
      </w:r>
      <w:r>
        <w:t xml:space="preserve"> </w:t>
      </w:r>
      <w:r>
        <w:rPr>
          <w:iCs/>
          <w:i/>
        </w:rPr>
        <w:t xml:space="preserve">evolved</w:t>
      </w:r>
      <w:r>
        <w:t xml:space="preserve"> </w:t>
      </w:r>
      <w:r>
        <w:t xml:space="preserve">deliberately, with decisions revisited when their context changes — which is exactly why ADRs record the context (§1.8).</w:t>
      </w:r>
    </w:p>
    <w:bookmarkEnd w:id="48"/>
    <w:bookmarkEnd w:id="49"/>
    <w:bookmarkEnd w:id="50"/>
    <w:bookmarkStart w:id="64" w:name="high-level-vs-low-level-design"/>
    <w:p>
      <w:pPr>
        <w:pStyle w:val="Heading2"/>
      </w:pPr>
      <w:r>
        <w:t xml:space="preserve">1.5 High-level vs low-level design</w:t>
      </w:r>
    </w:p>
    <w:bookmarkStart w:id="63" w:name="definitions"/>
    <w:p>
      <w:pPr>
        <w:pStyle w:val="Heading3"/>
      </w:pPr>
      <w:r>
        <w:t xml:space="preserve">1.5.1 Definitions</w:t>
      </w:r>
    </w:p>
    <w:p>
      <w:pPr>
        <w:pStyle w:val="CalloutDefinition"/>
      </w:pPr>
      <w:r>
        <w:rPr>
          <w:bCs/>
          <w:b/>
        </w:rPr>
        <w:t xml:space="preserve">DEFINITION</w:t>
      </w:r>
    </w:p>
    <w:p>
      <w:pPr>
        <w:pStyle w:val="CalloutDefinition"/>
      </w:pPr>
      <w:r>
        <w:rPr>
          <w:bCs/>
          <w:b/>
        </w:rPr>
        <w:t xml:space="preserve">Definition — High-level design (HLD).</w:t>
      </w:r>
      <w:r>
        <w:t xml:space="preserve"> </w:t>
      </w:r>
      <w:r>
        <w:t xml:space="preserve">A description of a system as a set of major components (services, data stores, queues, caches, external dependencies), their responsibilities, the interfaces and protocols between them, data flows, and deployment topology — at a level of detail where each component is a box whose internals are not yet specified.</w:t>
      </w:r>
    </w:p>
    <w:p>
      <w:pPr>
        <w:pStyle w:val="CalloutDefinition"/>
      </w:pPr>
      <w:r>
        <w:rPr>
          <w:bCs/>
          <w:b/>
        </w:rPr>
        <w:t xml:space="preserve">DEFINITION</w:t>
      </w:r>
    </w:p>
    <w:p>
      <w:pPr>
        <w:pStyle w:val="CalloutDefinition"/>
      </w:pPr>
      <w:r>
        <w:rPr>
          <w:bCs/>
          <w:b/>
        </w:rPr>
        <w:t xml:space="preserve">Definition — Low-level design (LLD).</w:t>
      </w:r>
      <w:r>
        <w:t xml:space="preserve"> </w:t>
      </w:r>
      <w:r>
        <w:t xml:space="preserve">A description of the internals of one component: its modules, classes or functions, data structures, algorithms, database schemas, API request and response formats, error handling and state transitions — at a level of detail from which an engineer can write code.</w:t>
      </w:r>
    </w:p>
    <w:bookmarkStart w:id="51" w:name="first-principles-explanation-2"/>
    <w:p>
      <w:pPr>
        <w:pStyle w:val="Heading4"/>
      </w:pPr>
      <w:r>
        <w:t xml:space="preserve">First-principles explanation</w:t>
      </w:r>
    </w:p>
    <w:p>
      <w:pPr>
        <w:pStyle w:val="FirstParagraph"/>
      </w:pPr>
      <w:r>
        <w:t xml:space="preserve">A city planner decides where the roads, the water mains and the power substations go, and how much traffic and water each must carry. That is high-level design. An architect then draws the plumbing for one particular building: pipe diameters, which tap connects to which riser, where the shut-off valves are. That is low-level design. Both are design; they answer different questions at different zoom levels, and a good HLD makes the LLD of each part</w:t>
      </w:r>
      <w:r>
        <w:t xml:space="preserve"> </w:t>
      </w:r>
      <w:r>
        <w:rPr>
          <w:iCs/>
          <w:i/>
        </w:rPr>
        <w:t xml:space="preserve">possible</w:t>
      </w:r>
      <w:r>
        <w:t xml:space="preserve"> </w:t>
      </w:r>
      <w:r>
        <w:t xml:space="preserve">without dictating it.</w:t>
      </w:r>
    </w:p>
    <w:bookmarkEnd w:id="51"/>
    <w:bookmarkStart w:id="52" w:name="why-does-this-exist-2"/>
    <w:p>
      <w:pPr>
        <w:pStyle w:val="Heading4"/>
      </w:pPr>
      <w:r>
        <w:t xml:space="preserve">Why does this exist?</w:t>
      </w:r>
    </w:p>
    <w:p>
      <w:pPr>
        <w:pStyle w:val="FirstParagraph"/>
      </w:pPr>
      <w:r>
        <w:t xml:space="preserve">Splitting design by zoom level lets the most consequential decisions (where data lives, how components communicate, how the system survives failures) be made and reviewed first, by people looking at the whole. It then lets each team design its component in detail independently, as long as it respects the interfaces the HLD fixed.</w:t>
      </w:r>
    </w:p>
    <w:bookmarkEnd w:id="52"/>
    <w:bookmarkStart w:id="53" w:name="how-it-works-internally-2"/>
    <w:p>
      <w:pPr>
        <w:pStyle w:val="Heading4"/>
      </w:pPr>
      <w:r>
        <w:t xml:space="preserve">How it works internally</w:t>
      </w:r>
    </w:p>
    <w:p>
      <w:pPr>
        <w:numPr>
          <w:ilvl w:val="0"/>
          <w:numId w:val="1009"/>
        </w:numPr>
        <w:pStyle w:val="Compact"/>
      </w:pPr>
      <w:r>
        <w:t xml:space="preserve">The HLD fixes</w:t>
      </w:r>
      <w:r>
        <w:t xml:space="preserve"> </w:t>
      </w:r>
      <w:r>
        <w:rPr>
          <w:bCs/>
          <w:b/>
        </w:rPr>
        <w:t xml:space="preserve">boundaries and contracts</w:t>
      </w:r>
      <w:r>
        <w:t xml:space="preserve">: which component owns which data and exposes which API.</w:t>
      </w:r>
    </w:p>
    <w:p>
      <w:pPr>
        <w:numPr>
          <w:ilvl w:val="0"/>
          <w:numId w:val="1009"/>
        </w:numPr>
        <w:pStyle w:val="Compact"/>
      </w:pPr>
      <w:r>
        <w:t xml:space="preserve">Each component’s LLD fills in</w:t>
      </w:r>
      <w:r>
        <w:t xml:space="preserve"> </w:t>
      </w:r>
      <w:r>
        <w:rPr>
          <w:bCs/>
          <w:b/>
        </w:rPr>
        <w:t xml:space="preserve">internals</w:t>
      </w:r>
      <w:r>
        <w:t xml:space="preserve">: classes, schemas, algorithms, concurrency.</w:t>
      </w:r>
    </w:p>
    <w:p>
      <w:pPr>
        <w:numPr>
          <w:ilvl w:val="0"/>
          <w:numId w:val="1009"/>
        </w:numPr>
        <w:pStyle w:val="Compact"/>
      </w:pPr>
      <w:r>
        <w:t xml:space="preserve">LLD work frequently discovers problems the HLD missed (an operation that needs data from two owners; an API that cannot be made idempotent). These flow back to revise the HLD — design is a conversation between zoom levels, not a waterfall.</w:t>
      </w:r>
    </w:p>
    <w:bookmarkEnd w:id="53"/>
    <w:bookmarkStart w:id="60" w:name="architecture-diagram-1"/>
    <w:p>
      <w:pPr>
        <w:pStyle w:val="Heading4"/>
      </w:pPr>
      <w:r>
        <w:t xml:space="preserve">Architecture diagram</w:t>
      </w:r>
    </w:p>
    <w:p>
      <w:pPr>
        <w:pStyle w:val="FirstParagraph"/>
      </w:pPr>
      <w:r>
        <w:t xml:space="preserve">The HLD of PhotoShare’s upload path at a later stage (detailed in §1.9) looks like this.</w:t>
      </w:r>
    </w:p>
    <w:p>
      <w:pPr>
        <w:pStyle w:val="BodyText"/>
      </w:pPr>
      <w:r>
        <w:rPr>
          <w:bCs/>
          <w:b/>
        </w:rPr>
        <w:t xml:space="preserve">Figure 1.2 — High-level design of the PhotoShare upload path.</w:t>
      </w:r>
    </w:p>
    <w:p>
      <w:pPr>
        <w:pStyle w:val="BodyText"/>
      </w:pPr>
      <w:r>
        <w:drawing>
          <wp:inline>
            <wp:extent cx="5334000" cy="859276"/>
            <wp:effectExtent b="0" l="0" r="0" t="0"/>
            <wp:docPr descr="" title="" id="55" name="Picture"/>
            <a:graphic>
              <a:graphicData uri="http://schemas.openxmlformats.org/drawingml/2006/picture">
                <pic:pic>
                  <pic:nvPicPr>
                    <pic:cNvPr descr="/home/user/System-Design/build/.cache/diagrams/a2a094e7d1f7.png" id="56" name="Picture"/>
                    <pic:cNvPicPr>
                      <a:picLocks noChangeArrowheads="1" noChangeAspect="1"/>
                    </pic:cNvPicPr>
                  </pic:nvPicPr>
                  <pic:blipFill>
                    <a:blip r:embed="rId54"/>
                    <a:stretch>
                      <a:fillRect/>
                    </a:stretch>
                  </pic:blipFill>
                  <pic:spPr bwMode="auto">
                    <a:xfrm>
                      <a:off x="0" y="0"/>
                      <a:ext cx="5334000" cy="859276"/>
                    </a:xfrm>
                    <a:prstGeom prst="rect">
                      <a:avLst/>
                    </a:prstGeom>
                    <a:noFill/>
                    <a:ln w="9525">
                      <a:noFill/>
                      <a:headEnd/>
                      <a:tailEnd/>
                    </a:ln>
                  </pic:spPr>
                </pic:pic>
              </a:graphicData>
            </a:graphic>
          </wp:inline>
        </w:drawing>
      </w:r>
    </w:p>
    <w:p>
      <w:pPr>
        <w:pStyle w:val="BodyText"/>
      </w:pPr>
      <w:r>
        <w:rPr>
          <w:bCs/>
          <w:b/>
        </w:rPr>
        <w:t xml:space="preserve">Reading the diagram.</w:t>
      </w:r>
    </w:p>
    <w:p>
      <w:pPr>
        <w:numPr>
          <w:ilvl w:val="0"/>
          <w:numId w:val="1010"/>
        </w:numPr>
        <w:pStyle w:val="Compact"/>
      </w:pPr>
      <w:r>
        <w:rPr>
          <w:bCs/>
          <w:b/>
        </w:rPr>
        <w:t xml:space="preserve">Components.</w:t>
      </w:r>
      <w:r>
        <w:t xml:space="preserve"> </w:t>
      </w:r>
      <w:r>
        <w:t xml:space="preserve">The</w:t>
      </w:r>
      <w:r>
        <w:t xml:space="preserve"> </w:t>
      </w:r>
      <w:r>
        <w:rPr>
          <w:iCs/>
          <w:i/>
        </w:rPr>
        <w:t xml:space="preserve">upload service</w:t>
      </w:r>
      <w:r>
        <w:t xml:space="preserve"> </w:t>
      </w:r>
      <w:r>
        <w:t xml:space="preserve">accepts photos;</w:t>
      </w:r>
      <w:r>
        <w:t xml:space="preserve"> </w:t>
      </w:r>
      <w:r>
        <w:rPr>
          <w:iCs/>
          <w:i/>
        </w:rPr>
        <w:t xml:space="preserve">object storage</w:t>
      </w:r>
      <w:r>
        <w:t xml:space="preserve"> </w:t>
      </w:r>
      <w:r>
        <w:t xml:space="preserve">holds the image bytes; the</w:t>
      </w:r>
      <w:r>
        <w:t xml:space="preserve"> </w:t>
      </w:r>
      <w:r>
        <w:rPr>
          <w:iCs/>
          <w:i/>
        </w:rPr>
        <w:t xml:space="preserve">metadata database</w:t>
      </w:r>
      <w:r>
        <w:t xml:space="preserve"> </w:t>
      </w:r>
      <w:r>
        <w:t xml:space="preserve">holds rows describing each photo (owner, time, status, storage key); the</w:t>
      </w:r>
      <w:r>
        <w:t xml:space="preserve"> </w:t>
      </w:r>
      <w:r>
        <w:rPr>
          <w:iCs/>
          <w:i/>
        </w:rPr>
        <w:t xml:space="preserve">job queue</w:t>
      </w:r>
      <w:r>
        <w:t xml:space="preserve"> </w:t>
      </w:r>
      <w:r>
        <w:t xml:space="preserve">buffers work;</w:t>
      </w:r>
      <w:r>
        <w:t xml:space="preserve"> </w:t>
      </w:r>
      <w:r>
        <w:rPr>
          <w:iCs/>
          <w:i/>
        </w:rPr>
        <w:t xml:space="preserve">thumbnail workers</w:t>
      </w:r>
      <w:r>
        <w:t xml:space="preserve"> </w:t>
      </w:r>
      <w:r>
        <w:t xml:space="preserve">produce smaller versions of each photo.</w:t>
      </w:r>
    </w:p>
    <w:p>
      <w:pPr>
        <w:numPr>
          <w:ilvl w:val="0"/>
          <w:numId w:val="1010"/>
        </w:numPr>
        <w:pStyle w:val="Compact"/>
      </w:pPr>
      <w:r>
        <w:rPr>
          <w:bCs/>
          <w:b/>
        </w:rPr>
        <w:t xml:space="preserve">Protocols.</w:t>
      </w:r>
      <w:r>
        <w:t xml:space="preserve"> </w:t>
      </w:r>
      <w:r>
        <w:t xml:space="preserve">HTTPS from the client; the object store is typically accessed over an HTTP API; the database over its wire protocol (SQL); the queue over the broker’s protocol.</w:t>
      </w:r>
    </w:p>
    <w:p>
      <w:pPr>
        <w:numPr>
          <w:ilvl w:val="0"/>
          <w:numId w:val="1010"/>
        </w:numPr>
        <w:pStyle w:val="Compact"/>
      </w:pPr>
      <w:r>
        <w:rPr>
          <w:bCs/>
          <w:b/>
        </w:rPr>
        <w:t xml:space="preserve">Direction and sync/async.</w:t>
      </w:r>
      <w:r>
        <w:t xml:space="preserve"> </w:t>
      </w:r>
      <w:r>
        <w:t xml:space="preserve">Solid arrows are synchronous: the client waits while the original is stored and the metadata row inserted. Dotted arrows are asynchronous: the resize job is enqueued and processed later, so the client gets a response without waiting for thumbnails.</w:t>
      </w:r>
    </w:p>
    <w:p>
      <w:pPr>
        <w:numPr>
          <w:ilvl w:val="0"/>
          <w:numId w:val="1010"/>
        </w:numPr>
        <w:pStyle w:val="Compact"/>
      </w:pPr>
      <w:r>
        <w:rPr>
          <w:bCs/>
          <w:b/>
        </w:rPr>
        <w:t xml:space="preserve">Storage boundaries.</w:t>
      </w:r>
      <w:r>
        <w:t xml:space="preserve"> </w:t>
      </w:r>
      <w:r>
        <w:t xml:space="preserve">Two stores with different jobs: large immutable blobs in object storage, small mutable rows in the database.</w:t>
      </w:r>
    </w:p>
    <w:p>
      <w:pPr>
        <w:numPr>
          <w:ilvl w:val="0"/>
          <w:numId w:val="1010"/>
        </w:numPr>
        <w:pStyle w:val="Compact"/>
      </w:pPr>
      <w:r>
        <w:rPr>
          <w:bCs/>
          <w:b/>
        </w:rPr>
        <w:t xml:space="preserve">Failure points.</w:t>
      </w:r>
      <w:r>
        <w:t xml:space="preserve"> </w:t>
      </w:r>
      <w:r>
        <w:t xml:space="preserve">If the queue is unavailable, uploads can still succeed but thumbnails are delayed; if workers crash, jobs remain in the queue and are retried. A crash</w:t>
      </w:r>
      <w:r>
        <w:t xml:space="preserve"> </w:t>
      </w:r>
      <w:r>
        <w:rPr>
          <w:iCs/>
          <w:i/>
        </w:rPr>
        <w:t xml:space="preserve">between</w:t>
      </w:r>
      <w:r>
        <w:t xml:space="preserve"> </w:t>
      </w:r>
      <w:r>
        <w:t xml:space="preserve">storing the original and inserting the row leaves an orphaned object — a consistency gap the LLD must handle (for example, by a periodic cleanup job).</w:t>
      </w:r>
    </w:p>
    <w:p>
      <w:pPr>
        <w:numPr>
          <w:ilvl w:val="0"/>
          <w:numId w:val="1010"/>
        </w:numPr>
        <w:pStyle w:val="Compact"/>
      </w:pPr>
      <w:r>
        <w:rPr>
          <w:bCs/>
          <w:b/>
        </w:rPr>
        <w:t xml:space="preserve">Scaling options.</w:t>
      </w:r>
      <w:r>
        <w:t xml:space="preserve"> </w:t>
      </w:r>
      <w:r>
        <w:t xml:space="preserve">Upload service and workers scale horizontally by adding instances; the queue absorbs bursts so workers can be sized for average rather than peak load.</w:t>
      </w:r>
    </w:p>
    <w:p>
      <w:pPr>
        <w:pStyle w:val="FirstParagraph"/>
      </w:pPr>
      <w:r>
        <w:t xml:space="preserve">Notice what the HLD does</w:t>
      </w:r>
      <w:r>
        <w:t xml:space="preserve"> </w:t>
      </w:r>
      <w:r>
        <w:rPr>
          <w:iCs/>
          <w:i/>
        </w:rPr>
        <w:t xml:space="preserve">not</w:t>
      </w:r>
      <w:r>
        <w:t xml:space="preserve"> </w:t>
      </w:r>
      <w:r>
        <w:t xml:space="preserve">say: how the upload service validates file types, which class generates storage keys, or what the table columns are. That is LLD.</w:t>
      </w:r>
    </w:p>
    <w:p>
      <w:pPr>
        <w:pStyle w:val="BodyText"/>
      </w:pPr>
      <w:r>
        <w:rPr>
          <w:bCs/>
          <w:b/>
        </w:rPr>
        <w:t xml:space="preserve">Figure 1.3 — Low-level design of the upload component (class view).</w:t>
      </w:r>
    </w:p>
    <w:p>
      <w:pPr>
        <w:pStyle w:val="BodyText"/>
      </w:pPr>
      <w:r>
        <w:drawing>
          <wp:inline>
            <wp:extent cx="5334000" cy="4514490"/>
            <wp:effectExtent b="0" l="0" r="0" t="0"/>
            <wp:docPr descr="" title="" id="58" name="Picture"/>
            <a:graphic>
              <a:graphicData uri="http://schemas.openxmlformats.org/drawingml/2006/picture">
                <pic:pic>
                  <pic:nvPicPr>
                    <pic:cNvPr descr="/home/user/System-Design/build/.cache/diagrams/76929f4b1ec0.png" id="59" name="Picture"/>
                    <pic:cNvPicPr>
                      <a:picLocks noChangeArrowheads="1" noChangeAspect="1"/>
                    </pic:cNvPicPr>
                  </pic:nvPicPr>
                  <pic:blipFill>
                    <a:blip r:embed="rId57"/>
                    <a:stretch>
                      <a:fillRect/>
                    </a:stretch>
                  </pic:blipFill>
                  <pic:spPr bwMode="auto">
                    <a:xfrm>
                      <a:off x="0" y="0"/>
                      <a:ext cx="5334000" cy="4514490"/>
                    </a:xfrm>
                    <a:prstGeom prst="rect">
                      <a:avLst/>
                    </a:prstGeom>
                    <a:noFill/>
                    <a:ln w="9525">
                      <a:noFill/>
                      <a:headEnd/>
                      <a:tailEnd/>
                    </a:ln>
                  </pic:spPr>
                </pic:pic>
              </a:graphicData>
            </a:graphic>
          </wp:inline>
        </w:drawing>
      </w:r>
    </w:p>
    <w:p>
      <w:pPr>
        <w:pStyle w:val="BodyText"/>
      </w:pPr>
      <w:r>
        <w:rPr>
          <w:bCs/>
          <w:b/>
        </w:rPr>
        <w:t xml:space="preserve">Reading the diagram.</w:t>
      </w:r>
    </w:p>
    <w:p>
      <w:pPr>
        <w:numPr>
          <w:ilvl w:val="0"/>
          <w:numId w:val="1011"/>
        </w:numPr>
        <w:pStyle w:val="Compact"/>
      </w:pPr>
      <w:r>
        <w:rPr>
          <w:bCs/>
          <w:b/>
        </w:rPr>
        <w:t xml:space="preserve">Components.</w:t>
      </w:r>
      <w:r>
        <w:t xml:space="preserve"> </w:t>
      </w:r>
      <w:r>
        <w:rPr>
          <w:rStyle w:val="VerbatimChar"/>
        </w:rPr>
        <w:t xml:space="preserve">UploadController</w:t>
      </w:r>
      <w:r>
        <w:t xml:space="preserve"> </w:t>
      </w:r>
      <w:r>
        <w:t xml:space="preserve">handles HTTP concerns (parsing, authentication result, response codes).</w:t>
      </w:r>
      <w:r>
        <w:t xml:space="preserve"> </w:t>
      </w:r>
      <w:r>
        <w:rPr>
          <w:rStyle w:val="VerbatimChar"/>
        </w:rPr>
        <w:t xml:space="preserve">PhotoService</w:t>
      </w:r>
      <w:r>
        <w:t xml:space="preserve"> </w:t>
      </w:r>
      <w:r>
        <w:t xml:space="preserve">holds the business rule</w:t>
      </w:r>
      <w:r>
        <w:t xml:space="preserve"> </w:t>
      </w:r>
      <w:r>
        <w:t xml:space="preserve">“</w:t>
      </w:r>
      <w:r>
        <w:t xml:space="preserve">store bytes, record metadata, request thumbnails</w:t>
      </w:r>
      <w:r>
        <w:t xml:space="preserve">”</w:t>
      </w:r>
      <w:r>
        <w:t xml:space="preserve">.</w:t>
      </w:r>
      <w:r>
        <w:t xml:space="preserve"> </w:t>
      </w:r>
      <w:r>
        <w:rPr>
          <w:rStyle w:val="VerbatimChar"/>
        </w:rPr>
        <w:t xml:space="preserve">BlobStore</w:t>
      </w:r>
      <w:r>
        <w:t xml:space="preserve"> </w:t>
      </w:r>
      <w:r>
        <w:t xml:space="preserve">is an</w:t>
      </w:r>
      <w:r>
        <w:t xml:space="preserve"> </w:t>
      </w:r>
      <w:r>
        <w:rPr>
          <w:iCs/>
          <w:i/>
        </w:rPr>
        <w:t xml:space="preserve">interface</w:t>
      </w:r>
      <w:r>
        <w:t xml:space="preserve">, so the same code can target local disk in tests and object storage in production.</w:t>
      </w:r>
      <w:r>
        <w:t xml:space="preserve"> </w:t>
      </w:r>
      <w:r>
        <w:rPr>
          <w:rStyle w:val="VerbatimChar"/>
        </w:rPr>
        <w:t xml:space="preserve">PhotoRepository</w:t>
      </w:r>
      <w:r>
        <w:t xml:space="preserve"> </w:t>
      </w:r>
      <w:r>
        <w:t xml:space="preserve">wraps database access.</w:t>
      </w:r>
      <w:r>
        <w:t xml:space="preserve"> </w:t>
      </w:r>
      <w:r>
        <w:rPr>
          <w:rStyle w:val="VerbatimChar"/>
        </w:rPr>
        <w:t xml:space="preserve">JobPublisher</w:t>
      </w:r>
      <w:r>
        <w:t xml:space="preserve"> </w:t>
      </w:r>
      <w:r>
        <w:t xml:space="preserve">wraps the queue.</w:t>
      </w:r>
      <w:r>
        <w:t xml:space="preserve"> </w:t>
      </w:r>
      <w:r>
        <w:rPr>
          <w:rStyle w:val="VerbatimChar"/>
        </w:rPr>
        <w:t xml:space="preserve">Photo</w:t>
      </w:r>
      <w:r>
        <w:t xml:space="preserve"> </w:t>
      </w:r>
      <w:r>
        <w:t xml:space="preserve">is the data record.</w:t>
      </w:r>
    </w:p>
    <w:p>
      <w:pPr>
        <w:numPr>
          <w:ilvl w:val="0"/>
          <w:numId w:val="1011"/>
        </w:numPr>
        <w:pStyle w:val="Compact"/>
      </w:pPr>
      <w:r>
        <w:rPr>
          <w:bCs/>
          <w:b/>
        </w:rPr>
        <w:t xml:space="preserve">Direction.</w:t>
      </w:r>
      <w:r>
        <w:t xml:space="preserve"> </w:t>
      </w:r>
      <w:r>
        <w:t xml:space="preserve">Arrows show dependency: the controller depends on the service, which depends on three abstractions. Nothing depends on the controller.</w:t>
      </w:r>
    </w:p>
    <w:p>
      <w:pPr>
        <w:numPr>
          <w:ilvl w:val="0"/>
          <w:numId w:val="1011"/>
        </w:numPr>
        <w:pStyle w:val="Compact"/>
      </w:pPr>
      <w:r>
        <w:rPr>
          <w:bCs/>
          <w:b/>
        </w:rPr>
        <w:t xml:space="preserve">Sync/async and storage boundaries.</w:t>
      </w:r>
      <w:r>
        <w:t xml:space="preserve"> </w:t>
      </w:r>
      <w:r>
        <w:t xml:space="preserve">All calls in this diagram are synchronous in-process calls; the asynchrony from Figure 1.2 is hidden behind</w:t>
      </w:r>
      <w:r>
        <w:t xml:space="preserve"> </w:t>
      </w:r>
      <w:r>
        <w:rPr>
          <w:rStyle w:val="VerbatimChar"/>
        </w:rPr>
        <w:t xml:space="preserve">JobPublisher</w:t>
      </w:r>
      <w:r>
        <w:t xml:space="preserve">.</w:t>
      </w:r>
    </w:p>
    <w:p>
      <w:pPr>
        <w:numPr>
          <w:ilvl w:val="0"/>
          <w:numId w:val="1011"/>
        </w:numPr>
        <w:pStyle w:val="Compact"/>
      </w:pPr>
      <w:r>
        <w:rPr>
          <w:bCs/>
          <w:b/>
        </w:rPr>
        <w:t xml:space="preserve">Failure points.</w:t>
      </w:r>
      <w:r>
        <w:t xml:space="preserve"> </w:t>
      </w:r>
      <w:r>
        <w:rPr>
          <w:rStyle w:val="VerbatimChar"/>
        </w:rPr>
        <w:t xml:space="preserve">createPhoto</w:t>
      </w:r>
      <w:r>
        <w:t xml:space="preserve"> </w:t>
      </w:r>
      <w:r>
        <w:t xml:space="preserve">performs three external operations that can each fail; the LLD must define ordering (store bytes first, then the row, then the job) and compensation (a cleanup for orphaned objects). A</w:t>
      </w:r>
      <w:r>
        <w:t xml:space="preserve"> </w:t>
      </w:r>
      <w:r>
        <w:rPr>
          <w:rStyle w:val="VerbatimChar"/>
        </w:rPr>
        <w:t xml:space="preserve">status</w:t>
      </w:r>
      <w:r>
        <w:t xml:space="preserve"> </w:t>
      </w:r>
      <w:r>
        <w:t xml:space="preserve">field (</w:t>
      </w:r>
      <w:r>
        <w:rPr>
          <w:rStyle w:val="VerbatimChar"/>
        </w:rPr>
        <w:t xml:space="preserve">PENDING</w:t>
      </w:r>
      <w:r>
        <w:t xml:space="preserve"> </w:t>
      </w:r>
      <w:r>
        <w:t xml:space="preserve">→</w:t>
      </w:r>
      <w:r>
        <w:t xml:space="preserve"> </w:t>
      </w:r>
      <w:r>
        <w:rPr>
          <w:rStyle w:val="VerbatimChar"/>
        </w:rPr>
        <w:t xml:space="preserve">READY</w:t>
      </w:r>
      <w:r>
        <w:t xml:space="preserve">) makes partial progress visible.</w:t>
      </w:r>
    </w:p>
    <w:p>
      <w:pPr>
        <w:numPr>
          <w:ilvl w:val="0"/>
          <w:numId w:val="1011"/>
        </w:numPr>
        <w:pStyle w:val="Compact"/>
      </w:pPr>
      <w:r>
        <w:rPr>
          <w:bCs/>
          <w:b/>
        </w:rPr>
        <w:t xml:space="preserve">Scaling options.</w:t>
      </w:r>
      <w:r>
        <w:t xml:space="preserve"> </w:t>
      </w:r>
      <w:r>
        <w:t xml:space="preserve">Scaling is not decided here; this component is stateless, which is what allows the HLD to run many copies of it. Object-oriented principles behind this structure are covered in Ch 35 (Object-Oriented Design) and Ch 36 (SOLID Principles).</w:t>
      </w:r>
    </w:p>
    <w:bookmarkEnd w:id="60"/>
    <w:bookmarkStart w:id="61" w:name="alternatives-and-trade-offs"/>
    <w:p>
      <w:pPr>
        <w:pStyle w:val="Heading4"/>
      </w:pPr>
      <w:r>
        <w:t xml:space="preserve">Alternatives and trade-offs</w:t>
      </w:r>
    </w:p>
    <w:p>
      <w:pPr>
        <w:pStyle w:val="FirstParagraph"/>
      </w:pPr>
      <w:r>
        <w:rPr>
          <w:bCs/>
          <w:b/>
        </w:rPr>
        <w:t xml:space="preserve">Table 1.4 — High-level design vs low-level design.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High-level design</w:t>
            </w:r>
          </w:p>
        </w:tc>
        <w:tc>
          <w:tcPr/>
          <w:p>
            <w:pPr>
              <w:pStyle w:val="Compact"/>
              <w:jc w:val="left"/>
            </w:pPr>
            <w:r>
              <w:t xml:space="preserve">Low-level design</w:t>
            </w:r>
          </w:p>
        </w:tc>
      </w:tr>
      <w:tr>
        <w:tc>
          <w:tcPr/>
          <w:p>
            <w:pPr>
              <w:pStyle w:val="Compact"/>
              <w:jc w:val="left"/>
            </w:pPr>
            <w:r>
              <w:t xml:space="preserve">What it is</w:t>
            </w:r>
          </w:p>
        </w:tc>
        <w:tc>
          <w:tcPr/>
          <w:p>
            <w:pPr>
              <w:pStyle w:val="Compact"/>
              <w:jc w:val="left"/>
            </w:pPr>
            <w:r>
              <w:t xml:space="preserve">Components, data flows, deployment</w:t>
            </w:r>
          </w:p>
        </w:tc>
        <w:tc>
          <w:tcPr/>
          <w:p>
            <w:pPr>
              <w:pStyle w:val="Compact"/>
              <w:jc w:val="left"/>
            </w:pPr>
            <w:r>
              <w:t xml:space="preserve">Internals of one component</w:t>
            </w:r>
          </w:p>
        </w:tc>
      </w:tr>
      <w:tr>
        <w:tc>
          <w:tcPr/>
          <w:p>
            <w:pPr>
              <w:pStyle w:val="Compact"/>
              <w:jc w:val="left"/>
            </w:pPr>
            <w:r>
              <w:t xml:space="preserve">How it works</w:t>
            </w:r>
          </w:p>
        </w:tc>
        <w:tc>
          <w:tcPr/>
          <w:p>
            <w:pPr>
              <w:pStyle w:val="Compact"/>
              <w:jc w:val="left"/>
            </w:pPr>
            <w:r>
              <w:t xml:space="preserve">Boxes, arrows, contracts, capacity numbers</w:t>
            </w:r>
          </w:p>
        </w:tc>
        <w:tc>
          <w:tcPr/>
          <w:p>
            <w:pPr>
              <w:pStyle w:val="Compact"/>
              <w:jc w:val="left"/>
            </w:pPr>
            <w:r>
              <w:t xml:space="preserve">Classes, schemas, algorithms, state machines</w:t>
            </w:r>
          </w:p>
        </w:tc>
      </w:tr>
      <w:tr>
        <w:tc>
          <w:tcPr/>
          <w:p>
            <w:pPr>
              <w:pStyle w:val="Compact"/>
              <w:jc w:val="left"/>
            </w:pPr>
            <w:r>
              <w:t xml:space="preserve">Main concern</w:t>
            </w:r>
          </w:p>
        </w:tc>
        <w:tc>
          <w:tcPr/>
          <w:p>
            <w:pPr>
              <w:pStyle w:val="Compact"/>
              <w:jc w:val="left"/>
            </w:pPr>
            <w:r>
              <w:t xml:space="preserve">Quality attributes: scale, availability, latency, cost</w:t>
            </w:r>
          </w:p>
        </w:tc>
        <w:tc>
          <w:tcPr/>
          <w:p>
            <w:pPr>
              <w:pStyle w:val="Compact"/>
              <w:jc w:val="left"/>
            </w:pPr>
            <w:r>
              <w:t xml:space="preserve">Correctness, clarity, testability, extensibility</w:t>
            </w:r>
          </w:p>
        </w:tc>
      </w:tr>
      <w:tr>
        <w:tc>
          <w:tcPr/>
          <w:p>
            <w:pPr>
              <w:pStyle w:val="Compact"/>
              <w:jc w:val="left"/>
            </w:pPr>
            <w:r>
              <w:t xml:space="preserve">Typical diagrams</w:t>
            </w:r>
          </w:p>
        </w:tc>
        <w:tc>
          <w:tcPr/>
          <w:p>
            <w:pPr>
              <w:pStyle w:val="Compact"/>
              <w:jc w:val="left"/>
            </w:pPr>
            <w:r>
              <w:t xml:space="preserve">Flowchart/deployment, sequence across services</w:t>
            </w:r>
          </w:p>
        </w:tc>
        <w:tc>
          <w:tcPr/>
          <w:p>
            <w:pPr>
              <w:pStyle w:val="Compact"/>
              <w:jc w:val="left"/>
            </w:pPr>
            <w:r>
              <w:t xml:space="preserve">Class, sequence within a service, state, ER</w:t>
            </w:r>
          </w:p>
        </w:tc>
      </w:tr>
      <w:tr>
        <w:tc>
          <w:tcPr/>
          <w:p>
            <w:pPr>
              <w:pStyle w:val="Compact"/>
              <w:jc w:val="left"/>
            </w:pPr>
            <w:r>
              <w:t xml:space="preserve">Cost of a wrong decision</w:t>
            </w:r>
          </w:p>
        </w:tc>
        <w:tc>
          <w:tcPr/>
          <w:p>
            <w:pPr>
              <w:pStyle w:val="Compact"/>
              <w:jc w:val="left"/>
            </w:pPr>
            <w:r>
              <w:t xml:space="preserve">High — often needs data migration</w:t>
            </w:r>
          </w:p>
        </w:tc>
        <w:tc>
          <w:tcPr/>
          <w:p>
            <w:pPr>
              <w:pStyle w:val="Compact"/>
              <w:jc w:val="left"/>
            </w:pPr>
            <w:r>
              <w:t xml:space="preserve">Lower — usually a refactor within one team</w:t>
            </w:r>
          </w:p>
        </w:tc>
      </w:tr>
      <w:tr>
        <w:tc>
          <w:tcPr/>
          <w:p>
            <w:pPr>
              <w:pStyle w:val="Compact"/>
              <w:jc w:val="left"/>
            </w:pPr>
            <w:r>
              <w:t xml:space="preserve">Who reviews</w:t>
            </w:r>
          </w:p>
        </w:tc>
        <w:tc>
          <w:tcPr/>
          <w:p>
            <w:pPr>
              <w:pStyle w:val="Compact"/>
              <w:jc w:val="left"/>
            </w:pPr>
            <w:r>
              <w:t xml:space="preserve">Senior engineers across teams</w:t>
            </w:r>
          </w:p>
        </w:tc>
        <w:tc>
          <w:tcPr/>
          <w:p>
            <w:pPr>
              <w:pStyle w:val="Compact"/>
              <w:jc w:val="left"/>
            </w:pPr>
            <w:r>
              <w:t xml:space="preserve">The owning team</w:t>
            </w:r>
          </w:p>
        </w:tc>
      </w:tr>
      <w:tr>
        <w:tc>
          <w:tcPr/>
          <w:p>
            <w:pPr>
              <w:pStyle w:val="Compact"/>
              <w:jc w:val="left"/>
            </w:pPr>
            <w:r>
              <w:t xml:space="preserve">Interview format</w:t>
            </w:r>
          </w:p>
        </w:tc>
        <w:tc>
          <w:tcPr/>
          <w:p>
            <w:pPr>
              <w:pStyle w:val="Compact"/>
              <w:jc w:val="left"/>
            </w:pPr>
            <w:r>
              <w:t xml:space="preserve">“</w:t>
            </w:r>
            <w:r>
              <w:t xml:space="preserve">Design Instagram</w:t>
            </w:r>
            <w:r>
              <w:t xml:space="preserve">”</w:t>
            </w:r>
            <w:r>
              <w:t xml:space="preserve"> </w:t>
            </w:r>
            <w:r>
              <w:t xml:space="preserve">(Ch 87–88, 91)</w:t>
            </w:r>
          </w:p>
        </w:tc>
        <w:tc>
          <w:tcPr/>
          <w:p>
            <w:pPr>
              <w:pStyle w:val="Compact"/>
              <w:jc w:val="left"/>
            </w:pPr>
            <w:r>
              <w:t xml:space="preserve">“</w:t>
            </w:r>
            <w:r>
              <w:t xml:space="preserve">Design a parking lot</w:t>
            </w:r>
            <w:r>
              <w:t xml:space="preserve">”</w:t>
            </w:r>
            <w:r>
              <w:t xml:space="preserve"> </w:t>
            </w:r>
            <w:r>
              <w:t xml:space="preserve">(Ch 38)</w:t>
            </w:r>
          </w:p>
        </w:tc>
      </w:tr>
      <w:tr>
        <w:tc>
          <w:tcPr/>
          <w:p>
            <w:pPr>
              <w:pStyle w:val="Compact"/>
              <w:jc w:val="left"/>
            </w:pPr>
            <w:r>
              <w:t xml:space="preserve">Choose this zoom when</w:t>
            </w:r>
          </w:p>
        </w:tc>
        <w:tc>
          <w:tcPr/>
          <w:p>
            <w:pPr>
              <w:pStyle w:val="Compact"/>
              <w:jc w:val="left"/>
            </w:pPr>
            <w:r>
              <w:t xml:space="preserve">Deciding what to build and where it runs</w:t>
            </w:r>
          </w:p>
        </w:tc>
        <w:tc>
          <w:tcPr/>
          <w:p>
            <w:pPr>
              <w:pStyle w:val="Compact"/>
              <w:jc w:val="left"/>
            </w:pPr>
            <w:r>
              <w:t xml:space="preserve">Deciding how one part is written</w:t>
            </w:r>
          </w:p>
        </w:tc>
      </w:tr>
    </w:tbl>
    <w:bookmarkEnd w:id="61"/>
    <w:bookmarkStart w:id="62" w:name="common-misconceptions-2"/>
    <w:p>
      <w:pPr>
        <w:pStyle w:val="Heading4"/>
      </w:pPr>
      <w:r>
        <w:t xml:space="preserve">Common misconceptions</w:t>
      </w:r>
    </w:p>
    <w:p>
      <w:pPr>
        <w:pStyle w:val="CalloutMistake"/>
      </w:pPr>
      <w:r>
        <w:rPr>
          <w:bCs/>
          <w:b/>
        </w:rPr>
        <w:t xml:space="preserve">COMMON MISTAKE</w:t>
      </w:r>
    </w:p>
    <w:p>
      <w:pPr>
        <w:pStyle w:val="CalloutMistake"/>
      </w:pPr>
      <w:r>
        <w:rPr>
          <w:bCs/>
          <w:b/>
        </w:rPr>
        <w:t xml:space="preserve">“</w:t>
      </w:r>
      <w:r>
        <w:rPr>
          <w:bCs/>
          <w:b/>
        </w:rPr>
        <w:t xml:space="preserve">HLD is for architects, LLD is for junior engineers.</w:t>
      </w:r>
      <w:r>
        <w:rPr>
          <w:bCs/>
          <w:b/>
        </w:rPr>
        <w:t xml:space="preserve">”</w:t>
      </w:r>
      <w:r>
        <w:t xml:space="preserve"> </w:t>
      </w:r>
      <w:r>
        <w:t xml:space="preserve">Both require skill. A clumsy LLD (no idempotency, no error handling, a schema that cannot be indexed) can sink a sound HLD. Senior engineers move fluidly between levels — and recognizing</w:t>
      </w:r>
      <w:r>
        <w:t xml:space="preserve"> </w:t>
      </w:r>
      <w:r>
        <w:rPr>
          <w:iCs/>
          <w:i/>
        </w:rPr>
        <w:t xml:space="preserve">when</w:t>
      </w:r>
      <w:r>
        <w:t xml:space="preserve"> </w:t>
      </w:r>
      <w:r>
        <w:t xml:space="preserve">an LLD detail is actually an HLD concern (for example, a schema choice that blocks partitioning, see §14.7) is a hallmark of seniority.</w:t>
      </w:r>
    </w:p>
    <w:p>
      <w:pPr>
        <w:pStyle w:val="CalloutMistake"/>
      </w:pPr>
      <w:r>
        <w:rPr>
          <w:bCs/>
          <w:b/>
        </w:rPr>
        <w:t xml:space="preserve">COMMON MISTAKE</w:t>
      </w:r>
    </w:p>
    <w:p>
      <w:pPr>
        <w:pStyle w:val="CalloutMistake"/>
      </w:pPr>
      <w:r>
        <w:rPr>
          <w:bCs/>
          <w:b/>
        </w:rPr>
        <w:t xml:space="preserve">“</w:t>
      </w:r>
      <w:r>
        <w:rPr>
          <w:bCs/>
          <w:b/>
        </w:rPr>
        <w:t xml:space="preserve">Once the HLD is approved, it is fixed.</w:t>
      </w:r>
      <w:r>
        <w:rPr>
          <w:bCs/>
          <w:b/>
        </w:rPr>
        <w:t xml:space="preserve">”</w:t>
      </w:r>
      <w:r>
        <w:t xml:space="preserve"> </w:t>
      </w:r>
      <w:r>
        <w:t xml:space="preserve">LLD routinely uncovers HLD flaws. Treat the HLD as a hypothesis that implementation tests.</w:t>
      </w:r>
    </w:p>
    <w:bookmarkEnd w:id="62"/>
    <w:bookmarkEnd w:id="63"/>
    <w:bookmarkEnd w:id="64"/>
    <w:bookmarkStart w:id="71" w:name="functional-requirements"/>
    <w:p>
      <w:pPr>
        <w:pStyle w:val="Heading2"/>
      </w:pPr>
      <w:r>
        <w:t xml:space="preserve">1.6 Functional requirements</w:t>
      </w:r>
    </w:p>
    <w:bookmarkStart w:id="70" w:name="X384f0e1534ded3936b5fc5b802394e1557a0ab9"/>
    <w:p>
      <w:pPr>
        <w:pStyle w:val="Heading3"/>
      </w:pPr>
      <w:r>
        <w:t xml:space="preserve">1.6.1 What functional requirements are and how to write them</w:t>
      </w:r>
    </w:p>
    <w:p>
      <w:pPr>
        <w:pStyle w:val="CalloutDefinition"/>
      </w:pPr>
      <w:r>
        <w:rPr>
          <w:bCs/>
          <w:b/>
        </w:rPr>
        <w:t xml:space="preserve">DEFINITION</w:t>
      </w:r>
    </w:p>
    <w:p>
      <w:pPr>
        <w:pStyle w:val="CalloutDefinition"/>
      </w:pPr>
      <w:r>
        <w:rPr>
          <w:bCs/>
          <w:b/>
        </w:rPr>
        <w:t xml:space="preserve">Definition — Functional requirement (FR).</w:t>
      </w:r>
      <w:r>
        <w:t xml:space="preserve"> </w:t>
      </w:r>
      <w:r>
        <w:t xml:space="preserve">A statement of a behavior the system must provide: an input, action or event, and the observable result. Functional requirements describe</w:t>
      </w:r>
      <w:r>
        <w:t xml:space="preserve"> </w:t>
      </w:r>
      <w:r>
        <w:rPr>
          <w:iCs/>
          <w:i/>
        </w:rPr>
        <w:t xml:space="preserve">what</w:t>
      </w:r>
      <w:r>
        <w:t xml:space="preserve"> </w:t>
      </w:r>
      <w:r>
        <w:t xml:space="preserve">the system does — for example,</w:t>
      </w:r>
      <w:r>
        <w:t xml:space="preserve"> </w:t>
      </w:r>
      <w:r>
        <w:t xml:space="preserve">“</w:t>
      </w:r>
      <w:r>
        <w:t xml:space="preserve">a signed-in user can upload a JPEG or PNG photo up to 20 MB, and it appears in their followers’ feeds</w:t>
      </w:r>
      <w:r>
        <w:t xml:space="preserve">”</w:t>
      </w:r>
      <w:r>
        <w:t xml:space="preserve">.</w:t>
      </w:r>
    </w:p>
    <w:bookmarkStart w:id="65" w:name="first-principles-explanation-3"/>
    <w:p>
      <w:pPr>
        <w:pStyle w:val="Heading4"/>
      </w:pPr>
      <w:r>
        <w:t xml:space="preserve">First-principles explanation</w:t>
      </w:r>
    </w:p>
    <w:p>
      <w:pPr>
        <w:pStyle w:val="FirstParagraph"/>
      </w:pPr>
      <w:r>
        <w:t xml:space="preserve">A restaurant’s functional requirements are its menu and services: it serves pasta, takes reservations, offers takeaway. They say nothing about how fast the food arrives or how many guests fit — those are non-functional (§1.7). If you forget a functional requirement (</w:t>
      </w:r>
      <w:r>
        <w:t xml:space="preserve">“</w:t>
      </w:r>
      <w:r>
        <w:t xml:space="preserve">we also do delivery</w:t>
      </w:r>
      <w:r>
        <w:t xml:space="preserve">”</w:t>
      </w:r>
      <w:r>
        <w:t xml:space="preserve">), you build the wrong kitchen.</w:t>
      </w:r>
    </w:p>
    <w:bookmarkEnd w:id="65"/>
    <w:bookmarkStart w:id="66" w:name="why-does-this-exist-3"/>
    <w:p>
      <w:pPr>
        <w:pStyle w:val="Heading4"/>
      </w:pPr>
      <w:r>
        <w:t xml:space="preserve">Why does this exist?</w:t>
      </w:r>
    </w:p>
    <w:p>
      <w:pPr>
        <w:pStyle w:val="FirstParagraph"/>
      </w:pPr>
      <w:r>
        <w:t xml:space="preserve">Every design decision is justified by some requirement. If you do not write the functional requirements down, two things happen: the team builds features nobody needs (and designs infrastructure for them), and it misses features that change the design fundamentally.</w:t>
      </w:r>
      <w:r>
        <w:t xml:space="preserve"> </w:t>
      </w:r>
      <w:r>
        <w:t xml:space="preserve">“</w:t>
      </w:r>
      <w:r>
        <w:t xml:space="preserve">Users can delete their account and all their photos</w:t>
      </w:r>
      <w:r>
        <w:t xml:space="preserve">”</w:t>
      </w:r>
      <w:r>
        <w:t xml:space="preserve"> </w:t>
      </w:r>
      <w:r>
        <w:t xml:space="preserve">sounds minor, but it forces you to be able to</w:t>
      </w:r>
      <w:r>
        <w:t xml:space="preserve"> </w:t>
      </w:r>
      <w:r>
        <w:rPr>
          <w:iCs/>
          <w:i/>
        </w:rPr>
        <w:t xml:space="preserve">find and erase every copy</w:t>
      </w:r>
      <w:r>
        <w:t xml:space="preserve"> </w:t>
      </w:r>
      <w:r>
        <w:t xml:space="preserve">of a user’s data — in replicas, caches, backups, CDN edges and analytics pipelines — which is an architectural property, not a button.</w:t>
      </w:r>
    </w:p>
    <w:bookmarkEnd w:id="66"/>
    <w:bookmarkStart w:id="67" w:name="how-it-works-internally-3"/>
    <w:p>
      <w:pPr>
        <w:pStyle w:val="Heading4"/>
      </w:pPr>
      <w:r>
        <w:t xml:space="preserve">How it works internally</w:t>
      </w:r>
    </w:p>
    <w:p>
      <w:pPr>
        <w:numPr>
          <w:ilvl w:val="0"/>
          <w:numId w:val="1012"/>
        </w:numPr>
        <w:pStyle w:val="Compact"/>
      </w:pPr>
      <w:r>
        <w:rPr>
          <w:bCs/>
          <w:b/>
        </w:rPr>
        <w:t xml:space="preserve">Identify actors.</w:t>
      </w:r>
      <w:r>
        <w:t xml:space="preserve"> </w:t>
      </w:r>
      <w:r>
        <w:t xml:space="preserve">Who interacts with the system? For PhotoShare: viewers, posters, moderators, advertisers, internal services.</w:t>
      </w:r>
    </w:p>
    <w:p>
      <w:pPr>
        <w:numPr>
          <w:ilvl w:val="0"/>
          <w:numId w:val="1012"/>
        </w:numPr>
        <w:pStyle w:val="Compact"/>
      </w:pPr>
      <w:r>
        <w:rPr>
          <w:bCs/>
          <w:b/>
        </w:rPr>
        <w:t xml:space="preserve">List use cases</w:t>
      </w:r>
      <w:r>
        <w:t xml:space="preserve"> </w:t>
      </w:r>
      <w:r>
        <w:t xml:space="preserve">per actor, as verb phrases:</w:t>
      </w:r>
      <w:r>
        <w:t xml:space="preserve"> </w:t>
      </w:r>
      <w:r>
        <w:rPr>
          <w:iCs/>
          <w:i/>
        </w:rPr>
        <w:t xml:space="preserve">upload photo</w:t>
      </w:r>
      <w:r>
        <w:t xml:space="preserve">,</w:t>
      </w:r>
      <w:r>
        <w:t xml:space="preserve"> </w:t>
      </w:r>
      <w:r>
        <w:rPr>
          <w:iCs/>
          <w:i/>
        </w:rPr>
        <w:t xml:space="preserve">follow user</w:t>
      </w:r>
      <w:r>
        <w:t xml:space="preserve">,</w:t>
      </w:r>
      <w:r>
        <w:t xml:space="preserve"> </w:t>
      </w:r>
      <w:r>
        <w:rPr>
          <w:iCs/>
          <w:i/>
        </w:rPr>
        <w:t xml:space="preserve">view feed</w:t>
      </w:r>
      <w:r>
        <w:t xml:space="preserve">,</w:t>
      </w:r>
      <w:r>
        <w:t xml:space="preserve"> </w:t>
      </w:r>
      <w:r>
        <w:rPr>
          <w:iCs/>
          <w:i/>
        </w:rPr>
        <w:t xml:space="preserve">like photo</w:t>
      </w:r>
      <w:r>
        <w:t xml:space="preserve">,</w:t>
      </w:r>
      <w:r>
        <w:t xml:space="preserve"> </w:t>
      </w:r>
      <w:r>
        <w:rPr>
          <w:iCs/>
          <w:i/>
        </w:rPr>
        <w:t xml:space="preserve">report photo</w:t>
      </w:r>
      <w:r>
        <w:t xml:space="preserve">.</w:t>
      </w:r>
    </w:p>
    <w:p>
      <w:pPr>
        <w:numPr>
          <w:ilvl w:val="0"/>
          <w:numId w:val="1012"/>
        </w:numPr>
        <w:pStyle w:val="Compact"/>
      </w:pPr>
      <w:r>
        <w:rPr>
          <w:bCs/>
          <w:b/>
        </w:rPr>
        <w:t xml:space="preserve">Make each one testable</w:t>
      </w:r>
      <w:r>
        <w:t xml:space="preserve">: specify inputs, limits and the observable outcome.</w:t>
      </w:r>
      <w:r>
        <w:t xml:space="preserve"> </w:t>
      </w:r>
      <w:r>
        <w:t xml:space="preserve">“</w:t>
      </w:r>
      <w:r>
        <w:t xml:space="preserve">Upload photos</w:t>
      </w:r>
      <w:r>
        <w:t xml:space="preserve">”</w:t>
      </w:r>
      <w:r>
        <w:t xml:space="preserve"> </w:t>
      </w:r>
      <w:r>
        <w:t xml:space="preserve">becomes</w:t>
      </w:r>
      <w:r>
        <w:t xml:space="preserve"> </w:t>
      </w:r>
      <w:r>
        <w:t xml:space="preserve">“</w:t>
      </w:r>
      <w:r>
        <w:t xml:space="preserve">upload a JPEG/PNG/HEIC up to 20 MB; on success, return a photo ID within the latency target</w:t>
      </w:r>
      <w:r>
        <w:t xml:space="preserve">”</w:t>
      </w:r>
      <w:r>
        <w:t xml:space="preserve">.</w:t>
      </w:r>
    </w:p>
    <w:p>
      <w:pPr>
        <w:numPr>
          <w:ilvl w:val="0"/>
          <w:numId w:val="1012"/>
        </w:numPr>
        <w:pStyle w:val="Compact"/>
      </w:pPr>
      <w:r>
        <w:rPr>
          <w:bCs/>
          <w:b/>
        </w:rPr>
        <w:t xml:space="preserve">Prioritize</w:t>
      </w:r>
      <w:r>
        <w:t xml:space="preserve"> </w:t>
      </w:r>
      <w:r>
        <w:t xml:space="preserve">— for example with</w:t>
      </w:r>
      <w:r>
        <w:t xml:space="preserve"> </w:t>
      </w:r>
      <w:r>
        <w:rPr>
          <w:bCs/>
          <w:b/>
        </w:rPr>
        <w:t xml:space="preserve">MoSCoW</w:t>
      </w:r>
      <w:r>
        <w:t xml:space="preserve">:</w:t>
      </w:r>
      <w:r>
        <w:t xml:space="preserve"> </w:t>
      </w:r>
      <w:r>
        <w:rPr>
          <w:iCs/>
          <w:i/>
        </w:rPr>
        <w:t xml:space="preserve">Must</w:t>
      </w:r>
      <w:r>
        <w:t xml:space="preserve">,</w:t>
      </w:r>
      <w:r>
        <w:t xml:space="preserve"> </w:t>
      </w:r>
      <w:r>
        <w:rPr>
          <w:iCs/>
          <w:i/>
        </w:rPr>
        <w:t xml:space="preserve">Should</w:t>
      </w:r>
      <w:r>
        <w:t xml:space="preserve">,</w:t>
      </w:r>
      <w:r>
        <w:t xml:space="preserve"> </w:t>
      </w:r>
      <w:r>
        <w:rPr>
          <w:iCs/>
          <w:i/>
        </w:rPr>
        <w:t xml:space="preserve">Could</w:t>
      </w:r>
      <w:r>
        <w:t xml:space="preserve">,</w:t>
      </w:r>
      <w:r>
        <w:t xml:space="preserve"> </w:t>
      </w:r>
      <w:r>
        <w:rPr>
          <w:iCs/>
          <w:i/>
        </w:rPr>
        <w:t xml:space="preserve">Won’t (this time)</w:t>
      </w:r>
      <w:r>
        <w:t xml:space="preserve">.</w:t>
      </w:r>
    </w:p>
    <w:p>
      <w:pPr>
        <w:numPr>
          <w:ilvl w:val="0"/>
          <w:numId w:val="1012"/>
        </w:numPr>
        <w:pStyle w:val="Compact"/>
      </w:pPr>
      <w:r>
        <w:rPr>
          <w:bCs/>
          <w:b/>
        </w:rPr>
        <w:t xml:space="preserve">Write the non-goals.</w:t>
      </w:r>
      <w:r>
        <w:t xml:space="preserve"> </w:t>
      </w:r>
      <w:r>
        <w:t xml:space="preserve">An explicit</w:t>
      </w:r>
      <w:r>
        <w:t xml:space="preserve"> </w:t>
      </w:r>
      <w:r>
        <w:t xml:space="preserve">“</w:t>
      </w:r>
      <w:r>
        <w:t xml:space="preserve">out of scope</w:t>
      </w:r>
      <w:r>
        <w:t xml:space="preserve">”</w:t>
      </w:r>
      <w:r>
        <w:t xml:space="preserve"> </w:t>
      </w:r>
      <w:r>
        <w:t xml:space="preserve">list prevents the design from silently growing.</w:t>
      </w:r>
    </w:p>
    <w:p>
      <w:pPr>
        <w:numPr>
          <w:ilvl w:val="0"/>
          <w:numId w:val="1012"/>
        </w:numPr>
        <w:pStyle w:val="Compact"/>
      </w:pPr>
      <w:r>
        <w:rPr>
          <w:bCs/>
          <w:b/>
        </w:rPr>
        <w:t xml:space="preserve">Sketch the API.</w:t>
      </w:r>
      <w:r>
        <w:t xml:space="preserve"> </w:t>
      </w:r>
      <w:r>
        <w:t xml:space="preserve">A rough interface for each must-have use case (detailed API design is §8.6) catches ambiguities early.</w:t>
      </w:r>
    </w:p>
    <w:p>
      <w:pPr>
        <w:pStyle w:val="FirstParagraph"/>
      </w:pPr>
      <w:r>
        <w:rPr>
          <w:bCs/>
          <w:b/>
        </w:rPr>
        <w:t xml:space="preserve">Table 1.5 — PhotoShare functional requirements (v1 scope).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Requirement (testable form)</w:t>
            </w:r>
          </w:p>
        </w:tc>
        <w:tc>
          <w:tcPr/>
          <w:p>
            <w:pPr>
              <w:pStyle w:val="Compact"/>
              <w:jc w:val="left"/>
            </w:pPr>
            <w:r>
              <w:t xml:space="preserve">Priority</w:t>
            </w:r>
          </w:p>
        </w:tc>
      </w:tr>
      <w:tr>
        <w:tc>
          <w:tcPr/>
          <w:p>
            <w:pPr>
              <w:pStyle w:val="Compact"/>
              <w:jc w:val="left"/>
            </w:pPr>
            <w:r>
              <w:t xml:space="preserve">FR-1</w:t>
            </w:r>
          </w:p>
        </w:tc>
        <w:tc>
          <w:tcPr/>
          <w:p>
            <w:pPr>
              <w:pStyle w:val="Compact"/>
              <w:jc w:val="left"/>
            </w:pPr>
            <w:r>
              <w:t xml:space="preserve">A user can sign up and sign in with email and password</w:t>
            </w:r>
          </w:p>
        </w:tc>
        <w:tc>
          <w:tcPr/>
          <w:p>
            <w:pPr>
              <w:pStyle w:val="Compact"/>
              <w:jc w:val="left"/>
            </w:pPr>
            <w:r>
              <w:t xml:space="preserve">Must</w:t>
            </w:r>
          </w:p>
        </w:tc>
      </w:tr>
      <w:tr>
        <w:tc>
          <w:tcPr/>
          <w:p>
            <w:pPr>
              <w:pStyle w:val="Compact"/>
              <w:jc w:val="left"/>
            </w:pPr>
            <w:r>
              <w:t xml:space="preserve">FR-2</w:t>
            </w:r>
          </w:p>
        </w:tc>
        <w:tc>
          <w:tcPr/>
          <w:p>
            <w:pPr>
              <w:pStyle w:val="Compact"/>
              <w:jc w:val="left"/>
            </w:pPr>
            <w:r>
              <w:t xml:space="preserve">A signed-in user can upload a JPEG, PNG or HEIC photo up to 20 MB with an optional caption up to 2,200 characters</w:t>
            </w:r>
          </w:p>
        </w:tc>
        <w:tc>
          <w:tcPr/>
          <w:p>
            <w:pPr>
              <w:pStyle w:val="Compact"/>
              <w:jc w:val="left"/>
            </w:pPr>
            <w:r>
              <w:t xml:space="preserve">Must</w:t>
            </w:r>
          </w:p>
        </w:tc>
      </w:tr>
      <w:tr>
        <w:tc>
          <w:tcPr/>
          <w:p>
            <w:pPr>
              <w:pStyle w:val="Compact"/>
              <w:jc w:val="left"/>
            </w:pPr>
            <w:r>
              <w:t xml:space="preserve">FR-3</w:t>
            </w:r>
          </w:p>
        </w:tc>
        <w:tc>
          <w:tcPr/>
          <w:p>
            <w:pPr>
              <w:pStyle w:val="Compact"/>
              <w:jc w:val="left"/>
            </w:pPr>
            <w:r>
              <w:t xml:space="preserve">A user can follow and unfollow another user</w:t>
            </w:r>
          </w:p>
        </w:tc>
        <w:tc>
          <w:tcPr/>
          <w:p>
            <w:pPr>
              <w:pStyle w:val="Compact"/>
              <w:jc w:val="left"/>
            </w:pPr>
            <w:r>
              <w:t xml:space="preserve">Must</w:t>
            </w:r>
          </w:p>
        </w:tc>
      </w:tr>
      <w:tr>
        <w:tc>
          <w:tcPr/>
          <w:p>
            <w:pPr>
              <w:pStyle w:val="Compact"/>
              <w:jc w:val="left"/>
            </w:pPr>
            <w:r>
              <w:t xml:space="preserve">FR-4</w:t>
            </w:r>
          </w:p>
        </w:tc>
        <w:tc>
          <w:tcPr/>
          <w:p>
            <w:pPr>
              <w:pStyle w:val="Compact"/>
              <w:jc w:val="left"/>
            </w:pPr>
            <w:r>
              <w:t xml:space="preserve">A user can view a home feed of photos from followed users, newest first, 20 per page</w:t>
            </w:r>
          </w:p>
        </w:tc>
        <w:tc>
          <w:tcPr/>
          <w:p>
            <w:pPr>
              <w:pStyle w:val="Compact"/>
              <w:jc w:val="left"/>
            </w:pPr>
            <w:r>
              <w:t xml:space="preserve">Must</w:t>
            </w:r>
          </w:p>
        </w:tc>
      </w:tr>
      <w:tr>
        <w:tc>
          <w:tcPr/>
          <w:p>
            <w:pPr>
              <w:pStyle w:val="Compact"/>
              <w:jc w:val="left"/>
            </w:pPr>
            <w:r>
              <w:t xml:space="preserve">FR-5</w:t>
            </w:r>
          </w:p>
        </w:tc>
        <w:tc>
          <w:tcPr/>
          <w:p>
            <w:pPr>
              <w:pStyle w:val="Compact"/>
              <w:jc w:val="left"/>
            </w:pPr>
            <w:r>
              <w:t xml:space="preserve">A user can like a photo and see the like count</w:t>
            </w:r>
          </w:p>
        </w:tc>
        <w:tc>
          <w:tcPr/>
          <w:p>
            <w:pPr>
              <w:pStyle w:val="Compact"/>
              <w:jc w:val="left"/>
            </w:pPr>
            <w:r>
              <w:t xml:space="preserve">Should</w:t>
            </w:r>
          </w:p>
        </w:tc>
      </w:tr>
      <w:tr>
        <w:tc>
          <w:tcPr/>
          <w:p>
            <w:pPr>
              <w:pStyle w:val="Compact"/>
              <w:jc w:val="left"/>
            </w:pPr>
            <w:r>
              <w:t xml:space="preserve">FR-6</w:t>
            </w:r>
          </w:p>
        </w:tc>
        <w:tc>
          <w:tcPr/>
          <w:p>
            <w:pPr>
              <w:pStyle w:val="Compact"/>
              <w:jc w:val="left"/>
            </w:pPr>
            <w:r>
              <w:t xml:space="preserve">A user can delete a photo; it disappears from all feeds</w:t>
            </w:r>
          </w:p>
        </w:tc>
        <w:tc>
          <w:tcPr/>
          <w:p>
            <w:pPr>
              <w:pStyle w:val="Compact"/>
              <w:jc w:val="left"/>
            </w:pPr>
            <w:r>
              <w:t xml:space="preserve">Must</w:t>
            </w:r>
          </w:p>
        </w:tc>
      </w:tr>
      <w:tr>
        <w:tc>
          <w:tcPr/>
          <w:p>
            <w:pPr>
              <w:pStyle w:val="Compact"/>
              <w:jc w:val="left"/>
            </w:pPr>
            <w:r>
              <w:t xml:space="preserve">FR-7</w:t>
            </w:r>
          </w:p>
        </w:tc>
        <w:tc>
          <w:tcPr/>
          <w:p>
            <w:pPr>
              <w:pStyle w:val="Compact"/>
              <w:jc w:val="left"/>
            </w:pPr>
            <w:r>
              <w:t xml:space="preserve">A user can delete their account and all associated data</w:t>
            </w:r>
          </w:p>
        </w:tc>
        <w:tc>
          <w:tcPr/>
          <w:p>
            <w:pPr>
              <w:pStyle w:val="Compact"/>
              <w:jc w:val="left"/>
            </w:pPr>
            <w:r>
              <w:t xml:space="preserve">Must (legal)</w:t>
            </w:r>
          </w:p>
        </w:tc>
      </w:tr>
      <w:tr>
        <w:tc>
          <w:tcPr/>
          <w:p>
            <w:pPr>
              <w:pStyle w:val="Compact"/>
              <w:jc w:val="left"/>
            </w:pPr>
            <w:r>
              <w:t xml:space="preserve">FR-8</w:t>
            </w:r>
          </w:p>
        </w:tc>
        <w:tc>
          <w:tcPr/>
          <w:p>
            <w:pPr>
              <w:pStyle w:val="Compact"/>
              <w:jc w:val="left"/>
            </w:pPr>
            <w:r>
              <w:t xml:space="preserve">A user can comment on a photo</w:t>
            </w:r>
          </w:p>
        </w:tc>
        <w:tc>
          <w:tcPr/>
          <w:p>
            <w:pPr>
              <w:pStyle w:val="Compact"/>
              <w:jc w:val="left"/>
            </w:pPr>
            <w:r>
              <w:t xml:space="preserve">Could</w:t>
            </w:r>
          </w:p>
        </w:tc>
      </w:tr>
      <w:tr>
        <w:tc>
          <w:tcPr/>
          <w:p>
            <w:pPr>
              <w:pStyle w:val="Compact"/>
              <w:jc w:val="left"/>
            </w:pPr>
            <w:r>
              <w:t xml:space="preserve">—</w:t>
            </w:r>
          </w:p>
        </w:tc>
        <w:tc>
          <w:tcPr/>
          <w:p>
            <w:pPr>
              <w:pStyle w:val="Compact"/>
              <w:jc w:val="left"/>
            </w:pPr>
            <w:r>
              <w:t xml:space="preserve">Video, direct messages, stories, search, ads</w:t>
            </w:r>
          </w:p>
        </w:tc>
        <w:tc>
          <w:tcPr/>
          <w:p>
            <w:pPr>
              <w:pStyle w:val="Compact"/>
              <w:jc w:val="left"/>
            </w:pPr>
            <w:r>
              <w:t xml:space="preserve">Won’t (v1 non-goals)</w:t>
            </w:r>
          </w:p>
        </w:tc>
      </w:tr>
    </w:tbl>
    <w:p>
      <w:pPr>
        <w:pStyle w:val="BodyText"/>
      </w:pPr>
      <w:r>
        <w:t xml:space="preserve">An API sketch for the must-haves might read:</w:t>
      </w:r>
    </w:p>
    <w:p>
      <w:pPr>
        <w:pStyle w:val="SourceCode"/>
      </w:pPr>
      <w:r>
        <w:rPr>
          <w:rStyle w:val="VerbatimChar"/>
        </w:rPr>
        <w:t xml:space="preserve">POST   /v1/photos                 (multipart: image, caption)  -&gt; 201 {photoId}</w:t>
      </w:r>
      <w:r>
        <w:br/>
      </w:r>
      <w:r>
        <w:rPr>
          <w:rStyle w:val="VerbatimChar"/>
        </w:rPr>
        <w:t xml:space="preserve">DELETE /v1/photos/{photoId}                                    -&gt; 204</w:t>
      </w:r>
      <w:r>
        <w:br/>
      </w:r>
      <w:r>
        <w:rPr>
          <w:rStyle w:val="VerbatimChar"/>
        </w:rPr>
        <w:t xml:space="preserve">PUT    /v1/users/{userId}/followers/me                         -&gt; 204</w:t>
      </w:r>
      <w:r>
        <w:br/>
      </w:r>
      <w:r>
        <w:rPr>
          <w:rStyle w:val="VerbatimChar"/>
        </w:rPr>
        <w:t xml:space="preserve">DELETE /v1/users/{userId}/followers/me                         -&gt; 204</w:t>
      </w:r>
      <w:r>
        <w:br/>
      </w:r>
      <w:r>
        <w:rPr>
          <w:rStyle w:val="VerbatimChar"/>
        </w:rPr>
        <w:t xml:space="preserve">GET    /v1/feed?cursor={cursor}&amp;limit=20                       -&gt; 200 {items, nextCursor}</w:t>
      </w:r>
    </w:p>
    <w:p>
      <w:pPr>
        <w:pStyle w:val="FirstParagraph"/>
      </w:pPr>
      <w:r>
        <w:t xml:space="preserve">What to notice:</w:t>
      </w:r>
    </w:p>
    <w:p>
      <w:pPr>
        <w:numPr>
          <w:ilvl w:val="0"/>
          <w:numId w:val="1013"/>
        </w:numPr>
        <w:pStyle w:val="Compact"/>
      </w:pPr>
      <w:r>
        <w:t xml:space="preserve">The feed uses a</w:t>
      </w:r>
      <w:r>
        <w:t xml:space="preserve"> </w:t>
      </w:r>
      <w:r>
        <w:rPr>
          <w:bCs/>
          <w:b/>
        </w:rPr>
        <w:t xml:space="preserve">cursor</w:t>
      </w:r>
      <w:r>
        <w:t xml:space="preserve"> </w:t>
      </w:r>
      <w:r>
        <w:t xml:space="preserve">rather than a page number, because new photos arrive constantly and page numbers would skip or repeat items (pagination is detailed in §8.6).</w:t>
      </w:r>
    </w:p>
    <w:p>
      <w:pPr>
        <w:numPr>
          <w:ilvl w:val="0"/>
          <w:numId w:val="1013"/>
        </w:numPr>
        <w:pStyle w:val="Compact"/>
      </w:pPr>
      <w:r>
        <w:t xml:space="preserve">Follow is modeled as an idempotent</w:t>
      </w:r>
      <w:r>
        <w:t xml:space="preserve"> </w:t>
      </w:r>
      <w:r>
        <w:rPr>
          <w:rStyle w:val="VerbatimChar"/>
        </w:rPr>
        <w:t xml:space="preserve">PUT</w:t>
      </w:r>
      <w:r>
        <w:t xml:space="preserve">: repeating it has no further effect, which makes client retries safe (see §22.15 (Idempotency)).</w:t>
      </w:r>
    </w:p>
    <w:bookmarkEnd w:id="67"/>
    <w:bookmarkStart w:id="68" w:name="failure-scenarios-2"/>
    <w:p>
      <w:pPr>
        <w:pStyle w:val="Heading4"/>
      </w:pPr>
      <w:r>
        <w:t xml:space="preserve">Failure scenarios</w:t>
      </w:r>
    </w:p>
    <w:p>
      <w:pPr>
        <w:pStyle w:val="FirstParagraph"/>
      </w:pPr>
      <w:r>
        <w:rPr>
          <w:bCs/>
          <w:b/>
        </w:rPr>
        <w:t xml:space="preserve">Table 1.6 — Functional-requirement 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A late</w:t>
            </w:r>
            <w:r>
              <w:t xml:space="preserve"> </w:t>
            </w:r>
            <w:r>
              <w:t xml:space="preserve">“</w:t>
            </w:r>
            <w:r>
              <w:t xml:space="preserve">small</w:t>
            </w:r>
            <w:r>
              <w:t xml:space="preserve">”</w:t>
            </w:r>
            <w:r>
              <w:t xml:space="preserve"> </w:t>
            </w:r>
            <w:r>
              <w:t xml:space="preserve">feature forces redesign</w:t>
            </w:r>
          </w:p>
        </w:tc>
        <w:tc>
          <w:tcPr/>
          <w:p>
            <w:pPr>
              <w:pStyle w:val="Compact"/>
              <w:jc w:val="left"/>
            </w:pPr>
            <w:r>
              <w:t xml:space="preserve">Requirement with architectural impact discovered late (e.g., account deletion, data export)</w:t>
            </w:r>
          </w:p>
        </w:tc>
        <w:tc>
          <w:tcPr/>
          <w:p>
            <w:pPr>
              <w:pStyle w:val="Compact"/>
              <w:jc w:val="left"/>
            </w:pPr>
            <w:r>
              <w:t xml:space="preserve">Feature estimate is months, not days</w:t>
            </w:r>
          </w:p>
        </w:tc>
        <w:tc>
          <w:tcPr/>
          <w:p>
            <w:pPr>
              <w:pStyle w:val="Compact"/>
              <w:jc w:val="left"/>
            </w:pPr>
            <w:r>
              <w:t xml:space="preserve">Retrofit data inventory and deletion pipeline</w:t>
            </w:r>
          </w:p>
        </w:tc>
        <w:tc>
          <w:tcPr/>
          <w:p>
            <w:pPr>
              <w:pStyle w:val="Compact"/>
              <w:jc w:val="left"/>
            </w:pPr>
            <w:r>
              <w:t xml:space="preserve">Ask about lifecycle, legal and admin use cases up front</w:t>
            </w:r>
          </w:p>
        </w:tc>
      </w:tr>
      <w:tr>
        <w:tc>
          <w:tcPr/>
          <w:p>
            <w:pPr>
              <w:pStyle w:val="Compact"/>
              <w:jc w:val="left"/>
            </w:pPr>
            <w:r>
              <w:t xml:space="preserve">Scope creep</w:t>
            </w:r>
          </w:p>
        </w:tc>
        <w:tc>
          <w:tcPr/>
          <w:p>
            <w:pPr>
              <w:pStyle w:val="Compact"/>
              <w:jc w:val="left"/>
            </w:pPr>
            <w:r>
              <w:t xml:space="preserve">No non-goals list</w:t>
            </w:r>
          </w:p>
        </w:tc>
        <w:tc>
          <w:tcPr/>
          <w:p>
            <w:pPr>
              <w:pStyle w:val="Compact"/>
              <w:jc w:val="left"/>
            </w:pPr>
            <w:r>
              <w:t xml:space="preserve">Design keeps growing; launch slips</w:t>
            </w:r>
          </w:p>
        </w:tc>
        <w:tc>
          <w:tcPr/>
          <w:p>
            <w:pPr>
              <w:pStyle w:val="Compact"/>
              <w:jc w:val="left"/>
            </w:pPr>
            <w:r>
              <w:t xml:space="preserve">Re-prioritize with MoSCoW</w:t>
            </w:r>
          </w:p>
        </w:tc>
        <w:tc>
          <w:tcPr/>
          <w:p>
            <w:pPr>
              <w:pStyle w:val="Compact"/>
              <w:jc w:val="left"/>
            </w:pPr>
            <w:r>
              <w:t xml:space="preserve">Write non-goals explicitly</w:t>
            </w:r>
          </w:p>
        </w:tc>
      </w:tr>
      <w:tr>
        <w:tc>
          <w:tcPr/>
          <w:p>
            <w:pPr>
              <w:pStyle w:val="Compact"/>
              <w:jc w:val="left"/>
            </w:pPr>
            <w:r>
              <w:t xml:space="preserve">Ambiguous requirement built two ways</w:t>
            </w:r>
          </w:p>
        </w:tc>
        <w:tc>
          <w:tcPr/>
          <w:p>
            <w:pPr>
              <w:pStyle w:val="Compact"/>
              <w:jc w:val="left"/>
            </w:pPr>
            <w:r>
              <w:t xml:space="preserve">“</w:t>
            </w:r>
            <w:r>
              <w:t xml:space="preserve">Feed</w:t>
            </w:r>
            <w:r>
              <w:t xml:space="preserve">”</w:t>
            </w:r>
            <w:r>
              <w:t xml:space="preserve"> </w:t>
            </w:r>
            <w:r>
              <w:t xml:space="preserve">never defined (chronological? ranked?)</w:t>
            </w:r>
          </w:p>
        </w:tc>
        <w:tc>
          <w:tcPr/>
          <w:p>
            <w:pPr>
              <w:pStyle w:val="Compact"/>
              <w:jc w:val="left"/>
            </w:pPr>
            <w:r>
              <w:t xml:space="preserve">Teams’ implementations disagree</w:t>
            </w:r>
          </w:p>
        </w:tc>
        <w:tc>
          <w:tcPr/>
          <w:p>
            <w:pPr>
              <w:pStyle w:val="Compact"/>
              <w:jc w:val="left"/>
            </w:pPr>
            <w:r>
              <w:t xml:space="preserve">Agree a definition; rework one side</w:t>
            </w:r>
          </w:p>
        </w:tc>
        <w:tc>
          <w:tcPr/>
          <w:p>
            <w:pPr>
              <w:pStyle w:val="Compact"/>
              <w:jc w:val="left"/>
            </w:pPr>
            <w:r>
              <w:t xml:space="preserve">Testable phrasing with examples</w:t>
            </w:r>
          </w:p>
        </w:tc>
      </w:tr>
    </w:tbl>
    <w:bookmarkEnd w:id="68"/>
    <w:bookmarkStart w:id="69" w:name="common-misconceptions-3"/>
    <w:p>
      <w:pPr>
        <w:pStyle w:val="Heading4"/>
      </w:pPr>
      <w:r>
        <w:t xml:space="preserve">Common misconceptions</w:t>
      </w:r>
    </w:p>
    <w:p>
      <w:pPr>
        <w:pStyle w:val="CalloutMistake"/>
      </w:pPr>
      <w:r>
        <w:rPr>
          <w:bCs/>
          <w:b/>
        </w:rPr>
        <w:t xml:space="preserve">COMMON MISTAKE</w:t>
      </w:r>
    </w:p>
    <w:p>
      <w:pPr>
        <w:pStyle w:val="CalloutMistake"/>
      </w:pPr>
      <w:r>
        <w:rPr>
          <w:bCs/>
          <w:b/>
        </w:rPr>
        <w:t xml:space="preserve">“</w:t>
      </w:r>
      <w:r>
        <w:rPr>
          <w:bCs/>
          <w:b/>
        </w:rPr>
        <w:t xml:space="preserve">Functional requirements are the product manager’s job, not the designer’s.</w:t>
      </w:r>
      <w:r>
        <w:rPr>
          <w:bCs/>
          <w:b/>
        </w:rPr>
        <w:t xml:space="preserve">”</w:t>
      </w:r>
      <w:r>
        <w:t xml:space="preserve"> </w:t>
      </w:r>
      <w:r>
        <w:t xml:space="preserve">Product managers own</w:t>
      </w:r>
      <w:r>
        <w:t xml:space="preserve"> </w:t>
      </w:r>
      <w:r>
        <w:rPr>
          <w:iCs/>
          <w:i/>
        </w:rPr>
        <w:t xml:space="preserve">which</w:t>
      </w:r>
      <w:r>
        <w:t xml:space="preserve"> </w:t>
      </w:r>
      <w:r>
        <w:t xml:space="preserve">features matter; designers must interrogate each feature for architectural consequences.</w:t>
      </w:r>
      <w:r>
        <w:t xml:space="preserve"> </w:t>
      </w:r>
      <w:r>
        <w:t xml:space="preserve">“</w:t>
      </w:r>
      <w:r>
        <w:t xml:space="preserve">Newest first</w:t>
      </w:r>
      <w:r>
        <w:t xml:space="preserve">”</w:t>
      </w:r>
      <w:r>
        <w:t xml:space="preserve"> </w:t>
      </w:r>
      <w:r>
        <w:t xml:space="preserve">and</w:t>
      </w:r>
      <w:r>
        <w:t xml:space="preserve"> </w:t>
      </w:r>
      <w:r>
        <w:t xml:space="preserve">“</w:t>
      </w:r>
      <w:r>
        <w:t xml:space="preserve">ranked by relevance</w:t>
      </w:r>
      <w:r>
        <w:t xml:space="preserve">”</w:t>
      </w:r>
      <w:r>
        <w:t xml:space="preserve"> </w:t>
      </w:r>
      <w:r>
        <w:t xml:space="preserve">are one word apart in a requirements document and an entire ML system apart in architecture (see Ch 68 (Recommendation and Ranking Systems Architecture)).</w:t>
      </w:r>
    </w:p>
    <w:bookmarkEnd w:id="69"/>
    <w:bookmarkEnd w:id="70"/>
    <w:bookmarkEnd w:id="71"/>
    <w:bookmarkStart w:id="83" w:name="Xbbdef8e9e22db61c6be7dc7c9b04915dca51b0b"/>
    <w:p>
      <w:pPr>
        <w:pStyle w:val="Heading2"/>
      </w:pPr>
      <w:r>
        <w:t xml:space="preserve">1.7 Non-functional requirements (the</w:t>
      </w:r>
      <w:r>
        <w:t xml:space="preserve"> </w:t>
      </w:r>
      <w:r>
        <w:t xml:space="preserve">“</w:t>
      </w:r>
      <w:r>
        <w:t xml:space="preserve">-ilities</w:t>
      </w:r>
      <w:r>
        <w:t xml:space="preserve">”</w:t>
      </w:r>
      <w:r>
        <w:t xml:space="preserve"> </w:t>
      </w:r>
      <w:r>
        <w:t xml:space="preserve">catalog)</w:t>
      </w:r>
    </w:p>
    <w:bookmarkStart w:id="75" w:name="what-non-functional-requirements-are"/>
    <w:p>
      <w:pPr>
        <w:pStyle w:val="Heading3"/>
      </w:pPr>
      <w:r>
        <w:t xml:space="preserve">1.7.1 What non-functional requirements are</w:t>
      </w:r>
    </w:p>
    <w:p>
      <w:pPr>
        <w:pStyle w:val="CalloutDefinition"/>
      </w:pPr>
      <w:r>
        <w:rPr>
          <w:bCs/>
          <w:b/>
        </w:rPr>
        <w:t xml:space="preserve">DEFINITION</w:t>
      </w:r>
    </w:p>
    <w:p>
      <w:pPr>
        <w:pStyle w:val="CalloutDefinition"/>
      </w:pPr>
      <w:r>
        <w:rPr>
          <w:bCs/>
          <w:b/>
        </w:rPr>
        <w:t xml:space="preserve">Definition — Non-functional requirement (NFR).</w:t>
      </w:r>
      <w:r>
        <w:t xml:space="preserve"> </w:t>
      </w:r>
      <w:r>
        <w:t xml:space="preserve">A requirement on</w:t>
      </w:r>
      <w:r>
        <w:t xml:space="preserve"> </w:t>
      </w:r>
      <w:r>
        <w:rPr>
          <w:iCs/>
          <w:i/>
        </w:rPr>
        <w:t xml:space="preserve">how well</w:t>
      </w:r>
      <w:r>
        <w:t xml:space="preserve"> </w:t>
      </w:r>
      <w:r>
        <w:t xml:space="preserve">the system performs its functions, or on constraints under which it operates, expressed as a measurable target — for example</w:t>
      </w:r>
      <w:r>
        <w:t xml:space="preserve"> </w:t>
      </w:r>
      <w:r>
        <w:t xml:space="preserve">“</w:t>
      </w:r>
      <w:r>
        <w:t xml:space="preserve">p99 feed latency ≤ 300 ms at 2,000 RPS</w:t>
      </w:r>
      <w:r>
        <w:t xml:space="preserve">”</w:t>
      </w:r>
      <w:r>
        <w:t xml:space="preserve"> </w:t>
      </w:r>
      <w:r>
        <w:t xml:space="preserve">or</w:t>
      </w:r>
      <w:r>
        <w:t xml:space="preserve"> </w:t>
      </w:r>
      <w:r>
        <w:t xml:space="preserve">“</w:t>
      </w:r>
      <w:r>
        <w:t xml:space="preserve">monthly availability ≥ 99.9%</w:t>
      </w:r>
      <w:r>
        <w:t xml:space="preserve">”</w:t>
      </w:r>
      <w:r>
        <w:t xml:space="preserve">. NFRs are also called</w:t>
      </w:r>
      <w:r>
        <w:t xml:space="preserve"> </w:t>
      </w:r>
      <w:r>
        <w:rPr>
          <w:bCs/>
          <w:b/>
        </w:rPr>
        <w:t xml:space="preserve">quality attributes</w:t>
      </w:r>
      <w:r>
        <w:t xml:space="preserve"> </w:t>
      </w:r>
      <w:r>
        <w:t xml:space="preserve">or, informally, the</w:t>
      </w:r>
      <w:r>
        <w:t xml:space="preserve"> </w:t>
      </w:r>
      <w:r>
        <w:rPr>
          <w:bCs/>
          <w:b/>
        </w:rPr>
        <w:t xml:space="preserve">“</w:t>
      </w:r>
      <w:r>
        <w:rPr>
          <w:bCs/>
          <w:b/>
        </w:rPr>
        <w:t xml:space="preserve">-ilities</w:t>
      </w:r>
      <w:r>
        <w:rPr>
          <w:bCs/>
          <w:b/>
        </w:rPr>
        <w:t xml:space="preserve">”</w:t>
      </w:r>
      <w:r>
        <w:t xml:space="preserve"> </w:t>
      </w:r>
      <w:r>
        <w:t xml:space="preserve">(scalability, availability, durability, …).</w:t>
      </w:r>
    </w:p>
    <w:bookmarkStart w:id="72" w:name="first-principles-explanation-4"/>
    <w:p>
      <w:pPr>
        <w:pStyle w:val="Heading4"/>
      </w:pPr>
      <w:r>
        <w:t xml:space="preserve">First-principles explanation</w:t>
      </w:r>
    </w:p>
    <w:p>
      <w:pPr>
        <w:pStyle w:val="FirstParagraph"/>
      </w:pPr>
      <w:r>
        <w:t xml:space="preserve">Two restaurants can serve the identical menu. One seats 20 and serves each dish in 40 minutes; the other seats 400 and serves each dish in 12 minutes, never runs out of bread, and passes every health inspection. Same functional requirements, completely different buildings, staff and suppliers. The difference is non-functional — and it is the non-functional requirements that determine the</w:t>
      </w:r>
      <w:r>
        <w:t xml:space="preserve"> </w:t>
      </w:r>
      <w:r>
        <w:rPr>
          <w:iCs/>
          <w:i/>
        </w:rPr>
        <w:t xml:space="preserve">architecture</w:t>
      </w:r>
      <w:r>
        <w:t xml:space="preserve">.</w:t>
      </w:r>
    </w:p>
    <w:bookmarkEnd w:id="72"/>
    <w:bookmarkStart w:id="73" w:name="why-does-this-exist-4"/>
    <w:p>
      <w:pPr>
        <w:pStyle w:val="Heading4"/>
      </w:pPr>
      <w:r>
        <w:t xml:space="preserve">Why does this exist?</w:t>
      </w:r>
    </w:p>
    <w:p>
      <w:pPr>
        <w:pStyle w:val="FirstParagraph"/>
      </w:pPr>
      <w:r>
        <w:t xml:space="preserve">Functional requirements can usually be met by a single program on a single machine. It is the non-functional requirements — serve 17,000 requests per second, never lose a photo, survive a data-center outage, cost less than $0.01 per user per month — that force systems to be distributed, replicated, cached and partitioned. Bass, Clements and Kazman make this the central thesis of software architecture: architecture is driven primarily by quality attributes, not by functionality [Bass et al. 2021]. Kleppmann similarly frames reliability, scalability and maintainability as the three central concerns when building data-intensive applications [Kleppmann 2017].</w:t>
      </w:r>
    </w:p>
    <w:bookmarkEnd w:id="73"/>
    <w:bookmarkStart w:id="74" w:name="how-it-works-internally-4"/>
    <w:p>
      <w:pPr>
        <w:pStyle w:val="Heading4"/>
      </w:pPr>
      <w:r>
        <w:t xml:space="preserve">How it works internally</w:t>
      </w:r>
    </w:p>
    <w:p>
      <w:pPr>
        <w:pStyle w:val="FirstParagraph"/>
      </w:pPr>
      <w:r>
        <w:t xml:space="preserve">An NFR is only useful if it is</w:t>
      </w:r>
      <w:r>
        <w:t xml:space="preserve"> </w:t>
      </w:r>
      <w:r>
        <w:rPr>
          <w:bCs/>
          <w:b/>
        </w:rPr>
        <w:t xml:space="preserve">measurable</w:t>
      </w:r>
      <w:r>
        <w:t xml:space="preserve">. Vague words —</w:t>
      </w:r>
      <w:r>
        <w:t xml:space="preserve"> </w:t>
      </w:r>
      <w:r>
        <w:t xml:space="preserve">“</w:t>
      </w:r>
      <w:r>
        <w:t xml:space="preserve">fast</w:t>
      </w:r>
      <w:r>
        <w:t xml:space="preserve">”</w:t>
      </w:r>
      <w:r>
        <w:t xml:space="preserve">,</w:t>
      </w:r>
      <w:r>
        <w:t xml:space="preserve"> </w:t>
      </w:r>
      <w:r>
        <w:t xml:space="preserve">“</w:t>
      </w:r>
      <w:r>
        <w:t xml:space="preserve">scalable</w:t>
      </w:r>
      <w:r>
        <w:t xml:space="preserve">”</w:t>
      </w:r>
      <w:r>
        <w:t xml:space="preserve">,</w:t>
      </w:r>
      <w:r>
        <w:t xml:space="preserve"> </w:t>
      </w:r>
      <w:r>
        <w:t xml:space="preserve">“</w:t>
      </w:r>
      <w:r>
        <w:t xml:space="preserve">highly available</w:t>
      </w:r>
      <w:r>
        <w:t xml:space="preserve">”</w:t>
      </w:r>
      <w:r>
        <w:t xml:space="preserve"> </w:t>
      </w:r>
      <w:r>
        <w:t xml:space="preserve">— cannot be tested and therefore cannot guide decisions. A reliable technique is the</w:t>
      </w:r>
      <w:r>
        <w:t xml:space="preserve"> </w:t>
      </w:r>
      <w:r>
        <w:rPr>
          <w:bCs/>
          <w:b/>
        </w:rPr>
        <w:t xml:space="preserve">quality attribute scenario</w:t>
      </w:r>
      <w:r>
        <w:t xml:space="preserve"> </w:t>
      </w:r>
      <w:r>
        <w:t xml:space="preserve">[Bass et al. 2021], which has six parts:</w:t>
      </w:r>
    </w:p>
    <w:p>
      <w:pPr>
        <w:numPr>
          <w:ilvl w:val="0"/>
          <w:numId w:val="1014"/>
        </w:numPr>
        <w:pStyle w:val="Compact"/>
      </w:pPr>
      <w:r>
        <w:rPr>
          <w:bCs/>
          <w:b/>
        </w:rPr>
        <w:t xml:space="preserve">Source</w:t>
      </w:r>
      <w:r>
        <w:t xml:space="preserve"> </w:t>
      </w:r>
      <w:r>
        <w:t xml:space="preserve">— who or what generates the stimulus (users, an attacker, a failing disk).</w:t>
      </w:r>
    </w:p>
    <w:p>
      <w:pPr>
        <w:numPr>
          <w:ilvl w:val="0"/>
          <w:numId w:val="1014"/>
        </w:numPr>
        <w:pStyle w:val="Compact"/>
      </w:pPr>
      <w:r>
        <w:rPr>
          <w:bCs/>
          <w:b/>
        </w:rPr>
        <w:t xml:space="preserve">Stimulus</w:t>
      </w:r>
      <w:r>
        <w:t xml:space="preserve"> </w:t>
      </w:r>
      <w:r>
        <w:t xml:space="preserve">— the event (a feed request, a node crash, a login attempt).</w:t>
      </w:r>
    </w:p>
    <w:p>
      <w:pPr>
        <w:numPr>
          <w:ilvl w:val="0"/>
          <w:numId w:val="1014"/>
        </w:numPr>
        <w:pStyle w:val="Compact"/>
      </w:pPr>
      <w:r>
        <w:rPr>
          <w:bCs/>
          <w:b/>
        </w:rPr>
        <w:t xml:space="preserve">Environment</w:t>
      </w:r>
      <w:r>
        <w:t xml:space="preserve"> </w:t>
      </w:r>
      <w:r>
        <w:t xml:space="preserve">— the conditions (normal load, peak load, during a deploy).</w:t>
      </w:r>
    </w:p>
    <w:p>
      <w:pPr>
        <w:numPr>
          <w:ilvl w:val="0"/>
          <w:numId w:val="1014"/>
        </w:numPr>
        <w:pStyle w:val="Compact"/>
      </w:pPr>
      <w:r>
        <w:rPr>
          <w:bCs/>
          <w:b/>
        </w:rPr>
        <w:t xml:space="preserve">Artifact</w:t>
      </w:r>
      <w:r>
        <w:t xml:space="preserve"> </w:t>
      </w:r>
      <w:r>
        <w:t xml:space="preserve">— the part of the system affected (feed service, metadata database).</w:t>
      </w:r>
    </w:p>
    <w:p>
      <w:pPr>
        <w:numPr>
          <w:ilvl w:val="0"/>
          <w:numId w:val="1014"/>
        </w:numPr>
        <w:pStyle w:val="Compact"/>
      </w:pPr>
      <w:r>
        <w:rPr>
          <w:bCs/>
          <w:b/>
        </w:rPr>
        <w:t xml:space="preserve">Response</w:t>
      </w:r>
      <w:r>
        <w:t xml:space="preserve"> </w:t>
      </w:r>
      <w:r>
        <w:t xml:space="preserve">— what the system does.</w:t>
      </w:r>
    </w:p>
    <w:p>
      <w:pPr>
        <w:numPr>
          <w:ilvl w:val="0"/>
          <w:numId w:val="1014"/>
        </w:numPr>
        <w:pStyle w:val="Compact"/>
      </w:pPr>
      <w:r>
        <w:rPr>
          <w:bCs/>
          <w:b/>
        </w:rPr>
        <w:t xml:space="preserve">Response measure</w:t>
      </w:r>
      <w:r>
        <w:t xml:space="preserve"> </w:t>
      </w:r>
      <w:r>
        <w:t xml:space="preserve">— the number that decides pass or fail.</w:t>
      </w:r>
    </w:p>
    <w:p>
      <w:pPr>
        <w:pStyle w:val="FirstParagraph"/>
      </w:pPr>
      <w:r>
        <w:rPr>
          <w:iCs/>
          <w:i/>
        </w:rPr>
        <w:t xml:space="preserve">Example:</w:t>
      </w:r>
      <w:r>
        <w:t xml:space="preserve"> </w:t>
      </w:r>
      <w:r>
        <w:t xml:space="preserve">“</w:t>
      </w:r>
      <w:r>
        <w:rPr>
          <w:bCs/>
          <w:b/>
        </w:rPr>
        <w:t xml:space="preserve">When</w:t>
      </w:r>
      <w:r>
        <w:t xml:space="preserve"> </w:t>
      </w:r>
      <w:r>
        <w:t xml:space="preserve">an availability zone fails (source/stimulus)</w:t>
      </w:r>
      <w:r>
        <w:t xml:space="preserve"> </w:t>
      </w:r>
      <w:r>
        <w:rPr>
          <w:bCs/>
          <w:b/>
        </w:rPr>
        <w:t xml:space="preserve">during</w:t>
      </w:r>
      <w:r>
        <w:t xml:space="preserve"> </w:t>
      </w:r>
      <w:r>
        <w:t xml:space="preserve">peak traffic (environment), the PhotoShare feed service (artifact) continues serving requests from the remaining zones (response) with</w:t>
      </w:r>
      <w:r>
        <w:t xml:space="preserve"> </w:t>
      </w:r>
      <w:r>
        <w:rPr>
          <w:bCs/>
          <w:b/>
        </w:rPr>
        <w:t xml:space="preserve">no more than 60 seconds</w:t>
      </w:r>
      <w:r>
        <w:t xml:space="preserve"> </w:t>
      </w:r>
      <w:r>
        <w:t xml:space="preserve">of elevated errors and</w:t>
      </w:r>
      <w:r>
        <w:t xml:space="preserve"> </w:t>
      </w:r>
      <w:r>
        <w:rPr>
          <w:bCs/>
          <w:b/>
        </w:rPr>
        <w:t xml:space="preserve">p99 latency ≤ 500 ms</w:t>
      </w:r>
      <w:r>
        <w:t xml:space="preserve"> </w:t>
      </w:r>
      <w:r>
        <w:t xml:space="preserve">after failover (response measure).</w:t>
      </w:r>
      <w:r>
        <w:t xml:space="preserve">”</w:t>
      </w:r>
    </w:p>
    <w:p>
      <w:pPr>
        <w:pStyle w:val="BodyText"/>
      </w:pPr>
      <w:r>
        <w:t xml:space="preserve">In production, measurable NFRs become</w:t>
      </w:r>
      <w:r>
        <w:t xml:space="preserve"> </w:t>
      </w:r>
      <w:r>
        <w:rPr>
          <w:bCs/>
          <w:b/>
        </w:rPr>
        <w:t xml:space="preserve">service level indicators (SLIs)</w:t>
      </w:r>
      <w:r>
        <w:t xml:space="preserve"> </w:t>
      </w:r>
      <w:r>
        <w:t xml:space="preserve">— the measured quantity, such as the fraction of successful requests — and</w:t>
      </w:r>
      <w:r>
        <w:t xml:space="preserve"> </w:t>
      </w:r>
      <w:r>
        <w:rPr>
          <w:bCs/>
          <w:b/>
        </w:rPr>
        <w:t xml:space="preserve">service level objectives (SLOs)</w:t>
      </w:r>
      <w:r>
        <w:t xml:space="preserve"> </w:t>
      </w:r>
      <w:r>
        <w:t xml:space="preserve">— the target value for an SLI over a window [Beyer et al. 2016]. A</w:t>
      </w:r>
      <w:r>
        <w:t xml:space="preserve"> </w:t>
      </w:r>
      <w:r>
        <w:rPr>
          <w:bCs/>
          <w:b/>
        </w:rPr>
        <w:t xml:space="preserve">service level agreement (SLA)</w:t>
      </w:r>
      <w:r>
        <w:t xml:space="preserve"> </w:t>
      </w:r>
      <w:r>
        <w:t xml:space="preserve">is a contract with consequences (often financial) if an SLO-like target is missed. These are developed fully in §39.6 (SLI, SLO, SLA) and §39.7 (Error budgets).</w:t>
      </w:r>
    </w:p>
    <w:p>
      <w:pPr>
        <w:pStyle w:val="CalloutDefinition"/>
      </w:pPr>
      <w:r>
        <w:rPr>
          <w:bCs/>
          <w:b/>
        </w:rPr>
        <w:t xml:space="preserve">DEFINITION</w:t>
      </w:r>
    </w:p>
    <w:p>
      <w:pPr>
        <w:pStyle w:val="CalloutDefinition"/>
      </w:pPr>
      <w:r>
        <w:rPr>
          <w:bCs/>
          <w:b/>
        </w:rPr>
        <w:t xml:space="preserve">Definition — Percentile latency (p50, p95, p99, p99.9).</w:t>
      </w:r>
      <w:r>
        <w:t xml:space="preserve"> </w:t>
      </w:r>
      <w:r>
        <w:t xml:space="preserve">The latency value below which the given percentage of requests fall. If p99 latency is 300 ms, 99% of requests completed in 300 ms or less and 1% took longer. p50 is the median.</w:t>
      </w:r>
    </w:p>
    <w:p>
      <w:pPr>
        <w:pStyle w:val="BodyText"/>
      </w:pPr>
      <w:r>
        <w:t xml:space="preserve">Percentiles matter more than averages because users experience the slow requests, and a single page that fans out to many backend calls is slowed by the</w:t>
      </w:r>
      <w:r>
        <w:t xml:space="preserve"> </w:t>
      </w:r>
      <w:r>
        <w:rPr>
          <w:iCs/>
          <w:i/>
        </w:rPr>
        <w:t xml:space="preserve">slowest</w:t>
      </w:r>
      <w:r>
        <w:t xml:space="preserve"> </w:t>
      </w:r>
      <w:r>
        <w:t xml:space="preserve">of them [Dean and Barroso 2013] (fan-out amplification is quantified in §4.8).</w:t>
      </w:r>
    </w:p>
    <w:bookmarkEnd w:id="74"/>
    <w:bookmarkEnd w:id="75"/>
    <w:bookmarkStart w:id="79" w:name="the-catalog"/>
    <w:p>
      <w:pPr>
        <w:pStyle w:val="Heading3"/>
      </w:pPr>
      <w:r>
        <w:t xml:space="preserve">1.7.2 The catalog</w:t>
      </w:r>
    </w:p>
    <w:p>
      <w:pPr>
        <w:pStyle w:val="FirstParagraph"/>
      </w:pPr>
      <w:r>
        <w:t xml:space="preserve">The catalog is split into qualities observable while the system runs (Table 1.7) and qualities that matter as the system is built, changed and paid for (Table 1.8). Each row gives a measurable metric and a PhotoShare target.</w:t>
      </w:r>
    </w:p>
    <w:p>
      <w:pPr>
        <w:pStyle w:val="BodyText"/>
      </w:pPr>
      <w:r>
        <w:rPr>
          <w:bCs/>
          <w:b/>
        </w:rPr>
        <w:t xml:space="preserve">Table 1.7 — Runtime quality attributes.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Attribute</w:t>
            </w:r>
          </w:p>
        </w:tc>
        <w:tc>
          <w:tcPr/>
          <w:p>
            <w:pPr>
              <w:pStyle w:val="Compact"/>
              <w:jc w:val="left"/>
            </w:pPr>
            <w:r>
              <w:t xml:space="preserve">What it means</w:t>
            </w:r>
          </w:p>
        </w:tc>
        <w:tc>
          <w:tcPr/>
          <w:p>
            <w:pPr>
              <w:pStyle w:val="Compact"/>
              <w:jc w:val="left"/>
            </w:pPr>
            <w:r>
              <w:t xml:space="preserve">Typical metric</w:t>
            </w:r>
          </w:p>
        </w:tc>
        <w:tc>
          <w:tcPr/>
          <w:p>
            <w:pPr>
              <w:pStyle w:val="Compact"/>
              <w:jc w:val="left"/>
            </w:pPr>
            <w:r>
              <w:t xml:space="preserve">PhotoShare example target</w:t>
            </w:r>
          </w:p>
        </w:tc>
        <w:tc>
          <w:tcPr/>
          <w:p>
            <w:pPr>
              <w:pStyle w:val="Compact"/>
              <w:jc w:val="left"/>
            </w:pPr>
            <w:r>
              <w:t xml:space="preserve">Deep dive</w:t>
            </w:r>
          </w:p>
        </w:tc>
      </w:tr>
      <w:tr>
        <w:tc>
          <w:tcPr/>
          <w:p>
            <w:pPr>
              <w:pStyle w:val="Compact"/>
              <w:jc w:val="left"/>
            </w:pPr>
            <w:r>
              <w:t xml:space="preserve">Latency (performance)</w:t>
            </w:r>
          </w:p>
        </w:tc>
        <w:tc>
          <w:tcPr/>
          <w:p>
            <w:pPr>
              <w:pStyle w:val="Compact"/>
              <w:jc w:val="left"/>
            </w:pPr>
            <w:r>
              <w:t xml:space="preserve">Time to complete one operation</w:t>
            </w:r>
          </w:p>
        </w:tc>
        <w:tc>
          <w:tcPr/>
          <w:p>
            <w:pPr>
              <w:pStyle w:val="Compact"/>
              <w:jc w:val="left"/>
            </w:pPr>
            <w:r>
              <w:t xml:space="preserve">p50/p99 in ms</w:t>
            </w:r>
          </w:p>
        </w:tc>
        <w:tc>
          <w:tcPr/>
          <w:p>
            <w:pPr>
              <w:pStyle w:val="Compact"/>
              <w:jc w:val="left"/>
            </w:pPr>
            <w:r>
              <w:t xml:space="preserve">Feed API p99 ≤ 300 ms</w:t>
            </w:r>
          </w:p>
        </w:tc>
        <w:tc>
          <w:tcPr/>
          <w:p>
            <w:pPr>
              <w:pStyle w:val="Compact"/>
              <w:jc w:val="left"/>
            </w:pPr>
            <w:r>
              <w:t xml:space="preserve">§4.8, Ch 23</w:t>
            </w:r>
          </w:p>
        </w:tc>
      </w:tr>
      <w:tr>
        <w:tc>
          <w:tcPr/>
          <w:p>
            <w:pPr>
              <w:pStyle w:val="Compact"/>
              <w:jc w:val="left"/>
            </w:pPr>
            <w:r>
              <w:t xml:space="preserve">Throughput</w:t>
            </w:r>
          </w:p>
        </w:tc>
        <w:tc>
          <w:tcPr/>
          <w:p>
            <w:pPr>
              <w:pStyle w:val="Compact"/>
              <w:jc w:val="left"/>
            </w:pPr>
            <w:r>
              <w:t xml:space="preserve">Work completed per unit time</w:t>
            </w:r>
          </w:p>
        </w:tc>
        <w:tc>
          <w:tcPr/>
          <w:p>
            <w:pPr>
              <w:pStyle w:val="Compact"/>
              <w:jc w:val="left"/>
            </w:pPr>
            <w:r>
              <w:t xml:space="preserve">RPS; MB/s</w:t>
            </w:r>
          </w:p>
        </w:tc>
        <w:tc>
          <w:tcPr/>
          <w:p>
            <w:pPr>
              <w:pStyle w:val="Compact"/>
              <w:jc w:val="left"/>
            </w:pPr>
            <w:r>
              <w:t xml:space="preserve">2,000 feed RPS at peak</w:t>
            </w:r>
          </w:p>
        </w:tc>
        <w:tc>
          <w:tcPr/>
          <w:p>
            <w:pPr>
              <w:pStyle w:val="Compact"/>
              <w:jc w:val="left"/>
            </w:pPr>
            <w:r>
              <w:t xml:space="preserve">Ch 23</w:t>
            </w:r>
          </w:p>
        </w:tc>
      </w:tr>
      <w:tr>
        <w:tc>
          <w:tcPr/>
          <w:p>
            <w:pPr>
              <w:pStyle w:val="Compact"/>
              <w:jc w:val="left"/>
            </w:pPr>
            <w:r>
              <w:t xml:space="preserve">Scalability</w:t>
            </w:r>
          </w:p>
        </w:tc>
        <w:tc>
          <w:tcPr/>
          <w:p>
            <w:pPr>
              <w:pStyle w:val="Compact"/>
              <w:jc w:val="left"/>
            </w:pPr>
            <w:r>
              <w:t xml:space="preserve">Ability to handle more load by adding resources</w:t>
            </w:r>
          </w:p>
        </w:tc>
        <w:tc>
          <w:tcPr/>
          <w:p>
            <w:pPr>
              <w:pStyle w:val="Compact"/>
              <w:jc w:val="left"/>
            </w:pPr>
            <w:r>
              <w:t xml:space="preserve">Cost or nodes per 1,000 RPS as load grows</w:t>
            </w:r>
          </w:p>
        </w:tc>
        <w:tc>
          <w:tcPr/>
          <w:p>
            <w:pPr>
              <w:pStyle w:val="Compact"/>
              <w:jc w:val="left"/>
            </w:pPr>
            <w:r>
              <w:t xml:space="preserve">10× users with ≤ 10× cost</w:t>
            </w:r>
          </w:p>
        </w:tc>
        <w:tc>
          <w:tcPr/>
          <w:p>
            <w:pPr>
              <w:pStyle w:val="Compact"/>
              <w:jc w:val="left"/>
            </w:pPr>
            <w:r>
              <w:t xml:space="preserve">Ch 18</w:t>
            </w:r>
          </w:p>
        </w:tc>
      </w:tr>
      <w:tr>
        <w:tc>
          <w:tcPr/>
          <w:p>
            <w:pPr>
              <w:pStyle w:val="Compact"/>
              <w:jc w:val="left"/>
            </w:pPr>
            <w:r>
              <w:t xml:space="preserve">Availability</w:t>
            </w:r>
          </w:p>
        </w:tc>
        <w:tc>
          <w:tcPr/>
          <w:p>
            <w:pPr>
              <w:pStyle w:val="Compact"/>
              <w:jc w:val="left"/>
            </w:pPr>
            <w:r>
              <w:t xml:space="preserve">Fraction of time the system serves correctly</w:t>
            </w:r>
          </w:p>
        </w:tc>
        <w:tc>
          <w:tcPr/>
          <w:p>
            <w:pPr>
              <w:pStyle w:val="Compact"/>
              <w:jc w:val="left"/>
            </w:pPr>
            <w:r>
              <w:t xml:space="preserve">% successful requests per 30 days</w:t>
            </w:r>
          </w:p>
        </w:tc>
        <w:tc>
          <w:tcPr/>
          <w:p>
            <w:pPr>
              <w:pStyle w:val="Compact"/>
              <w:jc w:val="left"/>
            </w:pPr>
            <w:r>
              <w:t xml:space="preserve">≥ 99.9% monthly</w:t>
            </w:r>
          </w:p>
        </w:tc>
        <w:tc>
          <w:tcPr/>
          <w:p>
            <w:pPr>
              <w:pStyle w:val="Compact"/>
              <w:jc w:val="left"/>
            </w:pPr>
            <w:r>
              <w:t xml:space="preserve">§4.14, Ch 39</w:t>
            </w:r>
          </w:p>
        </w:tc>
      </w:tr>
      <w:tr>
        <w:tc>
          <w:tcPr/>
          <w:p>
            <w:pPr>
              <w:pStyle w:val="Compact"/>
              <w:jc w:val="left"/>
            </w:pPr>
            <w:r>
              <w:t xml:space="preserve">Reliability</w:t>
            </w:r>
          </w:p>
        </w:tc>
        <w:tc>
          <w:tcPr/>
          <w:p>
            <w:pPr>
              <w:pStyle w:val="Compact"/>
              <w:jc w:val="left"/>
            </w:pPr>
            <w:r>
              <w:t xml:space="preserve">Probability of correct operation over time</w:t>
            </w:r>
          </w:p>
        </w:tc>
        <w:tc>
          <w:tcPr/>
          <w:p>
            <w:pPr>
              <w:pStyle w:val="Compact"/>
              <w:jc w:val="left"/>
            </w:pPr>
            <w:r>
              <w:t xml:space="preserve">Error rate; MTBF</w:t>
            </w:r>
          </w:p>
        </w:tc>
        <w:tc>
          <w:tcPr/>
          <w:p>
            <w:pPr>
              <w:pStyle w:val="Compact"/>
              <w:jc w:val="left"/>
            </w:pPr>
            <w:r>
              <w:t xml:space="preserve">&lt; 0.1% failed uploads</w:t>
            </w:r>
          </w:p>
        </w:tc>
        <w:tc>
          <w:tcPr/>
          <w:p>
            <w:pPr>
              <w:pStyle w:val="Compact"/>
              <w:jc w:val="left"/>
            </w:pPr>
            <w:r>
              <w:t xml:space="preserve">Ch 39</w:t>
            </w:r>
          </w:p>
        </w:tc>
      </w:tr>
      <w:tr>
        <w:tc>
          <w:tcPr/>
          <w:p>
            <w:pPr>
              <w:pStyle w:val="Compact"/>
              <w:jc w:val="left"/>
            </w:pPr>
            <w:r>
              <w:t xml:space="preserve">Durability</w:t>
            </w:r>
          </w:p>
        </w:tc>
        <w:tc>
          <w:tcPr/>
          <w:p>
            <w:pPr>
              <w:pStyle w:val="Compact"/>
              <w:jc w:val="left"/>
            </w:pPr>
            <w:r>
              <w:t xml:space="preserve">Probability stored data is not lost</w:t>
            </w:r>
          </w:p>
        </w:tc>
        <w:tc>
          <w:tcPr/>
          <w:p>
            <w:pPr>
              <w:pStyle w:val="Compact"/>
              <w:jc w:val="left"/>
            </w:pPr>
            <w:r>
              <w:t xml:space="preserve">Annual object-loss probability</w:t>
            </w:r>
          </w:p>
        </w:tc>
        <w:tc>
          <w:tcPr/>
          <w:p>
            <w:pPr>
              <w:pStyle w:val="Compact"/>
              <w:jc w:val="left"/>
            </w:pPr>
            <w:r>
              <w:t xml:space="preserve">No acknowledged photo lost</w:t>
            </w:r>
          </w:p>
        </w:tc>
        <w:tc>
          <w:tcPr/>
          <w:p>
            <w:pPr>
              <w:pStyle w:val="Compact"/>
              <w:jc w:val="left"/>
            </w:pPr>
            <w:r>
              <w:t xml:space="preserve">§4.16, Ch 15</w:t>
            </w:r>
          </w:p>
        </w:tc>
      </w:tr>
      <w:tr>
        <w:tc>
          <w:tcPr/>
          <w:p>
            <w:pPr>
              <w:pStyle w:val="Compact"/>
              <w:jc w:val="left"/>
            </w:pPr>
            <w:r>
              <w:t xml:space="preserve">Consistency</w:t>
            </w:r>
          </w:p>
        </w:tc>
        <w:tc>
          <w:tcPr/>
          <w:p>
            <w:pPr>
              <w:pStyle w:val="Compact"/>
              <w:jc w:val="left"/>
            </w:pPr>
            <w:r>
              <w:t xml:space="preserve">Guarantees about what reads see after writes</w:t>
            </w:r>
          </w:p>
        </w:tc>
        <w:tc>
          <w:tcPr/>
          <w:p>
            <w:pPr>
              <w:pStyle w:val="Compact"/>
              <w:jc w:val="left"/>
            </w:pPr>
            <w:r>
              <w:t xml:space="preserve">Model name; staleness bound in s</w:t>
            </w:r>
          </w:p>
        </w:tc>
        <w:tc>
          <w:tcPr/>
          <w:p>
            <w:pPr>
              <w:pStyle w:val="Compact"/>
              <w:jc w:val="left"/>
            </w:pPr>
            <w:r>
              <w:t xml:space="preserve">Own uploads visible to self immediately; to followers within 5 s</w:t>
            </w:r>
          </w:p>
        </w:tc>
        <w:tc>
          <w:tcPr/>
          <w:p>
            <w:pPr>
              <w:pStyle w:val="Compact"/>
              <w:jc w:val="left"/>
            </w:pPr>
            <w:r>
              <w:t xml:space="preserve">Ch 25</w:t>
            </w:r>
          </w:p>
        </w:tc>
      </w:tr>
      <w:tr>
        <w:tc>
          <w:tcPr/>
          <w:p>
            <w:pPr>
              <w:pStyle w:val="Compact"/>
              <w:jc w:val="left"/>
            </w:pPr>
            <w:r>
              <w:t xml:space="preserve">Fault tolerance / resilience</w:t>
            </w:r>
          </w:p>
        </w:tc>
        <w:tc>
          <w:tcPr/>
          <w:p>
            <w:pPr>
              <w:pStyle w:val="Compact"/>
              <w:jc w:val="left"/>
            </w:pPr>
            <w:r>
              <w:t xml:space="preserve">Continued service despite component failure</w:t>
            </w:r>
          </w:p>
        </w:tc>
        <w:tc>
          <w:tcPr/>
          <w:p>
            <w:pPr>
              <w:pStyle w:val="Compact"/>
              <w:jc w:val="left"/>
            </w:pPr>
            <w:r>
              <w:t xml:space="preserve">Failures tolerated; recovery time</w:t>
            </w:r>
          </w:p>
        </w:tc>
        <w:tc>
          <w:tcPr/>
          <w:p>
            <w:pPr>
              <w:pStyle w:val="Compact"/>
              <w:jc w:val="left"/>
            </w:pPr>
            <w:r>
              <w:t xml:space="preserve">Survive loss of one zone</w:t>
            </w:r>
          </w:p>
        </w:tc>
        <w:tc>
          <w:tcPr/>
          <w:p>
            <w:pPr>
              <w:pStyle w:val="Compact"/>
              <w:jc w:val="left"/>
            </w:pPr>
            <w:r>
              <w:t xml:space="preserve">Ch 27, Ch 39</w:t>
            </w:r>
          </w:p>
        </w:tc>
      </w:tr>
      <w:tr>
        <w:tc>
          <w:tcPr/>
          <w:p>
            <w:pPr>
              <w:pStyle w:val="Compact"/>
              <w:jc w:val="left"/>
            </w:pPr>
            <w:r>
              <w:t xml:space="preserve">Recoverability (disaster recovery)</w:t>
            </w:r>
          </w:p>
        </w:tc>
        <w:tc>
          <w:tcPr/>
          <w:p>
            <w:pPr>
              <w:pStyle w:val="Compact"/>
              <w:jc w:val="left"/>
            </w:pPr>
            <w:r>
              <w:t xml:space="preserve">Ability to restore after disaster</w:t>
            </w:r>
          </w:p>
        </w:tc>
        <w:tc>
          <w:tcPr/>
          <w:p>
            <w:pPr>
              <w:pStyle w:val="Compact"/>
              <w:jc w:val="left"/>
            </w:pPr>
            <w:r>
              <w:t xml:space="preserve">RTO (time to restore); RPO (data loss window)</w:t>
            </w:r>
          </w:p>
        </w:tc>
        <w:tc>
          <w:tcPr/>
          <w:p>
            <w:pPr>
              <w:pStyle w:val="Compact"/>
              <w:jc w:val="left"/>
            </w:pPr>
            <w:r>
              <w:t xml:space="preserve">RTO 4 h; RPO 15 min</w:t>
            </w:r>
          </w:p>
        </w:tc>
        <w:tc>
          <w:tcPr/>
          <w:p>
            <w:pPr>
              <w:pStyle w:val="Compact"/>
              <w:jc w:val="left"/>
            </w:pPr>
            <w:r>
              <w:t xml:space="preserve">§39.8</w:t>
            </w:r>
          </w:p>
        </w:tc>
      </w:tr>
      <w:tr>
        <w:tc>
          <w:tcPr/>
          <w:p>
            <w:pPr>
              <w:pStyle w:val="Compact"/>
              <w:jc w:val="left"/>
            </w:pPr>
            <w:r>
              <w:t xml:space="preserve">Security</w:t>
            </w:r>
          </w:p>
        </w:tc>
        <w:tc>
          <w:tcPr/>
          <w:p>
            <w:pPr>
              <w:pStyle w:val="Compact"/>
              <w:jc w:val="left"/>
            </w:pPr>
            <w:r>
              <w:t xml:space="preserve">Protection of confidentiality, integrity, availability</w:t>
            </w:r>
          </w:p>
        </w:tc>
        <w:tc>
          <w:tcPr/>
          <w:p>
            <w:pPr>
              <w:pStyle w:val="Compact"/>
              <w:jc w:val="left"/>
            </w:pPr>
            <w:r>
              <w:t xml:space="preserve">Vulnerability count; time to patch; auth coverage</w:t>
            </w:r>
          </w:p>
        </w:tc>
        <w:tc>
          <w:tcPr/>
          <w:p>
            <w:pPr>
              <w:pStyle w:val="Compact"/>
              <w:jc w:val="left"/>
            </w:pPr>
            <w:r>
              <w:t xml:space="preserve">All traffic TLS; private photos never served to non-followers</w:t>
            </w:r>
          </w:p>
        </w:tc>
        <w:tc>
          <w:tcPr/>
          <w:p>
            <w:pPr>
              <w:pStyle w:val="Compact"/>
              <w:jc w:val="left"/>
            </w:pPr>
            <w:r>
              <w:t xml:space="preserve">Ch 10, Ch 50</w:t>
            </w:r>
          </w:p>
        </w:tc>
      </w:tr>
      <w:tr>
        <w:tc>
          <w:tcPr/>
          <w:p>
            <w:pPr>
              <w:pStyle w:val="Compact"/>
              <w:jc w:val="left"/>
            </w:pPr>
            <w:r>
              <w:t xml:space="preserve">Privacy</w:t>
            </w:r>
          </w:p>
        </w:tc>
        <w:tc>
          <w:tcPr/>
          <w:p>
            <w:pPr>
              <w:pStyle w:val="Compact"/>
              <w:jc w:val="left"/>
            </w:pPr>
            <w:r>
              <w:t xml:space="preserve">Appropriate handling of personal data</w:t>
            </w:r>
          </w:p>
        </w:tc>
        <w:tc>
          <w:tcPr/>
          <w:p>
            <w:pPr>
              <w:pStyle w:val="Compact"/>
              <w:jc w:val="left"/>
            </w:pPr>
            <w:r>
              <w:t xml:space="preserve">Deletion completed within N days; data minimized</w:t>
            </w:r>
          </w:p>
        </w:tc>
        <w:tc>
          <w:tcPr/>
          <w:p>
            <w:pPr>
              <w:pStyle w:val="Compact"/>
              <w:jc w:val="left"/>
            </w:pPr>
            <w:r>
              <w:t xml:space="preserve">Account deletion propagates in ≤ 30 days</w:t>
            </w:r>
          </w:p>
        </w:tc>
        <w:tc>
          <w:tcPr/>
          <w:p>
            <w:pPr>
              <w:pStyle w:val="Compact"/>
              <w:jc w:val="left"/>
            </w:pPr>
            <w:r>
              <w:t xml:space="preserve">Ch 50</w:t>
            </w:r>
          </w:p>
        </w:tc>
      </w:tr>
      <w:tr>
        <w:tc>
          <w:tcPr/>
          <w:p>
            <w:pPr>
              <w:pStyle w:val="Compact"/>
              <w:jc w:val="left"/>
            </w:pPr>
            <w:r>
              <w:t xml:space="preserve">Usability / accessibility</w:t>
            </w:r>
          </w:p>
        </w:tc>
        <w:tc>
          <w:tcPr/>
          <w:p>
            <w:pPr>
              <w:pStyle w:val="Compact"/>
              <w:jc w:val="left"/>
            </w:pPr>
            <w:r>
              <w:t xml:space="preserve">Ease and inclusiveness of use</w:t>
            </w:r>
          </w:p>
        </w:tc>
        <w:tc>
          <w:tcPr/>
          <w:p>
            <w:pPr>
              <w:pStyle w:val="Compact"/>
              <w:jc w:val="left"/>
            </w:pPr>
            <w:r>
              <w:t xml:space="preserve">Task success rate; accessibility conformance level</w:t>
            </w:r>
          </w:p>
        </w:tc>
        <w:tc>
          <w:tcPr/>
          <w:p>
            <w:pPr>
              <w:pStyle w:val="Compact"/>
              <w:jc w:val="left"/>
            </w:pPr>
            <w:r>
              <w:t xml:space="preserve">Screen-reader alt text on all photos</w:t>
            </w:r>
          </w:p>
        </w:tc>
        <w:tc>
          <w:tcPr/>
          <w:p>
            <w:pPr>
              <w:pStyle w:val="Compact"/>
              <w:jc w:val="left"/>
            </w:pPr>
            <w:r>
              <w:t xml:space="preserve">—</w:t>
            </w:r>
          </w:p>
        </w:tc>
      </w:tr>
      <w:tr>
        <w:tc>
          <w:tcPr/>
          <w:p>
            <w:pPr>
              <w:pStyle w:val="Compact"/>
              <w:jc w:val="left"/>
            </w:pPr>
            <w:r>
              <w:t xml:space="preserve">Elasticity</w:t>
            </w:r>
          </w:p>
        </w:tc>
        <w:tc>
          <w:tcPr/>
          <w:p>
            <w:pPr>
              <w:pStyle w:val="Compact"/>
              <w:jc w:val="left"/>
            </w:pPr>
            <w:r>
              <w:t xml:space="preserve">Speed of adapting capacity to load</w:t>
            </w:r>
          </w:p>
        </w:tc>
        <w:tc>
          <w:tcPr/>
          <w:p>
            <w:pPr>
              <w:pStyle w:val="Compact"/>
              <w:jc w:val="left"/>
            </w:pPr>
            <w:r>
              <w:t xml:space="preserve">Time to add capacity</w:t>
            </w:r>
          </w:p>
        </w:tc>
        <w:tc>
          <w:tcPr/>
          <w:p>
            <w:pPr>
              <w:pStyle w:val="Compact"/>
              <w:jc w:val="left"/>
            </w:pPr>
            <w:r>
              <w:t xml:space="preserve">Scale out in ≤ 5 min</w:t>
            </w:r>
          </w:p>
        </w:tc>
        <w:tc>
          <w:tcPr/>
          <w:p>
            <w:pPr>
              <w:pStyle w:val="Compact"/>
              <w:jc w:val="left"/>
            </w:pPr>
            <w:r>
              <w:t xml:space="preserve">§42.12</w:t>
            </w:r>
          </w:p>
        </w:tc>
      </w:tr>
    </w:tbl>
    <w:p>
      <w:pPr>
        <w:pStyle w:val="BodyText"/>
      </w:pPr>
      <w:r>
        <w:rPr>
          <w:bCs/>
          <w:b/>
        </w:rPr>
        <w:t xml:space="preserve">Table 1.8 — Development-time and business quality attributes.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Attribute</w:t>
            </w:r>
          </w:p>
        </w:tc>
        <w:tc>
          <w:tcPr/>
          <w:p>
            <w:pPr>
              <w:pStyle w:val="Compact"/>
              <w:jc w:val="left"/>
            </w:pPr>
            <w:r>
              <w:t xml:space="preserve">What it means</w:t>
            </w:r>
          </w:p>
        </w:tc>
        <w:tc>
          <w:tcPr/>
          <w:p>
            <w:pPr>
              <w:pStyle w:val="Compact"/>
              <w:jc w:val="left"/>
            </w:pPr>
            <w:r>
              <w:t xml:space="preserve">Typical metric</w:t>
            </w:r>
          </w:p>
        </w:tc>
        <w:tc>
          <w:tcPr/>
          <w:p>
            <w:pPr>
              <w:pStyle w:val="Compact"/>
              <w:jc w:val="left"/>
            </w:pPr>
            <w:r>
              <w:t xml:space="preserve">PhotoShare example target</w:t>
            </w:r>
          </w:p>
        </w:tc>
        <w:tc>
          <w:tcPr/>
          <w:p>
            <w:pPr>
              <w:pStyle w:val="Compact"/>
              <w:jc w:val="left"/>
            </w:pPr>
            <w:r>
              <w:t xml:space="preserve">Deep dive</w:t>
            </w:r>
          </w:p>
        </w:tc>
      </w:tr>
      <w:tr>
        <w:tc>
          <w:tcPr/>
          <w:p>
            <w:pPr>
              <w:pStyle w:val="Compact"/>
              <w:jc w:val="left"/>
            </w:pPr>
            <w:r>
              <w:t xml:space="preserve">Maintainability</w:t>
            </w:r>
          </w:p>
        </w:tc>
        <w:tc>
          <w:tcPr/>
          <w:p>
            <w:pPr>
              <w:pStyle w:val="Compact"/>
              <w:jc w:val="left"/>
            </w:pPr>
            <w:r>
              <w:t xml:space="preserve">Ease of understanding and fixing</w:t>
            </w:r>
          </w:p>
        </w:tc>
        <w:tc>
          <w:tcPr/>
          <w:p>
            <w:pPr>
              <w:pStyle w:val="Compact"/>
              <w:jc w:val="left"/>
            </w:pPr>
            <w:r>
              <w:t xml:space="preserve">Time to fix a bug; onboarding time</w:t>
            </w:r>
          </w:p>
        </w:tc>
        <w:tc>
          <w:tcPr/>
          <w:p>
            <w:pPr>
              <w:pStyle w:val="Compact"/>
              <w:jc w:val="left"/>
            </w:pPr>
            <w:r>
              <w:t xml:space="preserve">New engineer ships in week 1</w:t>
            </w:r>
          </w:p>
        </w:tc>
        <w:tc>
          <w:tcPr/>
          <w:p>
            <w:pPr>
              <w:pStyle w:val="Compact"/>
              <w:jc w:val="left"/>
            </w:pPr>
            <w:r>
              <w:t xml:space="preserve">Ch 35–36</w:t>
            </w:r>
          </w:p>
        </w:tc>
      </w:tr>
      <w:tr>
        <w:tc>
          <w:tcPr/>
          <w:p>
            <w:pPr>
              <w:pStyle w:val="Compact"/>
              <w:jc w:val="left"/>
            </w:pPr>
            <w:r>
              <w:t xml:space="preserve">Modifiability / extensibility</w:t>
            </w:r>
          </w:p>
        </w:tc>
        <w:tc>
          <w:tcPr/>
          <w:p>
            <w:pPr>
              <w:pStyle w:val="Compact"/>
              <w:jc w:val="left"/>
            </w:pPr>
            <w:r>
              <w:t xml:space="preserve">Ease of adding features</w:t>
            </w:r>
          </w:p>
        </w:tc>
        <w:tc>
          <w:tcPr/>
          <w:p>
            <w:pPr>
              <w:pStyle w:val="Compact"/>
              <w:jc w:val="left"/>
            </w:pPr>
            <w:r>
              <w:t xml:space="preserve">Number of modules touched per feature</w:t>
            </w:r>
          </w:p>
        </w:tc>
        <w:tc>
          <w:tcPr/>
          <w:p>
            <w:pPr>
              <w:pStyle w:val="Compact"/>
              <w:jc w:val="left"/>
            </w:pPr>
            <w:r>
              <w:t xml:space="preserve">Adding video touches ≤ 3 services</w:t>
            </w:r>
          </w:p>
        </w:tc>
        <w:tc>
          <w:tcPr/>
          <w:p>
            <w:pPr>
              <w:pStyle w:val="Compact"/>
              <w:jc w:val="left"/>
            </w:pPr>
            <w:r>
              <w:t xml:space="preserve">Ch 33</w:t>
            </w:r>
          </w:p>
        </w:tc>
      </w:tr>
      <w:tr>
        <w:tc>
          <w:tcPr/>
          <w:p>
            <w:pPr>
              <w:pStyle w:val="Compact"/>
              <w:jc w:val="left"/>
            </w:pPr>
            <w:r>
              <w:t xml:space="preserve">Testability</w:t>
            </w:r>
          </w:p>
        </w:tc>
        <w:tc>
          <w:tcPr/>
          <w:p>
            <w:pPr>
              <w:pStyle w:val="Compact"/>
              <w:jc w:val="left"/>
            </w:pPr>
            <w:r>
              <w:t xml:space="preserve">Ease of verifying behavior</w:t>
            </w:r>
          </w:p>
        </w:tc>
        <w:tc>
          <w:tcPr/>
          <w:p>
            <w:pPr>
              <w:pStyle w:val="Compact"/>
              <w:jc w:val="left"/>
            </w:pPr>
            <w:r>
              <w:t xml:space="preserve">Test coverage of critical paths; test run time</w:t>
            </w:r>
          </w:p>
        </w:tc>
        <w:tc>
          <w:tcPr/>
          <w:p>
            <w:pPr>
              <w:pStyle w:val="Compact"/>
              <w:jc w:val="left"/>
            </w:pPr>
            <w:r>
              <w:t xml:space="preserve">Full test suite ≤ 10 min</w:t>
            </w:r>
          </w:p>
        </w:tc>
        <w:tc>
          <w:tcPr/>
          <w:p>
            <w:pPr>
              <w:pStyle w:val="Compact"/>
              <w:jc w:val="left"/>
            </w:pPr>
            <w:r>
              <w:t xml:space="preserve">Ch 36</w:t>
            </w:r>
          </w:p>
        </w:tc>
      </w:tr>
      <w:tr>
        <w:tc>
          <w:tcPr/>
          <w:p>
            <w:pPr>
              <w:pStyle w:val="Compact"/>
              <w:jc w:val="left"/>
            </w:pPr>
            <w:r>
              <w:t xml:space="preserve">Deployability</w:t>
            </w:r>
          </w:p>
        </w:tc>
        <w:tc>
          <w:tcPr/>
          <w:p>
            <w:pPr>
              <w:pStyle w:val="Compact"/>
              <w:jc w:val="left"/>
            </w:pPr>
            <w:r>
              <w:t xml:space="preserve">Ease and safety of releasing</w:t>
            </w:r>
          </w:p>
        </w:tc>
        <w:tc>
          <w:tcPr/>
          <w:p>
            <w:pPr>
              <w:pStyle w:val="Compact"/>
              <w:jc w:val="left"/>
            </w:pPr>
            <w:r>
              <w:t xml:space="preserve">Deploy frequency; change-failure rate</w:t>
            </w:r>
          </w:p>
        </w:tc>
        <w:tc>
          <w:tcPr/>
          <w:p>
            <w:pPr>
              <w:pStyle w:val="Compact"/>
              <w:jc w:val="left"/>
            </w:pPr>
            <w:r>
              <w:t xml:space="preserve">Daily deploys; rollback ≤ 5 min</w:t>
            </w:r>
          </w:p>
        </w:tc>
        <w:tc>
          <w:tcPr/>
          <w:p>
            <w:pPr>
              <w:pStyle w:val="Compact"/>
              <w:jc w:val="left"/>
            </w:pPr>
            <w:r>
              <w:t xml:space="preserve">Ch 43</w:t>
            </w:r>
          </w:p>
        </w:tc>
      </w:tr>
      <w:tr>
        <w:tc>
          <w:tcPr/>
          <w:p>
            <w:pPr>
              <w:pStyle w:val="Compact"/>
              <w:jc w:val="left"/>
            </w:pPr>
            <w:r>
              <w:t xml:space="preserve">Observability</w:t>
            </w:r>
          </w:p>
        </w:tc>
        <w:tc>
          <w:tcPr/>
          <w:p>
            <w:pPr>
              <w:pStyle w:val="Compact"/>
              <w:jc w:val="left"/>
            </w:pPr>
            <w:r>
              <w:t xml:space="preserve">Ability to understand internal state from outputs</w:t>
            </w:r>
          </w:p>
        </w:tc>
        <w:tc>
          <w:tcPr/>
          <w:p>
            <w:pPr>
              <w:pStyle w:val="Compact"/>
              <w:jc w:val="left"/>
            </w:pPr>
            <w:r>
              <w:t xml:space="preserve">% of requests traced; time to diagnose</w:t>
            </w:r>
          </w:p>
        </w:tc>
        <w:tc>
          <w:tcPr/>
          <w:p>
            <w:pPr>
              <w:pStyle w:val="Compact"/>
              <w:jc w:val="left"/>
            </w:pPr>
            <w:r>
              <w:t xml:space="preserve">Every request has a trace ID</w:t>
            </w:r>
          </w:p>
        </w:tc>
        <w:tc>
          <w:tcPr/>
          <w:p>
            <w:pPr>
              <w:pStyle w:val="Compact"/>
              <w:jc w:val="left"/>
            </w:pPr>
            <w:r>
              <w:t xml:space="preserve">Ch 40</w:t>
            </w:r>
          </w:p>
        </w:tc>
      </w:tr>
      <w:tr>
        <w:tc>
          <w:tcPr/>
          <w:p>
            <w:pPr>
              <w:pStyle w:val="Compact"/>
              <w:jc w:val="left"/>
            </w:pPr>
            <w:r>
              <w:t xml:space="preserve">Operability</w:t>
            </w:r>
          </w:p>
        </w:tc>
        <w:tc>
          <w:tcPr/>
          <w:p>
            <w:pPr>
              <w:pStyle w:val="Compact"/>
              <w:jc w:val="left"/>
            </w:pPr>
            <w:r>
              <w:t xml:space="preserve">Ease of running in production</w:t>
            </w:r>
          </w:p>
        </w:tc>
        <w:tc>
          <w:tcPr/>
          <w:p>
            <w:pPr>
              <w:pStyle w:val="Compact"/>
              <w:jc w:val="left"/>
            </w:pPr>
            <w:r>
              <w:t xml:space="preserve">Pages per week; manual steps per release</w:t>
            </w:r>
          </w:p>
        </w:tc>
        <w:tc>
          <w:tcPr/>
          <w:p>
            <w:pPr>
              <w:pStyle w:val="Compact"/>
              <w:jc w:val="left"/>
            </w:pPr>
            <w:r>
              <w:t xml:space="preserve">≤ 2 pages per on-call week</w:t>
            </w:r>
          </w:p>
        </w:tc>
        <w:tc>
          <w:tcPr/>
          <w:p>
            <w:pPr>
              <w:pStyle w:val="Compact"/>
              <w:jc w:val="left"/>
            </w:pPr>
            <w:r>
              <w:t xml:space="preserve">Ch 39</w:t>
            </w:r>
          </w:p>
        </w:tc>
      </w:tr>
      <w:tr>
        <w:tc>
          <w:tcPr/>
          <w:p>
            <w:pPr>
              <w:pStyle w:val="Compact"/>
              <w:jc w:val="left"/>
            </w:pPr>
            <w:r>
              <w:t xml:space="preserve">Interoperability</w:t>
            </w:r>
          </w:p>
        </w:tc>
        <w:tc>
          <w:tcPr/>
          <w:p>
            <w:pPr>
              <w:pStyle w:val="Compact"/>
              <w:jc w:val="left"/>
            </w:pPr>
            <w:r>
              <w:t xml:space="preserve">Ability to work with other systems</w:t>
            </w:r>
          </w:p>
        </w:tc>
        <w:tc>
          <w:tcPr/>
          <w:p>
            <w:pPr>
              <w:pStyle w:val="Compact"/>
              <w:jc w:val="left"/>
            </w:pPr>
            <w:r>
              <w:t xml:space="preserve">Supported standards and API versions</w:t>
            </w:r>
          </w:p>
        </w:tc>
        <w:tc>
          <w:tcPr/>
          <w:p>
            <w:pPr>
              <w:pStyle w:val="Compact"/>
              <w:jc w:val="left"/>
            </w:pPr>
            <w:r>
              <w:t xml:space="preserve">Public API with versioning</w:t>
            </w:r>
          </w:p>
        </w:tc>
        <w:tc>
          <w:tcPr/>
          <w:p>
            <w:pPr>
              <w:pStyle w:val="Compact"/>
              <w:jc w:val="left"/>
            </w:pPr>
            <w:r>
              <w:t xml:space="preserve">§8.15</w:t>
            </w:r>
          </w:p>
        </w:tc>
      </w:tr>
      <w:tr>
        <w:tc>
          <w:tcPr/>
          <w:p>
            <w:pPr>
              <w:pStyle w:val="Compact"/>
              <w:jc w:val="left"/>
            </w:pPr>
            <w:r>
              <w:t xml:space="preserve">Portability</w:t>
            </w:r>
          </w:p>
        </w:tc>
        <w:tc>
          <w:tcPr/>
          <w:p>
            <w:pPr>
              <w:pStyle w:val="Compact"/>
              <w:jc w:val="left"/>
            </w:pPr>
            <w:r>
              <w:t xml:space="preserve">Ability to run in other environments</w:t>
            </w:r>
          </w:p>
        </w:tc>
        <w:tc>
          <w:tcPr/>
          <w:p>
            <w:pPr>
              <w:pStyle w:val="Compact"/>
              <w:jc w:val="left"/>
            </w:pPr>
            <w:r>
              <w:t xml:space="preserve">Effort to move cloud or region</w:t>
            </w:r>
          </w:p>
        </w:tc>
        <w:tc>
          <w:tcPr/>
          <w:p>
            <w:pPr>
              <w:pStyle w:val="Compact"/>
              <w:jc w:val="left"/>
            </w:pPr>
            <w:r>
              <w:t xml:space="preserve">Containerized services</w:t>
            </w:r>
          </w:p>
        </w:tc>
        <w:tc>
          <w:tcPr/>
          <w:p>
            <w:pPr>
              <w:pStyle w:val="Compact"/>
              <w:jc w:val="left"/>
            </w:pPr>
            <w:r>
              <w:t xml:space="preserve">Ch 41–42</w:t>
            </w:r>
          </w:p>
        </w:tc>
      </w:tr>
      <w:tr>
        <w:tc>
          <w:tcPr/>
          <w:p>
            <w:pPr>
              <w:pStyle w:val="Compact"/>
              <w:jc w:val="left"/>
            </w:pPr>
            <w:r>
              <w:t xml:space="preserve">Compliance</w:t>
            </w:r>
          </w:p>
        </w:tc>
        <w:tc>
          <w:tcPr/>
          <w:p>
            <w:pPr>
              <w:pStyle w:val="Compact"/>
              <w:jc w:val="left"/>
            </w:pPr>
            <w:r>
              <w:t xml:space="preserve">Conformance to laws and standards</w:t>
            </w:r>
          </w:p>
        </w:tc>
        <w:tc>
          <w:tcPr/>
          <w:p>
            <w:pPr>
              <w:pStyle w:val="Compact"/>
              <w:jc w:val="left"/>
            </w:pPr>
            <w:r>
              <w:t xml:space="preserve">Audit findings</w:t>
            </w:r>
          </w:p>
        </w:tc>
        <w:tc>
          <w:tcPr/>
          <w:p>
            <w:pPr>
              <w:pStyle w:val="Compact"/>
              <w:jc w:val="left"/>
            </w:pPr>
            <w:r>
              <w:t xml:space="preserve">EU users’ data stored in the EU</w:t>
            </w:r>
          </w:p>
        </w:tc>
        <w:tc>
          <w:tcPr/>
          <w:p>
            <w:pPr>
              <w:pStyle w:val="Compact"/>
              <w:jc w:val="left"/>
            </w:pPr>
            <w:r>
              <w:t xml:space="preserve">Ch 50</w:t>
            </w:r>
          </w:p>
        </w:tc>
      </w:tr>
      <w:tr>
        <w:tc>
          <w:tcPr/>
          <w:p>
            <w:pPr>
              <w:pStyle w:val="Compact"/>
              <w:jc w:val="left"/>
            </w:pPr>
            <w:r>
              <w:t xml:space="preserve">Cost efficiency</w:t>
            </w:r>
          </w:p>
        </w:tc>
        <w:tc>
          <w:tcPr/>
          <w:p>
            <w:pPr>
              <w:pStyle w:val="Compact"/>
              <w:jc w:val="left"/>
            </w:pPr>
            <w:r>
              <w:t xml:space="preserve">Resources consumed per unit of value</w:t>
            </w:r>
          </w:p>
        </w:tc>
        <w:tc>
          <w:tcPr/>
          <w:p>
            <w:pPr>
              <w:pStyle w:val="Compact"/>
              <w:jc w:val="left"/>
            </w:pPr>
            <w:r>
              <w:t xml:space="preserve">$ per 1,000 requests; $ per user per month</w:t>
            </w:r>
          </w:p>
        </w:tc>
        <w:tc>
          <w:tcPr/>
          <w:p>
            <w:pPr>
              <w:pStyle w:val="Compact"/>
              <w:jc w:val="left"/>
            </w:pPr>
            <w:r>
              <w:t xml:space="preserve">≤ $0.01 per MAU per month</w:t>
            </w:r>
          </w:p>
        </w:tc>
        <w:tc>
          <w:tcPr/>
          <w:p>
            <w:pPr>
              <w:pStyle w:val="Compact"/>
              <w:jc w:val="left"/>
            </w:pPr>
            <w:r>
              <w:t xml:space="preserve">Ch 51</w:t>
            </w:r>
          </w:p>
        </w:tc>
      </w:tr>
      <w:tr>
        <w:tc>
          <w:tcPr/>
          <w:p>
            <w:pPr>
              <w:pStyle w:val="Compact"/>
              <w:jc w:val="left"/>
            </w:pPr>
            <w:r>
              <w:t xml:space="preserve">Sustainability</w:t>
            </w:r>
          </w:p>
        </w:tc>
        <w:tc>
          <w:tcPr/>
          <w:p>
            <w:pPr>
              <w:pStyle w:val="Compact"/>
              <w:jc w:val="left"/>
            </w:pPr>
            <w:r>
              <w:t xml:space="preserve">Energy and carbon per unit of work</w:t>
            </w:r>
          </w:p>
        </w:tc>
        <w:tc>
          <w:tcPr/>
          <w:p>
            <w:pPr>
              <w:pStyle w:val="Compact"/>
              <w:jc w:val="left"/>
            </w:pPr>
            <w:r>
              <w:t xml:space="preserve">kWh or gCO₂e per request</w:t>
            </w:r>
          </w:p>
        </w:tc>
        <w:tc>
          <w:tcPr/>
          <w:p>
            <w:pPr>
              <w:pStyle w:val="Compact"/>
              <w:jc w:val="left"/>
            </w:pPr>
            <w:r>
              <w:t xml:space="preserve">Track and report</w:t>
            </w:r>
          </w:p>
        </w:tc>
        <w:tc>
          <w:tcPr/>
          <w:p>
            <w:pPr>
              <w:pStyle w:val="Compact"/>
              <w:jc w:val="left"/>
            </w:pPr>
            <w:r>
              <w:t xml:space="preserve">Ch 51</w:t>
            </w:r>
          </w:p>
        </w:tc>
      </w:tr>
    </w:tbl>
    <w:p>
      <w:pPr>
        <w:pStyle w:val="BodyText"/>
      </w:pPr>
      <w:r>
        <w:t xml:space="preserve">The international quality-model standard ISO/IEC 25010 organizes many of these attributes into a formal hierarchy of characteristics and sub-characteristics; it is a useful checklist when you suspect you have forgotten a category [ISO/IEC 25010].</w:t>
      </w:r>
    </w:p>
    <w:bookmarkStart w:id="76" w:name="mathematical-foundations-1"/>
    <w:p>
      <w:pPr>
        <w:pStyle w:val="Heading4"/>
      </w:pPr>
      <w:r>
        <w:t xml:space="preserve">Mathematical foundations</w:t>
      </w:r>
    </w:p>
    <w:p>
      <w:pPr>
        <w:pStyle w:val="FirstParagraph"/>
      </w:pPr>
      <w:r>
        <w:t xml:space="preserve">Availability is the NFR most often stated as a number, and the number hides a surprisingly strict budget.</w:t>
      </w:r>
    </w:p>
    <w:p>
      <w:pPr>
        <w:pStyle w:val="CalloutFormula"/>
      </w:pPr>
      <w:r>
        <w:rPr>
          <w:bCs/>
          <w:b/>
        </w:rPr>
        <w:t xml:space="preserve">FORMULA</w:t>
      </w:r>
    </w:p>
    <w:p>
      <w:pPr>
        <w:pStyle w:val="CalloutFormula"/>
      </w:pPr>
      <w:r>
        <w:rPr>
          <w:bCs/>
          <w:b/>
        </w:rPr>
        <w:t xml:space="preserve">Availability and downtime budget</w:t>
      </w:r>
    </w:p>
    <w:p>
      <w:pPr>
        <w:pStyle w:val="CalloutFormula"/>
      </w:pPr>
      <m:oMathPara>
        <m:oMathParaPr>
          <m:jc m:val="center"/>
        </m:oMathParaPr>
        <m:oMath>
          <m:r>
            <m:t>A</m:t>
          </m:r>
          <m:r>
            <m:rPr>
              <m:sty m:val="p"/>
            </m:rPr>
            <m:t>=</m:t>
          </m:r>
          <m:f>
            <m:fPr>
              <m:type m:val="bar"/>
            </m:fPr>
            <m:num>
              <m:r>
                <m:rPr>
                  <m:nor/>
                  <m:sty m:val="p"/>
                </m:rPr>
                <m:t>MTBF</m:t>
              </m:r>
            </m:num>
            <m:den>
              <m:r>
                <m:rPr>
                  <m:nor/>
                  <m:sty m:val="p"/>
                </m:rPr>
                <m:t>MTBF</m:t>
              </m:r>
              <m:r>
                <m:rPr>
                  <m:sty m:val="p"/>
                </m:rPr>
                <m:t>+</m:t>
              </m:r>
              <m:r>
                <m:rPr>
                  <m:nor/>
                  <m:sty m:val="p"/>
                </m:rPr>
                <m:t>MTTR</m:t>
              </m:r>
            </m:den>
          </m:f>
          <m:r>
            <m:t>  </m:t>
          </m:r>
          <m:r>
            <m:t>D</m:t>
          </m:r>
          <m:r>
            <m:rPr>
              <m:sty m:val="p"/>
            </m:rPr>
            <m:t>=</m:t>
          </m:r>
          <m:d>
            <m:dPr>
              <m:begChr m:val="("/>
              <m:endChr m:val=")"/>
              <m:sepChr m:val=""/>
              <m:grow/>
            </m:dPr>
            <m:e>
              <m:r>
                <m:t>1</m:t>
              </m:r>
              <m:r>
                <m:rPr>
                  <m:sty m:val="p"/>
                </m:rPr>
                <m:t>−</m:t>
              </m:r>
              <m:r>
                <m:t>A</m:t>
              </m:r>
            </m:e>
          </m:d>
          <m:r>
            <m:rPr>
              <m:sty m:val="p"/>
            </m:rPr>
            <m:t>×</m:t>
          </m:r>
          <m:r>
            <m:t>T</m:t>
          </m:r>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A</m:t>
              </m:r>
            </m:oMath>
          </w:p>
        </w:tc>
        <w:tc>
          <w:tcPr/>
          <w:p>
            <w:pPr>
              <w:pStyle w:val="Compact"/>
              <w:jc w:val="left"/>
            </w:pPr>
            <w:r>
              <w:t xml:space="preserve">Availability: fraction of time the service is up (dimensionless, 0–1)</w:t>
            </w:r>
          </w:p>
        </w:tc>
        <w:tc>
          <w:tcPr/>
          <w:p>
            <w:pPr>
              <w:pStyle w:val="Compact"/>
              <w:jc w:val="left"/>
            </w:pPr>
            <w:r>
              <w:t xml:space="preserve">—</w:t>
            </w:r>
          </w:p>
        </w:tc>
      </w:tr>
      <w:tr>
        <w:tc>
          <w:tcPr/>
          <w:p>
            <w:pPr>
              <w:pStyle w:val="Compact"/>
              <w:jc w:val="left"/>
            </w:pPr>
            <m:oMath>
              <m:r>
                <m:rPr>
                  <m:nor/>
                  <m:sty m:val="p"/>
                </m:rPr>
                <m:t>MTBF</m:t>
              </m:r>
            </m:oMath>
          </w:p>
        </w:tc>
        <w:tc>
          <w:tcPr/>
          <w:p>
            <w:pPr>
              <w:pStyle w:val="Compact"/>
              <w:jc w:val="left"/>
            </w:pPr>
            <w:r>
              <w:t xml:space="preserve">Mean time between failures</w:t>
            </w:r>
          </w:p>
        </w:tc>
        <w:tc>
          <w:tcPr/>
          <w:p>
            <w:pPr>
              <w:pStyle w:val="Compact"/>
              <w:jc w:val="left"/>
            </w:pPr>
            <w:r>
              <w:t xml:space="preserve">hours</w:t>
            </w:r>
          </w:p>
        </w:tc>
      </w:tr>
      <w:tr>
        <w:tc>
          <w:tcPr/>
          <w:p>
            <w:pPr>
              <w:pStyle w:val="Compact"/>
              <w:jc w:val="left"/>
            </w:pPr>
            <m:oMath>
              <m:r>
                <m:rPr>
                  <m:nor/>
                  <m:sty m:val="p"/>
                </m:rPr>
                <m:t>MTTR</m:t>
              </m:r>
            </m:oMath>
          </w:p>
        </w:tc>
        <w:tc>
          <w:tcPr/>
          <w:p>
            <w:pPr>
              <w:pStyle w:val="Compact"/>
              <w:jc w:val="left"/>
            </w:pPr>
            <w:r>
              <w:t xml:space="preserve">Mean time to repair (restore service)</w:t>
            </w:r>
          </w:p>
        </w:tc>
        <w:tc>
          <w:tcPr/>
          <w:p>
            <w:pPr>
              <w:pStyle w:val="Compact"/>
              <w:jc w:val="left"/>
            </w:pPr>
            <w:r>
              <w:t xml:space="preserve">hours</w:t>
            </w:r>
          </w:p>
        </w:tc>
      </w:tr>
      <w:tr>
        <w:tc>
          <w:tcPr/>
          <w:p>
            <w:pPr>
              <w:pStyle w:val="Compact"/>
              <w:jc w:val="left"/>
            </w:pPr>
            <m:oMath>
              <m:r>
                <m:t>D</m:t>
              </m:r>
            </m:oMath>
          </w:p>
        </w:tc>
        <w:tc>
          <w:tcPr/>
          <w:p>
            <w:pPr>
              <w:pStyle w:val="Compact"/>
              <w:jc w:val="left"/>
            </w:pPr>
            <w:r>
              <w:t xml:space="preserve">Allowed downtime in the period</w:t>
            </w:r>
          </w:p>
        </w:tc>
        <w:tc>
          <w:tcPr/>
          <w:p>
            <w:pPr>
              <w:pStyle w:val="Compact"/>
              <w:jc w:val="left"/>
            </w:pPr>
            <w:r>
              <w:t xml:space="preserve">minutes (or hours)</w:t>
            </w:r>
          </w:p>
        </w:tc>
      </w:tr>
      <w:tr>
        <w:tc>
          <w:tcPr/>
          <w:p>
            <w:pPr>
              <w:pStyle w:val="Compact"/>
              <w:jc w:val="left"/>
            </w:pPr>
            <m:oMath>
              <m:r>
                <m:t>T</m:t>
              </m:r>
            </m:oMath>
          </w:p>
        </w:tc>
        <w:tc>
          <w:tcPr/>
          <w:p>
            <w:pPr>
              <w:pStyle w:val="Compact"/>
              <w:jc w:val="left"/>
            </w:pPr>
            <w:r>
              <w:t xml:space="preserve">Length of the period</w:t>
            </w:r>
          </w:p>
        </w:tc>
        <w:tc>
          <w:tcPr/>
          <w:p>
            <w:pPr>
              <w:pStyle w:val="Compact"/>
              <w:jc w:val="left"/>
            </w:pPr>
            <w:r>
              <w:t xml:space="preserve">minutes (or hours)</w:t>
            </w:r>
          </w:p>
        </w:tc>
      </w:tr>
    </w:tbl>
    <w:p>
      <w:pPr>
        <w:pStyle w:val="BodyText"/>
      </w:pPr>
      <w:r>
        <w:rPr>
          <w:bCs/>
          <w:b/>
        </w:rPr>
        <w:t xml:space="preserve">Table 1.9 — Downtime budgets for common availability targets.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Availability</w:t>
            </w:r>
          </w:p>
        </w:tc>
        <w:tc>
          <w:tcPr/>
          <w:p>
            <w:pPr>
              <w:pStyle w:val="Compact"/>
              <w:jc w:val="left"/>
            </w:pPr>
            <w:r>
              <w:t xml:space="preserve">Downtime per 30-day month</w:t>
            </w:r>
          </w:p>
        </w:tc>
        <w:tc>
          <w:tcPr/>
          <w:p>
            <w:pPr>
              <w:pStyle w:val="Compact"/>
              <w:jc w:val="left"/>
            </w:pPr>
            <w:r>
              <w:t xml:space="preserve">Downtime per 365-day year</w:t>
            </w:r>
          </w:p>
        </w:tc>
      </w:tr>
      <w:tr>
        <w:tc>
          <w:tcPr/>
          <w:p>
            <w:pPr>
              <w:pStyle w:val="Compact"/>
              <w:jc w:val="left"/>
            </w:pPr>
            <w:r>
              <w:t xml:space="preserve">99% (</w:t>
            </w:r>
            <w:r>
              <w:t xml:space="preserve">“</w:t>
            </w:r>
            <w:r>
              <w:t xml:space="preserve">two nines</w:t>
            </w:r>
            <w:r>
              <w:t xml:space="preserve">”</w:t>
            </w:r>
            <w:r>
              <w:t xml:space="preserve">)</w:t>
            </w:r>
          </w:p>
        </w:tc>
        <w:tc>
          <w:tcPr/>
          <w:p>
            <w:pPr>
              <w:pStyle w:val="Compact"/>
              <w:jc w:val="left"/>
            </w:pPr>
            <w:r>
              <w:t xml:space="preserve">7.2 h</w:t>
            </w:r>
          </w:p>
        </w:tc>
        <w:tc>
          <w:tcPr/>
          <w:p>
            <w:pPr>
              <w:pStyle w:val="Compact"/>
              <w:jc w:val="left"/>
            </w:pPr>
            <w:r>
              <w:t xml:space="preserve">3.65 days</w:t>
            </w:r>
          </w:p>
        </w:tc>
      </w:tr>
      <w:tr>
        <w:tc>
          <w:tcPr/>
          <w:p>
            <w:pPr>
              <w:pStyle w:val="Compact"/>
              <w:jc w:val="left"/>
            </w:pPr>
            <w:r>
              <w:t xml:space="preserve">99.9% (</w:t>
            </w:r>
            <w:r>
              <w:t xml:space="preserve">“</w:t>
            </w:r>
            <w:r>
              <w:t xml:space="preserve">three nines</w:t>
            </w:r>
            <w:r>
              <w:t xml:space="preserve">”</w:t>
            </w:r>
            <w:r>
              <w:t xml:space="preserve">)</w:t>
            </w:r>
          </w:p>
        </w:tc>
        <w:tc>
          <w:tcPr/>
          <w:p>
            <w:pPr>
              <w:pStyle w:val="Compact"/>
              <w:jc w:val="left"/>
            </w:pPr>
            <w:r>
              <w:t xml:space="preserve">43.2 min</w:t>
            </w:r>
          </w:p>
        </w:tc>
        <w:tc>
          <w:tcPr/>
          <w:p>
            <w:pPr>
              <w:pStyle w:val="Compact"/>
              <w:jc w:val="left"/>
            </w:pPr>
            <w:r>
              <w:t xml:space="preserve">8.76 h</w:t>
            </w:r>
          </w:p>
        </w:tc>
      </w:tr>
      <w:tr>
        <w:tc>
          <w:tcPr/>
          <w:p>
            <w:pPr>
              <w:pStyle w:val="Compact"/>
              <w:jc w:val="left"/>
            </w:pPr>
            <w:r>
              <w:t xml:space="preserve">99.95%</w:t>
            </w:r>
          </w:p>
        </w:tc>
        <w:tc>
          <w:tcPr/>
          <w:p>
            <w:pPr>
              <w:pStyle w:val="Compact"/>
              <w:jc w:val="left"/>
            </w:pPr>
            <w:r>
              <w:t xml:space="preserve">21.6 min</w:t>
            </w:r>
          </w:p>
        </w:tc>
        <w:tc>
          <w:tcPr/>
          <w:p>
            <w:pPr>
              <w:pStyle w:val="Compact"/>
              <w:jc w:val="left"/>
            </w:pPr>
            <w:r>
              <w:t xml:space="preserve">4.38 h</w:t>
            </w:r>
          </w:p>
        </w:tc>
      </w:tr>
      <w:tr>
        <w:tc>
          <w:tcPr/>
          <w:p>
            <w:pPr>
              <w:pStyle w:val="Compact"/>
              <w:jc w:val="left"/>
            </w:pPr>
            <w:r>
              <w:t xml:space="preserve">99.99% (</w:t>
            </w:r>
            <w:r>
              <w:t xml:space="preserve">“</w:t>
            </w:r>
            <w:r>
              <w:t xml:space="preserve">four nines</w:t>
            </w:r>
            <w:r>
              <w:t xml:space="preserve">”</w:t>
            </w:r>
            <w:r>
              <w:t xml:space="preserve">)</w:t>
            </w:r>
          </w:p>
        </w:tc>
        <w:tc>
          <w:tcPr/>
          <w:p>
            <w:pPr>
              <w:pStyle w:val="Compact"/>
              <w:jc w:val="left"/>
            </w:pPr>
            <w:r>
              <w:t xml:space="preserve">4.32 min</w:t>
            </w:r>
          </w:p>
        </w:tc>
        <w:tc>
          <w:tcPr/>
          <w:p>
            <w:pPr>
              <w:pStyle w:val="Compact"/>
              <w:jc w:val="left"/>
            </w:pPr>
            <w:r>
              <w:t xml:space="preserve">52.6 min</w:t>
            </w:r>
          </w:p>
        </w:tc>
      </w:tr>
      <w:tr>
        <w:tc>
          <w:tcPr/>
          <w:p>
            <w:pPr>
              <w:pStyle w:val="Compact"/>
              <w:jc w:val="left"/>
            </w:pPr>
            <w:r>
              <w:t xml:space="preserve">99.999% (</w:t>
            </w:r>
            <w:r>
              <w:t xml:space="preserve">“</w:t>
            </w:r>
            <w:r>
              <w:t xml:space="preserve">five nines</w:t>
            </w:r>
            <w:r>
              <w:t xml:space="preserve">”</w:t>
            </w:r>
            <w:r>
              <w:t xml:space="preserve">)</w:t>
            </w:r>
          </w:p>
        </w:tc>
        <w:tc>
          <w:tcPr/>
          <w:p>
            <w:pPr>
              <w:pStyle w:val="Compact"/>
              <w:jc w:val="left"/>
            </w:pPr>
            <w:r>
              <w:t xml:space="preserve">25.9 s</w:t>
            </w:r>
          </w:p>
        </w:tc>
        <w:tc>
          <w:tcPr/>
          <w:p>
            <w:pPr>
              <w:pStyle w:val="Compact"/>
              <w:jc w:val="left"/>
            </w:pPr>
            <w:r>
              <w:t xml:space="preserve">5.26 min</w:t>
            </w:r>
          </w:p>
        </w:tc>
      </w:tr>
    </w:tbl>
    <w:p>
      <w:pPr>
        <w:pStyle w:val="CalloutExample"/>
      </w:pPr>
      <w:r>
        <w:rPr>
          <w:bCs/>
          <w:b/>
        </w:rPr>
        <w:t xml:space="preserve">WORKED EXAMPLE</w:t>
      </w:r>
    </w:p>
    <w:p>
      <w:pPr>
        <w:pStyle w:val="CalloutExample"/>
      </w:pPr>
      <w:r>
        <w:rPr>
          <w:bCs/>
          <w:b/>
        </w:rPr>
        <w:t xml:space="preserve">Worked example — What does 99.9% allow, and can PhotoShare v0 meet it?</w:t>
      </w:r>
    </w:p>
    <w:p>
      <w:pPr>
        <w:numPr>
          <w:ilvl w:val="0"/>
          <w:numId w:val="1015"/>
        </w:numPr>
        <w:pStyle w:val="Compact"/>
      </w:pPr>
      <w:r>
        <w:t xml:space="preserve">Minutes in a 30-day month:</w:t>
      </w:r>
      <w:r>
        <w:t xml:space="preserve"> </w:t>
      </w:r>
      <m:oMath>
        <m:r>
          <m:t>30</m:t>
        </m:r>
        <m:r>
          <m:rPr>
            <m:sty m:val="p"/>
          </m:rPr>
          <m:t>×</m:t>
        </m:r>
        <m:r>
          <m:t>24</m:t>
        </m:r>
        <m:r>
          <m:rPr>
            <m:sty m:val="p"/>
          </m:rPr>
          <m:t>×</m:t>
        </m:r>
        <m:r>
          <m:t>60</m:t>
        </m:r>
        <m:r>
          <m:rPr>
            <m:sty m:val="p"/>
          </m:rPr>
          <m:t>=</m:t>
        </m:r>
        <m:r>
          <m:t>43</m:t>
        </m:r>
        <m:r>
          <m:rPr>
            <m:sty m:val="p"/>
          </m:rPr>
          <m:t>,</m:t>
        </m:r>
        <m:r>
          <m:t>200</m:t>
        </m:r>
      </m:oMath>
      <w:r>
        <w:t xml:space="preserve"> </w:t>
      </w:r>
      <w:r>
        <w:t xml:space="preserve">min.</w:t>
      </w:r>
    </w:p>
    <w:p>
      <w:pPr>
        <w:numPr>
          <w:ilvl w:val="0"/>
          <w:numId w:val="1015"/>
        </w:numPr>
        <w:pStyle w:val="Compact"/>
      </w:pPr>
      <w:r>
        <w:t xml:space="preserve">Allowed downtime at 99.9%:</w:t>
      </w:r>
      <w:r>
        <w:t xml:space="preserve"> </w:t>
      </w:r>
      <m:oMath>
        <m:d>
          <m:dPr>
            <m:begChr m:val="("/>
            <m:endChr m:val=")"/>
            <m:sepChr m:val=""/>
            <m:grow/>
          </m:dPr>
          <m:e>
            <m:r>
              <m:t>1</m:t>
            </m:r>
            <m:r>
              <m:rPr>
                <m:sty m:val="p"/>
              </m:rPr>
              <m:t>−</m:t>
            </m:r>
            <m:r>
              <m:t>0.999</m:t>
            </m:r>
          </m:e>
        </m:d>
        <m:r>
          <m:rPr>
            <m:sty m:val="p"/>
          </m:rPr>
          <m:t>×</m:t>
        </m:r>
        <m:r>
          <m:t>43</m:t>
        </m:r>
        <m:r>
          <m:rPr>
            <m:sty m:val="p"/>
          </m:rPr>
          <m:t>,</m:t>
        </m:r>
        <m:r>
          <m:t>200</m:t>
        </m:r>
        <m:r>
          <m:rPr>
            <m:sty m:val="p"/>
          </m:rPr>
          <m:t>=</m:t>
        </m:r>
        <m:r>
          <m:t>0.001</m:t>
        </m:r>
        <m:r>
          <m:rPr>
            <m:sty m:val="p"/>
          </m:rPr>
          <m:t>×</m:t>
        </m:r>
        <m:r>
          <m:t>43</m:t>
        </m:r>
        <m:r>
          <m:rPr>
            <m:sty m:val="p"/>
          </m:rPr>
          <m:t>,</m:t>
        </m:r>
        <m:r>
          <m:t>200</m:t>
        </m:r>
        <m:r>
          <m:rPr>
            <m:sty m:val="p"/>
          </m:rPr>
          <m:t>=</m:t>
        </m:r>
        <m:r>
          <m:t>43.2</m:t>
        </m:r>
      </m:oMath>
      <w:r>
        <w:t xml:space="preserve"> </w:t>
      </w:r>
      <w:r>
        <w:t xml:space="preserve">min.</w:t>
      </w:r>
    </w:p>
    <w:p>
      <w:pPr>
        <w:numPr>
          <w:ilvl w:val="0"/>
          <w:numId w:val="1015"/>
        </w:numPr>
        <w:pStyle w:val="Compact"/>
      </w:pPr>
      <w:r>
        <w:t xml:space="preserve">PhotoShare v0 (Figure 1.1) is deployed by stopping the application, copying new code and restarting: assume 3 minutes per deploy, and 5 deploys per week ≈ 21.7 deploys per month, giving</w:t>
      </w:r>
      <w:r>
        <w:t xml:space="preserve"> </w:t>
      </w:r>
      <m:oMath>
        <m:r>
          <m:t>21.7</m:t>
        </m:r>
        <m:r>
          <m:rPr>
            <m:sty m:val="p"/>
          </m:rPr>
          <m:t>×</m:t>
        </m:r>
        <m:r>
          <m:t>3</m:t>
        </m:r>
        <m:r>
          <m:rPr>
            <m:sty m:val="p"/>
          </m:rPr>
          <m:t>≈</m:t>
        </m:r>
        <m:r>
          <m:t>65</m:t>
        </m:r>
      </m:oMath>
      <w:r>
        <w:t xml:space="preserve"> </w:t>
      </w:r>
      <w:r>
        <w:t xml:space="preserve">min of planned downtime.</w:t>
      </w:r>
    </w:p>
    <w:p>
      <w:pPr>
        <w:numPr>
          <w:ilvl w:val="0"/>
          <w:numId w:val="1015"/>
        </w:numPr>
        <w:pStyle w:val="Compact"/>
      </w:pPr>
      <w:r>
        <w:t xml:space="preserve">Add one unplanned VM failure per quarter with an MTTR of 2 hours, averaging 40 min per month.</w:t>
      </w:r>
    </w:p>
    <w:p>
      <w:pPr>
        <w:numPr>
          <w:ilvl w:val="0"/>
          <w:numId w:val="1015"/>
        </w:numPr>
        <w:pStyle w:val="Compact"/>
      </w:pPr>
      <w:r>
        <w:t xml:space="preserve">Total expected downtime ≈</w:t>
      </w:r>
      <w:r>
        <w:t xml:space="preserve"> </w:t>
      </w:r>
      <m:oMath>
        <m:r>
          <m:t>65</m:t>
        </m:r>
        <m:r>
          <m:rPr>
            <m:sty m:val="p"/>
          </m:rPr>
          <m:t>+</m:t>
        </m:r>
        <m:r>
          <m:t>40</m:t>
        </m:r>
        <m:r>
          <m:rPr>
            <m:sty m:val="p"/>
          </m:rPr>
          <m:t>=</m:t>
        </m:r>
        <m:r>
          <m:t>105</m:t>
        </m:r>
      </m:oMath>
      <w:r>
        <w:t xml:space="preserve"> </w:t>
      </w:r>
      <w:r>
        <w:t xml:space="preserve">min per month, so</w:t>
      </w:r>
      <w:r>
        <w:t xml:space="preserve"> </w:t>
      </w:r>
      <m:oMath>
        <m:r>
          <m:t>A</m:t>
        </m:r>
        <m:r>
          <m:rPr>
            <m:sty m:val="p"/>
          </m:rPr>
          <m:t>≈</m:t>
        </m:r>
        <m:r>
          <m:t>1</m:t>
        </m:r>
        <m:r>
          <m:rPr>
            <m:sty m:val="p"/>
          </m:rPr>
          <m:t>−</m:t>
        </m:r>
        <m:r>
          <m:t>105</m:t>
        </m:r>
        <m:r>
          <m:rPr>
            <m:sty m:val="p"/>
          </m:rPr>
          <m:t>/</m:t>
        </m:r>
        <m:r>
          <m:t>43</m:t>
        </m:r>
        <m:r>
          <m:rPr>
            <m:sty m:val="p"/>
          </m:rPr>
          <m:t>,</m:t>
        </m:r>
        <m:r>
          <m:t>200</m:t>
        </m:r>
        <m:r>
          <m:rPr>
            <m:sty m:val="p"/>
          </m:rPr>
          <m:t>≈</m:t>
        </m:r>
        <m:r>
          <m:t>0.9976</m:t>
        </m:r>
      </m:oMath>
      <w:r>
        <w:t xml:space="preserve">, i.e. 99.76%.</w:t>
      </w:r>
    </w:p>
    <w:p>
      <w:pPr>
        <w:pStyle w:val="CalloutExample"/>
      </w:pPr>
      <w:r>
        <w:rPr>
          <w:bCs/>
          <w:b/>
        </w:rPr>
        <w:t xml:space="preserve">Interpretation.</w:t>
      </w:r>
      <w:r>
        <w:t xml:space="preserve"> </w:t>
      </w:r>
      <w:r>
        <w:t xml:space="preserve">v0 misses 99.9% by more than a factor of two,</w:t>
      </w:r>
      <w:r>
        <w:t xml:space="preserve"> </w:t>
      </w:r>
      <w:r>
        <w:rPr>
          <w:iCs/>
          <w:i/>
        </w:rPr>
        <w:t xml:space="preserve">before any traffic growth</w:t>
      </w:r>
      <w:r>
        <w:t xml:space="preserve">.</w:t>
      </w:r>
    </w:p>
    <w:p>
      <w:pPr>
        <w:pStyle w:val="CalloutExample"/>
      </w:pPr>
      <w:r>
        <w:rPr>
          <w:bCs/>
          <w:b/>
        </w:rPr>
        <w:t xml:space="preserve">Engineering implication.</w:t>
      </w:r>
      <w:r>
        <w:t xml:space="preserve"> </w:t>
      </w:r>
      <w:r>
        <w:t xml:space="preserve">Meeting 99.9% requires removing deploy downtime (multiple instances behind a load balancer, rolling deploys — §43.4) and shortening MTTR (automatic failover). An availability target, not request volume, is what first forces PhotoShare off a single server.</w:t>
      </w:r>
    </w:p>
    <w:p>
      <w:pPr>
        <w:pStyle w:val="BodyText"/>
      </w:pPr>
      <w:r>
        <w:t xml:space="preserve">When a request must pass through several components in sequence,</w:t>
      </w:r>
      <w:r>
        <w:t xml:space="preserve"> </w:t>
      </w:r>
      <w:r>
        <w:rPr>
          <w:iCs/>
          <w:i/>
        </w:rPr>
        <w:t xml:space="preserve">all</w:t>
      </w:r>
      <w:r>
        <w:t xml:space="preserve"> </w:t>
      </w:r>
      <w:r>
        <w:t xml:space="preserve">must be up, so availabilities multiply.</w:t>
      </w:r>
    </w:p>
    <w:p>
      <w:pPr>
        <w:pStyle w:val="CalloutFormula"/>
      </w:pPr>
      <w:r>
        <w:rPr>
          <w:bCs/>
          <w:b/>
        </w:rPr>
        <w:t xml:space="preserve">FORMULA</w:t>
      </w:r>
    </w:p>
    <w:p>
      <w:pPr>
        <w:pStyle w:val="CalloutFormula"/>
      </w:pPr>
      <w:r>
        <w:rPr>
          <w:bCs/>
          <w:b/>
        </w:rPr>
        <w:t xml:space="preserve">Availability of components in series (independent failures)</w:t>
      </w:r>
    </w:p>
    <w:p>
      <w:pPr>
        <w:pStyle w:val="CalloutFormula"/>
      </w:pPr>
      <m:oMathPara>
        <m:oMathParaPr>
          <m:jc m:val="center"/>
        </m:oMathParaPr>
        <m:oMath>
          <m:sSub>
            <m:e>
              <m:r>
                <m:t>A</m:t>
              </m:r>
            </m:e>
            <m:sub>
              <m:r>
                <m:rPr>
                  <m:nor/>
                  <m:sty m:val="p"/>
                </m:rPr>
                <m:t>series</m:t>
              </m:r>
            </m:sub>
          </m:sSub>
          <m:r>
            <m:rPr>
              <m:sty m:val="p"/>
            </m:rPr>
            <m:t>=</m:t>
          </m:r>
          <m:nary>
            <m:naryPr>
              <m:chr m:val="∏"/>
              <m:limLoc m:val="undOvr"/>
              <m:subHide m:val="off"/>
              <m:supHide m:val="off"/>
            </m:naryPr>
            <m:sub>
              <m:r>
                <m:t>i</m:t>
              </m:r>
              <m:r>
                <m:rPr>
                  <m:sty m:val="p"/>
                </m:rPr>
                <m:t>=</m:t>
              </m:r>
              <m:r>
                <m:t>1</m:t>
              </m:r>
            </m:sub>
            <m:sup>
              <m:r>
                <m:t>n</m:t>
              </m:r>
            </m:sup>
            <m:e>
              <m:sSub>
                <m:e>
                  <m:r>
                    <m:t>A</m:t>
                  </m:r>
                </m:e>
                <m:sub>
                  <m:r>
                    <m:t>i</m:t>
                  </m:r>
                </m:sub>
              </m:sSub>
            </m:e>
          </m:nary>
        </m:oMath>
      </m:oMathPara>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A</m:t>
                  </m:r>
                </m:e>
                <m:sub>
                  <m:r>
                    <m:rPr>
                      <m:nor/>
                      <m:sty m:val="p"/>
                    </m:rPr>
                    <m:t>series</m:t>
                  </m:r>
                </m:sub>
              </m:sSub>
            </m:oMath>
          </w:p>
        </w:tc>
        <w:tc>
          <w:tcPr/>
          <w:p>
            <w:pPr>
              <w:pStyle w:val="Compact"/>
              <w:jc w:val="left"/>
            </w:pPr>
            <w:r>
              <w:t xml:space="preserve">Availability of the whole request path</w:t>
            </w:r>
          </w:p>
        </w:tc>
        <w:tc>
          <w:tcPr/>
          <w:p>
            <w:pPr>
              <w:pStyle w:val="Compact"/>
              <w:jc w:val="left"/>
            </w:pPr>
            <w:r>
              <w:t xml:space="preserve">—</w:t>
            </w:r>
          </w:p>
        </w:tc>
      </w:tr>
      <w:tr>
        <w:tc>
          <w:tcPr/>
          <w:p>
            <w:pPr>
              <w:pStyle w:val="Compact"/>
              <w:jc w:val="left"/>
            </w:pPr>
            <m:oMath>
              <m:sSub>
                <m:e>
                  <m:r>
                    <m:t>A</m:t>
                  </m:r>
                </m:e>
                <m:sub>
                  <m:r>
                    <m:t>i</m:t>
                  </m:r>
                </m:sub>
              </m:sSub>
            </m:oMath>
          </w:p>
        </w:tc>
        <w:tc>
          <w:tcPr/>
          <w:p>
            <w:pPr>
              <w:pStyle w:val="Compact"/>
              <w:jc w:val="left"/>
            </w:pPr>
            <w:r>
              <w:t xml:space="preserve">Availability of component</w:t>
            </w:r>
            <w:r>
              <w:t xml:space="preserve"> </w:t>
            </w:r>
            <m:oMath>
              <m:r>
                <m:t>i</m:t>
              </m:r>
            </m:oMath>
          </w:p>
        </w:tc>
        <w:tc>
          <w:tcPr/>
          <w:p>
            <w:pPr>
              <w:pStyle w:val="Compact"/>
              <w:jc w:val="left"/>
            </w:pPr>
            <w:r>
              <w:t xml:space="preserve">—</w:t>
            </w:r>
          </w:p>
        </w:tc>
      </w:tr>
      <w:tr>
        <w:tc>
          <w:tcPr/>
          <w:p>
            <w:pPr>
              <w:pStyle w:val="Compact"/>
              <w:jc w:val="left"/>
            </w:pPr>
            <m:oMath>
              <m:r>
                <m:t>n</m:t>
              </m:r>
            </m:oMath>
          </w:p>
        </w:tc>
        <w:tc>
          <w:tcPr/>
          <w:p>
            <w:pPr>
              <w:pStyle w:val="Compact"/>
              <w:jc w:val="left"/>
            </w:pPr>
            <w:r>
              <w:t xml:space="preserve">Number of components the request depends on</w:t>
            </w:r>
          </w:p>
        </w:tc>
        <w:tc>
          <w:tcPr/>
          <w:p>
            <w:pPr>
              <w:pStyle w:val="Compact"/>
              <w:jc w:val="left"/>
            </w:pPr>
            <w:r>
              <w:t xml:space="preserve">count</w:t>
            </w:r>
          </w:p>
        </w:tc>
      </w:tr>
    </w:tbl>
    <w:p>
      <w:pPr>
        <w:pStyle w:val="CalloutExample"/>
      </w:pPr>
      <w:r>
        <w:rPr>
          <w:bCs/>
          <w:b/>
        </w:rPr>
        <w:t xml:space="preserve">WORKED EXAMPLE</w:t>
      </w:r>
    </w:p>
    <w:p>
      <w:pPr>
        <w:pStyle w:val="CalloutExample"/>
      </w:pPr>
      <w:r>
        <w:rPr>
          <w:bCs/>
          <w:b/>
        </w:rPr>
        <w:t xml:space="preserve">Worked example — A three-tier request path.</w:t>
      </w:r>
    </w:p>
    <w:p>
      <w:pPr>
        <w:pStyle w:val="CalloutExample"/>
      </w:pPr>
      <w:r>
        <w:t xml:space="preserve">A feed request passes through a load balancer (</w:t>
      </w:r>
      <m:oMath>
        <m:r>
          <m:t>A</m:t>
        </m:r>
        <m:r>
          <m:rPr>
            <m:sty m:val="p"/>
          </m:rPr>
          <m:t>=</m:t>
        </m:r>
        <m:r>
          <m:t>0.9999</m:t>
        </m:r>
      </m:oMath>
      <w:r>
        <w:t xml:space="preserve">), the feed service (</w:t>
      </w:r>
      <m:oMath>
        <m:r>
          <m:t>A</m:t>
        </m:r>
        <m:r>
          <m:rPr>
            <m:sty m:val="p"/>
          </m:rPr>
          <m:t>=</m:t>
        </m:r>
        <m:r>
          <m:t>0.9995</m:t>
        </m:r>
      </m:oMath>
      <w:r>
        <w:t xml:space="preserve">) and the database (</w:t>
      </w:r>
      <m:oMath>
        <m:r>
          <m:t>A</m:t>
        </m:r>
        <m:r>
          <m:rPr>
            <m:sty m:val="p"/>
          </m:rPr>
          <m:t>=</m:t>
        </m:r>
        <m:r>
          <m:t>0.9995</m:t>
        </m:r>
      </m:oMath>
      <w:r>
        <w:t xml:space="preserve">).</w:t>
      </w:r>
    </w:p>
    <w:p>
      <w:pPr>
        <w:numPr>
          <w:ilvl w:val="0"/>
          <w:numId w:val="1016"/>
        </w:numPr>
        <w:pStyle w:val="Compact"/>
      </w:pPr>
      <m:oMath>
        <m:sSub>
          <m:e>
            <m:r>
              <m:t>A</m:t>
            </m:r>
          </m:e>
          <m:sub>
            <m:r>
              <m:rPr>
                <m:nor/>
                <m:sty m:val="p"/>
              </m:rPr>
              <m:t>series</m:t>
            </m:r>
          </m:sub>
        </m:sSub>
        <m:r>
          <m:rPr>
            <m:sty m:val="p"/>
          </m:rPr>
          <m:t>=</m:t>
        </m:r>
        <m:r>
          <m:t>0.9999</m:t>
        </m:r>
        <m:r>
          <m:rPr>
            <m:sty m:val="p"/>
          </m:rPr>
          <m:t>×</m:t>
        </m:r>
        <m:r>
          <m:t>0.9995</m:t>
        </m:r>
        <m:r>
          <m:rPr>
            <m:sty m:val="p"/>
          </m:rPr>
          <m:t>×</m:t>
        </m:r>
        <m:r>
          <m:t>0.9995</m:t>
        </m:r>
      </m:oMath>
      <w:r>
        <w:t xml:space="preserve">.</w:t>
      </w:r>
    </w:p>
    <w:p>
      <w:pPr>
        <w:numPr>
          <w:ilvl w:val="0"/>
          <w:numId w:val="1016"/>
        </w:numPr>
        <w:pStyle w:val="Compact"/>
      </w:pPr>
      <m:oMath>
        <m:r>
          <m:t>0.9995</m:t>
        </m:r>
        <m:r>
          <m:rPr>
            <m:sty m:val="p"/>
          </m:rPr>
          <m:t>×</m:t>
        </m:r>
        <m:r>
          <m:t>0.9995</m:t>
        </m:r>
        <m:r>
          <m:rPr>
            <m:sty m:val="p"/>
          </m:rPr>
          <m:t>=</m:t>
        </m:r>
        <m:r>
          <m:t>0.99900025</m:t>
        </m:r>
      </m:oMath>
      <w:r>
        <w:t xml:space="preserve">.</w:t>
      </w:r>
    </w:p>
    <w:p>
      <w:pPr>
        <w:numPr>
          <w:ilvl w:val="0"/>
          <w:numId w:val="1016"/>
        </w:numPr>
        <w:pStyle w:val="Compact"/>
      </w:pPr>
      <m:oMath>
        <m:r>
          <m:t>0.99900025</m:t>
        </m:r>
        <m:r>
          <m:rPr>
            <m:sty m:val="p"/>
          </m:rPr>
          <m:t>×</m:t>
        </m:r>
        <m:r>
          <m:t>0.9999</m:t>
        </m:r>
        <m:r>
          <m:rPr>
            <m:sty m:val="p"/>
          </m:rPr>
          <m:t>≈</m:t>
        </m:r>
        <m:r>
          <m:t>0.99890</m:t>
        </m:r>
      </m:oMath>
      <w:r>
        <w:t xml:space="preserve">.</w:t>
      </w:r>
    </w:p>
    <w:p>
      <w:pPr>
        <w:pStyle w:val="CalloutExample"/>
      </w:pPr>
      <w:r>
        <w:rPr>
          <w:bCs/>
          <w:b/>
        </w:rPr>
        <w:t xml:space="preserve">Interpretation.</w:t>
      </w:r>
      <w:r>
        <w:t xml:space="preserve"> </w:t>
      </w:r>
      <w:r>
        <w:t xml:space="preserve">About 99.89% —</w:t>
      </w:r>
      <w:r>
        <w:t xml:space="preserve"> </w:t>
      </w:r>
      <w:r>
        <w:rPr>
          <w:iCs/>
          <w:i/>
        </w:rPr>
        <w:t xml:space="preserve">below</w:t>
      </w:r>
      <w:r>
        <w:t xml:space="preserve"> </w:t>
      </w:r>
      <w:r>
        <w:t xml:space="preserve">99.9%, even though every component individually exceeds it.</w:t>
      </w:r>
    </w:p>
    <w:p>
      <w:pPr>
        <w:pStyle w:val="CalloutExample"/>
      </w:pPr>
      <w:r>
        <w:rPr>
          <w:bCs/>
          <w:b/>
        </w:rPr>
        <w:t xml:space="preserve">Engineering implication.</w:t>
      </w:r>
      <w:r>
        <w:t xml:space="preserve"> </w:t>
      </w:r>
      <w:r>
        <w:t xml:space="preserve">Every synchronous dependency you add lowers availability. Designers counter this with redundancy (parallel components;</w:t>
      </w:r>
      <w:r>
        <w:t xml:space="preserve"> </w:t>
      </w:r>
      <m:oMath>
        <m:sSub>
          <m:e>
            <m:r>
              <m:t>A</m:t>
            </m:r>
          </m:e>
          <m:sub>
            <m:r>
              <m:rPr>
                <m:nor/>
                <m:sty m:val="p"/>
              </m:rPr>
              <m:t>parallel</m:t>
            </m:r>
          </m:sub>
        </m:sSub>
        <m:r>
          <m:rPr>
            <m:sty m:val="p"/>
          </m:rPr>
          <m:t>=</m:t>
        </m:r>
        <m:r>
          <m:t>1</m:t>
        </m:r>
        <m:r>
          <m:rPr>
            <m:sty m:val="p"/>
          </m:rPr>
          <m:t>−</m:t>
        </m:r>
        <m:r>
          <m:rPr>
            <m:sty m:val="p"/>
          </m:rPr>
          <m:t>∏</m:t>
        </m:r>
        <m:d>
          <m:dPr>
            <m:begChr m:val="("/>
            <m:endChr m:val=")"/>
            <m:sepChr m:val=""/>
            <m:grow/>
          </m:dPr>
          <m:e>
            <m:r>
              <m:t>1</m:t>
            </m:r>
            <m:r>
              <m:rPr>
                <m:sty m:val="p"/>
              </m:rPr>
              <m:t>−</m:t>
            </m:r>
            <m:sSub>
              <m:e>
                <m:r>
                  <m:t>A</m:t>
                </m:r>
              </m:e>
              <m:sub>
                <m:r>
                  <m:t>i</m:t>
                </m:r>
              </m:sub>
            </m:sSub>
          </m:e>
        </m:d>
      </m:oMath>
      <w:r>
        <w:t xml:space="preserve"> </w:t>
      </w:r>
      <w:r>
        <w:t xml:space="preserve">under independence), caching, and making non-critical dependencies asynchronous or optional. The full arithmetic, including the danger of assuming independence, is in §4.14.</w:t>
      </w:r>
    </w:p>
    <w:bookmarkEnd w:id="76"/>
    <w:bookmarkStart w:id="77" w:name="code-example-1"/>
    <w:p>
      <w:pPr>
        <w:pStyle w:val="Heading4"/>
      </w:pPr>
      <w:r>
        <w:t xml:space="preserve">Code example</w:t>
      </w:r>
    </w:p>
    <w:p>
      <w:pPr>
        <w:pStyle w:val="FirstParagraph"/>
      </w:pPr>
      <w:r>
        <w:t xml:space="preserve">SLOs are increasingly written as configuration that monitoring systems evaluate automatically. The following is illustrative, not the syntax of any specific tool.</w:t>
      </w:r>
    </w:p>
    <w:p>
      <w:pPr>
        <w:pStyle w:val="SourceCode"/>
      </w:pPr>
      <w:r>
        <w:rPr>
          <w:rStyle w:val="CommentTok"/>
        </w:rPr>
        <w:t xml:space="preserve"># illustrative SLO specification for the PhotoShare feed service</w:t>
      </w:r>
      <w:r>
        <w:br/>
      </w:r>
      <w:r>
        <w:rPr>
          <w:rStyle w:val="FunctionTok"/>
        </w:rPr>
        <w:t xml:space="preserve">service</w:t>
      </w:r>
      <w:r>
        <w:rPr>
          <w:rStyle w:val="KeywordTok"/>
        </w:rPr>
        <w:t xml:space="preserve">:</w:t>
      </w:r>
      <w:r>
        <w:rPr>
          <w:rStyle w:val="AttributeTok"/>
        </w:rPr>
        <w:t xml:space="preserve"> feed-api</w:t>
      </w:r>
      <w:r>
        <w:br/>
      </w:r>
      <w:r>
        <w:rPr>
          <w:rStyle w:val="FunctionTok"/>
        </w:rPr>
        <w:t xml:space="preserve">slos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feed-availability</w:t>
      </w:r>
      <w:r>
        <w:br/>
      </w:r>
      <w:r>
        <w:rPr>
          <w:rStyle w:val="AttributeTok"/>
        </w:rPr>
        <w:t xml:space="preserve">    </w:t>
      </w:r>
      <w:r>
        <w:rPr>
          <w:rStyle w:val="FunctionTok"/>
        </w:rPr>
        <w:t xml:space="preserve">sli</w:t>
      </w:r>
      <w:r>
        <w:rPr>
          <w:rStyle w:val="KeywordTok"/>
        </w:rPr>
        <w:t xml:space="preserve">:</w:t>
      </w:r>
      <w:r>
        <w:rPr>
          <w:rStyle w:val="AttributeTok"/>
        </w:rPr>
        <w:t xml:space="preserve"> </w:t>
      </w:r>
      <w:r>
        <w:rPr>
          <w:rStyle w:val="StringTok"/>
        </w:rPr>
        <w:t xml:space="preserve">"fraction of GET /v1/feed requests returning non-5xx"</w:t>
      </w:r>
      <w:r>
        <w:br/>
      </w:r>
      <w:r>
        <w:rPr>
          <w:rStyle w:val="AttributeTok"/>
        </w:rPr>
        <w:t xml:space="preserve">    </w:t>
      </w:r>
      <w:r>
        <w:rPr>
          <w:rStyle w:val="FunctionTok"/>
        </w:rPr>
        <w:t xml:space="preserve">objective</w:t>
      </w:r>
      <w:r>
        <w:rPr>
          <w:rStyle w:val="KeywordTok"/>
        </w:rPr>
        <w:t xml:space="preserve">:</w:t>
      </w:r>
      <w:r>
        <w:rPr>
          <w:rStyle w:val="AttributeTok"/>
        </w:rPr>
        <w:t xml:space="preserve"> </w:t>
      </w:r>
      <w:r>
        <w:rPr>
          <w:rStyle w:val="FloatTok"/>
        </w:rPr>
        <w:t xml:space="preserve">0.999</w:t>
      </w:r>
      <w:r>
        <w:rPr>
          <w:rStyle w:val="CommentTok"/>
        </w:rPr>
        <w:t xml:space="preserve">          # 99.9 %</w:t>
      </w:r>
      <w:r>
        <w:br/>
      </w:r>
      <w:r>
        <w:rPr>
          <w:rStyle w:val="AttributeTok"/>
        </w:rPr>
        <w:t xml:space="preserve">    </w:t>
      </w:r>
      <w:r>
        <w:rPr>
          <w:rStyle w:val="FunctionTok"/>
        </w:rPr>
        <w:t xml:space="preserve">window</w:t>
      </w:r>
      <w:r>
        <w:rPr>
          <w:rStyle w:val="KeywordTok"/>
        </w:rPr>
        <w:t xml:space="preserve">:</w:t>
      </w:r>
      <w:r>
        <w:rPr>
          <w:rStyle w:val="AttributeTok"/>
        </w:rPr>
        <w:t xml:space="preserve"> 30d</w:t>
      </w:r>
      <w:r>
        <w:rPr>
          <w:rStyle w:val="CommentTok"/>
        </w:rPr>
        <w:t xml:space="preserve">               # rolling 30-day window</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feed-latency</w:t>
      </w:r>
      <w:r>
        <w:br/>
      </w:r>
      <w:r>
        <w:rPr>
          <w:rStyle w:val="AttributeTok"/>
        </w:rPr>
        <w:t xml:space="preserve">    </w:t>
      </w:r>
      <w:r>
        <w:rPr>
          <w:rStyle w:val="FunctionTok"/>
        </w:rPr>
        <w:t xml:space="preserve">sli</w:t>
      </w:r>
      <w:r>
        <w:rPr>
          <w:rStyle w:val="KeywordTok"/>
        </w:rPr>
        <w:t xml:space="preserve">:</w:t>
      </w:r>
      <w:r>
        <w:rPr>
          <w:rStyle w:val="AttributeTok"/>
        </w:rPr>
        <w:t xml:space="preserve"> </w:t>
      </w:r>
      <w:r>
        <w:rPr>
          <w:rStyle w:val="StringTok"/>
        </w:rPr>
        <w:t xml:space="preserve">"fraction of GET /v1/feed requests completing in &lt;= 300 ms"</w:t>
      </w:r>
      <w:r>
        <w:br/>
      </w:r>
      <w:r>
        <w:rPr>
          <w:rStyle w:val="AttributeTok"/>
        </w:rPr>
        <w:t xml:space="preserve">    </w:t>
      </w:r>
      <w:r>
        <w:rPr>
          <w:rStyle w:val="FunctionTok"/>
        </w:rPr>
        <w:t xml:space="preserve">objective</w:t>
      </w:r>
      <w:r>
        <w:rPr>
          <w:rStyle w:val="KeywordTok"/>
        </w:rPr>
        <w:t xml:space="preserve">:</w:t>
      </w:r>
      <w:r>
        <w:rPr>
          <w:rStyle w:val="AttributeTok"/>
        </w:rPr>
        <w:t xml:space="preserve"> </w:t>
      </w:r>
      <w:r>
        <w:rPr>
          <w:rStyle w:val="FloatTok"/>
        </w:rPr>
        <w:t xml:space="preserve">0.99</w:t>
      </w:r>
      <w:r>
        <w:rPr>
          <w:rStyle w:val="CommentTok"/>
        </w:rPr>
        <w:t xml:space="preserve">           # i.e. p99 &lt;= 300 ms</w:t>
      </w:r>
      <w:r>
        <w:br/>
      </w:r>
      <w:r>
        <w:rPr>
          <w:rStyle w:val="AttributeTok"/>
        </w:rPr>
        <w:t xml:space="preserve">    </w:t>
      </w:r>
      <w:r>
        <w:rPr>
          <w:rStyle w:val="FunctionTok"/>
        </w:rPr>
        <w:t xml:space="preserve">window</w:t>
      </w:r>
      <w:r>
        <w:rPr>
          <w:rStyle w:val="KeywordTok"/>
        </w:rPr>
        <w:t xml:space="preserve">:</w:t>
      </w:r>
      <w:r>
        <w:rPr>
          <w:rStyle w:val="AttributeTok"/>
        </w:rPr>
        <w:t xml:space="preserve"> 30d</w:t>
      </w:r>
    </w:p>
    <w:p>
      <w:pPr>
        <w:pStyle w:val="FirstParagraph"/>
      </w:pPr>
      <w:r>
        <w:t xml:space="preserve">What to notice:</w:t>
      </w:r>
    </w:p>
    <w:p>
      <w:pPr>
        <w:numPr>
          <w:ilvl w:val="0"/>
          <w:numId w:val="1017"/>
        </w:numPr>
        <w:pStyle w:val="Compact"/>
      </w:pPr>
      <w:r>
        <w:t xml:space="preserve">A latency SLO is expressed as</w:t>
      </w:r>
      <w:r>
        <w:t xml:space="preserve"> </w:t>
      </w:r>
      <w:r>
        <w:t xml:space="preserve">“</w:t>
      </w:r>
      <w:r>
        <w:t xml:space="preserve">the fraction of requests faster than a threshold</w:t>
      </w:r>
      <w:r>
        <w:t xml:space="preserve">”</w:t>
      </w:r>
      <w:r>
        <w:t xml:space="preserve">, which is equivalent to a percentile target and easier to aggregate across servers.</w:t>
      </w:r>
    </w:p>
    <w:p>
      <w:pPr>
        <w:numPr>
          <w:ilvl w:val="0"/>
          <w:numId w:val="1017"/>
        </w:numPr>
        <w:pStyle w:val="Compact"/>
      </w:pPr>
      <w:r>
        <w:t xml:space="preserve">The window matters: 99.9% over 30 days allows a single 43-minute outage; 99.9% over every 5-minute window allows almost none.</w:t>
      </w:r>
    </w:p>
    <w:bookmarkEnd w:id="77"/>
    <w:bookmarkStart w:id="78" w:name="real-world-industry-applications-2"/>
    <w:p>
      <w:pPr>
        <w:pStyle w:val="Heading4"/>
      </w:pPr>
      <w:r>
        <w:t xml:space="preserve">Real-world industry applications</w:t>
      </w:r>
    </w:p>
    <w:p>
      <w:pPr>
        <w:pStyle w:val="CalloutIndustry"/>
      </w:pPr>
      <w:r>
        <w:rPr>
          <w:bCs/>
          <w:b/>
        </w:rPr>
        <w:t xml:space="preserve">INDUSTRY EXAMPLE</w:t>
      </w:r>
    </w:p>
    <w:p>
      <w:pPr>
        <w:pStyle w:val="CalloutIndustry"/>
      </w:pPr>
      <w:r>
        <w:rPr>
          <w:bCs/>
          <w:b/>
        </w:rPr>
        <w:t xml:space="preserve">Google SRE and error budgets.</w:t>
      </w:r>
      <w:r>
        <w:t xml:space="preserve"> </w:t>
      </w:r>
      <w:r>
        <w:t xml:space="preserve">Google’s Site Reliability Engineering book argues that 100% is the wrong reliability target for almost everything: users cannot tell the difference beyond a point (their own networks and devices are less reliable), and each additional nine costs disproportionately more. Instead, teams agree an SLO, and the gap between the SLO and 100% becomes an</w:t>
      </w:r>
      <w:r>
        <w:t xml:space="preserve"> </w:t>
      </w:r>
      <w:r>
        <w:rPr>
          <w:bCs/>
          <w:b/>
        </w:rPr>
        <w:t xml:space="preserve">error budget</w:t>
      </w:r>
      <w:r>
        <w:t xml:space="preserve"> </w:t>
      </w:r>
      <w:r>
        <w:t xml:space="preserve">that can be</w:t>
      </w:r>
      <w:r>
        <w:t xml:space="preserve"> </w:t>
      </w:r>
      <w:r>
        <w:t xml:space="preserve">“</w:t>
      </w:r>
      <w:r>
        <w:t xml:space="preserve">spent</w:t>
      </w:r>
      <w:r>
        <w:t xml:space="preserve">”</w:t>
      </w:r>
      <w:r>
        <w:t xml:space="preserve"> </w:t>
      </w:r>
      <w:r>
        <w:t xml:space="preserve">on risky launches; when the budget is exhausted, releases slow down in favor of reliability work.</w:t>
      </w:r>
      <w:r>
        <w:t xml:space="preserve"> </w:t>
      </w:r>
      <w:r>
        <w:rPr>
          <w:iCs/>
          <w:i/>
        </w:rPr>
        <w:t xml:space="preserve">Evidence: Primary</w:t>
      </w:r>
      <w:r>
        <w:t xml:space="preserve"> </w:t>
      </w:r>
      <w:r>
        <w:t xml:space="preserve">— [Beyer et al. 2016]</w:t>
      </w:r>
    </w:p>
    <w:bookmarkEnd w:id="78"/>
    <w:bookmarkEnd w:id="79"/>
    <w:bookmarkStart w:id="82" w:name="nfrs-pull-against-each-other"/>
    <w:p>
      <w:pPr>
        <w:pStyle w:val="Heading3"/>
      </w:pPr>
      <w:r>
        <w:t xml:space="preserve">1.7.3 NFRs pull against each other</w:t>
      </w:r>
    </w:p>
    <w:p>
      <w:pPr>
        <w:pStyle w:val="FirstParagraph"/>
      </w:pPr>
      <w:r>
        <w:t xml:space="preserve">Quality attributes conflict. Improving one usually costs another, and</w:t>
      </w:r>
      <w:r>
        <w:t xml:space="preserve"> </w:t>
      </w:r>
      <w:r>
        <w:rPr>
          <w:iCs/>
          <w:i/>
        </w:rPr>
        <w:t xml:space="preserve">naming</w:t>
      </w:r>
      <w:r>
        <w:t xml:space="preserve"> </w:t>
      </w:r>
      <w:r>
        <w:t xml:space="preserve">the conflict is the heart of design reasoning.</w:t>
      </w:r>
    </w:p>
    <w:p>
      <w:pPr>
        <w:pStyle w:val="BodyText"/>
      </w:pPr>
      <w:r>
        <w:rPr>
          <w:bCs/>
          <w:b/>
        </w:rPr>
        <w:t xml:space="preserve">Table 1.10 — Common tensions between quality attributes.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Tension</w:t>
            </w:r>
          </w:p>
        </w:tc>
        <w:tc>
          <w:tcPr/>
          <w:p>
            <w:pPr>
              <w:pStyle w:val="Compact"/>
              <w:jc w:val="left"/>
            </w:pPr>
            <w:r>
              <w:t xml:space="preserve">Why they conflict</w:t>
            </w:r>
          </w:p>
        </w:tc>
        <w:tc>
          <w:tcPr/>
          <w:p>
            <w:pPr>
              <w:pStyle w:val="Compact"/>
              <w:jc w:val="left"/>
            </w:pPr>
            <w:r>
              <w:t xml:space="preserve">Typical resolution</w:t>
            </w:r>
          </w:p>
        </w:tc>
        <w:tc>
          <w:tcPr/>
          <w:p>
            <w:pPr>
              <w:pStyle w:val="Compact"/>
              <w:jc w:val="left"/>
            </w:pPr>
            <w:r>
              <w:t xml:space="preserve">Deep dive</w:t>
            </w:r>
          </w:p>
        </w:tc>
      </w:tr>
      <w:tr>
        <w:tc>
          <w:tcPr/>
          <w:p>
            <w:pPr>
              <w:pStyle w:val="Compact"/>
              <w:jc w:val="left"/>
            </w:pPr>
            <w:r>
              <w:t xml:space="preserve">Consistency vs availability (under network partition)</w:t>
            </w:r>
          </w:p>
        </w:tc>
        <w:tc>
          <w:tcPr/>
          <w:p>
            <w:pPr>
              <w:pStyle w:val="Compact"/>
              <w:jc w:val="left"/>
            </w:pPr>
            <w:r>
              <w:t xml:space="preserve">Replicas that cannot communicate must either refuse requests or risk divergent answers</w:t>
            </w:r>
          </w:p>
        </w:tc>
        <w:tc>
          <w:tcPr/>
          <w:p>
            <w:pPr>
              <w:pStyle w:val="Compact"/>
              <w:jc w:val="left"/>
            </w:pPr>
            <w:r>
              <w:t xml:space="preserve">Choose per operation: strong for payments, eventual for like counts</w:t>
            </w:r>
          </w:p>
        </w:tc>
        <w:tc>
          <w:tcPr/>
          <w:p>
            <w:pPr>
              <w:pStyle w:val="Compact"/>
              <w:jc w:val="left"/>
            </w:pPr>
            <w:r>
              <w:t xml:space="preserve">Ch 25</w:t>
            </w:r>
          </w:p>
        </w:tc>
      </w:tr>
      <w:tr>
        <w:tc>
          <w:tcPr/>
          <w:p>
            <w:pPr>
              <w:pStyle w:val="Compact"/>
              <w:jc w:val="left"/>
            </w:pPr>
            <w:r>
              <w:t xml:space="preserve">Latency vs consistency (even without partitions)</w:t>
            </w:r>
          </w:p>
        </w:tc>
        <w:tc>
          <w:tcPr/>
          <w:p>
            <w:pPr>
              <w:pStyle w:val="Compact"/>
              <w:jc w:val="left"/>
            </w:pPr>
            <w:r>
              <w:t xml:space="preserve">Coordinating replicas adds round trips</w:t>
            </w:r>
          </w:p>
        </w:tc>
        <w:tc>
          <w:tcPr/>
          <w:p>
            <w:pPr>
              <w:pStyle w:val="Compact"/>
              <w:jc w:val="left"/>
            </w:pPr>
            <w:r>
              <w:t xml:space="preserve">Read from nearby replica; accept bounded staleness</w:t>
            </w:r>
          </w:p>
        </w:tc>
        <w:tc>
          <w:tcPr/>
          <w:p>
            <w:pPr>
              <w:pStyle w:val="Compact"/>
              <w:jc w:val="left"/>
            </w:pPr>
            <w:r>
              <w:t xml:space="preserve">§25.9 (PACELC)</w:t>
            </w:r>
          </w:p>
        </w:tc>
      </w:tr>
      <w:tr>
        <w:tc>
          <w:tcPr/>
          <w:p>
            <w:pPr>
              <w:pStyle w:val="Compact"/>
              <w:jc w:val="left"/>
            </w:pPr>
            <w:r>
              <w:t xml:space="preserve">Durability vs write latency</w:t>
            </w:r>
          </w:p>
        </w:tc>
        <w:tc>
          <w:tcPr/>
          <w:p>
            <w:pPr>
              <w:pStyle w:val="Compact"/>
              <w:jc w:val="left"/>
            </w:pPr>
            <w:r>
              <w:t xml:space="preserve">Waiting for multiple disks or zones to confirm takes time</w:t>
            </w:r>
          </w:p>
        </w:tc>
        <w:tc>
          <w:tcPr/>
          <w:p>
            <w:pPr>
              <w:pStyle w:val="Compact"/>
              <w:jc w:val="left"/>
            </w:pPr>
            <w:r>
              <w:t xml:space="preserve">Synchronous replication to a quorum; async to remote region</w:t>
            </w:r>
          </w:p>
        </w:tc>
        <w:tc>
          <w:tcPr/>
          <w:p>
            <w:pPr>
              <w:pStyle w:val="Compact"/>
              <w:jc w:val="left"/>
            </w:pPr>
            <w:r>
              <w:t xml:space="preserve">Ch 27</w:t>
            </w:r>
          </w:p>
        </w:tc>
      </w:tr>
      <w:tr>
        <w:tc>
          <w:tcPr/>
          <w:p>
            <w:pPr>
              <w:pStyle w:val="Compact"/>
              <w:jc w:val="left"/>
            </w:pPr>
            <w:r>
              <w:t xml:space="preserve">Availability vs cost</w:t>
            </w:r>
          </w:p>
        </w:tc>
        <w:tc>
          <w:tcPr/>
          <w:p>
            <w:pPr>
              <w:pStyle w:val="Compact"/>
              <w:jc w:val="left"/>
            </w:pPr>
            <w:r>
              <w:t xml:space="preserve">Redundancy means paying for idle capacity</w:t>
            </w:r>
          </w:p>
        </w:tc>
        <w:tc>
          <w:tcPr/>
          <w:p>
            <w:pPr>
              <w:pStyle w:val="Compact"/>
              <w:jc w:val="left"/>
            </w:pPr>
            <w:r>
              <w:t xml:space="preserve">Match nines to business value</w:t>
            </w:r>
          </w:p>
        </w:tc>
        <w:tc>
          <w:tcPr/>
          <w:p>
            <w:pPr>
              <w:pStyle w:val="Compact"/>
              <w:jc w:val="left"/>
            </w:pPr>
            <w:r>
              <w:t xml:space="preserve">Ch 39, Ch 51</w:t>
            </w:r>
          </w:p>
        </w:tc>
      </w:tr>
      <w:tr>
        <w:tc>
          <w:tcPr/>
          <w:p>
            <w:pPr>
              <w:pStyle w:val="Compact"/>
              <w:jc w:val="left"/>
            </w:pPr>
            <w:r>
              <w:t xml:space="preserve">Security vs usability</w:t>
            </w:r>
          </w:p>
        </w:tc>
        <w:tc>
          <w:tcPr/>
          <w:p>
            <w:pPr>
              <w:pStyle w:val="Compact"/>
              <w:jc w:val="left"/>
            </w:pPr>
            <w:r>
              <w:t xml:space="preserve">Extra checks add friction</w:t>
            </w:r>
          </w:p>
        </w:tc>
        <w:tc>
          <w:tcPr/>
          <w:p>
            <w:pPr>
              <w:pStyle w:val="Compact"/>
              <w:jc w:val="left"/>
            </w:pPr>
            <w:r>
              <w:t xml:space="preserve">Risk-based authentication</w:t>
            </w:r>
          </w:p>
        </w:tc>
        <w:tc>
          <w:tcPr/>
          <w:p>
            <w:pPr>
              <w:pStyle w:val="Compact"/>
              <w:jc w:val="left"/>
            </w:pPr>
            <w:r>
              <w:t xml:space="preserve">Ch 10</w:t>
            </w:r>
          </w:p>
        </w:tc>
      </w:tr>
      <w:tr>
        <w:tc>
          <w:tcPr/>
          <w:p>
            <w:pPr>
              <w:pStyle w:val="Compact"/>
              <w:jc w:val="left"/>
            </w:pPr>
            <w:r>
              <w:t xml:space="preserve">Simplicity (operability) vs scalability</w:t>
            </w:r>
          </w:p>
        </w:tc>
        <w:tc>
          <w:tcPr/>
          <w:p>
            <w:pPr>
              <w:pStyle w:val="Compact"/>
              <w:jc w:val="left"/>
            </w:pPr>
            <w:r>
              <w:t xml:space="preserve">Each scaling technique adds components</w:t>
            </w:r>
          </w:p>
        </w:tc>
        <w:tc>
          <w:tcPr/>
          <w:p>
            <w:pPr>
              <w:pStyle w:val="Compact"/>
              <w:jc w:val="left"/>
            </w:pPr>
            <w:r>
              <w:t xml:space="preserve">Scale only the measured bottleneck</w:t>
            </w:r>
          </w:p>
        </w:tc>
        <w:tc>
          <w:tcPr/>
          <w:p>
            <w:pPr>
              <w:pStyle w:val="Compact"/>
              <w:jc w:val="left"/>
            </w:pPr>
            <w:r>
              <w:t xml:space="preserve">Ch 18</w:t>
            </w:r>
          </w:p>
        </w:tc>
      </w:tr>
      <w:tr>
        <w:tc>
          <w:tcPr/>
          <w:p>
            <w:pPr>
              <w:pStyle w:val="Compact"/>
              <w:jc w:val="left"/>
            </w:pPr>
            <w:r>
              <w:t xml:space="preserve">Performance vs modifiability</w:t>
            </w:r>
          </w:p>
        </w:tc>
        <w:tc>
          <w:tcPr/>
          <w:p>
            <w:pPr>
              <w:pStyle w:val="Compact"/>
              <w:jc w:val="left"/>
            </w:pPr>
            <w:r>
              <w:t xml:space="preserve">Optimized code is specialized and harder to change</w:t>
            </w:r>
          </w:p>
        </w:tc>
        <w:tc>
          <w:tcPr/>
          <w:p>
            <w:pPr>
              <w:pStyle w:val="Compact"/>
              <w:jc w:val="left"/>
            </w:pPr>
            <w:r>
              <w:t xml:space="preserve">Optimize hot paths only, after profiling</w:t>
            </w:r>
          </w:p>
        </w:tc>
        <w:tc>
          <w:tcPr/>
          <w:p>
            <w:pPr>
              <w:pStyle w:val="Compact"/>
              <w:jc w:val="left"/>
            </w:pPr>
            <w:r>
              <w:t xml:space="preserve">Ch 23</w:t>
            </w:r>
          </w:p>
        </w:tc>
      </w:tr>
    </w:tbl>
    <w:bookmarkStart w:id="80" w:name="failure-scenarios-3"/>
    <w:p>
      <w:pPr>
        <w:pStyle w:val="Heading4"/>
      </w:pPr>
      <w:r>
        <w:t xml:space="preserve">Failure scenarios</w:t>
      </w:r>
    </w:p>
    <w:p>
      <w:pPr>
        <w:pStyle w:val="FirstParagraph"/>
      </w:pPr>
      <w:r>
        <w:rPr>
          <w:bCs/>
          <w:b/>
        </w:rPr>
        <w:t xml:space="preserve">Table 1.11 — Non-functional-requirement 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System is</w:t>
            </w:r>
            <w:r>
              <w:t xml:space="preserve"> </w:t>
            </w:r>
            <w:r>
              <w:t xml:space="preserve">“</w:t>
            </w:r>
            <w:r>
              <w:t xml:space="preserve">fast</w:t>
            </w:r>
            <w:r>
              <w:t xml:space="preserve">”</w:t>
            </w:r>
            <w:r>
              <w:t xml:space="preserve"> </w:t>
            </w:r>
            <w:r>
              <w:t xml:space="preserve">in tests, slow for users</w:t>
            </w:r>
          </w:p>
        </w:tc>
        <w:tc>
          <w:tcPr/>
          <w:p>
            <w:pPr>
              <w:pStyle w:val="Compact"/>
              <w:jc w:val="left"/>
            </w:pPr>
            <w:r>
              <w:t xml:space="preserve">Averages measured instead of tail percentiles</w:t>
            </w:r>
          </w:p>
        </w:tc>
        <w:tc>
          <w:tcPr/>
          <w:p>
            <w:pPr>
              <w:pStyle w:val="Compact"/>
              <w:jc w:val="left"/>
            </w:pPr>
            <w:r>
              <w:t xml:space="preserve">p99 dashboards; user complaints</w:t>
            </w:r>
          </w:p>
        </w:tc>
        <w:tc>
          <w:tcPr/>
          <w:p>
            <w:pPr>
              <w:pStyle w:val="Compact"/>
              <w:jc w:val="left"/>
            </w:pPr>
            <w:r>
              <w:t xml:space="preserve">Find tail causes (GC, slow dependencies)</w:t>
            </w:r>
          </w:p>
        </w:tc>
        <w:tc>
          <w:tcPr/>
          <w:p>
            <w:pPr>
              <w:pStyle w:val="Compact"/>
              <w:jc w:val="left"/>
            </w:pPr>
            <w:r>
              <w:t xml:space="preserve">Specify and test p99, not mean</w:t>
            </w:r>
          </w:p>
        </w:tc>
      </w:tr>
      <w:tr>
        <w:tc>
          <w:tcPr/>
          <w:p>
            <w:pPr>
              <w:pStyle w:val="Compact"/>
              <w:jc w:val="left"/>
            </w:pPr>
            <w:r>
              <w:t xml:space="preserve">Gold-plated availability</w:t>
            </w:r>
          </w:p>
        </w:tc>
        <w:tc>
          <w:tcPr/>
          <w:p>
            <w:pPr>
              <w:pStyle w:val="Compact"/>
              <w:jc w:val="left"/>
            </w:pPr>
            <w:r>
              <w:t xml:space="preserve">99.999% demanded without business case</w:t>
            </w:r>
          </w:p>
        </w:tc>
        <w:tc>
          <w:tcPr/>
          <w:p>
            <w:pPr>
              <w:pStyle w:val="Compact"/>
              <w:jc w:val="left"/>
            </w:pPr>
            <w:r>
              <w:t xml:space="preserve">Cost far above budget</w:t>
            </w:r>
          </w:p>
        </w:tc>
        <w:tc>
          <w:tcPr/>
          <w:p>
            <w:pPr>
              <w:pStyle w:val="Compact"/>
              <w:jc w:val="left"/>
            </w:pPr>
            <w:r>
              <w:t xml:space="preserve">Renegotiate SLO</w:t>
            </w:r>
          </w:p>
        </w:tc>
        <w:tc>
          <w:tcPr/>
          <w:p>
            <w:pPr>
              <w:pStyle w:val="Compact"/>
              <w:jc w:val="left"/>
            </w:pPr>
            <w:r>
              <w:t xml:space="preserve">Tie each nine to business impact</w:t>
            </w:r>
          </w:p>
        </w:tc>
      </w:tr>
      <w:tr>
        <w:tc>
          <w:tcPr/>
          <w:p>
            <w:pPr>
              <w:pStyle w:val="Compact"/>
              <w:jc w:val="left"/>
            </w:pPr>
            <w:r>
              <w:t xml:space="preserve">Data loss despite</w:t>
            </w:r>
            <w:r>
              <w:t xml:space="preserve"> </w:t>
            </w:r>
            <w:r>
              <w:t xml:space="preserve">“</w:t>
            </w:r>
            <w:r>
              <w:t xml:space="preserve">replication</w:t>
            </w:r>
            <w:r>
              <w:t xml:space="preserve">”</w:t>
            </w:r>
          </w:p>
        </w:tc>
        <w:tc>
          <w:tcPr/>
          <w:p>
            <w:pPr>
              <w:pStyle w:val="Compact"/>
              <w:jc w:val="left"/>
            </w:pPr>
            <w:r>
              <w:t xml:space="preserve">Durability never specified; replicas asynchronous; backups untested</w:t>
            </w:r>
          </w:p>
        </w:tc>
        <w:tc>
          <w:tcPr/>
          <w:p>
            <w:pPr>
              <w:pStyle w:val="Compact"/>
              <w:jc w:val="left"/>
            </w:pPr>
            <w:r>
              <w:t xml:space="preserve">Restore fails during incident</w:t>
            </w:r>
          </w:p>
        </w:tc>
        <w:tc>
          <w:tcPr/>
          <w:p>
            <w:pPr>
              <w:pStyle w:val="Compact"/>
              <w:jc w:val="left"/>
            </w:pPr>
            <w:r>
              <w:t xml:space="preserve">Partial recovery from logs</w:t>
            </w:r>
          </w:p>
        </w:tc>
        <w:tc>
          <w:tcPr/>
          <w:p>
            <w:pPr>
              <w:pStyle w:val="Compact"/>
              <w:jc w:val="left"/>
            </w:pPr>
            <w:r>
              <w:t xml:space="preserve">State RPO; test restores regularly</w:t>
            </w:r>
          </w:p>
        </w:tc>
      </w:tr>
      <w:tr>
        <w:tc>
          <w:tcPr/>
          <w:p>
            <w:pPr>
              <w:pStyle w:val="Compact"/>
              <w:jc w:val="left"/>
            </w:pPr>
            <w:r>
              <w:t xml:space="preserve">Privacy breach via forgotten copy</w:t>
            </w:r>
          </w:p>
        </w:tc>
        <w:tc>
          <w:tcPr/>
          <w:p>
            <w:pPr>
              <w:pStyle w:val="Compact"/>
              <w:jc w:val="left"/>
            </w:pPr>
            <w:r>
              <w:t xml:space="preserve">Deletion requirement ignored caches, logs, backups</w:t>
            </w:r>
          </w:p>
        </w:tc>
        <w:tc>
          <w:tcPr/>
          <w:p>
            <w:pPr>
              <w:pStyle w:val="Compact"/>
              <w:jc w:val="left"/>
            </w:pPr>
            <w:r>
              <w:t xml:space="preserve">Audit or regulator finding</w:t>
            </w:r>
          </w:p>
        </w:tc>
        <w:tc>
          <w:tcPr/>
          <w:p>
            <w:pPr>
              <w:pStyle w:val="Compact"/>
              <w:jc w:val="left"/>
            </w:pPr>
            <w:r>
              <w:t xml:space="preserve">Purge pipelines</w:t>
            </w:r>
          </w:p>
        </w:tc>
        <w:tc>
          <w:tcPr/>
          <w:p>
            <w:pPr>
              <w:pStyle w:val="Compact"/>
              <w:jc w:val="left"/>
            </w:pPr>
            <w:r>
              <w:t xml:space="preserve">Data inventory; deletion as an NFR</w:t>
            </w:r>
          </w:p>
        </w:tc>
      </w:tr>
    </w:tbl>
    <w:bookmarkEnd w:id="80"/>
    <w:bookmarkStart w:id="81" w:name="common-misconceptions-4"/>
    <w:p>
      <w:pPr>
        <w:pStyle w:val="Heading4"/>
      </w:pPr>
      <w:r>
        <w:t xml:space="preserve">Common misconceptions</w:t>
      </w:r>
    </w:p>
    <w:p>
      <w:pPr>
        <w:pStyle w:val="CalloutMistake"/>
      </w:pPr>
      <w:r>
        <w:rPr>
          <w:bCs/>
          <w:b/>
        </w:rPr>
        <w:t xml:space="preserve">COMMON MISTAKE</w:t>
      </w:r>
    </w:p>
    <w:p>
      <w:pPr>
        <w:pStyle w:val="CalloutMistake"/>
      </w:pPr>
      <w:r>
        <w:rPr>
          <w:bCs/>
          <w:b/>
        </w:rPr>
        <w:t xml:space="preserve">“</w:t>
      </w:r>
      <w:r>
        <w:rPr>
          <w:bCs/>
          <w:b/>
        </w:rPr>
        <w:t xml:space="preserve">The system must be highly available, scalable and fast.</w:t>
      </w:r>
      <w:r>
        <w:rPr>
          <w:bCs/>
          <w:b/>
        </w:rPr>
        <w:t xml:space="preserve">”</w:t>
      </w:r>
      <w:r>
        <w:t xml:space="preserve"> </w:t>
      </w:r>
      <w:r>
        <w:t xml:space="preserve">This is not a requirement; it is a wish. Every system wants these. A requirement has a number, a percentile, a window and a load level:</w:t>
      </w:r>
      <w:r>
        <w:t xml:space="preserve"> </w:t>
      </w:r>
      <w:r>
        <w:t xml:space="preserve">“</w:t>
      </w:r>
      <w:r>
        <w:t xml:space="preserve">99.9% of feed requests per 30 days return successfully; p99 ≤ 300 ms at 2,000 RPS</w:t>
      </w:r>
      <w:r>
        <w:t xml:space="preserve">”</w:t>
      </w:r>
      <w:r>
        <w:t xml:space="preserve">.</w:t>
      </w:r>
    </w:p>
    <w:p>
      <w:pPr>
        <w:pStyle w:val="CalloutMistake"/>
      </w:pPr>
      <w:r>
        <w:rPr>
          <w:bCs/>
          <w:b/>
        </w:rPr>
        <w:t xml:space="preserve">COMMON MISTAKE</w:t>
      </w:r>
    </w:p>
    <w:p>
      <w:pPr>
        <w:pStyle w:val="CalloutMistake"/>
      </w:pPr>
      <w:r>
        <w:rPr>
          <w:bCs/>
          <w:b/>
        </w:rPr>
        <w:t xml:space="preserve">“</w:t>
      </w:r>
      <w:r>
        <w:rPr>
          <w:bCs/>
          <w:b/>
        </w:rPr>
        <w:t xml:space="preserve">Availability and reliability are the same thing.</w:t>
      </w:r>
      <w:r>
        <w:rPr>
          <w:bCs/>
          <w:b/>
        </w:rPr>
        <w:t xml:space="preserve">”</w:t>
      </w:r>
      <w:r>
        <w:t xml:space="preserve"> </w:t>
      </w:r>
      <w:r>
        <w:t xml:space="preserve">Availability is the fraction of time the system is</w:t>
      </w:r>
      <w:r>
        <w:t xml:space="preserve"> </w:t>
      </w:r>
      <w:r>
        <w:rPr>
          <w:iCs/>
          <w:i/>
        </w:rPr>
        <w:t xml:space="preserve">up</w:t>
      </w:r>
      <w:r>
        <w:t xml:space="preserve">; reliability is the probability it operates</w:t>
      </w:r>
      <w:r>
        <w:t xml:space="preserve"> </w:t>
      </w:r>
      <w:r>
        <w:rPr>
          <w:iCs/>
          <w:i/>
        </w:rPr>
        <w:t xml:space="preserve">correctly</w:t>
      </w:r>
      <w:r>
        <w:t xml:space="preserve"> </w:t>
      </w:r>
      <w:r>
        <w:t xml:space="preserve">over a period. A system that is up but returns wrong feeds is available and unreliable. See §39.3.</w:t>
      </w:r>
    </w:p>
    <w:p>
      <w:pPr>
        <w:pStyle w:val="CalloutMistake"/>
      </w:pPr>
      <w:r>
        <w:rPr>
          <w:bCs/>
          <w:b/>
        </w:rPr>
        <w:t xml:space="preserve">COMMON MISTAKE</w:t>
      </w:r>
    </w:p>
    <w:p>
      <w:pPr>
        <w:pStyle w:val="CalloutMistake"/>
      </w:pPr>
      <w:r>
        <w:rPr>
          <w:bCs/>
          <w:b/>
        </w:rPr>
        <w:t xml:space="preserve">“</w:t>
      </w:r>
      <w:r>
        <w:rPr>
          <w:bCs/>
          <w:b/>
        </w:rPr>
        <w:t xml:space="preserve">Aim for 100%.</w:t>
      </w:r>
      <w:r>
        <w:rPr>
          <w:bCs/>
          <w:b/>
        </w:rPr>
        <w:t xml:space="preserve">”</w:t>
      </w:r>
      <w:r>
        <w:t xml:space="preserve"> </w:t>
      </w:r>
      <w:r>
        <w:t xml:space="preserve">A 100% target is unachievable, makes every change frighteningly risky, and leaves no error budget for shipping features [Beyer et al. 2016].</w:t>
      </w:r>
    </w:p>
    <w:bookmarkEnd w:id="81"/>
    <w:bookmarkEnd w:id="82"/>
    <w:bookmarkEnd w:id="83"/>
    <w:bookmarkStart w:id="99" w:name="architectural-decision-making-and-adrs"/>
    <w:p>
      <w:pPr>
        <w:pStyle w:val="Heading2"/>
      </w:pPr>
      <w:r>
        <w:t xml:space="preserve">1.8 Architectural decision-making and ADRs</w:t>
      </w:r>
    </w:p>
    <w:bookmarkStart w:id="98" w:name="architectural-decisions"/>
    <w:p>
      <w:pPr>
        <w:pStyle w:val="Heading3"/>
      </w:pPr>
      <w:r>
        <w:t xml:space="preserve">1.8.1 Architectural decisions</w:t>
      </w:r>
    </w:p>
    <w:p>
      <w:pPr>
        <w:pStyle w:val="CalloutDefinition"/>
      </w:pPr>
      <w:r>
        <w:rPr>
          <w:bCs/>
          <w:b/>
        </w:rPr>
        <w:t xml:space="preserve">DEFINITION</w:t>
      </w:r>
    </w:p>
    <w:p>
      <w:pPr>
        <w:pStyle w:val="CalloutDefinition"/>
      </w:pPr>
      <w:r>
        <w:rPr>
          <w:bCs/>
          <w:b/>
        </w:rPr>
        <w:t xml:space="preserve">Definition — Architectural decision.</w:t>
      </w:r>
      <w:r>
        <w:t xml:space="preserve"> </w:t>
      </w:r>
      <w:r>
        <w:t xml:space="preserve">A design choice that addresses an architecturally significant requirement — one that affects structure, quality attributes, interfaces or technology in a way that is costly to change later. Examples: choosing a relational database over a key-value store; storing files in object storage; making photo processing asynchronous.</w:t>
      </w:r>
    </w:p>
    <w:p>
      <w:pPr>
        <w:pStyle w:val="CalloutDefinition"/>
      </w:pPr>
      <w:r>
        <w:rPr>
          <w:bCs/>
          <w:b/>
        </w:rPr>
        <w:t xml:space="preserve">DEFINITION</w:t>
      </w:r>
    </w:p>
    <w:p>
      <w:pPr>
        <w:pStyle w:val="CalloutDefinition"/>
      </w:pPr>
      <w:r>
        <w:rPr>
          <w:bCs/>
          <w:b/>
        </w:rPr>
        <w:t xml:space="preserve">Definition — Architecture Decision Record (ADR).</w:t>
      </w:r>
      <w:r>
        <w:t xml:space="preserve"> </w:t>
      </w:r>
      <w:r>
        <w:t xml:space="preserve">A short document that captures one architectural decision: its context, the decision itself, its status, and its consequences. ADRs are numbered, kept in sequence (often in the code repository), and never edited to reverse a decision — a new ADR</w:t>
      </w:r>
      <w:r>
        <w:t xml:space="preserve"> </w:t>
      </w:r>
      <w:r>
        <w:rPr>
          <w:iCs/>
          <w:i/>
        </w:rPr>
        <w:t xml:space="preserve">supersedes</w:t>
      </w:r>
      <w:r>
        <w:t xml:space="preserve"> </w:t>
      </w:r>
      <w:r>
        <w:t xml:space="preserve">the old one [Nygard 2011].</w:t>
      </w:r>
    </w:p>
    <w:bookmarkStart w:id="84" w:name="first-principles-explanation-5"/>
    <w:p>
      <w:pPr>
        <w:pStyle w:val="Heading4"/>
      </w:pPr>
      <w:r>
        <w:t xml:space="preserve">First-principles explanation</w:t>
      </w:r>
    </w:p>
    <w:p>
      <w:pPr>
        <w:pStyle w:val="FirstParagraph"/>
      </w:pPr>
      <w:r>
        <w:t xml:space="preserve">A court does not just announce</w:t>
      </w:r>
      <w:r>
        <w:t xml:space="preserve"> </w:t>
      </w:r>
      <w:r>
        <w:t xml:space="preserve">“</w:t>
      </w:r>
      <w:r>
        <w:t xml:space="preserve">guilty</w:t>
      </w:r>
      <w:r>
        <w:t xml:space="preserve">”</w:t>
      </w:r>
      <w:r>
        <w:t xml:space="preserve"> </w:t>
      </w:r>
      <w:r>
        <w:t xml:space="preserve">or</w:t>
      </w:r>
      <w:r>
        <w:t xml:space="preserve"> </w:t>
      </w:r>
      <w:r>
        <w:t xml:space="preserve">“</w:t>
      </w:r>
      <w:r>
        <w:t xml:space="preserve">not guilty</w:t>
      </w:r>
      <w:r>
        <w:t xml:space="preserve">”</w:t>
      </w:r>
      <w:r>
        <w:t xml:space="preserve">; it publishes the reasoning, so later judges can tell whether a new case is similar enough for the ruling to apply. An ADR is a judgment with its reasoning attached. Two years from now, an engineer wondering</w:t>
      </w:r>
      <w:r>
        <w:t xml:space="preserve"> </w:t>
      </w:r>
      <w:r>
        <w:t xml:space="preserve">“</w:t>
      </w:r>
      <w:r>
        <w:t xml:space="preserve">why on earth are thumbnails generated asynchronously?</w:t>
      </w:r>
      <w:r>
        <w:t xml:space="preserve">”</w:t>
      </w:r>
      <w:r>
        <w:t xml:space="preserve"> </w:t>
      </w:r>
      <w:r>
        <w:t xml:space="preserve">can read the ADR, see that the context was</w:t>
      </w:r>
      <w:r>
        <w:t xml:space="preserve"> </w:t>
      </w:r>
      <w:r>
        <w:t xml:space="preserve">“</w:t>
      </w:r>
      <w:r>
        <w:t xml:space="preserve">synchronous resizing pushed upload p99 to 4 seconds</w:t>
      </w:r>
      <w:r>
        <w:t xml:space="preserve">”</w:t>
      </w:r>
      <w:r>
        <w:t xml:space="preserve">, and decide whether that context still holds.</w:t>
      </w:r>
    </w:p>
    <w:bookmarkEnd w:id="84"/>
    <w:bookmarkStart w:id="85" w:name="why-does-this-exist-5"/>
    <w:p>
      <w:pPr>
        <w:pStyle w:val="Heading4"/>
      </w:pPr>
      <w:r>
        <w:t xml:space="preserve">Why does this exist?</w:t>
      </w:r>
    </w:p>
    <w:p>
      <w:pPr>
        <w:pStyle w:val="FirstParagraph"/>
      </w:pPr>
      <w:r>
        <w:t xml:space="preserve">Without records, architectural knowledge lives in people’s heads and leaves when they do. Nygard described the resulting dilemma for a newcomer facing an unexplained decision: either</w:t>
      </w:r>
      <w:r>
        <w:t xml:space="preserve"> </w:t>
      </w:r>
      <w:r>
        <w:rPr>
          <w:iCs/>
          <w:i/>
        </w:rPr>
        <w:t xml:space="preserve">blindly accept</w:t>
      </w:r>
      <w:r>
        <w:t xml:space="preserve"> </w:t>
      </w:r>
      <w:r>
        <w:t xml:space="preserve">it (and keep something that may no longer make sense) or</w:t>
      </w:r>
      <w:r>
        <w:t xml:space="preserve"> </w:t>
      </w:r>
      <w:r>
        <w:rPr>
          <w:iCs/>
          <w:i/>
        </w:rPr>
        <w:t xml:space="preserve">blindly change</w:t>
      </w:r>
      <w:r>
        <w:t xml:space="preserve"> </w:t>
      </w:r>
      <w:r>
        <w:t xml:space="preserve">it (and possibly break a quality attribute the decision was protecting) [Nygard 2011]. ADRs make a third option possible: read the context, then decide.</w:t>
      </w:r>
    </w:p>
    <w:bookmarkEnd w:id="85"/>
    <w:bookmarkStart w:id="86" w:name="how-it-works-internally-5"/>
    <w:p>
      <w:pPr>
        <w:pStyle w:val="Heading4"/>
      </w:pPr>
      <w:r>
        <w:t xml:space="preserve">How it works internally</w:t>
      </w:r>
    </w:p>
    <w:p>
      <w:pPr>
        <w:pStyle w:val="FirstParagraph"/>
      </w:pPr>
      <w:r>
        <w:t xml:space="preserve">A disciplined decision process looks like this:</w:t>
      </w:r>
    </w:p>
    <w:p>
      <w:pPr>
        <w:numPr>
          <w:ilvl w:val="0"/>
          <w:numId w:val="1018"/>
        </w:numPr>
        <w:pStyle w:val="Compact"/>
      </w:pPr>
      <w:r>
        <w:rPr>
          <w:bCs/>
          <w:b/>
        </w:rPr>
        <w:t xml:space="preserve">Identify the driver.</w:t>
      </w:r>
      <w:r>
        <w:t xml:space="preserve"> </w:t>
      </w:r>
      <w:r>
        <w:t xml:space="preserve">Which requirement or problem forces a decision now? (For PhotoShare:</w:t>
      </w:r>
      <w:r>
        <w:t xml:space="preserve"> </w:t>
      </w:r>
      <w:r>
        <w:t xml:space="preserve">“</w:t>
      </w:r>
      <w:r>
        <w:t xml:space="preserve">the local disk is 80% full and v1 must reach 99.9% availability.</w:t>
      </w:r>
      <w:r>
        <w:t xml:space="preserve">”</w:t>
      </w:r>
      <w:r>
        <w:t xml:space="preserve">)</w:t>
      </w:r>
    </w:p>
    <w:p>
      <w:pPr>
        <w:numPr>
          <w:ilvl w:val="0"/>
          <w:numId w:val="1018"/>
        </w:numPr>
        <w:pStyle w:val="Compact"/>
      </w:pPr>
      <w:r>
        <w:rPr>
          <w:bCs/>
          <w:b/>
        </w:rPr>
        <w:t xml:space="preserve">Assess reversibility.</w:t>
      </w:r>
      <w:r>
        <w:t xml:space="preserve"> </w:t>
      </w:r>
      <w:r>
        <w:t xml:space="preserve">Is this a cheap-to-reverse (</w:t>
      </w:r>
      <w:r>
        <w:t xml:space="preserve">“</w:t>
      </w:r>
      <w:r>
        <w:t xml:space="preserve">two-way door</w:t>
      </w:r>
      <w:r>
        <w:t xml:space="preserve">”</w:t>
      </w:r>
      <w:r>
        <w:t xml:space="preserve">) or expensive-to-reverse (</w:t>
      </w:r>
      <w:r>
        <w:t xml:space="preserve">“</w:t>
      </w:r>
      <w:r>
        <w:t xml:space="preserve">one-way door</w:t>
      </w:r>
      <w:r>
        <w:t xml:space="preserve">”</w:t>
      </w:r>
      <w:r>
        <w:t xml:space="preserve">) decision? Spend effort proportionally (developed in §2.8).</w:t>
      </w:r>
    </w:p>
    <w:p>
      <w:pPr>
        <w:numPr>
          <w:ilvl w:val="0"/>
          <w:numId w:val="1018"/>
        </w:numPr>
        <w:pStyle w:val="Compact"/>
      </w:pPr>
      <w:r>
        <w:rPr>
          <w:bCs/>
          <w:b/>
        </w:rPr>
        <w:t xml:space="preserve">Enumerate options</w:t>
      </w:r>
      <w:r>
        <w:t xml:space="preserve"> </w:t>
      </w:r>
      <w:r>
        <w:t xml:space="preserve">— at least two plus</w:t>
      </w:r>
      <w:r>
        <w:t xml:space="preserve"> </w:t>
      </w:r>
      <w:r>
        <w:t xml:space="preserve">“</w:t>
      </w:r>
      <w:r>
        <w:t xml:space="preserve">do nothing</w:t>
      </w:r>
      <w:r>
        <w:t xml:space="preserve">”</w:t>
      </w:r>
      <w:r>
        <w:t xml:space="preserve">.</w:t>
      </w:r>
    </w:p>
    <w:p>
      <w:pPr>
        <w:numPr>
          <w:ilvl w:val="0"/>
          <w:numId w:val="1018"/>
        </w:numPr>
        <w:pStyle w:val="Compact"/>
      </w:pPr>
      <w:r>
        <w:rPr>
          <w:bCs/>
          <w:b/>
        </w:rPr>
        <w:t xml:space="preserve">Choose criteria</w:t>
      </w:r>
      <w:r>
        <w:t xml:space="preserve"> </w:t>
      </w:r>
      <w:r>
        <w:t xml:space="preserve">from the NFRs (§1.7) and weight them.</w:t>
      </w:r>
    </w:p>
    <w:p>
      <w:pPr>
        <w:numPr>
          <w:ilvl w:val="0"/>
          <w:numId w:val="1018"/>
        </w:numPr>
        <w:pStyle w:val="Compact"/>
      </w:pPr>
      <w:r>
        <w:rPr>
          <w:bCs/>
          <w:b/>
        </w:rPr>
        <w:t xml:space="preserve">Evaluate</w:t>
      </w:r>
      <w:r>
        <w:t xml:space="preserve"> </w:t>
      </w:r>
      <w:r>
        <w:t xml:space="preserve">options against criteria — qualitatively, with a decision matrix, or with a prototype or benchmark when the numbers are uncertain.</w:t>
      </w:r>
    </w:p>
    <w:p>
      <w:pPr>
        <w:numPr>
          <w:ilvl w:val="0"/>
          <w:numId w:val="1018"/>
        </w:numPr>
        <w:pStyle w:val="Compact"/>
      </w:pPr>
      <w:r>
        <w:rPr>
          <w:bCs/>
          <w:b/>
        </w:rPr>
        <w:t xml:space="preserve">Decide and record</w:t>
      </w:r>
      <w:r>
        <w:t xml:space="preserve"> </w:t>
      </w:r>
      <w:r>
        <w:t xml:space="preserve">the decision as an ADR with status</w:t>
      </w:r>
      <w:r>
        <w:t xml:space="preserve"> </w:t>
      </w:r>
      <w:r>
        <w:rPr>
          <w:iCs/>
          <w:i/>
        </w:rPr>
        <w:t xml:space="preserve">Proposed</w:t>
      </w:r>
      <w:r>
        <w:t xml:space="preserve">, circulate it, and move it to</w:t>
      </w:r>
      <w:r>
        <w:t xml:space="preserve"> </w:t>
      </w:r>
      <w:r>
        <w:rPr>
          <w:iCs/>
          <w:i/>
        </w:rPr>
        <w:t xml:space="preserve">Accepted</w:t>
      </w:r>
      <w:r>
        <w:t xml:space="preserve"> </w:t>
      </w:r>
      <w:r>
        <w:t xml:space="preserve">after review.</w:t>
      </w:r>
    </w:p>
    <w:p>
      <w:pPr>
        <w:numPr>
          <w:ilvl w:val="0"/>
          <w:numId w:val="1018"/>
        </w:numPr>
        <w:pStyle w:val="Compact"/>
      </w:pPr>
      <w:r>
        <w:rPr>
          <w:bCs/>
          <w:b/>
        </w:rPr>
        <w:t xml:space="preserve">Revisit</w:t>
      </w:r>
      <w:r>
        <w:t xml:space="preserve"> </w:t>
      </w:r>
      <w:r>
        <w:t xml:space="preserve">when the context changes, writing a new ADR that</w:t>
      </w:r>
      <w:r>
        <w:t xml:space="preserve"> </w:t>
      </w:r>
      <w:r>
        <w:rPr>
          <w:iCs/>
          <w:i/>
        </w:rPr>
        <w:t xml:space="preserve">supersedes</w:t>
      </w:r>
      <w:r>
        <w:t xml:space="preserve"> </w:t>
      </w:r>
      <w:r>
        <w:t xml:space="preserve">the old one.</w:t>
      </w:r>
    </w:p>
    <w:bookmarkEnd w:id="86"/>
    <w:bookmarkStart w:id="90" w:name="architecture-diagram-2"/>
    <w:p>
      <w:pPr>
        <w:pStyle w:val="Heading4"/>
      </w:pPr>
      <w:r>
        <w:t xml:space="preserve">Architecture diagram</w:t>
      </w:r>
    </w:p>
    <w:p>
      <w:pPr>
        <w:pStyle w:val="FirstParagraph"/>
      </w:pPr>
      <w:r>
        <w:rPr>
          <w:bCs/>
          <w:b/>
        </w:rPr>
        <w:t xml:space="preserve">Figure 1.4 — ADR lifecycle.</w:t>
      </w:r>
    </w:p>
    <w:p>
      <w:pPr>
        <w:pStyle w:val="BodyText"/>
      </w:pPr>
      <w:r>
        <w:drawing>
          <wp:inline>
            <wp:extent cx="5334000" cy="4525477"/>
            <wp:effectExtent b="0" l="0" r="0" t="0"/>
            <wp:docPr descr="" title="" id="88" name="Picture"/>
            <a:graphic>
              <a:graphicData uri="http://schemas.openxmlformats.org/drawingml/2006/picture">
                <pic:pic>
                  <pic:nvPicPr>
                    <pic:cNvPr descr="/home/user/System-Design/build/.cache/diagrams/a42c548ef9b5.png" id="89" name="Picture"/>
                    <pic:cNvPicPr>
                      <a:picLocks noChangeArrowheads="1" noChangeAspect="1"/>
                    </pic:cNvPicPr>
                  </pic:nvPicPr>
                  <pic:blipFill>
                    <a:blip r:embed="rId87"/>
                    <a:stretch>
                      <a:fillRect/>
                    </a:stretch>
                  </pic:blipFill>
                  <pic:spPr bwMode="auto">
                    <a:xfrm>
                      <a:off x="0" y="0"/>
                      <a:ext cx="5334000" cy="4525477"/>
                    </a:xfrm>
                    <a:prstGeom prst="rect">
                      <a:avLst/>
                    </a:prstGeom>
                    <a:noFill/>
                    <a:ln w="9525">
                      <a:noFill/>
                      <a:headEnd/>
                      <a:tailEnd/>
                    </a:ln>
                  </pic:spPr>
                </pic:pic>
              </a:graphicData>
            </a:graphic>
          </wp:inline>
        </w:drawing>
      </w:r>
    </w:p>
    <w:p>
      <w:pPr>
        <w:pStyle w:val="BodyText"/>
      </w:pPr>
      <w:r>
        <w:rPr>
          <w:bCs/>
          <w:b/>
        </w:rPr>
        <w:t xml:space="preserve">Reading the diagram.</w:t>
      </w:r>
    </w:p>
    <w:p>
      <w:pPr>
        <w:numPr>
          <w:ilvl w:val="0"/>
          <w:numId w:val="1019"/>
        </w:numPr>
        <w:pStyle w:val="Compact"/>
      </w:pPr>
      <w:r>
        <w:rPr>
          <w:bCs/>
          <w:b/>
        </w:rPr>
        <w:t xml:space="preserve">Components (states).</w:t>
      </w:r>
      <w:r>
        <w:t xml:space="preserve"> </w:t>
      </w:r>
      <w:r>
        <w:t xml:space="preserve">Each box is the</w:t>
      </w:r>
      <w:r>
        <w:t xml:space="preserve"> </w:t>
      </w:r>
      <w:r>
        <w:rPr>
          <w:iCs/>
          <w:i/>
        </w:rPr>
        <w:t xml:space="preserve">status</w:t>
      </w:r>
      <w:r>
        <w:t xml:space="preserve"> </w:t>
      </w:r>
      <w:r>
        <w:t xml:space="preserve">field of an ADR. Nygard’s original format lists proposed, accepted, deprecated and superseded;</w:t>
      </w:r>
      <w:r>
        <w:t xml:space="preserve"> </w:t>
      </w:r>
      <w:r>
        <w:rPr>
          <w:iCs/>
          <w:i/>
        </w:rPr>
        <w:t xml:space="preserve">Rejected</w:t>
      </w:r>
      <w:r>
        <w:t xml:space="preserve"> </w:t>
      </w:r>
      <w:r>
        <w:t xml:space="preserve">is a common extension that preserves the record of options the team declined.</w:t>
      </w:r>
    </w:p>
    <w:p>
      <w:pPr>
        <w:numPr>
          <w:ilvl w:val="0"/>
          <w:numId w:val="1019"/>
        </w:numPr>
        <w:pStyle w:val="Compact"/>
      </w:pPr>
      <w:r>
        <w:rPr>
          <w:bCs/>
          <w:b/>
        </w:rPr>
        <w:t xml:space="preserve">Transitions.</w:t>
      </w:r>
      <w:r>
        <w:t xml:space="preserve"> </w:t>
      </w:r>
      <w:r>
        <w:t xml:space="preserve">An ADR starts as</w:t>
      </w:r>
      <w:r>
        <w:t xml:space="preserve"> </w:t>
      </w:r>
      <w:r>
        <w:rPr>
          <w:iCs/>
          <w:i/>
        </w:rPr>
        <w:t xml:space="preserve">Proposed</w:t>
      </w:r>
      <w:r>
        <w:t xml:space="preserve"> </w:t>
      </w:r>
      <w:r>
        <w:t xml:space="preserve">and becomes</w:t>
      </w:r>
      <w:r>
        <w:t xml:space="preserve"> </w:t>
      </w:r>
      <w:r>
        <w:rPr>
          <w:iCs/>
          <w:i/>
        </w:rPr>
        <w:t xml:space="preserve">Accepted</w:t>
      </w:r>
      <w:r>
        <w:t xml:space="preserve"> </w:t>
      </w:r>
      <w:r>
        <w:t xml:space="preserve">or</w:t>
      </w:r>
      <w:r>
        <w:t xml:space="preserve"> </w:t>
      </w:r>
      <w:r>
        <w:rPr>
          <w:iCs/>
          <w:i/>
        </w:rPr>
        <w:t xml:space="preserve">Rejected</w:t>
      </w:r>
      <w:r>
        <w:t xml:space="preserve"> </w:t>
      </w:r>
      <w:r>
        <w:t xml:space="preserve">through review. An accepted ADR is never edited to say the opposite; it becomes</w:t>
      </w:r>
      <w:r>
        <w:t xml:space="preserve"> </w:t>
      </w:r>
      <w:r>
        <w:rPr>
          <w:iCs/>
          <w:i/>
        </w:rPr>
        <w:t xml:space="preserve">Deprecated</w:t>
      </w:r>
      <w:r>
        <w:t xml:space="preserve"> </w:t>
      </w:r>
      <w:r>
        <w:t xml:space="preserve">(no longer relevant) or</w:t>
      </w:r>
      <w:r>
        <w:t xml:space="preserve"> </w:t>
      </w:r>
      <w:r>
        <w:rPr>
          <w:iCs/>
          <w:i/>
        </w:rPr>
        <w:t xml:space="preserve">Superseded</w:t>
      </w:r>
      <w:r>
        <w:t xml:space="preserve"> </w:t>
      </w:r>
      <w:r>
        <w:t xml:space="preserve">(with a link to the replacing ADR).</w:t>
      </w:r>
    </w:p>
    <w:p>
      <w:pPr>
        <w:numPr>
          <w:ilvl w:val="0"/>
          <w:numId w:val="1019"/>
        </w:numPr>
        <w:pStyle w:val="Compact"/>
      </w:pPr>
      <w:r>
        <w:rPr>
          <w:bCs/>
          <w:b/>
        </w:rPr>
        <w:t xml:space="preserve">Direction and sync/async.</w:t>
      </w:r>
      <w:r>
        <w:t xml:space="preserve"> </w:t>
      </w:r>
      <w:r>
        <w:t xml:space="preserve">This is a state machine, not a data flow; all transitions are human decisions, made asynchronously over days.</w:t>
      </w:r>
    </w:p>
    <w:p>
      <w:pPr>
        <w:numPr>
          <w:ilvl w:val="0"/>
          <w:numId w:val="1019"/>
        </w:numPr>
        <w:pStyle w:val="Compact"/>
      </w:pPr>
      <w:r>
        <w:rPr>
          <w:bCs/>
          <w:b/>
        </w:rPr>
        <w:t xml:space="preserve">Storage boundaries.</w:t>
      </w:r>
      <w:r>
        <w:t xml:space="preserve"> </w:t>
      </w:r>
      <w:r>
        <w:t xml:space="preserve">ADRs typically live as Markdown files in the same repository as the code they govern, so they are versioned and reviewed like code.</w:t>
      </w:r>
    </w:p>
    <w:p>
      <w:pPr>
        <w:numPr>
          <w:ilvl w:val="0"/>
          <w:numId w:val="1019"/>
        </w:numPr>
        <w:pStyle w:val="Compact"/>
      </w:pPr>
      <w:r>
        <w:rPr>
          <w:bCs/>
          <w:b/>
        </w:rPr>
        <w:t xml:space="preserve">Failure points.</w:t>
      </w:r>
      <w:r>
        <w:t xml:space="preserve"> </w:t>
      </w:r>
      <w:r>
        <w:t xml:space="preserve">The common failure is an ADR stuck in</w:t>
      </w:r>
      <w:r>
        <w:t xml:space="preserve"> </w:t>
      </w:r>
      <w:r>
        <w:rPr>
          <w:iCs/>
          <w:i/>
        </w:rPr>
        <w:t xml:space="preserve">Proposed</w:t>
      </w:r>
      <w:r>
        <w:t xml:space="preserve"> </w:t>
      </w:r>
      <w:r>
        <w:t xml:space="preserve">forever, or an accepted ADR silently contradicted by code. Design reviews (§1.10) check for both.</w:t>
      </w:r>
    </w:p>
    <w:p>
      <w:pPr>
        <w:numPr>
          <w:ilvl w:val="0"/>
          <w:numId w:val="1019"/>
        </w:numPr>
        <w:pStyle w:val="Compact"/>
      </w:pPr>
      <w:r>
        <w:rPr>
          <w:bCs/>
          <w:b/>
        </w:rPr>
        <w:t xml:space="preserve">Scaling options.</w:t>
      </w:r>
      <w:r>
        <w:t xml:space="preserve"> </w:t>
      </w:r>
      <w:r>
        <w:t xml:space="preserve">At organization scale, teams keep per-repository ADR logs plus a shared log for cross-cutting decisions.</w:t>
      </w:r>
    </w:p>
    <w:bookmarkEnd w:id="90"/>
    <w:bookmarkStart w:id="91" w:name="mathematical-foundations-2"/>
    <w:p>
      <w:pPr>
        <w:pStyle w:val="Heading4"/>
      </w:pPr>
      <w:r>
        <w:t xml:space="preserve">Mathematical foundations</w:t>
      </w:r>
    </w:p>
    <w:p>
      <w:pPr>
        <w:pStyle w:val="FirstParagraph"/>
      </w:pPr>
      <w:r>
        <w:t xml:space="preserve">When several criteria matter, a</w:t>
      </w:r>
      <w:r>
        <w:t xml:space="preserve"> </w:t>
      </w:r>
      <w:r>
        <w:rPr>
          <w:bCs/>
          <w:b/>
        </w:rPr>
        <w:t xml:space="preserve">weighted decision matrix</w:t>
      </w:r>
      <w:r>
        <w:t xml:space="preserve"> </w:t>
      </w:r>
      <w:r>
        <w:t xml:space="preserve">makes the trade-off explicit and arguable.</w:t>
      </w:r>
    </w:p>
    <w:p>
      <w:pPr>
        <w:pStyle w:val="CalloutFormula"/>
      </w:pPr>
      <w:r>
        <w:rPr>
          <w:bCs/>
          <w:b/>
        </w:rPr>
        <w:t xml:space="preserve">FORMULA</w:t>
      </w:r>
    </w:p>
    <w:p>
      <w:pPr>
        <w:pStyle w:val="CalloutFormula"/>
      </w:pPr>
      <w:r>
        <w:rPr>
          <w:bCs/>
          <w:b/>
        </w:rPr>
        <w:t xml:space="preserve">Weighted decision score</w:t>
      </w:r>
    </w:p>
    <w:p>
      <w:pPr>
        <w:pStyle w:val="CalloutFormula"/>
      </w:pPr>
      <m:oMathPara>
        <m:oMathParaPr>
          <m:jc m:val="center"/>
        </m:oMathParaPr>
        <m:oMath>
          <m:sSub>
            <m:e>
              <m:r>
                <m:t>S</m:t>
              </m:r>
            </m:e>
            <m:sub>
              <m:r>
                <m:t>j</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sSub>
            <m:e>
              <m:r>
                <m:t>s</m:t>
              </m:r>
            </m:e>
            <m:sub>
              <m:r>
                <m:t>i</m:t>
              </m:r>
              <m:r>
                <m:t>j</m:t>
              </m:r>
            </m:sub>
          </m:sSub>
          <m:r>
            <m:rPr>
              <m:sty m:val="p"/>
            </m:rPr>
            <m:t>,</m:t>
          </m:r>
          <m:r>
            <m:t>  </m:t>
          </m:r>
          <m:nary>
            <m:naryPr>
              <m:chr m:val="∑"/>
              <m:limLoc m:val="undOvr"/>
              <m:subHide m:val="off"/>
              <m:supHide m:val="off"/>
            </m:naryPr>
            <m:sub>
              <m:r>
                <m:t>i</m:t>
              </m:r>
              <m:r>
                <m:rPr>
                  <m:sty m:val="p"/>
                </m:rPr>
                <m:t>=</m:t>
              </m:r>
              <m:r>
                <m:t>1</m:t>
              </m:r>
            </m:sub>
            <m:sup>
              <m:r>
                <m:t>m</m:t>
              </m:r>
            </m:sup>
            <m:e>
              <m:sSub>
                <m:e>
                  <m:r>
                    <m:t>w</m:t>
                  </m:r>
                </m:e>
                <m:sub>
                  <m:r>
                    <m:t>i</m:t>
                  </m:r>
                </m:sub>
              </m:sSub>
            </m:e>
          </m:nary>
          <m:r>
            <m:rPr>
              <m:sty m:val="p"/>
            </m:rPr>
            <m:t>=</m:t>
          </m:r>
          <m:r>
            <m:t>1</m:t>
          </m:r>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S</m:t>
                  </m:r>
                </m:e>
                <m:sub>
                  <m:r>
                    <m:t>j</m:t>
                  </m:r>
                </m:sub>
              </m:sSub>
            </m:oMath>
          </w:p>
        </w:tc>
        <w:tc>
          <w:tcPr/>
          <w:p>
            <w:pPr>
              <w:pStyle w:val="Compact"/>
              <w:jc w:val="left"/>
            </w:pPr>
            <w:r>
              <w:t xml:space="preserve">Total score of option</w:t>
            </w:r>
            <w:r>
              <w:t xml:space="preserve"> </w:t>
            </w:r>
            <m:oMath>
              <m:r>
                <m:t>j</m:t>
              </m:r>
            </m:oMath>
          </w:p>
        </w:tc>
        <w:tc>
          <w:tcPr/>
          <w:p>
            <w:pPr>
              <w:pStyle w:val="Compact"/>
              <w:jc w:val="left"/>
            </w:pPr>
            <w:r>
              <w:t xml:space="preserve">points (same scale as</w:t>
            </w:r>
            <w:r>
              <w:t xml:space="preserve"> </w:t>
            </w:r>
            <m:oMath>
              <m:sSub>
                <m:e>
                  <m:r>
                    <m:t>s</m:t>
                  </m:r>
                </m:e>
                <m:sub>
                  <m:r>
                    <m:t>i</m:t>
                  </m:r>
                  <m:r>
                    <m:t>j</m:t>
                  </m:r>
                </m:sub>
              </m:sSub>
            </m:oMath>
            <w:r>
              <w:t xml:space="preserve">)</w:t>
            </w:r>
          </w:p>
        </w:tc>
      </w:tr>
      <w:tr>
        <w:tc>
          <w:tcPr/>
          <w:p>
            <w:pPr>
              <w:pStyle w:val="Compact"/>
              <w:jc w:val="left"/>
            </w:pPr>
            <m:oMath>
              <m:sSub>
                <m:e>
                  <m:r>
                    <m:t>w</m:t>
                  </m:r>
                </m:e>
                <m:sub>
                  <m:r>
                    <m:t>i</m:t>
                  </m:r>
                </m:sub>
              </m:sSub>
            </m:oMath>
          </w:p>
        </w:tc>
        <w:tc>
          <w:tcPr/>
          <w:p>
            <w:pPr>
              <w:pStyle w:val="Compact"/>
              <w:jc w:val="left"/>
            </w:pPr>
            <w:r>
              <w:t xml:space="preserve">Weight of criterion</w:t>
            </w:r>
            <w:r>
              <w:t xml:space="preserve"> </w:t>
            </w:r>
            <m:oMath>
              <m:r>
                <m:t>i</m:t>
              </m:r>
            </m:oMath>
            <w:r>
              <w:t xml:space="preserve"> </w:t>
            </w:r>
            <w:r>
              <w:t xml:space="preserve">(importance; sums to 1)</w:t>
            </w:r>
          </w:p>
        </w:tc>
        <w:tc>
          <w:tcPr/>
          <w:p>
            <w:pPr>
              <w:pStyle w:val="Compact"/>
              <w:jc w:val="left"/>
            </w:pPr>
            <w:r>
              <w:t xml:space="preserve">—</w:t>
            </w:r>
          </w:p>
        </w:tc>
      </w:tr>
      <w:tr>
        <w:tc>
          <w:tcPr/>
          <w:p>
            <w:pPr>
              <w:pStyle w:val="Compact"/>
              <w:jc w:val="left"/>
            </w:pPr>
            <m:oMath>
              <m:sSub>
                <m:e>
                  <m:r>
                    <m:t>s</m:t>
                  </m:r>
                </m:e>
                <m:sub>
                  <m:r>
                    <m:t>i</m:t>
                  </m:r>
                  <m:r>
                    <m:t>j</m:t>
                  </m:r>
                </m:sub>
              </m:sSub>
            </m:oMath>
          </w:p>
        </w:tc>
        <w:tc>
          <w:tcPr/>
          <w:p>
            <w:pPr>
              <w:pStyle w:val="Compact"/>
              <w:jc w:val="left"/>
            </w:pPr>
            <w:r>
              <w:t xml:space="preserve">Score of option</w:t>
            </w:r>
            <w:r>
              <w:t xml:space="preserve"> </w:t>
            </w:r>
            <m:oMath>
              <m:r>
                <m:t>j</m:t>
              </m:r>
            </m:oMath>
            <w:r>
              <w:t xml:space="preserve"> </w:t>
            </w:r>
            <w:r>
              <w:t xml:space="preserve">on criterion</w:t>
            </w:r>
            <w:r>
              <w:t xml:space="preserve"> </w:t>
            </w:r>
            <m:oMath>
              <m:r>
                <m:t>i</m:t>
              </m:r>
            </m:oMath>
            <w:r>
              <w:t xml:space="preserve"> </w:t>
            </w:r>
            <w:r>
              <w:t xml:space="preserve">(here 1 = poor, 5 = excellent)</w:t>
            </w:r>
          </w:p>
        </w:tc>
        <w:tc>
          <w:tcPr/>
          <w:p>
            <w:pPr>
              <w:pStyle w:val="Compact"/>
              <w:jc w:val="left"/>
            </w:pPr>
            <w:r>
              <w:t xml:space="preserve">points</w:t>
            </w:r>
          </w:p>
        </w:tc>
      </w:tr>
      <w:tr>
        <w:tc>
          <w:tcPr/>
          <w:p>
            <w:pPr>
              <w:pStyle w:val="Compact"/>
              <w:jc w:val="left"/>
            </w:pPr>
            <m:oMath>
              <m:r>
                <m:t>m</m:t>
              </m:r>
            </m:oMath>
          </w:p>
        </w:tc>
        <w:tc>
          <w:tcPr/>
          <w:p>
            <w:pPr>
              <w:pStyle w:val="Compact"/>
              <w:jc w:val="left"/>
            </w:pPr>
            <w:r>
              <w:t xml:space="preserve">Number of criteria</w:t>
            </w:r>
          </w:p>
        </w:tc>
        <w:tc>
          <w:tcPr/>
          <w:p>
            <w:pPr>
              <w:pStyle w:val="Compact"/>
              <w:jc w:val="left"/>
            </w:pPr>
            <w:r>
              <w:t xml:space="preserve">count</w:t>
            </w:r>
          </w:p>
        </w:tc>
      </w:tr>
    </w:tbl>
    <w:p>
      <w:pPr>
        <w:pStyle w:val="CalloutExample"/>
      </w:pPr>
      <w:r>
        <w:rPr>
          <w:bCs/>
          <w:b/>
        </w:rPr>
        <w:t xml:space="preserve">WORKED EXAMPLE</w:t>
      </w:r>
    </w:p>
    <w:p>
      <w:pPr>
        <w:pStyle w:val="CalloutExample"/>
      </w:pPr>
      <w:r>
        <w:rPr>
          <w:bCs/>
          <w:b/>
        </w:rPr>
        <w:t xml:space="preserve">Worked example — Where should PhotoShare store photo files?</w:t>
      </w:r>
    </w:p>
    <w:p>
      <w:pPr>
        <w:pStyle w:val="CalloutExample"/>
      </w:pPr>
      <w:r>
        <w:t xml:space="preserve">Options: (A) keep files on each application server’s local disk; (B) a shared network file server (NFS); (C) managed object storage.</w:t>
      </w:r>
    </w:p>
    <w:p>
      <w:pPr>
        <w:pStyle w:val="CalloutExample"/>
      </w:pPr>
      <w:r>
        <w:rPr>
          <w:bCs/>
          <w:b/>
        </w:rPr>
        <w:t xml:space="preserve">Table 1.12 — Decision matrix for photo storage.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Criterion</w:t>
            </w:r>
          </w:p>
        </w:tc>
        <w:tc>
          <w:tcPr/>
          <w:p>
            <w:pPr>
              <w:pStyle w:val="Compact"/>
              <w:jc w:val="left"/>
            </w:pPr>
            <w:r>
              <w:t xml:space="preserve">Weight</w:t>
            </w:r>
          </w:p>
        </w:tc>
        <w:tc>
          <w:tcPr/>
          <w:p>
            <w:pPr>
              <w:pStyle w:val="Compact"/>
              <w:jc w:val="left"/>
            </w:pPr>
            <w:r>
              <w:t xml:space="preserve">A: Local disk</w:t>
            </w:r>
          </w:p>
        </w:tc>
        <w:tc>
          <w:tcPr/>
          <w:p>
            <w:pPr>
              <w:pStyle w:val="Compact"/>
              <w:jc w:val="left"/>
            </w:pPr>
            <w:r>
              <w:t xml:space="preserve">B: NFS server</w:t>
            </w:r>
          </w:p>
        </w:tc>
        <w:tc>
          <w:tcPr/>
          <w:p>
            <w:pPr>
              <w:pStyle w:val="Compact"/>
              <w:jc w:val="left"/>
            </w:pPr>
            <w:r>
              <w:t xml:space="preserve">C: Object storage</w:t>
            </w:r>
          </w:p>
        </w:tc>
      </w:tr>
      <w:tr>
        <w:tc>
          <w:tcPr/>
          <w:p>
            <w:pPr>
              <w:pStyle w:val="Compact"/>
              <w:jc w:val="left"/>
            </w:pPr>
            <w:r>
              <w:t xml:space="preserve">Durability</w:t>
            </w:r>
          </w:p>
        </w:tc>
        <w:tc>
          <w:tcPr/>
          <w:p>
            <w:pPr>
              <w:pStyle w:val="Compact"/>
              <w:jc w:val="left"/>
            </w:pPr>
            <w:r>
              <w:t xml:space="preserve">0.30</w:t>
            </w:r>
          </w:p>
        </w:tc>
        <w:tc>
          <w:tcPr/>
          <w:p>
            <w:pPr>
              <w:pStyle w:val="Compact"/>
              <w:jc w:val="left"/>
            </w:pPr>
            <w:r>
              <w:t xml:space="preserve">1</w:t>
            </w:r>
          </w:p>
        </w:tc>
        <w:tc>
          <w:tcPr/>
          <w:p>
            <w:pPr>
              <w:pStyle w:val="Compact"/>
              <w:jc w:val="left"/>
            </w:pPr>
            <w:r>
              <w:t xml:space="preserve">3</w:t>
            </w:r>
          </w:p>
        </w:tc>
        <w:tc>
          <w:tcPr/>
          <w:p>
            <w:pPr>
              <w:pStyle w:val="Compact"/>
              <w:jc w:val="left"/>
            </w:pPr>
            <w:r>
              <w:t xml:space="preserve">5</w:t>
            </w:r>
          </w:p>
        </w:tc>
      </w:tr>
      <w:tr>
        <w:tc>
          <w:tcPr/>
          <w:p>
            <w:pPr>
              <w:pStyle w:val="Compact"/>
              <w:jc w:val="left"/>
            </w:pPr>
            <w:r>
              <w:t xml:space="preserve">Scalability</w:t>
            </w:r>
          </w:p>
        </w:tc>
        <w:tc>
          <w:tcPr/>
          <w:p>
            <w:pPr>
              <w:pStyle w:val="Compact"/>
              <w:jc w:val="left"/>
            </w:pPr>
            <w:r>
              <w:t xml:space="preserve">0.25</w:t>
            </w:r>
          </w:p>
        </w:tc>
        <w:tc>
          <w:tcPr/>
          <w:p>
            <w:pPr>
              <w:pStyle w:val="Compact"/>
              <w:jc w:val="left"/>
            </w:pPr>
            <w:r>
              <w:t xml:space="preserve">1</w:t>
            </w:r>
          </w:p>
        </w:tc>
        <w:tc>
          <w:tcPr/>
          <w:p>
            <w:pPr>
              <w:pStyle w:val="Compact"/>
              <w:jc w:val="left"/>
            </w:pPr>
            <w:r>
              <w:t xml:space="preserve">2</w:t>
            </w:r>
          </w:p>
        </w:tc>
        <w:tc>
          <w:tcPr/>
          <w:p>
            <w:pPr>
              <w:pStyle w:val="Compact"/>
              <w:jc w:val="left"/>
            </w:pPr>
            <w:r>
              <w:t xml:space="preserve">5</w:t>
            </w:r>
          </w:p>
        </w:tc>
      </w:tr>
      <w:tr>
        <w:tc>
          <w:tcPr/>
          <w:p>
            <w:pPr>
              <w:pStyle w:val="Compact"/>
              <w:jc w:val="left"/>
            </w:pPr>
            <w:r>
              <w:t xml:space="preserve">Operability</w:t>
            </w:r>
          </w:p>
        </w:tc>
        <w:tc>
          <w:tcPr/>
          <w:p>
            <w:pPr>
              <w:pStyle w:val="Compact"/>
              <w:jc w:val="left"/>
            </w:pPr>
            <w:r>
              <w:t xml:space="preserve">0.20</w:t>
            </w:r>
          </w:p>
        </w:tc>
        <w:tc>
          <w:tcPr/>
          <w:p>
            <w:pPr>
              <w:pStyle w:val="Compact"/>
              <w:jc w:val="left"/>
            </w:pPr>
            <w:r>
              <w:t xml:space="preserve">3</w:t>
            </w:r>
          </w:p>
        </w:tc>
        <w:tc>
          <w:tcPr/>
          <w:p>
            <w:pPr>
              <w:pStyle w:val="Compact"/>
              <w:jc w:val="left"/>
            </w:pPr>
            <w:r>
              <w:t xml:space="preserve">2</w:t>
            </w:r>
          </w:p>
        </w:tc>
        <w:tc>
          <w:tcPr/>
          <w:p>
            <w:pPr>
              <w:pStyle w:val="Compact"/>
              <w:jc w:val="left"/>
            </w:pPr>
            <w:r>
              <w:t xml:space="preserve">5</w:t>
            </w:r>
          </w:p>
        </w:tc>
      </w:tr>
      <w:tr>
        <w:tc>
          <w:tcPr/>
          <w:p>
            <w:pPr>
              <w:pStyle w:val="Compact"/>
              <w:jc w:val="left"/>
            </w:pPr>
            <w:r>
              <w:t xml:space="preserve">Cost</w:t>
            </w:r>
          </w:p>
        </w:tc>
        <w:tc>
          <w:tcPr/>
          <w:p>
            <w:pPr>
              <w:pStyle w:val="Compact"/>
              <w:jc w:val="left"/>
            </w:pPr>
            <w:r>
              <w:t xml:space="preserve">0.15</w:t>
            </w:r>
          </w:p>
        </w:tc>
        <w:tc>
          <w:tcPr/>
          <w:p>
            <w:pPr>
              <w:pStyle w:val="Compact"/>
              <w:jc w:val="left"/>
            </w:pPr>
            <w:r>
              <w:t xml:space="preserve">5</w:t>
            </w:r>
          </w:p>
        </w:tc>
        <w:tc>
          <w:tcPr/>
          <w:p>
            <w:pPr>
              <w:pStyle w:val="Compact"/>
              <w:jc w:val="left"/>
            </w:pPr>
            <w:r>
              <w:t xml:space="preserve">3</w:t>
            </w:r>
          </w:p>
        </w:tc>
        <w:tc>
          <w:tcPr/>
          <w:p>
            <w:pPr>
              <w:pStyle w:val="Compact"/>
              <w:jc w:val="left"/>
            </w:pPr>
            <w:r>
              <w:t xml:space="preserve">3</w:t>
            </w:r>
          </w:p>
        </w:tc>
      </w:tr>
      <w:tr>
        <w:tc>
          <w:tcPr/>
          <w:p>
            <w:pPr>
              <w:pStyle w:val="Compact"/>
              <w:jc w:val="left"/>
            </w:pPr>
            <w:r>
              <w:t xml:space="preserve">Latency</w:t>
            </w:r>
          </w:p>
        </w:tc>
        <w:tc>
          <w:tcPr/>
          <w:p>
            <w:pPr>
              <w:pStyle w:val="Compact"/>
              <w:jc w:val="left"/>
            </w:pPr>
            <w:r>
              <w:t xml:space="preserve">0.10</w:t>
            </w:r>
          </w:p>
        </w:tc>
        <w:tc>
          <w:tcPr/>
          <w:p>
            <w:pPr>
              <w:pStyle w:val="Compact"/>
              <w:jc w:val="left"/>
            </w:pPr>
            <w:r>
              <w:t xml:space="preserve">5</w:t>
            </w:r>
          </w:p>
        </w:tc>
        <w:tc>
          <w:tcPr/>
          <w:p>
            <w:pPr>
              <w:pStyle w:val="Compact"/>
              <w:jc w:val="left"/>
            </w:pPr>
            <w:r>
              <w:t xml:space="preserve">4</w:t>
            </w:r>
          </w:p>
        </w:tc>
        <w:tc>
          <w:tcPr/>
          <w:p>
            <w:pPr>
              <w:pStyle w:val="Compact"/>
              <w:jc w:val="left"/>
            </w:pPr>
            <w:r>
              <w:t xml:space="preserve">3</w:t>
            </w:r>
          </w:p>
        </w:tc>
      </w:tr>
    </w:tbl>
    <w:p>
      <w:pPr>
        <w:numPr>
          <w:ilvl w:val="0"/>
          <w:numId w:val="1020"/>
        </w:numPr>
        <w:pStyle w:val="Compact"/>
      </w:pPr>
      <m:oMath>
        <m:sSub>
          <m:e>
            <m:r>
              <m:t>S</m:t>
            </m:r>
          </m:e>
          <m:sub>
            <m:r>
              <m:t>A</m:t>
            </m:r>
          </m:sub>
        </m:sSub>
        <m:r>
          <m:rPr>
            <m:sty m:val="p"/>
          </m:rPr>
          <m:t>=</m:t>
        </m:r>
        <m:r>
          <m:t>0.30</m:t>
        </m:r>
        <m:d>
          <m:dPr>
            <m:begChr m:val="("/>
            <m:endChr m:val=")"/>
            <m:sepChr m:val=""/>
            <m:grow/>
          </m:dPr>
          <m:e>
            <m:r>
              <m:t>1</m:t>
            </m:r>
          </m:e>
        </m:d>
        <m:r>
          <m:rPr>
            <m:sty m:val="p"/>
          </m:rPr>
          <m:t>+</m:t>
        </m:r>
        <m:r>
          <m:t>0.25</m:t>
        </m:r>
        <m:d>
          <m:dPr>
            <m:begChr m:val="("/>
            <m:endChr m:val=")"/>
            <m:sepChr m:val=""/>
            <m:grow/>
          </m:dPr>
          <m:e>
            <m:r>
              <m:t>1</m:t>
            </m:r>
          </m:e>
        </m:d>
        <m:r>
          <m:rPr>
            <m:sty m:val="p"/>
          </m:rPr>
          <m:t>+</m:t>
        </m:r>
        <m:r>
          <m:t>0.20</m:t>
        </m:r>
        <m:d>
          <m:dPr>
            <m:begChr m:val="("/>
            <m:endChr m:val=")"/>
            <m:sepChr m:val=""/>
            <m:grow/>
          </m:dPr>
          <m:e>
            <m:r>
              <m:t>3</m:t>
            </m:r>
          </m:e>
        </m:d>
        <m:r>
          <m:rPr>
            <m:sty m:val="p"/>
          </m:rPr>
          <m:t>+</m:t>
        </m:r>
        <m:r>
          <m:t>0.15</m:t>
        </m:r>
        <m:d>
          <m:dPr>
            <m:begChr m:val="("/>
            <m:endChr m:val=")"/>
            <m:sepChr m:val=""/>
            <m:grow/>
          </m:dPr>
          <m:e>
            <m:r>
              <m:t>5</m:t>
            </m:r>
          </m:e>
        </m:d>
        <m:r>
          <m:rPr>
            <m:sty m:val="p"/>
          </m:rPr>
          <m:t>+</m:t>
        </m:r>
        <m:r>
          <m:t>0.10</m:t>
        </m:r>
        <m:d>
          <m:dPr>
            <m:begChr m:val="("/>
            <m:endChr m:val=")"/>
            <m:sepChr m:val=""/>
            <m:grow/>
          </m:dPr>
          <m:e>
            <m:r>
              <m:t>5</m:t>
            </m:r>
          </m:e>
        </m:d>
        <m:r>
          <m:rPr>
            <m:sty m:val="p"/>
          </m:rPr>
          <m:t>=</m:t>
        </m:r>
        <m:r>
          <m:t>0.30</m:t>
        </m:r>
        <m:r>
          <m:rPr>
            <m:sty m:val="p"/>
          </m:rPr>
          <m:t>+</m:t>
        </m:r>
        <m:r>
          <m:t>0.25</m:t>
        </m:r>
        <m:r>
          <m:rPr>
            <m:sty m:val="p"/>
          </m:rPr>
          <m:t>+</m:t>
        </m:r>
        <m:r>
          <m:t>0.60</m:t>
        </m:r>
        <m:r>
          <m:rPr>
            <m:sty m:val="p"/>
          </m:rPr>
          <m:t>+</m:t>
        </m:r>
        <m:r>
          <m:t>0.75</m:t>
        </m:r>
        <m:r>
          <m:rPr>
            <m:sty m:val="p"/>
          </m:rPr>
          <m:t>+</m:t>
        </m:r>
        <m:r>
          <m:t>0.50</m:t>
        </m:r>
        <m:r>
          <m:rPr>
            <m:sty m:val="p"/>
          </m:rPr>
          <m:t>=</m:t>
        </m:r>
        <m:r>
          <m:t>2.40</m:t>
        </m:r>
      </m:oMath>
      <w:r>
        <w:t xml:space="preserve">.</w:t>
      </w:r>
    </w:p>
    <w:p>
      <w:pPr>
        <w:numPr>
          <w:ilvl w:val="0"/>
          <w:numId w:val="1020"/>
        </w:numPr>
        <w:pStyle w:val="Compact"/>
      </w:pPr>
      <m:oMath>
        <m:sSub>
          <m:e>
            <m:r>
              <m:t>S</m:t>
            </m:r>
          </m:e>
          <m:sub>
            <m:r>
              <m:t>B</m:t>
            </m:r>
          </m:sub>
        </m:sSub>
        <m:r>
          <m:rPr>
            <m:sty m:val="p"/>
          </m:rPr>
          <m:t>=</m:t>
        </m:r>
        <m:r>
          <m:t>0.30</m:t>
        </m:r>
        <m:d>
          <m:dPr>
            <m:begChr m:val="("/>
            <m:endChr m:val=")"/>
            <m:sepChr m:val=""/>
            <m:grow/>
          </m:dPr>
          <m:e>
            <m:r>
              <m:t>3</m:t>
            </m:r>
          </m:e>
        </m:d>
        <m:r>
          <m:rPr>
            <m:sty m:val="p"/>
          </m:rPr>
          <m:t>+</m:t>
        </m:r>
        <m:r>
          <m:t>0.25</m:t>
        </m:r>
        <m:d>
          <m:dPr>
            <m:begChr m:val="("/>
            <m:endChr m:val=")"/>
            <m:sepChr m:val=""/>
            <m:grow/>
          </m:dPr>
          <m:e>
            <m:r>
              <m:t>2</m:t>
            </m:r>
          </m:e>
        </m:d>
        <m:r>
          <m:rPr>
            <m:sty m:val="p"/>
          </m:rPr>
          <m:t>+</m:t>
        </m:r>
        <m:r>
          <m:t>0.20</m:t>
        </m:r>
        <m:d>
          <m:dPr>
            <m:begChr m:val="("/>
            <m:endChr m:val=")"/>
            <m:sepChr m:val=""/>
            <m:grow/>
          </m:dPr>
          <m:e>
            <m:r>
              <m:t>2</m:t>
            </m:r>
          </m:e>
        </m:d>
        <m:r>
          <m:rPr>
            <m:sty m:val="p"/>
          </m:rPr>
          <m:t>+</m:t>
        </m:r>
        <m:r>
          <m:t>0.15</m:t>
        </m:r>
        <m:d>
          <m:dPr>
            <m:begChr m:val="("/>
            <m:endChr m:val=")"/>
            <m:sepChr m:val=""/>
            <m:grow/>
          </m:dPr>
          <m:e>
            <m:r>
              <m:t>3</m:t>
            </m:r>
          </m:e>
        </m:d>
        <m:r>
          <m:rPr>
            <m:sty m:val="p"/>
          </m:rPr>
          <m:t>+</m:t>
        </m:r>
        <m:r>
          <m:t>0.10</m:t>
        </m:r>
        <m:d>
          <m:dPr>
            <m:begChr m:val="("/>
            <m:endChr m:val=")"/>
            <m:sepChr m:val=""/>
            <m:grow/>
          </m:dPr>
          <m:e>
            <m:r>
              <m:t>4</m:t>
            </m:r>
          </m:e>
        </m:d>
        <m:r>
          <m:rPr>
            <m:sty m:val="p"/>
          </m:rPr>
          <m:t>=</m:t>
        </m:r>
        <m:r>
          <m:t>0.90</m:t>
        </m:r>
        <m:r>
          <m:rPr>
            <m:sty m:val="p"/>
          </m:rPr>
          <m:t>+</m:t>
        </m:r>
        <m:r>
          <m:t>0.50</m:t>
        </m:r>
        <m:r>
          <m:rPr>
            <m:sty m:val="p"/>
          </m:rPr>
          <m:t>+</m:t>
        </m:r>
        <m:r>
          <m:t>0.40</m:t>
        </m:r>
        <m:r>
          <m:rPr>
            <m:sty m:val="p"/>
          </m:rPr>
          <m:t>+</m:t>
        </m:r>
        <m:r>
          <m:t>0.45</m:t>
        </m:r>
        <m:r>
          <m:rPr>
            <m:sty m:val="p"/>
          </m:rPr>
          <m:t>+</m:t>
        </m:r>
        <m:r>
          <m:t>0.40</m:t>
        </m:r>
        <m:r>
          <m:rPr>
            <m:sty m:val="p"/>
          </m:rPr>
          <m:t>=</m:t>
        </m:r>
        <m:r>
          <m:t>2.65</m:t>
        </m:r>
      </m:oMath>
      <w:r>
        <w:t xml:space="preserve">.</w:t>
      </w:r>
    </w:p>
    <w:p>
      <w:pPr>
        <w:numPr>
          <w:ilvl w:val="0"/>
          <w:numId w:val="1020"/>
        </w:numPr>
        <w:pStyle w:val="Compact"/>
      </w:pPr>
      <m:oMath>
        <m:sSub>
          <m:e>
            <m:r>
              <m:t>S</m:t>
            </m:r>
          </m:e>
          <m:sub>
            <m:r>
              <m:t>C</m:t>
            </m:r>
          </m:sub>
        </m:sSub>
        <m:r>
          <m:rPr>
            <m:sty m:val="p"/>
          </m:rPr>
          <m:t>=</m:t>
        </m:r>
        <m:r>
          <m:t>0.30</m:t>
        </m:r>
        <m:d>
          <m:dPr>
            <m:begChr m:val="("/>
            <m:endChr m:val=")"/>
            <m:sepChr m:val=""/>
            <m:grow/>
          </m:dPr>
          <m:e>
            <m:r>
              <m:t>5</m:t>
            </m:r>
          </m:e>
        </m:d>
        <m:r>
          <m:rPr>
            <m:sty m:val="p"/>
          </m:rPr>
          <m:t>+</m:t>
        </m:r>
        <m:r>
          <m:t>0.25</m:t>
        </m:r>
        <m:d>
          <m:dPr>
            <m:begChr m:val="("/>
            <m:endChr m:val=")"/>
            <m:sepChr m:val=""/>
            <m:grow/>
          </m:dPr>
          <m:e>
            <m:r>
              <m:t>5</m:t>
            </m:r>
          </m:e>
        </m:d>
        <m:r>
          <m:rPr>
            <m:sty m:val="p"/>
          </m:rPr>
          <m:t>+</m:t>
        </m:r>
        <m:r>
          <m:t>0.20</m:t>
        </m:r>
        <m:d>
          <m:dPr>
            <m:begChr m:val="("/>
            <m:endChr m:val=")"/>
            <m:sepChr m:val=""/>
            <m:grow/>
          </m:dPr>
          <m:e>
            <m:r>
              <m:t>5</m:t>
            </m:r>
          </m:e>
        </m:d>
        <m:r>
          <m:rPr>
            <m:sty m:val="p"/>
          </m:rPr>
          <m:t>+</m:t>
        </m:r>
        <m:r>
          <m:t>0.15</m:t>
        </m:r>
        <m:d>
          <m:dPr>
            <m:begChr m:val="("/>
            <m:endChr m:val=")"/>
            <m:sepChr m:val=""/>
            <m:grow/>
          </m:dPr>
          <m:e>
            <m:r>
              <m:t>3</m:t>
            </m:r>
          </m:e>
        </m:d>
        <m:r>
          <m:rPr>
            <m:sty m:val="p"/>
          </m:rPr>
          <m:t>+</m:t>
        </m:r>
        <m:r>
          <m:t>0.10</m:t>
        </m:r>
        <m:d>
          <m:dPr>
            <m:begChr m:val="("/>
            <m:endChr m:val=")"/>
            <m:sepChr m:val=""/>
            <m:grow/>
          </m:dPr>
          <m:e>
            <m:r>
              <m:t>3</m:t>
            </m:r>
          </m:e>
        </m:d>
        <m:r>
          <m:rPr>
            <m:sty m:val="p"/>
          </m:rPr>
          <m:t>=</m:t>
        </m:r>
        <m:r>
          <m:t>1.50</m:t>
        </m:r>
        <m:r>
          <m:rPr>
            <m:sty m:val="p"/>
          </m:rPr>
          <m:t>+</m:t>
        </m:r>
        <m:r>
          <m:t>1.25</m:t>
        </m:r>
        <m:r>
          <m:rPr>
            <m:sty m:val="p"/>
          </m:rPr>
          <m:t>+</m:t>
        </m:r>
        <m:r>
          <m:t>1.00</m:t>
        </m:r>
        <m:r>
          <m:rPr>
            <m:sty m:val="p"/>
          </m:rPr>
          <m:t>+</m:t>
        </m:r>
        <m:r>
          <m:t>0.45</m:t>
        </m:r>
        <m:r>
          <m:rPr>
            <m:sty m:val="p"/>
          </m:rPr>
          <m:t>+</m:t>
        </m:r>
        <m:r>
          <m:t>0.30</m:t>
        </m:r>
        <m:r>
          <m:rPr>
            <m:sty m:val="p"/>
          </m:rPr>
          <m:t>=</m:t>
        </m:r>
        <m:r>
          <m:t>4.50</m:t>
        </m:r>
      </m:oMath>
      <w:r>
        <w:t xml:space="preserve">.</w:t>
      </w:r>
    </w:p>
    <w:p>
      <w:pPr>
        <w:pStyle w:val="CalloutExample"/>
      </w:pPr>
      <w:r>
        <w:rPr>
          <w:bCs/>
          <w:b/>
        </w:rPr>
        <w:t xml:space="preserve">Interpretation.</w:t>
      </w:r>
      <w:r>
        <w:t xml:space="preserve"> </w:t>
      </w:r>
      <w:r>
        <w:t xml:space="preserve">Object storage wins clearly. A</w:t>
      </w:r>
      <w:r>
        <w:t xml:space="preserve"> </w:t>
      </w:r>
      <w:r>
        <w:rPr>
          <w:iCs/>
          <w:i/>
        </w:rPr>
        <w:t xml:space="preserve">sensitivity check</w:t>
      </w:r>
      <w:r>
        <w:t xml:space="preserve"> </w:t>
      </w:r>
      <w:r>
        <w:t xml:space="preserve">matters more than the totals. Suppose a cost-conscious reviewer doubles cost’s weight to 0.30 and halves durability’s to 0.15:</w:t>
      </w:r>
    </w:p>
    <w:p>
      <w:pPr>
        <w:numPr>
          <w:ilvl w:val="0"/>
          <w:numId w:val="1021"/>
        </w:numPr>
        <w:pStyle w:val="Compact"/>
      </w:pPr>
      <m:oMath>
        <m:sSub>
          <m:e>
            <m:r>
              <m:t>S</m:t>
            </m:r>
          </m:e>
          <m:sub>
            <m:r>
              <m:t>A</m:t>
            </m:r>
          </m:sub>
        </m:sSub>
        <m:r>
          <m:rPr>
            <m:sty m:val="p"/>
          </m:rPr>
          <m:t>=</m:t>
        </m:r>
        <m:r>
          <m:t>0.15</m:t>
        </m:r>
        <m:d>
          <m:dPr>
            <m:begChr m:val="("/>
            <m:endChr m:val=")"/>
            <m:sepChr m:val=""/>
            <m:grow/>
          </m:dPr>
          <m:e>
            <m:r>
              <m:t>1</m:t>
            </m:r>
          </m:e>
        </m:d>
        <m:r>
          <m:rPr>
            <m:sty m:val="p"/>
          </m:rPr>
          <m:t>+</m:t>
        </m:r>
        <m:r>
          <m:t>0.25</m:t>
        </m:r>
        <m:d>
          <m:dPr>
            <m:begChr m:val="("/>
            <m:endChr m:val=")"/>
            <m:sepChr m:val=""/>
            <m:grow/>
          </m:dPr>
          <m:e>
            <m:r>
              <m:t>1</m:t>
            </m:r>
          </m:e>
        </m:d>
        <m:r>
          <m:rPr>
            <m:sty m:val="p"/>
          </m:rPr>
          <m:t>+</m:t>
        </m:r>
        <m:r>
          <m:t>0.20</m:t>
        </m:r>
        <m:d>
          <m:dPr>
            <m:begChr m:val="("/>
            <m:endChr m:val=")"/>
            <m:sepChr m:val=""/>
            <m:grow/>
          </m:dPr>
          <m:e>
            <m:r>
              <m:t>3</m:t>
            </m:r>
          </m:e>
        </m:d>
        <m:r>
          <m:rPr>
            <m:sty m:val="p"/>
          </m:rPr>
          <m:t>+</m:t>
        </m:r>
        <m:r>
          <m:t>0.30</m:t>
        </m:r>
        <m:d>
          <m:dPr>
            <m:begChr m:val="("/>
            <m:endChr m:val=")"/>
            <m:sepChr m:val=""/>
            <m:grow/>
          </m:dPr>
          <m:e>
            <m:r>
              <m:t>5</m:t>
            </m:r>
          </m:e>
        </m:d>
        <m:r>
          <m:rPr>
            <m:sty m:val="p"/>
          </m:rPr>
          <m:t>+</m:t>
        </m:r>
        <m:r>
          <m:t>0.10</m:t>
        </m:r>
        <m:d>
          <m:dPr>
            <m:begChr m:val="("/>
            <m:endChr m:val=")"/>
            <m:sepChr m:val=""/>
            <m:grow/>
          </m:dPr>
          <m:e>
            <m:r>
              <m:t>5</m:t>
            </m:r>
          </m:e>
        </m:d>
        <m:r>
          <m:rPr>
            <m:sty m:val="p"/>
          </m:rPr>
          <m:t>=</m:t>
        </m:r>
        <m:r>
          <m:t>0.15</m:t>
        </m:r>
        <m:r>
          <m:rPr>
            <m:sty m:val="p"/>
          </m:rPr>
          <m:t>+</m:t>
        </m:r>
        <m:r>
          <m:t>0.25</m:t>
        </m:r>
        <m:r>
          <m:rPr>
            <m:sty m:val="p"/>
          </m:rPr>
          <m:t>+</m:t>
        </m:r>
        <m:r>
          <m:t>0.60</m:t>
        </m:r>
        <m:r>
          <m:rPr>
            <m:sty m:val="p"/>
          </m:rPr>
          <m:t>+</m:t>
        </m:r>
        <m:r>
          <m:t>1.50</m:t>
        </m:r>
        <m:r>
          <m:rPr>
            <m:sty m:val="p"/>
          </m:rPr>
          <m:t>+</m:t>
        </m:r>
        <m:r>
          <m:t>0.50</m:t>
        </m:r>
        <m:r>
          <m:rPr>
            <m:sty m:val="p"/>
          </m:rPr>
          <m:t>=</m:t>
        </m:r>
        <m:r>
          <m:t>3.00</m:t>
        </m:r>
      </m:oMath>
      <w:r>
        <w:t xml:space="preserve">.</w:t>
      </w:r>
    </w:p>
    <w:p>
      <w:pPr>
        <w:numPr>
          <w:ilvl w:val="0"/>
          <w:numId w:val="1021"/>
        </w:numPr>
        <w:pStyle w:val="Compact"/>
      </w:pPr>
      <m:oMath>
        <m:sSub>
          <m:e>
            <m:r>
              <m:t>S</m:t>
            </m:r>
          </m:e>
          <m:sub>
            <m:r>
              <m:t>B</m:t>
            </m:r>
          </m:sub>
        </m:sSub>
        <m:r>
          <m:rPr>
            <m:sty m:val="p"/>
          </m:rPr>
          <m:t>=</m:t>
        </m:r>
        <m:r>
          <m:t>0.15</m:t>
        </m:r>
        <m:d>
          <m:dPr>
            <m:begChr m:val="("/>
            <m:endChr m:val=")"/>
            <m:sepChr m:val=""/>
            <m:grow/>
          </m:dPr>
          <m:e>
            <m:r>
              <m:t>3</m:t>
            </m:r>
          </m:e>
        </m:d>
        <m:r>
          <m:rPr>
            <m:sty m:val="p"/>
          </m:rPr>
          <m:t>+</m:t>
        </m:r>
        <m:r>
          <m:t>0.25</m:t>
        </m:r>
        <m:d>
          <m:dPr>
            <m:begChr m:val="("/>
            <m:endChr m:val=")"/>
            <m:sepChr m:val=""/>
            <m:grow/>
          </m:dPr>
          <m:e>
            <m:r>
              <m:t>2</m:t>
            </m:r>
          </m:e>
        </m:d>
        <m:r>
          <m:rPr>
            <m:sty m:val="p"/>
          </m:rPr>
          <m:t>+</m:t>
        </m:r>
        <m:r>
          <m:t>0.20</m:t>
        </m:r>
        <m:d>
          <m:dPr>
            <m:begChr m:val="("/>
            <m:endChr m:val=")"/>
            <m:sepChr m:val=""/>
            <m:grow/>
          </m:dPr>
          <m:e>
            <m:r>
              <m:t>2</m:t>
            </m:r>
          </m:e>
        </m:d>
        <m:r>
          <m:rPr>
            <m:sty m:val="p"/>
          </m:rPr>
          <m:t>+</m:t>
        </m:r>
        <m:r>
          <m:t>0.30</m:t>
        </m:r>
        <m:d>
          <m:dPr>
            <m:begChr m:val="("/>
            <m:endChr m:val=")"/>
            <m:sepChr m:val=""/>
            <m:grow/>
          </m:dPr>
          <m:e>
            <m:r>
              <m:t>3</m:t>
            </m:r>
          </m:e>
        </m:d>
        <m:r>
          <m:rPr>
            <m:sty m:val="p"/>
          </m:rPr>
          <m:t>+</m:t>
        </m:r>
        <m:r>
          <m:t>0.10</m:t>
        </m:r>
        <m:d>
          <m:dPr>
            <m:begChr m:val="("/>
            <m:endChr m:val=")"/>
            <m:sepChr m:val=""/>
            <m:grow/>
          </m:dPr>
          <m:e>
            <m:r>
              <m:t>4</m:t>
            </m:r>
          </m:e>
        </m:d>
        <m:r>
          <m:rPr>
            <m:sty m:val="p"/>
          </m:rPr>
          <m:t>=</m:t>
        </m:r>
        <m:r>
          <m:t>0.45</m:t>
        </m:r>
        <m:r>
          <m:rPr>
            <m:sty m:val="p"/>
          </m:rPr>
          <m:t>+</m:t>
        </m:r>
        <m:r>
          <m:t>0.50</m:t>
        </m:r>
        <m:r>
          <m:rPr>
            <m:sty m:val="p"/>
          </m:rPr>
          <m:t>+</m:t>
        </m:r>
        <m:r>
          <m:t>0.40</m:t>
        </m:r>
        <m:r>
          <m:rPr>
            <m:sty m:val="p"/>
          </m:rPr>
          <m:t>+</m:t>
        </m:r>
        <m:r>
          <m:t>0.90</m:t>
        </m:r>
        <m:r>
          <m:rPr>
            <m:sty m:val="p"/>
          </m:rPr>
          <m:t>+</m:t>
        </m:r>
        <m:r>
          <m:t>0.40</m:t>
        </m:r>
        <m:r>
          <m:rPr>
            <m:sty m:val="p"/>
          </m:rPr>
          <m:t>=</m:t>
        </m:r>
        <m:r>
          <m:t>2.65</m:t>
        </m:r>
      </m:oMath>
      <w:r>
        <w:t xml:space="preserve">.</w:t>
      </w:r>
    </w:p>
    <w:p>
      <w:pPr>
        <w:numPr>
          <w:ilvl w:val="0"/>
          <w:numId w:val="1021"/>
        </w:numPr>
        <w:pStyle w:val="Compact"/>
      </w:pPr>
      <m:oMath>
        <m:sSub>
          <m:e>
            <m:r>
              <m:t>S</m:t>
            </m:r>
          </m:e>
          <m:sub>
            <m:r>
              <m:t>C</m:t>
            </m:r>
          </m:sub>
        </m:sSub>
        <m:r>
          <m:rPr>
            <m:sty m:val="p"/>
          </m:rPr>
          <m:t>=</m:t>
        </m:r>
        <m:r>
          <m:t>0.15</m:t>
        </m:r>
        <m:d>
          <m:dPr>
            <m:begChr m:val="("/>
            <m:endChr m:val=")"/>
            <m:sepChr m:val=""/>
            <m:grow/>
          </m:dPr>
          <m:e>
            <m:r>
              <m:t>5</m:t>
            </m:r>
          </m:e>
        </m:d>
        <m:r>
          <m:rPr>
            <m:sty m:val="p"/>
          </m:rPr>
          <m:t>+</m:t>
        </m:r>
        <m:r>
          <m:t>0.25</m:t>
        </m:r>
        <m:d>
          <m:dPr>
            <m:begChr m:val="("/>
            <m:endChr m:val=")"/>
            <m:sepChr m:val=""/>
            <m:grow/>
          </m:dPr>
          <m:e>
            <m:r>
              <m:t>5</m:t>
            </m:r>
          </m:e>
        </m:d>
        <m:r>
          <m:rPr>
            <m:sty m:val="p"/>
          </m:rPr>
          <m:t>+</m:t>
        </m:r>
        <m:r>
          <m:t>0.20</m:t>
        </m:r>
        <m:d>
          <m:dPr>
            <m:begChr m:val="("/>
            <m:endChr m:val=")"/>
            <m:sepChr m:val=""/>
            <m:grow/>
          </m:dPr>
          <m:e>
            <m:r>
              <m:t>5</m:t>
            </m:r>
          </m:e>
        </m:d>
        <m:r>
          <m:rPr>
            <m:sty m:val="p"/>
          </m:rPr>
          <m:t>+</m:t>
        </m:r>
        <m:r>
          <m:t>0.30</m:t>
        </m:r>
        <m:d>
          <m:dPr>
            <m:begChr m:val="("/>
            <m:endChr m:val=")"/>
            <m:sepChr m:val=""/>
            <m:grow/>
          </m:dPr>
          <m:e>
            <m:r>
              <m:t>3</m:t>
            </m:r>
          </m:e>
        </m:d>
        <m:r>
          <m:rPr>
            <m:sty m:val="p"/>
          </m:rPr>
          <m:t>+</m:t>
        </m:r>
        <m:r>
          <m:t>0.10</m:t>
        </m:r>
        <m:d>
          <m:dPr>
            <m:begChr m:val="("/>
            <m:endChr m:val=")"/>
            <m:sepChr m:val=""/>
            <m:grow/>
          </m:dPr>
          <m:e>
            <m:r>
              <m:t>3</m:t>
            </m:r>
          </m:e>
        </m:d>
        <m:r>
          <m:rPr>
            <m:sty m:val="p"/>
          </m:rPr>
          <m:t>=</m:t>
        </m:r>
        <m:r>
          <m:t>0.75</m:t>
        </m:r>
        <m:r>
          <m:rPr>
            <m:sty m:val="p"/>
          </m:rPr>
          <m:t>+</m:t>
        </m:r>
        <m:r>
          <m:t>1.25</m:t>
        </m:r>
        <m:r>
          <m:rPr>
            <m:sty m:val="p"/>
          </m:rPr>
          <m:t>+</m:t>
        </m:r>
        <m:r>
          <m:t>1.00</m:t>
        </m:r>
        <m:r>
          <m:rPr>
            <m:sty m:val="p"/>
          </m:rPr>
          <m:t>+</m:t>
        </m:r>
        <m:r>
          <m:t>0.90</m:t>
        </m:r>
        <m:r>
          <m:rPr>
            <m:sty m:val="p"/>
          </m:rPr>
          <m:t>+</m:t>
        </m:r>
        <m:r>
          <m:t>0.30</m:t>
        </m:r>
        <m:r>
          <m:rPr>
            <m:sty m:val="p"/>
          </m:rPr>
          <m:t>=</m:t>
        </m:r>
        <m:r>
          <m:t>4.20</m:t>
        </m:r>
      </m:oMath>
      <w:r>
        <w:t xml:space="preserve">.</w:t>
      </w:r>
    </w:p>
    <w:p>
      <w:pPr>
        <w:pStyle w:val="CalloutExample"/>
      </w:pPr>
      <w:r>
        <w:t xml:space="preserve">C still wins by more than a point, so the ranking is robust to this disagreement.</w:t>
      </w:r>
    </w:p>
    <w:p>
      <w:pPr>
        <w:pStyle w:val="CalloutExample"/>
      </w:pPr>
      <w:r>
        <w:rPr>
          <w:bCs/>
          <w:b/>
        </w:rPr>
        <w:t xml:space="preserve">Engineering implication.</w:t>
      </w:r>
      <w:r>
        <w:t xml:space="preserve"> </w:t>
      </w:r>
      <w:r>
        <w:t xml:space="preserve">The matrix does not make the decision; it exposes</w:t>
      </w:r>
      <w:r>
        <w:t xml:space="preserve"> </w:t>
      </w:r>
      <w:r>
        <w:rPr>
          <w:iCs/>
          <w:i/>
        </w:rPr>
        <w:t xml:space="preserve">which weights</w:t>
      </w:r>
      <w:r>
        <w:t xml:space="preserve"> </w:t>
      </w:r>
      <w:r>
        <w:t xml:space="preserve">would have to change for the decision to flip, so that reviewers argue about priorities rather than conclusions. Scores of 1–5 are judgments; where a number can be measured (latency, cost per TB), measure it.</w:t>
      </w:r>
    </w:p>
    <w:bookmarkEnd w:id="91"/>
    <w:bookmarkStart w:id="92" w:name="code-example-2"/>
    <w:p>
      <w:pPr>
        <w:pStyle w:val="Heading4"/>
      </w:pPr>
      <w:r>
        <w:t xml:space="preserve">Code example</w:t>
      </w:r>
    </w:p>
    <w:p>
      <w:pPr>
        <w:pStyle w:val="FirstParagraph"/>
      </w:pPr>
      <w:r>
        <w:t xml:space="preserve">Here is the ADR that records the decision. ADRs are plain Markdown; the block below uses the</w:t>
      </w:r>
      <w:r>
        <w:t xml:space="preserve"> </w:t>
      </w:r>
      <w:r>
        <w:rPr>
          <w:rStyle w:val="VerbatimChar"/>
        </w:rPr>
        <w:t xml:space="preserve">text</w:t>
      </w:r>
      <w:r>
        <w:t xml:space="preserve"> </w:t>
      </w:r>
      <w:r>
        <w:t xml:space="preserve">tag so its content is shown verbatim.</w:t>
      </w:r>
    </w:p>
    <w:p>
      <w:pPr>
        <w:pStyle w:val="SourceCode"/>
      </w:pPr>
      <w:r>
        <w:rPr>
          <w:rStyle w:val="VerbatimChar"/>
        </w:rPr>
        <w:t xml:space="preserve"># ADR-0003: Store photo binaries in managed object storage</w:t>
      </w:r>
      <w:r>
        <w:br/>
      </w:r>
      <w:r>
        <w:br/>
      </w:r>
      <w:r>
        <w:rPr>
          <w:rStyle w:val="VerbatimChar"/>
        </w:rPr>
        <w:t xml:space="preserve">Status: Accepted (2026-03-14). Supersedes ADR-0001 "Store photos on local disk".</w:t>
      </w:r>
      <w:r>
        <w:br/>
      </w:r>
      <w:r>
        <w:rPr>
          <w:rStyle w:val="VerbatimChar"/>
        </w:rPr>
        <w:t xml:space="preserve">Deciders: PhotoShare backend team. Reviewed in design review DR-12.</w:t>
      </w:r>
      <w:r>
        <w:br/>
      </w:r>
      <w:r>
        <w:br/>
      </w:r>
      <w:r>
        <w:rPr>
          <w:rStyle w:val="VerbatimChar"/>
        </w:rPr>
        <w:t xml:space="preserve">## Context</w:t>
      </w:r>
      <w:r>
        <w:br/>
      </w:r>
      <w:r>
        <w:rPr>
          <w:rStyle w:val="VerbatimChar"/>
        </w:rPr>
        <w:t xml:space="preserve">- v0 stores photo files on the single VM's local disk (ADR-0001).</w:t>
      </w:r>
      <w:r>
        <w:br/>
      </w:r>
      <w:r>
        <w:rPr>
          <w:rStyle w:val="VerbatimChar"/>
        </w:rPr>
        <w:t xml:space="preserve">- The disk is 80% full; uploads add ~50 GB/day at 100,000 DAU (§1.9 estimate).</w:t>
      </w:r>
      <w:r>
        <w:br/>
      </w:r>
      <w:r>
        <w:rPr>
          <w:rStyle w:val="VerbatimChar"/>
        </w:rPr>
        <w:t xml:space="preserve">- v1 must meet 99.9% monthly availability, which requires at least two</w:t>
      </w:r>
      <w:r>
        <w:br/>
      </w:r>
      <w:r>
        <w:rPr>
          <w:rStyle w:val="VerbatimChar"/>
        </w:rPr>
        <w:t xml:space="preserve">  stateless application servers behind a load balancer. Files on one</w:t>
      </w:r>
      <w:r>
        <w:br/>
      </w:r>
      <w:r>
        <w:rPr>
          <w:rStyle w:val="VerbatimChar"/>
        </w:rPr>
        <w:t xml:space="preserve">  server's local disk are invisible to the other servers.</w:t>
      </w:r>
      <w:r>
        <w:br/>
      </w:r>
      <w:r>
        <w:rPr>
          <w:rStyle w:val="VerbatimChar"/>
        </w:rPr>
        <w:t xml:space="preserve">- There is no off-machine copy of photos; a disk failure loses all photos.</w:t>
      </w:r>
      <w:r>
        <w:br/>
      </w:r>
      <w:r>
        <w:br/>
      </w:r>
      <w:r>
        <w:rPr>
          <w:rStyle w:val="VerbatimChar"/>
        </w:rPr>
        <w:t xml:space="preserve">## Decision</w:t>
      </w:r>
      <w:r>
        <w:br/>
      </w:r>
      <w:r>
        <w:rPr>
          <w:rStyle w:val="VerbatimChar"/>
        </w:rPr>
        <w:t xml:space="preserve">Store every original and thumbnail in managed object storage under the key</w:t>
      </w:r>
      <w:r>
        <w:br/>
      </w:r>
      <w:r>
        <w:rPr>
          <w:rStyle w:val="VerbatimChar"/>
        </w:rPr>
        <w:t xml:space="preserve">photos/{photoId}/{variant}. Application servers keep no photo files locally.</w:t>
      </w:r>
      <w:r>
        <w:br/>
      </w:r>
      <w:r>
        <w:rPr>
          <w:rStyle w:val="VerbatimChar"/>
        </w:rPr>
        <w:t xml:space="preserve">Clients download images through the CDN, never directly from app servers.</w:t>
      </w:r>
      <w:r>
        <w:br/>
      </w:r>
      <w:r>
        <w:br/>
      </w:r>
      <w:r>
        <w:rPr>
          <w:rStyle w:val="VerbatimChar"/>
        </w:rPr>
        <w:t xml:space="preserve">## Options considered</w:t>
      </w:r>
      <w:r>
        <w:br/>
      </w:r>
      <w:r>
        <w:rPr>
          <w:rStyle w:val="VerbatimChar"/>
        </w:rPr>
        <w:t xml:space="preserve">A. Local disk per server - rejected: blocks horizontal scaling; no durability.</w:t>
      </w:r>
      <w:r>
        <w:br/>
      </w:r>
      <w:r>
        <w:rPr>
          <w:rStyle w:val="VerbatimChar"/>
        </w:rPr>
        <w:t xml:space="preserve">B. Shared NFS server - rejected: new single point of failure; we would</w:t>
      </w:r>
      <w:r>
        <w:br/>
      </w:r>
      <w:r>
        <w:rPr>
          <w:rStyle w:val="VerbatimChar"/>
        </w:rPr>
        <w:t xml:space="preserve">   operate replication and backups ourselves.</w:t>
      </w:r>
      <w:r>
        <w:br/>
      </w:r>
      <w:r>
        <w:rPr>
          <w:rStyle w:val="VerbatimChar"/>
        </w:rPr>
        <w:t xml:space="preserve">C. Managed object storage - chosen (decision matrix score 4.50 vs 2.65, 2.40).</w:t>
      </w:r>
      <w:r>
        <w:br/>
      </w:r>
      <w:r>
        <w:br/>
      </w:r>
      <w:r>
        <w:rPr>
          <w:rStyle w:val="VerbatimChar"/>
        </w:rPr>
        <w:t xml:space="preserve">## Consequences</w:t>
      </w:r>
      <w:r>
        <w:br/>
      </w:r>
      <w:r>
        <w:rPr>
          <w:rStyle w:val="VerbatimChar"/>
        </w:rPr>
        <w:t xml:space="preserve">+ Application servers become stateless and can be added or replaced freely.</w:t>
      </w:r>
      <w:r>
        <w:br/>
      </w:r>
      <w:r>
        <w:rPr>
          <w:rStyle w:val="VerbatimChar"/>
        </w:rPr>
        <w:t xml:space="preserve">+ Durability and capacity are the provider's responsibility.</w:t>
      </w:r>
      <w:r>
        <w:br/>
      </w:r>
      <w:r>
        <w:rPr>
          <w:rStyle w:val="VerbatimChar"/>
        </w:rPr>
        <w:t xml:space="preserve">- Upload path gains a network hop (~tens of ms to the object store).</w:t>
      </w:r>
      <w:r>
        <w:br/>
      </w:r>
      <w:r>
        <w:rPr>
          <w:rStyle w:val="VerbatimChar"/>
        </w:rPr>
        <w:t xml:space="preserve">- Storage cost becomes a per-GB monthly bill that grows with users; add a</w:t>
      </w:r>
      <w:r>
        <w:br/>
      </w:r>
      <w:r>
        <w:rPr>
          <w:rStyle w:val="VerbatimChar"/>
        </w:rPr>
        <w:t xml:space="preserve">  lifecycle policy to move old originals to a colder tier (see Ch 15).</w:t>
      </w:r>
      <w:r>
        <w:br/>
      </w:r>
      <w:r>
        <w:rPr>
          <w:rStyle w:val="VerbatimChar"/>
        </w:rPr>
        <w:t xml:space="preserve">- One-time migration of existing files (~2 TB); plan a dual-read period.</w:t>
      </w:r>
      <w:r>
        <w:br/>
      </w:r>
      <w:r>
        <w:rPr>
          <w:rStyle w:val="VerbatimChar"/>
        </w:rPr>
        <w:t xml:space="preserve">- Vendor-specific API; wrap it behind the BlobStore interface (Figure 1.3).</w:t>
      </w:r>
    </w:p>
    <w:p>
      <w:pPr>
        <w:pStyle w:val="FirstParagraph"/>
      </w:pPr>
      <w:r>
        <w:t xml:space="preserve">What to notice:</w:t>
      </w:r>
    </w:p>
    <w:p>
      <w:pPr>
        <w:numPr>
          <w:ilvl w:val="0"/>
          <w:numId w:val="1022"/>
        </w:numPr>
        <w:pStyle w:val="Compact"/>
      </w:pPr>
      <w:r>
        <w:rPr>
          <w:bCs/>
          <w:b/>
        </w:rPr>
        <w:t xml:space="preserve">Context is factual and dated</w:t>
      </w:r>
      <w:r>
        <w:t xml:space="preserve">; it includes the numbers that made the decision necessary. When those numbers change, the ADR tells you the decision may need revisiting.</w:t>
      </w:r>
    </w:p>
    <w:p>
      <w:pPr>
        <w:numPr>
          <w:ilvl w:val="0"/>
          <w:numId w:val="1022"/>
        </w:numPr>
        <w:pStyle w:val="Compact"/>
      </w:pPr>
      <w:r>
        <w:rPr>
          <w:bCs/>
          <w:b/>
        </w:rPr>
        <w:t xml:space="preserve">Consequences list negatives</w:t>
      </w:r>
      <w:r>
        <w:t xml:space="preserve">, not only benefits. An ADR with no downsides is advocacy, not a record.</w:t>
      </w:r>
    </w:p>
    <w:p>
      <w:pPr>
        <w:numPr>
          <w:ilvl w:val="0"/>
          <w:numId w:val="1022"/>
        </w:numPr>
        <w:pStyle w:val="Compact"/>
      </w:pPr>
      <w:r>
        <w:rPr>
          <w:bCs/>
          <w:b/>
        </w:rPr>
        <w:t xml:space="preserve">Supersession</w:t>
      </w:r>
      <w:r>
        <w:t xml:space="preserve"> </w:t>
      </w:r>
      <w:r>
        <w:t xml:space="preserve">is explicit in both directions: ADR-0001 should be updated only to change its status to</w:t>
      </w:r>
      <w:r>
        <w:t xml:space="preserve"> </w:t>
      </w:r>
      <w:r>
        <w:t xml:space="preserve">“</w:t>
      </w:r>
      <w:r>
        <w:t xml:space="preserve">Superseded by ADR-0003</w:t>
      </w:r>
      <w:r>
        <w:t xml:space="preserve">”</w:t>
      </w:r>
      <w:r>
        <w:t xml:space="preserve">.</w:t>
      </w:r>
    </w:p>
    <w:p>
      <w:pPr>
        <w:numPr>
          <w:ilvl w:val="0"/>
          <w:numId w:val="1022"/>
        </w:numPr>
        <w:pStyle w:val="Compact"/>
      </w:pPr>
      <w:r>
        <w:t xml:space="preserve">Nygard’s original format is Title, Status, Context, Decision, Consequences [Nygard 2011];</w:t>
      </w:r>
      <w:r>
        <w:t xml:space="preserve"> </w:t>
      </w:r>
      <w:r>
        <w:t xml:space="preserve">“</w:t>
      </w:r>
      <w:r>
        <w:t xml:space="preserve">Options considered</w:t>
      </w:r>
      <w:r>
        <w:t xml:space="preserve">”</w:t>
      </w:r>
      <w:r>
        <w:t xml:space="preserve"> </w:t>
      </w:r>
      <w:r>
        <w:t xml:space="preserve">and</w:t>
      </w:r>
      <w:r>
        <w:t xml:space="preserve"> </w:t>
      </w:r>
      <w:r>
        <w:t xml:space="preserve">“</w:t>
      </w:r>
      <w:r>
        <w:t xml:space="preserve">Deciders</w:t>
      </w:r>
      <w:r>
        <w:t xml:space="preserve">”</w:t>
      </w:r>
      <w:r>
        <w:t xml:space="preserve"> </w:t>
      </w:r>
      <w:r>
        <w:t xml:space="preserve">are widely used extensions.</w:t>
      </w:r>
    </w:p>
    <w:bookmarkEnd w:id="92"/>
    <w:bookmarkStart w:id="93" w:name="real-world-industry-applications-3"/>
    <w:p>
      <w:pPr>
        <w:pStyle w:val="Heading4"/>
      </w:pPr>
      <w:r>
        <w:t xml:space="preserve">Real-world industry applications</w:t>
      </w:r>
    </w:p>
    <w:p>
      <w:pPr>
        <w:pStyle w:val="CalloutIndustry"/>
      </w:pPr>
      <w:r>
        <w:rPr>
          <w:bCs/>
          <w:b/>
        </w:rPr>
        <w:t xml:space="preserve">INDUSTRY EXAMPLE</w:t>
      </w:r>
    </w:p>
    <w:p>
      <w:pPr>
        <w:pStyle w:val="CalloutIndustry"/>
      </w:pPr>
      <w:r>
        <w:rPr>
          <w:bCs/>
          <w:b/>
        </w:rPr>
        <w:t xml:space="preserve">Lightweight ADRs in open-source and public-sector projects.</w:t>
      </w:r>
      <w:r>
        <w:t xml:space="preserve"> </w:t>
      </w:r>
      <w:r>
        <w:t xml:space="preserve">After Nygard’s 2011 post, the format spread widely; many public repositories contain an ADR numbered 0001 titled</w:t>
      </w:r>
      <w:r>
        <w:t xml:space="preserve"> </w:t>
      </w:r>
      <w:r>
        <w:t xml:space="preserve">“</w:t>
      </w:r>
      <w:r>
        <w:t xml:space="preserve">Record architecture decisions</w:t>
      </w:r>
      <w:r>
        <w:t xml:space="preserve">”</w:t>
      </w:r>
      <w:r>
        <w:t xml:space="preserve">, whose decision is simply to adopt ADRs for the project. The appeal is low cost: a page of Markdown reviewed in the same pull-request workflow as code.</w:t>
      </w:r>
      <w:r>
        <w:t xml:space="preserve"> </w:t>
      </w:r>
      <w:r>
        <w:rPr>
          <w:iCs/>
          <w:i/>
        </w:rPr>
        <w:t xml:space="preserve">Evidence: Secondary</w:t>
      </w:r>
      <w:r>
        <w:t xml:space="preserve"> </w:t>
      </w:r>
      <w:r>
        <w:t xml:space="preserve">— [Nygard 2011] and the many public repositories that adopt its format; the specific spread is an observation, not a measured statistic.</w:t>
      </w:r>
    </w:p>
    <w:bookmarkEnd w:id="93"/>
    <w:bookmarkStart w:id="94" w:name="advantages-and-disadvantages-2"/>
    <w:p>
      <w:pPr>
        <w:pStyle w:val="Heading4"/>
      </w:pPr>
      <w:r>
        <w:t xml:space="preserve">Advantages and disadvantages</w:t>
      </w:r>
    </w:p>
    <w:p>
      <w:pPr>
        <w:pStyle w:val="FirstParagraph"/>
      </w:pPr>
      <w:r>
        <w:rPr>
          <w:bCs/>
          <w:b/>
        </w:rPr>
        <w:t xml:space="preserve">Advantages:</w:t>
      </w:r>
      <w:r>
        <w:t xml:space="preserve"> </w:t>
      </w:r>
      <w:r>
        <w:t xml:space="preserve">cheap to write; versioned with the code; preserves the</w:t>
      </w:r>
      <w:r>
        <w:t xml:space="preserve"> </w:t>
      </w:r>
      <w:r>
        <w:rPr>
          <w:iCs/>
          <w:i/>
        </w:rPr>
        <w:t xml:space="preserve">why</w:t>
      </w:r>
      <w:r>
        <w:t xml:space="preserve">; speeds onboarding; prevents re-litigating settled questions; forces explicit consequences.</w:t>
      </w:r>
      <w:r>
        <w:t xml:space="preserve"> </w:t>
      </w:r>
      <w:r>
        <w:rPr>
          <w:bCs/>
          <w:b/>
        </w:rPr>
        <w:t xml:space="preserve">Disadvantages:</w:t>
      </w:r>
      <w:r>
        <w:t xml:space="preserve"> </w:t>
      </w:r>
      <w:r>
        <w:t xml:space="preserve">only as good as team discipline; can become bureaucratic if required for trivial choices; a large ADR log needs an index to remain navigable.</w:t>
      </w:r>
    </w:p>
    <w:bookmarkEnd w:id="94"/>
    <w:bookmarkStart w:id="95" w:name="alternatives-and-trade-offs-1"/>
    <w:p>
      <w:pPr>
        <w:pStyle w:val="Heading4"/>
      </w:pPr>
      <w:r>
        <w:t xml:space="preserve">Alternatives and trade-offs</w:t>
      </w:r>
    </w:p>
    <w:p>
      <w:pPr>
        <w:pStyle w:val="FirstParagraph"/>
      </w:pPr>
      <w:r>
        <w:t xml:space="preserve">ADRs complement rather than replace design documents (§1.10): a design doc explores a whole problem and may produce several decisions; each significant decision is then distilled into an ADR. Wikis are easier to browse but drift from the code. Commit messages capture</w:t>
      </w:r>
      <w:r>
        <w:t xml:space="preserve"> </w:t>
      </w:r>
      <w:r>
        <w:rPr>
          <w:iCs/>
          <w:i/>
        </w:rPr>
        <w:t xml:space="preserve">what</w:t>
      </w:r>
      <w:r>
        <w:t xml:space="preserve"> </w:t>
      </w:r>
      <w:r>
        <w:t xml:space="preserve">changed but rarely the alternatives rejected.</w:t>
      </w:r>
    </w:p>
    <w:bookmarkEnd w:id="95"/>
    <w:bookmarkStart w:id="96" w:name="failure-scenarios-4"/>
    <w:p>
      <w:pPr>
        <w:pStyle w:val="Heading4"/>
      </w:pPr>
      <w:r>
        <w:t xml:space="preserve">Failure scenarios</w:t>
      </w:r>
    </w:p>
    <w:p>
      <w:pPr>
        <w:pStyle w:val="FirstParagraph"/>
      </w:pPr>
      <w:r>
        <w:rPr>
          <w:bCs/>
          <w:b/>
        </w:rPr>
        <w:t xml:space="preserve">Table 1.13 — Decision-making 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Decision re-litigated every quarter</w:t>
            </w:r>
          </w:p>
        </w:tc>
        <w:tc>
          <w:tcPr/>
          <w:p>
            <w:pPr>
              <w:pStyle w:val="Compact"/>
              <w:jc w:val="left"/>
            </w:pPr>
            <w:r>
              <w:t xml:space="preserve">Rationale not recorded</w:t>
            </w:r>
          </w:p>
        </w:tc>
        <w:tc>
          <w:tcPr/>
          <w:p>
            <w:pPr>
              <w:pStyle w:val="Compact"/>
              <w:jc w:val="left"/>
            </w:pPr>
            <w:r>
              <w:t xml:space="preserve">Same debate in multiple meetings</w:t>
            </w:r>
          </w:p>
        </w:tc>
        <w:tc>
          <w:tcPr/>
          <w:p>
            <w:pPr>
              <w:pStyle w:val="Compact"/>
              <w:jc w:val="left"/>
            </w:pPr>
            <w:r>
              <w:t xml:space="preserve">Write the ADR retroactively</w:t>
            </w:r>
          </w:p>
        </w:tc>
        <w:tc>
          <w:tcPr/>
          <w:p>
            <w:pPr>
              <w:pStyle w:val="Compact"/>
              <w:jc w:val="left"/>
            </w:pPr>
            <w:r>
              <w:t xml:space="preserve">ADR for every one-way-door decision</w:t>
            </w:r>
          </w:p>
        </w:tc>
      </w:tr>
      <w:tr>
        <w:tc>
          <w:tcPr/>
          <w:p>
            <w:pPr>
              <w:pStyle w:val="Compact"/>
              <w:jc w:val="left"/>
            </w:pPr>
            <w:r>
              <w:t xml:space="preserve">Analysis paralysis</w:t>
            </w:r>
          </w:p>
        </w:tc>
        <w:tc>
          <w:tcPr/>
          <w:p>
            <w:pPr>
              <w:pStyle w:val="Compact"/>
              <w:jc w:val="left"/>
            </w:pPr>
            <w:r>
              <w:t xml:space="preserve">Treating a reversible choice as irreversible</w:t>
            </w:r>
          </w:p>
        </w:tc>
        <w:tc>
          <w:tcPr/>
          <w:p>
            <w:pPr>
              <w:pStyle w:val="Compact"/>
              <w:jc w:val="left"/>
            </w:pPr>
            <w:r>
              <w:t xml:space="preserve">Weeks of debate on a library choice</w:t>
            </w:r>
          </w:p>
        </w:tc>
        <w:tc>
          <w:tcPr/>
          <w:p>
            <w:pPr>
              <w:pStyle w:val="Compact"/>
              <w:jc w:val="left"/>
            </w:pPr>
            <w:r>
              <w:t xml:space="preserve">Time-box; pick and move on</w:t>
            </w:r>
          </w:p>
        </w:tc>
        <w:tc>
          <w:tcPr/>
          <w:p>
            <w:pPr>
              <w:pStyle w:val="Compact"/>
              <w:jc w:val="left"/>
            </w:pPr>
            <w:r>
              <w:t xml:space="preserve">Classify reversibility first (§2.8)</w:t>
            </w:r>
          </w:p>
        </w:tc>
      </w:tr>
      <w:tr>
        <w:tc>
          <w:tcPr/>
          <w:p>
            <w:pPr>
              <w:pStyle w:val="Compact"/>
              <w:jc w:val="left"/>
            </w:pPr>
            <w:r>
              <w:t xml:space="preserve">Decision by loudest voice</w:t>
            </w:r>
          </w:p>
        </w:tc>
        <w:tc>
          <w:tcPr/>
          <w:p>
            <w:pPr>
              <w:pStyle w:val="Compact"/>
              <w:jc w:val="left"/>
            </w:pPr>
            <w:r>
              <w:t xml:space="preserve">Criteria never made explicit</w:t>
            </w:r>
          </w:p>
        </w:tc>
        <w:tc>
          <w:tcPr/>
          <w:p>
            <w:pPr>
              <w:pStyle w:val="Compact"/>
              <w:jc w:val="left"/>
            </w:pPr>
            <w:r>
              <w:t xml:space="preserve">Dissenters disengage; later regret</w:t>
            </w:r>
          </w:p>
        </w:tc>
        <w:tc>
          <w:tcPr/>
          <w:p>
            <w:pPr>
              <w:pStyle w:val="Compact"/>
              <w:jc w:val="left"/>
            </w:pPr>
            <w:r>
              <w:t xml:space="preserve">Re-open with an explicit matrix</w:t>
            </w:r>
          </w:p>
        </w:tc>
        <w:tc>
          <w:tcPr/>
          <w:p>
            <w:pPr>
              <w:pStyle w:val="Compact"/>
              <w:jc w:val="left"/>
            </w:pPr>
            <w:r>
              <w:t xml:space="preserve">Agree criteria and weights before scoring</w:t>
            </w:r>
          </w:p>
        </w:tc>
      </w:tr>
      <w:tr>
        <w:tc>
          <w:tcPr/>
          <w:p>
            <w:pPr>
              <w:pStyle w:val="Compact"/>
              <w:jc w:val="left"/>
            </w:pPr>
            <w:r>
              <w:t xml:space="preserve">Stale ADR misleads</w:t>
            </w:r>
          </w:p>
        </w:tc>
        <w:tc>
          <w:tcPr/>
          <w:p>
            <w:pPr>
              <w:pStyle w:val="Compact"/>
              <w:jc w:val="left"/>
            </w:pPr>
            <w:r>
              <w:t xml:space="preserve">Context changed, ADR not superseded</w:t>
            </w:r>
          </w:p>
        </w:tc>
        <w:tc>
          <w:tcPr/>
          <w:p>
            <w:pPr>
              <w:pStyle w:val="Compact"/>
              <w:jc w:val="left"/>
            </w:pPr>
            <w:r>
              <w:t xml:space="preserve">Code contradicts accepted ADR</w:t>
            </w:r>
          </w:p>
        </w:tc>
        <w:tc>
          <w:tcPr/>
          <w:p>
            <w:pPr>
              <w:pStyle w:val="Compact"/>
              <w:jc w:val="left"/>
            </w:pPr>
            <w:r>
              <w:t xml:space="preserve">Write a superseding ADR</w:t>
            </w:r>
          </w:p>
        </w:tc>
        <w:tc>
          <w:tcPr/>
          <w:p>
            <w:pPr>
              <w:pStyle w:val="Compact"/>
              <w:jc w:val="left"/>
            </w:pPr>
            <w:r>
              <w:t xml:space="preserve">Review ADR log in design reviews</w:t>
            </w:r>
          </w:p>
        </w:tc>
      </w:tr>
    </w:tbl>
    <w:bookmarkEnd w:id="96"/>
    <w:bookmarkStart w:id="97" w:name="common-misconceptions-5"/>
    <w:p>
      <w:pPr>
        <w:pStyle w:val="Heading4"/>
      </w:pPr>
      <w:r>
        <w:t xml:space="preserve">Common misconceptions</w:t>
      </w:r>
    </w:p>
    <w:p>
      <w:pPr>
        <w:pStyle w:val="CalloutMistake"/>
      </w:pPr>
      <w:r>
        <w:rPr>
          <w:bCs/>
          <w:b/>
        </w:rPr>
        <w:t xml:space="preserve">COMMON MISTAKE</w:t>
      </w:r>
    </w:p>
    <w:p>
      <w:pPr>
        <w:pStyle w:val="CalloutMistake"/>
      </w:pPr>
      <w:r>
        <w:rPr>
          <w:bCs/>
          <w:b/>
        </w:rPr>
        <w:t xml:space="preserve">“</w:t>
      </w:r>
      <w:r>
        <w:rPr>
          <w:bCs/>
          <w:b/>
        </w:rPr>
        <w:t xml:space="preserve">The decision matrix decides.</w:t>
      </w:r>
      <w:r>
        <w:rPr>
          <w:bCs/>
          <w:b/>
        </w:rPr>
        <w:t xml:space="preserve">”</w:t>
      </w:r>
      <w:r>
        <w:t xml:space="preserve"> </w:t>
      </w:r>
      <w:r>
        <w:t xml:space="preserve">It structures judgment; it does not replace it. Weights encode values, and a team can make any option win by adjusting them. Its value is making those values visible.</w:t>
      </w:r>
    </w:p>
    <w:bookmarkEnd w:id="97"/>
    <w:bookmarkEnd w:id="98"/>
    <w:bookmarkEnd w:id="99"/>
    <w:bookmarkStart w:id="117" w:name="X2784f9124a41089e674c9dcb1ec8624a733307a"/>
    <w:p>
      <w:pPr>
        <w:pStyle w:val="Heading2"/>
      </w:pPr>
      <w:r>
        <w:t xml:space="preserve">1.9 Why system design matters (cost of wrong decisions)</w:t>
      </w:r>
    </w:p>
    <w:bookmarkStart w:id="116" w:name="X02432605f734a8100df10197a5bf206bd4ab7d6"/>
    <w:p>
      <w:pPr>
        <w:pStyle w:val="Heading3"/>
      </w:pPr>
      <w:r>
        <w:t xml:space="preserve">1.9.1 Decisions differ in their cost of reversal</w:t>
      </w:r>
    </w:p>
    <w:p>
      <w:pPr>
        <w:pStyle w:val="CalloutConcept"/>
      </w:pPr>
      <w:r>
        <w:rPr>
          <w:bCs/>
          <w:b/>
        </w:rPr>
        <w:t xml:space="preserve">KEY CONCEPT</w:t>
      </w:r>
    </w:p>
    <w:p>
      <w:pPr>
        <w:pStyle w:val="CalloutConcept"/>
      </w:pPr>
      <w:r>
        <w:rPr>
          <w:bCs/>
          <w:b/>
        </w:rPr>
        <w:t xml:space="preserve">The asymmetry of design decisions.</w:t>
      </w:r>
      <w:r>
        <w:t xml:space="preserve"> </w:t>
      </w:r>
      <w:r>
        <w:t xml:space="preserve">Most code-level decisions are cheap to reverse: rename a function, swap a library, redeploy. A few decisions are very expensive to reverse because</w:t>
      </w:r>
      <w:r>
        <w:t xml:space="preserve"> </w:t>
      </w:r>
      <w:r>
        <w:rPr>
          <w:iCs/>
          <w:i/>
        </w:rPr>
        <w:t xml:space="preserve">data</w:t>
      </w:r>
      <w:r>
        <w:t xml:space="preserve"> </w:t>
      </w:r>
      <w:r>
        <w:t xml:space="preserve">has been written in their shape: where files live, the primary key format, the partitioning key, the consistency model clients rely on, the public API contract. The job of system design is to spot the expensive few early and decide them deliberately, while keeping everything else cheap to change.</w:t>
      </w:r>
    </w:p>
    <w:bookmarkStart w:id="100" w:name="first-principles-explanation-6"/>
    <w:p>
      <w:pPr>
        <w:pStyle w:val="Heading4"/>
      </w:pPr>
      <w:r>
        <w:t xml:space="preserve">First-principles explanation</w:t>
      </w:r>
    </w:p>
    <w:p>
      <w:pPr>
        <w:pStyle w:val="FirstParagraph"/>
      </w:pPr>
      <w:r>
        <w:t xml:space="preserve">Moving furniture is easy; moving a load-bearing wall after the house is built is not. Data is software’s load-bearing wall: once billions of rows or petabytes of files exist in a particular shape, changing that shape means a migration that runs for days or months while the system stays live.</w:t>
      </w:r>
    </w:p>
    <w:bookmarkEnd w:id="100"/>
    <w:bookmarkStart w:id="101" w:name="why-does-this-exist-6"/>
    <w:p>
      <w:pPr>
        <w:pStyle w:val="Heading4"/>
      </w:pPr>
      <w:r>
        <w:t xml:space="preserve">Why does this exist?</w:t>
      </w:r>
    </w:p>
    <w:p>
      <w:pPr>
        <w:pStyle w:val="FirstParagraph"/>
      </w:pPr>
      <w:r>
        <w:t xml:space="preserve">Bad design shows up as cost in four currencies:</w:t>
      </w:r>
      <w:r>
        <w:t xml:space="preserve"> </w:t>
      </w:r>
      <w:r>
        <w:rPr>
          <w:bCs/>
          <w:b/>
        </w:rPr>
        <w:t xml:space="preserve">money</w:t>
      </w:r>
      <w:r>
        <w:t xml:space="preserve"> </w:t>
      </w:r>
      <w:r>
        <w:t xml:space="preserve">(over-provisioned or emergency hardware),</w:t>
      </w:r>
      <w:r>
        <w:t xml:space="preserve"> </w:t>
      </w:r>
      <w:r>
        <w:rPr>
          <w:bCs/>
          <w:b/>
        </w:rPr>
        <w:t xml:space="preserve">time</w:t>
      </w:r>
      <w:r>
        <w:t xml:space="preserve"> </w:t>
      </w:r>
      <w:r>
        <w:t xml:space="preserve">(migrations that consume a team for a quarter),</w:t>
      </w:r>
      <w:r>
        <w:t xml:space="preserve"> </w:t>
      </w:r>
      <w:r>
        <w:rPr>
          <w:bCs/>
          <w:b/>
        </w:rPr>
        <w:t xml:space="preserve">user trust</w:t>
      </w:r>
      <w:r>
        <w:t xml:space="preserve"> </w:t>
      </w:r>
      <w:r>
        <w:t xml:space="preserve">(outages, data loss) and</w:t>
      </w:r>
      <w:r>
        <w:t xml:space="preserve"> </w:t>
      </w:r>
      <w:r>
        <w:rPr>
          <w:bCs/>
          <w:b/>
        </w:rPr>
        <w:t xml:space="preserve">opportunity</w:t>
      </w:r>
      <w:r>
        <w:t xml:space="preserve"> </w:t>
      </w:r>
      <w:r>
        <w:t xml:space="preserve">(features not built because engineers are fighting fires). Boehm and Basili summarized decades of industry data with the widely quoted observation that fixing a problem after delivery is often far more expensive than fixing it during requirements and design [Boehm and Basili 2001]; the exact multiplier varies greatly between studies and projects, but the direction is consistent.</w:t>
      </w:r>
    </w:p>
    <w:p>
      <w:pPr>
        <w:pStyle w:val="BodyText"/>
      </w:pPr>
      <w:r>
        <w:t xml:space="preserve">The opposite error —</w:t>
      </w:r>
      <w:r>
        <w:t xml:space="preserve"> </w:t>
      </w:r>
      <w:r>
        <w:rPr>
          <w:bCs/>
          <w:b/>
        </w:rPr>
        <w:t xml:space="preserve">over-engineering</w:t>
      </w:r>
      <w:r>
        <w:t xml:space="preserve"> </w:t>
      </w:r>
      <w:r>
        <w:t xml:space="preserve">— has the same currencies. Building a 50-service architecture for 1,000 users spends money and time on problems that do not yet exist, and makes the system harder to change when you learn what users actually want.</w:t>
      </w:r>
    </w:p>
    <w:bookmarkEnd w:id="101"/>
    <w:bookmarkStart w:id="111" w:name="X76a9edcd2935d206653f0227be9c6f63575129d"/>
    <w:p>
      <w:pPr>
        <w:pStyle w:val="Heading4"/>
      </w:pPr>
      <w:r>
        <w:t xml:space="preserve">How it works internally — PhotoShare grows up</w:t>
      </w:r>
    </w:p>
    <w:p>
      <w:pPr>
        <w:pStyle w:val="FirstParagraph"/>
      </w:pPr>
      <w:r>
        <w:t xml:space="preserve">We now evolve PhotoShare from Figure 1.1 through three more stages. Each stage is triggered by a specific requirement that the previous design cannot meet. All estimates come from the script in §1.3.2 with the same assumptions (50 photo views and 0.2 uploads per user per day; 2.5 MB stored per upload; 200 KB served per view; peak factor 3), plus one more: each user loads the feed about 5 times per day, so feed API requests are one-tenth of photo views.</w:t>
      </w:r>
    </w:p>
    <w:p>
      <w:pPr>
        <w:pStyle w:val="BodyText"/>
      </w:pPr>
      <w:r>
        <w:rPr>
          <w:bCs/>
          <w:b/>
        </w:rPr>
        <w:t xml:space="preserve">Stage 1 — 100,000 DAU: separate state from compute.</w:t>
      </w:r>
      <w:r>
        <w:t xml:space="preserve"> </w:t>
      </w:r>
      <w:r>
        <w:t xml:space="preserve">Two requirements break v0. The 99.9% availability target cannot be met with deploy downtime (§1.7.2 worked example), and uploads now add</w:t>
      </w:r>
      <w:r>
        <w:t xml:space="preserve"> </w:t>
      </w:r>
      <m:oMath>
        <m:r>
          <m:t>100</m:t>
        </m:r>
        <m:r>
          <m:rPr>
            <m:sty m:val="p"/>
          </m:rPr>
          <m:t>,</m:t>
        </m:r>
        <m:r>
          <m:t>000</m:t>
        </m:r>
        <m:r>
          <m:rPr>
            <m:sty m:val="p"/>
          </m:rPr>
          <m:t>×</m:t>
        </m:r>
        <m:r>
          <m:t>0.2</m:t>
        </m:r>
        <m:r>
          <m:rPr>
            <m:sty m:val="p"/>
          </m:rPr>
          <m:t>×</m:t>
        </m:r>
        <m:r>
          <m:t>2.5</m:t>
        </m:r>
        <m:r>
          <m:rPr>
            <m:nor/>
            <m:sty m:val="p"/>
          </m:rPr>
          <m:t> MB</m:t>
        </m:r>
        <m:r>
          <m:rPr>
            <m:sty m:val="p"/>
          </m:rPr>
          <m:t>=</m:t>
        </m:r>
        <m:r>
          <m:t>50</m:t>
        </m:r>
      </m:oMath>
      <w:r>
        <w:t xml:space="preserve"> </w:t>
      </w:r>
      <w:r>
        <w:t xml:space="preserve">GB per day to a single local disk. ADR-0003 (§1.8) moves files to object storage; a managed database with a standby replica replaces the local one; two stateless application servers sit behind a load balancer; images are served through a CDN.</w:t>
      </w:r>
    </w:p>
    <w:p>
      <w:pPr>
        <w:pStyle w:val="BodyText"/>
      </w:pPr>
      <w:r>
        <w:rPr>
          <w:bCs/>
          <w:b/>
        </w:rPr>
        <w:t xml:space="preserve">Figure 1.5 — PhotoShare v1: stateless application tier and managed storage.</w:t>
      </w:r>
    </w:p>
    <w:p>
      <w:pPr>
        <w:pStyle w:val="BodyText"/>
      </w:pPr>
      <w:r>
        <w:drawing>
          <wp:inline>
            <wp:extent cx="5334000" cy="1385127"/>
            <wp:effectExtent b="0" l="0" r="0" t="0"/>
            <wp:docPr descr="" title="" id="103" name="Picture"/>
            <a:graphic>
              <a:graphicData uri="http://schemas.openxmlformats.org/drawingml/2006/picture">
                <pic:pic>
                  <pic:nvPicPr>
                    <pic:cNvPr descr="/home/user/System-Design/build/.cache/diagrams/3837c986a863.png" id="104" name="Picture"/>
                    <pic:cNvPicPr>
                      <a:picLocks noChangeArrowheads="1" noChangeAspect="1"/>
                    </pic:cNvPicPr>
                  </pic:nvPicPr>
                  <pic:blipFill>
                    <a:blip r:embed="rId102"/>
                    <a:stretch>
                      <a:fillRect/>
                    </a:stretch>
                  </pic:blipFill>
                  <pic:spPr bwMode="auto">
                    <a:xfrm>
                      <a:off x="0" y="0"/>
                      <a:ext cx="5334000" cy="1385127"/>
                    </a:xfrm>
                    <a:prstGeom prst="rect">
                      <a:avLst/>
                    </a:prstGeom>
                    <a:noFill/>
                    <a:ln w="9525">
                      <a:noFill/>
                      <a:headEnd/>
                      <a:tailEnd/>
                    </a:ln>
                  </pic:spPr>
                </pic:pic>
              </a:graphicData>
            </a:graphic>
          </wp:inline>
        </w:drawing>
      </w:r>
    </w:p>
    <w:p>
      <w:pPr>
        <w:pStyle w:val="BodyText"/>
      </w:pPr>
      <w:r>
        <w:rPr>
          <w:bCs/>
          <w:b/>
        </w:rPr>
        <w:t xml:space="preserve">Reading the diagram.</w:t>
      </w:r>
    </w:p>
    <w:p>
      <w:pPr>
        <w:numPr>
          <w:ilvl w:val="0"/>
          <w:numId w:val="1023"/>
        </w:numPr>
        <w:pStyle w:val="Compact"/>
      </w:pPr>
      <w:r>
        <w:rPr>
          <w:bCs/>
          <w:b/>
        </w:rPr>
        <w:t xml:space="preserve">Components.</w:t>
      </w:r>
      <w:r>
        <w:t xml:space="preserve"> </w:t>
      </w:r>
      <w:r>
        <w:t xml:space="preserve">A</w:t>
      </w:r>
      <w:r>
        <w:t xml:space="preserve"> </w:t>
      </w:r>
      <w:r>
        <w:rPr>
          <w:iCs/>
          <w:i/>
        </w:rPr>
        <w:t xml:space="preserve">load balancer</w:t>
      </w:r>
      <w:r>
        <w:t xml:space="preserve"> </w:t>
      </w:r>
      <w:r>
        <w:t xml:space="preserve">spreads API requests across two identical</w:t>
      </w:r>
      <w:r>
        <w:t xml:space="preserve"> </w:t>
      </w:r>
      <w:r>
        <w:rPr>
          <w:iCs/>
          <w:i/>
        </w:rPr>
        <w:t xml:space="preserve">app servers</w:t>
      </w:r>
      <w:r>
        <w:t xml:space="preserve"> </w:t>
      </w:r>
      <w:r>
        <w:t xml:space="preserve">(see Ch 19 (Load Balancing)). A</w:t>
      </w:r>
      <w:r>
        <w:t xml:space="preserve"> </w:t>
      </w:r>
      <w:r>
        <w:rPr>
          <w:iCs/>
          <w:i/>
        </w:rPr>
        <w:t xml:space="preserve">primary database</w:t>
      </w:r>
      <w:r>
        <w:t xml:space="preserve"> </w:t>
      </w:r>
      <w:r>
        <w:t xml:space="preserve">holds metadata, with a</w:t>
      </w:r>
      <w:r>
        <w:t xml:space="preserve"> </w:t>
      </w:r>
      <w:r>
        <w:rPr>
          <w:iCs/>
          <w:i/>
        </w:rPr>
        <w:t xml:space="preserve">standby</w:t>
      </w:r>
      <w:r>
        <w:t xml:space="preserve"> </w:t>
      </w:r>
      <w:r>
        <w:t xml:space="preserve">ready to take over.</w:t>
      </w:r>
      <w:r>
        <w:t xml:space="preserve"> </w:t>
      </w:r>
      <w:r>
        <w:rPr>
          <w:iCs/>
          <w:i/>
        </w:rPr>
        <w:t xml:space="preserve">Object storage</w:t>
      </w:r>
      <w:r>
        <w:t xml:space="preserve"> </w:t>
      </w:r>
      <w:r>
        <w:t xml:space="preserve">holds image bytes; a</w:t>
      </w:r>
      <w:r>
        <w:t xml:space="preserve"> </w:t>
      </w:r>
      <w:r>
        <w:rPr>
          <w:iCs/>
          <w:i/>
        </w:rPr>
        <w:t xml:space="preserve">CDN</w:t>
      </w:r>
      <w:r>
        <w:t xml:space="preserve"> </w:t>
      </w:r>
      <w:r>
        <w:t xml:space="preserve">(an external network of edge caches, drawn as a hexagon) serves images close to users (see Ch 21).</w:t>
      </w:r>
    </w:p>
    <w:p>
      <w:pPr>
        <w:numPr>
          <w:ilvl w:val="0"/>
          <w:numId w:val="1023"/>
        </w:numPr>
        <w:pStyle w:val="Compact"/>
      </w:pPr>
      <w:r>
        <w:rPr>
          <w:bCs/>
          <w:b/>
        </w:rPr>
        <w:t xml:space="preserve">Protocols.</w:t>
      </w:r>
      <w:r>
        <w:t xml:space="preserve"> </w:t>
      </w:r>
      <w:r>
        <w:t xml:space="preserve">HTTPS from clients; plain HTTP inside the private network (or HTTPS, depending on the security model, §10.10); SQL to the database; the object store’s HTTP API.</w:t>
      </w:r>
    </w:p>
    <w:p>
      <w:pPr>
        <w:numPr>
          <w:ilvl w:val="0"/>
          <w:numId w:val="1023"/>
        </w:numPr>
        <w:pStyle w:val="Compact"/>
      </w:pPr>
      <w:r>
        <w:rPr>
          <w:bCs/>
          <w:b/>
        </w:rPr>
        <w:t xml:space="preserve">Direction and sync/async.</w:t>
      </w:r>
      <w:r>
        <w:t xml:space="preserve"> </w:t>
      </w:r>
      <w:r>
        <w:t xml:space="preserve">API calls and image fetches are synchronous. Replication from primary to standby is drawn dotted: it is commonly asynchronous, so the standby may lag slightly (replication modes are covered in §14.4).</w:t>
      </w:r>
    </w:p>
    <w:p>
      <w:pPr>
        <w:numPr>
          <w:ilvl w:val="0"/>
          <w:numId w:val="1023"/>
        </w:numPr>
        <w:pStyle w:val="Compact"/>
      </w:pPr>
      <w:r>
        <w:rPr>
          <w:bCs/>
          <w:b/>
        </w:rPr>
        <w:t xml:space="preserve">Storage boundaries.</w:t>
      </w:r>
      <w:r>
        <w:t xml:space="preserve"> </w:t>
      </w:r>
      <w:r>
        <w:t xml:space="preserve">App servers are now</w:t>
      </w:r>
      <w:r>
        <w:t xml:space="preserve"> </w:t>
      </w:r>
      <w:r>
        <w:rPr>
          <w:bCs/>
          <w:b/>
        </w:rPr>
        <w:t xml:space="preserve">stateless</w:t>
      </w:r>
      <w:r>
        <w:t xml:space="preserve">: they hold no data that cannot be lost. All state lives in the database and object storage. This is what allows any app server to serve any request.</w:t>
      </w:r>
    </w:p>
    <w:p>
      <w:pPr>
        <w:numPr>
          <w:ilvl w:val="0"/>
          <w:numId w:val="1023"/>
        </w:numPr>
        <w:pStyle w:val="Compact"/>
      </w:pPr>
      <w:r>
        <w:rPr>
          <w:bCs/>
          <w:b/>
        </w:rPr>
        <w:t xml:space="preserve">Failure points.</w:t>
      </w:r>
      <w:r>
        <w:t xml:space="preserve"> </w:t>
      </w:r>
      <w:r>
        <w:t xml:space="preserve">Losing one app server halves capacity but keeps the service up. The primary database is still critical: failover to the standby takes time and, with asynchronous replication, may lose the last few seconds of writes.</w:t>
      </w:r>
    </w:p>
    <w:p>
      <w:pPr>
        <w:numPr>
          <w:ilvl w:val="0"/>
          <w:numId w:val="1023"/>
        </w:numPr>
        <w:pStyle w:val="Compact"/>
      </w:pPr>
      <w:r>
        <w:rPr>
          <w:bCs/>
          <w:b/>
        </w:rPr>
        <w:t xml:space="preserve">Scaling options.</w:t>
      </w:r>
      <w:r>
        <w:t xml:space="preserve"> </w:t>
      </w:r>
      <w:r>
        <w:t xml:space="preserve">Add app servers horizontally; scale the database vertically for now.</w:t>
      </w:r>
    </w:p>
    <w:p>
      <w:pPr>
        <w:pStyle w:val="FirstParagraph"/>
      </w:pPr>
      <w:r>
        <w:rPr>
          <w:bCs/>
          <w:b/>
        </w:rPr>
        <w:t xml:space="preserve">Stage 2 — 1,000,000 DAU: protect the database.</w:t>
      </w:r>
      <w:r>
        <w:t xml:space="preserve"> </w:t>
      </w:r>
      <w:r>
        <w:t xml:space="preserve">Feed API traffic is now</w:t>
      </w:r>
      <w:r>
        <w:t xml:space="preserve"> </w:t>
      </w:r>
      <m:oMath>
        <m:r>
          <m:t>1</m:t>
        </m:r>
        <m:r>
          <m:rPr>
            <m:sty m:val="p"/>
          </m:rPr>
          <m:t>,</m:t>
        </m:r>
        <m:r>
          <m:t>000</m:t>
        </m:r>
        <m:r>
          <m:rPr>
            <m:sty m:val="p"/>
          </m:rPr>
          <m:t>,</m:t>
        </m:r>
        <m:r>
          <m:t>000</m:t>
        </m:r>
        <m:r>
          <m:rPr>
            <m:sty m:val="p"/>
          </m:rPr>
          <m:t>×</m:t>
        </m:r>
        <m:r>
          <m:t>5</m:t>
        </m:r>
        <m:r>
          <m:rPr>
            <m:sty m:val="p"/>
          </m:rPr>
          <m:t>/</m:t>
        </m:r>
        <m:r>
          <m:t>86</m:t>
        </m:r>
        <m:r>
          <m:rPr>
            <m:sty m:val="p"/>
          </m:rPr>
          <m:t>,</m:t>
        </m:r>
        <m:r>
          <m:t>400</m:t>
        </m:r>
        <m:r>
          <m:rPr>
            <m:sty m:val="p"/>
          </m:rPr>
          <m:t>≈</m:t>
        </m:r>
        <m:r>
          <m:t>58</m:t>
        </m:r>
      </m:oMath>
      <w:r>
        <w:t xml:space="preserve"> </w:t>
      </w:r>
      <w:r>
        <w:t xml:space="preserve">RPS average and about 174 RPS at peak — modest — but each feed request runs a join across follows and photos, and the database CPU is the bottleneck. Synchronous thumbnail generation pushes upload p99 above 3 seconds. Two additions fix this: a</w:t>
      </w:r>
      <w:r>
        <w:t xml:space="preserve"> </w:t>
      </w:r>
      <w:r>
        <w:rPr>
          <w:bCs/>
          <w:b/>
        </w:rPr>
        <w:t xml:space="preserve">cache</w:t>
      </w:r>
      <w:r>
        <w:t xml:space="preserve"> </w:t>
      </w:r>
      <w:r>
        <w:t xml:space="preserve">for feeds, sessions and hot metadata (Ch 20), plus</w:t>
      </w:r>
      <w:r>
        <w:t xml:space="preserve"> </w:t>
      </w:r>
      <w:r>
        <w:rPr>
          <w:bCs/>
          <w:b/>
        </w:rPr>
        <w:t xml:space="preserve">read replicas</w:t>
      </w:r>
      <w:r>
        <w:t xml:space="preserve"> </w:t>
      </w:r>
      <w:r>
        <w:t xml:space="preserve">for queries that tolerate slight staleness (§14.3); and an</w:t>
      </w:r>
      <w:r>
        <w:t xml:space="preserve"> </w:t>
      </w:r>
      <w:r>
        <w:rPr>
          <w:bCs/>
          <w:b/>
        </w:rPr>
        <w:t xml:space="preserve">asynchronous job queue</w:t>
      </w:r>
      <w:r>
        <w:t xml:space="preserve"> </w:t>
      </w:r>
      <w:r>
        <w:t xml:space="preserve">so uploads return as soon as the original is stored (Figure 1.2; Ch 30).</w:t>
      </w:r>
    </w:p>
    <w:p>
      <w:pPr>
        <w:pStyle w:val="BodyText"/>
      </w:pPr>
      <w:r>
        <w:rPr>
          <w:bCs/>
          <w:b/>
        </w:rPr>
        <w:t xml:space="preserve">Figure 1.6 — PhotoShare v2: cache, read replicas and asynchronous processing.</w:t>
      </w:r>
    </w:p>
    <w:p>
      <w:pPr>
        <w:pStyle w:val="BodyText"/>
      </w:pPr>
      <w:r>
        <w:drawing>
          <wp:inline>
            <wp:extent cx="5334000" cy="1781899"/>
            <wp:effectExtent b="0" l="0" r="0" t="0"/>
            <wp:docPr descr="" title="" id="106" name="Picture"/>
            <a:graphic>
              <a:graphicData uri="http://schemas.openxmlformats.org/drawingml/2006/picture">
                <pic:pic>
                  <pic:nvPicPr>
                    <pic:cNvPr descr="/home/user/System-Design/build/.cache/diagrams/1626632f3c2b.png" id="107" name="Picture"/>
                    <pic:cNvPicPr>
                      <a:picLocks noChangeArrowheads="1" noChangeAspect="1"/>
                    </pic:cNvPicPr>
                  </pic:nvPicPr>
                  <pic:blipFill>
                    <a:blip r:embed="rId105"/>
                    <a:stretch>
                      <a:fillRect/>
                    </a:stretch>
                  </pic:blipFill>
                  <pic:spPr bwMode="auto">
                    <a:xfrm>
                      <a:off x="0" y="0"/>
                      <a:ext cx="5334000" cy="1781899"/>
                    </a:xfrm>
                    <a:prstGeom prst="rect">
                      <a:avLst/>
                    </a:prstGeom>
                    <a:noFill/>
                    <a:ln w="9525">
                      <a:noFill/>
                      <a:headEnd/>
                      <a:tailEnd/>
                    </a:ln>
                  </pic:spPr>
                </pic:pic>
              </a:graphicData>
            </a:graphic>
          </wp:inline>
        </w:drawing>
      </w:r>
    </w:p>
    <w:p>
      <w:pPr>
        <w:pStyle w:val="BodyText"/>
      </w:pPr>
      <w:r>
        <w:rPr>
          <w:bCs/>
          <w:b/>
        </w:rPr>
        <w:t xml:space="preserve">Reading the diagram.</w:t>
      </w:r>
    </w:p>
    <w:p>
      <w:pPr>
        <w:numPr>
          <w:ilvl w:val="0"/>
          <w:numId w:val="1024"/>
        </w:numPr>
        <w:pStyle w:val="Compact"/>
      </w:pPr>
      <w:r>
        <w:rPr>
          <w:bCs/>
          <w:b/>
        </w:rPr>
        <w:t xml:space="preserve">Components.</w:t>
      </w:r>
      <w:r>
        <w:t xml:space="preserve"> </w:t>
      </w:r>
      <w:r>
        <w:t xml:space="preserve">New: a</w:t>
      </w:r>
      <w:r>
        <w:t xml:space="preserve"> </w:t>
      </w:r>
      <w:r>
        <w:rPr>
          <w:iCs/>
          <w:i/>
        </w:rPr>
        <w:t xml:space="preserve">cache cluster</w:t>
      </w:r>
      <w:r>
        <w:t xml:space="preserve"> </w:t>
      </w:r>
      <w:r>
        <w:t xml:space="preserve">(in-memory key-value store),</w:t>
      </w:r>
      <w:r>
        <w:t xml:space="preserve"> </w:t>
      </w:r>
      <w:r>
        <w:rPr>
          <w:iCs/>
          <w:i/>
        </w:rPr>
        <w:t xml:space="preserve">read replicas</w:t>
      </w:r>
      <w:r>
        <w:t xml:space="preserve"> </w:t>
      </w:r>
      <w:r>
        <w:t xml:space="preserve">of the database, a</w:t>
      </w:r>
      <w:r>
        <w:t xml:space="preserve"> </w:t>
      </w:r>
      <w:r>
        <w:rPr>
          <w:iCs/>
          <w:i/>
        </w:rPr>
        <w:t xml:space="preserve">job queue</w:t>
      </w:r>
      <w:r>
        <w:t xml:space="preserve"> </w:t>
      </w:r>
      <w:r>
        <w:t xml:space="preserve">and</w:t>
      </w:r>
      <w:r>
        <w:t xml:space="preserve"> </w:t>
      </w:r>
      <w:r>
        <w:rPr>
          <w:iCs/>
          <w:i/>
        </w:rPr>
        <w:t xml:space="preserve">thumbnail workers</w:t>
      </w:r>
      <w:r>
        <w:t xml:space="preserve">.</w:t>
      </w:r>
    </w:p>
    <w:p>
      <w:pPr>
        <w:numPr>
          <w:ilvl w:val="0"/>
          <w:numId w:val="1024"/>
        </w:numPr>
        <w:pStyle w:val="Compact"/>
      </w:pPr>
      <w:r>
        <w:rPr>
          <w:bCs/>
          <w:b/>
        </w:rPr>
        <w:t xml:space="preserve">Protocols.</w:t>
      </w:r>
      <w:r>
        <w:t xml:space="preserve"> </w:t>
      </w:r>
      <w:r>
        <w:t xml:space="preserve">The cache uses its own lightweight protocol over TCP; the queue uses the broker’s protocol.</w:t>
      </w:r>
    </w:p>
    <w:p>
      <w:pPr>
        <w:numPr>
          <w:ilvl w:val="0"/>
          <w:numId w:val="1024"/>
        </w:numPr>
        <w:pStyle w:val="Compact"/>
      </w:pPr>
      <w:r>
        <w:rPr>
          <w:bCs/>
          <w:b/>
        </w:rPr>
        <w:t xml:space="preserve">Direction and sync/async.</w:t>
      </w:r>
      <w:r>
        <w:t xml:space="preserve"> </w:t>
      </w:r>
      <w:r>
        <w:t xml:space="preserve">Feed reads check the cache first (cache-aside, §20.7) and fall back to a replica on a miss. Uploads are synchronous only until the original is stored and the row written; resizing happens asynchronously (dotted arrows).</w:t>
      </w:r>
    </w:p>
    <w:p>
      <w:pPr>
        <w:numPr>
          <w:ilvl w:val="0"/>
          <w:numId w:val="1024"/>
        </w:numPr>
        <w:pStyle w:val="Compact"/>
      </w:pPr>
      <w:r>
        <w:rPr>
          <w:bCs/>
          <w:b/>
        </w:rPr>
        <w:t xml:space="preserve">Storage boundaries.</w:t>
      </w:r>
      <w:r>
        <w:t xml:space="preserve"> </w:t>
      </w:r>
      <w:r>
        <w:t xml:space="preserve">Data now exists in up to four places — primary, replicas, cache, object storage — so</w:t>
      </w:r>
      <w:r>
        <w:t xml:space="preserve"> </w:t>
      </w:r>
      <w:r>
        <w:rPr>
          <w:bCs/>
          <w:b/>
        </w:rPr>
        <w:t xml:space="preserve">consistency</w:t>
      </w:r>
      <w:r>
        <w:t xml:space="preserve"> </w:t>
      </w:r>
      <w:r>
        <w:t xml:space="preserve">becomes a design question: a user who just uploaded may not see the photo if their next read hits a lagging replica. The consistency target in Table 1.7 (</w:t>
      </w:r>
      <w:r>
        <w:t xml:space="preserve">“</w:t>
      </w:r>
      <w:r>
        <w:t xml:space="preserve">own uploads visible to self immediately</w:t>
      </w:r>
      <w:r>
        <w:t xml:space="preserve">”</w:t>
      </w:r>
      <w:r>
        <w:t xml:space="preserve">) is met by routing a user’s reads of their own profile to the primary for a short time after a write (read-your-writes, §25.6).</w:t>
      </w:r>
    </w:p>
    <w:p>
      <w:pPr>
        <w:numPr>
          <w:ilvl w:val="0"/>
          <w:numId w:val="1024"/>
        </w:numPr>
        <w:pStyle w:val="Compact"/>
      </w:pPr>
      <w:r>
        <w:rPr>
          <w:bCs/>
          <w:b/>
        </w:rPr>
        <w:t xml:space="preserve">Failure points.</w:t>
      </w:r>
      <w:r>
        <w:t xml:space="preserve"> </w:t>
      </w:r>
      <w:r>
        <w:t xml:space="preserve">A cache outage sends all reads to the replicas at once and can overload them (a</w:t>
      </w:r>
      <w:r>
        <w:t xml:space="preserve"> </w:t>
      </w:r>
      <w:r>
        <w:rPr>
          <w:iCs/>
          <w:i/>
        </w:rPr>
        <w:t xml:space="preserve">cache avalanche</w:t>
      </w:r>
      <w:r>
        <w:t xml:space="preserve">, §20.13). A poisoned job that always crashes a worker must be moved aside to a dead-letter queue (§30.11).</w:t>
      </w:r>
    </w:p>
    <w:p>
      <w:pPr>
        <w:numPr>
          <w:ilvl w:val="0"/>
          <w:numId w:val="1024"/>
        </w:numPr>
        <w:pStyle w:val="Compact"/>
      </w:pPr>
      <w:r>
        <w:rPr>
          <w:bCs/>
          <w:b/>
        </w:rPr>
        <w:t xml:space="preserve">Scaling options.</w:t>
      </w:r>
      <w:r>
        <w:t xml:space="preserve"> </w:t>
      </w:r>
      <w:r>
        <w:t xml:space="preserve">App servers and workers scale horizontally; replicas scale reads; the primary still takes every write.</w:t>
      </w:r>
    </w:p>
    <w:p>
      <w:pPr>
        <w:pStyle w:val="FirstParagraph"/>
      </w:pPr>
      <w:r>
        <w:rPr>
          <w:bCs/>
          <w:b/>
        </w:rPr>
        <w:t xml:space="preserve">Stage 3 — 10,000,000 DAU: scale every tier and survive a zone failure.</w:t>
      </w:r>
      <w:r>
        <w:t xml:space="preserve"> </w:t>
      </w:r>
      <w:r>
        <w:t xml:space="preserve">The estimator now gives about 5,800 average and 17,400 peak photo views per second, about 1,700 peak feed API RPS, 5 TB of new photo data per day (1.8 PB per year before replication) and about 9.3 Gbit/s of average image egress (28 Gbit/s at peak). The availability target rises to</w:t>
      </w:r>
      <w:r>
        <w:t xml:space="preserve"> </w:t>
      </w:r>
      <w:r>
        <w:t xml:space="preserve">“</w:t>
      </w:r>
      <w:r>
        <w:t xml:space="preserve">survive loss of one availability zone</w:t>
      </w:r>
      <w:r>
        <w:t xml:space="preserve">”</w:t>
      </w:r>
      <w:r>
        <w:t xml:space="preserve">. The design splits into a few services along clear data-ownership lines, partitions the metadata database by user ID (Ch 14), precomputes feeds asynchronously when a photo is posted (</w:t>
      </w:r>
      <w:r>
        <w:rPr>
          <w:iCs/>
          <w:i/>
        </w:rPr>
        <w:t xml:space="preserve">fan-out on write</w:t>
      </w:r>
      <w:r>
        <w:t xml:space="preserve">, examined in §53.3), and runs in at least two zones.</w:t>
      </w:r>
    </w:p>
    <w:p>
      <w:pPr>
        <w:pStyle w:val="BodyText"/>
      </w:pPr>
      <w:r>
        <w:rPr>
          <w:bCs/>
          <w:b/>
        </w:rPr>
        <w:t xml:space="preserve">Figure 1.7 — PhotoShare v3: services, partitioned data and multi-zone deployment.</w:t>
      </w:r>
    </w:p>
    <w:p>
      <w:pPr>
        <w:pStyle w:val="BodyText"/>
      </w:pPr>
      <w:r>
        <w:drawing>
          <wp:inline>
            <wp:extent cx="5334000" cy="2200667"/>
            <wp:effectExtent b="0" l="0" r="0" t="0"/>
            <wp:docPr descr="" title="" id="109" name="Picture"/>
            <a:graphic>
              <a:graphicData uri="http://schemas.openxmlformats.org/drawingml/2006/picture">
                <pic:pic>
                  <pic:nvPicPr>
                    <pic:cNvPr descr="/home/user/System-Design/build/.cache/diagrams/b0f5dbf37c52.png" id="110" name="Picture"/>
                    <pic:cNvPicPr>
                      <a:picLocks noChangeArrowheads="1" noChangeAspect="1"/>
                    </pic:cNvPicPr>
                  </pic:nvPicPr>
                  <pic:blipFill>
                    <a:blip r:embed="rId108"/>
                    <a:stretch>
                      <a:fillRect/>
                    </a:stretch>
                  </pic:blipFill>
                  <pic:spPr bwMode="auto">
                    <a:xfrm>
                      <a:off x="0" y="0"/>
                      <a:ext cx="5334000" cy="2200667"/>
                    </a:xfrm>
                    <a:prstGeom prst="rect">
                      <a:avLst/>
                    </a:prstGeom>
                    <a:noFill/>
                    <a:ln w="9525">
                      <a:noFill/>
                      <a:headEnd/>
                      <a:tailEnd/>
                    </a:ln>
                  </pic:spPr>
                </pic:pic>
              </a:graphicData>
            </a:graphic>
          </wp:inline>
        </w:drawing>
      </w:r>
    </w:p>
    <w:p>
      <w:pPr>
        <w:pStyle w:val="BodyText"/>
      </w:pPr>
      <w:r>
        <w:rPr>
          <w:bCs/>
          <w:b/>
        </w:rPr>
        <w:t xml:space="preserve">Reading the diagram.</w:t>
      </w:r>
    </w:p>
    <w:p>
      <w:pPr>
        <w:numPr>
          <w:ilvl w:val="0"/>
          <w:numId w:val="1025"/>
        </w:numPr>
        <w:pStyle w:val="Compact"/>
      </w:pPr>
      <w:r>
        <w:rPr>
          <w:bCs/>
          <w:b/>
        </w:rPr>
        <w:t xml:space="preserve">Components.</w:t>
      </w:r>
      <w:r>
        <w:t xml:space="preserve"> </w:t>
      </w:r>
      <w:r>
        <w:t xml:space="preserve">An</w:t>
      </w:r>
      <w:r>
        <w:t xml:space="preserve"> </w:t>
      </w:r>
      <w:r>
        <w:rPr>
          <w:iCs/>
          <w:i/>
        </w:rPr>
        <w:t xml:space="preserve">API gateway</w:t>
      </w:r>
      <w:r>
        <w:t xml:space="preserve"> </w:t>
      </w:r>
      <w:r>
        <w:t xml:space="preserve">authenticates and routes requests (§34.6). The</w:t>
      </w:r>
      <w:r>
        <w:t xml:space="preserve"> </w:t>
      </w:r>
      <w:r>
        <w:rPr>
          <w:iCs/>
          <w:i/>
        </w:rPr>
        <w:t xml:space="preserve">upload</w:t>
      </w:r>
      <w:r>
        <w:t xml:space="preserve">,</w:t>
      </w:r>
      <w:r>
        <w:t xml:space="preserve"> </w:t>
      </w:r>
      <w:r>
        <w:rPr>
          <w:iCs/>
          <w:i/>
        </w:rPr>
        <w:t xml:space="preserve">feed</w:t>
      </w:r>
      <w:r>
        <w:t xml:space="preserve"> </w:t>
      </w:r>
      <w:r>
        <w:t xml:space="preserve">and</w:t>
      </w:r>
      <w:r>
        <w:t xml:space="preserve"> </w:t>
      </w:r>
      <w:r>
        <w:rPr>
          <w:iCs/>
          <w:i/>
        </w:rPr>
        <w:t xml:space="preserve">user and graph</w:t>
      </w:r>
      <w:r>
        <w:t xml:space="preserve"> </w:t>
      </w:r>
      <w:r>
        <w:t xml:space="preserve">services each own their data. An</w:t>
      </w:r>
      <w:r>
        <w:t xml:space="preserve"> </w:t>
      </w:r>
      <w:r>
        <w:rPr>
          <w:iCs/>
          <w:i/>
        </w:rPr>
        <w:t xml:space="preserve">event log</w:t>
      </w:r>
      <w:r>
        <w:t xml:space="preserve"> </w:t>
      </w:r>
      <w:r>
        <w:t xml:space="preserve">(Ch 31) records</w:t>
      </w:r>
      <w:r>
        <w:t xml:space="preserve"> </w:t>
      </w:r>
      <w:r>
        <w:t xml:space="preserve">“</w:t>
      </w:r>
      <w:r>
        <w:t xml:space="preserve">photo posted</w:t>
      </w:r>
      <w:r>
        <w:t xml:space="preserve">”</w:t>
      </w:r>
      <w:r>
        <w:t xml:space="preserve"> </w:t>
      </w:r>
      <w:r>
        <w:t xml:space="preserve">events;</w:t>
      </w:r>
      <w:r>
        <w:t xml:space="preserve"> </w:t>
      </w:r>
      <w:r>
        <w:rPr>
          <w:iCs/>
          <w:i/>
        </w:rPr>
        <w:t xml:space="preserve">fan-out workers</w:t>
      </w:r>
      <w:r>
        <w:t xml:space="preserve"> </w:t>
      </w:r>
      <w:r>
        <w:t xml:space="preserve">insert the new photo ID into each follower’s precomputed feed in the</w:t>
      </w:r>
      <w:r>
        <w:t xml:space="preserve"> </w:t>
      </w:r>
      <w:r>
        <w:rPr>
          <w:iCs/>
          <w:i/>
        </w:rPr>
        <w:t xml:space="preserve">feed cache</w:t>
      </w:r>
      <w:r>
        <w:t xml:space="preserve">;</w:t>
      </w:r>
      <w:r>
        <w:t xml:space="preserve"> </w:t>
      </w:r>
      <w:r>
        <w:rPr>
          <w:iCs/>
          <w:i/>
        </w:rPr>
        <w:t xml:space="preserve">thumbnail workers</w:t>
      </w:r>
      <w:r>
        <w:t xml:space="preserve"> </w:t>
      </w:r>
      <w:r>
        <w:t xml:space="preserve">consume the same events. Photo metadata is</w:t>
      </w:r>
      <w:r>
        <w:t xml:space="preserve"> </w:t>
      </w:r>
      <w:r>
        <w:rPr>
          <w:bCs/>
          <w:b/>
        </w:rPr>
        <w:t xml:space="preserve">partitioned</w:t>
      </w:r>
      <w:r>
        <w:t xml:space="preserve"> </w:t>
      </w:r>
      <w:r>
        <w:t xml:space="preserve">by user ID across many database nodes.</w:t>
      </w:r>
    </w:p>
    <w:p>
      <w:pPr>
        <w:numPr>
          <w:ilvl w:val="0"/>
          <w:numId w:val="1025"/>
        </w:numPr>
        <w:pStyle w:val="Compact"/>
      </w:pPr>
      <w:r>
        <w:rPr>
          <w:bCs/>
          <w:b/>
        </w:rPr>
        <w:t xml:space="preserve">Protocols.</w:t>
      </w:r>
      <w:r>
        <w:t xml:space="preserve"> </w:t>
      </w:r>
      <w:r>
        <w:t xml:space="preserve">HTTPS at the edge; internal RPC (for example gRPC, §8.8) between gateway and services; the event log’s protocol for producers and consumers.</w:t>
      </w:r>
    </w:p>
    <w:p>
      <w:pPr>
        <w:numPr>
          <w:ilvl w:val="0"/>
          <w:numId w:val="1025"/>
        </w:numPr>
        <w:pStyle w:val="Compact"/>
      </w:pPr>
      <w:r>
        <w:rPr>
          <w:bCs/>
          <w:b/>
        </w:rPr>
        <w:t xml:space="preserve">Direction and sync/async.</w:t>
      </w:r>
      <w:r>
        <w:t xml:space="preserve"> </w:t>
      </w:r>
      <w:r>
        <w:t xml:space="preserve">The read path (gateway → feed service → feed cache → metadata) is synchronous and short. The write path returns once the original and metadata are stored; everything else — thumbnails, fan-out — happens asynchronously from the event log, so a user with 100,000 followers does not make the upload slow.</w:t>
      </w:r>
    </w:p>
    <w:p>
      <w:pPr>
        <w:numPr>
          <w:ilvl w:val="0"/>
          <w:numId w:val="1025"/>
        </w:numPr>
        <w:pStyle w:val="Compact"/>
      </w:pPr>
      <w:r>
        <w:rPr>
          <w:bCs/>
          <w:b/>
        </w:rPr>
        <w:t xml:space="preserve">Storage boundaries.</w:t>
      </w:r>
      <w:r>
        <w:t xml:space="preserve"> </w:t>
      </w:r>
      <w:r>
        <w:t xml:space="preserve">Object storage and the CDN are regional or global managed services outside the zone boundary; metadata, the event log and the feed cache are replicated across zones.</w:t>
      </w:r>
    </w:p>
    <w:p>
      <w:pPr>
        <w:numPr>
          <w:ilvl w:val="0"/>
          <w:numId w:val="1025"/>
        </w:numPr>
        <w:pStyle w:val="Compact"/>
      </w:pPr>
      <w:r>
        <w:rPr>
          <w:bCs/>
          <w:b/>
        </w:rPr>
        <w:t xml:space="preserve">Failure points.</w:t>
      </w:r>
      <w:r>
        <w:t xml:space="preserve"> </w:t>
      </w:r>
      <w:r>
        <w:t xml:space="preserve">Loss of a zone: traffic shifts to the mirror zone, which must have spare capacity (≥ 50% headroom with two zones). Fan-out lag: followers see new photos seconds late — acceptable under the</w:t>
      </w:r>
      <w:r>
        <w:t xml:space="preserve"> </w:t>
      </w:r>
      <w:r>
        <w:t xml:space="preserve">“</w:t>
      </w:r>
      <w:r>
        <w:t xml:space="preserve">within 5 s</w:t>
      </w:r>
      <w:r>
        <w:t xml:space="preserve">”</w:t>
      </w:r>
      <w:r>
        <w:t xml:space="preserve"> </w:t>
      </w:r>
      <w:r>
        <w:t xml:space="preserve">consistency NFR, and visible as event-log consumer lag in monitoring (Ch 40). Celebrity accounts with tens of millions of followers make fan-out on write too expensive; a hybrid with</w:t>
      </w:r>
      <w:r>
        <w:t xml:space="preserve"> </w:t>
      </w:r>
      <w:r>
        <w:rPr>
          <w:iCs/>
          <w:i/>
        </w:rPr>
        <w:t xml:space="preserve">fan-out on read</w:t>
      </w:r>
      <w:r>
        <w:t xml:space="preserve"> </w:t>
      </w:r>
      <w:r>
        <w:t xml:space="preserve">for those accounts is the standard fix (§53.3).</w:t>
      </w:r>
    </w:p>
    <w:p>
      <w:pPr>
        <w:numPr>
          <w:ilvl w:val="0"/>
          <w:numId w:val="1025"/>
        </w:numPr>
        <w:pStyle w:val="Compact"/>
      </w:pPr>
      <w:r>
        <w:rPr>
          <w:bCs/>
          <w:b/>
        </w:rPr>
        <w:t xml:space="preserve">Scaling options.</w:t>
      </w:r>
      <w:r>
        <w:t xml:space="preserve"> </w:t>
      </w:r>
      <w:r>
        <w:t xml:space="preserve">Every service is stateless and scales horizontally; metadata scales by adding partitions; the event log by adding partitions and consumers; the CDN absorbs image egress.</w:t>
      </w:r>
    </w:p>
    <w:p>
      <w:pPr>
        <w:pStyle w:val="FirstParagraph"/>
      </w:pPr>
      <w:r>
        <w:rPr>
          <w:bCs/>
          <w:b/>
        </w:rPr>
        <w:t xml:space="preserve">Table 1.14 — PhotoShare stages, triggers and costs.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Stage</w:t>
            </w:r>
          </w:p>
        </w:tc>
        <w:tc>
          <w:tcPr/>
          <w:p>
            <w:pPr>
              <w:pStyle w:val="Compact"/>
              <w:jc w:val="left"/>
            </w:pPr>
            <w:r>
              <w:t xml:space="preserve">DAU</w:t>
            </w:r>
          </w:p>
        </w:tc>
        <w:tc>
          <w:tcPr/>
          <w:p>
            <w:pPr>
              <w:pStyle w:val="Compact"/>
              <w:jc w:val="left"/>
            </w:pPr>
            <w:r>
              <w:t xml:space="preserve">Trigger (broken requirement)</w:t>
            </w:r>
          </w:p>
        </w:tc>
        <w:tc>
          <w:tcPr/>
          <w:p>
            <w:pPr>
              <w:pStyle w:val="Compact"/>
              <w:jc w:val="left"/>
            </w:pPr>
            <w:r>
              <w:t xml:space="preserve">Key changes</w:t>
            </w:r>
          </w:p>
        </w:tc>
        <w:tc>
          <w:tcPr/>
          <w:p>
            <w:pPr>
              <w:pStyle w:val="Compact"/>
              <w:jc w:val="left"/>
            </w:pPr>
            <w:r>
              <w:t xml:space="preserve">New cost or complexity</w:t>
            </w:r>
          </w:p>
        </w:tc>
      </w:tr>
      <w:tr>
        <w:tc>
          <w:tcPr/>
          <w:p>
            <w:pPr>
              <w:pStyle w:val="Compact"/>
              <w:jc w:val="left"/>
            </w:pPr>
            <w:r>
              <w:t xml:space="preserve">v0 (Fig. 1.1)</w:t>
            </w:r>
          </w:p>
        </w:tc>
        <w:tc>
          <w:tcPr/>
          <w:p>
            <w:pPr>
              <w:pStyle w:val="Compact"/>
              <w:jc w:val="left"/>
            </w:pPr>
            <w:r>
              <w:t xml:space="preserve">1,000</w:t>
            </w:r>
          </w:p>
        </w:tc>
        <w:tc>
          <w:tcPr/>
          <w:p>
            <w:pPr>
              <w:pStyle w:val="Compact"/>
              <w:jc w:val="left"/>
            </w:pPr>
            <w:r>
              <w:t xml:space="preserve">—</w:t>
            </w:r>
          </w:p>
        </w:tc>
        <w:tc>
          <w:tcPr/>
          <w:p>
            <w:pPr>
              <w:pStyle w:val="Compact"/>
              <w:jc w:val="left"/>
            </w:pPr>
            <w:r>
              <w:t xml:space="preserve">One VM</w:t>
            </w:r>
          </w:p>
        </w:tc>
        <w:tc>
          <w:tcPr/>
          <w:p>
            <w:pPr>
              <w:pStyle w:val="Compact"/>
              <w:jc w:val="left"/>
            </w:pPr>
            <w:r>
              <w:t xml:space="preserve">SPOF; no backups</w:t>
            </w:r>
          </w:p>
        </w:tc>
      </w:tr>
      <w:tr>
        <w:tc>
          <w:tcPr/>
          <w:p>
            <w:pPr>
              <w:pStyle w:val="Compact"/>
              <w:jc w:val="left"/>
            </w:pPr>
            <w:r>
              <w:t xml:space="preserve">v1 (Fig. 1.5)</w:t>
            </w:r>
          </w:p>
        </w:tc>
        <w:tc>
          <w:tcPr/>
          <w:p>
            <w:pPr>
              <w:pStyle w:val="Compact"/>
              <w:jc w:val="left"/>
            </w:pPr>
            <w:r>
              <w:t xml:space="preserve">100,000</w:t>
            </w:r>
          </w:p>
        </w:tc>
        <w:tc>
          <w:tcPr/>
          <w:p>
            <w:pPr>
              <w:pStyle w:val="Compact"/>
              <w:jc w:val="left"/>
            </w:pPr>
            <w:r>
              <w:t xml:space="preserve">99.9% availability; disk filling</w:t>
            </w:r>
          </w:p>
        </w:tc>
        <w:tc>
          <w:tcPr/>
          <w:p>
            <w:pPr>
              <w:pStyle w:val="Compact"/>
              <w:jc w:val="left"/>
            </w:pPr>
            <w:r>
              <w:t xml:space="preserve">LB, stateless app servers, managed DB plus standby, object storage, CDN</w:t>
            </w:r>
          </w:p>
        </w:tc>
        <w:tc>
          <w:tcPr/>
          <w:p>
            <w:pPr>
              <w:pStyle w:val="Compact"/>
              <w:jc w:val="left"/>
            </w:pPr>
            <w:r>
              <w:t xml:space="preserve">Network hops; managed-service bills; failover semantics</w:t>
            </w:r>
          </w:p>
        </w:tc>
      </w:tr>
      <w:tr>
        <w:tc>
          <w:tcPr/>
          <w:p>
            <w:pPr>
              <w:pStyle w:val="Compact"/>
              <w:jc w:val="left"/>
            </w:pPr>
            <w:r>
              <w:t xml:space="preserve">v2 (Fig. 1.6)</w:t>
            </w:r>
          </w:p>
        </w:tc>
        <w:tc>
          <w:tcPr/>
          <w:p>
            <w:pPr>
              <w:pStyle w:val="Compact"/>
              <w:jc w:val="left"/>
            </w:pPr>
            <w:r>
              <w:t xml:space="preserve">1,000,000</w:t>
            </w:r>
          </w:p>
        </w:tc>
        <w:tc>
          <w:tcPr/>
          <w:p>
            <w:pPr>
              <w:pStyle w:val="Compact"/>
              <w:jc w:val="left"/>
            </w:pPr>
            <w:r>
              <w:t xml:space="preserve">DB CPU saturated; upload p99 &gt; 3 s</w:t>
            </w:r>
          </w:p>
        </w:tc>
        <w:tc>
          <w:tcPr/>
          <w:p>
            <w:pPr>
              <w:pStyle w:val="Compact"/>
              <w:jc w:val="left"/>
            </w:pPr>
            <w:r>
              <w:t xml:space="preserve">Cache, read replicas, job queue, workers</w:t>
            </w:r>
          </w:p>
        </w:tc>
        <w:tc>
          <w:tcPr/>
          <w:p>
            <w:pPr>
              <w:pStyle w:val="Compact"/>
              <w:jc w:val="left"/>
            </w:pPr>
            <w:r>
              <w:t xml:space="preserve">Stale reads; cache invalidation; queue operations</w:t>
            </w:r>
          </w:p>
        </w:tc>
      </w:tr>
      <w:tr>
        <w:tc>
          <w:tcPr/>
          <w:p>
            <w:pPr>
              <w:pStyle w:val="Compact"/>
              <w:jc w:val="left"/>
            </w:pPr>
            <w:r>
              <w:t xml:space="preserve">v3 (Fig. 1.7)</w:t>
            </w:r>
          </w:p>
        </w:tc>
        <w:tc>
          <w:tcPr/>
          <w:p>
            <w:pPr>
              <w:pStyle w:val="Compact"/>
              <w:jc w:val="left"/>
            </w:pPr>
            <w:r>
              <w:t xml:space="preserve">10,000,000</w:t>
            </w:r>
          </w:p>
        </w:tc>
        <w:tc>
          <w:tcPr/>
          <w:p>
            <w:pPr>
              <w:pStyle w:val="Compact"/>
              <w:jc w:val="left"/>
            </w:pPr>
            <w:r>
              <w:t xml:space="preserve">Zone-failure tolerance; write volume; 28 Gbit/s egress</w:t>
            </w:r>
          </w:p>
        </w:tc>
        <w:tc>
          <w:tcPr/>
          <w:p>
            <w:pPr>
              <w:pStyle w:val="Compact"/>
              <w:jc w:val="left"/>
            </w:pPr>
            <w:r>
              <w:t xml:space="preserve">Services, partitioned metadata, event log, precomputed feeds, multi-zone</w:t>
            </w:r>
          </w:p>
        </w:tc>
        <w:tc>
          <w:tcPr/>
          <w:p>
            <w:pPr>
              <w:pStyle w:val="Compact"/>
              <w:jc w:val="left"/>
            </w:pPr>
            <w:r>
              <w:t xml:space="preserve">Distributed-systems failure modes; more teams and on-call</w:t>
            </w:r>
          </w:p>
        </w:tc>
      </w:tr>
    </w:tbl>
    <w:bookmarkEnd w:id="111"/>
    <w:bookmarkStart w:id="112" w:name="mathematical-foundations-3"/>
    <w:p>
      <w:pPr>
        <w:pStyle w:val="Heading4"/>
      </w:pPr>
      <w:r>
        <w:t xml:space="preserve">Mathematical foundations</w:t>
      </w:r>
    </w:p>
    <w:p>
      <w:pPr>
        <w:pStyle w:val="CalloutExample"/>
      </w:pPr>
      <w:r>
        <w:rPr>
          <w:bCs/>
          <w:b/>
        </w:rPr>
        <w:t xml:space="preserve">WORKED EXAMPLE</w:t>
      </w:r>
    </w:p>
    <w:p>
      <w:pPr>
        <w:pStyle w:val="CalloutExample"/>
      </w:pPr>
      <w:r>
        <w:rPr>
          <w:bCs/>
          <w:b/>
        </w:rPr>
        <w:t xml:space="preserve">Worked example — The cost of one wrong early decision.</w:t>
      </w:r>
    </w:p>
    <w:p>
      <w:pPr>
        <w:pStyle w:val="CalloutExample"/>
      </w:pPr>
      <w:r>
        <w:t xml:space="preserve">Suppose PhotoShare had</w:t>
      </w:r>
      <w:r>
        <w:t xml:space="preserve"> </w:t>
      </w:r>
      <w:r>
        <w:rPr>
          <w:iCs/>
          <w:i/>
        </w:rPr>
        <w:t xml:space="preserve">not</w:t>
      </w:r>
      <w:r>
        <w:t xml:space="preserve"> </w:t>
      </w:r>
      <w:r>
        <w:t xml:space="preserve">written ADR-0003 and kept files on application-server disks until 1,000,000 DAU, by which time roughly 100 days at 0.5 TB/day had accumulated about 50 TB.</w:t>
      </w:r>
    </w:p>
    <w:p>
      <w:pPr>
        <w:numPr>
          <w:ilvl w:val="0"/>
          <w:numId w:val="1026"/>
        </w:numPr>
        <w:pStyle w:val="Compact"/>
      </w:pPr>
      <w:r>
        <w:t xml:space="preserve">Data to move:</w:t>
      </w:r>
      <w:r>
        <w:t xml:space="preserve"> </w:t>
      </w:r>
      <m:oMath>
        <m:r>
          <m:t>50</m:t>
        </m:r>
        <m:r>
          <m:rPr>
            <m:nor/>
            <m:sty m:val="p"/>
          </m:rPr>
          <m:t> TB</m:t>
        </m:r>
        <m:r>
          <m:rPr>
            <m:sty m:val="p"/>
          </m:rPr>
          <m:t>=</m:t>
        </m:r>
        <m:r>
          <m:t>50</m:t>
        </m:r>
        <m:r>
          <m:rPr>
            <m:sty m:val="p"/>
          </m:rPr>
          <m:t>×</m:t>
        </m:r>
        <m:sSup>
          <m:e>
            <m:r>
              <m:t>10</m:t>
            </m:r>
          </m:e>
          <m:sup>
            <m:r>
              <m:t>12</m:t>
            </m:r>
          </m:sup>
        </m:sSup>
      </m:oMath>
      <w:r>
        <w:t xml:space="preserve"> </w:t>
      </w:r>
      <w:r>
        <w:t xml:space="preserve">bytes</w:t>
      </w:r>
      <w:r>
        <w:t xml:space="preserve"> </w:t>
      </w:r>
      <m:oMath>
        <m:r>
          <m:rPr>
            <m:sty m:val="p"/>
          </m:rPr>
          <m:t>=</m:t>
        </m:r>
        <m:r>
          <m:t>4</m:t>
        </m:r>
        <m:r>
          <m:rPr>
            <m:sty m:val="p"/>
          </m:rPr>
          <m:t>×</m:t>
        </m:r>
        <m:sSup>
          <m:e>
            <m:r>
              <m:t>10</m:t>
            </m:r>
          </m:e>
          <m:sup>
            <m:r>
              <m:t>14</m:t>
            </m:r>
          </m:sup>
        </m:sSup>
      </m:oMath>
      <w:r>
        <w:t xml:space="preserve"> </w:t>
      </w:r>
      <w:r>
        <w:t xml:space="preserve">bits.</w:t>
      </w:r>
    </w:p>
    <w:p>
      <w:pPr>
        <w:numPr>
          <w:ilvl w:val="0"/>
          <w:numId w:val="1026"/>
        </w:numPr>
        <w:pStyle w:val="Compact"/>
      </w:pPr>
      <w:r>
        <w:t xml:space="preserve">Available copy bandwidth, without starving production traffic: assume 1 Gbit/s</w:t>
      </w:r>
      <w:r>
        <w:t xml:space="preserve"> </w:t>
      </w:r>
      <m:oMath>
        <m:r>
          <m:rPr>
            <m:sty m:val="p"/>
          </m:rPr>
          <m:t>=</m:t>
        </m:r>
        <m:sSup>
          <m:e>
            <m:r>
              <m:t>10</m:t>
            </m:r>
          </m:e>
          <m:sup>
            <m:r>
              <m:t>9</m:t>
            </m:r>
          </m:sup>
        </m:sSup>
      </m:oMath>
      <w:r>
        <w:t xml:space="preserve"> </w:t>
      </w:r>
      <w:r>
        <w:t xml:space="preserve">bit/s.</w:t>
      </w:r>
    </w:p>
    <w:p>
      <w:pPr>
        <w:numPr>
          <w:ilvl w:val="0"/>
          <w:numId w:val="1026"/>
        </w:numPr>
        <w:pStyle w:val="Compact"/>
      </w:pPr>
      <w:r>
        <w:t xml:space="preserve">Copy time:</w:t>
      </w:r>
      <w:r>
        <w:t xml:space="preserve"> </w:t>
      </w:r>
      <m:oMath>
        <m:r>
          <m:t>4</m:t>
        </m:r>
        <m:r>
          <m:rPr>
            <m:sty m:val="p"/>
          </m:rPr>
          <m:t>×</m:t>
        </m:r>
        <m:sSup>
          <m:e>
            <m:r>
              <m:t>10</m:t>
            </m:r>
          </m:e>
          <m:sup>
            <m:r>
              <m:t>14</m:t>
            </m:r>
          </m:sup>
        </m:sSup>
        <m:r>
          <m:rPr>
            <m:sty m:val="p"/>
          </m:rPr>
          <m:t>/</m:t>
        </m:r>
        <m:sSup>
          <m:e>
            <m:r>
              <m:t>10</m:t>
            </m:r>
          </m:e>
          <m:sup>
            <m:r>
              <m:t>9</m:t>
            </m:r>
          </m:sup>
        </m:sSup>
        <m:r>
          <m:rPr>
            <m:sty m:val="p"/>
          </m:rPr>
          <m:t>=</m:t>
        </m:r>
        <m:r>
          <m:t>4</m:t>
        </m:r>
        <m:r>
          <m:rPr>
            <m:sty m:val="p"/>
          </m:rPr>
          <m:t>×</m:t>
        </m:r>
        <m:sSup>
          <m:e>
            <m:r>
              <m:t>10</m:t>
            </m:r>
          </m:e>
          <m:sup>
            <m:r>
              <m:t>5</m:t>
            </m:r>
          </m:sup>
        </m:sSup>
      </m:oMath>
      <w:r>
        <w:t xml:space="preserve"> </w:t>
      </w:r>
      <w:r>
        <w:t xml:space="preserve">s</w:t>
      </w:r>
      <w:r>
        <w:t xml:space="preserve"> </w:t>
      </w:r>
      <m:oMath>
        <m:r>
          <m:rPr>
            <m:sty m:val="p"/>
          </m:rPr>
          <m:t>≈</m:t>
        </m:r>
        <m:r>
          <m:t>111</m:t>
        </m:r>
      </m:oMath>
      <w:r>
        <w:t xml:space="preserve"> </w:t>
      </w:r>
      <w:r>
        <w:t xml:space="preserve">h</w:t>
      </w:r>
      <w:r>
        <w:t xml:space="preserve"> </w:t>
      </w:r>
      <m:oMath>
        <m:r>
          <m:rPr>
            <m:sty m:val="p"/>
          </m:rPr>
          <m:t>≈</m:t>
        </m:r>
        <m:r>
          <m:t>4.6</m:t>
        </m:r>
      </m:oMath>
      <w:r>
        <w:t xml:space="preserve"> </w:t>
      </w:r>
      <w:r>
        <w:t xml:space="preserve">days of continuous copying.</w:t>
      </w:r>
    </w:p>
    <w:p>
      <w:pPr>
        <w:numPr>
          <w:ilvl w:val="0"/>
          <w:numId w:val="1026"/>
        </w:numPr>
        <w:pStyle w:val="Compact"/>
      </w:pPr>
      <w:r>
        <w:t xml:space="preserve">Meanwhile 0.5 TB/day of new uploads keeps arriving, so the migration also needs dual-writes, verification checksums, a cut-over plan and a rollback plan — realistically several engineer-weeks, plus risk of data loss.</w:t>
      </w:r>
    </w:p>
    <w:p>
      <w:pPr>
        <w:pStyle w:val="CalloutExample"/>
      </w:pPr>
      <w:r>
        <w:rPr>
          <w:bCs/>
          <w:b/>
        </w:rPr>
        <w:t xml:space="preserve">Interpretation.</w:t>
      </w:r>
      <w:r>
        <w:t xml:space="preserve"> </w:t>
      </w:r>
      <w:r>
        <w:t xml:space="preserve">Making the decision at v1 with 2 TB took a few hours of copying; deferring it made it 25× larger and turned it into a project.</w:t>
      </w:r>
    </w:p>
    <w:p>
      <w:pPr>
        <w:pStyle w:val="CalloutExample"/>
      </w:pPr>
      <w:r>
        <w:rPr>
          <w:bCs/>
          <w:b/>
        </w:rPr>
        <w:t xml:space="preserve">Engineering implication.</w:t>
      </w:r>
      <w:r>
        <w:t xml:space="preserve"> </w:t>
      </w:r>
      <w:r>
        <w:t xml:space="preserve">Decisions about</w:t>
      </w:r>
      <w:r>
        <w:t xml:space="preserve"> </w:t>
      </w:r>
      <w:r>
        <w:rPr>
          <w:iCs/>
          <w:i/>
        </w:rPr>
        <w:t xml:space="preserve">where data lives</w:t>
      </w:r>
      <w:r>
        <w:t xml:space="preserve"> </w:t>
      </w:r>
      <w:r>
        <w:t xml:space="preserve">should be made early and on purpose, even when the system is small. Decisions about</w:t>
      </w:r>
      <w:r>
        <w:t xml:space="preserve"> </w:t>
      </w:r>
      <w:r>
        <w:rPr>
          <w:iCs/>
          <w:i/>
        </w:rPr>
        <w:t xml:space="preserve">how much compute you run</w:t>
      </w:r>
      <w:r>
        <w:t xml:space="preserve"> </w:t>
      </w:r>
      <w:r>
        <w:t xml:space="preserve">can safely wait.</w:t>
      </w:r>
    </w:p>
    <w:bookmarkEnd w:id="112"/>
    <w:bookmarkStart w:id="113" w:name="real-world-industry-applications-4"/>
    <w:p>
      <w:pPr>
        <w:pStyle w:val="Heading4"/>
      </w:pPr>
      <w:r>
        <w:t xml:space="preserve">Real-world industry applications</w:t>
      </w:r>
    </w:p>
    <w:p>
      <w:pPr>
        <w:pStyle w:val="CalloutIndustry"/>
      </w:pPr>
      <w:r>
        <w:rPr>
          <w:bCs/>
          <w:b/>
        </w:rPr>
        <w:t xml:space="preserve">INDUSTRY EXAMPLE</w:t>
      </w:r>
    </w:p>
    <w:p>
      <w:pPr>
        <w:pStyle w:val="CalloutIndustry"/>
      </w:pPr>
      <w:r>
        <w:rPr>
          <w:bCs/>
          <w:b/>
        </w:rPr>
        <w:t xml:space="preserve">Knight Capital (2012).</w:t>
      </w:r>
      <w:r>
        <w:t xml:space="preserve"> </w:t>
      </w:r>
      <w:r>
        <w:t xml:space="preserve">On 1 August 2012, Knight Capital deployed new trading code to its order-routing servers using a manual process; one of eight servers did not receive the new code, and a repurposed configuration flag activated long-unused legacy logic on that server. In about 45 minutes the firm executed millions of unintended trades and lost more than $460 million. The U.S. Securities and Exchange Commission’s subsequent order cites, among other failures, the lack of adequate technical controls and written procedures for deployment. The lesson for designers: deployability and operability (Table 1.8) are architectural qualities, not afterthoughts — dead code, reused flags and manual deploys are design decisions with consequences.</w:t>
      </w:r>
      <w:r>
        <w:t xml:space="preserve"> </w:t>
      </w:r>
      <w:r>
        <w:rPr>
          <w:iCs/>
          <w:i/>
        </w:rPr>
        <w:t xml:space="preserve">Evidence: Primary</w:t>
      </w:r>
      <w:r>
        <w:t xml:space="preserve"> </w:t>
      </w:r>
      <w:r>
        <w:t xml:space="preserve">— [SEC 2013]</w:t>
      </w:r>
    </w:p>
    <w:p>
      <w:pPr>
        <w:pStyle w:val="CalloutIndustry"/>
      </w:pPr>
      <w:r>
        <w:rPr>
          <w:bCs/>
          <w:b/>
        </w:rPr>
        <w:t xml:space="preserve">INDUSTRY EXAMPLE</w:t>
      </w:r>
    </w:p>
    <w:p>
      <w:pPr>
        <w:pStyle w:val="CalloutIndustry"/>
      </w:pPr>
      <w:r>
        <w:rPr>
          <w:bCs/>
          <w:b/>
        </w:rPr>
        <w:t xml:space="preserve">A counter that outgrew its integer.</w:t>
      </w:r>
      <w:r>
        <w:t xml:space="preserve"> </w:t>
      </w:r>
      <w:r>
        <w:t xml:space="preserve">In December 2014 YouTube reported that the view count of the music video</w:t>
      </w:r>
      <w:r>
        <w:t xml:space="preserve"> </w:t>
      </w:r>
      <w:r>
        <w:t xml:space="preserve">“</w:t>
      </w:r>
      <w:r>
        <w:t xml:space="preserve">Gangnam Style</w:t>
      </w:r>
      <w:r>
        <w:t xml:space="preserve">”</w:t>
      </w:r>
      <w:r>
        <w:t xml:space="preserve"> </w:t>
      </w:r>
      <w:r>
        <w:t xml:space="preserve">had exceeded the maximum value of a signed 32-bit integer (2,147,483,647), and that the counter had been upgraded to a 64-bit integer. Choosing the width of an identifier or counter is a tiny decision on day one and a data migration years later.</w:t>
      </w:r>
      <w:r>
        <w:t xml:space="preserve"> </w:t>
      </w:r>
      <w:r>
        <w:rPr>
          <w:iCs/>
          <w:i/>
        </w:rPr>
        <w:t xml:space="preserve">Evidence: Secondary</w:t>
      </w:r>
      <w:r>
        <w:t xml:space="preserve"> </w:t>
      </w:r>
      <w:r>
        <w:t xml:space="preserve">— widely reported at the time; primary source to be confirmed (see §1.19).</w:t>
      </w:r>
    </w:p>
    <w:bookmarkEnd w:id="113"/>
    <w:bookmarkStart w:id="114" w:name="failure-scenarios-5"/>
    <w:p>
      <w:pPr>
        <w:pStyle w:val="Heading4"/>
      </w:pPr>
      <w:r>
        <w:t xml:space="preserve">Failure scenarios</w:t>
      </w:r>
    </w:p>
    <w:p>
      <w:pPr>
        <w:pStyle w:val="FirstParagraph"/>
      </w:pPr>
      <w:r>
        <w:rPr>
          <w:bCs/>
          <w:b/>
        </w:rPr>
        <w:t xml:space="preserve">Table 1.15 — Costly design failure patterns.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Stateful app servers block scaling</w:t>
            </w:r>
          </w:p>
        </w:tc>
        <w:tc>
          <w:tcPr/>
          <w:p>
            <w:pPr>
              <w:pStyle w:val="Compact"/>
              <w:jc w:val="left"/>
            </w:pPr>
            <w:r>
              <w:t xml:space="preserve">Files or sessions stored locally</w:t>
            </w:r>
          </w:p>
        </w:tc>
        <w:tc>
          <w:tcPr/>
          <w:p>
            <w:pPr>
              <w:pStyle w:val="Compact"/>
              <w:jc w:val="left"/>
            </w:pPr>
            <w:r>
              <w:t xml:space="preserve">New servers serve 404s or log users out</w:t>
            </w:r>
          </w:p>
        </w:tc>
        <w:tc>
          <w:tcPr/>
          <w:p>
            <w:pPr>
              <w:pStyle w:val="Compact"/>
              <w:jc w:val="left"/>
            </w:pPr>
            <w:r>
              <w:t xml:space="preserve">Move state to shared stores; migration</w:t>
            </w:r>
          </w:p>
        </w:tc>
        <w:tc>
          <w:tcPr/>
          <w:p>
            <w:pPr>
              <w:pStyle w:val="Compact"/>
              <w:jc w:val="left"/>
            </w:pPr>
            <w:r>
              <w:t xml:space="preserve">Stateless services by default (§18.5)</w:t>
            </w:r>
          </w:p>
        </w:tc>
      </w:tr>
      <w:tr>
        <w:tc>
          <w:tcPr/>
          <w:p>
            <w:pPr>
              <w:pStyle w:val="Compact"/>
              <w:jc w:val="left"/>
            </w:pPr>
            <w:r>
              <w:t xml:space="preserve">Identifier overflow</w:t>
            </w:r>
          </w:p>
        </w:tc>
        <w:tc>
          <w:tcPr/>
          <w:p>
            <w:pPr>
              <w:pStyle w:val="Compact"/>
              <w:jc w:val="left"/>
            </w:pPr>
            <w:r>
              <w:t xml:space="preserve">32-bit IDs or counters</w:t>
            </w:r>
          </w:p>
        </w:tc>
        <w:tc>
          <w:tcPr/>
          <w:p>
            <w:pPr>
              <w:pStyle w:val="Compact"/>
              <w:jc w:val="left"/>
            </w:pPr>
            <w:r>
              <w:t xml:space="preserve">Inserts fail at about 2.1 billion</w:t>
            </w:r>
          </w:p>
        </w:tc>
        <w:tc>
          <w:tcPr/>
          <w:p>
            <w:pPr>
              <w:pStyle w:val="Compact"/>
              <w:jc w:val="left"/>
            </w:pPr>
            <w:r>
              <w:t xml:space="preserve">Emergency schema migration</w:t>
            </w:r>
          </w:p>
        </w:tc>
        <w:tc>
          <w:tcPr/>
          <w:p>
            <w:pPr>
              <w:pStyle w:val="Compact"/>
              <w:jc w:val="left"/>
            </w:pPr>
            <w:r>
              <w:t xml:space="preserve">64-bit or globally unique IDs (§17.10)</w:t>
            </w:r>
          </w:p>
        </w:tc>
      </w:tr>
      <w:tr>
        <w:tc>
          <w:tcPr/>
          <w:p>
            <w:pPr>
              <w:pStyle w:val="Compact"/>
              <w:jc w:val="left"/>
            </w:pPr>
            <w:r>
              <w:t xml:space="preserve">Premature microservices</w:t>
            </w:r>
          </w:p>
        </w:tc>
        <w:tc>
          <w:tcPr/>
          <w:p>
            <w:pPr>
              <w:pStyle w:val="Compact"/>
              <w:jc w:val="left"/>
            </w:pPr>
            <w:r>
              <w:t xml:space="preserve">Splitting before boundaries are understood</w:t>
            </w:r>
          </w:p>
        </w:tc>
        <w:tc>
          <w:tcPr/>
          <w:p>
            <w:pPr>
              <w:pStyle w:val="Compact"/>
              <w:jc w:val="left"/>
            </w:pPr>
            <w:r>
              <w:t xml:space="preserve">Every feature touches many services</w:t>
            </w:r>
          </w:p>
        </w:tc>
        <w:tc>
          <w:tcPr/>
          <w:p>
            <w:pPr>
              <w:pStyle w:val="Compact"/>
              <w:jc w:val="left"/>
            </w:pPr>
            <w:r>
              <w:t xml:space="preserve">Merge into a modular monolith</w:t>
            </w:r>
          </w:p>
        </w:tc>
        <w:tc>
          <w:tcPr/>
          <w:p>
            <w:pPr>
              <w:pStyle w:val="Compact"/>
              <w:jc w:val="left"/>
            </w:pPr>
            <w:r>
              <w:t xml:space="preserve">Start with a modular monolith (§33.5)</w:t>
            </w:r>
          </w:p>
        </w:tc>
      </w:tr>
      <w:tr>
        <w:tc>
          <w:tcPr/>
          <w:p>
            <w:pPr>
              <w:pStyle w:val="Compact"/>
              <w:jc w:val="left"/>
            </w:pPr>
            <w:r>
              <w:t xml:space="preserve">Unplanned celebrity load</w:t>
            </w:r>
          </w:p>
        </w:tc>
        <w:tc>
          <w:tcPr/>
          <w:p>
            <w:pPr>
              <w:pStyle w:val="Compact"/>
              <w:jc w:val="left"/>
            </w:pPr>
            <w:r>
              <w:t xml:space="preserve">Design assumed uniform users</w:t>
            </w:r>
          </w:p>
        </w:tc>
        <w:tc>
          <w:tcPr/>
          <w:p>
            <w:pPr>
              <w:pStyle w:val="Compact"/>
              <w:jc w:val="left"/>
            </w:pPr>
            <w:r>
              <w:t xml:space="preserve">Hot partitions; fan-out lag</w:t>
            </w:r>
          </w:p>
        </w:tc>
        <w:tc>
          <w:tcPr/>
          <w:p>
            <w:pPr>
              <w:pStyle w:val="Compact"/>
              <w:jc w:val="left"/>
            </w:pPr>
            <w:r>
              <w:t xml:space="preserve">Special-case heavy users</w:t>
            </w:r>
          </w:p>
        </w:tc>
        <w:tc>
          <w:tcPr/>
          <w:p>
            <w:pPr>
              <w:pStyle w:val="Compact"/>
              <w:jc w:val="left"/>
            </w:pPr>
            <w:r>
              <w:t xml:space="preserve">Ask about skew in requirements (§14.10)</w:t>
            </w:r>
          </w:p>
        </w:tc>
      </w:tr>
    </w:tbl>
    <w:bookmarkEnd w:id="114"/>
    <w:bookmarkStart w:id="115" w:name="common-misconceptions-6"/>
    <w:p>
      <w:pPr>
        <w:pStyle w:val="Heading4"/>
      </w:pPr>
      <w:r>
        <w:t xml:space="preserve">Common misconceptions</w:t>
      </w:r>
    </w:p>
    <w:p>
      <w:pPr>
        <w:pStyle w:val="CalloutMistake"/>
      </w:pPr>
      <w:r>
        <w:rPr>
          <w:bCs/>
          <w:b/>
        </w:rPr>
        <w:t xml:space="preserve">COMMON MISTAKE</w:t>
      </w:r>
    </w:p>
    <w:p>
      <w:pPr>
        <w:pStyle w:val="CalloutMistake"/>
      </w:pPr>
      <w:r>
        <w:rPr>
          <w:bCs/>
          <w:b/>
        </w:rPr>
        <w:t xml:space="preserve">“</w:t>
      </w:r>
      <w:r>
        <w:rPr>
          <w:bCs/>
          <w:b/>
        </w:rPr>
        <w:t xml:space="preserve">We can always fix the architecture later.</w:t>
      </w:r>
      <w:r>
        <w:rPr>
          <w:bCs/>
          <w:b/>
        </w:rPr>
        <w:t xml:space="preserve">”</w:t>
      </w:r>
      <w:r>
        <w:t xml:space="preserve"> </w:t>
      </w:r>
      <w:r>
        <w:t xml:space="preserve">You can always fix</w:t>
      </w:r>
      <w:r>
        <w:t xml:space="preserve"> </w:t>
      </w:r>
      <w:r>
        <w:rPr>
          <w:iCs/>
          <w:i/>
        </w:rPr>
        <w:t xml:space="preserve">code</w:t>
      </w:r>
      <w:r>
        <w:t xml:space="preserve"> </w:t>
      </w:r>
      <w:r>
        <w:t xml:space="preserve">later. Fixing data shape, storage location and public contracts later costs migrations that grow with the data. Decide those deliberately; defer the rest.</w:t>
      </w:r>
    </w:p>
    <w:bookmarkEnd w:id="115"/>
    <w:bookmarkEnd w:id="116"/>
    <w:bookmarkEnd w:id="117"/>
    <w:bookmarkStart w:id="128" w:name="X0587854392a57bb69c653a7cbd443644cede476"/>
    <w:p>
      <w:pPr>
        <w:pStyle w:val="Heading2"/>
      </w:pPr>
      <w:r>
        <w:t xml:space="preserve">1.10 How system design is practiced in industry</w:t>
      </w:r>
    </w:p>
    <w:bookmarkStart w:id="120" w:name="design-documents"/>
    <w:p>
      <w:pPr>
        <w:pStyle w:val="Heading3"/>
      </w:pPr>
      <w:r>
        <w:t xml:space="preserve">1.10.1 Design documents</w:t>
      </w:r>
    </w:p>
    <w:p>
      <w:pPr>
        <w:pStyle w:val="CalloutDefinition"/>
      </w:pPr>
      <w:r>
        <w:rPr>
          <w:bCs/>
          <w:b/>
        </w:rPr>
        <w:t xml:space="preserve">DEFINITION</w:t>
      </w:r>
    </w:p>
    <w:p>
      <w:pPr>
        <w:pStyle w:val="CalloutDefinition"/>
      </w:pPr>
      <w:r>
        <w:rPr>
          <w:bCs/>
          <w:b/>
        </w:rPr>
        <w:t xml:space="preserve">Definition — Design document (design doc).</w:t>
      </w:r>
      <w:r>
        <w:t xml:space="preserve"> </w:t>
      </w:r>
      <w:r>
        <w:t xml:space="preserve">A written proposal, produced before significant implementation, that states a problem, its goals and non-goals, a proposed design, the alternatives considered, and cross-cutting concerns (security, privacy, operations, cost), so that others can review it while changes are still cheap.</w:t>
      </w:r>
    </w:p>
    <w:bookmarkStart w:id="118" w:name="first-principles-explanation-7"/>
    <w:p>
      <w:pPr>
        <w:pStyle w:val="Heading4"/>
      </w:pPr>
      <w:r>
        <w:t xml:space="preserve">First-principles explanation</w:t>
      </w:r>
    </w:p>
    <w:p>
      <w:pPr>
        <w:pStyle w:val="FirstParagraph"/>
      </w:pPr>
      <w:r>
        <w:t xml:space="preserve">Before a building is constructed, its drawings are circulated to the structural engineer, the fire inspector and the client. Each reads for different risks, and each objection costs an eraser rather than a demolition crew. A design doc is the software equivalent: the cheapest place to find a design flaw is in a document.</w:t>
      </w:r>
    </w:p>
    <w:bookmarkEnd w:id="118"/>
    <w:bookmarkStart w:id="119" w:name="how-it-works-internally-6"/>
    <w:p>
      <w:pPr>
        <w:pStyle w:val="Heading4"/>
      </w:pPr>
      <w:r>
        <w:t xml:space="preserve">How it works internally</w:t>
      </w:r>
    </w:p>
    <w:p>
      <w:pPr>
        <w:pStyle w:val="FirstParagraph"/>
      </w:pPr>
      <w:r>
        <w:t xml:space="preserve">Practice varies, but a widely cited public description of Google’s design-doc culture describes informal documents, written in a collaborative editor, typically containing [Ubl 2020]:</w:t>
      </w:r>
    </w:p>
    <w:p>
      <w:pPr>
        <w:numPr>
          <w:ilvl w:val="0"/>
          <w:numId w:val="1027"/>
        </w:numPr>
        <w:pStyle w:val="Compact"/>
      </w:pPr>
      <w:r>
        <w:rPr>
          <w:bCs/>
          <w:b/>
        </w:rPr>
        <w:t xml:space="preserve">Context and scope</w:t>
      </w:r>
      <w:r>
        <w:t xml:space="preserve"> </w:t>
      </w:r>
      <w:r>
        <w:t xml:space="preserve">— the landscape the system lives in and what is being built.</w:t>
      </w:r>
    </w:p>
    <w:p>
      <w:pPr>
        <w:numPr>
          <w:ilvl w:val="0"/>
          <w:numId w:val="1027"/>
        </w:numPr>
        <w:pStyle w:val="Compact"/>
      </w:pPr>
      <w:r>
        <w:rPr>
          <w:bCs/>
          <w:b/>
        </w:rPr>
        <w:t xml:space="preserve">Goals and non-goals</w:t>
      </w:r>
      <w:r>
        <w:t xml:space="preserve"> </w:t>
      </w:r>
      <w:r>
        <w:t xml:space="preserve">— including explicit things the system will</w:t>
      </w:r>
      <w:r>
        <w:t xml:space="preserve"> </w:t>
      </w:r>
      <w:r>
        <w:rPr>
          <w:iCs/>
          <w:i/>
        </w:rPr>
        <w:t xml:space="preserve">not</w:t>
      </w:r>
      <w:r>
        <w:t xml:space="preserve"> </w:t>
      </w:r>
      <w:r>
        <w:t xml:space="preserve">do.</w:t>
      </w:r>
    </w:p>
    <w:p>
      <w:pPr>
        <w:numPr>
          <w:ilvl w:val="0"/>
          <w:numId w:val="1027"/>
        </w:numPr>
        <w:pStyle w:val="Compact"/>
      </w:pPr>
      <w:r>
        <w:rPr>
          <w:bCs/>
          <w:b/>
        </w:rPr>
        <w:t xml:space="preserve">The actual design</w:t>
      </w:r>
      <w:r>
        <w:t xml:space="preserve"> </w:t>
      </w:r>
      <w:r>
        <w:t xml:space="preserve">— often with a system-context diagram, APIs and data storage, emphasizing trade-offs rather than implementation detail.</w:t>
      </w:r>
    </w:p>
    <w:p>
      <w:pPr>
        <w:numPr>
          <w:ilvl w:val="0"/>
          <w:numId w:val="1027"/>
        </w:numPr>
        <w:pStyle w:val="Compact"/>
      </w:pPr>
      <w:r>
        <w:rPr>
          <w:bCs/>
          <w:b/>
        </w:rPr>
        <w:t xml:space="preserve">Alternatives considered</w:t>
      </w:r>
      <w:r>
        <w:t xml:space="preserve"> </w:t>
      </w:r>
      <w:r>
        <w:t xml:space="preserve">— and why they were rejected.</w:t>
      </w:r>
    </w:p>
    <w:p>
      <w:pPr>
        <w:numPr>
          <w:ilvl w:val="0"/>
          <w:numId w:val="1027"/>
        </w:numPr>
        <w:pStyle w:val="Compact"/>
      </w:pPr>
      <w:r>
        <w:rPr>
          <w:bCs/>
          <w:b/>
        </w:rPr>
        <w:t xml:space="preserve">Cross-cutting concerns</w:t>
      </w:r>
      <w:r>
        <w:t xml:space="preserve"> </w:t>
      </w:r>
      <w:r>
        <w:t xml:space="preserve">— security, privacy, observability and similar.</w:t>
      </w:r>
    </w:p>
    <w:p>
      <w:pPr>
        <w:pStyle w:val="FirstParagraph"/>
      </w:pPr>
      <w:r>
        <w:t xml:space="preserve">The same source describes larger design docs of roughly 10–20 pages and shorter</w:t>
      </w:r>
      <w:r>
        <w:t xml:space="preserve"> </w:t>
      </w:r>
      <w:r>
        <w:t xml:space="preserve">“</w:t>
      </w:r>
      <w:r>
        <w:t xml:space="preserve">mini design docs</w:t>
      </w:r>
      <w:r>
        <w:t xml:space="preserve">”</w:t>
      </w:r>
      <w:r>
        <w:t xml:space="preserve"> </w:t>
      </w:r>
      <w:r>
        <w:t xml:space="preserve">for smaller changes.</w:t>
      </w:r>
      <w:r>
        <w:t xml:space="preserve"> </w:t>
      </w:r>
      <w:r>
        <w:rPr>
          <w:iCs/>
          <w:i/>
        </w:rPr>
        <w:t xml:space="preserve">Software Engineering at Google</w:t>
      </w:r>
      <w:r>
        <w:t xml:space="preserve"> </w:t>
      </w:r>
      <w:r>
        <w:t xml:space="preserve">likewise treats design docs as a standard documentation type [Winters et al. 2020]. Amazon is publicly known for narrative documents instead of slide decks, including the</w:t>
      </w:r>
      <w:r>
        <w:t xml:space="preserve"> </w:t>
      </w:r>
      <w:r>
        <w:t xml:space="preserve">“</w:t>
      </w:r>
      <w:r>
        <w:t xml:space="preserve">PR/FAQ</w:t>
      </w:r>
      <w:r>
        <w:t xml:space="preserve">”</w:t>
      </w:r>
      <w:r>
        <w:t xml:space="preserve"> </w:t>
      </w:r>
      <w:r>
        <w:t xml:space="preserve">(a mock press release and FAQ written before building a product) described by two former Amazon executives [Bryar and Carr 2021].</w:t>
      </w:r>
    </w:p>
    <w:bookmarkEnd w:id="119"/>
    <w:bookmarkEnd w:id="120"/>
    <w:bookmarkStart w:id="124" w:name="design-reviews-and-production-readiness"/>
    <w:p>
      <w:pPr>
        <w:pStyle w:val="Heading3"/>
      </w:pPr>
      <w:r>
        <w:t xml:space="preserve">1.10.2 Design reviews and production readiness</w:t>
      </w:r>
    </w:p>
    <w:p>
      <w:pPr>
        <w:pStyle w:val="FirstParagraph"/>
      </w:pPr>
      <w:r>
        <w:t xml:space="preserve">A</w:t>
      </w:r>
      <w:r>
        <w:t xml:space="preserve"> </w:t>
      </w:r>
      <w:r>
        <w:rPr>
          <w:bCs/>
          <w:b/>
        </w:rPr>
        <w:t xml:space="preserve">design review</w:t>
      </w:r>
      <w:r>
        <w:t xml:space="preserve"> </w:t>
      </w:r>
      <w:r>
        <w:t xml:space="preserve">is a meeting or asynchronous comment thread in which experienced engineers outside the authoring team challenge a design doc. Reviewers typically probe: Are the requirements and numbers right? What are the single points of failure? What happens under 10× load? How is it deployed and rolled back? How is it monitored? What does it cost? Is there a simpler design?</w:t>
      </w:r>
    </w:p>
    <w:p>
      <w:pPr>
        <w:pStyle w:val="BodyText"/>
      </w:pPr>
      <w:r>
        <w:t xml:space="preserve">Close to launch, many organizations run a</w:t>
      </w:r>
      <w:r>
        <w:t xml:space="preserve"> </w:t>
      </w:r>
      <w:r>
        <w:rPr>
          <w:bCs/>
          <w:b/>
        </w:rPr>
        <w:t xml:space="preserve">production readiness review (PRR)</w:t>
      </w:r>
      <w:r>
        <w:t xml:space="preserve">: a checklist-based assessment that a service is operable — monitoring, alerting, capacity, runbooks, on-call — before it receives production traffic. Google’s SRE book describes PRRs as part of how SRE teams engage with services [Beyer et al. 2016]. After incidents,</w:t>
      </w:r>
      <w:r>
        <w:t xml:space="preserve"> </w:t>
      </w:r>
      <w:r>
        <w:rPr>
          <w:bCs/>
          <w:b/>
        </w:rPr>
        <w:t xml:space="preserve">blameless postmortems</w:t>
      </w:r>
      <w:r>
        <w:t xml:space="preserve"> </w:t>
      </w:r>
      <w:r>
        <w:t xml:space="preserve">(§39.12) feed lessons back into future designs.</w:t>
      </w:r>
    </w:p>
    <w:p>
      <w:pPr>
        <w:pStyle w:val="BodyText"/>
      </w:pPr>
      <w:r>
        <w:rPr>
          <w:bCs/>
          <w:b/>
        </w:rPr>
        <w:t xml:space="preserve">Figure 1.8 — The life of a design in a typical engineering organization.</w:t>
      </w:r>
    </w:p>
    <w:p>
      <w:pPr>
        <w:pStyle w:val="BodyText"/>
      </w:pPr>
      <w:r>
        <w:drawing>
          <wp:inline>
            <wp:extent cx="5334000" cy="831932"/>
            <wp:effectExtent b="0" l="0" r="0" t="0"/>
            <wp:docPr descr="" title="" id="122" name="Picture"/>
            <a:graphic>
              <a:graphicData uri="http://schemas.openxmlformats.org/drawingml/2006/picture">
                <pic:pic>
                  <pic:nvPicPr>
                    <pic:cNvPr descr="/home/user/System-Design/build/.cache/diagrams/85003fb6fb6a.png" id="123" name="Picture"/>
                    <pic:cNvPicPr>
                      <a:picLocks noChangeArrowheads="1" noChangeAspect="1"/>
                    </pic:cNvPicPr>
                  </pic:nvPicPr>
                  <pic:blipFill>
                    <a:blip r:embed="rId121"/>
                    <a:stretch>
                      <a:fillRect/>
                    </a:stretch>
                  </pic:blipFill>
                  <pic:spPr bwMode="auto">
                    <a:xfrm>
                      <a:off x="0" y="0"/>
                      <a:ext cx="5334000" cy="831932"/>
                    </a:xfrm>
                    <a:prstGeom prst="rect">
                      <a:avLst/>
                    </a:prstGeom>
                    <a:noFill/>
                    <a:ln w="9525">
                      <a:noFill/>
                      <a:headEnd/>
                      <a:tailEnd/>
                    </a:ln>
                  </pic:spPr>
                </pic:pic>
              </a:graphicData>
            </a:graphic>
          </wp:inline>
        </w:drawing>
      </w:r>
    </w:p>
    <w:p>
      <w:pPr>
        <w:pStyle w:val="BodyText"/>
      </w:pPr>
      <w:r>
        <w:rPr>
          <w:bCs/>
          <w:b/>
        </w:rPr>
        <w:t xml:space="preserve">Reading the diagram.</w:t>
      </w:r>
    </w:p>
    <w:p>
      <w:pPr>
        <w:numPr>
          <w:ilvl w:val="0"/>
          <w:numId w:val="1028"/>
        </w:numPr>
        <w:pStyle w:val="Compact"/>
      </w:pPr>
      <w:r>
        <w:rPr>
          <w:bCs/>
          <w:b/>
        </w:rPr>
        <w:t xml:space="preserve">Components.</w:t>
      </w:r>
      <w:r>
        <w:t xml:space="preserve"> </w:t>
      </w:r>
      <w:r>
        <w:t xml:space="preserve">Activities (rectangles), gates where a decision is made (diamonds) and the launch milestone (stadium).</w:t>
      </w:r>
    </w:p>
    <w:p>
      <w:pPr>
        <w:numPr>
          <w:ilvl w:val="0"/>
          <w:numId w:val="1028"/>
        </w:numPr>
        <w:pStyle w:val="Compact"/>
      </w:pPr>
      <w:r>
        <w:rPr>
          <w:bCs/>
          <w:b/>
        </w:rPr>
        <w:t xml:space="preserve">Direction.</w:t>
      </w:r>
      <w:r>
        <w:t xml:space="preserve"> </w:t>
      </w:r>
      <w:r>
        <w:t xml:space="preserve">Work flows left to right from problem to launch, with two loops back: review feedback to the doc, and readiness gaps to implementation.</w:t>
      </w:r>
    </w:p>
    <w:p>
      <w:pPr>
        <w:numPr>
          <w:ilvl w:val="0"/>
          <w:numId w:val="1028"/>
        </w:numPr>
        <w:pStyle w:val="Compact"/>
      </w:pPr>
      <w:r>
        <w:rPr>
          <w:bCs/>
          <w:b/>
        </w:rPr>
        <w:t xml:space="preserve">Sync/async.</w:t>
      </w:r>
      <w:r>
        <w:t xml:space="preserve"> </w:t>
      </w:r>
      <w:r>
        <w:t xml:space="preserve">Solid arrows are the planned path. Dotted arrows are the slower, asynchronous feedback from production — incidents and metrics — that eventually create new problems to design for.</w:t>
      </w:r>
    </w:p>
    <w:p>
      <w:pPr>
        <w:numPr>
          <w:ilvl w:val="0"/>
          <w:numId w:val="1028"/>
        </w:numPr>
        <w:pStyle w:val="Compact"/>
      </w:pPr>
      <w:r>
        <w:rPr>
          <w:bCs/>
          <w:b/>
        </w:rPr>
        <w:t xml:space="preserve">Storage boundaries.</w:t>
      </w:r>
      <w:r>
        <w:t xml:space="preserve"> </w:t>
      </w:r>
      <w:r>
        <w:t xml:space="preserve">The durable artifacts are the design doc, the ADRs and the postmortems; together they form the organization’s architectural memory.</w:t>
      </w:r>
    </w:p>
    <w:p>
      <w:pPr>
        <w:numPr>
          <w:ilvl w:val="0"/>
          <w:numId w:val="1028"/>
        </w:numPr>
        <w:pStyle w:val="Compact"/>
      </w:pPr>
      <w:r>
        <w:rPr>
          <w:bCs/>
          <w:b/>
        </w:rPr>
        <w:t xml:space="preserve">Failure points.</w:t>
      </w:r>
      <w:r>
        <w:t xml:space="preserve"> </w:t>
      </w:r>
      <w:r>
        <w:t xml:space="preserve">Skipping the review gate (designs built unreviewed), a review that becomes a rubber stamp, or postmortem lessons that never feed back into designs.</w:t>
      </w:r>
    </w:p>
    <w:p>
      <w:pPr>
        <w:numPr>
          <w:ilvl w:val="0"/>
          <w:numId w:val="1028"/>
        </w:numPr>
        <w:pStyle w:val="Compact"/>
      </w:pPr>
      <w:r>
        <w:rPr>
          <w:bCs/>
          <w:b/>
        </w:rPr>
        <w:t xml:space="preserve">Scaling options.</w:t>
      </w:r>
      <w:r>
        <w:t xml:space="preserve"> </w:t>
      </w:r>
      <w:r>
        <w:t xml:space="preserve">Large organizations scale review capacity with tiered reviews: lightweight team review for reversible changes, cross-org architecture review for one-way-door decisions.</w:t>
      </w:r>
    </w:p>
    <w:bookmarkEnd w:id="124"/>
    <w:bookmarkStart w:id="127" w:name="rfc-processes"/>
    <w:p>
      <w:pPr>
        <w:pStyle w:val="Heading3"/>
      </w:pPr>
      <w:r>
        <w:t xml:space="preserve">1.10.3 RFC processes</w:t>
      </w:r>
    </w:p>
    <w:p>
      <w:pPr>
        <w:pStyle w:val="FirstParagraph"/>
      </w:pPr>
      <w:r>
        <w:t xml:space="preserve">The term</w:t>
      </w:r>
      <w:r>
        <w:t xml:space="preserve"> </w:t>
      </w:r>
      <w:r>
        <w:rPr>
          <w:bCs/>
          <w:b/>
        </w:rPr>
        <w:t xml:space="preserve">RFC</w:t>
      </w:r>
      <w:r>
        <w:t xml:space="preserve"> </w:t>
      </w:r>
      <w:r>
        <w:t xml:space="preserve">(</w:t>
      </w:r>
      <w:r>
        <w:t xml:space="preserve">“</w:t>
      </w:r>
      <w:r>
        <w:t xml:space="preserve">Request for Comments</w:t>
      </w:r>
      <w:r>
        <w:t xml:space="preserve">”</w:t>
      </w:r>
      <w:r>
        <w:t xml:space="preserve">) comes from the Internet’s standards process; RFC 1,</w:t>
      </w:r>
      <w:r>
        <w:t xml:space="preserve"> </w:t>
      </w:r>
      <w:r>
        <w:t xml:space="preserve">“</w:t>
      </w:r>
      <w:r>
        <w:t xml:space="preserve">Host Software</w:t>
      </w:r>
      <w:r>
        <w:t xml:space="preserve">”</w:t>
      </w:r>
      <w:r>
        <w:t xml:space="preserve">, was written by Steve Crocker in 1969 [Crocker 1969], and the IETF’s current standards process is itself defined in an RFC [Bradner 1996]. Many open-source projects run public proposal processes in the same spirit: Python Enhancement Proposals (PEPs) [Python PEP 1], Rust RFCs [Rust RFCs] and Kubernetes Enhancement Proposals (KEPs) [Kubernetes KEPs]. Inside companies,</w:t>
      </w:r>
      <w:r>
        <w:t xml:space="preserve"> </w:t>
      </w:r>
      <w:r>
        <w:t xml:space="preserve">“</w:t>
      </w:r>
      <w:r>
        <w:t xml:space="preserve">RFC</w:t>
      </w:r>
      <w:r>
        <w:t xml:space="preserve">”</w:t>
      </w:r>
      <w:r>
        <w:t xml:space="preserve"> </w:t>
      </w:r>
      <w:r>
        <w:t xml:space="preserve">usually means a design doc circulated widely for comment before a decision, often across teams.</w:t>
      </w:r>
    </w:p>
    <w:p>
      <w:pPr>
        <w:pStyle w:val="BodyText"/>
      </w:pPr>
      <w:r>
        <w:rPr>
          <w:bCs/>
          <w:b/>
        </w:rPr>
        <w:t xml:space="preserve">Table 1.16 — Design artifacts compared.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Aspect</w:t>
            </w:r>
          </w:p>
        </w:tc>
        <w:tc>
          <w:tcPr/>
          <w:p>
            <w:pPr>
              <w:pStyle w:val="Compact"/>
              <w:jc w:val="left"/>
            </w:pPr>
            <w:r>
              <w:t xml:space="preserve">Design doc</w:t>
            </w:r>
          </w:p>
        </w:tc>
        <w:tc>
          <w:tcPr/>
          <w:p>
            <w:pPr>
              <w:pStyle w:val="Compact"/>
              <w:jc w:val="left"/>
            </w:pPr>
            <w:r>
              <w:t xml:space="preserve">ADR</w:t>
            </w:r>
          </w:p>
        </w:tc>
        <w:tc>
          <w:tcPr/>
          <w:p>
            <w:pPr>
              <w:pStyle w:val="Compact"/>
              <w:jc w:val="left"/>
            </w:pPr>
            <w:r>
              <w:t xml:space="preserve">RFC (company or open source)</w:t>
            </w:r>
          </w:p>
        </w:tc>
        <w:tc>
          <w:tcPr/>
          <w:p>
            <w:pPr>
              <w:pStyle w:val="Compact"/>
              <w:jc w:val="left"/>
            </w:pPr>
            <w:r>
              <w:t xml:space="preserve">PRR</w:t>
            </w:r>
          </w:p>
        </w:tc>
      </w:tr>
      <w:tr>
        <w:tc>
          <w:tcPr/>
          <w:p>
            <w:pPr>
              <w:pStyle w:val="Compact"/>
              <w:jc w:val="left"/>
            </w:pPr>
            <w:r>
              <w:t xml:space="preserve">What it is</w:t>
            </w:r>
          </w:p>
        </w:tc>
        <w:tc>
          <w:tcPr/>
          <w:p>
            <w:pPr>
              <w:pStyle w:val="Compact"/>
              <w:jc w:val="left"/>
            </w:pPr>
            <w:r>
              <w:t xml:space="preserve">Proposal for a whole design</w:t>
            </w:r>
          </w:p>
        </w:tc>
        <w:tc>
          <w:tcPr/>
          <w:p>
            <w:pPr>
              <w:pStyle w:val="Compact"/>
              <w:jc w:val="left"/>
            </w:pPr>
            <w:r>
              <w:t xml:space="preserve">Record of one decision</w:t>
            </w:r>
          </w:p>
        </w:tc>
        <w:tc>
          <w:tcPr/>
          <w:p>
            <w:pPr>
              <w:pStyle w:val="Compact"/>
              <w:jc w:val="left"/>
            </w:pPr>
            <w:r>
              <w:t xml:space="preserve">Proposal circulated for broad comment</w:t>
            </w:r>
          </w:p>
        </w:tc>
        <w:tc>
          <w:tcPr/>
          <w:p>
            <w:pPr>
              <w:pStyle w:val="Compact"/>
              <w:jc w:val="left"/>
            </w:pPr>
            <w:r>
              <w:t xml:space="preserve">Operability checklist</w:t>
            </w:r>
          </w:p>
        </w:tc>
      </w:tr>
      <w:tr>
        <w:tc>
          <w:tcPr/>
          <w:p>
            <w:pPr>
              <w:pStyle w:val="Compact"/>
              <w:jc w:val="left"/>
            </w:pPr>
            <w:r>
              <w:t xml:space="preserve">When</w:t>
            </w:r>
          </w:p>
        </w:tc>
        <w:tc>
          <w:tcPr/>
          <w:p>
            <w:pPr>
              <w:pStyle w:val="Compact"/>
              <w:jc w:val="left"/>
            </w:pPr>
            <w:r>
              <w:t xml:space="preserve">Before implementation</w:t>
            </w:r>
          </w:p>
        </w:tc>
        <w:tc>
          <w:tcPr/>
          <w:p>
            <w:pPr>
              <w:pStyle w:val="Compact"/>
              <w:jc w:val="left"/>
            </w:pPr>
            <w:r>
              <w:t xml:space="preserve">At decision time</w:t>
            </w:r>
          </w:p>
        </w:tc>
        <w:tc>
          <w:tcPr/>
          <w:p>
            <w:pPr>
              <w:pStyle w:val="Compact"/>
              <w:jc w:val="left"/>
            </w:pPr>
            <w:r>
              <w:t xml:space="preserve">Before cross-team or public change</w:t>
            </w:r>
          </w:p>
        </w:tc>
        <w:tc>
          <w:tcPr/>
          <w:p>
            <w:pPr>
              <w:pStyle w:val="Compact"/>
              <w:jc w:val="left"/>
            </w:pPr>
            <w:r>
              <w:t xml:space="preserve">Before launch</w:t>
            </w:r>
          </w:p>
        </w:tc>
      </w:tr>
      <w:tr>
        <w:tc>
          <w:tcPr/>
          <w:p>
            <w:pPr>
              <w:pStyle w:val="Compact"/>
              <w:jc w:val="left"/>
            </w:pPr>
            <w:r>
              <w:t xml:space="preserve">Length</w:t>
            </w:r>
          </w:p>
        </w:tc>
        <w:tc>
          <w:tcPr/>
          <w:p>
            <w:pPr>
              <w:pStyle w:val="Compact"/>
              <w:jc w:val="left"/>
            </w:pPr>
            <w:r>
              <w:t xml:space="preserve">1–20 pages</w:t>
            </w:r>
          </w:p>
        </w:tc>
        <w:tc>
          <w:tcPr/>
          <w:p>
            <w:pPr>
              <w:pStyle w:val="Compact"/>
              <w:jc w:val="left"/>
            </w:pPr>
            <w:r>
              <w:t xml:space="preserve">~1 page</w:t>
            </w:r>
          </w:p>
        </w:tc>
        <w:tc>
          <w:tcPr/>
          <w:p>
            <w:pPr>
              <w:pStyle w:val="Compact"/>
              <w:jc w:val="left"/>
            </w:pPr>
            <w:r>
              <w:t xml:space="preserve">2–20 pages</w:t>
            </w:r>
          </w:p>
        </w:tc>
        <w:tc>
          <w:tcPr/>
          <w:p>
            <w:pPr>
              <w:pStyle w:val="Compact"/>
              <w:jc w:val="left"/>
            </w:pPr>
            <w:r>
              <w:t xml:space="preserve">Checklist</w:t>
            </w:r>
          </w:p>
        </w:tc>
      </w:tr>
      <w:tr>
        <w:tc>
          <w:tcPr/>
          <w:p>
            <w:pPr>
              <w:pStyle w:val="Compact"/>
              <w:jc w:val="left"/>
            </w:pPr>
            <w:r>
              <w:t xml:space="preserve">Audience</w:t>
            </w:r>
          </w:p>
        </w:tc>
        <w:tc>
          <w:tcPr/>
          <w:p>
            <w:pPr>
              <w:pStyle w:val="Compact"/>
              <w:jc w:val="left"/>
            </w:pPr>
            <w:r>
              <w:t xml:space="preserve">Team plus reviewers</w:t>
            </w:r>
          </w:p>
        </w:tc>
        <w:tc>
          <w:tcPr/>
          <w:p>
            <w:pPr>
              <w:pStyle w:val="Compact"/>
              <w:jc w:val="left"/>
            </w:pPr>
            <w:r>
              <w:t xml:space="preserve">Future maintainers</w:t>
            </w:r>
          </w:p>
        </w:tc>
        <w:tc>
          <w:tcPr/>
          <w:p>
            <w:pPr>
              <w:pStyle w:val="Compact"/>
              <w:jc w:val="left"/>
            </w:pPr>
            <w:r>
              <w:t xml:space="preserve">Whole organization or community</w:t>
            </w:r>
          </w:p>
        </w:tc>
        <w:tc>
          <w:tcPr/>
          <w:p>
            <w:pPr>
              <w:pStyle w:val="Compact"/>
              <w:jc w:val="left"/>
            </w:pPr>
            <w:r>
              <w:t xml:space="preserve">Operators and SRE</w:t>
            </w:r>
          </w:p>
        </w:tc>
      </w:tr>
      <w:tr>
        <w:tc>
          <w:tcPr/>
          <w:p>
            <w:pPr>
              <w:pStyle w:val="Compact"/>
              <w:jc w:val="left"/>
            </w:pPr>
            <w:r>
              <w:t xml:space="preserve">Output</w:t>
            </w:r>
          </w:p>
        </w:tc>
        <w:tc>
          <w:tcPr/>
          <w:p>
            <w:pPr>
              <w:pStyle w:val="Compact"/>
              <w:jc w:val="left"/>
            </w:pPr>
            <w:r>
              <w:t xml:space="preserve">Approved design</w:t>
            </w:r>
          </w:p>
        </w:tc>
        <w:tc>
          <w:tcPr/>
          <w:p>
            <w:pPr>
              <w:pStyle w:val="Compact"/>
              <w:jc w:val="left"/>
            </w:pPr>
            <w:r>
              <w:t xml:space="preserve">Durable rationale</w:t>
            </w:r>
          </w:p>
        </w:tc>
        <w:tc>
          <w:tcPr/>
          <w:p>
            <w:pPr>
              <w:pStyle w:val="Compact"/>
              <w:jc w:val="left"/>
            </w:pPr>
            <w:r>
              <w:t xml:space="preserve">Consensus decision</w:t>
            </w:r>
          </w:p>
        </w:tc>
        <w:tc>
          <w:tcPr/>
          <w:p>
            <w:pPr>
              <w:pStyle w:val="Compact"/>
              <w:jc w:val="left"/>
            </w:pPr>
            <w:r>
              <w:t xml:space="preserve">Launch go/no-go</w:t>
            </w:r>
          </w:p>
        </w:tc>
      </w:tr>
      <w:tr>
        <w:tc>
          <w:tcPr/>
          <w:p>
            <w:pPr>
              <w:pStyle w:val="Compact"/>
              <w:jc w:val="left"/>
            </w:pPr>
            <w:r>
              <w:t xml:space="preserve">Choose when</w:t>
            </w:r>
          </w:p>
        </w:tc>
        <w:tc>
          <w:tcPr/>
          <w:p>
            <w:pPr>
              <w:pStyle w:val="Compact"/>
              <w:jc w:val="left"/>
            </w:pPr>
            <w:r>
              <w:t xml:space="preserve">Non-trivial new system or change</w:t>
            </w:r>
          </w:p>
        </w:tc>
        <w:tc>
          <w:tcPr/>
          <w:p>
            <w:pPr>
              <w:pStyle w:val="Compact"/>
              <w:jc w:val="left"/>
            </w:pPr>
            <w:r>
              <w:t xml:space="preserve">Any one-way-door decision</w:t>
            </w:r>
          </w:p>
        </w:tc>
        <w:tc>
          <w:tcPr/>
          <w:p>
            <w:pPr>
              <w:pStyle w:val="Compact"/>
              <w:jc w:val="left"/>
            </w:pPr>
            <w:r>
              <w:t xml:space="preserve">Change affects many teams or users</w:t>
            </w:r>
          </w:p>
        </w:tc>
        <w:tc>
          <w:tcPr/>
          <w:p>
            <w:pPr>
              <w:pStyle w:val="Compact"/>
              <w:jc w:val="left"/>
            </w:pPr>
            <w:r>
              <w:t xml:space="preserve">New service or major change</w:t>
            </w:r>
          </w:p>
        </w:tc>
      </w:tr>
    </w:tbl>
    <w:bookmarkStart w:id="125" w:name="real-world-industry-applications-5"/>
    <w:p>
      <w:pPr>
        <w:pStyle w:val="Heading4"/>
      </w:pPr>
      <w:r>
        <w:t xml:space="preserve">Real-world industry applications</w:t>
      </w:r>
    </w:p>
    <w:p>
      <w:pPr>
        <w:pStyle w:val="CalloutIndustry"/>
      </w:pPr>
      <w:r>
        <w:rPr>
          <w:bCs/>
          <w:b/>
        </w:rPr>
        <w:t xml:space="preserve">INDUSTRY EXAMPLE</w:t>
      </w:r>
    </w:p>
    <w:p>
      <w:pPr>
        <w:pStyle w:val="CalloutIndustry"/>
      </w:pPr>
      <w:r>
        <w:rPr>
          <w:bCs/>
          <w:b/>
        </w:rPr>
        <w:t xml:space="preserve">Open-source RFCs as public design reviews.</w:t>
      </w:r>
      <w:r>
        <w:t xml:space="preserve"> </w:t>
      </w:r>
      <w:r>
        <w:t xml:space="preserve">In the Rust and Python projects, any significant language change is proposed as a document in a public repository, discussed in the open, and accepted or rejected by a designated team, leaving a permanent record of the rationale and alternatives. They are among the best freely available corpora of real design reasoning — and good reading practice (see §3.5).</w:t>
      </w:r>
      <w:r>
        <w:t xml:space="preserve"> </w:t>
      </w:r>
      <w:r>
        <w:rPr>
          <w:iCs/>
          <w:i/>
        </w:rPr>
        <w:t xml:space="preserve">Evidence: Primary</w:t>
      </w:r>
      <w:r>
        <w:t xml:space="preserve"> </w:t>
      </w:r>
      <w:r>
        <w:t xml:space="preserve">— [Python PEP 1]; [Rust RFCs]</w:t>
      </w:r>
    </w:p>
    <w:bookmarkEnd w:id="125"/>
    <w:bookmarkStart w:id="126" w:name="failure-scenarios-6"/>
    <w:p>
      <w:pPr>
        <w:pStyle w:val="Heading4"/>
      </w:pPr>
      <w:r>
        <w:t xml:space="preserve">Failure scenarios</w:t>
      </w:r>
    </w:p>
    <w:p>
      <w:pPr>
        <w:pStyle w:val="FirstParagraph"/>
      </w:pPr>
      <w:r>
        <w:rPr>
          <w:bCs/>
          <w:b/>
        </w:rPr>
        <w:t xml:space="preserve">Table 1.17 — Design-process 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Review as rubber stamp</w:t>
            </w:r>
          </w:p>
        </w:tc>
        <w:tc>
          <w:tcPr/>
          <w:p>
            <w:pPr>
              <w:pStyle w:val="Compact"/>
              <w:jc w:val="left"/>
            </w:pPr>
            <w:r>
              <w:t xml:space="preserve">Reviewers lack time or context</w:t>
            </w:r>
          </w:p>
        </w:tc>
        <w:tc>
          <w:tcPr/>
          <w:p>
            <w:pPr>
              <w:pStyle w:val="Compact"/>
              <w:jc w:val="left"/>
            </w:pPr>
            <w:r>
              <w:t xml:space="preserve">Incidents in</w:t>
            </w:r>
            <w:r>
              <w:t xml:space="preserve"> </w:t>
            </w:r>
            <w:r>
              <w:t xml:space="preserve">“</w:t>
            </w:r>
            <w:r>
              <w:t xml:space="preserve">reviewed</w:t>
            </w:r>
            <w:r>
              <w:t xml:space="preserve">”</w:t>
            </w:r>
            <w:r>
              <w:t xml:space="preserve"> </w:t>
            </w:r>
            <w:r>
              <w:t xml:space="preserve">systems</w:t>
            </w:r>
          </w:p>
        </w:tc>
        <w:tc>
          <w:tcPr/>
          <w:p>
            <w:pPr>
              <w:pStyle w:val="Compact"/>
              <w:jc w:val="left"/>
            </w:pPr>
            <w:r>
              <w:t xml:space="preserve">Postmortem identifies missed risk</w:t>
            </w:r>
          </w:p>
        </w:tc>
        <w:tc>
          <w:tcPr/>
          <w:p>
            <w:pPr>
              <w:pStyle w:val="Compact"/>
              <w:jc w:val="left"/>
            </w:pPr>
            <w:r>
              <w:t xml:space="preserve">Named reviewers with explicit checklists</w:t>
            </w:r>
          </w:p>
        </w:tc>
      </w:tr>
      <w:tr>
        <w:tc>
          <w:tcPr/>
          <w:p>
            <w:pPr>
              <w:pStyle w:val="Compact"/>
              <w:jc w:val="left"/>
            </w:pPr>
            <w:r>
              <w:t xml:space="preserve">Design by committee</w:t>
            </w:r>
          </w:p>
        </w:tc>
        <w:tc>
          <w:tcPr/>
          <w:p>
            <w:pPr>
              <w:pStyle w:val="Compact"/>
              <w:jc w:val="left"/>
            </w:pPr>
            <w:r>
              <w:t xml:space="preserve">Every reviewer’s preference absorbed</w:t>
            </w:r>
          </w:p>
        </w:tc>
        <w:tc>
          <w:tcPr/>
          <w:p>
            <w:pPr>
              <w:pStyle w:val="Compact"/>
              <w:jc w:val="left"/>
            </w:pPr>
            <w:r>
              <w:t xml:space="preserve">Bloated design; slipped dates</w:t>
            </w:r>
          </w:p>
        </w:tc>
        <w:tc>
          <w:tcPr/>
          <w:p>
            <w:pPr>
              <w:pStyle w:val="Compact"/>
              <w:jc w:val="left"/>
            </w:pPr>
            <w:r>
              <w:t xml:space="preserve">Author re-asserts goals and non-goals</w:t>
            </w:r>
          </w:p>
        </w:tc>
        <w:tc>
          <w:tcPr/>
          <w:p>
            <w:pPr>
              <w:pStyle w:val="Compact"/>
              <w:jc w:val="left"/>
            </w:pPr>
            <w:r>
              <w:t xml:space="preserve">Clear decision owner</w:t>
            </w:r>
          </w:p>
        </w:tc>
      </w:tr>
      <w:tr>
        <w:tc>
          <w:tcPr/>
          <w:p>
            <w:pPr>
              <w:pStyle w:val="Compact"/>
              <w:jc w:val="left"/>
            </w:pPr>
            <w:r>
              <w:t xml:space="preserve">Doc written after the fact</w:t>
            </w:r>
          </w:p>
        </w:tc>
        <w:tc>
          <w:tcPr/>
          <w:p>
            <w:pPr>
              <w:pStyle w:val="Compact"/>
              <w:jc w:val="left"/>
            </w:pPr>
            <w:r>
              <w:t xml:space="preserve">Process seen as paperwork</w:t>
            </w:r>
          </w:p>
        </w:tc>
        <w:tc>
          <w:tcPr/>
          <w:p>
            <w:pPr>
              <w:pStyle w:val="Compact"/>
              <w:jc w:val="left"/>
            </w:pPr>
            <w:r>
              <w:t xml:space="preserve">Doc describes code, lists no alternatives</w:t>
            </w:r>
          </w:p>
        </w:tc>
        <w:tc>
          <w:tcPr/>
          <w:p>
            <w:pPr>
              <w:pStyle w:val="Compact"/>
              <w:jc w:val="left"/>
            </w:pPr>
            <w:r>
              <w:t xml:space="preserve">Treat as documentation, not review</w:t>
            </w:r>
          </w:p>
        </w:tc>
        <w:tc>
          <w:tcPr/>
          <w:p>
            <w:pPr>
              <w:pStyle w:val="Compact"/>
              <w:jc w:val="left"/>
            </w:pPr>
            <w:r>
              <w:t xml:space="preserve">Review before implementation starts</w:t>
            </w:r>
          </w:p>
        </w:tc>
      </w:tr>
    </w:tbl>
    <w:bookmarkEnd w:id="126"/>
    <w:bookmarkEnd w:id="127"/>
    <w:bookmarkEnd w:id="128"/>
    <w:bookmarkStart w:id="136" w:name="how-system-design-interviews-work"/>
    <w:p>
      <w:pPr>
        <w:pStyle w:val="Heading2"/>
      </w:pPr>
      <w:r>
        <w:t xml:space="preserve">1.11 How system design interviews work</w:t>
      </w:r>
    </w:p>
    <w:bookmarkStart w:id="135" w:name="format"/>
    <w:p>
      <w:pPr>
        <w:pStyle w:val="Heading3"/>
      </w:pPr>
      <w:r>
        <w:t xml:space="preserve">1.11.1 Format</w:t>
      </w:r>
    </w:p>
    <w:p>
      <w:pPr>
        <w:pStyle w:val="CalloutDefinition"/>
      </w:pPr>
      <w:r>
        <w:rPr>
          <w:bCs/>
          <w:b/>
        </w:rPr>
        <w:t xml:space="preserve">DEFINITION</w:t>
      </w:r>
    </w:p>
    <w:p>
      <w:pPr>
        <w:pStyle w:val="CalloutDefinition"/>
      </w:pPr>
      <w:r>
        <w:rPr>
          <w:bCs/>
          <w:b/>
        </w:rPr>
        <w:t xml:space="preserve">Definition — System design interview.</w:t>
      </w:r>
      <w:r>
        <w:t xml:space="preserve"> </w:t>
      </w:r>
      <w:r>
        <w:t xml:space="preserve">A 45–60-minute interview in which a candidate designs a system from an open-ended prompt (for example,</w:t>
      </w:r>
      <w:r>
        <w:t xml:space="preserve"> </w:t>
      </w:r>
      <w:r>
        <w:t xml:space="preserve">“</w:t>
      </w:r>
      <w:r>
        <w:t xml:space="preserve">design a photo-sharing service</w:t>
      </w:r>
      <w:r>
        <w:t xml:space="preserve">”</w:t>
      </w:r>
      <w:r>
        <w:t xml:space="preserve">) in conversation with an interviewer, who evaluates the candidate’s process, technical judgment and communication rather than a single correct answer.</w:t>
      </w:r>
    </w:p>
    <w:bookmarkStart w:id="129" w:name="first-principles-explanation-8"/>
    <w:p>
      <w:pPr>
        <w:pStyle w:val="Heading4"/>
      </w:pPr>
      <w:r>
        <w:t xml:space="preserve">First-principles explanation</w:t>
      </w:r>
    </w:p>
    <w:p>
      <w:pPr>
        <w:pStyle w:val="FirstParagraph"/>
      </w:pPr>
      <w:r>
        <w:t xml:space="preserve">The interview is a compressed design review in which you are the author and the interviewer is a friendly but probing reviewer. There is no single correct answer because real design has none; what is being assessed is whether you would be a good person to have in a real design review.</w:t>
      </w:r>
    </w:p>
    <w:bookmarkEnd w:id="129"/>
    <w:bookmarkStart w:id="133" w:name="how-it-works-internally-7"/>
    <w:p>
      <w:pPr>
        <w:pStyle w:val="Heading4"/>
      </w:pPr>
      <w:r>
        <w:t xml:space="preserve">How it works internally</w:t>
      </w:r>
    </w:p>
    <w:p>
      <w:pPr>
        <w:pStyle w:val="FirstParagraph"/>
      </w:pPr>
      <w:r>
        <w:t xml:space="preserve">Formats differ between companies and levels (Ch 90 separates verified public information from general advice), but most follow a shape like Figure 1.9. Popular preparation guides describe a similar sequence — understand the problem and scope, propose a high-level design, dive deep, wrap up [Xu 2020].</w:t>
      </w:r>
    </w:p>
    <w:p>
      <w:pPr>
        <w:pStyle w:val="BodyText"/>
      </w:pPr>
      <w:r>
        <w:rPr>
          <w:bCs/>
          <w:b/>
        </w:rPr>
        <w:t xml:space="preserve">Figure 1.9 — A typical 45-minute system design interview.</w:t>
      </w:r>
    </w:p>
    <w:p>
      <w:pPr>
        <w:pStyle w:val="BodyText"/>
      </w:pPr>
      <w:r>
        <w:drawing>
          <wp:inline>
            <wp:extent cx="5334000" cy="283955"/>
            <wp:effectExtent b="0" l="0" r="0" t="0"/>
            <wp:docPr descr="" title="" id="131" name="Picture"/>
            <a:graphic>
              <a:graphicData uri="http://schemas.openxmlformats.org/drawingml/2006/picture">
                <pic:pic>
                  <pic:nvPicPr>
                    <pic:cNvPr descr="/home/user/System-Design/build/.cache/diagrams/8573366b08ba.png" id="132" name="Picture"/>
                    <pic:cNvPicPr>
                      <a:picLocks noChangeArrowheads="1" noChangeAspect="1"/>
                    </pic:cNvPicPr>
                  </pic:nvPicPr>
                  <pic:blipFill>
                    <a:blip r:embed="rId130"/>
                    <a:stretch>
                      <a:fillRect/>
                    </a:stretch>
                  </pic:blipFill>
                  <pic:spPr bwMode="auto">
                    <a:xfrm>
                      <a:off x="0" y="0"/>
                      <a:ext cx="5334000" cy="283955"/>
                    </a:xfrm>
                    <a:prstGeom prst="rect">
                      <a:avLst/>
                    </a:prstGeom>
                    <a:noFill/>
                    <a:ln w="9525">
                      <a:noFill/>
                      <a:headEnd/>
                      <a:tailEnd/>
                    </a:ln>
                  </pic:spPr>
                </pic:pic>
              </a:graphicData>
            </a:graphic>
          </wp:inline>
        </w:drawing>
      </w:r>
    </w:p>
    <w:p>
      <w:pPr>
        <w:pStyle w:val="BodyText"/>
      </w:pPr>
      <w:r>
        <w:rPr>
          <w:bCs/>
          <w:b/>
        </w:rPr>
        <w:t xml:space="preserve">Reading the diagram.</w:t>
      </w:r>
    </w:p>
    <w:p>
      <w:pPr>
        <w:numPr>
          <w:ilvl w:val="0"/>
          <w:numId w:val="1029"/>
        </w:numPr>
        <w:pStyle w:val="Compact"/>
      </w:pPr>
      <w:r>
        <w:rPr>
          <w:bCs/>
          <w:b/>
        </w:rPr>
        <w:t xml:space="preserve">Components.</w:t>
      </w:r>
      <w:r>
        <w:t xml:space="preserve"> </w:t>
      </w:r>
      <w:r>
        <w:t xml:space="preserve">Six phases, each with a suggested time budget for a 45-minute slot.</w:t>
      </w:r>
    </w:p>
    <w:p>
      <w:pPr>
        <w:numPr>
          <w:ilvl w:val="0"/>
          <w:numId w:val="1029"/>
        </w:numPr>
        <w:pStyle w:val="Compact"/>
      </w:pPr>
      <w:r>
        <w:rPr>
          <w:bCs/>
          <w:b/>
        </w:rPr>
        <w:t xml:space="preserve">Direction.</w:t>
      </w:r>
      <w:r>
        <w:t xml:space="preserve"> </w:t>
      </w:r>
      <w:r>
        <w:t xml:space="preserve">Left to right. The dotted arrow shows that deep dives often send you back to revise the high-level design — that is expected, not a failure.</w:t>
      </w:r>
    </w:p>
    <w:p>
      <w:pPr>
        <w:numPr>
          <w:ilvl w:val="0"/>
          <w:numId w:val="1029"/>
        </w:numPr>
        <w:pStyle w:val="Compact"/>
      </w:pPr>
      <w:r>
        <w:rPr>
          <w:bCs/>
          <w:b/>
        </w:rPr>
        <w:t xml:space="preserve">What each phase produces.</w:t>
      </w:r>
      <w:r>
        <w:t xml:space="preserve"> </w:t>
      </w:r>
      <w:r>
        <w:t xml:space="preserve">A short list of FRs and numeric NFRs; a few key numbers (peak RPS, storage per year); a handful of API calls and core tables; a diagram like Figure 1.6 or 1.7; a deep analysis of one or two components (feed generation, partitioning, consistency); a summary of bottlenecks, failure modes and what you would do next.</w:t>
      </w:r>
    </w:p>
    <w:p>
      <w:pPr>
        <w:numPr>
          <w:ilvl w:val="0"/>
          <w:numId w:val="1029"/>
        </w:numPr>
        <w:pStyle w:val="Compact"/>
      </w:pPr>
      <w:r>
        <w:rPr>
          <w:bCs/>
          <w:b/>
        </w:rPr>
        <w:t xml:space="preserve">Failure points.</w:t>
      </w:r>
      <w:r>
        <w:t xml:space="preserve"> </w:t>
      </w:r>
      <w:r>
        <w:t xml:space="preserve">Spending 20 minutes on requirements, or jumping to the diagram with no requirements at all; going silent; designing for scale nobody asked for.</w:t>
      </w:r>
    </w:p>
    <w:p>
      <w:pPr>
        <w:numPr>
          <w:ilvl w:val="0"/>
          <w:numId w:val="1029"/>
        </w:numPr>
        <w:pStyle w:val="Compact"/>
      </w:pPr>
      <w:r>
        <w:rPr>
          <w:bCs/>
          <w:b/>
        </w:rPr>
        <w:t xml:space="preserve">Scaling to longer formats.</w:t>
      </w:r>
      <w:r>
        <w:t xml:space="preserve"> </w:t>
      </w:r>
      <w:r>
        <w:t xml:space="preserve">In a 60-minute slot, the extra time usually goes to deep dives.</w:t>
      </w:r>
    </w:p>
    <w:bookmarkEnd w:id="133"/>
    <w:bookmarkStart w:id="134" w:name="what-interviewers-evaluate"/>
    <w:p>
      <w:pPr>
        <w:pStyle w:val="Heading4"/>
      </w:pPr>
      <w:r>
        <w:t xml:space="preserve">What interviewers evaluate</w:t>
      </w:r>
    </w:p>
    <w:p>
      <w:pPr>
        <w:pStyle w:val="FirstParagraph"/>
      </w:pPr>
      <w:r>
        <w:rPr>
          <w:bCs/>
          <w:b/>
        </w:rPr>
        <w:t xml:space="preserve">Table 1.18 — Interview signals: weak vs strong.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Signal</w:t>
            </w:r>
          </w:p>
        </w:tc>
        <w:tc>
          <w:tcPr/>
          <w:p>
            <w:pPr>
              <w:pStyle w:val="Compact"/>
              <w:jc w:val="left"/>
            </w:pPr>
            <w:r>
              <w:t xml:space="preserve">Weak</w:t>
            </w:r>
          </w:p>
        </w:tc>
        <w:tc>
          <w:tcPr/>
          <w:p>
            <w:pPr>
              <w:pStyle w:val="Compact"/>
              <w:jc w:val="left"/>
            </w:pPr>
            <w:r>
              <w:t xml:space="preserve">Strong</w:t>
            </w:r>
          </w:p>
        </w:tc>
      </w:tr>
      <w:tr>
        <w:tc>
          <w:tcPr/>
          <w:p>
            <w:pPr>
              <w:pStyle w:val="Compact"/>
              <w:jc w:val="left"/>
            </w:pPr>
            <w:r>
              <w:t xml:space="preserve">Requirements</w:t>
            </w:r>
          </w:p>
        </w:tc>
        <w:tc>
          <w:tcPr/>
          <w:p>
            <w:pPr>
              <w:pStyle w:val="Compact"/>
              <w:jc w:val="left"/>
            </w:pPr>
            <w:r>
              <w:t xml:space="preserve">Starts drawing immediately</w:t>
            </w:r>
          </w:p>
        </w:tc>
        <w:tc>
          <w:tcPr/>
          <w:p>
            <w:pPr>
              <w:pStyle w:val="Compact"/>
              <w:jc w:val="left"/>
            </w:pPr>
            <w:r>
              <w:t xml:space="preserve">Asks targeted questions; states FRs, numeric NFRs and non-goals</w:t>
            </w:r>
          </w:p>
        </w:tc>
      </w:tr>
      <w:tr>
        <w:tc>
          <w:tcPr/>
          <w:p>
            <w:pPr>
              <w:pStyle w:val="Compact"/>
              <w:jc w:val="left"/>
            </w:pPr>
            <w:r>
              <w:t xml:space="preserve">Estimation</w:t>
            </w:r>
          </w:p>
        </w:tc>
        <w:tc>
          <w:tcPr/>
          <w:p>
            <w:pPr>
              <w:pStyle w:val="Compact"/>
              <w:jc w:val="left"/>
            </w:pPr>
            <w:r>
              <w:t xml:space="preserve">Skips, or computes to six digits</w:t>
            </w:r>
          </w:p>
        </w:tc>
        <w:tc>
          <w:tcPr/>
          <w:p>
            <w:pPr>
              <w:pStyle w:val="Compact"/>
              <w:jc w:val="left"/>
            </w:pPr>
            <w:r>
              <w:t xml:space="preserve">Order-of-magnitude numbers that drive decisions</w:t>
            </w:r>
          </w:p>
        </w:tc>
      </w:tr>
      <w:tr>
        <w:tc>
          <w:tcPr/>
          <w:p>
            <w:pPr>
              <w:pStyle w:val="Compact"/>
              <w:jc w:val="left"/>
            </w:pPr>
            <w:r>
              <w:t xml:space="preserve">Design</w:t>
            </w:r>
          </w:p>
        </w:tc>
        <w:tc>
          <w:tcPr/>
          <w:p>
            <w:pPr>
              <w:pStyle w:val="Compact"/>
              <w:jc w:val="left"/>
            </w:pPr>
            <w:r>
              <w:t xml:space="preserve">Lists technologies by name</w:t>
            </w:r>
          </w:p>
        </w:tc>
        <w:tc>
          <w:tcPr/>
          <w:p>
            <w:pPr>
              <w:pStyle w:val="Compact"/>
              <w:jc w:val="left"/>
            </w:pPr>
            <w:r>
              <w:t xml:space="preserve">Explains what each component is for and why it is needed</w:t>
            </w:r>
          </w:p>
        </w:tc>
      </w:tr>
      <w:tr>
        <w:tc>
          <w:tcPr/>
          <w:p>
            <w:pPr>
              <w:pStyle w:val="Compact"/>
              <w:jc w:val="left"/>
            </w:pPr>
            <w:r>
              <w:t xml:space="preserve">Trade-offs</w:t>
            </w:r>
          </w:p>
        </w:tc>
        <w:tc>
          <w:tcPr/>
          <w:p>
            <w:pPr>
              <w:pStyle w:val="Compact"/>
              <w:jc w:val="left"/>
            </w:pPr>
            <w:r>
              <w:t xml:space="preserve">“</w:t>
            </w:r>
            <w:r>
              <w:t xml:space="preserve">X is the best</w:t>
            </w:r>
            <w:r>
              <w:t xml:space="preserve">”</w:t>
            </w:r>
          </w:p>
        </w:tc>
        <w:tc>
          <w:tcPr/>
          <w:p>
            <w:pPr>
              <w:pStyle w:val="Compact"/>
              <w:jc w:val="left"/>
            </w:pPr>
            <w:r>
              <w:t xml:space="preserve">“</w:t>
            </w:r>
            <w:r>
              <w:t xml:space="preserve">X gives A at the cost of B; given our NFRs, that’s acceptable</w:t>
            </w:r>
            <w:r>
              <w:t xml:space="preserve">”</w:t>
            </w:r>
          </w:p>
        </w:tc>
      </w:tr>
      <w:tr>
        <w:tc>
          <w:tcPr/>
          <w:p>
            <w:pPr>
              <w:pStyle w:val="Compact"/>
              <w:jc w:val="left"/>
            </w:pPr>
            <w:r>
              <w:t xml:space="preserve">Depth</w:t>
            </w:r>
          </w:p>
        </w:tc>
        <w:tc>
          <w:tcPr/>
          <w:p>
            <w:pPr>
              <w:pStyle w:val="Compact"/>
              <w:jc w:val="left"/>
            </w:pPr>
            <w:r>
              <w:t xml:space="preserve">Shallow everywhere</w:t>
            </w:r>
          </w:p>
        </w:tc>
        <w:tc>
          <w:tcPr/>
          <w:p>
            <w:pPr>
              <w:pStyle w:val="Compact"/>
              <w:jc w:val="left"/>
            </w:pPr>
            <w:r>
              <w:t xml:space="preserve">Deep on the hardest part of</w:t>
            </w:r>
            <w:r>
              <w:t xml:space="preserve"> </w:t>
            </w:r>
            <w:r>
              <w:rPr>
                <w:iCs/>
                <w:i/>
              </w:rPr>
              <w:t xml:space="preserve">this</w:t>
            </w:r>
            <w:r>
              <w:t xml:space="preserve"> </w:t>
            </w:r>
            <w:r>
              <w:t xml:space="preserve">problem</w:t>
            </w:r>
          </w:p>
        </w:tc>
      </w:tr>
      <w:tr>
        <w:tc>
          <w:tcPr/>
          <w:p>
            <w:pPr>
              <w:pStyle w:val="Compact"/>
              <w:jc w:val="left"/>
            </w:pPr>
            <w:r>
              <w:t xml:space="preserve">Failure thinking</w:t>
            </w:r>
          </w:p>
        </w:tc>
        <w:tc>
          <w:tcPr/>
          <w:p>
            <w:pPr>
              <w:pStyle w:val="Compact"/>
              <w:jc w:val="left"/>
            </w:pPr>
            <w:r>
              <w:t xml:space="preserve">Assumes nothing breaks</w:t>
            </w:r>
          </w:p>
        </w:tc>
        <w:tc>
          <w:tcPr/>
          <w:p>
            <w:pPr>
              <w:pStyle w:val="Compact"/>
              <w:jc w:val="left"/>
            </w:pPr>
            <w:r>
              <w:t xml:space="preserve">Names SPOFs, failure modes and recovery</w:t>
            </w:r>
          </w:p>
        </w:tc>
      </w:tr>
      <w:tr>
        <w:tc>
          <w:tcPr/>
          <w:p>
            <w:pPr>
              <w:pStyle w:val="Compact"/>
              <w:jc w:val="left"/>
            </w:pPr>
            <w:r>
              <w:t xml:space="preserve">Communication</w:t>
            </w:r>
          </w:p>
        </w:tc>
        <w:tc>
          <w:tcPr/>
          <w:p>
            <w:pPr>
              <w:pStyle w:val="Compact"/>
              <w:jc w:val="left"/>
            </w:pPr>
            <w:r>
              <w:t xml:space="preserve">Monologue or silence</w:t>
            </w:r>
          </w:p>
        </w:tc>
        <w:tc>
          <w:tcPr/>
          <w:p>
            <w:pPr>
              <w:pStyle w:val="Compact"/>
              <w:jc w:val="left"/>
            </w:pPr>
            <w:r>
              <w:t xml:space="preserve">Thinks aloud, checks in, adapts to hints</w:t>
            </w:r>
          </w:p>
        </w:tc>
      </w:tr>
    </w:tbl>
    <w:p>
      <w:pPr>
        <w:pStyle w:val="BodyText"/>
      </w:pPr>
      <w:r>
        <w:t xml:space="preserve">Expectations rise with level: a junior candidate is expected to produce a working design with guidance; a senior candidate to drive the conversation and identify the hard parts unprompted; a staff-level candidate to reason about evolution, organizational and cost concerns, and multiple viable designs (rubrics by level are in Ch 88).</w:t>
      </w:r>
    </w:p>
    <w:p>
      <w:pPr>
        <w:pStyle w:val="CalloutTip"/>
      </w:pPr>
      <w:r>
        <w:rPr>
          <w:bCs/>
          <w:b/>
        </w:rPr>
        <w:t xml:space="preserve">INTERVIEW TIP</w:t>
      </w:r>
    </w:p>
    <w:p>
      <w:pPr>
        <w:pStyle w:val="CalloutTip"/>
      </w:pPr>
      <w:r>
        <w:rPr>
          <w:bCs/>
          <w:b/>
        </w:rPr>
        <w:t xml:space="preserve">Interview tip — the first two minutes.</w:t>
      </w:r>
      <w:r>
        <w:t xml:space="preserve"> </w:t>
      </w:r>
      <w:r>
        <w:t xml:space="preserve">For</w:t>
      </w:r>
      <w:r>
        <w:t xml:space="preserve"> </w:t>
      </w:r>
      <w:r>
        <w:t xml:space="preserve">“</w:t>
      </w:r>
      <w:r>
        <w:t xml:space="preserve">design PhotoShare</w:t>
      </w:r>
      <w:r>
        <w:t xml:space="preserve">”</w:t>
      </w:r>
      <w:r>
        <w:t xml:space="preserve">, a strong opening sounds like:</w:t>
      </w:r>
      <w:r>
        <w:t xml:space="preserve"> </w:t>
      </w:r>
      <w:r>
        <w:rPr>
          <w:iCs/>
          <w:i/>
        </w:rPr>
        <w:t xml:space="preserve">“</w:t>
      </w:r>
      <w:r>
        <w:rPr>
          <w:iCs/>
          <w:i/>
        </w:rPr>
        <w:t xml:space="preserve">Let me confirm scope: upload, follow, and a home feed of followed users’ photos — chronological, not ranked? I’ll leave out video, search and messaging. For scale, shall I assume around 10 million daily users, read-heavy — maybe 50 views per upload? And for quality targets: feed p99 under a few hundred milliseconds, uploads must never be lost, and a few seconds of delay before followers see a new photo is fine?</w:t>
      </w:r>
      <w:r>
        <w:rPr>
          <w:iCs/>
          <w:i/>
        </w:rPr>
        <w:t xml:space="preserve">”</w:t>
      </w:r>
      <w:r>
        <w:t xml:space="preserve"> </w:t>
      </w:r>
      <w:r>
        <w:t xml:space="preserve">In thirty seconds you have stated FRs, non-goals, scale, read/write ratio, latency, durability and consistency — and given the interviewer a chance to redirect.</w:t>
      </w:r>
    </w:p>
    <w:p>
      <w:pPr>
        <w:pStyle w:val="BodyText"/>
      </w:pPr>
      <w:r>
        <w:t xml:space="preserve">Variants include</w:t>
      </w:r>
      <w:r>
        <w:t xml:space="preserve"> </w:t>
      </w:r>
      <w:r>
        <w:rPr>
          <w:bCs/>
          <w:b/>
        </w:rPr>
        <w:t xml:space="preserve">low-level/object-oriented design</w:t>
      </w:r>
      <w:r>
        <w:t xml:space="preserve"> </w:t>
      </w:r>
      <w:r>
        <w:t xml:space="preserve">interviews (Ch 38),</w:t>
      </w:r>
      <w:r>
        <w:t xml:space="preserve"> </w:t>
      </w:r>
      <w:r>
        <w:rPr>
          <w:bCs/>
          <w:b/>
        </w:rPr>
        <w:t xml:space="preserve">ML system design</w:t>
      </w:r>
      <w:r>
        <w:t xml:space="preserve"> </w:t>
      </w:r>
      <w:r>
        <w:t xml:space="preserve">interviews (Ch 92), and product-flavored versus infrastructure-flavored prompts. Full preparation is in Book III (Ch 87–92).</w:t>
      </w:r>
    </w:p>
    <w:bookmarkEnd w:id="134"/>
    <w:bookmarkEnd w:id="135"/>
    <w:bookmarkEnd w:id="136"/>
    <w:bookmarkStart w:id="137" w:name="common-beginner-mistakes"/>
    <w:p>
      <w:pPr>
        <w:pStyle w:val="Heading2"/>
      </w:pPr>
      <w:r>
        <w:t xml:space="preserve">1.12 Common beginner mistakes</w:t>
      </w:r>
    </w:p>
    <w:p>
      <w:pPr>
        <w:pStyle w:val="FirstParagraph"/>
      </w:pPr>
      <w:r>
        <w:t xml:space="preserve">Most beginner mistakes are versions of one error:</w:t>
      </w:r>
      <w:r>
        <w:t xml:space="preserve"> </w:t>
      </w:r>
      <w:r>
        <w:rPr>
          <w:iCs/>
          <w:i/>
        </w:rPr>
        <w:t xml:space="preserve">designing without stating requirements and numbers</w:t>
      </w:r>
      <w:r>
        <w:t xml:space="preserve">. Table 1.19 lists the twelve most common.</w:t>
      </w:r>
    </w:p>
    <w:p>
      <w:pPr>
        <w:pStyle w:val="BodyText"/>
      </w:pPr>
      <w:r>
        <w:rPr>
          <w:bCs/>
          <w:b/>
        </w:rPr>
        <w:t xml:space="preserve">Table 1.19 — Common beginner mistakes and their fixes.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Mistake</w:t>
            </w:r>
          </w:p>
        </w:tc>
        <w:tc>
          <w:tcPr/>
          <w:p>
            <w:pPr>
              <w:pStyle w:val="Compact"/>
              <w:jc w:val="left"/>
            </w:pPr>
            <w:r>
              <w:t xml:space="preserve">Symptom</w:t>
            </w:r>
          </w:p>
        </w:tc>
        <w:tc>
          <w:tcPr/>
          <w:p>
            <w:pPr>
              <w:pStyle w:val="Compact"/>
              <w:jc w:val="left"/>
            </w:pPr>
            <w:r>
              <w:t xml:space="preserve">Fix</w:t>
            </w:r>
          </w:p>
        </w:tc>
        <w:tc>
          <w:tcPr/>
          <w:p>
            <w:pPr>
              <w:pStyle w:val="Compact"/>
              <w:jc w:val="left"/>
            </w:pPr>
            <w:r>
              <w:t xml:space="preserve">See</w:t>
            </w:r>
          </w:p>
        </w:tc>
      </w:tr>
      <w:tr>
        <w:tc>
          <w:tcPr/>
          <w:p>
            <w:pPr>
              <w:pStyle w:val="Compact"/>
              <w:jc w:val="left"/>
            </w:pPr>
            <w:r>
              <w:t xml:space="preserve">1</w:t>
            </w:r>
          </w:p>
        </w:tc>
        <w:tc>
          <w:tcPr/>
          <w:p>
            <w:pPr>
              <w:pStyle w:val="Compact"/>
              <w:jc w:val="left"/>
            </w:pPr>
            <w:r>
              <w:t xml:space="preserve">Jumping to a solution</w:t>
            </w:r>
          </w:p>
        </w:tc>
        <w:tc>
          <w:tcPr/>
          <w:p>
            <w:pPr>
              <w:pStyle w:val="Compact"/>
              <w:jc w:val="left"/>
            </w:pPr>
            <w:r>
              <w:t xml:space="preserve">Diagram before requirements</w:t>
            </w:r>
          </w:p>
        </w:tc>
        <w:tc>
          <w:tcPr/>
          <w:p>
            <w:pPr>
              <w:pStyle w:val="Compact"/>
              <w:jc w:val="left"/>
            </w:pPr>
            <w:r>
              <w:t xml:space="preserve">Spend the first minutes on FRs and NFRs</w:t>
            </w:r>
          </w:p>
        </w:tc>
        <w:tc>
          <w:tcPr/>
          <w:p>
            <w:pPr>
              <w:pStyle w:val="Compact"/>
              <w:jc w:val="left"/>
            </w:pPr>
            <w:r>
              <w:t xml:space="preserve">§1.6–1.7</w:t>
            </w:r>
          </w:p>
        </w:tc>
      </w:tr>
      <w:tr>
        <w:tc>
          <w:tcPr/>
          <w:p>
            <w:pPr>
              <w:pStyle w:val="Compact"/>
              <w:jc w:val="left"/>
            </w:pPr>
            <w:r>
              <w:t xml:space="preserve">2</w:t>
            </w:r>
          </w:p>
        </w:tc>
        <w:tc>
          <w:tcPr/>
          <w:p>
            <w:pPr>
              <w:pStyle w:val="Compact"/>
              <w:jc w:val="left"/>
            </w:pPr>
            <w:r>
              <w:t xml:space="preserve">Vague NFRs</w:t>
            </w:r>
          </w:p>
        </w:tc>
        <w:tc>
          <w:tcPr/>
          <w:p>
            <w:pPr>
              <w:pStyle w:val="Compact"/>
              <w:jc w:val="left"/>
            </w:pPr>
            <w:r>
              <w:t xml:space="preserve">“</w:t>
            </w:r>
            <w:r>
              <w:t xml:space="preserve">Fast and scalable</w:t>
            </w:r>
            <w:r>
              <w:t xml:space="preserve">”</w:t>
            </w:r>
          </w:p>
        </w:tc>
        <w:tc>
          <w:tcPr/>
          <w:p>
            <w:pPr>
              <w:pStyle w:val="Compact"/>
              <w:jc w:val="left"/>
            </w:pPr>
            <w:r>
              <w:t xml:space="preserve">Numbers, percentiles, windows</w:t>
            </w:r>
          </w:p>
        </w:tc>
        <w:tc>
          <w:tcPr/>
          <w:p>
            <w:pPr>
              <w:pStyle w:val="Compact"/>
              <w:jc w:val="left"/>
            </w:pPr>
            <w:r>
              <w:t xml:space="preserve">§1.7</w:t>
            </w:r>
          </w:p>
        </w:tc>
      </w:tr>
      <w:tr>
        <w:tc>
          <w:tcPr/>
          <w:p>
            <w:pPr>
              <w:pStyle w:val="Compact"/>
              <w:jc w:val="left"/>
            </w:pPr>
            <w:r>
              <w:t xml:space="preserve">3</w:t>
            </w:r>
          </w:p>
        </w:tc>
        <w:tc>
          <w:tcPr/>
          <w:p>
            <w:pPr>
              <w:pStyle w:val="Compact"/>
              <w:jc w:val="left"/>
            </w:pPr>
            <w:r>
              <w:t xml:space="preserve">No estimation</w:t>
            </w:r>
          </w:p>
        </w:tc>
        <w:tc>
          <w:tcPr/>
          <w:p>
            <w:pPr>
              <w:pStyle w:val="Compact"/>
              <w:jc w:val="left"/>
            </w:pPr>
            <w:r>
              <w:t xml:space="preserve">Arbitrary component counts</w:t>
            </w:r>
          </w:p>
        </w:tc>
        <w:tc>
          <w:tcPr/>
          <w:p>
            <w:pPr>
              <w:pStyle w:val="Compact"/>
              <w:jc w:val="left"/>
            </w:pPr>
            <w:r>
              <w:t xml:space="preserve">Back-of-the-envelope RPS, storage, bandwidth</w:t>
            </w:r>
          </w:p>
        </w:tc>
        <w:tc>
          <w:tcPr/>
          <w:p>
            <w:pPr>
              <w:pStyle w:val="Compact"/>
              <w:jc w:val="left"/>
            </w:pPr>
            <w:r>
              <w:t xml:space="preserve">§1.3.2, Ch 89</w:t>
            </w:r>
          </w:p>
        </w:tc>
      </w:tr>
      <w:tr>
        <w:tc>
          <w:tcPr/>
          <w:p>
            <w:pPr>
              <w:pStyle w:val="Compact"/>
              <w:jc w:val="left"/>
            </w:pPr>
            <w:r>
              <w:t xml:space="preserve">4</w:t>
            </w:r>
          </w:p>
        </w:tc>
        <w:tc>
          <w:tcPr/>
          <w:p>
            <w:pPr>
              <w:pStyle w:val="Compact"/>
              <w:jc w:val="left"/>
            </w:pPr>
            <w:r>
              <w:t xml:space="preserve">Over-engineering</w:t>
            </w:r>
          </w:p>
        </w:tc>
        <w:tc>
          <w:tcPr/>
          <w:p>
            <w:pPr>
              <w:pStyle w:val="Compact"/>
              <w:jc w:val="left"/>
            </w:pPr>
            <w:r>
              <w:t xml:space="preserve">Microservices, Kafka and sharding for 1,000 users</w:t>
            </w:r>
          </w:p>
        </w:tc>
        <w:tc>
          <w:tcPr/>
          <w:p>
            <w:pPr>
              <w:pStyle w:val="Compact"/>
              <w:jc w:val="left"/>
            </w:pPr>
            <w:r>
              <w:t xml:space="preserve">Design for ~10× current load; evolve</w:t>
            </w:r>
          </w:p>
        </w:tc>
        <w:tc>
          <w:tcPr/>
          <w:p>
            <w:pPr>
              <w:pStyle w:val="Compact"/>
              <w:jc w:val="left"/>
            </w:pPr>
            <w:r>
              <w:t xml:space="preserve">§1.9</w:t>
            </w:r>
          </w:p>
        </w:tc>
      </w:tr>
      <w:tr>
        <w:tc>
          <w:tcPr/>
          <w:p>
            <w:pPr>
              <w:pStyle w:val="Compact"/>
              <w:jc w:val="left"/>
            </w:pPr>
            <w:r>
              <w:t xml:space="preserve">5</w:t>
            </w:r>
          </w:p>
        </w:tc>
        <w:tc>
          <w:tcPr/>
          <w:p>
            <w:pPr>
              <w:pStyle w:val="Compact"/>
              <w:jc w:val="left"/>
            </w:pPr>
            <w:r>
              <w:t xml:space="preserve">Buzzword architecture</w:t>
            </w:r>
          </w:p>
        </w:tc>
        <w:tc>
          <w:tcPr/>
          <w:p>
            <w:pPr>
              <w:pStyle w:val="Compact"/>
              <w:jc w:val="left"/>
            </w:pPr>
            <w:r>
              <w:t xml:space="preserve">Technologies named, purpose unexplained</w:t>
            </w:r>
          </w:p>
        </w:tc>
        <w:tc>
          <w:tcPr/>
          <w:p>
            <w:pPr>
              <w:pStyle w:val="Compact"/>
              <w:jc w:val="left"/>
            </w:pPr>
            <w:r>
              <w:t xml:space="preserve">Justify every box by a requirement</w:t>
            </w:r>
          </w:p>
        </w:tc>
        <w:tc>
          <w:tcPr/>
          <w:p>
            <w:pPr>
              <w:pStyle w:val="Compact"/>
              <w:jc w:val="left"/>
            </w:pPr>
            <w:r>
              <w:t xml:space="preserve">§1.3</w:t>
            </w:r>
          </w:p>
        </w:tc>
      </w:tr>
      <w:tr>
        <w:tc>
          <w:tcPr/>
          <w:p>
            <w:pPr>
              <w:pStyle w:val="Compact"/>
              <w:jc w:val="left"/>
            </w:pPr>
            <w:r>
              <w:t xml:space="preserve">6</w:t>
            </w:r>
          </w:p>
        </w:tc>
        <w:tc>
          <w:tcPr/>
          <w:p>
            <w:pPr>
              <w:pStyle w:val="Compact"/>
              <w:jc w:val="left"/>
            </w:pPr>
            <w:r>
              <w:t xml:space="preserve">Ignoring failure</w:t>
            </w:r>
          </w:p>
        </w:tc>
        <w:tc>
          <w:tcPr/>
          <w:p>
            <w:pPr>
              <w:pStyle w:val="Compact"/>
              <w:jc w:val="left"/>
            </w:pPr>
            <w:r>
              <w:t xml:space="preserve">No answer to</w:t>
            </w:r>
            <w:r>
              <w:t xml:space="preserve"> </w:t>
            </w:r>
            <w:r>
              <w:t xml:space="preserve">“</w:t>
            </w:r>
            <w:r>
              <w:t xml:space="preserve">what if this node dies?</w:t>
            </w:r>
            <w:r>
              <w:t xml:space="preserve">”</w:t>
            </w:r>
          </w:p>
        </w:tc>
        <w:tc>
          <w:tcPr/>
          <w:p>
            <w:pPr>
              <w:pStyle w:val="Compact"/>
              <w:jc w:val="left"/>
            </w:pPr>
            <w:r>
              <w:t xml:space="preserve">Name SPOFs; add redundancy where the NFR demands it</w:t>
            </w:r>
          </w:p>
        </w:tc>
        <w:tc>
          <w:tcPr/>
          <w:p>
            <w:pPr>
              <w:pStyle w:val="Compact"/>
              <w:jc w:val="left"/>
            </w:pPr>
            <w:r>
              <w:t xml:space="preserve">Ch 39</w:t>
            </w:r>
          </w:p>
        </w:tc>
      </w:tr>
      <w:tr>
        <w:tc>
          <w:tcPr/>
          <w:p>
            <w:pPr>
              <w:pStyle w:val="Compact"/>
              <w:jc w:val="left"/>
            </w:pPr>
            <w:r>
              <w:t xml:space="preserve">7</w:t>
            </w:r>
          </w:p>
        </w:tc>
        <w:tc>
          <w:tcPr/>
          <w:p>
            <w:pPr>
              <w:pStyle w:val="Compact"/>
              <w:jc w:val="left"/>
            </w:pPr>
            <w:r>
              <w:t xml:space="preserve">Averages instead of tails</w:t>
            </w:r>
          </w:p>
        </w:tc>
        <w:tc>
          <w:tcPr/>
          <w:p>
            <w:pPr>
              <w:pStyle w:val="Compact"/>
              <w:jc w:val="left"/>
            </w:pPr>
            <w:r>
              <w:t xml:space="preserve">p99 never mentioned</w:t>
            </w:r>
          </w:p>
        </w:tc>
        <w:tc>
          <w:tcPr/>
          <w:p>
            <w:pPr>
              <w:pStyle w:val="Compact"/>
              <w:jc w:val="left"/>
            </w:pPr>
            <w:r>
              <w:t xml:space="preserve">Specify and reason in percentiles</w:t>
            </w:r>
          </w:p>
        </w:tc>
        <w:tc>
          <w:tcPr/>
          <w:p>
            <w:pPr>
              <w:pStyle w:val="Compact"/>
              <w:jc w:val="left"/>
            </w:pPr>
            <w:r>
              <w:t xml:space="preserve">§1.7.1, §4.8</w:t>
            </w:r>
          </w:p>
        </w:tc>
      </w:tr>
      <w:tr>
        <w:tc>
          <w:tcPr/>
          <w:p>
            <w:pPr>
              <w:pStyle w:val="Compact"/>
              <w:jc w:val="left"/>
            </w:pPr>
            <w:r>
              <w:t xml:space="preserve">8</w:t>
            </w:r>
          </w:p>
        </w:tc>
        <w:tc>
          <w:tcPr/>
          <w:p>
            <w:pPr>
              <w:pStyle w:val="Compact"/>
              <w:jc w:val="left"/>
            </w:pPr>
            <w:r>
              <w:t xml:space="preserve">Stateful app servers</w:t>
            </w:r>
          </w:p>
        </w:tc>
        <w:tc>
          <w:tcPr/>
          <w:p>
            <w:pPr>
              <w:pStyle w:val="Compact"/>
              <w:jc w:val="left"/>
            </w:pPr>
            <w:r>
              <w:t xml:space="preserve">Sessions or files on local disk</w:t>
            </w:r>
          </w:p>
        </w:tc>
        <w:tc>
          <w:tcPr/>
          <w:p>
            <w:pPr>
              <w:pStyle w:val="Compact"/>
              <w:jc w:val="left"/>
            </w:pPr>
            <w:r>
              <w:t xml:space="preserve">Push state into shared stores</w:t>
            </w:r>
          </w:p>
        </w:tc>
        <w:tc>
          <w:tcPr/>
          <w:p>
            <w:pPr>
              <w:pStyle w:val="Compact"/>
              <w:jc w:val="left"/>
            </w:pPr>
            <w:r>
              <w:t xml:space="preserve">§18.5</w:t>
            </w:r>
          </w:p>
        </w:tc>
      </w:tr>
      <w:tr>
        <w:tc>
          <w:tcPr/>
          <w:p>
            <w:pPr>
              <w:pStyle w:val="Compact"/>
              <w:jc w:val="left"/>
            </w:pPr>
            <w:r>
              <w:t xml:space="preserve">9</w:t>
            </w:r>
          </w:p>
        </w:tc>
        <w:tc>
          <w:tcPr/>
          <w:p>
            <w:pPr>
              <w:pStyle w:val="Compact"/>
              <w:jc w:val="left"/>
            </w:pPr>
            <w:r>
              <w:t xml:space="preserve">One database for everything, forever</w:t>
            </w:r>
          </w:p>
        </w:tc>
        <w:tc>
          <w:tcPr/>
          <w:p>
            <w:pPr>
              <w:pStyle w:val="Compact"/>
              <w:jc w:val="left"/>
            </w:pPr>
            <w:r>
              <w:t xml:space="preserve">DB is every bottleneck</w:t>
            </w:r>
          </w:p>
        </w:tc>
        <w:tc>
          <w:tcPr/>
          <w:p>
            <w:pPr>
              <w:pStyle w:val="Compact"/>
              <w:jc w:val="left"/>
            </w:pPr>
            <w:r>
              <w:t xml:space="preserve">Cache, replicas, partitioning — when measured</w:t>
            </w:r>
          </w:p>
        </w:tc>
        <w:tc>
          <w:tcPr/>
          <w:p>
            <w:pPr>
              <w:pStyle w:val="Compact"/>
              <w:jc w:val="left"/>
            </w:pPr>
            <w:r>
              <w:t xml:space="preserve">Ch 14, Ch 20</w:t>
            </w:r>
          </w:p>
        </w:tc>
      </w:tr>
      <w:tr>
        <w:tc>
          <w:tcPr/>
          <w:p>
            <w:pPr>
              <w:pStyle w:val="Compact"/>
              <w:jc w:val="left"/>
            </w:pPr>
            <w:r>
              <w:t xml:space="preserve">10</w:t>
            </w:r>
          </w:p>
        </w:tc>
        <w:tc>
          <w:tcPr/>
          <w:p>
            <w:pPr>
              <w:pStyle w:val="Compact"/>
              <w:jc w:val="left"/>
            </w:pPr>
            <w:r>
              <w:t xml:space="preserve">Silent trade-offs</w:t>
            </w:r>
          </w:p>
        </w:tc>
        <w:tc>
          <w:tcPr/>
          <w:p>
            <w:pPr>
              <w:pStyle w:val="Compact"/>
              <w:jc w:val="left"/>
            </w:pPr>
            <w:r>
              <w:t xml:space="preserve">Only advantages stated</w:t>
            </w:r>
          </w:p>
        </w:tc>
        <w:tc>
          <w:tcPr/>
          <w:p>
            <w:pPr>
              <w:pStyle w:val="Compact"/>
              <w:jc w:val="left"/>
            </w:pPr>
            <w:r>
              <w:t xml:space="preserve">Always name the cost of each choice</w:t>
            </w:r>
          </w:p>
        </w:tc>
        <w:tc>
          <w:tcPr/>
          <w:p>
            <w:pPr>
              <w:pStyle w:val="Compact"/>
              <w:jc w:val="left"/>
            </w:pPr>
            <w:r>
              <w:t xml:space="preserve">§1.7.3</w:t>
            </w:r>
          </w:p>
        </w:tc>
      </w:tr>
      <w:tr>
        <w:tc>
          <w:tcPr/>
          <w:p>
            <w:pPr>
              <w:pStyle w:val="Compact"/>
              <w:jc w:val="left"/>
            </w:pPr>
            <w:r>
              <w:t xml:space="preserve">11</w:t>
            </w:r>
          </w:p>
        </w:tc>
        <w:tc>
          <w:tcPr/>
          <w:p>
            <w:pPr>
              <w:pStyle w:val="Compact"/>
              <w:jc w:val="left"/>
            </w:pPr>
            <w:r>
              <w:t xml:space="preserve">Forgetting the data lifecycle</w:t>
            </w:r>
          </w:p>
        </w:tc>
        <w:tc>
          <w:tcPr/>
          <w:p>
            <w:pPr>
              <w:pStyle w:val="Compact"/>
              <w:jc w:val="left"/>
            </w:pPr>
            <w:r>
              <w:t xml:space="preserve">No deletion, retention or backup plan</w:t>
            </w:r>
          </w:p>
        </w:tc>
        <w:tc>
          <w:tcPr/>
          <w:p>
            <w:pPr>
              <w:pStyle w:val="Compact"/>
              <w:jc w:val="left"/>
            </w:pPr>
            <w:r>
              <w:t xml:space="preserve">Treat deletion, backup and retention as requirements</w:t>
            </w:r>
          </w:p>
        </w:tc>
        <w:tc>
          <w:tcPr/>
          <w:p>
            <w:pPr>
              <w:pStyle w:val="Compact"/>
              <w:jc w:val="left"/>
            </w:pPr>
            <w:r>
              <w:t xml:space="preserve">§1.6, §39.9</w:t>
            </w:r>
          </w:p>
        </w:tc>
      </w:tr>
      <w:tr>
        <w:tc>
          <w:tcPr/>
          <w:p>
            <w:pPr>
              <w:pStyle w:val="Compact"/>
              <w:jc w:val="left"/>
            </w:pPr>
            <w:r>
              <w:t xml:space="preserve">12</w:t>
            </w:r>
          </w:p>
        </w:tc>
        <w:tc>
          <w:tcPr/>
          <w:p>
            <w:pPr>
              <w:pStyle w:val="Compact"/>
              <w:jc w:val="left"/>
            </w:pPr>
            <w:r>
              <w:t xml:space="preserve">Forgetting operations</w:t>
            </w:r>
          </w:p>
        </w:tc>
        <w:tc>
          <w:tcPr/>
          <w:p>
            <w:pPr>
              <w:pStyle w:val="Compact"/>
              <w:jc w:val="left"/>
            </w:pPr>
            <w:r>
              <w:t xml:space="preserve">No monitoring, deploy or rollback story</w:t>
            </w:r>
          </w:p>
        </w:tc>
        <w:tc>
          <w:tcPr/>
          <w:p>
            <w:pPr>
              <w:pStyle w:val="Compact"/>
              <w:jc w:val="left"/>
            </w:pPr>
            <w:r>
              <w:t xml:space="preserve">Include observability and deployability</w:t>
            </w:r>
          </w:p>
        </w:tc>
        <w:tc>
          <w:tcPr/>
          <w:p>
            <w:pPr>
              <w:pStyle w:val="Compact"/>
              <w:jc w:val="left"/>
            </w:pPr>
            <w:r>
              <w:t xml:space="preserve">Ch 40, Ch 43</w:t>
            </w:r>
          </w:p>
        </w:tc>
      </w:tr>
    </w:tbl>
    <w:p>
      <w:pPr>
        <w:pStyle w:val="CalloutMistake"/>
      </w:pPr>
      <w:r>
        <w:rPr>
          <w:bCs/>
          <w:b/>
        </w:rPr>
        <w:t xml:space="preserve">COMMON MISTAKE</w:t>
      </w:r>
    </w:p>
    <w:p>
      <w:pPr>
        <w:pStyle w:val="CalloutMistake"/>
      </w:pPr>
      <w:r>
        <w:rPr>
          <w:bCs/>
          <w:b/>
        </w:rPr>
        <w:t xml:space="preserve">The two-sided trap.</w:t>
      </w:r>
      <w:r>
        <w:t xml:space="preserve"> </w:t>
      </w:r>
      <w:r>
        <w:t xml:space="preserve">Mistakes 4 and 9 are opposites, and beginners often swing from one to the other. The cure for both is the same: let</w:t>
      </w:r>
      <w:r>
        <w:t xml:space="preserve"> </w:t>
      </w:r>
      <w:r>
        <w:rPr>
          <w:iCs/>
          <w:i/>
        </w:rPr>
        <w:t xml:space="preserve">measured or estimated</w:t>
      </w:r>
      <w:r>
        <w:t xml:space="preserve"> </w:t>
      </w:r>
      <w:r>
        <w:t xml:space="preserve">load and</w:t>
      </w:r>
      <w:r>
        <w:t xml:space="preserve"> </w:t>
      </w:r>
      <w:r>
        <w:rPr>
          <w:iCs/>
          <w:i/>
        </w:rPr>
        <w:t xml:space="preserve">stated</w:t>
      </w:r>
      <w:r>
        <w:t xml:space="preserve"> </w:t>
      </w:r>
      <w:r>
        <w:t xml:space="preserve">requirements decide when each component is added. Figure 1.1 was right for v0; Figure 1.7 was right for v3; neither is right for the other.</w:t>
      </w:r>
    </w:p>
    <w:p>
      <w:pPr>
        <w:pStyle w:val="CalloutRecommendation"/>
      </w:pPr>
      <w:r>
        <w:rPr>
          <w:bCs/>
          <w:b/>
        </w:rPr>
        <w:t xml:space="preserve">RECOMMENDATION</w:t>
      </w:r>
    </w:p>
    <w:p>
      <w:pPr>
        <w:pStyle w:val="CalloutRecommendation"/>
      </w:pPr>
      <w:r>
        <w:rPr>
          <w:bCs/>
          <w:b/>
        </w:rPr>
        <w:t xml:space="preserve">A five-question self-check before any design discussion.</w:t>
      </w:r>
      <w:r>
        <w:t xml:space="preserve"> </w:t>
      </w:r>
      <w:r>
        <w:t xml:space="preserve">(1) What must it do? (2) How well — in numbers? (3) How big — in RPS, bytes and growth? (4) What fails, and what happens then? (5) What did I give up, and why is that acceptable?</w:t>
      </w:r>
    </w:p>
    <w:bookmarkEnd w:id="137"/>
    <w:bookmarkStart w:id="138" w:name="summary-and-revision-notes"/>
    <w:p>
      <w:pPr>
        <w:pStyle w:val="Heading2"/>
      </w:pPr>
      <w:r>
        <w:t xml:space="preserve">1.13 Summary and revision notes</w:t>
      </w:r>
    </w:p>
    <w:p>
      <w:pPr>
        <w:pStyle w:val="CalloutSummary"/>
      </w:pPr>
      <w:r>
        <w:rPr>
          <w:bCs/>
          <w:b/>
        </w:rPr>
        <w:t xml:space="preserve">SUMMARY</w:t>
      </w:r>
    </w:p>
    <w:p>
      <w:pPr>
        <w:numPr>
          <w:ilvl w:val="0"/>
          <w:numId w:val="1030"/>
        </w:numPr>
        <w:pStyle w:val="Compact"/>
      </w:pPr>
      <w:r>
        <w:rPr>
          <w:bCs/>
          <w:b/>
        </w:rPr>
        <w:t xml:space="preserve">System design</w:t>
      </w:r>
      <w:r>
        <w:t xml:space="preserve"> </w:t>
      </w:r>
      <w:r>
        <w:t xml:space="preserve">is deciding components, responsibilities, interfaces, data flow, storage and deployment so a system meets functional</w:t>
      </w:r>
      <w:r>
        <w:t xml:space="preserve"> </w:t>
      </w:r>
      <w:r>
        <w:rPr>
          <w:iCs/>
          <w:i/>
        </w:rPr>
        <w:t xml:space="preserve">and</w:t>
      </w:r>
      <w:r>
        <w:t xml:space="preserve"> </w:t>
      </w:r>
      <w:r>
        <w:t xml:space="preserve">non-functional requirements under stated load and failure assumptions. A design is only good relative to its requirements.</w:t>
      </w:r>
    </w:p>
    <w:p>
      <w:pPr>
        <w:numPr>
          <w:ilvl w:val="0"/>
          <w:numId w:val="1030"/>
        </w:numPr>
        <w:pStyle w:val="Compact"/>
      </w:pPr>
      <w:r>
        <w:rPr>
          <w:bCs/>
          <w:b/>
        </w:rPr>
        <w:t xml:space="preserve">Software architecture</w:t>
      </w:r>
      <w:r>
        <w:t xml:space="preserve"> </w:t>
      </w:r>
      <w:r>
        <w:t xml:space="preserve">is the set of significant, hard-to-change structures of a system; system design is its large-scale, runtime-focused part. Describe architecture with multiple views (4+1, C4).</w:t>
      </w:r>
    </w:p>
    <w:p>
      <w:pPr>
        <w:numPr>
          <w:ilvl w:val="0"/>
          <w:numId w:val="1030"/>
        </w:numPr>
        <w:pStyle w:val="Compact"/>
      </w:pPr>
      <w:r>
        <w:rPr>
          <w:bCs/>
          <w:b/>
        </w:rPr>
        <w:t xml:space="preserve">HLD</w:t>
      </w:r>
      <w:r>
        <w:t xml:space="preserve"> </w:t>
      </w:r>
      <w:r>
        <w:t xml:space="preserve">fixes components, boundaries and contracts;</w:t>
      </w:r>
      <w:r>
        <w:t xml:space="preserve"> </w:t>
      </w:r>
      <w:r>
        <w:rPr>
          <w:bCs/>
          <w:b/>
        </w:rPr>
        <w:t xml:space="preserve">LLD</w:t>
      </w:r>
      <w:r>
        <w:t xml:space="preserve"> </w:t>
      </w:r>
      <w:r>
        <w:t xml:space="preserve">fixes the internals of one component. Design moves between the two levels.</w:t>
      </w:r>
    </w:p>
    <w:p>
      <w:pPr>
        <w:numPr>
          <w:ilvl w:val="0"/>
          <w:numId w:val="1030"/>
        </w:numPr>
        <w:pStyle w:val="Compact"/>
      </w:pPr>
      <w:r>
        <w:rPr>
          <w:bCs/>
          <w:b/>
        </w:rPr>
        <w:t xml:space="preserve">Functional requirements</w:t>
      </w:r>
      <w:r>
        <w:t xml:space="preserve"> </w:t>
      </w:r>
      <w:r>
        <w:t xml:space="preserve">say what the system does; write them testably, prioritize them, and list non-goals. Some</w:t>
      </w:r>
      <w:r>
        <w:t xml:space="preserve"> </w:t>
      </w:r>
      <w:r>
        <w:t xml:space="preserve">“</w:t>
      </w:r>
      <w:r>
        <w:t xml:space="preserve">small</w:t>
      </w:r>
      <w:r>
        <w:t xml:space="preserve">”</w:t>
      </w:r>
      <w:r>
        <w:t xml:space="preserve"> </w:t>
      </w:r>
      <w:r>
        <w:t xml:space="preserve">FRs (account deletion) have large architectural consequences.</w:t>
      </w:r>
    </w:p>
    <w:p>
      <w:pPr>
        <w:numPr>
          <w:ilvl w:val="0"/>
          <w:numId w:val="1030"/>
        </w:numPr>
        <w:pStyle w:val="Compact"/>
      </w:pPr>
      <w:r>
        <w:rPr>
          <w:bCs/>
          <w:b/>
        </w:rPr>
        <w:t xml:space="preserve">Non-functional requirements</w:t>
      </w:r>
      <w:r>
        <w:t xml:space="preserve"> </w:t>
      </w:r>
      <w:r>
        <w:t xml:space="preserve">say how well; they drive the architecture. Make them measurable (number, percentile, window, load) using quality attribute scenarios, SLIs and SLOs.</w:t>
      </w:r>
    </w:p>
    <w:p>
      <w:pPr>
        <w:numPr>
          <w:ilvl w:val="0"/>
          <w:numId w:val="1030"/>
        </w:numPr>
        <w:pStyle w:val="Compact"/>
      </w:pPr>
      <w:r>
        <w:t xml:space="preserve">99.9% availability allows 43.2 minutes of downtime per 30 days; components in series multiply availabilities, so each synchronous dependency lowers the total.</w:t>
      </w:r>
    </w:p>
    <w:p>
      <w:pPr>
        <w:numPr>
          <w:ilvl w:val="0"/>
          <w:numId w:val="1030"/>
        </w:numPr>
        <w:pStyle w:val="Compact"/>
      </w:pPr>
      <w:r>
        <w:t xml:space="preserve">Quality attributes conflict (consistency vs availability, durability vs latency, availability vs cost). Name the tension and choose per operation.</w:t>
      </w:r>
    </w:p>
    <w:p>
      <w:pPr>
        <w:numPr>
          <w:ilvl w:val="0"/>
          <w:numId w:val="1030"/>
        </w:numPr>
        <w:pStyle w:val="Compact"/>
      </w:pPr>
      <w:r>
        <w:t xml:space="preserve">Record one-way-door decisions as</w:t>
      </w:r>
      <w:r>
        <w:t xml:space="preserve"> </w:t>
      </w:r>
      <w:r>
        <w:rPr>
          <w:bCs/>
          <w:b/>
        </w:rPr>
        <w:t xml:space="preserve">ADRs</w:t>
      </w:r>
      <w:r>
        <w:t xml:space="preserve"> </w:t>
      </w:r>
      <w:r>
        <w:t xml:space="preserve">(title, status, context, decision, consequences); supersede, never rewrite. Use weighted matrices to make priorities explicit.</w:t>
      </w:r>
    </w:p>
    <w:p>
      <w:pPr>
        <w:numPr>
          <w:ilvl w:val="0"/>
          <w:numId w:val="1030"/>
        </w:numPr>
        <w:pStyle w:val="Compact"/>
      </w:pPr>
      <w:r>
        <w:t xml:space="preserve">Decisions about</w:t>
      </w:r>
      <w:r>
        <w:t xml:space="preserve"> </w:t>
      </w:r>
      <w:r>
        <w:rPr>
          <w:bCs/>
          <w:b/>
        </w:rPr>
        <w:t xml:space="preserve">where data lives and in what shape</w:t>
      </w:r>
      <w:r>
        <w:t xml:space="preserve"> </w:t>
      </w:r>
      <w:r>
        <w:t xml:space="preserve">are expensive to reverse; decisions about compute quantity are cheap. Avoid both under- and over-engineering.</w:t>
      </w:r>
    </w:p>
    <w:p>
      <w:pPr>
        <w:numPr>
          <w:ilvl w:val="0"/>
          <w:numId w:val="1030"/>
        </w:numPr>
        <w:pStyle w:val="Compact"/>
      </w:pPr>
      <w:r>
        <w:t xml:space="preserve">Industry practice:</w:t>
      </w:r>
      <w:r>
        <w:t xml:space="preserve"> </w:t>
      </w:r>
      <w:r>
        <w:rPr>
          <w:bCs/>
          <w:b/>
        </w:rPr>
        <w:t xml:space="preserve">design docs</w:t>
      </w:r>
      <w:r>
        <w:t xml:space="preserve"> </w:t>
      </w:r>
      <w:r>
        <w:t xml:space="preserve">→</w:t>
      </w:r>
      <w:r>
        <w:t xml:space="preserve"> </w:t>
      </w:r>
      <w:r>
        <w:rPr>
          <w:bCs/>
          <w:b/>
        </w:rPr>
        <w:t xml:space="preserve">design review</w:t>
      </w:r>
      <w:r>
        <w:t xml:space="preserve"> </w:t>
      </w:r>
      <w:r>
        <w:t xml:space="preserve">→ ADRs → implementation →</w:t>
      </w:r>
      <w:r>
        <w:t xml:space="preserve"> </w:t>
      </w:r>
      <w:r>
        <w:rPr>
          <w:bCs/>
          <w:b/>
        </w:rPr>
        <w:t xml:space="preserve">production readiness review</w:t>
      </w:r>
      <w:r>
        <w:t xml:space="preserve"> </w:t>
      </w:r>
      <w:r>
        <w:t xml:space="preserve">→ launch →</w:t>
      </w:r>
      <w:r>
        <w:t xml:space="preserve"> </w:t>
      </w:r>
      <w:r>
        <w:rPr>
          <w:bCs/>
          <w:b/>
        </w:rPr>
        <w:t xml:space="preserve">postmortems</w:t>
      </w:r>
      <w:r>
        <w:t xml:space="preserve">; RFC processes broaden review.</w:t>
      </w:r>
    </w:p>
    <w:p>
      <w:pPr>
        <w:numPr>
          <w:ilvl w:val="0"/>
          <w:numId w:val="1030"/>
        </w:numPr>
        <w:pStyle w:val="Compact"/>
      </w:pPr>
      <w:r>
        <w:t xml:space="preserve">Interviews compress a design review into 45–60 minutes: requirements, estimation, API and data, high-level design, deep dives, trade-offs.</w:t>
      </w:r>
    </w:p>
    <w:bookmarkEnd w:id="138"/>
    <w:bookmarkStart w:id="139" w:name="knowledge-checkpoint"/>
    <w:p>
      <w:pPr>
        <w:pStyle w:val="Heading2"/>
      </w:pPr>
      <w:r>
        <w:t xml:space="preserve">1.14 Knowledge checkpoint</w:t>
      </w:r>
    </w:p>
    <w:p>
      <w:pPr>
        <w:numPr>
          <w:ilvl w:val="0"/>
          <w:numId w:val="1031"/>
        </w:numPr>
        <w:pStyle w:val="Compact"/>
      </w:pPr>
      <w:r>
        <w:t xml:space="preserve">In one sentence each, define</w:t>
      </w:r>
      <w:r>
        <w:t xml:space="preserve"> </w:t>
      </w:r>
      <w:r>
        <w:rPr>
          <w:iCs/>
          <w:i/>
        </w:rPr>
        <w:t xml:space="preserve">system design</w:t>
      </w:r>
      <w:r>
        <w:t xml:space="preserve"> </w:t>
      </w:r>
      <w:r>
        <w:t xml:space="preserve">and</w:t>
      </w:r>
      <w:r>
        <w:t xml:space="preserve"> </w:t>
      </w:r>
      <w:r>
        <w:rPr>
          <w:iCs/>
          <w:i/>
        </w:rPr>
        <w:t xml:space="preserve">software architecture</w:t>
      </w:r>
      <w:r>
        <w:t xml:space="preserve">.</w:t>
      </w:r>
    </w:p>
    <w:p>
      <w:pPr>
        <w:numPr>
          <w:ilvl w:val="0"/>
          <w:numId w:val="1031"/>
        </w:numPr>
        <w:pStyle w:val="Compact"/>
      </w:pPr>
      <w:r>
        <w:t xml:space="preserve">Why is</w:t>
      </w:r>
      <w:r>
        <w:t xml:space="preserve"> </w:t>
      </w:r>
      <w:r>
        <w:t xml:space="preserve">“</w:t>
      </w:r>
      <w:r>
        <w:t xml:space="preserve">a single server</w:t>
      </w:r>
      <w:r>
        <w:t xml:space="preserve">”</w:t>
      </w:r>
      <w:r>
        <w:t xml:space="preserve"> </w:t>
      </w:r>
      <w:r>
        <w:t xml:space="preserve">a good design for PhotoShare v0 but a bad one for v3?</w:t>
      </w:r>
    </w:p>
    <w:p>
      <w:pPr>
        <w:numPr>
          <w:ilvl w:val="0"/>
          <w:numId w:val="1031"/>
        </w:numPr>
        <w:pStyle w:val="Compact"/>
      </w:pPr>
      <w:r>
        <w:t xml:space="preserve">Give two things that belong in an HLD and two that belong in an LLD.</w:t>
      </w:r>
    </w:p>
    <w:p>
      <w:pPr>
        <w:numPr>
          <w:ilvl w:val="0"/>
          <w:numId w:val="1031"/>
        </w:numPr>
        <w:pStyle w:val="Compact"/>
      </w:pPr>
      <w:r>
        <w:t xml:space="preserve">Rewrite</w:t>
      </w:r>
      <w:r>
        <w:t xml:space="preserve"> </w:t>
      </w:r>
      <w:r>
        <w:t xml:space="preserve">“</w:t>
      </w:r>
      <w:r>
        <w:t xml:space="preserve">uploads should be fast</w:t>
      </w:r>
      <w:r>
        <w:t xml:space="preserve">”</w:t>
      </w:r>
      <w:r>
        <w:t xml:space="preserve"> </w:t>
      </w:r>
      <w:r>
        <w:t xml:space="preserve">as a measurable NFR.</w:t>
      </w:r>
    </w:p>
    <w:p>
      <w:pPr>
        <w:numPr>
          <w:ilvl w:val="0"/>
          <w:numId w:val="1031"/>
        </w:numPr>
        <w:pStyle w:val="Compact"/>
      </w:pPr>
      <w:r>
        <w:t xml:space="preserve">What are the six parts of a quality attribute scenario?</w:t>
      </w:r>
    </w:p>
    <w:p>
      <w:pPr>
        <w:numPr>
          <w:ilvl w:val="0"/>
          <w:numId w:val="1031"/>
        </w:numPr>
        <w:pStyle w:val="Compact"/>
      </w:pPr>
      <w:r>
        <w:t xml:space="preserve">How much downtime does 99.95% availability allow in a 30-day month?</w:t>
      </w:r>
    </w:p>
    <w:p>
      <w:pPr>
        <w:numPr>
          <w:ilvl w:val="0"/>
          <w:numId w:val="1031"/>
        </w:numPr>
        <w:pStyle w:val="Compact"/>
      </w:pPr>
      <w:r>
        <w:t xml:space="preserve">Three components with availabilities 0.999, 0.999 and 0.9999 are in series. What is the path’s availability?</w:t>
      </w:r>
    </w:p>
    <w:p>
      <w:pPr>
        <w:numPr>
          <w:ilvl w:val="0"/>
          <w:numId w:val="1031"/>
        </w:numPr>
        <w:pStyle w:val="Compact"/>
      </w:pPr>
      <w:r>
        <w:t xml:space="preserve">Distinguish availability from reliability with an example.</w:t>
      </w:r>
    </w:p>
    <w:p>
      <w:pPr>
        <w:numPr>
          <w:ilvl w:val="0"/>
          <w:numId w:val="1031"/>
        </w:numPr>
        <w:pStyle w:val="Compact"/>
      </w:pPr>
      <w:r>
        <w:t xml:space="preserve">Distinguish an SLI, an SLO and an SLA.</w:t>
      </w:r>
    </w:p>
    <w:p>
      <w:pPr>
        <w:numPr>
          <w:ilvl w:val="0"/>
          <w:numId w:val="1031"/>
        </w:numPr>
        <w:pStyle w:val="Compact"/>
      </w:pPr>
      <w:r>
        <w:t xml:space="preserve">What are the five sections of Nygard’s ADR format?</w:t>
      </w:r>
    </w:p>
    <w:p>
      <w:pPr>
        <w:numPr>
          <w:ilvl w:val="0"/>
          <w:numId w:val="1031"/>
        </w:numPr>
        <w:pStyle w:val="Compact"/>
      </w:pPr>
      <w:r>
        <w:t xml:space="preserve">Why is an accepted ADR superseded rather than edited?</w:t>
      </w:r>
    </w:p>
    <w:p>
      <w:pPr>
        <w:numPr>
          <w:ilvl w:val="0"/>
          <w:numId w:val="1031"/>
        </w:numPr>
        <w:pStyle w:val="Compact"/>
      </w:pPr>
      <w:r>
        <w:t xml:space="preserve">A product has 2 million DAU, each making 30 API requests per day, with peak factor 3. Estimate average and peak RPS.</w:t>
      </w:r>
    </w:p>
    <w:p>
      <w:pPr>
        <w:numPr>
          <w:ilvl w:val="0"/>
          <w:numId w:val="1031"/>
        </w:numPr>
        <w:pStyle w:val="Compact"/>
      </w:pPr>
      <w:r>
        <w:t xml:space="preserve">Which PhotoShare requirement first forced the move off a single server — load or availability? Why?</w:t>
      </w:r>
    </w:p>
    <w:p>
      <w:pPr>
        <w:numPr>
          <w:ilvl w:val="0"/>
          <w:numId w:val="1031"/>
        </w:numPr>
        <w:pStyle w:val="Compact"/>
      </w:pPr>
      <w:r>
        <w:t xml:space="preserve">Name the five typical sections of a design doc as described in public accounts of Google’s practice.</w:t>
      </w:r>
    </w:p>
    <w:p>
      <w:pPr>
        <w:numPr>
          <w:ilvl w:val="0"/>
          <w:numId w:val="1031"/>
        </w:numPr>
        <w:pStyle w:val="Compact"/>
      </w:pPr>
      <w:r>
        <w:t xml:space="preserve">Name four of the twelve beginner mistakes in Table 1.19 and the fix for each.</w:t>
      </w:r>
    </w:p>
    <w:p>
      <w:pPr>
        <w:pStyle w:val="FirstParagraph"/>
      </w:pPr>
      <w:r>
        <w:t xml:space="preserve">Answers</w:t>
      </w:r>
    </w:p>
    <w:p>
      <w:pPr>
        <w:numPr>
          <w:ilvl w:val="0"/>
          <w:numId w:val="1032"/>
        </w:numPr>
        <w:pStyle w:val="Compact"/>
      </w:pPr>
      <w:r>
        <w:t xml:space="preserve">System design: choosing components, interfaces, data flow, storage and deployment so a system meets its functional and non-functional requirements under stated load and failure. Software architecture: the set of structures needed to reason about a system — its elements, their relations and the properties of both [Bass et al. 2021].</w:t>
      </w:r>
    </w:p>
    <w:p>
      <w:pPr>
        <w:numPr>
          <w:ilvl w:val="0"/>
          <w:numId w:val="1032"/>
        </w:numPr>
        <w:pStyle w:val="Compact"/>
      </w:pPr>
      <w:r>
        <w:t xml:space="preserve">At 1,000 DAU the peak load is about 1.7 RPS and simplicity dominates. At 10 million DAU the load (about 17,400 photo views per second at peak, 5 TB/day of new data), the zone-failure requirement and the 99.9% availability target all exceed what one machine — itself a single point of failure — can deliver.</w:t>
      </w:r>
    </w:p>
    <w:p>
      <w:pPr>
        <w:numPr>
          <w:ilvl w:val="0"/>
          <w:numId w:val="1032"/>
        </w:numPr>
        <w:pStyle w:val="Compact"/>
      </w:pPr>
      <w:r>
        <w:t xml:space="preserve">HLD: the list of services and data stores; the protocol and sync/async nature of each interaction (also deployment topology, data ownership). LLD: class structure and interfaces; table schemas and indexes (also algorithms, error handling, state machines).</w:t>
      </w:r>
    </w:p>
    <w:p>
      <w:pPr>
        <w:numPr>
          <w:ilvl w:val="0"/>
          <w:numId w:val="1032"/>
        </w:numPr>
        <w:pStyle w:val="Compact"/>
      </w:pPr>
      <w:r>
        <w:t xml:space="preserve">For example:</w:t>
      </w:r>
      <w:r>
        <w:t xml:space="preserve"> </w:t>
      </w:r>
      <w:r>
        <w:t xml:space="preserve">“</w:t>
      </w:r>
      <w:r>
        <w:t xml:space="preserve">For photos up to 20 MB under normal load at up to 70 uploads per second, 99% of uploads return a photo ID within 2 s, measured server-side over a 30-day window.</w:t>
      </w:r>
      <w:r>
        <w:t xml:space="preserve">”</w:t>
      </w:r>
    </w:p>
    <w:p>
      <w:pPr>
        <w:numPr>
          <w:ilvl w:val="0"/>
          <w:numId w:val="1032"/>
        </w:numPr>
        <w:pStyle w:val="Compact"/>
      </w:pPr>
      <w:r>
        <w:t xml:space="preserve">Source, stimulus, environment, artifact, response, response measure.</w:t>
      </w:r>
    </w:p>
    <w:p>
      <w:pPr>
        <w:numPr>
          <w:ilvl w:val="0"/>
          <w:numId w:val="1032"/>
        </w:numPr>
        <w:pStyle w:val="Compact"/>
      </w:pPr>
      <m:oMath>
        <m:d>
          <m:dPr>
            <m:begChr m:val="("/>
            <m:endChr m:val=")"/>
            <m:sepChr m:val=""/>
            <m:grow/>
          </m:dPr>
          <m:e>
            <m:r>
              <m:t>1</m:t>
            </m:r>
            <m:r>
              <m:rPr>
                <m:sty m:val="p"/>
              </m:rPr>
              <m:t>−</m:t>
            </m:r>
            <m:r>
              <m:t>0.9995</m:t>
            </m:r>
          </m:e>
        </m:d>
        <m:r>
          <m:rPr>
            <m:sty m:val="p"/>
          </m:rPr>
          <m:t>×</m:t>
        </m:r>
        <m:r>
          <m:t>43</m:t>
        </m:r>
        <m:r>
          <m:rPr>
            <m:sty m:val="p"/>
          </m:rPr>
          <m:t>,</m:t>
        </m:r>
        <m:r>
          <m:t>200</m:t>
        </m:r>
        <m:r>
          <m:rPr>
            <m:sty m:val="p"/>
          </m:rPr>
          <m:t>=</m:t>
        </m:r>
        <m:r>
          <m:t>21.6</m:t>
        </m:r>
      </m:oMath>
      <w:r>
        <w:t xml:space="preserve"> </w:t>
      </w:r>
      <w:r>
        <w:t xml:space="preserve">minutes.</w:t>
      </w:r>
    </w:p>
    <w:p>
      <w:pPr>
        <w:numPr>
          <w:ilvl w:val="0"/>
          <w:numId w:val="1032"/>
        </w:numPr>
        <w:pStyle w:val="Compact"/>
      </w:pPr>
      <m:oMath>
        <m:r>
          <m:t>0.999</m:t>
        </m:r>
        <m:r>
          <m:rPr>
            <m:sty m:val="p"/>
          </m:rPr>
          <m:t>×</m:t>
        </m:r>
        <m:r>
          <m:t>0.999</m:t>
        </m:r>
        <m:r>
          <m:rPr>
            <m:sty m:val="p"/>
          </m:rPr>
          <m:t>×</m:t>
        </m:r>
        <m:r>
          <m:t>0.9999</m:t>
        </m:r>
        <m:r>
          <m:rPr>
            <m:sty m:val="p"/>
          </m:rPr>
          <m:t>=</m:t>
        </m:r>
        <m:r>
          <m:t>0.998001</m:t>
        </m:r>
        <m:r>
          <m:rPr>
            <m:sty m:val="p"/>
          </m:rPr>
          <m:t>×</m:t>
        </m:r>
        <m:r>
          <m:t>0.9999</m:t>
        </m:r>
        <m:r>
          <m:rPr>
            <m:sty m:val="p"/>
          </m:rPr>
          <m:t>≈</m:t>
        </m:r>
        <m:r>
          <m:t>0.99790</m:t>
        </m:r>
      </m:oMath>
      <w:r>
        <w:t xml:space="preserve">, about 99.79%.</w:t>
      </w:r>
    </w:p>
    <w:p>
      <w:pPr>
        <w:numPr>
          <w:ilvl w:val="0"/>
          <w:numId w:val="1032"/>
        </w:numPr>
        <w:pStyle w:val="Compact"/>
      </w:pPr>
      <w:r>
        <w:t xml:space="preserve">Availability is the fraction of time the system is up and serving; reliability is the probability it operates correctly over a period. A feed service that responds quickly but sometimes shows other users’ private photos is available but unreliable (and insecure).</w:t>
      </w:r>
    </w:p>
    <w:p>
      <w:pPr>
        <w:numPr>
          <w:ilvl w:val="0"/>
          <w:numId w:val="1032"/>
        </w:numPr>
        <w:pStyle w:val="Compact"/>
      </w:pPr>
      <w:r>
        <w:t xml:space="preserve">SLI: the measured quantity (fraction of successful requests). SLO: the target for that SLI over a window (≥ 99.9% per 30 days). SLA: a contract with consequences if a stated target is missed.</w:t>
      </w:r>
    </w:p>
    <w:p>
      <w:pPr>
        <w:numPr>
          <w:ilvl w:val="0"/>
          <w:numId w:val="1032"/>
        </w:numPr>
        <w:pStyle w:val="Compact"/>
      </w:pPr>
      <w:r>
        <w:t xml:space="preserve">Title, Status, Context, Decision, Consequences.</w:t>
      </w:r>
    </w:p>
    <w:p>
      <w:pPr>
        <w:numPr>
          <w:ilvl w:val="0"/>
          <w:numId w:val="1032"/>
        </w:numPr>
        <w:pStyle w:val="Compact"/>
      </w:pPr>
      <w:r>
        <w:t xml:space="preserve">So that the historical reasoning remains intact: future readers can see what was decided, under what context, and what replaced it. Editing would erase the record of why the earlier choice was once right.</w:t>
      </w:r>
    </w:p>
    <w:p>
      <w:pPr>
        <w:numPr>
          <w:ilvl w:val="0"/>
          <w:numId w:val="1032"/>
        </w:numPr>
        <w:pStyle w:val="Compact"/>
      </w:pPr>
      <w:r>
        <w:t xml:space="preserve">Requests/day</w:t>
      </w:r>
      <w:r>
        <w:t xml:space="preserve"> </w:t>
      </w:r>
      <m:oMath>
        <m:r>
          <m:rPr>
            <m:sty m:val="p"/>
          </m:rPr>
          <m:t>=</m:t>
        </m:r>
        <m:r>
          <m:t>2</m:t>
        </m:r>
        <m:r>
          <m:rPr>
            <m:sty m:val="p"/>
          </m:rPr>
          <m:t>×</m:t>
        </m:r>
        <m:sSup>
          <m:e>
            <m:r>
              <m:t>10</m:t>
            </m:r>
          </m:e>
          <m:sup>
            <m:r>
              <m:t>6</m:t>
            </m:r>
          </m:sup>
        </m:sSup>
        <m:r>
          <m:rPr>
            <m:sty m:val="p"/>
          </m:rPr>
          <m:t>×</m:t>
        </m:r>
        <m:r>
          <m:t>30</m:t>
        </m:r>
        <m:r>
          <m:rPr>
            <m:sty m:val="p"/>
          </m:rPr>
          <m:t>=</m:t>
        </m:r>
        <m:r>
          <m:t>6</m:t>
        </m:r>
        <m:r>
          <m:rPr>
            <m:sty m:val="p"/>
          </m:rPr>
          <m:t>×</m:t>
        </m:r>
        <m:sSup>
          <m:e>
            <m:r>
              <m:t>10</m:t>
            </m:r>
          </m:e>
          <m:sup>
            <m:r>
              <m:t>7</m:t>
            </m:r>
          </m:sup>
        </m:sSup>
      </m:oMath>
      <w:r>
        <w:t xml:space="preserve">; average</w:t>
      </w:r>
      <w:r>
        <w:t xml:space="preserve"> </w:t>
      </w:r>
      <m:oMath>
        <m:r>
          <m:rPr>
            <m:sty m:val="p"/>
          </m:rPr>
          <m:t>=</m:t>
        </m:r>
        <m:r>
          <m:t>6</m:t>
        </m:r>
        <m:r>
          <m:rPr>
            <m:sty m:val="p"/>
          </m:rPr>
          <m:t>×</m:t>
        </m:r>
        <m:sSup>
          <m:e>
            <m:r>
              <m:t>10</m:t>
            </m:r>
          </m:e>
          <m:sup>
            <m:r>
              <m:t>7</m:t>
            </m:r>
          </m:sup>
        </m:sSup>
        <m:r>
          <m:rPr>
            <m:sty m:val="p"/>
          </m:rPr>
          <m:t>/</m:t>
        </m:r>
        <m:r>
          <m:t>86</m:t>
        </m:r>
        <m:r>
          <m:rPr>
            <m:sty m:val="p"/>
          </m:rPr>
          <m:t>,</m:t>
        </m:r>
        <m:r>
          <m:t>400</m:t>
        </m:r>
        <m:r>
          <m:rPr>
            <m:sty m:val="p"/>
          </m:rPr>
          <m:t>≈</m:t>
        </m:r>
        <m:r>
          <m:t>694</m:t>
        </m:r>
      </m:oMath>
      <w:r>
        <w:t xml:space="preserve"> </w:t>
      </w:r>
      <w:r>
        <w:t xml:space="preserve">RPS; peak</w:t>
      </w:r>
      <w:r>
        <w:t xml:space="preserve"> </w:t>
      </w:r>
      <m:oMath>
        <m:r>
          <m:rPr>
            <m:sty m:val="p"/>
          </m:rPr>
          <m:t>≈</m:t>
        </m:r>
        <m:r>
          <m:t>3</m:t>
        </m:r>
        <m:r>
          <m:rPr>
            <m:sty m:val="p"/>
          </m:rPr>
          <m:t>×</m:t>
        </m:r>
        <m:r>
          <m:t>694</m:t>
        </m:r>
        <m:r>
          <m:rPr>
            <m:sty m:val="p"/>
          </m:rPr>
          <m:t>≈</m:t>
        </m:r>
        <m:r>
          <m:t>2</m:t>
        </m:r>
        <m:r>
          <m:rPr>
            <m:sty m:val="p"/>
          </m:rPr>
          <m:t>,</m:t>
        </m:r>
        <m:r>
          <m:t>083</m:t>
        </m:r>
      </m:oMath>
      <w:r>
        <w:t xml:space="preserve"> </w:t>
      </w:r>
      <w:r>
        <w:t xml:space="preserve">RPS.</w:t>
      </w:r>
    </w:p>
    <w:p>
      <w:pPr>
        <w:numPr>
          <w:ilvl w:val="0"/>
          <w:numId w:val="1032"/>
        </w:numPr>
        <w:pStyle w:val="Compact"/>
      </w:pPr>
      <w:r>
        <w:t xml:space="preserve">Availability. At 100,000 DAU the load was still small, but deploy downtime plus occasional VM failures gave roughly 99.76%, below the 99.9% target; only multiple stateless servers behind a load balancer remove deploy downtime and the single point of failure.</w:t>
      </w:r>
    </w:p>
    <w:p>
      <w:pPr>
        <w:numPr>
          <w:ilvl w:val="0"/>
          <w:numId w:val="1032"/>
        </w:numPr>
        <w:pStyle w:val="Compact"/>
      </w:pPr>
      <w:r>
        <w:t xml:space="preserve">Context and scope; goals and non-goals; the actual design; alternatives considered; cross-cutting concerns [Ubl 2020].</w:t>
      </w:r>
    </w:p>
    <w:p>
      <w:pPr>
        <w:numPr>
          <w:ilvl w:val="0"/>
          <w:numId w:val="1032"/>
        </w:numPr>
        <w:pStyle w:val="Compact"/>
      </w:pPr>
      <w:r>
        <w:t xml:space="preserve">Any four, e.g. jumping to a solution → clarify FRs and NFRs first; vague NFRs → add numbers, percentiles and windows; over-engineering → design for about 10× current load and evolve; ignoring failure → name SPOFs and the recovery path.</w:t>
      </w:r>
    </w:p>
    <w:bookmarkEnd w:id="139"/>
    <w:bookmarkStart w:id="143" w:name="interview-questions"/>
    <w:p>
      <w:pPr>
        <w:pStyle w:val="Heading2"/>
      </w:pPr>
      <w:r>
        <w:t xml:space="preserve">1.15 Interview questions</w:t>
      </w:r>
    </w:p>
    <w:bookmarkStart w:id="140" w:name="basic"/>
    <w:p>
      <w:pPr>
        <w:pStyle w:val="Heading3"/>
      </w:pPr>
      <w:r>
        <w:t xml:space="preserve">Basic</w:t>
      </w:r>
    </w:p>
    <w:p>
      <w:pPr>
        <w:pStyle w:val="FirstParagraph"/>
      </w:pPr>
      <w:r>
        <w:rPr>
          <w:bCs/>
          <w:b/>
        </w:rPr>
        <w:t xml:space="preserve">Q1. What is the difference between functional and non-functional requirements? Give an example of each for a URL shortener.</w:t>
      </w:r>
    </w:p>
    <w:p>
      <w:pPr>
        <w:pStyle w:val="BodyText"/>
      </w:pPr>
      <w:r>
        <w:rPr>
          <w:bCs/>
          <w:b/>
        </w:rPr>
        <w:t xml:space="preserve">Answer.</w:t>
      </w:r>
      <w:r>
        <w:t xml:space="preserve"> </w:t>
      </w:r>
      <w:r>
        <w:t xml:space="preserve">Functional requirements describe behavior — what the system does:</w:t>
      </w:r>
      <w:r>
        <w:t xml:space="preserve"> </w:t>
      </w:r>
      <w:r>
        <w:t xml:space="preserve">“</w:t>
      </w:r>
      <w:r>
        <w:t xml:space="preserve">given a long URL, return a short code; visiting the short URL redirects to the long one</w:t>
      </w:r>
      <w:r>
        <w:t xml:space="preserve">”</w:t>
      </w:r>
      <w:r>
        <w:t xml:space="preserve">. Non-functional requirements describe quality — how well, under what constraints, with numbers:</w:t>
      </w:r>
      <w:r>
        <w:t xml:space="preserve"> </w:t>
      </w:r>
      <w:r>
        <w:t xml:space="preserve">“</w:t>
      </w:r>
      <w:r>
        <w:t xml:space="preserve">redirects complete with p99 ≤ 50 ms server-side at 10,000 RPS; the service is available 99.95% per month; a created mapping is never lost</w:t>
      </w:r>
      <w:r>
        <w:t xml:space="preserve">”</w:t>
      </w:r>
      <w:r>
        <w:t xml:space="preserve">. The NFRs drive the design: the latency and read volume suggest caching (Ch 20), and the durability requirement suggests a replicated store (Ch 27). The full design is in §52.1.</w:t>
      </w:r>
    </w:p>
    <w:p>
      <w:pPr>
        <w:pStyle w:val="BodyText"/>
      </w:pPr>
      <w:r>
        <w:rPr>
          <w:bCs/>
          <w:b/>
        </w:rPr>
        <w:t xml:space="preserve">Q2. What is a single point of failure, and how would you find them in a design?</w:t>
      </w:r>
    </w:p>
    <w:p>
      <w:pPr>
        <w:pStyle w:val="BodyText"/>
      </w:pPr>
      <w:r>
        <w:rPr>
          <w:bCs/>
          <w:b/>
        </w:rPr>
        <w:t xml:space="preserve">Answer.</w:t>
      </w:r>
      <w:r>
        <w:t xml:space="preserve"> </w:t>
      </w:r>
      <w:r>
        <w:t xml:space="preserve">A component whose failure alone makes the whole system (or a critical function) unavailable. Trace each critical request path end to end and, for every component on it, ask</w:t>
      </w:r>
      <w:r>
        <w:t xml:space="preserve"> </w:t>
      </w:r>
      <w:r>
        <w:t xml:space="preserve">“</w:t>
      </w:r>
      <w:r>
        <w:t xml:space="preserve">if this one instance disappears now, what happens?</w:t>
      </w:r>
      <w:r>
        <w:t xml:space="preserve">”</w:t>
      </w:r>
      <w:r>
        <w:t xml:space="preserve">. Typical SPOFs are a lone database primary, a single load balancer, one availability zone, a shared configuration service, and a person who is the only one able to deploy. Removing a SPOF usually means redundancy plus automatic failover, but each removal costs money and complexity, so remove the ones the availability NFR requires.</w:t>
      </w:r>
    </w:p>
    <w:bookmarkEnd w:id="140"/>
    <w:bookmarkStart w:id="141" w:name="intermediate"/>
    <w:p>
      <w:pPr>
        <w:pStyle w:val="Heading3"/>
      </w:pPr>
      <w:r>
        <w:t xml:space="preserve">Intermediate</w:t>
      </w:r>
    </w:p>
    <w:p>
      <w:pPr>
        <w:pStyle w:val="FirstParagraph"/>
      </w:pPr>
      <w:r>
        <w:rPr>
          <w:bCs/>
          <w:b/>
        </w:rPr>
        <w:t xml:space="preserve">Q3. Your product manager asks for</w:t>
      </w:r>
      <w:r>
        <w:rPr>
          <w:bCs/>
          <w:b/>
        </w:rPr>
        <w:t xml:space="preserve"> </w:t>
      </w:r>
      <w:r>
        <w:rPr>
          <w:bCs/>
          <w:b/>
        </w:rPr>
        <w:t xml:space="preserve">“</w:t>
      </w:r>
      <w:r>
        <w:rPr>
          <w:bCs/>
          <w:b/>
        </w:rPr>
        <w:t xml:space="preserve">five nines</w:t>
      </w:r>
      <w:r>
        <w:rPr>
          <w:bCs/>
          <w:b/>
        </w:rPr>
        <w:t xml:space="preserve">”</w:t>
      </w:r>
      <w:r>
        <w:rPr>
          <w:bCs/>
          <w:b/>
        </w:rPr>
        <w:t xml:space="preserve">. How do you respond?</w:t>
      </w:r>
    </w:p>
    <w:p>
      <w:pPr>
        <w:pStyle w:val="BodyText"/>
      </w:pPr>
      <w:r>
        <w:rPr>
          <w:bCs/>
          <w:b/>
        </w:rPr>
        <w:t xml:space="preserve">Answer.</w:t>
      </w:r>
      <w:r>
        <w:t xml:space="preserve"> </w:t>
      </w:r>
      <w:r>
        <w:t xml:space="preserve">First translate: 99.999% allows about 26 seconds of downtime per 30-day month — less than a typical database failover and less than most deploy rollbacks. Then ask what the business impact of downtime actually is and which user journeys need the target (checkout, perhaps; profile editing, probably not). Explain the cost: multi-zone or multi-region active–active deployment, automated failover, rigorous change management, and every synchronous dependency must itself exceed five nines because availabilities multiply in series. Propose per-journey SLOs (for example 99.95% for checkout, 99.9% elsewhere) with an error budget, and revisit with data [Beyer et al. 2016].</w:t>
      </w:r>
    </w:p>
    <w:p>
      <w:pPr>
        <w:pStyle w:val="BodyText"/>
      </w:pPr>
      <w:r>
        <w:rPr>
          <w:bCs/>
          <w:b/>
        </w:rPr>
        <w:t xml:space="preserve">Q4. When would you introduce a cache, and what new problems does it bring?</w:t>
      </w:r>
    </w:p>
    <w:p>
      <w:pPr>
        <w:pStyle w:val="BodyText"/>
      </w:pPr>
      <w:r>
        <w:rPr>
          <w:bCs/>
          <w:b/>
        </w:rPr>
        <w:t xml:space="preserve">Answer.</w:t>
      </w:r>
      <w:r>
        <w:t xml:space="preserve"> </w:t>
      </w:r>
      <w:r>
        <w:t xml:space="preserve">When measurements or estimates show a read-heavy workload where a backing store is the bottleneck or too slow for the latency NFR, and where data can tolerate some staleness or be invalidated reliably — as at PhotoShare v2 (Figure 1.6). New problems: stale reads and invalidation (§20.10); cold-start and stampedes when popular keys expire together (§20.11); a cache outage overwhelming the database (§20.13); memory cost; and a new component to operate. State the expected hit ratio and what happens on a miss and on cache failure.</w:t>
      </w:r>
    </w:p>
    <w:bookmarkEnd w:id="141"/>
    <w:bookmarkStart w:id="142" w:name="advanced"/>
    <w:p>
      <w:pPr>
        <w:pStyle w:val="Heading3"/>
      </w:pPr>
      <w:r>
        <w:t xml:space="preserve">Advanced</w:t>
      </w:r>
    </w:p>
    <w:p>
      <w:pPr>
        <w:pStyle w:val="FirstParagraph"/>
      </w:pPr>
      <w:r>
        <w:rPr>
          <w:bCs/>
          <w:b/>
        </w:rPr>
        <w:t xml:space="preserve">Q5. Walk through how you would evolve a single-server photo-sharing app to 10 million DAU. What triggers each change?</w:t>
      </w:r>
    </w:p>
    <w:p>
      <w:pPr>
        <w:pStyle w:val="BodyText"/>
      </w:pPr>
      <w:r>
        <w:rPr>
          <w:bCs/>
          <w:b/>
        </w:rPr>
        <w:t xml:space="preserve">Answer.</w:t>
      </w:r>
      <w:r>
        <w:t xml:space="preserve"> </w:t>
      </w:r>
      <w:r>
        <w:t xml:space="preserve">Estimate first: at 10 million DAU with 50 views and 0.2 uploads per user per day, about 5,800 average and 17,400 peak photo views per second, about 1,700 peak feed API RPS, 5 TB/day of new data and about 28 Gbit/s peak egress. Then evolve by trigger, not by fashion. (1) Availability target and disk growth → stateless app servers behind a load balancer, managed database with standby, object storage and CDN; data location is decided early because it is expensive to change later. (2) Database CPU and upload latency → cache with cache-aside, read replicas with read-your-writes routing, async thumbnail jobs. (3) Zone-failure tolerance and write volume → services split by data ownership, metadata partitioned by user ID, an event log driving fan-out-on-write feed precomputation with a fan-out-on-read path for celebrity accounts, and multi-zone deployment with capacity headroom. At each stage, name the new failure modes (stale reads, cache avalanche, consumer lag, hot partitions) and how you would observe them.</w:t>
      </w:r>
    </w:p>
    <w:p>
      <w:pPr>
        <w:pStyle w:val="BodyText"/>
      </w:pPr>
      <w:r>
        <w:rPr>
          <w:bCs/>
          <w:b/>
        </w:rPr>
        <w:t xml:space="preserve">Q6. Two senior engineers disagree about whether to adopt a new distributed database. How would you drive the decision?</w:t>
      </w:r>
    </w:p>
    <w:p>
      <w:pPr>
        <w:pStyle w:val="BodyText"/>
      </w:pPr>
      <w:r>
        <w:rPr>
          <w:bCs/>
          <w:b/>
        </w:rPr>
        <w:t xml:space="preserve">Answer.</w:t>
      </w:r>
      <w:r>
        <w:t xml:space="preserve"> </w:t>
      </w:r>
      <w:r>
        <w:t xml:space="preserve">Classify reversibility first: a primary datastore holding production data is a one-way door, so it deserves a design doc and review. Agree the decision drivers (specific NFRs with numbers), criteria and weights</w:t>
      </w:r>
      <w:r>
        <w:t xml:space="preserve"> </w:t>
      </w:r>
      <w:r>
        <w:rPr>
          <w:iCs/>
          <w:i/>
        </w:rPr>
        <w:t xml:space="preserve">before</w:t>
      </w:r>
      <w:r>
        <w:t xml:space="preserve"> </w:t>
      </w:r>
      <w:r>
        <w:t xml:space="preserve">scoring options, including</w:t>
      </w:r>
      <w:r>
        <w:t xml:space="preserve"> </w:t>
      </w:r>
      <w:r>
        <w:t xml:space="preserve">“</w:t>
      </w:r>
      <w:r>
        <w:t xml:space="preserve">do nothing</w:t>
      </w:r>
      <w:r>
        <w:t xml:space="preserve">”</w:t>
      </w:r>
      <w:r>
        <w:t xml:space="preserve"> </w:t>
      </w:r>
      <w:r>
        <w:t xml:space="preserve">and an incremental option (for example partitioning the existing database). Replace opinion with evidence where possible: a time-boxed prototype under representative load, failure-injection tests, and an estimate of migration and operational cost (team skills, on-call burden). Score with a weighted matrix, run a sensitivity check to see which weight changes would flip the result, and record the outcome as an ADR with explicit negative consequences and the conditions under which it should be revisited. The goal is a decision both engineers can commit to even if one disagrees.</w:t>
      </w:r>
    </w:p>
    <w:bookmarkEnd w:id="142"/>
    <w:bookmarkEnd w:id="143"/>
    <w:bookmarkStart w:id="144" w:name="practical-exercises"/>
    <w:p>
      <w:pPr>
        <w:pStyle w:val="Heading2"/>
      </w:pPr>
      <w:r>
        <w:t xml:space="preserve">1.16 Practical exercises</w:t>
      </w:r>
    </w:p>
    <w:p>
      <w:pPr>
        <w:numPr>
          <w:ilvl w:val="0"/>
          <w:numId w:val="1033"/>
        </w:numPr>
        <w:pStyle w:val="Compact"/>
      </w:pPr>
      <w:r>
        <w:rPr>
          <w:bCs/>
          <w:b/>
        </w:rPr>
        <w:t xml:space="preserve">Run and extend the estimator.</w:t>
      </w:r>
      <w:r>
        <w:t xml:space="preserve"> </w:t>
      </w:r>
      <w:r>
        <w:t xml:space="preserve">Run the §1.3.2 script. Add fields for feed API requests (5 per user per day) and replication factor (3), and print API RPS and replicated storage per year for 1 million and 10 million DAU.</w:t>
      </w:r>
    </w:p>
    <w:p>
      <w:pPr>
        <w:numPr>
          <w:ilvl w:val="0"/>
          <w:numId w:val="1033"/>
        </w:numPr>
        <w:pStyle w:val="Compact"/>
      </w:pPr>
      <w:r>
        <w:rPr>
          <w:bCs/>
          <w:b/>
        </w:rPr>
        <w:t xml:space="preserve">Write NFRs.</w:t>
      </w:r>
      <w:r>
        <w:t xml:space="preserve"> </w:t>
      </w:r>
      <w:r>
        <w:t xml:space="preserve">Pick an app you use daily. Write five measurable NFRs, one of them as a full six-part quality attribute scenario.</w:t>
      </w:r>
    </w:p>
    <w:p>
      <w:pPr>
        <w:numPr>
          <w:ilvl w:val="0"/>
          <w:numId w:val="1033"/>
        </w:numPr>
        <w:pStyle w:val="Compact"/>
      </w:pPr>
      <w:r>
        <w:rPr>
          <w:bCs/>
          <w:b/>
        </w:rPr>
        <w:t xml:space="preserve">Availability arithmetic.</w:t>
      </w:r>
      <w:r>
        <w:t xml:space="preserve"> </w:t>
      </w:r>
      <w:r>
        <w:t xml:space="preserve">A request path has a CDN (99.99%), API gateway (99.95%), service (99.9%) and database (99.95%). Compute the path availability and the monthly downtime it implies. Which component would you make redundant first, and why?</w:t>
      </w:r>
    </w:p>
    <w:p>
      <w:pPr>
        <w:numPr>
          <w:ilvl w:val="0"/>
          <w:numId w:val="1033"/>
        </w:numPr>
        <w:pStyle w:val="Compact"/>
      </w:pPr>
      <w:r>
        <w:rPr>
          <w:bCs/>
          <w:b/>
        </w:rPr>
        <w:t xml:space="preserve">Write an ADR.</w:t>
      </w:r>
      <w:r>
        <w:t xml:space="preserve"> </w:t>
      </w:r>
      <w:r>
        <w:t xml:space="preserve">Write ADR-0004 for PhotoShare:</w:t>
      </w:r>
      <w:r>
        <w:t xml:space="preserve"> </w:t>
      </w:r>
      <w:r>
        <w:t xml:space="preserve">“</w:t>
      </w:r>
      <w:r>
        <w:t xml:space="preserve">Generate thumbnails asynchronously</w:t>
      </w:r>
      <w:r>
        <w:t xml:space="preserve">”</w:t>
      </w:r>
      <w:r>
        <w:t xml:space="preserve">. Include context with numbers, at least two options considered, and at least two negative consequences.</w:t>
      </w:r>
    </w:p>
    <w:p>
      <w:pPr>
        <w:numPr>
          <w:ilvl w:val="0"/>
          <w:numId w:val="1033"/>
        </w:numPr>
        <w:pStyle w:val="Compact"/>
      </w:pPr>
      <w:r>
        <w:rPr>
          <w:bCs/>
          <w:b/>
        </w:rPr>
        <w:t xml:space="preserve">Read a real design record.</w:t>
      </w:r>
      <w:r>
        <w:t xml:space="preserve"> </w:t>
      </w:r>
      <w:r>
        <w:t xml:space="preserve">Choose one accepted Python PEP or Rust RFC. Identify its context, decision, alternatives and consequences, and compare its structure with Nygard’s ADR format.</w:t>
      </w:r>
    </w:p>
    <w:bookmarkEnd w:id="144"/>
    <w:bookmarkStart w:id="145" w:name="design-challenges"/>
    <w:p>
      <w:pPr>
        <w:pStyle w:val="Heading2"/>
      </w:pPr>
      <w:r>
        <w:t xml:space="preserve">1.17 Design challenges</w:t>
      </w:r>
    </w:p>
    <w:p>
      <w:pPr>
        <w:numPr>
          <w:ilvl w:val="0"/>
          <w:numId w:val="1034"/>
        </w:numPr>
        <w:pStyle w:val="Compact"/>
      </w:pPr>
      <w:r>
        <w:rPr>
          <w:bCs/>
          <w:b/>
        </w:rPr>
        <w:t xml:space="preserve">PhotoShare goes private.</w:t>
      </w:r>
      <w:r>
        <w:t xml:space="preserve"> </w:t>
      </w:r>
      <w:r>
        <w:t xml:space="preserve">Add the requirement</w:t>
      </w:r>
      <w:r>
        <w:t xml:space="preserve"> </w:t>
      </w:r>
      <w:r>
        <w:t xml:space="preserve">“</w:t>
      </w:r>
      <w:r>
        <w:t xml:space="preserve">accounts can be private; only approved followers can see their photos</w:t>
      </w:r>
      <w:r>
        <w:t xml:space="preserve">”</w:t>
      </w:r>
      <w:r>
        <w:t xml:space="preserve">. Which components in Figure 1.7 change? How do you stop the CDN from serving private photos to anyone with the URL? (Hint: signed URLs with short TTLs; see Ch 21.)</w:t>
      </w:r>
    </w:p>
    <w:p>
      <w:pPr>
        <w:numPr>
          <w:ilvl w:val="0"/>
          <w:numId w:val="1034"/>
        </w:numPr>
        <w:pStyle w:val="Compact"/>
      </w:pPr>
      <w:r>
        <w:rPr>
          <w:bCs/>
          <w:b/>
        </w:rPr>
        <w:t xml:space="preserve">PhotoShare in two regions.</w:t>
      </w:r>
      <w:r>
        <w:t xml:space="preserve"> </w:t>
      </w:r>
      <w:r>
        <w:t xml:space="preserve">EU regulators require EU users’ photos and metadata to stay in the EU. Sketch the changes to Figure 1.7, list the new failure modes, and state which NFR tensions from Table 1.10 become sharper. (See Ch 44.)</w:t>
      </w:r>
    </w:p>
    <w:p>
      <w:pPr>
        <w:numPr>
          <w:ilvl w:val="0"/>
          <w:numId w:val="1034"/>
        </w:numPr>
        <w:pStyle w:val="Compact"/>
      </w:pPr>
      <w:r>
        <w:rPr>
          <w:bCs/>
          <w:b/>
        </w:rPr>
        <w:t xml:space="preserve">Cost ceiling.</w:t>
      </w:r>
      <w:r>
        <w:t xml:space="preserve"> </w:t>
      </w:r>
      <w:r>
        <w:t xml:space="preserve">The business caps infrastructure cost at $0.01 per monthly active user per month. Using the v3 numbers, identify the two largest cost drivers (consider storage growth and egress) and propose design changes — storage tiers, image formats, CDN cache hit ratio — with estimated savings. (See Ch 51.)</w:t>
      </w:r>
    </w:p>
    <w:bookmarkEnd w:id="145"/>
    <w:bookmarkStart w:id="146" w:name="references"/>
    <w:p>
      <w:pPr>
        <w:pStyle w:val="Heading2"/>
      </w:pPr>
      <w:r>
        <w:t xml:space="preserve">1.18 References</w:t>
      </w:r>
    </w:p>
    <w:p>
      <w:pPr>
        <w:numPr>
          <w:ilvl w:val="0"/>
          <w:numId w:val="1035"/>
        </w:numPr>
        <w:pStyle w:val="Compact"/>
      </w:pPr>
      <w:r>
        <w:t xml:space="preserve">Barroso, L. A., Hölzle, U., Ranganathan, P.</w:t>
      </w:r>
      <w:r>
        <w:t xml:space="preserve"> </w:t>
      </w:r>
      <w:r>
        <w:rPr>
          <w:iCs/>
          <w:i/>
        </w:rPr>
        <w:t xml:space="preserve">The Datacenter as a Computer: Designing Warehouse-Scale Machines</w:t>
      </w:r>
      <w:r>
        <w:t xml:space="preserve">, 3rd ed. Morgan &amp; Claypool, 2018.</w:t>
      </w:r>
    </w:p>
    <w:p>
      <w:pPr>
        <w:numPr>
          <w:ilvl w:val="0"/>
          <w:numId w:val="1035"/>
        </w:numPr>
        <w:pStyle w:val="Compact"/>
      </w:pPr>
      <w:r>
        <w:t xml:space="preserve">Bass, L., Clements, P., Kazman, R.</w:t>
      </w:r>
      <w:r>
        <w:t xml:space="preserve"> </w:t>
      </w:r>
      <w:r>
        <w:rPr>
          <w:iCs/>
          <w:i/>
        </w:rPr>
        <w:t xml:space="preserve">Software Architecture in Practice</w:t>
      </w:r>
      <w:r>
        <w:t xml:space="preserve">, 4th ed. Addison-Wesley, 2021.</w:t>
      </w:r>
    </w:p>
    <w:p>
      <w:pPr>
        <w:numPr>
          <w:ilvl w:val="0"/>
          <w:numId w:val="1035"/>
        </w:numPr>
        <w:pStyle w:val="Compact"/>
      </w:pPr>
      <w:r>
        <w:t xml:space="preserve">Beyer, B., Jones, C., Petoff, J., Murphy, N. R. (eds.).</w:t>
      </w:r>
      <w:r>
        <w:t xml:space="preserve"> </w:t>
      </w:r>
      <w:r>
        <w:rPr>
          <w:iCs/>
          <w:i/>
        </w:rPr>
        <w:t xml:space="preserve">Site Reliability Engineering: How Google Runs Production Systems</w:t>
      </w:r>
      <w:r>
        <w:t xml:space="preserve">. O’Reilly Media, 2016. https://sre.google/sre-book/table-of-contents/</w:t>
      </w:r>
    </w:p>
    <w:p>
      <w:pPr>
        <w:numPr>
          <w:ilvl w:val="0"/>
          <w:numId w:val="1035"/>
        </w:numPr>
        <w:pStyle w:val="Compact"/>
      </w:pPr>
      <w:r>
        <w:t xml:space="preserve">Boehm, B., Basili, V. R.</w:t>
      </w:r>
      <w:r>
        <w:t xml:space="preserve"> </w:t>
      </w:r>
      <w:r>
        <w:t xml:space="preserve">“</w:t>
      </w:r>
      <w:r>
        <w:t xml:space="preserve">Software Defect Reduction Top 10 List.</w:t>
      </w:r>
      <w:r>
        <w:t xml:space="preserve">”</w:t>
      </w:r>
      <w:r>
        <w:t xml:space="preserve"> </w:t>
      </w:r>
      <w:r>
        <w:rPr>
          <w:iCs/>
          <w:i/>
        </w:rPr>
        <w:t xml:space="preserve">IEEE Computer</w:t>
      </w:r>
      <w:r>
        <w:t xml:space="preserve">, 34(1), 2001.</w:t>
      </w:r>
    </w:p>
    <w:p>
      <w:pPr>
        <w:numPr>
          <w:ilvl w:val="0"/>
          <w:numId w:val="1035"/>
        </w:numPr>
        <w:pStyle w:val="Compact"/>
      </w:pPr>
      <w:r>
        <w:t xml:space="preserve">Bradner, S.</w:t>
      </w:r>
      <w:r>
        <w:t xml:space="preserve"> </w:t>
      </w:r>
      <w:r>
        <w:rPr>
          <w:iCs/>
          <w:i/>
        </w:rPr>
        <w:t xml:space="preserve">The Internet Standards Process — Revision 3</w:t>
      </w:r>
      <w:r>
        <w:t xml:space="preserve">. RFC 2026, IETF, 1996. https://www.rfc-editor.org/rfc/rfc2026</w:t>
      </w:r>
    </w:p>
    <w:p>
      <w:pPr>
        <w:numPr>
          <w:ilvl w:val="0"/>
          <w:numId w:val="1035"/>
        </w:numPr>
        <w:pStyle w:val="Compact"/>
      </w:pPr>
      <w:r>
        <w:t xml:space="preserve">Bryar, C., Carr, B.</w:t>
      </w:r>
      <w:r>
        <w:t xml:space="preserve"> </w:t>
      </w:r>
      <w:r>
        <w:rPr>
          <w:iCs/>
          <w:i/>
        </w:rPr>
        <w:t xml:space="preserve">Working Backwards: Insights, Stories, and Secrets from Inside Amazon</w:t>
      </w:r>
      <w:r>
        <w:t xml:space="preserve">. St. Martin’s Press, 2021.</w:t>
      </w:r>
    </w:p>
    <w:p>
      <w:pPr>
        <w:numPr>
          <w:ilvl w:val="0"/>
          <w:numId w:val="1035"/>
        </w:numPr>
        <w:pStyle w:val="Compact"/>
      </w:pPr>
      <w:r>
        <w:t xml:space="preserve">Conway, M. E.</w:t>
      </w:r>
      <w:r>
        <w:t xml:space="preserve"> </w:t>
      </w:r>
      <w:r>
        <w:t xml:space="preserve">“</w:t>
      </w:r>
      <w:r>
        <w:t xml:space="preserve">How Do Committees Invent?</w:t>
      </w:r>
      <w:r>
        <w:t xml:space="preserve">”</w:t>
      </w:r>
      <w:r>
        <w:t xml:space="preserve"> </w:t>
      </w:r>
      <w:r>
        <w:rPr>
          <w:iCs/>
          <w:i/>
        </w:rPr>
        <w:t xml:space="preserve">Datamation</w:t>
      </w:r>
      <w:r>
        <w:t xml:space="preserve">, 14(4), 1968.</w:t>
      </w:r>
    </w:p>
    <w:p>
      <w:pPr>
        <w:numPr>
          <w:ilvl w:val="0"/>
          <w:numId w:val="1035"/>
        </w:numPr>
        <w:pStyle w:val="Compact"/>
      </w:pPr>
      <w:r>
        <w:t xml:space="preserve">Crocker, S.</w:t>
      </w:r>
      <w:r>
        <w:t xml:space="preserve"> </w:t>
      </w:r>
      <w:r>
        <w:rPr>
          <w:iCs/>
          <w:i/>
        </w:rPr>
        <w:t xml:space="preserve">Host Software</w:t>
      </w:r>
      <w:r>
        <w:t xml:space="preserve">. RFC 1, 1969. https://www.rfc-editor.org/rfc/rfc1</w:t>
      </w:r>
    </w:p>
    <w:p>
      <w:pPr>
        <w:numPr>
          <w:ilvl w:val="0"/>
          <w:numId w:val="1035"/>
        </w:numPr>
        <w:pStyle w:val="Compact"/>
      </w:pPr>
      <w:r>
        <w:t xml:space="preserve">Dean, J., Barroso, L. A.</w:t>
      </w:r>
      <w:r>
        <w:t xml:space="preserve"> </w:t>
      </w:r>
      <w:r>
        <w:t xml:space="preserve">“</w:t>
      </w:r>
      <w:r>
        <w:t xml:space="preserve">The Tail at Scale.</w:t>
      </w:r>
      <w:r>
        <w:t xml:space="preserve">”</w:t>
      </w:r>
      <w:r>
        <w:t xml:space="preserve"> </w:t>
      </w:r>
      <w:r>
        <w:rPr>
          <w:iCs/>
          <w:i/>
        </w:rPr>
        <w:t xml:space="preserve">Communications of the ACM</w:t>
      </w:r>
      <w:r>
        <w:t xml:space="preserve">, 56(2), 2013.</w:t>
      </w:r>
    </w:p>
    <w:p>
      <w:pPr>
        <w:numPr>
          <w:ilvl w:val="0"/>
          <w:numId w:val="1035"/>
        </w:numPr>
        <w:pStyle w:val="Compact"/>
      </w:pPr>
      <w:r>
        <w:t xml:space="preserve">Fowler, M.</w:t>
      </w:r>
      <w:r>
        <w:t xml:space="preserve"> </w:t>
      </w:r>
      <w:r>
        <w:t xml:space="preserve">“</w:t>
      </w:r>
      <w:r>
        <w:t xml:space="preserve">Who Needs an Architect?</w:t>
      </w:r>
      <w:r>
        <w:t xml:space="preserve">”</w:t>
      </w:r>
      <w:r>
        <w:t xml:space="preserve"> </w:t>
      </w:r>
      <w:r>
        <w:rPr>
          <w:iCs/>
          <w:i/>
        </w:rPr>
        <w:t xml:space="preserve">IEEE Software</w:t>
      </w:r>
      <w:r>
        <w:t xml:space="preserve">, 20(5), 2003.</w:t>
      </w:r>
    </w:p>
    <w:p>
      <w:pPr>
        <w:numPr>
          <w:ilvl w:val="0"/>
          <w:numId w:val="1035"/>
        </w:numPr>
        <w:pStyle w:val="Compact"/>
      </w:pPr>
      <w:r>
        <w:t xml:space="preserve">Instagram Engineering.</w:t>
      </w:r>
      <w:r>
        <w:t xml:space="preserve"> </w:t>
      </w:r>
      <w:r>
        <w:t xml:space="preserve">“</w:t>
      </w:r>
      <w:r>
        <w:t xml:space="preserve">What Powers Instagram: Hundreds of Instances, Dozens of Technologies.</w:t>
      </w:r>
      <w:r>
        <w:t xml:space="preserve">”</w:t>
      </w:r>
      <w:r>
        <w:t xml:space="preserve"> </w:t>
      </w:r>
      <w:r>
        <w:t xml:space="preserve">Instagram Engineering blog, 2011. https://instagram-engineering.com/what-powers-instagram-hundreds-of-instances-dozens-of-technologies-adf2e22da2ad</w:t>
      </w:r>
    </w:p>
    <w:p>
      <w:pPr>
        <w:numPr>
          <w:ilvl w:val="0"/>
          <w:numId w:val="1035"/>
        </w:numPr>
        <w:pStyle w:val="Compact"/>
      </w:pPr>
      <w:r>
        <w:t xml:space="preserve">ISO/IEC 25010.</w:t>
      </w:r>
      <w:r>
        <w:t xml:space="preserve"> </w:t>
      </w:r>
      <w:r>
        <w:rPr>
          <w:iCs/>
          <w:i/>
        </w:rPr>
        <w:t xml:space="preserve">Systems and software engineering — Systems and software Quality Requirements and Evaluation (SQuaRE) — Product quality model</w:t>
      </w:r>
      <w:r>
        <w:t xml:space="preserve">. ISO/IEC, 2011; revised 2023.</w:t>
      </w:r>
    </w:p>
    <w:p>
      <w:pPr>
        <w:numPr>
          <w:ilvl w:val="0"/>
          <w:numId w:val="1035"/>
        </w:numPr>
        <w:pStyle w:val="Compact"/>
      </w:pPr>
      <w:r>
        <w:t xml:space="preserve">ISO/IEC/IEEE 42010.</w:t>
      </w:r>
      <w:r>
        <w:t xml:space="preserve"> </w:t>
      </w:r>
      <w:r>
        <w:rPr>
          <w:iCs/>
          <w:i/>
        </w:rPr>
        <w:t xml:space="preserve">Software, systems and enterprise — Architecture description</w:t>
      </w:r>
      <w:r>
        <w:t xml:space="preserve">. ISO/IEC/IEEE, 2011; revised 2022.</w:t>
      </w:r>
    </w:p>
    <w:p>
      <w:pPr>
        <w:numPr>
          <w:ilvl w:val="0"/>
          <w:numId w:val="1035"/>
        </w:numPr>
        <w:pStyle w:val="Compact"/>
      </w:pPr>
      <w:r>
        <w:t xml:space="preserve">Kleppmann, M.</w:t>
      </w:r>
      <w:r>
        <w:t xml:space="preserve"> </w:t>
      </w:r>
      <w:r>
        <w:rPr>
          <w:iCs/>
          <w:i/>
        </w:rPr>
        <w:t xml:space="preserve">Designing Data-Intensive Applications</w:t>
      </w:r>
      <w:r>
        <w:t xml:space="preserve">. O’Reilly Media, 2017.</w:t>
      </w:r>
    </w:p>
    <w:p>
      <w:pPr>
        <w:numPr>
          <w:ilvl w:val="0"/>
          <w:numId w:val="1035"/>
        </w:numPr>
        <w:pStyle w:val="Compact"/>
      </w:pPr>
      <w:r>
        <w:t xml:space="preserve">Kruchten, P.</w:t>
      </w:r>
      <w:r>
        <w:t xml:space="preserve"> </w:t>
      </w:r>
      <w:r>
        <w:t xml:space="preserve">“</w:t>
      </w:r>
      <w:r>
        <w:t xml:space="preserve">Architectural Blueprints — The</w:t>
      </w:r>
      <w:r>
        <w:t xml:space="preserve"> </w:t>
      </w:r>
      <w:r>
        <w:t xml:space="preserve">‘</w:t>
      </w:r>
      <w:r>
        <w:t xml:space="preserve">4+1</w:t>
      </w:r>
      <w:r>
        <w:t xml:space="preserve">’</w:t>
      </w:r>
      <w:r>
        <w:t xml:space="preserve"> </w:t>
      </w:r>
      <w:r>
        <w:t xml:space="preserve">View Model of Software Architecture.</w:t>
      </w:r>
      <w:r>
        <w:t xml:space="preserve">”</w:t>
      </w:r>
      <w:r>
        <w:t xml:space="preserve"> </w:t>
      </w:r>
      <w:r>
        <w:rPr>
          <w:iCs/>
          <w:i/>
        </w:rPr>
        <w:t xml:space="preserve">IEEE Software</w:t>
      </w:r>
      <w:r>
        <w:t xml:space="preserve">, 12(6), 1995.</w:t>
      </w:r>
    </w:p>
    <w:p>
      <w:pPr>
        <w:numPr>
          <w:ilvl w:val="0"/>
          <w:numId w:val="1035"/>
        </w:numPr>
        <w:pStyle w:val="Compact"/>
      </w:pPr>
      <w:r>
        <w:t xml:space="preserve">Kubernetes Authors.</w:t>
      </w:r>
      <w:r>
        <w:t xml:space="preserve"> </w:t>
      </w:r>
      <w:r>
        <w:rPr>
          <w:iCs/>
          <w:i/>
        </w:rPr>
        <w:t xml:space="preserve">Kubernetes Enhancement Proposals (KEPs)</w:t>
      </w:r>
      <w:r>
        <w:t xml:space="preserve">. GitHub. https://github.com/kubernetes/enhancements</w:t>
      </w:r>
    </w:p>
    <w:p>
      <w:pPr>
        <w:numPr>
          <w:ilvl w:val="0"/>
          <w:numId w:val="1035"/>
        </w:numPr>
        <w:pStyle w:val="Compact"/>
      </w:pPr>
      <w:r>
        <w:t xml:space="preserve">Nygard, M.</w:t>
      </w:r>
      <w:r>
        <w:t xml:space="preserve"> </w:t>
      </w:r>
      <w:r>
        <w:t xml:space="preserve">“</w:t>
      </w:r>
      <w:r>
        <w:t xml:space="preserve">Documenting Architecture Decisions.</w:t>
      </w:r>
      <w:r>
        <w:t xml:space="preserve">”</w:t>
      </w:r>
      <w:r>
        <w:t xml:space="preserve"> </w:t>
      </w:r>
      <w:r>
        <w:t xml:space="preserve">Cognitect blog, 15 November 2011. https://cognitect.com/blog/2011/11/15/documenting-architecture-decisions</w:t>
      </w:r>
    </w:p>
    <w:p>
      <w:pPr>
        <w:numPr>
          <w:ilvl w:val="0"/>
          <w:numId w:val="1035"/>
        </w:numPr>
        <w:pStyle w:val="Compact"/>
      </w:pPr>
      <w:r>
        <w:t xml:space="preserve">Warsaw, B., Hylton, J., Goodger, D., Coghlan, A.</w:t>
      </w:r>
      <w:r>
        <w:t xml:space="preserve"> </w:t>
      </w:r>
      <w:r>
        <w:rPr>
          <w:iCs/>
          <w:i/>
        </w:rPr>
        <w:t xml:space="preserve">PEP 1 — PEP Purpose and Guidelines</w:t>
      </w:r>
      <w:r>
        <w:t xml:space="preserve">. Python Software Foundation. https://peps.python.org/pep-0001/</w:t>
      </w:r>
    </w:p>
    <w:p>
      <w:pPr>
        <w:numPr>
          <w:ilvl w:val="0"/>
          <w:numId w:val="1035"/>
        </w:numPr>
        <w:pStyle w:val="Compact"/>
      </w:pPr>
      <w:r>
        <w:t xml:space="preserve">The Rust Project.</w:t>
      </w:r>
      <w:r>
        <w:t xml:space="preserve"> </w:t>
      </w:r>
      <w:r>
        <w:rPr>
          <w:iCs/>
          <w:i/>
        </w:rPr>
        <w:t xml:space="preserve">Rust RFCs</w:t>
      </w:r>
      <w:r>
        <w:t xml:space="preserve">. GitHub. https://github.com/rust-lang/rfcs</w:t>
      </w:r>
    </w:p>
    <w:p>
      <w:pPr>
        <w:numPr>
          <w:ilvl w:val="0"/>
          <w:numId w:val="1035"/>
        </w:numPr>
        <w:pStyle w:val="Compact"/>
      </w:pPr>
      <w:r>
        <w:t xml:space="preserve">U.S. Securities and Exchange Commission.</w:t>
      </w:r>
      <w:r>
        <w:t xml:space="preserve"> </w:t>
      </w:r>
      <w:r>
        <w:rPr>
          <w:iCs/>
          <w:i/>
        </w:rPr>
        <w:t xml:space="preserve">In the Matter of Knight Capital Americas LLC</w:t>
      </w:r>
      <w:r>
        <w:t xml:space="preserve"> </w:t>
      </w:r>
      <w:r>
        <w:t xml:space="preserve">(administrative proceeding order). SEC, 2013.</w:t>
      </w:r>
    </w:p>
    <w:p>
      <w:pPr>
        <w:numPr>
          <w:ilvl w:val="0"/>
          <w:numId w:val="1035"/>
        </w:numPr>
        <w:pStyle w:val="Compact"/>
      </w:pPr>
      <w:r>
        <w:t xml:space="preserve">Ubl, M.</w:t>
      </w:r>
      <w:r>
        <w:t xml:space="preserve"> </w:t>
      </w:r>
      <w:r>
        <w:t xml:space="preserve">“</w:t>
      </w:r>
      <w:r>
        <w:t xml:space="preserve">Design Docs at Google.</w:t>
      </w:r>
      <w:r>
        <w:t xml:space="preserve">”</w:t>
      </w:r>
      <w:r>
        <w:t xml:space="preserve"> </w:t>
      </w:r>
      <w:r>
        <w:rPr>
          <w:iCs/>
          <w:i/>
        </w:rPr>
        <w:t xml:space="preserve">Industrial Empathy</w:t>
      </w:r>
      <w:r>
        <w:t xml:space="preserve">, 2020. https://www.industrialempathy.com/posts/design-docs-at-google/</w:t>
      </w:r>
    </w:p>
    <w:p>
      <w:pPr>
        <w:numPr>
          <w:ilvl w:val="0"/>
          <w:numId w:val="1035"/>
        </w:numPr>
        <w:pStyle w:val="Compact"/>
      </w:pPr>
      <w:r>
        <w:t xml:space="preserve">Winters, T., Manshreck, T., Wright, H.</w:t>
      </w:r>
      <w:r>
        <w:t xml:space="preserve"> </w:t>
      </w:r>
      <w:r>
        <w:rPr>
          <w:iCs/>
          <w:i/>
        </w:rPr>
        <w:t xml:space="preserve">Software Engineering at Google: Lessons Learned from Programming Over Time</w:t>
      </w:r>
      <w:r>
        <w:t xml:space="preserve">. O’Reilly Media, 2020.</w:t>
      </w:r>
    </w:p>
    <w:p>
      <w:pPr>
        <w:numPr>
          <w:ilvl w:val="0"/>
          <w:numId w:val="1035"/>
        </w:numPr>
        <w:pStyle w:val="Compact"/>
      </w:pPr>
      <w:r>
        <w:t xml:space="preserve">Xu, A.</w:t>
      </w:r>
      <w:r>
        <w:t xml:space="preserve"> </w:t>
      </w:r>
      <w:r>
        <w:rPr>
          <w:iCs/>
          <w:i/>
        </w:rPr>
        <w:t xml:space="preserve">System Design Interview – An Insider’s Guide</w:t>
      </w:r>
      <w:r>
        <w:t xml:space="preserve">. Independently published, 2020.</w:t>
      </w:r>
    </w:p>
    <w:bookmarkEnd w:id="146"/>
    <w:bookmarkStart w:id="147" w:name="open-verification-items"/>
    <w:p>
      <w:pPr>
        <w:pStyle w:val="Heading2"/>
      </w:pPr>
      <w:r>
        <w:t xml:space="preserve">1.19 Open verification items</w:t>
      </w:r>
    </w:p>
    <w:p>
      <w:pPr>
        <w:numPr>
          <w:ilvl w:val="0"/>
          <w:numId w:val="1036"/>
        </w:numPr>
        <w:pStyle w:val="Compact"/>
      </w:pPr>
      <w:r>
        <w:t xml:space="preserve">[Nygard 2011] and [Ubl 2020]: URLs could not be fetched from the authoring environment (network-restricted); existence and dates confirmed only via search results. Re-check URLs and the Ubl page-length claim (</w:t>
      </w:r>
      <w:r>
        <w:t xml:space="preserve">“</w:t>
      </w:r>
      <w:r>
        <w:t xml:space="preserve">roughly 10–20 pages</w:t>
      </w:r>
      <w:r>
        <w:t xml:space="preserve">”</w:t>
      </w:r>
      <w:r>
        <w:t xml:space="preserve">;</w:t>
      </w:r>
      <w:r>
        <w:t xml:space="preserve"> </w:t>
      </w:r>
      <w:r>
        <w:t xml:space="preserve">“</w:t>
      </w:r>
      <w:r>
        <w:t xml:space="preserve">mini design docs</w:t>
      </w:r>
      <w:r>
        <w:t xml:space="preserve">”</w:t>
      </w:r>
      <w:r>
        <w:t xml:space="preserve">).</w:t>
      </w:r>
    </w:p>
    <w:p>
      <w:pPr>
        <w:numPr>
          <w:ilvl w:val="0"/>
          <w:numId w:val="1036"/>
        </w:numPr>
        <w:pStyle w:val="Compact"/>
      </w:pPr>
      <w:r>
        <w:t xml:space="preserve">[SEC 2013]: confirm release number and URL of the Knight Capital order, and the figures</w:t>
      </w:r>
      <w:r>
        <w:t xml:space="preserve"> </w:t>
      </w:r>
      <w:r>
        <w:t xml:space="preserve">“</w:t>
      </w:r>
      <w:r>
        <w:t xml:space="preserve">one of eight servers</w:t>
      </w:r>
      <w:r>
        <w:t xml:space="preserve">”</w:t>
      </w:r>
      <w:r>
        <w:t xml:space="preserve">,</w:t>
      </w:r>
      <w:r>
        <w:t xml:space="preserve"> </w:t>
      </w:r>
      <w:r>
        <w:t xml:space="preserve">“</w:t>
      </w:r>
      <w:r>
        <w:t xml:space="preserve">about 45 minutes</w:t>
      </w:r>
      <w:r>
        <w:t xml:space="preserve">”</w:t>
      </w:r>
      <w:r>
        <w:t xml:space="preserve"> </w:t>
      </w:r>
      <w:r>
        <w:t xml:space="preserve">and</w:t>
      </w:r>
      <w:r>
        <w:t xml:space="preserve"> </w:t>
      </w:r>
      <w:r>
        <w:t xml:space="preserve">“</w:t>
      </w:r>
      <w:r>
        <w:t xml:space="preserve">more than $460 million</w:t>
      </w:r>
      <w:r>
        <w:t xml:space="preserve">”</w:t>
      </w:r>
      <w:r>
        <w:t xml:space="preserve">.</w:t>
      </w:r>
    </w:p>
    <w:p>
      <w:pPr>
        <w:numPr>
          <w:ilvl w:val="0"/>
          <w:numId w:val="1036"/>
        </w:numPr>
        <w:pStyle w:val="Compact"/>
      </w:pPr>
      <w:r>
        <w:t xml:space="preserve">YouTube</w:t>
      </w:r>
      <w:r>
        <w:t xml:space="preserve"> </w:t>
      </w:r>
      <w:r>
        <w:t xml:space="preserve">“</w:t>
      </w:r>
      <w:r>
        <w:t xml:space="preserve">Gangnam Style</w:t>
      </w:r>
      <w:r>
        <w:t xml:space="preserve">”</w:t>
      </w:r>
      <w:r>
        <w:t xml:space="preserve"> </w:t>
      </w:r>
      <w:r>
        <w:t xml:space="preserve">32-bit counter (December 2014): locate a primary source (YouTube/Google post) or keep as Secondary.</w:t>
      </w:r>
    </w:p>
    <w:p>
      <w:pPr>
        <w:numPr>
          <w:ilvl w:val="0"/>
          <w:numId w:val="1036"/>
        </w:numPr>
        <w:pStyle w:val="Compact"/>
      </w:pPr>
      <w:r>
        <w:t xml:space="preserve">[Boehm and Basili 2001]: confirm wording of the after-delivery cost-of-fix item; the commonly quoted</w:t>
      </w:r>
      <w:r>
        <w:t xml:space="preserve"> </w:t>
      </w:r>
      <w:r>
        <w:t xml:space="preserve">“</w:t>
      </w:r>
      <w:r>
        <w:t xml:space="preserve">100×</w:t>
      </w:r>
      <w:r>
        <w:t xml:space="preserve">”</w:t>
      </w:r>
      <w:r>
        <w:t xml:space="preserve"> </w:t>
      </w:r>
      <w:r>
        <w:t xml:space="preserve">multiplier is deliberately not stated.</w:t>
      </w:r>
    </w:p>
    <w:p>
      <w:pPr>
        <w:numPr>
          <w:ilvl w:val="0"/>
          <w:numId w:val="1036"/>
        </w:numPr>
        <w:pStyle w:val="Compact"/>
      </w:pPr>
      <w:r>
        <w:t xml:space="preserve">[ISO/IEC 25010] and [ISO/IEC/IEEE 42010]: confirm exact current titles of the 2023 and 2022 revisions.</w:t>
      </w:r>
    </w:p>
    <w:bookmarkEnd w:id="147"/>
    <w:bookmarkEnd w:id="148"/>
    <w:bookmarkStart w:id="261" w:name="X6dc0f881c84b20cf7573d5773e45038fc6f7b8d"/>
    <w:p>
      <w:pPr>
        <w:pStyle w:val="Heading1"/>
      </w:pPr>
      <w:r>
        <w:t xml:space="preserve">Chapter 2 — How to Think Like a System Designer</w:t>
      </w:r>
    </w:p>
    <w:p>
      <w:pPr>
        <w:pStyle w:val="BlockText"/>
      </w:pPr>
      <w:r>
        <w:rPr>
          <w:bCs/>
          <w:b/>
        </w:rPr>
        <w:t xml:space="preserve">Level:</w:t>
      </w:r>
      <w:r>
        <w:t xml:space="preserve"> </w:t>
      </w:r>
      <w:r>
        <w:t xml:space="preserve">1–2 ·</w:t>
      </w:r>
      <w:r>
        <w:t xml:space="preserve"> </w:t>
      </w:r>
      <w:r>
        <w:rPr>
          <w:bCs/>
          <w:b/>
        </w:rPr>
        <w:t xml:space="preserve">Track:</w:t>
      </w:r>
      <w:r>
        <w:t xml:space="preserve"> </w:t>
      </w:r>
      <w:r>
        <w:t xml:space="preserve">Shared ·</w:t>
      </w:r>
      <w:r>
        <w:t xml:space="preserve"> </w:t>
      </w:r>
      <w:r>
        <w:rPr>
          <w:bCs/>
          <w:b/>
        </w:rPr>
        <w:t xml:space="preserve">Estimated reading time:</w:t>
      </w:r>
      <w:r>
        <w:t xml:space="preserve"> </w:t>
      </w:r>
      <w:r>
        <w:t xml:space="preserve">3 h</w:t>
      </w:r>
    </w:p>
    <w:p>
      <w:pPr>
        <w:pStyle w:val="FirstParagraph"/>
      </w:pPr>
      <w:r>
        <w:t xml:space="preserve">Chapter 1 told you</w:t>
      </w:r>
      <w:r>
        <w:t xml:space="preserve"> </w:t>
      </w:r>
      <w:r>
        <w:rPr>
          <w:iCs/>
          <w:i/>
        </w:rPr>
        <w:t xml:space="preserve">what</w:t>
      </w:r>
      <w:r>
        <w:t xml:space="preserve"> </w:t>
      </w:r>
      <w:r>
        <w:t xml:space="preserve">system design is. This chapter is about</w:t>
      </w:r>
      <w:r>
        <w:t xml:space="preserve"> </w:t>
      </w:r>
      <w:r>
        <w:rPr>
          <w:iCs/>
          <w:i/>
        </w:rPr>
        <w:t xml:space="preserve">how</w:t>
      </w:r>
      <w:r>
        <w:t xml:space="preserve"> </w:t>
      </w:r>
      <w:r>
        <w:t xml:space="preserve">experienced designers think while they do it. It does not cover specific technologies (databases, caches, message brokers). Those come in Parts II–VI. What you get here is a set of thinking tools that apply to every design problem in this book, whether it is a URL shortener, a payment system or a large-language-model serving platform.</w:t>
      </w:r>
    </w:p>
    <w:p>
      <w:pPr>
        <w:pStyle w:val="BodyText"/>
      </w:pPr>
      <w:r>
        <w:t xml:space="preserve">To keep the tools concrete, the whole chapter follows one running problem from a vague request to a documented architecture:</w:t>
      </w:r>
    </w:p>
    <w:p>
      <w:pPr>
        <w:pStyle w:val="CalloutExample"/>
      </w:pPr>
      <w:r>
        <w:rPr>
          <w:bCs/>
          <w:b/>
        </w:rPr>
        <w:t xml:space="preserve">WORKED EXAMPLE</w:t>
      </w:r>
    </w:p>
    <w:p>
      <w:pPr>
        <w:pStyle w:val="CalloutExample"/>
      </w:pPr>
      <w:r>
        <w:rPr>
          <w:bCs/>
          <w:b/>
        </w:rPr>
        <w:t xml:space="preserve">Running problem — QuickBite.</w:t>
      </w:r>
      <w:r>
        <w:t xml:space="preserve"> </w:t>
      </w:r>
      <w:r>
        <w:t xml:space="preserve">A start-up asks you to</w:t>
      </w:r>
      <w:r>
        <w:t xml:space="preserve"> </w:t>
      </w:r>
      <w:r>
        <w:t xml:space="preserve">“</w:t>
      </w:r>
      <w:r>
        <w:t xml:space="preserve">build the backend for our food-delivery app.</w:t>
      </w:r>
      <w:r>
        <w:t xml:space="preserve">”</w:t>
      </w:r>
      <w:r>
        <w:t xml:space="preserve"> </w:t>
      </w:r>
      <w:r>
        <w:t xml:space="preserve">Customers browse nearby restaurants, put dishes in a cart, pay, and watch a courier bring the food. Restaurants receive orders on a tablet and mark them ready. Couriers receive delivery jobs on a phone and share their location while driving. QuickBite runs in one country today and wants to grow.</w:t>
      </w:r>
    </w:p>
    <w:p>
      <w:pPr>
        <w:pStyle w:val="CalloutExample"/>
      </w:pPr>
      <w:r>
        <w:t xml:space="preserve">QuickBite is a hypothetical company invented for teaching. Every number attached to it in this chapter is an assumption we make and state openly. None of them is a measurement of any real food-delivery company.</w:t>
      </w:r>
    </w:p>
    <w:bookmarkStart w:id="149" w:name="learning-objectives-1"/>
    <w:p>
      <w:pPr>
        <w:pStyle w:val="Heading2"/>
      </w:pPr>
      <w:r>
        <w:t xml:space="preserve">2.1 Learning objectives</w:t>
      </w:r>
    </w:p>
    <w:p>
      <w:pPr>
        <w:pStyle w:val="FirstParagraph"/>
      </w:pPr>
      <w:r>
        <w:t xml:space="preserve">After this chapter you should be able to:</w:t>
      </w:r>
    </w:p>
    <w:p>
      <w:pPr>
        <w:numPr>
          <w:ilvl w:val="0"/>
          <w:numId w:val="1037"/>
        </w:numPr>
        <w:pStyle w:val="Compact"/>
      </w:pPr>
      <w:r>
        <w:rPr>
          <w:bCs/>
          <w:b/>
        </w:rPr>
        <w:t xml:space="preserve">Decompose</w:t>
      </w:r>
      <w:r>
        <w:t xml:space="preserve"> </w:t>
      </w:r>
      <w:r>
        <w:t xml:space="preserve">a product description into components with clear responsibilities, using cohesion, coupling and data ownership as criteria.</w:t>
      </w:r>
    </w:p>
    <w:p>
      <w:pPr>
        <w:numPr>
          <w:ilvl w:val="0"/>
          <w:numId w:val="1037"/>
        </w:numPr>
        <w:pStyle w:val="Compact"/>
      </w:pPr>
      <w:r>
        <w:rPr>
          <w:bCs/>
          <w:b/>
        </w:rPr>
        <w:t xml:space="preserve">Draw</w:t>
      </w:r>
      <w:r>
        <w:t xml:space="preserve"> </w:t>
      </w:r>
      <w:r>
        <w:t xml:space="preserve">a system-context diagram that separates what you are building from the people and external systems it depends on.</w:t>
      </w:r>
    </w:p>
    <w:p>
      <w:pPr>
        <w:numPr>
          <w:ilvl w:val="0"/>
          <w:numId w:val="1037"/>
        </w:numPr>
        <w:pStyle w:val="Compact"/>
      </w:pPr>
      <w:r>
        <w:rPr>
          <w:bCs/>
          <w:b/>
        </w:rPr>
        <w:t xml:space="preserve">Elicit, quantify and negotiate</w:t>
      </w:r>
      <w:r>
        <w:t xml:space="preserve"> </w:t>
      </w:r>
      <w:r>
        <w:t xml:space="preserve">functional and non-functional requirements, turning vague wishes (</w:t>
      </w:r>
      <w:r>
        <w:t xml:space="preserve">“</w:t>
      </w:r>
      <w:r>
        <w:t xml:space="preserve">fast</w:t>
      </w:r>
      <w:r>
        <w:t xml:space="preserve">”</w:t>
      </w:r>
      <w:r>
        <w:t xml:space="preserve">,</w:t>
      </w:r>
      <w:r>
        <w:t xml:space="preserve"> </w:t>
      </w:r>
      <w:r>
        <w:t xml:space="preserve">“</w:t>
      </w:r>
      <w:r>
        <w:t xml:space="preserve">real-time</w:t>
      </w:r>
      <w:r>
        <w:t xml:space="preserve">”</w:t>
      </w:r>
      <w:r>
        <w:t xml:space="preserve">,</w:t>
      </w:r>
      <w:r>
        <w:t xml:space="preserve"> </w:t>
      </w:r>
      <w:r>
        <w:t xml:space="preserve">“</w:t>
      </w:r>
      <w:r>
        <w:t xml:space="preserve">never down</w:t>
      </w:r>
      <w:r>
        <w:t xml:space="preserve">”</w:t>
      </w:r>
      <w:r>
        <w:t xml:space="preserve">) into testable numbers.</w:t>
      </w:r>
    </w:p>
    <w:p>
      <w:pPr>
        <w:numPr>
          <w:ilvl w:val="0"/>
          <w:numId w:val="1037"/>
        </w:numPr>
        <w:pStyle w:val="Compact"/>
      </w:pPr>
      <w:r>
        <w:rPr>
          <w:bCs/>
          <w:b/>
        </w:rPr>
        <w:t xml:space="preserve">Identify the bottleneck</w:t>
      </w:r>
      <w:r>
        <w:t xml:space="preserve"> </w:t>
      </w:r>
      <w:r>
        <w:t xml:space="preserve">of a request path using the resource model (CPU, memory, disk, network, locks and other software resources), the utilization law and Little’s Law.</w:t>
      </w:r>
    </w:p>
    <w:p>
      <w:pPr>
        <w:numPr>
          <w:ilvl w:val="0"/>
          <w:numId w:val="1037"/>
        </w:numPr>
        <w:pStyle w:val="Compact"/>
      </w:pPr>
      <w:r>
        <w:rPr>
          <w:bCs/>
          <w:b/>
        </w:rPr>
        <w:t xml:space="preserve">State assumptions</w:t>
      </w:r>
      <w:r>
        <w:t xml:space="preserve"> </w:t>
      </w:r>
      <w:r>
        <w:t xml:space="preserve">explicitly, rank them by how much the design depends on them, and plan how to check them.</w:t>
      </w:r>
    </w:p>
    <w:p>
      <w:pPr>
        <w:numPr>
          <w:ilvl w:val="0"/>
          <w:numId w:val="1037"/>
        </w:numPr>
        <w:pStyle w:val="Compact"/>
      </w:pPr>
      <w:r>
        <w:rPr>
          <w:bCs/>
          <w:b/>
        </w:rPr>
        <w:t xml:space="preserve">Evaluate trade-offs</w:t>
      </w:r>
      <w:r>
        <w:t xml:space="preserve"> </w:t>
      </w:r>
      <w:r>
        <w:t xml:space="preserve">with a weighted decision matrix, and judge how much process a decision needs by asking whether it is reversible (a</w:t>
      </w:r>
      <w:r>
        <w:t xml:space="preserve"> </w:t>
      </w:r>
      <w:r>
        <w:t xml:space="preserve">“</w:t>
      </w:r>
      <w:r>
        <w:t xml:space="preserve">two-way door</w:t>
      </w:r>
      <w:r>
        <w:t xml:space="preserve">”</w:t>
      </w:r>
      <w:r>
        <w:t xml:space="preserve">) or not (a</w:t>
      </w:r>
      <w:r>
        <w:t xml:space="preserve"> </w:t>
      </w:r>
      <w:r>
        <w:t xml:space="preserve">“</w:t>
      </w:r>
      <w:r>
        <w:t xml:space="preserve">one-way door</w:t>
      </w:r>
      <w:r>
        <w:t xml:space="preserve">”</w:t>
      </w:r>
      <w:r>
        <w:t xml:space="preserve">).</w:t>
      </w:r>
    </w:p>
    <w:p>
      <w:pPr>
        <w:numPr>
          <w:ilvl w:val="0"/>
          <w:numId w:val="1037"/>
        </w:numPr>
        <w:pStyle w:val="Compact"/>
      </w:pPr>
      <w:r>
        <w:rPr>
          <w:bCs/>
          <w:b/>
        </w:rPr>
        <w:t xml:space="preserve">Design for failure</w:t>
      </w:r>
      <w:r>
        <w:t xml:space="preserve"> </w:t>
      </w:r>
      <w:r>
        <w:t xml:space="preserve">by listing failure modes, limiting blast radius and computing the availability of a dependency chain.</w:t>
      </w:r>
    </w:p>
    <w:p>
      <w:pPr>
        <w:numPr>
          <w:ilvl w:val="0"/>
          <w:numId w:val="1037"/>
        </w:numPr>
        <w:pStyle w:val="Compact"/>
      </w:pPr>
      <w:r>
        <w:rPr>
          <w:bCs/>
          <w:b/>
        </w:rPr>
        <w:t xml:space="preserve">Reason about scale</w:t>
      </w:r>
      <w:r>
        <w:t xml:space="preserve"> </w:t>
      </w:r>
      <w:r>
        <w:t xml:space="preserve">in orders of magnitude, and predict which parts of a design break at 10×, 100× and 1000× the load.</w:t>
      </w:r>
    </w:p>
    <w:p>
      <w:pPr>
        <w:numPr>
          <w:ilvl w:val="0"/>
          <w:numId w:val="1037"/>
        </w:numPr>
        <w:pStyle w:val="Compact"/>
      </w:pPr>
      <w:r>
        <w:rPr>
          <w:bCs/>
          <w:b/>
        </w:rPr>
        <w:t xml:space="preserve">Perform</w:t>
      </w:r>
      <w:r>
        <w:t xml:space="preserve"> </w:t>
      </w:r>
      <w:r>
        <w:t xml:space="preserve">a complete back-of-the-envelope capacity estimate with explicit arithmetic.</w:t>
      </w:r>
    </w:p>
    <w:p>
      <w:pPr>
        <w:numPr>
          <w:ilvl w:val="0"/>
          <w:numId w:val="1037"/>
        </w:numPr>
        <w:pStyle w:val="Compact"/>
      </w:pPr>
      <w:r>
        <w:rPr>
          <w:bCs/>
          <w:b/>
        </w:rPr>
        <w:t xml:space="preserve">Document</w:t>
      </w:r>
      <w:r>
        <w:t xml:space="preserve"> </w:t>
      </w:r>
      <w:r>
        <w:t xml:space="preserve">an architecture with the C4 model, a design document and Architecture Decision Records (ADRs).</w:t>
      </w:r>
    </w:p>
    <w:bookmarkEnd w:id="149"/>
    <w:bookmarkStart w:id="150" w:name="prerequisites-1"/>
    <w:p>
      <w:pPr>
        <w:pStyle w:val="Heading2"/>
      </w:pPr>
      <w:r>
        <w:t xml:space="preserve">2.2 Prerequisites</w:t>
      </w:r>
    </w:p>
    <w:p>
      <w:pPr>
        <w:numPr>
          <w:ilvl w:val="0"/>
          <w:numId w:val="1038"/>
        </w:numPr>
        <w:pStyle w:val="Compact"/>
      </w:pPr>
      <w:r>
        <w:t xml:space="preserve">Functional vs non-functional requirements — §1.6 and §1.7. This chapter turns them into numbers and negotiates them.</w:t>
      </w:r>
    </w:p>
    <w:p>
      <w:pPr>
        <w:numPr>
          <w:ilvl w:val="0"/>
          <w:numId w:val="1038"/>
        </w:numPr>
        <w:pStyle w:val="Compact"/>
      </w:pPr>
      <w:r>
        <w:t xml:space="preserve">High-level vs low-level design — §1.5. Decomposition here stays at the high level.</w:t>
      </w:r>
    </w:p>
    <w:p>
      <w:pPr>
        <w:numPr>
          <w:ilvl w:val="0"/>
          <w:numId w:val="1038"/>
        </w:numPr>
        <w:pStyle w:val="Compact"/>
      </w:pPr>
      <w:r>
        <w:t xml:space="preserve">Powers of ten and units (KB vs KiB) — §4.3 and §4.5. Every estimate in §2.10 and §2.11 depends on them. This chapter uses SI prefixes throughout (1 KB = 10³ bytes, 1 GB = 10⁹ bytes).</w:t>
      </w:r>
    </w:p>
    <w:p>
      <w:pPr>
        <w:numPr>
          <w:ilvl w:val="0"/>
          <w:numId w:val="1038"/>
        </w:numPr>
        <w:pStyle w:val="Compact"/>
      </w:pPr>
      <w:r>
        <w:t xml:space="preserve">A rough idea of what a server, a database and a network request are. No deeper knowledge is assumed. Every other term is defined when first used.</w:t>
      </w:r>
    </w:p>
    <w:p>
      <w:pPr>
        <w:pStyle w:val="FirstParagraph"/>
      </w:pPr>
      <w:r>
        <w:t xml:space="preserve">Helpful but optional: Little’s Law (§4.11) and availability arithmetic (§4.14). This chapter introduces both informally and points forward to the full treatment.</w:t>
      </w:r>
    </w:p>
    <w:bookmarkEnd w:id="150"/>
    <w:bookmarkStart w:id="168" w:name="decomposition-into-components"/>
    <w:p>
      <w:pPr>
        <w:pStyle w:val="Heading2"/>
      </w:pPr>
      <w:r>
        <w:t xml:space="preserve">2.3 Decomposition into components</w:t>
      </w:r>
    </w:p>
    <w:bookmarkStart w:id="154" w:name="X5267ba6bb6362e123244e919a7fee42b6b0381a"/>
    <w:p>
      <w:pPr>
        <w:pStyle w:val="Heading3"/>
      </w:pPr>
      <w:r>
        <w:t xml:space="preserve">2.3.1 The thinking loop and where decomposition fits</w:t>
      </w:r>
    </w:p>
    <w:p>
      <w:pPr>
        <w:pStyle w:val="FirstParagraph"/>
      </w:pPr>
      <w:r>
        <w:t xml:space="preserve">Before the first tool, look at the whole process. Experienced designers do not move in a straight line from requirements to boxes and arrows. They work in a loop. They make a rough pass through every concern, find the riskiest part, and go round again at higher resolution. The sections of this chapter are the tools used at each step of that loop. They are presented one at a time for teaching, but in practice you switch between them constantly.</w:t>
      </w:r>
    </w:p>
    <w:p>
      <w:pPr>
        <w:pStyle w:val="BodyText"/>
      </w:pPr>
      <w:r>
        <w:rPr>
          <w:bCs/>
          <w:b/>
        </w:rPr>
        <w:t xml:space="preserve">Figure 2.1 — The system designer’s thinking loop.</w:t>
      </w:r>
    </w:p>
    <w:p>
      <w:pPr>
        <w:pStyle w:val="BodyText"/>
      </w:pPr>
      <w:r>
        <w:drawing>
          <wp:inline>
            <wp:extent cx="5334000" cy="12239427"/>
            <wp:effectExtent b="0" l="0" r="0" t="0"/>
            <wp:docPr descr="" title="" id="152" name="Picture"/>
            <a:graphic>
              <a:graphicData uri="http://schemas.openxmlformats.org/drawingml/2006/picture">
                <pic:pic>
                  <pic:nvPicPr>
                    <pic:cNvPr descr="/home/user/System-Design/build/.cache/diagrams/c1b3a7314560.png" id="153" name="Picture"/>
                    <pic:cNvPicPr>
                      <a:picLocks noChangeArrowheads="1" noChangeAspect="1"/>
                    </pic:cNvPicPr>
                  </pic:nvPicPr>
                  <pic:blipFill>
                    <a:blip r:embed="rId151"/>
                    <a:stretch>
                      <a:fillRect/>
                    </a:stretch>
                  </pic:blipFill>
                  <pic:spPr bwMode="auto">
                    <a:xfrm>
                      <a:off x="0" y="0"/>
                      <a:ext cx="5334000" cy="12239427"/>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Each rectangle is a thinking activity, labeled with the section that teaches it. It is not a software component. Solid arrows show the usual order within one pass. The diamond is the decision every designer makes at the end of a pass: is the design good enough</w:t>
      </w:r>
      <w:r>
        <w:t xml:space="preserve"> </w:t>
      </w:r>
      <w:r>
        <w:rPr>
          <w:iCs/>
          <w:i/>
        </w:rPr>
        <w:t xml:space="preserve">for the risk involved</w:t>
      </w:r>
      <w:r>
        <w:t xml:space="preserve">? A prototype for ten users clears that bar after one rough pass. A payment system may need many passes. The</w:t>
      </w:r>
      <w:r>
        <w:t xml:space="preserve"> </w:t>
      </w:r>
      <w:r>
        <w:t xml:space="preserve">“</w:t>
      </w:r>
      <w:r>
        <w:t xml:space="preserve">no, refine</w:t>
      </w:r>
      <w:r>
        <w:t xml:space="preserve">”</w:t>
      </w:r>
      <w:r>
        <w:t xml:space="preserve"> </w:t>
      </w:r>
      <w:r>
        <w:t xml:space="preserve">edge returns to requirements because a weak design is very often caused by a misunderstood requirement. The dotted arrow from documentation back to requirements is asynchronous: weeks or months later, production data or business growth disproves an assumption and starts the loop again. Nothing in this loop</w:t>
      </w:r>
      <w:r>
        <w:t xml:space="preserve"> </w:t>
      </w:r>
      <w:r>
        <w:t xml:space="preserve">“</w:t>
      </w:r>
      <w:r>
        <w:t xml:space="preserve">fails</w:t>
      </w:r>
      <w:r>
        <w:t xml:space="preserve">”</w:t>
      </w:r>
      <w:r>
        <w:t xml:space="preserve"> </w:t>
      </w:r>
      <w:r>
        <w:t xml:space="preserve">in the software sense. The failure to watch for is getting stuck, for example by polishing component diagrams (§2.3) before estimating scale (§2.11). The way to avoid that is to time-box each pass.</w:t>
      </w:r>
    </w:p>
    <w:bookmarkEnd w:id="154"/>
    <w:bookmarkStart w:id="167" w:name="what-decomposition-is"/>
    <w:p>
      <w:pPr>
        <w:pStyle w:val="Heading3"/>
      </w:pPr>
      <w:r>
        <w:t xml:space="preserve">2.3.2 What decomposition is</w:t>
      </w:r>
    </w:p>
    <w:p>
      <w:pPr>
        <w:pStyle w:val="CalloutDefinition"/>
      </w:pPr>
      <w:r>
        <w:rPr>
          <w:bCs/>
          <w:b/>
        </w:rPr>
        <w:t xml:space="preserve">DEFINITION</w:t>
      </w:r>
    </w:p>
    <w:p>
      <w:pPr>
        <w:pStyle w:val="CalloutDefinition"/>
      </w:pPr>
      <w:r>
        <w:rPr>
          <w:bCs/>
          <w:b/>
        </w:rPr>
        <w:t xml:space="preserve">Definition — Decomposition.</w:t>
      </w:r>
      <w:r>
        <w:t xml:space="preserve"> </w:t>
      </w:r>
      <w:r>
        <w:t xml:space="preserve">Dividing a system into smaller parts (</w:t>
      </w:r>
      <w:r>
        <w:rPr>
          <w:bCs/>
          <w:b/>
        </w:rPr>
        <w:t xml:space="preserve">components</w:t>
      </w:r>
      <w:r>
        <w:t xml:space="preserve">) so that each part has one clear responsibility, a well-defined interface, and as few dependencies on other parts as possible. Each part can then be understood, built, scaled and changed mostly on its own.</w:t>
      </w:r>
    </w:p>
    <w:bookmarkStart w:id="155" w:name="first-principles-explanation-9"/>
    <w:p>
      <w:pPr>
        <w:pStyle w:val="Heading4"/>
      </w:pPr>
      <w:r>
        <w:t xml:space="preserve">First-principles explanation</w:t>
      </w:r>
    </w:p>
    <w:p>
      <w:pPr>
        <w:pStyle w:val="FirstParagraph"/>
      </w:pPr>
      <w:r>
        <w:t xml:space="preserve">Think of a restaurant kitchen. Nobody</w:t>
      </w:r>
      <w:r>
        <w:t xml:space="preserve"> </w:t>
      </w:r>
      <w:r>
        <w:t xml:space="preserve">“</w:t>
      </w:r>
      <w:r>
        <w:t xml:space="preserve">does the cooking.</w:t>
      </w:r>
      <w:r>
        <w:t xml:space="preserve">”</w:t>
      </w:r>
      <w:r>
        <w:t xml:space="preserve"> </w:t>
      </w:r>
      <w:r>
        <w:t xml:space="preserve">There is a grill station, a fry station, a pastry station and a pass where plates are checked before they leave. Each station has its own tools and ingredients and gets work through a narrow interface: the ticket. When the fryer breaks, the grill keeps working. When dessert orders double, you add a pastry cook without touching the grill.</w:t>
      </w:r>
    </w:p>
    <w:p>
      <w:pPr>
        <w:pStyle w:val="BodyText"/>
      </w:pPr>
      <w:r>
        <w:t xml:space="preserve">Software decomposition works the same way. You split a big, fuzzy problem (</w:t>
      </w:r>
      <w:r>
        <w:t xml:space="preserve">“</w:t>
      </w:r>
      <w:r>
        <w:t xml:space="preserve">the food-delivery backend</w:t>
      </w:r>
      <w:r>
        <w:t xml:space="preserve">”</w:t>
      </w:r>
      <w:r>
        <w:t xml:space="preserve">) into parts. Each part answers one question well (</w:t>
      </w:r>
      <w:r>
        <w:t xml:space="preserve">“</w:t>
      </w:r>
      <w:r>
        <w:t xml:space="preserve">what is on the menu?</w:t>
      </w:r>
      <w:r>
        <w:t xml:space="preserve">”</w:t>
      </w:r>
      <w:r>
        <w:t xml:space="preserve">,</w:t>
      </w:r>
      <w:r>
        <w:t xml:space="preserve"> </w:t>
      </w:r>
      <w:r>
        <w:t xml:space="preserve">“</w:t>
      </w:r>
      <w:r>
        <w:t xml:space="preserve">where is the courier?</w:t>
      </w:r>
      <w:r>
        <w:t xml:space="preserve">”</w:t>
      </w:r>
      <w:r>
        <w:t xml:space="preserve">). The parts interact through narrow, explicit interfaces, usually an API or a message.</w:t>
      </w:r>
    </w:p>
    <w:bookmarkEnd w:id="155"/>
    <w:bookmarkStart w:id="156" w:name="why-does-this-exist-7"/>
    <w:p>
      <w:pPr>
        <w:pStyle w:val="Heading4"/>
      </w:pPr>
      <w:r>
        <w:t xml:space="preserve">Why does this exist?</w:t>
      </w:r>
    </w:p>
    <w:p>
      <w:pPr>
        <w:pStyle w:val="FirstParagraph"/>
      </w:pPr>
      <w:r>
        <w:t xml:space="preserve">A system nobody can hold in their head cannot be reasoned about. Decomposition gives you four concrete benefits:</w:t>
      </w:r>
    </w:p>
    <w:p>
      <w:pPr>
        <w:numPr>
          <w:ilvl w:val="0"/>
          <w:numId w:val="1039"/>
        </w:numPr>
        <w:pStyle w:val="Compact"/>
      </w:pPr>
      <w:r>
        <w:rPr>
          <w:bCs/>
          <w:b/>
        </w:rPr>
        <w:t xml:space="preserve">Comprehension.</w:t>
      </w:r>
      <w:r>
        <w:t xml:space="preserve"> </w:t>
      </w:r>
      <w:r>
        <w:t xml:space="preserve">One component fits in one engineer’s head.</w:t>
      </w:r>
    </w:p>
    <w:p>
      <w:pPr>
        <w:numPr>
          <w:ilvl w:val="0"/>
          <w:numId w:val="1039"/>
        </w:numPr>
        <w:pStyle w:val="Compact"/>
      </w:pPr>
      <w:r>
        <w:rPr>
          <w:bCs/>
          <w:b/>
        </w:rPr>
        <w:t xml:space="preserve">Independent scaling.</w:t>
      </w:r>
      <w:r>
        <w:t xml:space="preserve"> </w:t>
      </w:r>
      <w:r>
        <w:t xml:space="preserve">In QuickBite, courier location updates arrive thousands of times per second, but restaurants edit menus a few times per day. Separating them lets each be scaled on its own terms.</w:t>
      </w:r>
    </w:p>
    <w:p>
      <w:pPr>
        <w:numPr>
          <w:ilvl w:val="0"/>
          <w:numId w:val="1039"/>
        </w:numPr>
        <w:pStyle w:val="Compact"/>
      </w:pPr>
      <w:r>
        <w:rPr>
          <w:bCs/>
          <w:b/>
        </w:rPr>
        <w:t xml:space="preserve">Failure isolation.</w:t>
      </w:r>
      <w:r>
        <w:t xml:space="preserve"> </w:t>
      </w:r>
      <w:r>
        <w:t xml:space="preserve">A bug in the recommendation feature should not stop customers from paying.</w:t>
      </w:r>
    </w:p>
    <w:p>
      <w:pPr>
        <w:numPr>
          <w:ilvl w:val="0"/>
          <w:numId w:val="1039"/>
        </w:numPr>
        <w:pStyle w:val="Compact"/>
      </w:pPr>
      <w:r>
        <w:rPr>
          <w:bCs/>
          <w:b/>
        </w:rPr>
        <w:t xml:space="preserve">Team autonomy.</w:t>
      </w:r>
      <w:r>
        <w:t xml:space="preserve"> </w:t>
      </w:r>
      <w:r>
        <w:t xml:space="preserve">Different teams can own different components. Conway’s observation that organizations produce designs that copy their own communication structures [Conway 1968] means team boundaries and component boundaries end up shaping each other whether you plan it or not.</w:t>
      </w:r>
    </w:p>
    <w:p>
      <w:pPr>
        <w:pStyle w:val="FirstParagraph"/>
      </w:pPr>
      <w:r>
        <w:t xml:space="preserve">David Parnas made the classic argument for</w:t>
      </w:r>
      <w:r>
        <w:t xml:space="preserve"> </w:t>
      </w:r>
      <w:r>
        <w:rPr>
          <w:iCs/>
          <w:i/>
        </w:rPr>
        <w:t xml:space="preserve">how</w:t>
      </w:r>
      <w:r>
        <w:t xml:space="preserve"> </w:t>
      </w:r>
      <w:r>
        <w:t xml:space="preserve">to choose the parts. Divide a system so that each module hides a design decision that is likely to change, rather than by the steps of a processing flowchart [Parnas 1972]. That principle,</w:t>
      </w:r>
      <w:r>
        <w:t xml:space="preserve"> </w:t>
      </w:r>
      <w:r>
        <w:rPr>
          <w:bCs/>
          <w:b/>
        </w:rPr>
        <w:t xml:space="preserve">information hiding</w:t>
      </w:r>
      <w:r>
        <w:t xml:space="preserve">, is still the best single test of a good boundary.</w:t>
      </w:r>
    </w:p>
    <w:bookmarkEnd w:id="156"/>
    <w:bookmarkStart w:id="157" w:name="how-it-works-internally-8"/>
    <w:p>
      <w:pPr>
        <w:pStyle w:val="Heading4"/>
      </w:pPr>
      <w:r>
        <w:t xml:space="preserve">How it works internally</w:t>
      </w:r>
    </w:p>
    <w:p>
      <w:pPr>
        <w:pStyle w:val="FirstParagraph"/>
      </w:pPr>
      <w:r>
        <w:t xml:space="preserve">A practical decomposition procedure:</w:t>
      </w:r>
    </w:p>
    <w:p>
      <w:pPr>
        <w:numPr>
          <w:ilvl w:val="0"/>
          <w:numId w:val="1040"/>
        </w:numPr>
        <w:pStyle w:val="Compact"/>
      </w:pPr>
      <w:r>
        <w:rPr>
          <w:bCs/>
          <w:b/>
        </w:rPr>
        <w:t xml:space="preserve">List the nouns and verbs.</w:t>
      </w:r>
      <w:r>
        <w:t xml:space="preserve"> </w:t>
      </w:r>
      <w:r>
        <w:t xml:space="preserve">From the product description:</w:t>
      </w:r>
      <w:r>
        <w:t xml:space="preserve"> </w:t>
      </w:r>
      <w:r>
        <w:rPr>
          <w:iCs/>
          <w:i/>
        </w:rPr>
        <w:t xml:space="preserve">customer, restaurant, menu, dish, cart, order, payment, courier, delivery, location, notification</w:t>
      </w:r>
      <w:r>
        <w:t xml:space="preserve">. Verbs:</w:t>
      </w:r>
      <w:r>
        <w:t xml:space="preserve"> </w:t>
      </w:r>
      <w:r>
        <w:rPr>
          <w:iCs/>
          <w:i/>
        </w:rPr>
        <w:t xml:space="preserve">browse, search, add to cart, place order, pay, accept, prepare, assign, pick up, track, deliver, rate</w:t>
      </w:r>
      <w:r>
        <w:t xml:space="preserve">.</w:t>
      </w:r>
    </w:p>
    <w:p>
      <w:pPr>
        <w:numPr>
          <w:ilvl w:val="0"/>
          <w:numId w:val="1040"/>
        </w:numPr>
        <w:pStyle w:val="Compact"/>
      </w:pPr>
      <w:r>
        <w:rPr>
          <w:bCs/>
          <w:b/>
        </w:rPr>
        <w:t xml:space="preserve">Group by data ownership.</w:t>
      </w:r>
      <w:r>
        <w:t xml:space="preserve"> </w:t>
      </w:r>
      <w:r>
        <w:t xml:space="preserve">Ask</w:t>
      </w:r>
      <w:r>
        <w:t xml:space="preserve"> </w:t>
      </w:r>
      <w:r>
        <w:t xml:space="preserve">“</w:t>
      </w:r>
      <w:r>
        <w:t xml:space="preserve">who is the single source of truth for this data?</w:t>
      </w:r>
      <w:r>
        <w:t xml:space="preserve">”</w:t>
      </w:r>
      <w:r>
        <w:t xml:space="preserve"> </w:t>
      </w:r>
      <w:r>
        <w:t xml:space="preserve">Menus belong with restaurants. Orders and their states belong together. Courier locations are a separate, high-volume stream.</w:t>
      </w:r>
    </w:p>
    <w:p>
      <w:pPr>
        <w:numPr>
          <w:ilvl w:val="0"/>
          <w:numId w:val="1040"/>
        </w:numPr>
        <w:pStyle w:val="Compact"/>
      </w:pPr>
      <w:r>
        <w:rPr>
          <w:bCs/>
          <w:b/>
        </w:rPr>
        <w:t xml:space="preserve">Group by rate of change and load profile.</w:t>
      </w:r>
      <w:r>
        <w:t xml:space="preserve"> </w:t>
      </w:r>
      <w:r>
        <w:t xml:space="preserve">Things that change at very different speeds, or see very different traffic, usually belong apart. Menus are read-heavy and rarely written. Location is write-heavy and short-lived.</w:t>
      </w:r>
    </w:p>
    <w:p>
      <w:pPr>
        <w:numPr>
          <w:ilvl w:val="0"/>
          <w:numId w:val="1040"/>
        </w:numPr>
        <w:pStyle w:val="Compact"/>
      </w:pPr>
      <w:r>
        <w:rPr>
          <w:bCs/>
          <w:b/>
        </w:rPr>
        <w:t xml:space="preserve">Group by consistency need.</w:t>
      </w:r>
      <w:r>
        <w:t xml:space="preserve"> </w:t>
      </w:r>
      <w:r>
        <w:t xml:space="preserve">Money movements need strong guarantees: no double charges. The display of a courier’s position can tolerate being a few seconds stale.</w:t>
      </w:r>
    </w:p>
    <w:p>
      <w:pPr>
        <w:numPr>
          <w:ilvl w:val="0"/>
          <w:numId w:val="1040"/>
        </w:numPr>
        <w:pStyle w:val="Compact"/>
      </w:pPr>
      <w:r>
        <w:rPr>
          <w:bCs/>
          <w:b/>
        </w:rPr>
        <w:t xml:space="preserve">Name each component with one sentence of responsibility.</w:t>
      </w:r>
      <w:r>
        <w:t xml:space="preserve"> </w:t>
      </w:r>
      <w:r>
        <w:t xml:space="preserve">If the sentence needs</w:t>
      </w:r>
      <w:r>
        <w:t xml:space="preserve"> </w:t>
      </w:r>
      <w:r>
        <w:t xml:space="preserve">“</w:t>
      </w:r>
      <w:r>
        <w:t xml:space="preserve">and</w:t>
      </w:r>
      <w:r>
        <w:t xml:space="preserve">”</w:t>
      </w:r>
      <w:r>
        <w:t xml:space="preserve">, consider splitting it.</w:t>
      </w:r>
    </w:p>
    <w:p>
      <w:pPr>
        <w:numPr>
          <w:ilvl w:val="0"/>
          <w:numId w:val="1040"/>
        </w:numPr>
        <w:pStyle w:val="Compact"/>
      </w:pPr>
      <w:r>
        <w:rPr>
          <w:bCs/>
          <w:b/>
        </w:rPr>
        <w:t xml:space="preserve">Draw the interactions.</w:t>
      </w:r>
      <w:r>
        <w:t xml:space="preserve"> </w:t>
      </w:r>
      <w:r>
        <w:t xml:space="preserve">Mark each one as synchronous (the caller waits) or asynchronous (the caller hands off a message and moves on).</w:t>
      </w:r>
    </w:p>
    <w:p>
      <w:pPr>
        <w:numPr>
          <w:ilvl w:val="0"/>
          <w:numId w:val="1040"/>
        </w:numPr>
        <w:pStyle w:val="Compact"/>
      </w:pPr>
      <w:r>
        <w:rPr>
          <w:bCs/>
          <w:b/>
        </w:rPr>
        <w:t xml:space="preserve">Check against scenarios.</w:t>
      </w:r>
      <w:r>
        <w:t xml:space="preserve"> </w:t>
      </w:r>
      <w:r>
        <w:t xml:space="preserve">Walk the top three user journeys through the diagram. Every step must have exactly one owner.</w:t>
      </w:r>
    </w:p>
    <w:p>
      <w:pPr>
        <w:pStyle w:val="FirstParagraph"/>
      </w:pPr>
      <w:r>
        <w:t xml:space="preserve">Applying this to QuickBite gives the components in Table 2.1.</w:t>
      </w:r>
    </w:p>
    <w:p>
      <w:pPr>
        <w:pStyle w:val="BodyText"/>
      </w:pPr>
      <w:r>
        <w:rPr>
          <w:bCs/>
          <w:b/>
        </w:rPr>
        <w:t xml:space="preserve">Table 2.1 — QuickBite components and their single responsibilities.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Component</w:t>
            </w:r>
          </w:p>
        </w:tc>
        <w:tc>
          <w:tcPr/>
          <w:p>
            <w:pPr>
              <w:pStyle w:val="Compact"/>
              <w:jc w:val="left"/>
            </w:pPr>
            <w:r>
              <w:t xml:space="preserve">Responsibility (one sentence)</w:t>
            </w:r>
          </w:p>
        </w:tc>
        <w:tc>
          <w:tcPr/>
          <w:p>
            <w:pPr>
              <w:pStyle w:val="Compact"/>
              <w:jc w:val="left"/>
            </w:pPr>
            <w:r>
              <w:t xml:space="preserve">Owns data</w:t>
            </w:r>
          </w:p>
        </w:tc>
        <w:tc>
          <w:tcPr/>
          <w:p>
            <w:pPr>
              <w:pStyle w:val="Compact"/>
              <w:jc w:val="left"/>
            </w:pPr>
            <w:r>
              <w:t xml:space="preserve">Load profile</w:t>
            </w:r>
          </w:p>
        </w:tc>
        <w:tc>
          <w:tcPr/>
          <w:p>
            <w:pPr>
              <w:pStyle w:val="Compact"/>
              <w:jc w:val="left"/>
            </w:pPr>
            <w:r>
              <w:t xml:space="preserve">Consistency need</w:t>
            </w:r>
          </w:p>
        </w:tc>
      </w:tr>
      <w:tr>
        <w:tc>
          <w:tcPr/>
          <w:p>
            <w:pPr>
              <w:pStyle w:val="Compact"/>
              <w:jc w:val="left"/>
            </w:pPr>
            <w:r>
              <w:t xml:space="preserve">API gateway</w:t>
            </w:r>
          </w:p>
        </w:tc>
        <w:tc>
          <w:tcPr/>
          <w:p>
            <w:pPr>
              <w:pStyle w:val="Compact"/>
              <w:jc w:val="left"/>
            </w:pPr>
            <w:r>
              <w:t xml:space="preserve">Authenticates clients and routes requests</w:t>
            </w:r>
          </w:p>
        </w:tc>
        <w:tc>
          <w:tcPr/>
          <w:p>
            <w:pPr>
              <w:pStyle w:val="Compact"/>
              <w:jc w:val="left"/>
            </w:pPr>
            <w:r>
              <w:t xml:space="preserve">None (stateless)</w:t>
            </w:r>
          </w:p>
        </w:tc>
        <w:tc>
          <w:tcPr/>
          <w:p>
            <w:pPr>
              <w:pStyle w:val="Compact"/>
              <w:jc w:val="left"/>
            </w:pPr>
            <w:r>
              <w:t xml:space="preserve">All traffic</w:t>
            </w:r>
          </w:p>
        </w:tc>
        <w:tc>
          <w:tcPr/>
          <w:p>
            <w:pPr>
              <w:pStyle w:val="Compact"/>
              <w:jc w:val="left"/>
            </w:pPr>
            <w:r>
              <w:t xml:space="preserve">n/a</w:t>
            </w:r>
          </w:p>
        </w:tc>
      </w:tr>
      <w:tr>
        <w:tc>
          <w:tcPr/>
          <w:p>
            <w:pPr>
              <w:pStyle w:val="Compact"/>
              <w:jc w:val="left"/>
            </w:pPr>
            <w:r>
              <w:t xml:space="preserve">Catalog service</w:t>
            </w:r>
          </w:p>
        </w:tc>
        <w:tc>
          <w:tcPr/>
          <w:p>
            <w:pPr>
              <w:pStyle w:val="Compact"/>
              <w:jc w:val="left"/>
            </w:pPr>
            <w:r>
              <w:t xml:space="preserve">Serves restaurants, menus and prices</w:t>
            </w:r>
          </w:p>
        </w:tc>
        <w:tc>
          <w:tcPr/>
          <w:p>
            <w:pPr>
              <w:pStyle w:val="Compact"/>
              <w:jc w:val="left"/>
            </w:pPr>
            <w:r>
              <w:t xml:space="preserve">Restaurants, menus</w:t>
            </w:r>
          </w:p>
        </w:tc>
        <w:tc>
          <w:tcPr/>
          <w:p>
            <w:pPr>
              <w:pStyle w:val="Compact"/>
              <w:jc w:val="left"/>
            </w:pPr>
            <w:r>
              <w:t xml:space="preserve">Read-heavy</w:t>
            </w:r>
          </w:p>
        </w:tc>
        <w:tc>
          <w:tcPr/>
          <w:p>
            <w:pPr>
              <w:pStyle w:val="Compact"/>
              <w:jc w:val="left"/>
            </w:pPr>
            <w:r>
              <w:t xml:space="preserve">Minutes of staleness OK</w:t>
            </w:r>
          </w:p>
        </w:tc>
      </w:tr>
      <w:tr>
        <w:tc>
          <w:tcPr/>
          <w:p>
            <w:pPr>
              <w:pStyle w:val="Compact"/>
              <w:jc w:val="left"/>
            </w:pPr>
            <w:r>
              <w:t xml:space="preserve">Search service</w:t>
            </w:r>
          </w:p>
        </w:tc>
        <w:tc>
          <w:tcPr/>
          <w:p>
            <w:pPr>
              <w:pStyle w:val="Compact"/>
              <w:jc w:val="left"/>
            </w:pPr>
            <w:r>
              <w:t xml:space="preserve">Finds restaurants by location, cuisine, text</w:t>
            </w:r>
          </w:p>
        </w:tc>
        <w:tc>
          <w:tcPr/>
          <w:p>
            <w:pPr>
              <w:pStyle w:val="Compact"/>
              <w:jc w:val="left"/>
            </w:pPr>
            <w:r>
              <w:t xml:space="preserve">Search index (derived)</w:t>
            </w:r>
          </w:p>
        </w:tc>
        <w:tc>
          <w:tcPr/>
          <w:p>
            <w:pPr>
              <w:pStyle w:val="Compact"/>
              <w:jc w:val="left"/>
            </w:pPr>
            <w:r>
              <w:t xml:space="preserve">Read-heavy</w:t>
            </w:r>
          </w:p>
        </w:tc>
        <w:tc>
          <w:tcPr/>
          <w:p>
            <w:pPr>
              <w:pStyle w:val="Compact"/>
              <w:jc w:val="left"/>
            </w:pPr>
            <w:r>
              <w:t xml:space="preserve">Derived, can lag</w:t>
            </w:r>
          </w:p>
        </w:tc>
      </w:tr>
      <w:tr>
        <w:tc>
          <w:tcPr/>
          <w:p>
            <w:pPr>
              <w:pStyle w:val="Compact"/>
              <w:jc w:val="left"/>
            </w:pPr>
            <w:r>
              <w:t xml:space="preserve">Order service</w:t>
            </w:r>
          </w:p>
        </w:tc>
        <w:tc>
          <w:tcPr/>
          <w:p>
            <w:pPr>
              <w:pStyle w:val="Compact"/>
              <w:jc w:val="left"/>
            </w:pPr>
            <w:r>
              <w:t xml:space="preserve">Owns the life cycle of an order</w:t>
            </w:r>
          </w:p>
        </w:tc>
        <w:tc>
          <w:tcPr/>
          <w:p>
            <w:pPr>
              <w:pStyle w:val="Compact"/>
              <w:jc w:val="left"/>
            </w:pPr>
            <w:r>
              <w:t xml:space="preserve">Orders, order items</w:t>
            </w:r>
          </w:p>
        </w:tc>
        <w:tc>
          <w:tcPr/>
          <w:p>
            <w:pPr>
              <w:pStyle w:val="Compact"/>
              <w:jc w:val="left"/>
            </w:pPr>
            <w:r>
              <w:t xml:space="preserve">Moderate writes</w:t>
            </w:r>
          </w:p>
        </w:tc>
        <w:tc>
          <w:tcPr/>
          <w:p>
            <w:pPr>
              <w:pStyle w:val="Compact"/>
              <w:jc w:val="left"/>
            </w:pPr>
            <w:r>
              <w:t xml:space="preserve">Strong</w:t>
            </w:r>
          </w:p>
        </w:tc>
      </w:tr>
      <w:tr>
        <w:tc>
          <w:tcPr/>
          <w:p>
            <w:pPr>
              <w:pStyle w:val="Compact"/>
              <w:jc w:val="left"/>
            </w:pPr>
            <w:r>
              <w:t xml:space="preserve">Payment service</w:t>
            </w:r>
          </w:p>
        </w:tc>
        <w:tc>
          <w:tcPr/>
          <w:p>
            <w:pPr>
              <w:pStyle w:val="Compact"/>
              <w:jc w:val="left"/>
            </w:pPr>
            <w:r>
              <w:t xml:space="preserve">Charges and refunds via a payment provider</w:t>
            </w:r>
          </w:p>
        </w:tc>
        <w:tc>
          <w:tcPr/>
          <w:p>
            <w:pPr>
              <w:pStyle w:val="Compact"/>
              <w:jc w:val="left"/>
            </w:pPr>
            <w:r>
              <w:t xml:space="preserve">Payment records</w:t>
            </w:r>
          </w:p>
        </w:tc>
        <w:tc>
          <w:tcPr/>
          <w:p>
            <w:pPr>
              <w:pStyle w:val="Compact"/>
              <w:jc w:val="left"/>
            </w:pPr>
            <w:r>
              <w:t xml:space="preserve">Low volume</w:t>
            </w:r>
          </w:p>
        </w:tc>
        <w:tc>
          <w:tcPr/>
          <w:p>
            <w:pPr>
              <w:pStyle w:val="Compact"/>
              <w:jc w:val="left"/>
            </w:pPr>
            <w:r>
              <w:t xml:space="preserve">Strong, idempotent</w:t>
            </w:r>
          </w:p>
        </w:tc>
      </w:tr>
      <w:tr>
        <w:tc>
          <w:tcPr/>
          <w:p>
            <w:pPr>
              <w:pStyle w:val="Compact"/>
              <w:jc w:val="left"/>
            </w:pPr>
            <w:r>
              <w:t xml:space="preserve">Dispatch service</w:t>
            </w:r>
          </w:p>
        </w:tc>
        <w:tc>
          <w:tcPr/>
          <w:p>
            <w:pPr>
              <w:pStyle w:val="Compact"/>
              <w:jc w:val="left"/>
            </w:pPr>
            <w:r>
              <w:t xml:space="preserve">Assigns couriers to ready orders</w:t>
            </w:r>
          </w:p>
        </w:tc>
        <w:tc>
          <w:tcPr/>
          <w:p>
            <w:pPr>
              <w:pStyle w:val="Compact"/>
              <w:jc w:val="left"/>
            </w:pPr>
            <w:r>
              <w:t xml:space="preserve">Assignments</w:t>
            </w:r>
          </w:p>
        </w:tc>
        <w:tc>
          <w:tcPr/>
          <w:p>
            <w:pPr>
              <w:pStyle w:val="Compact"/>
              <w:jc w:val="left"/>
            </w:pPr>
            <w:r>
              <w:t xml:space="preserve">Bursty</w:t>
            </w:r>
          </w:p>
        </w:tc>
        <w:tc>
          <w:tcPr/>
          <w:p>
            <w:pPr>
              <w:pStyle w:val="Compact"/>
              <w:jc w:val="left"/>
            </w:pPr>
            <w:r>
              <w:t xml:space="preserve">Strong per assignment</w:t>
            </w:r>
          </w:p>
        </w:tc>
      </w:tr>
      <w:tr>
        <w:tc>
          <w:tcPr/>
          <w:p>
            <w:pPr>
              <w:pStyle w:val="Compact"/>
              <w:jc w:val="left"/>
            </w:pPr>
            <w:r>
              <w:t xml:space="preserve">Location service</w:t>
            </w:r>
          </w:p>
        </w:tc>
        <w:tc>
          <w:tcPr/>
          <w:p>
            <w:pPr>
              <w:pStyle w:val="Compact"/>
              <w:jc w:val="left"/>
            </w:pPr>
            <w:r>
              <w:t xml:space="preserve">Ingests and serves courier positions</w:t>
            </w:r>
          </w:p>
        </w:tc>
        <w:tc>
          <w:tcPr/>
          <w:p>
            <w:pPr>
              <w:pStyle w:val="Compact"/>
              <w:jc w:val="left"/>
            </w:pPr>
            <w:r>
              <w:t xml:space="preserve">Recent positions</w:t>
            </w:r>
          </w:p>
        </w:tc>
        <w:tc>
          <w:tcPr/>
          <w:p>
            <w:pPr>
              <w:pStyle w:val="Compact"/>
              <w:jc w:val="left"/>
            </w:pPr>
            <w:r>
              <w:t xml:space="preserve">Write-heavy</w:t>
            </w:r>
          </w:p>
        </w:tc>
        <w:tc>
          <w:tcPr/>
          <w:p>
            <w:pPr>
              <w:pStyle w:val="Compact"/>
              <w:jc w:val="left"/>
            </w:pPr>
            <w:r>
              <w:t xml:space="preserve">Seconds of staleness OK</w:t>
            </w:r>
          </w:p>
        </w:tc>
      </w:tr>
      <w:tr>
        <w:tc>
          <w:tcPr/>
          <w:p>
            <w:pPr>
              <w:pStyle w:val="Compact"/>
              <w:jc w:val="left"/>
            </w:pPr>
            <w:r>
              <w:t xml:space="preserve">Notification service</w:t>
            </w:r>
          </w:p>
        </w:tc>
        <w:tc>
          <w:tcPr/>
          <w:p>
            <w:pPr>
              <w:pStyle w:val="Compact"/>
              <w:jc w:val="left"/>
            </w:pPr>
            <w:r>
              <w:t xml:space="preserve">Sends push, SMS and email</w:t>
            </w:r>
          </w:p>
        </w:tc>
        <w:tc>
          <w:tcPr/>
          <w:p>
            <w:pPr>
              <w:pStyle w:val="Compact"/>
              <w:jc w:val="left"/>
            </w:pPr>
            <w:r>
              <w:t xml:space="preserve">Delivery log</w:t>
            </w:r>
          </w:p>
        </w:tc>
        <w:tc>
          <w:tcPr/>
          <w:p>
            <w:pPr>
              <w:pStyle w:val="Compact"/>
              <w:jc w:val="left"/>
            </w:pPr>
            <w:r>
              <w:t xml:space="preserve">Bursty, async</w:t>
            </w:r>
          </w:p>
        </w:tc>
        <w:tc>
          <w:tcPr/>
          <w:p>
            <w:pPr>
              <w:pStyle w:val="Compact"/>
              <w:jc w:val="left"/>
            </w:pPr>
            <w:r>
              <w:t xml:space="preserve">At-least-once</w:t>
            </w:r>
          </w:p>
        </w:tc>
      </w:tr>
    </w:tbl>
    <w:bookmarkEnd w:id="157"/>
    <w:bookmarkStart w:id="161" w:name="architecture-diagram-3"/>
    <w:p>
      <w:pPr>
        <w:pStyle w:val="Heading4"/>
      </w:pPr>
      <w:r>
        <w:t xml:space="preserve">Architecture diagram</w:t>
      </w:r>
    </w:p>
    <w:p>
      <w:pPr>
        <w:pStyle w:val="FirstParagraph"/>
      </w:pPr>
      <w:r>
        <w:rPr>
          <w:bCs/>
          <w:b/>
        </w:rPr>
        <w:t xml:space="preserve">Figure 2.2 — QuickBite first-pass decomposition.</w:t>
      </w:r>
    </w:p>
    <w:p>
      <w:pPr>
        <w:pStyle w:val="BodyText"/>
      </w:pPr>
      <w:r>
        <w:drawing>
          <wp:inline>
            <wp:extent cx="5334000" cy="1909991"/>
            <wp:effectExtent b="0" l="0" r="0" t="0"/>
            <wp:docPr descr="" title="" id="159" name="Picture"/>
            <a:graphic>
              <a:graphicData uri="http://schemas.openxmlformats.org/drawingml/2006/picture">
                <pic:pic>
                  <pic:nvPicPr>
                    <pic:cNvPr descr="/home/user/System-Design/build/.cache/diagrams/daac57cee0b1.png" id="160" name="Picture"/>
                    <pic:cNvPicPr>
                      <a:picLocks noChangeArrowheads="1" noChangeAspect="1"/>
                    </pic:cNvPicPr>
                  </pic:nvPicPr>
                  <pic:blipFill>
                    <a:blip r:embed="rId158"/>
                    <a:stretch>
                      <a:fillRect/>
                    </a:stretch>
                  </pic:blipFill>
                  <pic:spPr bwMode="auto">
                    <a:xfrm>
                      <a:off x="0" y="0"/>
                      <a:ext cx="5334000" cy="1909991"/>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Three client types (stadiums) reach the system only through the</w:t>
      </w:r>
      <w:r>
        <w:t xml:space="preserve"> </w:t>
      </w:r>
      <w:r>
        <w:rPr>
          <w:bCs/>
          <w:b/>
        </w:rPr>
        <w:t xml:space="preserve">API gateway</w:t>
      </w:r>
      <w:r>
        <w:t xml:space="preserve"> </w:t>
      </w:r>
      <w:r>
        <w:t xml:space="preserve">over HTTPS. The gateway is stateless, so it scales horizontally behind a load balancer (Chapter 19). Solid arrows are synchronous request/response calls. Placing an order calls the order service, which calls the payment service, which calls the external</w:t>
      </w:r>
      <w:r>
        <w:t xml:space="preserve"> </w:t>
      </w:r>
      <w:r>
        <w:rPr>
          <w:bCs/>
          <w:b/>
        </w:rPr>
        <w:t xml:space="preserve">payment provider</w:t>
      </w:r>
      <w:r>
        <w:t xml:space="preserve"> </w:t>
      </w:r>
      <w:r>
        <w:t xml:space="preserve">(hexagon). That chain is the critical path, and every link in it can fail (§2.9). Dotted arrows are asynchronous. Once an order is committed, the order service publishes an event to the</w:t>
      </w:r>
      <w:r>
        <w:t xml:space="preserve"> </w:t>
      </w:r>
      <w:r>
        <w:rPr>
          <w:bCs/>
          <w:b/>
        </w:rPr>
        <w:t xml:space="preserve">event log</w:t>
      </w:r>
      <w:r>
        <w:t xml:space="preserve"> </w:t>
      </w:r>
      <w:r>
        <w:t xml:space="preserve">(subroutine shape; see Chapter 30). The dispatch and notification services consume it at their own pace, so a slow SMS provider cannot slow down checkout. Each cylinder is a storage boundary owned by exactly one service. No service reads another service’s database, which keeps data ownership clear (§34.11). The catalog service pushes menu changes asynchronously to the search service, whose index is a</w:t>
      </w:r>
      <w:r>
        <w:t xml:space="preserve"> </w:t>
      </w:r>
      <w:r>
        <w:rPr>
          <w:iCs/>
          <w:i/>
        </w:rPr>
        <w:t xml:space="preserve">derived</w:t>
      </w:r>
      <w:r>
        <w:t xml:space="preserve"> </w:t>
      </w:r>
      <w:r>
        <w:t xml:space="preserve">copy that may lag by seconds. The location store is the heaviest write path, as §2.11 will show, so it scales independently, for example with an in-memory store partitioned by city. Likely failure points: the payment provider (external, outside your control), the order database (single source of truth) and the event log (if it stops, dispatch stops). Each needs a mitigation in §2.9.</w:t>
      </w:r>
    </w:p>
    <w:p>
      <w:pPr>
        <w:pStyle w:val="CalloutNote"/>
      </w:pPr>
      <w:r>
        <w:rPr>
          <w:bCs/>
          <w:b/>
        </w:rPr>
        <w:t xml:space="preserve">NOTE</w:t>
      </w:r>
    </w:p>
    <w:p>
      <w:pPr>
        <w:pStyle w:val="CalloutNote"/>
      </w:pPr>
      <w:r>
        <w:rPr>
          <w:bCs/>
          <w:b/>
        </w:rPr>
        <w:t xml:space="preserve">Components are logical, not deployment units.</w:t>
      </w:r>
      <w:r>
        <w:t xml:space="preserve"> </w:t>
      </w:r>
      <w:r>
        <w:t xml:space="preserve">Figure 2.2 shows</w:t>
      </w:r>
      <w:r>
        <w:t xml:space="preserve"> </w:t>
      </w:r>
      <w:r>
        <w:rPr>
          <w:iCs/>
          <w:i/>
        </w:rPr>
        <w:t xml:space="preserve">logical</w:t>
      </w:r>
      <w:r>
        <w:t xml:space="preserve"> </w:t>
      </w:r>
      <w:r>
        <w:t xml:space="preserve">components. On day one, QuickBite might deploy all of them as one process: a</w:t>
      </w:r>
      <w:r>
        <w:t xml:space="preserve"> </w:t>
      </w:r>
      <w:r>
        <w:rPr>
          <w:bCs/>
          <w:b/>
        </w:rPr>
        <w:t xml:space="preserve">modular monolith</w:t>
      </w:r>
      <w:r>
        <w:t xml:space="preserve"> </w:t>
      </w:r>
      <w:r>
        <w:t xml:space="preserve">(§33.5). Decomposition decides where the</w:t>
      </w:r>
      <w:r>
        <w:t xml:space="preserve"> </w:t>
      </w:r>
      <w:r>
        <w:rPr>
          <w:iCs/>
          <w:i/>
        </w:rPr>
        <w:t xml:space="preserve">boundaries</w:t>
      </w:r>
      <w:r>
        <w:t xml:space="preserve"> </w:t>
      </w:r>
      <w:r>
        <w:t xml:space="preserve">are. Deployment decides how many</w:t>
      </w:r>
      <w:r>
        <w:t xml:space="preserve"> </w:t>
      </w:r>
      <w:r>
        <w:rPr>
          <w:iCs/>
          <w:i/>
        </w:rPr>
        <w:t xml:space="preserve">processes</w:t>
      </w:r>
      <w:r>
        <w:t xml:space="preserve"> </w:t>
      </w:r>
      <w:r>
        <w:t xml:space="preserve">there are. §2.8 makes that second decision with a decision matrix.</w:t>
      </w:r>
    </w:p>
    <w:bookmarkEnd w:id="161"/>
    <w:bookmarkStart w:id="162" w:name="real-world-industry-applications-6"/>
    <w:p>
      <w:pPr>
        <w:pStyle w:val="Heading4"/>
      </w:pPr>
      <w:r>
        <w:t xml:space="preserve">Real-world industry applications</w:t>
      </w:r>
    </w:p>
    <w:p>
      <w:pPr>
        <w:pStyle w:val="CalloutIndustry"/>
      </w:pPr>
      <w:r>
        <w:rPr>
          <w:bCs/>
          <w:b/>
        </w:rPr>
        <w:t xml:space="preserve">INDUSTRY EXAMPLE</w:t>
      </w:r>
    </w:p>
    <w:p>
      <w:pPr>
        <w:pStyle w:val="CalloutIndustry"/>
      </w:pPr>
      <w:r>
        <w:rPr>
          <w:bCs/>
          <w:b/>
        </w:rPr>
        <w:t xml:space="preserve">Amazon’s move to services.</w:t>
      </w:r>
      <w:r>
        <w:t xml:space="preserve"> </w:t>
      </w:r>
      <w:r>
        <w:t xml:space="preserve">In a 2006 interview, Amazon’s CTO Werner Vogels described how Amazon’s early monolithic application was restructured into services. Each service owned its data and could only be reached through a published interface. Direct database access between teams was ruled out. He linked this to team ownership (</w:t>
      </w:r>
      <w:r>
        <w:t xml:space="preserve">“</w:t>
      </w:r>
      <w:r>
        <w:t xml:space="preserve">you build it, you run it</w:t>
      </w:r>
      <w:r>
        <w:t xml:space="preserve">”</w:t>
      </w:r>
      <w:r>
        <w:t xml:space="preserve">). The design choice was data ownership behind interfaces, the same rule used in Figure 2.2. The trade-off he acknowledged was added operational and coordination complexity in exchange for team independence and scalability.</w:t>
      </w:r>
      <w:r>
        <w:t xml:space="preserve"> </w:t>
      </w:r>
      <w:r>
        <w:rPr>
          <w:iCs/>
          <w:i/>
        </w:rPr>
        <w:t xml:space="preserve">Evidence: Primary</w:t>
      </w:r>
      <w:r>
        <w:t xml:space="preserve"> </w:t>
      </w:r>
      <w:r>
        <w:t xml:space="preserve">— [Gray 2006]</w:t>
      </w:r>
    </w:p>
    <w:bookmarkEnd w:id="162"/>
    <w:bookmarkStart w:id="163" w:name="advantages-and-disadvantages-3"/>
    <w:p>
      <w:pPr>
        <w:pStyle w:val="Heading4"/>
      </w:pPr>
      <w:r>
        <w:t xml:space="preserve">Advantages and disadvantages</w:t>
      </w:r>
    </w:p>
    <w:p>
      <w:pPr>
        <w:pStyle w:val="FirstParagraph"/>
      </w:pPr>
      <w:r>
        <w:t xml:space="preserve">Good decomposition makes reasoning, scaling, failure isolation and team ownership easier. It also has costs. Every boundary that crosses a network turns a function call (~nanoseconds) into a remote call (~0.1–0.5 ms or more within a datacenter, see §4.17), and that call can fail independently. Data split across components loses cross-component transactions (Chapter 28). Too many components multiply operational load: more deployments, dashboards and on-call rotations.</w:t>
      </w:r>
    </w:p>
    <w:bookmarkEnd w:id="163"/>
    <w:bookmarkStart w:id="164" w:name="alternatives-and-trade-offs-2"/>
    <w:p>
      <w:pPr>
        <w:pStyle w:val="Heading4"/>
      </w:pPr>
      <w:r>
        <w:t xml:space="preserve">Alternatives and trade-offs</w:t>
      </w:r>
    </w:p>
    <w:p>
      <w:pPr>
        <w:pStyle w:val="FirstParagraph"/>
      </w:pPr>
      <w:r>
        <w:rPr>
          <w:bCs/>
          <w:b/>
        </w:rPr>
        <w:t xml:space="preserve">Table 2.2 — Ways to choose component boundaries.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Approach</w:t>
            </w:r>
          </w:p>
        </w:tc>
        <w:tc>
          <w:tcPr/>
          <w:p>
            <w:pPr>
              <w:pStyle w:val="Compact"/>
              <w:jc w:val="left"/>
            </w:pPr>
            <w:r>
              <w:t xml:space="preserve">Splits by</w:t>
            </w:r>
          </w:p>
        </w:tc>
        <w:tc>
          <w:tcPr/>
          <w:p>
            <w:pPr>
              <w:pStyle w:val="Compact"/>
              <w:jc w:val="left"/>
            </w:pPr>
            <w:r>
              <w:t xml:space="preserve">Works well when</w:t>
            </w:r>
          </w:p>
        </w:tc>
        <w:tc>
          <w:tcPr/>
          <w:p>
            <w:pPr>
              <w:pStyle w:val="Compact"/>
              <w:jc w:val="left"/>
            </w:pPr>
            <w:r>
              <w:t xml:space="preserve">Main risk</w:t>
            </w:r>
          </w:p>
        </w:tc>
      </w:tr>
      <w:tr>
        <w:tc>
          <w:tcPr/>
          <w:p>
            <w:pPr>
              <w:pStyle w:val="Compact"/>
              <w:jc w:val="left"/>
            </w:pPr>
            <w:r>
              <w:t xml:space="preserve">By technical layer</w:t>
            </w:r>
          </w:p>
        </w:tc>
        <w:tc>
          <w:tcPr/>
          <w:p>
            <w:pPr>
              <w:pStyle w:val="Compact"/>
              <w:jc w:val="left"/>
            </w:pPr>
            <w:r>
              <w:t xml:space="preserve">UI / logic / data</w:t>
            </w:r>
          </w:p>
        </w:tc>
        <w:tc>
          <w:tcPr/>
          <w:p>
            <w:pPr>
              <w:pStyle w:val="Compact"/>
              <w:jc w:val="left"/>
            </w:pPr>
            <w:r>
              <w:t xml:space="preserve">Small systems, one team</w:t>
            </w:r>
          </w:p>
        </w:tc>
        <w:tc>
          <w:tcPr/>
          <w:p>
            <w:pPr>
              <w:pStyle w:val="Compact"/>
              <w:jc w:val="left"/>
            </w:pPr>
            <w:r>
              <w:t xml:space="preserve">Every feature change touches every layer</w:t>
            </w:r>
          </w:p>
        </w:tc>
      </w:tr>
      <w:tr>
        <w:tc>
          <w:tcPr/>
          <w:p>
            <w:pPr>
              <w:pStyle w:val="Compact"/>
              <w:jc w:val="left"/>
            </w:pPr>
            <w:r>
              <w:t xml:space="preserve">By business capability</w:t>
            </w:r>
          </w:p>
        </w:tc>
        <w:tc>
          <w:tcPr/>
          <w:p>
            <w:pPr>
              <w:pStyle w:val="Compact"/>
              <w:jc w:val="left"/>
            </w:pPr>
            <w:r>
              <w:t xml:space="preserve">Orders, catalog, payments</w:t>
            </w:r>
          </w:p>
        </w:tc>
        <w:tc>
          <w:tcPr/>
          <w:p>
            <w:pPr>
              <w:pStyle w:val="Compact"/>
              <w:jc w:val="left"/>
            </w:pPr>
            <w:r>
              <w:t xml:space="preserve">Most product systems</w:t>
            </w:r>
          </w:p>
        </w:tc>
        <w:tc>
          <w:tcPr/>
          <w:p>
            <w:pPr>
              <w:pStyle w:val="Compact"/>
              <w:jc w:val="left"/>
            </w:pPr>
            <w:r>
              <w:t xml:space="preserve">Needs domain understanding up front</w:t>
            </w:r>
          </w:p>
        </w:tc>
      </w:tr>
      <w:tr>
        <w:tc>
          <w:tcPr/>
          <w:p>
            <w:pPr>
              <w:pStyle w:val="Compact"/>
              <w:jc w:val="left"/>
            </w:pPr>
            <w:r>
              <w:t xml:space="preserve">By volatility (Parnas)</w:t>
            </w:r>
          </w:p>
        </w:tc>
        <w:tc>
          <w:tcPr/>
          <w:p>
            <w:pPr>
              <w:pStyle w:val="Compact"/>
              <w:jc w:val="left"/>
            </w:pPr>
            <w:r>
              <w:t xml:space="preserve">Decisions likely to change</w:t>
            </w:r>
          </w:p>
        </w:tc>
        <w:tc>
          <w:tcPr/>
          <w:p>
            <w:pPr>
              <w:pStyle w:val="Compact"/>
              <w:jc w:val="left"/>
            </w:pPr>
            <w:r>
              <w:t xml:space="preserve">Long-lived systems</w:t>
            </w:r>
          </w:p>
        </w:tc>
        <w:tc>
          <w:tcPr/>
          <w:p>
            <w:pPr>
              <w:pStyle w:val="Compact"/>
              <w:jc w:val="left"/>
            </w:pPr>
            <w:r>
              <w:t xml:space="preserve">Requires predicting change</w:t>
            </w:r>
          </w:p>
        </w:tc>
      </w:tr>
      <w:tr>
        <w:tc>
          <w:tcPr/>
          <w:p>
            <w:pPr>
              <w:pStyle w:val="Compact"/>
              <w:jc w:val="left"/>
            </w:pPr>
            <w:r>
              <w:t xml:space="preserve">By load profile</w:t>
            </w:r>
          </w:p>
        </w:tc>
        <w:tc>
          <w:tcPr/>
          <w:p>
            <w:pPr>
              <w:pStyle w:val="Compact"/>
              <w:jc w:val="left"/>
            </w:pPr>
            <w:r>
              <w:t xml:space="preserve">Read-heavy vs write-heavy</w:t>
            </w:r>
          </w:p>
        </w:tc>
        <w:tc>
          <w:tcPr/>
          <w:p>
            <w:pPr>
              <w:pStyle w:val="Compact"/>
              <w:jc w:val="left"/>
            </w:pPr>
            <w:r>
              <w:t xml:space="preserve">Very uneven traffic</w:t>
            </w:r>
          </w:p>
        </w:tc>
        <w:tc>
          <w:tcPr/>
          <w:p>
            <w:pPr>
              <w:pStyle w:val="Compact"/>
              <w:jc w:val="left"/>
            </w:pPr>
            <w:r>
              <w:t xml:space="preserve">Can fragment one domain concept</w:t>
            </w:r>
          </w:p>
        </w:tc>
      </w:tr>
      <w:tr>
        <w:tc>
          <w:tcPr/>
          <w:p>
            <w:pPr>
              <w:pStyle w:val="Compact"/>
              <w:jc w:val="left"/>
            </w:pPr>
            <w:r>
              <w:t xml:space="preserve">By domain-driven bounded context</w:t>
            </w:r>
          </w:p>
        </w:tc>
        <w:tc>
          <w:tcPr/>
          <w:p>
            <w:pPr>
              <w:pStyle w:val="Compact"/>
              <w:jc w:val="left"/>
            </w:pPr>
            <w:r>
              <w:t xml:space="preserve">Consistent language and model</w:t>
            </w:r>
          </w:p>
        </w:tc>
        <w:tc>
          <w:tcPr/>
          <w:p>
            <w:pPr>
              <w:pStyle w:val="Compact"/>
              <w:jc w:val="left"/>
            </w:pPr>
            <w:r>
              <w:t xml:space="preserve">Large organizations</w:t>
            </w:r>
          </w:p>
        </w:tc>
        <w:tc>
          <w:tcPr/>
          <w:p>
            <w:pPr>
              <w:pStyle w:val="Compact"/>
              <w:jc w:val="left"/>
            </w:pPr>
            <w:r>
              <w:t xml:space="preserve">Heavy analysis cost (§34.4–34.5)</w:t>
            </w:r>
          </w:p>
        </w:tc>
      </w:tr>
    </w:tbl>
    <w:p>
      <w:pPr>
        <w:pStyle w:val="BodyText"/>
      </w:pPr>
      <w:r>
        <w:t xml:space="preserve">In practice you combine them. QuickBite splits by business capability first, then splits</w:t>
      </w:r>
      <w:r>
        <w:t xml:space="preserve"> </w:t>
      </w:r>
      <w:r>
        <w:rPr>
          <w:iCs/>
          <w:i/>
        </w:rPr>
        <w:t xml:space="preserve">location</w:t>
      </w:r>
      <w:r>
        <w:t xml:space="preserve"> </w:t>
      </w:r>
      <w:r>
        <w:t xml:space="preserve">out of</w:t>
      </w:r>
      <w:r>
        <w:t xml:space="preserve"> </w:t>
      </w:r>
      <w:r>
        <w:rPr>
          <w:iCs/>
          <w:i/>
        </w:rPr>
        <w:t xml:space="preserve">dispatch</w:t>
      </w:r>
      <w:r>
        <w:t xml:space="preserve"> </w:t>
      </w:r>
      <w:r>
        <w:t xml:space="preserve">because of its very different load profile.</w:t>
      </w:r>
    </w:p>
    <w:bookmarkEnd w:id="164"/>
    <w:bookmarkStart w:id="165" w:name="failure-scenarios-7"/>
    <w:p>
      <w:pPr>
        <w:pStyle w:val="Heading4"/>
      </w:pPr>
      <w:r>
        <w:t xml:space="preserve">Failure scenarios</w:t>
      </w:r>
    </w:p>
    <w:p>
      <w:pPr>
        <w:pStyle w:val="FirstParagraph"/>
      </w:pPr>
      <w:r>
        <w:rPr>
          <w:bCs/>
          <w:b/>
        </w:rPr>
        <w:t xml:space="preserve">Table 2.3 — Decomposition 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Distributed monolith</w:t>
            </w:r>
          </w:p>
        </w:tc>
        <w:tc>
          <w:tcPr/>
          <w:p>
            <w:pPr>
              <w:pStyle w:val="Compact"/>
              <w:jc w:val="left"/>
            </w:pPr>
            <w:r>
              <w:t xml:space="preserve">Services share a database or must deploy together</w:t>
            </w:r>
          </w:p>
        </w:tc>
        <w:tc>
          <w:tcPr/>
          <w:p>
            <w:pPr>
              <w:pStyle w:val="Compact"/>
              <w:jc w:val="left"/>
            </w:pPr>
            <w:r>
              <w:t xml:space="preserve">Every release touches many services; cross-service schema locks</w:t>
            </w:r>
          </w:p>
        </w:tc>
        <w:tc>
          <w:tcPr/>
          <w:p>
            <w:pPr>
              <w:pStyle w:val="Compact"/>
              <w:jc w:val="left"/>
            </w:pPr>
            <w:r>
              <w:t xml:space="preserve">Merge tightly coupled services</w:t>
            </w:r>
          </w:p>
        </w:tc>
        <w:tc>
          <w:tcPr/>
          <w:p>
            <w:pPr>
              <w:pStyle w:val="Compact"/>
              <w:jc w:val="left"/>
            </w:pPr>
            <w:r>
              <w:t xml:space="preserve">Enforce data ownership; review coupling</w:t>
            </w:r>
          </w:p>
        </w:tc>
      </w:tr>
      <w:tr>
        <w:tc>
          <w:tcPr/>
          <w:p>
            <w:pPr>
              <w:pStyle w:val="Compact"/>
              <w:jc w:val="left"/>
            </w:pPr>
            <w:r>
              <w:t xml:space="preserve">Chatty interfaces</w:t>
            </w:r>
          </w:p>
        </w:tc>
        <w:tc>
          <w:tcPr/>
          <w:p>
            <w:pPr>
              <w:pStyle w:val="Compact"/>
              <w:jc w:val="left"/>
            </w:pPr>
            <w:r>
              <w:t xml:space="preserve">Boundary cuts through a hot loop</w:t>
            </w:r>
          </w:p>
        </w:tc>
        <w:tc>
          <w:tcPr/>
          <w:p>
            <w:pPr>
              <w:pStyle w:val="Compact"/>
              <w:jc w:val="left"/>
            </w:pPr>
            <w:r>
              <w:t xml:space="preserve">One user request causes dozens of internal calls; high p99</w:t>
            </w:r>
          </w:p>
        </w:tc>
        <w:tc>
          <w:tcPr/>
          <w:p>
            <w:pPr>
              <w:pStyle w:val="Compact"/>
              <w:jc w:val="left"/>
            </w:pPr>
            <w:r>
              <w:t xml:space="preserve">Batch calls or move the boundary</w:t>
            </w:r>
          </w:p>
        </w:tc>
        <w:tc>
          <w:tcPr/>
          <w:p>
            <w:pPr>
              <w:pStyle w:val="Compact"/>
              <w:jc w:val="left"/>
            </w:pPr>
            <w:r>
              <w:t xml:space="preserve">Walk scenarios through the diagram before building</w:t>
            </w:r>
          </w:p>
        </w:tc>
      </w:tr>
      <w:tr>
        <w:tc>
          <w:tcPr/>
          <w:p>
            <w:pPr>
              <w:pStyle w:val="Compact"/>
              <w:jc w:val="left"/>
            </w:pPr>
            <w:r>
              <w:t xml:space="preserve">Orphan responsibility</w:t>
            </w:r>
          </w:p>
        </w:tc>
        <w:tc>
          <w:tcPr/>
          <w:p>
            <w:pPr>
              <w:pStyle w:val="Compact"/>
              <w:jc w:val="left"/>
            </w:pPr>
            <w:r>
              <w:t xml:space="preserve">No component owns a step, e.g. refunds</w:t>
            </w:r>
          </w:p>
        </w:tc>
        <w:tc>
          <w:tcPr/>
          <w:p>
            <w:pPr>
              <w:pStyle w:val="Compact"/>
              <w:jc w:val="left"/>
            </w:pPr>
            <w:r>
              <w:t xml:space="preserve">Bugs bounced between teams</w:t>
            </w:r>
          </w:p>
        </w:tc>
        <w:tc>
          <w:tcPr/>
          <w:p>
            <w:pPr>
              <w:pStyle w:val="Compact"/>
              <w:jc w:val="left"/>
            </w:pPr>
            <w:r>
              <w:t xml:space="preserve">Assign an owner explicitly</w:t>
            </w:r>
          </w:p>
        </w:tc>
        <w:tc>
          <w:tcPr/>
          <w:p>
            <w:pPr>
              <w:pStyle w:val="Compact"/>
              <w:jc w:val="left"/>
            </w:pPr>
            <w:r>
              <w:t xml:space="preserve">Step 7 of the procedure: one owner per step</w:t>
            </w:r>
          </w:p>
        </w:tc>
      </w:tr>
      <w:tr>
        <w:tc>
          <w:tcPr/>
          <w:p>
            <w:pPr>
              <w:pStyle w:val="Compact"/>
              <w:jc w:val="left"/>
            </w:pPr>
            <w:r>
              <w:t xml:space="preserve">Premature split</w:t>
            </w:r>
          </w:p>
        </w:tc>
        <w:tc>
          <w:tcPr/>
          <w:p>
            <w:pPr>
              <w:pStyle w:val="Compact"/>
              <w:jc w:val="left"/>
            </w:pPr>
            <w:r>
              <w:t xml:space="preserve">Boundaries drawn before the domain is understood</w:t>
            </w:r>
          </w:p>
        </w:tc>
        <w:tc>
          <w:tcPr/>
          <w:p>
            <w:pPr>
              <w:pStyle w:val="Compact"/>
              <w:jc w:val="left"/>
            </w:pPr>
            <w:r>
              <w:t xml:space="preserve">Frequent cross-boundary changes</w:t>
            </w:r>
          </w:p>
        </w:tc>
        <w:tc>
          <w:tcPr/>
          <w:p>
            <w:pPr>
              <w:pStyle w:val="Compact"/>
              <w:jc w:val="left"/>
            </w:pPr>
            <w:r>
              <w:t xml:space="preserve">Re-merge into a modular monolith</w:t>
            </w:r>
          </w:p>
        </w:tc>
        <w:tc>
          <w:tcPr/>
          <w:p>
            <w:pPr>
              <w:pStyle w:val="Compact"/>
              <w:jc w:val="left"/>
            </w:pPr>
            <w:r>
              <w:t xml:space="preserve">Start coarse; split when evidence appears</w:t>
            </w:r>
          </w:p>
        </w:tc>
      </w:tr>
    </w:tbl>
    <w:bookmarkEnd w:id="165"/>
    <w:bookmarkStart w:id="166" w:name="common-misconceptions-7"/>
    <w:p>
      <w:pPr>
        <w:pStyle w:val="Heading4"/>
      </w:pPr>
      <w:r>
        <w:t xml:space="preserve">Common misconceptions</w:t>
      </w:r>
    </w:p>
    <w:p>
      <w:pPr>
        <w:pStyle w:val="CalloutMistake"/>
      </w:pPr>
      <w:r>
        <w:rPr>
          <w:bCs/>
          <w:b/>
        </w:rPr>
        <w:t xml:space="preserve">COMMON MISTAKE</w:t>
      </w:r>
    </w:p>
    <w:p>
      <w:pPr>
        <w:pStyle w:val="CalloutMistake"/>
      </w:pPr>
      <w:r>
        <w:rPr>
          <w:bCs/>
          <w:b/>
        </w:rPr>
        <w:t xml:space="preserve">“</w:t>
      </w:r>
      <w:r>
        <w:rPr>
          <w:bCs/>
          <w:b/>
        </w:rPr>
        <w:t xml:space="preserve">More components means a better design.</w:t>
      </w:r>
      <w:r>
        <w:rPr>
          <w:bCs/>
          <w:b/>
        </w:rPr>
        <w:t xml:space="preserve">”</w:t>
      </w:r>
      <w:r>
        <w:t xml:space="preserve"> </w:t>
      </w:r>
      <w:r>
        <w:t xml:space="preserve">The number of boxes is not a quality measure. A good decomposition has</w:t>
      </w:r>
      <w:r>
        <w:t xml:space="preserve"> </w:t>
      </w:r>
      <w:r>
        <w:rPr>
          <w:iCs/>
          <w:i/>
        </w:rPr>
        <w:t xml:space="preserve">few, cohesive</w:t>
      </w:r>
      <w:r>
        <w:t xml:space="preserve"> </w:t>
      </w:r>
      <w:r>
        <w:t xml:space="preserve">components with</w:t>
      </w:r>
      <w:r>
        <w:t xml:space="preserve"> </w:t>
      </w:r>
      <w:r>
        <w:rPr>
          <w:iCs/>
          <w:i/>
        </w:rPr>
        <w:t xml:space="preserve">narrow</w:t>
      </w:r>
      <w:r>
        <w:t xml:space="preserve"> </w:t>
      </w:r>
      <w:r>
        <w:t xml:space="preserve">interfaces. A useful test: if two components change together in most pull requests, they are probably one component.</w:t>
      </w:r>
    </w:p>
    <w:p>
      <w:pPr>
        <w:pStyle w:val="CalloutMistake"/>
      </w:pPr>
      <w:r>
        <w:rPr>
          <w:bCs/>
          <w:b/>
        </w:rPr>
        <w:t xml:space="preserve">COMMON MISTAKE</w:t>
      </w:r>
    </w:p>
    <w:p>
      <w:pPr>
        <w:pStyle w:val="CalloutMistake"/>
      </w:pPr>
      <w:r>
        <w:rPr>
          <w:bCs/>
          <w:b/>
        </w:rPr>
        <w:t xml:space="preserve">“</w:t>
      </w:r>
      <w:r>
        <w:rPr>
          <w:bCs/>
          <w:b/>
        </w:rPr>
        <w:t xml:space="preserve">Decompose by technology.</w:t>
      </w:r>
      <w:r>
        <w:rPr>
          <w:bCs/>
          <w:b/>
        </w:rPr>
        <w:t xml:space="preserve">”</w:t>
      </w:r>
      <w:r>
        <w:t xml:space="preserve"> </w:t>
      </w:r>
      <w:r>
        <w:t xml:space="preserve">“</w:t>
      </w:r>
      <w:r>
        <w:t xml:space="preserve">The Redis service</w:t>
      </w:r>
      <w:r>
        <w:t xml:space="preserve">”</w:t>
      </w:r>
      <w:r>
        <w:t xml:space="preserve"> </w:t>
      </w:r>
      <w:r>
        <w:t xml:space="preserve">or</w:t>
      </w:r>
      <w:r>
        <w:t xml:space="preserve"> </w:t>
      </w:r>
      <w:r>
        <w:t xml:space="preserve">“</w:t>
      </w:r>
      <w:r>
        <w:t xml:space="preserve">the Kafka service</w:t>
      </w:r>
      <w:r>
        <w:t xml:space="preserve">”</w:t>
      </w:r>
      <w:r>
        <w:t xml:space="preserve"> </w:t>
      </w:r>
      <w:r>
        <w:t xml:space="preserve">are not responsibilities. Components are named after what they do for the business (</w:t>
      </w:r>
      <w:r>
        <w:t xml:space="preserve">“</w:t>
      </w:r>
      <w:r>
        <w:t xml:space="preserve">location service</w:t>
      </w:r>
      <w:r>
        <w:t xml:space="preserve">”</w:t>
      </w:r>
      <w:r>
        <w:t xml:space="preserve">). The technology they use is an internal detail that may change.</w:t>
      </w:r>
    </w:p>
    <w:bookmarkEnd w:id="166"/>
    <w:bookmarkEnd w:id="167"/>
    <w:bookmarkEnd w:id="168"/>
    <w:bookmarkStart w:id="179" w:name="system-boundaries-and-context-diagrams"/>
    <w:p>
      <w:pPr>
        <w:pStyle w:val="Heading2"/>
      </w:pPr>
      <w:r>
        <w:t xml:space="preserve">2.4 System boundaries and context diagrams</w:t>
      </w:r>
    </w:p>
    <w:bookmarkStart w:id="178" w:name="boundaries-and-the-context-diagram"/>
    <w:p>
      <w:pPr>
        <w:pStyle w:val="Heading3"/>
      </w:pPr>
      <w:r>
        <w:t xml:space="preserve">2.4.1 Boundaries and the context diagram</w:t>
      </w:r>
    </w:p>
    <w:p>
      <w:pPr>
        <w:pStyle w:val="CalloutDefinition"/>
      </w:pPr>
      <w:r>
        <w:rPr>
          <w:bCs/>
          <w:b/>
        </w:rPr>
        <w:t xml:space="preserve">DEFINITION</w:t>
      </w:r>
    </w:p>
    <w:p>
      <w:pPr>
        <w:pStyle w:val="CalloutDefinition"/>
      </w:pPr>
      <w:r>
        <w:rPr>
          <w:bCs/>
          <w:b/>
        </w:rPr>
        <w:t xml:space="preserve">Definition — System boundary.</w:t>
      </w:r>
      <w:r>
        <w:t xml:space="preserve"> </w:t>
      </w:r>
      <w:r>
        <w:t xml:space="preserve">The line that separates what you are designing and are responsible for from everything outside it: users, other teams’ systems and third-party services. You control what is inside. You can only</w:t>
      </w:r>
      <w:r>
        <w:t xml:space="preserve"> </w:t>
      </w:r>
      <w:r>
        <w:rPr>
          <w:iCs/>
          <w:i/>
        </w:rPr>
        <w:t xml:space="preserve">depend on</w:t>
      </w:r>
      <w:r>
        <w:t xml:space="preserve"> </w:t>
      </w:r>
      <w:r>
        <w:t xml:space="preserve">what is outside.</w:t>
      </w:r>
    </w:p>
    <w:p>
      <w:pPr>
        <w:pStyle w:val="CalloutDefinition"/>
      </w:pPr>
      <w:r>
        <w:rPr>
          <w:bCs/>
          <w:b/>
        </w:rPr>
        <w:t xml:space="preserve">DEFINITION</w:t>
      </w:r>
    </w:p>
    <w:p>
      <w:pPr>
        <w:pStyle w:val="CalloutDefinition"/>
      </w:pPr>
      <w:r>
        <w:rPr>
          <w:bCs/>
          <w:b/>
        </w:rPr>
        <w:t xml:space="preserve">Definition — Context diagram.</w:t>
      </w:r>
      <w:r>
        <w:t xml:space="preserve"> </w:t>
      </w:r>
      <w:r>
        <w:t xml:space="preserve">A diagram that shows the whole system as a single box, surrounded by the people (actors) and external systems that interact with it, with each interaction labeled. Context diagrams come from structured analysis [DeMarco 1979] and are Level 1 of the C4 model [Brown C4].</w:t>
      </w:r>
    </w:p>
    <w:bookmarkStart w:id="169" w:name="first-principles-explanation-10"/>
    <w:p>
      <w:pPr>
        <w:pStyle w:val="Heading4"/>
      </w:pPr>
      <w:r>
        <w:t xml:space="preserve">First-principles explanation</w:t>
      </w:r>
    </w:p>
    <w:p>
      <w:pPr>
        <w:pStyle w:val="FirstParagraph"/>
      </w:pPr>
      <w:r>
        <w:t xml:space="preserve">Before renovating a house, a builder walks the property line. Fences, the street, the neighbor’s tree and the water main are not part of the job, but every one of them constrains it. A context diagram is that walk around the property line. It answers three questions before any internal design starts:</w:t>
      </w:r>
      <w:r>
        <w:t xml:space="preserve"> </w:t>
      </w:r>
      <w:r>
        <w:rPr>
          <w:iCs/>
          <w:i/>
        </w:rPr>
        <w:t xml:space="preserve">who uses this?</w:t>
      </w:r>
      <w:r>
        <w:t xml:space="preserve">,</w:t>
      </w:r>
      <w:r>
        <w:t xml:space="preserve"> </w:t>
      </w:r>
      <w:r>
        <w:rPr>
          <w:iCs/>
          <w:i/>
        </w:rPr>
        <w:t xml:space="preserve">what does it depend on?</w:t>
      </w:r>
      <w:r>
        <w:t xml:space="preserve"> </w:t>
      </w:r>
      <w:r>
        <w:t xml:space="preserve">and</w:t>
      </w:r>
      <w:r>
        <w:t xml:space="preserve"> </w:t>
      </w:r>
      <w:r>
        <w:rPr>
          <w:iCs/>
          <w:i/>
        </w:rPr>
        <w:t xml:space="preserve">what is not our job?</w:t>
      </w:r>
    </w:p>
    <w:bookmarkEnd w:id="169"/>
    <w:bookmarkStart w:id="170" w:name="why-does-this-exist-8"/>
    <w:p>
      <w:pPr>
        <w:pStyle w:val="Heading4"/>
      </w:pPr>
      <w:r>
        <w:t xml:space="preserve">Why does this exist?</w:t>
      </w:r>
    </w:p>
    <w:p>
      <w:pPr>
        <w:pStyle w:val="FirstParagraph"/>
      </w:pPr>
      <w:r>
        <w:t xml:space="preserve">Many expensive design failures are scope failures, not technical ones. A team builds a payment system and finds out late that tax calculation was expected. Or it assumes an external maps API can take 10,000 requests per second when the contract allows 100. Drawing the boundary early brings these surprises to the surface while they are still cheap to fix. It also gives non-engineers, such as product managers, legal and finance, a diagram they can actually check.</w:t>
      </w:r>
    </w:p>
    <w:bookmarkEnd w:id="170"/>
    <w:bookmarkStart w:id="171" w:name="how-it-works-internally-9"/>
    <w:p>
      <w:pPr>
        <w:pStyle w:val="Heading4"/>
      </w:pPr>
      <w:r>
        <w:t xml:space="preserve">How it works internally</w:t>
      </w:r>
    </w:p>
    <w:p>
      <w:pPr>
        <w:numPr>
          <w:ilvl w:val="0"/>
          <w:numId w:val="1041"/>
        </w:numPr>
        <w:pStyle w:val="Compact"/>
      </w:pPr>
      <w:r>
        <w:t xml:space="preserve">Draw your system as one box. Resist the urge to draw its insides.</w:t>
      </w:r>
    </w:p>
    <w:p>
      <w:pPr>
        <w:numPr>
          <w:ilvl w:val="0"/>
          <w:numId w:val="1041"/>
        </w:numPr>
        <w:pStyle w:val="Compact"/>
      </w:pPr>
      <w:r>
        <w:t xml:space="preserve">Around it, place every</w:t>
      </w:r>
      <w:r>
        <w:t xml:space="preserve"> </w:t>
      </w:r>
      <w:r>
        <w:rPr>
          <w:bCs/>
          <w:b/>
        </w:rPr>
        <w:t xml:space="preserve">actor</w:t>
      </w:r>
      <w:r>
        <w:t xml:space="preserve"> </w:t>
      </w:r>
      <w:r>
        <w:t xml:space="preserve">(human role) and every</w:t>
      </w:r>
      <w:r>
        <w:t xml:space="preserve"> </w:t>
      </w:r>
      <w:r>
        <w:rPr>
          <w:bCs/>
          <w:b/>
        </w:rPr>
        <w:t xml:space="preserve">external system</w:t>
      </w:r>
      <w:r>
        <w:t xml:space="preserve">.</w:t>
      </w:r>
    </w:p>
    <w:p>
      <w:pPr>
        <w:numPr>
          <w:ilvl w:val="0"/>
          <w:numId w:val="1041"/>
        </w:numPr>
        <w:pStyle w:val="Compact"/>
      </w:pPr>
      <w:r>
        <w:t xml:space="preserve">Label each interaction with</w:t>
      </w:r>
      <w:r>
        <w:t xml:space="preserve"> </w:t>
      </w:r>
      <w:r>
        <w:rPr>
          <w:iCs/>
          <w:i/>
        </w:rPr>
        <w:t xml:space="preserve">what</w:t>
      </w:r>
      <w:r>
        <w:t xml:space="preserve"> </w:t>
      </w:r>
      <w:r>
        <w:t xml:space="preserve">flows (not</w:t>
      </w:r>
      <w:r>
        <w:t xml:space="preserve"> </w:t>
      </w:r>
      <w:r>
        <w:rPr>
          <w:iCs/>
          <w:i/>
        </w:rPr>
        <w:t xml:space="preserve">how</w:t>
      </w:r>
      <w:r>
        <w:t xml:space="preserve">):</w:t>
      </w:r>
      <w:r>
        <w:t xml:space="preserve"> </w:t>
      </w:r>
      <w:r>
        <w:t xml:space="preserve">“</w:t>
      </w:r>
      <w:r>
        <w:t xml:space="preserve">places orders</w:t>
      </w:r>
      <w:r>
        <w:t xml:space="preserve">”</w:t>
      </w:r>
      <w:r>
        <w:t xml:space="preserve">,</w:t>
      </w:r>
      <w:r>
        <w:t xml:space="preserve"> </w:t>
      </w:r>
      <w:r>
        <w:t xml:space="preserve">“</w:t>
      </w:r>
      <w:r>
        <w:t xml:space="preserve">sends card charge</w:t>
      </w:r>
      <w:r>
        <w:t xml:space="preserve">”</w:t>
      </w:r>
      <w:r>
        <w:t xml:space="preserve">.</w:t>
      </w:r>
    </w:p>
    <w:p>
      <w:pPr>
        <w:numPr>
          <w:ilvl w:val="0"/>
          <w:numId w:val="1041"/>
        </w:numPr>
        <w:pStyle w:val="Compact"/>
      </w:pPr>
      <w:r>
        <w:t xml:space="preserve">For every external system, note three facts: its</w:t>
      </w:r>
      <w:r>
        <w:t xml:space="preserve"> </w:t>
      </w:r>
      <w:r>
        <w:rPr>
          <w:bCs/>
          <w:b/>
        </w:rPr>
        <w:t xml:space="preserve">availability promise</w:t>
      </w:r>
      <w:r>
        <w:t xml:space="preserve"> </w:t>
      </w:r>
      <w:r>
        <w:t xml:space="preserve">(its SLA, see §39.6), its</w:t>
      </w:r>
      <w:r>
        <w:t xml:space="preserve"> </w:t>
      </w:r>
      <w:r>
        <w:rPr>
          <w:bCs/>
          <w:b/>
        </w:rPr>
        <w:t xml:space="preserve">rate limits</w:t>
      </w:r>
      <w:r>
        <w:t xml:space="preserve"> </w:t>
      </w:r>
      <w:r>
        <w:t xml:space="preserve">and its</w:t>
      </w:r>
      <w:r>
        <w:t xml:space="preserve"> </w:t>
      </w:r>
      <w:r>
        <w:rPr>
          <w:bCs/>
          <w:b/>
        </w:rPr>
        <w:t xml:space="preserve">latency</w:t>
      </w:r>
      <w:r>
        <w:t xml:space="preserve">. These numbers are inherited constraints you do not control.</w:t>
      </w:r>
    </w:p>
    <w:p>
      <w:pPr>
        <w:numPr>
          <w:ilvl w:val="0"/>
          <w:numId w:val="1041"/>
        </w:numPr>
        <w:pStyle w:val="Compact"/>
      </w:pPr>
      <w:r>
        <w:t xml:space="preserve">Write down what is explicitly</w:t>
      </w:r>
      <w:r>
        <w:t xml:space="preserve"> </w:t>
      </w:r>
      <w:r>
        <w:rPr>
          <w:bCs/>
          <w:b/>
        </w:rPr>
        <w:t xml:space="preserve">out of scope</w:t>
      </w:r>
      <w:r>
        <w:t xml:space="preserve">.</w:t>
      </w:r>
    </w:p>
    <w:bookmarkEnd w:id="171"/>
    <w:bookmarkStart w:id="175" w:name="architecture-diagram-4"/>
    <w:p>
      <w:pPr>
        <w:pStyle w:val="Heading4"/>
      </w:pPr>
      <w:r>
        <w:t xml:space="preserve">Architecture diagram</w:t>
      </w:r>
    </w:p>
    <w:p>
      <w:pPr>
        <w:pStyle w:val="FirstParagraph"/>
      </w:pPr>
      <w:r>
        <w:rPr>
          <w:bCs/>
          <w:b/>
        </w:rPr>
        <w:t xml:space="preserve">Figure 2.3 — QuickBite system-context diagram.</w:t>
      </w:r>
    </w:p>
    <w:p>
      <w:pPr>
        <w:pStyle w:val="BodyText"/>
      </w:pPr>
      <w:r>
        <w:drawing>
          <wp:inline>
            <wp:extent cx="5334000" cy="2116057"/>
            <wp:effectExtent b="0" l="0" r="0" t="0"/>
            <wp:docPr descr="" title="" id="173" name="Picture"/>
            <a:graphic>
              <a:graphicData uri="http://schemas.openxmlformats.org/drawingml/2006/picture">
                <pic:pic>
                  <pic:nvPicPr>
                    <pic:cNvPr descr="/home/user/System-Design/build/.cache/diagrams/05a1985ef709.png" id="174" name="Picture"/>
                    <pic:cNvPicPr>
                      <a:picLocks noChangeArrowheads="1" noChangeAspect="1"/>
                    </pic:cNvPicPr>
                  </pic:nvPicPr>
                  <pic:blipFill>
                    <a:blip r:embed="rId172"/>
                    <a:stretch>
                      <a:fillRect/>
                    </a:stretch>
                  </pic:blipFill>
                  <pic:spPr bwMode="auto">
                    <a:xfrm>
                      <a:off x="0" y="0"/>
                      <a:ext cx="5334000" cy="2116057"/>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single rectangle is the whole QuickBite platform, deliberately shown with no internal detail. Four human actors (stadiums) interact with it. Note the</w:t>
      </w:r>
      <w:r>
        <w:t xml:space="preserve"> </w:t>
      </w:r>
      <w:r>
        <w:rPr>
          <w:bCs/>
          <w:b/>
        </w:rPr>
        <w:t xml:space="preserve">support agent</w:t>
      </w:r>
      <w:r>
        <w:t xml:space="preserve">, an actor often forgotten in first drafts, who needs refund and investigation tools. Five external systems (hexagons) sit outside the boundary. Solid arrows are synchronous, user-facing interactions. A customer waits while a card charge happens, so the payment provider’s latency and availability become part of QuickBite’s own checkout latency and availability. Dotted arrows are asynchronous batch flows. Payouts to restaurants and data exports run nightly and can be retried without users noticing. Each hexagon is a failure point outside your control. The maps provider is especially dangerous because both search (delivery-time estimates) and dispatch depend on it. Hexagons also bring rate limits and per-call costs, so scaling QuickBite may be limited by</w:t>
      </w:r>
      <w:r>
        <w:t xml:space="preserve"> </w:t>
      </w:r>
      <w:r>
        <w:rPr>
          <w:iCs/>
          <w:i/>
        </w:rPr>
        <w:t xml:space="preserve">contracts</w:t>
      </w:r>
      <w:r>
        <w:t xml:space="preserve"> </w:t>
      </w:r>
      <w:r>
        <w:t xml:space="preserve">rather than by servers.</w:t>
      </w:r>
    </w:p>
    <w:p>
      <w:pPr>
        <w:pStyle w:val="CalloutExample"/>
      </w:pPr>
      <w:r>
        <w:rPr>
          <w:bCs/>
          <w:b/>
        </w:rPr>
        <w:t xml:space="preserve">WORKED EXAMPLE</w:t>
      </w:r>
    </w:p>
    <w:p>
      <w:pPr>
        <w:pStyle w:val="CalloutExample"/>
      </w:pPr>
      <w:r>
        <w:rPr>
          <w:bCs/>
          <w:b/>
        </w:rPr>
        <w:t xml:space="preserve">Worked example — Inherited constraints from the boundary.</w:t>
      </w:r>
      <w:r>
        <w:t xml:space="preserve"> </w:t>
      </w:r>
      <w:r>
        <w:t xml:space="preserve">Suppose the maps provider’s contract allows 500 requests per second and charges $0.005 per route-time request. (These figures are assumptions for QuickBite, not any real provider’s price list.)</w:t>
      </w:r>
    </w:p>
    <w:p>
      <w:pPr>
        <w:numPr>
          <w:ilvl w:val="0"/>
          <w:numId w:val="1042"/>
        </w:numPr>
        <w:pStyle w:val="Compact"/>
      </w:pPr>
      <w:r>
        <w:t xml:space="preserve">If every restaurant listing in search results needs a live route-time estimate, and search peaks at 2,000 requests per second showing 20 restaurants each, QuickBite would need 2,000 × 20 = 40,000 route requests per second.</w:t>
      </w:r>
    </w:p>
    <w:p>
      <w:pPr>
        <w:numPr>
          <w:ilvl w:val="0"/>
          <w:numId w:val="1042"/>
        </w:numPr>
        <w:pStyle w:val="Compact"/>
      </w:pPr>
      <w:r>
        <w:t xml:space="preserve">That is 40,000 / 500 = 80 times the contract limit.</w:t>
      </w:r>
    </w:p>
    <w:p>
      <w:pPr>
        <w:numPr>
          <w:ilvl w:val="0"/>
          <w:numId w:val="1042"/>
        </w:numPr>
        <w:pStyle w:val="Compact"/>
      </w:pPr>
      <w:r>
        <w:t xml:space="preserve">Cost at that rate for one peak hour: 40,000 × 3,600 × $0.005 = $720,000.</w:t>
      </w:r>
    </w:p>
    <w:p>
      <w:pPr>
        <w:pStyle w:val="CalloutExample"/>
      </w:pPr>
      <w:r>
        <w:rPr>
          <w:bCs/>
          <w:b/>
        </w:rPr>
        <w:t xml:space="preserve">Interpretation.</w:t>
      </w:r>
      <w:r>
        <w:t xml:space="preserve"> </w:t>
      </w:r>
      <w:r>
        <w:t xml:space="preserve">Calling the maps provider per listing is impossible, regardless of how good the internal architecture is.</w:t>
      </w:r>
      <w:r>
        <w:t xml:space="preserve"> </w:t>
      </w:r>
      <w:r>
        <w:rPr>
          <w:bCs/>
          <w:b/>
        </w:rPr>
        <w:t xml:space="preserve">Engineering implication:</w:t>
      </w:r>
      <w:r>
        <w:t xml:space="preserve"> </w:t>
      </w:r>
      <w:r>
        <w:t xml:space="preserve">estimate delivery times internally, for example from precomputed travel-time grids per city zone, and call the provider only once per</w:t>
      </w:r>
      <w:r>
        <w:t xml:space="preserve"> </w:t>
      </w:r>
      <w:r>
        <w:rPr>
          <w:iCs/>
          <w:i/>
        </w:rPr>
        <w:t xml:space="preserve">placed order</w:t>
      </w:r>
      <w:r>
        <w:t xml:space="preserve">. The boundary diagram exposed this constraint before any code was written.</w:t>
      </w:r>
    </w:p>
    <w:bookmarkEnd w:id="175"/>
    <w:bookmarkStart w:id="176" w:name="real-world-industry-applications-7"/>
    <w:p>
      <w:pPr>
        <w:pStyle w:val="Heading4"/>
      </w:pPr>
      <w:r>
        <w:t xml:space="preserve">Real-world industry applications</w:t>
      </w:r>
    </w:p>
    <w:p>
      <w:pPr>
        <w:pStyle w:val="CalloutIndustry"/>
      </w:pPr>
      <w:r>
        <w:rPr>
          <w:bCs/>
          <w:b/>
        </w:rPr>
        <w:t xml:space="preserve">INDUSTRY EXAMPLE</w:t>
      </w:r>
    </w:p>
    <w:p>
      <w:pPr>
        <w:pStyle w:val="CalloutIndustry"/>
      </w:pPr>
      <w:r>
        <w:rPr>
          <w:bCs/>
          <w:b/>
        </w:rPr>
        <w:t xml:space="preserve">C4 system-context diagrams.</w:t>
      </w:r>
      <w:r>
        <w:t xml:space="preserve"> </w:t>
      </w:r>
      <w:r>
        <w:t xml:space="preserve">Simon Brown’s C4 model makes the system-context diagram its first and most abstract level. It recommends showing the software system as one box with its users and the other software systems it depends on, and states that the diagram should be understandable by non-technical stakeholders.</w:t>
      </w:r>
      <w:r>
        <w:t xml:space="preserve"> </w:t>
      </w:r>
      <w:r>
        <w:rPr>
          <w:iCs/>
          <w:i/>
        </w:rPr>
        <w:t xml:space="preserve">Evidence: Primary</w:t>
      </w:r>
      <w:r>
        <w:t xml:space="preserve"> </w:t>
      </w:r>
      <w:r>
        <w:t xml:space="preserve">— [Brown C4]</w:t>
      </w:r>
    </w:p>
    <w:bookmarkEnd w:id="176"/>
    <w:bookmarkStart w:id="177" w:name="failure-scenarios-and-misconceptions"/>
    <w:p>
      <w:pPr>
        <w:pStyle w:val="Heading4"/>
      </w:pPr>
      <w:r>
        <w:t xml:space="preserve">Failure scenarios and misconceptions</w:t>
      </w:r>
    </w:p>
    <w:p>
      <w:pPr>
        <w:pStyle w:val="FirstParagraph"/>
      </w:pPr>
      <w:r>
        <w:rPr>
          <w:bCs/>
          <w:b/>
        </w:rPr>
        <w:t xml:space="preserve">Table 2.4 — Boundary 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Hidden dependency outage</w:t>
            </w:r>
          </w:p>
        </w:tc>
        <w:tc>
          <w:tcPr/>
          <w:p>
            <w:pPr>
              <w:pStyle w:val="Compact"/>
              <w:jc w:val="left"/>
            </w:pPr>
            <w:r>
              <w:t xml:space="preserve">An external system was never listed</w:t>
            </w:r>
          </w:p>
        </w:tc>
        <w:tc>
          <w:tcPr/>
          <w:p>
            <w:pPr>
              <w:pStyle w:val="Compact"/>
              <w:jc w:val="left"/>
            </w:pPr>
            <w:r>
              <w:t xml:space="preserve">Incident traced to an unlisted vendor</w:t>
            </w:r>
          </w:p>
        </w:tc>
        <w:tc>
          <w:tcPr/>
          <w:p>
            <w:pPr>
              <w:pStyle w:val="Compact"/>
              <w:jc w:val="left"/>
            </w:pPr>
            <w:r>
              <w:t xml:space="preserve">Add fallback; add it to the diagram</w:t>
            </w:r>
          </w:p>
        </w:tc>
        <w:tc>
          <w:tcPr/>
          <w:p>
            <w:pPr>
              <w:pStyle w:val="Compact"/>
              <w:jc w:val="left"/>
            </w:pPr>
            <w:r>
              <w:t xml:space="preserve">Inventory every outbound call</w:t>
            </w:r>
          </w:p>
        </w:tc>
      </w:tr>
      <w:tr>
        <w:tc>
          <w:tcPr/>
          <w:p>
            <w:pPr>
              <w:pStyle w:val="Compact"/>
              <w:jc w:val="left"/>
            </w:pPr>
            <w:r>
              <w:t xml:space="preserve">Rate-limit wall</w:t>
            </w:r>
          </w:p>
        </w:tc>
        <w:tc>
          <w:tcPr/>
          <w:p>
            <w:pPr>
              <w:pStyle w:val="Compact"/>
              <w:jc w:val="left"/>
            </w:pPr>
            <w:r>
              <w:t xml:space="preserve">Vendor limits not read</w:t>
            </w:r>
          </w:p>
        </w:tc>
        <w:tc>
          <w:tcPr/>
          <w:p>
            <w:pPr>
              <w:pStyle w:val="Compact"/>
              <w:jc w:val="left"/>
            </w:pPr>
            <w:r>
              <w:t xml:space="preserve">HTTP 429 errors at peak</w:t>
            </w:r>
          </w:p>
        </w:tc>
        <w:tc>
          <w:tcPr/>
          <w:p>
            <w:pPr>
              <w:pStyle w:val="Compact"/>
              <w:jc w:val="left"/>
            </w:pPr>
            <w:r>
              <w:t xml:space="preserve">Cache, batch, negotiate a higher tier</w:t>
            </w:r>
          </w:p>
        </w:tc>
        <w:tc>
          <w:tcPr/>
          <w:p>
            <w:pPr>
              <w:pStyle w:val="Compact"/>
              <w:jc w:val="left"/>
            </w:pPr>
            <w:r>
              <w:t xml:space="preserve">Step 4: record limits per external system</w:t>
            </w:r>
          </w:p>
        </w:tc>
      </w:tr>
      <w:tr>
        <w:tc>
          <w:tcPr/>
          <w:p>
            <w:pPr>
              <w:pStyle w:val="Compact"/>
              <w:jc w:val="left"/>
            </w:pPr>
            <w:r>
              <w:t xml:space="preserve">Scope creep</w:t>
            </w:r>
          </w:p>
        </w:tc>
        <w:tc>
          <w:tcPr/>
          <w:p>
            <w:pPr>
              <w:pStyle w:val="Compact"/>
              <w:jc w:val="left"/>
            </w:pPr>
            <w:r>
              <w:t xml:space="preserve">Boundary never agreed</w:t>
            </w:r>
          </w:p>
        </w:tc>
        <w:tc>
          <w:tcPr/>
          <w:p>
            <w:pPr>
              <w:pStyle w:val="Compact"/>
              <w:jc w:val="left"/>
            </w:pPr>
            <w:r>
              <w:t xml:space="preserve">Late</w:t>
            </w:r>
            <w:r>
              <w:t xml:space="preserve"> </w:t>
            </w:r>
            <w:r>
              <w:t xml:space="preserve">“</w:t>
            </w:r>
            <w:r>
              <w:t xml:space="preserve">but we assumed you’d do X</w:t>
            </w:r>
            <w:r>
              <w:t xml:space="preserve">”</w:t>
            </w:r>
          </w:p>
        </w:tc>
        <w:tc>
          <w:tcPr/>
          <w:p>
            <w:pPr>
              <w:pStyle w:val="Compact"/>
              <w:jc w:val="left"/>
            </w:pPr>
            <w:r>
              <w:t xml:space="preserve">Re-plan</w:t>
            </w:r>
          </w:p>
        </w:tc>
        <w:tc>
          <w:tcPr/>
          <w:p>
            <w:pPr>
              <w:pStyle w:val="Compact"/>
              <w:jc w:val="left"/>
            </w:pPr>
            <w:r>
              <w:t xml:space="preserve">Explicit out-of-scope list signed off</w:t>
            </w:r>
          </w:p>
        </w:tc>
      </w:tr>
    </w:tbl>
    <w:p>
      <w:pPr>
        <w:pStyle w:val="CalloutMistake"/>
      </w:pPr>
      <w:r>
        <w:rPr>
          <w:bCs/>
          <w:b/>
        </w:rPr>
        <w:t xml:space="preserve">COMMON MISTAKE</w:t>
      </w:r>
    </w:p>
    <w:p>
      <w:pPr>
        <w:pStyle w:val="CalloutMistake"/>
      </w:pPr>
      <w:r>
        <w:rPr>
          <w:bCs/>
          <w:b/>
        </w:rPr>
        <w:t xml:space="preserve">“</w:t>
      </w:r>
      <w:r>
        <w:rPr>
          <w:bCs/>
          <w:b/>
        </w:rPr>
        <w:t xml:space="preserve">External systems are always available.</w:t>
      </w:r>
      <w:r>
        <w:rPr>
          <w:bCs/>
          <w:b/>
        </w:rPr>
        <w:t xml:space="preserve">”</w:t>
      </w:r>
      <w:r>
        <w:t xml:space="preserve"> </w:t>
      </w:r>
      <w:r>
        <w:t xml:space="preserve">A third-party SaaS API typically promises somewhere between 99.9% and 99.99% availability, as of 2026. At 99.9% that is up to about 43 minutes of downtime per 30-day month. Your design must decide what QuickBite does during those minutes (§2.9).</w:t>
      </w:r>
    </w:p>
    <w:bookmarkEnd w:id="177"/>
    <w:bookmarkEnd w:id="178"/>
    <w:bookmarkEnd w:id="179"/>
    <w:bookmarkStart w:id="189" w:name="X6ce12f5fc1a7f8eddb221d6f1ffe940d89e19ff"/>
    <w:p>
      <w:pPr>
        <w:pStyle w:val="Heading2"/>
      </w:pPr>
      <w:r>
        <w:t xml:space="preserve">2.5 Understanding and negotiating requirements</w:t>
      </w:r>
    </w:p>
    <w:bookmarkStart w:id="188" w:name="eliciting-and-negotiating-requirements"/>
    <w:p>
      <w:pPr>
        <w:pStyle w:val="Heading3"/>
      </w:pPr>
      <w:r>
        <w:t xml:space="preserve">2.5.1 Eliciting and negotiating requirements</w:t>
      </w:r>
    </w:p>
    <w:p>
      <w:pPr>
        <w:pStyle w:val="CalloutDefinition"/>
      </w:pPr>
      <w:r>
        <w:rPr>
          <w:bCs/>
          <w:b/>
        </w:rPr>
        <w:t xml:space="preserve">DEFINITION</w:t>
      </w:r>
    </w:p>
    <w:p>
      <w:pPr>
        <w:pStyle w:val="CalloutDefinition"/>
      </w:pPr>
      <w:r>
        <w:rPr>
          <w:bCs/>
          <w:b/>
        </w:rPr>
        <w:t xml:space="preserve">Definition — Requirement.</w:t>
      </w:r>
      <w:r>
        <w:t xml:space="preserve"> </w:t>
      </w:r>
      <w:r>
        <w:t xml:space="preserve">A statement of what the system must do (a</w:t>
      </w:r>
      <w:r>
        <w:t xml:space="preserve"> </w:t>
      </w:r>
      <w:r>
        <w:rPr>
          <w:bCs/>
          <w:b/>
        </w:rPr>
        <w:t xml:space="preserve">functional requirement</w:t>
      </w:r>
      <w:r>
        <w:t xml:space="preserve">, e.g. </w:t>
      </w:r>
      <w:r>
        <w:t xml:space="preserve">“</w:t>
      </w:r>
      <w:r>
        <w:t xml:space="preserve">a customer can cancel an order before the restaurant accepts it</w:t>
      </w:r>
      <w:r>
        <w:t xml:space="preserve">”</w:t>
      </w:r>
      <w:r>
        <w:t xml:space="preserve">) or how well it must do it (a</w:t>
      </w:r>
      <w:r>
        <w:t xml:space="preserve"> </w:t>
      </w:r>
      <w:r>
        <w:rPr>
          <w:bCs/>
          <w:b/>
        </w:rPr>
        <w:t xml:space="preserve">non-functional requirement</w:t>
      </w:r>
      <w:r>
        <w:t xml:space="preserve">, e.g. </w:t>
      </w:r>
      <w:r>
        <w:t xml:space="preserve">“</w:t>
      </w:r>
      <w:r>
        <w:t xml:space="preserve">99% of order placements complete within 800 ms</w:t>
      </w:r>
      <w:r>
        <w:t xml:space="preserve">”</w:t>
      </w:r>
      <w:r>
        <w:t xml:space="preserve">). A requirement is</w:t>
      </w:r>
      <w:r>
        <w:t xml:space="preserve"> </w:t>
      </w:r>
      <w:r>
        <w:rPr>
          <w:bCs/>
          <w:b/>
        </w:rPr>
        <w:t xml:space="preserve">testable</w:t>
      </w:r>
      <w:r>
        <w:t xml:space="preserve"> </w:t>
      </w:r>
      <w:r>
        <w:t xml:space="preserve">if you could write an automated check or a measurement that proves it is met.</w:t>
      </w:r>
    </w:p>
    <w:bookmarkStart w:id="180" w:name="first-principles-explanation-11"/>
    <w:p>
      <w:pPr>
        <w:pStyle w:val="Heading4"/>
      </w:pPr>
      <w:r>
        <w:t xml:space="preserve">First-principles explanation</w:t>
      </w:r>
    </w:p>
    <w:p>
      <w:pPr>
        <w:pStyle w:val="FirstParagraph"/>
      </w:pPr>
      <w:r>
        <w:t xml:space="preserve">A customer asks a tailor for</w:t>
      </w:r>
      <w:r>
        <w:t xml:space="preserve"> </w:t>
      </w:r>
      <w:r>
        <w:t xml:space="preserve">“</w:t>
      </w:r>
      <w:r>
        <w:t xml:space="preserve">a nice suit.</w:t>
      </w:r>
      <w:r>
        <w:t xml:space="preserve">”</w:t>
      </w:r>
      <w:r>
        <w:t xml:space="preserve"> </w:t>
      </w:r>
      <w:r>
        <w:t xml:space="preserve">A bad tailor starts cutting. A good tailor asks: for what occasion? Which climate? What budget? Ready by when? The good tailor is not being difficult.</w:t>
      </w:r>
      <w:r>
        <w:t xml:space="preserve"> </w:t>
      </w:r>
      <w:r>
        <w:t xml:space="preserve">“</w:t>
      </w:r>
      <w:r>
        <w:t xml:space="preserve">Nice</w:t>
      </w:r>
      <w:r>
        <w:t xml:space="preserve">”</w:t>
      </w:r>
      <w:r>
        <w:t xml:space="preserve"> </w:t>
      </w:r>
      <w:r>
        <w:t xml:space="preserve">can mean a hundred different suits, and only one of them is what the customer actually wants. Requirements gathering is the tailor’s questions.</w:t>
      </w:r>
      <w:r>
        <w:t xml:space="preserve"> </w:t>
      </w:r>
      <w:r>
        <w:rPr>
          <w:bCs/>
          <w:b/>
        </w:rPr>
        <w:t xml:space="preserve">Negotiation</w:t>
      </w:r>
      <w:r>
        <w:t xml:space="preserve"> </w:t>
      </w:r>
      <w:r>
        <w:t xml:space="preserve">is the conversation that follows:</w:t>
      </w:r>
      <w:r>
        <w:t xml:space="preserve"> </w:t>
      </w:r>
      <w:r>
        <w:t xml:space="preserve">“</w:t>
      </w:r>
      <w:r>
        <w:t xml:space="preserve">a hand-stitched suit by Friday for that budget is not possible, but a made-to-measure one is.</w:t>
      </w:r>
      <w:r>
        <w:t xml:space="preserve">”</w:t>
      </w:r>
    </w:p>
    <w:bookmarkEnd w:id="180"/>
    <w:bookmarkStart w:id="181" w:name="why-does-this-exist-9"/>
    <w:p>
      <w:pPr>
        <w:pStyle w:val="Heading4"/>
      </w:pPr>
      <w:r>
        <w:t xml:space="preserve">Why does this exist?</w:t>
      </w:r>
    </w:p>
    <w:p>
      <w:pPr>
        <w:pStyle w:val="FirstParagraph"/>
      </w:pPr>
      <w:r>
        <w:t xml:space="preserve">Vague requirements cause two opposite failures.</w:t>
      </w:r>
      <w:r>
        <w:t xml:space="preserve"> </w:t>
      </w:r>
      <w:r>
        <w:rPr>
          <w:bCs/>
          <w:b/>
        </w:rPr>
        <w:t xml:space="preserve">Under-engineering</w:t>
      </w:r>
      <w:r>
        <w:t xml:space="preserve"> </w:t>
      </w:r>
      <w:r>
        <w:t xml:space="preserve">builds a system that falls over on launch day because nobody asked how many users would arrive.</w:t>
      </w:r>
      <w:r>
        <w:t xml:space="preserve"> </w:t>
      </w:r>
      <w:r>
        <w:rPr>
          <w:bCs/>
          <w:b/>
        </w:rPr>
        <w:t xml:space="preserve">Over-engineering</w:t>
      </w:r>
      <w:r>
        <w:t xml:space="preserve"> </w:t>
      </w:r>
      <w:r>
        <w:t xml:space="preserve">spends six months building multi-region active–active replication for a product with 200 users, because someone said</w:t>
      </w:r>
      <w:r>
        <w:t xml:space="preserve"> </w:t>
      </w:r>
      <w:r>
        <w:t xml:space="preserve">“</w:t>
      </w:r>
      <w:r>
        <w:t xml:space="preserve">it must never go down.</w:t>
      </w:r>
      <w:r>
        <w:t xml:space="preserve">”</w:t>
      </w:r>
      <w:r>
        <w:t xml:space="preserve"> </w:t>
      </w:r>
      <w:r>
        <w:t xml:space="preserve">Both come from the same root cause: a requirement nobody turned into a number.</w:t>
      </w:r>
    </w:p>
    <w:p>
      <w:pPr>
        <w:pStyle w:val="BodyText"/>
      </w:pPr>
      <w:r>
        <w:t xml:space="preserve">Requirements also conflict.</w:t>
      </w:r>
      <w:r>
        <w:t xml:space="preserve"> </w:t>
      </w:r>
      <w:r>
        <w:t xml:space="preserve">“</w:t>
      </w:r>
      <w:r>
        <w:t xml:space="preserve">Show the courier’s exact position in real time</w:t>
      </w:r>
      <w:r>
        <w:t xml:space="preserve">”</w:t>
      </w:r>
      <w:r>
        <w:t xml:space="preserve"> </w:t>
      </w:r>
      <w:r>
        <w:t xml:space="preserve">pushes against</w:t>
      </w:r>
      <w:r>
        <w:t xml:space="preserve"> </w:t>
      </w:r>
      <w:r>
        <w:t xml:space="preserve">“</w:t>
      </w:r>
      <w:r>
        <w:t xml:space="preserve">keep infrastructure costs under budget</w:t>
      </w:r>
      <w:r>
        <w:t xml:space="preserve">”</w:t>
      </w:r>
      <w:r>
        <w:t xml:space="preserve"> </w:t>
      </w:r>
      <w:r>
        <w:t xml:space="preserve">and</w:t>
      </w:r>
      <w:r>
        <w:t xml:space="preserve"> </w:t>
      </w:r>
      <w:r>
        <w:t xml:space="preserve">“</w:t>
      </w:r>
      <w:r>
        <w:t xml:space="preserve">protect courier privacy.</w:t>
      </w:r>
      <w:r>
        <w:t xml:space="preserve">”</w:t>
      </w:r>
      <w:r>
        <w:t xml:space="preserve"> </w:t>
      </w:r>
      <w:r>
        <w:t xml:space="preserve">Someone has to decide how those conflicts are resolved, and the designer’s job is to make that decision</w:t>
      </w:r>
      <w:r>
        <w:t xml:space="preserve"> </w:t>
      </w:r>
      <w:r>
        <w:rPr>
          <w:iCs/>
          <w:i/>
        </w:rPr>
        <w:t xml:space="preserve">visible and deliberate</w:t>
      </w:r>
      <w:r>
        <w:t xml:space="preserve">.</w:t>
      </w:r>
    </w:p>
    <w:bookmarkEnd w:id="181"/>
    <w:bookmarkStart w:id="182" w:name="how-it-works-internally-10"/>
    <w:p>
      <w:pPr>
        <w:pStyle w:val="Heading4"/>
      </w:pPr>
      <w:r>
        <w:t xml:space="preserve">How it works internally</w:t>
      </w:r>
    </w:p>
    <w:p>
      <w:pPr>
        <w:pStyle w:val="FirstParagraph"/>
      </w:pPr>
      <w:r>
        <w:t xml:space="preserve">A reliable elicitation and negotiation procedure:</w:t>
      </w:r>
    </w:p>
    <w:p>
      <w:pPr>
        <w:numPr>
          <w:ilvl w:val="0"/>
          <w:numId w:val="1043"/>
        </w:numPr>
        <w:pStyle w:val="Compact"/>
      </w:pPr>
      <w:r>
        <w:rPr>
          <w:bCs/>
          <w:b/>
        </w:rPr>
        <w:t xml:space="preserve">Identify users and their top journeys.</w:t>
      </w:r>
      <w:r>
        <w:t xml:space="preserve"> </w:t>
      </w:r>
      <w:r>
        <w:t xml:space="preserve">For QuickBite:</w:t>
      </w:r>
      <w:r>
        <w:t xml:space="preserve"> </w:t>
      </w:r>
      <w:r>
        <w:rPr>
          <w:iCs/>
          <w:i/>
        </w:rPr>
        <w:t xml:space="preserve">browse and order</w:t>
      </w:r>
      <w:r>
        <w:t xml:space="preserve">,</w:t>
      </w:r>
      <w:r>
        <w:t xml:space="preserve"> </w:t>
      </w:r>
      <w:r>
        <w:rPr>
          <w:iCs/>
          <w:i/>
        </w:rPr>
        <w:t xml:space="preserve">track delivery</w:t>
      </w:r>
      <w:r>
        <w:t xml:space="preserve">,</w:t>
      </w:r>
      <w:r>
        <w:t xml:space="preserve"> </w:t>
      </w:r>
      <w:r>
        <w:rPr>
          <w:iCs/>
          <w:i/>
        </w:rPr>
        <w:t xml:space="preserve">restaurant accepts and prepares</w:t>
      </w:r>
      <w:r>
        <w:t xml:space="preserve">,</w:t>
      </w:r>
      <w:r>
        <w:t xml:space="preserve"> </w:t>
      </w:r>
      <w:r>
        <w:rPr>
          <w:iCs/>
          <w:i/>
        </w:rPr>
        <w:t xml:space="preserve">courier delivers</w:t>
      </w:r>
      <w:r>
        <w:t xml:space="preserve">.</w:t>
      </w:r>
    </w:p>
    <w:p>
      <w:pPr>
        <w:numPr>
          <w:ilvl w:val="0"/>
          <w:numId w:val="1043"/>
        </w:numPr>
        <w:pStyle w:val="Compact"/>
      </w:pPr>
      <w:r>
        <w:rPr>
          <w:bCs/>
          <w:b/>
        </w:rPr>
        <w:t xml:space="preserve">Write functional requirements as user-observable behaviors</w:t>
      </w:r>
      <w:r>
        <w:t xml:space="preserve">, and rank them with</w:t>
      </w:r>
      <w:r>
        <w:t xml:space="preserve"> </w:t>
      </w:r>
      <w:r>
        <w:rPr>
          <w:bCs/>
          <w:b/>
        </w:rPr>
        <w:t xml:space="preserve">MoSCoW</w:t>
      </w:r>
      <w:r>
        <w:t xml:space="preserve"> </w:t>
      </w:r>
      <w:r>
        <w:t xml:space="preserve">priorities: Must, Should, Could, Won’t (this time).</w:t>
      </w:r>
    </w:p>
    <w:p>
      <w:pPr>
        <w:numPr>
          <w:ilvl w:val="0"/>
          <w:numId w:val="1043"/>
        </w:numPr>
        <w:pStyle w:val="Compact"/>
      </w:pPr>
      <w:r>
        <w:rPr>
          <w:bCs/>
          <w:b/>
        </w:rPr>
        <w:t xml:space="preserve">For each journey, ask the</w:t>
      </w:r>
      <w:r>
        <w:rPr>
          <w:bCs/>
          <w:b/>
        </w:rPr>
        <w:t xml:space="preserve"> </w:t>
      </w:r>
      <w:r>
        <w:rPr>
          <w:bCs/>
          <w:b/>
        </w:rPr>
        <w:t xml:space="preserve">“</w:t>
      </w:r>
      <w:r>
        <w:rPr>
          <w:bCs/>
          <w:b/>
        </w:rPr>
        <w:t xml:space="preserve">-ility</w:t>
      </w:r>
      <w:r>
        <w:rPr>
          <w:bCs/>
          <w:b/>
        </w:rPr>
        <w:t xml:space="preserve">”</w:t>
      </w:r>
      <w:r>
        <w:rPr>
          <w:bCs/>
          <w:b/>
        </w:rPr>
        <w:t xml:space="preserve"> </w:t>
      </w:r>
      <w:r>
        <w:rPr>
          <w:bCs/>
          <w:b/>
        </w:rPr>
        <w:t xml:space="preserve">questions</w:t>
      </w:r>
      <w:r>
        <w:t xml:space="preserve"> </w:t>
      </w:r>
      <w:r>
        <w:t xml:space="preserve">(§1.7): How many users? How fast? How available? How consistent? How durable? How secure? What does it cost?</w:t>
      </w:r>
    </w:p>
    <w:p>
      <w:pPr>
        <w:numPr>
          <w:ilvl w:val="0"/>
          <w:numId w:val="1043"/>
        </w:numPr>
        <w:pStyle w:val="Compact"/>
      </w:pPr>
      <w:r>
        <w:rPr>
          <w:bCs/>
          <w:b/>
        </w:rPr>
        <w:t xml:space="preserve">Quantify every non-functional requirement</w:t>
      </w:r>
      <w:r>
        <w:t xml:space="preserve"> </w:t>
      </w:r>
      <w:r>
        <w:t xml:space="preserve">as a metric, a threshold and a measurement window.</w:t>
      </w:r>
      <w:r>
        <w:t xml:space="preserve"> </w:t>
      </w:r>
      <w:r>
        <w:t xml:space="preserve">“</w:t>
      </w:r>
      <w:r>
        <w:t xml:space="preserve">Fast</w:t>
      </w:r>
      <w:r>
        <w:t xml:space="preserve">”</w:t>
      </w:r>
      <w:r>
        <w:t xml:space="preserve"> </w:t>
      </w:r>
      <w:r>
        <w:t xml:space="preserve">becomes</w:t>
      </w:r>
      <w:r>
        <w:t xml:space="preserve"> </w:t>
      </w:r>
      <w:r>
        <w:t xml:space="preserve">“</w:t>
      </w:r>
      <w:r>
        <w:t xml:space="preserve">p99 &lt; 800 ms measured over 5-minute windows</w:t>
      </w:r>
      <w:r>
        <w:t xml:space="preserve">”</w:t>
      </w:r>
      <w:r>
        <w:t xml:space="preserve">. The notation p99 means the 99th percentile: 99% of requests are faster than this value (§4.8).</w:t>
      </w:r>
    </w:p>
    <w:p>
      <w:pPr>
        <w:numPr>
          <w:ilvl w:val="0"/>
          <w:numId w:val="1043"/>
        </w:numPr>
        <w:pStyle w:val="Compact"/>
      </w:pPr>
      <w:r>
        <w:rPr>
          <w:bCs/>
          <w:b/>
        </w:rPr>
        <w:t xml:space="preserve">Differentiate by journey.</w:t>
      </w:r>
      <w:r>
        <w:t xml:space="preserve"> </w:t>
      </w:r>
      <w:r>
        <w:t xml:space="preserve">Availability and latency targets rarely need to be uniform. Checkout deserves a stricter target than the restaurant’s sales-history report.</w:t>
      </w:r>
    </w:p>
    <w:p>
      <w:pPr>
        <w:numPr>
          <w:ilvl w:val="0"/>
          <w:numId w:val="1043"/>
        </w:numPr>
        <w:pStyle w:val="Compact"/>
      </w:pPr>
      <w:r>
        <w:rPr>
          <w:bCs/>
          <w:b/>
        </w:rPr>
        <w:t xml:space="preserve">Surface conflicts and negotiate.</w:t>
      </w:r>
      <w:r>
        <w:t xml:space="preserve"> </w:t>
      </w:r>
      <w:r>
        <w:t xml:space="preserve">For each expensive requirement, show its cost and offer a cheaper alternative that still meets the underlying need.</w:t>
      </w:r>
    </w:p>
    <w:p>
      <w:pPr>
        <w:numPr>
          <w:ilvl w:val="0"/>
          <w:numId w:val="1043"/>
        </w:numPr>
        <w:pStyle w:val="Compact"/>
      </w:pPr>
      <w:r>
        <w:rPr>
          <w:bCs/>
          <w:b/>
        </w:rPr>
        <w:t xml:space="preserve">Record what was agreed, and what was explicitly rejected.</w:t>
      </w:r>
    </w:p>
    <w:p>
      <w:pPr>
        <w:pStyle w:val="FirstParagraph"/>
      </w:pPr>
      <w:r>
        <w:rPr>
          <w:bCs/>
          <w:b/>
        </w:rPr>
        <w:t xml:space="preserve">Table 2.5 — QuickBite requirements after negotiation.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Requirement (as first stated)</w:t>
            </w:r>
          </w:p>
        </w:tc>
        <w:tc>
          <w:tcPr/>
          <w:p>
            <w:pPr>
              <w:pStyle w:val="Compact"/>
              <w:jc w:val="left"/>
            </w:pPr>
            <w:r>
              <w:t xml:space="preserve">Negotiated, testable version</w:t>
            </w:r>
          </w:p>
        </w:tc>
        <w:tc>
          <w:tcPr/>
          <w:p>
            <w:pPr>
              <w:pStyle w:val="Compact"/>
              <w:jc w:val="left"/>
            </w:pPr>
            <w:r>
              <w:t xml:space="preserve">Priority</w:t>
            </w:r>
          </w:p>
        </w:tc>
      </w:tr>
      <w:tr>
        <w:tc>
          <w:tcPr/>
          <w:p>
            <w:pPr>
              <w:pStyle w:val="Compact"/>
              <w:jc w:val="left"/>
            </w:pPr>
            <w:r>
              <w:t xml:space="preserve">F1</w:t>
            </w:r>
          </w:p>
        </w:tc>
        <w:tc>
          <w:tcPr/>
          <w:p>
            <w:pPr>
              <w:pStyle w:val="Compact"/>
              <w:jc w:val="left"/>
            </w:pPr>
            <w:r>
              <w:t xml:space="preserve">“</w:t>
            </w:r>
            <w:r>
              <w:t xml:space="preserve">Customers can order food</w:t>
            </w:r>
            <w:r>
              <w:t xml:space="preserve">”</w:t>
            </w:r>
          </w:p>
        </w:tc>
        <w:tc>
          <w:tcPr/>
          <w:p>
            <w:pPr>
              <w:pStyle w:val="Compact"/>
              <w:jc w:val="left"/>
            </w:pPr>
            <w:r>
              <w:t xml:space="preserve">Customer can place an order of 1–30 items from one restaurant and pay by card or wallet</w:t>
            </w:r>
          </w:p>
        </w:tc>
        <w:tc>
          <w:tcPr/>
          <w:p>
            <w:pPr>
              <w:pStyle w:val="Compact"/>
              <w:jc w:val="left"/>
            </w:pPr>
            <w:r>
              <w:t xml:space="preserve">Must</w:t>
            </w:r>
          </w:p>
        </w:tc>
      </w:tr>
      <w:tr>
        <w:tc>
          <w:tcPr/>
          <w:p>
            <w:pPr>
              <w:pStyle w:val="Compact"/>
              <w:jc w:val="left"/>
            </w:pPr>
            <w:r>
              <w:t xml:space="preserve">F2</w:t>
            </w:r>
          </w:p>
        </w:tc>
        <w:tc>
          <w:tcPr/>
          <w:p>
            <w:pPr>
              <w:pStyle w:val="Compact"/>
              <w:jc w:val="left"/>
            </w:pPr>
            <w:r>
              <w:t xml:space="preserve">“</w:t>
            </w:r>
            <w:r>
              <w:t xml:space="preserve">Real-time tracking</w:t>
            </w:r>
            <w:r>
              <w:t xml:space="preserve">”</w:t>
            </w:r>
          </w:p>
        </w:tc>
        <w:tc>
          <w:tcPr/>
          <w:p>
            <w:pPr>
              <w:pStyle w:val="Compact"/>
              <w:jc w:val="left"/>
            </w:pPr>
            <w:r>
              <w:t xml:space="preserve">Courier position shown on a map, refreshed every 5 s; position at most 10 s old at p95</w:t>
            </w:r>
          </w:p>
        </w:tc>
        <w:tc>
          <w:tcPr/>
          <w:p>
            <w:pPr>
              <w:pStyle w:val="Compact"/>
              <w:jc w:val="left"/>
            </w:pPr>
            <w:r>
              <w:t xml:space="preserve">Must</w:t>
            </w:r>
          </w:p>
        </w:tc>
      </w:tr>
      <w:tr>
        <w:tc>
          <w:tcPr/>
          <w:p>
            <w:pPr>
              <w:pStyle w:val="Compact"/>
              <w:jc w:val="left"/>
            </w:pPr>
            <w:r>
              <w:t xml:space="preserve">F3</w:t>
            </w:r>
          </w:p>
        </w:tc>
        <w:tc>
          <w:tcPr/>
          <w:p>
            <w:pPr>
              <w:pStyle w:val="Compact"/>
              <w:jc w:val="left"/>
            </w:pPr>
            <w:r>
              <w:t xml:space="preserve">“</w:t>
            </w:r>
            <w:r>
              <w:t xml:space="preserve">Restaurants get orders instantly</w:t>
            </w:r>
            <w:r>
              <w:t xml:space="preserve">”</w:t>
            </w:r>
          </w:p>
        </w:tc>
        <w:tc>
          <w:tcPr/>
          <w:p>
            <w:pPr>
              <w:pStyle w:val="Compact"/>
              <w:jc w:val="left"/>
            </w:pPr>
            <w:r>
              <w:t xml:space="preserve">New order appears on the restaurant tablet within 5 s at p99</w:t>
            </w:r>
          </w:p>
        </w:tc>
        <w:tc>
          <w:tcPr/>
          <w:p>
            <w:pPr>
              <w:pStyle w:val="Compact"/>
              <w:jc w:val="left"/>
            </w:pPr>
            <w:r>
              <w:t xml:space="preserve">Must</w:t>
            </w:r>
          </w:p>
        </w:tc>
      </w:tr>
      <w:tr>
        <w:tc>
          <w:tcPr/>
          <w:p>
            <w:pPr>
              <w:pStyle w:val="Compact"/>
              <w:jc w:val="left"/>
            </w:pPr>
            <w:r>
              <w:t xml:space="preserve">F4</w:t>
            </w:r>
          </w:p>
        </w:tc>
        <w:tc>
          <w:tcPr/>
          <w:p>
            <w:pPr>
              <w:pStyle w:val="Compact"/>
              <w:jc w:val="left"/>
            </w:pPr>
            <w:r>
              <w:t xml:space="preserve">“</w:t>
            </w:r>
            <w:r>
              <w:t xml:space="preserve">Smart recommendations</w:t>
            </w:r>
            <w:r>
              <w:t xml:space="preserve">”</w:t>
            </w:r>
          </w:p>
        </w:tc>
        <w:tc>
          <w:tcPr/>
          <w:p>
            <w:pPr>
              <w:pStyle w:val="Compact"/>
              <w:jc w:val="left"/>
            </w:pPr>
            <w:r>
              <w:t xml:space="preserve">Deferred to phase 2; phase 1 shows</w:t>
            </w:r>
            <w:r>
              <w:t xml:space="preserve"> </w:t>
            </w:r>
            <w:r>
              <w:t xml:space="preserve">“</w:t>
            </w:r>
            <w:r>
              <w:t xml:space="preserve">popular near you</w:t>
            </w:r>
            <w:r>
              <w:t xml:space="preserve">”</w:t>
            </w:r>
          </w:p>
        </w:tc>
        <w:tc>
          <w:tcPr/>
          <w:p>
            <w:pPr>
              <w:pStyle w:val="Compact"/>
              <w:jc w:val="left"/>
            </w:pPr>
            <w:r>
              <w:t xml:space="preserve">Won’t (now)</w:t>
            </w:r>
          </w:p>
        </w:tc>
      </w:tr>
      <w:tr>
        <w:tc>
          <w:tcPr/>
          <w:p>
            <w:pPr>
              <w:pStyle w:val="Compact"/>
              <w:jc w:val="left"/>
            </w:pPr>
            <w:r>
              <w:t xml:space="preserve">N1</w:t>
            </w:r>
          </w:p>
        </w:tc>
        <w:tc>
          <w:tcPr/>
          <w:p>
            <w:pPr>
              <w:pStyle w:val="Compact"/>
              <w:jc w:val="left"/>
            </w:pPr>
            <w:r>
              <w:t xml:space="preserve">“</w:t>
            </w:r>
            <w:r>
              <w:t xml:space="preserve">Never goes down</w:t>
            </w:r>
            <w:r>
              <w:t xml:space="preserve">”</w:t>
            </w:r>
          </w:p>
        </w:tc>
        <w:tc>
          <w:tcPr/>
          <w:p>
            <w:pPr>
              <w:pStyle w:val="Compact"/>
              <w:jc w:val="left"/>
            </w:pPr>
            <w:r>
              <w:t xml:space="preserve">Order placement available 99.95% per 30-day month; browsing 99.9%</w:t>
            </w:r>
          </w:p>
        </w:tc>
        <w:tc>
          <w:tcPr/>
          <w:p>
            <w:pPr>
              <w:pStyle w:val="Compact"/>
              <w:jc w:val="left"/>
            </w:pPr>
            <w:r>
              <w:t xml:space="preserve">Must</w:t>
            </w:r>
          </w:p>
        </w:tc>
      </w:tr>
      <w:tr>
        <w:tc>
          <w:tcPr/>
          <w:p>
            <w:pPr>
              <w:pStyle w:val="Compact"/>
              <w:jc w:val="left"/>
            </w:pPr>
            <w:r>
              <w:t xml:space="preserve">N2</w:t>
            </w:r>
          </w:p>
        </w:tc>
        <w:tc>
          <w:tcPr/>
          <w:p>
            <w:pPr>
              <w:pStyle w:val="Compact"/>
              <w:jc w:val="left"/>
            </w:pPr>
            <w:r>
              <w:t xml:space="preserve">“</w:t>
            </w:r>
            <w:r>
              <w:t xml:space="preserve">Fast</w:t>
            </w:r>
            <w:r>
              <w:t xml:space="preserve">”</w:t>
            </w:r>
          </w:p>
        </w:tc>
        <w:tc>
          <w:tcPr/>
          <w:p>
            <w:pPr>
              <w:pStyle w:val="Compact"/>
              <w:jc w:val="left"/>
            </w:pPr>
            <w:r>
              <w:t xml:space="preserve">Place-order p99 &lt; 800 ms excluding payment-provider time; browse p99 &lt; 300 ms</w:t>
            </w:r>
          </w:p>
        </w:tc>
        <w:tc>
          <w:tcPr/>
          <w:p>
            <w:pPr>
              <w:pStyle w:val="Compact"/>
              <w:jc w:val="left"/>
            </w:pPr>
            <w:r>
              <w:t xml:space="preserve">Must</w:t>
            </w:r>
          </w:p>
        </w:tc>
      </w:tr>
      <w:tr>
        <w:tc>
          <w:tcPr/>
          <w:p>
            <w:pPr>
              <w:pStyle w:val="Compact"/>
              <w:jc w:val="left"/>
            </w:pPr>
            <w:r>
              <w:t xml:space="preserve">N3</w:t>
            </w:r>
          </w:p>
        </w:tc>
        <w:tc>
          <w:tcPr/>
          <w:p>
            <w:pPr>
              <w:pStyle w:val="Compact"/>
              <w:jc w:val="left"/>
            </w:pPr>
            <w:r>
              <w:t xml:space="preserve">“</w:t>
            </w:r>
            <w:r>
              <w:t xml:space="preserve">Never lose an order</w:t>
            </w:r>
            <w:r>
              <w:t xml:space="preserve">”</w:t>
            </w:r>
          </w:p>
        </w:tc>
        <w:tc>
          <w:tcPr/>
          <w:p>
            <w:pPr>
              <w:pStyle w:val="Compact"/>
              <w:jc w:val="left"/>
            </w:pPr>
            <w:r>
              <w:t xml:space="preserve">Once the customer sees</w:t>
            </w:r>
            <w:r>
              <w:t xml:space="preserve"> </w:t>
            </w:r>
            <w:r>
              <w:t xml:space="preserve">“</w:t>
            </w:r>
            <w:r>
              <w:t xml:space="preserve">order confirmed</w:t>
            </w:r>
            <w:r>
              <w:t xml:space="preserve">”</w:t>
            </w:r>
            <w:r>
              <w:t xml:space="preserve">, the order survives the loss of any single node or zone (RPO = 0 for orders)</w:t>
            </w:r>
          </w:p>
        </w:tc>
        <w:tc>
          <w:tcPr/>
          <w:p>
            <w:pPr>
              <w:pStyle w:val="Compact"/>
              <w:jc w:val="left"/>
            </w:pPr>
            <w:r>
              <w:t xml:space="preserve">Must</w:t>
            </w:r>
          </w:p>
        </w:tc>
      </w:tr>
      <w:tr>
        <w:tc>
          <w:tcPr/>
          <w:p>
            <w:pPr>
              <w:pStyle w:val="Compact"/>
              <w:jc w:val="left"/>
            </w:pPr>
            <w:r>
              <w:t xml:space="preserve">N4</w:t>
            </w:r>
          </w:p>
        </w:tc>
        <w:tc>
          <w:tcPr/>
          <w:p>
            <w:pPr>
              <w:pStyle w:val="Compact"/>
              <w:jc w:val="left"/>
            </w:pPr>
            <w:r>
              <w:t xml:space="preserve">“</w:t>
            </w:r>
            <w:r>
              <w:t xml:space="preserve">Never double-charge</w:t>
            </w:r>
            <w:r>
              <w:t xml:space="preserve">”</w:t>
            </w:r>
          </w:p>
        </w:tc>
        <w:tc>
          <w:tcPr/>
          <w:p>
            <w:pPr>
              <w:pStyle w:val="Compact"/>
              <w:jc w:val="left"/>
            </w:pPr>
            <w:r>
              <w:t xml:space="preserve">Each order is charged at most once, even if the client retries (idempotency, §22.15)</w:t>
            </w:r>
          </w:p>
        </w:tc>
        <w:tc>
          <w:tcPr/>
          <w:p>
            <w:pPr>
              <w:pStyle w:val="Compact"/>
              <w:jc w:val="left"/>
            </w:pPr>
            <w:r>
              <w:t xml:space="preserve">Must</w:t>
            </w:r>
          </w:p>
        </w:tc>
      </w:tr>
      <w:tr>
        <w:tc>
          <w:tcPr/>
          <w:p>
            <w:pPr>
              <w:pStyle w:val="Compact"/>
              <w:jc w:val="left"/>
            </w:pPr>
            <w:r>
              <w:t xml:space="preserve">N5</w:t>
            </w:r>
          </w:p>
        </w:tc>
        <w:tc>
          <w:tcPr/>
          <w:p>
            <w:pPr>
              <w:pStyle w:val="Compact"/>
              <w:jc w:val="left"/>
            </w:pPr>
            <w:r>
              <w:t xml:space="preserve">“</w:t>
            </w:r>
            <w:r>
              <w:t xml:space="preserve">Menus always correct</w:t>
            </w:r>
            <w:r>
              <w:t xml:space="preserve">”</w:t>
            </w:r>
          </w:p>
        </w:tc>
        <w:tc>
          <w:tcPr/>
          <w:p>
            <w:pPr>
              <w:pStyle w:val="Compact"/>
              <w:jc w:val="left"/>
            </w:pPr>
            <w:r>
              <w:t xml:space="preserve">Menu or price changes visible to customers within 60 s; price is re-checked at order time</w:t>
            </w:r>
          </w:p>
        </w:tc>
        <w:tc>
          <w:tcPr/>
          <w:p>
            <w:pPr>
              <w:pStyle w:val="Compact"/>
              <w:jc w:val="left"/>
            </w:pPr>
            <w:r>
              <w:t xml:space="preserve">Should</w:t>
            </w:r>
          </w:p>
        </w:tc>
      </w:tr>
    </w:tbl>
    <w:p>
      <w:pPr>
        <w:pStyle w:val="BodyText"/>
      </w:pPr>
      <w:r>
        <w:t xml:space="preserve">Notice what negotiation did to N1.</w:t>
      </w:r>
      <w:r>
        <w:t xml:space="preserve"> </w:t>
      </w:r>
      <w:r>
        <w:t xml:space="preserve">“</w:t>
      </w:r>
      <w:r>
        <w:t xml:space="preserve">Never goes down</w:t>
      </w:r>
      <w:r>
        <w:t xml:space="preserve">”</w:t>
      </w:r>
      <w:r>
        <w:t xml:space="preserve"> </w:t>
      </w:r>
      <w:r>
        <w:t xml:space="preserve">is impossible: no system reaches 100%. It was also unnecessary for most features. The negotiated version gives each journey its own target and makes the target measurable. RPO in N3 is the</w:t>
      </w:r>
      <w:r>
        <w:t xml:space="preserve"> </w:t>
      </w:r>
      <w:r>
        <w:rPr>
          <w:iCs/>
          <w:i/>
        </w:rPr>
        <w:t xml:space="preserve">recovery point objective</w:t>
      </w:r>
      <w:r>
        <w:t xml:space="preserve">, the amount of recent data you may lose in a disaster (§39.8).</w:t>
      </w:r>
    </w:p>
    <w:bookmarkEnd w:id="182"/>
    <w:bookmarkStart w:id="183" w:name="mathematical-foundations-4"/>
    <w:p>
      <w:pPr>
        <w:pStyle w:val="Heading4"/>
      </w:pPr>
      <w:r>
        <w:t xml:space="preserve">Mathematical foundations</w:t>
      </w:r>
    </w:p>
    <w:p>
      <w:pPr>
        <w:pStyle w:val="FirstParagraph"/>
      </w:pPr>
      <w:r>
        <w:t xml:space="preserve">The most useful number in a negotiation is the downtime a target actually allows.</w:t>
      </w:r>
    </w:p>
    <w:p>
      <w:pPr>
        <w:pStyle w:val="CalloutFormula"/>
      </w:pPr>
      <w:r>
        <w:rPr>
          <w:bCs/>
          <w:b/>
        </w:rPr>
        <w:t xml:space="preserve">FORMULA</w:t>
      </w:r>
    </w:p>
    <w:p>
      <w:pPr>
        <w:pStyle w:val="CalloutFormula"/>
      </w:pPr>
      <w:r>
        <w:rPr>
          <w:bCs/>
          <w:b/>
        </w:rPr>
        <w:t xml:space="preserve">Allowed downtime for an availability target</w:t>
      </w:r>
    </w:p>
    <w:p>
      <w:pPr>
        <w:pStyle w:val="CalloutFormula"/>
      </w:pPr>
      <m:oMathPara>
        <m:oMathParaPr>
          <m:jc m:val="center"/>
        </m:oMathParaPr>
        <m:oMath>
          <m:sSub>
            <m:e>
              <m:r>
                <m:t>T</m:t>
              </m:r>
            </m:e>
            <m:sub>
              <m:r>
                <m:t>d</m:t>
              </m:r>
              <m:r>
                <m:t>o</m:t>
              </m:r>
              <m:r>
                <m:t>w</m:t>
              </m:r>
              <m:r>
                <m:t>n</m:t>
              </m:r>
            </m:sub>
          </m:sSub>
          <m:r>
            <m:rPr>
              <m:sty m:val="p"/>
            </m:rPr>
            <m:t>=</m:t>
          </m:r>
          <m:d>
            <m:dPr>
              <m:begChr m:val="("/>
              <m:endChr m:val=")"/>
              <m:sepChr m:val=""/>
              <m:grow/>
            </m:dPr>
            <m:e>
              <m:r>
                <m:t>1</m:t>
              </m:r>
              <m:r>
                <m:rPr>
                  <m:sty m:val="p"/>
                </m:rPr>
                <m:t>−</m:t>
              </m:r>
              <m:r>
                <m:t>A</m:t>
              </m:r>
            </m:e>
          </m:d>
          <m:r>
            <m:rPr>
              <m:sty m:val="p"/>
            </m:rPr>
            <m:t>×</m:t>
          </m:r>
          <m:sSub>
            <m:e>
              <m:r>
                <m:t>T</m:t>
              </m:r>
            </m:e>
            <m:sub>
              <m:r>
                <m:t>p</m:t>
              </m:r>
              <m:r>
                <m:t>e</m:t>
              </m:r>
              <m:r>
                <m:t>r</m:t>
              </m:r>
              <m:r>
                <m:t>i</m:t>
              </m:r>
              <m:r>
                <m:t>o</m:t>
              </m:r>
              <m:r>
                <m:t>d</m:t>
              </m:r>
            </m:sub>
          </m:sSub>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T</m:t>
                  </m:r>
                </m:e>
                <m:sub>
                  <m:r>
                    <m:t>d</m:t>
                  </m:r>
                  <m:r>
                    <m:t>o</m:t>
                  </m:r>
                  <m:r>
                    <m:t>w</m:t>
                  </m:r>
                  <m:r>
                    <m:t>n</m:t>
                  </m:r>
                </m:sub>
              </m:sSub>
            </m:oMath>
          </w:p>
        </w:tc>
        <w:tc>
          <w:tcPr/>
          <w:p>
            <w:pPr>
              <w:pStyle w:val="Compact"/>
              <w:jc w:val="left"/>
            </w:pPr>
            <w:r>
              <w:t xml:space="preserve">Maximum downtime allowed in the period</w:t>
            </w:r>
          </w:p>
        </w:tc>
        <w:tc>
          <w:tcPr/>
          <w:p>
            <w:pPr>
              <w:pStyle w:val="Compact"/>
              <w:jc w:val="left"/>
            </w:pPr>
            <w:r>
              <w:t xml:space="preserve">minutes</w:t>
            </w:r>
          </w:p>
        </w:tc>
      </w:tr>
      <w:tr>
        <w:tc>
          <w:tcPr/>
          <w:p>
            <w:pPr>
              <w:pStyle w:val="Compact"/>
              <w:jc w:val="left"/>
            </w:pPr>
            <m:oMath>
              <m:r>
                <m:t>A</m:t>
              </m:r>
            </m:oMath>
          </w:p>
        </w:tc>
        <w:tc>
          <w:tcPr/>
          <w:p>
            <w:pPr>
              <w:pStyle w:val="Compact"/>
              <w:jc w:val="left"/>
            </w:pPr>
            <w:r>
              <w:t xml:space="preserve">Availability target, as a fraction</w:t>
            </w:r>
          </w:p>
        </w:tc>
        <w:tc>
          <w:tcPr/>
          <w:p>
            <w:pPr>
              <w:pStyle w:val="Compact"/>
              <w:jc w:val="left"/>
            </w:pPr>
            <w:r>
              <w:t xml:space="preserve">dimensionless (e.g. 0.9995)</w:t>
            </w:r>
          </w:p>
        </w:tc>
      </w:tr>
      <w:tr>
        <w:tc>
          <w:tcPr/>
          <w:p>
            <w:pPr>
              <w:pStyle w:val="Compact"/>
              <w:jc w:val="left"/>
            </w:pPr>
            <m:oMath>
              <m:sSub>
                <m:e>
                  <m:r>
                    <m:t>T</m:t>
                  </m:r>
                </m:e>
                <m:sub>
                  <m:r>
                    <m:t>p</m:t>
                  </m:r>
                  <m:r>
                    <m:t>e</m:t>
                  </m:r>
                  <m:r>
                    <m:t>r</m:t>
                  </m:r>
                  <m:r>
                    <m:t>i</m:t>
                  </m:r>
                  <m:r>
                    <m:t>o</m:t>
                  </m:r>
                  <m:r>
                    <m:t>d</m:t>
                  </m:r>
                </m:sub>
              </m:sSub>
            </m:oMath>
          </w:p>
        </w:tc>
        <w:tc>
          <w:tcPr/>
          <w:p>
            <w:pPr>
              <w:pStyle w:val="Compact"/>
              <w:jc w:val="left"/>
            </w:pPr>
            <w:r>
              <w:t xml:space="preserve">Length of the measurement period</w:t>
            </w:r>
          </w:p>
        </w:tc>
        <w:tc>
          <w:tcPr/>
          <w:p>
            <w:pPr>
              <w:pStyle w:val="Compact"/>
              <w:jc w:val="left"/>
            </w:pPr>
            <w:r>
              <w:t xml:space="preserve">minutes</w:t>
            </w:r>
          </w:p>
        </w:tc>
      </w:tr>
    </w:tbl>
    <w:p>
      <w:pPr>
        <w:pStyle w:val="CalloutExample"/>
      </w:pPr>
      <w:r>
        <w:rPr>
          <w:bCs/>
          <w:b/>
        </w:rPr>
        <w:t xml:space="preserve">WORKED EXAMPLE</w:t>
      </w:r>
    </w:p>
    <w:p>
      <w:pPr>
        <w:pStyle w:val="CalloutExample"/>
      </w:pPr>
      <w:r>
        <w:rPr>
          <w:bCs/>
          <w:b/>
        </w:rPr>
        <w:t xml:space="preserve">Worked example — What</w:t>
      </w:r>
      <w:r>
        <w:rPr>
          <w:bCs/>
          <w:b/>
        </w:rPr>
        <w:t xml:space="preserve"> </w:t>
      </w:r>
      <w:r>
        <w:rPr>
          <w:bCs/>
          <w:b/>
        </w:rPr>
        <w:t xml:space="preserve">“</w:t>
      </w:r>
      <w:r>
        <w:rPr>
          <w:bCs/>
          <w:b/>
        </w:rPr>
        <w:t xml:space="preserve">three and a half nines</w:t>
      </w:r>
      <w:r>
        <w:rPr>
          <w:bCs/>
          <w:b/>
        </w:rPr>
        <w:t xml:space="preserve">”</w:t>
      </w:r>
      <w:r>
        <w:rPr>
          <w:bCs/>
          <w:b/>
        </w:rPr>
        <w:t xml:space="preserve"> </w:t>
      </w:r>
      <w:r>
        <w:rPr>
          <w:bCs/>
          <w:b/>
        </w:rPr>
        <w:t xml:space="preserve">buys QuickBite.</w:t>
      </w:r>
      <w:r>
        <w:t xml:space="preserve"> </w:t>
      </w:r>
      <w:r>
        <w:t xml:space="preserve">A 30-day month has 30 × 24 × 60 = 43,200 minutes.</w:t>
      </w:r>
    </w:p>
    <w:p>
      <w:pPr>
        <w:numPr>
          <w:ilvl w:val="0"/>
          <w:numId w:val="1044"/>
        </w:numPr>
        <w:pStyle w:val="Compact"/>
      </w:pPr>
      <w:r>
        <w:t xml:space="preserve">Browsing at 99.9%:</w:t>
      </w:r>
      <w:r>
        <w:t xml:space="preserve"> </w:t>
      </w:r>
      <m:oMath>
        <m:sSub>
          <m:e>
            <m:r>
              <m:t>T</m:t>
            </m:r>
          </m:e>
          <m:sub>
            <m:r>
              <m:t>d</m:t>
            </m:r>
            <m:r>
              <m:t>o</m:t>
            </m:r>
            <m:r>
              <m:t>w</m:t>
            </m:r>
            <m:r>
              <m:t>n</m:t>
            </m:r>
          </m:sub>
        </m:sSub>
      </m:oMath>
      <w:r>
        <w:t xml:space="preserve"> </w:t>
      </w:r>
      <w:r>
        <w:t xml:space="preserve">= (1 − 0.999) × 43,200 = 0.001 × 43,200 =</w:t>
      </w:r>
      <w:r>
        <w:t xml:space="preserve"> </w:t>
      </w:r>
      <w:r>
        <w:rPr>
          <w:bCs/>
          <w:b/>
        </w:rPr>
        <w:t xml:space="preserve">43.2 minutes per month</w:t>
      </w:r>
      <w:r>
        <w:t xml:space="preserve">.</w:t>
      </w:r>
    </w:p>
    <w:p>
      <w:pPr>
        <w:numPr>
          <w:ilvl w:val="0"/>
          <w:numId w:val="1044"/>
        </w:numPr>
        <w:pStyle w:val="Compact"/>
      </w:pPr>
      <w:r>
        <w:t xml:space="preserve">Order placement at 99.95%: (1 − 0.9995) × 43,200 = 0.0005 × 43,200 =</w:t>
      </w:r>
      <w:r>
        <w:t xml:space="preserve"> </w:t>
      </w:r>
      <w:r>
        <w:rPr>
          <w:bCs/>
          <w:b/>
        </w:rPr>
        <w:t xml:space="preserve">21.6 minutes per month</w:t>
      </w:r>
      <w:r>
        <w:t xml:space="preserve">.</w:t>
      </w:r>
    </w:p>
    <w:p>
      <w:pPr>
        <w:numPr>
          <w:ilvl w:val="0"/>
          <w:numId w:val="1044"/>
        </w:numPr>
        <w:pStyle w:val="Compact"/>
      </w:pPr>
      <w:r>
        <w:t xml:space="preserve">A naive</w:t>
      </w:r>
      <w:r>
        <w:t xml:space="preserve"> </w:t>
      </w:r>
      <w:r>
        <w:t xml:space="preserve">“</w:t>
      </w:r>
      <w:r>
        <w:t xml:space="preserve">five nines</w:t>
      </w:r>
      <w:r>
        <w:t xml:space="preserve">”</w:t>
      </w:r>
      <w:r>
        <w:t xml:space="preserve"> </w:t>
      </w:r>
      <w:r>
        <w:t xml:space="preserve">(99.999%): 0.00001 × 43,200 =</w:t>
      </w:r>
      <w:r>
        <w:t xml:space="preserve"> </w:t>
      </w:r>
      <w:r>
        <w:rPr>
          <w:bCs/>
          <w:b/>
        </w:rPr>
        <w:t xml:space="preserve">0.43 minutes</w:t>
      </w:r>
      <w:r>
        <w:t xml:space="preserve">, about 26 seconds per month.</w:t>
      </w:r>
    </w:p>
    <w:p>
      <w:pPr>
        <w:pStyle w:val="CalloutExample"/>
      </w:pPr>
      <w:r>
        <w:rPr>
          <w:bCs/>
          <w:b/>
        </w:rPr>
        <w:t xml:space="preserve">Interpretation.</w:t>
      </w:r>
      <w:r>
        <w:t xml:space="preserve"> </w:t>
      </w:r>
      <w:r>
        <w:t xml:space="preserve">Twenty-six seconds a month is less than the time a person takes to notice an alert, open a laptop and log in. Five nines requires fully automated detection and failover across independent zones or regions, which multiplies cost and complexity.</w:t>
      </w:r>
      <w:r>
        <w:t xml:space="preserve"> </w:t>
      </w:r>
      <w:r>
        <w:rPr>
          <w:bCs/>
          <w:b/>
        </w:rPr>
        <w:t xml:space="preserve">Engineering implication:</w:t>
      </w:r>
      <w:r>
        <w:t xml:space="preserve"> </w:t>
      </w:r>
      <w:r>
        <w:t xml:space="preserve">for a regional food-delivery start-up, 99.95% on checkout is ambitious but reachable with redundancy inside one region (§39.4). Five nines would be over-engineering, and the payment provider’s own availability probably caps the achievable number anyway (§2.9).</w:t>
      </w:r>
    </w:p>
    <w:bookmarkEnd w:id="183"/>
    <w:bookmarkStart w:id="184" w:name="real-world-industry-applications-8"/>
    <w:p>
      <w:pPr>
        <w:pStyle w:val="Heading4"/>
      </w:pPr>
      <w:r>
        <w:t xml:space="preserve">Real-world industry applications</w:t>
      </w:r>
    </w:p>
    <w:p>
      <w:pPr>
        <w:pStyle w:val="CalloutIndustry"/>
      </w:pPr>
      <w:r>
        <w:rPr>
          <w:bCs/>
          <w:b/>
        </w:rPr>
        <w:t xml:space="preserve">INDUSTRY EXAMPLE</w:t>
      </w:r>
    </w:p>
    <w:p>
      <w:pPr>
        <w:pStyle w:val="CalloutIndustry"/>
      </w:pPr>
      <w:r>
        <w:rPr>
          <w:bCs/>
          <w:b/>
        </w:rPr>
        <w:t xml:space="preserve">Service level objectives at Google.</w:t>
      </w:r>
      <w:r>
        <w:t xml:space="preserve"> </w:t>
      </w:r>
      <w:r>
        <w:t xml:space="preserve">Google’s Site Reliability Engineering book argues that 100% is the wrong reliability target for almost everything. Users cannot tell the difference between very high availability and 100%, because their own devices and networks are less reliable than that. Each extra nine costs a lot. Google’s practice is to agree an explicit</w:t>
      </w:r>
      <w:r>
        <w:t xml:space="preserve"> </w:t>
      </w:r>
      <w:r>
        <w:rPr>
          <w:bCs/>
          <w:b/>
        </w:rPr>
        <w:t xml:space="preserve">service level objective (SLO)</w:t>
      </w:r>
      <w:r>
        <w:t xml:space="preserve"> </w:t>
      </w:r>
      <w:r>
        <w:t xml:space="preserve">with product owners and treat the remaining unreliability as an</w:t>
      </w:r>
      <w:r>
        <w:t xml:space="preserve"> </w:t>
      </w:r>
      <w:r>
        <w:rPr>
          <w:bCs/>
          <w:b/>
        </w:rPr>
        <w:t xml:space="preserve">error budget</w:t>
      </w:r>
      <w:r>
        <w:t xml:space="preserve"> </w:t>
      </w:r>
      <w:r>
        <w:t xml:space="preserve">to be spent on releasing features. This is requirement negotiation turned into an ongoing process (§39.6–39.7).</w:t>
      </w:r>
      <w:r>
        <w:t xml:space="preserve"> </w:t>
      </w:r>
      <w:r>
        <w:rPr>
          <w:iCs/>
          <w:i/>
        </w:rPr>
        <w:t xml:space="preserve">Evidence: Primary</w:t>
      </w:r>
      <w:r>
        <w:t xml:space="preserve"> </w:t>
      </w:r>
      <w:r>
        <w:t xml:space="preserve">— [Beyer et al. 2016]</w:t>
      </w:r>
    </w:p>
    <w:bookmarkEnd w:id="184"/>
    <w:bookmarkStart w:id="185" w:name="advantages-alternatives-and-trade-offs"/>
    <w:p>
      <w:pPr>
        <w:pStyle w:val="Heading4"/>
      </w:pPr>
      <w:r>
        <w:t xml:space="preserve">Advantages, alternatives and trade-offs</w:t>
      </w:r>
    </w:p>
    <w:p>
      <w:pPr>
        <w:pStyle w:val="FirstParagraph"/>
      </w:pPr>
      <w:r>
        <w:t xml:space="preserve">Up-front negotiation costs meeting time, and stakeholders may not know the answers yet. When they do not, do not block. Make an assumption (§2.7), label it, and design so that it is cheap to change if wrong. In interviews, spend roughly the first five to ten minutes of a 45-minute session on requirements. In industry, requirements live in a design document (§2.12) and get re-negotiated as data arrives.</w:t>
      </w:r>
    </w:p>
    <w:bookmarkEnd w:id="185"/>
    <w:bookmarkStart w:id="186" w:name="failure-scenarios-8"/>
    <w:p>
      <w:pPr>
        <w:pStyle w:val="Heading4"/>
      </w:pPr>
      <w:r>
        <w:t xml:space="preserve">Failure scenarios</w:t>
      </w:r>
    </w:p>
    <w:p>
      <w:pPr>
        <w:pStyle w:val="FirstParagraph"/>
      </w:pPr>
      <w:r>
        <w:rPr>
          <w:bCs/>
          <w:b/>
        </w:rPr>
        <w:t xml:space="preserve">Table 2.6 — Requirements 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Launch-day overload</w:t>
            </w:r>
          </w:p>
        </w:tc>
        <w:tc>
          <w:tcPr/>
          <w:p>
            <w:pPr>
              <w:pStyle w:val="Compact"/>
              <w:jc w:val="left"/>
            </w:pPr>
            <w:r>
              <w:t xml:space="preserve">Peak load never quantified</w:t>
            </w:r>
          </w:p>
        </w:tc>
        <w:tc>
          <w:tcPr/>
          <w:p>
            <w:pPr>
              <w:pStyle w:val="Compact"/>
              <w:jc w:val="left"/>
            </w:pPr>
            <w:r>
              <w:t xml:space="preserve">Errors and latency spike at launch</w:t>
            </w:r>
          </w:p>
        </w:tc>
        <w:tc>
          <w:tcPr/>
          <w:p>
            <w:pPr>
              <w:pStyle w:val="Compact"/>
              <w:jc w:val="left"/>
            </w:pPr>
            <w:r>
              <w:t xml:space="preserve">Emergency scaling, load shedding (§22.9)</w:t>
            </w:r>
          </w:p>
        </w:tc>
        <w:tc>
          <w:tcPr/>
          <w:p>
            <w:pPr>
              <w:pStyle w:val="Compact"/>
              <w:jc w:val="left"/>
            </w:pPr>
            <w:r>
              <w:t xml:space="preserve">Ask</w:t>
            </w:r>
            <w:r>
              <w:t xml:space="preserve"> </w:t>
            </w:r>
            <w:r>
              <w:t xml:space="preserve">“</w:t>
            </w:r>
            <w:r>
              <w:t xml:space="preserve">how many, at peak?</w:t>
            </w:r>
            <w:r>
              <w:t xml:space="preserve">”</w:t>
            </w:r>
          </w:p>
        </w:tc>
      </w:tr>
      <w:tr>
        <w:tc>
          <w:tcPr/>
          <w:p>
            <w:pPr>
              <w:pStyle w:val="Compact"/>
              <w:jc w:val="left"/>
            </w:pPr>
            <w:r>
              <w:t xml:space="preserve">Gold-plating</w:t>
            </w:r>
          </w:p>
        </w:tc>
        <w:tc>
          <w:tcPr/>
          <w:p>
            <w:pPr>
              <w:pStyle w:val="Compact"/>
              <w:jc w:val="left"/>
            </w:pPr>
            <w:r>
              <w:t xml:space="preserve">“</w:t>
            </w:r>
            <w:r>
              <w:t xml:space="preserve">Never down</w:t>
            </w:r>
            <w:r>
              <w:t xml:space="preserve">”</w:t>
            </w:r>
            <w:r>
              <w:t xml:space="preserve"> </w:t>
            </w:r>
            <w:r>
              <w:t xml:space="preserve">accepted literally</w:t>
            </w:r>
          </w:p>
        </w:tc>
        <w:tc>
          <w:tcPr/>
          <w:p>
            <w:pPr>
              <w:pStyle w:val="Compact"/>
              <w:jc w:val="left"/>
            </w:pPr>
            <w:r>
              <w:t xml:space="preserve">Cost far exceeds the budget; delivery late</w:t>
            </w:r>
          </w:p>
        </w:tc>
        <w:tc>
          <w:tcPr/>
          <w:p>
            <w:pPr>
              <w:pStyle w:val="Compact"/>
              <w:jc w:val="left"/>
            </w:pPr>
            <w:r>
              <w:t xml:space="preserve">Simplify</w:t>
            </w:r>
          </w:p>
        </w:tc>
        <w:tc>
          <w:tcPr/>
          <w:p>
            <w:pPr>
              <w:pStyle w:val="Compact"/>
              <w:jc w:val="left"/>
            </w:pPr>
            <w:r>
              <w:t xml:space="preserve">Translate every adjective into a number</w:t>
            </w:r>
          </w:p>
        </w:tc>
      </w:tr>
      <w:tr>
        <w:tc>
          <w:tcPr/>
          <w:p>
            <w:pPr>
              <w:pStyle w:val="Compact"/>
              <w:jc w:val="left"/>
            </w:pPr>
            <w:r>
              <w:t xml:space="preserve">Silent conflict</w:t>
            </w:r>
          </w:p>
        </w:tc>
        <w:tc>
          <w:tcPr/>
          <w:p>
            <w:pPr>
              <w:pStyle w:val="Compact"/>
              <w:jc w:val="left"/>
            </w:pPr>
            <w:r>
              <w:t xml:space="preserve">Two stakeholders want contradictory things</w:t>
            </w:r>
          </w:p>
        </w:tc>
        <w:tc>
          <w:tcPr/>
          <w:p>
            <w:pPr>
              <w:pStyle w:val="Compact"/>
              <w:jc w:val="left"/>
            </w:pPr>
            <w:r>
              <w:t xml:space="preserve">Rework after review</w:t>
            </w:r>
          </w:p>
        </w:tc>
        <w:tc>
          <w:tcPr/>
          <w:p>
            <w:pPr>
              <w:pStyle w:val="Compact"/>
              <w:jc w:val="left"/>
            </w:pPr>
            <w:r>
              <w:t xml:space="preserve">Escalate with options and costs</w:t>
            </w:r>
          </w:p>
        </w:tc>
        <w:tc>
          <w:tcPr/>
          <w:p>
            <w:pPr>
              <w:pStyle w:val="Compact"/>
              <w:jc w:val="left"/>
            </w:pPr>
            <w:r>
              <w:t xml:space="preserve">Step 6: surface conflicts explicitly</w:t>
            </w:r>
          </w:p>
        </w:tc>
      </w:tr>
      <w:tr>
        <w:tc>
          <w:tcPr/>
          <w:p>
            <w:pPr>
              <w:pStyle w:val="Compact"/>
              <w:jc w:val="left"/>
            </w:pPr>
            <w:r>
              <w:t xml:space="preserve">Uniform targets</w:t>
            </w:r>
          </w:p>
        </w:tc>
        <w:tc>
          <w:tcPr/>
          <w:p>
            <w:pPr>
              <w:pStyle w:val="Compact"/>
              <w:jc w:val="left"/>
            </w:pPr>
            <w:r>
              <w:t xml:space="preserve">One SLO applied to all features</w:t>
            </w:r>
          </w:p>
        </w:tc>
        <w:tc>
          <w:tcPr/>
          <w:p>
            <w:pPr>
              <w:pStyle w:val="Compact"/>
              <w:jc w:val="left"/>
            </w:pPr>
            <w:r>
              <w:t xml:space="preserve">Expensive redundancy on unimportant paths</w:t>
            </w:r>
          </w:p>
        </w:tc>
        <w:tc>
          <w:tcPr/>
          <w:p>
            <w:pPr>
              <w:pStyle w:val="Compact"/>
              <w:jc w:val="left"/>
            </w:pPr>
            <w:r>
              <w:t xml:space="preserve">Tier the features</w:t>
            </w:r>
          </w:p>
        </w:tc>
        <w:tc>
          <w:tcPr/>
          <w:p>
            <w:pPr>
              <w:pStyle w:val="Compact"/>
              <w:jc w:val="left"/>
            </w:pPr>
            <w:r>
              <w:t xml:space="preserve">Step 5: differentiate by journey</w:t>
            </w:r>
          </w:p>
        </w:tc>
      </w:tr>
    </w:tbl>
    <w:bookmarkEnd w:id="186"/>
    <w:bookmarkStart w:id="187" w:name="common-misconceptions-8"/>
    <w:p>
      <w:pPr>
        <w:pStyle w:val="Heading4"/>
      </w:pPr>
      <w:r>
        <w:t xml:space="preserve">Common misconceptions</w:t>
      </w:r>
    </w:p>
    <w:p>
      <w:pPr>
        <w:pStyle w:val="CalloutMistake"/>
      </w:pPr>
      <w:r>
        <w:rPr>
          <w:bCs/>
          <w:b/>
        </w:rPr>
        <w:t xml:space="preserve">COMMON MISTAKE</w:t>
      </w:r>
    </w:p>
    <w:p>
      <w:pPr>
        <w:pStyle w:val="CalloutMistake"/>
      </w:pPr>
      <w:r>
        <w:rPr>
          <w:bCs/>
          <w:b/>
        </w:rPr>
        <w:t xml:space="preserve">“</w:t>
      </w:r>
      <w:r>
        <w:rPr>
          <w:bCs/>
          <w:b/>
        </w:rPr>
        <w:t xml:space="preserve">Requirements are given to the designer.</w:t>
      </w:r>
      <w:r>
        <w:rPr>
          <w:bCs/>
          <w:b/>
        </w:rPr>
        <w:t xml:space="preserve">”</w:t>
      </w:r>
      <w:r>
        <w:t xml:space="preserve"> </w:t>
      </w:r>
      <w:r>
        <w:t xml:space="preserve">In practice they are</w:t>
      </w:r>
      <w:r>
        <w:t xml:space="preserve"> </w:t>
      </w:r>
      <w:r>
        <w:rPr>
          <w:iCs/>
          <w:i/>
        </w:rPr>
        <w:t xml:space="preserve">discovered and negotiated</w:t>
      </w:r>
      <w:r>
        <w:t xml:space="preserve"> </w:t>
      </w:r>
      <w:r>
        <w:t xml:space="preserve">by the designer together with stakeholders. A designer who only takes orders will build exactly the wrong thing, very efficiently.</w:t>
      </w:r>
    </w:p>
    <w:p>
      <w:pPr>
        <w:pStyle w:val="CalloutTip"/>
      </w:pPr>
      <w:r>
        <w:rPr>
          <w:bCs/>
          <w:b/>
        </w:rPr>
        <w:t xml:space="preserve">INTERVIEW TIP</w:t>
      </w:r>
    </w:p>
    <w:p>
      <w:pPr>
        <w:pStyle w:val="CalloutTip"/>
      </w:pPr>
      <w:r>
        <w:rPr>
          <w:bCs/>
          <w:b/>
        </w:rPr>
        <w:t xml:space="preserve">Interview tip.</w:t>
      </w:r>
      <w:r>
        <w:t xml:space="preserve"> </w:t>
      </w:r>
      <w:r>
        <w:t xml:space="preserve">Say your negotiated requirements out loud and write them on the board as numbers:</w:t>
      </w:r>
      <w:r>
        <w:t xml:space="preserve"> </w:t>
      </w:r>
      <w:r>
        <w:t xml:space="preserve">“</w:t>
      </w:r>
      <w:r>
        <w:t xml:space="preserve">I’ll assume 2 million daily active users, checkout at 99.95%, tracking refreshed every 5 seconds — does that match what you have in mind?</w:t>
      </w:r>
      <w:r>
        <w:t xml:space="preserve">”</w:t>
      </w:r>
      <w:r>
        <w:t xml:space="preserve"> </w:t>
      </w:r>
      <w:r>
        <w:t xml:space="preserve">Interviewers reward this because it shows you design</w:t>
      </w:r>
      <w:r>
        <w:t xml:space="preserve"> </w:t>
      </w:r>
      <w:r>
        <w:rPr>
          <w:iCs/>
          <w:i/>
        </w:rPr>
        <w:t xml:space="preserve">to a target</w:t>
      </w:r>
      <w:r>
        <w:t xml:space="preserve">, not by habit.</w:t>
      </w:r>
    </w:p>
    <w:bookmarkEnd w:id="187"/>
    <w:bookmarkEnd w:id="188"/>
    <w:bookmarkEnd w:id="189"/>
    <w:bookmarkStart w:id="203" w:name="identifying-bottlenecks"/>
    <w:p>
      <w:pPr>
        <w:pStyle w:val="Heading2"/>
      </w:pPr>
      <w:r>
        <w:t xml:space="preserve">2.6 Identifying bottlenecks</w:t>
      </w:r>
    </w:p>
    <w:bookmarkStart w:id="202" w:name="the-resource-model-and-the-bottleneck"/>
    <w:p>
      <w:pPr>
        <w:pStyle w:val="Heading3"/>
      </w:pPr>
      <w:r>
        <w:t xml:space="preserve">2.6.1 The resource model and the bottleneck</w:t>
      </w:r>
    </w:p>
    <w:p>
      <w:pPr>
        <w:pStyle w:val="CalloutDefinition"/>
      </w:pPr>
      <w:r>
        <w:rPr>
          <w:bCs/>
          <w:b/>
        </w:rPr>
        <w:t xml:space="preserve">DEFINITION</w:t>
      </w:r>
    </w:p>
    <w:p>
      <w:pPr>
        <w:pStyle w:val="CalloutDefinition"/>
      </w:pPr>
      <w:r>
        <w:rPr>
          <w:bCs/>
          <w:b/>
        </w:rPr>
        <w:t xml:space="preserve">Definition — Bottleneck.</w:t>
      </w:r>
      <w:r>
        <w:t xml:space="preserve"> </w:t>
      </w:r>
      <w:r>
        <w:t xml:space="preserve">The resource whose capacity limits the throughput of the whole system for a given workload. Throughput cannot rise above the bottleneck’s capacity no matter how much the other resources are improved. Formally, it is the resource with the highest</w:t>
      </w:r>
      <w:r>
        <w:t xml:space="preserve"> </w:t>
      </w:r>
      <w:r>
        <w:rPr>
          <w:bCs/>
          <w:b/>
        </w:rPr>
        <w:t xml:space="preserve">service demand</w:t>
      </w:r>
      <w:r>
        <w:t xml:space="preserve"> </w:t>
      </w:r>
      <w:r>
        <w:t xml:space="preserve">per request (defined below).</w:t>
      </w:r>
    </w:p>
    <w:bookmarkStart w:id="190" w:name="first-principles-explanation-12"/>
    <w:p>
      <w:pPr>
        <w:pStyle w:val="Heading4"/>
      </w:pPr>
      <w:r>
        <w:t xml:space="preserve">First-principles explanation</w:t>
      </w:r>
    </w:p>
    <w:p>
      <w:pPr>
        <w:pStyle w:val="FirstParagraph"/>
      </w:pPr>
      <w:r>
        <w:t xml:space="preserve">Picture a highway that narrows from four lanes to one for a bridge. Widening the highway before or after the bridge to eight lanes changes nothing: cars still cross the bridge one lane at a time. The bridge is the bottleneck. Worse, traffic does not slow down evenly. It piles up in a queue</w:t>
      </w:r>
      <w:r>
        <w:t xml:space="preserve"> </w:t>
      </w:r>
      <w:r>
        <w:rPr>
          <w:iCs/>
          <w:i/>
        </w:rPr>
        <w:t xml:space="preserve">in front of</w:t>
      </w:r>
      <w:r>
        <w:t xml:space="preserve"> </w:t>
      </w:r>
      <w:r>
        <w:t xml:space="preserve">the bridge. That is why a system near its bottleneck shows rising latency long before it shows errors.</w:t>
      </w:r>
    </w:p>
    <w:p>
      <w:pPr>
        <w:pStyle w:val="BodyText"/>
      </w:pPr>
      <w:r>
        <w:t xml:space="preserve">Two consequences follow, and they explain most performance work:</w:t>
      </w:r>
    </w:p>
    <w:p>
      <w:pPr>
        <w:numPr>
          <w:ilvl w:val="0"/>
          <w:numId w:val="1045"/>
        </w:numPr>
        <w:pStyle w:val="Compact"/>
      </w:pPr>
      <w:r>
        <w:rPr>
          <w:bCs/>
          <w:b/>
        </w:rPr>
        <w:t xml:space="preserve">Improving a non-bottleneck resource gives zero improvement in throughput.</w:t>
      </w:r>
      <w:r>
        <w:t xml:space="preserve"> </w:t>
      </w:r>
      <w:r>
        <w:t xml:space="preserve">Faster CPUs do not help if the database disk is the limit.</w:t>
      </w:r>
    </w:p>
    <w:p>
      <w:pPr>
        <w:numPr>
          <w:ilvl w:val="0"/>
          <w:numId w:val="1045"/>
        </w:numPr>
        <w:pStyle w:val="Compact"/>
      </w:pPr>
      <w:r>
        <w:rPr>
          <w:bCs/>
          <w:b/>
        </w:rPr>
        <w:t xml:space="preserve">Fixing the bottleneck moves it.</w:t>
      </w:r>
      <w:r>
        <w:t xml:space="preserve"> </w:t>
      </w:r>
      <w:r>
        <w:t xml:space="preserve">Once the bridge is widened, the next narrowest point becomes the new bottleneck. Performance work is a sequence of</w:t>
      </w:r>
      <w:r>
        <w:t xml:space="preserve"> </w:t>
      </w:r>
      <w:r>
        <w:t xml:space="preserve">“</w:t>
      </w:r>
      <w:r>
        <w:t xml:space="preserve">find the bottleneck, relieve it, find the next one.</w:t>
      </w:r>
      <w:r>
        <w:t xml:space="preserve">”</w:t>
      </w:r>
    </w:p>
    <w:bookmarkEnd w:id="190"/>
    <w:bookmarkStart w:id="191" w:name="why-does-this-exist-10"/>
    <w:p>
      <w:pPr>
        <w:pStyle w:val="Heading4"/>
      </w:pPr>
      <w:r>
        <w:t xml:space="preserve">Why does this exist?</w:t>
      </w:r>
    </w:p>
    <w:p>
      <w:pPr>
        <w:pStyle w:val="FirstParagraph"/>
      </w:pPr>
      <w:r>
        <w:t xml:space="preserve">Systems are made of finite resources. When a QuickBite lunch rush arrives, the first resource to run out decides whether customers see a spinner or an error. If you cannot name that resource, you will add capacity in the wrong place, and pay for servers that make no difference.</w:t>
      </w:r>
    </w:p>
    <w:bookmarkEnd w:id="191"/>
    <w:bookmarkStart w:id="195" w:name="Xac44efbeef43dca89a40f5c4478345ca5c79d3d"/>
    <w:p>
      <w:pPr>
        <w:pStyle w:val="Heading4"/>
      </w:pPr>
      <w:r>
        <w:t xml:space="preserve">How it works internally: the resource model</w:t>
      </w:r>
    </w:p>
    <w:p>
      <w:pPr>
        <w:pStyle w:val="FirstParagraph"/>
      </w:pPr>
      <w:r>
        <w:t xml:space="preserve">Every request consumes a small amount of several</w:t>
      </w:r>
      <w:r>
        <w:t xml:space="preserve"> </w:t>
      </w:r>
      <w:r>
        <w:rPr>
          <w:bCs/>
          <w:b/>
        </w:rPr>
        <w:t xml:space="preserve">resources</w:t>
      </w:r>
      <w:r>
        <w:t xml:space="preserve">. The classical hardware four plus one software category cover almost every case:</w:t>
      </w:r>
    </w:p>
    <w:p>
      <w:pPr>
        <w:pStyle w:val="BodyText"/>
      </w:pPr>
      <w:r>
        <w:rPr>
          <w:bCs/>
          <w:b/>
        </w:rPr>
        <w:t xml:space="preserve">Table 2.7 — The resource model.</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Resource</w:t>
            </w:r>
          </w:p>
        </w:tc>
        <w:tc>
          <w:tcPr/>
          <w:p>
            <w:pPr>
              <w:pStyle w:val="Compact"/>
              <w:jc w:val="left"/>
            </w:pPr>
            <w:r>
              <w:t xml:space="preserve">What a request consumes</w:t>
            </w:r>
          </w:p>
        </w:tc>
        <w:tc>
          <w:tcPr/>
          <w:p>
            <w:pPr>
              <w:pStyle w:val="Compact"/>
              <w:jc w:val="left"/>
            </w:pPr>
            <w:r>
              <w:t xml:space="preserve">Utilization signal</w:t>
            </w:r>
          </w:p>
        </w:tc>
        <w:tc>
          <w:tcPr/>
          <w:p>
            <w:pPr>
              <w:pStyle w:val="Compact"/>
              <w:jc w:val="left"/>
            </w:pPr>
            <w:r>
              <w:t xml:space="preserve">Saturation signal</w:t>
            </w:r>
          </w:p>
        </w:tc>
        <w:tc>
          <w:tcPr/>
          <w:p>
            <w:pPr>
              <w:pStyle w:val="Compact"/>
              <w:jc w:val="left"/>
            </w:pPr>
            <w:r>
              <w:t xml:space="preserve">Typical relief</w:t>
            </w:r>
          </w:p>
        </w:tc>
      </w:tr>
      <w:tr>
        <w:tc>
          <w:tcPr/>
          <w:p>
            <w:pPr>
              <w:pStyle w:val="Compact"/>
              <w:jc w:val="left"/>
            </w:pPr>
            <w:r>
              <w:t xml:space="preserve">CPU</w:t>
            </w:r>
          </w:p>
        </w:tc>
        <w:tc>
          <w:tcPr/>
          <w:p>
            <w:pPr>
              <w:pStyle w:val="Compact"/>
              <w:jc w:val="left"/>
            </w:pPr>
            <w:r>
              <w:t xml:space="preserve">Cycles for parsing, serialization, business logic, encryption</w:t>
            </w:r>
          </w:p>
        </w:tc>
        <w:tc>
          <w:tcPr/>
          <w:p>
            <w:pPr>
              <w:pStyle w:val="Compact"/>
              <w:jc w:val="left"/>
            </w:pPr>
            <w:r>
              <w:t xml:space="preserve">% busy per core</w:t>
            </w:r>
          </w:p>
        </w:tc>
        <w:tc>
          <w:tcPr/>
          <w:p>
            <w:pPr>
              <w:pStyle w:val="Compact"/>
              <w:jc w:val="left"/>
            </w:pPr>
            <w:r>
              <w:t xml:space="preserve">Run-queue length &gt; core count</w:t>
            </w:r>
          </w:p>
        </w:tc>
        <w:tc>
          <w:tcPr/>
          <w:p>
            <w:pPr>
              <w:pStyle w:val="Compact"/>
              <w:jc w:val="left"/>
            </w:pPr>
            <w:r>
              <w:t xml:space="preserve">Optimize hot code, cache results, add cores or nodes</w:t>
            </w:r>
          </w:p>
        </w:tc>
      </w:tr>
      <w:tr>
        <w:tc>
          <w:tcPr/>
          <w:p>
            <w:pPr>
              <w:pStyle w:val="Compact"/>
              <w:jc w:val="left"/>
            </w:pPr>
            <w:r>
              <w:t xml:space="preserve">Memory</w:t>
            </w:r>
          </w:p>
        </w:tc>
        <w:tc>
          <w:tcPr/>
          <w:p>
            <w:pPr>
              <w:pStyle w:val="Compact"/>
              <w:jc w:val="left"/>
            </w:pPr>
            <w:r>
              <w:t xml:space="preserve">Working set, buffers, caches, per-connection state</w:t>
            </w:r>
          </w:p>
        </w:tc>
        <w:tc>
          <w:tcPr/>
          <w:p>
            <w:pPr>
              <w:pStyle w:val="Compact"/>
              <w:jc w:val="left"/>
            </w:pPr>
            <w:r>
              <w:t xml:space="preserve">% used</w:t>
            </w:r>
          </w:p>
        </w:tc>
        <w:tc>
          <w:tcPr/>
          <w:p>
            <w:pPr>
              <w:pStyle w:val="Compact"/>
              <w:jc w:val="left"/>
            </w:pPr>
            <w:r>
              <w:t xml:space="preserve">Swapping, OOM kills, GC pauses</w:t>
            </w:r>
          </w:p>
        </w:tc>
        <w:tc>
          <w:tcPr/>
          <w:p>
            <w:pPr>
              <w:pStyle w:val="Compact"/>
              <w:jc w:val="left"/>
            </w:pPr>
            <w:r>
              <w:t xml:space="preserve">Reduce footprint, add RAM, partition data</w:t>
            </w:r>
          </w:p>
        </w:tc>
      </w:tr>
      <w:tr>
        <w:tc>
          <w:tcPr/>
          <w:p>
            <w:pPr>
              <w:pStyle w:val="Compact"/>
              <w:jc w:val="left"/>
            </w:pPr>
            <w:r>
              <w:t xml:space="preserve">Disk</w:t>
            </w:r>
          </w:p>
        </w:tc>
        <w:tc>
          <w:tcPr/>
          <w:p>
            <w:pPr>
              <w:pStyle w:val="Compact"/>
              <w:jc w:val="left"/>
            </w:pPr>
            <w:r>
              <w:t xml:space="preserve">Reads and writes (IOPS), bytes per second, fsync latency</w:t>
            </w:r>
          </w:p>
        </w:tc>
        <w:tc>
          <w:tcPr/>
          <w:p>
            <w:pPr>
              <w:pStyle w:val="Compact"/>
              <w:jc w:val="left"/>
            </w:pPr>
            <w:r>
              <w:t xml:space="preserve">% time busy, IOPS used vs limit</w:t>
            </w:r>
          </w:p>
        </w:tc>
        <w:tc>
          <w:tcPr/>
          <w:p>
            <w:pPr>
              <w:pStyle w:val="Compact"/>
              <w:jc w:val="left"/>
            </w:pPr>
            <w:r>
              <w:t xml:space="preserve">Long I/O queue, rising await time</w:t>
            </w:r>
          </w:p>
        </w:tc>
        <w:tc>
          <w:tcPr/>
          <w:p>
            <w:pPr>
              <w:pStyle w:val="Compact"/>
              <w:jc w:val="left"/>
            </w:pPr>
            <w:r>
              <w:t xml:space="preserve">Cache, batch writes, faster media, partition</w:t>
            </w:r>
          </w:p>
        </w:tc>
      </w:tr>
      <w:tr>
        <w:tc>
          <w:tcPr/>
          <w:p>
            <w:pPr>
              <w:pStyle w:val="Compact"/>
              <w:jc w:val="left"/>
            </w:pPr>
            <w:r>
              <w:t xml:space="preserve">Network</w:t>
            </w:r>
          </w:p>
        </w:tc>
        <w:tc>
          <w:tcPr/>
          <w:p>
            <w:pPr>
              <w:pStyle w:val="Compact"/>
              <w:jc w:val="left"/>
            </w:pPr>
            <w:r>
              <w:t xml:space="preserve">Bytes in and out, packets, connections</w:t>
            </w:r>
          </w:p>
        </w:tc>
        <w:tc>
          <w:tcPr/>
          <w:p>
            <w:pPr>
              <w:pStyle w:val="Compact"/>
              <w:jc w:val="left"/>
            </w:pPr>
            <w:r>
              <w:t xml:space="preserve">Bandwidth used vs link capacity</w:t>
            </w:r>
          </w:p>
        </w:tc>
        <w:tc>
          <w:tcPr/>
          <w:p>
            <w:pPr>
              <w:pStyle w:val="Compact"/>
              <w:jc w:val="left"/>
            </w:pPr>
            <w:r>
              <w:t xml:space="preserve">Dropped packets, retransmits</w:t>
            </w:r>
          </w:p>
        </w:tc>
        <w:tc>
          <w:tcPr/>
          <w:p>
            <w:pPr>
              <w:pStyle w:val="Compact"/>
              <w:jc w:val="left"/>
            </w:pPr>
            <w:r>
              <w:t xml:space="preserve">Compress, CDN, bigger links, keep traffic local</w:t>
            </w:r>
          </w:p>
        </w:tc>
      </w:tr>
      <w:tr>
        <w:tc>
          <w:tcPr/>
          <w:p>
            <w:pPr>
              <w:pStyle w:val="Compact"/>
              <w:jc w:val="left"/>
            </w:pPr>
            <w:r>
              <w:t xml:space="preserve">Locks and other software resources</w:t>
            </w:r>
          </w:p>
        </w:tc>
        <w:tc>
          <w:tcPr/>
          <w:p>
            <w:pPr>
              <w:pStyle w:val="Compact"/>
              <w:jc w:val="left"/>
            </w:pPr>
            <w:r>
              <w:t xml:space="preserve">Exclusive access to a row, mutex, thread, connection-pool slot, file handle</w:t>
            </w:r>
          </w:p>
        </w:tc>
        <w:tc>
          <w:tcPr/>
          <w:p>
            <w:pPr>
              <w:pStyle w:val="Compact"/>
              <w:jc w:val="left"/>
            </w:pPr>
            <w:r>
              <w:t xml:space="preserve">Fraction of time held</w:t>
            </w:r>
          </w:p>
        </w:tc>
        <w:tc>
          <w:tcPr/>
          <w:p>
            <w:pPr>
              <w:pStyle w:val="Compact"/>
              <w:jc w:val="left"/>
            </w:pPr>
            <w:r>
              <w:t xml:space="preserve">Waiters queued; pool exhausted</w:t>
            </w:r>
          </w:p>
        </w:tc>
        <w:tc>
          <w:tcPr/>
          <w:p>
            <w:pPr>
              <w:pStyle w:val="Compact"/>
              <w:jc w:val="left"/>
            </w:pPr>
            <w:r>
              <w:t xml:space="preserve">Shorten hold time, finer-grained locks, bigger pools, partition the hot item</w:t>
            </w:r>
          </w:p>
        </w:tc>
      </w:tr>
    </w:tbl>
    <w:p>
      <w:pPr>
        <w:pStyle w:val="BodyText"/>
      </w:pPr>
      <w:r>
        <w:t xml:space="preserve">The last row is the one beginners miss. A</w:t>
      </w:r>
      <w:r>
        <w:t xml:space="preserve"> </w:t>
      </w:r>
      <w:r>
        <w:rPr>
          <w:bCs/>
          <w:b/>
        </w:rPr>
        <w:t xml:space="preserve">software resource</w:t>
      </w:r>
      <w:r>
        <w:t xml:space="preserve">, such as a database row lock, a thread pool or a connection pool, is just as finite as a CPU. It can be the bottleneck while every hardware dashboard shows idle machines.</w:t>
      </w:r>
    </w:p>
    <w:p>
      <w:pPr>
        <w:pStyle w:val="BodyText"/>
      </w:pPr>
      <w:r>
        <w:t xml:space="preserve">The standard diagnostic method is Brendan Gregg’s</w:t>
      </w:r>
      <w:r>
        <w:t xml:space="preserve"> </w:t>
      </w:r>
      <w:r>
        <w:rPr>
          <w:bCs/>
          <w:b/>
        </w:rPr>
        <w:t xml:space="preserve">USE method</w:t>
      </w:r>
      <w:r>
        <w:t xml:space="preserve">: for every resource, check</w:t>
      </w:r>
      <w:r>
        <w:t xml:space="preserve"> </w:t>
      </w:r>
      <w:r>
        <w:rPr>
          <w:bCs/>
          <w:b/>
        </w:rPr>
        <w:t xml:space="preserve">U</w:t>
      </w:r>
      <w:r>
        <w:t xml:space="preserve">tilization,</w:t>
      </w:r>
      <w:r>
        <w:t xml:space="preserve"> </w:t>
      </w:r>
      <w:r>
        <w:rPr>
          <w:bCs/>
          <w:b/>
        </w:rPr>
        <w:t xml:space="preserve">S</w:t>
      </w:r>
      <w:r>
        <w:t xml:space="preserve">aturation and</w:t>
      </w:r>
      <w:r>
        <w:t xml:space="preserve"> </w:t>
      </w:r>
      <w:r>
        <w:rPr>
          <w:bCs/>
          <w:b/>
        </w:rPr>
        <w:t xml:space="preserve">E</w:t>
      </w:r>
      <w:r>
        <w:t xml:space="preserve">rrors [Gregg USE]. Figure 2.4 turns it into a procedure.</w:t>
      </w:r>
    </w:p>
    <w:p>
      <w:pPr>
        <w:pStyle w:val="BodyText"/>
      </w:pPr>
      <w:r>
        <w:rPr>
          <w:bCs/>
          <w:b/>
        </w:rPr>
        <w:t xml:space="preserve">Figure 2.4 — Finding the bottleneck with the USE method.</w:t>
      </w:r>
    </w:p>
    <w:p>
      <w:pPr>
        <w:pStyle w:val="BodyText"/>
      </w:pPr>
      <w:r>
        <w:drawing>
          <wp:inline>
            <wp:extent cx="5334000" cy="6721346"/>
            <wp:effectExtent b="0" l="0" r="0" t="0"/>
            <wp:docPr descr="" title="" id="193" name="Picture"/>
            <a:graphic>
              <a:graphicData uri="http://schemas.openxmlformats.org/drawingml/2006/picture">
                <pic:pic>
                  <pic:nvPicPr>
                    <pic:cNvPr descr="/home/user/System-Design/build/.cache/diagrams/0d224295c2a8.png" id="194" name="Picture"/>
                    <pic:cNvPicPr>
                      <a:picLocks noChangeArrowheads="1" noChangeAspect="1"/>
                    </pic:cNvPicPr>
                  </pic:nvPicPr>
                  <pic:blipFill>
                    <a:blip r:embed="rId192"/>
                    <a:stretch>
                      <a:fillRect/>
                    </a:stretch>
                  </pic:blipFill>
                  <pic:spPr bwMode="auto">
                    <a:xfrm>
                      <a:off x="0" y="0"/>
                      <a:ext cx="5334000" cy="6721346"/>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This is a reasoning procedure, not a running system. You start from a symptom (stadium) and pick one slow request path, because bottlenecks are workload-specific: browsing and ordering have different ones. The first decision checks hardware utilization. Around 70% is a common warning threshold, because queueing delay grows steeply as utilization approaches 100% (§4.10). The second decision is the key diagnostic insight:</w:t>
      </w:r>
      <w:r>
        <w:t xml:space="preserve"> </w:t>
      </w:r>
      <w:r>
        <w:rPr>
          <w:iCs/>
          <w:i/>
        </w:rPr>
        <w:t xml:space="preserve">requests are waiting while the hardware is idle</w:t>
      </w:r>
      <w:r>
        <w:t xml:space="preserve">. This almost always means a software resource such as a lock or a pool is saturated. If neither applies, the time is being spent outside your servers, for example in a third-party API or on a slow mobile network. Every branch leads to the same discipline: compute the demand per request and confirm the hypothesis with a measurement or load test (Chapter 23). The dotted edge back to the start is the loop that never ends: relieving one bottleneck exposes the next.</w:t>
      </w:r>
    </w:p>
    <w:bookmarkEnd w:id="195"/>
    <w:bookmarkStart w:id="196" w:name="mathematical-foundations-5"/>
    <w:p>
      <w:pPr>
        <w:pStyle w:val="Heading4"/>
      </w:pPr>
      <w:r>
        <w:t xml:space="preserve">Mathematical foundations</w:t>
      </w:r>
    </w:p>
    <w:p>
      <w:pPr>
        <w:pStyle w:val="FirstParagraph"/>
      </w:pPr>
      <w:r>
        <w:t xml:space="preserve">Two laws from operational analysis of computer systems [Denning and Buzen 1978] are enough to find most bottlenecks with arithmetic alone.</w:t>
      </w:r>
    </w:p>
    <w:p>
      <w:pPr>
        <w:pStyle w:val="CalloutFormula"/>
      </w:pPr>
      <w:r>
        <w:rPr>
          <w:bCs/>
          <w:b/>
        </w:rPr>
        <w:t xml:space="preserve">FORMULA</w:t>
      </w:r>
    </w:p>
    <w:p>
      <w:pPr>
        <w:pStyle w:val="CalloutFormula"/>
      </w:pPr>
      <w:r>
        <w:rPr>
          <w:bCs/>
          <w:b/>
        </w:rPr>
        <w:t xml:space="preserve">Service demand, the utilization law and the bottleneck bound</w:t>
      </w:r>
    </w:p>
    <w:p>
      <w:pPr>
        <w:pStyle w:val="CalloutFormula"/>
      </w:pPr>
      <m:oMathPara>
        <m:oMathParaPr>
          <m:jc m:val="center"/>
        </m:oMathParaPr>
        <m:oMath>
          <m:sSub>
            <m:e>
              <m:r>
                <m:t>D</m:t>
              </m:r>
            </m:e>
            <m:sub>
              <m:r>
                <m:t>i</m:t>
              </m:r>
            </m:sub>
          </m:sSub>
          <m:r>
            <m:rPr>
              <m:sty m:val="p"/>
            </m:rPr>
            <m:t>=</m:t>
          </m:r>
          <m:sSub>
            <m:e>
              <m:r>
                <m:t>V</m:t>
              </m:r>
            </m:e>
            <m:sub>
              <m:r>
                <m:t>i</m:t>
              </m:r>
            </m:sub>
          </m:sSub>
          <m:r>
            <m:rPr>
              <m:sty m:val="p"/>
            </m:rPr>
            <m:t>×</m:t>
          </m:r>
          <m:sSub>
            <m:e>
              <m:r>
                <m:t>S</m:t>
              </m:r>
            </m:e>
            <m:sub>
              <m:r>
                <m:t>i</m:t>
              </m:r>
            </m:sub>
          </m:sSub>
          <m:r>
            <m:t>  </m:t>
          </m:r>
          <m:sSub>
            <m:e>
              <m:r>
                <m:t>U</m:t>
              </m:r>
            </m:e>
            <m:sub>
              <m:r>
                <m:t>i</m:t>
              </m:r>
            </m:sub>
          </m:sSub>
          <m:r>
            <m:rPr>
              <m:sty m:val="p"/>
            </m:rPr>
            <m:t>=</m:t>
          </m:r>
          <m:r>
            <m:t>X</m:t>
          </m:r>
          <m:r>
            <m:rPr>
              <m:sty m:val="p"/>
            </m:rPr>
            <m:t>×</m:t>
          </m:r>
          <m:sSub>
            <m:e>
              <m:r>
                <m:t>D</m:t>
              </m:r>
            </m:e>
            <m:sub>
              <m:r>
                <m:t>i</m:t>
              </m:r>
            </m:sub>
          </m:sSub>
          <m:r>
            <m:t>  </m:t>
          </m:r>
          <m:sSub>
            <m:e>
              <m:r>
                <m:t>X</m:t>
              </m:r>
            </m:e>
            <m:sub>
              <m:r>
                <m:t>m</m:t>
              </m:r>
              <m:r>
                <m:t>a</m:t>
              </m:r>
              <m:r>
                <m:t>x</m:t>
              </m:r>
            </m:sub>
          </m:sSub>
          <m:r>
            <m:rPr>
              <m:sty m:val="p"/>
            </m:rPr>
            <m:t>=</m:t>
          </m:r>
          <m:f>
            <m:fPr>
              <m:type m:val="bar"/>
            </m:fPr>
            <m:num>
              <m:sSub>
                <m:e>
                  <m:r>
                    <m:t>c</m:t>
                  </m:r>
                </m:e>
                <m:sub>
                  <m:r>
                    <m:t>i</m:t>
                  </m:r>
                </m:sub>
              </m:sSub>
            </m:num>
            <m:den>
              <m:sSub>
                <m:e>
                  <m:r>
                    <m:t>D</m:t>
                  </m:r>
                </m:e>
                <m:sub>
                  <m:r>
                    <m:t>m</m:t>
                  </m:r>
                  <m:r>
                    <m:t>a</m:t>
                  </m:r>
                  <m:r>
                    <m:t>x</m:t>
                  </m:r>
                </m:sub>
              </m:sSub>
            </m:den>
          </m:f>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D</m:t>
                  </m:r>
                </m:e>
                <m:sub>
                  <m:r>
                    <m:t>i</m:t>
                  </m:r>
                </m:sub>
              </m:sSub>
            </m:oMath>
          </w:p>
        </w:tc>
        <w:tc>
          <w:tcPr/>
          <w:p>
            <w:pPr>
              <w:pStyle w:val="Compact"/>
              <w:jc w:val="left"/>
            </w:pPr>
            <w:r>
              <w:t xml:space="preserve">Service demand: total busy time one request places on resource</w:t>
            </w:r>
            <w:r>
              <w:t xml:space="preserve"> </w:t>
            </w:r>
            <m:oMath>
              <m:r>
                <m:t>i</m:t>
              </m:r>
            </m:oMath>
          </w:p>
        </w:tc>
        <w:tc>
          <w:tcPr/>
          <w:p>
            <w:pPr>
              <w:pStyle w:val="Compact"/>
              <w:jc w:val="left"/>
            </w:pPr>
            <w:r>
              <w:t xml:space="preserve">seconds per request</w:t>
            </w:r>
          </w:p>
        </w:tc>
      </w:tr>
      <w:tr>
        <w:tc>
          <w:tcPr/>
          <w:p>
            <w:pPr>
              <w:pStyle w:val="Compact"/>
              <w:jc w:val="left"/>
            </w:pPr>
            <m:oMath>
              <m:sSub>
                <m:e>
                  <m:r>
                    <m:t>V</m:t>
                  </m:r>
                </m:e>
                <m:sub>
                  <m:r>
                    <m:t>i</m:t>
                  </m:r>
                </m:sub>
              </m:sSub>
            </m:oMath>
          </w:p>
        </w:tc>
        <w:tc>
          <w:tcPr/>
          <w:p>
            <w:pPr>
              <w:pStyle w:val="Compact"/>
              <w:jc w:val="left"/>
            </w:pPr>
            <w:r>
              <w:t xml:space="preserve">Visits: how many times one request uses resource</w:t>
            </w:r>
            <w:r>
              <w:t xml:space="preserve"> </w:t>
            </w:r>
            <m:oMath>
              <m:r>
                <m:t>i</m:t>
              </m:r>
            </m:oMath>
          </w:p>
        </w:tc>
        <w:tc>
          <w:tcPr/>
          <w:p>
            <w:pPr>
              <w:pStyle w:val="Compact"/>
              <w:jc w:val="left"/>
            </w:pPr>
            <w:r>
              <w:t xml:space="preserve">visits per request</w:t>
            </w:r>
          </w:p>
        </w:tc>
      </w:tr>
      <w:tr>
        <w:tc>
          <w:tcPr/>
          <w:p>
            <w:pPr>
              <w:pStyle w:val="Compact"/>
              <w:jc w:val="left"/>
            </w:pPr>
            <m:oMath>
              <m:sSub>
                <m:e>
                  <m:r>
                    <m:t>S</m:t>
                  </m:r>
                </m:e>
                <m:sub>
                  <m:r>
                    <m:t>i</m:t>
                  </m:r>
                </m:sub>
              </m:sSub>
            </m:oMath>
          </w:p>
        </w:tc>
        <w:tc>
          <w:tcPr/>
          <w:p>
            <w:pPr>
              <w:pStyle w:val="Compact"/>
              <w:jc w:val="left"/>
            </w:pPr>
            <w:r>
              <w:t xml:space="preserve">Service time per visit to resource</w:t>
            </w:r>
            <w:r>
              <w:t xml:space="preserve"> </w:t>
            </w:r>
            <m:oMath>
              <m:r>
                <m:t>i</m:t>
              </m:r>
            </m:oMath>
          </w:p>
        </w:tc>
        <w:tc>
          <w:tcPr/>
          <w:p>
            <w:pPr>
              <w:pStyle w:val="Compact"/>
              <w:jc w:val="left"/>
            </w:pPr>
            <w:r>
              <w:t xml:space="preserve">seconds per visit</w:t>
            </w:r>
          </w:p>
        </w:tc>
      </w:tr>
      <w:tr>
        <w:tc>
          <w:tcPr/>
          <w:p>
            <w:pPr>
              <w:pStyle w:val="Compact"/>
              <w:jc w:val="left"/>
            </w:pPr>
            <m:oMath>
              <m:sSub>
                <m:e>
                  <m:r>
                    <m:t>U</m:t>
                  </m:r>
                </m:e>
                <m:sub>
                  <m:r>
                    <m:t>i</m:t>
                  </m:r>
                </m:sub>
              </m:sSub>
            </m:oMath>
          </w:p>
        </w:tc>
        <w:tc>
          <w:tcPr/>
          <w:p>
            <w:pPr>
              <w:pStyle w:val="Compact"/>
              <w:jc w:val="left"/>
            </w:pPr>
            <w:r>
              <w:t xml:space="preserve">Utilization of resource</w:t>
            </w:r>
            <w:r>
              <w:t xml:space="preserve"> </w:t>
            </w:r>
            <m:oMath>
              <m:r>
                <m:t>i</m:t>
              </m:r>
            </m:oMath>
            <w:r>
              <w:t xml:space="preserve">, per unit of capacity</w:t>
            </w:r>
          </w:p>
        </w:tc>
        <w:tc>
          <w:tcPr/>
          <w:p>
            <w:pPr>
              <w:pStyle w:val="Compact"/>
              <w:jc w:val="left"/>
            </w:pPr>
            <w:r>
              <w:t xml:space="preserve">fraction (0–1)</w:t>
            </w:r>
          </w:p>
        </w:tc>
      </w:tr>
      <w:tr>
        <w:tc>
          <w:tcPr/>
          <w:p>
            <w:pPr>
              <w:pStyle w:val="Compact"/>
              <w:jc w:val="left"/>
            </w:pPr>
            <m:oMath>
              <m:r>
                <m:t>X</m:t>
              </m:r>
            </m:oMath>
          </w:p>
        </w:tc>
        <w:tc>
          <w:tcPr/>
          <w:p>
            <w:pPr>
              <w:pStyle w:val="Compact"/>
              <w:jc w:val="left"/>
            </w:pPr>
            <w:r>
              <w:t xml:space="preserve">System throughput</w:t>
            </w:r>
          </w:p>
        </w:tc>
        <w:tc>
          <w:tcPr/>
          <w:p>
            <w:pPr>
              <w:pStyle w:val="Compact"/>
              <w:jc w:val="left"/>
            </w:pPr>
            <w:r>
              <w:t xml:space="preserve">requests per second</w:t>
            </w:r>
          </w:p>
        </w:tc>
      </w:tr>
      <w:tr>
        <w:tc>
          <w:tcPr/>
          <w:p>
            <w:pPr>
              <w:pStyle w:val="Compact"/>
              <w:jc w:val="left"/>
            </w:pPr>
            <m:oMath>
              <m:sSub>
                <m:e>
                  <m:r>
                    <m:t>c</m:t>
                  </m:r>
                </m:e>
                <m:sub>
                  <m:r>
                    <m:t>i</m:t>
                  </m:r>
                </m:sub>
              </m:sSub>
            </m:oMath>
          </w:p>
        </w:tc>
        <w:tc>
          <w:tcPr/>
          <w:p>
            <w:pPr>
              <w:pStyle w:val="Compact"/>
              <w:jc w:val="left"/>
            </w:pPr>
            <w:r>
              <w:t xml:space="preserve">Number of parallel units of resource</w:t>
            </w:r>
            <w:r>
              <w:t xml:space="preserve"> </w:t>
            </w:r>
            <m:oMath>
              <m:r>
                <m:t>i</m:t>
              </m:r>
            </m:oMath>
            <w:r>
              <w:t xml:space="preserve"> </w:t>
            </w:r>
            <w:r>
              <w:t xml:space="preserve">(e.g. cores)</w:t>
            </w:r>
          </w:p>
        </w:tc>
        <w:tc>
          <w:tcPr/>
          <w:p>
            <w:pPr>
              <w:pStyle w:val="Compact"/>
              <w:jc w:val="left"/>
            </w:pPr>
            <w:r>
              <w:t xml:space="preserve">units</w:t>
            </w:r>
          </w:p>
        </w:tc>
      </w:tr>
      <w:tr>
        <w:tc>
          <w:tcPr/>
          <w:p>
            <w:pPr>
              <w:pStyle w:val="Compact"/>
              <w:jc w:val="left"/>
            </w:pPr>
            <m:oMath>
              <m:sSub>
                <m:e>
                  <m:r>
                    <m:t>X</m:t>
                  </m:r>
                </m:e>
                <m:sub>
                  <m:r>
                    <m:t>m</m:t>
                  </m:r>
                  <m:r>
                    <m:t>a</m:t>
                  </m:r>
                  <m:r>
                    <m:t>x</m:t>
                  </m:r>
                </m:sub>
              </m:sSub>
            </m:oMath>
          </w:p>
        </w:tc>
        <w:tc>
          <w:tcPr/>
          <w:p>
            <w:pPr>
              <w:pStyle w:val="Compact"/>
              <w:jc w:val="left"/>
            </w:pPr>
            <w:r>
              <w:t xml:space="preserve">Maximum throughput, set by the resource with the largest demand per unit</w:t>
            </w:r>
          </w:p>
        </w:tc>
        <w:tc>
          <w:tcPr/>
          <w:p>
            <w:pPr>
              <w:pStyle w:val="Compact"/>
              <w:jc w:val="left"/>
            </w:pPr>
            <w:r>
              <w:t xml:space="preserve">requests per second</w:t>
            </w:r>
          </w:p>
        </w:tc>
      </w:tr>
    </w:tbl>
    <w:p>
      <w:pPr>
        <w:pStyle w:val="CalloutFormula"/>
      </w:pPr>
      <w:r>
        <w:t xml:space="preserve">The utilization law for a resource with</w:t>
      </w:r>
      <w:r>
        <w:t xml:space="preserve"> </w:t>
      </w:r>
      <m:oMath>
        <m:sSub>
          <m:e>
            <m:r>
              <m:t>c</m:t>
            </m:r>
          </m:e>
          <m:sub>
            <m:r>
              <m:t>i</m:t>
            </m:r>
          </m:sub>
        </m:sSub>
      </m:oMath>
      <w:r>
        <w:t xml:space="preserve"> </w:t>
      </w:r>
      <w:r>
        <w:t xml:space="preserve">parallel units is</w:t>
      </w:r>
      <w:r>
        <w:t xml:space="preserve"> </w:t>
      </w:r>
      <m:oMath>
        <m:sSub>
          <m:e>
            <m:r>
              <m:t>U</m:t>
            </m:r>
          </m:e>
          <m:sub>
            <m:r>
              <m:t>i</m:t>
            </m:r>
          </m:sub>
        </m:sSub>
        <m:r>
          <m:rPr>
            <m:sty m:val="p"/>
          </m:rPr>
          <m:t>=</m:t>
        </m:r>
        <m:r>
          <m:t>X</m:t>
        </m:r>
        <m:r>
          <m:rPr>
            <m:sty m:val="p"/>
          </m:rPr>
          <m:t>×</m:t>
        </m:r>
        <m:sSub>
          <m:e>
            <m:r>
              <m:t>D</m:t>
            </m:r>
          </m:e>
          <m:sub>
            <m:r>
              <m:t>i</m:t>
            </m:r>
          </m:sub>
        </m:sSub>
        <m:r>
          <m:rPr>
            <m:sty m:val="p"/>
          </m:rPr>
          <m:t>/</m:t>
        </m:r>
        <m:sSub>
          <m:e>
            <m:r>
              <m:t>c</m:t>
            </m:r>
          </m:e>
          <m:sub>
            <m:r>
              <m:t>i</m:t>
            </m:r>
          </m:sub>
        </m:sSub>
      </m:oMath>
      <w:r>
        <w:t xml:space="preserve">. The bottleneck is the resource with the largest</w:t>
      </w:r>
      <w:r>
        <w:t xml:space="preserve"> </w:t>
      </w:r>
      <m:oMath>
        <m:sSub>
          <m:e>
            <m:r>
              <m:t>D</m:t>
            </m:r>
          </m:e>
          <m:sub>
            <m:r>
              <m:t>i</m:t>
            </m:r>
          </m:sub>
        </m:sSub>
        <m:r>
          <m:rPr>
            <m:sty m:val="p"/>
          </m:rPr>
          <m:t>/</m:t>
        </m:r>
        <m:sSub>
          <m:e>
            <m:r>
              <m:t>c</m:t>
            </m:r>
          </m:e>
          <m:sub>
            <m:r>
              <m:t>i</m:t>
            </m:r>
          </m:sub>
        </m:sSub>
      </m:oMath>
      <w:r>
        <w:t xml:space="preserve">.</w:t>
      </w:r>
    </w:p>
    <w:p>
      <w:pPr>
        <w:pStyle w:val="CalloutFormula"/>
      </w:pPr>
      <w:r>
        <w:rPr>
          <w:bCs/>
          <w:b/>
        </w:rPr>
        <w:t xml:space="preserve">FORMULA</w:t>
      </w:r>
    </w:p>
    <w:p>
      <w:pPr>
        <w:pStyle w:val="CalloutFormula"/>
      </w:pPr>
      <w:r>
        <w:rPr>
          <w:bCs/>
          <w:b/>
        </w:rPr>
        <w:t xml:space="preserve">Little’s Law (concurrency)</w:t>
      </w:r>
    </w:p>
    <w:p>
      <w:pPr>
        <w:pStyle w:val="CalloutFormula"/>
      </w:pPr>
      <m:oMathPara>
        <m:oMathParaPr>
          <m:jc m:val="center"/>
        </m:oMathParaPr>
        <m:oMath>
          <m:r>
            <m:t>L</m:t>
          </m:r>
          <m:r>
            <m:rPr>
              <m:sty m:val="p"/>
            </m:rPr>
            <m:t>=</m:t>
          </m:r>
          <m:r>
            <m:t>λ</m:t>
          </m:r>
          <m:r>
            <m:rPr>
              <m:sty m:val="p"/>
            </m:rPr>
            <m:t>×</m:t>
          </m:r>
          <m:r>
            <m:t>W</m:t>
          </m:r>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L</m:t>
              </m:r>
            </m:oMath>
          </w:p>
        </w:tc>
        <w:tc>
          <w:tcPr/>
          <w:p>
            <w:pPr>
              <w:pStyle w:val="Compact"/>
              <w:jc w:val="left"/>
            </w:pPr>
            <w:r>
              <w:t xml:space="preserve">Average number of requests in the system (or holding a resource) at once</w:t>
            </w:r>
          </w:p>
        </w:tc>
        <w:tc>
          <w:tcPr/>
          <w:p>
            <w:pPr>
              <w:pStyle w:val="Compact"/>
              <w:jc w:val="left"/>
            </w:pPr>
            <w:r>
              <w:t xml:space="preserve">requests</w:t>
            </w:r>
          </w:p>
        </w:tc>
      </w:tr>
      <w:tr>
        <w:tc>
          <w:tcPr/>
          <w:p>
            <w:pPr>
              <w:pStyle w:val="Compact"/>
              <w:jc w:val="left"/>
            </w:pPr>
            <m:oMath>
              <m:r>
                <m:t>λ</m:t>
              </m:r>
            </m:oMath>
          </w:p>
        </w:tc>
        <w:tc>
          <w:tcPr/>
          <w:p>
            <w:pPr>
              <w:pStyle w:val="Compact"/>
              <w:jc w:val="left"/>
            </w:pPr>
            <w:r>
              <w:t xml:space="preserve">Average arrival rate</w:t>
            </w:r>
          </w:p>
        </w:tc>
        <w:tc>
          <w:tcPr/>
          <w:p>
            <w:pPr>
              <w:pStyle w:val="Compact"/>
              <w:jc w:val="left"/>
            </w:pPr>
            <w:r>
              <w:t xml:space="preserve">requests per second</w:t>
            </w:r>
          </w:p>
        </w:tc>
      </w:tr>
      <w:tr>
        <w:tc>
          <w:tcPr/>
          <w:p>
            <w:pPr>
              <w:pStyle w:val="Compact"/>
              <w:jc w:val="left"/>
            </w:pPr>
            <m:oMath>
              <m:r>
                <m:t>W</m:t>
              </m:r>
            </m:oMath>
          </w:p>
        </w:tc>
        <w:tc>
          <w:tcPr/>
          <w:p>
            <w:pPr>
              <w:pStyle w:val="Compact"/>
              <w:jc w:val="left"/>
            </w:pPr>
            <w:r>
              <w:t xml:space="preserve">Average time each request spends in the system (or holds the resource)</w:t>
            </w:r>
          </w:p>
        </w:tc>
        <w:tc>
          <w:tcPr/>
          <w:p>
            <w:pPr>
              <w:pStyle w:val="Compact"/>
              <w:jc w:val="left"/>
            </w:pPr>
            <w:r>
              <w:t xml:space="preserve">seconds</w:t>
            </w:r>
          </w:p>
        </w:tc>
      </w:tr>
    </w:tbl>
    <w:p>
      <w:pPr>
        <w:pStyle w:val="CalloutFormula"/>
      </w:pPr>
      <w:r>
        <w:t xml:space="preserve">Little’s Law holds for any stable system, regardless of the arrival pattern [Little 1961]. Full treatment in §4.11.</w:t>
      </w:r>
    </w:p>
    <w:p>
      <w:pPr>
        <w:pStyle w:val="CalloutExample"/>
      </w:pPr>
      <w:r>
        <w:rPr>
          <w:bCs/>
          <w:b/>
        </w:rPr>
        <w:t xml:space="preserve">WORKED EXAMPLE</w:t>
      </w:r>
    </w:p>
    <w:p>
      <w:pPr>
        <w:pStyle w:val="CalloutExample"/>
      </w:pPr>
      <w:r>
        <w:rPr>
          <w:bCs/>
          <w:b/>
        </w:rPr>
        <w:t xml:space="preserve">Worked example — Finding QuickBite’s checkout bottleneck.</w:t>
      </w:r>
    </w:p>
    <w:p>
      <w:pPr>
        <w:pStyle w:val="CalloutExample"/>
      </w:pPr>
      <w:r>
        <w:rPr>
          <w:iCs/>
          <w:i/>
        </w:rPr>
        <w:t xml:space="preserve">Situation.</w:t>
      </w:r>
      <w:r>
        <w:t xml:space="preserve"> </w:t>
      </w:r>
      <w:r>
        <w:t xml:space="preserve">At dinner peak QuickBite receives 60 order placements per second (this number is derived in §2.11). Customers complain that checkout sometimes spins for 5 seconds and then fails, yet CPU dashboards show the database at only 25% utilization. The order transaction, as first written, does this:</w:t>
      </w:r>
    </w:p>
    <w:p>
      <w:pPr>
        <w:numPr>
          <w:ilvl w:val="0"/>
          <w:numId w:val="1046"/>
        </w:numPr>
        <w:pStyle w:val="Compact"/>
      </w:pPr>
      <w:r>
        <w:t xml:space="preserve">Begin a database transaction.</w:t>
      </w:r>
    </w:p>
    <w:p>
      <w:pPr>
        <w:numPr>
          <w:ilvl w:val="0"/>
          <w:numId w:val="1046"/>
        </w:numPr>
        <w:pStyle w:val="Compact"/>
      </w:pPr>
      <w:r>
        <w:t xml:space="preserve">Insert the order and its items.</w:t>
      </w:r>
    </w:p>
    <w:p>
      <w:pPr>
        <w:numPr>
          <w:ilvl w:val="0"/>
          <w:numId w:val="1046"/>
        </w:numPr>
        <w:pStyle w:val="Compact"/>
      </w:pPr>
      <w:r>
        <w:t xml:space="preserve">Update the restaurant’s row in</w:t>
      </w:r>
      <w:r>
        <w:t xml:space="preserve"> </w:t>
      </w:r>
      <w:r>
        <w:rPr>
          <w:rStyle w:val="VerbatimChar"/>
        </w:rPr>
        <w:t xml:space="preserve">restaurant_load</w:t>
      </w:r>
      <w:r>
        <w:t xml:space="preserve"> </w:t>
      </w:r>
      <w:r>
        <w:t xml:space="preserve">to increment</w:t>
      </w:r>
      <w:r>
        <w:t xml:space="preserve"> </w:t>
      </w:r>
      <w:r>
        <w:rPr>
          <w:rStyle w:val="VerbatimChar"/>
        </w:rPr>
        <w:t xml:space="preserve">open_orders</w:t>
      </w:r>
      <w:r>
        <w:t xml:space="preserve"> </w:t>
      </w:r>
      <w:r>
        <w:t xml:space="preserve">(used to stop accepting orders when a kitchen is overwhelmed). This takes a</w:t>
      </w:r>
      <w:r>
        <w:t xml:space="preserve"> </w:t>
      </w:r>
      <w:r>
        <w:rPr>
          <w:bCs/>
          <w:b/>
        </w:rPr>
        <w:t xml:space="preserve">row lock</w:t>
      </w:r>
      <w:r>
        <w:t xml:space="preserve"> </w:t>
      </w:r>
      <w:r>
        <w:t xml:space="preserve">until commit.</w:t>
      </w:r>
    </w:p>
    <w:p>
      <w:pPr>
        <w:numPr>
          <w:ilvl w:val="0"/>
          <w:numId w:val="1046"/>
        </w:numPr>
        <w:pStyle w:val="Compact"/>
      </w:pPr>
      <w:r>
        <w:t xml:space="preserve">Call the payment service, which calls the payment provider. Average 300 ms.</w:t>
      </w:r>
    </w:p>
    <w:p>
      <w:pPr>
        <w:numPr>
          <w:ilvl w:val="0"/>
          <w:numId w:val="1046"/>
        </w:numPr>
        <w:pStyle w:val="Compact"/>
      </w:pPr>
      <w:r>
        <w:t xml:space="preserve">Commit.</w:t>
      </w:r>
    </w:p>
    <w:p>
      <w:pPr>
        <w:pStyle w:val="CalloutExample"/>
      </w:pPr>
      <w:r>
        <w:t xml:space="preserve">Measured per-order demands (assumed values for the exercise):</w:t>
      </w:r>
    </w:p>
    <w:p>
      <w:pPr>
        <w:pStyle w:val="CalloutExample"/>
      </w:pPr>
      <w:r>
        <w:rPr>
          <w:bCs/>
          <w:b/>
        </w:rPr>
        <w:t xml:space="preserve">Table 2.8 — Per-order resource demand in the checkout path.</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Resource</w:t>
            </w:r>
          </w:p>
        </w:tc>
        <w:tc>
          <w:tcPr/>
          <w:p>
            <w:pPr>
              <w:pStyle w:val="Compact"/>
              <w:jc w:val="left"/>
            </w:pPr>
            <w:r>
              <w:t xml:space="preserve">Demand per order</w:t>
            </w:r>
            <w:r>
              <w:t xml:space="preserve"> </w:t>
            </w:r>
            <m:oMath>
              <m:sSub>
                <m:e>
                  <m:r>
                    <m:t>D</m:t>
                  </m:r>
                </m:e>
                <m:sub>
                  <m:r>
                    <m:t>i</m:t>
                  </m:r>
                </m:sub>
              </m:sSub>
            </m:oMath>
          </w:p>
        </w:tc>
        <w:tc>
          <w:tcPr/>
          <w:p>
            <w:pPr>
              <w:pStyle w:val="Compact"/>
              <w:jc w:val="left"/>
            </w:pPr>
            <w:r>
              <w:t xml:space="preserve">Parallel units</w:t>
            </w:r>
            <w:r>
              <w:t xml:space="preserve"> </w:t>
            </w:r>
            <m:oMath>
              <m:sSub>
                <m:e>
                  <m:r>
                    <m:t>c</m:t>
                  </m:r>
                </m:e>
                <m:sub>
                  <m:r>
                    <m:t>i</m:t>
                  </m:r>
                </m:sub>
              </m:sSub>
            </m:oMath>
          </w:p>
        </w:tc>
        <w:tc>
          <w:tcPr/>
          <w:p>
            <w:pPr>
              <w:pStyle w:val="Compact"/>
              <w:jc w:val="left"/>
            </w:pPr>
            <m:oMath>
              <m:sSub>
                <m:e>
                  <m:r>
                    <m:t>D</m:t>
                  </m:r>
                </m:e>
                <m:sub>
                  <m:r>
                    <m:t>i</m:t>
                  </m:r>
                </m:sub>
              </m:sSub>
              <m:r>
                <m:rPr>
                  <m:sty m:val="p"/>
                </m:rPr>
                <m:t>/</m:t>
              </m:r>
              <m:sSub>
                <m:e>
                  <m:r>
                    <m:t>c</m:t>
                  </m:r>
                </m:e>
                <m:sub>
                  <m:r>
                    <m:t>i</m:t>
                  </m:r>
                </m:sub>
              </m:sSub>
            </m:oMath>
          </w:p>
        </w:tc>
        <w:tc>
          <w:tcPr/>
          <w:p>
            <w:pPr>
              <w:pStyle w:val="Compact"/>
              <w:jc w:val="left"/>
            </w:pPr>
            <w:r>
              <w:t xml:space="preserve">Max orders/s =</w:t>
            </w:r>
            <w:r>
              <w:t xml:space="preserve"> </w:t>
            </w:r>
            <m:oMath>
              <m:r>
                <m:t>1</m:t>
              </m:r>
              <m:r>
                <m:rPr>
                  <m:sty m:val="p"/>
                </m:rPr>
                <m:t>/</m:t>
              </m:r>
              <m:d>
                <m:dPr>
                  <m:begChr m:val="("/>
                  <m:endChr m:val=")"/>
                  <m:sepChr m:val=""/>
                  <m:grow/>
                </m:dPr>
                <m:e>
                  <m:sSub>
                    <m:e>
                      <m:r>
                        <m:t>D</m:t>
                      </m:r>
                    </m:e>
                    <m:sub>
                      <m:r>
                        <m:t>i</m:t>
                      </m:r>
                    </m:sub>
                  </m:sSub>
                  <m:r>
                    <m:rPr>
                      <m:sty m:val="p"/>
                    </m:rPr>
                    <m:t>/</m:t>
                  </m:r>
                  <m:sSub>
                    <m:e>
                      <m:r>
                        <m:t>c</m:t>
                      </m:r>
                    </m:e>
                    <m:sub>
                      <m:r>
                        <m:t>i</m:t>
                      </m:r>
                    </m:sub>
                  </m:sSub>
                </m:e>
              </m:d>
            </m:oMath>
          </w:p>
        </w:tc>
        <w:tc>
          <w:tcPr/>
          <w:p>
            <w:pPr>
              <w:pStyle w:val="Compact"/>
              <w:jc w:val="left"/>
            </w:pPr>
            <w:r>
              <w:t xml:space="preserve">Utilization at 60/s</w:t>
            </w:r>
          </w:p>
        </w:tc>
      </w:tr>
      <w:tr>
        <w:tc>
          <w:tcPr/>
          <w:p>
            <w:pPr>
              <w:pStyle w:val="Compact"/>
              <w:jc w:val="left"/>
            </w:pPr>
            <w:r>
              <w:t xml:space="preserve">API tier CPU</w:t>
            </w:r>
          </w:p>
        </w:tc>
        <w:tc>
          <w:tcPr/>
          <w:p>
            <w:pPr>
              <w:pStyle w:val="Compact"/>
              <w:jc w:val="left"/>
            </w:pPr>
            <w:r>
              <w:t xml:space="preserve">8 ms</w:t>
            </w:r>
          </w:p>
        </w:tc>
        <w:tc>
          <w:tcPr/>
          <w:p>
            <w:pPr>
              <w:pStyle w:val="Compact"/>
              <w:jc w:val="left"/>
            </w:pPr>
            <w:r>
              <w:t xml:space="preserve">32 cores</w:t>
            </w:r>
          </w:p>
        </w:tc>
        <w:tc>
          <w:tcPr/>
          <w:p>
            <w:pPr>
              <w:pStyle w:val="Compact"/>
              <w:jc w:val="left"/>
            </w:pPr>
            <w:r>
              <w:t xml:space="preserve">0.25 ms</w:t>
            </w:r>
          </w:p>
        </w:tc>
        <w:tc>
          <w:tcPr/>
          <w:p>
            <w:pPr>
              <w:pStyle w:val="Compact"/>
              <w:jc w:val="left"/>
            </w:pPr>
            <w:r>
              <w:t xml:space="preserve">4,000</w:t>
            </w:r>
          </w:p>
        </w:tc>
        <w:tc>
          <w:tcPr/>
          <w:p>
            <w:pPr>
              <w:pStyle w:val="Compact"/>
              <w:jc w:val="left"/>
            </w:pPr>
            <w:r>
              <w:t xml:space="preserve">60 × 0.25 ms = 1.5%</w:t>
            </w:r>
          </w:p>
        </w:tc>
      </w:tr>
      <w:tr>
        <w:tc>
          <w:tcPr/>
          <w:p>
            <w:pPr>
              <w:pStyle w:val="Compact"/>
              <w:jc w:val="left"/>
            </w:pPr>
            <w:r>
              <w:t xml:space="preserve">Database CPU</w:t>
            </w:r>
          </w:p>
        </w:tc>
        <w:tc>
          <w:tcPr/>
          <w:p>
            <w:pPr>
              <w:pStyle w:val="Compact"/>
              <w:jc w:val="left"/>
            </w:pPr>
            <w:r>
              <w:t xml:space="preserve">5 ms</w:t>
            </w:r>
          </w:p>
        </w:tc>
        <w:tc>
          <w:tcPr/>
          <w:p>
            <w:pPr>
              <w:pStyle w:val="Compact"/>
              <w:jc w:val="left"/>
            </w:pPr>
            <w:r>
              <w:t xml:space="preserve">8 cores</w:t>
            </w:r>
          </w:p>
        </w:tc>
        <w:tc>
          <w:tcPr/>
          <w:p>
            <w:pPr>
              <w:pStyle w:val="Compact"/>
              <w:jc w:val="left"/>
            </w:pPr>
            <w:r>
              <w:t xml:space="preserve">0.625 ms</w:t>
            </w:r>
          </w:p>
        </w:tc>
        <w:tc>
          <w:tcPr/>
          <w:p>
            <w:pPr>
              <w:pStyle w:val="Compact"/>
              <w:jc w:val="left"/>
            </w:pPr>
            <w:r>
              <w:t xml:space="preserve">1,600</w:t>
            </w:r>
          </w:p>
        </w:tc>
        <w:tc>
          <w:tcPr/>
          <w:p>
            <w:pPr>
              <w:pStyle w:val="Compact"/>
              <w:jc w:val="left"/>
            </w:pPr>
            <w:r>
              <w:t xml:space="preserve">3.8%</w:t>
            </w:r>
          </w:p>
        </w:tc>
      </w:tr>
      <w:tr>
        <w:tc>
          <w:tcPr/>
          <w:p>
            <w:pPr>
              <w:pStyle w:val="Compact"/>
              <w:jc w:val="left"/>
            </w:pPr>
            <w:r>
              <w:t xml:space="preserve">Database WAL disk (fsync)</w:t>
            </w:r>
          </w:p>
        </w:tc>
        <w:tc>
          <w:tcPr/>
          <w:p>
            <w:pPr>
              <w:pStyle w:val="Compact"/>
              <w:jc w:val="left"/>
            </w:pPr>
            <w:r>
              <w:t xml:space="preserve">2 ms</w:t>
            </w:r>
          </w:p>
        </w:tc>
        <w:tc>
          <w:tcPr/>
          <w:p>
            <w:pPr>
              <w:pStyle w:val="Compact"/>
              <w:jc w:val="left"/>
            </w:pPr>
            <w:r>
              <w:t xml:space="preserve">1 device</w:t>
            </w:r>
          </w:p>
        </w:tc>
        <w:tc>
          <w:tcPr/>
          <w:p>
            <w:pPr>
              <w:pStyle w:val="Compact"/>
              <w:jc w:val="left"/>
            </w:pPr>
            <w:r>
              <w:t xml:space="preserve">2 ms</w:t>
            </w:r>
          </w:p>
        </w:tc>
        <w:tc>
          <w:tcPr/>
          <w:p>
            <w:pPr>
              <w:pStyle w:val="Compact"/>
              <w:jc w:val="left"/>
            </w:pPr>
            <w:r>
              <w:t xml:space="preserve">500</w:t>
            </w:r>
          </w:p>
        </w:tc>
        <w:tc>
          <w:tcPr/>
          <w:p>
            <w:pPr>
              <w:pStyle w:val="Compact"/>
              <w:jc w:val="left"/>
            </w:pPr>
            <w:r>
              <w:t xml:space="preserve">12%</w:t>
            </w:r>
          </w:p>
        </w:tc>
      </w:tr>
      <w:tr>
        <w:tc>
          <w:tcPr/>
          <w:p>
            <w:pPr>
              <w:pStyle w:val="Compact"/>
              <w:jc w:val="left"/>
            </w:pPr>
            <w:r>
              <w:t xml:space="preserve">Network (25 KB per order, 10 Gbps link)</w:t>
            </w:r>
          </w:p>
        </w:tc>
        <w:tc>
          <w:tcPr/>
          <w:p>
            <w:pPr>
              <w:pStyle w:val="Compact"/>
              <w:jc w:val="left"/>
            </w:pPr>
            <w:r>
              <w:t xml:space="preserve">0.02 ms</w:t>
            </w:r>
          </w:p>
        </w:tc>
        <w:tc>
          <w:tcPr/>
          <w:p>
            <w:pPr>
              <w:pStyle w:val="Compact"/>
              <w:jc w:val="left"/>
            </w:pPr>
            <w:r>
              <w:t xml:space="preserve">1 link</w:t>
            </w:r>
          </w:p>
        </w:tc>
        <w:tc>
          <w:tcPr/>
          <w:p>
            <w:pPr>
              <w:pStyle w:val="Compact"/>
              <w:jc w:val="left"/>
            </w:pPr>
            <w:r>
              <w:t xml:space="preserve">0.02 ms</w:t>
            </w:r>
          </w:p>
        </w:tc>
        <w:tc>
          <w:tcPr/>
          <w:p>
            <w:pPr>
              <w:pStyle w:val="Compact"/>
              <w:jc w:val="left"/>
            </w:pPr>
            <w:r>
              <w:t xml:space="preserve">50,000</w:t>
            </w:r>
          </w:p>
        </w:tc>
        <w:tc>
          <w:tcPr/>
          <w:p>
            <w:pPr>
              <w:pStyle w:val="Compact"/>
              <w:jc w:val="left"/>
            </w:pPr>
            <w:r>
              <w:t xml:space="preserve">0.1%</w:t>
            </w:r>
          </w:p>
        </w:tc>
      </w:tr>
      <w:tr>
        <w:tc>
          <w:tcPr/>
          <w:p>
            <w:pPr>
              <w:pStyle w:val="Compact"/>
              <w:jc w:val="left"/>
            </w:pPr>
            <w:r>
              <w:t xml:space="preserve">DB connection pool (20 connections)</w:t>
            </w:r>
          </w:p>
        </w:tc>
        <w:tc>
          <w:tcPr/>
          <w:p>
            <w:pPr>
              <w:pStyle w:val="Compact"/>
              <w:jc w:val="left"/>
            </w:pPr>
            <w:r>
              <w:t xml:space="preserve">320 ms held</w:t>
            </w:r>
          </w:p>
        </w:tc>
        <w:tc>
          <w:tcPr/>
          <w:p>
            <w:pPr>
              <w:pStyle w:val="Compact"/>
              <w:jc w:val="left"/>
            </w:pPr>
            <w:r>
              <w:t xml:space="preserve">20</w:t>
            </w:r>
          </w:p>
        </w:tc>
        <w:tc>
          <w:tcPr/>
          <w:p>
            <w:pPr>
              <w:pStyle w:val="Compact"/>
              <w:jc w:val="left"/>
            </w:pPr>
            <w:r>
              <w:t xml:space="preserve">16 ms</w:t>
            </w:r>
          </w:p>
        </w:tc>
        <w:tc>
          <w:tcPr/>
          <w:p>
            <w:pPr>
              <w:pStyle w:val="Compact"/>
              <w:jc w:val="left"/>
            </w:pPr>
            <w:r>
              <w:t xml:space="preserve">62.5</w:t>
            </w:r>
          </w:p>
        </w:tc>
        <w:tc>
          <w:tcPr/>
          <w:p>
            <w:pPr>
              <w:pStyle w:val="Compact"/>
              <w:jc w:val="left"/>
            </w:pPr>
            <w:r>
              <w:t xml:space="preserve">96%</w:t>
            </w:r>
          </w:p>
        </w:tc>
      </w:tr>
      <w:tr>
        <w:tc>
          <w:tcPr/>
          <w:p>
            <w:pPr>
              <w:pStyle w:val="Compact"/>
              <w:jc w:val="left"/>
            </w:pPr>
            <w:r>
              <w:t xml:space="preserve">Row lock on one popular restaurant</w:t>
            </w:r>
          </w:p>
        </w:tc>
        <w:tc>
          <w:tcPr/>
          <w:p>
            <w:pPr>
              <w:pStyle w:val="Compact"/>
              <w:jc w:val="left"/>
            </w:pPr>
            <w:r>
              <w:t xml:space="preserve">320 ms held</w:t>
            </w:r>
          </w:p>
        </w:tc>
        <w:tc>
          <w:tcPr/>
          <w:p>
            <w:pPr>
              <w:pStyle w:val="Compact"/>
              <w:jc w:val="left"/>
            </w:pPr>
            <w:r>
              <w:t xml:space="preserve">1</w:t>
            </w:r>
          </w:p>
        </w:tc>
        <w:tc>
          <w:tcPr/>
          <w:p>
            <w:pPr>
              <w:pStyle w:val="Compact"/>
              <w:jc w:val="left"/>
            </w:pPr>
            <w:r>
              <w:t xml:space="preserve">320 ms</w:t>
            </w:r>
          </w:p>
        </w:tc>
        <w:tc>
          <w:tcPr/>
          <w:p>
            <w:pPr>
              <w:pStyle w:val="Compact"/>
              <w:jc w:val="left"/>
            </w:pPr>
            <w:r>
              <w:t xml:space="preserve">3.1</w:t>
            </w:r>
          </w:p>
        </w:tc>
        <w:tc>
          <w:tcPr/>
          <w:p>
            <w:pPr>
              <w:pStyle w:val="Compact"/>
              <w:jc w:val="left"/>
            </w:pPr>
            <w:r>
              <w:t xml:space="preserve">see below</w:t>
            </w:r>
          </w:p>
        </w:tc>
      </w:tr>
    </w:tbl>
    <w:p>
      <w:pPr>
        <w:pStyle w:val="CalloutExample"/>
      </w:pPr>
      <w:r>
        <w:rPr>
          <w:iCs/>
          <w:i/>
        </w:rPr>
        <w:t xml:space="preserve">Step 1 — Hardware.</w:t>
      </w:r>
      <w:r>
        <w:t xml:space="preserve"> </w:t>
      </w:r>
      <w:r>
        <w:t xml:space="preserve">Every hardware resource is far below 70% utilization. The largest is the WAL disk at 12%, so hardware is not the bottleneck. Following Figure 2.4,</w:t>
      </w:r>
      <w:r>
        <w:t xml:space="preserve"> </w:t>
      </w:r>
      <w:r>
        <w:t xml:space="preserve">“</w:t>
      </w:r>
      <w:r>
        <w:t xml:space="preserve">requests waiting with idle hardware</w:t>
      </w:r>
      <w:r>
        <w:t xml:space="preserve">”</w:t>
      </w:r>
      <w:r>
        <w:t xml:space="preserve"> </w:t>
      </w:r>
      <w:r>
        <w:t xml:space="preserve">points to a software resource.</w:t>
      </w:r>
    </w:p>
    <w:p>
      <w:pPr>
        <w:pStyle w:val="CalloutExample"/>
      </w:pPr>
      <w:r>
        <w:rPr>
          <w:iCs/>
          <w:i/>
        </w:rPr>
        <w:t xml:space="preserve">Step 2 — Connection pool, by Little’s Law.</w:t>
      </w:r>
      <w:r>
        <w:t xml:space="preserve"> </w:t>
      </w:r>
      <w:r>
        <w:t xml:space="preserve">Each order holds a database connection from step 1 to step 5: about 300 ms of payment time plus about 20 ms of database work, so</w:t>
      </w:r>
      <w:r>
        <w:t xml:space="preserve"> </w:t>
      </w:r>
      <m:oMath>
        <m:r>
          <m:t>W</m:t>
        </m:r>
      </m:oMath>
      <w:r>
        <w:t xml:space="preserve"> </w:t>
      </w:r>
      <w:r>
        <w:t xml:space="preserve">= 0.32 s. Then</w:t>
      </w:r>
      <w:r>
        <w:t xml:space="preserve"> </w:t>
      </w:r>
      <m:oMath>
        <m:r>
          <m:t>L</m:t>
        </m:r>
      </m:oMath>
      <w:r>
        <w:t xml:space="preserve"> </w:t>
      </w:r>
      <w:r>
        <w:t xml:space="preserve">= λ × W = 60 × 0.32 =</w:t>
      </w:r>
      <w:r>
        <w:t xml:space="preserve"> </w:t>
      </w:r>
      <w:r>
        <w:rPr>
          <w:bCs/>
          <w:b/>
        </w:rPr>
        <w:t xml:space="preserve">19.2 connections busy on average</w:t>
      </w:r>
      <w:r>
        <w:t xml:space="preserve">, out of a pool of 20. Utilization is 19.2 / 20 = 96%. Any burst above 62.5 orders/s (20 / 0.32) makes requests queue for a connection, and queueing at 96% utilization is severe (§4.10).</w:t>
      </w:r>
    </w:p>
    <w:p>
      <w:pPr>
        <w:pStyle w:val="CalloutExample"/>
      </w:pPr>
      <w:r>
        <w:rPr>
          <w:iCs/>
          <w:i/>
        </w:rPr>
        <w:t xml:space="preserve">Step 3 — The row lock.</w:t>
      </w:r>
      <w:r>
        <w:t xml:space="preserve"> </w:t>
      </w:r>
      <w:r>
        <w:t xml:space="preserve">A celebrity chef’s restaurant runs a promotion and receives 8 orders per second. Each order holds that restaurant’s row lock for 0.32 s, so the row can serve at most 1 / 0.32 =</w:t>
      </w:r>
      <w:r>
        <w:t xml:space="preserve"> </w:t>
      </w:r>
      <w:r>
        <w:rPr>
          <w:bCs/>
          <w:b/>
        </w:rPr>
        <w:t xml:space="preserve">3.1 orders per second</w:t>
      </w:r>
      <w:r>
        <w:t xml:space="preserve">. Arrivals (8/s) exceed capacity (3.1/s), so the queue grows without bound until requests time out at 5 s. That matches the complaint exactly. This is the bottleneck for that workload: a single</w:t>
      </w:r>
      <w:r>
        <w:t xml:space="preserve"> </w:t>
      </w:r>
      <w:r>
        <w:rPr>
          <w:bCs/>
          <w:b/>
        </w:rPr>
        <w:t xml:space="preserve">hot row</w:t>
      </w:r>
      <w:r>
        <w:t xml:space="preserve">.</w:t>
      </w:r>
    </w:p>
    <w:p>
      <w:pPr>
        <w:pStyle w:val="CalloutExample"/>
      </w:pPr>
      <w:r>
        <w:rPr>
          <w:iCs/>
          <w:i/>
        </w:rPr>
        <w:t xml:space="preserve">Step 4 — Relieve it.</w:t>
      </w:r>
      <w:r>
        <w:t xml:space="preserve"> </w:t>
      </w:r>
      <w:r>
        <w:t xml:space="preserve">Move the slow external call</w:t>
      </w:r>
      <w:r>
        <w:t xml:space="preserve"> </w:t>
      </w:r>
      <w:r>
        <w:rPr>
          <w:iCs/>
          <w:i/>
        </w:rPr>
        <w:t xml:space="preserve">out of</w:t>
      </w:r>
      <w:r>
        <w:t xml:space="preserve"> </w:t>
      </w:r>
      <w:r>
        <w:t xml:space="preserve">the database transaction. First authorize the payment, keyed by an idempotency key so retries cannot double-charge (§22.15). Then run a short transaction (insert order, update counter, commit) of about 15 ms. Then capture the payment, or publish an event to do so asynchronously.</w:t>
      </w:r>
    </w:p>
    <w:p>
      <w:pPr>
        <w:pStyle w:val="CalloutExample"/>
      </w:pPr>
      <w:r>
        <w:rPr>
          <w:iCs/>
          <w:i/>
        </w:rPr>
        <w:t xml:space="preserve">Step 5 — Re-compute.</w:t>
      </w:r>
      <w:r>
        <w:t xml:space="preserve"> </w:t>
      </w:r>
      <w:r>
        <w:t xml:space="preserve">Hold time</w:t>
      </w:r>
      <w:r>
        <w:t xml:space="preserve"> </w:t>
      </w:r>
      <m:oMath>
        <m:r>
          <m:t>W</m:t>
        </m:r>
      </m:oMath>
      <w:r>
        <w:t xml:space="preserve"> </w:t>
      </w:r>
      <w:r>
        <w:t xml:space="preserve">drops from 0.32 s to 0.015 s.</w:t>
      </w:r>
    </w:p>
    <w:p>
      <w:pPr>
        <w:numPr>
          <w:ilvl w:val="0"/>
          <w:numId w:val="1047"/>
        </w:numPr>
        <w:pStyle w:val="Compact"/>
      </w:pPr>
      <w:r>
        <w:t xml:space="preserve">Pool:</w:t>
      </w:r>
      <w:r>
        <w:t xml:space="preserve"> </w:t>
      </w:r>
      <m:oMath>
        <m:r>
          <m:t>L</m:t>
        </m:r>
      </m:oMath>
      <w:r>
        <w:t xml:space="preserve"> </w:t>
      </w:r>
      <w:r>
        <w:t xml:space="preserve">= 60 × 0.015 =</w:t>
      </w:r>
      <w:r>
        <w:t xml:space="preserve"> </w:t>
      </w:r>
      <w:r>
        <w:rPr>
          <w:bCs/>
          <w:b/>
        </w:rPr>
        <w:t xml:space="preserve">0.9 connections busy</w:t>
      </w:r>
      <w:r>
        <w:t xml:space="preserve">, which is 4.5% of the pool.</w:t>
      </w:r>
    </w:p>
    <w:p>
      <w:pPr>
        <w:numPr>
          <w:ilvl w:val="0"/>
          <w:numId w:val="1047"/>
        </w:numPr>
        <w:pStyle w:val="Compact"/>
      </w:pPr>
      <w:r>
        <w:t xml:space="preserve">Hot row: maximum 1 / 0.015 ≈</w:t>
      </w:r>
      <w:r>
        <w:t xml:space="preserve"> </w:t>
      </w:r>
      <w:r>
        <w:rPr>
          <w:bCs/>
          <w:b/>
        </w:rPr>
        <w:t xml:space="preserve">66 orders/s per restaurant</w:t>
      </w:r>
      <w:r>
        <w:t xml:space="preserve">, comfortably above 8.</w:t>
      </w:r>
    </w:p>
    <w:p>
      <w:pPr>
        <w:numPr>
          <w:ilvl w:val="0"/>
          <w:numId w:val="1047"/>
        </w:numPr>
        <w:pStyle w:val="Compact"/>
      </w:pPr>
      <w:r>
        <w:t xml:space="preserve">The bottleneck has moved. It is now the WAL disk at 500 orders/s, about 8× headroom over today’s peak. That is the next thing to watch as QuickBite grows (group commit and partitioning address it, §13.5 and Chapter 14).</w:t>
      </w:r>
    </w:p>
    <w:p>
      <w:pPr>
        <w:pStyle w:val="CalloutExample"/>
      </w:pPr>
      <w:r>
        <w:rPr>
          <w:bCs/>
          <w:b/>
        </w:rPr>
        <w:t xml:space="preserve">Interpretation.</w:t>
      </w:r>
      <w:r>
        <w:t xml:space="preserve"> </w:t>
      </w:r>
      <w:r>
        <w:t xml:space="preserve">Adding database servers or CPUs would have cost money and fixed nothing: the limit was a lock held during a network call.</w:t>
      </w:r>
      <w:r>
        <w:t xml:space="preserve"> </w:t>
      </w:r>
      <w:r>
        <w:rPr>
          <w:bCs/>
          <w:b/>
        </w:rPr>
        <w:t xml:space="preserve">Engineering implication:</w:t>
      </w:r>
      <w:r>
        <w:t xml:space="preserve"> </w:t>
      </w:r>
      <w:r>
        <w:t xml:space="preserve">never hold a lock or a pooled connection across a call to a slow or external system. In general,</w:t>
      </w:r>
      <w:r>
        <w:t xml:space="preserve"> </w:t>
      </w:r>
      <w:r>
        <w:rPr>
          <w:iCs/>
          <w:i/>
        </w:rPr>
        <w:t xml:space="preserve">hold time multiplied by arrival rate</w:t>
      </w:r>
      <w:r>
        <w:t xml:space="preserve"> </w:t>
      </w:r>
      <w:r>
        <w:t xml:space="preserve">(Little’s Law) tells you how many units of any software resource you need.</w:t>
      </w:r>
    </w:p>
    <w:bookmarkEnd w:id="196"/>
    <w:bookmarkStart w:id="197" w:name="code-example-3"/>
    <w:p>
      <w:pPr>
        <w:pStyle w:val="Heading4"/>
      </w:pPr>
      <w:r>
        <w:t xml:space="preserve">Code example</w:t>
      </w:r>
    </w:p>
    <w:p>
      <w:pPr>
        <w:pStyle w:val="FirstParagraph"/>
      </w:pPr>
      <w:r>
        <w:t xml:space="preserve">A short, runnable script that turns the table above into a bottleneck report. Use it to check your own estimates.</w:t>
      </w:r>
    </w:p>
    <w:p>
      <w:pPr>
        <w:pStyle w:val="SourceCode"/>
      </w:pPr>
      <w:r>
        <w:rPr>
          <w:rStyle w:val="CommentTok"/>
        </w:rPr>
        <w:t xml:space="preserve"># Bottleneck finder using the utilization law (U = X * D / c).</w:t>
      </w:r>
      <w:r>
        <w:br/>
      </w:r>
      <w:r>
        <w:rPr>
          <w:rStyle w:val="NormalTok"/>
        </w:rPr>
        <w:t xml:space="preserve">resources </w:t>
      </w:r>
      <w:r>
        <w:rPr>
          <w:rStyle w:val="OperatorTok"/>
        </w:rPr>
        <w:t xml:space="preserve">=</w:t>
      </w:r>
      <w:r>
        <w:rPr>
          <w:rStyle w:val="NormalTok"/>
        </w:rPr>
        <w:t xml:space="preserve"> {</w:t>
      </w:r>
      <w:r>
        <w:br/>
      </w:r>
      <w:r>
        <w:rPr>
          <w:rStyle w:val="NormalTok"/>
        </w:rPr>
        <w:t xml:space="preserve">    </w:t>
      </w:r>
      <w:r>
        <w:rPr>
          <w:rStyle w:val="CommentTok"/>
        </w:rPr>
        <w:t xml:space="preserve"># name: (demand per request in seconds, parallel units)</w:t>
      </w:r>
      <w:r>
        <w:br/>
      </w:r>
      <w:r>
        <w:rPr>
          <w:rStyle w:val="NormalTok"/>
        </w:rPr>
        <w:t xml:space="preserve">    </w:t>
      </w:r>
      <w:r>
        <w:rPr>
          <w:rStyle w:val="StringTok"/>
        </w:rPr>
        <w:t xml:space="preserve">"api_cpu"</w:t>
      </w:r>
      <w:r>
        <w:rPr>
          <w:rStyle w:val="NormalTok"/>
        </w:rPr>
        <w:t xml:space="preserve">:   (</w:t>
      </w:r>
      <w:r>
        <w:rPr>
          <w:rStyle w:val="FloatTok"/>
        </w:rPr>
        <w:t xml:space="preserve">0.008</w:t>
      </w:r>
      <w:r>
        <w:rPr>
          <w:rStyle w:val="NormalTok"/>
        </w:rPr>
        <w:t xml:space="preserve">, </w:t>
      </w:r>
      <w:r>
        <w:rPr>
          <w:rStyle w:val="DecValTok"/>
        </w:rPr>
        <w:t xml:space="preserve">32</w:t>
      </w:r>
      <w:r>
        <w:rPr>
          <w:rStyle w:val="NormalTok"/>
        </w:rPr>
        <w:t xml:space="preserve">),</w:t>
      </w:r>
      <w:r>
        <w:br/>
      </w:r>
      <w:r>
        <w:rPr>
          <w:rStyle w:val="NormalTok"/>
        </w:rPr>
        <w:t xml:space="preserve">    </w:t>
      </w:r>
      <w:r>
        <w:rPr>
          <w:rStyle w:val="StringTok"/>
        </w:rPr>
        <w:t xml:space="preserve">"db_cpu"</w:t>
      </w:r>
      <w:r>
        <w:rPr>
          <w:rStyle w:val="NormalTok"/>
        </w:rPr>
        <w:t xml:space="preserve">:    (</w:t>
      </w:r>
      <w:r>
        <w:rPr>
          <w:rStyle w:val="FloatTok"/>
        </w:rPr>
        <w:t xml:space="preserve">0.005</w:t>
      </w:r>
      <w:r>
        <w:rPr>
          <w:rStyle w:val="NormalTok"/>
        </w:rPr>
        <w:t xml:space="preserve">, </w:t>
      </w:r>
      <w:r>
        <w:rPr>
          <w:rStyle w:val="DecValTok"/>
        </w:rPr>
        <w:t xml:space="preserve">8</w:t>
      </w:r>
      <w:r>
        <w:rPr>
          <w:rStyle w:val="NormalTok"/>
        </w:rPr>
        <w:t xml:space="preserve">),</w:t>
      </w:r>
      <w:r>
        <w:br/>
      </w:r>
      <w:r>
        <w:rPr>
          <w:rStyle w:val="NormalTok"/>
        </w:rPr>
        <w:t xml:space="preserve">    </w:t>
      </w:r>
      <w:r>
        <w:rPr>
          <w:rStyle w:val="StringTok"/>
        </w:rPr>
        <w:t xml:space="preserve">"wal_disk"</w:t>
      </w:r>
      <w:r>
        <w:rPr>
          <w:rStyle w:val="NormalTok"/>
        </w:rPr>
        <w:t xml:space="preserve">:  (</w:t>
      </w:r>
      <w:r>
        <w:rPr>
          <w:rStyle w:val="FloatTok"/>
        </w:rPr>
        <w:t xml:space="preserve">0.002</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"network"</w:t>
      </w:r>
      <w:r>
        <w:rPr>
          <w:rStyle w:val="NormalTok"/>
        </w:rPr>
        <w:t xml:space="preserve">:   (</w:t>
      </w:r>
      <w:r>
        <w:rPr>
          <w:rStyle w:val="FloatTok"/>
        </w:rPr>
        <w:t xml:space="preserve">0.00002</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"db_pool"</w:t>
      </w:r>
      <w:r>
        <w:rPr>
          <w:rStyle w:val="NormalTok"/>
        </w:rPr>
        <w:t xml:space="preserve">:   (</w:t>
      </w:r>
      <w:r>
        <w:rPr>
          <w:rStyle w:val="FloatTok"/>
        </w:rPr>
        <w:t xml:space="preserve">0.320</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StringTok"/>
        </w:rPr>
        <w:t xml:space="preserve">"hot_row"</w:t>
      </w:r>
      <w:r>
        <w:rPr>
          <w:rStyle w:val="NormalTok"/>
        </w:rPr>
        <w:t xml:space="preserve">:   (</w:t>
      </w:r>
      <w:r>
        <w:rPr>
          <w:rStyle w:val="FloatTok"/>
        </w:rPr>
        <w:t xml:space="preserve">0.320</w:t>
      </w:r>
      <w:r>
        <w:rPr>
          <w:rStyle w:val="NormalTok"/>
        </w:rPr>
        <w:t xml:space="preserve">, </w:t>
      </w:r>
      <w:r>
        <w:rPr>
          <w:rStyle w:val="DecValTok"/>
        </w:rPr>
        <w:t xml:space="preserve">1</w:t>
      </w:r>
      <w:r>
        <w:rPr>
          <w:rStyle w:val="NormalTok"/>
        </w:rPr>
        <w:t xml:space="preserve">),</w:t>
      </w:r>
      <w:r>
        <w:br/>
      </w:r>
      <w:r>
        <w:rPr>
          <w:rStyle w:val="NormalTok"/>
        </w:rPr>
        <w:t xml:space="preserve">}</w:t>
      </w:r>
      <w:r>
        <w:br/>
      </w:r>
      <w:r>
        <w:rPr>
          <w:rStyle w:val="NormalTok"/>
        </w:rPr>
        <w:t xml:space="preserve">arrival_rate </w:t>
      </w:r>
      <w:r>
        <w:rPr>
          <w:rStyle w:val="OperatorTok"/>
        </w:rPr>
        <w:t xml:space="preserve">=</w:t>
      </w:r>
      <w:r>
        <w:rPr>
          <w:rStyle w:val="NormalTok"/>
        </w:rPr>
        <w:t xml:space="preserve"> </w:t>
      </w:r>
      <w:r>
        <w:rPr>
          <w:rStyle w:val="FloatTok"/>
        </w:rPr>
        <w:t xml:space="preserve">60.0</w:t>
      </w:r>
      <w:r>
        <w:rPr>
          <w:rStyle w:val="NormalTok"/>
        </w:rPr>
        <w:t xml:space="preserve">  </w:t>
      </w:r>
      <w:r>
        <w:rPr>
          <w:rStyle w:val="CommentTok"/>
        </w:rPr>
        <w:t xml:space="preserve"># requests per second</w:t>
      </w:r>
      <w:r>
        <w:br/>
      </w:r>
      <w:r>
        <w:br/>
      </w:r>
      <w:r>
        <w:rPr>
          <w:rStyle w:val="ControlFlowTok"/>
        </w:rPr>
        <w:t xml:space="preserve">for</w:t>
      </w:r>
      <w:r>
        <w:rPr>
          <w:rStyle w:val="NormalTok"/>
        </w:rPr>
        <w:t xml:space="preserve"> name, (demand, units) </w:t>
      </w:r>
      <w:r>
        <w:rPr>
          <w:rStyle w:val="KeywordTok"/>
        </w:rPr>
        <w:t xml:space="preserve">in</w:t>
      </w:r>
      <w:r>
        <w:rPr>
          <w:rStyle w:val="NormalTok"/>
        </w:rPr>
        <w:t xml:space="preserve"> </w:t>
      </w:r>
      <w:r>
        <w:rPr>
          <w:rStyle w:val="BuiltInTok"/>
        </w:rPr>
        <w:t xml:space="preserve">sorted</w:t>
      </w:r>
      <w:r>
        <w:rPr>
          <w:rStyle w:val="NormalTok"/>
        </w:rPr>
        <w:t xml:space="preserve">(</w:t>
      </w:r>
      <w:r>
        <w:br/>
      </w:r>
      <w:r>
        <w:rPr>
          <w:rStyle w:val="NormalTok"/>
        </w:rPr>
        <w:t xml:space="preserve">        resources.items(), key</w:t>
      </w:r>
      <w:r>
        <w:rPr>
          <w:rStyle w:val="OperatorTok"/>
        </w:rPr>
        <w:t xml:space="preserve">=</w:t>
      </w:r>
      <w:r>
        <w:rPr>
          <w:rStyle w:val="KeywordTok"/>
        </w:rPr>
        <w:t xml:space="preserve">lambda</w:t>
      </w:r>
      <w:r>
        <w:rPr>
          <w:rStyle w:val="NormalTok"/>
        </w:rPr>
        <w:t xml:space="preserve"> kv: kv[</w:t>
      </w:r>
      <w:r>
        <w:rPr>
          <w:rStyle w:val="DecValTok"/>
        </w:rPr>
        <w:t xml:space="preserve">1</w:t>
      </w:r>
      <w:r>
        <w:rPr>
          <w:rStyle w:val="NormalTok"/>
        </w:rPr>
        <w:t xml:space="preserve">][</w:t>
      </w:r>
      <w:r>
        <w:rPr>
          <w:rStyle w:val="DecValTok"/>
        </w:rPr>
        <w:t xml:space="preserve">0</w:t>
      </w:r>
      <w:r>
        <w:rPr>
          <w:rStyle w:val="NormalTok"/>
        </w:rPr>
        <w:t xml:space="preserve">] </w:t>
      </w:r>
      <w:r>
        <w:rPr>
          <w:rStyle w:val="OperatorTok"/>
        </w:rPr>
        <w:t xml:space="preserve">/</w:t>
      </w:r>
      <w:r>
        <w:rPr>
          <w:rStyle w:val="NormalTok"/>
        </w:rPr>
        <w:t xml:space="preserve"> kv[</w:t>
      </w:r>
      <w:r>
        <w:rPr>
          <w:rStyle w:val="DecValTok"/>
        </w:rPr>
        <w:t xml:space="preserve">1</w:t>
      </w:r>
      <w:r>
        <w:rPr>
          <w:rStyle w:val="NormalTok"/>
        </w:rPr>
        <w:t xml:space="preserve">][</w:t>
      </w:r>
      <w:r>
        <w:rPr>
          <w:rStyle w:val="DecValTok"/>
        </w:rPr>
        <w:t xml:space="preserve">1</w:t>
      </w:r>
      <w:r>
        <w:rPr>
          <w:rStyle w:val="NormalTok"/>
        </w:rPr>
        <w:t xml:space="preserve">], reverse</w:t>
      </w:r>
      <w:r>
        <w:rPr>
          <w:rStyle w:val="OperatorTok"/>
        </w:rPr>
        <w:t xml:space="preserve">=</w:t>
      </w:r>
      <w:r>
        <w:rPr>
          <w:rStyle w:val="VariableTok"/>
        </w:rPr>
        <w:t xml:space="preserve">True</w:t>
      </w:r>
      <w:r>
        <w:rPr>
          <w:rStyle w:val="NormalTok"/>
        </w:rPr>
        <w:t xml:space="preserve">):</w:t>
      </w:r>
      <w:r>
        <w:br/>
      </w:r>
      <w:r>
        <w:rPr>
          <w:rStyle w:val="NormalTok"/>
        </w:rPr>
        <w:t xml:space="preserve">    max_x </w:t>
      </w:r>
      <w:r>
        <w:rPr>
          <w:rStyle w:val="OperatorTok"/>
        </w:rPr>
        <w:t xml:space="preserve">=</w:t>
      </w:r>
      <w:r>
        <w:rPr>
          <w:rStyle w:val="NormalTok"/>
        </w:rPr>
        <w:t xml:space="preserve"> units </w:t>
      </w:r>
      <w:r>
        <w:rPr>
          <w:rStyle w:val="OperatorTok"/>
        </w:rPr>
        <w:t xml:space="preserve">/</w:t>
      </w:r>
      <w:r>
        <w:rPr>
          <w:rStyle w:val="NormalTok"/>
        </w:rPr>
        <w:t xml:space="preserve"> demand</w:t>
      </w:r>
      <w:r>
        <w:br/>
      </w:r>
      <w:r>
        <w:rPr>
          <w:rStyle w:val="NormalTok"/>
        </w:rPr>
        <w:t xml:space="preserve">    util </w:t>
      </w:r>
      <w:r>
        <w:rPr>
          <w:rStyle w:val="OperatorTok"/>
        </w:rPr>
        <w:t xml:space="preserve">=</w:t>
      </w:r>
      <w:r>
        <w:rPr>
          <w:rStyle w:val="NormalTok"/>
        </w:rPr>
        <w:t xml:space="preserve"> arrival_rate </w:t>
      </w:r>
      <w:r>
        <w:rPr>
          <w:rStyle w:val="OperatorTok"/>
        </w:rPr>
        <w:t xml:space="preserve">*</w:t>
      </w:r>
      <w:r>
        <w:rPr>
          <w:rStyle w:val="NormalTok"/>
        </w:rPr>
        <w:t xml:space="preserve"> demand </w:t>
      </w:r>
      <w:r>
        <w:rPr>
          <w:rStyle w:val="OperatorTok"/>
        </w:rPr>
        <w:t xml:space="preserve">/</w:t>
      </w:r>
      <w:r>
        <w:rPr>
          <w:rStyle w:val="NormalTok"/>
        </w:rPr>
        <w:t xml:space="preserve"> units</w:t>
      </w:r>
      <w:r>
        <w:br/>
      </w:r>
      <w:r>
        <w:rPr>
          <w:rStyle w:val="NormalTok"/>
        </w:rPr>
        <w:t xml:space="preserve">    flag </w:t>
      </w:r>
      <w:r>
        <w:rPr>
          <w:rStyle w:val="OperatorTok"/>
        </w:rPr>
        <w:t xml:space="preserve">=</w:t>
      </w:r>
      <w:r>
        <w:rPr>
          <w:rStyle w:val="NormalTok"/>
        </w:rPr>
        <w:t xml:space="preserve"> </w:t>
      </w:r>
      <w:r>
        <w:rPr>
          <w:rStyle w:val="StringTok"/>
        </w:rPr>
        <w:t xml:space="preserve">"SATURATED"</w:t>
      </w:r>
      <w:r>
        <w:rPr>
          <w:rStyle w:val="NormalTok"/>
        </w:rPr>
        <w:t xml:space="preserve"> </w:t>
      </w:r>
      <w:r>
        <w:rPr>
          <w:rStyle w:val="ControlFlowTok"/>
        </w:rPr>
        <w:t xml:space="preserve">if</w:t>
      </w:r>
      <w:r>
        <w:rPr>
          <w:rStyle w:val="NormalTok"/>
        </w:rPr>
        <w:t xml:space="preserve"> util </w:t>
      </w:r>
      <w:r>
        <w:rPr>
          <w:rStyle w:val="OperatorTok"/>
        </w:rPr>
        <w:t xml:space="preserve">&gt;=</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StringTok"/>
        </w:rPr>
        <w:t xml:space="preserve">"HOT"</w:t>
      </w:r>
      <w:r>
        <w:rPr>
          <w:rStyle w:val="NormalTok"/>
        </w:rPr>
        <w:t xml:space="preserve"> </w:t>
      </w:r>
      <w:r>
        <w:rPr>
          <w:rStyle w:val="ControlFlowTok"/>
        </w:rPr>
        <w:t xml:space="preserve">if</w:t>
      </w:r>
      <w:r>
        <w:rPr>
          <w:rStyle w:val="NormalTok"/>
        </w:rPr>
        <w:t xml:space="preserve"> util </w:t>
      </w:r>
      <w:r>
        <w:rPr>
          <w:rStyle w:val="OperatorTok"/>
        </w:rPr>
        <w:t xml:space="preserve">&gt;=</w:t>
      </w:r>
      <w:r>
        <w:rPr>
          <w:rStyle w:val="NormalTok"/>
        </w:rPr>
        <w:t xml:space="preserve"> </w:t>
      </w:r>
      <w:r>
        <w:rPr>
          <w:rStyle w:val="FloatTok"/>
        </w:rPr>
        <w:t xml:space="preserve">0.7</w:t>
      </w:r>
      <w:r>
        <w:rPr>
          <w:rStyle w:val="NormalTok"/>
        </w:rPr>
        <w:t xml:space="preserve"> </w:t>
      </w:r>
      <w:r>
        <w:rPr>
          <w:rStyle w:val="ControlFlowTok"/>
        </w:rPr>
        <w:t xml:space="preserve">else</w:t>
      </w:r>
      <w:r>
        <w:rPr>
          <w:rStyle w:val="NormalTok"/>
        </w:rPr>
        <w:t xml:space="preserve"> </w:t>
      </w:r>
      <w:r>
        <w:rPr>
          <w:rStyle w:val="StringTok"/>
        </w:rPr>
        <w:t xml:space="preserve">"ok"</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:9s}</w:t>
      </w:r>
      <w:r>
        <w:rPr>
          <w:rStyle w:val="SpecialStringTok"/>
        </w:rPr>
        <w:t xml:space="preserve"> max=</w:t>
      </w:r>
      <w:r>
        <w:rPr>
          <w:rStyle w:val="SpecialCharTok"/>
        </w:rPr>
        <w:t xml:space="preserve">{</w:t>
      </w:r>
      <w:r>
        <w:rPr>
          <w:rStyle w:val="NormalTok"/>
        </w:rPr>
        <w:t xml:space="preserve">max_x</w:t>
      </w:r>
      <w:r>
        <w:rPr>
          <w:rStyle w:val="SpecialCharTok"/>
        </w:rPr>
        <w:t xml:space="preserve">:9.1f}</w:t>
      </w:r>
      <w:r>
        <w:rPr>
          <w:rStyle w:val="SpecialStringTok"/>
        </w:rPr>
        <w:t xml:space="preserve">/s  util@</w:t>
      </w:r>
      <w:r>
        <w:rPr>
          <w:rStyle w:val="SpecialCharTok"/>
        </w:rPr>
        <w:t xml:space="preserve">{</w:t>
      </w:r>
      <w:r>
        <w:rPr>
          <w:rStyle w:val="NormalTok"/>
        </w:rPr>
        <w:t xml:space="preserve">arrival_rate</w:t>
      </w:r>
      <w:r>
        <w:rPr>
          <w:rStyle w:val="SpecialCharTok"/>
        </w:rPr>
        <w:t xml:space="preserve">:.0f}</w:t>
      </w:r>
      <w:r>
        <w:rPr>
          <w:rStyle w:val="SpecialStringTok"/>
        </w:rPr>
        <w:t xml:space="preserve">/s=</w:t>
      </w:r>
      <w:r>
        <w:rPr>
          <w:rStyle w:val="SpecialCharTok"/>
        </w:rPr>
        <w:t xml:space="preserve">{</w:t>
      </w:r>
      <w:r>
        <w:rPr>
          <w:rStyle w:val="NormalTok"/>
        </w:rPr>
        <w:t xml:space="preserve">util</w:t>
      </w:r>
      <w:r>
        <w:rPr>
          <w:rStyle w:val="SpecialCharTok"/>
        </w:rPr>
        <w:t xml:space="preserve">:7.1%}</w:t>
      </w:r>
      <w:r>
        <w:rPr>
          <w:rStyle w:val="SpecialStringTok"/>
        </w:rPr>
        <w:t xml:space="preserve">  </w:t>
      </w:r>
      <w:r>
        <w:rPr>
          <w:rStyle w:val="SpecialCharTok"/>
        </w:rPr>
        <w:t xml:space="preserve">{</w:t>
      </w:r>
      <w:r>
        <w:rPr>
          <w:rStyle w:val="NormalTok"/>
        </w:rPr>
        <w:t xml:space="preserve">flag</w:t>
      </w:r>
      <w:r>
        <w:rPr>
          <w:rStyle w:val="SpecialCharTok"/>
        </w:rPr>
        <w:t xml:space="preserve">}</w:t>
      </w:r>
      <w:r>
        <w:rPr>
          <w:rStyle w:val="SpecialStringTok"/>
        </w:rPr>
        <w:t xml:space="preserve">"</w:t>
      </w:r>
      <w:r>
        <w:rPr>
          <w:rStyle w:val="NormalTok"/>
        </w:rPr>
        <w:t xml:space="preserve">)</w:t>
      </w:r>
    </w:p>
    <w:p>
      <w:pPr>
        <w:pStyle w:val="FirstParagraph"/>
      </w:pPr>
      <w:r>
        <w:t xml:space="preserve">What to notice:</w:t>
      </w:r>
    </w:p>
    <w:p>
      <w:pPr>
        <w:numPr>
          <w:ilvl w:val="0"/>
          <w:numId w:val="1048"/>
        </w:numPr>
        <w:pStyle w:val="Compact"/>
      </w:pPr>
      <w:r>
        <w:t xml:space="preserve">Resources are sorted by</w:t>
      </w:r>
      <w:r>
        <w:t xml:space="preserve"> </w:t>
      </w:r>
      <m:oMath>
        <m:sSub>
          <m:e>
            <m:r>
              <m:t>D</m:t>
            </m:r>
          </m:e>
          <m:sub>
            <m:r>
              <m:t>i</m:t>
            </m:r>
          </m:sub>
        </m:sSub>
        <m:r>
          <m:rPr>
            <m:sty m:val="p"/>
          </m:rPr>
          <m:t>/</m:t>
        </m:r>
        <m:sSub>
          <m:e>
            <m:r>
              <m:t>c</m:t>
            </m:r>
          </m:e>
          <m:sub>
            <m:r>
              <m:t>i</m:t>
            </m:r>
          </m:sub>
        </m:sSub>
      </m:oMath>
      <w:r>
        <w:t xml:space="preserve">, so the first line printed is the bottleneck.</w:t>
      </w:r>
    </w:p>
    <w:p>
      <w:pPr>
        <w:numPr>
          <w:ilvl w:val="0"/>
          <w:numId w:val="1048"/>
        </w:numPr>
        <w:pStyle w:val="Compact"/>
      </w:pPr>
      <w:r>
        <w:rPr>
          <w:rStyle w:val="VerbatimChar"/>
        </w:rPr>
        <w:t xml:space="preserve">hot_row</w:t>
      </w:r>
      <w:r>
        <w:t xml:space="preserve"> </w:t>
      </w:r>
      <w:r>
        <w:t xml:space="preserve">shows a utilization above 100% (1920%) at 60/s, because the script applies the</w:t>
      </w:r>
      <w:r>
        <w:t xml:space="preserve"> </w:t>
      </w:r>
      <w:r>
        <w:rPr>
          <w:iCs/>
          <w:i/>
        </w:rPr>
        <w:t xml:space="preserve">whole</w:t>
      </w:r>
      <w:r>
        <w:t xml:space="preserve"> </w:t>
      </w:r>
      <w:r>
        <w:t xml:space="preserve">arrival rate to one row. That is the worst case where every order goes to a single restaurant. In the worked example only 8/s hit the hot row, which still exceeds its 3.1/s capacity. Edit the script to model per-key arrival rates.</w:t>
      </w:r>
    </w:p>
    <w:p>
      <w:pPr>
        <w:numPr>
          <w:ilvl w:val="0"/>
          <w:numId w:val="1048"/>
        </w:numPr>
        <w:pStyle w:val="Compact"/>
      </w:pPr>
      <w:r>
        <w:t xml:space="preserve">Changing</w:t>
      </w:r>
      <w:r>
        <w:t xml:space="preserve"> </w:t>
      </w:r>
      <w:r>
        <w:rPr>
          <w:rStyle w:val="VerbatimChar"/>
        </w:rPr>
        <w:t xml:space="preserve">0.320</w:t>
      </w:r>
      <w:r>
        <w:t xml:space="preserve"> </w:t>
      </w:r>
      <w:r>
        <w:t xml:space="preserve">to</w:t>
      </w:r>
      <w:r>
        <w:t xml:space="preserve"> </w:t>
      </w:r>
      <w:r>
        <w:rPr>
          <w:rStyle w:val="VerbatimChar"/>
        </w:rPr>
        <w:t xml:space="preserve">0.015</w:t>
      </w:r>
      <w:r>
        <w:t xml:space="preserve"> </w:t>
      </w:r>
      <w:r>
        <w:t xml:space="preserve">for the pool and the row reproduces Step 5 and shows the bottleneck moving to</w:t>
      </w:r>
      <w:r>
        <w:t xml:space="preserve"> </w:t>
      </w:r>
      <w:r>
        <w:rPr>
          <w:rStyle w:val="VerbatimChar"/>
        </w:rPr>
        <w:t xml:space="preserve">wal_disk</w:t>
      </w:r>
      <w:r>
        <w:t xml:space="preserve">.</w:t>
      </w:r>
    </w:p>
    <w:bookmarkEnd w:id="197"/>
    <w:bookmarkStart w:id="198" w:name="real-world-industry-applications-9"/>
    <w:p>
      <w:pPr>
        <w:pStyle w:val="Heading4"/>
      </w:pPr>
      <w:r>
        <w:t xml:space="preserve">Real-world industry applications</w:t>
      </w:r>
    </w:p>
    <w:p>
      <w:pPr>
        <w:pStyle w:val="CalloutIndustry"/>
      </w:pPr>
      <w:r>
        <w:rPr>
          <w:bCs/>
          <w:b/>
        </w:rPr>
        <w:t xml:space="preserve">INDUSTRY EXAMPLE</w:t>
      </w:r>
    </w:p>
    <w:p>
      <w:pPr>
        <w:pStyle w:val="CalloutIndustry"/>
      </w:pPr>
      <w:r>
        <w:rPr>
          <w:bCs/>
          <w:b/>
        </w:rPr>
        <w:t xml:space="preserve">The USE method at Netflix and beyond.</w:t>
      </w:r>
      <w:r>
        <w:t xml:space="preserve"> </w:t>
      </w:r>
      <w:r>
        <w:t xml:space="preserve">Brendan Gregg developed the USE method while working on performance analysis and has published it, together with per-operating-system checklists, as a way to find resource bottlenecks quickly without guessing. It explicitly includes software resources such as mutex locks, thread pools and file descriptors alongside CPUs, memory, disks and network interfaces.</w:t>
      </w:r>
      <w:r>
        <w:t xml:space="preserve"> </w:t>
      </w:r>
      <w:r>
        <w:rPr>
          <w:iCs/>
          <w:i/>
        </w:rPr>
        <w:t xml:space="preserve">Evidence: Primary</w:t>
      </w:r>
      <w:r>
        <w:t xml:space="preserve"> </w:t>
      </w:r>
      <w:r>
        <w:t xml:space="preserve">— [Gregg USE], [Gregg 2020]</w:t>
      </w:r>
    </w:p>
    <w:bookmarkEnd w:id="198"/>
    <w:bookmarkStart w:id="199" w:name="alternatives-and-trade-offs-3"/>
    <w:p>
      <w:pPr>
        <w:pStyle w:val="Heading4"/>
      </w:pPr>
      <w:r>
        <w:t xml:space="preserve">Alternatives and trade-offs</w:t>
      </w:r>
    </w:p>
    <w:p>
      <w:pPr>
        <w:pStyle w:val="FirstParagraph"/>
      </w:pPr>
      <w:r>
        <w:t xml:space="preserve">The USE method is resource-centric. Its complement is the</w:t>
      </w:r>
      <w:r>
        <w:t xml:space="preserve"> </w:t>
      </w:r>
      <w:r>
        <w:rPr>
          <w:bCs/>
          <w:b/>
        </w:rPr>
        <w:t xml:space="preserve">RED method</w:t>
      </w:r>
      <w:r>
        <w:t xml:space="preserve"> </w:t>
      </w:r>
      <w:r>
        <w:t xml:space="preserve">(Rate, Errors, Duration per service), which is request-centric and better for spotting</w:t>
      </w:r>
      <w:r>
        <w:t xml:space="preserve"> </w:t>
      </w:r>
      <w:r>
        <w:rPr>
          <w:iCs/>
          <w:i/>
        </w:rPr>
        <w:t xml:space="preserve">which</w:t>
      </w:r>
      <w:r>
        <w:t xml:space="preserve"> </w:t>
      </w:r>
      <w:r>
        <w:t xml:space="preserve">service is slow in a microservice graph. The two work well together (§23.3). Profiling (§23.4) finds</w:t>
      </w:r>
      <w:r>
        <w:t xml:space="preserve"> </w:t>
      </w:r>
      <w:r>
        <w:rPr>
          <w:iCs/>
          <w:i/>
        </w:rPr>
        <w:t xml:space="preserve">which code</w:t>
      </w:r>
      <w:r>
        <w:t xml:space="preserve"> </w:t>
      </w:r>
      <w:r>
        <w:t xml:space="preserve">consumes a resource. Load testing (§23.5) confirms a bottleneck hypothesis empirically. The arithmetic above tells you where to point those tools.</w:t>
      </w:r>
    </w:p>
    <w:bookmarkEnd w:id="199"/>
    <w:bookmarkStart w:id="200" w:name="failure-scenarios-9"/>
    <w:p>
      <w:pPr>
        <w:pStyle w:val="Heading4"/>
      </w:pPr>
      <w:r>
        <w:t xml:space="preserve">Failure scenarios</w:t>
      </w:r>
    </w:p>
    <w:p>
      <w:pPr>
        <w:pStyle w:val="FirstParagraph"/>
      </w:pPr>
      <w:r>
        <w:rPr>
          <w:bCs/>
          <w:b/>
        </w:rPr>
        <w:t xml:space="preserve">Table 2.9 — Bottleneck-analysis 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Scaling the wrong tier</w:t>
            </w:r>
          </w:p>
        </w:tc>
        <w:tc>
          <w:tcPr/>
          <w:p>
            <w:pPr>
              <w:pStyle w:val="Compact"/>
              <w:jc w:val="left"/>
            </w:pPr>
            <w:r>
              <w:t xml:space="preserve">Added servers to a non-bottleneck</w:t>
            </w:r>
          </w:p>
        </w:tc>
        <w:tc>
          <w:tcPr/>
          <w:p>
            <w:pPr>
              <w:pStyle w:val="Compact"/>
              <w:jc w:val="left"/>
            </w:pPr>
            <w:r>
              <w:t xml:space="preserve">Throughput unchanged after scaling</w:t>
            </w:r>
          </w:p>
        </w:tc>
        <w:tc>
          <w:tcPr/>
          <w:p>
            <w:pPr>
              <w:pStyle w:val="Compact"/>
              <w:jc w:val="left"/>
            </w:pPr>
            <w:r>
              <w:t xml:space="preserve">Re-run USE analysis</w:t>
            </w:r>
          </w:p>
        </w:tc>
        <w:tc>
          <w:tcPr/>
          <w:p>
            <w:pPr>
              <w:pStyle w:val="Compact"/>
              <w:jc w:val="left"/>
            </w:pPr>
            <w:r>
              <w:t xml:space="preserve">Compute demand per resource first</w:t>
            </w:r>
          </w:p>
        </w:tc>
      </w:tr>
      <w:tr>
        <w:tc>
          <w:tcPr/>
          <w:p>
            <w:pPr>
              <w:pStyle w:val="Compact"/>
              <w:jc w:val="left"/>
            </w:pPr>
            <w:r>
              <w:t xml:space="preserve">Hot key or hot row</w:t>
            </w:r>
          </w:p>
        </w:tc>
        <w:tc>
          <w:tcPr/>
          <w:p>
            <w:pPr>
              <w:pStyle w:val="Compact"/>
              <w:jc w:val="left"/>
            </w:pPr>
            <w:r>
              <w:t xml:space="preserve">Skewed popularity, e.g. a viral restaurant</w:t>
            </w:r>
          </w:p>
        </w:tc>
        <w:tc>
          <w:tcPr/>
          <w:p>
            <w:pPr>
              <w:pStyle w:val="Compact"/>
              <w:jc w:val="left"/>
            </w:pPr>
            <w:r>
              <w:t xml:space="preserve">One key’s latency far above the others</w:t>
            </w:r>
          </w:p>
        </w:tc>
        <w:tc>
          <w:tcPr/>
          <w:p>
            <w:pPr>
              <w:pStyle w:val="Compact"/>
              <w:jc w:val="left"/>
            </w:pPr>
            <w:r>
              <w:t xml:space="preserve">Shorten hold time, shard the counter</w:t>
            </w:r>
          </w:p>
        </w:tc>
        <w:tc>
          <w:tcPr/>
          <w:p>
            <w:pPr>
              <w:pStyle w:val="Compact"/>
              <w:jc w:val="left"/>
            </w:pPr>
            <w:r>
              <w:t xml:space="preserve">Model per-key rates, not just totals</w:t>
            </w:r>
          </w:p>
        </w:tc>
      </w:tr>
      <w:tr>
        <w:tc>
          <w:tcPr/>
          <w:p>
            <w:pPr>
              <w:pStyle w:val="Compact"/>
              <w:jc w:val="left"/>
            </w:pPr>
            <w:r>
              <w:t xml:space="preserve">Pool exhaustion</w:t>
            </w:r>
          </w:p>
        </w:tc>
        <w:tc>
          <w:tcPr/>
          <w:p>
            <w:pPr>
              <w:pStyle w:val="Compact"/>
              <w:jc w:val="left"/>
            </w:pPr>
            <w:r>
              <w:t xml:space="preserve">Long hold times, often across remote calls</w:t>
            </w:r>
          </w:p>
        </w:tc>
        <w:tc>
          <w:tcPr/>
          <w:p>
            <w:pPr>
              <w:pStyle w:val="Compact"/>
              <w:jc w:val="left"/>
            </w:pPr>
            <w:r>
              <w:t xml:space="preserve">“</w:t>
            </w:r>
            <w:r>
              <w:t xml:space="preserve">Timeout acquiring connection</w:t>
            </w:r>
            <w:r>
              <w:t xml:space="preserve">”</w:t>
            </w:r>
            <w:r>
              <w:t xml:space="preserve"> </w:t>
            </w:r>
            <w:r>
              <w:t xml:space="preserve">errors with idle DB</w:t>
            </w:r>
          </w:p>
        </w:tc>
        <w:tc>
          <w:tcPr/>
          <w:p>
            <w:pPr>
              <w:pStyle w:val="Compact"/>
              <w:jc w:val="left"/>
            </w:pPr>
            <w:r>
              <w:t xml:space="preserve">Move remote calls out of transactions</w:t>
            </w:r>
          </w:p>
        </w:tc>
        <w:tc>
          <w:tcPr/>
          <w:p>
            <w:pPr>
              <w:pStyle w:val="Compact"/>
              <w:jc w:val="left"/>
            </w:pPr>
            <w:r>
              <w:t xml:space="preserve">Little’s Law sizing</w:t>
            </w:r>
          </w:p>
        </w:tc>
      </w:tr>
      <w:tr>
        <w:tc>
          <w:tcPr/>
          <w:p>
            <w:pPr>
              <w:pStyle w:val="Compact"/>
              <w:jc w:val="left"/>
            </w:pPr>
            <w:r>
              <w:t xml:space="preserve">Retry amplification</w:t>
            </w:r>
          </w:p>
        </w:tc>
        <w:tc>
          <w:tcPr/>
          <w:p>
            <w:pPr>
              <w:pStyle w:val="Compact"/>
              <w:jc w:val="left"/>
            </w:pPr>
            <w:r>
              <w:t xml:space="preserve">Clients retry into a saturated resource</w:t>
            </w:r>
          </w:p>
        </w:tc>
        <w:tc>
          <w:tcPr/>
          <w:p>
            <w:pPr>
              <w:pStyle w:val="Compact"/>
              <w:jc w:val="left"/>
            </w:pPr>
            <w:r>
              <w:t xml:space="preserve">Load rises as success rate falls</w:t>
            </w:r>
          </w:p>
        </w:tc>
        <w:tc>
          <w:tcPr/>
          <w:p>
            <w:pPr>
              <w:pStyle w:val="Compact"/>
              <w:jc w:val="left"/>
            </w:pPr>
            <w:r>
              <w:t xml:space="preserve">Retry budgets, backoff with jitter (§22.12)</w:t>
            </w:r>
          </w:p>
        </w:tc>
        <w:tc>
          <w:tcPr/>
          <w:p>
            <w:pPr>
              <w:pStyle w:val="Compact"/>
              <w:jc w:val="left"/>
            </w:pPr>
            <w:r>
              <w:t xml:space="preserve">Cap retries; shed load</w:t>
            </w:r>
          </w:p>
        </w:tc>
      </w:tr>
    </w:tbl>
    <w:bookmarkEnd w:id="200"/>
    <w:bookmarkStart w:id="201" w:name="common-misconceptions-9"/>
    <w:p>
      <w:pPr>
        <w:pStyle w:val="Heading4"/>
      </w:pPr>
      <w:r>
        <w:t xml:space="preserve">Common misconceptions</w:t>
      </w:r>
    </w:p>
    <w:p>
      <w:pPr>
        <w:pStyle w:val="CalloutMistake"/>
      </w:pPr>
      <w:r>
        <w:rPr>
          <w:bCs/>
          <w:b/>
        </w:rPr>
        <w:t xml:space="preserve">COMMON MISTAKE</w:t>
      </w:r>
    </w:p>
    <w:p>
      <w:pPr>
        <w:pStyle w:val="CalloutMistake"/>
      </w:pPr>
      <w:r>
        <w:rPr>
          <w:bCs/>
          <w:b/>
        </w:rPr>
        <w:t xml:space="preserve">“</w:t>
      </w:r>
      <w:r>
        <w:rPr>
          <w:bCs/>
          <w:b/>
        </w:rPr>
        <w:t xml:space="preserve">Low CPU means the system has spare capacity.</w:t>
      </w:r>
      <w:r>
        <w:rPr>
          <w:bCs/>
          <w:b/>
        </w:rPr>
        <w:t xml:space="preserve">”</w:t>
      </w:r>
      <w:r>
        <w:t xml:space="preserve"> </w:t>
      </w:r>
      <w:r>
        <w:t xml:space="preserve">CPU is one resource of five. QuickBite’s checkout failed with every machine mostly idle, because the bottleneck was a lock. Always check software resources when latency is high and utilization is low.</w:t>
      </w:r>
    </w:p>
    <w:p>
      <w:pPr>
        <w:pStyle w:val="CalloutMistake"/>
      </w:pPr>
      <w:r>
        <w:rPr>
          <w:bCs/>
          <w:b/>
        </w:rPr>
        <w:t xml:space="preserve">COMMON MISTAKE</w:t>
      </w:r>
    </w:p>
    <w:p>
      <w:pPr>
        <w:pStyle w:val="CalloutMistake"/>
      </w:pPr>
      <w:r>
        <w:rPr>
          <w:bCs/>
          <w:b/>
        </w:rPr>
        <w:t xml:space="preserve">“</w:t>
      </w:r>
      <w:r>
        <w:rPr>
          <w:bCs/>
          <w:b/>
        </w:rPr>
        <w:t xml:space="preserve">Averages are enough.</w:t>
      </w:r>
      <w:r>
        <w:rPr>
          <w:bCs/>
          <w:b/>
        </w:rPr>
        <w:t xml:space="preserve">”</w:t>
      </w:r>
      <w:r>
        <w:t xml:space="preserve"> </w:t>
      </w:r>
      <w:r>
        <w:t xml:space="preserve">A system can be fine on average and saturated on one hot key, one shard or one minute of the day. Bottleneck analysis must use</w:t>
      </w:r>
      <w:r>
        <w:t xml:space="preserve"> </w:t>
      </w:r>
      <w:r>
        <w:rPr>
          <w:iCs/>
          <w:i/>
        </w:rPr>
        <w:t xml:space="preserve">peak</w:t>
      </w:r>
      <w:r>
        <w:t xml:space="preserve"> </w:t>
      </w:r>
      <w:r>
        <w:t xml:space="preserve">rates and</w:t>
      </w:r>
      <w:r>
        <w:t xml:space="preserve"> </w:t>
      </w:r>
      <w:r>
        <w:rPr>
          <w:iCs/>
          <w:i/>
        </w:rPr>
        <w:t xml:space="preserve">per-partition</w:t>
      </w:r>
      <w:r>
        <w:t xml:space="preserve"> </w:t>
      </w:r>
      <w:r>
        <w:t xml:space="preserve">rates (§14.10).</w:t>
      </w:r>
    </w:p>
    <w:bookmarkEnd w:id="201"/>
    <w:bookmarkEnd w:id="202"/>
    <w:bookmarkEnd w:id="203"/>
    <w:bookmarkStart w:id="209" w:name="making-and-stating-assumptions"/>
    <w:p>
      <w:pPr>
        <w:pStyle w:val="Heading2"/>
      </w:pPr>
      <w:r>
        <w:t xml:space="preserve">2.7 Making and stating assumptions</w:t>
      </w:r>
    </w:p>
    <w:bookmarkStart w:id="208" w:name="the-assumption-register"/>
    <w:p>
      <w:pPr>
        <w:pStyle w:val="Heading3"/>
      </w:pPr>
      <w:r>
        <w:t xml:space="preserve">2.7.1 The assumption register</w:t>
      </w:r>
    </w:p>
    <w:p>
      <w:pPr>
        <w:pStyle w:val="CalloutDefinition"/>
      </w:pPr>
      <w:r>
        <w:rPr>
          <w:bCs/>
          <w:b/>
        </w:rPr>
        <w:t xml:space="preserve">DEFINITION</w:t>
      </w:r>
    </w:p>
    <w:p>
      <w:pPr>
        <w:pStyle w:val="CalloutDefinition"/>
      </w:pPr>
      <w:r>
        <w:rPr>
          <w:bCs/>
          <w:b/>
        </w:rPr>
        <w:t xml:space="preserve">Definition — Design assumption.</w:t>
      </w:r>
      <w:r>
        <w:t xml:space="preserve"> </w:t>
      </w:r>
      <w:r>
        <w:t xml:space="preserve">A belief about the workload, the environment or the business that the design depends on but that has not yet been verified, for example</w:t>
      </w:r>
      <w:r>
        <w:t xml:space="preserve"> </w:t>
      </w:r>
      <w:r>
        <w:t xml:space="preserve">“</w:t>
      </w:r>
      <w:r>
        <w:t xml:space="preserve">80% of requests are reads</w:t>
      </w:r>
      <w:r>
        <w:t xml:space="preserve">”</w:t>
      </w:r>
      <w:r>
        <w:t xml:space="preserve"> </w:t>
      </w:r>
      <w:r>
        <w:t xml:space="preserve">or</w:t>
      </w:r>
      <w:r>
        <w:t xml:space="preserve"> </w:t>
      </w:r>
      <w:r>
        <w:t xml:space="preserve">“</w:t>
      </w:r>
      <w:r>
        <w:t xml:space="preserve">the payment provider responds within 1 s at p99</w:t>
      </w:r>
      <w:r>
        <w:t xml:space="preserve">”</w:t>
      </w:r>
      <w:r>
        <w:t xml:space="preserve">. An assumption is</w:t>
      </w:r>
      <w:r>
        <w:t xml:space="preserve"> </w:t>
      </w:r>
      <w:r>
        <w:rPr>
          <w:bCs/>
          <w:b/>
        </w:rPr>
        <w:t xml:space="preserve">stated</w:t>
      </w:r>
      <w:r>
        <w:t xml:space="preserve"> </w:t>
      </w:r>
      <w:r>
        <w:t xml:space="preserve">when it is written down with its value, its source, your confidence in it and how it will be checked.</w:t>
      </w:r>
    </w:p>
    <w:bookmarkStart w:id="204" w:name="first-principles-explanation-13"/>
    <w:p>
      <w:pPr>
        <w:pStyle w:val="Heading4"/>
      </w:pPr>
      <w:r>
        <w:t xml:space="preserve">First-principles explanation</w:t>
      </w:r>
    </w:p>
    <w:p>
      <w:pPr>
        <w:pStyle w:val="FirstParagraph"/>
      </w:pPr>
      <w:r>
        <w:t xml:space="preserve">A weather forecaster does not refuse to forecast because tomorrow is unknown. She says</w:t>
      </w:r>
      <w:r>
        <w:t xml:space="preserve"> </w:t>
      </w:r>
      <w:r>
        <w:t xml:space="preserve">“</w:t>
      </w:r>
      <w:r>
        <w:t xml:space="preserve">70% chance of rain,</w:t>
      </w:r>
      <w:r>
        <w:t xml:space="preserve">”</w:t>
      </w:r>
      <w:r>
        <w:t xml:space="preserve"> </w:t>
      </w:r>
      <w:r>
        <w:t xml:space="preserve">which is an explicit, checkable statement of uncertainty. System designers face the same situation: you never have all the facts before you must design. The professional response is not to wait. It is to assume</w:t>
      </w:r>
      <w:r>
        <w:t xml:space="preserve"> </w:t>
      </w:r>
      <w:r>
        <w:rPr>
          <w:iCs/>
          <w:i/>
        </w:rPr>
        <w:t xml:space="preserve">out loud</w:t>
      </w:r>
      <w:r>
        <w:t xml:space="preserve">, so that everyone can see which parts of the design rest on which beliefs.</w:t>
      </w:r>
    </w:p>
    <w:bookmarkEnd w:id="204"/>
    <w:bookmarkStart w:id="205" w:name="why-does-this-exist-11"/>
    <w:p>
      <w:pPr>
        <w:pStyle w:val="Heading4"/>
      </w:pPr>
      <w:r>
        <w:t xml:space="preserve">Why does this exist?</w:t>
      </w:r>
    </w:p>
    <w:p>
      <w:pPr>
        <w:pStyle w:val="FirstParagraph"/>
      </w:pPr>
      <w:r>
        <w:t xml:space="preserve">Every design rests on assumptions anyway. The only choice is whether they are visible. Hidden assumptions are dangerous because nobody checks them, and when one turns out wrong, nobody knows which parts of the design must change. Stated assumptions turn surprises into planned decision points.</w:t>
      </w:r>
    </w:p>
    <w:bookmarkEnd w:id="205"/>
    <w:bookmarkStart w:id="206" w:name="how-it-works-internally-11"/>
    <w:p>
      <w:pPr>
        <w:pStyle w:val="Heading4"/>
      </w:pPr>
      <w:r>
        <w:t xml:space="preserve">How it works internally</w:t>
      </w:r>
    </w:p>
    <w:p>
      <w:pPr>
        <w:numPr>
          <w:ilvl w:val="0"/>
          <w:numId w:val="1049"/>
        </w:numPr>
        <w:pStyle w:val="Compact"/>
      </w:pPr>
      <w:r>
        <w:rPr>
          <w:bCs/>
          <w:b/>
        </w:rPr>
        <w:t xml:space="preserve">Write each assumption as a number with a source.</w:t>
      </w:r>
      <w:r>
        <w:t xml:space="preserve"> </w:t>
      </w:r>
      <w:r>
        <w:t xml:space="preserve">“</w:t>
      </w:r>
      <w:r>
        <w:t xml:space="preserve">2 M daily active users (marketing forecast for year 1).</w:t>
      </w:r>
      <w:r>
        <w:t xml:space="preserve">”</w:t>
      </w:r>
    </w:p>
    <w:p>
      <w:pPr>
        <w:numPr>
          <w:ilvl w:val="0"/>
          <w:numId w:val="1049"/>
        </w:numPr>
        <w:pStyle w:val="Compact"/>
      </w:pPr>
      <w:r>
        <w:rPr>
          <w:bCs/>
          <w:b/>
        </w:rPr>
        <w:t xml:space="preserve">Rate confidence</w:t>
      </w:r>
      <w:r>
        <w:t xml:space="preserve">: high (measured), medium (comparable data exists), low (guess).</w:t>
      </w:r>
    </w:p>
    <w:p>
      <w:pPr>
        <w:numPr>
          <w:ilvl w:val="0"/>
          <w:numId w:val="1049"/>
        </w:numPr>
        <w:pStyle w:val="Compact"/>
      </w:pPr>
      <w:r>
        <w:rPr>
          <w:bCs/>
          <w:b/>
        </w:rPr>
        <w:t xml:space="preserve">Do a sensitivity check.</w:t>
      </w:r>
      <w:r>
        <w:t xml:space="preserve"> </w:t>
      </w:r>
      <w:r>
        <w:t xml:space="preserve">Ask:</w:t>
      </w:r>
      <w:r>
        <w:t xml:space="preserve"> </w:t>
      </w:r>
      <w:r>
        <w:rPr>
          <w:iCs/>
          <w:i/>
        </w:rPr>
        <w:t xml:space="preserve">if this is wrong by 10×, does the design change?</w:t>
      </w:r>
      <w:r>
        <w:t xml:space="preserve"> </w:t>
      </w:r>
      <w:r>
        <w:t xml:space="preserve">Assumptions where the answer is</w:t>
      </w:r>
      <w:r>
        <w:t xml:space="preserve"> </w:t>
      </w:r>
      <w:r>
        <w:t xml:space="preserve">“</w:t>
      </w:r>
      <w:r>
        <w:t xml:space="preserve">yes</w:t>
      </w:r>
      <w:r>
        <w:t xml:space="preserve">”</w:t>
      </w:r>
      <w:r>
        <w:t xml:space="preserve"> </w:t>
      </w:r>
      <w:r>
        <w:t xml:space="preserve">are</w:t>
      </w:r>
      <w:r>
        <w:t xml:space="preserve"> </w:t>
      </w:r>
      <w:r>
        <w:rPr>
          <w:bCs/>
          <w:b/>
        </w:rPr>
        <w:t xml:space="preserve">load-bearing</w:t>
      </w:r>
      <w:r>
        <w:t xml:space="preserve">.</w:t>
      </w:r>
    </w:p>
    <w:p>
      <w:pPr>
        <w:numPr>
          <w:ilvl w:val="0"/>
          <w:numId w:val="1049"/>
        </w:numPr>
        <w:pStyle w:val="Compact"/>
      </w:pPr>
      <w:r>
        <w:rPr>
          <w:bCs/>
          <w:b/>
        </w:rPr>
        <w:t xml:space="preserve">Attach a check and a tripwire</w:t>
      </w:r>
      <w:r>
        <w:t xml:space="preserve"> </w:t>
      </w:r>
      <w:r>
        <w:t xml:space="preserve">to every load-bearing assumption: how you will verify it, and the observed value that will trigger a redesign.</w:t>
      </w:r>
    </w:p>
    <w:p>
      <w:pPr>
        <w:numPr>
          <w:ilvl w:val="0"/>
          <w:numId w:val="1049"/>
        </w:numPr>
        <w:pStyle w:val="Compact"/>
      </w:pPr>
      <w:r>
        <w:rPr>
          <w:bCs/>
          <w:b/>
        </w:rPr>
        <w:t xml:space="preserve">Prefer designs that are robust to the assumptions you are least sure of.</w:t>
      </w:r>
    </w:p>
    <w:p>
      <w:pPr>
        <w:pStyle w:val="FirstParagraph"/>
      </w:pPr>
      <w:r>
        <w:rPr>
          <w:bCs/>
          <w:b/>
        </w:rPr>
        <w:t xml:space="preserve">Table 2.10 — QuickBite assumption register (excerpt).</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ID</w:t>
            </w:r>
          </w:p>
        </w:tc>
        <w:tc>
          <w:tcPr/>
          <w:p>
            <w:pPr>
              <w:pStyle w:val="Compact"/>
              <w:jc w:val="left"/>
            </w:pPr>
            <w:r>
              <w:t xml:space="preserve">Assumption</w:t>
            </w:r>
          </w:p>
        </w:tc>
        <w:tc>
          <w:tcPr/>
          <w:p>
            <w:pPr>
              <w:pStyle w:val="Compact"/>
              <w:jc w:val="left"/>
            </w:pPr>
            <w:r>
              <w:t xml:space="preserve">Value</w:t>
            </w:r>
          </w:p>
        </w:tc>
        <w:tc>
          <w:tcPr/>
          <w:p>
            <w:pPr>
              <w:pStyle w:val="Compact"/>
              <w:jc w:val="left"/>
            </w:pPr>
            <w:r>
              <w:t xml:space="preserve">Source</w:t>
            </w:r>
          </w:p>
        </w:tc>
        <w:tc>
          <w:tcPr/>
          <w:p>
            <w:pPr>
              <w:pStyle w:val="Compact"/>
              <w:jc w:val="left"/>
            </w:pPr>
            <w:r>
              <w:t xml:space="preserve">Confidence</w:t>
            </w:r>
          </w:p>
        </w:tc>
        <w:tc>
          <w:tcPr/>
          <w:p>
            <w:pPr>
              <w:pStyle w:val="Compact"/>
              <w:jc w:val="left"/>
            </w:pPr>
            <w:r>
              <w:t xml:space="preserve">Load-bearing?</w:t>
            </w:r>
          </w:p>
        </w:tc>
        <w:tc>
          <w:tcPr/>
          <w:p>
            <w:pPr>
              <w:pStyle w:val="Compact"/>
              <w:jc w:val="left"/>
            </w:pPr>
            <w:r>
              <w:t xml:space="preserve">Check and tripwire</w:t>
            </w:r>
          </w:p>
        </w:tc>
      </w:tr>
      <w:tr>
        <w:tc>
          <w:tcPr/>
          <w:p>
            <w:pPr>
              <w:pStyle w:val="Compact"/>
              <w:jc w:val="left"/>
            </w:pPr>
            <w:r>
              <w:t xml:space="preserve">A1</w:t>
            </w:r>
          </w:p>
        </w:tc>
        <w:tc>
          <w:tcPr/>
          <w:p>
            <w:pPr>
              <w:pStyle w:val="Compact"/>
              <w:jc w:val="left"/>
            </w:pPr>
            <w:r>
              <w:t xml:space="preserve">Daily active users</w:t>
            </w:r>
          </w:p>
        </w:tc>
        <w:tc>
          <w:tcPr/>
          <w:p>
            <w:pPr>
              <w:pStyle w:val="Compact"/>
              <w:jc w:val="left"/>
            </w:pPr>
            <w:r>
              <w:t xml:space="preserve">2 M</w:t>
            </w:r>
          </w:p>
        </w:tc>
        <w:tc>
          <w:tcPr/>
          <w:p>
            <w:pPr>
              <w:pStyle w:val="Compact"/>
              <w:jc w:val="left"/>
            </w:pPr>
            <w:r>
              <w:t xml:space="preserve">Business forecast</w:t>
            </w:r>
          </w:p>
        </w:tc>
        <w:tc>
          <w:tcPr/>
          <w:p>
            <w:pPr>
              <w:pStyle w:val="Compact"/>
              <w:jc w:val="left"/>
            </w:pPr>
            <w:r>
              <w:t xml:space="preserve">Low</w:t>
            </w:r>
          </w:p>
        </w:tc>
        <w:tc>
          <w:tcPr/>
          <w:p>
            <w:pPr>
              <w:pStyle w:val="Compact"/>
              <w:jc w:val="left"/>
            </w:pPr>
            <w:r>
              <w:t xml:space="preserve">Yes: sizes every tier</w:t>
            </w:r>
          </w:p>
        </w:tc>
        <w:tc>
          <w:tcPr/>
          <w:p>
            <w:pPr>
              <w:pStyle w:val="Compact"/>
              <w:jc w:val="left"/>
            </w:pPr>
            <w:r>
              <w:t xml:space="preserve">Weekly DAU dashboard; redesign review at 5 M</w:t>
            </w:r>
          </w:p>
        </w:tc>
      </w:tr>
      <w:tr>
        <w:tc>
          <w:tcPr/>
          <w:p>
            <w:pPr>
              <w:pStyle w:val="Compact"/>
              <w:jc w:val="left"/>
            </w:pPr>
            <w:r>
              <w:t xml:space="preserve">A2</w:t>
            </w:r>
          </w:p>
        </w:tc>
        <w:tc>
          <w:tcPr/>
          <w:p>
            <w:pPr>
              <w:pStyle w:val="Compact"/>
              <w:jc w:val="left"/>
            </w:pPr>
            <w:r>
              <w:t xml:space="preserve">Orders per DAU per day</w:t>
            </w:r>
          </w:p>
        </w:tc>
        <w:tc>
          <w:tcPr/>
          <w:p>
            <w:pPr>
              <w:pStyle w:val="Compact"/>
              <w:jc w:val="left"/>
            </w:pPr>
            <w:r>
              <w:t xml:space="preserve">0.25</w:t>
            </w:r>
          </w:p>
        </w:tc>
        <w:tc>
          <w:tcPr/>
          <w:p>
            <w:pPr>
              <w:pStyle w:val="Compact"/>
              <w:jc w:val="left"/>
            </w:pPr>
            <w:r>
              <w:t xml:space="preserve">Industry intuition</w:t>
            </w:r>
          </w:p>
        </w:tc>
        <w:tc>
          <w:tcPr/>
          <w:p>
            <w:pPr>
              <w:pStyle w:val="Compact"/>
              <w:jc w:val="left"/>
            </w:pPr>
            <w:r>
              <w:t xml:space="preserve">Low</w:t>
            </w:r>
          </w:p>
        </w:tc>
        <w:tc>
          <w:tcPr/>
          <w:p>
            <w:pPr>
              <w:pStyle w:val="Compact"/>
              <w:jc w:val="left"/>
            </w:pPr>
            <w:r>
              <w:t xml:space="preserve">Yes: order DB and payments</w:t>
            </w:r>
          </w:p>
        </w:tc>
        <w:tc>
          <w:tcPr/>
          <w:p>
            <w:pPr>
              <w:pStyle w:val="Compact"/>
              <w:jc w:val="left"/>
            </w:pPr>
            <w:r>
              <w:t xml:space="preserve">Measure in beta</w:t>
            </w:r>
          </w:p>
        </w:tc>
      </w:tr>
      <w:tr>
        <w:tc>
          <w:tcPr/>
          <w:p>
            <w:pPr>
              <w:pStyle w:val="Compact"/>
              <w:jc w:val="left"/>
            </w:pPr>
            <w:r>
              <w:t xml:space="preserve">A3</w:t>
            </w:r>
          </w:p>
        </w:tc>
        <w:tc>
          <w:tcPr/>
          <w:p>
            <w:pPr>
              <w:pStyle w:val="Compact"/>
              <w:jc w:val="left"/>
            </w:pPr>
            <w:r>
              <w:t xml:space="preserve">Busiest hour share of daily orders</w:t>
            </w:r>
          </w:p>
        </w:tc>
        <w:tc>
          <w:tcPr/>
          <w:p>
            <w:pPr>
              <w:pStyle w:val="Compact"/>
              <w:jc w:val="left"/>
            </w:pPr>
            <w:r>
              <w:t xml:space="preserve">20%</w:t>
            </w:r>
          </w:p>
        </w:tc>
        <w:tc>
          <w:tcPr/>
          <w:p>
            <w:pPr>
              <w:pStyle w:val="Compact"/>
              <w:jc w:val="left"/>
            </w:pPr>
            <w:r>
              <w:t xml:space="preserve">Assumed dinner peak</w:t>
            </w:r>
          </w:p>
        </w:tc>
        <w:tc>
          <w:tcPr/>
          <w:p>
            <w:pPr>
              <w:pStyle w:val="Compact"/>
              <w:jc w:val="left"/>
            </w:pPr>
            <w:r>
              <w:t xml:space="preserve">Medium</w:t>
            </w:r>
          </w:p>
        </w:tc>
        <w:tc>
          <w:tcPr/>
          <w:p>
            <w:pPr>
              <w:pStyle w:val="Compact"/>
              <w:jc w:val="left"/>
            </w:pPr>
            <w:r>
              <w:t xml:space="preserve">Yes: peak sizing</w:t>
            </w:r>
          </w:p>
        </w:tc>
        <w:tc>
          <w:tcPr/>
          <w:p>
            <w:pPr>
              <w:pStyle w:val="Compact"/>
              <w:jc w:val="left"/>
            </w:pPr>
            <w:r>
              <w:t xml:space="preserve">Hourly order histogram</w:t>
            </w:r>
          </w:p>
        </w:tc>
      </w:tr>
      <w:tr>
        <w:tc>
          <w:tcPr/>
          <w:p>
            <w:pPr>
              <w:pStyle w:val="Compact"/>
              <w:jc w:val="left"/>
            </w:pPr>
            <w:r>
              <w:t xml:space="preserve">A4</w:t>
            </w:r>
          </w:p>
        </w:tc>
        <w:tc>
          <w:tcPr/>
          <w:p>
            <w:pPr>
              <w:pStyle w:val="Compact"/>
              <w:jc w:val="left"/>
            </w:pPr>
            <w:r>
              <w:t xml:space="preserve">Courier location update interval</w:t>
            </w:r>
          </w:p>
        </w:tc>
        <w:tc>
          <w:tcPr/>
          <w:p>
            <w:pPr>
              <w:pStyle w:val="Compact"/>
              <w:jc w:val="left"/>
            </w:pPr>
            <w:r>
              <w:t xml:space="preserve">4 s</w:t>
            </w:r>
          </w:p>
        </w:tc>
        <w:tc>
          <w:tcPr/>
          <w:p>
            <w:pPr>
              <w:pStyle w:val="Compact"/>
              <w:jc w:val="left"/>
            </w:pPr>
            <w:r>
              <w:t xml:space="preserve">Product decision</w:t>
            </w:r>
          </w:p>
        </w:tc>
        <w:tc>
          <w:tcPr/>
          <w:p>
            <w:pPr>
              <w:pStyle w:val="Compact"/>
              <w:jc w:val="left"/>
            </w:pPr>
            <w:r>
              <w:t xml:space="preserve">High</w:t>
            </w:r>
          </w:p>
        </w:tc>
        <w:tc>
          <w:tcPr/>
          <w:p>
            <w:pPr>
              <w:pStyle w:val="Compact"/>
              <w:jc w:val="left"/>
            </w:pPr>
            <w:r>
              <w:t xml:space="preserve">Yes: location write load</w:t>
            </w:r>
          </w:p>
        </w:tc>
        <w:tc>
          <w:tcPr/>
          <w:p>
            <w:pPr>
              <w:pStyle w:val="Compact"/>
              <w:jc w:val="left"/>
            </w:pPr>
            <w:r>
              <w:t xml:space="preserve">Config value, reviewed with product</w:t>
            </w:r>
          </w:p>
        </w:tc>
      </w:tr>
      <w:tr>
        <w:tc>
          <w:tcPr/>
          <w:p>
            <w:pPr>
              <w:pStyle w:val="Compact"/>
              <w:jc w:val="left"/>
            </w:pPr>
            <w:r>
              <w:t xml:space="preserve">A5</w:t>
            </w:r>
          </w:p>
        </w:tc>
        <w:tc>
          <w:tcPr/>
          <w:p>
            <w:pPr>
              <w:pStyle w:val="Compact"/>
              <w:jc w:val="left"/>
            </w:pPr>
            <w:r>
              <w:t xml:space="preserve">Payment provider p99 latency</w:t>
            </w:r>
          </w:p>
        </w:tc>
        <w:tc>
          <w:tcPr/>
          <w:p>
            <w:pPr>
              <w:pStyle w:val="Compact"/>
              <w:jc w:val="left"/>
            </w:pPr>
            <w:r>
              <w:t xml:space="preserve">1 s</w:t>
            </w:r>
          </w:p>
        </w:tc>
        <w:tc>
          <w:tcPr/>
          <w:p>
            <w:pPr>
              <w:pStyle w:val="Compact"/>
              <w:jc w:val="left"/>
            </w:pPr>
            <w:r>
              <w:t xml:space="preserve">Vendor documentation</w:t>
            </w:r>
          </w:p>
        </w:tc>
        <w:tc>
          <w:tcPr/>
          <w:p>
            <w:pPr>
              <w:pStyle w:val="Compact"/>
              <w:jc w:val="left"/>
            </w:pPr>
            <w:r>
              <w:t xml:space="preserve">Medium</w:t>
            </w:r>
          </w:p>
        </w:tc>
        <w:tc>
          <w:tcPr/>
          <w:p>
            <w:pPr>
              <w:pStyle w:val="Compact"/>
              <w:jc w:val="left"/>
            </w:pPr>
            <w:r>
              <w:t xml:space="preserve">Moderate: timeouts, pools</w:t>
            </w:r>
          </w:p>
        </w:tc>
        <w:tc>
          <w:tcPr/>
          <w:p>
            <w:pPr>
              <w:pStyle w:val="Compact"/>
              <w:jc w:val="left"/>
            </w:pPr>
            <w:r>
              <w:t xml:space="preserve">Client-side latency histogram</w:t>
            </w:r>
          </w:p>
        </w:tc>
      </w:tr>
      <w:tr>
        <w:tc>
          <w:tcPr/>
          <w:p>
            <w:pPr>
              <w:pStyle w:val="Compact"/>
              <w:jc w:val="left"/>
            </w:pPr>
            <w:r>
              <w:t xml:space="preserve">A6</w:t>
            </w:r>
          </w:p>
        </w:tc>
        <w:tc>
          <w:tcPr/>
          <w:p>
            <w:pPr>
              <w:pStyle w:val="Compact"/>
              <w:jc w:val="left"/>
            </w:pPr>
            <w:r>
              <w:t xml:space="preserve">Average menu size</w:t>
            </w:r>
          </w:p>
        </w:tc>
        <w:tc>
          <w:tcPr/>
          <w:p>
            <w:pPr>
              <w:pStyle w:val="Compact"/>
              <w:jc w:val="left"/>
            </w:pPr>
            <w:r>
              <w:t xml:space="preserve">100 items × 1 KB</w:t>
            </w:r>
          </w:p>
        </w:tc>
        <w:tc>
          <w:tcPr/>
          <w:p>
            <w:pPr>
              <w:pStyle w:val="Compact"/>
              <w:jc w:val="left"/>
            </w:pPr>
            <w:r>
              <w:t xml:space="preserve">Sample of 50 menus</w:t>
            </w:r>
          </w:p>
        </w:tc>
        <w:tc>
          <w:tcPr/>
          <w:p>
            <w:pPr>
              <w:pStyle w:val="Compact"/>
              <w:jc w:val="left"/>
            </w:pPr>
            <w:r>
              <w:t xml:space="preserve">Medium</w:t>
            </w:r>
          </w:p>
        </w:tc>
        <w:tc>
          <w:tcPr/>
          <w:p>
            <w:pPr>
              <w:pStyle w:val="Compact"/>
              <w:jc w:val="left"/>
            </w:pPr>
            <w:r>
              <w:t xml:space="preserve">No: menus fit in memory even at 10×</w:t>
            </w:r>
          </w:p>
        </w:tc>
        <w:tc>
          <w:tcPr/>
          <w:p>
            <w:pPr>
              <w:pStyle w:val="Compact"/>
              <w:jc w:val="left"/>
            </w:pPr>
            <w:r>
              <w:t xml:space="preserve">Catalog size metric</w:t>
            </w:r>
          </w:p>
        </w:tc>
      </w:tr>
    </w:tbl>
    <w:p>
      <w:pPr>
        <w:pStyle w:val="BodyText"/>
      </w:pPr>
      <w:r>
        <w:t xml:space="preserve">The sensitivity column is the payoff. A6 is not load-bearing: all menus total about 5 GB (§2.11), and 50 GB would still fit in a small cache cluster, so being 10× wrong changes nothing structural. A4</w:t>
      </w:r>
      <w:r>
        <w:t xml:space="preserve"> </w:t>
      </w:r>
      <w:r>
        <w:rPr>
          <w:iCs/>
          <w:i/>
        </w:rPr>
        <w:t xml:space="preserve">is</w:t>
      </w:r>
      <w:r>
        <w:t xml:space="preserve"> </w:t>
      </w:r>
      <w:r>
        <w:t xml:space="preserve">load-bearing: halving the interval to 2 s doubles the heaviest write path in the system.</w:t>
      </w:r>
    </w:p>
    <w:p>
      <w:pPr>
        <w:pStyle w:val="CalloutExample"/>
      </w:pPr>
      <w:r>
        <w:rPr>
          <w:bCs/>
          <w:b/>
        </w:rPr>
        <w:t xml:space="preserve">WORKED EXAMPLE</w:t>
      </w:r>
    </w:p>
    <w:p>
      <w:pPr>
        <w:pStyle w:val="CalloutExample"/>
      </w:pPr>
      <w:r>
        <w:rPr>
          <w:bCs/>
          <w:b/>
        </w:rPr>
        <w:t xml:space="preserve">Worked example — Sensitivity of the location tier to assumption A4.</w:t>
      </w:r>
      <w:r>
        <w:t xml:space="preserve"> </w:t>
      </w:r>
      <w:r>
        <w:t xml:space="preserve">Peak active couriers are assumed to be 20,000.</w:t>
      </w:r>
    </w:p>
    <w:p>
      <w:pPr>
        <w:numPr>
          <w:ilvl w:val="0"/>
          <w:numId w:val="1050"/>
        </w:numPr>
        <w:pStyle w:val="Compact"/>
      </w:pPr>
      <w:r>
        <w:t xml:space="preserve">Update interval 4 s: 20,000 / 4 =</w:t>
      </w:r>
      <w:r>
        <w:t xml:space="preserve"> </w:t>
      </w:r>
      <w:r>
        <w:rPr>
          <w:bCs/>
          <w:b/>
        </w:rPr>
        <w:t xml:space="preserve">5,000 writes/s</w:t>
      </w:r>
      <w:r>
        <w:t xml:space="preserve">.</w:t>
      </w:r>
    </w:p>
    <w:p>
      <w:pPr>
        <w:numPr>
          <w:ilvl w:val="0"/>
          <w:numId w:val="1050"/>
        </w:numPr>
        <w:pStyle w:val="Compact"/>
      </w:pPr>
      <w:r>
        <w:t xml:space="preserve">Product asks for 1 s</w:t>
      </w:r>
      <w:r>
        <w:t xml:space="preserve"> </w:t>
      </w:r>
      <w:r>
        <w:t xml:space="preserve">“</w:t>
      </w:r>
      <w:r>
        <w:t xml:space="preserve">for smoother maps</w:t>
      </w:r>
      <w:r>
        <w:t xml:space="preserve">”</w:t>
      </w:r>
      <w:r>
        <w:t xml:space="preserve">: 20,000 / 1 =</w:t>
      </w:r>
      <w:r>
        <w:t xml:space="preserve"> </w:t>
      </w:r>
      <w:r>
        <w:rPr>
          <w:bCs/>
          <w:b/>
        </w:rPr>
        <w:t xml:space="preserve">20,000 writes/s</w:t>
      </w:r>
      <w:r>
        <w:t xml:space="preserve">, 4× the load.</w:t>
      </w:r>
    </w:p>
    <w:p>
      <w:pPr>
        <w:numPr>
          <w:ilvl w:val="0"/>
          <w:numId w:val="1050"/>
        </w:numPr>
        <w:pStyle w:val="Compact"/>
      </w:pPr>
      <w:r>
        <w:t xml:space="preserve">At an assumed 200 bytes per update including protocol overhead, ingress rises from 5,000 × 200 = 1 MB/s to 20,000 × 200 = 4 MB/s. That is modest for the network, but 4× the write operations for the store.</w:t>
      </w:r>
    </w:p>
    <w:p>
      <w:pPr>
        <w:pStyle w:val="CalloutExample"/>
      </w:pPr>
      <w:r>
        <w:rPr>
          <w:bCs/>
          <w:b/>
        </w:rPr>
        <w:t xml:space="preserve">Interpretation.</w:t>
      </w:r>
      <w:r>
        <w:t xml:space="preserve"> </w:t>
      </w:r>
      <w:r>
        <w:t xml:space="preserve">Network bandwidth is not the issue. The</w:t>
      </w:r>
      <w:r>
        <w:t xml:space="preserve"> </w:t>
      </w:r>
      <w:r>
        <w:rPr>
          <w:iCs/>
          <w:i/>
        </w:rPr>
        <w:t xml:space="preserve">write rate</w:t>
      </w:r>
      <w:r>
        <w:t xml:space="preserve"> </w:t>
      </w:r>
      <w:r>
        <w:t xml:space="preserve">to the location store is.</w:t>
      </w:r>
      <w:r>
        <w:t xml:space="preserve"> </w:t>
      </w:r>
      <w:r>
        <w:rPr>
          <w:bCs/>
          <w:b/>
        </w:rPr>
        <w:t xml:space="preserve">Engineering implication:</w:t>
      </w:r>
      <w:r>
        <w:t xml:space="preserve"> </w:t>
      </w:r>
      <w:r>
        <w:t xml:space="preserve">keep the 4 s interval on the server and have the client app</w:t>
      </w:r>
      <w:r>
        <w:t xml:space="preserve"> </w:t>
      </w:r>
      <w:r>
        <w:rPr>
          <w:iCs/>
          <w:i/>
        </w:rPr>
        <w:t xml:space="preserve">interpolate</w:t>
      </w:r>
      <w:r>
        <w:t xml:space="preserve"> </w:t>
      </w:r>
      <w:r>
        <w:t xml:space="preserve">the marker’s movement between updates. Customers see smooth motion at a quarter of the cost. The assumption register made this negotiation possible because the cost of the request was visible immediately.</w:t>
      </w:r>
    </w:p>
    <w:p>
      <w:pPr>
        <w:pStyle w:val="CalloutIndustry"/>
      </w:pPr>
      <w:r>
        <w:rPr>
          <w:bCs/>
          <w:b/>
        </w:rPr>
        <w:t xml:space="preserve">INDUSTRY EXAMPLE</w:t>
      </w:r>
    </w:p>
    <w:p>
      <w:pPr>
        <w:pStyle w:val="CalloutIndustry"/>
      </w:pPr>
      <w:r>
        <w:rPr>
          <w:bCs/>
          <w:b/>
        </w:rPr>
        <w:t xml:space="preserve">Assumptions in published design-review practice.</w:t>
      </w:r>
      <w:r>
        <w:t xml:space="preserve"> </w:t>
      </w:r>
      <w:r>
        <w:t xml:space="preserve">Google’s internal design-doc culture, as described by a Google engineer, asks authors to state context, goals and</w:t>
      </w:r>
      <w:r>
        <w:t xml:space="preserve"> </w:t>
      </w:r>
      <w:r>
        <w:rPr>
          <w:iCs/>
          <w:i/>
        </w:rPr>
        <w:t xml:space="preserve">non-goals</w:t>
      </w:r>
      <w:r>
        <w:t xml:space="preserve">, and to discuss alternatives and trade-offs, so that reviewers can challenge the premises behind a design and not only its mechanics.</w:t>
      </w:r>
      <w:r>
        <w:t xml:space="preserve"> </w:t>
      </w:r>
      <w:r>
        <w:rPr>
          <w:iCs/>
          <w:i/>
        </w:rPr>
        <w:t xml:space="preserve">Evidence: Secondary</w:t>
      </w:r>
      <w:r>
        <w:t xml:space="preserve"> </w:t>
      </w:r>
      <w:r>
        <w:t xml:space="preserve">— [Ubl 2020]</w:t>
      </w:r>
    </w:p>
    <w:bookmarkEnd w:id="206"/>
    <w:bookmarkStart w:id="207" w:name="failure-scenarios-and-misconceptions-1"/>
    <w:p>
      <w:pPr>
        <w:pStyle w:val="Heading4"/>
      </w:pPr>
      <w:r>
        <w:t xml:space="preserve">Failure scenarios and misconceptions</w:t>
      </w:r>
    </w:p>
    <w:p>
      <w:pPr>
        <w:pStyle w:val="FirstParagraph"/>
      </w:pPr>
      <w:r>
        <w:rPr>
          <w:bCs/>
          <w:b/>
        </w:rPr>
        <w:t xml:space="preserve">Table 2.11 — Assumption 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Stale assumption</w:t>
            </w:r>
          </w:p>
        </w:tc>
        <w:tc>
          <w:tcPr/>
          <w:p>
            <w:pPr>
              <w:pStyle w:val="Compact"/>
              <w:jc w:val="left"/>
            </w:pPr>
            <w:r>
              <w:t xml:space="preserve">The world changed, e.g. a new market launched</w:t>
            </w:r>
          </w:p>
        </w:tc>
        <w:tc>
          <w:tcPr/>
          <w:p>
            <w:pPr>
              <w:pStyle w:val="Compact"/>
              <w:jc w:val="left"/>
            </w:pPr>
            <w:r>
              <w:t xml:space="preserve">Metrics drift past the tripwire</w:t>
            </w:r>
          </w:p>
        </w:tc>
        <w:tc>
          <w:tcPr/>
          <w:p>
            <w:pPr>
              <w:pStyle w:val="Compact"/>
              <w:jc w:val="left"/>
            </w:pPr>
            <w:r>
              <w:t xml:space="preserve">Run the redesign review</w:t>
            </w:r>
          </w:p>
        </w:tc>
        <w:tc>
          <w:tcPr/>
          <w:p>
            <w:pPr>
              <w:pStyle w:val="Compact"/>
              <w:jc w:val="left"/>
            </w:pPr>
            <w:r>
              <w:t xml:space="preserve">Tripwires on load-bearing assumptions</w:t>
            </w:r>
          </w:p>
        </w:tc>
      </w:tr>
      <w:tr>
        <w:tc>
          <w:tcPr/>
          <w:p>
            <w:pPr>
              <w:pStyle w:val="Compact"/>
              <w:jc w:val="left"/>
            </w:pPr>
            <w:r>
              <w:t xml:space="preserve">Assumption mistaken for fact</w:t>
            </w:r>
          </w:p>
        </w:tc>
        <w:tc>
          <w:tcPr/>
          <w:p>
            <w:pPr>
              <w:pStyle w:val="Compact"/>
              <w:jc w:val="left"/>
            </w:pPr>
            <w:r>
              <w:t xml:space="preserve">Repeated until nobody remembers it was a guess</w:t>
            </w:r>
          </w:p>
        </w:tc>
        <w:tc>
          <w:tcPr/>
          <w:p>
            <w:pPr>
              <w:pStyle w:val="Compact"/>
              <w:jc w:val="left"/>
            </w:pPr>
            <w:r>
              <w:t xml:space="preserve">Nobody can name its source</w:t>
            </w:r>
          </w:p>
        </w:tc>
        <w:tc>
          <w:tcPr/>
          <w:p>
            <w:pPr>
              <w:pStyle w:val="Compact"/>
              <w:jc w:val="left"/>
            </w:pPr>
            <w:r>
              <w:t xml:space="preserve">Re-label and re-check</w:t>
            </w:r>
          </w:p>
        </w:tc>
        <w:tc>
          <w:tcPr/>
          <w:p>
            <w:pPr>
              <w:pStyle w:val="Compact"/>
              <w:jc w:val="left"/>
            </w:pPr>
            <w:r>
              <w:t xml:space="preserve">“</w:t>
            </w:r>
            <w:r>
              <w:t xml:space="preserve">Source</w:t>
            </w:r>
            <w:r>
              <w:t xml:space="preserve">”</w:t>
            </w:r>
            <w:r>
              <w:t xml:space="preserve"> </w:t>
            </w:r>
            <w:r>
              <w:t xml:space="preserve">and</w:t>
            </w:r>
            <w:r>
              <w:t xml:space="preserve"> </w:t>
            </w:r>
            <w:r>
              <w:t xml:space="preserve">“</w:t>
            </w:r>
            <w:r>
              <w:t xml:space="preserve">confidence</w:t>
            </w:r>
            <w:r>
              <w:t xml:space="preserve">”</w:t>
            </w:r>
            <w:r>
              <w:t xml:space="preserve"> </w:t>
            </w:r>
            <w:r>
              <w:t xml:space="preserve">columns</w:t>
            </w:r>
          </w:p>
        </w:tc>
      </w:tr>
      <w:tr>
        <w:tc>
          <w:tcPr/>
          <w:p>
            <w:pPr>
              <w:pStyle w:val="Compact"/>
              <w:jc w:val="left"/>
            </w:pPr>
            <w:r>
              <w:t xml:space="preserve">Average-case assumption</w:t>
            </w:r>
          </w:p>
        </w:tc>
        <w:tc>
          <w:tcPr/>
          <w:p>
            <w:pPr>
              <w:pStyle w:val="Compact"/>
              <w:jc w:val="left"/>
            </w:pPr>
            <w:r>
              <w:t xml:space="preserve">Peak and skew ignored</w:t>
            </w:r>
          </w:p>
        </w:tc>
        <w:tc>
          <w:tcPr/>
          <w:p>
            <w:pPr>
              <w:pStyle w:val="Compact"/>
              <w:jc w:val="left"/>
            </w:pPr>
            <w:r>
              <w:t xml:space="preserve">Outages at peaks or on hot keys</w:t>
            </w:r>
          </w:p>
        </w:tc>
        <w:tc>
          <w:tcPr/>
          <w:p>
            <w:pPr>
              <w:pStyle w:val="Compact"/>
              <w:jc w:val="left"/>
            </w:pPr>
            <w:r>
              <w:t xml:space="preserve">Add peak and skew factors</w:t>
            </w:r>
          </w:p>
        </w:tc>
        <w:tc>
          <w:tcPr/>
          <w:p>
            <w:pPr>
              <w:pStyle w:val="Compact"/>
              <w:jc w:val="left"/>
            </w:pPr>
            <w:r>
              <w:t xml:space="preserve">Always state a peak factor</w:t>
            </w:r>
          </w:p>
        </w:tc>
      </w:tr>
    </w:tbl>
    <w:p>
      <w:pPr>
        <w:pStyle w:val="CalloutMistake"/>
      </w:pPr>
      <w:r>
        <w:rPr>
          <w:bCs/>
          <w:b/>
        </w:rPr>
        <w:t xml:space="preserve">COMMON MISTAKE</w:t>
      </w:r>
    </w:p>
    <w:p>
      <w:pPr>
        <w:pStyle w:val="CalloutMistake"/>
      </w:pPr>
      <w:r>
        <w:rPr>
          <w:bCs/>
          <w:b/>
        </w:rPr>
        <w:t xml:space="preserve">“</w:t>
      </w:r>
      <w:r>
        <w:rPr>
          <w:bCs/>
          <w:b/>
        </w:rPr>
        <w:t xml:space="preserve">Stating assumptions shows you don’t know the answer.</w:t>
      </w:r>
      <w:r>
        <w:rPr>
          <w:bCs/>
          <w:b/>
        </w:rPr>
        <w:t xml:space="preserve">”</w:t>
      </w:r>
      <w:r>
        <w:t xml:space="preserve"> </w:t>
      </w:r>
      <w:r>
        <w:t xml:space="preserve">The opposite is true. In interviews and design reviews, explicit assumptions signal seniority. They show you know</w:t>
      </w:r>
      <w:r>
        <w:t xml:space="preserve"> </w:t>
      </w:r>
      <w:r>
        <w:rPr>
          <w:iCs/>
          <w:i/>
        </w:rPr>
        <w:t xml:space="preserve">which</w:t>
      </w:r>
      <w:r>
        <w:t xml:space="preserve"> </w:t>
      </w:r>
      <w:r>
        <w:t xml:space="preserve">unknowns matter and have a plan for each one.</w:t>
      </w:r>
    </w:p>
    <w:bookmarkEnd w:id="207"/>
    <w:bookmarkEnd w:id="208"/>
    <w:bookmarkEnd w:id="209"/>
    <w:bookmarkStart w:id="219" w:name="evaluating-trade-offs"/>
    <w:p>
      <w:pPr>
        <w:pStyle w:val="Heading2"/>
      </w:pPr>
      <w:r>
        <w:t xml:space="preserve">2.8 Evaluating trade-offs</w:t>
      </w:r>
    </w:p>
    <w:bookmarkStart w:id="213" w:name="weighted-decision-matrices"/>
    <w:p>
      <w:pPr>
        <w:pStyle w:val="Heading3"/>
      </w:pPr>
      <w:r>
        <w:t xml:space="preserve">2.8.1 Weighted decision matrices</w:t>
      </w:r>
    </w:p>
    <w:p>
      <w:pPr>
        <w:pStyle w:val="CalloutDefinition"/>
      </w:pPr>
      <w:r>
        <w:rPr>
          <w:bCs/>
          <w:b/>
        </w:rPr>
        <w:t xml:space="preserve">DEFINITION</w:t>
      </w:r>
    </w:p>
    <w:p>
      <w:pPr>
        <w:pStyle w:val="CalloutDefinition"/>
      </w:pPr>
      <w:r>
        <w:rPr>
          <w:bCs/>
          <w:b/>
        </w:rPr>
        <w:t xml:space="preserve">Definition — Trade-off.</w:t>
      </w:r>
      <w:r>
        <w:t xml:space="preserve"> </w:t>
      </w:r>
      <w:r>
        <w:t xml:space="preserve">A situation where improving one desired property of a system makes another worse. Examples: lower latency at higher cost, stronger consistency at lower availability during network partitions, faster delivery at higher operational risk. Every design decision is a trade-off. If you cannot name what an option makes worse, you have not understood it yet.</w:t>
      </w:r>
    </w:p>
    <w:bookmarkStart w:id="210" w:name="first-principles-explanation-14"/>
    <w:p>
      <w:pPr>
        <w:pStyle w:val="Heading4"/>
      </w:pPr>
      <w:r>
        <w:t xml:space="preserve">First-principles explanation</w:t>
      </w:r>
    </w:p>
    <w:p>
      <w:pPr>
        <w:pStyle w:val="FirstParagraph"/>
      </w:pPr>
      <w:r>
        <w:t xml:space="preserve">Buying a car means trading price against comfort, fuel economy against power, cargo space against parking ease. No car wins on everything. A sensible buyer decides</w:t>
      </w:r>
      <w:r>
        <w:t xml:space="preserve"> </w:t>
      </w:r>
      <w:r>
        <w:rPr>
          <w:iCs/>
          <w:i/>
        </w:rPr>
        <w:t xml:space="preserve">which properties matter most to them</w:t>
      </w:r>
      <w:r>
        <w:t xml:space="preserve">, scores the candidates, and also notices how hard the choice is to undo: leasing for a year is easy to reverse, buying a car and selling it a month later loses money. System design decisions have exactly the same two dimensions,</w:t>
      </w:r>
      <w:r>
        <w:t xml:space="preserve"> </w:t>
      </w:r>
      <w:r>
        <w:rPr>
          <w:bCs/>
          <w:b/>
        </w:rPr>
        <w:t xml:space="preserve">weighted fit</w:t>
      </w:r>
      <w:r>
        <w:t xml:space="preserve"> </w:t>
      </w:r>
      <w:r>
        <w:t xml:space="preserve">and</w:t>
      </w:r>
      <w:r>
        <w:t xml:space="preserve"> </w:t>
      </w:r>
      <w:r>
        <w:rPr>
          <w:bCs/>
          <w:b/>
        </w:rPr>
        <w:t xml:space="preserve">reversibility</w:t>
      </w:r>
      <w:r>
        <w:t xml:space="preserve">.</w:t>
      </w:r>
    </w:p>
    <w:bookmarkEnd w:id="210"/>
    <w:bookmarkStart w:id="211" w:name="why-does-this-exist-12"/>
    <w:p>
      <w:pPr>
        <w:pStyle w:val="Heading4"/>
      </w:pPr>
      <w:r>
        <w:t xml:space="preserve">Why does this exist?</w:t>
      </w:r>
    </w:p>
    <w:p>
      <w:pPr>
        <w:pStyle w:val="FirstParagraph"/>
      </w:pPr>
      <w:r>
        <w:t xml:space="preserve">Without a method, design decisions are made by whoever argues loudest or by habit (</w:t>
      </w:r>
      <w:r>
        <w:t xml:space="preserve">“</w:t>
      </w:r>
      <w:r>
        <w:t xml:space="preserve">we always use X</w:t>
      </w:r>
      <w:r>
        <w:t xml:space="preserve">”</w:t>
      </w:r>
      <w:r>
        <w:t xml:space="preserve">). A structured method makes the criteria and their importance explicit. It lets people disagree about</w:t>
      </w:r>
      <w:r>
        <w:t xml:space="preserve"> </w:t>
      </w:r>
      <w:r>
        <w:rPr>
          <w:iCs/>
          <w:i/>
        </w:rPr>
        <w:t xml:space="preserve">weights</w:t>
      </w:r>
      <w:r>
        <w:t xml:space="preserve"> </w:t>
      </w:r>
      <w:r>
        <w:t xml:space="preserve">(a business question) separately from</w:t>
      </w:r>
      <w:r>
        <w:t xml:space="preserve"> </w:t>
      </w:r>
      <w:r>
        <w:rPr>
          <w:iCs/>
          <w:i/>
        </w:rPr>
        <w:t xml:space="preserve">scores</w:t>
      </w:r>
      <w:r>
        <w:t xml:space="preserve"> </w:t>
      </w:r>
      <w:r>
        <w:t xml:space="preserve">(an engineering question), and it leaves a record for the ADR (§2.12).</w:t>
      </w:r>
    </w:p>
    <w:bookmarkEnd w:id="211"/>
    <w:bookmarkStart w:id="212" w:name="Xb6221421692a1c5d914e5481002844d763a8d56"/>
    <w:p>
      <w:pPr>
        <w:pStyle w:val="Heading4"/>
      </w:pPr>
      <w:r>
        <w:t xml:space="preserve">How it works internally: the weighted decision matrix</w:t>
      </w:r>
    </w:p>
    <w:p>
      <w:pPr>
        <w:numPr>
          <w:ilvl w:val="0"/>
          <w:numId w:val="1051"/>
        </w:numPr>
        <w:pStyle w:val="Compact"/>
      </w:pPr>
      <w:r>
        <w:t xml:space="preserve">List the</w:t>
      </w:r>
      <w:r>
        <w:t xml:space="preserve"> </w:t>
      </w:r>
      <w:r>
        <w:rPr>
          <w:bCs/>
          <w:b/>
        </w:rPr>
        <w:t xml:space="preserve">options</w:t>
      </w:r>
      <w:r>
        <w:t xml:space="preserve">, including</w:t>
      </w:r>
      <w:r>
        <w:t xml:space="preserve"> </w:t>
      </w:r>
      <w:r>
        <w:t xml:space="preserve">“</w:t>
      </w:r>
      <w:r>
        <w:t xml:space="preserve">do nothing</w:t>
      </w:r>
      <w:r>
        <w:t xml:space="preserve">”</w:t>
      </w:r>
      <w:r>
        <w:t xml:space="preserve"> </w:t>
      </w:r>
      <w:r>
        <w:t xml:space="preserve">or</w:t>
      </w:r>
      <w:r>
        <w:t xml:space="preserve"> </w:t>
      </w:r>
      <w:r>
        <w:t xml:space="preserve">“</w:t>
      </w:r>
      <w:r>
        <w:t xml:space="preserve">the simplest thing</w:t>
      </w:r>
      <w:r>
        <w:t xml:space="preserve">”</w:t>
      </w:r>
      <w:r>
        <w:t xml:space="preserve"> </w:t>
      </w:r>
      <w:r>
        <w:t xml:space="preserve">where it makes sense.</w:t>
      </w:r>
    </w:p>
    <w:p>
      <w:pPr>
        <w:numPr>
          <w:ilvl w:val="0"/>
          <w:numId w:val="1051"/>
        </w:numPr>
        <w:pStyle w:val="Compact"/>
      </w:pPr>
      <w:r>
        <w:t xml:space="preserve">List the</w:t>
      </w:r>
      <w:r>
        <w:t xml:space="preserve"> </w:t>
      </w:r>
      <w:r>
        <w:rPr>
          <w:bCs/>
          <w:b/>
        </w:rPr>
        <w:t xml:space="preserve">criteria</w:t>
      </w:r>
      <w:r>
        <w:t xml:space="preserve"> </w:t>
      </w:r>
      <w:r>
        <w:t xml:space="preserve">that come from the requirements (§2.5), not from personal taste.</w:t>
      </w:r>
    </w:p>
    <w:p>
      <w:pPr>
        <w:numPr>
          <w:ilvl w:val="0"/>
          <w:numId w:val="1051"/>
        </w:numPr>
        <w:pStyle w:val="Compact"/>
      </w:pPr>
      <w:r>
        <w:t xml:space="preserve">Assign</w:t>
      </w:r>
      <w:r>
        <w:t xml:space="preserve"> </w:t>
      </w:r>
      <w:r>
        <w:rPr>
          <w:bCs/>
          <w:b/>
        </w:rPr>
        <w:t xml:space="preserve">weights</w:t>
      </w:r>
      <w:r>
        <w:t xml:space="preserve"> </w:t>
      </w:r>
      <w:r>
        <w:t xml:space="preserve">that sum to 1 (or 100%), agreed with stakeholders.</w:t>
      </w:r>
    </w:p>
    <w:p>
      <w:pPr>
        <w:numPr>
          <w:ilvl w:val="0"/>
          <w:numId w:val="1051"/>
        </w:numPr>
        <w:pStyle w:val="Compact"/>
      </w:pPr>
      <w:r>
        <w:rPr>
          <w:bCs/>
          <w:b/>
        </w:rPr>
        <w:t xml:space="preserve">Score</w:t>
      </w:r>
      <w:r>
        <w:t xml:space="preserve"> </w:t>
      </w:r>
      <w:r>
        <w:t xml:space="preserve">each option against each criterion on a fixed scale, e.g. 1–5, with a one-line justification per score.</w:t>
      </w:r>
    </w:p>
    <w:p>
      <w:pPr>
        <w:numPr>
          <w:ilvl w:val="0"/>
          <w:numId w:val="1051"/>
        </w:numPr>
        <w:pStyle w:val="Compact"/>
      </w:pPr>
      <w:r>
        <w:t xml:space="preserve">Compute weighted totals.</w:t>
      </w:r>
    </w:p>
    <w:p>
      <w:pPr>
        <w:numPr>
          <w:ilvl w:val="0"/>
          <w:numId w:val="1051"/>
        </w:numPr>
        <w:pStyle w:val="Compact"/>
      </w:pPr>
      <w:r>
        <w:t xml:space="preserve">Run a</w:t>
      </w:r>
      <w:r>
        <w:t xml:space="preserve"> </w:t>
      </w:r>
      <w:r>
        <w:rPr>
          <w:bCs/>
          <w:b/>
        </w:rPr>
        <w:t xml:space="preserve">sensitivity check</w:t>
      </w:r>
      <w:r>
        <w:t xml:space="preserve">: does the winner change if a weight moves by ±10 percentage points? If it does, the decision is close and the deciding factor should be discussed explicitly.</w:t>
      </w:r>
    </w:p>
    <w:p>
      <w:pPr>
        <w:numPr>
          <w:ilvl w:val="0"/>
          <w:numId w:val="1051"/>
        </w:numPr>
        <w:pStyle w:val="Compact"/>
      </w:pPr>
      <w:r>
        <w:t xml:space="preserve">Check</w:t>
      </w:r>
      <w:r>
        <w:t xml:space="preserve"> </w:t>
      </w:r>
      <w:r>
        <w:rPr>
          <w:bCs/>
          <w:b/>
        </w:rPr>
        <w:t xml:space="preserve">reversibility</w:t>
      </w:r>
      <w:r>
        <w:t xml:space="preserve"> </w:t>
      </w:r>
      <w:r>
        <w:t xml:space="preserve">before committing (below).</w:t>
      </w:r>
    </w:p>
    <w:p>
      <w:pPr>
        <w:pStyle w:val="FirstParagraph"/>
      </w:pPr>
      <w:r>
        <w:t xml:space="preserve">This is a lightweight form of the concept-selection matrices used in engineering design, such as Pugh’s method [Pugh 1991].</w:t>
      </w:r>
    </w:p>
    <w:p>
      <w:pPr>
        <w:pStyle w:val="CalloutFormula"/>
      </w:pPr>
      <w:r>
        <w:rPr>
          <w:bCs/>
          <w:b/>
        </w:rPr>
        <w:t xml:space="preserve">FORMULA</w:t>
      </w:r>
    </w:p>
    <w:p>
      <w:pPr>
        <w:pStyle w:val="CalloutFormula"/>
      </w:pPr>
      <w:r>
        <w:rPr>
          <w:bCs/>
          <w:b/>
        </w:rPr>
        <w:t xml:space="preserve">Weighted decision score</w:t>
      </w:r>
    </w:p>
    <w:p>
      <w:pPr>
        <w:pStyle w:val="CalloutFormula"/>
      </w:pPr>
      <m:oMathPara>
        <m:oMathParaPr>
          <m:jc m:val="center"/>
        </m:oMathParaPr>
        <m:oMath>
          <m:sSub>
            <m:e>
              <m:r>
                <m:t>S</m:t>
              </m:r>
            </m:e>
            <m:sub>
              <m:r>
                <m:t>j</m:t>
              </m:r>
            </m:sub>
          </m:sSub>
          <m:r>
            <m:rPr>
              <m:sty m:val="p"/>
            </m:rPr>
            <m:t>=</m:t>
          </m:r>
          <m:nary>
            <m:naryPr>
              <m:chr m:val="∑"/>
              <m:limLoc m:val="undOvr"/>
              <m:subHide m:val="off"/>
              <m:supHide m:val="off"/>
            </m:naryPr>
            <m:sub>
              <m:r>
                <m:t>i</m:t>
              </m:r>
              <m:r>
                <m:rPr>
                  <m:sty m:val="p"/>
                </m:rPr>
                <m:t>=</m:t>
              </m:r>
              <m:r>
                <m:t>1</m:t>
              </m:r>
            </m:sub>
            <m:sup>
              <m:r>
                <m:t>n</m:t>
              </m:r>
            </m:sup>
            <m:e>
              <m:sSub>
                <m:e>
                  <m:r>
                    <m:t>w</m:t>
                  </m:r>
                </m:e>
                <m:sub>
                  <m:r>
                    <m:t>i</m:t>
                  </m:r>
                </m:sub>
              </m:sSub>
            </m:e>
          </m:nary>
          <m:r>
            <m:rPr>
              <m:sty m:val="p"/>
            </m:rPr>
            <m:t>×</m:t>
          </m:r>
          <m:sSub>
            <m:e>
              <m:r>
                <m:t>s</m:t>
              </m:r>
            </m:e>
            <m:sub>
              <m:r>
                <m:t>i</m:t>
              </m:r>
              <m:r>
                <m:t>j</m:t>
              </m:r>
            </m:sub>
          </m:sSub>
          <m:r>
            <m:rPr>
              <m:sty m:val="p"/>
            </m:rPr>
            <m:t>,</m:t>
          </m:r>
          <m:r>
            <m:t>  </m:t>
          </m:r>
          <m:nary>
            <m:naryPr>
              <m:chr m:val="∑"/>
              <m:limLoc m:val="undOvr"/>
              <m:subHide m:val="off"/>
              <m:supHide m:val="off"/>
            </m:naryPr>
            <m:sub>
              <m:r>
                <m:t>i</m:t>
              </m:r>
              <m:r>
                <m:rPr>
                  <m:sty m:val="p"/>
                </m:rPr>
                <m:t>=</m:t>
              </m:r>
              <m:r>
                <m:t>1</m:t>
              </m:r>
            </m:sub>
            <m:sup>
              <m:r>
                <m:t>n</m:t>
              </m:r>
            </m:sup>
            <m:e>
              <m:sSub>
                <m:e>
                  <m:r>
                    <m:t>w</m:t>
                  </m:r>
                </m:e>
                <m:sub>
                  <m:r>
                    <m:t>i</m:t>
                  </m:r>
                </m:sub>
              </m:sSub>
            </m:e>
          </m:nary>
          <m:r>
            <m:rPr>
              <m:sty m:val="p"/>
            </m:rPr>
            <m:t>=</m:t>
          </m:r>
          <m:r>
            <m:t>1</m:t>
          </m:r>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S</m:t>
                  </m:r>
                </m:e>
                <m:sub>
                  <m:r>
                    <m:t>j</m:t>
                  </m:r>
                </m:sub>
              </m:sSub>
            </m:oMath>
          </w:p>
        </w:tc>
        <w:tc>
          <w:tcPr/>
          <w:p>
            <w:pPr>
              <w:pStyle w:val="Compact"/>
              <w:jc w:val="left"/>
            </w:pPr>
            <w:r>
              <w:t xml:space="preserve">Total weighted score of option</w:t>
            </w:r>
            <w:r>
              <w:t xml:space="preserve"> </w:t>
            </w:r>
            <m:oMath>
              <m:r>
                <m:t>j</m:t>
              </m:r>
            </m:oMath>
          </w:p>
        </w:tc>
        <w:tc>
          <w:tcPr/>
          <w:p>
            <w:pPr>
              <w:pStyle w:val="Compact"/>
              <w:jc w:val="left"/>
            </w:pPr>
            <w:r>
              <w:t xml:space="preserve">score points (same scale as</w:t>
            </w:r>
            <w:r>
              <w:t xml:space="preserve"> </w:t>
            </w:r>
            <m:oMath>
              <m:sSub>
                <m:e>
                  <m:r>
                    <m:t>s</m:t>
                  </m:r>
                </m:e>
                <m:sub>
                  <m:r>
                    <m:t>i</m:t>
                  </m:r>
                  <m:r>
                    <m:t>j</m:t>
                  </m:r>
                </m:sub>
              </m:sSub>
            </m:oMath>
            <w:r>
              <w:t xml:space="preserve">)</w:t>
            </w:r>
          </w:p>
        </w:tc>
      </w:tr>
      <w:tr>
        <w:tc>
          <w:tcPr/>
          <w:p>
            <w:pPr>
              <w:pStyle w:val="Compact"/>
              <w:jc w:val="left"/>
            </w:pPr>
            <m:oMath>
              <m:sSub>
                <m:e>
                  <m:r>
                    <m:t>w</m:t>
                  </m:r>
                </m:e>
                <m:sub>
                  <m:r>
                    <m:t>i</m:t>
                  </m:r>
                </m:sub>
              </m:sSub>
            </m:oMath>
          </w:p>
        </w:tc>
        <w:tc>
          <w:tcPr/>
          <w:p>
            <w:pPr>
              <w:pStyle w:val="Compact"/>
              <w:jc w:val="left"/>
            </w:pPr>
            <w:r>
              <w:t xml:space="preserve">Weight of criterion</w:t>
            </w:r>
            <w:r>
              <w:t xml:space="preserve"> </w:t>
            </w:r>
            <m:oMath>
              <m:r>
                <m:t>i</m:t>
              </m:r>
            </m:oMath>
          </w:p>
        </w:tc>
        <w:tc>
          <w:tcPr/>
          <w:p>
            <w:pPr>
              <w:pStyle w:val="Compact"/>
              <w:jc w:val="left"/>
            </w:pPr>
            <w:r>
              <w:t xml:space="preserve">fraction (0–1)</w:t>
            </w:r>
          </w:p>
        </w:tc>
      </w:tr>
      <w:tr>
        <w:tc>
          <w:tcPr/>
          <w:p>
            <w:pPr>
              <w:pStyle w:val="Compact"/>
              <w:jc w:val="left"/>
            </w:pPr>
            <m:oMath>
              <m:sSub>
                <m:e>
                  <m:r>
                    <m:t>s</m:t>
                  </m:r>
                </m:e>
                <m:sub>
                  <m:r>
                    <m:t>i</m:t>
                  </m:r>
                  <m:r>
                    <m:t>j</m:t>
                  </m:r>
                </m:sub>
              </m:sSub>
            </m:oMath>
          </w:p>
        </w:tc>
        <w:tc>
          <w:tcPr/>
          <w:p>
            <w:pPr>
              <w:pStyle w:val="Compact"/>
              <w:jc w:val="left"/>
            </w:pPr>
            <w:r>
              <w:t xml:space="preserve">Score of option</w:t>
            </w:r>
            <w:r>
              <w:t xml:space="preserve"> </w:t>
            </w:r>
            <m:oMath>
              <m:r>
                <m:t>j</m:t>
              </m:r>
            </m:oMath>
            <w:r>
              <w:t xml:space="preserve"> </w:t>
            </w:r>
            <w:r>
              <w:t xml:space="preserve">on criterion</w:t>
            </w:r>
            <w:r>
              <w:t xml:space="preserve"> </w:t>
            </w:r>
            <m:oMath>
              <m:r>
                <m:t>i</m:t>
              </m:r>
            </m:oMath>
          </w:p>
        </w:tc>
        <w:tc>
          <w:tcPr/>
          <w:p>
            <w:pPr>
              <w:pStyle w:val="Compact"/>
              <w:jc w:val="left"/>
            </w:pPr>
            <w:r>
              <w:t xml:space="preserve">score points, e.g. 1–5</w:t>
            </w:r>
          </w:p>
        </w:tc>
      </w:tr>
      <w:tr>
        <w:tc>
          <w:tcPr/>
          <w:p>
            <w:pPr>
              <w:pStyle w:val="Compact"/>
              <w:jc w:val="left"/>
            </w:pPr>
            <m:oMath>
              <m:r>
                <m:t>n</m:t>
              </m:r>
            </m:oMath>
          </w:p>
        </w:tc>
        <w:tc>
          <w:tcPr/>
          <w:p>
            <w:pPr>
              <w:pStyle w:val="Compact"/>
              <w:jc w:val="left"/>
            </w:pPr>
            <w:r>
              <w:t xml:space="preserve">Number of criteria</w:t>
            </w:r>
          </w:p>
        </w:tc>
        <w:tc>
          <w:tcPr/>
          <w:p>
            <w:pPr>
              <w:pStyle w:val="Compact"/>
              <w:jc w:val="left"/>
            </w:pPr>
            <w:r>
              <w:t xml:space="preserve">count</w:t>
            </w:r>
          </w:p>
        </w:tc>
      </w:tr>
    </w:tbl>
    <w:p>
      <w:pPr>
        <w:pStyle w:val="CalloutExample"/>
      </w:pPr>
      <w:r>
        <w:rPr>
          <w:bCs/>
          <w:b/>
        </w:rPr>
        <w:t xml:space="preserve">WORKED EXAMPLE</w:t>
      </w:r>
    </w:p>
    <w:p>
      <w:pPr>
        <w:pStyle w:val="CalloutExample"/>
      </w:pPr>
      <w:r>
        <w:rPr>
          <w:bCs/>
          <w:b/>
        </w:rPr>
        <w:t xml:space="preserve">Worked example — Modular monolith or microservices for QuickBite v1?</w:t>
      </w:r>
      <w:r>
        <w:t xml:space="preserve"> </w:t>
      </w:r>
      <w:r>
        <w:t xml:space="preserve">The team is eight engineers and must launch in four months. Criteria and weights come from Table 2.5 and from business constraints.</w:t>
      </w:r>
    </w:p>
    <w:p>
      <w:pPr>
        <w:pStyle w:val="CalloutExample"/>
      </w:pPr>
      <w:r>
        <w:rPr>
          <w:bCs/>
          <w:b/>
        </w:rPr>
        <w:t xml:space="preserve">Table 2.12 — Weighted decision matrix for QuickBite’s deployment architecture.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Criterion</w:t>
            </w:r>
          </w:p>
        </w:tc>
        <w:tc>
          <w:tcPr/>
          <w:p>
            <w:pPr>
              <w:pStyle w:val="Compact"/>
              <w:jc w:val="left"/>
            </w:pPr>
            <w:r>
              <w:t xml:space="preserve">Weight</w:t>
            </w:r>
          </w:p>
        </w:tc>
        <w:tc>
          <w:tcPr/>
          <w:p>
            <w:pPr>
              <w:pStyle w:val="Compact"/>
              <w:jc w:val="left"/>
            </w:pPr>
            <w:r>
              <w:t xml:space="preserve">Modular monolith</w:t>
            </w:r>
          </w:p>
        </w:tc>
        <w:tc>
          <w:tcPr/>
          <w:p>
            <w:pPr>
              <w:pStyle w:val="Compact"/>
              <w:jc w:val="left"/>
            </w:pPr>
            <w:r>
              <w:t xml:space="preserve">Microservices (8 services)</w:t>
            </w:r>
          </w:p>
        </w:tc>
      </w:tr>
      <w:tr>
        <w:tc>
          <w:tcPr/>
          <w:p>
            <w:pPr>
              <w:pStyle w:val="Compact"/>
              <w:jc w:val="left"/>
            </w:pPr>
            <w:r>
              <w:t xml:space="preserve">Time to launch with 8 engineers</w:t>
            </w:r>
          </w:p>
        </w:tc>
        <w:tc>
          <w:tcPr/>
          <w:p>
            <w:pPr>
              <w:pStyle w:val="Compact"/>
              <w:jc w:val="left"/>
            </w:pPr>
            <w:r>
              <w:t xml:space="preserve">0.30</w:t>
            </w:r>
          </w:p>
        </w:tc>
        <w:tc>
          <w:tcPr/>
          <w:p>
            <w:pPr>
              <w:pStyle w:val="Compact"/>
              <w:jc w:val="left"/>
            </w:pPr>
            <w:r>
              <w:t xml:space="preserve">5</w:t>
            </w:r>
          </w:p>
        </w:tc>
        <w:tc>
          <w:tcPr/>
          <w:p>
            <w:pPr>
              <w:pStyle w:val="Compact"/>
              <w:jc w:val="left"/>
            </w:pPr>
            <w:r>
              <w:t xml:space="preserve">2</w:t>
            </w:r>
          </w:p>
        </w:tc>
      </w:tr>
      <w:tr>
        <w:tc>
          <w:tcPr/>
          <w:p>
            <w:pPr>
              <w:pStyle w:val="Compact"/>
              <w:jc w:val="left"/>
            </w:pPr>
            <w:r>
              <w:t xml:space="preserve">Operational simplicity</w:t>
            </w:r>
          </w:p>
        </w:tc>
        <w:tc>
          <w:tcPr/>
          <w:p>
            <w:pPr>
              <w:pStyle w:val="Compact"/>
              <w:jc w:val="left"/>
            </w:pPr>
            <w:r>
              <w:t xml:space="preserve">0.20</w:t>
            </w:r>
          </w:p>
        </w:tc>
        <w:tc>
          <w:tcPr/>
          <w:p>
            <w:pPr>
              <w:pStyle w:val="Compact"/>
              <w:jc w:val="left"/>
            </w:pPr>
            <w:r>
              <w:t xml:space="preserve">5</w:t>
            </w:r>
          </w:p>
        </w:tc>
        <w:tc>
          <w:tcPr/>
          <w:p>
            <w:pPr>
              <w:pStyle w:val="Compact"/>
              <w:jc w:val="left"/>
            </w:pPr>
            <w:r>
              <w:t xml:space="preserve">2</w:t>
            </w:r>
          </w:p>
        </w:tc>
      </w:tr>
      <w:tr>
        <w:tc>
          <w:tcPr/>
          <w:p>
            <w:pPr>
              <w:pStyle w:val="Compact"/>
              <w:jc w:val="left"/>
            </w:pPr>
            <w:r>
              <w:t xml:space="preserve">Independent scaling of hot paths</w:t>
            </w:r>
          </w:p>
        </w:tc>
        <w:tc>
          <w:tcPr/>
          <w:p>
            <w:pPr>
              <w:pStyle w:val="Compact"/>
              <w:jc w:val="left"/>
            </w:pPr>
            <w:r>
              <w:t xml:space="preserve">0.20</w:t>
            </w:r>
          </w:p>
        </w:tc>
        <w:tc>
          <w:tcPr/>
          <w:p>
            <w:pPr>
              <w:pStyle w:val="Compact"/>
              <w:jc w:val="left"/>
            </w:pPr>
            <w:r>
              <w:t xml:space="preserve">3</w:t>
            </w:r>
          </w:p>
        </w:tc>
        <w:tc>
          <w:tcPr/>
          <w:p>
            <w:pPr>
              <w:pStyle w:val="Compact"/>
              <w:jc w:val="left"/>
            </w:pPr>
            <w:r>
              <w:t xml:space="preserve">5</w:t>
            </w:r>
          </w:p>
        </w:tc>
      </w:tr>
      <w:tr>
        <w:tc>
          <w:tcPr/>
          <w:p>
            <w:pPr>
              <w:pStyle w:val="Compact"/>
              <w:jc w:val="left"/>
            </w:pPr>
            <w:r>
              <w:t xml:space="preserve">Failure isolation</w:t>
            </w:r>
          </w:p>
        </w:tc>
        <w:tc>
          <w:tcPr/>
          <w:p>
            <w:pPr>
              <w:pStyle w:val="Compact"/>
              <w:jc w:val="left"/>
            </w:pPr>
            <w:r>
              <w:t xml:space="preserve">0.15</w:t>
            </w:r>
          </w:p>
        </w:tc>
        <w:tc>
          <w:tcPr/>
          <w:p>
            <w:pPr>
              <w:pStyle w:val="Compact"/>
              <w:jc w:val="left"/>
            </w:pPr>
            <w:r>
              <w:t xml:space="preserve">3</w:t>
            </w:r>
          </w:p>
        </w:tc>
        <w:tc>
          <w:tcPr/>
          <w:p>
            <w:pPr>
              <w:pStyle w:val="Compact"/>
              <w:jc w:val="left"/>
            </w:pPr>
            <w:r>
              <w:t xml:space="preserve">4</w:t>
            </w:r>
          </w:p>
        </w:tc>
      </w:tr>
      <w:tr>
        <w:tc>
          <w:tcPr/>
          <w:p>
            <w:pPr>
              <w:pStyle w:val="Compact"/>
              <w:jc w:val="left"/>
            </w:pPr>
            <w:r>
              <w:t xml:space="preserve">Team autonomy as headcount grows</w:t>
            </w:r>
          </w:p>
        </w:tc>
        <w:tc>
          <w:tcPr/>
          <w:p>
            <w:pPr>
              <w:pStyle w:val="Compact"/>
              <w:jc w:val="left"/>
            </w:pPr>
            <w:r>
              <w:t xml:space="preserve">0.15</w:t>
            </w:r>
          </w:p>
        </w:tc>
        <w:tc>
          <w:tcPr/>
          <w:p>
            <w:pPr>
              <w:pStyle w:val="Compact"/>
              <w:jc w:val="left"/>
            </w:pPr>
            <w:r>
              <w:t xml:space="preserve">3</w:t>
            </w:r>
          </w:p>
        </w:tc>
        <w:tc>
          <w:tcPr/>
          <w:p>
            <w:pPr>
              <w:pStyle w:val="Compact"/>
              <w:jc w:val="left"/>
            </w:pPr>
            <w:r>
              <w:t xml:space="preserve">5</w:t>
            </w:r>
          </w:p>
        </w:tc>
      </w:tr>
      <w:tr>
        <w:tc>
          <w:tcPr/>
          <w:p>
            <w:pPr>
              <w:pStyle w:val="Compact"/>
              <w:jc w:val="left"/>
            </w:pPr>
            <w:r>
              <w:rPr>
                <w:bCs/>
                <w:b/>
              </w:rPr>
              <w:t xml:space="preserve">Weighted total</w:t>
            </w:r>
          </w:p>
        </w:tc>
        <w:tc>
          <w:tcPr/>
          <w:p>
            <w:pPr>
              <w:pStyle w:val="Compact"/>
              <w:jc w:val="left"/>
            </w:pPr>
            <w:r>
              <w:rPr>
                <w:bCs/>
                <w:b/>
              </w:rPr>
              <w:t xml:space="preserve">1.00</w:t>
            </w:r>
          </w:p>
        </w:tc>
        <w:tc>
          <w:tcPr/>
          <w:p>
            <w:pPr>
              <w:pStyle w:val="Compact"/>
              <w:jc w:val="left"/>
            </w:pPr>
            <w:r>
              <w:rPr>
                <w:bCs/>
                <w:b/>
              </w:rPr>
              <w:t xml:space="preserve">3.90</w:t>
            </w:r>
          </w:p>
        </w:tc>
        <w:tc>
          <w:tcPr/>
          <w:p>
            <w:pPr>
              <w:pStyle w:val="Compact"/>
              <w:jc w:val="left"/>
            </w:pPr>
            <w:r>
              <w:rPr>
                <w:bCs/>
                <w:b/>
              </w:rPr>
              <w:t xml:space="preserve">3.35</w:t>
            </w:r>
          </w:p>
        </w:tc>
      </w:tr>
    </w:tbl>
    <w:p>
      <w:pPr>
        <w:pStyle w:val="CalloutExample"/>
      </w:pPr>
      <w:r>
        <w:t xml:space="preserve">Arithmetic for the monolith: 0.30×5 + 0.20×5 + 0.20×3 + 0.15×3 + 0.15×3 = 1.50 + 1.00 + 0.60 + 0.45 + 0.45 =</w:t>
      </w:r>
      <w:r>
        <w:t xml:space="preserve"> </w:t>
      </w:r>
      <w:r>
        <w:rPr>
          <w:bCs/>
          <w:b/>
        </w:rPr>
        <w:t xml:space="preserve">3.90</w:t>
      </w:r>
      <w:r>
        <w:t xml:space="preserve">.</w:t>
      </w:r>
      <w:r>
        <w:t xml:space="preserve"> </w:t>
      </w:r>
      <w:r>
        <w:t xml:space="preserve">For microservices: 0.30×2 + 0.20×2 + 0.20×5 + 0.15×4 + 0.15×5 = 0.60 + 0.40 + 1.00 + 0.60 + 0.75 =</w:t>
      </w:r>
      <w:r>
        <w:t xml:space="preserve"> </w:t>
      </w:r>
      <w:r>
        <w:rPr>
          <w:bCs/>
          <w:b/>
        </w:rPr>
        <w:t xml:space="preserve">3.35</w:t>
      </w:r>
      <w:r>
        <w:t xml:space="preserve">.</w:t>
      </w:r>
    </w:p>
    <w:p>
      <w:pPr>
        <w:pStyle w:val="CalloutExample"/>
      </w:pPr>
      <w:r>
        <w:rPr>
          <w:iCs/>
          <w:i/>
        </w:rPr>
        <w:t xml:space="preserve">Sensitivity.</w:t>
      </w:r>
      <w:r>
        <w:t xml:space="preserve"> </w:t>
      </w:r>
      <w:r>
        <w:t xml:space="preserve">Move 10 points of weight from time-to-launch to independent scaling (0.20 and 0.30). Monolith: 0.20×5 + 0.20×5 + 0.30×3 + 0.45 + 0.45 = 1.00 + 1.00 + 0.90 + 0.90 =</w:t>
      </w:r>
      <w:r>
        <w:t xml:space="preserve"> </w:t>
      </w:r>
      <w:r>
        <w:rPr>
          <w:bCs/>
          <w:b/>
        </w:rPr>
        <w:t xml:space="preserve">3.80</w:t>
      </w:r>
      <w:r>
        <w:t xml:space="preserve">. Microservices: 0.20×2 + 0.20×2 + 0.30×5 + 0.60 + 0.75 = 0.40 + 0.40 + 1.50 + 1.35 =</w:t>
      </w:r>
      <w:r>
        <w:t xml:space="preserve"> </w:t>
      </w:r>
      <w:r>
        <w:rPr>
          <w:bCs/>
          <w:b/>
        </w:rPr>
        <w:t xml:space="preserve">3.65</w:t>
      </w:r>
      <w:r>
        <w:t xml:space="preserve">. The monolith still wins, so the result is robust to a reasonable disagreement about weights.</w:t>
      </w:r>
    </w:p>
    <w:p>
      <w:pPr>
        <w:pStyle w:val="CalloutExample"/>
      </w:pPr>
      <w:r>
        <w:rPr>
          <w:iCs/>
          <w:i/>
        </w:rPr>
        <w:t xml:space="preserve">A hybrid surfaces.</w:t>
      </w:r>
      <w:r>
        <w:t xml:space="preserve"> </w:t>
      </w:r>
      <w:r>
        <w:t xml:space="preserve">The one criterion where the monolith loses badly is independent scaling, and §2.11 shows that the location path dominates write load. Deploying the</w:t>
      </w:r>
      <w:r>
        <w:t xml:space="preserve"> </w:t>
      </w:r>
      <w:r>
        <w:rPr>
          <w:bCs/>
          <w:b/>
        </w:rPr>
        <w:t xml:space="preserve">location service separately</w:t>
      </w:r>
      <w:r>
        <w:t xml:space="preserve"> </w:t>
      </w:r>
      <w:r>
        <w:t xml:space="preserve">and everything else as a modular monolith captures most of the scaling benefit at a fraction of the operational cost.</w:t>
      </w:r>
    </w:p>
    <w:p>
      <w:pPr>
        <w:pStyle w:val="CalloutExample"/>
      </w:pPr>
      <w:r>
        <w:rPr>
          <w:bCs/>
          <w:b/>
        </w:rPr>
        <w:t xml:space="preserve">Interpretation.</w:t>
      </w:r>
      <w:r>
        <w:t xml:space="preserve"> </w:t>
      </w:r>
      <w:r>
        <w:t xml:space="preserve">The matrix did not</w:t>
      </w:r>
      <w:r>
        <w:t xml:space="preserve"> </w:t>
      </w:r>
      <w:r>
        <w:t xml:space="preserve">“</w:t>
      </w:r>
      <w:r>
        <w:t xml:space="preserve">decide</w:t>
      </w:r>
      <w:r>
        <w:t xml:space="preserve">”</w:t>
      </w:r>
      <w:r>
        <w:t xml:space="preserve">. It made the reasoning inspectable and revealed a better third option.</w:t>
      </w:r>
      <w:r>
        <w:t xml:space="preserve"> </w:t>
      </w:r>
      <w:r>
        <w:rPr>
          <w:bCs/>
          <w:b/>
        </w:rPr>
        <w:t xml:space="preserve">Engineering implication:</w:t>
      </w:r>
      <w:r>
        <w:t xml:space="preserve"> </w:t>
      </w:r>
      <w:r>
        <w:t xml:space="preserve">record the matrix and the sensitivity result in the ADR, and name the trigger for revisiting it, for example</w:t>
      </w:r>
      <w:r>
        <w:t xml:space="preserve"> </w:t>
      </w:r>
      <w:r>
        <w:t xml:space="preserve">“</w:t>
      </w:r>
      <w:r>
        <w:t xml:space="preserve">more than 30 engineers or more than 3 teams blocked on shared releases.</w:t>
      </w:r>
      <w:r>
        <w:t xml:space="preserve">”</w:t>
      </w:r>
    </w:p>
    <w:bookmarkEnd w:id="212"/>
    <w:bookmarkEnd w:id="213"/>
    <w:bookmarkStart w:id="218" w:name="reversibility-one-way-and-two-way-doors"/>
    <w:p>
      <w:pPr>
        <w:pStyle w:val="Heading3"/>
      </w:pPr>
      <w:r>
        <w:t xml:space="preserve">2.8.2 Reversibility: one-way and two-way doors</w:t>
      </w:r>
    </w:p>
    <w:p>
      <w:pPr>
        <w:pStyle w:val="FirstParagraph"/>
      </w:pPr>
      <w:r>
        <w:t xml:space="preserve">The matrix measures</w:t>
      </w:r>
      <w:r>
        <w:t xml:space="preserve"> </w:t>
      </w:r>
      <w:r>
        <w:rPr>
          <w:iCs/>
          <w:i/>
        </w:rPr>
        <w:t xml:space="preserve">fit</w:t>
      </w:r>
      <w:r>
        <w:t xml:space="preserve">. It says nothing about the</w:t>
      </w:r>
      <w:r>
        <w:t xml:space="preserve"> </w:t>
      </w:r>
      <w:r>
        <w:rPr>
          <w:iCs/>
          <w:i/>
        </w:rPr>
        <w:t xml:space="preserve">cost of being wrong</w:t>
      </w:r>
      <w:r>
        <w:t xml:space="preserve">. In his 2015 letter to shareholders, Jeff Bezos distinguished</w:t>
      </w:r>
      <w:r>
        <w:t xml:space="preserve"> </w:t>
      </w:r>
      <w:r>
        <w:rPr>
          <w:bCs/>
          <w:b/>
        </w:rPr>
        <w:t xml:space="preserve">Type 1</w:t>
      </w:r>
      <w:r>
        <w:t xml:space="preserve"> </w:t>
      </w:r>
      <w:r>
        <w:t xml:space="preserve">decisions, which are consequential and irreversible or nearly so (</w:t>
      </w:r>
      <w:r>
        <w:t xml:space="preserve">“</w:t>
      </w:r>
      <w:r>
        <w:t xml:space="preserve">one-way doors</w:t>
      </w:r>
      <w:r>
        <w:t xml:space="preserve">”</w:t>
      </w:r>
      <w:r>
        <w:t xml:space="preserve">) and deserve slow, careful deliberation, from</w:t>
      </w:r>
      <w:r>
        <w:t xml:space="preserve"> </w:t>
      </w:r>
      <w:r>
        <w:rPr>
          <w:bCs/>
          <w:b/>
        </w:rPr>
        <w:t xml:space="preserve">Type 2</w:t>
      </w:r>
      <w:r>
        <w:t xml:space="preserve"> </w:t>
      </w:r>
      <w:r>
        <w:t xml:space="preserve">decisions, which are reversible (</w:t>
      </w:r>
      <w:r>
        <w:t xml:space="preserve">“</w:t>
      </w:r>
      <w:r>
        <w:t xml:space="preserve">two-way doors</w:t>
      </w:r>
      <w:r>
        <w:t xml:space="preserve">”</w:t>
      </w:r>
      <w:r>
        <w:t xml:space="preserve">) and should be made quickly by individuals or small groups with good judgment. He warned that large organizations tend to apply the heavyweight Type 1 process to Type 2 decisions, and that this causes slowness and too little experimentation [Bezos 2016].</w:t>
      </w:r>
    </w:p>
    <w:p>
      <w:pPr>
        <w:pStyle w:val="BodyText"/>
      </w:pPr>
      <w:r>
        <w:t xml:space="preserve">In architecture, reversibility is mostly about</w:t>
      </w:r>
      <w:r>
        <w:t xml:space="preserve"> </w:t>
      </w:r>
      <w:r>
        <w:rPr>
          <w:bCs/>
          <w:b/>
        </w:rPr>
        <w:t xml:space="preserve">data and contracts</w:t>
      </w:r>
      <w:r>
        <w:t xml:space="preserve">. Code behind a stable interface is cheap to change. Data formats that have accumulated years of records, and public APIs that thousands of clients depend on, are not.</w:t>
      </w:r>
    </w:p>
    <w:p>
      <w:pPr>
        <w:pStyle w:val="BodyText"/>
      </w:pPr>
      <w:r>
        <w:rPr>
          <w:bCs/>
          <w:b/>
        </w:rPr>
        <w:t xml:space="preserve">Figure 2.5 — Choosing the decision process by reversibility.</w:t>
      </w:r>
    </w:p>
    <w:p>
      <w:pPr>
        <w:pStyle w:val="BodyText"/>
      </w:pPr>
      <w:r>
        <w:drawing>
          <wp:inline>
            <wp:extent cx="5334000" cy="7700855"/>
            <wp:effectExtent b="0" l="0" r="0" t="0"/>
            <wp:docPr descr="" title="" id="215" name="Picture"/>
            <a:graphic>
              <a:graphicData uri="http://schemas.openxmlformats.org/drawingml/2006/picture">
                <pic:pic>
                  <pic:nvPicPr>
                    <pic:cNvPr descr="/home/user/System-Design/build/.cache/diagrams/da502bea5ef8.png" id="216" name="Picture"/>
                    <pic:cNvPicPr>
                      <a:picLocks noChangeArrowheads="1" noChangeAspect="1"/>
                    </pic:cNvPicPr>
                  </pic:nvPicPr>
                  <pic:blipFill>
                    <a:blip r:embed="rId214"/>
                    <a:stretch>
                      <a:fillRect/>
                    </a:stretch>
                  </pic:blipFill>
                  <pic:spPr bwMode="auto">
                    <a:xfrm>
                      <a:off x="0" y="0"/>
                      <a:ext cx="5334000" cy="7700855"/>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A decision (stadium) passes through up to three questions (diamonds). The first asks whether the decision fixes something that is costly to change later: stored data formats, public APIs, multi-year vendor contracts. If it does, the second asks whether an interface you own can hide it. A repository layer in front of the database, or an internal payment service in front of the payment provider, turns a one-way door into a two-way one (box T2). That is often the best move available. Decisions that fix nothing durable, and are cheap to reverse, are two-way doors: decide quickly and let measurement correct you. Everything else is a one-way door and earns the full process: a design document, a review and an ADR (§2.12). The</w:t>
      </w:r>
      <w:r>
        <w:t xml:space="preserve"> </w:t>
      </w:r>
      <w:r>
        <w:t xml:space="preserve">“</w:t>
      </w:r>
      <w:r>
        <w:t xml:space="preserve">~1 team-week</w:t>
      </w:r>
      <w:r>
        <w:t xml:space="preserve">”</w:t>
      </w:r>
      <w:r>
        <w:t xml:space="preserve"> </w:t>
      </w:r>
      <w:r>
        <w:t xml:space="preserve">threshold is a heuristic. Calibrate it to your organization. There is no software data flow here. The failure mode this procedure prevents is organizational: spending weeks debating a two-way door, or rushing a one-way door.</w:t>
      </w:r>
    </w:p>
    <w:p>
      <w:pPr>
        <w:pStyle w:val="BodyText"/>
      </w:pPr>
      <w:r>
        <w:rPr>
          <w:bCs/>
          <w:b/>
        </w:rPr>
        <w:t xml:space="preserve">Table 2.13 — QuickBite decisions classified by reversibility.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Decision</w:t>
            </w:r>
          </w:p>
        </w:tc>
        <w:tc>
          <w:tcPr/>
          <w:p>
            <w:pPr>
              <w:pStyle w:val="Compact"/>
              <w:jc w:val="left"/>
            </w:pPr>
            <w:r>
              <w:t xml:space="preserve">Door</w:t>
            </w:r>
          </w:p>
        </w:tc>
        <w:tc>
          <w:tcPr/>
          <w:p>
            <w:pPr>
              <w:pStyle w:val="Compact"/>
              <w:jc w:val="left"/>
            </w:pPr>
            <w:r>
              <w:t xml:space="preserve">Why</w:t>
            </w:r>
          </w:p>
        </w:tc>
      </w:tr>
      <w:tr>
        <w:tc>
          <w:tcPr/>
          <w:p>
            <w:pPr>
              <w:pStyle w:val="Compact"/>
              <w:jc w:val="left"/>
            </w:pPr>
            <w:r>
              <w:t xml:space="preserve">Web framework for the catalog service</w:t>
            </w:r>
          </w:p>
        </w:tc>
        <w:tc>
          <w:tcPr/>
          <w:p>
            <w:pPr>
              <w:pStyle w:val="Compact"/>
              <w:jc w:val="left"/>
            </w:pPr>
            <w:r>
              <w:t xml:space="preserve">Two-way</w:t>
            </w:r>
          </w:p>
        </w:tc>
        <w:tc>
          <w:tcPr/>
          <w:p>
            <w:pPr>
              <w:pStyle w:val="Compact"/>
              <w:jc w:val="left"/>
            </w:pPr>
            <w:r>
              <w:t xml:space="preserve">Internal; can be rewritten behind the same API</w:t>
            </w:r>
          </w:p>
        </w:tc>
      </w:tr>
      <w:tr>
        <w:tc>
          <w:tcPr/>
          <w:p>
            <w:pPr>
              <w:pStyle w:val="Compact"/>
              <w:jc w:val="left"/>
            </w:pPr>
            <w:r>
              <w:t xml:space="preserve">Cache eviction policy</w:t>
            </w:r>
          </w:p>
        </w:tc>
        <w:tc>
          <w:tcPr/>
          <w:p>
            <w:pPr>
              <w:pStyle w:val="Compact"/>
              <w:jc w:val="left"/>
            </w:pPr>
            <w:r>
              <w:t xml:space="preserve">Two-way</w:t>
            </w:r>
          </w:p>
        </w:tc>
        <w:tc>
          <w:tcPr/>
          <w:p>
            <w:pPr>
              <w:pStyle w:val="Compact"/>
              <w:jc w:val="left"/>
            </w:pPr>
            <w:r>
              <w:t xml:space="preserve">A configuration change</w:t>
            </w:r>
          </w:p>
        </w:tc>
      </w:tr>
      <w:tr>
        <w:tc>
          <w:tcPr/>
          <w:p>
            <w:pPr>
              <w:pStyle w:val="Compact"/>
              <w:jc w:val="left"/>
            </w:pPr>
            <w:r>
              <w:t xml:space="preserve">Primary key and ID format for orders</w:t>
            </w:r>
          </w:p>
        </w:tc>
        <w:tc>
          <w:tcPr/>
          <w:p>
            <w:pPr>
              <w:pStyle w:val="Compact"/>
              <w:jc w:val="left"/>
            </w:pPr>
            <w:r>
              <w:t xml:space="preserve">One-way</w:t>
            </w:r>
          </w:p>
        </w:tc>
        <w:tc>
          <w:tcPr/>
          <w:p>
            <w:pPr>
              <w:pStyle w:val="Compact"/>
              <w:jc w:val="left"/>
            </w:pPr>
            <w:r>
              <w:t xml:space="preserve">Embedded in receipts, URLs, partner systems, years of data</w:t>
            </w:r>
          </w:p>
        </w:tc>
      </w:tr>
      <w:tr>
        <w:tc>
          <w:tcPr/>
          <w:p>
            <w:pPr>
              <w:pStyle w:val="Compact"/>
              <w:jc w:val="left"/>
            </w:pPr>
            <w:r>
              <w:t xml:space="preserve">Public order-status API shape for restaurant POS partners</w:t>
            </w:r>
          </w:p>
        </w:tc>
        <w:tc>
          <w:tcPr/>
          <w:p>
            <w:pPr>
              <w:pStyle w:val="Compact"/>
              <w:jc w:val="left"/>
            </w:pPr>
            <w:r>
              <w:t xml:space="preserve">One-way</w:t>
            </w:r>
          </w:p>
        </w:tc>
        <w:tc>
          <w:tcPr/>
          <w:p>
            <w:pPr>
              <w:pStyle w:val="Compact"/>
              <w:jc w:val="left"/>
            </w:pPr>
            <w:r>
              <w:t xml:space="preserve">External clients depend on it; versioning needed (§8.15)</w:t>
            </w:r>
          </w:p>
        </w:tc>
      </w:tr>
      <w:tr>
        <w:tc>
          <w:tcPr/>
          <w:p>
            <w:pPr>
              <w:pStyle w:val="Compact"/>
              <w:jc w:val="left"/>
            </w:pPr>
            <w:r>
              <w:t xml:space="preserve">Payment provider</w:t>
            </w:r>
          </w:p>
        </w:tc>
        <w:tc>
          <w:tcPr/>
          <w:p>
            <w:pPr>
              <w:pStyle w:val="Compact"/>
              <w:jc w:val="left"/>
            </w:pPr>
            <w:r>
              <w:t xml:space="preserve">One-way unless abstracted</w:t>
            </w:r>
          </w:p>
        </w:tc>
        <w:tc>
          <w:tcPr/>
          <w:p>
            <w:pPr>
              <w:pStyle w:val="Compact"/>
              <w:jc w:val="left"/>
            </w:pPr>
            <w:r>
              <w:t xml:space="preserve">Stored payment tokens are provider-specific</w:t>
            </w:r>
          </w:p>
        </w:tc>
      </w:tr>
      <w:tr>
        <w:tc>
          <w:tcPr/>
          <w:p>
            <w:pPr>
              <w:pStyle w:val="Compact"/>
              <w:jc w:val="left"/>
            </w:pPr>
            <w:r>
              <w:t xml:space="preserve">Monolith vs separate location service</w:t>
            </w:r>
          </w:p>
        </w:tc>
        <w:tc>
          <w:tcPr/>
          <w:p>
            <w:pPr>
              <w:pStyle w:val="Compact"/>
              <w:jc w:val="left"/>
            </w:pPr>
            <w:r>
              <w:t xml:space="preserve">Mostly two-way</w:t>
            </w:r>
          </w:p>
        </w:tc>
        <w:tc>
          <w:tcPr/>
          <w:p>
            <w:pPr>
              <w:pStyle w:val="Compact"/>
              <w:jc w:val="left"/>
            </w:pPr>
            <w:r>
              <w:t xml:space="preserve">Modular boundaries make extraction later feasible</w:t>
            </w:r>
          </w:p>
        </w:tc>
      </w:tr>
    </w:tbl>
    <w:p>
      <w:pPr>
        <w:pStyle w:val="CalloutIndustry"/>
      </w:pPr>
      <w:r>
        <w:rPr>
          <w:bCs/>
          <w:b/>
        </w:rPr>
        <w:t xml:space="preserve">INDUSTRY EXAMPLE</w:t>
      </w:r>
    </w:p>
    <w:p>
      <w:pPr>
        <w:pStyle w:val="CalloutIndustry"/>
      </w:pPr>
      <w:r>
        <w:rPr>
          <w:bCs/>
          <w:b/>
        </w:rPr>
        <w:t xml:space="preserve">Amazon’s Type 1 / Type 2 decisions.</w:t>
      </w:r>
      <w:r>
        <w:t xml:space="preserve"> </w:t>
      </w:r>
      <w:r>
        <w:t xml:space="preserve">The two-door model comes from Amazon’s 2015 shareholder letter. Bezos presented it as a way for a growing company to keep moving fast: reserve heavyweight deliberation for irreversible choices and push reversible ones down to small groups.</w:t>
      </w:r>
      <w:r>
        <w:t xml:space="preserve"> </w:t>
      </w:r>
      <w:r>
        <w:rPr>
          <w:iCs/>
          <w:i/>
        </w:rPr>
        <w:t xml:space="preserve">Evidence: Primary</w:t>
      </w:r>
      <w:r>
        <w:t xml:space="preserve"> </w:t>
      </w:r>
      <w:r>
        <w:t xml:space="preserve">— [Bezos 2016]</w:t>
      </w:r>
    </w:p>
    <w:bookmarkStart w:id="217" w:name="Xa1fb44609eea79c2606012b0e7ebf9600a9f51c"/>
    <w:p>
      <w:pPr>
        <w:pStyle w:val="Heading4"/>
      </w:pPr>
      <w:r>
        <w:t xml:space="preserve">Alternatives, failure scenarios and misconceptions</w:t>
      </w:r>
    </w:p>
    <w:p>
      <w:pPr>
        <w:pStyle w:val="FirstParagraph"/>
      </w:pPr>
      <w:r>
        <w:t xml:space="preserve">Alternatives to a weighted matrix include simple</w:t>
      </w:r>
      <w:r>
        <w:t xml:space="preserve"> </w:t>
      </w:r>
      <w:r>
        <w:rPr>
          <w:bCs/>
          <w:b/>
        </w:rPr>
        <w:t xml:space="preserve">pros/cons lists</w:t>
      </w:r>
      <w:r>
        <w:t xml:space="preserve"> </w:t>
      </w:r>
      <w:r>
        <w:t xml:space="preserve">(fine for two-way doors),</w:t>
      </w:r>
      <w:r>
        <w:t xml:space="preserve"> </w:t>
      </w:r>
      <w:r>
        <w:rPr>
          <w:bCs/>
          <w:b/>
        </w:rPr>
        <w:t xml:space="preserve">Pugh matrices</w:t>
      </w:r>
      <w:r>
        <w:t xml:space="preserve"> </w:t>
      </w:r>
      <w:r>
        <w:t xml:space="preserve">(score relative to a baseline option, [Pugh 1991]) and formal methods such as the</w:t>
      </w:r>
      <w:r>
        <w:t xml:space="preserve"> </w:t>
      </w:r>
      <w:r>
        <w:rPr>
          <w:bCs/>
          <w:b/>
        </w:rPr>
        <w:t xml:space="preserve">Architecture Tradeoff Analysis Method (ATAM)</w:t>
      </w:r>
      <w:r>
        <w:t xml:space="preserve"> </w:t>
      </w:r>
      <w:r>
        <w:t xml:space="preserve">for large systems, which ties quality-attribute scenarios to architectural decisions [Bass et al. 2021].</w:t>
      </w:r>
    </w:p>
    <w:p>
      <w:pPr>
        <w:pStyle w:val="BodyText"/>
      </w:pPr>
      <w:r>
        <w:rPr>
          <w:bCs/>
          <w:b/>
        </w:rPr>
        <w:t xml:space="preserve">Table 2.14 — Trade-off evaluation 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Matrix theater</w:t>
            </w:r>
          </w:p>
        </w:tc>
        <w:tc>
          <w:tcPr/>
          <w:p>
            <w:pPr>
              <w:pStyle w:val="Compact"/>
              <w:jc w:val="left"/>
            </w:pPr>
            <w:r>
              <w:t xml:space="preserve">Scores reverse-engineered to justify a choice already made</w:t>
            </w:r>
          </w:p>
        </w:tc>
        <w:tc>
          <w:tcPr/>
          <w:p>
            <w:pPr>
              <w:pStyle w:val="Compact"/>
              <w:jc w:val="left"/>
            </w:pPr>
            <w:r>
              <w:t xml:space="preserve">Justifications are vague</w:t>
            </w:r>
          </w:p>
        </w:tc>
        <w:tc>
          <w:tcPr/>
          <w:p>
            <w:pPr>
              <w:pStyle w:val="Compact"/>
              <w:jc w:val="left"/>
            </w:pPr>
            <w:r>
              <w:t xml:space="preserve">Re-score independently</w:t>
            </w:r>
          </w:p>
        </w:tc>
        <w:tc>
          <w:tcPr/>
          <w:p>
            <w:pPr>
              <w:pStyle w:val="Compact"/>
              <w:jc w:val="left"/>
            </w:pPr>
            <w:r>
              <w:t xml:space="preserve">Have two people score blind</w:t>
            </w:r>
          </w:p>
        </w:tc>
      </w:tr>
      <w:tr>
        <w:tc>
          <w:tcPr/>
          <w:p>
            <w:pPr>
              <w:pStyle w:val="Compact"/>
              <w:jc w:val="left"/>
            </w:pPr>
            <w:r>
              <w:t xml:space="preserve">Missing option</w:t>
            </w:r>
          </w:p>
        </w:tc>
        <w:tc>
          <w:tcPr/>
          <w:p>
            <w:pPr>
              <w:pStyle w:val="Compact"/>
              <w:jc w:val="left"/>
            </w:pPr>
            <w:r>
              <w:t xml:space="preserve">The best option was never listed</w:t>
            </w:r>
          </w:p>
        </w:tc>
        <w:tc>
          <w:tcPr/>
          <w:p>
            <w:pPr>
              <w:pStyle w:val="Compact"/>
              <w:jc w:val="left"/>
            </w:pPr>
            <w:r>
              <w:t xml:space="preserve">A reviewer proposes it late</w:t>
            </w:r>
          </w:p>
        </w:tc>
        <w:tc>
          <w:tcPr/>
          <w:p>
            <w:pPr>
              <w:pStyle w:val="Compact"/>
              <w:jc w:val="left"/>
            </w:pPr>
            <w:r>
              <w:t xml:space="preserve">Add and re-score</w:t>
            </w:r>
          </w:p>
        </w:tc>
        <w:tc>
          <w:tcPr/>
          <w:p>
            <w:pPr>
              <w:pStyle w:val="Compact"/>
              <w:jc w:val="left"/>
            </w:pPr>
            <w:r>
              <w:t xml:space="preserve">Always include</w:t>
            </w:r>
            <w:r>
              <w:t xml:space="preserve"> </w:t>
            </w:r>
            <w:r>
              <w:t xml:space="preserve">“</w:t>
            </w:r>
            <w:r>
              <w:t xml:space="preserve">simplest thing</w:t>
            </w:r>
            <w:r>
              <w:t xml:space="preserve">”</w:t>
            </w:r>
            <w:r>
              <w:t xml:space="preserve"> </w:t>
            </w:r>
            <w:r>
              <w:t xml:space="preserve">and a hybrid</w:t>
            </w:r>
          </w:p>
        </w:tc>
      </w:tr>
      <w:tr>
        <w:tc>
          <w:tcPr/>
          <w:p>
            <w:pPr>
              <w:pStyle w:val="Compact"/>
              <w:jc w:val="left"/>
            </w:pPr>
            <w:r>
              <w:t xml:space="preserve">Analysis paralysis on a two-way door</w:t>
            </w:r>
          </w:p>
        </w:tc>
        <w:tc>
          <w:tcPr/>
          <w:p>
            <w:pPr>
              <w:pStyle w:val="Compact"/>
              <w:jc w:val="left"/>
            </w:pPr>
            <w:r>
              <w:t xml:space="preserve">One process for every decision</w:t>
            </w:r>
          </w:p>
        </w:tc>
        <w:tc>
          <w:tcPr/>
          <w:p>
            <w:pPr>
              <w:pStyle w:val="Compact"/>
              <w:jc w:val="left"/>
            </w:pPr>
            <w:r>
              <w:t xml:space="preserve">Weeks of debate on reversible items</w:t>
            </w:r>
          </w:p>
        </w:tc>
        <w:tc>
          <w:tcPr/>
          <w:p>
            <w:pPr>
              <w:pStyle w:val="Compact"/>
              <w:jc w:val="left"/>
            </w:pPr>
            <w:r>
              <w:t xml:space="preserve">Time-box; pick and measure</w:t>
            </w:r>
          </w:p>
        </w:tc>
        <w:tc>
          <w:tcPr/>
          <w:p>
            <w:pPr>
              <w:pStyle w:val="Compact"/>
              <w:jc w:val="left"/>
            </w:pPr>
            <w:r>
              <w:t xml:space="preserve">Classify reversibility first</w:t>
            </w:r>
          </w:p>
        </w:tc>
      </w:tr>
      <w:tr>
        <w:tc>
          <w:tcPr/>
          <w:p>
            <w:pPr>
              <w:pStyle w:val="Compact"/>
              <w:jc w:val="left"/>
            </w:pPr>
            <w:r>
              <w:t xml:space="preserve">Rushed one-way door</w:t>
            </w:r>
          </w:p>
        </w:tc>
        <w:tc>
          <w:tcPr/>
          <w:p>
            <w:pPr>
              <w:pStyle w:val="Compact"/>
              <w:jc w:val="left"/>
            </w:pPr>
            <w:r>
              <w:t xml:space="preserve">Treated like a quick choice</w:t>
            </w:r>
          </w:p>
        </w:tc>
        <w:tc>
          <w:tcPr/>
          <w:p>
            <w:pPr>
              <w:pStyle w:val="Compact"/>
              <w:jc w:val="left"/>
            </w:pPr>
            <w:r>
              <w:t xml:space="preserve">Expensive migration later</w:t>
            </w:r>
          </w:p>
        </w:tc>
        <w:tc>
          <w:tcPr/>
          <w:p>
            <w:pPr>
              <w:pStyle w:val="Compact"/>
              <w:jc w:val="left"/>
            </w:pPr>
            <w:r>
              <w:t xml:space="preserve">Migration project</w:t>
            </w:r>
          </w:p>
        </w:tc>
        <w:tc>
          <w:tcPr/>
          <w:p>
            <w:pPr>
              <w:pStyle w:val="Compact"/>
              <w:jc w:val="left"/>
            </w:pPr>
            <w:r>
              <w:t xml:space="preserve">Figure 2.5 before deciding</w:t>
            </w:r>
          </w:p>
        </w:tc>
      </w:tr>
    </w:tbl>
    <w:p>
      <w:pPr>
        <w:pStyle w:val="CalloutMistake"/>
      </w:pPr>
      <w:r>
        <w:rPr>
          <w:bCs/>
          <w:b/>
        </w:rPr>
        <w:t xml:space="preserve">COMMON MISTAKE</w:t>
      </w:r>
    </w:p>
    <w:p>
      <w:pPr>
        <w:pStyle w:val="CalloutMistake"/>
      </w:pPr>
      <w:r>
        <w:rPr>
          <w:bCs/>
          <w:b/>
        </w:rPr>
        <w:t xml:space="preserve">“</w:t>
      </w:r>
      <w:r>
        <w:rPr>
          <w:bCs/>
          <w:b/>
        </w:rPr>
        <w:t xml:space="preserve">There is a best architecture.</w:t>
      </w:r>
      <w:r>
        <w:rPr>
          <w:bCs/>
          <w:b/>
        </w:rPr>
        <w:t xml:space="preserve">”</w:t>
      </w:r>
      <w:r>
        <w:t xml:space="preserve"> </w:t>
      </w:r>
      <w:r>
        <w:t xml:space="preserve">There is only a best architecture</w:t>
      </w:r>
      <w:r>
        <w:t xml:space="preserve"> </w:t>
      </w:r>
      <w:r>
        <w:rPr>
          <w:iCs/>
          <w:i/>
        </w:rPr>
        <w:t xml:space="preserve">for a set of weighted requirements and constraints</w:t>
      </w:r>
      <w:r>
        <w:t xml:space="preserve">. Change the team size, the deadline or the load, and the winner changes. This is why the requirements and assumptions behind a decision must be recorded alongside it.</w:t>
      </w:r>
    </w:p>
    <w:bookmarkEnd w:id="217"/>
    <w:bookmarkEnd w:id="218"/>
    <w:bookmarkEnd w:id="219"/>
    <w:bookmarkStart w:id="227" w:name="designing-for-failure"/>
    <w:p>
      <w:pPr>
        <w:pStyle w:val="Heading2"/>
      </w:pPr>
      <w:r>
        <w:t xml:space="preserve">2.9 Designing for failure</w:t>
      </w:r>
    </w:p>
    <w:bookmarkStart w:id="226" w:name="failure-as-a-normal-event"/>
    <w:p>
      <w:pPr>
        <w:pStyle w:val="Heading3"/>
      </w:pPr>
      <w:r>
        <w:t xml:space="preserve">2.9.1 Failure as a normal event</w:t>
      </w:r>
    </w:p>
    <w:p>
      <w:pPr>
        <w:pStyle w:val="CalloutDefinition"/>
      </w:pPr>
      <w:r>
        <w:rPr>
          <w:bCs/>
          <w:b/>
        </w:rPr>
        <w:t xml:space="preserve">DEFINITION</w:t>
      </w:r>
    </w:p>
    <w:p>
      <w:pPr>
        <w:pStyle w:val="CalloutDefinition"/>
      </w:pPr>
      <w:r>
        <w:rPr>
          <w:bCs/>
          <w:b/>
        </w:rPr>
        <w:t xml:space="preserve">Definition — Designing for failure.</w:t>
      </w:r>
      <w:r>
        <w:t xml:space="preserve"> </w:t>
      </w:r>
      <w:r>
        <w:t xml:space="preserve">Treating component failure as a</w:t>
      </w:r>
      <w:r>
        <w:t xml:space="preserve"> </w:t>
      </w:r>
      <w:r>
        <w:rPr>
          <w:iCs/>
          <w:i/>
        </w:rPr>
        <w:t xml:space="preserve">normal, expected event</w:t>
      </w:r>
      <w:r>
        <w:t xml:space="preserve"> </w:t>
      </w:r>
      <w:r>
        <w:t xml:space="preserve">rather than an exception. For every component and dependency, the design states what happens when it is slow, returns errors or disappears, and makes sure the</w:t>
      </w:r>
      <w:r>
        <w:t xml:space="preserve"> </w:t>
      </w:r>
      <w:r>
        <w:rPr>
          <w:bCs/>
          <w:b/>
        </w:rPr>
        <w:t xml:space="preserve">blast radius</w:t>
      </w:r>
      <w:r>
        <w:t xml:space="preserve"> </w:t>
      </w:r>
      <w:r>
        <w:t xml:space="preserve">(the set of users and features affected) is as small as possible.</w:t>
      </w:r>
    </w:p>
    <w:bookmarkStart w:id="220" w:name="first-principles-explanation-15"/>
    <w:p>
      <w:pPr>
        <w:pStyle w:val="Heading4"/>
      </w:pPr>
      <w:r>
        <w:t xml:space="preserve">First-principles explanation</w:t>
      </w:r>
    </w:p>
    <w:p>
      <w:pPr>
        <w:pStyle w:val="FirstParagraph"/>
      </w:pPr>
      <w:r>
        <w:t xml:space="preserve">Aircraft are not designed on the assumption that engines never fail. They are designed to fly on one engine. Buildings have fire doors that confine a fire to one section. Designing for failure applies the same idea to software: accept that every part</w:t>
      </w:r>
      <w:r>
        <w:t xml:space="preserve"> </w:t>
      </w:r>
      <w:r>
        <w:rPr>
          <w:iCs/>
          <w:i/>
        </w:rPr>
        <w:t xml:space="preserve">will</w:t>
      </w:r>
      <w:r>
        <w:t xml:space="preserve"> </w:t>
      </w:r>
      <w:r>
        <w:t xml:space="preserve">fail at some point, and decide in advance how the rest of the system keeps working.</w:t>
      </w:r>
    </w:p>
    <w:bookmarkEnd w:id="220"/>
    <w:bookmarkStart w:id="221" w:name="why-does-this-exist-13"/>
    <w:p>
      <w:pPr>
        <w:pStyle w:val="Heading4"/>
      </w:pPr>
      <w:r>
        <w:t xml:space="preserve">Why does this exist?</w:t>
      </w:r>
    </w:p>
    <w:p>
      <w:pPr>
        <w:pStyle w:val="FirstParagraph"/>
      </w:pPr>
      <w:r>
        <w:t xml:space="preserve">At scale, failure is a matter of arithmetic, not bad luck. With 1,000 servers that each fail on average once every three years, the fleet sees roughly one failure a day (1,000 / (3 × 365) ≈ 0.9). Networks drop packets, disks wear out, deploys ship bugs and third parties have outages. James Hamilton’s widely cited guidance for internet-scale services starts from this premise: expect failures, and design every component so that failures are handled automatically and without drama [Hamilton 2007]. The</w:t>
      </w:r>
      <w:r>
        <w:t xml:space="preserve"> </w:t>
      </w:r>
      <w:r>
        <w:t xml:space="preserve">“</w:t>
      </w:r>
      <w:r>
        <w:t xml:space="preserve">fallacies of distributed computing,</w:t>
      </w:r>
      <w:r>
        <w:t xml:space="preserve">”</w:t>
      </w:r>
      <w:r>
        <w:t xml:space="preserve"> </w:t>
      </w:r>
      <w:r>
        <w:t xml:space="preserve">such as</w:t>
      </w:r>
      <w:r>
        <w:t xml:space="preserve"> </w:t>
      </w:r>
      <w:r>
        <w:t xml:space="preserve">“</w:t>
      </w:r>
      <w:r>
        <w:t xml:space="preserve">the network is reliable,</w:t>
      </w:r>
      <w:r>
        <w:t xml:space="preserve">”</w:t>
      </w:r>
      <w:r>
        <w:t xml:space="preserve"> </w:t>
      </w:r>
      <w:r>
        <w:t xml:space="preserve">catalog the assumptions that make systems brittle (§24.5).</w:t>
      </w:r>
    </w:p>
    <w:bookmarkEnd w:id="221"/>
    <w:bookmarkStart w:id="225" w:name="how-it-works-internally-12"/>
    <w:p>
      <w:pPr>
        <w:pStyle w:val="Heading4"/>
      </w:pPr>
      <w:r>
        <w:t xml:space="preserve">How it works internally</w:t>
      </w:r>
    </w:p>
    <w:p>
      <w:pPr>
        <w:pStyle w:val="FirstParagraph"/>
      </w:pPr>
      <w:r>
        <w:t xml:space="preserve">A failure-mode walk-through, sometimes called a lightweight</w:t>
      </w:r>
      <w:r>
        <w:t xml:space="preserve"> </w:t>
      </w:r>
      <w:r>
        <w:rPr>
          <w:bCs/>
          <w:b/>
        </w:rPr>
        <w:t xml:space="preserve">failure mode and effects analysis (FMEA)</w:t>
      </w:r>
      <w:r>
        <w:t xml:space="preserve">:</w:t>
      </w:r>
    </w:p>
    <w:p>
      <w:pPr>
        <w:numPr>
          <w:ilvl w:val="0"/>
          <w:numId w:val="1052"/>
        </w:numPr>
        <w:pStyle w:val="Compact"/>
      </w:pPr>
      <w:r>
        <w:t xml:space="preserve">For each component and each arrow in the decomposition diagram, ask:</w:t>
      </w:r>
      <w:r>
        <w:t xml:space="preserve"> </w:t>
      </w:r>
      <w:r>
        <w:rPr>
          <w:iCs/>
          <w:i/>
        </w:rPr>
        <w:t xml:space="preserve">what if it is down? Slow? Returning wrong data?</w:t>
      </w:r>
    </w:p>
    <w:p>
      <w:pPr>
        <w:numPr>
          <w:ilvl w:val="0"/>
          <w:numId w:val="1052"/>
        </w:numPr>
        <w:pStyle w:val="Compact"/>
      </w:pPr>
      <w:r>
        <w:t xml:space="preserve">Decide the</w:t>
      </w:r>
      <w:r>
        <w:t xml:space="preserve"> </w:t>
      </w:r>
      <w:r>
        <w:rPr>
          <w:bCs/>
          <w:b/>
        </w:rPr>
        <w:t xml:space="preserve">desired behavior</w:t>
      </w:r>
      <w:r>
        <w:t xml:space="preserve">: fail fast, retry, degrade gracefully or queue for later.</w:t>
      </w:r>
    </w:p>
    <w:p>
      <w:pPr>
        <w:numPr>
          <w:ilvl w:val="0"/>
          <w:numId w:val="1052"/>
        </w:numPr>
        <w:pStyle w:val="Compact"/>
      </w:pPr>
      <w:r>
        <w:t xml:space="preserve">Apply standard mechanisms:</w:t>
      </w:r>
      <w:r>
        <w:t xml:space="preserve"> </w:t>
      </w:r>
      <w:r>
        <w:rPr>
          <w:bCs/>
          <w:b/>
        </w:rPr>
        <w:t xml:space="preserve">timeouts</w:t>
      </w:r>
      <w:r>
        <w:t xml:space="preserve"> </w:t>
      </w:r>
      <w:r>
        <w:t xml:space="preserve">on every remote call,</w:t>
      </w:r>
      <w:r>
        <w:t xml:space="preserve"> </w:t>
      </w:r>
      <w:r>
        <w:rPr>
          <w:bCs/>
          <w:b/>
        </w:rPr>
        <w:t xml:space="preserve">retries with backoff and jitter</w:t>
      </w:r>
      <w:r>
        <w:t xml:space="preserve"> </w:t>
      </w:r>
      <w:r>
        <w:t xml:space="preserve">only for idempotent operations,</w:t>
      </w:r>
      <w:r>
        <w:t xml:space="preserve"> </w:t>
      </w:r>
      <w:r>
        <w:rPr>
          <w:bCs/>
          <w:b/>
        </w:rPr>
        <w:t xml:space="preserve">circuit breakers</w:t>
      </w:r>
      <w:r>
        <w:t xml:space="preserve"> </w:t>
      </w:r>
      <w:r>
        <w:t xml:space="preserve">to stop calling a failing dependency,</w:t>
      </w:r>
      <w:r>
        <w:t xml:space="preserve"> </w:t>
      </w:r>
      <w:r>
        <w:rPr>
          <w:bCs/>
          <w:b/>
        </w:rPr>
        <w:t xml:space="preserve">bulkheads</w:t>
      </w:r>
      <w:r>
        <w:t xml:space="preserve"> </w:t>
      </w:r>
      <w:r>
        <w:t xml:space="preserve">to isolate resource pools (all in Chapter 22),</w:t>
      </w:r>
      <w:r>
        <w:t xml:space="preserve"> </w:t>
      </w:r>
      <w:r>
        <w:rPr>
          <w:bCs/>
          <w:b/>
        </w:rPr>
        <w:t xml:space="preserve">redundancy</w:t>
      </w:r>
      <w:r>
        <w:t xml:space="preserve"> </w:t>
      </w:r>
      <w:r>
        <w:t xml:space="preserve">across zones (§39.4) and</w:t>
      </w:r>
      <w:r>
        <w:t xml:space="preserve"> </w:t>
      </w:r>
      <w:r>
        <w:rPr>
          <w:bCs/>
          <w:b/>
        </w:rPr>
        <w:t xml:space="preserve">asynchrony</w:t>
      </w:r>
      <w:r>
        <w:t xml:space="preserve"> </w:t>
      </w:r>
      <w:r>
        <w:t xml:space="preserve">to take non-essential work off the critical path.</w:t>
      </w:r>
    </w:p>
    <w:p>
      <w:pPr>
        <w:numPr>
          <w:ilvl w:val="0"/>
          <w:numId w:val="1052"/>
        </w:numPr>
        <w:pStyle w:val="Compact"/>
      </w:pPr>
      <w:r>
        <w:t xml:space="preserve">Remove things from the</w:t>
      </w:r>
      <w:r>
        <w:t xml:space="preserve"> </w:t>
      </w:r>
      <w:r>
        <w:rPr>
          <w:bCs/>
          <w:b/>
        </w:rPr>
        <w:t xml:space="preserve">critical path</w:t>
      </w:r>
      <w:r>
        <w:t xml:space="preserve">, the chain of synchronous calls a user must wait for. Each item removed from it raises availability (formula below).</w:t>
      </w:r>
    </w:p>
    <w:p>
      <w:pPr>
        <w:pStyle w:val="FirstParagraph"/>
      </w:pPr>
      <w:r>
        <w:rPr>
          <w:bCs/>
          <w:b/>
        </w:rPr>
        <w:t xml:space="preserve">Figure 2.6 — QuickBite checkout designed for failure.</w:t>
      </w:r>
    </w:p>
    <w:p>
      <w:pPr>
        <w:pStyle w:val="BodyText"/>
      </w:pPr>
      <w:r>
        <w:drawing>
          <wp:inline>
            <wp:extent cx="5334000" cy="1967987"/>
            <wp:effectExtent b="0" l="0" r="0" t="0"/>
            <wp:docPr descr="" title="" id="223" name="Picture"/>
            <a:graphic>
              <a:graphicData uri="http://schemas.openxmlformats.org/drawingml/2006/picture">
                <pic:pic>
                  <pic:nvPicPr>
                    <pic:cNvPr descr="/home/user/System-Design/build/.cache/diagrams/ec7b1f7626cb.png" id="224" name="Picture"/>
                    <pic:cNvPicPr>
                      <a:picLocks noChangeArrowheads="1" noChangeAspect="1"/>
                    </pic:cNvPicPr>
                  </pic:nvPicPr>
                  <pic:blipFill>
                    <a:blip r:embed="rId222"/>
                    <a:stretch>
                      <a:fillRect/>
                    </a:stretch>
                  </pic:blipFill>
                  <pic:spPr bwMode="auto">
                    <a:xfrm>
                      <a:off x="0" y="0"/>
                      <a:ext cx="5334000" cy="1967987"/>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customer’s request carries an</w:t>
      </w:r>
      <w:r>
        <w:t xml:space="preserve"> </w:t>
      </w:r>
      <w:r>
        <w:rPr>
          <w:bCs/>
          <w:b/>
        </w:rPr>
        <w:t xml:space="preserve">idempotency key</w:t>
      </w:r>
      <w:r>
        <w:t xml:space="preserve">, so a retry after a network error cannot create a second order or a second charge (requirement N4). The synchronous critical path is customer → order service → payment service → payment provider. Each hop has an explicit</w:t>
      </w:r>
      <w:r>
        <w:t xml:space="preserve"> </w:t>
      </w:r>
      <w:r>
        <w:rPr>
          <w:bCs/>
          <w:b/>
        </w:rPr>
        <w:t xml:space="preserve">timeout</w:t>
      </w:r>
      <w:r>
        <w:t xml:space="preserve">, and the payment call sits behind a</w:t>
      </w:r>
      <w:r>
        <w:t xml:space="preserve"> </w:t>
      </w:r>
      <w:r>
        <w:rPr>
          <w:bCs/>
          <w:b/>
        </w:rPr>
        <w:t xml:space="preserve">circuit breaker</w:t>
      </w:r>
      <w:r>
        <w:t xml:space="preserve">. If the provider is failing, the breaker opens and the customer is offered another payment method within milliseconds, instead of waiting for timeouts (dotted fallback). The order database runs inside a subgraph spanning two</w:t>
      </w:r>
      <w:r>
        <w:t xml:space="preserve"> </w:t>
      </w:r>
      <w:r>
        <w:rPr>
          <w:bCs/>
          <w:b/>
        </w:rPr>
        <w:t xml:space="preserve">availability zones</w:t>
      </w:r>
      <w:r>
        <w:t xml:space="preserve">: a primary with a synchronously replicated standby, which meets N3 (RPO = 0). Instead of calling the restaurant notifier and dispatch directly, the order service writes an event to an</w:t>
      </w:r>
      <w:r>
        <w:t xml:space="preserve"> </w:t>
      </w:r>
      <w:r>
        <w:rPr>
          <w:bCs/>
          <w:b/>
        </w:rPr>
        <w:t xml:space="preserve">outbox table</w:t>
      </w:r>
      <w:r>
        <w:t xml:space="preserve"> </w:t>
      </w:r>
      <w:r>
        <w:t xml:space="preserve">in the same transaction as the order (§32.5). A relay then publishes it to the event log. Restaurant notification and dispatch are therefore</w:t>
      </w:r>
      <w:r>
        <w:t xml:space="preserve"> </w:t>
      </w:r>
      <w:r>
        <w:rPr>
          <w:iCs/>
          <w:i/>
        </w:rPr>
        <w:t xml:space="preserve">off the critical path</w:t>
      </w:r>
      <w:r>
        <w:t xml:space="preserve">: if either is down, orders still succeed, and the events are delivered when they recover (at-least-once, so consumers must be idempotent, §32.10). Remaining single points of failure to watch: the payment provider (mitigated by the fallback, or by a second provider later) and the event-log relay (mitigated by running two relays).</w:t>
      </w:r>
    </w:p>
    <w:p>
      <w:pPr>
        <w:pStyle w:val="CalloutFormula"/>
      </w:pPr>
      <w:r>
        <w:rPr>
          <w:bCs/>
          <w:b/>
        </w:rPr>
        <w:t xml:space="preserve">FORMULA</w:t>
      </w:r>
    </w:p>
    <w:p>
      <w:pPr>
        <w:pStyle w:val="CalloutFormula"/>
      </w:pPr>
      <w:r>
        <w:rPr>
          <w:bCs/>
          <w:b/>
        </w:rPr>
        <w:t xml:space="preserve">Availability of components in series</w:t>
      </w:r>
    </w:p>
    <w:p>
      <w:pPr>
        <w:pStyle w:val="CalloutFormula"/>
      </w:pPr>
      <m:oMathPara>
        <m:oMathParaPr>
          <m:jc m:val="center"/>
        </m:oMathParaPr>
        <m:oMath>
          <m:sSub>
            <m:e>
              <m:r>
                <m:t>A</m:t>
              </m:r>
            </m:e>
            <m:sub>
              <m:r>
                <m:t>s</m:t>
              </m:r>
              <m:r>
                <m:t>e</m:t>
              </m:r>
              <m:r>
                <m:t>r</m:t>
              </m:r>
              <m:r>
                <m:t>i</m:t>
              </m:r>
              <m:r>
                <m:t>e</m:t>
              </m:r>
              <m:r>
                <m:t>s</m:t>
              </m:r>
            </m:sub>
          </m:sSub>
          <m:r>
            <m:rPr>
              <m:sty m:val="p"/>
            </m:rPr>
            <m:t>=</m:t>
          </m:r>
          <m:nary>
            <m:naryPr>
              <m:chr m:val="∏"/>
              <m:limLoc m:val="undOvr"/>
              <m:subHide m:val="off"/>
              <m:supHide m:val="off"/>
            </m:naryPr>
            <m:sub>
              <m:r>
                <m:t>i</m:t>
              </m:r>
              <m:r>
                <m:rPr>
                  <m:sty m:val="p"/>
                </m:rPr>
                <m:t>=</m:t>
              </m:r>
              <m:r>
                <m:t>1</m:t>
              </m:r>
            </m:sub>
            <m:sup>
              <m:r>
                <m:t>n</m:t>
              </m:r>
            </m:sup>
            <m:e>
              <m:sSub>
                <m:e>
                  <m:r>
                    <m:t>A</m:t>
                  </m:r>
                </m:e>
                <m:sub>
                  <m:r>
                    <m:t>i</m:t>
                  </m:r>
                </m:sub>
              </m:sSub>
            </m:e>
          </m:nary>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A</m:t>
                  </m:r>
                </m:e>
                <m:sub>
                  <m:r>
                    <m:t>s</m:t>
                  </m:r>
                  <m:r>
                    <m:t>e</m:t>
                  </m:r>
                  <m:r>
                    <m:t>r</m:t>
                  </m:r>
                  <m:r>
                    <m:t>i</m:t>
                  </m:r>
                  <m:r>
                    <m:t>e</m:t>
                  </m:r>
                  <m:r>
                    <m:t>s</m:t>
                  </m:r>
                </m:sub>
              </m:sSub>
            </m:oMath>
          </w:p>
        </w:tc>
        <w:tc>
          <w:tcPr/>
          <w:p>
            <w:pPr>
              <w:pStyle w:val="Compact"/>
              <w:jc w:val="left"/>
            </w:pPr>
            <w:r>
              <w:t xml:space="preserve">Availability of a request path that needs</w:t>
            </w:r>
            <w:r>
              <w:t xml:space="preserve"> </w:t>
            </w:r>
            <w:r>
              <w:rPr>
                <w:iCs/>
                <w:i/>
              </w:rPr>
              <w:t xml:space="preserve">all</w:t>
            </w:r>
            <w:r>
              <w:t xml:space="preserve"> </w:t>
            </w:r>
            <m:oMath>
              <m:r>
                <m:t>n</m:t>
              </m:r>
            </m:oMath>
            <w:r>
              <w:t xml:space="preserve"> </w:t>
            </w:r>
            <w:r>
              <w:t xml:space="preserve">components</w:t>
            </w:r>
          </w:p>
        </w:tc>
        <w:tc>
          <w:tcPr/>
          <w:p>
            <w:pPr>
              <w:pStyle w:val="Compact"/>
              <w:jc w:val="left"/>
            </w:pPr>
            <w:r>
              <w:t xml:space="preserve">fraction (0–1)</w:t>
            </w:r>
          </w:p>
        </w:tc>
      </w:tr>
      <w:tr>
        <w:tc>
          <w:tcPr/>
          <w:p>
            <w:pPr>
              <w:pStyle w:val="Compact"/>
              <w:jc w:val="left"/>
            </w:pPr>
            <m:oMath>
              <m:sSub>
                <m:e>
                  <m:r>
                    <m:t>A</m:t>
                  </m:r>
                </m:e>
                <m:sub>
                  <m:r>
                    <m:t>i</m:t>
                  </m:r>
                </m:sub>
              </m:sSub>
            </m:oMath>
          </w:p>
        </w:tc>
        <w:tc>
          <w:tcPr/>
          <w:p>
            <w:pPr>
              <w:pStyle w:val="Compact"/>
              <w:jc w:val="left"/>
            </w:pPr>
            <w:r>
              <w:t xml:space="preserve">Availability of component</w:t>
            </w:r>
            <w:r>
              <w:t xml:space="preserve"> </w:t>
            </w:r>
            <m:oMath>
              <m:r>
                <m:t>i</m:t>
              </m:r>
            </m:oMath>
          </w:p>
        </w:tc>
        <w:tc>
          <w:tcPr/>
          <w:p>
            <w:pPr>
              <w:pStyle w:val="Compact"/>
              <w:jc w:val="left"/>
            </w:pPr>
            <w:r>
              <w:t xml:space="preserve">fraction (0–1)</w:t>
            </w:r>
          </w:p>
        </w:tc>
      </w:tr>
      <w:tr>
        <w:tc>
          <w:tcPr/>
          <w:p>
            <w:pPr>
              <w:pStyle w:val="Compact"/>
              <w:jc w:val="left"/>
            </w:pPr>
            <m:oMath>
              <m:r>
                <m:t>n</m:t>
              </m:r>
            </m:oMath>
          </w:p>
        </w:tc>
        <w:tc>
          <w:tcPr/>
          <w:p>
            <w:pPr>
              <w:pStyle w:val="Compact"/>
              <w:jc w:val="left"/>
            </w:pPr>
            <w:r>
              <w:t xml:space="preserve">Number of components on the synchronous path</w:t>
            </w:r>
          </w:p>
        </w:tc>
        <w:tc>
          <w:tcPr/>
          <w:p>
            <w:pPr>
              <w:pStyle w:val="Compact"/>
              <w:jc w:val="left"/>
            </w:pPr>
            <w:r>
              <w:t xml:space="preserve">count</w:t>
            </w:r>
          </w:p>
        </w:tc>
      </w:tr>
    </w:tbl>
    <w:p>
      <w:pPr>
        <w:pStyle w:val="CalloutFormula"/>
      </w:pPr>
      <w:r>
        <w:t xml:space="preserve">This assumes independent failures. Parallel (redundant) components and correlated failures are treated in §4.14.</w:t>
      </w:r>
    </w:p>
    <w:p>
      <w:pPr>
        <w:pStyle w:val="CalloutExample"/>
      </w:pPr>
      <w:r>
        <w:rPr>
          <w:bCs/>
          <w:b/>
        </w:rPr>
        <w:t xml:space="preserve">WORKED EXAMPLE</w:t>
      </w:r>
    </w:p>
    <w:p>
      <w:pPr>
        <w:pStyle w:val="CalloutExample"/>
      </w:pPr>
      <w:r>
        <w:rPr>
          <w:bCs/>
          <w:b/>
        </w:rPr>
        <w:t xml:space="preserve">Worked example — Taking the restaurant notifier off the critical path.</w:t>
      </w:r>
      <w:r>
        <w:t xml:space="preserve"> </w:t>
      </w:r>
      <w:r>
        <w:t xml:space="preserve">Assumed monthly availabilities: order service 99.95%, order DB 99.95%, payment provider 99.9%, restaurant notifier 99.9%.</w:t>
      </w:r>
    </w:p>
    <w:p>
      <w:pPr>
        <w:numPr>
          <w:ilvl w:val="0"/>
          <w:numId w:val="1053"/>
        </w:numPr>
        <w:pStyle w:val="Compact"/>
      </w:pPr>
      <w:r>
        <w:t xml:space="preserve">Notifier called synchronously during checkout: 0.9995 × 0.9995 × 0.999 × 0.999 = 0.9990 × 0.9980 ≈</w:t>
      </w:r>
      <w:r>
        <w:t xml:space="preserve"> </w:t>
      </w:r>
      <w:r>
        <w:rPr>
          <w:bCs/>
          <w:b/>
        </w:rPr>
        <w:t xml:space="preserve">0.9970</w:t>
      </w:r>
      <w:r>
        <w:t xml:space="preserve">, i.e. 99.70%. That allows 0.003 × 43,200 ≈</w:t>
      </w:r>
      <w:r>
        <w:t xml:space="preserve"> </w:t>
      </w:r>
      <w:r>
        <w:rPr>
          <w:bCs/>
          <w:b/>
        </w:rPr>
        <w:t xml:space="preserve">130 minutes</w:t>
      </w:r>
      <w:r>
        <w:t xml:space="preserve"> </w:t>
      </w:r>
      <w:r>
        <w:t xml:space="preserve">of checkout failure per month.</w:t>
      </w:r>
    </w:p>
    <w:p>
      <w:pPr>
        <w:numPr>
          <w:ilvl w:val="0"/>
          <w:numId w:val="1053"/>
        </w:numPr>
        <w:pStyle w:val="Compact"/>
      </w:pPr>
      <w:r>
        <w:t xml:space="preserve">Notifier asynchronous via the outbox: 0.9995 × 0.9995 × 0.999 ≈ 0.9990 × 0.999 ≈</w:t>
      </w:r>
      <w:r>
        <w:t xml:space="preserve"> </w:t>
      </w:r>
      <w:r>
        <w:rPr>
          <w:bCs/>
          <w:b/>
        </w:rPr>
        <w:t xml:space="preserve">0.9980</w:t>
      </w:r>
      <w:r>
        <w:t xml:space="preserve">, i.e. 99.80%, about</w:t>
      </w:r>
      <w:r>
        <w:t xml:space="preserve"> </w:t>
      </w:r>
      <w:r>
        <w:rPr>
          <w:bCs/>
          <w:b/>
        </w:rPr>
        <w:t xml:space="preserve">86 minutes</w:t>
      </w:r>
      <w:r>
        <w:t xml:space="preserve"> </w:t>
      </w:r>
      <w:r>
        <w:t xml:space="preserve">per month.</w:t>
      </w:r>
    </w:p>
    <w:p>
      <w:pPr>
        <w:numPr>
          <w:ilvl w:val="0"/>
          <w:numId w:val="1053"/>
        </w:numPr>
        <w:pStyle w:val="Compact"/>
      </w:pPr>
      <w:r>
        <w:t xml:space="preserve">Requirement N1 is 99.95%, or 21.6 minutes. Even the improved path misses it, because the payment provider alone allows 43 minutes.</w:t>
      </w:r>
    </w:p>
    <w:p>
      <w:pPr>
        <w:pStyle w:val="CalloutExample"/>
      </w:pPr>
      <w:r>
        <w:rPr>
          <w:bCs/>
          <w:b/>
        </w:rPr>
        <w:t xml:space="preserve">Interpretation.</w:t>
      </w:r>
      <w:r>
        <w:t xml:space="preserve"> </w:t>
      </w:r>
      <w:r>
        <w:t xml:space="preserve">A series chain can never be more available than its weakest link, and every extra synchronous dependency lowers the total.</w:t>
      </w:r>
      <w:r>
        <w:t xml:space="preserve"> </w:t>
      </w:r>
      <w:r>
        <w:rPr>
          <w:bCs/>
          <w:b/>
        </w:rPr>
        <w:t xml:space="preserve">Engineering implication:</w:t>
      </w:r>
      <w:r>
        <w:t xml:space="preserve"> </w:t>
      </w:r>
      <w:r>
        <w:t xml:space="preserve">either renegotiate N1 to exclude provider outages (a common SLO definition), or add a second payment provider in parallel. With two independent providers at 99.9% each, the pair is unavailable only when both fail: 1 − (0.001 × 0.001) = 99.9999%. This is a one-way-door-sized decision for a start-up (contracts, token migration), so it goes through Figure 2.5.</w:t>
      </w:r>
    </w:p>
    <w:p>
      <w:pPr>
        <w:pStyle w:val="CalloutIndustry"/>
      </w:pPr>
      <w:r>
        <w:rPr>
          <w:bCs/>
          <w:b/>
        </w:rPr>
        <w:t xml:space="preserve">INDUSTRY EXAMPLE</w:t>
      </w:r>
    </w:p>
    <w:p>
      <w:pPr>
        <w:pStyle w:val="CalloutIndustry"/>
      </w:pPr>
      <w:r>
        <w:rPr>
          <w:bCs/>
          <w:b/>
        </w:rPr>
        <w:t xml:space="preserve">Netflix’s Chaos Monkey.</w:t>
      </w:r>
      <w:r>
        <w:t xml:space="preserve"> </w:t>
      </w:r>
      <w:r>
        <w:t xml:space="preserve">Netflix publicly described the</w:t>
      </w:r>
      <w:r>
        <w:t xml:space="preserve"> </w:t>
      </w:r>
      <w:r>
        <w:t xml:space="preserve">“</w:t>
      </w:r>
      <w:r>
        <w:t xml:space="preserve">Simian Army,</w:t>
      </w:r>
      <w:r>
        <w:t xml:space="preserve">”</w:t>
      </w:r>
      <w:r>
        <w:t xml:space="preserve"> </w:t>
      </w:r>
      <w:r>
        <w:t xml:space="preserve">starting with Chaos Monkey, a tool that randomly terminates production instances during business hours. Because engineers know instances will disappear, they must build services that tolerate it, and weaknesses are found while engineers are at work rather than at 3 a.m. This is designing for failure enforced by continuous practice (§39.11).</w:t>
      </w:r>
      <w:r>
        <w:t xml:space="preserve"> </w:t>
      </w:r>
      <w:r>
        <w:rPr>
          <w:iCs/>
          <w:i/>
        </w:rPr>
        <w:t xml:space="preserve">Evidence: Primary</w:t>
      </w:r>
      <w:r>
        <w:t xml:space="preserve"> </w:t>
      </w:r>
      <w:r>
        <w:t xml:space="preserve">— [Izrailevsky and Tseitlin 2011]</w:t>
      </w:r>
    </w:p>
    <w:p>
      <w:pPr>
        <w:pStyle w:val="BodyText"/>
      </w:pPr>
      <w:r>
        <w:rPr>
          <w:bCs/>
          <w:b/>
        </w:rPr>
        <w:t xml:space="preserve">Table 2.15 — Failure scenarios for QuickBite checkout.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Payment provider outage</w:t>
            </w:r>
          </w:p>
        </w:tc>
        <w:tc>
          <w:tcPr/>
          <w:p>
            <w:pPr>
              <w:pStyle w:val="Compact"/>
              <w:jc w:val="left"/>
            </w:pPr>
            <w:r>
              <w:t xml:space="preserve">External dependency</w:t>
            </w:r>
          </w:p>
        </w:tc>
        <w:tc>
          <w:tcPr/>
          <w:p>
            <w:pPr>
              <w:pStyle w:val="Compact"/>
              <w:jc w:val="left"/>
            </w:pPr>
            <w:r>
              <w:t xml:space="preserve">Error rate on provider calls; breaker opens</w:t>
            </w:r>
          </w:p>
        </w:tc>
        <w:tc>
          <w:tcPr/>
          <w:p>
            <w:pPr>
              <w:pStyle w:val="Compact"/>
              <w:jc w:val="left"/>
            </w:pPr>
            <w:r>
              <w:t xml:space="preserve">Fallback method; queue payment capture</w:t>
            </w:r>
          </w:p>
        </w:tc>
        <w:tc>
          <w:tcPr/>
          <w:p>
            <w:pPr>
              <w:pStyle w:val="Compact"/>
              <w:jc w:val="left"/>
            </w:pPr>
            <w:r>
              <w:t xml:space="preserve">Second provider; breaker</w:t>
            </w:r>
          </w:p>
        </w:tc>
      </w:tr>
      <w:tr>
        <w:tc>
          <w:tcPr/>
          <w:p>
            <w:pPr>
              <w:pStyle w:val="Compact"/>
              <w:jc w:val="left"/>
            </w:pPr>
            <w:r>
              <w:t xml:space="preserve">Duplicate order on retry</w:t>
            </w:r>
          </w:p>
        </w:tc>
        <w:tc>
          <w:tcPr/>
          <w:p>
            <w:pPr>
              <w:pStyle w:val="Compact"/>
              <w:jc w:val="left"/>
            </w:pPr>
            <w:r>
              <w:t xml:space="preserve">Client retried after a timeout</w:t>
            </w:r>
          </w:p>
        </w:tc>
        <w:tc>
          <w:tcPr/>
          <w:p>
            <w:pPr>
              <w:pStyle w:val="Compact"/>
              <w:jc w:val="left"/>
            </w:pPr>
            <w:r>
              <w:t xml:space="preserve">Two orders with the same cart and customer</w:t>
            </w:r>
          </w:p>
        </w:tc>
        <w:tc>
          <w:tcPr/>
          <w:p>
            <w:pPr>
              <w:pStyle w:val="Compact"/>
              <w:jc w:val="left"/>
            </w:pPr>
            <w:r>
              <w:t xml:space="preserve">Refund the duplicate</w:t>
            </w:r>
          </w:p>
        </w:tc>
        <w:tc>
          <w:tcPr/>
          <w:p>
            <w:pPr>
              <w:pStyle w:val="Compact"/>
              <w:jc w:val="left"/>
            </w:pPr>
            <w:r>
              <w:t xml:space="preserve">Idempotency key (N4)</w:t>
            </w:r>
          </w:p>
        </w:tc>
      </w:tr>
      <w:tr>
        <w:tc>
          <w:tcPr/>
          <w:p>
            <w:pPr>
              <w:pStyle w:val="Compact"/>
              <w:jc w:val="left"/>
            </w:pPr>
            <w:r>
              <w:t xml:space="preserve">Order DB primary lost</w:t>
            </w:r>
          </w:p>
        </w:tc>
        <w:tc>
          <w:tcPr/>
          <w:p>
            <w:pPr>
              <w:pStyle w:val="Compact"/>
              <w:jc w:val="left"/>
            </w:pPr>
            <w:r>
              <w:t xml:space="preserve">Hardware or zone failure</w:t>
            </w:r>
          </w:p>
        </w:tc>
        <w:tc>
          <w:tcPr/>
          <w:p>
            <w:pPr>
              <w:pStyle w:val="Compact"/>
              <w:jc w:val="left"/>
            </w:pPr>
            <w:r>
              <w:t xml:space="preserve">Health checks, replication monitor</w:t>
            </w:r>
          </w:p>
        </w:tc>
        <w:tc>
          <w:tcPr/>
          <w:p>
            <w:pPr>
              <w:pStyle w:val="Compact"/>
              <w:jc w:val="left"/>
            </w:pPr>
            <w:r>
              <w:t xml:space="preserve">Automatic failover to standby</w:t>
            </w:r>
          </w:p>
        </w:tc>
        <w:tc>
          <w:tcPr/>
          <w:p>
            <w:pPr>
              <w:pStyle w:val="Compact"/>
              <w:jc w:val="left"/>
            </w:pPr>
            <w:r>
              <w:t xml:space="preserve">Synchronous standby in another zone</w:t>
            </w:r>
          </w:p>
        </w:tc>
      </w:tr>
      <w:tr>
        <w:tc>
          <w:tcPr/>
          <w:p>
            <w:pPr>
              <w:pStyle w:val="Compact"/>
              <w:jc w:val="left"/>
            </w:pPr>
            <w:r>
              <w:t xml:space="preserve">Event relay stalls</w:t>
            </w:r>
          </w:p>
        </w:tc>
        <w:tc>
          <w:tcPr/>
          <w:p>
            <w:pPr>
              <w:pStyle w:val="Compact"/>
              <w:jc w:val="left"/>
            </w:pPr>
            <w:r>
              <w:t xml:space="preserve">Bug or crash</w:t>
            </w:r>
          </w:p>
        </w:tc>
        <w:tc>
          <w:tcPr/>
          <w:p>
            <w:pPr>
              <w:pStyle w:val="Compact"/>
              <w:jc w:val="left"/>
            </w:pPr>
            <w:r>
              <w:t xml:space="preserve">Outbox backlog age metric</w:t>
            </w:r>
          </w:p>
        </w:tc>
        <w:tc>
          <w:tcPr/>
          <w:p>
            <w:pPr>
              <w:pStyle w:val="Compact"/>
              <w:jc w:val="left"/>
            </w:pPr>
            <w:r>
              <w:t xml:space="preserve">Restart; events retained in outbox</w:t>
            </w:r>
          </w:p>
        </w:tc>
        <w:tc>
          <w:tcPr/>
          <w:p>
            <w:pPr>
              <w:pStyle w:val="Compact"/>
              <w:jc w:val="left"/>
            </w:pPr>
            <w:r>
              <w:t xml:space="preserve">Two relays; alert on backlog age</w:t>
            </w:r>
          </w:p>
        </w:tc>
      </w:tr>
      <w:tr>
        <w:tc>
          <w:tcPr/>
          <w:p>
            <w:pPr>
              <w:pStyle w:val="Compact"/>
              <w:jc w:val="left"/>
            </w:pPr>
            <w:r>
              <w:t xml:space="preserve">Retry storm</w:t>
            </w:r>
          </w:p>
        </w:tc>
        <w:tc>
          <w:tcPr/>
          <w:p>
            <w:pPr>
              <w:pStyle w:val="Compact"/>
              <w:jc w:val="left"/>
            </w:pPr>
            <w:r>
              <w:t xml:space="preserve">Many clients retry at once</w:t>
            </w:r>
          </w:p>
        </w:tc>
        <w:tc>
          <w:tcPr/>
          <w:p>
            <w:pPr>
              <w:pStyle w:val="Compact"/>
              <w:jc w:val="left"/>
            </w:pPr>
            <w:r>
              <w:t xml:space="preserve">Load spikes as success falls</w:t>
            </w:r>
          </w:p>
        </w:tc>
        <w:tc>
          <w:tcPr/>
          <w:p>
            <w:pPr>
              <w:pStyle w:val="Compact"/>
              <w:jc w:val="left"/>
            </w:pPr>
            <w:r>
              <w:t xml:space="preserve">Shed load, open breakers</w:t>
            </w:r>
          </w:p>
        </w:tc>
        <w:tc>
          <w:tcPr/>
          <w:p>
            <w:pPr>
              <w:pStyle w:val="Compact"/>
              <w:jc w:val="left"/>
            </w:pPr>
            <w:r>
              <w:t xml:space="preserve">Exponential backoff with jitter, retry budgets</w:t>
            </w:r>
          </w:p>
        </w:tc>
      </w:tr>
    </w:tbl>
    <w:p>
      <w:pPr>
        <w:pStyle w:val="CalloutMistake"/>
      </w:pPr>
      <w:r>
        <w:rPr>
          <w:bCs/>
          <w:b/>
        </w:rPr>
        <w:t xml:space="preserve">COMMON MISTAKE</w:t>
      </w:r>
    </w:p>
    <w:p>
      <w:pPr>
        <w:pStyle w:val="CalloutMistake"/>
      </w:pPr>
      <w:r>
        <w:rPr>
          <w:bCs/>
          <w:b/>
        </w:rPr>
        <w:t xml:space="preserve">“</w:t>
      </w:r>
      <w:r>
        <w:rPr>
          <w:bCs/>
          <w:b/>
        </w:rPr>
        <w:t xml:space="preserve">Redundancy alone makes a system reliable.</w:t>
      </w:r>
      <w:r>
        <w:rPr>
          <w:bCs/>
          <w:b/>
        </w:rPr>
        <w:t xml:space="preserve">”</w:t>
      </w:r>
      <w:r>
        <w:t xml:space="preserve"> </w:t>
      </w:r>
      <w:r>
        <w:t xml:space="preserve">Two replicas that share a power supply, a configuration push or a software bug fail together. Redundancy only helps against</w:t>
      </w:r>
      <w:r>
        <w:t xml:space="preserve"> </w:t>
      </w:r>
      <w:r>
        <w:rPr>
          <w:iCs/>
          <w:i/>
        </w:rPr>
        <w:t xml:space="preserve">independent</w:t>
      </w:r>
      <w:r>
        <w:t xml:space="preserve"> </w:t>
      </w:r>
      <w:r>
        <w:t xml:space="preserve">failures, so look for correlated ones: same zone, same deploy, same dependency.</w:t>
      </w:r>
    </w:p>
    <w:bookmarkEnd w:id="225"/>
    <w:bookmarkEnd w:id="226"/>
    <w:bookmarkEnd w:id="227"/>
    <w:bookmarkStart w:id="232" w:name="reasoning-about-scale"/>
    <w:p>
      <w:pPr>
        <w:pStyle w:val="Heading2"/>
      </w:pPr>
      <w:r>
        <w:t xml:space="preserve">2.10 Reasoning about scale</w:t>
      </w:r>
    </w:p>
    <w:bookmarkStart w:id="231" w:name="orders-of-magnitude"/>
    <w:p>
      <w:pPr>
        <w:pStyle w:val="Heading3"/>
      </w:pPr>
      <w:r>
        <w:t xml:space="preserve">2.10.1 Orders of magnitude</w:t>
      </w:r>
    </w:p>
    <w:p>
      <w:pPr>
        <w:pStyle w:val="CalloutDefinition"/>
      </w:pPr>
      <w:r>
        <w:rPr>
          <w:bCs/>
          <w:b/>
        </w:rPr>
        <w:t xml:space="preserve">DEFINITION</w:t>
      </w:r>
    </w:p>
    <w:p>
      <w:pPr>
        <w:pStyle w:val="CalloutDefinition"/>
      </w:pPr>
      <w:r>
        <w:rPr>
          <w:bCs/>
          <w:b/>
        </w:rPr>
        <w:t xml:space="preserve">Definition — Order of magnitude.</w:t>
      </w:r>
      <w:r>
        <w:t xml:space="preserve"> </w:t>
      </w:r>
      <w:r>
        <w:t xml:space="preserve">A factor of ten. Two quantities differ by</w:t>
      </w:r>
      <w:r>
        <w:t xml:space="preserve"> </w:t>
      </w:r>
      <w:r>
        <w:rPr>
          <w:iCs/>
          <w:i/>
        </w:rPr>
        <w:t xml:space="preserve">k</w:t>
      </w:r>
      <w:r>
        <w:t xml:space="preserve"> </w:t>
      </w:r>
      <w:r>
        <w:t xml:space="preserve">orders of magnitude when their ratio is about</w:t>
      </w:r>
      <w:r>
        <w:t xml:space="preserve"> </w:t>
      </w:r>
      <m:oMath>
        <m:sSup>
          <m:e>
            <m:r>
              <m:t>10</m:t>
            </m:r>
          </m:e>
          <m:sup>
            <m:r>
              <m:t>k</m:t>
            </m:r>
          </m:sup>
        </m:sSup>
      </m:oMath>
      <w:r>
        <w:t xml:space="preserve">. Reasoning in orders of magnitude means estimating only the</w:t>
      </w:r>
      <w:r>
        <w:t xml:space="preserve"> </w:t>
      </w:r>
      <w:r>
        <w:rPr>
          <w:iCs/>
          <w:i/>
        </w:rPr>
        <w:t xml:space="preserve">power of ten</w:t>
      </w:r>
      <w:r>
        <w:t xml:space="preserve"> </w:t>
      </w:r>
      <w:r>
        <w:t xml:space="preserve">of a quantity (is it 10, 1,000 or 1,000,000 requests per second?) because that, not the exact value, decides the architecture.</w:t>
      </w:r>
    </w:p>
    <w:bookmarkStart w:id="228" w:name="first-principles-explanation-16"/>
    <w:p>
      <w:pPr>
        <w:pStyle w:val="Heading4"/>
      </w:pPr>
      <w:r>
        <w:t xml:space="preserve">First-principles explanation</w:t>
      </w:r>
    </w:p>
    <w:p>
      <w:pPr>
        <w:pStyle w:val="FirstParagraph"/>
      </w:pPr>
      <w:r>
        <w:t xml:space="preserve">Cooking dinner for 4 people, for 40 and for 4,000 are not the same task done more times. For 4 you use your home kitchen. For 40 you need a rented hall, borrowed pans and helpers. For 4,000 you need an industrial kitchen, refrigerated trucks, food-safety inspections and shift managers. Each 10× step changes the</w:t>
      </w:r>
      <w:r>
        <w:t xml:space="preserve"> </w:t>
      </w:r>
      <w:r>
        <w:rPr>
          <w:iCs/>
          <w:i/>
        </w:rPr>
        <w:t xml:space="preserve">kind</w:t>
      </w:r>
      <w:r>
        <w:t xml:space="preserve"> </w:t>
      </w:r>
      <w:r>
        <w:t xml:space="preserve">of solution, not just its size. Software behaves the same way, and this is why experienced designers first ask</w:t>
      </w:r>
      <w:r>
        <w:t xml:space="preserve"> </w:t>
      </w:r>
      <w:r>
        <w:t xml:space="preserve">“</w:t>
      </w:r>
      <w:r>
        <w:t xml:space="preserve">what order of magnitude?</w:t>
      </w:r>
      <w:r>
        <w:t xml:space="preserve">”</w:t>
      </w:r>
    </w:p>
    <w:bookmarkEnd w:id="228"/>
    <w:bookmarkStart w:id="229" w:name="why-does-this-exist-14"/>
    <w:p>
      <w:pPr>
        <w:pStyle w:val="Heading4"/>
      </w:pPr>
      <w:r>
        <w:t xml:space="preserve">Why does this exist?</w:t>
      </w:r>
    </w:p>
    <w:p>
      <w:pPr>
        <w:pStyle w:val="FirstParagraph"/>
      </w:pPr>
      <w:r>
        <w:t xml:space="preserve">Most design choices are insensitive to a factor of 2 but sensitive to a factor of 10. A single PostgreSQL primary comfortably handles QuickBite’s 60 orders per second. At 600 it needs careful tuning and read replicas. At 6,000 it likely needs partitioning (Chapter 14). Knowing the order of magnitude tells you which of these architectures you are in, and how far you are from the next one.</w:t>
      </w:r>
    </w:p>
    <w:bookmarkEnd w:id="229"/>
    <w:bookmarkStart w:id="230" w:name="how-it-works-internally-13"/>
    <w:p>
      <w:pPr>
        <w:pStyle w:val="Heading4"/>
      </w:pPr>
      <w:r>
        <w:t xml:space="preserve">How it works internally</w:t>
      </w:r>
    </w:p>
    <w:p>
      <w:pPr>
        <w:numPr>
          <w:ilvl w:val="0"/>
          <w:numId w:val="1054"/>
        </w:numPr>
        <w:pStyle w:val="Compact"/>
      </w:pPr>
      <w:r>
        <w:t xml:space="preserve">Estimate the key rates and sizes to within a factor of about 3 (§2.11).</w:t>
      </w:r>
    </w:p>
    <w:p>
      <w:pPr>
        <w:numPr>
          <w:ilvl w:val="0"/>
          <w:numId w:val="1054"/>
        </w:numPr>
        <w:pStyle w:val="Compact"/>
      </w:pPr>
      <w:r>
        <w:t xml:space="preserve">Compare them with reference capacities (Table 2.17 and §4.17) to find which tier is closest to a limit.</w:t>
      </w:r>
    </w:p>
    <w:p>
      <w:pPr>
        <w:numPr>
          <w:ilvl w:val="0"/>
          <w:numId w:val="1054"/>
        </w:numPr>
        <w:pStyle w:val="Compact"/>
      </w:pPr>
      <w:r>
        <w:t xml:space="preserve">For each 10× step of growth, ask which components hit a</w:t>
      </w:r>
      <w:r>
        <w:t xml:space="preserve"> </w:t>
      </w:r>
      <w:r>
        <w:rPr>
          <w:iCs/>
          <w:i/>
        </w:rPr>
        <w:t xml:space="preserve">qualitatively</w:t>
      </w:r>
      <w:r>
        <w:t xml:space="preserve"> </w:t>
      </w:r>
      <w:r>
        <w:t xml:space="preserve">new problem.</w:t>
      </w:r>
    </w:p>
    <w:p>
      <w:pPr>
        <w:pStyle w:val="FirstParagraph"/>
      </w:pPr>
      <w:r>
        <w:rPr>
          <w:bCs/>
          <w:b/>
        </w:rPr>
        <w:t xml:space="preserve">Table 2.16 — What changes for QuickBite at each order of magnitude.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Scale</w:t>
            </w:r>
          </w:p>
        </w:tc>
        <w:tc>
          <w:tcPr/>
          <w:p>
            <w:pPr>
              <w:pStyle w:val="Compact"/>
              <w:jc w:val="left"/>
            </w:pPr>
            <w:r>
              <w:t xml:space="preserve">Orders/day</w:t>
            </w:r>
          </w:p>
        </w:tc>
        <w:tc>
          <w:tcPr/>
          <w:p>
            <w:pPr>
              <w:pStyle w:val="Compact"/>
              <w:jc w:val="left"/>
            </w:pPr>
            <w:r>
              <w:t xml:space="preserve">Peak orders/s</w:t>
            </w:r>
          </w:p>
        </w:tc>
        <w:tc>
          <w:tcPr/>
          <w:p>
            <w:pPr>
              <w:pStyle w:val="Compact"/>
              <w:jc w:val="left"/>
            </w:pPr>
            <w:r>
              <w:t xml:space="preserve">What breaks or changes</w:t>
            </w:r>
          </w:p>
        </w:tc>
        <w:tc>
          <w:tcPr/>
          <w:p>
            <w:pPr>
              <w:pStyle w:val="Compact"/>
              <w:jc w:val="left"/>
            </w:pPr>
            <w:r>
              <w:t xml:space="preserve">Typical response</w:t>
            </w:r>
          </w:p>
        </w:tc>
      </w:tr>
      <w:tr>
        <w:tc>
          <w:tcPr/>
          <w:p>
            <w:pPr>
              <w:pStyle w:val="Compact"/>
              <w:jc w:val="left"/>
            </w:pPr>
            <w:r>
              <w:t xml:space="preserve">1× (one city)</w:t>
            </w:r>
          </w:p>
        </w:tc>
        <w:tc>
          <w:tcPr/>
          <w:p>
            <w:pPr>
              <w:pStyle w:val="Compact"/>
              <w:jc w:val="left"/>
            </w:pPr>
            <w:r>
              <w:t xml:space="preserve">5,000</w:t>
            </w:r>
          </w:p>
        </w:tc>
        <w:tc>
          <w:tcPr/>
          <w:p>
            <w:pPr>
              <w:pStyle w:val="Compact"/>
              <w:jc w:val="left"/>
            </w:pPr>
            <w:r>
              <w:t xml:space="preserve">~0.6</w:t>
            </w:r>
          </w:p>
        </w:tc>
        <w:tc>
          <w:tcPr/>
          <w:p>
            <w:pPr>
              <w:pStyle w:val="Compact"/>
              <w:jc w:val="left"/>
            </w:pPr>
            <w:r>
              <w:t xml:space="preserve">Nothing; one server and one DB suffice</w:t>
            </w:r>
          </w:p>
        </w:tc>
        <w:tc>
          <w:tcPr/>
          <w:p>
            <w:pPr>
              <w:pStyle w:val="Compact"/>
              <w:jc w:val="left"/>
            </w:pPr>
            <w:r>
              <w:t xml:space="preserve">Modular monolith, managed DB with standby</w:t>
            </w:r>
          </w:p>
        </w:tc>
      </w:tr>
      <w:tr>
        <w:tc>
          <w:tcPr/>
          <w:p>
            <w:pPr>
              <w:pStyle w:val="Compact"/>
              <w:jc w:val="left"/>
            </w:pPr>
            <w:r>
              <w:t xml:space="preserve">10× (region)</w:t>
            </w:r>
          </w:p>
        </w:tc>
        <w:tc>
          <w:tcPr/>
          <w:p>
            <w:pPr>
              <w:pStyle w:val="Compact"/>
              <w:jc w:val="left"/>
            </w:pPr>
            <w:r>
              <w:t xml:space="preserve">50,000</w:t>
            </w:r>
          </w:p>
        </w:tc>
        <w:tc>
          <w:tcPr/>
          <w:p>
            <w:pPr>
              <w:pStyle w:val="Compact"/>
              <w:jc w:val="left"/>
            </w:pPr>
            <w:r>
              <w:t xml:space="preserve">~6</w:t>
            </w:r>
          </w:p>
        </w:tc>
        <w:tc>
          <w:tcPr/>
          <w:p>
            <w:pPr>
              <w:pStyle w:val="Compact"/>
              <w:jc w:val="left"/>
            </w:pPr>
            <w:r>
              <w:t xml:space="preserve">Browse reads dominate; menu queries load the DB</w:t>
            </w:r>
          </w:p>
        </w:tc>
        <w:tc>
          <w:tcPr/>
          <w:p>
            <w:pPr>
              <w:pStyle w:val="Compact"/>
              <w:jc w:val="left"/>
            </w:pPr>
            <w:r>
              <w:t xml:space="preserve">Cache menus, CDN for images (Chapters 20–21)</w:t>
            </w:r>
          </w:p>
        </w:tc>
      </w:tr>
      <w:tr>
        <w:tc>
          <w:tcPr/>
          <w:p>
            <w:pPr>
              <w:pStyle w:val="Compact"/>
              <w:jc w:val="left"/>
            </w:pPr>
            <w:r>
              <w:t xml:space="preserve">100× (country)</w:t>
            </w:r>
          </w:p>
        </w:tc>
        <w:tc>
          <w:tcPr/>
          <w:p>
            <w:pPr>
              <w:pStyle w:val="Compact"/>
              <w:jc w:val="left"/>
            </w:pPr>
            <w:r>
              <w:t xml:space="preserve">500,000</w:t>
            </w:r>
          </w:p>
        </w:tc>
        <w:tc>
          <w:tcPr/>
          <w:p>
            <w:pPr>
              <w:pStyle w:val="Compact"/>
              <w:jc w:val="left"/>
            </w:pPr>
            <w:r>
              <w:t xml:space="preserve">~60</w:t>
            </w:r>
          </w:p>
        </w:tc>
        <w:tc>
          <w:tcPr/>
          <w:p>
            <w:pPr>
              <w:pStyle w:val="Compact"/>
              <w:jc w:val="left"/>
            </w:pPr>
            <w:r>
              <w:t xml:space="preserve">Location writes (~5,000/s); hot restaurants; payment pool sizing</w:t>
            </w:r>
          </w:p>
        </w:tc>
        <w:tc>
          <w:tcPr/>
          <w:p>
            <w:pPr>
              <w:pStyle w:val="Compact"/>
              <w:jc w:val="left"/>
            </w:pPr>
            <w:r>
              <w:t xml:space="preserve">Separate location store; short transactions; async events</w:t>
            </w:r>
          </w:p>
        </w:tc>
      </w:tr>
      <w:tr>
        <w:tc>
          <w:tcPr/>
          <w:p>
            <w:pPr>
              <w:pStyle w:val="Compact"/>
              <w:jc w:val="left"/>
            </w:pPr>
            <w:r>
              <w:t xml:space="preserve">1000× (multi-country)</w:t>
            </w:r>
          </w:p>
        </w:tc>
        <w:tc>
          <w:tcPr/>
          <w:p>
            <w:pPr>
              <w:pStyle w:val="Compact"/>
              <w:jc w:val="left"/>
            </w:pPr>
            <w:r>
              <w:t xml:space="preserve">5,000,000</w:t>
            </w:r>
          </w:p>
        </w:tc>
        <w:tc>
          <w:tcPr/>
          <w:p>
            <w:pPr>
              <w:pStyle w:val="Compact"/>
              <w:jc w:val="left"/>
            </w:pPr>
            <w:r>
              <w:t xml:space="preserve">~600</w:t>
            </w:r>
          </w:p>
        </w:tc>
        <w:tc>
          <w:tcPr/>
          <w:p>
            <w:pPr>
              <w:pStyle w:val="Compact"/>
              <w:jc w:val="left"/>
            </w:pPr>
            <w:r>
              <w:t xml:space="preserve">Single order-DB write limits; data residency laws; multi-region latency</w:t>
            </w:r>
          </w:p>
        </w:tc>
        <w:tc>
          <w:tcPr/>
          <w:p>
            <w:pPr>
              <w:pStyle w:val="Compact"/>
              <w:jc w:val="left"/>
            </w:pPr>
            <w:r>
              <w:t xml:space="preserve">Partition orders by city or region; regional cells (§33.12, Chapter 44)</w:t>
            </w:r>
          </w:p>
        </w:tc>
      </w:tr>
    </w:tbl>
    <w:p>
      <w:pPr>
        <w:pStyle w:val="CalloutExample"/>
      </w:pPr>
      <w:r>
        <w:rPr>
          <w:bCs/>
          <w:b/>
        </w:rPr>
        <w:t xml:space="preserve">WORKED EXAMPLE</w:t>
      </w:r>
    </w:p>
    <w:p>
      <w:pPr>
        <w:pStyle w:val="CalloutExample"/>
      </w:pPr>
      <w:r>
        <w:rPr>
          <w:bCs/>
          <w:b/>
        </w:rPr>
        <w:t xml:space="preserve">Worked example — Where does QuickBite’s single order database run out?</w:t>
      </w:r>
      <w:r>
        <w:t xml:space="preserve"> </w:t>
      </w:r>
      <w:r>
        <w:t xml:space="preserve">From §2.6 the WAL disk caps the order DB at about 500 orders/s, assuming 2 ms of fsync demand per order.</w:t>
      </w:r>
    </w:p>
    <w:p>
      <w:pPr>
        <w:numPr>
          <w:ilvl w:val="0"/>
          <w:numId w:val="1055"/>
        </w:numPr>
        <w:pStyle w:val="Compact"/>
      </w:pPr>
      <w:r>
        <w:t xml:space="preserve">At 100× (today’s design point) peak is 60 orders/s: utilization = 60 / 500 = 12%.</w:t>
      </w:r>
    </w:p>
    <w:p>
      <w:pPr>
        <w:numPr>
          <w:ilvl w:val="0"/>
          <w:numId w:val="1055"/>
        </w:numPr>
        <w:pStyle w:val="Compact"/>
      </w:pPr>
      <w:r>
        <w:t xml:space="preserve">At 1000× peak is 600 orders/s: 600 / 500 = 120%, so the database saturates.</w:t>
      </w:r>
    </w:p>
    <w:p>
      <w:pPr>
        <w:numPr>
          <w:ilvl w:val="0"/>
          <w:numId w:val="1055"/>
        </w:numPr>
        <w:pStyle w:val="Compact"/>
      </w:pPr>
      <w:r>
        <w:t xml:space="preserve">Group commit, which flushes many transactions in one fsync, might cut per-order disk demand 4× (an assumed factor), giving 2,000 orders/s capacity and 30% utilization at 1000×. That buys roughly one more order of magnitude.</w:t>
      </w:r>
    </w:p>
    <w:p>
      <w:pPr>
        <w:pStyle w:val="CalloutExample"/>
      </w:pPr>
      <w:r>
        <w:rPr>
          <w:bCs/>
          <w:b/>
        </w:rPr>
        <w:t xml:space="preserve">Interpretation.</w:t>
      </w:r>
      <w:r>
        <w:t xml:space="preserve"> </w:t>
      </w:r>
      <w:r>
        <w:t xml:space="preserve">The current design has about 8× headroom on its most constrained resource.</w:t>
      </w:r>
      <w:r>
        <w:t xml:space="preserve"> </w:t>
      </w:r>
      <w:r>
        <w:rPr>
          <w:bCs/>
          <w:b/>
        </w:rPr>
        <w:t xml:space="preserve">Engineering implication:</w:t>
      </w:r>
      <w:r>
        <w:t xml:space="preserve"> </w:t>
      </w:r>
      <w:r>
        <w:t xml:space="preserve">no partitioning work is needed now (that would be over-engineering), but partitioning by city should be</w:t>
      </w:r>
      <w:r>
        <w:t xml:space="preserve"> </w:t>
      </w:r>
      <w:r>
        <w:rPr>
          <w:iCs/>
          <w:i/>
        </w:rPr>
        <w:t xml:space="preserve">designed</w:t>
      </w:r>
      <w:r>
        <w:t xml:space="preserve"> </w:t>
      </w:r>
      <w:r>
        <w:t xml:space="preserve">before order volume reaches about 5× today’s level, giving time to build it.</w:t>
      </w:r>
    </w:p>
    <w:p>
      <w:pPr>
        <w:pStyle w:val="CalloutIndustry"/>
      </w:pPr>
      <w:r>
        <w:rPr>
          <w:bCs/>
          <w:b/>
        </w:rPr>
        <w:t xml:space="preserve">INDUSTRY EXAMPLE</w:t>
      </w:r>
    </w:p>
    <w:p>
      <w:pPr>
        <w:pStyle w:val="CalloutIndustry"/>
      </w:pPr>
      <w:r>
        <w:rPr>
          <w:bCs/>
          <w:b/>
        </w:rPr>
        <w:t xml:space="preserve">“</w:t>
      </w:r>
      <w:r>
        <w:rPr>
          <w:bCs/>
          <w:b/>
        </w:rPr>
        <w:t xml:space="preserve">Design for 10× growth, plan to rewrite before 100×.</w:t>
      </w:r>
      <w:r>
        <w:rPr>
          <w:bCs/>
          <w:b/>
        </w:rPr>
        <w:t xml:space="preserve">”</w:t>
      </w:r>
      <w:r>
        <w:t xml:space="preserve"> </w:t>
      </w:r>
      <w:r>
        <w:t xml:space="preserve">Jeff Dean of Google has given talks on building large distributed systems in which he advises designing for about ten times the current scale while expecting a significant redesign before about a hundred times. The point is that one architecture rarely spans more than one or two orders of magnitude gracefully.</w:t>
      </w:r>
      <w:r>
        <w:t xml:space="preserve"> </w:t>
      </w:r>
      <w:r>
        <w:rPr>
          <w:iCs/>
          <w:i/>
        </w:rPr>
        <w:t xml:space="preserve">Evidence: Secondary</w:t>
      </w:r>
      <w:r>
        <w:t xml:space="preserve"> </w:t>
      </w:r>
      <w:r>
        <w:t xml:space="preserve">— talk slides; see Open verification items. [Dean 2009]</w:t>
      </w:r>
    </w:p>
    <w:p>
      <w:pPr>
        <w:pStyle w:val="CalloutMistake"/>
      </w:pPr>
      <w:r>
        <w:rPr>
          <w:bCs/>
          <w:b/>
        </w:rPr>
        <w:t xml:space="preserve">COMMON MISTAKE</w:t>
      </w:r>
    </w:p>
    <w:p>
      <w:pPr>
        <w:pStyle w:val="CalloutMistake"/>
      </w:pPr>
      <w:r>
        <w:rPr>
          <w:bCs/>
          <w:b/>
        </w:rPr>
        <w:t xml:space="preserve">“</w:t>
      </w:r>
      <w:r>
        <w:rPr>
          <w:bCs/>
          <w:b/>
        </w:rPr>
        <w:t xml:space="preserve">Design for Google scale from day one.</w:t>
      </w:r>
      <w:r>
        <w:rPr>
          <w:bCs/>
          <w:b/>
        </w:rPr>
        <w:t xml:space="preserve">”</w:t>
      </w:r>
      <w:r>
        <w:t xml:space="preserve"> </w:t>
      </w:r>
      <w:r>
        <w:t xml:space="preserve">Designing QuickBite v1 for 1000× its launch load would cost months of extra work, and the assumptions it relied on would likely be wrong by the time that scale arrived. Design for the next order of magnitude, keep the one after that</w:t>
      </w:r>
      <w:r>
        <w:t xml:space="preserve"> </w:t>
      </w:r>
      <w:r>
        <w:rPr>
          <w:iCs/>
          <w:i/>
        </w:rPr>
        <w:t xml:space="preserve">possible</w:t>
      </w:r>
      <w:r>
        <w:t xml:space="preserve">, and use tripwires (§2.7) to know when to start.</w:t>
      </w:r>
    </w:p>
    <w:bookmarkEnd w:id="230"/>
    <w:bookmarkEnd w:id="231"/>
    <w:bookmarkEnd w:id="232"/>
    <w:bookmarkStart w:id="237" w:name="back-of-the-envelope-capacity-estimation"/>
    <w:p>
      <w:pPr>
        <w:pStyle w:val="Heading2"/>
      </w:pPr>
      <w:r>
        <w:t xml:space="preserve">2.11 Back-of-the-envelope capacity estimation</w:t>
      </w:r>
    </w:p>
    <w:bookmarkStart w:id="236" w:name="the-estimation-method"/>
    <w:p>
      <w:pPr>
        <w:pStyle w:val="Heading3"/>
      </w:pPr>
      <w:r>
        <w:t xml:space="preserve">2.11.1 The estimation method</w:t>
      </w:r>
    </w:p>
    <w:p>
      <w:pPr>
        <w:pStyle w:val="CalloutDefinition"/>
      </w:pPr>
      <w:r>
        <w:rPr>
          <w:bCs/>
          <w:b/>
        </w:rPr>
        <w:t xml:space="preserve">DEFINITION</w:t>
      </w:r>
    </w:p>
    <w:p>
      <w:pPr>
        <w:pStyle w:val="CalloutDefinition"/>
      </w:pPr>
      <w:r>
        <w:rPr>
          <w:bCs/>
          <w:b/>
        </w:rPr>
        <w:t xml:space="preserve">Definition — Back-of-the-envelope estimation.</w:t>
      </w:r>
      <w:r>
        <w:t xml:space="preserve"> </w:t>
      </w:r>
      <w:r>
        <w:t xml:space="preserve">A quick calculation, done with round numbers and stated assumptions, that gives the order of magnitude of a system’s load and resource needs (requests per second, storage, bandwidth, memory, number of nodes). The aim is to be within a factor of about 2–3 of the truth with a few minutes of arithmetic. This section introduces the method. Chapter 89 is the full handbook.</w:t>
      </w:r>
    </w:p>
    <w:bookmarkStart w:id="233" w:name="first-principles-explanation-17"/>
    <w:p>
      <w:pPr>
        <w:pStyle w:val="Heading4"/>
      </w:pPr>
      <w:r>
        <w:t xml:space="preserve">First-principles explanation</w:t>
      </w:r>
    </w:p>
    <w:p>
      <w:pPr>
        <w:pStyle w:val="FirstParagraph"/>
      </w:pPr>
      <w:r>
        <w:t xml:space="preserve">Enrico Fermi famously estimated quantities such as the number of piano tuners in Chicago by multiplying a chain of reasonable guesses: population, households with pianos, tunings per year, tunings a tuner can do. The individual errors partly cancel out, and the answer lands near the right power of ten. Capacity estimation is the same technique applied to users, requests and bytes.</w:t>
      </w:r>
    </w:p>
    <w:bookmarkEnd w:id="233"/>
    <w:bookmarkStart w:id="234" w:name="why-does-this-exist-15"/>
    <w:p>
      <w:pPr>
        <w:pStyle w:val="Heading4"/>
      </w:pPr>
      <w:r>
        <w:t xml:space="preserve">Why does this exist?</w:t>
      </w:r>
    </w:p>
    <w:p>
      <w:pPr>
        <w:pStyle w:val="FirstParagraph"/>
      </w:pPr>
      <w:r>
        <w:t xml:space="preserve">Estimation tells you</w:t>
      </w:r>
      <w:r>
        <w:t xml:space="preserve"> </w:t>
      </w:r>
      <w:r>
        <w:rPr>
          <w:iCs/>
          <w:i/>
        </w:rPr>
        <w:t xml:space="preserve">which architecture you are in</w:t>
      </w:r>
      <w:r>
        <w:t xml:space="preserve"> </w:t>
      </w:r>
      <w:r>
        <w:t xml:space="preserve">(§2.10) before you spend money. It also exposes surprises early. In QuickBite’s case, the largest write load turns out to be courier GPS updates, not orders, a fact that reshapes the decomposition.</w:t>
      </w:r>
    </w:p>
    <w:bookmarkEnd w:id="234"/>
    <w:bookmarkStart w:id="235" w:name="how-it-works-internally-14"/>
    <w:p>
      <w:pPr>
        <w:pStyle w:val="Heading4"/>
      </w:pPr>
      <w:r>
        <w:t xml:space="preserve">How it works internally</w:t>
      </w:r>
    </w:p>
    <w:p>
      <w:pPr>
        <w:numPr>
          <w:ilvl w:val="0"/>
          <w:numId w:val="1056"/>
        </w:numPr>
        <w:pStyle w:val="Compact"/>
      </w:pPr>
      <w:r>
        <w:t xml:space="preserve">Write down the assumptions (they come from the register in §2.7).</w:t>
      </w:r>
    </w:p>
    <w:p>
      <w:pPr>
        <w:numPr>
          <w:ilvl w:val="0"/>
          <w:numId w:val="1056"/>
        </w:numPr>
        <w:pStyle w:val="Compact"/>
      </w:pPr>
      <w:r>
        <w:t xml:space="preserve">Convert daily volumes to an</w:t>
      </w:r>
      <w:r>
        <w:t xml:space="preserve"> </w:t>
      </w:r>
      <w:r>
        <w:rPr>
          <w:bCs/>
          <w:b/>
        </w:rPr>
        <w:t xml:space="preserve">average rate</w:t>
      </w:r>
      <w:r>
        <w:t xml:space="preserve">, then to a</w:t>
      </w:r>
      <w:r>
        <w:t xml:space="preserve"> </w:t>
      </w:r>
      <w:r>
        <w:rPr>
          <w:bCs/>
          <w:b/>
        </w:rPr>
        <w:t xml:space="preserve">peak rate</w:t>
      </w:r>
      <w:r>
        <w:t xml:space="preserve">.</w:t>
      </w:r>
    </w:p>
    <w:p>
      <w:pPr>
        <w:numPr>
          <w:ilvl w:val="0"/>
          <w:numId w:val="1056"/>
        </w:numPr>
        <w:pStyle w:val="Compact"/>
      </w:pPr>
      <w:r>
        <w:t xml:space="preserve">Multiply by</w:t>
      </w:r>
      <w:r>
        <w:t xml:space="preserve"> </w:t>
      </w:r>
      <w:r>
        <w:rPr>
          <w:bCs/>
          <w:b/>
        </w:rPr>
        <w:t xml:space="preserve">per-request sizes</w:t>
      </w:r>
      <w:r>
        <w:t xml:space="preserve"> </w:t>
      </w:r>
      <w:r>
        <w:t xml:space="preserve">to get bandwidth, and by</w:t>
      </w:r>
      <w:r>
        <w:t xml:space="preserve"> </w:t>
      </w:r>
      <w:r>
        <w:rPr>
          <w:bCs/>
          <w:b/>
        </w:rPr>
        <w:t xml:space="preserve">retention</w:t>
      </w:r>
      <w:r>
        <w:t xml:space="preserve"> </w:t>
      </w:r>
      <w:r>
        <w:t xml:space="preserve">and</w:t>
      </w:r>
      <w:r>
        <w:t xml:space="preserve"> </w:t>
      </w:r>
      <w:r>
        <w:rPr>
          <w:bCs/>
          <w:b/>
        </w:rPr>
        <w:t xml:space="preserve">copies</w:t>
      </w:r>
      <w:r>
        <w:t xml:space="preserve"> </w:t>
      </w:r>
      <w:r>
        <w:t xml:space="preserve">to get storage.</w:t>
      </w:r>
    </w:p>
    <w:p>
      <w:pPr>
        <w:numPr>
          <w:ilvl w:val="0"/>
          <w:numId w:val="1056"/>
        </w:numPr>
        <w:pStyle w:val="Compact"/>
      </w:pPr>
      <w:r>
        <w:t xml:space="preserve">Divide peak load by</w:t>
      </w:r>
      <w:r>
        <w:t xml:space="preserve"> </w:t>
      </w:r>
      <w:r>
        <w:rPr>
          <w:bCs/>
          <w:b/>
        </w:rPr>
        <w:t xml:space="preserve">per-node capacity at a target utilization</w:t>
      </w:r>
      <w:r>
        <w:t xml:space="preserve"> </w:t>
      </w:r>
      <w:r>
        <w:t xml:space="preserve">to get node counts, then add spare capacity for failures.</w:t>
      </w:r>
    </w:p>
    <w:p>
      <w:pPr>
        <w:numPr>
          <w:ilvl w:val="0"/>
          <w:numId w:val="1056"/>
        </w:numPr>
        <w:pStyle w:val="Compact"/>
      </w:pPr>
      <w:r>
        <w:t xml:space="preserve">Round sensibly, compare against reference capacities, and name the dominant cost or bottleneck.</w:t>
      </w:r>
    </w:p>
    <w:p>
      <w:pPr>
        <w:pStyle w:val="CalloutFormula"/>
      </w:pPr>
      <w:r>
        <w:rPr>
          <w:bCs/>
          <w:b/>
        </w:rPr>
        <w:t xml:space="preserve">FORMULA</w:t>
      </w:r>
    </w:p>
    <w:p>
      <w:pPr>
        <w:pStyle w:val="CalloutFormula"/>
      </w:pPr>
      <w:r>
        <w:rPr>
          <w:bCs/>
          <w:b/>
        </w:rPr>
        <w:t xml:space="preserve">Average and peak request rate</w:t>
      </w:r>
    </w:p>
    <w:p>
      <w:pPr>
        <w:pStyle w:val="CalloutFormula"/>
      </w:pPr>
      <m:oMathPara>
        <m:oMathParaPr>
          <m:jc m:val="center"/>
        </m:oMathParaPr>
        <m:oMath>
          <m:sSub>
            <m:e>
              <m:r>
                <m:t>R</m:t>
              </m:r>
            </m:e>
            <m:sub>
              <m:r>
                <m:t>a</m:t>
              </m:r>
              <m:r>
                <m:t>v</m:t>
              </m:r>
              <m:r>
                <m:t>g</m:t>
              </m:r>
            </m:sub>
          </m:sSub>
          <m:r>
            <m:rPr>
              <m:sty m:val="p"/>
            </m:rPr>
            <m:t>=</m:t>
          </m:r>
          <m:f>
            <m:fPr>
              <m:type m:val="bar"/>
            </m:fPr>
            <m:num>
              <m:r>
                <m:t>U</m:t>
              </m:r>
              <m:r>
                <m:rPr>
                  <m:sty m:val="p"/>
                </m:rPr>
                <m:t>×</m:t>
              </m:r>
              <m:r>
                <m:t>a</m:t>
              </m:r>
            </m:num>
            <m:den>
              <m:r>
                <m:t>86</m:t>
              </m:r>
              <m:r>
                <m:rPr>
                  <m:sty m:val="p"/>
                </m:rPr>
                <m:t>,</m:t>
              </m:r>
              <m:r>
                <m:t>400</m:t>
              </m:r>
            </m:den>
          </m:f>
          <m:r>
            <m:t>  </m:t>
          </m:r>
          <m:sSub>
            <m:e>
              <m:r>
                <m:t>R</m:t>
              </m:r>
            </m:e>
            <m:sub>
              <m:r>
                <m:t>p</m:t>
              </m:r>
              <m:r>
                <m:t>e</m:t>
              </m:r>
              <m:r>
                <m:t>a</m:t>
              </m:r>
              <m:r>
                <m:t>k</m:t>
              </m:r>
            </m:sub>
          </m:sSub>
          <m:r>
            <m:rPr>
              <m:sty m:val="p"/>
            </m:rPr>
            <m:t>=</m:t>
          </m:r>
          <m:f>
            <m:fPr>
              <m:type m:val="bar"/>
            </m:fPr>
            <m:num>
              <m:r>
                <m:t>U</m:t>
              </m:r>
              <m:r>
                <m:rPr>
                  <m:sty m:val="p"/>
                </m:rPr>
                <m:t>×</m:t>
              </m:r>
              <m:r>
                <m:t>a</m:t>
              </m:r>
              <m:r>
                <m:rPr>
                  <m:sty m:val="p"/>
                </m:rPr>
                <m:t>×</m:t>
              </m:r>
              <m:r>
                <m:t>h</m:t>
              </m:r>
            </m:num>
            <m:den>
              <m:r>
                <m:t>3</m:t>
              </m:r>
              <m:r>
                <m:rPr>
                  <m:sty m:val="p"/>
                </m:rPr>
                <m:t>,</m:t>
              </m:r>
              <m:r>
                <m:t>600</m:t>
              </m:r>
            </m:den>
          </m:f>
          <m:r>
            <m:rPr>
              <m:sty m:val="p"/>
            </m:rPr>
            <m:t>×</m:t>
          </m:r>
          <m:r>
            <m:t>b</m:t>
          </m:r>
        </m:oMath>
      </m:oMathPara>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R</m:t>
                  </m:r>
                </m:e>
                <m:sub>
                  <m:r>
                    <m:t>a</m:t>
                  </m:r>
                  <m:r>
                    <m:t>v</m:t>
                  </m:r>
                  <m:r>
                    <m:t>g</m:t>
                  </m:r>
                </m:sub>
              </m:sSub>
            </m:oMath>
          </w:p>
        </w:tc>
        <w:tc>
          <w:tcPr/>
          <w:p>
            <w:pPr>
              <w:pStyle w:val="Compact"/>
              <w:jc w:val="left"/>
            </w:pPr>
            <w:r>
              <w:t xml:space="preserve">Average request rate over a day</w:t>
            </w:r>
          </w:p>
        </w:tc>
        <w:tc>
          <w:tcPr/>
          <w:p>
            <w:pPr>
              <w:pStyle w:val="Compact"/>
              <w:jc w:val="left"/>
            </w:pPr>
            <w:r>
              <w:t xml:space="preserve">requests/s</w:t>
            </w:r>
          </w:p>
        </w:tc>
      </w:tr>
      <w:tr>
        <w:tc>
          <w:tcPr/>
          <w:p>
            <w:pPr>
              <w:pStyle w:val="Compact"/>
              <w:jc w:val="left"/>
            </w:pPr>
            <m:oMath>
              <m:sSub>
                <m:e>
                  <m:r>
                    <m:t>R</m:t>
                  </m:r>
                </m:e>
                <m:sub>
                  <m:r>
                    <m:t>p</m:t>
                  </m:r>
                  <m:r>
                    <m:t>e</m:t>
                  </m:r>
                  <m:r>
                    <m:t>a</m:t>
                  </m:r>
                  <m:r>
                    <m:t>k</m:t>
                  </m:r>
                </m:sub>
              </m:sSub>
            </m:oMath>
          </w:p>
        </w:tc>
        <w:tc>
          <w:tcPr/>
          <w:p>
            <w:pPr>
              <w:pStyle w:val="Compact"/>
              <w:jc w:val="left"/>
            </w:pPr>
            <w:r>
              <w:t xml:space="preserve">Design peak request rate</w:t>
            </w:r>
          </w:p>
        </w:tc>
        <w:tc>
          <w:tcPr/>
          <w:p>
            <w:pPr>
              <w:pStyle w:val="Compact"/>
              <w:jc w:val="left"/>
            </w:pPr>
            <w:r>
              <w:t xml:space="preserve">requests/s</w:t>
            </w:r>
          </w:p>
        </w:tc>
      </w:tr>
      <w:tr>
        <w:tc>
          <w:tcPr/>
          <w:p>
            <w:pPr>
              <w:pStyle w:val="Compact"/>
              <w:jc w:val="left"/>
            </w:pPr>
            <m:oMath>
              <m:r>
                <m:t>U</m:t>
              </m:r>
            </m:oMath>
          </w:p>
        </w:tc>
        <w:tc>
          <w:tcPr/>
          <w:p>
            <w:pPr>
              <w:pStyle w:val="Compact"/>
              <w:jc w:val="left"/>
            </w:pPr>
            <w:r>
              <w:t xml:space="preserve">Daily active users</w:t>
            </w:r>
          </w:p>
        </w:tc>
        <w:tc>
          <w:tcPr/>
          <w:p>
            <w:pPr>
              <w:pStyle w:val="Compact"/>
              <w:jc w:val="left"/>
            </w:pPr>
            <w:r>
              <w:t xml:space="preserve">users</w:t>
            </w:r>
          </w:p>
        </w:tc>
      </w:tr>
      <w:tr>
        <w:tc>
          <w:tcPr/>
          <w:p>
            <w:pPr>
              <w:pStyle w:val="Compact"/>
              <w:jc w:val="left"/>
            </w:pPr>
            <m:oMath>
              <m:r>
                <m:t>a</m:t>
              </m:r>
            </m:oMath>
          </w:p>
        </w:tc>
        <w:tc>
          <w:tcPr/>
          <w:p>
            <w:pPr>
              <w:pStyle w:val="Compact"/>
              <w:jc w:val="left"/>
            </w:pPr>
            <w:r>
              <w:t xml:space="preserve">Actions of this type per user per day</w:t>
            </w:r>
          </w:p>
        </w:tc>
        <w:tc>
          <w:tcPr/>
          <w:p>
            <w:pPr>
              <w:pStyle w:val="Compact"/>
              <w:jc w:val="left"/>
            </w:pPr>
            <w:r>
              <w:t xml:space="preserve">requests/user/day</w:t>
            </w:r>
          </w:p>
        </w:tc>
      </w:tr>
      <w:tr>
        <w:tc>
          <w:tcPr/>
          <w:p>
            <w:pPr>
              <w:pStyle w:val="Compact"/>
              <w:jc w:val="left"/>
            </w:pPr>
            <m:oMath>
              <m:r>
                <m:t>h</m:t>
              </m:r>
            </m:oMath>
          </w:p>
        </w:tc>
        <w:tc>
          <w:tcPr/>
          <w:p>
            <w:pPr>
              <w:pStyle w:val="Compact"/>
              <w:jc w:val="left"/>
            </w:pPr>
            <w:r>
              <w:t xml:space="preserve">Share of daily volume in the busiest hour</w:t>
            </w:r>
          </w:p>
        </w:tc>
        <w:tc>
          <w:tcPr/>
          <w:p>
            <w:pPr>
              <w:pStyle w:val="Compact"/>
              <w:jc w:val="left"/>
            </w:pPr>
            <w:r>
              <w:t xml:space="preserve">fraction</w:t>
            </w:r>
          </w:p>
        </w:tc>
      </w:tr>
      <w:tr>
        <w:tc>
          <w:tcPr/>
          <w:p>
            <w:pPr>
              <w:pStyle w:val="Compact"/>
              <w:jc w:val="left"/>
            </w:pPr>
            <m:oMath>
              <m:r>
                <m:t>b</m:t>
              </m:r>
            </m:oMath>
          </w:p>
        </w:tc>
        <w:tc>
          <w:tcPr/>
          <w:p>
            <w:pPr>
              <w:pStyle w:val="Compact"/>
              <w:jc w:val="left"/>
            </w:pPr>
            <w:r>
              <w:t xml:space="preserve">Burst factor above the busiest-hour average</w:t>
            </w:r>
          </w:p>
        </w:tc>
        <w:tc>
          <w:tcPr/>
          <w:p>
            <w:pPr>
              <w:pStyle w:val="Compact"/>
              <w:jc w:val="left"/>
            </w:pPr>
            <w:r>
              <w:t xml:space="preserve">dimensionless</w:t>
            </w:r>
          </w:p>
        </w:tc>
      </w:tr>
      <w:tr>
        <w:tc>
          <w:tcPr/>
          <w:p>
            <w:pPr>
              <w:pStyle w:val="Compact"/>
              <w:jc w:val="left"/>
            </w:pPr>
            <w:r>
              <w:t xml:space="preserve">86,400 / 3,600</w:t>
            </w:r>
          </w:p>
        </w:tc>
        <w:tc>
          <w:tcPr/>
          <w:p>
            <w:pPr>
              <w:pStyle w:val="Compact"/>
              <w:jc w:val="left"/>
            </w:pPr>
            <w:r>
              <w:t xml:space="preserve">Seconds per day / per hour</w:t>
            </w:r>
          </w:p>
        </w:tc>
        <w:tc>
          <w:tcPr/>
          <w:p>
            <w:pPr>
              <w:pStyle w:val="Compact"/>
              <w:jc w:val="left"/>
            </w:pPr>
            <w:r>
              <w:t xml:space="preserve">s</w:t>
            </w:r>
          </w:p>
        </w:tc>
      </w:tr>
    </w:tbl>
    <w:p>
      <w:pPr>
        <w:pStyle w:val="CalloutFormula"/>
      </w:pPr>
      <w:r>
        <w:rPr>
          <w:bCs/>
          <w:b/>
        </w:rPr>
        <w:t xml:space="preserve">FORMULA</w:t>
      </w:r>
    </w:p>
    <w:p>
      <w:pPr>
        <w:pStyle w:val="CalloutFormula"/>
      </w:pPr>
      <w:r>
        <w:rPr>
          <w:bCs/>
          <w:b/>
        </w:rPr>
        <w:t xml:space="preserve">Storage and node count</w:t>
      </w:r>
    </w:p>
    <w:p>
      <w:pPr>
        <w:pStyle w:val="CalloutFormula"/>
      </w:pPr>
      <m:oMathPara>
        <m:oMathParaPr>
          <m:jc m:val="center"/>
        </m:oMathParaPr>
        <m:oMath>
          <m:r>
            <m:t>S</m:t>
          </m:r>
          <m:r>
            <m:rPr>
              <m:sty m:val="p"/>
            </m:rPr>
            <m:t>=</m:t>
          </m:r>
          <m:sSub>
            <m:e>
              <m:r>
                <m:t>n</m:t>
              </m:r>
            </m:e>
            <m:sub>
              <m:r>
                <m:t>d</m:t>
              </m:r>
              <m:r>
                <m:t>a</m:t>
              </m:r>
              <m:r>
                <m:t>y</m:t>
              </m:r>
            </m:sub>
          </m:sSub>
          <m:r>
            <m:rPr>
              <m:sty m:val="p"/>
            </m:rPr>
            <m:t>×</m:t>
          </m:r>
          <m:r>
            <m:t>s</m:t>
          </m:r>
          <m:r>
            <m:rPr>
              <m:sty m:val="p"/>
            </m:rPr>
            <m:t>×</m:t>
          </m:r>
          <m:r>
            <m:t>T</m:t>
          </m:r>
          <m:r>
            <m:rPr>
              <m:sty m:val="p"/>
            </m:rPr>
            <m:t>×</m:t>
          </m:r>
          <m:r>
            <m:t>k</m:t>
          </m:r>
          <m:r>
            <m:t>  </m:t>
          </m:r>
          <m:r>
            <m:t>N</m:t>
          </m:r>
          <m:r>
            <m:rPr>
              <m:sty m:val="p"/>
            </m:rPr>
            <m:t>=</m:t>
          </m:r>
          <m:d>
            <m:dPr>
              <m:begChr m:val="⌈"/>
              <m:endChr m:val="⌉"/>
              <m:sepChr m:val=""/>
              <m:grow/>
            </m:dPr>
            <m:e>
              <m:f>
                <m:fPr>
                  <m:type m:val="bar"/>
                </m:fPr>
                <m:num>
                  <m:sSub>
                    <m:e>
                      <m:r>
                        <m:t>R</m:t>
                      </m:r>
                    </m:e>
                    <m:sub>
                      <m:r>
                        <m:t>p</m:t>
                      </m:r>
                      <m:r>
                        <m:t>e</m:t>
                      </m:r>
                      <m:r>
                        <m:t>a</m:t>
                      </m:r>
                      <m:r>
                        <m:t>k</m:t>
                      </m:r>
                    </m:sub>
                  </m:sSub>
                </m:num>
                <m:den>
                  <m:r>
                    <m:t>c</m:t>
                  </m:r>
                  <m:r>
                    <m:rPr>
                      <m:sty m:val="p"/>
                    </m:rPr>
                    <m:t>×</m:t>
                  </m:r>
                  <m:r>
                    <m:t>u</m:t>
                  </m:r>
                </m:den>
              </m:f>
            </m:e>
          </m:d>
          <m:r>
            <m:rPr>
              <m:sty m:val="p"/>
            </m:rPr>
            <m:t>+</m:t>
          </m:r>
          <m:sSub>
            <m:e>
              <m:r>
                <m:t>N</m:t>
              </m:r>
            </m:e>
            <m:sub>
              <m:r>
                <m:t>s</m:t>
              </m:r>
              <m:r>
                <m:t>p</m:t>
              </m:r>
              <m:r>
                <m:t>a</m:t>
              </m:r>
              <m:r>
                <m:t>r</m:t>
              </m:r>
              <m:r>
                <m:t>e</m:t>
              </m:r>
            </m:sub>
          </m:sSub>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S</m:t>
              </m:r>
            </m:oMath>
          </w:p>
        </w:tc>
        <w:tc>
          <w:tcPr/>
          <w:p>
            <w:pPr>
              <w:pStyle w:val="Compact"/>
              <w:jc w:val="left"/>
            </w:pPr>
            <w:r>
              <w:t xml:space="preserve">Total storage needed</w:t>
            </w:r>
          </w:p>
        </w:tc>
        <w:tc>
          <w:tcPr/>
          <w:p>
            <w:pPr>
              <w:pStyle w:val="Compact"/>
              <w:jc w:val="left"/>
            </w:pPr>
            <w:r>
              <w:t xml:space="preserve">bytes</w:t>
            </w:r>
          </w:p>
        </w:tc>
      </w:tr>
      <w:tr>
        <w:tc>
          <w:tcPr/>
          <w:p>
            <w:pPr>
              <w:pStyle w:val="Compact"/>
              <w:jc w:val="left"/>
            </w:pPr>
            <m:oMath>
              <m:sSub>
                <m:e>
                  <m:r>
                    <m:t>n</m:t>
                  </m:r>
                </m:e>
                <m:sub>
                  <m:r>
                    <m:t>d</m:t>
                  </m:r>
                  <m:r>
                    <m:t>a</m:t>
                  </m:r>
                  <m:r>
                    <m:t>y</m:t>
                  </m:r>
                </m:sub>
              </m:sSub>
            </m:oMath>
          </w:p>
        </w:tc>
        <w:tc>
          <w:tcPr/>
          <w:p>
            <w:pPr>
              <w:pStyle w:val="Compact"/>
              <w:jc w:val="left"/>
            </w:pPr>
            <w:r>
              <w:t xml:space="preserve">Records created per day</w:t>
            </w:r>
          </w:p>
        </w:tc>
        <w:tc>
          <w:tcPr/>
          <w:p>
            <w:pPr>
              <w:pStyle w:val="Compact"/>
              <w:jc w:val="left"/>
            </w:pPr>
            <w:r>
              <w:t xml:space="preserve">records/day</w:t>
            </w:r>
          </w:p>
        </w:tc>
      </w:tr>
      <w:tr>
        <w:tc>
          <w:tcPr/>
          <w:p>
            <w:pPr>
              <w:pStyle w:val="Compact"/>
              <w:jc w:val="left"/>
            </w:pPr>
            <m:oMath>
              <m:r>
                <m:t>s</m:t>
              </m:r>
            </m:oMath>
          </w:p>
        </w:tc>
        <w:tc>
          <w:tcPr/>
          <w:p>
            <w:pPr>
              <w:pStyle w:val="Compact"/>
              <w:jc w:val="left"/>
            </w:pPr>
            <w:r>
              <w:t xml:space="preserve">Size per record, including indexes and overhead</w:t>
            </w:r>
          </w:p>
        </w:tc>
        <w:tc>
          <w:tcPr/>
          <w:p>
            <w:pPr>
              <w:pStyle w:val="Compact"/>
              <w:jc w:val="left"/>
            </w:pPr>
            <w:r>
              <w:t xml:space="preserve">bytes</w:t>
            </w:r>
          </w:p>
        </w:tc>
      </w:tr>
      <w:tr>
        <w:tc>
          <w:tcPr/>
          <w:p>
            <w:pPr>
              <w:pStyle w:val="Compact"/>
              <w:jc w:val="left"/>
            </w:pPr>
            <m:oMath>
              <m:r>
                <m:t>T</m:t>
              </m:r>
            </m:oMath>
          </w:p>
        </w:tc>
        <w:tc>
          <w:tcPr/>
          <w:p>
            <w:pPr>
              <w:pStyle w:val="Compact"/>
              <w:jc w:val="left"/>
            </w:pPr>
            <w:r>
              <w:t xml:space="preserve">Retention period</w:t>
            </w:r>
          </w:p>
        </w:tc>
        <w:tc>
          <w:tcPr/>
          <w:p>
            <w:pPr>
              <w:pStyle w:val="Compact"/>
              <w:jc w:val="left"/>
            </w:pPr>
            <w:r>
              <w:t xml:space="preserve">days</w:t>
            </w:r>
          </w:p>
        </w:tc>
      </w:tr>
      <w:tr>
        <w:tc>
          <w:tcPr/>
          <w:p>
            <w:pPr>
              <w:pStyle w:val="Compact"/>
              <w:jc w:val="left"/>
            </w:pPr>
            <m:oMath>
              <m:r>
                <m:t>k</m:t>
              </m:r>
            </m:oMath>
          </w:p>
        </w:tc>
        <w:tc>
          <w:tcPr/>
          <w:p>
            <w:pPr>
              <w:pStyle w:val="Compact"/>
              <w:jc w:val="left"/>
            </w:pPr>
            <w:r>
              <w:t xml:space="preserve">Number of stored copies (replication)</w:t>
            </w:r>
          </w:p>
        </w:tc>
        <w:tc>
          <w:tcPr/>
          <w:p>
            <w:pPr>
              <w:pStyle w:val="Compact"/>
              <w:jc w:val="left"/>
            </w:pPr>
            <w:r>
              <w:t xml:space="preserve">dimensionless</w:t>
            </w:r>
          </w:p>
        </w:tc>
      </w:tr>
      <w:tr>
        <w:tc>
          <w:tcPr/>
          <w:p>
            <w:pPr>
              <w:pStyle w:val="Compact"/>
              <w:jc w:val="left"/>
            </w:pPr>
            <m:oMath>
              <m:r>
                <m:t>N</m:t>
              </m:r>
            </m:oMath>
          </w:p>
        </w:tc>
        <w:tc>
          <w:tcPr/>
          <w:p>
            <w:pPr>
              <w:pStyle w:val="Compact"/>
              <w:jc w:val="left"/>
            </w:pPr>
            <w:r>
              <w:t xml:space="preserve">Nodes needed</w:t>
            </w:r>
          </w:p>
        </w:tc>
        <w:tc>
          <w:tcPr/>
          <w:p>
            <w:pPr>
              <w:pStyle w:val="Compact"/>
              <w:jc w:val="left"/>
            </w:pPr>
            <w:r>
              <w:t xml:space="preserve">nodes</w:t>
            </w:r>
          </w:p>
        </w:tc>
      </w:tr>
      <w:tr>
        <w:tc>
          <w:tcPr/>
          <w:p>
            <w:pPr>
              <w:pStyle w:val="Compact"/>
              <w:jc w:val="left"/>
            </w:pPr>
            <m:oMath>
              <m:r>
                <m:t>c</m:t>
              </m:r>
            </m:oMath>
          </w:p>
        </w:tc>
        <w:tc>
          <w:tcPr/>
          <w:p>
            <w:pPr>
              <w:pStyle w:val="Compact"/>
              <w:jc w:val="left"/>
            </w:pPr>
            <w:r>
              <w:t xml:space="preserve">Throughput one node sustains</w:t>
            </w:r>
          </w:p>
        </w:tc>
        <w:tc>
          <w:tcPr/>
          <w:p>
            <w:pPr>
              <w:pStyle w:val="Compact"/>
              <w:jc w:val="left"/>
            </w:pPr>
            <w:r>
              <w:t xml:space="preserve">requests/s</w:t>
            </w:r>
          </w:p>
        </w:tc>
      </w:tr>
      <w:tr>
        <w:tc>
          <w:tcPr/>
          <w:p>
            <w:pPr>
              <w:pStyle w:val="Compact"/>
              <w:jc w:val="left"/>
            </w:pPr>
            <m:oMath>
              <m:r>
                <m:t>u</m:t>
              </m:r>
            </m:oMath>
          </w:p>
        </w:tc>
        <w:tc>
          <w:tcPr/>
          <w:p>
            <w:pPr>
              <w:pStyle w:val="Compact"/>
              <w:jc w:val="left"/>
            </w:pPr>
            <w:r>
              <w:t xml:space="preserve">Target utilization, leaving headroom for queueing (§4.10)</w:t>
            </w:r>
          </w:p>
        </w:tc>
        <w:tc>
          <w:tcPr/>
          <w:p>
            <w:pPr>
              <w:pStyle w:val="Compact"/>
              <w:jc w:val="left"/>
            </w:pPr>
            <w:r>
              <w:t xml:space="preserve">fraction</w:t>
            </w:r>
          </w:p>
        </w:tc>
      </w:tr>
      <w:tr>
        <w:tc>
          <w:tcPr/>
          <w:p>
            <w:pPr>
              <w:pStyle w:val="Compact"/>
              <w:jc w:val="left"/>
            </w:pPr>
            <m:oMath>
              <m:sSub>
                <m:e>
                  <m:r>
                    <m:t>N</m:t>
                  </m:r>
                </m:e>
                <m:sub>
                  <m:r>
                    <m:t>s</m:t>
                  </m:r>
                  <m:r>
                    <m:t>p</m:t>
                  </m:r>
                  <m:r>
                    <m:t>a</m:t>
                  </m:r>
                  <m:r>
                    <m:t>r</m:t>
                  </m:r>
                  <m:r>
                    <m:t>e</m:t>
                  </m:r>
                </m:sub>
              </m:sSub>
            </m:oMath>
          </w:p>
        </w:tc>
        <w:tc>
          <w:tcPr/>
          <w:p>
            <w:pPr>
              <w:pStyle w:val="Compact"/>
              <w:jc w:val="left"/>
            </w:pPr>
            <w:r>
              <w:t xml:space="preserve">Extra nodes so a failure or deploy does not overload the rest</w:t>
            </w:r>
          </w:p>
        </w:tc>
        <w:tc>
          <w:tcPr/>
          <w:p>
            <w:pPr>
              <w:pStyle w:val="Compact"/>
              <w:jc w:val="left"/>
            </w:pPr>
            <w:r>
              <w:t xml:space="preserve">nodes</w:t>
            </w:r>
          </w:p>
        </w:tc>
      </w:tr>
    </w:tbl>
    <w:p>
      <w:pPr>
        <w:pStyle w:val="BodyText"/>
      </w:pPr>
      <w:r>
        <w:rPr>
          <w:bCs/>
          <w:b/>
        </w:rPr>
        <w:t xml:space="preserve">Table 2.17 — Rough reference capacities for estimation (order of magnitude only, as of 2026).</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Resource</w:t>
            </w:r>
          </w:p>
        </w:tc>
        <w:tc>
          <w:tcPr/>
          <w:p>
            <w:pPr>
              <w:pStyle w:val="Compact"/>
              <w:jc w:val="left"/>
            </w:pPr>
            <w:r>
              <w:t xml:space="preserve">Rough capacity</w:t>
            </w:r>
          </w:p>
        </w:tc>
        <w:tc>
          <w:tcPr/>
          <w:p>
            <w:pPr>
              <w:pStyle w:val="Compact"/>
              <w:jc w:val="left"/>
            </w:pPr>
            <w:r>
              <w:t xml:space="preserve">Note</w:t>
            </w:r>
          </w:p>
        </w:tc>
      </w:tr>
      <w:tr>
        <w:tc>
          <w:tcPr/>
          <w:p>
            <w:pPr>
              <w:pStyle w:val="Compact"/>
              <w:jc w:val="left"/>
            </w:pPr>
            <w:r>
              <w:t xml:space="preserve">Round trip within one datacenter</w:t>
            </w:r>
          </w:p>
        </w:tc>
        <w:tc>
          <w:tcPr/>
          <w:p>
            <w:pPr>
              <w:pStyle w:val="Compact"/>
              <w:jc w:val="left"/>
            </w:pPr>
            <w:r>
              <w:t xml:space="preserve">~0.1–0.5 ms</w:t>
            </w:r>
          </w:p>
        </w:tc>
        <w:tc>
          <w:tcPr/>
          <w:p>
            <w:pPr>
              <w:pStyle w:val="Compact"/>
              <w:jc w:val="left"/>
            </w:pPr>
            <w:r>
              <w:t xml:space="preserve">See §4.17 and Appendix F for dated values</w:t>
            </w:r>
          </w:p>
        </w:tc>
      </w:tr>
      <w:tr>
        <w:tc>
          <w:tcPr/>
          <w:p>
            <w:pPr>
              <w:pStyle w:val="Compact"/>
              <w:jc w:val="left"/>
            </w:pPr>
            <w:r>
              <w:t xml:space="preserve">Round trip across a continent</w:t>
            </w:r>
          </w:p>
        </w:tc>
        <w:tc>
          <w:tcPr/>
          <w:p>
            <w:pPr>
              <w:pStyle w:val="Compact"/>
              <w:jc w:val="left"/>
            </w:pPr>
            <w:r>
              <w:t xml:space="preserve">~50–100 ms</w:t>
            </w:r>
          </w:p>
        </w:tc>
        <w:tc>
          <w:tcPr/>
          <w:p>
            <w:pPr>
              <w:pStyle w:val="Compact"/>
              <w:jc w:val="left"/>
            </w:pPr>
            <w:r>
              <w:t xml:space="preserve">Bounded by the speed of light in fiber</w:t>
            </w:r>
          </w:p>
        </w:tc>
      </w:tr>
      <w:tr>
        <w:tc>
          <w:tcPr/>
          <w:p>
            <w:pPr>
              <w:pStyle w:val="Compact"/>
              <w:jc w:val="left"/>
            </w:pPr>
            <w:r>
              <w:t xml:space="preserve">Stateless API node, simple JSON requests</w:t>
            </w:r>
          </w:p>
        </w:tc>
        <w:tc>
          <w:tcPr/>
          <w:p>
            <w:pPr>
              <w:pStyle w:val="Compact"/>
              <w:jc w:val="left"/>
            </w:pPr>
            <w:r>
              <w:t xml:space="preserve">~10³ RPS</w:t>
            </w:r>
          </w:p>
        </w:tc>
        <w:tc>
          <w:tcPr/>
          <w:p>
            <w:pPr>
              <w:pStyle w:val="Compact"/>
              <w:jc w:val="left"/>
            </w:pPr>
            <w:r>
              <w:t xml:space="preserve">Varies by 10× with language and work per request</w:t>
            </w:r>
          </w:p>
        </w:tc>
      </w:tr>
      <w:tr>
        <w:tc>
          <w:tcPr/>
          <w:p>
            <w:pPr>
              <w:pStyle w:val="Compact"/>
              <w:jc w:val="left"/>
            </w:pPr>
            <w:r>
              <w:t xml:space="preserve">Relational DB primary, simple indexed writes</w:t>
            </w:r>
          </w:p>
        </w:tc>
        <w:tc>
          <w:tcPr/>
          <w:p>
            <w:pPr>
              <w:pStyle w:val="Compact"/>
              <w:jc w:val="left"/>
            </w:pPr>
            <w:r>
              <w:t xml:space="preserve">~10³–10⁴ writes/s</w:t>
            </w:r>
          </w:p>
        </w:tc>
        <w:tc>
          <w:tcPr/>
          <w:p>
            <w:pPr>
              <w:pStyle w:val="Compact"/>
              <w:jc w:val="left"/>
            </w:pPr>
            <w:r>
              <w:t xml:space="preserve">Depends on fsync, schema, hardware</w:t>
            </w:r>
          </w:p>
        </w:tc>
      </w:tr>
      <w:tr>
        <w:tc>
          <w:tcPr/>
          <w:p>
            <w:pPr>
              <w:pStyle w:val="Compact"/>
              <w:jc w:val="left"/>
            </w:pPr>
            <w:r>
              <w:t xml:space="preserve">In-memory key-value store node</w:t>
            </w:r>
          </w:p>
        </w:tc>
        <w:tc>
          <w:tcPr/>
          <w:p>
            <w:pPr>
              <w:pStyle w:val="Compact"/>
              <w:jc w:val="left"/>
            </w:pPr>
            <w:r>
              <w:t xml:space="preserve">~10⁵ ops/s</w:t>
            </w:r>
          </w:p>
        </w:tc>
        <w:tc>
          <w:tcPr/>
          <w:p>
            <w:pPr>
              <w:pStyle w:val="Compact"/>
              <w:jc w:val="left"/>
            </w:pPr>
            <w:r>
              <w:t xml:space="preserve">Small values, pipelining helps</w:t>
            </w:r>
          </w:p>
        </w:tc>
      </w:tr>
      <w:tr>
        <w:tc>
          <w:tcPr/>
          <w:p>
            <w:pPr>
              <w:pStyle w:val="Compact"/>
              <w:jc w:val="left"/>
            </w:pPr>
            <w:r>
              <w:t xml:space="preserve">1 Gbps network link</w:t>
            </w:r>
          </w:p>
        </w:tc>
        <w:tc>
          <w:tcPr/>
          <w:p>
            <w:pPr>
              <w:pStyle w:val="Compact"/>
              <w:jc w:val="left"/>
            </w:pPr>
            <w:r>
              <w:t xml:space="preserve">125 MB/s</w:t>
            </w:r>
          </w:p>
        </w:tc>
        <w:tc>
          <w:tcPr/>
          <w:p>
            <w:pPr>
              <w:pStyle w:val="Compact"/>
              <w:jc w:val="left"/>
            </w:pPr>
            <w:r>
              <w:t xml:space="preserve">1 Gbps ÷ 8 bits per byte</w:t>
            </w:r>
          </w:p>
        </w:tc>
      </w:tr>
    </w:tbl>
    <w:p>
      <w:pPr>
        <w:pStyle w:val="BodyText"/>
      </w:pPr>
      <w:r>
        <w:t xml:space="preserve">These numbers are deliberately rough. Measure your own system before relying on any of them.</w:t>
      </w:r>
    </w:p>
    <w:p>
      <w:pPr>
        <w:pStyle w:val="CalloutExample"/>
      </w:pPr>
      <w:r>
        <w:rPr>
          <w:bCs/>
          <w:b/>
        </w:rPr>
        <w:t xml:space="preserve">WORKED EXAMPLE</w:t>
      </w:r>
    </w:p>
    <w:p>
      <w:pPr>
        <w:pStyle w:val="CalloutExample"/>
      </w:pPr>
      <w:r>
        <w:rPr>
          <w:bCs/>
          <w:b/>
        </w:rPr>
        <w:t xml:space="preserve">Worked example — Full capacity estimate for QuickBite (the 100× design point).</w:t>
      </w:r>
      <w:r>
        <w:t xml:space="preserve"> </w:t>
      </w:r>
      <w:r>
        <w:t xml:space="preserve">SI units throughout (1 KB = 10³ bytes).</w:t>
      </w:r>
    </w:p>
    <w:p>
      <w:pPr>
        <w:pStyle w:val="CalloutExample"/>
      </w:pPr>
      <w:r>
        <w:rPr>
          <w:iCs/>
          <w:i/>
        </w:rPr>
        <w:t xml:space="preserve">Assumptions (from Table 2.10, plus new ones marked</w:t>
      </w:r>
      <w:r>
        <w:rPr>
          <w:iCs/>
          <w:i/>
        </w:rPr>
        <w:t xml:space="preserve"> </w:t>
      </w:r>
      <w:r>
        <w:rPr>
          <w:iCs/>
          <w:i/>
        </w:rPr>
        <w:t xml:space="preserve">“</w:t>
      </w:r>
      <w:r>
        <w:rPr>
          <w:iCs/>
          <w:i/>
        </w:rPr>
        <w:t xml:space="preserve">new</w:t>
      </w:r>
      <w:r>
        <w:rPr>
          <w:iCs/>
          <w:i/>
        </w:rPr>
        <w:t xml:space="preserve">”</w:t>
      </w:r>
      <w:r>
        <w:rPr>
          <w:iCs/>
          <w:i/>
        </w:rPr>
        <w:t xml:space="preserve">).</w:t>
      </w:r>
      <w:r>
        <w:t xml:space="preserve"> </w:t>
      </w:r>
      <w:r>
        <w:t xml:space="preserve">U = 2,000,000 DAU. Orders a = 0.25 per DAU per day. Browse reads 30 per DAU per day (new). Busiest-hour share h = 0.20 for both. Burst factor b = 2 (new; covers promotions). 20,000 couriers active at peak, updating every 4 s. Order record 2 KB including items and status history (new). Average browse response 20 KB with images served separately by a CDN (new).</w:t>
      </w:r>
    </w:p>
    <w:p>
      <w:pPr>
        <w:pStyle w:val="CalloutExample"/>
      </w:pPr>
      <w:r>
        <w:rPr>
          <w:bCs/>
          <w:b/>
        </w:rPr>
        <w:t xml:space="preserve">Step 1 — Orders.</w:t>
      </w:r>
      <w:r>
        <w:t xml:space="preserve"> </w:t>
      </w:r>
      <w:r>
        <w:t xml:space="preserve">- Daily: 2,000,000 × 0.25 =</w:t>
      </w:r>
      <w:r>
        <w:t xml:space="preserve"> </w:t>
      </w:r>
      <w:r>
        <w:rPr>
          <w:bCs/>
          <w:b/>
        </w:rPr>
        <w:t xml:space="preserve">500,000 orders/day</w:t>
      </w:r>
      <w:r>
        <w:t xml:space="preserve">.</w:t>
      </w:r>
      <w:r>
        <w:t xml:space="preserve"> </w:t>
      </w:r>
      <w:r>
        <w:t xml:space="preserve">- Average: 500,000 / 86,400 ≈</w:t>
      </w:r>
      <w:r>
        <w:t xml:space="preserve"> </w:t>
      </w:r>
      <w:r>
        <w:rPr>
          <w:bCs/>
          <w:b/>
        </w:rPr>
        <w:t xml:space="preserve">5.8 orders/s</w:t>
      </w:r>
      <w:r>
        <w:t xml:space="preserve">.</w:t>
      </w:r>
      <w:r>
        <w:t xml:space="preserve"> </w:t>
      </w:r>
      <w:r>
        <w:t xml:space="preserve">- Busiest hour: 500,000 × 0.20 = 100,000 orders in one hour; 100,000 / 3,600 ≈ 27.8 orders/s.</w:t>
      </w:r>
      <w:r>
        <w:t xml:space="preserve"> </w:t>
      </w:r>
      <w:r>
        <w:t xml:space="preserve">- Design peak: 27.8 × 2 ≈ 55.6, rounded up to</w:t>
      </w:r>
      <w:r>
        <w:t xml:space="preserve"> </w:t>
      </w:r>
      <w:r>
        <w:rPr>
          <w:bCs/>
          <w:b/>
        </w:rPr>
        <w:t xml:space="preserve">60 orders/s</w:t>
      </w:r>
      <w:r>
        <w:t xml:space="preserve">. This is the figure used in §2.6.</w:t>
      </w:r>
    </w:p>
    <w:p>
      <w:pPr>
        <w:pStyle w:val="CalloutExample"/>
      </w:pPr>
      <w:r>
        <w:rPr>
          <w:bCs/>
          <w:b/>
        </w:rPr>
        <w:t xml:space="preserve">Step 2 — Browse reads.</w:t>
      </w:r>
      <w:r>
        <w:t xml:space="preserve"> </w:t>
      </w:r>
      <w:r>
        <w:t xml:space="preserve">- Daily: 2,000,000 × 30 = 60,000,000 reads/day. Average: 60,000,000 / 86,400 ≈</w:t>
      </w:r>
      <w:r>
        <w:t xml:space="preserve"> </w:t>
      </w:r>
      <w:r>
        <w:rPr>
          <w:bCs/>
          <w:b/>
        </w:rPr>
        <w:t xml:space="preserve">694 RPS</w:t>
      </w:r>
      <w:r>
        <w:t xml:space="preserve">.</w:t>
      </w:r>
      <w:r>
        <w:t xml:space="preserve"> </w:t>
      </w:r>
      <w:r>
        <w:t xml:space="preserve">- Busiest hour: 60,000,000 × 0.20 / 3,600 ≈ 3,333 RPS. Design peak: × 2 ≈</w:t>
      </w:r>
      <w:r>
        <w:t xml:space="preserve"> </w:t>
      </w:r>
      <w:r>
        <w:rPr>
          <w:bCs/>
          <w:b/>
        </w:rPr>
        <w:t xml:space="preserve">7,000 RPS</w:t>
      </w:r>
      <w:r>
        <w:t xml:space="preserve"> </w:t>
      </w:r>
      <w:r>
        <w:t xml:space="preserve">(rounded up).</w:t>
      </w:r>
      <w:r>
        <w:t xml:space="preserve"> </w:t>
      </w:r>
      <w:r>
        <w:t xml:space="preserve">- Read-to-order ratio at peak: 7,000 / 60 ≈ 117:1. Browsing is read-heavy and highly cacheable.</w:t>
      </w:r>
    </w:p>
    <w:p>
      <w:pPr>
        <w:pStyle w:val="CalloutExample"/>
      </w:pPr>
      <w:r>
        <w:rPr>
          <w:bCs/>
          <w:b/>
        </w:rPr>
        <w:t xml:space="preserve">Step 3 — Courier locations and tracking.</w:t>
      </w:r>
      <w:r>
        <w:t xml:space="preserve"> </w:t>
      </w:r>
      <w:r>
        <w:t xml:space="preserve">- Writes at peak: 20,000 / 4 s =</w:t>
      </w:r>
      <w:r>
        <w:t xml:space="preserve"> </w:t>
      </w:r>
      <w:r>
        <w:rPr>
          <w:bCs/>
          <w:b/>
        </w:rPr>
        <w:t xml:space="preserve">5,000 writes/s</w:t>
      </w:r>
      <w:r>
        <w:t xml:space="preserve">. That is about 83× the order write rate, so this is the dominant write path.</w:t>
      </w:r>
      <w:r>
        <w:t xml:space="preserve"> </w:t>
      </w:r>
      <w:r>
        <w:t xml:space="preserve">- Orders in the delivery leg at once, by Little’s Law (§2.6): arrivals 27.8 orders/s × 900 s average delivery leg (15 min, new assumption) ≈</w:t>
      </w:r>
      <w:r>
        <w:t xml:space="preserve"> </w:t>
      </w:r>
      <w:r>
        <w:rPr>
          <w:bCs/>
          <w:b/>
        </w:rPr>
        <w:t xml:space="preserve">25,000 orders</w:t>
      </w:r>
      <w:r>
        <w:t xml:space="preserve">.</w:t>
      </w:r>
      <w:r>
        <w:t xml:space="preserve"> </w:t>
      </w:r>
      <w:r>
        <w:t xml:space="preserve">- Tracking reads: if half of those customers have the app open and it refreshes every 5 s, 25,000 × 0.5 / 5 =</w:t>
      </w:r>
      <w:r>
        <w:t xml:space="preserve"> </w:t>
      </w:r>
      <w:r>
        <w:rPr>
          <w:bCs/>
          <w:b/>
        </w:rPr>
        <w:t xml:space="preserve">2,500 reads/s</w:t>
      </w:r>
      <w:r>
        <w:t xml:space="preserve">.</w:t>
      </w:r>
    </w:p>
    <w:p>
      <w:pPr>
        <w:pStyle w:val="CalloutExample"/>
      </w:pPr>
      <w:r>
        <w:rPr>
          <w:bCs/>
          <w:b/>
        </w:rPr>
        <w:t xml:space="preserve">Step 4 — Storage.</w:t>
      </w:r>
      <w:r>
        <w:t xml:space="preserve"> </w:t>
      </w:r>
      <w:r>
        <w:t xml:space="preserve">- Orders: 500,000 × 2 KB = 1 GB/day. Over 5 years: 1 GB × 365 × 5 ≈ 1.8 TB. Add 50% for indexes: ≈ 2.7 TB. Two copies (primary + standby):</w:t>
      </w:r>
      <w:r>
        <w:t xml:space="preserve"> </w:t>
      </w:r>
      <w:r>
        <w:rPr>
          <w:bCs/>
          <w:b/>
        </w:rPr>
        <w:t xml:space="preserve">≈ 5.5 TB</w:t>
      </w:r>
      <w:r>
        <w:t xml:space="preserve">. One database server can hold this.</w:t>
      </w:r>
      <w:r>
        <w:t xml:space="preserve"> </w:t>
      </w:r>
      <w:r>
        <w:t xml:space="preserve">- Locations: assume 6,000 couriers active on average across the day, giving 6,000 / 4 = 1,500 writes/s. Per day: 1,500 × 86,400 = 129.6 million points. At 100 bytes each: ≈ 13 GB/day. Keep 30 days hot: 13 × 30 ≈</w:t>
      </w:r>
      <w:r>
        <w:t xml:space="preserve"> </w:t>
      </w:r>
      <w:r>
        <w:rPr>
          <w:bCs/>
          <w:b/>
        </w:rPr>
        <w:t xml:space="preserve">390 GB</w:t>
      </w:r>
      <w:r>
        <w:t xml:space="preserve">, then downsample to an archive.</w:t>
      </w:r>
      <w:r>
        <w:t xml:space="preserve"> </w:t>
      </w:r>
      <w:r>
        <w:t xml:space="preserve">- Menus: 50,000 restaurants × 100 items × 1 KB =</w:t>
      </w:r>
      <w:r>
        <w:t xml:space="preserve"> </w:t>
      </w:r>
      <w:r>
        <w:rPr>
          <w:bCs/>
          <w:b/>
        </w:rPr>
        <w:t xml:space="preserve">5 GB</w:t>
      </w:r>
      <w:r>
        <w:t xml:space="preserve">, small enough to cache entirely in memory (§20.3).</w:t>
      </w:r>
    </w:p>
    <w:p>
      <w:pPr>
        <w:pStyle w:val="CalloutExample"/>
      </w:pPr>
      <w:r>
        <w:rPr>
          <w:bCs/>
          <w:b/>
        </w:rPr>
        <w:t xml:space="preserve">Step 5 — Bandwidth.</w:t>
      </w:r>
      <w:r>
        <w:t xml:space="preserve"> </w:t>
      </w:r>
      <w:r>
        <w:t xml:space="preserve">- Browse egress at peak: 7,000 × 20 KB = 140 MB/s = 140 × 8 =</w:t>
      </w:r>
      <w:r>
        <w:t xml:space="preserve"> </w:t>
      </w:r>
      <w:r>
        <w:rPr>
          <w:bCs/>
          <w:b/>
        </w:rPr>
        <w:t xml:space="preserve">1.12 Gbps</w:t>
      </w:r>
      <w:r>
        <w:t xml:space="preserve">, which needs more than one 1 Gbps link or a load balancer tier with 10 Gbps links.</w:t>
      </w:r>
      <w:r>
        <w:t xml:space="preserve"> </w:t>
      </w:r>
      <w:r>
        <w:t xml:space="preserve">- Location ingress: 5,000 × 200 bytes = 1 MB/s =</w:t>
      </w:r>
      <w:r>
        <w:t xml:space="preserve"> </w:t>
      </w:r>
      <w:r>
        <w:rPr>
          <w:bCs/>
          <w:b/>
        </w:rPr>
        <w:t xml:space="preserve">8 Mbps</w:t>
      </w:r>
      <w:r>
        <w:t xml:space="preserve">, negligible.</w:t>
      </w:r>
    </w:p>
    <w:p>
      <w:pPr>
        <w:pStyle w:val="CalloutExample"/>
      </w:pPr>
      <w:r>
        <w:rPr>
          <w:bCs/>
          <w:b/>
        </w:rPr>
        <w:t xml:space="preserve">Step 6 — API nodes for browsing.</w:t>
      </w:r>
      <w:r>
        <w:t xml:space="preserve"> </w:t>
      </w:r>
      <w:r>
        <w:t xml:space="preserve">With c = 1,000 RPS per node, u = 0.6 and N_spare = 2 (one zone or one deploy batch down): 7,000 / (1,000 × 0.6) = 11.7, rounded up to 12, plus 2 =</w:t>
      </w:r>
      <w:r>
        <w:t xml:space="preserve"> </w:t>
      </w:r>
      <w:r>
        <w:rPr>
          <w:bCs/>
          <w:b/>
        </w:rPr>
        <w:t xml:space="preserve">14 nodes</w:t>
      </w:r>
      <w:r>
        <w:t xml:space="preserve">.</w:t>
      </w:r>
    </w:p>
    <w:p>
      <w:pPr>
        <w:pStyle w:val="CalloutExample"/>
      </w:pPr>
      <w:r>
        <w:rPr>
          <w:bCs/>
          <w:b/>
        </w:rPr>
        <w:t xml:space="preserve">Step 7 — Interpretation.</w:t>
      </w:r>
    </w:p>
    <w:p>
      <w:pPr>
        <w:pStyle w:val="CalloutExample"/>
      </w:pPr>
      <w:r>
        <w:rPr>
          <w:bCs/>
          <w:b/>
        </w:rPr>
        <w:t xml:space="preserve">Table 2.18 — QuickBite estimate summary (100× design point).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Quantity</w:t>
            </w:r>
          </w:p>
        </w:tc>
        <w:tc>
          <w:tcPr/>
          <w:p>
            <w:pPr>
              <w:pStyle w:val="Compact"/>
              <w:jc w:val="left"/>
            </w:pPr>
            <w:r>
              <w:t xml:space="preserve">Value</w:t>
            </w:r>
          </w:p>
        </w:tc>
        <w:tc>
          <w:tcPr/>
          <w:p>
            <w:pPr>
              <w:pStyle w:val="Compact"/>
              <w:jc w:val="left"/>
            </w:pPr>
            <w:r>
              <w:t xml:space="preserve">Dominant consequence</w:t>
            </w:r>
          </w:p>
        </w:tc>
      </w:tr>
      <w:tr>
        <w:tc>
          <w:tcPr/>
          <w:p>
            <w:pPr>
              <w:pStyle w:val="Compact"/>
              <w:jc w:val="left"/>
            </w:pPr>
            <w:r>
              <w:t xml:space="preserve">Peak orders</w:t>
            </w:r>
          </w:p>
        </w:tc>
        <w:tc>
          <w:tcPr/>
          <w:p>
            <w:pPr>
              <w:pStyle w:val="Compact"/>
              <w:jc w:val="left"/>
            </w:pPr>
            <w:r>
              <w:t xml:space="preserve">60/s</w:t>
            </w:r>
          </w:p>
        </w:tc>
        <w:tc>
          <w:tcPr/>
          <w:p>
            <w:pPr>
              <w:pStyle w:val="Compact"/>
              <w:jc w:val="left"/>
            </w:pPr>
            <w:r>
              <w:t xml:space="preserve">One relational primary is enough (§2.6: ~500/s limit)</w:t>
            </w:r>
          </w:p>
        </w:tc>
      </w:tr>
      <w:tr>
        <w:tc>
          <w:tcPr/>
          <w:p>
            <w:pPr>
              <w:pStyle w:val="Compact"/>
              <w:jc w:val="left"/>
            </w:pPr>
            <w:r>
              <w:t xml:space="preserve">Peak browse reads</w:t>
            </w:r>
          </w:p>
        </w:tc>
        <w:tc>
          <w:tcPr/>
          <w:p>
            <w:pPr>
              <w:pStyle w:val="Compact"/>
              <w:jc w:val="left"/>
            </w:pPr>
            <w:r>
              <w:t xml:space="preserve">7,000 RPS</w:t>
            </w:r>
          </w:p>
        </w:tc>
        <w:tc>
          <w:tcPr/>
          <w:p>
            <w:pPr>
              <w:pStyle w:val="Compact"/>
              <w:jc w:val="left"/>
            </w:pPr>
            <w:r>
              <w:t xml:space="preserve">Cache menus; ~14 API nodes</w:t>
            </w:r>
          </w:p>
        </w:tc>
      </w:tr>
      <w:tr>
        <w:tc>
          <w:tcPr/>
          <w:p>
            <w:pPr>
              <w:pStyle w:val="Compact"/>
              <w:jc w:val="left"/>
            </w:pPr>
            <w:r>
              <w:t xml:space="preserve">Peak location writes</w:t>
            </w:r>
          </w:p>
        </w:tc>
        <w:tc>
          <w:tcPr/>
          <w:p>
            <w:pPr>
              <w:pStyle w:val="Compact"/>
              <w:jc w:val="left"/>
            </w:pPr>
            <w:r>
              <w:t xml:space="preserve">5,000/s</w:t>
            </w:r>
          </w:p>
        </w:tc>
        <w:tc>
          <w:tcPr/>
          <w:p>
            <w:pPr>
              <w:pStyle w:val="Compact"/>
              <w:jc w:val="left"/>
            </w:pPr>
            <w:r>
              <w:t xml:space="preserve">Separate, in-memory, partitioned location store</w:t>
            </w:r>
          </w:p>
        </w:tc>
      </w:tr>
      <w:tr>
        <w:tc>
          <w:tcPr/>
          <w:p>
            <w:pPr>
              <w:pStyle w:val="Compact"/>
              <w:jc w:val="left"/>
            </w:pPr>
            <w:r>
              <w:t xml:space="preserve">Tracking reads</w:t>
            </w:r>
          </w:p>
        </w:tc>
        <w:tc>
          <w:tcPr/>
          <w:p>
            <w:pPr>
              <w:pStyle w:val="Compact"/>
              <w:jc w:val="left"/>
            </w:pPr>
            <w:r>
              <w:t xml:space="preserve">2,500/s</w:t>
            </w:r>
          </w:p>
        </w:tc>
        <w:tc>
          <w:tcPr/>
          <w:p>
            <w:pPr>
              <w:pStyle w:val="Compact"/>
              <w:jc w:val="left"/>
            </w:pPr>
            <w:r>
              <w:t xml:space="preserve">Serve from the location store, not the order DB</w:t>
            </w:r>
          </w:p>
        </w:tc>
      </w:tr>
      <w:tr>
        <w:tc>
          <w:tcPr/>
          <w:p>
            <w:pPr>
              <w:pStyle w:val="Compact"/>
              <w:jc w:val="left"/>
            </w:pPr>
            <w:r>
              <w:t xml:space="preserve">Order storage (5 years, 2 copies)</w:t>
            </w:r>
          </w:p>
        </w:tc>
        <w:tc>
          <w:tcPr/>
          <w:p>
            <w:pPr>
              <w:pStyle w:val="Compact"/>
              <w:jc w:val="left"/>
            </w:pPr>
            <w:r>
              <w:t xml:space="preserve">~5.5 TB</w:t>
            </w:r>
          </w:p>
        </w:tc>
        <w:tc>
          <w:tcPr/>
          <w:p>
            <w:pPr>
              <w:pStyle w:val="Compact"/>
              <w:jc w:val="left"/>
            </w:pPr>
            <w:r>
              <w:t xml:space="preserve">Single DB cluster fine; plan partitioning at ~5×</w:t>
            </w:r>
          </w:p>
        </w:tc>
      </w:tr>
      <w:tr>
        <w:tc>
          <w:tcPr/>
          <w:p>
            <w:pPr>
              <w:pStyle w:val="Compact"/>
              <w:jc w:val="left"/>
            </w:pPr>
            <w:r>
              <w:t xml:space="preserve">Location storage (30 days hot)</w:t>
            </w:r>
          </w:p>
        </w:tc>
        <w:tc>
          <w:tcPr/>
          <w:p>
            <w:pPr>
              <w:pStyle w:val="Compact"/>
              <w:jc w:val="left"/>
            </w:pPr>
            <w:r>
              <w:t xml:space="preserve">~390 GB</w:t>
            </w:r>
          </w:p>
        </w:tc>
        <w:tc>
          <w:tcPr/>
          <w:p>
            <w:pPr>
              <w:pStyle w:val="Compact"/>
              <w:jc w:val="left"/>
            </w:pPr>
            <w:r>
              <w:t xml:space="preserve">Time-partitioned; expire old data with a TTL</w:t>
            </w:r>
          </w:p>
        </w:tc>
      </w:tr>
      <w:tr>
        <w:tc>
          <w:tcPr/>
          <w:p>
            <w:pPr>
              <w:pStyle w:val="Compact"/>
              <w:jc w:val="left"/>
            </w:pPr>
            <w:r>
              <w:t xml:space="preserve">Peak egress (API, excluding images)</w:t>
            </w:r>
          </w:p>
        </w:tc>
        <w:tc>
          <w:tcPr/>
          <w:p>
            <w:pPr>
              <w:pStyle w:val="Compact"/>
              <w:jc w:val="left"/>
            </w:pPr>
            <w:r>
              <w:t xml:space="preserve">~1.1 Gbps</w:t>
            </w:r>
          </w:p>
        </w:tc>
        <w:tc>
          <w:tcPr/>
          <w:p>
            <w:pPr>
              <w:pStyle w:val="Compact"/>
              <w:jc w:val="left"/>
            </w:pPr>
            <w:r>
              <w:t xml:space="preserve">CDN for images; 10 Gbps load balancer links</w:t>
            </w:r>
          </w:p>
        </w:tc>
      </w:tr>
    </w:tbl>
    <w:p>
      <w:pPr>
        <w:pStyle w:val="CalloutExample"/>
      </w:pPr>
      <w:r>
        <w:rPr>
          <w:bCs/>
          <w:b/>
        </w:rPr>
        <w:t xml:space="preserve">Engineering implication.</w:t>
      </w:r>
      <w:r>
        <w:t xml:space="preserve"> </w:t>
      </w:r>
      <w:r>
        <w:t xml:space="preserve">The estimate confirms the decomposition in Figure 2.2. It also justifies the one deviation from the monolith in §2.8: location must scale independently because it carries about 83× the write rate of orders. Nothing here needs partitioning yet, and that is as important to know as what does.</w:t>
      </w:r>
    </w:p>
    <w:p>
      <w:pPr>
        <w:pStyle w:val="CalloutMistake"/>
      </w:pPr>
      <w:r>
        <w:rPr>
          <w:bCs/>
          <w:b/>
        </w:rPr>
        <w:t xml:space="preserve">COMMON MISTAKE</w:t>
      </w:r>
    </w:p>
    <w:p>
      <w:pPr>
        <w:pStyle w:val="CalloutMistake"/>
      </w:pPr>
      <w:r>
        <w:rPr>
          <w:bCs/>
          <w:b/>
        </w:rPr>
        <w:t xml:space="preserve">“</w:t>
      </w:r>
      <w:r>
        <w:rPr>
          <w:bCs/>
          <w:b/>
        </w:rPr>
        <w:t xml:space="preserve">Estimation needs precise numbers.</w:t>
      </w:r>
      <w:r>
        <w:rPr>
          <w:bCs/>
          <w:b/>
        </w:rPr>
        <w:t xml:space="preserve">”</w:t>
      </w:r>
      <w:r>
        <w:t xml:space="preserve"> </w:t>
      </w:r>
      <w:r>
        <w:t xml:space="preserve">Round aggressively: 86,400 ≈ 10⁵ seconds per day is fine for a first pass. What matters is stating assumptions, keeping units consistent and reaching the right power of ten. Spending ten minutes on the third significant digit while never computing peak load is the classic mistake.</w:t>
      </w:r>
    </w:p>
    <w:bookmarkEnd w:id="235"/>
    <w:bookmarkEnd w:id="236"/>
    <w:bookmarkEnd w:id="237"/>
    <w:bookmarkStart w:id="250" w:name="architecture-documentation"/>
    <w:p>
      <w:pPr>
        <w:pStyle w:val="Heading2"/>
      </w:pPr>
      <w:r>
        <w:t xml:space="preserve">2.12 Architecture documentation</w:t>
      </w:r>
    </w:p>
    <w:bookmarkStart w:id="240" w:name="structure-and-rationale"/>
    <w:p>
      <w:pPr>
        <w:pStyle w:val="Heading3"/>
      </w:pPr>
      <w:r>
        <w:t xml:space="preserve">2.12.1 Structure and rationale</w:t>
      </w:r>
    </w:p>
    <w:p>
      <w:pPr>
        <w:pStyle w:val="CalloutDefinition"/>
      </w:pPr>
      <w:r>
        <w:rPr>
          <w:bCs/>
          <w:b/>
        </w:rPr>
        <w:t xml:space="preserve">DEFINITION</w:t>
      </w:r>
    </w:p>
    <w:p>
      <w:pPr>
        <w:pStyle w:val="CalloutDefinition"/>
      </w:pPr>
      <w:r>
        <w:rPr>
          <w:bCs/>
          <w:b/>
        </w:rPr>
        <w:t xml:space="preserve">Definition — Architecture documentation.</w:t>
      </w:r>
      <w:r>
        <w:t xml:space="preserve"> </w:t>
      </w:r>
      <w:r>
        <w:t xml:space="preserve">The written and diagrammed record of a system’s structure and of the decisions that shaped it. It is written so that people who were not in the room (new team members, reviewers, your future self) can understand</w:t>
      </w:r>
      <w:r>
        <w:t xml:space="preserve"> </w:t>
      </w:r>
      <w:r>
        <w:rPr>
          <w:iCs/>
          <w:i/>
        </w:rPr>
        <w:t xml:space="preserve">what</w:t>
      </w:r>
      <w:r>
        <w:t xml:space="preserve"> </w:t>
      </w:r>
      <w:r>
        <w:t xml:space="preserve">the system is and</w:t>
      </w:r>
      <w:r>
        <w:t xml:space="preserve"> </w:t>
      </w:r>
      <w:r>
        <w:rPr>
          <w:iCs/>
          <w:i/>
        </w:rPr>
        <w:t xml:space="preserve">why</w:t>
      </w:r>
      <w:r>
        <w:t xml:space="preserve"> </w:t>
      </w:r>
      <w:r>
        <w:t xml:space="preserve">it is that way.</w:t>
      </w:r>
    </w:p>
    <w:bookmarkStart w:id="238" w:name="first-principles-explanation-18"/>
    <w:p>
      <w:pPr>
        <w:pStyle w:val="Heading4"/>
      </w:pPr>
      <w:r>
        <w:t xml:space="preserve">First-principles explanation</w:t>
      </w:r>
    </w:p>
    <w:p>
      <w:pPr>
        <w:pStyle w:val="FirstParagraph"/>
      </w:pPr>
      <w:r>
        <w:t xml:space="preserve">A map of a city at one scale cannot answer every question. You need a country map to see where the city is, a city map to see districts, and a street map to find a door. Architecture documentation works the same way: diagrams at several zoom levels for</w:t>
      </w:r>
      <w:r>
        <w:t xml:space="preserve"> </w:t>
      </w:r>
      <w:r>
        <w:rPr>
          <w:iCs/>
          <w:i/>
        </w:rPr>
        <w:t xml:space="preserve">structure</w:t>
      </w:r>
      <w:r>
        <w:t xml:space="preserve">, and a logbook of decisions for</w:t>
      </w:r>
      <w:r>
        <w:t xml:space="preserve"> </w:t>
      </w:r>
      <w:r>
        <w:rPr>
          <w:iCs/>
          <w:i/>
        </w:rPr>
        <w:t xml:space="preserve">reasons</w:t>
      </w:r>
      <w:r>
        <w:t xml:space="preserve">. Without the logbook, the next team sees a strange design choice and</w:t>
      </w:r>
      <w:r>
        <w:t xml:space="preserve"> </w:t>
      </w:r>
      <w:r>
        <w:t xml:space="preserve">“</w:t>
      </w:r>
      <w:r>
        <w:t xml:space="preserve">fixes</w:t>
      </w:r>
      <w:r>
        <w:t xml:space="preserve">”</w:t>
      </w:r>
      <w:r>
        <w:t xml:space="preserve"> </w:t>
      </w:r>
      <w:r>
        <w:t xml:space="preserve">it, reintroducing the problem it solved.</w:t>
      </w:r>
    </w:p>
    <w:bookmarkEnd w:id="238"/>
    <w:bookmarkStart w:id="239" w:name="why-does-this-exist-16"/>
    <w:p>
      <w:pPr>
        <w:pStyle w:val="Heading4"/>
      </w:pPr>
      <w:r>
        <w:t xml:space="preserve">Why does this exist?</w:t>
      </w:r>
    </w:p>
    <w:p>
      <w:pPr>
        <w:pStyle w:val="FirstParagraph"/>
      </w:pPr>
      <w:r>
        <w:t xml:space="preserve">Knowledge in heads leaves when people do. Design decisions also tend to be revisited endlessly when their reasons are not written down. Three lightweight artifacts cover most needs:</w:t>
      </w:r>
    </w:p>
    <w:p>
      <w:pPr>
        <w:pStyle w:val="BodyText"/>
      </w:pPr>
      <w:r>
        <w:rPr>
          <w:bCs/>
          <w:b/>
        </w:rPr>
        <w:t xml:space="preserve">Table 2.19 — Three architecture documentation artifacts.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Artifact</w:t>
            </w:r>
          </w:p>
        </w:tc>
        <w:tc>
          <w:tcPr/>
          <w:p>
            <w:pPr>
              <w:pStyle w:val="Compact"/>
              <w:jc w:val="left"/>
            </w:pPr>
            <w:r>
              <w:t xml:space="preserve">Answers</w:t>
            </w:r>
          </w:p>
        </w:tc>
        <w:tc>
          <w:tcPr/>
          <w:p>
            <w:pPr>
              <w:pStyle w:val="Compact"/>
              <w:jc w:val="left"/>
            </w:pPr>
            <w:r>
              <w:t xml:space="preserve">Written when</w:t>
            </w:r>
          </w:p>
        </w:tc>
        <w:tc>
          <w:tcPr/>
          <w:p>
            <w:pPr>
              <w:pStyle w:val="Compact"/>
              <w:jc w:val="left"/>
            </w:pPr>
            <w:r>
              <w:t xml:space="preserve">Lifetime</w:t>
            </w:r>
          </w:p>
        </w:tc>
      </w:tr>
      <w:tr>
        <w:tc>
          <w:tcPr/>
          <w:p>
            <w:pPr>
              <w:pStyle w:val="Compact"/>
              <w:jc w:val="left"/>
            </w:pPr>
            <w:r>
              <w:t xml:space="preserve">C4 diagrams</w:t>
            </w:r>
          </w:p>
        </w:tc>
        <w:tc>
          <w:tcPr/>
          <w:p>
            <w:pPr>
              <w:pStyle w:val="Compact"/>
              <w:jc w:val="left"/>
            </w:pPr>
            <w:r>
              <w:t xml:space="preserve">What are the parts and how do they connect, at each zoom level?</w:t>
            </w:r>
          </w:p>
        </w:tc>
        <w:tc>
          <w:tcPr/>
          <w:p>
            <w:pPr>
              <w:pStyle w:val="Compact"/>
              <w:jc w:val="left"/>
            </w:pPr>
            <w:r>
              <w:t xml:space="preserve">Before building; updated as the system changes</w:t>
            </w:r>
          </w:p>
        </w:tc>
        <w:tc>
          <w:tcPr/>
          <w:p>
            <w:pPr>
              <w:pStyle w:val="Compact"/>
              <w:jc w:val="left"/>
            </w:pPr>
            <w:r>
              <w:t xml:space="preserve">Living</w:t>
            </w:r>
          </w:p>
        </w:tc>
      </w:tr>
      <w:tr>
        <w:tc>
          <w:tcPr/>
          <w:p>
            <w:pPr>
              <w:pStyle w:val="Compact"/>
              <w:jc w:val="left"/>
            </w:pPr>
            <w:r>
              <w:t xml:space="preserve">Design document</w:t>
            </w:r>
          </w:p>
        </w:tc>
        <w:tc>
          <w:tcPr/>
          <w:p>
            <w:pPr>
              <w:pStyle w:val="Compact"/>
              <w:jc w:val="left"/>
            </w:pPr>
            <w:r>
              <w:t xml:space="preserve">What problem, what design, what alternatives, what risks?</w:t>
            </w:r>
          </w:p>
        </w:tc>
        <w:tc>
          <w:tcPr/>
          <w:p>
            <w:pPr>
              <w:pStyle w:val="Compact"/>
              <w:jc w:val="left"/>
            </w:pPr>
            <w:r>
              <w:t xml:space="preserve">Before a significant piece of work</w:t>
            </w:r>
          </w:p>
        </w:tc>
        <w:tc>
          <w:tcPr/>
          <w:p>
            <w:pPr>
              <w:pStyle w:val="Compact"/>
              <w:jc w:val="left"/>
            </w:pPr>
            <w:r>
              <w:t xml:space="preserve">Snapshot, then archived</w:t>
            </w:r>
          </w:p>
        </w:tc>
      </w:tr>
      <w:tr>
        <w:tc>
          <w:tcPr/>
          <w:p>
            <w:pPr>
              <w:pStyle w:val="Compact"/>
              <w:jc w:val="left"/>
            </w:pPr>
            <w:r>
              <w:t xml:space="preserve">Architecture Decision Record (ADR)</w:t>
            </w:r>
          </w:p>
        </w:tc>
        <w:tc>
          <w:tcPr/>
          <w:p>
            <w:pPr>
              <w:pStyle w:val="Compact"/>
              <w:jc w:val="left"/>
            </w:pPr>
            <w:r>
              <w:t xml:space="preserve">What did we decide, in what context, with what consequences?</w:t>
            </w:r>
          </w:p>
        </w:tc>
        <w:tc>
          <w:tcPr/>
          <w:p>
            <w:pPr>
              <w:pStyle w:val="Compact"/>
              <w:jc w:val="left"/>
            </w:pPr>
            <w:r>
              <w:t xml:space="preserve">At each significant decision</w:t>
            </w:r>
          </w:p>
        </w:tc>
        <w:tc>
          <w:tcPr/>
          <w:p>
            <w:pPr>
              <w:pStyle w:val="Compact"/>
              <w:jc w:val="left"/>
            </w:pPr>
            <w:r>
              <w:t xml:space="preserve">Immutable; superseded, never edited</w:t>
            </w:r>
          </w:p>
        </w:tc>
      </w:tr>
    </w:tbl>
    <w:bookmarkEnd w:id="239"/>
    <w:bookmarkEnd w:id="240"/>
    <w:bookmarkStart w:id="244" w:name="the-c4-model"/>
    <w:p>
      <w:pPr>
        <w:pStyle w:val="Heading3"/>
      </w:pPr>
      <w:r>
        <w:t xml:space="preserve">2.12.2 The C4 model</w:t>
      </w:r>
    </w:p>
    <w:p>
      <w:pPr>
        <w:pStyle w:val="FirstParagraph"/>
      </w:pPr>
      <w:r>
        <w:t xml:space="preserve">The</w:t>
      </w:r>
      <w:r>
        <w:t xml:space="preserve"> </w:t>
      </w:r>
      <w:r>
        <w:rPr>
          <w:bCs/>
          <w:b/>
        </w:rPr>
        <w:t xml:space="preserve">C4 model</w:t>
      </w:r>
      <w:r>
        <w:t xml:space="preserve">, created by Simon Brown, describes a software system at four zoom levels [Brown C4]:</w:t>
      </w:r>
    </w:p>
    <w:p>
      <w:pPr>
        <w:numPr>
          <w:ilvl w:val="0"/>
          <w:numId w:val="1057"/>
        </w:numPr>
        <w:pStyle w:val="Compact"/>
      </w:pPr>
      <w:r>
        <w:rPr>
          <w:bCs/>
          <w:b/>
        </w:rPr>
        <w:t xml:space="preserve">Context.</w:t>
      </w:r>
      <w:r>
        <w:t xml:space="preserve"> </w:t>
      </w:r>
      <w:r>
        <w:t xml:space="preserve">The system as one box, with its users and external systems (Figure 2.3).</w:t>
      </w:r>
    </w:p>
    <w:p>
      <w:pPr>
        <w:numPr>
          <w:ilvl w:val="0"/>
          <w:numId w:val="1057"/>
        </w:numPr>
        <w:pStyle w:val="Compact"/>
      </w:pPr>
      <w:r>
        <w:rPr>
          <w:bCs/>
          <w:b/>
        </w:rPr>
        <w:t xml:space="preserve">Containers.</w:t>
      </w:r>
      <w:r>
        <w:t xml:space="preserve"> </w:t>
      </w:r>
      <w:r>
        <w:t xml:space="preserve">The separately deployable or runnable units (applications, databases, queues) and the technologies and protocols between them. In C4,</w:t>
      </w:r>
      <w:r>
        <w:t xml:space="preserve"> </w:t>
      </w:r>
      <w:r>
        <w:t xml:space="preserve">“</w:t>
      </w:r>
      <w:r>
        <w:t xml:space="preserve">container</w:t>
      </w:r>
      <w:r>
        <w:t xml:space="preserve">”</w:t>
      </w:r>
      <w:r>
        <w:t xml:space="preserve"> </w:t>
      </w:r>
      <w:r>
        <w:t xml:space="preserve">means a runtime unit, not specifically a Docker container.</w:t>
      </w:r>
    </w:p>
    <w:p>
      <w:pPr>
        <w:numPr>
          <w:ilvl w:val="0"/>
          <w:numId w:val="1057"/>
        </w:numPr>
        <w:pStyle w:val="Compact"/>
      </w:pPr>
      <w:r>
        <w:rPr>
          <w:bCs/>
          <w:b/>
        </w:rPr>
        <w:t xml:space="preserve">Components.</w:t>
      </w:r>
      <w:r>
        <w:t xml:space="preserve"> </w:t>
      </w:r>
      <w:r>
        <w:t xml:space="preserve">The major building blocks inside one container.</w:t>
      </w:r>
    </w:p>
    <w:p>
      <w:pPr>
        <w:numPr>
          <w:ilvl w:val="0"/>
          <w:numId w:val="1057"/>
        </w:numPr>
        <w:pStyle w:val="Compact"/>
      </w:pPr>
      <w:r>
        <w:rPr>
          <w:bCs/>
          <w:b/>
        </w:rPr>
        <w:t xml:space="preserve">Code.</w:t>
      </w:r>
      <w:r>
        <w:t xml:space="preserve"> </w:t>
      </w:r>
      <w:r>
        <w:t xml:space="preserve">Classes and functions. This level is usually generated from code or skipped.</w:t>
      </w:r>
    </w:p>
    <w:p>
      <w:pPr>
        <w:pStyle w:val="FirstParagraph"/>
      </w:pPr>
      <w:r>
        <w:t xml:space="preserve">This book draws C4 views with standard flowchart diagrams rather than an experimental C4 diagram syntax (see the style guide).</w:t>
      </w:r>
    </w:p>
    <w:p>
      <w:pPr>
        <w:pStyle w:val="BodyText"/>
      </w:pPr>
      <w:r>
        <w:rPr>
          <w:bCs/>
          <w:b/>
        </w:rPr>
        <w:t xml:space="preserve">Figure 2.7 — QuickBite C4 container view, after the §2.8 decision.</w:t>
      </w:r>
    </w:p>
    <w:p>
      <w:pPr>
        <w:pStyle w:val="BodyText"/>
      </w:pPr>
      <w:r>
        <w:drawing>
          <wp:inline>
            <wp:extent cx="5334000" cy="1831226"/>
            <wp:effectExtent b="0" l="0" r="0" t="0"/>
            <wp:docPr descr="" title="" id="242" name="Picture"/>
            <a:graphic>
              <a:graphicData uri="http://schemas.openxmlformats.org/drawingml/2006/picture">
                <pic:pic>
                  <pic:nvPicPr>
                    <pic:cNvPr descr="/home/user/System-Design/build/.cache/diagrams/3d5790977325.png" id="243" name="Picture"/>
                    <pic:cNvPicPr>
                      <a:picLocks noChangeArrowheads="1" noChangeAspect="1"/>
                    </pic:cNvPicPr>
                  </pic:nvPicPr>
                  <pic:blipFill>
                    <a:blip r:embed="rId241"/>
                    <a:stretch>
                      <a:fillRect/>
                    </a:stretch>
                  </pic:blipFill>
                  <pic:spPr bwMode="auto">
                    <a:xfrm>
                      <a:off x="0" y="0"/>
                      <a:ext cx="5334000" cy="1831226"/>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This is C4 level 2 for QuickBite after the trade-off decision in §2.8. The</w:t>
      </w:r>
      <w:r>
        <w:t xml:space="preserve"> </w:t>
      </w:r>
      <w:r>
        <w:rPr>
          <w:bCs/>
          <w:b/>
        </w:rPr>
        <w:t xml:space="preserve">mobile apps</w:t>
      </w:r>
      <w:r>
        <w:t xml:space="preserve"> </w:t>
      </w:r>
      <w:r>
        <w:t xml:space="preserve">are containers too, because they are separately deployed runtime units. The subgraph is the platform’s deployment boundary, matching the single box in Figure 2.3. The</w:t>
      </w:r>
      <w:r>
        <w:t xml:space="preserve"> </w:t>
      </w:r>
      <w:r>
        <w:rPr>
          <w:bCs/>
          <w:b/>
        </w:rPr>
        <w:t xml:space="preserve">core service</w:t>
      </w:r>
      <w:r>
        <w:t xml:space="preserve"> </w:t>
      </w:r>
      <w:r>
        <w:t xml:space="preserve">is the modular monolith: catalog, orders, payments, dispatch and notifications run in one process with internal module boundaries from Table 2.1. It talks SQL to the relational database (storage boundary for orders and catalog) and does key lookups against an in-memory</w:t>
      </w:r>
      <w:r>
        <w:t xml:space="preserve"> </w:t>
      </w:r>
      <w:r>
        <w:rPr>
          <w:bCs/>
          <w:b/>
        </w:rPr>
        <w:t xml:space="preserve">menu cache</w:t>
      </w:r>
      <w:r>
        <w:t xml:space="preserve">, which keeps 7,000 browse RPS off the database (§2.11). The</w:t>
      </w:r>
      <w:r>
        <w:t xml:space="preserve"> </w:t>
      </w:r>
      <w:r>
        <w:rPr>
          <w:bCs/>
          <w:b/>
        </w:rPr>
        <w:t xml:space="preserve">location service</w:t>
      </w:r>
      <w:r>
        <w:t xml:space="preserve"> </w:t>
      </w:r>
      <w:r>
        <w:t xml:space="preserve">is deployed separately because of its 5,000 writes/s. It stores positions in an in-memory store partitioned by city and learns which courier is on which order from asynchronous order events (dotted). Synchronous paths (solid) are user-facing. Asynchronous paths (dotted) tolerate delay. Failure points match §2.9: the payment provider (external), the relational DB (standby in a second zone) and the event log. Scaling options: add core-service nodes horizontally, add location-store partitions per city, and later extract further modules into services if the tripwires from §2.7 fire.</w:t>
      </w:r>
    </w:p>
    <w:bookmarkEnd w:id="244"/>
    <w:bookmarkStart w:id="245" w:name="design-documents-1"/>
    <w:p>
      <w:pPr>
        <w:pStyle w:val="Heading3"/>
      </w:pPr>
      <w:r>
        <w:t xml:space="preserve">2.12.3 Design documents</w:t>
      </w:r>
    </w:p>
    <w:p>
      <w:pPr>
        <w:pStyle w:val="FirstParagraph"/>
      </w:pPr>
      <w:r>
        <w:t xml:space="preserve">A</w:t>
      </w:r>
      <w:r>
        <w:t xml:space="preserve"> </w:t>
      </w:r>
      <w:r>
        <w:rPr>
          <w:bCs/>
          <w:b/>
        </w:rPr>
        <w:t xml:space="preserve">design document</w:t>
      </w:r>
      <w:r>
        <w:t xml:space="preserve"> </w:t>
      </w:r>
      <w:r>
        <w:t xml:space="preserve">(also called an RFC or a tech spec) is written</w:t>
      </w:r>
      <w:r>
        <w:t xml:space="preserve"> </w:t>
      </w:r>
      <w:r>
        <w:rPr>
          <w:iCs/>
          <w:i/>
        </w:rPr>
        <w:t xml:space="preserve">before</w:t>
      </w:r>
      <w:r>
        <w:t xml:space="preserve"> </w:t>
      </w:r>
      <w:r>
        <w:t xml:space="preserve">significant work, so that reviewers can find problems while changes are still cheap. Google engineers describe a widely copied structure: context and scope, goals and non-goals, the design itself, alternatives considered, and cross-cutting concerns such as security, privacy and observability [Ubl 2020]. A minimal skeleton:</w:t>
      </w:r>
    </w:p>
    <w:p>
      <w:pPr>
        <w:pStyle w:val="SourceCode"/>
      </w:pPr>
      <w:r>
        <w:rPr>
          <w:rStyle w:val="VerbatimChar"/>
        </w:rPr>
        <w:t xml:space="preserve">Title, author(s), reviewers, status, date</w:t>
      </w:r>
      <w:r>
        <w:br/>
      </w:r>
      <w:r>
        <w:rPr>
          <w:rStyle w:val="VerbatimChar"/>
        </w:rPr>
        <w:t xml:space="preserve">1. Context and scope        - what exists today, what problem we solve</w:t>
      </w:r>
      <w:r>
        <w:br/>
      </w:r>
      <w:r>
        <w:rPr>
          <w:rStyle w:val="VerbatimChar"/>
        </w:rPr>
        <w:t xml:space="preserve">2. Goals and non-goals      - testable requirements (Table 2.5 style)</w:t>
      </w:r>
      <w:r>
        <w:br/>
      </w:r>
      <w:r>
        <w:rPr>
          <w:rStyle w:val="VerbatimChar"/>
        </w:rPr>
        <w:t xml:space="preserve">3. Assumptions              - register with confidence and tripwires (Table 2.10)</w:t>
      </w:r>
      <w:r>
        <w:br/>
      </w:r>
      <w:r>
        <w:rPr>
          <w:rStyle w:val="VerbatimChar"/>
        </w:rPr>
        <w:t xml:space="preserve">4. Estimates                - capacity numbers (Table 2.18)</w:t>
      </w:r>
      <w:r>
        <w:br/>
      </w:r>
      <w:r>
        <w:rPr>
          <w:rStyle w:val="VerbatimChar"/>
        </w:rPr>
        <w:t xml:space="preserve">5. Design                   - C4 context and container diagrams; APIs; data model</w:t>
      </w:r>
      <w:r>
        <w:br/>
      </w:r>
      <w:r>
        <w:rPr>
          <w:rStyle w:val="VerbatimChar"/>
        </w:rPr>
        <w:t xml:space="preserve">6. Alternatives considered  - decision matrix, reversibility (Table 2.12, Figure 2.5)</w:t>
      </w:r>
      <w:r>
        <w:br/>
      </w:r>
      <w:r>
        <w:rPr>
          <w:rStyle w:val="VerbatimChar"/>
        </w:rPr>
        <w:t xml:space="preserve">7. Failure modes            - FMEA table (Table 2.15)</w:t>
      </w:r>
      <w:r>
        <w:br/>
      </w:r>
      <w:r>
        <w:rPr>
          <w:rStyle w:val="VerbatimChar"/>
        </w:rPr>
        <w:t xml:space="preserve">8. Cross-cutting concerns   - security, privacy, observability, cost</w:t>
      </w:r>
      <w:r>
        <w:br/>
      </w:r>
      <w:r>
        <w:rPr>
          <w:rStyle w:val="VerbatimChar"/>
        </w:rPr>
        <w:t xml:space="preserve">9. Rollout and migration    - phases, flags, rollback plan</w:t>
      </w:r>
      <w:r>
        <w:br/>
      </w:r>
      <w:r>
        <w:rPr>
          <w:rStyle w:val="VerbatimChar"/>
        </w:rPr>
        <w:t xml:space="preserve">10. Open questions</w:t>
      </w:r>
    </w:p>
    <w:p>
      <w:pPr>
        <w:pStyle w:val="FirstParagraph"/>
      </w:pPr>
      <w:r>
        <w:t xml:space="preserve">What to notice:</w:t>
      </w:r>
    </w:p>
    <w:p>
      <w:pPr>
        <w:numPr>
          <w:ilvl w:val="0"/>
          <w:numId w:val="1058"/>
        </w:numPr>
        <w:pStyle w:val="Compact"/>
      </w:pPr>
      <w:r>
        <w:t xml:space="preserve">Sections 2–7 map directly onto the thinking tools of this chapter. A design document is the written output of the thinking loop in Figure 2.1.</w:t>
      </w:r>
    </w:p>
    <w:p>
      <w:pPr>
        <w:numPr>
          <w:ilvl w:val="0"/>
          <w:numId w:val="1058"/>
        </w:numPr>
        <w:pStyle w:val="Compact"/>
      </w:pPr>
      <w:r>
        <w:t xml:space="preserve">“</w:t>
      </w:r>
      <w:r>
        <w:t xml:space="preserve">Non-goals</w:t>
      </w:r>
      <w:r>
        <w:t xml:space="preserve">”</w:t>
      </w:r>
      <w:r>
        <w:t xml:space="preserve"> </w:t>
      </w:r>
      <w:r>
        <w:t xml:space="preserve">and</w:t>
      </w:r>
      <w:r>
        <w:t xml:space="preserve"> </w:t>
      </w:r>
      <w:r>
        <w:t xml:space="preserve">“</w:t>
      </w:r>
      <w:r>
        <w:t xml:space="preserve">Alternatives considered</w:t>
      </w:r>
      <w:r>
        <w:t xml:space="preserve">”</w:t>
      </w:r>
      <w:r>
        <w:t xml:space="preserve"> </w:t>
      </w:r>
      <w:r>
        <w:t xml:space="preserve">are the sections reviewers value most, because they show what was rejected and why.</w:t>
      </w:r>
    </w:p>
    <w:bookmarkEnd w:id="245"/>
    <w:bookmarkStart w:id="249" w:name="architecture-decision-records"/>
    <w:p>
      <w:pPr>
        <w:pStyle w:val="Heading3"/>
      </w:pPr>
      <w:r>
        <w:t xml:space="preserve">2.12.4 Architecture Decision Records</w:t>
      </w:r>
    </w:p>
    <w:p>
      <w:pPr>
        <w:pStyle w:val="FirstParagraph"/>
      </w:pPr>
      <w:r>
        <w:t xml:space="preserve">An</w:t>
      </w:r>
      <w:r>
        <w:t xml:space="preserve"> </w:t>
      </w:r>
      <w:r>
        <w:rPr>
          <w:bCs/>
          <w:b/>
        </w:rPr>
        <w:t xml:space="preserve">Architecture Decision Record (ADR)</w:t>
      </w:r>
      <w:r>
        <w:t xml:space="preserve"> </w:t>
      </w:r>
      <w:r>
        <w:t xml:space="preserve">is a short text file recording</w:t>
      </w:r>
      <w:r>
        <w:t xml:space="preserve"> </w:t>
      </w:r>
      <w:r>
        <w:rPr>
          <w:iCs/>
          <w:i/>
        </w:rPr>
        <w:t xml:space="preserve">one</w:t>
      </w:r>
      <w:r>
        <w:t xml:space="preserve"> </w:t>
      </w:r>
      <w:r>
        <w:t xml:space="preserve">significant decision. Michael Nygard’s original format has five parts: title, status, context, decision and consequences [Nygard 2011]. ADRs are numbered, stored in the code repository next to the code they affect, and never edited after acceptance. A changed decision gets a</w:t>
      </w:r>
      <w:r>
        <w:t xml:space="preserve"> </w:t>
      </w:r>
      <w:r>
        <w:rPr>
          <w:iCs/>
          <w:i/>
        </w:rPr>
        <w:t xml:space="preserve">new</w:t>
      </w:r>
      <w:r>
        <w:t xml:space="preserve"> </w:t>
      </w:r>
      <w:r>
        <w:t xml:space="preserve">ADR that</w:t>
      </w:r>
      <w:r>
        <w:t xml:space="preserve"> </w:t>
      </w:r>
      <w:r>
        <w:rPr>
          <w:bCs/>
          <w:b/>
        </w:rPr>
        <w:t xml:space="preserve">supersedes</w:t>
      </w:r>
      <w:r>
        <w:t xml:space="preserve"> </w:t>
      </w:r>
      <w:r>
        <w:t xml:space="preserve">the old one, so the history of reasoning is preserved.</w:t>
      </w:r>
    </w:p>
    <w:p>
      <w:pPr>
        <w:pStyle w:val="SourceCode"/>
      </w:pPr>
      <w:r>
        <w:rPr>
          <w:rStyle w:val="VerbatimChar"/>
        </w:rPr>
        <w:t xml:space="preserve">ADR-007: Deploy the location service separately from the core monolith</w:t>
      </w:r>
      <w:r>
        <w:br/>
      </w:r>
      <w:r>
        <w:br/>
      </w:r>
      <w:r>
        <w:rPr>
          <w:rStyle w:val="VerbatimChar"/>
        </w:rPr>
        <w:t xml:space="preserve">Status: Accepted (2026-10-30). Supersedes: none.</w:t>
      </w:r>
      <w:r>
        <w:br/>
      </w:r>
      <w:r>
        <w:br/>
      </w:r>
      <w:r>
        <w:rPr>
          <w:rStyle w:val="VerbatimChar"/>
        </w:rPr>
        <w:t xml:space="preserve">Context: Peak location writes are estimated at 5,000/s, about 83x peak order</w:t>
      </w:r>
      <w:r>
        <w:br/>
      </w:r>
      <w:r>
        <w:rPr>
          <w:rStyle w:val="VerbatimChar"/>
        </w:rPr>
        <w:t xml:space="preserve">writes (design doc section 4). The core service is a modular monolith chosen</w:t>
      </w:r>
      <w:r>
        <w:br/>
      </w:r>
      <w:r>
        <w:rPr>
          <w:rStyle w:val="VerbatimChar"/>
        </w:rPr>
        <w:t xml:space="preserve">by weighted matrix (score 3.90 vs 3.35 for microservices; robust to +/-10 pt</w:t>
      </w:r>
      <w:r>
        <w:br/>
      </w:r>
      <w:r>
        <w:rPr>
          <w:rStyle w:val="VerbatimChar"/>
        </w:rPr>
        <w:t xml:space="preserve">weight changes). Location is the only module whose load profile differs by</w:t>
      </w:r>
      <w:r>
        <w:br/>
      </w:r>
      <w:r>
        <w:rPr>
          <w:rStyle w:val="VerbatimChar"/>
        </w:rPr>
        <w:t xml:space="preserve">more than 10x from the rest.</w:t>
      </w:r>
      <w:r>
        <w:br/>
      </w:r>
      <w:r>
        <w:br/>
      </w:r>
      <w:r>
        <w:rPr>
          <w:rStyle w:val="VerbatimChar"/>
        </w:rPr>
        <w:t xml:space="preserve">Decision: Run the location module as its own deployable service with its own</w:t>
      </w:r>
      <w:r>
        <w:br/>
      </w:r>
      <w:r>
        <w:rPr>
          <w:rStyle w:val="VerbatimChar"/>
        </w:rPr>
        <w:t xml:space="preserve">in-memory, city-partitioned store. All other modules remain in the monolith.</w:t>
      </w:r>
      <w:r>
        <w:br/>
      </w:r>
      <w:r>
        <w:br/>
      </w:r>
      <w:r>
        <w:rPr>
          <w:rStyle w:val="VerbatimChar"/>
        </w:rPr>
        <w:t xml:space="preserve">Consequences: (+) location scales independently; a location outage cannot</w:t>
      </w:r>
      <w:r>
        <w:br/>
      </w:r>
      <w:r>
        <w:rPr>
          <w:rStyle w:val="VerbatimChar"/>
        </w:rPr>
        <w:t xml:space="preserve">block checkout. (-) one more deployment pipeline and on-call surface; courier</w:t>
      </w:r>
      <w:r>
        <w:br/>
      </w:r>
      <w:r>
        <w:rPr>
          <w:rStyle w:val="VerbatimChar"/>
        </w:rPr>
        <w:t xml:space="preserve">assignment data reaches it asynchronously, with seconds of lag.</w:t>
      </w:r>
      <w:r>
        <w:br/>
      </w:r>
      <w:r>
        <w:rPr>
          <w:rStyle w:val="VerbatimChar"/>
        </w:rPr>
        <w:t xml:space="preserve">Revisit if: engineering headcount exceeds 30, or another module's peak load</w:t>
      </w:r>
      <w:r>
        <w:br/>
      </w:r>
      <w:r>
        <w:rPr>
          <w:rStyle w:val="VerbatimChar"/>
        </w:rPr>
        <w:t xml:space="preserve">exceeds 1,000 writes/s.</w:t>
      </w:r>
    </w:p>
    <w:p>
      <w:pPr>
        <w:pStyle w:val="FirstParagraph"/>
      </w:pPr>
      <w:r>
        <w:t xml:space="preserve">What to notice:</w:t>
      </w:r>
    </w:p>
    <w:p>
      <w:pPr>
        <w:numPr>
          <w:ilvl w:val="0"/>
          <w:numId w:val="1059"/>
        </w:numPr>
        <w:pStyle w:val="Compact"/>
      </w:pPr>
      <w:r>
        <w:t xml:space="preserve">The</w:t>
      </w:r>
      <w:r>
        <w:t xml:space="preserve"> </w:t>
      </w:r>
      <w:r>
        <w:rPr>
          <w:bCs/>
          <w:b/>
        </w:rPr>
        <w:t xml:space="preserve">context</w:t>
      </w:r>
      <w:r>
        <w:t xml:space="preserve"> </w:t>
      </w:r>
      <w:r>
        <w:t xml:space="preserve">carries the numbers and assumptions. Without them, a future reader cannot tell whether the decision is still valid.</w:t>
      </w:r>
    </w:p>
    <w:p>
      <w:pPr>
        <w:numPr>
          <w:ilvl w:val="0"/>
          <w:numId w:val="1059"/>
        </w:numPr>
        <w:pStyle w:val="Compact"/>
      </w:pPr>
      <w:r>
        <w:rPr>
          <w:bCs/>
          <w:b/>
        </w:rPr>
        <w:t xml:space="preserve">Consequences</w:t>
      </w:r>
      <w:r>
        <w:t xml:space="preserve"> </w:t>
      </w:r>
      <w:r>
        <w:t xml:space="preserve">list the downsides honestly. An ADR with only positives is a sales pitch, not a record.</w:t>
      </w:r>
    </w:p>
    <w:p>
      <w:pPr>
        <w:numPr>
          <w:ilvl w:val="0"/>
          <w:numId w:val="1059"/>
        </w:numPr>
        <w:pStyle w:val="Compact"/>
      </w:pPr>
      <w:r>
        <w:t xml:space="preserve">“</w:t>
      </w:r>
      <w:r>
        <w:t xml:space="preserve">Revisit if</w:t>
      </w:r>
      <w:r>
        <w:t xml:space="preserve">”</w:t>
      </w:r>
      <w:r>
        <w:t xml:space="preserve"> </w:t>
      </w:r>
      <w:r>
        <w:t xml:space="preserve">turns the assumption tripwires of §2.7 into an explicit trigger.</w:t>
      </w:r>
    </w:p>
    <w:p>
      <w:pPr>
        <w:pStyle w:val="FirstParagraph"/>
      </w:pPr>
      <w:r>
        <w:rPr>
          <w:bCs/>
          <w:b/>
        </w:rPr>
        <w:t xml:space="preserve">Figure 2.8 — ADR life cycle.</w:t>
      </w:r>
    </w:p>
    <w:p>
      <w:pPr>
        <w:pStyle w:val="BodyText"/>
      </w:pPr>
      <w:r>
        <w:drawing>
          <wp:inline>
            <wp:extent cx="5334000" cy="4708634"/>
            <wp:effectExtent b="0" l="0" r="0" t="0"/>
            <wp:docPr descr="" title="" id="247" name="Picture"/>
            <a:graphic>
              <a:graphicData uri="http://schemas.openxmlformats.org/drawingml/2006/picture">
                <pic:pic>
                  <pic:nvPicPr>
                    <pic:cNvPr descr="/home/user/System-Design/build/.cache/diagrams/07ee92cd0a2d.png" id="248" name="Picture"/>
                    <pic:cNvPicPr>
                      <a:picLocks noChangeArrowheads="1" noChangeAspect="1"/>
                    </pic:cNvPicPr>
                  </pic:nvPicPr>
                  <pic:blipFill>
                    <a:blip r:embed="rId246"/>
                    <a:stretch>
                      <a:fillRect/>
                    </a:stretch>
                  </pic:blipFill>
                  <pic:spPr bwMode="auto">
                    <a:xfrm>
                      <a:off x="0" y="0"/>
                      <a:ext cx="5334000" cy="4708634"/>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Each state is the</w:t>
      </w:r>
      <w:r>
        <w:t xml:space="preserve"> </w:t>
      </w:r>
      <w:r>
        <w:rPr>
          <w:iCs/>
          <w:i/>
        </w:rPr>
        <w:t xml:space="preserve">status</w:t>
      </w:r>
      <w:r>
        <w:t xml:space="preserve"> </w:t>
      </w:r>
      <w:r>
        <w:t xml:space="preserve">field of an ADR, not a running software component. An ADR starts as</w:t>
      </w:r>
      <w:r>
        <w:t xml:space="preserve"> </w:t>
      </w:r>
      <w:r>
        <w:rPr>
          <w:bCs/>
          <w:b/>
        </w:rPr>
        <w:t xml:space="preserve">Proposed</w:t>
      </w:r>
      <w:r>
        <w:t xml:space="preserve">, often in a pull request, so that review happens with the usual code-review tooling. Review moves it to</w:t>
      </w:r>
      <w:r>
        <w:t xml:space="preserve"> </w:t>
      </w:r>
      <w:r>
        <w:rPr>
          <w:bCs/>
          <w:b/>
        </w:rPr>
        <w:t xml:space="preserve">Accepted</w:t>
      </w:r>
      <w:r>
        <w:t xml:space="preserve"> </w:t>
      </w:r>
      <w:r>
        <w:t xml:space="preserve">or</w:t>
      </w:r>
      <w:r>
        <w:t xml:space="preserve"> </w:t>
      </w:r>
      <w:r>
        <w:rPr>
          <w:bCs/>
          <w:b/>
        </w:rPr>
        <w:t xml:space="preserve">Rejected</w:t>
      </w:r>
      <w:r>
        <w:t xml:space="preserve">. Rejected ADRs are kept, because knowing an option was considered and declined saves future debate. An accepted ADR is never rewritten. When circumstances change it becomes</w:t>
      </w:r>
      <w:r>
        <w:t xml:space="preserve"> </w:t>
      </w:r>
      <w:r>
        <w:rPr>
          <w:bCs/>
          <w:b/>
        </w:rPr>
        <w:t xml:space="preserve">Superseded</w:t>
      </w:r>
      <w:r>
        <w:t xml:space="preserve">, with a link to the new ADR, or</w:t>
      </w:r>
      <w:r>
        <w:t xml:space="preserve"> </w:t>
      </w:r>
      <w:r>
        <w:rPr>
          <w:bCs/>
          <w:b/>
        </w:rPr>
        <w:t xml:space="preserve">Deprecated</w:t>
      </w:r>
      <w:r>
        <w:t xml:space="preserve"> </w:t>
      </w:r>
      <w:r>
        <w:t xml:space="preserve">if the thing it governed no longer exists. All transitions are human, asynchronous actions. The failure mode is decay: ADRs that are never updated to Superseded make the record misleading, so check ADR status during design reviews.</w:t>
      </w:r>
    </w:p>
    <w:p>
      <w:pPr>
        <w:pStyle w:val="CalloutIndustry"/>
      </w:pPr>
      <w:r>
        <w:rPr>
          <w:bCs/>
          <w:b/>
        </w:rPr>
        <w:t xml:space="preserve">INDUSTRY EXAMPLE</w:t>
      </w:r>
    </w:p>
    <w:p>
      <w:pPr>
        <w:pStyle w:val="CalloutIndustry"/>
      </w:pPr>
      <w:r>
        <w:rPr>
          <w:bCs/>
          <w:b/>
        </w:rPr>
        <w:t xml:space="preserve">ADRs and C4 in practice.</w:t>
      </w:r>
      <w:r>
        <w:t xml:space="preserve"> </w:t>
      </w:r>
      <w:r>
        <w:t xml:space="preserve">Nygard’s 2011 post proposed ADRs as a lightweight alternative to large architecture documents that nobody reads, and the format has since spread widely, with open-source templates and tooling. Simon Brown’s C4 model is likewise published openly with notation guidance and is used to standardize diagrams across teams.</w:t>
      </w:r>
      <w:r>
        <w:t xml:space="preserve"> </w:t>
      </w:r>
      <w:r>
        <w:rPr>
          <w:iCs/>
          <w:i/>
        </w:rPr>
        <w:t xml:space="preserve">Evidence: Primary</w:t>
      </w:r>
      <w:r>
        <w:t xml:space="preserve"> </w:t>
      </w:r>
      <w:r>
        <w:t xml:space="preserve">— [Nygard 2011], [Brown C4]</w:t>
      </w:r>
    </w:p>
    <w:p>
      <w:pPr>
        <w:pStyle w:val="BodyText"/>
      </w:pPr>
      <w:r>
        <w:rPr>
          <w:bCs/>
          <w:b/>
        </w:rPr>
        <w:t xml:space="preserve">Table 2.20 — Documentation 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Diagram drift</w:t>
            </w:r>
          </w:p>
        </w:tc>
        <w:tc>
          <w:tcPr/>
          <w:p>
            <w:pPr>
              <w:pStyle w:val="Compact"/>
              <w:jc w:val="left"/>
            </w:pPr>
            <w:r>
              <w:t xml:space="preserve">Diagrams not updated with the code</w:t>
            </w:r>
          </w:p>
        </w:tc>
        <w:tc>
          <w:tcPr/>
          <w:p>
            <w:pPr>
              <w:pStyle w:val="Compact"/>
              <w:jc w:val="left"/>
            </w:pPr>
            <w:r>
              <w:t xml:space="preserve">New joiners find components missing</w:t>
            </w:r>
          </w:p>
        </w:tc>
        <w:tc>
          <w:tcPr/>
          <w:p>
            <w:pPr>
              <w:pStyle w:val="Compact"/>
              <w:jc w:val="left"/>
            </w:pPr>
            <w:r>
              <w:t xml:space="preserve">Redraw from the running system</w:t>
            </w:r>
          </w:p>
        </w:tc>
        <w:tc>
          <w:tcPr/>
          <w:p>
            <w:pPr>
              <w:pStyle w:val="Compact"/>
              <w:jc w:val="left"/>
            </w:pPr>
            <w:r>
              <w:t xml:space="preserve">Diagrams in the repo; review with code changes</w:t>
            </w:r>
          </w:p>
        </w:tc>
      </w:tr>
      <w:tr>
        <w:tc>
          <w:tcPr/>
          <w:p>
            <w:pPr>
              <w:pStyle w:val="Compact"/>
              <w:jc w:val="left"/>
            </w:pPr>
            <w:r>
              <w:t xml:space="preserve">Lost rationale</w:t>
            </w:r>
          </w:p>
        </w:tc>
        <w:tc>
          <w:tcPr/>
          <w:p>
            <w:pPr>
              <w:pStyle w:val="Compact"/>
              <w:jc w:val="left"/>
            </w:pPr>
            <w:r>
              <w:t xml:space="preserve">Decisions made in chat or meetings</w:t>
            </w:r>
          </w:p>
        </w:tc>
        <w:tc>
          <w:tcPr/>
          <w:p>
            <w:pPr>
              <w:pStyle w:val="Compact"/>
              <w:jc w:val="left"/>
            </w:pPr>
            <w:r>
              <w:t xml:space="preserve">“</w:t>
            </w:r>
            <w:r>
              <w:t xml:space="preserve">Why is it like this?</w:t>
            </w:r>
            <w:r>
              <w:t xml:space="preserve">”</w:t>
            </w:r>
            <w:r>
              <w:t xml:space="preserve"> </w:t>
            </w:r>
            <w:r>
              <w:t xml:space="preserve">has no answer</w:t>
            </w:r>
          </w:p>
        </w:tc>
        <w:tc>
          <w:tcPr/>
          <w:p>
            <w:pPr>
              <w:pStyle w:val="Compact"/>
              <w:jc w:val="left"/>
            </w:pPr>
            <w:r>
              <w:t xml:space="preserve">Write retroactive ADRs</w:t>
            </w:r>
          </w:p>
        </w:tc>
        <w:tc>
          <w:tcPr/>
          <w:p>
            <w:pPr>
              <w:pStyle w:val="Compact"/>
              <w:jc w:val="left"/>
            </w:pPr>
            <w:r>
              <w:t xml:space="preserve">ADR required for one-way doors</w:t>
            </w:r>
          </w:p>
        </w:tc>
      </w:tr>
      <w:tr>
        <w:tc>
          <w:tcPr/>
          <w:p>
            <w:pPr>
              <w:pStyle w:val="Compact"/>
              <w:jc w:val="left"/>
            </w:pPr>
            <w:r>
              <w:t xml:space="preserve">Unreadable tome</w:t>
            </w:r>
          </w:p>
        </w:tc>
        <w:tc>
          <w:tcPr/>
          <w:p>
            <w:pPr>
              <w:pStyle w:val="Compact"/>
              <w:jc w:val="left"/>
            </w:pPr>
            <w:r>
              <w:t xml:space="preserve">80-page document nobody reads</w:t>
            </w:r>
          </w:p>
        </w:tc>
        <w:tc>
          <w:tcPr/>
          <w:p>
            <w:pPr>
              <w:pStyle w:val="Compact"/>
              <w:jc w:val="left"/>
            </w:pPr>
            <w:r>
              <w:t xml:space="preserve">No review comments</w:t>
            </w:r>
          </w:p>
        </w:tc>
        <w:tc>
          <w:tcPr/>
          <w:p>
            <w:pPr>
              <w:pStyle w:val="Compact"/>
              <w:jc w:val="left"/>
            </w:pPr>
            <w:r>
              <w:t xml:space="preserve">Split into C4 views plus ADRs</w:t>
            </w:r>
          </w:p>
        </w:tc>
        <w:tc>
          <w:tcPr/>
          <w:p>
            <w:pPr>
              <w:pStyle w:val="Compact"/>
              <w:jc w:val="left"/>
            </w:pPr>
            <w:r>
              <w:t xml:space="preserve">Keep docs short; link out to details</w:t>
            </w:r>
          </w:p>
        </w:tc>
      </w:tr>
    </w:tbl>
    <w:p>
      <w:pPr>
        <w:pStyle w:val="CalloutMistake"/>
      </w:pPr>
      <w:r>
        <w:rPr>
          <w:bCs/>
          <w:b/>
        </w:rPr>
        <w:t xml:space="preserve">COMMON MISTAKE</w:t>
      </w:r>
    </w:p>
    <w:p>
      <w:pPr>
        <w:pStyle w:val="CalloutMistake"/>
      </w:pPr>
      <w:r>
        <w:rPr>
          <w:bCs/>
          <w:b/>
        </w:rPr>
        <w:t xml:space="preserve">“</w:t>
      </w:r>
      <w:r>
        <w:rPr>
          <w:bCs/>
          <w:b/>
        </w:rPr>
        <w:t xml:space="preserve">Documentation slows us down.</w:t>
      </w:r>
      <w:r>
        <w:rPr>
          <w:bCs/>
          <w:b/>
        </w:rPr>
        <w:t xml:space="preserve">”</w:t>
      </w:r>
      <w:r>
        <w:t xml:space="preserve"> </w:t>
      </w:r>
      <w:r>
        <w:t xml:space="preserve">Writing an ADR takes about half an hour. Re-arguing an undocumented decision, or reversing it by accident, costs days. Document one-way doors always and two-way doors only when they are surprising.</w:t>
      </w:r>
    </w:p>
    <w:bookmarkEnd w:id="249"/>
    <w:bookmarkEnd w:id="250"/>
    <w:bookmarkStart w:id="251" w:name="summary-and-revision-notes-1"/>
    <w:p>
      <w:pPr>
        <w:pStyle w:val="Heading2"/>
      </w:pPr>
      <w:r>
        <w:t xml:space="preserve">2.13 Summary and revision notes</w:t>
      </w:r>
    </w:p>
    <w:p>
      <w:pPr>
        <w:pStyle w:val="CalloutSummary"/>
      </w:pPr>
      <w:r>
        <w:rPr>
          <w:bCs/>
          <w:b/>
        </w:rPr>
        <w:t xml:space="preserve">SUMMARY</w:t>
      </w:r>
    </w:p>
    <w:p>
      <w:pPr>
        <w:numPr>
          <w:ilvl w:val="0"/>
          <w:numId w:val="1060"/>
        </w:numPr>
        <w:pStyle w:val="Compact"/>
      </w:pPr>
      <w:r>
        <w:rPr>
          <w:bCs/>
          <w:b/>
        </w:rPr>
        <w:t xml:space="preserve">Design is a loop, not a line</w:t>
      </w:r>
      <w:r>
        <w:t xml:space="preserve"> </w:t>
      </w:r>
      <w:r>
        <w:t xml:space="preserve">(Figure 2.1): requirements → boundary → assumptions → estimates → decomposition → bottlenecks → failure → trade-offs → documentation, repeated at higher resolution until the design is good enough</w:t>
      </w:r>
      <w:r>
        <w:t xml:space="preserve"> </w:t>
      </w:r>
      <w:r>
        <w:rPr>
          <w:iCs/>
          <w:i/>
        </w:rPr>
        <w:t xml:space="preserve">for the risk</w:t>
      </w:r>
      <w:r>
        <w:t xml:space="preserve">.</w:t>
      </w:r>
    </w:p>
    <w:p>
      <w:pPr>
        <w:numPr>
          <w:ilvl w:val="0"/>
          <w:numId w:val="1060"/>
        </w:numPr>
        <w:pStyle w:val="Compact"/>
      </w:pPr>
      <w:r>
        <w:rPr>
          <w:bCs/>
          <w:b/>
        </w:rPr>
        <w:t xml:space="preserve">Decompose</w:t>
      </w:r>
      <w:r>
        <w:t xml:space="preserve"> </w:t>
      </w:r>
      <w:r>
        <w:t xml:space="preserve">by business capability, data ownership, load profile and likely change (information hiding). One sentence of responsibility per component. One owner per data store.</w:t>
      </w:r>
    </w:p>
    <w:p>
      <w:pPr>
        <w:numPr>
          <w:ilvl w:val="0"/>
          <w:numId w:val="1060"/>
        </w:numPr>
        <w:pStyle w:val="Compact"/>
      </w:pPr>
      <w:r>
        <w:rPr>
          <w:bCs/>
          <w:b/>
        </w:rPr>
        <w:t xml:space="preserve">Draw the boundary first.</w:t>
      </w:r>
      <w:r>
        <w:t xml:space="preserve"> </w:t>
      </w:r>
      <w:r>
        <w:t xml:space="preserve">External systems bring availability, latency, rate limits and costs you do not control. QuickBite’s maps contract ruled out per-listing route calls before any code existed.</w:t>
      </w:r>
    </w:p>
    <w:p>
      <w:pPr>
        <w:numPr>
          <w:ilvl w:val="0"/>
          <w:numId w:val="1060"/>
        </w:numPr>
        <w:pStyle w:val="Compact"/>
      </w:pPr>
      <w:r>
        <w:rPr>
          <w:bCs/>
          <w:b/>
        </w:rPr>
        <w:t xml:space="preserve">Turn adjectives into numbers.</w:t>
      </w:r>
      <w:r>
        <w:t xml:space="preserve"> </w:t>
      </w:r>
      <w:r>
        <w:t xml:space="preserve">“</w:t>
      </w:r>
      <w:r>
        <w:t xml:space="preserve">Never down</w:t>
      </w:r>
      <w:r>
        <w:t xml:space="preserve">”</w:t>
      </w:r>
      <w:r>
        <w:t xml:space="preserve"> </w:t>
      </w:r>
      <w:r>
        <w:t xml:space="preserve">became 99.95% for checkout (21.6 min/month).</w:t>
      </w:r>
      <w:r>
        <w:t xml:space="preserve"> </w:t>
      </w:r>
      <w:r>
        <w:t xml:space="preserve">“</w:t>
      </w:r>
      <w:r>
        <w:t xml:space="preserve">Real-time</w:t>
      </w:r>
      <w:r>
        <w:t xml:space="preserve">”</w:t>
      </w:r>
      <w:r>
        <w:t xml:space="preserve"> </w:t>
      </w:r>
      <w:r>
        <w:t xml:space="preserve">became a 5 s refresh with at most 10 s staleness.</w:t>
      </w:r>
    </w:p>
    <w:p>
      <w:pPr>
        <w:numPr>
          <w:ilvl w:val="0"/>
          <w:numId w:val="1060"/>
        </w:numPr>
        <w:pStyle w:val="Compact"/>
      </w:pPr>
      <w:r>
        <w:rPr>
          <w:bCs/>
          <w:b/>
        </w:rPr>
        <w:t xml:space="preserve">The bottleneck is the resource with the largest demand per unit of capacity.</w:t>
      </w:r>
      <w:r>
        <w:t xml:space="preserve"> </w:t>
      </w:r>
      <w:r>
        <w:t xml:space="preserve">Check CPU, memory, disk, network</w:t>
      </w:r>
      <w:r>
        <w:t xml:space="preserve"> </w:t>
      </w:r>
      <w:r>
        <w:rPr>
          <w:iCs/>
          <w:i/>
        </w:rPr>
        <w:t xml:space="preserve">and</w:t>
      </w:r>
      <w:r>
        <w:t xml:space="preserve"> </w:t>
      </w:r>
      <w:r>
        <w:t xml:space="preserve">software resources (locks, pools). Utilization law:</w:t>
      </w:r>
      <w:r>
        <w:t xml:space="preserve"> </w:t>
      </w:r>
      <m:oMath>
        <m:r>
          <m:t>U</m:t>
        </m:r>
        <m:r>
          <m:rPr>
            <m:sty m:val="p"/>
          </m:rPr>
          <m:t>=</m:t>
        </m:r>
        <m:r>
          <m:t>X</m:t>
        </m:r>
        <m:r>
          <m:rPr>
            <m:sty m:val="p"/>
          </m:rPr>
          <m:t>×</m:t>
        </m:r>
        <m:r>
          <m:t>D</m:t>
        </m:r>
        <m:r>
          <m:rPr>
            <m:sty m:val="p"/>
          </m:rPr>
          <m:t>/</m:t>
        </m:r>
        <m:r>
          <m:t>c</m:t>
        </m:r>
      </m:oMath>
      <w:r>
        <w:t xml:space="preserve">. Little’s Law:</w:t>
      </w:r>
      <w:r>
        <w:t xml:space="preserve"> </w:t>
      </w:r>
      <m:oMath>
        <m:r>
          <m:t>L</m:t>
        </m:r>
        <m:r>
          <m:rPr>
            <m:sty m:val="p"/>
          </m:rPr>
          <m:t>=</m:t>
        </m:r>
        <m:r>
          <m:t>λ</m:t>
        </m:r>
        <m:r>
          <m:t>W</m:t>
        </m:r>
      </m:oMath>
      <w:r>
        <w:t xml:space="preserve">. QuickBite’s checkout was limited by a row lock held across a payment call, not by hardware.</w:t>
      </w:r>
    </w:p>
    <w:p>
      <w:pPr>
        <w:numPr>
          <w:ilvl w:val="0"/>
          <w:numId w:val="1060"/>
        </w:numPr>
        <w:pStyle w:val="Compact"/>
      </w:pPr>
      <w:r>
        <w:rPr>
          <w:bCs/>
          <w:b/>
        </w:rPr>
        <w:t xml:space="preserve">State assumptions</w:t>
      </w:r>
      <w:r>
        <w:t xml:space="preserve"> </w:t>
      </w:r>
      <w:r>
        <w:t xml:space="preserve">with source, confidence, sensitivity and a tripwire. A load-bearing assumption is one where a 10× error changes the design.</w:t>
      </w:r>
    </w:p>
    <w:p>
      <w:pPr>
        <w:numPr>
          <w:ilvl w:val="0"/>
          <w:numId w:val="1060"/>
        </w:numPr>
        <w:pStyle w:val="Compact"/>
      </w:pPr>
      <w:r>
        <w:rPr>
          <w:bCs/>
          <w:b/>
        </w:rPr>
        <w:t xml:space="preserve">Evaluate trade-offs</w:t>
      </w:r>
      <w:r>
        <w:t xml:space="preserve"> </w:t>
      </w:r>
      <w:r>
        <w:t xml:space="preserve">with a weighted matrix plus a sensitivity check. Then classify reversibility: one-way doors get deliberation and an ADR, two-way doors get speed.</w:t>
      </w:r>
    </w:p>
    <w:p>
      <w:pPr>
        <w:numPr>
          <w:ilvl w:val="0"/>
          <w:numId w:val="1060"/>
        </w:numPr>
        <w:pStyle w:val="Compact"/>
      </w:pPr>
      <w:r>
        <w:rPr>
          <w:bCs/>
          <w:b/>
        </w:rPr>
        <w:t xml:space="preserve">Design for failure.</w:t>
      </w:r>
      <w:r>
        <w:t xml:space="preserve"> </w:t>
      </w:r>
      <w:r>
        <w:t xml:space="preserve">Timeouts, idempotent retries, circuit breakers, redundancy across zones, and moving work off the critical path. A series path’s availability is the product of its parts.</w:t>
      </w:r>
    </w:p>
    <w:p>
      <w:pPr>
        <w:numPr>
          <w:ilvl w:val="0"/>
          <w:numId w:val="1060"/>
        </w:numPr>
        <w:pStyle w:val="Compact"/>
      </w:pPr>
      <w:r>
        <w:rPr>
          <w:bCs/>
          <w:b/>
        </w:rPr>
        <w:t xml:space="preserve">Think in orders of magnitude.</w:t>
      </w:r>
      <w:r>
        <w:t xml:space="preserve"> </w:t>
      </w:r>
      <w:r>
        <w:t xml:space="preserve">Each 10× brings qualitatively new problems. Design for the next 10×, keep the following one possible.</w:t>
      </w:r>
    </w:p>
    <w:p>
      <w:pPr>
        <w:numPr>
          <w:ilvl w:val="0"/>
          <w:numId w:val="1060"/>
        </w:numPr>
        <w:pStyle w:val="Compact"/>
      </w:pPr>
      <w:r>
        <w:rPr>
          <w:bCs/>
          <w:b/>
        </w:rPr>
        <w:t xml:space="preserve">Estimate on the back of an envelope.</w:t>
      </w:r>
      <w:r>
        <w:t xml:space="preserve"> </w:t>
      </w:r>
      <w:r>
        <w:t xml:space="preserve">Average → peak → bandwidth → storage → nodes. QuickBite’s heaviest write path is courier location (5,000/s), about 83× its order writes.</w:t>
      </w:r>
    </w:p>
    <w:p>
      <w:pPr>
        <w:numPr>
          <w:ilvl w:val="0"/>
          <w:numId w:val="1060"/>
        </w:numPr>
        <w:pStyle w:val="Compact"/>
      </w:pPr>
      <w:r>
        <w:rPr>
          <w:bCs/>
          <w:b/>
        </w:rPr>
        <w:t xml:space="preserve">Document</w:t>
      </w:r>
      <w:r>
        <w:t xml:space="preserve"> </w:t>
      </w:r>
      <w:r>
        <w:t xml:space="preserve">structure with C4 (context, containers, components, code), plans with design docs, and decisions with immutable, superseding ADRs.</w:t>
      </w:r>
    </w:p>
    <w:bookmarkEnd w:id="251"/>
    <w:bookmarkStart w:id="252" w:name="knowledge-checkpoint-1"/>
    <w:p>
      <w:pPr>
        <w:pStyle w:val="Heading2"/>
      </w:pPr>
      <w:r>
        <w:t xml:space="preserve">2.14 Knowledge checkpoint</w:t>
      </w:r>
    </w:p>
    <w:p>
      <w:pPr>
        <w:numPr>
          <w:ilvl w:val="0"/>
          <w:numId w:val="1061"/>
        </w:numPr>
        <w:pStyle w:val="Compact"/>
      </w:pPr>
      <w:r>
        <w:t xml:space="preserve">Name four criteria for choosing component boundaries.</w:t>
      </w:r>
    </w:p>
    <w:p>
      <w:pPr>
        <w:numPr>
          <w:ilvl w:val="0"/>
          <w:numId w:val="1061"/>
        </w:numPr>
        <w:pStyle w:val="Compact"/>
      </w:pPr>
      <w:r>
        <w:t xml:space="preserve">What does a context diagram deliberately leave out, and why?</w:t>
      </w:r>
    </w:p>
    <w:p>
      <w:pPr>
        <w:numPr>
          <w:ilvl w:val="0"/>
          <w:numId w:val="1061"/>
        </w:numPr>
        <w:pStyle w:val="Compact"/>
      </w:pPr>
      <w:r>
        <w:t xml:space="preserve">Convert</w:t>
      </w:r>
      <w:r>
        <w:t xml:space="preserve"> </w:t>
      </w:r>
      <w:r>
        <w:t xml:space="preserve">“</w:t>
      </w:r>
      <w:r>
        <w:t xml:space="preserve">the site must be fast</w:t>
      </w:r>
      <w:r>
        <w:t xml:space="preserve">”</w:t>
      </w:r>
      <w:r>
        <w:t xml:space="preserve"> </w:t>
      </w:r>
      <w:r>
        <w:t xml:space="preserve">into a testable requirement.</w:t>
      </w:r>
    </w:p>
    <w:p>
      <w:pPr>
        <w:numPr>
          <w:ilvl w:val="0"/>
          <w:numId w:val="1061"/>
        </w:numPr>
        <w:pStyle w:val="Compact"/>
      </w:pPr>
      <w:r>
        <w:t xml:space="preserve">How many minutes of downtime per 30-day month does 99.95% allow?</w:t>
      </w:r>
    </w:p>
    <w:p>
      <w:pPr>
        <w:numPr>
          <w:ilvl w:val="0"/>
          <w:numId w:val="1061"/>
        </w:numPr>
        <w:pStyle w:val="Compact"/>
      </w:pPr>
      <w:r>
        <w:t xml:space="preserve">Which five resource categories make up the resource model?</w:t>
      </w:r>
    </w:p>
    <w:p>
      <w:pPr>
        <w:numPr>
          <w:ilvl w:val="0"/>
          <w:numId w:val="1061"/>
        </w:numPr>
        <w:pStyle w:val="Compact"/>
      </w:pPr>
      <w:r>
        <w:t xml:space="preserve">A database is at 20% CPU but requests time out waiting. What class of bottleneck is most likely?</w:t>
      </w:r>
    </w:p>
    <w:p>
      <w:pPr>
        <w:numPr>
          <w:ilvl w:val="0"/>
          <w:numId w:val="1061"/>
        </w:numPr>
        <w:pStyle w:val="Compact"/>
      </w:pPr>
      <w:r>
        <w:t xml:space="preserve">Each request holds a pooled connection for 250 ms and 100 requests/s arrive. How many connections are busy on average?</w:t>
      </w:r>
    </w:p>
    <w:p>
      <w:pPr>
        <w:numPr>
          <w:ilvl w:val="0"/>
          <w:numId w:val="1061"/>
        </w:numPr>
        <w:pStyle w:val="Compact"/>
      </w:pPr>
      <w:r>
        <w:t xml:space="preserve">What makes an assumption</w:t>
      </w:r>
      <w:r>
        <w:t xml:space="preserve"> </w:t>
      </w:r>
      <w:r>
        <w:t xml:space="preserve">“</w:t>
      </w:r>
      <w:r>
        <w:t xml:space="preserve">load-bearing</w:t>
      </w:r>
      <w:r>
        <w:t xml:space="preserve">”</w:t>
      </w:r>
      <w:r>
        <w:t xml:space="preserve">?</w:t>
      </w:r>
    </w:p>
    <w:p>
      <w:pPr>
        <w:numPr>
          <w:ilvl w:val="0"/>
          <w:numId w:val="1061"/>
        </w:numPr>
        <w:pStyle w:val="Compact"/>
      </w:pPr>
      <w:r>
        <w:t xml:space="preserve">Why run a sensitivity check on a weighted decision matrix?</w:t>
      </w:r>
    </w:p>
    <w:p>
      <w:pPr>
        <w:numPr>
          <w:ilvl w:val="0"/>
          <w:numId w:val="1061"/>
        </w:numPr>
        <w:pStyle w:val="Compact"/>
      </w:pPr>
      <w:r>
        <w:t xml:space="preserve">Give one example each of a one-way door and a two-way door in system design.</w:t>
      </w:r>
    </w:p>
    <w:p>
      <w:pPr>
        <w:numPr>
          <w:ilvl w:val="0"/>
          <w:numId w:val="1061"/>
        </w:numPr>
        <w:pStyle w:val="Compact"/>
      </w:pPr>
      <w:r>
        <w:t xml:space="preserve">Three components in series each have 99.9% availability. What is the path’s availability?</w:t>
      </w:r>
    </w:p>
    <w:p>
      <w:pPr>
        <w:numPr>
          <w:ilvl w:val="0"/>
          <w:numId w:val="1061"/>
        </w:numPr>
        <w:pStyle w:val="Compact"/>
      </w:pPr>
      <w:r>
        <w:t xml:space="preserve">1 million DAU each perform 50 reads per day, 15% of them in the busiest hour. What is the busiest-hour read rate?</w:t>
      </w:r>
    </w:p>
    <w:p>
      <w:pPr>
        <w:numPr>
          <w:ilvl w:val="0"/>
          <w:numId w:val="1061"/>
        </w:numPr>
        <w:pStyle w:val="Compact"/>
      </w:pPr>
      <w:r>
        <w:t xml:space="preserve">What are the four levels of the C4 model?</w:t>
      </w:r>
    </w:p>
    <w:p>
      <w:pPr>
        <w:numPr>
          <w:ilvl w:val="0"/>
          <w:numId w:val="1061"/>
        </w:numPr>
        <w:pStyle w:val="Compact"/>
      </w:pPr>
      <w:r>
        <w:t xml:space="preserve">Why is an accepted ADR never edited?</w:t>
      </w:r>
    </w:p>
    <w:p>
      <w:pPr>
        <w:pStyle w:val="FirstParagraph"/>
      </w:pPr>
      <w:r>
        <w:t xml:space="preserve">Answers</w:t>
      </w:r>
    </w:p>
    <w:p>
      <w:pPr>
        <w:numPr>
          <w:ilvl w:val="0"/>
          <w:numId w:val="1062"/>
        </w:numPr>
        <w:pStyle w:val="Compact"/>
      </w:pPr>
      <w:r>
        <w:t xml:space="preserve">Business capability, data ownership, load profile or rate of change, consistency need, and likely future change (information hiding). Any four.</w:t>
      </w:r>
    </w:p>
    <w:p>
      <w:pPr>
        <w:numPr>
          <w:ilvl w:val="0"/>
          <w:numId w:val="1062"/>
        </w:numPr>
        <w:pStyle w:val="Compact"/>
      </w:pPr>
      <w:r>
        <w:t xml:space="preserve">The system’s internal structure. It focuses attention on actors, external dependencies and scope, and stays readable for non-technical stakeholders.</w:t>
      </w:r>
    </w:p>
    <w:p>
      <w:pPr>
        <w:numPr>
          <w:ilvl w:val="0"/>
          <w:numId w:val="1062"/>
        </w:numPr>
        <w:pStyle w:val="Compact"/>
      </w:pPr>
      <w:r>
        <w:t xml:space="preserve">For example:</w:t>
      </w:r>
      <w:r>
        <w:t xml:space="preserve"> </w:t>
      </w:r>
      <w:r>
        <w:t xml:space="preserve">“</w:t>
      </w:r>
      <w:r>
        <w:t xml:space="preserve">p99 latency of the search endpoint below 300 ms, measured over 5-minute windows at up to 7,000 RPS.</w:t>
      </w:r>
      <w:r>
        <w:t xml:space="preserve">”</w:t>
      </w:r>
    </w:p>
    <w:p>
      <w:pPr>
        <w:numPr>
          <w:ilvl w:val="0"/>
          <w:numId w:val="1062"/>
        </w:numPr>
        <w:pStyle w:val="Compact"/>
      </w:pPr>
      <w:r>
        <w:t xml:space="preserve">(1 − 0.9995) × 43,200 = 21.6 minutes.</w:t>
      </w:r>
    </w:p>
    <w:p>
      <w:pPr>
        <w:numPr>
          <w:ilvl w:val="0"/>
          <w:numId w:val="1062"/>
        </w:numPr>
        <w:pStyle w:val="Compact"/>
      </w:pPr>
      <w:r>
        <w:t xml:space="preserve">CPU, memory, disk, network, and locks or other software resources (pools, threads, file handles).</w:t>
      </w:r>
    </w:p>
    <w:p>
      <w:pPr>
        <w:numPr>
          <w:ilvl w:val="0"/>
          <w:numId w:val="1062"/>
        </w:numPr>
        <w:pStyle w:val="Compact"/>
      </w:pPr>
      <w:r>
        <w:t xml:space="preserve">A software resource: a lock, a connection pool or a thread pool. Requests are waiting while hardware is idle.</w:t>
      </w:r>
    </w:p>
    <w:p>
      <w:pPr>
        <w:numPr>
          <w:ilvl w:val="0"/>
          <w:numId w:val="1062"/>
        </w:numPr>
        <w:pStyle w:val="Compact"/>
      </w:pPr>
      <w:r>
        <w:t xml:space="preserve">L = λW = 100 × 0.25 = 25 connections.</w:t>
      </w:r>
    </w:p>
    <w:p>
      <w:pPr>
        <w:numPr>
          <w:ilvl w:val="0"/>
          <w:numId w:val="1062"/>
        </w:numPr>
        <w:pStyle w:val="Compact"/>
      </w:pPr>
      <w:r>
        <w:t xml:space="preserve">If it were wrong by about 10×, the design would have to change.</w:t>
      </w:r>
    </w:p>
    <w:p>
      <w:pPr>
        <w:numPr>
          <w:ilvl w:val="0"/>
          <w:numId w:val="1062"/>
        </w:numPr>
        <w:pStyle w:val="Compact"/>
      </w:pPr>
      <w:r>
        <w:t xml:space="preserve">To learn whether the winner depends on a contested weight. If small weight changes flip the result, the decision is close and the deciding factor must be discussed explicitly.</w:t>
      </w:r>
    </w:p>
    <w:p>
      <w:pPr>
        <w:numPr>
          <w:ilvl w:val="0"/>
          <w:numId w:val="1062"/>
        </w:numPr>
        <w:pStyle w:val="Compact"/>
      </w:pPr>
      <w:r>
        <w:t xml:space="preserve">One-way: the order ID format, a public partner API, the stored data model. Two-way: a cache eviction policy, an internal framework behind a stable API.</w:t>
      </w:r>
    </w:p>
    <w:p>
      <w:pPr>
        <w:numPr>
          <w:ilvl w:val="0"/>
          <w:numId w:val="1062"/>
        </w:numPr>
        <w:pStyle w:val="Compact"/>
      </w:pPr>
      <w:r>
        <w:t xml:space="preserve">0.999³ ≈ 0.997, i.e. 99.7%.</w:t>
      </w:r>
    </w:p>
    <w:p>
      <w:pPr>
        <w:numPr>
          <w:ilvl w:val="0"/>
          <w:numId w:val="1062"/>
        </w:numPr>
        <w:pStyle w:val="Compact"/>
      </w:pPr>
      <w:r>
        <w:t xml:space="preserve">1,000,000 × 50 × 0.15 / 3,600 ≈ 2,083 RPS (before any burst factor).</w:t>
      </w:r>
    </w:p>
    <w:p>
      <w:pPr>
        <w:numPr>
          <w:ilvl w:val="0"/>
          <w:numId w:val="1062"/>
        </w:numPr>
        <w:pStyle w:val="Compact"/>
      </w:pPr>
      <w:r>
        <w:t xml:space="preserve">Context, Containers, Components, Code.</w:t>
      </w:r>
    </w:p>
    <w:p>
      <w:pPr>
        <w:numPr>
          <w:ilvl w:val="0"/>
          <w:numId w:val="1062"/>
        </w:numPr>
        <w:pStyle w:val="Compact"/>
      </w:pPr>
      <w:r>
        <w:t xml:space="preserve">To preserve the history of reasoning. A changed decision gets a new ADR that supersedes the old one, so readers can see what was believed when.</w:t>
      </w:r>
    </w:p>
    <w:bookmarkEnd w:id="252"/>
    <w:bookmarkStart w:id="256" w:name="interview-questions-1"/>
    <w:p>
      <w:pPr>
        <w:pStyle w:val="Heading2"/>
      </w:pPr>
      <w:r>
        <w:t xml:space="preserve">2.15 Interview questions</w:t>
      </w:r>
    </w:p>
    <w:bookmarkStart w:id="253" w:name="basic-1"/>
    <w:p>
      <w:pPr>
        <w:pStyle w:val="Heading3"/>
      </w:pPr>
      <w:r>
        <w:t xml:space="preserve">Basic</w:t>
      </w:r>
    </w:p>
    <w:p>
      <w:pPr>
        <w:pStyle w:val="FirstParagraph"/>
      </w:pPr>
      <w:r>
        <w:rPr>
          <w:bCs/>
          <w:b/>
        </w:rPr>
        <w:t xml:space="preserve">Q1. You are asked to</w:t>
      </w:r>
      <w:r>
        <w:rPr>
          <w:bCs/>
          <w:b/>
        </w:rPr>
        <w:t xml:space="preserve"> </w:t>
      </w:r>
      <w:r>
        <w:rPr>
          <w:bCs/>
          <w:b/>
        </w:rPr>
        <w:t xml:space="preserve">“</w:t>
      </w:r>
      <w:r>
        <w:rPr>
          <w:bCs/>
          <w:b/>
        </w:rPr>
        <w:t xml:space="preserve">design a food-delivery app.</w:t>
      </w:r>
      <w:r>
        <w:rPr>
          <w:bCs/>
          <w:b/>
        </w:rPr>
        <w:t xml:space="preserve">”</w:t>
      </w:r>
      <w:r>
        <w:rPr>
          <w:bCs/>
          <w:b/>
        </w:rPr>
        <w:t xml:space="preserve"> </w:t>
      </w:r>
      <w:r>
        <w:rPr>
          <w:bCs/>
          <w:b/>
        </w:rPr>
        <w:t xml:space="preserve">What do you do in the first five minutes?</w:t>
      </w:r>
    </w:p>
    <w:p>
      <w:pPr>
        <w:pStyle w:val="BodyText"/>
      </w:pPr>
      <w:r>
        <w:rPr>
          <w:bCs/>
          <w:b/>
        </w:rPr>
        <w:t xml:space="preserve">Answer.</w:t>
      </w:r>
      <w:r>
        <w:t xml:space="preserve"> </w:t>
      </w:r>
      <w:r>
        <w:t xml:space="preserve">Clarify before designing. Name the users (customers, restaurants, couriers, support) and the top journeys. Agree the functional scope and say explicitly what is out of scope. Then quantify: daily active users, orders per day, peak factor, latency targets per journey, availability for checkout, and consistency needs (</w:t>
      </w:r>
      <w:r>
        <w:t xml:space="preserve">“</w:t>
      </w:r>
      <w:r>
        <w:t xml:space="preserve">no double charges</w:t>
      </w:r>
      <w:r>
        <w:t xml:space="preserve">”</w:t>
      </w:r>
      <w:r>
        <w:t xml:space="preserve">). State the assumptions you are making and confirm them with the interviewer. Finish with a quick estimate (orders/s, reads/s, location writes/s) so that the architecture you draw is sized to a target.</w:t>
      </w:r>
    </w:p>
    <w:p>
      <w:pPr>
        <w:pStyle w:val="BodyText"/>
      </w:pPr>
      <w:r>
        <w:rPr>
          <w:bCs/>
          <w:b/>
        </w:rPr>
        <w:t xml:space="preserve">Q2. What is a bottleneck, and why does adding servers sometimes not help?</w:t>
      </w:r>
    </w:p>
    <w:p>
      <w:pPr>
        <w:pStyle w:val="BodyText"/>
      </w:pPr>
      <w:r>
        <w:rPr>
          <w:bCs/>
          <w:b/>
        </w:rPr>
        <w:t xml:space="preserve">Answer.</w:t>
      </w:r>
      <w:r>
        <w:t xml:space="preserve"> </w:t>
      </w:r>
      <w:r>
        <w:t xml:space="preserve">It is the resource with the largest demand per unit of capacity. It caps throughput for the whole path. Adding capacity anywhere else changes nothing, as with widening a highway before a one-lane bridge. Servers add CPU and memory, but if the limit is a database disk, a hot row lock or a connection pool, throughput stays the same. Find it with the USE method and the utilization law before scaling anything.</w:t>
      </w:r>
    </w:p>
    <w:bookmarkEnd w:id="253"/>
    <w:bookmarkStart w:id="254" w:name="intermediate-1"/>
    <w:p>
      <w:pPr>
        <w:pStyle w:val="Heading3"/>
      </w:pPr>
      <w:r>
        <w:t xml:space="preserve">Intermediate</w:t>
      </w:r>
    </w:p>
    <w:p>
      <w:pPr>
        <w:pStyle w:val="FirstParagraph"/>
      </w:pPr>
      <w:r>
        <w:rPr>
          <w:bCs/>
          <w:b/>
        </w:rPr>
        <w:t xml:space="preserve">Q3. Checkout latency is high at peak but every server’s CPU is below 30%. Walk through your diagnosis.</w:t>
      </w:r>
    </w:p>
    <w:p>
      <w:pPr>
        <w:pStyle w:val="BodyText"/>
      </w:pPr>
      <w:r>
        <w:rPr>
          <w:bCs/>
          <w:b/>
        </w:rPr>
        <w:t xml:space="preserve">Answer.</w:t>
      </w:r>
      <w:r>
        <w:t xml:space="preserve"> </w:t>
      </w:r>
      <w:r>
        <w:t xml:space="preserve">Low utilization with high latency points to waiting on a software resource or an external dependency. Look at per-hop latencies in traces. Check pool wait times, lock waits in the database and the latency of external calls. Apply Little’s Law to pools: busy connections = arrival rate × hold time. A common cause is holding a transaction (and therefore a row lock and a connection) across a remote payment call. That gives long hold times, pool exhaustion and hot-row queues. The fix is to shorten the critical section: do the external call outside the transaction, use an idempotency key, and keep transactions to milliseconds. Re-measure afterwards, because the bottleneck moves.</w:t>
      </w:r>
    </w:p>
    <w:p>
      <w:pPr>
        <w:pStyle w:val="BodyText"/>
      </w:pPr>
      <w:r>
        <w:rPr>
          <w:bCs/>
          <w:b/>
        </w:rPr>
        <w:t xml:space="preserve">Q4. How do you decide between a modular monolith and microservices for a new product?</w:t>
      </w:r>
    </w:p>
    <w:p>
      <w:pPr>
        <w:pStyle w:val="BodyText"/>
      </w:pPr>
      <w:r>
        <w:rPr>
          <w:bCs/>
          <w:b/>
        </w:rPr>
        <w:t xml:space="preserve">Answer.</w:t>
      </w:r>
      <w:r>
        <w:t xml:space="preserve"> </w:t>
      </w:r>
      <w:r>
        <w:t xml:space="preserve">Derive criteria from requirements and constraints: time to market, team size, operational maturity, independent scaling needs, failure isolation. Weight and score them, and run a sensitivity check. For a small team with a deadline, a modular monolith usually wins. Then look for components whose load profile differs by an order of magnitude or more (QuickBite’s location service) and extract only those. Note reversibility: well-kept module boundaries make later extraction a two-way door. Record the decision and its revisit triggers in an ADR.</w:t>
      </w:r>
    </w:p>
    <w:bookmarkEnd w:id="254"/>
    <w:bookmarkStart w:id="255" w:name="advanced-1"/>
    <w:p>
      <w:pPr>
        <w:pStyle w:val="Heading3"/>
      </w:pPr>
      <w:r>
        <w:t xml:space="preserve">Advanced</w:t>
      </w:r>
    </w:p>
    <w:p>
      <w:pPr>
        <w:pStyle w:val="FirstParagraph"/>
      </w:pPr>
      <w:r>
        <w:rPr>
          <w:bCs/>
          <w:b/>
        </w:rPr>
        <w:t xml:space="preserve">Q5. Your checkout SLO is 99.95%, but the payment provider guarantees only 99.9%. What are your options?</w:t>
      </w:r>
    </w:p>
    <w:p>
      <w:pPr>
        <w:pStyle w:val="BodyText"/>
      </w:pPr>
      <w:r>
        <w:rPr>
          <w:bCs/>
          <w:b/>
        </w:rPr>
        <w:t xml:space="preserve">Answer.</w:t>
      </w:r>
      <w:r>
        <w:t xml:space="preserve"> </w:t>
      </w:r>
      <w:r>
        <w:t xml:space="preserve">In series, the path cannot beat its weakest link, so 99.95% is unreachable as stated. Options: (1) redefine the SLO to exclude declared third-party outages, which is common but must be agreed with the business; (2) add a second provider in parallel, giving roughly 1 − 0.001² for independent failures, at the cost of contracts, token handling and reconciliation, a one-way door; (3) accept the order and defer payment capture (authorize later, queue retries) for trusted customers, trading fraud risk for availability; (4) graceful degradation, such as offering alternative payment methods when the breaker opens. Present the costs and reversibility of each and let the business choose.</w:t>
      </w:r>
    </w:p>
    <w:p>
      <w:pPr>
        <w:pStyle w:val="BodyText"/>
      </w:pPr>
      <w:r>
        <w:rPr>
          <w:bCs/>
          <w:b/>
        </w:rPr>
        <w:t xml:space="preserve">Q6. QuickBite expands from one country to ten. What changes, and what would you do first?</w:t>
      </w:r>
    </w:p>
    <w:p>
      <w:pPr>
        <w:pStyle w:val="BodyText"/>
      </w:pPr>
      <w:r>
        <w:rPr>
          <w:bCs/>
          <w:b/>
        </w:rPr>
        <w:t xml:space="preserve">Answer.</w:t>
      </w:r>
      <w:r>
        <w:t xml:space="preserve"> </w:t>
      </w:r>
      <w:r>
        <w:t xml:space="preserve">That is roughly 10×, so expect qualitative change. Order writes reach ~600/s and saturate the single primary’s WAL disk (§2.10). Data residency laws may require in-country storage. Cross-continent round trips of ~100 ms hurt latency. Payment providers differ by country. First, re-run the estimate and assumption register. Then partition by geography into regional cells, each with its own order database and location store, which addresses scale, residency, blast radius and latency together. Keep a thin global layer for identity and routing only. Treat the partition key (region or city) as a one-way door with a full design doc. Migrate incrementally, one country per cell, with rollback plans.</w:t>
      </w:r>
    </w:p>
    <w:bookmarkEnd w:id="255"/>
    <w:bookmarkEnd w:id="256"/>
    <w:bookmarkStart w:id="257" w:name="practical-exercises-1"/>
    <w:p>
      <w:pPr>
        <w:pStyle w:val="Heading2"/>
      </w:pPr>
      <w:r>
        <w:t xml:space="preserve">2.16 Practical exercises</w:t>
      </w:r>
    </w:p>
    <w:p>
      <w:pPr>
        <w:numPr>
          <w:ilvl w:val="0"/>
          <w:numId w:val="1063"/>
        </w:numPr>
        <w:pStyle w:val="Compact"/>
      </w:pPr>
      <w:r>
        <w:rPr>
          <w:bCs/>
          <w:b/>
        </w:rPr>
        <w:t xml:space="preserve">Context diagram.</w:t>
      </w:r>
      <w:r>
        <w:t xml:space="preserve"> </w:t>
      </w:r>
      <w:r>
        <w:t xml:space="preserve">Draw a system-context diagram for a ride-hailing app. List every external system with an assumed SLA, rate limit and latency, and write three out-of-scope statements.</w:t>
      </w:r>
    </w:p>
    <w:p>
      <w:pPr>
        <w:numPr>
          <w:ilvl w:val="0"/>
          <w:numId w:val="1063"/>
        </w:numPr>
        <w:pStyle w:val="Compact"/>
      </w:pPr>
      <w:r>
        <w:rPr>
          <w:bCs/>
          <w:b/>
        </w:rPr>
        <w:t xml:space="preserve">Requirements negotiation.</w:t>
      </w:r>
      <w:r>
        <w:t xml:space="preserve"> </w:t>
      </w:r>
      <w:r>
        <w:t xml:space="preserve">Rewrite these as testable requirements and propose a cheaper acceptable alternative for each:</w:t>
      </w:r>
      <w:r>
        <w:t xml:space="preserve"> </w:t>
      </w:r>
      <w:r>
        <w:t xml:space="preserve">“</w:t>
      </w:r>
      <w:r>
        <w:t xml:space="preserve">instant search</w:t>
      </w:r>
      <w:r>
        <w:t xml:space="preserve">”</w:t>
      </w:r>
      <w:r>
        <w:t xml:space="preserve">,</w:t>
      </w:r>
      <w:r>
        <w:t xml:space="preserve"> </w:t>
      </w:r>
      <w:r>
        <w:t xml:space="preserve">“</w:t>
      </w:r>
      <w:r>
        <w:t xml:space="preserve">zero data loss</w:t>
      </w:r>
      <w:r>
        <w:t xml:space="preserve">”</w:t>
      </w:r>
      <w:r>
        <w:t xml:space="preserve">,</w:t>
      </w:r>
      <w:r>
        <w:t xml:space="preserve"> </w:t>
      </w:r>
      <w:r>
        <w:t xml:space="preserve">“</w:t>
      </w:r>
      <w:r>
        <w:t xml:space="preserve">global availability</w:t>
      </w:r>
      <w:r>
        <w:t xml:space="preserve">”</w:t>
      </w:r>
      <w:r>
        <w:t xml:space="preserve">.</w:t>
      </w:r>
    </w:p>
    <w:p>
      <w:pPr>
        <w:numPr>
          <w:ilvl w:val="0"/>
          <w:numId w:val="1063"/>
        </w:numPr>
        <w:pStyle w:val="Compact"/>
      </w:pPr>
      <w:r>
        <w:rPr>
          <w:bCs/>
          <w:b/>
        </w:rPr>
        <w:t xml:space="preserve">Bottleneck arithmetic.</w:t>
      </w:r>
      <w:r>
        <w:t xml:space="preserve"> </w:t>
      </w:r>
      <w:r>
        <w:t xml:space="preserve">Edit the script in §2.6 so that 10% of orders go to the single most popular restaurant. At what total order rate does the hot row saturate with a 320 ms hold time? With 15 ms?</w:t>
      </w:r>
    </w:p>
    <w:p>
      <w:pPr>
        <w:numPr>
          <w:ilvl w:val="0"/>
          <w:numId w:val="1063"/>
        </w:numPr>
        <w:pStyle w:val="Compact"/>
      </w:pPr>
      <w:r>
        <w:rPr>
          <w:bCs/>
          <w:b/>
        </w:rPr>
        <w:t xml:space="preserve">Estimation.</w:t>
      </w:r>
      <w:r>
        <w:t xml:space="preserve"> </w:t>
      </w:r>
      <w:r>
        <w:t xml:space="preserve">Repeat the §2.11 estimate for 20 M DAU and a 2 s location update interval. Which tier changes order of magnitude first?</w:t>
      </w:r>
    </w:p>
    <w:p>
      <w:pPr>
        <w:numPr>
          <w:ilvl w:val="0"/>
          <w:numId w:val="1063"/>
        </w:numPr>
        <w:pStyle w:val="Compact"/>
      </w:pPr>
      <w:r>
        <w:rPr>
          <w:bCs/>
          <w:b/>
        </w:rPr>
        <w:t xml:space="preserve">ADR.</w:t>
      </w:r>
      <w:r>
        <w:t xml:space="preserve"> </w:t>
      </w:r>
      <w:r>
        <w:t xml:space="preserve">Write an ADR for QuickBite’s choice of an idempotency-key scheme for payments, including consequences and revisit triggers.</w:t>
      </w:r>
    </w:p>
    <w:bookmarkEnd w:id="257"/>
    <w:bookmarkStart w:id="258" w:name="design-challenges-1"/>
    <w:p>
      <w:pPr>
        <w:pStyle w:val="Heading2"/>
      </w:pPr>
      <w:r>
        <w:t xml:space="preserve">2.17 Design challenges</w:t>
      </w:r>
    </w:p>
    <w:p>
      <w:pPr>
        <w:numPr>
          <w:ilvl w:val="0"/>
          <w:numId w:val="1064"/>
        </w:numPr>
        <w:pStyle w:val="Compact"/>
      </w:pPr>
      <w:r>
        <w:rPr>
          <w:bCs/>
          <w:b/>
        </w:rPr>
        <w:t xml:space="preserve">Grocery delivery variant.</w:t>
      </w:r>
      <w:r>
        <w:t xml:space="preserve"> </w:t>
      </w:r>
      <w:r>
        <w:t xml:space="preserve">QuickBite adds grocery delivery: orders of 40–100 items, with stock levels that change constantly and substitutions. Rework Table 2.1, the assumption register and the bottleneck analysis. Where does inventory consistency create new locks or hot rows, and how do you keep them short?</w:t>
      </w:r>
    </w:p>
    <w:p>
      <w:pPr>
        <w:numPr>
          <w:ilvl w:val="0"/>
          <w:numId w:val="1064"/>
        </w:numPr>
        <w:pStyle w:val="Compact"/>
      </w:pPr>
      <w:r>
        <w:rPr>
          <w:bCs/>
          <w:b/>
        </w:rPr>
        <w:t xml:space="preserve">Holiday surge.</w:t>
      </w:r>
      <w:r>
        <w:t xml:space="preserve"> </w:t>
      </w:r>
      <w:r>
        <w:t xml:space="preserve">On one public holiday per year, orders spike to 8× the normal dinner peak for three hours. Compare three strategies: over-provision permanently, autoscale, or queue orders with a</w:t>
      </w:r>
      <w:r>
        <w:t xml:space="preserve"> </w:t>
      </w:r>
      <w:r>
        <w:t xml:space="preserve">“</w:t>
      </w:r>
      <w:r>
        <w:t xml:space="preserve">your order is being placed</w:t>
      </w:r>
      <w:r>
        <w:t xml:space="preserve">”</w:t>
      </w:r>
      <w:r>
        <w:t xml:space="preserve"> </w:t>
      </w:r>
      <w:r>
        <w:t xml:space="preserve">experience. Use a weighted decision matrix and classify each strategy’s reversibility. Estimate the cost difference, stating your price assumptions.</w:t>
      </w:r>
    </w:p>
    <w:bookmarkEnd w:id="258"/>
    <w:bookmarkStart w:id="259" w:name="references-1"/>
    <w:p>
      <w:pPr>
        <w:pStyle w:val="Heading2"/>
      </w:pPr>
      <w:r>
        <w:t xml:space="preserve">2.18 References</w:t>
      </w:r>
    </w:p>
    <w:p>
      <w:pPr>
        <w:numPr>
          <w:ilvl w:val="0"/>
          <w:numId w:val="1065"/>
        </w:numPr>
        <w:pStyle w:val="Compact"/>
      </w:pPr>
      <w:r>
        <w:t xml:space="preserve">Bass, L., Clements, P., Kazman, R.</w:t>
      </w:r>
      <w:r>
        <w:t xml:space="preserve"> </w:t>
      </w:r>
      <w:r>
        <w:rPr>
          <w:iCs/>
          <w:i/>
        </w:rPr>
        <w:t xml:space="preserve">Software Architecture in Practice</w:t>
      </w:r>
      <w:r>
        <w:t xml:space="preserve">, 4th ed. Addison-Wesley, 2021.</w:t>
      </w:r>
    </w:p>
    <w:p>
      <w:pPr>
        <w:numPr>
          <w:ilvl w:val="0"/>
          <w:numId w:val="1065"/>
        </w:numPr>
        <w:pStyle w:val="Compact"/>
      </w:pPr>
      <w:r>
        <w:t xml:space="preserve">Beyer, B., Jones, C., Petoff, J., Murphy, N. R. (eds.).</w:t>
      </w:r>
      <w:r>
        <w:t xml:space="preserve"> </w:t>
      </w:r>
      <w:r>
        <w:rPr>
          <w:iCs/>
          <w:i/>
        </w:rPr>
        <w:t xml:space="preserve">Site Reliability Engineering: How Google Runs Production Systems</w:t>
      </w:r>
      <w:r>
        <w:t xml:space="preserve">. O’Reilly Media, 2016. https://sre.google/sre-book/table-of-contents/</w:t>
      </w:r>
    </w:p>
    <w:p>
      <w:pPr>
        <w:numPr>
          <w:ilvl w:val="0"/>
          <w:numId w:val="1065"/>
        </w:numPr>
        <w:pStyle w:val="Compact"/>
      </w:pPr>
      <w:r>
        <w:t xml:space="preserve">Bezos, J.</w:t>
      </w:r>
      <w:r>
        <w:t xml:space="preserve"> </w:t>
      </w:r>
      <w:r>
        <w:rPr>
          <w:iCs/>
          <w:i/>
        </w:rPr>
        <w:t xml:space="preserve">2015 Letter to Shareholders</w:t>
      </w:r>
      <w:r>
        <w:t xml:space="preserve">. Amazon.com, Inc., 2016 (published with the 2015 annual report).</w:t>
      </w:r>
    </w:p>
    <w:p>
      <w:pPr>
        <w:numPr>
          <w:ilvl w:val="0"/>
          <w:numId w:val="1065"/>
        </w:numPr>
        <w:pStyle w:val="Compact"/>
      </w:pPr>
      <w:r>
        <w:t xml:space="preserve">Brown, S.</w:t>
      </w:r>
      <w:r>
        <w:t xml:space="preserve"> </w:t>
      </w:r>
      <w:r>
        <w:rPr>
          <w:iCs/>
          <w:i/>
        </w:rPr>
        <w:t xml:space="preserve">The C4 model for visualising software architecture</w:t>
      </w:r>
      <w:r>
        <w:t xml:space="preserve">. c4model.com, accessed 2026. https://c4model.com</w:t>
      </w:r>
    </w:p>
    <w:p>
      <w:pPr>
        <w:numPr>
          <w:ilvl w:val="0"/>
          <w:numId w:val="1065"/>
        </w:numPr>
        <w:pStyle w:val="Compact"/>
      </w:pPr>
      <w:r>
        <w:t xml:space="preserve">Conway, M. E.</w:t>
      </w:r>
      <w:r>
        <w:t xml:space="preserve"> </w:t>
      </w:r>
      <w:r>
        <w:rPr>
          <w:iCs/>
          <w:i/>
        </w:rPr>
        <w:t xml:space="preserve">How Do Committees Invent?</w:t>
      </w:r>
      <w:r>
        <w:t xml:space="preserve"> </w:t>
      </w:r>
      <w:r>
        <w:t xml:space="preserve">Datamation 14(4), 1968.</w:t>
      </w:r>
    </w:p>
    <w:p>
      <w:pPr>
        <w:numPr>
          <w:ilvl w:val="0"/>
          <w:numId w:val="1065"/>
        </w:numPr>
        <w:pStyle w:val="Compact"/>
      </w:pPr>
      <w:r>
        <w:t xml:space="preserve">Dean, J.</w:t>
      </w:r>
      <w:r>
        <w:t xml:space="preserve"> </w:t>
      </w:r>
      <w:r>
        <w:rPr>
          <w:iCs/>
          <w:i/>
        </w:rPr>
        <w:t xml:space="preserve">Designs, Lessons and Advice from Building Large Distributed Systems</w:t>
      </w:r>
      <w:r>
        <w:t xml:space="preserve">. Keynote, LADIS Workshop, 2009.</w:t>
      </w:r>
    </w:p>
    <w:p>
      <w:pPr>
        <w:numPr>
          <w:ilvl w:val="0"/>
          <w:numId w:val="1065"/>
        </w:numPr>
        <w:pStyle w:val="Compact"/>
      </w:pPr>
      <w:r>
        <w:t xml:space="preserve">DeMarco, T.</w:t>
      </w:r>
      <w:r>
        <w:t xml:space="preserve"> </w:t>
      </w:r>
      <w:r>
        <w:rPr>
          <w:iCs/>
          <w:i/>
        </w:rPr>
        <w:t xml:space="preserve">Structured Analysis and System Specification</w:t>
      </w:r>
      <w:r>
        <w:t xml:space="preserve">. Yourdon Press, 1979.</w:t>
      </w:r>
    </w:p>
    <w:p>
      <w:pPr>
        <w:numPr>
          <w:ilvl w:val="0"/>
          <w:numId w:val="1065"/>
        </w:numPr>
        <w:pStyle w:val="Compact"/>
      </w:pPr>
      <w:r>
        <w:t xml:space="preserve">Denning, P. J., Buzen, J. P.</w:t>
      </w:r>
      <w:r>
        <w:t xml:space="preserve"> </w:t>
      </w:r>
      <w:r>
        <w:rPr>
          <w:iCs/>
          <w:i/>
        </w:rPr>
        <w:t xml:space="preserve">The Operational Analysis of Queueing Network Models</w:t>
      </w:r>
      <w:r>
        <w:t xml:space="preserve">. ACM Computing Surveys 10(3), 1978.</w:t>
      </w:r>
    </w:p>
    <w:p>
      <w:pPr>
        <w:numPr>
          <w:ilvl w:val="0"/>
          <w:numId w:val="1065"/>
        </w:numPr>
        <w:pStyle w:val="Compact"/>
      </w:pPr>
      <w:r>
        <w:t xml:space="preserve">Gray, J.</w:t>
      </w:r>
      <w:r>
        <w:t xml:space="preserve"> </w:t>
      </w:r>
      <w:r>
        <w:rPr>
          <w:iCs/>
          <w:i/>
        </w:rPr>
        <w:t xml:space="preserve">A Conversation with Werner Vogels: Learning from the Amazon Technology Platform</w:t>
      </w:r>
      <w:r>
        <w:t xml:space="preserve">. ACM Queue 4(4), 2006.</w:t>
      </w:r>
    </w:p>
    <w:p>
      <w:pPr>
        <w:numPr>
          <w:ilvl w:val="0"/>
          <w:numId w:val="1065"/>
        </w:numPr>
        <w:pStyle w:val="Compact"/>
      </w:pPr>
      <w:r>
        <w:t xml:space="preserve">Gregg, B.</w:t>
      </w:r>
      <w:r>
        <w:t xml:space="preserve"> </w:t>
      </w:r>
      <w:r>
        <w:rPr>
          <w:iCs/>
          <w:i/>
        </w:rPr>
        <w:t xml:space="preserve">The USE Method</w:t>
      </w:r>
      <w:r>
        <w:t xml:space="preserve">. brendangregg.com. https://www.brendangregg.com/usemethod.html</w:t>
      </w:r>
    </w:p>
    <w:p>
      <w:pPr>
        <w:numPr>
          <w:ilvl w:val="0"/>
          <w:numId w:val="1065"/>
        </w:numPr>
        <w:pStyle w:val="Compact"/>
      </w:pPr>
      <w:r>
        <w:t xml:space="preserve">Gregg, B.</w:t>
      </w:r>
      <w:r>
        <w:t xml:space="preserve"> </w:t>
      </w:r>
      <w:r>
        <w:rPr>
          <w:iCs/>
          <w:i/>
        </w:rPr>
        <w:t xml:space="preserve">Systems Performance: Enterprise and the Cloud</w:t>
      </w:r>
      <w:r>
        <w:t xml:space="preserve">, 2nd ed. Addison-Wesley, 2020.</w:t>
      </w:r>
    </w:p>
    <w:p>
      <w:pPr>
        <w:numPr>
          <w:ilvl w:val="0"/>
          <w:numId w:val="1065"/>
        </w:numPr>
        <w:pStyle w:val="Compact"/>
      </w:pPr>
      <w:r>
        <w:t xml:space="preserve">Hamilton, J.</w:t>
      </w:r>
      <w:r>
        <w:t xml:space="preserve"> </w:t>
      </w:r>
      <w:r>
        <w:rPr>
          <w:iCs/>
          <w:i/>
        </w:rPr>
        <w:t xml:space="preserve">On Designing and Deploying Internet-Scale Services</w:t>
      </w:r>
      <w:r>
        <w:t xml:space="preserve">. Proceedings of the 21st Large Installation System Administration Conference (LISA ’07), USENIX, 2007.</w:t>
      </w:r>
    </w:p>
    <w:p>
      <w:pPr>
        <w:numPr>
          <w:ilvl w:val="0"/>
          <w:numId w:val="1065"/>
        </w:numPr>
        <w:pStyle w:val="Compact"/>
      </w:pPr>
      <w:r>
        <w:t xml:space="preserve">Izrailevsky, Y., Tseitlin, A.</w:t>
      </w:r>
      <w:r>
        <w:t xml:space="preserve"> </w:t>
      </w:r>
      <w:r>
        <w:rPr>
          <w:iCs/>
          <w:i/>
        </w:rPr>
        <w:t xml:space="preserve">The Netflix Simian Army</w:t>
      </w:r>
      <w:r>
        <w:t xml:space="preserve">. Netflix Technology Blog, 2011.</w:t>
      </w:r>
    </w:p>
    <w:p>
      <w:pPr>
        <w:numPr>
          <w:ilvl w:val="0"/>
          <w:numId w:val="1065"/>
        </w:numPr>
        <w:pStyle w:val="Compact"/>
      </w:pPr>
      <w:r>
        <w:t xml:space="preserve">Little, J. D. C.</w:t>
      </w:r>
      <w:r>
        <w:t xml:space="preserve"> </w:t>
      </w:r>
      <w:r>
        <w:rPr>
          <w:iCs/>
          <w:i/>
        </w:rPr>
        <w:t xml:space="preserve">A Proof for the Queuing Formula: L = λW</w:t>
      </w:r>
      <w:r>
        <w:t xml:space="preserve">. Operations Research 9(3), 1961.</w:t>
      </w:r>
    </w:p>
    <w:p>
      <w:pPr>
        <w:numPr>
          <w:ilvl w:val="0"/>
          <w:numId w:val="1065"/>
        </w:numPr>
        <w:pStyle w:val="Compact"/>
      </w:pPr>
      <w:r>
        <w:t xml:space="preserve">Nygard, M.</w:t>
      </w:r>
      <w:r>
        <w:t xml:space="preserve"> </w:t>
      </w:r>
      <w:r>
        <w:rPr>
          <w:iCs/>
          <w:i/>
        </w:rPr>
        <w:t xml:space="preserve">Documenting Architecture Decisions</w:t>
      </w:r>
      <w:r>
        <w:t xml:space="preserve">. Cognitect blog, 2011. https://cognitect.com/blog/2011/11/15/documenting-architecture-decisions</w:t>
      </w:r>
    </w:p>
    <w:p>
      <w:pPr>
        <w:numPr>
          <w:ilvl w:val="0"/>
          <w:numId w:val="1065"/>
        </w:numPr>
        <w:pStyle w:val="Compact"/>
      </w:pPr>
      <w:r>
        <w:t xml:space="preserve">Parnas, D. L.</w:t>
      </w:r>
      <w:r>
        <w:t xml:space="preserve"> </w:t>
      </w:r>
      <w:r>
        <w:rPr>
          <w:iCs/>
          <w:i/>
        </w:rPr>
        <w:t xml:space="preserve">On the Criteria To Be Used in Decomposing Systems into Modules</w:t>
      </w:r>
      <w:r>
        <w:t xml:space="preserve">. Communications of the ACM 15(12), 1972.</w:t>
      </w:r>
    </w:p>
    <w:p>
      <w:pPr>
        <w:numPr>
          <w:ilvl w:val="0"/>
          <w:numId w:val="1065"/>
        </w:numPr>
        <w:pStyle w:val="Compact"/>
      </w:pPr>
      <w:r>
        <w:t xml:space="preserve">Pugh, S.</w:t>
      </w:r>
      <w:r>
        <w:t xml:space="preserve"> </w:t>
      </w:r>
      <w:r>
        <w:rPr>
          <w:iCs/>
          <w:i/>
        </w:rPr>
        <w:t xml:space="preserve">Total Design: Integrated Methods for Successful Product Engineering</w:t>
      </w:r>
      <w:r>
        <w:t xml:space="preserve">. Addison-Wesley, 1991.</w:t>
      </w:r>
    </w:p>
    <w:p>
      <w:pPr>
        <w:numPr>
          <w:ilvl w:val="0"/>
          <w:numId w:val="1065"/>
        </w:numPr>
        <w:pStyle w:val="Compact"/>
      </w:pPr>
      <w:r>
        <w:t xml:space="preserve">Ubl, M.</w:t>
      </w:r>
      <w:r>
        <w:t xml:space="preserve"> </w:t>
      </w:r>
      <w:r>
        <w:rPr>
          <w:iCs/>
          <w:i/>
        </w:rPr>
        <w:t xml:space="preserve">Design Docs at Google</w:t>
      </w:r>
      <w:r>
        <w:t xml:space="preserve">. Industrial Empathy (blog), 2020. https://www.industrialempathy.com/posts/design-docs-at-google/</w:t>
      </w:r>
    </w:p>
    <w:bookmarkEnd w:id="259"/>
    <w:bookmarkStart w:id="260" w:name="open-verification-items-1"/>
    <w:p>
      <w:pPr>
        <w:pStyle w:val="Heading2"/>
      </w:pPr>
      <w:r>
        <w:t xml:space="preserve">2.19 Open verification items</w:t>
      </w:r>
    </w:p>
    <w:p>
      <w:pPr>
        <w:numPr>
          <w:ilvl w:val="0"/>
          <w:numId w:val="1066"/>
        </w:numPr>
        <w:pStyle w:val="Compact"/>
      </w:pPr>
      <w:r>
        <w:rPr>
          <w:bCs/>
          <w:b/>
        </w:rPr>
        <w:t xml:space="preserve">[Bezos 2016]</w:t>
      </w:r>
      <w:r>
        <w:t xml:space="preserve"> </w:t>
      </w:r>
      <w:r>
        <w:t xml:space="preserve">The exact wording and canonical URL (Amazon IR site or SEC exhibit) of the Type 1 / Type 2,</w:t>
      </w:r>
      <w:r>
        <w:t xml:space="preserve"> </w:t>
      </w:r>
      <w:r>
        <w:t xml:space="preserve">“</w:t>
      </w:r>
      <w:r>
        <w:t xml:space="preserve">one-way / two-way door</w:t>
      </w:r>
      <w:r>
        <w:t xml:space="preserve">”</w:t>
      </w:r>
      <w:r>
        <w:t xml:space="preserve"> </w:t>
      </w:r>
      <w:r>
        <w:t xml:space="preserve">passage. The chapter paraphrases it. sec.gov could not be reached from the authoring session.</w:t>
      </w:r>
    </w:p>
    <w:p>
      <w:pPr>
        <w:numPr>
          <w:ilvl w:val="0"/>
          <w:numId w:val="1066"/>
        </w:numPr>
        <w:pStyle w:val="Compact"/>
      </w:pPr>
      <w:r>
        <w:rPr>
          <w:bCs/>
          <w:b/>
        </w:rPr>
        <w:t xml:space="preserve">[Dean 2009]</w:t>
      </w:r>
      <w:r>
        <w:t xml:space="preserve"> </w:t>
      </w:r>
      <w:r>
        <w:t xml:space="preserve">Confirm that the</w:t>
      </w:r>
      <w:r>
        <w:t xml:space="preserve"> </w:t>
      </w:r>
      <w:r>
        <w:t xml:space="preserve">“</w:t>
      </w:r>
      <w:r>
        <w:t xml:space="preserve">design for ~10× growth, plan to rewrite before ~100×</w:t>
      </w:r>
      <w:r>
        <w:t xml:space="preserve">”</w:t>
      </w:r>
      <w:r>
        <w:t xml:space="preserve"> </w:t>
      </w:r>
      <w:r>
        <w:t xml:space="preserve">advice appears in the LADIS 2009 keynote slides and not only in other Dean talks (e.g. Stanford, 2007). Hence the label is</w:t>
      </w:r>
      <w:r>
        <w:t xml:space="preserve"> </w:t>
      </w:r>
      <w:r>
        <w:rPr>
          <w:iCs/>
          <w:i/>
        </w:rPr>
        <w:t xml:space="preserve">Secondary</w:t>
      </w:r>
      <w:r>
        <w:t xml:space="preserve">.</w:t>
      </w:r>
    </w:p>
    <w:p>
      <w:pPr>
        <w:numPr>
          <w:ilvl w:val="0"/>
          <w:numId w:val="1066"/>
        </w:numPr>
        <w:pStyle w:val="Compact"/>
      </w:pPr>
      <w:r>
        <w:rPr>
          <w:bCs/>
          <w:b/>
        </w:rPr>
        <w:t xml:space="preserve">[Ubl 2020]</w:t>
      </w:r>
      <w:r>
        <w:t xml:space="preserve"> </w:t>
      </w:r>
      <w:r>
        <w:t xml:space="preserve">Confirm the publication year and URL. Only secondary summaries were checked.</w:t>
      </w:r>
    </w:p>
    <w:p>
      <w:pPr>
        <w:numPr>
          <w:ilvl w:val="0"/>
          <w:numId w:val="1066"/>
        </w:numPr>
        <w:pStyle w:val="Compact"/>
      </w:pPr>
      <w:r>
        <w:rPr>
          <w:bCs/>
          <w:b/>
        </w:rPr>
        <w:t xml:space="preserve">[Gray 2006]</w:t>
      </w:r>
      <w:r>
        <w:t xml:space="preserve"> </w:t>
      </w:r>
      <w:r>
        <w:t xml:space="preserve">Confirm that</w:t>
      </w:r>
      <w:r>
        <w:t xml:space="preserve"> </w:t>
      </w:r>
      <w:r>
        <w:t xml:space="preserve">“</w:t>
      </w:r>
      <w:r>
        <w:t xml:space="preserve">you build it, you run it</w:t>
      </w:r>
      <w:r>
        <w:t xml:space="preserve">”</w:t>
      </w:r>
      <w:r>
        <w:t xml:space="preserve"> </w:t>
      </w:r>
      <w:r>
        <w:t xml:space="preserve">and the no-direct-database-access rule appear in this interview.</w:t>
      </w:r>
    </w:p>
    <w:p>
      <w:pPr>
        <w:numPr>
          <w:ilvl w:val="0"/>
          <w:numId w:val="1066"/>
        </w:numPr>
        <w:pStyle w:val="Compact"/>
      </w:pPr>
      <w:r>
        <w:rPr>
          <w:bCs/>
          <w:b/>
        </w:rPr>
        <w:t xml:space="preserve">[DeMarco 1979]</w:t>
      </w:r>
      <w:r>
        <w:t xml:space="preserve"> </w:t>
      </w:r>
      <w:r>
        <w:t xml:space="preserve">The first edition is dated 1978 or 1979 depending on the source.</w:t>
      </w:r>
    </w:p>
    <w:p>
      <w:pPr>
        <w:numPr>
          <w:ilvl w:val="0"/>
          <w:numId w:val="1066"/>
        </w:numPr>
        <w:pStyle w:val="Compact"/>
      </w:pPr>
      <w:r>
        <w:rPr>
          <w:bCs/>
          <w:b/>
        </w:rPr>
        <w:t xml:space="preserve">[Izrailevsky and Tseitlin 2011]</w:t>
      </w:r>
      <w:r>
        <w:t xml:space="preserve"> </w:t>
      </w:r>
      <w:r>
        <w:t xml:space="preserve">Confirm authors and date of the Netflix blog post.</w:t>
      </w:r>
    </w:p>
    <w:p>
      <w:pPr>
        <w:numPr>
          <w:ilvl w:val="0"/>
          <w:numId w:val="1066"/>
        </w:numPr>
        <w:pStyle w:val="Compact"/>
      </w:pPr>
      <w:r>
        <w:t xml:space="preserve">Table 2.17 capacities and the</w:t>
      </w:r>
      <w:r>
        <w:t xml:space="preserve"> </w:t>
      </w:r>
      <w:r>
        <w:t xml:space="preserve">“</w:t>
      </w:r>
      <w:r>
        <w:t xml:space="preserve">99.9–99.99% third-party SLA</w:t>
      </w:r>
      <w:r>
        <w:t xml:space="preserve">”</w:t>
      </w:r>
      <w:r>
        <w:t xml:space="preserve"> </w:t>
      </w:r>
      <w:r>
        <w:t xml:space="preserve">range are rough, as of 2026. Reconcile them with Appendix F and §4.17.</w:t>
      </w:r>
    </w:p>
    <w:p>
      <w:pPr>
        <w:numPr>
          <w:ilvl w:val="0"/>
          <w:numId w:val="1066"/>
        </w:numPr>
        <w:pStyle w:val="Compact"/>
      </w:pPr>
      <w:r>
        <w:t xml:space="preserve">The style guide asks for longer runnable programs in</w:t>
      </w:r>
      <w:r>
        <w:t xml:space="preserve"> </w:t>
      </w:r>
      <w:r>
        <w:rPr>
          <w:rStyle w:val="VerbatimChar"/>
        </w:rPr>
        <w:t xml:space="preserve">code/ch02/</w:t>
      </w:r>
      <w:r>
        <w:t xml:space="preserve">. The §2.6 script is short and was not copied there.</w:t>
      </w:r>
    </w:p>
    <w:bookmarkEnd w:id="260"/>
    <w:bookmarkEnd w:id="261"/>
    <w:bookmarkStart w:id="339" w:name="X7e8034c241946b4b0cffa25b17ae7f5ab4e086f"/>
    <w:p>
      <w:pPr>
        <w:pStyle w:val="Heading1"/>
      </w:pPr>
      <w:r>
        <w:t xml:space="preserve">Chapter 3 — The System Design Learning Method</w:t>
      </w:r>
    </w:p>
    <w:p>
      <w:pPr>
        <w:pStyle w:val="BlockText"/>
      </w:pPr>
      <w:r>
        <w:rPr>
          <w:bCs/>
          <w:b/>
        </w:rPr>
        <w:t xml:space="preserve">Level:</w:t>
      </w:r>
      <w:r>
        <w:t xml:space="preserve"> </w:t>
      </w:r>
      <w:r>
        <w:t xml:space="preserve">1 ·</w:t>
      </w:r>
      <w:r>
        <w:t xml:space="preserve"> </w:t>
      </w:r>
      <w:r>
        <w:rPr>
          <w:bCs/>
          <w:b/>
        </w:rPr>
        <w:t xml:space="preserve">Track:</w:t>
      </w:r>
      <w:r>
        <w:t xml:space="preserve"> </w:t>
      </w:r>
      <w:r>
        <w:t xml:space="preserve">Shared ·</w:t>
      </w:r>
      <w:r>
        <w:t xml:space="preserve"> </w:t>
      </w:r>
      <w:r>
        <w:rPr>
          <w:bCs/>
          <w:b/>
        </w:rPr>
        <w:t xml:space="preserve">Estimated reading time:</w:t>
      </w:r>
      <w:r>
        <w:t xml:space="preserve"> </w:t>
      </w:r>
      <w:r>
        <w:t xml:space="preserve">3.5 h</w:t>
      </w:r>
    </w:p>
    <w:p>
      <w:pPr>
        <w:pStyle w:val="FirstParagraph"/>
      </w:pPr>
      <w:r>
        <w:t xml:space="preserve">System design is a large field. This book covers it in 93 chapters, and the field keeps changing while you read. No one masters it by reading straight through once. Engineers who become strong designers usually have two things: a deep stock of well-understood building blocks, and a reliable way to add new blocks. This chapter gives you that way. It is a</w:t>
      </w:r>
      <w:r>
        <w:t xml:space="preserve"> </w:t>
      </w:r>
      <w:r>
        <w:rPr>
          <w:iCs/>
          <w:i/>
        </w:rPr>
        <w:t xml:space="preserve">method</w:t>
      </w:r>
      <w:r>
        <w:t xml:space="preserve">, so it applies to every later chapter, from B-trees (Chapter 11) to LLM inference (Chapter 73).</w:t>
      </w:r>
    </w:p>
    <w:bookmarkStart w:id="262" w:name="learning-objectives-2"/>
    <w:p>
      <w:pPr>
        <w:pStyle w:val="Heading2"/>
      </w:pPr>
      <w:r>
        <w:t xml:space="preserve">3.1 Learning objectives</w:t>
      </w:r>
    </w:p>
    <w:p>
      <w:pPr>
        <w:pStyle w:val="FirstParagraph"/>
      </w:pPr>
      <w:r>
        <w:t xml:space="preserve">After this chapter you should be able to:</w:t>
      </w:r>
    </w:p>
    <w:p>
      <w:pPr>
        <w:numPr>
          <w:ilvl w:val="0"/>
          <w:numId w:val="1067"/>
        </w:numPr>
        <w:pStyle w:val="Compact"/>
      </w:pPr>
      <w:r>
        <w:t xml:space="preserve">Apply the ten-step concept-mastery loop to any system-design concept and produce the artifact each step requires.</w:t>
      </w:r>
    </w:p>
    <w:p>
      <w:pPr>
        <w:numPr>
          <w:ilvl w:val="0"/>
          <w:numId w:val="1067"/>
        </w:numPr>
        <w:pStyle w:val="Compact"/>
      </w:pPr>
      <w:r>
        <w:t xml:space="preserve">Explain, with evidence, why retrieval practice and spaced practice beat rereading and highlighting, and schedule reviews to match.</w:t>
      </w:r>
    </w:p>
    <w:p>
      <w:pPr>
        <w:numPr>
          <w:ilvl w:val="0"/>
          <w:numId w:val="1067"/>
        </w:numPr>
        <w:pStyle w:val="Compact"/>
      </w:pPr>
      <w:r>
        <w:t xml:space="preserve">Read a systems paper using Keshav’s three-pass method and judge an engineering blog post’s claims by the strength of its evidence.</w:t>
      </w:r>
    </w:p>
    <w:p>
      <w:pPr>
        <w:numPr>
          <w:ilvl w:val="0"/>
          <w:numId w:val="1067"/>
        </w:numPr>
        <w:pStyle w:val="Compact"/>
      </w:pPr>
      <w:r>
        <w:t xml:space="preserve">Draw a reference architecture from memory, score it against a checklist, and repair the gaps.</w:t>
      </w:r>
    </w:p>
    <w:p>
      <w:pPr>
        <w:numPr>
          <w:ilvl w:val="0"/>
          <w:numId w:val="1067"/>
        </w:numPr>
        <w:pStyle w:val="Compact"/>
      </w:pPr>
      <w:r>
        <w:t xml:space="preserve">Scope a simplified implementation that keeps the core mechanism and leaves out production concerns.</w:t>
      </w:r>
    </w:p>
    <w:p>
      <w:pPr>
        <w:numPr>
          <w:ilvl w:val="0"/>
          <w:numId w:val="1067"/>
        </w:numPr>
        <w:pStyle w:val="Compact"/>
      </w:pPr>
      <w:r>
        <w:t xml:space="preserve">Follow a 12-month beginner path through this book, or build a gap-driven plan if you are already experienced.</w:t>
      </w:r>
    </w:p>
    <w:p>
      <w:pPr>
        <w:numPr>
          <w:ilvl w:val="0"/>
          <w:numId w:val="1067"/>
        </w:numPr>
        <w:pStyle w:val="Compact"/>
      </w:pPr>
      <w:r>
        <w:t xml:space="preserve">Track your progress with a self-assessment rubric, flashcards and a design journal.</w:t>
      </w:r>
    </w:p>
    <w:bookmarkEnd w:id="262"/>
    <w:bookmarkStart w:id="263" w:name="prerequisites-2"/>
    <w:p>
      <w:pPr>
        <w:pStyle w:val="Heading2"/>
      </w:pPr>
      <w:r>
        <w:t xml:space="preserve">3.2 Prerequisites</w:t>
      </w:r>
    </w:p>
    <w:p>
      <w:pPr>
        <w:numPr>
          <w:ilvl w:val="0"/>
          <w:numId w:val="1068"/>
        </w:numPr>
        <w:pStyle w:val="Compact"/>
      </w:pPr>
      <w:r>
        <w:rPr>
          <w:bCs/>
          <w:b/>
        </w:rPr>
        <w:t xml:space="preserve">What system design is</w:t>
      </w:r>
      <w:r>
        <w:t xml:space="preserve"> </w:t>
      </w:r>
      <w:r>
        <w:t xml:space="preserve">— §1.3–§1.5. You need to know what counts as a</w:t>
      </w:r>
      <w:r>
        <w:t xml:space="preserve"> </w:t>
      </w:r>
      <w:r>
        <w:t xml:space="preserve">“</w:t>
      </w:r>
      <w:r>
        <w:t xml:space="preserve">concept</w:t>
      </w:r>
      <w:r>
        <w:t xml:space="preserve">”</w:t>
      </w:r>
      <w:r>
        <w:t xml:space="preserve"> </w:t>
      </w:r>
      <w:r>
        <w:t xml:space="preserve">or</w:t>
      </w:r>
      <w:r>
        <w:t xml:space="preserve"> </w:t>
      </w:r>
      <w:r>
        <w:t xml:space="preserve">“</w:t>
      </w:r>
      <w:r>
        <w:t xml:space="preserve">building block</w:t>
      </w:r>
      <w:r>
        <w:t xml:space="preserve">”</w:t>
      </w:r>
      <w:r>
        <w:t xml:space="preserve"> </w:t>
      </w:r>
      <w:r>
        <w:t xml:space="preserve">before you can learn concepts methodically.</w:t>
      </w:r>
    </w:p>
    <w:p>
      <w:pPr>
        <w:numPr>
          <w:ilvl w:val="0"/>
          <w:numId w:val="1068"/>
        </w:numPr>
        <w:pStyle w:val="Compact"/>
      </w:pPr>
      <w:r>
        <w:rPr>
          <w:bCs/>
          <w:b/>
        </w:rPr>
        <w:t xml:space="preserve">Trade-off reasoning</w:t>
      </w:r>
      <w:r>
        <w:t xml:space="preserve"> </w:t>
      </w:r>
      <w:r>
        <w:t xml:space="preserve">— §2.8. Step 6 of the loop asks you to analyze trade-offs. Chapter 2 gives you the vocabulary.</w:t>
      </w:r>
    </w:p>
    <w:p>
      <w:pPr>
        <w:numPr>
          <w:ilvl w:val="0"/>
          <w:numId w:val="1068"/>
        </w:numPr>
        <w:pStyle w:val="Compact"/>
      </w:pPr>
      <w:r>
        <w:rPr>
          <w:bCs/>
          <w:b/>
        </w:rPr>
        <w:t xml:space="preserve">Basic Python</w:t>
      </w:r>
      <w:r>
        <w:t xml:space="preserve"> </w:t>
      </w:r>
      <w:r>
        <w:t xml:space="preserve">— enough to read a 60-line program with a class, a list and a dictionary. Sections 3.3 and 3.4 contain short runnable programs.</w:t>
      </w:r>
    </w:p>
    <w:p>
      <w:pPr>
        <w:numPr>
          <w:ilvl w:val="0"/>
          <w:numId w:val="1068"/>
        </w:numPr>
        <w:pStyle w:val="Compact"/>
      </w:pPr>
      <w:r>
        <w:rPr>
          <w:bCs/>
          <w:b/>
        </w:rPr>
        <w:t xml:space="preserve">Hashing (informal)</w:t>
      </w:r>
      <w:r>
        <w:t xml:space="preserve"> </w:t>
      </w:r>
      <w:r>
        <w:t xml:space="preserve">— you should know that a hash function maps any input to a fixed-size number. Chapter 17 (§17.3) covers hashing in depth; you do not need it yet.</w:t>
      </w:r>
    </w:p>
    <w:bookmarkEnd w:id="263"/>
    <w:bookmarkStart w:id="289" w:name="the-ten-step-concept-mastery-loop"/>
    <w:p>
      <w:pPr>
        <w:pStyle w:val="Heading2"/>
      </w:pPr>
      <w:r>
        <w:t xml:space="preserve">3.3 The ten-step concept-mastery loop</w:t>
      </w:r>
    </w:p>
    <w:bookmarkStart w:id="271" w:name="why-a-loop-rather-than-a-reading-list"/>
    <w:p>
      <w:pPr>
        <w:pStyle w:val="Heading3"/>
      </w:pPr>
      <w:r>
        <w:t xml:space="preserve">3.3.1 Why a loop rather than a reading list</w:t>
      </w:r>
    </w:p>
    <w:p>
      <w:pPr>
        <w:pStyle w:val="CalloutDefinition"/>
      </w:pPr>
      <w:r>
        <w:rPr>
          <w:bCs/>
          <w:b/>
        </w:rPr>
        <w:t xml:space="preserve">DEFINITION</w:t>
      </w:r>
    </w:p>
    <w:p>
      <w:pPr>
        <w:pStyle w:val="CalloutDefinition"/>
      </w:pPr>
      <w:r>
        <w:rPr>
          <w:bCs/>
          <w:b/>
        </w:rPr>
        <w:t xml:space="preserve">Definition — Concept-mastery loop.</w:t>
      </w:r>
      <w:r>
        <w:t xml:space="preserve"> </w:t>
      </w:r>
      <w:r>
        <w:t xml:space="preserve">A fixed sequence of ten learning activities applied to one system-design concept. Each activity produces a concrete artifact (a definition, a diagram, a program, a design). The concept counts as mastered only when you can rebuild every artifact without notes.</w:t>
      </w:r>
    </w:p>
    <w:bookmarkStart w:id="264" w:name="first-principles-explanation-19"/>
    <w:p>
      <w:pPr>
        <w:pStyle w:val="Heading4"/>
      </w:pPr>
      <w:r>
        <w:t xml:space="preserve">First-principles explanation</w:t>
      </w:r>
    </w:p>
    <w:p>
      <w:pPr>
        <w:pStyle w:val="FirstParagraph"/>
      </w:pPr>
      <w:r>
        <w:t xml:space="preserve">Think about learning to cook one dish well. Reading the recipe tells you what the dish is. Knowing why each ingredient is there tells you what goes wrong if you leave one out. Watching a chef shows you technique. But you only really know the dish after you have cooked it yourself, burned it once, fixed it, and then cooked it for someone else without the recipe in front of you. The loop applies the same idea to a concept such as caching or consistent hashing.</w:t>
      </w:r>
    </w:p>
    <w:bookmarkEnd w:id="264"/>
    <w:bookmarkStart w:id="265" w:name="why-does-this-exist-17"/>
    <w:p>
      <w:pPr>
        <w:pStyle w:val="Heading4"/>
      </w:pPr>
      <w:r>
        <w:t xml:space="preserve">Why does this exist?</w:t>
      </w:r>
    </w:p>
    <w:p>
      <w:pPr>
        <w:pStyle w:val="FirstParagraph"/>
      </w:pPr>
      <w:r>
        <w:t xml:space="preserve">Most engineers learn system design by</w:t>
      </w:r>
      <w:r>
        <w:t xml:space="preserve"> </w:t>
      </w:r>
      <w:r>
        <w:rPr>
          <w:iCs/>
          <w:i/>
        </w:rPr>
        <w:t xml:space="preserve">exposure</w:t>
      </w:r>
      <w:r>
        <w:t xml:space="preserve">: they read blog posts, watch videos and skim chapters. Exposure feels productive because the material seems familiar on the second reading. Familiarity is not the same as the ability to</w:t>
      </w:r>
      <w:r>
        <w:t xml:space="preserve"> </w:t>
      </w:r>
      <w:r>
        <w:rPr>
          <w:iCs/>
          <w:i/>
        </w:rPr>
        <w:t xml:space="preserve">use</w:t>
      </w:r>
      <w:r>
        <w:t xml:space="preserve"> </w:t>
      </w:r>
      <w:r>
        <w:t xml:space="preserve">a concept. Learning researchers call this mismatch an illusion of competence. Rereading and highlighting are among the least effective study techniques measured [Dunlosky et al. 2013]. A design interview or a design review asks you to</w:t>
      </w:r>
      <w:r>
        <w:t xml:space="preserve"> </w:t>
      </w:r>
      <w:r>
        <w:rPr>
          <w:iCs/>
          <w:i/>
        </w:rPr>
        <w:t xml:space="preserve">produce</w:t>
      </w:r>
      <w:r>
        <w:t xml:space="preserve">: choose a mechanism, draw it, estimate it and defend it. The loop makes production the main activity.</w:t>
      </w:r>
    </w:p>
    <w:bookmarkEnd w:id="265"/>
    <w:bookmarkStart w:id="269" w:name="how-it-works-internally-15"/>
    <w:p>
      <w:pPr>
        <w:pStyle w:val="Heading4"/>
      </w:pPr>
      <w:r>
        <w:t xml:space="preserve">How it works internally</w:t>
      </w:r>
    </w:p>
    <w:p>
      <w:pPr>
        <w:pStyle w:val="FirstParagraph"/>
      </w:pPr>
      <w:r>
        <w:rPr>
          <w:bCs/>
          <w:b/>
        </w:rPr>
        <w:t xml:space="preserve">Table 3.1 — The ten steps, the question each answers, and the artifact each produces.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Step</w:t>
            </w:r>
          </w:p>
        </w:tc>
        <w:tc>
          <w:tcPr/>
          <w:p>
            <w:pPr>
              <w:pStyle w:val="Compact"/>
              <w:jc w:val="left"/>
            </w:pPr>
            <w:r>
              <w:t xml:space="preserve">Question it answers</w:t>
            </w:r>
          </w:p>
        </w:tc>
        <w:tc>
          <w:tcPr/>
          <w:p>
            <w:pPr>
              <w:pStyle w:val="Compact"/>
              <w:jc w:val="left"/>
            </w:pPr>
            <w:r>
              <w:t xml:space="preserve">Artifact</w:t>
            </w:r>
          </w:p>
        </w:tc>
        <w:tc>
          <w:tcPr/>
          <w:p>
            <w:pPr>
              <w:pStyle w:val="Compact"/>
              <w:jc w:val="left"/>
            </w:pPr>
            <w:r>
              <w:t xml:space="preserve">Typical time (L1–L2)</w:t>
            </w:r>
          </w:p>
        </w:tc>
      </w:tr>
      <w:tr>
        <w:tc>
          <w:tcPr/>
          <w:p>
            <w:pPr>
              <w:pStyle w:val="Compact"/>
              <w:jc w:val="left"/>
            </w:pPr>
            <w:r>
              <w:t xml:space="preserve">1</w:t>
            </w:r>
          </w:p>
        </w:tc>
        <w:tc>
          <w:tcPr/>
          <w:p>
            <w:pPr>
              <w:pStyle w:val="Compact"/>
              <w:jc w:val="left"/>
            </w:pPr>
            <w:r>
              <w:t xml:space="preserve">Understand the concept</w:t>
            </w:r>
          </w:p>
        </w:tc>
        <w:tc>
          <w:tcPr/>
          <w:p>
            <w:pPr>
              <w:pStyle w:val="Compact"/>
              <w:jc w:val="left"/>
            </w:pPr>
            <w:r>
              <w:t xml:space="preserve">What is it, in one precise sentence?</w:t>
            </w:r>
          </w:p>
        </w:tc>
        <w:tc>
          <w:tcPr/>
          <w:p>
            <w:pPr>
              <w:pStyle w:val="Compact"/>
              <w:jc w:val="left"/>
            </w:pPr>
            <w:r>
              <w:t xml:space="preserve">Definition in your own words</w:t>
            </w:r>
          </w:p>
        </w:tc>
        <w:tc>
          <w:tcPr/>
          <w:p>
            <w:pPr>
              <w:pStyle w:val="Compact"/>
              <w:jc w:val="left"/>
            </w:pPr>
            <w:r>
              <w:t xml:space="preserve">15 min</w:t>
            </w:r>
          </w:p>
        </w:tc>
      </w:tr>
      <w:tr>
        <w:tc>
          <w:tcPr/>
          <w:p>
            <w:pPr>
              <w:pStyle w:val="Compact"/>
              <w:jc w:val="left"/>
            </w:pPr>
            <w:r>
              <w:t xml:space="preserve">2</w:t>
            </w:r>
          </w:p>
        </w:tc>
        <w:tc>
          <w:tcPr/>
          <w:p>
            <w:pPr>
              <w:pStyle w:val="Compact"/>
              <w:jc w:val="left"/>
            </w:pPr>
            <w:r>
              <w:t xml:space="preserve">Identify the problem it solves</w:t>
            </w:r>
          </w:p>
        </w:tc>
        <w:tc>
          <w:tcPr/>
          <w:p>
            <w:pPr>
              <w:pStyle w:val="Compact"/>
              <w:jc w:val="left"/>
            </w:pPr>
            <w:r>
              <w:t xml:space="preserve">What breaks without it?</w:t>
            </w:r>
          </w:p>
        </w:tc>
        <w:tc>
          <w:tcPr/>
          <w:p>
            <w:pPr>
              <w:pStyle w:val="Compact"/>
              <w:jc w:val="left"/>
            </w:pPr>
            <w:r>
              <w:t xml:space="preserve">A</w:t>
            </w:r>
            <w:r>
              <w:t xml:space="preserve"> </w:t>
            </w:r>
            <w:r>
              <w:t xml:space="preserve">“</w:t>
            </w:r>
            <w:r>
              <w:t xml:space="preserve">before</w:t>
            </w:r>
            <w:r>
              <w:t xml:space="preserve">”</w:t>
            </w:r>
            <w:r>
              <w:t xml:space="preserve"> </w:t>
            </w:r>
            <w:r>
              <w:t xml:space="preserve">scenario with numbers</w:t>
            </w:r>
          </w:p>
        </w:tc>
        <w:tc>
          <w:tcPr/>
          <w:p>
            <w:pPr>
              <w:pStyle w:val="Compact"/>
              <w:jc w:val="left"/>
            </w:pPr>
            <w:r>
              <w:t xml:space="preserve">20 min</w:t>
            </w:r>
          </w:p>
        </w:tc>
      </w:tr>
      <w:tr>
        <w:tc>
          <w:tcPr/>
          <w:p>
            <w:pPr>
              <w:pStyle w:val="Compact"/>
              <w:jc w:val="left"/>
            </w:pPr>
            <w:r>
              <w:t xml:space="preserve">3</w:t>
            </w:r>
          </w:p>
        </w:tc>
        <w:tc>
          <w:tcPr/>
          <w:p>
            <w:pPr>
              <w:pStyle w:val="Compact"/>
              <w:jc w:val="left"/>
            </w:pPr>
            <w:r>
              <w:t xml:space="preserve">Understand the mechanism</w:t>
            </w:r>
          </w:p>
        </w:tc>
        <w:tc>
          <w:tcPr/>
          <w:p>
            <w:pPr>
              <w:pStyle w:val="Compact"/>
              <w:jc w:val="left"/>
            </w:pPr>
            <w:r>
              <w:t xml:space="preserve">How does it work, step by step?</w:t>
            </w:r>
          </w:p>
        </w:tc>
        <w:tc>
          <w:tcPr/>
          <w:p>
            <w:pPr>
              <w:pStyle w:val="Compact"/>
              <w:jc w:val="left"/>
            </w:pPr>
            <w:r>
              <w:t xml:space="preserve">Numbered mechanism description</w:t>
            </w:r>
          </w:p>
        </w:tc>
        <w:tc>
          <w:tcPr/>
          <w:p>
            <w:pPr>
              <w:pStyle w:val="Compact"/>
              <w:jc w:val="left"/>
            </w:pPr>
            <w:r>
              <w:t xml:space="preserve">45 min</w:t>
            </w:r>
          </w:p>
        </w:tc>
      </w:tr>
      <w:tr>
        <w:tc>
          <w:tcPr/>
          <w:p>
            <w:pPr>
              <w:pStyle w:val="Compact"/>
              <w:jc w:val="left"/>
            </w:pPr>
            <w:r>
              <w:t xml:space="preserve">4</w:t>
            </w:r>
          </w:p>
        </w:tc>
        <w:tc>
          <w:tcPr/>
          <w:p>
            <w:pPr>
              <w:pStyle w:val="Compact"/>
              <w:jc w:val="left"/>
            </w:pPr>
            <w:r>
              <w:t xml:space="preserve">Draw the architecture</w:t>
            </w:r>
          </w:p>
        </w:tc>
        <w:tc>
          <w:tcPr/>
          <w:p>
            <w:pPr>
              <w:pStyle w:val="Compact"/>
              <w:jc w:val="left"/>
            </w:pPr>
            <w:r>
              <w:t xml:space="preserve">Where does it sit and what talks to it?</w:t>
            </w:r>
          </w:p>
        </w:tc>
        <w:tc>
          <w:tcPr/>
          <w:p>
            <w:pPr>
              <w:pStyle w:val="Compact"/>
              <w:jc w:val="left"/>
            </w:pPr>
            <w:r>
              <w:t xml:space="preserve">Diagram drawn from memory</w:t>
            </w:r>
          </w:p>
        </w:tc>
        <w:tc>
          <w:tcPr/>
          <w:p>
            <w:pPr>
              <w:pStyle w:val="Compact"/>
              <w:jc w:val="left"/>
            </w:pPr>
            <w:r>
              <w:t xml:space="preserve">20 min</w:t>
            </w:r>
          </w:p>
        </w:tc>
      </w:tr>
      <w:tr>
        <w:tc>
          <w:tcPr/>
          <w:p>
            <w:pPr>
              <w:pStyle w:val="Compact"/>
              <w:jc w:val="left"/>
            </w:pPr>
            <w:r>
              <w:t xml:space="preserve">5</w:t>
            </w:r>
          </w:p>
        </w:tc>
        <w:tc>
          <w:tcPr/>
          <w:p>
            <w:pPr>
              <w:pStyle w:val="Compact"/>
              <w:jc w:val="left"/>
            </w:pPr>
            <w:r>
              <w:t xml:space="preserve">Study an actual implementation</w:t>
            </w:r>
          </w:p>
        </w:tc>
        <w:tc>
          <w:tcPr/>
          <w:p>
            <w:pPr>
              <w:pStyle w:val="Compact"/>
              <w:jc w:val="left"/>
            </w:pPr>
            <w:r>
              <w:t xml:space="preserve">How did a real system build it?</w:t>
            </w:r>
          </w:p>
        </w:tc>
        <w:tc>
          <w:tcPr/>
          <w:p>
            <w:pPr>
              <w:pStyle w:val="Compact"/>
              <w:jc w:val="left"/>
            </w:pPr>
            <w:r>
              <w:t xml:space="preserve">Notes on one paper, docs page or codebase</w:t>
            </w:r>
          </w:p>
        </w:tc>
        <w:tc>
          <w:tcPr/>
          <w:p>
            <w:pPr>
              <w:pStyle w:val="Compact"/>
              <w:jc w:val="left"/>
            </w:pPr>
            <w:r>
              <w:t xml:space="preserve">60–120 min</w:t>
            </w:r>
          </w:p>
        </w:tc>
      </w:tr>
      <w:tr>
        <w:tc>
          <w:tcPr/>
          <w:p>
            <w:pPr>
              <w:pStyle w:val="Compact"/>
              <w:jc w:val="left"/>
            </w:pPr>
            <w:r>
              <w:t xml:space="preserve">6</w:t>
            </w:r>
          </w:p>
        </w:tc>
        <w:tc>
          <w:tcPr/>
          <w:p>
            <w:pPr>
              <w:pStyle w:val="Compact"/>
              <w:jc w:val="left"/>
            </w:pPr>
            <w:r>
              <w:t xml:space="preserve">Analyze trade-offs</w:t>
            </w:r>
          </w:p>
        </w:tc>
        <w:tc>
          <w:tcPr/>
          <w:p>
            <w:pPr>
              <w:pStyle w:val="Compact"/>
              <w:jc w:val="left"/>
            </w:pPr>
            <w:r>
              <w:t xml:space="preserve">What does it cost, and versus what?</w:t>
            </w:r>
          </w:p>
        </w:tc>
        <w:tc>
          <w:tcPr/>
          <w:p>
            <w:pPr>
              <w:pStyle w:val="Compact"/>
              <w:jc w:val="left"/>
            </w:pPr>
            <w:r>
              <w:t xml:space="preserve">Comparison table against alternatives</w:t>
            </w:r>
          </w:p>
        </w:tc>
        <w:tc>
          <w:tcPr/>
          <w:p>
            <w:pPr>
              <w:pStyle w:val="Compact"/>
              <w:jc w:val="left"/>
            </w:pPr>
            <w:r>
              <w:t xml:space="preserve">30 min</w:t>
            </w:r>
          </w:p>
        </w:tc>
      </w:tr>
      <w:tr>
        <w:tc>
          <w:tcPr/>
          <w:p>
            <w:pPr>
              <w:pStyle w:val="Compact"/>
              <w:jc w:val="left"/>
            </w:pPr>
            <w:r>
              <w:t xml:space="preserve">7</w:t>
            </w:r>
          </w:p>
        </w:tc>
        <w:tc>
          <w:tcPr/>
          <w:p>
            <w:pPr>
              <w:pStyle w:val="Compact"/>
              <w:jc w:val="left"/>
            </w:pPr>
            <w:r>
              <w:t xml:space="preserve">Explore failure scenarios</w:t>
            </w:r>
          </w:p>
        </w:tc>
        <w:tc>
          <w:tcPr/>
          <w:p>
            <w:pPr>
              <w:pStyle w:val="Compact"/>
              <w:jc w:val="left"/>
            </w:pPr>
            <w:r>
              <w:t xml:space="preserve">How does it break?</w:t>
            </w:r>
          </w:p>
        </w:tc>
        <w:tc>
          <w:tcPr/>
          <w:p>
            <w:pPr>
              <w:pStyle w:val="Compact"/>
              <w:jc w:val="left"/>
            </w:pPr>
            <w:r>
              <w:t xml:space="preserve">Failure table (what, why, detect, recover, prevent)</w:t>
            </w:r>
          </w:p>
        </w:tc>
        <w:tc>
          <w:tcPr/>
          <w:p>
            <w:pPr>
              <w:pStyle w:val="Compact"/>
              <w:jc w:val="left"/>
            </w:pPr>
            <w:r>
              <w:t xml:space="preserve">30 min</w:t>
            </w:r>
          </w:p>
        </w:tc>
      </w:tr>
      <w:tr>
        <w:tc>
          <w:tcPr/>
          <w:p>
            <w:pPr>
              <w:pStyle w:val="Compact"/>
              <w:jc w:val="left"/>
            </w:pPr>
            <w:r>
              <w:t xml:space="preserve">8</w:t>
            </w:r>
          </w:p>
        </w:tc>
        <w:tc>
          <w:tcPr/>
          <w:p>
            <w:pPr>
              <w:pStyle w:val="Compact"/>
              <w:jc w:val="left"/>
            </w:pPr>
            <w:r>
              <w:t xml:space="preserve">Implement a simplified version</w:t>
            </w:r>
          </w:p>
        </w:tc>
        <w:tc>
          <w:tcPr/>
          <w:p>
            <w:pPr>
              <w:pStyle w:val="Compact"/>
              <w:jc w:val="left"/>
            </w:pPr>
            <w:r>
              <w:t xml:space="preserve">Can I build the core?</w:t>
            </w:r>
          </w:p>
        </w:tc>
        <w:tc>
          <w:tcPr/>
          <w:p>
            <w:pPr>
              <w:pStyle w:val="Compact"/>
              <w:jc w:val="left"/>
            </w:pPr>
            <w:r>
              <w:t xml:space="preserve">Runnable program of 50–300 lines with a measurement</w:t>
            </w:r>
          </w:p>
        </w:tc>
        <w:tc>
          <w:tcPr/>
          <w:p>
            <w:pPr>
              <w:pStyle w:val="Compact"/>
              <w:jc w:val="left"/>
            </w:pPr>
            <w:r>
              <w:t xml:space="preserve">2–4 h</w:t>
            </w:r>
          </w:p>
        </w:tc>
      </w:tr>
      <w:tr>
        <w:tc>
          <w:tcPr/>
          <w:p>
            <w:pPr>
              <w:pStyle w:val="Compact"/>
              <w:jc w:val="left"/>
            </w:pPr>
            <w:r>
              <w:t xml:space="preserve">9</w:t>
            </w:r>
          </w:p>
        </w:tc>
        <w:tc>
          <w:tcPr/>
          <w:p>
            <w:pPr>
              <w:pStyle w:val="Compact"/>
              <w:jc w:val="left"/>
            </w:pPr>
            <w:r>
              <w:t xml:space="preserve">Solve a design problem</w:t>
            </w:r>
          </w:p>
        </w:tc>
        <w:tc>
          <w:tcPr/>
          <w:p>
            <w:pPr>
              <w:pStyle w:val="Compact"/>
              <w:jc w:val="left"/>
            </w:pPr>
            <w:r>
              <w:t xml:space="preserve">Can I use it in context?</w:t>
            </w:r>
          </w:p>
        </w:tc>
        <w:tc>
          <w:tcPr/>
          <w:p>
            <w:pPr>
              <w:pStyle w:val="Compact"/>
              <w:jc w:val="left"/>
            </w:pPr>
            <w:r>
              <w:t xml:space="preserve">A small design that uses the concept</w:t>
            </w:r>
          </w:p>
        </w:tc>
        <w:tc>
          <w:tcPr/>
          <w:p>
            <w:pPr>
              <w:pStyle w:val="Compact"/>
              <w:jc w:val="left"/>
            </w:pPr>
            <w:r>
              <w:t xml:space="preserve">45–60 min</w:t>
            </w:r>
          </w:p>
        </w:tc>
      </w:tr>
      <w:tr>
        <w:tc>
          <w:tcPr/>
          <w:p>
            <w:pPr>
              <w:pStyle w:val="Compact"/>
              <w:jc w:val="left"/>
            </w:pPr>
            <w:r>
              <w:t xml:space="preserve">10</w:t>
            </w:r>
          </w:p>
        </w:tc>
        <w:tc>
          <w:tcPr/>
          <w:p>
            <w:pPr>
              <w:pStyle w:val="Compact"/>
              <w:jc w:val="left"/>
            </w:pPr>
            <w:r>
              <w:t xml:space="preserve">Explain it independently</w:t>
            </w:r>
          </w:p>
        </w:tc>
        <w:tc>
          <w:tcPr/>
          <w:p>
            <w:pPr>
              <w:pStyle w:val="Compact"/>
              <w:jc w:val="left"/>
            </w:pPr>
            <w:r>
              <w:t xml:space="preserve">Can I teach it without notes?</w:t>
            </w:r>
          </w:p>
        </w:tc>
        <w:tc>
          <w:tcPr/>
          <w:p>
            <w:pPr>
              <w:pStyle w:val="Compact"/>
              <w:jc w:val="left"/>
            </w:pPr>
            <w:r>
              <w:t xml:space="preserve">2–5 minute spoken or written explanation</w:t>
            </w:r>
          </w:p>
        </w:tc>
        <w:tc>
          <w:tcPr/>
          <w:p>
            <w:pPr>
              <w:pStyle w:val="Compact"/>
              <w:jc w:val="left"/>
            </w:pPr>
            <w:r>
              <w:t xml:space="preserve">15 min</w:t>
            </w:r>
          </w:p>
        </w:tc>
      </w:tr>
    </w:tbl>
    <w:p>
      <w:pPr>
        <w:pStyle w:val="BodyText"/>
      </w:pPr>
      <w:r>
        <w:t xml:space="preserve">A full pass takes about 6–10 hours for one substantial concept. Plan for that. A concept such as</w:t>
      </w:r>
      <w:r>
        <w:t xml:space="preserve"> </w:t>
      </w:r>
      <w:r>
        <w:t xml:space="preserve">“</w:t>
      </w:r>
      <w:r>
        <w:t xml:space="preserve">HTTP status codes</w:t>
      </w:r>
      <w:r>
        <w:t xml:space="preserve">”</w:t>
      </w:r>
      <w:r>
        <w:t xml:space="preserve"> </w:t>
      </w:r>
      <w:r>
        <w:t xml:space="preserve">does not need all ten steps. A concept such as consistent hashing, Raft or the KV cache does.</w:t>
      </w:r>
    </w:p>
    <w:p>
      <w:pPr>
        <w:pStyle w:val="BodyText"/>
      </w:pPr>
      <w:r>
        <w:t xml:space="preserve">The steps are ordered so that each one gives the next one something to work with. You cannot weigh trade-offs (6) until you know the mechanism (3). You should not implement (8) before you know the failure modes (7), because the failures tell you what your simulation must be able to show. Step 10 then checks all the earlier steps. Wherever your explanation falters, you return to that step. That return is why it is a loop and not a line.</w:t>
      </w:r>
    </w:p>
    <w:p>
      <w:pPr>
        <w:pStyle w:val="BodyText"/>
      </w:pPr>
      <w:r>
        <w:rPr>
          <w:bCs/>
          <w:b/>
        </w:rPr>
        <w:t xml:space="preserve">Figure 3.1 — The ten-step concept-mastery loop.</w:t>
      </w:r>
    </w:p>
    <w:p>
      <w:pPr>
        <w:pStyle w:val="BodyText"/>
      </w:pPr>
      <w:r>
        <w:drawing>
          <wp:inline>
            <wp:extent cx="5334000" cy="14003282"/>
            <wp:effectExtent b="0" l="0" r="0" t="0"/>
            <wp:docPr descr="" title="" id="267" name="Picture"/>
            <a:graphic>
              <a:graphicData uri="http://schemas.openxmlformats.org/drawingml/2006/picture">
                <pic:pic>
                  <pic:nvPicPr>
                    <pic:cNvPr descr="/home/user/System-Design/build/.cache/diagrams/9147b752e3a3.png" id="268" name="Picture"/>
                    <pic:cNvPicPr>
                      <a:picLocks noChangeArrowheads="1" noChangeAspect="1"/>
                    </pic:cNvPicPr>
                  </pic:nvPicPr>
                  <pic:blipFill>
                    <a:blip r:embed="rId266"/>
                    <a:stretch>
                      <a:fillRect/>
                    </a:stretch>
                  </pic:blipFill>
                  <pic:spPr bwMode="auto">
                    <a:xfrm>
                      <a:off x="0" y="0"/>
                      <a:ext cx="5334000" cy="14003282"/>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ten rectangles are learning activities, done in order. The solid arrows mean</w:t>
      </w:r>
      <w:r>
        <w:t xml:space="preserve"> </w:t>
      </w:r>
      <w:r>
        <w:t xml:space="preserve">“</w:t>
      </w:r>
      <w:r>
        <w:t xml:space="preserve">finish this before starting the next</w:t>
      </w:r>
      <w:r>
        <w:t xml:space="preserve">”</w:t>
      </w:r>
      <w:r>
        <w:t xml:space="preserve">. The decision node after step 10 is your self-test. If you cannot explain some part without notes, you go back to step 3 (mechanism), because most gaps turn out to be gaps in the mechanism. If you can, the concept goes into long-term storage: the cylinder represents your flashcard deck and design journal (§3.10). The dotted arrow is asynchronous. Days or weeks later, a scheduled review asks you to repeat step 10 from memory. The weak point in this process is skipping steps 7 and 8, which feel optional but are where most understanding is built. To scale the method across a whole book, run several concepts’ loops interleaved, not one after another (§3.4.5).</w:t>
      </w:r>
    </w:p>
    <w:bookmarkEnd w:id="269"/>
    <w:bookmarkStart w:id="270" w:name="common-misconceptions-10"/>
    <w:p>
      <w:pPr>
        <w:pStyle w:val="Heading4"/>
      </w:pPr>
      <w:r>
        <w:t xml:space="preserve">Common misconceptions</w:t>
      </w:r>
    </w:p>
    <w:p>
      <w:pPr>
        <w:pStyle w:val="CalloutMistake"/>
      </w:pPr>
      <w:r>
        <w:rPr>
          <w:bCs/>
          <w:b/>
        </w:rPr>
        <w:t xml:space="preserve">COMMON MISTAKE</w:t>
      </w:r>
    </w:p>
    <w:p>
      <w:pPr>
        <w:pStyle w:val="CalloutMistake"/>
      </w:pPr>
      <w:r>
        <w:rPr>
          <w:bCs/>
          <w:b/>
        </w:rPr>
        <w:t xml:space="preserve">Misconception —</w:t>
      </w:r>
      <w:r>
        <w:rPr>
          <w:bCs/>
          <w:b/>
        </w:rPr>
        <w:t xml:space="preserve"> </w:t>
      </w:r>
      <w:r>
        <w:rPr>
          <w:bCs/>
          <w:b/>
        </w:rPr>
        <w:t xml:space="preserve">“</w:t>
      </w:r>
      <w:r>
        <w:rPr>
          <w:bCs/>
          <w:b/>
        </w:rPr>
        <w:t xml:space="preserve">I understood it when I read it, so I know it.</w:t>
      </w:r>
      <w:r>
        <w:rPr>
          <w:bCs/>
          <w:b/>
        </w:rPr>
        <w:t xml:space="preserve">”</w:t>
      </w:r>
      <w:r>
        <w:t xml:space="preserve"> </w:t>
      </w:r>
      <w:r>
        <w:t xml:space="preserve">Understanding while reading is recognition: the text is in front of you and gives you the cues. Using a concept in a design is recall: you have to bring it up with no cues. Only steps 4, 8, 9 and 10 test recall. If you skip them, you will not know what you are unable to do.</w:t>
      </w:r>
    </w:p>
    <w:bookmarkEnd w:id="270"/>
    <w:bookmarkEnd w:id="271"/>
    <w:bookmarkStart w:id="288" w:name="the-loop-demonstrated-consistent-hashing"/>
    <w:p>
      <w:pPr>
        <w:pStyle w:val="Heading3"/>
      </w:pPr>
      <w:r>
        <w:t xml:space="preserve">3.3.2 The loop demonstrated: consistent hashing</w:t>
      </w:r>
    </w:p>
    <w:p>
      <w:pPr>
        <w:pStyle w:val="FirstParagraph"/>
      </w:pPr>
      <w:r>
        <w:t xml:space="preserve">The rest of §3.3 runs one concept through all ten steps. It shows the artifacts at the depth we expect from you. We use</w:t>
      </w:r>
      <w:r>
        <w:t xml:space="preserve"> </w:t>
      </w:r>
      <w:r>
        <w:rPr>
          <w:bCs/>
          <w:b/>
        </w:rPr>
        <w:t xml:space="preserve">consistent hashing</w:t>
      </w:r>
      <w:r>
        <w:t xml:space="preserve"> </w:t>
      </w:r>
      <w:r>
        <w:t xml:space="preserve">because it is compact enough for one section and still has a real mechanism, real failure modes and real implementations. Chapter 14 (§14.8) and Chapter 20 (§20.14) treat it in full. Treat what follows as a sample of how to study, not the canonical treatment.</w:t>
      </w:r>
    </w:p>
    <w:bookmarkStart w:id="272" w:name="step-1-understand-the-concept"/>
    <w:p>
      <w:pPr>
        <w:pStyle w:val="Heading4"/>
      </w:pPr>
      <w:r>
        <w:t xml:space="preserve">Step 1 — Understand the concept</w:t>
      </w:r>
    </w:p>
    <w:p>
      <w:pPr>
        <w:pStyle w:val="CalloutDefinition"/>
      </w:pPr>
      <w:r>
        <w:rPr>
          <w:bCs/>
          <w:b/>
        </w:rPr>
        <w:t xml:space="preserve">DEFINITION</w:t>
      </w:r>
    </w:p>
    <w:p>
      <w:pPr>
        <w:pStyle w:val="CalloutDefinition"/>
      </w:pPr>
      <w:r>
        <w:rPr>
          <w:bCs/>
          <w:b/>
        </w:rPr>
        <w:t xml:space="preserve">Definition — Consistent hashing.</w:t>
      </w:r>
      <w:r>
        <w:t xml:space="preserve"> </w:t>
      </w:r>
      <w:r>
        <w:t xml:space="preserve">A way of assigning keys to nodes so that, when a node is added or removed, only about</w:t>
      </w:r>
      <w:r>
        <w:t xml:space="preserve"> </w:t>
      </w:r>
      <m:oMath>
        <m:r>
          <m:t>K</m:t>
        </m:r>
        <m:r>
          <m:rPr>
            <m:sty m:val="p"/>
          </m:rPr>
          <m:t>/</m:t>
        </m:r>
        <m:r>
          <m:t>N</m:t>
        </m:r>
      </m:oMath>
      <w:r>
        <w:t xml:space="preserve"> </w:t>
      </w:r>
      <w:r>
        <w:t xml:space="preserve">of the</w:t>
      </w:r>
      <w:r>
        <w:t xml:space="preserve"> </w:t>
      </w:r>
      <m:oMath>
        <m:r>
          <m:t>K</m:t>
        </m:r>
      </m:oMath>
      <w:r>
        <w:t xml:space="preserve"> </w:t>
      </w:r>
      <w:r>
        <w:t xml:space="preserve">keys change owner, where</w:t>
      </w:r>
      <w:r>
        <w:t xml:space="preserve"> </w:t>
      </w:r>
      <m:oMath>
        <m:r>
          <m:t>N</m:t>
        </m:r>
      </m:oMath>
      <w:r>
        <w:t xml:space="preserve"> </w:t>
      </w:r>
      <w:r>
        <w:t xml:space="preserve">is the number of nodes. Both keys and nodes are hashed onto the same circular number space (the</w:t>
      </w:r>
      <w:r>
        <w:t xml:space="preserve"> </w:t>
      </w:r>
      <w:r>
        <w:rPr>
          <w:bCs/>
          <w:b/>
        </w:rPr>
        <w:t xml:space="preserve">ring</w:t>
      </w:r>
      <w:r>
        <w:t xml:space="preserve">). Each key belongs to the first node found by moving clockwise from the key’s position [Karger et al. 1997].</w:t>
      </w:r>
    </w:p>
    <w:p>
      <w:pPr>
        <w:pStyle w:val="BodyText"/>
      </w:pPr>
      <w:r>
        <w:rPr>
          <w:bCs/>
          <w:b/>
        </w:rPr>
        <w:t xml:space="preserve">Self-check artifact:</w:t>
      </w:r>
      <w:r>
        <w:t xml:space="preserve"> </w:t>
      </w:r>
      <w:r>
        <w:t xml:space="preserve">one sentence in your own words, with no jargon you cannot define. For example:</w:t>
      </w:r>
      <w:r>
        <w:t xml:space="preserve"> </w:t>
      </w:r>
      <w:r>
        <w:t xml:space="preserve">“</w:t>
      </w:r>
      <w:r>
        <w:t xml:space="preserve">It spreads keys over servers so that adding a server moves only that server’s fair share of keys.</w:t>
      </w:r>
      <w:r>
        <w:t xml:space="preserve">”</w:t>
      </w:r>
    </w:p>
    <w:bookmarkEnd w:id="272"/>
    <w:bookmarkStart w:id="273" w:name="step-2-identify-the-problem-it-solves"/>
    <w:p>
      <w:pPr>
        <w:pStyle w:val="Heading4"/>
      </w:pPr>
      <w:r>
        <w:t xml:space="preserve">Step 2 — Identify the problem it solves</w:t>
      </w:r>
    </w:p>
    <w:p>
      <w:pPr>
        <w:pStyle w:val="FirstParagraph"/>
      </w:pPr>
      <w:r>
        <w:t xml:space="preserve">Suppose you run four cache nodes and route each key with</w:t>
      </w:r>
      <w:r>
        <w:t xml:space="preserve"> </w:t>
      </w:r>
      <w:r>
        <w:rPr>
          <w:rStyle w:val="VerbatimChar"/>
        </w:rPr>
        <w:t xml:space="preserve">node = hash(key) mod 4</w:t>
      </w:r>
      <w:r>
        <w:t xml:space="preserve">. Traffic grows, so you add a fifth node and the rule becomes</w:t>
      </w:r>
      <w:r>
        <w:t xml:space="preserve"> </w:t>
      </w:r>
      <w:r>
        <w:rPr>
          <w:rStyle w:val="VerbatimChar"/>
        </w:rPr>
        <w:t xml:space="preserve">hash(key) mod 5</w:t>
      </w:r>
      <w:r>
        <w:t xml:space="preserve">. For most keys,</w:t>
      </w:r>
      <w:r>
        <w:t xml:space="preserve"> </w:t>
      </w:r>
      <w:r>
        <w:rPr>
          <w:rStyle w:val="VerbatimChar"/>
        </w:rPr>
        <w:t xml:space="preserve">hash mod 4</w:t>
      </w:r>
      <w:r>
        <w:t xml:space="preserve"> </w:t>
      </w:r>
      <w:r>
        <w:t xml:space="preserve">and</w:t>
      </w:r>
      <w:r>
        <w:t xml:space="preserve"> </w:t>
      </w:r>
      <w:r>
        <w:rPr>
          <w:rStyle w:val="VerbatimChar"/>
        </w:rPr>
        <w:t xml:space="preserve">hash mod 5</w:t>
      </w:r>
      <w:r>
        <w:t xml:space="preserve"> </w:t>
      </w:r>
      <w:r>
        <w:t xml:space="preserve">point to different nodes. Those keys now live on the wrong node, so nearly every request misses the cache and falls through to the database at the very moment you were trying to add capacity.</w:t>
      </w:r>
    </w:p>
    <w:p>
      <w:pPr>
        <w:pStyle w:val="CalloutFormula"/>
      </w:pPr>
      <w:r>
        <w:rPr>
          <w:bCs/>
          <w:b/>
        </w:rPr>
        <w:t xml:space="preserve">FORMULA</w:t>
      </w:r>
    </w:p>
    <w:p>
      <w:pPr>
        <w:pStyle w:val="CalloutFormula"/>
      </w:pPr>
      <w:r>
        <w:rPr>
          <w:bCs/>
          <w:b/>
        </w:rPr>
        <w:t xml:space="preserve">Fraction of keys remapped when growing from</w:t>
      </w:r>
      <w:r>
        <w:rPr>
          <w:bCs/>
          <w:b/>
        </w:rPr>
        <w:t xml:space="preserve"> </w:t>
      </w:r>
      <m:oMath>
        <m:r>
          <m:t>N</m:t>
        </m:r>
      </m:oMath>
      <w:r>
        <w:rPr>
          <w:bCs/>
          <w:b/>
        </w:rPr>
        <w:t xml:space="preserve"> </w:t>
      </w:r>
      <w:r>
        <w:rPr>
          <w:bCs/>
          <w:b/>
        </w:rPr>
        <w:t xml:space="preserve">to</w:t>
      </w:r>
      <w:r>
        <w:rPr>
          <w:bCs/>
          <w:b/>
        </w:rPr>
        <w:t xml:space="preserve"> </w:t>
      </w:r>
      <m:oMath>
        <m:r>
          <m:t>N</m:t>
        </m:r>
        <m:r>
          <m:rPr>
            <m:sty m:val="p"/>
          </m:rPr>
          <m:t>+</m:t>
        </m:r>
        <m:r>
          <m:t>1</m:t>
        </m:r>
      </m:oMath>
      <w:r>
        <w:rPr>
          <w:bCs/>
          <w:b/>
        </w:rPr>
        <w:t xml:space="preserve"> </w:t>
      </w:r>
      <w:r>
        <w:rPr>
          <w:bCs/>
          <w:b/>
        </w:rPr>
        <w:t xml:space="preserve">nodes</w:t>
      </w:r>
    </w:p>
    <w:p>
      <w:pPr>
        <w:pStyle w:val="CalloutFormula"/>
      </w:pPr>
      <m:oMathPara>
        <m:oMathParaPr>
          <m:jc m:val="center"/>
        </m:oMathParaPr>
        <m:oMath>
          <m:sSub>
            <m:e>
              <m:r>
                <m:t>f</m:t>
              </m:r>
            </m:e>
            <m:sub>
              <m:r>
                <m:rPr>
                  <m:nor/>
                  <m:sty m:val="p"/>
                </m:rPr>
                <m:t>mod</m:t>
              </m:r>
            </m:sub>
          </m:sSub>
          <m:r>
            <m:rPr>
              <m:sty m:val="p"/>
            </m:rPr>
            <m:t>=</m:t>
          </m:r>
          <m:r>
            <m:t>1</m:t>
          </m:r>
          <m:r>
            <m:rPr>
              <m:sty m:val="p"/>
            </m:rPr>
            <m:t>−</m:t>
          </m:r>
          <m:f>
            <m:fPr>
              <m:type m:val="bar"/>
            </m:fPr>
            <m:num>
              <m:r>
                <m:t>1</m:t>
              </m:r>
            </m:num>
            <m:den>
              <m:r>
                <m:t>N</m:t>
              </m:r>
              <m:r>
                <m:rPr>
                  <m:sty m:val="p"/>
                </m:rPr>
                <m:t>+</m:t>
              </m:r>
              <m:r>
                <m:t>1</m:t>
              </m:r>
            </m:den>
          </m:f>
          <m:r>
            <m:rPr>
              <m:sty m:val="p"/>
            </m:rPr>
            <m:t>=</m:t>
          </m:r>
          <m:f>
            <m:fPr>
              <m:type m:val="bar"/>
            </m:fPr>
            <m:num>
              <m:r>
                <m:t>N</m:t>
              </m:r>
            </m:num>
            <m:den>
              <m:r>
                <m:t>N</m:t>
              </m:r>
              <m:r>
                <m:rPr>
                  <m:sty m:val="p"/>
                </m:rPr>
                <m:t>+</m:t>
              </m:r>
              <m:r>
                <m:t>1</m:t>
              </m:r>
            </m:den>
          </m:f>
          <m:r>
            <m:t>  </m:t>
          </m:r>
          <m:r>
            <m:t>  </m:t>
          </m:r>
          <m:sSub>
            <m:e>
              <m:r>
                <m:t>f</m:t>
              </m:r>
            </m:e>
            <m:sub>
              <m:r>
                <m:rPr>
                  <m:nor/>
                  <m:sty m:val="p"/>
                </m:rPr>
                <m:t>ring</m:t>
              </m:r>
            </m:sub>
          </m:sSub>
          <m:r>
            <m:rPr>
              <m:sty m:val="p"/>
            </m:rPr>
            <m:t>≈</m:t>
          </m:r>
          <m:f>
            <m:fPr>
              <m:type m:val="bar"/>
            </m:fPr>
            <m:num>
              <m:r>
                <m:t>1</m:t>
              </m:r>
            </m:num>
            <m:den>
              <m:r>
                <m:t>N</m:t>
              </m:r>
              <m:r>
                <m:rPr>
                  <m:sty m:val="p"/>
                </m:rPr>
                <m:t>+</m:t>
              </m:r>
              <m:r>
                <m:t>1</m:t>
              </m:r>
            </m:den>
          </m:f>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N</m:t>
              </m:r>
            </m:oMath>
          </w:p>
        </w:tc>
        <w:tc>
          <w:tcPr/>
          <w:p>
            <w:pPr>
              <w:pStyle w:val="Compact"/>
              <w:jc w:val="left"/>
            </w:pPr>
            <w:r>
              <w:t xml:space="preserve">Number of nodes before the change</w:t>
            </w:r>
          </w:p>
        </w:tc>
        <w:tc>
          <w:tcPr/>
          <w:p>
            <w:pPr>
              <w:pStyle w:val="Compact"/>
              <w:jc w:val="left"/>
            </w:pPr>
            <w:r>
              <w:t xml:space="preserve">nodes</w:t>
            </w:r>
          </w:p>
        </w:tc>
      </w:tr>
      <w:tr>
        <w:tc>
          <w:tcPr/>
          <w:p>
            <w:pPr>
              <w:pStyle w:val="Compact"/>
              <w:jc w:val="left"/>
            </w:pPr>
            <m:oMath>
              <m:sSub>
                <m:e>
                  <m:r>
                    <m:t>f</m:t>
                  </m:r>
                </m:e>
                <m:sub>
                  <m:r>
                    <m:rPr>
                      <m:nor/>
                      <m:sty m:val="p"/>
                    </m:rPr>
                    <m:t>mod</m:t>
                  </m:r>
                </m:sub>
              </m:sSub>
            </m:oMath>
          </w:p>
        </w:tc>
        <w:tc>
          <w:tcPr/>
          <w:p>
            <w:pPr>
              <w:pStyle w:val="Compact"/>
              <w:jc w:val="left"/>
            </w:pPr>
            <w:r>
              <w:t xml:space="preserve">Expected fraction of keys whose owner changes under</w:t>
            </w:r>
            <w:r>
              <w:t xml:space="preserve"> </w:t>
            </w:r>
            <w:r>
              <w:rPr>
                <w:rStyle w:val="VerbatimChar"/>
              </w:rPr>
              <w:t xml:space="preserve">hash mod N</w:t>
            </w:r>
            <w:r>
              <w:t xml:space="preserve"> </w:t>
            </w:r>
            <w:r>
              <w:t xml:space="preserve">(uniform hashing)</w:t>
            </w:r>
          </w:p>
        </w:tc>
        <w:tc>
          <w:tcPr/>
          <w:p>
            <w:pPr>
              <w:pStyle w:val="Compact"/>
              <w:jc w:val="left"/>
            </w:pPr>
            <w:r>
              <w:t xml:space="preserve">dimensionless (0–1)</w:t>
            </w:r>
          </w:p>
        </w:tc>
      </w:tr>
      <w:tr>
        <w:tc>
          <w:tcPr/>
          <w:p>
            <w:pPr>
              <w:pStyle w:val="Compact"/>
              <w:jc w:val="left"/>
            </w:pPr>
            <m:oMath>
              <m:sSub>
                <m:e>
                  <m:r>
                    <m:t>f</m:t>
                  </m:r>
                </m:e>
                <m:sub>
                  <m:r>
                    <m:rPr>
                      <m:nor/>
                      <m:sty m:val="p"/>
                    </m:rPr>
                    <m:t>ring</m:t>
                  </m:r>
                </m:sub>
              </m:sSub>
            </m:oMath>
          </w:p>
        </w:tc>
        <w:tc>
          <w:tcPr/>
          <w:p>
            <w:pPr>
              <w:pStyle w:val="Compact"/>
              <w:jc w:val="left"/>
            </w:pPr>
            <w:r>
              <w:t xml:space="preserve">Expected fraction of keys whose owner changes under consistent hashing</w:t>
            </w:r>
          </w:p>
        </w:tc>
        <w:tc>
          <w:tcPr/>
          <w:p>
            <w:pPr>
              <w:pStyle w:val="Compact"/>
              <w:jc w:val="left"/>
            </w:pPr>
            <w:r>
              <w:t xml:space="preserve">dimensionless (0–1)</w:t>
            </w:r>
          </w:p>
        </w:tc>
      </w:tr>
    </w:tbl>
    <w:p>
      <w:pPr>
        <w:pStyle w:val="BodyText"/>
      </w:pPr>
      <w:r>
        <w:t xml:space="preserve">The</w:t>
      </w:r>
      <w:r>
        <w:t xml:space="preserve"> </w:t>
      </w:r>
      <m:oMath>
        <m:sSub>
          <m:e>
            <m:r>
              <m:t>f</m:t>
            </m:r>
          </m:e>
          <m:sub>
            <m:r>
              <m:rPr>
                <m:nor/>
                <m:sty m:val="p"/>
              </m:rPr>
              <m:t>mod</m:t>
            </m:r>
          </m:sub>
        </m:sSub>
      </m:oMath>
      <w:r>
        <w:t xml:space="preserve"> </w:t>
      </w:r>
      <w:r>
        <w:t xml:space="preserve">result comes from a simple observation. A key stays on the same node only if</w:t>
      </w:r>
      <w:r>
        <w:t xml:space="preserve"> </w:t>
      </w:r>
      <w:r>
        <w:rPr>
          <w:rStyle w:val="VerbatimChar"/>
        </w:rPr>
        <w:t xml:space="preserve">h mod N</w:t>
      </w:r>
      <w:r>
        <w:t xml:space="preserve"> </w:t>
      </w:r>
      <w:r>
        <w:t xml:space="preserve">equals</w:t>
      </w:r>
      <w:r>
        <w:t xml:space="preserve"> </w:t>
      </w:r>
      <w:r>
        <w:rPr>
          <w:rStyle w:val="VerbatimChar"/>
        </w:rPr>
        <w:t xml:space="preserve">h mod (N+1)</w:t>
      </w:r>
      <w:r>
        <w:t xml:space="preserve">. For uniformly distributed hashes, that happens for about</w:t>
      </w:r>
      <w:r>
        <w:t xml:space="preserve"> </w:t>
      </w:r>
      <m:oMath>
        <m:r>
          <m:t>1</m:t>
        </m:r>
        <m:r>
          <m:rPr>
            <m:sty m:val="p"/>
          </m:rPr>
          <m:t>/</m:t>
        </m:r>
        <m:d>
          <m:dPr>
            <m:begChr m:val="("/>
            <m:endChr m:val=")"/>
            <m:sepChr m:val=""/>
            <m:grow/>
          </m:dPr>
          <m:e>
            <m:r>
              <m:t>N</m:t>
            </m:r>
            <m:r>
              <m:rPr>
                <m:sty m:val="p"/>
              </m:rPr>
              <m:t>+</m:t>
            </m:r>
            <m:r>
              <m:t>1</m:t>
            </m:r>
          </m:e>
        </m:d>
      </m:oMath>
      <w:r>
        <w:t xml:space="preserve"> </w:t>
      </w:r>
      <w:r>
        <w:t xml:space="preserve">of keys. Under consistent hashing, the new node takes over only the keys that fall in its arcs of the ring. On average that is its fair share,</w:t>
      </w:r>
      <w:r>
        <w:t xml:space="preserve"> </w:t>
      </w:r>
      <m:oMath>
        <m:r>
          <m:t>1</m:t>
        </m:r>
        <m:r>
          <m:rPr>
            <m:sty m:val="p"/>
          </m:rPr>
          <m:t>/</m:t>
        </m:r>
        <m:d>
          <m:dPr>
            <m:begChr m:val="("/>
            <m:endChr m:val=")"/>
            <m:sepChr m:val=""/>
            <m:grow/>
          </m:dPr>
          <m:e>
            <m:r>
              <m:t>N</m:t>
            </m:r>
            <m:r>
              <m:rPr>
                <m:sty m:val="p"/>
              </m:rPr>
              <m:t>+</m:t>
            </m:r>
            <m:r>
              <m:t>1</m:t>
            </m:r>
          </m:e>
        </m:d>
      </m:oMath>
      <w:r>
        <w:t xml:space="preserve">.</w:t>
      </w:r>
    </w:p>
    <w:p>
      <w:pPr>
        <w:pStyle w:val="CalloutExample"/>
      </w:pPr>
      <w:r>
        <w:rPr>
          <w:bCs/>
          <w:b/>
        </w:rPr>
        <w:t xml:space="preserve">WORKED EXAMPLE</w:t>
      </w:r>
    </w:p>
    <w:p>
      <w:pPr>
        <w:pStyle w:val="CalloutExample"/>
      </w:pPr>
      <w:r>
        <w:rPr>
          <w:bCs/>
          <w:b/>
        </w:rPr>
        <w:t xml:space="preserve">Worked example — Adding a fifth cache node.</w:t>
      </w:r>
    </w:p>
    <w:p>
      <w:pPr>
        <w:numPr>
          <w:ilvl w:val="0"/>
          <w:numId w:val="1069"/>
        </w:numPr>
        <w:pStyle w:val="Compact"/>
      </w:pPr>
      <w:r>
        <w:t xml:space="preserve">Setup:</w:t>
      </w:r>
      <w:r>
        <w:t xml:space="preserve"> </w:t>
      </w:r>
      <m:oMath>
        <m:r>
          <m:t>N</m:t>
        </m:r>
        <m:r>
          <m:rPr>
            <m:sty m:val="p"/>
          </m:rPr>
          <m:t>=</m:t>
        </m:r>
        <m:r>
          <m:t>4</m:t>
        </m:r>
      </m:oMath>
      <w:r>
        <w:t xml:space="preserve">,</w:t>
      </w:r>
      <w:r>
        <w:t xml:space="preserve"> </w:t>
      </w:r>
      <m:oMath>
        <m:r>
          <m:t>K</m:t>
        </m:r>
        <m:r>
          <m:rPr>
            <m:sty m:val="p"/>
          </m:rPr>
          <m:t>=</m:t>
        </m:r>
        <m:r>
          <m:t>100</m:t>
        </m:r>
        <m:r>
          <m:rPr>
            <m:sty m:val="p"/>
          </m:rPr>
          <m:t>,</m:t>
        </m:r>
        <m:r>
          <m:t>000</m:t>
        </m:r>
        <m:r>
          <m:rPr>
            <m:sty m:val="p"/>
          </m:rPr>
          <m:t>,</m:t>
        </m:r>
        <m:r>
          <m:t>000</m:t>
        </m:r>
      </m:oMath>
      <w:r>
        <w:t xml:space="preserve"> </w:t>
      </w:r>
      <w:r>
        <w:t xml:space="preserve">cached keys, cache hit ratio 95 %, and 50,000 reads per second (RPS) reach the cache tier.</w:t>
      </w:r>
    </w:p>
    <w:p>
      <w:pPr>
        <w:numPr>
          <w:ilvl w:val="0"/>
          <w:numId w:val="1069"/>
        </w:numPr>
        <w:pStyle w:val="Compact"/>
      </w:pPr>
      <w:r>
        <w:t xml:space="preserve">Naive scheme:</w:t>
      </w:r>
      <w:r>
        <w:t xml:space="preserve"> </w:t>
      </w:r>
      <m:oMath>
        <m:sSub>
          <m:e>
            <m:r>
              <m:t>f</m:t>
            </m:r>
          </m:e>
          <m:sub>
            <m:r>
              <m:rPr>
                <m:nor/>
                <m:sty m:val="p"/>
              </m:rPr>
              <m:t>mod</m:t>
            </m:r>
          </m:sub>
        </m:sSub>
        <m:r>
          <m:rPr>
            <m:sty m:val="p"/>
          </m:rPr>
          <m:t>=</m:t>
        </m:r>
        <m:r>
          <m:t>4</m:t>
        </m:r>
        <m:r>
          <m:rPr>
            <m:sty m:val="p"/>
          </m:rPr>
          <m:t>/</m:t>
        </m:r>
        <m:r>
          <m:t>5</m:t>
        </m:r>
        <m:r>
          <m:rPr>
            <m:sty m:val="p"/>
          </m:rPr>
          <m:t>=</m:t>
        </m:r>
        <m:r>
          <m:t>0.80</m:t>
        </m:r>
      </m:oMath>
      <w:r>
        <w:t xml:space="preserve">. About</w:t>
      </w:r>
      <w:r>
        <w:t xml:space="preserve"> </w:t>
      </w:r>
      <m:oMath>
        <m:r>
          <m:t>0.80</m:t>
        </m:r>
        <m:r>
          <m:rPr>
            <m:sty m:val="p"/>
          </m:rPr>
          <m:t>×</m:t>
        </m:r>
        <m:sSup>
          <m:e>
            <m:r>
              <m:t>10</m:t>
            </m:r>
          </m:e>
          <m:sup>
            <m:r>
              <m:t>8</m:t>
            </m:r>
          </m:sup>
        </m:sSup>
        <m:r>
          <m:rPr>
            <m:sty m:val="p"/>
          </m:rPr>
          <m:t>=</m:t>
        </m:r>
        <m:r>
          <m:t>8</m:t>
        </m:r>
        <m:r>
          <m:rPr>
            <m:sty m:val="p"/>
          </m:rPr>
          <m:t>×</m:t>
        </m:r>
        <m:sSup>
          <m:e>
            <m:r>
              <m:t>10</m:t>
            </m:r>
          </m:e>
          <m:sup>
            <m:r>
              <m:t>7</m:t>
            </m:r>
          </m:sup>
        </m:sSup>
      </m:oMath>
      <w:r>
        <w:t xml:space="preserve"> </w:t>
      </w:r>
      <w:r>
        <w:t xml:space="preserve">keys are now on the wrong node.</w:t>
      </w:r>
    </w:p>
    <w:p>
      <w:pPr>
        <w:numPr>
          <w:ilvl w:val="0"/>
          <w:numId w:val="1069"/>
        </w:numPr>
        <w:pStyle w:val="Compact"/>
      </w:pPr>
      <w:r>
        <w:t xml:space="preserve">Ring scheme:</w:t>
      </w:r>
      <w:r>
        <w:t xml:space="preserve"> </w:t>
      </w:r>
      <m:oMath>
        <m:sSub>
          <m:e>
            <m:r>
              <m:t>f</m:t>
            </m:r>
          </m:e>
          <m:sub>
            <m:r>
              <m:rPr>
                <m:nor/>
                <m:sty m:val="p"/>
              </m:rPr>
              <m:t>ring</m:t>
            </m:r>
          </m:sub>
        </m:sSub>
        <m:r>
          <m:rPr>
            <m:sty m:val="p"/>
          </m:rPr>
          <m:t>=</m:t>
        </m:r>
        <m:r>
          <m:t>1</m:t>
        </m:r>
        <m:r>
          <m:rPr>
            <m:sty m:val="p"/>
          </m:rPr>
          <m:t>/</m:t>
        </m:r>
        <m:r>
          <m:t>5</m:t>
        </m:r>
        <m:r>
          <m:rPr>
            <m:sty m:val="p"/>
          </m:rPr>
          <m:t>=</m:t>
        </m:r>
        <m:r>
          <m:t>0.20</m:t>
        </m:r>
      </m:oMath>
      <w:r>
        <w:t xml:space="preserve">. About</w:t>
      </w:r>
      <w:r>
        <w:t xml:space="preserve"> </w:t>
      </w:r>
      <m:oMath>
        <m:r>
          <m:t>2</m:t>
        </m:r>
        <m:r>
          <m:rPr>
            <m:sty m:val="p"/>
          </m:rPr>
          <m:t>×</m:t>
        </m:r>
        <m:sSup>
          <m:e>
            <m:r>
              <m:t>10</m:t>
            </m:r>
          </m:e>
          <m:sup>
            <m:r>
              <m:t>7</m:t>
            </m:r>
          </m:sup>
        </m:sSup>
      </m:oMath>
      <w:r>
        <w:t xml:space="preserve"> </w:t>
      </w:r>
      <w:r>
        <w:t xml:space="preserve">keys move. They move only</w:t>
      </w:r>
      <w:r>
        <w:t xml:space="preserve"> </w:t>
      </w:r>
      <w:r>
        <w:rPr>
          <w:iCs/>
          <w:i/>
        </w:rPr>
        <w:t xml:space="preserve">to the new node</w:t>
      </w:r>
      <w:r>
        <w:t xml:space="preserve">, which starts out empty.</w:t>
      </w:r>
    </w:p>
    <w:p>
      <w:pPr>
        <w:numPr>
          <w:ilvl w:val="0"/>
          <w:numId w:val="1069"/>
        </w:numPr>
        <w:pStyle w:val="Compact"/>
      </w:pPr>
      <w:r>
        <w:t xml:space="preserve">Database impact right after the change, before the cache refills. Under mod-N, about 80 % of reads miss, plus the normal 5 % on the rest. The database sees about</w:t>
      </w:r>
      <w:r>
        <w:t xml:space="preserve"> </w:t>
      </w:r>
      <m:oMath>
        <m:r>
          <m:t>0.80</m:t>
        </m:r>
        <m:r>
          <m:rPr>
            <m:sty m:val="p"/>
          </m:rPr>
          <m:t>×</m:t>
        </m:r>
        <m:r>
          <m:t>50</m:t>
        </m:r>
        <m:r>
          <m:rPr>
            <m:sty m:val="p"/>
          </m:rPr>
          <m:t>,</m:t>
        </m:r>
        <m:r>
          <m:t>000</m:t>
        </m:r>
        <m:r>
          <m:rPr>
            <m:sty m:val="p"/>
          </m:rPr>
          <m:t>+</m:t>
        </m:r>
        <m:r>
          <m:t>0.05</m:t>
        </m:r>
        <m:r>
          <m:rPr>
            <m:sty m:val="p"/>
          </m:rPr>
          <m:t>×</m:t>
        </m:r>
        <m:r>
          <m:t>0.20</m:t>
        </m:r>
        <m:r>
          <m:rPr>
            <m:sty m:val="p"/>
          </m:rPr>
          <m:t>×</m:t>
        </m:r>
        <m:r>
          <m:t>50</m:t>
        </m:r>
        <m:r>
          <m:rPr>
            <m:sty m:val="p"/>
          </m:rPr>
          <m:t>,</m:t>
        </m:r>
        <m:r>
          <m:t>000</m:t>
        </m:r>
        <m:r>
          <m:rPr>
            <m:sty m:val="p"/>
          </m:rPr>
          <m:t>=</m:t>
        </m:r>
        <m:r>
          <m:t>40</m:t>
        </m:r>
        <m:r>
          <m:rPr>
            <m:sty m:val="p"/>
          </m:rPr>
          <m:t>,</m:t>
        </m:r>
        <m:r>
          <m:t>000</m:t>
        </m:r>
        <m:r>
          <m:rPr>
            <m:sty m:val="p"/>
          </m:rPr>
          <m:t>+</m:t>
        </m:r>
        <m:r>
          <m:t>500</m:t>
        </m:r>
        <m:r>
          <m:rPr>
            <m:sty m:val="p"/>
          </m:rPr>
          <m:t>=</m:t>
        </m:r>
        <m:r>
          <m:t>40</m:t>
        </m:r>
        <m:r>
          <m:rPr>
            <m:sty m:val="p"/>
          </m:rPr>
          <m:t>,</m:t>
        </m:r>
        <m:r>
          <m:t>500</m:t>
        </m:r>
      </m:oMath>
      <w:r>
        <w:t xml:space="preserve"> </w:t>
      </w:r>
      <w:r>
        <w:t xml:space="preserve">RPS instead of the usual</w:t>
      </w:r>
      <w:r>
        <w:t xml:space="preserve"> </w:t>
      </w:r>
      <m:oMath>
        <m:r>
          <m:t>0.05</m:t>
        </m:r>
        <m:r>
          <m:rPr>
            <m:sty m:val="p"/>
          </m:rPr>
          <m:t>×</m:t>
        </m:r>
        <m:r>
          <m:t>50</m:t>
        </m:r>
        <m:r>
          <m:rPr>
            <m:sty m:val="p"/>
          </m:rPr>
          <m:t>,</m:t>
        </m:r>
        <m:r>
          <m:t>000</m:t>
        </m:r>
        <m:r>
          <m:rPr>
            <m:sty m:val="p"/>
          </m:rPr>
          <m:t>=</m:t>
        </m:r>
        <m:r>
          <m:t>2</m:t>
        </m:r>
        <m:r>
          <m:rPr>
            <m:sty m:val="p"/>
          </m:rPr>
          <m:t>,</m:t>
        </m:r>
        <m:r>
          <m:t>500</m:t>
        </m:r>
      </m:oMath>
      <w:r>
        <w:t xml:space="preserve"> </w:t>
      </w:r>
      <w:r>
        <w:t xml:space="preserve">RPS. That is a 16× surge. Under the ring, about 20 % of reads miss, plus the normal 5 % on the remaining traffic. The database sees about</w:t>
      </w:r>
      <w:r>
        <w:t xml:space="preserve"> </w:t>
      </w:r>
      <m:oMath>
        <m:r>
          <m:t>0.20</m:t>
        </m:r>
        <m:r>
          <m:rPr>
            <m:sty m:val="p"/>
          </m:rPr>
          <m:t>×</m:t>
        </m:r>
        <m:r>
          <m:t>50</m:t>
        </m:r>
        <m:r>
          <m:rPr>
            <m:sty m:val="p"/>
          </m:rPr>
          <m:t>,</m:t>
        </m:r>
        <m:r>
          <m:t>000</m:t>
        </m:r>
        <m:r>
          <m:rPr>
            <m:sty m:val="p"/>
          </m:rPr>
          <m:t>+</m:t>
        </m:r>
        <m:r>
          <m:t>0.05</m:t>
        </m:r>
        <m:r>
          <m:rPr>
            <m:sty m:val="p"/>
          </m:rPr>
          <m:t>×</m:t>
        </m:r>
        <m:r>
          <m:t>0.80</m:t>
        </m:r>
        <m:r>
          <m:rPr>
            <m:sty m:val="p"/>
          </m:rPr>
          <m:t>×</m:t>
        </m:r>
        <m:r>
          <m:t>50</m:t>
        </m:r>
        <m:r>
          <m:rPr>
            <m:sty m:val="p"/>
          </m:rPr>
          <m:t>,</m:t>
        </m:r>
        <m:r>
          <m:t>000</m:t>
        </m:r>
        <m:r>
          <m:rPr>
            <m:sty m:val="p"/>
          </m:rPr>
          <m:t>=</m:t>
        </m:r>
        <m:r>
          <m:t>10</m:t>
        </m:r>
        <m:r>
          <m:rPr>
            <m:sty m:val="p"/>
          </m:rPr>
          <m:t>,</m:t>
        </m:r>
        <m:r>
          <m:t>000</m:t>
        </m:r>
        <m:r>
          <m:rPr>
            <m:sty m:val="p"/>
          </m:rPr>
          <m:t>+</m:t>
        </m:r>
        <m:r>
          <m:t>2</m:t>
        </m:r>
        <m:r>
          <m:rPr>
            <m:sty m:val="p"/>
          </m:rPr>
          <m:t>,</m:t>
        </m:r>
        <m:r>
          <m:t>000</m:t>
        </m:r>
        <m:r>
          <m:rPr>
            <m:sty m:val="p"/>
          </m:rPr>
          <m:t>=</m:t>
        </m:r>
        <m:r>
          <m:t>12</m:t>
        </m:r>
        <m:r>
          <m:rPr>
            <m:sty m:val="p"/>
          </m:rPr>
          <m:t>,</m:t>
        </m:r>
        <m:r>
          <m:t>000</m:t>
        </m:r>
      </m:oMath>
      <w:r>
        <w:t xml:space="preserve"> </w:t>
      </w:r>
      <w:r>
        <w:t xml:space="preserve">RPS, a 4.8× surge.</w:t>
      </w:r>
    </w:p>
    <w:p>
      <w:pPr>
        <w:pStyle w:val="CalloutExample"/>
      </w:pPr>
      <w:r>
        <w:rPr>
          <w:bCs/>
          <w:b/>
        </w:rPr>
        <w:t xml:space="preserve">Interpretation.</w:t>
      </w:r>
      <w:r>
        <w:t xml:space="preserve"> </w:t>
      </w:r>
      <w:r>
        <w:t xml:space="preserve">Both schemes cause a miss spike. Consistent hashing makes it about 3.4× smaller (</w:t>
      </w:r>
      <m:oMath>
        <m:r>
          <m:t>40</m:t>
        </m:r>
        <m:r>
          <m:rPr>
            <m:sty m:val="p"/>
          </m:rPr>
          <m:t>,</m:t>
        </m:r>
        <m:r>
          <m:t>500</m:t>
        </m:r>
        <m:r>
          <m:rPr>
            <m:sty m:val="p"/>
          </m:rPr>
          <m:t>/</m:t>
        </m:r>
        <m:r>
          <m:t>12</m:t>
        </m:r>
        <m:r>
          <m:rPr>
            <m:sty m:val="p"/>
          </m:rPr>
          <m:t>,</m:t>
        </m:r>
        <m:r>
          <m:t>000</m:t>
        </m:r>
      </m:oMath>
      <w:r>
        <w:t xml:space="preserve">) and limits it to one node’s share of keys.</w:t>
      </w:r>
      <w:r>
        <w:t xml:space="preserve"> </w:t>
      </w:r>
      <w:r>
        <w:rPr>
          <w:bCs/>
          <w:b/>
        </w:rPr>
        <w:t xml:space="preserve">Engineering implication.</w:t>
      </w:r>
      <w:r>
        <w:t xml:space="preserve"> </w:t>
      </w:r>
      <w:r>
        <w:t xml:space="preserve">If your database can absorb about 12,000 RPS, consistent hashing lets you add cache nodes without an outage. With mod-N you would need to warm the new layout ahead of time or add nodes only during low traffic. Chapter 20 (§20.11, cache stampede) covers the remaining spike.</w:t>
      </w:r>
    </w:p>
    <w:p>
      <w:pPr>
        <w:pStyle w:val="BodyText"/>
      </w:pPr>
      <w:r>
        <w:rPr>
          <w:bCs/>
          <w:b/>
        </w:rPr>
        <w:t xml:space="preserve">Self-check artifact:</w:t>
      </w:r>
      <w:r>
        <w:t xml:space="preserve"> </w:t>
      </w:r>
      <w:r>
        <w:t xml:space="preserve">a</w:t>
      </w:r>
      <w:r>
        <w:t xml:space="preserve"> </w:t>
      </w:r>
      <w:r>
        <w:t xml:space="preserve">“</w:t>
      </w:r>
      <w:r>
        <w:t xml:space="preserve">before</w:t>
      </w:r>
      <w:r>
        <w:t xml:space="preserve">”</w:t>
      </w:r>
      <w:r>
        <w:t xml:space="preserve"> </w:t>
      </w:r>
      <w:r>
        <w:t xml:space="preserve">scenario with numbers, like the one above.</w:t>
      </w:r>
    </w:p>
    <w:bookmarkEnd w:id="273"/>
    <w:bookmarkStart w:id="274" w:name="step-3-understand-the-mechanism"/>
    <w:p>
      <w:pPr>
        <w:pStyle w:val="Heading4"/>
      </w:pPr>
      <w:r>
        <w:t xml:space="preserve">Step 3 — Understand the mechanism</w:t>
      </w:r>
    </w:p>
    <w:p>
      <w:pPr>
        <w:numPr>
          <w:ilvl w:val="0"/>
          <w:numId w:val="1070"/>
        </w:numPr>
        <w:pStyle w:val="Compact"/>
      </w:pPr>
      <w:r>
        <w:t xml:space="preserve">Pick a hash function that maps strings to integers in</w:t>
      </w:r>
      <w:r>
        <w:t xml:space="preserve"> </w:t>
      </w:r>
      <m:oMath>
        <m:r>
          <m:rPr>
            <m:sty m:val="p"/>
          </m:rPr>
          <m:t>[</m:t>
        </m:r>
        <m:r>
          <m:t>0</m:t>
        </m:r>
        <m:r>
          <m:rPr>
            <m:sty m:val="p"/>
          </m:rPr>
          <m:t>,</m:t>
        </m:r>
        <m:sSup>
          <m:e>
            <m:r>
              <m:t>2</m:t>
            </m:r>
          </m:e>
          <m:sup>
            <m:r>
              <m:t>m</m:t>
            </m:r>
          </m:sup>
        </m:sSup>
        <m:r>
          <m:rPr>
            <m:sty m:val="p"/>
          </m:rPr>
          <m:t>)</m:t>
        </m:r>
      </m:oMath>
      <w:r>
        <w:t xml:space="preserve">. Treat that range as a circle in which</w:t>
      </w:r>
      <w:r>
        <w:t xml:space="preserve"> </w:t>
      </w:r>
      <m:oMath>
        <m:sSup>
          <m:e>
            <m:r>
              <m:t>2</m:t>
            </m:r>
          </m:e>
          <m:sup>
            <m:r>
              <m:t>m</m:t>
            </m:r>
          </m:sup>
        </m:sSup>
        <m:r>
          <m:rPr>
            <m:sty m:val="p"/>
          </m:rPr>
          <m:t>−</m:t>
        </m:r>
        <m:r>
          <m:t>1</m:t>
        </m:r>
      </m:oMath>
      <w:r>
        <w:t xml:space="preserve"> </w:t>
      </w:r>
      <w:r>
        <w:t xml:space="preserve">is next to</w:t>
      </w:r>
      <w:r>
        <w:t xml:space="preserve"> </w:t>
      </w:r>
      <m:oMath>
        <m:r>
          <m:t>0</m:t>
        </m:r>
      </m:oMath>
      <w:r>
        <w:t xml:space="preserve">.</w:t>
      </w:r>
    </w:p>
    <w:p>
      <w:pPr>
        <w:numPr>
          <w:ilvl w:val="0"/>
          <w:numId w:val="1070"/>
        </w:numPr>
        <w:pStyle w:val="Compact"/>
      </w:pPr>
      <w:r>
        <w:t xml:space="preserve">For each node, compute</w:t>
      </w:r>
      <w:r>
        <w:t xml:space="preserve"> </w:t>
      </w:r>
      <m:oMath>
        <m:r>
          <m:t>V</m:t>
        </m:r>
      </m:oMath>
      <w:r>
        <w:t xml:space="preserve"> </w:t>
      </w:r>
      <w:r>
        <w:t xml:space="preserve">positions by hashing distinct labels such as</w:t>
      </w:r>
      <w:r>
        <w:t xml:space="preserve"> </w:t>
      </w:r>
      <w:r>
        <w:rPr>
          <w:rStyle w:val="VerbatimChar"/>
        </w:rPr>
        <w:t xml:space="preserve">"cache-2#vn17"</w:t>
      </w:r>
      <w:r>
        <w:t xml:space="preserve">. Each position is a</w:t>
      </w:r>
      <w:r>
        <w:t xml:space="preserve"> </w:t>
      </w:r>
      <w:r>
        <w:rPr>
          <w:bCs/>
          <w:b/>
        </w:rPr>
        <w:t xml:space="preserve">virtual node</w:t>
      </w:r>
      <w:r>
        <w:t xml:space="preserve"> </w:t>
      </w:r>
      <w:r>
        <w:t xml:space="preserve">(vnode). Store all</w:t>
      </w:r>
      <w:r>
        <w:t xml:space="preserve"> </w:t>
      </w:r>
      <m:oMath>
        <m:r>
          <m:t>N</m:t>
        </m:r>
        <m:r>
          <m:rPr>
            <m:sty m:val="p"/>
          </m:rPr>
          <m:t>×</m:t>
        </m:r>
        <m:r>
          <m:t>V</m:t>
        </m:r>
      </m:oMath>
      <w:r>
        <w:t xml:space="preserve"> </w:t>
      </w:r>
      <w:r>
        <w:t xml:space="preserve">positions in a sorted array, each mapped to its physical node.</w:t>
      </w:r>
    </w:p>
    <w:p>
      <w:pPr>
        <w:numPr>
          <w:ilvl w:val="0"/>
          <w:numId w:val="1070"/>
        </w:numPr>
        <w:pStyle w:val="Compact"/>
      </w:pPr>
      <w:r>
        <w:t xml:space="preserve">To look up a key, hash it and binary-search the sorted array for the first position greater than the key’s hash. If there is none, wrap around to index 0. The node that owns that position owns the key. A lookup costs</w:t>
      </w:r>
      <w:r>
        <w:t xml:space="preserve"> </w:t>
      </w:r>
      <m:oMath>
        <m:r>
          <m:t>O</m:t>
        </m:r>
        <m:d>
          <m:dPr>
            <m:begChr m:val="("/>
            <m:endChr m:val=")"/>
            <m:sepChr m:val=""/>
            <m:grow/>
          </m:dPr>
          <m:e>
            <m:r>
              <m:rPr>
                <m:sty m:val="p"/>
              </m:rPr>
              <m:t>log</m:t>
            </m:r>
            <m:d>
              <m:dPr>
                <m:begChr m:val="("/>
                <m:endChr m:val=")"/>
                <m:sepChr m:val=""/>
                <m:grow/>
              </m:dPr>
              <m:e>
                <m:r>
                  <m:t>N</m:t>
                </m:r>
                <m:r>
                  <m:t>V</m:t>
                </m:r>
              </m:e>
            </m:d>
          </m:e>
        </m:d>
      </m:oMath>
      <w:r>
        <w:t xml:space="preserve">.</w:t>
      </w:r>
    </w:p>
    <w:p>
      <w:pPr>
        <w:numPr>
          <w:ilvl w:val="0"/>
          <w:numId w:val="1070"/>
        </w:numPr>
        <w:pStyle w:val="Compact"/>
      </w:pPr>
      <w:r>
        <w:t xml:space="preserve">To add a node, insert its</w:t>
      </w:r>
      <w:r>
        <w:t xml:space="preserve"> </w:t>
      </w:r>
      <m:oMath>
        <m:r>
          <m:t>V</m:t>
        </m:r>
      </m:oMath>
      <w:r>
        <w:t xml:space="preserve"> </w:t>
      </w:r>
      <w:r>
        <w:t xml:space="preserve">positions. Each one takes over the arc between its predecessor and itself. Every other key keeps its owner.</w:t>
      </w:r>
    </w:p>
    <w:p>
      <w:pPr>
        <w:numPr>
          <w:ilvl w:val="0"/>
          <w:numId w:val="1070"/>
        </w:numPr>
        <w:pStyle w:val="Compact"/>
      </w:pPr>
      <w:r>
        <w:t xml:space="preserve">To remove a node, delete its positions. Each of its arcs goes to the next position clockwise. Because the vnodes are scattered around the ring, the removed node’s load is spread over many survivors instead of all landing on one neighbor.</w:t>
      </w:r>
    </w:p>
    <w:p>
      <w:pPr>
        <w:numPr>
          <w:ilvl w:val="0"/>
          <w:numId w:val="1070"/>
        </w:numPr>
        <w:pStyle w:val="Compact"/>
      </w:pPr>
      <w:r>
        <w:t xml:space="preserve">For replication, walk clockwise and collect the first</w:t>
      </w:r>
      <w:r>
        <w:t xml:space="preserve"> </w:t>
      </w:r>
      <m:oMath>
        <m:r>
          <m:t>R</m:t>
        </m:r>
      </m:oMath>
      <w:r>
        <w:t xml:space="preserve"> </w:t>
      </w:r>
      <w:r>
        <w:rPr>
          <w:iCs/>
          <w:i/>
        </w:rPr>
        <w:t xml:space="preserve">distinct physical</w:t>
      </w:r>
      <w:r>
        <w:t xml:space="preserve"> </w:t>
      </w:r>
      <w:r>
        <w:t xml:space="preserve">nodes. Dynamo calls this list the</w:t>
      </w:r>
      <w:r>
        <w:t xml:space="preserve"> </w:t>
      </w:r>
      <w:r>
        <w:rPr>
          <w:bCs/>
          <w:b/>
        </w:rPr>
        <w:t xml:space="preserve">preference list</w:t>
      </w:r>
      <w:r>
        <w:t xml:space="preserve"> </w:t>
      </w:r>
      <w:r>
        <w:t xml:space="preserve">[DeCandia et al. 2007].</w:t>
      </w:r>
    </w:p>
    <w:p>
      <w:pPr>
        <w:pStyle w:val="FirstParagraph"/>
      </w:pPr>
      <w:r>
        <w:t xml:space="preserve">Why do virtual nodes matter? With</w:t>
      </w:r>
      <w:r>
        <w:t xml:space="preserve"> </w:t>
      </w:r>
      <m:oMath>
        <m:r>
          <m:t>V</m:t>
        </m:r>
        <m:r>
          <m:rPr>
            <m:sty m:val="p"/>
          </m:rPr>
          <m:t>=</m:t>
        </m:r>
        <m:r>
          <m:t>1</m:t>
        </m:r>
      </m:oMath>
      <w:r>
        <w:t xml:space="preserve">, each node owns one arc, and arc lengths from</w:t>
      </w:r>
      <w:r>
        <w:t xml:space="preserve"> </w:t>
      </w:r>
      <m:oMath>
        <m:r>
          <m:t>N</m:t>
        </m:r>
      </m:oMath>
      <w:r>
        <w:t xml:space="preserve"> </w:t>
      </w:r>
      <w:r>
        <w:t xml:space="preserve">random points vary widely. One node can easily own two or three times its fair share. With</w:t>
      </w:r>
      <w:r>
        <w:t xml:space="preserve"> </w:t>
      </w:r>
      <m:oMath>
        <m:r>
          <m:t>V</m:t>
        </m:r>
      </m:oMath>
      <w:r>
        <w:t xml:space="preserve"> </w:t>
      </w:r>
      <w:r>
        <w:t xml:space="preserve">vnodes, each node’s load is the sum of</w:t>
      </w:r>
      <w:r>
        <w:t xml:space="preserve"> </w:t>
      </w:r>
      <m:oMath>
        <m:r>
          <m:t>V</m:t>
        </m:r>
      </m:oMath>
      <w:r>
        <w:t xml:space="preserve"> </w:t>
      </w:r>
      <w:r>
        <w:t xml:space="preserve">arcs, and sums of many random lengths stay close to the average. The relative spread shrinks roughly in proportion to</w:t>
      </w:r>
      <w:r>
        <w:t xml:space="preserve"> </w:t>
      </w:r>
      <m:oMath>
        <m:r>
          <m:t>1</m:t>
        </m:r>
        <m:r>
          <m:rPr>
            <m:sty m:val="p"/>
          </m:rPr>
          <m:t>/</m:t>
        </m:r>
        <m:rad>
          <m:radPr>
            <m:degHide m:val="on"/>
          </m:radPr>
          <m:deg/>
          <m:e>
            <m:r>
              <m:t>V</m:t>
            </m:r>
          </m:e>
        </m:rad>
      </m:oMath>
      <w:r>
        <w:t xml:space="preserve">. Step 8 measures this.</w:t>
      </w:r>
    </w:p>
    <w:bookmarkEnd w:id="274"/>
    <w:bookmarkStart w:id="278" w:name="step-4-draw-the-architecture"/>
    <w:p>
      <w:pPr>
        <w:pStyle w:val="Heading4"/>
      </w:pPr>
      <w:r>
        <w:t xml:space="preserve">Step 4 — Draw the architecture</w:t>
      </w:r>
    </w:p>
    <w:p>
      <w:pPr>
        <w:pStyle w:val="FirstParagraph"/>
      </w:pPr>
      <w:r>
        <w:t xml:space="preserve">Close the book and draw where consistent hashing sits in a distributed cache. Then compare your drawing with Figure 3.2.</w:t>
      </w:r>
    </w:p>
    <w:p>
      <w:pPr>
        <w:pStyle w:val="BodyText"/>
      </w:pPr>
      <w:r>
        <w:rPr>
          <w:bCs/>
          <w:b/>
        </w:rPr>
        <w:t xml:space="preserve">Figure 3.2 — Consistent hashing in a client-routed distributed cache.</w:t>
      </w:r>
    </w:p>
    <w:p>
      <w:pPr>
        <w:pStyle w:val="BodyText"/>
      </w:pPr>
      <w:r>
        <w:drawing>
          <wp:inline>
            <wp:extent cx="5334000" cy="2764085"/>
            <wp:effectExtent b="0" l="0" r="0" t="0"/>
            <wp:docPr descr="" title="" id="276" name="Picture"/>
            <a:graphic>
              <a:graphicData uri="http://schemas.openxmlformats.org/drawingml/2006/picture">
                <pic:pic>
                  <pic:nvPicPr>
                    <pic:cNvPr descr="/home/user/System-Design/build/.cache/diagrams/c0df52371607.png" id="277" name="Picture"/>
                    <pic:cNvPicPr>
                      <a:picLocks noChangeArrowheads="1" noChangeAspect="1"/>
                    </pic:cNvPicPr>
                  </pic:nvPicPr>
                  <pic:blipFill>
                    <a:blip r:embed="rId275"/>
                    <a:stretch>
                      <a:fillRect/>
                    </a:stretch>
                  </pic:blipFill>
                  <pic:spPr bwMode="auto">
                    <a:xfrm>
                      <a:off x="0" y="0"/>
                      <a:ext cx="5334000" cy="2764085"/>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A client calls the app service over HTTPS. Inside the app service, a client library holds the ring: the sorted vnode positions and their owners. It is in-process, so a lookup is a binary search in memory, typically microseconds. The ring router sends each</w:t>
      </w:r>
      <w:r>
        <w:t xml:space="preserve"> </w:t>
      </w:r>
      <w:r>
        <w:rPr>
          <w:rStyle w:val="VerbatimChar"/>
        </w:rPr>
        <w:t xml:space="preserve">GET</w:t>
      </w:r>
      <w:r>
        <w:t xml:space="preserve">/</w:t>
      </w:r>
      <w:r>
        <w:rPr>
          <w:rStyle w:val="VerbatimChar"/>
        </w:rPr>
        <w:t xml:space="preserve">SET</w:t>
      </w:r>
      <w:r>
        <w:t xml:space="preserve"> </w:t>
      </w:r>
      <w:r>
        <w:t xml:space="preserve">to exactly one cache node over a TCP connection, such as the Memcached or Redis protocol. All of these are synchronous calls. On a miss, the app service reads the primary database over SQL and fills the cache (cache-aside, §20.7). The dotted arrow from the membership config is asynchronous. A coordination service or config file tells every app instance when nodes join or leave (§26.8–§26.9). There are two storage boundaries: the in-memory cache tier, which is disposable, and the database, which is durable. Failure points: a cache node that dies sends its keys to clockwise successors and causes a miss spike, and app instances that see</w:t>
      </w:r>
      <w:r>
        <w:t xml:space="preserve"> </w:t>
      </w:r>
      <w:r>
        <w:rPr>
          <w:iCs/>
          <w:i/>
        </w:rPr>
        <w:t xml:space="preserve">different</w:t>
      </w:r>
      <w:r>
        <w:t xml:space="preserve"> </w:t>
      </w:r>
      <w:r>
        <w:t xml:space="preserve">membership send the same key to different nodes. To scale, add cache nodes (each takes about</w:t>
      </w:r>
      <w:r>
        <w:t xml:space="preserve"> </w:t>
      </w:r>
      <m:oMath>
        <m:r>
          <m:t>1</m:t>
        </m:r>
        <m:r>
          <m:rPr>
            <m:sty m:val="p"/>
          </m:rPr>
          <m:t>/</m:t>
        </m:r>
        <m:d>
          <m:dPr>
            <m:begChr m:val="("/>
            <m:endChr m:val=")"/>
            <m:sepChr m:val=""/>
            <m:grow/>
          </m:dPr>
          <m:e>
            <m:r>
              <m:t>N</m:t>
            </m:r>
            <m:r>
              <m:rPr>
                <m:sty m:val="p"/>
              </m:rPr>
              <m:t>+</m:t>
            </m:r>
            <m:r>
              <m:t>1</m:t>
            </m:r>
          </m:e>
        </m:d>
      </m:oMath>
      <w:r>
        <w:t xml:space="preserve"> </w:t>
      </w:r>
      <w:r>
        <w:t xml:space="preserve">of the keys) or raise</w:t>
      </w:r>
      <w:r>
        <w:t xml:space="preserve"> </w:t>
      </w:r>
      <m:oMath>
        <m:r>
          <m:t>V</m:t>
        </m:r>
      </m:oMath>
      <w:r>
        <w:t xml:space="preserve"> </w:t>
      </w:r>
      <w:r>
        <w:t xml:space="preserve">to even out the load.</w:t>
      </w:r>
    </w:p>
    <w:p>
      <w:pPr>
        <w:pStyle w:val="BodyText"/>
      </w:pPr>
      <w:r>
        <w:rPr>
          <w:bCs/>
          <w:b/>
        </w:rPr>
        <w:t xml:space="preserve">Self-check artifact:</w:t>
      </w:r>
      <w:r>
        <w:t xml:space="preserve"> </w:t>
      </w:r>
      <w:r>
        <w:t xml:space="preserve">your own drawing, annotated with which calls are synchronous and where state lives. If your drawing left out the membership channel, you have found your first gap. Section 3.6 explains how to score drawings like this.</w:t>
      </w:r>
    </w:p>
    <w:bookmarkEnd w:id="278"/>
    <w:bookmarkStart w:id="279" w:name="step-5-study-an-actual-implementation"/>
    <w:p>
      <w:pPr>
        <w:pStyle w:val="Heading4"/>
      </w:pPr>
      <w:r>
        <w:t xml:space="preserve">Step 5 — Study an actual implementation</w:t>
      </w:r>
    </w:p>
    <w:p>
      <w:pPr>
        <w:pStyle w:val="FirstParagraph"/>
      </w:pPr>
      <w:r>
        <w:t xml:space="preserve">Now read how real systems built it. Pick</w:t>
      </w:r>
      <w:r>
        <w:t xml:space="preserve"> </w:t>
      </w:r>
      <w:r>
        <w:rPr>
          <w:iCs/>
          <w:i/>
        </w:rPr>
        <w:t xml:space="preserve">one</w:t>
      </w:r>
      <w:r>
        <w:t xml:space="preserve"> </w:t>
      </w:r>
      <w:r>
        <w:t xml:space="preserve">primary source and read it with the three-pass method (§3.5). For consistent hashing, three sources are worth knowing:</w:t>
      </w:r>
    </w:p>
    <w:p>
      <w:pPr>
        <w:pStyle w:val="CalloutIndustry"/>
      </w:pPr>
      <w:r>
        <w:rPr>
          <w:bCs/>
          <w:b/>
        </w:rPr>
        <w:t xml:space="preserve">INDUSTRY EXAMPLE</w:t>
      </w:r>
    </w:p>
    <w:p>
      <w:pPr>
        <w:pStyle w:val="CalloutIndustry"/>
      </w:pPr>
      <w:r>
        <w:rPr>
          <w:bCs/>
          <w:b/>
        </w:rPr>
        <w:t xml:space="preserve">Akamai and the original paper.</w:t>
      </w:r>
      <w:r>
        <w:t xml:space="preserve"> </w:t>
      </w:r>
      <w:r>
        <w:t xml:space="preserve">Karger and colleagues introduced consistent hashing to spread web-cache load without hot spots, in a setting where different clients may see different sets of caches. Their paper defines the properties a good scheme needs. Two of them are</w:t>
      </w:r>
      <w:r>
        <w:t xml:space="preserve"> </w:t>
      </w:r>
      <w:r>
        <w:rPr>
          <w:iCs/>
          <w:i/>
        </w:rPr>
        <w:t xml:space="preserve">balance</w:t>
      </w:r>
      <w:r>
        <w:t xml:space="preserve">, meaning keys spread evenly, and</w:t>
      </w:r>
      <w:r>
        <w:t xml:space="preserve"> </w:t>
      </w:r>
      <w:r>
        <w:rPr>
          <w:iCs/>
          <w:i/>
        </w:rPr>
        <w:t xml:space="preserve">monotonicity</w:t>
      </w:r>
      <w:r>
        <w:t xml:space="preserve">, meaning that adding a cache moves keys only onto the new cache, never between old caches. The paper also uses multiple copies of each cache point on the circle to improve balance, which is the idea behind virtual nodes.</w:t>
      </w:r>
      <w:r>
        <w:t xml:space="preserve"> </w:t>
      </w:r>
      <w:r>
        <w:rPr>
          <w:iCs/>
          <w:i/>
        </w:rPr>
        <w:t xml:space="preserve">Evidence: Primary</w:t>
      </w:r>
      <w:r>
        <w:t xml:space="preserve"> </w:t>
      </w:r>
      <w:r>
        <w:t xml:space="preserve">— [Karger et al. 1997]</w:t>
      </w:r>
    </w:p>
    <w:p>
      <w:pPr>
        <w:pStyle w:val="CalloutIndustry"/>
      </w:pPr>
      <w:r>
        <w:rPr>
          <w:bCs/>
          <w:b/>
        </w:rPr>
        <w:t xml:space="preserve">INDUSTRY EXAMPLE</w:t>
      </w:r>
    </w:p>
    <w:p>
      <w:pPr>
        <w:pStyle w:val="CalloutIndustry"/>
      </w:pPr>
      <w:r>
        <w:rPr>
          <w:bCs/>
          <w:b/>
        </w:rPr>
        <w:t xml:space="preserve">Amazon Dynamo.</w:t>
      </w:r>
      <w:r>
        <w:t xml:space="preserve"> </w:t>
      </w:r>
      <w:r>
        <w:t xml:space="preserve">Dynamo partitions its key space with consistent hashing and assigns each physical node several virtual nodes. This lets a more powerful machine take more vnodes, and it spreads a failed node’s load over many survivors. Each key is replicated on the first</w:t>
      </w:r>
      <w:r>
        <w:t xml:space="preserve"> </w:t>
      </w:r>
      <m:oMath>
        <m:r>
          <m:t>R</m:t>
        </m:r>
      </m:oMath>
      <w:r>
        <w:t xml:space="preserve"> </w:t>
      </w:r>
      <w:r>
        <w:t xml:space="preserve">distinct physical nodes clockwise, its preference list (the paper calls this count</w:t>
      </w:r>
      <w:r>
        <w:t xml:space="preserve"> </w:t>
      </w:r>
      <m:oMath>
        <m:r>
          <m:t>N</m:t>
        </m:r>
      </m:oMath>
      <w:r>
        <w:t xml:space="preserve">). The paper compares three strategies for placing tokens. It reports that dividing the ring into equal-sized partitions, decoupled from node placement, gave the best load balance and the smallest membership metadata.</w:t>
      </w:r>
      <w:r>
        <w:t xml:space="preserve"> </w:t>
      </w:r>
      <w:r>
        <w:rPr>
          <w:iCs/>
          <w:i/>
        </w:rPr>
        <w:t xml:space="preserve">Evidence: Primary</w:t>
      </w:r>
      <w:r>
        <w:t xml:space="preserve"> </w:t>
      </w:r>
      <w:r>
        <w:t xml:space="preserve">— [DeCandia et al. 2007]</w:t>
      </w:r>
    </w:p>
    <w:p>
      <w:pPr>
        <w:pStyle w:val="CalloutIndustry"/>
      </w:pPr>
      <w:r>
        <w:rPr>
          <w:bCs/>
          <w:b/>
        </w:rPr>
        <w:t xml:space="preserve">INDUSTRY EXAMPLE</w:t>
      </w:r>
    </w:p>
    <w:p>
      <w:pPr>
        <w:pStyle w:val="CalloutIndustry"/>
      </w:pPr>
      <w:r>
        <w:rPr>
          <w:bCs/>
          <w:b/>
        </w:rPr>
        <w:t xml:space="preserve">Apache Cassandra.</w:t>
      </w:r>
      <w:r>
        <w:t xml:space="preserve"> </w:t>
      </w:r>
      <w:r>
        <w:t xml:space="preserve">Cassandra’s original design hashes keys onto a ring with an order-preserving hash function and assigns each node one position. The paper acknowledges the load imbalance this causes. It handles the imbalance by analyzing load on the ring and moving lightly loaded nodes so they take load from heavily loaded ones.</w:t>
      </w:r>
      <w:r>
        <w:t xml:space="preserve"> </w:t>
      </w:r>
      <w:r>
        <w:rPr>
          <w:iCs/>
          <w:i/>
        </w:rPr>
        <w:t xml:space="preserve">Evidence: Primary</w:t>
      </w:r>
      <w:r>
        <w:t xml:space="preserve"> </w:t>
      </w:r>
      <w:r>
        <w:t xml:space="preserve">— [Lakshman and Malik 2010]</w:t>
      </w:r>
    </w:p>
    <w:p>
      <w:pPr>
        <w:pStyle w:val="BodyText"/>
      </w:pPr>
      <w:r>
        <w:t xml:space="preserve">When you read an implementation, write down where it</w:t>
      </w:r>
      <w:r>
        <w:t xml:space="preserve"> </w:t>
      </w:r>
      <w:r>
        <w:rPr>
          <w:iCs/>
          <w:i/>
        </w:rPr>
        <w:t xml:space="preserve">departs</w:t>
      </w:r>
      <w:r>
        <w:t xml:space="preserve"> </w:t>
      </w:r>
      <w:r>
        <w:t xml:space="preserve">from the textbook mechanism and why. Departures are usually the most instructive part. Dynamo moved from random tokens to fixed equal-sized partitions because random tokens made bootstrapping and archiving slow. That is an operational reason, not an algorithmic one, and only a real implementation would show it to you.</w:t>
      </w:r>
    </w:p>
    <w:bookmarkEnd w:id="279"/>
    <w:bookmarkStart w:id="280" w:name="step-6-analyze-trade-offs"/>
    <w:p>
      <w:pPr>
        <w:pStyle w:val="Heading4"/>
      </w:pPr>
      <w:r>
        <w:t xml:space="preserve">Step 6 — Analyze trade-offs</w:t>
      </w:r>
    </w:p>
    <w:p>
      <w:pPr>
        <w:pStyle w:val="FirstParagraph"/>
      </w:pPr>
      <w:r>
        <w:rPr>
          <w:bCs/>
          <w:b/>
        </w:rPr>
        <w:t xml:space="preserve">Table 3.2 — Key-to-node assignment schemes compared.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Dimension</w:t>
            </w:r>
          </w:p>
        </w:tc>
        <w:tc>
          <w:tcPr/>
          <w:p>
            <w:pPr>
              <w:pStyle w:val="Compact"/>
              <w:jc w:val="left"/>
            </w:pPr>
            <w:r>
              <w:rPr>
                <w:rStyle w:val="VerbatimChar"/>
              </w:rPr>
              <w:t xml:space="preserve">hash mod N</w:t>
            </w:r>
          </w:p>
        </w:tc>
        <w:tc>
          <w:tcPr/>
          <w:p>
            <w:pPr>
              <w:pStyle w:val="Compact"/>
              <w:jc w:val="left"/>
            </w:pPr>
            <w:r>
              <w:t xml:space="preserve">Ring + virtual nodes</w:t>
            </w:r>
          </w:p>
        </w:tc>
        <w:tc>
          <w:tcPr/>
          <w:p>
            <w:pPr>
              <w:pStyle w:val="Compact"/>
              <w:jc w:val="left"/>
            </w:pPr>
            <w:r>
              <w:t xml:space="preserve">Rendezvous (HRW) hashing</w:t>
            </w:r>
          </w:p>
        </w:tc>
        <w:tc>
          <w:tcPr/>
          <w:p>
            <w:pPr>
              <w:pStyle w:val="Compact"/>
              <w:jc w:val="left"/>
            </w:pPr>
            <w:r>
              <w:t xml:space="preserve">Jump consistent hash</w:t>
            </w:r>
          </w:p>
        </w:tc>
      </w:tr>
      <w:tr>
        <w:tc>
          <w:tcPr/>
          <w:p>
            <w:pPr>
              <w:pStyle w:val="Compact"/>
              <w:jc w:val="left"/>
            </w:pPr>
            <w:r>
              <w:t xml:space="preserve">What it is</w:t>
            </w:r>
          </w:p>
        </w:tc>
        <w:tc>
          <w:tcPr/>
          <w:p>
            <w:pPr>
              <w:pStyle w:val="Compact"/>
              <w:jc w:val="left"/>
            </w:pPr>
            <w:r>
              <w:t xml:space="preserve">Modulo of key hash</w:t>
            </w:r>
          </w:p>
        </w:tc>
        <w:tc>
          <w:tcPr/>
          <w:p>
            <w:pPr>
              <w:pStyle w:val="Compact"/>
              <w:jc w:val="left"/>
            </w:pPr>
            <w:r>
              <w:t xml:space="preserve">Keys and vnodes on a circle</w:t>
            </w:r>
          </w:p>
        </w:tc>
        <w:tc>
          <w:tcPr/>
          <w:p>
            <w:pPr>
              <w:pStyle w:val="Compact"/>
              <w:jc w:val="left"/>
            </w:pPr>
            <w:r>
              <w:t xml:space="preserve">Each key picks the node with the highest score</w:t>
            </w:r>
            <w:r>
              <w:t xml:space="preserve"> </w:t>
            </w:r>
            <w:r>
              <w:rPr>
                <w:rStyle w:val="VerbatimChar"/>
              </w:rPr>
              <w:t xml:space="preserve">hash(key, node)</w:t>
            </w:r>
          </w:p>
        </w:tc>
        <w:tc>
          <w:tcPr/>
          <w:p>
            <w:pPr>
              <w:pStyle w:val="Compact"/>
              <w:jc w:val="left"/>
            </w:pPr>
            <w:r>
              <w:t xml:space="preserve">Arithmetic function from key to bucket number</w:t>
            </w:r>
          </w:p>
        </w:tc>
      </w:tr>
      <w:tr>
        <w:tc>
          <w:tcPr/>
          <w:p>
            <w:pPr>
              <w:pStyle w:val="Compact"/>
              <w:jc w:val="left"/>
            </w:pPr>
            <w:r>
              <w:t xml:space="preserve">Keys moved on add</w:t>
            </w:r>
          </w:p>
        </w:tc>
        <w:tc>
          <w:tcPr/>
          <w:p>
            <w:pPr>
              <w:pStyle w:val="Compact"/>
              <w:jc w:val="left"/>
            </w:pPr>
            <w:r>
              <w:t xml:space="preserve">~</w:t>
            </w:r>
            <m:oMath>
              <m:r>
                <m:t>N</m:t>
              </m:r>
              <m:r>
                <m:rPr>
                  <m:sty m:val="p"/>
                </m:rPr>
                <m:t>/</m:t>
              </m:r>
              <m:d>
                <m:dPr>
                  <m:begChr m:val="("/>
                  <m:endChr m:val=")"/>
                  <m:sepChr m:val=""/>
                  <m:grow/>
                </m:dPr>
                <m:e>
                  <m:r>
                    <m:t>N</m:t>
                  </m:r>
                  <m:r>
                    <m:rPr>
                      <m:sty m:val="p"/>
                    </m:rPr>
                    <m:t>+</m:t>
                  </m:r>
                  <m:r>
                    <m:t>1</m:t>
                  </m:r>
                </m:e>
              </m:d>
            </m:oMath>
          </w:p>
        </w:tc>
        <w:tc>
          <w:tcPr/>
          <w:p>
            <w:pPr>
              <w:pStyle w:val="Compact"/>
              <w:jc w:val="left"/>
            </w:pPr>
            <w:r>
              <w:t xml:space="preserve">~</w:t>
            </w:r>
            <m:oMath>
              <m:r>
                <m:t>1</m:t>
              </m:r>
              <m:r>
                <m:rPr>
                  <m:sty m:val="p"/>
                </m:rPr>
                <m:t>/</m:t>
              </m:r>
              <m:d>
                <m:dPr>
                  <m:begChr m:val="("/>
                  <m:endChr m:val=")"/>
                  <m:sepChr m:val=""/>
                  <m:grow/>
                </m:dPr>
                <m:e>
                  <m:r>
                    <m:t>N</m:t>
                  </m:r>
                  <m:r>
                    <m:rPr>
                      <m:sty m:val="p"/>
                    </m:rPr>
                    <m:t>+</m:t>
                  </m:r>
                  <m:r>
                    <m:t>1</m:t>
                  </m:r>
                </m:e>
              </m:d>
            </m:oMath>
          </w:p>
        </w:tc>
        <w:tc>
          <w:tcPr/>
          <w:p>
            <w:pPr>
              <w:pStyle w:val="Compact"/>
              <w:jc w:val="left"/>
            </w:pPr>
            <w:r>
              <w:t xml:space="preserve">~</w:t>
            </w:r>
            <m:oMath>
              <m:r>
                <m:t>1</m:t>
              </m:r>
              <m:r>
                <m:rPr>
                  <m:sty m:val="p"/>
                </m:rPr>
                <m:t>/</m:t>
              </m:r>
              <m:d>
                <m:dPr>
                  <m:begChr m:val="("/>
                  <m:endChr m:val=")"/>
                  <m:sepChr m:val=""/>
                  <m:grow/>
                </m:dPr>
                <m:e>
                  <m:r>
                    <m:t>N</m:t>
                  </m:r>
                  <m:r>
                    <m:rPr>
                      <m:sty m:val="p"/>
                    </m:rPr>
                    <m:t>+</m:t>
                  </m:r>
                  <m:r>
                    <m:t>1</m:t>
                  </m:r>
                </m:e>
              </m:d>
            </m:oMath>
          </w:p>
        </w:tc>
        <w:tc>
          <w:tcPr/>
          <w:p>
            <w:pPr>
              <w:pStyle w:val="Compact"/>
              <w:jc w:val="left"/>
            </w:pPr>
            <w:r>
              <w:t xml:space="preserve">~</w:t>
            </w:r>
            <m:oMath>
              <m:r>
                <m:t>1</m:t>
              </m:r>
              <m:r>
                <m:rPr>
                  <m:sty m:val="p"/>
                </m:rPr>
                <m:t>/</m:t>
              </m:r>
              <m:d>
                <m:dPr>
                  <m:begChr m:val="("/>
                  <m:endChr m:val=")"/>
                  <m:sepChr m:val=""/>
                  <m:grow/>
                </m:dPr>
                <m:e>
                  <m:r>
                    <m:t>N</m:t>
                  </m:r>
                  <m:r>
                    <m:rPr>
                      <m:sty m:val="p"/>
                    </m:rPr>
                    <m:t>+</m:t>
                  </m:r>
                  <m:r>
                    <m:t>1</m:t>
                  </m:r>
                </m:e>
              </m:d>
            </m:oMath>
          </w:p>
        </w:tc>
      </w:tr>
      <w:tr>
        <w:tc>
          <w:tcPr/>
          <w:p>
            <w:pPr>
              <w:pStyle w:val="Compact"/>
              <w:jc w:val="left"/>
            </w:pPr>
            <w:r>
              <w:t xml:space="preserve">Lookup cost</w:t>
            </w:r>
          </w:p>
        </w:tc>
        <w:tc>
          <w:tcPr/>
          <w:p>
            <w:pPr>
              <w:pStyle w:val="Compact"/>
              <w:jc w:val="left"/>
            </w:pPr>
            <m:oMath>
              <m:r>
                <m:t>O</m:t>
              </m:r>
              <m:d>
                <m:dPr>
                  <m:begChr m:val="("/>
                  <m:endChr m:val=")"/>
                  <m:sepChr m:val=""/>
                  <m:grow/>
                </m:dPr>
                <m:e>
                  <m:r>
                    <m:t>1</m:t>
                  </m:r>
                </m:e>
              </m:d>
            </m:oMath>
          </w:p>
        </w:tc>
        <w:tc>
          <w:tcPr/>
          <w:p>
            <w:pPr>
              <w:pStyle w:val="Compact"/>
              <w:jc w:val="left"/>
            </w:pPr>
            <m:oMath>
              <m:r>
                <m:t>O</m:t>
              </m:r>
              <m:d>
                <m:dPr>
                  <m:begChr m:val="("/>
                  <m:endChr m:val=")"/>
                  <m:sepChr m:val=""/>
                  <m:grow/>
                </m:dPr>
                <m:e>
                  <m:r>
                    <m:rPr>
                      <m:sty m:val="p"/>
                    </m:rPr>
                    <m:t>log</m:t>
                  </m:r>
                  <m:r>
                    <m:t>N</m:t>
                  </m:r>
                  <m:r>
                    <m:t>V</m:t>
                  </m:r>
                </m:e>
              </m:d>
            </m:oMath>
          </w:p>
        </w:tc>
        <w:tc>
          <w:tcPr/>
          <w:p>
            <w:pPr>
              <w:pStyle w:val="Compact"/>
              <w:jc w:val="left"/>
            </w:pPr>
            <m:oMath>
              <m:r>
                <m:t>O</m:t>
              </m:r>
              <m:d>
                <m:dPr>
                  <m:begChr m:val="("/>
                  <m:endChr m:val=")"/>
                  <m:sepChr m:val=""/>
                  <m:grow/>
                </m:dPr>
                <m:e>
                  <m:r>
                    <m:t>N</m:t>
                  </m:r>
                </m:e>
              </m:d>
            </m:oMath>
            <w:r>
              <w:t xml:space="preserve"> </w:t>
            </w:r>
            <w:r>
              <w:t xml:space="preserve">(scores every node)</w:t>
            </w:r>
          </w:p>
        </w:tc>
        <w:tc>
          <w:tcPr/>
          <w:p>
            <w:pPr>
              <w:pStyle w:val="Compact"/>
              <w:jc w:val="left"/>
            </w:pPr>
            <m:oMath>
              <m:r>
                <m:t>O</m:t>
              </m:r>
              <m:d>
                <m:dPr>
                  <m:begChr m:val="("/>
                  <m:endChr m:val=")"/>
                  <m:sepChr m:val=""/>
                  <m:grow/>
                </m:dPr>
                <m:e>
                  <m:r>
                    <m:rPr>
                      <m:sty m:val="p"/>
                    </m:rPr>
                    <m:t>log</m:t>
                  </m:r>
                  <m:r>
                    <m:t>N</m:t>
                  </m:r>
                </m:e>
              </m:d>
            </m:oMath>
            <w:r>
              <w:t xml:space="preserve">, no table</w:t>
            </w:r>
          </w:p>
        </w:tc>
      </w:tr>
      <w:tr>
        <w:tc>
          <w:tcPr/>
          <w:p>
            <w:pPr>
              <w:pStyle w:val="Compact"/>
              <w:jc w:val="left"/>
            </w:pPr>
            <w:r>
              <w:t xml:space="preserve">Memory</w:t>
            </w:r>
          </w:p>
        </w:tc>
        <w:tc>
          <w:tcPr/>
          <w:p>
            <w:pPr>
              <w:pStyle w:val="Compact"/>
              <w:jc w:val="left"/>
            </w:pPr>
            <w:r>
              <w:t xml:space="preserve">None</w:t>
            </w:r>
          </w:p>
        </w:tc>
        <w:tc>
          <w:tcPr/>
          <w:p>
            <w:pPr>
              <w:pStyle w:val="Compact"/>
              <w:jc w:val="left"/>
            </w:pPr>
            <m:oMath>
              <m:r>
                <m:t>O</m:t>
              </m:r>
              <m:d>
                <m:dPr>
                  <m:begChr m:val="("/>
                  <m:endChr m:val=")"/>
                  <m:sepChr m:val=""/>
                  <m:grow/>
                </m:dPr>
                <m:e>
                  <m:r>
                    <m:t>N</m:t>
                  </m:r>
                  <m:r>
                    <m:t>V</m:t>
                  </m:r>
                </m:e>
              </m:d>
            </m:oMath>
            <w:r>
              <w:t xml:space="preserve"> </w:t>
            </w:r>
            <w:r>
              <w:t xml:space="preserve">positions</w:t>
            </w:r>
          </w:p>
        </w:tc>
        <w:tc>
          <w:tcPr/>
          <w:p>
            <w:pPr>
              <w:pStyle w:val="Compact"/>
              <w:jc w:val="left"/>
            </w:pPr>
            <m:oMath>
              <m:r>
                <m:t>O</m:t>
              </m:r>
              <m:d>
                <m:dPr>
                  <m:begChr m:val="("/>
                  <m:endChr m:val=")"/>
                  <m:sepChr m:val=""/>
                  <m:grow/>
                </m:dPr>
                <m:e>
                  <m:r>
                    <m:t>N</m:t>
                  </m:r>
                </m:e>
              </m:d>
            </m:oMath>
            <w:r>
              <w:t xml:space="preserve"> </w:t>
            </w:r>
            <w:r>
              <w:t xml:space="preserve">node list</w:t>
            </w:r>
          </w:p>
        </w:tc>
        <w:tc>
          <w:tcPr/>
          <w:p>
            <w:pPr>
              <w:pStyle w:val="Compact"/>
              <w:jc w:val="left"/>
            </w:pPr>
            <w:r>
              <w:t xml:space="preserve">None</w:t>
            </w:r>
          </w:p>
        </w:tc>
      </w:tr>
      <w:tr>
        <w:tc>
          <w:tcPr/>
          <w:p>
            <w:pPr>
              <w:pStyle w:val="Compact"/>
              <w:jc w:val="left"/>
            </w:pPr>
            <w:r>
              <w:t xml:space="preserve">Load balance</w:t>
            </w:r>
          </w:p>
        </w:tc>
        <w:tc>
          <w:tcPr/>
          <w:p>
            <w:pPr>
              <w:pStyle w:val="Compact"/>
              <w:jc w:val="left"/>
            </w:pPr>
            <w:r>
              <w:t xml:space="preserve">Excellent</w:t>
            </w:r>
          </w:p>
        </w:tc>
        <w:tc>
          <w:tcPr/>
          <w:p>
            <w:pPr>
              <w:pStyle w:val="Compact"/>
              <w:jc w:val="left"/>
            </w:pPr>
            <w:r>
              <w:t xml:space="preserve">Good; improves with</w:t>
            </w:r>
            <w:r>
              <w:t xml:space="preserve"> </w:t>
            </w:r>
            <m:oMath>
              <m:r>
                <m:t>V</m:t>
              </m:r>
            </m:oMath>
          </w:p>
        </w:tc>
        <w:tc>
          <w:tcPr/>
          <w:p>
            <w:pPr>
              <w:pStyle w:val="Compact"/>
              <w:jc w:val="left"/>
            </w:pPr>
            <w:r>
              <w:t xml:space="preserve">Excellent</w:t>
            </w:r>
          </w:p>
        </w:tc>
        <w:tc>
          <w:tcPr/>
          <w:p>
            <w:pPr>
              <w:pStyle w:val="Compact"/>
              <w:jc w:val="left"/>
            </w:pPr>
            <w:r>
              <w:t xml:space="preserve">Excellent</w:t>
            </w:r>
          </w:p>
        </w:tc>
      </w:tr>
      <w:tr>
        <w:tc>
          <w:tcPr/>
          <w:p>
            <w:pPr>
              <w:pStyle w:val="Compact"/>
              <w:jc w:val="left"/>
            </w:pPr>
            <w:r>
              <w:t xml:space="preserve">Arbitrary node removal</w:t>
            </w:r>
          </w:p>
        </w:tc>
        <w:tc>
          <w:tcPr/>
          <w:p>
            <w:pPr>
              <w:pStyle w:val="Compact"/>
              <w:jc w:val="left"/>
            </w:pPr>
            <w:r>
              <w:t xml:space="preserve">Remaps almost everything</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 buckets must be numbered</w:t>
            </w:r>
            <w:r>
              <w:t xml:space="preserve"> </w:t>
            </w:r>
            <m:oMath>
              <m:r>
                <m:t>0</m:t>
              </m:r>
              <m:r>
                <m:rPr>
                  <m:sty m:val="p"/>
                </m:rPr>
                <m:t>.</m:t>
              </m:r>
              <m:r>
                <m:rPr>
                  <m:sty m:val="p"/>
                </m:rPr>
                <m:t>.</m:t>
              </m:r>
              <m:r>
                <m:t>N</m:t>
              </m:r>
              <m:r>
                <m:rPr>
                  <m:sty m:val="p"/>
                </m:rPr>
                <m:t>−</m:t>
              </m:r>
              <m:r>
                <m:t>1</m:t>
              </m:r>
            </m:oMath>
            <w:r>
              <w:t xml:space="preserve"> </w:t>
            </w:r>
            <w:r>
              <w:t xml:space="preserve">and removed from the end</w:t>
            </w:r>
          </w:p>
        </w:tc>
      </w:tr>
      <w:tr>
        <w:tc>
          <w:tcPr/>
          <w:p>
            <w:pPr>
              <w:pStyle w:val="Compact"/>
              <w:jc w:val="left"/>
            </w:pPr>
            <w:r>
              <w:t xml:space="preserve">Weighted nodes</w:t>
            </w:r>
          </w:p>
        </w:tc>
        <w:tc>
          <w:tcPr/>
          <w:p>
            <w:pPr>
              <w:pStyle w:val="Compact"/>
              <w:jc w:val="left"/>
            </w:pPr>
            <w:r>
              <w:t xml:space="preserve">Awkward</w:t>
            </w:r>
          </w:p>
        </w:tc>
        <w:tc>
          <w:tcPr/>
          <w:p>
            <w:pPr>
              <w:pStyle w:val="Compact"/>
              <w:jc w:val="left"/>
            </w:pPr>
            <w:r>
              <w:t xml:space="preserve">Natural (more vnodes)</w:t>
            </w:r>
          </w:p>
        </w:tc>
        <w:tc>
          <w:tcPr/>
          <w:p>
            <w:pPr>
              <w:pStyle w:val="Compact"/>
              <w:jc w:val="left"/>
            </w:pPr>
            <w:r>
              <w:t xml:space="preserve">Possible with weighted scores</w:t>
            </w:r>
          </w:p>
        </w:tc>
        <w:tc>
          <w:tcPr/>
          <w:p>
            <w:pPr>
              <w:pStyle w:val="Compact"/>
              <w:jc w:val="left"/>
            </w:pPr>
            <w:r>
              <w:t xml:space="preserve">No</w:t>
            </w:r>
          </w:p>
        </w:tc>
      </w:tr>
      <w:tr>
        <w:tc>
          <w:tcPr/>
          <w:p>
            <w:pPr>
              <w:pStyle w:val="Compact"/>
              <w:jc w:val="left"/>
            </w:pPr>
            <w:r>
              <w:t xml:space="preserve">Choose when</w:t>
            </w:r>
          </w:p>
        </w:tc>
        <w:tc>
          <w:tcPr/>
          <w:p>
            <w:pPr>
              <w:pStyle w:val="Compact"/>
              <w:jc w:val="left"/>
            </w:pPr>
            <m:oMath>
              <m:r>
                <m:t>N</m:t>
              </m:r>
            </m:oMath>
            <w:r>
              <w:t xml:space="preserve"> </w:t>
            </w:r>
            <w:r>
              <w:t xml:space="preserve">never changes</w:t>
            </w:r>
          </w:p>
        </w:tc>
        <w:tc>
          <w:tcPr/>
          <w:p>
            <w:pPr>
              <w:pStyle w:val="Compact"/>
              <w:jc w:val="left"/>
            </w:pPr>
            <w:r>
              <w:t xml:space="preserve">General-purpose caches and stores</w:t>
            </w:r>
          </w:p>
        </w:tc>
        <w:tc>
          <w:tcPr/>
          <w:p>
            <w:pPr>
              <w:pStyle w:val="Compact"/>
              <w:jc w:val="left"/>
            </w:pPr>
            <w:r>
              <w:t xml:space="preserve">Small</w:t>
            </w:r>
            <w:r>
              <w:t xml:space="preserve"> </w:t>
            </w:r>
            <m:oMath>
              <m:r>
                <m:t>N</m:t>
              </m:r>
            </m:oMath>
            <w:r>
              <w:t xml:space="preserve">, simple code</w:t>
            </w:r>
          </w:p>
        </w:tc>
        <w:tc>
          <w:tcPr/>
          <w:p>
            <w:pPr>
              <w:pStyle w:val="Compact"/>
              <w:jc w:val="left"/>
            </w:pPr>
            <w:r>
              <w:t xml:space="preserve">Storage shards that only grow</w:t>
            </w:r>
          </w:p>
        </w:tc>
      </w:tr>
    </w:tbl>
    <w:p>
      <w:pPr>
        <w:pStyle w:val="BodyText"/>
      </w:pPr>
      <w:r>
        <w:t xml:space="preserve">Sources: [Karger et al. 1997], [Thaler and Ravishankar 1998], [Lamping and Veach 2014]. Two further variants are worth knowing by name.</w:t>
      </w:r>
      <w:r>
        <w:t xml:space="preserve"> </w:t>
      </w:r>
      <w:r>
        <w:rPr>
          <w:bCs/>
          <w:b/>
        </w:rPr>
        <w:t xml:space="preserve">Maglev hashing</w:t>
      </w:r>
      <w:r>
        <w:t xml:space="preserve"> </w:t>
      </w:r>
      <w:r>
        <w:t xml:space="preserve">builds a fixed-size lookup table for</w:t>
      </w:r>
      <w:r>
        <w:t xml:space="preserve"> </w:t>
      </w:r>
      <m:oMath>
        <m:r>
          <m:t>O</m:t>
        </m:r>
        <m:d>
          <m:dPr>
            <m:begChr m:val="("/>
            <m:endChr m:val=")"/>
            <m:sepChr m:val=""/>
            <m:grow/>
          </m:dPr>
          <m:e>
            <m:r>
              <m:t>1</m:t>
            </m:r>
          </m:e>
        </m:d>
      </m:oMath>
      <w:r>
        <w:t xml:space="preserve"> </w:t>
      </w:r>
      <w:r>
        <w:t xml:space="preserve">lookups in load balancers and accepts a little extra disruption in exchange [Eisenbud et al. 2016].</w:t>
      </w:r>
      <w:r>
        <w:t xml:space="preserve"> </w:t>
      </w:r>
      <w:r>
        <w:rPr>
          <w:bCs/>
          <w:b/>
        </w:rPr>
        <w:t xml:space="preserve">Consistent hashing with bounded loads</w:t>
      </w:r>
      <w:r>
        <w:t xml:space="preserve"> </w:t>
      </w:r>
      <w:r>
        <w:t xml:space="preserve">caps every node at</w:t>
      </w:r>
      <w:r>
        <w:t xml:space="preserve"> </w:t>
      </w:r>
      <m:oMath>
        <m:d>
          <m:dPr>
            <m:begChr m:val="("/>
            <m:endChr m:val=")"/>
            <m:sepChr m:val=""/>
            <m:grow/>
          </m:dPr>
          <m:e>
            <m:r>
              <m:t>1</m:t>
            </m:r>
            <m:r>
              <m:rPr>
                <m:sty m:val="p"/>
              </m:rPr>
              <m:t>+</m:t>
            </m:r>
            <m:r>
              <m:t>ε</m:t>
            </m:r>
          </m:e>
        </m:d>
      </m:oMath>
      <w:r>
        <w:t xml:space="preserve"> </w:t>
      </w:r>
      <w:r>
        <w:t xml:space="preserve">times the average load and sends overflow keys clockwise [Mirrokni et al. 2018].</w:t>
      </w:r>
    </w:p>
    <w:p>
      <w:pPr>
        <w:pStyle w:val="BodyText"/>
      </w:pPr>
      <w:r>
        <w:rPr>
          <w:bCs/>
          <w:b/>
        </w:rPr>
        <w:t xml:space="preserve">Self-check artifact:</w:t>
      </w:r>
      <w:r>
        <w:t xml:space="preserve"> </w:t>
      </w:r>
      <w:r>
        <w:t xml:space="preserve">a table like Table 3.2 written from memory, plus one sentence saying which scheme you would pick for a 6-node Redis cache and why.</w:t>
      </w:r>
    </w:p>
    <w:bookmarkEnd w:id="280"/>
    <w:bookmarkStart w:id="281" w:name="step-7-explore-failure-scenarios"/>
    <w:p>
      <w:pPr>
        <w:pStyle w:val="Heading4"/>
      </w:pPr>
      <w:r>
        <w:t xml:space="preserve">Step 7 — Explore failure scenarios</w:t>
      </w:r>
    </w:p>
    <w:p>
      <w:pPr>
        <w:pStyle w:val="FirstParagraph"/>
      </w:pPr>
      <w:r>
        <w:rPr>
          <w:bCs/>
          <w:b/>
        </w:rPr>
        <w:t xml:space="preserve">Table 3.3 — Failure scenarios for consistent hashing.</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One node overloaded</w:t>
            </w:r>
          </w:p>
        </w:tc>
        <w:tc>
          <w:tcPr/>
          <w:p>
            <w:pPr>
              <w:pStyle w:val="Compact"/>
              <w:jc w:val="left"/>
            </w:pPr>
            <w:r>
              <w:t xml:space="preserve">Too few vnodes, so arcs are uneven</w:t>
            </w:r>
          </w:p>
        </w:tc>
        <w:tc>
          <w:tcPr/>
          <w:p>
            <w:pPr>
              <w:pStyle w:val="Compact"/>
              <w:jc w:val="left"/>
            </w:pPr>
            <w:r>
              <w:t xml:space="preserve">Per-node RPS and memory skew</w:t>
            </w:r>
          </w:p>
        </w:tc>
        <w:tc>
          <w:tcPr/>
          <w:p>
            <w:pPr>
              <w:pStyle w:val="Compact"/>
              <w:jc w:val="left"/>
            </w:pPr>
            <w:r>
              <w:t xml:space="preserve">Add vnodes to the others; rebalance</w:t>
            </w:r>
          </w:p>
        </w:tc>
        <w:tc>
          <w:tcPr/>
          <w:p>
            <w:pPr>
              <w:pStyle w:val="Compact"/>
              <w:jc w:val="left"/>
            </w:pPr>
            <m:oMath>
              <m:r>
                <m:t>V</m:t>
              </m:r>
              <m:r>
                <m:rPr>
                  <m:sty m:val="p"/>
                </m:rPr>
                <m:t>≥</m:t>
              </m:r>
              <m:r>
                <m:t>100</m:t>
              </m:r>
            </m:oMath>
            <w:r>
              <w:t xml:space="preserve">; bounded-load variant</w:t>
            </w:r>
          </w:p>
        </w:tc>
      </w:tr>
      <w:tr>
        <w:tc>
          <w:tcPr/>
          <w:p>
            <w:pPr>
              <w:pStyle w:val="Compact"/>
              <w:jc w:val="left"/>
            </w:pPr>
            <w:r>
              <w:t xml:space="preserve">Hot key</w:t>
            </w:r>
          </w:p>
        </w:tc>
        <w:tc>
          <w:tcPr/>
          <w:p>
            <w:pPr>
              <w:pStyle w:val="Compact"/>
              <w:jc w:val="left"/>
            </w:pPr>
            <w:r>
              <w:t xml:space="preserve">One key gets a large share of traffic; hashing cannot split one key</w:t>
            </w:r>
          </w:p>
        </w:tc>
        <w:tc>
          <w:tcPr/>
          <w:p>
            <w:pPr>
              <w:pStyle w:val="Compact"/>
              <w:jc w:val="left"/>
            </w:pPr>
            <w:r>
              <w:t xml:space="preserve">Top-K key metrics (§17.6)</w:t>
            </w:r>
          </w:p>
        </w:tc>
        <w:tc>
          <w:tcPr/>
          <w:p>
            <w:pPr>
              <w:pStyle w:val="Compact"/>
              <w:jc w:val="left"/>
            </w:pPr>
            <w:r>
              <w:t xml:space="preserve">Replicate the hot key; add a local cache tier</w:t>
            </w:r>
          </w:p>
        </w:tc>
        <w:tc>
          <w:tcPr/>
          <w:p>
            <w:pPr>
              <w:pStyle w:val="Compact"/>
              <w:jc w:val="left"/>
            </w:pPr>
            <w:r>
              <w:t xml:space="preserve">Key splitting, request coalescing (§20.15)</w:t>
            </w:r>
          </w:p>
        </w:tc>
      </w:tr>
      <w:tr>
        <w:tc>
          <w:tcPr/>
          <w:p>
            <w:pPr>
              <w:pStyle w:val="Compact"/>
              <w:jc w:val="left"/>
            </w:pPr>
            <w:r>
              <w:t xml:space="preserve">Successor overload after node death</w:t>
            </w:r>
          </w:p>
        </w:tc>
        <w:tc>
          <w:tcPr/>
          <w:p>
            <w:pPr>
              <w:pStyle w:val="Compact"/>
              <w:jc w:val="left"/>
            </w:pPr>
            <w:r>
              <w:t xml:space="preserve">With</w:t>
            </w:r>
            <w:r>
              <w:t xml:space="preserve"> </w:t>
            </w:r>
            <m:oMath>
              <m:r>
                <m:t>V</m:t>
              </m:r>
              <m:r>
                <m:rPr>
                  <m:sty m:val="p"/>
                </m:rPr>
                <m:t>=</m:t>
              </m:r>
              <m:r>
                <m:t>1</m:t>
              </m:r>
            </m:oMath>
            <w:r>
              <w:t xml:space="preserve">, the clockwise neighbor inherits</w:t>
            </w:r>
            <w:r>
              <w:t xml:space="preserve"> </w:t>
            </w:r>
            <w:r>
              <w:rPr>
                <w:iCs/>
                <w:i/>
              </w:rPr>
              <w:t xml:space="preserve">all</w:t>
            </w:r>
            <w:r>
              <w:t xml:space="preserve"> </w:t>
            </w:r>
            <w:r>
              <w:t xml:space="preserve">of the dead node’s keys</w:t>
            </w:r>
          </w:p>
        </w:tc>
        <w:tc>
          <w:tcPr/>
          <w:p>
            <w:pPr>
              <w:pStyle w:val="Compact"/>
              <w:jc w:val="left"/>
            </w:pPr>
            <w:r>
              <w:t xml:space="preserve">Neighbor CPU and miss-ratio spike</w:t>
            </w:r>
          </w:p>
        </w:tc>
        <w:tc>
          <w:tcPr/>
          <w:p>
            <w:pPr>
              <w:pStyle w:val="Compact"/>
              <w:jc w:val="left"/>
            </w:pPr>
            <w:r>
              <w:t xml:space="preserve">Bring up a replacement node</w:t>
            </w:r>
          </w:p>
        </w:tc>
        <w:tc>
          <w:tcPr/>
          <w:p>
            <w:pPr>
              <w:pStyle w:val="Compact"/>
              <w:jc w:val="left"/>
            </w:pPr>
            <w:r>
              <w:t xml:space="preserve">Virtual nodes spread the load over many successors</w:t>
            </w:r>
          </w:p>
        </w:tc>
      </w:tr>
      <w:tr>
        <w:tc>
          <w:tcPr/>
          <w:p>
            <w:pPr>
              <w:pStyle w:val="Compact"/>
              <w:jc w:val="left"/>
            </w:pPr>
            <w:r>
              <w:t xml:space="preserve">Split views of membership</w:t>
            </w:r>
          </w:p>
        </w:tc>
        <w:tc>
          <w:tcPr/>
          <w:p>
            <w:pPr>
              <w:pStyle w:val="Compact"/>
              <w:jc w:val="left"/>
            </w:pPr>
            <w:r>
              <w:t xml:space="preserve">Clients update membership at different times</w:t>
            </w:r>
          </w:p>
        </w:tc>
        <w:tc>
          <w:tcPr/>
          <w:p>
            <w:pPr>
              <w:pStyle w:val="Compact"/>
              <w:jc w:val="left"/>
            </w:pPr>
            <w:r>
              <w:t xml:space="preserve">Same key read from two nodes; inconsistent reads</w:t>
            </w:r>
          </w:p>
        </w:tc>
        <w:tc>
          <w:tcPr/>
          <w:p>
            <w:pPr>
              <w:pStyle w:val="Compact"/>
              <w:jc w:val="left"/>
            </w:pPr>
            <w:r>
              <w:t xml:space="preserve">Converge config; flush the affected range</w:t>
            </w:r>
          </w:p>
        </w:tc>
        <w:tc>
          <w:tcPr/>
          <w:p>
            <w:pPr>
              <w:pStyle w:val="Compact"/>
              <w:jc w:val="left"/>
            </w:pPr>
            <w:r>
              <w:t xml:space="preserve">Single source of truth with watches; versioned ring</w:t>
            </w:r>
          </w:p>
        </w:tc>
      </w:tr>
      <w:tr>
        <w:tc>
          <w:tcPr/>
          <w:p>
            <w:pPr>
              <w:pStyle w:val="Compact"/>
              <w:jc w:val="left"/>
            </w:pPr>
            <w:r>
              <w:t xml:space="preserve">Miss storm on resize</w:t>
            </w:r>
          </w:p>
        </w:tc>
        <w:tc>
          <w:tcPr/>
          <w:p>
            <w:pPr>
              <w:pStyle w:val="Compact"/>
              <w:jc w:val="left"/>
            </w:pPr>
            <w:r>
              <w:t xml:space="preserve">New node starts cold</w:t>
            </w:r>
          </w:p>
        </w:tc>
        <w:tc>
          <w:tcPr/>
          <w:p>
            <w:pPr>
              <w:pStyle w:val="Compact"/>
              <w:jc w:val="left"/>
            </w:pPr>
            <w:r>
              <w:t xml:space="preserve">Database RPS spike</w:t>
            </w:r>
          </w:p>
        </w:tc>
        <w:tc>
          <w:tcPr/>
          <w:p>
            <w:pPr>
              <w:pStyle w:val="Compact"/>
              <w:jc w:val="left"/>
            </w:pPr>
            <w:r>
              <w:t xml:space="preserve">Rate-limit fills; serve stale data</w:t>
            </w:r>
          </w:p>
        </w:tc>
        <w:tc>
          <w:tcPr/>
          <w:p>
            <w:pPr>
              <w:pStyle w:val="Compact"/>
              <w:jc w:val="left"/>
            </w:pPr>
            <w:r>
              <w:t xml:space="preserve">Pre-warm; add nodes off-peak; stampede protection (§20.11)</w:t>
            </w:r>
          </w:p>
        </w:tc>
      </w:tr>
      <w:tr>
        <w:tc>
          <w:tcPr/>
          <w:p>
            <w:pPr>
              <w:pStyle w:val="Compact"/>
              <w:jc w:val="left"/>
            </w:pPr>
            <w:r>
              <w:t xml:space="preserve">Poor hash function</w:t>
            </w:r>
          </w:p>
        </w:tc>
        <w:tc>
          <w:tcPr/>
          <w:p>
            <w:pPr>
              <w:pStyle w:val="Compact"/>
              <w:jc w:val="left"/>
            </w:pPr>
            <w:r>
              <w:t xml:space="preserve">Clustering of positions</w:t>
            </w:r>
          </w:p>
        </w:tc>
        <w:tc>
          <w:tcPr/>
          <w:p>
            <w:pPr>
              <w:pStyle w:val="Compact"/>
              <w:jc w:val="left"/>
            </w:pPr>
            <w:r>
              <w:t xml:space="preserve">Skewed arc lengths at build time</w:t>
            </w:r>
          </w:p>
        </w:tc>
        <w:tc>
          <w:tcPr/>
          <w:p>
            <w:pPr>
              <w:pStyle w:val="Compact"/>
              <w:jc w:val="left"/>
            </w:pPr>
            <w:r>
              <w:t xml:space="preserve">Change the hash, which remaps everything</w:t>
            </w:r>
          </w:p>
        </w:tc>
        <w:tc>
          <w:tcPr/>
          <w:p>
            <w:pPr>
              <w:pStyle w:val="Compact"/>
              <w:jc w:val="left"/>
            </w:pPr>
            <w:r>
              <w:t xml:space="preserve">Use a well-mixed hash (e.g., MurmurHash, xxHash, MD5 truncated)</w:t>
            </w:r>
          </w:p>
        </w:tc>
      </w:tr>
    </w:tbl>
    <w:p>
      <w:pPr>
        <w:pStyle w:val="BodyText"/>
      </w:pPr>
      <w:r>
        <w:t xml:space="preserve">The split-view row is the one beginners miss. The algorithm assumes every client has the same ring. Keeping that true is a distributed-systems problem in its own right, and you will meet it again in Chapter 26.</w:t>
      </w:r>
    </w:p>
    <w:bookmarkEnd w:id="281"/>
    <w:bookmarkStart w:id="282" w:name="step-8-implement-a-simplified-version"/>
    <w:p>
      <w:pPr>
        <w:pStyle w:val="Heading4"/>
      </w:pPr>
      <w:r>
        <w:t xml:space="preserve">Step 8 — Implement a simplified version</w:t>
      </w:r>
    </w:p>
    <w:p>
      <w:pPr>
        <w:pStyle w:val="FirstParagraph"/>
      </w:pPr>
      <w:r>
        <w:t xml:space="preserve">Keep the mechanism and leave out everything else: no networking, no replication, no persistence. The goal is a program that lets you</w:t>
      </w:r>
      <w:r>
        <w:t xml:space="preserve"> </w:t>
      </w:r>
      <w:r>
        <w:rPr>
          <w:iCs/>
          <w:i/>
        </w:rPr>
        <w:t xml:space="preserve">see</w:t>
      </w:r>
      <w:r>
        <w:t xml:space="preserve"> </w:t>
      </w:r>
      <w:r>
        <w:t xml:space="preserve">the two properties you studied, minimal movement and load balance.</w:t>
      </w:r>
    </w:p>
    <w:p>
      <w:pPr>
        <w:pStyle w:val="SourceCode"/>
      </w:pPr>
      <w:r>
        <w:rPr>
          <w:rStyle w:val="CommentTok"/>
        </w:rPr>
        <w:t xml:space="preserve">"""Simplified consistent-hashing ring with virtual nodes (teaching version)."""</w:t>
      </w:r>
      <w:r>
        <w:br/>
      </w:r>
      <w:r>
        <w:rPr>
          <w:rStyle w:val="ImportTok"/>
        </w:rPr>
        <w:t xml:space="preserve">import</w:t>
      </w:r>
      <w:r>
        <w:rPr>
          <w:rStyle w:val="NormalTok"/>
        </w:rPr>
        <w:t xml:space="preserve"> bisect</w:t>
      </w:r>
      <w:r>
        <w:br/>
      </w:r>
      <w:r>
        <w:rPr>
          <w:rStyle w:val="ImportTok"/>
        </w:rPr>
        <w:t xml:space="preserve">import</w:t>
      </w:r>
      <w:r>
        <w:rPr>
          <w:rStyle w:val="NormalTok"/>
        </w:rPr>
        <w:t xml:space="preserve"> hashlib</w:t>
      </w:r>
      <w:r>
        <w:br/>
      </w:r>
      <w:r>
        <w:rPr>
          <w:rStyle w:val="ImportTok"/>
        </w:rPr>
        <w:t xml:space="preserve">from</w:t>
      </w:r>
      <w:r>
        <w:rPr>
          <w:rStyle w:val="NormalTok"/>
        </w:rPr>
        <w:t xml:space="preserve"> collections </w:t>
      </w:r>
      <w:r>
        <w:rPr>
          <w:rStyle w:val="ImportTok"/>
        </w:rPr>
        <w:t xml:space="preserve">import</w:t>
      </w:r>
      <w:r>
        <w:rPr>
          <w:rStyle w:val="NormalTok"/>
        </w:rPr>
        <w:t xml:space="preserve"> Counter</w:t>
      </w:r>
      <w:r>
        <w:br/>
      </w:r>
      <w:r>
        <w:br/>
      </w:r>
      <w:r>
        <w:br/>
      </w:r>
      <w:r>
        <w:rPr>
          <w:rStyle w:val="KeywordTok"/>
        </w:rPr>
        <w:t xml:space="preserve">def</w:t>
      </w:r>
      <w:r>
        <w:rPr>
          <w:rStyle w:val="NormalTok"/>
        </w:rPr>
        <w:t xml:space="preserve"> h(key: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"""Map a string to a 64-bit integer position on the ring."""</w:t>
      </w:r>
      <w:r>
        <w:br/>
      </w:r>
      <w:r>
        <w:rPr>
          <w:rStyle w:val="NormalTok"/>
        </w:rPr>
        <w:t xml:space="preserve">    digest </w:t>
      </w:r>
      <w:r>
        <w:rPr>
          <w:rStyle w:val="OperatorTok"/>
        </w:rPr>
        <w:t xml:space="preserve">=</w:t>
      </w:r>
      <w:r>
        <w:rPr>
          <w:rStyle w:val="NormalTok"/>
        </w:rPr>
        <w:t xml:space="preserve"> hashlib.md5(key.encode(</w:t>
      </w:r>
      <w:r>
        <w:rPr>
          <w:rStyle w:val="StringTok"/>
        </w:rPr>
        <w:t xml:space="preserve">"utf-8"</w:t>
      </w:r>
      <w:r>
        <w:rPr>
          <w:rStyle w:val="NormalTok"/>
        </w:rPr>
        <w:t xml:space="preserve">)).digest()</w:t>
      </w:r>
      <w:r>
        <w:br/>
      </w:r>
      <w:r>
        <w:rPr>
          <w:rStyle w:val="NormalTok"/>
        </w:rPr>
        <w:t xml:space="preserve">    </w:t>
      </w:r>
      <w:r>
        <w:rPr>
          <w:rStyle w:val="ControlFlowTok"/>
        </w:rPr>
        <w:t xml:space="preserve">return</w:t>
      </w:r>
      <w:r>
        <w:rPr>
          <w:rStyle w:val="NormalTok"/>
        </w:rPr>
        <w:t xml:space="preserve"> </w:t>
      </w:r>
      <w:r>
        <w:rPr>
          <w:rStyle w:val="BuiltInTok"/>
        </w:rPr>
        <w:t xml:space="preserve">int</w:t>
      </w:r>
      <w:r>
        <w:rPr>
          <w:rStyle w:val="NormalTok"/>
        </w:rPr>
        <w:t xml:space="preserve">.from_bytes(digest[:</w:t>
      </w:r>
      <w:r>
        <w:rPr>
          <w:rStyle w:val="DecValTok"/>
        </w:rPr>
        <w:t xml:space="preserve">8</w:t>
      </w:r>
      <w:r>
        <w:rPr>
          <w:rStyle w:val="NormalTok"/>
        </w:rPr>
        <w:t xml:space="preserve">], </w:t>
      </w:r>
      <w:r>
        <w:rPr>
          <w:rStyle w:val="StringTok"/>
        </w:rPr>
        <w:t xml:space="preserve">"big"</w:t>
      </w:r>
      <w:r>
        <w:rPr>
          <w:rStyle w:val="NormalTok"/>
        </w:rPr>
        <w:t xml:space="preserve">)</w:t>
      </w:r>
      <w:r>
        <w:br/>
      </w:r>
      <w:r>
        <w:br/>
      </w:r>
      <w:r>
        <w:br/>
      </w:r>
      <w:r>
        <w:rPr>
          <w:rStyle w:val="KeywordTok"/>
        </w:rPr>
        <w:t xml:space="preserve">class</w:t>
      </w:r>
      <w:r>
        <w:rPr>
          <w:rStyle w:val="NormalTok"/>
        </w:rPr>
        <w:t xml:space="preserve"> HashRing:</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nodes</w:t>
      </w:r>
      <w:r>
        <w:rPr>
          <w:rStyle w:val="OperatorTok"/>
        </w:rPr>
        <w:t xml:space="preserve">=</w:t>
      </w:r>
      <w:r>
        <w:rPr>
          <w:rStyle w:val="NormalTok"/>
        </w:rPr>
        <w:t xml:space="preserve">(), vnodes: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VariableTok"/>
        </w:rPr>
        <w:t xml:space="preserve">self</w:t>
      </w:r>
      <w:r>
        <w:rPr>
          <w:rStyle w:val="NormalTok"/>
        </w:rPr>
        <w:t xml:space="preserve">.vnodes </w:t>
      </w:r>
      <w:r>
        <w:rPr>
          <w:rStyle w:val="OperatorTok"/>
        </w:rPr>
        <w:t xml:space="preserve">=</w:t>
      </w:r>
      <w:r>
        <w:rPr>
          <w:rStyle w:val="NormalTok"/>
        </w:rPr>
        <w:t xml:space="preserve"> vnodes</w:t>
      </w:r>
      <w:r>
        <w:br/>
      </w:r>
      <w:r>
        <w:rPr>
          <w:rStyle w:val="NormalTok"/>
        </w:rPr>
        <w:t xml:space="preserve">        </w:t>
      </w:r>
      <w:r>
        <w:rPr>
          <w:rStyle w:val="VariableTok"/>
        </w:rPr>
        <w:t xml:space="preserve">self</w:t>
      </w:r>
      <w:r>
        <w:rPr>
          <w:rStyle w:val="NormalTok"/>
        </w:rPr>
        <w:t xml:space="preserve">._positions </w:t>
      </w:r>
      <w:r>
        <w:rPr>
          <w:rStyle w:val="OperatorTok"/>
        </w:rPr>
        <w:t xml:space="preserve">=</w:t>
      </w:r>
      <w:r>
        <w:rPr>
          <w:rStyle w:val="NormalTok"/>
        </w:rPr>
        <w:t xml:space="preserve"> []   </w:t>
      </w:r>
      <w:r>
        <w:rPr>
          <w:rStyle w:val="CommentTok"/>
        </w:rPr>
        <w:t xml:space="preserve"># sorted ring positions</w:t>
      </w:r>
      <w:r>
        <w:br/>
      </w:r>
      <w:r>
        <w:rPr>
          <w:rStyle w:val="NormalTok"/>
        </w:rPr>
        <w:t xml:space="preserve">        </w:t>
      </w:r>
      <w:r>
        <w:rPr>
          <w:rStyle w:val="VariableTok"/>
        </w:rPr>
        <w:t xml:space="preserve">self</w:t>
      </w:r>
      <w:r>
        <w:rPr>
          <w:rStyle w:val="NormalTok"/>
        </w:rPr>
        <w:t xml:space="preserve">._owner </w:t>
      </w:r>
      <w:r>
        <w:rPr>
          <w:rStyle w:val="OperatorTok"/>
        </w:rPr>
        <w:t xml:space="preserve">=</w:t>
      </w:r>
      <w:r>
        <w:rPr>
          <w:rStyle w:val="NormalTok"/>
        </w:rPr>
        <w:t xml:space="preserve"> {}       </w:t>
      </w:r>
      <w:r>
        <w:rPr>
          <w:rStyle w:val="CommentTok"/>
        </w:rPr>
        <w:t xml:space="preserve"># position -&gt; physical node name</w:t>
      </w:r>
      <w:r>
        <w:br/>
      </w:r>
      <w:r>
        <w:rPr>
          <w:rStyle w:val="NormalTok"/>
        </w:rPr>
        <w:t xml:space="preserve">        </w:t>
      </w:r>
      <w:r>
        <w:rPr>
          <w:rStyle w:val="ControlFlowTok"/>
        </w:rPr>
        <w:t xml:space="preserve">for</w:t>
      </w:r>
      <w:r>
        <w:rPr>
          <w:rStyle w:val="NormalTok"/>
        </w:rPr>
        <w:t xml:space="preserve"> node </w:t>
      </w:r>
      <w:r>
        <w:rPr>
          <w:rStyle w:val="KeywordTok"/>
        </w:rPr>
        <w:t xml:space="preserve">in</w:t>
      </w:r>
      <w:r>
        <w:rPr>
          <w:rStyle w:val="NormalTok"/>
        </w:rPr>
        <w:t xml:space="preserve"> nodes:</w:t>
      </w:r>
      <w:r>
        <w:br/>
      </w:r>
      <w:r>
        <w:rPr>
          <w:rStyle w:val="NormalTok"/>
        </w:rPr>
        <w:t xml:space="preserve">            </w:t>
      </w:r>
      <w:r>
        <w:rPr>
          <w:rStyle w:val="VariableTok"/>
        </w:rPr>
        <w:t xml:space="preserve">self</w:t>
      </w:r>
      <w:r>
        <w:rPr>
          <w:rStyle w:val="NormalTok"/>
        </w:rPr>
        <w:t xml:space="preserve">.add_node(node)</w:t>
      </w:r>
      <w:r>
        <w:br/>
      </w:r>
      <w:r>
        <w:br/>
      </w:r>
      <w:r>
        <w:rPr>
          <w:rStyle w:val="NormalTok"/>
        </w:rPr>
        <w:t xml:space="preserve">    </w:t>
      </w:r>
      <w:r>
        <w:rPr>
          <w:rStyle w:val="KeywordTok"/>
        </w:rPr>
        <w:t xml:space="preserve">def</w:t>
      </w:r>
      <w:r>
        <w:rPr>
          <w:rStyle w:val="NormalTok"/>
        </w:rPr>
        <w:t xml:space="preserve"> add_node(</w:t>
      </w:r>
      <w:r>
        <w:rPr>
          <w:rStyle w:val="VariableTok"/>
        </w:rPr>
        <w:t xml:space="preserve">self</w:t>
      </w:r>
      <w:r>
        <w:rPr>
          <w:rStyle w:val="NormalTok"/>
        </w:rPr>
        <w:t xml:space="preserve">, node: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.vnodes):</w:t>
      </w:r>
      <w:r>
        <w:br/>
      </w:r>
      <w:r>
        <w:rPr>
          <w:rStyle w:val="NormalTok"/>
        </w:rPr>
        <w:t xml:space="preserve">            pos </w:t>
      </w:r>
      <w:r>
        <w:rPr>
          <w:rStyle w:val="OperatorTok"/>
        </w:rPr>
        <w:t xml:space="preserve">=</w:t>
      </w:r>
      <w:r>
        <w:rPr>
          <w:rStyle w:val="NormalTok"/>
        </w:rPr>
        <w:t xml:space="preserve"> h(</w:t>
      </w:r>
      <w:r>
        <w:rPr>
          <w:rStyle w:val="SpecialStringTok"/>
        </w:rPr>
        <w:t xml:space="preserve">f"</w:t>
      </w:r>
      <w:r>
        <w:rPr>
          <w:rStyle w:val="SpecialCharTok"/>
        </w:rPr>
        <w:t xml:space="preserve">{</w:t>
      </w:r>
      <w:r>
        <w:rPr>
          <w:rStyle w:val="NormalTok"/>
        </w:rPr>
        <w:t xml:space="preserve">node</w:t>
      </w:r>
      <w:r>
        <w:rPr>
          <w:rStyle w:val="SpecialCharTok"/>
        </w:rPr>
        <w:t xml:space="preserve">}</w:t>
      </w:r>
      <w:r>
        <w:rPr>
          <w:rStyle w:val="SpecialStringTok"/>
        </w:rPr>
        <w:t xml:space="preserve">#vn</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w:t>
      </w:r>
      <w:r>
        <w:br/>
      </w:r>
      <w:r>
        <w:rPr>
          <w:rStyle w:val="NormalTok"/>
        </w:rPr>
        <w:t xml:space="preserve">            bisect.insort(</w:t>
      </w:r>
      <w:r>
        <w:rPr>
          <w:rStyle w:val="VariableTok"/>
        </w:rPr>
        <w:t xml:space="preserve">self</w:t>
      </w:r>
      <w:r>
        <w:rPr>
          <w:rStyle w:val="NormalTok"/>
        </w:rPr>
        <w:t xml:space="preserve">._positions, pos)</w:t>
      </w:r>
      <w:r>
        <w:br/>
      </w:r>
      <w:r>
        <w:rPr>
          <w:rStyle w:val="NormalTok"/>
        </w:rPr>
        <w:t xml:space="preserve">            </w:t>
      </w:r>
      <w:r>
        <w:rPr>
          <w:rStyle w:val="VariableTok"/>
        </w:rPr>
        <w:t xml:space="preserve">self</w:t>
      </w:r>
      <w:r>
        <w:rPr>
          <w:rStyle w:val="NormalTok"/>
        </w:rPr>
        <w:t xml:space="preserve">._owner[pos] </w:t>
      </w:r>
      <w:r>
        <w:rPr>
          <w:rStyle w:val="OperatorTok"/>
        </w:rPr>
        <w:t xml:space="preserve">=</w:t>
      </w:r>
      <w:r>
        <w:rPr>
          <w:rStyle w:val="NormalTok"/>
        </w:rPr>
        <w:t xml:space="preserve"> node</w:t>
      </w:r>
      <w:r>
        <w:br/>
      </w:r>
      <w:r>
        <w:br/>
      </w:r>
      <w:r>
        <w:rPr>
          <w:rStyle w:val="NormalTok"/>
        </w:rPr>
        <w:t xml:space="preserve">    </w:t>
      </w:r>
      <w:r>
        <w:rPr>
          <w:rStyle w:val="KeywordTok"/>
        </w:rPr>
        <w:t xml:space="preserve">def</w:t>
      </w:r>
      <w:r>
        <w:rPr>
          <w:rStyle w:val="NormalTok"/>
        </w:rPr>
        <w:t xml:space="preserve"> remove_node(</w:t>
      </w:r>
      <w:r>
        <w:rPr>
          <w:rStyle w:val="VariableTok"/>
        </w:rPr>
        <w:t xml:space="preserve">self</w:t>
      </w:r>
      <w:r>
        <w:rPr>
          <w:rStyle w:val="NormalTok"/>
        </w:rPr>
        <w:t xml:space="preserve">, node: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.vnodes):</w:t>
      </w:r>
      <w:r>
        <w:br/>
      </w:r>
      <w:r>
        <w:rPr>
          <w:rStyle w:val="NormalTok"/>
        </w:rPr>
        <w:t xml:space="preserve">            pos </w:t>
      </w:r>
      <w:r>
        <w:rPr>
          <w:rStyle w:val="OperatorTok"/>
        </w:rPr>
        <w:t xml:space="preserve">=</w:t>
      </w:r>
      <w:r>
        <w:rPr>
          <w:rStyle w:val="NormalTok"/>
        </w:rPr>
        <w:t xml:space="preserve"> h(</w:t>
      </w:r>
      <w:r>
        <w:rPr>
          <w:rStyle w:val="SpecialStringTok"/>
        </w:rPr>
        <w:t xml:space="preserve">f"</w:t>
      </w:r>
      <w:r>
        <w:rPr>
          <w:rStyle w:val="SpecialCharTok"/>
        </w:rPr>
        <w:t xml:space="preserve">{</w:t>
      </w:r>
      <w:r>
        <w:rPr>
          <w:rStyle w:val="NormalTok"/>
        </w:rPr>
        <w:t xml:space="preserve">node</w:t>
      </w:r>
      <w:r>
        <w:rPr>
          <w:rStyle w:val="SpecialCharTok"/>
        </w:rPr>
        <w:t xml:space="preserve">}</w:t>
      </w:r>
      <w:r>
        <w:rPr>
          <w:rStyle w:val="SpecialStringTok"/>
        </w:rPr>
        <w:t xml:space="preserve">#vn</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VariableTok"/>
        </w:rPr>
        <w:t xml:space="preserve">self</w:t>
      </w:r>
      <w:r>
        <w:rPr>
          <w:rStyle w:val="NormalTok"/>
        </w:rPr>
        <w:t xml:space="preserve">._positions.remove(pos)</w:t>
      </w:r>
      <w:r>
        <w:br/>
      </w:r>
      <w:r>
        <w:rPr>
          <w:rStyle w:val="NormalTok"/>
        </w:rPr>
        <w:t xml:space="preserve">            </w:t>
      </w:r>
      <w:r>
        <w:rPr>
          <w:rStyle w:val="KeywordTok"/>
        </w:rPr>
        <w:t xml:space="preserve">del</w:t>
      </w:r>
      <w:r>
        <w:rPr>
          <w:rStyle w:val="NormalTok"/>
        </w:rPr>
        <w:t xml:space="preserve"> </w:t>
      </w:r>
      <w:r>
        <w:rPr>
          <w:rStyle w:val="VariableTok"/>
        </w:rPr>
        <w:t xml:space="preserve">self</w:t>
      </w:r>
      <w:r>
        <w:rPr>
          <w:rStyle w:val="NormalTok"/>
        </w:rPr>
        <w:t xml:space="preserve">._owner[pos]</w:t>
      </w:r>
      <w:r>
        <w:br/>
      </w:r>
      <w:r>
        <w:br/>
      </w:r>
      <w:r>
        <w:rPr>
          <w:rStyle w:val="NormalTok"/>
        </w:rPr>
        <w:t xml:space="preserve">    </w:t>
      </w:r>
      <w:r>
        <w:rPr>
          <w:rStyle w:val="KeywordTok"/>
        </w:rPr>
        <w:t xml:space="preserve">def</w:t>
      </w:r>
      <w:r>
        <w:rPr>
          <w:rStyle w:val="NormalTok"/>
        </w:rPr>
        <w:t xml:space="preserve"> get_node(</w:t>
      </w:r>
      <w:r>
        <w:rPr>
          <w:rStyle w:val="VariableTok"/>
        </w:rPr>
        <w:t xml:space="preserve">self</w:t>
      </w:r>
      <w:r>
        <w:rPr>
          <w:rStyle w:val="NormalTok"/>
        </w:rPr>
        <w:t xml:space="preserve">, key: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"""Return the first node clockwise from the key's position."""</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._positions:</w:t>
      </w:r>
      <w:r>
        <w:br/>
      </w:r>
      <w:r>
        <w:rPr>
          <w:rStyle w:val="NormalTok"/>
        </w:rPr>
        <w:t xml:space="preserve">            </w:t>
      </w:r>
      <w:r>
        <w:rPr>
          <w:rStyle w:val="ControlFlowTok"/>
        </w:rPr>
        <w:t xml:space="preserve">raise</w:t>
      </w:r>
      <w:r>
        <w:rPr>
          <w:rStyle w:val="NormalTok"/>
        </w:rPr>
        <w:t xml:space="preserve"> </w:t>
      </w:r>
      <w:r>
        <w:rPr>
          <w:rStyle w:val="PreprocessorTok"/>
        </w:rPr>
        <w:t xml:space="preserve">LookupError</w:t>
      </w:r>
      <w:r>
        <w:rPr>
          <w:rStyle w:val="NormalTok"/>
        </w:rPr>
        <w:t xml:space="preserve">(</w:t>
      </w:r>
      <w:r>
        <w:rPr>
          <w:rStyle w:val="StringTok"/>
        </w:rPr>
        <w:t xml:space="preserve">"ring is empty"</w:t>
      </w:r>
      <w:r>
        <w:rPr>
          <w:rStyle w:val="NormalTok"/>
        </w:rPr>
        <w:t xml:space="preserve">)</w:t>
      </w:r>
      <w:r>
        <w:br/>
      </w:r>
      <w:r>
        <w:rPr>
          <w:rStyle w:val="NormalTok"/>
        </w:rPr>
        <w:t xml:space="preserve">        idx </w:t>
      </w:r>
      <w:r>
        <w:rPr>
          <w:rStyle w:val="OperatorTok"/>
        </w:rPr>
        <w:t xml:space="preserve">=</w:t>
      </w:r>
      <w:r>
        <w:rPr>
          <w:rStyle w:val="NormalTok"/>
        </w:rPr>
        <w:t xml:space="preserve"> bisect.bisect_right(</w:t>
      </w:r>
      <w:r>
        <w:rPr>
          <w:rStyle w:val="VariableTok"/>
        </w:rPr>
        <w:t xml:space="preserve">self</w:t>
      </w:r>
      <w:r>
        <w:rPr>
          <w:rStyle w:val="NormalTok"/>
        </w:rPr>
        <w:t xml:space="preserve">._positions, h(key))</w:t>
      </w:r>
      <w:r>
        <w:br/>
      </w:r>
      <w:r>
        <w:rPr>
          <w:rStyle w:val="NormalTok"/>
        </w:rPr>
        <w:t xml:space="preserve">        </w:t>
      </w:r>
      <w:r>
        <w:rPr>
          <w:rStyle w:val="ControlFlowTok"/>
        </w:rPr>
        <w:t xml:space="preserve">if</w:t>
      </w:r>
      <w:r>
        <w:rPr>
          <w:rStyle w:val="NormalTok"/>
        </w:rPr>
        <w:t xml:space="preserve"> idx </w:t>
      </w:r>
      <w:r>
        <w:rPr>
          <w:rStyle w:val="OperatorTok"/>
        </w:rPr>
        <w:t xml:space="preserve">==</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._positions):  </w:t>
      </w:r>
      <w:r>
        <w:rPr>
          <w:rStyle w:val="CommentTok"/>
        </w:rPr>
        <w:t xml:space="preserve"># wrap around past the top</w:t>
      </w:r>
      <w:r>
        <w:br/>
      </w:r>
      <w:r>
        <w:rPr>
          <w:rStyle w:val="NormalTok"/>
        </w:rPr>
        <w:t xml:space="preserve">            idx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._owner[</w:t>
      </w:r>
      <w:r>
        <w:rPr>
          <w:rStyle w:val="VariableTok"/>
        </w:rPr>
        <w:t xml:space="preserve">self</w:t>
      </w:r>
      <w:r>
        <w:rPr>
          <w:rStyle w:val="NormalTok"/>
        </w:rPr>
        <w:t xml:space="preserve">._positions[idx]]</w:t>
      </w:r>
      <w:r>
        <w:br/>
      </w:r>
      <w:r>
        <w:br/>
      </w:r>
      <w:r>
        <w:br/>
      </w:r>
      <w:r>
        <w:rPr>
          <w:rStyle w:val="KeywordTok"/>
        </w:rPr>
        <w:t xml:space="preserve">def</w:t>
      </w:r>
      <w:r>
        <w:rPr>
          <w:rStyle w:val="NormalTok"/>
        </w:rPr>
        <w:t xml:space="preserve"> mod_n_node(key: </w:t>
      </w:r>
      <w:r>
        <w:rPr>
          <w:rStyle w:val="BuiltInTok"/>
        </w:rPr>
        <w:t xml:space="preserve">str</w:t>
      </w:r>
      <w:r>
        <w:rPr>
          <w:rStyle w:val="NormalTok"/>
        </w:rPr>
        <w:t xml:space="preserve">, nodes: </w:t>
      </w:r>
      <w:r>
        <w:rPr>
          <w:rStyle w:val="BuiltInTok"/>
        </w:rPr>
        <w:t xml:space="preserve">list</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"""The naive scheme: hash(key) mod N."""</w:t>
      </w:r>
      <w:r>
        <w:br/>
      </w:r>
      <w:r>
        <w:rPr>
          <w:rStyle w:val="NormalTok"/>
        </w:rPr>
        <w:t xml:space="preserve">    </w:t>
      </w:r>
      <w:r>
        <w:rPr>
          <w:rStyle w:val="ControlFlowTok"/>
        </w:rPr>
        <w:t xml:space="preserve">return</w:t>
      </w:r>
      <w:r>
        <w:rPr>
          <w:rStyle w:val="NormalTok"/>
        </w:rPr>
        <w:t xml:space="preserve"> nodes[h(key) </w:t>
      </w:r>
      <w:r>
        <w:rPr>
          <w:rStyle w:val="OperatorTok"/>
        </w:rPr>
        <w:t xml:space="preserve">%</w:t>
      </w:r>
      <w:r>
        <w:rPr>
          <w:rStyle w:val="NormalTok"/>
        </w:rPr>
        <w:t xml:space="preserve"> </w:t>
      </w:r>
      <w:r>
        <w:rPr>
          <w:rStyle w:val="BuiltInTok"/>
        </w:rPr>
        <w:t xml:space="preserve">len</w:t>
      </w:r>
      <w:r>
        <w:rPr>
          <w:rStyle w:val="NormalTok"/>
        </w:rPr>
        <w:t xml:space="preserve">(nodes)]</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keys </w:t>
      </w:r>
      <w:r>
        <w:rPr>
          <w:rStyle w:val="OperatorTok"/>
        </w:rPr>
        <w:t xml:space="preserve">=</w:t>
      </w:r>
      <w:r>
        <w:rPr>
          <w:rStyle w:val="NormalTok"/>
        </w:rPr>
        <w:t xml:space="preserve"> [</w:t>
      </w:r>
      <w:r>
        <w:rPr>
          <w:rStyle w:val="SpecialStringTok"/>
        </w:rPr>
        <w:t xml:space="preserve">f"user:</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100_000</w:t>
      </w:r>
      <w:r>
        <w:rPr>
          <w:rStyle w:val="NormalTok"/>
        </w:rPr>
        <w:t xml:space="preserve">)]</w:t>
      </w:r>
      <w:r>
        <w:br/>
      </w:r>
      <w:r>
        <w:rPr>
          <w:rStyle w:val="NormalTok"/>
        </w:rPr>
        <w:t xml:space="preserve">    before </w:t>
      </w:r>
      <w:r>
        <w:rPr>
          <w:rStyle w:val="OperatorTok"/>
        </w:rPr>
        <w:t xml:space="preserve">=</w:t>
      </w:r>
      <w:r>
        <w:rPr>
          <w:rStyle w:val="NormalTok"/>
        </w:rPr>
        <w:t xml:space="preserve"> [</w:t>
      </w:r>
      <w:r>
        <w:rPr>
          <w:rStyle w:val="SpecialStringTok"/>
        </w:rPr>
        <w:t xml:space="preserve">f"cache-</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4</w:t>
      </w:r>
      <w:r>
        <w:rPr>
          <w:rStyle w:val="NormalTok"/>
        </w:rPr>
        <w:t xml:space="preserve">)]</w:t>
      </w:r>
      <w:r>
        <w:br/>
      </w:r>
      <w:r>
        <w:rPr>
          <w:rStyle w:val="NormalTok"/>
        </w:rPr>
        <w:t xml:space="preserve">    after </w:t>
      </w:r>
      <w:r>
        <w:rPr>
          <w:rStyle w:val="OperatorTok"/>
        </w:rPr>
        <w:t xml:space="preserve">=</w:t>
      </w:r>
      <w:r>
        <w:rPr>
          <w:rStyle w:val="NormalTok"/>
        </w:rPr>
        <w:t xml:space="preserve"> before </w:t>
      </w:r>
      <w:r>
        <w:rPr>
          <w:rStyle w:val="OperatorTok"/>
        </w:rPr>
        <w:t xml:space="preserve">+</w:t>
      </w:r>
      <w:r>
        <w:rPr>
          <w:rStyle w:val="NormalTok"/>
        </w:rPr>
        <w:t xml:space="preserve"> [</w:t>
      </w:r>
      <w:r>
        <w:rPr>
          <w:rStyle w:val="StringTok"/>
        </w:rPr>
        <w:t xml:space="preserve">"cache-4"</w:t>
      </w:r>
      <w:r>
        <w:rPr>
          <w:rStyle w:val="NormalTok"/>
        </w:rPr>
        <w:t xml:space="preserve">]</w:t>
      </w:r>
      <w:r>
        <w:br/>
      </w:r>
      <w:r>
        <w:br/>
      </w:r>
      <w:r>
        <w:rPr>
          <w:rStyle w:val="NormalTok"/>
        </w:rPr>
        <w:t xml:space="preserve">    moved </w:t>
      </w:r>
      <w:r>
        <w:rPr>
          <w:rStyle w:val="OperatorTok"/>
        </w:rPr>
        <w:t xml:space="preserve">=</w:t>
      </w:r>
      <w:r>
        <w:rPr>
          <w:rStyle w:val="NormalTok"/>
        </w:rPr>
        <w:t xml:space="preserve"> </w:t>
      </w:r>
      <w:r>
        <w:rPr>
          <w:rStyle w:val="BuiltInTok"/>
        </w:rPr>
        <w:t xml:space="preserve">sum</w:t>
      </w:r>
      <w:r>
        <w:rPr>
          <w:rStyle w:val="NormalTok"/>
        </w:rPr>
        <w:t xml:space="preserve">(mod_n_node(k, before) </w:t>
      </w:r>
      <w:r>
        <w:rPr>
          <w:rStyle w:val="OperatorTok"/>
        </w:rPr>
        <w:t xml:space="preserve">!=</w:t>
      </w:r>
      <w:r>
        <w:rPr>
          <w:rStyle w:val="NormalTok"/>
        </w:rPr>
        <w:t xml:space="preserve"> mod_n_node(k, after) </w:t>
      </w:r>
      <w:r>
        <w:rPr>
          <w:rStyle w:val="ControlFlowTok"/>
        </w:rPr>
        <w:t xml:space="preserve">for</w:t>
      </w:r>
      <w:r>
        <w:rPr>
          <w:rStyle w:val="NormalTok"/>
        </w:rPr>
        <w:t xml:space="preserve"> k </w:t>
      </w:r>
      <w:r>
        <w:rPr>
          <w:rStyle w:val="KeywordTok"/>
        </w:rPr>
        <w:t xml:space="preserve">in</w:t>
      </w:r>
      <w:r>
        <w:rPr>
          <w:rStyle w:val="NormalTok"/>
        </w:rPr>
        <w:t xml:space="preserve"> keys)</w:t>
      </w:r>
      <w:r>
        <w:br/>
      </w:r>
      <w:r>
        <w:rPr>
          <w:rStyle w:val="NormalTok"/>
        </w:rPr>
        <w:t xml:space="preserve">    </w:t>
      </w:r>
      <w:r>
        <w:rPr>
          <w:rStyle w:val="BuiltInTok"/>
        </w:rPr>
        <w:t xml:space="preserve">print</w:t>
      </w:r>
      <w:r>
        <w:rPr>
          <w:rStyle w:val="NormalTok"/>
        </w:rPr>
        <w:t xml:space="preserve">(</w:t>
      </w:r>
      <w:r>
        <w:rPr>
          <w:rStyle w:val="SpecialStringTok"/>
        </w:rPr>
        <w:t xml:space="preserve">f"mod-N : </w:t>
      </w:r>
      <w:r>
        <w:rPr>
          <w:rStyle w:val="SpecialCharTok"/>
        </w:rPr>
        <w:t xml:space="preserve">{</w:t>
      </w:r>
      <w:r>
        <w:rPr>
          <w:rStyle w:val="NormalTok"/>
        </w:rPr>
        <w:t xml:space="preserve">moved </w:t>
      </w:r>
      <w:r>
        <w:rPr>
          <w:rStyle w:val="OperatorTok"/>
        </w:rPr>
        <w:t xml:space="preserve">/</w:t>
      </w:r>
      <w:r>
        <w:rPr>
          <w:rStyle w:val="NormalTok"/>
        </w:rPr>
        <w:t xml:space="preserve"> </w:t>
      </w:r>
      <w:r>
        <w:rPr>
          <w:rStyle w:val="BuiltInTok"/>
        </w:rPr>
        <w:t xml:space="preserve">len</w:t>
      </w:r>
      <w:r>
        <w:rPr>
          <w:rStyle w:val="NormalTok"/>
        </w:rPr>
        <w:t xml:space="preserve">(keys)</w:t>
      </w:r>
      <w:r>
        <w:rPr>
          <w:rStyle w:val="SpecialCharTok"/>
        </w:rPr>
        <w:t xml:space="preserve">:.1%}</w:t>
      </w:r>
      <w:r>
        <w:rPr>
          <w:rStyle w:val="SpecialStringTok"/>
        </w:rPr>
        <w:t xml:space="preserve"> of keys moved (4 -&gt; 5 nodes)"</w:t>
      </w:r>
      <w:r>
        <w:rPr>
          <w:rStyle w:val="NormalTok"/>
        </w:rPr>
        <w:t xml:space="preserve">)</w:t>
      </w:r>
      <w:r>
        <w:br/>
      </w:r>
      <w:r>
        <w:br/>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w:t>
      </w:r>
      <w:r>
        <w:rPr>
          <w:rStyle w:val="DecValTok"/>
        </w:rPr>
        <w:t xml:space="preserve">1</w:t>
      </w:r>
      <w:r>
        <w:rPr>
          <w:rStyle w:val="NormalTok"/>
        </w:rPr>
        <w:t xml:space="preserve">, </w:t>
      </w:r>
      <w:r>
        <w:rPr>
          <w:rStyle w:val="DecValTok"/>
        </w:rPr>
        <w:t xml:space="preserve">100</w:t>
      </w:r>
      <w:r>
        <w:rPr>
          <w:rStyle w:val="NormalTok"/>
        </w:rPr>
        <w:t xml:space="preserve">):</w:t>
      </w:r>
      <w:r>
        <w:br/>
      </w:r>
      <w:r>
        <w:rPr>
          <w:rStyle w:val="NormalTok"/>
        </w:rPr>
        <w:t xml:space="preserve">        ring </w:t>
      </w:r>
      <w:r>
        <w:rPr>
          <w:rStyle w:val="OperatorTok"/>
        </w:rPr>
        <w:t xml:space="preserve">=</w:t>
      </w:r>
      <w:r>
        <w:rPr>
          <w:rStyle w:val="NormalTok"/>
        </w:rPr>
        <w:t xml:space="preserve"> HashRing(before, vnodes</w:t>
      </w:r>
      <w:r>
        <w:rPr>
          <w:rStyle w:val="OperatorTok"/>
        </w:rPr>
        <w:t xml:space="preserve">=</w:t>
      </w:r>
      <w:r>
        <w:rPr>
          <w:rStyle w:val="NormalTok"/>
        </w:rPr>
        <w:t xml:space="preserve">v)</w:t>
      </w:r>
      <w:r>
        <w:br/>
      </w:r>
      <w:r>
        <w:rPr>
          <w:rStyle w:val="NormalTok"/>
        </w:rPr>
        <w:t xml:space="preserve">        old </w:t>
      </w:r>
      <w:r>
        <w:rPr>
          <w:rStyle w:val="OperatorTok"/>
        </w:rPr>
        <w:t xml:space="preserve">=</w:t>
      </w:r>
      <w:r>
        <w:rPr>
          <w:rStyle w:val="NormalTok"/>
        </w:rPr>
        <w:t xml:space="preserve"> {k: ring.get_node(k) </w:t>
      </w:r>
      <w:r>
        <w:rPr>
          <w:rStyle w:val="ControlFlowTok"/>
        </w:rPr>
        <w:t xml:space="preserve">for</w:t>
      </w:r>
      <w:r>
        <w:rPr>
          <w:rStyle w:val="NormalTok"/>
        </w:rPr>
        <w:t xml:space="preserve"> k </w:t>
      </w:r>
      <w:r>
        <w:rPr>
          <w:rStyle w:val="KeywordTok"/>
        </w:rPr>
        <w:t xml:space="preserve">in</w:t>
      </w:r>
      <w:r>
        <w:rPr>
          <w:rStyle w:val="NormalTok"/>
        </w:rPr>
        <w:t xml:space="preserve"> keys}</w:t>
      </w:r>
      <w:r>
        <w:br/>
      </w:r>
      <w:r>
        <w:rPr>
          <w:rStyle w:val="NormalTok"/>
        </w:rPr>
        <w:t xml:space="preserve">        ring.add_node(</w:t>
      </w:r>
      <w:r>
        <w:rPr>
          <w:rStyle w:val="StringTok"/>
        </w:rPr>
        <w:t xml:space="preserve">"cache-4"</w:t>
      </w:r>
      <w:r>
        <w:rPr>
          <w:rStyle w:val="NormalTok"/>
        </w:rPr>
        <w:t xml:space="preserve">)</w:t>
      </w:r>
      <w:r>
        <w:br/>
      </w:r>
      <w:r>
        <w:rPr>
          <w:rStyle w:val="NormalTok"/>
        </w:rPr>
        <w:t xml:space="preserve">        moved </w:t>
      </w:r>
      <w:r>
        <w:rPr>
          <w:rStyle w:val="OperatorTok"/>
        </w:rPr>
        <w:t xml:space="preserve">=</w:t>
      </w:r>
      <w:r>
        <w:rPr>
          <w:rStyle w:val="NormalTok"/>
        </w:rPr>
        <w:t xml:space="preserve"> </w:t>
      </w:r>
      <w:r>
        <w:rPr>
          <w:rStyle w:val="BuiltInTok"/>
        </w:rPr>
        <w:t xml:space="preserve">sum</w:t>
      </w:r>
      <w:r>
        <w:rPr>
          <w:rStyle w:val="NormalTok"/>
        </w:rPr>
        <w:t xml:space="preserve">(old[k] </w:t>
      </w:r>
      <w:r>
        <w:rPr>
          <w:rStyle w:val="OperatorTok"/>
        </w:rPr>
        <w:t xml:space="preserve">!=</w:t>
      </w:r>
      <w:r>
        <w:rPr>
          <w:rStyle w:val="NormalTok"/>
        </w:rPr>
        <w:t xml:space="preserve"> ring.get_node(k) </w:t>
      </w:r>
      <w:r>
        <w:rPr>
          <w:rStyle w:val="ControlFlowTok"/>
        </w:rPr>
        <w:t xml:space="preserve">for</w:t>
      </w:r>
      <w:r>
        <w:rPr>
          <w:rStyle w:val="NormalTok"/>
        </w:rPr>
        <w:t xml:space="preserve"> k </w:t>
      </w:r>
      <w:r>
        <w:rPr>
          <w:rStyle w:val="KeywordTok"/>
        </w:rPr>
        <w:t xml:space="preserve">in</w:t>
      </w:r>
      <w:r>
        <w:rPr>
          <w:rStyle w:val="NormalTok"/>
        </w:rPr>
        <w:t xml:space="preserve"> keys)</w:t>
      </w:r>
      <w:r>
        <w:br/>
      </w:r>
      <w:r>
        <w:rPr>
          <w:rStyle w:val="NormalTok"/>
        </w:rPr>
        <w:t xml:space="preserve">        load </w:t>
      </w:r>
      <w:r>
        <w:rPr>
          <w:rStyle w:val="OperatorTok"/>
        </w:rPr>
        <w:t xml:space="preserve">=</w:t>
      </w:r>
      <w:r>
        <w:rPr>
          <w:rStyle w:val="NormalTok"/>
        </w:rPr>
        <w:t xml:space="preserve"> Counter(ring.get_node(k) </w:t>
      </w:r>
      <w:r>
        <w:rPr>
          <w:rStyle w:val="ControlFlowTok"/>
        </w:rPr>
        <w:t xml:space="preserve">for</w:t>
      </w:r>
      <w:r>
        <w:rPr>
          <w:rStyle w:val="NormalTok"/>
        </w:rPr>
        <w:t xml:space="preserve"> k </w:t>
      </w:r>
      <w:r>
        <w:rPr>
          <w:rStyle w:val="KeywordTok"/>
        </w:rPr>
        <w:t xml:space="preserve">in</w:t>
      </w:r>
      <w:r>
        <w:rPr>
          <w:rStyle w:val="NormalTok"/>
        </w:rPr>
        <w:t xml:space="preserve"> keys)</w:t>
      </w:r>
      <w:r>
        <w:br/>
      </w:r>
      <w:r>
        <w:rPr>
          <w:rStyle w:val="NormalTok"/>
        </w:rPr>
        <w:t xml:space="preserve">        spread </w:t>
      </w:r>
      <w:r>
        <w:rPr>
          <w:rStyle w:val="OperatorTok"/>
        </w:rPr>
        <w:t xml:space="preserve">=</w:t>
      </w:r>
      <w:r>
        <w:rPr>
          <w:rStyle w:val="NormalTok"/>
        </w:rPr>
        <w:t xml:space="preserve"> </w:t>
      </w:r>
      <w:r>
        <w:rPr>
          <w:rStyle w:val="BuiltInTok"/>
        </w:rPr>
        <w:t xml:space="preserve">max</w:t>
      </w:r>
      <w:r>
        <w:rPr>
          <w:rStyle w:val="NormalTok"/>
        </w:rPr>
        <w:t xml:space="preserve">(load.values()) </w:t>
      </w:r>
      <w:r>
        <w:rPr>
          <w:rStyle w:val="OperatorTok"/>
        </w:rPr>
        <w:t xml:space="preserve">/</w:t>
      </w:r>
      <w:r>
        <w:rPr>
          <w:rStyle w:val="NormalTok"/>
        </w:rPr>
        <w:t xml:space="preserve"> (</w:t>
      </w:r>
      <w:r>
        <w:rPr>
          <w:rStyle w:val="BuiltInTok"/>
        </w:rPr>
        <w:t xml:space="preserve">len</w:t>
      </w:r>
      <w:r>
        <w:rPr>
          <w:rStyle w:val="NormalTok"/>
        </w:rPr>
        <w:t xml:space="preserve">(keys) </w:t>
      </w:r>
      <w:r>
        <w:rPr>
          <w:rStyle w:val="OperatorTok"/>
        </w:rPr>
        <w:t xml:space="preserve">/</w:t>
      </w:r>
      <w:r>
        <w:rPr>
          <w:rStyle w:val="NormalTok"/>
        </w:rPr>
        <w:t xml:space="preserve"> </w:t>
      </w:r>
      <w:r>
        <w:rPr>
          <w:rStyle w:val="BuiltInTok"/>
        </w:rPr>
        <w:t xml:space="preserve">len</w:t>
      </w:r>
      <w:r>
        <w:rPr>
          <w:rStyle w:val="NormalTok"/>
        </w:rPr>
        <w:t xml:space="preserve">(after))</w:t>
      </w:r>
      <w:r>
        <w:br/>
      </w:r>
      <w:r>
        <w:rPr>
          <w:rStyle w:val="NormalTok"/>
        </w:rPr>
        <w:t xml:space="preserve">        </w:t>
      </w:r>
      <w:r>
        <w:rPr>
          <w:rStyle w:val="BuiltInTok"/>
        </w:rPr>
        <w:t xml:space="preserve">print</w:t>
      </w:r>
      <w:r>
        <w:rPr>
          <w:rStyle w:val="NormalTok"/>
        </w:rPr>
        <w:t xml:space="preserve">(</w:t>
      </w:r>
      <w:r>
        <w:rPr>
          <w:rStyle w:val="SpecialStringTok"/>
        </w:rPr>
        <w:t xml:space="preserve">f"ring vnodes=</w:t>
      </w:r>
      <w:r>
        <w:rPr>
          <w:rStyle w:val="SpecialCharTok"/>
        </w:rPr>
        <w:t xml:space="preserve">{</w:t>
      </w:r>
      <w:r>
        <w:rPr>
          <w:rStyle w:val="NormalTok"/>
        </w:rPr>
        <w:t xml:space="preserve">v</w:t>
      </w:r>
      <w:r>
        <w:rPr>
          <w:rStyle w:val="SpecialCharTok"/>
        </w:rPr>
        <w:t xml:space="preserve">:&lt;3}</w:t>
      </w:r>
      <w:r>
        <w:rPr>
          <w:rStyle w:val="SpecialStringTok"/>
        </w:rPr>
        <w:t xml:space="preserve">: </w:t>
      </w:r>
      <w:r>
        <w:rPr>
          <w:rStyle w:val="SpecialCharTok"/>
        </w:rPr>
        <w:t xml:space="preserve">{</w:t>
      </w:r>
      <w:r>
        <w:rPr>
          <w:rStyle w:val="NormalTok"/>
        </w:rPr>
        <w:t xml:space="preserve">moved </w:t>
      </w:r>
      <w:r>
        <w:rPr>
          <w:rStyle w:val="OperatorTok"/>
        </w:rPr>
        <w:t xml:space="preserve">/</w:t>
      </w:r>
      <w:r>
        <w:rPr>
          <w:rStyle w:val="NormalTok"/>
        </w:rPr>
        <w:t xml:space="preserve"> </w:t>
      </w:r>
      <w:r>
        <w:rPr>
          <w:rStyle w:val="BuiltInTok"/>
        </w:rPr>
        <w:t xml:space="preserve">len</w:t>
      </w:r>
      <w:r>
        <w:rPr>
          <w:rStyle w:val="NormalTok"/>
        </w:rPr>
        <w:t xml:space="preserve">(keys)</w:t>
      </w:r>
      <w:r>
        <w:rPr>
          <w:rStyle w:val="SpecialCharTok"/>
        </w:rPr>
        <w:t xml:space="preserve">:.1%}</w:t>
      </w:r>
      <w:r>
        <w:rPr>
          <w:rStyle w:val="SpecialStringTok"/>
        </w:rPr>
        <w:t xml:space="preserve"> moved, "</w:t>
      </w:r>
      <w:r>
        <w:br/>
      </w:r>
      <w:r>
        <w:rPr>
          <w:rStyle w:val="NormalTok"/>
        </w:rPr>
        <w:t xml:space="preserve">              </w:t>
      </w:r>
      <w:r>
        <w:rPr>
          <w:rStyle w:val="SpecialStringTok"/>
        </w:rPr>
        <w:t xml:space="preserve">f"busiest node at </w:t>
      </w:r>
      <w:r>
        <w:rPr>
          <w:rStyle w:val="SpecialCharTok"/>
        </w:rPr>
        <w:t xml:space="preserve">{</w:t>
      </w:r>
      <w:r>
        <w:rPr>
          <w:rStyle w:val="NormalTok"/>
        </w:rPr>
        <w:t xml:space="preserve">spread</w:t>
      </w:r>
      <w:r>
        <w:rPr>
          <w:rStyle w:val="SpecialCharTok"/>
        </w:rPr>
        <w:t xml:space="preserve">:.2f}</w:t>
      </w:r>
      <w:r>
        <w:rPr>
          <w:rStyle w:val="SpecialStringTok"/>
        </w:rPr>
        <w:t xml:space="preserve">x the mean load"</w:t>
      </w:r>
      <w:r>
        <w:rPr>
          <w:rStyle w:val="NormalTok"/>
        </w:rPr>
        <w:t xml:space="preserve">)</w:t>
      </w:r>
    </w:p>
    <w:p>
      <w:pPr>
        <w:pStyle w:val="FirstParagraph"/>
      </w:pPr>
      <w:r>
        <w:t xml:space="preserve">Running it with Python 3.8 or later prints:</w:t>
      </w:r>
    </w:p>
    <w:p>
      <w:pPr>
        <w:pStyle w:val="SourceCode"/>
      </w:pPr>
      <w:r>
        <w:rPr>
          <w:rStyle w:val="VerbatimChar"/>
        </w:rPr>
        <w:t xml:space="preserve">mod-N : 79.9% of keys moved (4 -&gt; 5 nodes)</w:t>
      </w:r>
      <w:r>
        <w:br/>
      </w:r>
      <w:r>
        <w:rPr>
          <w:rStyle w:val="VerbatimChar"/>
        </w:rPr>
        <w:t xml:space="preserve">ring vnodes=1  : 24.4% moved, busiest node at 2.60x the mean load</w:t>
      </w:r>
      <w:r>
        <w:br/>
      </w:r>
      <w:r>
        <w:rPr>
          <w:rStyle w:val="VerbatimChar"/>
        </w:rPr>
        <w:t xml:space="preserve">ring vnodes=100: 21.4% moved, busiest node at 1.08x the mean load</w:t>
      </w:r>
    </w:p>
    <w:p>
      <w:pPr>
        <w:pStyle w:val="FirstParagraph"/>
      </w:pPr>
      <w:r>
        <w:t xml:space="preserve">What to notice:</w:t>
      </w:r>
    </w:p>
    <w:p>
      <w:pPr>
        <w:numPr>
          <w:ilvl w:val="0"/>
          <w:numId w:val="1071"/>
        </w:numPr>
        <w:pStyle w:val="Compact"/>
      </w:pPr>
      <w:r>
        <w:rPr>
          <w:rStyle w:val="VerbatimChar"/>
        </w:rPr>
        <w:t xml:space="preserve">h()</w:t>
      </w:r>
      <w:r>
        <w:t xml:space="preserve"> </w:t>
      </w:r>
      <w:r>
        <w:t xml:space="preserve">uses MD5 only as a</w:t>
      </w:r>
      <w:r>
        <w:t xml:space="preserve"> </w:t>
      </w:r>
      <w:r>
        <w:rPr>
          <w:iCs/>
          <w:i/>
        </w:rPr>
        <w:t xml:space="preserve">mixing</w:t>
      </w:r>
      <w:r>
        <w:t xml:space="preserve"> </w:t>
      </w:r>
      <w:r>
        <w:t xml:space="preserve">function, which is fine here because nothing depends on it being cryptographically secure. Python’s built-in</w:t>
      </w:r>
      <w:r>
        <w:t xml:space="preserve"> </w:t>
      </w:r>
      <w:r>
        <w:rPr>
          <w:rStyle w:val="VerbatimChar"/>
        </w:rPr>
        <w:t xml:space="preserve">hash()</w:t>
      </w:r>
      <w:r>
        <w:t xml:space="preserve"> </w:t>
      </w:r>
      <w:r>
        <w:t xml:space="preserve">is randomized per process for strings, so two app instances would build different rings. That is exactly the split-view failure from Table 3.3, reproduced by accident.</w:t>
      </w:r>
    </w:p>
    <w:p>
      <w:pPr>
        <w:numPr>
          <w:ilvl w:val="0"/>
          <w:numId w:val="1071"/>
        </w:numPr>
        <w:pStyle w:val="Compact"/>
      </w:pPr>
      <w:r>
        <w:rPr>
          <w:rStyle w:val="VerbatimChar"/>
        </w:rPr>
        <w:t xml:space="preserve">bisect_right</w:t>
      </w:r>
      <w:r>
        <w:t xml:space="preserve"> </w:t>
      </w:r>
      <w:r>
        <w:t xml:space="preserve">plus the wrap-around check</w:t>
      </w:r>
      <w:r>
        <w:t xml:space="preserve"> </w:t>
      </w:r>
      <w:r>
        <w:rPr>
          <w:iCs/>
          <w:i/>
        </w:rPr>
        <w:t xml:space="preserve">is</w:t>
      </w:r>
      <w:r>
        <w:t xml:space="preserve"> </w:t>
      </w:r>
      <w:r>
        <w:t xml:space="preserve">the clockwise walk. Those two lines are the whole algorithm.</w:t>
      </w:r>
    </w:p>
    <w:p>
      <w:pPr>
        <w:numPr>
          <w:ilvl w:val="0"/>
          <w:numId w:val="1071"/>
        </w:numPr>
        <w:pStyle w:val="Compact"/>
      </w:pPr>
      <w:r>
        <w:t xml:space="preserve">The measurement agrees with the formula. Mod-N moved 79.9 % against a predicted 80 %. The ring moved about 20 % (21.4 % with 100 vnodes).</w:t>
      </w:r>
    </w:p>
    <w:p>
      <w:pPr>
        <w:numPr>
          <w:ilvl w:val="0"/>
          <w:numId w:val="1071"/>
        </w:numPr>
        <w:pStyle w:val="Compact"/>
      </w:pPr>
      <w:r>
        <w:t xml:space="preserve">With one vnode per node, the busiest node carries 2.6× its fair share. With 100 vnodes it carries 1.08×. You have now</w:t>
      </w:r>
      <w:r>
        <w:t xml:space="preserve"> </w:t>
      </w:r>
      <w:r>
        <w:rPr>
          <w:iCs/>
          <w:i/>
        </w:rPr>
        <w:t xml:space="preserve">seen</w:t>
      </w:r>
      <w:r>
        <w:t xml:space="preserve"> </w:t>
      </w:r>
      <w:r>
        <w:t xml:space="preserve">why virtual nodes exist, which is worth more than reading it.</w:t>
      </w:r>
    </w:p>
    <w:p>
      <w:pPr>
        <w:numPr>
          <w:ilvl w:val="0"/>
          <w:numId w:val="1071"/>
        </w:numPr>
        <w:pStyle w:val="Compact"/>
      </w:pPr>
      <w:r>
        <w:rPr>
          <w:rStyle w:val="VerbatimChar"/>
        </w:rPr>
        <w:t xml:space="preserve">bisect.insort</w:t>
      </w:r>
      <w:r>
        <w:t xml:space="preserve"> </w:t>
      </w:r>
      <w:r>
        <w:t xml:space="preserve">costs</w:t>
      </w:r>
      <w:r>
        <w:t xml:space="preserve"> </w:t>
      </w:r>
      <m:oMath>
        <m:r>
          <m:t>O</m:t>
        </m:r>
        <m:d>
          <m:dPr>
            <m:begChr m:val="("/>
            <m:endChr m:val=")"/>
            <m:sepChr m:val=""/>
            <m:grow/>
          </m:dPr>
          <m:e>
            <m:r>
              <m:t>N</m:t>
            </m:r>
            <m:r>
              <m:t>V</m:t>
            </m:r>
          </m:e>
        </m:d>
      </m:oMath>
      <w:r>
        <w:t xml:space="preserve"> </w:t>
      </w:r>
      <w:r>
        <w:t xml:space="preserve">per insert. That is fine at this scale. A production ring would rebuild a sorted array once per membership change.</w:t>
      </w:r>
    </w:p>
    <w:bookmarkEnd w:id="282"/>
    <w:bookmarkStart w:id="286" w:name="step-9-solve-a-design-problem"/>
    <w:p>
      <w:pPr>
        <w:pStyle w:val="Heading4"/>
      </w:pPr>
      <w:r>
        <w:t xml:space="preserve">Step 9 — Solve a design problem</w:t>
      </w:r>
    </w:p>
    <w:p>
      <w:pPr>
        <w:pStyle w:val="FirstParagraph"/>
      </w:pPr>
      <w:r>
        <w:t xml:space="preserve">Use the concept inside a small design.</w:t>
      </w:r>
      <w:r>
        <w:t xml:space="preserve"> </w:t>
      </w:r>
      <w:r>
        <w:rPr>
          <w:bCs/>
          <w:b/>
        </w:rPr>
        <w:t xml:space="preserve">Problem:</w:t>
      </w:r>
      <w:r>
        <w:t xml:space="preserve"> </w:t>
      </w:r>
      <w:r>
        <w:t xml:space="preserve">a session store for 20 million concurrently active users. Each session is about 2 KB. Reads run at 200,000 RPS and writes at 20,000 RPS. A cache node may fail without logging out more than about 10 % of users.</w:t>
      </w:r>
    </w:p>
    <w:p>
      <w:pPr>
        <w:pStyle w:val="BodyText"/>
      </w:pPr>
      <w:r>
        <w:t xml:space="preserve">A sketch of the solution. Data volume is</w:t>
      </w:r>
      <w:r>
        <w:t xml:space="preserve"> </w:t>
      </w:r>
      <m:oMath>
        <m:r>
          <m:t>2</m:t>
        </m:r>
        <m:r>
          <m:rPr>
            <m:sty m:val="p"/>
          </m:rPr>
          <m:t>×</m:t>
        </m:r>
        <m:sSup>
          <m:e>
            <m:r>
              <m:t>10</m:t>
            </m:r>
          </m:e>
          <m:sup>
            <m:r>
              <m:t>7</m:t>
            </m:r>
          </m:sup>
        </m:sSup>
        <m:r>
          <m:rPr>
            <m:sty m:val="p"/>
          </m:rPr>
          <m:t>×</m:t>
        </m:r>
        <m:r>
          <m:t>2</m:t>
        </m:r>
        <m:r>
          <m:t> </m:t>
        </m:r>
        <m:r>
          <m:rPr>
            <m:nor/>
            <m:sty m:val="p"/>
          </m:rPr>
          <m:t>KB</m:t>
        </m:r>
        <m:r>
          <m:rPr>
            <m:sty m:val="p"/>
          </m:rPr>
          <m:t>=</m:t>
        </m:r>
        <m:r>
          <m:t>40</m:t>
        </m:r>
        <m:r>
          <m:t> </m:t>
        </m:r>
        <m:r>
          <m:rPr>
            <m:nor/>
            <m:sty m:val="p"/>
          </m:rPr>
          <m:t>GB</m:t>
        </m:r>
      </m:oMath>
      <w:r>
        <w:t xml:space="preserve"> </w:t>
      </w:r>
      <w:r>
        <w:t xml:space="preserve">(SI units). With replication factor 2 that is 80 GB. Ten nodes with 16 GB of usable memory each hold it with headroom. Assign keys with a ring of 10 nodes × 150 vnodes. Write each session to the first two distinct physical nodes clockwise. If one node dies, its share (~10 %) has a replica on many different successors thanks to the vnodes, so no user is logged out and no single successor doubles its load. Figure 3.3 shows the read path during that failure.</w:t>
      </w:r>
    </w:p>
    <w:p>
      <w:pPr>
        <w:pStyle w:val="BodyText"/>
      </w:pPr>
      <w:r>
        <w:rPr>
          <w:bCs/>
          <w:b/>
        </w:rPr>
        <w:t xml:space="preserve">Figure 3.3 — Session read when the primary owner has failed.</w:t>
      </w:r>
    </w:p>
    <w:p>
      <w:pPr>
        <w:pStyle w:val="BodyText"/>
      </w:pPr>
      <w:r>
        <w:drawing>
          <wp:inline>
            <wp:extent cx="5334000" cy="2342931"/>
            <wp:effectExtent b="0" l="0" r="0" t="0"/>
            <wp:docPr descr="" title="" id="284" name="Picture"/>
            <a:graphic>
              <a:graphicData uri="http://schemas.openxmlformats.org/drawingml/2006/picture">
                <pic:pic>
                  <pic:nvPicPr>
                    <pic:cNvPr descr="/home/user/System-Design/build/.cache/diagrams/fad13c6ea935.png" id="285" name="Picture"/>
                    <pic:cNvPicPr>
                      <a:picLocks noChangeArrowheads="1" noChangeAspect="1"/>
                    </pic:cNvPicPr>
                  </pic:nvPicPr>
                  <pic:blipFill>
                    <a:blip r:embed="rId283"/>
                    <a:stretch>
                      <a:fillRect/>
                    </a:stretch>
                  </pic:blipFill>
                  <pic:spPr bwMode="auto">
                    <a:xfrm>
                      <a:off x="0" y="0"/>
                      <a:ext cx="5334000" cy="2342931"/>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participants are the client, the app service, the in-process ring router, the failed owner (cache-3) and the second replica on the preference list (cache-7). All arrows are synchronous request/response calls. The client uses HTTPS, and the app talks to the cache nodes over TCP. The crossed arrow is the failure: the call to cache-3 times out after a short, explicit deadline (§22.11). The app then tries the next node on the preference list. The cost to the user is one timeout of added latency, here 20 ms. The note shows the asynchronous repair: once failure detection (§27.10) removes cache-3, the router stops trying it and the extra latency goes away. The storage boundary is the cache tier, and each session lives on two nodes. To scale, add nodes. Each one takes about</w:t>
      </w:r>
      <w:r>
        <w:t xml:space="preserve"> </w:t>
      </w:r>
      <m:oMath>
        <m:r>
          <m:t>1</m:t>
        </m:r>
        <m:r>
          <m:rPr>
            <m:sty m:val="p"/>
          </m:rPr>
          <m:t>/</m:t>
        </m:r>
        <m:d>
          <m:dPr>
            <m:begChr m:val="("/>
            <m:endChr m:val=")"/>
            <m:sepChr m:val=""/>
            <m:grow/>
          </m:dPr>
          <m:e>
            <m:r>
              <m:t>N</m:t>
            </m:r>
            <m:r>
              <m:rPr>
                <m:sty m:val="p"/>
              </m:rPr>
              <m:t>+</m:t>
            </m:r>
            <m:r>
              <m:t>1</m:t>
            </m:r>
          </m:e>
        </m:d>
      </m:oMath>
      <w:r>
        <w:t xml:space="preserve"> </w:t>
      </w:r>
      <w:r>
        <w:t xml:space="preserve">of the sessions.</w:t>
      </w:r>
    </w:p>
    <w:bookmarkEnd w:id="286"/>
    <w:bookmarkStart w:id="287" w:name="step-10-explain-it-independently"/>
    <w:p>
      <w:pPr>
        <w:pStyle w:val="Heading4"/>
      </w:pPr>
      <w:r>
        <w:t xml:space="preserve">Step 10 — Explain it independently</w:t>
      </w:r>
    </w:p>
    <w:p>
      <w:pPr>
        <w:pStyle w:val="FirstParagraph"/>
      </w:pPr>
      <w:r>
        <w:t xml:space="preserve">Close everything. Set a timer for three minutes and explain consistent hashing aloud, or in writing, to an imagined colleague who knows what a hash function is but nothing else. A good explanation covers five beats:</w:t>
      </w:r>
    </w:p>
    <w:p>
      <w:pPr>
        <w:numPr>
          <w:ilvl w:val="0"/>
          <w:numId w:val="1072"/>
        </w:numPr>
        <w:pStyle w:val="Compact"/>
      </w:pPr>
      <w:r>
        <w:rPr>
          <w:bCs/>
          <w:b/>
        </w:rPr>
        <w:t xml:space="preserve">The problem</w:t>
      </w:r>
      <w:r>
        <w:t xml:space="preserve">: mod-N remaps about</w:t>
      </w:r>
      <w:r>
        <w:t xml:space="preserve"> </w:t>
      </w:r>
      <m:oMath>
        <m:r>
          <m:t>N</m:t>
        </m:r>
        <m:r>
          <m:rPr>
            <m:sty m:val="p"/>
          </m:rPr>
          <m:t>/</m:t>
        </m:r>
        <m:d>
          <m:dPr>
            <m:begChr m:val="("/>
            <m:endChr m:val=")"/>
            <m:sepChr m:val=""/>
            <m:grow/>
          </m:dPr>
          <m:e>
            <m:r>
              <m:t>N</m:t>
            </m:r>
            <m:r>
              <m:rPr>
                <m:sty m:val="p"/>
              </m:rPr>
              <m:t>+</m:t>
            </m:r>
            <m:r>
              <m:t>1</m:t>
            </m:r>
          </m:e>
        </m:d>
      </m:oMath>
      <w:r>
        <w:t xml:space="preserve"> </w:t>
      </w:r>
      <w:r>
        <w:t xml:space="preserve">of keys when</w:t>
      </w:r>
      <w:r>
        <w:t xml:space="preserve"> </w:t>
      </w:r>
      <m:oMath>
        <m:r>
          <m:t>N</m:t>
        </m:r>
      </m:oMath>
      <w:r>
        <w:t xml:space="preserve"> </w:t>
      </w:r>
      <w:r>
        <w:t xml:space="preserve">changes.</w:t>
      </w:r>
    </w:p>
    <w:p>
      <w:pPr>
        <w:numPr>
          <w:ilvl w:val="0"/>
          <w:numId w:val="1072"/>
        </w:numPr>
        <w:pStyle w:val="Compact"/>
      </w:pPr>
      <w:r>
        <w:rPr>
          <w:bCs/>
          <w:b/>
        </w:rPr>
        <w:t xml:space="preserve">The trick</w:t>
      </w:r>
      <w:r>
        <w:t xml:space="preserve">: put nodes and keys on the same ring and walk clockwise.</w:t>
      </w:r>
    </w:p>
    <w:p>
      <w:pPr>
        <w:numPr>
          <w:ilvl w:val="0"/>
          <w:numId w:val="1072"/>
        </w:numPr>
        <w:pStyle w:val="Compact"/>
      </w:pPr>
      <w:r>
        <w:rPr>
          <w:bCs/>
          <w:b/>
        </w:rPr>
        <w:t xml:space="preserve">The consequence</w:t>
      </w:r>
      <w:r>
        <w:t xml:space="preserve">: only about</w:t>
      </w:r>
      <w:r>
        <w:t xml:space="preserve"> </w:t>
      </w:r>
      <m:oMath>
        <m:r>
          <m:t>1</m:t>
        </m:r>
        <m:r>
          <m:rPr>
            <m:sty m:val="p"/>
          </m:rPr>
          <m:t>/</m:t>
        </m:r>
        <m:d>
          <m:dPr>
            <m:begChr m:val="("/>
            <m:endChr m:val=")"/>
            <m:sepChr m:val=""/>
            <m:grow/>
          </m:dPr>
          <m:e>
            <m:r>
              <m:t>N</m:t>
            </m:r>
            <m:r>
              <m:rPr>
                <m:sty m:val="p"/>
              </m:rPr>
              <m:t>+</m:t>
            </m:r>
            <m:r>
              <m:t>1</m:t>
            </m:r>
          </m:e>
        </m:d>
      </m:oMath>
      <w:r>
        <w:t xml:space="preserve"> </w:t>
      </w:r>
      <w:r>
        <w:t xml:space="preserve">of keys move, and only to or from the changed node.</w:t>
      </w:r>
    </w:p>
    <w:p>
      <w:pPr>
        <w:numPr>
          <w:ilvl w:val="0"/>
          <w:numId w:val="1072"/>
        </w:numPr>
        <w:pStyle w:val="Compact"/>
      </w:pPr>
      <w:r>
        <w:rPr>
          <w:bCs/>
          <w:b/>
        </w:rPr>
        <w:t xml:space="preserve">The refinement</w:t>
      </w:r>
      <w:r>
        <w:t xml:space="preserve">: virtual nodes fix uneven arcs and spread failure load.</w:t>
      </w:r>
    </w:p>
    <w:p>
      <w:pPr>
        <w:numPr>
          <w:ilvl w:val="0"/>
          <w:numId w:val="1072"/>
        </w:numPr>
        <w:pStyle w:val="Compact"/>
      </w:pPr>
      <w:r>
        <w:rPr>
          <w:bCs/>
          <w:b/>
        </w:rPr>
        <w:t xml:space="preserve">The limits</w:t>
      </w:r>
      <w:r>
        <w:t xml:space="preserve">: it does nothing for hot keys, and every client must share the same membership view.</w:t>
      </w:r>
    </w:p>
    <w:p>
      <w:pPr>
        <w:pStyle w:val="FirstParagraph"/>
      </w:pPr>
      <w:r>
        <w:t xml:space="preserve">Record yourself if you can. Then mark each beat as</w:t>
      </w:r>
      <w:r>
        <w:t xml:space="preserve"> </w:t>
      </w:r>
      <w:r>
        <w:t xml:space="preserve">“</w:t>
      </w:r>
      <w:r>
        <w:t xml:space="preserve">fluent</w:t>
      </w:r>
      <w:r>
        <w:t xml:space="preserve">”</w:t>
      </w:r>
      <w:r>
        <w:t xml:space="preserve">,</w:t>
      </w:r>
      <w:r>
        <w:t xml:space="preserve"> </w:t>
      </w:r>
      <w:r>
        <w:t xml:space="preserve">“</w:t>
      </w:r>
      <w:r>
        <w:t xml:space="preserve">hesitant</w:t>
      </w:r>
      <w:r>
        <w:t xml:space="preserve">”</w:t>
      </w:r>
      <w:r>
        <w:t xml:space="preserve"> </w:t>
      </w:r>
      <w:r>
        <w:t xml:space="preserve">or</w:t>
      </w:r>
      <w:r>
        <w:t xml:space="preserve"> </w:t>
      </w:r>
      <w:r>
        <w:t xml:space="preserve">“</w:t>
      </w:r>
      <w:r>
        <w:t xml:space="preserve">missing</w:t>
      </w:r>
      <w:r>
        <w:t xml:space="preserve">”</w:t>
      </w:r>
      <w:r>
        <w:t xml:space="preserve">. Each beat you marked</w:t>
      </w:r>
      <w:r>
        <w:t xml:space="preserve"> </w:t>
      </w:r>
      <w:r>
        <w:t xml:space="preserve">“</w:t>
      </w:r>
      <w:r>
        <w:t xml:space="preserve">hesitant</w:t>
      </w:r>
      <w:r>
        <w:t xml:space="preserve">”</w:t>
      </w:r>
      <w:r>
        <w:t xml:space="preserve"> </w:t>
      </w:r>
      <w:r>
        <w:t xml:space="preserve">or</w:t>
      </w:r>
      <w:r>
        <w:t xml:space="preserve"> </w:t>
      </w:r>
      <w:r>
        <w:t xml:space="preserve">“</w:t>
      </w:r>
      <w:r>
        <w:t xml:space="preserve">missing</w:t>
      </w:r>
      <w:r>
        <w:t xml:space="preserve">”</w:t>
      </w:r>
      <w:r>
        <w:t xml:space="preserve"> </w:t>
      </w:r>
      <w:r>
        <w:t xml:space="preserve">sends you back to the matching step: beats 1–2 to steps 2–3, beat 4 to step 8, beat 5 to step 7. Then turn the shaky beats into flashcards (§3.10.2).</w:t>
      </w:r>
    </w:p>
    <w:p>
      <w:pPr>
        <w:pStyle w:val="CalloutRecommendation"/>
      </w:pPr>
      <w:r>
        <w:rPr>
          <w:bCs/>
          <w:b/>
        </w:rPr>
        <w:t xml:space="preserve">RECOMMENDATION</w:t>
      </w:r>
    </w:p>
    <w:p>
      <w:pPr>
        <w:pStyle w:val="CalloutRecommendation"/>
      </w:pPr>
      <w:r>
        <w:rPr>
          <w:bCs/>
          <w:b/>
        </w:rPr>
        <w:t xml:space="preserve">Recommendation — Keep the artifacts.</w:t>
      </w:r>
      <w:r>
        <w:t xml:space="preserve"> </w:t>
      </w:r>
      <w:r>
        <w:t xml:space="preserve">Store all ten artifacts for each concept in one folder or journal entry (§3.10.3). Months later, rebuilding a concept from your own artifacts is far quicker than the first loop was. That folder becomes your personal edition of this book.</w:t>
      </w:r>
    </w:p>
    <w:bookmarkEnd w:id="287"/>
    <w:bookmarkEnd w:id="288"/>
    <w:bookmarkEnd w:id="289"/>
    <w:bookmarkStart w:id="299" w:name="X9d338163f20a4ff5a6f119aea3f14e9de60000c"/>
    <w:p>
      <w:pPr>
        <w:pStyle w:val="Heading2"/>
      </w:pPr>
      <w:r>
        <w:t xml:space="preserve">3.4 Active recall, spaced repetition, the Feynman technique, interleaving and deliberate practice</w:t>
      </w:r>
    </w:p>
    <w:p>
      <w:pPr>
        <w:pStyle w:val="FirstParagraph"/>
      </w:pPr>
      <w:r>
        <w:t xml:space="preserve">The loop tells you</w:t>
      </w:r>
      <w:r>
        <w:t xml:space="preserve"> </w:t>
      </w:r>
      <w:r>
        <w:rPr>
          <w:iCs/>
          <w:i/>
        </w:rPr>
        <w:t xml:space="preserve">what</w:t>
      </w:r>
      <w:r>
        <w:t xml:space="preserve"> </w:t>
      </w:r>
      <w:r>
        <w:t xml:space="preserve">to do with a concept. This section explains</w:t>
      </w:r>
      <w:r>
        <w:t xml:space="preserve"> </w:t>
      </w:r>
      <w:r>
        <w:rPr>
          <w:iCs/>
          <w:i/>
        </w:rPr>
        <w:t xml:space="preserve">how to practice</w:t>
      </w:r>
      <w:r>
        <w:t xml:space="preserve"> </w:t>
      </w:r>
      <w:r>
        <w:t xml:space="preserve">so that what you learn lasts. The techniques come from cognitive psychology. They were tested mostly on facts, vocabulary, science texts and mathematics, not on architecture, so applying them to system design is a reasonable extrapolation rather than a measured result.</w:t>
      </w:r>
    </w:p>
    <w:bookmarkStart w:id="290" w:name="what-the-evidence-says-in-one-table"/>
    <w:p>
      <w:pPr>
        <w:pStyle w:val="Heading3"/>
      </w:pPr>
      <w:r>
        <w:t xml:space="preserve">3.4.1 What the evidence says, in one table</w:t>
      </w:r>
    </w:p>
    <w:p>
      <w:pPr>
        <w:pStyle w:val="FirstParagraph"/>
      </w:pPr>
      <w:r>
        <w:t xml:space="preserve">Dunlosky and colleagues reviewed ten widely used study techniques. They rated each one’s</w:t>
      </w:r>
      <w:r>
        <w:t xml:space="preserve"> </w:t>
      </w:r>
      <w:r>
        <w:rPr>
          <w:iCs/>
          <w:i/>
        </w:rPr>
        <w:t xml:space="preserve">utility</w:t>
      </w:r>
      <w:r>
        <w:t xml:space="preserve"> </w:t>
      </w:r>
      <w:r>
        <w:t xml:space="preserve">by how well it generalized across learners, materials and test conditions [Dunlosky et al. 2013].</w:t>
      </w:r>
    </w:p>
    <w:p>
      <w:pPr>
        <w:pStyle w:val="BodyText"/>
      </w:pPr>
      <w:r>
        <w:rPr>
          <w:bCs/>
          <w:b/>
        </w:rPr>
        <w:t xml:space="preserve">Table 3.4 — Study techniques by rated utility, and their system-design form.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Technique</w:t>
            </w:r>
          </w:p>
        </w:tc>
        <w:tc>
          <w:tcPr/>
          <w:p>
            <w:pPr>
              <w:pStyle w:val="Compact"/>
              <w:jc w:val="left"/>
            </w:pPr>
            <w:r>
              <w:t xml:space="preserve">Rated utility</w:t>
            </w:r>
          </w:p>
        </w:tc>
        <w:tc>
          <w:tcPr/>
          <w:p>
            <w:pPr>
              <w:pStyle w:val="Compact"/>
              <w:jc w:val="left"/>
            </w:pPr>
            <w:r>
              <w:t xml:space="preserve">System-design form</w:t>
            </w:r>
          </w:p>
        </w:tc>
      </w:tr>
      <w:tr>
        <w:tc>
          <w:tcPr/>
          <w:p>
            <w:pPr>
              <w:pStyle w:val="Compact"/>
              <w:jc w:val="left"/>
            </w:pPr>
            <w:r>
              <w:t xml:space="preserve">Practice testing (retrieval practice)</w:t>
            </w:r>
          </w:p>
        </w:tc>
        <w:tc>
          <w:tcPr/>
          <w:p>
            <w:pPr>
              <w:pStyle w:val="Compact"/>
              <w:jc w:val="left"/>
            </w:pPr>
            <w:r>
              <w:t xml:space="preserve">High</w:t>
            </w:r>
          </w:p>
        </w:tc>
        <w:tc>
          <w:tcPr/>
          <w:p>
            <w:pPr>
              <w:pStyle w:val="Compact"/>
              <w:jc w:val="left"/>
            </w:pPr>
            <w:r>
              <w:t xml:space="preserve">Flashcards; drawing from memory; mock design sessions</w:t>
            </w:r>
          </w:p>
        </w:tc>
      </w:tr>
      <w:tr>
        <w:tc>
          <w:tcPr/>
          <w:p>
            <w:pPr>
              <w:pStyle w:val="Compact"/>
              <w:jc w:val="left"/>
            </w:pPr>
            <w:r>
              <w:t xml:space="preserve">Distributed practice (spacing)</w:t>
            </w:r>
          </w:p>
        </w:tc>
        <w:tc>
          <w:tcPr/>
          <w:p>
            <w:pPr>
              <w:pStyle w:val="Compact"/>
              <w:jc w:val="left"/>
            </w:pPr>
            <w:r>
              <w:t xml:space="preserve">High</w:t>
            </w:r>
          </w:p>
        </w:tc>
        <w:tc>
          <w:tcPr/>
          <w:p>
            <w:pPr>
              <w:pStyle w:val="Compact"/>
              <w:jc w:val="left"/>
            </w:pPr>
            <w:r>
              <w:t xml:space="preserve">Scheduled reviews days and weeks apart (§3.4.3)</w:t>
            </w:r>
          </w:p>
        </w:tc>
      </w:tr>
      <w:tr>
        <w:tc>
          <w:tcPr/>
          <w:p>
            <w:pPr>
              <w:pStyle w:val="Compact"/>
              <w:jc w:val="left"/>
            </w:pPr>
            <w:r>
              <w:t xml:space="preserve">Elaborative interrogation</w:t>
            </w:r>
          </w:p>
        </w:tc>
        <w:tc>
          <w:tcPr/>
          <w:p>
            <w:pPr>
              <w:pStyle w:val="Compact"/>
              <w:jc w:val="left"/>
            </w:pPr>
            <w:r>
              <w:t xml:space="preserve">Moderate</w:t>
            </w:r>
          </w:p>
        </w:tc>
        <w:tc>
          <w:tcPr/>
          <w:p>
            <w:pPr>
              <w:pStyle w:val="Compact"/>
              <w:jc w:val="left"/>
            </w:pPr>
            <w:r>
              <w:t xml:space="preserve">Asking</w:t>
            </w:r>
            <w:r>
              <w:t xml:space="preserve"> </w:t>
            </w:r>
            <w:r>
              <w:t xml:space="preserve">“</w:t>
            </w:r>
            <w:r>
              <w:t xml:space="preserve">why does Dynamo use vnodes rather than one token?</w:t>
            </w:r>
            <w:r>
              <w:t xml:space="preserve">”</w:t>
            </w:r>
          </w:p>
        </w:tc>
      </w:tr>
      <w:tr>
        <w:tc>
          <w:tcPr/>
          <w:p>
            <w:pPr>
              <w:pStyle w:val="Compact"/>
              <w:jc w:val="left"/>
            </w:pPr>
            <w:r>
              <w:t xml:space="preserve">Self-explanation</w:t>
            </w:r>
          </w:p>
        </w:tc>
        <w:tc>
          <w:tcPr/>
          <w:p>
            <w:pPr>
              <w:pStyle w:val="Compact"/>
              <w:jc w:val="left"/>
            </w:pPr>
            <w:r>
              <w:t xml:space="preserve">Moderate</w:t>
            </w:r>
          </w:p>
        </w:tc>
        <w:tc>
          <w:tcPr/>
          <w:p>
            <w:pPr>
              <w:pStyle w:val="Compact"/>
              <w:jc w:val="left"/>
            </w:pPr>
            <w:r>
              <w:t xml:space="preserve">Step 10 of the loop; the Feynman technique (§3.4.4)</w:t>
            </w:r>
          </w:p>
        </w:tc>
      </w:tr>
      <w:tr>
        <w:tc>
          <w:tcPr/>
          <w:p>
            <w:pPr>
              <w:pStyle w:val="Compact"/>
              <w:jc w:val="left"/>
            </w:pPr>
            <w:r>
              <w:t xml:space="preserve">Interleaved practice</w:t>
            </w:r>
          </w:p>
        </w:tc>
        <w:tc>
          <w:tcPr/>
          <w:p>
            <w:pPr>
              <w:pStyle w:val="Compact"/>
              <w:jc w:val="left"/>
            </w:pPr>
            <w:r>
              <w:t xml:space="preserve">Moderate</w:t>
            </w:r>
          </w:p>
        </w:tc>
        <w:tc>
          <w:tcPr/>
          <w:p>
            <w:pPr>
              <w:pStyle w:val="Compact"/>
              <w:jc w:val="left"/>
            </w:pPr>
            <w:r>
              <w:t xml:space="preserve">Mixing caching, queuing and replication problems in one session</w:t>
            </w:r>
          </w:p>
        </w:tc>
      </w:tr>
      <w:tr>
        <w:tc>
          <w:tcPr/>
          <w:p>
            <w:pPr>
              <w:pStyle w:val="Compact"/>
              <w:jc w:val="left"/>
            </w:pPr>
            <w:r>
              <w:t xml:space="preserve">Summarization</w:t>
            </w:r>
          </w:p>
        </w:tc>
        <w:tc>
          <w:tcPr/>
          <w:p>
            <w:pPr>
              <w:pStyle w:val="Compact"/>
              <w:jc w:val="left"/>
            </w:pPr>
            <w:r>
              <w:t xml:space="preserve">Low</w:t>
            </w:r>
          </w:p>
        </w:tc>
        <w:tc>
          <w:tcPr/>
          <w:p>
            <w:pPr>
              <w:pStyle w:val="Compact"/>
              <w:jc w:val="left"/>
            </w:pPr>
            <w:r>
              <w:t xml:space="preserve">Writing chapter summaries (useful only with good training)</w:t>
            </w:r>
          </w:p>
        </w:tc>
      </w:tr>
      <w:tr>
        <w:tc>
          <w:tcPr/>
          <w:p>
            <w:pPr>
              <w:pStyle w:val="Compact"/>
              <w:jc w:val="left"/>
            </w:pPr>
            <w:r>
              <w:t xml:space="preserve">Highlighting / underlining</w:t>
            </w:r>
          </w:p>
        </w:tc>
        <w:tc>
          <w:tcPr/>
          <w:p>
            <w:pPr>
              <w:pStyle w:val="Compact"/>
              <w:jc w:val="left"/>
            </w:pPr>
            <w:r>
              <w:t xml:space="preserve">Low</w:t>
            </w:r>
          </w:p>
        </w:tc>
        <w:tc>
          <w:tcPr/>
          <w:p>
            <w:pPr>
              <w:pStyle w:val="Compact"/>
              <w:jc w:val="left"/>
            </w:pPr>
            <w:r>
              <w:t xml:space="preserve">Marking up PDFs</w:t>
            </w:r>
          </w:p>
        </w:tc>
      </w:tr>
      <w:tr>
        <w:tc>
          <w:tcPr/>
          <w:p>
            <w:pPr>
              <w:pStyle w:val="Compact"/>
              <w:jc w:val="left"/>
            </w:pPr>
            <w:r>
              <w:t xml:space="preserve">Keyword mnemonic</w:t>
            </w:r>
          </w:p>
        </w:tc>
        <w:tc>
          <w:tcPr/>
          <w:p>
            <w:pPr>
              <w:pStyle w:val="Compact"/>
              <w:jc w:val="left"/>
            </w:pPr>
            <w:r>
              <w:t xml:space="preserve">Low</w:t>
            </w:r>
          </w:p>
        </w:tc>
        <w:tc>
          <w:tcPr/>
          <w:p>
            <w:pPr>
              <w:pStyle w:val="Compact"/>
              <w:jc w:val="left"/>
            </w:pPr>
            <w:r>
              <w:t xml:space="preserve">Acronyms for lists of terms</w:t>
            </w:r>
          </w:p>
        </w:tc>
      </w:tr>
      <w:tr>
        <w:tc>
          <w:tcPr/>
          <w:p>
            <w:pPr>
              <w:pStyle w:val="Compact"/>
              <w:jc w:val="left"/>
            </w:pPr>
            <w:r>
              <w:t xml:space="preserve">Imagery for text</w:t>
            </w:r>
          </w:p>
        </w:tc>
        <w:tc>
          <w:tcPr/>
          <w:p>
            <w:pPr>
              <w:pStyle w:val="Compact"/>
              <w:jc w:val="left"/>
            </w:pPr>
            <w:r>
              <w:t xml:space="preserve">Low</w:t>
            </w:r>
          </w:p>
        </w:tc>
        <w:tc>
          <w:tcPr/>
          <w:p>
            <w:pPr>
              <w:pStyle w:val="Compact"/>
              <w:jc w:val="left"/>
            </w:pPr>
            <w:r>
              <w:t xml:space="preserve">Picturing a text’s content</w:t>
            </w:r>
          </w:p>
        </w:tc>
      </w:tr>
      <w:tr>
        <w:tc>
          <w:tcPr/>
          <w:p>
            <w:pPr>
              <w:pStyle w:val="Compact"/>
              <w:jc w:val="left"/>
            </w:pPr>
            <w:r>
              <w:t xml:space="preserve">Rereading</w:t>
            </w:r>
          </w:p>
        </w:tc>
        <w:tc>
          <w:tcPr/>
          <w:p>
            <w:pPr>
              <w:pStyle w:val="Compact"/>
              <w:jc w:val="left"/>
            </w:pPr>
            <w:r>
              <w:t xml:space="preserve">Low</w:t>
            </w:r>
          </w:p>
        </w:tc>
        <w:tc>
          <w:tcPr/>
          <w:p>
            <w:pPr>
              <w:pStyle w:val="Compact"/>
              <w:jc w:val="left"/>
            </w:pPr>
            <w:r>
              <w:t xml:space="preserve">Reading a chapter a second time</w:t>
            </w:r>
          </w:p>
        </w:tc>
      </w:tr>
    </w:tbl>
    <w:p>
      <w:pPr>
        <w:pStyle w:val="BodyText"/>
      </w:pPr>
      <w:r>
        <w:t xml:space="preserve">The ratings of the top five are the ones that matter. The two techniques that feel most like studying, highlighting and rereading, rated low. The two that feel most like being tested, practice testing and spacing, rated high.</w:t>
      </w:r>
    </w:p>
    <w:p>
      <w:pPr>
        <w:pStyle w:val="CalloutConcept"/>
      </w:pPr>
      <w:r>
        <w:rPr>
          <w:bCs/>
          <w:b/>
        </w:rPr>
        <w:t xml:space="preserve">KEY CONCEPT</w:t>
      </w:r>
    </w:p>
    <w:p>
      <w:pPr>
        <w:pStyle w:val="CalloutConcept"/>
      </w:pPr>
      <w:r>
        <w:rPr>
          <w:bCs/>
          <w:b/>
        </w:rPr>
        <w:t xml:space="preserve">Key insight — Learning versus performance.</w:t>
      </w:r>
      <w:r>
        <w:t xml:space="preserve"> </w:t>
      </w:r>
      <w:r>
        <w:t xml:space="preserve">How well you do</w:t>
      </w:r>
      <w:r>
        <w:t xml:space="preserve"> </w:t>
      </w:r>
      <w:r>
        <w:rPr>
          <w:iCs/>
          <w:i/>
        </w:rPr>
        <w:t xml:space="preserve">during</w:t>
      </w:r>
      <w:r>
        <w:t xml:space="preserve"> </w:t>
      </w:r>
      <w:r>
        <w:t xml:space="preserve">practice is a poor guide to how much you are learning. Conditions that make practice feel harder, such as spacing, interleaving and testing yourself before you feel ready, often produce better long-term retention. Bjork called these</w:t>
      </w:r>
      <w:r>
        <w:t xml:space="preserve"> </w:t>
      </w:r>
      <w:r>
        <w:rPr>
          <w:bCs/>
          <w:b/>
        </w:rPr>
        <w:t xml:space="preserve">desirable difficulties</w:t>
      </w:r>
      <w:r>
        <w:t xml:space="preserve"> </w:t>
      </w:r>
      <w:r>
        <w:t xml:space="preserve">[Bjork 1994]; see [Soderstrom and Bjork 2015] for a review. If a study session felt smooth and easy, be suspicious of it.</w:t>
      </w:r>
    </w:p>
    <w:bookmarkEnd w:id="290"/>
    <w:bookmarkStart w:id="291" w:name="active-recall-retrieval-practice"/>
    <w:p>
      <w:pPr>
        <w:pStyle w:val="Heading3"/>
      </w:pPr>
      <w:r>
        <w:t xml:space="preserve">3.4.2 Active recall (retrieval practice)</w:t>
      </w:r>
    </w:p>
    <w:p>
      <w:pPr>
        <w:pStyle w:val="CalloutDefinition"/>
      </w:pPr>
      <w:r>
        <w:rPr>
          <w:bCs/>
          <w:b/>
        </w:rPr>
        <w:t xml:space="preserve">DEFINITION</w:t>
      </w:r>
    </w:p>
    <w:p>
      <w:pPr>
        <w:pStyle w:val="CalloutDefinition"/>
      </w:pPr>
      <w:r>
        <w:rPr>
          <w:bCs/>
          <w:b/>
        </w:rPr>
        <w:t xml:space="preserve">Definition — Active recall.</w:t>
      </w:r>
      <w:r>
        <w:t xml:space="preserve"> </w:t>
      </w:r>
      <w:r>
        <w:t xml:space="preserve">Deliberately retrieving information from memory without looking at the source, for example by answering a question, drawing a diagram or explaining aloud. Its measured benefit for later retention is called the</w:t>
      </w:r>
      <w:r>
        <w:t xml:space="preserve"> </w:t>
      </w:r>
      <w:r>
        <w:rPr>
          <w:bCs/>
          <w:b/>
        </w:rPr>
        <w:t xml:space="preserve">testing effect</w:t>
      </w:r>
      <w:r>
        <w:t xml:space="preserve">.</w:t>
      </w:r>
    </w:p>
    <w:p>
      <w:pPr>
        <w:pStyle w:val="BodyText"/>
      </w:pPr>
      <w:r>
        <w:t xml:space="preserve">In a well-known experiment, students read short prose passages under one of three schedules. They either studied four times (SSSS), studied three times and then took one free-recall test (SSST), or studied once and took three tests (STTT). On a test five minutes later, more studying gave better recall. On a test one week later, the order reversed. The repeated-testing group recalled about 61 % of the idea units, against about 40 % for the repeated-study group, even though the testing group had seen the text only once [Roediger and Karpicke 2006]. A later study found that retrieval practice also beat building concept maps, an</w:t>
      </w:r>
      <w:r>
        <w:t xml:space="preserve"> </w:t>
      </w:r>
      <w:r>
        <w:t xml:space="preserve">“</w:t>
      </w:r>
      <w:r>
        <w:t xml:space="preserve">active</w:t>
      </w:r>
      <w:r>
        <w:t xml:space="preserve">”</w:t>
      </w:r>
      <w:r>
        <w:t xml:space="preserve"> </w:t>
      </w:r>
      <w:r>
        <w:t xml:space="preserve">elaborative technique, on a test of meaningful learning [Karpicke and Blunt 2011].</w:t>
      </w:r>
    </w:p>
    <w:p>
      <w:pPr>
        <w:pStyle w:val="BodyText"/>
      </w:pPr>
      <w:r>
        <w:rPr>
          <w:bCs/>
          <w:b/>
        </w:rPr>
        <w:t xml:space="preserve">Applied to system design.</w:t>
      </w:r>
      <w:r>
        <w:t xml:space="preserve"> </w:t>
      </w:r>
      <w:r>
        <w:t xml:space="preserve">Every reading session should end with retrieval: close the book, and write or draw what you just learned. The checkpoints at the end of each chapter in this book exist for this reason. Answer them before you open the</w:t>
      </w:r>
      <w:r>
        <w:t xml:space="preserve"> </w:t>
      </w:r>
      <w:r>
        <w:rPr>
          <w:rStyle w:val="VerbatimChar"/>
        </w:rPr>
        <w:t xml:space="preserve">&lt;details&gt;</w:t>
      </w:r>
      <w:r>
        <w:t xml:space="preserve"> </w:t>
      </w:r>
      <w:r>
        <w:t xml:space="preserve">block.</w:t>
      </w:r>
    </w:p>
    <w:bookmarkEnd w:id="291"/>
    <w:bookmarkStart w:id="295" w:name="spaced-repetition"/>
    <w:p>
      <w:pPr>
        <w:pStyle w:val="Heading3"/>
      </w:pPr>
      <w:r>
        <w:t xml:space="preserve">3.4.3 Spaced repetition</w:t>
      </w:r>
    </w:p>
    <w:p>
      <w:pPr>
        <w:pStyle w:val="CalloutDefinition"/>
      </w:pPr>
      <w:r>
        <w:rPr>
          <w:bCs/>
          <w:b/>
        </w:rPr>
        <w:t xml:space="preserve">DEFINITION</w:t>
      </w:r>
    </w:p>
    <w:p>
      <w:pPr>
        <w:pStyle w:val="CalloutDefinition"/>
      </w:pPr>
      <w:r>
        <w:rPr>
          <w:bCs/>
          <w:b/>
        </w:rPr>
        <w:t xml:space="preserve">Definition — Spaced repetition.</w:t>
      </w:r>
      <w:r>
        <w:t xml:space="preserve"> </w:t>
      </w:r>
      <w:r>
        <w:t xml:space="preserve">Reviewing material at increasing intervals, so that each review happens around the time you would otherwise begin to forget it. The underlying finding, that spacing study sessions apart beats massing them together, is the</w:t>
      </w:r>
      <w:r>
        <w:t xml:space="preserve"> </w:t>
      </w:r>
      <w:r>
        <w:rPr>
          <w:bCs/>
          <w:b/>
        </w:rPr>
        <w:t xml:space="preserve">spacing effect</w:t>
      </w:r>
      <w:r>
        <w:t xml:space="preserve">.</w:t>
      </w:r>
    </w:p>
    <w:p>
      <w:pPr>
        <w:pStyle w:val="BodyText"/>
      </w:pPr>
      <w:r>
        <w:t xml:space="preserve">The spacing effect is one of the oldest results in experimental psychology. It goes back to Ebbinghaus’s experiments on himself in the 1880s [Ebbinghaus 1885/1913]. A meta-analysis of hundreds of comparisons confirmed that spaced practice beats massed practice for verbal recall [Cepeda et al. 2006]. A follow-up study asked</w:t>
      </w:r>
      <w:r>
        <w:t xml:space="preserve"> </w:t>
      </w:r>
      <w:r>
        <w:rPr>
          <w:iCs/>
          <w:i/>
        </w:rPr>
        <w:t xml:space="preserve">how far apart</w:t>
      </w:r>
      <w:r>
        <w:t xml:space="preserve"> </w:t>
      </w:r>
      <w:r>
        <w:t xml:space="preserve">reviews should be. The best gap between study sessions depended on how long you need to remember the material. Expressed as a fraction of that retention interval, the best gap was about 20–40 % for a one-week retention interval and fell to about 5–10 % for a one-year interval [Cepeda et al. 2008].</w:t>
      </w:r>
    </w:p>
    <w:p>
      <w:pPr>
        <w:pStyle w:val="BodyText"/>
      </w:pPr>
      <w:r>
        <w:t xml:space="preserve">The practical form of spaced repetition is the</w:t>
      </w:r>
      <w:r>
        <w:t xml:space="preserve"> </w:t>
      </w:r>
      <w:r>
        <w:rPr>
          <w:bCs/>
          <w:b/>
        </w:rPr>
        <w:t xml:space="preserve">Leitner system</w:t>
      </w:r>
      <w:r>
        <w:t xml:space="preserve">: flashcards move through numbered boxes. A correct answer promotes a card to the next box, which is reviewed less often. A wrong answer sends it back to box 0. Software such as Anki automates the same idea with adaptive intervals.</w:t>
      </w:r>
    </w:p>
    <w:p>
      <w:pPr>
        <w:pStyle w:val="BodyText"/>
      </w:pPr>
      <w:r>
        <w:rPr>
          <w:bCs/>
          <w:b/>
        </w:rPr>
        <w:t xml:space="preserve">Figure 3.4 — A five-box Leitner schedule for flashcards.</w:t>
      </w:r>
    </w:p>
    <w:p>
      <w:pPr>
        <w:pStyle w:val="BodyText"/>
      </w:pPr>
      <w:r>
        <w:drawing>
          <wp:inline>
            <wp:extent cx="5334000" cy="6655782"/>
            <wp:effectExtent b="0" l="0" r="0" t="0"/>
            <wp:docPr descr="" title="" id="293" name="Picture"/>
            <a:graphic>
              <a:graphicData uri="http://schemas.openxmlformats.org/drawingml/2006/picture">
                <pic:pic>
                  <pic:nvPicPr>
                    <pic:cNvPr descr="/home/user/System-Design/build/.cache/diagrams/4e0e1842ea13.png" id="294" name="Picture"/>
                    <pic:cNvPicPr>
                      <a:picLocks noChangeArrowheads="1" noChangeAspect="1"/>
                    </pic:cNvPicPr>
                  </pic:nvPicPr>
                  <pic:blipFill>
                    <a:blip r:embed="rId292"/>
                    <a:stretch>
                      <a:fillRect/>
                    </a:stretch>
                  </pic:blipFill>
                  <pic:spPr bwMode="auto">
                    <a:xfrm>
                      <a:off x="0" y="0"/>
                      <a:ext cx="5334000" cy="6655782"/>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Each state is a box with its own review interval: 1, 3, 7, 16 and 35 days for boxes 0 to 4. The intervals are a reasonable starting point, not an empirically optimal set. Each transition is one review.</w:t>
      </w:r>
      <w:r>
        <w:t xml:space="preserve"> </w:t>
      </w:r>
      <w:r>
        <w:t xml:space="preserve">“</w:t>
      </w:r>
      <w:r>
        <w:t xml:space="preserve">Recalled</w:t>
      </w:r>
      <w:r>
        <w:t xml:space="preserve">”</w:t>
      </w:r>
      <w:r>
        <w:t xml:space="preserve"> </w:t>
      </w:r>
      <w:r>
        <w:t xml:space="preserve">moves a card one box up, and the top box keeps it there.</w:t>
      </w:r>
      <w:r>
        <w:t xml:space="preserve"> </w:t>
      </w:r>
      <w:r>
        <w:t xml:space="preserve">“</w:t>
      </w:r>
      <w:r>
        <w:t xml:space="preserve">Forgot</w:t>
      </w:r>
      <w:r>
        <w:t xml:space="preserve">”</w:t>
      </w:r>
      <w:r>
        <w:t xml:space="preserve"> </w:t>
      </w:r>
      <w:r>
        <w:t xml:space="preserve">sends it back to box 0. Data flows one card at a time. All of the state is the box number and due date per card, so a spreadsheet is enough storage. The failure point is a backlog: if you skip a week, the reviews that were due pile up. The fix is to cap new cards per day, not to skip reviews. The schedule scales because mastered cards cost one review every five weeks or so.</w:t>
      </w:r>
    </w:p>
    <w:p>
      <w:pPr>
        <w:pStyle w:val="BodyText"/>
      </w:pPr>
      <w:r>
        <w:t xml:space="preserve">The scheduler itself is small enough to build in a few minutes, which makes it a good first</w:t>
      </w:r>
      <w:r>
        <w:t xml:space="preserve"> </w:t>
      </w:r>
      <w:r>
        <w:t xml:space="preserve">“</w:t>
      </w:r>
      <w:r>
        <w:t xml:space="preserve">simplified implementation</w:t>
      </w:r>
      <w:r>
        <w:t xml:space="preserve">”</w:t>
      </w:r>
      <w:r>
        <w:t xml:space="preserve"> </w:t>
      </w:r>
      <w:r>
        <w:t xml:space="preserve">(§3.7):</w:t>
      </w:r>
    </w:p>
    <w:p>
      <w:pPr>
        <w:pStyle w:val="SourceCode"/>
      </w:pPr>
      <w:r>
        <w:rPr>
          <w:rStyle w:val="CommentTok"/>
        </w:rPr>
        <w:t xml:space="preserve">"""Minimal Leitner-box scheduler for system-design flashcards."""</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rPr>
          <w:rStyle w:val="ImportTok"/>
        </w:rPr>
        <w:t xml:space="preserve">from</w:t>
      </w:r>
      <w:r>
        <w:rPr>
          <w:rStyle w:val="NormalTok"/>
        </w:rPr>
        <w:t xml:space="preserve"> datetime </w:t>
      </w:r>
      <w:r>
        <w:rPr>
          <w:rStyle w:val="ImportTok"/>
        </w:rPr>
        <w:t xml:space="preserve">import</w:t>
      </w:r>
      <w:r>
        <w:rPr>
          <w:rStyle w:val="NormalTok"/>
        </w:rPr>
        <w:t xml:space="preserve"> date, timedelta</w:t>
      </w:r>
      <w:r>
        <w:br/>
      </w:r>
      <w:r>
        <w:br/>
      </w:r>
      <w:r>
        <w:rPr>
          <w:rStyle w:val="NormalTok"/>
        </w:rPr>
        <w:t xml:space="preserve">INTERVALS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7</w:t>
      </w:r>
      <w:r>
        <w:rPr>
          <w:rStyle w:val="NormalTok"/>
        </w:rPr>
        <w:t xml:space="preserve">, </w:t>
      </w:r>
      <w:r>
        <w:rPr>
          <w:rStyle w:val="DecValTok"/>
        </w:rPr>
        <w:t xml:space="preserve">16</w:t>
      </w:r>
      <w:r>
        <w:rPr>
          <w:rStyle w:val="NormalTok"/>
        </w:rPr>
        <w:t xml:space="preserve">, </w:t>
      </w:r>
      <w:r>
        <w:rPr>
          <w:rStyle w:val="DecValTok"/>
        </w:rPr>
        <w:t xml:space="preserve">35</w:t>
      </w:r>
      <w:r>
        <w:rPr>
          <w:rStyle w:val="NormalTok"/>
        </w:rPr>
        <w:t xml:space="preserve">]  </w:t>
      </w:r>
      <w:r>
        <w:rPr>
          <w:rStyle w:val="CommentTok"/>
        </w:rPr>
        <w:t xml:space="preserve"># days until next review, per box (box 0..4)</w:t>
      </w:r>
      <w:r>
        <w:br/>
      </w:r>
      <w:r>
        <w:br/>
      </w:r>
      <w:r>
        <w:br/>
      </w:r>
      <w:r>
        <w:rPr>
          <w:rStyle w:val="AttributeTok"/>
        </w:rPr>
        <w:t xml:space="preserve">@dataclass</w:t>
      </w:r>
      <w:r>
        <w:br/>
      </w:r>
      <w:r>
        <w:rPr>
          <w:rStyle w:val="KeywordTok"/>
        </w:rPr>
        <w:t xml:space="preserve">class</w:t>
      </w:r>
      <w:r>
        <w:rPr>
          <w:rStyle w:val="NormalTok"/>
        </w:rPr>
        <w:t xml:space="preserve"> Card:</w:t>
      </w:r>
      <w:r>
        <w:br/>
      </w:r>
      <w:r>
        <w:rPr>
          <w:rStyle w:val="NormalTok"/>
        </w:rPr>
        <w:t xml:space="preserve">    prompt: </w:t>
      </w:r>
      <w:r>
        <w:rPr>
          <w:rStyle w:val="BuiltInTok"/>
        </w:rPr>
        <w:t xml:space="preserve">str</w:t>
      </w:r>
      <w:r>
        <w:br/>
      </w:r>
      <w:r>
        <w:rPr>
          <w:rStyle w:val="NormalTok"/>
        </w:rPr>
        <w:t xml:space="preserve">    box: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due: date </w:t>
      </w:r>
      <w:r>
        <w:rPr>
          <w:rStyle w:val="OperatorTok"/>
        </w:rPr>
        <w:t xml:space="preserve">=</w:t>
      </w:r>
      <w:r>
        <w:rPr>
          <w:rStyle w:val="NormalTok"/>
        </w:rPr>
        <w:t xml:space="preserve"> field(default_factory</w:t>
      </w:r>
      <w:r>
        <w:rPr>
          <w:rStyle w:val="OperatorTok"/>
        </w:rPr>
        <w:t xml:space="preserve">=</w:t>
      </w:r>
      <w:r>
        <w:rPr>
          <w:rStyle w:val="NormalTok"/>
        </w:rPr>
        <w:t xml:space="preserve">date.today)</w:t>
      </w:r>
      <w:r>
        <w:br/>
      </w:r>
      <w:r>
        <w:br/>
      </w:r>
      <w:r>
        <w:rPr>
          <w:rStyle w:val="NormalTok"/>
        </w:rPr>
        <w:t xml:space="preserve">    </w:t>
      </w:r>
      <w:r>
        <w:rPr>
          <w:rStyle w:val="KeywordTok"/>
        </w:rPr>
        <w:t xml:space="preserve">def</w:t>
      </w:r>
      <w:r>
        <w:rPr>
          <w:rStyle w:val="NormalTok"/>
        </w:rPr>
        <w:t xml:space="preserve"> review(</w:t>
      </w:r>
      <w:r>
        <w:rPr>
          <w:rStyle w:val="VariableTok"/>
        </w:rPr>
        <w:t xml:space="preserve">self</w:t>
      </w:r>
      <w:r>
        <w:rPr>
          <w:rStyle w:val="NormalTok"/>
        </w:rPr>
        <w:t xml:space="preserve">, recalled: </w:t>
      </w:r>
      <w:r>
        <w:rPr>
          <w:rStyle w:val="BuiltInTok"/>
        </w:rPr>
        <w:t xml:space="preserve">bool</w:t>
      </w:r>
      <w:r>
        <w:rPr>
          <w:rStyle w:val="NormalTok"/>
        </w:rPr>
        <w:t xml:space="preserve">, today: date)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 Success promotes one box; failure sends the card back to box 0.</w:t>
      </w:r>
      <w:r>
        <w:br/>
      </w:r>
      <w:r>
        <w:rPr>
          <w:rStyle w:val="NormalTok"/>
        </w:rPr>
        <w:t xml:space="preserve">        </w:t>
      </w:r>
      <w:r>
        <w:rPr>
          <w:rStyle w:val="VariableTok"/>
        </w:rPr>
        <w:t xml:space="preserve">self</w:t>
      </w:r>
      <w:r>
        <w:rPr>
          <w:rStyle w:val="NormalTok"/>
        </w:rPr>
        <w:t xml:space="preserve">.box </w:t>
      </w:r>
      <w:r>
        <w:rPr>
          <w:rStyle w:val="OperatorTok"/>
        </w:rPr>
        <w:t xml:space="preserve">=</w:t>
      </w:r>
      <w:r>
        <w:rPr>
          <w:rStyle w:val="NormalTok"/>
        </w:rPr>
        <w:t xml:space="preserve"> </w:t>
      </w:r>
      <w:r>
        <w:rPr>
          <w:rStyle w:val="BuiltInTok"/>
        </w:rPr>
        <w:t xml:space="preserve">min</w:t>
      </w:r>
      <w:r>
        <w:rPr>
          <w:rStyle w:val="NormalTok"/>
        </w:rPr>
        <w:t xml:space="preserve">(</w:t>
      </w:r>
      <w:r>
        <w:rPr>
          <w:rStyle w:val="VariableTok"/>
        </w:rPr>
        <w:t xml:space="preserve">self</w:t>
      </w:r>
      <w:r>
        <w:rPr>
          <w:rStyle w:val="NormalTok"/>
        </w:rPr>
        <w:t xml:space="preserve">.box </w:t>
      </w:r>
      <w:r>
        <w:rPr>
          <w:rStyle w:val="OperatorTok"/>
        </w:rPr>
        <w:t xml:space="preserve">+</w:t>
      </w:r>
      <w:r>
        <w:rPr>
          <w:rStyle w:val="NormalTok"/>
        </w:rPr>
        <w:t xml:space="preserve"> </w:t>
      </w:r>
      <w:r>
        <w:rPr>
          <w:rStyle w:val="DecValTok"/>
        </w:rPr>
        <w:t xml:space="preserve">1</w:t>
      </w:r>
      <w:r>
        <w:rPr>
          <w:rStyle w:val="NormalTok"/>
        </w:rPr>
        <w:t xml:space="preserve">, </w:t>
      </w:r>
      <w:r>
        <w:rPr>
          <w:rStyle w:val="BuiltInTok"/>
        </w:rPr>
        <w:t xml:space="preserve">len</w:t>
      </w:r>
      <w:r>
        <w:rPr>
          <w:rStyle w:val="NormalTok"/>
        </w:rPr>
        <w:t xml:space="preserve">(INTERVALS)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if</w:t>
      </w:r>
      <w:r>
        <w:rPr>
          <w:rStyle w:val="NormalTok"/>
        </w:rPr>
        <w:t xml:space="preserve"> recalled </w:t>
      </w:r>
      <w:r>
        <w:rPr>
          <w:rStyle w:val="ControlFlowTok"/>
        </w:rPr>
        <w:t xml:space="preserve">else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.due </w:t>
      </w:r>
      <w:r>
        <w:rPr>
          <w:rStyle w:val="OperatorTok"/>
        </w:rPr>
        <w:t xml:space="preserve">=</w:t>
      </w:r>
      <w:r>
        <w:rPr>
          <w:rStyle w:val="NormalTok"/>
        </w:rPr>
        <w:t xml:space="preserve"> today </w:t>
      </w:r>
      <w:r>
        <w:rPr>
          <w:rStyle w:val="OperatorTok"/>
        </w:rPr>
        <w:t xml:space="preserve">+</w:t>
      </w:r>
      <w:r>
        <w:rPr>
          <w:rStyle w:val="NormalTok"/>
        </w:rPr>
        <w:t xml:space="preserve"> timedelta(days</w:t>
      </w:r>
      <w:r>
        <w:rPr>
          <w:rStyle w:val="OperatorTok"/>
        </w:rPr>
        <w:t xml:space="preserve">=</w:t>
      </w:r>
      <w:r>
        <w:rPr>
          <w:rStyle w:val="NormalTok"/>
        </w:rPr>
        <w:t xml:space="preserve">INTERVALS[</w:t>
      </w:r>
      <w:r>
        <w:rPr>
          <w:rStyle w:val="VariableTok"/>
        </w:rPr>
        <w:t xml:space="preserve">self</w:t>
      </w:r>
      <w:r>
        <w:rPr>
          <w:rStyle w:val="NormalTok"/>
        </w:rPr>
        <w:t xml:space="preserve">.box])</w:t>
      </w:r>
      <w:r>
        <w:br/>
      </w:r>
      <w:r>
        <w:br/>
      </w:r>
      <w:r>
        <w:br/>
      </w:r>
      <w:r>
        <w:rPr>
          <w:rStyle w:val="KeywordTok"/>
        </w:rPr>
        <w:t xml:space="preserve">def</w:t>
      </w:r>
      <w:r>
        <w:rPr>
          <w:rStyle w:val="NormalTok"/>
        </w:rPr>
        <w:t xml:space="preserve"> due_cards(cards, today):</w:t>
      </w:r>
      <w:r>
        <w:br/>
      </w:r>
      <w:r>
        <w:rPr>
          <w:rStyle w:val="NormalTok"/>
        </w:rPr>
        <w:t xml:space="preserve">    </w:t>
      </w:r>
      <w:r>
        <w:rPr>
          <w:rStyle w:val="ControlFlowTok"/>
        </w:rPr>
        <w:t xml:space="preserve">return</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cards </w:t>
      </w:r>
      <w:r>
        <w:rPr>
          <w:rStyle w:val="ControlFlowTok"/>
        </w:rPr>
        <w:t xml:space="preserve">if</w:t>
      </w:r>
      <w:r>
        <w:rPr>
          <w:rStyle w:val="NormalTok"/>
        </w:rPr>
        <w:t xml:space="preserve"> c.due </w:t>
      </w:r>
      <w:r>
        <w:rPr>
          <w:rStyle w:val="OperatorTok"/>
        </w:rPr>
        <w:t xml:space="preserve">&lt;=</w:t>
      </w:r>
      <w:r>
        <w:rPr>
          <w:rStyle w:val="NormalTok"/>
        </w:rPr>
        <w:t xml:space="preserve"> today]</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start </w:t>
      </w:r>
      <w:r>
        <w:rPr>
          <w:rStyle w:val="OperatorTok"/>
        </w:rPr>
        <w:t xml:space="preserve">=</w:t>
      </w:r>
      <w:r>
        <w:rPr>
          <w:rStyle w:val="NormalTok"/>
        </w:rPr>
        <w:t xml:space="preserve"> date(</w:t>
      </w:r>
      <w:r>
        <w:rPr>
          <w:rStyle w:val="DecValTok"/>
        </w:rPr>
        <w:t xml:space="preserve">2026</w:t>
      </w:r>
      <w:r>
        <w:rPr>
          <w:rStyle w:val="NormalTok"/>
        </w:rPr>
        <w:t xml:space="preserve">, </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    card </w:t>
      </w:r>
      <w:r>
        <w:rPr>
          <w:rStyle w:val="OperatorTok"/>
        </w:rPr>
        <w:t xml:space="preserve">=</w:t>
      </w:r>
      <w:r>
        <w:rPr>
          <w:rStyle w:val="NormalTok"/>
        </w:rPr>
        <w:t xml:space="preserve"> Card(</w:t>
      </w:r>
      <w:r>
        <w:rPr>
          <w:rStyle w:val="StringTok"/>
        </w:rPr>
        <w:t xml:space="preserve">"Why do virtual nodes reduce load imbalance?"</w:t>
      </w:r>
      <w:r>
        <w:rPr>
          <w:rStyle w:val="NormalTok"/>
        </w:rPr>
        <w:t xml:space="preserve">, due</w:t>
      </w:r>
      <w:r>
        <w:rPr>
          <w:rStyle w:val="OperatorTok"/>
        </w:rPr>
        <w:t xml:space="preserve">=</w:t>
      </w:r>
      <w:r>
        <w:rPr>
          <w:rStyle w:val="NormalTok"/>
        </w:rPr>
        <w:t xml:space="preserve">start)</w:t>
      </w:r>
      <w:r>
        <w:br/>
      </w:r>
      <w:r>
        <w:rPr>
          <w:rStyle w:val="NormalTok"/>
        </w:rPr>
        <w:t xml:space="preserve">    today </w:t>
      </w:r>
      <w:r>
        <w:rPr>
          <w:rStyle w:val="OperatorTok"/>
        </w:rPr>
        <w:t xml:space="preserve">=</w:t>
      </w:r>
      <w:r>
        <w:rPr>
          <w:rStyle w:val="NormalTok"/>
        </w:rPr>
        <w:t xml:space="preserve"> start</w:t>
      </w:r>
      <w:r>
        <w:br/>
      </w:r>
      <w:r>
        <w:rPr>
          <w:rStyle w:val="NormalTok"/>
        </w:rPr>
        <w:t xml:space="preserve">    </w:t>
      </w:r>
      <w:r>
        <w:rPr>
          <w:rStyle w:val="ControlFlowTok"/>
        </w:rPr>
        <w:t xml:space="preserve">for</w:t>
      </w:r>
      <w:r>
        <w:rPr>
          <w:rStyle w:val="NormalTok"/>
        </w:rPr>
        <w:t xml:space="preserve"> ok </w:t>
      </w:r>
      <w:r>
        <w:rPr>
          <w:rStyle w:val="KeywordTok"/>
        </w:rPr>
        <w:t xml:space="preserve">in</w:t>
      </w:r>
      <w:r>
        <w:rPr>
          <w:rStyle w:val="NormalTok"/>
        </w:rPr>
        <w:t xml:space="preserve"> [</w:t>
      </w:r>
      <w:r>
        <w:rPr>
          <w:rStyle w:val="VariableTok"/>
        </w:rPr>
        <w:t xml:space="preserve">True</w:t>
      </w:r>
      <w:r>
        <w:rPr>
          <w:rStyle w:val="NormalTok"/>
        </w:rPr>
        <w:t xml:space="preserve">, </w:t>
      </w:r>
      <w:r>
        <w:rPr>
          <w:rStyle w:val="VariableTok"/>
        </w:rPr>
        <w:t xml:space="preserve">True</w:t>
      </w:r>
      <w:r>
        <w:rPr>
          <w:rStyle w:val="NormalTok"/>
        </w:rPr>
        <w:t xml:space="preserve">, </w:t>
      </w:r>
      <w:r>
        <w:rPr>
          <w:rStyle w:val="VariableTok"/>
        </w:rPr>
        <w:t xml:space="preserve">False</w:t>
      </w:r>
      <w:r>
        <w:rPr>
          <w:rStyle w:val="NormalTok"/>
        </w:rPr>
        <w:t xml:space="preserve">, </w:t>
      </w:r>
      <w:r>
        <w:rPr>
          <w:rStyle w:val="VariableTok"/>
        </w:rPr>
        <w:t xml:space="preserve">True</w:t>
      </w:r>
      <w:r>
        <w:rPr>
          <w:rStyle w:val="NormalTok"/>
        </w:rPr>
        <w:t xml:space="preserve">, </w:t>
      </w:r>
      <w:r>
        <w:rPr>
          <w:rStyle w:val="VariableTok"/>
        </w:rPr>
        <w:t xml:space="preserve">True</w:t>
      </w:r>
      <w:r>
        <w:rPr>
          <w:rStyle w:val="NormalTok"/>
        </w:rPr>
        <w:t xml:space="preserve">, </w:t>
      </w:r>
      <w:r>
        <w:rPr>
          <w:rStyle w:val="VariableTok"/>
        </w:rPr>
        <w:t xml:space="preserve">True</w:t>
      </w:r>
      <w:r>
        <w:rPr>
          <w:rStyle w:val="NormalTok"/>
        </w:rPr>
        <w:t xml:space="preserve">]:</w:t>
      </w:r>
      <w:r>
        <w:br/>
      </w:r>
      <w:r>
        <w:rPr>
          <w:rStyle w:val="NormalTok"/>
        </w:rPr>
        <w:t xml:space="preserve">        card.review(ok, today)</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today</w:t>
      </w:r>
      <w:r>
        <w:rPr>
          <w:rStyle w:val="SpecialCharTok"/>
        </w:rPr>
        <w:t xml:space="preserve">}</w:t>
      </w:r>
      <w:r>
        <w:rPr>
          <w:rStyle w:val="SpecialStringTok"/>
        </w:rPr>
        <w:t xml:space="preserve">  recalled=</w:t>
      </w:r>
      <w:r>
        <w:rPr>
          <w:rStyle w:val="SpecialCharTok"/>
        </w:rPr>
        <w:t xml:space="preserve">{</w:t>
      </w:r>
      <w:r>
        <w:rPr>
          <w:rStyle w:val="NormalTok"/>
        </w:rPr>
        <w:t xml:space="preserve">ok</w:t>
      </w:r>
      <w:r>
        <w:rPr>
          <w:rStyle w:val="SpecialCharTok"/>
        </w:rPr>
        <w:t xml:space="preserve">!s:&lt;5}</w:t>
      </w:r>
      <w:r>
        <w:rPr>
          <w:rStyle w:val="SpecialStringTok"/>
        </w:rPr>
        <w:t xml:space="preserve"> -&gt; box </w:t>
      </w:r>
      <w:r>
        <w:rPr>
          <w:rStyle w:val="SpecialCharTok"/>
        </w:rPr>
        <w:t xml:space="preserve">{</w:t>
      </w:r>
      <w:r>
        <w:rPr>
          <w:rStyle w:val="NormalTok"/>
        </w:rPr>
        <w:t xml:space="preserve">card</w:t>
      </w:r>
      <w:r>
        <w:rPr>
          <w:rStyle w:val="SpecialCharTok"/>
        </w:rPr>
        <w:t xml:space="preserve">.</w:t>
      </w:r>
      <w:r>
        <w:rPr>
          <w:rStyle w:val="NormalTok"/>
        </w:rPr>
        <w:t xml:space="preserve">box</w:t>
      </w:r>
      <w:r>
        <w:rPr>
          <w:rStyle w:val="SpecialCharTok"/>
        </w:rPr>
        <w:t xml:space="preserve">}</w:t>
      </w:r>
      <w:r>
        <w:rPr>
          <w:rStyle w:val="SpecialStringTok"/>
        </w:rPr>
        <w:t xml:space="preserve">, next </w:t>
      </w:r>
      <w:r>
        <w:rPr>
          <w:rStyle w:val="SpecialCharTok"/>
        </w:rPr>
        <w:t xml:space="preserve">{</w:t>
      </w:r>
      <w:r>
        <w:rPr>
          <w:rStyle w:val="NormalTok"/>
        </w:rPr>
        <w:t xml:space="preserve">card</w:t>
      </w:r>
      <w:r>
        <w:rPr>
          <w:rStyle w:val="SpecialCharTok"/>
        </w:rPr>
        <w:t xml:space="preserve">.</w:t>
      </w:r>
      <w:r>
        <w:rPr>
          <w:rStyle w:val="NormalTok"/>
        </w:rPr>
        <w:t xml:space="preserve">due</w:t>
      </w:r>
      <w:r>
        <w:rPr>
          <w:rStyle w:val="SpecialCharTok"/>
        </w:rPr>
        <w:t xml:space="preserve">}</w:t>
      </w:r>
      <w:r>
        <w:rPr>
          <w:rStyle w:val="SpecialStringTok"/>
        </w:rPr>
        <w:t xml:space="preserve">"</w:t>
      </w:r>
      <w:r>
        <w:rPr>
          <w:rStyle w:val="NormalTok"/>
        </w:rPr>
        <w:t xml:space="preserve">)</w:t>
      </w:r>
      <w:r>
        <w:br/>
      </w:r>
      <w:r>
        <w:rPr>
          <w:rStyle w:val="NormalTok"/>
        </w:rPr>
        <w:t xml:space="preserve">        today </w:t>
      </w:r>
      <w:r>
        <w:rPr>
          <w:rStyle w:val="OperatorTok"/>
        </w:rPr>
        <w:t xml:space="preserve">=</w:t>
      </w:r>
      <w:r>
        <w:rPr>
          <w:rStyle w:val="NormalTok"/>
        </w:rPr>
        <w:t xml:space="preserve"> card.due</w:t>
      </w:r>
    </w:p>
    <w:p>
      <w:pPr>
        <w:pStyle w:val="FirstParagraph"/>
      </w:pPr>
      <w:r>
        <w:t xml:space="preserve">Output:</w:t>
      </w:r>
    </w:p>
    <w:p>
      <w:pPr>
        <w:pStyle w:val="SourceCode"/>
      </w:pPr>
      <w:r>
        <w:rPr>
          <w:rStyle w:val="VerbatimChar"/>
        </w:rPr>
        <w:t xml:space="preserve">2026-01-05  recalled=True  -&gt; box 1, next 2026-01-08</w:t>
      </w:r>
      <w:r>
        <w:br/>
      </w:r>
      <w:r>
        <w:rPr>
          <w:rStyle w:val="VerbatimChar"/>
        </w:rPr>
        <w:t xml:space="preserve">2026-01-08  recalled=True  -&gt; box 2, next 2026-01-15</w:t>
      </w:r>
      <w:r>
        <w:br/>
      </w:r>
      <w:r>
        <w:rPr>
          <w:rStyle w:val="VerbatimChar"/>
        </w:rPr>
        <w:t xml:space="preserve">2026-01-15  recalled=False -&gt; box 0, next 2026-01-16</w:t>
      </w:r>
      <w:r>
        <w:br/>
      </w:r>
      <w:r>
        <w:rPr>
          <w:rStyle w:val="VerbatimChar"/>
        </w:rPr>
        <w:t xml:space="preserve">2026-01-16  recalled=True  -&gt; box 1, next 2026-01-19</w:t>
      </w:r>
      <w:r>
        <w:br/>
      </w:r>
      <w:r>
        <w:rPr>
          <w:rStyle w:val="VerbatimChar"/>
        </w:rPr>
        <w:t xml:space="preserve">2026-01-19  recalled=True  -&gt; box 2, next 2026-01-26</w:t>
      </w:r>
      <w:r>
        <w:br/>
      </w:r>
      <w:r>
        <w:rPr>
          <w:rStyle w:val="VerbatimChar"/>
        </w:rPr>
        <w:t xml:space="preserve">2026-01-26  recalled=True  -&gt; box 3, next 2026-02-11</w:t>
      </w:r>
    </w:p>
    <w:p>
      <w:pPr>
        <w:pStyle w:val="FirstParagraph"/>
      </w:pPr>
      <w:r>
        <w:t xml:space="preserve">What to notice:</w:t>
      </w:r>
    </w:p>
    <w:p>
      <w:pPr>
        <w:numPr>
          <w:ilvl w:val="0"/>
          <w:numId w:val="1073"/>
        </w:numPr>
        <w:pStyle w:val="Compact"/>
      </w:pPr>
      <w:r>
        <w:rPr>
          <w:rStyle w:val="VerbatimChar"/>
        </w:rPr>
        <w:t xml:space="preserve">field(default_factory=date.today)</w:t>
      </w:r>
      <w:r>
        <w:t xml:space="preserve"> </w:t>
      </w:r>
      <w:r>
        <w:t xml:space="preserve">matters. A plain</w:t>
      </w:r>
      <w:r>
        <w:t xml:space="preserve"> </w:t>
      </w:r>
      <w:r>
        <w:rPr>
          <w:rStyle w:val="VerbatimChar"/>
        </w:rPr>
        <w:t xml:space="preserve">date.today()</w:t>
      </w:r>
      <w:r>
        <w:t xml:space="preserve"> </w:t>
      </w:r>
      <w:r>
        <w:t xml:space="preserve">default would be evaluated once, when the class is defined, and every card would share that date. This is the kind of bug you only find by building the thing.</w:t>
      </w:r>
    </w:p>
    <w:p>
      <w:pPr>
        <w:numPr>
          <w:ilvl w:val="0"/>
          <w:numId w:val="1073"/>
        </w:numPr>
        <w:pStyle w:val="Compact"/>
      </w:pPr>
      <w:r>
        <w:t xml:space="preserve">One failure on 15 January wipes out two promotions. That is harsh by design: a card you forgot needs to be relearned, not just reviewed.</w:t>
      </w:r>
    </w:p>
    <w:p>
      <w:pPr>
        <w:numPr>
          <w:ilvl w:val="0"/>
          <w:numId w:val="1073"/>
        </w:numPr>
        <w:pStyle w:val="Compact"/>
      </w:pPr>
      <w:r>
        <w:t xml:space="preserve">After six reviews spread over five weeks, the card is due in 16 days. Spaced repetition costs little per item, and the cost keeps falling.</w:t>
      </w:r>
    </w:p>
    <w:p>
      <w:pPr>
        <w:pStyle w:val="CalloutExample"/>
      </w:pPr>
      <w:r>
        <w:rPr>
          <w:bCs/>
          <w:b/>
        </w:rPr>
        <w:t xml:space="preserve">WORKED EXAMPLE</w:t>
      </w:r>
    </w:p>
    <w:p>
      <w:pPr>
        <w:pStyle w:val="CalloutExample"/>
      </w:pPr>
      <w:r>
        <w:rPr>
          <w:bCs/>
          <w:b/>
        </w:rPr>
        <w:t xml:space="preserve">Worked example — Daily review load.</w:t>
      </w:r>
      <w:r>
        <w:t xml:space="preserve"> </w:t>
      </w:r>
      <w:r>
        <w:t xml:space="preserve">You add 5 new cards per study day, 5 days a week, for a year: about</w:t>
      </w:r>
      <w:r>
        <w:t xml:space="preserve"> </w:t>
      </w:r>
      <m:oMath>
        <m:r>
          <m:t>5</m:t>
        </m:r>
        <m:r>
          <m:rPr>
            <m:sty m:val="p"/>
          </m:rPr>
          <m:t>×</m:t>
        </m:r>
        <m:r>
          <m:t>5</m:t>
        </m:r>
        <m:r>
          <m:rPr>
            <m:sty m:val="p"/>
          </m:rPr>
          <m:t>×</m:t>
        </m:r>
        <m:r>
          <m:t>52</m:t>
        </m:r>
        <m:r>
          <m:rPr>
            <m:sty m:val="p"/>
          </m:rPr>
          <m:t>=</m:t>
        </m:r>
        <m:r>
          <m:t>1</m:t>
        </m:r>
        <m:r>
          <m:rPr>
            <m:sty m:val="p"/>
          </m:rPr>
          <m:t>,</m:t>
        </m:r>
        <m:r>
          <m:t>300</m:t>
        </m:r>
      </m:oMath>
      <w:r>
        <w:t xml:space="preserve"> </w:t>
      </w:r>
      <w:r>
        <w:t xml:space="preserve">cards. In the steady state, assume 70 % of cards sit in boxes 3–4 (reviewed about every 16–35 days, call it every 25 days), 20 % in box 2 (every 7 days) and 10 % in boxes 0–1 (every 2 days on average). Daily reviews ≈</w:t>
      </w:r>
      <w:r>
        <w:t xml:space="preserve"> </w:t>
      </w:r>
      <m:oMath>
        <m:r>
          <m:t>1</m:t>
        </m:r>
        <m:r>
          <m:rPr>
            <m:sty m:val="p"/>
          </m:rPr>
          <m:t>,</m:t>
        </m:r>
        <m:r>
          <m:t>300</m:t>
        </m:r>
        <m:r>
          <m:rPr>
            <m:sty m:val="p"/>
          </m:rPr>
          <m:t>×</m:t>
        </m:r>
        <m:d>
          <m:dPr>
            <m:begChr m:val="("/>
            <m:endChr m:val=")"/>
            <m:sepChr m:val=""/>
            <m:grow/>
          </m:dPr>
          <m:e>
            <m:r>
              <m:t>0.70</m:t>
            </m:r>
            <m:r>
              <m:rPr>
                <m:sty m:val="p"/>
              </m:rPr>
              <m:t>/</m:t>
            </m:r>
            <m:r>
              <m:t>25</m:t>
            </m:r>
            <m:r>
              <m:rPr>
                <m:sty m:val="p"/>
              </m:rPr>
              <m:t>+</m:t>
            </m:r>
            <m:r>
              <m:t>0.20</m:t>
            </m:r>
            <m:r>
              <m:rPr>
                <m:sty m:val="p"/>
              </m:rPr>
              <m:t>/</m:t>
            </m:r>
            <m:r>
              <m:t>7</m:t>
            </m:r>
            <m:r>
              <m:rPr>
                <m:sty m:val="p"/>
              </m:rPr>
              <m:t>+</m:t>
            </m:r>
            <m:r>
              <m:t>0.10</m:t>
            </m:r>
            <m:r>
              <m:rPr>
                <m:sty m:val="p"/>
              </m:rPr>
              <m:t>/</m:t>
            </m:r>
            <m:r>
              <m:t>2</m:t>
            </m:r>
          </m:e>
        </m:d>
        <m:r>
          <m:rPr>
            <m:sty m:val="p"/>
          </m:rPr>
          <m:t>=</m:t>
        </m:r>
        <m:r>
          <m:t>1</m:t>
        </m:r>
        <m:r>
          <m:rPr>
            <m:sty m:val="p"/>
          </m:rPr>
          <m:t>,</m:t>
        </m:r>
        <m:r>
          <m:t>300</m:t>
        </m:r>
        <m:r>
          <m:rPr>
            <m:sty m:val="p"/>
          </m:rPr>
          <m:t>×</m:t>
        </m:r>
        <m:d>
          <m:dPr>
            <m:begChr m:val="("/>
            <m:endChr m:val=")"/>
            <m:sepChr m:val=""/>
            <m:grow/>
          </m:dPr>
          <m:e>
            <m:r>
              <m:t>0.028</m:t>
            </m:r>
            <m:r>
              <m:rPr>
                <m:sty m:val="p"/>
              </m:rPr>
              <m:t>+</m:t>
            </m:r>
            <m:r>
              <m:t>0.029</m:t>
            </m:r>
            <m:r>
              <m:rPr>
                <m:sty m:val="p"/>
              </m:rPr>
              <m:t>+</m:t>
            </m:r>
            <m:r>
              <m:t>0.050</m:t>
            </m:r>
          </m:e>
        </m:d>
        <m:r>
          <m:rPr>
            <m:sty m:val="p"/>
          </m:rPr>
          <m:t>≈</m:t>
        </m:r>
        <m:r>
          <m:t>139</m:t>
        </m:r>
      </m:oMath>
      <w:r>
        <w:t xml:space="preserve"> </w:t>
      </w:r>
      <w:r>
        <w:t xml:space="preserve">cards. At about 8 seconds per card that is roughly 19 minutes a day.</w:t>
      </w:r>
      <w:r>
        <w:t xml:space="preserve"> </w:t>
      </w:r>
      <w:r>
        <w:rPr>
          <w:bCs/>
          <w:b/>
        </w:rPr>
        <w:t xml:space="preserve">Interpretation.</w:t>
      </w:r>
      <w:r>
        <w:t xml:space="preserve"> </w:t>
      </w:r>
      <w:r>
        <w:t xml:space="preserve">A year of system-design vocabulary stays fresh for under 20 minutes a day,</w:t>
      </w:r>
      <w:r>
        <w:t xml:space="preserve"> </w:t>
      </w:r>
      <w:r>
        <w:rPr>
          <w:iCs/>
          <w:i/>
        </w:rPr>
        <w:t xml:space="preserve">if</w:t>
      </w:r>
      <w:r>
        <w:t xml:space="preserve"> </w:t>
      </w:r>
      <w:r>
        <w:t xml:space="preserve">most cards are mastered.</w:t>
      </w:r>
      <w:r>
        <w:t xml:space="preserve"> </w:t>
      </w:r>
      <w:r>
        <w:rPr>
          <w:bCs/>
          <w:b/>
        </w:rPr>
        <w:t xml:space="preserve">Implication.</w:t>
      </w:r>
      <w:r>
        <w:t xml:space="preserve"> </w:t>
      </w:r>
      <w:r>
        <w:t xml:space="preserve">Keep cards atomic so they move up the boxes quickly. Cards that bounce between boxes 0 and 1 dominate the load, so rewrite or split them.</w:t>
      </w:r>
    </w:p>
    <w:bookmarkEnd w:id="295"/>
    <w:bookmarkStart w:id="296" w:name="the-feynman-technique-self-explanation"/>
    <w:p>
      <w:pPr>
        <w:pStyle w:val="Heading3"/>
      </w:pPr>
      <w:r>
        <w:t xml:space="preserve">3.4.4 The Feynman technique (self-explanation)</w:t>
      </w:r>
    </w:p>
    <w:p>
      <w:pPr>
        <w:pStyle w:val="FirstParagraph"/>
      </w:pPr>
      <w:r>
        <w:t xml:space="preserve">The</w:t>
      </w:r>
      <w:r>
        <w:t xml:space="preserve"> </w:t>
      </w:r>
      <w:r>
        <w:t xml:space="preserve">“</w:t>
      </w:r>
      <w:r>
        <w:t xml:space="preserve">Feynman technique</w:t>
      </w:r>
      <w:r>
        <w:t xml:space="preserve">”</w:t>
      </w:r>
      <w:r>
        <w:t xml:space="preserve"> </w:t>
      </w:r>
      <w:r>
        <w:t xml:space="preserve">is a popular name for a four-step routine. You pick a concept, explain it in plain language as if to a newcomer, find the places where your explanation breaks down or falls back on jargon, and go back to the source to fix those places. Richard Feynman did not publish this method under that name. The label was attached later. The research behind it is the work on</w:t>
      </w:r>
      <w:r>
        <w:t xml:space="preserve"> </w:t>
      </w:r>
      <w:r>
        <w:rPr>
          <w:bCs/>
          <w:b/>
        </w:rPr>
        <w:t xml:space="preserve">self-explanation</w:t>
      </w:r>
      <w:r>
        <w:t xml:space="preserve">: learners who explain material to themselves while studying understand it better than those who only read it [Chi et al. 1994]. Dunlosky and colleagues rated self-explanation and elaborative interrogation as having moderate utility [Dunlosky et al. 2013].</w:t>
      </w:r>
    </w:p>
    <w:p>
      <w:pPr>
        <w:pStyle w:val="BodyText"/>
      </w:pPr>
      <w:r>
        <w:t xml:space="preserve">In system design, the routine is step 10 of the loop, plus one rule:</w:t>
      </w:r>
      <w:r>
        <w:t xml:space="preserve"> </w:t>
      </w:r>
      <w:r>
        <w:rPr>
          <w:bCs/>
          <w:b/>
        </w:rPr>
        <w:t xml:space="preserve">every</w:t>
      </w:r>
      <w:r>
        <w:rPr>
          <w:bCs/>
          <w:b/>
        </w:rPr>
        <w:t xml:space="preserve"> </w:t>
      </w:r>
      <w:r>
        <w:rPr>
          <w:bCs/>
          <w:b/>
        </w:rPr>
        <w:t xml:space="preserve">“</w:t>
      </w:r>
      <w:r>
        <w:rPr>
          <w:bCs/>
          <w:b/>
        </w:rPr>
        <w:t xml:space="preserve">it just handles that</w:t>
      </w:r>
      <w:r>
        <w:rPr>
          <w:bCs/>
          <w:b/>
        </w:rPr>
        <w:t xml:space="preserve">”</w:t>
      </w:r>
      <w:r>
        <w:rPr>
          <w:bCs/>
          <w:b/>
        </w:rPr>
        <w:t xml:space="preserve"> </w:t>
      </w:r>
      <w:r>
        <w:rPr>
          <w:bCs/>
          <w:b/>
        </w:rPr>
        <w:t xml:space="preserve">is a gap.</w:t>
      </w:r>
      <w:r>
        <w:t xml:space="preserve"> </w:t>
      </w:r>
      <w:r>
        <w:t xml:space="preserve">If your explanation of Kafka says</w:t>
      </w:r>
      <w:r>
        <w:t xml:space="preserve"> </w:t>
      </w:r>
      <w:r>
        <w:t xml:space="preserve">“</w:t>
      </w:r>
      <w:r>
        <w:t xml:space="preserve">the broker handles durability</w:t>
      </w:r>
      <w:r>
        <w:t xml:space="preserve">”</w:t>
      </w:r>
      <w:r>
        <w:t xml:space="preserve">, you have not explained durability. You have named it. Push until you reach a mechanism, such as</w:t>
      </w:r>
      <w:r>
        <w:t xml:space="preserve"> </w:t>
      </w:r>
      <w:r>
        <w:t xml:space="preserve">“</w:t>
      </w:r>
      <w:r>
        <w:t xml:space="preserve">the leader waits for in-sync replicas to append the record before acknowledging when</w:t>
      </w:r>
      <w:r>
        <w:t xml:space="preserve"> </w:t>
      </w:r>
      <w:r>
        <w:rPr>
          <w:rStyle w:val="VerbatimChar"/>
        </w:rPr>
        <w:t xml:space="preserve">acks=all</w:t>
      </w:r>
      <w:r>
        <w:t xml:space="preserve">”</w:t>
      </w:r>
      <w:r>
        <w:t xml:space="preserve"> </w:t>
      </w:r>
      <w:r>
        <w:t xml:space="preserve">(§31.6, §31.9).</w:t>
      </w:r>
    </w:p>
    <w:bookmarkEnd w:id="296"/>
    <w:bookmarkStart w:id="297" w:name="interleaving"/>
    <w:p>
      <w:pPr>
        <w:pStyle w:val="Heading3"/>
      </w:pPr>
      <w:r>
        <w:t xml:space="preserve">3.4.5 Interleaving</w:t>
      </w:r>
    </w:p>
    <w:p>
      <w:pPr>
        <w:pStyle w:val="CalloutDefinition"/>
      </w:pPr>
      <w:r>
        <w:rPr>
          <w:bCs/>
          <w:b/>
        </w:rPr>
        <w:t xml:space="preserve">DEFINITION</w:t>
      </w:r>
    </w:p>
    <w:p>
      <w:pPr>
        <w:pStyle w:val="CalloutDefinition"/>
      </w:pPr>
      <w:r>
        <w:rPr>
          <w:bCs/>
          <w:b/>
        </w:rPr>
        <w:t xml:space="preserve">Definition — Interleaving.</w:t>
      </w:r>
      <w:r>
        <w:t xml:space="preserve"> </w:t>
      </w:r>
      <w:r>
        <w:t xml:space="preserve">Mixing different kinds of problems or concepts within one practice session (A B C A C B), instead of finishing all practice on one kind before moving to the next (AAA BBB CCC, called</w:t>
      </w:r>
      <w:r>
        <w:t xml:space="preserve"> </w:t>
      </w:r>
      <w:r>
        <w:rPr>
          <w:bCs/>
          <w:b/>
        </w:rPr>
        <w:t xml:space="preserve">blocking</w:t>
      </w:r>
      <w:r>
        <w:t xml:space="preserve">).</w:t>
      </w:r>
    </w:p>
    <w:p>
      <w:pPr>
        <w:pStyle w:val="BodyText"/>
      </w:pPr>
      <w:r>
        <w:t xml:space="preserve">In one study, students who practiced mixed (shuffled) mathematics problems did worse during practice but much better on a delayed test than students who practiced in blocks [Rohrer and Taylor 2007]. Interleaving also helped people learn to tell categories apart, such as painters’ styles, even though most participants</w:t>
      </w:r>
      <w:r>
        <w:t xml:space="preserve"> </w:t>
      </w:r>
      <w:r>
        <w:rPr>
          <w:iCs/>
          <w:i/>
        </w:rPr>
        <w:t xml:space="preserve">believed</w:t>
      </w:r>
      <w:r>
        <w:t xml:space="preserve"> </w:t>
      </w:r>
      <w:r>
        <w:t xml:space="preserve">blocking had worked better for them [Kornell and Bjork 2008].</w:t>
      </w:r>
    </w:p>
    <w:p>
      <w:pPr>
        <w:pStyle w:val="BodyText"/>
      </w:pPr>
      <w:r>
        <w:t xml:space="preserve">A design problem never tells you which chapter it comes from. Interleaving trains the skill that matters most in a real design: noticing</w:t>
      </w:r>
      <w:r>
        <w:t xml:space="preserve"> </w:t>
      </w:r>
      <w:r>
        <w:rPr>
          <w:iCs/>
          <w:i/>
        </w:rPr>
        <w:t xml:space="preserve">which</w:t>
      </w:r>
      <w:r>
        <w:t xml:space="preserve"> </w:t>
      </w:r>
      <w:r>
        <w:t xml:space="preserve">tool a situation calls for. In practice, once you have studied caching, queues and replication, practice with mixed questions such as</w:t>
      </w:r>
      <w:r>
        <w:t xml:space="preserve"> </w:t>
      </w:r>
      <w:r>
        <w:t xml:space="preserve">“</w:t>
      </w:r>
      <w:r>
        <w:t xml:space="preserve">this read path is slow; is it a cache problem, a fan-out problem, or a replication-lag problem?</w:t>
      </w:r>
      <w:r>
        <w:t xml:space="preserve">”</w:t>
      </w:r>
      <w:r>
        <w:t xml:space="preserve"> </w:t>
      </w:r>
      <w:r>
        <w:t xml:space="preserve">instead of ten caching questions in a row.</w:t>
      </w:r>
    </w:p>
    <w:bookmarkEnd w:id="297"/>
    <w:bookmarkStart w:id="298" w:name="deliberate-practice"/>
    <w:p>
      <w:pPr>
        <w:pStyle w:val="Heading3"/>
      </w:pPr>
      <w:r>
        <w:t xml:space="preserve">3.4.6 Deliberate practice</w:t>
      </w:r>
    </w:p>
    <w:p>
      <w:pPr>
        <w:pStyle w:val="CalloutDefinition"/>
      </w:pPr>
      <w:r>
        <w:rPr>
          <w:bCs/>
          <w:b/>
        </w:rPr>
        <w:t xml:space="preserve">DEFINITION</w:t>
      </w:r>
    </w:p>
    <w:p>
      <w:pPr>
        <w:pStyle w:val="CalloutDefinition"/>
      </w:pPr>
      <w:r>
        <w:rPr>
          <w:bCs/>
          <w:b/>
        </w:rPr>
        <w:t xml:space="preserve">Definition — Deliberate practice.</w:t>
      </w:r>
      <w:r>
        <w:t xml:space="preserve"> </w:t>
      </w:r>
      <w:r>
        <w:t xml:space="preserve">Effortful practice designed to improve performance. It targets specific weaknesses, has clear goals, gives immediate feedback and is usually guided by a teacher or coach [Ericsson et al. 1993].</w:t>
      </w:r>
    </w:p>
    <w:p>
      <w:pPr>
        <w:pStyle w:val="BodyText"/>
      </w:pPr>
      <w:r>
        <w:t xml:space="preserve">Ericsson and colleagues argued that differences in expert performance largely reflect accumulated deliberate practice. Later work found the picture more mixed. A meta-analysis found that deliberate practice explained about 12 % of the variance in performance across domains, and less in education and professions than in games, music and sports [Macnamara et al. 2014]. The honest conclusion is this: practice that targets weaknesses and comes with feedback helps, but hours alone do not guarantee expertise.</w:t>
      </w:r>
    </w:p>
    <w:p>
      <w:pPr>
        <w:pStyle w:val="BodyText"/>
      </w:pPr>
      <w:r>
        <w:t xml:space="preserve">For a system designer, the scarce ingredient is</w:t>
      </w:r>
      <w:r>
        <w:t xml:space="preserve"> </w:t>
      </w:r>
      <w:r>
        <w:rPr>
          <w:bCs/>
          <w:b/>
        </w:rPr>
        <w:t xml:space="preserve">feedback</w:t>
      </w:r>
      <w:r>
        <w:t xml:space="preserve">. You can get it from mock interviews with a scoring rubric (Chapter 88), from design reviews by senior engineers (§3.9.2), from comparing your design with published ones (Chapters 52–56), and from running your own simplified implementation to see whether it behaves as you predicted.</w:t>
      </w:r>
    </w:p>
    <w:p>
      <w:pPr>
        <w:pStyle w:val="CalloutMistake"/>
      </w:pPr>
      <w:r>
        <w:rPr>
          <w:bCs/>
          <w:b/>
        </w:rPr>
        <w:t xml:space="preserve">COMMON MISTAKE</w:t>
      </w:r>
    </w:p>
    <w:p>
      <w:pPr>
        <w:pStyle w:val="CalloutMistake"/>
      </w:pPr>
      <w:r>
        <w:rPr>
          <w:bCs/>
          <w:b/>
        </w:rPr>
        <w:t xml:space="preserve">Misconception —</w:t>
      </w:r>
      <w:r>
        <w:rPr>
          <w:bCs/>
          <w:b/>
        </w:rPr>
        <w:t xml:space="preserve"> </w:t>
      </w:r>
      <w:r>
        <w:rPr>
          <w:bCs/>
          <w:b/>
        </w:rPr>
        <w:t xml:space="preserve">“</w:t>
      </w:r>
      <w:r>
        <w:rPr>
          <w:bCs/>
          <w:b/>
        </w:rPr>
        <w:t xml:space="preserve">I’m a visual learner, so I should only watch videos.</w:t>
      </w:r>
      <w:r>
        <w:rPr>
          <w:bCs/>
          <w:b/>
        </w:rPr>
        <w:t xml:space="preserve">”</w:t>
      </w:r>
      <w:r>
        <w:t xml:space="preserve"> </w:t>
      </w:r>
      <w:r>
        <w:t xml:space="preserve">Matching instruction to self-reported</w:t>
      </w:r>
      <w:r>
        <w:t xml:space="preserve"> </w:t>
      </w:r>
      <w:r>
        <w:t xml:space="preserve">“</w:t>
      </w:r>
      <w:r>
        <w:t xml:space="preserve">learning styles</w:t>
      </w:r>
      <w:r>
        <w:t xml:space="preserve">”</w:t>
      </w:r>
      <w:r>
        <w:t xml:space="preserve"> </w:t>
      </w:r>
      <w:r>
        <w:t xml:space="preserve">has not been shown to improve outcomes in properly designed experiments [Pashler et al. 2008]. Diagrams do help with system design, but because the</w:t>
      </w:r>
      <w:r>
        <w:t xml:space="preserve"> </w:t>
      </w:r>
      <w:r>
        <w:rPr>
          <w:iCs/>
          <w:i/>
        </w:rPr>
        <w:t xml:space="preserve">subject</w:t>
      </w:r>
      <w:r>
        <w:t xml:space="preserve"> </w:t>
      </w:r>
      <w:r>
        <w:t xml:space="preserve">is spatial and structural, not because of your learning style. Everyone should draw.</w:t>
      </w:r>
    </w:p>
    <w:bookmarkEnd w:id="298"/>
    <w:bookmarkEnd w:id="299"/>
    <w:bookmarkStart w:id="305" w:name="reading-papers-and-engineering-blogs"/>
    <w:p>
      <w:pPr>
        <w:pStyle w:val="Heading2"/>
      </w:pPr>
      <w:r>
        <w:t xml:space="preserve">3.5 Reading papers and engineering blogs</w:t>
      </w:r>
    </w:p>
    <w:p>
      <w:pPr>
        <w:pStyle w:val="FirstParagraph"/>
      </w:pPr>
      <w:r>
        <w:t xml:space="preserve">Step 5 of the loop sends you to primary sources. In system design, those are mostly conference papers (SOSP, OSDI, NSDI, USENIX ATC, VLDB, SIGMOD), official documentation and company engineering blogs. Each needs a different way of reading.</w:t>
      </w:r>
    </w:p>
    <w:bookmarkStart w:id="303" w:name="keshavs-three-pass-method"/>
    <w:p>
      <w:pPr>
        <w:pStyle w:val="Heading3"/>
      </w:pPr>
      <w:r>
        <w:t xml:space="preserve">3.5.1 Keshav’s three-pass method</w:t>
      </w:r>
    </w:p>
    <w:p>
      <w:pPr>
        <w:pStyle w:val="FirstParagraph"/>
      </w:pPr>
      <w:r>
        <w:t xml:space="preserve">Keshav’s two-page note is the standard advice for reading systems papers. Read a paper in up to three passes, and decide after each pass whether the next one is worth the time [Keshav 2007].</w:t>
      </w:r>
    </w:p>
    <w:p>
      <w:pPr>
        <w:numPr>
          <w:ilvl w:val="0"/>
          <w:numId w:val="1074"/>
        </w:numPr>
        <w:pStyle w:val="Compact"/>
      </w:pPr>
      <w:r>
        <w:rPr>
          <w:bCs/>
          <w:b/>
        </w:rPr>
        <w:t xml:space="preserve">First pass (about 5–10 minutes).</w:t>
      </w:r>
      <w:r>
        <w:t xml:space="preserve"> </w:t>
      </w:r>
      <w:r>
        <w:t xml:space="preserve">Read the title, abstract and introduction. Read the section headings and nothing under them. Glance at any mathematics, then read the conclusions and scan the references. Afterwards, you should be able to answer the</w:t>
      </w:r>
      <w:r>
        <w:t xml:space="preserve"> </w:t>
      </w:r>
      <w:r>
        <w:rPr>
          <w:bCs/>
          <w:b/>
        </w:rPr>
        <w:t xml:space="preserve">five Cs</w:t>
      </w:r>
      <w:r>
        <w:t xml:space="preserve">:</w:t>
      </w:r>
      <w:r>
        <w:t xml:space="preserve"> </w:t>
      </w:r>
      <w:r>
        <w:rPr>
          <w:iCs/>
          <w:i/>
        </w:rPr>
        <w:t xml:space="preserve">Category</w:t>
      </w:r>
      <w:r>
        <w:t xml:space="preserve"> </w:t>
      </w:r>
      <w:r>
        <w:t xml:space="preserve">(what type of paper is it?),</w:t>
      </w:r>
      <w:r>
        <w:t xml:space="preserve"> </w:t>
      </w:r>
      <w:r>
        <w:rPr>
          <w:iCs/>
          <w:i/>
        </w:rPr>
        <w:t xml:space="preserve">Context</w:t>
      </w:r>
      <w:r>
        <w:t xml:space="preserve"> </w:t>
      </w:r>
      <w:r>
        <w:t xml:space="preserve">(which other work does it build on?),</w:t>
      </w:r>
      <w:r>
        <w:t xml:space="preserve"> </w:t>
      </w:r>
      <w:r>
        <w:rPr>
          <w:iCs/>
          <w:i/>
        </w:rPr>
        <w:t xml:space="preserve">Correctness</w:t>
      </w:r>
      <w:r>
        <w:t xml:space="preserve"> </w:t>
      </w:r>
      <w:r>
        <w:t xml:space="preserve">(do the assumptions look valid?),</w:t>
      </w:r>
      <w:r>
        <w:t xml:space="preserve"> </w:t>
      </w:r>
      <w:r>
        <w:rPr>
          <w:iCs/>
          <w:i/>
        </w:rPr>
        <w:t xml:space="preserve">Contributions</w:t>
      </w:r>
      <w:r>
        <w:t xml:space="preserve"> </w:t>
      </w:r>
      <w:r>
        <w:t xml:space="preserve">(what is new?) and</w:t>
      </w:r>
      <w:r>
        <w:t xml:space="preserve"> </w:t>
      </w:r>
      <w:r>
        <w:rPr>
          <w:iCs/>
          <w:i/>
        </w:rPr>
        <w:t xml:space="preserve">Clarity</w:t>
      </w:r>
      <w:r>
        <w:t xml:space="preserve"> </w:t>
      </w:r>
      <w:r>
        <w:t xml:space="preserve">(is it well written?).</w:t>
      </w:r>
    </w:p>
    <w:p>
      <w:pPr>
        <w:numPr>
          <w:ilvl w:val="0"/>
          <w:numId w:val="1074"/>
        </w:numPr>
        <w:pStyle w:val="Compact"/>
      </w:pPr>
      <w:r>
        <w:rPr>
          <w:bCs/>
          <w:b/>
        </w:rPr>
        <w:t xml:space="preserve">Second pass (up to about an hour).</w:t>
      </w:r>
      <w:r>
        <w:t xml:space="preserve"> </w:t>
      </w:r>
      <w:r>
        <w:t xml:space="preserve">Read carefully but skip proofs. Study the figures, graphs and axes. Mark the references you have not read. Afterwards, you should be able to summarize the paper’s main thrust, with evidence, to someone else.</w:t>
      </w:r>
    </w:p>
    <w:p>
      <w:pPr>
        <w:numPr>
          <w:ilvl w:val="0"/>
          <w:numId w:val="1074"/>
        </w:numPr>
        <w:pStyle w:val="Compact"/>
      </w:pPr>
      <w:r>
        <w:rPr>
          <w:bCs/>
          <w:b/>
        </w:rPr>
        <w:t xml:space="preserve">Third pass (about 4–5 hours for a beginner, about an hour for an experienced reader).</w:t>
      </w:r>
      <w:r>
        <w:t xml:space="preserve"> </w:t>
      </w:r>
      <w:r>
        <w:t xml:space="preserve">Virtually re-implement the paper. Make the same assumptions, recreate the work, and compare your version with the authors’. This pass exposes hidden assumptions and missing citations.</w:t>
      </w:r>
    </w:p>
    <w:p>
      <w:pPr>
        <w:pStyle w:val="FirstParagraph"/>
      </w:pPr>
      <w:r>
        <w:rPr>
          <w:bCs/>
          <w:b/>
        </w:rPr>
        <w:t xml:space="preserve">Figure 3.5 — The three-pass reading decision flow.</w:t>
      </w:r>
    </w:p>
    <w:p>
      <w:pPr>
        <w:pStyle w:val="BodyText"/>
      </w:pPr>
      <w:r>
        <w:drawing>
          <wp:inline>
            <wp:extent cx="5334000" cy="16085561"/>
            <wp:effectExtent b="0" l="0" r="0" t="0"/>
            <wp:docPr descr="" title="" id="301" name="Picture"/>
            <a:graphic>
              <a:graphicData uri="http://schemas.openxmlformats.org/drawingml/2006/picture">
                <pic:pic>
                  <pic:nvPicPr>
                    <pic:cNvPr descr="/home/user/System-Design/build/.cache/diagrams/732797213299.png" id="302" name="Picture"/>
                    <pic:cNvPicPr>
                      <a:picLocks noChangeArrowheads="1" noChangeAspect="1"/>
                    </pic:cNvPicPr>
                  </pic:nvPicPr>
                  <pic:blipFill>
                    <a:blip r:embed="rId300"/>
                    <a:stretch>
                      <a:fillRect/>
                    </a:stretch>
                  </pic:blipFill>
                  <pic:spPr bwMode="auto">
                    <a:xfrm>
                      <a:off x="0" y="0"/>
                      <a:ext cx="5334000" cy="16085561"/>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A paper enters at the top. Each rectangle is a pass with a time budget, and each diamond is a decision to stop or go deeper. Every path ends at the reading log, the cylinder. Even a paper you rejected after five minutes gets a one-line note, so you will not reread it by accident. Only the third pass feeds steps 5–8 of the loop. The usual failure is starting at the third pass: reading page one in detail and giving up on page four. To scale this across many papers, do many first passes and only a few third passes. For most engineers, about one paper in five deserves the third.</w:t>
      </w:r>
    </w:p>
    <w:p>
      <w:pPr>
        <w:pStyle w:val="BodyText"/>
      </w:pPr>
      <w:r>
        <w:t xml:space="preserve">When you apply the method to a</w:t>
      </w:r>
      <w:r>
        <w:t xml:space="preserve"> </w:t>
      </w:r>
      <w:r>
        <w:rPr>
          <w:iCs/>
          <w:i/>
        </w:rPr>
        <w:t xml:space="preserve">systems</w:t>
      </w:r>
      <w:r>
        <w:t xml:space="preserve"> </w:t>
      </w:r>
      <w:r>
        <w:t xml:space="preserve">paper, add two questions to the five Cs.</w:t>
      </w:r>
      <w:r>
        <w:t xml:space="preserve"> </w:t>
      </w:r>
      <w:r>
        <w:rPr>
          <w:bCs/>
          <w:b/>
        </w:rPr>
        <w:t xml:space="preserve">What was the workload?</w:t>
      </w:r>
      <w:r>
        <w:t xml:space="preserve"> </w:t>
      </w:r>
      <w:r>
        <w:t xml:space="preserve">Dynamo’s design follows from Amazon’s shopping-cart writes, which had to be</w:t>
      </w:r>
      <w:r>
        <w:t xml:space="preserve"> </w:t>
      </w:r>
      <w:r>
        <w:t xml:space="preserve">“</w:t>
      </w:r>
      <w:r>
        <w:t xml:space="preserve">always writeable</w:t>
      </w:r>
      <w:r>
        <w:t xml:space="preserve">”</w:t>
      </w:r>
      <w:r>
        <w:t xml:space="preserve">.</w:t>
      </w:r>
      <w:r>
        <w:t xml:space="preserve"> </w:t>
      </w:r>
      <w:r>
        <w:rPr>
          <w:bCs/>
          <w:b/>
        </w:rPr>
        <w:t xml:space="preserve">What did they choose not to provide?</w:t>
      </w:r>
      <w:r>
        <w:t xml:space="preserve"> </w:t>
      </w:r>
      <w:r>
        <w:t xml:space="preserve">GFS gave up a POSIX-compatible interface and offered relaxed consistency [Ghemawat et al. 2003]. A paper’s non-goals tell you as much as its goals.</w:t>
      </w:r>
    </w:p>
    <w:p>
      <w:pPr>
        <w:pStyle w:val="BodyText"/>
      </w:pPr>
      <w:r>
        <w:rPr>
          <w:bCs/>
          <w:b/>
        </w:rPr>
        <w:t xml:space="preserve">Table 3.5 — A starter reading list mapped to this book.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Paper</w:t>
            </w:r>
          </w:p>
        </w:tc>
        <w:tc>
          <w:tcPr/>
          <w:p>
            <w:pPr>
              <w:pStyle w:val="Compact"/>
              <w:jc w:val="left"/>
            </w:pPr>
            <w:r>
              <w:t xml:space="preserve">Read with</w:t>
            </w:r>
          </w:p>
        </w:tc>
        <w:tc>
          <w:tcPr/>
          <w:p>
            <w:pPr>
              <w:pStyle w:val="Compact"/>
              <w:jc w:val="left"/>
            </w:pPr>
            <w:r>
              <w:t xml:space="preserve">Why this one first</w:t>
            </w:r>
          </w:p>
        </w:tc>
      </w:tr>
      <w:tr>
        <w:tc>
          <w:tcPr/>
          <w:p>
            <w:pPr>
              <w:pStyle w:val="Compact"/>
              <w:jc w:val="left"/>
            </w:pPr>
            <w:r>
              <w:t xml:space="preserve">Lamport,</w:t>
            </w:r>
            <w:r>
              <w:t xml:space="preserve"> </w:t>
            </w:r>
            <w:r>
              <w:rPr>
                <w:iCs/>
                <w:i/>
              </w:rPr>
              <w:t xml:space="preserve">Time, Clocks, and the Ordering of Events</w:t>
            </w:r>
            <w:r>
              <w:t xml:space="preserve"> </w:t>
            </w:r>
            <w:r>
              <w:t xml:space="preserve">[Lamport 1978]</w:t>
            </w:r>
          </w:p>
        </w:tc>
        <w:tc>
          <w:tcPr/>
          <w:p>
            <w:pPr>
              <w:pStyle w:val="Compact"/>
              <w:jc w:val="left"/>
            </w:pPr>
            <w:r>
              <w:t xml:space="preserve">§24.10</w:t>
            </w:r>
          </w:p>
        </w:tc>
        <w:tc>
          <w:tcPr/>
          <w:p>
            <w:pPr>
              <w:pStyle w:val="Compact"/>
              <w:jc w:val="left"/>
            </w:pPr>
            <w:r>
              <w:t xml:space="preserve">Short; defines</w:t>
            </w:r>
            <w:r>
              <w:t xml:space="preserve"> </w:t>
            </w:r>
            <w:r>
              <w:t xml:space="preserve">“</w:t>
            </w:r>
            <w:r>
              <w:t xml:space="preserve">happened-before</w:t>
            </w:r>
            <w:r>
              <w:t xml:space="preserve">”</w:t>
            </w:r>
          </w:p>
        </w:tc>
      </w:tr>
      <w:tr>
        <w:tc>
          <w:tcPr/>
          <w:p>
            <w:pPr>
              <w:pStyle w:val="Compact"/>
              <w:jc w:val="left"/>
            </w:pPr>
            <w:r>
              <w:rPr>
                <w:iCs/>
                <w:i/>
              </w:rPr>
              <w:t xml:space="preserve">The Google File System</w:t>
            </w:r>
            <w:r>
              <w:t xml:space="preserve"> </w:t>
            </w:r>
            <w:r>
              <w:t xml:space="preserve">[Ghemawat et al. 2003]</w:t>
            </w:r>
          </w:p>
        </w:tc>
        <w:tc>
          <w:tcPr/>
          <w:p>
            <w:pPr>
              <w:pStyle w:val="Compact"/>
              <w:jc w:val="left"/>
            </w:pPr>
            <w:r>
              <w:t xml:space="preserve">§15.5</w:t>
            </w:r>
          </w:p>
        </w:tc>
        <w:tc>
          <w:tcPr/>
          <w:p>
            <w:pPr>
              <w:pStyle w:val="Compact"/>
              <w:jc w:val="left"/>
            </w:pPr>
            <w:r>
              <w:t xml:space="preserve">Clear workload-driven trade-offs</w:t>
            </w:r>
          </w:p>
        </w:tc>
      </w:tr>
      <w:tr>
        <w:tc>
          <w:tcPr/>
          <w:p>
            <w:pPr>
              <w:pStyle w:val="Compact"/>
              <w:jc w:val="left"/>
            </w:pPr>
            <w:r>
              <w:rPr>
                <w:iCs/>
                <w:i/>
              </w:rPr>
              <w:t xml:space="preserve">MapReduce</w:t>
            </w:r>
            <w:r>
              <w:t xml:space="preserve"> </w:t>
            </w:r>
            <w:r>
              <w:t xml:space="preserve">[Dean and Ghemawat 2004]</w:t>
            </w:r>
          </w:p>
        </w:tc>
        <w:tc>
          <w:tcPr/>
          <w:p>
            <w:pPr>
              <w:pStyle w:val="Compact"/>
              <w:jc w:val="left"/>
            </w:pPr>
            <w:r>
              <w:t xml:space="preserve">§29.4</w:t>
            </w:r>
          </w:p>
        </w:tc>
        <w:tc>
          <w:tcPr/>
          <w:p>
            <w:pPr>
              <w:pStyle w:val="Compact"/>
              <w:jc w:val="left"/>
            </w:pPr>
            <w:r>
              <w:t xml:space="preserve">Simple model; good first third-pass paper</w:t>
            </w:r>
          </w:p>
        </w:tc>
      </w:tr>
      <w:tr>
        <w:tc>
          <w:tcPr/>
          <w:p>
            <w:pPr>
              <w:pStyle w:val="Compact"/>
              <w:jc w:val="left"/>
            </w:pPr>
            <w:r>
              <w:rPr>
                <w:iCs/>
                <w:i/>
              </w:rPr>
              <w:t xml:space="preserve">Dynamo</w:t>
            </w:r>
            <w:r>
              <w:t xml:space="preserve"> </w:t>
            </w:r>
            <w:r>
              <w:t xml:space="preserve">[DeCandia et al. 2007]</w:t>
            </w:r>
          </w:p>
        </w:tc>
        <w:tc>
          <w:tcPr/>
          <w:p>
            <w:pPr>
              <w:pStyle w:val="Compact"/>
              <w:jc w:val="left"/>
            </w:pPr>
            <w:r>
              <w:t xml:space="preserve">§14.8, §27.7</w:t>
            </w:r>
          </w:p>
        </w:tc>
        <w:tc>
          <w:tcPr/>
          <w:p>
            <w:pPr>
              <w:pStyle w:val="Compact"/>
              <w:jc w:val="left"/>
            </w:pPr>
            <w:r>
              <w:t xml:space="preserve">Assembles many chapter concepts in one design</w:t>
            </w:r>
          </w:p>
        </w:tc>
      </w:tr>
      <w:tr>
        <w:tc>
          <w:tcPr/>
          <w:p>
            <w:pPr>
              <w:pStyle w:val="Compact"/>
              <w:jc w:val="left"/>
            </w:pPr>
            <w:r>
              <w:rPr>
                <w:iCs/>
                <w:i/>
              </w:rPr>
              <w:t xml:space="preserve">The Chubby Lock Service</w:t>
            </w:r>
            <w:r>
              <w:t xml:space="preserve"> </w:t>
            </w:r>
            <w:r>
              <w:t xml:space="preserve">[Burrows 2006]</w:t>
            </w:r>
          </w:p>
        </w:tc>
        <w:tc>
          <w:tcPr/>
          <w:p>
            <w:pPr>
              <w:pStyle w:val="Compact"/>
              <w:jc w:val="left"/>
            </w:pPr>
            <w:r>
              <w:t xml:space="preserve">§26.14</w:t>
            </w:r>
          </w:p>
        </w:tc>
        <w:tc>
          <w:tcPr/>
          <w:p>
            <w:pPr>
              <w:pStyle w:val="Compact"/>
              <w:jc w:val="left"/>
            </w:pPr>
            <w:r>
              <w:t xml:space="preserve">Engineering lessons, not just algorithms</w:t>
            </w:r>
          </w:p>
        </w:tc>
      </w:tr>
      <w:tr>
        <w:tc>
          <w:tcPr/>
          <w:p>
            <w:pPr>
              <w:pStyle w:val="Compact"/>
              <w:jc w:val="left"/>
            </w:pPr>
            <w:r>
              <w:rPr>
                <w:iCs/>
                <w:i/>
              </w:rPr>
              <w:t xml:space="preserve">ZooKeeper</w:t>
            </w:r>
            <w:r>
              <w:t xml:space="preserve"> </w:t>
            </w:r>
            <w:r>
              <w:t xml:space="preserve">[Hunt et al. 2010]</w:t>
            </w:r>
          </w:p>
        </w:tc>
        <w:tc>
          <w:tcPr/>
          <w:p>
            <w:pPr>
              <w:pStyle w:val="Compact"/>
              <w:jc w:val="left"/>
            </w:pPr>
            <w:r>
              <w:t xml:space="preserve">§26.8</w:t>
            </w:r>
          </w:p>
        </w:tc>
        <w:tc>
          <w:tcPr/>
          <w:p>
            <w:pPr>
              <w:pStyle w:val="Compact"/>
              <w:jc w:val="left"/>
            </w:pPr>
            <w:r>
              <w:t xml:space="preserve">Coordination as a service</w:t>
            </w:r>
          </w:p>
        </w:tc>
      </w:tr>
      <w:tr>
        <w:tc>
          <w:tcPr/>
          <w:p>
            <w:pPr>
              <w:pStyle w:val="Compact"/>
              <w:jc w:val="left"/>
            </w:pPr>
            <w:r>
              <w:rPr>
                <w:iCs/>
                <w:i/>
              </w:rPr>
              <w:t xml:space="preserve">Kafka</w:t>
            </w:r>
            <w:r>
              <w:t xml:space="preserve"> </w:t>
            </w:r>
            <w:r>
              <w:t xml:space="preserve">[Kreps et al. 2011]</w:t>
            </w:r>
          </w:p>
        </w:tc>
        <w:tc>
          <w:tcPr/>
          <w:p>
            <w:pPr>
              <w:pStyle w:val="Compact"/>
              <w:jc w:val="left"/>
            </w:pPr>
            <w:r>
              <w:t xml:space="preserve">§31.3</w:t>
            </w:r>
          </w:p>
        </w:tc>
        <w:tc>
          <w:tcPr/>
          <w:p>
            <w:pPr>
              <w:pStyle w:val="Compact"/>
              <w:jc w:val="left"/>
            </w:pPr>
            <w:r>
              <w:t xml:space="preserve">The log as a central abstraction</w:t>
            </w:r>
          </w:p>
        </w:tc>
      </w:tr>
      <w:tr>
        <w:tc>
          <w:tcPr/>
          <w:p>
            <w:pPr>
              <w:pStyle w:val="Compact"/>
              <w:jc w:val="left"/>
            </w:pPr>
            <w:r>
              <w:rPr>
                <w:iCs/>
                <w:i/>
              </w:rPr>
              <w:t xml:space="preserve">Raft</w:t>
            </w:r>
            <w:r>
              <w:t xml:space="preserve"> </w:t>
            </w:r>
            <w:r>
              <w:t xml:space="preserve">[Ongaro and Ousterhout 2014]</w:t>
            </w:r>
          </w:p>
        </w:tc>
        <w:tc>
          <w:tcPr/>
          <w:p>
            <w:pPr>
              <w:pStyle w:val="Compact"/>
              <w:jc w:val="left"/>
            </w:pPr>
            <w:r>
              <w:t xml:space="preserve">§26.7</w:t>
            </w:r>
          </w:p>
        </w:tc>
        <w:tc>
          <w:tcPr/>
          <w:p>
            <w:pPr>
              <w:pStyle w:val="Compact"/>
              <w:jc w:val="left"/>
            </w:pPr>
            <w:r>
              <w:t xml:space="preserve">Written explicitly to be understandable</w:t>
            </w:r>
          </w:p>
        </w:tc>
      </w:tr>
      <w:tr>
        <w:tc>
          <w:tcPr/>
          <w:p>
            <w:pPr>
              <w:pStyle w:val="Compact"/>
              <w:jc w:val="left"/>
            </w:pPr>
            <w:r>
              <w:rPr>
                <w:iCs/>
                <w:i/>
              </w:rPr>
              <w:t xml:space="preserve">The Tail at Scale</w:t>
            </w:r>
            <w:r>
              <w:t xml:space="preserve"> </w:t>
            </w:r>
            <w:r>
              <w:t xml:space="preserve">[Dean and Barroso 2013]</w:t>
            </w:r>
          </w:p>
        </w:tc>
        <w:tc>
          <w:tcPr/>
          <w:p>
            <w:pPr>
              <w:pStyle w:val="Compact"/>
              <w:jc w:val="left"/>
            </w:pPr>
            <w:r>
              <w:t xml:space="preserve">§23.6–§23.7</w:t>
            </w:r>
          </w:p>
        </w:tc>
        <w:tc>
          <w:tcPr/>
          <w:p>
            <w:pPr>
              <w:pStyle w:val="Compact"/>
              <w:jc w:val="left"/>
            </w:pPr>
            <w:r>
              <w:t xml:space="preserve">Magazine-length; shapes how you think about latency</w:t>
            </w:r>
          </w:p>
        </w:tc>
      </w:tr>
      <w:tr>
        <w:tc>
          <w:tcPr/>
          <w:p>
            <w:pPr>
              <w:pStyle w:val="Compact"/>
              <w:jc w:val="left"/>
            </w:pPr>
            <w:r>
              <w:rPr>
                <w:iCs/>
                <w:i/>
              </w:rPr>
              <w:t xml:space="preserve">Spanner</w:t>
            </w:r>
            <w:r>
              <w:t xml:space="preserve"> </w:t>
            </w:r>
            <w:r>
              <w:t xml:space="preserve">[Corbett et al. 2012]</w:t>
            </w:r>
          </w:p>
        </w:tc>
        <w:tc>
          <w:tcPr/>
          <w:p>
            <w:pPr>
              <w:pStyle w:val="Compact"/>
              <w:jc w:val="left"/>
            </w:pPr>
            <w:r>
              <w:t xml:space="preserve">§28.8</w:t>
            </w:r>
          </w:p>
        </w:tc>
        <w:tc>
          <w:tcPr/>
          <w:p>
            <w:pPr>
              <w:pStyle w:val="Compact"/>
              <w:jc w:val="left"/>
            </w:pPr>
            <w:r>
              <w:t xml:space="preserve">Advanced; read after Chapters 25–26</w:t>
            </w:r>
          </w:p>
        </w:tc>
      </w:tr>
    </w:tbl>
    <w:bookmarkEnd w:id="303"/>
    <w:bookmarkStart w:id="304" w:name="reading-engineering-blogs-critically"/>
    <w:p>
      <w:pPr>
        <w:pStyle w:val="Heading3"/>
      </w:pPr>
      <w:r>
        <w:t xml:space="preserve">3.5.2 Reading engineering blogs critically</w:t>
      </w:r>
    </w:p>
    <w:p>
      <w:pPr>
        <w:pStyle w:val="FirstParagraph"/>
      </w:pPr>
      <w:r>
        <w:t xml:space="preserve">Company engineering blogs are where the field’s current practice gets written down. They are also written to recruit engineers and to promote the company, and they rarely go through peer review. Read them as</w:t>
      </w:r>
      <w:r>
        <w:t xml:space="preserve"> </w:t>
      </w:r>
      <w:r>
        <w:rPr>
          <w:bCs/>
          <w:b/>
        </w:rPr>
        <w:t xml:space="preserve">evidence of what one team did under its own constraints</w:t>
      </w:r>
      <w:r>
        <w:t xml:space="preserve">, not as recommendations for you.</w:t>
      </w:r>
    </w:p>
    <w:p>
      <w:pPr>
        <w:pStyle w:val="BodyText"/>
      </w:pPr>
      <w:r>
        <w:rPr>
          <w:bCs/>
          <w:b/>
        </w:rPr>
        <w:t xml:space="preserve">Table 3.6 — Critical-reading checklist for engineering posts.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Ask</w:t>
            </w:r>
          </w:p>
        </w:tc>
        <w:tc>
          <w:tcPr/>
          <w:p>
            <w:pPr>
              <w:pStyle w:val="Compact"/>
              <w:jc w:val="left"/>
            </w:pPr>
            <w:r>
              <w:t xml:space="preserve">Why</w:t>
            </w:r>
          </w:p>
        </w:tc>
        <w:tc>
          <w:tcPr/>
          <w:p>
            <w:pPr>
              <w:pStyle w:val="Compact"/>
              <w:jc w:val="left"/>
            </w:pPr>
            <w:r>
              <w:t xml:space="preserve">Red flag</w:t>
            </w:r>
          </w:p>
        </w:tc>
      </w:tr>
      <w:tr>
        <w:tc>
          <w:tcPr/>
          <w:p>
            <w:pPr>
              <w:pStyle w:val="Compact"/>
              <w:jc w:val="left"/>
            </w:pPr>
            <w:r>
              <w:t xml:space="preserve">What was the workload and scale?</w:t>
            </w:r>
          </w:p>
        </w:tc>
        <w:tc>
          <w:tcPr/>
          <w:p>
            <w:pPr>
              <w:pStyle w:val="Compact"/>
              <w:jc w:val="left"/>
            </w:pPr>
            <w:r>
              <w:t xml:space="preserve">Solutions depend on the workload</w:t>
            </w:r>
          </w:p>
        </w:tc>
        <w:tc>
          <w:tcPr/>
          <w:p>
            <w:pPr>
              <w:pStyle w:val="Compact"/>
              <w:jc w:val="left"/>
            </w:pPr>
            <w:r>
              <w:t xml:space="preserve">No numbers at all, or only</w:t>
            </w:r>
            <w:r>
              <w:t xml:space="preserve"> </w:t>
            </w:r>
            <w:r>
              <w:t xml:space="preserve">“</w:t>
            </w:r>
            <w:r>
              <w:t xml:space="preserve">massive scale</w:t>
            </w:r>
            <w:r>
              <w:t xml:space="preserve">”</w:t>
            </w:r>
          </w:p>
        </w:tc>
      </w:tr>
      <w:tr>
        <w:tc>
          <w:tcPr/>
          <w:p>
            <w:pPr>
              <w:pStyle w:val="Compact"/>
              <w:jc w:val="left"/>
            </w:pPr>
            <w:r>
              <w:t xml:space="preserve">What was the baseline?</w:t>
            </w:r>
          </w:p>
        </w:tc>
        <w:tc>
          <w:tcPr/>
          <w:p>
            <w:pPr>
              <w:pStyle w:val="Compact"/>
              <w:jc w:val="left"/>
            </w:pPr>
            <w:r>
              <w:t xml:space="preserve">A speed-up needs something to compare against</w:t>
            </w:r>
          </w:p>
        </w:tc>
        <w:tc>
          <w:tcPr/>
          <w:p>
            <w:pPr>
              <w:pStyle w:val="Compact"/>
              <w:jc w:val="left"/>
            </w:pPr>
            <w:r>
              <w:t xml:space="preserve">“</w:t>
            </w:r>
            <w:r>
              <w:t xml:space="preserve">10× faster</w:t>
            </w:r>
            <w:r>
              <w:t xml:space="preserve">”</w:t>
            </w:r>
            <w:r>
              <w:t xml:space="preserve"> </w:t>
            </w:r>
            <w:r>
              <w:t xml:space="preserve">with no stated</w:t>
            </w:r>
            <w:r>
              <w:t xml:space="preserve"> </w:t>
            </w:r>
            <w:r>
              <w:t xml:space="preserve">“</w:t>
            </w:r>
            <w:r>
              <w:t xml:space="preserve">than what</w:t>
            </w:r>
            <w:r>
              <w:t xml:space="preserve">”</w:t>
            </w:r>
          </w:p>
        </w:tc>
      </w:tr>
      <w:tr>
        <w:tc>
          <w:tcPr/>
          <w:p>
            <w:pPr>
              <w:pStyle w:val="Compact"/>
              <w:jc w:val="left"/>
            </w:pPr>
            <w:r>
              <w:t xml:space="preserve">What did they try that failed?</w:t>
            </w:r>
          </w:p>
        </w:tc>
        <w:tc>
          <w:tcPr/>
          <w:p>
            <w:pPr>
              <w:pStyle w:val="Compact"/>
              <w:jc w:val="left"/>
            </w:pPr>
            <w:r>
              <w:t xml:space="preserve">Shows what the real constraint was</w:t>
            </w:r>
          </w:p>
        </w:tc>
        <w:tc>
          <w:tcPr/>
          <w:p>
            <w:pPr>
              <w:pStyle w:val="Compact"/>
              <w:jc w:val="left"/>
            </w:pPr>
            <w:r>
              <w:t xml:space="preserve">Only a success story</w:t>
            </w:r>
          </w:p>
        </w:tc>
      </w:tr>
      <w:tr>
        <w:tc>
          <w:tcPr/>
          <w:p>
            <w:pPr>
              <w:pStyle w:val="Compact"/>
              <w:jc w:val="left"/>
            </w:pPr>
            <w:r>
              <w:t xml:space="preserve">What did it cost?</w:t>
            </w:r>
          </w:p>
        </w:tc>
        <w:tc>
          <w:tcPr/>
          <w:p>
            <w:pPr>
              <w:pStyle w:val="Compact"/>
              <w:jc w:val="left"/>
            </w:pPr>
            <w:r>
              <w:t xml:space="preserve">Every choice costs something</w:t>
            </w:r>
          </w:p>
        </w:tc>
        <w:tc>
          <w:tcPr/>
          <w:p>
            <w:pPr>
              <w:pStyle w:val="Compact"/>
              <w:jc w:val="left"/>
            </w:pPr>
            <w:r>
              <w:t xml:space="preserve">No downsides mentioned</w:t>
            </w:r>
          </w:p>
        </w:tc>
      </w:tr>
      <w:tr>
        <w:tc>
          <w:tcPr/>
          <w:p>
            <w:pPr>
              <w:pStyle w:val="Compact"/>
              <w:jc w:val="left"/>
            </w:pPr>
            <w:r>
              <w:t xml:space="preserve">When was it written?</w:t>
            </w:r>
          </w:p>
        </w:tc>
        <w:tc>
          <w:tcPr/>
          <w:p>
            <w:pPr>
              <w:pStyle w:val="Compact"/>
              <w:jc w:val="left"/>
            </w:pPr>
            <w:r>
              <w:t xml:space="preserve">Systems and versions change</w:t>
            </w:r>
          </w:p>
        </w:tc>
        <w:tc>
          <w:tcPr/>
          <w:p>
            <w:pPr>
              <w:pStyle w:val="Compact"/>
              <w:jc w:val="left"/>
            </w:pPr>
            <w:r>
              <w:t xml:space="preserve">No date; describes a deprecated version</w:t>
            </w:r>
          </w:p>
        </w:tc>
      </w:tr>
      <w:tr>
        <w:tc>
          <w:tcPr/>
          <w:p>
            <w:pPr>
              <w:pStyle w:val="Compact"/>
              <w:jc w:val="left"/>
            </w:pPr>
            <w:r>
              <w:t xml:space="preserve">Can it be checked?</w:t>
            </w:r>
          </w:p>
        </w:tc>
        <w:tc>
          <w:tcPr/>
          <w:p>
            <w:pPr>
              <w:pStyle w:val="Compact"/>
              <w:jc w:val="left"/>
            </w:pPr>
            <w:r>
              <w:t xml:space="preserve">Separates evidence from narrative</w:t>
            </w:r>
          </w:p>
        </w:tc>
        <w:tc>
          <w:tcPr/>
          <w:p>
            <w:pPr>
              <w:pStyle w:val="Compact"/>
              <w:jc w:val="left"/>
            </w:pPr>
            <w:r>
              <w:t xml:space="preserve">No benchmark method; no code; no follow-up</w:t>
            </w:r>
          </w:p>
        </w:tc>
      </w:tr>
      <w:tr>
        <w:tc>
          <w:tcPr/>
          <w:p>
            <w:pPr>
              <w:pStyle w:val="Compact"/>
              <w:jc w:val="left"/>
            </w:pPr>
            <w:r>
              <w:t xml:space="preserve">Who benefits from you believing it?</w:t>
            </w:r>
          </w:p>
        </w:tc>
        <w:tc>
          <w:tcPr/>
          <w:p>
            <w:pPr>
              <w:pStyle w:val="Compact"/>
              <w:jc w:val="left"/>
            </w:pPr>
            <w:r>
              <w:t xml:space="preserve">Vendor posts sell products</w:t>
            </w:r>
          </w:p>
        </w:tc>
        <w:tc>
          <w:tcPr/>
          <w:p>
            <w:pPr>
              <w:pStyle w:val="Compact"/>
              <w:jc w:val="left"/>
            </w:pPr>
            <w:r>
              <w:t xml:space="preserve">“</w:t>
            </w:r>
            <w:r>
              <w:t xml:space="preserve">Our product solved it</w:t>
            </w:r>
            <w:r>
              <w:t xml:space="preserve">”</w:t>
            </w:r>
            <w:r>
              <w:t xml:space="preserve"> </w:t>
            </w:r>
            <w:r>
              <w:t xml:space="preserve">with no alternatives considered</w:t>
            </w:r>
          </w:p>
        </w:tc>
      </w:tr>
    </w:tbl>
    <w:p>
      <w:pPr>
        <w:pStyle w:val="BodyText"/>
      </w:pPr>
      <w:r>
        <w:t xml:space="preserve">This book uses the same discipline in its</w:t>
      </w:r>
      <w:r>
        <w:t xml:space="preserve"> </w:t>
      </w:r>
      <w:r>
        <w:rPr>
          <w:bCs/>
          <w:b/>
        </w:rPr>
        <w:t xml:space="preserve">evidence labels</w:t>
      </w:r>
      <w:r>
        <w:t xml:space="preserve"> </w:t>
      </w:r>
      <w:r>
        <w:t xml:space="preserve">(§9 of the style guide): Primary, Secondary or Illustrative. Label your own notes the same way. A claim you read in a conference talk summary is Secondary, even if it sounds authoritative.</w:t>
      </w:r>
    </w:p>
    <w:bookmarkEnd w:id="304"/>
    <w:bookmarkEnd w:id="305"/>
    <w:bookmarkStart w:id="308" w:name="drawing-architecture-from-memory"/>
    <w:p>
      <w:pPr>
        <w:pStyle w:val="Heading2"/>
      </w:pPr>
      <w:r>
        <w:t xml:space="preserve">3.6 Drawing architecture from memory</w:t>
      </w:r>
    </w:p>
    <w:bookmarkStart w:id="306" w:name="why-drawing-from-memory-works"/>
    <w:p>
      <w:pPr>
        <w:pStyle w:val="Heading3"/>
      </w:pPr>
      <w:r>
        <w:t xml:space="preserve">3.6.1 Why drawing from memory works</w:t>
      </w:r>
    </w:p>
    <w:p>
      <w:pPr>
        <w:pStyle w:val="FirstParagraph"/>
      </w:pPr>
      <w:r>
        <w:t xml:space="preserve">Drawing a system from memory is retrieval practice (§3.4.2) on structured material. It also builds what Chase and Simon called</w:t>
      </w:r>
      <w:r>
        <w:t xml:space="preserve"> </w:t>
      </w:r>
      <w:r>
        <w:rPr>
          <w:bCs/>
          <w:b/>
        </w:rPr>
        <w:t xml:space="preserve">chunks</w:t>
      </w:r>
      <w:r>
        <w:t xml:space="preserve">. In their studies, chess masters reconstructed real game positions from a brief glance far better than novices. On random piece placements, the masters’ advantage largely disappeared [Chase and Simon 1973]. Their expertise was stored as meaningful patterns, not as better raw memory. Reference architectures are the chunks of system design:</w:t>
      </w:r>
      <w:r>
        <w:t xml:space="preserve"> </w:t>
      </w:r>
      <w:r>
        <w:t xml:space="preserve">“</w:t>
      </w:r>
      <w:r>
        <w:t xml:space="preserve">CDN → load balancer → stateless service → cache → primary/replica database</w:t>
      </w:r>
      <w:r>
        <w:t xml:space="preserve">”</w:t>
      </w:r>
      <w:r>
        <w:t xml:space="preserve">, or</w:t>
      </w:r>
      <w:r>
        <w:t xml:space="preserve"> </w:t>
      </w:r>
      <w:r>
        <w:t xml:space="preserve">“</w:t>
      </w:r>
      <w:r>
        <w:t xml:space="preserve">producer → partitioned log → consumer group</w:t>
      </w:r>
      <w:r>
        <w:t xml:space="preserve">”</w:t>
      </w:r>
      <w:r>
        <w:t xml:space="preserve">. Once each of these is a single chunk, your working memory is free to reason about what is</w:t>
      </w:r>
      <w:r>
        <w:t xml:space="preserve"> </w:t>
      </w:r>
      <w:r>
        <w:rPr>
          <w:iCs/>
          <w:i/>
        </w:rPr>
        <w:t xml:space="preserve">different</w:t>
      </w:r>
      <w:r>
        <w:t xml:space="preserve"> </w:t>
      </w:r>
      <w:r>
        <w:t xml:space="preserve">in the problem in front of you.</w:t>
      </w:r>
    </w:p>
    <w:bookmarkEnd w:id="306"/>
    <w:bookmarkStart w:id="307" w:name="the-protocol"/>
    <w:p>
      <w:pPr>
        <w:pStyle w:val="Heading3"/>
      </w:pPr>
      <w:r>
        <w:t xml:space="preserve">3.6.2 The protocol</w:t>
      </w:r>
    </w:p>
    <w:p>
      <w:pPr>
        <w:numPr>
          <w:ilvl w:val="0"/>
          <w:numId w:val="1075"/>
        </w:numPr>
        <w:pStyle w:val="Compact"/>
      </w:pPr>
      <w:r>
        <w:rPr>
          <w:bCs/>
          <w:b/>
        </w:rPr>
        <w:t xml:space="preserve">Choose a target</w:t>
      </w:r>
      <w:r>
        <w:t xml:space="preserve">: a figure from a chapter you finished at least two days ago.</w:t>
      </w:r>
    </w:p>
    <w:p>
      <w:pPr>
        <w:numPr>
          <w:ilvl w:val="0"/>
          <w:numId w:val="1075"/>
        </w:numPr>
        <w:pStyle w:val="Compact"/>
      </w:pPr>
      <w:r>
        <w:rPr>
          <w:bCs/>
          <w:b/>
        </w:rPr>
        <w:t xml:space="preserve">Draw blind for 10 minutes</w:t>
      </w:r>
      <w:r>
        <w:t xml:space="preserve"> </w:t>
      </w:r>
      <w:r>
        <w:t xml:space="preserve">on paper or a whiteboard. Use the book’s shapes (§6 of the style guide): stadiums for clients, rectangles for services, cylinders for stores, subroutine shapes for queues.</w:t>
      </w:r>
    </w:p>
    <w:p>
      <w:pPr>
        <w:numPr>
          <w:ilvl w:val="0"/>
          <w:numId w:val="1075"/>
        </w:numPr>
        <w:pStyle w:val="Compact"/>
      </w:pPr>
      <w:r>
        <w:rPr>
          <w:bCs/>
          <w:b/>
        </w:rPr>
        <w:t xml:space="preserve">Annotate edges</w:t>
      </w:r>
      <w:r>
        <w:t xml:space="preserve">: protocol, synchronous or asynchronous, direction.</w:t>
      </w:r>
    </w:p>
    <w:p>
      <w:pPr>
        <w:numPr>
          <w:ilvl w:val="0"/>
          <w:numId w:val="1075"/>
        </w:numPr>
        <w:pStyle w:val="Compact"/>
      </w:pPr>
      <w:r>
        <w:rPr>
          <w:bCs/>
          <w:b/>
        </w:rPr>
        <w:t xml:space="preserve">Compare</w:t>
      </w:r>
      <w:r>
        <w:t xml:space="preserve"> </w:t>
      </w:r>
      <w:r>
        <w:t xml:space="preserve">with the source and score your drawing with Table 3.7.</w:t>
      </w:r>
    </w:p>
    <w:p>
      <w:pPr>
        <w:numPr>
          <w:ilvl w:val="0"/>
          <w:numId w:val="1075"/>
        </w:numPr>
        <w:pStyle w:val="Compact"/>
      </w:pPr>
      <w:r>
        <w:rPr>
          <w:bCs/>
          <w:b/>
        </w:rPr>
        <w:t xml:space="preserve">Write the diff</w:t>
      </w:r>
      <w:r>
        <w:t xml:space="preserve">: every missing component and every wrong edge becomes a flashcard.</w:t>
      </w:r>
    </w:p>
    <w:p>
      <w:pPr>
        <w:numPr>
          <w:ilvl w:val="0"/>
          <w:numId w:val="1075"/>
        </w:numPr>
        <w:pStyle w:val="Compact"/>
      </w:pPr>
      <w:r>
        <w:rPr>
          <w:bCs/>
          <w:b/>
        </w:rPr>
        <w:t xml:space="preserve">Redraw</w:t>
      </w:r>
      <w:r>
        <w:t xml:space="preserve"> </w:t>
      </w:r>
      <w:r>
        <w:t xml:space="preserve">after the next spacing interval (3 days, then 7, then 16).</w:t>
      </w:r>
    </w:p>
    <w:p>
      <w:pPr>
        <w:pStyle w:val="FirstParagraph"/>
      </w:pPr>
      <w:r>
        <w:rPr>
          <w:bCs/>
          <w:b/>
        </w:rPr>
        <w:t xml:space="preserve">Table 3.7 — Scoring rubric for a drawing from memory (0–2 points each, 12 maximum).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Criterion</w:t>
            </w:r>
          </w:p>
        </w:tc>
        <w:tc>
          <w:tcPr/>
          <w:p>
            <w:pPr>
              <w:pStyle w:val="Compact"/>
              <w:jc w:val="left"/>
            </w:pPr>
            <w:r>
              <w:t xml:space="preserve">0</w:t>
            </w:r>
          </w:p>
        </w:tc>
        <w:tc>
          <w:tcPr/>
          <w:p>
            <w:pPr>
              <w:pStyle w:val="Compact"/>
              <w:jc w:val="left"/>
            </w:pPr>
            <w:r>
              <w:t xml:space="preserve">1</w:t>
            </w:r>
          </w:p>
        </w:tc>
        <w:tc>
          <w:tcPr/>
          <w:p>
            <w:pPr>
              <w:pStyle w:val="Compact"/>
              <w:jc w:val="left"/>
            </w:pPr>
            <w:r>
              <w:t xml:space="preserve">2</w:t>
            </w:r>
          </w:p>
        </w:tc>
      </w:tr>
      <w:tr>
        <w:tc>
          <w:tcPr/>
          <w:p>
            <w:pPr>
              <w:pStyle w:val="Compact"/>
              <w:jc w:val="left"/>
            </w:pPr>
            <w:r>
              <w:t xml:space="preserve">Components</w:t>
            </w:r>
          </w:p>
        </w:tc>
        <w:tc>
          <w:tcPr/>
          <w:p>
            <w:pPr>
              <w:pStyle w:val="Compact"/>
              <w:jc w:val="left"/>
            </w:pPr>
            <w:r>
              <w:t xml:space="preserve">Major pieces missing</w:t>
            </w:r>
          </w:p>
        </w:tc>
        <w:tc>
          <w:tcPr/>
          <w:p>
            <w:pPr>
              <w:pStyle w:val="Compact"/>
              <w:jc w:val="left"/>
            </w:pPr>
            <w:r>
              <w:t xml:space="preserve">All major pieces present</w:t>
            </w:r>
          </w:p>
        </w:tc>
        <w:tc>
          <w:tcPr/>
          <w:p>
            <w:pPr>
              <w:pStyle w:val="Compact"/>
              <w:jc w:val="left"/>
            </w:pPr>
            <w:r>
              <w:t xml:space="preserve">Also includes supporting pieces (config, discovery, monitoring)</w:t>
            </w:r>
          </w:p>
        </w:tc>
      </w:tr>
      <w:tr>
        <w:tc>
          <w:tcPr/>
          <w:p>
            <w:pPr>
              <w:pStyle w:val="Compact"/>
              <w:jc w:val="left"/>
            </w:pPr>
            <w:r>
              <w:t xml:space="preserve">Data flow</w:t>
            </w:r>
          </w:p>
        </w:tc>
        <w:tc>
          <w:tcPr/>
          <w:p>
            <w:pPr>
              <w:pStyle w:val="Compact"/>
              <w:jc w:val="left"/>
            </w:pPr>
            <w:r>
              <w:t xml:space="preserve">Arrows missing or wrong</w:t>
            </w:r>
          </w:p>
        </w:tc>
        <w:tc>
          <w:tcPr/>
          <w:p>
            <w:pPr>
              <w:pStyle w:val="Compact"/>
              <w:jc w:val="left"/>
            </w:pPr>
            <w:r>
              <w:t xml:space="preserve">Correct direction</w:t>
            </w:r>
          </w:p>
        </w:tc>
        <w:tc>
          <w:tcPr/>
          <w:p>
            <w:pPr>
              <w:pStyle w:val="Compact"/>
              <w:jc w:val="left"/>
            </w:pPr>
            <w:r>
              <w:t xml:space="preserve">Read and write paths distinguished</w:t>
            </w:r>
          </w:p>
        </w:tc>
      </w:tr>
      <w:tr>
        <w:tc>
          <w:tcPr/>
          <w:p>
            <w:pPr>
              <w:pStyle w:val="Compact"/>
              <w:jc w:val="left"/>
            </w:pPr>
            <w:r>
              <w:t xml:space="preserve">Sync vs async</w:t>
            </w:r>
          </w:p>
        </w:tc>
        <w:tc>
          <w:tcPr/>
          <w:p>
            <w:pPr>
              <w:pStyle w:val="Compact"/>
              <w:jc w:val="left"/>
            </w:pPr>
            <w:r>
              <w:t xml:space="preserve">Not marked</w:t>
            </w:r>
          </w:p>
        </w:tc>
        <w:tc>
          <w:tcPr/>
          <w:p>
            <w:pPr>
              <w:pStyle w:val="Compact"/>
              <w:jc w:val="left"/>
            </w:pPr>
            <w:r>
              <w:t xml:space="preserve">Partly marked</w:t>
            </w:r>
          </w:p>
        </w:tc>
        <w:tc>
          <w:tcPr/>
          <w:p>
            <w:pPr>
              <w:pStyle w:val="Compact"/>
              <w:jc w:val="left"/>
            </w:pPr>
            <w:r>
              <w:t xml:space="preserve">Every edge correct</w:t>
            </w:r>
          </w:p>
        </w:tc>
      </w:tr>
      <w:tr>
        <w:tc>
          <w:tcPr/>
          <w:p>
            <w:pPr>
              <w:pStyle w:val="Compact"/>
              <w:jc w:val="left"/>
            </w:pPr>
            <w:r>
              <w:t xml:space="preserve">Protocols</w:t>
            </w:r>
          </w:p>
        </w:tc>
        <w:tc>
          <w:tcPr/>
          <w:p>
            <w:pPr>
              <w:pStyle w:val="Compact"/>
              <w:jc w:val="left"/>
            </w:pPr>
            <w:r>
              <w:t xml:space="preserve">None</w:t>
            </w:r>
          </w:p>
        </w:tc>
        <w:tc>
          <w:tcPr/>
          <w:p>
            <w:pPr>
              <w:pStyle w:val="Compact"/>
              <w:jc w:val="left"/>
            </w:pPr>
            <w:r>
              <w:t xml:space="preserve">Some</w:t>
            </w:r>
          </w:p>
        </w:tc>
        <w:tc>
          <w:tcPr/>
          <w:p>
            <w:pPr>
              <w:pStyle w:val="Compact"/>
              <w:jc w:val="left"/>
            </w:pPr>
            <w:r>
              <w:t xml:space="preserve">Every edge labeled</w:t>
            </w:r>
          </w:p>
        </w:tc>
      </w:tr>
      <w:tr>
        <w:tc>
          <w:tcPr/>
          <w:p>
            <w:pPr>
              <w:pStyle w:val="Compact"/>
              <w:jc w:val="left"/>
            </w:pPr>
            <w:r>
              <w:t xml:space="preserve">Storage boundaries</w:t>
            </w:r>
          </w:p>
        </w:tc>
        <w:tc>
          <w:tcPr/>
          <w:p>
            <w:pPr>
              <w:pStyle w:val="Compact"/>
              <w:jc w:val="left"/>
            </w:pPr>
            <w:r>
              <w:t xml:space="preserve">Unclear where state lives</w:t>
            </w:r>
          </w:p>
        </w:tc>
        <w:tc>
          <w:tcPr/>
          <w:p>
            <w:pPr>
              <w:pStyle w:val="Compact"/>
              <w:jc w:val="left"/>
            </w:pPr>
            <w:r>
              <w:t xml:space="preserve">Stores shown</w:t>
            </w:r>
          </w:p>
        </w:tc>
        <w:tc>
          <w:tcPr/>
          <w:p>
            <w:pPr>
              <w:pStyle w:val="Compact"/>
              <w:jc w:val="left"/>
            </w:pPr>
            <w:r>
              <w:t xml:space="preserve">Durability of each store stated</w:t>
            </w:r>
          </w:p>
        </w:tc>
      </w:tr>
      <w:tr>
        <w:tc>
          <w:tcPr/>
          <w:p>
            <w:pPr>
              <w:pStyle w:val="Compact"/>
              <w:jc w:val="left"/>
            </w:pPr>
            <w:r>
              <w:t xml:space="preserve">Failure points</w:t>
            </w:r>
          </w:p>
        </w:tc>
        <w:tc>
          <w:tcPr/>
          <w:p>
            <w:pPr>
              <w:pStyle w:val="Compact"/>
              <w:jc w:val="left"/>
            </w:pPr>
            <w:r>
              <w:t xml:space="preserve">None marked</w:t>
            </w:r>
          </w:p>
        </w:tc>
        <w:tc>
          <w:tcPr/>
          <w:p>
            <w:pPr>
              <w:pStyle w:val="Compact"/>
              <w:jc w:val="left"/>
            </w:pPr>
            <w:r>
              <w:t xml:space="preserve">One marked</w:t>
            </w:r>
          </w:p>
        </w:tc>
        <w:tc>
          <w:tcPr/>
          <w:p>
            <w:pPr>
              <w:pStyle w:val="Compact"/>
              <w:jc w:val="left"/>
            </w:pPr>
            <w:r>
              <w:t xml:space="preserve">Each single point of failure plus its mitigation</w:t>
            </w:r>
          </w:p>
        </w:tc>
      </w:tr>
    </w:tbl>
    <w:p>
      <w:pPr>
        <w:pStyle w:val="BodyText"/>
      </w:pPr>
      <w:r>
        <w:t xml:space="preserve">A score of 10–12 on a figure means you can use that architecture fluently. Below 7 means you should go back to loop step 3 for the components you missed.</w:t>
      </w:r>
    </w:p>
    <w:p>
      <w:pPr>
        <w:pStyle w:val="CalloutTip"/>
      </w:pPr>
      <w:r>
        <w:rPr>
          <w:bCs/>
          <w:b/>
        </w:rPr>
        <w:t xml:space="preserve">INTERVIEW TIP</w:t>
      </w:r>
    </w:p>
    <w:p>
      <w:pPr>
        <w:pStyle w:val="CalloutTip"/>
      </w:pPr>
      <w:r>
        <w:rPr>
          <w:bCs/>
          <w:b/>
        </w:rPr>
        <w:t xml:space="preserve">Interview tip.</w:t>
      </w:r>
      <w:r>
        <w:t xml:space="preserve"> </w:t>
      </w:r>
      <w:r>
        <w:t xml:space="preserve">Interviewers do not score how pretty your diagram is. They notice whether you mark the read and write paths separately and whether you can point at the single points of failure without being asked. Those are the two highest-value rows of Table 3.7, and both can be trained.</w:t>
      </w:r>
    </w:p>
    <w:bookmarkEnd w:id="307"/>
    <w:bookmarkEnd w:id="308"/>
    <w:bookmarkStart w:id="311" w:name="building-simplified-implementations"/>
    <w:p>
      <w:pPr>
        <w:pStyle w:val="Heading2"/>
      </w:pPr>
      <w:r>
        <w:t xml:space="preserve">3.7 Building simplified implementations</w:t>
      </w:r>
    </w:p>
    <w:bookmarkStart w:id="309" w:name="why-build-at-all"/>
    <w:p>
      <w:pPr>
        <w:pStyle w:val="Heading3"/>
      </w:pPr>
      <w:r>
        <w:t xml:space="preserve">3.7.1 Why build at all</w:t>
      </w:r>
    </w:p>
    <w:p>
      <w:pPr>
        <w:pStyle w:val="FirstParagraph"/>
      </w:pPr>
      <w:r>
        <w:t xml:space="preserve">Feynman’s blackboard at the time of his death carried the line</w:t>
      </w:r>
      <w:r>
        <w:t xml:space="preserve"> </w:t>
      </w:r>
      <w:r>
        <w:t xml:space="preserve">“</w:t>
      </w:r>
      <w:r>
        <w:t xml:space="preserve">What I cannot create, I do not understand.</w:t>
      </w:r>
      <w:r>
        <w:t xml:space="preserve">”</w:t>
      </w:r>
      <w:r>
        <w:t xml:space="preserve"> </w:t>
      </w:r>
      <w:r>
        <w:t xml:space="preserve">Building a small version of a mechanism forces you to make every decision the prose glossed over: what happens on wrap-around, what a timeout returns, which component owns a piece of state. The consistent-hashing ring in §3.3 and the Leitner scheduler in §3.4.3 each surfaced a bug that reading would not have, a process-randomized</w:t>
      </w:r>
      <w:r>
        <w:t xml:space="preserve"> </w:t>
      </w:r>
      <w:r>
        <w:rPr>
          <w:rStyle w:val="VerbatimChar"/>
        </w:rPr>
        <w:t xml:space="preserve">hash()</w:t>
      </w:r>
      <w:r>
        <w:t xml:space="preserve"> </w:t>
      </w:r>
      <w:r>
        <w:t xml:space="preserve">and a shared default date.</w:t>
      </w:r>
    </w:p>
    <w:bookmarkEnd w:id="309"/>
    <w:bookmarkStart w:id="310" w:name="scoping-rules"/>
    <w:p>
      <w:pPr>
        <w:pStyle w:val="Heading3"/>
      </w:pPr>
      <w:r>
        <w:t xml:space="preserve">3.7.2 Scoping rules</w:t>
      </w:r>
    </w:p>
    <w:p>
      <w:pPr>
        <w:numPr>
          <w:ilvl w:val="0"/>
          <w:numId w:val="1076"/>
        </w:numPr>
        <w:pStyle w:val="Compact"/>
      </w:pPr>
      <w:r>
        <w:rPr>
          <w:bCs/>
          <w:b/>
        </w:rPr>
        <w:t xml:space="preserve">Keep the mechanism; fake the environment.</w:t>
      </w:r>
      <w:r>
        <w:t xml:space="preserve"> </w:t>
      </w:r>
      <w:r>
        <w:t xml:space="preserve">Simulate the network with function calls and the clock with a counter. Simulate disks with dictionaries.</w:t>
      </w:r>
    </w:p>
    <w:p>
      <w:pPr>
        <w:numPr>
          <w:ilvl w:val="0"/>
          <w:numId w:val="1076"/>
        </w:numPr>
        <w:pStyle w:val="Compact"/>
      </w:pPr>
      <w:r>
        <w:rPr>
          <w:bCs/>
          <w:b/>
        </w:rPr>
        <w:t xml:space="preserve">One file, under 300 lines.</w:t>
      </w:r>
      <w:r>
        <w:t xml:space="preserve"> </w:t>
      </w:r>
      <w:r>
        <w:t xml:space="preserve">If it grows past that, you are building a product, not a learning model.</w:t>
      </w:r>
    </w:p>
    <w:p>
      <w:pPr>
        <w:numPr>
          <w:ilvl w:val="0"/>
          <w:numId w:val="1076"/>
        </w:numPr>
        <w:pStyle w:val="Compact"/>
      </w:pPr>
      <w:r>
        <w:rPr>
          <w:bCs/>
          <w:b/>
        </w:rPr>
        <w:t xml:space="preserve">Build in a measurement.</w:t>
      </w:r>
      <w:r>
        <w:t xml:space="preserve"> </w:t>
      </w:r>
      <w:r>
        <w:t xml:space="preserve">Every simplified implementation should print a number that tests a claim from the chapter: keys moved, hit ratio, p99 latency, messages lost.</w:t>
      </w:r>
    </w:p>
    <w:p>
      <w:pPr>
        <w:numPr>
          <w:ilvl w:val="0"/>
          <w:numId w:val="1076"/>
        </w:numPr>
        <w:pStyle w:val="Compact"/>
      </w:pPr>
      <w:r>
        <w:rPr>
          <w:bCs/>
          <w:b/>
        </w:rPr>
        <w:t xml:space="preserve">Inject one failure.</w:t>
      </w:r>
      <w:r>
        <w:t xml:space="preserve"> </w:t>
      </w:r>
      <w:r>
        <w:t xml:space="preserve">Kill a node, drop a message or skew a clock, then check whether the behavior matches Step 7’s failure table.</w:t>
      </w:r>
    </w:p>
    <w:p>
      <w:pPr>
        <w:numPr>
          <w:ilvl w:val="0"/>
          <w:numId w:val="1076"/>
        </w:numPr>
        <w:pStyle w:val="Compact"/>
      </w:pPr>
      <w:r>
        <w:rPr>
          <w:bCs/>
          <w:b/>
        </w:rPr>
        <w:t xml:space="preserve">Compare with a real system afterwards.</w:t>
      </w:r>
      <w:r>
        <w:t xml:space="preserve"> </w:t>
      </w:r>
      <w:r>
        <w:t xml:space="preserve">Read the corresponding part of a real codebase or its documentation and list three things it does that yours does not. That list is your map to production concerns.</w:t>
      </w:r>
    </w:p>
    <w:p>
      <w:pPr>
        <w:pStyle w:val="FirstParagraph"/>
      </w:pPr>
      <w:r>
        <w:rPr>
          <w:bCs/>
          <w:b/>
        </w:rPr>
        <w:t xml:space="preserve">Table 3.8 — Simplified implementations that pay off, by chapter.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Build</w:t>
            </w:r>
          </w:p>
        </w:tc>
        <w:tc>
          <w:tcPr/>
          <w:p>
            <w:pPr>
              <w:pStyle w:val="Compact"/>
              <w:jc w:val="left"/>
            </w:pPr>
            <w:r>
              <w:t xml:space="preserve">Chapter</w:t>
            </w:r>
          </w:p>
        </w:tc>
        <w:tc>
          <w:tcPr/>
          <w:p>
            <w:pPr>
              <w:pStyle w:val="Compact"/>
              <w:jc w:val="left"/>
            </w:pPr>
            <w:r>
              <w:t xml:space="preserve">The measurement that proves it works</w:t>
            </w:r>
          </w:p>
        </w:tc>
      </w:tr>
      <w:tr>
        <w:tc>
          <w:tcPr/>
          <w:p>
            <w:pPr>
              <w:pStyle w:val="Compact"/>
              <w:jc w:val="left"/>
            </w:pPr>
            <w:r>
              <w:t xml:space="preserve">LRU cache with TTL</w:t>
            </w:r>
          </w:p>
        </w:tc>
        <w:tc>
          <w:tcPr/>
          <w:p>
            <w:pPr>
              <w:pStyle w:val="Compact"/>
              <w:jc w:val="left"/>
            </w:pPr>
            <w:r>
              <w:t xml:space="preserve">§20.8–§20.9, §38.10</w:t>
            </w:r>
          </w:p>
        </w:tc>
        <w:tc>
          <w:tcPr/>
          <w:p>
            <w:pPr>
              <w:pStyle w:val="Compact"/>
              <w:jc w:val="left"/>
            </w:pPr>
            <w:r>
              <w:t xml:space="preserve">Hit ratio against cache size on a Zipf-like key stream</w:t>
            </w:r>
          </w:p>
        </w:tc>
      </w:tr>
      <w:tr>
        <w:tc>
          <w:tcPr/>
          <w:p>
            <w:pPr>
              <w:pStyle w:val="Compact"/>
              <w:jc w:val="left"/>
            </w:pPr>
            <w:r>
              <w:t xml:space="preserve">Token-bucket rate limiter</w:t>
            </w:r>
          </w:p>
        </w:tc>
        <w:tc>
          <w:tcPr/>
          <w:p>
            <w:pPr>
              <w:pStyle w:val="Compact"/>
              <w:jc w:val="left"/>
            </w:pPr>
            <w:r>
              <w:t xml:space="preserve">§22.4</w:t>
            </w:r>
          </w:p>
        </w:tc>
        <w:tc>
          <w:tcPr/>
          <w:p>
            <w:pPr>
              <w:pStyle w:val="Compact"/>
              <w:jc w:val="left"/>
            </w:pPr>
            <w:r>
              <w:t xml:space="preserve">Accepted rate converges to the refill rate</w:t>
            </w:r>
          </w:p>
        </w:tc>
      </w:tr>
      <w:tr>
        <w:tc>
          <w:tcPr/>
          <w:p>
            <w:pPr>
              <w:pStyle w:val="Compact"/>
              <w:jc w:val="left"/>
            </w:pPr>
            <w:r>
              <w:t xml:space="preserve">Consistent-hash ring</w:t>
            </w:r>
          </w:p>
        </w:tc>
        <w:tc>
          <w:tcPr/>
          <w:p>
            <w:pPr>
              <w:pStyle w:val="Compact"/>
              <w:jc w:val="left"/>
            </w:pPr>
            <w:r>
              <w:t xml:space="preserve">§14.8</w:t>
            </w:r>
          </w:p>
        </w:tc>
        <w:tc>
          <w:tcPr/>
          <w:p>
            <w:pPr>
              <w:pStyle w:val="Compact"/>
              <w:jc w:val="left"/>
            </w:pPr>
            <w:r>
              <w:t xml:space="preserve">Keys moved ≈</w:t>
            </w:r>
            <w:r>
              <w:t xml:space="preserve"> </w:t>
            </w:r>
            <m:oMath>
              <m:r>
                <m:t>1</m:t>
              </m:r>
              <m:r>
                <m:rPr>
                  <m:sty m:val="p"/>
                </m:rPr>
                <m:t>/</m:t>
              </m:r>
              <m:d>
                <m:dPr>
                  <m:begChr m:val="("/>
                  <m:endChr m:val=")"/>
                  <m:sepChr m:val=""/>
                  <m:grow/>
                </m:dPr>
                <m:e>
                  <m:r>
                    <m:t>N</m:t>
                  </m:r>
                  <m:r>
                    <m:rPr>
                      <m:sty m:val="p"/>
                    </m:rPr>
                    <m:t>+</m:t>
                  </m:r>
                  <m:r>
                    <m:t>1</m:t>
                  </m:r>
                </m:e>
              </m:d>
            </m:oMath>
            <w:r>
              <w:t xml:space="preserve">; max/mean load against vnode count</w:t>
            </w:r>
          </w:p>
        </w:tc>
      </w:tr>
      <w:tr>
        <w:tc>
          <w:tcPr/>
          <w:p>
            <w:pPr>
              <w:pStyle w:val="Compact"/>
              <w:jc w:val="left"/>
            </w:pPr>
            <w:r>
              <w:t xml:space="preserve">Bloom filter</w:t>
            </w:r>
          </w:p>
        </w:tc>
        <w:tc>
          <w:tcPr/>
          <w:p>
            <w:pPr>
              <w:pStyle w:val="Compact"/>
              <w:jc w:val="left"/>
            </w:pPr>
            <w:r>
              <w:t xml:space="preserve">§17.4</w:t>
            </w:r>
          </w:p>
        </w:tc>
        <w:tc>
          <w:tcPr/>
          <w:p>
            <w:pPr>
              <w:pStyle w:val="Compact"/>
              <w:jc w:val="left"/>
            </w:pPr>
            <w:r>
              <w:t xml:space="preserve">Measured false-positive rate matches the formula</w:t>
            </w:r>
          </w:p>
        </w:tc>
      </w:tr>
      <w:tr>
        <w:tc>
          <w:tcPr/>
          <w:p>
            <w:pPr>
              <w:pStyle w:val="Compact"/>
              <w:jc w:val="left"/>
            </w:pPr>
            <w:r>
              <w:t xml:space="preserve">Append-only log with offsets</w:t>
            </w:r>
          </w:p>
        </w:tc>
        <w:tc>
          <w:tcPr/>
          <w:p>
            <w:pPr>
              <w:pStyle w:val="Compact"/>
              <w:jc w:val="left"/>
            </w:pPr>
            <w:r>
              <w:t xml:space="preserve">§31.3, §31.8</w:t>
            </w:r>
          </w:p>
        </w:tc>
        <w:tc>
          <w:tcPr/>
          <w:p>
            <w:pPr>
              <w:pStyle w:val="Compact"/>
              <w:jc w:val="left"/>
            </w:pPr>
            <w:r>
              <w:t xml:space="preserve">Consumer restarts from its committed offset</w:t>
            </w:r>
          </w:p>
        </w:tc>
      </w:tr>
      <w:tr>
        <w:tc>
          <w:tcPr/>
          <w:p>
            <w:pPr>
              <w:pStyle w:val="Compact"/>
              <w:jc w:val="left"/>
            </w:pPr>
            <w:r>
              <w:t xml:space="preserve">Leader election with leases</w:t>
            </w:r>
          </w:p>
        </w:tc>
        <w:tc>
          <w:tcPr/>
          <w:p>
            <w:pPr>
              <w:pStyle w:val="Compact"/>
              <w:jc w:val="left"/>
            </w:pPr>
            <w:r>
              <w:t xml:space="preserve">§26.5, §26.11</w:t>
            </w:r>
          </w:p>
        </w:tc>
        <w:tc>
          <w:tcPr/>
          <w:p>
            <w:pPr>
              <w:pStyle w:val="Compact"/>
              <w:jc w:val="left"/>
            </w:pPr>
            <w:r>
              <w:t xml:space="preserve">At most one leader per lease epoch under clock skew</w:t>
            </w:r>
          </w:p>
        </w:tc>
      </w:tr>
      <w:tr>
        <w:tc>
          <w:tcPr/>
          <w:p>
            <w:pPr>
              <w:pStyle w:val="Compact"/>
              <w:jc w:val="left"/>
            </w:pPr>
            <w:r>
              <w:t xml:space="preserve">Raft log replication (simulated network)</w:t>
            </w:r>
          </w:p>
        </w:tc>
        <w:tc>
          <w:tcPr/>
          <w:p>
            <w:pPr>
              <w:pStyle w:val="Compact"/>
              <w:jc w:val="left"/>
            </w:pPr>
            <w:r>
              <w:t xml:space="preserve">§26.7</w:t>
            </w:r>
          </w:p>
        </w:tc>
        <w:tc>
          <w:tcPr/>
          <w:p>
            <w:pPr>
              <w:pStyle w:val="Compact"/>
              <w:jc w:val="left"/>
            </w:pPr>
            <w:r>
              <w:t xml:space="preserve">No committed entry lost when a minority of nodes crash</w:t>
            </w:r>
          </w:p>
        </w:tc>
      </w:tr>
      <w:tr>
        <w:tc>
          <w:tcPr/>
          <w:p>
            <w:pPr>
              <w:pStyle w:val="Compact"/>
              <w:jc w:val="left"/>
            </w:pPr>
            <w:r>
              <w:t xml:space="preserve">Retry with exponential backoff and jitter</w:t>
            </w:r>
          </w:p>
        </w:tc>
        <w:tc>
          <w:tcPr/>
          <w:p>
            <w:pPr>
              <w:pStyle w:val="Compact"/>
              <w:jc w:val="left"/>
            </w:pPr>
            <w:r>
              <w:t xml:space="preserve">§22.12</w:t>
            </w:r>
          </w:p>
        </w:tc>
        <w:tc>
          <w:tcPr/>
          <w:p>
            <w:pPr>
              <w:pStyle w:val="Compact"/>
              <w:jc w:val="left"/>
            </w:pPr>
            <w:r>
              <w:t xml:space="preserve">Load on a recovering server, with and without jitter</w:t>
            </w:r>
          </w:p>
        </w:tc>
      </w:tr>
    </w:tbl>
    <w:p>
      <w:pPr>
        <w:pStyle w:val="BodyText"/>
      </w:pPr>
      <w:r>
        <w:t xml:space="preserve">Chapter 93 turns several of these into full projects with deployment, testing and monitoring. The simplified versions here are the step before that.</w:t>
      </w:r>
    </w:p>
    <w:p>
      <w:pPr>
        <w:pStyle w:val="CalloutWarning"/>
      </w:pPr>
      <w:r>
        <w:rPr>
          <w:bCs/>
          <w:b/>
        </w:rPr>
        <w:t xml:space="preserve">WARNING / TRADE-OFF</w:t>
      </w:r>
    </w:p>
    <w:p>
      <w:pPr>
        <w:pStyle w:val="CalloutWarning"/>
      </w:pPr>
      <w:r>
        <w:rPr>
          <w:bCs/>
          <w:b/>
        </w:rPr>
        <w:t xml:space="preserve">Warning — The toy-to-production gap.</w:t>
      </w:r>
      <w:r>
        <w:t xml:space="preserve"> </w:t>
      </w:r>
      <w:r>
        <w:t xml:space="preserve">A 100-line Raft simulation that passes your tests is not a correct Raft. Consensus implementations fail in rare interleavings of events that small tests seldom reach, which is why Jepsen-style testing exists (§25.11). Treat your build as a model of the mechanism, never as evidence that the real problem is easy.</w:t>
      </w:r>
    </w:p>
    <w:bookmarkEnd w:id="310"/>
    <w:bookmarkEnd w:id="311"/>
    <w:bookmarkStart w:id="315" w:name="beginner-methodology-a-12-month-path"/>
    <w:p>
      <w:pPr>
        <w:pStyle w:val="Heading2"/>
      </w:pPr>
      <w:r>
        <w:t xml:space="preserve">3.8 Beginner methodology: a 12-month path</w:t>
      </w:r>
    </w:p>
    <w:p>
      <w:pPr>
        <w:pStyle w:val="FirstParagraph"/>
      </w:pPr>
      <w:r>
        <w:t xml:space="preserve">This path is for readers starting at Level 1: you can program, but you have not designed distributed systems. It assumes 8–10 hours a week. That is enough for about four full concept loops a month plus lighter reading. The target is</w:t>
      </w:r>
      <w:r>
        <w:t xml:space="preserve"> </w:t>
      </w:r>
      <w:r>
        <w:rPr>
          <w:bCs/>
          <w:b/>
        </w:rPr>
        <w:t xml:space="preserve">Level 2 by month 6 and Level 3 on core Book I material by month 12</w:t>
      </w:r>
      <w:r>
        <w:t xml:space="preserve">. Levels 4 and 5 (senior/staff, principal) depend on production experience that no reading plan can replace. Part IX and §3.9 are where you go next.</w:t>
      </w:r>
    </w:p>
    <w:p>
      <w:pPr>
        <w:pStyle w:val="BodyText"/>
      </w:pPr>
      <w:r>
        <w:rPr>
          <w:bCs/>
          <w:b/>
        </w:rPr>
        <w:t xml:space="preserve">Figure 3.6 — The 12-month beginner path (months shown as M01–M12).</w:t>
      </w:r>
    </w:p>
    <w:p>
      <w:pPr>
        <w:pStyle w:val="BodyText"/>
      </w:pPr>
      <w:r>
        <w:drawing>
          <wp:inline>
            <wp:extent cx="5334000" cy="1478280"/>
            <wp:effectExtent b="0" l="0" r="0" t="0"/>
            <wp:docPr descr="" title="" id="313" name="Picture"/>
            <a:graphic>
              <a:graphicData uri="http://schemas.openxmlformats.org/drawingml/2006/picture">
                <pic:pic>
                  <pic:nvPicPr>
                    <pic:cNvPr descr="/home/user/System-Design/build/.cache/diagrams/dc24fbccacb8.png" id="314" name="Picture"/>
                    <pic:cNvPicPr>
                      <a:picLocks noChangeArrowheads="1" noChangeAspect="1"/>
                    </pic:cNvPicPr>
                  </pic:nvPicPr>
                  <pic:blipFill>
                    <a:blip r:embed="rId312"/>
                    <a:stretch>
                      <a:fillRect/>
                    </a:stretch>
                  </pic:blipFill>
                  <pic:spPr bwMode="auto">
                    <a:xfrm>
                      <a:off x="0" y="0"/>
                      <a:ext cx="5334000" cy="1478280"/>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Each bar is one month of study, and bars run one after another. The</w:t>
      </w:r>
      <w:r>
        <w:t xml:space="preserve"> </w:t>
      </w:r>
      <w:r>
        <w:rPr>
          <w:rStyle w:val="VerbatimChar"/>
        </w:rPr>
        <w:t xml:space="preserve">after</w:t>
      </w:r>
      <w:r>
        <w:t xml:space="preserve"> </w:t>
      </w:r>
      <w:r>
        <w:t xml:space="preserve">dependencies mean that each block assumes you have finished the one before it. The calendar dates are placeholders, so read the axis as month numbers. The three sections match the proficiency levels you should reach by the end of each phase. The fourth section, Integration, combines everything rather than adding new material. The common failure is slipping in months 7–8. Distributed systems is the steepest part of the path, so plan for those two months to take three. There are two ways to scale the plan. At 15+ hours a week, the whole path fits in about eight months. An ML-track reader can swap month 9 for Chapters 57–60 and month 10 for Chapters 66 and 72–75.</w:t>
      </w:r>
    </w:p>
    <w:p>
      <w:pPr>
        <w:pStyle w:val="BodyText"/>
      </w:pPr>
      <w:r>
        <w:rPr>
          <w:bCs/>
          <w:b/>
        </w:rPr>
        <w:t xml:space="preserve">Table 3.9 — Month-by-month plan with loop targets and milestones.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Month</w:t>
            </w:r>
          </w:p>
        </w:tc>
        <w:tc>
          <w:tcPr/>
          <w:p>
            <w:pPr>
              <w:pStyle w:val="Compact"/>
              <w:jc w:val="left"/>
            </w:pPr>
            <w:r>
              <w:t xml:space="preserve">Chapters</w:t>
            </w:r>
          </w:p>
        </w:tc>
        <w:tc>
          <w:tcPr/>
          <w:p>
            <w:pPr>
              <w:pStyle w:val="Compact"/>
              <w:jc w:val="left"/>
            </w:pPr>
            <w:r>
              <w:t xml:space="preserve">Full-loop concepts (examples)</w:t>
            </w:r>
          </w:p>
        </w:tc>
        <w:tc>
          <w:tcPr/>
          <w:p>
            <w:pPr>
              <w:pStyle w:val="Compact"/>
              <w:jc w:val="left"/>
            </w:pPr>
            <w:r>
              <w:t xml:space="preserve">Milestone artifact</w:t>
            </w:r>
          </w:p>
        </w:tc>
      </w:tr>
      <w:tr>
        <w:tc>
          <w:tcPr/>
          <w:p>
            <w:pPr>
              <w:pStyle w:val="Compact"/>
              <w:jc w:val="left"/>
            </w:pPr>
            <w:r>
              <w:t xml:space="preserve">1</w:t>
            </w:r>
          </w:p>
        </w:tc>
        <w:tc>
          <w:tcPr/>
          <w:p>
            <w:pPr>
              <w:pStyle w:val="Compact"/>
              <w:jc w:val="left"/>
            </w:pPr>
            <w:r>
              <w:t xml:space="preserve">1–4</w:t>
            </w:r>
          </w:p>
        </w:tc>
        <w:tc>
          <w:tcPr/>
          <w:p>
            <w:pPr>
              <w:pStyle w:val="Compact"/>
              <w:jc w:val="left"/>
            </w:pPr>
            <w:r>
              <w:t xml:space="preserve">Latency vs throughput; Little’s Law; availability arithmetic</w:t>
            </w:r>
          </w:p>
        </w:tc>
        <w:tc>
          <w:tcPr/>
          <w:p>
            <w:pPr>
              <w:pStyle w:val="Compact"/>
              <w:jc w:val="left"/>
            </w:pPr>
            <w:r>
              <w:t xml:space="preserve">Flashcard deck started; first design journal entry</w:t>
            </w:r>
          </w:p>
        </w:tc>
      </w:tr>
      <w:tr>
        <w:tc>
          <w:tcPr/>
          <w:p>
            <w:pPr>
              <w:pStyle w:val="Compact"/>
              <w:jc w:val="left"/>
            </w:pPr>
            <w:r>
              <w:t xml:space="preserve">2</w:t>
            </w:r>
          </w:p>
        </w:tc>
        <w:tc>
          <w:tcPr/>
          <w:p>
            <w:pPr>
              <w:pStyle w:val="Compact"/>
              <w:jc w:val="left"/>
            </w:pPr>
            <w:r>
              <w:t xml:space="preserve">5–7</w:t>
            </w:r>
          </w:p>
        </w:tc>
        <w:tc>
          <w:tcPr/>
          <w:p>
            <w:pPr>
              <w:pStyle w:val="Compact"/>
              <w:jc w:val="left"/>
            </w:pPr>
            <w:r>
              <w:t xml:space="preserve">Memory hierarchy; event loops; TCP handshake; DNS</w:t>
            </w:r>
          </w:p>
        </w:tc>
        <w:tc>
          <w:tcPr/>
          <w:p>
            <w:pPr>
              <w:pStyle w:val="Compact"/>
              <w:jc w:val="left"/>
            </w:pPr>
            <w:r>
              <w:t xml:space="preserve">Request lifecycle drawn from memory (§8.5 preview)</w:t>
            </w:r>
          </w:p>
        </w:tc>
      </w:tr>
      <w:tr>
        <w:tc>
          <w:tcPr/>
          <w:p>
            <w:pPr>
              <w:pStyle w:val="Compact"/>
              <w:jc w:val="left"/>
            </w:pPr>
            <w:r>
              <w:t xml:space="preserve">3</w:t>
            </w:r>
          </w:p>
        </w:tc>
        <w:tc>
          <w:tcPr/>
          <w:p>
            <w:pPr>
              <w:pStyle w:val="Compact"/>
              <w:jc w:val="left"/>
            </w:pPr>
            <w:r>
              <w:t xml:space="preserve">8–10</w:t>
            </w:r>
          </w:p>
        </w:tc>
        <w:tc>
          <w:tcPr/>
          <w:p>
            <w:pPr>
              <w:pStyle w:val="Compact"/>
              <w:jc w:val="left"/>
            </w:pPr>
            <w:r>
              <w:t xml:space="preserve">REST design; OAuth 2.0 flow; TLS; threat model</w:t>
            </w:r>
          </w:p>
        </w:tc>
        <w:tc>
          <w:tcPr/>
          <w:p>
            <w:pPr>
              <w:pStyle w:val="Compact"/>
              <w:jc w:val="left"/>
            </w:pPr>
            <w:r>
              <w:t xml:space="preserve">API spec for a URL shortener (§52.1)</w:t>
            </w:r>
          </w:p>
        </w:tc>
      </w:tr>
      <w:tr>
        <w:tc>
          <w:tcPr/>
          <w:p>
            <w:pPr>
              <w:pStyle w:val="Compact"/>
              <w:jc w:val="left"/>
            </w:pPr>
            <w:r>
              <w:t xml:space="preserve">4</w:t>
            </w:r>
          </w:p>
        </w:tc>
        <w:tc>
          <w:tcPr/>
          <w:p>
            <w:pPr>
              <w:pStyle w:val="Compact"/>
              <w:jc w:val="left"/>
            </w:pPr>
            <w:r>
              <w:t xml:space="preserve">11–12, 17</w:t>
            </w:r>
          </w:p>
        </w:tc>
        <w:tc>
          <w:tcPr/>
          <w:p>
            <w:pPr>
              <w:pStyle w:val="Compact"/>
              <w:jc w:val="left"/>
            </w:pPr>
            <w:r>
              <w:t xml:space="preserve">B+ tree index; isolation levels; Bloom filter</w:t>
            </w:r>
          </w:p>
        </w:tc>
        <w:tc>
          <w:tcPr/>
          <w:p>
            <w:pPr>
              <w:pStyle w:val="Compact"/>
              <w:jc w:val="left"/>
            </w:pPr>
            <w:r>
              <w:t xml:space="preserve">Bloom filter build (Table 3.8)</w:t>
            </w:r>
          </w:p>
        </w:tc>
      </w:tr>
      <w:tr>
        <w:tc>
          <w:tcPr/>
          <w:p>
            <w:pPr>
              <w:pStyle w:val="Compact"/>
              <w:jc w:val="left"/>
            </w:pPr>
            <w:r>
              <w:t xml:space="preserve">5</w:t>
            </w:r>
          </w:p>
        </w:tc>
        <w:tc>
          <w:tcPr/>
          <w:p>
            <w:pPr>
              <w:pStyle w:val="Compact"/>
              <w:jc w:val="left"/>
            </w:pPr>
            <w:r>
              <w:t xml:space="preserve">14–15, 18–19</w:t>
            </w:r>
          </w:p>
        </w:tc>
        <w:tc>
          <w:tcPr/>
          <w:p>
            <w:pPr>
              <w:pStyle w:val="Compact"/>
              <w:jc w:val="left"/>
            </w:pPr>
            <w:r>
              <w:t xml:space="preserve">Replication lag; consistent hashing; L4 vs L7 balancing</w:t>
            </w:r>
          </w:p>
        </w:tc>
        <w:tc>
          <w:tcPr/>
          <w:p>
            <w:pPr>
              <w:pStyle w:val="Compact"/>
              <w:jc w:val="left"/>
            </w:pPr>
            <w:r>
              <w:t xml:space="preserve">Hash ring build (§3.3)</w:t>
            </w:r>
          </w:p>
        </w:tc>
      </w:tr>
      <w:tr>
        <w:tc>
          <w:tcPr/>
          <w:p>
            <w:pPr>
              <w:pStyle w:val="Compact"/>
              <w:jc w:val="left"/>
            </w:pPr>
            <w:r>
              <w:t xml:space="preserve">6</w:t>
            </w:r>
          </w:p>
        </w:tc>
        <w:tc>
          <w:tcPr/>
          <w:p>
            <w:pPr>
              <w:pStyle w:val="Compact"/>
              <w:jc w:val="left"/>
            </w:pPr>
            <w:r>
              <w:t xml:space="preserve">20–22; 52.1–52.3</w:t>
            </w:r>
          </w:p>
        </w:tc>
        <w:tc>
          <w:tcPr/>
          <w:p>
            <w:pPr>
              <w:pStyle w:val="Compact"/>
              <w:jc w:val="left"/>
            </w:pPr>
            <w:r>
              <w:t xml:space="preserve">Cache-aside; cache stampede; token bucket</w:t>
            </w:r>
          </w:p>
        </w:tc>
        <w:tc>
          <w:tcPr/>
          <w:p>
            <w:pPr>
              <w:pStyle w:val="Compact"/>
              <w:jc w:val="left"/>
            </w:pPr>
            <w:r>
              <w:rPr>
                <w:bCs/>
                <w:b/>
              </w:rPr>
              <w:t xml:space="preserve">L2 checkpoint</w:t>
            </w:r>
            <w:r>
              <w:t xml:space="preserve">: rate limiter design (§52.3), timed at 45 min</w:t>
            </w:r>
          </w:p>
        </w:tc>
      </w:tr>
      <w:tr>
        <w:tc>
          <w:tcPr/>
          <w:p>
            <w:pPr>
              <w:pStyle w:val="Compact"/>
              <w:jc w:val="left"/>
            </w:pPr>
            <w:r>
              <w:t xml:space="preserve">7</w:t>
            </w:r>
          </w:p>
        </w:tc>
        <w:tc>
          <w:tcPr/>
          <w:p>
            <w:pPr>
              <w:pStyle w:val="Compact"/>
              <w:jc w:val="left"/>
            </w:pPr>
            <w:r>
              <w:t xml:space="preserve">24–27</w:t>
            </w:r>
          </w:p>
        </w:tc>
        <w:tc>
          <w:tcPr/>
          <w:p>
            <w:pPr>
              <w:pStyle w:val="Compact"/>
              <w:jc w:val="left"/>
            </w:pPr>
            <w:r>
              <w:t xml:space="preserve">Lamport clocks; linearizability; Raft; quorums</w:t>
            </w:r>
          </w:p>
        </w:tc>
        <w:tc>
          <w:tcPr/>
          <w:p>
            <w:pPr>
              <w:pStyle w:val="Compact"/>
              <w:jc w:val="left"/>
            </w:pPr>
            <w:r>
              <w:t xml:space="preserve">Raft election simulation</w:t>
            </w:r>
          </w:p>
        </w:tc>
      </w:tr>
      <w:tr>
        <w:tc>
          <w:tcPr/>
          <w:p>
            <w:pPr>
              <w:pStyle w:val="Compact"/>
              <w:jc w:val="left"/>
            </w:pPr>
            <w:r>
              <w:t xml:space="preserve">8</w:t>
            </w:r>
          </w:p>
        </w:tc>
        <w:tc>
          <w:tcPr/>
          <w:p>
            <w:pPr>
              <w:pStyle w:val="Compact"/>
              <w:jc w:val="left"/>
            </w:pPr>
            <w:r>
              <w:t xml:space="preserve">29–32</w:t>
            </w:r>
          </w:p>
        </w:tc>
        <w:tc>
          <w:tcPr/>
          <w:p>
            <w:pPr>
              <w:pStyle w:val="Compact"/>
              <w:jc w:val="left"/>
            </w:pPr>
            <w:r>
              <w:t xml:space="preserve">Partitioned log; consumer groups; outbox; saga</w:t>
            </w:r>
          </w:p>
        </w:tc>
        <w:tc>
          <w:tcPr/>
          <w:p>
            <w:pPr>
              <w:pStyle w:val="Compact"/>
              <w:jc w:val="left"/>
            </w:pPr>
            <w:r>
              <w:t xml:space="preserve">Log with offsets build</w:t>
            </w:r>
          </w:p>
        </w:tc>
      </w:tr>
      <w:tr>
        <w:tc>
          <w:tcPr/>
          <w:p>
            <w:pPr>
              <w:pStyle w:val="Compact"/>
              <w:jc w:val="left"/>
            </w:pPr>
            <w:r>
              <w:t xml:space="preserve">9</w:t>
            </w:r>
          </w:p>
        </w:tc>
        <w:tc>
          <w:tcPr/>
          <w:p>
            <w:pPr>
              <w:pStyle w:val="Compact"/>
              <w:jc w:val="left"/>
            </w:pPr>
            <w:r>
              <w:t xml:space="preserve">33–38</w:t>
            </w:r>
          </w:p>
        </w:tc>
        <w:tc>
          <w:tcPr/>
          <w:p>
            <w:pPr>
              <w:pStyle w:val="Compact"/>
              <w:jc w:val="left"/>
            </w:pPr>
            <w:r>
              <w:t xml:space="preserve">Modular monolith; bounded contexts; LLD of an LRU cache</w:t>
            </w:r>
          </w:p>
        </w:tc>
        <w:tc>
          <w:tcPr/>
          <w:p>
            <w:pPr>
              <w:pStyle w:val="Compact"/>
              <w:jc w:val="left"/>
            </w:pPr>
            <w:r>
              <w:t xml:space="preserve">LLD exercise from §38.10</w:t>
            </w:r>
          </w:p>
        </w:tc>
      </w:tr>
      <w:tr>
        <w:tc>
          <w:tcPr/>
          <w:p>
            <w:pPr>
              <w:pStyle w:val="Compact"/>
              <w:jc w:val="left"/>
            </w:pPr>
            <w:r>
              <w:t xml:space="preserve">10</w:t>
            </w:r>
          </w:p>
        </w:tc>
        <w:tc>
          <w:tcPr/>
          <w:p>
            <w:pPr>
              <w:pStyle w:val="Compact"/>
              <w:jc w:val="left"/>
            </w:pPr>
            <w:r>
              <w:t xml:space="preserve">39–43</w:t>
            </w:r>
          </w:p>
        </w:tc>
        <w:tc>
          <w:tcPr/>
          <w:p>
            <w:pPr>
              <w:pStyle w:val="Compact"/>
              <w:jc w:val="left"/>
            </w:pPr>
            <w:r>
              <w:t xml:space="preserve">SLOs and error budgets; tracing; canary releases</w:t>
            </w:r>
          </w:p>
        </w:tc>
        <w:tc>
          <w:tcPr/>
          <w:p>
            <w:pPr>
              <w:pStyle w:val="Compact"/>
              <w:jc w:val="left"/>
            </w:pPr>
            <w:r>
              <w:t xml:space="preserve">One postmortem study (§3.9.3)</w:t>
            </w:r>
          </w:p>
        </w:tc>
      </w:tr>
      <w:tr>
        <w:tc>
          <w:tcPr/>
          <w:p>
            <w:pPr>
              <w:pStyle w:val="Compact"/>
              <w:jc w:val="left"/>
            </w:pPr>
            <w:r>
              <w:t xml:space="preserve">11</w:t>
            </w:r>
          </w:p>
        </w:tc>
        <w:tc>
          <w:tcPr/>
          <w:p>
            <w:pPr>
              <w:pStyle w:val="Compact"/>
              <w:jc w:val="left"/>
            </w:pPr>
            <w:r>
              <w:t xml:space="preserve">52–56; 93.1–93.2</w:t>
            </w:r>
          </w:p>
        </w:tc>
        <w:tc>
          <w:tcPr/>
          <w:p>
            <w:pPr>
              <w:pStyle w:val="Compact"/>
              <w:jc w:val="left"/>
            </w:pPr>
            <w:r>
              <w:t xml:space="preserve">Five case studies through all 16 template sections</w:t>
            </w:r>
          </w:p>
        </w:tc>
        <w:tc>
          <w:tcPr/>
          <w:p>
            <w:pPr>
              <w:pStyle w:val="Compact"/>
              <w:jc w:val="left"/>
            </w:pPr>
            <w:r>
              <w:t xml:space="preserve">One beginner project from Ch 93 deployed</w:t>
            </w:r>
          </w:p>
        </w:tc>
      </w:tr>
      <w:tr>
        <w:tc>
          <w:tcPr/>
          <w:p>
            <w:pPr>
              <w:pStyle w:val="Compact"/>
              <w:jc w:val="left"/>
            </w:pPr>
            <w:r>
              <w:t xml:space="preserve">12</w:t>
            </w:r>
          </w:p>
        </w:tc>
        <w:tc>
          <w:tcPr/>
          <w:p>
            <w:pPr>
              <w:pStyle w:val="Compact"/>
              <w:jc w:val="left"/>
            </w:pPr>
            <w:r>
              <w:t xml:space="preserve">87–89, 91</w:t>
            </w:r>
          </w:p>
        </w:tc>
        <w:tc>
          <w:tcPr/>
          <w:p>
            <w:pPr>
              <w:pStyle w:val="Compact"/>
              <w:jc w:val="left"/>
            </w:pPr>
            <w:r>
              <w:t xml:space="preserve">Estimation drills; interview pacing</w:t>
            </w:r>
          </w:p>
        </w:tc>
        <w:tc>
          <w:tcPr/>
          <w:p>
            <w:pPr>
              <w:pStyle w:val="Compact"/>
              <w:jc w:val="left"/>
            </w:pPr>
            <w:r>
              <w:rPr>
                <w:bCs/>
                <w:b/>
              </w:rPr>
              <w:t xml:space="preserve">L3 checkpoint</w:t>
            </w:r>
            <w:r>
              <w:t xml:space="preserve">: three mock interviews scored with the Ch 88 rubric</w:t>
            </w:r>
          </w:p>
        </w:tc>
      </w:tr>
    </w:tbl>
    <w:p>
      <w:pPr>
        <w:pStyle w:val="BodyText"/>
      </w:pPr>
      <w:r>
        <w:t xml:space="preserve">Chapters 13, 16, 23 and 28 and all of Part IX are</w:t>
      </w:r>
      <w:r>
        <w:t xml:space="preserve"> </w:t>
      </w:r>
      <w:r>
        <w:rPr>
          <w:bCs/>
          <w:b/>
        </w:rPr>
        <w:t xml:space="preserve">deferred to year two</w:t>
      </w:r>
      <w:r>
        <w:t xml:space="preserve">. They are L3–L5 material that builds on everything above. Read their introductions when a case study points to them, but do not run full loops on them yet.</w:t>
      </w:r>
    </w:p>
    <w:p>
      <w:pPr>
        <w:pStyle w:val="CalloutRecommendation"/>
      </w:pPr>
      <w:r>
        <w:rPr>
          <w:bCs/>
          <w:b/>
        </w:rPr>
        <w:t xml:space="preserve">RECOMMENDATION</w:t>
      </w:r>
    </w:p>
    <w:p>
      <w:pPr>
        <w:pStyle w:val="CalloutRecommendation"/>
      </w:pPr>
      <w:r>
        <w:rPr>
          <w:bCs/>
          <w:b/>
        </w:rPr>
        <w:t xml:space="preserve">Recommendation — The weekly rhythm.</w:t>
      </w:r>
      <w:r>
        <w:t xml:space="preserve"> </w:t>
      </w:r>
      <w:r>
        <w:t xml:space="preserve">Use two weekday sessions of 2 hours for loop steps 1–7 on one concept, and one weekend session of 3 hours for steps 8–9. Do 15–20 minutes of flashcards on five days. Close the week with a 30-minute review: one drawing from memory of a concept from last month and one journal entry. This rhythm builds in spacing, interleaving and retrieval without any extra planning.</w:t>
      </w:r>
    </w:p>
    <w:bookmarkEnd w:id="315"/>
    <w:bookmarkStart w:id="323" w:name="X80e5ea38c017ea80f3076a23ed3f178a9bced38"/>
    <w:p>
      <w:pPr>
        <w:pStyle w:val="Heading2"/>
      </w:pPr>
      <w:r>
        <w:t xml:space="preserve">3.9 Advanced methodology for experienced engineers</w:t>
      </w:r>
    </w:p>
    <w:p>
      <w:pPr>
        <w:pStyle w:val="FirstParagraph"/>
      </w:pPr>
      <w:r>
        <w:t xml:space="preserve">If you already build production systems, you do not need a path from Chapter 1. You need to know</w:t>
      </w:r>
      <w:r>
        <w:t xml:space="preserve"> </w:t>
      </w:r>
      <w:r>
        <w:rPr>
          <w:bCs/>
          <w:b/>
        </w:rPr>
        <w:t xml:space="preserve">where your gaps are</w:t>
      </w:r>
      <w:r>
        <w:t xml:space="preserve">. Experience tends to be deep in the systems you have run and thin everywhere else. A payments engineer may know idempotency keys (§22.15) and sagas very well and know little about CDNs or GPU serving.</w:t>
      </w:r>
    </w:p>
    <w:bookmarkStart w:id="316" w:name="gap-analysis"/>
    <w:p>
      <w:pPr>
        <w:pStyle w:val="Heading3"/>
      </w:pPr>
      <w:r>
        <w:t xml:space="preserve">3.9.1 Gap analysis</w:t>
      </w:r>
    </w:p>
    <w:p>
      <w:pPr>
        <w:pStyle w:val="FirstParagraph"/>
      </w:pPr>
      <w:r>
        <w:t xml:space="preserve">Rate yourself from 0 to 4 on each of the book’s 19 parts, where 0 means</w:t>
      </w:r>
      <w:r>
        <w:t xml:space="preserve"> </w:t>
      </w:r>
      <w:r>
        <w:t xml:space="preserve">“</w:t>
      </w:r>
      <w:r>
        <w:t xml:space="preserve">cannot define the main terms</w:t>
      </w:r>
      <w:r>
        <w:t xml:space="preserve">”</w:t>
      </w:r>
      <w:r>
        <w:t xml:space="preserve"> </w:t>
      </w:r>
      <w:r>
        <w:t xml:space="preserve">and 4 means</w:t>
      </w:r>
      <w:r>
        <w:t xml:space="preserve"> </w:t>
      </w:r>
      <w:r>
        <w:t xml:space="preserve">“</w:t>
      </w:r>
      <w:r>
        <w:t xml:space="preserve">could teach it and have operated it in production</w:t>
      </w:r>
      <w:r>
        <w:t xml:space="preserve">”</w:t>
      </w:r>
      <w:r>
        <w:t xml:space="preserve">. Set a target for each part from your role or the job you want. Then rank the parts by weighted gap.</w:t>
      </w:r>
    </w:p>
    <w:p>
      <w:pPr>
        <w:pStyle w:val="CalloutFormula"/>
      </w:pPr>
      <w:r>
        <w:rPr>
          <w:bCs/>
          <w:b/>
        </w:rPr>
        <w:t xml:space="preserve">FORMULA</w:t>
      </w:r>
    </w:p>
    <w:p>
      <w:pPr>
        <w:pStyle w:val="CalloutFormula"/>
      </w:pPr>
      <w:r>
        <w:rPr>
          <w:bCs/>
          <w:b/>
        </w:rPr>
        <w:t xml:space="preserve">Gap priority</w:t>
      </w:r>
    </w:p>
    <w:p>
      <w:pPr>
        <w:pStyle w:val="CalloutFormula"/>
      </w:pPr>
      <m:oMathPara>
        <m:oMathParaPr>
          <m:jc m:val="center"/>
        </m:oMathParaPr>
        <m:oMath>
          <m:sSub>
            <m:e>
              <m:r>
                <m:t>P</m:t>
              </m:r>
            </m:e>
            <m:sub>
              <m:r>
                <m:t>i</m:t>
              </m:r>
            </m:sub>
          </m:sSub>
          <m:r>
            <m:rPr>
              <m:sty m:val="p"/>
            </m:rPr>
            <m:t>=</m:t>
          </m:r>
          <m:d>
            <m:dPr>
              <m:begChr m:val="("/>
              <m:endChr m:val=")"/>
              <m:sepChr m:val=""/>
              <m:grow/>
            </m:dPr>
            <m:e>
              <m:sSub>
                <m:e>
                  <m:r>
                    <m:t>T</m:t>
                  </m:r>
                </m:e>
                <m:sub>
                  <m:r>
                    <m:t>i</m:t>
                  </m:r>
                </m:sub>
              </m:sSub>
              <m:r>
                <m:rPr>
                  <m:sty m:val="p"/>
                </m:rPr>
                <m:t>−</m:t>
              </m:r>
              <m:sSub>
                <m:e>
                  <m:r>
                    <m:t>C</m:t>
                  </m:r>
                </m:e>
                <m:sub>
                  <m:r>
                    <m:t>i</m:t>
                  </m:r>
                </m:sub>
              </m:sSub>
            </m:e>
          </m:d>
          <m:r>
            <m:rPr>
              <m:sty m:val="p"/>
            </m:rPr>
            <m:t>×</m:t>
          </m:r>
          <m:sSub>
            <m:e>
              <m:r>
                <m:t>W</m:t>
              </m:r>
            </m:e>
            <m:sub>
              <m:r>
                <m:t>i</m:t>
              </m:r>
            </m:sub>
          </m:sSub>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P</m:t>
                  </m:r>
                </m:e>
                <m:sub>
                  <m:r>
                    <m:t>i</m:t>
                  </m:r>
                </m:sub>
              </m:sSub>
            </m:oMath>
          </w:p>
        </w:tc>
        <w:tc>
          <w:tcPr/>
          <w:p>
            <w:pPr>
              <w:pStyle w:val="Compact"/>
              <w:jc w:val="left"/>
            </w:pPr>
            <w:r>
              <w:t xml:space="preserve">Priority score for part</w:t>
            </w:r>
            <w:r>
              <w:t xml:space="preserve"> </w:t>
            </w:r>
            <m:oMath>
              <m:r>
                <m:t>i</m:t>
              </m:r>
            </m:oMath>
          </w:p>
        </w:tc>
        <w:tc>
          <w:tcPr/>
          <w:p>
            <w:pPr>
              <w:pStyle w:val="Compact"/>
              <w:jc w:val="left"/>
            </w:pPr>
            <w:r>
              <w:t xml:space="preserve">points (0–12)</w:t>
            </w:r>
          </w:p>
        </w:tc>
      </w:tr>
      <w:tr>
        <w:tc>
          <w:tcPr/>
          <w:p>
            <w:pPr>
              <w:pStyle w:val="Compact"/>
              <w:jc w:val="left"/>
            </w:pPr>
            <m:oMath>
              <m:sSub>
                <m:e>
                  <m:r>
                    <m:t>T</m:t>
                  </m:r>
                </m:e>
                <m:sub>
                  <m:r>
                    <m:t>i</m:t>
                  </m:r>
                </m:sub>
              </m:sSub>
            </m:oMath>
          </w:p>
        </w:tc>
        <w:tc>
          <w:tcPr/>
          <w:p>
            <w:pPr>
              <w:pStyle w:val="Compact"/>
              <w:jc w:val="left"/>
            </w:pPr>
            <w:r>
              <w:t xml:space="preserve">Target proficiency for part</w:t>
            </w:r>
            <w:r>
              <w:t xml:space="preserve"> </w:t>
            </w:r>
            <m:oMath>
              <m:r>
                <m:t>i</m:t>
              </m:r>
            </m:oMath>
          </w:p>
        </w:tc>
        <w:tc>
          <w:tcPr/>
          <w:p>
            <w:pPr>
              <w:pStyle w:val="Compact"/>
              <w:jc w:val="left"/>
            </w:pPr>
            <w:r>
              <w:t xml:space="preserve">0–4 scale</w:t>
            </w:r>
          </w:p>
        </w:tc>
      </w:tr>
      <w:tr>
        <w:tc>
          <w:tcPr/>
          <w:p>
            <w:pPr>
              <w:pStyle w:val="Compact"/>
              <w:jc w:val="left"/>
            </w:pPr>
            <m:oMath>
              <m:sSub>
                <m:e>
                  <m:r>
                    <m:t>C</m:t>
                  </m:r>
                </m:e>
                <m:sub>
                  <m:r>
                    <m:t>i</m:t>
                  </m:r>
                </m:sub>
              </m:sSub>
            </m:oMath>
          </w:p>
        </w:tc>
        <w:tc>
          <w:tcPr/>
          <w:p>
            <w:pPr>
              <w:pStyle w:val="Compact"/>
              <w:jc w:val="left"/>
            </w:pPr>
            <w:r>
              <w:t xml:space="preserve">Current self-rated proficiency (use 0 if</w:t>
            </w:r>
            <w:r>
              <w:t xml:space="preserve"> </w:t>
            </w:r>
            <m:oMath>
              <m:sSub>
                <m:e>
                  <m:r>
                    <m:t>C</m:t>
                  </m:r>
                </m:e>
                <m:sub>
                  <m:r>
                    <m:t>i</m:t>
                  </m:r>
                </m:sub>
              </m:sSub>
              <m:r>
                <m:rPr>
                  <m:sty m:val="p"/>
                </m:rPr>
                <m:t>&gt;</m:t>
              </m:r>
              <m:sSub>
                <m:e>
                  <m:r>
                    <m:t>T</m:t>
                  </m:r>
                </m:e>
                <m:sub>
                  <m:r>
                    <m:t>i</m:t>
                  </m:r>
                </m:sub>
              </m:sSub>
            </m:oMath>
            <w:r>
              <w:t xml:space="preserve"> </w:t>
            </w:r>
            <w:r>
              <w:t xml:space="preserve">would make</w:t>
            </w:r>
            <w:r>
              <w:t xml:space="preserve"> </w:t>
            </w:r>
            <m:oMath>
              <m:sSub>
                <m:e>
                  <m:r>
                    <m:t>P</m:t>
                  </m:r>
                </m:e>
                <m:sub>
                  <m:r>
                    <m:t>i</m:t>
                  </m:r>
                </m:sub>
              </m:sSub>
            </m:oMath>
            <w:r>
              <w:t xml:space="preserve"> </w:t>
            </w:r>
            <w:r>
              <w:t xml:space="preserve">negative)</w:t>
            </w:r>
          </w:p>
        </w:tc>
        <w:tc>
          <w:tcPr/>
          <w:p>
            <w:pPr>
              <w:pStyle w:val="Compact"/>
              <w:jc w:val="left"/>
            </w:pPr>
            <w:r>
              <w:t xml:space="preserve">0–4 scale</w:t>
            </w:r>
          </w:p>
        </w:tc>
      </w:tr>
      <w:tr>
        <w:tc>
          <w:tcPr/>
          <w:p>
            <w:pPr>
              <w:pStyle w:val="Compact"/>
              <w:jc w:val="left"/>
            </w:pPr>
            <m:oMath>
              <m:sSub>
                <m:e>
                  <m:r>
                    <m:t>W</m:t>
                  </m:r>
                </m:e>
                <m:sub>
                  <m:r>
                    <m:t>i</m:t>
                  </m:r>
                </m:sub>
              </m:sSub>
            </m:oMath>
          </w:p>
        </w:tc>
        <w:tc>
          <w:tcPr/>
          <w:p>
            <w:pPr>
              <w:pStyle w:val="Compact"/>
              <w:jc w:val="left"/>
            </w:pPr>
            <w:r>
              <w:t xml:space="preserve">Relevance weight: 1 = nice to have, 2 = useful, 3 = essential for role</w:t>
            </w:r>
          </w:p>
        </w:tc>
        <w:tc>
          <w:tcPr/>
          <w:p>
            <w:pPr>
              <w:pStyle w:val="Compact"/>
              <w:jc w:val="left"/>
            </w:pPr>
            <w:r>
              <w:t xml:space="preserve">dimensionless (1–3)</w:t>
            </w:r>
          </w:p>
        </w:tc>
      </w:tr>
    </w:tbl>
    <w:p>
      <w:pPr>
        <w:pStyle w:val="CalloutExample"/>
      </w:pPr>
      <w:r>
        <w:rPr>
          <w:bCs/>
          <w:b/>
        </w:rPr>
        <w:t xml:space="preserve">WORKED EXAMPLE</w:t>
      </w:r>
    </w:p>
    <w:p>
      <w:pPr>
        <w:pStyle w:val="CalloutExample"/>
      </w:pPr>
      <w:r>
        <w:rPr>
          <w:bCs/>
          <w:b/>
        </w:rPr>
        <w:t xml:space="preserve">Worked example — A backend engineer moving to an infrastructure role.</w:t>
      </w:r>
    </w:p>
    <w:p>
      <w:pPr>
        <w:pStyle w:val="CalloutExample"/>
      </w:pPr>
      <w:r>
        <w:rPr>
          <w:bCs/>
          <w:b/>
        </w:rPr>
        <w:t xml:space="preserve">Table 3.10 — Gap-analysis scores for one engineer.</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Part</w:t>
            </w:r>
          </w:p>
        </w:tc>
        <w:tc>
          <w:tcPr/>
          <w:p>
            <w:pPr>
              <w:pStyle w:val="Compact"/>
              <w:jc w:val="left"/>
            </w:pPr>
            <m:oMath>
              <m:r>
                <m:t>T</m:t>
              </m:r>
            </m:oMath>
          </w:p>
        </w:tc>
        <w:tc>
          <w:tcPr/>
          <w:p>
            <w:pPr>
              <w:pStyle w:val="Compact"/>
              <w:jc w:val="left"/>
            </w:pPr>
            <m:oMath>
              <m:r>
                <m:t>C</m:t>
              </m:r>
            </m:oMath>
          </w:p>
        </w:tc>
        <w:tc>
          <w:tcPr/>
          <w:p>
            <w:pPr>
              <w:pStyle w:val="Compact"/>
              <w:jc w:val="left"/>
            </w:pPr>
            <m:oMath>
              <m:r>
                <m:t>W</m:t>
              </m:r>
            </m:oMath>
          </w:p>
        </w:tc>
        <w:tc>
          <w:tcPr/>
          <w:p>
            <w:pPr>
              <w:pStyle w:val="Compact"/>
              <w:jc w:val="left"/>
            </w:pPr>
            <m:oMath>
              <m:r>
                <m:t>P</m:t>
              </m:r>
              <m:r>
                <m:rPr>
                  <m:sty m:val="p"/>
                </m:rPr>
                <m:t>=</m:t>
              </m:r>
              <m:d>
                <m:dPr>
                  <m:begChr m:val="("/>
                  <m:endChr m:val=")"/>
                  <m:sepChr m:val=""/>
                  <m:grow/>
                </m:dPr>
                <m:e>
                  <m:r>
                    <m:t>T</m:t>
                  </m:r>
                  <m:r>
                    <m:rPr>
                      <m:sty m:val="p"/>
                    </m:rPr>
                    <m:t>−</m:t>
                  </m:r>
                  <m:r>
                    <m:t>C</m:t>
                  </m:r>
                </m:e>
              </m:d>
              <m:r>
                <m:rPr>
                  <m:sty m:val="p"/>
                </m:rPr>
                <m:t>×</m:t>
              </m:r>
              <m:r>
                <m:t>W</m:t>
              </m:r>
            </m:oMath>
          </w:p>
        </w:tc>
      </w:tr>
      <w:tr>
        <w:tc>
          <w:tcPr/>
          <w:p>
            <w:pPr>
              <w:pStyle w:val="Compact"/>
              <w:jc w:val="left"/>
            </w:pPr>
            <w:r>
              <w:t xml:space="preserve">V Distributed systems</w:t>
            </w:r>
          </w:p>
        </w:tc>
        <w:tc>
          <w:tcPr/>
          <w:p>
            <w:pPr>
              <w:pStyle w:val="Compact"/>
              <w:jc w:val="left"/>
            </w:pPr>
            <w:r>
              <w:t xml:space="preserve">4</w:t>
            </w:r>
          </w:p>
        </w:tc>
        <w:tc>
          <w:tcPr/>
          <w:p>
            <w:pPr>
              <w:pStyle w:val="Compact"/>
              <w:jc w:val="left"/>
            </w:pPr>
            <w:r>
              <w:t xml:space="preserve">2</w:t>
            </w:r>
          </w:p>
        </w:tc>
        <w:tc>
          <w:tcPr/>
          <w:p>
            <w:pPr>
              <w:pStyle w:val="Compact"/>
              <w:jc w:val="left"/>
            </w:pPr>
            <w:r>
              <w:t xml:space="preserve">3</w:t>
            </w:r>
          </w:p>
        </w:tc>
        <w:tc>
          <w:tcPr/>
          <w:p>
            <w:pPr>
              <w:pStyle w:val="Compact"/>
              <w:jc w:val="left"/>
            </w:pPr>
            <m:oMath>
              <m:r>
                <m:t>2</m:t>
              </m:r>
              <m:r>
                <m:rPr>
                  <m:sty m:val="p"/>
                </m:rPr>
                <m:t>×</m:t>
              </m:r>
              <m:r>
                <m:t>3</m:t>
              </m:r>
              <m:r>
                <m:rPr>
                  <m:sty m:val="p"/>
                </m:rPr>
                <m:t>=</m:t>
              </m:r>
              <m:r>
                <m:t>6</m:t>
              </m:r>
            </m:oMath>
          </w:p>
        </w:tc>
      </w:tr>
      <w:tr>
        <w:tc>
          <w:tcPr/>
          <w:p>
            <w:pPr>
              <w:pStyle w:val="Compact"/>
              <w:jc w:val="left"/>
            </w:pPr>
            <w:r>
              <w:t xml:space="preserve">VIII Operations</w:t>
            </w:r>
          </w:p>
        </w:tc>
        <w:tc>
          <w:tcPr/>
          <w:p>
            <w:pPr>
              <w:pStyle w:val="Compact"/>
              <w:jc w:val="left"/>
            </w:pPr>
            <w:r>
              <w:t xml:space="preserve">4</w:t>
            </w:r>
          </w:p>
        </w:tc>
        <w:tc>
          <w:tcPr/>
          <w:p>
            <w:pPr>
              <w:pStyle w:val="Compact"/>
              <w:jc w:val="left"/>
            </w:pPr>
            <w:r>
              <w:t xml:space="preserve">3</w:t>
            </w:r>
          </w:p>
        </w:tc>
        <w:tc>
          <w:tcPr/>
          <w:p>
            <w:pPr>
              <w:pStyle w:val="Compact"/>
              <w:jc w:val="left"/>
            </w:pPr>
            <w:r>
              <w:t xml:space="preserve">3</w:t>
            </w:r>
          </w:p>
        </w:tc>
        <w:tc>
          <w:tcPr/>
          <w:p>
            <w:pPr>
              <w:pStyle w:val="Compact"/>
              <w:jc w:val="left"/>
            </w:pPr>
            <m:oMath>
              <m:r>
                <m:t>1</m:t>
              </m:r>
              <m:r>
                <m:rPr>
                  <m:sty m:val="p"/>
                </m:rPr>
                <m:t>×</m:t>
              </m:r>
              <m:r>
                <m:t>3</m:t>
              </m:r>
              <m:r>
                <m:rPr>
                  <m:sty m:val="p"/>
                </m:rPr>
                <m:t>=</m:t>
              </m:r>
              <m:r>
                <m:t>3</m:t>
              </m:r>
            </m:oMath>
          </w:p>
        </w:tc>
      </w:tr>
      <w:tr>
        <w:tc>
          <w:tcPr/>
          <w:p>
            <w:pPr>
              <w:pStyle w:val="Compact"/>
              <w:jc w:val="left"/>
            </w:pPr>
            <w:r>
              <w:t xml:space="preserve">IV Scalability and performance</w:t>
            </w:r>
          </w:p>
        </w:tc>
        <w:tc>
          <w:tcPr/>
          <w:p>
            <w:pPr>
              <w:pStyle w:val="Compact"/>
              <w:jc w:val="left"/>
            </w:pPr>
            <w:r>
              <w:t xml:space="preserve">3</w:t>
            </w:r>
          </w:p>
        </w:tc>
        <w:tc>
          <w:tcPr/>
          <w:p>
            <w:pPr>
              <w:pStyle w:val="Compact"/>
              <w:jc w:val="left"/>
            </w:pPr>
            <w:r>
              <w:t xml:space="preserve">2</w:t>
            </w:r>
          </w:p>
        </w:tc>
        <w:tc>
          <w:tcPr/>
          <w:p>
            <w:pPr>
              <w:pStyle w:val="Compact"/>
              <w:jc w:val="left"/>
            </w:pPr>
            <w:r>
              <w:t xml:space="preserve">2</w:t>
            </w:r>
          </w:p>
        </w:tc>
        <w:tc>
          <w:tcPr/>
          <w:p>
            <w:pPr>
              <w:pStyle w:val="Compact"/>
              <w:jc w:val="left"/>
            </w:pPr>
            <m:oMath>
              <m:r>
                <m:t>1</m:t>
              </m:r>
              <m:r>
                <m:rPr>
                  <m:sty m:val="p"/>
                </m:rPr>
                <m:t>×</m:t>
              </m:r>
              <m:r>
                <m:t>2</m:t>
              </m:r>
              <m:r>
                <m:rPr>
                  <m:sty m:val="p"/>
                </m:rPr>
                <m:t>=</m:t>
              </m:r>
              <m:r>
                <m:t>2</m:t>
              </m:r>
            </m:oMath>
          </w:p>
        </w:tc>
      </w:tr>
      <w:tr>
        <w:tc>
          <w:tcPr/>
          <w:p>
            <w:pPr>
              <w:pStyle w:val="Compact"/>
              <w:jc w:val="left"/>
            </w:pPr>
            <w:r>
              <w:t xml:space="preserve">XIII Training infrastructure</w:t>
            </w:r>
          </w:p>
        </w:tc>
        <w:tc>
          <w:tcPr/>
          <w:p>
            <w:pPr>
              <w:pStyle w:val="Compact"/>
              <w:jc w:val="left"/>
            </w:pPr>
            <w:r>
              <w:t xml:space="preserve">2</w:t>
            </w:r>
          </w:p>
        </w:tc>
        <w:tc>
          <w:tcPr/>
          <w:p>
            <w:pPr>
              <w:pStyle w:val="Compact"/>
              <w:jc w:val="left"/>
            </w:pPr>
            <w:r>
              <w:t xml:space="preserve">0</w:t>
            </w:r>
          </w:p>
        </w:tc>
        <w:tc>
          <w:tcPr/>
          <w:p>
            <w:pPr>
              <w:pStyle w:val="Compact"/>
              <w:jc w:val="left"/>
            </w:pPr>
            <w:r>
              <w:t xml:space="preserve">1</w:t>
            </w:r>
          </w:p>
        </w:tc>
        <w:tc>
          <w:tcPr/>
          <w:p>
            <w:pPr>
              <w:pStyle w:val="Compact"/>
              <w:jc w:val="left"/>
            </w:pPr>
            <m:oMath>
              <m:r>
                <m:t>2</m:t>
              </m:r>
              <m:r>
                <m:rPr>
                  <m:sty m:val="p"/>
                </m:rPr>
                <m:t>×</m:t>
              </m:r>
              <m:r>
                <m:t>1</m:t>
              </m:r>
              <m:r>
                <m:rPr>
                  <m:sty m:val="p"/>
                </m:rPr>
                <m:t>=</m:t>
              </m:r>
              <m:r>
                <m:t>2</m:t>
              </m:r>
            </m:oMath>
          </w:p>
        </w:tc>
      </w:tr>
    </w:tbl>
    <w:p>
      <w:pPr>
        <w:pStyle w:val="CalloutExample"/>
      </w:pPr>
      <w:r>
        <w:rPr>
          <w:bCs/>
          <w:b/>
        </w:rPr>
        <w:t xml:space="preserve">Interpretation.</w:t>
      </w:r>
      <w:r>
        <w:t xml:space="preserve"> </w:t>
      </w:r>
      <w:r>
        <w:t xml:space="preserve">Part V comes first with a score of 6, three times any other part. Parts IV and XIII tie at 2. Their gaps differ, but weighting by relevance brings them level.</w:t>
      </w:r>
      <w:r>
        <w:t xml:space="preserve"> </w:t>
      </w:r>
      <w:r>
        <w:rPr>
          <w:bCs/>
          <w:b/>
        </w:rPr>
        <w:t xml:space="preserve">Implication.</w:t>
      </w:r>
      <w:r>
        <w:t xml:space="preserve"> </w:t>
      </w:r>
      <w:r>
        <w:t xml:space="preserve">Spend the next quarter on Chapters 24–28 with full loops, and keep the others to first-pass reading. Re-rate yourself each quarter, because a self-rating is only a guess until a design review or a mock interview tests it.</w:t>
      </w:r>
    </w:p>
    <w:bookmarkEnd w:id="316"/>
    <w:bookmarkStart w:id="317" w:name="design-reviews-as-a-learning-instrument"/>
    <w:p>
      <w:pPr>
        <w:pStyle w:val="Heading3"/>
      </w:pPr>
      <w:r>
        <w:t xml:space="preserve">3.9.2 Design reviews as a learning instrument</w:t>
      </w:r>
    </w:p>
    <w:p>
      <w:pPr>
        <w:pStyle w:val="FirstParagraph"/>
      </w:pPr>
      <w:r>
        <w:t xml:space="preserve">Design reviews (§1.10) are deliberate practice with expert feedback already built in. Use them on purpose.</w:t>
      </w:r>
      <w:r>
        <w:t xml:space="preserve"> </w:t>
      </w:r>
      <w:r>
        <w:rPr>
          <w:bCs/>
          <w:b/>
        </w:rPr>
        <w:t xml:space="preserve">As an author</w:t>
      </w:r>
      <w:r>
        <w:t xml:space="preserve">, write a design document for a real change and ask reviewers to challenge specific sections, such as failure modes or capacity numbers.</w:t>
      </w:r>
      <w:r>
        <w:t xml:space="preserve"> </w:t>
      </w:r>
      <w:r>
        <w:rPr>
          <w:bCs/>
          <w:b/>
        </w:rPr>
        <w:t xml:space="preserve">As a reviewer</w:t>
      </w:r>
      <w:r>
        <w:t xml:space="preserve">, read others’ designs with Table 3.7 and Table 3.3 in mind, and write at least one question about failure handling and one about cost.</w:t>
      </w:r>
      <w:r>
        <w:t xml:space="preserve"> </w:t>
      </w:r>
      <w:r>
        <w:rPr>
          <w:bCs/>
          <w:b/>
        </w:rPr>
        <w:t xml:space="preserve">As an observer</w:t>
      </w:r>
      <w:r>
        <w:t xml:space="preserve">, sit in on reviews outside your team. Hearing how senior engineers question a design teaches you what to ask before you can answer it yourself. After each review, write down in your journal one thing you would have missed.</w:t>
      </w:r>
    </w:p>
    <w:bookmarkEnd w:id="317"/>
    <w:bookmarkStart w:id="321" w:name="postmortem-study"/>
    <w:p>
      <w:pPr>
        <w:pStyle w:val="Heading3"/>
      </w:pPr>
      <w:r>
        <w:t xml:space="preserve">3.9.3 Postmortem study</w:t>
      </w:r>
    </w:p>
    <w:p>
      <w:pPr>
        <w:pStyle w:val="FirstParagraph"/>
      </w:pPr>
      <w:r>
        <w:t xml:space="preserve">Production incidents are the most honest record of how systems fail. Many organizations publish blameless postmortems. The SRE book describes postmortem culture as a way to learn from failure without assigning blame [Beyer et al. 2016]. Curated collections, such as Dan Luu’s public list of postmortems, make it easy to find many of them [Luu, post-mortems]. Research that analyzes failures across many systems shows patterns that single reports cannot. One study of failures in distributed data-intensive systems found that most catastrophic failures came from incorrect handling of non-fatal errors that the software had already signaled [Yuan et al. 2014]. A study of hundreds of public cloud outage reports cataloged their root causes and how far their impact spread [Gunawi et al. 2016].</w:t>
      </w:r>
    </w:p>
    <w:p>
      <w:pPr>
        <w:pStyle w:val="BodyText"/>
      </w:pPr>
      <w:r>
        <w:rPr>
          <w:bCs/>
          <w:b/>
        </w:rPr>
        <w:t xml:space="preserve">Figure 3.7 — The postmortem study loop.</w:t>
      </w:r>
    </w:p>
    <w:p>
      <w:pPr>
        <w:pStyle w:val="BodyText"/>
      </w:pPr>
      <w:r>
        <w:drawing>
          <wp:inline>
            <wp:extent cx="5334000" cy="302443"/>
            <wp:effectExtent b="0" l="0" r="0" t="0"/>
            <wp:docPr descr="" title="" id="319" name="Picture"/>
            <a:graphic>
              <a:graphicData uri="http://schemas.openxmlformats.org/drawingml/2006/picture">
                <pic:pic>
                  <pic:nvPicPr>
                    <pic:cNvPr descr="/home/user/System-Design/build/.cache/diagrams/14a872cd81f1.png" id="320" name="Picture"/>
                    <pic:cNvPicPr>
                      <a:picLocks noChangeArrowheads="1" noChangeAspect="1"/>
                    </pic:cNvPicPr>
                  </pic:nvPicPr>
                  <pic:blipFill>
                    <a:blip r:embed="rId318"/>
                    <a:stretch>
                      <a:fillRect/>
                    </a:stretch>
                  </pic:blipFill>
                  <pic:spPr bwMode="auto">
                    <a:xfrm>
                      <a:off x="0" y="0"/>
                      <a:ext cx="5334000" cy="302443"/>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hexagon is an external source, a published report. Each rectangle is an analysis step, done in order. The two most valuable steps are drawing the architecture yourself, since reports rarely include a complete diagram, and separating the</w:t>
      </w:r>
      <w:r>
        <w:t xml:space="preserve"> </w:t>
      </w:r>
      <w:r>
        <w:rPr>
          <w:iCs/>
          <w:i/>
        </w:rPr>
        <w:t xml:space="preserve">trigger</w:t>
      </w:r>
      <w:r>
        <w:t xml:space="preserve"> </w:t>
      </w:r>
      <w:r>
        <w:t xml:space="preserve">(what started it) from the</w:t>
      </w:r>
      <w:r>
        <w:t xml:space="preserve"> </w:t>
      </w:r>
      <w:r>
        <w:rPr>
          <w:iCs/>
          <w:i/>
        </w:rPr>
        <w:t xml:space="preserve">contributing factors</w:t>
      </w:r>
      <w:r>
        <w:t xml:space="preserve"> </w:t>
      </w:r>
      <w:r>
        <w:t xml:space="preserve">(why it spread and why recovery was slow). Mapping each factor to a chapter turns an anecdote into a lesson you can review. The rule you generalize goes into durable storage, your journal and flashcards. The dotted arrow is a spaced review in which you redraw the architecture from memory. The failure point in this process is stopping at the trigger.</w:t>
      </w:r>
      <w:r>
        <w:t xml:space="preserve"> </w:t>
      </w:r>
      <w:r>
        <w:t xml:space="preserve">“</w:t>
      </w:r>
      <w:r>
        <w:t xml:space="preserve">Someone typed the wrong command</w:t>
      </w:r>
      <w:r>
        <w:t xml:space="preserve">”</w:t>
      </w:r>
      <w:r>
        <w:t xml:space="preserve"> </w:t>
      </w:r>
      <w:r>
        <w:t xml:space="preserve">is never the whole story.</w:t>
      </w:r>
    </w:p>
    <w:p>
      <w:pPr>
        <w:pStyle w:val="CalloutIndustry"/>
      </w:pPr>
      <w:r>
        <w:rPr>
          <w:bCs/>
          <w:b/>
        </w:rPr>
        <w:t xml:space="preserve">INDUSTRY EXAMPLE</w:t>
      </w:r>
    </w:p>
    <w:p>
      <w:pPr>
        <w:pStyle w:val="CalloutIndustry"/>
      </w:pPr>
      <w:r>
        <w:rPr>
          <w:bCs/>
          <w:b/>
        </w:rPr>
        <w:t xml:space="preserve">Amazon S3, US-EAST-1, February 2017.</w:t>
      </w:r>
      <w:r>
        <w:t xml:space="preserve"> </w:t>
      </w:r>
      <w:r>
        <w:t xml:space="preserve">While debugging a billing-system issue, an engineer ran an established playbook command meant to remove a small number of servers. An input was entered incorrectly, and a much larger set of servers was removed, including servers supporting two S3 subsystems: the index subsystem and the placement subsystem. Both needed a full restart, which took longer than expected because those subsystems had not been fully restarted in years while S3 had grown substantially. In response, AWS changed the tool to remove capacity more slowly and to refuse to take any subsystem below its minimum required capacity. It also prioritized splitting the index subsystem into smaller cells.</w:t>
      </w:r>
      <w:r>
        <w:t xml:space="preserve"> </w:t>
      </w:r>
      <w:r>
        <w:rPr>
          <w:bCs/>
          <w:b/>
        </w:rPr>
        <w:t xml:space="preserve">Lessons mapped to chapters:</w:t>
      </w:r>
      <w:r>
        <w:t xml:space="preserve"> </w:t>
      </w:r>
      <w:r>
        <w:t xml:space="preserve">guard rails on operational tools (§43.3), blast-radius reduction with cells (§33.12, Chapter 44), and recovery time as a design property (§39.8).</w:t>
      </w:r>
      <w:r>
        <w:t xml:space="preserve"> </w:t>
      </w:r>
      <w:r>
        <w:rPr>
          <w:iCs/>
          <w:i/>
        </w:rPr>
        <w:t xml:space="preserve">Evidence: Primary</w:t>
      </w:r>
      <w:r>
        <w:t xml:space="preserve"> </w:t>
      </w:r>
      <w:r>
        <w:t xml:space="preserve">— [AWS 2017]</w:t>
      </w:r>
    </w:p>
    <w:bookmarkEnd w:id="321"/>
    <w:bookmarkStart w:id="322" w:name="X794dbe77fd838572786035deeece85cf7350e74"/>
    <w:p>
      <w:pPr>
        <w:pStyle w:val="Heading3"/>
      </w:pPr>
      <w:r>
        <w:t xml:space="preserve">3.9.4 Reading production incident reports critically</w:t>
      </w:r>
    </w:p>
    <w:p>
      <w:pPr>
        <w:pStyle w:val="FirstParagraph"/>
      </w:pPr>
      <w:r>
        <w:t xml:space="preserve">Published reports are edited for a public audience and tend to leave out organizational causes and near misses. Read them with Table 3.6 in mind. Separate</w:t>
      </w:r>
      <w:r>
        <w:t xml:space="preserve"> </w:t>
      </w:r>
      <w:r>
        <w:rPr>
          <w:bCs/>
          <w:b/>
        </w:rPr>
        <w:t xml:space="preserve">what the report states</w:t>
      </w:r>
      <w:r>
        <w:t xml:space="preserve"> </w:t>
      </w:r>
      <w:r>
        <w:t xml:space="preserve">from</w:t>
      </w:r>
      <w:r>
        <w:t xml:space="preserve"> </w:t>
      </w:r>
      <w:r>
        <w:rPr>
          <w:bCs/>
          <w:b/>
        </w:rPr>
        <w:t xml:space="preserve">what you infer</w:t>
      </w:r>
      <w:r>
        <w:t xml:space="preserve">. Look for the</w:t>
      </w:r>
      <w:r>
        <w:t xml:space="preserve"> </w:t>
      </w:r>
      <w:r>
        <w:rPr>
          <w:bCs/>
          <w:b/>
        </w:rPr>
        <w:t xml:space="preserve">detection gap</w:t>
      </w:r>
      <w:r>
        <w:t xml:space="preserve">, the time from trigger to first alert, which is often more instructive than the bug. Ask what the incident shows about the</w:t>
      </w:r>
      <w:r>
        <w:t xml:space="preserve"> </w:t>
      </w:r>
      <w:r>
        <w:rPr>
          <w:bCs/>
          <w:b/>
        </w:rPr>
        <w:t xml:space="preserve">design</w:t>
      </w:r>
      <w:r>
        <w:t xml:space="preserve">, not the operator: why could one command remove so much capacity? One report a week gives you about 50 failure case studies a year, and that breadth is a large part of what distinguishes a Level 4 engineer.</w:t>
      </w:r>
    </w:p>
    <w:bookmarkEnd w:id="322"/>
    <w:bookmarkEnd w:id="323"/>
    <w:bookmarkStart w:id="328" w:name="tracking-progress"/>
    <w:p>
      <w:pPr>
        <w:pStyle w:val="Heading2"/>
      </w:pPr>
      <w:r>
        <w:t xml:space="preserve">3.10 Tracking progress</w:t>
      </w:r>
    </w:p>
    <w:bookmarkStart w:id="324" w:name="self-assessment-rubric"/>
    <w:p>
      <w:pPr>
        <w:pStyle w:val="Heading3"/>
      </w:pPr>
      <w:r>
        <w:t xml:space="preserve">3.10.1 Self-assessment rubric</w:t>
      </w:r>
    </w:p>
    <w:p>
      <w:pPr>
        <w:pStyle w:val="FirstParagraph"/>
      </w:pPr>
      <w:r>
        <w:t xml:space="preserve">Rate yourself each quarter on the seven dimensions below, and ask a peer or mentor to rate you as well. A large gap between their rating and yours is itself useful information.</w:t>
      </w:r>
    </w:p>
    <w:p>
      <w:pPr>
        <w:pStyle w:val="BodyText"/>
      </w:pPr>
      <w:r>
        <w:rPr>
          <w:bCs/>
          <w:b/>
        </w:rPr>
        <w:t xml:space="preserve">Table 3.11 — Self-assessment rubric mapped to the five proficiency levels.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Dimension</w:t>
            </w:r>
          </w:p>
        </w:tc>
        <w:tc>
          <w:tcPr/>
          <w:p>
            <w:pPr>
              <w:pStyle w:val="Compact"/>
              <w:jc w:val="left"/>
            </w:pPr>
            <w:r>
              <w:t xml:space="preserve">L1 Beginner</w:t>
            </w:r>
          </w:p>
        </w:tc>
        <w:tc>
          <w:tcPr/>
          <w:p>
            <w:pPr>
              <w:pStyle w:val="Compact"/>
              <w:jc w:val="left"/>
            </w:pPr>
            <w:r>
              <w:t xml:space="preserve">L2 Intermediate</w:t>
            </w:r>
          </w:p>
        </w:tc>
        <w:tc>
          <w:tcPr/>
          <w:p>
            <w:pPr>
              <w:pStyle w:val="Compact"/>
              <w:jc w:val="left"/>
            </w:pPr>
            <w:r>
              <w:t xml:space="preserve">L3 Advanced</w:t>
            </w:r>
          </w:p>
        </w:tc>
        <w:tc>
          <w:tcPr/>
          <w:p>
            <w:pPr>
              <w:pStyle w:val="Compact"/>
              <w:jc w:val="left"/>
            </w:pPr>
            <w:r>
              <w:t xml:space="preserve">L4 Senior/Staff</w:t>
            </w:r>
          </w:p>
        </w:tc>
        <w:tc>
          <w:tcPr/>
          <w:p>
            <w:pPr>
              <w:pStyle w:val="Compact"/>
              <w:jc w:val="left"/>
            </w:pPr>
            <w:r>
              <w:t xml:space="preserve">L5 Principal</w:t>
            </w:r>
          </w:p>
        </w:tc>
      </w:tr>
      <w:tr>
        <w:tc>
          <w:tcPr/>
          <w:p>
            <w:pPr>
              <w:pStyle w:val="Compact"/>
              <w:jc w:val="left"/>
            </w:pPr>
            <w:r>
              <w:t xml:space="preserve">Concept knowledge</w:t>
            </w:r>
          </w:p>
        </w:tc>
        <w:tc>
          <w:tcPr/>
          <w:p>
            <w:pPr>
              <w:pStyle w:val="Compact"/>
              <w:jc w:val="left"/>
            </w:pPr>
            <w:r>
              <w:t xml:space="preserve">Defines core terms</w:t>
            </w:r>
          </w:p>
        </w:tc>
        <w:tc>
          <w:tcPr/>
          <w:p>
            <w:pPr>
              <w:pStyle w:val="Compact"/>
              <w:jc w:val="left"/>
            </w:pPr>
            <w:r>
              <w:t xml:space="preserve">Explains building blocks</w:t>
            </w:r>
          </w:p>
        </w:tc>
        <w:tc>
          <w:tcPr/>
          <w:p>
            <w:pPr>
              <w:pStyle w:val="Compact"/>
              <w:jc w:val="left"/>
            </w:pPr>
            <w:r>
              <w:t xml:space="preserve">Explains internals</w:t>
            </w:r>
          </w:p>
        </w:tc>
        <w:tc>
          <w:tcPr/>
          <w:p>
            <w:pPr>
              <w:pStyle w:val="Compact"/>
              <w:jc w:val="left"/>
            </w:pPr>
            <w:r>
              <w:t xml:space="preserve">Knows edge cases and variants</w:t>
            </w:r>
          </w:p>
        </w:tc>
        <w:tc>
          <w:tcPr/>
          <w:p>
            <w:pPr>
              <w:pStyle w:val="Compact"/>
              <w:jc w:val="left"/>
            </w:pPr>
            <w:r>
              <w:t xml:space="preserve">Shapes how the field uses the concepts</w:t>
            </w:r>
          </w:p>
        </w:tc>
      </w:tr>
      <w:tr>
        <w:tc>
          <w:tcPr/>
          <w:p>
            <w:pPr>
              <w:pStyle w:val="Compact"/>
              <w:jc w:val="left"/>
            </w:pPr>
            <w:r>
              <w:t xml:space="preserve">Mechanism depth</w:t>
            </w:r>
          </w:p>
        </w:tc>
        <w:tc>
          <w:tcPr/>
          <w:p>
            <w:pPr>
              <w:pStyle w:val="Compact"/>
              <w:jc w:val="left"/>
            </w:pPr>
            <w:r>
              <w:t xml:space="preserve">Describes what it does</w:t>
            </w:r>
          </w:p>
        </w:tc>
        <w:tc>
          <w:tcPr/>
          <w:p>
            <w:pPr>
              <w:pStyle w:val="Compact"/>
              <w:jc w:val="left"/>
            </w:pPr>
            <w:r>
              <w:t xml:space="preserve">Describes how, step by step</w:t>
            </w:r>
          </w:p>
        </w:tc>
        <w:tc>
          <w:tcPr/>
          <w:p>
            <w:pPr>
              <w:pStyle w:val="Compact"/>
              <w:jc w:val="left"/>
            </w:pPr>
            <w:r>
              <w:t xml:space="preserve">Implements a simplified version</w:t>
            </w:r>
          </w:p>
        </w:tc>
        <w:tc>
          <w:tcPr/>
          <w:p>
            <w:pPr>
              <w:pStyle w:val="Compact"/>
              <w:jc w:val="left"/>
            </w:pPr>
            <w:r>
              <w:t xml:space="preserve">Debugs production behavior</w:t>
            </w:r>
          </w:p>
        </w:tc>
        <w:tc>
          <w:tcPr/>
          <w:p>
            <w:pPr>
              <w:pStyle w:val="Compact"/>
              <w:jc w:val="left"/>
            </w:pPr>
            <w:r>
              <w:t xml:space="preserve">Designs new mechanisms</w:t>
            </w:r>
          </w:p>
        </w:tc>
      </w:tr>
      <w:tr>
        <w:tc>
          <w:tcPr/>
          <w:p>
            <w:pPr>
              <w:pStyle w:val="Compact"/>
              <w:jc w:val="left"/>
            </w:pPr>
            <w:r>
              <w:t xml:space="preserve">Trade-off reasoning</w:t>
            </w:r>
          </w:p>
        </w:tc>
        <w:tc>
          <w:tcPr/>
          <w:p>
            <w:pPr>
              <w:pStyle w:val="Compact"/>
              <w:jc w:val="left"/>
            </w:pPr>
            <w:r>
              <w:t xml:space="preserve">Names one pro and one con</w:t>
            </w:r>
          </w:p>
        </w:tc>
        <w:tc>
          <w:tcPr/>
          <w:p>
            <w:pPr>
              <w:pStyle w:val="Compact"/>
              <w:jc w:val="left"/>
            </w:pPr>
            <w:r>
              <w:t xml:space="preserve">Compares two options</w:t>
            </w:r>
          </w:p>
        </w:tc>
        <w:tc>
          <w:tcPr/>
          <w:p>
            <w:pPr>
              <w:pStyle w:val="Compact"/>
              <w:jc w:val="left"/>
            </w:pPr>
            <w:r>
              <w:t xml:space="preserve">Compares options with numbers</w:t>
            </w:r>
          </w:p>
        </w:tc>
        <w:tc>
          <w:tcPr/>
          <w:p>
            <w:pPr>
              <w:pStyle w:val="Compact"/>
              <w:jc w:val="left"/>
            </w:pPr>
            <w:r>
              <w:t xml:space="preserve">Weighs cost, organization and time</w:t>
            </w:r>
          </w:p>
        </w:tc>
        <w:tc>
          <w:tcPr/>
          <w:p>
            <w:pPr>
              <w:pStyle w:val="Compact"/>
              <w:jc w:val="left"/>
            </w:pPr>
            <w:r>
              <w:t xml:space="preserve">Sets direction for many teams</w:t>
            </w:r>
          </w:p>
        </w:tc>
      </w:tr>
      <w:tr>
        <w:tc>
          <w:tcPr/>
          <w:p>
            <w:pPr>
              <w:pStyle w:val="Compact"/>
              <w:jc w:val="left"/>
            </w:pPr>
            <w:r>
              <w:t xml:space="preserve">Estimation</w:t>
            </w:r>
          </w:p>
        </w:tc>
        <w:tc>
          <w:tcPr/>
          <w:p>
            <w:pPr>
              <w:pStyle w:val="Compact"/>
              <w:jc w:val="left"/>
            </w:pPr>
            <w:r>
              <w:t xml:space="preserve">Needs a template</w:t>
            </w:r>
          </w:p>
        </w:tc>
        <w:tc>
          <w:tcPr/>
          <w:p>
            <w:pPr>
              <w:pStyle w:val="Compact"/>
              <w:jc w:val="left"/>
            </w:pPr>
            <w:r>
              <w:t xml:space="preserve">Estimates RPS and storage</w:t>
            </w:r>
          </w:p>
        </w:tc>
        <w:tc>
          <w:tcPr/>
          <w:p>
            <w:pPr>
              <w:pStyle w:val="Compact"/>
              <w:jc w:val="left"/>
            </w:pPr>
            <w:r>
              <w:t xml:space="preserve">Estimates the bottleneck resource</w:t>
            </w:r>
          </w:p>
        </w:tc>
        <w:tc>
          <w:tcPr/>
          <w:p>
            <w:pPr>
              <w:pStyle w:val="Compact"/>
              <w:jc w:val="left"/>
            </w:pPr>
            <w:r>
              <w:t xml:space="preserve">Builds a capacity model</w:t>
            </w:r>
          </w:p>
        </w:tc>
        <w:tc>
          <w:tcPr/>
          <w:p>
            <w:pPr>
              <w:pStyle w:val="Compact"/>
              <w:jc w:val="left"/>
            </w:pPr>
            <w:r>
              <w:t xml:space="preserve">Owns fleet-level planning</w:t>
            </w:r>
          </w:p>
        </w:tc>
      </w:tr>
      <w:tr>
        <w:tc>
          <w:tcPr/>
          <w:p>
            <w:pPr>
              <w:pStyle w:val="Compact"/>
              <w:jc w:val="left"/>
            </w:pPr>
            <w:r>
              <w:t xml:space="preserve">Failure reasoning</w:t>
            </w:r>
          </w:p>
        </w:tc>
        <w:tc>
          <w:tcPr/>
          <w:p>
            <w:pPr>
              <w:pStyle w:val="Compact"/>
              <w:jc w:val="left"/>
            </w:pPr>
            <w:r>
              <w:t xml:space="preserve">Rarely considers failure</w:t>
            </w:r>
          </w:p>
        </w:tc>
        <w:tc>
          <w:tcPr/>
          <w:p>
            <w:pPr>
              <w:pStyle w:val="Compact"/>
              <w:jc w:val="left"/>
            </w:pPr>
            <w:r>
              <w:t xml:space="preserve">Lists failure modes</w:t>
            </w:r>
          </w:p>
        </w:tc>
        <w:tc>
          <w:tcPr/>
          <w:p>
            <w:pPr>
              <w:pStyle w:val="Compact"/>
              <w:jc w:val="left"/>
            </w:pPr>
            <w:r>
              <w:t xml:space="preserve">Designs detection and recovery</w:t>
            </w:r>
          </w:p>
        </w:tc>
        <w:tc>
          <w:tcPr/>
          <w:p>
            <w:pPr>
              <w:pStyle w:val="Compact"/>
              <w:jc w:val="left"/>
            </w:pPr>
            <w:r>
              <w:t xml:space="preserve">Limits the blast radius</w:t>
            </w:r>
          </w:p>
        </w:tc>
        <w:tc>
          <w:tcPr/>
          <w:p>
            <w:pPr>
              <w:pStyle w:val="Compact"/>
              <w:jc w:val="left"/>
            </w:pPr>
            <w:r>
              <w:t xml:space="preserve">Sets reliability strategy</w:t>
            </w:r>
          </w:p>
        </w:tc>
      </w:tr>
      <w:tr>
        <w:tc>
          <w:tcPr/>
          <w:p>
            <w:pPr>
              <w:pStyle w:val="Compact"/>
              <w:jc w:val="left"/>
            </w:pPr>
            <w:r>
              <w:t xml:space="preserve">Communication</w:t>
            </w:r>
          </w:p>
        </w:tc>
        <w:tc>
          <w:tcPr/>
          <w:p>
            <w:pPr>
              <w:pStyle w:val="Compact"/>
              <w:jc w:val="left"/>
            </w:pPr>
            <w:r>
              <w:t xml:space="preserve">Describes components</w:t>
            </w:r>
          </w:p>
        </w:tc>
        <w:tc>
          <w:tcPr/>
          <w:p>
            <w:pPr>
              <w:pStyle w:val="Compact"/>
              <w:jc w:val="left"/>
            </w:pPr>
            <w:r>
              <w:t xml:space="preserve">Draws a clear diagram</w:t>
            </w:r>
          </w:p>
        </w:tc>
        <w:tc>
          <w:tcPr/>
          <w:p>
            <w:pPr>
              <w:pStyle w:val="Compact"/>
              <w:jc w:val="left"/>
            </w:pPr>
            <w:r>
              <w:t xml:space="preserve">Leads a 45-minute design discussion</w:t>
            </w:r>
          </w:p>
        </w:tc>
        <w:tc>
          <w:tcPr/>
          <w:p>
            <w:pPr>
              <w:pStyle w:val="Compact"/>
              <w:jc w:val="left"/>
            </w:pPr>
            <w:r>
              <w:t xml:space="preserve">Runs design reviews</w:t>
            </w:r>
          </w:p>
        </w:tc>
        <w:tc>
          <w:tcPr/>
          <w:p>
            <w:pPr>
              <w:pStyle w:val="Compact"/>
              <w:jc w:val="left"/>
            </w:pPr>
            <w:r>
              <w:t xml:space="preserve">Writes standards others adopt</w:t>
            </w:r>
          </w:p>
        </w:tc>
      </w:tr>
      <w:tr>
        <w:tc>
          <w:tcPr/>
          <w:p>
            <w:pPr>
              <w:pStyle w:val="Compact"/>
              <w:jc w:val="left"/>
            </w:pPr>
            <w:r>
              <w:t xml:space="preserve">Implementation</w:t>
            </w:r>
          </w:p>
        </w:tc>
        <w:tc>
          <w:tcPr/>
          <w:p>
            <w:pPr>
              <w:pStyle w:val="Compact"/>
              <w:jc w:val="left"/>
            </w:pPr>
            <w:r>
              <w:t xml:space="preserve">Follows tutorials</w:t>
            </w:r>
          </w:p>
        </w:tc>
        <w:tc>
          <w:tcPr/>
          <w:p>
            <w:pPr>
              <w:pStyle w:val="Compact"/>
              <w:jc w:val="left"/>
            </w:pPr>
            <w:r>
              <w:t xml:space="preserve">Builds small services</w:t>
            </w:r>
          </w:p>
        </w:tc>
        <w:tc>
          <w:tcPr/>
          <w:p>
            <w:pPr>
              <w:pStyle w:val="Compact"/>
              <w:jc w:val="left"/>
            </w:pPr>
            <w:r>
              <w:t xml:space="preserve">Builds simplified distributed mechanisms</w:t>
            </w:r>
          </w:p>
        </w:tc>
        <w:tc>
          <w:tcPr/>
          <w:p>
            <w:pPr>
              <w:pStyle w:val="Compact"/>
              <w:jc w:val="left"/>
            </w:pPr>
            <w:r>
              <w:t xml:space="preserve">Ships and operates such systems</w:t>
            </w:r>
          </w:p>
        </w:tc>
        <w:tc>
          <w:tcPr/>
          <w:p>
            <w:pPr>
              <w:pStyle w:val="Compact"/>
              <w:jc w:val="left"/>
            </w:pPr>
            <w:r>
              <w:t xml:space="preserve">Builds platforms others build on</w:t>
            </w:r>
          </w:p>
        </w:tc>
      </w:tr>
    </w:tbl>
    <w:p>
      <w:pPr>
        <w:pStyle w:val="BodyText"/>
      </w:pPr>
      <w:r>
        <w:t xml:space="preserve">Appendix E gives the full definitions of the levels. Your overall level is roughly the level reached by your</w:t>
      </w:r>
      <w:r>
        <w:t xml:space="preserve"> </w:t>
      </w:r>
      <w:r>
        <w:rPr>
          <w:iCs/>
          <w:i/>
        </w:rPr>
        <w:t xml:space="preserve">weakest</w:t>
      </w:r>
      <w:r>
        <w:t xml:space="preserve"> </w:t>
      </w:r>
      <w:r>
        <w:t xml:space="preserve">three dimensions, not your strongest, because a design is only as strong as its weakest reasoning.</w:t>
      </w:r>
    </w:p>
    <w:bookmarkEnd w:id="324"/>
    <w:bookmarkStart w:id="325" w:name="flashcard-templates"/>
    <w:p>
      <w:pPr>
        <w:pStyle w:val="Heading3"/>
      </w:pPr>
      <w:r>
        <w:t xml:space="preserve">3.10.2 Flashcard templates</w:t>
      </w:r>
    </w:p>
    <w:p>
      <w:pPr>
        <w:pStyle w:val="FirstParagraph"/>
      </w:pPr>
      <w:r>
        <w:t xml:space="preserve">Make each card</w:t>
      </w:r>
      <w:r>
        <w:t xml:space="preserve"> </w:t>
      </w:r>
      <w:r>
        <w:rPr>
          <w:bCs/>
          <w:b/>
        </w:rPr>
        <w:t xml:space="preserve">atomic</w:t>
      </w:r>
      <w:r>
        <w:t xml:space="preserve"> </w:t>
      </w:r>
      <w:r>
        <w:t xml:space="preserve">(one fact or one relationship) and prefer</w:t>
      </w:r>
      <w:r>
        <w:t xml:space="preserve"> </w:t>
      </w:r>
      <w:r>
        <w:rPr>
          <w:bCs/>
          <w:b/>
        </w:rPr>
        <w:t xml:space="preserve">why</w:t>
      </w:r>
      <w:r>
        <w:t xml:space="preserve"> </w:t>
      </w:r>
      <w:r>
        <w:t xml:space="preserve">and</w:t>
      </w:r>
      <w:r>
        <w:t xml:space="preserve"> </w:t>
      </w:r>
      <w:r>
        <w:rPr>
          <w:bCs/>
          <w:b/>
        </w:rPr>
        <w:t xml:space="preserve">when</w:t>
      </w:r>
      <w:r>
        <w:t xml:space="preserve"> </w:t>
      </w:r>
      <w:r>
        <w:t xml:space="preserve">cards over</w:t>
      </w:r>
      <w:r>
        <w:t xml:space="preserve"> </w:t>
      </w:r>
      <w:r>
        <w:rPr>
          <w:bCs/>
          <w:b/>
        </w:rPr>
        <w:t xml:space="preserve">what</w:t>
      </w:r>
      <w:r>
        <w:t xml:space="preserve"> </w:t>
      </w:r>
      <w:r>
        <w:t xml:space="preserve">cards. Six card types cover most of system design:</w:t>
      </w:r>
    </w:p>
    <w:p>
      <w:pPr>
        <w:pStyle w:val="SourceCode"/>
      </w:pPr>
      <w:r>
        <w:rPr>
          <w:rStyle w:val="VerbatimChar"/>
        </w:rPr>
        <w:t xml:space="preserve">[DEFINITION]  Q: Define linearizability in one sentence.</w:t>
      </w:r>
      <w:r>
        <w:br/>
      </w:r>
      <w:r>
        <w:rPr>
          <w:rStyle w:val="VerbatimChar"/>
        </w:rPr>
        <w:t xml:space="preserve">[MECHANISM]   Q: In a hash ring, which node owns key k?  (answer in two steps)</w:t>
      </w:r>
      <w:r>
        <w:br/>
      </w:r>
      <w:r>
        <w:rPr>
          <w:rStyle w:val="VerbatimChar"/>
        </w:rPr>
        <w:t xml:space="preserve">[NUMBER]      Q: Rough round-trip time within one datacenter? (cite Appendix F, with year)</w:t>
      </w:r>
      <w:r>
        <w:br/>
      </w:r>
      <w:r>
        <w:rPr>
          <w:rStyle w:val="VerbatimChar"/>
        </w:rPr>
        <w:t xml:space="preserve">[TRADE-OFF]   Q: When would you choose jump hash over a ring with vnodes?</w:t>
      </w:r>
      <w:r>
        <w:br/>
      </w:r>
      <w:r>
        <w:rPr>
          <w:rStyle w:val="VerbatimChar"/>
        </w:rPr>
        <w:t xml:space="preserve">[FAILURE]     Q: A cache node dies under mod-N hashing. What happens to the database, and why?</w:t>
      </w:r>
      <w:r>
        <w:br/>
      </w:r>
      <w:r>
        <w:rPr>
          <w:rStyle w:val="VerbatimChar"/>
        </w:rPr>
        <w:t xml:space="preserve">[DIAGRAM]     Q: Draw cache-aside read and write paths. (check against Fig. 20.x)</w:t>
      </w:r>
    </w:p>
    <w:p>
      <w:pPr>
        <w:pStyle w:val="FirstParagraph"/>
      </w:pPr>
      <w:r>
        <w:t xml:space="preserve">Each card should also record its source section (for example</w:t>
      </w:r>
      <w:r>
        <w:t xml:space="preserve"> </w:t>
      </w:r>
      <w:r>
        <w:rPr>
          <w:rStyle w:val="VerbatimChar"/>
        </w:rPr>
        <w:t xml:space="preserve">src: §3.3 step 6</w:t>
      </w:r>
      <w:r>
        <w:t xml:space="preserve">), so a failed card leads you straight to the material it came from.</w:t>
      </w:r>
    </w:p>
    <w:bookmarkEnd w:id="325"/>
    <w:bookmarkStart w:id="326" w:name="design-journal-template"/>
    <w:p>
      <w:pPr>
        <w:pStyle w:val="Heading3"/>
      </w:pPr>
      <w:r>
        <w:t xml:space="preserve">3.10.3 Design journal template</w:t>
      </w:r>
    </w:p>
    <w:p>
      <w:pPr>
        <w:pStyle w:val="SourceCode"/>
      </w:pPr>
      <w:r>
        <w:rPr>
          <w:rStyle w:val="VerbatimChar"/>
        </w:rPr>
        <w:t xml:space="preserve">Date:              Concept / problem:              Loop steps completed: 1-10</w:t>
      </w:r>
      <w:r>
        <w:br/>
      </w:r>
      <w:r>
        <w:rPr>
          <w:rStyle w:val="VerbatimChar"/>
        </w:rPr>
        <w:t xml:space="preserve">1. One-sentence definition (from memory):</w:t>
      </w:r>
      <w:r>
        <w:br/>
      </w:r>
      <w:r>
        <w:rPr>
          <w:rStyle w:val="VerbatimChar"/>
        </w:rPr>
        <w:t xml:space="preserve">2. Problem it solves, with a number:</w:t>
      </w:r>
      <w:r>
        <w:br/>
      </w:r>
      <w:r>
        <w:rPr>
          <w:rStyle w:val="VerbatimChar"/>
        </w:rPr>
        <w:t xml:space="preserve">3. Mechanism in 5 steps or fewer:</w:t>
      </w:r>
      <w:r>
        <w:br/>
      </w:r>
      <w:r>
        <w:rPr>
          <w:rStyle w:val="VerbatimChar"/>
        </w:rPr>
        <w:t xml:space="preserve">4. Drawing score (Table 3.7): __ / 12   Missing:</w:t>
      </w:r>
      <w:r>
        <w:br/>
      </w:r>
      <w:r>
        <w:rPr>
          <w:rStyle w:val="VerbatimChar"/>
        </w:rPr>
        <w:t xml:space="preserve">5. Source studied + evidence label:</w:t>
      </w:r>
      <w:r>
        <w:br/>
      </w:r>
      <w:r>
        <w:rPr>
          <w:rStyle w:val="VerbatimChar"/>
        </w:rPr>
        <w:t xml:space="preserve">6. Best alternative and when I would pick it:</w:t>
      </w:r>
      <w:r>
        <w:br/>
      </w:r>
      <w:r>
        <w:rPr>
          <w:rStyle w:val="VerbatimChar"/>
        </w:rPr>
        <w:t xml:space="preserve">7. Scariest failure mode and its mitigation:</w:t>
      </w:r>
      <w:r>
        <w:br/>
      </w:r>
      <w:r>
        <w:rPr>
          <w:rStyle w:val="VerbatimChar"/>
        </w:rPr>
        <w:t xml:space="preserve">8. Build: repo/file + the measurement it printed:</w:t>
      </w:r>
      <w:r>
        <w:br/>
      </w:r>
      <w:r>
        <w:rPr>
          <w:rStyle w:val="VerbatimChar"/>
        </w:rPr>
        <w:t xml:space="preserve">9. Design problem used in + what I would change next time:</w:t>
      </w:r>
      <w:r>
        <w:br/>
      </w:r>
      <w:r>
        <w:rPr>
          <w:rStyle w:val="VerbatimChar"/>
        </w:rPr>
        <w:t xml:space="preserve">10. Explanation beats fluent / hesitant / missing:</w:t>
      </w:r>
      <w:r>
        <w:br/>
      </w:r>
      <w:r>
        <w:rPr>
          <w:rStyle w:val="VerbatimChar"/>
        </w:rPr>
        <w:t xml:space="preserve">Cards created:                    Next review date:</w:t>
      </w:r>
    </w:p>
    <w:bookmarkEnd w:id="326"/>
    <w:bookmarkStart w:id="327" w:name="the-concept-tracker"/>
    <w:p>
      <w:pPr>
        <w:pStyle w:val="Heading3"/>
      </w:pPr>
      <w:r>
        <w:t xml:space="preserve">3.10.4 The concept tracker</w:t>
      </w:r>
    </w:p>
    <w:p>
      <w:pPr>
        <w:pStyle w:val="FirstParagraph"/>
      </w:pPr>
      <w:r>
        <w:rPr>
          <w:bCs/>
          <w:b/>
        </w:rPr>
        <w:t xml:space="preserve">Table 3.12 — Concept tracker (example rows).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Concept</w:t>
            </w:r>
          </w:p>
        </w:tc>
        <w:tc>
          <w:tcPr/>
          <w:p>
            <w:pPr>
              <w:pStyle w:val="Compact"/>
              <w:jc w:val="left"/>
            </w:pPr>
            <w:r>
              <w:t xml:space="preserve">Section</w:t>
            </w:r>
          </w:p>
        </w:tc>
        <w:tc>
          <w:tcPr/>
          <w:p>
            <w:pPr>
              <w:pStyle w:val="Compact"/>
              <w:jc w:val="left"/>
            </w:pPr>
            <w:r>
              <w:t xml:space="preserve">Steps done</w:t>
            </w:r>
          </w:p>
        </w:tc>
        <w:tc>
          <w:tcPr/>
          <w:p>
            <w:pPr>
              <w:pStyle w:val="Compact"/>
              <w:jc w:val="left"/>
            </w:pPr>
            <w:r>
              <w:t xml:space="preserve">Drawing score</w:t>
            </w:r>
          </w:p>
        </w:tc>
        <w:tc>
          <w:tcPr/>
          <w:p>
            <w:pPr>
              <w:pStyle w:val="Compact"/>
              <w:jc w:val="left"/>
            </w:pPr>
            <w:r>
              <w:t xml:space="preserve">Last review</w:t>
            </w:r>
          </w:p>
        </w:tc>
        <w:tc>
          <w:tcPr/>
          <w:p>
            <w:pPr>
              <w:pStyle w:val="Compact"/>
              <w:jc w:val="left"/>
            </w:pPr>
            <w:r>
              <w:t xml:space="preserve">Next review</w:t>
            </w:r>
          </w:p>
        </w:tc>
        <w:tc>
          <w:tcPr/>
          <w:p>
            <w:pPr>
              <w:pStyle w:val="Compact"/>
              <w:jc w:val="left"/>
            </w:pPr>
            <w:r>
              <w:t xml:space="preserve">Confidence (1–5)</w:t>
            </w:r>
          </w:p>
        </w:tc>
      </w:tr>
      <w:tr>
        <w:tc>
          <w:tcPr/>
          <w:p>
            <w:pPr>
              <w:pStyle w:val="Compact"/>
              <w:jc w:val="left"/>
            </w:pPr>
            <w:r>
              <w:t xml:space="preserve">Consistent hashing</w:t>
            </w:r>
          </w:p>
        </w:tc>
        <w:tc>
          <w:tcPr/>
          <w:p>
            <w:pPr>
              <w:pStyle w:val="Compact"/>
              <w:jc w:val="left"/>
            </w:pPr>
            <w:r>
              <w:t xml:space="preserve">§14.8</w:t>
            </w:r>
          </w:p>
        </w:tc>
        <w:tc>
          <w:tcPr/>
          <w:p>
            <w:pPr>
              <w:pStyle w:val="Compact"/>
              <w:jc w:val="left"/>
            </w:pPr>
            <w:r>
              <w:t xml:space="preserve">1–10</w:t>
            </w:r>
          </w:p>
        </w:tc>
        <w:tc>
          <w:tcPr/>
          <w:p>
            <w:pPr>
              <w:pStyle w:val="Compact"/>
              <w:jc w:val="left"/>
            </w:pPr>
            <w:r>
              <w:t xml:space="preserve">11/12</w:t>
            </w:r>
          </w:p>
        </w:tc>
        <w:tc>
          <w:tcPr/>
          <w:p>
            <w:pPr>
              <w:pStyle w:val="Compact"/>
              <w:jc w:val="left"/>
            </w:pPr>
            <w:r>
              <w:t xml:space="preserve">2027-05-03</w:t>
            </w:r>
          </w:p>
        </w:tc>
        <w:tc>
          <w:tcPr/>
          <w:p>
            <w:pPr>
              <w:pStyle w:val="Compact"/>
              <w:jc w:val="left"/>
            </w:pPr>
            <w:r>
              <w:t xml:space="preserve">2027-05-19</w:t>
            </w:r>
          </w:p>
        </w:tc>
        <w:tc>
          <w:tcPr/>
          <w:p>
            <w:pPr>
              <w:pStyle w:val="Compact"/>
              <w:jc w:val="left"/>
            </w:pPr>
            <w:r>
              <w:t xml:space="preserve">4</w:t>
            </w:r>
          </w:p>
        </w:tc>
      </w:tr>
      <w:tr>
        <w:tc>
          <w:tcPr/>
          <w:p>
            <w:pPr>
              <w:pStyle w:val="Compact"/>
              <w:jc w:val="left"/>
            </w:pPr>
            <w:r>
              <w:t xml:space="preserve">Raft leader election</w:t>
            </w:r>
          </w:p>
        </w:tc>
        <w:tc>
          <w:tcPr/>
          <w:p>
            <w:pPr>
              <w:pStyle w:val="Compact"/>
              <w:jc w:val="left"/>
            </w:pPr>
            <w:r>
              <w:t xml:space="preserve">§26.7</w:t>
            </w:r>
          </w:p>
        </w:tc>
        <w:tc>
          <w:tcPr/>
          <w:p>
            <w:pPr>
              <w:pStyle w:val="Compact"/>
              <w:jc w:val="left"/>
            </w:pPr>
            <w:r>
              <w:t xml:space="preserve">1–7</w:t>
            </w:r>
          </w:p>
        </w:tc>
        <w:tc>
          <w:tcPr/>
          <w:p>
            <w:pPr>
              <w:pStyle w:val="Compact"/>
              <w:jc w:val="left"/>
            </w:pPr>
            <w:r>
              <w:t xml:space="preserve">8/12</w:t>
            </w:r>
          </w:p>
        </w:tc>
        <w:tc>
          <w:tcPr/>
          <w:p>
            <w:pPr>
              <w:pStyle w:val="Compact"/>
              <w:jc w:val="left"/>
            </w:pPr>
            <w:r>
              <w:t xml:space="preserve">2027-07-10</w:t>
            </w:r>
          </w:p>
        </w:tc>
        <w:tc>
          <w:tcPr/>
          <w:p>
            <w:pPr>
              <w:pStyle w:val="Compact"/>
              <w:jc w:val="left"/>
            </w:pPr>
            <w:r>
              <w:t xml:space="preserve">2027-07-13</w:t>
            </w:r>
          </w:p>
        </w:tc>
        <w:tc>
          <w:tcPr/>
          <w:p>
            <w:pPr>
              <w:pStyle w:val="Compact"/>
              <w:jc w:val="left"/>
            </w:pPr>
            <w:r>
              <w:t xml:space="preserve">2</w:t>
            </w:r>
          </w:p>
        </w:tc>
      </w:tr>
      <w:tr>
        <w:tc>
          <w:tcPr/>
          <w:p>
            <w:pPr>
              <w:pStyle w:val="Compact"/>
              <w:jc w:val="left"/>
            </w:pPr>
            <w:r>
              <w:t xml:space="preserve">Cache stampede</w:t>
            </w:r>
          </w:p>
        </w:tc>
        <w:tc>
          <w:tcPr/>
          <w:p>
            <w:pPr>
              <w:pStyle w:val="Compact"/>
              <w:jc w:val="left"/>
            </w:pPr>
            <w:r>
              <w:t xml:space="preserve">§20.11</w:t>
            </w:r>
          </w:p>
        </w:tc>
        <w:tc>
          <w:tcPr/>
          <w:p>
            <w:pPr>
              <w:pStyle w:val="Compact"/>
              <w:jc w:val="left"/>
            </w:pPr>
            <w:r>
              <w:t xml:space="preserve">1–4, 6–7</w:t>
            </w:r>
          </w:p>
        </w:tc>
        <w:tc>
          <w:tcPr/>
          <w:p>
            <w:pPr>
              <w:pStyle w:val="Compact"/>
              <w:jc w:val="left"/>
            </w:pPr>
            <w:r>
              <w:t xml:space="preserve">9/12</w:t>
            </w:r>
          </w:p>
        </w:tc>
        <w:tc>
          <w:tcPr/>
          <w:p>
            <w:pPr>
              <w:pStyle w:val="Compact"/>
              <w:jc w:val="left"/>
            </w:pPr>
            <w:r>
              <w:t xml:space="preserve">2027-06-02</w:t>
            </w:r>
          </w:p>
        </w:tc>
        <w:tc>
          <w:tcPr/>
          <w:p>
            <w:pPr>
              <w:pStyle w:val="Compact"/>
              <w:jc w:val="left"/>
            </w:pPr>
            <w:r>
              <w:t xml:space="preserve">2027-06-09</w:t>
            </w:r>
          </w:p>
        </w:tc>
        <w:tc>
          <w:tcPr/>
          <w:p>
            <w:pPr>
              <w:pStyle w:val="Compact"/>
              <w:jc w:val="left"/>
            </w:pPr>
            <w:r>
              <w:t xml:space="preserve">3</w:t>
            </w:r>
          </w:p>
        </w:tc>
      </w:tr>
    </w:tbl>
    <w:p>
      <w:pPr>
        <w:pStyle w:val="BodyText"/>
      </w:pPr>
      <w:r>
        <w:t xml:space="preserve">Look at the tracker every week. Three numbers tell you whether the method is working:</w:t>
      </w:r>
      <w:r>
        <w:t xml:space="preserve"> </w:t>
      </w:r>
      <w:r>
        <w:rPr>
          <w:bCs/>
          <w:b/>
        </w:rPr>
        <w:t xml:space="preserve">flashcard retention</w:t>
      </w:r>
      <w:r>
        <w:t xml:space="preserve">, meaning the fraction recalled on review, where around 85–90 % is a healthy target;</w:t>
      </w:r>
      <w:r>
        <w:t xml:space="preserve"> </w:t>
      </w:r>
      <w:r>
        <w:rPr>
          <w:bCs/>
          <w:b/>
        </w:rPr>
        <w:t xml:space="preserve">average drawing score</w:t>
      </w:r>
      <w:r>
        <w:t xml:space="preserve">, which should rise over a quarter; and</w:t>
      </w:r>
      <w:r>
        <w:t xml:space="preserve"> </w:t>
      </w:r>
      <w:r>
        <w:rPr>
          <w:bCs/>
          <w:b/>
        </w:rPr>
        <w:t xml:space="preserve">loops completed per month</w:t>
      </w:r>
      <w:r>
        <w:t xml:space="preserve">, about four on the beginner path. If retention falls below about 80 %, you are adding cards faster than you are learning them. Slow down. If drawing scores stall, put more time into loop step 3.</w:t>
      </w:r>
    </w:p>
    <w:bookmarkEnd w:id="327"/>
    <w:bookmarkEnd w:id="328"/>
    <w:bookmarkStart w:id="329" w:name="summary-and-revision-notes-2"/>
    <w:p>
      <w:pPr>
        <w:pStyle w:val="Heading2"/>
      </w:pPr>
      <w:r>
        <w:t xml:space="preserve">3.11 Summary and revision notes</w:t>
      </w:r>
    </w:p>
    <w:p>
      <w:pPr>
        <w:pStyle w:val="CalloutSummary"/>
      </w:pPr>
      <w:r>
        <w:rPr>
          <w:bCs/>
          <w:b/>
        </w:rPr>
        <w:t xml:space="preserve">SUMMARY</w:t>
      </w:r>
    </w:p>
    <w:p>
      <w:pPr>
        <w:numPr>
          <w:ilvl w:val="0"/>
          <w:numId w:val="1077"/>
        </w:numPr>
        <w:pStyle w:val="Compact"/>
      </w:pPr>
      <w:r>
        <w:t xml:space="preserve">Mastery means you can</w:t>
      </w:r>
      <w:r>
        <w:t xml:space="preserve"> </w:t>
      </w:r>
      <w:r>
        <w:rPr>
          <w:bCs/>
          <w:b/>
        </w:rPr>
        <w:t xml:space="preserve">produce</w:t>
      </w:r>
      <w:r>
        <w:t xml:space="preserve"> </w:t>
      </w:r>
      <w:r>
        <w:t xml:space="preserve">the concept without notes: define it, draw it, build it, use it and explain it. Recognizing it when you read it does not count.</w:t>
      </w:r>
    </w:p>
    <w:p>
      <w:pPr>
        <w:numPr>
          <w:ilvl w:val="0"/>
          <w:numId w:val="1077"/>
        </w:numPr>
        <w:pStyle w:val="Compact"/>
      </w:pPr>
      <w:r>
        <w:t xml:space="preserve">The</w:t>
      </w:r>
      <w:r>
        <w:t xml:space="preserve"> </w:t>
      </w:r>
      <w:r>
        <w:rPr>
          <w:bCs/>
          <w:b/>
        </w:rPr>
        <w:t xml:space="preserve">ten-step loop</w:t>
      </w:r>
      <w:r>
        <w:t xml:space="preserve"> </w:t>
      </w:r>
      <w:r>
        <w:t xml:space="preserve">turns each concept into ten artifacts. Step 10 (explain independently) checks the other nine, and any gap sends you back to step 3.</w:t>
      </w:r>
    </w:p>
    <w:p>
      <w:pPr>
        <w:numPr>
          <w:ilvl w:val="0"/>
          <w:numId w:val="1077"/>
        </w:numPr>
        <w:pStyle w:val="Compact"/>
      </w:pPr>
      <w:r>
        <w:t xml:space="preserve">Consistent hashing shows the loop’s value. The formula predicts that ~80 % of keys move under mod-N and ~20 % under a ring when going from 4 to 5 nodes. A 60-line build confirmed it and showed that virtual nodes cut the busiest node’s load from 2.6× to 1.08× the mean.</w:t>
      </w:r>
    </w:p>
    <w:p>
      <w:pPr>
        <w:numPr>
          <w:ilvl w:val="0"/>
          <w:numId w:val="1077"/>
        </w:numPr>
        <w:pStyle w:val="Compact"/>
      </w:pPr>
      <w:r>
        <w:rPr>
          <w:bCs/>
          <w:b/>
        </w:rPr>
        <w:t xml:space="preserve">Retrieval practice</w:t>
      </w:r>
      <w:r>
        <w:t xml:space="preserve"> </w:t>
      </w:r>
      <w:r>
        <w:t xml:space="preserve">and</w:t>
      </w:r>
      <w:r>
        <w:t xml:space="preserve"> </w:t>
      </w:r>
      <w:r>
        <w:rPr>
          <w:bCs/>
          <w:b/>
        </w:rPr>
        <w:t xml:space="preserve">spacing</w:t>
      </w:r>
      <w:r>
        <w:t xml:space="preserve"> </w:t>
      </w:r>
      <w:r>
        <w:t xml:space="preserve">have the strongest evidence. Rereading and highlighting have the weakest [Dunlosky et al. 2013]. Self-explanation and interleaving have moderate support. Deliberate practice helps, but it explains only part of the differences in expertise.</w:t>
      </w:r>
    </w:p>
    <w:p>
      <w:pPr>
        <w:numPr>
          <w:ilvl w:val="0"/>
          <w:numId w:val="1077"/>
        </w:numPr>
        <w:pStyle w:val="Compact"/>
      </w:pPr>
      <w:r>
        <w:t xml:space="preserve">Read papers in</w:t>
      </w:r>
      <w:r>
        <w:t xml:space="preserve"> </w:t>
      </w:r>
      <w:r>
        <w:rPr>
          <w:bCs/>
          <w:b/>
        </w:rPr>
        <w:t xml:space="preserve">three passes</w:t>
      </w:r>
      <w:r>
        <w:t xml:space="preserve"> </w:t>
      </w:r>
      <w:r>
        <w:t xml:space="preserve">[Keshav 2007]. Read blogs as evidence of one team’s choices under their own constraints, and label every claim Primary, Secondary or Illustrative.</w:t>
      </w:r>
    </w:p>
    <w:p>
      <w:pPr>
        <w:numPr>
          <w:ilvl w:val="0"/>
          <w:numId w:val="1077"/>
        </w:numPr>
        <w:pStyle w:val="Compact"/>
      </w:pPr>
      <w:r>
        <w:rPr>
          <w:bCs/>
          <w:b/>
        </w:rPr>
        <w:t xml:space="preserve">Drawing from memory</w:t>
      </w:r>
      <w:r>
        <w:t xml:space="preserve"> </w:t>
      </w:r>
      <w:r>
        <w:t xml:space="preserve">builds chunks. Score your drawings out of 12 on components, flows, sync/async, protocols, storage and failure points.</w:t>
      </w:r>
    </w:p>
    <w:p>
      <w:pPr>
        <w:numPr>
          <w:ilvl w:val="0"/>
          <w:numId w:val="1077"/>
        </w:numPr>
        <w:pStyle w:val="Compact"/>
      </w:pPr>
      <w:r>
        <w:rPr>
          <w:bCs/>
          <w:b/>
        </w:rPr>
        <w:t xml:space="preserve">Simplified implementations</w:t>
      </w:r>
      <w:r>
        <w:t xml:space="preserve"> </w:t>
      </w:r>
      <w:r>
        <w:t xml:space="preserve">keep the mechanism, fake the environment, print a measurement and inject a failure.</w:t>
      </w:r>
    </w:p>
    <w:p>
      <w:pPr>
        <w:numPr>
          <w:ilvl w:val="0"/>
          <w:numId w:val="1077"/>
        </w:numPr>
        <w:pStyle w:val="Compact"/>
      </w:pPr>
      <w:r>
        <w:t xml:space="preserve">Beginners: follow the 12-month path to reach L2 by month 6 and L3 on core Book I material by month 12. Experienced engineers: rank gaps with</w:t>
      </w:r>
      <w:r>
        <w:t xml:space="preserve"> </w:t>
      </w:r>
      <m:oMath>
        <m:r>
          <m:t>P</m:t>
        </m:r>
        <m:r>
          <m:rPr>
            <m:sty m:val="p"/>
          </m:rPr>
          <m:t>=</m:t>
        </m:r>
        <m:d>
          <m:dPr>
            <m:begChr m:val="("/>
            <m:endChr m:val=")"/>
            <m:sepChr m:val=""/>
            <m:grow/>
          </m:dPr>
          <m:e>
            <m:r>
              <m:t>T</m:t>
            </m:r>
            <m:r>
              <m:rPr>
                <m:sty m:val="p"/>
              </m:rPr>
              <m:t>−</m:t>
            </m:r>
            <m:r>
              <m:t>C</m:t>
            </m:r>
          </m:e>
        </m:d>
        <m:r>
          <m:rPr>
            <m:sty m:val="p"/>
          </m:rPr>
          <m:t>×</m:t>
        </m:r>
        <m:r>
          <m:t>W</m:t>
        </m:r>
      </m:oMath>
      <w:r>
        <w:t xml:space="preserve">, use design reviews as deliberate practice and study one incident report a week.</w:t>
      </w:r>
    </w:p>
    <w:p>
      <w:pPr>
        <w:numPr>
          <w:ilvl w:val="0"/>
          <w:numId w:val="1077"/>
        </w:numPr>
        <w:pStyle w:val="Compact"/>
      </w:pPr>
      <w:r>
        <w:t xml:space="preserve">Track flashcard retention (~85–90 %), drawing scores and loops per month. Judge your level by your weakest dimensions.</w:t>
      </w:r>
    </w:p>
    <w:bookmarkEnd w:id="329"/>
    <w:bookmarkStart w:id="330" w:name="knowledge-checkpoint-2"/>
    <w:p>
      <w:pPr>
        <w:pStyle w:val="Heading2"/>
      </w:pPr>
      <w:r>
        <w:t xml:space="preserve">3.12 Knowledge checkpoint</w:t>
      </w:r>
    </w:p>
    <w:p>
      <w:pPr>
        <w:numPr>
          <w:ilvl w:val="0"/>
          <w:numId w:val="1078"/>
        </w:numPr>
        <w:pStyle w:val="Compact"/>
      </w:pPr>
      <w:r>
        <w:t xml:space="preserve">What artifact does each of loop steps 2, 4, 8 and 10 produce?</w:t>
      </w:r>
    </w:p>
    <w:p>
      <w:pPr>
        <w:numPr>
          <w:ilvl w:val="0"/>
          <w:numId w:val="1078"/>
        </w:numPr>
        <w:pStyle w:val="Compact"/>
      </w:pPr>
      <w:r>
        <w:t xml:space="preserve">Why does the loop return to step 3, not step 1, when step 10 reveals a gap?</w:t>
      </w:r>
    </w:p>
    <w:p>
      <w:pPr>
        <w:numPr>
          <w:ilvl w:val="0"/>
          <w:numId w:val="1078"/>
        </w:numPr>
        <w:pStyle w:val="Compact"/>
      </w:pPr>
      <w:r>
        <w:t xml:space="preserve">Using the formula, what fraction of keys move when a mod-N cluster grows from 9 to 10 nodes? And under consistent hashing?</w:t>
      </w:r>
    </w:p>
    <w:p>
      <w:pPr>
        <w:numPr>
          <w:ilvl w:val="0"/>
          <w:numId w:val="1078"/>
        </w:numPr>
        <w:pStyle w:val="Compact"/>
      </w:pPr>
      <w:r>
        <w:t xml:space="preserve">Why does Python’s built-in</w:t>
      </w:r>
      <w:r>
        <w:t xml:space="preserve"> </w:t>
      </w:r>
      <w:r>
        <w:rPr>
          <w:rStyle w:val="VerbatimChar"/>
        </w:rPr>
        <w:t xml:space="preserve">hash()</w:t>
      </w:r>
      <w:r>
        <w:t xml:space="preserve"> </w:t>
      </w:r>
      <w:r>
        <w:t xml:space="preserve">make a poor ring hash for a multi-process service?</w:t>
      </w:r>
    </w:p>
    <w:p>
      <w:pPr>
        <w:numPr>
          <w:ilvl w:val="0"/>
          <w:numId w:val="1078"/>
        </w:numPr>
        <w:pStyle w:val="Compact"/>
      </w:pPr>
      <w:r>
        <w:t xml:space="preserve">Name two techniques Dunlosky et al. rated high utility and two they rated low.</w:t>
      </w:r>
    </w:p>
    <w:p>
      <w:pPr>
        <w:numPr>
          <w:ilvl w:val="0"/>
          <w:numId w:val="1078"/>
        </w:numPr>
        <w:pStyle w:val="Compact"/>
      </w:pPr>
      <w:r>
        <w:t xml:space="preserve">In Roediger and Karpicke’s experiment, which condition did best at five minutes and which at one week?</w:t>
      </w:r>
    </w:p>
    <w:p>
      <w:pPr>
        <w:numPr>
          <w:ilvl w:val="0"/>
          <w:numId w:val="1078"/>
        </w:numPr>
        <w:pStyle w:val="Compact"/>
      </w:pPr>
      <w:r>
        <w:t xml:space="preserve">According to Cepeda et al. (2008), does the best review gap, as a fraction of the retention interval, grow or shrink as the retention interval gets longer?</w:t>
      </w:r>
    </w:p>
    <w:p>
      <w:pPr>
        <w:numPr>
          <w:ilvl w:val="0"/>
          <w:numId w:val="1078"/>
        </w:numPr>
        <w:pStyle w:val="Compact"/>
      </w:pPr>
      <w:r>
        <w:t xml:space="preserve">What is the difference between interleaved and blocked practice, and why does interleaving suit system design?</w:t>
      </w:r>
    </w:p>
    <w:p>
      <w:pPr>
        <w:numPr>
          <w:ilvl w:val="0"/>
          <w:numId w:val="1078"/>
        </w:numPr>
        <w:pStyle w:val="Compact"/>
      </w:pPr>
      <w:r>
        <w:t xml:space="preserve">List Keshav’s five Cs.</w:t>
      </w:r>
    </w:p>
    <w:p>
      <w:pPr>
        <w:numPr>
          <w:ilvl w:val="0"/>
          <w:numId w:val="1078"/>
        </w:numPr>
        <w:pStyle w:val="Compact"/>
      </w:pPr>
      <w:r>
        <w:t xml:space="preserve">Which pass of the three-pass method feeds loop steps 5–8, and roughly how long does it take a beginner?</w:t>
      </w:r>
    </w:p>
    <w:p>
      <w:pPr>
        <w:numPr>
          <w:ilvl w:val="0"/>
          <w:numId w:val="1078"/>
        </w:numPr>
        <w:pStyle w:val="Compact"/>
      </w:pPr>
      <w:r>
        <w:t xml:space="preserve">Give three questions from the blog-reading checklist.</w:t>
      </w:r>
    </w:p>
    <w:p>
      <w:pPr>
        <w:numPr>
          <w:ilvl w:val="0"/>
          <w:numId w:val="1078"/>
        </w:numPr>
        <w:pStyle w:val="Compact"/>
      </w:pPr>
      <w:r>
        <w:t xml:space="preserve">What did Chase and Simon’s random-position condition show about expertise?</w:t>
      </w:r>
    </w:p>
    <w:p>
      <w:pPr>
        <w:numPr>
          <w:ilvl w:val="0"/>
          <w:numId w:val="1078"/>
        </w:numPr>
        <w:pStyle w:val="Compact"/>
      </w:pPr>
      <w:r>
        <w:t xml:space="preserve">State four scoping rules for a simplified implementation.</w:t>
      </w:r>
    </w:p>
    <w:p>
      <w:pPr>
        <w:numPr>
          <w:ilvl w:val="0"/>
          <w:numId w:val="1078"/>
        </w:numPr>
        <w:pStyle w:val="Compact"/>
      </w:pPr>
      <w:r>
        <w:t xml:space="preserve">Compute the gap priority for a part with target 3, current 1 and weight 2.</w:t>
      </w:r>
    </w:p>
    <w:p>
      <w:pPr>
        <w:numPr>
          <w:ilvl w:val="0"/>
          <w:numId w:val="1078"/>
        </w:numPr>
        <w:pStyle w:val="Compact"/>
      </w:pPr>
      <w:r>
        <w:t xml:space="preserve">In a postmortem study, why separate the trigger from the contributing factors?</w:t>
      </w:r>
    </w:p>
    <w:p>
      <w:pPr>
        <w:numPr>
          <w:ilvl w:val="0"/>
          <w:numId w:val="1078"/>
        </w:numPr>
        <w:pStyle w:val="Compact"/>
      </w:pPr>
      <w:r>
        <w:t xml:space="preserve">Your flashcard retention has fallen to 72 %. What should you change?</w:t>
      </w:r>
    </w:p>
    <w:p>
      <w:pPr>
        <w:pStyle w:val="FirstParagraph"/>
      </w:pPr>
      <w:r>
        <w:t xml:space="preserve">Answers</w:t>
      </w:r>
    </w:p>
    <w:p>
      <w:pPr>
        <w:numPr>
          <w:ilvl w:val="0"/>
          <w:numId w:val="1079"/>
        </w:numPr>
        <w:pStyle w:val="Compact"/>
      </w:pPr>
      <w:r>
        <w:t xml:space="preserve">Step 2: a</w:t>
      </w:r>
      <w:r>
        <w:t xml:space="preserve"> </w:t>
      </w:r>
      <w:r>
        <w:t xml:space="preserve">“</w:t>
      </w:r>
      <w:r>
        <w:t xml:space="preserve">before</w:t>
      </w:r>
      <w:r>
        <w:t xml:space="preserve">”</w:t>
      </w:r>
      <w:r>
        <w:t xml:space="preserve"> </w:t>
      </w:r>
      <w:r>
        <w:t xml:space="preserve">scenario with numbers. Step 4: a diagram drawn from memory. Step 8: a runnable program that prints a measurement. Step 10: a 2–5 minute explanation given without notes.</w:t>
      </w:r>
    </w:p>
    <w:p>
      <w:pPr>
        <w:numPr>
          <w:ilvl w:val="0"/>
          <w:numId w:val="1079"/>
        </w:numPr>
        <w:pStyle w:val="Compact"/>
      </w:pPr>
      <w:r>
        <w:t xml:space="preserve">Most gaps in an explanation are gaps in the mechanism. The definition (step 1) is rarely what is missing.</w:t>
      </w:r>
    </w:p>
    <w:p>
      <w:pPr>
        <w:numPr>
          <w:ilvl w:val="0"/>
          <w:numId w:val="1079"/>
        </w:numPr>
        <w:pStyle w:val="Compact"/>
      </w:pPr>
      <w:r>
        <w:t xml:space="preserve">Mod-N:</w:t>
      </w:r>
      <w:r>
        <w:t xml:space="preserve"> </w:t>
      </w:r>
      <m:oMath>
        <m:r>
          <m:t>N</m:t>
        </m:r>
        <m:r>
          <m:rPr>
            <m:sty m:val="p"/>
          </m:rPr>
          <m:t>/</m:t>
        </m:r>
        <m:d>
          <m:dPr>
            <m:begChr m:val="("/>
            <m:endChr m:val=")"/>
            <m:sepChr m:val=""/>
            <m:grow/>
          </m:dPr>
          <m:e>
            <m:r>
              <m:t>N</m:t>
            </m:r>
            <m:r>
              <m:rPr>
                <m:sty m:val="p"/>
              </m:rPr>
              <m:t>+</m:t>
            </m:r>
            <m:r>
              <m:t>1</m:t>
            </m:r>
          </m:e>
        </m:d>
        <m:r>
          <m:rPr>
            <m:sty m:val="p"/>
          </m:rPr>
          <m:t>=</m:t>
        </m:r>
        <m:r>
          <m:t>9</m:t>
        </m:r>
        <m:r>
          <m:rPr>
            <m:sty m:val="p"/>
          </m:rPr>
          <m:t>/</m:t>
        </m:r>
        <m:r>
          <m:t>10</m:t>
        </m:r>
        <m:r>
          <m:rPr>
            <m:sty m:val="p"/>
          </m:rPr>
          <m:t>=</m:t>
        </m:r>
        <m:r>
          <m:t>90</m:t>
        </m:r>
        <m:r>
          <m:rPr>
            <m:sty m:val="p"/>
          </m:rPr>
          <m:t>%</m:t>
        </m:r>
      </m:oMath>
      <w:r>
        <w:t xml:space="preserve">. Consistent hashing: about</w:t>
      </w:r>
      <w:r>
        <w:t xml:space="preserve"> </w:t>
      </w:r>
      <m:oMath>
        <m:r>
          <m:t>1</m:t>
        </m:r>
        <m:r>
          <m:rPr>
            <m:sty m:val="p"/>
          </m:rPr>
          <m:t>/</m:t>
        </m:r>
        <m:d>
          <m:dPr>
            <m:begChr m:val="("/>
            <m:endChr m:val=")"/>
            <m:sepChr m:val=""/>
            <m:grow/>
          </m:dPr>
          <m:e>
            <m:r>
              <m:t>N</m:t>
            </m:r>
            <m:r>
              <m:rPr>
                <m:sty m:val="p"/>
              </m:rPr>
              <m:t>+</m:t>
            </m:r>
            <m:r>
              <m:t>1</m:t>
            </m:r>
          </m:e>
        </m:d>
        <m:r>
          <m:rPr>
            <m:sty m:val="p"/>
          </m:rPr>
          <m:t>=</m:t>
        </m:r>
        <m:r>
          <m:t>10</m:t>
        </m:r>
        <m:r>
          <m:rPr>
            <m:sty m:val="p"/>
          </m:rPr>
          <m:t>%</m:t>
        </m:r>
      </m:oMath>
      <w:r>
        <w:t xml:space="preserve">.</w:t>
      </w:r>
    </w:p>
    <w:p>
      <w:pPr>
        <w:numPr>
          <w:ilvl w:val="0"/>
          <w:numId w:val="1079"/>
        </w:numPr>
        <w:pStyle w:val="Compact"/>
      </w:pPr>
      <w:r>
        <w:t xml:space="preserve">Python randomizes</w:t>
      </w:r>
      <w:r>
        <w:t xml:space="preserve"> </w:t>
      </w:r>
      <w:r>
        <w:rPr>
          <w:rStyle w:val="VerbatimChar"/>
        </w:rPr>
        <w:t xml:space="preserve">hash()</w:t>
      </w:r>
      <w:r>
        <w:t xml:space="preserve"> </w:t>
      </w:r>
      <w:r>
        <w:t xml:space="preserve">for strings in each process, so different processes would build different rings. That is a split-view failure.</w:t>
      </w:r>
    </w:p>
    <w:p>
      <w:pPr>
        <w:numPr>
          <w:ilvl w:val="0"/>
          <w:numId w:val="1079"/>
        </w:numPr>
        <w:pStyle w:val="Compact"/>
      </w:pPr>
      <w:r>
        <w:t xml:space="preserve">High: practice testing and distributed practice. Low: any two of rereading, highlighting, summarization, keyword mnemonic and imagery for text.</w:t>
      </w:r>
    </w:p>
    <w:p>
      <w:pPr>
        <w:numPr>
          <w:ilvl w:val="0"/>
          <w:numId w:val="1079"/>
        </w:numPr>
        <w:pStyle w:val="Compact"/>
      </w:pPr>
      <w:r>
        <w:t xml:space="preserve">At five minutes, repeated study (SSSS) did best. At one week, repeated testing (STTT) did best, about 61 % against 40 %.</w:t>
      </w:r>
    </w:p>
    <w:p>
      <w:pPr>
        <w:numPr>
          <w:ilvl w:val="0"/>
          <w:numId w:val="1079"/>
        </w:numPr>
        <w:pStyle w:val="Compact"/>
      </w:pPr>
      <w:r>
        <w:t xml:space="preserve">It shrinks: from about 20–40 % for a one-week interval to about 5–10 % for a one-year interval.</w:t>
      </w:r>
    </w:p>
    <w:p>
      <w:pPr>
        <w:numPr>
          <w:ilvl w:val="0"/>
          <w:numId w:val="1079"/>
        </w:numPr>
        <w:pStyle w:val="Compact"/>
      </w:pPr>
      <w:r>
        <w:t xml:space="preserve">Interleaving mixes problem types within a session, while blocking finishes one type before starting the next. Real design problems do not say which tool they need, and interleaving trains you to choose.</w:t>
      </w:r>
    </w:p>
    <w:p>
      <w:pPr>
        <w:numPr>
          <w:ilvl w:val="0"/>
          <w:numId w:val="1079"/>
        </w:numPr>
        <w:pStyle w:val="Compact"/>
      </w:pPr>
      <w:r>
        <w:t xml:space="preserve">Category, Context, Correctness, Contributions, Clarity.</w:t>
      </w:r>
    </w:p>
    <w:p>
      <w:pPr>
        <w:numPr>
          <w:ilvl w:val="0"/>
          <w:numId w:val="1079"/>
        </w:numPr>
        <w:pStyle w:val="Compact"/>
      </w:pPr>
      <w:r>
        <w:t xml:space="preserve">The third pass, which takes about 4–5 hours for a beginner.</w:t>
      </w:r>
    </w:p>
    <w:p>
      <w:pPr>
        <w:numPr>
          <w:ilvl w:val="0"/>
          <w:numId w:val="1079"/>
        </w:numPr>
        <w:pStyle w:val="Compact"/>
      </w:pPr>
      <w:r>
        <w:t xml:space="preserve">Any three of: What was the workload and scale? What was the baseline? What failed? What did it cost? When was it written? Can it be checked? Who benefits?</w:t>
      </w:r>
    </w:p>
    <w:p>
      <w:pPr>
        <w:numPr>
          <w:ilvl w:val="0"/>
          <w:numId w:val="1079"/>
        </w:numPr>
        <w:pStyle w:val="Compact"/>
      </w:pPr>
      <w:r>
        <w:t xml:space="preserve">On random positions, the masters’ advantage largely disappeared. Their expertise was stored as meaningful patterns (chunks), not as better general memory.</w:t>
      </w:r>
    </w:p>
    <w:p>
      <w:pPr>
        <w:numPr>
          <w:ilvl w:val="0"/>
          <w:numId w:val="1079"/>
        </w:numPr>
        <w:pStyle w:val="Compact"/>
      </w:pPr>
      <w:r>
        <w:t xml:space="preserve">Keep the mechanism and fake the environment; one file under 300 lines; build in a measurement; inject one failure; compare with a real system afterwards.</w:t>
      </w:r>
    </w:p>
    <w:p>
      <w:pPr>
        <w:numPr>
          <w:ilvl w:val="0"/>
          <w:numId w:val="1079"/>
        </w:numPr>
        <w:pStyle w:val="Compact"/>
      </w:pPr>
      <m:oMath>
        <m:r>
          <m:t>P</m:t>
        </m:r>
        <m:r>
          <m:rPr>
            <m:sty m:val="p"/>
          </m:rPr>
          <m:t>=</m:t>
        </m:r>
        <m:d>
          <m:dPr>
            <m:begChr m:val="("/>
            <m:endChr m:val=")"/>
            <m:sepChr m:val=""/>
            <m:grow/>
          </m:dPr>
          <m:e>
            <m:r>
              <m:t>3</m:t>
            </m:r>
            <m:r>
              <m:rPr>
                <m:sty m:val="p"/>
              </m:rPr>
              <m:t>−</m:t>
            </m:r>
            <m:r>
              <m:t>1</m:t>
            </m:r>
          </m:e>
        </m:d>
        <m:r>
          <m:rPr>
            <m:sty m:val="p"/>
          </m:rPr>
          <m:t>×</m:t>
        </m:r>
        <m:r>
          <m:t>2</m:t>
        </m:r>
        <m:r>
          <m:rPr>
            <m:sty m:val="p"/>
          </m:rPr>
          <m:t>=</m:t>
        </m:r>
        <m:r>
          <m:t>4</m:t>
        </m:r>
      </m:oMath>
      <w:r>
        <w:t xml:space="preserve">.</w:t>
      </w:r>
    </w:p>
    <w:p>
      <w:pPr>
        <w:numPr>
          <w:ilvl w:val="0"/>
          <w:numId w:val="1079"/>
        </w:numPr>
        <w:pStyle w:val="Compact"/>
      </w:pPr>
      <w:r>
        <w:t xml:space="preserve">The trigger explains how the incident started. The contributing factors explain why it spread and why recovery was slow, and those are what design can change.</w:t>
      </w:r>
    </w:p>
    <w:p>
      <w:pPr>
        <w:numPr>
          <w:ilvl w:val="0"/>
          <w:numId w:val="1079"/>
        </w:numPr>
        <w:pStyle w:val="Compact"/>
      </w:pPr>
      <w:r>
        <w:t xml:space="preserve">Add fewer new cards, and rewrite or split the cards that keep falling back to box 0. Cards that are too big or vague cause most of the failures.</w:t>
      </w:r>
    </w:p>
    <w:bookmarkEnd w:id="330"/>
    <w:bookmarkStart w:id="334" w:name="interview-questions-2"/>
    <w:p>
      <w:pPr>
        <w:pStyle w:val="Heading2"/>
      </w:pPr>
      <w:r>
        <w:t xml:space="preserve">3.13 Interview questions</w:t>
      </w:r>
    </w:p>
    <w:p>
      <w:pPr>
        <w:pStyle w:val="FirstParagraph"/>
      </w:pPr>
      <w:r>
        <w:t xml:space="preserve">Interviewers sometimes ask how you learn, especially for senior roles. The concept used to demonstrate the loop, consistent hashing, also comes up often in interviews.</w:t>
      </w:r>
    </w:p>
    <w:bookmarkStart w:id="331" w:name="basic-2"/>
    <w:p>
      <w:pPr>
        <w:pStyle w:val="Heading3"/>
      </w:pPr>
      <w:r>
        <w:t xml:space="preserve">Basic</w:t>
      </w:r>
    </w:p>
    <w:p>
      <w:pPr>
        <w:pStyle w:val="FirstParagraph"/>
      </w:pPr>
      <w:r>
        <w:rPr>
          <w:bCs/>
          <w:b/>
        </w:rPr>
        <w:t xml:space="preserve">Q1. How do you get up to speed on a technology you have never used?</w:t>
      </w:r>
      <w:r>
        <w:t xml:space="preserve"> </w:t>
      </w:r>
      <w:r>
        <w:rPr>
          <w:bCs/>
          <w:b/>
        </w:rPr>
        <w:t xml:space="preserve">Answer.</w:t>
      </w:r>
      <w:r>
        <w:t xml:space="preserve"> </w:t>
      </w:r>
      <w:r>
        <w:t xml:space="preserve">Describe a method, not a list of resources: find the problem it solves and what came before it; first-pass the official architecture docs or paper; draw the architecture from memory and check it; build a toy that measures something you care about; read its known failure modes or incident reports; and write a one-page summary for your team, which exposes what you do not yet understand.</w:t>
      </w:r>
    </w:p>
    <w:p>
      <w:pPr>
        <w:pStyle w:val="BodyText"/>
      </w:pPr>
      <w:r>
        <w:rPr>
          <w:bCs/>
          <w:b/>
        </w:rPr>
        <w:t xml:space="preserve">Q2. Why does</w:t>
      </w:r>
      <w:r>
        <w:rPr>
          <w:bCs/>
          <w:b/>
        </w:rPr>
        <w:t xml:space="preserve"> </w:t>
      </w:r>
      <w:r>
        <w:rPr>
          <w:rStyle w:val="VerbatimChar"/>
          <w:bCs/>
          <w:b/>
        </w:rPr>
        <w:t xml:space="preserve">hash(key) mod N</w:t>
      </w:r>
      <w:r>
        <w:rPr>
          <w:bCs/>
          <w:b/>
        </w:rPr>
        <w:t xml:space="preserve"> </w:t>
      </w:r>
      <w:r>
        <w:rPr>
          <w:bCs/>
          <w:b/>
        </w:rPr>
        <w:t xml:space="preserve">cause problems when you add a cache node?</w:t>
      </w:r>
      <w:r>
        <w:t xml:space="preserve"> </w:t>
      </w:r>
      <w:r>
        <w:rPr>
          <w:bCs/>
          <w:b/>
        </w:rPr>
        <w:t xml:space="preserve">Answer.</w:t>
      </w:r>
      <w:r>
        <w:t xml:space="preserve"> </w:t>
      </w:r>
      <w:r>
        <w:t xml:space="preserve">With uniform hashing, about</w:t>
      </w:r>
      <w:r>
        <w:t xml:space="preserve"> </w:t>
      </w:r>
      <m:oMath>
        <m:r>
          <m:t>N</m:t>
        </m:r>
        <m:r>
          <m:rPr>
            <m:sty m:val="p"/>
          </m:rPr>
          <m:t>/</m:t>
        </m:r>
        <m:d>
          <m:dPr>
            <m:begChr m:val="("/>
            <m:endChr m:val=")"/>
            <m:sepChr m:val=""/>
            <m:grow/>
          </m:dPr>
          <m:e>
            <m:r>
              <m:t>N</m:t>
            </m:r>
            <m:r>
              <m:rPr>
                <m:sty m:val="p"/>
              </m:rPr>
              <m:t>+</m:t>
            </m:r>
            <m:r>
              <m:t>1</m:t>
            </m:r>
          </m:e>
        </m:d>
      </m:oMath>
      <w:r>
        <w:t xml:space="preserve"> </w:t>
      </w:r>
      <w:r>
        <w:t xml:space="preserve">of keys change owner, so most of the cache misses at once and the load falls on the database. Consistent hashing moves only about</w:t>
      </w:r>
      <w:r>
        <w:t xml:space="preserve"> </w:t>
      </w:r>
      <m:oMath>
        <m:r>
          <m:t>1</m:t>
        </m:r>
        <m:r>
          <m:rPr>
            <m:sty m:val="p"/>
          </m:rPr>
          <m:t>/</m:t>
        </m:r>
        <m:d>
          <m:dPr>
            <m:begChr m:val="("/>
            <m:endChr m:val=")"/>
            <m:sepChr m:val=""/>
            <m:grow/>
          </m:dPr>
          <m:e>
            <m:r>
              <m:t>N</m:t>
            </m:r>
            <m:r>
              <m:rPr>
                <m:sty m:val="p"/>
              </m:rPr>
              <m:t>+</m:t>
            </m:r>
            <m:r>
              <m:t>1</m:t>
            </m:r>
          </m:e>
        </m:d>
      </m:oMath>
      <w:r>
        <w:t xml:space="preserve"> </w:t>
      </w:r>
      <w:r>
        <w:t xml:space="preserve">of keys, all of them to the new node.</w:t>
      </w:r>
    </w:p>
    <w:bookmarkEnd w:id="331"/>
    <w:bookmarkStart w:id="332" w:name="intermediate-2"/>
    <w:p>
      <w:pPr>
        <w:pStyle w:val="Heading3"/>
      </w:pPr>
      <w:r>
        <w:t xml:space="preserve">Intermediate</w:t>
      </w:r>
    </w:p>
    <w:p>
      <w:pPr>
        <w:pStyle w:val="FirstParagraph"/>
      </w:pPr>
      <w:r>
        <w:rPr>
          <w:bCs/>
          <w:b/>
        </w:rPr>
        <w:t xml:space="preserve">Q3. What do virtual nodes fix in consistent hashing, and what do they cost?</w:t>
      </w:r>
      <w:r>
        <w:t xml:space="preserve"> </w:t>
      </w:r>
      <w:r>
        <w:rPr>
          <w:bCs/>
          <w:b/>
        </w:rPr>
        <w:t xml:space="preserve">Answer.</w:t>
      </w:r>
      <w:r>
        <w:t xml:space="preserve"> </w:t>
      </w:r>
      <w:r>
        <w:t xml:space="preserve">With one position per node, arc lengths vary widely, so one node can carry two or three times its share. A dead node’s whole load also lands on a single successor. With</w:t>
      </w:r>
      <w:r>
        <w:t xml:space="preserve"> </w:t>
      </w:r>
      <m:oMath>
        <m:r>
          <m:t>V</m:t>
        </m:r>
      </m:oMath>
      <w:r>
        <w:t xml:space="preserve"> </w:t>
      </w:r>
      <w:r>
        <w:t xml:space="preserve">vnodes per node, load evens out, the spread shrinking roughly as</w:t>
      </w:r>
      <w:r>
        <w:t xml:space="preserve"> </w:t>
      </w:r>
      <m:oMath>
        <m:r>
          <m:t>1</m:t>
        </m:r>
        <m:r>
          <m:rPr>
            <m:sty m:val="p"/>
          </m:rPr>
          <m:t>/</m:t>
        </m:r>
        <m:rad>
          <m:radPr>
            <m:degHide m:val="on"/>
          </m:radPr>
          <m:deg/>
          <m:e>
            <m:r>
              <m:t>V</m:t>
            </m:r>
          </m:e>
        </m:rad>
      </m:oMath>
      <w:r>
        <w:t xml:space="preserve">, and failure load is spread over many nodes. The costs are</w:t>
      </w:r>
      <w:r>
        <w:t xml:space="preserve"> </w:t>
      </w:r>
      <m:oMath>
        <m:r>
          <m:t>O</m:t>
        </m:r>
        <m:d>
          <m:dPr>
            <m:begChr m:val="("/>
            <m:endChr m:val=")"/>
            <m:sepChr m:val=""/>
            <m:grow/>
          </m:dPr>
          <m:e>
            <m:r>
              <m:t>N</m:t>
            </m:r>
            <m:r>
              <m:t>V</m:t>
            </m:r>
          </m:e>
        </m:d>
      </m:oMath>
      <w:r>
        <w:t xml:space="preserve"> </w:t>
      </w:r>
      <w:r>
        <w:t xml:space="preserve">memory for the ring, larger membership metadata and more key ranges to manage during rebalancing.</w:t>
      </w:r>
    </w:p>
    <w:p>
      <w:pPr>
        <w:pStyle w:val="BodyText"/>
      </w:pPr>
      <w:r>
        <w:rPr>
          <w:bCs/>
          <w:b/>
        </w:rPr>
        <w:t xml:space="preserve">Q4. Tell me about a postmortem you learned from.</w:t>
      </w:r>
      <w:r>
        <w:t xml:space="preserve"> </w:t>
      </w:r>
      <w:r>
        <w:rPr>
          <w:bCs/>
          <w:b/>
        </w:rPr>
        <w:t xml:space="preserve">Answer.</w:t>
      </w:r>
      <w:r>
        <w:t xml:space="preserve"> </w:t>
      </w:r>
      <w:r>
        <w:t xml:space="preserve">Choose a public report, such as the 2017 S3 disruption. Describe the trigger (a mistyped input to a capacity-removal command), the contributing factors (no minimum-capacity safeguard, and subsystems that had not been fully restarted in years at their current scale), and the design changes (slower removal, capacity floors, cell partitioning). Then say what you changed in your own work because of it.</w:t>
      </w:r>
    </w:p>
    <w:bookmarkEnd w:id="332"/>
    <w:bookmarkStart w:id="333" w:name="advanced-2"/>
    <w:p>
      <w:pPr>
        <w:pStyle w:val="Heading3"/>
      </w:pPr>
      <w:r>
        <w:t xml:space="preserve">Advanced</w:t>
      </w:r>
    </w:p>
    <w:p>
      <w:pPr>
        <w:pStyle w:val="FirstParagraph"/>
      </w:pPr>
      <w:r>
        <w:rPr>
          <w:bCs/>
          <w:b/>
        </w:rPr>
        <w:t xml:space="preserve">Q5. Your organization’s design reviews keep missing failure modes that later cause incidents. How would you change the process?</w:t>
      </w:r>
      <w:r>
        <w:t xml:space="preserve"> </w:t>
      </w:r>
      <w:r>
        <w:rPr>
          <w:bCs/>
          <w:b/>
        </w:rPr>
        <w:t xml:space="preserve">Answer.</w:t>
      </w:r>
      <w:r>
        <w:t xml:space="preserve"> </w:t>
      </w:r>
      <w:r>
        <w:t xml:space="preserve">Require a failure table in the design template (what goes wrong, why, detection, recovery, prevention); give one reviewer the explicit failure-hunting role; link each design to postmortems of similar architectures; and track whether later incidents were or were not anticipated in the design. That is deliberate practice at team scale, with feedback from real outcomes.</w:t>
      </w:r>
    </w:p>
    <w:p>
      <w:pPr>
        <w:pStyle w:val="BodyText"/>
      </w:pPr>
      <w:r>
        <w:rPr>
          <w:bCs/>
          <w:b/>
        </w:rPr>
        <w:t xml:space="preserve">Q6. A ring-based cache shows one node at 3× average CPU even with 200 vnodes per node. Diagnose it.</w:t>
      </w:r>
      <w:r>
        <w:t xml:space="preserve"> </w:t>
      </w:r>
      <w:r>
        <w:rPr>
          <w:bCs/>
          <w:b/>
        </w:rPr>
        <w:t xml:space="preserve">Answer.</w:t>
      </w:r>
      <w:r>
        <w:t xml:space="preserve"> </w:t>
      </w:r>
      <w:r>
        <w:t xml:space="preserve">With 200 vnodes, the ring itself should keep the busiest node within roughly 10 % of the mean, so look elsewhere. The likely causes are a hot key, which hashing cannot split; clients with inconsistent membership sending one range to the wrong node; or a heterogeneous node, such as a smaller instance or a noisy neighbor. Check top-K key metrics and compare ring versions across clients. Fixes include replicating hot keys, adding a local cache tier, bounded-load hashing and versioned membership.</w:t>
      </w:r>
    </w:p>
    <w:bookmarkEnd w:id="333"/>
    <w:bookmarkEnd w:id="334"/>
    <w:bookmarkStart w:id="335" w:name="practical-exercises-2"/>
    <w:p>
      <w:pPr>
        <w:pStyle w:val="Heading2"/>
      </w:pPr>
      <w:r>
        <w:t xml:space="preserve">3.14 Practical exercises</w:t>
      </w:r>
    </w:p>
    <w:p>
      <w:pPr>
        <w:numPr>
          <w:ilvl w:val="0"/>
          <w:numId w:val="1080"/>
        </w:numPr>
        <w:pStyle w:val="Compact"/>
      </w:pPr>
      <w:r>
        <w:rPr>
          <w:bCs/>
          <w:b/>
        </w:rPr>
        <w:t xml:space="preserve">Run the loop.</w:t>
      </w:r>
      <w:r>
        <w:t xml:space="preserve"> </w:t>
      </w:r>
      <w:r>
        <w:t xml:space="preserve">Take the cache-aside pattern (§20.7) through all ten steps. Turn in the ten artifacts, and use the journal template (§3.10.3) for at least one of them.</w:t>
      </w:r>
    </w:p>
    <w:p>
      <w:pPr>
        <w:numPr>
          <w:ilvl w:val="0"/>
          <w:numId w:val="1080"/>
        </w:numPr>
        <w:pStyle w:val="Compact"/>
      </w:pPr>
      <w:r>
        <w:rPr>
          <w:bCs/>
          <w:b/>
        </w:rPr>
        <w:t xml:space="preserve">Extend the ring.</w:t>
      </w:r>
      <w:r>
        <w:t xml:space="preserve"> </w:t>
      </w:r>
      <w:r>
        <w:t xml:space="preserve">Add</w:t>
      </w:r>
      <w:r>
        <w:t xml:space="preserve"> </w:t>
      </w:r>
      <w:r>
        <w:rPr>
          <w:rStyle w:val="VerbatimChar"/>
        </w:rPr>
        <w:t xml:space="preserve">get_nodes(key, r)</w:t>
      </w:r>
      <w:r>
        <w:t xml:space="preserve"> </w:t>
      </w:r>
      <w:r>
        <w:t xml:space="preserve">to the §3.3</w:t>
      </w:r>
      <w:r>
        <w:t xml:space="preserve"> </w:t>
      </w:r>
      <w:r>
        <w:rPr>
          <w:rStyle w:val="VerbatimChar"/>
        </w:rPr>
        <w:t xml:space="preserve">HashRing</w:t>
      </w:r>
      <w:r>
        <w:t xml:space="preserve"> </w:t>
      </w:r>
      <w:r>
        <w:t xml:space="preserve">so that it returns</w:t>
      </w:r>
      <w:r>
        <w:t xml:space="preserve"> </w:t>
      </w:r>
      <m:oMath>
        <m:r>
          <m:t>r</m:t>
        </m:r>
      </m:oMath>
      <w:r>
        <w:t xml:space="preserve"> </w:t>
      </w:r>
      <w:r>
        <w:t xml:space="preserve">distinct physical nodes. Measure the fraction of keys whose replica set changes when you remove a node.</w:t>
      </w:r>
    </w:p>
    <w:p>
      <w:pPr>
        <w:numPr>
          <w:ilvl w:val="0"/>
          <w:numId w:val="1080"/>
        </w:numPr>
        <w:pStyle w:val="Compact"/>
      </w:pPr>
      <w:r>
        <w:rPr>
          <w:bCs/>
          <w:b/>
        </w:rPr>
        <w:t xml:space="preserve">Measure the vnode curve.</w:t>
      </w:r>
      <w:r>
        <w:t xml:space="preserve"> </w:t>
      </w:r>
      <w:r>
        <w:t xml:space="preserve">For</w:t>
      </w:r>
      <w:r>
        <w:t xml:space="preserve"> </w:t>
      </w:r>
      <m:oMath>
        <m:r>
          <m:t>V</m:t>
        </m:r>
        <m:r>
          <m:rPr>
            <m:sty m:val="p"/>
          </m:rPr>
          <m:t>∈</m:t>
        </m:r>
        <m:r>
          <m:rPr>
            <m:sty m:val="p"/>
          </m:rPr>
          <m:t>{</m:t>
        </m:r>
        <m:r>
          <m:t>1</m:t>
        </m:r>
        <m:r>
          <m:rPr>
            <m:sty m:val="p"/>
          </m:rPr>
          <m:t>,</m:t>
        </m:r>
        <m:r>
          <m:t>10</m:t>
        </m:r>
        <m:r>
          <m:rPr>
            <m:sty m:val="p"/>
          </m:rPr>
          <m:t>,</m:t>
        </m:r>
        <m:r>
          <m:t>50</m:t>
        </m:r>
        <m:r>
          <m:rPr>
            <m:sty m:val="p"/>
          </m:rPr>
          <m:t>,</m:t>
        </m:r>
        <m:r>
          <m:t>100</m:t>
        </m:r>
        <m:r>
          <m:rPr>
            <m:sty m:val="p"/>
          </m:rPr>
          <m:t>,</m:t>
        </m:r>
        <m:r>
          <m:t>500</m:t>
        </m:r>
        <m:r>
          <m:rPr>
            <m:sty m:val="p"/>
          </m:rPr>
          <m:t>}</m:t>
        </m:r>
      </m:oMath>
      <w:r>
        <w:t xml:space="preserve">, plot max/mean load across 10 nodes. Check whether the excess over 1.0 shrinks roughly as</w:t>
      </w:r>
      <w:r>
        <w:t xml:space="preserve"> </w:t>
      </w:r>
      <m:oMath>
        <m:r>
          <m:t>1</m:t>
        </m:r>
        <m:r>
          <m:rPr>
            <m:sty m:val="p"/>
          </m:rPr>
          <m:t>/</m:t>
        </m:r>
        <m:rad>
          <m:radPr>
            <m:degHide m:val="on"/>
          </m:radPr>
          <m:deg/>
          <m:e>
            <m:r>
              <m:t>V</m:t>
            </m:r>
          </m:e>
        </m:rad>
      </m:oMath>
      <w:r>
        <w:t xml:space="preserve">.</w:t>
      </w:r>
    </w:p>
    <w:p>
      <w:pPr>
        <w:numPr>
          <w:ilvl w:val="0"/>
          <w:numId w:val="1080"/>
        </w:numPr>
        <w:pStyle w:val="Compact"/>
      </w:pPr>
      <w:r>
        <w:rPr>
          <w:bCs/>
          <w:b/>
        </w:rPr>
        <w:t xml:space="preserve">Three passes.</w:t>
      </w:r>
      <w:r>
        <w:t xml:space="preserve"> </w:t>
      </w:r>
      <w:r>
        <w:t xml:space="preserve">Read the Dynamo paper with Keshav’s method. Turn in the five Cs after pass 1, a one-paragraph summary after pass 2, and, after pass 3, a list of three assumptions that would not hold for a bank ledger.</w:t>
      </w:r>
    </w:p>
    <w:p>
      <w:pPr>
        <w:numPr>
          <w:ilvl w:val="0"/>
          <w:numId w:val="1080"/>
        </w:numPr>
        <w:pStyle w:val="Compact"/>
      </w:pPr>
      <w:r>
        <w:rPr>
          <w:bCs/>
          <w:b/>
        </w:rPr>
        <w:t xml:space="preserve">Critique a post.</w:t>
      </w:r>
      <w:r>
        <w:t xml:space="preserve"> </w:t>
      </w:r>
      <w:r>
        <w:t xml:space="preserve">Choose a recent engineering blog post about a migration. Score it against Table 3.6 and rewrite its main claim with an evidence label.</w:t>
      </w:r>
    </w:p>
    <w:bookmarkEnd w:id="335"/>
    <w:bookmarkStart w:id="336" w:name="design-challenges-2"/>
    <w:p>
      <w:pPr>
        <w:pStyle w:val="Heading2"/>
      </w:pPr>
      <w:r>
        <w:t xml:space="preserve">3.15 Design challenges</w:t>
      </w:r>
    </w:p>
    <w:p>
      <w:pPr>
        <w:numPr>
          <w:ilvl w:val="0"/>
          <w:numId w:val="1081"/>
        </w:numPr>
        <w:pStyle w:val="Compact"/>
      </w:pPr>
      <w:r>
        <w:rPr>
          <w:bCs/>
          <w:b/>
        </w:rPr>
        <w:t xml:space="preserve">Design your own learning system.</w:t>
      </w:r>
      <w:r>
        <w:t xml:space="preserve"> </w:t>
      </w:r>
      <w:r>
        <w:t xml:space="preserve">Treat your next six months of study as a system. State requirements (hours per week, target level), components (deck, journal, tracker, build repository), data flows (reading → artifacts → cards → reviews) and failure modes (backlog, burnout, illusion of competence). Add detection and recovery for each failure mode.</w:t>
      </w:r>
    </w:p>
    <w:p>
      <w:pPr>
        <w:numPr>
          <w:ilvl w:val="0"/>
          <w:numId w:val="1081"/>
        </w:numPr>
        <w:pStyle w:val="Compact"/>
      </w:pPr>
      <w:r>
        <w:rPr>
          <w:bCs/>
          <w:b/>
        </w:rPr>
        <w:t xml:space="preserve">A team incident library.</w:t>
      </w:r>
      <w:r>
        <w:t xml:space="preserve"> </w:t>
      </w:r>
      <w:r>
        <w:t xml:space="preserve">Design a lightweight internal system in which engineers log public and internal postmortems, tag them with this book’s chapters and receive spaced</w:t>
      </w:r>
      <w:r>
        <w:t xml:space="preserve"> </w:t>
      </w:r>
      <w:r>
        <w:t xml:space="preserve">“</w:t>
      </w:r>
      <w:r>
        <w:t xml:space="preserve">redraw this architecture</w:t>
      </w:r>
      <w:r>
        <w:t xml:space="preserve">”</w:t>
      </w:r>
      <w:r>
        <w:t xml:space="preserve"> </w:t>
      </w:r>
      <w:r>
        <w:t xml:space="preserve">prompts. Estimate storage and request rates for an organization of 2,000 engineers.</w:t>
      </w:r>
    </w:p>
    <w:p>
      <w:pPr>
        <w:numPr>
          <w:ilvl w:val="0"/>
          <w:numId w:val="1081"/>
        </w:numPr>
        <w:pStyle w:val="Compact"/>
      </w:pPr>
      <w:r>
        <w:rPr>
          <w:bCs/>
          <w:b/>
        </w:rPr>
        <w:t xml:space="preserve">Gap-driven onboarding.</w:t>
      </w:r>
      <w:r>
        <w:t xml:space="preserve"> </w:t>
      </w:r>
      <w:r>
        <w:t xml:space="preserve">Design a 90-day onboarding plan for an experienced engineer joining an ML-infrastructure team from a web-backend background. Use the gap formula, Table 3.11 and specific chapters from Book II.</w:t>
      </w:r>
    </w:p>
    <w:bookmarkEnd w:id="336"/>
    <w:bookmarkStart w:id="337" w:name="references-2"/>
    <w:p>
      <w:pPr>
        <w:pStyle w:val="Heading2"/>
      </w:pPr>
      <w:r>
        <w:t xml:space="preserve">3.16 References</w:t>
      </w:r>
    </w:p>
    <w:p>
      <w:pPr>
        <w:numPr>
          <w:ilvl w:val="0"/>
          <w:numId w:val="1082"/>
        </w:numPr>
        <w:pStyle w:val="Compact"/>
      </w:pPr>
      <w:r>
        <w:t xml:space="preserve">Beyer, B., Jones, C., Petoff, J., Murphy, N. R. (eds.).</w:t>
      </w:r>
      <w:r>
        <w:t xml:space="preserve"> </w:t>
      </w:r>
      <w:r>
        <w:rPr>
          <w:iCs/>
          <w:i/>
        </w:rPr>
        <w:t xml:space="preserve">Site Reliability Engineering: How Google Runs Production Systems</w:t>
      </w:r>
      <w:r>
        <w:t xml:space="preserve"> </w:t>
      </w:r>
      <w:r>
        <w:t xml:space="preserve">(Ch. 15,</w:t>
      </w:r>
      <w:r>
        <w:t xml:space="preserve"> </w:t>
      </w:r>
      <w:r>
        <w:t xml:space="preserve">“</w:t>
      </w:r>
      <w:r>
        <w:t xml:space="preserve">Postmortem Culture: Learning from Failure</w:t>
      </w:r>
      <w:r>
        <w:t xml:space="preserve">”</w:t>
      </w:r>
      <w:r>
        <w:t xml:space="preserve">). O’Reilly, 2016. https://sre.google/sre-book/postmortem-culture/</w:t>
      </w:r>
    </w:p>
    <w:p>
      <w:pPr>
        <w:numPr>
          <w:ilvl w:val="0"/>
          <w:numId w:val="1082"/>
        </w:numPr>
        <w:pStyle w:val="Compact"/>
      </w:pPr>
      <w:r>
        <w:t xml:space="preserve">Bjork, R. A.</w:t>
      </w:r>
      <w:r>
        <w:t xml:space="preserve"> </w:t>
      </w:r>
      <w:r>
        <w:rPr>
          <w:iCs/>
          <w:i/>
        </w:rPr>
        <w:t xml:space="preserve">Memory and metamemory considerations in the training of human beings</w:t>
      </w:r>
      <w:r>
        <w:t xml:space="preserve">. In J. Metcalfe and A. P. Shimamura (eds.),</w:t>
      </w:r>
      <w:r>
        <w:t xml:space="preserve"> </w:t>
      </w:r>
      <w:r>
        <w:rPr>
          <w:iCs/>
          <w:i/>
        </w:rPr>
        <w:t xml:space="preserve">Metacognition: Knowing about Knowing</w:t>
      </w:r>
      <w:r>
        <w:t xml:space="preserve">, MIT Press, 1994.</w:t>
      </w:r>
    </w:p>
    <w:p>
      <w:pPr>
        <w:numPr>
          <w:ilvl w:val="0"/>
          <w:numId w:val="1082"/>
        </w:numPr>
        <w:pStyle w:val="Compact"/>
      </w:pPr>
      <w:r>
        <w:t xml:space="preserve">Burrows, M.</w:t>
      </w:r>
      <w:r>
        <w:t xml:space="preserve"> </w:t>
      </w:r>
      <w:r>
        <w:rPr>
          <w:iCs/>
          <w:i/>
        </w:rPr>
        <w:t xml:space="preserve">The Chubby Lock Service for Loosely-Coupled Distributed Systems</w:t>
      </w:r>
      <w:r>
        <w:t xml:space="preserve">. OSDI, 2006.</w:t>
      </w:r>
    </w:p>
    <w:p>
      <w:pPr>
        <w:numPr>
          <w:ilvl w:val="0"/>
          <w:numId w:val="1082"/>
        </w:numPr>
        <w:pStyle w:val="Compact"/>
      </w:pPr>
      <w:r>
        <w:t xml:space="preserve">Cepeda, N. J., Pashler, H., Vul, E., Wixted, J. T., Rohrer, D.</w:t>
      </w:r>
      <w:r>
        <w:t xml:space="preserve"> </w:t>
      </w:r>
      <w:r>
        <w:rPr>
          <w:iCs/>
          <w:i/>
        </w:rPr>
        <w:t xml:space="preserve">Distributed Practice in Verbal Recall Tasks: A Review and Quantitative Synthesis</w:t>
      </w:r>
      <w:r>
        <w:t xml:space="preserve">. Psychological Bulletin 132(3), 2006.</w:t>
      </w:r>
    </w:p>
    <w:p>
      <w:pPr>
        <w:numPr>
          <w:ilvl w:val="0"/>
          <w:numId w:val="1082"/>
        </w:numPr>
        <w:pStyle w:val="Compact"/>
      </w:pPr>
      <w:r>
        <w:t xml:space="preserve">Cepeda, N. J., Vul, E., Rohrer, D., Wixted, J. T., Pashler, H.</w:t>
      </w:r>
      <w:r>
        <w:t xml:space="preserve"> </w:t>
      </w:r>
      <w:r>
        <w:rPr>
          <w:iCs/>
          <w:i/>
        </w:rPr>
        <w:t xml:space="preserve">Spacing Effects in Learning: A Temporal Ridgeline of Optimal Retention</w:t>
      </w:r>
      <w:r>
        <w:t xml:space="preserve">. Psychological Science 19(11), 2008. https://pubmed.ncbi.nlm.nih.gov/19076480/</w:t>
      </w:r>
    </w:p>
    <w:p>
      <w:pPr>
        <w:numPr>
          <w:ilvl w:val="0"/>
          <w:numId w:val="1082"/>
        </w:numPr>
        <w:pStyle w:val="Compact"/>
      </w:pPr>
      <w:r>
        <w:t xml:space="preserve">Chase, W. G., Simon, H. A.</w:t>
      </w:r>
      <w:r>
        <w:t xml:space="preserve"> </w:t>
      </w:r>
      <w:r>
        <w:rPr>
          <w:iCs/>
          <w:i/>
        </w:rPr>
        <w:t xml:space="preserve">Perception in Chess</w:t>
      </w:r>
      <w:r>
        <w:t xml:space="preserve">. Cognitive Psychology 4(1), 1973.</w:t>
      </w:r>
    </w:p>
    <w:p>
      <w:pPr>
        <w:numPr>
          <w:ilvl w:val="0"/>
          <w:numId w:val="1082"/>
        </w:numPr>
        <w:pStyle w:val="Compact"/>
      </w:pPr>
      <w:r>
        <w:t xml:space="preserve">Chi, M. T. H., de Leeuw, N., Chiu, M.-H., LaVancher, C.</w:t>
      </w:r>
      <w:r>
        <w:t xml:space="preserve"> </w:t>
      </w:r>
      <w:r>
        <w:rPr>
          <w:iCs/>
          <w:i/>
        </w:rPr>
        <w:t xml:space="preserve">Eliciting Self-Explanations Improves Understanding</w:t>
      </w:r>
      <w:r>
        <w:t xml:space="preserve">. Cognitive Science 18(3), 1994.</w:t>
      </w:r>
    </w:p>
    <w:p>
      <w:pPr>
        <w:numPr>
          <w:ilvl w:val="0"/>
          <w:numId w:val="1082"/>
        </w:numPr>
        <w:pStyle w:val="Compact"/>
      </w:pPr>
      <w:r>
        <w:t xml:space="preserve">Corbett, J. C., et al. </w:t>
      </w:r>
      <w:r>
        <w:rPr>
          <w:iCs/>
          <w:i/>
        </w:rPr>
        <w:t xml:space="preserve">Spanner: Google’s Globally-Distributed Database</w:t>
      </w:r>
      <w:r>
        <w:t xml:space="preserve">. OSDI, 2012.</w:t>
      </w:r>
    </w:p>
    <w:p>
      <w:pPr>
        <w:numPr>
          <w:ilvl w:val="0"/>
          <w:numId w:val="1082"/>
        </w:numPr>
        <w:pStyle w:val="Compact"/>
      </w:pPr>
      <w:r>
        <w:t xml:space="preserve">Dean, J., Barroso, L. A.</w:t>
      </w:r>
      <w:r>
        <w:t xml:space="preserve"> </w:t>
      </w:r>
      <w:r>
        <w:rPr>
          <w:iCs/>
          <w:i/>
        </w:rPr>
        <w:t xml:space="preserve">The Tail at Scale</w:t>
      </w:r>
      <w:r>
        <w:t xml:space="preserve">. Communications of the ACM 56(2), 2013.</w:t>
      </w:r>
    </w:p>
    <w:p>
      <w:pPr>
        <w:numPr>
          <w:ilvl w:val="0"/>
          <w:numId w:val="1082"/>
        </w:numPr>
        <w:pStyle w:val="Compact"/>
      </w:pPr>
      <w:r>
        <w:t xml:space="preserve">Dean, J., Ghemawat, S.</w:t>
      </w:r>
      <w:r>
        <w:t xml:space="preserve"> </w:t>
      </w:r>
      <w:r>
        <w:rPr>
          <w:iCs/>
          <w:i/>
        </w:rPr>
        <w:t xml:space="preserve">MapReduce: Simplified Data Processing on Large Clusters</w:t>
      </w:r>
      <w:r>
        <w:t xml:space="preserve">. OSDI, 2004.</w:t>
      </w:r>
    </w:p>
    <w:p>
      <w:pPr>
        <w:numPr>
          <w:ilvl w:val="0"/>
          <w:numId w:val="1082"/>
        </w:numPr>
        <w:pStyle w:val="Compact"/>
      </w:pPr>
      <w:r>
        <w:t xml:space="preserve">DeCandia, G., et al. </w:t>
      </w:r>
      <w:r>
        <w:rPr>
          <w:iCs/>
          <w:i/>
        </w:rPr>
        <w:t xml:space="preserve">Dynamo: Amazon’s Highly Available Key-value Store</w:t>
      </w:r>
      <w:r>
        <w:t xml:space="preserve">. SOSP, 2007.</w:t>
      </w:r>
    </w:p>
    <w:p>
      <w:pPr>
        <w:numPr>
          <w:ilvl w:val="0"/>
          <w:numId w:val="1082"/>
        </w:numPr>
        <w:pStyle w:val="Compact"/>
      </w:pPr>
      <w:r>
        <w:t xml:space="preserve">Dunlosky, J., Rawson, K. A., Marsh, E. J., Nathan, M. J., Willingham, D. T.</w:t>
      </w:r>
      <w:r>
        <w:t xml:space="preserve"> </w:t>
      </w:r>
      <w:r>
        <w:rPr>
          <w:iCs/>
          <w:i/>
        </w:rPr>
        <w:t xml:space="preserve">Improving Students’ Learning With Effective Learning Techniques: Promising Directions From Cognitive and Educational Psychology</w:t>
      </w:r>
      <w:r>
        <w:t xml:space="preserve">. Psychological Science in the Public Interest 14(1), 2013.</w:t>
      </w:r>
    </w:p>
    <w:p>
      <w:pPr>
        <w:numPr>
          <w:ilvl w:val="0"/>
          <w:numId w:val="1082"/>
        </w:numPr>
        <w:pStyle w:val="Compact"/>
      </w:pPr>
      <w:r>
        <w:t xml:space="preserve">Ebbinghaus, H.</w:t>
      </w:r>
      <w:r>
        <w:t xml:space="preserve"> </w:t>
      </w:r>
      <w:r>
        <w:rPr>
          <w:iCs/>
          <w:i/>
        </w:rPr>
        <w:t xml:space="preserve">Memory: A Contribution to Experimental Psychology</w:t>
      </w:r>
      <w:r>
        <w:t xml:space="preserve"> </w:t>
      </w:r>
      <w:r>
        <w:t xml:space="preserve">(trans. H. A. Ruger and C. E. Bussenius). Teachers College, Columbia University, 1913 (German original 1885).</w:t>
      </w:r>
    </w:p>
    <w:p>
      <w:pPr>
        <w:numPr>
          <w:ilvl w:val="0"/>
          <w:numId w:val="1082"/>
        </w:numPr>
        <w:pStyle w:val="Compact"/>
      </w:pPr>
      <w:r>
        <w:t xml:space="preserve">Eisenbud, D. E., et al. </w:t>
      </w:r>
      <w:r>
        <w:rPr>
          <w:iCs/>
          <w:i/>
        </w:rPr>
        <w:t xml:space="preserve">Maglev: A Fast and Reliable Software Network Load Balancer</w:t>
      </w:r>
      <w:r>
        <w:t xml:space="preserve">. NSDI, 2016.</w:t>
      </w:r>
    </w:p>
    <w:p>
      <w:pPr>
        <w:numPr>
          <w:ilvl w:val="0"/>
          <w:numId w:val="1082"/>
        </w:numPr>
        <w:pStyle w:val="Compact"/>
      </w:pPr>
      <w:r>
        <w:t xml:space="preserve">Ericsson, K. A., Krampe, R. T., Tesch-Römer, C.</w:t>
      </w:r>
      <w:r>
        <w:t xml:space="preserve"> </w:t>
      </w:r>
      <w:r>
        <w:rPr>
          <w:iCs/>
          <w:i/>
        </w:rPr>
        <w:t xml:space="preserve">The Role of Deliberate Practice in the Acquisition of Expert Performance</w:t>
      </w:r>
      <w:r>
        <w:t xml:space="preserve">. Psychological Review 100(3), 1993.</w:t>
      </w:r>
    </w:p>
    <w:p>
      <w:pPr>
        <w:numPr>
          <w:ilvl w:val="0"/>
          <w:numId w:val="1082"/>
        </w:numPr>
        <w:pStyle w:val="Compact"/>
      </w:pPr>
      <w:r>
        <w:t xml:space="preserve">Ghemawat, S., Gobioff, H., Leung, S.-T.</w:t>
      </w:r>
      <w:r>
        <w:t xml:space="preserve"> </w:t>
      </w:r>
      <w:r>
        <w:rPr>
          <w:iCs/>
          <w:i/>
        </w:rPr>
        <w:t xml:space="preserve">The Google File System</w:t>
      </w:r>
      <w:r>
        <w:t xml:space="preserve">. SOSP, 2003.</w:t>
      </w:r>
    </w:p>
    <w:p>
      <w:pPr>
        <w:numPr>
          <w:ilvl w:val="0"/>
          <w:numId w:val="1082"/>
        </w:numPr>
        <w:pStyle w:val="Compact"/>
      </w:pPr>
      <w:r>
        <w:t xml:space="preserve">Gunawi, H. S., et al. </w:t>
      </w:r>
      <w:r>
        <w:rPr>
          <w:iCs/>
          <w:i/>
        </w:rPr>
        <w:t xml:space="preserve">Why Does the Cloud Stop Computing? Lessons from Hundreds of Service Outages</w:t>
      </w:r>
      <w:r>
        <w:t xml:space="preserve">. ACM SoCC, 2016.</w:t>
      </w:r>
    </w:p>
    <w:p>
      <w:pPr>
        <w:numPr>
          <w:ilvl w:val="0"/>
          <w:numId w:val="1082"/>
        </w:numPr>
        <w:pStyle w:val="Compact"/>
      </w:pPr>
      <w:r>
        <w:t xml:space="preserve">Hunt, P., Konar, M., Junqueira, F. P., Reed, B.</w:t>
      </w:r>
      <w:r>
        <w:t xml:space="preserve"> </w:t>
      </w:r>
      <w:r>
        <w:rPr>
          <w:iCs/>
          <w:i/>
        </w:rPr>
        <w:t xml:space="preserve">ZooKeeper: Wait-free Coordination for Internet-scale Systems</w:t>
      </w:r>
      <w:r>
        <w:t xml:space="preserve">. USENIX ATC, 2010.</w:t>
      </w:r>
    </w:p>
    <w:p>
      <w:pPr>
        <w:numPr>
          <w:ilvl w:val="0"/>
          <w:numId w:val="1082"/>
        </w:numPr>
        <w:pStyle w:val="Compact"/>
      </w:pPr>
      <w:r>
        <w:t xml:space="preserve">Karger, D., Lehman, E., Leighton, T., Panigrahy, R., Levine, M., Lewin, D.</w:t>
      </w:r>
      <w:r>
        <w:t xml:space="preserve"> </w:t>
      </w:r>
      <w:r>
        <w:rPr>
          <w:iCs/>
          <w:i/>
        </w:rPr>
        <w:t xml:space="preserve">Consistent Hashing and Random Trees: Distributed Caching Protocols for Relieving Hot Spots on the World Wide Web</w:t>
      </w:r>
      <w:r>
        <w:t xml:space="preserve">. ACM STOC, 1997.</w:t>
      </w:r>
    </w:p>
    <w:p>
      <w:pPr>
        <w:numPr>
          <w:ilvl w:val="0"/>
          <w:numId w:val="1082"/>
        </w:numPr>
        <w:pStyle w:val="Compact"/>
      </w:pPr>
      <w:r>
        <w:t xml:space="preserve">Karpicke, J. D., Blunt, J. R.</w:t>
      </w:r>
      <w:r>
        <w:t xml:space="preserve"> </w:t>
      </w:r>
      <w:r>
        <w:rPr>
          <w:iCs/>
          <w:i/>
        </w:rPr>
        <w:t xml:space="preserve">Retrieval Practice Produces More Learning than Elaborative Studying with Concept Mapping</w:t>
      </w:r>
      <w:r>
        <w:t xml:space="preserve">. Science 331(6018), 2011.</w:t>
      </w:r>
    </w:p>
    <w:p>
      <w:pPr>
        <w:numPr>
          <w:ilvl w:val="0"/>
          <w:numId w:val="1082"/>
        </w:numPr>
        <w:pStyle w:val="Compact"/>
      </w:pPr>
      <w:r>
        <w:t xml:space="preserve">Keshav, S.</w:t>
      </w:r>
      <w:r>
        <w:t xml:space="preserve"> </w:t>
      </w:r>
      <w:r>
        <w:rPr>
          <w:iCs/>
          <w:i/>
        </w:rPr>
        <w:t xml:space="preserve">How to Read a Paper</w:t>
      </w:r>
      <w:r>
        <w:t xml:space="preserve">. ACM SIGCOMM Computer Communication Review 37(3), 2007.</w:t>
      </w:r>
    </w:p>
    <w:p>
      <w:pPr>
        <w:numPr>
          <w:ilvl w:val="0"/>
          <w:numId w:val="1082"/>
        </w:numPr>
        <w:pStyle w:val="Compact"/>
      </w:pPr>
      <w:r>
        <w:t xml:space="preserve">Kornell, N., Bjork, R. A.</w:t>
      </w:r>
      <w:r>
        <w:t xml:space="preserve"> </w:t>
      </w:r>
      <w:r>
        <w:rPr>
          <w:iCs/>
          <w:i/>
        </w:rPr>
        <w:t xml:space="preserve">Learning Concepts and Categories: Is Spacing the</w:t>
      </w:r>
      <w:r>
        <w:rPr>
          <w:iCs/>
          <w:i/>
        </w:rPr>
        <w:t xml:space="preserve"> </w:t>
      </w:r>
      <w:r>
        <w:rPr>
          <w:iCs/>
          <w:i/>
        </w:rPr>
        <w:t xml:space="preserve">“</w:t>
      </w:r>
      <w:r>
        <w:rPr>
          <w:iCs/>
          <w:i/>
        </w:rPr>
        <w:t xml:space="preserve">Enemy of Induction</w:t>
      </w:r>
      <w:r>
        <w:rPr>
          <w:iCs/>
          <w:i/>
        </w:rPr>
        <w:t xml:space="preserve">”</w:t>
      </w:r>
      <w:r>
        <w:rPr>
          <w:iCs/>
          <w:i/>
        </w:rPr>
        <w:t xml:space="preserve">?</w:t>
      </w:r>
      <w:r>
        <w:t xml:space="preserve"> </w:t>
      </w:r>
      <w:r>
        <w:t xml:space="preserve">Psychological Science 19(6), 2008.</w:t>
      </w:r>
    </w:p>
    <w:p>
      <w:pPr>
        <w:numPr>
          <w:ilvl w:val="0"/>
          <w:numId w:val="1082"/>
        </w:numPr>
        <w:pStyle w:val="Compact"/>
      </w:pPr>
      <w:r>
        <w:t xml:space="preserve">Kreps, J., Narkhede, N., Rao, J.</w:t>
      </w:r>
      <w:r>
        <w:t xml:space="preserve"> </w:t>
      </w:r>
      <w:r>
        <w:rPr>
          <w:iCs/>
          <w:i/>
        </w:rPr>
        <w:t xml:space="preserve">Kafka: a Distributed Messaging System for Log Processing</w:t>
      </w:r>
      <w:r>
        <w:t xml:space="preserve">. NetDB Workshop, 2011.</w:t>
      </w:r>
    </w:p>
    <w:p>
      <w:pPr>
        <w:numPr>
          <w:ilvl w:val="0"/>
          <w:numId w:val="1082"/>
        </w:numPr>
        <w:pStyle w:val="Compact"/>
      </w:pPr>
      <w:r>
        <w:t xml:space="preserve">Lakshman, A., Malik, P.</w:t>
      </w:r>
      <w:r>
        <w:t xml:space="preserve"> </w:t>
      </w:r>
      <w:r>
        <w:rPr>
          <w:iCs/>
          <w:i/>
        </w:rPr>
        <w:t xml:space="preserve">Cassandra: A Decentralized Structured Storage System</w:t>
      </w:r>
      <w:r>
        <w:t xml:space="preserve">. ACM SIGOPS Operating Systems Review 44(2), 2010.</w:t>
      </w:r>
    </w:p>
    <w:p>
      <w:pPr>
        <w:numPr>
          <w:ilvl w:val="0"/>
          <w:numId w:val="1082"/>
        </w:numPr>
        <w:pStyle w:val="Compact"/>
      </w:pPr>
      <w:r>
        <w:t xml:space="preserve">Lamping, J., Veach, E.</w:t>
      </w:r>
      <w:r>
        <w:t xml:space="preserve"> </w:t>
      </w:r>
      <w:r>
        <w:rPr>
          <w:iCs/>
          <w:i/>
        </w:rPr>
        <w:t xml:space="preserve">A Fast, Minimal Memory, Consistent Hash Algorithm</w:t>
      </w:r>
      <w:r>
        <w:t xml:space="preserve">. arXiv:1406.2294, 2014. https://arxiv.org/abs/1406.2294</w:t>
      </w:r>
    </w:p>
    <w:p>
      <w:pPr>
        <w:numPr>
          <w:ilvl w:val="0"/>
          <w:numId w:val="1082"/>
        </w:numPr>
        <w:pStyle w:val="Compact"/>
      </w:pPr>
      <w:r>
        <w:t xml:space="preserve">Lamport, L.</w:t>
      </w:r>
      <w:r>
        <w:t xml:space="preserve"> </w:t>
      </w:r>
      <w:r>
        <w:rPr>
          <w:iCs/>
          <w:i/>
        </w:rPr>
        <w:t xml:space="preserve">Time, Clocks, and the Ordering of Events in a Distributed System</w:t>
      </w:r>
      <w:r>
        <w:t xml:space="preserve">. Communications of the ACM 21(7), 1978.</w:t>
      </w:r>
    </w:p>
    <w:p>
      <w:pPr>
        <w:numPr>
          <w:ilvl w:val="0"/>
          <w:numId w:val="1082"/>
        </w:numPr>
        <w:pStyle w:val="Compact"/>
      </w:pPr>
      <w:r>
        <w:t xml:space="preserve">Luu, D.</w:t>
      </w:r>
      <w:r>
        <w:t xml:space="preserve"> </w:t>
      </w:r>
      <w:r>
        <w:rPr>
          <w:iCs/>
          <w:i/>
        </w:rPr>
        <w:t xml:space="preserve">A collection of postmortems</w:t>
      </w:r>
      <w:r>
        <w:t xml:space="preserve"> </w:t>
      </w:r>
      <w:r>
        <w:t xml:space="preserve">(GitHub repository). https://github.com/danluu/post-mortems</w:t>
      </w:r>
    </w:p>
    <w:p>
      <w:pPr>
        <w:numPr>
          <w:ilvl w:val="0"/>
          <w:numId w:val="1082"/>
        </w:numPr>
        <w:pStyle w:val="Compact"/>
      </w:pPr>
      <w:r>
        <w:t xml:space="preserve">Macnamara, B. N., Hambrick, D. Z., Oswald, F. L.</w:t>
      </w:r>
      <w:r>
        <w:t xml:space="preserve"> </w:t>
      </w:r>
      <w:r>
        <w:rPr>
          <w:iCs/>
          <w:i/>
        </w:rPr>
        <w:t xml:space="preserve">Deliberate Practice and Performance in Music, Games, Sports, Education, and Professions: A Meta-Analysis</w:t>
      </w:r>
      <w:r>
        <w:t xml:space="preserve">. Psychological Science 25(8), 2014.</w:t>
      </w:r>
    </w:p>
    <w:p>
      <w:pPr>
        <w:numPr>
          <w:ilvl w:val="0"/>
          <w:numId w:val="1082"/>
        </w:numPr>
        <w:pStyle w:val="Compact"/>
      </w:pPr>
      <w:r>
        <w:t xml:space="preserve">Mirrokni, V., Thorup, M., Zadimoghaddam, M.</w:t>
      </w:r>
      <w:r>
        <w:t xml:space="preserve"> </w:t>
      </w:r>
      <w:r>
        <w:rPr>
          <w:iCs/>
          <w:i/>
        </w:rPr>
        <w:t xml:space="preserve">Consistent Hashing with Bounded Loads</w:t>
      </w:r>
      <w:r>
        <w:t xml:space="preserve">. ACM-SIAM SODA, 2018. https://arxiv.org/abs/1608.01350</w:t>
      </w:r>
    </w:p>
    <w:p>
      <w:pPr>
        <w:numPr>
          <w:ilvl w:val="0"/>
          <w:numId w:val="1082"/>
        </w:numPr>
        <w:pStyle w:val="Compact"/>
      </w:pPr>
      <w:r>
        <w:t xml:space="preserve">Ongaro, D., Ousterhout, J.</w:t>
      </w:r>
      <w:r>
        <w:t xml:space="preserve"> </w:t>
      </w:r>
      <w:r>
        <w:rPr>
          <w:iCs/>
          <w:i/>
        </w:rPr>
        <w:t xml:space="preserve">In Search of an Understandable Consensus Algorithm</w:t>
      </w:r>
      <w:r>
        <w:t xml:space="preserve">. USENIX ATC, 2014.</w:t>
      </w:r>
    </w:p>
    <w:p>
      <w:pPr>
        <w:numPr>
          <w:ilvl w:val="0"/>
          <w:numId w:val="1082"/>
        </w:numPr>
        <w:pStyle w:val="Compact"/>
      </w:pPr>
      <w:r>
        <w:t xml:space="preserve">Pashler, H., McDaniel, M., Rohrer, D., Bjork, R.</w:t>
      </w:r>
      <w:r>
        <w:t xml:space="preserve"> </w:t>
      </w:r>
      <w:r>
        <w:rPr>
          <w:iCs/>
          <w:i/>
        </w:rPr>
        <w:t xml:space="preserve">Learning Styles: Concepts and Evidence</w:t>
      </w:r>
      <w:r>
        <w:t xml:space="preserve">. Psychological Science in the Public Interest 9(3), 2008.</w:t>
      </w:r>
    </w:p>
    <w:p>
      <w:pPr>
        <w:numPr>
          <w:ilvl w:val="0"/>
          <w:numId w:val="1082"/>
        </w:numPr>
        <w:pStyle w:val="Compact"/>
      </w:pPr>
      <w:r>
        <w:t xml:space="preserve">Roediger, H. L., Karpicke, J. D.</w:t>
      </w:r>
      <w:r>
        <w:t xml:space="preserve"> </w:t>
      </w:r>
      <w:r>
        <w:rPr>
          <w:iCs/>
          <w:i/>
        </w:rPr>
        <w:t xml:space="preserve">Test-Enhanced Learning: Taking Memory Tests Improves Long-Term Retention</w:t>
      </w:r>
      <w:r>
        <w:t xml:space="preserve">. Psychological Science 17(3), 2006.</w:t>
      </w:r>
    </w:p>
    <w:p>
      <w:pPr>
        <w:numPr>
          <w:ilvl w:val="0"/>
          <w:numId w:val="1082"/>
        </w:numPr>
        <w:pStyle w:val="Compact"/>
      </w:pPr>
      <w:r>
        <w:t xml:space="preserve">Rohrer, D., Taylor, K.</w:t>
      </w:r>
      <w:r>
        <w:t xml:space="preserve"> </w:t>
      </w:r>
      <w:r>
        <w:rPr>
          <w:iCs/>
          <w:i/>
        </w:rPr>
        <w:t xml:space="preserve">The Shuffling of Mathematics Problems Improves Learning</w:t>
      </w:r>
      <w:r>
        <w:t xml:space="preserve">. Instructional Science 35, 2007.</w:t>
      </w:r>
    </w:p>
    <w:p>
      <w:pPr>
        <w:numPr>
          <w:ilvl w:val="0"/>
          <w:numId w:val="1082"/>
        </w:numPr>
        <w:pStyle w:val="Compact"/>
      </w:pPr>
      <w:r>
        <w:t xml:space="preserve">Soderstrom, N. C., Bjork, R. A.</w:t>
      </w:r>
      <w:r>
        <w:t xml:space="preserve"> </w:t>
      </w:r>
      <w:r>
        <w:rPr>
          <w:iCs/>
          <w:i/>
        </w:rPr>
        <w:t xml:space="preserve">Learning Versus Performance: An Integrative Review</w:t>
      </w:r>
      <w:r>
        <w:t xml:space="preserve">. Perspectives on Psychological Science 10(2), 2015.</w:t>
      </w:r>
    </w:p>
    <w:p>
      <w:pPr>
        <w:numPr>
          <w:ilvl w:val="0"/>
          <w:numId w:val="1082"/>
        </w:numPr>
        <w:pStyle w:val="Compact"/>
      </w:pPr>
      <w:r>
        <w:t xml:space="preserve">Thaler, D. G., Ravishankar, C. V.</w:t>
      </w:r>
      <w:r>
        <w:t xml:space="preserve"> </w:t>
      </w:r>
      <w:r>
        <w:rPr>
          <w:iCs/>
          <w:i/>
        </w:rPr>
        <w:t xml:space="preserve">Using Name-Based Mappings to Increase Hit Rates</w:t>
      </w:r>
      <w:r>
        <w:t xml:space="preserve">. IEEE/ACM Transactions on Networking 6(1), 1998.</w:t>
      </w:r>
    </w:p>
    <w:p>
      <w:pPr>
        <w:numPr>
          <w:ilvl w:val="0"/>
          <w:numId w:val="1082"/>
        </w:numPr>
        <w:pStyle w:val="Compact"/>
      </w:pPr>
      <w:r>
        <w:t xml:space="preserve">Yuan, D., et al. </w:t>
      </w:r>
      <w:r>
        <w:rPr>
          <w:iCs/>
          <w:i/>
        </w:rPr>
        <w:t xml:space="preserve">Simple Testing Can Prevent Most Critical Failures: An Analysis of Production Failures in Distributed Data-Intensive Systems</w:t>
      </w:r>
      <w:r>
        <w:t xml:space="preserve">. OSDI, 2014.</w:t>
      </w:r>
    </w:p>
    <w:p>
      <w:pPr>
        <w:numPr>
          <w:ilvl w:val="0"/>
          <w:numId w:val="1082"/>
        </w:numPr>
        <w:pStyle w:val="Compact"/>
      </w:pPr>
      <w:r>
        <w:t xml:space="preserve">Amazon Web Services [AWS 2017].</w:t>
      </w:r>
      <w:r>
        <w:t xml:space="preserve"> </w:t>
      </w:r>
      <w:r>
        <w:rPr>
          <w:iCs/>
          <w:i/>
        </w:rPr>
        <w:t xml:space="preserve">Summary of the Amazon S3 Service Disruption in the Northern Virginia (US-EAST-1) Region</w:t>
      </w:r>
      <w:r>
        <w:t xml:space="preserve">. 2017. https://aws.amazon.com/message/41926/</w:t>
      </w:r>
    </w:p>
    <w:bookmarkEnd w:id="337"/>
    <w:bookmarkStart w:id="338" w:name="open-verification-items-2"/>
    <w:p>
      <w:pPr>
        <w:pStyle w:val="Heading2"/>
      </w:pPr>
      <w:r>
        <w:t xml:space="preserve">3.17 Open verification items</w:t>
      </w:r>
    </w:p>
    <w:p>
      <w:pPr>
        <w:numPr>
          <w:ilvl w:val="0"/>
          <w:numId w:val="1083"/>
        </w:numPr>
        <w:pStyle w:val="Compact"/>
      </w:pPr>
      <w:r>
        <w:t xml:space="preserve">[AWS 2017] URL and wording of the S3 post-event summary could not be fetched from this environment (network restriction); the summary in §3.9.3 is from the author’s knowledge of the report and should be checked against the primary text.</w:t>
      </w:r>
    </w:p>
    <w:p>
      <w:pPr>
        <w:numPr>
          <w:ilvl w:val="0"/>
          <w:numId w:val="1083"/>
        </w:numPr>
        <w:pStyle w:val="Compact"/>
      </w:pPr>
      <w:r>
        <w:t xml:space="preserve">Roediger and Karpicke (2006) Experiment 2 one-week figures (~61 % STTT vs ~40 % SSSS) were confirmed only through secondary summaries; verify against the paper’s Figure/Results.</w:t>
      </w:r>
    </w:p>
    <w:p>
      <w:pPr>
        <w:numPr>
          <w:ilvl w:val="0"/>
          <w:numId w:val="1083"/>
        </w:numPr>
        <w:pStyle w:val="Compact"/>
      </w:pPr>
      <w:r>
        <w:t xml:space="preserve">Macnamara et al. (2014): headline 12 % of variance confirmed; the domain ordering (lower in education and professions than in games, music, sports) is from memory and should be checked.</w:t>
      </w:r>
    </w:p>
    <w:p>
      <w:pPr>
        <w:numPr>
          <w:ilvl w:val="0"/>
          <w:numId w:val="1083"/>
        </w:numPr>
        <w:pStyle w:val="Compact"/>
      </w:pPr>
      <w:r>
        <w:t xml:space="preserve">Attribution of</w:t>
      </w:r>
      <w:r>
        <w:t xml:space="preserve"> </w:t>
      </w:r>
      <w:r>
        <w:t xml:space="preserve">“</w:t>
      </w:r>
      <w:r>
        <w:t xml:space="preserve">What I cannot create, I do not understand</w:t>
      </w:r>
      <w:r>
        <w:t xml:space="preserve">”</w:t>
      </w:r>
      <w:r>
        <w:t xml:space="preserve"> </w:t>
      </w:r>
      <w:r>
        <w:t xml:space="preserve">to Feynman’s blackboard (Caltech Archives, 1988): widely documented; add an archival citation if one is required.</w:t>
      </w:r>
    </w:p>
    <w:p>
      <w:pPr>
        <w:numPr>
          <w:ilvl w:val="0"/>
          <w:numId w:val="1083"/>
        </w:numPr>
        <w:pStyle w:val="Compact"/>
      </w:pPr>
      <w:r>
        <w:t xml:space="preserve">Leitner intervals (1, 3, 7, 16, 35 days) are a teaching choice, not an empirically derived schedule; the text says so.</w:t>
      </w:r>
    </w:p>
    <w:p>
      <w:pPr>
        <w:numPr>
          <w:ilvl w:val="0"/>
          <w:numId w:val="1083"/>
        </w:numPr>
        <w:pStyle w:val="Compact"/>
      </w:pPr>
      <w:r>
        <w:t xml:space="preserve">The</w:t>
      </w:r>
      <w:r>
        <w:t xml:space="preserve"> </w:t>
      </w:r>
      <w:r>
        <w:t xml:space="preserve">“</w:t>
      </w:r>
      <w:r>
        <w:t xml:space="preserve">~1/√V</w:t>
      </w:r>
      <w:r>
        <w:t xml:space="preserve">”</w:t>
      </w:r>
      <w:r>
        <w:t xml:space="preserve"> </w:t>
      </w:r>
      <w:r>
        <w:t xml:space="preserve">load-spread scaling is stated as an approximation; it is now derived in §14.8.4 (UQ-012, resolved).</w:t>
      </w:r>
    </w:p>
    <w:bookmarkEnd w:id="338"/>
    <w:bookmarkEnd w:id="339"/>
    <w:bookmarkStart w:id="453" w:name="Xeaab1cdf64d78af0007afae2472919acb2bc922"/>
    <w:p>
      <w:pPr>
        <w:pStyle w:val="Heading1"/>
      </w:pPr>
      <w:r>
        <w:t xml:space="preserve">Chapter 4 — Quantitative Foundations for System Design</w:t>
      </w:r>
    </w:p>
    <w:p>
      <w:pPr>
        <w:pStyle w:val="BlockText"/>
      </w:pPr>
      <w:r>
        <w:rPr>
          <w:bCs/>
          <w:b/>
        </w:rPr>
        <w:t xml:space="preserve">Level:</w:t>
      </w:r>
      <w:r>
        <w:t xml:space="preserve"> </w:t>
      </w:r>
      <w:r>
        <w:t xml:space="preserve">1–3 ·</w:t>
      </w:r>
      <w:r>
        <w:t xml:space="preserve"> </w:t>
      </w:r>
      <w:r>
        <w:rPr>
          <w:bCs/>
          <w:b/>
        </w:rPr>
        <w:t xml:space="preserve">Track:</w:t>
      </w:r>
      <w:r>
        <w:t xml:space="preserve"> </w:t>
      </w:r>
      <w:r>
        <w:t xml:space="preserve">Shared ·</w:t>
      </w:r>
      <w:r>
        <w:t xml:space="preserve"> </w:t>
      </w:r>
      <w:r>
        <w:rPr>
          <w:bCs/>
          <w:b/>
        </w:rPr>
        <w:t xml:space="preserve">Estimated reading time:</w:t>
      </w:r>
      <w:r>
        <w:t xml:space="preserve"> </w:t>
      </w:r>
      <w:r>
        <w:t xml:space="preserve">6 h</w:t>
      </w:r>
    </w:p>
    <w:p>
      <w:pPr>
        <w:pStyle w:val="FirstParagraph"/>
      </w:pPr>
      <w:r>
        <w:t xml:space="preserve">System design is often presented as a drawing exercise: boxes, arrows, a cache here, a queue there. The drawing is the easy part. What separates a design that works from one that merely looks plausible is</w:t>
      </w:r>
      <w:r>
        <w:t xml:space="preserve"> </w:t>
      </w:r>
      <w:r>
        <w:rPr>
          <w:iCs/>
          <w:i/>
        </w:rPr>
        <w:t xml:space="preserve">arithmetic</w:t>
      </w:r>
      <w:r>
        <w:t xml:space="preserve">. How many machines? How much memory? What happens to latency when traffic doubles? How many nines does the whole system get when every component has three? How likely is it that all three replicas of a file die before you notice the first one is gone?</w:t>
      </w:r>
    </w:p>
    <w:p>
      <w:pPr>
        <w:pStyle w:val="BodyText"/>
      </w:pPr>
      <w:r>
        <w:t xml:space="preserve">This chapter gives you the mathematical toolkit to answer those questions, assuming only high-school algebra. Each formula comes with an analogy, its units, a fully worked example and its engineering implication. Short Python programs check formulas against simulation — a habit worth keeping: never trust a formula you have not seen agree with reality at least once.</w:t>
      </w:r>
    </w:p>
    <w:p>
      <w:pPr>
        <w:pStyle w:val="BodyText"/>
      </w:pPr>
      <w:r>
        <w:t xml:space="preserve">The tools are grouped into four clusters:</w:t>
      </w:r>
    </w:p>
    <w:p>
      <w:pPr>
        <w:numPr>
          <w:ilvl w:val="0"/>
          <w:numId w:val="1084"/>
        </w:numPr>
        <w:pStyle w:val="Compact"/>
      </w:pPr>
      <w:r>
        <w:rPr>
          <w:bCs/>
          <w:b/>
        </w:rPr>
        <w:t xml:space="preserve">Number sense</w:t>
      </w:r>
      <w:r>
        <w:t xml:space="preserve"> </w:t>
      </w:r>
      <w:r>
        <w:t xml:space="preserve">(§4.3–§4.5): exponents, logarithms and units, the arithmetic of</w:t>
      </w:r>
      <w:r>
        <w:t xml:space="preserve"> </w:t>
      </w:r>
      <w:r>
        <w:t xml:space="preserve">“</w:t>
      </w:r>
      <w:r>
        <w:t xml:space="preserve">how big</w:t>
      </w:r>
      <w:r>
        <w:t xml:space="preserve">”</w:t>
      </w:r>
      <w:r>
        <w:t xml:space="preserve"> </w:t>
      </w:r>
      <w:r>
        <w:t xml:space="preserve">and</w:t>
      </w:r>
      <w:r>
        <w:t xml:space="preserve"> </w:t>
      </w:r>
      <w:r>
        <w:t xml:space="preserve">“</w:t>
      </w:r>
      <w:r>
        <w:t xml:space="preserve">how fast</w:t>
      </w:r>
      <w:r>
        <w:t xml:space="preserve">”</w:t>
      </w:r>
      <w:r>
        <w:t xml:space="preserve">.</w:t>
      </w:r>
    </w:p>
    <w:p>
      <w:pPr>
        <w:numPr>
          <w:ilvl w:val="0"/>
          <w:numId w:val="1084"/>
        </w:numPr>
        <w:pStyle w:val="Compact"/>
      </w:pPr>
      <w:r>
        <w:rPr>
          <w:bCs/>
          <w:b/>
        </w:rPr>
        <w:t xml:space="preserve">Uncertainty</w:t>
      </w:r>
      <w:r>
        <w:t xml:space="preserve"> </w:t>
      </w:r>
      <w:r>
        <w:t xml:space="preserve">(§4.6–§4.9): probability, statistics, percentiles and the small amount of linear algebra you need before the ML chapters.</w:t>
      </w:r>
    </w:p>
    <w:p>
      <w:pPr>
        <w:numPr>
          <w:ilvl w:val="0"/>
          <w:numId w:val="1084"/>
        </w:numPr>
        <w:pStyle w:val="Compact"/>
      </w:pPr>
      <w:r>
        <w:rPr>
          <w:bCs/>
          <w:b/>
        </w:rPr>
        <w:t xml:space="preserve">Performance laws</w:t>
      </w:r>
      <w:r>
        <w:t xml:space="preserve"> </w:t>
      </w:r>
      <w:r>
        <w:t xml:space="preserve">(§4.10–§4.13): queueing theory, Little’s Law, Amdahl’s and Gustafson’s laws and the Universal Scalability Law.</w:t>
      </w:r>
    </w:p>
    <w:p>
      <w:pPr>
        <w:numPr>
          <w:ilvl w:val="0"/>
          <w:numId w:val="1084"/>
        </w:numPr>
        <w:pStyle w:val="Compact"/>
      </w:pPr>
      <w:r>
        <w:rPr>
          <w:bCs/>
          <w:b/>
        </w:rPr>
        <w:t xml:space="preserve">Dependability</w:t>
      </w:r>
      <w:r>
        <w:t xml:space="preserve"> </w:t>
      </w:r>
      <w:r>
        <w:t xml:space="preserve">(§4.14–§4.16): availability, reliability and durability arithmetic.</w:t>
      </w:r>
    </w:p>
    <w:p>
      <w:pPr>
        <w:pStyle w:val="FirstParagraph"/>
      </w:pPr>
      <w:r>
        <w:t xml:space="preserve">The chapter closes with the latency numbers that anchor estimation (§4.17) and with the six quantitative relationships that recur throughout the rest of the book (§4.18).</w:t>
      </w:r>
    </w:p>
    <w:bookmarkStart w:id="340" w:name="learning-objectives-3"/>
    <w:p>
      <w:pPr>
        <w:pStyle w:val="Heading2"/>
      </w:pPr>
      <w:r>
        <w:t xml:space="preserve">4.1 Learning objectives</w:t>
      </w:r>
    </w:p>
    <w:p>
      <w:pPr>
        <w:pStyle w:val="FirstParagraph"/>
      </w:pPr>
      <w:r>
        <w:t xml:space="preserve">After this chapter you should be able to:</w:t>
      </w:r>
    </w:p>
    <w:p>
      <w:pPr>
        <w:numPr>
          <w:ilvl w:val="0"/>
          <w:numId w:val="1085"/>
        </w:numPr>
        <w:pStyle w:val="Compact"/>
      </w:pPr>
      <w:r>
        <w:t xml:space="preserve">Convert fluently between powers of two and powers of ten, and between bits, bytes, SI prefixes and binary prefixes, stating which convention you use.</w:t>
      </w:r>
    </w:p>
    <w:p>
      <w:pPr>
        <w:numPr>
          <w:ilvl w:val="0"/>
          <w:numId w:val="1085"/>
        </w:numPr>
        <w:pStyle w:val="Compact"/>
      </w:pPr>
      <w:r>
        <w:t xml:space="preserve">Use logarithms to explain why binary search and B-trees need so few steps, and compute the height of a B-tree for a given fan-out and data size.</w:t>
      </w:r>
    </w:p>
    <w:p>
      <w:pPr>
        <w:numPr>
          <w:ilvl w:val="0"/>
          <w:numId w:val="1085"/>
        </w:numPr>
        <w:pStyle w:val="Compact"/>
      </w:pPr>
      <w:r>
        <w:t xml:space="preserve">Calculate the probability that at least one of</w:t>
      </w:r>
      <w:r>
        <w:t xml:space="preserve"> </w:t>
      </w:r>
      <m:oMath>
        <m:r>
          <m:t>N</m:t>
        </m:r>
      </m:oMath>
      <w:r>
        <w:t xml:space="preserve"> </w:t>
      </w:r>
      <w:r>
        <w:t xml:space="preserve">components fails, the expected number of failures, and the binomial probability of exactly</w:t>
      </w:r>
      <w:r>
        <w:t xml:space="preserve"> </w:t>
      </w:r>
      <m:oMath>
        <m:r>
          <m:t>k</m:t>
        </m:r>
      </m:oMath>
      <w:r>
        <w:t xml:space="preserve"> </w:t>
      </w:r>
      <w:r>
        <w:t xml:space="preserve">failures.</w:t>
      </w:r>
    </w:p>
    <w:p>
      <w:pPr>
        <w:numPr>
          <w:ilvl w:val="0"/>
          <w:numId w:val="1085"/>
        </w:numPr>
        <w:pStyle w:val="Compact"/>
      </w:pPr>
      <w:r>
        <w:t xml:space="preserve">Compute mean, median, variance, standard deviation and percentiles from a sample, and explain why the mean is misleading for heavy-tailed latency distributions.</w:t>
      </w:r>
    </w:p>
    <w:p>
      <w:pPr>
        <w:numPr>
          <w:ilvl w:val="0"/>
          <w:numId w:val="1085"/>
        </w:numPr>
        <w:pStyle w:val="Compact"/>
      </w:pPr>
      <w:r>
        <w:t xml:space="preserve">Quantify tail-latency amplification under fan-out using</w:t>
      </w:r>
      <w:r>
        <w:t xml:space="preserve"> </w:t>
      </w:r>
      <m:oMath>
        <m:r>
          <m:t>P</m:t>
        </m:r>
        <m:d>
          <m:dPr>
            <m:begChr m:val="("/>
            <m:endChr m:val=")"/>
            <m:sepChr m:val=""/>
            <m:grow/>
          </m:dPr>
          <m:e>
            <m:r>
              <m:rPr>
                <m:nor/>
                <m:sty m:val="p"/>
              </m:rPr>
              <m:t>all fast</m:t>
            </m:r>
          </m:e>
        </m:d>
        <m:r>
          <m:rPr>
            <m:sty m:val="p"/>
          </m:rPr>
          <m:t>=</m:t>
        </m:r>
        <m:sSup>
          <m:e>
            <m:r>
              <m:t>p</m:t>
            </m:r>
          </m:e>
          <m:sup>
            <m:r>
              <m:t>N</m:t>
            </m:r>
          </m:sup>
        </m:sSup>
      </m:oMath>
      <w:r>
        <w:t xml:space="preserve">.</w:t>
      </w:r>
    </w:p>
    <w:p>
      <w:pPr>
        <w:numPr>
          <w:ilvl w:val="0"/>
          <w:numId w:val="1085"/>
        </w:numPr>
        <w:pStyle w:val="Compact"/>
      </w:pPr>
      <w:r>
        <w:t xml:space="preserve">Compute a dot product, a cosine similarity and the floating-point cost of a matrix multiplication.</w:t>
      </w:r>
    </w:p>
    <w:p>
      <w:pPr>
        <w:numPr>
          <w:ilvl w:val="0"/>
          <w:numId w:val="1085"/>
        </w:numPr>
        <w:pStyle w:val="Compact"/>
      </w:pPr>
      <w:r>
        <w:t xml:space="preserve">Apply the M/M/1 formulas to predict how latency grows with utilization, and explain why a shared queue beats separate queues.</w:t>
      </w:r>
    </w:p>
    <w:p>
      <w:pPr>
        <w:numPr>
          <w:ilvl w:val="0"/>
          <w:numId w:val="1085"/>
        </w:numPr>
        <w:pStyle w:val="Compact"/>
      </w:pPr>
      <w:r>
        <w:t xml:space="preserve">Size thread pools and database connection pools with Little’s Law.</w:t>
      </w:r>
    </w:p>
    <w:p>
      <w:pPr>
        <w:numPr>
          <w:ilvl w:val="0"/>
          <w:numId w:val="1085"/>
        </w:numPr>
        <w:pStyle w:val="Compact"/>
      </w:pPr>
      <w:r>
        <w:t xml:space="preserve">Predict the limits of parallel speedup with Amdahl’s Law, Gustafson’s Law and the Universal Scalability Law.</w:t>
      </w:r>
    </w:p>
    <w:p>
      <w:pPr>
        <w:numPr>
          <w:ilvl w:val="0"/>
          <w:numId w:val="1085"/>
        </w:numPr>
        <w:pStyle w:val="Compact"/>
      </w:pPr>
      <w:r>
        <w:t xml:space="preserve">Compute the availability of components in series, in parallel and in</w:t>
      </w:r>
      <w:r>
        <w:t xml:space="preserve"> </w:t>
      </w:r>
      <m:oMath>
        <m:r>
          <m:t>k</m:t>
        </m:r>
      </m:oMath>
      <w:r>
        <w:t xml:space="preserve">-of-</w:t>
      </w:r>
      <m:oMath>
        <m:r>
          <m:t>n</m:t>
        </m:r>
      </m:oMath>
      <w:r>
        <w:t xml:space="preserve"> </w:t>
      </w:r>
      <w:r>
        <w:t xml:space="preserve">configurations, and convert availability targets to downtime budgets.</w:t>
      </w:r>
    </w:p>
    <w:p>
      <w:pPr>
        <w:numPr>
          <w:ilvl w:val="0"/>
          <w:numId w:val="1085"/>
        </w:numPr>
        <w:pStyle w:val="Compact"/>
      </w:pPr>
      <w:r>
        <w:t xml:space="preserve">Relate MTBF, MTTR, failure rate and availability, and estimate the annual probability of data loss for a replicated store.</w:t>
      </w:r>
    </w:p>
    <w:p>
      <w:pPr>
        <w:numPr>
          <w:ilvl w:val="0"/>
          <w:numId w:val="1085"/>
        </w:numPr>
        <w:pStyle w:val="Compact"/>
      </w:pPr>
      <w:r>
        <w:t xml:space="preserve">Use dated latency reference numbers to sanity-check designs, and reason quantitatively about six recurring trade-offs.</w:t>
      </w:r>
    </w:p>
    <w:bookmarkEnd w:id="340"/>
    <w:bookmarkStart w:id="341" w:name="prerequisites-3"/>
    <w:p>
      <w:pPr>
        <w:pStyle w:val="Heading2"/>
      </w:pPr>
      <w:r>
        <w:t xml:space="preserve">4.2 Prerequisites</w:t>
      </w:r>
    </w:p>
    <w:p>
      <w:pPr>
        <w:numPr>
          <w:ilvl w:val="0"/>
          <w:numId w:val="1086"/>
        </w:numPr>
        <w:pStyle w:val="Compact"/>
      </w:pPr>
      <w:r>
        <w:t xml:space="preserve">High-school algebra: fractions, exponents, solving a linear equation — every formula in the chapter is built from these.</w:t>
      </w:r>
    </w:p>
    <w:p>
      <w:pPr>
        <w:numPr>
          <w:ilvl w:val="0"/>
          <w:numId w:val="1086"/>
        </w:numPr>
        <w:pStyle w:val="Compact"/>
      </w:pPr>
      <w:r>
        <w:t xml:space="preserve">The vocabulary of latency, throughput and availability from §1.7 (Non-functional requirements) — this chapter makes those words measurable.</w:t>
      </w:r>
    </w:p>
    <w:p>
      <w:pPr>
        <w:numPr>
          <w:ilvl w:val="0"/>
          <w:numId w:val="1086"/>
        </w:numPr>
        <w:pStyle w:val="Compact"/>
      </w:pPr>
      <w:r>
        <w:t xml:space="preserve">Orders-of-magnitude reasoning from §2.10 (Reasoning about scale) — helpful but not required; this chapter supplies the underlying mathematics.</w:t>
      </w:r>
    </w:p>
    <w:p>
      <w:pPr>
        <w:numPr>
          <w:ilvl w:val="0"/>
          <w:numId w:val="1086"/>
        </w:numPr>
        <w:pStyle w:val="Compact"/>
      </w:pPr>
      <w:r>
        <w:t xml:space="preserve">A Python 3 interpreter (3.10 or later) if you want to run the code examples. All examples use only the standard library.</w:t>
      </w:r>
    </w:p>
    <w:bookmarkEnd w:id="341"/>
    <w:bookmarkStart w:id="346" w:name="Xf44bca0b9ed78376022bec5ed09ca89e23faf99"/>
    <w:p>
      <w:pPr>
        <w:pStyle w:val="Heading2"/>
      </w:pPr>
      <w:r>
        <w:t xml:space="preserve">4.3 Exponents, powers of two and powers of ten</w:t>
      </w:r>
    </w:p>
    <w:bookmarkStart w:id="343" w:name="what-an-exponent-is"/>
    <w:p>
      <w:pPr>
        <w:pStyle w:val="Heading3"/>
      </w:pPr>
      <w:r>
        <w:t xml:space="preserve">4.3.1 What an exponent is</w:t>
      </w:r>
    </w:p>
    <w:p>
      <w:pPr>
        <w:pStyle w:val="CalloutDefinition"/>
      </w:pPr>
      <w:r>
        <w:rPr>
          <w:bCs/>
          <w:b/>
        </w:rPr>
        <w:t xml:space="preserve">DEFINITION</w:t>
      </w:r>
    </w:p>
    <w:p>
      <w:pPr>
        <w:pStyle w:val="CalloutDefinition"/>
      </w:pPr>
      <w:r>
        <w:rPr>
          <w:bCs/>
          <w:b/>
        </w:rPr>
        <w:t xml:space="preserve">Definition — Exponent.</w:t>
      </w:r>
      <w:r>
        <w:t xml:space="preserve"> </w:t>
      </w:r>
      <w:r>
        <w:t xml:space="preserve">In</w:t>
      </w:r>
      <w:r>
        <w:t xml:space="preserve"> </w:t>
      </w:r>
      <m:oMath>
        <m:sSup>
          <m:e>
            <m:r>
              <m:t>b</m:t>
            </m:r>
          </m:e>
          <m:sup>
            <m:r>
              <m:t>n</m:t>
            </m:r>
          </m:sup>
        </m:sSup>
      </m:oMath>
      <w:r>
        <w:t xml:space="preserve">, the</w:t>
      </w:r>
      <w:r>
        <w:t xml:space="preserve"> </w:t>
      </w:r>
      <w:r>
        <w:rPr>
          <w:bCs/>
          <w:b/>
        </w:rPr>
        <w:t xml:space="preserve">base</w:t>
      </w:r>
      <w:r>
        <w:t xml:space="preserve"> </w:t>
      </w:r>
      <m:oMath>
        <m:r>
          <m:t>b</m:t>
        </m:r>
      </m:oMath>
      <w:r>
        <w:t xml:space="preserve"> </w:t>
      </w:r>
      <w:r>
        <w:t xml:space="preserve">is multiplied by itself</w:t>
      </w:r>
      <w:r>
        <w:t xml:space="preserve"> </w:t>
      </w:r>
      <m:oMath>
        <m:r>
          <m:t>n</m:t>
        </m:r>
      </m:oMath>
      <w:r>
        <w:t xml:space="preserve"> </w:t>
      </w:r>
      <w:r>
        <w:t xml:space="preserve">times;</w:t>
      </w:r>
      <w:r>
        <w:t xml:space="preserve"> </w:t>
      </w:r>
      <m:oMath>
        <m:r>
          <m:t>n</m:t>
        </m:r>
      </m:oMath>
      <w:r>
        <w:t xml:space="preserve"> </w:t>
      </w:r>
      <w:r>
        <w:t xml:space="preserve">is the</w:t>
      </w:r>
      <w:r>
        <w:t xml:space="preserve"> </w:t>
      </w:r>
      <w:r>
        <w:rPr>
          <w:bCs/>
          <w:b/>
        </w:rPr>
        <w:t xml:space="preserve">exponent</w:t>
      </w:r>
      <w:r>
        <w:t xml:space="preserve"> </w:t>
      </w:r>
      <w:r>
        <w:t xml:space="preserve">(or power). By convention</w:t>
      </w:r>
      <w:r>
        <w:t xml:space="preserve"> </w:t>
      </w:r>
      <m:oMath>
        <m:sSup>
          <m:e>
            <m:r>
              <m:t>b</m:t>
            </m:r>
          </m:e>
          <m:sup>
            <m:r>
              <m:t>0</m:t>
            </m:r>
          </m:sup>
        </m:sSup>
        <m:r>
          <m:rPr>
            <m:sty m:val="p"/>
          </m:rPr>
          <m:t>=</m:t>
        </m:r>
        <m:r>
          <m:t>1</m:t>
        </m:r>
      </m:oMath>
      <w:r>
        <w:t xml:space="preserve"> </w:t>
      </w:r>
      <w:r>
        <w:t xml:space="preserve">and</w:t>
      </w:r>
      <w:r>
        <w:t xml:space="preserve"> </w:t>
      </w:r>
      <m:oMath>
        <m:sSup>
          <m:e>
            <m:r>
              <m:t>b</m:t>
            </m:r>
          </m:e>
          <m:sup>
            <m:r>
              <m:rPr>
                <m:sty m:val="p"/>
              </m:rPr>
              <m:t>−</m:t>
            </m:r>
            <m:r>
              <m:t>n</m:t>
            </m:r>
          </m:sup>
        </m:sSup>
        <m:r>
          <m:rPr>
            <m:sty m:val="p"/>
          </m:rPr>
          <m:t>=</m:t>
        </m:r>
        <m:r>
          <m:t>1</m:t>
        </m:r>
        <m:r>
          <m:rPr>
            <m:sty m:val="p"/>
          </m:rPr>
          <m:t>/</m:t>
        </m:r>
        <m:sSup>
          <m:e>
            <m:r>
              <m:t>b</m:t>
            </m:r>
          </m:e>
          <m:sup>
            <m:r>
              <m:t>n</m:t>
            </m:r>
          </m:sup>
        </m:sSup>
      </m:oMath>
      <w:r>
        <w:t xml:space="preserve">.</w:t>
      </w:r>
    </w:p>
    <w:bookmarkStart w:id="342" w:name="first-principles-explanation-20"/>
    <w:p>
      <w:pPr>
        <w:pStyle w:val="Heading4"/>
      </w:pPr>
      <w:r>
        <w:t xml:space="preserve">First-principles explanation</w:t>
      </w:r>
    </w:p>
    <w:p>
      <w:pPr>
        <w:pStyle w:val="FirstParagraph"/>
      </w:pPr>
      <w:r>
        <w:t xml:space="preserve">Imagine folding a sheet of paper in half repeatedly. After one fold it is 2 layers thick, after two folds 4 layers, after three folds 8. Each fold</w:t>
      </w:r>
      <w:r>
        <w:t xml:space="preserve"> </w:t>
      </w:r>
      <w:r>
        <w:rPr>
          <w:iCs/>
          <w:i/>
        </w:rPr>
        <w:t xml:space="preserve">doubles</w:t>
      </w:r>
      <w:r>
        <w:t xml:space="preserve"> </w:t>
      </w:r>
      <w:r>
        <w:t xml:space="preserve">the count, so after</w:t>
      </w:r>
      <w:r>
        <w:t xml:space="preserve"> </w:t>
      </w:r>
      <m:oMath>
        <m:r>
          <m:t>n</m:t>
        </m:r>
      </m:oMath>
      <w:r>
        <w:t xml:space="preserve"> </w:t>
      </w:r>
      <w:r>
        <w:t xml:space="preserve">folds there are</w:t>
      </w:r>
      <w:r>
        <w:t xml:space="preserve"> </w:t>
      </w:r>
      <m:oMath>
        <m:sSup>
          <m:e>
            <m:r>
              <m:t>2</m:t>
            </m:r>
          </m:e>
          <m:sup>
            <m:r>
              <m:t>n</m:t>
            </m:r>
          </m:sup>
        </m:sSup>
      </m:oMath>
      <w:r>
        <w:t xml:space="preserve"> </w:t>
      </w:r>
      <w:r>
        <w:t xml:space="preserve">layers. After 10 folds you have 1,024 layers; after 20 folds, about a million. Exponential growth is the arithmetic of repeated multiplication, and computers are full of it, because every extra bit in an address or identifier doubles the number of values it can represent.</w:t>
      </w:r>
    </w:p>
    <w:p>
      <w:pPr>
        <w:pStyle w:val="BodyText"/>
      </w:pPr>
      <w:r>
        <w:t xml:space="preserve">Three rules do almost all the work in estimation:</w:t>
      </w:r>
    </w:p>
    <w:p>
      <w:pPr>
        <w:pStyle w:val="CalloutFormula"/>
      </w:pPr>
      <w:r>
        <w:rPr>
          <w:bCs/>
          <w:b/>
        </w:rPr>
        <w:t xml:space="preserve">FORMULA</w:t>
      </w:r>
    </w:p>
    <w:p>
      <w:pPr>
        <w:pStyle w:val="CalloutFormula"/>
      </w:pPr>
      <w:r>
        <w:rPr>
          <w:bCs/>
          <w:b/>
        </w:rPr>
        <w:t xml:space="preserve">Laws of exponents</w:t>
      </w:r>
    </w:p>
    <w:p>
      <w:pPr>
        <w:pStyle w:val="CalloutFormula"/>
      </w:pPr>
      <m:oMathPara>
        <m:oMathParaPr>
          <m:jc m:val="center"/>
        </m:oMathParaPr>
        <m:oMath>
          <m:sSup>
            <m:e>
              <m:r>
                <m:t>b</m:t>
              </m:r>
            </m:e>
            <m:sup>
              <m:r>
                <m:t>m</m:t>
              </m:r>
            </m:sup>
          </m:sSup>
          <m:r>
            <m:rPr>
              <m:sty m:val="p"/>
            </m:rPr>
            <m:t>×</m:t>
          </m:r>
          <m:sSup>
            <m:e>
              <m:r>
                <m:t>b</m:t>
              </m:r>
            </m:e>
            <m:sup>
              <m:r>
                <m:t>n</m:t>
              </m:r>
            </m:sup>
          </m:sSup>
          <m:r>
            <m:rPr>
              <m:sty m:val="p"/>
            </m:rPr>
            <m:t>=</m:t>
          </m:r>
          <m:sSup>
            <m:e>
              <m:r>
                <m:t>b</m:t>
              </m:r>
            </m:e>
            <m:sup>
              <m:r>
                <m:t>m</m:t>
              </m:r>
              <m:r>
                <m:rPr>
                  <m:sty m:val="p"/>
                </m:rPr>
                <m:t>+</m:t>
              </m:r>
              <m:r>
                <m:t>n</m:t>
              </m:r>
            </m:sup>
          </m:sSup>
          <m:r>
            <m:t>  </m:t>
          </m:r>
          <m:f>
            <m:fPr>
              <m:type m:val="bar"/>
            </m:fPr>
            <m:num>
              <m:sSup>
                <m:e>
                  <m:r>
                    <m:t>b</m:t>
                  </m:r>
                </m:e>
                <m:sup>
                  <m:r>
                    <m:t>m</m:t>
                  </m:r>
                </m:sup>
              </m:sSup>
            </m:num>
            <m:den>
              <m:sSup>
                <m:e>
                  <m:r>
                    <m:t>b</m:t>
                  </m:r>
                </m:e>
                <m:sup>
                  <m:r>
                    <m:t>n</m:t>
                  </m:r>
                </m:sup>
              </m:sSup>
            </m:den>
          </m:f>
          <m:r>
            <m:rPr>
              <m:sty m:val="p"/>
            </m:rPr>
            <m:t>=</m:t>
          </m:r>
          <m:sSup>
            <m:e>
              <m:r>
                <m:t>b</m:t>
              </m:r>
            </m:e>
            <m:sup>
              <m:r>
                <m:t>m</m:t>
              </m:r>
              <m:r>
                <m:rPr>
                  <m:sty m:val="p"/>
                </m:rPr>
                <m:t>−</m:t>
              </m:r>
              <m:r>
                <m:t>n</m:t>
              </m:r>
            </m:sup>
          </m:sSup>
          <m:r>
            <m:t>  </m:t>
          </m:r>
          <m:sSup>
            <m:e>
              <m:d>
                <m:dPr>
                  <m:begChr m:val="("/>
                  <m:endChr m:val=")"/>
                  <m:sepChr m:val=""/>
                  <m:grow/>
                </m:dPr>
                <m:e>
                  <m:sSup>
                    <m:e>
                      <m:r>
                        <m:t>b</m:t>
                      </m:r>
                    </m:e>
                    <m:sup>
                      <m:r>
                        <m:t>m</m:t>
                      </m:r>
                    </m:sup>
                  </m:sSup>
                </m:e>
              </m:d>
            </m:e>
            <m:sup>
              <m:r>
                <m:t>n</m:t>
              </m:r>
            </m:sup>
          </m:sSup>
          <m:r>
            <m:rPr>
              <m:sty m:val="p"/>
            </m:rPr>
            <m:t>=</m:t>
          </m:r>
          <m:sSup>
            <m:e>
              <m:r>
                <m:t>b</m:t>
              </m:r>
            </m:e>
            <m:sup>
              <m:r>
                <m:t>m</m:t>
              </m:r>
              <m:r>
                <m:t>n</m:t>
              </m:r>
            </m:sup>
          </m:sSup>
        </m:oMath>
      </m:oMathPara>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b</m:t>
              </m:r>
            </m:oMath>
          </w:p>
        </w:tc>
        <w:tc>
          <w:tcPr/>
          <w:p>
            <w:pPr>
              <w:pStyle w:val="Compact"/>
              <w:jc w:val="left"/>
            </w:pPr>
            <w:r>
              <w:t xml:space="preserve">Base (2 for binary quantities, 10 for decimal)</w:t>
            </w:r>
          </w:p>
        </w:tc>
        <w:tc>
          <w:tcPr/>
          <w:p>
            <w:pPr>
              <w:pStyle w:val="Compact"/>
              <w:jc w:val="left"/>
            </w:pPr>
            <w:r>
              <w:t xml:space="preserve">dimensionless</w:t>
            </w:r>
          </w:p>
        </w:tc>
      </w:tr>
      <w:tr>
        <w:tc>
          <w:tcPr/>
          <w:p>
            <w:pPr>
              <w:pStyle w:val="Compact"/>
              <w:jc w:val="left"/>
            </w:pPr>
            <m:oMath>
              <m:r>
                <m:t>m</m:t>
              </m:r>
              <m:r>
                <m:rPr>
                  <m:sty m:val="p"/>
                </m:rPr>
                <m:t>,</m:t>
              </m:r>
              <m:r>
                <m:t>n</m:t>
              </m:r>
            </m:oMath>
          </w:p>
        </w:tc>
        <w:tc>
          <w:tcPr/>
          <w:p>
            <w:pPr>
              <w:pStyle w:val="Compact"/>
              <w:jc w:val="left"/>
            </w:pPr>
            <w:r>
              <w:t xml:space="preserve">Exponents</w:t>
            </w:r>
          </w:p>
        </w:tc>
        <w:tc>
          <w:tcPr/>
          <w:p>
            <w:pPr>
              <w:pStyle w:val="Compact"/>
              <w:jc w:val="left"/>
            </w:pPr>
            <w:r>
              <w:t xml:space="preserve">dimensionless</w:t>
            </w:r>
          </w:p>
        </w:tc>
      </w:tr>
    </w:tbl>
    <w:p>
      <w:pPr>
        <w:pStyle w:val="CalloutExample"/>
      </w:pPr>
      <w:r>
        <w:rPr>
          <w:bCs/>
          <w:b/>
        </w:rPr>
        <w:t xml:space="preserve">WORKED EXAMPLE</w:t>
      </w:r>
    </w:p>
    <w:p>
      <w:pPr>
        <w:pStyle w:val="CalloutExample"/>
      </w:pPr>
      <w:r>
        <w:rPr>
          <w:bCs/>
          <w:b/>
        </w:rPr>
        <w:t xml:space="preserve">Worked example — Multiplying large numbers by adding exponents.</w:t>
      </w:r>
      <w:r>
        <w:t xml:space="preserve"> </w:t>
      </w:r>
      <w:r>
        <w:t xml:space="preserve">A service handles</w:t>
      </w:r>
      <w:r>
        <w:t xml:space="preserve"> </w:t>
      </w:r>
      <m:oMath>
        <m:r>
          <m:t>2</m:t>
        </m:r>
        <m:r>
          <m:rPr>
            <m:sty m:val="p"/>
          </m:rPr>
          <m:t>×</m:t>
        </m:r>
        <m:sSup>
          <m:e>
            <m:r>
              <m:t>10</m:t>
            </m:r>
          </m:e>
          <m:sup>
            <m:r>
              <m:t>4</m:t>
            </m:r>
          </m:sup>
        </m:sSup>
      </m:oMath>
      <w:r>
        <w:t xml:space="preserve"> </w:t>
      </w:r>
      <w:r>
        <w:t xml:space="preserve">requests per second (RPS). How many requests is that per day?</w:t>
      </w:r>
    </w:p>
    <w:p>
      <w:pPr>
        <w:numPr>
          <w:ilvl w:val="0"/>
          <w:numId w:val="1087"/>
        </w:numPr>
        <w:pStyle w:val="Compact"/>
      </w:pPr>
      <w:r>
        <w:t xml:space="preserve">Seconds per day:</w:t>
      </w:r>
      <w:r>
        <w:t xml:space="preserve"> </w:t>
      </w:r>
      <m:oMath>
        <m:r>
          <m:t>86</m:t>
        </m:r>
        <m:r>
          <m:rPr>
            <m:sty m:val="p"/>
          </m:rPr>
          <m:t>,</m:t>
        </m:r>
        <m:r>
          <m:t>400</m:t>
        </m:r>
        <m:r>
          <m:rPr>
            <m:sty m:val="p"/>
          </m:rPr>
          <m:t>≈</m:t>
        </m:r>
        <m:r>
          <m:t>8.64</m:t>
        </m:r>
        <m:r>
          <m:rPr>
            <m:sty m:val="p"/>
          </m:rPr>
          <m:t>×</m:t>
        </m:r>
        <m:sSup>
          <m:e>
            <m:r>
              <m:t>10</m:t>
            </m:r>
          </m:e>
          <m:sup>
            <m:r>
              <m:t>4</m:t>
            </m:r>
          </m:sup>
        </m:sSup>
      </m:oMath>
      <w:r>
        <w:t xml:space="preserve">.</w:t>
      </w:r>
    </w:p>
    <w:p>
      <w:pPr>
        <w:numPr>
          <w:ilvl w:val="0"/>
          <w:numId w:val="1087"/>
        </w:numPr>
        <w:pStyle w:val="Compact"/>
      </w:pPr>
      <w:r>
        <w:t xml:space="preserve">Multiply the mantissas:</w:t>
      </w:r>
      <w:r>
        <w:t xml:space="preserve"> </w:t>
      </w:r>
      <m:oMath>
        <m:r>
          <m:t>2</m:t>
        </m:r>
        <m:r>
          <m:rPr>
            <m:sty m:val="p"/>
          </m:rPr>
          <m:t>×</m:t>
        </m:r>
        <m:r>
          <m:t>8.64</m:t>
        </m:r>
        <m:r>
          <m:rPr>
            <m:sty m:val="p"/>
          </m:rPr>
          <m:t>=</m:t>
        </m:r>
        <m:r>
          <m:t>17.28</m:t>
        </m:r>
      </m:oMath>
      <w:r>
        <w:t xml:space="preserve">.</w:t>
      </w:r>
    </w:p>
    <w:p>
      <w:pPr>
        <w:numPr>
          <w:ilvl w:val="0"/>
          <w:numId w:val="1087"/>
        </w:numPr>
        <w:pStyle w:val="Compact"/>
      </w:pPr>
      <w:r>
        <w:t xml:space="preserve">Add the exponents:</w:t>
      </w:r>
      <w:r>
        <w:t xml:space="preserve"> </w:t>
      </w:r>
      <m:oMath>
        <m:sSup>
          <m:e>
            <m:r>
              <m:t>10</m:t>
            </m:r>
          </m:e>
          <m:sup>
            <m:r>
              <m:t>4</m:t>
            </m:r>
          </m:sup>
        </m:sSup>
        <m:r>
          <m:rPr>
            <m:sty m:val="p"/>
          </m:rPr>
          <m:t>×</m:t>
        </m:r>
        <m:sSup>
          <m:e>
            <m:r>
              <m:t>10</m:t>
            </m:r>
          </m:e>
          <m:sup>
            <m:r>
              <m:t>4</m:t>
            </m:r>
          </m:sup>
        </m:sSup>
        <m:r>
          <m:rPr>
            <m:sty m:val="p"/>
          </m:rPr>
          <m:t>=</m:t>
        </m:r>
        <m:sSup>
          <m:e>
            <m:r>
              <m:t>10</m:t>
            </m:r>
          </m:e>
          <m:sup>
            <m:r>
              <m:t>8</m:t>
            </m:r>
          </m:sup>
        </m:sSup>
      </m:oMath>
      <w:r>
        <w:t xml:space="preserve">.</w:t>
      </w:r>
    </w:p>
    <w:p>
      <w:pPr>
        <w:numPr>
          <w:ilvl w:val="0"/>
          <w:numId w:val="1087"/>
        </w:numPr>
        <w:pStyle w:val="Compact"/>
      </w:pPr>
      <w:r>
        <w:t xml:space="preserve">Result:</w:t>
      </w:r>
      <w:r>
        <w:t xml:space="preserve"> </w:t>
      </w:r>
      <m:oMath>
        <m:r>
          <m:t>17.28</m:t>
        </m:r>
        <m:r>
          <m:rPr>
            <m:sty m:val="p"/>
          </m:rPr>
          <m:t>×</m:t>
        </m:r>
        <m:sSup>
          <m:e>
            <m:r>
              <m:t>10</m:t>
            </m:r>
          </m:e>
          <m:sup>
            <m:r>
              <m:t>8</m:t>
            </m:r>
          </m:sup>
        </m:sSup>
        <m:r>
          <m:rPr>
            <m:sty m:val="p"/>
          </m:rPr>
          <m:t>=</m:t>
        </m:r>
        <m:r>
          <m:t>1.728</m:t>
        </m:r>
        <m:r>
          <m:rPr>
            <m:sty m:val="p"/>
          </m:rPr>
          <m:t>×</m:t>
        </m:r>
        <m:sSup>
          <m:e>
            <m:r>
              <m:t>10</m:t>
            </m:r>
          </m:e>
          <m:sup>
            <m:r>
              <m:t>9</m:t>
            </m:r>
          </m:sup>
        </m:sSup>
      </m:oMath>
      <w:r>
        <w:t xml:space="preserve"> </w:t>
      </w:r>
      <w:r>
        <w:t xml:space="preserve">requests per day.</w:t>
      </w:r>
    </w:p>
    <w:p>
      <w:pPr>
        <w:pStyle w:val="CalloutExample"/>
      </w:pPr>
      <w:r>
        <w:rPr>
          <w:bCs/>
          <w:b/>
        </w:rPr>
        <w:t xml:space="preserve">Interpretation.</w:t>
      </w:r>
      <w:r>
        <w:t xml:space="preserve"> </w:t>
      </w:r>
      <w:r>
        <w:t xml:space="preserve">About 1.7 billion requests per day.</w:t>
      </w:r>
      <w:r>
        <w:t xml:space="preserve"> </w:t>
      </w:r>
      <w:r>
        <w:rPr>
          <w:bCs/>
          <w:b/>
        </w:rPr>
        <w:t xml:space="preserve">Engineering implication.</w:t>
      </w:r>
      <w:r>
        <w:t xml:space="preserve"> </w:t>
      </w:r>
      <w:r>
        <w:t xml:space="preserve">If each request writes a 1 KB log line, that is</w:t>
      </w:r>
      <w:r>
        <w:t xml:space="preserve"> </w:t>
      </w:r>
      <m:oMath>
        <m:r>
          <m:t>1.7</m:t>
        </m:r>
        <m:r>
          <m:rPr>
            <m:sty m:val="p"/>
          </m:rPr>
          <m:t>×</m:t>
        </m:r>
        <m:sSup>
          <m:e>
            <m:r>
              <m:t>10</m:t>
            </m:r>
          </m:e>
          <m:sup>
            <m:r>
              <m:t>9</m:t>
            </m:r>
          </m:sup>
        </m:sSup>
        <m:r>
          <m:rPr>
            <m:sty m:val="p"/>
          </m:rPr>
          <m:t>×</m:t>
        </m:r>
        <m:sSup>
          <m:e>
            <m:r>
              <m:t>10</m:t>
            </m:r>
          </m:e>
          <m:sup>
            <m:r>
              <m:t>3</m:t>
            </m:r>
          </m:sup>
        </m:sSup>
        <m:r>
          <m:rPr>
            <m:sty m:val="p"/>
          </m:rPr>
          <m:t>=</m:t>
        </m:r>
        <m:r>
          <m:t>1.7</m:t>
        </m:r>
        <m:r>
          <m:rPr>
            <m:sty m:val="p"/>
          </m:rPr>
          <m:t>×</m:t>
        </m:r>
        <m:sSup>
          <m:e>
            <m:r>
              <m:t>10</m:t>
            </m:r>
          </m:e>
          <m:sup>
            <m:r>
              <m:t>12</m:t>
            </m:r>
          </m:sup>
        </m:sSup>
      </m:oMath>
      <w:r>
        <w:t xml:space="preserve"> </w:t>
      </w:r>
      <w:r>
        <w:t xml:space="preserve">bytes, roughly 1.7 TB of logs per day — a number that immediately tells you logs need their own retention and sampling plan.</w:t>
      </w:r>
    </w:p>
    <w:bookmarkEnd w:id="342"/>
    <w:bookmarkEnd w:id="343"/>
    <w:bookmarkStart w:id="344" w:name="powers-of-two"/>
    <w:p>
      <w:pPr>
        <w:pStyle w:val="Heading3"/>
      </w:pPr>
      <w:r>
        <w:t xml:space="preserve">4.3.2 Powers of two</w:t>
      </w:r>
    </w:p>
    <w:p>
      <w:pPr>
        <w:pStyle w:val="FirstParagraph"/>
      </w:pPr>
      <w:r>
        <w:t xml:space="preserve">Memory addresses, identifiers, hash spaces and page sizes are all powers of two because hardware is built from binary switches. The key coincidence that makes mental arithmetic possible is</w:t>
      </w:r>
    </w:p>
    <w:p>
      <w:pPr>
        <w:pStyle w:val="BodyText"/>
      </w:pPr>
      <m:oMathPara>
        <m:oMathParaPr>
          <m:jc m:val="center"/>
        </m:oMathParaPr>
        <m:oMath>
          <m:sSup>
            <m:e>
              <m:r>
                <m:t>2</m:t>
              </m:r>
            </m:e>
            <m:sup>
              <m:r>
                <m:t>10</m:t>
              </m:r>
            </m:sup>
          </m:sSup>
          <m:r>
            <m:rPr>
              <m:sty m:val="p"/>
            </m:rPr>
            <m:t>=</m:t>
          </m:r>
          <m:r>
            <m:t>1</m:t>
          </m:r>
          <m:r>
            <m:rPr>
              <m:sty m:val="p"/>
            </m:rPr>
            <m:t>,</m:t>
          </m:r>
          <m:r>
            <m:t>024</m:t>
          </m:r>
          <m:r>
            <m:rPr>
              <m:sty m:val="p"/>
            </m:rPr>
            <m:t>≈</m:t>
          </m:r>
          <m:sSup>
            <m:e>
              <m:r>
                <m:t>10</m:t>
              </m:r>
            </m:e>
            <m:sup>
              <m:r>
                <m:t>3</m:t>
              </m:r>
            </m:sup>
          </m:sSup>
          <m:r>
            <m:rPr>
              <m:sty m:val="p"/>
            </m:rPr>
            <m:t>.</m:t>
          </m:r>
        </m:oMath>
      </m:oMathPara>
    </w:p>
    <w:p>
      <w:pPr>
        <w:pStyle w:val="FirstParagraph"/>
      </w:pPr>
      <w:r>
        <w:t xml:space="preserve">Every additional factor of</w:t>
      </w:r>
      <w:r>
        <w:t xml:space="preserve"> </w:t>
      </w:r>
      <m:oMath>
        <m:sSup>
          <m:e>
            <m:r>
              <m:t>2</m:t>
            </m:r>
          </m:e>
          <m:sup>
            <m:r>
              <m:t>10</m:t>
            </m:r>
          </m:sup>
        </m:sSup>
      </m:oMath>
      <w:r>
        <w:t xml:space="preserve"> </w:t>
      </w:r>
      <w:r>
        <w:t xml:space="preserve">is therefore</w:t>
      </w:r>
      <w:r>
        <w:t xml:space="preserve"> </w:t>
      </w:r>
      <w:r>
        <w:t xml:space="preserve">“</w:t>
      </w:r>
      <w:r>
        <w:t xml:space="preserve">about another factor of a thousand</w:t>
      </w:r>
      <w:r>
        <w:t xml:space="preserve">”</w:t>
      </w:r>
      <w:r>
        <w:t xml:space="preserve">.</w:t>
      </w:r>
    </w:p>
    <w:p>
      <w:pPr>
        <w:pStyle w:val="BodyText"/>
      </w:pPr>
      <w:r>
        <w:rPr>
          <w:bCs/>
          <w:b/>
        </w:rPr>
        <w:t xml:space="preserve">Table 4.1 — Powers of two that every engineer should recognize.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Power</w:t>
            </w:r>
          </w:p>
        </w:tc>
        <w:tc>
          <w:tcPr/>
          <w:p>
            <w:pPr>
              <w:pStyle w:val="Compact"/>
              <w:jc w:val="left"/>
            </w:pPr>
            <w:r>
              <w:t xml:space="preserve">Exact value</w:t>
            </w:r>
          </w:p>
        </w:tc>
        <w:tc>
          <w:tcPr/>
          <w:p>
            <w:pPr>
              <w:pStyle w:val="Compact"/>
              <w:jc w:val="left"/>
            </w:pPr>
            <w:r>
              <w:t xml:space="preserve">Approximately</w:t>
            </w:r>
          </w:p>
        </w:tc>
        <w:tc>
          <w:tcPr/>
          <w:p>
            <w:pPr>
              <w:pStyle w:val="Compact"/>
              <w:jc w:val="left"/>
            </w:pPr>
            <w:r>
              <w:t xml:space="preserve">Binary prefix</w:t>
            </w:r>
          </w:p>
        </w:tc>
        <w:tc>
          <w:tcPr/>
          <w:p>
            <w:pPr>
              <w:pStyle w:val="Compact"/>
              <w:jc w:val="left"/>
            </w:pPr>
            <w:r>
              <w:t xml:space="preserve">Typical meaning</w:t>
            </w:r>
          </w:p>
        </w:tc>
      </w:tr>
      <w:tr>
        <w:tc>
          <w:tcPr/>
          <w:p>
            <w:pPr>
              <w:pStyle w:val="Compact"/>
              <w:jc w:val="left"/>
            </w:pPr>
            <m:oMath>
              <m:sSup>
                <m:e>
                  <m:r>
                    <m:t>2</m:t>
                  </m:r>
                </m:e>
                <m:sup>
                  <m:r>
                    <m:t>10</m:t>
                  </m:r>
                </m:sup>
              </m:sSup>
            </m:oMath>
          </w:p>
        </w:tc>
        <w:tc>
          <w:tcPr/>
          <w:p>
            <w:pPr>
              <w:pStyle w:val="Compact"/>
              <w:jc w:val="left"/>
            </w:pPr>
            <w:r>
              <w:t xml:space="preserve">1,024</w:t>
            </w:r>
          </w:p>
        </w:tc>
        <w:tc>
          <w:tcPr/>
          <w:p>
            <w:pPr>
              <w:pStyle w:val="Compact"/>
              <w:jc w:val="left"/>
            </w:pPr>
            <w:r>
              <w:t xml:space="preserve">one thousand (</w:t>
            </w:r>
            <m:oMath>
              <m:sSup>
                <m:e>
                  <m:r>
                    <m:t>10</m:t>
                  </m:r>
                </m:e>
                <m:sup>
                  <m:r>
                    <m:t>3</m:t>
                  </m:r>
                </m:sup>
              </m:sSup>
            </m:oMath>
            <w:r>
              <w:t xml:space="preserve">)</w:t>
            </w:r>
          </w:p>
        </w:tc>
        <w:tc>
          <w:tcPr/>
          <w:p>
            <w:pPr>
              <w:pStyle w:val="Compact"/>
              <w:jc w:val="left"/>
            </w:pPr>
            <w:r>
              <w:t xml:space="preserve">kibi (Ki)</w:t>
            </w:r>
          </w:p>
        </w:tc>
        <w:tc>
          <w:tcPr/>
          <w:p>
            <w:pPr>
              <w:pStyle w:val="Compact"/>
              <w:jc w:val="left"/>
            </w:pPr>
            <w:r>
              <w:t xml:space="preserve">1 KiB of memory</w:t>
            </w:r>
          </w:p>
        </w:tc>
      </w:tr>
      <w:tr>
        <w:tc>
          <w:tcPr/>
          <w:p>
            <w:pPr>
              <w:pStyle w:val="Compact"/>
              <w:jc w:val="left"/>
            </w:pPr>
            <m:oMath>
              <m:sSup>
                <m:e>
                  <m:r>
                    <m:t>2</m:t>
                  </m:r>
                </m:e>
                <m:sup>
                  <m:r>
                    <m:t>16</m:t>
                  </m:r>
                </m:sup>
              </m:sSup>
            </m:oMath>
          </w:p>
        </w:tc>
        <w:tc>
          <w:tcPr/>
          <w:p>
            <w:pPr>
              <w:pStyle w:val="Compact"/>
              <w:jc w:val="left"/>
            </w:pPr>
            <w:r>
              <w:t xml:space="preserve">65,536</w:t>
            </w:r>
          </w:p>
        </w:tc>
        <w:tc>
          <w:tcPr/>
          <w:p>
            <w:pPr>
              <w:pStyle w:val="Compact"/>
              <w:jc w:val="left"/>
            </w:pPr>
            <w:r>
              <w:t xml:space="preserve">65 thousand</w:t>
            </w:r>
          </w:p>
        </w:tc>
        <w:tc>
          <w:tcPr/>
          <w:p>
            <w:pPr>
              <w:pStyle w:val="Compact"/>
              <w:jc w:val="left"/>
            </w:pPr>
            <w:r>
              <w:t xml:space="preserve">—</w:t>
            </w:r>
          </w:p>
        </w:tc>
        <w:tc>
          <w:tcPr/>
          <w:p>
            <w:pPr>
              <w:pStyle w:val="Compact"/>
              <w:jc w:val="left"/>
            </w:pPr>
            <w:r>
              <w:t xml:space="preserve">Number of TCP/UDP port numbers; max of a 16-bit unsigned integer + 1</w:t>
            </w:r>
          </w:p>
        </w:tc>
      </w:tr>
      <w:tr>
        <w:tc>
          <w:tcPr/>
          <w:p>
            <w:pPr>
              <w:pStyle w:val="Compact"/>
              <w:jc w:val="left"/>
            </w:pPr>
            <m:oMath>
              <m:sSup>
                <m:e>
                  <m:r>
                    <m:t>2</m:t>
                  </m:r>
                </m:e>
                <m:sup>
                  <m:r>
                    <m:t>20</m:t>
                  </m:r>
                </m:sup>
              </m:sSup>
            </m:oMath>
          </w:p>
        </w:tc>
        <w:tc>
          <w:tcPr/>
          <w:p>
            <w:pPr>
              <w:pStyle w:val="Compact"/>
              <w:jc w:val="left"/>
            </w:pPr>
            <w:r>
              <w:t xml:space="preserve">1,048,576</w:t>
            </w:r>
          </w:p>
        </w:tc>
        <w:tc>
          <w:tcPr/>
          <w:p>
            <w:pPr>
              <w:pStyle w:val="Compact"/>
              <w:jc w:val="left"/>
            </w:pPr>
            <w:r>
              <w:t xml:space="preserve">one million (</w:t>
            </w:r>
            <m:oMath>
              <m:sSup>
                <m:e>
                  <m:r>
                    <m:t>10</m:t>
                  </m:r>
                </m:e>
                <m:sup>
                  <m:r>
                    <m:t>6</m:t>
                  </m:r>
                </m:sup>
              </m:sSup>
            </m:oMath>
            <w:r>
              <w:t xml:space="preserve">)</w:t>
            </w:r>
          </w:p>
        </w:tc>
        <w:tc>
          <w:tcPr/>
          <w:p>
            <w:pPr>
              <w:pStyle w:val="Compact"/>
              <w:jc w:val="left"/>
            </w:pPr>
            <w:r>
              <w:t xml:space="preserve">mebi (Mi)</w:t>
            </w:r>
          </w:p>
        </w:tc>
        <w:tc>
          <w:tcPr/>
          <w:p>
            <w:pPr>
              <w:pStyle w:val="Compact"/>
              <w:jc w:val="left"/>
            </w:pPr>
            <w:r>
              <w:t xml:space="preserve">1 MiB</w:t>
            </w:r>
          </w:p>
        </w:tc>
      </w:tr>
      <w:tr>
        <w:tc>
          <w:tcPr/>
          <w:p>
            <w:pPr>
              <w:pStyle w:val="Compact"/>
              <w:jc w:val="left"/>
            </w:pPr>
            <m:oMath>
              <m:sSup>
                <m:e>
                  <m:r>
                    <m:t>2</m:t>
                  </m:r>
                </m:e>
                <m:sup>
                  <m:r>
                    <m:t>30</m:t>
                  </m:r>
                </m:sup>
              </m:sSup>
            </m:oMath>
          </w:p>
        </w:tc>
        <w:tc>
          <w:tcPr/>
          <w:p>
            <w:pPr>
              <w:pStyle w:val="Compact"/>
              <w:jc w:val="left"/>
            </w:pPr>
            <w:r>
              <w:t xml:space="preserve">1,073,741,824</w:t>
            </w:r>
          </w:p>
        </w:tc>
        <w:tc>
          <w:tcPr/>
          <w:p>
            <w:pPr>
              <w:pStyle w:val="Compact"/>
              <w:jc w:val="left"/>
            </w:pPr>
            <w:r>
              <w:t xml:space="preserve">one billion (</w:t>
            </w:r>
            <m:oMath>
              <m:sSup>
                <m:e>
                  <m:r>
                    <m:t>10</m:t>
                  </m:r>
                </m:e>
                <m:sup>
                  <m:r>
                    <m:t>9</m:t>
                  </m:r>
                </m:sup>
              </m:sSup>
            </m:oMath>
            <w:r>
              <w:t xml:space="preserve">)</w:t>
            </w:r>
          </w:p>
        </w:tc>
        <w:tc>
          <w:tcPr/>
          <w:p>
            <w:pPr>
              <w:pStyle w:val="Compact"/>
              <w:jc w:val="left"/>
            </w:pPr>
            <w:r>
              <w:t xml:space="preserve">gibi (Gi)</w:t>
            </w:r>
          </w:p>
        </w:tc>
        <w:tc>
          <w:tcPr/>
          <w:p>
            <w:pPr>
              <w:pStyle w:val="Compact"/>
              <w:jc w:val="left"/>
            </w:pPr>
            <w:r>
              <w:t xml:space="preserve">1 GiB</w:t>
            </w:r>
          </w:p>
        </w:tc>
      </w:tr>
      <w:tr>
        <w:tc>
          <w:tcPr/>
          <w:p>
            <w:pPr>
              <w:pStyle w:val="Compact"/>
              <w:jc w:val="left"/>
            </w:pPr>
            <m:oMath>
              <m:sSup>
                <m:e>
                  <m:r>
                    <m:t>2</m:t>
                  </m:r>
                </m:e>
                <m:sup>
                  <m:r>
                    <m:t>32</m:t>
                  </m:r>
                </m:sup>
              </m:sSup>
            </m:oMath>
          </w:p>
        </w:tc>
        <w:tc>
          <w:tcPr/>
          <w:p>
            <w:pPr>
              <w:pStyle w:val="Compact"/>
              <w:jc w:val="left"/>
            </w:pPr>
            <w:r>
              <w:t xml:space="preserve">4,294,967,296</w:t>
            </w:r>
          </w:p>
        </w:tc>
        <w:tc>
          <w:tcPr/>
          <w:p>
            <w:pPr>
              <w:pStyle w:val="Compact"/>
              <w:jc w:val="left"/>
            </w:pPr>
            <w:r>
              <w:t xml:space="preserve">4.3 billion</w:t>
            </w:r>
          </w:p>
        </w:tc>
        <w:tc>
          <w:tcPr/>
          <w:p>
            <w:pPr>
              <w:pStyle w:val="Compact"/>
              <w:jc w:val="left"/>
            </w:pPr>
            <w:r>
              <w:t xml:space="preserve">—</w:t>
            </w:r>
          </w:p>
        </w:tc>
        <w:tc>
          <w:tcPr/>
          <w:p>
            <w:pPr>
              <w:pStyle w:val="Compact"/>
              <w:jc w:val="left"/>
            </w:pPr>
            <w:r>
              <w:t xml:space="preserve">IPv4 address space; 32-bit ID space</w:t>
            </w:r>
          </w:p>
        </w:tc>
      </w:tr>
      <w:tr>
        <w:tc>
          <w:tcPr/>
          <w:p>
            <w:pPr>
              <w:pStyle w:val="Compact"/>
              <w:jc w:val="left"/>
            </w:pPr>
            <m:oMath>
              <m:sSup>
                <m:e>
                  <m:r>
                    <m:t>2</m:t>
                  </m:r>
                </m:e>
                <m:sup>
                  <m:r>
                    <m:t>40</m:t>
                  </m:r>
                </m:sup>
              </m:sSup>
            </m:oMath>
          </w:p>
        </w:tc>
        <w:tc>
          <w:tcPr/>
          <w:p>
            <w:pPr>
              <w:pStyle w:val="Compact"/>
              <w:jc w:val="left"/>
            </w:pPr>
            <w:r>
              <w:t xml:space="preserve">1,099,511,627,776</w:t>
            </w:r>
          </w:p>
        </w:tc>
        <w:tc>
          <w:tcPr/>
          <w:p>
            <w:pPr>
              <w:pStyle w:val="Compact"/>
              <w:jc w:val="left"/>
            </w:pPr>
            <w:r>
              <w:t xml:space="preserve">one trillion (</w:t>
            </w:r>
            <m:oMath>
              <m:sSup>
                <m:e>
                  <m:r>
                    <m:t>10</m:t>
                  </m:r>
                </m:e>
                <m:sup>
                  <m:r>
                    <m:t>12</m:t>
                  </m:r>
                </m:sup>
              </m:sSup>
            </m:oMath>
            <w:r>
              <w:t xml:space="preserve">)</w:t>
            </w:r>
          </w:p>
        </w:tc>
        <w:tc>
          <w:tcPr/>
          <w:p>
            <w:pPr>
              <w:pStyle w:val="Compact"/>
              <w:jc w:val="left"/>
            </w:pPr>
            <w:r>
              <w:t xml:space="preserve">tebi (Ti)</w:t>
            </w:r>
          </w:p>
        </w:tc>
        <w:tc>
          <w:tcPr/>
          <w:p>
            <w:pPr>
              <w:pStyle w:val="Compact"/>
              <w:jc w:val="left"/>
            </w:pPr>
            <w:r>
              <w:t xml:space="preserve">1 TiB</w:t>
            </w:r>
          </w:p>
        </w:tc>
      </w:tr>
      <w:tr>
        <w:tc>
          <w:tcPr/>
          <w:p>
            <w:pPr>
              <w:pStyle w:val="Compact"/>
              <w:jc w:val="left"/>
            </w:pPr>
            <m:oMath>
              <m:sSup>
                <m:e>
                  <m:r>
                    <m:t>2</m:t>
                  </m:r>
                </m:e>
                <m:sup>
                  <m:r>
                    <m:t>50</m:t>
                  </m:r>
                </m:sup>
              </m:sSup>
            </m:oMath>
          </w:p>
        </w:tc>
        <w:tc>
          <w:tcPr/>
          <w:p>
            <w:pPr>
              <w:pStyle w:val="Compact"/>
              <w:jc w:val="left"/>
            </w:pPr>
            <w:r>
              <w:t xml:space="preserve">1,125,899,906,842,624</w:t>
            </w:r>
          </w:p>
        </w:tc>
        <w:tc>
          <w:tcPr/>
          <w:p>
            <w:pPr>
              <w:pStyle w:val="Compact"/>
              <w:jc w:val="left"/>
            </w:pPr>
            <w:r>
              <w:t xml:space="preserve">one quadrillion (</w:t>
            </w:r>
            <m:oMath>
              <m:sSup>
                <m:e>
                  <m:r>
                    <m:t>10</m:t>
                  </m:r>
                </m:e>
                <m:sup>
                  <m:r>
                    <m:t>15</m:t>
                  </m:r>
                </m:sup>
              </m:sSup>
            </m:oMath>
            <w:r>
              <w:t xml:space="preserve">)</w:t>
            </w:r>
          </w:p>
        </w:tc>
        <w:tc>
          <w:tcPr/>
          <w:p>
            <w:pPr>
              <w:pStyle w:val="Compact"/>
              <w:jc w:val="left"/>
            </w:pPr>
            <w:r>
              <w:t xml:space="preserve">pebi (Pi)</w:t>
            </w:r>
          </w:p>
        </w:tc>
        <w:tc>
          <w:tcPr/>
          <w:p>
            <w:pPr>
              <w:pStyle w:val="Compact"/>
              <w:jc w:val="left"/>
            </w:pPr>
            <w:r>
              <w:t xml:space="preserve">1 PiB</w:t>
            </w:r>
          </w:p>
        </w:tc>
      </w:tr>
      <w:tr>
        <w:tc>
          <w:tcPr/>
          <w:p>
            <w:pPr>
              <w:pStyle w:val="Compact"/>
              <w:jc w:val="left"/>
            </w:pPr>
            <m:oMath>
              <m:sSup>
                <m:e>
                  <m:r>
                    <m:t>2</m:t>
                  </m:r>
                </m:e>
                <m:sup>
                  <m:r>
                    <m:t>60</m:t>
                  </m:r>
                </m:sup>
              </m:sSup>
            </m:oMath>
          </w:p>
        </w:tc>
        <w:tc>
          <w:tcPr/>
          <w:p>
            <w:pPr>
              <w:pStyle w:val="Compact"/>
              <w:jc w:val="left"/>
            </w:pPr>
            <w:r>
              <w:t xml:space="preserve">1,152,921,504,606,846,976</w:t>
            </w:r>
          </w:p>
        </w:tc>
        <w:tc>
          <w:tcPr/>
          <w:p>
            <w:pPr>
              <w:pStyle w:val="Compact"/>
              <w:jc w:val="left"/>
            </w:pPr>
            <w:r>
              <w:t xml:space="preserve">one quintillion (</w:t>
            </w:r>
            <m:oMath>
              <m:sSup>
                <m:e>
                  <m:r>
                    <m:t>10</m:t>
                  </m:r>
                </m:e>
                <m:sup>
                  <m:r>
                    <m:t>18</m:t>
                  </m:r>
                </m:sup>
              </m:sSup>
            </m:oMath>
            <w:r>
              <w:t xml:space="preserve">)</w:t>
            </w:r>
          </w:p>
        </w:tc>
        <w:tc>
          <w:tcPr/>
          <w:p>
            <w:pPr>
              <w:pStyle w:val="Compact"/>
              <w:jc w:val="left"/>
            </w:pPr>
            <w:r>
              <w:t xml:space="preserve">exbi (Ei)</w:t>
            </w:r>
          </w:p>
        </w:tc>
        <w:tc>
          <w:tcPr/>
          <w:p>
            <w:pPr>
              <w:pStyle w:val="Compact"/>
              <w:jc w:val="left"/>
            </w:pPr>
            <w:r>
              <w:t xml:space="preserve">1 EiB</w:t>
            </w:r>
          </w:p>
        </w:tc>
      </w:tr>
      <w:tr>
        <w:tc>
          <w:tcPr/>
          <w:p>
            <w:pPr>
              <w:pStyle w:val="Compact"/>
              <w:jc w:val="left"/>
            </w:pPr>
            <m:oMath>
              <m:sSup>
                <m:e>
                  <m:r>
                    <m:t>2</m:t>
                  </m:r>
                </m:e>
                <m:sup>
                  <m:r>
                    <m:t>64</m:t>
                  </m:r>
                </m:sup>
              </m:sSup>
            </m:oMath>
          </w:p>
        </w:tc>
        <w:tc>
          <w:tcPr/>
          <w:p>
            <w:pPr>
              <w:pStyle w:val="Compact"/>
              <w:jc w:val="left"/>
            </w:pPr>
            <w:r>
              <w:t xml:space="preserve">18,446,744,073,709,551,616</w:t>
            </w:r>
          </w:p>
        </w:tc>
        <w:tc>
          <w:tcPr/>
          <w:p>
            <w:pPr>
              <w:pStyle w:val="Compact"/>
              <w:jc w:val="left"/>
            </w:pPr>
            <m:oMath>
              <m:r>
                <m:t>1.8</m:t>
              </m:r>
              <m:r>
                <m:rPr>
                  <m:sty m:val="p"/>
                </m:rPr>
                <m:t>×</m:t>
              </m:r>
              <m:sSup>
                <m:e>
                  <m:r>
                    <m:t>10</m:t>
                  </m:r>
                </m:e>
                <m:sup>
                  <m:r>
                    <m:t>19</m:t>
                  </m:r>
                </m:sup>
              </m:sSup>
            </m:oMath>
          </w:p>
        </w:tc>
        <w:tc>
          <w:tcPr/>
          <w:p>
            <w:pPr>
              <w:pStyle w:val="Compact"/>
              <w:jc w:val="left"/>
            </w:pPr>
            <w:r>
              <w:t xml:space="preserve">—</w:t>
            </w:r>
          </w:p>
        </w:tc>
        <w:tc>
          <w:tcPr/>
          <w:p>
            <w:pPr>
              <w:pStyle w:val="Compact"/>
              <w:jc w:val="left"/>
            </w:pPr>
            <w:r>
              <w:t xml:space="preserve">64-bit ID or hash space</w:t>
            </w:r>
          </w:p>
        </w:tc>
      </w:tr>
    </w:tbl>
    <w:p>
      <w:pPr>
        <w:pStyle w:val="BodyText"/>
      </w:pPr>
      <w:r>
        <w:t xml:space="preserve">Notice that the approximation drifts:</w:t>
      </w:r>
      <w:r>
        <w:t xml:space="preserve"> </w:t>
      </w:r>
      <m:oMath>
        <m:sSup>
          <m:e>
            <m:r>
              <m:t>2</m:t>
            </m:r>
          </m:e>
          <m:sup>
            <m:r>
              <m:t>10</m:t>
            </m:r>
          </m:sup>
        </m:sSup>
      </m:oMath>
      <w:r>
        <w:t xml:space="preserve"> </w:t>
      </w:r>
      <w:r>
        <w:t xml:space="preserve">is 2.4% larger than</w:t>
      </w:r>
      <w:r>
        <w:t xml:space="preserve"> </w:t>
      </w:r>
      <m:oMath>
        <m:sSup>
          <m:e>
            <m:r>
              <m:t>10</m:t>
            </m:r>
          </m:e>
          <m:sup>
            <m:r>
              <m:t>3</m:t>
            </m:r>
          </m:sup>
        </m:sSup>
      </m:oMath>
      <w:r>
        <w:t xml:space="preserve">, but</w:t>
      </w:r>
      <w:r>
        <w:t xml:space="preserve"> </w:t>
      </w:r>
      <m:oMath>
        <m:sSup>
          <m:e>
            <m:r>
              <m:t>2</m:t>
            </m:r>
          </m:e>
          <m:sup>
            <m:r>
              <m:t>40</m:t>
            </m:r>
          </m:sup>
        </m:sSup>
      </m:oMath>
      <w:r>
        <w:t xml:space="preserve"> </w:t>
      </w:r>
      <w:r>
        <w:t xml:space="preserve">is 10% larger than</w:t>
      </w:r>
      <w:r>
        <w:t xml:space="preserve"> </w:t>
      </w:r>
      <m:oMath>
        <m:sSup>
          <m:e>
            <m:r>
              <m:t>10</m:t>
            </m:r>
          </m:e>
          <m:sup>
            <m:r>
              <m:t>12</m:t>
            </m:r>
          </m:sup>
        </m:sSup>
      </m:oMath>
      <w:r>
        <w:t xml:space="preserve"> </w:t>
      </w:r>
      <w:r>
        <w:t xml:space="preserve">and</w:t>
      </w:r>
      <w:r>
        <w:t xml:space="preserve"> </w:t>
      </w:r>
      <m:oMath>
        <m:sSup>
          <m:e>
            <m:r>
              <m:t>2</m:t>
            </m:r>
          </m:e>
          <m:sup>
            <m:r>
              <m:t>60</m:t>
            </m:r>
          </m:sup>
        </m:sSup>
      </m:oMath>
      <w:r>
        <w:t xml:space="preserve"> </w:t>
      </w:r>
      <w:r>
        <w:t xml:space="preserve">is 15% larger than</w:t>
      </w:r>
      <w:r>
        <w:t xml:space="preserve"> </w:t>
      </w:r>
      <m:oMath>
        <m:sSup>
          <m:e>
            <m:r>
              <m:t>10</m:t>
            </m:r>
          </m:e>
          <m:sup>
            <m:r>
              <m:t>18</m:t>
            </m:r>
          </m:sup>
        </m:sSup>
      </m:oMath>
      <w:r>
        <w:t xml:space="preserve">. For estimation this is fine; for billing or capacity contracts it is not (see §4.5.2).</w:t>
      </w:r>
    </w:p>
    <w:p>
      <w:pPr>
        <w:pStyle w:val="CalloutExample"/>
      </w:pPr>
      <w:r>
        <w:rPr>
          <w:bCs/>
          <w:b/>
        </w:rPr>
        <w:t xml:space="preserve">WORKED EXAMPLE</w:t>
      </w:r>
    </w:p>
    <w:p>
      <w:pPr>
        <w:pStyle w:val="CalloutExample"/>
      </w:pPr>
      <w:r>
        <w:rPr>
          <w:bCs/>
          <w:b/>
        </w:rPr>
        <w:t xml:space="preserve">Worked example — How long until a 32-bit ID runs out?</w:t>
      </w:r>
      <w:r>
        <w:t xml:space="preserve"> </w:t>
      </w:r>
      <w:r>
        <w:t xml:space="preserve">A table uses a 32-bit unsigned integer as its auto-increment primary key and receives 10,000 inserts per second.</w:t>
      </w:r>
    </w:p>
    <w:p>
      <w:pPr>
        <w:numPr>
          <w:ilvl w:val="0"/>
          <w:numId w:val="1088"/>
        </w:numPr>
        <w:pStyle w:val="Compact"/>
      </w:pPr>
      <w:r>
        <w:t xml:space="preserve">ID space:</w:t>
      </w:r>
      <w:r>
        <w:t xml:space="preserve"> </w:t>
      </w:r>
      <m:oMath>
        <m:sSup>
          <m:e>
            <m:r>
              <m:t>2</m:t>
            </m:r>
          </m:e>
          <m:sup>
            <m:r>
              <m:t>32</m:t>
            </m:r>
          </m:sup>
        </m:sSup>
        <m:r>
          <m:rPr>
            <m:sty m:val="p"/>
          </m:rPr>
          <m:t>=</m:t>
        </m:r>
        <m:r>
          <m:t>4</m:t>
        </m:r>
        <m:r>
          <m:rPr>
            <m:sty m:val="p"/>
          </m:rPr>
          <m:t>,</m:t>
        </m:r>
        <m:r>
          <m:t>294</m:t>
        </m:r>
        <m:r>
          <m:rPr>
            <m:sty m:val="p"/>
          </m:rPr>
          <m:t>,</m:t>
        </m:r>
        <m:r>
          <m:t>967</m:t>
        </m:r>
        <m:r>
          <m:rPr>
            <m:sty m:val="p"/>
          </m:rPr>
          <m:t>,</m:t>
        </m:r>
        <m:r>
          <m:t>296</m:t>
        </m:r>
      </m:oMath>
      <w:r>
        <w:t xml:space="preserve"> </w:t>
      </w:r>
      <w:r>
        <w:t xml:space="preserve">values.</w:t>
      </w:r>
    </w:p>
    <w:p>
      <w:pPr>
        <w:numPr>
          <w:ilvl w:val="0"/>
          <w:numId w:val="1088"/>
        </w:numPr>
        <w:pStyle w:val="Compact"/>
      </w:pPr>
      <w:r>
        <w:t xml:space="preserve">Seconds to exhaust:</w:t>
      </w:r>
      <w:r>
        <w:t xml:space="preserve"> </w:t>
      </w:r>
      <m:oMath>
        <m:r>
          <m:t>4</m:t>
        </m:r>
        <m:r>
          <m:rPr>
            <m:sty m:val="p"/>
          </m:rPr>
          <m:t>,</m:t>
        </m:r>
        <m:r>
          <m:t>294</m:t>
        </m:r>
        <m:r>
          <m:rPr>
            <m:sty m:val="p"/>
          </m:rPr>
          <m:t>,</m:t>
        </m:r>
        <m:r>
          <m:t>967</m:t>
        </m:r>
        <m:r>
          <m:rPr>
            <m:sty m:val="p"/>
          </m:rPr>
          <m:t>,</m:t>
        </m:r>
        <m:r>
          <m:t>296</m:t>
        </m:r>
        <m:r>
          <m:rPr>
            <m:sty m:val="p"/>
          </m:rPr>
          <m:t>/</m:t>
        </m:r>
        <m:r>
          <m:t>10</m:t>
        </m:r>
        <m:r>
          <m:rPr>
            <m:sty m:val="p"/>
          </m:rPr>
          <m:t>,</m:t>
        </m:r>
        <m:r>
          <m:t>000</m:t>
        </m:r>
        <m:r>
          <m:rPr>
            <m:sty m:val="p"/>
          </m:rPr>
          <m:t>=</m:t>
        </m:r>
        <m:r>
          <m:t>429</m:t>
        </m:r>
        <m:r>
          <m:rPr>
            <m:sty m:val="p"/>
          </m:rPr>
          <m:t>,</m:t>
        </m:r>
        <m:r>
          <m:t>497</m:t>
        </m:r>
      </m:oMath>
      <w:r>
        <w:t xml:space="preserve"> </w:t>
      </w:r>
      <w:r>
        <w:t xml:space="preserve">s.</w:t>
      </w:r>
    </w:p>
    <w:p>
      <w:pPr>
        <w:numPr>
          <w:ilvl w:val="0"/>
          <w:numId w:val="1088"/>
        </w:numPr>
        <w:pStyle w:val="Compact"/>
      </w:pPr>
      <w:r>
        <w:t xml:space="preserve">Convert to days:</w:t>
      </w:r>
      <w:r>
        <w:t xml:space="preserve"> </w:t>
      </w:r>
      <m:oMath>
        <m:r>
          <m:t>429</m:t>
        </m:r>
        <m:r>
          <m:rPr>
            <m:sty m:val="p"/>
          </m:rPr>
          <m:t>,</m:t>
        </m:r>
        <m:r>
          <m:t>497</m:t>
        </m:r>
        <m:r>
          <m:rPr>
            <m:sty m:val="p"/>
          </m:rPr>
          <m:t>/</m:t>
        </m:r>
        <m:r>
          <m:t>86</m:t>
        </m:r>
        <m:r>
          <m:rPr>
            <m:sty m:val="p"/>
          </m:rPr>
          <m:t>,</m:t>
        </m:r>
        <m:r>
          <m:t>400</m:t>
        </m:r>
        <m:r>
          <m:rPr>
            <m:sty m:val="p"/>
          </m:rPr>
          <m:t>≈</m:t>
        </m:r>
        <m:r>
          <m:t>4.97</m:t>
        </m:r>
      </m:oMath>
      <w:r>
        <w:t xml:space="preserve"> </w:t>
      </w:r>
      <w:r>
        <w:t xml:space="preserve">days.</w:t>
      </w:r>
    </w:p>
    <w:p>
      <w:pPr>
        <w:pStyle w:val="CalloutExample"/>
      </w:pPr>
      <w:r>
        <w:rPr>
          <w:bCs/>
          <w:b/>
        </w:rPr>
        <w:t xml:space="preserve">Interpretation.</w:t>
      </w:r>
      <w:r>
        <w:t xml:space="preserve"> </w:t>
      </w:r>
      <w:r>
        <w:t xml:space="preserve">Under five days. Even at 100 inserts per second the space lasts only about 497 days.</w:t>
      </w:r>
      <w:r>
        <w:t xml:space="preserve"> </w:t>
      </w:r>
      <w:r>
        <w:rPr>
          <w:bCs/>
          <w:b/>
        </w:rPr>
        <w:t xml:space="preserve">Engineering implication.</w:t>
      </w:r>
      <w:r>
        <w:t xml:space="preserve"> </w:t>
      </w:r>
      <w:r>
        <w:t xml:space="preserve">Use 64-bit identifiers for any table that grows without bound; at 10,000 inserts per second a 64-bit space lasts</w:t>
      </w:r>
      <w:r>
        <w:t xml:space="preserve"> </w:t>
      </w:r>
      <m:oMath>
        <m:r>
          <m:t>1.8</m:t>
        </m:r>
        <m:r>
          <m:rPr>
            <m:sty m:val="p"/>
          </m:rPr>
          <m:t>×</m:t>
        </m:r>
        <m:sSup>
          <m:e>
            <m:r>
              <m:t>10</m:t>
            </m:r>
          </m:e>
          <m:sup>
            <m:r>
              <m:t>19</m:t>
            </m:r>
          </m:sup>
        </m:sSup>
        <m:r>
          <m:rPr>
            <m:sty m:val="p"/>
          </m:rPr>
          <m:t>/</m:t>
        </m:r>
        <m:sSup>
          <m:e>
            <m:r>
              <m:t>10</m:t>
            </m:r>
          </m:e>
          <m:sup>
            <m:r>
              <m:t>4</m:t>
            </m:r>
          </m:sup>
        </m:sSup>
        <m:r>
          <m:rPr>
            <m:sty m:val="p"/>
          </m:rPr>
          <m:t>≈</m:t>
        </m:r>
        <m:r>
          <m:t>1.8</m:t>
        </m:r>
        <m:r>
          <m:rPr>
            <m:sty m:val="p"/>
          </m:rPr>
          <m:t>×</m:t>
        </m:r>
        <m:sSup>
          <m:e>
            <m:r>
              <m:t>10</m:t>
            </m:r>
          </m:e>
          <m:sup>
            <m:r>
              <m:t>15</m:t>
            </m:r>
          </m:sup>
        </m:sSup>
      </m:oMath>
      <w:r>
        <w:t xml:space="preserve"> </w:t>
      </w:r>
      <w:r>
        <w:t xml:space="preserve">s, roughly 58 million years. Unique ID generation is covered in §17.10.</w:t>
      </w:r>
    </w:p>
    <w:bookmarkEnd w:id="344"/>
    <w:bookmarkStart w:id="345" w:name="powers-of-ten-and-scientific-notation"/>
    <w:p>
      <w:pPr>
        <w:pStyle w:val="Heading3"/>
      </w:pPr>
      <w:r>
        <w:t xml:space="preserve">4.3.3 Powers of ten and scientific notation</w:t>
      </w:r>
    </w:p>
    <w:p>
      <w:pPr>
        <w:pStyle w:val="FirstParagraph"/>
      </w:pPr>
      <w:r>
        <w:rPr>
          <w:bCs/>
          <w:b/>
        </w:rPr>
        <w:t xml:space="preserve">Scientific notation</w:t>
      </w:r>
      <w:r>
        <w:t xml:space="preserve"> </w:t>
      </w:r>
      <w:r>
        <w:t xml:space="preserve">writes a number as a mantissa between 1 and 10 times a power of ten: 86,400 becomes</w:t>
      </w:r>
      <w:r>
        <w:t xml:space="preserve"> </w:t>
      </w:r>
      <m:oMath>
        <m:r>
          <m:t>8.64</m:t>
        </m:r>
        <m:r>
          <m:rPr>
            <m:sty m:val="p"/>
          </m:rPr>
          <m:t>×</m:t>
        </m:r>
        <m:sSup>
          <m:e>
            <m:r>
              <m:t>10</m:t>
            </m:r>
          </m:e>
          <m:sup>
            <m:r>
              <m:t>4</m:t>
            </m:r>
          </m:sup>
        </m:sSup>
      </m:oMath>
      <w:r>
        <w:t xml:space="preserve">. In estimation you usually round the mantissa to one significant figure and keep only the exponent honest. Being off by a factor of 2 rarely changes a design decision; being off by a factor of 1,000 always does. The</w:t>
      </w:r>
      <w:r>
        <w:t xml:space="preserve"> </w:t>
      </w:r>
      <w:r>
        <w:rPr>
          <w:bCs/>
          <w:b/>
        </w:rPr>
        <w:t xml:space="preserve">order of magnitude</w:t>
      </w:r>
      <w:r>
        <w:t xml:space="preserve"> </w:t>
      </w:r>
      <w:r>
        <w:t xml:space="preserve">of a number is its power of ten, and most back-of-the-envelope reasoning (§2.11, Chapter 89) is order-of-magnitude reasoning.</w:t>
      </w:r>
    </w:p>
    <w:bookmarkEnd w:id="345"/>
    <w:bookmarkEnd w:id="346"/>
    <w:bookmarkStart w:id="355" w:name="logarithms"/>
    <w:p>
      <w:pPr>
        <w:pStyle w:val="Heading2"/>
      </w:pPr>
      <w:r>
        <w:t xml:space="preserve">4.4 Logarithms</w:t>
      </w:r>
    </w:p>
    <w:bookmarkStart w:id="349" w:name="what-a-logarithm-is"/>
    <w:p>
      <w:pPr>
        <w:pStyle w:val="Heading3"/>
      </w:pPr>
      <w:r>
        <w:t xml:space="preserve">4.4.1 What a logarithm is</w:t>
      </w:r>
    </w:p>
    <w:p>
      <w:pPr>
        <w:pStyle w:val="CalloutDefinition"/>
      </w:pPr>
      <w:r>
        <w:rPr>
          <w:bCs/>
          <w:b/>
        </w:rPr>
        <w:t xml:space="preserve">DEFINITION</w:t>
      </w:r>
    </w:p>
    <w:p>
      <w:pPr>
        <w:pStyle w:val="CalloutDefinition"/>
      </w:pPr>
      <w:r>
        <w:rPr>
          <w:bCs/>
          <w:b/>
        </w:rPr>
        <w:t xml:space="preserve">Definition — Logarithm.</w:t>
      </w:r>
      <w:r>
        <w:t xml:space="preserve"> </w:t>
      </w:r>
      <w:r>
        <w:t xml:space="preserve">The logarithm base</w:t>
      </w:r>
      <w:r>
        <w:t xml:space="preserve"> </w:t>
      </w:r>
      <m:oMath>
        <m:r>
          <m:t>b</m:t>
        </m:r>
      </m:oMath>
      <w:r>
        <w:t xml:space="preserve"> </w:t>
      </w:r>
      <w:r>
        <w:t xml:space="preserve">of</w:t>
      </w:r>
      <w:r>
        <w:t xml:space="preserve"> </w:t>
      </w:r>
      <m:oMath>
        <m:r>
          <m:t>x</m:t>
        </m:r>
      </m:oMath>
      <w:r>
        <w:t xml:space="preserve">, written</w:t>
      </w:r>
      <w:r>
        <w:t xml:space="preserve"> </w:t>
      </w:r>
      <m:oMath>
        <m:sSub>
          <m:e>
            <m:r>
              <m:rPr>
                <m:sty m:val="p"/>
              </m:rPr>
              <m:t>log</m:t>
            </m:r>
          </m:e>
          <m:sub>
            <m:r>
              <m:t>b</m:t>
            </m:r>
          </m:sub>
        </m:sSub>
        <m:r>
          <m:t>x</m:t>
        </m:r>
      </m:oMath>
      <w:r>
        <w:t xml:space="preserve">, is the exponent to which</w:t>
      </w:r>
      <w:r>
        <w:t xml:space="preserve"> </w:t>
      </w:r>
      <m:oMath>
        <m:r>
          <m:t>b</m:t>
        </m:r>
      </m:oMath>
      <w:r>
        <w:t xml:space="preserve"> </w:t>
      </w:r>
      <w:r>
        <w:t xml:space="preserve">must be raised to give</w:t>
      </w:r>
      <w:r>
        <w:t xml:space="preserve"> </w:t>
      </w:r>
      <m:oMath>
        <m:r>
          <m:t>x</m:t>
        </m:r>
      </m:oMath>
      <w:r>
        <w:t xml:space="preserve">: if</w:t>
      </w:r>
      <w:r>
        <w:t xml:space="preserve"> </w:t>
      </w:r>
      <m:oMath>
        <m:sSup>
          <m:e>
            <m:r>
              <m:t>b</m:t>
            </m:r>
          </m:e>
          <m:sup>
            <m:r>
              <m:t>y</m:t>
            </m:r>
          </m:sup>
        </m:sSup>
        <m:r>
          <m:rPr>
            <m:sty m:val="p"/>
          </m:rPr>
          <m:t>=</m:t>
        </m:r>
        <m:r>
          <m:t>x</m:t>
        </m:r>
      </m:oMath>
      <w:r>
        <w:t xml:space="preserve"> </w:t>
      </w:r>
      <w:r>
        <w:t xml:space="preserve">then</w:t>
      </w:r>
      <w:r>
        <w:t xml:space="preserve"> </w:t>
      </w:r>
      <m:oMath>
        <m:r>
          <m:t>y</m:t>
        </m:r>
        <m:r>
          <m:rPr>
            <m:sty m:val="p"/>
          </m:rPr>
          <m:t>=</m:t>
        </m:r>
        <m:sSub>
          <m:e>
            <m:r>
              <m:rPr>
                <m:sty m:val="p"/>
              </m:rPr>
              <m:t>log</m:t>
            </m:r>
          </m:e>
          <m:sub>
            <m:r>
              <m:t>b</m:t>
            </m:r>
          </m:sub>
        </m:sSub>
        <m:r>
          <m:t>x</m:t>
        </m:r>
      </m:oMath>
      <w:r>
        <w:t xml:space="preserve">.</w:t>
      </w:r>
    </w:p>
    <w:bookmarkStart w:id="347" w:name="first-principles-explanation-21"/>
    <w:p>
      <w:pPr>
        <w:pStyle w:val="Heading4"/>
      </w:pPr>
      <w:r>
        <w:t xml:space="preserve">First-principles explanation</w:t>
      </w:r>
    </w:p>
    <w:p>
      <w:pPr>
        <w:pStyle w:val="FirstParagraph"/>
      </w:pPr>
      <w:r>
        <w:t xml:space="preserve">A logarithm answers the question</w:t>
      </w:r>
      <w:r>
        <w:t xml:space="preserve"> </w:t>
      </w:r>
      <w:r>
        <w:t xml:space="preserve">“</w:t>
      </w:r>
      <w:r>
        <w:t xml:space="preserve">how many times do I have to multiply (or divide) to get there?</w:t>
      </w:r>
      <w:r>
        <w:t xml:space="preserve">”</w:t>
      </w:r>
      <w:r>
        <w:t xml:space="preserve">. Go back to the folded paper: if you want 1,024 layers, how many folds?</w:t>
      </w:r>
      <w:r>
        <w:t xml:space="preserve"> </w:t>
      </w:r>
      <m:oMath>
        <m:sSub>
          <m:e>
            <m:r>
              <m:rPr>
                <m:sty m:val="p"/>
              </m:rPr>
              <m:t>log</m:t>
            </m:r>
          </m:e>
          <m:sub>
            <m:r>
              <m:t>2</m:t>
            </m:r>
          </m:sub>
        </m:sSub>
        <m:r>
          <m:t>1024</m:t>
        </m:r>
        <m:r>
          <m:rPr>
            <m:sty m:val="p"/>
          </m:rPr>
          <m:t>=</m:t>
        </m:r>
        <m:r>
          <m:t>10</m:t>
        </m:r>
      </m:oMath>
      <w:r>
        <w:t xml:space="preserve">. Turn it around: if you have a phone book of 1,024 pages and open it in the middle, then in the middle of the correct half, and so on, how many openings until you reach one page? Also 10. A logarithm counts</w:t>
      </w:r>
      <w:r>
        <w:t xml:space="preserve"> </w:t>
      </w:r>
      <w:r>
        <w:rPr>
          <w:iCs/>
          <w:i/>
        </w:rPr>
        <w:t xml:space="preserve">halvings</w:t>
      </w:r>
      <w:r>
        <w:t xml:space="preserve">. That is the reason logarithms appear wherever a data structure repeatedly cuts the search space: binary search, balanced trees, B-trees, skip lists, consistent-hash rings with binary-searched tokens.</w:t>
      </w:r>
    </w:p>
    <w:bookmarkEnd w:id="347"/>
    <w:bookmarkStart w:id="348" w:name="why-does-this-exist-18"/>
    <w:p>
      <w:pPr>
        <w:pStyle w:val="Heading4"/>
      </w:pPr>
      <w:r>
        <w:t xml:space="preserve">Why does this exist?</w:t>
      </w:r>
    </w:p>
    <w:p>
      <w:pPr>
        <w:pStyle w:val="FirstParagraph"/>
      </w:pPr>
      <w:r>
        <w:t xml:space="preserve">Data sets grow multiplicatively (thousands, millions, billions), and the cost of searching them should not. Logarithms convert the multiplicative growth of</w:t>
      </w:r>
      <w:r>
        <w:t xml:space="preserve"> </w:t>
      </w:r>
      <m:oMath>
        <m:r>
          <m:t>n</m:t>
        </m:r>
      </m:oMath>
      <w:r>
        <w:t xml:space="preserve"> </w:t>
      </w:r>
      <w:r>
        <w:t xml:space="preserve">into the additive growth of the step count: multiplying</w:t>
      </w:r>
      <w:r>
        <w:t xml:space="preserve"> </w:t>
      </w:r>
      <m:oMath>
        <m:r>
          <m:t>n</m:t>
        </m:r>
      </m:oMath>
      <w:r>
        <w:t xml:space="preserve"> </w:t>
      </w:r>
      <w:r>
        <w:t xml:space="preserve">by 1,000 adds only about 10 steps to a binary search.</w:t>
      </w:r>
    </w:p>
    <w:bookmarkEnd w:id="348"/>
    <w:bookmarkEnd w:id="349"/>
    <w:bookmarkStart w:id="350" w:name="rules-and-change-of-base"/>
    <w:p>
      <w:pPr>
        <w:pStyle w:val="Heading3"/>
      </w:pPr>
      <w:r>
        <w:t xml:space="preserve">4.4.2 Rules and change of base</w:t>
      </w:r>
    </w:p>
    <w:p>
      <w:pPr>
        <w:pStyle w:val="CalloutFormula"/>
      </w:pPr>
      <w:r>
        <w:rPr>
          <w:bCs/>
          <w:b/>
        </w:rPr>
        <w:t xml:space="preserve">FORMULA</w:t>
      </w:r>
    </w:p>
    <w:p>
      <w:pPr>
        <w:pStyle w:val="CalloutFormula"/>
      </w:pPr>
      <w:r>
        <w:rPr>
          <w:bCs/>
          <w:b/>
        </w:rPr>
        <w:t xml:space="preserve">Logarithm rules and change of base</w:t>
      </w:r>
    </w:p>
    <w:p>
      <w:pPr>
        <w:pStyle w:val="CalloutFormula"/>
      </w:pPr>
      <m:oMathPara>
        <m:oMathParaPr>
          <m:jc m:val="center"/>
        </m:oMathParaPr>
        <m:oMath>
          <m:sSub>
            <m:e>
              <m:r>
                <m:rPr>
                  <m:sty m:val="p"/>
                </m:rPr>
                <m:t>log</m:t>
              </m:r>
            </m:e>
            <m:sub>
              <m:r>
                <m:t>b</m:t>
              </m:r>
            </m:sub>
          </m:sSub>
          <m:d>
            <m:dPr>
              <m:begChr m:val="("/>
              <m:endChr m:val=")"/>
              <m:sepChr m:val=""/>
              <m:grow/>
            </m:dPr>
            <m:e>
              <m:r>
                <m:t>x</m:t>
              </m:r>
              <m:r>
                <m:t>y</m:t>
              </m:r>
            </m:e>
          </m:d>
          <m:r>
            <m:rPr>
              <m:sty m:val="p"/>
            </m:rPr>
            <m:t>=</m:t>
          </m:r>
          <m:sSub>
            <m:e>
              <m:r>
                <m:rPr>
                  <m:sty m:val="p"/>
                </m:rPr>
                <m:t>log</m:t>
              </m:r>
            </m:e>
            <m:sub>
              <m:r>
                <m:t>b</m:t>
              </m:r>
            </m:sub>
          </m:sSub>
          <m:r>
            <m:t>x</m:t>
          </m:r>
          <m:r>
            <m:rPr>
              <m:sty m:val="p"/>
            </m:rPr>
            <m:t>+</m:t>
          </m:r>
          <m:sSub>
            <m:e>
              <m:r>
                <m:rPr>
                  <m:sty m:val="p"/>
                </m:rPr>
                <m:t>log</m:t>
              </m:r>
            </m:e>
            <m:sub>
              <m:r>
                <m:t>b</m:t>
              </m:r>
            </m:sub>
          </m:sSub>
          <m:r>
            <m:t>y</m:t>
          </m:r>
          <m:r>
            <m:t>  </m:t>
          </m:r>
          <m:sSub>
            <m:e>
              <m:r>
                <m:rPr>
                  <m:sty m:val="p"/>
                </m:rPr>
                <m:t>log</m:t>
              </m:r>
            </m:e>
            <m:sub>
              <m:r>
                <m:t>b</m:t>
              </m:r>
            </m:sub>
          </m:sSub>
          <m:d>
            <m:dPr>
              <m:begChr m:val="("/>
              <m:endChr m:val=")"/>
              <m:sepChr m:val=""/>
              <m:grow/>
            </m:dPr>
            <m:e>
              <m:sSup>
                <m:e>
                  <m:r>
                    <m:t>x</m:t>
                  </m:r>
                </m:e>
                <m:sup>
                  <m:r>
                    <m:t>k</m:t>
                  </m:r>
                </m:sup>
              </m:sSup>
            </m:e>
          </m:d>
          <m:r>
            <m:rPr>
              <m:sty m:val="p"/>
            </m:rPr>
            <m:t>=</m:t>
          </m:r>
          <m:r>
            <m:t>k</m:t>
          </m:r>
          <m:sSub>
            <m:e>
              <m:r>
                <m:rPr>
                  <m:sty m:val="p"/>
                </m:rPr>
                <m:t>log</m:t>
              </m:r>
            </m:e>
            <m:sub>
              <m:r>
                <m:t>b</m:t>
              </m:r>
            </m:sub>
          </m:sSub>
          <m:r>
            <m:t>x</m:t>
          </m:r>
          <m:r>
            <m:t>  </m:t>
          </m:r>
          <m:sSub>
            <m:e>
              <m:r>
                <m:rPr>
                  <m:sty m:val="p"/>
                </m:rPr>
                <m:t>log</m:t>
              </m:r>
            </m:e>
            <m:sub>
              <m:r>
                <m:t>b</m:t>
              </m:r>
            </m:sub>
          </m:sSub>
          <m:r>
            <m:t>x</m:t>
          </m:r>
          <m:r>
            <m:rPr>
              <m:sty m:val="p"/>
            </m:rPr>
            <m:t>=</m:t>
          </m:r>
          <m:f>
            <m:fPr>
              <m:type m:val="bar"/>
            </m:fPr>
            <m:num>
              <m:r>
                <m:rPr>
                  <m:sty m:val="p"/>
                </m:rPr>
                <m:t>ln</m:t>
              </m:r>
              <m:r>
                <m:t>x</m:t>
              </m:r>
            </m:num>
            <m:den>
              <m:r>
                <m:rPr>
                  <m:sty m:val="p"/>
                </m:rPr>
                <m:t>ln</m:t>
              </m:r>
              <m:r>
                <m:t>b</m:t>
              </m:r>
            </m:den>
          </m:f>
          <m:r>
            <m:rPr>
              <m:sty m:val="p"/>
            </m:rPr>
            <m:t>=</m:t>
          </m:r>
          <m:f>
            <m:fPr>
              <m:type m:val="bar"/>
            </m:fPr>
            <m:num>
              <m:sSub>
                <m:e>
                  <m:r>
                    <m:rPr>
                      <m:sty m:val="p"/>
                    </m:rPr>
                    <m:t>log</m:t>
                  </m:r>
                </m:e>
                <m:sub>
                  <m:r>
                    <m:t>10</m:t>
                  </m:r>
                </m:sub>
              </m:sSub>
              <m:r>
                <m:t>x</m:t>
              </m:r>
            </m:num>
            <m:den>
              <m:sSub>
                <m:e>
                  <m:r>
                    <m:rPr>
                      <m:sty m:val="p"/>
                    </m:rPr>
                    <m:t>log</m:t>
                  </m:r>
                </m:e>
                <m:sub>
                  <m:r>
                    <m:t>10</m:t>
                  </m:r>
                </m:sub>
              </m:sSub>
              <m:r>
                <m:t>b</m:t>
              </m:r>
            </m:den>
          </m:f>
        </m:oMath>
      </m:oMathPara>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b</m:t>
              </m:r>
            </m:oMath>
          </w:p>
        </w:tc>
        <w:tc>
          <w:tcPr/>
          <w:p>
            <w:pPr>
              <w:pStyle w:val="Compact"/>
              <w:jc w:val="left"/>
            </w:pPr>
            <w:r>
              <w:t xml:space="preserve">Base of the logarithm (</w:t>
            </w:r>
            <m:oMath>
              <m:r>
                <m:t>b</m:t>
              </m:r>
              <m:r>
                <m:rPr>
                  <m:sty m:val="p"/>
                </m:rPr>
                <m:t>&gt;</m:t>
              </m:r>
              <m:r>
                <m:t>0</m:t>
              </m:r>
            </m:oMath>
            <w:r>
              <w:t xml:space="preserve">,</w:t>
            </w:r>
            <w:r>
              <w:t xml:space="preserve"> </w:t>
            </w:r>
            <m:oMath>
              <m:r>
                <m:t>b</m:t>
              </m:r>
              <m:r>
                <m:rPr>
                  <m:sty m:val="p"/>
                </m:rPr>
                <m:t>≠</m:t>
              </m:r>
              <m:r>
                <m:t>1</m:t>
              </m:r>
            </m:oMath>
            <w:r>
              <w:t xml:space="preserve">)</w:t>
            </w:r>
          </w:p>
        </w:tc>
        <w:tc>
          <w:tcPr/>
          <w:p>
            <w:pPr>
              <w:pStyle w:val="Compact"/>
              <w:jc w:val="left"/>
            </w:pPr>
            <w:r>
              <w:t xml:space="preserve">dimensionless</w:t>
            </w:r>
          </w:p>
        </w:tc>
      </w:tr>
      <w:tr>
        <w:tc>
          <w:tcPr/>
          <w:p>
            <w:pPr>
              <w:pStyle w:val="Compact"/>
              <w:jc w:val="left"/>
            </w:pPr>
            <m:oMath>
              <m:r>
                <m:t>x</m:t>
              </m:r>
              <m:r>
                <m:rPr>
                  <m:sty m:val="p"/>
                </m:rPr>
                <m:t>,</m:t>
              </m:r>
              <m:r>
                <m:t>y</m:t>
              </m:r>
            </m:oMath>
          </w:p>
        </w:tc>
        <w:tc>
          <w:tcPr/>
          <w:p>
            <w:pPr>
              <w:pStyle w:val="Compact"/>
              <w:jc w:val="left"/>
            </w:pPr>
            <w:r>
              <w:t xml:space="preserve">Positive numbers</w:t>
            </w:r>
          </w:p>
        </w:tc>
        <w:tc>
          <w:tcPr/>
          <w:p>
            <w:pPr>
              <w:pStyle w:val="Compact"/>
              <w:jc w:val="left"/>
            </w:pPr>
            <w:r>
              <w:t xml:space="preserve">dimensionless</w:t>
            </w:r>
          </w:p>
        </w:tc>
      </w:tr>
      <w:tr>
        <w:tc>
          <w:tcPr/>
          <w:p>
            <w:pPr>
              <w:pStyle w:val="Compact"/>
              <w:jc w:val="left"/>
            </w:pPr>
            <m:oMath>
              <m:r>
                <m:t>k</m:t>
              </m:r>
            </m:oMath>
          </w:p>
        </w:tc>
        <w:tc>
          <w:tcPr/>
          <w:p>
            <w:pPr>
              <w:pStyle w:val="Compact"/>
              <w:jc w:val="left"/>
            </w:pPr>
            <w:r>
              <w:t xml:space="preserve">Any real exponent</w:t>
            </w:r>
          </w:p>
        </w:tc>
        <w:tc>
          <w:tcPr/>
          <w:p>
            <w:pPr>
              <w:pStyle w:val="Compact"/>
              <w:jc w:val="left"/>
            </w:pPr>
            <w:r>
              <w:t xml:space="preserve">dimensionless</w:t>
            </w:r>
          </w:p>
        </w:tc>
      </w:tr>
      <w:tr>
        <w:tc>
          <w:tcPr/>
          <w:p>
            <w:pPr>
              <w:pStyle w:val="Compact"/>
              <w:jc w:val="left"/>
            </w:pPr>
            <m:oMath>
              <m:r>
                <m:rPr>
                  <m:sty m:val="p"/>
                </m:rPr>
                <m:t>ln</m:t>
              </m:r>
            </m:oMath>
          </w:p>
        </w:tc>
        <w:tc>
          <w:tcPr/>
          <w:p>
            <w:pPr>
              <w:pStyle w:val="Compact"/>
              <w:jc w:val="left"/>
            </w:pPr>
            <w:r>
              <w:t xml:space="preserve">Natural logarithm, base</w:t>
            </w:r>
            <w:r>
              <w:t xml:space="preserve"> </w:t>
            </w:r>
            <m:oMath>
              <m:r>
                <m:t>e</m:t>
              </m:r>
              <m:r>
                <m:rPr>
                  <m:sty m:val="p"/>
                </m:rPr>
                <m:t>≈</m:t>
              </m:r>
              <m:r>
                <m:t>2.71828</m:t>
              </m:r>
            </m:oMath>
          </w:p>
        </w:tc>
        <w:tc>
          <w:tcPr/>
          <w:p>
            <w:pPr>
              <w:pStyle w:val="Compact"/>
              <w:jc w:val="left"/>
            </w:pPr>
            <w:r>
              <w:t xml:space="preserve">—</w:t>
            </w:r>
          </w:p>
        </w:tc>
      </w:tr>
    </w:tbl>
    <w:p>
      <w:pPr>
        <w:pStyle w:val="BodyText"/>
      </w:pPr>
      <w:r>
        <w:t xml:space="preserve">The change-of-base rule means you only need one logarithm on your calculator. Two handy constants:</w:t>
      </w:r>
      <w:r>
        <w:t xml:space="preserve"> </w:t>
      </w:r>
      <m:oMath>
        <m:sSub>
          <m:e>
            <m:r>
              <m:rPr>
                <m:sty m:val="p"/>
              </m:rPr>
              <m:t>log</m:t>
            </m:r>
          </m:e>
          <m:sub>
            <m:r>
              <m:t>2</m:t>
            </m:r>
          </m:sub>
        </m:sSub>
        <m:r>
          <m:t>10</m:t>
        </m:r>
        <m:r>
          <m:rPr>
            <m:sty m:val="p"/>
          </m:rPr>
          <m:t>≈</m:t>
        </m:r>
        <m:r>
          <m:t>3.32</m:t>
        </m:r>
      </m:oMath>
      <w:r>
        <w:t xml:space="preserve"> </w:t>
      </w:r>
      <w:r>
        <w:t xml:space="preserve">and</w:t>
      </w:r>
      <w:r>
        <w:t xml:space="preserve"> </w:t>
      </w:r>
      <m:oMath>
        <m:sSub>
          <m:e>
            <m:r>
              <m:rPr>
                <m:sty m:val="p"/>
              </m:rPr>
              <m:t>log</m:t>
            </m:r>
          </m:e>
          <m:sub>
            <m:r>
              <m:t>10</m:t>
            </m:r>
          </m:sub>
        </m:sSub>
        <m:r>
          <m:t>2</m:t>
        </m:r>
        <m:r>
          <m:rPr>
            <m:sty m:val="p"/>
          </m:rPr>
          <m:t>≈</m:t>
        </m:r>
        <m:r>
          <m:t>0.301</m:t>
        </m:r>
      </m:oMath>
      <w:r>
        <w:t xml:space="preserve">.</w:t>
      </w:r>
    </w:p>
    <w:p>
      <w:pPr>
        <w:pStyle w:val="CalloutExample"/>
      </w:pPr>
      <w:r>
        <w:rPr>
          <w:bCs/>
          <w:b/>
        </w:rPr>
        <w:t xml:space="preserve">WORKED EXAMPLE</w:t>
      </w:r>
    </w:p>
    <w:p>
      <w:pPr>
        <w:pStyle w:val="CalloutExample"/>
      </w:pPr>
      <w:r>
        <w:rPr>
          <w:bCs/>
          <w:b/>
        </w:rPr>
        <w:t xml:space="preserve">Worked example — Binary search over one billion keys.</w:t>
      </w:r>
      <w:r>
        <w:t xml:space="preserve"> </w:t>
      </w:r>
      <w:r>
        <w:t xml:space="preserve">How many comparisons does binary search need to find a key among</w:t>
      </w:r>
      <w:r>
        <w:t xml:space="preserve"> </w:t>
      </w:r>
      <m:oMath>
        <m:r>
          <m:t>n</m:t>
        </m:r>
        <m:r>
          <m:rPr>
            <m:sty m:val="p"/>
          </m:rPr>
          <m:t>=</m:t>
        </m:r>
        <m:sSup>
          <m:e>
            <m:r>
              <m:t>10</m:t>
            </m:r>
          </m:e>
          <m:sup>
            <m:r>
              <m:t>9</m:t>
            </m:r>
          </m:sup>
        </m:sSup>
      </m:oMath>
      <w:r>
        <w:t xml:space="preserve"> </w:t>
      </w:r>
      <w:r>
        <w:t xml:space="preserve">sorted keys?</w:t>
      </w:r>
    </w:p>
    <w:p>
      <w:pPr>
        <w:numPr>
          <w:ilvl w:val="0"/>
          <w:numId w:val="1089"/>
        </w:numPr>
        <w:pStyle w:val="Compact"/>
      </w:pPr>
      <w:r>
        <w:t xml:space="preserve">We need</w:t>
      </w:r>
      <w:r>
        <w:t xml:space="preserve"> </w:t>
      </w:r>
      <m:oMath>
        <m:sSub>
          <m:e>
            <m:r>
              <m:rPr>
                <m:sty m:val="p"/>
              </m:rPr>
              <m:t>log</m:t>
            </m:r>
          </m:e>
          <m:sub>
            <m:r>
              <m:t>2</m:t>
            </m:r>
          </m:sub>
        </m:sSub>
        <m:d>
          <m:dPr>
            <m:begChr m:val="("/>
            <m:endChr m:val=")"/>
            <m:sepChr m:val=""/>
            <m:grow/>
          </m:dPr>
          <m:e>
            <m:sSup>
              <m:e>
                <m:r>
                  <m:t>10</m:t>
                </m:r>
              </m:e>
              <m:sup>
                <m:r>
                  <m:t>9</m:t>
                </m:r>
              </m:sup>
            </m:sSup>
          </m:e>
        </m:d>
      </m:oMath>
      <w:r>
        <w:t xml:space="preserve">.</w:t>
      </w:r>
    </w:p>
    <w:p>
      <w:pPr>
        <w:numPr>
          <w:ilvl w:val="0"/>
          <w:numId w:val="1089"/>
        </w:numPr>
        <w:pStyle w:val="Compact"/>
      </w:pPr>
      <w:r>
        <w:t xml:space="preserve">Change of base:</w:t>
      </w:r>
      <w:r>
        <w:t xml:space="preserve"> </w:t>
      </w:r>
      <m:oMath>
        <m:sSub>
          <m:e>
            <m:r>
              <m:rPr>
                <m:sty m:val="p"/>
              </m:rPr>
              <m:t>log</m:t>
            </m:r>
          </m:e>
          <m:sub>
            <m:r>
              <m:t>2</m:t>
            </m:r>
          </m:sub>
        </m:sSub>
        <m:d>
          <m:dPr>
            <m:begChr m:val="("/>
            <m:endChr m:val=")"/>
            <m:sepChr m:val=""/>
            <m:grow/>
          </m:dPr>
          <m:e>
            <m:sSup>
              <m:e>
                <m:r>
                  <m:t>10</m:t>
                </m:r>
              </m:e>
              <m:sup>
                <m:r>
                  <m:t>9</m:t>
                </m:r>
              </m:sup>
            </m:sSup>
          </m:e>
        </m:d>
        <m:r>
          <m:rPr>
            <m:sty m:val="p"/>
          </m:rPr>
          <m:t>=</m:t>
        </m:r>
        <m:r>
          <m:t>9</m:t>
        </m:r>
        <m:r>
          <m:rPr>
            <m:sty m:val="p"/>
          </m:rPr>
          <m:t>×</m:t>
        </m:r>
        <m:sSub>
          <m:e>
            <m:r>
              <m:rPr>
                <m:sty m:val="p"/>
              </m:rPr>
              <m:t>log</m:t>
            </m:r>
          </m:e>
          <m:sub>
            <m:r>
              <m:t>2</m:t>
            </m:r>
          </m:sub>
        </m:sSub>
        <m:r>
          <m:t>10</m:t>
        </m:r>
        <m:r>
          <m:rPr>
            <m:sty m:val="p"/>
          </m:rPr>
          <m:t>=</m:t>
        </m:r>
        <m:r>
          <m:t>9</m:t>
        </m:r>
        <m:r>
          <m:rPr>
            <m:sty m:val="p"/>
          </m:rPr>
          <m:t>×</m:t>
        </m:r>
        <m:r>
          <m:t>3.32</m:t>
        </m:r>
        <m:r>
          <m:rPr>
            <m:sty m:val="p"/>
          </m:rPr>
          <m:t>=</m:t>
        </m:r>
        <m:r>
          <m:t>29.9</m:t>
        </m:r>
      </m:oMath>
      <w:r>
        <w:t xml:space="preserve">.</w:t>
      </w:r>
    </w:p>
    <w:p>
      <w:pPr>
        <w:numPr>
          <w:ilvl w:val="0"/>
          <w:numId w:val="1089"/>
        </w:numPr>
        <w:pStyle w:val="Compact"/>
      </w:pPr>
      <w:r>
        <w:t xml:space="preserve">Round up: 30 comparisons.</w:t>
      </w:r>
    </w:p>
    <w:p>
      <w:pPr>
        <w:pStyle w:val="CalloutExample"/>
      </w:pPr>
      <w:r>
        <w:rPr>
          <w:bCs/>
          <w:b/>
        </w:rPr>
        <w:t xml:space="preserve">Interpretation.</w:t>
      </w:r>
      <w:r>
        <w:t xml:space="preserve"> </w:t>
      </w:r>
      <w:r>
        <w:t xml:space="preserve">Thirty comparisons to search a billion items; a linear scan needs on average 500 million.</w:t>
      </w:r>
      <w:r>
        <w:t xml:space="preserve"> </w:t>
      </w:r>
      <w:r>
        <w:rPr>
          <w:bCs/>
          <w:b/>
        </w:rPr>
        <w:t xml:space="preserve">Engineering implication.</w:t>
      </w:r>
      <w:r>
        <w:t xml:space="preserve"> </w:t>
      </w:r>
      <w:r>
        <w:t xml:space="preserve">Each comparison in RAM costs on the order of 100 ns if it misses the CPU cache (§4.17), so 30 comparisons take roughly 3 µs. A sorted array or balanced tree in memory is fast enough for almost any lookup workload; the problem only becomes hard when each step requires a disk read, which is exactly the problem B-trees solve.</w:t>
      </w:r>
    </w:p>
    <w:bookmarkEnd w:id="350"/>
    <w:bookmarkStart w:id="354" w:name="X8df1f3917bc38155212dbe6921896cc815b8abc"/>
    <w:p>
      <w:pPr>
        <w:pStyle w:val="Heading3"/>
      </w:pPr>
      <w:r>
        <w:t xml:space="preserve">4.4.3 B-tree fan-out: why databases need only three or four disk reads</w:t>
      </w:r>
    </w:p>
    <w:p>
      <w:pPr>
        <w:pStyle w:val="FirstParagraph"/>
      </w:pPr>
      <w:r>
        <w:t xml:space="preserve">A binary tree halves the search space at each node, so a billion keys need about 30 levels. If each level is a random disk read, 30 reads is far too slow. A</w:t>
      </w:r>
      <w:r>
        <w:t xml:space="preserve"> </w:t>
      </w:r>
      <w:r>
        <w:rPr>
          <w:bCs/>
          <w:b/>
        </w:rPr>
        <w:t xml:space="preserve">B-tree</w:t>
      </w:r>
      <w:r>
        <w:t xml:space="preserve"> </w:t>
      </w:r>
      <w:r>
        <w:t xml:space="preserve">(detailed in §11.8 and §13.6) instead stores hundreds of keys per node, sized to fill one disk page, so each node splits the search space into hundreds of ranges [Bayer and McCreight 1972]. The number of children per node is the</w:t>
      </w:r>
      <w:r>
        <w:t xml:space="preserve"> </w:t>
      </w:r>
      <w:r>
        <w:rPr>
          <w:bCs/>
          <w:b/>
        </w:rPr>
        <w:t xml:space="preserve">fan-out</w:t>
      </w:r>
      <w:r>
        <w:t xml:space="preserve"> </w:t>
      </w:r>
      <m:oMath>
        <m:r>
          <m:t>f</m:t>
        </m:r>
      </m:oMath>
      <w:r>
        <w:t xml:space="preserve">.</w:t>
      </w:r>
    </w:p>
    <w:p>
      <w:pPr>
        <w:pStyle w:val="CalloutFormula"/>
      </w:pPr>
      <w:r>
        <w:rPr>
          <w:bCs/>
          <w:b/>
        </w:rPr>
        <w:t xml:space="preserve">FORMULA</w:t>
      </w:r>
    </w:p>
    <w:p>
      <w:pPr>
        <w:pStyle w:val="CalloutFormula"/>
      </w:pPr>
      <w:r>
        <w:rPr>
          <w:bCs/>
          <w:b/>
        </w:rPr>
        <w:t xml:space="preserve">Height of a B-tree</w:t>
      </w:r>
    </w:p>
    <w:p>
      <w:pPr>
        <w:pStyle w:val="CalloutFormula"/>
      </w:pPr>
      <m:oMathPara>
        <m:oMathParaPr>
          <m:jc m:val="center"/>
        </m:oMathParaPr>
        <m:oMath>
          <m:r>
            <m:t>h</m:t>
          </m:r>
          <m:r>
            <m:rPr>
              <m:sty m:val="p"/>
            </m:rPr>
            <m:t>=</m:t>
          </m:r>
          <m:d>
            <m:dPr>
              <m:begChr m:val="⌈"/>
              <m:endChr m:val="⌉"/>
              <m:sepChr m:val=""/>
              <m:grow/>
            </m:dPr>
            <m:e>
              <m:sSub>
                <m:e>
                  <m:r>
                    <m:rPr>
                      <m:sty m:val="p"/>
                    </m:rPr>
                    <m:t>log</m:t>
                  </m:r>
                </m:e>
                <m:sub>
                  <m:r>
                    <m:t>f</m:t>
                  </m:r>
                </m:sub>
              </m:sSub>
              <m:r>
                <m:t>n</m:t>
              </m:r>
            </m:e>
          </m:d>
          <m:r>
            <m:rPr>
              <m:sty m:val="p"/>
            </m:rPr>
            <m:t>=</m:t>
          </m:r>
          <m:d>
            <m:dPr>
              <m:begChr m:val="⌈"/>
              <m:endChr m:val="⌉"/>
              <m:sepChr m:val=""/>
              <m:grow/>
            </m:dPr>
            <m:e>
              <m:f>
                <m:fPr>
                  <m:type m:val="bar"/>
                </m:fPr>
                <m:num>
                  <m:r>
                    <m:rPr>
                      <m:sty m:val="p"/>
                    </m:rPr>
                    <m:t>log</m:t>
                  </m:r>
                  <m:r>
                    <m:t>n</m:t>
                  </m:r>
                </m:num>
                <m:den>
                  <m:r>
                    <m:rPr>
                      <m:sty m:val="p"/>
                    </m:rPr>
                    <m:t>log</m:t>
                  </m:r>
                  <m:r>
                    <m:t>f</m:t>
                  </m:r>
                </m:den>
              </m:f>
            </m:e>
          </m:d>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h</m:t>
              </m:r>
            </m:oMath>
          </w:p>
        </w:tc>
        <w:tc>
          <w:tcPr/>
          <w:p>
            <w:pPr>
              <w:pStyle w:val="Compact"/>
              <w:jc w:val="left"/>
            </w:pPr>
            <w:r>
              <w:t xml:space="preserve">Number of levels from root to leaf (page reads per lookup if nothing is cached)</w:t>
            </w:r>
          </w:p>
        </w:tc>
        <w:tc>
          <w:tcPr/>
          <w:p>
            <w:pPr>
              <w:pStyle w:val="Compact"/>
              <w:jc w:val="left"/>
            </w:pPr>
            <w:r>
              <w:t xml:space="preserve">levels</w:t>
            </w:r>
          </w:p>
        </w:tc>
      </w:tr>
      <w:tr>
        <w:tc>
          <w:tcPr/>
          <w:p>
            <w:pPr>
              <w:pStyle w:val="Compact"/>
              <w:jc w:val="left"/>
            </w:pPr>
            <m:oMath>
              <m:r>
                <m:t>n</m:t>
              </m:r>
            </m:oMath>
          </w:p>
        </w:tc>
        <w:tc>
          <w:tcPr/>
          <w:p>
            <w:pPr>
              <w:pStyle w:val="Compact"/>
              <w:jc w:val="left"/>
            </w:pPr>
            <w:r>
              <w:t xml:space="preserve">Number of keys indexed</w:t>
            </w:r>
          </w:p>
        </w:tc>
        <w:tc>
          <w:tcPr/>
          <w:p>
            <w:pPr>
              <w:pStyle w:val="Compact"/>
              <w:jc w:val="left"/>
            </w:pPr>
            <w:r>
              <w:t xml:space="preserve">keys</w:t>
            </w:r>
          </w:p>
        </w:tc>
      </w:tr>
      <w:tr>
        <w:tc>
          <w:tcPr/>
          <w:p>
            <w:pPr>
              <w:pStyle w:val="Compact"/>
              <w:jc w:val="left"/>
            </w:pPr>
            <m:oMath>
              <m:r>
                <m:t>f</m:t>
              </m:r>
            </m:oMath>
          </w:p>
        </w:tc>
        <w:tc>
          <w:tcPr/>
          <w:p>
            <w:pPr>
              <w:pStyle w:val="Compact"/>
              <w:jc w:val="left"/>
            </w:pPr>
            <w:r>
              <w:t xml:space="preserve">Fan-out: child pointers per internal node</w:t>
            </w:r>
          </w:p>
        </w:tc>
        <w:tc>
          <w:tcPr/>
          <w:p>
            <w:pPr>
              <w:pStyle w:val="Compact"/>
              <w:jc w:val="left"/>
            </w:pPr>
            <w:r>
              <w:t xml:space="preserve">children/node</w:t>
            </w:r>
          </w:p>
        </w:tc>
      </w:tr>
      <w:tr>
        <w:tc>
          <w:tcPr/>
          <w:p>
            <w:pPr>
              <w:pStyle w:val="Compact"/>
              <w:jc w:val="left"/>
            </w:pPr>
            <m:oMath>
              <m:r>
                <m:rPr>
                  <m:sty m:val="p"/>
                </m:rPr>
                <m:t>⌈</m:t>
              </m:r>
              <m:r>
                <m:rPr>
                  <m:sty m:val="p"/>
                </m:rPr>
                <m:t>⋅</m:t>
              </m:r>
              <m:r>
                <m:rPr>
                  <m:sty m:val="p"/>
                </m:rPr>
                <m:t>⌉</m:t>
              </m:r>
            </m:oMath>
          </w:p>
        </w:tc>
        <w:tc>
          <w:tcPr/>
          <w:p>
            <w:pPr>
              <w:pStyle w:val="Compact"/>
              <w:jc w:val="left"/>
            </w:pPr>
            <w:r>
              <w:t xml:space="preserve">Ceiling: round up to the next integer</w:t>
            </w:r>
          </w:p>
        </w:tc>
        <w:tc>
          <w:tcPr/>
          <w:p>
            <w:pPr>
              <w:pStyle w:val="Compact"/>
              <w:jc w:val="left"/>
            </w:pPr>
            <w:r>
              <w:t xml:space="preserve">—</w:t>
            </w:r>
          </w:p>
        </w:tc>
      </w:tr>
    </w:tbl>
    <w:p>
      <w:pPr>
        <w:pStyle w:val="BodyText"/>
      </w:pPr>
      <w:r>
        <w:t xml:space="preserve">The derivation is the same counting argument as the paper folds: one root reaches</w:t>
      </w:r>
      <w:r>
        <w:t xml:space="preserve"> </w:t>
      </w:r>
      <m:oMath>
        <m:r>
          <m:t>f</m:t>
        </m:r>
      </m:oMath>
      <w:r>
        <w:t xml:space="preserve"> </w:t>
      </w:r>
      <w:r>
        <w:t xml:space="preserve">children, which reach</w:t>
      </w:r>
      <w:r>
        <w:t xml:space="preserve"> </w:t>
      </w:r>
      <m:oMath>
        <m:sSup>
          <m:e>
            <m:r>
              <m:t>f</m:t>
            </m:r>
          </m:e>
          <m:sup>
            <m:r>
              <m:t>2</m:t>
            </m:r>
          </m:sup>
        </m:sSup>
      </m:oMath>
      <w:r>
        <w:t xml:space="preserve"> </w:t>
      </w:r>
      <w:r>
        <w:t xml:space="preserve">grandchildren, so</w:t>
      </w:r>
      <w:r>
        <w:t xml:space="preserve"> </w:t>
      </w:r>
      <m:oMath>
        <m:r>
          <m:t>h</m:t>
        </m:r>
      </m:oMath>
      <w:r>
        <w:t xml:space="preserve"> </w:t>
      </w:r>
      <w:r>
        <w:t xml:space="preserve">levels reach</w:t>
      </w:r>
      <w:r>
        <w:t xml:space="preserve"> </w:t>
      </w:r>
      <m:oMath>
        <m:sSup>
          <m:e>
            <m:r>
              <m:t>f</m:t>
            </m:r>
          </m:e>
          <m:sup>
            <m:r>
              <m:t>h</m:t>
            </m:r>
          </m:sup>
        </m:sSup>
      </m:oMath>
      <w:r>
        <w:t xml:space="preserve"> </w:t>
      </w:r>
      <w:r>
        <w:t xml:space="preserve">leaves. We need</w:t>
      </w:r>
      <w:r>
        <w:t xml:space="preserve"> </w:t>
      </w:r>
      <m:oMath>
        <m:sSup>
          <m:e>
            <m:r>
              <m:t>f</m:t>
            </m:r>
          </m:e>
          <m:sup>
            <m:r>
              <m:t>h</m:t>
            </m:r>
          </m:sup>
        </m:sSup>
        <m:r>
          <m:rPr>
            <m:sty m:val="p"/>
          </m:rPr>
          <m:t>≥</m:t>
        </m:r>
        <m:r>
          <m:t>n</m:t>
        </m:r>
      </m:oMath>
      <w:r>
        <w:t xml:space="preserve">, so</w:t>
      </w:r>
      <w:r>
        <w:t xml:space="preserve"> </w:t>
      </w:r>
      <m:oMath>
        <m:r>
          <m:t>h</m:t>
        </m:r>
        <m:r>
          <m:rPr>
            <m:sty m:val="p"/>
          </m:rPr>
          <m:t>≥</m:t>
        </m:r>
        <m:sSub>
          <m:e>
            <m:r>
              <m:rPr>
                <m:sty m:val="p"/>
              </m:rPr>
              <m:t>log</m:t>
            </m:r>
          </m:e>
          <m:sub>
            <m:r>
              <m:t>f</m:t>
            </m:r>
          </m:sub>
        </m:sSub>
        <m:r>
          <m:t>n</m:t>
        </m:r>
      </m:oMath>
      <w:r>
        <w:t xml:space="preserve">.</w:t>
      </w:r>
    </w:p>
    <w:p>
      <w:pPr>
        <w:pStyle w:val="CalloutExample"/>
      </w:pPr>
      <w:r>
        <w:rPr>
          <w:bCs/>
          <w:b/>
        </w:rPr>
        <w:t xml:space="preserve">WORKED EXAMPLE</w:t>
      </w:r>
    </w:p>
    <w:p>
      <w:pPr>
        <w:pStyle w:val="CalloutExample"/>
      </w:pPr>
      <w:r>
        <w:rPr>
          <w:bCs/>
          <w:b/>
        </w:rPr>
        <w:t xml:space="preserve">Worked example — Fan-out of a 16 KiB page.</w:t>
      </w:r>
      <w:r>
        <w:t xml:space="preserve"> </w:t>
      </w:r>
      <w:r>
        <w:t xml:space="preserve">A database uses 16 KiB pages (16,384 bytes). Each index entry in an internal node is an 8-byte key plus an 8-byte child pointer = 16 bytes. Assume 20% of each page goes to headers and free space. How tall is the index on</w:t>
      </w:r>
      <w:r>
        <w:t xml:space="preserve"> </w:t>
      </w:r>
      <m:oMath>
        <m:sSup>
          <m:e>
            <m:r>
              <m:t>10</m:t>
            </m:r>
          </m:e>
          <m:sup>
            <m:r>
              <m:t>9</m:t>
            </m:r>
          </m:sup>
        </m:sSup>
      </m:oMath>
      <w:r>
        <w:t xml:space="preserve"> </w:t>
      </w:r>
      <w:r>
        <w:t xml:space="preserve">keys?</w:t>
      </w:r>
    </w:p>
    <w:p>
      <w:pPr>
        <w:numPr>
          <w:ilvl w:val="0"/>
          <w:numId w:val="1090"/>
        </w:numPr>
        <w:pStyle w:val="Compact"/>
      </w:pPr>
      <w:r>
        <w:t xml:space="preserve">Usable bytes per page:</w:t>
      </w:r>
      <w:r>
        <w:t xml:space="preserve"> </w:t>
      </w:r>
      <m:oMath>
        <m:r>
          <m:t>16</m:t>
        </m:r>
        <m:r>
          <m:rPr>
            <m:sty m:val="p"/>
          </m:rPr>
          <m:t>,</m:t>
        </m:r>
        <m:r>
          <m:t>384</m:t>
        </m:r>
        <m:r>
          <m:rPr>
            <m:sty m:val="p"/>
          </m:rPr>
          <m:t>×</m:t>
        </m:r>
        <m:r>
          <m:t>0.8</m:t>
        </m:r>
        <m:r>
          <m:rPr>
            <m:sty m:val="p"/>
          </m:rPr>
          <m:t>=</m:t>
        </m:r>
        <m:r>
          <m:t>13</m:t>
        </m:r>
        <m:r>
          <m:rPr>
            <m:sty m:val="p"/>
          </m:rPr>
          <m:t>,</m:t>
        </m:r>
        <m:r>
          <m:t>107</m:t>
        </m:r>
      </m:oMath>
      <w:r>
        <w:t xml:space="preserve"> </w:t>
      </w:r>
      <w:r>
        <w:t xml:space="preserve">bytes.</w:t>
      </w:r>
    </w:p>
    <w:p>
      <w:pPr>
        <w:numPr>
          <w:ilvl w:val="0"/>
          <w:numId w:val="1090"/>
        </w:numPr>
        <w:pStyle w:val="Compact"/>
      </w:pPr>
      <w:r>
        <w:t xml:space="preserve">Fan-out:</w:t>
      </w:r>
      <w:r>
        <w:t xml:space="preserve"> </w:t>
      </w:r>
      <m:oMath>
        <m:r>
          <m:t>f</m:t>
        </m:r>
        <m:r>
          <m:rPr>
            <m:sty m:val="p"/>
          </m:rPr>
          <m:t>=</m:t>
        </m:r>
        <m:r>
          <m:t>13</m:t>
        </m:r>
        <m:r>
          <m:rPr>
            <m:sty m:val="p"/>
          </m:rPr>
          <m:t>,</m:t>
        </m:r>
        <m:r>
          <m:t>107</m:t>
        </m:r>
        <m:r>
          <m:rPr>
            <m:sty m:val="p"/>
          </m:rPr>
          <m:t>/</m:t>
        </m:r>
        <m:r>
          <m:t>16</m:t>
        </m:r>
        <m:r>
          <m:rPr>
            <m:sty m:val="p"/>
          </m:rPr>
          <m:t>≈</m:t>
        </m:r>
        <m:r>
          <m:t>819</m:t>
        </m:r>
      </m:oMath>
      <w:r>
        <w:t xml:space="preserve"> </w:t>
      </w:r>
      <w:r>
        <w:t xml:space="preserve">children per node.</w:t>
      </w:r>
    </w:p>
    <w:p>
      <w:pPr>
        <w:numPr>
          <w:ilvl w:val="0"/>
          <w:numId w:val="1090"/>
        </w:numPr>
        <w:pStyle w:val="Compact"/>
      </w:pPr>
      <w:r>
        <w:t xml:space="preserve">Height:</w:t>
      </w:r>
      <w:r>
        <w:t xml:space="preserve"> </w:t>
      </w:r>
      <m:oMath>
        <m:sSub>
          <m:e>
            <m:r>
              <m:rPr>
                <m:sty m:val="p"/>
              </m:rPr>
              <m:t>log</m:t>
            </m:r>
          </m:e>
          <m:sub>
            <m:r>
              <m:t>819</m:t>
            </m:r>
          </m:sub>
        </m:sSub>
        <m:d>
          <m:dPr>
            <m:begChr m:val="("/>
            <m:endChr m:val=")"/>
            <m:sepChr m:val=""/>
            <m:grow/>
          </m:dPr>
          <m:e>
            <m:sSup>
              <m:e>
                <m:r>
                  <m:t>10</m:t>
                </m:r>
              </m:e>
              <m:sup>
                <m:r>
                  <m:t>9</m:t>
                </m:r>
              </m:sup>
            </m:sSup>
          </m:e>
        </m:d>
        <m:r>
          <m:rPr>
            <m:sty m:val="p"/>
          </m:rPr>
          <m:t>=</m:t>
        </m:r>
        <m:f>
          <m:fPr>
            <m:type m:val="bar"/>
          </m:fPr>
          <m:num>
            <m:sSub>
              <m:e>
                <m:r>
                  <m:rPr>
                    <m:sty m:val="p"/>
                  </m:rPr>
                  <m:t>log</m:t>
                </m:r>
              </m:e>
              <m:sub>
                <m:r>
                  <m:t>10</m:t>
                </m:r>
              </m:sub>
            </m:sSub>
            <m:sSup>
              <m:e>
                <m:r>
                  <m:t>10</m:t>
                </m:r>
              </m:e>
              <m:sup>
                <m:r>
                  <m:t>9</m:t>
                </m:r>
              </m:sup>
            </m:sSup>
          </m:num>
          <m:den>
            <m:sSub>
              <m:e>
                <m:r>
                  <m:rPr>
                    <m:sty m:val="p"/>
                  </m:rPr>
                  <m:t>log</m:t>
                </m:r>
              </m:e>
              <m:sub>
                <m:r>
                  <m:t>10</m:t>
                </m:r>
              </m:sub>
            </m:sSub>
            <m:r>
              <m:t>819</m:t>
            </m:r>
          </m:den>
        </m:f>
        <m:r>
          <m:rPr>
            <m:sty m:val="p"/>
          </m:rPr>
          <m:t>=</m:t>
        </m:r>
        <m:f>
          <m:fPr>
            <m:type m:val="bar"/>
          </m:fPr>
          <m:num>
            <m:r>
              <m:t>9</m:t>
            </m:r>
          </m:num>
          <m:den>
            <m:r>
              <m:t>2.913</m:t>
            </m:r>
          </m:den>
        </m:f>
        <m:r>
          <m:rPr>
            <m:sty m:val="p"/>
          </m:rPr>
          <m:t>=</m:t>
        </m:r>
        <m:r>
          <m:t>3.09</m:t>
        </m:r>
      </m:oMath>
      <w:r>
        <w:t xml:space="preserve">.</w:t>
      </w:r>
    </w:p>
    <w:p>
      <w:pPr>
        <w:numPr>
          <w:ilvl w:val="0"/>
          <w:numId w:val="1090"/>
        </w:numPr>
        <w:pStyle w:val="Compact"/>
      </w:pPr>
      <w:r>
        <w:t xml:space="preserve">Round up:</w:t>
      </w:r>
      <w:r>
        <w:t xml:space="preserve"> </w:t>
      </w:r>
      <m:oMath>
        <m:r>
          <m:t>h</m:t>
        </m:r>
        <m:r>
          <m:rPr>
            <m:sty m:val="p"/>
          </m:rPr>
          <m:t>=</m:t>
        </m:r>
        <m:r>
          <m:t>4</m:t>
        </m:r>
      </m:oMath>
      <w:r>
        <w:t xml:space="preserve"> </w:t>
      </w:r>
      <w:r>
        <w:t xml:space="preserve">levels.</w:t>
      </w:r>
    </w:p>
    <w:p>
      <w:pPr>
        <w:numPr>
          <w:ilvl w:val="0"/>
          <w:numId w:val="1090"/>
        </w:numPr>
        <w:pStyle w:val="Compact"/>
      </w:pPr>
      <w:r>
        <w:t xml:space="preserve">Compare: with</w:t>
      </w:r>
      <w:r>
        <w:t xml:space="preserve"> </w:t>
      </w:r>
      <m:oMath>
        <m:r>
          <m:t>f</m:t>
        </m:r>
        <m:r>
          <m:rPr>
            <m:sty m:val="p"/>
          </m:rPr>
          <m:t>=</m:t>
        </m:r>
        <m:r>
          <m:t>1</m:t>
        </m:r>
        <m:r>
          <m:rPr>
            <m:sty m:val="p"/>
          </m:rPr>
          <m:t>,</m:t>
        </m:r>
        <m:r>
          <m:t>000</m:t>
        </m:r>
      </m:oMath>
      <w:r>
        <w:t xml:space="preserve"> </w:t>
      </w:r>
      <w:r>
        <w:t xml:space="preserve">the height would be exactly</w:t>
      </w:r>
      <w:r>
        <w:t xml:space="preserve"> </w:t>
      </w:r>
      <m:oMath>
        <m:r>
          <m:t>9</m:t>
        </m:r>
        <m:r>
          <m:rPr>
            <m:sty m:val="p"/>
          </m:rPr>
          <m:t>/</m:t>
        </m:r>
        <m:r>
          <m:t>3</m:t>
        </m:r>
        <m:r>
          <m:rPr>
            <m:sty m:val="p"/>
          </m:rPr>
          <m:t>=</m:t>
        </m:r>
        <m:r>
          <m:t>3</m:t>
        </m:r>
      </m:oMath>
      <w:r>
        <w:t xml:space="preserve">; a binary tree needs 30.</w:t>
      </w:r>
    </w:p>
    <w:p>
      <w:pPr>
        <w:pStyle w:val="CalloutExample"/>
      </w:pPr>
      <w:r>
        <w:rPr>
          <w:bCs/>
          <w:b/>
        </w:rPr>
        <w:t xml:space="preserve">Interpretation.</w:t>
      </w:r>
      <w:r>
        <w:t xml:space="preserve"> </w:t>
      </w:r>
      <w:r>
        <w:t xml:space="preserve">Four page reads locate any one of a billion keys.</w:t>
      </w:r>
      <w:r>
        <w:t xml:space="preserve"> </w:t>
      </w:r>
      <w:r>
        <w:rPr>
          <w:bCs/>
          <w:b/>
        </w:rPr>
        <w:t xml:space="preserve">Engineering implication.</w:t>
      </w:r>
      <w:r>
        <w:t xml:space="preserve"> </w:t>
      </w:r>
      <w:r>
        <w:t xml:space="preserve">The top two levels contain only</w:t>
      </w:r>
      <w:r>
        <w:t xml:space="preserve"> </w:t>
      </w:r>
      <m:oMath>
        <m:r>
          <m:t>1</m:t>
        </m:r>
        <m:r>
          <m:rPr>
            <m:sty m:val="p"/>
          </m:rPr>
          <m:t>+</m:t>
        </m:r>
        <m:r>
          <m:t>819</m:t>
        </m:r>
        <m:r>
          <m:rPr>
            <m:sty m:val="p"/>
          </m:rPr>
          <m:t>=</m:t>
        </m:r>
        <m:r>
          <m:t>820</m:t>
        </m:r>
      </m:oMath>
      <w:r>
        <w:t xml:space="preserve"> </w:t>
      </w:r>
      <w:r>
        <w:t xml:space="preserve">pages, about 13 MiB, which fits easily in the buffer pool (§13.4). In practice a point lookup therefore costs one or two real I/Os, around 0.1–0.2 ms on an NVMe SSD (§4.17). Larger keys shrink fan-out: a 100-byte string key gives</w:t>
      </w:r>
      <w:r>
        <w:t xml:space="preserve"> </w:t>
      </w:r>
      <m:oMath>
        <m:r>
          <m:t>f</m:t>
        </m:r>
        <m:r>
          <m:rPr>
            <m:sty m:val="p"/>
          </m:rPr>
          <m:t>≈</m:t>
        </m:r>
        <m:r>
          <m:t>13</m:t>
        </m:r>
        <m:r>
          <m:rPr>
            <m:sty m:val="p"/>
          </m:rPr>
          <m:t>,</m:t>
        </m:r>
        <m:r>
          <m:t>107</m:t>
        </m:r>
        <m:r>
          <m:rPr>
            <m:sty m:val="p"/>
          </m:rPr>
          <m:t>/</m:t>
        </m:r>
        <m:r>
          <m:t>108</m:t>
        </m:r>
        <m:r>
          <m:rPr>
            <m:sty m:val="p"/>
          </m:rPr>
          <m:t>≈</m:t>
        </m:r>
        <m:r>
          <m:t>121</m:t>
        </m:r>
      </m:oMath>
      <w:r>
        <w:t xml:space="preserve"> </w:t>
      </w:r>
      <w:r>
        <w:t xml:space="preserve">and</w:t>
      </w:r>
      <w:r>
        <w:t xml:space="preserve"> </w:t>
      </w:r>
      <m:oMath>
        <m:r>
          <m:t>h</m:t>
        </m:r>
        <m:r>
          <m:rPr>
            <m:sty m:val="p"/>
          </m:rPr>
          <m:t>=</m:t>
        </m:r>
        <m:r>
          <m:rPr>
            <m:sty m:val="p"/>
          </m:rPr>
          <m:t>⌈</m:t>
        </m:r>
        <m:r>
          <m:t>9</m:t>
        </m:r>
        <m:r>
          <m:rPr>
            <m:sty m:val="p"/>
          </m:rPr>
          <m:t>/</m:t>
        </m:r>
        <m:r>
          <m:t>2.083</m:t>
        </m:r>
        <m:r>
          <m:rPr>
            <m:sty m:val="p"/>
          </m:rPr>
          <m:t>⌉</m:t>
        </m:r>
        <m:r>
          <m:rPr>
            <m:sty m:val="p"/>
          </m:rPr>
          <m:t>=</m:t>
        </m:r>
        <m:r>
          <m:t>5</m:t>
        </m:r>
      </m:oMath>
      <w:r>
        <w:t xml:space="preserve">. Short keys are an index-design decision with measurable latency consequences.</w:t>
      </w:r>
    </w:p>
    <w:p>
      <w:pPr>
        <w:pStyle w:val="BodyText"/>
      </w:pPr>
      <w:r>
        <w:rPr>
          <w:bCs/>
          <w:b/>
        </w:rPr>
        <w:t xml:space="preserve">Figure 4.1 — B-tree fan-out turns a billion keys into four levels.</w:t>
      </w:r>
    </w:p>
    <w:p>
      <w:pPr>
        <w:pStyle w:val="BodyText"/>
      </w:pPr>
      <w:r>
        <w:drawing>
          <wp:inline>
            <wp:extent cx="5334000" cy="5198471"/>
            <wp:effectExtent b="0" l="0" r="0" t="0"/>
            <wp:docPr descr="" title="" id="352" name="Picture"/>
            <a:graphic>
              <a:graphicData uri="http://schemas.openxmlformats.org/drawingml/2006/picture">
                <pic:pic>
                  <pic:nvPicPr>
                    <pic:cNvPr descr="/home/user/System-Design/build/.cache/diagrams/d7c5b45675cc.png" id="353" name="Picture"/>
                    <pic:cNvPicPr>
                      <a:picLocks noChangeArrowheads="1" noChangeAspect="1"/>
                    </pic:cNvPicPr>
                  </pic:nvPicPr>
                  <pic:blipFill>
                    <a:blip r:embed="rId351"/>
                    <a:stretch>
                      <a:fillRect/>
                    </a:stretch>
                  </pic:blipFill>
                  <pic:spPr bwMode="auto">
                    <a:xfrm>
                      <a:off x="0" y="0"/>
                      <a:ext cx="5334000" cy="5198471"/>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Each rectangle is one fixed-size page. A lookup flows top-down synchronously: read the root, binary-search its keys in memory, follow one child pointer, repeat. The number of pages per level multiplies by the fan-out (1 → 819 → about 670,000 → leaves), so the count of</w:t>
      </w:r>
      <w:r>
        <w:t xml:space="preserve"> </w:t>
      </w:r>
      <w:r>
        <w:rPr>
          <w:iCs/>
          <w:i/>
        </w:rPr>
        <w:t xml:space="preserve">levels</w:t>
      </w:r>
      <w:r>
        <w:t xml:space="preserve"> </w:t>
      </w:r>
      <w:r>
        <w:t xml:space="preserve">grows only logarithmically. The</w:t>
      </w:r>
      <w:r>
        <w:t xml:space="preserve"> </w:t>
      </w:r>
      <w:r>
        <w:rPr>
          <w:rStyle w:val="VerbatimChar"/>
        </w:rPr>
        <w:t xml:space="preserve">Cached</w:t>
      </w:r>
      <w:r>
        <w:t xml:space="preserve"> </w:t>
      </w:r>
      <w:r>
        <w:t xml:space="preserve">subgraph marks the storage boundary that matters: pages above it are in RAM and cost nanoseconds to microseconds, pages below it may require a disk read. The failure point is a cold cache after a restart, when every level costs an I/O. Scaling the data by another factor of 819 adds only one level.</w:t>
      </w:r>
    </w:p>
    <w:p>
      <w:pPr>
        <w:pStyle w:val="CalloutMistake"/>
      </w:pPr>
      <w:r>
        <w:rPr>
          <w:bCs/>
          <w:b/>
        </w:rPr>
        <w:t xml:space="preserve">COMMON MISTAKE</w:t>
      </w:r>
    </w:p>
    <w:p>
      <w:pPr>
        <w:pStyle w:val="CalloutMistake"/>
      </w:pPr>
      <w:r>
        <w:rPr>
          <w:bCs/>
          <w:b/>
        </w:rPr>
        <w:t xml:space="preserve">Mistake —</w:t>
      </w:r>
      <w:r>
        <w:rPr>
          <w:bCs/>
          <w:b/>
        </w:rPr>
        <w:t xml:space="preserve"> </w:t>
      </w:r>
      <w:r>
        <w:rPr>
          <w:bCs/>
          <w:b/>
        </w:rPr>
        <w:t xml:space="preserve">“</w:t>
      </w:r>
      <w:r>
        <w:rPr>
          <w:bCs/>
          <w:b/>
        </w:rPr>
        <w:t xml:space="preserve">Logarithmic means constant, so the base doesn’t matter.</w:t>
      </w:r>
      <w:r>
        <w:rPr>
          <w:bCs/>
          <w:b/>
        </w:rPr>
        <w:t xml:space="preserve">”</w:t>
      </w:r>
      <w:r>
        <w:t xml:space="preserve"> </w:t>
      </w:r>
      <w:r>
        <w:t xml:space="preserve">Thirty dependent SSD reads at ~100 µs is 3 ms; four is 0.4 ms. The fan-out changes the constant by an order of magnitude.</w:t>
      </w:r>
    </w:p>
    <w:bookmarkEnd w:id="354"/>
    <w:bookmarkEnd w:id="355"/>
    <w:bookmarkStart w:id="359" w:name="units-bits-bytes-rates-and-prefixes"/>
    <w:p>
      <w:pPr>
        <w:pStyle w:val="Heading2"/>
      </w:pPr>
      <w:r>
        <w:t xml:space="preserve">4.5 Units: bits, bytes, rates and prefixes</w:t>
      </w:r>
    </w:p>
    <w:bookmarkStart w:id="356" w:name="bits-versus-bytes"/>
    <w:p>
      <w:pPr>
        <w:pStyle w:val="Heading3"/>
      </w:pPr>
      <w:r>
        <w:t xml:space="preserve">4.5.1 Bits versus bytes</w:t>
      </w:r>
    </w:p>
    <w:p>
      <w:pPr>
        <w:pStyle w:val="CalloutDefinition"/>
      </w:pPr>
      <w:r>
        <w:rPr>
          <w:bCs/>
          <w:b/>
        </w:rPr>
        <w:t xml:space="preserve">DEFINITION</w:t>
      </w:r>
    </w:p>
    <w:p>
      <w:pPr>
        <w:pStyle w:val="CalloutDefinition"/>
      </w:pPr>
      <w:r>
        <w:rPr>
          <w:bCs/>
          <w:b/>
        </w:rPr>
        <w:t xml:space="preserve">Definition — Bit and byte.</w:t>
      </w:r>
      <w:r>
        <w:t xml:space="preserve"> </w:t>
      </w:r>
      <w:r>
        <w:t xml:space="preserve">A</w:t>
      </w:r>
      <w:r>
        <w:t xml:space="preserve"> </w:t>
      </w:r>
      <w:r>
        <w:rPr>
          <w:bCs/>
          <w:b/>
        </w:rPr>
        <w:t xml:space="preserve">bit</w:t>
      </w:r>
      <w:r>
        <w:t xml:space="preserve"> </w:t>
      </w:r>
      <w:r>
        <w:t xml:space="preserve">(symbol b) is a single binary digit, 0 or 1. A</w:t>
      </w:r>
      <w:r>
        <w:t xml:space="preserve"> </w:t>
      </w:r>
      <w:r>
        <w:rPr>
          <w:bCs/>
          <w:b/>
        </w:rPr>
        <w:t xml:space="preserve">byte</w:t>
      </w:r>
      <w:r>
        <w:t xml:space="preserve"> </w:t>
      </w:r>
      <w:r>
        <w:t xml:space="preserve">(symbol B) is 8 bits. Storage and memory are conventionally measured in bytes; network link speeds are conventionally measured in bits per second (bps).</w:t>
      </w:r>
    </w:p>
    <w:p>
      <w:pPr>
        <w:pStyle w:val="BodyText"/>
      </w:pPr>
      <w:r>
        <w:t xml:space="preserve">The lowercase/uppercase distinction is load-bearing: 1 Gbps (gigabit per second) is one-eighth of 1 GB/s (gigabyte per second). Mixing them up produces an error of exactly 8×, which is large enough to invalidate a design and small enough to escape notice.</w:t>
      </w:r>
    </w:p>
    <w:p>
      <w:pPr>
        <w:pStyle w:val="CalloutFormula"/>
      </w:pPr>
      <w:r>
        <w:rPr>
          <w:bCs/>
          <w:b/>
        </w:rPr>
        <w:t xml:space="preserve">FORMULA</w:t>
      </w:r>
    </w:p>
    <w:p>
      <w:pPr>
        <w:pStyle w:val="CalloutFormula"/>
      </w:pPr>
      <w:r>
        <w:rPr>
          <w:bCs/>
          <w:b/>
        </w:rPr>
        <w:t xml:space="preserve">Converting link speed to byte throughput</w:t>
      </w:r>
    </w:p>
    <w:p>
      <w:pPr>
        <w:pStyle w:val="CalloutFormula"/>
      </w:pPr>
      <m:oMathPara>
        <m:oMathParaPr>
          <m:jc m:val="center"/>
        </m:oMathParaPr>
        <m:oMath>
          <m:sSub>
            <m:e>
              <m:r>
                <m:t>R</m:t>
              </m:r>
            </m:e>
            <m:sub>
              <m:r>
                <m:rPr>
                  <m:nor/>
                  <m:sty m:val="p"/>
                </m:rPr>
                <m:t>B/s</m:t>
              </m:r>
            </m:sub>
          </m:sSub>
          <m:r>
            <m:rPr>
              <m:sty m:val="p"/>
            </m:rPr>
            <m:t>=</m:t>
          </m:r>
          <m:f>
            <m:fPr>
              <m:type m:val="bar"/>
            </m:fPr>
            <m:num>
              <m:sSub>
                <m:e>
                  <m:r>
                    <m:t>R</m:t>
                  </m:r>
                </m:e>
                <m:sub>
                  <m:r>
                    <m:rPr>
                      <m:nor/>
                      <m:sty m:val="p"/>
                    </m:rPr>
                    <m:t>bps</m:t>
                  </m:r>
                </m:sub>
              </m:sSub>
            </m:num>
            <m:den>
              <m:r>
                <m:t>8</m:t>
              </m:r>
            </m:den>
          </m:f>
          <m:r>
            <m:t>  </m:t>
          </m:r>
          <m:sSub>
            <m:e>
              <m:r>
                <m:t>t</m:t>
              </m:r>
            </m:e>
            <m:sub>
              <m:r>
                <m:rPr>
                  <m:nor/>
                  <m:sty m:val="p"/>
                </m:rPr>
                <m:t>transfer</m:t>
              </m:r>
            </m:sub>
          </m:sSub>
          <m:r>
            <m:rPr>
              <m:sty m:val="p"/>
            </m:rPr>
            <m:t>=</m:t>
          </m:r>
          <m:f>
            <m:fPr>
              <m:type m:val="bar"/>
            </m:fPr>
            <m:num>
              <m:r>
                <m:t>8</m:t>
              </m:r>
              <m:r>
                <m:rPr>
                  <m:sty m:val="p"/>
                </m:rPr>
                <m:t>×</m:t>
              </m:r>
              <m:r>
                <m:t>S</m:t>
              </m:r>
            </m:num>
            <m:den>
              <m:sSub>
                <m:e>
                  <m:r>
                    <m:t>R</m:t>
                  </m:r>
                </m:e>
                <m:sub>
                  <m:r>
                    <m:rPr>
                      <m:nor/>
                      <m:sty m:val="p"/>
                    </m:rPr>
                    <m:t>bps</m:t>
                  </m:r>
                </m:sub>
              </m:sSub>
            </m:den>
          </m:f>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R</m:t>
                  </m:r>
                </m:e>
                <m:sub>
                  <m:r>
                    <m:rPr>
                      <m:nor/>
                      <m:sty m:val="p"/>
                    </m:rPr>
                    <m:t>bps</m:t>
                  </m:r>
                </m:sub>
              </m:sSub>
            </m:oMath>
          </w:p>
        </w:tc>
        <w:tc>
          <w:tcPr/>
          <w:p>
            <w:pPr>
              <w:pStyle w:val="Compact"/>
              <w:jc w:val="left"/>
            </w:pPr>
            <w:r>
              <w:t xml:space="preserve">Link rate</w:t>
            </w:r>
          </w:p>
        </w:tc>
        <w:tc>
          <w:tcPr/>
          <w:p>
            <w:pPr>
              <w:pStyle w:val="Compact"/>
              <w:jc w:val="left"/>
            </w:pPr>
            <w:r>
              <w:t xml:space="preserve">bits/second</w:t>
            </w:r>
          </w:p>
        </w:tc>
      </w:tr>
      <w:tr>
        <w:tc>
          <w:tcPr/>
          <w:p>
            <w:pPr>
              <w:pStyle w:val="Compact"/>
              <w:jc w:val="left"/>
            </w:pPr>
            <m:oMath>
              <m:sSub>
                <m:e>
                  <m:r>
                    <m:t>R</m:t>
                  </m:r>
                </m:e>
                <m:sub>
                  <m:r>
                    <m:rPr>
                      <m:nor/>
                      <m:sty m:val="p"/>
                    </m:rPr>
                    <m:t>B/s</m:t>
                  </m:r>
                </m:sub>
              </m:sSub>
            </m:oMath>
          </w:p>
        </w:tc>
        <w:tc>
          <w:tcPr/>
          <w:p>
            <w:pPr>
              <w:pStyle w:val="Compact"/>
              <w:jc w:val="left"/>
            </w:pPr>
            <w:r>
              <w:t xml:space="preserve">The same rate expressed in bytes</w:t>
            </w:r>
          </w:p>
        </w:tc>
        <w:tc>
          <w:tcPr/>
          <w:p>
            <w:pPr>
              <w:pStyle w:val="Compact"/>
              <w:jc w:val="left"/>
            </w:pPr>
            <w:r>
              <w:t xml:space="preserve">bytes/second</w:t>
            </w:r>
          </w:p>
        </w:tc>
      </w:tr>
      <w:tr>
        <w:tc>
          <w:tcPr/>
          <w:p>
            <w:pPr>
              <w:pStyle w:val="Compact"/>
              <w:jc w:val="left"/>
            </w:pPr>
            <m:oMath>
              <m:r>
                <m:t>S</m:t>
              </m:r>
            </m:oMath>
          </w:p>
        </w:tc>
        <w:tc>
          <w:tcPr/>
          <w:p>
            <w:pPr>
              <w:pStyle w:val="Compact"/>
              <w:jc w:val="left"/>
            </w:pPr>
            <w:r>
              <w:t xml:space="preserve">Amount of data to transfer</w:t>
            </w:r>
          </w:p>
        </w:tc>
        <w:tc>
          <w:tcPr/>
          <w:p>
            <w:pPr>
              <w:pStyle w:val="Compact"/>
              <w:jc w:val="left"/>
            </w:pPr>
            <w:r>
              <w:t xml:space="preserve">bytes</w:t>
            </w:r>
          </w:p>
        </w:tc>
      </w:tr>
      <w:tr>
        <w:tc>
          <w:tcPr/>
          <w:p>
            <w:pPr>
              <w:pStyle w:val="Compact"/>
              <w:jc w:val="left"/>
            </w:pPr>
            <m:oMath>
              <m:sSub>
                <m:e>
                  <m:r>
                    <m:t>t</m:t>
                  </m:r>
                </m:e>
                <m:sub>
                  <m:r>
                    <m:rPr>
                      <m:nor/>
                      <m:sty m:val="p"/>
                    </m:rPr>
                    <m:t>transfer</m:t>
                  </m:r>
                </m:sub>
              </m:sSub>
            </m:oMath>
          </w:p>
        </w:tc>
        <w:tc>
          <w:tcPr/>
          <w:p>
            <w:pPr>
              <w:pStyle w:val="Compact"/>
              <w:jc w:val="left"/>
            </w:pPr>
            <w:r>
              <w:t xml:space="preserve">Ideal transfer time, ignoring protocol overhead and congestion</w:t>
            </w:r>
          </w:p>
        </w:tc>
        <w:tc>
          <w:tcPr/>
          <w:p>
            <w:pPr>
              <w:pStyle w:val="Compact"/>
              <w:jc w:val="left"/>
            </w:pPr>
            <w:r>
              <w:t xml:space="preserve">seconds</w:t>
            </w:r>
          </w:p>
        </w:tc>
      </w:tr>
    </w:tbl>
    <w:p>
      <w:pPr>
        <w:pStyle w:val="CalloutExample"/>
      </w:pPr>
      <w:r>
        <w:rPr>
          <w:bCs/>
          <w:b/>
        </w:rPr>
        <w:t xml:space="preserve">WORKED EXAMPLE</w:t>
      </w:r>
    </w:p>
    <w:p>
      <w:pPr>
        <w:pStyle w:val="CalloutExample"/>
      </w:pPr>
      <w:r>
        <w:rPr>
          <w:bCs/>
          <w:b/>
        </w:rPr>
        <w:t xml:space="preserve">Worked example — Copying 1 TB across a 1 Gbps link.</w:t>
      </w:r>
    </w:p>
    <w:p>
      <w:pPr>
        <w:numPr>
          <w:ilvl w:val="0"/>
          <w:numId w:val="1091"/>
        </w:numPr>
        <w:pStyle w:val="Compact"/>
      </w:pPr>
      <w:r>
        <w:t xml:space="preserve">Convert data to bits:</w:t>
      </w:r>
      <w:r>
        <w:t xml:space="preserve"> </w:t>
      </w:r>
      <m:oMath>
        <m:r>
          <m:t>1</m:t>
        </m:r>
        <m:r>
          <m:t> </m:t>
        </m:r>
        <m:r>
          <m:rPr>
            <m:nor/>
            <m:sty m:val="p"/>
          </m:rPr>
          <m:t>TB</m:t>
        </m:r>
        <m:r>
          <m:rPr>
            <m:sty m:val="p"/>
          </m:rPr>
          <m:t>=</m:t>
        </m:r>
        <m:sSup>
          <m:e>
            <m:r>
              <m:t>10</m:t>
            </m:r>
          </m:e>
          <m:sup>
            <m:r>
              <m:t>12</m:t>
            </m:r>
          </m:sup>
        </m:sSup>
      </m:oMath>
      <w:r>
        <w:t xml:space="preserve"> </w:t>
      </w:r>
      <w:r>
        <w:t xml:space="preserve">bytes</w:t>
      </w:r>
      <w:r>
        <w:t xml:space="preserve"> </w:t>
      </w:r>
      <m:oMath>
        <m:r>
          <m:rPr>
            <m:sty m:val="p"/>
          </m:rPr>
          <m:t>=</m:t>
        </m:r>
        <m:r>
          <m:t>8</m:t>
        </m:r>
        <m:r>
          <m:rPr>
            <m:sty m:val="p"/>
          </m:rPr>
          <m:t>×</m:t>
        </m:r>
        <m:sSup>
          <m:e>
            <m:r>
              <m:t>10</m:t>
            </m:r>
          </m:e>
          <m:sup>
            <m:r>
              <m:t>12</m:t>
            </m:r>
          </m:sup>
        </m:sSup>
      </m:oMath>
      <w:r>
        <w:t xml:space="preserve"> </w:t>
      </w:r>
      <w:r>
        <w:t xml:space="preserve">bits.</w:t>
      </w:r>
    </w:p>
    <w:p>
      <w:pPr>
        <w:numPr>
          <w:ilvl w:val="0"/>
          <w:numId w:val="1091"/>
        </w:numPr>
        <w:pStyle w:val="Compact"/>
      </w:pPr>
      <w:r>
        <w:t xml:space="preserve">Divide by the rate:</w:t>
      </w:r>
      <w:r>
        <w:t xml:space="preserve"> </w:t>
      </w:r>
      <m:oMath>
        <m:r>
          <m:t>8</m:t>
        </m:r>
        <m:r>
          <m:rPr>
            <m:sty m:val="p"/>
          </m:rPr>
          <m:t>×</m:t>
        </m:r>
        <m:sSup>
          <m:e>
            <m:r>
              <m:t>10</m:t>
            </m:r>
          </m:e>
          <m:sup>
            <m:r>
              <m:t>12</m:t>
            </m:r>
          </m:sup>
        </m:sSup>
        <m:r>
          <m:rPr>
            <m:sty m:val="p"/>
          </m:rPr>
          <m:t>/</m:t>
        </m:r>
        <m:sSup>
          <m:e>
            <m:r>
              <m:t>10</m:t>
            </m:r>
          </m:e>
          <m:sup>
            <m:r>
              <m:t>9</m:t>
            </m:r>
          </m:sup>
        </m:sSup>
        <m:r>
          <m:rPr>
            <m:sty m:val="p"/>
          </m:rPr>
          <m:t>=</m:t>
        </m:r>
        <m:r>
          <m:t>8</m:t>
        </m:r>
        <m:r>
          <m:rPr>
            <m:sty m:val="p"/>
          </m:rPr>
          <m:t>,</m:t>
        </m:r>
        <m:r>
          <m:t>000</m:t>
        </m:r>
      </m:oMath>
      <w:r>
        <w:t xml:space="preserve"> </w:t>
      </w:r>
      <w:r>
        <w:t xml:space="preserve">s.</w:t>
      </w:r>
    </w:p>
    <w:p>
      <w:pPr>
        <w:numPr>
          <w:ilvl w:val="0"/>
          <w:numId w:val="1091"/>
        </w:numPr>
        <w:pStyle w:val="Compact"/>
      </w:pPr>
      <w:r>
        <w:t xml:space="preserve">Convert to hours:</w:t>
      </w:r>
      <w:r>
        <w:t xml:space="preserve"> </w:t>
      </w:r>
      <m:oMath>
        <m:r>
          <m:t>8</m:t>
        </m:r>
        <m:r>
          <m:rPr>
            <m:sty m:val="p"/>
          </m:rPr>
          <m:t>,</m:t>
        </m:r>
        <m:r>
          <m:t>000</m:t>
        </m:r>
        <m:r>
          <m:rPr>
            <m:sty m:val="p"/>
          </m:rPr>
          <m:t>/</m:t>
        </m:r>
        <m:r>
          <m:t>3</m:t>
        </m:r>
        <m:r>
          <m:rPr>
            <m:sty m:val="p"/>
          </m:rPr>
          <m:t>,</m:t>
        </m:r>
        <m:r>
          <m:t>600</m:t>
        </m:r>
        <m:r>
          <m:rPr>
            <m:sty m:val="p"/>
          </m:rPr>
          <m:t>≈</m:t>
        </m:r>
        <m:r>
          <m:t>2.2</m:t>
        </m:r>
      </m:oMath>
      <w:r>
        <w:t xml:space="preserve"> </w:t>
      </w:r>
      <w:r>
        <w:t xml:space="preserve">h.</w:t>
      </w:r>
    </w:p>
    <w:p>
      <w:pPr>
        <w:numPr>
          <w:ilvl w:val="0"/>
          <w:numId w:val="1091"/>
        </w:numPr>
        <w:pStyle w:val="Compact"/>
      </w:pPr>
      <w:r>
        <w:t xml:space="preserve">At 10 Gbps:</w:t>
      </w:r>
      <w:r>
        <w:t xml:space="preserve"> </w:t>
      </w:r>
      <m:oMath>
        <m:r>
          <m:t>800</m:t>
        </m:r>
      </m:oMath>
      <w:r>
        <w:t xml:space="preserve"> </w:t>
      </w:r>
      <w:r>
        <w:t xml:space="preserve">s</w:t>
      </w:r>
      <w:r>
        <w:t xml:space="preserve"> </w:t>
      </w:r>
      <m:oMath>
        <m:r>
          <m:rPr>
            <m:sty m:val="p"/>
          </m:rPr>
          <m:t>≈</m:t>
        </m:r>
        <m:r>
          <m:t>13</m:t>
        </m:r>
      </m:oMath>
      <w:r>
        <w:t xml:space="preserve"> </w:t>
      </w:r>
      <w:r>
        <w:t xml:space="preserve">min.</w:t>
      </w:r>
    </w:p>
    <w:p>
      <w:pPr>
        <w:pStyle w:val="CalloutExample"/>
      </w:pPr>
      <w:r>
        <w:rPr>
          <w:bCs/>
          <w:b/>
        </w:rPr>
        <w:t xml:space="preserve">Interpretation.</w:t>
      </w:r>
      <w:r>
        <w:t xml:space="preserve"> </w:t>
      </w:r>
      <w:r>
        <w:t xml:space="preserve">Even a</w:t>
      </w:r>
      <w:r>
        <w:t xml:space="preserve"> </w:t>
      </w:r>
      <w:r>
        <w:t xml:space="preserve">“</w:t>
      </w:r>
      <w:r>
        <w:t xml:space="preserve">fast</w:t>
      </w:r>
      <w:r>
        <w:t xml:space="preserve">”</w:t>
      </w:r>
      <w:r>
        <w:t xml:space="preserve"> </w:t>
      </w:r>
      <w:r>
        <w:t xml:space="preserve">link takes hours to move a terabyte; real transfers are slower because TCP/IP headers, TLS and congestion reduce goodput, commonly by 5–10% or more.</w:t>
      </w:r>
      <w:r>
        <w:t xml:space="preserve"> </w:t>
      </w:r>
      <w:r>
        <w:rPr>
          <w:bCs/>
          <w:b/>
        </w:rPr>
        <w:t xml:space="preserve">Engineering implication.</w:t>
      </w:r>
      <w:r>
        <w:t xml:space="preserve"> </w:t>
      </w:r>
      <w:r>
        <w:t xml:space="preserve">Rebuilding a failed 20 TB storage node over a single 10 Gbps link takes at least</w:t>
      </w:r>
      <w:r>
        <w:t xml:space="preserve"> </w:t>
      </w:r>
      <m:oMath>
        <m:r>
          <m:t>8</m:t>
        </m:r>
        <m:r>
          <m:rPr>
            <m:sty m:val="p"/>
          </m:rPr>
          <m:t>×</m:t>
        </m:r>
        <m:r>
          <m:t>2</m:t>
        </m:r>
        <m:r>
          <m:rPr>
            <m:sty m:val="p"/>
          </m:rPr>
          <m:t>×</m:t>
        </m:r>
        <m:sSup>
          <m:e>
            <m:r>
              <m:t>10</m:t>
            </m:r>
          </m:e>
          <m:sup>
            <m:r>
              <m:t>13</m:t>
            </m:r>
          </m:sup>
        </m:sSup>
        <m:r>
          <m:rPr>
            <m:sty m:val="p"/>
          </m:rPr>
          <m:t>/</m:t>
        </m:r>
        <m:sSup>
          <m:e>
            <m:r>
              <m:t>10</m:t>
            </m:r>
          </m:e>
          <m:sup>
            <m:r>
              <m:t>10</m:t>
            </m:r>
          </m:sup>
        </m:sSup>
        <m:r>
          <m:rPr>
            <m:sty m:val="p"/>
          </m:rPr>
          <m:t>=</m:t>
        </m:r>
        <m:r>
          <m:t>16</m:t>
        </m:r>
        <m:r>
          <m:rPr>
            <m:sty m:val="p"/>
          </m:rPr>
          <m:t>,</m:t>
        </m:r>
        <m:r>
          <m:t>000</m:t>
        </m:r>
      </m:oMath>
      <w:r>
        <w:t xml:space="preserve"> </w:t>
      </w:r>
      <w:r>
        <w:t xml:space="preserve">s, about 4.4 hours. That repair window feeds directly into the durability calculations of §4.16, and it is why distributed stores spread re-replication across many source nodes in parallel.</w:t>
      </w:r>
    </w:p>
    <w:bookmarkEnd w:id="356"/>
    <w:bookmarkStart w:id="357" w:name="si-versus-binary-prefixes"/>
    <w:p>
      <w:pPr>
        <w:pStyle w:val="Heading3"/>
      </w:pPr>
      <w:r>
        <w:t xml:space="preserve">4.5.2 SI versus binary prefixes</w:t>
      </w:r>
    </w:p>
    <w:p>
      <w:pPr>
        <w:pStyle w:val="FirstParagraph"/>
      </w:pPr>
      <w:r>
        <w:t xml:space="preserve">Two systems of prefixes coexist. The</w:t>
      </w:r>
      <w:r>
        <w:t xml:space="preserve"> </w:t>
      </w:r>
      <w:r>
        <w:rPr>
          <w:bCs/>
          <w:b/>
        </w:rPr>
        <w:t xml:space="preserve">SI (decimal) prefixes</w:t>
      </w:r>
      <w:r>
        <w:t xml:space="preserve"> </w:t>
      </w:r>
      <w:r>
        <w:t xml:space="preserve">k, M, G, T, P, E mean</w:t>
      </w:r>
      <w:r>
        <w:t xml:space="preserve"> </w:t>
      </w:r>
      <m:oMath>
        <m:sSup>
          <m:e>
            <m:r>
              <m:t>10</m:t>
            </m:r>
          </m:e>
          <m:sup>
            <m:r>
              <m:t>3</m:t>
            </m:r>
          </m:sup>
        </m:sSup>
        <m:r>
          <m:rPr>
            <m:sty m:val="p"/>
          </m:rPr>
          <m:t>,</m:t>
        </m:r>
        <m:sSup>
          <m:e>
            <m:r>
              <m:t>10</m:t>
            </m:r>
          </m:e>
          <m:sup>
            <m:r>
              <m:t>6</m:t>
            </m:r>
          </m:sup>
        </m:sSup>
        <m:r>
          <m:rPr>
            <m:sty m:val="p"/>
          </m:rPr>
          <m:t>,</m:t>
        </m:r>
        <m:sSup>
          <m:e>
            <m:r>
              <m:t>10</m:t>
            </m:r>
          </m:e>
          <m:sup>
            <m:r>
              <m:t>9</m:t>
            </m:r>
          </m:sup>
        </m:sSup>
        <m:r>
          <m:rPr>
            <m:sty m:val="p"/>
          </m:rPr>
          <m:t>,</m:t>
        </m:r>
        <m:r>
          <m:rPr>
            <m:sty m:val="p"/>
          </m:rPr>
          <m:t>…</m:t>
        </m:r>
      </m:oMath>
      <w:r>
        <w:t xml:space="preserve"> </w:t>
      </w:r>
      <w:r>
        <w:t xml:space="preserve">exactly. The</w:t>
      </w:r>
      <w:r>
        <w:t xml:space="preserve"> </w:t>
      </w:r>
      <w:r>
        <w:rPr>
          <w:bCs/>
          <w:b/>
        </w:rPr>
        <w:t xml:space="preserve">binary prefixes</w:t>
      </w:r>
      <w:r>
        <w:t xml:space="preserve"> </w:t>
      </w:r>
      <w:r>
        <w:t xml:space="preserve">Ki, Mi, Gi, Ti, Pi, Ei, standardized by the IEC (now in IEC 80000-13) [IEC 80000-13], mean</w:t>
      </w:r>
      <w:r>
        <w:t xml:space="preserve"> </w:t>
      </w:r>
      <m:oMath>
        <m:sSup>
          <m:e>
            <m:r>
              <m:t>2</m:t>
            </m:r>
          </m:e>
          <m:sup>
            <m:r>
              <m:t>10</m:t>
            </m:r>
          </m:sup>
        </m:sSup>
        <m:r>
          <m:rPr>
            <m:sty m:val="p"/>
          </m:rPr>
          <m:t>,</m:t>
        </m:r>
        <m:sSup>
          <m:e>
            <m:r>
              <m:t>2</m:t>
            </m:r>
          </m:e>
          <m:sup>
            <m:r>
              <m:t>20</m:t>
            </m:r>
          </m:sup>
        </m:sSup>
        <m:r>
          <m:rPr>
            <m:sty m:val="p"/>
          </m:rPr>
          <m:t>,</m:t>
        </m:r>
        <m:sSup>
          <m:e>
            <m:r>
              <m:t>2</m:t>
            </m:r>
          </m:e>
          <m:sup>
            <m:r>
              <m:t>30</m:t>
            </m:r>
          </m:sup>
        </m:sSup>
        <m:r>
          <m:rPr>
            <m:sty m:val="p"/>
          </m:rPr>
          <m:t>,</m:t>
        </m:r>
        <m:r>
          <m:rPr>
            <m:sty m:val="p"/>
          </m:rPr>
          <m:t>…</m:t>
        </m:r>
      </m:oMath>
      <w:r>
        <w:t xml:space="preserve"> </w:t>
      </w:r>
      <w:r>
        <w:t xml:space="preserve">exactly. Operating systems, memory vendors and disk vendors have historically used</w:t>
      </w:r>
      <w:r>
        <w:t xml:space="preserve"> </w:t>
      </w:r>
      <w:r>
        <w:t xml:space="preserve">“</w:t>
      </w:r>
      <w:r>
        <w:t xml:space="preserve">GB</w:t>
      </w:r>
      <w:r>
        <w:t xml:space="preserve">”</w:t>
      </w:r>
      <w:r>
        <w:t xml:space="preserve"> </w:t>
      </w:r>
      <w:r>
        <w:t xml:space="preserve">for both, which causes the classic</w:t>
      </w:r>
      <w:r>
        <w:t xml:space="preserve"> </w:t>
      </w:r>
      <w:r>
        <w:t xml:space="preserve">“</w:t>
      </w:r>
      <w:r>
        <w:t xml:space="preserve">missing</w:t>
      </w:r>
      <w:r>
        <w:t xml:space="preserve">”</w:t>
      </w:r>
      <w:r>
        <w:t xml:space="preserve"> </w:t>
      </w:r>
      <w:r>
        <w:t xml:space="preserve">capacity on a new drive.</w:t>
      </w:r>
    </w:p>
    <w:p>
      <w:pPr>
        <w:pStyle w:val="BodyText"/>
      </w:pPr>
      <w:r>
        <w:rPr>
          <w:bCs/>
          <w:b/>
        </w:rPr>
        <w:t xml:space="preserve">Table 4.2 — SI versus binary prefixes.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SI name</w:t>
            </w:r>
          </w:p>
        </w:tc>
        <w:tc>
          <w:tcPr/>
          <w:p>
            <w:pPr>
              <w:pStyle w:val="Compact"/>
              <w:jc w:val="left"/>
            </w:pPr>
            <w:r>
              <w:t xml:space="preserve">SI value</w:t>
            </w:r>
          </w:p>
        </w:tc>
        <w:tc>
          <w:tcPr/>
          <w:p>
            <w:pPr>
              <w:pStyle w:val="Compact"/>
              <w:jc w:val="left"/>
            </w:pPr>
            <w:r>
              <w:t xml:space="preserve">Binary name</w:t>
            </w:r>
          </w:p>
        </w:tc>
        <w:tc>
          <w:tcPr/>
          <w:p>
            <w:pPr>
              <w:pStyle w:val="Compact"/>
              <w:jc w:val="left"/>
            </w:pPr>
            <w:r>
              <w:t xml:space="preserve">Binary value</w:t>
            </w:r>
          </w:p>
        </w:tc>
        <w:tc>
          <w:tcPr/>
          <w:p>
            <w:pPr>
              <w:pStyle w:val="Compact"/>
              <w:jc w:val="left"/>
            </w:pPr>
            <w:r>
              <w:t xml:space="preserve">Binary/SI ratio</w:t>
            </w:r>
          </w:p>
        </w:tc>
      </w:tr>
      <w:tr>
        <w:tc>
          <w:tcPr/>
          <w:p>
            <w:pPr>
              <w:pStyle w:val="Compact"/>
              <w:jc w:val="left"/>
            </w:pPr>
            <w:r>
              <w:t xml:space="preserve">kilobyte (KB or kB)</w:t>
            </w:r>
          </w:p>
        </w:tc>
        <w:tc>
          <w:tcPr/>
          <w:p>
            <w:pPr>
              <w:pStyle w:val="Compact"/>
              <w:jc w:val="left"/>
            </w:pPr>
            <m:oMath>
              <m:sSup>
                <m:e>
                  <m:r>
                    <m:t>10</m:t>
                  </m:r>
                </m:e>
                <m:sup>
                  <m:r>
                    <m:t>3</m:t>
                  </m:r>
                </m:sup>
              </m:sSup>
            </m:oMath>
          </w:p>
        </w:tc>
        <w:tc>
          <w:tcPr/>
          <w:p>
            <w:pPr>
              <w:pStyle w:val="Compact"/>
              <w:jc w:val="left"/>
            </w:pPr>
            <w:r>
              <w:t xml:space="preserve">kibibyte (KiB)</w:t>
            </w:r>
          </w:p>
        </w:tc>
        <w:tc>
          <w:tcPr/>
          <w:p>
            <w:pPr>
              <w:pStyle w:val="Compact"/>
              <w:jc w:val="left"/>
            </w:pPr>
            <m:oMath>
              <m:sSup>
                <m:e>
                  <m:r>
                    <m:t>2</m:t>
                  </m:r>
                </m:e>
                <m:sup>
                  <m:r>
                    <m:t>10</m:t>
                  </m:r>
                </m:sup>
              </m:sSup>
            </m:oMath>
          </w:p>
        </w:tc>
        <w:tc>
          <w:tcPr/>
          <w:p>
            <w:pPr>
              <w:pStyle w:val="Compact"/>
              <w:jc w:val="left"/>
            </w:pPr>
            <w:r>
              <w:t xml:space="preserve">1.024</w:t>
            </w:r>
          </w:p>
        </w:tc>
      </w:tr>
      <w:tr>
        <w:tc>
          <w:tcPr/>
          <w:p>
            <w:pPr>
              <w:pStyle w:val="Compact"/>
              <w:jc w:val="left"/>
            </w:pPr>
            <w:r>
              <w:t xml:space="preserve">megabyte (MB)</w:t>
            </w:r>
          </w:p>
        </w:tc>
        <w:tc>
          <w:tcPr/>
          <w:p>
            <w:pPr>
              <w:pStyle w:val="Compact"/>
              <w:jc w:val="left"/>
            </w:pPr>
            <m:oMath>
              <m:sSup>
                <m:e>
                  <m:r>
                    <m:t>10</m:t>
                  </m:r>
                </m:e>
                <m:sup>
                  <m:r>
                    <m:t>6</m:t>
                  </m:r>
                </m:sup>
              </m:sSup>
            </m:oMath>
          </w:p>
        </w:tc>
        <w:tc>
          <w:tcPr/>
          <w:p>
            <w:pPr>
              <w:pStyle w:val="Compact"/>
              <w:jc w:val="left"/>
            </w:pPr>
            <w:r>
              <w:t xml:space="preserve">mebibyte (MiB)</w:t>
            </w:r>
          </w:p>
        </w:tc>
        <w:tc>
          <w:tcPr/>
          <w:p>
            <w:pPr>
              <w:pStyle w:val="Compact"/>
              <w:jc w:val="left"/>
            </w:pPr>
            <m:oMath>
              <m:sSup>
                <m:e>
                  <m:r>
                    <m:t>2</m:t>
                  </m:r>
                </m:e>
                <m:sup>
                  <m:r>
                    <m:t>20</m:t>
                  </m:r>
                </m:sup>
              </m:sSup>
            </m:oMath>
          </w:p>
        </w:tc>
        <w:tc>
          <w:tcPr/>
          <w:p>
            <w:pPr>
              <w:pStyle w:val="Compact"/>
              <w:jc w:val="left"/>
            </w:pPr>
            <w:r>
              <w:t xml:space="preserve">1.049</w:t>
            </w:r>
          </w:p>
        </w:tc>
      </w:tr>
      <w:tr>
        <w:tc>
          <w:tcPr/>
          <w:p>
            <w:pPr>
              <w:pStyle w:val="Compact"/>
              <w:jc w:val="left"/>
            </w:pPr>
            <w:r>
              <w:t xml:space="preserve">gigabyte (GB)</w:t>
            </w:r>
          </w:p>
        </w:tc>
        <w:tc>
          <w:tcPr/>
          <w:p>
            <w:pPr>
              <w:pStyle w:val="Compact"/>
              <w:jc w:val="left"/>
            </w:pPr>
            <m:oMath>
              <m:sSup>
                <m:e>
                  <m:r>
                    <m:t>10</m:t>
                  </m:r>
                </m:e>
                <m:sup>
                  <m:r>
                    <m:t>9</m:t>
                  </m:r>
                </m:sup>
              </m:sSup>
            </m:oMath>
          </w:p>
        </w:tc>
        <w:tc>
          <w:tcPr/>
          <w:p>
            <w:pPr>
              <w:pStyle w:val="Compact"/>
              <w:jc w:val="left"/>
            </w:pPr>
            <w:r>
              <w:t xml:space="preserve">gibibyte (GiB)</w:t>
            </w:r>
          </w:p>
        </w:tc>
        <w:tc>
          <w:tcPr/>
          <w:p>
            <w:pPr>
              <w:pStyle w:val="Compact"/>
              <w:jc w:val="left"/>
            </w:pPr>
            <m:oMath>
              <m:sSup>
                <m:e>
                  <m:r>
                    <m:t>2</m:t>
                  </m:r>
                </m:e>
                <m:sup>
                  <m:r>
                    <m:t>30</m:t>
                  </m:r>
                </m:sup>
              </m:sSup>
            </m:oMath>
          </w:p>
        </w:tc>
        <w:tc>
          <w:tcPr/>
          <w:p>
            <w:pPr>
              <w:pStyle w:val="Compact"/>
              <w:jc w:val="left"/>
            </w:pPr>
            <w:r>
              <w:t xml:space="preserve">1.074</w:t>
            </w:r>
          </w:p>
        </w:tc>
      </w:tr>
      <w:tr>
        <w:tc>
          <w:tcPr/>
          <w:p>
            <w:pPr>
              <w:pStyle w:val="Compact"/>
              <w:jc w:val="left"/>
            </w:pPr>
            <w:r>
              <w:t xml:space="preserve">terabyte (TB)</w:t>
            </w:r>
          </w:p>
        </w:tc>
        <w:tc>
          <w:tcPr/>
          <w:p>
            <w:pPr>
              <w:pStyle w:val="Compact"/>
              <w:jc w:val="left"/>
            </w:pPr>
            <m:oMath>
              <m:sSup>
                <m:e>
                  <m:r>
                    <m:t>10</m:t>
                  </m:r>
                </m:e>
                <m:sup>
                  <m:r>
                    <m:t>12</m:t>
                  </m:r>
                </m:sup>
              </m:sSup>
            </m:oMath>
          </w:p>
        </w:tc>
        <w:tc>
          <w:tcPr/>
          <w:p>
            <w:pPr>
              <w:pStyle w:val="Compact"/>
              <w:jc w:val="left"/>
            </w:pPr>
            <w:r>
              <w:t xml:space="preserve">tebibyte (TiB)</w:t>
            </w:r>
          </w:p>
        </w:tc>
        <w:tc>
          <w:tcPr/>
          <w:p>
            <w:pPr>
              <w:pStyle w:val="Compact"/>
              <w:jc w:val="left"/>
            </w:pPr>
            <m:oMath>
              <m:sSup>
                <m:e>
                  <m:r>
                    <m:t>2</m:t>
                  </m:r>
                </m:e>
                <m:sup>
                  <m:r>
                    <m:t>40</m:t>
                  </m:r>
                </m:sup>
              </m:sSup>
            </m:oMath>
          </w:p>
        </w:tc>
        <w:tc>
          <w:tcPr/>
          <w:p>
            <w:pPr>
              <w:pStyle w:val="Compact"/>
              <w:jc w:val="left"/>
            </w:pPr>
            <w:r>
              <w:t xml:space="preserve">1.100</w:t>
            </w:r>
          </w:p>
        </w:tc>
      </w:tr>
      <w:tr>
        <w:tc>
          <w:tcPr/>
          <w:p>
            <w:pPr>
              <w:pStyle w:val="Compact"/>
              <w:jc w:val="left"/>
            </w:pPr>
            <w:r>
              <w:t xml:space="preserve">petabyte (PB)</w:t>
            </w:r>
          </w:p>
        </w:tc>
        <w:tc>
          <w:tcPr/>
          <w:p>
            <w:pPr>
              <w:pStyle w:val="Compact"/>
              <w:jc w:val="left"/>
            </w:pPr>
            <m:oMath>
              <m:sSup>
                <m:e>
                  <m:r>
                    <m:t>10</m:t>
                  </m:r>
                </m:e>
                <m:sup>
                  <m:r>
                    <m:t>15</m:t>
                  </m:r>
                </m:sup>
              </m:sSup>
            </m:oMath>
          </w:p>
        </w:tc>
        <w:tc>
          <w:tcPr/>
          <w:p>
            <w:pPr>
              <w:pStyle w:val="Compact"/>
              <w:jc w:val="left"/>
            </w:pPr>
            <w:r>
              <w:t xml:space="preserve">pebibyte (PiB)</w:t>
            </w:r>
          </w:p>
        </w:tc>
        <w:tc>
          <w:tcPr/>
          <w:p>
            <w:pPr>
              <w:pStyle w:val="Compact"/>
              <w:jc w:val="left"/>
            </w:pPr>
            <m:oMath>
              <m:sSup>
                <m:e>
                  <m:r>
                    <m:t>2</m:t>
                  </m:r>
                </m:e>
                <m:sup>
                  <m:r>
                    <m:t>50</m:t>
                  </m:r>
                </m:sup>
              </m:sSup>
            </m:oMath>
          </w:p>
        </w:tc>
        <w:tc>
          <w:tcPr/>
          <w:p>
            <w:pPr>
              <w:pStyle w:val="Compact"/>
              <w:jc w:val="left"/>
            </w:pPr>
            <w:r>
              <w:t xml:space="preserve">1.126</w:t>
            </w:r>
          </w:p>
        </w:tc>
      </w:tr>
      <w:tr>
        <w:tc>
          <w:tcPr/>
          <w:p>
            <w:pPr>
              <w:pStyle w:val="Compact"/>
              <w:jc w:val="left"/>
            </w:pPr>
            <w:r>
              <w:t xml:space="preserve">exabyte (EB)</w:t>
            </w:r>
          </w:p>
        </w:tc>
        <w:tc>
          <w:tcPr/>
          <w:p>
            <w:pPr>
              <w:pStyle w:val="Compact"/>
              <w:jc w:val="left"/>
            </w:pPr>
            <m:oMath>
              <m:sSup>
                <m:e>
                  <m:r>
                    <m:t>10</m:t>
                  </m:r>
                </m:e>
                <m:sup>
                  <m:r>
                    <m:t>18</m:t>
                  </m:r>
                </m:sup>
              </m:sSup>
            </m:oMath>
          </w:p>
        </w:tc>
        <w:tc>
          <w:tcPr/>
          <w:p>
            <w:pPr>
              <w:pStyle w:val="Compact"/>
              <w:jc w:val="left"/>
            </w:pPr>
            <w:r>
              <w:t xml:space="preserve">exbibyte (EiB)</w:t>
            </w:r>
          </w:p>
        </w:tc>
        <w:tc>
          <w:tcPr/>
          <w:p>
            <w:pPr>
              <w:pStyle w:val="Compact"/>
              <w:jc w:val="left"/>
            </w:pPr>
            <m:oMath>
              <m:sSup>
                <m:e>
                  <m:r>
                    <m:t>2</m:t>
                  </m:r>
                </m:e>
                <m:sup>
                  <m:r>
                    <m:t>60</m:t>
                  </m:r>
                </m:sup>
              </m:sSup>
            </m:oMath>
          </w:p>
        </w:tc>
        <w:tc>
          <w:tcPr/>
          <w:p>
            <w:pPr>
              <w:pStyle w:val="Compact"/>
              <w:jc w:val="left"/>
            </w:pPr>
            <w:r>
              <w:t xml:space="preserve">1.153</w:t>
            </w:r>
          </w:p>
        </w:tc>
      </w:tr>
    </w:tbl>
    <w:p>
      <w:pPr>
        <w:pStyle w:val="BodyText"/>
      </w:pPr>
      <w:r>
        <w:rPr>
          <w:bCs/>
          <w:b/>
        </w:rPr>
        <w:t xml:space="preserve">Book convention.</w:t>
      </w:r>
      <w:r>
        <w:t xml:space="preserve"> </w:t>
      </w:r>
      <w:r>
        <w:t xml:space="preserve">Following</w:t>
      </w:r>
      <w:r>
        <w:t xml:space="preserve"> </w:t>
      </w:r>
      <w:r>
        <w:rPr>
          <w:rStyle w:val="VerbatimChar"/>
        </w:rPr>
        <w:t xml:space="preserve">terminology.md</w:t>
      </w:r>
      <w:r>
        <w:t xml:space="preserve">, this book uses KB/MB/GB/TB =</w:t>
      </w:r>
      <w:r>
        <w:t xml:space="preserve"> </w:t>
      </w:r>
      <m:oMath>
        <m:sSup>
          <m:e>
            <m:r>
              <m:t>10</m:t>
            </m:r>
          </m:e>
          <m:sup>
            <m:r>
              <m:t>3</m:t>
            </m:r>
          </m:sup>
        </m:sSup>
      </m:oMath>
      <w:r>
        <w:t xml:space="preserve">/</w:t>
      </w:r>
      <m:oMath>
        <m:sSup>
          <m:e>
            <m:r>
              <m:t>10</m:t>
            </m:r>
          </m:e>
          <m:sup>
            <m:r>
              <m:t>6</m:t>
            </m:r>
          </m:sup>
        </m:sSup>
      </m:oMath>
      <w:r>
        <w:t xml:space="preserve">/</w:t>
      </w:r>
      <m:oMath>
        <m:sSup>
          <m:e>
            <m:r>
              <m:t>10</m:t>
            </m:r>
          </m:e>
          <m:sup>
            <m:r>
              <m:t>9</m:t>
            </m:r>
          </m:sup>
        </m:sSup>
      </m:oMath>
      <w:r>
        <w:t xml:space="preserve">/</w:t>
      </w:r>
      <m:oMath>
        <m:sSup>
          <m:e>
            <m:r>
              <m:t>10</m:t>
            </m:r>
          </m:e>
          <m:sup>
            <m:r>
              <m:t>12</m:t>
            </m:r>
          </m:sup>
        </m:sSup>
      </m:oMath>
      <w:r>
        <w:t xml:space="preserve"> </w:t>
      </w:r>
      <w:r>
        <w:t xml:space="preserve">bytes for estimation and KiB/MiB/GiB when power-of-two precision matters (page sizes, memory allocation). Network rates are always decimal: 1 Gbps</w:t>
      </w:r>
      <w:r>
        <w:t xml:space="preserve"> </w:t>
      </w:r>
      <m:oMath>
        <m:r>
          <m:rPr>
            <m:sty m:val="p"/>
          </m:rPr>
          <m:t>=</m:t>
        </m:r>
        <m:sSup>
          <m:e>
            <m:r>
              <m:t>10</m:t>
            </m:r>
          </m:e>
          <m:sup>
            <m:r>
              <m:t>9</m:t>
            </m:r>
          </m:sup>
        </m:sSup>
      </m:oMath>
      <w:r>
        <w:t xml:space="preserve"> </w:t>
      </w:r>
      <w:r>
        <w:t xml:space="preserve">bits/s.</w:t>
      </w:r>
    </w:p>
    <w:p>
      <w:pPr>
        <w:pStyle w:val="CalloutExample"/>
      </w:pPr>
      <w:r>
        <w:rPr>
          <w:bCs/>
          <w:b/>
        </w:rPr>
        <w:t xml:space="preserve">WORKED EXAMPLE</w:t>
      </w:r>
    </w:p>
    <w:p>
      <w:pPr>
        <w:pStyle w:val="CalloutExample"/>
      </w:pPr>
      <w:r>
        <w:rPr>
          <w:bCs/>
          <w:b/>
        </w:rPr>
        <w:t xml:space="preserve">Worked example — The</w:t>
      </w:r>
      <w:r>
        <w:rPr>
          <w:bCs/>
          <w:b/>
        </w:rPr>
        <w:t xml:space="preserve"> </w:t>
      </w:r>
      <w:r>
        <w:rPr>
          <w:bCs/>
          <w:b/>
        </w:rPr>
        <w:t xml:space="preserve">“</w:t>
      </w:r>
      <w:r>
        <w:rPr>
          <w:bCs/>
          <w:b/>
        </w:rPr>
        <w:t xml:space="preserve">missing</w:t>
      </w:r>
      <w:r>
        <w:rPr>
          <w:bCs/>
          <w:b/>
        </w:rPr>
        <w:t xml:space="preserve">”</w:t>
      </w:r>
      <w:r>
        <w:rPr>
          <w:bCs/>
          <w:b/>
        </w:rPr>
        <w:t xml:space="preserve"> </w:t>
      </w:r>
      <w:r>
        <w:rPr>
          <w:bCs/>
          <w:b/>
        </w:rPr>
        <w:t xml:space="preserve">7% on a new drive.</w:t>
      </w:r>
      <w:r>
        <w:t xml:space="preserve"> </w:t>
      </w:r>
      <w:r>
        <w:t xml:space="preserve">A drive sold as 1 TB is shown by an operating system as</w:t>
      </w:r>
      <w:r>
        <w:t xml:space="preserve"> </w:t>
      </w:r>
      <w:r>
        <w:t xml:space="preserve">“</w:t>
      </w:r>
      <w:r>
        <w:t xml:space="preserve">931 GB</w:t>
      </w:r>
      <w:r>
        <w:t xml:space="preserve">”</w:t>
      </w:r>
      <w:r>
        <w:t xml:space="preserve">.</w:t>
      </w:r>
    </w:p>
    <w:p>
      <w:pPr>
        <w:numPr>
          <w:ilvl w:val="0"/>
          <w:numId w:val="1092"/>
        </w:numPr>
        <w:pStyle w:val="Compact"/>
      </w:pPr>
      <w:r>
        <w:t xml:space="preserve">The vendor means SI:</w:t>
      </w:r>
      <w:r>
        <w:t xml:space="preserve"> </w:t>
      </w:r>
      <m:oMath>
        <m:sSup>
          <m:e>
            <m:r>
              <m:t>10</m:t>
            </m:r>
          </m:e>
          <m:sup>
            <m:r>
              <m:t>12</m:t>
            </m:r>
          </m:sup>
        </m:sSup>
      </m:oMath>
      <w:r>
        <w:t xml:space="preserve"> </w:t>
      </w:r>
      <w:r>
        <w:t xml:space="preserve">bytes.</w:t>
      </w:r>
    </w:p>
    <w:p>
      <w:pPr>
        <w:numPr>
          <w:ilvl w:val="0"/>
          <w:numId w:val="1092"/>
        </w:numPr>
        <w:pStyle w:val="Compact"/>
      </w:pPr>
      <w:r>
        <w:t xml:space="preserve">The operating system divides by</w:t>
      </w:r>
      <w:r>
        <w:t xml:space="preserve"> </w:t>
      </w:r>
      <m:oMath>
        <m:sSup>
          <m:e>
            <m:r>
              <m:t>2</m:t>
            </m:r>
          </m:e>
          <m:sup>
            <m:r>
              <m:t>30</m:t>
            </m:r>
          </m:sup>
        </m:sSup>
      </m:oMath>
      <w:r>
        <w:t xml:space="preserve"> </w:t>
      </w:r>
      <w:r>
        <w:t xml:space="preserve">but labels the result</w:t>
      </w:r>
      <w:r>
        <w:t xml:space="preserve"> </w:t>
      </w:r>
      <w:r>
        <w:t xml:space="preserve">“</w:t>
      </w:r>
      <w:r>
        <w:t xml:space="preserve">GB</w:t>
      </w:r>
      <w:r>
        <w:t xml:space="preserve">”</w:t>
      </w:r>
      <w:r>
        <w:t xml:space="preserve">:</w:t>
      </w:r>
      <w:r>
        <w:t xml:space="preserve"> </w:t>
      </w:r>
      <m:oMath>
        <m:sSup>
          <m:e>
            <m:r>
              <m:t>10</m:t>
            </m:r>
          </m:e>
          <m:sup>
            <m:r>
              <m:t>12</m:t>
            </m:r>
          </m:sup>
        </m:sSup>
        <m:r>
          <m:rPr>
            <m:sty m:val="p"/>
          </m:rPr>
          <m:t>/</m:t>
        </m:r>
        <m:r>
          <m:t>1</m:t>
        </m:r>
        <m:r>
          <m:rPr>
            <m:sty m:val="p"/>
          </m:rPr>
          <m:t>,</m:t>
        </m:r>
        <m:r>
          <m:t>073</m:t>
        </m:r>
        <m:r>
          <m:rPr>
            <m:sty m:val="p"/>
          </m:rPr>
          <m:t>,</m:t>
        </m:r>
        <m:r>
          <m:t>741</m:t>
        </m:r>
        <m:r>
          <m:rPr>
            <m:sty m:val="p"/>
          </m:rPr>
          <m:t>,</m:t>
        </m:r>
        <m:r>
          <m:t>824</m:t>
        </m:r>
        <m:r>
          <m:rPr>
            <m:sty m:val="p"/>
          </m:rPr>
          <m:t>=</m:t>
        </m:r>
        <m:r>
          <m:t>931.3</m:t>
        </m:r>
      </m:oMath>
      <w:r>
        <w:t xml:space="preserve">.</w:t>
      </w:r>
    </w:p>
    <w:p>
      <w:pPr>
        <w:numPr>
          <w:ilvl w:val="0"/>
          <w:numId w:val="1092"/>
        </w:numPr>
        <w:pStyle w:val="Compact"/>
      </w:pPr>
      <w:r>
        <w:t xml:space="preserve">So the drive holds 931.3 GiB, and nothing is missing.</w:t>
      </w:r>
    </w:p>
    <w:p>
      <w:pPr>
        <w:pStyle w:val="CalloutExample"/>
      </w:pPr>
      <w:r>
        <w:rPr>
          <w:bCs/>
          <w:b/>
        </w:rPr>
        <w:t xml:space="preserve">Interpretation.</w:t>
      </w:r>
      <w:r>
        <w:t xml:space="preserve"> </w:t>
      </w:r>
      <w:r>
        <w:t xml:space="preserve">A 6.9% labeling discrepancy at the tera scale, growing to 12.6% at peta and 15.3% at exa.</w:t>
      </w:r>
      <w:r>
        <w:t xml:space="preserve"> </w:t>
      </w:r>
      <w:r>
        <w:rPr>
          <w:bCs/>
          <w:b/>
        </w:rPr>
        <w:t xml:space="preserve">Engineering implication.</w:t>
      </w:r>
      <w:r>
        <w:t xml:space="preserve"> </w:t>
      </w:r>
      <w:r>
        <w:t xml:space="preserve">In a capacity plan for 5 PB of data, confusing PB with PiB means under-provisioning by</w:t>
      </w:r>
      <w:r>
        <w:t xml:space="preserve"> </w:t>
      </w:r>
      <m:oMath>
        <m:r>
          <m:t>5</m:t>
        </m:r>
        <m:r>
          <m:rPr>
            <m:sty m:val="p"/>
          </m:rPr>
          <m:t>×</m:t>
        </m:r>
        <m:r>
          <m:t>0.126</m:t>
        </m:r>
        <m:r>
          <m:rPr>
            <m:sty m:val="p"/>
          </m:rPr>
          <m:t>=</m:t>
        </m:r>
        <m:r>
          <m:t>0.63</m:t>
        </m:r>
      </m:oMath>
      <w:r>
        <w:t xml:space="preserve"> </w:t>
      </w:r>
      <w:r>
        <w:t xml:space="preserve">PB. State your units in every capacity document.</w:t>
      </w:r>
    </w:p>
    <w:bookmarkEnd w:id="357"/>
    <w:bookmarkStart w:id="358" w:name="rates-and-time-conversions"/>
    <w:p>
      <w:pPr>
        <w:pStyle w:val="Heading3"/>
      </w:pPr>
      <w:r>
        <w:t xml:space="preserve">4.5.3 Rates and time conversions</w:t>
      </w:r>
    </w:p>
    <w:p>
      <w:pPr>
        <w:pStyle w:val="FirstParagraph"/>
      </w:pPr>
      <w:r>
        <w:t xml:space="preserve">Most capacity estimates start from a daily or monthly volume and must become a per-second rate, because servers are sized per second.</w:t>
      </w:r>
    </w:p>
    <w:p>
      <w:pPr>
        <w:pStyle w:val="BodyText"/>
      </w:pPr>
      <w:r>
        <w:rPr>
          <w:bCs/>
          <w:b/>
        </w:rPr>
        <w:t xml:space="preserve">Table 4.3 — Time conversions used in estimation.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Period</w:t>
            </w:r>
          </w:p>
        </w:tc>
        <w:tc>
          <w:tcPr/>
          <w:p>
            <w:pPr>
              <w:pStyle w:val="Compact"/>
              <w:jc w:val="left"/>
            </w:pPr>
            <w:r>
              <w:t xml:space="preserve">Seconds (exact)</w:t>
            </w:r>
          </w:p>
        </w:tc>
        <w:tc>
          <w:tcPr/>
          <w:p>
            <w:pPr>
              <w:pStyle w:val="Compact"/>
              <w:jc w:val="left"/>
            </w:pPr>
            <w:r>
              <w:t xml:space="preserve">Handy approximation</w:t>
            </w:r>
          </w:p>
        </w:tc>
      </w:tr>
      <w:tr>
        <w:tc>
          <w:tcPr/>
          <w:p>
            <w:pPr>
              <w:pStyle w:val="Compact"/>
              <w:jc w:val="left"/>
            </w:pPr>
            <w:r>
              <w:t xml:space="preserve">1 minute</w:t>
            </w:r>
          </w:p>
        </w:tc>
        <w:tc>
          <w:tcPr/>
          <w:p>
            <w:pPr>
              <w:pStyle w:val="Compact"/>
              <w:jc w:val="left"/>
            </w:pPr>
            <w:r>
              <w:t xml:space="preserve">60</w:t>
            </w:r>
          </w:p>
        </w:tc>
        <w:tc>
          <w:tcPr/>
          <w:p>
            <w:pPr>
              <w:pStyle w:val="Compact"/>
              <w:jc w:val="left"/>
            </w:pPr>
            <w:r>
              <w:t xml:space="preserve">—</w:t>
            </w:r>
          </w:p>
        </w:tc>
      </w:tr>
      <w:tr>
        <w:tc>
          <w:tcPr/>
          <w:p>
            <w:pPr>
              <w:pStyle w:val="Compact"/>
              <w:jc w:val="left"/>
            </w:pPr>
            <w:r>
              <w:t xml:space="preserve">1 hour</w:t>
            </w:r>
          </w:p>
        </w:tc>
        <w:tc>
          <w:tcPr/>
          <w:p>
            <w:pPr>
              <w:pStyle w:val="Compact"/>
              <w:jc w:val="left"/>
            </w:pPr>
            <w:r>
              <w:t xml:space="preserve">3,600</w:t>
            </w:r>
          </w:p>
        </w:tc>
        <w:tc>
          <w:tcPr/>
          <w:p>
            <w:pPr>
              <w:pStyle w:val="Compact"/>
              <w:jc w:val="left"/>
            </w:pPr>
            <m:oMath>
              <m:r>
                <m:t>3.6</m:t>
              </m:r>
              <m:r>
                <m:rPr>
                  <m:sty m:val="p"/>
                </m:rPr>
                <m:t>×</m:t>
              </m:r>
              <m:sSup>
                <m:e>
                  <m:r>
                    <m:t>10</m:t>
                  </m:r>
                </m:e>
                <m:sup>
                  <m:r>
                    <m:t>3</m:t>
                  </m:r>
                </m:sup>
              </m:sSup>
            </m:oMath>
          </w:p>
        </w:tc>
      </w:tr>
      <w:tr>
        <w:tc>
          <w:tcPr/>
          <w:p>
            <w:pPr>
              <w:pStyle w:val="Compact"/>
              <w:jc w:val="left"/>
            </w:pPr>
            <w:r>
              <w:t xml:space="preserve">1 day</w:t>
            </w:r>
          </w:p>
        </w:tc>
        <w:tc>
          <w:tcPr/>
          <w:p>
            <w:pPr>
              <w:pStyle w:val="Compact"/>
              <w:jc w:val="left"/>
            </w:pPr>
            <w:r>
              <w:t xml:space="preserve">86,400</w:t>
            </w:r>
          </w:p>
        </w:tc>
        <w:tc>
          <w:tcPr/>
          <w:p>
            <w:pPr>
              <w:pStyle w:val="Compact"/>
              <w:jc w:val="left"/>
            </w:pPr>
            <m:oMath>
              <m:r>
                <m:rPr>
                  <m:sty m:val="p"/>
                </m:rPr>
                <m:t>≈</m:t>
              </m:r>
              <m:sSup>
                <m:e>
                  <m:r>
                    <m:t>10</m:t>
                  </m:r>
                </m:e>
                <m:sup>
                  <m:r>
                    <m:t>5</m:t>
                  </m:r>
                </m:sup>
              </m:sSup>
            </m:oMath>
            <w:r>
              <w:t xml:space="preserve"> </w:t>
            </w:r>
            <w:r>
              <w:t xml:space="preserve">(overestimates seconds by 16%)</w:t>
            </w:r>
          </w:p>
        </w:tc>
      </w:tr>
      <w:tr>
        <w:tc>
          <w:tcPr/>
          <w:p>
            <w:pPr>
              <w:pStyle w:val="Compact"/>
              <w:jc w:val="left"/>
            </w:pPr>
            <w:r>
              <w:t xml:space="preserve">1 week</w:t>
            </w:r>
          </w:p>
        </w:tc>
        <w:tc>
          <w:tcPr/>
          <w:p>
            <w:pPr>
              <w:pStyle w:val="Compact"/>
              <w:jc w:val="left"/>
            </w:pPr>
            <w:r>
              <w:t xml:space="preserve">604,800</w:t>
            </w:r>
          </w:p>
        </w:tc>
        <w:tc>
          <w:tcPr/>
          <w:p>
            <w:pPr>
              <w:pStyle w:val="Compact"/>
              <w:jc w:val="left"/>
            </w:pPr>
            <m:oMath>
              <m:r>
                <m:rPr>
                  <m:sty m:val="p"/>
                </m:rPr>
                <m:t>≈</m:t>
              </m:r>
              <m:r>
                <m:t>6</m:t>
              </m:r>
              <m:r>
                <m:rPr>
                  <m:sty m:val="p"/>
                </m:rPr>
                <m:t>×</m:t>
              </m:r>
              <m:sSup>
                <m:e>
                  <m:r>
                    <m:t>10</m:t>
                  </m:r>
                </m:e>
                <m:sup>
                  <m:r>
                    <m:t>5</m:t>
                  </m:r>
                </m:sup>
              </m:sSup>
            </m:oMath>
          </w:p>
        </w:tc>
      </w:tr>
      <w:tr>
        <w:tc>
          <w:tcPr/>
          <w:p>
            <w:pPr>
              <w:pStyle w:val="Compact"/>
              <w:jc w:val="left"/>
            </w:pPr>
            <w:r>
              <w:t xml:space="preserve">1 month (30 days)</w:t>
            </w:r>
          </w:p>
        </w:tc>
        <w:tc>
          <w:tcPr/>
          <w:p>
            <w:pPr>
              <w:pStyle w:val="Compact"/>
              <w:jc w:val="left"/>
            </w:pPr>
            <w:r>
              <w:t xml:space="preserve">2,592,000</w:t>
            </w:r>
          </w:p>
        </w:tc>
        <w:tc>
          <w:tcPr/>
          <w:p>
            <w:pPr>
              <w:pStyle w:val="Compact"/>
              <w:jc w:val="left"/>
            </w:pPr>
            <m:oMath>
              <m:r>
                <m:rPr>
                  <m:sty m:val="p"/>
                </m:rPr>
                <m:t>≈</m:t>
              </m:r>
              <m:r>
                <m:t>2.6</m:t>
              </m:r>
              <m:r>
                <m:rPr>
                  <m:sty m:val="p"/>
                </m:rPr>
                <m:t>×</m:t>
              </m:r>
              <m:sSup>
                <m:e>
                  <m:r>
                    <m:t>10</m:t>
                  </m:r>
                </m:e>
                <m:sup>
                  <m:r>
                    <m:t>6</m:t>
                  </m:r>
                </m:sup>
              </m:sSup>
            </m:oMath>
          </w:p>
        </w:tc>
      </w:tr>
      <w:tr>
        <w:tc>
          <w:tcPr/>
          <w:p>
            <w:pPr>
              <w:pStyle w:val="Compact"/>
              <w:jc w:val="left"/>
            </w:pPr>
            <w:r>
              <w:t xml:space="preserve">1 year (365 days)</w:t>
            </w:r>
          </w:p>
        </w:tc>
        <w:tc>
          <w:tcPr/>
          <w:p>
            <w:pPr>
              <w:pStyle w:val="Compact"/>
              <w:jc w:val="left"/>
            </w:pPr>
            <w:r>
              <w:t xml:space="preserve">31,536,000</w:t>
            </w:r>
          </w:p>
        </w:tc>
        <w:tc>
          <w:tcPr/>
          <w:p>
            <w:pPr>
              <w:pStyle w:val="Compact"/>
              <w:jc w:val="left"/>
            </w:pPr>
            <m:oMath>
              <m:r>
                <m:rPr>
                  <m:sty m:val="p"/>
                </m:rPr>
                <m:t>≈</m:t>
              </m:r>
              <m:r>
                <m:t>π</m:t>
              </m:r>
              <m:r>
                <m:rPr>
                  <m:sty m:val="p"/>
                </m:rPr>
                <m:t>×</m:t>
              </m:r>
              <m:sSup>
                <m:e>
                  <m:r>
                    <m:t>10</m:t>
                  </m:r>
                </m:e>
                <m:sup>
                  <m:r>
                    <m:t>7</m:t>
                  </m:r>
                </m:sup>
              </m:sSup>
            </m:oMath>
          </w:p>
        </w:tc>
      </w:tr>
    </w:tbl>
    <w:p>
      <w:pPr>
        <w:pStyle w:val="CalloutFormula"/>
      </w:pPr>
      <w:r>
        <w:rPr>
          <w:bCs/>
          <w:b/>
        </w:rPr>
        <w:t xml:space="preserve">FORMULA</w:t>
      </w:r>
    </w:p>
    <w:p>
      <w:pPr>
        <w:pStyle w:val="CalloutFormula"/>
      </w:pPr>
      <w:r>
        <w:rPr>
          <w:bCs/>
          <w:b/>
        </w:rPr>
        <w:t xml:space="preserve">Average and peak rate from a daily volume</w:t>
      </w:r>
    </w:p>
    <w:p>
      <w:pPr>
        <w:pStyle w:val="CalloutFormula"/>
      </w:pPr>
      <m:oMathPara>
        <m:oMathParaPr>
          <m:jc m:val="center"/>
        </m:oMathParaPr>
        <m:oMath>
          <m:acc>
            <m:accPr>
              <m:chr m:val="‾"/>
            </m:accPr>
            <m:e>
              <m:r>
                <m:t>λ</m:t>
              </m:r>
            </m:e>
          </m:acc>
          <m:r>
            <m:rPr>
              <m:sty m:val="p"/>
            </m:rPr>
            <m:t>=</m:t>
          </m:r>
          <m:f>
            <m:fPr>
              <m:type m:val="bar"/>
            </m:fPr>
            <m:num>
              <m:sSub>
                <m:e>
                  <m:r>
                    <m:t>V</m:t>
                  </m:r>
                </m:e>
                <m:sub>
                  <m:r>
                    <m:rPr>
                      <m:nor/>
                      <m:sty m:val="p"/>
                    </m:rPr>
                    <m:t>day</m:t>
                  </m:r>
                </m:sub>
              </m:sSub>
            </m:num>
            <m:den>
              <m:r>
                <m:t>86</m:t>
              </m:r>
              <m:r>
                <m:rPr>
                  <m:sty m:val="p"/>
                </m:rPr>
                <m:t>,</m:t>
              </m:r>
              <m:r>
                <m:t>400</m:t>
              </m:r>
            </m:den>
          </m:f>
          <m:r>
            <m:t>  </m:t>
          </m:r>
          <m:sSub>
            <m:e>
              <m:r>
                <m:t>λ</m:t>
              </m:r>
            </m:e>
            <m:sub>
              <m:r>
                <m:rPr>
                  <m:nor/>
                  <m:sty m:val="p"/>
                </m:rPr>
                <m:t>peak</m:t>
              </m:r>
            </m:sub>
          </m:sSub>
          <m:r>
            <m:rPr>
              <m:sty m:val="p"/>
            </m:rPr>
            <m:t>=</m:t>
          </m:r>
          <m:r>
            <m:t>k</m:t>
          </m:r>
          <m:r>
            <m:rPr>
              <m:sty m:val="p"/>
            </m:rPr>
            <m:t>×</m:t>
          </m:r>
          <m:acc>
            <m:accPr>
              <m:chr m:val="‾"/>
            </m:accPr>
            <m:e>
              <m:r>
                <m:t>λ</m:t>
              </m:r>
            </m:e>
          </m:acc>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V</m:t>
                  </m:r>
                </m:e>
                <m:sub>
                  <m:r>
                    <m:rPr>
                      <m:nor/>
                      <m:sty m:val="p"/>
                    </m:rPr>
                    <m:t>day</m:t>
                  </m:r>
                </m:sub>
              </m:sSub>
            </m:oMath>
          </w:p>
        </w:tc>
        <w:tc>
          <w:tcPr/>
          <w:p>
            <w:pPr>
              <w:pStyle w:val="Compact"/>
              <w:jc w:val="left"/>
            </w:pPr>
            <w:r>
              <w:t xml:space="preserve">Events (requests, writes, messages) per day</w:t>
            </w:r>
          </w:p>
        </w:tc>
        <w:tc>
          <w:tcPr/>
          <w:p>
            <w:pPr>
              <w:pStyle w:val="Compact"/>
              <w:jc w:val="left"/>
            </w:pPr>
            <w:r>
              <w:t xml:space="preserve">events/day</w:t>
            </w:r>
          </w:p>
        </w:tc>
      </w:tr>
      <w:tr>
        <w:tc>
          <w:tcPr/>
          <w:p>
            <w:pPr>
              <w:pStyle w:val="Compact"/>
              <w:jc w:val="left"/>
            </w:pPr>
            <m:oMath>
              <m:acc>
                <m:accPr>
                  <m:chr m:val="‾"/>
                </m:accPr>
                <m:e>
                  <m:r>
                    <m:t>λ</m:t>
                  </m:r>
                </m:e>
              </m:acc>
            </m:oMath>
          </w:p>
        </w:tc>
        <w:tc>
          <w:tcPr/>
          <w:p>
            <w:pPr>
              <w:pStyle w:val="Compact"/>
              <w:jc w:val="left"/>
            </w:pPr>
            <w:r>
              <w:t xml:space="preserve">Average rate</w:t>
            </w:r>
          </w:p>
        </w:tc>
        <w:tc>
          <w:tcPr/>
          <w:p>
            <w:pPr>
              <w:pStyle w:val="Compact"/>
              <w:jc w:val="left"/>
            </w:pPr>
            <w:r>
              <w:t xml:space="preserve">events/second</w:t>
            </w:r>
          </w:p>
        </w:tc>
      </w:tr>
      <w:tr>
        <w:tc>
          <w:tcPr/>
          <w:p>
            <w:pPr>
              <w:pStyle w:val="Compact"/>
              <w:jc w:val="left"/>
            </w:pPr>
            <m:oMath>
              <m:r>
                <m:t>k</m:t>
              </m:r>
            </m:oMath>
          </w:p>
        </w:tc>
        <w:tc>
          <w:tcPr/>
          <w:p>
            <w:pPr>
              <w:pStyle w:val="Compact"/>
              <w:jc w:val="left"/>
            </w:pPr>
            <w:r>
              <w:t xml:space="preserve">Peak-to-average ratio, measured or assumed (often 2–10 for consumer traffic)</w:t>
            </w:r>
          </w:p>
        </w:tc>
        <w:tc>
          <w:tcPr/>
          <w:p>
            <w:pPr>
              <w:pStyle w:val="Compact"/>
              <w:jc w:val="left"/>
            </w:pPr>
            <w:r>
              <w:t xml:space="preserve">dimensionless</w:t>
            </w:r>
          </w:p>
        </w:tc>
      </w:tr>
      <w:tr>
        <w:tc>
          <w:tcPr/>
          <w:p>
            <w:pPr>
              <w:pStyle w:val="Compact"/>
              <w:jc w:val="left"/>
            </w:pPr>
            <m:oMath>
              <m:sSub>
                <m:e>
                  <m:r>
                    <m:t>λ</m:t>
                  </m:r>
                </m:e>
                <m:sub>
                  <m:r>
                    <m:rPr>
                      <m:nor/>
                      <m:sty m:val="p"/>
                    </m:rPr>
                    <m:t>peak</m:t>
                  </m:r>
                </m:sub>
              </m:sSub>
            </m:oMath>
          </w:p>
        </w:tc>
        <w:tc>
          <w:tcPr/>
          <w:p>
            <w:pPr>
              <w:pStyle w:val="Compact"/>
              <w:jc w:val="left"/>
            </w:pPr>
            <w:r>
              <w:t xml:space="preserve">Rate the system must be sized for</w:t>
            </w:r>
          </w:p>
        </w:tc>
        <w:tc>
          <w:tcPr/>
          <w:p>
            <w:pPr>
              <w:pStyle w:val="Compact"/>
              <w:jc w:val="left"/>
            </w:pPr>
            <w:r>
              <w:t xml:space="preserve">events/second</w:t>
            </w:r>
          </w:p>
        </w:tc>
      </w:tr>
    </w:tbl>
    <w:p>
      <w:pPr>
        <w:pStyle w:val="CalloutExample"/>
      </w:pPr>
      <w:r>
        <w:rPr>
          <w:bCs/>
          <w:b/>
        </w:rPr>
        <w:t xml:space="preserve">WORKED EXAMPLE</w:t>
      </w:r>
    </w:p>
    <w:p>
      <w:pPr>
        <w:pStyle w:val="CalloutExample"/>
      </w:pPr>
      <w:r>
        <w:rPr>
          <w:bCs/>
          <w:b/>
        </w:rPr>
        <w:t xml:space="preserve">Worked example — 100 million requests per day.</w:t>
      </w:r>
    </w:p>
    <w:p>
      <w:pPr>
        <w:numPr>
          <w:ilvl w:val="0"/>
          <w:numId w:val="1093"/>
        </w:numPr>
        <w:pStyle w:val="Compact"/>
      </w:pPr>
      <w:r>
        <w:t xml:space="preserve">Average:</w:t>
      </w:r>
      <w:r>
        <w:t xml:space="preserve"> </w:t>
      </w:r>
      <m:oMath>
        <m:sSup>
          <m:e>
            <m:r>
              <m:t>10</m:t>
            </m:r>
          </m:e>
          <m:sup>
            <m:r>
              <m:t>8</m:t>
            </m:r>
          </m:sup>
        </m:sSup>
        <m:r>
          <m:rPr>
            <m:sty m:val="p"/>
          </m:rPr>
          <m:t>/</m:t>
        </m:r>
        <m:r>
          <m:t>86</m:t>
        </m:r>
        <m:r>
          <m:rPr>
            <m:sty m:val="p"/>
          </m:rPr>
          <m:t>,</m:t>
        </m:r>
        <m:r>
          <m:t>400</m:t>
        </m:r>
        <m:r>
          <m:rPr>
            <m:sty m:val="p"/>
          </m:rPr>
          <m:t>=</m:t>
        </m:r>
        <m:r>
          <m:t>1</m:t>
        </m:r>
        <m:r>
          <m:rPr>
            <m:sty m:val="p"/>
          </m:rPr>
          <m:t>,</m:t>
        </m:r>
        <m:r>
          <m:t>157</m:t>
        </m:r>
      </m:oMath>
      <w:r>
        <w:t xml:space="preserve"> </w:t>
      </w:r>
      <w:r>
        <w:t xml:space="preserve">RPS.</w:t>
      </w:r>
    </w:p>
    <w:p>
      <w:pPr>
        <w:numPr>
          <w:ilvl w:val="0"/>
          <w:numId w:val="1093"/>
        </w:numPr>
        <w:pStyle w:val="Compact"/>
      </w:pPr>
      <w:r>
        <w:t xml:space="preserve">Shortcut check:</w:t>
      </w:r>
      <w:r>
        <w:t xml:space="preserve"> </w:t>
      </w:r>
      <m:oMath>
        <m:sSup>
          <m:e>
            <m:r>
              <m:t>10</m:t>
            </m:r>
          </m:e>
          <m:sup>
            <m:r>
              <m:t>8</m:t>
            </m:r>
          </m:sup>
        </m:sSup>
        <m:r>
          <m:rPr>
            <m:sty m:val="p"/>
          </m:rPr>
          <m:t>/</m:t>
        </m:r>
        <m:sSup>
          <m:e>
            <m:r>
              <m:t>10</m:t>
            </m:r>
          </m:e>
          <m:sup>
            <m:r>
              <m:t>5</m:t>
            </m:r>
          </m:sup>
        </m:sSup>
        <m:r>
          <m:rPr>
            <m:sty m:val="p"/>
          </m:rPr>
          <m:t>=</m:t>
        </m:r>
        <m:r>
          <m:t>1</m:t>
        </m:r>
        <m:r>
          <m:rPr>
            <m:sty m:val="p"/>
          </m:rPr>
          <m:t>,</m:t>
        </m:r>
        <m:r>
          <m:t>000</m:t>
        </m:r>
      </m:oMath>
      <w:r>
        <w:t xml:space="preserve"> </w:t>
      </w:r>
      <w:r>
        <w:t xml:space="preserve">RPS (16% low, acceptable for a first pass).</w:t>
      </w:r>
    </w:p>
    <w:p>
      <w:pPr>
        <w:numPr>
          <w:ilvl w:val="0"/>
          <w:numId w:val="1093"/>
        </w:numPr>
        <w:pStyle w:val="Compact"/>
      </w:pPr>
      <w:r>
        <w:t xml:space="preserve">Assume a peak-to-average ratio</w:t>
      </w:r>
      <w:r>
        <w:t xml:space="preserve"> </w:t>
      </w:r>
      <m:oMath>
        <m:r>
          <m:t>k</m:t>
        </m:r>
        <m:r>
          <m:rPr>
            <m:sty m:val="p"/>
          </m:rPr>
          <m:t>=</m:t>
        </m:r>
        <m:r>
          <m:t>3</m:t>
        </m:r>
      </m:oMath>
      <w:r>
        <w:t xml:space="preserve">:</w:t>
      </w:r>
      <w:r>
        <w:t xml:space="preserve"> </w:t>
      </w:r>
      <m:oMath>
        <m:sSub>
          <m:e>
            <m:r>
              <m:t>λ</m:t>
            </m:r>
          </m:e>
          <m:sub>
            <m:r>
              <m:rPr>
                <m:nor/>
                <m:sty m:val="p"/>
              </m:rPr>
              <m:t>peak</m:t>
            </m:r>
          </m:sub>
        </m:sSub>
        <m:r>
          <m:rPr>
            <m:sty m:val="p"/>
          </m:rPr>
          <m:t>≈</m:t>
        </m:r>
        <m:r>
          <m:t>3</m:t>
        </m:r>
        <m:r>
          <m:rPr>
            <m:sty m:val="p"/>
          </m:rPr>
          <m:t>,</m:t>
        </m:r>
        <m:r>
          <m:t>500</m:t>
        </m:r>
      </m:oMath>
      <w:r>
        <w:t xml:space="preserve"> </w:t>
      </w:r>
      <w:r>
        <w:t xml:space="preserve">RPS.</w:t>
      </w:r>
    </w:p>
    <w:p>
      <w:pPr>
        <w:pStyle w:val="CalloutExample"/>
      </w:pPr>
      <w:r>
        <w:rPr>
          <w:bCs/>
          <w:b/>
        </w:rPr>
        <w:t xml:space="preserve">Interpretation.</w:t>
      </w:r>
      <w:r>
        <w:t xml:space="preserve"> </w:t>
      </w:r>
      <w:r>
        <w:t xml:space="preserve">“</w:t>
      </w:r>
      <w:r>
        <w:t xml:space="preserve">100 million a day</w:t>
      </w:r>
      <w:r>
        <w:t xml:space="preserve">”</w:t>
      </w:r>
      <w:r>
        <w:t xml:space="preserve"> </w:t>
      </w:r>
      <w:r>
        <w:t xml:space="preserve">sounds enormous but is a few thousand requests per second at peak.</w:t>
      </w:r>
      <w:r>
        <w:t xml:space="preserve"> </w:t>
      </w:r>
      <w:r>
        <w:rPr>
          <w:bCs/>
          <w:b/>
        </w:rPr>
        <w:t xml:space="preserve">Engineering implication.</w:t>
      </w:r>
      <w:r>
        <w:t xml:space="preserve"> </w:t>
      </w:r>
      <w:r>
        <w:t xml:space="preserve">A few application servers can carry this request rate; the harder questions are usually storage growth and tail latency, not raw request rate. The peak factor</w:t>
      </w:r>
      <w:r>
        <w:t xml:space="preserve"> </w:t>
      </w:r>
      <m:oMath>
        <m:r>
          <m:t>k</m:t>
        </m:r>
      </m:oMath>
      <w:r>
        <w:t xml:space="preserve"> </w:t>
      </w:r>
      <w:r>
        <w:t xml:space="preserve">is an assumption that must be stated and, once the system is live, measured.</w:t>
      </w:r>
    </w:p>
    <w:bookmarkEnd w:id="358"/>
    <w:bookmarkEnd w:id="359"/>
    <w:bookmarkStart w:id="365" w:name="probability-essentials"/>
    <w:p>
      <w:pPr>
        <w:pStyle w:val="Heading2"/>
      </w:pPr>
      <w:r>
        <w:t xml:space="preserve">4.6 Probability essentials</w:t>
      </w:r>
    </w:p>
    <w:bookmarkStart w:id="361" w:name="probability-complement-and-independence"/>
    <w:p>
      <w:pPr>
        <w:pStyle w:val="Heading3"/>
      </w:pPr>
      <w:r>
        <w:t xml:space="preserve">4.6.1 Probability, complement and independence</w:t>
      </w:r>
    </w:p>
    <w:p>
      <w:pPr>
        <w:pStyle w:val="CalloutDefinition"/>
      </w:pPr>
      <w:r>
        <w:rPr>
          <w:bCs/>
          <w:b/>
        </w:rPr>
        <w:t xml:space="preserve">DEFINITION</w:t>
      </w:r>
    </w:p>
    <w:p>
      <w:pPr>
        <w:pStyle w:val="CalloutDefinition"/>
      </w:pPr>
      <w:r>
        <w:rPr>
          <w:bCs/>
          <w:b/>
        </w:rPr>
        <w:t xml:space="preserve">Definition — Probability.</w:t>
      </w:r>
      <w:r>
        <w:t xml:space="preserve"> </w:t>
      </w:r>
      <w:r>
        <w:t xml:space="preserve">A number between 0 and 1 that measures how likely an event is: 0 means impossible, 1 means certain. If an experiment is repeated many times, the probability of event</w:t>
      </w:r>
      <w:r>
        <w:t xml:space="preserve"> </w:t>
      </w:r>
      <m:oMath>
        <m:r>
          <m:t>A</m:t>
        </m:r>
      </m:oMath>
      <w:r>
        <w:t xml:space="preserve">, written</w:t>
      </w:r>
      <w:r>
        <w:t xml:space="preserve"> </w:t>
      </w:r>
      <m:oMath>
        <m:r>
          <m:t>P</m:t>
        </m:r>
        <m:d>
          <m:dPr>
            <m:begChr m:val="("/>
            <m:endChr m:val=")"/>
            <m:sepChr m:val=""/>
            <m:grow/>
          </m:dPr>
          <m:e>
            <m:r>
              <m:t>A</m:t>
            </m:r>
          </m:e>
        </m:d>
      </m:oMath>
      <w:r>
        <w:t xml:space="preserve">, is the long-run fraction of repetitions in which</w:t>
      </w:r>
      <w:r>
        <w:t xml:space="preserve"> </w:t>
      </w:r>
      <m:oMath>
        <m:r>
          <m:t>A</m:t>
        </m:r>
      </m:oMath>
      <w:r>
        <w:t xml:space="preserve"> </w:t>
      </w:r>
      <w:r>
        <w:t xml:space="preserve">happens.</w:t>
      </w:r>
    </w:p>
    <w:bookmarkStart w:id="360" w:name="first-principles-explanation-22"/>
    <w:p>
      <w:pPr>
        <w:pStyle w:val="Heading4"/>
      </w:pPr>
      <w:r>
        <w:t xml:space="preserve">First-principles explanation</w:t>
      </w:r>
    </w:p>
    <w:p>
      <w:pPr>
        <w:pStyle w:val="FirstParagraph"/>
      </w:pPr>
      <w:r>
        <w:t xml:space="preserve">Think of a fleet as a bag of marbles: if 1 in 1,000 is red, a blind draw is red with probability 0.001. Probability in system design is about the</w:t>
      </w:r>
      <w:r>
        <w:t xml:space="preserve"> </w:t>
      </w:r>
      <w:r>
        <w:rPr>
          <w:iCs/>
          <w:i/>
        </w:rPr>
        <w:t xml:space="preserve">fleet</w:t>
      </w:r>
      <w:r>
        <w:t xml:space="preserve">: a disk with a 2% annual failure probability is rare on its own and a daily event among 100,000 disks.</w:t>
      </w:r>
    </w:p>
    <w:p>
      <w:pPr>
        <w:pStyle w:val="BodyText"/>
      </w:pPr>
      <w:r>
        <w:t xml:space="preserve">Two rules carry most of the weight. The</w:t>
      </w:r>
      <w:r>
        <w:t xml:space="preserve"> </w:t>
      </w:r>
      <w:r>
        <w:rPr>
          <w:bCs/>
          <w:b/>
        </w:rPr>
        <w:t xml:space="preserve">complement rule</w:t>
      </w:r>
      <w:r>
        <w:t xml:space="preserve">:</w:t>
      </w:r>
      <w:r>
        <w:t xml:space="preserve"> </w:t>
      </w:r>
      <m:oMath>
        <m:r>
          <m:t>P</m:t>
        </m:r>
        <m:d>
          <m:dPr>
            <m:begChr m:val="("/>
            <m:endChr m:val=")"/>
            <m:sepChr m:val=""/>
            <m:grow/>
          </m:dPr>
          <m:e>
            <m:r>
              <m:rPr>
                <m:nor/>
                <m:sty m:val="p"/>
              </m:rPr>
              <m:t>not </m:t>
            </m:r>
            <m:r>
              <m:t>A</m:t>
            </m:r>
          </m:e>
        </m:d>
        <m:r>
          <m:rPr>
            <m:sty m:val="p"/>
          </m:rPr>
          <m:t>=</m:t>
        </m:r>
        <m:r>
          <m:t>1</m:t>
        </m:r>
        <m:r>
          <m:rPr>
            <m:sty m:val="p"/>
          </m:rPr>
          <m:t>−</m:t>
        </m:r>
        <m:r>
          <m:t>P</m:t>
        </m:r>
        <m:d>
          <m:dPr>
            <m:begChr m:val="("/>
            <m:endChr m:val=")"/>
            <m:sepChr m:val=""/>
            <m:grow/>
          </m:dPr>
          <m:e>
            <m:r>
              <m:t>A</m:t>
            </m:r>
          </m:e>
        </m:d>
      </m:oMath>
      <w:r>
        <w:t xml:space="preserve">; computing</w:t>
      </w:r>
      <w:r>
        <w:t xml:space="preserve"> </w:t>
      </w:r>
      <w:r>
        <w:t xml:space="preserve">“</w:t>
      </w:r>
      <w:r>
        <w:t xml:space="preserve">nothing goes wrong</w:t>
      </w:r>
      <w:r>
        <w:t xml:space="preserve">”</w:t>
      </w:r>
      <w:r>
        <w:t xml:space="preserve"> </w:t>
      </w:r>
      <w:r>
        <w:t xml:space="preserve">is often far easier than enumerating what can.</w:t>
      </w:r>
      <w:r>
        <w:t xml:space="preserve"> </w:t>
      </w:r>
      <w:r>
        <w:rPr>
          <w:bCs/>
          <w:b/>
        </w:rPr>
        <w:t xml:space="preserve">Independence</w:t>
      </w:r>
      <w:r>
        <w:t xml:space="preserve">:</w:t>
      </w:r>
      <w:r>
        <w:t xml:space="preserve"> </w:t>
      </w:r>
      <m:oMath>
        <m:r>
          <m:t>A</m:t>
        </m:r>
      </m:oMath>
      <w:r>
        <w:t xml:space="preserve"> </w:t>
      </w:r>
      <w:r>
        <w:t xml:space="preserve">and</w:t>
      </w:r>
      <w:r>
        <w:t xml:space="preserve"> </w:t>
      </w:r>
      <m:oMath>
        <m:r>
          <m:t>B</m:t>
        </m:r>
      </m:oMath>
      <w:r>
        <w:t xml:space="preserve"> </w:t>
      </w:r>
      <w:r>
        <w:t xml:space="preserve">are independent if knowing one happened tells you nothing about the other; then, and</w:t>
      </w:r>
      <w:r>
        <w:t xml:space="preserve"> </w:t>
      </w:r>
      <w:r>
        <w:rPr>
          <w:iCs/>
          <w:i/>
        </w:rPr>
        <w:t xml:space="preserve">only</w:t>
      </w:r>
      <w:r>
        <w:t xml:space="preserve"> </w:t>
      </w:r>
      <w:r>
        <w:t xml:space="preserve">then,</w:t>
      </w:r>
      <w:r>
        <w:t xml:space="preserve"> </w:t>
      </w:r>
      <m:oMath>
        <m:r>
          <m:t>P</m:t>
        </m:r>
        <m:d>
          <m:dPr>
            <m:begChr m:val="("/>
            <m:endChr m:val=")"/>
            <m:sepChr m:val=""/>
            <m:grow/>
          </m:dPr>
          <m:e>
            <m:r>
              <m:t>A</m:t>
            </m:r>
            <m:r>
              <m:rPr>
                <m:nor/>
                <m:sty m:val="p"/>
              </m:rPr>
              <m:t> and </m:t>
            </m:r>
            <m:r>
              <m:t>B</m:t>
            </m:r>
          </m:e>
        </m:d>
        <m:r>
          <m:rPr>
            <m:sty m:val="p"/>
          </m:rPr>
          <m:t>=</m:t>
        </m:r>
        <m:r>
          <m:t>P</m:t>
        </m:r>
        <m:d>
          <m:dPr>
            <m:begChr m:val="("/>
            <m:endChr m:val=")"/>
            <m:sepChr m:val=""/>
            <m:grow/>
          </m:dPr>
          <m:e>
            <m:r>
              <m:t>A</m:t>
            </m:r>
          </m:e>
        </m:d>
        <m:r>
          <m:rPr>
            <m:sty m:val="p"/>
          </m:rPr>
          <m:t>×</m:t>
        </m:r>
        <m:r>
          <m:t>P</m:t>
        </m:r>
        <m:d>
          <m:dPr>
            <m:begChr m:val="("/>
            <m:endChr m:val=")"/>
            <m:sepChr m:val=""/>
            <m:grow/>
          </m:dPr>
          <m:e>
            <m:r>
              <m:t>B</m:t>
            </m:r>
          </m:e>
        </m:d>
      </m:oMath>
      <w:r>
        <w:t xml:space="preserve">. Disks in different datacenters fail nearly independently; disks sharing a power supply do not.</w:t>
      </w:r>
    </w:p>
    <w:p>
      <w:pPr>
        <w:pStyle w:val="CalloutFormula"/>
      </w:pPr>
      <w:r>
        <w:rPr>
          <w:bCs/>
          <w:b/>
        </w:rPr>
        <w:t xml:space="preserve">FORMULA</w:t>
      </w:r>
    </w:p>
    <w:p>
      <w:pPr>
        <w:pStyle w:val="CalloutFormula"/>
      </w:pPr>
      <w:r>
        <w:rPr>
          <w:bCs/>
          <w:b/>
        </w:rPr>
        <w:t xml:space="preserve">Probability that at least one of</w:t>
      </w:r>
      <w:r>
        <w:rPr>
          <w:bCs/>
          <w:b/>
        </w:rPr>
        <w:t xml:space="preserve"> </w:t>
      </w:r>
      <m:oMath>
        <m:r>
          <m:t>N</m:t>
        </m:r>
      </m:oMath>
      <w:r>
        <w:rPr>
          <w:bCs/>
          <w:b/>
        </w:rPr>
        <w:t xml:space="preserve"> </w:t>
      </w:r>
      <w:r>
        <w:rPr>
          <w:bCs/>
          <w:b/>
        </w:rPr>
        <w:t xml:space="preserve">independent components fails</w:t>
      </w:r>
    </w:p>
    <w:p>
      <w:pPr>
        <w:pStyle w:val="CalloutFormula"/>
      </w:pPr>
      <m:oMathPara>
        <m:oMathParaPr>
          <m:jc m:val="center"/>
        </m:oMathParaPr>
        <m:oMath>
          <m:r>
            <m:t>P</m:t>
          </m:r>
          <m:d>
            <m:dPr>
              <m:begChr m:val="("/>
              <m:endChr m:val=")"/>
              <m:sepChr m:val=""/>
              <m:grow/>
            </m:dPr>
            <m:e>
              <m:r>
                <m:rPr>
                  <m:nor/>
                  <m:sty m:val="p"/>
                </m:rPr>
                <m:t>at least one fails</m:t>
              </m:r>
            </m:e>
          </m:d>
          <m:r>
            <m:rPr>
              <m:sty m:val="p"/>
            </m:rPr>
            <m:t>=</m:t>
          </m:r>
          <m:r>
            <m:t>1</m:t>
          </m:r>
          <m:r>
            <m:rPr>
              <m:sty m:val="p"/>
            </m:rPr>
            <m:t>−</m:t>
          </m:r>
          <m:sSup>
            <m:e>
              <m:d>
                <m:dPr>
                  <m:begChr m:val="("/>
                  <m:endChr m:val=")"/>
                  <m:sepChr m:val=""/>
                  <m:grow/>
                </m:dPr>
                <m:e>
                  <m:r>
                    <m:t>1</m:t>
                  </m:r>
                  <m:r>
                    <m:rPr>
                      <m:sty m:val="p"/>
                    </m:rPr>
                    <m:t>−</m:t>
                  </m:r>
                  <m:r>
                    <m:t>p</m:t>
                  </m:r>
                </m:e>
              </m:d>
            </m:e>
            <m:sup>
              <m:r>
                <m:t>N</m:t>
              </m:r>
            </m:sup>
          </m:sSup>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p</m:t>
              </m:r>
            </m:oMath>
          </w:p>
        </w:tc>
        <w:tc>
          <w:tcPr/>
          <w:p>
            <w:pPr>
              <w:pStyle w:val="Compact"/>
              <w:jc w:val="left"/>
            </w:pPr>
            <w:r>
              <w:t xml:space="preserve">Probability that a single component fails during the period of interest</w:t>
            </w:r>
          </w:p>
        </w:tc>
        <w:tc>
          <w:tcPr/>
          <w:p>
            <w:pPr>
              <w:pStyle w:val="Compact"/>
              <w:jc w:val="left"/>
            </w:pPr>
            <w:r>
              <w:t xml:space="preserve">dimensionless (0–1)</w:t>
            </w:r>
          </w:p>
        </w:tc>
      </w:tr>
      <w:tr>
        <w:tc>
          <w:tcPr/>
          <w:p>
            <w:pPr>
              <w:pStyle w:val="Compact"/>
              <w:jc w:val="left"/>
            </w:pPr>
            <m:oMath>
              <m:r>
                <m:t>N</m:t>
              </m:r>
            </m:oMath>
          </w:p>
        </w:tc>
        <w:tc>
          <w:tcPr/>
          <w:p>
            <w:pPr>
              <w:pStyle w:val="Compact"/>
              <w:jc w:val="left"/>
            </w:pPr>
            <w:r>
              <w:t xml:space="preserve">Number of independent components</w:t>
            </w:r>
          </w:p>
        </w:tc>
        <w:tc>
          <w:tcPr/>
          <w:p>
            <w:pPr>
              <w:pStyle w:val="Compact"/>
              <w:jc w:val="left"/>
            </w:pPr>
            <w:r>
              <w:t xml:space="preserve">count</w:t>
            </w:r>
          </w:p>
        </w:tc>
      </w:tr>
      <w:tr>
        <w:tc>
          <w:tcPr/>
          <w:p>
            <w:pPr>
              <w:pStyle w:val="Compact"/>
              <w:jc w:val="left"/>
            </w:pPr>
            <m:oMath>
              <m:sSup>
                <m:e>
                  <m:d>
                    <m:dPr>
                      <m:begChr m:val="("/>
                      <m:endChr m:val=")"/>
                      <m:sepChr m:val=""/>
                      <m:grow/>
                    </m:dPr>
                    <m:e>
                      <m:r>
                        <m:t>1</m:t>
                      </m:r>
                      <m:r>
                        <m:rPr>
                          <m:sty m:val="p"/>
                        </m:rPr>
                        <m:t>−</m:t>
                      </m:r>
                      <m:r>
                        <m:t>p</m:t>
                      </m:r>
                    </m:e>
                  </m:d>
                </m:e>
                <m:sup>
                  <m:r>
                    <m:t>N</m:t>
                  </m:r>
                </m:sup>
              </m:sSup>
            </m:oMath>
          </w:p>
        </w:tc>
        <w:tc>
          <w:tcPr/>
          <w:p>
            <w:pPr>
              <w:pStyle w:val="Compact"/>
              <w:jc w:val="left"/>
            </w:pPr>
            <w:r>
              <w:t xml:space="preserve">Probability that</w:t>
            </w:r>
            <w:r>
              <w:t xml:space="preserve"> </w:t>
            </w:r>
            <w:r>
              <w:rPr>
                <w:iCs/>
                <w:i/>
              </w:rPr>
              <w:t xml:space="preserve">none</w:t>
            </w:r>
            <w:r>
              <w:t xml:space="preserve"> </w:t>
            </w:r>
            <w:r>
              <w:t xml:space="preserve">fails (complement, multiplied</w:t>
            </w:r>
            <w:r>
              <w:t xml:space="preserve"> </w:t>
            </w:r>
            <m:oMath>
              <m:r>
                <m:t>N</m:t>
              </m:r>
            </m:oMath>
            <w:r>
              <w:t xml:space="preserve"> </w:t>
            </w:r>
            <w:r>
              <w:t xml:space="preserve">times by independence)</w:t>
            </w:r>
          </w:p>
        </w:tc>
        <w:tc>
          <w:tcPr/>
          <w:p>
            <w:pPr>
              <w:pStyle w:val="Compact"/>
              <w:jc w:val="left"/>
            </w:pPr>
            <w:r>
              <w:t xml:space="preserve">dimensionless</w:t>
            </w:r>
          </w:p>
        </w:tc>
      </w:tr>
    </w:tbl>
    <w:p>
      <w:pPr>
        <w:pStyle w:val="BodyText"/>
      </w:pPr>
      <w:r>
        <w:rPr>
          <w:bCs/>
          <w:b/>
        </w:rPr>
        <w:t xml:space="preserve">Derivation.</w:t>
      </w:r>
      <w:r>
        <w:t xml:space="preserve"> </w:t>
      </w:r>
      <w:r>
        <w:t xml:space="preserve">One component survives with probability</w:t>
      </w:r>
      <w:r>
        <w:t xml:space="preserve"> </w:t>
      </w:r>
      <m:oMath>
        <m:r>
          <m:t>1</m:t>
        </m:r>
        <m:r>
          <m:rPr>
            <m:sty m:val="p"/>
          </m:rPr>
          <m:t>−</m:t>
        </m:r>
        <m:r>
          <m:t>p</m:t>
        </m:r>
      </m:oMath>
      <w:r>
        <w:t xml:space="preserve">. By independence, all</w:t>
      </w:r>
      <w:r>
        <w:t xml:space="preserve"> </w:t>
      </w:r>
      <m:oMath>
        <m:r>
          <m:t>N</m:t>
        </m:r>
      </m:oMath>
      <w:r>
        <w:t xml:space="preserve"> </w:t>
      </w:r>
      <w:r>
        <w:t xml:space="preserve">survive with probability</w:t>
      </w:r>
      <w:r>
        <w:t xml:space="preserve"> </w:t>
      </w:r>
      <m:oMath>
        <m:d>
          <m:dPr>
            <m:begChr m:val="("/>
            <m:endChr m:val=")"/>
            <m:sepChr m:val=""/>
            <m:grow/>
          </m:dPr>
          <m:e>
            <m:r>
              <m:t>1</m:t>
            </m:r>
            <m:r>
              <m:rPr>
                <m:sty m:val="p"/>
              </m:rPr>
              <m:t>−</m:t>
            </m:r>
            <m:r>
              <m:t>p</m:t>
            </m:r>
          </m:e>
        </m:d>
        <m:r>
          <m:rPr>
            <m:sty m:val="p"/>
          </m:rPr>
          <m:t>×</m:t>
        </m:r>
        <m:d>
          <m:dPr>
            <m:begChr m:val="("/>
            <m:endChr m:val=")"/>
            <m:sepChr m:val=""/>
            <m:grow/>
          </m:dPr>
          <m:e>
            <m:r>
              <m:t>1</m:t>
            </m:r>
            <m:r>
              <m:rPr>
                <m:sty m:val="p"/>
              </m:rPr>
              <m:t>−</m:t>
            </m:r>
            <m:r>
              <m:t>p</m:t>
            </m:r>
          </m:e>
        </m:d>
        <m:r>
          <m:rPr>
            <m:sty m:val="p"/>
          </m:rPr>
          <m:t>×</m:t>
        </m:r>
        <m:r>
          <m:rPr>
            <m:sty m:val="p"/>
          </m:rPr>
          <m:t>⋯</m:t>
        </m:r>
        <m:r>
          <m:rPr>
            <m:sty m:val="p"/>
          </m:rPr>
          <m:t>=</m:t>
        </m:r>
        <m:sSup>
          <m:e>
            <m:d>
              <m:dPr>
                <m:begChr m:val="("/>
                <m:endChr m:val=")"/>
                <m:sepChr m:val=""/>
                <m:grow/>
              </m:dPr>
              <m:e>
                <m:r>
                  <m:t>1</m:t>
                </m:r>
                <m:r>
                  <m:rPr>
                    <m:sty m:val="p"/>
                  </m:rPr>
                  <m:t>−</m:t>
                </m:r>
                <m:r>
                  <m:t>p</m:t>
                </m:r>
              </m:e>
            </m:d>
          </m:e>
          <m:sup>
            <m:r>
              <m:t>N</m:t>
            </m:r>
          </m:sup>
        </m:sSup>
      </m:oMath>
      <w:r>
        <w:t xml:space="preserve">.</w:t>
      </w:r>
      <w:r>
        <w:t xml:space="preserve"> </w:t>
      </w:r>
      <w:r>
        <w:t xml:space="preserve">“</w:t>
      </w:r>
      <w:r>
        <w:t xml:space="preserve">At least one fails</w:t>
      </w:r>
      <w:r>
        <w:t xml:space="preserve">”</w:t>
      </w:r>
      <w:r>
        <w:t xml:space="preserve"> </w:t>
      </w:r>
      <w:r>
        <w:t xml:space="preserve">is the complement of</w:t>
      </w:r>
      <w:r>
        <w:t xml:space="preserve"> </w:t>
      </w:r>
      <w:r>
        <w:t xml:space="preserve">“</w:t>
      </w:r>
      <w:r>
        <w:t xml:space="preserve">all survive</w:t>
      </w:r>
      <w:r>
        <w:t xml:space="preserve">”</w:t>
      </w:r>
      <w:r>
        <w:t xml:space="preserve">. A useful approximation for small</w:t>
      </w:r>
      <w:r>
        <w:t xml:space="preserve"> </w:t>
      </w:r>
      <m:oMath>
        <m:r>
          <m:t>p</m:t>
        </m:r>
      </m:oMath>
      <w:r>
        <w:t xml:space="preserve">:</w:t>
      </w:r>
      <w:r>
        <w:t xml:space="preserve"> </w:t>
      </w:r>
      <m:oMath>
        <m:sSup>
          <m:e>
            <m:d>
              <m:dPr>
                <m:begChr m:val="("/>
                <m:endChr m:val=")"/>
                <m:sepChr m:val=""/>
                <m:grow/>
              </m:dPr>
              <m:e>
                <m:r>
                  <m:t>1</m:t>
                </m:r>
                <m:r>
                  <m:rPr>
                    <m:sty m:val="p"/>
                  </m:rPr>
                  <m:t>−</m:t>
                </m:r>
                <m:r>
                  <m:t>p</m:t>
                </m:r>
              </m:e>
            </m:d>
          </m:e>
          <m:sup>
            <m:r>
              <m:t>N</m:t>
            </m:r>
          </m:sup>
        </m:sSup>
        <m:r>
          <m:rPr>
            <m:sty m:val="p"/>
          </m:rPr>
          <m:t>≈</m:t>
        </m:r>
        <m:sSup>
          <m:e>
            <m:r>
              <m:t>e</m:t>
            </m:r>
          </m:e>
          <m:sup>
            <m:r>
              <m:rPr>
                <m:sty m:val="p"/>
              </m:rPr>
              <m:t>−</m:t>
            </m:r>
            <m:r>
              <m:t>N</m:t>
            </m:r>
            <m:r>
              <m:t>p</m:t>
            </m:r>
          </m:sup>
        </m:sSup>
      </m:oMath>
      <w:r>
        <w:t xml:space="preserve">, so</w:t>
      </w:r>
      <w:r>
        <w:t xml:space="preserve"> </w:t>
      </w:r>
      <m:oMath>
        <m:r>
          <m:t>P</m:t>
        </m:r>
        <m:d>
          <m:dPr>
            <m:begChr m:val="("/>
            <m:endChr m:val=")"/>
            <m:sepChr m:val=""/>
            <m:grow/>
          </m:dPr>
          <m:e>
            <m:r>
              <m:rPr>
                <m:nor/>
                <m:sty m:val="p"/>
              </m:rPr>
              <m:t>at least one</m:t>
            </m:r>
          </m:e>
        </m:d>
        <m:r>
          <m:rPr>
            <m:sty m:val="p"/>
          </m:rPr>
          <m:t>≈</m:t>
        </m:r>
        <m:r>
          <m:t>1</m:t>
        </m:r>
        <m:r>
          <m:rPr>
            <m:sty m:val="p"/>
          </m:rPr>
          <m:t>−</m:t>
        </m:r>
        <m:sSup>
          <m:e>
            <m:r>
              <m:t>e</m:t>
            </m:r>
          </m:e>
          <m:sup>
            <m:r>
              <m:rPr>
                <m:sty m:val="p"/>
              </m:rPr>
              <m:t>−</m:t>
            </m:r>
            <m:r>
              <m:t>N</m:t>
            </m:r>
            <m:r>
              <m:t>p</m:t>
            </m:r>
          </m:sup>
        </m:sSup>
      </m:oMath>
      <w:r>
        <w:t xml:space="preserve">, and when</w:t>
      </w:r>
      <w:r>
        <w:t xml:space="preserve"> </w:t>
      </w:r>
      <m:oMath>
        <m:r>
          <m:t>N</m:t>
        </m:r>
        <m:r>
          <m:t>p</m:t>
        </m:r>
        <m:r>
          <m:rPr>
            <m:sty m:val="p"/>
          </m:rPr>
          <m:t>≪</m:t>
        </m:r>
        <m:r>
          <m:t>1</m:t>
        </m:r>
      </m:oMath>
      <w:r>
        <w:t xml:space="preserve"> </w:t>
      </w:r>
      <w:r>
        <w:t xml:space="preserve">this is simply</w:t>
      </w:r>
      <w:r>
        <w:t xml:space="preserve"> </w:t>
      </w:r>
      <m:oMath>
        <m:r>
          <m:rPr>
            <m:sty m:val="p"/>
          </m:rPr>
          <m:t>≈</m:t>
        </m:r>
        <m:r>
          <m:t>N</m:t>
        </m:r>
        <m:r>
          <m:t>p</m:t>
        </m:r>
      </m:oMath>
      <w:r>
        <w:t xml:space="preserve">.</w:t>
      </w:r>
    </w:p>
    <w:p>
      <w:pPr>
        <w:pStyle w:val="CalloutExample"/>
      </w:pPr>
      <w:r>
        <w:rPr>
          <w:bCs/>
          <w:b/>
        </w:rPr>
        <w:t xml:space="preserve">WORKED EXAMPLE</w:t>
      </w:r>
    </w:p>
    <w:p>
      <w:pPr>
        <w:pStyle w:val="CalloutExample"/>
      </w:pPr>
      <w:r>
        <w:rPr>
          <w:bCs/>
          <w:b/>
        </w:rPr>
        <w:t xml:space="preserve">Worked example — At least one of 1,000 servers fails today.</w:t>
      </w:r>
      <w:r>
        <w:t xml:space="preserve"> </w:t>
      </w:r>
      <w:r>
        <w:t xml:space="preserve">Each server independently fails on a given day with probability</w:t>
      </w:r>
      <w:r>
        <w:t xml:space="preserve"> </w:t>
      </w:r>
      <m:oMath>
        <m:r>
          <m:t>p</m:t>
        </m:r>
        <m:r>
          <m:rPr>
            <m:sty m:val="p"/>
          </m:rPr>
          <m:t>=</m:t>
        </m:r>
        <m:r>
          <m:t>0.001</m:t>
        </m:r>
      </m:oMath>
      <w:r>
        <w:t xml:space="preserve"> </w:t>
      </w:r>
      <w:r>
        <w:t xml:space="preserve">(one failure per thousand server-days). The fleet has</w:t>
      </w:r>
      <w:r>
        <w:t xml:space="preserve"> </w:t>
      </w:r>
      <m:oMath>
        <m:r>
          <m:t>N</m:t>
        </m:r>
        <m:r>
          <m:rPr>
            <m:sty m:val="p"/>
          </m:rPr>
          <m:t>=</m:t>
        </m:r>
        <m:r>
          <m:t>1</m:t>
        </m:r>
        <m:r>
          <m:rPr>
            <m:sty m:val="p"/>
          </m:rPr>
          <m:t>,</m:t>
        </m:r>
        <m:r>
          <m:t>000</m:t>
        </m:r>
      </m:oMath>
      <w:r>
        <w:t xml:space="preserve"> </w:t>
      </w:r>
      <w:r>
        <w:t xml:space="preserve">servers.</w:t>
      </w:r>
    </w:p>
    <w:p>
      <w:pPr>
        <w:numPr>
          <w:ilvl w:val="0"/>
          <w:numId w:val="1094"/>
        </w:numPr>
        <w:pStyle w:val="Compact"/>
      </w:pPr>
      <w:r>
        <w:t xml:space="preserve">Probability one server survives the day:</w:t>
      </w:r>
      <w:r>
        <w:t xml:space="preserve"> </w:t>
      </w:r>
      <m:oMath>
        <m:r>
          <m:t>1</m:t>
        </m:r>
        <m:r>
          <m:rPr>
            <m:sty m:val="p"/>
          </m:rPr>
          <m:t>−</m:t>
        </m:r>
        <m:r>
          <m:t>0.001</m:t>
        </m:r>
        <m:r>
          <m:rPr>
            <m:sty m:val="p"/>
          </m:rPr>
          <m:t>=</m:t>
        </m:r>
        <m:r>
          <m:t>0.999</m:t>
        </m:r>
      </m:oMath>
      <w:r>
        <w:t xml:space="preserve">.</w:t>
      </w:r>
    </w:p>
    <w:p>
      <w:pPr>
        <w:numPr>
          <w:ilvl w:val="0"/>
          <w:numId w:val="1094"/>
        </w:numPr>
        <w:pStyle w:val="Compact"/>
      </w:pPr>
      <w:r>
        <w:t xml:space="preserve">Probability all survive:</w:t>
      </w:r>
      <w:r>
        <w:t xml:space="preserve"> </w:t>
      </w:r>
      <m:oMath>
        <m:sSup>
          <m:e>
            <m:r>
              <m:t>0.999</m:t>
            </m:r>
          </m:e>
          <m:sup>
            <m:r>
              <m:t>1000</m:t>
            </m:r>
          </m:sup>
        </m:sSup>
      </m:oMath>
      <w:r>
        <w:t xml:space="preserve">. Using the approximation:</w:t>
      </w:r>
      <w:r>
        <w:t xml:space="preserve"> </w:t>
      </w:r>
      <m:oMath>
        <m:sSup>
          <m:e>
            <m:r>
              <m:t>e</m:t>
            </m:r>
          </m:e>
          <m:sup>
            <m:r>
              <m:rPr>
                <m:sty m:val="p"/>
              </m:rPr>
              <m:t>−</m:t>
            </m:r>
            <m:r>
              <m:t>1000</m:t>
            </m:r>
            <m:r>
              <m:rPr>
                <m:sty m:val="p"/>
              </m:rPr>
              <m:t>×</m:t>
            </m:r>
            <m:r>
              <m:t>0.001</m:t>
            </m:r>
          </m:sup>
        </m:sSup>
        <m:r>
          <m:rPr>
            <m:sty m:val="p"/>
          </m:rPr>
          <m:t>=</m:t>
        </m:r>
        <m:sSup>
          <m:e>
            <m:r>
              <m:t>e</m:t>
            </m:r>
          </m:e>
          <m:sup>
            <m:r>
              <m:rPr>
                <m:sty m:val="p"/>
              </m:rPr>
              <m:t>−</m:t>
            </m:r>
            <m:r>
              <m:t>1</m:t>
            </m:r>
          </m:sup>
        </m:sSup>
        <m:r>
          <m:rPr>
            <m:sty m:val="p"/>
          </m:rPr>
          <m:t>=</m:t>
        </m:r>
        <m:r>
          <m:t>0.368</m:t>
        </m:r>
      </m:oMath>
      <w:r>
        <w:t xml:space="preserve">. (Exact: 0.3677.)</w:t>
      </w:r>
    </w:p>
    <w:p>
      <w:pPr>
        <w:numPr>
          <w:ilvl w:val="0"/>
          <w:numId w:val="1094"/>
        </w:numPr>
        <w:pStyle w:val="Compact"/>
      </w:pPr>
      <w:r>
        <w:t xml:space="preserve">Probability at least one fails:</w:t>
      </w:r>
      <w:r>
        <w:t xml:space="preserve"> </w:t>
      </w:r>
      <m:oMath>
        <m:r>
          <m:t>1</m:t>
        </m:r>
        <m:r>
          <m:rPr>
            <m:sty m:val="p"/>
          </m:rPr>
          <m:t>−</m:t>
        </m:r>
        <m:r>
          <m:t>0.368</m:t>
        </m:r>
        <m:r>
          <m:rPr>
            <m:sty m:val="p"/>
          </m:rPr>
          <m:t>=</m:t>
        </m:r>
        <m:r>
          <m:t>0.632</m:t>
        </m:r>
      </m:oMath>
      <w:r>
        <w:t xml:space="preserve">.</w:t>
      </w:r>
    </w:p>
    <w:p>
      <w:pPr>
        <w:pStyle w:val="CalloutExample"/>
      </w:pPr>
      <w:r>
        <w:rPr>
          <w:bCs/>
          <w:b/>
        </w:rPr>
        <w:t xml:space="preserve">Interpretation.</w:t>
      </w:r>
      <w:r>
        <w:t xml:space="preserve"> </w:t>
      </w:r>
      <w:r>
        <w:t xml:space="preserve">A component that almost never fails individually produces a failure on 63% of days at fleet scale. At</w:t>
      </w:r>
      <w:r>
        <w:t xml:space="preserve"> </w:t>
      </w:r>
      <m:oMath>
        <m:r>
          <m:t>N</m:t>
        </m:r>
        <m:r>
          <m:rPr>
            <m:sty m:val="p"/>
          </m:rPr>
          <m:t>=</m:t>
        </m:r>
        <m:r>
          <m:t>10</m:t>
        </m:r>
        <m:r>
          <m:rPr>
            <m:sty m:val="p"/>
          </m:rPr>
          <m:t>,</m:t>
        </m:r>
        <m:r>
          <m:t>000</m:t>
        </m:r>
      </m:oMath>
      <w:r>
        <w:t xml:space="preserve"> </w:t>
      </w:r>
      <w:r>
        <w:t xml:space="preserve">the probability is</w:t>
      </w:r>
      <w:r>
        <w:t xml:space="preserve"> </w:t>
      </w:r>
      <m:oMath>
        <m:r>
          <m:t>1</m:t>
        </m:r>
        <m:r>
          <m:rPr>
            <m:sty m:val="p"/>
          </m:rPr>
          <m:t>−</m:t>
        </m:r>
        <m:sSup>
          <m:e>
            <m:r>
              <m:t>e</m:t>
            </m:r>
          </m:e>
          <m:sup>
            <m:r>
              <m:rPr>
                <m:sty m:val="p"/>
              </m:rPr>
              <m:t>−</m:t>
            </m:r>
            <m:r>
              <m:t>10</m:t>
            </m:r>
          </m:sup>
        </m:sSup>
        <m:r>
          <m:rPr>
            <m:sty m:val="p"/>
          </m:rPr>
          <m:t>&gt;</m:t>
        </m:r>
        <m:r>
          <m:t>0.9999</m:t>
        </m:r>
      </m:oMath>
      <w:r>
        <w:t xml:space="preserve">: a failure</w:t>
      </w:r>
      <w:r>
        <w:t xml:space="preserve"> </w:t>
      </w:r>
      <w:r>
        <w:rPr>
          <w:iCs/>
          <w:i/>
        </w:rPr>
        <w:t xml:space="preserve">every</w:t>
      </w:r>
      <w:r>
        <w:t xml:space="preserve"> </w:t>
      </w:r>
      <w:r>
        <w:t xml:space="preserve">day.</w:t>
      </w:r>
      <w:r>
        <w:t xml:space="preserve"> </w:t>
      </w:r>
      <w:r>
        <w:rPr>
          <w:bCs/>
          <w:b/>
        </w:rPr>
        <w:t xml:space="preserve">Engineering implication.</w:t>
      </w:r>
      <w:r>
        <w:t xml:space="preserve"> </w:t>
      </w:r>
      <w:r>
        <w:t xml:space="preserve">At scale, failure is not an exception to handle but a steady background rate to design for. This is the quantitative core of</w:t>
      </w:r>
      <w:r>
        <w:t xml:space="preserve"> </w:t>
      </w:r>
      <w:r>
        <w:t xml:space="preserve">“</w:t>
      </w:r>
      <w:r>
        <w:t xml:space="preserve">design for failure</w:t>
      </w:r>
      <w:r>
        <w:t xml:space="preserve">”</w:t>
      </w:r>
      <w:r>
        <w:t xml:space="preserve"> </w:t>
      </w:r>
      <w:r>
        <w:t xml:space="preserve">(§2.9): automation must detect and replace failed nodes without human intervention, because humans cannot be paged every day for routine events.</w:t>
      </w:r>
    </w:p>
    <w:bookmarkEnd w:id="360"/>
    <w:bookmarkEnd w:id="361"/>
    <w:bookmarkStart w:id="362" w:name="union-and-intersection"/>
    <w:p>
      <w:pPr>
        <w:pStyle w:val="Heading3"/>
      </w:pPr>
      <w:r>
        <w:t xml:space="preserve">4.6.2 Union and intersection</w:t>
      </w:r>
    </w:p>
    <w:p>
      <w:pPr>
        <w:pStyle w:val="CalloutFormula"/>
      </w:pPr>
      <w:r>
        <w:rPr>
          <w:bCs/>
          <w:b/>
        </w:rPr>
        <w:t xml:space="preserve">FORMULA</w:t>
      </w:r>
    </w:p>
    <w:p>
      <w:pPr>
        <w:pStyle w:val="CalloutFormula"/>
      </w:pPr>
      <w:r>
        <w:rPr>
          <w:bCs/>
          <w:b/>
        </w:rPr>
        <w:t xml:space="preserve">Union (inclusion–exclusion) and intersection</w:t>
      </w:r>
    </w:p>
    <w:p>
      <w:pPr>
        <w:pStyle w:val="CalloutFormula"/>
      </w:pPr>
      <m:oMathPara>
        <m:oMathParaPr>
          <m:jc m:val="center"/>
        </m:oMathParaPr>
        <m:oMath>
          <m:r>
            <m:t>P</m:t>
          </m:r>
          <m:d>
            <m:dPr>
              <m:begChr m:val="("/>
              <m:endChr m:val=")"/>
              <m:sepChr m:val=""/>
              <m:grow/>
            </m:dPr>
            <m:e>
              <m:r>
                <m:t>A</m:t>
              </m:r>
              <m:r>
                <m:rPr>
                  <m:sty m:val="p"/>
                </m:rPr>
                <m:t>∪</m:t>
              </m:r>
              <m:r>
                <m:t>B</m:t>
              </m:r>
            </m:e>
          </m:d>
          <m:r>
            <m:rPr>
              <m:sty m:val="p"/>
            </m:rPr>
            <m:t>=</m:t>
          </m:r>
          <m:r>
            <m:t>P</m:t>
          </m:r>
          <m:d>
            <m:dPr>
              <m:begChr m:val="("/>
              <m:endChr m:val=")"/>
              <m:sepChr m:val=""/>
              <m:grow/>
            </m:dPr>
            <m:e>
              <m:r>
                <m:t>A</m:t>
              </m:r>
            </m:e>
          </m:d>
          <m:r>
            <m:rPr>
              <m:sty m:val="p"/>
            </m:rPr>
            <m:t>+</m:t>
          </m:r>
          <m:r>
            <m:t>P</m:t>
          </m:r>
          <m:d>
            <m:dPr>
              <m:begChr m:val="("/>
              <m:endChr m:val=")"/>
              <m:sepChr m:val=""/>
              <m:grow/>
            </m:dPr>
            <m:e>
              <m:r>
                <m:t>B</m:t>
              </m:r>
            </m:e>
          </m:d>
          <m:r>
            <m:rPr>
              <m:sty m:val="p"/>
            </m:rPr>
            <m:t>−</m:t>
          </m:r>
          <m:r>
            <m:t>P</m:t>
          </m:r>
          <m:d>
            <m:dPr>
              <m:begChr m:val="("/>
              <m:endChr m:val=")"/>
              <m:sepChr m:val=""/>
              <m:grow/>
            </m:dPr>
            <m:e>
              <m:r>
                <m:t>A</m:t>
              </m:r>
              <m:r>
                <m:rPr>
                  <m:sty m:val="p"/>
                </m:rPr>
                <m:t>∩</m:t>
              </m:r>
              <m:r>
                <m:t>B</m:t>
              </m:r>
            </m:e>
          </m:d>
          <m:r>
            <m:t>  </m:t>
          </m:r>
          <m:r>
            <m:t>P</m:t>
          </m:r>
          <m:d>
            <m:dPr>
              <m:begChr m:val="("/>
              <m:endChr m:val=")"/>
              <m:sepChr m:val=""/>
              <m:grow/>
            </m:dPr>
            <m:e>
              <m:r>
                <m:t>A</m:t>
              </m:r>
              <m:r>
                <m:rPr>
                  <m:sty m:val="p"/>
                </m:rPr>
                <m:t>∩</m:t>
              </m:r>
              <m:r>
                <m:t>B</m:t>
              </m:r>
            </m:e>
          </m:d>
          <m:r>
            <m:rPr>
              <m:sty m:val="p"/>
            </m:rPr>
            <m:t>=</m:t>
          </m:r>
          <m:r>
            <m:t>P</m:t>
          </m:r>
          <m:d>
            <m:dPr>
              <m:begChr m:val="("/>
              <m:endChr m:val=")"/>
              <m:sepChr m:val=""/>
              <m:grow/>
            </m:dPr>
            <m:e>
              <m:r>
                <m:t>A</m:t>
              </m:r>
            </m:e>
          </m:d>
          <m:r>
            <m:rPr>
              <m:sty m:val="p"/>
            </m:rPr>
            <m:t>×</m:t>
          </m:r>
          <m:r>
            <m:t>P</m:t>
          </m:r>
          <m:d>
            <m:dPr>
              <m:begChr m:val="("/>
              <m:endChr m:val=")"/>
              <m:sepChr m:val=""/>
              <m:grow/>
            </m:dPr>
            <m:e>
              <m:r>
                <m:t>B</m:t>
              </m:r>
              <m:r>
                <m:rPr>
                  <m:sty m:val="p"/>
                </m:rPr>
                <m:t>∣</m:t>
              </m:r>
              <m:r>
                <m:t>A</m:t>
              </m:r>
            </m:e>
          </m:d>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P</m:t>
              </m:r>
              <m:d>
                <m:dPr>
                  <m:begChr m:val="("/>
                  <m:endChr m:val=")"/>
                  <m:sepChr m:val=""/>
                  <m:grow/>
                </m:dPr>
                <m:e>
                  <m:r>
                    <m:t>A</m:t>
                  </m:r>
                  <m:r>
                    <m:rPr>
                      <m:sty m:val="p"/>
                    </m:rPr>
                    <m:t>∪</m:t>
                  </m:r>
                  <m:r>
                    <m:t>B</m:t>
                  </m:r>
                </m:e>
              </m:d>
            </m:oMath>
          </w:p>
        </w:tc>
        <w:tc>
          <w:tcPr/>
          <w:p>
            <w:pPr>
              <w:pStyle w:val="Compact"/>
              <w:jc w:val="left"/>
            </w:pPr>
            <w:r>
              <w:t xml:space="preserve">Probability that</w:t>
            </w:r>
            <w:r>
              <w:t xml:space="preserve"> </w:t>
            </w:r>
            <m:oMath>
              <m:r>
                <m:t>A</m:t>
              </m:r>
            </m:oMath>
            <w:r>
              <w:t xml:space="preserve"> </w:t>
            </w:r>
            <w:r>
              <w:t xml:space="preserve">or</w:t>
            </w:r>
            <w:r>
              <w:t xml:space="preserve"> </w:t>
            </w:r>
            <m:oMath>
              <m:r>
                <m:t>B</m:t>
              </m:r>
            </m:oMath>
            <w:r>
              <w:t xml:space="preserve"> </w:t>
            </w:r>
            <w:r>
              <w:t xml:space="preserve">(or both) happens</w:t>
            </w:r>
          </w:p>
        </w:tc>
        <w:tc>
          <w:tcPr/>
          <w:p>
            <w:pPr>
              <w:pStyle w:val="Compact"/>
              <w:jc w:val="left"/>
            </w:pPr>
            <w:r>
              <w:t xml:space="preserve">dimensionless</w:t>
            </w:r>
          </w:p>
        </w:tc>
      </w:tr>
      <w:tr>
        <w:tc>
          <w:tcPr/>
          <w:p>
            <w:pPr>
              <w:pStyle w:val="Compact"/>
              <w:jc w:val="left"/>
            </w:pPr>
            <m:oMath>
              <m:r>
                <m:t>P</m:t>
              </m:r>
              <m:d>
                <m:dPr>
                  <m:begChr m:val="("/>
                  <m:endChr m:val=")"/>
                  <m:sepChr m:val=""/>
                  <m:grow/>
                </m:dPr>
                <m:e>
                  <m:r>
                    <m:t>A</m:t>
                  </m:r>
                  <m:r>
                    <m:rPr>
                      <m:sty m:val="p"/>
                    </m:rPr>
                    <m:t>∩</m:t>
                  </m:r>
                  <m:r>
                    <m:t>B</m:t>
                  </m:r>
                </m:e>
              </m:d>
            </m:oMath>
          </w:p>
        </w:tc>
        <w:tc>
          <w:tcPr/>
          <w:p>
            <w:pPr>
              <w:pStyle w:val="Compact"/>
              <w:jc w:val="left"/>
            </w:pPr>
            <w:r>
              <w:t xml:space="preserve">Probability that both happen</w:t>
            </w:r>
          </w:p>
        </w:tc>
        <w:tc>
          <w:tcPr/>
          <w:p>
            <w:pPr>
              <w:pStyle w:val="Compact"/>
              <w:jc w:val="left"/>
            </w:pPr>
            <w:r>
              <w:t xml:space="preserve">dimensionless</w:t>
            </w:r>
          </w:p>
        </w:tc>
      </w:tr>
      <w:tr>
        <w:tc>
          <w:tcPr/>
          <w:p>
            <w:pPr>
              <w:pStyle w:val="Compact"/>
              <w:jc w:val="left"/>
            </w:pPr>
            <m:oMath>
              <m:r>
                <m:t>P</m:t>
              </m:r>
              <m:d>
                <m:dPr>
                  <m:begChr m:val="("/>
                  <m:endChr m:val=")"/>
                  <m:sepChr m:val=""/>
                  <m:grow/>
                </m:dPr>
                <m:e>
                  <m:r>
                    <m:t>B</m:t>
                  </m:r>
                  <m:r>
                    <m:rPr>
                      <m:sty m:val="p"/>
                    </m:rPr>
                    <m:t>∣</m:t>
                  </m:r>
                  <m:r>
                    <m:t>A</m:t>
                  </m:r>
                </m:e>
              </m:d>
            </m:oMath>
          </w:p>
        </w:tc>
        <w:tc>
          <w:tcPr/>
          <w:p>
            <w:pPr>
              <w:pStyle w:val="Compact"/>
              <w:jc w:val="left"/>
            </w:pPr>
            <w:r>
              <w:t xml:space="preserve">Conditional probability of</w:t>
            </w:r>
            <w:r>
              <w:t xml:space="preserve"> </w:t>
            </w:r>
            <m:oMath>
              <m:r>
                <m:t>B</m:t>
              </m:r>
            </m:oMath>
            <w:r>
              <w:t xml:space="preserve"> </w:t>
            </w:r>
            <w:r>
              <w:t xml:space="preserve">given that</w:t>
            </w:r>
            <w:r>
              <w:t xml:space="preserve"> </w:t>
            </w:r>
            <m:oMath>
              <m:r>
                <m:t>A</m:t>
              </m:r>
            </m:oMath>
            <w:r>
              <w:t xml:space="preserve"> </w:t>
            </w:r>
            <w:r>
              <w:t xml:space="preserve">happened; equals</w:t>
            </w:r>
            <w:r>
              <w:t xml:space="preserve"> </w:t>
            </w:r>
            <m:oMath>
              <m:r>
                <m:t>P</m:t>
              </m:r>
              <m:d>
                <m:dPr>
                  <m:begChr m:val="("/>
                  <m:endChr m:val=")"/>
                  <m:sepChr m:val=""/>
                  <m:grow/>
                </m:dPr>
                <m:e>
                  <m:r>
                    <m:t>B</m:t>
                  </m:r>
                </m:e>
              </m:d>
            </m:oMath>
            <w:r>
              <w:t xml:space="preserve"> </w:t>
            </w:r>
            <w:r>
              <w:t xml:space="preserve">when independent</w:t>
            </w:r>
          </w:p>
        </w:tc>
        <w:tc>
          <w:tcPr/>
          <w:p>
            <w:pPr>
              <w:pStyle w:val="Compact"/>
              <w:jc w:val="left"/>
            </w:pPr>
            <w:r>
              <w:t xml:space="preserve">dimensionless</w:t>
            </w:r>
          </w:p>
        </w:tc>
      </w:tr>
    </w:tbl>
    <w:p>
      <w:pPr>
        <w:pStyle w:val="BodyText"/>
      </w:pPr>
      <w:r>
        <w:t xml:space="preserve">The subtraction in the union rule avoids counting</w:t>
      </w:r>
      <w:r>
        <w:t xml:space="preserve"> </w:t>
      </w:r>
      <w:r>
        <w:t xml:space="preserve">“</w:t>
      </w:r>
      <w:r>
        <w:t xml:space="preserve">both</w:t>
      </w:r>
      <w:r>
        <w:t xml:space="preserve">”</w:t>
      </w:r>
      <w:r>
        <w:t xml:space="preserve"> </w:t>
      </w:r>
      <w:r>
        <w:t xml:space="preserve">twice. The conditional form of the intersection rule is how correlation enters: if two replicas share a rack,</w:t>
      </w:r>
      <w:r>
        <w:t xml:space="preserve"> </w:t>
      </w:r>
      <m:oMath>
        <m:r>
          <m:t>P</m:t>
        </m:r>
        <m:d>
          <m:dPr>
            <m:begChr m:val="("/>
            <m:endChr m:val=")"/>
            <m:sepChr m:val=""/>
            <m:grow/>
          </m:dPr>
          <m:e>
            <m:r>
              <m:t>B</m:t>
            </m:r>
            <m:r>
              <m:rPr>
                <m:sty m:val="p"/>
              </m:rPr>
              <m:t>∣</m:t>
            </m:r>
            <m:r>
              <m:t>A</m:t>
            </m:r>
          </m:e>
        </m:d>
      </m:oMath>
      <w:r>
        <w:t xml:space="preserve"> </w:t>
      </w:r>
      <w:r>
        <w:t xml:space="preserve">— the probability that the second fails</w:t>
      </w:r>
      <w:r>
        <w:t xml:space="preserve"> </w:t>
      </w:r>
      <w:r>
        <w:rPr>
          <w:iCs/>
          <w:i/>
        </w:rPr>
        <w:t xml:space="preserve">given</w:t>
      </w:r>
      <w:r>
        <w:t xml:space="preserve"> </w:t>
      </w:r>
      <w:r>
        <w:t xml:space="preserve">that the first did — can be many times larger than</w:t>
      </w:r>
      <w:r>
        <w:t xml:space="preserve"> </w:t>
      </w:r>
      <m:oMath>
        <m:r>
          <m:t>P</m:t>
        </m:r>
        <m:d>
          <m:dPr>
            <m:begChr m:val="("/>
            <m:endChr m:val=")"/>
            <m:sepChr m:val=""/>
            <m:grow/>
          </m:dPr>
          <m:e>
            <m:r>
              <m:t>B</m:t>
            </m:r>
          </m:e>
        </m:d>
      </m:oMath>
      <w:r>
        <w:t xml:space="preserve">.</w:t>
      </w:r>
    </w:p>
    <w:p>
      <w:pPr>
        <w:pStyle w:val="CalloutExample"/>
      </w:pPr>
      <w:r>
        <w:rPr>
          <w:bCs/>
          <w:b/>
        </w:rPr>
        <w:t xml:space="preserve">WORKED EXAMPLE</w:t>
      </w:r>
    </w:p>
    <w:p>
      <w:pPr>
        <w:pStyle w:val="CalloutExample"/>
      </w:pPr>
      <w:r>
        <w:rPr>
          <w:bCs/>
          <w:b/>
        </w:rPr>
        <w:t xml:space="preserve">Worked example — Two dependencies, independent versus correlated.</w:t>
      </w:r>
      <w:r>
        <w:t xml:space="preserve"> </w:t>
      </w:r>
      <w:r>
        <w:t xml:space="preserve">A request needs both a cache and a database. On a given day, the cache has an outage with probability 0.01 and the database with probability 0.02.</w:t>
      </w:r>
    </w:p>
    <w:p>
      <w:pPr>
        <w:numPr>
          <w:ilvl w:val="0"/>
          <w:numId w:val="1095"/>
        </w:numPr>
        <w:pStyle w:val="Compact"/>
      </w:pPr>
      <w:r>
        <w:t xml:space="preserve">If independent:</w:t>
      </w:r>
      <w:r>
        <w:t xml:space="preserve"> </w:t>
      </w:r>
      <m:oMath>
        <m:r>
          <m:t>P</m:t>
        </m:r>
        <m:d>
          <m:dPr>
            <m:begChr m:val="("/>
            <m:endChr m:val=")"/>
            <m:sepChr m:val=""/>
            <m:grow/>
          </m:dPr>
          <m:e>
            <m:r>
              <m:rPr>
                <m:nor/>
                <m:sty m:val="p"/>
              </m:rPr>
              <m:t>both</m:t>
            </m:r>
          </m:e>
        </m:d>
        <m:r>
          <m:rPr>
            <m:sty m:val="p"/>
          </m:rPr>
          <m:t>=</m:t>
        </m:r>
        <m:r>
          <m:t>0.01</m:t>
        </m:r>
        <m:r>
          <m:rPr>
            <m:sty m:val="p"/>
          </m:rPr>
          <m:t>×</m:t>
        </m:r>
        <m:r>
          <m:t>0.02</m:t>
        </m:r>
        <m:r>
          <m:rPr>
            <m:sty m:val="p"/>
          </m:rPr>
          <m:t>=</m:t>
        </m:r>
        <m:r>
          <m:t>0.0002</m:t>
        </m:r>
      </m:oMath>
      <w:r>
        <w:t xml:space="preserve">.</w:t>
      </w:r>
    </w:p>
    <w:p>
      <w:pPr>
        <w:numPr>
          <w:ilvl w:val="0"/>
          <w:numId w:val="1095"/>
        </w:numPr>
        <w:pStyle w:val="Compact"/>
      </w:pPr>
      <m:oMath>
        <m:r>
          <m:t>P</m:t>
        </m:r>
        <m:d>
          <m:dPr>
            <m:begChr m:val="("/>
            <m:endChr m:val=")"/>
            <m:sepChr m:val=""/>
            <m:grow/>
          </m:dPr>
          <m:e>
            <m:r>
              <m:rPr>
                <m:nor/>
                <m:sty m:val="p"/>
              </m:rPr>
              <m:t>either</m:t>
            </m:r>
          </m:e>
        </m:d>
        <m:r>
          <m:rPr>
            <m:sty m:val="p"/>
          </m:rPr>
          <m:t>=</m:t>
        </m:r>
        <m:r>
          <m:t>0.01</m:t>
        </m:r>
        <m:r>
          <m:rPr>
            <m:sty m:val="p"/>
          </m:rPr>
          <m:t>+</m:t>
        </m:r>
        <m:r>
          <m:t>0.02</m:t>
        </m:r>
        <m:r>
          <m:rPr>
            <m:sty m:val="p"/>
          </m:rPr>
          <m:t>−</m:t>
        </m:r>
        <m:r>
          <m:t>0.0002</m:t>
        </m:r>
        <m:r>
          <m:rPr>
            <m:sty m:val="p"/>
          </m:rPr>
          <m:t>=</m:t>
        </m:r>
        <m:r>
          <m:t>0.0298</m:t>
        </m:r>
      </m:oMath>
      <w:r>
        <w:t xml:space="preserve">.</w:t>
      </w:r>
    </w:p>
    <w:p>
      <w:pPr>
        <w:numPr>
          <w:ilvl w:val="0"/>
          <w:numId w:val="1095"/>
        </w:numPr>
        <w:pStyle w:val="Compact"/>
      </w:pPr>
      <w:r>
        <w:t xml:space="preserve">Now suppose they share a network switch, so that given a cache outage the database is also out with probability 0.5:</w:t>
      </w:r>
      <w:r>
        <w:t xml:space="preserve"> </w:t>
      </w:r>
      <m:oMath>
        <m:r>
          <m:t>P</m:t>
        </m:r>
        <m:d>
          <m:dPr>
            <m:begChr m:val="("/>
            <m:endChr m:val=")"/>
            <m:sepChr m:val=""/>
            <m:grow/>
          </m:dPr>
          <m:e>
            <m:r>
              <m:rPr>
                <m:nor/>
                <m:sty m:val="p"/>
              </m:rPr>
              <m:t>both</m:t>
            </m:r>
          </m:e>
        </m:d>
        <m:r>
          <m:rPr>
            <m:sty m:val="p"/>
          </m:rPr>
          <m:t>=</m:t>
        </m:r>
        <m:r>
          <m:t>0.01</m:t>
        </m:r>
        <m:r>
          <m:rPr>
            <m:sty m:val="p"/>
          </m:rPr>
          <m:t>×</m:t>
        </m:r>
        <m:r>
          <m:t>0.5</m:t>
        </m:r>
        <m:r>
          <m:rPr>
            <m:sty m:val="p"/>
          </m:rPr>
          <m:t>=</m:t>
        </m:r>
        <m:r>
          <m:t>0.005</m:t>
        </m:r>
      </m:oMath>
      <w:r>
        <w:t xml:space="preserve"> </w:t>
      </w:r>
      <w:r>
        <w:t xml:space="preserve">— 25 times the independent value.</w:t>
      </w:r>
    </w:p>
    <w:p>
      <w:pPr>
        <w:pStyle w:val="CalloutExample"/>
      </w:pPr>
      <w:r>
        <w:rPr>
          <w:bCs/>
          <w:b/>
        </w:rPr>
        <w:t xml:space="preserve">Interpretation.</w:t>
      </w:r>
      <w:r>
        <w:t xml:space="preserve"> </w:t>
      </w:r>
      <w:r>
        <w:t xml:space="preserve">The probability of</w:t>
      </w:r>
      <w:r>
        <w:t xml:space="preserve"> </w:t>
      </w:r>
      <w:r>
        <w:t xml:space="preserve">“</w:t>
      </w:r>
      <w:r>
        <w:t xml:space="preserve">something breaks</w:t>
      </w:r>
      <w:r>
        <w:t xml:space="preserve">”</w:t>
      </w:r>
      <w:r>
        <w:t xml:space="preserve"> </w:t>
      </w:r>
      <w:r>
        <w:t xml:space="preserve">barely changes, but the probability of</w:t>
      </w:r>
      <w:r>
        <w:t xml:space="preserve"> </w:t>
      </w:r>
      <w:r>
        <w:t xml:space="preserve">“</w:t>
      </w:r>
      <w:r>
        <w:t xml:space="preserve">both break together</w:t>
      </w:r>
      <w:r>
        <w:t xml:space="preserve">”</w:t>
      </w:r>
      <w:r>
        <w:t xml:space="preserve"> </w:t>
      </w:r>
      <w:r>
        <w:t xml:space="preserve">rises 25×.</w:t>
      </w:r>
      <w:r>
        <w:t xml:space="preserve"> </w:t>
      </w:r>
      <w:r>
        <w:rPr>
          <w:bCs/>
          <w:b/>
        </w:rPr>
        <w:t xml:space="preserve">Engineering implication.</w:t>
      </w:r>
      <w:r>
        <w:t xml:space="preserve"> </w:t>
      </w:r>
      <w:r>
        <w:t xml:space="preserve">Redundancy arithmetic (§4.14, §4.16) assumes independence. Every shared dependency — a rack, a power feed, a software version, a configuration push — breaks that assumption, which is why real systems spread replicas across failure domains.</w:t>
      </w:r>
    </w:p>
    <w:bookmarkEnd w:id="362"/>
    <w:bookmarkStart w:id="363" w:name="expected-value"/>
    <w:p>
      <w:pPr>
        <w:pStyle w:val="Heading3"/>
      </w:pPr>
      <w:r>
        <w:t xml:space="preserve">4.6.3 Expected value</w:t>
      </w:r>
    </w:p>
    <w:p>
      <w:pPr>
        <w:pStyle w:val="CalloutDefinition"/>
      </w:pPr>
      <w:r>
        <w:rPr>
          <w:bCs/>
          <w:b/>
        </w:rPr>
        <w:t xml:space="preserve">DEFINITION</w:t>
      </w:r>
    </w:p>
    <w:p>
      <w:pPr>
        <w:pStyle w:val="CalloutDefinition"/>
      </w:pPr>
      <w:r>
        <w:rPr>
          <w:bCs/>
          <w:b/>
        </w:rPr>
        <w:t xml:space="preserve">Definition — Expected value.</w:t>
      </w:r>
      <w:r>
        <w:t xml:space="preserve"> </w:t>
      </w:r>
      <w:r>
        <w:t xml:space="preserve">The probability-weighted average outcome of a random quantity</w:t>
      </w:r>
      <w:r>
        <w:t xml:space="preserve"> </w:t>
      </w:r>
      <m:oMath>
        <m:r>
          <m:t>X</m:t>
        </m:r>
      </m:oMath>
      <w:r>
        <w:t xml:space="preserve">:</w:t>
      </w:r>
      <w:r>
        <w:t xml:space="preserve"> </w:t>
      </w:r>
      <m:oMath>
        <m:r>
          <m:t>E</m:t>
        </m:r>
        <m:d>
          <m:dPr>
            <m:begChr m:val="["/>
            <m:endChr m:val="]"/>
            <m:sepChr m:val=""/>
            <m:grow/>
          </m:dPr>
          <m:e>
            <m:r>
              <m:t>X</m:t>
            </m:r>
          </m:e>
        </m:d>
        <m:r>
          <m:rPr>
            <m:sty m:val="p"/>
          </m:rPr>
          <m:t>=</m:t>
        </m:r>
        <m:nary>
          <m:naryPr>
            <m:chr m:val="∑"/>
            <m:limLoc m:val="undOvr"/>
            <m:subHide m:val="off"/>
            <m:supHide m:val="on"/>
          </m:naryPr>
          <m:sub>
            <m:r>
              <m:t>i</m:t>
            </m:r>
          </m:sub>
          <m:sup>
            <m:r>
              <m:t>​</m:t>
            </m:r>
          </m:sup>
          <m:e>
            <m:sSub>
              <m:e>
                <m:r>
                  <m:t>x</m:t>
                </m:r>
              </m:e>
              <m:sub>
                <m:r>
                  <m:t>i</m:t>
                </m:r>
              </m:sub>
            </m:sSub>
          </m:e>
        </m:nary>
        <m:r>
          <m:t> </m:t>
        </m:r>
        <m:r>
          <m:t>P</m:t>
        </m:r>
        <m:d>
          <m:dPr>
            <m:begChr m:val="("/>
            <m:endChr m:val=")"/>
            <m:sepChr m:val=""/>
            <m:grow/>
          </m:dPr>
          <m:e>
            <m:r>
              <m:t>X</m:t>
            </m:r>
            <m:r>
              <m:rPr>
                <m:sty m:val="p"/>
              </m:rPr>
              <m:t>=</m:t>
            </m:r>
            <m:sSub>
              <m:e>
                <m:r>
                  <m:t>x</m:t>
                </m:r>
              </m:e>
              <m:sub>
                <m:r>
                  <m:t>i</m:t>
                </m:r>
              </m:sub>
            </m:sSub>
          </m:e>
        </m:d>
      </m:oMath>
      <w:r>
        <w:t xml:space="preserve">. It is the long-run average over many repetitions.</w:t>
      </w:r>
    </w:p>
    <w:p>
      <w:pPr>
        <w:pStyle w:val="CalloutFormula"/>
      </w:pPr>
      <w:r>
        <w:rPr>
          <w:bCs/>
          <w:b/>
        </w:rPr>
        <w:t xml:space="preserve">FORMULA</w:t>
      </w:r>
    </w:p>
    <w:p>
      <w:pPr>
        <w:pStyle w:val="CalloutFormula"/>
      </w:pPr>
      <w:r>
        <w:rPr>
          <w:bCs/>
          <w:b/>
        </w:rPr>
        <w:t xml:space="preserve">Expected value and linearity of expectation</w:t>
      </w:r>
    </w:p>
    <w:p>
      <w:pPr>
        <w:pStyle w:val="CalloutFormula"/>
      </w:pPr>
      <m:oMathPara>
        <m:oMathParaPr>
          <m:jc m:val="center"/>
        </m:oMathParaPr>
        <m:oMath>
          <m:r>
            <m:t>E</m:t>
          </m:r>
          <m:d>
            <m:dPr>
              <m:begChr m:val="["/>
              <m:endChr m:val="]"/>
              <m:sepChr m:val=""/>
              <m:grow/>
            </m:dPr>
            <m:e>
              <m:r>
                <m:t>X</m:t>
              </m:r>
            </m:e>
          </m:d>
          <m:r>
            <m:rPr>
              <m:sty m:val="p"/>
            </m:rPr>
            <m:t>=</m:t>
          </m:r>
          <m:nary>
            <m:naryPr>
              <m:chr m:val="∑"/>
              <m:limLoc m:val="undOvr"/>
              <m:subHide m:val="off"/>
              <m:supHide m:val="on"/>
            </m:naryPr>
            <m:sub>
              <m:r>
                <m:t>i</m:t>
              </m:r>
            </m:sub>
            <m:sup>
              <m:r>
                <m:t>​</m:t>
              </m:r>
            </m:sup>
            <m:e>
              <m:sSub>
                <m:e>
                  <m:r>
                    <m:t>x</m:t>
                  </m:r>
                </m:e>
                <m:sub>
                  <m:r>
                    <m:t>i</m:t>
                  </m:r>
                </m:sub>
              </m:sSub>
            </m:e>
          </m:nary>
          <m:r>
            <m:t> </m:t>
          </m:r>
          <m:r>
            <m:t>P</m:t>
          </m:r>
          <m:d>
            <m:dPr>
              <m:begChr m:val="("/>
              <m:endChr m:val=")"/>
              <m:sepChr m:val=""/>
              <m:grow/>
            </m:dPr>
            <m:e>
              <m:r>
                <m:t>X</m:t>
              </m:r>
              <m:r>
                <m:rPr>
                  <m:sty m:val="p"/>
                </m:rPr>
                <m:t>=</m:t>
              </m:r>
              <m:sSub>
                <m:e>
                  <m:r>
                    <m:t>x</m:t>
                  </m:r>
                </m:e>
                <m:sub>
                  <m:r>
                    <m:t>i</m:t>
                  </m:r>
                </m:sub>
              </m:sSub>
            </m:e>
          </m:d>
          <m:r>
            <m:t>  </m:t>
          </m:r>
          <m:r>
            <m:t>E</m:t>
          </m:r>
          <m:d>
            <m:dPr>
              <m:begChr m:val="["/>
              <m:endChr m:val="]"/>
              <m:sepChr m:val=""/>
              <m:grow/>
            </m:dPr>
            <m:e>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e>
          </m:d>
          <m:r>
            <m:rPr>
              <m:sty m:val="p"/>
            </m:rPr>
            <m:t>=</m:t>
          </m:r>
          <m:r>
            <m:t>E</m:t>
          </m:r>
          <m:d>
            <m:dPr>
              <m:begChr m:val="["/>
              <m:endChr m:val="]"/>
              <m:sepChr m:val=""/>
              <m:grow/>
            </m:dPr>
            <m:e>
              <m:sSub>
                <m:e>
                  <m:r>
                    <m:t>X</m:t>
                  </m:r>
                </m:e>
                <m:sub>
                  <m:r>
                    <m:t>1</m:t>
                  </m:r>
                </m:sub>
              </m:sSub>
            </m:e>
          </m:d>
          <m:r>
            <m:rPr>
              <m:sty m:val="p"/>
            </m:rPr>
            <m:t>+</m:t>
          </m:r>
          <m:r>
            <m:rPr>
              <m:sty m:val="p"/>
            </m:rPr>
            <m:t>⋯</m:t>
          </m:r>
          <m:r>
            <m:rPr>
              <m:sty m:val="p"/>
            </m:rPr>
            <m:t>+</m:t>
          </m:r>
          <m:r>
            <m:t>E</m:t>
          </m:r>
          <m:d>
            <m:dPr>
              <m:begChr m:val="["/>
              <m:endChr m:val="]"/>
              <m:sepChr m:val=""/>
              <m:grow/>
            </m:dPr>
            <m:e>
              <m:sSub>
                <m:e>
                  <m:r>
                    <m:t>X</m:t>
                  </m:r>
                </m:e>
                <m:sub>
                  <m:r>
                    <m:t>N</m:t>
                  </m:r>
                </m:sub>
              </m:sSub>
            </m:e>
          </m:d>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X</m:t>
              </m:r>
            </m:oMath>
          </w:p>
        </w:tc>
        <w:tc>
          <w:tcPr/>
          <w:p>
            <w:pPr>
              <w:pStyle w:val="Compact"/>
              <w:jc w:val="left"/>
            </w:pPr>
            <w:r>
              <w:t xml:space="preserve">A random quantity (failures, latency, cost)</w:t>
            </w:r>
          </w:p>
        </w:tc>
        <w:tc>
          <w:tcPr/>
          <w:p>
            <w:pPr>
              <w:pStyle w:val="Compact"/>
              <w:jc w:val="left"/>
            </w:pPr>
            <w:r>
              <w:t xml:space="preserve">units of the quantity</w:t>
            </w:r>
          </w:p>
        </w:tc>
      </w:tr>
      <w:tr>
        <w:tc>
          <w:tcPr/>
          <w:p>
            <w:pPr>
              <w:pStyle w:val="Compact"/>
              <w:jc w:val="left"/>
            </w:pPr>
            <m:oMath>
              <m:sSub>
                <m:e>
                  <m:r>
                    <m:t>x</m:t>
                  </m:r>
                </m:e>
                <m:sub>
                  <m:r>
                    <m:t>i</m:t>
                  </m:r>
                </m:sub>
              </m:sSub>
            </m:oMath>
          </w:p>
        </w:tc>
        <w:tc>
          <w:tcPr/>
          <w:p>
            <w:pPr>
              <w:pStyle w:val="Compact"/>
              <w:jc w:val="left"/>
            </w:pPr>
            <w:r>
              <w:t xml:space="preserve">A possible value of</w:t>
            </w:r>
            <w:r>
              <w:t xml:space="preserve"> </w:t>
            </w:r>
            <m:oMath>
              <m:r>
                <m:t>X</m:t>
              </m:r>
            </m:oMath>
          </w:p>
        </w:tc>
        <w:tc>
          <w:tcPr/>
          <w:p>
            <w:pPr>
              <w:pStyle w:val="Compact"/>
              <w:jc w:val="left"/>
            </w:pPr>
            <w:r>
              <w:t xml:space="preserve">units of the quantity</w:t>
            </w:r>
          </w:p>
        </w:tc>
      </w:tr>
      <w:tr>
        <w:tc>
          <w:tcPr/>
          <w:p>
            <w:pPr>
              <w:pStyle w:val="Compact"/>
              <w:jc w:val="left"/>
            </w:pPr>
            <m:oMath>
              <m:r>
                <m:t>P</m:t>
              </m:r>
              <m:d>
                <m:dPr>
                  <m:begChr m:val="("/>
                  <m:endChr m:val=")"/>
                  <m:sepChr m:val=""/>
                  <m:grow/>
                </m:dPr>
                <m:e>
                  <m:r>
                    <m:t>X</m:t>
                  </m:r>
                  <m:r>
                    <m:rPr>
                      <m:sty m:val="p"/>
                    </m:rPr>
                    <m:t>=</m:t>
                  </m:r>
                  <m:sSub>
                    <m:e>
                      <m:r>
                        <m:t>x</m:t>
                      </m:r>
                    </m:e>
                    <m:sub>
                      <m:r>
                        <m:t>i</m:t>
                      </m:r>
                    </m:sub>
                  </m:sSub>
                </m:e>
              </m:d>
            </m:oMath>
          </w:p>
        </w:tc>
        <w:tc>
          <w:tcPr/>
          <w:p>
            <w:pPr>
              <w:pStyle w:val="Compact"/>
              <w:jc w:val="left"/>
            </w:pPr>
            <w:r>
              <w:t xml:space="preserve">Probability of that value</w:t>
            </w:r>
          </w:p>
        </w:tc>
        <w:tc>
          <w:tcPr/>
          <w:p>
            <w:pPr>
              <w:pStyle w:val="Compact"/>
              <w:jc w:val="left"/>
            </w:pPr>
            <w:r>
              <w:t xml:space="preserve">dimensionless</w:t>
            </w:r>
          </w:p>
        </w:tc>
      </w:tr>
    </w:tbl>
    <w:p>
      <w:pPr>
        <w:pStyle w:val="BodyText"/>
      </w:pPr>
      <w:r>
        <w:t xml:space="preserve">Linearity is powerful because it holds</w:t>
      </w:r>
      <w:r>
        <w:t xml:space="preserve"> </w:t>
      </w:r>
      <w:r>
        <w:rPr>
          <w:iCs/>
          <w:i/>
        </w:rPr>
        <w:t xml:space="preserve">even when the components are not independent</w:t>
      </w:r>
      <w:r>
        <w:t xml:space="preserve">. The expected number of failed servers is</w:t>
      </w:r>
      <w:r>
        <w:t xml:space="preserve"> </w:t>
      </w:r>
      <m:oMath>
        <m:r>
          <m:t>N</m:t>
        </m:r>
        <m:r>
          <m:rPr>
            <m:sty m:val="p"/>
          </m:rPr>
          <m:t>×</m:t>
        </m:r>
        <m:r>
          <m:t>p</m:t>
        </m:r>
      </m:oMath>
      <w:r>
        <w:t xml:space="preserve"> </w:t>
      </w:r>
      <w:r>
        <w:t xml:space="preserve">whatever the correlation.</w:t>
      </w:r>
    </w:p>
    <w:p>
      <w:pPr>
        <w:pStyle w:val="CalloutExample"/>
      </w:pPr>
      <w:r>
        <w:rPr>
          <w:bCs/>
          <w:b/>
        </w:rPr>
        <w:t xml:space="preserve">WORKED EXAMPLE</w:t>
      </w:r>
    </w:p>
    <w:p>
      <w:pPr>
        <w:pStyle w:val="CalloutExample"/>
      </w:pPr>
      <w:r>
        <w:rPr>
          <w:bCs/>
          <w:b/>
        </w:rPr>
        <w:t xml:space="preserve">Worked example — Expected cost of a retry policy.</w:t>
      </w:r>
      <w:r>
        <w:t xml:space="preserve"> </w:t>
      </w:r>
      <w:r>
        <w:t xml:space="preserve">A call fails with probability 0.05 and is retried once on failure. What is the expected number of calls per request?</w:t>
      </w:r>
    </w:p>
    <w:p>
      <w:pPr>
        <w:numPr>
          <w:ilvl w:val="0"/>
          <w:numId w:val="1096"/>
        </w:numPr>
        <w:pStyle w:val="Compact"/>
      </w:pPr>
      <w:r>
        <w:t xml:space="preserve">Outcomes: 1 call with probability 0.95; 2 calls with probability 0.05.</w:t>
      </w:r>
    </w:p>
    <w:p>
      <w:pPr>
        <w:numPr>
          <w:ilvl w:val="0"/>
          <w:numId w:val="1096"/>
        </w:numPr>
        <w:pStyle w:val="Compact"/>
      </w:pPr>
      <m:oMath>
        <m:r>
          <m:t>E</m:t>
        </m:r>
        <m:d>
          <m:dPr>
            <m:begChr m:val="["/>
            <m:endChr m:val="]"/>
            <m:sepChr m:val=""/>
            <m:grow/>
          </m:dPr>
          <m:e>
            <m:r>
              <m:rPr>
                <m:nor/>
                <m:sty m:val="p"/>
              </m:rPr>
              <m:t>calls</m:t>
            </m:r>
          </m:e>
        </m:d>
        <m:r>
          <m:rPr>
            <m:sty m:val="p"/>
          </m:rPr>
          <m:t>=</m:t>
        </m:r>
        <m:r>
          <m:t>1</m:t>
        </m:r>
        <m:r>
          <m:rPr>
            <m:sty m:val="p"/>
          </m:rPr>
          <m:t>×</m:t>
        </m:r>
        <m:r>
          <m:t>0.95</m:t>
        </m:r>
        <m:r>
          <m:rPr>
            <m:sty m:val="p"/>
          </m:rPr>
          <m:t>+</m:t>
        </m:r>
        <m:r>
          <m:t>2</m:t>
        </m:r>
        <m:r>
          <m:rPr>
            <m:sty m:val="p"/>
          </m:rPr>
          <m:t>×</m:t>
        </m:r>
        <m:r>
          <m:t>0.05</m:t>
        </m:r>
        <m:r>
          <m:rPr>
            <m:sty m:val="p"/>
          </m:rPr>
          <m:t>=</m:t>
        </m:r>
        <m:r>
          <m:t>0.95</m:t>
        </m:r>
        <m:r>
          <m:rPr>
            <m:sty m:val="p"/>
          </m:rPr>
          <m:t>+</m:t>
        </m:r>
        <m:r>
          <m:t>0.10</m:t>
        </m:r>
        <m:r>
          <m:rPr>
            <m:sty m:val="p"/>
          </m:rPr>
          <m:t>=</m:t>
        </m:r>
        <m:r>
          <m:t>1.05</m:t>
        </m:r>
      </m:oMath>
      <w:r>
        <w:t xml:space="preserve">.</w:t>
      </w:r>
    </w:p>
    <w:p>
      <w:pPr>
        <w:pStyle w:val="CalloutExample"/>
      </w:pPr>
      <w:r>
        <w:rPr>
          <w:bCs/>
          <w:b/>
        </w:rPr>
        <w:t xml:space="preserve">Interpretation.</w:t>
      </w:r>
      <w:r>
        <w:t xml:space="preserve"> </w:t>
      </w:r>
      <w:r>
        <w:t xml:space="preserve">Retries add 5% load in normal operation. But if a dependency is degraded so that 50% of calls fail, the same policy gives</w:t>
      </w:r>
      <w:r>
        <w:t xml:space="preserve"> </w:t>
      </w:r>
      <m:oMath>
        <m:r>
          <m:t>1</m:t>
        </m:r>
        <m:r>
          <m:rPr>
            <m:sty m:val="p"/>
          </m:rPr>
          <m:t>×</m:t>
        </m:r>
        <m:r>
          <m:t>0.5</m:t>
        </m:r>
        <m:r>
          <m:rPr>
            <m:sty m:val="p"/>
          </m:rPr>
          <m:t>+</m:t>
        </m:r>
        <m:r>
          <m:t>2</m:t>
        </m:r>
        <m:r>
          <m:rPr>
            <m:sty m:val="p"/>
          </m:rPr>
          <m:t>×</m:t>
        </m:r>
        <m:r>
          <m:t>0.5</m:t>
        </m:r>
        <m:r>
          <m:rPr>
            <m:sty m:val="p"/>
          </m:rPr>
          <m:t>=</m:t>
        </m:r>
        <m:r>
          <m:t>1.5</m:t>
        </m:r>
      </m:oMath>
      <w:r>
        <w:t xml:space="preserve"> </w:t>
      </w:r>
      <w:r>
        <w:t xml:space="preserve">calls per request — a 50% load increase on the struggling dependency.</w:t>
      </w:r>
      <w:r>
        <w:t xml:space="preserve"> </w:t>
      </w:r>
      <w:r>
        <w:rPr>
          <w:bCs/>
          <w:b/>
        </w:rPr>
        <w:t xml:space="preserve">Engineering implication.</w:t>
      </w:r>
      <w:r>
        <w:t xml:space="preserve"> </w:t>
      </w:r>
      <w:r>
        <w:t xml:space="preserve">Retries amplify load precisely when the system is weakest. Retry budgets (§22.12) cap this expected amplification.</w:t>
      </w:r>
    </w:p>
    <w:bookmarkEnd w:id="363"/>
    <w:bookmarkStart w:id="364" w:name="the-binomial-distribution"/>
    <w:p>
      <w:pPr>
        <w:pStyle w:val="Heading3"/>
      </w:pPr>
      <w:r>
        <w:t xml:space="preserve">4.6.4 The binomial distribution</w:t>
      </w:r>
    </w:p>
    <w:p>
      <w:pPr>
        <w:pStyle w:val="FirstParagraph"/>
      </w:pPr>
      <w:r>
        <w:t xml:space="preserve">When there are</w:t>
      </w:r>
      <w:r>
        <w:t xml:space="preserve"> </w:t>
      </w:r>
      <m:oMath>
        <m:r>
          <m:t>N</m:t>
        </m:r>
      </m:oMath>
      <w:r>
        <w:t xml:space="preserve"> </w:t>
      </w:r>
      <w:r>
        <w:t xml:space="preserve">independent trials, each</w:t>
      </w:r>
      <w:r>
        <w:t xml:space="preserve"> </w:t>
      </w:r>
      <w:r>
        <w:t xml:space="preserve">“</w:t>
      </w:r>
      <w:r>
        <w:t xml:space="preserve">failing</w:t>
      </w:r>
      <w:r>
        <w:t xml:space="preserve">”</w:t>
      </w:r>
      <w:r>
        <w:t xml:space="preserve"> </w:t>
      </w:r>
      <w:r>
        <w:t xml:space="preserve">with probability</w:t>
      </w:r>
      <w:r>
        <w:t xml:space="preserve"> </w:t>
      </w:r>
      <m:oMath>
        <m:r>
          <m:t>p</m:t>
        </m:r>
      </m:oMath>
      <w:r>
        <w:t xml:space="preserve">, the number of failures</w:t>
      </w:r>
      <w:r>
        <w:t xml:space="preserve"> </w:t>
      </w:r>
      <m:oMath>
        <m:r>
          <m:t>K</m:t>
        </m:r>
      </m:oMath>
      <w:r>
        <w:t xml:space="preserve"> </w:t>
      </w:r>
      <w:r>
        <w:t xml:space="preserve">follows a</w:t>
      </w:r>
      <w:r>
        <w:t xml:space="preserve"> </w:t>
      </w:r>
      <w:r>
        <w:rPr>
          <w:bCs/>
          <w:b/>
        </w:rPr>
        <w:t xml:space="preserve">binomial distribution</w:t>
      </w:r>
      <w:r>
        <w:t xml:space="preserve">.</w:t>
      </w:r>
    </w:p>
    <w:p>
      <w:pPr>
        <w:pStyle w:val="CalloutFormula"/>
      </w:pPr>
      <w:r>
        <w:rPr>
          <w:bCs/>
          <w:b/>
        </w:rPr>
        <w:t xml:space="preserve">FORMULA</w:t>
      </w:r>
    </w:p>
    <w:p>
      <w:pPr>
        <w:pStyle w:val="CalloutFormula"/>
      </w:pPr>
      <w:r>
        <w:rPr>
          <w:bCs/>
          <w:b/>
        </w:rPr>
        <w:t xml:space="preserve">Binomial probability of exactly</w:t>
      </w:r>
      <w:r>
        <w:rPr>
          <w:bCs/>
          <w:b/>
        </w:rPr>
        <w:t xml:space="preserve"> </w:t>
      </w:r>
      <m:oMath>
        <m:r>
          <m:t>k</m:t>
        </m:r>
      </m:oMath>
      <w:r>
        <w:rPr>
          <w:bCs/>
          <w:b/>
        </w:rPr>
        <w:t xml:space="preserve"> </w:t>
      </w:r>
      <w:r>
        <w:rPr>
          <w:bCs/>
          <w:b/>
        </w:rPr>
        <w:t xml:space="preserve">failures</w:t>
      </w:r>
    </w:p>
    <w:p>
      <w:pPr>
        <w:pStyle w:val="CalloutFormula"/>
      </w:pPr>
      <m:oMathPara>
        <m:oMathParaPr>
          <m:jc m:val="center"/>
        </m:oMathParaPr>
        <m:oMath>
          <m:r>
            <m:t>P</m:t>
          </m:r>
          <m:d>
            <m:dPr>
              <m:begChr m:val="("/>
              <m:endChr m:val=")"/>
              <m:sepChr m:val=""/>
              <m:grow/>
            </m:dPr>
            <m:e>
              <m:r>
                <m:t>K</m:t>
              </m:r>
              <m:r>
                <m:rPr>
                  <m:sty m:val="p"/>
                </m:rPr>
                <m:t>=</m:t>
              </m:r>
              <m:r>
                <m:t>k</m:t>
              </m:r>
            </m:e>
          </m:d>
          <m:r>
            <m:rPr>
              <m:sty m:val="p"/>
            </m:rPr>
            <m:t>=</m:t>
          </m:r>
          <m:d>
            <m:dPr>
              <m:begChr m:val="("/>
              <m:endChr m:val=")"/>
              <m:sepChr m:val=""/>
              <m:grow/>
            </m:dPr>
            <m:e>
              <m:f>
                <m:fPr>
                  <m:type m:val="noBar"/>
                </m:fPr>
                <m:num>
                  <m:r>
                    <m:t>N</m:t>
                  </m:r>
                </m:num>
                <m:den>
                  <m:r>
                    <m:t>k</m:t>
                  </m:r>
                </m:den>
              </m:f>
            </m:e>
          </m:d>
          <m:sSup>
            <m:e>
              <m:r>
                <m:t>p</m:t>
              </m:r>
            </m:e>
            <m:sup>
              <m:r>
                <m:t>k</m:t>
              </m:r>
            </m:sup>
          </m:sSup>
          <m:sSup>
            <m:e>
              <m:d>
                <m:dPr>
                  <m:begChr m:val="("/>
                  <m:endChr m:val=")"/>
                  <m:sepChr m:val=""/>
                  <m:grow/>
                </m:dPr>
                <m:e>
                  <m:r>
                    <m:t>1</m:t>
                  </m:r>
                  <m:r>
                    <m:rPr>
                      <m:sty m:val="p"/>
                    </m:rPr>
                    <m:t>−</m:t>
                  </m:r>
                  <m:r>
                    <m:t>p</m:t>
                  </m:r>
                </m:e>
              </m:d>
            </m:e>
            <m:sup>
              <m:r>
                <m:t>N</m:t>
              </m:r>
              <m:r>
                <m:rPr>
                  <m:sty m:val="p"/>
                </m:rPr>
                <m:t>−</m:t>
              </m:r>
              <m:r>
                <m:t>k</m:t>
              </m:r>
            </m:sup>
          </m:sSup>
          <m:r>
            <m:rPr>
              <m:sty m:val="p"/>
            </m:rPr>
            <m:t>,</m:t>
          </m:r>
          <m:r>
            <m:t>  </m:t>
          </m:r>
          <m:d>
            <m:dPr>
              <m:begChr m:val="("/>
              <m:endChr m:val=")"/>
              <m:sepChr m:val=""/>
              <m:grow/>
            </m:dPr>
            <m:e>
              <m:f>
                <m:fPr>
                  <m:type m:val="noBar"/>
                </m:fPr>
                <m:num>
                  <m:r>
                    <m:t>N</m:t>
                  </m:r>
                </m:num>
                <m:den>
                  <m:r>
                    <m:t>k</m:t>
                  </m:r>
                </m:den>
              </m:f>
            </m:e>
          </m:d>
          <m:r>
            <m:rPr>
              <m:sty m:val="p"/>
            </m:rPr>
            <m:t>=</m:t>
          </m:r>
          <m:f>
            <m:fPr>
              <m:type m:val="bar"/>
            </m:fPr>
            <m:num>
              <m:r>
                <m:t>N</m:t>
              </m:r>
              <m:r>
                <m:rPr>
                  <m:sty m:val="p"/>
                </m:rPr>
                <m:t>!</m:t>
              </m:r>
            </m:num>
            <m:den>
              <m:r>
                <m:t>k</m:t>
              </m:r>
              <m:r>
                <m:rPr>
                  <m:sty m:val="p"/>
                </m:rPr>
                <m:t>!</m:t>
              </m:r>
              <m:r>
                <m:t> </m:t>
              </m:r>
              <m:d>
                <m:dPr>
                  <m:begChr m:val="("/>
                  <m:endChr m:val=")"/>
                  <m:sepChr m:val=""/>
                  <m:grow/>
                </m:dPr>
                <m:e>
                  <m:r>
                    <m:t>N</m:t>
                  </m:r>
                  <m:r>
                    <m:rPr>
                      <m:sty m:val="p"/>
                    </m:rPr>
                    <m:t>−</m:t>
                  </m:r>
                  <m:r>
                    <m:t>k</m:t>
                  </m:r>
                </m:e>
              </m:d>
              <m:r>
                <m:rPr>
                  <m:sty m:val="p"/>
                </m:rPr>
                <m:t>!</m:t>
              </m:r>
            </m:den>
          </m:f>
          <m:r>
            <m:rPr>
              <m:sty m:val="p"/>
            </m:rPr>
            <m:t>,</m:t>
          </m:r>
          <m:r>
            <m:t>  </m:t>
          </m:r>
          <m:r>
            <m:t>E</m:t>
          </m:r>
          <m:d>
            <m:dPr>
              <m:begChr m:val="["/>
              <m:endChr m:val="]"/>
              <m:sepChr m:val=""/>
              <m:grow/>
            </m:dPr>
            <m:e>
              <m:r>
                <m:t>K</m:t>
              </m:r>
            </m:e>
          </m:d>
          <m:r>
            <m:rPr>
              <m:sty m:val="p"/>
            </m:rPr>
            <m:t>=</m:t>
          </m:r>
          <m:r>
            <m:t>N</m:t>
          </m:r>
          <m:r>
            <m:t>p</m:t>
          </m:r>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N</m:t>
              </m:r>
            </m:oMath>
          </w:p>
        </w:tc>
        <w:tc>
          <w:tcPr/>
          <w:p>
            <w:pPr>
              <w:pStyle w:val="Compact"/>
              <w:jc w:val="left"/>
            </w:pPr>
            <w:r>
              <w:t xml:space="preserve">Number of independent components (trials)</w:t>
            </w:r>
          </w:p>
        </w:tc>
        <w:tc>
          <w:tcPr/>
          <w:p>
            <w:pPr>
              <w:pStyle w:val="Compact"/>
              <w:jc w:val="left"/>
            </w:pPr>
            <w:r>
              <w:t xml:space="preserve">count</w:t>
            </w:r>
          </w:p>
        </w:tc>
      </w:tr>
      <w:tr>
        <w:tc>
          <w:tcPr/>
          <w:p>
            <w:pPr>
              <w:pStyle w:val="Compact"/>
              <w:jc w:val="left"/>
            </w:pPr>
            <m:oMath>
              <m:r>
                <m:t>k</m:t>
              </m:r>
            </m:oMath>
          </w:p>
        </w:tc>
        <w:tc>
          <w:tcPr/>
          <w:p>
            <w:pPr>
              <w:pStyle w:val="Compact"/>
              <w:jc w:val="left"/>
            </w:pPr>
            <w:r>
              <w:t xml:space="preserve">Number of failures we ask about</w:t>
            </w:r>
          </w:p>
        </w:tc>
        <w:tc>
          <w:tcPr/>
          <w:p>
            <w:pPr>
              <w:pStyle w:val="Compact"/>
              <w:jc w:val="left"/>
            </w:pPr>
            <w:r>
              <w:t xml:space="preserve">count</w:t>
            </w:r>
          </w:p>
        </w:tc>
      </w:tr>
      <w:tr>
        <w:tc>
          <w:tcPr/>
          <w:p>
            <w:pPr>
              <w:pStyle w:val="Compact"/>
              <w:jc w:val="left"/>
            </w:pPr>
            <m:oMath>
              <m:r>
                <m:t>p</m:t>
              </m:r>
            </m:oMath>
          </w:p>
        </w:tc>
        <w:tc>
          <w:tcPr/>
          <w:p>
            <w:pPr>
              <w:pStyle w:val="Compact"/>
              <w:jc w:val="left"/>
            </w:pPr>
            <w:r>
              <w:t xml:space="preserve">Per-component failure probability in the period</w:t>
            </w:r>
          </w:p>
        </w:tc>
        <w:tc>
          <w:tcPr/>
          <w:p>
            <w:pPr>
              <w:pStyle w:val="Compact"/>
              <w:jc w:val="left"/>
            </w:pPr>
            <w:r>
              <w:t xml:space="preserve">dimensionless</w:t>
            </w:r>
          </w:p>
        </w:tc>
      </w:tr>
      <w:tr>
        <w:tc>
          <w:tcPr/>
          <w:p>
            <w:pPr>
              <w:pStyle w:val="Compact"/>
              <w:jc w:val="left"/>
            </w:pPr>
            <m:oMath>
              <m:d>
                <m:dPr>
                  <m:begChr m:val="("/>
                  <m:endChr m:val=")"/>
                  <m:sepChr m:val=""/>
                  <m:grow/>
                </m:dPr>
                <m:e>
                  <m:f>
                    <m:fPr>
                      <m:type m:val="noBar"/>
                    </m:fPr>
                    <m:num>
                      <m:r>
                        <m:t>N</m:t>
                      </m:r>
                    </m:num>
                    <m:den>
                      <m:r>
                        <m:t>k</m:t>
                      </m:r>
                    </m:den>
                  </m:f>
                </m:e>
              </m:d>
            </m:oMath>
          </w:p>
        </w:tc>
        <w:tc>
          <w:tcPr/>
          <w:p>
            <w:pPr>
              <w:pStyle w:val="Compact"/>
              <w:jc w:val="left"/>
            </w:pPr>
            <w:r>
              <w:t xml:space="preserve">Number of ways to choose which</w:t>
            </w:r>
            <w:r>
              <w:t xml:space="preserve"> </w:t>
            </w:r>
            <m:oMath>
              <m:r>
                <m:t>k</m:t>
              </m:r>
            </m:oMath>
            <w:r>
              <w:t xml:space="preserve"> </w:t>
            </w:r>
            <w:r>
              <w:t xml:space="preserve">components fail (</w:t>
            </w:r>
            <w:r>
              <w:t xml:space="preserve">“</w:t>
            </w:r>
            <m:oMath>
              <m:r>
                <m:t>N</m:t>
              </m:r>
            </m:oMath>
            <w:r>
              <w:t xml:space="preserve"> </w:t>
            </w:r>
            <w:r>
              <w:t xml:space="preserve">choose</w:t>
            </w:r>
            <w:r>
              <w:t xml:space="preserve"> </w:t>
            </w:r>
            <m:oMath>
              <m:r>
                <m:t>k</m:t>
              </m:r>
            </m:oMath>
            <w:r>
              <w:t xml:space="preserve">”</w:t>
            </w:r>
            <w:r>
              <w:t xml:space="preserve">)</w:t>
            </w:r>
          </w:p>
        </w:tc>
        <w:tc>
          <w:tcPr/>
          <w:p>
            <w:pPr>
              <w:pStyle w:val="Compact"/>
              <w:jc w:val="left"/>
            </w:pPr>
            <w:r>
              <w:t xml:space="preserve">count</w:t>
            </w:r>
          </w:p>
        </w:tc>
      </w:tr>
      <w:tr>
        <w:tc>
          <w:tcPr/>
          <w:p>
            <w:pPr>
              <w:pStyle w:val="Compact"/>
              <w:jc w:val="left"/>
            </w:pPr>
            <m:oMath>
              <m:r>
                <m:t>E</m:t>
              </m:r>
              <m:d>
                <m:dPr>
                  <m:begChr m:val="["/>
                  <m:endChr m:val="]"/>
                  <m:sepChr m:val=""/>
                  <m:grow/>
                </m:dPr>
                <m:e>
                  <m:r>
                    <m:t>K</m:t>
                  </m:r>
                </m:e>
              </m:d>
            </m:oMath>
          </w:p>
        </w:tc>
        <w:tc>
          <w:tcPr/>
          <w:p>
            <w:pPr>
              <w:pStyle w:val="Compact"/>
              <w:jc w:val="left"/>
            </w:pPr>
            <w:r>
              <w:t xml:space="preserve">Expected number of failures</w:t>
            </w:r>
          </w:p>
        </w:tc>
        <w:tc>
          <w:tcPr/>
          <w:p>
            <w:pPr>
              <w:pStyle w:val="Compact"/>
              <w:jc w:val="left"/>
            </w:pPr>
            <w:r>
              <w:t xml:space="preserve">count</w:t>
            </w:r>
          </w:p>
        </w:tc>
      </w:tr>
    </w:tbl>
    <w:p>
      <w:pPr>
        <w:pStyle w:val="BodyText"/>
      </w:pPr>
      <w:r>
        <w:rPr>
          <w:bCs/>
          <w:b/>
        </w:rPr>
        <w:t xml:space="preserve">Derivation.</w:t>
      </w:r>
      <w:r>
        <w:t xml:space="preserve"> </w:t>
      </w:r>
      <w:r>
        <w:t xml:space="preserve">One specific set of</w:t>
      </w:r>
      <w:r>
        <w:t xml:space="preserve"> </w:t>
      </w:r>
      <m:oMath>
        <m:r>
          <m:t>k</m:t>
        </m:r>
      </m:oMath>
      <w:r>
        <w:t xml:space="preserve"> </w:t>
      </w:r>
      <w:r>
        <w:t xml:space="preserve">failures and</w:t>
      </w:r>
      <w:r>
        <w:t xml:space="preserve"> </w:t>
      </w:r>
      <m:oMath>
        <m:r>
          <m:t>N</m:t>
        </m:r>
        <m:r>
          <m:rPr>
            <m:sty m:val="p"/>
          </m:rPr>
          <m:t>−</m:t>
        </m:r>
        <m:r>
          <m:t>k</m:t>
        </m:r>
      </m:oMath>
      <w:r>
        <w:t xml:space="preserve"> </w:t>
      </w:r>
      <w:r>
        <w:t xml:space="preserve">survivals has probability</w:t>
      </w:r>
      <w:r>
        <w:t xml:space="preserve"> </w:t>
      </w:r>
      <m:oMath>
        <m:sSup>
          <m:e>
            <m:r>
              <m:t>p</m:t>
            </m:r>
          </m:e>
          <m:sup>
            <m:r>
              <m:t>k</m:t>
            </m:r>
          </m:sup>
        </m:sSup>
        <m:sSup>
          <m:e>
            <m:d>
              <m:dPr>
                <m:begChr m:val="("/>
                <m:endChr m:val=")"/>
                <m:sepChr m:val=""/>
                <m:grow/>
              </m:dPr>
              <m:e>
                <m:r>
                  <m:t>1</m:t>
                </m:r>
                <m:r>
                  <m:rPr>
                    <m:sty m:val="p"/>
                  </m:rPr>
                  <m:t>−</m:t>
                </m:r>
                <m:r>
                  <m:t>p</m:t>
                </m:r>
              </m:e>
            </m:d>
          </m:e>
          <m:sup>
            <m:r>
              <m:t>N</m:t>
            </m:r>
            <m:r>
              <m:rPr>
                <m:sty m:val="p"/>
              </m:rPr>
              <m:t>−</m:t>
            </m:r>
            <m:r>
              <m:t>k</m:t>
            </m:r>
          </m:sup>
        </m:sSup>
      </m:oMath>
      <w:r>
        <w:t xml:space="preserve"> </w:t>
      </w:r>
      <w:r>
        <w:t xml:space="preserve">by independence. There are</w:t>
      </w:r>
      <w:r>
        <w:t xml:space="preserve"> </w:t>
      </w:r>
      <m:oMath>
        <m:d>
          <m:dPr>
            <m:begChr m:val="("/>
            <m:endChr m:val=")"/>
            <m:sepChr m:val=""/>
            <m:grow/>
          </m:dPr>
          <m:e>
            <m:f>
              <m:fPr>
                <m:type m:val="noBar"/>
              </m:fPr>
              <m:num>
                <m:r>
                  <m:t>N</m:t>
                </m:r>
              </m:num>
              <m:den>
                <m:r>
                  <m:t>k</m:t>
                </m:r>
              </m:den>
            </m:f>
          </m:e>
        </m:d>
      </m:oMath>
      <w:r>
        <w:t xml:space="preserve"> </w:t>
      </w:r>
      <w:r>
        <w:t xml:space="preserve">such sets, and they are mutually exclusive, so we add them.</w:t>
      </w:r>
    </w:p>
    <w:p>
      <w:pPr>
        <w:pStyle w:val="CalloutExample"/>
      </w:pPr>
      <w:r>
        <w:rPr>
          <w:bCs/>
          <w:b/>
        </w:rPr>
        <w:t xml:space="preserve">WORKED EXAMPLE</w:t>
      </w:r>
    </w:p>
    <w:p>
      <w:pPr>
        <w:pStyle w:val="CalloutExample"/>
      </w:pPr>
      <w:r>
        <w:rPr>
          <w:bCs/>
          <w:b/>
        </w:rPr>
        <w:t xml:space="preserve">Worked example — How many spare servers are enough?</w:t>
      </w:r>
      <w:r>
        <w:t xml:space="preserve"> </w:t>
      </w:r>
      <w:r>
        <w:t xml:space="preserve">Continuing the fleet of</w:t>
      </w:r>
      <w:r>
        <w:t xml:space="preserve"> </w:t>
      </w:r>
      <m:oMath>
        <m:r>
          <m:t>N</m:t>
        </m:r>
        <m:r>
          <m:rPr>
            <m:sty m:val="p"/>
          </m:rPr>
          <m:t>=</m:t>
        </m:r>
        <m:r>
          <m:t>1</m:t>
        </m:r>
        <m:r>
          <m:rPr>
            <m:sty m:val="p"/>
          </m:rPr>
          <m:t>,</m:t>
        </m:r>
        <m:r>
          <m:t>000</m:t>
        </m:r>
      </m:oMath>
      <w:r>
        <w:t xml:space="preserve"> </w:t>
      </w:r>
      <w:r>
        <w:t xml:space="preserve">servers with daily failure probability</w:t>
      </w:r>
      <w:r>
        <w:t xml:space="preserve"> </w:t>
      </w:r>
      <m:oMath>
        <m:r>
          <m:t>p</m:t>
        </m:r>
        <m:r>
          <m:rPr>
            <m:sty m:val="p"/>
          </m:rPr>
          <m:t>=</m:t>
        </m:r>
        <m:r>
          <m:t>0.001</m:t>
        </m:r>
      </m:oMath>
      <w:r>
        <w:t xml:space="preserve">:</w:t>
      </w:r>
    </w:p>
    <w:p>
      <w:pPr>
        <w:numPr>
          <w:ilvl w:val="0"/>
          <w:numId w:val="1097"/>
        </w:numPr>
        <w:pStyle w:val="Compact"/>
      </w:pPr>
      <w:r>
        <w:t xml:space="preserve">Expected failures per day:</w:t>
      </w:r>
      <w:r>
        <w:t xml:space="preserve"> </w:t>
      </w:r>
      <m:oMath>
        <m:r>
          <m:t>E</m:t>
        </m:r>
        <m:d>
          <m:dPr>
            <m:begChr m:val="["/>
            <m:endChr m:val="]"/>
            <m:sepChr m:val=""/>
            <m:grow/>
          </m:dPr>
          <m:e>
            <m:r>
              <m:t>K</m:t>
            </m:r>
          </m:e>
        </m:d>
        <m:r>
          <m:rPr>
            <m:sty m:val="p"/>
          </m:rPr>
          <m:t>=</m:t>
        </m:r>
        <m:r>
          <m:t>1000</m:t>
        </m:r>
        <m:r>
          <m:rPr>
            <m:sty m:val="p"/>
          </m:rPr>
          <m:t>×</m:t>
        </m:r>
        <m:r>
          <m:t>0.001</m:t>
        </m:r>
        <m:r>
          <m:rPr>
            <m:sty m:val="p"/>
          </m:rPr>
          <m:t>=</m:t>
        </m:r>
        <m:r>
          <m:t>1</m:t>
        </m:r>
      </m:oMath>
      <w:r>
        <w:t xml:space="preserve">.</w:t>
      </w:r>
    </w:p>
    <w:p>
      <w:pPr>
        <w:numPr>
          <w:ilvl w:val="0"/>
          <w:numId w:val="1097"/>
        </w:numPr>
        <w:pStyle w:val="Compact"/>
      </w:pPr>
      <m:oMath>
        <m:r>
          <m:t>P</m:t>
        </m:r>
        <m:d>
          <m:dPr>
            <m:begChr m:val="("/>
            <m:endChr m:val=")"/>
            <m:sepChr m:val=""/>
            <m:grow/>
          </m:dPr>
          <m:e>
            <m:r>
              <m:t>K</m:t>
            </m:r>
            <m:r>
              <m:rPr>
                <m:sty m:val="p"/>
              </m:rPr>
              <m:t>=</m:t>
            </m:r>
            <m:r>
              <m:t>0</m:t>
            </m:r>
          </m:e>
        </m:d>
        <m:r>
          <m:rPr>
            <m:sty m:val="p"/>
          </m:rPr>
          <m:t>=</m:t>
        </m:r>
        <m:sSup>
          <m:e>
            <m:r>
              <m:t>0.999</m:t>
            </m:r>
          </m:e>
          <m:sup>
            <m:r>
              <m:t>1000</m:t>
            </m:r>
          </m:sup>
        </m:sSup>
        <m:r>
          <m:rPr>
            <m:sty m:val="p"/>
          </m:rPr>
          <m:t>=</m:t>
        </m:r>
        <m:r>
          <m:t>0.3677</m:t>
        </m:r>
      </m:oMath>
      <w:r>
        <w:t xml:space="preserve">.</w:t>
      </w:r>
    </w:p>
    <w:p>
      <w:pPr>
        <w:numPr>
          <w:ilvl w:val="0"/>
          <w:numId w:val="1097"/>
        </w:numPr>
        <w:pStyle w:val="Compact"/>
      </w:pPr>
      <m:oMath>
        <m:r>
          <m:t>P</m:t>
        </m:r>
        <m:d>
          <m:dPr>
            <m:begChr m:val="("/>
            <m:endChr m:val=")"/>
            <m:sepChr m:val=""/>
            <m:grow/>
          </m:dPr>
          <m:e>
            <m:r>
              <m:t>K</m:t>
            </m:r>
            <m:r>
              <m:rPr>
                <m:sty m:val="p"/>
              </m:rPr>
              <m:t>=</m:t>
            </m:r>
            <m:r>
              <m:t>1</m:t>
            </m:r>
          </m:e>
        </m:d>
        <m:r>
          <m:rPr>
            <m:sty m:val="p"/>
          </m:rPr>
          <m:t>=</m:t>
        </m:r>
        <m:r>
          <m:t>1000</m:t>
        </m:r>
        <m:r>
          <m:rPr>
            <m:sty m:val="p"/>
          </m:rPr>
          <m:t>×</m:t>
        </m:r>
        <m:r>
          <m:t>0.001</m:t>
        </m:r>
        <m:r>
          <m:rPr>
            <m:sty m:val="p"/>
          </m:rPr>
          <m:t>×</m:t>
        </m:r>
        <m:sSup>
          <m:e>
            <m:r>
              <m:t>0.999</m:t>
            </m:r>
          </m:e>
          <m:sup>
            <m:r>
              <m:t>999</m:t>
            </m:r>
          </m:sup>
        </m:sSup>
        <m:r>
          <m:rPr>
            <m:sty m:val="p"/>
          </m:rPr>
          <m:t>=</m:t>
        </m:r>
        <m:r>
          <m:t>0.3681</m:t>
        </m:r>
      </m:oMath>
      <w:r>
        <w:t xml:space="preserve">.</w:t>
      </w:r>
    </w:p>
    <w:p>
      <w:pPr>
        <w:numPr>
          <w:ilvl w:val="0"/>
          <w:numId w:val="1097"/>
        </w:numPr>
        <w:pStyle w:val="Compact"/>
      </w:pPr>
      <m:oMath>
        <m:r>
          <m:t>P</m:t>
        </m:r>
        <m:d>
          <m:dPr>
            <m:begChr m:val="("/>
            <m:endChr m:val=")"/>
            <m:sepChr m:val=""/>
            <m:grow/>
          </m:dPr>
          <m:e>
            <m:r>
              <m:t>K</m:t>
            </m:r>
            <m:r>
              <m:rPr>
                <m:sty m:val="p"/>
              </m:rPr>
              <m:t>=</m:t>
            </m:r>
            <m:r>
              <m:t>2</m:t>
            </m:r>
          </m:e>
        </m:d>
        <m:r>
          <m:rPr>
            <m:sty m:val="p"/>
          </m:rPr>
          <m:t>=</m:t>
        </m:r>
        <m:d>
          <m:dPr>
            <m:begChr m:val="("/>
            <m:endChr m:val=")"/>
            <m:sepChr m:val=""/>
            <m:grow/>
          </m:dPr>
          <m:e>
            <m:f>
              <m:fPr>
                <m:type m:val="noBar"/>
              </m:fPr>
              <m:num>
                <m:r>
                  <m:t>1000</m:t>
                </m:r>
              </m:num>
              <m:den>
                <m:r>
                  <m:t>2</m:t>
                </m:r>
              </m:den>
            </m:f>
          </m:e>
        </m:d>
        <m:r>
          <m:rPr>
            <m:sty m:val="p"/>
          </m:rPr>
          <m:t>×</m:t>
        </m:r>
        <m:sSup>
          <m:e>
            <m:r>
              <m:t>0.001</m:t>
            </m:r>
          </m:e>
          <m:sup>
            <m:r>
              <m:t>2</m:t>
            </m:r>
          </m:sup>
        </m:sSup>
        <m:r>
          <m:rPr>
            <m:sty m:val="p"/>
          </m:rPr>
          <m:t>×</m:t>
        </m:r>
        <m:sSup>
          <m:e>
            <m:r>
              <m:t>0.999</m:t>
            </m:r>
          </m:e>
          <m:sup>
            <m:r>
              <m:t>998</m:t>
            </m:r>
          </m:sup>
        </m:sSup>
        <m:r>
          <m:rPr>
            <m:sty m:val="p"/>
          </m:rPr>
          <m:t>=</m:t>
        </m:r>
        <m:r>
          <m:t>499</m:t>
        </m:r>
        <m:r>
          <m:rPr>
            <m:sty m:val="p"/>
          </m:rPr>
          <m:t>,</m:t>
        </m:r>
        <m:r>
          <m:t>500</m:t>
        </m:r>
        <m:r>
          <m:rPr>
            <m:sty m:val="p"/>
          </m:rPr>
          <m:t>×</m:t>
        </m:r>
        <m:sSup>
          <m:e>
            <m:r>
              <m:t>10</m:t>
            </m:r>
          </m:e>
          <m:sup>
            <m:r>
              <m:rPr>
                <m:sty m:val="p"/>
              </m:rPr>
              <m:t>−</m:t>
            </m:r>
            <m:r>
              <m:t>6</m:t>
            </m:r>
          </m:sup>
        </m:sSup>
        <m:r>
          <m:rPr>
            <m:sty m:val="p"/>
          </m:rPr>
          <m:t>×</m:t>
        </m:r>
        <m:r>
          <m:t>0.3685</m:t>
        </m:r>
        <m:r>
          <m:rPr>
            <m:sty m:val="p"/>
          </m:rPr>
          <m:t>=</m:t>
        </m:r>
        <m:r>
          <m:t>0.1840</m:t>
        </m:r>
      </m:oMath>
      <w:r>
        <w:t xml:space="preserve">.</w:t>
      </w:r>
    </w:p>
    <w:p>
      <w:pPr>
        <w:numPr>
          <w:ilvl w:val="0"/>
          <w:numId w:val="1097"/>
        </w:numPr>
        <w:pStyle w:val="Compact"/>
      </w:pPr>
      <m:oMath>
        <m:r>
          <m:t>P</m:t>
        </m:r>
        <m:d>
          <m:dPr>
            <m:begChr m:val="("/>
            <m:endChr m:val=")"/>
            <m:sepChr m:val=""/>
            <m:grow/>
          </m:dPr>
          <m:e>
            <m:r>
              <m:t>K</m:t>
            </m:r>
            <m:r>
              <m:rPr>
                <m:sty m:val="p"/>
              </m:rPr>
              <m:t>≥</m:t>
            </m:r>
            <m:r>
              <m:t>3</m:t>
            </m:r>
          </m:e>
        </m:d>
        <m:r>
          <m:rPr>
            <m:sty m:val="p"/>
          </m:rPr>
          <m:t>=</m:t>
        </m:r>
        <m:r>
          <m:t>1</m:t>
        </m:r>
        <m:r>
          <m:rPr>
            <m:sty m:val="p"/>
          </m:rPr>
          <m:t>−</m:t>
        </m:r>
        <m:r>
          <m:t>0.3677</m:t>
        </m:r>
        <m:r>
          <m:rPr>
            <m:sty m:val="p"/>
          </m:rPr>
          <m:t>−</m:t>
        </m:r>
        <m:r>
          <m:t>0.3681</m:t>
        </m:r>
        <m:r>
          <m:rPr>
            <m:sty m:val="p"/>
          </m:rPr>
          <m:t>−</m:t>
        </m:r>
        <m:r>
          <m:t>0.1840</m:t>
        </m:r>
        <m:r>
          <m:rPr>
            <m:sty m:val="p"/>
          </m:rPr>
          <m:t>=</m:t>
        </m:r>
        <m:r>
          <m:t>0.0802</m:t>
        </m:r>
      </m:oMath>
      <w:r>
        <w:t xml:space="preserve">.</w:t>
      </w:r>
    </w:p>
    <w:p>
      <w:pPr>
        <w:pStyle w:val="CalloutExample"/>
      </w:pPr>
      <w:r>
        <w:rPr>
          <w:bCs/>
          <w:b/>
        </w:rPr>
        <w:t xml:space="preserve">Interpretation.</w:t>
      </w:r>
      <w:r>
        <w:t xml:space="preserve"> </w:t>
      </w:r>
      <w:r>
        <w:t xml:space="preserve">On about 8% of days — roughly 29 days per year — three or more servers fail.</w:t>
      </w:r>
      <w:r>
        <w:t xml:space="preserve"> </w:t>
      </w:r>
      <w:r>
        <w:rPr>
          <w:bCs/>
          <w:b/>
        </w:rPr>
        <w:t xml:space="preserve">Engineering implication.</w:t>
      </w:r>
      <w:r>
        <w:t xml:space="preserve"> </w:t>
      </w:r>
      <w:r>
        <w:t xml:space="preserve">Provisioning spare capacity for</w:t>
      </w:r>
      <w:r>
        <w:t xml:space="preserve"> </w:t>
      </w:r>
      <w:r>
        <w:t xml:space="preserve">“</w:t>
      </w:r>
      <w:r>
        <w:t xml:space="preserve">the average day</w:t>
      </w:r>
      <w:r>
        <w:t xml:space="preserve">”</w:t>
      </w:r>
      <w:r>
        <w:t xml:space="preserve"> </w:t>
      </w:r>
      <w:r>
        <w:t xml:space="preserve">(one failure) leaves you short on one day in twelve. Capacity headroom should be chosen against a percentile of the failure distribution, not its mean.</w:t>
      </w:r>
    </w:p>
    <w:bookmarkEnd w:id="364"/>
    <w:bookmarkEnd w:id="365"/>
    <w:bookmarkStart w:id="370" w:name="statistics-describing-measurements"/>
    <w:p>
      <w:pPr>
        <w:pStyle w:val="Heading2"/>
      </w:pPr>
      <w:r>
        <w:t xml:space="preserve">4.7 Statistics: describing measurements</w:t>
      </w:r>
    </w:p>
    <w:p>
      <w:pPr>
        <w:pStyle w:val="FirstParagraph"/>
      </w:pPr>
      <w:r>
        <w:t xml:space="preserve">Probability reasons forward from a model to predictions.</w:t>
      </w:r>
      <w:r>
        <w:t xml:space="preserve"> </w:t>
      </w:r>
      <w:r>
        <w:rPr>
          <w:bCs/>
          <w:b/>
        </w:rPr>
        <w:t xml:space="preserve">Statistics</w:t>
      </w:r>
      <w:r>
        <w:t xml:space="preserve"> </w:t>
      </w:r>
      <w:r>
        <w:t xml:space="preserve">reasons backward from measurements (latency samples, failure logs) to a description of what is happening.</w:t>
      </w:r>
    </w:p>
    <w:bookmarkStart w:id="367" w:name="mean-and-median"/>
    <w:p>
      <w:pPr>
        <w:pStyle w:val="Heading3"/>
      </w:pPr>
      <w:r>
        <w:t xml:space="preserve">4.7.1 Mean and median</w:t>
      </w:r>
    </w:p>
    <w:p>
      <w:pPr>
        <w:pStyle w:val="CalloutDefinition"/>
      </w:pPr>
      <w:r>
        <w:rPr>
          <w:bCs/>
          <w:b/>
        </w:rPr>
        <w:t xml:space="preserve">DEFINITION</w:t>
      </w:r>
    </w:p>
    <w:p>
      <w:pPr>
        <w:pStyle w:val="CalloutDefinition"/>
      </w:pPr>
      <w:r>
        <w:rPr>
          <w:bCs/>
          <w:b/>
        </w:rPr>
        <w:t xml:space="preserve">Definition — Mean and median.</w:t>
      </w:r>
      <w:r>
        <w:t xml:space="preserve"> </w:t>
      </w:r>
      <w:r>
        <w:t xml:space="preserve">The</w:t>
      </w:r>
      <w:r>
        <w:t xml:space="preserve"> </w:t>
      </w:r>
      <w:r>
        <w:rPr>
          <w:bCs/>
          <w:b/>
        </w:rPr>
        <w:t xml:space="preserve">mean</w:t>
      </w:r>
      <w:r>
        <w:t xml:space="preserve"> </w:t>
      </w:r>
      <w:r>
        <w:t xml:space="preserve">(arithmetic average) of</w:t>
      </w:r>
      <w:r>
        <w:t xml:space="preserve"> </w:t>
      </w:r>
      <m:oMath>
        <m:r>
          <m:t>n</m:t>
        </m:r>
      </m:oMath>
      <w:r>
        <w:t xml:space="preserve"> </w:t>
      </w:r>
      <w:r>
        <w:t xml:space="preserve">values is their sum divided by</w:t>
      </w:r>
      <w:r>
        <w:t xml:space="preserve"> </w:t>
      </w:r>
      <m:oMath>
        <m:r>
          <m:t>n</m:t>
        </m:r>
      </m:oMath>
      <w:r>
        <w:t xml:space="preserve">. The</w:t>
      </w:r>
      <w:r>
        <w:t xml:space="preserve"> </w:t>
      </w:r>
      <w:r>
        <w:rPr>
          <w:bCs/>
          <w:b/>
        </w:rPr>
        <w:t xml:space="preserve">median</w:t>
      </w:r>
      <w:r>
        <w:t xml:space="preserve"> </w:t>
      </w:r>
      <w:r>
        <w:t xml:space="preserve">is the middle value after sorting (the average of the two middle values when</w:t>
      </w:r>
      <w:r>
        <w:t xml:space="preserve"> </w:t>
      </w:r>
      <m:oMath>
        <m:r>
          <m:t>n</m:t>
        </m:r>
      </m:oMath>
      <w:r>
        <w:t xml:space="preserve"> </w:t>
      </w:r>
      <w:r>
        <w:t xml:space="preserve">is even); half of the values are at or below it.</w:t>
      </w:r>
    </w:p>
    <w:bookmarkStart w:id="366" w:name="first-principles-explanation-23"/>
    <w:p>
      <w:pPr>
        <w:pStyle w:val="Heading4"/>
      </w:pPr>
      <w:r>
        <w:t xml:space="preserve">First-principles explanation</w:t>
      </w:r>
    </w:p>
    <w:p>
      <w:pPr>
        <w:pStyle w:val="FirstParagraph"/>
      </w:pPr>
      <w:r>
        <w:t xml:space="preserve">If nine people in a café each earn 50,000 a year and a billionaire walks in, the mean income in the room jumps to over 100 million while the median does not move. The mean is sensitive to every value, including extreme ones; the median is sensitive only to rank. Latency data behave like the café: most requests are quick, a few are extremely slow, and the slow ones drag the mean.</w:t>
      </w:r>
    </w:p>
    <w:p>
      <w:pPr>
        <w:pStyle w:val="CalloutFormula"/>
      </w:pPr>
      <w:r>
        <w:rPr>
          <w:bCs/>
          <w:b/>
        </w:rPr>
        <w:t xml:space="preserve">FORMULA</w:t>
      </w:r>
    </w:p>
    <w:p>
      <w:pPr>
        <w:pStyle w:val="CalloutFormula"/>
      </w:pPr>
      <w:r>
        <w:rPr>
          <w:bCs/>
          <w:b/>
        </w:rPr>
        <w:t xml:space="preserve">Mean, variance and standard deviation</w:t>
      </w:r>
    </w:p>
    <w:p>
      <w:pPr>
        <w:pStyle w:val="CalloutFormula"/>
      </w:pPr>
      <m:oMathPara>
        <m:oMathParaPr>
          <m:jc m:val="center"/>
        </m:oMathParaP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r>
            <m:t>  </m:t>
          </m:r>
          <m:sSup>
            <m:e>
              <m:r>
                <m:t>σ</m:t>
              </m:r>
            </m:e>
            <m:sup>
              <m:r>
                <m:t>2</m:t>
              </m:r>
            </m:sup>
          </m:sSup>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endChr m:val=")"/>
                      <m:sepChr m:val=""/>
                      <m:grow/>
                    </m:dPr>
                    <m:e>
                      <m:sSub>
                        <m:e>
                          <m:r>
                            <m:t>x</m:t>
                          </m:r>
                        </m:e>
                        <m:sub>
                          <m:r>
                            <m:t>i</m:t>
                          </m:r>
                        </m:sub>
                      </m:sSub>
                      <m:r>
                        <m:rPr>
                          <m:sty m:val="p"/>
                        </m:rPr>
                        <m:t>−</m:t>
                      </m:r>
                      <m:acc>
                        <m:accPr>
                          <m:chr m:val="‾"/>
                        </m:accPr>
                        <m:e>
                          <m:r>
                            <m:t>x</m:t>
                          </m:r>
                        </m:e>
                      </m:acc>
                    </m:e>
                  </m:d>
                </m:e>
                <m:sup>
                  <m:r>
                    <m:t>2</m:t>
                  </m:r>
                </m:sup>
              </m:sSup>
            </m:e>
          </m:nary>
          <m:r>
            <m:t>  </m:t>
          </m:r>
          <m:r>
            <m:t>σ</m:t>
          </m:r>
          <m:r>
            <m:rPr>
              <m:sty m:val="p"/>
            </m:rPr>
            <m:t>=</m:t>
          </m:r>
          <m:rad>
            <m:radPr>
              <m:degHide m:val="on"/>
            </m:radPr>
            <m:deg/>
            <m:e>
              <m:sSup>
                <m:e>
                  <m:r>
                    <m:t>σ</m:t>
                  </m:r>
                </m:e>
                <m:sup>
                  <m:r>
                    <m:t>2</m:t>
                  </m:r>
                </m:sup>
              </m:sSup>
            </m:e>
          </m:rad>
        </m:oMath>
      </m:oMathPara>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x</m:t>
                  </m:r>
                </m:e>
                <m:sub>
                  <m:r>
                    <m:t>i</m:t>
                  </m:r>
                </m:sub>
              </m:sSub>
            </m:oMath>
          </w:p>
        </w:tc>
        <w:tc>
          <w:tcPr/>
          <w:p>
            <w:pPr>
              <w:pStyle w:val="Compact"/>
              <w:jc w:val="left"/>
            </w:pPr>
            <w:r>
              <w:t xml:space="preserve">The</w:t>
            </w:r>
            <w:r>
              <w:t xml:space="preserve"> </w:t>
            </w:r>
            <m:oMath>
              <m:r>
                <m:t>i</m:t>
              </m:r>
            </m:oMath>
            <w:r>
              <w:t xml:space="preserve">-th measurement</w:t>
            </w:r>
          </w:p>
        </w:tc>
        <w:tc>
          <w:tcPr/>
          <w:p>
            <w:pPr>
              <w:pStyle w:val="Compact"/>
              <w:jc w:val="left"/>
            </w:pPr>
            <w:r>
              <w:t xml:space="preserve">e.g. ms</w:t>
            </w:r>
          </w:p>
        </w:tc>
      </w:tr>
      <w:tr>
        <w:tc>
          <w:tcPr/>
          <w:p>
            <w:pPr>
              <w:pStyle w:val="Compact"/>
              <w:jc w:val="left"/>
            </w:pPr>
            <m:oMath>
              <m:r>
                <m:t>n</m:t>
              </m:r>
            </m:oMath>
          </w:p>
        </w:tc>
        <w:tc>
          <w:tcPr/>
          <w:p>
            <w:pPr>
              <w:pStyle w:val="Compact"/>
              <w:jc w:val="left"/>
            </w:pPr>
            <w:r>
              <w:t xml:space="preserve">Number of measurements</w:t>
            </w:r>
          </w:p>
        </w:tc>
        <w:tc>
          <w:tcPr/>
          <w:p>
            <w:pPr>
              <w:pStyle w:val="Compact"/>
              <w:jc w:val="left"/>
            </w:pPr>
            <w:r>
              <w:t xml:space="preserve">count</w:t>
            </w:r>
          </w:p>
        </w:tc>
      </w:tr>
      <w:tr>
        <w:tc>
          <w:tcPr/>
          <w:p>
            <w:pPr>
              <w:pStyle w:val="Compact"/>
              <w:jc w:val="left"/>
            </w:pPr>
            <m:oMath>
              <m:acc>
                <m:accPr>
                  <m:chr m:val="‾"/>
                </m:accPr>
                <m:e>
                  <m:r>
                    <m:t>x</m:t>
                  </m:r>
                </m:e>
              </m:acc>
            </m:oMath>
          </w:p>
        </w:tc>
        <w:tc>
          <w:tcPr/>
          <w:p>
            <w:pPr>
              <w:pStyle w:val="Compact"/>
              <w:jc w:val="left"/>
            </w:pPr>
            <w:r>
              <w:t xml:space="preserve">Mean</w:t>
            </w:r>
          </w:p>
        </w:tc>
        <w:tc>
          <w:tcPr/>
          <w:p>
            <w:pPr>
              <w:pStyle w:val="Compact"/>
              <w:jc w:val="left"/>
            </w:pPr>
            <w:r>
              <w:t xml:space="preserve">same as</w:t>
            </w:r>
            <w:r>
              <w:t xml:space="preserve"> </w:t>
            </w:r>
            <m:oMath>
              <m:r>
                <m:t>x</m:t>
              </m:r>
            </m:oMath>
            <w:r>
              <w:t xml:space="preserve"> </w:t>
            </w:r>
            <w:r>
              <w:t xml:space="preserve">(ms)</w:t>
            </w:r>
          </w:p>
        </w:tc>
      </w:tr>
      <w:tr>
        <w:tc>
          <w:tcPr/>
          <w:p>
            <w:pPr>
              <w:pStyle w:val="Compact"/>
              <w:jc w:val="left"/>
            </w:pPr>
            <m:oMath>
              <m:sSup>
                <m:e>
                  <m:r>
                    <m:t>σ</m:t>
                  </m:r>
                </m:e>
                <m:sup>
                  <m:r>
                    <m:t>2</m:t>
                  </m:r>
                </m:sup>
              </m:sSup>
            </m:oMath>
          </w:p>
        </w:tc>
        <w:tc>
          <w:tcPr/>
          <w:p>
            <w:pPr>
              <w:pStyle w:val="Compact"/>
              <w:jc w:val="left"/>
            </w:pPr>
            <w:r>
              <w:t xml:space="preserve">Variance: average squared distance from the mean</w:t>
            </w:r>
          </w:p>
        </w:tc>
        <w:tc>
          <w:tcPr/>
          <w:p>
            <w:pPr>
              <w:pStyle w:val="Compact"/>
              <w:jc w:val="left"/>
            </w:pPr>
            <w:r>
              <w:t xml:space="preserve">ms²</w:t>
            </w:r>
          </w:p>
        </w:tc>
      </w:tr>
      <w:tr>
        <w:tc>
          <w:tcPr/>
          <w:p>
            <w:pPr>
              <w:pStyle w:val="Compact"/>
              <w:jc w:val="left"/>
            </w:pPr>
            <m:oMath>
              <m:r>
                <m:t>σ</m:t>
              </m:r>
            </m:oMath>
          </w:p>
        </w:tc>
        <w:tc>
          <w:tcPr/>
          <w:p>
            <w:pPr>
              <w:pStyle w:val="Compact"/>
              <w:jc w:val="left"/>
            </w:pPr>
            <w:r>
              <w:t xml:space="preserve">Standard deviation: typical distance from the mean</w:t>
            </w:r>
          </w:p>
        </w:tc>
        <w:tc>
          <w:tcPr/>
          <w:p>
            <w:pPr>
              <w:pStyle w:val="Compact"/>
              <w:jc w:val="left"/>
            </w:pPr>
            <w:r>
              <w:t xml:space="preserve">ms</w:t>
            </w:r>
          </w:p>
        </w:tc>
      </w:tr>
    </w:tbl>
    <w:p>
      <w:pPr>
        <w:pStyle w:val="BodyText"/>
      </w:pPr>
      <w:r>
        <w:t xml:space="preserve">This is the</w:t>
      </w:r>
      <w:r>
        <w:t xml:space="preserve"> </w:t>
      </w:r>
      <w:r>
        <w:rPr>
          <w:iCs/>
          <w:i/>
        </w:rPr>
        <w:t xml:space="preserve">population</w:t>
      </w:r>
      <w:r>
        <w:t xml:space="preserve"> </w:t>
      </w:r>
      <w:r>
        <w:t xml:space="preserve">variance (divide by</w:t>
      </w:r>
      <w:r>
        <w:t xml:space="preserve"> </w:t>
      </w:r>
      <m:oMath>
        <m:r>
          <m:t>n</m:t>
        </m:r>
      </m:oMath>
      <w:r>
        <w:t xml:space="preserve">). When estimating the variance of a larger population from a sample, statisticians divide by</w:t>
      </w:r>
      <w:r>
        <w:t xml:space="preserve"> </w:t>
      </w:r>
      <m:oMath>
        <m:r>
          <m:t>n</m:t>
        </m:r>
        <m:r>
          <m:rPr>
            <m:sty m:val="p"/>
          </m:rPr>
          <m:t>−</m:t>
        </m:r>
        <m:r>
          <m:t>1</m:t>
        </m:r>
      </m:oMath>
      <w:r>
        <w:t xml:space="preserve"> </w:t>
      </w:r>
      <w:r>
        <w:t xml:space="preserve">instead (the</w:t>
      </w:r>
      <w:r>
        <w:t xml:space="preserve"> </w:t>
      </w:r>
      <w:r>
        <w:rPr>
          <w:iCs/>
          <w:i/>
        </w:rPr>
        <w:t xml:space="preserve">sample</w:t>
      </w:r>
      <w:r>
        <w:t xml:space="preserve"> </w:t>
      </w:r>
      <w:r>
        <w:t xml:space="preserve">variance); for the large samples typical of latency monitoring the difference is negligible.</w:t>
      </w:r>
    </w:p>
    <w:p>
      <w:pPr>
        <w:pStyle w:val="CalloutExample"/>
      </w:pPr>
      <w:r>
        <w:rPr>
          <w:bCs/>
          <w:b/>
        </w:rPr>
        <w:t xml:space="preserve">WORKED EXAMPLE</w:t>
      </w:r>
    </w:p>
    <w:p>
      <w:pPr>
        <w:pStyle w:val="CalloutExample"/>
      </w:pPr>
      <w:r>
        <w:rPr>
          <w:bCs/>
          <w:b/>
        </w:rPr>
        <w:t xml:space="preserve">Worked example — Ten latency measurements with one outlier.</w:t>
      </w:r>
      <w:r>
        <w:t xml:space="preserve"> </w:t>
      </w:r>
      <w:r>
        <w:t xml:space="preserve">Measured latencies in ms: 12, 15, 11, 14, 13, 16, 12, 18, 14, 250.</w:t>
      </w:r>
    </w:p>
    <w:p>
      <w:pPr>
        <w:numPr>
          <w:ilvl w:val="0"/>
          <w:numId w:val="1098"/>
        </w:numPr>
        <w:pStyle w:val="Compact"/>
      </w:pPr>
      <w:r>
        <w:t xml:space="preserve">Sum:</w:t>
      </w:r>
      <w:r>
        <w:t xml:space="preserve"> </w:t>
      </w:r>
      <m:oMath>
        <m:r>
          <m:t>12</m:t>
        </m:r>
        <m:r>
          <m:rPr>
            <m:sty m:val="p"/>
          </m:rPr>
          <m:t>+</m:t>
        </m:r>
        <m:r>
          <m:t>15</m:t>
        </m:r>
        <m:r>
          <m:rPr>
            <m:sty m:val="p"/>
          </m:rPr>
          <m:t>+</m:t>
        </m:r>
        <m:r>
          <m:t>11</m:t>
        </m:r>
        <m:r>
          <m:rPr>
            <m:sty m:val="p"/>
          </m:rPr>
          <m:t>+</m:t>
        </m:r>
        <m:r>
          <m:t>14</m:t>
        </m:r>
        <m:r>
          <m:rPr>
            <m:sty m:val="p"/>
          </m:rPr>
          <m:t>+</m:t>
        </m:r>
        <m:r>
          <m:t>13</m:t>
        </m:r>
        <m:r>
          <m:rPr>
            <m:sty m:val="p"/>
          </m:rPr>
          <m:t>+</m:t>
        </m:r>
        <m:r>
          <m:t>16</m:t>
        </m:r>
        <m:r>
          <m:rPr>
            <m:sty m:val="p"/>
          </m:rPr>
          <m:t>+</m:t>
        </m:r>
        <m:r>
          <m:t>12</m:t>
        </m:r>
        <m:r>
          <m:rPr>
            <m:sty m:val="p"/>
          </m:rPr>
          <m:t>+</m:t>
        </m:r>
        <m:r>
          <m:t>18</m:t>
        </m:r>
        <m:r>
          <m:rPr>
            <m:sty m:val="p"/>
          </m:rPr>
          <m:t>+</m:t>
        </m:r>
        <m:r>
          <m:t>14</m:t>
        </m:r>
        <m:r>
          <m:rPr>
            <m:sty m:val="p"/>
          </m:rPr>
          <m:t>+</m:t>
        </m:r>
        <m:r>
          <m:t>250</m:t>
        </m:r>
        <m:r>
          <m:rPr>
            <m:sty m:val="p"/>
          </m:rPr>
          <m:t>=</m:t>
        </m:r>
        <m:r>
          <m:t>375</m:t>
        </m:r>
      </m:oMath>
      <w:r>
        <w:t xml:space="preserve">. Mean:</w:t>
      </w:r>
      <w:r>
        <w:t xml:space="preserve"> </w:t>
      </w:r>
      <m:oMath>
        <m:r>
          <m:t>375</m:t>
        </m:r>
        <m:r>
          <m:rPr>
            <m:sty m:val="p"/>
          </m:rPr>
          <m:t>/</m:t>
        </m:r>
        <m:r>
          <m:t>10</m:t>
        </m:r>
        <m:r>
          <m:rPr>
            <m:sty m:val="p"/>
          </m:rPr>
          <m:t>=</m:t>
        </m:r>
        <m:r>
          <m:t>37.5</m:t>
        </m:r>
      </m:oMath>
      <w:r>
        <w:t xml:space="preserve"> </w:t>
      </w:r>
      <w:r>
        <w:t xml:space="preserve">ms.</w:t>
      </w:r>
    </w:p>
    <w:p>
      <w:pPr>
        <w:numPr>
          <w:ilvl w:val="0"/>
          <w:numId w:val="1098"/>
        </w:numPr>
        <w:pStyle w:val="Compact"/>
      </w:pPr>
      <w:r>
        <w:t xml:space="preserve">Sorted: 11, 12, 12, 13, 14, 14, 15, 16, 18, 250. Median: average of 5th and 6th values</w:t>
      </w:r>
      <w:r>
        <w:t xml:space="preserve"> </w:t>
      </w:r>
      <m:oMath>
        <m:r>
          <m:rPr>
            <m:sty m:val="p"/>
          </m:rPr>
          <m:t>=</m:t>
        </m:r>
        <m:d>
          <m:dPr>
            <m:begChr m:val="("/>
            <m:endChr m:val=")"/>
            <m:sepChr m:val=""/>
            <m:grow/>
          </m:dPr>
          <m:e>
            <m:r>
              <m:t>14</m:t>
            </m:r>
            <m:r>
              <m:rPr>
                <m:sty m:val="p"/>
              </m:rPr>
              <m:t>+</m:t>
            </m:r>
            <m:r>
              <m:t>14</m:t>
            </m:r>
          </m:e>
        </m:d>
        <m:r>
          <m:rPr>
            <m:sty m:val="p"/>
          </m:rPr>
          <m:t>/</m:t>
        </m:r>
        <m:r>
          <m:t>2</m:t>
        </m:r>
        <m:r>
          <m:rPr>
            <m:sty m:val="p"/>
          </m:rPr>
          <m:t>=</m:t>
        </m:r>
        <m:r>
          <m:t>14</m:t>
        </m:r>
      </m:oMath>
      <w:r>
        <w:t xml:space="preserve"> </w:t>
      </w:r>
      <w:r>
        <w:t xml:space="preserve">ms.</w:t>
      </w:r>
    </w:p>
    <w:p>
      <w:pPr>
        <w:numPr>
          <w:ilvl w:val="0"/>
          <w:numId w:val="1098"/>
        </w:numPr>
        <w:pStyle w:val="Compact"/>
      </w:pPr>
      <w:r>
        <w:t xml:space="preserve">Squared deviations from 37.5:</w:t>
      </w:r>
      <w:r>
        <w:t xml:space="preserve"> </w:t>
      </w:r>
      <m:oMath>
        <m:sSup>
          <m:e>
            <m:d>
              <m:dPr>
                <m:begChr m:val="("/>
                <m:endChr m:val=")"/>
                <m:sepChr m:val=""/>
                <m:grow/>
              </m:dPr>
              <m:e>
                <m:r>
                  <m:t>12</m:t>
                </m:r>
                <m:r>
                  <m:rPr>
                    <m:sty m:val="p"/>
                  </m:rPr>
                  <m:t>−</m:t>
                </m:r>
                <m:r>
                  <m:t>37.5</m:t>
                </m:r>
              </m:e>
            </m:d>
          </m:e>
          <m:sup>
            <m:r>
              <m:t>2</m:t>
            </m:r>
          </m:sup>
        </m:sSup>
        <m:r>
          <m:rPr>
            <m:sty m:val="p"/>
          </m:rPr>
          <m:t>=</m:t>
        </m:r>
        <m:r>
          <m:t>650.25</m:t>
        </m:r>
      </m:oMath>
      <w:r>
        <w:t xml:space="preserve">; similarly 506.25, 702.25, 552.25, 600.25, 462.25, 650.25, 380.25, 552.25, and</w:t>
      </w:r>
      <w:r>
        <w:t xml:space="preserve"> </w:t>
      </w:r>
      <m:oMath>
        <m:sSup>
          <m:e>
            <m:d>
              <m:dPr>
                <m:begChr m:val="("/>
                <m:endChr m:val=")"/>
                <m:sepChr m:val=""/>
                <m:grow/>
              </m:dPr>
              <m:e>
                <m:r>
                  <m:t>250</m:t>
                </m:r>
                <m:r>
                  <m:rPr>
                    <m:sty m:val="p"/>
                  </m:rPr>
                  <m:t>−</m:t>
                </m:r>
                <m:r>
                  <m:t>37.5</m:t>
                </m:r>
              </m:e>
            </m:d>
          </m:e>
          <m:sup>
            <m:r>
              <m:t>2</m:t>
            </m:r>
          </m:sup>
        </m:sSup>
        <m:r>
          <m:rPr>
            <m:sty m:val="p"/>
          </m:rPr>
          <m:t>=</m:t>
        </m:r>
        <m:r>
          <m:t>45</m:t>
        </m:r>
        <m:r>
          <m:rPr>
            <m:sty m:val="p"/>
          </m:rPr>
          <m:t>,</m:t>
        </m:r>
        <m:r>
          <m:t>156.25</m:t>
        </m:r>
      </m:oMath>
      <w:r>
        <w:t xml:space="preserve">. Sum</w:t>
      </w:r>
      <w:r>
        <w:t xml:space="preserve"> </w:t>
      </w:r>
      <m:oMath>
        <m:r>
          <m:rPr>
            <m:sty m:val="p"/>
          </m:rPr>
          <m:t>=</m:t>
        </m:r>
        <m:r>
          <m:t>50</m:t>
        </m:r>
        <m:r>
          <m:rPr>
            <m:sty m:val="p"/>
          </m:rPr>
          <m:t>,</m:t>
        </m:r>
        <m:r>
          <m:t>212.5</m:t>
        </m:r>
      </m:oMath>
      <w:r>
        <w:t xml:space="preserve">.</w:t>
      </w:r>
    </w:p>
    <w:p>
      <w:pPr>
        <w:numPr>
          <w:ilvl w:val="0"/>
          <w:numId w:val="1098"/>
        </w:numPr>
        <w:pStyle w:val="Compact"/>
      </w:pPr>
      <w:r>
        <w:t xml:space="preserve">Variance:</w:t>
      </w:r>
      <w:r>
        <w:t xml:space="preserve"> </w:t>
      </w:r>
      <m:oMath>
        <m:r>
          <m:t>50</m:t>
        </m:r>
        <m:r>
          <m:rPr>
            <m:sty m:val="p"/>
          </m:rPr>
          <m:t>,</m:t>
        </m:r>
        <m:r>
          <m:t>212.5</m:t>
        </m:r>
        <m:r>
          <m:rPr>
            <m:sty m:val="p"/>
          </m:rPr>
          <m:t>/</m:t>
        </m:r>
        <m:r>
          <m:t>10</m:t>
        </m:r>
        <m:r>
          <m:rPr>
            <m:sty m:val="p"/>
          </m:rPr>
          <m:t>=</m:t>
        </m:r>
        <m:r>
          <m:t>5</m:t>
        </m:r>
        <m:r>
          <m:rPr>
            <m:sty m:val="p"/>
          </m:rPr>
          <m:t>,</m:t>
        </m:r>
        <m:r>
          <m:t>021.25</m:t>
        </m:r>
      </m:oMath>
      <w:r>
        <w:t xml:space="preserve"> </w:t>
      </w:r>
      <w:r>
        <w:t xml:space="preserve">ms². Standard deviation:</w:t>
      </w:r>
      <w:r>
        <w:t xml:space="preserve"> </w:t>
      </w:r>
      <m:oMath>
        <m:rad>
          <m:radPr>
            <m:degHide m:val="on"/>
          </m:radPr>
          <m:deg/>
          <m:e>
            <m:r>
              <m:t>5021.25</m:t>
            </m:r>
          </m:e>
        </m:rad>
        <m:r>
          <m:rPr>
            <m:sty m:val="p"/>
          </m:rPr>
          <m:t>=</m:t>
        </m:r>
        <m:r>
          <m:t>70.9</m:t>
        </m:r>
      </m:oMath>
      <w:r>
        <w:t xml:space="preserve"> </w:t>
      </w:r>
      <w:r>
        <w:t xml:space="preserve">ms.</w:t>
      </w:r>
    </w:p>
    <w:p>
      <w:pPr>
        <w:numPr>
          <w:ilvl w:val="0"/>
          <w:numId w:val="1098"/>
        </w:numPr>
        <w:pStyle w:val="Compact"/>
      </w:pPr>
      <w:r>
        <w:t xml:space="preserve">Without the outlier: mean 13.9 ms, median 14 ms, standard deviation 2.1 ms.</w:t>
      </w:r>
    </w:p>
    <w:p>
      <w:pPr>
        <w:pStyle w:val="CalloutExample"/>
      </w:pPr>
      <w:r>
        <w:rPr>
          <w:bCs/>
          <w:b/>
        </w:rPr>
        <w:t xml:space="preserve">Interpretation.</w:t>
      </w:r>
      <w:r>
        <w:t xml:space="preserve"> </w:t>
      </w:r>
      <w:r>
        <w:t xml:space="preserve">One slow request in ten makes the mean 2.7 times the median and inflates the standard deviation 34-fold. The mean (37.5 ms) describes</w:t>
      </w:r>
      <w:r>
        <w:t xml:space="preserve"> </w:t>
      </w:r>
      <w:r>
        <w:rPr>
          <w:iCs/>
          <w:i/>
        </w:rPr>
        <w:t xml:space="preserve">no actual request</w:t>
      </w:r>
      <w:r>
        <w:t xml:space="preserve">: nine were under 20 ms and one was 250 ms.</w:t>
      </w:r>
      <w:r>
        <w:t xml:space="preserve"> </w:t>
      </w:r>
      <w:r>
        <w:rPr>
          <w:bCs/>
          <w:b/>
        </w:rPr>
        <w:t xml:space="preserve">Engineering implication.</w:t>
      </w:r>
      <w:r>
        <w:t xml:space="preserve"> </w:t>
      </w:r>
      <w:r>
        <w:t xml:space="preserve">Report latency as percentiles (§4.8), not as mean ± standard deviation. Mean and standard deviation summarize a distribution well only when it is roughly symmetric and thin-tailed, which latency almost never is.</w:t>
      </w:r>
    </w:p>
    <w:bookmarkEnd w:id="366"/>
    <w:bookmarkEnd w:id="367"/>
    <w:bookmarkStart w:id="368" w:name="X1c0af22cb3b0ec121feadcabefa2c1eed26f1b9"/>
    <w:p>
      <w:pPr>
        <w:pStyle w:val="Heading3"/>
      </w:pPr>
      <w:r>
        <w:t xml:space="preserve">4.7.2 Distributions: normal, exponential, log-normal and Pareto</w:t>
      </w:r>
    </w:p>
    <w:p>
      <w:pPr>
        <w:pStyle w:val="FirstParagraph"/>
      </w:pPr>
      <w:r>
        <w:t xml:space="preserve">A</w:t>
      </w:r>
      <w:r>
        <w:t xml:space="preserve"> </w:t>
      </w:r>
      <w:r>
        <w:rPr>
          <w:bCs/>
          <w:b/>
        </w:rPr>
        <w:t xml:space="preserve">probability distribution</w:t>
      </w:r>
      <w:r>
        <w:t xml:space="preserve"> </w:t>
      </w:r>
      <w:r>
        <w:t xml:space="preserve">describes how likely each value is. Four shapes cover most of what you will meet.</w:t>
      </w:r>
    </w:p>
    <w:p>
      <w:pPr>
        <w:pStyle w:val="BodyText"/>
      </w:pPr>
      <w:r>
        <w:t xml:space="preserve">The</w:t>
      </w:r>
      <w:r>
        <w:t xml:space="preserve"> </w:t>
      </w:r>
      <w:r>
        <w:rPr>
          <w:bCs/>
          <w:b/>
        </w:rPr>
        <w:t xml:space="preserve">normal (Gaussian) distribution</w:t>
      </w:r>
      <w:r>
        <w:t xml:space="preserve"> </w:t>
      </w:r>
      <w:r>
        <w:t xml:space="preserve">is the symmetric bell curve. It arises when many small independent effects add up. About 68% of values lie within</w:t>
      </w:r>
      <w:r>
        <w:t xml:space="preserve"> </w:t>
      </w:r>
      <m:oMath>
        <m:r>
          <m:t>1</m:t>
        </m:r>
        <m:r>
          <m:t>σ</m:t>
        </m:r>
      </m:oMath>
      <w:r>
        <w:t xml:space="preserve"> </w:t>
      </w:r>
      <w:r>
        <w:t xml:space="preserve">of the mean, 95% within</w:t>
      </w:r>
      <w:r>
        <w:t xml:space="preserve"> </w:t>
      </w:r>
      <m:oMath>
        <m:r>
          <m:t>2</m:t>
        </m:r>
        <m:r>
          <m:t>σ</m:t>
        </m:r>
      </m:oMath>
      <w:r>
        <w:t xml:space="preserve"> </w:t>
      </w:r>
      <w:r>
        <w:t xml:space="preserve">and 99.7% within</w:t>
      </w:r>
      <w:r>
        <w:t xml:space="preserve"> </w:t>
      </w:r>
      <m:oMath>
        <m:r>
          <m:t>3</m:t>
        </m:r>
        <m:r>
          <m:t>σ</m:t>
        </m:r>
      </m:oMath>
      <w:r>
        <w:t xml:space="preserve">. Extreme values are vanishingly rare: a</w:t>
      </w:r>
      <w:r>
        <w:t xml:space="preserve"> </w:t>
      </w:r>
      <m:oMath>
        <m:r>
          <m:t>6</m:t>
        </m:r>
        <m:r>
          <m:t>σ</m:t>
        </m:r>
      </m:oMath>
      <w:r>
        <w:t xml:space="preserve"> </w:t>
      </w:r>
      <w:r>
        <w:t xml:space="preserve">event has probability around</w:t>
      </w:r>
      <w:r>
        <w:t xml:space="preserve"> </w:t>
      </w:r>
      <m:oMath>
        <m:sSup>
          <m:e>
            <m:r>
              <m:t>10</m:t>
            </m:r>
          </m:e>
          <m:sup>
            <m:r>
              <m:rPr>
                <m:sty m:val="p"/>
              </m:rPr>
              <m:t>−</m:t>
            </m:r>
            <m:r>
              <m:t>9</m:t>
            </m:r>
          </m:sup>
        </m:sSup>
      </m:oMath>
      <w:r>
        <w:t xml:space="preserve">.</w:t>
      </w:r>
    </w:p>
    <w:p>
      <w:pPr>
        <w:pStyle w:val="BodyText"/>
      </w:pPr>
      <w:r>
        <w:t xml:space="preserve">The</w:t>
      </w:r>
      <w:r>
        <w:t xml:space="preserve"> </w:t>
      </w:r>
      <w:r>
        <w:rPr>
          <w:bCs/>
          <w:b/>
        </w:rPr>
        <w:t xml:space="preserve">exponential distribution</w:t>
      </w:r>
      <w:r>
        <w:t xml:space="preserve"> </w:t>
      </w:r>
      <w:r>
        <w:t xml:space="preserve">describes the time between independent random events occurring at a constant average rate</w:t>
      </w:r>
      <w:r>
        <w:t xml:space="preserve"> </w:t>
      </w:r>
      <m:oMath>
        <m:r>
          <m:t>λ</m:t>
        </m:r>
      </m:oMath>
      <w:r>
        <w:t xml:space="preserve">, such as request arrivals from many independent users, or failures of a component that does not age. Its mean is</w:t>
      </w:r>
      <w:r>
        <w:t xml:space="preserve"> </w:t>
      </w:r>
      <m:oMath>
        <m:r>
          <m:t>1</m:t>
        </m:r>
        <m:r>
          <m:rPr>
            <m:sty m:val="p"/>
          </m:rPr>
          <m:t>/</m:t>
        </m:r>
        <m:r>
          <m:t>λ</m:t>
        </m:r>
      </m:oMath>
      <w:r>
        <w:t xml:space="preserve"> </w:t>
      </w:r>
      <w:r>
        <w:t xml:space="preserve">and</w:t>
      </w:r>
      <w:r>
        <w:t xml:space="preserve"> </w:t>
      </w:r>
      <m:oMath>
        <m:r>
          <m:t>P</m:t>
        </m:r>
        <m:d>
          <m:dPr>
            <m:begChr m:val="("/>
            <m:endChr m:val=")"/>
            <m:sepChr m:val=""/>
            <m:grow/>
          </m:dPr>
          <m:e>
            <m:r>
              <m:t>T</m:t>
            </m:r>
            <m:r>
              <m:rPr>
                <m:sty m:val="p"/>
              </m:rPr>
              <m:t>&gt;</m:t>
            </m:r>
            <m:r>
              <m:t>t</m:t>
            </m:r>
          </m:e>
        </m:d>
        <m:r>
          <m:rPr>
            <m:sty m:val="p"/>
          </m:rPr>
          <m:t>=</m:t>
        </m:r>
        <m:sSup>
          <m:e>
            <m:r>
              <m:t>e</m:t>
            </m:r>
          </m:e>
          <m:sup>
            <m:r>
              <m:rPr>
                <m:sty m:val="p"/>
              </m:rPr>
              <m:t>−</m:t>
            </m:r>
            <m:r>
              <m:t>λ</m:t>
            </m:r>
            <m:r>
              <m:t>t</m:t>
            </m:r>
          </m:sup>
        </m:sSup>
      </m:oMath>
      <w:r>
        <w:t xml:space="preserve">. It is</w:t>
      </w:r>
      <w:r>
        <w:t xml:space="preserve"> </w:t>
      </w:r>
      <w:r>
        <w:rPr>
          <w:bCs/>
          <w:b/>
        </w:rPr>
        <w:t xml:space="preserve">memoryless</w:t>
      </w:r>
      <w:r>
        <w:t xml:space="preserve">: having waited 5 seconds tells you nothing about how much longer you will wait. It underpins queueing theory (§4.10) and reliability theory (§4.15).</w:t>
      </w:r>
    </w:p>
    <w:p>
      <w:pPr>
        <w:pStyle w:val="BodyText"/>
      </w:pPr>
      <w:r>
        <w:t xml:space="preserve">The</w:t>
      </w:r>
      <w:r>
        <w:t xml:space="preserve"> </w:t>
      </w:r>
      <w:r>
        <w:rPr>
          <w:bCs/>
          <w:b/>
        </w:rPr>
        <w:t xml:space="preserve">log-normal distribution</w:t>
      </w:r>
      <w:r>
        <w:t xml:space="preserve"> </w:t>
      </w:r>
      <w:r>
        <w:t xml:space="preserve">describes a quantity whose</w:t>
      </w:r>
      <w:r>
        <w:t xml:space="preserve"> </w:t>
      </w:r>
      <w:r>
        <w:rPr>
          <w:iCs/>
          <w:i/>
        </w:rPr>
        <w:t xml:space="preserve">logarithm</w:t>
      </w:r>
      <w:r>
        <w:t xml:space="preserve"> </w:t>
      </w:r>
      <w:r>
        <w:t xml:space="preserve">is normal — the result of many small</w:t>
      </w:r>
      <w:r>
        <w:t xml:space="preserve"> </w:t>
      </w:r>
      <w:r>
        <w:rPr>
          <w:iCs/>
          <w:i/>
        </w:rPr>
        <w:t xml:space="preserve">multiplicative</w:t>
      </w:r>
      <w:r>
        <w:t xml:space="preserve"> </w:t>
      </w:r>
      <w:r>
        <w:t xml:space="preserve">effects. Request latency often looks roughly log-normal: a long right tail, with the mean above the median. If</w:t>
      </w:r>
      <w:r>
        <w:t xml:space="preserve"> </w:t>
      </w:r>
      <m:oMath>
        <m:r>
          <m:rPr>
            <m:sty m:val="p"/>
          </m:rPr>
          <m:t>ln</m:t>
        </m:r>
        <m:r>
          <m:t>X</m:t>
        </m:r>
      </m:oMath>
      <w:r>
        <w:t xml:space="preserve"> </w:t>
      </w:r>
      <w:r>
        <w:t xml:space="preserve">has mean</w:t>
      </w:r>
      <w:r>
        <w:t xml:space="preserve"> </w:t>
      </w:r>
      <m:oMath>
        <m:r>
          <m:t>μ</m:t>
        </m:r>
      </m:oMath>
      <w:r>
        <w:t xml:space="preserve"> </w:t>
      </w:r>
      <w:r>
        <w:t xml:space="preserve">and standard deviation</w:t>
      </w:r>
      <w:r>
        <w:t xml:space="preserve"> </w:t>
      </w:r>
      <m:oMath>
        <m:r>
          <m:t>s</m:t>
        </m:r>
      </m:oMath>
      <w:r>
        <w:t xml:space="preserve">, then the median of</w:t>
      </w:r>
      <w:r>
        <w:t xml:space="preserve"> </w:t>
      </w:r>
      <m:oMath>
        <m:r>
          <m:t>X</m:t>
        </m:r>
      </m:oMath>
      <w:r>
        <w:t xml:space="preserve"> </w:t>
      </w:r>
      <w:r>
        <w:t xml:space="preserve">is</w:t>
      </w:r>
      <w:r>
        <w:t xml:space="preserve"> </w:t>
      </w:r>
      <m:oMath>
        <m:sSup>
          <m:e>
            <m:r>
              <m:t>e</m:t>
            </m:r>
          </m:e>
          <m:sup>
            <m:r>
              <m:t>μ</m:t>
            </m:r>
          </m:sup>
        </m:sSup>
      </m:oMath>
      <w:r>
        <w:t xml:space="preserve"> </w:t>
      </w:r>
      <w:r>
        <w:t xml:space="preserve">and the mean is</w:t>
      </w:r>
      <w:r>
        <w:t xml:space="preserve"> </w:t>
      </w:r>
      <m:oMath>
        <m:sSup>
          <m:e>
            <m:r>
              <m:t>e</m:t>
            </m:r>
          </m:e>
          <m:sup>
            <m:r>
              <m:t>μ</m:t>
            </m:r>
            <m:r>
              <m:rPr>
                <m:sty m:val="p"/>
              </m:rPr>
              <m:t>+</m:t>
            </m:r>
            <m:sSup>
              <m:e>
                <m:r>
                  <m:t>s</m:t>
                </m:r>
              </m:e>
              <m:sup>
                <m:r>
                  <m:t>2</m:t>
                </m:r>
              </m:sup>
            </m:sSup>
            <m:r>
              <m:rPr>
                <m:sty m:val="p"/>
              </m:rPr>
              <m:t>/</m:t>
            </m:r>
            <m:r>
              <m:t>2</m:t>
            </m:r>
          </m:sup>
        </m:sSup>
      </m:oMath>
      <w:r>
        <w:t xml:space="preserve">.</w:t>
      </w:r>
    </w:p>
    <w:p>
      <w:pPr>
        <w:pStyle w:val="BodyText"/>
      </w:pPr>
      <w:r>
        <w:t xml:space="preserve">The</w:t>
      </w:r>
      <w:r>
        <w:t xml:space="preserve"> </w:t>
      </w:r>
      <w:r>
        <w:rPr>
          <w:bCs/>
          <w:b/>
        </w:rPr>
        <w:t xml:space="preserve">Pareto (power-law) distribution</w:t>
      </w:r>
      <w:r>
        <w:t xml:space="preserve"> </w:t>
      </w:r>
      <w:r>
        <w:t xml:space="preserve">has</w:t>
      </w:r>
      <w:r>
        <w:t xml:space="preserve"> </w:t>
      </w:r>
      <m:oMath>
        <m:r>
          <m:t>P</m:t>
        </m:r>
        <m:d>
          <m:dPr>
            <m:begChr m:val="("/>
            <m:endChr m:val=")"/>
            <m:sepChr m:val=""/>
            <m:grow/>
          </m:dPr>
          <m:e>
            <m:r>
              <m:t>X</m:t>
            </m:r>
            <m:r>
              <m:rPr>
                <m:sty m:val="p"/>
              </m:rPr>
              <m:t>&gt;</m:t>
            </m:r>
            <m:r>
              <m:t>x</m:t>
            </m:r>
          </m:e>
        </m:d>
        <m:r>
          <m:rPr>
            <m:sty m:val="p"/>
          </m:rPr>
          <m:t>=</m:t>
        </m:r>
        <m:sSup>
          <m:e>
            <m:d>
              <m:dPr>
                <m:begChr m:val="("/>
                <m:endChr m:val=")"/>
                <m:sepChr m:val=""/>
                <m:grow/>
              </m:dPr>
              <m:e>
                <m:sSub>
                  <m:e>
                    <m:r>
                      <m:t>x</m:t>
                    </m:r>
                  </m:e>
                  <m:sub>
                    <m:r>
                      <m:t>m</m:t>
                    </m:r>
                  </m:sub>
                </m:sSub>
                <m:r>
                  <m:rPr>
                    <m:sty m:val="p"/>
                  </m:rPr>
                  <m:t>/</m:t>
                </m:r>
                <m:r>
                  <m:t>x</m:t>
                </m:r>
              </m:e>
            </m:d>
          </m:e>
          <m:sup>
            <m:r>
              <m:t>α</m:t>
            </m:r>
          </m:sup>
        </m:sSup>
      </m:oMath>
      <w:r>
        <w:t xml:space="preserve"> </w:t>
      </w:r>
      <w:r>
        <w:t xml:space="preserve">for</w:t>
      </w:r>
      <w:r>
        <w:t xml:space="preserve"> </w:t>
      </w:r>
      <m:oMath>
        <m:r>
          <m:t>x</m:t>
        </m:r>
        <m:r>
          <m:rPr>
            <m:sty m:val="p"/>
          </m:rPr>
          <m:t>≥</m:t>
        </m:r>
        <m:sSub>
          <m:e>
            <m:r>
              <m:t>x</m:t>
            </m:r>
          </m:e>
          <m:sub>
            <m:r>
              <m:t>m</m:t>
            </m:r>
          </m:sub>
        </m:sSub>
      </m:oMath>
      <w:r>
        <w:t xml:space="preserve">. Its tail decays polynomially, not exponentially, so extreme values are far more common than a normal model predicts. File sizes, object popularity, and per-user activity are frequently described as heavy-tailed (Harchol-Balter 2013 discusses heavy-tailed job sizes in depth). With</w:t>
      </w:r>
      <w:r>
        <w:t xml:space="preserve"> </w:t>
      </w:r>
      <m:oMath>
        <m:r>
          <m:t>α</m:t>
        </m:r>
        <m:r>
          <m:rPr>
            <m:sty m:val="p"/>
          </m:rPr>
          <m:t>≈</m:t>
        </m:r>
        <m:r>
          <m:t>1.16</m:t>
        </m:r>
      </m:oMath>
      <w:r>
        <w:t xml:space="preserve"> </w:t>
      </w:r>
      <w:r>
        <w:t xml:space="preserve">you get the</w:t>
      </w:r>
      <w:r>
        <w:t xml:space="preserve"> </w:t>
      </w:r>
      <w:r>
        <w:t xml:space="preserve">“</w:t>
      </w:r>
      <w:r>
        <w:t xml:space="preserve">80/20 rule</w:t>
      </w:r>
      <w:r>
        <w:t xml:space="preserve">”</w:t>
      </w:r>
      <w:r>
        <w:t xml:space="preserve">: the top 20% of items account for 80% of the total. For</w:t>
      </w:r>
      <w:r>
        <w:t xml:space="preserve"> </w:t>
      </w:r>
      <m:oMath>
        <m:r>
          <m:t>α</m:t>
        </m:r>
        <m:r>
          <m:rPr>
            <m:sty m:val="p"/>
          </m:rPr>
          <m:t>≤</m:t>
        </m:r>
        <m:r>
          <m:t>1</m:t>
        </m:r>
      </m:oMath>
      <w:r>
        <w:t xml:space="preserve"> </w:t>
      </w:r>
      <w:r>
        <w:t xml:space="preserve">the mean is infinite; for</w:t>
      </w:r>
      <w:r>
        <w:t xml:space="preserve"> </w:t>
      </w:r>
      <m:oMath>
        <m:r>
          <m:t>α</m:t>
        </m:r>
        <m:r>
          <m:rPr>
            <m:sty m:val="p"/>
          </m:rPr>
          <m:t>≤</m:t>
        </m:r>
        <m:r>
          <m:t>2</m:t>
        </m:r>
      </m:oMath>
      <w:r>
        <w:t xml:space="preserve"> </w:t>
      </w:r>
      <w:r>
        <w:t xml:space="preserve">the variance is infinite, so sample averages never settle down.</w:t>
      </w:r>
    </w:p>
    <w:p>
      <w:pPr>
        <w:pStyle w:val="CalloutFormula"/>
      </w:pPr>
      <w:r>
        <w:rPr>
          <w:bCs/>
          <w:b/>
        </w:rPr>
        <w:t xml:space="preserve">FORMULA</w:t>
      </w:r>
    </w:p>
    <w:p>
      <w:pPr>
        <w:pStyle w:val="CalloutFormula"/>
      </w:pPr>
      <w:r>
        <w:rPr>
          <w:bCs/>
          <w:b/>
        </w:rPr>
        <w:t xml:space="preserve">Tail formulas for three skewed distributions</w:t>
      </w:r>
    </w:p>
    <w:p>
      <w:pPr>
        <w:pStyle w:val="CalloutFormula"/>
      </w:pPr>
      <m:oMathPara>
        <m:oMathParaPr>
          <m:jc m:val="center"/>
        </m:oMathParaPr>
        <m:oMath>
          <m:r>
            <m:rPr>
              <m:nor/>
              <m:sty m:val="p"/>
            </m:rPr>
            <m:t>Exponential: </m:t>
          </m:r>
          <m:r>
            <m:t>P</m:t>
          </m:r>
          <m:d>
            <m:dPr>
              <m:begChr m:val="("/>
              <m:endChr m:val=")"/>
              <m:sepChr m:val=""/>
              <m:grow/>
            </m:dPr>
            <m:e>
              <m:r>
                <m:t>T</m:t>
              </m:r>
              <m:r>
                <m:rPr>
                  <m:sty m:val="p"/>
                </m:rPr>
                <m:t>&gt;</m:t>
              </m:r>
              <m:r>
                <m:t>t</m:t>
              </m:r>
            </m:e>
          </m:d>
          <m:r>
            <m:rPr>
              <m:sty m:val="p"/>
            </m:rPr>
            <m:t>=</m:t>
          </m:r>
          <m:sSup>
            <m:e>
              <m:r>
                <m:t>e</m:t>
              </m:r>
            </m:e>
            <m:sup>
              <m:r>
                <m:rPr>
                  <m:sty m:val="p"/>
                </m:rPr>
                <m:t>−</m:t>
              </m:r>
              <m:r>
                <m:t>λ</m:t>
              </m:r>
              <m:r>
                <m:t>t</m:t>
              </m:r>
            </m:sup>
          </m:sSup>
          <m:r>
            <m:rPr>
              <m:sty m:val="p"/>
            </m:rPr>
            <m:t>,</m:t>
          </m:r>
          <m:r>
            <m:t> </m:t>
          </m:r>
          <m:r>
            <m:t>E</m:t>
          </m:r>
          <m:d>
            <m:dPr>
              <m:begChr m:val="["/>
              <m:endChr m:val="]"/>
              <m:sepChr m:val=""/>
              <m:grow/>
            </m:dPr>
            <m:e>
              <m:r>
                <m:t>T</m:t>
              </m:r>
            </m:e>
          </m:d>
          <m:r>
            <m:rPr>
              <m:sty m:val="p"/>
            </m:rPr>
            <m:t>=</m:t>
          </m:r>
          <m:f>
            <m:fPr>
              <m:type m:val="bar"/>
            </m:fPr>
            <m:num>
              <m:r>
                <m:t>1</m:t>
              </m:r>
            </m:num>
            <m:den>
              <m:r>
                <m:t>λ</m:t>
              </m:r>
            </m:den>
          </m:f>
          <m:r>
            <m:t>  </m:t>
          </m:r>
          <m:r>
            <m:rPr>
              <m:nor/>
              <m:sty m:val="p"/>
            </m:rPr>
            <m:t>Log-normal: median</m:t>
          </m:r>
          <m:r>
            <m:rPr>
              <m:sty m:val="p"/>
            </m:rPr>
            <m:t>=</m:t>
          </m:r>
          <m:sSup>
            <m:e>
              <m:r>
                <m:t>e</m:t>
              </m:r>
            </m:e>
            <m:sup>
              <m:r>
                <m:t>μ</m:t>
              </m:r>
            </m:sup>
          </m:sSup>
          <m:r>
            <m:rPr>
              <m:sty m:val="p"/>
            </m:rPr>
            <m:t>,</m:t>
          </m:r>
          <m:r>
            <m:t> </m:t>
          </m:r>
          <m:r>
            <m:rPr>
              <m:nor/>
              <m:sty m:val="p"/>
            </m:rPr>
            <m:t>mean</m:t>
          </m:r>
          <m:r>
            <m:rPr>
              <m:sty m:val="p"/>
            </m:rPr>
            <m:t>=</m:t>
          </m:r>
          <m:sSup>
            <m:e>
              <m:r>
                <m:t>e</m:t>
              </m:r>
            </m:e>
            <m:sup>
              <m:r>
                <m:t>μ</m:t>
              </m:r>
              <m:r>
                <m:rPr>
                  <m:sty m:val="p"/>
                </m:rPr>
                <m:t>+</m:t>
              </m:r>
              <m:sSup>
                <m:e>
                  <m:r>
                    <m:t>s</m:t>
                  </m:r>
                </m:e>
                <m:sup>
                  <m:r>
                    <m:t>2</m:t>
                  </m:r>
                </m:sup>
              </m:sSup>
              <m:r>
                <m:rPr>
                  <m:sty m:val="p"/>
                </m:rPr>
                <m:t>/</m:t>
              </m:r>
              <m:r>
                <m:t>2</m:t>
              </m:r>
            </m:sup>
          </m:sSup>
          <m:r>
            <m:t>  </m:t>
          </m:r>
          <m:r>
            <m:rPr>
              <m:nor/>
              <m:sty m:val="p"/>
            </m:rPr>
            <m:t>Pareto: </m:t>
          </m:r>
          <m:r>
            <m:t>P</m:t>
          </m:r>
          <m:d>
            <m:dPr>
              <m:begChr m:val="("/>
              <m:endChr m:val=")"/>
              <m:sepChr m:val=""/>
              <m:grow/>
            </m:dPr>
            <m:e>
              <m:r>
                <m:t>X</m:t>
              </m:r>
              <m:r>
                <m:rPr>
                  <m:sty m:val="p"/>
                </m:rPr>
                <m:t>&gt;</m:t>
              </m:r>
              <m:r>
                <m:t>x</m:t>
              </m:r>
            </m:e>
          </m:d>
          <m:r>
            <m:rPr>
              <m:sty m:val="p"/>
            </m:rPr>
            <m:t>=</m:t>
          </m:r>
          <m:sSup>
            <m:e>
              <m:d>
                <m:dPr>
                  <m:begChr m:val="("/>
                  <m:endChr m:val=")"/>
                  <m:sepChr m:val=""/>
                  <m:grow/>
                </m:dPr>
                <m:e>
                  <m:f>
                    <m:fPr>
                      <m:type m:val="bar"/>
                    </m:fPr>
                    <m:num>
                      <m:sSub>
                        <m:e>
                          <m:r>
                            <m:t>x</m:t>
                          </m:r>
                        </m:e>
                        <m:sub>
                          <m:r>
                            <m:t>m</m:t>
                          </m:r>
                        </m:sub>
                      </m:sSub>
                    </m:num>
                    <m:den>
                      <m:r>
                        <m:t>x</m:t>
                      </m:r>
                    </m:den>
                  </m:f>
                </m:e>
              </m:d>
            </m:e>
            <m:sup>
              <m:r>
                <m:t>α</m:t>
              </m:r>
            </m:sup>
          </m:sSup>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λ</m:t>
              </m:r>
            </m:oMath>
          </w:p>
        </w:tc>
        <w:tc>
          <w:tcPr/>
          <w:p>
            <w:pPr>
              <w:pStyle w:val="Compact"/>
              <w:jc w:val="left"/>
            </w:pPr>
            <w:r>
              <w:t xml:space="preserve">Event rate of the exponential distribution</w:t>
            </w:r>
          </w:p>
        </w:tc>
        <w:tc>
          <w:tcPr/>
          <w:p>
            <w:pPr>
              <w:pStyle w:val="Compact"/>
              <w:jc w:val="left"/>
            </w:pPr>
            <w:r>
              <w:t xml:space="preserve">events/second</w:t>
            </w:r>
          </w:p>
        </w:tc>
      </w:tr>
      <w:tr>
        <w:tc>
          <w:tcPr/>
          <w:p>
            <w:pPr>
              <w:pStyle w:val="Compact"/>
              <w:jc w:val="left"/>
            </w:pPr>
            <m:oMath>
              <m:r>
                <m:t>t</m:t>
              </m:r>
            </m:oMath>
          </w:p>
        </w:tc>
        <w:tc>
          <w:tcPr/>
          <w:p>
            <w:pPr>
              <w:pStyle w:val="Compact"/>
              <w:jc w:val="left"/>
            </w:pPr>
            <w:r>
              <w:t xml:space="preserve">Elapsed time</w:t>
            </w:r>
          </w:p>
        </w:tc>
        <w:tc>
          <w:tcPr/>
          <w:p>
            <w:pPr>
              <w:pStyle w:val="Compact"/>
              <w:jc w:val="left"/>
            </w:pPr>
            <w:r>
              <w:t xml:space="preserve">seconds</w:t>
            </w:r>
          </w:p>
        </w:tc>
      </w:tr>
      <w:tr>
        <w:tc>
          <w:tcPr/>
          <w:p>
            <w:pPr>
              <w:pStyle w:val="Compact"/>
              <w:jc w:val="left"/>
            </w:pPr>
            <m:oMath>
              <m:r>
                <m:t>μ</m:t>
              </m:r>
              <m:r>
                <m:rPr>
                  <m:sty m:val="p"/>
                </m:rPr>
                <m:t>,</m:t>
              </m:r>
              <m:r>
                <m:t>s</m:t>
              </m:r>
            </m:oMath>
          </w:p>
        </w:tc>
        <w:tc>
          <w:tcPr/>
          <w:p>
            <w:pPr>
              <w:pStyle w:val="Compact"/>
              <w:jc w:val="left"/>
            </w:pPr>
            <w:r>
              <w:t xml:space="preserve">Mean and standard deviation of</w:t>
            </w:r>
            <w:r>
              <w:t xml:space="preserve"> </w:t>
            </w:r>
            <m:oMath>
              <m:r>
                <m:rPr>
                  <m:sty m:val="p"/>
                </m:rPr>
                <m:t>ln</m:t>
              </m:r>
              <m:r>
                <m:t>X</m:t>
              </m:r>
            </m:oMath>
            <w:r>
              <w:t xml:space="preserve"> </w:t>
            </w:r>
            <w:r>
              <w:t xml:space="preserve">for a log-normal</w:t>
            </w:r>
            <w:r>
              <w:t xml:space="preserve"> </w:t>
            </w:r>
            <m:oMath>
              <m:r>
                <m:t>X</m:t>
              </m:r>
            </m:oMath>
          </w:p>
        </w:tc>
        <w:tc>
          <w:tcPr/>
          <w:p>
            <w:pPr>
              <w:pStyle w:val="Compact"/>
              <w:jc w:val="left"/>
            </w:pPr>
            <w:r>
              <w:t xml:space="preserve">ln of the unit of</w:t>
            </w:r>
            <w:r>
              <w:t xml:space="preserve"> </w:t>
            </w:r>
            <m:oMath>
              <m:r>
                <m:t>X</m:t>
              </m:r>
            </m:oMath>
          </w:p>
        </w:tc>
      </w:tr>
      <w:tr>
        <w:tc>
          <w:tcPr/>
          <w:p>
            <w:pPr>
              <w:pStyle w:val="Compact"/>
              <w:jc w:val="left"/>
            </w:pPr>
            <m:oMath>
              <m:sSub>
                <m:e>
                  <m:r>
                    <m:t>x</m:t>
                  </m:r>
                </m:e>
                <m:sub>
                  <m:r>
                    <m:t>m</m:t>
                  </m:r>
                </m:sub>
              </m:sSub>
            </m:oMath>
          </w:p>
        </w:tc>
        <w:tc>
          <w:tcPr/>
          <w:p>
            <w:pPr>
              <w:pStyle w:val="Compact"/>
              <w:jc w:val="left"/>
            </w:pPr>
            <w:r>
              <w:t xml:space="preserve">Pareto minimum (scale) value</w:t>
            </w:r>
          </w:p>
        </w:tc>
        <w:tc>
          <w:tcPr/>
          <w:p>
            <w:pPr>
              <w:pStyle w:val="Compact"/>
              <w:jc w:val="left"/>
            </w:pPr>
            <w:r>
              <w:t xml:space="preserve">unit of</w:t>
            </w:r>
            <w:r>
              <w:t xml:space="preserve"> </w:t>
            </w:r>
            <m:oMath>
              <m:r>
                <m:t>X</m:t>
              </m:r>
            </m:oMath>
            <w:r>
              <w:t xml:space="preserve"> </w:t>
            </w:r>
            <w:r>
              <w:t xml:space="preserve">(e.g. bytes)</w:t>
            </w:r>
          </w:p>
        </w:tc>
      </w:tr>
      <w:tr>
        <w:tc>
          <w:tcPr/>
          <w:p>
            <w:pPr>
              <w:pStyle w:val="Compact"/>
              <w:jc w:val="left"/>
            </w:pPr>
            <m:oMath>
              <m:r>
                <m:t>α</m:t>
              </m:r>
            </m:oMath>
          </w:p>
        </w:tc>
        <w:tc>
          <w:tcPr/>
          <w:p>
            <w:pPr>
              <w:pStyle w:val="Compact"/>
              <w:jc w:val="left"/>
            </w:pPr>
            <w:r>
              <w:t xml:space="preserve">Pareto tail index: smaller means heavier tail</w:t>
            </w:r>
          </w:p>
        </w:tc>
        <w:tc>
          <w:tcPr/>
          <w:p>
            <w:pPr>
              <w:pStyle w:val="Compact"/>
              <w:jc w:val="left"/>
            </w:pPr>
            <w:r>
              <w:t xml:space="preserve">dimensionless</w:t>
            </w:r>
          </w:p>
        </w:tc>
      </w:tr>
    </w:tbl>
    <w:p>
      <w:pPr>
        <w:pStyle w:val="BodyText"/>
      </w:pPr>
      <w:r>
        <w:rPr>
          <w:bCs/>
          <w:b/>
        </w:rPr>
        <w:t xml:space="preserve">Table 4.4 — Four distributions and where they appear in systems.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Distribution</w:t>
            </w:r>
          </w:p>
        </w:tc>
        <w:tc>
          <w:tcPr/>
          <w:p>
            <w:pPr>
              <w:pStyle w:val="Compact"/>
              <w:jc w:val="left"/>
            </w:pPr>
            <w:r>
              <w:t xml:space="preserve">Shape</w:t>
            </w:r>
          </w:p>
        </w:tc>
        <w:tc>
          <w:tcPr/>
          <w:p>
            <w:pPr>
              <w:pStyle w:val="Compact"/>
              <w:jc w:val="left"/>
            </w:pPr>
            <w:r>
              <w:t xml:space="preserve">Tail</w:t>
            </w:r>
          </w:p>
        </w:tc>
        <w:tc>
          <w:tcPr/>
          <w:p>
            <w:pPr>
              <w:pStyle w:val="Compact"/>
              <w:jc w:val="left"/>
            </w:pPr>
            <w:r>
              <w:t xml:space="preserve">Typical system quantity</w:t>
            </w:r>
          </w:p>
        </w:tc>
        <w:tc>
          <w:tcPr/>
          <w:p>
            <w:pPr>
              <w:pStyle w:val="Compact"/>
              <w:jc w:val="left"/>
            </w:pPr>
            <w:r>
              <w:t xml:space="preserve">Mean vs median</w:t>
            </w:r>
          </w:p>
        </w:tc>
      </w:tr>
      <w:tr>
        <w:tc>
          <w:tcPr/>
          <w:p>
            <w:pPr>
              <w:pStyle w:val="Compact"/>
              <w:jc w:val="left"/>
            </w:pPr>
            <w:r>
              <w:t xml:space="preserve">Normal</w:t>
            </w:r>
          </w:p>
        </w:tc>
        <w:tc>
          <w:tcPr/>
          <w:p>
            <w:pPr>
              <w:pStyle w:val="Compact"/>
              <w:jc w:val="left"/>
            </w:pPr>
            <w:r>
              <w:t xml:space="preserve">Symmetric bell</w:t>
            </w:r>
          </w:p>
        </w:tc>
        <w:tc>
          <w:tcPr/>
          <w:p>
            <w:pPr>
              <w:pStyle w:val="Compact"/>
              <w:jc w:val="left"/>
            </w:pPr>
            <w:r>
              <w:t xml:space="preserve">Very thin (</w:t>
            </w:r>
            <m:oMath>
              <m:sSup>
                <m:e>
                  <m:r>
                    <m:t>e</m:t>
                  </m:r>
                </m:e>
                <m:sup>
                  <m:r>
                    <m:rPr>
                      <m:sty m:val="p"/>
                    </m:rPr>
                    <m:t>−</m:t>
                  </m:r>
                  <m:sSup>
                    <m:e>
                      <m:r>
                        <m:t>x</m:t>
                      </m:r>
                    </m:e>
                    <m:sup>
                      <m:r>
                        <m:t>2</m:t>
                      </m:r>
                    </m:sup>
                  </m:sSup>
                </m:sup>
              </m:sSup>
            </m:oMath>
            <w:r>
              <w:t xml:space="preserve">)</w:t>
            </w:r>
          </w:p>
        </w:tc>
        <w:tc>
          <w:tcPr/>
          <w:p>
            <w:pPr>
              <w:pStyle w:val="Compact"/>
              <w:jc w:val="left"/>
            </w:pPr>
            <w:r>
              <w:t xml:space="preserve">Aggregates of many small effects; measurement noise</w:t>
            </w:r>
          </w:p>
        </w:tc>
        <w:tc>
          <w:tcPr/>
          <w:p>
            <w:pPr>
              <w:pStyle w:val="Compact"/>
              <w:jc w:val="left"/>
            </w:pPr>
            <w:r>
              <w:t xml:space="preserve">Equal</w:t>
            </w:r>
          </w:p>
        </w:tc>
      </w:tr>
      <w:tr>
        <w:tc>
          <w:tcPr/>
          <w:p>
            <w:pPr>
              <w:pStyle w:val="Compact"/>
              <w:jc w:val="left"/>
            </w:pPr>
            <w:r>
              <w:t xml:space="preserve">Exponential</w:t>
            </w:r>
          </w:p>
        </w:tc>
        <w:tc>
          <w:tcPr/>
          <w:p>
            <w:pPr>
              <w:pStyle w:val="Compact"/>
              <w:jc w:val="left"/>
            </w:pPr>
            <w:r>
              <w:t xml:space="preserve">Decaying from zero</w:t>
            </w:r>
          </w:p>
        </w:tc>
        <w:tc>
          <w:tcPr/>
          <w:p>
            <w:pPr>
              <w:pStyle w:val="Compact"/>
              <w:jc w:val="left"/>
            </w:pPr>
            <w:r>
              <w:t xml:space="preserve">Thin (</w:t>
            </w:r>
            <m:oMath>
              <m:sSup>
                <m:e>
                  <m:r>
                    <m:t>e</m:t>
                  </m:r>
                </m:e>
                <m:sup>
                  <m:r>
                    <m:rPr>
                      <m:sty m:val="p"/>
                    </m:rPr>
                    <m:t>−</m:t>
                  </m:r>
                  <m:r>
                    <m:t>x</m:t>
                  </m:r>
                </m:sup>
              </m:sSup>
            </m:oMath>
            <w:r>
              <w:t xml:space="preserve">)</w:t>
            </w:r>
          </w:p>
        </w:tc>
        <w:tc>
          <w:tcPr/>
          <w:p>
            <w:pPr>
              <w:pStyle w:val="Compact"/>
              <w:jc w:val="left"/>
            </w:pPr>
            <w:r>
              <w:t xml:space="preserve">Inter-arrival times; failures of non-aging parts</w:t>
            </w:r>
          </w:p>
        </w:tc>
        <w:tc>
          <w:tcPr/>
          <w:p>
            <w:pPr>
              <w:pStyle w:val="Compact"/>
              <w:jc w:val="left"/>
            </w:pPr>
            <w:r>
              <w:t xml:space="preserve">Mean ≈ 1.44 × median</w:t>
            </w:r>
          </w:p>
        </w:tc>
      </w:tr>
      <w:tr>
        <w:tc>
          <w:tcPr/>
          <w:p>
            <w:pPr>
              <w:pStyle w:val="Compact"/>
              <w:jc w:val="left"/>
            </w:pPr>
            <w:r>
              <w:t xml:space="preserve">Log-normal</w:t>
            </w:r>
          </w:p>
        </w:tc>
        <w:tc>
          <w:tcPr/>
          <w:p>
            <w:pPr>
              <w:pStyle w:val="Compact"/>
              <w:jc w:val="left"/>
            </w:pPr>
            <w:r>
              <w:t xml:space="preserve">Right-skewed</w:t>
            </w:r>
          </w:p>
        </w:tc>
        <w:tc>
          <w:tcPr/>
          <w:p>
            <w:pPr>
              <w:pStyle w:val="Compact"/>
              <w:jc w:val="left"/>
            </w:pPr>
            <w:r>
              <w:t xml:space="preserve">Moderately heavy</w:t>
            </w:r>
          </w:p>
        </w:tc>
        <w:tc>
          <w:tcPr/>
          <w:p>
            <w:pPr>
              <w:pStyle w:val="Compact"/>
              <w:jc w:val="left"/>
            </w:pPr>
            <w:r>
              <w:t xml:space="preserve">Request latency, service times</w:t>
            </w:r>
          </w:p>
        </w:tc>
        <w:tc>
          <w:tcPr/>
          <w:p>
            <w:pPr>
              <w:pStyle w:val="Compact"/>
              <w:jc w:val="left"/>
            </w:pPr>
            <w:r>
              <w:t xml:space="preserve">Mean &gt; median</w:t>
            </w:r>
          </w:p>
        </w:tc>
      </w:tr>
      <w:tr>
        <w:tc>
          <w:tcPr/>
          <w:p>
            <w:pPr>
              <w:pStyle w:val="Compact"/>
              <w:jc w:val="left"/>
            </w:pPr>
            <w:r>
              <w:t xml:space="preserve">Pareto</w:t>
            </w:r>
          </w:p>
        </w:tc>
        <w:tc>
          <w:tcPr/>
          <w:p>
            <w:pPr>
              <w:pStyle w:val="Compact"/>
              <w:jc w:val="left"/>
            </w:pPr>
            <w:r>
              <w:t xml:space="preserve">Right-skewed, power law</w:t>
            </w:r>
          </w:p>
        </w:tc>
        <w:tc>
          <w:tcPr/>
          <w:p>
            <w:pPr>
              <w:pStyle w:val="Compact"/>
              <w:jc w:val="left"/>
            </w:pPr>
            <w:r>
              <w:t xml:space="preserve">Heavy (polynomial)</w:t>
            </w:r>
          </w:p>
        </w:tc>
        <w:tc>
          <w:tcPr/>
          <w:p>
            <w:pPr>
              <w:pStyle w:val="Compact"/>
              <w:jc w:val="left"/>
            </w:pPr>
            <w:r>
              <w:t xml:space="preserve">File sizes, key popularity, user activity</w:t>
            </w:r>
          </w:p>
        </w:tc>
        <w:tc>
          <w:tcPr/>
          <w:p>
            <w:pPr>
              <w:pStyle w:val="Compact"/>
              <w:jc w:val="left"/>
            </w:pPr>
            <w:r>
              <w:t xml:space="preserve">Mean ≫ median (may be infinite)</w:t>
            </w:r>
          </w:p>
        </w:tc>
      </w:tr>
    </w:tbl>
    <w:p>
      <w:pPr>
        <w:pStyle w:val="CalloutExample"/>
      </w:pPr>
      <w:r>
        <w:rPr>
          <w:bCs/>
          <w:b/>
        </w:rPr>
        <w:t xml:space="preserve">WORKED EXAMPLE</w:t>
      </w:r>
    </w:p>
    <w:p>
      <w:pPr>
        <w:pStyle w:val="CalloutExample"/>
      </w:pPr>
      <w:r>
        <w:rPr>
          <w:bCs/>
          <w:b/>
        </w:rPr>
        <w:t xml:space="preserve">Worked example — Mean versus median for a log-normal latency.</w:t>
      </w:r>
      <w:r>
        <w:t xml:space="preserve"> </w:t>
      </w:r>
      <w:r>
        <w:t xml:space="preserve">Suppose</w:t>
      </w:r>
      <w:r>
        <w:t xml:space="preserve"> </w:t>
      </w:r>
      <m:oMath>
        <m:r>
          <m:rPr>
            <m:sty m:val="p"/>
          </m:rPr>
          <m:t>ln</m:t>
        </m:r>
        <m:d>
          <m:dPr>
            <m:begChr m:val="("/>
            <m:endChr m:val=")"/>
            <m:sepChr m:val=""/>
            <m:grow/>
          </m:dPr>
          <m:e>
            <m:r>
              <m:rPr>
                <m:nor/>
                <m:sty m:val="p"/>
              </m:rPr>
              <m:t>latency in ms</m:t>
            </m:r>
          </m:e>
        </m:d>
      </m:oMath>
      <w:r>
        <w:t xml:space="preserve"> </w:t>
      </w:r>
      <w:r>
        <w:t xml:space="preserve">has mean</w:t>
      </w:r>
      <w:r>
        <w:t xml:space="preserve"> </w:t>
      </w:r>
      <m:oMath>
        <m:r>
          <m:t>μ</m:t>
        </m:r>
        <m:r>
          <m:rPr>
            <m:sty m:val="p"/>
          </m:rPr>
          <m:t>=</m:t>
        </m:r>
        <m:r>
          <m:rPr>
            <m:sty m:val="p"/>
          </m:rPr>
          <m:t>ln</m:t>
        </m:r>
        <m:r>
          <m:t>20</m:t>
        </m:r>
        <m:r>
          <m:rPr>
            <m:sty m:val="p"/>
          </m:rPr>
          <m:t>=</m:t>
        </m:r>
        <m:r>
          <m:t>2.996</m:t>
        </m:r>
      </m:oMath>
      <w:r>
        <w:t xml:space="preserve"> </w:t>
      </w:r>
      <w:r>
        <w:t xml:space="preserve">and standard deviation</w:t>
      </w:r>
      <w:r>
        <w:t xml:space="preserve"> </w:t>
      </w:r>
      <m:oMath>
        <m:r>
          <m:t>s</m:t>
        </m:r>
        <m:r>
          <m:rPr>
            <m:sty m:val="p"/>
          </m:rPr>
          <m:t>=</m:t>
        </m:r>
        <m:r>
          <m:t>1.0</m:t>
        </m:r>
      </m:oMath>
      <w:r>
        <w:t xml:space="preserve">.</w:t>
      </w:r>
    </w:p>
    <w:p>
      <w:pPr>
        <w:numPr>
          <w:ilvl w:val="0"/>
          <w:numId w:val="1099"/>
        </w:numPr>
        <w:pStyle w:val="Compact"/>
      </w:pPr>
      <w:r>
        <w:t xml:space="preserve">Median:</w:t>
      </w:r>
      <w:r>
        <w:t xml:space="preserve"> </w:t>
      </w:r>
      <m:oMath>
        <m:sSup>
          <m:e>
            <m:r>
              <m:t>e</m:t>
            </m:r>
          </m:e>
          <m:sup>
            <m:r>
              <m:t>μ</m:t>
            </m:r>
          </m:sup>
        </m:sSup>
        <m:r>
          <m:rPr>
            <m:sty m:val="p"/>
          </m:rPr>
          <m:t>=</m:t>
        </m:r>
        <m:r>
          <m:t>20</m:t>
        </m:r>
      </m:oMath>
      <w:r>
        <w:t xml:space="preserve"> </w:t>
      </w:r>
      <w:r>
        <w:t xml:space="preserve">ms.</w:t>
      </w:r>
    </w:p>
    <w:p>
      <w:pPr>
        <w:numPr>
          <w:ilvl w:val="0"/>
          <w:numId w:val="1099"/>
        </w:numPr>
        <w:pStyle w:val="Compact"/>
      </w:pPr>
      <w:r>
        <w:t xml:space="preserve">Mean:</w:t>
      </w:r>
      <w:r>
        <w:t xml:space="preserve"> </w:t>
      </w:r>
      <m:oMath>
        <m:sSup>
          <m:e>
            <m:r>
              <m:t>e</m:t>
            </m:r>
          </m:e>
          <m:sup>
            <m:r>
              <m:t>μ</m:t>
            </m:r>
            <m:r>
              <m:rPr>
                <m:sty m:val="p"/>
              </m:rPr>
              <m:t>+</m:t>
            </m:r>
            <m:sSup>
              <m:e>
                <m:r>
                  <m:t>s</m:t>
                </m:r>
              </m:e>
              <m:sup>
                <m:r>
                  <m:t>2</m:t>
                </m:r>
              </m:sup>
            </m:sSup>
            <m:r>
              <m:rPr>
                <m:sty m:val="p"/>
              </m:rPr>
              <m:t>/</m:t>
            </m:r>
            <m:r>
              <m:t>2</m:t>
            </m:r>
          </m:sup>
        </m:sSup>
        <m:r>
          <m:rPr>
            <m:sty m:val="p"/>
          </m:rPr>
          <m:t>=</m:t>
        </m:r>
        <m:sSup>
          <m:e>
            <m:r>
              <m:t>e</m:t>
            </m:r>
          </m:e>
          <m:sup>
            <m:r>
              <m:t>2.996</m:t>
            </m:r>
            <m:r>
              <m:rPr>
                <m:sty m:val="p"/>
              </m:rPr>
              <m:t>+</m:t>
            </m:r>
            <m:r>
              <m:t>0.5</m:t>
            </m:r>
          </m:sup>
        </m:sSup>
        <m:r>
          <m:rPr>
            <m:sty m:val="p"/>
          </m:rPr>
          <m:t>=</m:t>
        </m:r>
        <m:r>
          <m:t>20</m:t>
        </m:r>
        <m:r>
          <m:rPr>
            <m:sty m:val="p"/>
          </m:rPr>
          <m:t>×</m:t>
        </m:r>
        <m:sSup>
          <m:e>
            <m:r>
              <m:t>e</m:t>
            </m:r>
          </m:e>
          <m:sup>
            <m:r>
              <m:t>0.5</m:t>
            </m:r>
          </m:sup>
        </m:sSup>
        <m:r>
          <m:rPr>
            <m:sty m:val="p"/>
          </m:rPr>
          <m:t>=</m:t>
        </m:r>
        <m:r>
          <m:t>20</m:t>
        </m:r>
        <m:r>
          <m:rPr>
            <m:sty m:val="p"/>
          </m:rPr>
          <m:t>×</m:t>
        </m:r>
        <m:r>
          <m:t>1.649</m:t>
        </m:r>
        <m:r>
          <m:rPr>
            <m:sty m:val="p"/>
          </m:rPr>
          <m:t>=</m:t>
        </m:r>
        <m:r>
          <m:t>33.0</m:t>
        </m:r>
      </m:oMath>
      <w:r>
        <w:t xml:space="preserve"> </w:t>
      </w:r>
      <w:r>
        <w:t xml:space="preserve">ms.</w:t>
      </w:r>
    </w:p>
    <w:p>
      <w:pPr>
        <w:numPr>
          <w:ilvl w:val="0"/>
          <w:numId w:val="1099"/>
        </w:numPr>
        <w:pStyle w:val="Compact"/>
      </w:pPr>
      <w:r>
        <w:t xml:space="preserve">The 99th percentile of a normal variable is</w:t>
      </w:r>
      <w:r>
        <w:t xml:space="preserve"> </w:t>
      </w:r>
      <m:oMath>
        <m:r>
          <m:t>μ</m:t>
        </m:r>
        <m:r>
          <m:rPr>
            <m:sty m:val="p"/>
          </m:rPr>
          <m:t>+</m:t>
        </m:r>
        <m:r>
          <m:t>2.326</m:t>
        </m:r>
        <m:r>
          <m:t> </m:t>
        </m:r>
        <m:r>
          <m:t>s</m:t>
        </m:r>
      </m:oMath>
      <w:r>
        <w:t xml:space="preserve">, so p99</w:t>
      </w:r>
      <w:r>
        <w:t xml:space="preserve"> </w:t>
      </w:r>
      <m:oMath>
        <m:r>
          <m:rPr>
            <m:sty m:val="p"/>
          </m:rPr>
          <m:t>=</m:t>
        </m:r>
        <m:sSup>
          <m:e>
            <m:r>
              <m:t>e</m:t>
            </m:r>
          </m:e>
          <m:sup>
            <m:r>
              <m:t>2.996</m:t>
            </m:r>
            <m:r>
              <m:rPr>
                <m:sty m:val="p"/>
              </m:rPr>
              <m:t>+</m:t>
            </m:r>
            <m:r>
              <m:t>2.326</m:t>
            </m:r>
          </m:sup>
        </m:sSup>
        <m:r>
          <m:rPr>
            <m:sty m:val="p"/>
          </m:rPr>
          <m:t>=</m:t>
        </m:r>
        <m:r>
          <m:t>20</m:t>
        </m:r>
        <m:r>
          <m:rPr>
            <m:sty m:val="p"/>
          </m:rPr>
          <m:t>×</m:t>
        </m:r>
        <m:sSup>
          <m:e>
            <m:r>
              <m:t>e</m:t>
            </m:r>
          </m:e>
          <m:sup>
            <m:r>
              <m:t>2.326</m:t>
            </m:r>
          </m:sup>
        </m:sSup>
        <m:r>
          <m:rPr>
            <m:sty m:val="p"/>
          </m:rPr>
          <m:t>=</m:t>
        </m:r>
        <m:r>
          <m:t>20</m:t>
        </m:r>
        <m:r>
          <m:rPr>
            <m:sty m:val="p"/>
          </m:rPr>
          <m:t>×</m:t>
        </m:r>
        <m:r>
          <m:t>10.24</m:t>
        </m:r>
        <m:r>
          <m:rPr>
            <m:sty m:val="p"/>
          </m:rPr>
          <m:t>=</m:t>
        </m:r>
        <m:r>
          <m:t>205</m:t>
        </m:r>
      </m:oMath>
      <w:r>
        <w:t xml:space="preserve"> </w:t>
      </w:r>
      <w:r>
        <w:t xml:space="preserve">ms.</w:t>
      </w:r>
    </w:p>
    <w:p>
      <w:pPr>
        <w:pStyle w:val="CalloutExample"/>
      </w:pPr>
      <w:r>
        <w:rPr>
          <w:bCs/>
          <w:b/>
        </w:rPr>
        <w:t xml:space="preserve">Interpretation.</w:t>
      </w:r>
      <w:r>
        <w:t xml:space="preserve"> </w:t>
      </w:r>
      <w:r>
        <w:t xml:space="preserve">The p99 is about 10 times the median, and the mean sits 65% above the median.</w:t>
      </w:r>
      <w:r>
        <w:t xml:space="preserve"> </w:t>
      </w:r>
      <w:r>
        <w:rPr>
          <w:bCs/>
          <w:b/>
        </w:rPr>
        <w:t xml:space="preserve">Engineering implication.</w:t>
      </w:r>
      <w:r>
        <w:t xml:space="preserve"> </w:t>
      </w:r>
      <w:r>
        <w:t xml:space="preserve">If you set a timeout at the mean (33 ms) you will time out nearly one request in three:</w:t>
      </w:r>
      <w:r>
        <w:t xml:space="preserve"> </w:t>
      </w:r>
      <m:oMath>
        <m:r>
          <m:rPr>
            <m:sty m:val="p"/>
          </m:rPr>
          <m:t>ln</m:t>
        </m:r>
        <m:r>
          <m:t>33</m:t>
        </m:r>
        <m:r>
          <m:rPr>
            <m:sty m:val="p"/>
          </m:rPr>
          <m:t>−</m:t>
        </m:r>
        <m:r>
          <m:rPr>
            <m:sty m:val="p"/>
          </m:rPr>
          <m:t>ln</m:t>
        </m:r>
        <m:r>
          <m:t>20</m:t>
        </m:r>
        <m:r>
          <m:rPr>
            <m:sty m:val="p"/>
          </m:rPr>
          <m:t>=</m:t>
        </m:r>
        <m:r>
          <m:t>0.50</m:t>
        </m:r>
      </m:oMath>
      <w:r>
        <w:t xml:space="preserve">, which is</w:t>
      </w:r>
      <w:r>
        <w:t xml:space="preserve"> </w:t>
      </w:r>
      <m:oMath>
        <m:r>
          <m:t>0.5</m:t>
        </m:r>
        <m:r>
          <m:t> </m:t>
        </m:r>
        <m:r>
          <m:t>s</m:t>
        </m:r>
      </m:oMath>
      <w:r>
        <w:t xml:space="preserve"> </w:t>
      </w:r>
      <w:r>
        <w:t xml:space="preserve">above</w:t>
      </w:r>
      <w:r>
        <w:t xml:space="preserve"> </w:t>
      </w:r>
      <m:oMath>
        <m:r>
          <m:t>μ</m:t>
        </m:r>
      </m:oMath>
      <w:r>
        <w:t xml:space="preserve">, and a normal variable exceeds</w:t>
      </w:r>
      <w:r>
        <w:t xml:space="preserve"> </w:t>
      </w:r>
      <m:oMath>
        <m:r>
          <m:t>μ</m:t>
        </m:r>
        <m:r>
          <m:rPr>
            <m:sty m:val="p"/>
          </m:rPr>
          <m:t>+</m:t>
        </m:r>
        <m:r>
          <m:t>0.5</m:t>
        </m:r>
        <m:r>
          <m:t> </m:t>
        </m:r>
        <m:r>
          <m:t>s</m:t>
        </m:r>
      </m:oMath>
      <w:r>
        <w:t xml:space="preserve"> </w:t>
      </w:r>
      <w:r>
        <w:t xml:space="preserve">with probability 0.31. The Python example in §4.8.2 samples this exact distribution and confirms these values empirically.</w:t>
      </w:r>
    </w:p>
    <w:bookmarkEnd w:id="368"/>
    <w:bookmarkStart w:id="369" w:name="why-averages-lie"/>
    <w:p>
      <w:pPr>
        <w:pStyle w:val="Heading3"/>
      </w:pPr>
      <w:r>
        <w:t xml:space="preserve">4.7.3 Why averages lie</w:t>
      </w:r>
    </w:p>
    <w:p>
      <w:pPr>
        <w:pStyle w:val="FirstParagraph"/>
      </w:pPr>
      <w:r>
        <w:t xml:space="preserve">Averages mislead in four recurring ways:</w:t>
      </w:r>
      <w:r>
        <w:t xml:space="preserve"> </w:t>
      </w:r>
      <w:r>
        <w:rPr>
          <w:bCs/>
          <w:b/>
        </w:rPr>
        <w:t xml:space="preserve">skew</w:t>
      </w:r>
      <w:r>
        <w:t xml:space="preserve"> </w:t>
      </w:r>
      <w:r>
        <w:t xml:space="preserve">(the mean is pulled toward the tail, as above);</w:t>
      </w:r>
      <w:r>
        <w:t xml:space="preserve"> </w:t>
      </w:r>
      <w:r>
        <w:rPr>
          <w:bCs/>
          <w:b/>
        </w:rPr>
        <w:t xml:space="preserve">time aggregation</w:t>
      </w:r>
      <w:r>
        <w:t xml:space="preserve"> </w:t>
      </w:r>
      <w:r>
        <w:t xml:space="preserve">(a day-long average of 50 ms can hide a 10-minute window at 2 s);</w:t>
      </w:r>
      <w:r>
        <w:t xml:space="preserve"> </w:t>
      </w:r>
      <w:r>
        <w:rPr>
          <w:bCs/>
          <w:b/>
        </w:rPr>
        <w:t xml:space="preserve">averaging percentiles</w:t>
      </w:r>
      <w:r>
        <w:t xml:space="preserve"> </w:t>
      </w:r>
      <w:r>
        <w:t xml:space="preserve">(a fleet p99 is not the mean of per-host p99s — merge histograms instead, §4.8.3); and</w:t>
      </w:r>
      <w:r>
        <w:t xml:space="preserve"> </w:t>
      </w:r>
      <w:r>
        <w:rPr>
          <w:bCs/>
          <w:b/>
        </w:rPr>
        <w:t xml:space="preserve">averaging over users</w:t>
      </w:r>
      <w:r>
        <w:t xml:space="preserve"> </w:t>
      </w:r>
      <w:r>
        <w:t xml:space="preserve">(if 1% of users send 50% of requests, per-request and per-user averages can tell opposite stories).</w:t>
      </w:r>
    </w:p>
    <w:p>
      <w:pPr>
        <w:pStyle w:val="CalloutMistake"/>
      </w:pPr>
      <w:r>
        <w:rPr>
          <w:bCs/>
          <w:b/>
        </w:rPr>
        <w:t xml:space="preserve">COMMON MISTAKE</w:t>
      </w:r>
    </w:p>
    <w:p>
      <w:pPr>
        <w:pStyle w:val="CalloutMistake"/>
      </w:pPr>
      <w:r>
        <w:rPr>
          <w:bCs/>
          <w:b/>
        </w:rPr>
        <w:t xml:space="preserve">Mistake —</w:t>
      </w:r>
      <w:r>
        <w:rPr>
          <w:bCs/>
          <w:b/>
        </w:rPr>
        <w:t xml:space="preserve"> </w:t>
      </w:r>
      <w:r>
        <w:rPr>
          <w:bCs/>
          <w:b/>
        </w:rPr>
        <w:t xml:space="preserve">“</w:t>
      </w:r>
      <w:r>
        <w:rPr>
          <w:bCs/>
          <w:b/>
        </w:rPr>
        <w:t xml:space="preserve">Average latency is 40 ms, so we meet our 100 ms SLO.</w:t>
      </w:r>
      <w:r>
        <w:rPr>
          <w:bCs/>
          <w:b/>
        </w:rPr>
        <w:t xml:space="preserve">”</w:t>
      </w:r>
      <w:r>
        <w:t xml:space="preserve"> </w:t>
      </w:r>
      <w:r>
        <w:t xml:space="preserve">An SLO is about the fraction of requests that are fast enough. A mean of 40 ms is compatible with 10% of requests taking over a second. SLOs are written in percentiles (§39.6) for exactly this reason.</w:t>
      </w:r>
    </w:p>
    <w:bookmarkEnd w:id="369"/>
    <w:bookmarkEnd w:id="370"/>
    <w:bookmarkStart w:id="380" w:name="percentiles-and-tail-latency"/>
    <w:p>
      <w:pPr>
        <w:pStyle w:val="Heading2"/>
      </w:pPr>
      <w:r>
        <w:t xml:space="preserve">4.8 Percentiles and tail latency</w:t>
      </w:r>
    </w:p>
    <w:bookmarkStart w:id="372" w:name="definition"/>
    <w:p>
      <w:pPr>
        <w:pStyle w:val="Heading3"/>
      </w:pPr>
      <w:r>
        <w:t xml:space="preserve">4.8.1 Definition</w:t>
      </w:r>
    </w:p>
    <w:p>
      <w:pPr>
        <w:pStyle w:val="CalloutDefinition"/>
      </w:pPr>
      <w:r>
        <w:rPr>
          <w:bCs/>
          <w:b/>
        </w:rPr>
        <w:t xml:space="preserve">DEFINITION</w:t>
      </w:r>
    </w:p>
    <w:p>
      <w:pPr>
        <w:pStyle w:val="CalloutDefinition"/>
      </w:pPr>
      <w:r>
        <w:rPr>
          <w:bCs/>
          <w:b/>
        </w:rPr>
        <w:t xml:space="preserve">Definition — Percentile.</w:t>
      </w:r>
      <w:r>
        <w:t xml:space="preserve"> </w:t>
      </w:r>
      <w:r>
        <w:t xml:space="preserve">The</w:t>
      </w:r>
      <w:r>
        <w:t xml:space="preserve"> </w:t>
      </w:r>
      <m:oMath>
        <m:r>
          <m:t>q</m:t>
        </m:r>
      </m:oMath>
      <w:r>
        <w:t xml:space="preserve">-th percentile of a set of measurements is the value at or below which</w:t>
      </w:r>
      <w:r>
        <w:t xml:space="preserve"> </w:t>
      </w:r>
      <m:oMath>
        <m:r>
          <m:t>q</m:t>
        </m:r>
      </m:oMath>
      <w:r>
        <w:t xml:space="preserve">% of the measurements fall. Latency percentiles are written</w:t>
      </w:r>
      <w:r>
        <w:t xml:space="preserve"> </w:t>
      </w:r>
      <w:r>
        <w:rPr>
          <w:bCs/>
          <w:b/>
        </w:rPr>
        <w:t xml:space="preserve">p50</w:t>
      </w:r>
      <w:r>
        <w:t xml:space="preserve"> </w:t>
      </w:r>
      <w:r>
        <w:t xml:space="preserve">(the median),</w:t>
      </w:r>
      <w:r>
        <w:t xml:space="preserve"> </w:t>
      </w:r>
      <w:r>
        <w:rPr>
          <w:bCs/>
          <w:b/>
        </w:rPr>
        <w:t xml:space="preserve">p95</w:t>
      </w:r>
      <w:r>
        <w:t xml:space="preserve">,</w:t>
      </w:r>
      <w:r>
        <w:t xml:space="preserve"> </w:t>
      </w:r>
      <w:r>
        <w:rPr>
          <w:bCs/>
          <w:b/>
        </w:rPr>
        <w:t xml:space="preserve">p99</w:t>
      </w:r>
      <w:r>
        <w:t xml:space="preserve"> </w:t>
      </w:r>
      <w:r>
        <w:t xml:space="preserve">and</w:t>
      </w:r>
      <w:r>
        <w:t xml:space="preserve"> </w:t>
      </w:r>
      <w:r>
        <w:rPr>
          <w:bCs/>
          <w:b/>
        </w:rPr>
        <w:t xml:space="preserve">p99.9</w:t>
      </w:r>
      <w:r>
        <w:t xml:space="preserve"> </w:t>
      </w:r>
      <w:r>
        <w:t xml:space="preserve">(also written p999): the 50th, 95th, 99th and 99.9th percentiles.</w:t>
      </w:r>
    </w:p>
    <w:bookmarkStart w:id="371" w:name="first-principles-explanation-24"/>
    <w:p>
      <w:pPr>
        <w:pStyle w:val="Heading4"/>
      </w:pPr>
      <w:r>
        <w:t xml:space="preserve">First-principles explanation</w:t>
      </w:r>
    </w:p>
    <w:p>
      <w:pPr>
        <w:pStyle w:val="FirstParagraph"/>
      </w:pPr>
      <w:r>
        <w:t xml:space="preserve">Line up 1,000 runners by finishing time: the p50 is the 500th runner’s time, the p99 the 990th’s, the p99.9 the 999th’s. Percentiles describe what a</w:t>
      </w:r>
      <w:r>
        <w:t xml:space="preserve"> </w:t>
      </w:r>
      <w:r>
        <w:rPr>
          <w:iCs/>
          <w:i/>
        </w:rPr>
        <w:t xml:space="preserve">fraction of requests</w:t>
      </w:r>
      <w:r>
        <w:t xml:space="preserve"> </w:t>
      </w:r>
      <w:r>
        <w:t xml:space="preserve">experiences — if your p99 is 2 s, one request in a hundred is painfully slow, and a page making 50 requests will often hit one (§4.8.4).</w:t>
      </w:r>
    </w:p>
    <w:p>
      <w:pPr>
        <w:pStyle w:val="BodyText"/>
      </w:pPr>
      <w:r>
        <w:t xml:space="preserve">The region above roughly p99 is called the</w:t>
      </w:r>
      <w:r>
        <w:t xml:space="preserve"> </w:t>
      </w:r>
      <w:r>
        <w:rPr>
          <w:bCs/>
          <w:b/>
        </w:rPr>
        <w:t xml:space="preserve">tail</w:t>
      </w:r>
      <w:r>
        <w:t xml:space="preserve">, and</w:t>
      </w:r>
      <w:r>
        <w:t xml:space="preserve"> </w:t>
      </w:r>
      <w:r>
        <w:rPr>
          <w:bCs/>
          <w:b/>
        </w:rPr>
        <w:t xml:space="preserve">tail latency</w:t>
      </w:r>
      <w:r>
        <w:t xml:space="preserve"> </w:t>
      </w:r>
      <w:r>
        <w:t xml:space="preserve">is the study of why those requests are slow and how to make them faster. Causes include garbage-collection pauses, queueing behind a large request, background compaction, cache misses, retransmitted packets and noisy neighbors [Dean and Barroso 2013].</w:t>
      </w:r>
    </w:p>
    <w:bookmarkEnd w:id="371"/>
    <w:bookmarkEnd w:id="372"/>
    <w:bookmarkStart w:id="373" w:name="computing-percentiles-from-samples"/>
    <w:p>
      <w:pPr>
        <w:pStyle w:val="Heading3"/>
      </w:pPr>
      <w:r>
        <w:t xml:space="preserve">4.8.2 Computing percentiles from samples</w:t>
      </w:r>
    </w:p>
    <w:p>
      <w:pPr>
        <w:pStyle w:val="FirstParagraph"/>
      </w:pPr>
      <w:r>
        <w:t xml:space="preserve">The simplest definition is the</w:t>
      </w:r>
      <w:r>
        <w:t xml:space="preserve"> </w:t>
      </w:r>
      <w:r>
        <w:rPr>
          <w:bCs/>
          <w:b/>
        </w:rPr>
        <w:t xml:space="preserve">nearest-rank method</w:t>
      </w:r>
      <w:r>
        <w:t xml:space="preserve">.</w:t>
      </w:r>
    </w:p>
    <w:p>
      <w:pPr>
        <w:pStyle w:val="CalloutFormula"/>
      </w:pPr>
      <w:r>
        <w:rPr>
          <w:bCs/>
          <w:b/>
        </w:rPr>
        <w:t xml:space="preserve">FORMULA</w:t>
      </w:r>
    </w:p>
    <w:p>
      <w:pPr>
        <w:pStyle w:val="CalloutFormula"/>
      </w:pPr>
      <w:r>
        <w:rPr>
          <w:bCs/>
          <w:b/>
        </w:rPr>
        <w:t xml:space="preserve">Nearest-rank percentile</w:t>
      </w:r>
    </w:p>
    <w:p>
      <w:pPr>
        <w:pStyle w:val="CalloutFormula"/>
      </w:pPr>
      <m:oMathPara>
        <m:oMathParaPr>
          <m:jc m:val="center"/>
        </m:oMathParaPr>
        <m:oMath>
          <m:r>
            <m:t>r</m:t>
          </m:r>
          <m:r>
            <m:rPr>
              <m:sty m:val="p"/>
            </m:rPr>
            <m:t>=</m:t>
          </m:r>
          <m:d>
            <m:dPr>
              <m:begChr m:val="⌈"/>
              <m:endChr m:val="⌉"/>
              <m:sepChr m:val=""/>
              <m:grow/>
            </m:dPr>
            <m:e>
              <m:f>
                <m:fPr>
                  <m:type m:val="bar"/>
                </m:fPr>
                <m:num>
                  <m:r>
                    <m:t>q</m:t>
                  </m:r>
                </m:num>
                <m:den>
                  <m:r>
                    <m:t>100</m:t>
                  </m:r>
                </m:den>
              </m:f>
              <m:r>
                <m:rPr>
                  <m:sty m:val="p"/>
                </m:rPr>
                <m:t>×</m:t>
              </m:r>
              <m:r>
                <m:t>n</m:t>
              </m:r>
            </m:e>
          </m:d>
          <m:r>
            <m:rPr>
              <m:sty m:val="p"/>
            </m:rPr>
            <m:t>,</m:t>
          </m:r>
          <m:r>
            <m:t>  </m:t>
          </m:r>
          <m:r>
            <m:rPr>
              <m:nor/>
              <m:sty m:val="p"/>
            </m:rPr>
            <m:t>p</m:t>
          </m:r>
          <m:r>
            <m:t>q</m:t>
          </m:r>
          <m:r>
            <m:rPr>
              <m:sty m:val="p"/>
            </m:rPr>
            <m:t>=</m:t>
          </m:r>
          <m:sSub>
            <m:e>
              <m:r>
                <m:t>x</m:t>
              </m:r>
            </m:e>
            <m:sub>
              <m:d>
                <m:dPr>
                  <m:begChr m:val="("/>
                  <m:endChr m:val=")"/>
                  <m:sepChr m:val=""/>
                  <m:grow/>
                </m:dPr>
                <m:e>
                  <m:r>
                    <m:t>r</m:t>
                  </m:r>
                </m:e>
              </m:d>
            </m:sub>
          </m:sSub>
        </m:oMath>
      </m:oMathPara>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q</m:t>
              </m:r>
            </m:oMath>
          </w:p>
        </w:tc>
        <w:tc>
          <w:tcPr/>
          <w:p>
            <w:pPr>
              <w:pStyle w:val="Compact"/>
              <w:jc w:val="left"/>
            </w:pPr>
            <w:r>
              <w:t xml:space="preserve">Desired percentile,</w:t>
            </w:r>
            <w:r>
              <w:t xml:space="preserve"> </w:t>
            </w:r>
            <m:oMath>
              <m:r>
                <m:t>0</m:t>
              </m:r>
              <m:r>
                <m:rPr>
                  <m:sty m:val="p"/>
                </m:rPr>
                <m:t>&lt;</m:t>
              </m:r>
              <m:r>
                <m:t>q</m:t>
              </m:r>
              <m:r>
                <m:rPr>
                  <m:sty m:val="p"/>
                </m:rPr>
                <m:t>≤</m:t>
              </m:r>
              <m:r>
                <m:t>100</m:t>
              </m:r>
            </m:oMath>
          </w:p>
        </w:tc>
        <w:tc>
          <w:tcPr/>
          <w:p>
            <w:pPr>
              <w:pStyle w:val="Compact"/>
              <w:jc w:val="left"/>
            </w:pPr>
            <w:r>
              <w:t xml:space="preserve">percent</w:t>
            </w:r>
          </w:p>
        </w:tc>
      </w:tr>
      <w:tr>
        <w:tc>
          <w:tcPr/>
          <w:p>
            <w:pPr>
              <w:pStyle w:val="Compact"/>
              <w:jc w:val="left"/>
            </w:pPr>
            <m:oMath>
              <m:r>
                <m:t>n</m:t>
              </m:r>
            </m:oMath>
          </w:p>
        </w:tc>
        <w:tc>
          <w:tcPr/>
          <w:p>
            <w:pPr>
              <w:pStyle w:val="Compact"/>
              <w:jc w:val="left"/>
            </w:pPr>
            <w:r>
              <w:t xml:space="preserve">Number of samples</w:t>
            </w:r>
          </w:p>
        </w:tc>
        <w:tc>
          <w:tcPr/>
          <w:p>
            <w:pPr>
              <w:pStyle w:val="Compact"/>
              <w:jc w:val="left"/>
            </w:pPr>
            <w:r>
              <w:t xml:space="preserve">count</w:t>
            </w:r>
          </w:p>
        </w:tc>
      </w:tr>
      <w:tr>
        <w:tc>
          <w:tcPr/>
          <w:p>
            <w:pPr>
              <w:pStyle w:val="Compact"/>
              <w:jc w:val="left"/>
            </w:pPr>
            <m:oMath>
              <m:r>
                <m:t>r</m:t>
              </m:r>
            </m:oMath>
          </w:p>
        </w:tc>
        <w:tc>
          <w:tcPr/>
          <w:p>
            <w:pPr>
              <w:pStyle w:val="Compact"/>
              <w:jc w:val="left"/>
            </w:pPr>
            <w:r>
              <w:t xml:space="preserve">1-based rank in the sorted list</w:t>
            </w:r>
          </w:p>
        </w:tc>
        <w:tc>
          <w:tcPr/>
          <w:p>
            <w:pPr>
              <w:pStyle w:val="Compact"/>
              <w:jc w:val="left"/>
            </w:pPr>
            <w:r>
              <w:t xml:space="preserve">position</w:t>
            </w:r>
          </w:p>
        </w:tc>
      </w:tr>
      <w:tr>
        <w:tc>
          <w:tcPr/>
          <w:p>
            <w:pPr>
              <w:pStyle w:val="Compact"/>
              <w:jc w:val="left"/>
            </w:pPr>
            <m:oMath>
              <m:sSub>
                <m:e>
                  <m:r>
                    <m:t>x</m:t>
                  </m:r>
                </m:e>
                <m:sub>
                  <m:d>
                    <m:dPr>
                      <m:begChr m:val="("/>
                      <m:endChr m:val=")"/>
                      <m:sepChr m:val=""/>
                      <m:grow/>
                    </m:dPr>
                    <m:e>
                      <m:r>
                        <m:t>r</m:t>
                      </m:r>
                    </m:e>
                  </m:d>
                </m:sub>
              </m:sSub>
            </m:oMath>
          </w:p>
        </w:tc>
        <w:tc>
          <w:tcPr/>
          <w:p>
            <w:pPr>
              <w:pStyle w:val="Compact"/>
              <w:jc w:val="left"/>
            </w:pPr>
            <w:r>
              <w:t xml:space="preserve">The</w:t>
            </w:r>
            <w:r>
              <w:t xml:space="preserve"> </w:t>
            </w:r>
            <m:oMath>
              <m:r>
                <m:t>r</m:t>
              </m:r>
            </m:oMath>
            <w:r>
              <w:t xml:space="preserve">-th smallest sample</w:t>
            </w:r>
          </w:p>
        </w:tc>
        <w:tc>
          <w:tcPr/>
          <w:p>
            <w:pPr>
              <w:pStyle w:val="Compact"/>
              <w:jc w:val="left"/>
            </w:pPr>
            <w:r>
              <w:t xml:space="preserve">e.g. ms</w:t>
            </w:r>
          </w:p>
        </w:tc>
      </w:tr>
    </w:tbl>
    <w:p>
      <w:pPr>
        <w:pStyle w:val="BodyText"/>
      </w:pPr>
      <w:r>
        <w:t xml:space="preserve">Other definitions interpolate between neighboring samples (NumPy’s default does); they differ noticeably only when</w:t>
      </w:r>
      <w:r>
        <w:t xml:space="preserve"> </w:t>
      </w:r>
      <m:oMath>
        <m:r>
          <m:t>n</m:t>
        </m:r>
      </m:oMath>
      <w:r>
        <w:t xml:space="preserve"> </w:t>
      </w:r>
      <w:r>
        <w:t xml:space="preserve">is small. With 10 samples, a</w:t>
      </w:r>
      <w:r>
        <w:t xml:space="preserve"> </w:t>
      </w:r>
      <w:r>
        <w:t xml:space="preserve">“</w:t>
      </w:r>
      <w:r>
        <w:t xml:space="preserve">p99</w:t>
      </w:r>
      <w:r>
        <w:t xml:space="preserve">”</w:t>
      </w:r>
      <w:r>
        <w:t xml:space="preserve"> </w:t>
      </w:r>
      <w:r>
        <w:t xml:space="preserve">is just the maximum, which is why a p99 needs at least several hundred samples and a p99.9 several thousand to mean anything.</w:t>
      </w:r>
    </w:p>
    <w:p>
      <w:pPr>
        <w:pStyle w:val="CalloutExample"/>
      </w:pPr>
      <w:r>
        <w:rPr>
          <w:bCs/>
          <w:b/>
        </w:rPr>
        <w:t xml:space="preserve">WORKED EXAMPLE</w:t>
      </w:r>
    </w:p>
    <w:p>
      <w:pPr>
        <w:pStyle w:val="CalloutExample"/>
      </w:pPr>
      <w:r>
        <w:rPr>
          <w:bCs/>
          <w:b/>
        </w:rPr>
        <w:t xml:space="preserve">Worked example — Percentiles of the ten measurements from §4.7.1.</w:t>
      </w:r>
      <w:r>
        <w:t xml:space="preserve"> </w:t>
      </w:r>
      <w:r>
        <w:t xml:space="preserve">Sorted: 11, 12, 12, 13, 14, 14, 15, 16, 18, 250.</w:t>
      </w:r>
    </w:p>
    <w:p>
      <w:pPr>
        <w:numPr>
          <w:ilvl w:val="0"/>
          <w:numId w:val="1100"/>
        </w:numPr>
        <w:pStyle w:val="Compact"/>
      </w:pPr>
      <w:r>
        <w:t xml:space="preserve">p50:</w:t>
      </w:r>
      <w:r>
        <w:t xml:space="preserve"> </w:t>
      </w:r>
      <m:oMath>
        <m:r>
          <m:t>r</m:t>
        </m:r>
        <m:r>
          <m:rPr>
            <m:sty m:val="p"/>
          </m:rPr>
          <m:t>=</m:t>
        </m:r>
        <m:r>
          <m:rPr>
            <m:sty m:val="p"/>
          </m:rPr>
          <m:t>⌈</m:t>
        </m:r>
        <m:r>
          <m:t>0.50</m:t>
        </m:r>
        <m:r>
          <m:rPr>
            <m:sty m:val="p"/>
          </m:rPr>
          <m:t>×</m:t>
        </m:r>
        <m:r>
          <m:t>10</m:t>
        </m:r>
        <m:r>
          <m:rPr>
            <m:sty m:val="p"/>
          </m:rPr>
          <m:t>⌉</m:t>
        </m:r>
        <m:r>
          <m:rPr>
            <m:sty m:val="p"/>
          </m:rPr>
          <m:t>=</m:t>
        </m:r>
        <m:r>
          <m:t>5</m:t>
        </m:r>
      </m:oMath>
      <w:r>
        <w:t xml:space="preserve"> </w:t>
      </w:r>
      <w:r>
        <w:t xml:space="preserve">→ 14 ms.</w:t>
      </w:r>
    </w:p>
    <w:p>
      <w:pPr>
        <w:numPr>
          <w:ilvl w:val="0"/>
          <w:numId w:val="1100"/>
        </w:numPr>
        <w:pStyle w:val="Compact"/>
      </w:pPr>
      <w:r>
        <w:t xml:space="preserve">p90:</w:t>
      </w:r>
      <w:r>
        <w:t xml:space="preserve"> </w:t>
      </w:r>
      <m:oMath>
        <m:r>
          <m:t>r</m:t>
        </m:r>
        <m:r>
          <m:rPr>
            <m:sty m:val="p"/>
          </m:rPr>
          <m:t>=</m:t>
        </m:r>
        <m:r>
          <m:rPr>
            <m:sty m:val="p"/>
          </m:rPr>
          <m:t>⌈</m:t>
        </m:r>
        <m:r>
          <m:t>0.90</m:t>
        </m:r>
        <m:r>
          <m:rPr>
            <m:sty m:val="p"/>
          </m:rPr>
          <m:t>×</m:t>
        </m:r>
        <m:r>
          <m:t>10</m:t>
        </m:r>
        <m:r>
          <m:rPr>
            <m:sty m:val="p"/>
          </m:rPr>
          <m:t>⌉</m:t>
        </m:r>
        <m:r>
          <m:rPr>
            <m:sty m:val="p"/>
          </m:rPr>
          <m:t>=</m:t>
        </m:r>
        <m:r>
          <m:t>9</m:t>
        </m:r>
      </m:oMath>
      <w:r>
        <w:t xml:space="preserve"> </w:t>
      </w:r>
      <w:r>
        <w:t xml:space="preserve">→ 18 ms.</w:t>
      </w:r>
    </w:p>
    <w:p>
      <w:pPr>
        <w:numPr>
          <w:ilvl w:val="0"/>
          <w:numId w:val="1100"/>
        </w:numPr>
        <w:pStyle w:val="Compact"/>
      </w:pPr>
      <w:r>
        <w:t xml:space="preserve">p95:</w:t>
      </w:r>
      <w:r>
        <w:t xml:space="preserve"> </w:t>
      </w:r>
      <m:oMath>
        <m:r>
          <m:t>r</m:t>
        </m:r>
        <m:r>
          <m:rPr>
            <m:sty m:val="p"/>
          </m:rPr>
          <m:t>=</m:t>
        </m:r>
        <m:r>
          <m:rPr>
            <m:sty m:val="p"/>
          </m:rPr>
          <m:t>⌈</m:t>
        </m:r>
        <m:r>
          <m:t>0.95</m:t>
        </m:r>
        <m:r>
          <m:rPr>
            <m:sty m:val="p"/>
          </m:rPr>
          <m:t>×</m:t>
        </m:r>
        <m:r>
          <m:t>10</m:t>
        </m:r>
        <m:r>
          <m:rPr>
            <m:sty m:val="p"/>
          </m:rPr>
          <m:t>⌉</m:t>
        </m:r>
        <m:r>
          <m:rPr>
            <m:sty m:val="p"/>
          </m:rPr>
          <m:t>=</m:t>
        </m:r>
        <m:r>
          <m:rPr>
            <m:sty m:val="p"/>
          </m:rPr>
          <m:t>⌈</m:t>
        </m:r>
        <m:r>
          <m:t>9.5</m:t>
        </m:r>
        <m:r>
          <m:rPr>
            <m:sty m:val="p"/>
          </m:rPr>
          <m:t>⌉</m:t>
        </m:r>
        <m:r>
          <m:rPr>
            <m:sty m:val="p"/>
          </m:rPr>
          <m:t>=</m:t>
        </m:r>
        <m:r>
          <m:t>10</m:t>
        </m:r>
      </m:oMath>
      <w:r>
        <w:t xml:space="preserve"> </w:t>
      </w:r>
      <w:r>
        <w:t xml:space="preserve">→ 250 ms.</w:t>
      </w:r>
    </w:p>
    <w:p>
      <w:pPr>
        <w:pStyle w:val="CalloutExample"/>
      </w:pPr>
      <w:r>
        <w:rPr>
          <w:bCs/>
          <w:b/>
        </w:rPr>
        <w:t xml:space="preserve">Interpretation.</w:t>
      </w:r>
      <w:r>
        <w:t xml:space="preserve"> </w:t>
      </w:r>
      <w:r>
        <w:t xml:space="preserve">p90 and p95 differ by a factor of 14 because with ten samples they land on different single observations.</w:t>
      </w:r>
      <w:r>
        <w:t xml:space="preserve"> </w:t>
      </w:r>
      <w:r>
        <w:rPr>
          <w:bCs/>
          <w:b/>
        </w:rPr>
        <w:t xml:space="preserve">Engineering implication.</w:t>
      </w:r>
      <w:r>
        <w:t xml:space="preserve"> </w:t>
      </w:r>
      <w:r>
        <w:t xml:space="preserve">Always report the sample count alongside a high percentile, and alert on percentiles computed over windows large enough to contain hundreds of tail samples.</w:t>
      </w:r>
    </w:p>
    <w:p>
      <w:pPr>
        <w:pStyle w:val="BodyText"/>
      </w:pPr>
      <w:r>
        <w:t xml:space="preserve">The following program samples the log-normal distribution of §4.7.2, computes percentiles, and then checks the fan-out formula of §4.8.4 by simulation.</w:t>
      </w:r>
    </w:p>
    <w:p>
      <w:pPr>
        <w:pStyle w:val="SourceCode"/>
      </w:pPr>
      <w:r>
        <w:rPr>
          <w:rStyle w:val="ImportTok"/>
        </w:rPr>
        <w:t xml:space="preserve">import</w:t>
      </w:r>
      <w:r>
        <w:rPr>
          <w:rStyle w:val="NormalTok"/>
        </w:rPr>
        <w:t xml:space="preserve"> math</w:t>
      </w:r>
      <w:r>
        <w:br/>
      </w:r>
      <w:r>
        <w:rPr>
          <w:rStyle w:val="ImportTok"/>
        </w:rPr>
        <w:t xml:space="preserve">import</w:t>
      </w:r>
      <w:r>
        <w:rPr>
          <w:rStyle w:val="NormalTok"/>
        </w:rPr>
        <w:t xml:space="preserve"> random</w:t>
      </w:r>
      <w:r>
        <w:br/>
      </w:r>
      <w:r>
        <w:rPr>
          <w:rStyle w:val="ImportTok"/>
        </w:rPr>
        <w:t xml:space="preserve">import</w:t>
      </w:r>
      <w:r>
        <w:rPr>
          <w:rStyle w:val="NormalTok"/>
        </w:rPr>
        <w:t xml:space="preserve"> statistics</w:t>
      </w:r>
      <w:r>
        <w:br/>
      </w:r>
      <w:r>
        <w:br/>
      </w:r>
      <w:r>
        <w:rPr>
          <w:rStyle w:val="KeywordTok"/>
        </w:rPr>
        <w:t xml:space="preserve">def</w:t>
      </w:r>
      <w:r>
        <w:rPr>
          <w:rStyle w:val="NormalTok"/>
        </w:rPr>
        <w:t xml:space="preserve"> percentile_nearest_rank(samples, p):</w:t>
      </w:r>
      <w:r>
        <w:br/>
      </w:r>
      <w:r>
        <w:rPr>
          <w:rStyle w:val="NormalTok"/>
        </w:rPr>
        <w:t xml:space="preserve">    </w:t>
      </w:r>
      <w:r>
        <w:rPr>
          <w:rStyle w:val="CommentTok"/>
        </w:rPr>
        <w:t xml:space="preserve">"""Return the p-th percentile (0 &lt; p &lt;= 100) using the nearest-rank method."""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samples: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"no samples"</w:t>
      </w:r>
      <w:r>
        <w:rPr>
          <w:rStyle w:val="NormalTok"/>
        </w:rPr>
        <w:t xml:space="preserve">)</w:t>
      </w:r>
      <w:r>
        <w:br/>
      </w:r>
      <w:r>
        <w:rPr>
          <w:rStyle w:val="NormalTok"/>
        </w:rPr>
        <w:t xml:space="preserve">    ordered </w:t>
      </w:r>
      <w:r>
        <w:rPr>
          <w:rStyle w:val="OperatorTok"/>
        </w:rPr>
        <w:t xml:space="preserve">=</w:t>
      </w:r>
      <w:r>
        <w:rPr>
          <w:rStyle w:val="NormalTok"/>
        </w:rPr>
        <w:t xml:space="preserve"> </w:t>
      </w:r>
      <w:r>
        <w:rPr>
          <w:rStyle w:val="BuiltInTok"/>
        </w:rPr>
        <w:t xml:space="preserve">sorted</w:t>
      </w:r>
      <w:r>
        <w:rPr>
          <w:rStyle w:val="NormalTok"/>
        </w:rPr>
        <w:t xml:space="preserve">(samples)</w:t>
      </w:r>
      <w:r>
        <w:br/>
      </w:r>
      <w:r>
        <w:rPr>
          <w:rStyle w:val="NormalTok"/>
        </w:rPr>
        <w:t xml:space="preserve">    rank </w:t>
      </w:r>
      <w:r>
        <w:rPr>
          <w:rStyle w:val="OperatorTok"/>
        </w:rPr>
        <w:t xml:space="preserve">=</w:t>
      </w:r>
      <w:r>
        <w:rPr>
          <w:rStyle w:val="NormalTok"/>
        </w:rPr>
        <w:t xml:space="preserve"> math.ceil(p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(ordered))   </w:t>
      </w:r>
      <w:r>
        <w:rPr>
          <w:rStyle w:val="CommentTok"/>
        </w:rPr>
        <w:t xml:space="preserve"># 1-based rank</w:t>
      </w:r>
      <w:r>
        <w:br/>
      </w:r>
      <w:r>
        <w:rPr>
          <w:rStyle w:val="NormalTok"/>
        </w:rPr>
        <w:t xml:space="preserve">    </w:t>
      </w:r>
      <w:r>
        <w:rPr>
          <w:rStyle w:val="ControlFlowTok"/>
        </w:rPr>
        <w:t xml:space="preserve">return</w:t>
      </w:r>
      <w:r>
        <w:rPr>
          <w:rStyle w:val="NormalTok"/>
        </w:rPr>
        <w:t xml:space="preserve"> ordered[</w:t>
      </w:r>
      <w:r>
        <w:rPr>
          <w:rStyle w:val="BuiltInTok"/>
        </w:rPr>
        <w:t xml:space="preserve">max</w:t>
      </w:r>
      <w:r>
        <w:rPr>
          <w:rStyle w:val="NormalTok"/>
        </w:rPr>
        <w:t xml:space="preserve">(rank,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random.seed(</w:t>
      </w:r>
      <w:r>
        <w:rPr>
          <w:rStyle w:val="DecValTok"/>
        </w:rPr>
        <w:t xml:space="preserve">42</w:t>
      </w:r>
      <w:r>
        <w:rPr>
          <w:rStyle w:val="NormalTok"/>
        </w:rPr>
        <w:t xml:space="preserve">)</w:t>
      </w:r>
      <w:r>
        <w:br/>
      </w:r>
      <w:r>
        <w:rPr>
          <w:rStyle w:val="CommentTok"/>
        </w:rPr>
        <w:t xml:space="preserve"># Log-normal latencies: median ~20 ms, heavy right tail (sigma = 1.0)</w:t>
      </w:r>
      <w:r>
        <w:br/>
      </w:r>
      <w:r>
        <w:rPr>
          <w:rStyle w:val="NormalTok"/>
        </w:rPr>
        <w:t xml:space="preserve">latencies_ms </w:t>
      </w:r>
      <w:r>
        <w:rPr>
          <w:rStyle w:val="OperatorTok"/>
        </w:rPr>
        <w:t xml:space="preserve">=</w:t>
      </w:r>
      <w:r>
        <w:rPr>
          <w:rStyle w:val="NormalTok"/>
        </w:rPr>
        <w:t xml:space="preserve"> [random.lognormvariate(math.log(</w:t>
      </w:r>
      <w:r>
        <w:rPr>
          <w:rStyle w:val="DecValTok"/>
        </w:rPr>
        <w:t xml:space="preserve">20</w:t>
      </w:r>
      <w:r>
        <w:rPr>
          <w:rStyle w:val="NormalTok"/>
        </w:rPr>
        <w:t xml:space="preserve">), </w:t>
      </w:r>
      <w:r>
        <w:rPr>
          <w:rStyle w:val="FloatTok"/>
        </w:rPr>
        <w:t xml:space="preserve">1.0</w:t>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100_000</w:t>
      </w:r>
      <w:r>
        <w:rPr>
          <w:rStyle w:val="NormalTok"/>
        </w:rPr>
        <w:t xml:space="preserve">)]</w:t>
      </w:r>
      <w:r>
        <w:br/>
      </w:r>
      <w:r>
        <w:br/>
      </w:r>
      <w:r>
        <w:rPr>
          <w:rStyle w:val="BuiltInTok"/>
        </w:rPr>
        <w:t xml:space="preserve">print</w:t>
      </w:r>
      <w:r>
        <w:rPr>
          <w:rStyle w:val="NormalTok"/>
        </w:rPr>
        <w:t xml:space="preserve">(</w:t>
      </w:r>
      <w:r>
        <w:rPr>
          <w:rStyle w:val="SpecialStringTok"/>
        </w:rPr>
        <w:t xml:space="preserve">f"mean   = </w:t>
      </w:r>
      <w:r>
        <w:rPr>
          <w:rStyle w:val="SpecialCharTok"/>
        </w:rPr>
        <w:t xml:space="preserve">{</w:t>
      </w:r>
      <w:r>
        <w:rPr>
          <w:rStyle w:val="NormalTok"/>
        </w:rPr>
        <w:t xml:space="preserve">statistics</w:t>
      </w:r>
      <w:r>
        <w:rPr>
          <w:rStyle w:val="SpecialCharTok"/>
        </w:rPr>
        <w:t xml:space="preserve">.</w:t>
      </w:r>
      <w:r>
        <w:rPr>
          <w:rStyle w:val="NormalTok"/>
        </w:rPr>
        <w:t xml:space="preserve">fmean(latencies_ms)</w:t>
      </w:r>
      <w:r>
        <w:rPr>
          <w:rStyle w:val="SpecialCharTok"/>
        </w:rPr>
        <w:t xml:space="preserve">:7.1f}</w:t>
      </w:r>
      <w:r>
        <w:rPr>
          <w:rStyle w:val="SpecialStringTok"/>
        </w:rPr>
        <w:t xml:space="preserve"> ms"</w:t>
      </w:r>
      <w:r>
        <w:rPr>
          <w:rStyle w:val="NormalTok"/>
        </w:rPr>
        <w:t xml:space="preserve">)</w:t>
      </w:r>
      <w:r>
        <w:br/>
      </w:r>
      <w:r>
        <w:rPr>
          <w:rStyle w:val="ControlFlowTok"/>
        </w:rPr>
        <w:t xml:space="preserve">for</w:t>
      </w:r>
      <w:r>
        <w:rPr>
          <w:rStyle w:val="NormalTok"/>
        </w:rPr>
        <w:t xml:space="preserve"> p </w:t>
      </w:r>
      <w:r>
        <w:rPr>
          <w:rStyle w:val="KeywordTok"/>
        </w:rPr>
        <w:t xml:space="preserve">in</w:t>
      </w:r>
      <w:r>
        <w:rPr>
          <w:rStyle w:val="NormalTok"/>
        </w:rPr>
        <w:t xml:space="preserve"> (</w:t>
      </w:r>
      <w:r>
        <w:rPr>
          <w:rStyle w:val="DecValTok"/>
        </w:rPr>
        <w:t xml:space="preserve">50</w:t>
      </w:r>
      <w:r>
        <w:rPr>
          <w:rStyle w:val="NormalTok"/>
        </w:rPr>
        <w:t xml:space="preserve">, </w:t>
      </w:r>
      <w:r>
        <w:rPr>
          <w:rStyle w:val="DecValTok"/>
        </w:rPr>
        <w:t xml:space="preserve">90</w:t>
      </w:r>
      <w:r>
        <w:rPr>
          <w:rStyle w:val="NormalTok"/>
        </w:rPr>
        <w:t xml:space="preserve">, </w:t>
      </w:r>
      <w:r>
        <w:rPr>
          <w:rStyle w:val="DecValTok"/>
        </w:rPr>
        <w:t xml:space="preserve">99</w:t>
      </w:r>
      <w:r>
        <w:rPr>
          <w:rStyle w:val="NormalTok"/>
        </w:rPr>
        <w:t xml:space="preserve">, </w:t>
      </w:r>
      <w:r>
        <w:rPr>
          <w:rStyle w:val="FloatTok"/>
        </w:rPr>
        <w:t xml:space="preserve">99.9</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f"p</w:t>
      </w:r>
      <w:r>
        <w:rPr>
          <w:rStyle w:val="SpecialCharTok"/>
        </w:rPr>
        <w:t xml:space="preserve">{</w:t>
      </w:r>
      <w:r>
        <w:rPr>
          <w:rStyle w:val="NormalTok"/>
        </w:rPr>
        <w:t xml:space="preserve">p</w:t>
      </w:r>
      <w:r>
        <w:rPr>
          <w:rStyle w:val="SpecialCharTok"/>
        </w:rPr>
        <w:t xml:space="preserve">:&lt;5}</w:t>
      </w:r>
      <w:r>
        <w:rPr>
          <w:rStyle w:val="SpecialStringTok"/>
        </w:rPr>
        <w:t xml:space="preserve"> = </w:t>
      </w:r>
      <w:r>
        <w:rPr>
          <w:rStyle w:val="SpecialCharTok"/>
        </w:rPr>
        <w:t xml:space="preserve">{</w:t>
      </w:r>
      <w:r>
        <w:rPr>
          <w:rStyle w:val="NormalTok"/>
        </w:rPr>
        <w:t xml:space="preserve">percentile_nearest_rank(latencies_ms, p)</w:t>
      </w:r>
      <w:r>
        <w:rPr>
          <w:rStyle w:val="SpecialCharTok"/>
        </w:rPr>
        <w:t xml:space="preserve">:7.1f}</w:t>
      </w:r>
      <w:r>
        <w:rPr>
          <w:rStyle w:val="SpecialStringTok"/>
        </w:rPr>
        <w:t xml:space="preserve"> ms"</w:t>
      </w:r>
      <w:r>
        <w:rPr>
          <w:rStyle w:val="NormalTok"/>
        </w:rPr>
        <w:t xml:space="preserve">)</w:t>
      </w:r>
      <w:r>
        <w:br/>
      </w:r>
      <w:r>
        <w:br/>
      </w:r>
      <w:r>
        <w:rPr>
          <w:rStyle w:val="CommentTok"/>
        </w:rPr>
        <w:t xml:space="preserve"># Fan-out: a request waits for the slowest of N parallel calls</w:t>
      </w:r>
      <w:r>
        <w:br/>
      </w:r>
      <w:r>
        <w:rPr>
          <w:rStyle w:val="NormalTok"/>
        </w:rPr>
        <w:t xml:space="preserve">p99 </w:t>
      </w:r>
      <w:r>
        <w:rPr>
          <w:rStyle w:val="OperatorTok"/>
        </w:rPr>
        <w:t xml:space="preserve">=</w:t>
      </w:r>
      <w:r>
        <w:rPr>
          <w:rStyle w:val="NormalTok"/>
        </w:rPr>
        <w:t xml:space="preserve"> percentile_nearest_rank(latencies_ms, </w:t>
      </w:r>
      <w:r>
        <w:rPr>
          <w:rStyle w:val="DecValTok"/>
        </w:rPr>
        <w:t xml:space="preserve">99</w:t>
      </w:r>
      <w:r>
        <w:rPr>
          <w:rStyle w:val="NormalTok"/>
        </w:rPr>
        <w:t xml:space="preserve">)</w:t>
      </w:r>
      <w:r>
        <w:br/>
      </w:r>
      <w:r>
        <w:rPr>
          <w:rStyle w:val="ControlFlowTok"/>
        </w:rPr>
        <w:t xml:space="preserve">for</w:t>
      </w:r>
      <w:r>
        <w:rPr>
          <w:rStyle w:val="NormalTok"/>
        </w:rPr>
        <w:t xml:space="preserve"> n </w:t>
      </w:r>
      <w:r>
        <w:rPr>
          <w:rStyle w:val="KeywordTok"/>
        </w:rPr>
        <w:t xml:space="preserve">in</w:t>
      </w:r>
      <w:r>
        <w:rPr>
          <w:rStyle w:val="NormalTok"/>
        </w:rPr>
        <w:t xml:space="preserve"> (</w:t>
      </w:r>
      <w:r>
        <w:rPr>
          <w:rStyle w:val="DecValTok"/>
        </w:rPr>
        <w:t xml:space="preserve">1</w:t>
      </w:r>
      <w:r>
        <w:rPr>
          <w:rStyle w:val="NormalTok"/>
        </w:rPr>
        <w:t xml:space="preserve">, </w:t>
      </w:r>
      <w:r>
        <w:rPr>
          <w:rStyle w:val="DecValTok"/>
        </w:rPr>
        <w:t xml:space="preserve">10</w:t>
      </w:r>
      <w:r>
        <w:rPr>
          <w:rStyle w:val="NormalTok"/>
        </w:rPr>
        <w:t xml:space="preserve">, </w:t>
      </w:r>
      <w:r>
        <w:rPr>
          <w:rStyle w:val="DecValTok"/>
        </w:rPr>
        <w:t xml:space="preserve">100</w:t>
      </w:r>
      <w:r>
        <w:rPr>
          <w:rStyle w:val="NormalTok"/>
        </w:rPr>
        <w:t xml:space="preserve">):</w:t>
      </w:r>
      <w:r>
        <w:br/>
      </w:r>
      <w:r>
        <w:rPr>
          <w:rStyle w:val="NormalTok"/>
        </w:rPr>
        <w:t xml:space="preserve">    trials </w:t>
      </w:r>
      <w:r>
        <w:rPr>
          <w:rStyle w:val="OperatorTok"/>
        </w:rPr>
        <w:t xml:space="preserve">=</w:t>
      </w:r>
      <w:r>
        <w:rPr>
          <w:rStyle w:val="NormalTok"/>
        </w:rPr>
        <w:t xml:space="preserve"> </w:t>
      </w:r>
      <w:r>
        <w:rPr>
          <w:rStyle w:val="DecValTok"/>
        </w:rPr>
        <w:t xml:space="preserve">20_000</w:t>
      </w:r>
      <w:r>
        <w:br/>
      </w:r>
      <w:r>
        <w:rPr>
          <w:rStyle w:val="NormalTok"/>
        </w:rPr>
        <w:t xml:space="preserve">    slow </w:t>
      </w:r>
      <w:r>
        <w:rPr>
          <w:rStyle w:val="OperatorTok"/>
        </w:rPr>
        <w:t xml:space="preserve">=</w:t>
      </w:r>
      <w:r>
        <w:rPr>
          <w:rStyle w:val="NormalTok"/>
        </w:rPr>
        <w:t xml:space="preserve"> </w:t>
      </w:r>
      <w:r>
        <w:rPr>
          <w:rStyle w:val="BuiltInTok"/>
        </w:rPr>
        <w:t xml:space="preserve">sum</w:t>
      </w:r>
      <w:r>
        <w:rPr>
          <w:rStyle w:val="NormalTok"/>
        </w:rPr>
        <w:t xml:space="preserve">(</w:t>
      </w:r>
      <w:r>
        <w:br/>
      </w:r>
      <w:r>
        <w:rPr>
          <w:rStyle w:val="NormalTok"/>
        </w:rPr>
        <w:t xml:space="preserve">        </w:t>
      </w:r>
      <w:r>
        <w:rPr>
          <w:rStyle w:val="BuiltInTok"/>
        </w:rPr>
        <w:t xml:space="preserve">max</w:t>
      </w:r>
      <w:r>
        <w:rPr>
          <w:rStyle w:val="NormalTok"/>
        </w:rPr>
        <w:t xml:space="preserve">(random.choice(latencies_ms)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 </w:t>
      </w:r>
      <w:r>
        <w:rPr>
          <w:rStyle w:val="OperatorTok"/>
        </w:rPr>
        <w:t xml:space="preserve">&gt;</w:t>
      </w:r>
      <w:r>
        <w:rPr>
          <w:rStyle w:val="NormalTok"/>
        </w:rPr>
        <w:t xml:space="preserve"> p99</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(trials)</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f"N=</w:t>
      </w:r>
      <w:r>
        <w:rPr>
          <w:rStyle w:val="SpecialCharTok"/>
        </w:rPr>
        <w:t xml:space="preserve">{</w:t>
      </w:r>
      <w:r>
        <w:rPr>
          <w:rStyle w:val="NormalTok"/>
        </w:rPr>
        <w:t xml:space="preserve">n</w:t>
      </w:r>
      <w:r>
        <w:rPr>
          <w:rStyle w:val="SpecialCharTok"/>
        </w:rPr>
        <w:t xml:space="preserve">:&gt;3}</w:t>
      </w:r>
      <w:r>
        <w:rPr>
          <w:rStyle w:val="SpecialStringTok"/>
        </w:rPr>
        <w:t xml:space="preserve">: simulated P(slow) = </w:t>
      </w:r>
      <w:r>
        <w:rPr>
          <w:rStyle w:val="SpecialCharTok"/>
        </w:rPr>
        <w:t xml:space="preserve">{</w:t>
      </w:r>
      <w:r>
        <w:rPr>
          <w:rStyle w:val="NormalTok"/>
        </w:rPr>
        <w:t xml:space="preserve">slow</w:t>
      </w:r>
      <w:r>
        <w:rPr>
          <w:rStyle w:val="OperatorTok"/>
        </w:rPr>
        <w:t xml:space="preserve">/</w:t>
      </w:r>
      <w:r>
        <w:rPr>
          <w:rStyle w:val="NormalTok"/>
        </w:rPr>
        <w:t xml:space="preserve">trials</w:t>
      </w:r>
      <w:r>
        <w:rPr>
          <w:rStyle w:val="SpecialCharTok"/>
        </w:rPr>
        <w:t xml:space="preserve">:.3f}</w:t>
      </w:r>
      <w:r>
        <w:rPr>
          <w:rStyle w:val="SpecialStringTok"/>
        </w:rPr>
        <w:t xml:space="preserve">, "</w:t>
      </w:r>
      <w:r>
        <w:br/>
      </w:r>
      <w:r>
        <w:rPr>
          <w:rStyle w:val="NormalTok"/>
        </w:rPr>
        <w:t xml:space="preserve">          </w:t>
      </w:r>
      <w:r>
        <w:rPr>
          <w:rStyle w:val="SpecialStringTok"/>
        </w:rPr>
        <w:t xml:space="preserve">f"formula 1 - 0.99^N = </w:t>
      </w:r>
      <w:r>
        <w:rPr>
          <w:rStyle w:val="SpecialCha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0.99</w:t>
      </w:r>
      <w:r>
        <w:rPr>
          <w:rStyle w:val="OperatorTok"/>
        </w:rPr>
        <w:t xml:space="preserve">**</w:t>
      </w:r>
      <w:r>
        <w:rPr>
          <w:rStyle w:val="NormalTok"/>
        </w:rPr>
        <w:t xml:space="preserve">n</w:t>
      </w:r>
      <w:r>
        <w:rPr>
          <w:rStyle w:val="SpecialCharTok"/>
        </w:rPr>
        <w:t xml:space="preserve">:.3f}</w:t>
      </w:r>
      <w:r>
        <w:rPr>
          <w:rStyle w:val="SpecialStringTok"/>
        </w:rPr>
        <w:t xml:space="preserve">"</w:t>
      </w:r>
      <w:r>
        <w:rPr>
          <w:rStyle w:val="NormalTok"/>
        </w:rPr>
        <w:t xml:space="preserve">)</w:t>
      </w:r>
    </w:p>
    <w:p>
      <w:pPr>
        <w:pStyle w:val="FirstParagraph"/>
      </w:pPr>
      <w:r>
        <w:t xml:space="preserve">Output (Python 3.13):</w:t>
      </w:r>
    </w:p>
    <w:p>
      <w:pPr>
        <w:pStyle w:val="SourceCode"/>
      </w:pPr>
      <w:r>
        <w:rPr>
          <w:rStyle w:val="VerbatimChar"/>
        </w:rPr>
        <w:t xml:space="preserve">mean   =    32.9 ms</w:t>
      </w:r>
      <w:r>
        <w:br/>
      </w:r>
      <w:r>
        <w:rPr>
          <w:rStyle w:val="VerbatimChar"/>
        </w:rPr>
        <w:t xml:space="preserve">p50    =    20.0 ms</w:t>
      </w:r>
      <w:r>
        <w:br/>
      </w:r>
      <w:r>
        <w:rPr>
          <w:rStyle w:val="VerbatimChar"/>
        </w:rPr>
        <w:t xml:space="preserve">p90    =    72.2 ms</w:t>
      </w:r>
      <w:r>
        <w:br/>
      </w:r>
      <w:r>
        <w:rPr>
          <w:rStyle w:val="VerbatimChar"/>
        </w:rPr>
        <w:t xml:space="preserve">p99    =   201.3 ms</w:t>
      </w:r>
      <w:r>
        <w:br/>
      </w:r>
      <w:r>
        <w:rPr>
          <w:rStyle w:val="VerbatimChar"/>
        </w:rPr>
        <w:t xml:space="preserve">p99.9  =   428.4 ms</w:t>
      </w:r>
      <w:r>
        <w:br/>
      </w:r>
      <w:r>
        <w:rPr>
          <w:rStyle w:val="VerbatimChar"/>
        </w:rPr>
        <w:t xml:space="preserve">N=  1: simulated P(slow) = 0.010, formula 1 - 0.99^N = 0.010</w:t>
      </w:r>
      <w:r>
        <w:br/>
      </w:r>
      <w:r>
        <w:rPr>
          <w:rStyle w:val="VerbatimChar"/>
        </w:rPr>
        <w:t xml:space="preserve">N= 10: simulated P(slow) = 0.093, formula 1 - 0.99^N = 0.096</w:t>
      </w:r>
      <w:r>
        <w:br/>
      </w:r>
      <w:r>
        <w:rPr>
          <w:rStyle w:val="VerbatimChar"/>
        </w:rPr>
        <w:t xml:space="preserve">N=100: simulated P(slow) = 0.637, formula 1 - 0.99^N = 0.634</w:t>
      </w:r>
    </w:p>
    <w:p>
      <w:pPr>
        <w:pStyle w:val="FirstParagraph"/>
      </w:pPr>
      <w:r>
        <w:t xml:space="preserve">What to notice:</w:t>
      </w:r>
    </w:p>
    <w:p>
      <w:pPr>
        <w:numPr>
          <w:ilvl w:val="0"/>
          <w:numId w:val="1101"/>
        </w:numPr>
        <w:pStyle w:val="Compact"/>
      </w:pPr>
      <w:r>
        <w:t xml:space="preserve">The simulated mean (32.9 ms), median (20.0 ms) and p99 (201 ms) match the closed-form values of §4.7.2 (33.0, 20 and 205 ms) within sampling error.</w:t>
      </w:r>
    </w:p>
    <w:p>
      <w:pPr>
        <w:numPr>
          <w:ilvl w:val="0"/>
          <w:numId w:val="1101"/>
        </w:numPr>
        <w:pStyle w:val="Compact"/>
      </w:pPr>
      <w:r>
        <w:rPr>
          <w:rStyle w:val="VerbatimChar"/>
        </w:rPr>
        <w:t xml:space="preserve">max(...)</w:t>
      </w:r>
      <w:r>
        <w:t xml:space="preserve"> </w:t>
      </w:r>
      <w:r>
        <w:t xml:space="preserve">models a request that must wait for</w:t>
      </w:r>
      <w:r>
        <w:t xml:space="preserve"> </w:t>
      </w:r>
      <w:r>
        <w:rPr>
          <w:iCs/>
          <w:i/>
        </w:rPr>
        <w:t xml:space="preserve">all</w:t>
      </w:r>
      <w:r>
        <w:t xml:space="preserve"> </w:t>
      </w:r>
      <w:r>
        <w:t xml:space="preserve">of its parallel sub-requests; the simulated probability of exceeding the single-server p99 matches</w:t>
      </w:r>
      <w:r>
        <w:t xml:space="preserve"> </w:t>
      </w:r>
      <m:oMath>
        <m:r>
          <m:t>1</m:t>
        </m:r>
        <m:r>
          <m:rPr>
            <m:sty m:val="p"/>
          </m:rPr>
          <m:t>−</m:t>
        </m:r>
        <m:sSup>
          <m:e>
            <m:r>
              <m:t>0.99</m:t>
            </m:r>
          </m:e>
          <m:sup>
            <m:r>
              <m:t>N</m:t>
            </m:r>
          </m:sup>
        </m:sSup>
      </m:oMath>
      <w:r>
        <w:t xml:space="preserve">.</w:t>
      </w:r>
    </w:p>
    <w:p>
      <w:pPr>
        <w:numPr>
          <w:ilvl w:val="0"/>
          <w:numId w:val="1101"/>
        </w:numPr>
        <w:pStyle w:val="Compact"/>
      </w:pPr>
      <w:r>
        <w:t xml:space="preserve">Sorting 100,000 samples is fine offline, but production systems cannot keep every sample; they use histograms.</w:t>
      </w:r>
    </w:p>
    <w:bookmarkEnd w:id="373"/>
    <w:bookmarkStart w:id="374" w:name="histograms"/>
    <w:p>
      <w:pPr>
        <w:pStyle w:val="Heading3"/>
      </w:pPr>
      <w:r>
        <w:t xml:space="preserve">4.8.3 Histograms</w:t>
      </w:r>
    </w:p>
    <w:p>
      <w:pPr>
        <w:pStyle w:val="FirstParagraph"/>
      </w:pPr>
      <w:r>
        <w:t xml:space="preserve">A</w:t>
      </w:r>
      <w:r>
        <w:t xml:space="preserve"> </w:t>
      </w:r>
      <w:r>
        <w:rPr>
          <w:bCs/>
          <w:b/>
        </w:rPr>
        <w:t xml:space="preserve">histogram</w:t>
      </w:r>
      <w:r>
        <w:t xml:space="preserve"> </w:t>
      </w:r>
      <w:r>
        <w:t xml:space="preserve">counts how many samples fall into each of a fixed set of buckets. It uses constant memory regardless of request volume, and two histograms with identical buckets can be merged by adding counts, which makes fleet-wide percentiles possible. Percentiles are read from the cumulative counts, with an error no larger than the bucket width. Libraries such as HdrHistogram use buckets whose width grows with the value (logarithmic or log-linear buckets) so that</w:t>
      </w:r>
      <w:r>
        <w:t xml:space="preserve"> </w:t>
      </w:r>
      <w:r>
        <w:rPr>
          <w:iCs/>
          <w:i/>
        </w:rPr>
        <w:t xml:space="preserve">relative</w:t>
      </w:r>
      <w:r>
        <w:t xml:space="preserve"> </w:t>
      </w:r>
      <w:r>
        <w:t xml:space="preserve">error stays bounded across many orders of magnitude [Tene, HdrHistogram].</w:t>
      </w:r>
    </w:p>
    <w:p>
      <w:pPr>
        <w:pStyle w:val="CalloutExample"/>
      </w:pPr>
      <w:r>
        <w:rPr>
          <w:bCs/>
          <w:b/>
        </w:rPr>
        <w:t xml:space="preserve">WORKED EXAMPLE</w:t>
      </w:r>
    </w:p>
    <w:p>
      <w:pPr>
        <w:pStyle w:val="CalloutExample"/>
      </w:pPr>
      <w:r>
        <w:rPr>
          <w:bCs/>
          <w:b/>
        </w:rPr>
        <w:t xml:space="preserve">Worked example — p99 and p99.9 from a histogram.</w:t>
      </w:r>
      <w:r>
        <w:t xml:space="preserve"> </w:t>
      </w:r>
      <w:r>
        <w:t xml:space="preserve">10,000 requests are counted into buckets (ms): [0,10): 6,000; [10,20): 2,500; [20,50): 1,000; [50,100): 350; [100,200): 120; [200,500): 25; [500,1000): 5.</w:t>
      </w:r>
    </w:p>
    <w:p>
      <w:pPr>
        <w:numPr>
          <w:ilvl w:val="0"/>
          <w:numId w:val="1102"/>
        </w:numPr>
        <w:pStyle w:val="Compact"/>
      </w:pPr>
      <w:r>
        <w:t xml:space="preserve">Cumulative counts: 6,000; 8,500; 9,500; 9,850; 9,970; 9,995; 10,000.</w:t>
      </w:r>
    </w:p>
    <w:p>
      <w:pPr>
        <w:numPr>
          <w:ilvl w:val="0"/>
          <w:numId w:val="1102"/>
        </w:numPr>
        <w:pStyle w:val="Compact"/>
      </w:pPr>
      <w:r>
        <w:t xml:space="preserve">p99 is rank</w:t>
      </w:r>
      <w:r>
        <w:t xml:space="preserve"> </w:t>
      </w:r>
      <m:oMath>
        <m:r>
          <m:t>0.99</m:t>
        </m:r>
        <m:r>
          <m:rPr>
            <m:sty m:val="p"/>
          </m:rPr>
          <m:t>×</m:t>
        </m:r>
        <m:r>
          <m:t>10</m:t>
        </m:r>
        <m:r>
          <m:rPr>
            <m:sty m:val="p"/>
          </m:rPr>
          <m:t>,</m:t>
        </m:r>
        <m:r>
          <m:t>000</m:t>
        </m:r>
        <m:r>
          <m:rPr>
            <m:sty m:val="p"/>
          </m:rPr>
          <m:t>=</m:t>
        </m:r>
        <m:r>
          <m:t>9</m:t>
        </m:r>
        <m:r>
          <m:rPr>
            <m:sty m:val="p"/>
          </m:rPr>
          <m:t>,</m:t>
        </m:r>
        <m:r>
          <m:t>900</m:t>
        </m:r>
      </m:oMath>
      <w:r>
        <w:t xml:space="preserve">. The cumulative count first reaches 9,900 in the [100,200) bucket (9,850 → 9,970).</w:t>
      </w:r>
    </w:p>
    <w:p>
      <w:pPr>
        <w:numPr>
          <w:ilvl w:val="0"/>
          <w:numId w:val="1102"/>
        </w:numPr>
        <w:pStyle w:val="Compact"/>
      </w:pPr>
      <w:r>
        <w:t xml:space="preserve">Interpolate linearly inside the bucket:</w:t>
      </w:r>
      <w:r>
        <w:t xml:space="preserve"> </w:t>
      </w:r>
      <m:oMath>
        <m:d>
          <m:dPr>
            <m:begChr m:val="("/>
            <m:endChr m:val=")"/>
            <m:sepChr m:val=""/>
            <m:grow/>
          </m:dPr>
          <m:e>
            <m:r>
              <m:t>9</m:t>
            </m:r>
            <m:r>
              <m:rPr>
                <m:sty m:val="p"/>
              </m:rPr>
              <m:t>,</m:t>
            </m:r>
            <m:r>
              <m:t>900</m:t>
            </m:r>
            <m:r>
              <m:rPr>
                <m:sty m:val="p"/>
              </m:rPr>
              <m:t>−</m:t>
            </m:r>
            <m:r>
              <m:t>9</m:t>
            </m:r>
            <m:r>
              <m:rPr>
                <m:sty m:val="p"/>
              </m:rPr>
              <m:t>,</m:t>
            </m:r>
            <m:r>
              <m:t>850</m:t>
            </m:r>
          </m:e>
        </m:d>
        <m:r>
          <m:rPr>
            <m:sty m:val="p"/>
          </m:rPr>
          <m:t>/</m:t>
        </m:r>
        <m:r>
          <m:t>120</m:t>
        </m:r>
        <m:r>
          <m:rPr>
            <m:sty m:val="p"/>
          </m:rPr>
          <m:t>=</m:t>
        </m:r>
        <m:r>
          <m:t>0.417</m:t>
        </m:r>
      </m:oMath>
      <w:r>
        <w:t xml:space="preserve"> </w:t>
      </w:r>
      <w:r>
        <w:t xml:space="preserve">of the way through, so p99</w:t>
      </w:r>
      <w:r>
        <w:t xml:space="preserve"> </w:t>
      </w:r>
      <m:oMath>
        <m:r>
          <m:rPr>
            <m:sty m:val="p"/>
          </m:rPr>
          <m:t>≈</m:t>
        </m:r>
        <m:r>
          <m:t>100</m:t>
        </m:r>
        <m:r>
          <m:rPr>
            <m:sty m:val="p"/>
          </m:rPr>
          <m:t>+</m:t>
        </m:r>
        <m:r>
          <m:t>0.417</m:t>
        </m:r>
        <m:r>
          <m:rPr>
            <m:sty m:val="p"/>
          </m:rPr>
          <m:t>×</m:t>
        </m:r>
        <m:r>
          <m:t>100</m:t>
        </m:r>
        <m:r>
          <m:rPr>
            <m:sty m:val="p"/>
          </m:rPr>
          <m:t>=</m:t>
        </m:r>
        <m:r>
          <m:t>142</m:t>
        </m:r>
      </m:oMath>
      <w:r>
        <w:t xml:space="preserve"> </w:t>
      </w:r>
      <w:r>
        <w:t xml:space="preserve">ms.</w:t>
      </w:r>
    </w:p>
    <w:p>
      <w:pPr>
        <w:numPr>
          <w:ilvl w:val="0"/>
          <w:numId w:val="1102"/>
        </w:numPr>
        <w:pStyle w:val="Compact"/>
      </w:pPr>
      <w:r>
        <w:t xml:space="preserve">p99.9 is rank 9,990, inside [200,500) (9,970 → 9,995):</w:t>
      </w:r>
      <w:r>
        <w:t xml:space="preserve"> </w:t>
      </w:r>
      <m:oMath>
        <m:d>
          <m:dPr>
            <m:begChr m:val="("/>
            <m:endChr m:val=")"/>
            <m:sepChr m:val=""/>
            <m:grow/>
          </m:dPr>
          <m:e>
            <m:r>
              <m:t>9</m:t>
            </m:r>
            <m:r>
              <m:rPr>
                <m:sty m:val="p"/>
              </m:rPr>
              <m:t>,</m:t>
            </m:r>
            <m:r>
              <m:t>990</m:t>
            </m:r>
            <m:r>
              <m:rPr>
                <m:sty m:val="p"/>
              </m:rPr>
              <m:t>−</m:t>
            </m:r>
            <m:r>
              <m:t>9</m:t>
            </m:r>
            <m:r>
              <m:rPr>
                <m:sty m:val="p"/>
              </m:rPr>
              <m:t>,</m:t>
            </m:r>
            <m:r>
              <m:t>970</m:t>
            </m:r>
          </m:e>
        </m:d>
        <m:r>
          <m:rPr>
            <m:sty m:val="p"/>
          </m:rPr>
          <m:t>/</m:t>
        </m:r>
        <m:r>
          <m:t>25</m:t>
        </m:r>
        <m:r>
          <m:rPr>
            <m:sty m:val="p"/>
          </m:rPr>
          <m:t>=</m:t>
        </m:r>
        <m:r>
          <m:t>0.8</m:t>
        </m:r>
      </m:oMath>
      <w:r>
        <w:t xml:space="preserve">, so p99.9</w:t>
      </w:r>
      <w:r>
        <w:t xml:space="preserve"> </w:t>
      </w:r>
      <m:oMath>
        <m:r>
          <m:rPr>
            <m:sty m:val="p"/>
          </m:rPr>
          <m:t>≈</m:t>
        </m:r>
        <m:r>
          <m:t>200</m:t>
        </m:r>
        <m:r>
          <m:rPr>
            <m:sty m:val="p"/>
          </m:rPr>
          <m:t>+</m:t>
        </m:r>
        <m:r>
          <m:t>0.8</m:t>
        </m:r>
        <m:r>
          <m:rPr>
            <m:sty m:val="p"/>
          </m:rPr>
          <m:t>×</m:t>
        </m:r>
        <m:r>
          <m:t>300</m:t>
        </m:r>
        <m:r>
          <m:rPr>
            <m:sty m:val="p"/>
          </m:rPr>
          <m:t>=</m:t>
        </m:r>
        <m:r>
          <m:t>440</m:t>
        </m:r>
      </m:oMath>
      <w:r>
        <w:t xml:space="preserve"> </w:t>
      </w:r>
      <w:r>
        <w:t xml:space="preserve">ms.</w:t>
      </w:r>
    </w:p>
    <w:p>
      <w:pPr>
        <w:pStyle w:val="CalloutExample"/>
      </w:pPr>
      <w:r>
        <w:rPr>
          <w:bCs/>
          <w:b/>
        </w:rPr>
        <w:t xml:space="preserve">Interpretation.</w:t>
      </w:r>
      <w:r>
        <w:t xml:space="preserve"> </w:t>
      </w:r>
      <w:r>
        <w:t xml:space="preserve">The true p99 is somewhere in [100, 200) ms; interpolation assumes samples are spread evenly inside the bucket.</w:t>
      </w:r>
      <w:r>
        <w:t xml:space="preserve"> </w:t>
      </w:r>
      <w:r>
        <w:rPr>
          <w:bCs/>
          <w:b/>
        </w:rPr>
        <w:t xml:space="preserve">Engineering implication.</w:t>
      </w:r>
      <w:r>
        <w:t xml:space="preserve"> </w:t>
      </w:r>
      <w:r>
        <w:t xml:space="preserve">Bucket boundaries should be densest where your SLO thresholds lie. If the SLO is</w:t>
      </w:r>
      <w:r>
        <w:t xml:space="preserve"> </w:t>
      </w:r>
      <w:r>
        <w:t xml:space="preserve">“</w:t>
      </w:r>
      <w:r>
        <w:t xml:space="preserve">p99 &lt; 150 ms</w:t>
      </w:r>
      <w:r>
        <w:t xml:space="preserve">”</w:t>
      </w:r>
      <w:r>
        <w:t xml:space="preserve">, a bucket edge exactly at 150 ms lets you count SLO violations exactly rather than estimate them.</w:t>
      </w:r>
    </w:p>
    <w:bookmarkEnd w:id="374"/>
    <w:bookmarkStart w:id="379" w:name="fan-out-amplification"/>
    <w:p>
      <w:pPr>
        <w:pStyle w:val="Heading3"/>
      </w:pPr>
      <w:r>
        <w:t xml:space="preserve">4.8.4 Fan-out amplification</w:t>
      </w:r>
    </w:p>
    <w:p>
      <w:pPr>
        <w:pStyle w:val="FirstParagraph"/>
      </w:pPr>
      <w:r>
        <w:t xml:space="preserve">Modern requests are rarely served by one machine. A search query may be scattered to hundreds of index partitions (§16.7); a page render may call dozens of microservices. If a request must wait for</w:t>
      </w:r>
      <w:r>
        <w:t xml:space="preserve"> </w:t>
      </w:r>
      <w:r>
        <w:rPr>
          <w:iCs/>
          <w:i/>
        </w:rPr>
        <w:t xml:space="preserve">all</w:t>
      </w:r>
      <w:r>
        <w:t xml:space="preserve"> </w:t>
      </w:r>
      <w:r>
        <w:t xml:space="preserve">of its</w:t>
      </w:r>
      <w:r>
        <w:t xml:space="preserve"> </w:t>
      </w:r>
      <m:oMath>
        <m:r>
          <m:t>N</m:t>
        </m:r>
      </m:oMath>
      <w:r>
        <w:t xml:space="preserve"> </w:t>
      </w:r>
      <w:r>
        <w:t xml:space="preserve">sub-requests, then it is slow whenever</w:t>
      </w:r>
      <w:r>
        <w:t xml:space="preserve"> </w:t>
      </w:r>
      <w:r>
        <w:rPr>
          <w:iCs/>
          <w:i/>
        </w:rPr>
        <w:t xml:space="preserve">any</w:t>
      </w:r>
      <w:r>
        <w:t xml:space="preserve"> </w:t>
      </w:r>
      <w:r>
        <w:t xml:space="preserve">of them is slow.</w:t>
      </w:r>
    </w:p>
    <w:p>
      <w:pPr>
        <w:pStyle w:val="BodyText"/>
      </w:pPr>
      <w:r>
        <w:rPr>
          <w:bCs/>
          <w:b/>
        </w:rPr>
        <w:t xml:space="preserve">Figure 4.2 — Fan-out: the slowest leaf determines the response time.</w:t>
      </w:r>
    </w:p>
    <w:p>
      <w:pPr>
        <w:pStyle w:val="BodyText"/>
      </w:pPr>
      <w:r>
        <w:drawing>
          <wp:inline>
            <wp:extent cx="5334000" cy="3182911"/>
            <wp:effectExtent b="0" l="0" r="0" t="0"/>
            <wp:docPr descr="" title="" id="376" name="Picture"/>
            <a:graphic>
              <a:graphicData uri="http://schemas.openxmlformats.org/drawingml/2006/picture">
                <pic:pic>
                  <pic:nvPicPr>
                    <pic:cNvPr descr="/home/user/System-Design/build/.cache/diagrams/af50b09ef928.png" id="377" name="Picture"/>
                    <pic:cNvPicPr>
                      <a:picLocks noChangeArrowheads="1" noChangeAspect="1"/>
                    </pic:cNvPicPr>
                  </pic:nvPicPr>
                  <pic:blipFill>
                    <a:blip r:embed="rId375"/>
                    <a:stretch>
                      <a:fillRect/>
                    </a:stretch>
                  </pic:blipFill>
                  <pic:spPr bwMode="auto">
                    <a:xfrm>
                      <a:off x="0" y="0"/>
                      <a:ext cx="5334000" cy="3182911"/>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client sends one HTTPS request to a root service, which issues</w:t>
      </w:r>
      <w:r>
        <w:t xml:space="preserve"> </w:t>
      </w:r>
      <m:oMath>
        <m:r>
          <m:t>N</m:t>
        </m:r>
      </m:oMath>
      <w:r>
        <w:t xml:space="preserve"> </w:t>
      </w:r>
      <w:r>
        <w:t xml:space="preserve">parallel RPCs to leaf services, each owning one data partition (the cylinders mark storage boundaries). All arrows are synchronous request/response except the dotted arrow, which highlights the one leaf whose reply arrives late. The root cannot answer until every leaf replies (or a deadline fires), so the response time is the</w:t>
      </w:r>
      <w:r>
        <w:t xml:space="preserve"> </w:t>
      </w:r>
      <w:r>
        <w:rPr>
          <w:iCs/>
          <w:i/>
        </w:rPr>
        <w:t xml:space="preserve">maximum</w:t>
      </w:r>
      <w:r>
        <w:t xml:space="preserve"> </w:t>
      </w:r>
      <w:r>
        <w:t xml:space="preserve">of</w:t>
      </w:r>
      <w:r>
        <w:t xml:space="preserve"> </w:t>
      </w:r>
      <m:oMath>
        <m:r>
          <m:t>N</m:t>
        </m:r>
      </m:oMath>
      <w:r>
        <w:t xml:space="preserve"> </w:t>
      </w:r>
      <w:r>
        <w:t xml:space="preserve">leaf latencies. Every leaf is a failure point for the whole request. Scaling out by adding partitions increases</w:t>
      </w:r>
      <w:r>
        <w:t xml:space="preserve"> </w:t>
      </w:r>
      <m:oMath>
        <m:r>
          <m:t>N</m:t>
        </m:r>
      </m:oMath>
      <w:r>
        <w:t xml:space="preserve"> </w:t>
      </w:r>
      <w:r>
        <w:t xml:space="preserve">and therefore makes the tail</w:t>
      </w:r>
      <w:r>
        <w:t xml:space="preserve"> </w:t>
      </w:r>
      <w:r>
        <w:rPr>
          <w:iCs/>
          <w:i/>
        </w:rPr>
        <w:t xml:space="preserve">worse</w:t>
      </w:r>
      <w:r>
        <w:t xml:space="preserve"> </w:t>
      </w:r>
      <w:r>
        <w:t xml:space="preserve">unless tail-tolerant techniques are used.</w:t>
      </w:r>
    </w:p>
    <w:p>
      <w:pPr>
        <w:pStyle w:val="CalloutFormula"/>
      </w:pPr>
      <w:r>
        <w:rPr>
          <w:bCs/>
          <w:b/>
        </w:rPr>
        <w:t xml:space="preserve">FORMULA</w:t>
      </w:r>
    </w:p>
    <w:p>
      <w:pPr>
        <w:pStyle w:val="CalloutFormula"/>
      </w:pPr>
      <w:r>
        <w:rPr>
          <w:bCs/>
          <w:b/>
        </w:rPr>
        <w:t xml:space="preserve">Probability that a fan-out request is fast</w:t>
      </w:r>
    </w:p>
    <w:p>
      <w:pPr>
        <w:pStyle w:val="CalloutFormula"/>
      </w:pPr>
      <m:oMathPara>
        <m:oMathParaPr>
          <m:jc m:val="center"/>
        </m:oMathParaPr>
        <m:oMath>
          <m:r>
            <m:t>P</m:t>
          </m:r>
          <m:d>
            <m:dPr>
              <m:begChr m:val="("/>
              <m:endChr m:val=")"/>
              <m:sepChr m:val=""/>
              <m:grow/>
            </m:dPr>
            <m:e>
              <m:r>
                <m:rPr>
                  <m:nor/>
                  <m:sty m:val="p"/>
                </m:rPr>
                <m:t>all </m:t>
              </m:r>
              <m:r>
                <m:t>N</m:t>
              </m:r>
              <m:r>
                <m:rPr>
                  <m:nor/>
                  <m:sty m:val="p"/>
                </m:rPr>
                <m:t> fast</m:t>
              </m:r>
            </m:e>
          </m:d>
          <m:r>
            <m:rPr>
              <m:sty m:val="p"/>
            </m:rPr>
            <m:t>=</m:t>
          </m:r>
          <m:sSup>
            <m:e>
              <m:r>
                <m:t>p</m:t>
              </m:r>
            </m:e>
            <m:sup>
              <m:r>
                <m:t>N</m:t>
              </m:r>
            </m:sup>
          </m:sSup>
          <m:r>
            <m:t>  </m:t>
          </m:r>
          <m:r>
            <m:t>P</m:t>
          </m:r>
          <m:d>
            <m:dPr>
              <m:begChr m:val="("/>
              <m:endChr m:val=")"/>
              <m:sepChr m:val=""/>
              <m:grow/>
            </m:dPr>
            <m:e>
              <m:r>
                <m:rPr>
                  <m:nor/>
                  <m:sty m:val="p"/>
                </m:rPr>
                <m:t>at least one slow</m:t>
              </m:r>
            </m:e>
          </m:d>
          <m:r>
            <m:rPr>
              <m:sty m:val="p"/>
            </m:rPr>
            <m:t>=</m:t>
          </m:r>
          <m:r>
            <m:t>1</m:t>
          </m:r>
          <m:r>
            <m:rPr>
              <m:sty m:val="p"/>
            </m:rPr>
            <m:t>−</m:t>
          </m:r>
          <m:sSup>
            <m:e>
              <m:r>
                <m:t>p</m:t>
              </m:r>
            </m:e>
            <m:sup>
              <m:r>
                <m:t>N</m:t>
              </m:r>
            </m:sup>
          </m:sSup>
          <m:r>
            <m:t>  </m:t>
          </m:r>
          <m:sSub>
            <m:e>
              <m:r>
                <m:t>p</m:t>
              </m:r>
            </m:e>
            <m:sub>
              <m:r>
                <m:rPr>
                  <m:nor/>
                  <m:sty m:val="p"/>
                </m:rPr>
                <m:t>required</m:t>
              </m:r>
            </m:sub>
          </m:sSub>
          <m:r>
            <m:rPr>
              <m:sty m:val="p"/>
            </m:rPr>
            <m:t>=</m:t>
          </m:r>
          <m:sSubSup>
            <m:e>
              <m:r>
                <m:t>P</m:t>
              </m:r>
            </m:e>
            <m:sub>
              <m:r>
                <m:rPr>
                  <m:nor/>
                  <m:sty m:val="p"/>
                </m:rPr>
                <m:t>target</m:t>
              </m:r>
            </m:sub>
            <m:sup>
              <m:r>
                <m:t>1</m:t>
              </m:r>
              <m:r>
                <m:rPr>
                  <m:sty m:val="p"/>
                </m:rPr>
                <m:t>/</m:t>
              </m:r>
              <m:r>
                <m:t>N</m:t>
              </m:r>
            </m:sup>
          </m:sSubSup>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p</m:t>
              </m:r>
            </m:oMath>
          </w:p>
        </w:tc>
        <w:tc>
          <w:tcPr/>
          <w:p>
            <w:pPr>
              <w:pStyle w:val="Compact"/>
              <w:jc w:val="left"/>
            </w:pPr>
            <w:r>
              <w:t xml:space="preserve">Probability that one leaf responds within the threshold (e.g. 0.99 at the leaf’s p99)</w:t>
            </w:r>
          </w:p>
        </w:tc>
        <w:tc>
          <w:tcPr/>
          <w:p>
            <w:pPr>
              <w:pStyle w:val="Compact"/>
              <w:jc w:val="left"/>
            </w:pPr>
            <w:r>
              <w:t xml:space="preserve">dimensionless</w:t>
            </w:r>
          </w:p>
        </w:tc>
      </w:tr>
      <w:tr>
        <w:tc>
          <w:tcPr/>
          <w:p>
            <w:pPr>
              <w:pStyle w:val="Compact"/>
              <w:jc w:val="left"/>
            </w:pPr>
            <m:oMath>
              <m:r>
                <m:t>N</m:t>
              </m:r>
            </m:oMath>
          </w:p>
        </w:tc>
        <w:tc>
          <w:tcPr/>
          <w:p>
            <w:pPr>
              <w:pStyle w:val="Compact"/>
              <w:jc w:val="left"/>
            </w:pPr>
            <w:r>
              <w:t xml:space="preserve">Number of parallel sub-requests the root must wait for</w:t>
            </w:r>
          </w:p>
        </w:tc>
        <w:tc>
          <w:tcPr/>
          <w:p>
            <w:pPr>
              <w:pStyle w:val="Compact"/>
              <w:jc w:val="left"/>
            </w:pPr>
            <w:r>
              <w:t xml:space="preserve">count</w:t>
            </w:r>
          </w:p>
        </w:tc>
      </w:tr>
      <w:tr>
        <w:tc>
          <w:tcPr/>
          <w:p>
            <w:pPr>
              <w:pStyle w:val="Compact"/>
              <w:jc w:val="left"/>
            </w:pPr>
            <m:oMath>
              <m:sSub>
                <m:e>
                  <m:r>
                    <m:t>P</m:t>
                  </m:r>
                </m:e>
                <m:sub>
                  <m:r>
                    <m:rPr>
                      <m:nor/>
                      <m:sty m:val="p"/>
                    </m:rPr>
                    <m:t>target</m:t>
                  </m:r>
                </m:sub>
              </m:sSub>
            </m:oMath>
          </w:p>
        </w:tc>
        <w:tc>
          <w:tcPr/>
          <w:p>
            <w:pPr>
              <w:pStyle w:val="Compact"/>
              <w:jc w:val="left"/>
            </w:pPr>
            <w:r>
              <w:t xml:space="preserve">Desired probability that the whole request is fast</w:t>
            </w:r>
          </w:p>
        </w:tc>
        <w:tc>
          <w:tcPr/>
          <w:p>
            <w:pPr>
              <w:pStyle w:val="Compact"/>
              <w:jc w:val="left"/>
            </w:pPr>
            <w:r>
              <w:t xml:space="preserve">dimensionless</w:t>
            </w:r>
          </w:p>
        </w:tc>
      </w:tr>
      <w:tr>
        <w:tc>
          <w:tcPr/>
          <w:p>
            <w:pPr>
              <w:pStyle w:val="Compact"/>
              <w:jc w:val="left"/>
            </w:pPr>
            <m:oMath>
              <m:sSub>
                <m:e>
                  <m:r>
                    <m:t>p</m:t>
                  </m:r>
                </m:e>
                <m:sub>
                  <m:r>
                    <m:rPr>
                      <m:nor/>
                      <m:sty m:val="p"/>
                    </m:rPr>
                    <m:t>required</m:t>
                  </m:r>
                </m:sub>
              </m:sSub>
            </m:oMath>
          </w:p>
        </w:tc>
        <w:tc>
          <w:tcPr/>
          <w:p>
            <w:pPr>
              <w:pStyle w:val="Compact"/>
              <w:jc w:val="left"/>
            </w:pPr>
            <w:r>
              <w:t xml:space="preserve">Per-leaf probability needed to meet</w:t>
            </w:r>
            <w:r>
              <w:t xml:space="preserve"> </w:t>
            </w:r>
            <m:oMath>
              <m:sSub>
                <m:e>
                  <m:r>
                    <m:t>P</m:t>
                  </m:r>
                </m:e>
                <m:sub>
                  <m:r>
                    <m:rPr>
                      <m:nor/>
                      <m:sty m:val="p"/>
                    </m:rPr>
                    <m:t>target</m:t>
                  </m:r>
                </m:sub>
              </m:sSub>
            </m:oMath>
          </w:p>
        </w:tc>
        <w:tc>
          <w:tcPr/>
          <w:p>
            <w:pPr>
              <w:pStyle w:val="Compact"/>
              <w:jc w:val="left"/>
            </w:pPr>
            <w:r>
              <w:t xml:space="preserve">dimensionless</w:t>
            </w:r>
          </w:p>
        </w:tc>
      </w:tr>
    </w:tbl>
    <w:p>
      <w:pPr>
        <w:pStyle w:val="BodyText"/>
      </w:pPr>
      <w:r>
        <w:t xml:space="preserve">This is the complement rule of §4.6.1 again, assuming leaf latencies are independent.</w:t>
      </w:r>
    </w:p>
    <w:p>
      <w:pPr>
        <w:pStyle w:val="CalloutExample"/>
      </w:pPr>
      <w:r>
        <w:rPr>
          <w:bCs/>
          <w:b/>
        </w:rPr>
        <w:t xml:space="preserve">WORKED EXAMPLE</w:t>
      </w:r>
    </w:p>
    <w:p>
      <w:pPr>
        <w:pStyle w:val="CalloutExample"/>
      </w:pPr>
      <w:r>
        <w:rPr>
          <w:bCs/>
          <w:b/>
        </w:rPr>
        <w:t xml:space="preserve">Worked example — 100-way fan-out.</w:t>
      </w:r>
      <w:r>
        <w:t xml:space="preserve"> </w:t>
      </w:r>
      <w:r>
        <w:t xml:space="preserve">Each leaf answers within 10 ms with probability 0.99 (its p99 is 10 ms). The root fans out to</w:t>
      </w:r>
      <w:r>
        <w:t xml:space="preserve"> </w:t>
      </w:r>
      <m:oMath>
        <m:r>
          <m:t>N</m:t>
        </m:r>
        <m:r>
          <m:rPr>
            <m:sty m:val="p"/>
          </m:rPr>
          <m:t>=</m:t>
        </m:r>
        <m:r>
          <m:t>100</m:t>
        </m:r>
      </m:oMath>
      <w:r>
        <w:t xml:space="preserve"> </w:t>
      </w:r>
      <w:r>
        <w:t xml:space="preserve">leaves.</w:t>
      </w:r>
    </w:p>
    <w:p>
      <w:pPr>
        <w:numPr>
          <w:ilvl w:val="0"/>
          <w:numId w:val="1103"/>
        </w:numPr>
        <w:pStyle w:val="Compact"/>
      </w:pPr>
      <m:oMath>
        <m:r>
          <m:t>P</m:t>
        </m:r>
        <m:d>
          <m:dPr>
            <m:begChr m:val="("/>
            <m:endChr m:val=")"/>
            <m:sepChr m:val=""/>
            <m:grow/>
          </m:dPr>
          <m:e>
            <m:r>
              <m:rPr>
                <m:nor/>
                <m:sty m:val="p"/>
              </m:rPr>
              <m:t>all fast</m:t>
            </m:r>
          </m:e>
        </m:d>
        <m:r>
          <m:rPr>
            <m:sty m:val="p"/>
          </m:rPr>
          <m:t>=</m:t>
        </m:r>
        <m:sSup>
          <m:e>
            <m:r>
              <m:t>0.99</m:t>
            </m:r>
          </m:e>
          <m:sup>
            <m:r>
              <m:t>100</m:t>
            </m:r>
          </m:sup>
        </m:sSup>
        <m:r>
          <m:rPr>
            <m:sty m:val="p"/>
          </m:rPr>
          <m:t>=</m:t>
        </m:r>
        <m:r>
          <m:t>0.366</m:t>
        </m:r>
      </m:oMath>
      <w:r>
        <w:t xml:space="preserve">.</w:t>
      </w:r>
    </w:p>
    <w:p>
      <w:pPr>
        <w:numPr>
          <w:ilvl w:val="0"/>
          <w:numId w:val="1103"/>
        </w:numPr>
        <w:pStyle w:val="Compact"/>
      </w:pPr>
      <m:oMath>
        <m:r>
          <m:t>P</m:t>
        </m:r>
        <m:d>
          <m:dPr>
            <m:begChr m:val="("/>
            <m:endChr m:val=")"/>
            <m:sepChr m:val=""/>
            <m:grow/>
          </m:dPr>
          <m:e>
            <m:r>
              <m:rPr>
                <m:nor/>
                <m:sty m:val="p"/>
              </m:rPr>
              <m:t>at least one slow</m:t>
            </m:r>
          </m:e>
        </m:d>
        <m:r>
          <m:rPr>
            <m:sty m:val="p"/>
          </m:rPr>
          <m:t>=</m:t>
        </m:r>
        <m:r>
          <m:t>1</m:t>
        </m:r>
        <m:r>
          <m:rPr>
            <m:sty m:val="p"/>
          </m:rPr>
          <m:t>−</m:t>
        </m:r>
        <m:r>
          <m:t>0.366</m:t>
        </m:r>
        <m:r>
          <m:rPr>
            <m:sty m:val="p"/>
          </m:rPr>
          <m:t>=</m:t>
        </m:r>
        <m:r>
          <m:t>0.634</m:t>
        </m:r>
      </m:oMath>
      <w:r>
        <w:t xml:space="preserve">.</w:t>
      </w:r>
    </w:p>
    <w:p>
      <w:pPr>
        <w:numPr>
          <w:ilvl w:val="0"/>
          <w:numId w:val="1103"/>
        </w:numPr>
        <w:pStyle w:val="Compact"/>
      </w:pPr>
      <w:r>
        <w:t xml:space="preserve">For 99% of root requests to be fast we need</w:t>
      </w:r>
      <w:r>
        <w:t xml:space="preserve"> </w:t>
      </w:r>
      <m:oMath>
        <m:r>
          <m:t>p</m:t>
        </m:r>
        <m:r>
          <m:rPr>
            <m:sty m:val="p"/>
          </m:rPr>
          <m:t>=</m:t>
        </m:r>
        <m:sSup>
          <m:e>
            <m:r>
              <m:t>0.99</m:t>
            </m:r>
          </m:e>
          <m:sup>
            <m:r>
              <m:t>1</m:t>
            </m:r>
            <m:r>
              <m:rPr>
                <m:sty m:val="p"/>
              </m:rPr>
              <m:t>/</m:t>
            </m:r>
            <m:r>
              <m:t>100</m:t>
            </m:r>
          </m:sup>
        </m:sSup>
        <m:r>
          <m:rPr>
            <m:sty m:val="p"/>
          </m:rPr>
          <m:t>=</m:t>
        </m:r>
        <m:r>
          <m:t>0.99990</m:t>
        </m:r>
      </m:oMath>
      <w:r>
        <w:t xml:space="preserve">: every leaf must meet the 10 ms threshold at its p99.99.</w:t>
      </w:r>
    </w:p>
    <w:p>
      <w:pPr>
        <w:numPr>
          <w:ilvl w:val="0"/>
          <w:numId w:val="1103"/>
        </w:numPr>
        <w:pStyle w:val="Compact"/>
      </w:pPr>
      <w:r>
        <w:t xml:space="preserve">With</w:t>
      </w:r>
      <w:r>
        <w:t xml:space="preserve"> </w:t>
      </w:r>
      <m:oMath>
        <m:r>
          <m:t>N</m:t>
        </m:r>
        <m:r>
          <m:rPr>
            <m:sty m:val="p"/>
          </m:rPr>
          <m:t>=</m:t>
        </m:r>
        <m:r>
          <m:t>10</m:t>
        </m:r>
      </m:oMath>
      <w:r>
        <w:t xml:space="preserve">:</w:t>
      </w:r>
      <w:r>
        <w:t xml:space="preserve"> </w:t>
      </w:r>
      <m:oMath>
        <m:sSup>
          <m:e>
            <m:r>
              <m:t>0.99</m:t>
            </m:r>
          </m:e>
          <m:sup>
            <m:r>
              <m:t>10</m:t>
            </m:r>
          </m:sup>
        </m:sSup>
        <m:r>
          <m:rPr>
            <m:sty m:val="p"/>
          </m:rPr>
          <m:t>=</m:t>
        </m:r>
        <m:r>
          <m:t>0.904</m:t>
        </m:r>
      </m:oMath>
      <w:r>
        <w:t xml:space="preserve">, so 9.6% of requests are slow.</w:t>
      </w:r>
    </w:p>
    <w:p>
      <w:pPr>
        <w:pStyle w:val="CalloutExample"/>
      </w:pPr>
      <w:r>
        <w:rPr>
          <w:bCs/>
          <w:b/>
        </w:rPr>
        <w:t xml:space="preserve">Interpretation.</w:t>
      </w:r>
      <w:r>
        <w:t xml:space="preserve"> </w:t>
      </w:r>
      <w:r>
        <w:t xml:space="preserve">A leaf p99 becomes the root’s p37 or so: 63% of user requests see at least one slow leaf. This is the example Dean and Barroso use to open</w:t>
      </w:r>
      <w:r>
        <w:t xml:space="preserve"> </w:t>
      </w:r>
      <w:r>
        <w:rPr>
          <w:iCs/>
          <w:i/>
        </w:rPr>
        <w:t xml:space="preserve">The Tail at Scale</w:t>
      </w:r>
      <w:r>
        <w:t xml:space="preserve">: with a one-in-a-hundred chance of a slow leaf, 63% of 100-way fan-out requests are slow [Dean and Barroso 2013].</w:t>
      </w:r>
      <w:r>
        <w:t xml:space="preserve"> </w:t>
      </w:r>
      <w:r>
        <w:rPr>
          <w:bCs/>
          <w:b/>
        </w:rPr>
        <w:t xml:space="preserve">Engineering implication.</w:t>
      </w:r>
      <w:r>
        <w:t xml:space="preserve"> </w:t>
      </w:r>
      <w:r>
        <w:t xml:space="preserve">In fan-out architectures you must engineer the leaf p99.9 or p99.99, not the leaf p99, or use tail-tolerant techniques that break the</w:t>
      </w:r>
      <w:r>
        <w:t xml:space="preserve"> </w:t>
      </w:r>
      <m:oMath>
        <m:sSup>
          <m:e>
            <m:r>
              <m:t>p</m:t>
            </m:r>
          </m:e>
          <m:sup>
            <m:r>
              <m:t>N</m:t>
            </m:r>
          </m:sup>
        </m:sSup>
      </m:oMath>
      <w:r>
        <w:t xml:space="preserve"> </w:t>
      </w:r>
      <w:r>
        <w:t xml:space="preserve">law.</w:t>
      </w:r>
    </w:p>
    <w:bookmarkStart w:id="378" w:name="real-world-industry-applications-10"/>
    <w:p>
      <w:pPr>
        <w:pStyle w:val="Heading4"/>
      </w:pPr>
      <w:r>
        <w:t xml:space="preserve">Real-world industry applications</w:t>
      </w:r>
    </w:p>
    <w:p>
      <w:pPr>
        <w:pStyle w:val="CalloutIndustry"/>
      </w:pPr>
      <w:r>
        <w:rPr>
          <w:bCs/>
          <w:b/>
        </w:rPr>
        <w:t xml:space="preserve">INDUSTRY EXAMPLE</w:t>
      </w:r>
    </w:p>
    <w:p>
      <w:pPr>
        <w:pStyle w:val="CalloutIndustry"/>
      </w:pPr>
      <w:r>
        <w:rPr>
          <w:bCs/>
          <w:b/>
        </w:rPr>
        <w:t xml:space="preserve">Google — tail-tolerant techniques.</w:t>
      </w:r>
      <w:r>
        <w:t xml:space="preserve"> </w:t>
      </w:r>
      <w:r>
        <w:t xml:space="preserve">Dean and Barroso describe how large fan-out services at Google tolerate latency variability instead of trying to eliminate it.</w:t>
      </w:r>
      <w:r>
        <w:t xml:space="preserve"> </w:t>
      </w:r>
      <w:r>
        <w:rPr>
          <w:bCs/>
          <w:b/>
        </w:rPr>
        <w:t xml:space="preserve">Hedged requests</w:t>
      </w:r>
      <w:r>
        <w:t xml:space="preserve"> </w:t>
      </w:r>
      <w:r>
        <w:t xml:space="preserve">send a second copy of a request to another replica if the first has not answered within, for example, the 95th-percentile expected latency, and use whichever reply arrives first;</w:t>
      </w:r>
      <w:r>
        <w:t xml:space="preserve"> </w:t>
      </w:r>
      <w:r>
        <w:rPr>
          <w:bCs/>
          <w:b/>
        </w:rPr>
        <w:t xml:space="preserve">tied requests</w:t>
      </w:r>
      <w:r>
        <w:t xml:space="preserve"> </w:t>
      </w:r>
      <w:r>
        <w:t xml:space="preserve">enqueue the request on two servers and let the first to start cancel the other. They report a benchmark reading 1,000 keys from 100 BigTable servers in which hedging after 10 ms cut the p99.9 latency from 1,800 ms to 74 ms while sending only about 2% more requests. Trade-off: hedging spends a little extra load to cut the tail, and must be disabled or rate-limited under overload so it does not amplify it. Chapter 23 (§23.6–§23.7) covers implementation.</w:t>
      </w:r>
      <w:r>
        <w:t xml:space="preserve"> </w:t>
      </w:r>
      <w:r>
        <w:rPr>
          <w:iCs/>
          <w:i/>
        </w:rPr>
        <w:t xml:space="preserve">Evidence: Primary</w:t>
      </w:r>
      <w:r>
        <w:t xml:space="preserve"> </w:t>
      </w:r>
      <w:r>
        <w:t xml:space="preserve">— [Dean and Barroso 2013]</w:t>
      </w:r>
    </w:p>
    <w:p>
      <w:pPr>
        <w:pStyle w:val="BodyText"/>
      </w:pPr>
      <w:r>
        <w:t xml:space="preserve">Two further traps are covered in Chapter 23: computing a fleet p99 by averaging per-host p99s (merge histograms instead, §4.8.3), and</w:t>
      </w:r>
      <w:r>
        <w:t xml:space="preserve"> </w:t>
      </w:r>
      <w:r>
        <w:rPr>
          <w:bCs/>
          <w:b/>
        </w:rPr>
        <w:t xml:space="preserve">coordinated omission</w:t>
      </w:r>
      <w:r>
        <w:t xml:space="preserve">, where a load generator that waits for slow replies stops sending during slow periods and so under-samples the tail (§23.5).</w:t>
      </w:r>
    </w:p>
    <w:p>
      <w:pPr>
        <w:pStyle w:val="CalloutMistake"/>
      </w:pPr>
      <w:r>
        <w:rPr>
          <w:bCs/>
          <w:b/>
        </w:rPr>
        <w:t xml:space="preserve">COMMON MISTAKE</w:t>
      </w:r>
    </w:p>
    <w:p>
      <w:pPr>
        <w:pStyle w:val="CalloutMistake"/>
      </w:pPr>
      <w:r>
        <w:rPr>
          <w:bCs/>
          <w:b/>
        </w:rPr>
        <w:t xml:space="preserve">Mistake —</w:t>
      </w:r>
      <w:r>
        <w:rPr>
          <w:bCs/>
          <w:b/>
        </w:rPr>
        <w:t xml:space="preserve"> </w:t>
      </w:r>
      <w:r>
        <w:rPr>
          <w:bCs/>
          <w:b/>
        </w:rPr>
        <w:t xml:space="preserve">“</w:t>
      </w:r>
      <w:r>
        <w:rPr>
          <w:bCs/>
          <w:b/>
        </w:rPr>
        <w:t xml:space="preserve">Our p99 is fine, so only 1% of users suffer.</w:t>
      </w:r>
      <w:r>
        <w:rPr>
          <w:bCs/>
          <w:b/>
        </w:rPr>
        <w:t xml:space="preserve">”</w:t>
      </w:r>
      <w:r>
        <w:t xml:space="preserve"> </w:t>
      </w:r>
      <w:r>
        <w:t xml:space="preserve">If a user session issues 100 requests, the probability that the session contains at least one request slower than p99 is</w:t>
      </w:r>
      <w:r>
        <w:t xml:space="preserve"> </w:t>
      </w:r>
      <m:oMath>
        <m:r>
          <m:t>1</m:t>
        </m:r>
        <m:r>
          <m:rPr>
            <m:sty m:val="p"/>
          </m:rPr>
          <m:t>−</m:t>
        </m:r>
        <m:sSup>
          <m:e>
            <m:r>
              <m:t>0.99</m:t>
            </m:r>
          </m:e>
          <m:sup>
            <m:r>
              <m:t>100</m:t>
            </m:r>
          </m:sup>
        </m:sSup>
        <m:r>
          <m:rPr>
            <m:sty m:val="p"/>
          </m:rPr>
          <m:t>=</m:t>
        </m:r>
        <m:r>
          <m:t>63</m:t>
        </m:r>
        <m:r>
          <m:rPr>
            <m:sty m:val="p"/>
          </m:rPr>
          <m:t>%</m:t>
        </m:r>
      </m:oMath>
      <w:r>
        <w:t xml:space="preserve">. Percentiles are per request; user experience is per session.</w:t>
      </w:r>
    </w:p>
    <w:bookmarkEnd w:id="378"/>
    <w:bookmarkEnd w:id="379"/>
    <w:bookmarkEnd w:id="380"/>
    <w:bookmarkStart w:id="385" w:name="basic-linear-algebra"/>
    <w:p>
      <w:pPr>
        <w:pStyle w:val="Heading2"/>
      </w:pPr>
      <w:r>
        <w:t xml:space="preserve">4.9 Basic linear algebra</w:t>
      </w:r>
    </w:p>
    <w:p>
      <w:pPr>
        <w:pStyle w:val="FirstParagraph"/>
      </w:pPr>
      <w:r>
        <w:t xml:space="preserve">This section is a preparation for the ML chapters (Part XI onward), where embeddings, similarity search and matrix multiplication dominate cost. You need only three ideas: vectors, the dot product and matrix multiplication.</w:t>
      </w:r>
    </w:p>
    <w:bookmarkStart w:id="382" w:name="vectors"/>
    <w:p>
      <w:pPr>
        <w:pStyle w:val="Heading3"/>
      </w:pPr>
      <w:r>
        <w:t xml:space="preserve">4.9.1 Vectors</w:t>
      </w:r>
    </w:p>
    <w:p>
      <w:pPr>
        <w:pStyle w:val="CalloutDefinition"/>
      </w:pPr>
      <w:r>
        <w:rPr>
          <w:bCs/>
          <w:b/>
        </w:rPr>
        <w:t xml:space="preserve">DEFINITION</w:t>
      </w:r>
    </w:p>
    <w:p>
      <w:pPr>
        <w:pStyle w:val="CalloutDefinition"/>
      </w:pPr>
      <w:r>
        <w:rPr>
          <w:bCs/>
          <w:b/>
        </w:rPr>
        <w:t xml:space="preserve">Definition — Vector.</w:t>
      </w:r>
      <w:r>
        <w:t xml:space="preserve"> </w:t>
      </w:r>
      <w:r>
        <w:t xml:space="preserve">An ordered list of</w:t>
      </w:r>
      <w:r>
        <w:t xml:space="preserve"> </w:t>
      </w:r>
      <m:oMath>
        <m:r>
          <m:t>d</m:t>
        </m:r>
      </m:oMath>
      <w:r>
        <w:t xml:space="preserve"> </w:t>
      </w:r>
      <w:r>
        <w:t xml:space="preserve">numbers,</w:t>
      </w:r>
      <w:r>
        <w:t xml:space="preserve"> </w:t>
      </w:r>
      <m:oMath>
        <m:r>
          <m:rPr>
            <m:sty m:val="b"/>
          </m:rPr>
          <m:t>a</m:t>
        </m:r>
        <m:r>
          <m:rPr>
            <m:sty m:val="p"/>
          </m:rPr>
          <m:t>=</m:t>
        </m:r>
        <m:d>
          <m:dPr>
            <m:begChr m:val="("/>
            <m:endChr m:val=")"/>
            <m:sepChr m:val=""/>
            <m:grow/>
          </m:dPr>
          <m:e>
            <m:sSub>
              <m:e>
                <m:r>
                  <m:t>a</m:t>
                </m:r>
              </m:e>
              <m:sub>
                <m:r>
                  <m:t>1</m:t>
                </m:r>
              </m:sub>
            </m:sSub>
            <m:r>
              <m:rPr>
                <m:sty m:val="p"/>
              </m:rPr>
              <m:t>,</m:t>
            </m:r>
            <m:sSub>
              <m:e>
                <m:r>
                  <m:t>a</m:t>
                </m:r>
              </m:e>
              <m:sub>
                <m:r>
                  <m:t>2</m:t>
                </m:r>
              </m:sub>
            </m:sSub>
            <m:r>
              <m:rPr>
                <m:sty m:val="p"/>
              </m:rPr>
              <m:t>,</m:t>
            </m:r>
            <m:r>
              <m:rPr>
                <m:sty m:val="p"/>
              </m:rPr>
              <m:t>…</m:t>
            </m:r>
            <m:r>
              <m:rPr>
                <m:sty m:val="p"/>
              </m:rPr>
              <m:t>,</m:t>
            </m:r>
            <m:sSub>
              <m:e>
                <m:r>
                  <m:t>a</m:t>
                </m:r>
              </m:e>
              <m:sub>
                <m:r>
                  <m:t>d</m:t>
                </m:r>
              </m:sub>
            </m:sSub>
          </m:e>
        </m:d>
      </m:oMath>
      <w:r>
        <w:t xml:space="preserve">, where</w:t>
      </w:r>
      <w:r>
        <w:t xml:space="preserve"> </w:t>
      </w:r>
      <m:oMath>
        <m:r>
          <m:t>d</m:t>
        </m:r>
      </m:oMath>
      <w:r>
        <w:t xml:space="preserve"> </w:t>
      </w:r>
      <w:r>
        <w:t xml:space="preserve">is the</w:t>
      </w:r>
      <w:r>
        <w:t xml:space="preserve"> </w:t>
      </w:r>
      <w:r>
        <w:rPr>
          <w:bCs/>
          <w:b/>
        </w:rPr>
        <w:t xml:space="preserve">dimension</w:t>
      </w:r>
      <w:r>
        <w:t xml:space="preserve">. Geometrically, a vector is an arrow from the origin to a point in</w:t>
      </w:r>
      <w:r>
        <w:t xml:space="preserve"> </w:t>
      </w:r>
      <m:oMath>
        <m:r>
          <m:t>d</m:t>
        </m:r>
      </m:oMath>
      <w:r>
        <w:t xml:space="preserve">-dimensional space; its</w:t>
      </w:r>
      <w:r>
        <w:t xml:space="preserve"> </w:t>
      </w:r>
      <w:r>
        <w:rPr>
          <w:bCs/>
          <w:b/>
        </w:rPr>
        <w:t xml:space="preserve">length</w:t>
      </w:r>
      <w:r>
        <w:t xml:space="preserve"> </w:t>
      </w:r>
      <w:r>
        <w:t xml:space="preserve">(or norm) is</w:t>
      </w:r>
      <w:r>
        <w:t xml:space="preserve"> </w:t>
      </w:r>
      <m:oMath>
        <m:r>
          <m:rPr>
            <m:sty m:val="p"/>
          </m:rPr>
          <m:t>∥</m:t>
        </m:r>
        <m:r>
          <m:rPr>
            <m:sty m:val="b"/>
          </m:rPr>
          <m:t>a</m:t>
        </m:r>
        <m:r>
          <m:rPr>
            <m:sty m:val="p"/>
          </m:rPr>
          <m:t>∥</m:t>
        </m:r>
        <m:r>
          <m:rPr>
            <m:sty m:val="p"/>
          </m:rPr>
          <m:t>=</m:t>
        </m:r>
        <m:rad>
          <m:radPr>
            <m:degHide m:val="on"/>
          </m:radPr>
          <m:deg/>
          <m:e>
            <m:sSubSup>
              <m:e>
                <m:r>
                  <m:t>a</m:t>
                </m:r>
              </m:e>
              <m:sub>
                <m:r>
                  <m:t>1</m:t>
                </m:r>
              </m:sub>
              <m:sup>
                <m:r>
                  <m:t>2</m:t>
                </m:r>
              </m:sup>
            </m:sSubSup>
            <m:r>
              <m:rPr>
                <m:sty m:val="p"/>
              </m:rPr>
              <m:t>+</m:t>
            </m:r>
            <m:r>
              <m:rPr>
                <m:sty m:val="p"/>
              </m:rPr>
              <m:t>⋯</m:t>
            </m:r>
            <m:r>
              <m:rPr>
                <m:sty m:val="p"/>
              </m:rPr>
              <m:t>+</m:t>
            </m:r>
            <m:sSubSup>
              <m:e>
                <m:r>
                  <m:t>a</m:t>
                </m:r>
              </m:e>
              <m:sub>
                <m:r>
                  <m:t>d</m:t>
                </m:r>
              </m:sub>
              <m:sup>
                <m:r>
                  <m:t>2</m:t>
                </m:r>
              </m:sup>
            </m:sSubSup>
          </m:e>
        </m:rad>
      </m:oMath>
      <w:r>
        <w:t xml:space="preserve">.</w:t>
      </w:r>
    </w:p>
    <w:bookmarkStart w:id="381" w:name="first-principles-explanation-25"/>
    <w:p>
      <w:pPr>
        <w:pStyle w:val="Heading4"/>
      </w:pPr>
      <w:r>
        <w:t xml:space="preserve">First-principles explanation</w:t>
      </w:r>
    </w:p>
    <w:p>
      <w:pPr>
        <w:pStyle w:val="FirstParagraph"/>
      </w:pPr>
      <w:r>
        <w:t xml:space="preserve">A map location is a 2-dimensional vector (latitude, longitude); a song might be a 3-dimensional vector (tempo, loudness, acousticness). An ML</w:t>
      </w:r>
      <w:r>
        <w:t xml:space="preserve"> </w:t>
      </w:r>
      <w:r>
        <w:rPr>
          <w:bCs/>
          <w:b/>
        </w:rPr>
        <w:t xml:space="preserve">embedding</w:t>
      </w:r>
      <w:r>
        <w:t xml:space="preserve"> </w:t>
      </w:r>
      <w:r>
        <w:t xml:space="preserve">is the same idea with hundreds or thousands of learned dimensions, arranged so that similar items point in similar directions.</w:t>
      </w:r>
      <w:r>
        <w:t xml:space="preserve"> </w:t>
      </w:r>
      <w:r>
        <w:t xml:space="preserve">“</w:t>
      </w:r>
      <w:r>
        <w:t xml:space="preserve">Find similar items</w:t>
      </w:r>
      <w:r>
        <w:t xml:space="preserve">”</w:t>
      </w:r>
      <w:r>
        <w:t xml:space="preserve"> </w:t>
      </w:r>
      <w:r>
        <w:t xml:space="preserve">becomes</w:t>
      </w:r>
      <w:r>
        <w:t xml:space="preserve"> </w:t>
      </w:r>
      <w:r>
        <w:t xml:space="preserve">“</w:t>
      </w:r>
      <w:r>
        <w:t xml:space="preserve">find nearby arrows</w:t>
      </w:r>
      <w:r>
        <w:t xml:space="preserve">”</w:t>
      </w:r>
      <w:r>
        <w:t xml:space="preserve"> </w:t>
      </w:r>
      <w:r>
        <w:t xml:space="preserve">(Chapter 74).</w:t>
      </w:r>
    </w:p>
    <w:bookmarkEnd w:id="381"/>
    <w:bookmarkEnd w:id="382"/>
    <w:bookmarkStart w:id="383" w:name="dot-product-and-cosine-similarity"/>
    <w:p>
      <w:pPr>
        <w:pStyle w:val="Heading3"/>
      </w:pPr>
      <w:r>
        <w:t xml:space="preserve">4.9.2 Dot product and cosine similarity</w:t>
      </w:r>
    </w:p>
    <w:p>
      <w:pPr>
        <w:pStyle w:val="CalloutFormula"/>
      </w:pPr>
      <w:r>
        <w:rPr>
          <w:bCs/>
          <w:b/>
        </w:rPr>
        <w:t xml:space="preserve">FORMULA</w:t>
      </w:r>
    </w:p>
    <w:p>
      <w:pPr>
        <w:pStyle w:val="CalloutFormula"/>
      </w:pPr>
      <w:r>
        <w:rPr>
          <w:bCs/>
          <w:b/>
        </w:rPr>
        <w:t xml:space="preserve">Dot product and cosine similarity</w:t>
      </w:r>
    </w:p>
    <w:p>
      <w:pPr>
        <w:pStyle w:val="CalloutFormula"/>
      </w:pPr>
      <m:oMathPara>
        <m:oMathParaPr>
          <m:jc m:val="center"/>
        </m:oMathParaPr>
        <m:oMath>
          <m:r>
            <m:rPr>
              <m:sty m:val="b"/>
            </m:rPr>
            <m:t>a</m:t>
          </m:r>
          <m:r>
            <m:rPr>
              <m:sty m:val="p"/>
            </m:rPr>
            <m:t>⋅</m:t>
          </m:r>
          <m:r>
            <m:rPr>
              <m:sty m:val="b"/>
            </m:rPr>
            <m:t>b</m:t>
          </m:r>
          <m:r>
            <m:rPr>
              <m:sty m:val="p"/>
            </m:rPr>
            <m:t>=</m:t>
          </m:r>
          <m:nary>
            <m:naryPr>
              <m:chr m:val="∑"/>
              <m:limLoc m:val="undOvr"/>
              <m:subHide m:val="off"/>
              <m:supHide m:val="off"/>
            </m:naryPr>
            <m:sub>
              <m:r>
                <m:t>i</m:t>
              </m:r>
              <m:r>
                <m:rPr>
                  <m:sty m:val="p"/>
                </m:rPr>
                <m:t>=</m:t>
              </m:r>
              <m:r>
                <m:t>1</m:t>
              </m:r>
            </m:sub>
            <m:sup>
              <m:r>
                <m:t>d</m:t>
              </m:r>
            </m:sup>
            <m:e>
              <m:sSub>
                <m:e>
                  <m:r>
                    <m:t>a</m:t>
                  </m:r>
                </m:e>
                <m:sub>
                  <m:r>
                    <m:t>i</m:t>
                  </m:r>
                </m:sub>
              </m:sSub>
            </m:e>
          </m:nary>
          <m:sSub>
            <m:e>
              <m:r>
                <m:t>b</m:t>
              </m:r>
            </m:e>
            <m:sub>
              <m:r>
                <m:t>i</m:t>
              </m:r>
            </m:sub>
          </m:sSub>
          <m:r>
            <m:t>  </m:t>
          </m:r>
          <m:r>
            <m:rPr>
              <m:sty m:val="p"/>
            </m:rPr>
            <m:t>cos</m:t>
          </m:r>
          <m:r>
            <m:t>θ</m:t>
          </m:r>
          <m:r>
            <m:rPr>
              <m:sty m:val="p"/>
            </m:rPr>
            <m:t>=</m:t>
          </m:r>
          <m:f>
            <m:fPr>
              <m:type m:val="bar"/>
            </m:fPr>
            <m:num>
              <m:r>
                <m:rPr>
                  <m:sty m:val="b"/>
                </m:rPr>
                <m:t>a</m:t>
              </m:r>
              <m:r>
                <m:rPr>
                  <m:sty m:val="p"/>
                </m:rPr>
                <m:t>⋅</m:t>
              </m:r>
              <m:r>
                <m:rPr>
                  <m:sty m:val="b"/>
                </m:rPr>
                <m:t>b</m:t>
              </m:r>
            </m:num>
            <m:den>
              <m:r>
                <m:rPr>
                  <m:sty m:val="p"/>
                </m:rPr>
                <m:t>∥</m:t>
              </m:r>
              <m:r>
                <m:rPr>
                  <m:sty m:val="b"/>
                </m:rPr>
                <m:t>a</m:t>
              </m:r>
              <m:r>
                <m:rPr>
                  <m:sty m:val="p"/>
                </m:rPr>
                <m:t>∥</m:t>
              </m:r>
              <m:r>
                <m:t> </m:t>
              </m:r>
              <m:r>
                <m:rPr>
                  <m:sty m:val="p"/>
                </m:rPr>
                <m:t>∥</m:t>
              </m:r>
              <m:r>
                <m:rPr>
                  <m:sty m:val="b"/>
                </m:rPr>
                <m:t>b</m:t>
              </m:r>
              <m:r>
                <m:rPr>
                  <m:sty m:val="p"/>
                </m:rPr>
                <m:t>∥</m:t>
              </m:r>
            </m:den>
          </m:f>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rPr>
                  <m:sty m:val="b"/>
                </m:rPr>
                <m:t>a</m:t>
              </m:r>
              <m:r>
                <m:rPr>
                  <m:sty m:val="p"/>
                </m:rPr>
                <m:t>,</m:t>
              </m:r>
              <m:r>
                <m:rPr>
                  <m:sty m:val="b"/>
                </m:rPr>
                <m:t>b</m:t>
              </m:r>
            </m:oMath>
          </w:p>
        </w:tc>
        <w:tc>
          <w:tcPr/>
          <w:p>
            <w:pPr>
              <w:pStyle w:val="Compact"/>
              <w:jc w:val="left"/>
            </w:pPr>
            <w:r>
              <w:t xml:space="preserve">Two vectors of the same dimension</w:t>
            </w:r>
          </w:p>
        </w:tc>
        <w:tc>
          <w:tcPr/>
          <w:p>
            <w:pPr>
              <w:pStyle w:val="Compact"/>
              <w:jc w:val="left"/>
            </w:pPr>
            <w:r>
              <w:t xml:space="preserve">(embedding units; dimensionless)</w:t>
            </w:r>
          </w:p>
        </w:tc>
      </w:tr>
      <w:tr>
        <w:tc>
          <w:tcPr/>
          <w:p>
            <w:pPr>
              <w:pStyle w:val="Compact"/>
              <w:jc w:val="left"/>
            </w:pPr>
            <m:oMath>
              <m:r>
                <m:t>d</m:t>
              </m:r>
            </m:oMath>
          </w:p>
        </w:tc>
        <w:tc>
          <w:tcPr/>
          <w:p>
            <w:pPr>
              <w:pStyle w:val="Compact"/>
              <w:jc w:val="left"/>
            </w:pPr>
            <w:r>
              <w:t xml:space="preserve">Dimension</w:t>
            </w:r>
          </w:p>
        </w:tc>
        <w:tc>
          <w:tcPr/>
          <w:p>
            <w:pPr>
              <w:pStyle w:val="Compact"/>
              <w:jc w:val="left"/>
            </w:pPr>
            <w:r>
              <w:t xml:space="preserve">count</w:t>
            </w:r>
          </w:p>
        </w:tc>
      </w:tr>
      <w:tr>
        <w:tc>
          <w:tcPr/>
          <w:p>
            <w:pPr>
              <w:pStyle w:val="Compact"/>
              <w:jc w:val="left"/>
            </w:pPr>
            <m:oMath>
              <m:sSub>
                <m:e>
                  <m:r>
                    <m:t>a</m:t>
                  </m:r>
                </m:e>
                <m:sub>
                  <m:r>
                    <m:t>i</m:t>
                  </m:r>
                </m:sub>
              </m:sSub>
              <m:r>
                <m:rPr>
                  <m:sty m:val="p"/>
                </m:rPr>
                <m:t>,</m:t>
              </m:r>
              <m:sSub>
                <m:e>
                  <m:r>
                    <m:t>b</m:t>
                  </m:r>
                </m:e>
                <m:sub>
                  <m:r>
                    <m:t>i</m:t>
                  </m:r>
                </m:sub>
              </m:sSub>
            </m:oMath>
          </w:p>
        </w:tc>
        <w:tc>
          <w:tcPr/>
          <w:p>
            <w:pPr>
              <w:pStyle w:val="Compact"/>
              <w:jc w:val="left"/>
            </w:pPr>
            <m:oMath>
              <m:r>
                <m:t>i</m:t>
              </m:r>
            </m:oMath>
            <w:r>
              <w:t xml:space="preserve">-th components</w:t>
            </w:r>
          </w:p>
        </w:tc>
        <w:tc>
          <w:tcPr/>
          <w:p>
            <w:pPr>
              <w:pStyle w:val="Compact"/>
              <w:jc w:val="left"/>
            </w:pPr>
            <w:r>
              <w:t xml:space="preserve">dimensionless</w:t>
            </w:r>
          </w:p>
        </w:tc>
      </w:tr>
      <w:tr>
        <w:tc>
          <w:tcPr/>
          <w:p>
            <w:pPr>
              <w:pStyle w:val="Compact"/>
              <w:jc w:val="left"/>
            </w:pPr>
            <m:oMath>
              <m:r>
                <m:rPr>
                  <m:sty m:val="p"/>
                </m:rPr>
                <m:t>∥</m:t>
              </m:r>
              <m:r>
                <m:rPr>
                  <m:sty m:val="b"/>
                </m:rPr>
                <m:t>a</m:t>
              </m:r>
              <m:r>
                <m:rPr>
                  <m:sty m:val="p"/>
                </m:rPr>
                <m:t>∥</m:t>
              </m:r>
            </m:oMath>
          </w:p>
        </w:tc>
        <w:tc>
          <w:tcPr/>
          <w:p>
            <w:pPr>
              <w:pStyle w:val="Compact"/>
              <w:jc w:val="left"/>
            </w:pPr>
            <w:r>
              <w:t xml:space="preserve">Length of</w:t>
            </w:r>
            <w:r>
              <w:t xml:space="preserve"> </w:t>
            </w:r>
            <m:oMath>
              <m:r>
                <m:rPr>
                  <m:sty m:val="b"/>
                </m:rPr>
                <m:t>a</m:t>
              </m:r>
            </m:oMath>
          </w:p>
        </w:tc>
        <w:tc>
          <w:tcPr/>
          <w:p>
            <w:pPr>
              <w:pStyle w:val="Compact"/>
              <w:jc w:val="left"/>
            </w:pPr>
            <w:r>
              <w:t xml:space="preserve">dimensionless</w:t>
            </w:r>
          </w:p>
        </w:tc>
      </w:tr>
      <w:tr>
        <w:tc>
          <w:tcPr/>
          <w:p>
            <w:pPr>
              <w:pStyle w:val="Compact"/>
              <w:jc w:val="left"/>
            </w:pPr>
            <m:oMath>
              <m:r>
                <m:t>θ</m:t>
              </m:r>
            </m:oMath>
          </w:p>
        </w:tc>
        <w:tc>
          <w:tcPr/>
          <w:p>
            <w:pPr>
              <w:pStyle w:val="Compact"/>
              <w:jc w:val="left"/>
            </w:pPr>
            <w:r>
              <w:t xml:space="preserve">Angle between the vectors</w:t>
            </w:r>
          </w:p>
        </w:tc>
        <w:tc>
          <w:tcPr/>
          <w:p>
            <w:pPr>
              <w:pStyle w:val="Compact"/>
              <w:jc w:val="left"/>
            </w:pPr>
            <w:r>
              <w:t xml:space="preserve">radians or degrees</w:t>
            </w:r>
          </w:p>
        </w:tc>
      </w:tr>
      <w:tr>
        <w:tc>
          <w:tcPr/>
          <w:p>
            <w:pPr>
              <w:pStyle w:val="Compact"/>
              <w:jc w:val="left"/>
            </w:pPr>
            <m:oMath>
              <m:r>
                <m:rPr>
                  <m:sty m:val="p"/>
                </m:rPr>
                <m:t>cos</m:t>
              </m:r>
              <m:r>
                <m:t>θ</m:t>
              </m:r>
            </m:oMath>
          </w:p>
        </w:tc>
        <w:tc>
          <w:tcPr/>
          <w:p>
            <w:pPr>
              <w:pStyle w:val="Compact"/>
              <w:jc w:val="left"/>
            </w:pPr>
            <w:r>
              <w:t xml:space="preserve">Cosine similarity: 1 = same direction, 0 = unrelated (perpendicular), −1 = opposite</w:t>
            </w:r>
          </w:p>
        </w:tc>
        <w:tc>
          <w:tcPr/>
          <w:p>
            <w:pPr>
              <w:pStyle w:val="Compact"/>
              <w:jc w:val="left"/>
            </w:pPr>
            <w:r>
              <w:t xml:space="preserve">dimensionless</w:t>
            </w:r>
          </w:p>
        </w:tc>
      </w:tr>
    </w:tbl>
    <w:p>
      <w:pPr>
        <w:pStyle w:val="BodyText"/>
      </w:pPr>
      <w:r>
        <w:t xml:space="preserve">The dot product multiplies matching components and adds the results. Dividing by both lengths removes the effect of magnitude, so cosine similarity measures</w:t>
      </w:r>
      <w:r>
        <w:t xml:space="preserve"> </w:t>
      </w:r>
      <w:r>
        <w:rPr>
          <w:iCs/>
          <w:i/>
        </w:rPr>
        <w:t xml:space="preserve">direction only</w:t>
      </w:r>
      <w:r>
        <w:t xml:space="preserve">. If vectors are normalized to length 1 in advance (common for embeddings), cosine similarity</w:t>
      </w:r>
      <w:r>
        <w:t xml:space="preserve"> </w:t>
      </w:r>
      <w:r>
        <w:rPr>
          <w:iCs/>
          <w:i/>
        </w:rPr>
        <w:t xml:space="preserve">is</w:t>
      </w:r>
      <w:r>
        <w:t xml:space="preserve"> </w:t>
      </w:r>
      <w:r>
        <w:t xml:space="preserve">the dot product, which is cheaper to compute.</w:t>
      </w:r>
    </w:p>
    <w:p>
      <w:pPr>
        <w:pStyle w:val="CalloutExample"/>
      </w:pPr>
      <w:r>
        <w:rPr>
          <w:bCs/>
          <w:b/>
        </w:rPr>
        <w:t xml:space="preserve">WORKED EXAMPLE</w:t>
      </w:r>
    </w:p>
    <w:p>
      <w:pPr>
        <w:pStyle w:val="CalloutExample"/>
      </w:pPr>
      <w:r>
        <w:rPr>
          <w:bCs/>
          <w:b/>
        </w:rPr>
        <w:t xml:space="preserve">Worked example — Which document is closest to the query?</w:t>
      </w:r>
      <w:r>
        <w:t xml:space="preserve"> </w:t>
      </w:r>
      <w:r>
        <w:t xml:space="preserve">Query</w:t>
      </w:r>
      <w:r>
        <w:t xml:space="preserve"> </w:t>
      </w:r>
      <m:oMath>
        <m:r>
          <m:rPr>
            <m:sty m:val="b"/>
          </m:rPr>
          <m:t>q</m:t>
        </m:r>
        <m:r>
          <m:rPr>
            <m:sty m:val="p"/>
          </m:rPr>
          <m:t>=</m:t>
        </m:r>
        <m:d>
          <m:dPr>
            <m:begChr m:val="("/>
            <m:endChr m:val=")"/>
            <m:sepChr m:val=""/>
            <m:grow/>
          </m:dPr>
          <m:e>
            <m:r>
              <m:t>1</m:t>
            </m:r>
            <m:r>
              <m:rPr>
                <m:sty m:val="p"/>
              </m:rPr>
              <m:t>,</m:t>
            </m:r>
            <m:r>
              <m:t>2</m:t>
            </m:r>
            <m:r>
              <m:rPr>
                <m:sty m:val="p"/>
              </m:rPr>
              <m:t>,</m:t>
            </m:r>
            <m:r>
              <m:t>2</m:t>
            </m:r>
          </m:e>
        </m:d>
      </m:oMath>
      <w:r>
        <w:t xml:space="preserve">; document</w:t>
      </w:r>
      <w:r>
        <w:t xml:space="preserve"> </w:t>
      </w:r>
      <m:oMath>
        <m:r>
          <m:rPr>
            <m:sty m:val="b"/>
          </m:rPr>
          <m:t>a</m:t>
        </m:r>
        <m:r>
          <m:rPr>
            <m:sty m:val="p"/>
          </m:rPr>
          <m:t>=</m:t>
        </m:r>
        <m:d>
          <m:dPr>
            <m:begChr m:val="("/>
            <m:endChr m:val=")"/>
            <m:sepChr m:val=""/>
            <m:grow/>
          </m:dPr>
          <m:e>
            <m:r>
              <m:t>2</m:t>
            </m:r>
            <m:r>
              <m:rPr>
                <m:sty m:val="p"/>
              </m:rPr>
              <m:t>,</m:t>
            </m:r>
            <m:r>
              <m:t>1</m:t>
            </m:r>
            <m:r>
              <m:rPr>
                <m:sty m:val="p"/>
              </m:rPr>
              <m:t>,</m:t>
            </m:r>
            <m:r>
              <m:t>2</m:t>
            </m:r>
          </m:e>
        </m:d>
      </m:oMath>
      <w:r>
        <w:t xml:space="preserve">; document</w:t>
      </w:r>
      <w:r>
        <w:t xml:space="preserve"> </w:t>
      </w:r>
      <m:oMath>
        <m:r>
          <m:rPr>
            <m:sty m:val="b"/>
          </m:rPr>
          <m:t>b</m:t>
        </m:r>
        <m:r>
          <m:rPr>
            <m:sty m:val="p"/>
          </m:rPr>
          <m:t>=</m:t>
        </m:r>
        <m:d>
          <m:dPr>
            <m:begChr m:val="("/>
            <m:endChr m:val=")"/>
            <m:sepChr m:val=""/>
            <m:grow/>
          </m:dPr>
          <m:e>
            <m:r>
              <m:t>2</m:t>
            </m:r>
            <m:r>
              <m:rPr>
                <m:sty m:val="p"/>
              </m:rPr>
              <m:t>,</m:t>
            </m:r>
            <m:r>
              <m:t>4</m:t>
            </m:r>
            <m:r>
              <m:rPr>
                <m:sty m:val="p"/>
              </m:rPr>
              <m:t>,</m:t>
            </m:r>
            <m:r>
              <m:t>4</m:t>
            </m:r>
          </m:e>
        </m:d>
      </m:oMath>
      <w:r>
        <w:t xml:space="preserve">.</w:t>
      </w:r>
    </w:p>
    <w:p>
      <w:pPr>
        <w:numPr>
          <w:ilvl w:val="0"/>
          <w:numId w:val="1104"/>
        </w:numPr>
        <w:pStyle w:val="Compact"/>
      </w:pPr>
      <m:oMath>
        <m:r>
          <m:rPr>
            <m:sty m:val="b"/>
          </m:rPr>
          <m:t>q</m:t>
        </m:r>
        <m:r>
          <m:rPr>
            <m:sty m:val="p"/>
          </m:rPr>
          <m:t>⋅</m:t>
        </m:r>
        <m:r>
          <m:rPr>
            <m:sty m:val="b"/>
          </m:rPr>
          <m:t>a</m:t>
        </m:r>
        <m:r>
          <m:rPr>
            <m:sty m:val="p"/>
          </m:rPr>
          <m:t>=</m:t>
        </m:r>
        <m:r>
          <m:t>1</m:t>
        </m:r>
        <m:r>
          <m:rPr>
            <m:sty m:val="p"/>
          </m:rPr>
          <m:t>×</m:t>
        </m:r>
        <m:r>
          <m:t>2</m:t>
        </m:r>
        <m:r>
          <m:rPr>
            <m:sty m:val="p"/>
          </m:rPr>
          <m:t>+</m:t>
        </m:r>
        <m:r>
          <m:t>2</m:t>
        </m:r>
        <m:r>
          <m:rPr>
            <m:sty m:val="p"/>
          </m:rPr>
          <m:t>×</m:t>
        </m:r>
        <m:r>
          <m:t>1</m:t>
        </m:r>
        <m:r>
          <m:rPr>
            <m:sty m:val="p"/>
          </m:rPr>
          <m:t>+</m:t>
        </m:r>
        <m:r>
          <m:t>2</m:t>
        </m:r>
        <m:r>
          <m:rPr>
            <m:sty m:val="p"/>
          </m:rPr>
          <m:t>×</m:t>
        </m:r>
        <m:r>
          <m:t>2</m:t>
        </m:r>
        <m:r>
          <m:rPr>
            <m:sty m:val="p"/>
          </m:rPr>
          <m:t>=</m:t>
        </m:r>
        <m:r>
          <m:t>2</m:t>
        </m:r>
        <m:r>
          <m:rPr>
            <m:sty m:val="p"/>
          </m:rPr>
          <m:t>+</m:t>
        </m:r>
        <m:r>
          <m:t>2</m:t>
        </m:r>
        <m:r>
          <m:rPr>
            <m:sty m:val="p"/>
          </m:rPr>
          <m:t>+</m:t>
        </m:r>
        <m:r>
          <m:t>4</m:t>
        </m:r>
        <m:r>
          <m:rPr>
            <m:sty m:val="p"/>
          </m:rPr>
          <m:t>=</m:t>
        </m:r>
        <m:r>
          <m:t>8</m:t>
        </m:r>
      </m:oMath>
      <w:r>
        <w:t xml:space="preserve">.</w:t>
      </w:r>
    </w:p>
    <w:p>
      <w:pPr>
        <w:numPr>
          <w:ilvl w:val="0"/>
          <w:numId w:val="1104"/>
        </w:numPr>
        <w:pStyle w:val="Compact"/>
      </w:pPr>
      <m:oMath>
        <m:r>
          <m:rPr>
            <m:sty m:val="p"/>
          </m:rPr>
          <m:t>∥</m:t>
        </m:r>
        <m:r>
          <m:rPr>
            <m:sty m:val="b"/>
          </m:rPr>
          <m:t>q</m:t>
        </m:r>
        <m:r>
          <m:rPr>
            <m:sty m:val="p"/>
          </m:rPr>
          <m:t>∥</m:t>
        </m:r>
        <m:r>
          <m:rPr>
            <m:sty m:val="p"/>
          </m:rPr>
          <m:t>=</m:t>
        </m:r>
        <m:rad>
          <m:radPr>
            <m:degHide m:val="on"/>
          </m:radPr>
          <m:deg/>
          <m:e>
            <m:r>
              <m:t>1</m:t>
            </m:r>
            <m:r>
              <m:rPr>
                <m:sty m:val="p"/>
              </m:rPr>
              <m:t>+</m:t>
            </m:r>
            <m:r>
              <m:t>4</m:t>
            </m:r>
            <m:r>
              <m:rPr>
                <m:sty m:val="p"/>
              </m:rPr>
              <m:t>+</m:t>
            </m:r>
            <m:r>
              <m:t>4</m:t>
            </m:r>
          </m:e>
        </m:rad>
        <m:r>
          <m:rPr>
            <m:sty m:val="p"/>
          </m:rPr>
          <m:t>=</m:t>
        </m:r>
        <m:r>
          <m:t>3</m:t>
        </m:r>
      </m:oMath>
      <w:r>
        <w:t xml:space="preserve">;</w:t>
      </w:r>
      <w:r>
        <w:t xml:space="preserve"> </w:t>
      </w:r>
      <m:oMath>
        <m:r>
          <m:rPr>
            <m:sty m:val="p"/>
          </m:rPr>
          <m:t>∥</m:t>
        </m:r>
        <m:r>
          <m:rPr>
            <m:sty m:val="b"/>
          </m:rPr>
          <m:t>a</m:t>
        </m:r>
        <m:r>
          <m:rPr>
            <m:sty m:val="p"/>
          </m:rPr>
          <m:t>∥</m:t>
        </m:r>
        <m:r>
          <m:rPr>
            <m:sty m:val="p"/>
          </m:rPr>
          <m:t>=</m:t>
        </m:r>
        <m:rad>
          <m:radPr>
            <m:degHide m:val="on"/>
          </m:radPr>
          <m:deg/>
          <m:e>
            <m:r>
              <m:t>4</m:t>
            </m:r>
            <m:r>
              <m:rPr>
                <m:sty m:val="p"/>
              </m:rPr>
              <m:t>+</m:t>
            </m:r>
            <m:r>
              <m:t>1</m:t>
            </m:r>
            <m:r>
              <m:rPr>
                <m:sty m:val="p"/>
              </m:rPr>
              <m:t>+</m:t>
            </m:r>
            <m:r>
              <m:t>4</m:t>
            </m:r>
          </m:e>
        </m:rad>
        <m:r>
          <m:rPr>
            <m:sty m:val="p"/>
          </m:rPr>
          <m:t>=</m:t>
        </m:r>
        <m:r>
          <m:t>3</m:t>
        </m:r>
      </m:oMath>
      <w:r>
        <w:t xml:space="preserve">.</w:t>
      </w:r>
    </w:p>
    <w:p>
      <w:pPr>
        <w:numPr>
          <w:ilvl w:val="0"/>
          <w:numId w:val="1104"/>
        </w:numPr>
        <w:pStyle w:val="Compact"/>
      </w:pPr>
      <m:oMath>
        <m:r>
          <m:rPr>
            <m:sty m:val="p"/>
          </m:rPr>
          <m:t>cos</m:t>
        </m:r>
        <m:sSub>
          <m:e>
            <m:r>
              <m:t>θ</m:t>
            </m:r>
          </m:e>
          <m:sub>
            <m:r>
              <m:t>q</m:t>
            </m:r>
            <m:r>
              <m:t>a</m:t>
            </m:r>
          </m:sub>
        </m:sSub>
        <m:r>
          <m:rPr>
            <m:sty m:val="p"/>
          </m:rPr>
          <m:t>=</m:t>
        </m:r>
        <m:r>
          <m:t>8</m:t>
        </m:r>
        <m:r>
          <m:rPr>
            <m:sty m:val="p"/>
          </m:rPr>
          <m:t>/</m:t>
        </m:r>
        <m:d>
          <m:dPr>
            <m:begChr m:val="("/>
            <m:endChr m:val=")"/>
            <m:sepChr m:val=""/>
            <m:grow/>
          </m:dPr>
          <m:e>
            <m:r>
              <m:t>3</m:t>
            </m:r>
            <m:r>
              <m:rPr>
                <m:sty m:val="p"/>
              </m:rPr>
              <m:t>×</m:t>
            </m:r>
            <m:r>
              <m:t>3</m:t>
            </m:r>
          </m:e>
        </m:d>
        <m:r>
          <m:rPr>
            <m:sty m:val="p"/>
          </m:rPr>
          <m:t>=</m:t>
        </m:r>
        <m:r>
          <m:t>0.889</m:t>
        </m:r>
      </m:oMath>
      <w:r>
        <w:t xml:space="preserve"> </w:t>
      </w:r>
      <w:r>
        <w:t xml:space="preserve">(an angle of about 27°).</w:t>
      </w:r>
    </w:p>
    <w:p>
      <w:pPr>
        <w:numPr>
          <w:ilvl w:val="0"/>
          <w:numId w:val="1104"/>
        </w:numPr>
        <w:pStyle w:val="Compact"/>
      </w:pPr>
      <m:oMath>
        <m:r>
          <m:rPr>
            <m:sty m:val="b"/>
          </m:rPr>
          <m:t>q</m:t>
        </m:r>
        <m:r>
          <m:rPr>
            <m:sty m:val="p"/>
          </m:rPr>
          <m:t>⋅</m:t>
        </m:r>
        <m:r>
          <m:rPr>
            <m:sty m:val="b"/>
          </m:rPr>
          <m:t>b</m:t>
        </m:r>
        <m:r>
          <m:rPr>
            <m:sty m:val="p"/>
          </m:rPr>
          <m:t>=</m:t>
        </m:r>
        <m:r>
          <m:t>2</m:t>
        </m:r>
        <m:r>
          <m:rPr>
            <m:sty m:val="p"/>
          </m:rPr>
          <m:t>+</m:t>
        </m:r>
        <m:r>
          <m:t>8</m:t>
        </m:r>
        <m:r>
          <m:rPr>
            <m:sty m:val="p"/>
          </m:rPr>
          <m:t>+</m:t>
        </m:r>
        <m:r>
          <m:t>8</m:t>
        </m:r>
        <m:r>
          <m:rPr>
            <m:sty m:val="p"/>
          </m:rPr>
          <m:t>=</m:t>
        </m:r>
        <m:r>
          <m:t>18</m:t>
        </m:r>
      </m:oMath>
      <w:r>
        <w:t xml:space="preserve">;</w:t>
      </w:r>
      <w:r>
        <w:t xml:space="preserve"> </w:t>
      </w:r>
      <m:oMath>
        <m:r>
          <m:rPr>
            <m:sty m:val="p"/>
          </m:rPr>
          <m:t>∥</m:t>
        </m:r>
        <m:r>
          <m:rPr>
            <m:sty m:val="b"/>
          </m:rPr>
          <m:t>b</m:t>
        </m:r>
        <m:r>
          <m:rPr>
            <m:sty m:val="p"/>
          </m:rPr>
          <m:t>∥</m:t>
        </m:r>
        <m:r>
          <m:rPr>
            <m:sty m:val="p"/>
          </m:rPr>
          <m:t>=</m:t>
        </m:r>
        <m:rad>
          <m:radPr>
            <m:degHide m:val="on"/>
          </m:radPr>
          <m:deg/>
          <m:e>
            <m:r>
              <m:t>4</m:t>
            </m:r>
            <m:r>
              <m:rPr>
                <m:sty m:val="p"/>
              </m:rPr>
              <m:t>+</m:t>
            </m:r>
            <m:r>
              <m:t>16</m:t>
            </m:r>
            <m:r>
              <m:rPr>
                <m:sty m:val="p"/>
              </m:rPr>
              <m:t>+</m:t>
            </m:r>
            <m:r>
              <m:t>16</m:t>
            </m:r>
          </m:e>
        </m:rad>
        <m:r>
          <m:rPr>
            <m:sty m:val="p"/>
          </m:rPr>
          <m:t>=</m:t>
        </m:r>
        <m:r>
          <m:t>6</m:t>
        </m:r>
      </m:oMath>
      <w:r>
        <w:t xml:space="preserve">;</w:t>
      </w:r>
      <w:r>
        <w:t xml:space="preserve"> </w:t>
      </w:r>
      <m:oMath>
        <m:r>
          <m:rPr>
            <m:sty m:val="p"/>
          </m:rPr>
          <m:t>cos</m:t>
        </m:r>
        <m:sSub>
          <m:e>
            <m:r>
              <m:t>θ</m:t>
            </m:r>
          </m:e>
          <m:sub>
            <m:r>
              <m:t>q</m:t>
            </m:r>
            <m:r>
              <m:t>b</m:t>
            </m:r>
          </m:sub>
        </m:sSub>
        <m:r>
          <m:rPr>
            <m:sty m:val="p"/>
          </m:rPr>
          <m:t>=</m:t>
        </m:r>
        <m:r>
          <m:t>18</m:t>
        </m:r>
        <m:r>
          <m:rPr>
            <m:sty m:val="p"/>
          </m:rPr>
          <m:t>/</m:t>
        </m:r>
        <m:d>
          <m:dPr>
            <m:begChr m:val="("/>
            <m:endChr m:val=")"/>
            <m:sepChr m:val=""/>
            <m:grow/>
          </m:dPr>
          <m:e>
            <m:r>
              <m:t>3</m:t>
            </m:r>
            <m:r>
              <m:rPr>
                <m:sty m:val="p"/>
              </m:rPr>
              <m:t>×</m:t>
            </m:r>
            <m:r>
              <m:t>6</m:t>
            </m:r>
          </m:e>
        </m:d>
        <m:r>
          <m:rPr>
            <m:sty m:val="p"/>
          </m:rPr>
          <m:t>=</m:t>
        </m:r>
        <m:r>
          <m:t>1.0</m:t>
        </m:r>
      </m:oMath>
      <w:r>
        <w:t xml:space="preserve">.</w:t>
      </w:r>
    </w:p>
    <w:p>
      <w:pPr>
        <w:pStyle w:val="CalloutExample"/>
      </w:pPr>
      <w:r>
        <w:rPr>
          <w:bCs/>
          <w:b/>
        </w:rPr>
        <w:t xml:space="preserve">Interpretation.</w:t>
      </w:r>
      <w:r>
        <w:t xml:space="preserve"> </w:t>
      </w:r>
      <m:oMath>
        <m:r>
          <m:rPr>
            <m:sty m:val="b"/>
          </m:rPr>
          <m:t>b</m:t>
        </m:r>
      </m:oMath>
      <w:r>
        <w:t xml:space="preserve"> </w:t>
      </w:r>
      <w:r>
        <w:t xml:space="preserve">is exactly twice</w:t>
      </w:r>
      <w:r>
        <w:t xml:space="preserve"> </w:t>
      </w:r>
      <m:oMath>
        <m:r>
          <m:rPr>
            <m:sty m:val="b"/>
          </m:rPr>
          <m:t>q</m:t>
        </m:r>
      </m:oMath>
      <w:r>
        <w:t xml:space="preserve">, so it points the same way: cosine 1.0. The raw dot product (18 vs 8) also prefers</w:t>
      </w:r>
      <w:r>
        <w:t xml:space="preserve"> </w:t>
      </w:r>
      <m:oMath>
        <m:r>
          <m:rPr>
            <m:sty m:val="b"/>
          </m:rPr>
          <m:t>b</m:t>
        </m:r>
      </m:oMath>
      <w:r>
        <w:t xml:space="preserve"> </w:t>
      </w:r>
      <w:r>
        <w:t xml:space="preserve">but would be fooled by long vectors in general.</w:t>
      </w:r>
      <w:r>
        <w:t xml:space="preserve"> </w:t>
      </w:r>
      <w:r>
        <w:rPr>
          <w:bCs/>
          <w:b/>
        </w:rPr>
        <w:t xml:space="preserve">Engineering implication.</w:t>
      </w:r>
      <w:r>
        <w:t xml:space="preserve"> </w:t>
      </w:r>
      <w:r>
        <w:t xml:space="preserve">Choose the similarity metric the embedding model was trained with; normalize vectors once at ingestion so that serving-time similarity is a plain dot product.</w:t>
      </w:r>
    </w:p>
    <w:bookmarkEnd w:id="383"/>
    <w:bookmarkStart w:id="384" w:name="X1b3c59d5cc1e6b4812561dfb67c493fc14e68f7"/>
    <w:p>
      <w:pPr>
        <w:pStyle w:val="Heading3"/>
      </w:pPr>
      <w:r>
        <w:t xml:space="preserve">4.9.3 Matrices and the cost of matrix multiplication</w:t>
      </w:r>
    </w:p>
    <w:p>
      <w:pPr>
        <w:pStyle w:val="CalloutDefinition"/>
      </w:pPr>
      <w:r>
        <w:rPr>
          <w:bCs/>
          <w:b/>
        </w:rPr>
        <w:t xml:space="preserve">DEFINITION</w:t>
      </w:r>
    </w:p>
    <w:p>
      <w:pPr>
        <w:pStyle w:val="CalloutDefinition"/>
      </w:pPr>
      <w:r>
        <w:rPr>
          <w:bCs/>
          <w:b/>
        </w:rPr>
        <w:t xml:space="preserve">Definition — Matrix.</w:t>
      </w:r>
      <w:r>
        <w:t xml:space="preserve"> </w:t>
      </w:r>
      <w:r>
        <w:t xml:space="preserve">A rectangular grid of numbers with</w:t>
      </w:r>
      <w:r>
        <w:t xml:space="preserve"> </w:t>
      </w:r>
      <m:oMath>
        <m:r>
          <m:t>m</m:t>
        </m:r>
      </m:oMath>
      <w:r>
        <w:t xml:space="preserve"> </w:t>
      </w:r>
      <w:r>
        <w:t xml:space="preserve">rows and</w:t>
      </w:r>
      <w:r>
        <w:t xml:space="preserve"> </w:t>
      </w:r>
      <m:oMath>
        <m:r>
          <m:t>n</m:t>
        </m:r>
      </m:oMath>
      <w:r>
        <w:t xml:space="preserve"> </w:t>
      </w:r>
      <w:r>
        <w:t xml:space="preserve">columns (an</w:t>
      </w:r>
      <w:r>
        <w:t xml:space="preserve"> </w:t>
      </w:r>
      <m:oMath>
        <m:r>
          <m:t>m</m:t>
        </m:r>
        <m:r>
          <m:rPr>
            <m:sty m:val="p"/>
          </m:rPr>
          <m:t>×</m:t>
        </m:r>
        <m:r>
          <m:t>n</m:t>
        </m:r>
      </m:oMath>
      <w:r>
        <w:t xml:space="preserve"> </w:t>
      </w:r>
      <w:r>
        <w:t xml:space="preserve">matrix). A set of</w:t>
      </w:r>
      <w:r>
        <w:t xml:space="preserve"> </w:t>
      </w:r>
      <m:oMath>
        <m:r>
          <m:t>n</m:t>
        </m:r>
      </m:oMath>
      <w:r>
        <w:t xml:space="preserve"> </w:t>
      </w:r>
      <w:r>
        <w:t xml:space="preserve">embeddings of dimension</w:t>
      </w:r>
      <w:r>
        <w:t xml:space="preserve"> </w:t>
      </w:r>
      <m:oMath>
        <m:r>
          <m:t>d</m:t>
        </m:r>
      </m:oMath>
      <w:r>
        <w:t xml:space="preserve"> </w:t>
      </w:r>
      <w:r>
        <w:t xml:space="preserve">is naturally stored as an</w:t>
      </w:r>
      <w:r>
        <w:t xml:space="preserve"> </w:t>
      </w:r>
      <m:oMath>
        <m:r>
          <m:t>n</m:t>
        </m:r>
        <m:r>
          <m:rPr>
            <m:sty m:val="p"/>
          </m:rPr>
          <m:t>×</m:t>
        </m:r>
        <m:r>
          <m:t>d</m:t>
        </m:r>
      </m:oMath>
      <w:r>
        <w:t xml:space="preserve"> </w:t>
      </w:r>
      <w:r>
        <w:t xml:space="preserve">matrix, one embedding per row.</w:t>
      </w:r>
    </w:p>
    <w:p>
      <w:pPr>
        <w:pStyle w:val="BodyText"/>
      </w:pPr>
      <w:r>
        <w:t xml:space="preserve">Multiplying an</w:t>
      </w:r>
      <w:r>
        <w:t xml:space="preserve"> </w:t>
      </w:r>
      <m:oMath>
        <m:r>
          <m:t>m</m:t>
        </m:r>
        <m:r>
          <m:rPr>
            <m:sty m:val="p"/>
          </m:rPr>
          <m:t>×</m:t>
        </m:r>
        <m:r>
          <m:t>k</m:t>
        </m:r>
      </m:oMath>
      <w:r>
        <w:t xml:space="preserve"> </w:t>
      </w:r>
      <w:r>
        <w:t xml:space="preserve">matrix</w:t>
      </w:r>
      <w:r>
        <w:t xml:space="preserve"> </w:t>
      </w:r>
      <m:oMath>
        <m:r>
          <m:t>A</m:t>
        </m:r>
      </m:oMath>
      <w:r>
        <w:t xml:space="preserve"> </w:t>
      </w:r>
      <w:r>
        <w:t xml:space="preserve">by a</w:t>
      </w:r>
      <w:r>
        <w:t xml:space="preserve"> </w:t>
      </w:r>
      <m:oMath>
        <m:r>
          <m:t>k</m:t>
        </m:r>
        <m:r>
          <m:rPr>
            <m:sty m:val="p"/>
          </m:rPr>
          <m:t>×</m:t>
        </m:r>
        <m:r>
          <m:t>n</m:t>
        </m:r>
      </m:oMath>
      <w:r>
        <w:t xml:space="preserve"> </w:t>
      </w:r>
      <w:r>
        <w:t xml:space="preserve">matrix</w:t>
      </w:r>
      <w:r>
        <w:t xml:space="preserve"> </w:t>
      </w:r>
      <m:oMath>
        <m:r>
          <m:t>B</m:t>
        </m:r>
      </m:oMath>
      <w:r>
        <w:t xml:space="preserve"> </w:t>
      </w:r>
      <w:r>
        <w:t xml:space="preserve">produces an</w:t>
      </w:r>
      <w:r>
        <w:t xml:space="preserve"> </w:t>
      </w:r>
      <m:oMath>
        <m:r>
          <m:t>m</m:t>
        </m:r>
        <m:r>
          <m:rPr>
            <m:sty m:val="p"/>
          </m:rPr>
          <m:t>×</m:t>
        </m:r>
        <m:r>
          <m:t>n</m:t>
        </m:r>
      </m:oMath>
      <w:r>
        <w:t xml:space="preserve"> </w:t>
      </w:r>
      <w:r>
        <w:t xml:space="preserve">matrix</w:t>
      </w:r>
      <w:r>
        <w:t xml:space="preserve"> </w:t>
      </w:r>
      <m:oMath>
        <m:r>
          <m:t>C</m:t>
        </m:r>
      </m:oMath>
      <w:r>
        <w:t xml:space="preserve"> </w:t>
      </w:r>
      <w:r>
        <w:t xml:space="preserve">in which each entry</w:t>
      </w:r>
      <w:r>
        <w:t xml:space="preserve"> </w:t>
      </w:r>
      <m:oMath>
        <m:sSub>
          <m:e>
            <m:r>
              <m:t>C</m:t>
            </m:r>
          </m:e>
          <m:sub>
            <m:r>
              <m:t>i</m:t>
            </m:r>
            <m:r>
              <m:t>j</m:t>
            </m:r>
          </m:sub>
        </m:sSub>
      </m:oMath>
      <w:r>
        <w:t xml:space="preserve"> </w:t>
      </w:r>
      <w:r>
        <w:t xml:space="preserve">is the dot product of row</w:t>
      </w:r>
      <w:r>
        <w:t xml:space="preserve"> </w:t>
      </w:r>
      <m:oMath>
        <m:r>
          <m:t>i</m:t>
        </m:r>
      </m:oMath>
      <w:r>
        <w:t xml:space="preserve"> </w:t>
      </w:r>
      <w:r>
        <w:t xml:space="preserve">of</w:t>
      </w:r>
      <w:r>
        <w:t xml:space="preserve"> </w:t>
      </w:r>
      <m:oMath>
        <m:r>
          <m:t>A</m:t>
        </m:r>
      </m:oMath>
      <w:r>
        <w:t xml:space="preserve"> </w:t>
      </w:r>
      <w:r>
        <w:t xml:space="preserve">with column</w:t>
      </w:r>
      <w:r>
        <w:t xml:space="preserve"> </w:t>
      </w:r>
      <m:oMath>
        <m:r>
          <m:t>j</m:t>
        </m:r>
      </m:oMath>
      <w:r>
        <w:t xml:space="preserve"> </w:t>
      </w:r>
      <w:r>
        <w:t xml:space="preserve">of</w:t>
      </w:r>
      <w:r>
        <w:t xml:space="preserve"> </w:t>
      </w:r>
      <m:oMath>
        <m:r>
          <m:t>B</m:t>
        </m:r>
      </m:oMath>
      <w:r>
        <w:t xml:space="preserve">. Each of the</w:t>
      </w:r>
      <w:r>
        <w:t xml:space="preserve"> </w:t>
      </w:r>
      <m:oMath>
        <m:r>
          <m:t>m</m:t>
        </m:r>
        <m:r>
          <m:rPr>
            <m:sty m:val="p"/>
          </m:rPr>
          <m:t>×</m:t>
        </m:r>
        <m:r>
          <m:t>n</m:t>
        </m:r>
      </m:oMath>
      <w:r>
        <w:t xml:space="preserve"> </w:t>
      </w:r>
      <w:r>
        <w:t xml:space="preserve">entries is a dot product of length</w:t>
      </w:r>
      <w:r>
        <w:t xml:space="preserve"> </w:t>
      </w:r>
      <m:oMath>
        <m:r>
          <m:t>k</m:t>
        </m:r>
      </m:oMath>
      <w:r>
        <w:t xml:space="preserve">.</w:t>
      </w:r>
    </w:p>
    <w:p>
      <w:pPr>
        <w:pStyle w:val="CalloutFormula"/>
      </w:pPr>
      <w:r>
        <w:rPr>
          <w:bCs/>
          <w:b/>
        </w:rPr>
        <w:t xml:space="preserve">FORMULA</w:t>
      </w:r>
    </w:p>
    <w:p>
      <w:pPr>
        <w:pStyle w:val="CalloutFormula"/>
      </w:pPr>
      <w:r>
        <w:rPr>
          <w:bCs/>
          <w:b/>
        </w:rPr>
        <w:t xml:space="preserve">Cost of matrix multiplication</w:t>
      </w:r>
    </w:p>
    <w:p>
      <w:pPr>
        <w:pStyle w:val="CalloutFormula"/>
      </w:pPr>
      <m:oMathPara>
        <m:oMathParaPr>
          <m:jc m:val="center"/>
        </m:oMathParaPr>
        <m:oMath>
          <m:r>
            <m:rPr>
              <m:nor/>
              <m:sty m:val="p"/>
            </m:rPr>
            <m:t>FLOPs</m:t>
          </m:r>
          <m:r>
            <m:rPr>
              <m:sty m:val="p"/>
            </m:rPr>
            <m:t>=</m:t>
          </m:r>
          <m:r>
            <m:t>2</m:t>
          </m:r>
          <m:r>
            <m:t> </m:t>
          </m:r>
          <m:r>
            <m:t>m</m:t>
          </m:r>
          <m:r>
            <m:t> </m:t>
          </m:r>
          <m:r>
            <m:t>n</m:t>
          </m:r>
          <m:r>
            <m:t> </m:t>
          </m:r>
          <m:r>
            <m:t>k</m:t>
          </m:r>
          <m:r>
            <m:t>  </m:t>
          </m:r>
          <m:r>
            <m:rPr>
              <m:nor/>
              <m:sty m:val="p"/>
            </m:rPr>
            <m:t>arithmetic intensity</m:t>
          </m:r>
          <m:r>
            <m:rPr>
              <m:sty m:val="p"/>
            </m:rPr>
            <m:t>=</m:t>
          </m:r>
          <m:f>
            <m:fPr>
              <m:type m:val="bar"/>
            </m:fPr>
            <m:num>
              <m:r>
                <m:rPr>
                  <m:nor/>
                  <m:sty m:val="p"/>
                </m:rPr>
                <m:t>FLOPs</m:t>
              </m:r>
            </m:num>
            <m:den>
              <m:r>
                <m:rPr>
                  <m:nor/>
                  <m:sty m:val="p"/>
                </m:rPr>
                <m:t>bytes moved</m:t>
              </m:r>
            </m:den>
          </m:f>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m</m:t>
              </m:r>
              <m:r>
                <m:rPr>
                  <m:sty m:val="p"/>
                </m:rPr>
                <m:t>,</m:t>
              </m:r>
              <m:r>
                <m:t>k</m:t>
              </m:r>
            </m:oMath>
          </w:p>
        </w:tc>
        <w:tc>
          <w:tcPr/>
          <w:p>
            <w:pPr>
              <w:pStyle w:val="Compact"/>
              <w:jc w:val="left"/>
            </w:pPr>
            <w:r>
              <w:t xml:space="preserve">Rows and columns of</w:t>
            </w:r>
            <w:r>
              <w:t xml:space="preserve"> </w:t>
            </w:r>
            <m:oMath>
              <m:r>
                <m:t>A</m:t>
              </m:r>
            </m:oMath>
          </w:p>
        </w:tc>
        <w:tc>
          <w:tcPr/>
          <w:p>
            <w:pPr>
              <w:pStyle w:val="Compact"/>
              <w:jc w:val="left"/>
            </w:pPr>
            <w:r>
              <w:t xml:space="preserve">count</w:t>
            </w:r>
          </w:p>
        </w:tc>
      </w:tr>
      <w:tr>
        <w:tc>
          <w:tcPr/>
          <w:p>
            <w:pPr>
              <w:pStyle w:val="Compact"/>
              <w:jc w:val="left"/>
            </w:pPr>
            <m:oMath>
              <m:r>
                <m:t>k</m:t>
              </m:r>
              <m:r>
                <m:rPr>
                  <m:sty m:val="p"/>
                </m:rPr>
                <m:t>,</m:t>
              </m:r>
              <m:r>
                <m:t>n</m:t>
              </m:r>
            </m:oMath>
          </w:p>
        </w:tc>
        <w:tc>
          <w:tcPr/>
          <w:p>
            <w:pPr>
              <w:pStyle w:val="Compact"/>
              <w:jc w:val="left"/>
            </w:pPr>
            <w:r>
              <w:t xml:space="preserve">Rows and columns of</w:t>
            </w:r>
            <w:r>
              <w:t xml:space="preserve"> </w:t>
            </w:r>
            <m:oMath>
              <m:r>
                <m:t>B</m:t>
              </m:r>
            </m:oMath>
            <w:r>
              <w:t xml:space="preserve"> </w:t>
            </w:r>
            <w:r>
              <w:t xml:space="preserve">(inner dimension</w:t>
            </w:r>
            <w:r>
              <w:t xml:space="preserve"> </w:t>
            </w:r>
            <m:oMath>
              <m:r>
                <m:t>k</m:t>
              </m:r>
            </m:oMath>
            <w:r>
              <w:t xml:space="preserve"> </w:t>
            </w:r>
            <w:r>
              <w:t xml:space="preserve">must match)</w:t>
            </w:r>
          </w:p>
        </w:tc>
        <w:tc>
          <w:tcPr/>
          <w:p>
            <w:pPr>
              <w:pStyle w:val="Compact"/>
              <w:jc w:val="left"/>
            </w:pPr>
            <w:r>
              <w:t xml:space="preserve">count</w:t>
            </w:r>
          </w:p>
        </w:tc>
      </w:tr>
      <w:tr>
        <w:tc>
          <w:tcPr/>
          <w:p>
            <w:pPr>
              <w:pStyle w:val="Compact"/>
              <w:jc w:val="left"/>
            </w:pPr>
            <w:r>
              <w:t xml:space="preserve">FLOPs</w:t>
            </w:r>
          </w:p>
        </w:tc>
        <w:tc>
          <w:tcPr/>
          <w:p>
            <w:pPr>
              <w:pStyle w:val="Compact"/>
              <w:jc w:val="left"/>
            </w:pPr>
            <w:r>
              <w:t xml:space="preserve">Floating-point operations: one multiply and one add per term</w:t>
            </w:r>
          </w:p>
        </w:tc>
        <w:tc>
          <w:tcPr/>
          <w:p>
            <w:pPr>
              <w:pStyle w:val="Compact"/>
              <w:jc w:val="left"/>
            </w:pPr>
            <w:r>
              <w:t xml:space="preserve">operations</w:t>
            </w:r>
          </w:p>
        </w:tc>
      </w:tr>
      <w:tr>
        <w:tc>
          <w:tcPr/>
          <w:p>
            <w:pPr>
              <w:pStyle w:val="Compact"/>
              <w:jc w:val="left"/>
            </w:pPr>
            <w:r>
              <w:t xml:space="preserve">bytes moved</w:t>
            </w:r>
          </w:p>
        </w:tc>
        <w:tc>
          <w:tcPr/>
          <w:p>
            <w:pPr>
              <w:pStyle w:val="Compact"/>
              <w:jc w:val="left"/>
            </w:pPr>
            <w:r>
              <w:t xml:space="preserve">Data read from and written to memory</w:t>
            </w:r>
          </w:p>
        </w:tc>
        <w:tc>
          <w:tcPr/>
          <w:p>
            <w:pPr>
              <w:pStyle w:val="Compact"/>
              <w:jc w:val="left"/>
            </w:pPr>
            <w:r>
              <w:t xml:space="preserve">bytes</w:t>
            </w:r>
          </w:p>
        </w:tc>
      </w:tr>
      <w:tr>
        <w:tc>
          <w:tcPr/>
          <w:p>
            <w:pPr>
              <w:pStyle w:val="Compact"/>
              <w:jc w:val="left"/>
            </w:pPr>
            <w:r>
              <w:t xml:space="preserve">arithmetic intensity</w:t>
            </w:r>
          </w:p>
        </w:tc>
        <w:tc>
          <w:tcPr/>
          <w:p>
            <w:pPr>
              <w:pStyle w:val="Compact"/>
              <w:jc w:val="left"/>
            </w:pPr>
            <w:r>
              <w:t xml:space="preserve">FLOPs per byte; low values mean memory-bandwidth-bound, high values compute-bound</w:t>
            </w:r>
          </w:p>
        </w:tc>
        <w:tc>
          <w:tcPr/>
          <w:p>
            <w:pPr>
              <w:pStyle w:val="Compact"/>
              <w:jc w:val="left"/>
            </w:pPr>
            <w:r>
              <w:t xml:space="preserve">FLOP/byte</w:t>
            </w:r>
          </w:p>
        </w:tc>
      </w:tr>
    </w:tbl>
    <w:p>
      <w:pPr>
        <w:pStyle w:val="CalloutExample"/>
      </w:pPr>
      <w:r>
        <w:rPr>
          <w:bCs/>
          <w:b/>
        </w:rPr>
        <w:t xml:space="preserve">WORKED EXAMPLE</w:t>
      </w:r>
    </w:p>
    <w:p>
      <w:pPr>
        <w:pStyle w:val="CalloutExample"/>
      </w:pPr>
      <w:r>
        <w:rPr>
          <w:bCs/>
          <w:b/>
        </w:rPr>
        <w:t xml:space="preserve">Worked example — Brute-force similarity search and the value of batching.</w:t>
      </w:r>
    </w:p>
    <w:p>
      <w:pPr>
        <w:pStyle w:val="CalloutExample"/>
      </w:pPr>
      <w:r>
        <w:rPr>
          <w:iCs/>
          <w:i/>
        </w:rPr>
        <w:t xml:space="preserve">Part A: one query against one million embeddings.</w:t>
      </w:r>
      <w:r>
        <w:t xml:space="preserve"> </w:t>
      </w:r>
      <m:oMath>
        <m:r>
          <m:t>n</m:t>
        </m:r>
        <m:r>
          <m:rPr>
            <m:sty m:val="p"/>
          </m:rPr>
          <m:t>=</m:t>
        </m:r>
        <m:sSup>
          <m:e>
            <m:r>
              <m:t>10</m:t>
            </m:r>
          </m:e>
          <m:sup>
            <m:r>
              <m:t>6</m:t>
            </m:r>
          </m:sup>
        </m:sSup>
      </m:oMath>
      <w:r>
        <w:t xml:space="preserve"> </w:t>
      </w:r>
      <w:r>
        <w:t xml:space="preserve">embeddings of dimension</w:t>
      </w:r>
      <w:r>
        <w:t xml:space="preserve"> </w:t>
      </w:r>
      <m:oMath>
        <m:r>
          <m:t>d</m:t>
        </m:r>
        <m:r>
          <m:rPr>
            <m:sty m:val="p"/>
          </m:rPr>
          <m:t>=</m:t>
        </m:r>
        <m:r>
          <m:t>768</m:t>
        </m:r>
      </m:oMath>
      <w:r>
        <w:t xml:space="preserve"> </w:t>
      </w:r>
      <w:r>
        <w:t xml:space="preserve">stored as 4-byte floats.</w:t>
      </w:r>
    </w:p>
    <w:p>
      <w:pPr>
        <w:numPr>
          <w:ilvl w:val="0"/>
          <w:numId w:val="1105"/>
        </w:numPr>
        <w:pStyle w:val="Compact"/>
      </w:pPr>
      <w:r>
        <w:t xml:space="preserve">Storage:</w:t>
      </w:r>
      <w:r>
        <w:t xml:space="preserve"> </w:t>
      </w:r>
      <m:oMath>
        <m:sSup>
          <m:e>
            <m:r>
              <m:t>10</m:t>
            </m:r>
          </m:e>
          <m:sup>
            <m:r>
              <m:t>6</m:t>
            </m:r>
          </m:sup>
        </m:sSup>
        <m:r>
          <m:rPr>
            <m:sty m:val="p"/>
          </m:rPr>
          <m:t>×</m:t>
        </m:r>
        <m:r>
          <m:t>768</m:t>
        </m:r>
        <m:r>
          <m:rPr>
            <m:sty m:val="p"/>
          </m:rPr>
          <m:t>×</m:t>
        </m:r>
        <m:r>
          <m:t>4</m:t>
        </m:r>
        <m:r>
          <m:rPr>
            <m:sty m:val="p"/>
          </m:rPr>
          <m:t>=</m:t>
        </m:r>
        <m:r>
          <m:t>3.07</m:t>
        </m:r>
        <m:r>
          <m:rPr>
            <m:sty m:val="p"/>
          </m:rPr>
          <m:t>×</m:t>
        </m:r>
        <m:sSup>
          <m:e>
            <m:r>
              <m:t>10</m:t>
            </m:r>
          </m:e>
          <m:sup>
            <m:r>
              <m:t>9</m:t>
            </m:r>
          </m:sup>
        </m:sSup>
      </m:oMath>
      <w:r>
        <w:t xml:space="preserve"> </w:t>
      </w:r>
      <w:r>
        <w:t xml:space="preserve">bytes ≈ 3.1 GB.</w:t>
      </w:r>
    </w:p>
    <w:p>
      <w:pPr>
        <w:numPr>
          <w:ilvl w:val="0"/>
          <w:numId w:val="1105"/>
        </w:numPr>
        <w:pStyle w:val="Compact"/>
      </w:pPr>
      <w:r>
        <w:t xml:space="preserve">Compute: one dot product per embedding,</w:t>
      </w:r>
      <w:r>
        <w:t xml:space="preserve"> </w:t>
      </w:r>
      <m:oMath>
        <m:sSup>
          <m:e>
            <m:r>
              <m:t>10</m:t>
            </m:r>
          </m:e>
          <m:sup>
            <m:r>
              <m:t>6</m:t>
            </m:r>
          </m:sup>
        </m:sSup>
        <m:r>
          <m:rPr>
            <m:sty m:val="p"/>
          </m:rPr>
          <m:t>×</m:t>
        </m:r>
        <m:r>
          <m:t>768</m:t>
        </m:r>
        <m:r>
          <m:rPr>
            <m:sty m:val="p"/>
          </m:rPr>
          <m:t>=</m:t>
        </m:r>
        <m:r>
          <m:t>7.68</m:t>
        </m:r>
        <m:r>
          <m:rPr>
            <m:sty m:val="p"/>
          </m:rPr>
          <m:t>×</m:t>
        </m:r>
        <m:sSup>
          <m:e>
            <m:r>
              <m:t>10</m:t>
            </m:r>
          </m:e>
          <m:sup>
            <m:r>
              <m:t>8</m:t>
            </m:r>
          </m:sup>
        </m:sSup>
      </m:oMath>
      <w:r>
        <w:t xml:space="preserve"> </w:t>
      </w:r>
      <w:r>
        <w:t xml:space="preserve">multiply-adds =</w:t>
      </w:r>
      <w:r>
        <w:t xml:space="preserve"> </w:t>
      </w:r>
      <m:oMath>
        <m:r>
          <m:t>1.54</m:t>
        </m:r>
        <m:r>
          <m:rPr>
            <m:sty m:val="p"/>
          </m:rPr>
          <m:t>×</m:t>
        </m:r>
        <m:sSup>
          <m:e>
            <m:r>
              <m:t>10</m:t>
            </m:r>
          </m:e>
          <m:sup>
            <m:r>
              <m:t>9</m:t>
            </m:r>
          </m:sup>
        </m:sSup>
      </m:oMath>
      <w:r>
        <w:t xml:space="preserve"> </w:t>
      </w:r>
      <w:r>
        <w:t xml:space="preserve">FLOPs.</w:t>
      </w:r>
    </w:p>
    <w:p>
      <w:pPr>
        <w:numPr>
          <w:ilvl w:val="0"/>
          <w:numId w:val="1105"/>
        </w:numPr>
        <w:pStyle w:val="Compact"/>
      </w:pPr>
      <w:r>
        <w:t xml:space="preserve">Intensity:</w:t>
      </w:r>
      <w:r>
        <w:t xml:space="preserve"> </w:t>
      </w:r>
      <m:oMath>
        <m:r>
          <m:t>1.54</m:t>
        </m:r>
        <m:r>
          <m:rPr>
            <m:sty m:val="p"/>
          </m:rPr>
          <m:t>×</m:t>
        </m:r>
        <m:sSup>
          <m:e>
            <m:r>
              <m:t>10</m:t>
            </m:r>
          </m:e>
          <m:sup>
            <m:r>
              <m:t>9</m:t>
            </m:r>
          </m:sup>
        </m:sSup>
        <m:r>
          <m:rPr>
            <m:sty m:val="p"/>
          </m:rPr>
          <m:t>/</m:t>
        </m:r>
        <m:r>
          <m:t>3.07</m:t>
        </m:r>
        <m:r>
          <m:rPr>
            <m:sty m:val="p"/>
          </m:rPr>
          <m:t>×</m:t>
        </m:r>
        <m:sSup>
          <m:e>
            <m:r>
              <m:t>10</m:t>
            </m:r>
          </m:e>
          <m:sup>
            <m:r>
              <m:t>9</m:t>
            </m:r>
          </m:sup>
        </m:sSup>
        <m:r>
          <m:rPr>
            <m:sty m:val="p"/>
          </m:rPr>
          <m:t>=</m:t>
        </m:r>
        <m:r>
          <m:t>0.5</m:t>
        </m:r>
      </m:oMath>
      <w:r>
        <w:t xml:space="preserve"> </w:t>
      </w:r>
      <w:r>
        <w:t xml:space="preserve">FLOP/byte — every float is loaded once and used once.</w:t>
      </w:r>
    </w:p>
    <w:p>
      <w:pPr>
        <w:numPr>
          <w:ilvl w:val="0"/>
          <w:numId w:val="1105"/>
        </w:numPr>
        <w:pStyle w:val="Compact"/>
      </w:pPr>
      <w:r>
        <w:t xml:space="preserve">If memory delivers 20 GB/s to this computation (an illustrative figure), scanning takes</w:t>
      </w:r>
      <w:r>
        <w:t xml:space="preserve"> </w:t>
      </w:r>
      <m:oMath>
        <m:r>
          <m:t>3.07</m:t>
        </m:r>
        <m:r>
          <m:rPr>
            <m:sty m:val="p"/>
          </m:rPr>
          <m:t>/</m:t>
        </m:r>
        <m:r>
          <m:t>20</m:t>
        </m:r>
        <m:r>
          <m:rPr>
            <m:sty m:val="p"/>
          </m:rPr>
          <m:t>=</m:t>
        </m:r>
        <m:r>
          <m:t>0.15</m:t>
        </m:r>
      </m:oMath>
      <w:r>
        <w:t xml:space="preserve"> </w:t>
      </w:r>
      <w:r>
        <w:t xml:space="preserve">s per query, regardless of how fast the arithmetic is.</w:t>
      </w:r>
    </w:p>
    <w:p>
      <w:pPr>
        <w:pStyle w:val="CalloutExample"/>
      </w:pPr>
      <w:r>
        <w:rPr>
          <w:iCs/>
          <w:i/>
        </w:rPr>
        <w:t xml:space="preserve">Part B: a neural-network layer.</w:t>
      </w:r>
      <w:r>
        <w:t xml:space="preserve"> </w:t>
      </w:r>
      <w:r>
        <w:t xml:space="preserve">Multiply a batch of</w:t>
      </w:r>
      <w:r>
        <w:t xml:space="preserve"> </w:t>
      </w:r>
      <m:oMath>
        <m:r>
          <m:t>m</m:t>
        </m:r>
      </m:oMath>
      <w:r>
        <w:t xml:space="preserve"> </w:t>
      </w:r>
      <w:r>
        <w:t xml:space="preserve">inputs (</w:t>
      </w:r>
      <m:oMath>
        <m:r>
          <m:t>m</m:t>
        </m:r>
        <m:r>
          <m:rPr>
            <m:sty m:val="p"/>
          </m:rPr>
          <m:t>×</m:t>
        </m:r>
        <m:r>
          <m:t>4096</m:t>
        </m:r>
      </m:oMath>
      <w:r>
        <w:t xml:space="preserve">) by a</w:t>
      </w:r>
      <w:r>
        <w:t xml:space="preserve"> </w:t>
      </w:r>
      <m:oMath>
        <m:r>
          <m:t>4096</m:t>
        </m:r>
        <m:r>
          <m:rPr>
            <m:sty m:val="p"/>
          </m:rPr>
          <m:t>×</m:t>
        </m:r>
        <m:r>
          <m:t>4096</m:t>
        </m:r>
      </m:oMath>
      <w:r>
        <w:t xml:space="preserve"> </w:t>
      </w:r>
      <w:r>
        <w:t xml:space="preserve">weight matrix stored in 2-byte (16-bit) floats.</w:t>
      </w:r>
    </w:p>
    <w:p>
      <w:pPr>
        <w:numPr>
          <w:ilvl w:val="0"/>
          <w:numId w:val="1106"/>
        </w:numPr>
        <w:pStyle w:val="Compact"/>
      </w:pPr>
      <w:r>
        <w:t xml:space="preserve">Weights:</w:t>
      </w:r>
      <w:r>
        <w:t xml:space="preserve"> </w:t>
      </w:r>
      <m:oMath>
        <m:r>
          <m:t>4096</m:t>
        </m:r>
        <m:r>
          <m:rPr>
            <m:sty m:val="p"/>
          </m:rPr>
          <m:t>×</m:t>
        </m:r>
        <m:r>
          <m:t>4096</m:t>
        </m:r>
        <m:r>
          <m:rPr>
            <m:sty m:val="p"/>
          </m:rPr>
          <m:t>×</m:t>
        </m:r>
        <m:r>
          <m:t>2</m:t>
        </m:r>
        <m:r>
          <m:rPr>
            <m:sty m:val="p"/>
          </m:rPr>
          <m:t>=</m:t>
        </m:r>
        <m:r>
          <m:t>33.5</m:t>
        </m:r>
      </m:oMath>
      <w:r>
        <w:t xml:space="preserve"> </w:t>
      </w:r>
      <w:r>
        <w:t xml:space="preserve">MB.</w:t>
      </w:r>
    </w:p>
    <w:p>
      <w:pPr>
        <w:numPr>
          <w:ilvl w:val="0"/>
          <w:numId w:val="1106"/>
        </w:numPr>
        <w:pStyle w:val="Compact"/>
      </w:pPr>
      <w:r>
        <w:t xml:space="preserve">With</w:t>
      </w:r>
      <w:r>
        <w:t xml:space="preserve"> </w:t>
      </w:r>
      <m:oMath>
        <m:r>
          <m:t>m</m:t>
        </m:r>
        <m:r>
          <m:rPr>
            <m:sty m:val="p"/>
          </m:rPr>
          <m:t>=</m:t>
        </m:r>
        <m:r>
          <m:t>1</m:t>
        </m:r>
      </m:oMath>
      <w:r>
        <w:t xml:space="preserve">: FLOPs</w:t>
      </w:r>
      <w:r>
        <w:t xml:space="preserve"> </w:t>
      </w:r>
      <m:oMath>
        <m:r>
          <m:rPr>
            <m:sty m:val="p"/>
          </m:rPr>
          <m:t>=</m:t>
        </m:r>
        <m:r>
          <m:t>2</m:t>
        </m:r>
        <m:r>
          <m:rPr>
            <m:sty m:val="p"/>
          </m:rPr>
          <m:t>×</m:t>
        </m:r>
        <m:r>
          <m:t>1</m:t>
        </m:r>
        <m:r>
          <m:rPr>
            <m:sty m:val="p"/>
          </m:rPr>
          <m:t>×</m:t>
        </m:r>
        <m:r>
          <m:t>4096</m:t>
        </m:r>
        <m:r>
          <m:rPr>
            <m:sty m:val="p"/>
          </m:rPr>
          <m:t>×</m:t>
        </m:r>
        <m:r>
          <m:t>4096</m:t>
        </m:r>
        <m:r>
          <m:rPr>
            <m:sty m:val="p"/>
          </m:rPr>
          <m:t>=</m:t>
        </m:r>
        <m:r>
          <m:t>3.36</m:t>
        </m:r>
        <m:r>
          <m:rPr>
            <m:sty m:val="p"/>
          </m:rPr>
          <m:t>×</m:t>
        </m:r>
        <m:sSup>
          <m:e>
            <m:r>
              <m:t>10</m:t>
            </m:r>
          </m:e>
          <m:sup>
            <m:r>
              <m:t>7</m:t>
            </m:r>
          </m:sup>
        </m:sSup>
      </m:oMath>
      <w:r>
        <w:t xml:space="preserve">, intensity ≈</w:t>
      </w:r>
      <w:r>
        <w:t xml:space="preserve"> </w:t>
      </w:r>
      <m:oMath>
        <m:r>
          <m:t>3.36</m:t>
        </m:r>
        <m:r>
          <m:rPr>
            <m:sty m:val="p"/>
          </m:rPr>
          <m:t>×</m:t>
        </m:r>
        <m:sSup>
          <m:e>
            <m:r>
              <m:t>10</m:t>
            </m:r>
          </m:e>
          <m:sup>
            <m:r>
              <m:t>7</m:t>
            </m:r>
          </m:sup>
        </m:sSup>
        <m:r>
          <m:rPr>
            <m:sty m:val="p"/>
          </m:rPr>
          <m:t>/</m:t>
        </m:r>
        <m:r>
          <m:t>3.36</m:t>
        </m:r>
        <m:r>
          <m:rPr>
            <m:sty m:val="p"/>
          </m:rPr>
          <m:t>×</m:t>
        </m:r>
        <m:sSup>
          <m:e>
            <m:r>
              <m:t>10</m:t>
            </m:r>
          </m:e>
          <m:sup>
            <m:r>
              <m:t>7</m:t>
            </m:r>
          </m:sup>
        </m:sSup>
        <m:r>
          <m:rPr>
            <m:sty m:val="p"/>
          </m:rPr>
          <m:t>=</m:t>
        </m:r>
        <m:r>
          <m:t>1</m:t>
        </m:r>
      </m:oMath>
      <w:r>
        <w:t xml:space="preserve"> </w:t>
      </w:r>
      <w:r>
        <w:t xml:space="preserve">FLOP/byte.</w:t>
      </w:r>
    </w:p>
    <w:p>
      <w:pPr>
        <w:numPr>
          <w:ilvl w:val="0"/>
          <w:numId w:val="1106"/>
        </w:numPr>
        <w:pStyle w:val="Compact"/>
      </w:pPr>
      <w:r>
        <w:t xml:space="preserve">With</w:t>
      </w:r>
      <w:r>
        <w:t xml:space="preserve"> </w:t>
      </w:r>
      <m:oMath>
        <m:r>
          <m:t>m</m:t>
        </m:r>
        <m:r>
          <m:rPr>
            <m:sty m:val="p"/>
          </m:rPr>
          <m:t>=</m:t>
        </m:r>
        <m:r>
          <m:t>32</m:t>
        </m:r>
      </m:oMath>
      <w:r>
        <w:t xml:space="preserve">: FLOPs</w:t>
      </w:r>
      <w:r>
        <w:t xml:space="preserve"> </w:t>
      </w:r>
      <m:oMath>
        <m:r>
          <m:rPr>
            <m:sty m:val="p"/>
          </m:rPr>
          <m:t>=</m:t>
        </m:r>
        <m:r>
          <m:t>2</m:t>
        </m:r>
        <m:r>
          <m:rPr>
            <m:sty m:val="p"/>
          </m:rPr>
          <m:t>×</m:t>
        </m:r>
        <m:r>
          <m:t>32</m:t>
        </m:r>
        <m:r>
          <m:rPr>
            <m:sty m:val="p"/>
          </m:rPr>
          <m:t>×</m:t>
        </m:r>
        <m:r>
          <m:t>4096</m:t>
        </m:r>
        <m:r>
          <m:rPr>
            <m:sty m:val="p"/>
          </m:rPr>
          <m:t>×</m:t>
        </m:r>
        <m:r>
          <m:t>4096</m:t>
        </m:r>
        <m:r>
          <m:rPr>
            <m:sty m:val="p"/>
          </m:rPr>
          <m:t>=</m:t>
        </m:r>
        <m:r>
          <m:t>1.07</m:t>
        </m:r>
        <m:r>
          <m:rPr>
            <m:sty m:val="p"/>
          </m:rPr>
          <m:t>×</m:t>
        </m:r>
        <m:sSup>
          <m:e>
            <m:r>
              <m:t>10</m:t>
            </m:r>
          </m:e>
          <m:sup>
            <m:r>
              <m:t>9</m:t>
            </m:r>
          </m:sup>
        </m:sSup>
      </m:oMath>
      <w:r>
        <w:t xml:space="preserve">; the weights are read once for the whole batch, so intensity ≈ 32 FLOP/byte.</w:t>
      </w:r>
    </w:p>
    <w:p>
      <w:pPr>
        <w:pStyle w:val="CalloutExample"/>
      </w:pPr>
      <w:r>
        <w:rPr>
          <w:bCs/>
          <w:b/>
        </w:rPr>
        <w:t xml:space="preserve">Interpretation.</w:t>
      </w:r>
      <w:r>
        <w:t xml:space="preserve"> </w:t>
      </w:r>
      <w:r>
        <w:t xml:space="preserve">Brute-force search and single-request inference are</w:t>
      </w:r>
      <w:r>
        <w:t xml:space="preserve"> </w:t>
      </w:r>
      <w:r>
        <w:rPr>
          <w:iCs/>
          <w:i/>
        </w:rPr>
        <w:t xml:space="preserve">memory-bound</w:t>
      </w:r>
      <w:r>
        <w:t xml:space="preserve">: the processor waits for data. Batching reuses each loaded weight for many inputs and raises arithmetic intensity proportionally.</w:t>
      </w:r>
      <w:r>
        <w:t xml:space="preserve"> </w:t>
      </w:r>
      <w:r>
        <w:rPr>
          <w:bCs/>
          <w:b/>
        </w:rPr>
        <w:t xml:space="preserve">Engineering implication.</w:t>
      </w:r>
      <w:r>
        <w:t xml:space="preserve"> </w:t>
      </w:r>
      <w:r>
        <w:t xml:space="preserve">At a million vectors and many queries per second, brute force is too slow, which motivates approximate nearest neighbor (ANN) indexes (Chapter 74). For model serving, batching is the main lever for throughput — at a latency cost quantified in §4.18.6.</w:t>
      </w:r>
    </w:p>
    <w:p>
      <w:pPr>
        <w:pStyle w:val="SourceCode"/>
      </w:pPr>
      <w:r>
        <w:rPr>
          <w:rStyle w:val="ImportTok"/>
        </w:rPr>
        <w:t xml:space="preserve">import</w:t>
      </w:r>
      <w:r>
        <w:rPr>
          <w:rStyle w:val="NormalTok"/>
        </w:rPr>
        <w:t xml:space="preserve"> math</w:t>
      </w:r>
      <w:r>
        <w:br/>
      </w:r>
      <w:r>
        <w:br/>
      </w:r>
      <w:r>
        <w:rPr>
          <w:rStyle w:val="KeywordTok"/>
        </w:rPr>
        <w:t xml:space="preserve">def</w:t>
      </w:r>
      <w:r>
        <w:rPr>
          <w:rStyle w:val="NormalTok"/>
        </w:rPr>
        <w:t xml:space="preserve"> dot(a, b):</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(x </w:t>
      </w:r>
      <w:r>
        <w:rPr>
          <w:rStyle w:val="OperatorTok"/>
        </w:rPr>
        <w:t xml:space="preserve">*</w:t>
      </w:r>
      <w:r>
        <w:rPr>
          <w:rStyle w:val="NormalTok"/>
        </w:rPr>
        <w:t xml:space="preserve"> y </w:t>
      </w:r>
      <w:r>
        <w:rPr>
          <w:rStyle w:val="ControlFlowTok"/>
        </w:rPr>
        <w:t xml:space="preserve">for</w:t>
      </w:r>
      <w:r>
        <w:rPr>
          <w:rStyle w:val="NormalTok"/>
        </w:rPr>
        <w:t xml:space="preserve"> x, y </w:t>
      </w:r>
      <w:r>
        <w:rPr>
          <w:rStyle w:val="KeywordTok"/>
        </w:rPr>
        <w:t xml:space="preserve">in</w:t>
      </w:r>
      <w:r>
        <w:rPr>
          <w:rStyle w:val="NormalTok"/>
        </w:rPr>
        <w:t xml:space="preserve"> </w:t>
      </w:r>
      <w:r>
        <w:rPr>
          <w:rStyle w:val="BuiltInTok"/>
        </w:rPr>
        <w:t xml:space="preserve">zip</w:t>
      </w:r>
      <w:r>
        <w:rPr>
          <w:rStyle w:val="NormalTok"/>
        </w:rPr>
        <w:t xml:space="preserve">(a, b, strict</w:t>
      </w:r>
      <w:r>
        <w:rPr>
          <w:rStyle w:val="OperatorTok"/>
        </w:rPr>
        <w:t xml:space="preserve">=</w:t>
      </w:r>
      <w:r>
        <w:rPr>
          <w:rStyle w:val="VariableTok"/>
        </w:rPr>
        <w:t xml:space="preserve">True</w:t>
      </w:r>
      <w:r>
        <w:rPr>
          <w:rStyle w:val="NormalTok"/>
        </w:rPr>
        <w:t xml:space="preserve">))</w:t>
      </w:r>
      <w:r>
        <w:br/>
      </w:r>
      <w:r>
        <w:br/>
      </w:r>
      <w:r>
        <w:rPr>
          <w:rStyle w:val="KeywordTok"/>
        </w:rPr>
        <w:t xml:space="preserve">def</w:t>
      </w:r>
      <w:r>
        <w:rPr>
          <w:rStyle w:val="NormalTok"/>
        </w:rPr>
        <w:t xml:space="preserve"> norm(a):</w:t>
      </w:r>
      <w:r>
        <w:br/>
      </w:r>
      <w:r>
        <w:rPr>
          <w:rStyle w:val="NormalTok"/>
        </w:rPr>
        <w:t xml:space="preserve">    </w:t>
      </w:r>
      <w:r>
        <w:rPr>
          <w:rStyle w:val="ControlFlowTok"/>
        </w:rPr>
        <w:t xml:space="preserve">return</w:t>
      </w:r>
      <w:r>
        <w:rPr>
          <w:rStyle w:val="NormalTok"/>
        </w:rPr>
        <w:t xml:space="preserve"> math.sqrt(dot(a, a))</w:t>
      </w:r>
      <w:r>
        <w:br/>
      </w:r>
      <w:r>
        <w:br/>
      </w:r>
      <w:r>
        <w:rPr>
          <w:rStyle w:val="KeywordTok"/>
        </w:rPr>
        <w:t xml:space="preserve">def</w:t>
      </w:r>
      <w:r>
        <w:rPr>
          <w:rStyle w:val="NormalTok"/>
        </w:rPr>
        <w:t xml:space="preserve"> cosine_similarity(a, b):</w:t>
      </w:r>
      <w:r>
        <w:br/>
      </w:r>
      <w:r>
        <w:rPr>
          <w:rStyle w:val="NormalTok"/>
        </w:rPr>
        <w:t xml:space="preserve">    </w:t>
      </w:r>
      <w:r>
        <w:rPr>
          <w:rStyle w:val="ControlFlowTok"/>
        </w:rPr>
        <w:t xml:space="preserve">return</w:t>
      </w:r>
      <w:r>
        <w:rPr>
          <w:rStyle w:val="NormalTok"/>
        </w:rPr>
        <w:t xml:space="preserve"> dot(a, b) </w:t>
      </w:r>
      <w:r>
        <w:rPr>
          <w:rStyle w:val="OperatorTok"/>
        </w:rPr>
        <w:t xml:space="preserve">/</w:t>
      </w:r>
      <w:r>
        <w:rPr>
          <w:rStyle w:val="NormalTok"/>
        </w:rPr>
        <w:t xml:space="preserve"> (norm(a) </w:t>
      </w:r>
      <w:r>
        <w:rPr>
          <w:rStyle w:val="OperatorTok"/>
        </w:rPr>
        <w:t xml:space="preserve">*</w:t>
      </w:r>
      <w:r>
        <w:rPr>
          <w:rStyle w:val="NormalTok"/>
        </w:rPr>
        <w:t xml:space="preserve"> norm(b))</w:t>
      </w:r>
      <w:r>
        <w:br/>
      </w:r>
      <w:r>
        <w:br/>
      </w:r>
      <w:r>
        <w:rPr>
          <w:rStyle w:val="KeywordTok"/>
        </w:rPr>
        <w:t xml:space="preserve">def</w:t>
      </w:r>
      <w:r>
        <w:rPr>
          <w:rStyle w:val="NormalTok"/>
        </w:rPr>
        <w:t xml:space="preserve"> matmul(A, B):</w:t>
      </w:r>
      <w:r>
        <w:br/>
      </w:r>
      <w:r>
        <w:rPr>
          <w:rStyle w:val="NormalTok"/>
        </w:rPr>
        <w:t xml:space="preserve">    </w:t>
      </w:r>
      <w:r>
        <w:rPr>
          <w:rStyle w:val="CommentTok"/>
        </w:rPr>
        <w:t xml:space="preserve">"""Naive matrix multiply: (m x k) times (k x n) -&gt; (m x n)."""</w:t>
      </w:r>
      <w:r>
        <w:br/>
      </w:r>
      <w:r>
        <w:rPr>
          <w:rStyle w:val="NormalTok"/>
        </w:rPr>
        <w:t xml:space="preserve">    m, k, n </w:t>
      </w:r>
      <w:r>
        <w:rPr>
          <w:rStyle w:val="OperatorTok"/>
        </w:rPr>
        <w:t xml:space="preserve">=</w:t>
      </w:r>
      <w:r>
        <w:rPr>
          <w:rStyle w:val="NormalTok"/>
        </w:rPr>
        <w:t xml:space="preserve"> </w:t>
      </w:r>
      <w:r>
        <w:rPr>
          <w:rStyle w:val="BuiltInTok"/>
        </w:rPr>
        <w:t xml:space="preserve">len</w:t>
      </w:r>
      <w:r>
        <w:rPr>
          <w:rStyle w:val="NormalTok"/>
        </w:rPr>
        <w:t xml:space="preserve">(A), </w:t>
      </w:r>
      <w:r>
        <w:rPr>
          <w:rStyle w:val="BuiltInTok"/>
        </w:rPr>
        <w:t xml:space="preserve">len</w:t>
      </w:r>
      <w:r>
        <w:rPr>
          <w:rStyle w:val="NormalTok"/>
        </w:rPr>
        <w:t xml:space="preserve">(B), </w:t>
      </w:r>
      <w:r>
        <w:rPr>
          <w:rStyle w:val="BuiltInTok"/>
        </w:rPr>
        <w:t xml:space="preserve">len</w:t>
      </w:r>
      <w:r>
        <w:rPr>
          <w:rStyle w:val="NormalTok"/>
        </w:rPr>
        <w:t xml:space="preserve">(B[</w:t>
      </w:r>
      <w:r>
        <w:rPr>
          <w:rStyle w:val="DecValTok"/>
        </w:rPr>
        <w:t xml:space="preserve">0</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BuiltInTok"/>
        </w:rPr>
        <w:t xml:space="preserve">all</w:t>
      </w:r>
      <w:r>
        <w:rPr>
          <w:rStyle w:val="NormalTok"/>
        </w:rPr>
        <w:t xml:space="preserve">(</w:t>
      </w:r>
      <w:r>
        <w:rPr>
          <w:rStyle w:val="BuiltInTok"/>
        </w:rPr>
        <w:t xml:space="preserve">len</w:t>
      </w:r>
      <w:r>
        <w:rPr>
          <w:rStyle w:val="NormalTok"/>
        </w:rPr>
        <w:t xml:space="preserve">(row) </w:t>
      </w:r>
      <w:r>
        <w:rPr>
          <w:rStyle w:val="OperatorTok"/>
        </w:rPr>
        <w:t xml:space="preserve">==</w:t>
      </w:r>
      <w:r>
        <w:rPr>
          <w:rStyle w:val="NormalTok"/>
        </w:rPr>
        <w:t xml:space="preserve"> k </w:t>
      </w:r>
      <w:r>
        <w:rPr>
          <w:rStyle w:val="ControlFlowTok"/>
        </w:rPr>
        <w:t xml:space="preserve">for</w:t>
      </w:r>
      <w:r>
        <w:rPr>
          <w:rStyle w:val="NormalTok"/>
        </w:rPr>
        <w:t xml:space="preserve"> row </w:t>
      </w:r>
      <w:r>
        <w:rPr>
          <w:rStyle w:val="KeywordTok"/>
        </w:rPr>
        <w:t xml:space="preserve">in</w:t>
      </w:r>
      <w:r>
        <w:rPr>
          <w:rStyle w:val="NormalTok"/>
        </w:rPr>
        <w:t xml:space="preserve"> A), </w:t>
      </w:r>
      <w:r>
        <w:rPr>
          <w:rStyle w:val="StringTok"/>
        </w:rPr>
        <w:t xml:space="preserve">"inner dimensions must match"</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(A[i][t] </w:t>
      </w:r>
      <w:r>
        <w:rPr>
          <w:rStyle w:val="OperatorTok"/>
        </w:rPr>
        <w:t xml:space="preserve">*</w:t>
      </w:r>
      <w:r>
        <w:rPr>
          <w:rStyle w:val="NormalTok"/>
        </w:rPr>
        <w:t xml:space="preserve"> B[t][j]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(k))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(m)]</w:t>
      </w:r>
      <w:r>
        <w:br/>
      </w:r>
      <w:r>
        <w:br/>
      </w:r>
      <w:r>
        <w:rPr>
          <w:rStyle w:val="NormalTok"/>
        </w:rPr>
        <w:t xml:space="preserve">query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docs </w:t>
      </w:r>
      <w:r>
        <w:rPr>
          <w:rStyle w:val="OperatorTok"/>
        </w:rPr>
        <w:t xml:space="preserve">=</w:t>
      </w:r>
      <w:r>
        <w:rPr>
          <w:rStyle w:val="NormalTok"/>
        </w:rPr>
        <w:t xml:space="preserve"> {</w:t>
      </w:r>
      <w:r>
        <w:rPr>
          <w:rStyle w:val="StringTok"/>
        </w:rPr>
        <w:t xml:space="preserve">"doc_a"</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StringTok"/>
        </w:rPr>
        <w:t xml:space="preserve">"doc_b"</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4</w:t>
      </w:r>
      <w:r>
        <w:rPr>
          <w:rStyle w:val="NormalTok"/>
        </w:rPr>
        <w:t xml:space="preserve">], </w:t>
      </w:r>
      <w:r>
        <w:rPr>
          <w:rStyle w:val="StringTok"/>
        </w:rPr>
        <w:t xml:space="preserve">"doc_c"</w:t>
      </w:r>
      <w:r>
        <w:rPr>
          <w:rStyle w:val="NormalTok"/>
        </w:rPr>
        <w:t xml:space="preserve">: [</w:t>
      </w:r>
      <w:r>
        <w:rPr>
          <w:rStyle w:val="Operator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ControlFlowTok"/>
        </w:rPr>
        <w:t xml:space="preserve">for</w:t>
      </w:r>
      <w:r>
        <w:rPr>
          <w:rStyle w:val="NormalTok"/>
        </w:rPr>
        <w:t xml:space="preserve"> name, vec </w:t>
      </w:r>
      <w:r>
        <w:rPr>
          <w:rStyle w:val="KeywordTok"/>
        </w:rPr>
        <w:t xml:space="preserve">in</w:t>
      </w:r>
      <w:r>
        <w:rPr>
          <w:rStyle w:val="NormalTok"/>
        </w:rPr>
        <w:t xml:space="preserve"> docs.items():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dot = </w:t>
      </w:r>
      <w:r>
        <w:rPr>
          <w:rStyle w:val="SpecialCharTok"/>
        </w:rPr>
        <w:t xml:space="preserve">{</w:t>
      </w:r>
      <w:r>
        <w:rPr>
          <w:rStyle w:val="NormalTok"/>
        </w:rPr>
        <w:t xml:space="preserve">dot(query, vec)</w:t>
      </w:r>
      <w:r>
        <w:rPr>
          <w:rStyle w:val="SpecialCharTok"/>
        </w:rPr>
        <w:t xml:space="preserve">:3d}</w:t>
      </w:r>
      <w:r>
        <w:rPr>
          <w:rStyle w:val="SpecialStringTok"/>
        </w:rPr>
        <w:t xml:space="preserve">, cosine = </w:t>
      </w:r>
      <w:r>
        <w:rPr>
          <w:rStyle w:val="SpecialCharTok"/>
        </w:rPr>
        <w:t xml:space="preserve">{</w:t>
      </w:r>
      <w:r>
        <w:rPr>
          <w:rStyle w:val="NormalTok"/>
        </w:rPr>
        <w:t xml:space="preserve">cosine_similarity(query, vec)</w:t>
      </w:r>
      <w:r>
        <w:rPr>
          <w:rStyle w:val="SpecialCharTok"/>
        </w:rPr>
        <w:t xml:space="preserve">:.3f}</w:t>
      </w:r>
      <w:r>
        <w:rPr>
          <w:rStyle w:val="SpecialStringTok"/>
        </w:rPr>
        <w:t xml:space="preserve">"</w:t>
      </w:r>
      <w:r>
        <w:rPr>
          <w:rStyle w:val="NormalTok"/>
        </w:rPr>
        <w:t xml:space="preserve">)</w:t>
      </w:r>
      <w:r>
        <w:br/>
      </w:r>
      <w:r>
        <w:br/>
      </w:r>
      <w:r>
        <w:rPr>
          <w:rStyle w:val="CommentTok"/>
        </w:rPr>
        <w:t xml:space="preserve"># Score all documents at once: (1 x 3) query times (3 x 3) matrix of doc columns</w:t>
      </w:r>
      <w:r>
        <w:br/>
      </w:r>
      <w:r>
        <w:rPr>
          <w:rStyle w:val="NormalTok"/>
        </w:rPr>
        <w:t xml:space="preserve">D </w:t>
      </w:r>
      <w:r>
        <w:rPr>
          <w:rStyle w:val="OperatorTok"/>
        </w:rPr>
        <w:t xml:space="preserve">=</w:t>
      </w:r>
      <w:r>
        <w:rPr>
          <w:rStyle w:val="NormalTok"/>
        </w:rPr>
        <w:t xml:space="preserve"> [</w:t>
      </w:r>
      <w:r>
        <w:rPr>
          <w:rStyle w:val="BuiltInTok"/>
        </w:rPr>
        <w:t xml:space="preserve">list</w:t>
      </w:r>
      <w:r>
        <w:rPr>
          <w:rStyle w:val="NormalTok"/>
        </w:rPr>
        <w:t xml:space="preserve">(col) </w:t>
      </w:r>
      <w:r>
        <w:rPr>
          <w:rStyle w:val="ControlFlowTok"/>
        </w:rPr>
        <w:t xml:space="preserve">for</w:t>
      </w:r>
      <w:r>
        <w:rPr>
          <w:rStyle w:val="NormalTok"/>
        </w:rPr>
        <w:t xml:space="preserve"> col </w:t>
      </w:r>
      <w:r>
        <w:rPr>
          <w:rStyle w:val="KeywordTok"/>
        </w:rPr>
        <w:t xml:space="preserve">in</w:t>
      </w:r>
      <w:r>
        <w:rPr>
          <w:rStyle w:val="NormalTok"/>
        </w:rPr>
        <w:t xml:space="preserve"> </w:t>
      </w:r>
      <w:r>
        <w:rPr>
          <w:rStyle w:val="BuiltInTok"/>
        </w:rPr>
        <w:t xml:space="preserve">zip</w:t>
      </w:r>
      <w:r>
        <w:rPr>
          <w:rStyle w:val="NormalTok"/>
        </w:rPr>
        <w:t xml:space="preserve">(</w:t>
      </w:r>
      <w:r>
        <w:rPr>
          <w:rStyle w:val="OperatorTok"/>
        </w:rPr>
        <w:t xml:space="preserve">*</w:t>
      </w:r>
      <w:r>
        <w:rPr>
          <w:rStyle w:val="NormalTok"/>
        </w:rPr>
        <w:t xml:space="preserve">docs.values())]   </w:t>
      </w:r>
      <w:r>
        <w:rPr>
          <w:rStyle w:val="CommentTok"/>
        </w:rPr>
        <w:t xml:space="preserve"># 3 x 3, one document per column</w:t>
      </w:r>
      <w:r>
        <w:br/>
      </w:r>
      <w:r>
        <w:rPr>
          <w:rStyle w:val="BuiltInTok"/>
        </w:rPr>
        <w:t xml:space="preserve">print</w:t>
      </w:r>
      <w:r>
        <w:rPr>
          <w:rStyle w:val="NormalTok"/>
        </w:rPr>
        <w:t xml:space="preserve">(</w:t>
      </w:r>
      <w:r>
        <w:rPr>
          <w:rStyle w:val="StringTok"/>
        </w:rPr>
        <w:t xml:space="preserve">"scores via matmul:"</w:t>
      </w:r>
      <w:r>
        <w:rPr>
          <w:rStyle w:val="NormalTok"/>
        </w:rPr>
        <w:t xml:space="preserve">, matmul([query], D)[</w:t>
      </w:r>
      <w:r>
        <w:rPr>
          <w:rStyle w:val="DecValTok"/>
        </w:rPr>
        <w:t xml:space="preserve">0</w:t>
      </w:r>
      <w:r>
        <w:rPr>
          <w:rStyle w:val="NormalTok"/>
        </w:rPr>
        <w:t xml:space="preserve">])</w:t>
      </w:r>
    </w:p>
    <w:p>
      <w:pPr>
        <w:pStyle w:val="FirstParagraph"/>
      </w:pPr>
      <w:r>
        <w:t xml:space="preserve">Output:</w:t>
      </w:r>
    </w:p>
    <w:p>
      <w:pPr>
        <w:pStyle w:val="SourceCode"/>
      </w:pPr>
      <w:r>
        <w:rPr>
          <w:rStyle w:val="VerbatimChar"/>
        </w:rPr>
        <w:t xml:space="preserve">doc_a: dot =   8, cosine = 0.889</w:t>
      </w:r>
      <w:r>
        <w:br/>
      </w:r>
      <w:r>
        <w:rPr>
          <w:rStyle w:val="VerbatimChar"/>
        </w:rPr>
        <w:t xml:space="preserve">doc_b: dot =  18, cosine = 1.000</w:t>
      </w:r>
      <w:r>
        <w:br/>
      </w:r>
      <w:r>
        <w:rPr>
          <w:rStyle w:val="VerbatimChar"/>
        </w:rPr>
        <w:t xml:space="preserve">doc_c: dot =   0, cosine = 0.000</w:t>
      </w:r>
      <w:r>
        <w:br/>
      </w:r>
      <w:r>
        <w:rPr>
          <w:rStyle w:val="VerbatimChar"/>
        </w:rPr>
        <w:t xml:space="preserve">scores via matmul: [8, 18, 0]</w:t>
      </w:r>
    </w:p>
    <w:p>
      <w:pPr>
        <w:pStyle w:val="FirstParagraph"/>
      </w:pPr>
      <w:r>
        <w:t xml:space="preserve">What to notice:</w:t>
      </w:r>
    </w:p>
    <w:p>
      <w:pPr>
        <w:numPr>
          <w:ilvl w:val="0"/>
          <w:numId w:val="1107"/>
        </w:numPr>
        <w:pStyle w:val="Compact"/>
      </w:pPr>
      <w:r>
        <w:rPr>
          <w:rStyle w:val="VerbatimChar"/>
        </w:rPr>
        <w:t xml:space="preserve">zip(..., strict=True)</w:t>
      </w:r>
      <w:r>
        <w:t xml:space="preserve"> </w:t>
      </w:r>
      <w:r>
        <w:t xml:space="preserve">(Python 3.10+) raises an error if dimensions differ, a cheap guard against mixing embeddings from different models.</w:t>
      </w:r>
    </w:p>
    <w:p>
      <w:pPr>
        <w:numPr>
          <w:ilvl w:val="0"/>
          <w:numId w:val="1107"/>
        </w:numPr>
        <w:pStyle w:val="Compact"/>
      </w:pPr>
      <w:r>
        <w:rPr>
          <w:rStyle w:val="VerbatimChar"/>
        </w:rPr>
        <w:t xml:space="preserve">doc_c</w:t>
      </w:r>
      <w:r>
        <w:t xml:space="preserve"> </w:t>
      </w:r>
      <w:r>
        <w:t xml:space="preserve">is perpendicular to the query (dot product 0): unrelated, not opposite.</w:t>
      </w:r>
    </w:p>
    <w:p>
      <w:pPr>
        <w:numPr>
          <w:ilvl w:val="0"/>
          <w:numId w:val="1107"/>
        </w:numPr>
        <w:pStyle w:val="Compact"/>
      </w:pPr>
      <w:r>
        <w:t xml:space="preserve">Scoring many documents is one matrix multiplication. The triple loop in</w:t>
      </w:r>
      <w:r>
        <w:t xml:space="preserve"> </w:t>
      </w:r>
      <w:r>
        <w:rPr>
          <w:rStyle w:val="VerbatimChar"/>
        </w:rPr>
        <w:t xml:space="preserve">matmul</w:t>
      </w:r>
      <w:r>
        <w:t xml:space="preserve"> </w:t>
      </w:r>
      <w:r>
        <w:t xml:space="preserve">performs exactly</w:t>
      </w:r>
      <w:r>
        <w:t xml:space="preserve"> </w:t>
      </w:r>
      <m:oMath>
        <m:r>
          <m:t>m</m:t>
        </m:r>
        <m:r>
          <m:rPr>
            <m:sty m:val="p"/>
          </m:rPr>
          <m:t>×</m:t>
        </m:r>
        <m:r>
          <m:t>n</m:t>
        </m:r>
        <m:r>
          <m:rPr>
            <m:sty m:val="p"/>
          </m:rPr>
          <m:t>×</m:t>
        </m:r>
        <m:r>
          <m:t>k</m:t>
        </m:r>
      </m:oMath>
      <w:r>
        <w:t xml:space="preserve"> </w:t>
      </w:r>
      <w:r>
        <w:t xml:space="preserve">multiply-adds; production libraries (BLAS, GPU kernels) do the same arithmetic but reorganize it to reuse data in caches.</w:t>
      </w:r>
    </w:p>
    <w:bookmarkEnd w:id="384"/>
    <w:bookmarkEnd w:id="385"/>
    <w:bookmarkStart w:id="398" w:name="queueing-theory"/>
    <w:p>
      <w:pPr>
        <w:pStyle w:val="Heading2"/>
      </w:pPr>
      <w:r>
        <w:t xml:space="preserve">4.10 Queueing theory</w:t>
      </w:r>
    </w:p>
    <w:bookmarkStart w:id="388" w:name="vocabulary"/>
    <w:p>
      <w:pPr>
        <w:pStyle w:val="Heading3"/>
      </w:pPr>
      <w:r>
        <w:t xml:space="preserve">4.10.1 Vocabulary</w:t>
      </w:r>
    </w:p>
    <w:p>
      <w:pPr>
        <w:pStyle w:val="CalloutDefinition"/>
      </w:pPr>
      <w:r>
        <w:rPr>
          <w:bCs/>
          <w:b/>
        </w:rPr>
        <w:t xml:space="preserve">DEFINITION</w:t>
      </w:r>
    </w:p>
    <w:p>
      <w:pPr>
        <w:pStyle w:val="CalloutDefinition"/>
      </w:pPr>
      <w:r>
        <w:rPr>
          <w:bCs/>
          <w:b/>
        </w:rPr>
        <w:t xml:space="preserve">Definition — Queueing system.</w:t>
      </w:r>
      <w:r>
        <w:t xml:space="preserve"> </w:t>
      </w:r>
      <w:r>
        <w:t xml:space="preserve">A model in which</w:t>
      </w:r>
      <w:r>
        <w:t xml:space="preserve"> </w:t>
      </w:r>
      <w:r>
        <w:rPr>
          <w:bCs/>
          <w:b/>
        </w:rPr>
        <w:t xml:space="preserve">jobs</w:t>
      </w:r>
      <w:r>
        <w:t xml:space="preserve"> </w:t>
      </w:r>
      <w:r>
        <w:t xml:space="preserve">(requests, messages, packets) arrive at a</w:t>
      </w:r>
      <w:r>
        <w:t xml:space="preserve"> </w:t>
      </w:r>
      <w:r>
        <w:rPr>
          <w:bCs/>
          <w:b/>
        </w:rPr>
        <w:t xml:space="preserve">service center</w:t>
      </w:r>
      <w:r>
        <w:t xml:space="preserve">, wait in a</w:t>
      </w:r>
      <w:r>
        <w:t xml:space="preserve"> </w:t>
      </w:r>
      <w:r>
        <w:rPr>
          <w:bCs/>
          <w:b/>
        </w:rPr>
        <w:t xml:space="preserve">queue</w:t>
      </w:r>
      <w:r>
        <w:t xml:space="preserve"> </w:t>
      </w:r>
      <w:r>
        <w:t xml:space="preserve">if all</w:t>
      </w:r>
      <w:r>
        <w:t xml:space="preserve"> </w:t>
      </w:r>
      <w:r>
        <w:rPr>
          <w:bCs/>
          <w:b/>
        </w:rPr>
        <w:t xml:space="preserve">servers</w:t>
      </w:r>
      <w:r>
        <w:t xml:space="preserve"> </w:t>
      </w:r>
      <w:r>
        <w:t xml:space="preserve">are busy, receive service, and depart. The</w:t>
      </w:r>
      <w:r>
        <w:t xml:space="preserve"> </w:t>
      </w:r>
      <w:r>
        <w:rPr>
          <w:bCs/>
          <w:b/>
        </w:rPr>
        <w:t xml:space="preserve">arrival rate</w:t>
      </w:r>
      <w:r>
        <w:t xml:space="preserve"> </w:t>
      </w:r>
      <m:oMath>
        <m:r>
          <m:t>λ</m:t>
        </m:r>
      </m:oMath>
      <w:r>
        <w:t xml:space="preserve"> </w:t>
      </w:r>
      <w:r>
        <w:t xml:space="preserve">is the average number of jobs arriving per second; the</w:t>
      </w:r>
      <w:r>
        <w:t xml:space="preserve"> </w:t>
      </w:r>
      <w:r>
        <w:rPr>
          <w:bCs/>
          <w:b/>
        </w:rPr>
        <w:t xml:space="preserve">service rate</w:t>
      </w:r>
      <w:r>
        <w:t xml:space="preserve"> </w:t>
      </w:r>
      <m:oMath>
        <m:r>
          <m:t>μ</m:t>
        </m:r>
      </m:oMath>
      <w:r>
        <w:t xml:space="preserve"> </w:t>
      </w:r>
      <w:r>
        <w:t xml:space="preserve">is the average number of jobs one server can complete per second when it is never idle, so the average</w:t>
      </w:r>
      <w:r>
        <w:t xml:space="preserve"> </w:t>
      </w:r>
      <w:r>
        <w:rPr>
          <w:bCs/>
          <w:b/>
        </w:rPr>
        <w:t xml:space="preserve">service time</w:t>
      </w:r>
      <w:r>
        <w:t xml:space="preserve"> </w:t>
      </w:r>
      <w:r>
        <w:t xml:space="preserve">is</w:t>
      </w:r>
      <w:r>
        <w:t xml:space="preserve"> </w:t>
      </w:r>
      <m:oMath>
        <m:r>
          <m:t>S</m:t>
        </m:r>
        <m:r>
          <m:rPr>
            <m:sty m:val="p"/>
          </m:rPr>
          <m:t>=</m:t>
        </m:r>
        <m:r>
          <m:t>1</m:t>
        </m:r>
        <m:r>
          <m:rPr>
            <m:sty m:val="p"/>
          </m:rPr>
          <m:t>/</m:t>
        </m:r>
        <m:r>
          <m:t>μ</m:t>
        </m:r>
      </m:oMath>
      <w:r>
        <w:t xml:space="preserve">.</w:t>
      </w:r>
    </w:p>
    <w:bookmarkStart w:id="386" w:name="first-principles-explanation-26"/>
    <w:p>
      <w:pPr>
        <w:pStyle w:val="Heading4"/>
      </w:pPr>
      <w:r>
        <w:t xml:space="preserve">First-principles explanation</w:t>
      </w:r>
    </w:p>
    <w:p>
      <w:pPr>
        <w:pStyle w:val="FirstParagraph"/>
      </w:pPr>
      <w:r>
        <w:t xml:space="preserve">Picture a supermarket checkout. Customers arrive at random and take a random time to serve. When the cashier is idle half the time, a queue rarely forms; when the cashier is busy 95% of the time, a long queue is routine, although the cashier is not technically overloaded.</w:t>
      </w:r>
      <w:r>
        <w:t xml:space="preserve"> </w:t>
      </w:r>
      <w:r>
        <w:rPr>
          <w:bCs/>
          <w:b/>
        </w:rPr>
        <w:t xml:space="preserve">Waiting is caused by variability, and its effect grows without bound as utilization approaches 100%.</w:t>
      </w:r>
      <w:r>
        <w:t xml:space="preserve"> </w:t>
      </w:r>
      <w:r>
        <w:t xml:space="preserve">With perfectly regular arrivals and service, a cashier at 99% would never have a queue. Every CPU core, disk, thread, connection and network link in a design is a checkout.</w:t>
      </w:r>
    </w:p>
    <w:bookmarkEnd w:id="386"/>
    <w:bookmarkStart w:id="387" w:name="why-does-this-exist-19"/>
    <w:p>
      <w:pPr>
        <w:pStyle w:val="Heading4"/>
      </w:pPr>
      <w:r>
        <w:t xml:space="preserve">Why does this exist?</w:t>
      </w:r>
    </w:p>
    <w:p>
      <w:pPr>
        <w:pStyle w:val="FirstParagraph"/>
      </w:pPr>
      <w:r>
        <w:t xml:space="preserve">Capacity plans that ignore queueing assume a server at 90% utilization performs like one at 50%. It does not. Queueing theory, begun by Erlang for telephone exchanges and developed for computer systems from the 1960s onward [Kleinrock 1975; Harchol-Balter 2013], quantifies how much worse it is.</w:t>
      </w:r>
    </w:p>
    <w:p>
      <w:pPr>
        <w:pStyle w:val="BodyText"/>
      </w:pPr>
      <w:r>
        <w:rPr>
          <w:bCs/>
          <w:b/>
        </w:rPr>
        <w:t xml:space="preserve">Kendall notation</w:t>
      </w:r>
      <w:r>
        <w:t xml:space="preserve"> </w:t>
      </w:r>
      <w:r>
        <w:t xml:space="preserve">names queue models as A/S/c: arrival process / service-time distribution / number of servers.</w:t>
      </w:r>
      <w:r>
        <w:t xml:space="preserve"> </w:t>
      </w:r>
      <w:r>
        <w:t xml:space="preserve">“</w:t>
      </w:r>
      <w:r>
        <w:t xml:space="preserve">M</w:t>
      </w:r>
      <w:r>
        <w:t xml:space="preserve">”</w:t>
      </w:r>
      <w:r>
        <w:t xml:space="preserve"> </w:t>
      </w:r>
      <w:r>
        <w:t xml:space="preserve">stands for</w:t>
      </w:r>
      <w:r>
        <w:t xml:space="preserve"> </w:t>
      </w:r>
      <w:r>
        <w:rPr>
          <w:iCs/>
          <w:i/>
        </w:rPr>
        <w:t xml:space="preserve">Markovian</w:t>
      </w:r>
      <w:r>
        <w:t xml:space="preserve"> </w:t>
      </w:r>
      <w:r>
        <w:t xml:space="preserve">(memoryless): Poisson arrivals, meaning exponentially distributed gaps between arrivals (§4.7.2), or exponentially distributed service times.</w:t>
      </w:r>
      <w:r>
        <w:t xml:space="preserve"> </w:t>
      </w:r>
      <w:r>
        <w:rPr>
          <w:bCs/>
          <w:b/>
        </w:rPr>
        <w:t xml:space="preserve">M/M/1</w:t>
      </w:r>
      <w:r>
        <w:t xml:space="preserve"> </w:t>
      </w:r>
      <w:r>
        <w:t xml:space="preserve">is the simplest model: random arrivals, random service, one server, first-come-first-served, unlimited queue.</w:t>
      </w:r>
    </w:p>
    <w:bookmarkEnd w:id="387"/>
    <w:bookmarkEnd w:id="388"/>
    <w:bookmarkStart w:id="392" w:name="the-mm1-queue"/>
    <w:p>
      <w:pPr>
        <w:pStyle w:val="Heading3"/>
      </w:pPr>
      <w:r>
        <w:t xml:space="preserve">4.10.2 The M/M/1 queue</w:t>
      </w:r>
    </w:p>
    <w:p>
      <w:pPr>
        <w:pStyle w:val="FirstParagraph"/>
      </w:pPr>
      <w:r>
        <w:rPr>
          <w:bCs/>
          <w:b/>
        </w:rPr>
        <w:t xml:space="preserve">Figure 4.3 — The M/M/1 queue.</w:t>
      </w:r>
    </w:p>
    <w:p>
      <w:pPr>
        <w:pStyle w:val="BodyText"/>
      </w:pPr>
      <w:r>
        <w:drawing>
          <wp:inline>
            <wp:extent cx="5334000" cy="356697"/>
            <wp:effectExtent b="0" l="0" r="0" t="0"/>
            <wp:docPr descr="" title="" id="390" name="Picture"/>
            <a:graphic>
              <a:graphicData uri="http://schemas.openxmlformats.org/drawingml/2006/picture">
                <pic:pic>
                  <pic:nvPicPr>
                    <pic:cNvPr descr="/home/user/System-Design/build/.cache/diagrams/38d20359e4c2.png" id="391" name="Picture"/>
                    <pic:cNvPicPr>
                      <a:picLocks noChangeArrowheads="1" noChangeAspect="1"/>
                    </pic:cNvPicPr>
                  </pic:nvPicPr>
                  <pic:blipFill>
                    <a:blip r:embed="rId389"/>
                    <a:stretch>
                      <a:fillRect/>
                    </a:stretch>
                  </pic:blipFill>
                  <pic:spPr bwMode="auto">
                    <a:xfrm>
                      <a:off x="0" y="0"/>
                      <a:ext cx="5334000" cy="356697"/>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Jobs flow left to right. Arrivals come from many independent clients at average rate</w:t>
      </w:r>
      <w:r>
        <w:t xml:space="preserve"> </w:t>
      </w:r>
      <m:oMath>
        <m:r>
          <m:t>λ</m:t>
        </m:r>
      </m:oMath>
      <w:r>
        <w:t xml:space="preserve"> </w:t>
      </w:r>
      <w:r>
        <w:t xml:space="preserve">(requests/s); the queue (subroutine shape) is a buffer, typically in memory, with no limit in this model; the single server processes one job at a time at average rate</w:t>
      </w:r>
      <w:r>
        <w:t xml:space="preserve"> </w:t>
      </w:r>
      <m:oMath>
        <m:r>
          <m:t>μ</m:t>
        </m:r>
      </m:oMath>
      <w:r>
        <w:t xml:space="preserve">. In steady state, departures equal arrivals (</w:t>
      </w:r>
      <m:oMath>
        <m:r>
          <m:t>λ</m:t>
        </m:r>
      </m:oMath>
      <w:r>
        <w:t xml:space="preserve">), so throughput is set by demand, not by the server, as long as</w:t>
      </w:r>
      <w:r>
        <w:t xml:space="preserve"> </w:t>
      </w:r>
      <m:oMath>
        <m:r>
          <m:t>λ</m:t>
        </m:r>
        <m:r>
          <m:rPr>
            <m:sty m:val="p"/>
          </m:rPr>
          <m:t>&lt;</m:t>
        </m:r>
        <m:r>
          <m:t>μ</m:t>
        </m:r>
      </m:oMath>
      <w:r>
        <w:t xml:space="preserve">. The failure point is the queue itself: if</w:t>
      </w:r>
      <w:r>
        <w:t xml:space="preserve"> </w:t>
      </w:r>
      <m:oMath>
        <m:r>
          <m:t>λ</m:t>
        </m:r>
        <m:r>
          <m:rPr>
            <m:sty m:val="p"/>
          </m:rPr>
          <m:t>≥</m:t>
        </m:r>
        <m:r>
          <m:t>μ</m:t>
        </m:r>
      </m:oMath>
      <w:r>
        <w:t xml:space="preserve"> </w:t>
      </w:r>
      <w:r>
        <w:t xml:space="preserve">it grows without bound until memory or timeouts intervene. Scaling options are a faster server (raise</w:t>
      </w:r>
      <w:r>
        <w:t xml:space="preserve"> </w:t>
      </w:r>
      <m:oMath>
        <m:r>
          <m:t>μ</m:t>
        </m:r>
      </m:oMath>
      <w:r>
        <w:t xml:space="preserve">), more servers (M/M/c, §4.10.4) or less demand (caching, load shedding).</w:t>
      </w:r>
    </w:p>
    <w:p>
      <w:pPr>
        <w:pStyle w:val="CalloutFormula"/>
      </w:pPr>
      <w:r>
        <w:rPr>
          <w:bCs/>
          <w:b/>
        </w:rPr>
        <w:t xml:space="preserve">FORMULA</w:t>
      </w:r>
    </w:p>
    <w:p>
      <w:pPr>
        <w:pStyle w:val="CalloutFormula"/>
      </w:pPr>
      <w:r>
        <w:rPr>
          <w:bCs/>
          <w:b/>
        </w:rPr>
        <w:t xml:space="preserve">M/M/1 results</w:t>
      </w:r>
    </w:p>
    <w:p>
      <w:pPr>
        <w:pStyle w:val="CalloutFormula"/>
      </w:pPr>
      <m:oMathPara>
        <m:oMathParaPr>
          <m:jc m:val="center"/>
        </m:oMathParaPr>
        <m:oMath>
          <m:r>
            <m:t>ρ</m:t>
          </m:r>
          <m:r>
            <m:rPr>
              <m:sty m:val="p"/>
            </m:rPr>
            <m:t>=</m:t>
          </m:r>
          <m:f>
            <m:fPr>
              <m:type m:val="bar"/>
            </m:fPr>
            <m:num>
              <m:r>
                <m:t>λ</m:t>
              </m:r>
            </m:num>
            <m:den>
              <m:r>
                <m:t>μ</m:t>
              </m:r>
            </m:den>
          </m:f>
          <m:r>
            <m:t>  </m:t>
          </m:r>
          <m:r>
            <m:t>W</m:t>
          </m:r>
          <m:r>
            <m:rPr>
              <m:sty m:val="p"/>
            </m:rPr>
            <m:t>=</m:t>
          </m:r>
          <m:f>
            <m:fPr>
              <m:type m:val="bar"/>
            </m:fPr>
            <m:num>
              <m:r>
                <m:t>1</m:t>
              </m:r>
            </m:num>
            <m:den>
              <m:r>
                <m:t>μ</m:t>
              </m:r>
              <m:r>
                <m:rPr>
                  <m:sty m:val="p"/>
                </m:rPr>
                <m:t>−</m:t>
              </m:r>
              <m:r>
                <m:t>λ</m:t>
              </m:r>
            </m:den>
          </m:f>
          <m:r>
            <m:rPr>
              <m:sty m:val="p"/>
            </m:rPr>
            <m:t>=</m:t>
          </m:r>
          <m:f>
            <m:fPr>
              <m:type m:val="bar"/>
            </m:fPr>
            <m:num>
              <m:r>
                <m:t>S</m:t>
              </m:r>
            </m:num>
            <m:den>
              <m:r>
                <m:t>1</m:t>
              </m:r>
              <m:r>
                <m:rPr>
                  <m:sty m:val="p"/>
                </m:rPr>
                <m:t>−</m:t>
              </m:r>
              <m:r>
                <m:t>ρ</m:t>
              </m:r>
            </m:den>
          </m:f>
          <m:r>
            <m:t>  </m:t>
          </m:r>
          <m:sSub>
            <m:e>
              <m:r>
                <m:t>W</m:t>
              </m:r>
            </m:e>
            <m:sub>
              <m:r>
                <m:t>q</m:t>
              </m:r>
            </m:sub>
          </m:sSub>
          <m:r>
            <m:rPr>
              <m:sty m:val="p"/>
            </m:rPr>
            <m:t>=</m:t>
          </m:r>
          <m:f>
            <m:fPr>
              <m:type m:val="bar"/>
            </m:fPr>
            <m:num>
              <m:r>
                <m:t>ρ</m:t>
              </m:r>
            </m:num>
            <m:den>
              <m:r>
                <m:t>μ</m:t>
              </m:r>
              <m:r>
                <m:rPr>
                  <m:sty m:val="p"/>
                </m:rPr>
                <m:t>−</m:t>
              </m:r>
              <m:r>
                <m:t>λ</m:t>
              </m:r>
            </m:den>
          </m:f>
          <m:r>
            <m:t>  </m:t>
          </m:r>
          <m:r>
            <m:t>L</m:t>
          </m:r>
          <m:r>
            <m:rPr>
              <m:sty m:val="p"/>
            </m:rPr>
            <m:t>=</m:t>
          </m:r>
          <m:f>
            <m:fPr>
              <m:type m:val="bar"/>
            </m:fPr>
            <m:num>
              <m:r>
                <m:t>ρ</m:t>
              </m:r>
            </m:num>
            <m:den>
              <m:r>
                <m:t>1</m:t>
              </m:r>
              <m:r>
                <m:rPr>
                  <m:sty m:val="p"/>
                </m:rPr>
                <m:t>−</m:t>
              </m:r>
              <m:r>
                <m:t>ρ</m:t>
              </m:r>
            </m:den>
          </m:f>
          <m:r>
            <m:t>  </m:t>
          </m:r>
          <m:sSub>
            <m:e>
              <m:r>
                <m:t>L</m:t>
              </m:r>
            </m:e>
            <m:sub>
              <m:r>
                <m:t>q</m:t>
              </m:r>
            </m:sub>
          </m:sSub>
          <m:r>
            <m:rPr>
              <m:sty m:val="p"/>
            </m:rPr>
            <m:t>=</m:t>
          </m:r>
          <m:f>
            <m:fPr>
              <m:type m:val="bar"/>
            </m:fPr>
            <m:num>
              <m:sSup>
                <m:e>
                  <m:r>
                    <m:t>ρ</m:t>
                  </m:r>
                </m:e>
                <m:sup>
                  <m:r>
                    <m:t>2</m:t>
                  </m:r>
                </m:sup>
              </m:sSup>
            </m:num>
            <m:den>
              <m:r>
                <m:t>1</m:t>
              </m:r>
              <m:r>
                <m:rPr>
                  <m:sty m:val="p"/>
                </m:rPr>
                <m:t>−</m:t>
              </m:r>
              <m:r>
                <m:t>ρ</m:t>
              </m:r>
            </m:den>
          </m:f>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λ</m:t>
              </m:r>
            </m:oMath>
          </w:p>
        </w:tc>
        <w:tc>
          <w:tcPr/>
          <w:p>
            <w:pPr>
              <w:pStyle w:val="Compact"/>
              <w:jc w:val="left"/>
            </w:pPr>
            <w:r>
              <w:t xml:space="preserve">Average arrival rate</w:t>
            </w:r>
          </w:p>
        </w:tc>
        <w:tc>
          <w:tcPr/>
          <w:p>
            <w:pPr>
              <w:pStyle w:val="Compact"/>
              <w:jc w:val="left"/>
            </w:pPr>
            <w:r>
              <w:t xml:space="preserve">jobs/second</w:t>
            </w:r>
          </w:p>
        </w:tc>
      </w:tr>
      <w:tr>
        <w:tc>
          <w:tcPr/>
          <w:p>
            <w:pPr>
              <w:pStyle w:val="Compact"/>
              <w:jc w:val="left"/>
            </w:pPr>
            <m:oMath>
              <m:r>
                <m:t>μ</m:t>
              </m:r>
            </m:oMath>
          </w:p>
        </w:tc>
        <w:tc>
          <w:tcPr/>
          <w:p>
            <w:pPr>
              <w:pStyle w:val="Compact"/>
              <w:jc w:val="left"/>
            </w:pPr>
            <w:r>
              <w:t xml:space="preserve">Average service rate of the server</w:t>
            </w:r>
          </w:p>
        </w:tc>
        <w:tc>
          <w:tcPr/>
          <w:p>
            <w:pPr>
              <w:pStyle w:val="Compact"/>
              <w:jc w:val="left"/>
            </w:pPr>
            <w:r>
              <w:t xml:space="preserve">jobs/second</w:t>
            </w:r>
          </w:p>
        </w:tc>
      </w:tr>
      <w:tr>
        <w:tc>
          <w:tcPr/>
          <w:p>
            <w:pPr>
              <w:pStyle w:val="Compact"/>
              <w:jc w:val="left"/>
            </w:pPr>
            <m:oMath>
              <m:r>
                <m:t>S</m:t>
              </m:r>
              <m:r>
                <m:rPr>
                  <m:sty m:val="p"/>
                </m:rPr>
                <m:t>=</m:t>
              </m:r>
              <m:r>
                <m:t>1</m:t>
              </m:r>
              <m:r>
                <m:rPr>
                  <m:sty m:val="p"/>
                </m:rPr>
                <m:t>/</m:t>
              </m:r>
              <m:r>
                <m:t>μ</m:t>
              </m:r>
            </m:oMath>
          </w:p>
        </w:tc>
        <w:tc>
          <w:tcPr/>
          <w:p>
            <w:pPr>
              <w:pStyle w:val="Compact"/>
              <w:jc w:val="left"/>
            </w:pPr>
            <w:r>
              <w:t xml:space="preserve">Average service time</w:t>
            </w:r>
          </w:p>
        </w:tc>
        <w:tc>
          <w:tcPr/>
          <w:p>
            <w:pPr>
              <w:pStyle w:val="Compact"/>
              <w:jc w:val="left"/>
            </w:pPr>
            <w:r>
              <w:t xml:space="preserve">seconds</w:t>
            </w:r>
          </w:p>
        </w:tc>
      </w:tr>
      <w:tr>
        <w:tc>
          <w:tcPr/>
          <w:p>
            <w:pPr>
              <w:pStyle w:val="Compact"/>
              <w:jc w:val="left"/>
            </w:pPr>
            <m:oMath>
              <m:r>
                <m:t>ρ</m:t>
              </m:r>
            </m:oMath>
          </w:p>
        </w:tc>
        <w:tc>
          <w:tcPr/>
          <w:p>
            <w:pPr>
              <w:pStyle w:val="Compact"/>
              <w:jc w:val="left"/>
            </w:pPr>
            <w:r>
              <w:t xml:space="preserve">Utilization: fraction of time the server is busy (must be</w:t>
            </w:r>
            <w:r>
              <w:t xml:space="preserve"> </w:t>
            </w:r>
            <m:oMath>
              <m:r>
                <m:rPr>
                  <m:sty m:val="p"/>
                </m:rPr>
                <m:t>&lt;</m:t>
              </m:r>
              <m:r>
                <m:t>1</m:t>
              </m:r>
            </m:oMath>
            <w:r>
              <w:t xml:space="preserve">)</w:t>
            </w:r>
          </w:p>
        </w:tc>
        <w:tc>
          <w:tcPr/>
          <w:p>
            <w:pPr>
              <w:pStyle w:val="Compact"/>
              <w:jc w:val="left"/>
            </w:pPr>
            <w:r>
              <w:t xml:space="preserve">dimensionless</w:t>
            </w:r>
          </w:p>
        </w:tc>
      </w:tr>
      <w:tr>
        <w:tc>
          <w:tcPr/>
          <w:p>
            <w:pPr>
              <w:pStyle w:val="Compact"/>
              <w:jc w:val="left"/>
            </w:pPr>
            <m:oMath>
              <m:r>
                <m:t>W</m:t>
              </m:r>
            </m:oMath>
          </w:p>
        </w:tc>
        <w:tc>
          <w:tcPr/>
          <w:p>
            <w:pPr>
              <w:pStyle w:val="Compact"/>
              <w:jc w:val="left"/>
            </w:pPr>
            <w:r>
              <w:t xml:space="preserve">Average time in system (waiting + service), i.e. response time</w:t>
            </w:r>
          </w:p>
        </w:tc>
        <w:tc>
          <w:tcPr/>
          <w:p>
            <w:pPr>
              <w:pStyle w:val="Compact"/>
              <w:jc w:val="left"/>
            </w:pPr>
            <w:r>
              <w:t xml:space="preserve">seconds</w:t>
            </w:r>
          </w:p>
        </w:tc>
      </w:tr>
      <w:tr>
        <w:tc>
          <w:tcPr/>
          <w:p>
            <w:pPr>
              <w:pStyle w:val="Compact"/>
              <w:jc w:val="left"/>
            </w:pPr>
            <m:oMath>
              <m:sSub>
                <m:e>
                  <m:r>
                    <m:t>W</m:t>
                  </m:r>
                </m:e>
                <m:sub>
                  <m:r>
                    <m:t>q</m:t>
                  </m:r>
                </m:sub>
              </m:sSub>
            </m:oMath>
          </w:p>
        </w:tc>
        <w:tc>
          <w:tcPr/>
          <w:p>
            <w:pPr>
              <w:pStyle w:val="Compact"/>
              <w:jc w:val="left"/>
            </w:pPr>
            <w:r>
              <w:t xml:space="preserve">Average time waiting in the queue before service starts</w:t>
            </w:r>
          </w:p>
        </w:tc>
        <w:tc>
          <w:tcPr/>
          <w:p>
            <w:pPr>
              <w:pStyle w:val="Compact"/>
              <w:jc w:val="left"/>
            </w:pPr>
            <w:r>
              <w:t xml:space="preserve">seconds</w:t>
            </w:r>
          </w:p>
        </w:tc>
      </w:tr>
      <w:tr>
        <w:tc>
          <w:tcPr/>
          <w:p>
            <w:pPr>
              <w:pStyle w:val="Compact"/>
              <w:jc w:val="left"/>
            </w:pPr>
            <m:oMath>
              <m:r>
                <m:t>L</m:t>
              </m:r>
            </m:oMath>
          </w:p>
        </w:tc>
        <w:tc>
          <w:tcPr/>
          <w:p>
            <w:pPr>
              <w:pStyle w:val="Compact"/>
              <w:jc w:val="left"/>
            </w:pPr>
            <w:r>
              <w:t xml:space="preserve">Average number of jobs in the system</w:t>
            </w:r>
          </w:p>
        </w:tc>
        <w:tc>
          <w:tcPr/>
          <w:p>
            <w:pPr>
              <w:pStyle w:val="Compact"/>
              <w:jc w:val="left"/>
            </w:pPr>
            <w:r>
              <w:t xml:space="preserve">jobs</w:t>
            </w:r>
          </w:p>
        </w:tc>
      </w:tr>
      <w:tr>
        <w:tc>
          <w:tcPr/>
          <w:p>
            <w:pPr>
              <w:pStyle w:val="Compact"/>
              <w:jc w:val="left"/>
            </w:pPr>
            <m:oMath>
              <m:sSub>
                <m:e>
                  <m:r>
                    <m:t>L</m:t>
                  </m:r>
                </m:e>
                <m:sub>
                  <m:r>
                    <m:t>q</m:t>
                  </m:r>
                </m:sub>
              </m:sSub>
            </m:oMath>
          </w:p>
        </w:tc>
        <w:tc>
          <w:tcPr/>
          <w:p>
            <w:pPr>
              <w:pStyle w:val="Compact"/>
              <w:jc w:val="left"/>
            </w:pPr>
            <w:r>
              <w:t xml:space="preserve">Average number of jobs waiting in the queue</w:t>
            </w:r>
          </w:p>
        </w:tc>
        <w:tc>
          <w:tcPr/>
          <w:p>
            <w:pPr>
              <w:pStyle w:val="Compact"/>
              <w:jc w:val="left"/>
            </w:pPr>
            <w:r>
              <w:t xml:space="preserve">jobs</w:t>
            </w:r>
          </w:p>
        </w:tc>
      </w:tr>
    </w:tbl>
    <w:p>
      <w:pPr>
        <w:pStyle w:val="BodyText"/>
      </w:pPr>
      <w:r>
        <w:rPr>
          <w:bCs/>
          <w:b/>
        </w:rPr>
        <w:t xml:space="preserve">Derivation sketch.</w:t>
      </w:r>
      <w:r>
        <w:t xml:space="preserve"> </w:t>
      </w:r>
      <w:r>
        <w:t xml:space="preserve">Because arrivals are memoryless, the number of jobs in the system behaves like a random walk that steps up at rate</w:t>
      </w:r>
      <w:r>
        <w:t xml:space="preserve"> </w:t>
      </w:r>
      <m:oMath>
        <m:r>
          <m:t>λ</m:t>
        </m:r>
      </m:oMath>
      <w:r>
        <w:t xml:space="preserve"> </w:t>
      </w:r>
      <w:r>
        <w:t xml:space="preserve">and down at rate</w:t>
      </w:r>
      <w:r>
        <w:t xml:space="preserve"> </w:t>
      </w:r>
      <m:oMath>
        <m:r>
          <m:t>μ</m:t>
        </m:r>
      </m:oMath>
      <w:r>
        <w:t xml:space="preserve">. Balancing the flow between neighboring states gives</w:t>
      </w:r>
      <w:r>
        <w:t xml:space="preserve"> </w:t>
      </w:r>
      <m:oMath>
        <m:r>
          <m:t>P</m:t>
        </m:r>
        <m:d>
          <m:dPr>
            <m:begChr m:val="("/>
            <m:endChr m:val=")"/>
            <m:sepChr m:val=""/>
            <m:grow/>
          </m:dPr>
          <m:e>
            <m:r>
              <m:t>n</m:t>
            </m:r>
            <m:r>
              <m:rPr>
                <m:nor/>
                <m:sty m:val="p"/>
              </m:rPr>
              <m:t> jobs</m:t>
            </m:r>
          </m:e>
        </m:d>
        <m:r>
          <m:rPr>
            <m:sty m:val="p"/>
          </m:rPr>
          <m:t>=</m:t>
        </m:r>
        <m:d>
          <m:dPr>
            <m:begChr m:val="("/>
            <m:endChr m:val=")"/>
            <m:sepChr m:val=""/>
            <m:grow/>
          </m:dPr>
          <m:e>
            <m:r>
              <m:t>1</m:t>
            </m:r>
            <m:r>
              <m:rPr>
                <m:sty m:val="p"/>
              </m:rPr>
              <m:t>−</m:t>
            </m:r>
            <m:r>
              <m:t>ρ</m:t>
            </m:r>
          </m:e>
        </m:d>
        <m:sSup>
          <m:e>
            <m:r>
              <m:t>ρ</m:t>
            </m:r>
          </m:e>
          <m:sup>
            <m:r>
              <m:t>n</m:t>
            </m:r>
          </m:sup>
        </m:sSup>
      </m:oMath>
      <w:r>
        <w:t xml:space="preserve">, a geometric distribution. Its mean is</w:t>
      </w:r>
      <w:r>
        <w:t xml:space="preserve"> </w:t>
      </w:r>
      <m:oMath>
        <m:r>
          <m:t>L</m:t>
        </m:r>
        <m:r>
          <m:rPr>
            <m:sty m:val="p"/>
          </m:rPr>
          <m:t>=</m:t>
        </m:r>
        <m:r>
          <m:t>ρ</m:t>
        </m:r>
        <m:r>
          <m:rPr>
            <m:sty m:val="p"/>
          </m:rPr>
          <m:t>/</m:t>
        </m:r>
        <m:d>
          <m:dPr>
            <m:begChr m:val="("/>
            <m:endChr m:val=")"/>
            <m:sepChr m:val=""/>
            <m:grow/>
          </m:dPr>
          <m:e>
            <m:r>
              <m:t>1</m:t>
            </m:r>
            <m:r>
              <m:rPr>
                <m:sty m:val="p"/>
              </m:rPr>
              <m:t>−</m:t>
            </m:r>
            <m:r>
              <m:t>ρ</m:t>
            </m:r>
          </m:e>
        </m:d>
      </m:oMath>
      <w:r>
        <w:t xml:space="preserve">. Little’s Law (§4.11) then gives</w:t>
      </w:r>
      <w:r>
        <w:t xml:space="preserve"> </w:t>
      </w:r>
      <m:oMath>
        <m:r>
          <m:t>W</m:t>
        </m:r>
        <m:r>
          <m:rPr>
            <m:sty m:val="p"/>
          </m:rPr>
          <m:t>=</m:t>
        </m:r>
        <m:r>
          <m:t>L</m:t>
        </m:r>
        <m:r>
          <m:rPr>
            <m:sty m:val="p"/>
          </m:rPr>
          <m:t>/</m:t>
        </m:r>
        <m:r>
          <m:t>λ</m:t>
        </m:r>
        <m:r>
          <m:rPr>
            <m:sty m:val="p"/>
          </m:rPr>
          <m:t>=</m:t>
        </m:r>
        <m:r>
          <m:t>1</m:t>
        </m:r>
        <m:r>
          <m:rPr>
            <m:sty m:val="p"/>
          </m:rPr>
          <m:t>/</m:t>
        </m:r>
        <m:d>
          <m:dPr>
            <m:begChr m:val="("/>
            <m:endChr m:val=")"/>
            <m:sepChr m:val=""/>
            <m:grow/>
          </m:dPr>
          <m:e>
            <m:r>
              <m:t>μ</m:t>
            </m:r>
            <m:r>
              <m:rPr>
                <m:sty m:val="p"/>
              </m:rPr>
              <m:t>−</m:t>
            </m:r>
            <m:r>
              <m:t>λ</m:t>
            </m:r>
          </m:e>
        </m:d>
      </m:oMath>
      <w:r>
        <w:t xml:space="preserve">. A further useful fact: in M/M/1 the response time itself is exponentially distributed with rate</w:t>
      </w:r>
      <w:r>
        <w:t xml:space="preserve"> </w:t>
      </w:r>
      <m:oMath>
        <m:r>
          <m:t>μ</m:t>
        </m:r>
        <m:r>
          <m:rPr>
            <m:sty m:val="p"/>
          </m:rPr>
          <m:t>−</m:t>
        </m:r>
        <m:r>
          <m:t>λ</m:t>
        </m:r>
      </m:oMath>
      <w:r>
        <w:t xml:space="preserve">, so its</w:t>
      </w:r>
      <w:r>
        <w:t xml:space="preserve"> </w:t>
      </w:r>
      <m:oMath>
        <m:r>
          <m:t>q</m:t>
        </m:r>
      </m:oMath>
      <w:r>
        <w:t xml:space="preserve">-th percentile is</w:t>
      </w:r>
      <w:r>
        <w:t xml:space="preserve"> </w:t>
      </w:r>
      <m:oMath>
        <m:r>
          <m:t>W</m:t>
        </m:r>
        <m:r>
          <m:rPr>
            <m:sty m:val="p"/>
          </m:rPr>
          <m:t>×</m:t>
        </m:r>
        <m:r>
          <m:rPr>
            <m:sty m:val="p"/>
          </m:rPr>
          <m:t>ln</m:t>
        </m:r>
        <m:f>
          <m:fPr>
            <m:type m:val="bar"/>
          </m:fPr>
          <m:num>
            <m:r>
              <m:t>1</m:t>
            </m:r>
          </m:num>
          <m:den>
            <m:r>
              <m:t>1</m:t>
            </m:r>
            <m:r>
              <m:rPr>
                <m:sty m:val="p"/>
              </m:rPr>
              <m:t>−</m:t>
            </m:r>
            <m:r>
              <m:t>q</m:t>
            </m:r>
          </m:den>
        </m:f>
      </m:oMath>
      <w:r>
        <w:t xml:space="preserve">; the p99 is</w:t>
      </w:r>
      <w:r>
        <w:t xml:space="preserve"> </w:t>
      </w:r>
      <m:oMath>
        <m:r>
          <m:t>W</m:t>
        </m:r>
        <m:r>
          <m:rPr>
            <m:sty m:val="p"/>
          </m:rPr>
          <m:t>×</m:t>
        </m:r>
        <m:r>
          <m:rPr>
            <m:sty m:val="p"/>
          </m:rPr>
          <m:t>ln</m:t>
        </m:r>
        <m:r>
          <m:t>100</m:t>
        </m:r>
        <m:r>
          <m:rPr>
            <m:sty m:val="p"/>
          </m:rPr>
          <m:t>=</m:t>
        </m:r>
        <m:r>
          <m:t>4.6</m:t>
        </m:r>
        <m:r>
          <m:t> </m:t>
        </m:r>
        <m:r>
          <m:t>W</m:t>
        </m:r>
      </m:oMath>
      <w:r>
        <w:t xml:space="preserve"> </w:t>
      </w:r>
      <w:r>
        <w:t xml:space="preserve">[Harchol-Balter 2013].</w:t>
      </w:r>
    </w:p>
    <w:p>
      <w:pPr>
        <w:pStyle w:val="CalloutExample"/>
      </w:pPr>
      <w:r>
        <w:rPr>
          <w:bCs/>
          <w:b/>
        </w:rPr>
        <w:t xml:space="preserve">WORKED EXAMPLE</w:t>
      </w:r>
    </w:p>
    <w:p>
      <w:pPr>
        <w:pStyle w:val="CalloutExample"/>
      </w:pPr>
      <w:r>
        <w:rPr>
          <w:bCs/>
          <w:b/>
        </w:rPr>
        <w:t xml:space="preserve">Worked example — One server at increasing load.</w:t>
      </w:r>
      <w:r>
        <w:t xml:space="preserve"> </w:t>
      </w:r>
      <w:r>
        <w:t xml:space="preserve">A service handles requests in 10 ms on average (</w:t>
      </w:r>
      <m:oMath>
        <m:r>
          <m:t>μ</m:t>
        </m:r>
        <m:r>
          <m:rPr>
            <m:sty m:val="p"/>
          </m:rPr>
          <m:t>=</m:t>
        </m:r>
        <m:r>
          <m:t>100</m:t>
        </m:r>
      </m:oMath>
      <w:r>
        <w:t xml:space="preserve">/s).</w:t>
      </w:r>
    </w:p>
    <w:p>
      <w:pPr>
        <w:numPr>
          <w:ilvl w:val="0"/>
          <w:numId w:val="1108"/>
        </w:numPr>
        <w:pStyle w:val="Compact"/>
      </w:pPr>
      <w:r>
        <w:t xml:space="preserve">At</w:t>
      </w:r>
      <w:r>
        <w:t xml:space="preserve"> </w:t>
      </w:r>
      <m:oMath>
        <m:r>
          <m:t>λ</m:t>
        </m:r>
        <m:r>
          <m:rPr>
            <m:sty m:val="p"/>
          </m:rPr>
          <m:t>=</m:t>
        </m:r>
        <m:r>
          <m:t>50</m:t>
        </m:r>
      </m:oMath>
      <w:r>
        <w:t xml:space="preserve">/s:</w:t>
      </w:r>
      <w:r>
        <w:t xml:space="preserve"> </w:t>
      </w:r>
      <m:oMath>
        <m:r>
          <m:t>ρ</m:t>
        </m:r>
        <m:r>
          <m:rPr>
            <m:sty m:val="p"/>
          </m:rPr>
          <m:t>=</m:t>
        </m:r>
        <m:r>
          <m:t>0.5</m:t>
        </m:r>
      </m:oMath>
      <w:r>
        <w:t xml:space="preserve">;</w:t>
      </w:r>
      <w:r>
        <w:t xml:space="preserve"> </w:t>
      </w:r>
      <m:oMath>
        <m:r>
          <m:t>W</m:t>
        </m:r>
        <m:r>
          <m:rPr>
            <m:sty m:val="p"/>
          </m:rPr>
          <m:t>=</m:t>
        </m:r>
        <m:r>
          <m:t>1</m:t>
        </m:r>
        <m:r>
          <m:rPr>
            <m:sty m:val="p"/>
          </m:rPr>
          <m:t>/</m:t>
        </m:r>
        <m:d>
          <m:dPr>
            <m:begChr m:val="("/>
            <m:endChr m:val=")"/>
            <m:sepChr m:val=""/>
            <m:grow/>
          </m:dPr>
          <m:e>
            <m:r>
              <m:t>100</m:t>
            </m:r>
            <m:r>
              <m:rPr>
                <m:sty m:val="p"/>
              </m:rPr>
              <m:t>−</m:t>
            </m:r>
            <m:r>
              <m:t>50</m:t>
            </m:r>
          </m:e>
        </m:d>
        <m:r>
          <m:rPr>
            <m:sty m:val="p"/>
          </m:rPr>
          <m:t>=</m:t>
        </m:r>
        <m:r>
          <m:t>0.020</m:t>
        </m:r>
      </m:oMath>
      <w:r>
        <w:t xml:space="preserve"> </w:t>
      </w:r>
      <w:r>
        <w:t xml:space="preserve">s = 20 ms;</w:t>
      </w:r>
      <w:r>
        <w:t xml:space="preserve"> </w:t>
      </w:r>
      <m:oMath>
        <m:r>
          <m:t>L</m:t>
        </m:r>
        <m:r>
          <m:rPr>
            <m:sty m:val="p"/>
          </m:rPr>
          <m:t>=</m:t>
        </m:r>
        <m:r>
          <m:t>0.5</m:t>
        </m:r>
        <m:r>
          <m:rPr>
            <m:sty m:val="p"/>
          </m:rPr>
          <m:t>/</m:t>
        </m:r>
        <m:r>
          <m:t>0.5</m:t>
        </m:r>
        <m:r>
          <m:rPr>
            <m:sty m:val="p"/>
          </m:rPr>
          <m:t>=</m:t>
        </m:r>
        <m:r>
          <m:t>1</m:t>
        </m:r>
      </m:oMath>
      <w:r>
        <w:t xml:space="preserve"> </w:t>
      </w:r>
      <w:r>
        <w:t xml:space="preserve">request.</w:t>
      </w:r>
    </w:p>
    <w:p>
      <w:pPr>
        <w:numPr>
          <w:ilvl w:val="0"/>
          <w:numId w:val="1108"/>
        </w:numPr>
        <w:pStyle w:val="Compact"/>
      </w:pPr>
      <w:r>
        <w:t xml:space="preserve">At</w:t>
      </w:r>
      <w:r>
        <w:t xml:space="preserve"> </w:t>
      </w:r>
      <m:oMath>
        <m:r>
          <m:t>λ</m:t>
        </m:r>
        <m:r>
          <m:rPr>
            <m:sty m:val="p"/>
          </m:rPr>
          <m:t>=</m:t>
        </m:r>
        <m:r>
          <m:t>80</m:t>
        </m:r>
      </m:oMath>
      <w:r>
        <w:t xml:space="preserve">/s:</w:t>
      </w:r>
      <w:r>
        <w:t xml:space="preserve"> </w:t>
      </w:r>
      <m:oMath>
        <m:r>
          <m:t>ρ</m:t>
        </m:r>
        <m:r>
          <m:rPr>
            <m:sty m:val="p"/>
          </m:rPr>
          <m:t>=</m:t>
        </m:r>
        <m:r>
          <m:t>0.8</m:t>
        </m:r>
      </m:oMath>
      <w:r>
        <w:t xml:space="preserve">;</w:t>
      </w:r>
      <w:r>
        <w:t xml:space="preserve"> </w:t>
      </w:r>
      <m:oMath>
        <m:r>
          <m:t>W</m:t>
        </m:r>
        <m:r>
          <m:rPr>
            <m:sty m:val="p"/>
          </m:rPr>
          <m:t>=</m:t>
        </m:r>
        <m:r>
          <m:t>1</m:t>
        </m:r>
        <m:r>
          <m:rPr>
            <m:sty m:val="p"/>
          </m:rPr>
          <m:t>/</m:t>
        </m:r>
        <m:r>
          <m:t>20</m:t>
        </m:r>
        <m:r>
          <m:rPr>
            <m:sty m:val="p"/>
          </m:rPr>
          <m:t>=</m:t>
        </m:r>
        <m:r>
          <m:t>50</m:t>
        </m:r>
      </m:oMath>
      <w:r>
        <w:t xml:space="preserve"> </w:t>
      </w:r>
      <w:r>
        <w:t xml:space="preserve">ms;</w:t>
      </w:r>
      <w:r>
        <w:t xml:space="preserve"> </w:t>
      </w:r>
      <m:oMath>
        <m:r>
          <m:t>L</m:t>
        </m:r>
        <m:r>
          <m:rPr>
            <m:sty m:val="p"/>
          </m:rPr>
          <m:t>=</m:t>
        </m:r>
        <m:r>
          <m:t>0.8</m:t>
        </m:r>
        <m:r>
          <m:rPr>
            <m:sty m:val="p"/>
          </m:rPr>
          <m:t>/</m:t>
        </m:r>
        <m:r>
          <m:t>0.2</m:t>
        </m:r>
        <m:r>
          <m:rPr>
            <m:sty m:val="p"/>
          </m:rPr>
          <m:t>=</m:t>
        </m:r>
        <m:r>
          <m:t>4</m:t>
        </m:r>
      </m:oMath>
      <w:r>
        <w:t xml:space="preserve">.</w:t>
      </w:r>
    </w:p>
    <w:p>
      <w:pPr>
        <w:numPr>
          <w:ilvl w:val="0"/>
          <w:numId w:val="1108"/>
        </w:numPr>
        <w:pStyle w:val="Compact"/>
      </w:pPr>
      <w:r>
        <w:t xml:space="preserve">At</w:t>
      </w:r>
      <w:r>
        <w:t xml:space="preserve"> </w:t>
      </w:r>
      <m:oMath>
        <m:r>
          <m:t>λ</m:t>
        </m:r>
        <m:r>
          <m:rPr>
            <m:sty m:val="p"/>
          </m:rPr>
          <m:t>=</m:t>
        </m:r>
        <m:r>
          <m:t>90</m:t>
        </m:r>
      </m:oMath>
      <w:r>
        <w:t xml:space="preserve">/s:</w:t>
      </w:r>
      <w:r>
        <w:t xml:space="preserve"> </w:t>
      </w:r>
      <m:oMath>
        <m:r>
          <m:t>ρ</m:t>
        </m:r>
        <m:r>
          <m:rPr>
            <m:sty m:val="p"/>
          </m:rPr>
          <m:t>=</m:t>
        </m:r>
        <m:r>
          <m:t>0.9</m:t>
        </m:r>
      </m:oMath>
      <w:r>
        <w:t xml:space="preserve">;</w:t>
      </w:r>
      <w:r>
        <w:t xml:space="preserve"> </w:t>
      </w:r>
      <m:oMath>
        <m:r>
          <m:t>W</m:t>
        </m:r>
        <m:r>
          <m:rPr>
            <m:sty m:val="p"/>
          </m:rPr>
          <m:t>=</m:t>
        </m:r>
        <m:r>
          <m:t>1</m:t>
        </m:r>
        <m:r>
          <m:rPr>
            <m:sty m:val="p"/>
          </m:rPr>
          <m:t>/</m:t>
        </m:r>
        <m:r>
          <m:t>10</m:t>
        </m:r>
        <m:r>
          <m:rPr>
            <m:sty m:val="p"/>
          </m:rPr>
          <m:t>=</m:t>
        </m:r>
        <m:r>
          <m:t>100</m:t>
        </m:r>
      </m:oMath>
      <w:r>
        <w:t xml:space="preserve"> </w:t>
      </w:r>
      <w:r>
        <w:t xml:space="preserve">ms;</w:t>
      </w:r>
      <w:r>
        <w:t xml:space="preserve"> </w:t>
      </w:r>
      <m:oMath>
        <m:r>
          <m:t>L</m:t>
        </m:r>
        <m:r>
          <m:rPr>
            <m:sty m:val="p"/>
          </m:rPr>
          <m:t>=</m:t>
        </m:r>
        <m:r>
          <m:t>9</m:t>
        </m:r>
      </m:oMath>
      <w:r>
        <w:t xml:space="preserve">;</w:t>
      </w:r>
      <w:r>
        <w:t xml:space="preserve"> </w:t>
      </w:r>
      <m:oMath>
        <m:sSub>
          <m:e>
            <m:r>
              <m:t>L</m:t>
            </m:r>
          </m:e>
          <m:sub>
            <m:r>
              <m:t>q</m:t>
            </m:r>
          </m:sub>
        </m:sSub>
        <m:r>
          <m:rPr>
            <m:sty m:val="p"/>
          </m:rPr>
          <m:t>=</m:t>
        </m:r>
        <m:r>
          <m:t>0.81</m:t>
        </m:r>
        <m:r>
          <m:rPr>
            <m:sty m:val="p"/>
          </m:rPr>
          <m:t>/</m:t>
        </m:r>
        <m:r>
          <m:t>0.1</m:t>
        </m:r>
        <m:r>
          <m:rPr>
            <m:sty m:val="p"/>
          </m:rPr>
          <m:t>=</m:t>
        </m:r>
        <m:r>
          <m:t>8.1</m:t>
        </m:r>
      </m:oMath>
      <w:r>
        <w:t xml:space="preserve">; p99</w:t>
      </w:r>
      <w:r>
        <w:t xml:space="preserve"> </w:t>
      </w:r>
      <m:oMath>
        <m:r>
          <m:rPr>
            <m:sty m:val="p"/>
          </m:rPr>
          <m:t>=</m:t>
        </m:r>
        <m:r>
          <m:t>4.605</m:t>
        </m:r>
        <m:r>
          <m:rPr>
            <m:sty m:val="p"/>
          </m:rPr>
          <m:t>×</m:t>
        </m:r>
        <m:r>
          <m:t>100</m:t>
        </m:r>
        <m:r>
          <m:rPr>
            <m:sty m:val="p"/>
          </m:rPr>
          <m:t>≈</m:t>
        </m:r>
        <m:r>
          <m:t>461</m:t>
        </m:r>
      </m:oMath>
      <w:r>
        <w:t xml:space="preserve"> </w:t>
      </w:r>
      <w:r>
        <w:t xml:space="preserve">ms.</w:t>
      </w:r>
    </w:p>
    <w:p>
      <w:pPr>
        <w:numPr>
          <w:ilvl w:val="0"/>
          <w:numId w:val="1108"/>
        </w:numPr>
        <w:pStyle w:val="Compact"/>
      </w:pPr>
      <w:r>
        <w:t xml:space="preserve">At</w:t>
      </w:r>
      <w:r>
        <w:t xml:space="preserve"> </w:t>
      </w:r>
      <m:oMath>
        <m:r>
          <m:t>λ</m:t>
        </m:r>
        <m:r>
          <m:rPr>
            <m:sty m:val="p"/>
          </m:rPr>
          <m:t>=</m:t>
        </m:r>
        <m:r>
          <m:t>99</m:t>
        </m:r>
      </m:oMath>
      <w:r>
        <w:t xml:space="preserve">/s:</w:t>
      </w:r>
      <w:r>
        <w:t xml:space="preserve"> </w:t>
      </w:r>
      <m:oMath>
        <m:r>
          <m:t>ρ</m:t>
        </m:r>
        <m:r>
          <m:rPr>
            <m:sty m:val="p"/>
          </m:rPr>
          <m:t>=</m:t>
        </m:r>
        <m:r>
          <m:t>0.99</m:t>
        </m:r>
      </m:oMath>
      <w:r>
        <w:t xml:space="preserve">;</w:t>
      </w:r>
      <w:r>
        <w:t xml:space="preserve"> </w:t>
      </w:r>
      <m:oMath>
        <m:r>
          <m:t>W</m:t>
        </m:r>
        <m:r>
          <m:rPr>
            <m:sty m:val="p"/>
          </m:rPr>
          <m:t>=</m:t>
        </m:r>
        <m:r>
          <m:t>1</m:t>
        </m:r>
        <m:r>
          <m:rPr>
            <m:sty m:val="p"/>
          </m:rPr>
          <m:t>/</m:t>
        </m:r>
        <m:r>
          <m:t>1</m:t>
        </m:r>
        <m:r>
          <m:rPr>
            <m:sty m:val="p"/>
          </m:rPr>
          <m:t>=</m:t>
        </m:r>
        <m:r>
          <m:t>1</m:t>
        </m:r>
        <m:r>
          <m:rPr>
            <m:sty m:val="p"/>
          </m:rPr>
          <m:t>,</m:t>
        </m:r>
        <m:r>
          <m:t>000</m:t>
        </m:r>
      </m:oMath>
      <w:r>
        <w:t xml:space="preserve"> </w:t>
      </w:r>
      <w:r>
        <w:t xml:space="preserve">ms.</w:t>
      </w:r>
    </w:p>
    <w:p>
      <w:pPr>
        <w:pStyle w:val="CalloutExample"/>
      </w:pPr>
      <w:r>
        <w:rPr>
          <w:bCs/>
          <w:b/>
        </w:rPr>
        <w:t xml:space="preserve">Interpretation.</w:t>
      </w:r>
      <w:r>
        <w:t xml:space="preserve"> </w:t>
      </w:r>
      <w:r>
        <w:t xml:space="preserve">Going from 50% to 90% utilization (1.8× the traffic) multiplies mean latency by 5, and the last 9% of traffic (90 → 99/s) multiplies it by another 10.</w:t>
      </w:r>
      <w:r>
        <w:t xml:space="preserve"> </w:t>
      </w:r>
      <w:r>
        <w:rPr>
          <w:bCs/>
          <w:b/>
        </w:rPr>
        <w:t xml:space="preserve">Engineering implication.</w:t>
      </w:r>
      <w:r>
        <w:t xml:space="preserve"> </w:t>
      </w:r>
      <w:r>
        <w:t xml:space="preserve">Plan latency-sensitive services to run at moderate utilization at peak — often 50–70% for interactive work — and reserve high utilization for batch work whose latency nobody waits for.</w:t>
      </w:r>
    </w:p>
    <w:p>
      <w:pPr>
        <w:pStyle w:val="BodyText"/>
      </w:pPr>
      <w:r>
        <w:rPr>
          <w:bCs/>
          <w:b/>
        </w:rPr>
        <w:t xml:space="preserve">Table 4.5 — M/M/1 response time as a multiple of service time.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Utilization</w:t>
            </w:r>
            <w:r>
              <w:t xml:space="preserve"> </w:t>
            </w:r>
            <m:oMath>
              <m:r>
                <m:t>ρ</m:t>
              </m:r>
            </m:oMath>
          </w:p>
        </w:tc>
        <w:tc>
          <w:tcPr/>
          <w:p>
            <w:pPr>
              <w:pStyle w:val="Compact"/>
              <w:jc w:val="left"/>
            </w:pPr>
            <m:oMath>
              <m:r>
                <m:t>W</m:t>
              </m:r>
              <m:r>
                <m:rPr>
                  <m:sty m:val="p"/>
                </m:rPr>
                <m:t>/</m:t>
              </m:r>
              <m:r>
                <m:t>S</m:t>
              </m:r>
              <m:r>
                <m:rPr>
                  <m:sty m:val="p"/>
                </m:rPr>
                <m:t>=</m:t>
              </m:r>
              <m:r>
                <m:t>1</m:t>
              </m:r>
              <m:r>
                <m:rPr>
                  <m:sty m:val="p"/>
                </m:rPr>
                <m:t>/</m:t>
              </m:r>
              <m:d>
                <m:dPr>
                  <m:begChr m:val="("/>
                  <m:endChr m:val=")"/>
                  <m:sepChr m:val=""/>
                  <m:grow/>
                </m:dPr>
                <m:e>
                  <m:r>
                    <m:t>1</m:t>
                  </m:r>
                  <m:r>
                    <m:rPr>
                      <m:sty m:val="p"/>
                    </m:rPr>
                    <m:t>−</m:t>
                  </m:r>
                  <m:r>
                    <m:t>ρ</m:t>
                  </m:r>
                </m:e>
              </m:d>
            </m:oMath>
          </w:p>
        </w:tc>
        <w:tc>
          <w:tcPr/>
          <w:p>
            <w:pPr>
              <w:pStyle w:val="Compact"/>
              <w:jc w:val="left"/>
            </w:pPr>
            <m:oMath>
              <m:r>
                <m:t>W</m:t>
              </m:r>
            </m:oMath>
            <w:r>
              <w:t xml:space="preserve"> </w:t>
            </w:r>
            <w:r>
              <w:t xml:space="preserve">when</w:t>
            </w:r>
            <w:r>
              <w:t xml:space="preserve"> </w:t>
            </w:r>
            <m:oMath>
              <m:r>
                <m:t>S</m:t>
              </m:r>
            </m:oMath>
            <w:r>
              <w:t xml:space="preserve"> </w:t>
            </w:r>
            <w:r>
              <w:t xml:space="preserve">= 10 ms</w:t>
            </w:r>
          </w:p>
        </w:tc>
        <w:tc>
          <w:tcPr/>
          <w:p>
            <w:pPr>
              <w:pStyle w:val="Compact"/>
              <w:jc w:val="left"/>
            </w:pPr>
            <w:r>
              <w:t xml:space="preserve">Jobs in system</w:t>
            </w:r>
            <w:r>
              <w:t xml:space="preserve"> </w:t>
            </w:r>
            <m:oMath>
              <m:r>
                <m:t>L</m:t>
              </m:r>
            </m:oMath>
          </w:p>
        </w:tc>
        <w:tc>
          <w:tcPr/>
          <w:p>
            <w:pPr>
              <w:pStyle w:val="Compact"/>
              <w:jc w:val="left"/>
            </w:pPr>
            <w:r>
              <w:t xml:space="preserve">p99 when</w:t>
            </w:r>
            <w:r>
              <w:t xml:space="preserve"> </w:t>
            </w:r>
            <m:oMath>
              <m:r>
                <m:t>S</m:t>
              </m:r>
            </m:oMath>
            <w:r>
              <w:t xml:space="preserve"> </w:t>
            </w:r>
            <w:r>
              <w:t xml:space="preserve">= 10 ms</w:t>
            </w:r>
          </w:p>
        </w:tc>
      </w:tr>
      <w:tr>
        <w:tc>
          <w:tcPr/>
          <w:p>
            <w:pPr>
              <w:pStyle w:val="Compact"/>
              <w:jc w:val="left"/>
            </w:pPr>
            <w:r>
              <w:t xml:space="preserve">0.50</w:t>
            </w:r>
          </w:p>
        </w:tc>
        <w:tc>
          <w:tcPr/>
          <w:p>
            <w:pPr>
              <w:pStyle w:val="Compact"/>
              <w:jc w:val="left"/>
            </w:pPr>
            <w:r>
              <w:t xml:space="preserve">2</w:t>
            </w:r>
          </w:p>
        </w:tc>
        <w:tc>
          <w:tcPr/>
          <w:p>
            <w:pPr>
              <w:pStyle w:val="Compact"/>
              <w:jc w:val="left"/>
            </w:pPr>
            <w:r>
              <w:t xml:space="preserve">20 ms</w:t>
            </w:r>
          </w:p>
        </w:tc>
        <w:tc>
          <w:tcPr/>
          <w:p>
            <w:pPr>
              <w:pStyle w:val="Compact"/>
              <w:jc w:val="left"/>
            </w:pPr>
            <w:r>
              <w:t xml:space="preserve">1</w:t>
            </w:r>
          </w:p>
        </w:tc>
        <w:tc>
          <w:tcPr/>
          <w:p>
            <w:pPr>
              <w:pStyle w:val="Compact"/>
              <w:jc w:val="left"/>
            </w:pPr>
            <w:r>
              <w:t xml:space="preserve">92 ms</w:t>
            </w:r>
          </w:p>
        </w:tc>
      </w:tr>
      <w:tr>
        <w:tc>
          <w:tcPr/>
          <w:p>
            <w:pPr>
              <w:pStyle w:val="Compact"/>
              <w:jc w:val="left"/>
            </w:pPr>
            <w:r>
              <w:t xml:space="preserve">0.70</w:t>
            </w:r>
          </w:p>
        </w:tc>
        <w:tc>
          <w:tcPr/>
          <w:p>
            <w:pPr>
              <w:pStyle w:val="Compact"/>
              <w:jc w:val="left"/>
            </w:pPr>
            <w:r>
              <w:t xml:space="preserve">3.3</w:t>
            </w:r>
          </w:p>
        </w:tc>
        <w:tc>
          <w:tcPr/>
          <w:p>
            <w:pPr>
              <w:pStyle w:val="Compact"/>
              <w:jc w:val="left"/>
            </w:pPr>
            <w:r>
              <w:t xml:space="preserve">33 ms</w:t>
            </w:r>
          </w:p>
        </w:tc>
        <w:tc>
          <w:tcPr/>
          <w:p>
            <w:pPr>
              <w:pStyle w:val="Compact"/>
              <w:jc w:val="left"/>
            </w:pPr>
            <w:r>
              <w:t xml:space="preserve">2.3</w:t>
            </w:r>
          </w:p>
        </w:tc>
        <w:tc>
          <w:tcPr/>
          <w:p>
            <w:pPr>
              <w:pStyle w:val="Compact"/>
              <w:jc w:val="left"/>
            </w:pPr>
            <w:r>
              <w:t xml:space="preserve">154 ms</w:t>
            </w:r>
          </w:p>
        </w:tc>
      </w:tr>
      <w:tr>
        <w:tc>
          <w:tcPr/>
          <w:p>
            <w:pPr>
              <w:pStyle w:val="Compact"/>
              <w:jc w:val="left"/>
            </w:pPr>
            <w:r>
              <w:t xml:space="preserve">0.80</w:t>
            </w:r>
          </w:p>
        </w:tc>
        <w:tc>
          <w:tcPr/>
          <w:p>
            <w:pPr>
              <w:pStyle w:val="Compact"/>
              <w:jc w:val="left"/>
            </w:pPr>
            <w:r>
              <w:t xml:space="preserve">5</w:t>
            </w:r>
          </w:p>
        </w:tc>
        <w:tc>
          <w:tcPr/>
          <w:p>
            <w:pPr>
              <w:pStyle w:val="Compact"/>
              <w:jc w:val="left"/>
            </w:pPr>
            <w:r>
              <w:t xml:space="preserve">50 ms</w:t>
            </w:r>
          </w:p>
        </w:tc>
        <w:tc>
          <w:tcPr/>
          <w:p>
            <w:pPr>
              <w:pStyle w:val="Compact"/>
              <w:jc w:val="left"/>
            </w:pPr>
            <w:r>
              <w:t xml:space="preserve">4</w:t>
            </w:r>
          </w:p>
        </w:tc>
        <w:tc>
          <w:tcPr/>
          <w:p>
            <w:pPr>
              <w:pStyle w:val="Compact"/>
              <w:jc w:val="left"/>
            </w:pPr>
            <w:r>
              <w:t xml:space="preserve">230 ms</w:t>
            </w:r>
          </w:p>
        </w:tc>
      </w:tr>
      <w:tr>
        <w:tc>
          <w:tcPr/>
          <w:p>
            <w:pPr>
              <w:pStyle w:val="Compact"/>
              <w:jc w:val="left"/>
            </w:pPr>
            <w:r>
              <w:t xml:space="preserve">0.90</w:t>
            </w:r>
          </w:p>
        </w:tc>
        <w:tc>
          <w:tcPr/>
          <w:p>
            <w:pPr>
              <w:pStyle w:val="Compact"/>
              <w:jc w:val="left"/>
            </w:pPr>
            <w:r>
              <w:t xml:space="preserve">10</w:t>
            </w:r>
          </w:p>
        </w:tc>
        <w:tc>
          <w:tcPr/>
          <w:p>
            <w:pPr>
              <w:pStyle w:val="Compact"/>
              <w:jc w:val="left"/>
            </w:pPr>
            <w:r>
              <w:t xml:space="preserve">100 ms</w:t>
            </w:r>
          </w:p>
        </w:tc>
        <w:tc>
          <w:tcPr/>
          <w:p>
            <w:pPr>
              <w:pStyle w:val="Compact"/>
              <w:jc w:val="left"/>
            </w:pPr>
            <w:r>
              <w:t xml:space="preserve">9</w:t>
            </w:r>
          </w:p>
        </w:tc>
        <w:tc>
          <w:tcPr/>
          <w:p>
            <w:pPr>
              <w:pStyle w:val="Compact"/>
              <w:jc w:val="left"/>
            </w:pPr>
            <w:r>
              <w:t xml:space="preserve">461 ms</w:t>
            </w:r>
          </w:p>
        </w:tc>
      </w:tr>
      <w:tr>
        <w:tc>
          <w:tcPr/>
          <w:p>
            <w:pPr>
              <w:pStyle w:val="Compact"/>
              <w:jc w:val="left"/>
            </w:pPr>
            <w:r>
              <w:t xml:space="preserve">0.95</w:t>
            </w:r>
          </w:p>
        </w:tc>
        <w:tc>
          <w:tcPr/>
          <w:p>
            <w:pPr>
              <w:pStyle w:val="Compact"/>
              <w:jc w:val="left"/>
            </w:pPr>
            <w:r>
              <w:t xml:space="preserve">20</w:t>
            </w:r>
          </w:p>
        </w:tc>
        <w:tc>
          <w:tcPr/>
          <w:p>
            <w:pPr>
              <w:pStyle w:val="Compact"/>
              <w:jc w:val="left"/>
            </w:pPr>
            <w:r>
              <w:t xml:space="preserve">200 ms</w:t>
            </w:r>
          </w:p>
        </w:tc>
        <w:tc>
          <w:tcPr/>
          <w:p>
            <w:pPr>
              <w:pStyle w:val="Compact"/>
              <w:jc w:val="left"/>
            </w:pPr>
            <w:r>
              <w:t xml:space="preserve">19</w:t>
            </w:r>
          </w:p>
        </w:tc>
        <w:tc>
          <w:tcPr/>
          <w:p>
            <w:pPr>
              <w:pStyle w:val="Compact"/>
              <w:jc w:val="left"/>
            </w:pPr>
            <w:r>
              <w:t xml:space="preserve">921 ms</w:t>
            </w:r>
          </w:p>
        </w:tc>
      </w:tr>
      <w:tr>
        <w:tc>
          <w:tcPr/>
          <w:p>
            <w:pPr>
              <w:pStyle w:val="Compact"/>
              <w:jc w:val="left"/>
            </w:pPr>
            <w:r>
              <w:t xml:space="preserve">0.99</w:t>
            </w:r>
          </w:p>
        </w:tc>
        <w:tc>
          <w:tcPr/>
          <w:p>
            <w:pPr>
              <w:pStyle w:val="Compact"/>
              <w:jc w:val="left"/>
            </w:pPr>
            <w:r>
              <w:t xml:space="preserve">100</w:t>
            </w:r>
          </w:p>
        </w:tc>
        <w:tc>
          <w:tcPr/>
          <w:p>
            <w:pPr>
              <w:pStyle w:val="Compact"/>
              <w:jc w:val="left"/>
            </w:pPr>
            <w:r>
              <w:t xml:space="preserve">1,000 ms</w:t>
            </w:r>
          </w:p>
        </w:tc>
        <w:tc>
          <w:tcPr/>
          <w:p>
            <w:pPr>
              <w:pStyle w:val="Compact"/>
              <w:jc w:val="left"/>
            </w:pPr>
            <w:r>
              <w:t xml:space="preserve">99</w:t>
            </w:r>
          </w:p>
        </w:tc>
        <w:tc>
          <w:tcPr/>
          <w:p>
            <w:pPr>
              <w:pStyle w:val="Compact"/>
              <w:jc w:val="left"/>
            </w:pPr>
            <w:r>
              <w:t xml:space="preserve">4,605 ms</w:t>
            </w:r>
          </w:p>
        </w:tc>
      </w:tr>
    </w:tbl>
    <w:bookmarkEnd w:id="392"/>
    <w:bookmarkStart w:id="393" w:name="X71d0a7dd2869b8d6e0e5b078d20aec2e3980fd4"/>
    <w:p>
      <w:pPr>
        <w:pStyle w:val="Heading3"/>
      </w:pPr>
      <w:r>
        <w:t xml:space="preserve">4.10.3 Why latency explodes near 100% utilization</w:t>
      </w:r>
    </w:p>
    <w:p>
      <w:pPr>
        <w:pStyle w:val="FirstParagraph"/>
      </w:pPr>
      <w:r>
        <w:t xml:space="preserve">The factor</w:t>
      </w:r>
      <w:r>
        <w:t xml:space="preserve"> </w:t>
      </w:r>
      <m:oMath>
        <m:r>
          <m:t>1</m:t>
        </m:r>
        <m:r>
          <m:rPr>
            <m:sty m:val="p"/>
          </m:rPr>
          <m:t>/</m:t>
        </m:r>
        <m:d>
          <m:dPr>
            <m:begChr m:val="("/>
            <m:endChr m:val=")"/>
            <m:sepChr m:val=""/>
            <m:grow/>
          </m:dPr>
          <m:e>
            <m:r>
              <m:t>1</m:t>
            </m:r>
            <m:r>
              <m:rPr>
                <m:sty m:val="p"/>
              </m:rPr>
              <m:t>−</m:t>
            </m:r>
            <m:r>
              <m:t>ρ</m:t>
            </m:r>
          </m:e>
        </m:d>
      </m:oMath>
      <w:r>
        <w:t xml:space="preserve"> </w:t>
      </w:r>
      <w:r>
        <w:t xml:space="preserve">is the whole story. The distance to saturation,</w:t>
      </w:r>
      <w:r>
        <w:t xml:space="preserve"> </w:t>
      </w:r>
      <m:oMath>
        <m:r>
          <m:t>1</m:t>
        </m:r>
        <m:r>
          <m:rPr>
            <m:sty m:val="p"/>
          </m:rPr>
          <m:t>−</m:t>
        </m:r>
        <m:r>
          <m:t>ρ</m:t>
        </m:r>
      </m:oMath>
      <w:r>
        <w:t xml:space="preserve">, is in the denominator, so each halving of the remaining headroom doubles the latency: 0.8 → 0.9 doubles</w:t>
      </w:r>
      <w:r>
        <w:t xml:space="preserve"> </w:t>
      </w:r>
      <m:oMath>
        <m:r>
          <m:t>W</m:t>
        </m:r>
      </m:oMath>
      <w:r>
        <w:t xml:space="preserve">, 0.9 → 0.95 doubles it again, and so on. The curve is the familiar</w:t>
      </w:r>
      <w:r>
        <w:t xml:space="preserve"> </w:t>
      </w:r>
      <w:r>
        <w:t xml:space="preserve">“</w:t>
      </w:r>
      <w:r>
        <w:t xml:space="preserve">hockey stick</w:t>
      </w:r>
      <w:r>
        <w:t xml:space="preserve">”</w:t>
      </w:r>
      <w:r>
        <w:t xml:space="preserve">. Two practical consequences follow:</w:t>
      </w:r>
    </w:p>
    <w:p>
      <w:pPr>
        <w:numPr>
          <w:ilvl w:val="0"/>
          <w:numId w:val="1109"/>
        </w:numPr>
        <w:pStyle w:val="Compact"/>
      </w:pPr>
      <w:r>
        <w:rPr>
          <w:bCs/>
          <w:b/>
        </w:rPr>
        <w:t xml:space="preserve">Small traffic increases near saturation cause large latency increases.</w:t>
      </w:r>
      <w:r>
        <w:t xml:space="preserve"> </w:t>
      </w:r>
      <w:r>
        <w:t xml:space="preserve">A service at 90% that sees a 5% traffic spike moves to 94.5%, and its mean latency nearly doubles.</w:t>
      </w:r>
    </w:p>
    <w:p>
      <w:pPr>
        <w:numPr>
          <w:ilvl w:val="0"/>
          <w:numId w:val="1109"/>
        </w:numPr>
        <w:pStyle w:val="Compact"/>
      </w:pPr>
      <w:r>
        <w:rPr>
          <w:bCs/>
          <w:b/>
        </w:rPr>
        <w:t xml:space="preserve">Overload is not graceful.</w:t>
      </w:r>
      <w:r>
        <w:t xml:space="preserve"> </w:t>
      </w:r>
      <w:r>
        <w:t xml:space="preserve">At</w:t>
      </w:r>
      <w:r>
        <w:t xml:space="preserve"> </w:t>
      </w:r>
      <m:oMath>
        <m:r>
          <m:t>ρ</m:t>
        </m:r>
        <m:r>
          <m:rPr>
            <m:sty m:val="p"/>
          </m:rPr>
          <m:t>≥</m:t>
        </m:r>
        <m:r>
          <m:t>1</m:t>
        </m:r>
      </m:oMath>
      <w:r>
        <w:t xml:space="preserve"> </w:t>
      </w:r>
      <w:r>
        <w:t xml:space="preserve">there is no steady state: the queue grows for as long as the overload lasts, and every request that joins it waits for all earlier ones. Bounded queues, timeouts and load shedding (§22.9) exist to convert unbounded latency into fast, explicit rejection.</w:t>
      </w:r>
    </w:p>
    <w:p>
      <w:pPr>
        <w:pStyle w:val="FirstParagraph"/>
      </w:pPr>
      <w:r>
        <w:t xml:space="preserve">The M/M/1 model assumes exponential service times. Real service times can be more or less variable; the general</w:t>
      </w:r>
      <w:r>
        <w:t xml:space="preserve"> </w:t>
      </w:r>
      <w:r>
        <w:rPr>
          <w:bCs/>
          <w:b/>
        </w:rPr>
        <w:t xml:space="preserve">Pollaczek–Khinchine</w:t>
      </w:r>
      <w:r>
        <w:t xml:space="preserve"> </w:t>
      </w:r>
      <w:r>
        <w:t xml:space="preserve">formula for the M/G/1 queue shows that mean queueing delay is proportional to</w:t>
      </w:r>
      <w:r>
        <w:t xml:space="preserve"> </w:t>
      </w:r>
      <m:oMath>
        <m:d>
          <m:dPr>
            <m:begChr m:val="("/>
            <m:endChr m:val=")"/>
            <m:sepChr m:val=""/>
            <m:grow/>
          </m:dPr>
          <m:e>
            <m:r>
              <m:t>1</m:t>
            </m:r>
            <m:r>
              <m:rPr>
                <m:sty m:val="p"/>
              </m:rPr>
              <m:t>+</m:t>
            </m:r>
            <m:sSubSup>
              <m:e>
                <m:r>
                  <m:t>C</m:t>
                </m:r>
              </m:e>
              <m:sub>
                <m:r>
                  <m:t>S</m:t>
                </m:r>
              </m:sub>
              <m:sup>
                <m:r>
                  <m:t>2</m:t>
                </m:r>
              </m:sup>
            </m:sSubSup>
          </m:e>
        </m:d>
        <m:r>
          <m:rPr>
            <m:sty m:val="p"/>
          </m:rPr>
          <m:t>/</m:t>
        </m:r>
        <m:r>
          <m:t>2</m:t>
        </m:r>
      </m:oMath>
      <w:r>
        <w:t xml:space="preserve">, where</w:t>
      </w:r>
      <w:r>
        <w:t xml:space="preserve"> </w:t>
      </w:r>
      <m:oMath>
        <m:sSub>
          <m:e>
            <m:r>
              <m:t>C</m:t>
            </m:r>
          </m:e>
          <m:sub>
            <m:r>
              <m:t>S</m:t>
            </m:r>
          </m:sub>
        </m:sSub>
      </m:oMath>
      <w:r>
        <w:t xml:space="preserve"> </w:t>
      </w:r>
      <w:r>
        <w:t xml:space="preserve">is the coefficient of variation (standard deviation divided by mean) of the service time [Harchol-Balter 2013]. Exponential service has</w:t>
      </w:r>
      <w:r>
        <w:t xml:space="preserve"> </w:t>
      </w:r>
      <m:oMath>
        <m:sSub>
          <m:e>
            <m:r>
              <m:t>C</m:t>
            </m:r>
          </m:e>
          <m:sub>
            <m:r>
              <m:t>S</m:t>
            </m:r>
          </m:sub>
        </m:sSub>
        <m:r>
          <m:rPr>
            <m:sty m:val="p"/>
          </m:rPr>
          <m:t>=</m:t>
        </m:r>
        <m:r>
          <m:t>1</m:t>
        </m:r>
      </m:oMath>
      <w:r>
        <w:t xml:space="preserve">; perfectly constant service (</w:t>
      </w:r>
      <m:oMath>
        <m:sSub>
          <m:e>
            <m:r>
              <m:t>C</m:t>
            </m:r>
          </m:e>
          <m:sub>
            <m:r>
              <m:t>S</m:t>
            </m:r>
          </m:sub>
        </m:sSub>
        <m:r>
          <m:rPr>
            <m:sty m:val="p"/>
          </m:rPr>
          <m:t>=</m:t>
        </m:r>
        <m:r>
          <m:t>0</m:t>
        </m:r>
      </m:oMath>
      <w:r>
        <w:t xml:space="preserve">) halves the queueing delay; heavy-tailed service (</w:t>
      </w:r>
      <m:oMath>
        <m:sSub>
          <m:e>
            <m:r>
              <m:t>C</m:t>
            </m:r>
          </m:e>
          <m:sub>
            <m:r>
              <m:t>S</m:t>
            </m:r>
          </m:sub>
        </m:sSub>
        <m:r>
          <m:rPr>
            <m:sty m:val="p"/>
          </m:rPr>
          <m:t>≫</m:t>
        </m:r>
        <m:r>
          <m:t>1</m:t>
        </m:r>
      </m:oMath>
      <w:r>
        <w:t xml:space="preserve">) multiplies it. The</w:t>
      </w:r>
      <w:r>
        <w:t xml:space="preserve"> </w:t>
      </w:r>
      <m:oMath>
        <m:r>
          <m:t>1</m:t>
        </m:r>
        <m:r>
          <m:rPr>
            <m:sty m:val="p"/>
          </m:rPr>
          <m:t>/</m:t>
        </m:r>
        <m:d>
          <m:dPr>
            <m:begChr m:val="("/>
            <m:endChr m:val=")"/>
            <m:sepChr m:val=""/>
            <m:grow/>
          </m:dPr>
          <m:e>
            <m:r>
              <m:t>1</m:t>
            </m:r>
            <m:r>
              <m:rPr>
                <m:sty m:val="p"/>
              </m:rPr>
              <m:t>−</m:t>
            </m:r>
            <m:r>
              <m:t>ρ</m:t>
            </m:r>
          </m:e>
        </m:d>
      </m:oMath>
      <w:r>
        <w:t xml:space="preserve"> </w:t>
      </w:r>
      <w:r>
        <w:t xml:space="preserve">explosion is present in all of them.</w:t>
      </w:r>
    </w:p>
    <w:p>
      <w:pPr>
        <w:pStyle w:val="BodyText"/>
      </w:pPr>
      <w:r>
        <w:t xml:space="preserve">The following simulation checks the M/M/1 formula. It uses the recurrence</w:t>
      </w:r>
      <w:r>
        <w:t xml:space="preserve"> </w:t>
      </w:r>
      <w:r>
        <w:t xml:space="preserve">“</w:t>
      </w:r>
      <w:r>
        <w:t xml:space="preserve">a job starts when it arrives or when the previous job finishes, whichever is later</w:t>
      </w:r>
      <w:r>
        <w:t xml:space="preserve">”</w:t>
      </w:r>
      <w:r>
        <w:t xml:space="preserve">.</w:t>
      </w:r>
    </w:p>
    <w:p>
      <w:pPr>
        <w:pStyle w:val="SourceCode"/>
      </w:pPr>
      <w:r>
        <w:rPr>
          <w:rStyle w:val="ImportTok"/>
        </w:rPr>
        <w:t xml:space="preserve">import</w:t>
      </w:r>
      <w:r>
        <w:rPr>
          <w:rStyle w:val="NormalTok"/>
        </w:rPr>
        <w:t xml:space="preserve"> random</w:t>
      </w:r>
      <w:r>
        <w:br/>
      </w:r>
      <w:r>
        <w:br/>
      </w:r>
      <w:r>
        <w:rPr>
          <w:rStyle w:val="KeywordTok"/>
        </w:rPr>
        <w:t xml:space="preserve">def</w:t>
      </w:r>
      <w:r>
        <w:rPr>
          <w:rStyle w:val="NormalTok"/>
        </w:rPr>
        <w:t xml:space="preserve"> simulate_mm1(lam, mu, n_customers</w:t>
      </w:r>
      <w:r>
        <w:rPr>
          <w:rStyle w:val="OperatorTok"/>
        </w:rPr>
        <w:t xml:space="preserve">=</w:t>
      </w:r>
      <w:r>
        <w:rPr>
          <w:rStyle w:val="DecValTok"/>
        </w:rPr>
        <w:t xml:space="preserve">200_000</w:t>
      </w:r>
      <w:r>
        <w:rPr>
          <w:rStyle w:val="NormalTok"/>
        </w:rPr>
        <w:t xml:space="preserve">, seed</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mmentTok"/>
        </w:rPr>
        <w:t xml:space="preserve">"""Simulate a FIFO single-server queue with Poisson arrivals and</w:t>
      </w:r>
      <w:r>
        <w:br/>
      </w:r>
      <w:r>
        <w:rPr>
          <w:rStyle w:val="CommentTok"/>
        </w:rPr>
        <w:t xml:space="preserve">    exponential service times. Returns mean time in system (seconds)."""</w:t>
      </w:r>
      <w:r>
        <w:br/>
      </w:r>
      <w:r>
        <w:rPr>
          <w:rStyle w:val="NormalTok"/>
        </w:rPr>
        <w:t xml:space="preserve">    rng </w:t>
      </w:r>
      <w:r>
        <w:rPr>
          <w:rStyle w:val="OperatorTok"/>
        </w:rPr>
        <w:t xml:space="preserve">=</w:t>
      </w:r>
      <w:r>
        <w:rPr>
          <w:rStyle w:val="NormalTok"/>
        </w:rPr>
        <w:t xml:space="preserve"> random.Random(seed)</w:t>
      </w:r>
      <w:r>
        <w:br/>
      </w:r>
      <w:r>
        <w:rPr>
          <w:rStyle w:val="NormalTok"/>
        </w:rPr>
        <w:t xml:space="preserve">    arrival </w:t>
      </w:r>
      <w:r>
        <w:rPr>
          <w:rStyle w:val="OperatorTok"/>
        </w:rPr>
        <w:t xml:space="preserve">=</w:t>
      </w:r>
      <w:r>
        <w:rPr>
          <w:rStyle w:val="NormalTok"/>
        </w:rPr>
        <w:t xml:space="preserve"> </w:t>
      </w:r>
      <w:r>
        <w:rPr>
          <w:rStyle w:val="FloatTok"/>
        </w:rPr>
        <w:t xml:space="preserve">0.0</w:t>
      </w:r>
      <w:r>
        <w:rPr>
          <w:rStyle w:val="NormalTok"/>
        </w:rPr>
        <w:t xml:space="preserve">          </w:t>
      </w:r>
      <w:r>
        <w:rPr>
          <w:rStyle w:val="CommentTok"/>
        </w:rPr>
        <w:t xml:space="preserve"># arrival time of current customer</w:t>
      </w:r>
      <w:r>
        <w:br/>
      </w:r>
      <w:r>
        <w:rPr>
          <w:rStyle w:val="NormalTok"/>
        </w:rPr>
        <w:t xml:space="preserve">    server_free_at </w:t>
      </w:r>
      <w:r>
        <w:rPr>
          <w:rStyle w:val="OperatorTok"/>
        </w:rPr>
        <w:t xml:space="preserve">=</w:t>
      </w:r>
      <w:r>
        <w:rPr>
          <w:rStyle w:val="NormalTok"/>
        </w:rPr>
        <w:t xml:space="preserve"> </w:t>
      </w:r>
      <w:r>
        <w:rPr>
          <w:rStyle w:val="FloatTok"/>
        </w:rPr>
        <w:t xml:space="preserve">0.0</w:t>
      </w:r>
      <w:r>
        <w:rPr>
          <w:rStyle w:val="NormalTok"/>
        </w:rPr>
        <w:t xml:space="preserve">   </w:t>
      </w:r>
      <w:r>
        <w:rPr>
          <w:rStyle w:val="CommentTok"/>
        </w:rPr>
        <w:t xml:space="preserve"># time at which the server finishes its current job</w:t>
      </w:r>
      <w:r>
        <w:br/>
      </w:r>
      <w:r>
        <w:rPr>
          <w:rStyle w:val="NormalTok"/>
        </w:rPr>
        <w:t xml:space="preserve">    total_time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(n_customers):</w:t>
      </w:r>
      <w:r>
        <w:br/>
      </w:r>
      <w:r>
        <w:rPr>
          <w:rStyle w:val="NormalTok"/>
        </w:rPr>
        <w:t xml:space="preserve">        arrival </w:t>
      </w:r>
      <w:r>
        <w:rPr>
          <w:rStyle w:val="OperatorTok"/>
        </w:rPr>
        <w:t xml:space="preserve">+=</w:t>
      </w:r>
      <w:r>
        <w:rPr>
          <w:rStyle w:val="NormalTok"/>
        </w:rPr>
        <w:t xml:space="preserve"> rng.expovariate(lam)            </w:t>
      </w:r>
      <w:r>
        <w:rPr>
          <w:rStyle w:val="CommentTok"/>
        </w:rPr>
        <w:t xml:space="preserve"># next arrival</w:t>
      </w:r>
      <w:r>
        <w:br/>
      </w:r>
      <w:r>
        <w:rPr>
          <w:rStyle w:val="NormalTok"/>
        </w:rPr>
        <w:t xml:space="preserve">        start </w:t>
      </w:r>
      <w:r>
        <w:rPr>
          <w:rStyle w:val="OperatorTok"/>
        </w:rPr>
        <w:t xml:space="preserve">=</w:t>
      </w:r>
      <w:r>
        <w:rPr>
          <w:rStyle w:val="NormalTok"/>
        </w:rPr>
        <w:t xml:space="preserve"> </w:t>
      </w:r>
      <w:r>
        <w:rPr>
          <w:rStyle w:val="BuiltInTok"/>
        </w:rPr>
        <w:t xml:space="preserve">max</w:t>
      </w:r>
      <w:r>
        <w:rPr>
          <w:rStyle w:val="NormalTok"/>
        </w:rPr>
        <w:t xml:space="preserve">(arrival, server_free_at)       </w:t>
      </w:r>
      <w:r>
        <w:rPr>
          <w:rStyle w:val="CommentTok"/>
        </w:rPr>
        <w:t xml:space="preserve"># wait if server busy</w:t>
      </w:r>
      <w:r>
        <w:br/>
      </w:r>
      <w:r>
        <w:rPr>
          <w:rStyle w:val="NormalTok"/>
        </w:rPr>
        <w:t xml:space="preserve">        server_free_at </w:t>
      </w:r>
      <w:r>
        <w:rPr>
          <w:rStyle w:val="OperatorTok"/>
        </w:rPr>
        <w:t xml:space="preserve">=</w:t>
      </w:r>
      <w:r>
        <w:rPr>
          <w:rStyle w:val="NormalTok"/>
        </w:rPr>
        <w:t xml:space="preserve"> start </w:t>
      </w:r>
      <w:r>
        <w:rPr>
          <w:rStyle w:val="OperatorTok"/>
        </w:rPr>
        <w:t xml:space="preserve">+</w:t>
      </w:r>
      <w:r>
        <w:rPr>
          <w:rStyle w:val="NormalTok"/>
        </w:rPr>
        <w:t xml:space="preserve"> rng.expovariate(mu)</w:t>
      </w:r>
      <w:r>
        <w:br/>
      </w:r>
      <w:r>
        <w:rPr>
          <w:rStyle w:val="NormalTok"/>
        </w:rPr>
        <w:t xml:space="preserve">        total_time </w:t>
      </w:r>
      <w:r>
        <w:rPr>
          <w:rStyle w:val="OperatorTok"/>
        </w:rPr>
        <w:t xml:space="preserve">+=</w:t>
      </w:r>
      <w:r>
        <w:rPr>
          <w:rStyle w:val="NormalTok"/>
        </w:rPr>
        <w:t xml:space="preserve"> server_free_at </w:t>
      </w:r>
      <w:r>
        <w:rPr>
          <w:rStyle w:val="OperatorTok"/>
        </w:rPr>
        <w:t xml:space="preserve">-</w:t>
      </w:r>
      <w:r>
        <w:rPr>
          <w:rStyle w:val="NormalTok"/>
        </w:rPr>
        <w:t xml:space="preserve"> arrival     </w:t>
      </w:r>
      <w:r>
        <w:rPr>
          <w:rStyle w:val="CommentTok"/>
        </w:rPr>
        <w:t xml:space="preserve"># queueing + service</w:t>
      </w:r>
      <w:r>
        <w:br/>
      </w:r>
      <w:r>
        <w:rPr>
          <w:rStyle w:val="NormalTok"/>
        </w:rPr>
        <w:t xml:space="preserve">    </w:t>
      </w:r>
      <w:r>
        <w:rPr>
          <w:rStyle w:val="ControlFlowTok"/>
        </w:rPr>
        <w:t xml:space="preserve">return</w:t>
      </w:r>
      <w:r>
        <w:rPr>
          <w:rStyle w:val="NormalTok"/>
        </w:rPr>
        <w:t xml:space="preserve"> total_time </w:t>
      </w:r>
      <w:r>
        <w:rPr>
          <w:rStyle w:val="OperatorTok"/>
        </w:rPr>
        <w:t xml:space="preserve">/</w:t>
      </w:r>
      <w:r>
        <w:rPr>
          <w:rStyle w:val="NormalTok"/>
        </w:rPr>
        <w:t xml:space="preserve"> n_customers</w:t>
      </w:r>
      <w:r>
        <w:br/>
      </w:r>
      <w:r>
        <w:br/>
      </w:r>
      <w:r>
        <w:rPr>
          <w:rStyle w:val="NormalTok"/>
        </w:rPr>
        <w:t xml:space="preserve">mu </w:t>
      </w:r>
      <w:r>
        <w:rPr>
          <w:rStyle w:val="OperatorTok"/>
        </w:rPr>
        <w:t xml:space="preserve">=</w:t>
      </w:r>
      <w:r>
        <w:rPr>
          <w:rStyle w:val="NormalTok"/>
        </w:rPr>
        <w:t xml:space="preserve"> </w:t>
      </w:r>
      <w:r>
        <w:rPr>
          <w:rStyle w:val="FloatTok"/>
        </w:rPr>
        <w:t xml:space="preserve">100.0</w:t>
      </w:r>
      <w:r>
        <w:rPr>
          <w:rStyle w:val="NormalTok"/>
        </w:rPr>
        <w:t xml:space="preserve">  </w:t>
      </w:r>
      <w:r>
        <w:rPr>
          <w:rStyle w:val="CommentTok"/>
        </w:rPr>
        <w:t xml:space="preserve"># server completes 100 requests/s on average (10 ms each)</w:t>
      </w:r>
      <w:r>
        <w:br/>
      </w:r>
      <w:r>
        <w:rPr>
          <w:rStyle w:val="BuiltInTok"/>
        </w:rPr>
        <w:t xml:space="preserve">print</w:t>
      </w:r>
      <w:r>
        <w:rPr>
          <w:rStyle w:val="NormalTok"/>
        </w:rPr>
        <w:t xml:space="preserve">(</w:t>
      </w:r>
      <w:r>
        <w:rPr>
          <w:rStyle w:val="StringTok"/>
        </w:rPr>
        <w:t xml:space="preserve">" rho   formula W (ms)   simulated W (ms)"</w:t>
      </w:r>
      <w:r>
        <w:rPr>
          <w:rStyle w:val="NormalTok"/>
        </w:rPr>
        <w:t xml:space="preserve">)</w:t>
      </w:r>
      <w:r>
        <w:br/>
      </w:r>
      <w:r>
        <w:rPr>
          <w:rStyle w:val="ControlFlowTok"/>
        </w:rPr>
        <w:t xml:space="preserve">for</w:t>
      </w:r>
      <w:r>
        <w:rPr>
          <w:rStyle w:val="NormalTok"/>
        </w:rPr>
        <w:t xml:space="preserve"> lam </w:t>
      </w:r>
      <w:r>
        <w:rPr>
          <w:rStyle w:val="KeywordTok"/>
        </w:rPr>
        <w:t xml:space="preserve">in</w:t>
      </w:r>
      <w:r>
        <w:rPr>
          <w:rStyle w:val="NormalTok"/>
        </w:rPr>
        <w:t xml:space="preserve"> (</w:t>
      </w:r>
      <w:r>
        <w:rPr>
          <w:rStyle w:val="DecValTok"/>
        </w:rPr>
        <w:t xml:space="preserve">50</w:t>
      </w:r>
      <w:r>
        <w:rPr>
          <w:rStyle w:val="NormalTok"/>
        </w:rPr>
        <w:t xml:space="preserve">, </w:t>
      </w:r>
      <w:r>
        <w:rPr>
          <w:rStyle w:val="DecValTok"/>
        </w:rPr>
        <w:t xml:space="preserve">80</w:t>
      </w:r>
      <w:r>
        <w:rPr>
          <w:rStyle w:val="NormalTok"/>
        </w:rPr>
        <w:t xml:space="preserve">, </w:t>
      </w:r>
      <w:r>
        <w:rPr>
          <w:rStyle w:val="DecValTok"/>
        </w:rPr>
        <w:t xml:space="preserve">90</w:t>
      </w:r>
      <w:r>
        <w:rPr>
          <w:rStyle w:val="NormalTok"/>
        </w:rPr>
        <w:t xml:space="preserve">, </w:t>
      </w:r>
      <w:r>
        <w:rPr>
          <w:rStyle w:val="DecValTok"/>
        </w:rPr>
        <w:t xml:space="preserve">95</w:t>
      </w:r>
      <w:r>
        <w:rPr>
          <w:rStyle w:val="NormalTok"/>
        </w:rPr>
        <w:t xml:space="preserve">, </w:t>
      </w:r>
      <w:r>
        <w:rPr>
          <w:rStyle w:val="DecValTok"/>
        </w:rPr>
        <w:t xml:space="preserve">99</w:t>
      </w:r>
      <w:r>
        <w:rPr>
          <w:rStyle w:val="NormalTok"/>
        </w:rPr>
        <w:t xml:space="preserve">):</w:t>
      </w:r>
      <w:r>
        <w:br/>
      </w:r>
      <w:r>
        <w:rPr>
          <w:rStyle w:val="NormalTok"/>
        </w:rPr>
        <w:t xml:space="preserve">    formula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(mu </w:t>
      </w:r>
      <w:r>
        <w:rPr>
          <w:rStyle w:val="OperatorTok"/>
        </w:rPr>
        <w:t xml:space="preserve">-</w:t>
      </w:r>
      <w:r>
        <w:rPr>
          <w:rStyle w:val="NormalTok"/>
        </w:rPr>
        <w:t xml:space="preserve"> lam)</w:t>
      </w:r>
      <w:r>
        <w:br/>
      </w:r>
      <w:r>
        <w:rPr>
          <w:rStyle w:val="NormalTok"/>
        </w:rPr>
        <w:t xml:space="preserve">    sim </w:t>
      </w:r>
      <w:r>
        <w:rPr>
          <w:rStyle w:val="OperatorTok"/>
        </w:rPr>
        <w:t xml:space="preserve">=</w:t>
      </w:r>
      <w:r>
        <w:rPr>
          <w:rStyle w:val="NormalTok"/>
        </w:rPr>
        <w:t xml:space="preserve"> simulate_mm1(lam, mu)</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lam</w:t>
      </w:r>
      <w:r>
        <w:rPr>
          <w:rStyle w:val="OperatorTok"/>
        </w:rPr>
        <w:t xml:space="preserve">/</w:t>
      </w:r>
      <w:r>
        <w:rPr>
          <w:rStyle w:val="NormalTok"/>
        </w:rPr>
        <w:t xml:space="preserve">mu</w:t>
      </w:r>
      <w:r>
        <w:rPr>
          <w:rStyle w:val="SpecialCharTok"/>
        </w:rPr>
        <w:t xml:space="preserve">:4.2f}</w:t>
      </w:r>
      <w:r>
        <w:rPr>
          <w:rStyle w:val="SpecialStringTok"/>
        </w:rPr>
        <w:t xml:space="preserve">   </w:t>
      </w:r>
      <w:r>
        <w:rPr>
          <w:rStyle w:val="SpecialCharTok"/>
        </w:rPr>
        <w:t xml:space="preserve">{</w:t>
      </w:r>
      <w:r>
        <w:rPr>
          <w:rStyle w:val="NormalTok"/>
        </w:rPr>
        <w:t xml:space="preserve">formula</w:t>
      </w:r>
      <w:r>
        <w:rPr>
          <w:rStyle w:val="OperatorTok"/>
        </w:rPr>
        <w:t xml:space="preserve">*</w:t>
      </w:r>
      <w:r>
        <w:rPr>
          <w:rStyle w:val="DecValTok"/>
        </w:rPr>
        <w:t xml:space="preserve">1000</w:t>
      </w:r>
      <w:r>
        <w:rPr>
          <w:rStyle w:val="SpecialCharTok"/>
        </w:rPr>
        <w:t xml:space="preserve">:12.1f}</w:t>
      </w:r>
      <w:r>
        <w:rPr>
          <w:rStyle w:val="SpecialStringTok"/>
        </w:rPr>
        <w:t xml:space="preserve">   </w:t>
      </w:r>
      <w:r>
        <w:rPr>
          <w:rStyle w:val="SpecialCharTok"/>
        </w:rPr>
        <w:t xml:space="preserve">{</w:t>
      </w:r>
      <w:r>
        <w:rPr>
          <w:rStyle w:val="NormalTok"/>
        </w:rPr>
        <w:t xml:space="preserve">sim</w:t>
      </w:r>
      <w:r>
        <w:rPr>
          <w:rStyle w:val="OperatorTok"/>
        </w:rPr>
        <w:t xml:space="preserve">*</w:t>
      </w:r>
      <w:r>
        <w:rPr>
          <w:rStyle w:val="DecValTok"/>
        </w:rPr>
        <w:t xml:space="preserve">1000</w:t>
      </w:r>
      <w:r>
        <w:rPr>
          <w:rStyle w:val="SpecialCharTok"/>
        </w:rPr>
        <w:t xml:space="preserve">:14.1f}</w:t>
      </w:r>
      <w:r>
        <w:rPr>
          <w:rStyle w:val="SpecialStringTok"/>
        </w:rPr>
        <w:t xml:space="preserve">"</w:t>
      </w:r>
      <w:r>
        <w:rPr>
          <w:rStyle w:val="NormalTok"/>
        </w:rPr>
        <w:t xml:space="preserve">)</w:t>
      </w:r>
    </w:p>
    <w:p>
      <w:pPr>
        <w:pStyle w:val="FirstParagraph"/>
      </w:pPr>
      <w:r>
        <w:t xml:space="preserve">Output:</w:t>
      </w:r>
    </w:p>
    <w:p>
      <w:pPr>
        <w:pStyle w:val="SourceCode"/>
      </w:pPr>
      <w:r>
        <w:rPr>
          <w:rStyle w:val="VerbatimChar"/>
        </w:rPr>
        <w:t xml:space="preserve"> rho   formula W (ms)   simulated W (ms)</w:t>
      </w:r>
      <w:r>
        <w:br/>
      </w:r>
      <w:r>
        <w:rPr>
          <w:rStyle w:val="VerbatimChar"/>
        </w:rPr>
        <w:t xml:space="preserve">0.50           20.0             20.0</w:t>
      </w:r>
      <w:r>
        <w:br/>
      </w:r>
      <w:r>
        <w:rPr>
          <w:rStyle w:val="VerbatimChar"/>
        </w:rPr>
        <w:t xml:space="preserve">0.80           50.0             49.7</w:t>
      </w:r>
      <w:r>
        <w:br/>
      </w:r>
      <w:r>
        <w:rPr>
          <w:rStyle w:val="VerbatimChar"/>
        </w:rPr>
        <w:t xml:space="preserve">0.90          100.0             98.6</w:t>
      </w:r>
      <w:r>
        <w:br/>
      </w:r>
      <w:r>
        <w:rPr>
          <w:rStyle w:val="VerbatimChar"/>
        </w:rPr>
        <w:t xml:space="preserve">0.95          200.0            220.4</w:t>
      </w:r>
      <w:r>
        <w:br/>
      </w:r>
      <w:r>
        <w:rPr>
          <w:rStyle w:val="VerbatimChar"/>
        </w:rPr>
        <w:t xml:space="preserve">0.99         1000.0           1059.1</w:t>
      </w:r>
    </w:p>
    <w:p>
      <w:pPr>
        <w:pStyle w:val="FirstParagraph"/>
      </w:pPr>
      <w:r>
        <w:t xml:space="preserve">What to notice:</w:t>
      </w:r>
    </w:p>
    <w:p>
      <w:pPr>
        <w:numPr>
          <w:ilvl w:val="0"/>
          <w:numId w:val="1110"/>
        </w:numPr>
        <w:pStyle w:val="Compact"/>
      </w:pPr>
      <w:r>
        <w:t xml:space="preserve">At moderate utilization 200,000 simulated requests match the formula to within about 1%.</w:t>
      </w:r>
    </w:p>
    <w:p>
      <w:pPr>
        <w:numPr>
          <w:ilvl w:val="0"/>
          <w:numId w:val="1110"/>
        </w:numPr>
        <w:pStyle w:val="Compact"/>
      </w:pPr>
      <w:r>
        <w:t xml:space="preserve">Near saturation the simulation is noisy (±6–10% here) even with 200,000 requests: the queue drifts through long busy periods, so averages converge slowly. Load tests near saturation need long runs for the same reason.</w:t>
      </w:r>
    </w:p>
    <w:p>
      <w:pPr>
        <w:numPr>
          <w:ilvl w:val="0"/>
          <w:numId w:val="1110"/>
        </w:numPr>
        <w:pStyle w:val="Compact"/>
      </w:pPr>
      <w:r>
        <w:rPr>
          <w:rStyle w:val="VerbatimChar"/>
        </w:rPr>
        <w:t xml:space="preserve">max(arrival, server_free_at)</w:t>
      </w:r>
      <w:r>
        <w:t xml:space="preserve"> </w:t>
      </w:r>
      <w:r>
        <w:t xml:space="preserve">is the entire queueing mechanism: waiting happens only when a job arrives before the previous one finishes.</w:t>
      </w:r>
    </w:p>
    <w:bookmarkEnd w:id="393"/>
    <w:bookmarkStart w:id="397" w:name="multiple-servers-mmc-intuition"/>
    <w:p>
      <w:pPr>
        <w:pStyle w:val="Heading3"/>
      </w:pPr>
      <w:r>
        <w:t xml:space="preserve">4.10.4 Multiple servers: M/M/c intuition</w:t>
      </w:r>
    </w:p>
    <w:p>
      <w:pPr>
        <w:pStyle w:val="FirstParagraph"/>
      </w:pPr>
      <w:r>
        <w:t xml:space="preserve">With</w:t>
      </w:r>
      <w:r>
        <w:t xml:space="preserve"> </w:t>
      </w:r>
      <m:oMath>
        <m:r>
          <m:t>c</m:t>
        </m:r>
      </m:oMath>
      <w:r>
        <w:t xml:space="preserve"> </w:t>
      </w:r>
      <w:r>
        <w:t xml:space="preserve">identical servers sharing</w:t>
      </w:r>
      <w:r>
        <w:t xml:space="preserve"> </w:t>
      </w:r>
      <w:r>
        <w:rPr>
          <w:bCs/>
          <w:b/>
        </w:rPr>
        <w:t xml:space="preserve">one queue</w:t>
      </w:r>
      <w:r>
        <w:t xml:space="preserve"> </w:t>
      </w:r>
      <w:r>
        <w:t xml:space="preserve">(M/M/c), a job waits only if all</w:t>
      </w:r>
      <w:r>
        <w:t xml:space="preserve"> </w:t>
      </w:r>
      <m:oMath>
        <m:r>
          <m:t>c</m:t>
        </m:r>
      </m:oMath>
      <w:r>
        <w:t xml:space="preserve"> </w:t>
      </w:r>
      <w:r>
        <w:t xml:space="preserve">servers are busy. The probability of waiting is given by the</w:t>
      </w:r>
      <w:r>
        <w:t xml:space="preserve"> </w:t>
      </w:r>
      <w:r>
        <w:rPr>
          <w:bCs/>
          <w:b/>
        </w:rPr>
        <w:t xml:space="preserve">Erlang C</w:t>
      </w:r>
      <w:r>
        <w:t xml:space="preserve"> </w:t>
      </w:r>
      <w:r>
        <w:t xml:space="preserve">formula; utilization is</w:t>
      </w:r>
      <w:r>
        <w:t xml:space="preserve"> </w:t>
      </w:r>
      <m:oMath>
        <m:r>
          <m:t>ρ</m:t>
        </m:r>
        <m:r>
          <m:rPr>
            <m:sty m:val="p"/>
          </m:rPr>
          <m:t>=</m:t>
        </m:r>
        <m:r>
          <m:t>λ</m:t>
        </m:r>
        <m:r>
          <m:rPr>
            <m:sty m:val="p"/>
          </m:rPr>
          <m:t>/</m:t>
        </m:r>
        <m:d>
          <m:dPr>
            <m:begChr m:val="("/>
            <m:endChr m:val=")"/>
            <m:sepChr m:val=""/>
            <m:grow/>
          </m:dPr>
          <m:e>
            <m:r>
              <m:t>c</m:t>
            </m:r>
            <m:r>
              <m:t>μ</m:t>
            </m:r>
          </m:e>
        </m:d>
      </m:oMath>
      <w:r>
        <w:t xml:space="preserve">.</w:t>
      </w:r>
    </w:p>
    <w:p>
      <w:pPr>
        <w:pStyle w:val="CalloutFormula"/>
      </w:pPr>
      <w:r>
        <w:rPr>
          <w:bCs/>
          <w:b/>
        </w:rPr>
        <w:t xml:space="preserve">FORMULA</w:t>
      </w:r>
    </w:p>
    <w:p>
      <w:pPr>
        <w:pStyle w:val="CalloutFormula"/>
      </w:pPr>
      <w:r>
        <w:rPr>
          <w:bCs/>
          <w:b/>
        </w:rPr>
        <w:t xml:space="preserve">M/M/c (Erlang C)</w:t>
      </w:r>
    </w:p>
    <w:p>
      <w:pPr>
        <w:pStyle w:val="CalloutFormula"/>
      </w:pPr>
      <m:oMathPara>
        <m:oMathParaPr>
          <m:jc m:val="center"/>
        </m:oMathParaPr>
        <m:oMath>
          <m:r>
            <m:t>a</m:t>
          </m:r>
          <m:r>
            <m:rPr>
              <m:sty m:val="p"/>
            </m:rPr>
            <m:t>=</m:t>
          </m:r>
          <m:f>
            <m:fPr>
              <m:type m:val="bar"/>
            </m:fPr>
            <m:num>
              <m:r>
                <m:t>λ</m:t>
              </m:r>
            </m:num>
            <m:den>
              <m:r>
                <m:t>μ</m:t>
              </m:r>
            </m:den>
          </m:f>
          <m:r>
            <m:rPr>
              <m:sty m:val="p"/>
            </m:rPr>
            <m:t>,</m:t>
          </m:r>
          <m:r>
            <m:t> </m:t>
          </m:r>
          <m:r>
            <m:t>ρ</m:t>
          </m:r>
          <m:r>
            <m:rPr>
              <m:sty m:val="p"/>
            </m:rPr>
            <m:t>=</m:t>
          </m:r>
          <m:f>
            <m:fPr>
              <m:type m:val="bar"/>
            </m:fPr>
            <m:num>
              <m:r>
                <m:t>a</m:t>
              </m:r>
            </m:num>
            <m:den>
              <m:r>
                <m:t>c</m:t>
              </m:r>
            </m:den>
          </m:f>
          <m:r>
            <m:rPr>
              <m:sty m:val="p"/>
            </m:rPr>
            <m:t>,</m:t>
          </m:r>
          <m:r>
            <m:t> </m:t>
          </m:r>
          <m:sSub>
            <m:e>
              <m:r>
                <m:t>P</m:t>
              </m:r>
            </m:e>
            <m:sub>
              <m:r>
                <m:rPr>
                  <m:nor/>
                  <m:sty m:val="p"/>
                </m:rPr>
                <m:t>wait</m:t>
              </m:r>
            </m:sub>
          </m:sSub>
          <m:r>
            <m:rPr>
              <m:sty m:val="p"/>
            </m:rPr>
            <m:t>=</m:t>
          </m:r>
          <m:f>
            <m:fPr>
              <m:type m:val="bar"/>
            </m:fPr>
            <m:num>
              <m:f>
                <m:fPr>
                  <m:type m:val="bar"/>
                </m:fPr>
                <m:num>
                  <m:sSup>
                    <m:e>
                      <m:r>
                        <m:t>a</m:t>
                      </m:r>
                    </m:e>
                    <m:sup>
                      <m:r>
                        <m:t>c</m:t>
                      </m:r>
                    </m:sup>
                  </m:sSup>
                </m:num>
                <m:den>
                  <m:r>
                    <m:t>c</m:t>
                  </m:r>
                  <m:r>
                    <m:rPr>
                      <m:sty m:val="p"/>
                    </m:rPr>
                    <m:t>!</m:t>
                  </m:r>
                  <m:r>
                    <m:t> </m:t>
                  </m:r>
                  <m:d>
                    <m:dPr>
                      <m:begChr m:val="("/>
                      <m:endChr m:val=")"/>
                      <m:sepChr m:val=""/>
                      <m:grow/>
                    </m:dPr>
                    <m:e>
                      <m:r>
                        <m:t>1</m:t>
                      </m:r>
                      <m:r>
                        <m:rPr>
                          <m:sty m:val="p"/>
                        </m:rPr>
                        <m:t>−</m:t>
                      </m:r>
                      <m:r>
                        <m:t>ρ</m:t>
                      </m:r>
                    </m:e>
                  </m:d>
                </m:den>
              </m:f>
            </m:num>
            <m:den>
              <m:nary>
                <m:naryPr>
                  <m:chr m:val="∑"/>
                  <m:limLoc m:val="undOvr"/>
                  <m:subHide m:val="off"/>
                  <m:supHide m:val="off"/>
                </m:naryPr>
                <m:sub>
                  <m:r>
                    <m:t>k</m:t>
                  </m:r>
                  <m:r>
                    <m:rPr>
                      <m:sty m:val="p"/>
                    </m:rPr>
                    <m:t>=</m:t>
                  </m:r>
                  <m:r>
                    <m:t>0</m:t>
                  </m:r>
                </m:sub>
                <m:sup>
                  <m:r>
                    <m:t>c</m:t>
                  </m:r>
                  <m:r>
                    <m:rPr>
                      <m:sty m:val="p"/>
                    </m:rPr>
                    <m:t>−</m:t>
                  </m:r>
                  <m:r>
                    <m:t>1</m:t>
                  </m:r>
                </m:sup>
                <m:e>
                  <m:f>
                    <m:fPr>
                      <m:type m:val="bar"/>
                    </m:fPr>
                    <m:num>
                      <m:sSup>
                        <m:e>
                          <m:r>
                            <m:t>a</m:t>
                          </m:r>
                        </m:e>
                        <m:sup>
                          <m:r>
                            <m:t>k</m:t>
                          </m:r>
                        </m:sup>
                      </m:sSup>
                    </m:num>
                    <m:den>
                      <m:r>
                        <m:t>k</m:t>
                      </m:r>
                      <m:r>
                        <m:rPr>
                          <m:sty m:val="p"/>
                        </m:rPr>
                        <m:t>!</m:t>
                      </m:r>
                    </m:den>
                  </m:f>
                </m:e>
              </m:nary>
              <m:r>
                <m:rPr>
                  <m:sty m:val="p"/>
                </m:rPr>
                <m:t>+</m:t>
              </m:r>
              <m:f>
                <m:fPr>
                  <m:type m:val="bar"/>
                </m:fPr>
                <m:num>
                  <m:sSup>
                    <m:e>
                      <m:r>
                        <m:t>a</m:t>
                      </m:r>
                    </m:e>
                    <m:sup>
                      <m:r>
                        <m:t>c</m:t>
                      </m:r>
                    </m:sup>
                  </m:sSup>
                </m:num>
                <m:den>
                  <m:r>
                    <m:t>c</m:t>
                  </m:r>
                  <m:r>
                    <m:rPr>
                      <m:sty m:val="p"/>
                    </m:rPr>
                    <m:t>!</m:t>
                  </m:r>
                  <m:r>
                    <m:t> </m:t>
                  </m:r>
                  <m:d>
                    <m:dPr>
                      <m:begChr m:val="("/>
                      <m:endChr m:val=")"/>
                      <m:sepChr m:val=""/>
                      <m:grow/>
                    </m:dPr>
                    <m:e>
                      <m:r>
                        <m:t>1</m:t>
                      </m:r>
                      <m:r>
                        <m:rPr>
                          <m:sty m:val="p"/>
                        </m:rPr>
                        <m:t>−</m:t>
                      </m:r>
                      <m:r>
                        <m:t>ρ</m:t>
                      </m:r>
                    </m:e>
                  </m:d>
                </m:den>
              </m:f>
            </m:den>
          </m:f>
          <m:r>
            <m:rPr>
              <m:sty m:val="p"/>
            </m:rPr>
            <m:t>,</m:t>
          </m:r>
          <m:r>
            <m:t> </m:t>
          </m:r>
          <m:r>
            <m:t>W</m:t>
          </m:r>
          <m:r>
            <m:rPr>
              <m:sty m:val="p"/>
            </m:rPr>
            <m:t>=</m:t>
          </m:r>
          <m:f>
            <m:fPr>
              <m:type m:val="bar"/>
            </m:fPr>
            <m:num>
              <m:sSub>
                <m:e>
                  <m:r>
                    <m:t>P</m:t>
                  </m:r>
                </m:e>
                <m:sub>
                  <m:r>
                    <m:rPr>
                      <m:nor/>
                      <m:sty m:val="p"/>
                    </m:rPr>
                    <m:t>wait</m:t>
                  </m:r>
                </m:sub>
              </m:sSub>
            </m:num>
            <m:den>
              <m:r>
                <m:t>c</m:t>
              </m:r>
              <m:r>
                <m:t>μ</m:t>
              </m:r>
              <m:r>
                <m:rPr>
                  <m:sty m:val="p"/>
                </m:rPr>
                <m:t>−</m:t>
              </m:r>
              <m:r>
                <m:t>λ</m:t>
              </m:r>
            </m:den>
          </m:f>
          <m:r>
            <m:rPr>
              <m:sty m:val="p"/>
            </m:rPr>
            <m:t>+</m:t>
          </m:r>
          <m:f>
            <m:fPr>
              <m:type m:val="bar"/>
            </m:fPr>
            <m:num>
              <m:r>
                <m:t>1</m:t>
              </m:r>
            </m:num>
            <m:den>
              <m:r>
                <m:t>μ</m:t>
              </m:r>
            </m:den>
          </m:f>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c</m:t>
              </m:r>
            </m:oMath>
          </w:p>
        </w:tc>
        <w:tc>
          <w:tcPr/>
          <w:p>
            <w:pPr>
              <w:pStyle w:val="Compact"/>
              <w:jc w:val="left"/>
            </w:pPr>
            <w:r>
              <w:t xml:space="preserve">Number of servers sharing one queue</w:t>
            </w:r>
          </w:p>
        </w:tc>
        <w:tc>
          <w:tcPr/>
          <w:p>
            <w:pPr>
              <w:pStyle w:val="Compact"/>
              <w:jc w:val="left"/>
            </w:pPr>
            <w:r>
              <w:t xml:space="preserve">count</w:t>
            </w:r>
          </w:p>
        </w:tc>
      </w:tr>
      <w:tr>
        <w:tc>
          <w:tcPr/>
          <w:p>
            <w:pPr>
              <w:pStyle w:val="Compact"/>
              <w:jc w:val="left"/>
            </w:pPr>
            <m:oMath>
              <m:r>
                <m:t>μ</m:t>
              </m:r>
            </m:oMath>
          </w:p>
        </w:tc>
        <w:tc>
          <w:tcPr/>
          <w:p>
            <w:pPr>
              <w:pStyle w:val="Compact"/>
              <w:jc w:val="left"/>
            </w:pPr>
            <w:r>
              <w:t xml:space="preserve">Service rate of</w:t>
            </w:r>
            <w:r>
              <w:t xml:space="preserve"> </w:t>
            </w:r>
            <w:r>
              <w:rPr>
                <w:iCs/>
                <w:i/>
              </w:rPr>
              <w:t xml:space="preserve">each</w:t>
            </w:r>
            <w:r>
              <w:t xml:space="preserve"> </w:t>
            </w:r>
            <w:r>
              <w:t xml:space="preserve">server</w:t>
            </w:r>
          </w:p>
        </w:tc>
        <w:tc>
          <w:tcPr/>
          <w:p>
            <w:pPr>
              <w:pStyle w:val="Compact"/>
              <w:jc w:val="left"/>
            </w:pPr>
            <w:r>
              <w:t xml:space="preserve">jobs/second</w:t>
            </w:r>
          </w:p>
        </w:tc>
      </w:tr>
      <w:tr>
        <w:tc>
          <w:tcPr/>
          <w:p>
            <w:pPr>
              <w:pStyle w:val="Compact"/>
              <w:jc w:val="left"/>
            </w:pPr>
            <m:oMath>
              <m:r>
                <m:t>a</m:t>
              </m:r>
            </m:oMath>
          </w:p>
        </w:tc>
        <w:tc>
          <w:tcPr/>
          <w:p>
            <w:pPr>
              <w:pStyle w:val="Compact"/>
              <w:jc w:val="left"/>
            </w:pPr>
            <w:r>
              <w:t xml:space="preserve">Offered load: average number of busy servers</w:t>
            </w:r>
          </w:p>
        </w:tc>
        <w:tc>
          <w:tcPr/>
          <w:p>
            <w:pPr>
              <w:pStyle w:val="Compact"/>
              <w:jc w:val="left"/>
            </w:pPr>
            <w:r>
              <w:t xml:space="preserve">servers (Erlangs)</w:t>
            </w:r>
          </w:p>
        </w:tc>
      </w:tr>
      <w:tr>
        <w:tc>
          <w:tcPr/>
          <w:p>
            <w:pPr>
              <w:pStyle w:val="Compact"/>
              <w:jc w:val="left"/>
            </w:pPr>
            <m:oMath>
              <m:r>
                <m:t>ρ</m:t>
              </m:r>
            </m:oMath>
          </w:p>
        </w:tc>
        <w:tc>
          <w:tcPr/>
          <w:p>
            <w:pPr>
              <w:pStyle w:val="Compact"/>
              <w:jc w:val="left"/>
            </w:pPr>
            <w:r>
              <w:t xml:space="preserve">Per-server utilization (</w:t>
            </w:r>
            <m:oMath>
              <m:r>
                <m:rPr>
                  <m:sty m:val="p"/>
                </m:rPr>
                <m:t>&lt;</m:t>
              </m:r>
              <m:r>
                <m:t>1</m:t>
              </m:r>
            </m:oMath>
            <w:r>
              <w:t xml:space="preserve">)</w:t>
            </w:r>
          </w:p>
        </w:tc>
        <w:tc>
          <w:tcPr/>
          <w:p>
            <w:pPr>
              <w:pStyle w:val="Compact"/>
              <w:jc w:val="left"/>
            </w:pPr>
            <w:r>
              <w:t xml:space="preserve">dimensionless</w:t>
            </w:r>
          </w:p>
        </w:tc>
      </w:tr>
      <w:tr>
        <w:tc>
          <w:tcPr/>
          <w:p>
            <w:pPr>
              <w:pStyle w:val="Compact"/>
              <w:jc w:val="left"/>
            </w:pPr>
            <m:oMath>
              <m:sSub>
                <m:e>
                  <m:r>
                    <m:t>P</m:t>
                  </m:r>
                </m:e>
                <m:sub>
                  <m:r>
                    <m:rPr>
                      <m:nor/>
                      <m:sty m:val="p"/>
                    </m:rPr>
                    <m:t>wait</m:t>
                  </m:r>
                </m:sub>
              </m:sSub>
            </m:oMath>
          </w:p>
        </w:tc>
        <w:tc>
          <w:tcPr/>
          <w:p>
            <w:pPr>
              <w:pStyle w:val="Compact"/>
              <w:jc w:val="left"/>
            </w:pPr>
            <w:r>
              <w:t xml:space="preserve">Probability an arriving job finds all servers busy</w:t>
            </w:r>
          </w:p>
        </w:tc>
        <w:tc>
          <w:tcPr/>
          <w:p>
            <w:pPr>
              <w:pStyle w:val="Compact"/>
              <w:jc w:val="left"/>
            </w:pPr>
            <w:r>
              <w:t xml:space="preserve">dimensionless</w:t>
            </w:r>
          </w:p>
        </w:tc>
      </w:tr>
      <w:tr>
        <w:tc>
          <w:tcPr/>
          <w:p>
            <w:pPr>
              <w:pStyle w:val="Compact"/>
              <w:jc w:val="left"/>
            </w:pPr>
            <m:oMath>
              <m:r>
                <m:t>W</m:t>
              </m:r>
            </m:oMath>
          </w:p>
        </w:tc>
        <w:tc>
          <w:tcPr/>
          <w:p>
            <w:pPr>
              <w:pStyle w:val="Compact"/>
              <w:jc w:val="left"/>
            </w:pPr>
            <w:r>
              <w:t xml:space="preserve">Mean response time</w:t>
            </w:r>
          </w:p>
        </w:tc>
        <w:tc>
          <w:tcPr/>
          <w:p>
            <w:pPr>
              <w:pStyle w:val="Compact"/>
              <w:jc w:val="left"/>
            </w:pPr>
            <w:r>
              <w:t xml:space="preserve">seconds</w:t>
            </w:r>
          </w:p>
        </w:tc>
      </w:tr>
    </w:tbl>
    <w:p>
      <w:pPr>
        <w:pStyle w:val="BodyText"/>
      </w:pPr>
      <w:r>
        <w:rPr>
          <w:bCs/>
          <w:b/>
        </w:rPr>
        <w:t xml:space="preserve">Figure 4.4 — One shared queue versus separate queues.</w:t>
      </w:r>
    </w:p>
    <w:p>
      <w:pPr>
        <w:pStyle w:val="BodyText"/>
      </w:pPr>
      <w:r>
        <w:drawing>
          <wp:inline>
            <wp:extent cx="5334000" cy="8491151"/>
            <wp:effectExtent b="0" l="0" r="0" t="0"/>
            <wp:docPr descr="" title="" id="395" name="Picture"/>
            <a:graphic>
              <a:graphicData uri="http://schemas.openxmlformats.org/drawingml/2006/picture">
                <pic:pic>
                  <pic:nvPicPr>
                    <pic:cNvPr descr="/home/user/System-Design/build/.cache/diagrams/84219aca5cfc.png" id="396" name="Picture"/>
                    <pic:cNvPicPr>
                      <a:picLocks noChangeArrowheads="1" noChangeAspect="1"/>
                    </pic:cNvPicPr>
                  </pic:nvPicPr>
                  <pic:blipFill>
                    <a:blip r:embed="rId394"/>
                    <a:stretch>
                      <a:fillRect/>
                    </a:stretch>
                  </pic:blipFill>
                  <pic:spPr bwMode="auto">
                    <a:xfrm>
                      <a:off x="0" y="0"/>
                      <a:ext cx="5334000" cy="8491151"/>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Both subgraphs have the same hardware (two servers at 50 jobs/s) and the same demand (80 jobs/s,</w:t>
      </w:r>
      <w:r>
        <w:t xml:space="preserve"> </w:t>
      </w:r>
      <m:oMath>
        <m:r>
          <m:t>ρ</m:t>
        </m:r>
        <m:r>
          <m:rPr>
            <m:sty m:val="p"/>
          </m:rPr>
          <m:t>=</m:t>
        </m:r>
        <m:r>
          <m:t>0.8</m:t>
        </m:r>
      </m:oMath>
      <w:r>
        <w:t xml:space="preserve">). On the left, any idle server takes the next job from a shared queue. On the right, each job is assigned to a server’s private queue at arrival, so one queue can hold waiting jobs while the other server sits idle. All paths are synchronous hand-offs. The failure point on the right is</w:t>
      </w:r>
      <w:r>
        <w:t xml:space="preserve"> </w:t>
      </w:r>
      <w:r>
        <w:rPr>
          <w:iCs/>
          <w:i/>
        </w:rPr>
        <w:t xml:space="preserve">imbalance</w:t>
      </w:r>
      <w:r>
        <w:t xml:space="preserve">; the scaling lesson is that pooling beats partitioning for latency.</w:t>
      </w:r>
    </w:p>
    <w:p>
      <w:pPr>
        <w:pStyle w:val="CalloutExample"/>
      </w:pPr>
      <w:r>
        <w:rPr>
          <w:bCs/>
          <w:b/>
        </w:rPr>
        <w:t xml:space="preserve">WORKED EXAMPLE</w:t>
      </w:r>
    </w:p>
    <w:p>
      <w:pPr>
        <w:pStyle w:val="CalloutExample"/>
      </w:pPr>
      <w:r>
        <w:rPr>
          <w:bCs/>
          <w:b/>
        </w:rPr>
        <w:t xml:space="preserve">Worked example — Pooling.</w:t>
      </w:r>
      <w:r>
        <w:t xml:space="preserve"> </w:t>
      </w:r>
      <m:oMath>
        <m:r>
          <m:t>λ</m:t>
        </m:r>
        <m:r>
          <m:rPr>
            <m:sty m:val="p"/>
          </m:rPr>
          <m:t>=</m:t>
        </m:r>
        <m:r>
          <m:t>80</m:t>
        </m:r>
      </m:oMath>
      <w:r>
        <w:t xml:space="preserve">/s; compare three designs with 100 jobs/s of total capacity.</w:t>
      </w:r>
    </w:p>
    <w:p>
      <w:pPr>
        <w:numPr>
          <w:ilvl w:val="0"/>
          <w:numId w:val="1111"/>
        </w:numPr>
        <w:pStyle w:val="Compact"/>
      </w:pPr>
      <w:r>
        <w:rPr>
          <w:iCs/>
          <w:i/>
        </w:rPr>
        <w:t xml:space="preserve">One fast server</w:t>
      </w:r>
      <w:r>
        <w:t xml:space="preserve"> </w:t>
      </w:r>
      <w:r>
        <w:t xml:space="preserve">(M/M/1,</w:t>
      </w:r>
      <w:r>
        <w:t xml:space="preserve"> </w:t>
      </w:r>
      <m:oMath>
        <m:r>
          <m:t>μ</m:t>
        </m:r>
        <m:r>
          <m:rPr>
            <m:sty m:val="p"/>
          </m:rPr>
          <m:t>=</m:t>
        </m:r>
        <m:r>
          <m:t>100</m:t>
        </m:r>
      </m:oMath>
      <w:r>
        <w:t xml:space="preserve">):</w:t>
      </w:r>
      <w:r>
        <w:t xml:space="preserve"> </w:t>
      </w:r>
      <m:oMath>
        <m:r>
          <m:t>W</m:t>
        </m:r>
        <m:r>
          <m:rPr>
            <m:sty m:val="p"/>
          </m:rPr>
          <m:t>=</m:t>
        </m:r>
        <m:r>
          <m:t>1</m:t>
        </m:r>
        <m:r>
          <m:rPr>
            <m:sty m:val="p"/>
          </m:rPr>
          <m:t>/</m:t>
        </m:r>
        <m:d>
          <m:dPr>
            <m:begChr m:val="("/>
            <m:endChr m:val=")"/>
            <m:sepChr m:val=""/>
            <m:grow/>
          </m:dPr>
          <m:e>
            <m:r>
              <m:t>100</m:t>
            </m:r>
            <m:r>
              <m:rPr>
                <m:sty m:val="p"/>
              </m:rPr>
              <m:t>−</m:t>
            </m:r>
            <m:r>
              <m:t>80</m:t>
            </m:r>
          </m:e>
        </m:d>
        <m:r>
          <m:rPr>
            <m:sty m:val="p"/>
          </m:rPr>
          <m:t>=</m:t>
        </m:r>
        <m:r>
          <m:t>50</m:t>
        </m:r>
      </m:oMath>
      <w:r>
        <w:t xml:space="preserve"> </w:t>
      </w:r>
      <w:r>
        <w:t xml:space="preserve">ms.</w:t>
      </w:r>
    </w:p>
    <w:p>
      <w:pPr>
        <w:numPr>
          <w:ilvl w:val="0"/>
          <w:numId w:val="1111"/>
        </w:numPr>
        <w:pStyle w:val="Compact"/>
      </w:pPr>
      <w:r>
        <w:rPr>
          <w:iCs/>
          <w:i/>
        </w:rPr>
        <w:t xml:space="preserve">Two slow servers, separate queues</w:t>
      </w:r>
      <w:r>
        <w:t xml:space="preserve"> </w:t>
      </w:r>
      <w:r>
        <w:t xml:space="preserve">(each M/M/1 with</w:t>
      </w:r>
      <w:r>
        <w:t xml:space="preserve"> </w:t>
      </w:r>
      <m:oMath>
        <m:r>
          <m:t>λ</m:t>
        </m:r>
        <m:r>
          <m:rPr>
            <m:sty m:val="p"/>
          </m:rPr>
          <m:t>=</m:t>
        </m:r>
        <m:r>
          <m:t>40</m:t>
        </m:r>
      </m:oMath>
      <w:r>
        <w:t xml:space="preserve">,</w:t>
      </w:r>
      <w:r>
        <w:t xml:space="preserve"> </w:t>
      </w:r>
      <m:oMath>
        <m:r>
          <m:t>μ</m:t>
        </m:r>
        <m:r>
          <m:rPr>
            <m:sty m:val="p"/>
          </m:rPr>
          <m:t>=</m:t>
        </m:r>
        <m:r>
          <m:t>50</m:t>
        </m:r>
      </m:oMath>
      <w:r>
        <w:t xml:space="preserve">):</w:t>
      </w:r>
      <w:r>
        <w:t xml:space="preserve"> </w:t>
      </w:r>
      <m:oMath>
        <m:r>
          <m:t>W</m:t>
        </m:r>
        <m:r>
          <m:rPr>
            <m:sty m:val="p"/>
          </m:rPr>
          <m:t>=</m:t>
        </m:r>
        <m:r>
          <m:t>1</m:t>
        </m:r>
        <m:r>
          <m:rPr>
            <m:sty m:val="p"/>
          </m:rPr>
          <m:t>/</m:t>
        </m:r>
        <m:d>
          <m:dPr>
            <m:begChr m:val="("/>
            <m:endChr m:val=")"/>
            <m:sepChr m:val=""/>
            <m:grow/>
          </m:dPr>
          <m:e>
            <m:r>
              <m:t>50</m:t>
            </m:r>
            <m:r>
              <m:rPr>
                <m:sty m:val="p"/>
              </m:rPr>
              <m:t>−</m:t>
            </m:r>
            <m:r>
              <m:t>40</m:t>
            </m:r>
          </m:e>
        </m:d>
        <m:r>
          <m:rPr>
            <m:sty m:val="p"/>
          </m:rPr>
          <m:t>=</m:t>
        </m:r>
        <m:r>
          <m:t>100</m:t>
        </m:r>
      </m:oMath>
      <w:r>
        <w:t xml:space="preserve"> </w:t>
      </w:r>
      <w:r>
        <w:t xml:space="preserve">ms.</w:t>
      </w:r>
    </w:p>
    <w:p>
      <w:pPr>
        <w:numPr>
          <w:ilvl w:val="0"/>
          <w:numId w:val="1111"/>
        </w:numPr>
        <w:pStyle w:val="Compact"/>
      </w:pPr>
      <w:r>
        <w:rPr>
          <w:iCs/>
          <w:i/>
        </w:rPr>
        <w:t xml:space="preserve">Two slow servers, shared queue</w:t>
      </w:r>
      <w:r>
        <w:t xml:space="preserve"> </w:t>
      </w:r>
      <w:r>
        <w:t xml:space="preserve">(M/M/2,</w:t>
      </w:r>
      <w:r>
        <w:t xml:space="preserve"> </w:t>
      </w:r>
      <m:oMath>
        <m:r>
          <m:t>μ</m:t>
        </m:r>
        <m:r>
          <m:rPr>
            <m:sty m:val="p"/>
          </m:rPr>
          <m:t>=</m:t>
        </m:r>
        <m:r>
          <m:t>50</m:t>
        </m:r>
      </m:oMath>
      <w:r>
        <w:t xml:space="preserve">):</w:t>
      </w:r>
      <w:r>
        <w:t xml:space="preserve"> </w:t>
      </w:r>
      <m:oMath>
        <m:r>
          <m:t>a</m:t>
        </m:r>
        <m:r>
          <m:rPr>
            <m:sty m:val="p"/>
          </m:rPr>
          <m:t>=</m:t>
        </m:r>
        <m:r>
          <m:t>80</m:t>
        </m:r>
        <m:r>
          <m:rPr>
            <m:sty m:val="p"/>
          </m:rPr>
          <m:t>/</m:t>
        </m:r>
        <m:r>
          <m:t>50</m:t>
        </m:r>
        <m:r>
          <m:rPr>
            <m:sty m:val="p"/>
          </m:rPr>
          <m:t>=</m:t>
        </m:r>
        <m:r>
          <m:t>1.6</m:t>
        </m:r>
      </m:oMath>
      <w:r>
        <w:t xml:space="preserve">,</w:t>
      </w:r>
      <w:r>
        <w:t xml:space="preserve"> </w:t>
      </w:r>
      <m:oMath>
        <m:r>
          <m:t>ρ</m:t>
        </m:r>
        <m:r>
          <m:rPr>
            <m:sty m:val="p"/>
          </m:rPr>
          <m:t>=</m:t>
        </m:r>
        <m:r>
          <m:t>0.8</m:t>
        </m:r>
      </m:oMath>
      <w:r>
        <w:t xml:space="preserve">. Numerator:</w:t>
      </w:r>
      <w:r>
        <w:t xml:space="preserve"> </w:t>
      </w:r>
      <m:oMath>
        <m:sSup>
          <m:e>
            <m:r>
              <m:t>a</m:t>
            </m:r>
          </m:e>
          <m:sup>
            <m:r>
              <m:t>2</m:t>
            </m:r>
          </m:sup>
        </m:sSup>
        <m:r>
          <m:rPr>
            <m:sty m:val="p"/>
          </m:rPr>
          <m:t>/</m:t>
        </m:r>
        <m:d>
          <m:dPr>
            <m:begChr m:val="("/>
            <m:endChr m:val=")"/>
            <m:sepChr m:val=""/>
            <m:grow/>
          </m:dPr>
          <m:e>
            <m:r>
              <m:t>2</m:t>
            </m:r>
            <m:r>
              <m:rPr>
                <m:sty m:val="p"/>
              </m:rPr>
              <m:t>!</m:t>
            </m:r>
            <m:r>
              <m:t> </m:t>
            </m:r>
            <m:d>
              <m:dPr>
                <m:begChr m:val="("/>
                <m:endChr m:val=")"/>
                <m:sepChr m:val=""/>
                <m:grow/>
              </m:dPr>
              <m:e>
                <m:r>
                  <m:t>1</m:t>
                </m:r>
                <m:r>
                  <m:rPr>
                    <m:sty m:val="p"/>
                  </m:rPr>
                  <m:t>−</m:t>
                </m:r>
                <m:r>
                  <m:t>0.8</m:t>
                </m:r>
              </m:e>
            </m:d>
          </m:e>
        </m:d>
        <m:r>
          <m:rPr>
            <m:sty m:val="p"/>
          </m:rPr>
          <m:t>=</m:t>
        </m:r>
        <m:r>
          <m:t>2.56</m:t>
        </m:r>
        <m:r>
          <m:rPr>
            <m:sty m:val="p"/>
          </m:rPr>
          <m:t>/</m:t>
        </m:r>
        <m:r>
          <m:t>0.4</m:t>
        </m:r>
        <m:r>
          <m:rPr>
            <m:sty m:val="p"/>
          </m:rPr>
          <m:t>=</m:t>
        </m:r>
        <m:r>
          <m:t>6.4</m:t>
        </m:r>
      </m:oMath>
      <w:r>
        <w:t xml:space="preserve">. Denominator:</w:t>
      </w:r>
      <w:r>
        <w:t xml:space="preserve"> </w:t>
      </w:r>
      <m:oMath>
        <m:r>
          <m:t>1</m:t>
        </m:r>
        <m:r>
          <m:rPr>
            <m:sty m:val="p"/>
          </m:rPr>
          <m:t>+</m:t>
        </m:r>
        <m:r>
          <m:t>1.6</m:t>
        </m:r>
        <m:r>
          <m:rPr>
            <m:sty m:val="p"/>
          </m:rPr>
          <m:t>+</m:t>
        </m:r>
        <m:r>
          <m:t>6.4</m:t>
        </m:r>
        <m:r>
          <m:rPr>
            <m:sty m:val="p"/>
          </m:rPr>
          <m:t>=</m:t>
        </m:r>
        <m:r>
          <m:t>9</m:t>
        </m:r>
      </m:oMath>
      <w:r>
        <w:t xml:space="preserve">.</w:t>
      </w:r>
      <w:r>
        <w:t xml:space="preserve"> </w:t>
      </w:r>
      <m:oMath>
        <m:sSub>
          <m:e>
            <m:r>
              <m:t>P</m:t>
            </m:r>
          </m:e>
          <m:sub>
            <m:r>
              <m:rPr>
                <m:nor/>
                <m:sty m:val="p"/>
              </m:rPr>
              <m:t>wait</m:t>
            </m:r>
          </m:sub>
        </m:sSub>
        <m:r>
          <m:rPr>
            <m:sty m:val="p"/>
          </m:rPr>
          <m:t>=</m:t>
        </m:r>
        <m:r>
          <m:t>6.4</m:t>
        </m:r>
        <m:r>
          <m:rPr>
            <m:sty m:val="p"/>
          </m:rPr>
          <m:t>/</m:t>
        </m:r>
        <m:r>
          <m:t>9</m:t>
        </m:r>
        <m:r>
          <m:rPr>
            <m:sty m:val="p"/>
          </m:rPr>
          <m:t>=</m:t>
        </m:r>
        <m:r>
          <m:t>0.711</m:t>
        </m:r>
      </m:oMath>
      <w:r>
        <w:t xml:space="preserve">.</w:t>
      </w:r>
      <w:r>
        <w:t xml:space="preserve"> </w:t>
      </w:r>
      <m:oMath>
        <m:r>
          <m:t>W</m:t>
        </m:r>
        <m:r>
          <m:rPr>
            <m:sty m:val="p"/>
          </m:rPr>
          <m:t>=</m:t>
        </m:r>
        <m:r>
          <m:t>0.711</m:t>
        </m:r>
        <m:r>
          <m:rPr>
            <m:sty m:val="p"/>
          </m:rPr>
          <m:t>/</m:t>
        </m:r>
        <m:d>
          <m:dPr>
            <m:begChr m:val="("/>
            <m:endChr m:val=")"/>
            <m:sepChr m:val=""/>
            <m:grow/>
          </m:dPr>
          <m:e>
            <m:r>
              <m:t>100</m:t>
            </m:r>
            <m:r>
              <m:rPr>
                <m:sty m:val="p"/>
              </m:rPr>
              <m:t>−</m:t>
            </m:r>
            <m:r>
              <m:t>80</m:t>
            </m:r>
          </m:e>
        </m:d>
        <m:r>
          <m:rPr>
            <m:sty m:val="p"/>
          </m:rPr>
          <m:t>+</m:t>
        </m:r>
        <m:r>
          <m:t>1</m:t>
        </m:r>
        <m:r>
          <m:rPr>
            <m:sty m:val="p"/>
          </m:rPr>
          <m:t>/</m:t>
        </m:r>
        <m:r>
          <m:t>50</m:t>
        </m:r>
        <m:r>
          <m:rPr>
            <m:sty m:val="p"/>
          </m:rPr>
          <m:t>=</m:t>
        </m:r>
        <m:r>
          <m:t>0.0356</m:t>
        </m:r>
        <m:r>
          <m:rPr>
            <m:sty m:val="p"/>
          </m:rPr>
          <m:t>+</m:t>
        </m:r>
        <m:r>
          <m:t>0.020</m:t>
        </m:r>
        <m:r>
          <m:rPr>
            <m:sty m:val="p"/>
          </m:rPr>
          <m:t>=</m:t>
        </m:r>
        <m:r>
          <m:t>55.6</m:t>
        </m:r>
      </m:oMath>
      <w:r>
        <w:t xml:space="preserve"> </w:t>
      </w:r>
      <w:r>
        <w:t xml:space="preserve">ms.</w:t>
      </w:r>
    </w:p>
    <w:p>
      <w:pPr>
        <w:pStyle w:val="CalloutExample"/>
      </w:pPr>
      <w:r>
        <w:rPr>
          <w:bCs/>
          <w:b/>
        </w:rPr>
        <w:t xml:space="preserve">Interpretation.</w:t>
      </w:r>
      <w:r>
        <w:t xml:space="preserve"> </w:t>
      </w:r>
      <w:r>
        <w:t xml:space="preserve">The shared queue (55.6 ms) is nearly as good as one server twice as fast (50 ms) and almost twice as good as separate queues (100 ms) on identical hardware.</w:t>
      </w:r>
      <w:r>
        <w:t xml:space="preserve"> </w:t>
      </w:r>
      <w:r>
        <w:rPr>
          <w:bCs/>
          <w:b/>
        </w:rPr>
        <w:t xml:space="preserve">Engineering implication.</w:t>
      </w:r>
      <w:r>
        <w:t xml:space="preserve"> </w:t>
      </w:r>
      <w:r>
        <w:t xml:space="preserve">Prefer a shared work queue (one listen socket feeding a pool of workers, one broker topic with competing consumers) over static assignment. Load-balancing algorithms such as least-connections and power-of-two-choices (§19.4) approximate a shared queue across machines.</w:t>
      </w:r>
    </w:p>
    <w:p>
      <w:pPr>
        <w:pStyle w:val="SourceCode"/>
      </w:pPr>
      <w:r>
        <w:rPr>
          <w:rStyle w:val="ImportTok"/>
        </w:rPr>
        <w:t xml:space="preserve">import</w:t>
      </w:r>
      <w:r>
        <w:rPr>
          <w:rStyle w:val="NormalTok"/>
        </w:rPr>
        <w:t xml:space="preserve"> math</w:t>
      </w:r>
      <w:r>
        <w:br/>
      </w:r>
      <w:r>
        <w:br/>
      </w:r>
      <w:r>
        <w:rPr>
          <w:rStyle w:val="KeywordTok"/>
        </w:rPr>
        <w:t xml:space="preserve">def</w:t>
      </w:r>
      <w:r>
        <w:rPr>
          <w:rStyle w:val="NormalTok"/>
        </w:rPr>
        <w:t xml:space="preserve"> erlang_c(c, lam, mu):</w:t>
      </w:r>
      <w:r>
        <w:br/>
      </w:r>
      <w:r>
        <w:rPr>
          <w:rStyle w:val="NormalTok"/>
        </w:rPr>
        <w:t xml:space="preserve">    </w:t>
      </w:r>
      <w:r>
        <w:rPr>
          <w:rStyle w:val="CommentTok"/>
        </w:rPr>
        <w:t xml:space="preserve">"""Probability that an arriving request must wait (M/M/c, Erlang C)."""</w:t>
      </w:r>
      <w:r>
        <w:br/>
      </w:r>
      <w:r>
        <w:rPr>
          <w:rStyle w:val="NormalTok"/>
        </w:rPr>
        <w:t xml:space="preserve">    a </w:t>
      </w:r>
      <w:r>
        <w:rPr>
          <w:rStyle w:val="OperatorTok"/>
        </w:rPr>
        <w:t xml:space="preserve">=</w:t>
      </w:r>
      <w:r>
        <w:rPr>
          <w:rStyle w:val="NormalTok"/>
        </w:rPr>
        <w:t xml:space="preserve"> lam </w:t>
      </w:r>
      <w:r>
        <w:rPr>
          <w:rStyle w:val="OperatorTok"/>
        </w:rPr>
        <w:t xml:space="preserve">/</w:t>
      </w:r>
      <w:r>
        <w:rPr>
          <w:rStyle w:val="NormalTok"/>
        </w:rPr>
        <w:t xml:space="preserve"> mu                 </w:t>
      </w:r>
      <w:r>
        <w:rPr>
          <w:rStyle w:val="CommentTok"/>
        </w:rPr>
        <w:t xml:space="preserve"># offered load in "servers' worth" of work</w:t>
      </w:r>
      <w:r>
        <w:br/>
      </w:r>
      <w:r>
        <w:rPr>
          <w:rStyle w:val="NormalTok"/>
        </w:rPr>
        <w:t xml:space="preserve">    rho </w:t>
      </w:r>
      <w:r>
        <w:rPr>
          <w:rStyle w:val="OperatorTok"/>
        </w:rPr>
        <w:t xml:space="preserve">=</w:t>
      </w:r>
      <w:r>
        <w:rPr>
          <w:rStyle w:val="NormalTok"/>
        </w:rPr>
        <w:t xml:space="preserve"> a </w:t>
      </w:r>
      <w:r>
        <w:rPr>
          <w:rStyle w:val="OperatorTok"/>
        </w:rPr>
        <w:t xml:space="preserve">/</w:t>
      </w:r>
      <w:r>
        <w:rPr>
          <w:rStyle w:val="NormalTok"/>
        </w:rPr>
        <w:t xml:space="preserve"> c                  </w:t>
      </w:r>
      <w:r>
        <w:rPr>
          <w:rStyle w:val="CommentTok"/>
        </w:rPr>
        <w:t xml:space="preserve"># per-server utilization</w:t>
      </w:r>
      <w:r>
        <w:br/>
      </w:r>
      <w:r>
        <w:rPr>
          <w:rStyle w:val="NormalTok"/>
        </w:rPr>
        <w:t xml:space="preserve">    </w:t>
      </w:r>
      <w:r>
        <w:rPr>
          <w:rStyle w:val="ControlFlowTok"/>
        </w:rPr>
        <w:t xml:space="preserve">if</w:t>
      </w:r>
      <w:r>
        <w:rPr>
          <w:rStyle w:val="NormalTok"/>
        </w:rPr>
        <w:t xml:space="preserve"> rho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1.0</w:t>
      </w:r>
      <w:r>
        <w:br/>
      </w:r>
      <w:r>
        <w:rPr>
          <w:rStyle w:val="NormalTok"/>
        </w:rPr>
        <w:t xml:space="preserve">    top </w:t>
      </w:r>
      <w:r>
        <w:rPr>
          <w:rStyle w:val="OperatorTok"/>
        </w:rPr>
        <w:t xml:space="preserve">=</w:t>
      </w:r>
      <w:r>
        <w:rPr>
          <w:rStyle w:val="NormalTok"/>
        </w:rPr>
        <w:t xml:space="preserve"> a</w:t>
      </w:r>
      <w:r>
        <w:rPr>
          <w:rStyle w:val="OperatorTok"/>
        </w:rPr>
        <w:t xml:space="preserve">**</w:t>
      </w:r>
      <w:r>
        <w:rPr>
          <w:rStyle w:val="NormalTok"/>
        </w:rPr>
        <w:t xml:space="preserve">c </w:t>
      </w:r>
      <w:r>
        <w:rPr>
          <w:rStyle w:val="OperatorTok"/>
        </w:rPr>
        <w:t xml:space="preserve">/</w:t>
      </w:r>
      <w:r>
        <w:rPr>
          <w:rStyle w:val="NormalTok"/>
        </w:rPr>
        <w:t xml:space="preserve"> (math.factorial(c)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rho))</w:t>
      </w:r>
      <w:r>
        <w:br/>
      </w:r>
      <w:r>
        <w:rPr>
          <w:rStyle w:val="NormalTok"/>
        </w:rPr>
        <w:t xml:space="preserve">    bottom </w:t>
      </w:r>
      <w:r>
        <w:rPr>
          <w:rStyle w:val="OperatorTok"/>
        </w:rPr>
        <w:t xml:space="preserve">=</w:t>
      </w:r>
      <w:r>
        <w:rPr>
          <w:rStyle w:val="NormalTok"/>
        </w:rPr>
        <w:t xml:space="preserve"> </w:t>
      </w:r>
      <w:r>
        <w:rPr>
          <w:rStyle w:val="BuiltInTok"/>
        </w:rPr>
        <w:t xml:space="preserve">sum</w:t>
      </w:r>
      <w:r>
        <w:rPr>
          <w:rStyle w:val="NormalTok"/>
        </w:rPr>
        <w:t xml:space="preserve">(a</w:t>
      </w:r>
      <w:r>
        <w:rPr>
          <w:rStyle w:val="OperatorTok"/>
        </w:rPr>
        <w:t xml:space="preserve">**</w:t>
      </w:r>
      <w:r>
        <w:rPr>
          <w:rStyle w:val="NormalTok"/>
        </w:rPr>
        <w:t xml:space="preserve">k </w:t>
      </w:r>
      <w:r>
        <w:rPr>
          <w:rStyle w:val="OperatorTok"/>
        </w:rPr>
        <w:t xml:space="preserve">/</w:t>
      </w:r>
      <w:r>
        <w:rPr>
          <w:rStyle w:val="NormalTok"/>
        </w:rPr>
        <w:t xml:space="preserve"> math.factorial(k)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(c)) </w:t>
      </w:r>
      <w:r>
        <w:rPr>
          <w:rStyle w:val="OperatorTok"/>
        </w:rPr>
        <w:t xml:space="preserve">+</w:t>
      </w:r>
      <w:r>
        <w:rPr>
          <w:rStyle w:val="NormalTok"/>
        </w:rPr>
        <w:t xml:space="preserve"> top</w:t>
      </w:r>
      <w:r>
        <w:br/>
      </w:r>
      <w:r>
        <w:rPr>
          <w:rStyle w:val="NormalTok"/>
        </w:rPr>
        <w:t xml:space="preserve">    </w:t>
      </w:r>
      <w:r>
        <w:rPr>
          <w:rStyle w:val="ControlFlowTok"/>
        </w:rPr>
        <w:t xml:space="preserve">return</w:t>
      </w:r>
      <w:r>
        <w:rPr>
          <w:rStyle w:val="NormalTok"/>
        </w:rPr>
        <w:t xml:space="preserve"> top </w:t>
      </w:r>
      <w:r>
        <w:rPr>
          <w:rStyle w:val="OperatorTok"/>
        </w:rPr>
        <w:t xml:space="preserve">/</w:t>
      </w:r>
      <w:r>
        <w:rPr>
          <w:rStyle w:val="NormalTok"/>
        </w:rPr>
        <w:t xml:space="preserve"> bottom</w:t>
      </w:r>
      <w:r>
        <w:br/>
      </w:r>
      <w:r>
        <w:br/>
      </w:r>
      <w:r>
        <w:rPr>
          <w:rStyle w:val="KeywordTok"/>
        </w:rPr>
        <w:t xml:space="preserve">def</w:t>
      </w:r>
      <w:r>
        <w:rPr>
          <w:rStyle w:val="NormalTok"/>
        </w:rPr>
        <w:t xml:space="preserve"> mmc_response_time(c, lam, mu):</w:t>
      </w:r>
      <w:r>
        <w:br/>
      </w:r>
      <w:r>
        <w:rPr>
          <w:rStyle w:val="NormalTok"/>
        </w:rPr>
        <w:t xml:space="preserve">    </w:t>
      </w:r>
      <w:r>
        <w:rPr>
          <w:rStyle w:val="CommentTok"/>
        </w:rPr>
        <w:t xml:space="preserve">"""Mean time in system W for an M/M/c queue (seconds)."""</w:t>
      </w:r>
      <w:r>
        <w:br/>
      </w:r>
      <w:r>
        <w:rPr>
          <w:rStyle w:val="NormalTok"/>
        </w:rPr>
        <w:t xml:space="preserve">    wait </w:t>
      </w:r>
      <w:r>
        <w:rPr>
          <w:rStyle w:val="OperatorTok"/>
        </w:rPr>
        <w:t xml:space="preserve">=</w:t>
      </w:r>
      <w:r>
        <w:rPr>
          <w:rStyle w:val="NormalTok"/>
        </w:rPr>
        <w:t xml:space="preserve"> erlang_c(c, lam, mu) </w:t>
      </w:r>
      <w:r>
        <w:rPr>
          <w:rStyle w:val="OperatorTok"/>
        </w:rPr>
        <w:t xml:space="preserve">/</w:t>
      </w:r>
      <w:r>
        <w:rPr>
          <w:rStyle w:val="NormalTok"/>
        </w:rPr>
        <w:t xml:space="preserve"> (c </w:t>
      </w:r>
      <w:r>
        <w:rPr>
          <w:rStyle w:val="OperatorTok"/>
        </w:rPr>
        <w:t xml:space="preserve">*</w:t>
      </w:r>
      <w:r>
        <w:rPr>
          <w:rStyle w:val="NormalTok"/>
        </w:rPr>
        <w:t xml:space="preserve"> mu </w:t>
      </w:r>
      <w:r>
        <w:rPr>
          <w:rStyle w:val="OperatorTok"/>
        </w:rPr>
        <w:t xml:space="preserve">-</w:t>
      </w:r>
      <w:r>
        <w:rPr>
          <w:rStyle w:val="NormalTok"/>
        </w:rPr>
        <w:t xml:space="preserve"> lam)</w:t>
      </w:r>
      <w:r>
        <w:br/>
      </w:r>
      <w:r>
        <w:rPr>
          <w:rStyle w:val="NormalTok"/>
        </w:rPr>
        <w:t xml:space="preserve">    </w:t>
      </w:r>
      <w:r>
        <w:rPr>
          <w:rStyle w:val="ControlFlowTok"/>
        </w:rPr>
        <w:t xml:space="preserve">return</w:t>
      </w:r>
      <w:r>
        <w:rPr>
          <w:rStyle w:val="NormalTok"/>
        </w:rPr>
        <w:t xml:space="preserve"> wait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mu</w:t>
      </w:r>
      <w:r>
        <w:br/>
      </w:r>
      <w:r>
        <w:br/>
      </w:r>
      <w:r>
        <w:rPr>
          <w:rStyle w:val="NormalTok"/>
        </w:rPr>
        <w:t xml:space="preserve">lam </w:t>
      </w:r>
      <w:r>
        <w:rPr>
          <w:rStyle w:val="OperatorTok"/>
        </w:rPr>
        <w:t xml:space="preserve">=</w:t>
      </w:r>
      <w:r>
        <w:rPr>
          <w:rStyle w:val="NormalTok"/>
        </w:rPr>
        <w:t xml:space="preserve"> </w:t>
      </w:r>
      <w:r>
        <w:rPr>
          <w:rStyle w:val="FloatTok"/>
        </w:rPr>
        <w:t xml:space="preserve">80.0</w:t>
      </w:r>
      <w:r>
        <w:br/>
      </w:r>
      <w:r>
        <w:rPr>
          <w:rStyle w:val="BuiltInTok"/>
        </w:rPr>
        <w:t xml:space="preserve">print</w:t>
      </w:r>
      <w:r>
        <w:rPr>
          <w:rStyle w:val="NormalTok"/>
        </w:rPr>
        <w:t xml:space="preserve">(</w:t>
      </w:r>
      <w:r>
        <w:rPr>
          <w:rStyle w:val="SpecialStringTok"/>
        </w:rPr>
        <w:t xml:space="preserve">f"One fast server  (M/M/1, mu=100): W = </w:t>
      </w:r>
      <w:r>
        <w:rPr>
          <w:rStyle w:val="SpecialCharTok"/>
        </w:rPr>
        <w:t xml:space="preserve">{</w:t>
      </w:r>
      <w:r>
        <w:rPr>
          <w:rStyle w:val="NormalTok"/>
        </w:rPr>
        <w:t xml:space="preserve">mmc_response_time(</w:t>
      </w:r>
      <w:r>
        <w:rPr>
          <w:rStyle w:val="DecValTok"/>
        </w:rPr>
        <w:t xml:space="preserve">1</w:t>
      </w:r>
      <w:r>
        <w:rPr>
          <w:rStyle w:val="NormalTok"/>
        </w:rPr>
        <w:t xml:space="preserve">, lam, </w:t>
      </w:r>
      <w:r>
        <w:rPr>
          <w:rStyle w:val="DecValTok"/>
        </w:rPr>
        <w:t xml:space="preserve">100</w:t>
      </w:r>
      <w:r>
        <w:rPr>
          <w:rStyle w:val="NormalTok"/>
        </w:rPr>
        <w:t xml:space="preserve">)</w:t>
      </w:r>
      <w:r>
        <w:rPr>
          <w:rStyle w:val="OperatorTok"/>
        </w:rPr>
        <w:t xml:space="preserve">*</w:t>
      </w:r>
      <w:r>
        <w:rPr>
          <w:rStyle w:val="DecValTok"/>
        </w:rPr>
        <w:t xml:space="preserve">1000</w:t>
      </w:r>
      <w:r>
        <w:rPr>
          <w:rStyle w:val="SpecialCharTok"/>
        </w:rPr>
        <w:t xml:space="preserve">:.1f}</w:t>
      </w:r>
      <w:r>
        <w:rPr>
          <w:rStyle w:val="SpecialStringTok"/>
        </w:rPr>
        <w:t xml:space="preserve"> ms"</w:t>
      </w:r>
      <w:r>
        <w:rPr>
          <w:rStyle w:val="NormalTok"/>
        </w:rPr>
        <w:t xml:space="preserve">)</w:t>
      </w:r>
      <w:r>
        <w:br/>
      </w:r>
      <w:r>
        <w:rPr>
          <w:rStyle w:val="BuiltInTok"/>
        </w:rPr>
        <w:t xml:space="preserve">print</w:t>
      </w:r>
      <w:r>
        <w:rPr>
          <w:rStyle w:val="NormalTok"/>
        </w:rPr>
        <w:t xml:space="preserve">(</w:t>
      </w:r>
      <w:r>
        <w:rPr>
          <w:rStyle w:val="SpecialStringTok"/>
        </w:rPr>
        <w:t xml:space="preserve">f"Two slow servers, shared queue (M/M/2, mu=50 each): "</w:t>
      </w:r>
      <w:r>
        <w:br/>
      </w:r>
      <w:r>
        <w:rPr>
          <w:rStyle w:val="NormalTok"/>
        </w:rPr>
        <w:t xml:space="preserve">      </w:t>
      </w:r>
      <w:r>
        <w:rPr>
          <w:rStyle w:val="SpecialStringTok"/>
        </w:rPr>
        <w:t xml:space="preserve">f"W = </w:t>
      </w:r>
      <w:r>
        <w:rPr>
          <w:rStyle w:val="SpecialCharTok"/>
        </w:rPr>
        <w:t xml:space="preserve">{</w:t>
      </w:r>
      <w:r>
        <w:rPr>
          <w:rStyle w:val="NormalTok"/>
        </w:rPr>
        <w:t xml:space="preserve">mmc_response_time(</w:t>
      </w:r>
      <w:r>
        <w:rPr>
          <w:rStyle w:val="DecValTok"/>
        </w:rPr>
        <w:t xml:space="preserve">2</w:t>
      </w:r>
      <w:r>
        <w:rPr>
          <w:rStyle w:val="NormalTok"/>
        </w:rPr>
        <w:t xml:space="preserve">, lam, </w:t>
      </w:r>
      <w:r>
        <w:rPr>
          <w:rStyle w:val="DecValTok"/>
        </w:rPr>
        <w:t xml:space="preserve">50</w:t>
      </w:r>
      <w:r>
        <w:rPr>
          <w:rStyle w:val="NormalTok"/>
        </w:rPr>
        <w:t xml:space="preserve">)</w:t>
      </w:r>
      <w:r>
        <w:rPr>
          <w:rStyle w:val="OperatorTok"/>
        </w:rPr>
        <w:t xml:space="preserve">*</w:t>
      </w:r>
      <w:r>
        <w:rPr>
          <w:rStyle w:val="DecValTok"/>
        </w:rPr>
        <w:t xml:space="preserve">1000</w:t>
      </w:r>
      <w:r>
        <w:rPr>
          <w:rStyle w:val="SpecialCharTok"/>
        </w:rPr>
        <w:t xml:space="preserve">:.1f}</w:t>
      </w:r>
      <w:r>
        <w:rPr>
          <w:rStyle w:val="SpecialStringTok"/>
        </w:rPr>
        <w:t xml:space="preserve"> ms"</w:t>
      </w:r>
      <w:r>
        <w:rPr>
          <w:rStyle w:val="NormalTok"/>
        </w:rPr>
        <w:t xml:space="preserve">)</w:t>
      </w:r>
      <w:r>
        <w:br/>
      </w:r>
      <w:r>
        <w:rPr>
          <w:rStyle w:val="BuiltInTok"/>
        </w:rPr>
        <w:t xml:space="preserve">print</w:t>
      </w:r>
      <w:r>
        <w:rPr>
          <w:rStyle w:val="NormalTok"/>
        </w:rPr>
        <w:t xml:space="preserve">(</w:t>
      </w:r>
      <w:r>
        <w:rPr>
          <w:rStyle w:val="SpecialStringTok"/>
        </w:rPr>
        <w:t xml:space="preserve">f"Two slow servers, separate queues (2 x M/M/1, mu=50, lam=40 each): "</w:t>
      </w:r>
      <w:r>
        <w:br/>
      </w:r>
      <w:r>
        <w:rPr>
          <w:rStyle w:val="NormalTok"/>
        </w:rPr>
        <w:t xml:space="preserve">      </w:t>
      </w:r>
      <w:r>
        <w:rPr>
          <w:rStyle w:val="SpecialStringTok"/>
        </w:rPr>
        <w:t xml:space="preserve">f"W = </w:t>
      </w:r>
      <w:r>
        <w:rPr>
          <w:rStyle w:val="SpecialCharTok"/>
        </w:rPr>
        <w:t xml:space="preserve">{</w:t>
      </w:r>
      <w:r>
        <w:rPr>
          <w:rStyle w:val="NormalTok"/>
        </w:rPr>
        <w:t xml:space="preserve">mmc_response_time(</w:t>
      </w:r>
      <w:r>
        <w:rPr>
          <w:rStyle w:val="DecValTok"/>
        </w:rPr>
        <w:t xml:space="preserve">1</w:t>
      </w:r>
      <w:r>
        <w:rPr>
          <w:rStyle w:val="NormalTok"/>
        </w:rPr>
        <w:t xml:space="preserve">, lam</w:t>
      </w:r>
      <w:r>
        <w:rPr>
          <w:rStyle w:val="OperatorTok"/>
        </w:rPr>
        <w:t xml:space="preserve">/</w:t>
      </w:r>
      <w:r>
        <w:rPr>
          <w:rStyle w:val="DecValTok"/>
        </w:rPr>
        <w:t xml:space="preserve">2</w:t>
      </w:r>
      <w:r>
        <w:rPr>
          <w:rStyle w:val="NormalTok"/>
        </w:rPr>
        <w:t xml:space="preserve">, </w:t>
      </w:r>
      <w:r>
        <w:rPr>
          <w:rStyle w:val="DecValTok"/>
        </w:rPr>
        <w:t xml:space="preserve">50</w:t>
      </w:r>
      <w:r>
        <w:rPr>
          <w:rStyle w:val="NormalTok"/>
        </w:rPr>
        <w:t xml:space="preserve">)</w:t>
      </w:r>
      <w:r>
        <w:rPr>
          <w:rStyle w:val="OperatorTok"/>
        </w:rPr>
        <w:t xml:space="preserve">*</w:t>
      </w:r>
      <w:r>
        <w:rPr>
          <w:rStyle w:val="DecValTok"/>
        </w:rPr>
        <w:t xml:space="preserve">1000</w:t>
      </w:r>
      <w:r>
        <w:rPr>
          <w:rStyle w:val="SpecialCharTok"/>
        </w:rPr>
        <w:t xml:space="preserve">:.1f}</w:t>
      </w:r>
      <w:r>
        <w:rPr>
          <w:rStyle w:val="SpecialStringTok"/>
        </w:rPr>
        <w:t xml:space="preserve"> ms"</w:t>
      </w:r>
      <w:r>
        <w:rPr>
          <w:rStyle w:val="NormalTok"/>
        </w:rPr>
        <w:t xml:space="preserve">)</w:t>
      </w:r>
    </w:p>
    <w:p>
      <w:pPr>
        <w:pStyle w:val="FirstParagraph"/>
      </w:pPr>
      <w:r>
        <w:t xml:space="preserve">Output:</w:t>
      </w:r>
    </w:p>
    <w:p>
      <w:pPr>
        <w:pStyle w:val="SourceCode"/>
      </w:pPr>
      <w:r>
        <w:rPr>
          <w:rStyle w:val="VerbatimChar"/>
        </w:rPr>
        <w:t xml:space="preserve">One fast server  (M/M/1, mu=100): W = 50.0 ms</w:t>
      </w:r>
      <w:r>
        <w:br/>
      </w:r>
      <w:r>
        <w:rPr>
          <w:rStyle w:val="VerbatimChar"/>
        </w:rPr>
        <w:t xml:space="preserve">Two slow servers, shared queue (M/M/2, mu=50 each): W = 55.6 ms</w:t>
      </w:r>
      <w:r>
        <w:br/>
      </w:r>
      <w:r>
        <w:rPr>
          <w:rStyle w:val="VerbatimChar"/>
        </w:rPr>
        <w:t xml:space="preserve">Two slow servers, separate queues (2 x M/M/1, mu=50, lam=40 each): W = 100.0 ms</w:t>
      </w:r>
    </w:p>
    <w:p>
      <w:pPr>
        <w:pStyle w:val="FirstParagraph"/>
      </w:pPr>
      <w:r>
        <w:t xml:space="preserve">What to notice: with</w:t>
      </w:r>
      <w:r>
        <w:t xml:space="preserve"> </w:t>
      </w:r>
      <m:oMath>
        <m:r>
          <m:t>c</m:t>
        </m:r>
        <m:r>
          <m:rPr>
            <m:sty m:val="p"/>
          </m:rPr>
          <m:t>=</m:t>
        </m:r>
        <m:r>
          <m:t>1</m:t>
        </m:r>
      </m:oMath>
      <w:r>
        <w:t xml:space="preserve"> </w:t>
      </w:r>
      <w:r>
        <w:t xml:space="preserve">the Erlang C function reduces to</w:t>
      </w:r>
      <w:r>
        <w:t xml:space="preserve"> </w:t>
      </w:r>
      <m:oMath>
        <m:sSub>
          <m:e>
            <m:r>
              <m:t>P</m:t>
            </m:r>
          </m:e>
          <m:sub>
            <m:r>
              <m:rPr>
                <m:nor/>
                <m:sty m:val="p"/>
              </m:rPr>
              <m:t>wait</m:t>
            </m:r>
          </m:sub>
        </m:sSub>
        <m:r>
          <m:rPr>
            <m:sty m:val="p"/>
          </m:rPr>
          <m:t>=</m:t>
        </m:r>
        <m:r>
          <m:t>ρ</m:t>
        </m:r>
      </m:oMath>
      <w:r>
        <w:t xml:space="preserve"> </w:t>
      </w:r>
      <w:r>
        <w:t xml:space="preserve">and</w:t>
      </w:r>
      <w:r>
        <w:t xml:space="preserve"> </w:t>
      </w:r>
      <m:oMath>
        <m:r>
          <m:t>W</m:t>
        </m:r>
        <m:r>
          <m:rPr>
            <m:sty m:val="p"/>
          </m:rPr>
          <m:t>=</m:t>
        </m:r>
        <m:r>
          <m:t>1</m:t>
        </m:r>
        <m:r>
          <m:rPr>
            <m:sty m:val="p"/>
          </m:rPr>
          <m:t>/</m:t>
        </m:r>
        <m:d>
          <m:dPr>
            <m:begChr m:val="("/>
            <m:endChr m:val=")"/>
            <m:sepChr m:val=""/>
            <m:grow/>
          </m:dPr>
          <m:e>
            <m:r>
              <m:t>μ</m:t>
            </m:r>
            <m:r>
              <m:rPr>
                <m:sty m:val="p"/>
              </m:rPr>
              <m:t>−</m:t>
            </m:r>
            <m:r>
              <m:t>λ</m:t>
            </m:r>
          </m:e>
        </m:d>
      </m:oMath>
      <w:r>
        <w:t xml:space="preserve">, so the same code covers M/M/1. The</w:t>
      </w:r>
      <w:r>
        <w:t xml:space="preserve"> </w:t>
      </w:r>
      <w:r>
        <w:rPr>
          <w:rStyle w:val="VerbatimChar"/>
        </w:rPr>
        <w:t xml:space="preserve">rho &gt;= 1</w:t>
      </w:r>
      <w:r>
        <w:t xml:space="preserve"> </w:t>
      </w:r>
      <w:r>
        <w:t xml:space="preserve">guard reflects that no steady state exists at or above saturation.</w:t>
      </w:r>
    </w:p>
    <w:p>
      <w:pPr>
        <w:pStyle w:val="CalloutMistake"/>
      </w:pPr>
      <w:r>
        <w:rPr>
          <w:bCs/>
          <w:b/>
        </w:rPr>
        <w:t xml:space="preserve">COMMON MISTAKE</w:t>
      </w:r>
    </w:p>
    <w:p>
      <w:pPr>
        <w:pStyle w:val="CalloutMistake"/>
      </w:pPr>
      <w:r>
        <w:rPr>
          <w:bCs/>
          <w:b/>
        </w:rPr>
        <w:t xml:space="preserve">Mistake —</w:t>
      </w:r>
      <w:r>
        <w:rPr>
          <w:bCs/>
          <w:b/>
        </w:rPr>
        <w:t xml:space="preserve"> </w:t>
      </w:r>
      <w:r>
        <w:rPr>
          <w:bCs/>
          <w:b/>
        </w:rPr>
        <w:t xml:space="preserve">“</w:t>
      </w:r>
      <w:r>
        <w:rPr>
          <w:bCs/>
          <w:b/>
        </w:rPr>
        <w:t xml:space="preserve">We are at 85% CPU, so we have 15% headroom.</w:t>
      </w:r>
      <w:r>
        <w:rPr>
          <w:bCs/>
          <w:b/>
        </w:rPr>
        <w:t xml:space="preserve">”</w:t>
      </w:r>
      <w:r>
        <w:t xml:space="preserve"> </w:t>
      </w:r>
      <w:r>
        <w:t xml:space="preserve">Headroom in</w:t>
      </w:r>
      <w:r>
        <w:t xml:space="preserve"> </w:t>
      </w:r>
      <w:r>
        <w:rPr>
          <w:iCs/>
          <w:i/>
        </w:rPr>
        <w:t xml:space="preserve">throughput</w:t>
      </w:r>
      <w:r>
        <w:t xml:space="preserve"> </w:t>
      </w:r>
      <w:r>
        <w:t xml:space="preserve">is 15%, but latency at 85% is already</w:t>
      </w:r>
      <w:r>
        <w:t xml:space="preserve"> </w:t>
      </w:r>
      <m:oMath>
        <m:r>
          <m:t>1</m:t>
        </m:r>
        <m:r>
          <m:rPr>
            <m:sty m:val="p"/>
          </m:rPr>
          <m:t>/</m:t>
        </m:r>
        <m:d>
          <m:dPr>
            <m:begChr m:val="("/>
            <m:endChr m:val=")"/>
            <m:sepChr m:val=""/>
            <m:grow/>
          </m:dPr>
          <m:e>
            <m:r>
              <m:t>1</m:t>
            </m:r>
            <m:r>
              <m:rPr>
                <m:sty m:val="p"/>
              </m:rPr>
              <m:t>−</m:t>
            </m:r>
            <m:r>
              <m:t>0.85</m:t>
            </m:r>
          </m:e>
        </m:d>
        <m:r>
          <m:rPr>
            <m:sty m:val="p"/>
          </m:rPr>
          <m:t>=</m:t>
        </m:r>
        <m:r>
          <m:t>6.7</m:t>
        </m:r>
      </m:oMath>
      <w:r>
        <w:t xml:space="preserve"> </w:t>
      </w:r>
      <w:r>
        <w:t xml:space="preserve">times the service time in an M/M/1 model, and every further point of load costs more latency than the last. Express headroom as the latency you will have at the forecast peak, not as spare percentage.</w:t>
      </w:r>
    </w:p>
    <w:bookmarkEnd w:id="397"/>
    <w:bookmarkEnd w:id="398"/>
    <w:bookmarkStart w:id="405" w:name="littles-law"/>
    <w:p>
      <w:pPr>
        <w:pStyle w:val="Heading2"/>
      </w:pPr>
      <w:r>
        <w:t xml:space="preserve">4.11 Little’s Law</w:t>
      </w:r>
    </w:p>
    <w:bookmarkStart w:id="403" w:name="statement-and-intuition"/>
    <w:p>
      <w:pPr>
        <w:pStyle w:val="Heading3"/>
      </w:pPr>
      <w:r>
        <w:t xml:space="preserve">4.11.1 Statement and intuition</w:t>
      </w:r>
    </w:p>
    <w:p>
      <w:pPr>
        <w:pStyle w:val="CalloutDefinition"/>
      </w:pPr>
      <w:r>
        <w:rPr>
          <w:bCs/>
          <w:b/>
        </w:rPr>
        <w:t xml:space="preserve">DEFINITION</w:t>
      </w:r>
    </w:p>
    <w:p>
      <w:pPr>
        <w:pStyle w:val="CalloutDefinition"/>
      </w:pPr>
      <w:r>
        <w:rPr>
          <w:bCs/>
          <w:b/>
        </w:rPr>
        <w:t xml:space="preserve">Definition — Little’s Law.</w:t>
      </w:r>
      <w:r>
        <w:t xml:space="preserve"> </w:t>
      </w:r>
      <w:r>
        <w:t xml:space="preserve">For any stable system observed over a long period, the average number of items in the system equals the average arrival rate multiplied by the average time each item spends in the system:</w:t>
      </w:r>
      <w:r>
        <w:t xml:space="preserve"> </w:t>
      </w:r>
      <m:oMath>
        <m:r>
          <m:t>L</m:t>
        </m:r>
        <m:r>
          <m:rPr>
            <m:sty m:val="p"/>
          </m:rPr>
          <m:t>=</m:t>
        </m:r>
        <m:r>
          <m:t>λ</m:t>
        </m:r>
        <m:r>
          <m:t>W</m:t>
        </m:r>
      </m:oMath>
      <w:r>
        <w:t xml:space="preserve"> </w:t>
      </w:r>
      <w:r>
        <w:t xml:space="preserve">[Little 1961].</w:t>
      </w:r>
    </w:p>
    <w:bookmarkStart w:id="402" w:name="first-principles-explanation-27"/>
    <w:p>
      <w:pPr>
        <w:pStyle w:val="Heading4"/>
      </w:pPr>
      <w:r>
        <w:t xml:space="preserve">First-principles explanation</w:t>
      </w:r>
    </w:p>
    <w:p>
      <w:pPr>
        <w:pStyle w:val="FirstParagraph"/>
      </w:pPr>
      <w:r>
        <w:t xml:space="preserve">A café serves 20 customers per hour, and each customer stays for 30 minutes on average. How many customers are inside at a typical moment? Every hour 20 people come in, each contributing half an hour of</w:t>
      </w:r>
      <w:r>
        <w:t xml:space="preserve"> </w:t>
      </w:r>
      <w:r>
        <w:t xml:space="preserve">“</w:t>
      </w:r>
      <w:r>
        <w:t xml:space="preserve">presence</w:t>
      </w:r>
      <w:r>
        <w:t xml:space="preserve">”</w:t>
      </w:r>
      <w:r>
        <w:t xml:space="preserve">, so the café accumulates</w:t>
      </w:r>
      <w:r>
        <w:t xml:space="preserve"> </w:t>
      </w:r>
      <m:oMath>
        <m:r>
          <m:t>20</m:t>
        </m:r>
        <m:r>
          <m:rPr>
            <m:sty m:val="p"/>
          </m:rPr>
          <m:t>×</m:t>
        </m:r>
        <m:r>
          <m:t>0.5</m:t>
        </m:r>
        <m:r>
          <m:rPr>
            <m:sty m:val="p"/>
          </m:rPr>
          <m:t>=</m:t>
        </m:r>
        <m:r>
          <m:t>10</m:t>
        </m:r>
      </m:oMath>
      <w:r>
        <w:t xml:space="preserve"> </w:t>
      </w:r>
      <w:r>
        <w:t xml:space="preserve">customer-hours of presence per hour: on average 10 people are inside. That is all Little’s Law says. Remarkably, it does not depend on the arrival pattern, the service-time distribution, the number of servers or the scheduling order. It needs only that the system is stable (what goes in eventually comes out) and that the three quantities are long-run averages measured over the same boundary.</w:t>
      </w:r>
    </w:p>
    <w:p>
      <w:pPr>
        <w:pStyle w:val="CalloutFormula"/>
      </w:pPr>
      <w:r>
        <w:rPr>
          <w:bCs/>
          <w:b/>
        </w:rPr>
        <w:t xml:space="preserve">FORMULA</w:t>
      </w:r>
    </w:p>
    <w:p>
      <w:pPr>
        <w:pStyle w:val="CalloutFormula"/>
      </w:pPr>
      <w:r>
        <w:rPr>
          <w:bCs/>
          <w:b/>
        </w:rPr>
        <w:t xml:space="preserve">Little’s Law</w:t>
      </w:r>
    </w:p>
    <w:p>
      <w:pPr>
        <w:pStyle w:val="CalloutFormula"/>
      </w:pPr>
      <m:oMathPara>
        <m:oMathParaPr>
          <m:jc m:val="center"/>
        </m:oMathParaPr>
        <m:oMath>
          <m:r>
            <m:t>L</m:t>
          </m:r>
          <m:r>
            <m:rPr>
              <m:sty m:val="p"/>
            </m:rPr>
            <m:t>=</m:t>
          </m:r>
          <m:r>
            <m:t>λ</m:t>
          </m:r>
          <m:r>
            <m:rPr>
              <m:sty m:val="p"/>
            </m:rPr>
            <m:t>×</m:t>
          </m:r>
          <m:r>
            <m:t>W</m:t>
          </m:r>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L</m:t>
              </m:r>
            </m:oMath>
          </w:p>
        </w:tc>
        <w:tc>
          <w:tcPr/>
          <w:p>
            <w:pPr>
              <w:pStyle w:val="Compact"/>
              <w:jc w:val="left"/>
            </w:pPr>
            <w:r>
              <w:t xml:space="preserve">Average number of items in the system (concurrency, occupancy, in-flight requests)</w:t>
            </w:r>
          </w:p>
        </w:tc>
        <w:tc>
          <w:tcPr/>
          <w:p>
            <w:pPr>
              <w:pStyle w:val="Compact"/>
              <w:jc w:val="left"/>
            </w:pPr>
            <w:r>
              <w:t xml:space="preserve">items</w:t>
            </w:r>
          </w:p>
        </w:tc>
      </w:tr>
      <w:tr>
        <w:tc>
          <w:tcPr/>
          <w:p>
            <w:pPr>
              <w:pStyle w:val="Compact"/>
              <w:jc w:val="left"/>
            </w:pPr>
            <m:oMath>
              <m:r>
                <m:t>λ</m:t>
              </m:r>
            </m:oMath>
          </w:p>
        </w:tc>
        <w:tc>
          <w:tcPr/>
          <w:p>
            <w:pPr>
              <w:pStyle w:val="Compact"/>
              <w:jc w:val="left"/>
            </w:pPr>
            <w:r>
              <w:t xml:space="preserve">Average arrival rate (equals throughput in a stable system)</w:t>
            </w:r>
          </w:p>
        </w:tc>
        <w:tc>
          <w:tcPr/>
          <w:p>
            <w:pPr>
              <w:pStyle w:val="Compact"/>
              <w:jc w:val="left"/>
            </w:pPr>
            <w:r>
              <w:t xml:space="preserve">items/second</w:t>
            </w:r>
          </w:p>
        </w:tc>
      </w:tr>
      <w:tr>
        <w:tc>
          <w:tcPr/>
          <w:p>
            <w:pPr>
              <w:pStyle w:val="Compact"/>
              <w:jc w:val="left"/>
            </w:pPr>
            <m:oMath>
              <m:r>
                <m:t>W</m:t>
              </m:r>
            </m:oMath>
          </w:p>
        </w:tc>
        <w:tc>
          <w:tcPr/>
          <w:p>
            <w:pPr>
              <w:pStyle w:val="Compact"/>
              <w:jc w:val="left"/>
            </w:pPr>
            <w:r>
              <w:t xml:space="preserve">Average time an item spends inside the system boundary</w:t>
            </w:r>
          </w:p>
        </w:tc>
        <w:tc>
          <w:tcPr/>
          <w:p>
            <w:pPr>
              <w:pStyle w:val="Compact"/>
              <w:jc w:val="left"/>
            </w:pPr>
            <w:r>
              <w:t xml:space="preserve">seconds</w:t>
            </w:r>
          </w:p>
        </w:tc>
      </w:tr>
    </w:tbl>
    <w:p>
      <w:pPr>
        <w:pStyle w:val="BodyText"/>
      </w:pPr>
      <w:r>
        <w:rPr>
          <w:bCs/>
          <w:b/>
        </w:rPr>
        <w:t xml:space="preserve">Derivation intuition.</w:t>
      </w:r>
      <w:r>
        <w:t xml:space="preserve"> </w:t>
      </w:r>
      <w:r>
        <w:t xml:space="preserve">Plot the number of items inside the system,</w:t>
      </w:r>
      <w:r>
        <w:t xml:space="preserve"> </w:t>
      </w:r>
      <m:oMath>
        <m:r>
          <m:t>N</m:t>
        </m:r>
        <m:d>
          <m:dPr>
            <m:begChr m:val="("/>
            <m:endChr m:val=")"/>
            <m:sepChr m:val=""/>
            <m:grow/>
          </m:dPr>
          <m:e>
            <m:r>
              <m:t>t</m:t>
            </m:r>
          </m:e>
        </m:d>
      </m:oMath>
      <w:r>
        <w:t xml:space="preserve">, over a long interval of length</w:t>
      </w:r>
      <w:r>
        <w:t xml:space="preserve"> </w:t>
      </w:r>
      <m:oMath>
        <m:r>
          <m:t>T</m:t>
        </m:r>
      </m:oMath>
      <w:r>
        <w:t xml:space="preserve">. The area under that curve can be computed two ways. Summed vertically, it is (average height) × (width)</w:t>
      </w:r>
      <w:r>
        <w:t xml:space="preserve"> </w:t>
      </w:r>
      <m:oMath>
        <m:r>
          <m:rPr>
            <m:sty m:val="p"/>
          </m:rPr>
          <m:t>=</m:t>
        </m:r>
        <m:r>
          <m:t>L</m:t>
        </m:r>
        <m:r>
          <m:rPr>
            <m:sty m:val="p"/>
          </m:rPr>
          <m:t>×</m:t>
        </m:r>
        <m:r>
          <m:t>T</m:t>
        </m:r>
      </m:oMath>
      <w:r>
        <w:t xml:space="preserve">. Summed horizontally, each item contributes a horizontal strip as long as its stay, so the area is (number of items) × (average stay)</w:t>
      </w:r>
      <w:r>
        <w:t xml:space="preserve"> </w:t>
      </w:r>
      <m:oMath>
        <m:r>
          <m:rPr>
            <m:sty m:val="p"/>
          </m:rPr>
          <m:t>=</m:t>
        </m:r>
        <m:r>
          <m:t>λ</m:t>
        </m:r>
        <m:r>
          <m:t>T</m:t>
        </m:r>
        <m:r>
          <m:rPr>
            <m:sty m:val="p"/>
          </m:rPr>
          <m:t>×</m:t>
        </m:r>
        <m:r>
          <m:t>W</m:t>
        </m:r>
      </m:oMath>
      <w:r>
        <w:t xml:space="preserve">. Equating the two gives</w:t>
      </w:r>
      <w:r>
        <w:t xml:space="preserve"> </w:t>
      </w:r>
      <m:oMath>
        <m:r>
          <m:t>L</m:t>
        </m:r>
        <m:r>
          <m:t>T</m:t>
        </m:r>
        <m:r>
          <m:rPr>
            <m:sty m:val="p"/>
          </m:rPr>
          <m:t>=</m:t>
        </m:r>
        <m:r>
          <m:t>λ</m:t>
        </m:r>
        <m:r>
          <m:t>T</m:t>
        </m:r>
        <m:r>
          <m:t>W</m:t>
        </m:r>
      </m:oMath>
      <w:r>
        <w:t xml:space="preserve">, i.e. </w:t>
      </w:r>
      <m:oMath>
        <m:r>
          <m:t>L</m:t>
        </m:r>
        <m:r>
          <m:rPr>
            <m:sty m:val="p"/>
          </m:rPr>
          <m:t>=</m:t>
        </m:r>
        <m:r>
          <m:t>λ</m:t>
        </m:r>
        <m:r>
          <m:t>W</m:t>
        </m:r>
      </m:oMath>
      <w:r>
        <w:t xml:space="preserve">. Little’s 1961 paper made this argument rigorous.</w:t>
      </w:r>
    </w:p>
    <w:p>
      <w:pPr>
        <w:pStyle w:val="BodyText"/>
      </w:pPr>
      <w:r>
        <w:t xml:space="preserve">Because the law holds for</w:t>
      </w:r>
      <w:r>
        <w:t xml:space="preserve"> </w:t>
      </w:r>
      <w:r>
        <w:rPr>
          <w:iCs/>
          <w:i/>
        </w:rPr>
        <w:t xml:space="preserve">any</w:t>
      </w:r>
      <w:r>
        <w:t xml:space="preserve"> </w:t>
      </w:r>
      <w:r>
        <w:t xml:space="preserve">boundary, you can draw the boundary around a thread pool, a connection pool, a broker topic, a whole datacenter or a single CPU, and solve for whichever of the three quantities you do not know.</w:t>
      </w:r>
    </w:p>
    <w:p>
      <w:pPr>
        <w:pStyle w:val="BodyText"/>
      </w:pPr>
      <w:r>
        <w:rPr>
          <w:bCs/>
          <w:b/>
        </w:rPr>
        <w:t xml:space="preserve">Figure 4.5 — Choosing the boundary for Little’s Law.</w:t>
      </w:r>
    </w:p>
    <w:p>
      <w:pPr>
        <w:pStyle w:val="BodyText"/>
      </w:pPr>
      <w:r>
        <w:drawing>
          <wp:inline>
            <wp:extent cx="5334000" cy="744728"/>
            <wp:effectExtent b="0" l="0" r="0" t="0"/>
            <wp:docPr descr="" title="" id="400" name="Picture"/>
            <a:graphic>
              <a:graphicData uri="http://schemas.openxmlformats.org/drawingml/2006/picture">
                <pic:pic>
                  <pic:nvPicPr>
                    <pic:cNvPr descr="/home/user/System-Design/build/.cache/diagrams/69d16919a6ae.png" id="401" name="Picture"/>
                    <pic:cNvPicPr>
                      <a:picLocks noChangeArrowheads="1" noChangeAspect="1"/>
                    </pic:cNvPicPr>
                  </pic:nvPicPr>
                  <pic:blipFill>
                    <a:blip r:embed="rId399"/>
                    <a:stretch>
                      <a:fillRect/>
                    </a:stretch>
                  </pic:blipFill>
                  <pic:spPr bwMode="auto">
                    <a:xfrm>
                      <a:off x="0" y="0"/>
                      <a:ext cx="5334000" cy="744728"/>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Clients send HTTPS requests to a load balancer, which forwards plain HTTP to a service instance. Inside the instance (boundary 1) each request occupies a worker thread for its whole duration, and briefly borrows a database connection to issue SQL to PostgreSQL (boundary 2, the storage boundary). All calls are synchronous. Little’s Law applies separately to each boundary: threads in use = request rate × request duration; connections in use = query rate × connection hold time. The failure point is any pool whose occupancy</w:t>
      </w:r>
      <w:r>
        <w:t xml:space="preserve"> </w:t>
      </w:r>
      <m:oMath>
        <m:r>
          <m:t>L</m:t>
        </m:r>
      </m:oMath>
      <w:r>
        <w:t xml:space="preserve"> </w:t>
      </w:r>
      <w:r>
        <w:t xml:space="preserve">approaches its size, because requests then queue for a thread or connection. Scaling options are more instances (spreading</w:t>
      </w:r>
      <w:r>
        <w:t xml:space="preserve"> </w:t>
      </w:r>
      <m:oMath>
        <m:r>
          <m:t>λ</m:t>
        </m:r>
      </m:oMath>
      <w:r>
        <w:t xml:space="preserve">), shorter hold times (reducing</w:t>
      </w:r>
      <w:r>
        <w:t xml:space="preserve"> </w:t>
      </w:r>
      <m:oMath>
        <m:r>
          <m:t>W</m:t>
        </m:r>
      </m:oMath>
      <w:r>
        <w:t xml:space="preserve">) or larger pools (raising the limit on</w:t>
      </w:r>
      <w:r>
        <w:t xml:space="preserve"> </w:t>
      </w:r>
      <m:oMath>
        <m:r>
          <m:t>L</m:t>
        </m:r>
      </m:oMath>
      <w:r>
        <w:t xml:space="preserve">).</w:t>
      </w:r>
    </w:p>
    <w:bookmarkEnd w:id="402"/>
    <w:bookmarkEnd w:id="403"/>
    <w:bookmarkStart w:id="404" w:name="capacity-planning-examples"/>
    <w:p>
      <w:pPr>
        <w:pStyle w:val="Heading3"/>
      </w:pPr>
      <w:r>
        <w:t xml:space="preserve">4.11.2 Capacity planning examples</w:t>
      </w:r>
    </w:p>
    <w:p>
      <w:pPr>
        <w:pStyle w:val="CalloutExample"/>
      </w:pPr>
      <w:r>
        <w:rPr>
          <w:bCs/>
          <w:b/>
        </w:rPr>
        <w:t xml:space="preserve">WORKED EXAMPLE</w:t>
      </w:r>
    </w:p>
    <w:p>
      <w:pPr>
        <w:pStyle w:val="CalloutExample"/>
      </w:pPr>
      <w:r>
        <w:rPr>
          <w:bCs/>
          <w:b/>
        </w:rPr>
        <w:t xml:space="preserve">Worked example 1 — Sizing a thread pool.</w:t>
      </w:r>
      <w:r>
        <w:t xml:space="preserve"> </w:t>
      </w:r>
      <w:r>
        <w:t xml:space="preserve">A service receives 2,000 RPS at peak, spread across 8 instances. Each request holds a worker thread for 80 ms on average (mostly waiting on downstream calls).</w:t>
      </w:r>
    </w:p>
    <w:p>
      <w:pPr>
        <w:numPr>
          <w:ilvl w:val="0"/>
          <w:numId w:val="1112"/>
        </w:numPr>
        <w:pStyle w:val="Compact"/>
      </w:pPr>
      <w:r>
        <w:t xml:space="preserve">Per-instance arrival rate:</w:t>
      </w:r>
      <w:r>
        <w:t xml:space="preserve"> </w:t>
      </w:r>
      <m:oMath>
        <m:r>
          <m:t>λ</m:t>
        </m:r>
        <m:r>
          <m:rPr>
            <m:sty m:val="p"/>
          </m:rPr>
          <m:t>=</m:t>
        </m:r>
        <m:r>
          <m:t>2</m:t>
        </m:r>
        <m:r>
          <m:rPr>
            <m:sty m:val="p"/>
          </m:rPr>
          <m:t>,</m:t>
        </m:r>
        <m:r>
          <m:t>000</m:t>
        </m:r>
        <m:r>
          <m:rPr>
            <m:sty m:val="p"/>
          </m:rPr>
          <m:t>/</m:t>
        </m:r>
        <m:r>
          <m:t>8</m:t>
        </m:r>
        <m:r>
          <m:rPr>
            <m:sty m:val="p"/>
          </m:rPr>
          <m:t>=</m:t>
        </m:r>
        <m:r>
          <m:t>250</m:t>
        </m:r>
      </m:oMath>
      <w:r>
        <w:t xml:space="preserve"> </w:t>
      </w:r>
      <w:r>
        <w:t xml:space="preserve">RPS.</w:t>
      </w:r>
    </w:p>
    <w:p>
      <w:pPr>
        <w:numPr>
          <w:ilvl w:val="0"/>
          <w:numId w:val="1112"/>
        </w:numPr>
        <w:pStyle w:val="Compact"/>
      </w:pPr>
      <w:r>
        <w:t xml:space="preserve">Average busy threads:</w:t>
      </w:r>
      <w:r>
        <w:t xml:space="preserve"> </w:t>
      </w:r>
      <m:oMath>
        <m:r>
          <m:t>L</m:t>
        </m:r>
        <m:r>
          <m:rPr>
            <m:sty m:val="p"/>
          </m:rPr>
          <m:t>=</m:t>
        </m:r>
        <m:r>
          <m:t>λ</m:t>
        </m:r>
        <m:r>
          <m:t>W</m:t>
        </m:r>
        <m:r>
          <m:rPr>
            <m:sty m:val="p"/>
          </m:rPr>
          <m:t>=</m:t>
        </m:r>
        <m:r>
          <m:t>250</m:t>
        </m:r>
        <m:r>
          <m:rPr>
            <m:sty m:val="p"/>
          </m:rPr>
          <m:t>×</m:t>
        </m:r>
        <m:r>
          <m:t>0.080</m:t>
        </m:r>
        <m:r>
          <m:rPr>
            <m:sty m:val="p"/>
          </m:rPr>
          <m:t>=</m:t>
        </m:r>
        <m:r>
          <m:t>20</m:t>
        </m:r>
      </m:oMath>
      <w:r>
        <w:t xml:space="preserve"> </w:t>
      </w:r>
      <w:r>
        <w:t xml:space="preserve">threads.</w:t>
      </w:r>
    </w:p>
    <w:p>
      <w:pPr>
        <w:numPr>
          <w:ilvl w:val="0"/>
          <w:numId w:val="1112"/>
        </w:numPr>
        <w:pStyle w:val="Compact"/>
      </w:pPr>
      <w:r>
        <w:t xml:space="preserve">A pool of exactly 20 would run at 100% utilization and queue without bound (§4.10). Treat the pool as an M/M/c system with</w:t>
      </w:r>
      <w:r>
        <w:t xml:space="preserve"> </w:t>
      </w:r>
      <m:oMath>
        <m:r>
          <m:t>c</m:t>
        </m:r>
      </m:oMath>
      <w:r>
        <w:t xml:space="preserve"> </w:t>
      </w:r>
      <w:r>
        <w:t xml:space="preserve">threads,</w:t>
      </w:r>
      <w:r>
        <w:t xml:space="preserve"> </w:t>
      </w:r>
      <m:oMath>
        <m:r>
          <m:t>μ</m:t>
        </m:r>
        <m:r>
          <m:rPr>
            <m:sty m:val="p"/>
          </m:rPr>
          <m:t>=</m:t>
        </m:r>
        <m:r>
          <m:t>1</m:t>
        </m:r>
        <m:r>
          <m:rPr>
            <m:sty m:val="p"/>
          </m:rPr>
          <m:t>/</m:t>
        </m:r>
        <m:r>
          <m:t>0.08</m:t>
        </m:r>
        <m:r>
          <m:rPr>
            <m:sty m:val="p"/>
          </m:rPr>
          <m:t>=</m:t>
        </m:r>
        <m:r>
          <m:t>12.5</m:t>
        </m:r>
      </m:oMath>
      <w:r>
        <w:t xml:space="preserve">/s per thread and</w:t>
      </w:r>
      <w:r>
        <w:t xml:space="preserve"> </w:t>
      </w:r>
      <m:oMath>
        <m:r>
          <m:t>a</m:t>
        </m:r>
        <m:r>
          <m:rPr>
            <m:sty m:val="p"/>
          </m:rPr>
          <m:t>=</m:t>
        </m:r>
        <m:r>
          <m:t>20</m:t>
        </m:r>
      </m:oMath>
      <w:r>
        <w:t xml:space="preserve">.</w:t>
      </w:r>
    </w:p>
    <w:p>
      <w:pPr>
        <w:numPr>
          <w:ilvl w:val="0"/>
          <w:numId w:val="1112"/>
        </w:numPr>
        <w:pStyle w:val="Compact"/>
      </w:pPr>
      <w:r>
        <w:t xml:space="preserve">Using the Erlang C code of §4.10.4: with</w:t>
      </w:r>
      <w:r>
        <w:t xml:space="preserve"> </w:t>
      </w:r>
      <m:oMath>
        <m:r>
          <m:t>c</m:t>
        </m:r>
        <m:r>
          <m:rPr>
            <m:sty m:val="p"/>
          </m:rPr>
          <m:t>=</m:t>
        </m:r>
        <m:r>
          <m:t>25</m:t>
        </m:r>
      </m:oMath>
      <w:r>
        <w:t xml:space="preserve"> </w:t>
      </w:r>
      <w:r>
        <w:t xml:space="preserve">(</w:t>
      </w:r>
      <m:oMath>
        <m:r>
          <m:t>ρ</m:t>
        </m:r>
        <m:r>
          <m:rPr>
            <m:sty m:val="p"/>
          </m:rPr>
          <m:t>=</m:t>
        </m:r>
        <m:r>
          <m:t>0.80</m:t>
        </m:r>
      </m:oMath>
      <w:r>
        <w:t xml:space="preserve">), 20.9% of requests wait for a thread and mean latency is 83.4 ms; with</w:t>
      </w:r>
      <w:r>
        <w:t xml:space="preserve"> </w:t>
      </w:r>
      <m:oMath>
        <m:r>
          <m:t>c</m:t>
        </m:r>
        <m:r>
          <m:rPr>
            <m:sty m:val="p"/>
          </m:rPr>
          <m:t>=</m:t>
        </m:r>
        <m:r>
          <m:t>30</m:t>
        </m:r>
      </m:oMath>
      <w:r>
        <w:t xml:space="preserve"> </w:t>
      </w:r>
      <w:r>
        <w:t xml:space="preserve">(</w:t>
      </w:r>
      <m:oMath>
        <m:r>
          <m:t>ρ</m:t>
        </m:r>
        <m:r>
          <m:rPr>
            <m:sty m:val="p"/>
          </m:rPr>
          <m:t>=</m:t>
        </m:r>
        <m:r>
          <m:t>0.67</m:t>
        </m:r>
      </m:oMath>
      <w:r>
        <w:t xml:space="preserve">), 2.5% wait and latency is 80.2 ms; with</w:t>
      </w:r>
      <w:r>
        <w:t xml:space="preserve"> </w:t>
      </w:r>
      <m:oMath>
        <m:r>
          <m:t>c</m:t>
        </m:r>
        <m:r>
          <m:rPr>
            <m:sty m:val="p"/>
          </m:rPr>
          <m:t>=</m:t>
        </m:r>
        <m:r>
          <m:t>35</m:t>
        </m:r>
      </m:oMath>
      <w:r>
        <w:t xml:space="preserve">, 0.16% wait.</w:t>
      </w:r>
    </w:p>
    <w:p>
      <w:pPr>
        <w:pStyle w:val="CalloutExample"/>
      </w:pPr>
      <w:r>
        <w:rPr>
          <w:bCs/>
          <w:b/>
        </w:rPr>
        <w:t xml:space="preserve">Interpretation.</w:t>
      </w:r>
      <w:r>
        <w:t xml:space="preserve"> </w:t>
      </w:r>
      <w:r>
        <w:t xml:space="preserve">Little’s Law gives the</w:t>
      </w:r>
      <w:r>
        <w:t xml:space="preserve"> </w:t>
      </w:r>
      <w:r>
        <w:rPr>
          <w:iCs/>
          <w:i/>
        </w:rPr>
        <w:t xml:space="preserve">average</w:t>
      </w:r>
      <w:r>
        <w:t xml:space="preserve"> </w:t>
      </w:r>
      <w:r>
        <w:t xml:space="preserve">concurrency (20); queueing theory tells you how much headroom above it buys acceptable waiting.</w:t>
      </w:r>
      <w:r>
        <w:t xml:space="preserve"> </w:t>
      </w:r>
      <w:r>
        <w:rPr>
          <w:bCs/>
          <w:b/>
        </w:rPr>
        <w:t xml:space="preserve">Engineering implication.</w:t>
      </w:r>
      <w:r>
        <w:t xml:space="preserve"> </w:t>
      </w:r>
      <w:r>
        <w:t xml:space="preserve">Size the pool around 30 threads per instance, and re-derive it whenever</w:t>
      </w:r>
      <w:r>
        <w:t xml:space="preserve"> </w:t>
      </w:r>
      <m:oMath>
        <m:r>
          <m:t>W</m:t>
        </m:r>
      </m:oMath>
      <w:r>
        <w:t xml:space="preserve"> </w:t>
      </w:r>
      <w:r>
        <w:t xml:space="preserve">changes: if a downstream dependency slows from 80 ms to 400 ms, required concurrency jumps to</w:t>
      </w:r>
      <w:r>
        <w:t xml:space="preserve"> </w:t>
      </w:r>
      <m:oMath>
        <m:r>
          <m:t>250</m:t>
        </m:r>
        <m:r>
          <m:rPr>
            <m:sty m:val="p"/>
          </m:rPr>
          <m:t>×</m:t>
        </m:r>
        <m:r>
          <m:t>0.4</m:t>
        </m:r>
        <m:r>
          <m:rPr>
            <m:sty m:val="p"/>
          </m:rPr>
          <m:t>=</m:t>
        </m:r>
        <m:r>
          <m:t>100</m:t>
        </m:r>
      </m:oMath>
      <w:r>
        <w:t xml:space="preserve"> </w:t>
      </w:r>
      <w:r>
        <w:t xml:space="preserve">threads, and a 30-thread pool saturates. That is why per-dependency timeouts and bulkheads (§22.11, §22.14) are capacity mechanisms, not just error handling.</w:t>
      </w:r>
    </w:p>
    <w:p>
      <w:pPr>
        <w:pStyle w:val="CalloutExample"/>
      </w:pPr>
      <w:r>
        <w:rPr>
          <w:bCs/>
          <w:b/>
        </w:rPr>
        <w:t xml:space="preserve">WORKED EXAMPLE</w:t>
      </w:r>
    </w:p>
    <w:p>
      <w:pPr>
        <w:pStyle w:val="CalloutExample"/>
      </w:pPr>
      <w:r>
        <w:rPr>
          <w:bCs/>
          <w:b/>
        </w:rPr>
        <w:t xml:space="preserve">Worked example 2 — Sizing a database connection pool.</w:t>
      </w:r>
      <w:r>
        <w:t xml:space="preserve"> </w:t>
      </w:r>
      <w:r>
        <w:t xml:space="preserve">30 application instances together issue 1,200 queries per second. Each query holds a connection for 5 ms (network round trip plus execution).</w:t>
      </w:r>
    </w:p>
    <w:p>
      <w:pPr>
        <w:numPr>
          <w:ilvl w:val="0"/>
          <w:numId w:val="1113"/>
        </w:numPr>
        <w:pStyle w:val="Compact"/>
      </w:pPr>
      <w:r>
        <w:t xml:space="preserve">Connections in use, fleet-wide:</w:t>
      </w:r>
      <w:r>
        <w:t xml:space="preserve"> </w:t>
      </w:r>
      <m:oMath>
        <m:r>
          <m:t>L</m:t>
        </m:r>
        <m:r>
          <m:rPr>
            <m:sty m:val="p"/>
          </m:rPr>
          <m:t>=</m:t>
        </m:r>
        <m:r>
          <m:t>1</m:t>
        </m:r>
        <m:r>
          <m:rPr>
            <m:sty m:val="p"/>
          </m:rPr>
          <m:t>,</m:t>
        </m:r>
        <m:r>
          <m:t>200</m:t>
        </m:r>
        <m:r>
          <m:rPr>
            <m:sty m:val="p"/>
          </m:rPr>
          <m:t>×</m:t>
        </m:r>
        <m:r>
          <m:t>0.005</m:t>
        </m:r>
        <m:r>
          <m:rPr>
            <m:sty m:val="p"/>
          </m:rPr>
          <m:t>=</m:t>
        </m:r>
        <m:r>
          <m:t>6</m:t>
        </m:r>
      </m:oMath>
      <w:r>
        <w:t xml:space="preserve"> </w:t>
      </w:r>
      <w:r>
        <w:t xml:space="preserve">connections on average.</w:t>
      </w:r>
    </w:p>
    <w:p>
      <w:pPr>
        <w:numPr>
          <w:ilvl w:val="0"/>
          <w:numId w:val="1113"/>
        </w:numPr>
        <w:pStyle w:val="Compact"/>
      </w:pPr>
      <w:r>
        <w:t xml:space="preserve">Per instance:</w:t>
      </w:r>
      <w:r>
        <w:t xml:space="preserve"> </w:t>
      </w:r>
      <m:oMath>
        <m:r>
          <m:t>λ</m:t>
        </m:r>
        <m:r>
          <m:rPr>
            <m:sty m:val="p"/>
          </m:rPr>
          <m:t>=</m:t>
        </m:r>
        <m:r>
          <m:t>1</m:t>
        </m:r>
        <m:r>
          <m:rPr>
            <m:sty m:val="p"/>
          </m:rPr>
          <m:t>,</m:t>
        </m:r>
        <m:r>
          <m:t>200</m:t>
        </m:r>
        <m:r>
          <m:rPr>
            <m:sty m:val="p"/>
          </m:rPr>
          <m:t>/</m:t>
        </m:r>
        <m:r>
          <m:t>30</m:t>
        </m:r>
        <m:r>
          <m:rPr>
            <m:sty m:val="p"/>
          </m:rPr>
          <m:t>=</m:t>
        </m:r>
        <m:r>
          <m:t>40</m:t>
        </m:r>
      </m:oMath>
      <w:r>
        <w:t xml:space="preserve"> </w:t>
      </w:r>
      <w:r>
        <w:t xml:space="preserve">queries/s, so</w:t>
      </w:r>
      <w:r>
        <w:t xml:space="preserve"> </w:t>
      </w:r>
      <m:oMath>
        <m:r>
          <m:t>L</m:t>
        </m:r>
        <m:r>
          <m:rPr>
            <m:sty m:val="p"/>
          </m:rPr>
          <m:t>=</m:t>
        </m:r>
        <m:r>
          <m:t>40</m:t>
        </m:r>
        <m:r>
          <m:rPr>
            <m:sty m:val="p"/>
          </m:rPr>
          <m:t>×</m:t>
        </m:r>
        <m:r>
          <m:t>0.005</m:t>
        </m:r>
        <m:r>
          <m:rPr>
            <m:sty m:val="p"/>
          </m:rPr>
          <m:t>=</m:t>
        </m:r>
        <m:r>
          <m:t>0.2</m:t>
        </m:r>
      </m:oMath>
      <w:r>
        <w:t xml:space="preserve"> </w:t>
      </w:r>
      <w:r>
        <w:t xml:space="preserve">connections.</w:t>
      </w:r>
    </w:p>
    <w:p>
      <w:pPr>
        <w:numPr>
          <w:ilvl w:val="0"/>
          <w:numId w:val="1113"/>
        </w:numPr>
        <w:pStyle w:val="Compact"/>
      </w:pPr>
      <w:r>
        <w:t xml:space="preserve">A common default of 10 connections per instance opens</w:t>
      </w:r>
      <w:r>
        <w:t xml:space="preserve"> </w:t>
      </w:r>
      <m:oMath>
        <m:r>
          <m:t>30</m:t>
        </m:r>
        <m:r>
          <m:rPr>
            <m:sty m:val="p"/>
          </m:rPr>
          <m:t>×</m:t>
        </m:r>
        <m:r>
          <m:t>10</m:t>
        </m:r>
        <m:r>
          <m:rPr>
            <m:sty m:val="p"/>
          </m:rPr>
          <m:t>=</m:t>
        </m:r>
        <m:r>
          <m:t>300</m:t>
        </m:r>
      </m:oMath>
      <w:r>
        <w:t xml:space="preserve"> </w:t>
      </w:r>
      <w:r>
        <w:t xml:space="preserve">connections to serve an average demand of 6.</w:t>
      </w:r>
    </w:p>
    <w:p>
      <w:pPr>
        <w:numPr>
          <w:ilvl w:val="0"/>
          <w:numId w:val="1113"/>
        </w:numPr>
        <w:pStyle w:val="Compact"/>
      </w:pPr>
      <w:r>
        <w:t xml:space="preserve">Incident case: a missing index makes queries take 500 ms. Now</w:t>
      </w:r>
      <w:r>
        <w:t xml:space="preserve"> </w:t>
      </w:r>
      <m:oMath>
        <m:r>
          <m:t>L</m:t>
        </m:r>
        <m:r>
          <m:rPr>
            <m:sty m:val="p"/>
          </m:rPr>
          <m:t>=</m:t>
        </m:r>
        <m:r>
          <m:t>1</m:t>
        </m:r>
        <m:r>
          <m:rPr>
            <m:sty m:val="p"/>
          </m:rPr>
          <m:t>,</m:t>
        </m:r>
        <m:r>
          <m:t>200</m:t>
        </m:r>
        <m:r>
          <m:rPr>
            <m:sty m:val="p"/>
          </m:rPr>
          <m:t>×</m:t>
        </m:r>
        <m:r>
          <m:t>0.5</m:t>
        </m:r>
        <m:r>
          <m:rPr>
            <m:sty m:val="p"/>
          </m:rPr>
          <m:t>=</m:t>
        </m:r>
        <m:r>
          <m:t>600</m:t>
        </m:r>
      </m:oMath>
      <w:r>
        <w:t xml:space="preserve"> </w:t>
      </w:r>
      <w:r>
        <w:t xml:space="preserve">connections are needed — more than the 300 that exist, so requests queue for connections, threads block, and the outage spreads upstream.</w:t>
      </w:r>
    </w:p>
    <w:p>
      <w:pPr>
        <w:pStyle w:val="CalloutExample"/>
      </w:pPr>
      <w:r>
        <w:rPr>
          <w:bCs/>
          <w:b/>
        </w:rPr>
        <w:t xml:space="preserve">Interpretation.</w:t>
      </w:r>
      <w:r>
        <w:t xml:space="preserve"> </w:t>
      </w:r>
      <w:r>
        <w:t xml:space="preserve">The pool is 50× oversized in normal operation and still too small during the incident.</w:t>
      </w:r>
      <w:r>
        <w:t xml:space="preserve"> </w:t>
      </w:r>
      <w:r>
        <w:rPr>
          <w:bCs/>
          <w:b/>
        </w:rPr>
        <w:t xml:space="preserve">Engineering implication.</w:t>
      </w:r>
      <w:r>
        <w:t xml:space="preserve"> </w:t>
      </w:r>
      <w:r>
        <w:t xml:space="preserve">Oversized pools are not free: in PostgreSQL each connection is a separate server process with its own memory, so hundreds of mostly idle connections waste database resources and let a slow-query incident push far more concurrent work onto an already struggling database. A small pool (here perhaps 2–3 per instance) or a central pooler such as PgBouncer (§14.13), combined with query timeouts, caps concurrency at the database where it matters.</w:t>
      </w:r>
    </w:p>
    <w:p>
      <w:pPr>
        <w:pStyle w:val="CalloutExample"/>
      </w:pPr>
      <w:r>
        <w:rPr>
          <w:bCs/>
          <w:b/>
        </w:rPr>
        <w:t xml:space="preserve">WORKED EXAMPLE</w:t>
      </w:r>
    </w:p>
    <w:p>
      <w:pPr>
        <w:pStyle w:val="CalloutExample"/>
      </w:pPr>
      <w:r>
        <w:rPr>
          <w:bCs/>
          <w:b/>
        </w:rPr>
        <w:t xml:space="preserve">Worked example 3 — Inferring latency from a backlog.</w:t>
      </w:r>
      <w:r>
        <w:t xml:space="preserve"> </w:t>
      </w:r>
      <w:r>
        <w:t xml:space="preserve">A message broker topic holds a backlog of 5,000 messages, and consumers process 1,000 messages per second while producers add messages at the same rate.</w:t>
      </w:r>
    </w:p>
    <w:p>
      <w:pPr>
        <w:numPr>
          <w:ilvl w:val="0"/>
          <w:numId w:val="1114"/>
        </w:numPr>
        <w:pStyle w:val="Compact"/>
      </w:pPr>
      <w:r>
        <w:t xml:space="preserve">Rearranging Little’s Law:</w:t>
      </w:r>
      <w:r>
        <w:t xml:space="preserve"> </w:t>
      </w:r>
      <m:oMath>
        <m:r>
          <m:t>W</m:t>
        </m:r>
        <m:r>
          <m:rPr>
            <m:sty m:val="p"/>
          </m:rPr>
          <m:t>=</m:t>
        </m:r>
        <m:r>
          <m:t>L</m:t>
        </m:r>
        <m:r>
          <m:rPr>
            <m:sty m:val="p"/>
          </m:rPr>
          <m:t>/</m:t>
        </m:r>
        <m:r>
          <m:t>λ</m:t>
        </m:r>
        <m:r>
          <m:rPr>
            <m:sty m:val="p"/>
          </m:rPr>
          <m:t>=</m:t>
        </m:r>
        <m:r>
          <m:t>5</m:t>
        </m:r>
        <m:r>
          <m:rPr>
            <m:sty m:val="p"/>
          </m:rPr>
          <m:t>,</m:t>
        </m:r>
        <m:r>
          <m:t>000</m:t>
        </m:r>
        <m:r>
          <m:rPr>
            <m:sty m:val="p"/>
          </m:rPr>
          <m:t>/</m:t>
        </m:r>
        <m:r>
          <m:t>1</m:t>
        </m:r>
        <m:r>
          <m:rPr>
            <m:sty m:val="p"/>
          </m:rPr>
          <m:t>,</m:t>
        </m:r>
        <m:r>
          <m:t>000</m:t>
        </m:r>
        <m:r>
          <m:rPr>
            <m:sty m:val="p"/>
          </m:rPr>
          <m:t>=</m:t>
        </m:r>
        <m:r>
          <m:t>5</m:t>
        </m:r>
      </m:oMath>
      <w:r>
        <w:t xml:space="preserve"> </w:t>
      </w:r>
      <w:r>
        <w:t xml:space="preserve">s.</w:t>
      </w:r>
    </w:p>
    <w:p>
      <w:pPr>
        <w:pStyle w:val="CalloutExample"/>
      </w:pPr>
      <w:r>
        <w:rPr>
          <w:bCs/>
          <w:b/>
        </w:rPr>
        <w:t xml:space="preserve">Interpretation.</w:t>
      </w:r>
      <w:r>
        <w:t xml:space="preserve"> </w:t>
      </w:r>
      <w:r>
        <w:t xml:space="preserve">Each message spends about 5 s waiting in the topic before processing.</w:t>
      </w:r>
      <w:r>
        <w:t xml:space="preserve"> </w:t>
      </w:r>
      <w:r>
        <w:rPr>
          <w:bCs/>
          <w:b/>
        </w:rPr>
        <w:t xml:space="preserve">Engineering implication.</w:t>
      </w:r>
      <w:r>
        <w:t xml:space="preserve"> </w:t>
      </w:r>
      <w:r>
        <w:t xml:space="preserve">Consumer lag measured in</w:t>
      </w:r>
      <w:r>
        <w:t xml:space="preserve"> </w:t>
      </w:r>
      <w:r>
        <w:rPr>
          <w:iCs/>
          <w:i/>
        </w:rPr>
        <w:t xml:space="preserve">messages</w:t>
      </w:r>
      <w:r>
        <w:t xml:space="preserve"> </w:t>
      </w:r>
      <w:r>
        <w:t xml:space="preserve">(the metric most brokers expose) converts to lag in</w:t>
      </w:r>
      <w:r>
        <w:t xml:space="preserve"> </w:t>
      </w:r>
      <w:r>
        <w:rPr>
          <w:iCs/>
          <w:i/>
        </w:rPr>
        <w:t xml:space="preserve">seconds</w:t>
      </w:r>
      <w:r>
        <w:t xml:space="preserve"> </w:t>
      </w:r>
      <w:r>
        <w:t xml:space="preserve">— the metric users care about — by dividing by throughput. Alert on the latter.</w:t>
      </w:r>
    </w:p>
    <w:p>
      <w:pPr>
        <w:pStyle w:val="CalloutMistake"/>
      </w:pPr>
      <w:r>
        <w:rPr>
          <w:bCs/>
          <w:b/>
        </w:rPr>
        <w:t xml:space="preserve">COMMON MISTAKE</w:t>
      </w:r>
    </w:p>
    <w:p>
      <w:pPr>
        <w:pStyle w:val="CalloutMistake"/>
      </w:pPr>
      <w:r>
        <w:rPr>
          <w:bCs/>
          <w:b/>
        </w:rPr>
        <w:t xml:space="preserve">Mistake — Mixing boundaries.</w:t>
      </w:r>
      <w:r>
        <w:t xml:space="preserve"> </w:t>
      </w:r>
      <w:r>
        <w:t xml:space="preserve">Little’s Law requires that</w:t>
      </w:r>
      <w:r>
        <w:t xml:space="preserve"> </w:t>
      </w:r>
      <m:oMath>
        <m:r>
          <m:t>L</m:t>
        </m:r>
      </m:oMath>
      <w:r>
        <w:t xml:space="preserve">,</w:t>
      </w:r>
      <w:r>
        <w:t xml:space="preserve"> </w:t>
      </w:r>
      <m:oMath>
        <m:r>
          <m:t>λ</m:t>
        </m:r>
      </m:oMath>
      <w:r>
        <w:t xml:space="preserve"> </w:t>
      </w:r>
      <w:r>
        <w:t xml:space="preserve">and</w:t>
      </w:r>
      <w:r>
        <w:t xml:space="preserve"> </w:t>
      </w:r>
      <m:oMath>
        <m:r>
          <m:t>W</m:t>
        </m:r>
      </m:oMath>
      <w:r>
        <w:t xml:space="preserve"> </w:t>
      </w:r>
      <w:r>
        <w:t xml:space="preserve">are measured on the</w:t>
      </w:r>
      <w:r>
        <w:t xml:space="preserve"> </w:t>
      </w:r>
      <w:r>
        <w:rPr>
          <w:iCs/>
          <w:i/>
        </w:rPr>
        <w:t xml:space="preserve">same</w:t>
      </w:r>
      <w:r>
        <w:t xml:space="preserve"> </w:t>
      </w:r>
      <w:r>
        <w:t xml:space="preserve">boundary. Using end-to-end request latency (which includes time spent in the database) with the occupancy of the application thread pool is correct only if threads are held for the entire request. If an asynchronous framework releases the thread while waiting for I/O, the thread-holding time</w:t>
      </w:r>
      <w:r>
        <w:t xml:space="preserve"> </w:t>
      </w:r>
      <m:oMath>
        <m:r>
          <m:t>W</m:t>
        </m:r>
      </m:oMath>
      <w:r>
        <w:t xml:space="preserve"> </w:t>
      </w:r>
      <w:r>
        <w:t xml:space="preserve">is much smaller than request latency.</w:t>
      </w:r>
    </w:p>
    <w:bookmarkEnd w:id="404"/>
    <w:bookmarkEnd w:id="405"/>
    <w:bookmarkStart w:id="409" w:name="amdahls-law-and-gustafsons-law"/>
    <w:p>
      <w:pPr>
        <w:pStyle w:val="Heading2"/>
      </w:pPr>
      <w:r>
        <w:t xml:space="preserve">4.12 Amdahl’s Law and Gustafson’s Law</w:t>
      </w:r>
    </w:p>
    <w:bookmarkStart w:id="407" w:name="amdahls-law"/>
    <w:p>
      <w:pPr>
        <w:pStyle w:val="Heading3"/>
      </w:pPr>
      <w:r>
        <w:t xml:space="preserve">4.12.1 Amdahl’s Law</w:t>
      </w:r>
    </w:p>
    <w:p>
      <w:pPr>
        <w:pStyle w:val="CalloutDefinition"/>
      </w:pPr>
      <w:r>
        <w:rPr>
          <w:bCs/>
          <w:b/>
        </w:rPr>
        <w:t xml:space="preserve">DEFINITION</w:t>
      </w:r>
    </w:p>
    <w:p>
      <w:pPr>
        <w:pStyle w:val="CalloutDefinition"/>
      </w:pPr>
      <w:r>
        <w:rPr>
          <w:bCs/>
          <w:b/>
        </w:rPr>
        <w:t xml:space="preserve">Definition — Speedup.</w:t>
      </w:r>
      <w:r>
        <w:t xml:space="preserve"> </w:t>
      </w:r>
      <w:r>
        <w:t xml:space="preserve">The ratio of the time a job takes on one processor (or node) to the time it takes on</w:t>
      </w:r>
      <w:r>
        <w:t xml:space="preserve"> </w:t>
      </w:r>
      <m:oMath>
        <m:r>
          <m:t>N</m:t>
        </m:r>
      </m:oMath>
      <w:r>
        <w:t xml:space="preserve">:</w:t>
      </w:r>
      <w:r>
        <w:t xml:space="preserve"> </w:t>
      </w:r>
      <m:oMath>
        <m:r>
          <m:t>S</m:t>
        </m:r>
        <m:d>
          <m:dPr>
            <m:begChr m:val="("/>
            <m:endChr m:val=")"/>
            <m:sepChr m:val=""/>
            <m:grow/>
          </m:dPr>
          <m:e>
            <m:r>
              <m:t>N</m:t>
            </m:r>
          </m:e>
        </m:d>
        <m:r>
          <m:rPr>
            <m:sty m:val="p"/>
          </m:rPr>
          <m:t>=</m:t>
        </m:r>
        <m:r>
          <m:t>T</m:t>
        </m:r>
        <m:d>
          <m:dPr>
            <m:begChr m:val="("/>
            <m:endChr m:val=")"/>
            <m:sepChr m:val=""/>
            <m:grow/>
          </m:dPr>
          <m:e>
            <m:r>
              <m:t>1</m:t>
            </m:r>
          </m:e>
        </m:d>
        <m:r>
          <m:rPr>
            <m:sty m:val="p"/>
          </m:rPr>
          <m:t>/</m:t>
        </m:r>
        <m:r>
          <m:t>T</m:t>
        </m:r>
        <m:d>
          <m:dPr>
            <m:begChr m:val="("/>
            <m:endChr m:val=")"/>
            <m:sepChr m:val=""/>
            <m:grow/>
          </m:dPr>
          <m:e>
            <m:r>
              <m:t>N</m:t>
            </m:r>
          </m:e>
        </m:d>
      </m:oMath>
      <w:r>
        <w:t xml:space="preserve">. Perfect,</w:t>
      </w:r>
      <w:r>
        <w:t xml:space="preserve"> </w:t>
      </w:r>
      <w:r>
        <w:rPr>
          <w:bCs/>
          <w:b/>
        </w:rPr>
        <w:t xml:space="preserve">linear</w:t>
      </w:r>
      <w:r>
        <w:t xml:space="preserve"> </w:t>
      </w:r>
      <w:r>
        <w:t xml:space="preserve">speedup is</w:t>
      </w:r>
      <w:r>
        <w:t xml:space="preserve"> </w:t>
      </w:r>
      <m:oMath>
        <m:r>
          <m:t>S</m:t>
        </m:r>
        <m:d>
          <m:dPr>
            <m:begChr m:val="("/>
            <m:endChr m:val=")"/>
            <m:sepChr m:val=""/>
            <m:grow/>
          </m:dPr>
          <m:e>
            <m:r>
              <m:t>N</m:t>
            </m:r>
          </m:e>
        </m:d>
        <m:r>
          <m:rPr>
            <m:sty m:val="p"/>
          </m:rPr>
          <m:t>=</m:t>
        </m:r>
        <m:r>
          <m:t>N</m:t>
        </m:r>
      </m:oMath>
      <w:r>
        <w:t xml:space="preserve">.</w:t>
      </w:r>
    </w:p>
    <w:bookmarkStart w:id="406" w:name="first-principles-explanation-28"/>
    <w:p>
      <w:pPr>
        <w:pStyle w:val="Heading4"/>
      </w:pPr>
      <w:r>
        <w:t xml:space="preserve">First-principles explanation</w:t>
      </w:r>
    </w:p>
    <w:p>
      <w:pPr>
        <w:pStyle w:val="FirstParagraph"/>
      </w:pPr>
      <w:r>
        <w:t xml:space="preserve">Eight friends cook a dinner. Chopping vegetables parallelizes beautifully: eight people chop eight times faster. But the oven takes 40 minutes no matter how many cooks there are. However many friends you add, dinner cannot take less than 40 minutes. Gene Amdahl made this argument in 1967 about parallel computers [Amdahl 1967]: the part of a job that cannot be parallelized sets a hard ceiling on speedup.</w:t>
      </w:r>
    </w:p>
    <w:p>
      <w:pPr>
        <w:pStyle w:val="CalloutFormula"/>
      </w:pPr>
      <w:r>
        <w:rPr>
          <w:bCs/>
          <w:b/>
        </w:rPr>
        <w:t xml:space="preserve">FORMULA</w:t>
      </w:r>
    </w:p>
    <w:p>
      <w:pPr>
        <w:pStyle w:val="CalloutFormula"/>
      </w:pPr>
      <w:r>
        <w:rPr>
          <w:bCs/>
          <w:b/>
        </w:rPr>
        <w:t xml:space="preserve">Amdahl’s Law (fixed problem size)</w:t>
      </w:r>
    </w:p>
    <w:p>
      <w:pPr>
        <w:pStyle w:val="CalloutFormula"/>
      </w:pPr>
      <m:oMathPara>
        <m:oMathParaPr>
          <m:jc m:val="center"/>
        </m:oMathParaPr>
        <m:oMath>
          <m:r>
            <m:t>S</m:t>
          </m:r>
          <m:d>
            <m:dPr>
              <m:begChr m:val="("/>
              <m:endChr m:val=")"/>
              <m:sepChr m:val=""/>
              <m:grow/>
            </m:dPr>
            <m:e>
              <m:r>
                <m:t>N</m:t>
              </m:r>
            </m:e>
          </m:d>
          <m:r>
            <m:rPr>
              <m:sty m:val="p"/>
            </m:rPr>
            <m:t>=</m:t>
          </m:r>
          <m:f>
            <m:fPr>
              <m:type m:val="bar"/>
            </m:fPr>
            <m:num>
              <m:r>
                <m:t>1</m:t>
              </m:r>
            </m:num>
            <m:den>
              <m:d>
                <m:dPr>
                  <m:begChr m:val="("/>
                  <m:endChr m:val=")"/>
                  <m:sepChr m:val=""/>
                  <m:grow/>
                </m:dPr>
                <m:e>
                  <m:r>
                    <m:t>1</m:t>
                  </m:r>
                  <m:r>
                    <m:rPr>
                      <m:sty m:val="p"/>
                    </m:rPr>
                    <m:t>−</m:t>
                  </m:r>
                  <m:r>
                    <m:t>p</m:t>
                  </m:r>
                </m:e>
              </m:d>
              <m:r>
                <m:rPr>
                  <m:sty m:val="p"/>
                </m:rPr>
                <m:t>+</m:t>
              </m:r>
              <m:f>
                <m:fPr>
                  <m:type m:val="bar"/>
                </m:fPr>
                <m:num>
                  <m:r>
                    <m:t>p</m:t>
                  </m:r>
                </m:num>
                <m:den>
                  <m:r>
                    <m:t>N</m:t>
                  </m:r>
                </m:den>
              </m:f>
            </m:den>
          </m:f>
          <m:r>
            <m:t>  </m:t>
          </m:r>
          <m:limLow>
            <m:e>
              <m:r>
                <m:rPr>
                  <m:sty m:val="p"/>
                </m:rPr>
                <m:t>lim</m:t>
              </m:r>
            </m:e>
            <m:lim>
              <m:r>
                <m:t>N</m:t>
              </m:r>
              <m:r>
                <m:rPr>
                  <m:sty m:val="p"/>
                </m:rPr>
                <m:t>→</m:t>
              </m:r>
              <m:r>
                <m:rPr>
                  <m:sty m:val="p"/>
                </m:rPr>
                <m:t>∞</m:t>
              </m:r>
            </m:lim>
          </m:limLow>
          <m:r>
            <m:t>S</m:t>
          </m:r>
          <m:d>
            <m:dPr>
              <m:begChr m:val="("/>
              <m:endChr m:val=")"/>
              <m:sepChr m:val=""/>
              <m:grow/>
            </m:dPr>
            <m:e>
              <m:r>
                <m:t>N</m:t>
              </m:r>
            </m:e>
          </m:d>
          <m:r>
            <m:rPr>
              <m:sty m:val="p"/>
            </m:rPr>
            <m:t>=</m:t>
          </m:r>
          <m:f>
            <m:fPr>
              <m:type m:val="bar"/>
            </m:fPr>
            <m:num>
              <m:r>
                <m:t>1</m:t>
              </m:r>
            </m:num>
            <m:den>
              <m:r>
                <m:t>1</m:t>
              </m:r>
              <m:r>
                <m:rPr>
                  <m:sty m:val="p"/>
                </m:rPr>
                <m:t>−</m:t>
              </m:r>
              <m:r>
                <m:t>p</m:t>
              </m:r>
            </m:den>
          </m:f>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p</m:t>
              </m:r>
            </m:oMath>
          </w:p>
        </w:tc>
        <w:tc>
          <w:tcPr/>
          <w:p>
            <w:pPr>
              <w:pStyle w:val="Compact"/>
              <w:jc w:val="left"/>
            </w:pPr>
            <w:r>
              <w:t xml:space="preserve">Fraction of the single-processor run time that can be parallelized</w:t>
            </w:r>
          </w:p>
        </w:tc>
        <w:tc>
          <w:tcPr/>
          <w:p>
            <w:pPr>
              <w:pStyle w:val="Compact"/>
              <w:jc w:val="left"/>
            </w:pPr>
            <w:r>
              <w:t xml:space="preserve">dimensionless (0–1)</w:t>
            </w:r>
          </w:p>
        </w:tc>
      </w:tr>
      <w:tr>
        <w:tc>
          <w:tcPr/>
          <w:p>
            <w:pPr>
              <w:pStyle w:val="Compact"/>
              <w:jc w:val="left"/>
            </w:pPr>
            <m:oMath>
              <m:r>
                <m:t>1</m:t>
              </m:r>
              <m:r>
                <m:rPr>
                  <m:sty m:val="p"/>
                </m:rPr>
                <m:t>−</m:t>
              </m:r>
              <m:r>
                <m:t>p</m:t>
              </m:r>
            </m:oMath>
          </w:p>
        </w:tc>
        <w:tc>
          <w:tcPr/>
          <w:p>
            <w:pPr>
              <w:pStyle w:val="Compact"/>
              <w:jc w:val="left"/>
            </w:pPr>
            <w:r>
              <w:t xml:space="preserve">Serial fraction</w:t>
            </w:r>
          </w:p>
        </w:tc>
        <w:tc>
          <w:tcPr/>
          <w:p>
            <w:pPr>
              <w:pStyle w:val="Compact"/>
              <w:jc w:val="left"/>
            </w:pPr>
            <w:r>
              <w:t xml:space="preserve">dimensionless</w:t>
            </w:r>
          </w:p>
        </w:tc>
      </w:tr>
      <w:tr>
        <w:tc>
          <w:tcPr/>
          <w:p>
            <w:pPr>
              <w:pStyle w:val="Compact"/>
              <w:jc w:val="left"/>
            </w:pPr>
            <m:oMath>
              <m:r>
                <m:t>N</m:t>
              </m:r>
            </m:oMath>
          </w:p>
        </w:tc>
        <w:tc>
          <w:tcPr/>
          <w:p>
            <w:pPr>
              <w:pStyle w:val="Compact"/>
              <w:jc w:val="left"/>
            </w:pPr>
            <w:r>
              <w:t xml:space="preserve">Number of processors, cores or nodes</w:t>
            </w:r>
          </w:p>
        </w:tc>
        <w:tc>
          <w:tcPr/>
          <w:p>
            <w:pPr>
              <w:pStyle w:val="Compact"/>
              <w:jc w:val="left"/>
            </w:pPr>
            <w:r>
              <w:t xml:space="preserve">count</w:t>
            </w:r>
          </w:p>
        </w:tc>
      </w:tr>
      <w:tr>
        <w:tc>
          <w:tcPr/>
          <w:p>
            <w:pPr>
              <w:pStyle w:val="Compact"/>
              <w:jc w:val="left"/>
            </w:pPr>
            <m:oMath>
              <m:r>
                <m:t>S</m:t>
              </m:r>
              <m:d>
                <m:dPr>
                  <m:begChr m:val="("/>
                  <m:endChr m:val=")"/>
                  <m:sepChr m:val=""/>
                  <m:grow/>
                </m:dPr>
                <m:e>
                  <m:r>
                    <m:t>N</m:t>
                  </m:r>
                </m:e>
              </m:d>
            </m:oMath>
          </w:p>
        </w:tc>
        <w:tc>
          <w:tcPr/>
          <w:p>
            <w:pPr>
              <w:pStyle w:val="Compact"/>
              <w:jc w:val="left"/>
            </w:pPr>
            <w:r>
              <w:t xml:space="preserve">Speedup relative to one processor</w:t>
            </w:r>
          </w:p>
        </w:tc>
        <w:tc>
          <w:tcPr/>
          <w:p>
            <w:pPr>
              <w:pStyle w:val="Compact"/>
              <w:jc w:val="left"/>
            </w:pPr>
            <w:r>
              <w:t xml:space="preserve">dimensionless (×)</w:t>
            </w:r>
          </w:p>
        </w:tc>
      </w:tr>
    </w:tbl>
    <w:p>
      <w:pPr>
        <w:pStyle w:val="BodyText"/>
      </w:pPr>
      <w:r>
        <w:rPr>
          <w:bCs/>
          <w:b/>
        </w:rPr>
        <w:t xml:space="preserve">Derivation.</w:t>
      </w:r>
      <w:r>
        <w:t xml:space="preserve"> </w:t>
      </w:r>
      <w:r>
        <w:t xml:space="preserve">Normalize the one-processor time to 1. The serial part still takes</w:t>
      </w:r>
      <w:r>
        <w:t xml:space="preserve"> </w:t>
      </w:r>
      <m:oMath>
        <m:r>
          <m:t>1</m:t>
        </m:r>
        <m:r>
          <m:rPr>
            <m:sty m:val="p"/>
          </m:rPr>
          <m:t>−</m:t>
        </m:r>
        <m:r>
          <m:t>p</m:t>
        </m:r>
      </m:oMath>
      <w:r>
        <w:t xml:space="preserve">; the parallel part takes</w:t>
      </w:r>
      <w:r>
        <w:t xml:space="preserve"> </w:t>
      </w:r>
      <m:oMath>
        <m:r>
          <m:t>p</m:t>
        </m:r>
        <m:r>
          <m:rPr>
            <m:sty m:val="p"/>
          </m:rPr>
          <m:t>/</m:t>
        </m:r>
        <m:r>
          <m:t>N</m:t>
        </m:r>
      </m:oMath>
      <w:r>
        <w:t xml:space="preserve"> </w:t>
      </w:r>
      <w:r>
        <w:t xml:space="preserve">on</w:t>
      </w:r>
      <w:r>
        <w:t xml:space="preserve"> </w:t>
      </w:r>
      <m:oMath>
        <m:r>
          <m:t>N</m:t>
        </m:r>
      </m:oMath>
      <w:r>
        <w:t xml:space="preserve"> </w:t>
      </w:r>
      <w:r>
        <w:t xml:space="preserve">processors. Speedup is the old time (1) divided by the new time.</w:t>
      </w:r>
    </w:p>
    <w:p>
      <w:pPr>
        <w:pStyle w:val="CalloutExample"/>
      </w:pPr>
      <w:r>
        <w:rPr>
          <w:bCs/>
          <w:b/>
        </w:rPr>
        <w:t xml:space="preserve">WORKED EXAMPLE</w:t>
      </w:r>
    </w:p>
    <w:p>
      <w:pPr>
        <w:pStyle w:val="CalloutExample"/>
      </w:pPr>
      <w:r>
        <w:rPr>
          <w:bCs/>
          <w:b/>
        </w:rPr>
        <w:t xml:space="preserve">Worked example — A 95% parallel job.</w:t>
      </w:r>
      <w:r>
        <w:t xml:space="preserve"> </w:t>
      </w:r>
      <w:r>
        <w:t xml:space="preserve">A batch job spends 5% of its time in a single-threaded setup phase and 95% in work that splits perfectly across cores.</w:t>
      </w:r>
    </w:p>
    <w:p>
      <w:pPr>
        <w:numPr>
          <w:ilvl w:val="0"/>
          <w:numId w:val="1115"/>
        </w:numPr>
        <w:pStyle w:val="Compact"/>
      </w:pPr>
      <w:r>
        <w:t xml:space="preserve">On 8 cores:</w:t>
      </w:r>
      <w:r>
        <w:t xml:space="preserve"> </w:t>
      </w:r>
      <m:oMath>
        <m:r>
          <m:t>S</m:t>
        </m:r>
        <m:r>
          <m:rPr>
            <m:sty m:val="p"/>
          </m:rPr>
          <m:t>=</m:t>
        </m:r>
        <m:r>
          <m:t>1</m:t>
        </m:r>
        <m:r>
          <m:rPr>
            <m:sty m:val="p"/>
          </m:rPr>
          <m:t>/</m:t>
        </m:r>
        <m:d>
          <m:dPr>
            <m:begChr m:val="("/>
            <m:endChr m:val=")"/>
            <m:sepChr m:val=""/>
            <m:grow/>
          </m:dPr>
          <m:e>
            <m:r>
              <m:t>0.05</m:t>
            </m:r>
            <m:r>
              <m:rPr>
                <m:sty m:val="p"/>
              </m:rPr>
              <m:t>+</m:t>
            </m:r>
            <m:r>
              <m:t>0.95</m:t>
            </m:r>
            <m:r>
              <m:rPr>
                <m:sty m:val="p"/>
              </m:rPr>
              <m:t>/</m:t>
            </m:r>
            <m:r>
              <m:t>8</m:t>
            </m:r>
          </m:e>
        </m:d>
        <m:r>
          <m:rPr>
            <m:sty m:val="p"/>
          </m:rPr>
          <m:t>=</m:t>
        </m:r>
        <m:r>
          <m:t>1</m:t>
        </m:r>
        <m:r>
          <m:rPr>
            <m:sty m:val="p"/>
          </m:rPr>
          <m:t>/</m:t>
        </m:r>
        <m:d>
          <m:dPr>
            <m:begChr m:val="("/>
            <m:endChr m:val=")"/>
            <m:sepChr m:val=""/>
            <m:grow/>
          </m:dPr>
          <m:e>
            <m:r>
              <m:t>0.05</m:t>
            </m:r>
            <m:r>
              <m:rPr>
                <m:sty m:val="p"/>
              </m:rPr>
              <m:t>+</m:t>
            </m:r>
            <m:r>
              <m:t>0.11875</m:t>
            </m:r>
          </m:e>
        </m:d>
        <m:r>
          <m:rPr>
            <m:sty m:val="p"/>
          </m:rPr>
          <m:t>=</m:t>
        </m:r>
        <m:r>
          <m:t>1</m:t>
        </m:r>
        <m:r>
          <m:rPr>
            <m:sty m:val="p"/>
          </m:rPr>
          <m:t>/</m:t>
        </m:r>
        <m:r>
          <m:t>0.16875</m:t>
        </m:r>
        <m:r>
          <m:rPr>
            <m:sty m:val="p"/>
          </m:rPr>
          <m:t>=</m:t>
        </m:r>
        <m:r>
          <m:t>5.93</m:t>
        </m:r>
      </m:oMath>
      <w:r>
        <w:t xml:space="preserve">.</w:t>
      </w:r>
    </w:p>
    <w:p>
      <w:pPr>
        <w:numPr>
          <w:ilvl w:val="0"/>
          <w:numId w:val="1115"/>
        </w:numPr>
        <w:pStyle w:val="Compact"/>
      </w:pPr>
      <w:r>
        <w:t xml:space="preserve">On 64 cores:</w:t>
      </w:r>
      <w:r>
        <w:t xml:space="preserve"> </w:t>
      </w:r>
      <m:oMath>
        <m:r>
          <m:t>S</m:t>
        </m:r>
        <m:r>
          <m:rPr>
            <m:sty m:val="p"/>
          </m:rPr>
          <m:t>=</m:t>
        </m:r>
        <m:r>
          <m:t>1</m:t>
        </m:r>
        <m:r>
          <m:rPr>
            <m:sty m:val="p"/>
          </m:rPr>
          <m:t>/</m:t>
        </m:r>
        <m:d>
          <m:dPr>
            <m:begChr m:val="("/>
            <m:endChr m:val=")"/>
            <m:sepChr m:val=""/>
            <m:grow/>
          </m:dPr>
          <m:e>
            <m:r>
              <m:t>0.05</m:t>
            </m:r>
            <m:r>
              <m:rPr>
                <m:sty m:val="p"/>
              </m:rPr>
              <m:t>+</m:t>
            </m:r>
            <m:r>
              <m:t>0.01484</m:t>
            </m:r>
          </m:e>
        </m:d>
        <m:r>
          <m:rPr>
            <m:sty m:val="p"/>
          </m:rPr>
          <m:t>=</m:t>
        </m:r>
        <m:r>
          <m:t>1</m:t>
        </m:r>
        <m:r>
          <m:rPr>
            <m:sty m:val="p"/>
          </m:rPr>
          <m:t>/</m:t>
        </m:r>
        <m:r>
          <m:t>0.06484</m:t>
        </m:r>
        <m:r>
          <m:rPr>
            <m:sty m:val="p"/>
          </m:rPr>
          <m:t>=</m:t>
        </m:r>
        <m:r>
          <m:t>15.4</m:t>
        </m:r>
      </m:oMath>
      <w:r>
        <w:t xml:space="preserve">.</w:t>
      </w:r>
    </w:p>
    <w:p>
      <w:pPr>
        <w:numPr>
          <w:ilvl w:val="0"/>
          <w:numId w:val="1115"/>
        </w:numPr>
        <w:pStyle w:val="Compact"/>
      </w:pPr>
      <w:r>
        <w:t xml:space="preserve">Ceiling:</w:t>
      </w:r>
      <w:r>
        <w:t xml:space="preserve"> </w:t>
      </w:r>
      <m:oMath>
        <m:r>
          <m:t>1</m:t>
        </m:r>
        <m:r>
          <m:rPr>
            <m:sty m:val="p"/>
          </m:rPr>
          <m:t>/</m:t>
        </m:r>
        <m:r>
          <m:t>0.05</m:t>
        </m:r>
        <m:r>
          <m:rPr>
            <m:sty m:val="p"/>
          </m:rPr>
          <m:t>=</m:t>
        </m:r>
        <m:r>
          <m:t>20</m:t>
        </m:r>
      </m:oMath>
      <w:r>
        <w:t xml:space="preserve">, however many cores.</w:t>
      </w:r>
    </w:p>
    <w:p>
      <w:pPr>
        <w:numPr>
          <w:ilvl w:val="0"/>
          <w:numId w:val="1115"/>
        </w:numPr>
        <w:pStyle w:val="Compact"/>
      </w:pPr>
      <w:r>
        <w:t xml:space="preserve">Efficiency on 64 cores:</w:t>
      </w:r>
      <w:r>
        <w:t xml:space="preserve"> </w:t>
      </w:r>
      <m:oMath>
        <m:r>
          <m:t>15.4</m:t>
        </m:r>
        <m:r>
          <m:rPr>
            <m:sty m:val="p"/>
          </m:rPr>
          <m:t>/</m:t>
        </m:r>
        <m:r>
          <m:t>64</m:t>
        </m:r>
        <m:r>
          <m:rPr>
            <m:sty m:val="p"/>
          </m:rPr>
          <m:t>=</m:t>
        </m:r>
        <m:r>
          <m:t>24</m:t>
        </m:r>
        <m:r>
          <m:rPr>
            <m:sty m:val="p"/>
          </m:rPr>
          <m:t>%</m:t>
        </m:r>
      </m:oMath>
      <w:r>
        <w:t xml:space="preserve">.</w:t>
      </w:r>
    </w:p>
    <w:p>
      <w:pPr>
        <w:pStyle w:val="CalloutExample"/>
      </w:pPr>
      <w:r>
        <w:rPr>
          <w:bCs/>
          <w:b/>
        </w:rPr>
        <w:t xml:space="preserve">Interpretation.</w:t>
      </w:r>
      <w:r>
        <w:t xml:space="preserve"> </w:t>
      </w:r>
      <w:r>
        <w:t xml:space="preserve">Moving from 8 to 64 cores (8× the hardware) improves speed only 2.6×.</w:t>
      </w:r>
      <w:r>
        <w:t xml:space="preserve"> </w:t>
      </w:r>
      <w:r>
        <w:rPr>
          <w:bCs/>
          <w:b/>
        </w:rPr>
        <w:t xml:space="preserve">Engineering implication.</w:t>
      </w:r>
      <w:r>
        <w:t xml:space="preserve"> </w:t>
      </w:r>
      <w:r>
        <w:t xml:space="preserve">Before buying more parallelism, measure and shrink the serial fraction: a single-threaded coordinator, a global lock, a sequential merge step. Cutting the serial fraction from 5% to 1% raises the ceiling from 20 to 100.</w:t>
      </w:r>
    </w:p>
    <w:bookmarkEnd w:id="406"/>
    <w:bookmarkEnd w:id="407"/>
    <w:bookmarkStart w:id="408" w:name="gustafsons-law"/>
    <w:p>
      <w:pPr>
        <w:pStyle w:val="Heading3"/>
      </w:pPr>
      <w:r>
        <w:t xml:space="preserve">4.12.2 Gustafson’s Law</w:t>
      </w:r>
    </w:p>
    <w:p>
      <w:pPr>
        <w:pStyle w:val="FirstParagraph"/>
      </w:pPr>
      <w:r>
        <w:t xml:space="preserve">Amdahl assumes a</w:t>
      </w:r>
      <w:r>
        <w:t xml:space="preserve"> </w:t>
      </w:r>
      <w:r>
        <w:rPr>
          <w:iCs/>
          <w:i/>
        </w:rPr>
        <w:t xml:space="preserve">fixed</w:t>
      </w:r>
      <w:r>
        <w:t xml:space="preserve"> </w:t>
      </w:r>
      <w:r>
        <w:t xml:space="preserve">problem. In practice, when engineers get more machines they usually tackle</w:t>
      </w:r>
      <w:r>
        <w:t xml:space="preserve"> </w:t>
      </w:r>
      <w:r>
        <w:rPr>
          <w:iCs/>
          <w:i/>
        </w:rPr>
        <w:t xml:space="preserve">bigger</w:t>
      </w:r>
      <w:r>
        <w:t xml:space="preserve"> </w:t>
      </w:r>
      <w:r>
        <w:t xml:space="preserve">problems — more data, higher resolution, larger models — in the same wall-clock time. John Gustafson observed in 1988 that under this assumption the serial part stays roughly constant while the parallel part grows with</w:t>
      </w:r>
      <w:r>
        <w:t xml:space="preserve"> </w:t>
      </w:r>
      <m:oMath>
        <m:r>
          <m:t>N</m:t>
        </m:r>
      </m:oMath>
      <w:r>
        <w:t xml:space="preserve"> </w:t>
      </w:r>
      <w:r>
        <w:t xml:space="preserve">[Gustafson 1988].</w:t>
      </w:r>
    </w:p>
    <w:p>
      <w:pPr>
        <w:pStyle w:val="CalloutFormula"/>
      </w:pPr>
      <w:r>
        <w:rPr>
          <w:bCs/>
          <w:b/>
        </w:rPr>
        <w:t xml:space="preserve">FORMULA</w:t>
      </w:r>
    </w:p>
    <w:p>
      <w:pPr>
        <w:pStyle w:val="CalloutFormula"/>
      </w:pPr>
      <w:r>
        <w:rPr>
          <w:bCs/>
          <w:b/>
        </w:rPr>
        <w:t xml:space="preserve">Gustafson’s Law (scaled problem size)</w:t>
      </w:r>
    </w:p>
    <w:p>
      <w:pPr>
        <w:pStyle w:val="CalloutFormula"/>
      </w:pPr>
      <m:oMathPara>
        <m:oMathParaPr>
          <m:jc m:val="center"/>
        </m:oMathParaPr>
        <m:oMath>
          <m:sSub>
            <m:e>
              <m:r>
                <m:t>S</m:t>
              </m:r>
            </m:e>
            <m:sub>
              <m:r>
                <m:rPr>
                  <m:nor/>
                  <m:sty m:val="p"/>
                </m:rPr>
                <m:t>scaled</m:t>
              </m:r>
            </m:sub>
          </m:sSub>
          <m:d>
            <m:dPr>
              <m:begChr m:val="("/>
              <m:endChr m:val=")"/>
              <m:sepChr m:val=""/>
              <m:grow/>
            </m:dPr>
            <m:e>
              <m:r>
                <m:t>N</m:t>
              </m:r>
            </m:e>
          </m:d>
          <m:r>
            <m:rPr>
              <m:sty m:val="p"/>
            </m:rPr>
            <m:t>=</m:t>
          </m:r>
          <m:d>
            <m:dPr>
              <m:begChr m:val="("/>
              <m:endChr m:val=")"/>
              <m:sepChr m:val=""/>
              <m:grow/>
            </m:dPr>
            <m:e>
              <m:r>
                <m:t>1</m:t>
              </m:r>
              <m:r>
                <m:rPr>
                  <m:sty m:val="p"/>
                </m:rPr>
                <m:t>−</m:t>
              </m:r>
              <m:r>
                <m:t>p</m:t>
              </m:r>
            </m:e>
          </m:d>
          <m:r>
            <m:rPr>
              <m:sty m:val="p"/>
            </m:rPr>
            <m:t>+</m:t>
          </m:r>
          <m:r>
            <m:t>p</m:t>
          </m:r>
          <m:r>
            <m:t> </m:t>
          </m:r>
          <m:r>
            <m:t>N</m:t>
          </m:r>
          <m:r>
            <m:rPr>
              <m:sty m:val="p"/>
            </m:rPr>
            <m:t>=</m:t>
          </m:r>
          <m:r>
            <m:t>N</m:t>
          </m:r>
          <m:r>
            <m:rPr>
              <m:sty m:val="p"/>
            </m:rPr>
            <m:t>−</m:t>
          </m:r>
          <m:d>
            <m:dPr>
              <m:begChr m:val="("/>
              <m:endChr m:val=")"/>
              <m:sepChr m:val=""/>
              <m:grow/>
            </m:dPr>
            <m:e>
              <m:r>
                <m:t>1</m:t>
              </m:r>
              <m:r>
                <m:rPr>
                  <m:sty m:val="p"/>
                </m:rPr>
                <m:t>−</m:t>
              </m:r>
              <m:r>
                <m:t>p</m:t>
              </m:r>
            </m:e>
          </m:d>
          <m:d>
            <m:dPr>
              <m:begChr m:val="("/>
              <m:endChr m:val=")"/>
              <m:sepChr m:val=""/>
              <m:grow/>
            </m:dPr>
            <m:e>
              <m:r>
                <m:t>N</m:t>
              </m:r>
              <m:r>
                <m:rPr>
                  <m:sty m:val="p"/>
                </m:rPr>
                <m:t>−</m:t>
              </m:r>
              <m:r>
                <m:t>1</m:t>
              </m:r>
            </m:e>
          </m:d>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p</m:t>
              </m:r>
            </m:oMath>
          </w:p>
        </w:tc>
        <w:tc>
          <w:tcPr/>
          <w:p>
            <w:pPr>
              <w:pStyle w:val="Compact"/>
              <w:jc w:val="left"/>
            </w:pPr>
            <w:r>
              <w:t xml:space="preserve">Fraction of the</w:t>
            </w:r>
            <w:r>
              <w:t xml:space="preserve"> </w:t>
            </w:r>
            <w:r>
              <w:rPr>
                <w:iCs/>
                <w:i/>
              </w:rPr>
              <w:t xml:space="preserve">parallel run’s</w:t>
            </w:r>
            <w:r>
              <w:t xml:space="preserve"> </w:t>
            </w:r>
            <w:r>
              <w:t xml:space="preserve">time spent in parallel work</w:t>
            </w:r>
          </w:p>
        </w:tc>
        <w:tc>
          <w:tcPr/>
          <w:p>
            <w:pPr>
              <w:pStyle w:val="Compact"/>
              <w:jc w:val="left"/>
            </w:pPr>
            <w:r>
              <w:t xml:space="preserve">dimensionless</w:t>
            </w:r>
          </w:p>
        </w:tc>
      </w:tr>
      <w:tr>
        <w:tc>
          <w:tcPr/>
          <w:p>
            <w:pPr>
              <w:pStyle w:val="Compact"/>
              <w:jc w:val="left"/>
            </w:pPr>
            <m:oMath>
              <m:r>
                <m:t>1</m:t>
              </m:r>
              <m:r>
                <m:rPr>
                  <m:sty m:val="p"/>
                </m:rPr>
                <m:t>−</m:t>
              </m:r>
              <m:r>
                <m:t>p</m:t>
              </m:r>
            </m:oMath>
          </w:p>
        </w:tc>
        <w:tc>
          <w:tcPr/>
          <w:p>
            <w:pPr>
              <w:pStyle w:val="Compact"/>
              <w:jc w:val="left"/>
            </w:pPr>
            <w:r>
              <w:t xml:space="preserve">Fraction of the parallel run’s time that is serial</w:t>
            </w:r>
          </w:p>
        </w:tc>
        <w:tc>
          <w:tcPr/>
          <w:p>
            <w:pPr>
              <w:pStyle w:val="Compact"/>
              <w:jc w:val="left"/>
            </w:pPr>
            <w:r>
              <w:t xml:space="preserve">dimensionless</w:t>
            </w:r>
          </w:p>
        </w:tc>
      </w:tr>
      <w:tr>
        <w:tc>
          <w:tcPr/>
          <w:p>
            <w:pPr>
              <w:pStyle w:val="Compact"/>
              <w:jc w:val="left"/>
            </w:pPr>
            <m:oMath>
              <m:r>
                <m:t>N</m:t>
              </m:r>
            </m:oMath>
          </w:p>
        </w:tc>
        <w:tc>
          <w:tcPr/>
          <w:p>
            <w:pPr>
              <w:pStyle w:val="Compact"/>
              <w:jc w:val="left"/>
            </w:pPr>
            <w:r>
              <w:t xml:space="preserve">Number of processors</w:t>
            </w:r>
          </w:p>
        </w:tc>
        <w:tc>
          <w:tcPr/>
          <w:p>
            <w:pPr>
              <w:pStyle w:val="Compact"/>
              <w:jc w:val="left"/>
            </w:pPr>
            <w:r>
              <w:t xml:space="preserve">count</w:t>
            </w:r>
          </w:p>
        </w:tc>
      </w:tr>
      <w:tr>
        <w:tc>
          <w:tcPr/>
          <w:p>
            <w:pPr>
              <w:pStyle w:val="Compact"/>
              <w:jc w:val="left"/>
            </w:pPr>
            <m:oMath>
              <m:sSub>
                <m:e>
                  <m:r>
                    <m:t>S</m:t>
                  </m:r>
                </m:e>
                <m:sub>
                  <m:r>
                    <m:rPr>
                      <m:nor/>
                      <m:sty m:val="p"/>
                    </m:rPr>
                    <m:t>scaled</m:t>
                  </m:r>
                </m:sub>
              </m:sSub>
            </m:oMath>
          </w:p>
        </w:tc>
        <w:tc>
          <w:tcPr/>
          <w:p>
            <w:pPr>
              <w:pStyle w:val="Compact"/>
              <w:jc w:val="left"/>
            </w:pPr>
            <w:r>
              <w:t xml:space="preserve">How much more work is completed in the same time than one processor could do</w:t>
            </w:r>
          </w:p>
        </w:tc>
        <w:tc>
          <w:tcPr/>
          <w:p>
            <w:pPr>
              <w:pStyle w:val="Compact"/>
              <w:jc w:val="left"/>
            </w:pPr>
            <w:r>
              <w:t xml:space="preserve">dimensionless (×)</w:t>
            </w:r>
          </w:p>
        </w:tc>
      </w:tr>
    </w:tbl>
    <w:p>
      <w:pPr>
        <w:pStyle w:val="CalloutExample"/>
      </w:pPr>
      <w:r>
        <w:rPr>
          <w:bCs/>
          <w:b/>
        </w:rPr>
        <w:t xml:space="preserve">WORKED EXAMPLE</w:t>
      </w:r>
    </w:p>
    <w:p>
      <w:pPr>
        <w:pStyle w:val="CalloutExample"/>
      </w:pPr>
      <w:r>
        <w:rPr>
          <w:bCs/>
          <w:b/>
        </w:rPr>
        <w:t xml:space="preserve">Worked example — The same 5% serial fraction, scaled.</w:t>
      </w:r>
      <w:r>
        <w:t xml:space="preserve"> </w:t>
      </w:r>
      <w:r>
        <w:t xml:space="preserve">On 64 processors a job spends 5% of its wall-clock time in serial work.</w:t>
      </w:r>
    </w:p>
    <w:p>
      <w:pPr>
        <w:numPr>
          <w:ilvl w:val="0"/>
          <w:numId w:val="1116"/>
        </w:numPr>
        <w:pStyle w:val="Compact"/>
      </w:pPr>
      <m:oMath>
        <m:sSub>
          <m:e>
            <m:r>
              <m:t>S</m:t>
            </m:r>
          </m:e>
          <m:sub>
            <m:r>
              <m:rPr>
                <m:nor/>
                <m:sty m:val="p"/>
              </m:rPr>
              <m:t>scaled</m:t>
            </m:r>
          </m:sub>
        </m:sSub>
        <m:r>
          <m:rPr>
            <m:sty m:val="p"/>
          </m:rPr>
          <m:t>=</m:t>
        </m:r>
        <m:r>
          <m:t>0.05</m:t>
        </m:r>
        <m:r>
          <m:rPr>
            <m:sty m:val="p"/>
          </m:rPr>
          <m:t>+</m:t>
        </m:r>
        <m:r>
          <m:t>0.95</m:t>
        </m:r>
        <m:r>
          <m:rPr>
            <m:sty m:val="p"/>
          </m:rPr>
          <m:t>×</m:t>
        </m:r>
        <m:r>
          <m:t>64</m:t>
        </m:r>
        <m:r>
          <m:rPr>
            <m:sty m:val="p"/>
          </m:rPr>
          <m:t>=</m:t>
        </m:r>
        <m:r>
          <m:t>0.05</m:t>
        </m:r>
        <m:r>
          <m:rPr>
            <m:sty m:val="p"/>
          </m:rPr>
          <m:t>+</m:t>
        </m:r>
        <m:r>
          <m:t>60.8</m:t>
        </m:r>
        <m:r>
          <m:rPr>
            <m:sty m:val="p"/>
          </m:rPr>
          <m:t>=</m:t>
        </m:r>
        <m:r>
          <m:t>60.85</m:t>
        </m:r>
      </m:oMath>
      <w:r>
        <w:t xml:space="preserve">.</w:t>
      </w:r>
    </w:p>
    <w:p>
      <w:pPr>
        <w:pStyle w:val="CalloutExample"/>
      </w:pPr>
      <w:r>
        <w:rPr>
          <w:bCs/>
          <w:b/>
        </w:rPr>
        <w:t xml:space="preserve">Interpretation.</w:t>
      </w:r>
      <w:r>
        <w:t xml:space="preserve"> </w:t>
      </w:r>
      <w:r>
        <w:t xml:space="preserve">64 processors complete about 61 times as much work as one would in the same time, versus Amdahl’s 15.4 for a fixed problem. The laws do not contradict each other; they answer different questions (</w:t>
      </w:r>
      <w:r>
        <w:t xml:space="preserve">“</w:t>
      </w:r>
      <w:r>
        <w:t xml:space="preserve">how much faster?</w:t>
      </w:r>
      <w:r>
        <w:t xml:space="preserve">”</w:t>
      </w:r>
      <w:r>
        <w:t xml:space="preserve"> </w:t>
      </w:r>
      <w:r>
        <w:t xml:space="preserve">vs</w:t>
      </w:r>
      <w:r>
        <w:t xml:space="preserve"> </w:t>
      </w:r>
      <w:r>
        <w:t xml:space="preserve">“</w:t>
      </w:r>
      <w:r>
        <w:t xml:space="preserve">how much bigger?</w:t>
      </w:r>
      <w:r>
        <w:t xml:space="preserve">”</w:t>
      </w:r>
      <w:r>
        <w:t xml:space="preserve">).</w:t>
      </w:r>
      <w:r>
        <w:t xml:space="preserve"> </w:t>
      </w:r>
      <w:r>
        <w:rPr>
          <w:bCs/>
          <w:b/>
        </w:rPr>
        <w:t xml:space="preserve">Engineering implication.</w:t>
      </w:r>
      <w:r>
        <w:t xml:space="preserve"> </w:t>
      </w:r>
      <w:r>
        <w:t xml:space="preserve">Horizontal scaling of data-parallel systems (MapReduce, Spark, distributed training) mostly lives in Gustafson’s world: more nodes handle more data. Latency-sensitive single requests live in Amdahl’s world: more nodes do not make one request much faster.</w:t>
      </w:r>
    </w:p>
    <w:bookmarkEnd w:id="408"/>
    <w:bookmarkEnd w:id="409"/>
    <w:bookmarkStart w:id="412" w:name="the-universal-scalability-law"/>
    <w:p>
      <w:pPr>
        <w:pStyle w:val="Heading2"/>
      </w:pPr>
      <w:r>
        <w:t xml:space="preserve">4.13 The Universal Scalability Law</w:t>
      </w:r>
    </w:p>
    <w:bookmarkStart w:id="411" w:name="beyond-amdahl-coordination-costs"/>
    <w:p>
      <w:pPr>
        <w:pStyle w:val="Heading3"/>
      </w:pPr>
      <w:r>
        <w:t xml:space="preserve">4.13.1 Beyond Amdahl: coordination costs</w:t>
      </w:r>
    </w:p>
    <w:p>
      <w:pPr>
        <w:pStyle w:val="FirstParagraph"/>
      </w:pPr>
      <w:r>
        <w:t xml:space="preserve">Amdahl’s Law predicts that adding nodes never</w:t>
      </w:r>
      <w:r>
        <w:t xml:space="preserve"> </w:t>
      </w:r>
      <w:r>
        <w:rPr>
          <w:iCs/>
          <w:i/>
        </w:rPr>
        <w:t xml:space="preserve">hurts</w:t>
      </w:r>
      <w:r>
        <w:t xml:space="preserve">: throughput keeps rising toward a ceiling. Real systems often get</w:t>
      </w:r>
      <w:r>
        <w:t xml:space="preserve"> </w:t>
      </w:r>
      <w:r>
        <w:rPr>
          <w:iCs/>
          <w:i/>
        </w:rPr>
        <w:t xml:space="preserve">slower</w:t>
      </w:r>
      <w:r>
        <w:t xml:space="preserve"> </w:t>
      </w:r>
      <w:r>
        <w:t xml:space="preserve">past some size. Neil Gunther’s</w:t>
      </w:r>
      <w:r>
        <w:t xml:space="preserve"> </w:t>
      </w:r>
      <w:r>
        <w:rPr>
          <w:bCs/>
          <w:b/>
        </w:rPr>
        <w:t xml:space="preserve">Universal Scalability Law</w:t>
      </w:r>
      <w:r>
        <w:t xml:space="preserve"> </w:t>
      </w:r>
      <w:r>
        <w:t xml:space="preserve">(USL) explains why by adding a second penalty:</w:t>
      </w:r>
      <w:r>
        <w:t xml:space="preserve"> </w:t>
      </w:r>
      <w:r>
        <w:rPr>
          <w:bCs/>
          <w:b/>
        </w:rPr>
        <w:t xml:space="preserve">coherency</w:t>
      </w:r>
      <w:r>
        <w:t xml:space="preserve"> </w:t>
      </w:r>
      <w:r>
        <w:t xml:space="preserve">(or crosstalk), the cost of nodes keeping each other consistent [Gunther 2007].</w:t>
      </w:r>
    </w:p>
    <w:bookmarkStart w:id="410" w:name="first-principles-explanation-29"/>
    <w:p>
      <w:pPr>
        <w:pStyle w:val="Heading4"/>
      </w:pPr>
      <w:r>
        <w:t xml:space="preserve">First-principles explanation</w:t>
      </w:r>
    </w:p>
    <w:p>
      <w:pPr>
        <w:pStyle w:val="FirstParagraph"/>
      </w:pPr>
      <w:r>
        <w:t xml:space="preserve">Return to the kitchen. Contention is the queue for the single oven (Amdahl’s serial part). Coherency is the time cooks spend</w:t>
      </w:r>
      <w:r>
        <w:t xml:space="preserve"> </w:t>
      </w:r>
      <w:r>
        <w:rPr>
          <w:iCs/>
          <w:i/>
        </w:rPr>
        <w:t xml:space="preserve">talking to each other</w:t>
      </w:r>
      <w:r>
        <w:t xml:space="preserve"> </w:t>
      </w:r>
      <w:r>
        <w:t xml:space="preserve">—</w:t>
      </w:r>
      <w:r>
        <w:t xml:space="preserve"> </w:t>
      </w:r>
      <w:r>
        <w:t xml:space="preserve">“</w:t>
      </w:r>
      <w:r>
        <w:t xml:space="preserve">did you already salt this?</w:t>
      </w:r>
      <w:r>
        <w:t xml:space="preserve">”</w:t>
      </w:r>
      <w:r>
        <w:t xml:space="preserve">. If every cook must check with every other cook, the number of conversations grows like</w:t>
      </w:r>
      <w:r>
        <w:t xml:space="preserve"> </w:t>
      </w:r>
      <m:oMath>
        <m:r>
          <m:t>N</m:t>
        </m:r>
        <m:d>
          <m:dPr>
            <m:begChr m:val="("/>
            <m:endChr m:val=")"/>
            <m:sepChr m:val=""/>
            <m:grow/>
          </m:dPr>
          <m:e>
            <m:r>
              <m:t>N</m:t>
            </m:r>
            <m:r>
              <m:rPr>
                <m:sty m:val="p"/>
              </m:rPr>
              <m:t>−</m:t>
            </m:r>
            <m:r>
              <m:t>1</m:t>
            </m:r>
          </m:e>
        </m:d>
      </m:oMath>
      <w:r>
        <w:t xml:space="preserve">, roughly</w:t>
      </w:r>
      <w:r>
        <w:t xml:space="preserve"> </w:t>
      </w:r>
      <m:oMath>
        <m:sSup>
          <m:e>
            <m:r>
              <m:t>N</m:t>
            </m:r>
          </m:e>
          <m:sup>
            <m:r>
              <m:t>2</m:t>
            </m:r>
          </m:sup>
        </m:sSup>
      </m:oMath>
      <w:r>
        <w:t xml:space="preserve">. With few cooks this is negligible; with many it dominates, and adding a cook makes dinner later.</w:t>
      </w:r>
    </w:p>
    <w:p>
      <w:pPr>
        <w:pStyle w:val="CalloutFormula"/>
      </w:pPr>
      <w:r>
        <w:rPr>
          <w:bCs/>
          <w:b/>
        </w:rPr>
        <w:t xml:space="preserve">FORMULA</w:t>
      </w:r>
    </w:p>
    <w:p>
      <w:pPr>
        <w:pStyle w:val="CalloutFormula"/>
      </w:pPr>
      <w:r>
        <w:rPr>
          <w:bCs/>
          <w:b/>
        </w:rPr>
        <w:t xml:space="preserve">Universal Scalability Law</w:t>
      </w:r>
    </w:p>
    <w:p>
      <w:pPr>
        <w:pStyle w:val="CalloutFormula"/>
      </w:pPr>
      <m:oMathPara>
        <m:oMathParaPr>
          <m:jc m:val="center"/>
        </m:oMathParaPr>
        <m:oMath>
          <m:r>
            <m:t>C</m:t>
          </m:r>
          <m:d>
            <m:dPr>
              <m:begChr m:val="("/>
              <m:endChr m:val=")"/>
              <m:sepChr m:val=""/>
              <m:grow/>
            </m:dPr>
            <m:e>
              <m:r>
                <m:t>N</m:t>
              </m:r>
            </m:e>
          </m:d>
          <m:r>
            <m:rPr>
              <m:sty m:val="p"/>
            </m:rPr>
            <m:t>=</m:t>
          </m:r>
          <m:f>
            <m:fPr>
              <m:type m:val="bar"/>
            </m:fPr>
            <m:num>
              <m:r>
                <m:t>N</m:t>
              </m:r>
            </m:num>
            <m:den>
              <m:r>
                <m:t>1</m:t>
              </m:r>
              <m:r>
                <m:rPr>
                  <m:sty m:val="p"/>
                </m:rPr>
                <m:t>+</m:t>
              </m:r>
              <m:r>
                <m:t>α</m:t>
              </m:r>
              <m:d>
                <m:dPr>
                  <m:begChr m:val="("/>
                  <m:endChr m:val=")"/>
                  <m:sepChr m:val=""/>
                  <m:grow/>
                </m:dPr>
                <m:e>
                  <m:r>
                    <m:t>N</m:t>
                  </m:r>
                  <m:r>
                    <m:rPr>
                      <m:sty m:val="p"/>
                    </m:rPr>
                    <m:t>−</m:t>
                  </m:r>
                  <m:r>
                    <m:t>1</m:t>
                  </m:r>
                </m:e>
              </m:d>
              <m:r>
                <m:rPr>
                  <m:sty m:val="p"/>
                </m:rPr>
                <m:t>+</m:t>
              </m:r>
              <m:r>
                <m:t>β</m:t>
              </m:r>
              <m:r>
                <m:t>N</m:t>
              </m:r>
              <m:d>
                <m:dPr>
                  <m:begChr m:val="("/>
                  <m:endChr m:val=")"/>
                  <m:sepChr m:val=""/>
                  <m:grow/>
                </m:dPr>
                <m:e>
                  <m:r>
                    <m:t>N</m:t>
                  </m:r>
                  <m:r>
                    <m:rPr>
                      <m:sty m:val="p"/>
                    </m:rPr>
                    <m:t>−</m:t>
                  </m:r>
                  <m:r>
                    <m:t>1</m:t>
                  </m:r>
                </m:e>
              </m:d>
            </m:den>
          </m:f>
          <m:r>
            <m:t>  </m:t>
          </m:r>
          <m:sSup>
            <m:e>
              <m:r>
                <m:t>N</m:t>
              </m:r>
            </m:e>
            <m:sup>
              <m:r>
                <m:rPr>
                  <m:sty m:val="p"/>
                </m:rPr>
                <m:t>*</m:t>
              </m:r>
            </m:sup>
          </m:sSup>
          <m:r>
            <m:rPr>
              <m:sty m:val="p"/>
            </m:rPr>
            <m:t>=</m:t>
          </m:r>
          <m:rad>
            <m:radPr>
              <m:degHide m:val="on"/>
            </m:radPr>
            <m:deg/>
            <m:e>
              <m:f>
                <m:fPr>
                  <m:type m:val="bar"/>
                </m:fPr>
                <m:num>
                  <m:r>
                    <m:t>1</m:t>
                  </m:r>
                  <m:r>
                    <m:rPr>
                      <m:sty m:val="p"/>
                    </m:rPr>
                    <m:t>−</m:t>
                  </m:r>
                  <m:r>
                    <m:t>α</m:t>
                  </m:r>
                </m:num>
                <m:den>
                  <m:r>
                    <m:t>β</m:t>
                  </m:r>
                </m:den>
              </m:f>
            </m:e>
          </m:rad>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N</m:t>
              </m:r>
            </m:oMath>
          </w:p>
        </w:tc>
        <w:tc>
          <w:tcPr/>
          <w:p>
            <w:pPr>
              <w:pStyle w:val="Compact"/>
              <w:jc w:val="left"/>
            </w:pPr>
            <w:r>
              <w:t xml:space="preserve">Number of nodes, cores, threads or concurrent users</w:t>
            </w:r>
          </w:p>
        </w:tc>
        <w:tc>
          <w:tcPr/>
          <w:p>
            <w:pPr>
              <w:pStyle w:val="Compact"/>
              <w:jc w:val="left"/>
            </w:pPr>
            <w:r>
              <w:t xml:space="preserve">count</w:t>
            </w:r>
          </w:p>
        </w:tc>
      </w:tr>
      <w:tr>
        <w:tc>
          <w:tcPr/>
          <w:p>
            <w:pPr>
              <w:pStyle w:val="Compact"/>
              <w:jc w:val="left"/>
            </w:pPr>
            <m:oMath>
              <m:r>
                <m:t>C</m:t>
              </m:r>
              <m:d>
                <m:dPr>
                  <m:begChr m:val="("/>
                  <m:endChr m:val=")"/>
                  <m:sepChr m:val=""/>
                  <m:grow/>
                </m:dPr>
                <m:e>
                  <m:r>
                    <m:t>N</m:t>
                  </m:r>
                </m:e>
              </m:d>
            </m:oMath>
          </w:p>
        </w:tc>
        <w:tc>
          <w:tcPr/>
          <w:p>
            <w:pPr>
              <w:pStyle w:val="Compact"/>
              <w:jc w:val="left"/>
            </w:pPr>
            <w:r>
              <w:t xml:space="preserve">Relative capacity: throughput at</w:t>
            </w:r>
            <w:r>
              <w:t xml:space="preserve"> </w:t>
            </w:r>
            <m:oMath>
              <m:r>
                <m:t>N</m:t>
              </m:r>
            </m:oMath>
            <w:r>
              <w:t xml:space="preserve"> </w:t>
            </w:r>
            <w:r>
              <w:t xml:space="preserve">divided by throughput at 1</w:t>
            </w:r>
          </w:p>
        </w:tc>
        <w:tc>
          <w:tcPr/>
          <w:p>
            <w:pPr>
              <w:pStyle w:val="Compact"/>
              <w:jc w:val="left"/>
            </w:pPr>
            <w:r>
              <w:t xml:space="preserve">dimensionless (×)</w:t>
            </w:r>
          </w:p>
        </w:tc>
      </w:tr>
      <w:tr>
        <w:tc>
          <w:tcPr/>
          <w:p>
            <w:pPr>
              <w:pStyle w:val="Compact"/>
              <w:jc w:val="left"/>
            </w:pPr>
            <m:oMath>
              <m:r>
                <m:t>α</m:t>
              </m:r>
            </m:oMath>
          </w:p>
        </w:tc>
        <w:tc>
          <w:tcPr/>
          <w:p>
            <w:pPr>
              <w:pStyle w:val="Compact"/>
              <w:jc w:val="left"/>
            </w:pPr>
            <w:r>
              <w:t xml:space="preserve">Contention coefficient: serialization on shared resources (queues, locks)</w:t>
            </w:r>
          </w:p>
        </w:tc>
        <w:tc>
          <w:tcPr/>
          <w:p>
            <w:pPr>
              <w:pStyle w:val="Compact"/>
              <w:jc w:val="left"/>
            </w:pPr>
            <w:r>
              <w:t xml:space="preserve">dimensionless (0–1)</w:t>
            </w:r>
          </w:p>
        </w:tc>
      </w:tr>
      <w:tr>
        <w:tc>
          <w:tcPr/>
          <w:p>
            <w:pPr>
              <w:pStyle w:val="Compact"/>
              <w:jc w:val="left"/>
            </w:pPr>
            <m:oMath>
              <m:r>
                <m:t>β</m:t>
              </m:r>
            </m:oMath>
          </w:p>
        </w:tc>
        <w:tc>
          <w:tcPr/>
          <w:p>
            <w:pPr>
              <w:pStyle w:val="Compact"/>
              <w:jc w:val="left"/>
            </w:pPr>
            <w:r>
              <w:t xml:space="preserve">Coherency coefficient: pairwise coordination cost (cache coherence, consensus, data exchange)</w:t>
            </w:r>
          </w:p>
        </w:tc>
        <w:tc>
          <w:tcPr/>
          <w:p>
            <w:pPr>
              <w:pStyle w:val="Compact"/>
              <w:jc w:val="left"/>
            </w:pPr>
            <w:r>
              <w:t xml:space="preserve">dimensionless (≥ 0)</w:t>
            </w:r>
          </w:p>
        </w:tc>
      </w:tr>
      <w:tr>
        <w:tc>
          <w:tcPr/>
          <w:p>
            <w:pPr>
              <w:pStyle w:val="Compact"/>
              <w:jc w:val="left"/>
            </w:pPr>
            <m:oMath>
              <m:sSup>
                <m:e>
                  <m:r>
                    <m:t>N</m:t>
                  </m:r>
                </m:e>
                <m:sup>
                  <m:r>
                    <m:rPr>
                      <m:sty m:val="p"/>
                    </m:rPr>
                    <m:t>*</m:t>
                  </m:r>
                </m:sup>
              </m:sSup>
            </m:oMath>
          </w:p>
        </w:tc>
        <w:tc>
          <w:tcPr/>
          <w:p>
            <w:pPr>
              <w:pStyle w:val="Compact"/>
              <w:jc w:val="left"/>
            </w:pPr>
            <w:r>
              <w:t xml:space="preserve">Concurrency at which throughput peaks</w:t>
            </w:r>
          </w:p>
        </w:tc>
        <w:tc>
          <w:tcPr/>
          <w:p>
            <w:pPr>
              <w:pStyle w:val="Compact"/>
              <w:jc w:val="left"/>
            </w:pPr>
            <w:r>
              <w:t xml:space="preserve">count</w:t>
            </w:r>
          </w:p>
        </w:tc>
      </w:tr>
    </w:tbl>
    <w:p>
      <w:pPr>
        <w:pStyle w:val="BodyText"/>
      </w:pPr>
      <w:r>
        <w:t xml:space="preserve">Gunther’s later work writes the coefficients as</w:t>
      </w:r>
      <w:r>
        <w:t xml:space="preserve"> </w:t>
      </w:r>
      <m:oMath>
        <m:r>
          <m:t>σ</m:t>
        </m:r>
      </m:oMath>
      <w:r>
        <w:t xml:space="preserve"> </w:t>
      </w:r>
      <w:r>
        <w:t xml:space="preserve">(contention) and</w:t>
      </w:r>
      <w:r>
        <w:t xml:space="preserve"> </w:t>
      </w:r>
      <m:oMath>
        <m:r>
          <m:t>κ</m:t>
        </m:r>
      </m:oMath>
      <w:r>
        <w:t xml:space="preserve"> </w:t>
      </w:r>
      <w:r>
        <w:t xml:space="preserve">(coherency); the formula is the same. With</w:t>
      </w:r>
      <w:r>
        <w:t xml:space="preserve"> </w:t>
      </w:r>
      <m:oMath>
        <m:r>
          <m:t>β</m:t>
        </m:r>
        <m:r>
          <m:rPr>
            <m:sty m:val="p"/>
          </m:rPr>
          <m:t>=</m:t>
        </m:r>
        <m:r>
          <m:t>0</m:t>
        </m:r>
      </m:oMath>
      <w:r>
        <w:t xml:space="preserve"> </w:t>
      </w:r>
      <w:r>
        <w:t xml:space="preserve">the USL reduces exactly to Amdahl’s Law with serial fraction</w:t>
      </w:r>
      <w:r>
        <w:t xml:space="preserve"> </w:t>
      </w:r>
      <m:oMath>
        <m:r>
          <m:t>α</m:t>
        </m:r>
      </m:oMath>
      <w:r>
        <w:t xml:space="preserve">.</w:t>
      </w:r>
      <w:r>
        <w:t xml:space="preserve"> </w:t>
      </w:r>
      <m:oMath>
        <m:sSup>
          <m:e>
            <m:r>
              <m:t>N</m:t>
            </m:r>
          </m:e>
          <m:sup>
            <m:r>
              <m:rPr>
                <m:sty m:val="p"/>
              </m:rPr>
              <m:t>*</m:t>
            </m:r>
          </m:sup>
        </m:sSup>
      </m:oMath>
      <w:r>
        <w:t xml:space="preserve"> </w:t>
      </w:r>
      <w:r>
        <w:t xml:space="preserve">comes from setting the derivative of</w:t>
      </w:r>
      <w:r>
        <w:t xml:space="preserve"> </w:t>
      </w:r>
      <m:oMath>
        <m:r>
          <m:t>C</m:t>
        </m:r>
        <m:d>
          <m:dPr>
            <m:begChr m:val="("/>
            <m:endChr m:val=")"/>
            <m:sepChr m:val=""/>
            <m:grow/>
          </m:dPr>
          <m:e>
            <m:r>
              <m:t>N</m:t>
            </m:r>
          </m:e>
        </m:d>
      </m:oMath>
      <w:r>
        <w:t xml:space="preserve"> </w:t>
      </w:r>
      <w:r>
        <w:t xml:space="preserve">to zero.</w:t>
      </w:r>
    </w:p>
    <w:p>
      <w:pPr>
        <w:pStyle w:val="CalloutExample"/>
      </w:pPr>
      <w:r>
        <w:rPr>
          <w:bCs/>
          <w:b/>
        </w:rPr>
        <w:t xml:space="preserve">WORKED EXAMPLE</w:t>
      </w:r>
    </w:p>
    <w:p>
      <w:pPr>
        <w:pStyle w:val="CalloutExample"/>
      </w:pPr>
      <w:r>
        <w:rPr>
          <w:bCs/>
          <w:b/>
        </w:rPr>
        <w:t xml:space="preserve">Worked example — Where adding nodes stops helping.</w:t>
      </w:r>
      <w:r>
        <w:t xml:space="preserve"> </w:t>
      </w:r>
      <w:r>
        <w:t xml:space="preserve">A clustered service is measured and fitted with</w:t>
      </w:r>
      <w:r>
        <w:t xml:space="preserve"> </w:t>
      </w:r>
      <m:oMath>
        <m:r>
          <m:t>α</m:t>
        </m:r>
        <m:r>
          <m:rPr>
            <m:sty m:val="p"/>
          </m:rPr>
          <m:t>=</m:t>
        </m:r>
        <m:r>
          <m:t>0.05</m:t>
        </m:r>
      </m:oMath>
      <w:r>
        <w:t xml:space="preserve"> </w:t>
      </w:r>
      <w:r>
        <w:t xml:space="preserve">and</w:t>
      </w:r>
      <w:r>
        <w:t xml:space="preserve"> </w:t>
      </w:r>
      <m:oMath>
        <m:r>
          <m:t>β</m:t>
        </m:r>
        <m:r>
          <m:rPr>
            <m:sty m:val="p"/>
          </m:rPr>
          <m:t>=</m:t>
        </m:r>
        <m:r>
          <m:t>0.001</m:t>
        </m:r>
      </m:oMath>
      <w:r>
        <w:t xml:space="preserve">.</w:t>
      </w:r>
    </w:p>
    <w:p>
      <w:pPr>
        <w:numPr>
          <w:ilvl w:val="0"/>
          <w:numId w:val="1117"/>
        </w:numPr>
        <w:pStyle w:val="Compact"/>
      </w:pPr>
      <m:oMath>
        <m:r>
          <m:t>C</m:t>
        </m:r>
        <m:d>
          <m:dPr>
            <m:begChr m:val="("/>
            <m:endChr m:val=")"/>
            <m:sepChr m:val=""/>
            <m:grow/>
          </m:dPr>
          <m:e>
            <m:r>
              <m:t>8</m:t>
            </m:r>
          </m:e>
        </m:d>
        <m:r>
          <m:rPr>
            <m:sty m:val="p"/>
          </m:rPr>
          <m:t>=</m:t>
        </m:r>
        <m:r>
          <m:t>8</m:t>
        </m:r>
        <m:r>
          <m:rPr>
            <m:sty m:val="p"/>
          </m:rPr>
          <m:t>/</m:t>
        </m:r>
        <m:d>
          <m:dPr>
            <m:begChr m:val="("/>
            <m:endChr m:val=")"/>
            <m:sepChr m:val=""/>
            <m:grow/>
          </m:dPr>
          <m:e>
            <m:r>
              <m:t>1</m:t>
            </m:r>
            <m:r>
              <m:rPr>
                <m:sty m:val="p"/>
              </m:rPr>
              <m:t>+</m:t>
            </m:r>
            <m:r>
              <m:t>0.05</m:t>
            </m:r>
            <m:r>
              <m:rPr>
                <m:sty m:val="p"/>
              </m:rPr>
              <m:t>×</m:t>
            </m:r>
            <m:r>
              <m:t>7</m:t>
            </m:r>
            <m:r>
              <m:rPr>
                <m:sty m:val="p"/>
              </m:rPr>
              <m:t>+</m:t>
            </m:r>
            <m:r>
              <m:t>0.001</m:t>
            </m:r>
            <m:r>
              <m:rPr>
                <m:sty m:val="p"/>
              </m:rPr>
              <m:t>×</m:t>
            </m:r>
            <m:r>
              <m:t>8</m:t>
            </m:r>
            <m:r>
              <m:rPr>
                <m:sty m:val="p"/>
              </m:rPr>
              <m:t>×</m:t>
            </m:r>
            <m:r>
              <m:t>7</m:t>
            </m:r>
          </m:e>
        </m:d>
        <m:r>
          <m:rPr>
            <m:sty m:val="p"/>
          </m:rPr>
          <m:t>=</m:t>
        </m:r>
        <m:r>
          <m:t>8</m:t>
        </m:r>
        <m:r>
          <m:rPr>
            <m:sty m:val="p"/>
          </m:rPr>
          <m:t>/</m:t>
        </m:r>
        <m:d>
          <m:dPr>
            <m:begChr m:val="("/>
            <m:endChr m:val=")"/>
            <m:sepChr m:val=""/>
            <m:grow/>
          </m:dPr>
          <m:e>
            <m:r>
              <m:t>1</m:t>
            </m:r>
            <m:r>
              <m:rPr>
                <m:sty m:val="p"/>
              </m:rPr>
              <m:t>+</m:t>
            </m:r>
            <m:r>
              <m:t>0.35</m:t>
            </m:r>
            <m:r>
              <m:rPr>
                <m:sty m:val="p"/>
              </m:rPr>
              <m:t>+</m:t>
            </m:r>
            <m:r>
              <m:t>0.056</m:t>
            </m:r>
          </m:e>
        </m:d>
        <m:r>
          <m:rPr>
            <m:sty m:val="p"/>
          </m:rPr>
          <m:t>=</m:t>
        </m:r>
        <m:r>
          <m:t>8</m:t>
        </m:r>
        <m:r>
          <m:rPr>
            <m:sty m:val="p"/>
          </m:rPr>
          <m:t>/</m:t>
        </m:r>
        <m:r>
          <m:t>1.406</m:t>
        </m:r>
        <m:r>
          <m:rPr>
            <m:sty m:val="p"/>
          </m:rPr>
          <m:t>=</m:t>
        </m:r>
        <m:r>
          <m:t>5.69</m:t>
        </m:r>
      </m:oMath>
      <w:r>
        <w:t xml:space="preserve">.</w:t>
      </w:r>
    </w:p>
    <w:p>
      <w:pPr>
        <w:numPr>
          <w:ilvl w:val="0"/>
          <w:numId w:val="1117"/>
        </w:numPr>
        <w:pStyle w:val="Compact"/>
      </w:pPr>
      <m:oMath>
        <m:r>
          <m:t>C</m:t>
        </m:r>
        <m:d>
          <m:dPr>
            <m:begChr m:val="("/>
            <m:endChr m:val=")"/>
            <m:sepChr m:val=""/>
            <m:grow/>
          </m:dPr>
          <m:e>
            <m:r>
              <m:t>32</m:t>
            </m:r>
          </m:e>
        </m:d>
        <m:r>
          <m:rPr>
            <m:sty m:val="p"/>
          </m:rPr>
          <m:t>=</m:t>
        </m:r>
        <m:r>
          <m:t>32</m:t>
        </m:r>
        <m:r>
          <m:rPr>
            <m:sty m:val="p"/>
          </m:rPr>
          <m:t>/</m:t>
        </m:r>
        <m:d>
          <m:dPr>
            <m:begChr m:val="("/>
            <m:endChr m:val=")"/>
            <m:sepChr m:val=""/>
            <m:grow/>
          </m:dPr>
          <m:e>
            <m:r>
              <m:t>1</m:t>
            </m:r>
            <m:r>
              <m:rPr>
                <m:sty m:val="p"/>
              </m:rPr>
              <m:t>+</m:t>
            </m:r>
            <m:r>
              <m:t>1.55</m:t>
            </m:r>
            <m:r>
              <m:rPr>
                <m:sty m:val="p"/>
              </m:rPr>
              <m:t>+</m:t>
            </m:r>
            <m:r>
              <m:t>0.992</m:t>
            </m:r>
          </m:e>
        </m:d>
        <m:r>
          <m:rPr>
            <m:sty m:val="p"/>
          </m:rPr>
          <m:t>=</m:t>
        </m:r>
        <m:r>
          <m:t>32</m:t>
        </m:r>
        <m:r>
          <m:rPr>
            <m:sty m:val="p"/>
          </m:rPr>
          <m:t>/</m:t>
        </m:r>
        <m:r>
          <m:t>3.542</m:t>
        </m:r>
        <m:r>
          <m:rPr>
            <m:sty m:val="p"/>
          </m:rPr>
          <m:t>=</m:t>
        </m:r>
        <m:r>
          <m:t>9.03</m:t>
        </m:r>
      </m:oMath>
      <w:r>
        <w:t xml:space="preserve">.</w:t>
      </w:r>
    </w:p>
    <w:p>
      <w:pPr>
        <w:numPr>
          <w:ilvl w:val="0"/>
          <w:numId w:val="1117"/>
        </w:numPr>
        <w:pStyle w:val="Compact"/>
      </w:pPr>
      <m:oMath>
        <m:r>
          <m:t>C</m:t>
        </m:r>
        <m:d>
          <m:dPr>
            <m:begChr m:val="("/>
            <m:endChr m:val=")"/>
            <m:sepChr m:val=""/>
            <m:grow/>
          </m:dPr>
          <m:e>
            <m:r>
              <m:t>64</m:t>
            </m:r>
          </m:e>
        </m:d>
        <m:r>
          <m:rPr>
            <m:sty m:val="p"/>
          </m:rPr>
          <m:t>=</m:t>
        </m:r>
        <m:r>
          <m:t>64</m:t>
        </m:r>
        <m:r>
          <m:rPr>
            <m:sty m:val="p"/>
          </m:rPr>
          <m:t>/</m:t>
        </m:r>
        <m:d>
          <m:dPr>
            <m:begChr m:val="("/>
            <m:endChr m:val=")"/>
            <m:sepChr m:val=""/>
            <m:grow/>
          </m:dPr>
          <m:e>
            <m:r>
              <m:t>1</m:t>
            </m:r>
            <m:r>
              <m:rPr>
                <m:sty m:val="p"/>
              </m:rPr>
              <m:t>+</m:t>
            </m:r>
            <m:r>
              <m:t>3.15</m:t>
            </m:r>
            <m:r>
              <m:rPr>
                <m:sty m:val="p"/>
              </m:rPr>
              <m:t>+</m:t>
            </m:r>
            <m:r>
              <m:t>4.032</m:t>
            </m:r>
          </m:e>
        </m:d>
        <m:r>
          <m:rPr>
            <m:sty m:val="p"/>
          </m:rPr>
          <m:t>=</m:t>
        </m:r>
        <m:r>
          <m:t>64</m:t>
        </m:r>
        <m:r>
          <m:rPr>
            <m:sty m:val="p"/>
          </m:rPr>
          <m:t>/</m:t>
        </m:r>
        <m:r>
          <m:t>8.182</m:t>
        </m:r>
        <m:r>
          <m:rPr>
            <m:sty m:val="p"/>
          </m:rPr>
          <m:t>=</m:t>
        </m:r>
        <m:r>
          <m:t>7.82</m:t>
        </m:r>
      </m:oMath>
      <w:r>
        <w:t xml:space="preserve">.</w:t>
      </w:r>
    </w:p>
    <w:p>
      <w:pPr>
        <w:numPr>
          <w:ilvl w:val="0"/>
          <w:numId w:val="1117"/>
        </w:numPr>
        <w:pStyle w:val="Compact"/>
      </w:pPr>
      <w:r>
        <w:t xml:space="preserve">Peak:</w:t>
      </w:r>
      <w:r>
        <w:t xml:space="preserve"> </w:t>
      </w:r>
      <m:oMath>
        <m:sSup>
          <m:e>
            <m:r>
              <m:t>N</m:t>
            </m:r>
          </m:e>
          <m:sup>
            <m:r>
              <m:rPr>
                <m:sty m:val="p"/>
              </m:rPr>
              <m:t>*</m:t>
            </m:r>
          </m:sup>
        </m:sSup>
        <m:r>
          <m:rPr>
            <m:sty m:val="p"/>
          </m:rPr>
          <m:t>=</m:t>
        </m:r>
        <m:rad>
          <m:radPr>
            <m:degHide m:val="on"/>
          </m:radPr>
          <m:deg/>
          <m:e>
            <m:d>
              <m:dPr>
                <m:begChr m:val="("/>
                <m:endChr m:val=")"/>
                <m:sepChr m:val=""/>
                <m:grow/>
              </m:dPr>
              <m:e>
                <m:r>
                  <m:t>1</m:t>
                </m:r>
                <m:r>
                  <m:rPr>
                    <m:sty m:val="p"/>
                  </m:rPr>
                  <m:t>−</m:t>
                </m:r>
                <m:r>
                  <m:t>0.05</m:t>
                </m:r>
              </m:e>
            </m:d>
            <m:r>
              <m:rPr>
                <m:sty m:val="p"/>
              </m:rPr>
              <m:t>/</m:t>
            </m:r>
            <m:r>
              <m:t>0.001</m:t>
            </m:r>
          </m:e>
        </m:rad>
        <m:r>
          <m:rPr>
            <m:sty m:val="p"/>
          </m:rPr>
          <m:t>=</m:t>
        </m:r>
        <m:rad>
          <m:radPr>
            <m:degHide m:val="on"/>
          </m:radPr>
          <m:deg/>
          <m:e>
            <m:r>
              <m:t>950</m:t>
            </m:r>
          </m:e>
        </m:rad>
        <m:r>
          <m:rPr>
            <m:sty m:val="p"/>
          </m:rPr>
          <m:t>=</m:t>
        </m:r>
        <m:r>
          <m:t>30.8</m:t>
        </m:r>
      </m:oMath>
      <w:r>
        <w:t xml:space="preserve"> </w:t>
      </w:r>
      <w:r>
        <w:t xml:space="preserve">nodes.</w:t>
      </w:r>
    </w:p>
    <w:p>
      <w:pPr>
        <w:pStyle w:val="CalloutExample"/>
      </w:pPr>
      <w:r>
        <w:rPr>
          <w:bCs/>
          <w:b/>
        </w:rPr>
        <w:t xml:space="preserve">Interpretation.</w:t>
      </w:r>
      <w:r>
        <w:t xml:space="preserve"> </w:t>
      </w:r>
      <w:r>
        <w:t xml:space="preserve">Throughput peaks around 31 nodes at about 9× a single node; doubling to 64 nodes</w:t>
      </w:r>
      <w:r>
        <w:t xml:space="preserve"> </w:t>
      </w:r>
      <w:r>
        <w:rPr>
          <w:iCs/>
          <w:i/>
        </w:rPr>
        <w:t xml:space="preserve">loses</w:t>
      </w:r>
      <w:r>
        <w:t xml:space="preserve"> </w:t>
      </w:r>
      <w:r>
        <w:t xml:space="preserve">13% of throughput. Amdahl with the same</w:t>
      </w:r>
      <w:r>
        <w:t xml:space="preserve"> </w:t>
      </w:r>
      <m:oMath>
        <m:r>
          <m:t>α</m:t>
        </m:r>
      </m:oMath>
      <w:r>
        <w:t xml:space="preserve"> </w:t>
      </w:r>
      <w:r>
        <w:t xml:space="preserve">predicts 15.4× at 64 nodes.</w:t>
      </w:r>
      <w:r>
        <w:t xml:space="preserve"> </w:t>
      </w:r>
      <w:r>
        <w:rPr>
          <w:bCs/>
          <w:b/>
        </w:rPr>
        <w:t xml:space="preserve">Engineering implication.</w:t>
      </w:r>
      <w:r>
        <w:t xml:space="preserve"> </w:t>
      </w:r>
      <w:r>
        <w:t xml:space="preserve">If load tests show throughput flattening and then falling as you add nodes or threads, look for coherency costs: all-to-all communication, cache-line ping-pong, distributed locks, broadcast invalidation. The cure is architectural (partitioning so that nodes rarely coordinate), not more hardware.</w:t>
      </w:r>
    </w:p>
    <w:p>
      <w:pPr>
        <w:pStyle w:val="SourceCode"/>
      </w:pPr>
      <w:r>
        <w:rPr>
          <w:rStyle w:val="ImportTok"/>
        </w:rPr>
        <w:t xml:space="preserve">import</w:t>
      </w:r>
      <w:r>
        <w:rPr>
          <w:rStyle w:val="NormalTok"/>
        </w:rPr>
        <w:t xml:space="preserve"> math</w:t>
      </w:r>
      <w:r>
        <w:br/>
      </w:r>
      <w:r>
        <w:br/>
      </w:r>
      <w:r>
        <w:rPr>
          <w:rStyle w:val="KeywordTok"/>
        </w:rPr>
        <w:t xml:space="preserve">def</w:t>
      </w:r>
      <w:r>
        <w:rPr>
          <w:rStyle w:val="NormalTok"/>
        </w:rPr>
        <w:t xml:space="preserve"> amdahl(p, n):</w:t>
      </w:r>
      <w:r>
        <w:br/>
      </w:r>
      <w:r>
        <w:rPr>
          <w:rStyle w:val="NormalTok"/>
        </w:rPr>
        <w:t xml:space="preserve">    </w:t>
      </w:r>
      <w:r>
        <w:rPr>
          <w:rStyle w:val="CommentTok"/>
        </w:rPr>
        <w:t xml:space="preserve">"""Speedup with n processors when fraction p of the work is parallel."""</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 </w:t>
      </w:r>
      <w:r>
        <w:rPr>
          <w:rStyle w:val="OperatorTok"/>
        </w:rPr>
        <w:t xml:space="preserve">+</w:t>
      </w:r>
      <w:r>
        <w:rPr>
          <w:rStyle w:val="NormalTok"/>
        </w:rPr>
        <w:t xml:space="preserve"> p </w:t>
      </w:r>
      <w:r>
        <w:rPr>
          <w:rStyle w:val="OperatorTok"/>
        </w:rPr>
        <w:t xml:space="preserve">/</w:t>
      </w:r>
      <w:r>
        <w:rPr>
          <w:rStyle w:val="NormalTok"/>
        </w:rPr>
        <w:t xml:space="preserve"> n)</w:t>
      </w:r>
      <w:r>
        <w:br/>
      </w:r>
      <w:r>
        <w:br/>
      </w:r>
      <w:r>
        <w:rPr>
          <w:rStyle w:val="KeywordTok"/>
        </w:rPr>
        <w:t xml:space="preserve">def</w:t>
      </w:r>
      <w:r>
        <w:rPr>
          <w:rStyle w:val="NormalTok"/>
        </w:rPr>
        <w:t xml:space="preserve"> gustafson(p, n):</w:t>
      </w:r>
      <w:r>
        <w:br/>
      </w:r>
      <w:r>
        <w:rPr>
          <w:rStyle w:val="NormalTok"/>
        </w:rPr>
        <w:t xml:space="preserve">    </w:t>
      </w:r>
      <w:r>
        <w:rPr>
          <w:rStyle w:val="CommentTok"/>
        </w:rPr>
        <w:t xml:space="preserve">"""Scaled speedup when the parallel part grows with n."""</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 </w:t>
      </w:r>
      <w:r>
        <w:rPr>
          <w:rStyle w:val="OperatorTok"/>
        </w:rPr>
        <w:t xml:space="preserve">+</w:t>
      </w:r>
      <w:r>
        <w:rPr>
          <w:rStyle w:val="NormalTok"/>
        </w:rPr>
        <w:t xml:space="preserve"> p </w:t>
      </w:r>
      <w:r>
        <w:rPr>
          <w:rStyle w:val="OperatorTok"/>
        </w:rPr>
        <w:t xml:space="preserve">*</w:t>
      </w:r>
      <w:r>
        <w:rPr>
          <w:rStyle w:val="NormalTok"/>
        </w:rPr>
        <w:t xml:space="preserve"> n</w:t>
      </w:r>
      <w:r>
        <w:br/>
      </w:r>
      <w:r>
        <w:br/>
      </w:r>
      <w:r>
        <w:rPr>
          <w:rStyle w:val="KeywordTok"/>
        </w:rPr>
        <w:t xml:space="preserve">def</w:t>
      </w:r>
      <w:r>
        <w:rPr>
          <w:rStyle w:val="NormalTok"/>
        </w:rPr>
        <w:t xml:space="preserve"> usl(n, alpha, beta):</w:t>
      </w:r>
      <w:r>
        <w:br/>
      </w:r>
      <w:r>
        <w:rPr>
          <w:rStyle w:val="NormalTok"/>
        </w:rPr>
        <w:t xml:space="preserve">    </w:t>
      </w:r>
      <w:r>
        <w:rPr>
          <w:rStyle w:val="CommentTok"/>
        </w:rPr>
        <w:t xml:space="preserve">"""Relative capacity C(n) under the Universal Scalability Law."""</w:t>
      </w:r>
      <w:r>
        <w:br/>
      </w:r>
      <w:r>
        <w:rPr>
          <w:rStyle w:val="NormalTok"/>
        </w:rPr>
        <w:t xml:space="preserve">    </w:t>
      </w:r>
      <w:r>
        <w:rPr>
          <w:rStyle w:val="ControlFlowTok"/>
        </w:rPr>
        <w:t xml:space="preserve">return</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alpha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beta </w:t>
      </w:r>
      <w:r>
        <w:rPr>
          <w:rStyle w:val="OperatorTok"/>
        </w:rPr>
        <w:t xml:space="preserve">*</w:t>
      </w:r>
      <w:r>
        <w:rPr>
          <w:rStyle w:val="NormalTok"/>
        </w:rPr>
        <w:t xml:space="preserve"> n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p, alpha, beta </w:t>
      </w:r>
      <w:r>
        <w:rPr>
          <w:rStyle w:val="OperatorTok"/>
        </w:rPr>
        <w:t xml:space="preserve">=</w:t>
      </w:r>
      <w:r>
        <w:rPr>
          <w:rStyle w:val="NormalTok"/>
        </w:rPr>
        <w:t xml:space="preserve"> </w:t>
      </w:r>
      <w:r>
        <w:rPr>
          <w:rStyle w:val="FloatTok"/>
        </w:rPr>
        <w:t xml:space="preserve">0.95</w:t>
      </w:r>
      <w:r>
        <w:rPr>
          <w:rStyle w:val="NormalTok"/>
        </w:rPr>
        <w:t xml:space="preserve">, </w:t>
      </w:r>
      <w:r>
        <w:rPr>
          <w:rStyle w:val="FloatTok"/>
        </w:rPr>
        <w:t xml:space="preserve">0.05</w:t>
      </w:r>
      <w:r>
        <w:rPr>
          <w:rStyle w:val="NormalTok"/>
        </w:rPr>
        <w:t xml:space="preserve">, </w:t>
      </w:r>
      <w:r>
        <w:rPr>
          <w:rStyle w:val="FloatTok"/>
        </w:rPr>
        <w:t xml:space="preserve">0.001</w:t>
      </w:r>
      <w:r>
        <w:br/>
      </w:r>
      <w:r>
        <w:rPr>
          <w:rStyle w:val="BuiltInTok"/>
        </w:rPr>
        <w:t xml:space="preserve">print</w:t>
      </w:r>
      <w:r>
        <w:rPr>
          <w:rStyle w:val="NormalTok"/>
        </w:rPr>
        <w:t xml:space="preserve">(</w:t>
      </w:r>
      <w:r>
        <w:rPr>
          <w:rStyle w:val="StringTok"/>
        </w:rPr>
        <w:t xml:space="preserve">"   N  Amdahl  Gustafson   USL"</w:t>
      </w:r>
      <w:r>
        <w:rPr>
          <w:rStyle w:val="NormalTok"/>
        </w:rPr>
        <w:t xml:space="preserve">)</w:t>
      </w:r>
      <w:r>
        <w:br/>
      </w:r>
      <w:r>
        <w:rPr>
          <w:rStyle w:val="ControlFlowTok"/>
        </w:rPr>
        <w:t xml:space="preserve">for</w:t>
      </w:r>
      <w:r>
        <w:rPr>
          <w:rStyle w:val="NormalTok"/>
        </w:rPr>
        <w:t xml:space="preserve"> n </w:t>
      </w:r>
      <w:r>
        <w:rPr>
          <w:rStyle w:val="KeywordTok"/>
        </w:rPr>
        <w:t xml:space="preserve">in</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DecValTok"/>
        </w:rPr>
        <w:t xml:space="preserve">128</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w:t>
      </w:r>
      <w:r>
        <w:rPr>
          <w:rStyle w:val="SpecialCharTok"/>
        </w:rPr>
        <w:t xml:space="preserve">:4d}</w:t>
      </w:r>
      <w:r>
        <w:rPr>
          <w:rStyle w:val="SpecialStringTok"/>
        </w:rPr>
        <w:t xml:space="preserve">  </w:t>
      </w:r>
      <w:r>
        <w:rPr>
          <w:rStyle w:val="SpecialCharTok"/>
        </w:rPr>
        <w:t xml:space="preserve">{</w:t>
      </w:r>
      <w:r>
        <w:rPr>
          <w:rStyle w:val="NormalTok"/>
        </w:rPr>
        <w:t xml:space="preserve">amdahl(p, n)</w:t>
      </w:r>
      <w:r>
        <w:rPr>
          <w:rStyle w:val="SpecialCharTok"/>
        </w:rPr>
        <w:t xml:space="preserve">:6.2f}</w:t>
      </w:r>
      <w:r>
        <w:rPr>
          <w:rStyle w:val="SpecialStringTok"/>
        </w:rPr>
        <w:t xml:space="preserve">  </w:t>
      </w:r>
      <w:r>
        <w:rPr>
          <w:rStyle w:val="SpecialCharTok"/>
        </w:rPr>
        <w:t xml:space="preserve">{</w:t>
      </w:r>
      <w:r>
        <w:rPr>
          <w:rStyle w:val="NormalTok"/>
        </w:rPr>
        <w:t xml:space="preserve">gustafson(p, n)</w:t>
      </w:r>
      <w:r>
        <w:rPr>
          <w:rStyle w:val="SpecialCharTok"/>
        </w:rPr>
        <w:t xml:space="preserve">:9.2f}</w:t>
      </w:r>
      <w:r>
        <w:rPr>
          <w:rStyle w:val="SpecialStringTok"/>
        </w:rPr>
        <w:t xml:space="preserve">  </w:t>
      </w:r>
      <w:r>
        <w:rPr>
          <w:rStyle w:val="SpecialCharTok"/>
        </w:rPr>
        <w:t xml:space="preserve">{</w:t>
      </w:r>
      <w:r>
        <w:rPr>
          <w:rStyle w:val="NormalTok"/>
        </w:rPr>
        <w:t xml:space="preserve">usl(n, alpha, beta)</w:t>
      </w:r>
      <w:r>
        <w:rPr>
          <w:rStyle w:val="SpecialCharTok"/>
        </w:rPr>
        <w:t xml:space="preserve">:5.2f}</w:t>
      </w:r>
      <w:r>
        <w:rPr>
          <w:rStyle w:val="SpecialStringTok"/>
        </w:rPr>
        <w:t xml:space="preserve">"</w:t>
      </w:r>
      <w:r>
        <w:rPr>
          <w:rStyle w:val="NormalTok"/>
        </w:rPr>
        <w:t xml:space="preserve">)</w:t>
      </w:r>
      <w:r>
        <w:br/>
      </w:r>
      <w:r>
        <w:rPr>
          <w:rStyle w:val="NormalTok"/>
        </w:rPr>
        <w:t xml:space="preserve">n_star </w:t>
      </w:r>
      <w:r>
        <w:rPr>
          <w:rStyle w:val="OperatorTok"/>
        </w:rPr>
        <w:t xml:space="preserve">=</w:t>
      </w:r>
      <w:r>
        <w:rPr>
          <w:rStyle w:val="NormalTok"/>
        </w:rPr>
        <w:t xml:space="preserve"> math.sqrt((</w:t>
      </w:r>
      <w:r>
        <w:rPr>
          <w:rStyle w:val="DecValTok"/>
        </w:rPr>
        <w:t xml:space="preserve">1</w:t>
      </w:r>
      <w:r>
        <w:rPr>
          <w:rStyle w:val="NormalTok"/>
        </w:rPr>
        <w:t xml:space="preserve"> </w:t>
      </w:r>
      <w:r>
        <w:rPr>
          <w:rStyle w:val="OperatorTok"/>
        </w:rPr>
        <w:t xml:space="preserve">-</w:t>
      </w:r>
      <w:r>
        <w:rPr>
          <w:rStyle w:val="NormalTok"/>
        </w:rPr>
        <w:t xml:space="preserve"> alpha) </w:t>
      </w:r>
      <w:r>
        <w:rPr>
          <w:rStyle w:val="OperatorTok"/>
        </w:rPr>
        <w:t xml:space="preserve">/</w:t>
      </w:r>
      <w:r>
        <w:rPr>
          <w:rStyle w:val="NormalTok"/>
        </w:rPr>
        <w:t xml:space="preserve"> beta)</w:t>
      </w:r>
      <w:r>
        <w:br/>
      </w:r>
      <w:r>
        <w:rPr>
          <w:rStyle w:val="BuiltInTok"/>
        </w:rPr>
        <w:t xml:space="preserve">print</w:t>
      </w:r>
      <w:r>
        <w:rPr>
          <w:rStyle w:val="NormalTok"/>
        </w:rPr>
        <w:t xml:space="preserve">(</w:t>
      </w:r>
      <w:r>
        <w:rPr>
          <w:rStyle w:val="SpecialStringTok"/>
        </w:rPr>
        <w:t xml:space="preserve">f"USL peak at N* = </w:t>
      </w:r>
      <w:r>
        <w:rPr>
          <w:rStyle w:val="SpecialCharTok"/>
        </w:rPr>
        <w:t xml:space="preserve">{</w:t>
      </w:r>
      <w:r>
        <w:rPr>
          <w:rStyle w:val="NormalTok"/>
        </w:rPr>
        <w:t xml:space="preserve">n_star</w:t>
      </w:r>
      <w:r>
        <w:rPr>
          <w:rStyle w:val="SpecialCharTok"/>
        </w:rPr>
        <w:t xml:space="preserve">:.1f}</w:t>
      </w:r>
      <w:r>
        <w:rPr>
          <w:rStyle w:val="SpecialStringTok"/>
        </w:rPr>
        <w:t xml:space="preserve">; Amdahl ceiling = </w:t>
      </w:r>
      <w:r>
        <w:rPr>
          <w:rStyle w:val="SpecialCharTok"/>
        </w:rPr>
        <w:t xml:space="preserve">{</w:t>
      </w:r>
      <w:r>
        <w:rPr>
          <w:rStyle w:val="DecValTok"/>
        </w:rPr>
        <w:t xml:space="preserve">1</w:t>
      </w:r>
      <w:r>
        <w:rPr>
          <w:rStyle w:val="OperatorTok"/>
        </w:rPr>
        <w:t xml:space="preserve">/</w:t>
      </w:r>
      <w:r>
        <w:rPr>
          <w:rStyle w:val="NormalTok"/>
        </w:rPr>
        <w:t xml:space="preserve">(</w:t>
      </w:r>
      <w:r>
        <w:rPr>
          <w:rStyle w:val="DecValTok"/>
        </w:rPr>
        <w:t xml:space="preserve">1</w:t>
      </w:r>
      <w:r>
        <w:rPr>
          <w:rStyle w:val="OperatorTok"/>
        </w:rPr>
        <w:t xml:space="preserve">-</w:t>
      </w:r>
      <w:r>
        <w:rPr>
          <w:rStyle w:val="NormalTok"/>
        </w:rPr>
        <w:t xml:space="preserve">p)</w:t>
      </w:r>
      <w:r>
        <w:rPr>
          <w:rStyle w:val="SpecialCharTok"/>
        </w:rPr>
        <w:t xml:space="preserve">:.0f}</w:t>
      </w:r>
      <w:r>
        <w:rPr>
          <w:rStyle w:val="SpecialStringTok"/>
        </w:rPr>
        <w:t xml:space="preserve">"</w:t>
      </w:r>
      <w:r>
        <w:rPr>
          <w:rStyle w:val="NormalTok"/>
        </w:rPr>
        <w:t xml:space="preserve">)</w:t>
      </w:r>
    </w:p>
    <w:p>
      <w:pPr>
        <w:pStyle w:val="FirstParagraph"/>
      </w:pPr>
      <w:r>
        <w:rPr>
          <w:bCs/>
          <w:b/>
        </w:rPr>
        <w:t xml:space="preserve">Table 4.6 — Output: three scaling models with a 5% serial fraction.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w:t>
            </w:r>
          </w:p>
        </w:tc>
        <w:tc>
          <w:tcPr/>
          <w:p>
            <w:pPr>
              <w:pStyle w:val="Compact"/>
              <w:jc w:val="left"/>
            </w:pPr>
            <w:r>
              <w:t xml:space="preserve">Amdahl</w:t>
            </w:r>
          </w:p>
        </w:tc>
        <w:tc>
          <w:tcPr/>
          <w:p>
            <w:pPr>
              <w:pStyle w:val="Compact"/>
              <w:jc w:val="left"/>
            </w:pPr>
            <w:r>
              <w:t xml:space="preserve">Gustafson</w:t>
            </w:r>
          </w:p>
        </w:tc>
        <w:tc>
          <w:tcPr/>
          <w:p>
            <w:pPr>
              <w:pStyle w:val="Compact"/>
              <w:jc w:val="left"/>
            </w:pPr>
            <w:r>
              <w:t xml:space="preserve">USL (</w:t>
            </w:r>
            <m:oMath>
              <m:r>
                <m:t>α</m:t>
              </m:r>
            </m:oMath>
            <w:r>
              <w:t xml:space="preserve">=0.05,</w:t>
            </w:r>
            <w:r>
              <w:t xml:space="preserve"> </w:t>
            </w:r>
            <m:oMath>
              <m:r>
                <m:t>β</m:t>
              </m:r>
            </m:oMath>
            <w:r>
              <w:t xml:space="preserve">=0.001)</w:t>
            </w:r>
          </w:p>
        </w:tc>
      </w:tr>
      <w:tr>
        <w:tc>
          <w:tcPr/>
          <w:p>
            <w:pPr>
              <w:pStyle w:val="Compact"/>
              <w:jc w:val="left"/>
            </w:pPr>
            <w:r>
              <w:t xml:space="preserve">1</w:t>
            </w:r>
          </w:p>
        </w:tc>
        <w:tc>
          <w:tcPr/>
          <w:p>
            <w:pPr>
              <w:pStyle w:val="Compact"/>
              <w:jc w:val="left"/>
            </w:pPr>
            <w:r>
              <w:t xml:space="preserve">1.00</w:t>
            </w:r>
          </w:p>
        </w:tc>
        <w:tc>
          <w:tcPr/>
          <w:p>
            <w:pPr>
              <w:pStyle w:val="Compact"/>
              <w:jc w:val="left"/>
            </w:pPr>
            <w:r>
              <w:t xml:space="preserve">1.00</w:t>
            </w:r>
          </w:p>
        </w:tc>
        <w:tc>
          <w:tcPr/>
          <w:p>
            <w:pPr>
              <w:pStyle w:val="Compact"/>
              <w:jc w:val="left"/>
            </w:pPr>
            <w:r>
              <w:t xml:space="preserve">1.00</w:t>
            </w:r>
          </w:p>
        </w:tc>
      </w:tr>
      <w:tr>
        <w:tc>
          <w:tcPr/>
          <w:p>
            <w:pPr>
              <w:pStyle w:val="Compact"/>
              <w:jc w:val="left"/>
            </w:pPr>
            <w:r>
              <w:t xml:space="preserve">2</w:t>
            </w:r>
          </w:p>
        </w:tc>
        <w:tc>
          <w:tcPr/>
          <w:p>
            <w:pPr>
              <w:pStyle w:val="Compact"/>
              <w:jc w:val="left"/>
            </w:pPr>
            <w:r>
              <w:t xml:space="preserve">1.90</w:t>
            </w:r>
          </w:p>
        </w:tc>
        <w:tc>
          <w:tcPr/>
          <w:p>
            <w:pPr>
              <w:pStyle w:val="Compact"/>
              <w:jc w:val="left"/>
            </w:pPr>
            <w:r>
              <w:t xml:space="preserve">1.95</w:t>
            </w:r>
          </w:p>
        </w:tc>
        <w:tc>
          <w:tcPr/>
          <w:p>
            <w:pPr>
              <w:pStyle w:val="Compact"/>
              <w:jc w:val="left"/>
            </w:pPr>
            <w:r>
              <w:t xml:space="preserve">1.90</w:t>
            </w:r>
          </w:p>
        </w:tc>
      </w:tr>
      <w:tr>
        <w:tc>
          <w:tcPr/>
          <w:p>
            <w:pPr>
              <w:pStyle w:val="Compact"/>
              <w:jc w:val="left"/>
            </w:pPr>
            <w:r>
              <w:t xml:space="preserve">4</w:t>
            </w:r>
          </w:p>
        </w:tc>
        <w:tc>
          <w:tcPr/>
          <w:p>
            <w:pPr>
              <w:pStyle w:val="Compact"/>
              <w:jc w:val="left"/>
            </w:pPr>
            <w:r>
              <w:t xml:space="preserve">3.48</w:t>
            </w:r>
          </w:p>
        </w:tc>
        <w:tc>
          <w:tcPr/>
          <w:p>
            <w:pPr>
              <w:pStyle w:val="Compact"/>
              <w:jc w:val="left"/>
            </w:pPr>
            <w:r>
              <w:t xml:space="preserve">3.85</w:t>
            </w:r>
          </w:p>
        </w:tc>
        <w:tc>
          <w:tcPr/>
          <w:p>
            <w:pPr>
              <w:pStyle w:val="Compact"/>
              <w:jc w:val="left"/>
            </w:pPr>
            <w:r>
              <w:t xml:space="preserve">3.44</w:t>
            </w:r>
          </w:p>
        </w:tc>
      </w:tr>
      <w:tr>
        <w:tc>
          <w:tcPr/>
          <w:p>
            <w:pPr>
              <w:pStyle w:val="Compact"/>
              <w:jc w:val="left"/>
            </w:pPr>
            <w:r>
              <w:t xml:space="preserve">8</w:t>
            </w:r>
          </w:p>
        </w:tc>
        <w:tc>
          <w:tcPr/>
          <w:p>
            <w:pPr>
              <w:pStyle w:val="Compact"/>
              <w:jc w:val="left"/>
            </w:pPr>
            <w:r>
              <w:t xml:space="preserve">5.93</w:t>
            </w:r>
          </w:p>
        </w:tc>
        <w:tc>
          <w:tcPr/>
          <w:p>
            <w:pPr>
              <w:pStyle w:val="Compact"/>
              <w:jc w:val="left"/>
            </w:pPr>
            <w:r>
              <w:t xml:space="preserve">7.65</w:t>
            </w:r>
          </w:p>
        </w:tc>
        <w:tc>
          <w:tcPr/>
          <w:p>
            <w:pPr>
              <w:pStyle w:val="Compact"/>
              <w:jc w:val="left"/>
            </w:pPr>
            <w:r>
              <w:t xml:space="preserve">5.69</w:t>
            </w:r>
          </w:p>
        </w:tc>
      </w:tr>
      <w:tr>
        <w:tc>
          <w:tcPr/>
          <w:p>
            <w:pPr>
              <w:pStyle w:val="Compact"/>
              <w:jc w:val="left"/>
            </w:pPr>
            <w:r>
              <w:t xml:space="preserve">16</w:t>
            </w:r>
          </w:p>
        </w:tc>
        <w:tc>
          <w:tcPr/>
          <w:p>
            <w:pPr>
              <w:pStyle w:val="Compact"/>
              <w:jc w:val="left"/>
            </w:pPr>
            <w:r>
              <w:t xml:space="preserve">9.14</w:t>
            </w:r>
          </w:p>
        </w:tc>
        <w:tc>
          <w:tcPr/>
          <w:p>
            <w:pPr>
              <w:pStyle w:val="Compact"/>
              <w:jc w:val="left"/>
            </w:pPr>
            <w:r>
              <w:t xml:space="preserve">15.25</w:t>
            </w:r>
          </w:p>
        </w:tc>
        <w:tc>
          <w:tcPr/>
          <w:p>
            <w:pPr>
              <w:pStyle w:val="Compact"/>
              <w:jc w:val="left"/>
            </w:pPr>
            <w:r>
              <w:t xml:space="preserve">8.04</w:t>
            </w:r>
          </w:p>
        </w:tc>
      </w:tr>
      <w:tr>
        <w:tc>
          <w:tcPr/>
          <w:p>
            <w:pPr>
              <w:pStyle w:val="Compact"/>
              <w:jc w:val="left"/>
            </w:pPr>
            <w:r>
              <w:t xml:space="preserve">32</w:t>
            </w:r>
          </w:p>
        </w:tc>
        <w:tc>
          <w:tcPr/>
          <w:p>
            <w:pPr>
              <w:pStyle w:val="Compact"/>
              <w:jc w:val="left"/>
            </w:pPr>
            <w:r>
              <w:t xml:space="preserve">12.55</w:t>
            </w:r>
          </w:p>
        </w:tc>
        <w:tc>
          <w:tcPr/>
          <w:p>
            <w:pPr>
              <w:pStyle w:val="Compact"/>
              <w:jc w:val="left"/>
            </w:pPr>
            <w:r>
              <w:t xml:space="preserve">30.45</w:t>
            </w:r>
          </w:p>
        </w:tc>
        <w:tc>
          <w:tcPr/>
          <w:p>
            <w:pPr>
              <w:pStyle w:val="Compact"/>
              <w:jc w:val="left"/>
            </w:pPr>
            <w:r>
              <w:t xml:space="preserve">9.03</w:t>
            </w:r>
          </w:p>
        </w:tc>
      </w:tr>
      <w:tr>
        <w:tc>
          <w:tcPr/>
          <w:p>
            <w:pPr>
              <w:pStyle w:val="Compact"/>
              <w:jc w:val="left"/>
            </w:pPr>
            <w:r>
              <w:t xml:space="preserve">64</w:t>
            </w:r>
          </w:p>
        </w:tc>
        <w:tc>
          <w:tcPr/>
          <w:p>
            <w:pPr>
              <w:pStyle w:val="Compact"/>
              <w:jc w:val="left"/>
            </w:pPr>
            <w:r>
              <w:t xml:space="preserve">15.42</w:t>
            </w:r>
          </w:p>
        </w:tc>
        <w:tc>
          <w:tcPr/>
          <w:p>
            <w:pPr>
              <w:pStyle w:val="Compact"/>
              <w:jc w:val="left"/>
            </w:pPr>
            <w:r>
              <w:t xml:space="preserve">60.85</w:t>
            </w:r>
          </w:p>
        </w:tc>
        <w:tc>
          <w:tcPr/>
          <w:p>
            <w:pPr>
              <w:pStyle w:val="Compact"/>
              <w:jc w:val="left"/>
            </w:pPr>
            <w:r>
              <w:t xml:space="preserve">7.82</w:t>
            </w:r>
          </w:p>
        </w:tc>
      </w:tr>
      <w:tr>
        <w:tc>
          <w:tcPr/>
          <w:p>
            <w:pPr>
              <w:pStyle w:val="Compact"/>
              <w:jc w:val="left"/>
            </w:pPr>
            <w:r>
              <w:t xml:space="preserve">128</w:t>
            </w:r>
          </w:p>
        </w:tc>
        <w:tc>
          <w:tcPr/>
          <w:p>
            <w:pPr>
              <w:pStyle w:val="Compact"/>
              <w:jc w:val="left"/>
            </w:pPr>
            <w:r>
              <w:t xml:space="preserve">17.41</w:t>
            </w:r>
          </w:p>
        </w:tc>
        <w:tc>
          <w:tcPr/>
          <w:p>
            <w:pPr>
              <w:pStyle w:val="Compact"/>
              <w:jc w:val="left"/>
            </w:pPr>
            <w:r>
              <w:t xml:space="preserve">121.65</w:t>
            </w:r>
          </w:p>
        </w:tc>
        <w:tc>
          <w:tcPr/>
          <w:p>
            <w:pPr>
              <w:pStyle w:val="Compact"/>
              <w:jc w:val="left"/>
            </w:pPr>
            <w:r>
              <w:t xml:space="preserve">5.42</w:t>
            </w:r>
          </w:p>
        </w:tc>
      </w:tr>
    </w:tbl>
    <w:p>
      <w:pPr>
        <w:pStyle w:val="BodyText"/>
      </w:pPr>
      <w:r>
        <w:t xml:space="preserve">The program also prints</w:t>
      </w:r>
      <w:r>
        <w:t xml:space="preserve"> </w:t>
      </w:r>
      <w:r>
        <w:rPr>
          <w:rStyle w:val="VerbatimChar"/>
        </w:rPr>
        <w:t xml:space="preserve">USL peak at N* = 30.8; Amdahl ceiling = 20</w:t>
      </w:r>
      <w:r>
        <w:t xml:space="preserve">. What to notice: the three columns agree for small</w:t>
      </w:r>
      <w:r>
        <w:t xml:space="preserve"> </w:t>
      </w:r>
      <m:oMath>
        <m:r>
          <m:t>N</m:t>
        </m:r>
      </m:oMath>
      <w:r>
        <w:t xml:space="preserve">, which is why a few measurements at low concurrency cannot distinguish the models. Measure out to the concurrency you intend to run. In practice the USL coefficients are fitted by regression to throughput measured at several values of</w:t>
      </w:r>
      <w:r>
        <w:t xml:space="preserve"> </w:t>
      </w:r>
      <m:oMath>
        <m:r>
          <m:t>N</m:t>
        </m:r>
      </m:oMath>
      <w:r>
        <w:t xml:space="preserve"> </w:t>
      </w:r>
      <w:r>
        <w:t xml:space="preserve">[Gunther 2007]; Chapter 23 (§23.10) shows the workflow.</w:t>
      </w:r>
    </w:p>
    <w:p>
      <w:pPr>
        <w:pStyle w:val="CalloutMistake"/>
      </w:pPr>
      <w:r>
        <w:rPr>
          <w:bCs/>
          <w:b/>
        </w:rPr>
        <w:t xml:space="preserve">COMMON MISTAKE</w:t>
      </w:r>
    </w:p>
    <w:p>
      <w:pPr>
        <w:pStyle w:val="CalloutMistake"/>
      </w:pPr>
      <w:r>
        <w:rPr>
          <w:bCs/>
          <w:b/>
        </w:rPr>
        <w:t xml:space="preserve">Mistake — Extrapolating linear scaling from a small test.</w:t>
      </w:r>
      <w:r>
        <w:t xml:space="preserve"> </w:t>
      </w:r>
      <w:r>
        <w:t xml:space="preserve">“</w:t>
      </w:r>
      <w:r>
        <w:t xml:space="preserve">Two nodes gave 1.9×, so 100 nodes will give 95×.</w:t>
      </w:r>
      <w:r>
        <w:t xml:space="preserve">”</w:t>
      </w:r>
      <w:r>
        <w:t xml:space="preserve"> </w:t>
      </w:r>
      <w:r>
        <w:t xml:space="preserve">Every model in Table 4.6 is nearly linear at</w:t>
      </w:r>
      <w:r>
        <w:t xml:space="preserve"> </w:t>
      </w:r>
      <m:oMath>
        <m:r>
          <m:t>N</m:t>
        </m:r>
        <m:r>
          <m:rPr>
            <m:sty m:val="p"/>
          </m:rPr>
          <m:t>=</m:t>
        </m:r>
        <m:r>
          <m:t>2</m:t>
        </m:r>
      </m:oMath>
      <w:r>
        <w:t xml:space="preserve">. Contention and coherency only show up at scale, so linear extrapolation is the most common way capacity plans fail.</w:t>
      </w:r>
    </w:p>
    <w:bookmarkEnd w:id="410"/>
    <w:bookmarkEnd w:id="411"/>
    <w:bookmarkEnd w:id="412"/>
    <w:bookmarkStart w:id="418" w:name="availability-arithmetic"/>
    <w:p>
      <w:pPr>
        <w:pStyle w:val="Heading2"/>
      </w:pPr>
      <w:r>
        <w:t xml:space="preserve">4.14 Availability arithmetic</w:t>
      </w:r>
    </w:p>
    <w:bookmarkStart w:id="413" w:name="nines-and-downtime-budgets"/>
    <w:p>
      <w:pPr>
        <w:pStyle w:val="Heading3"/>
      </w:pPr>
      <w:r>
        <w:t xml:space="preserve">4.14.1 Nines and downtime budgets</w:t>
      </w:r>
    </w:p>
    <w:p>
      <w:pPr>
        <w:pStyle w:val="CalloutDefinition"/>
      </w:pPr>
      <w:r>
        <w:rPr>
          <w:bCs/>
          <w:b/>
        </w:rPr>
        <w:t xml:space="preserve">DEFINITION</w:t>
      </w:r>
    </w:p>
    <w:p>
      <w:pPr>
        <w:pStyle w:val="CalloutDefinition"/>
      </w:pPr>
      <w:r>
        <w:rPr>
          <w:bCs/>
          <w:b/>
        </w:rPr>
        <w:t xml:space="preserve">Definition — Availability.</w:t>
      </w:r>
      <w:r>
        <w:t xml:space="preserve"> </w:t>
      </w:r>
      <w:r>
        <w:t xml:space="preserve">The fraction of time (or of requests) for which a system serves correctly:</w:t>
      </w:r>
      <w:r>
        <w:t xml:space="preserve"> </w:t>
      </w:r>
      <m:oMath>
        <m:r>
          <m:t>A</m:t>
        </m:r>
        <m:r>
          <m:rPr>
            <m:sty m:val="p"/>
          </m:rPr>
          <m:t>=</m:t>
        </m:r>
        <m:r>
          <m:rPr>
            <m:nor/>
            <m:sty m:val="p"/>
          </m:rPr>
          <m:t>uptime</m:t>
        </m:r>
        <m:r>
          <m:rPr>
            <m:sty m:val="p"/>
          </m:rPr>
          <m:t>/</m:t>
        </m:r>
        <m:d>
          <m:dPr>
            <m:begChr m:val="("/>
            <m:endChr m:val=")"/>
            <m:sepChr m:val=""/>
            <m:grow/>
          </m:dPr>
          <m:e>
            <m:r>
              <m:rPr>
                <m:nor/>
                <m:sty m:val="p"/>
              </m:rPr>
              <m:t>uptime</m:t>
            </m:r>
            <m:r>
              <m:rPr>
                <m:sty m:val="p"/>
              </m:rPr>
              <m:t>+</m:t>
            </m:r>
            <m:r>
              <m:rPr>
                <m:nor/>
                <m:sty m:val="p"/>
              </m:rPr>
              <m:t>downtime</m:t>
            </m:r>
          </m:e>
        </m:d>
      </m:oMath>
      <w:r>
        <w:t xml:space="preserve">, or, request-based,</w:t>
      </w:r>
      <w:r>
        <w:t xml:space="preserve"> </w:t>
      </w:r>
      <m:oMath>
        <m:r>
          <m:t>A</m:t>
        </m:r>
        <m:r>
          <m:rPr>
            <m:sty m:val="p"/>
          </m:rPr>
          <m:t>=</m:t>
        </m:r>
        <m:r>
          <m:rPr>
            <m:nor/>
            <m:sty m:val="p"/>
          </m:rPr>
          <m:t>successful requests</m:t>
        </m:r>
        <m:r>
          <m:rPr>
            <m:sty m:val="p"/>
          </m:rPr>
          <m:t>/</m:t>
        </m:r>
        <m:r>
          <m:rPr>
            <m:nor/>
            <m:sty m:val="p"/>
          </m:rPr>
          <m:t>valid requests</m:t>
        </m:r>
      </m:oMath>
      <w:r>
        <w:t xml:space="preserve">. It is commonly quoted in</w:t>
      </w:r>
      <w:r>
        <w:t xml:space="preserve"> </w:t>
      </w:r>
      <w:r>
        <w:t xml:space="preserve">“</w:t>
      </w:r>
      <w:r>
        <w:t xml:space="preserve">nines</w:t>
      </w:r>
      <w:r>
        <w:t xml:space="preserve">”</w:t>
      </w:r>
      <w:r>
        <w:t xml:space="preserve">: 99.9% is</w:t>
      </w:r>
      <w:r>
        <w:t xml:space="preserve"> </w:t>
      </w:r>
      <w:r>
        <w:t xml:space="preserve">“</w:t>
      </w:r>
      <w:r>
        <w:t xml:space="preserve">three nines</w:t>
      </w:r>
      <w:r>
        <w:t xml:space="preserve">”</w:t>
      </w:r>
      <w:r>
        <w:t xml:space="preserve">.</w:t>
      </w:r>
    </w:p>
    <w:p>
      <w:pPr>
        <w:pStyle w:val="BodyText"/>
      </w:pPr>
      <w:r>
        <w:rPr>
          <w:bCs/>
          <w:b/>
        </w:rPr>
        <w:t xml:space="preserve">Table 4.7 — Nines and the downtime they allow (365-day year, 30-day month, 7-day week).</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Availability</w:t>
            </w:r>
          </w:p>
        </w:tc>
        <w:tc>
          <w:tcPr/>
          <w:p>
            <w:pPr>
              <w:pStyle w:val="Compact"/>
              <w:jc w:val="left"/>
            </w:pPr>
            <w:r>
              <w:t xml:space="preserve">Nines</w:t>
            </w:r>
          </w:p>
        </w:tc>
        <w:tc>
          <w:tcPr/>
          <w:p>
            <w:pPr>
              <w:pStyle w:val="Compact"/>
              <w:jc w:val="left"/>
            </w:pPr>
            <w:r>
              <w:t xml:space="preserve">Downtime per year</w:t>
            </w:r>
          </w:p>
        </w:tc>
        <w:tc>
          <w:tcPr/>
          <w:p>
            <w:pPr>
              <w:pStyle w:val="Compact"/>
              <w:jc w:val="left"/>
            </w:pPr>
            <w:r>
              <w:t xml:space="preserve">Downtime per month</w:t>
            </w:r>
          </w:p>
        </w:tc>
        <w:tc>
          <w:tcPr/>
          <w:p>
            <w:pPr>
              <w:pStyle w:val="Compact"/>
              <w:jc w:val="left"/>
            </w:pPr>
            <w:r>
              <w:t xml:space="preserve">Downtime per week</w:t>
            </w:r>
          </w:p>
        </w:tc>
      </w:tr>
      <w:tr>
        <w:tc>
          <w:tcPr/>
          <w:p>
            <w:pPr>
              <w:pStyle w:val="Compact"/>
              <w:jc w:val="left"/>
            </w:pPr>
            <w:r>
              <w:t xml:space="preserve">90%</w:t>
            </w:r>
          </w:p>
        </w:tc>
        <w:tc>
          <w:tcPr/>
          <w:p>
            <w:pPr>
              <w:pStyle w:val="Compact"/>
              <w:jc w:val="left"/>
            </w:pPr>
            <w:r>
              <w:t xml:space="preserve">1</w:t>
            </w:r>
          </w:p>
        </w:tc>
        <w:tc>
          <w:tcPr/>
          <w:p>
            <w:pPr>
              <w:pStyle w:val="Compact"/>
              <w:jc w:val="left"/>
            </w:pPr>
            <w:r>
              <w:t xml:space="preserve">36.5 days</w:t>
            </w:r>
          </w:p>
        </w:tc>
        <w:tc>
          <w:tcPr/>
          <w:p>
            <w:pPr>
              <w:pStyle w:val="Compact"/>
              <w:jc w:val="left"/>
            </w:pPr>
            <w:r>
              <w:t xml:space="preserve">72 h</w:t>
            </w:r>
          </w:p>
        </w:tc>
        <w:tc>
          <w:tcPr/>
          <w:p>
            <w:pPr>
              <w:pStyle w:val="Compact"/>
              <w:jc w:val="left"/>
            </w:pPr>
            <w:r>
              <w:t xml:space="preserve">16.8 h</w:t>
            </w:r>
          </w:p>
        </w:tc>
      </w:tr>
      <w:tr>
        <w:tc>
          <w:tcPr/>
          <w:p>
            <w:pPr>
              <w:pStyle w:val="Compact"/>
              <w:jc w:val="left"/>
            </w:pPr>
            <w:r>
              <w:t xml:space="preserve">99%</w:t>
            </w:r>
          </w:p>
        </w:tc>
        <w:tc>
          <w:tcPr/>
          <w:p>
            <w:pPr>
              <w:pStyle w:val="Compact"/>
              <w:jc w:val="left"/>
            </w:pPr>
            <w:r>
              <w:t xml:space="preserve">2</w:t>
            </w:r>
          </w:p>
        </w:tc>
        <w:tc>
          <w:tcPr/>
          <w:p>
            <w:pPr>
              <w:pStyle w:val="Compact"/>
              <w:jc w:val="left"/>
            </w:pPr>
            <w:r>
              <w:t xml:space="preserve">3.65 days (87.6 h)</w:t>
            </w:r>
          </w:p>
        </w:tc>
        <w:tc>
          <w:tcPr/>
          <w:p>
            <w:pPr>
              <w:pStyle w:val="Compact"/>
              <w:jc w:val="left"/>
            </w:pPr>
            <w:r>
              <w:t xml:space="preserve">7.2 h</w:t>
            </w:r>
          </w:p>
        </w:tc>
        <w:tc>
          <w:tcPr/>
          <w:p>
            <w:pPr>
              <w:pStyle w:val="Compact"/>
              <w:jc w:val="left"/>
            </w:pPr>
            <w:r>
              <w:t xml:space="preserve">1.68 h</w:t>
            </w:r>
          </w:p>
        </w:tc>
      </w:tr>
      <w:tr>
        <w:tc>
          <w:tcPr/>
          <w:p>
            <w:pPr>
              <w:pStyle w:val="Compact"/>
              <w:jc w:val="left"/>
            </w:pPr>
            <w:r>
              <w:t xml:space="preserve">99.9%</w:t>
            </w:r>
          </w:p>
        </w:tc>
        <w:tc>
          <w:tcPr/>
          <w:p>
            <w:pPr>
              <w:pStyle w:val="Compact"/>
              <w:jc w:val="left"/>
            </w:pPr>
            <w:r>
              <w:t xml:space="preserve">3</w:t>
            </w:r>
          </w:p>
        </w:tc>
        <w:tc>
          <w:tcPr/>
          <w:p>
            <w:pPr>
              <w:pStyle w:val="Compact"/>
              <w:jc w:val="left"/>
            </w:pPr>
            <w:r>
              <w:t xml:space="preserve">8.76 h</w:t>
            </w:r>
          </w:p>
        </w:tc>
        <w:tc>
          <w:tcPr/>
          <w:p>
            <w:pPr>
              <w:pStyle w:val="Compact"/>
              <w:jc w:val="left"/>
            </w:pPr>
            <w:r>
              <w:t xml:space="preserve">43.2 min</w:t>
            </w:r>
          </w:p>
        </w:tc>
        <w:tc>
          <w:tcPr/>
          <w:p>
            <w:pPr>
              <w:pStyle w:val="Compact"/>
              <w:jc w:val="left"/>
            </w:pPr>
            <w:r>
              <w:t xml:space="preserve">10.1 min</w:t>
            </w:r>
          </w:p>
        </w:tc>
      </w:tr>
      <w:tr>
        <w:tc>
          <w:tcPr/>
          <w:p>
            <w:pPr>
              <w:pStyle w:val="Compact"/>
              <w:jc w:val="left"/>
            </w:pPr>
            <w:r>
              <w:t xml:space="preserve">99.95%</w:t>
            </w:r>
          </w:p>
        </w:tc>
        <w:tc>
          <w:tcPr/>
          <w:p>
            <w:pPr>
              <w:pStyle w:val="Compact"/>
              <w:jc w:val="left"/>
            </w:pPr>
            <w:r>
              <w:t xml:space="preserve">3.5</w:t>
            </w:r>
          </w:p>
        </w:tc>
        <w:tc>
          <w:tcPr/>
          <w:p>
            <w:pPr>
              <w:pStyle w:val="Compact"/>
              <w:jc w:val="left"/>
            </w:pPr>
            <w:r>
              <w:t xml:space="preserve">4.38 h</w:t>
            </w:r>
          </w:p>
        </w:tc>
        <w:tc>
          <w:tcPr/>
          <w:p>
            <w:pPr>
              <w:pStyle w:val="Compact"/>
              <w:jc w:val="left"/>
            </w:pPr>
            <w:r>
              <w:t xml:space="preserve">21.6 min</w:t>
            </w:r>
          </w:p>
        </w:tc>
        <w:tc>
          <w:tcPr/>
          <w:p>
            <w:pPr>
              <w:pStyle w:val="Compact"/>
              <w:jc w:val="left"/>
            </w:pPr>
            <w:r>
              <w:t xml:space="preserve">5.04 min</w:t>
            </w:r>
          </w:p>
        </w:tc>
      </w:tr>
      <w:tr>
        <w:tc>
          <w:tcPr/>
          <w:p>
            <w:pPr>
              <w:pStyle w:val="Compact"/>
              <w:jc w:val="left"/>
            </w:pPr>
            <w:r>
              <w:t xml:space="preserve">99.99%</w:t>
            </w:r>
          </w:p>
        </w:tc>
        <w:tc>
          <w:tcPr/>
          <w:p>
            <w:pPr>
              <w:pStyle w:val="Compact"/>
              <w:jc w:val="left"/>
            </w:pPr>
            <w:r>
              <w:t xml:space="preserve">4</w:t>
            </w:r>
          </w:p>
        </w:tc>
        <w:tc>
          <w:tcPr/>
          <w:p>
            <w:pPr>
              <w:pStyle w:val="Compact"/>
              <w:jc w:val="left"/>
            </w:pPr>
            <w:r>
              <w:t xml:space="preserve">52.6 min</w:t>
            </w:r>
          </w:p>
        </w:tc>
        <w:tc>
          <w:tcPr/>
          <w:p>
            <w:pPr>
              <w:pStyle w:val="Compact"/>
              <w:jc w:val="left"/>
            </w:pPr>
            <w:r>
              <w:t xml:space="preserve">4.32 min</w:t>
            </w:r>
          </w:p>
        </w:tc>
        <w:tc>
          <w:tcPr/>
          <w:p>
            <w:pPr>
              <w:pStyle w:val="Compact"/>
              <w:jc w:val="left"/>
            </w:pPr>
            <w:r>
              <w:t xml:space="preserve">60.5 s</w:t>
            </w:r>
          </w:p>
        </w:tc>
      </w:tr>
      <w:tr>
        <w:tc>
          <w:tcPr/>
          <w:p>
            <w:pPr>
              <w:pStyle w:val="Compact"/>
              <w:jc w:val="left"/>
            </w:pPr>
            <w:r>
              <w:t xml:space="preserve">99.999%</w:t>
            </w:r>
          </w:p>
        </w:tc>
        <w:tc>
          <w:tcPr/>
          <w:p>
            <w:pPr>
              <w:pStyle w:val="Compact"/>
              <w:jc w:val="left"/>
            </w:pPr>
            <w:r>
              <w:t xml:space="preserve">5</w:t>
            </w:r>
          </w:p>
        </w:tc>
        <w:tc>
          <w:tcPr/>
          <w:p>
            <w:pPr>
              <w:pStyle w:val="Compact"/>
              <w:jc w:val="left"/>
            </w:pPr>
            <w:r>
              <w:t xml:space="preserve">5.26 min</w:t>
            </w:r>
          </w:p>
        </w:tc>
        <w:tc>
          <w:tcPr/>
          <w:p>
            <w:pPr>
              <w:pStyle w:val="Compact"/>
              <w:jc w:val="left"/>
            </w:pPr>
            <w:r>
              <w:t xml:space="preserve">25.9 s</w:t>
            </w:r>
          </w:p>
        </w:tc>
        <w:tc>
          <w:tcPr/>
          <w:p>
            <w:pPr>
              <w:pStyle w:val="Compact"/>
              <w:jc w:val="left"/>
            </w:pPr>
            <w:r>
              <w:t xml:space="preserve">6.05 s</w:t>
            </w:r>
          </w:p>
        </w:tc>
      </w:tr>
      <w:tr>
        <w:tc>
          <w:tcPr/>
          <w:p>
            <w:pPr>
              <w:pStyle w:val="Compact"/>
              <w:jc w:val="left"/>
            </w:pPr>
            <w:r>
              <w:t xml:space="preserve">99.9999%</w:t>
            </w:r>
          </w:p>
        </w:tc>
        <w:tc>
          <w:tcPr/>
          <w:p>
            <w:pPr>
              <w:pStyle w:val="Compact"/>
              <w:jc w:val="left"/>
            </w:pPr>
            <w:r>
              <w:t xml:space="preserve">6</w:t>
            </w:r>
          </w:p>
        </w:tc>
        <w:tc>
          <w:tcPr/>
          <w:p>
            <w:pPr>
              <w:pStyle w:val="Compact"/>
              <w:jc w:val="left"/>
            </w:pPr>
            <w:r>
              <w:t xml:space="preserve">31.5 s</w:t>
            </w:r>
          </w:p>
        </w:tc>
        <w:tc>
          <w:tcPr/>
          <w:p>
            <w:pPr>
              <w:pStyle w:val="Compact"/>
              <w:jc w:val="left"/>
            </w:pPr>
            <w:r>
              <w:t xml:space="preserve">2.59 s</w:t>
            </w:r>
          </w:p>
        </w:tc>
        <w:tc>
          <w:tcPr/>
          <w:p>
            <w:pPr>
              <w:pStyle w:val="Compact"/>
              <w:jc w:val="left"/>
            </w:pPr>
            <w:r>
              <w:t xml:space="preserve">0.60 s</w:t>
            </w:r>
          </w:p>
        </w:tc>
      </w:tr>
    </w:tbl>
    <w:p>
      <w:pPr>
        <w:pStyle w:val="CalloutFormula"/>
      </w:pPr>
      <w:r>
        <w:rPr>
          <w:bCs/>
          <w:b/>
        </w:rPr>
        <w:t xml:space="preserve">FORMULA</w:t>
      </w:r>
    </w:p>
    <w:p>
      <w:pPr>
        <w:pStyle w:val="CalloutFormula"/>
      </w:pPr>
      <w:r>
        <w:rPr>
          <w:bCs/>
          <w:b/>
        </w:rPr>
        <w:t xml:space="preserve">Downtime budget</w:t>
      </w:r>
    </w:p>
    <w:p>
      <w:pPr>
        <w:pStyle w:val="CalloutFormula"/>
      </w:pPr>
      <m:oMathPara>
        <m:oMathParaPr>
          <m:jc m:val="center"/>
        </m:oMathParaPr>
        <m:oMath>
          <m:r>
            <m:t>D</m:t>
          </m:r>
          <m:r>
            <m:rPr>
              <m:sty m:val="p"/>
            </m:rPr>
            <m:t>=</m:t>
          </m:r>
          <m:d>
            <m:dPr>
              <m:begChr m:val="("/>
              <m:endChr m:val=")"/>
              <m:sepChr m:val=""/>
              <m:grow/>
            </m:dPr>
            <m:e>
              <m:r>
                <m:t>1</m:t>
              </m:r>
              <m:r>
                <m:rPr>
                  <m:sty m:val="p"/>
                </m:rPr>
                <m:t>−</m:t>
              </m:r>
              <m:r>
                <m:t>A</m:t>
              </m:r>
            </m:e>
          </m:d>
          <m:r>
            <m:rPr>
              <m:sty m:val="p"/>
            </m:rPr>
            <m:t>×</m:t>
          </m:r>
          <m:r>
            <m:t>T</m:t>
          </m:r>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A</m:t>
              </m:r>
            </m:oMath>
          </w:p>
        </w:tc>
        <w:tc>
          <w:tcPr/>
          <w:p>
            <w:pPr>
              <w:pStyle w:val="Compact"/>
              <w:jc w:val="left"/>
            </w:pPr>
            <w:r>
              <w:t xml:space="preserve">Availability target</w:t>
            </w:r>
          </w:p>
        </w:tc>
        <w:tc>
          <w:tcPr/>
          <w:p>
            <w:pPr>
              <w:pStyle w:val="Compact"/>
              <w:jc w:val="left"/>
            </w:pPr>
            <w:r>
              <w:t xml:space="preserve">dimensionless</w:t>
            </w:r>
          </w:p>
        </w:tc>
      </w:tr>
      <w:tr>
        <w:tc>
          <w:tcPr/>
          <w:p>
            <w:pPr>
              <w:pStyle w:val="Compact"/>
              <w:jc w:val="left"/>
            </w:pPr>
            <m:oMath>
              <m:r>
                <m:t>T</m:t>
              </m:r>
            </m:oMath>
          </w:p>
        </w:tc>
        <w:tc>
          <w:tcPr/>
          <w:p>
            <w:pPr>
              <w:pStyle w:val="Compact"/>
              <w:jc w:val="left"/>
            </w:pPr>
            <w:r>
              <w:t xml:space="preserve">Length of the period</w:t>
            </w:r>
          </w:p>
        </w:tc>
        <w:tc>
          <w:tcPr/>
          <w:p>
            <w:pPr>
              <w:pStyle w:val="Compact"/>
              <w:jc w:val="left"/>
            </w:pPr>
            <w:r>
              <w:t xml:space="preserve">minutes (or any time unit)</w:t>
            </w:r>
          </w:p>
        </w:tc>
      </w:tr>
      <w:tr>
        <w:tc>
          <w:tcPr/>
          <w:p>
            <w:pPr>
              <w:pStyle w:val="Compact"/>
              <w:jc w:val="left"/>
            </w:pPr>
            <m:oMath>
              <m:r>
                <m:t>D</m:t>
              </m:r>
            </m:oMath>
          </w:p>
        </w:tc>
        <w:tc>
          <w:tcPr/>
          <w:p>
            <w:pPr>
              <w:pStyle w:val="Compact"/>
              <w:jc w:val="left"/>
            </w:pPr>
            <w:r>
              <w:t xml:space="preserve">Allowed downtime in the period (the error budget, in time)</w:t>
            </w:r>
          </w:p>
        </w:tc>
        <w:tc>
          <w:tcPr/>
          <w:p>
            <w:pPr>
              <w:pStyle w:val="Compact"/>
              <w:jc w:val="left"/>
            </w:pPr>
            <w:r>
              <w:t xml:space="preserve">same unit as</w:t>
            </w:r>
            <w:r>
              <w:t xml:space="preserve"> </w:t>
            </w:r>
            <m:oMath>
              <m:r>
                <m:t>T</m:t>
              </m:r>
            </m:oMath>
          </w:p>
        </w:tc>
      </w:tr>
    </w:tbl>
    <w:p>
      <w:pPr>
        <w:pStyle w:val="CalloutExample"/>
      </w:pPr>
      <w:r>
        <w:rPr>
          <w:bCs/>
          <w:b/>
        </w:rPr>
        <w:t xml:space="preserve">WORKED EXAMPLE</w:t>
      </w:r>
    </w:p>
    <w:p>
      <w:pPr>
        <w:pStyle w:val="CalloutExample"/>
      </w:pPr>
      <w:r>
        <w:rPr>
          <w:bCs/>
          <w:b/>
        </w:rPr>
        <w:t xml:space="preserve">Worked example — What four nines allows.</w:t>
      </w:r>
      <w:r>
        <w:t xml:space="preserve"> </w:t>
      </w:r>
      <w:r>
        <w:t xml:space="preserve">Target</w:t>
      </w:r>
      <w:r>
        <w:t xml:space="preserve"> </w:t>
      </w:r>
      <m:oMath>
        <m:r>
          <m:t>A</m:t>
        </m:r>
        <m:r>
          <m:rPr>
            <m:sty m:val="p"/>
          </m:rPr>
          <m:t>=</m:t>
        </m:r>
        <m:r>
          <m:t>99.99</m:t>
        </m:r>
        <m:r>
          <m:rPr>
            <m:sty m:val="p"/>
          </m:rPr>
          <m:t>%</m:t>
        </m:r>
      </m:oMath>
      <w:r>
        <w:t xml:space="preserve"> </w:t>
      </w:r>
      <w:r>
        <w:t xml:space="preserve">over a 30-day month.</w:t>
      </w:r>
    </w:p>
    <w:p>
      <w:pPr>
        <w:numPr>
          <w:ilvl w:val="0"/>
          <w:numId w:val="1118"/>
        </w:numPr>
        <w:pStyle w:val="Compact"/>
      </w:pPr>
      <m:oMath>
        <m:r>
          <m:t>T</m:t>
        </m:r>
        <m:r>
          <m:rPr>
            <m:sty m:val="p"/>
          </m:rPr>
          <m:t>=</m:t>
        </m:r>
        <m:r>
          <m:t>30</m:t>
        </m:r>
        <m:r>
          <m:rPr>
            <m:sty m:val="p"/>
          </m:rPr>
          <m:t>×</m:t>
        </m:r>
        <m:r>
          <m:t>24</m:t>
        </m:r>
        <m:r>
          <m:rPr>
            <m:sty m:val="p"/>
          </m:rPr>
          <m:t>×</m:t>
        </m:r>
        <m:r>
          <m:t>60</m:t>
        </m:r>
        <m:r>
          <m:rPr>
            <m:sty m:val="p"/>
          </m:rPr>
          <m:t>=</m:t>
        </m:r>
        <m:r>
          <m:t>43</m:t>
        </m:r>
        <m:r>
          <m:rPr>
            <m:sty m:val="p"/>
          </m:rPr>
          <m:t>,</m:t>
        </m:r>
        <m:r>
          <m:t>200</m:t>
        </m:r>
      </m:oMath>
      <w:r>
        <w:t xml:space="preserve"> </w:t>
      </w:r>
      <w:r>
        <w:t xml:space="preserve">min.</w:t>
      </w:r>
    </w:p>
    <w:p>
      <w:pPr>
        <w:numPr>
          <w:ilvl w:val="0"/>
          <w:numId w:val="1118"/>
        </w:numPr>
        <w:pStyle w:val="Compact"/>
      </w:pPr>
      <m:oMath>
        <m:r>
          <m:t>D</m:t>
        </m:r>
        <m:r>
          <m:rPr>
            <m:sty m:val="p"/>
          </m:rPr>
          <m:t>=</m:t>
        </m:r>
        <m:r>
          <m:t>0.0001</m:t>
        </m:r>
        <m:r>
          <m:rPr>
            <m:sty m:val="p"/>
          </m:rPr>
          <m:t>×</m:t>
        </m:r>
        <m:r>
          <m:t>43</m:t>
        </m:r>
        <m:r>
          <m:rPr>
            <m:sty m:val="p"/>
          </m:rPr>
          <m:t>,</m:t>
        </m:r>
        <m:r>
          <m:t>200</m:t>
        </m:r>
        <m:r>
          <m:rPr>
            <m:sty m:val="p"/>
          </m:rPr>
          <m:t>=</m:t>
        </m:r>
        <m:r>
          <m:t>4.32</m:t>
        </m:r>
      </m:oMath>
      <w:r>
        <w:t xml:space="preserve"> </w:t>
      </w:r>
      <w:r>
        <w:t xml:space="preserve">min.</w:t>
      </w:r>
    </w:p>
    <w:p>
      <w:pPr>
        <w:pStyle w:val="CalloutExample"/>
      </w:pPr>
      <w:r>
        <w:rPr>
          <w:bCs/>
          <w:b/>
        </w:rPr>
        <w:t xml:space="preserve">Interpretation.</w:t>
      </w:r>
      <w:r>
        <w:t xml:space="preserve"> </w:t>
      </w:r>
      <w:r>
        <w:t xml:space="preserve">Four minutes and 19 seconds per month, total.</w:t>
      </w:r>
      <w:r>
        <w:t xml:space="preserve"> </w:t>
      </w:r>
      <w:r>
        <w:rPr>
          <w:bCs/>
          <w:b/>
        </w:rPr>
        <w:t xml:space="preserve">Engineering implication.</w:t>
      </w:r>
      <w:r>
        <w:t xml:space="preserve"> </w:t>
      </w:r>
      <w:r>
        <w:t xml:space="preserve">A human cannot be paged, wake up, log in and diagnose in four minutes. Four nines therefore implies</w:t>
      </w:r>
      <w:r>
        <w:t xml:space="preserve"> </w:t>
      </w:r>
      <w:r>
        <w:rPr>
          <w:iCs/>
          <w:i/>
        </w:rPr>
        <w:t xml:space="preserve">automated</w:t>
      </w:r>
      <w:r>
        <w:t xml:space="preserve"> </w:t>
      </w:r>
      <w:r>
        <w:t xml:space="preserve">detection and failover; five nines (26 s/month) implies the failover itself must be nearly invisible. Each additional nine changes the architecture, not just the effort.</w:t>
      </w:r>
    </w:p>
    <w:p>
      <w:pPr>
        <w:pStyle w:val="CalloutIndustry"/>
      </w:pPr>
      <w:r>
        <w:rPr>
          <w:bCs/>
          <w:b/>
        </w:rPr>
        <w:t xml:space="preserve">INDUSTRY EXAMPLE</w:t>
      </w:r>
    </w:p>
    <w:p>
      <w:pPr>
        <w:pStyle w:val="CalloutIndustry"/>
      </w:pPr>
      <w:r>
        <w:rPr>
          <w:bCs/>
          <w:b/>
        </w:rPr>
        <w:t xml:space="preserve">Google SRE — error budgets.</w:t>
      </w:r>
      <w:r>
        <w:t xml:space="preserve"> </w:t>
      </w:r>
      <w:r>
        <w:t xml:space="preserve">Google’s SRE practice turns an availability SLO into an</w:t>
      </w:r>
      <w:r>
        <w:t xml:space="preserve"> </w:t>
      </w:r>
      <w:r>
        <w:rPr>
          <w:bCs/>
          <w:b/>
        </w:rPr>
        <w:t xml:space="preserve">error budget</w:t>
      </w:r>
      <w:r>
        <w:t xml:space="preserve"> </w:t>
      </w:r>
      <w:r>
        <w:t xml:space="preserve">equal to</w:t>
      </w:r>
      <w:r>
        <w:t xml:space="preserve"> </w:t>
      </w:r>
      <m:oMath>
        <m:r>
          <m:t>1</m:t>
        </m:r>
        <m:r>
          <m:rPr>
            <m:sty m:val="p"/>
          </m:rPr>
          <m:t>−</m:t>
        </m:r>
        <m:r>
          <m:rPr>
            <m:nor/>
            <m:sty m:val="p"/>
          </m:rPr>
          <m:t>SLO</m:t>
        </m:r>
      </m:oMath>
      <w:r>
        <w:t xml:space="preserve">: a 99.9% SLO allows 0.1% of requests (or time) to fail. While budget remains, teams may ship risky changes; when it is exhausted, releases slow until reliability recovers. The SRE book also argues that 100% is the wrong target, because users cannot distinguish the last nines from failures in their own devices and networks, while each extra nine costs disproportionately more. Error budgets are covered in §39.7.</w:t>
      </w:r>
      <w:r>
        <w:t xml:space="preserve"> </w:t>
      </w:r>
      <w:r>
        <w:rPr>
          <w:iCs/>
          <w:i/>
        </w:rPr>
        <w:t xml:space="preserve">Evidence: Primary</w:t>
      </w:r>
      <w:r>
        <w:t xml:space="preserve"> </w:t>
      </w:r>
      <w:r>
        <w:t xml:space="preserve">— [Beyer et al. 2016]</w:t>
      </w:r>
    </w:p>
    <w:bookmarkEnd w:id="413"/>
    <w:bookmarkStart w:id="417" w:name="series-and-parallel-composition"/>
    <w:p>
      <w:pPr>
        <w:pStyle w:val="Heading3"/>
      </w:pPr>
      <w:r>
        <w:t xml:space="preserve">4.14.2 Series and parallel composition</w:t>
      </w:r>
    </w:p>
    <w:p>
      <w:pPr>
        <w:pStyle w:val="FirstParagraph"/>
      </w:pPr>
      <w:r>
        <w:rPr>
          <w:bCs/>
          <w:b/>
        </w:rPr>
        <w:t xml:space="preserve">Figure 4.6 — Series, parallel and k-of-n availability.</w:t>
      </w:r>
    </w:p>
    <w:p>
      <w:pPr>
        <w:pStyle w:val="BodyText"/>
      </w:pPr>
      <w:r>
        <w:drawing>
          <wp:inline>
            <wp:extent cx="5334000" cy="1572692"/>
            <wp:effectExtent b="0" l="0" r="0" t="0"/>
            <wp:docPr descr="" title="" id="415" name="Picture"/>
            <a:graphic>
              <a:graphicData uri="http://schemas.openxmlformats.org/drawingml/2006/picture">
                <pic:pic>
                  <pic:nvPicPr>
                    <pic:cNvPr descr="/home/user/System-Design/build/.cache/diagrams/0511f2e6b2ad.png" id="416" name="Picture"/>
                    <pic:cNvPicPr>
                      <a:picLocks noChangeArrowheads="1" noChangeAspect="1"/>
                    </pic:cNvPicPr>
                  </pic:nvPicPr>
                  <pic:blipFill>
                    <a:blip r:embed="rId414"/>
                    <a:stretch>
                      <a:fillRect/>
                    </a:stretch>
                  </pic:blipFill>
                  <pic:spPr bwMode="auto">
                    <a:xfrm>
                      <a:off x="0" y="0"/>
                      <a:ext cx="5334000" cy="1572692"/>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A request flows synchronously left to right: HTTPS from the client to a single load balancer, then to</w:t>
      </w:r>
      <w:r>
        <w:t xml:space="preserve"> </w:t>
      </w:r>
      <w:r>
        <w:rPr>
          <w:iCs/>
          <w:i/>
        </w:rPr>
        <w:t xml:space="preserve">either</w:t>
      </w:r>
      <w:r>
        <w:t xml:space="preserve"> </w:t>
      </w:r>
      <w:r>
        <w:t xml:space="preserve">application node, then over SQL to the current leader replica (Replica 1), which replicates each write to the other two and needs a majority (2 of 3) of replicas up to serve, as consensus-based stores do (§26.4); if the leader fails, a surviving replica is elected in its place. The three stages are in</w:t>
      </w:r>
      <w:r>
        <w:t xml:space="preserve"> </w:t>
      </w:r>
      <w:r>
        <w:rPr>
          <w:bCs/>
          <w:b/>
        </w:rPr>
        <w:t xml:space="preserve">series</w:t>
      </w:r>
      <w:r>
        <w:t xml:space="preserve">: the request fails if any stage fails. Within the middle stage the two nodes are in</w:t>
      </w:r>
      <w:r>
        <w:t xml:space="preserve"> </w:t>
      </w:r>
      <w:r>
        <w:rPr>
          <w:bCs/>
          <w:b/>
        </w:rPr>
        <w:t xml:space="preserve">parallel</w:t>
      </w:r>
      <w:r>
        <w:t xml:space="preserve">: the stage fails only if both fail. The cylinders are the storage boundary. The single load balancer is the obvious single point of failure; the scaling and availability option is to make it redundant too (§19.8).</w:t>
      </w:r>
    </w:p>
    <w:p>
      <w:pPr>
        <w:pStyle w:val="CalloutFormula"/>
      </w:pPr>
      <w:r>
        <w:rPr>
          <w:bCs/>
          <w:b/>
        </w:rPr>
        <w:t xml:space="preserve">FORMULA</w:t>
      </w:r>
    </w:p>
    <w:p>
      <w:pPr>
        <w:pStyle w:val="CalloutFormula"/>
      </w:pPr>
      <w:r>
        <w:rPr>
          <w:bCs/>
          <w:b/>
        </w:rPr>
        <w:t xml:space="preserve">Series, parallel and k-of-n availability (independent failures)</w:t>
      </w:r>
    </w:p>
    <w:p>
      <w:pPr>
        <w:pStyle w:val="CalloutFormula"/>
      </w:pPr>
      <m:oMathPara>
        <m:oMathParaPr>
          <m:jc m:val="center"/>
        </m:oMathParaPr>
        <m:oMath>
          <m:sSub>
            <m:e>
              <m:r>
                <m:t>A</m:t>
              </m:r>
            </m:e>
            <m:sub>
              <m:r>
                <m:rPr>
                  <m:nor/>
                  <m:sty m:val="p"/>
                </m:rPr>
                <m:t>series</m:t>
              </m:r>
            </m:sub>
          </m:sSub>
          <m:r>
            <m:rPr>
              <m:sty m:val="p"/>
            </m:rPr>
            <m:t>=</m:t>
          </m:r>
          <m:nary>
            <m:naryPr>
              <m:chr m:val="∏"/>
              <m:limLoc m:val="undOvr"/>
              <m:subHide m:val="off"/>
              <m:supHide m:val="off"/>
            </m:naryPr>
            <m:sub>
              <m:r>
                <m:t>i</m:t>
              </m:r>
              <m:r>
                <m:rPr>
                  <m:sty m:val="p"/>
                </m:rPr>
                <m:t>=</m:t>
              </m:r>
              <m:r>
                <m:t>1</m:t>
              </m:r>
            </m:sub>
            <m:sup>
              <m:r>
                <m:t>n</m:t>
              </m:r>
            </m:sup>
            <m:e>
              <m:sSub>
                <m:e>
                  <m:r>
                    <m:t>A</m:t>
                  </m:r>
                </m:e>
                <m:sub>
                  <m:r>
                    <m:t>i</m:t>
                  </m:r>
                </m:sub>
              </m:sSub>
            </m:e>
          </m:nary>
          <m:r>
            <m:t>  </m:t>
          </m:r>
          <m:sSub>
            <m:e>
              <m:r>
                <m:t>A</m:t>
              </m:r>
            </m:e>
            <m:sub>
              <m:r>
                <m:rPr>
                  <m:nor/>
                  <m:sty m:val="p"/>
                </m:rPr>
                <m:t>parallel</m:t>
              </m:r>
            </m:sub>
          </m:sSub>
          <m:r>
            <m:rPr>
              <m:sty m:val="p"/>
            </m:rPr>
            <m:t>=</m:t>
          </m:r>
          <m:r>
            <m:t>1</m:t>
          </m:r>
          <m:r>
            <m:rPr>
              <m:sty m:val="p"/>
            </m:rPr>
            <m:t>−</m:t>
          </m:r>
          <m:nary>
            <m:naryPr>
              <m:chr m:val="∏"/>
              <m:limLoc m:val="undOvr"/>
              <m:subHide m:val="off"/>
              <m:supHide m:val="off"/>
            </m:naryPr>
            <m:sub>
              <m:r>
                <m:t>i</m:t>
              </m:r>
              <m:r>
                <m:rPr>
                  <m:sty m:val="p"/>
                </m:rPr>
                <m:t>=</m:t>
              </m:r>
              <m:r>
                <m:t>1</m:t>
              </m:r>
            </m:sub>
            <m:sup>
              <m:r>
                <m:t>n</m:t>
              </m:r>
            </m:sup>
            <m:e>
              <m:d>
                <m:dPr>
                  <m:begChr m:val="("/>
                  <m:endChr m:val=")"/>
                  <m:sepChr m:val=""/>
                  <m:grow/>
                </m:dPr>
                <m:e>
                  <m:r>
                    <m:t>1</m:t>
                  </m:r>
                  <m:r>
                    <m:rPr>
                      <m:sty m:val="p"/>
                    </m:rPr>
                    <m:t>−</m:t>
                  </m:r>
                  <m:sSub>
                    <m:e>
                      <m:r>
                        <m:t>A</m:t>
                      </m:r>
                    </m:e>
                    <m:sub>
                      <m:r>
                        <m:t>i</m:t>
                      </m:r>
                    </m:sub>
                  </m:sSub>
                </m:e>
              </m:d>
            </m:e>
          </m:nary>
          <m:r>
            <m:t>  </m:t>
          </m:r>
          <m:sSub>
            <m:e>
              <m:r>
                <m:t>A</m:t>
              </m:r>
            </m:e>
            <m:sub>
              <m:r>
                <m:t>k</m:t>
              </m:r>
              <m:r>
                <m:rPr>
                  <m:nor/>
                  <m:sty m:val="p"/>
                </m:rPr>
                <m:t>-of-</m:t>
              </m:r>
              <m:r>
                <m:t>n</m:t>
              </m:r>
            </m:sub>
          </m:sSub>
          <m:r>
            <m:rPr>
              <m:sty m:val="p"/>
            </m:rPr>
            <m:t>=</m:t>
          </m:r>
          <m:nary>
            <m:naryPr>
              <m:chr m:val="∑"/>
              <m:limLoc m:val="undOvr"/>
              <m:subHide m:val="off"/>
              <m:supHide m:val="off"/>
            </m:naryPr>
            <m:sub>
              <m:r>
                <m:t>j</m:t>
              </m:r>
              <m:r>
                <m:rPr>
                  <m:sty m:val="p"/>
                </m:rPr>
                <m:t>=</m:t>
              </m:r>
              <m:r>
                <m:t>k</m:t>
              </m:r>
            </m:sub>
            <m:sup>
              <m:r>
                <m:t>n</m:t>
              </m:r>
            </m:sup>
            <m:e>
              <m:d>
                <m:dPr>
                  <m:begChr m:val="("/>
                  <m:endChr m:val=")"/>
                  <m:sepChr m:val=""/>
                  <m:grow/>
                </m:dPr>
                <m:e>
                  <m:f>
                    <m:fPr>
                      <m:type m:val="noBar"/>
                    </m:fPr>
                    <m:num>
                      <m:r>
                        <m:t>n</m:t>
                      </m:r>
                    </m:num>
                    <m:den>
                      <m:r>
                        <m:t>j</m:t>
                      </m:r>
                    </m:den>
                  </m:f>
                </m:e>
              </m:d>
            </m:e>
          </m:nary>
          <m:sSup>
            <m:e>
              <m:r>
                <m:t>A</m:t>
              </m:r>
            </m:e>
            <m:sup>
              <m:r>
                <m:t>j</m:t>
              </m:r>
            </m:sup>
          </m:sSup>
          <m:sSup>
            <m:e>
              <m:d>
                <m:dPr>
                  <m:begChr m:val="("/>
                  <m:endChr m:val=")"/>
                  <m:sepChr m:val=""/>
                  <m:grow/>
                </m:dPr>
                <m:e>
                  <m:r>
                    <m:t>1</m:t>
                  </m:r>
                  <m:r>
                    <m:rPr>
                      <m:sty m:val="p"/>
                    </m:rPr>
                    <m:t>−</m:t>
                  </m:r>
                  <m:r>
                    <m:t>A</m:t>
                  </m:r>
                </m:e>
              </m:d>
            </m:e>
            <m:sup>
              <m:r>
                <m:t>n</m:t>
              </m:r>
              <m:r>
                <m:rPr>
                  <m:sty m:val="p"/>
                </m:rPr>
                <m:t>−</m:t>
              </m:r>
              <m:r>
                <m:t>j</m:t>
              </m:r>
            </m:sup>
          </m:sSup>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A</m:t>
                  </m:r>
                </m:e>
                <m:sub>
                  <m:r>
                    <m:t>i</m:t>
                  </m:r>
                </m:sub>
              </m:sSub>
            </m:oMath>
          </w:p>
        </w:tc>
        <w:tc>
          <w:tcPr/>
          <w:p>
            <w:pPr>
              <w:pStyle w:val="Compact"/>
              <w:jc w:val="left"/>
            </w:pPr>
            <w:r>
              <w:t xml:space="preserve">Availability of component</w:t>
            </w:r>
            <w:r>
              <w:t xml:space="preserve"> </w:t>
            </w:r>
            <m:oMath>
              <m:r>
                <m:t>i</m:t>
              </m:r>
            </m:oMath>
          </w:p>
        </w:tc>
        <w:tc>
          <w:tcPr/>
          <w:p>
            <w:pPr>
              <w:pStyle w:val="Compact"/>
              <w:jc w:val="left"/>
            </w:pPr>
            <w:r>
              <w:t xml:space="preserve">dimensionless</w:t>
            </w:r>
          </w:p>
        </w:tc>
      </w:tr>
      <w:tr>
        <w:tc>
          <w:tcPr/>
          <w:p>
            <w:pPr>
              <w:pStyle w:val="Compact"/>
              <w:jc w:val="left"/>
            </w:pPr>
            <m:oMath>
              <m:r>
                <m:rPr>
                  <m:sty m:val="p"/>
                </m:rPr>
                <m:t>∏</m:t>
              </m:r>
            </m:oMath>
          </w:p>
        </w:tc>
        <w:tc>
          <w:tcPr/>
          <w:p>
            <w:pPr>
              <w:pStyle w:val="Compact"/>
              <w:jc w:val="left"/>
            </w:pPr>
            <w:r>
              <w:t xml:space="preserve">Product over all components</w:t>
            </w:r>
          </w:p>
        </w:tc>
        <w:tc>
          <w:tcPr/>
          <w:p>
            <w:pPr>
              <w:pStyle w:val="Compact"/>
              <w:jc w:val="left"/>
            </w:pPr>
            <w:r>
              <w:t xml:space="preserve">—</w:t>
            </w:r>
          </w:p>
        </w:tc>
      </w:tr>
      <w:tr>
        <w:tc>
          <w:tcPr/>
          <w:p>
            <w:pPr>
              <w:pStyle w:val="Compact"/>
              <w:jc w:val="left"/>
            </w:pPr>
            <m:oMath>
              <m:r>
                <m:t>n</m:t>
              </m:r>
            </m:oMath>
          </w:p>
        </w:tc>
        <w:tc>
          <w:tcPr/>
          <w:p>
            <w:pPr>
              <w:pStyle w:val="Compact"/>
              <w:jc w:val="left"/>
            </w:pPr>
            <w:r>
              <w:t xml:space="preserve">Number of components</w:t>
            </w:r>
          </w:p>
        </w:tc>
        <w:tc>
          <w:tcPr/>
          <w:p>
            <w:pPr>
              <w:pStyle w:val="Compact"/>
              <w:jc w:val="left"/>
            </w:pPr>
            <w:r>
              <w:t xml:space="preserve">count</w:t>
            </w:r>
          </w:p>
        </w:tc>
      </w:tr>
      <w:tr>
        <w:tc>
          <w:tcPr/>
          <w:p>
            <w:pPr>
              <w:pStyle w:val="Compact"/>
              <w:jc w:val="left"/>
            </w:pPr>
            <m:oMath>
              <m:r>
                <m:t>k</m:t>
              </m:r>
            </m:oMath>
          </w:p>
        </w:tc>
        <w:tc>
          <w:tcPr/>
          <w:p>
            <w:pPr>
              <w:pStyle w:val="Compact"/>
              <w:jc w:val="left"/>
            </w:pPr>
            <w:r>
              <w:t xml:space="preserve">Minimum number of identical components that must be up</w:t>
            </w:r>
          </w:p>
        </w:tc>
        <w:tc>
          <w:tcPr/>
          <w:p>
            <w:pPr>
              <w:pStyle w:val="Compact"/>
              <w:jc w:val="left"/>
            </w:pPr>
            <w:r>
              <w:t xml:space="preserve">count</w:t>
            </w:r>
          </w:p>
        </w:tc>
      </w:tr>
      <w:tr>
        <w:tc>
          <w:tcPr/>
          <w:p>
            <w:pPr>
              <w:pStyle w:val="Compact"/>
              <w:jc w:val="left"/>
            </w:pPr>
            <m:oMath>
              <m:r>
                <m:t>A</m:t>
              </m:r>
            </m:oMath>
          </w:p>
        </w:tc>
        <w:tc>
          <w:tcPr/>
          <w:p>
            <w:pPr>
              <w:pStyle w:val="Compact"/>
              <w:jc w:val="left"/>
            </w:pPr>
            <w:r>
              <w:t xml:space="preserve">Availability of each identical component (k-of-n case)</w:t>
            </w:r>
          </w:p>
        </w:tc>
        <w:tc>
          <w:tcPr/>
          <w:p>
            <w:pPr>
              <w:pStyle w:val="Compact"/>
              <w:jc w:val="left"/>
            </w:pPr>
            <w:r>
              <w:t xml:space="preserve">dimensionless</w:t>
            </w:r>
          </w:p>
        </w:tc>
      </w:tr>
    </w:tbl>
    <w:p>
      <w:pPr>
        <w:pStyle w:val="BodyText"/>
      </w:pPr>
      <w:r>
        <w:rPr>
          <w:bCs/>
          <w:b/>
        </w:rPr>
        <w:t xml:space="preserve">Derivation.</w:t>
      </w:r>
      <w:r>
        <w:t xml:space="preserve"> </w:t>
      </w:r>
      <w:r>
        <w:rPr>
          <w:iCs/>
          <w:i/>
        </w:rPr>
        <w:t xml:space="preserve">Series:</w:t>
      </w:r>
      <w:r>
        <w:t xml:space="preserve"> </w:t>
      </w:r>
      <w:r>
        <w:t xml:space="preserve">the system is up only if every component is up; with independence, multiply.</w:t>
      </w:r>
      <w:r>
        <w:t xml:space="preserve"> </w:t>
      </w:r>
      <w:r>
        <w:rPr>
          <w:iCs/>
          <w:i/>
        </w:rPr>
        <w:t xml:space="preserve">Parallel:</w:t>
      </w:r>
      <w:r>
        <w:t xml:space="preserve"> </w:t>
      </w:r>
      <w:r>
        <w:t xml:space="preserve">the system is down only if every component is down; the probability all are down is</w:t>
      </w:r>
      <w:r>
        <w:t xml:space="preserve"> </w:t>
      </w:r>
      <m:oMath>
        <m:r>
          <m:rPr>
            <m:sty m:val="p"/>
          </m:rPr>
          <m:t>∏</m:t>
        </m:r>
        <m:d>
          <m:dPr>
            <m:begChr m:val="("/>
            <m:endChr m:val=")"/>
            <m:sepChr m:val=""/>
            <m:grow/>
          </m:dPr>
          <m:e>
            <m:r>
              <m:t>1</m:t>
            </m:r>
            <m:r>
              <m:rPr>
                <m:sty m:val="p"/>
              </m:rPr>
              <m:t>−</m:t>
            </m:r>
            <m:sSub>
              <m:e>
                <m:r>
                  <m:t>A</m:t>
                </m:r>
              </m:e>
              <m:sub>
                <m:r>
                  <m:t>i</m:t>
                </m:r>
              </m:sub>
            </m:sSub>
          </m:e>
        </m:d>
      </m:oMath>
      <w:r>
        <w:t xml:space="preserve">, and availability is its complement.</w:t>
      </w:r>
      <w:r>
        <w:t xml:space="preserve"> </w:t>
      </w:r>
      <w:r>
        <w:rPr>
          <w:iCs/>
          <w:i/>
        </w:rPr>
        <w:t xml:space="preserve">k-of-n:</w:t>
      </w:r>
      <w:r>
        <w:t xml:space="preserve"> </w:t>
      </w:r>
      <w:r>
        <w:t xml:space="preserve">the number of up components is binomial (§4.6.4); add the probabilities of</w:t>
      </w:r>
      <w:r>
        <w:t xml:space="preserve"> </w:t>
      </w:r>
      <m:oMath>
        <m:r>
          <m:t>k</m:t>
        </m:r>
        <m:r>
          <m:rPr>
            <m:sty m:val="p"/>
          </m:rPr>
          <m:t>,</m:t>
        </m:r>
        <m:r>
          <m:t>k</m:t>
        </m:r>
        <m:r>
          <m:rPr>
            <m:sty m:val="p"/>
          </m:rPr>
          <m:t>+</m:t>
        </m:r>
        <m:r>
          <m:t>1</m:t>
        </m:r>
        <m:r>
          <m:rPr>
            <m:sty m:val="p"/>
          </m:rPr>
          <m:t>,</m:t>
        </m:r>
        <m:r>
          <m:rPr>
            <m:sty m:val="p"/>
          </m:rPr>
          <m:t>…</m:t>
        </m:r>
        <m:r>
          <m:rPr>
            <m:sty m:val="p"/>
          </m:rPr>
          <m:t>,</m:t>
        </m:r>
        <m:r>
          <m:t>n</m:t>
        </m:r>
      </m:oMath>
      <w:r>
        <w:t xml:space="preserve"> </w:t>
      </w:r>
      <w:r>
        <w:t xml:space="preserve">components up.</w:t>
      </w:r>
    </w:p>
    <w:p>
      <w:pPr>
        <w:pStyle w:val="CalloutExample"/>
      </w:pPr>
      <w:r>
        <w:rPr>
          <w:bCs/>
          <w:b/>
        </w:rPr>
        <w:t xml:space="preserve">WORKED EXAMPLE</w:t>
      </w:r>
    </w:p>
    <w:p>
      <w:pPr>
        <w:pStyle w:val="CalloutExample"/>
      </w:pPr>
      <w:r>
        <w:rPr>
          <w:bCs/>
          <w:b/>
        </w:rPr>
        <w:t xml:space="preserve">Worked example — Composing the system of Figure 4.6.</w:t>
      </w:r>
    </w:p>
    <w:p>
      <w:pPr>
        <w:numPr>
          <w:ilvl w:val="0"/>
          <w:numId w:val="1119"/>
        </w:numPr>
        <w:pStyle w:val="Compact"/>
      </w:pPr>
      <w:r>
        <w:rPr>
          <w:iCs/>
          <w:i/>
        </w:rPr>
        <w:t xml:space="preserve">Series of three single components</w:t>
      </w:r>
      <w:r>
        <w:t xml:space="preserve"> </w:t>
      </w:r>
      <w:r>
        <w:t xml:space="preserve">first, for intuition: LB 99.99%, one app node 99.95%, one database 99.9%:</w:t>
      </w:r>
      <w:r>
        <w:t xml:space="preserve"> </w:t>
      </w:r>
      <m:oMath>
        <m:r>
          <m:t>0.9999</m:t>
        </m:r>
        <m:r>
          <m:rPr>
            <m:sty m:val="p"/>
          </m:rPr>
          <m:t>×</m:t>
        </m:r>
        <m:r>
          <m:t>0.9995</m:t>
        </m:r>
        <m:r>
          <m:rPr>
            <m:sty m:val="p"/>
          </m:rPr>
          <m:t>×</m:t>
        </m:r>
        <m:r>
          <m:t>0.999</m:t>
        </m:r>
        <m:r>
          <m:rPr>
            <m:sty m:val="p"/>
          </m:rPr>
          <m:t>=</m:t>
        </m:r>
        <m:r>
          <m:t>0.99840</m:t>
        </m:r>
      </m:oMath>
      <w:r>
        <w:t xml:space="preserve">, i.e. 99.84%, about 14.0 h of downtime per year — worse than the weakest component.</w:t>
      </w:r>
    </w:p>
    <w:p>
      <w:pPr>
        <w:numPr>
          <w:ilvl w:val="0"/>
          <w:numId w:val="1119"/>
        </w:numPr>
        <w:pStyle w:val="Compact"/>
      </w:pPr>
      <w:r>
        <w:rPr>
          <w:iCs/>
          <w:i/>
        </w:rPr>
        <w:t xml:space="preserve">Parallel app tier:</w:t>
      </w:r>
      <w:r>
        <w:t xml:space="preserve"> </w:t>
      </w:r>
      <w:r>
        <w:t xml:space="preserve">two nodes at 99%:</w:t>
      </w:r>
      <w:r>
        <w:t xml:space="preserve"> </w:t>
      </w:r>
      <m:oMath>
        <m:r>
          <m:t>1</m:t>
        </m:r>
        <m:r>
          <m:rPr>
            <m:sty m:val="p"/>
          </m:rPr>
          <m:t>−</m:t>
        </m:r>
        <m:sSup>
          <m:e>
            <m:d>
              <m:dPr>
                <m:begChr m:val="("/>
                <m:endChr m:val=")"/>
                <m:sepChr m:val=""/>
                <m:grow/>
              </m:dPr>
              <m:e>
                <m:r>
                  <m:t>0.01</m:t>
                </m:r>
              </m:e>
            </m:d>
          </m:e>
          <m:sup>
            <m:r>
              <m:t>2</m:t>
            </m:r>
          </m:sup>
        </m:sSup>
        <m:r>
          <m:rPr>
            <m:sty m:val="p"/>
          </m:rPr>
          <m:t>=</m:t>
        </m:r>
        <m:r>
          <m:t>1</m:t>
        </m:r>
        <m:r>
          <m:rPr>
            <m:sty m:val="p"/>
          </m:rPr>
          <m:t>−</m:t>
        </m:r>
        <m:r>
          <m:t>0.0001</m:t>
        </m:r>
        <m:r>
          <m:rPr>
            <m:sty m:val="p"/>
          </m:rPr>
          <m:t>=</m:t>
        </m:r>
        <m:r>
          <m:t>0.9999</m:t>
        </m:r>
      </m:oMath>
      <w:r>
        <w:t xml:space="preserve">.</w:t>
      </w:r>
    </w:p>
    <w:p>
      <w:pPr>
        <w:numPr>
          <w:ilvl w:val="0"/>
          <w:numId w:val="1119"/>
        </w:numPr>
        <w:pStyle w:val="Compact"/>
      </w:pPr>
      <w:r>
        <w:rPr>
          <w:iCs/>
          <w:i/>
        </w:rPr>
        <w:t xml:space="preserve">2-of-3 database:</w:t>
      </w:r>
      <w:r>
        <w:t xml:space="preserve"> </w:t>
      </w:r>
      <m:oMath>
        <m:r>
          <m:t>A</m:t>
        </m:r>
        <m:r>
          <m:rPr>
            <m:sty m:val="p"/>
          </m:rPr>
          <m:t>=</m:t>
        </m:r>
        <m:r>
          <m:t>0.99</m:t>
        </m:r>
      </m:oMath>
      <w:r>
        <w:t xml:space="preserve">:</w:t>
      </w:r>
      <w:r>
        <w:t xml:space="preserve"> </w:t>
      </w:r>
      <m:oMath>
        <m:d>
          <m:dPr>
            <m:begChr m:val="("/>
            <m:endChr m:val=")"/>
            <m:sepChr m:val=""/>
            <m:grow/>
          </m:dPr>
          <m:e>
            <m:f>
              <m:fPr>
                <m:type m:val="noBar"/>
              </m:fPr>
              <m:num>
                <m:r>
                  <m:t>3</m:t>
                </m:r>
              </m:num>
              <m:den>
                <m:r>
                  <m:t>2</m:t>
                </m:r>
              </m:den>
            </m:f>
          </m:e>
        </m:d>
        <m:sSup>
          <m:e>
            <m:d>
              <m:dPr>
                <m:begChr m:val="("/>
                <m:endChr m:val=")"/>
                <m:sepChr m:val=""/>
                <m:grow/>
              </m:dPr>
              <m:e>
                <m:r>
                  <m:t>0.99</m:t>
                </m:r>
              </m:e>
            </m:d>
          </m:e>
          <m:sup>
            <m:r>
              <m:t>2</m:t>
            </m:r>
          </m:sup>
        </m:sSup>
        <m:d>
          <m:dPr>
            <m:begChr m:val="("/>
            <m:endChr m:val=")"/>
            <m:sepChr m:val=""/>
            <m:grow/>
          </m:dPr>
          <m:e>
            <m:r>
              <m:t>0.01</m:t>
            </m:r>
          </m:e>
        </m:d>
        <m:r>
          <m:rPr>
            <m:sty m:val="p"/>
          </m:rPr>
          <m:t>+</m:t>
        </m:r>
        <m:sSup>
          <m:e>
            <m:d>
              <m:dPr>
                <m:begChr m:val="("/>
                <m:endChr m:val=")"/>
                <m:sepChr m:val=""/>
                <m:grow/>
              </m:dPr>
              <m:e>
                <m:r>
                  <m:t>0.99</m:t>
                </m:r>
              </m:e>
            </m:d>
          </m:e>
          <m:sup>
            <m:r>
              <m:t>3</m:t>
            </m:r>
          </m:sup>
        </m:sSup>
        <m:r>
          <m:rPr>
            <m:sty m:val="p"/>
          </m:rPr>
          <m:t>=</m:t>
        </m:r>
        <m:r>
          <m:t>3</m:t>
        </m:r>
        <m:r>
          <m:rPr>
            <m:sty m:val="p"/>
          </m:rPr>
          <m:t>×</m:t>
        </m:r>
        <m:r>
          <m:t>0.9801</m:t>
        </m:r>
        <m:r>
          <m:rPr>
            <m:sty m:val="p"/>
          </m:rPr>
          <m:t>×</m:t>
        </m:r>
        <m:r>
          <m:t>0.01</m:t>
        </m:r>
        <m:r>
          <m:rPr>
            <m:sty m:val="p"/>
          </m:rPr>
          <m:t>+</m:t>
        </m:r>
        <m:r>
          <m:t>0.970299</m:t>
        </m:r>
        <m:r>
          <m:rPr>
            <m:sty m:val="p"/>
          </m:rPr>
          <m:t>=</m:t>
        </m:r>
        <m:r>
          <m:t>0.029403</m:t>
        </m:r>
        <m:r>
          <m:rPr>
            <m:sty m:val="p"/>
          </m:rPr>
          <m:t>+</m:t>
        </m:r>
        <m:r>
          <m:t>0.970299</m:t>
        </m:r>
        <m:r>
          <m:rPr>
            <m:sty m:val="p"/>
          </m:rPr>
          <m:t>=</m:t>
        </m:r>
        <m:r>
          <m:t>0.999702</m:t>
        </m:r>
      </m:oMath>
      <w:r>
        <w:t xml:space="preserve">.</w:t>
      </w:r>
    </w:p>
    <w:p>
      <w:pPr>
        <w:numPr>
          <w:ilvl w:val="0"/>
          <w:numId w:val="1119"/>
        </w:numPr>
        <w:pStyle w:val="Compact"/>
      </w:pPr>
      <w:r>
        <w:rPr>
          <w:iCs/>
          <w:i/>
        </w:rPr>
        <w:t xml:space="preserve">Whole system in series:</w:t>
      </w:r>
      <w:r>
        <w:t xml:space="preserve"> </w:t>
      </w:r>
      <m:oMath>
        <m:r>
          <m:t>0.9999</m:t>
        </m:r>
        <m:r>
          <m:rPr>
            <m:sty m:val="p"/>
          </m:rPr>
          <m:t>×</m:t>
        </m:r>
        <m:r>
          <m:t>0.9999</m:t>
        </m:r>
        <m:r>
          <m:rPr>
            <m:sty m:val="p"/>
          </m:rPr>
          <m:t>×</m:t>
        </m:r>
        <m:r>
          <m:t>0.999702</m:t>
        </m:r>
        <m:r>
          <m:rPr>
            <m:sty m:val="p"/>
          </m:rPr>
          <m:t>=</m:t>
        </m:r>
        <m:r>
          <m:t>0.999502</m:t>
        </m:r>
      </m:oMath>
      <w:r>
        <w:t xml:space="preserve">, about 4.4 h of downtime per year.</w:t>
      </w:r>
    </w:p>
    <w:p>
      <w:pPr>
        <w:pStyle w:val="CalloutExample"/>
      </w:pPr>
      <w:r>
        <w:rPr>
          <w:bCs/>
          <w:b/>
        </w:rPr>
        <w:t xml:space="preserve">Interpretation.</w:t>
      </w:r>
      <w:r>
        <w:t xml:space="preserve"> </w:t>
      </w:r>
      <w:r>
        <w:t xml:space="preserve">Series composition always lowers availability; redundancy raises it dramatically — two 99% nodes give 99.99%.</w:t>
      </w:r>
      <w:r>
        <w:t xml:space="preserve"> </w:t>
      </w:r>
      <w:r>
        <w:rPr>
          <w:bCs/>
          <w:b/>
        </w:rPr>
        <w:t xml:space="preserve">Engineering implication.</w:t>
      </w:r>
      <w:r>
        <w:t xml:space="preserve"> </w:t>
      </w:r>
      <w:r>
        <w:t xml:space="preserve">A request path through 10 services, each 99.9% available, is at most</w:t>
      </w:r>
      <w:r>
        <w:t xml:space="preserve"> </w:t>
      </w:r>
      <m:oMath>
        <m:sSup>
          <m:e>
            <m:r>
              <m:t>0.999</m:t>
            </m:r>
          </m:e>
          <m:sup>
            <m:r>
              <m:t>10</m:t>
            </m:r>
          </m:sup>
        </m:sSup>
        <m:r>
          <m:rPr>
            <m:sty m:val="p"/>
          </m:rPr>
          <m:t>=</m:t>
        </m:r>
        <m:r>
          <m:t>99.0</m:t>
        </m:r>
        <m:r>
          <m:rPr>
            <m:sty m:val="p"/>
          </m:rPr>
          <m:t>%</m:t>
        </m:r>
      </m:oMath>
      <w:r>
        <w:t xml:space="preserve"> </w:t>
      </w:r>
      <w:r>
        <w:t xml:space="preserve">available. Long synchronous call chains are an availability liability, which is one argument for asynchronous decoupling (Part VI) and for keeping critical paths short.</w:t>
      </w:r>
    </w:p>
    <w:p>
      <w:pPr>
        <w:pStyle w:val="SourceCode"/>
      </w:pPr>
      <w:r>
        <w:rPr>
          <w:rStyle w:val="ImportTok"/>
        </w:rPr>
        <w:t xml:space="preserve">from</w:t>
      </w:r>
      <w:r>
        <w:rPr>
          <w:rStyle w:val="NormalTok"/>
        </w:rPr>
        <w:t xml:space="preserve"> math </w:t>
      </w:r>
      <w:r>
        <w:rPr>
          <w:rStyle w:val="ImportTok"/>
        </w:rPr>
        <w:t xml:space="preserve">import</w:t>
      </w:r>
      <w:r>
        <w:rPr>
          <w:rStyle w:val="NormalTok"/>
        </w:rPr>
        <w:t xml:space="preserve"> comb, prod</w:t>
      </w:r>
      <w:r>
        <w:br/>
      </w:r>
      <w:r>
        <w:br/>
      </w:r>
      <w:r>
        <w:rPr>
          <w:rStyle w:val="KeywordTok"/>
        </w:rPr>
        <w:t xml:space="preserve">def</w:t>
      </w:r>
      <w:r>
        <w:rPr>
          <w:rStyle w:val="NormalTok"/>
        </w:rPr>
        <w:t xml:space="preserve"> series(</w:t>
      </w:r>
      <w:r>
        <w:rPr>
          <w:rStyle w:val="OperatorTok"/>
        </w:rPr>
        <w:t xml:space="preserve">*</w:t>
      </w:r>
      <w:r>
        <w:rPr>
          <w:rStyle w:val="NormalTok"/>
        </w:rPr>
        <w:t xml:space="preserve">avail):</w:t>
      </w:r>
      <w:r>
        <w:br/>
      </w:r>
      <w:r>
        <w:rPr>
          <w:rStyle w:val="NormalTok"/>
        </w:rPr>
        <w:t xml:space="preserve">    </w:t>
      </w:r>
      <w:r>
        <w:rPr>
          <w:rStyle w:val="CommentTok"/>
        </w:rPr>
        <w:t xml:space="preserve">"""All components must be up (assumes independent failures)."""</w:t>
      </w:r>
      <w:r>
        <w:br/>
      </w:r>
      <w:r>
        <w:rPr>
          <w:rStyle w:val="NormalTok"/>
        </w:rPr>
        <w:t xml:space="preserve">    </w:t>
      </w:r>
      <w:r>
        <w:rPr>
          <w:rStyle w:val="ControlFlowTok"/>
        </w:rPr>
        <w:t xml:space="preserve">return</w:t>
      </w:r>
      <w:r>
        <w:rPr>
          <w:rStyle w:val="NormalTok"/>
        </w:rPr>
        <w:t xml:space="preserve"> prod(avail)</w:t>
      </w:r>
      <w:r>
        <w:br/>
      </w:r>
      <w:r>
        <w:br/>
      </w:r>
      <w:r>
        <w:rPr>
          <w:rStyle w:val="KeywordTok"/>
        </w:rPr>
        <w:t xml:space="preserve">def</w:t>
      </w:r>
      <w:r>
        <w:rPr>
          <w:rStyle w:val="NormalTok"/>
        </w:rPr>
        <w:t xml:space="preserve"> parallel(</w:t>
      </w:r>
      <w:r>
        <w:rPr>
          <w:rStyle w:val="OperatorTok"/>
        </w:rPr>
        <w:t xml:space="preserve">*</w:t>
      </w:r>
      <w:r>
        <w:rPr>
          <w:rStyle w:val="NormalTok"/>
        </w:rPr>
        <w:t xml:space="preserve">avail):</w:t>
      </w:r>
      <w:r>
        <w:br/>
      </w:r>
      <w:r>
        <w:rPr>
          <w:rStyle w:val="NormalTok"/>
        </w:rPr>
        <w:t xml:space="preserve">    </w:t>
      </w:r>
      <w:r>
        <w:rPr>
          <w:rStyle w:val="CommentTok"/>
        </w:rPr>
        <w:t xml:space="preserve">"""At least one component must be up (independent failures)."""</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prod(</w:t>
      </w:r>
      <w:r>
        <w:rPr>
          <w:rStyle w:val="DecValTok"/>
        </w:rPr>
        <w:t xml:space="preserve">1</w:t>
      </w:r>
      <w:r>
        <w:rPr>
          <w:rStyle w:val="NormalTok"/>
        </w:rPr>
        <w:t xml:space="preserve"> </w:t>
      </w:r>
      <w:r>
        <w:rPr>
          <w:rStyle w:val="OperatorTok"/>
        </w:rPr>
        <w:t xml:space="preserve">-</w:t>
      </w:r>
      <w:r>
        <w:rPr>
          <w:rStyle w:val="NormalTok"/>
        </w:rPr>
        <w:t xml:space="preserve"> a </w:t>
      </w:r>
      <w:r>
        <w:rPr>
          <w:rStyle w:val="ControlFlowTok"/>
        </w:rPr>
        <w:t xml:space="preserve">for</w:t>
      </w:r>
      <w:r>
        <w:rPr>
          <w:rStyle w:val="NormalTok"/>
        </w:rPr>
        <w:t xml:space="preserve"> a </w:t>
      </w:r>
      <w:r>
        <w:rPr>
          <w:rStyle w:val="KeywordTok"/>
        </w:rPr>
        <w:t xml:space="preserve">in</w:t>
      </w:r>
      <w:r>
        <w:rPr>
          <w:rStyle w:val="NormalTok"/>
        </w:rPr>
        <w:t xml:space="preserve"> avail)</w:t>
      </w:r>
      <w:r>
        <w:br/>
      </w:r>
      <w:r>
        <w:br/>
      </w:r>
      <w:r>
        <w:rPr>
          <w:rStyle w:val="KeywordTok"/>
        </w:rPr>
        <w:t xml:space="preserve">def</w:t>
      </w:r>
      <w:r>
        <w:rPr>
          <w:rStyle w:val="NormalTok"/>
        </w:rPr>
        <w:t xml:space="preserve"> k_of_n(k, n, a):</w:t>
      </w:r>
      <w:r>
        <w:br/>
      </w:r>
      <w:r>
        <w:rPr>
          <w:rStyle w:val="NormalTok"/>
        </w:rPr>
        <w:t xml:space="preserve">    </w:t>
      </w:r>
      <w:r>
        <w:rPr>
          <w:rStyle w:val="CommentTok"/>
        </w:rPr>
        <w:t xml:space="preserve">"""At least k of n identical, independent components must be up."""</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(comb(n, i) </w:t>
      </w:r>
      <w:r>
        <w:rPr>
          <w:rStyle w:val="OperatorTok"/>
        </w:rPr>
        <w:t xml:space="preserve">*</w:t>
      </w:r>
      <w:r>
        <w:rPr>
          <w:rStyle w:val="NormalTok"/>
        </w:rPr>
        <w:t xml:space="preserve"> a</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(n </w:t>
      </w:r>
      <w:r>
        <w:rPr>
          <w:rStyle w:val="OperatorTok"/>
        </w:rPr>
        <w:t xml:space="preserve">-</w:t>
      </w:r>
      <w:r>
        <w:rPr>
          <w:rStyle w:val="NormalTok"/>
        </w:rPr>
        <w:t xml:space="preserve"> 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(k, n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KeywordTok"/>
        </w:rPr>
        <w:t xml:space="preserve">def</w:t>
      </w:r>
      <w:r>
        <w:rPr>
          <w:rStyle w:val="NormalTok"/>
        </w:rPr>
        <w:t xml:space="preserve"> downtime_per_year(a, hours_per_year</w:t>
      </w:r>
      <w:r>
        <w:rPr>
          <w:rStyle w:val="OperatorTok"/>
        </w:rPr>
        <w:t xml:space="preserve">=</w:t>
      </w:r>
      <w:r>
        <w:rPr>
          <w:rStyle w:val="DecValTok"/>
        </w:rPr>
        <w:t xml:space="preserve">365</w:t>
      </w:r>
      <w:r>
        <w:rPr>
          <w:rStyle w:val="NormalTok"/>
        </w:rPr>
        <w:t xml:space="preserve"> </w:t>
      </w:r>
      <w:r>
        <w:rPr>
          <w:rStyle w:val="OperatorTok"/>
        </w:rPr>
        <w:t xml:space="preserve">*</w:t>
      </w:r>
      <w:r>
        <w:rPr>
          <w:rStyle w:val="NormalTok"/>
        </w:rPr>
        <w:t xml:space="preserve"> </w:t>
      </w:r>
      <w:r>
        <w:rPr>
          <w:rStyle w:val="DecValTok"/>
        </w:rPr>
        <w:t xml:space="preserve">24</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a) </w:t>
      </w:r>
      <w:r>
        <w:rPr>
          <w:rStyle w:val="OperatorTok"/>
        </w:rPr>
        <w:t xml:space="preserve">*</w:t>
      </w:r>
      <w:r>
        <w:rPr>
          <w:rStyle w:val="NormalTok"/>
        </w:rPr>
        <w:t xml:space="preserve"> hours_per_year</w:t>
      </w:r>
      <w:r>
        <w:br/>
      </w:r>
      <w:r>
        <w:br/>
      </w:r>
      <w:r>
        <w:rPr>
          <w:rStyle w:val="NormalTok"/>
        </w:rPr>
        <w:t xml:space="preserve">web_tier </w:t>
      </w:r>
      <w:r>
        <w:rPr>
          <w:rStyle w:val="OperatorTok"/>
        </w:rPr>
        <w:t xml:space="preserve">=</w:t>
      </w:r>
      <w:r>
        <w:rPr>
          <w:rStyle w:val="NormalTok"/>
        </w:rPr>
        <w:t xml:space="preserve"> parallel(</w:t>
      </w:r>
      <w:r>
        <w:rPr>
          <w:rStyle w:val="FloatTok"/>
        </w:rPr>
        <w:t xml:space="preserve">0.99</w:t>
      </w:r>
      <w:r>
        <w:rPr>
          <w:rStyle w:val="NormalTok"/>
        </w:rPr>
        <w:t xml:space="preserve">, </w:t>
      </w:r>
      <w:r>
        <w:rPr>
          <w:rStyle w:val="FloatTok"/>
        </w:rPr>
        <w:t xml:space="preserve">0.99</w:t>
      </w:r>
      <w:r>
        <w:rPr>
          <w:rStyle w:val="NormalTok"/>
        </w:rPr>
        <w:t xml:space="preserve">)          </w:t>
      </w:r>
      <w:r>
        <w:rPr>
          <w:rStyle w:val="CommentTok"/>
        </w:rPr>
        <w:t xml:space="preserve"># two app nodes behind a load balancer</w:t>
      </w:r>
      <w:r>
        <w:br/>
      </w:r>
      <w:r>
        <w:rPr>
          <w:rStyle w:val="NormalTok"/>
        </w:rPr>
        <w:t xml:space="preserve">db_quorum </w:t>
      </w:r>
      <w:r>
        <w:rPr>
          <w:rStyle w:val="OperatorTok"/>
        </w:rPr>
        <w:t xml:space="preserve">=</w:t>
      </w:r>
      <w:r>
        <w:rPr>
          <w:rStyle w:val="NormalTok"/>
        </w:rPr>
        <w:t xml:space="preserve"> k_of_n(</w:t>
      </w:r>
      <w:r>
        <w:rPr>
          <w:rStyle w:val="DecValTok"/>
        </w:rPr>
        <w:t xml:space="preserve">2</w:t>
      </w:r>
      <w:r>
        <w:rPr>
          <w:rStyle w:val="NormalTok"/>
        </w:rPr>
        <w:t xml:space="preserve">, </w:t>
      </w:r>
      <w:r>
        <w:rPr>
          <w:rStyle w:val="DecValTok"/>
        </w:rPr>
        <w:t xml:space="preserve">3</w:t>
      </w:r>
      <w:r>
        <w:rPr>
          <w:rStyle w:val="NormalTok"/>
        </w:rPr>
        <w:t xml:space="preserve">, </w:t>
      </w:r>
      <w:r>
        <w:rPr>
          <w:rStyle w:val="FloatTok"/>
        </w:rPr>
        <w:t xml:space="preserve">0.99</w:t>
      </w:r>
      <w:r>
        <w:rPr>
          <w:rStyle w:val="NormalTok"/>
        </w:rPr>
        <w:t xml:space="preserve">)           </w:t>
      </w:r>
      <w:r>
        <w:rPr>
          <w:rStyle w:val="CommentTok"/>
        </w:rPr>
        <w:t xml:space="preserve"># 2-of-3 replicated database</w:t>
      </w:r>
      <w:r>
        <w:br/>
      </w:r>
      <w:r>
        <w:rPr>
          <w:rStyle w:val="NormalTok"/>
        </w:rPr>
        <w:t xml:space="preserve">system </w:t>
      </w:r>
      <w:r>
        <w:rPr>
          <w:rStyle w:val="OperatorTok"/>
        </w:rPr>
        <w:t xml:space="preserve">=</w:t>
      </w:r>
      <w:r>
        <w:rPr>
          <w:rStyle w:val="NormalTok"/>
        </w:rPr>
        <w:t xml:space="preserve"> series(</w:t>
      </w:r>
      <w:r>
        <w:rPr>
          <w:rStyle w:val="FloatTok"/>
        </w:rPr>
        <w:t xml:space="preserve">0.9999</w:t>
      </w:r>
      <w:r>
        <w:rPr>
          <w:rStyle w:val="NormalTok"/>
        </w:rPr>
        <w:t xml:space="preserve">, web_tier, db_quorum)   </w:t>
      </w:r>
      <w:r>
        <w:rPr>
          <w:rStyle w:val="CommentTok"/>
        </w:rPr>
        <w:t xml:space="preserve"># LB -&gt; web tier -&gt; DB</w:t>
      </w:r>
      <w:r>
        <w:br/>
      </w:r>
      <w:r>
        <w:br/>
      </w:r>
      <w:r>
        <w:rPr>
          <w:rStyle w:val="ControlFlowTok"/>
        </w:rPr>
        <w:t xml:space="preserve">for</w:t>
      </w:r>
      <w:r>
        <w:rPr>
          <w:rStyle w:val="NormalTok"/>
        </w:rPr>
        <w:t xml:space="preserve"> name, a </w:t>
      </w:r>
      <w:r>
        <w:rPr>
          <w:rStyle w:val="KeywordTok"/>
        </w:rPr>
        <w:t xml:space="preserve">in</w:t>
      </w:r>
      <w:r>
        <w:rPr>
          <w:rStyle w:val="NormalTok"/>
        </w:rPr>
        <w:t xml:space="preserve"> [(</w:t>
      </w:r>
      <w:r>
        <w:rPr>
          <w:rStyle w:val="StringTok"/>
        </w:rPr>
        <w:t xml:space="preserve">"web tier"</w:t>
      </w:r>
      <w:r>
        <w:rPr>
          <w:rStyle w:val="NormalTok"/>
        </w:rPr>
        <w:t xml:space="preserve">, web_tier), (</w:t>
      </w:r>
      <w:r>
        <w:rPr>
          <w:rStyle w:val="StringTok"/>
        </w:rPr>
        <w:t xml:space="preserve">"db 2-of-3"</w:t>
      </w:r>
      <w:r>
        <w:rPr>
          <w:rStyle w:val="NormalTok"/>
        </w:rPr>
        <w:t xml:space="preserve">, db_quorum), (</w:t>
      </w:r>
      <w:r>
        <w:rPr>
          <w:rStyle w:val="StringTok"/>
        </w:rPr>
        <w:t xml:space="preserve">"system"</w:t>
      </w:r>
      <w:r>
        <w:rPr>
          <w:rStyle w:val="NormalTok"/>
        </w:rPr>
        <w:t xml:space="preserve">, system)]:</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:10s}</w:t>
      </w:r>
      <w:r>
        <w:rPr>
          <w:rStyle w:val="SpecialStringTok"/>
        </w:rPr>
        <w:t xml:space="preserve"> A = </w:t>
      </w:r>
      <w:r>
        <w:rPr>
          <w:rStyle w:val="SpecialCharTok"/>
        </w:rPr>
        <w:t xml:space="preserve">{</w:t>
      </w:r>
      <w:r>
        <w:rPr>
          <w:rStyle w:val="NormalTok"/>
        </w:rPr>
        <w:t xml:space="preserve">a</w:t>
      </w:r>
      <w:r>
        <w:rPr>
          <w:rStyle w:val="SpecialCharTok"/>
        </w:rPr>
        <w:t xml:space="preserve">:.6f}</w:t>
      </w:r>
      <w:r>
        <w:rPr>
          <w:rStyle w:val="SpecialStringTok"/>
        </w:rPr>
        <w:t xml:space="preserve">  downtime = </w:t>
      </w:r>
      <w:r>
        <w:rPr>
          <w:rStyle w:val="SpecialCharTok"/>
        </w:rPr>
        <w:t xml:space="preserve">{</w:t>
      </w:r>
      <w:r>
        <w:rPr>
          <w:rStyle w:val="NormalTok"/>
        </w:rPr>
        <w:t xml:space="preserve">downtime_per_year(a)</w:t>
      </w:r>
      <w:r>
        <w:rPr>
          <w:rStyle w:val="SpecialCharTok"/>
        </w:rPr>
        <w:t xml:space="preserve">:6.2f}</w:t>
      </w:r>
      <w:r>
        <w:rPr>
          <w:rStyle w:val="SpecialStringTok"/>
        </w:rPr>
        <w:t xml:space="preserve"> h/year"</w:t>
      </w:r>
      <w:r>
        <w:rPr>
          <w:rStyle w:val="NormalTok"/>
        </w:rPr>
        <w:t xml:space="preserve">)</w:t>
      </w:r>
    </w:p>
    <w:p>
      <w:pPr>
        <w:pStyle w:val="FirstParagraph"/>
      </w:pPr>
      <w:r>
        <w:t xml:space="preserve">Output:</w:t>
      </w:r>
    </w:p>
    <w:p>
      <w:pPr>
        <w:pStyle w:val="SourceCode"/>
      </w:pPr>
      <w:r>
        <w:rPr>
          <w:rStyle w:val="VerbatimChar"/>
        </w:rPr>
        <w:t xml:space="preserve">web tier   A = 0.999900  downtime =   0.88 h/year</w:t>
      </w:r>
      <w:r>
        <w:br/>
      </w:r>
      <w:r>
        <w:rPr>
          <w:rStyle w:val="VerbatimChar"/>
        </w:rPr>
        <w:t xml:space="preserve">db 2-of-3  A = 0.999702  downtime =   2.61 h/year</w:t>
      </w:r>
      <w:r>
        <w:br/>
      </w:r>
      <w:r>
        <w:rPr>
          <w:rStyle w:val="VerbatimChar"/>
        </w:rPr>
        <w:t xml:space="preserve">system     A = 0.999502  downtime =   4.36 h/year</w:t>
      </w:r>
    </w:p>
    <w:p>
      <w:pPr>
        <w:pStyle w:val="FirstParagraph"/>
      </w:pPr>
      <w:r>
        <w:t xml:space="preserve">What to notice:</w:t>
      </w:r>
      <w:r>
        <w:t xml:space="preserve"> </w:t>
      </w:r>
      <w:r>
        <w:rPr>
          <w:rStyle w:val="VerbatimChar"/>
        </w:rPr>
        <w:t xml:space="preserve">series</w:t>
      </w:r>
      <w:r>
        <w:t xml:space="preserve">,</w:t>
      </w:r>
      <w:r>
        <w:t xml:space="preserve"> </w:t>
      </w:r>
      <w:r>
        <w:rPr>
          <w:rStyle w:val="VerbatimChar"/>
        </w:rPr>
        <w:t xml:space="preserve">parallel</w:t>
      </w:r>
      <w:r>
        <w:t xml:space="preserve"> </w:t>
      </w:r>
      <w:r>
        <w:t xml:space="preserve">and</w:t>
      </w:r>
      <w:r>
        <w:t xml:space="preserve"> </w:t>
      </w:r>
      <w:r>
        <w:rPr>
          <w:rStyle w:val="VerbatimChar"/>
        </w:rPr>
        <w:t xml:space="preserve">k_of_n</w:t>
      </w:r>
      <w:r>
        <w:t xml:space="preserve"> </w:t>
      </w:r>
      <w:r>
        <w:t xml:space="preserve">compose — the result of one can be fed into another to model any tree of components. Every function assumes independent failures, so the outputs are</w:t>
      </w:r>
      <w:r>
        <w:t xml:space="preserve"> </w:t>
      </w:r>
      <w:r>
        <w:rPr>
          <w:iCs/>
          <w:i/>
        </w:rPr>
        <w:t xml:space="preserve">upper bounds</w:t>
      </w:r>
      <w:r>
        <w:t xml:space="preserve"> </w:t>
      </w:r>
      <w:r>
        <w:t xml:space="preserve">on what a real system with shared dependencies achieves.</w:t>
      </w:r>
    </w:p>
    <w:p>
      <w:pPr>
        <w:pStyle w:val="CalloutWarning"/>
      </w:pPr>
      <w:r>
        <w:rPr>
          <w:bCs/>
          <w:b/>
        </w:rPr>
        <w:t xml:space="preserve">WARNING / TRADE-OFF</w:t>
      </w:r>
    </w:p>
    <w:p>
      <w:pPr>
        <w:pStyle w:val="CalloutWarning"/>
      </w:pPr>
      <w:r>
        <w:rPr>
          <w:bCs/>
          <w:b/>
        </w:rPr>
        <w:t xml:space="preserve">Warning — Redundancy arithmetic is only as good as its independence assumption.</w:t>
      </w:r>
      <w:r>
        <w:t xml:space="preserve"> </w:t>
      </w:r>
      <w:r>
        <w:t xml:space="preserve">Two app nodes deployed by the same bad configuration push fail together; three replicas on one power feed fail together. Also, parallel redundancy requires</w:t>
      </w:r>
      <w:r>
        <w:t xml:space="preserve"> </w:t>
      </w:r>
      <w:r>
        <w:rPr>
          <w:iCs/>
          <w:i/>
        </w:rPr>
        <w:t xml:space="preserve">failover to work</w:t>
      </w:r>
      <w:r>
        <w:t xml:space="preserve">: if detecting a failure and rerouting takes 30 s, each failure still costs 30 s of errors. Model failover time explicitly, and place replicas in separate failure domains (racks, zones, regions; §39.4).</w:t>
      </w:r>
    </w:p>
    <w:bookmarkEnd w:id="417"/>
    <w:bookmarkEnd w:id="418"/>
    <w:bookmarkStart w:id="424" w:name="reliability-mtbf-mttr-and-failure-rates"/>
    <w:p>
      <w:pPr>
        <w:pStyle w:val="Heading2"/>
      </w:pPr>
      <w:r>
        <w:t xml:space="preserve">4.15 Reliability: MTBF, MTTR and failure rates</w:t>
      </w:r>
    </w:p>
    <w:bookmarkStart w:id="423" w:name="definitions-1"/>
    <w:p>
      <w:pPr>
        <w:pStyle w:val="Heading3"/>
      </w:pPr>
      <w:r>
        <w:t xml:space="preserve">4.15.1 Definitions</w:t>
      </w:r>
    </w:p>
    <w:p>
      <w:pPr>
        <w:pStyle w:val="CalloutDefinition"/>
      </w:pPr>
      <w:r>
        <w:rPr>
          <w:bCs/>
          <w:b/>
        </w:rPr>
        <w:t xml:space="preserve">DEFINITION</w:t>
      </w:r>
    </w:p>
    <w:p>
      <w:pPr>
        <w:pStyle w:val="CalloutDefinition"/>
      </w:pPr>
      <w:r>
        <w:rPr>
          <w:bCs/>
          <w:b/>
        </w:rPr>
        <w:t xml:space="preserve">Definition — Reliability, MTBF, MTTR and failure rate.</w:t>
      </w:r>
      <w:r>
        <w:t xml:space="preserve"> </w:t>
      </w:r>
      <w:r>
        <w:rPr>
          <w:bCs/>
          <w:b/>
        </w:rPr>
        <w:t xml:space="preserve">Reliability</w:t>
      </w:r>
      <w:r>
        <w:t xml:space="preserve"> </w:t>
      </w:r>
      <m:oMath>
        <m:r>
          <m:t>R</m:t>
        </m:r>
        <m:d>
          <m:dPr>
            <m:begChr m:val="("/>
            <m:endChr m:val=")"/>
            <m:sepChr m:val=""/>
            <m:grow/>
          </m:dPr>
          <m:e>
            <m:r>
              <m:t>t</m:t>
            </m:r>
          </m:e>
        </m:d>
      </m:oMath>
      <w:r>
        <w:t xml:space="preserve"> </w:t>
      </w:r>
      <w:r>
        <w:t xml:space="preserve">is the probability that a component operates without failure for a period of length</w:t>
      </w:r>
      <w:r>
        <w:t xml:space="preserve"> </w:t>
      </w:r>
      <m:oMath>
        <m:r>
          <m:t>t</m:t>
        </m:r>
      </m:oMath>
      <w:r>
        <w:t xml:space="preserve">. The</w:t>
      </w:r>
      <w:r>
        <w:t xml:space="preserve"> </w:t>
      </w:r>
      <w:r>
        <w:rPr>
          <w:bCs/>
          <w:b/>
        </w:rPr>
        <w:t xml:space="preserve">mean time between failures (MTBF)</w:t>
      </w:r>
      <w:r>
        <w:t xml:space="preserve"> </w:t>
      </w:r>
      <w:r>
        <w:t xml:space="preserve">is the average operating time from the end of one repair to the next failure (for non-repairable parts the same quantity is called</w:t>
      </w:r>
      <w:r>
        <w:t xml:space="preserve"> </w:t>
      </w:r>
      <w:r>
        <w:rPr>
          <w:bCs/>
          <w:b/>
        </w:rPr>
        <w:t xml:space="preserve">MTTF</w:t>
      </w:r>
      <w:r>
        <w:t xml:space="preserve">, mean time to failure). The</w:t>
      </w:r>
      <w:r>
        <w:t xml:space="preserve"> </w:t>
      </w:r>
      <w:r>
        <w:rPr>
          <w:bCs/>
          <w:b/>
        </w:rPr>
        <w:t xml:space="preserve">mean time to repair (MTTR)</w:t>
      </w:r>
      <w:r>
        <w:t xml:space="preserve"> </w:t>
      </w:r>
      <w:r>
        <w:t xml:space="preserve">is the average time from failure to restored service, including detection, diagnosis and repair. The</w:t>
      </w:r>
      <w:r>
        <w:t xml:space="preserve"> </w:t>
      </w:r>
      <w:r>
        <w:rPr>
          <w:bCs/>
          <w:b/>
        </w:rPr>
        <w:t xml:space="preserve">failure rate</w:t>
      </w:r>
      <w:r>
        <w:t xml:space="preserve"> </w:t>
      </w:r>
      <m:oMath>
        <m:r>
          <m:t>λ</m:t>
        </m:r>
      </m:oMath>
      <w:r>
        <w:t xml:space="preserve"> </w:t>
      </w:r>
      <w:r>
        <w:t xml:space="preserve">is the average number of failures per unit of operating time.</w:t>
      </w:r>
    </w:p>
    <w:bookmarkStart w:id="422" w:name="first-principles-explanation-30"/>
    <w:p>
      <w:pPr>
        <w:pStyle w:val="Heading4"/>
      </w:pPr>
      <w:r>
        <w:t xml:space="preserve">First-principles explanation</w:t>
      </w:r>
    </w:p>
    <w:p>
      <w:pPr>
        <w:pStyle w:val="FirstParagraph"/>
      </w:pPr>
      <w:r>
        <w:t xml:space="preserve">Availability asks</w:t>
      </w:r>
      <w:r>
        <w:t xml:space="preserve"> </w:t>
      </w:r>
      <w:r>
        <w:t xml:space="preserve">“</w:t>
      </w:r>
      <w:r>
        <w:t xml:space="preserve">what fraction of the time is it working?</w:t>
      </w:r>
      <w:r>
        <w:t xml:space="preserve">”</w:t>
      </w:r>
      <w:r>
        <w:t xml:space="preserve">. Reliability asks</w:t>
      </w:r>
      <w:r>
        <w:t xml:space="preserve"> </w:t>
      </w:r>
      <w:r>
        <w:t xml:space="preserve">“</w:t>
      </w:r>
      <w:r>
        <w:t xml:space="preserve">how likely is it to keep working for the next hour (or day, or job)?</w:t>
      </w:r>
      <w:r>
        <w:t xml:space="preserve">”</w:t>
      </w:r>
      <w:r>
        <w:t xml:space="preserve">. A car that breaks down every week but is fixed in five minutes by the roadside is highly</w:t>
      </w:r>
      <w:r>
        <w:t xml:space="preserve"> </w:t>
      </w:r>
      <w:r>
        <w:rPr>
          <w:iCs/>
          <w:i/>
        </w:rPr>
        <w:t xml:space="preserve">available</w:t>
      </w:r>
      <w:r>
        <w:t xml:space="preserve"> </w:t>
      </w:r>
      <w:r>
        <w:t xml:space="preserve">and poorly</w:t>
      </w:r>
      <w:r>
        <w:t xml:space="preserve"> </w:t>
      </w:r>
      <w:r>
        <w:rPr>
          <w:iCs/>
          <w:i/>
        </w:rPr>
        <w:t xml:space="preserve">reliable</w:t>
      </w:r>
      <w:r>
        <w:t xml:space="preserve">; a car that never breaks down for a year but then spends a month in the garage is the opposite. Both properties matter, for different users (§4.18.2).</w:t>
      </w:r>
    </w:p>
    <w:p>
      <w:pPr>
        <w:pStyle w:val="CalloutFormula"/>
      </w:pPr>
      <w:r>
        <w:rPr>
          <w:bCs/>
          <w:b/>
        </w:rPr>
        <w:t xml:space="preserve">FORMULA</w:t>
      </w:r>
    </w:p>
    <w:p>
      <w:pPr>
        <w:pStyle w:val="CalloutFormula"/>
      </w:pPr>
      <w:r>
        <w:rPr>
          <w:bCs/>
          <w:b/>
        </w:rPr>
        <w:t xml:space="preserve">Reliability and availability from MTBF and MTTR</w:t>
      </w:r>
    </w:p>
    <w:p>
      <w:pPr>
        <w:pStyle w:val="CalloutFormula"/>
      </w:pPr>
      <m:oMathPara>
        <m:oMathParaPr>
          <m:jc m:val="center"/>
        </m:oMathParaPr>
        <m:oMath>
          <m:r>
            <m:t>λ</m:t>
          </m:r>
          <m:r>
            <m:rPr>
              <m:sty m:val="p"/>
            </m:rPr>
            <m:t>=</m:t>
          </m:r>
          <m:f>
            <m:fPr>
              <m:type m:val="bar"/>
            </m:fPr>
            <m:num>
              <m:r>
                <m:t>1</m:t>
              </m:r>
            </m:num>
            <m:den>
              <m:r>
                <m:rPr>
                  <m:nor/>
                  <m:sty m:val="p"/>
                </m:rPr>
                <m:t>MTBF</m:t>
              </m:r>
            </m:den>
          </m:f>
          <m:r>
            <m:t>  </m:t>
          </m:r>
          <m:r>
            <m:t>R</m:t>
          </m:r>
          <m:d>
            <m:dPr>
              <m:begChr m:val="("/>
              <m:endChr m:val=")"/>
              <m:sepChr m:val=""/>
              <m:grow/>
            </m:dPr>
            <m:e>
              <m:r>
                <m:t>t</m:t>
              </m:r>
            </m:e>
          </m:d>
          <m:r>
            <m:rPr>
              <m:sty m:val="p"/>
            </m:rPr>
            <m:t>=</m:t>
          </m:r>
          <m:sSup>
            <m:e>
              <m:r>
                <m:t>e</m:t>
              </m:r>
            </m:e>
            <m:sup>
              <m:r>
                <m:rPr>
                  <m:sty m:val="p"/>
                </m:rPr>
                <m:t>−</m:t>
              </m:r>
              <m:r>
                <m:t>λ</m:t>
              </m:r>
              <m:r>
                <m:t>t</m:t>
              </m:r>
            </m:sup>
          </m:sSup>
          <m:r>
            <m:t>  </m:t>
          </m:r>
          <m:r>
            <m:t>A</m:t>
          </m:r>
          <m:r>
            <m:rPr>
              <m:sty m:val="p"/>
            </m:rPr>
            <m:t>=</m:t>
          </m:r>
          <m:f>
            <m:fPr>
              <m:type m:val="bar"/>
            </m:fPr>
            <m:num>
              <m:r>
                <m:rPr>
                  <m:nor/>
                  <m:sty m:val="p"/>
                </m:rPr>
                <m:t>MTBF</m:t>
              </m:r>
            </m:num>
            <m:den>
              <m:r>
                <m:rPr>
                  <m:nor/>
                  <m:sty m:val="p"/>
                </m:rPr>
                <m:t>MTBF</m:t>
              </m:r>
              <m:r>
                <m:rPr>
                  <m:sty m:val="p"/>
                </m:rPr>
                <m:t>+</m:t>
              </m:r>
              <m:r>
                <m:rPr>
                  <m:nor/>
                  <m:sty m:val="p"/>
                </m:rPr>
                <m:t>MTTR</m:t>
              </m:r>
            </m:den>
          </m:f>
          <m:r>
            <m:t>  </m:t>
          </m:r>
          <m:r>
            <m:rPr>
              <m:nor/>
              <m:sty m:val="p"/>
            </m:rPr>
            <m:t>AFR</m:t>
          </m:r>
          <m:r>
            <m:rPr>
              <m:sty m:val="p"/>
            </m:rPr>
            <m:t>=</m:t>
          </m:r>
          <m:r>
            <m:t>1</m:t>
          </m:r>
          <m:r>
            <m:rPr>
              <m:sty m:val="p"/>
            </m:rPr>
            <m:t>−</m:t>
          </m:r>
          <m:sSup>
            <m:e>
              <m:r>
                <m:t>e</m:t>
              </m:r>
            </m:e>
            <m:sup>
              <m:r>
                <m:rPr>
                  <m:sty m:val="p"/>
                </m:rPr>
                <m:t>−</m:t>
              </m:r>
              <m:r>
                <m:t>8760</m:t>
              </m:r>
              <m:r>
                <m:rPr>
                  <m:sty m:val="p"/>
                </m:rPr>
                <m:t>/</m:t>
              </m:r>
              <m:r>
                <m:rPr>
                  <m:nor/>
                  <m:sty m:val="p"/>
                </m:rPr>
                <m:t>MTTF</m:t>
              </m:r>
            </m:sup>
          </m:sSup>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w:r>
              <w:t xml:space="preserve">MTBF</w:t>
            </w:r>
          </w:p>
        </w:tc>
        <w:tc>
          <w:tcPr/>
          <w:p>
            <w:pPr>
              <w:pStyle w:val="Compact"/>
              <w:jc w:val="left"/>
            </w:pPr>
            <w:r>
              <w:t xml:space="preserve">Mean operating time between failures</w:t>
            </w:r>
          </w:p>
        </w:tc>
        <w:tc>
          <w:tcPr/>
          <w:p>
            <w:pPr>
              <w:pStyle w:val="Compact"/>
              <w:jc w:val="left"/>
            </w:pPr>
            <w:r>
              <w:t xml:space="preserve">hours</w:t>
            </w:r>
          </w:p>
        </w:tc>
      </w:tr>
      <w:tr>
        <w:tc>
          <w:tcPr/>
          <w:p>
            <w:pPr>
              <w:pStyle w:val="Compact"/>
              <w:jc w:val="left"/>
            </w:pPr>
            <w:r>
              <w:t xml:space="preserve">MTTR</w:t>
            </w:r>
          </w:p>
        </w:tc>
        <w:tc>
          <w:tcPr/>
          <w:p>
            <w:pPr>
              <w:pStyle w:val="Compact"/>
              <w:jc w:val="left"/>
            </w:pPr>
            <w:r>
              <w:t xml:space="preserve">Mean time to repair (detect + diagnose + fix + restore)</w:t>
            </w:r>
          </w:p>
        </w:tc>
        <w:tc>
          <w:tcPr/>
          <w:p>
            <w:pPr>
              <w:pStyle w:val="Compact"/>
              <w:jc w:val="left"/>
            </w:pPr>
            <w:r>
              <w:t xml:space="preserve">hours</w:t>
            </w:r>
          </w:p>
        </w:tc>
      </w:tr>
      <w:tr>
        <w:tc>
          <w:tcPr/>
          <w:p>
            <w:pPr>
              <w:pStyle w:val="Compact"/>
              <w:jc w:val="left"/>
            </w:pPr>
            <w:r>
              <w:t xml:space="preserve">MTTF</w:t>
            </w:r>
          </w:p>
        </w:tc>
        <w:tc>
          <w:tcPr/>
          <w:p>
            <w:pPr>
              <w:pStyle w:val="Compact"/>
              <w:jc w:val="left"/>
            </w:pPr>
            <w:r>
              <w:t xml:space="preserve">Mean time to failure of a non-repairable part</w:t>
            </w:r>
          </w:p>
        </w:tc>
        <w:tc>
          <w:tcPr/>
          <w:p>
            <w:pPr>
              <w:pStyle w:val="Compact"/>
              <w:jc w:val="left"/>
            </w:pPr>
            <w:r>
              <w:t xml:space="preserve">hours</w:t>
            </w:r>
          </w:p>
        </w:tc>
      </w:tr>
      <w:tr>
        <w:tc>
          <w:tcPr/>
          <w:p>
            <w:pPr>
              <w:pStyle w:val="Compact"/>
              <w:jc w:val="left"/>
            </w:pPr>
            <m:oMath>
              <m:r>
                <m:t>λ</m:t>
              </m:r>
            </m:oMath>
          </w:p>
        </w:tc>
        <w:tc>
          <w:tcPr/>
          <w:p>
            <w:pPr>
              <w:pStyle w:val="Compact"/>
              <w:jc w:val="left"/>
            </w:pPr>
            <w:r>
              <w:t xml:space="preserve">Constant failure rate</w:t>
            </w:r>
          </w:p>
        </w:tc>
        <w:tc>
          <w:tcPr/>
          <w:p>
            <w:pPr>
              <w:pStyle w:val="Compact"/>
              <w:jc w:val="left"/>
            </w:pPr>
            <w:r>
              <w:t xml:space="preserve">failures/hour</w:t>
            </w:r>
          </w:p>
        </w:tc>
      </w:tr>
      <w:tr>
        <w:tc>
          <w:tcPr/>
          <w:p>
            <w:pPr>
              <w:pStyle w:val="Compact"/>
              <w:jc w:val="left"/>
            </w:pPr>
            <m:oMath>
              <m:r>
                <m:t>t</m:t>
              </m:r>
            </m:oMath>
          </w:p>
        </w:tc>
        <w:tc>
          <w:tcPr/>
          <w:p>
            <w:pPr>
              <w:pStyle w:val="Compact"/>
              <w:jc w:val="left"/>
            </w:pPr>
            <w:r>
              <w:t xml:space="preserve">Mission time: the period we need it to survive</w:t>
            </w:r>
          </w:p>
        </w:tc>
        <w:tc>
          <w:tcPr/>
          <w:p>
            <w:pPr>
              <w:pStyle w:val="Compact"/>
              <w:jc w:val="left"/>
            </w:pPr>
            <w:r>
              <w:t xml:space="preserve">hours</w:t>
            </w:r>
          </w:p>
        </w:tc>
      </w:tr>
      <w:tr>
        <w:tc>
          <w:tcPr/>
          <w:p>
            <w:pPr>
              <w:pStyle w:val="Compact"/>
              <w:jc w:val="left"/>
            </w:pPr>
            <m:oMath>
              <m:r>
                <m:t>R</m:t>
              </m:r>
              <m:d>
                <m:dPr>
                  <m:begChr m:val="("/>
                  <m:endChr m:val=")"/>
                  <m:sepChr m:val=""/>
                  <m:grow/>
                </m:dPr>
                <m:e>
                  <m:r>
                    <m:t>t</m:t>
                  </m:r>
                </m:e>
              </m:d>
            </m:oMath>
          </w:p>
        </w:tc>
        <w:tc>
          <w:tcPr/>
          <w:p>
            <w:pPr>
              <w:pStyle w:val="Compact"/>
              <w:jc w:val="left"/>
            </w:pPr>
            <w:r>
              <w:t xml:space="preserve">Probability of no failure during</w:t>
            </w:r>
            <w:r>
              <w:t xml:space="preserve"> </w:t>
            </w:r>
            <m:oMath>
              <m:r>
                <m:t>t</m:t>
              </m:r>
            </m:oMath>
          </w:p>
        </w:tc>
        <w:tc>
          <w:tcPr/>
          <w:p>
            <w:pPr>
              <w:pStyle w:val="Compact"/>
              <w:jc w:val="left"/>
            </w:pPr>
            <w:r>
              <w:t xml:space="preserve">dimensionless</w:t>
            </w:r>
          </w:p>
        </w:tc>
      </w:tr>
      <w:tr>
        <w:tc>
          <w:tcPr/>
          <w:p>
            <w:pPr>
              <w:pStyle w:val="Compact"/>
              <w:jc w:val="left"/>
            </w:pPr>
            <m:oMath>
              <m:r>
                <m:t>A</m:t>
              </m:r>
            </m:oMath>
          </w:p>
        </w:tc>
        <w:tc>
          <w:tcPr/>
          <w:p>
            <w:pPr>
              <w:pStyle w:val="Compact"/>
              <w:jc w:val="left"/>
            </w:pPr>
            <w:r>
              <w:t xml:space="preserve">Steady-state availability</w:t>
            </w:r>
          </w:p>
        </w:tc>
        <w:tc>
          <w:tcPr/>
          <w:p>
            <w:pPr>
              <w:pStyle w:val="Compact"/>
              <w:jc w:val="left"/>
            </w:pPr>
            <w:r>
              <w:t xml:space="preserve">dimensionless</w:t>
            </w:r>
          </w:p>
        </w:tc>
      </w:tr>
      <w:tr>
        <w:tc>
          <w:tcPr/>
          <w:p>
            <w:pPr>
              <w:pStyle w:val="Compact"/>
              <w:jc w:val="left"/>
            </w:pPr>
            <w:r>
              <w:t xml:space="preserve">AFR</w:t>
            </w:r>
          </w:p>
        </w:tc>
        <w:tc>
          <w:tcPr/>
          <w:p>
            <w:pPr>
              <w:pStyle w:val="Compact"/>
              <w:jc w:val="left"/>
            </w:pPr>
            <w:r>
              <w:t xml:space="preserve">Annualized failure rate: probability a part fails within a year (8,760 h)</w:t>
            </w:r>
          </w:p>
        </w:tc>
        <w:tc>
          <w:tcPr/>
          <w:p>
            <w:pPr>
              <w:pStyle w:val="Compact"/>
              <w:jc w:val="left"/>
            </w:pPr>
            <w:r>
              <w:t xml:space="preserve">dimensionless (often %)</w:t>
            </w:r>
          </w:p>
        </w:tc>
      </w:tr>
    </w:tbl>
    <w:p>
      <w:pPr>
        <w:pStyle w:val="BodyText"/>
      </w:pPr>
      <w:r>
        <w:rPr>
          <w:bCs/>
          <w:b/>
        </w:rPr>
        <w:t xml:space="preserve">Derivation.</w:t>
      </w:r>
      <w:r>
        <w:t xml:space="preserve"> </w:t>
      </w:r>
      <m:oMath>
        <m:r>
          <m:t>R</m:t>
        </m:r>
        <m:d>
          <m:dPr>
            <m:begChr m:val="("/>
            <m:endChr m:val=")"/>
            <m:sepChr m:val=""/>
            <m:grow/>
          </m:dPr>
          <m:e>
            <m:r>
              <m:t>t</m:t>
            </m:r>
          </m:e>
        </m:d>
        <m:r>
          <m:rPr>
            <m:sty m:val="p"/>
          </m:rPr>
          <m:t>=</m:t>
        </m:r>
        <m:sSup>
          <m:e>
            <m:r>
              <m:t>e</m:t>
            </m:r>
          </m:e>
          <m:sup>
            <m:r>
              <m:rPr>
                <m:sty m:val="p"/>
              </m:rPr>
              <m:t>−</m:t>
            </m:r>
            <m:r>
              <m:t>λ</m:t>
            </m:r>
            <m:r>
              <m:t>t</m:t>
            </m:r>
          </m:sup>
        </m:sSup>
      </m:oMath>
      <w:r>
        <w:t xml:space="preserve"> </w:t>
      </w:r>
      <w:r>
        <w:t xml:space="preserve">follows from assuming a</w:t>
      </w:r>
      <w:r>
        <w:t xml:space="preserve"> </w:t>
      </w:r>
      <w:r>
        <w:rPr>
          <w:iCs/>
          <w:i/>
        </w:rPr>
        <w:t xml:space="preserve">constant</w:t>
      </w:r>
      <w:r>
        <w:t xml:space="preserve"> </w:t>
      </w:r>
      <w:r>
        <w:t xml:space="preserve">failure rate: failures are random events with no memory of age, so the time to failure is exponentially distributed (§4.7.2) with mean</w:t>
      </w:r>
      <w:r>
        <w:t xml:space="preserve"> </w:t>
      </w:r>
      <m:oMath>
        <m:r>
          <m:t>1</m:t>
        </m:r>
        <m:r>
          <m:rPr>
            <m:sty m:val="p"/>
          </m:rPr>
          <m:t>/</m:t>
        </m:r>
        <m:r>
          <m:t>λ</m:t>
        </m:r>
        <m:r>
          <m:rPr>
            <m:sty m:val="p"/>
          </m:rPr>
          <m:t>=</m:t>
        </m:r>
        <m:r>
          <m:rPr>
            <m:nor/>
            <m:sty m:val="p"/>
          </m:rPr>
          <m:t>MTBF</m:t>
        </m:r>
      </m:oMath>
      <w:r>
        <w:t xml:space="preserve">. Availability is the long-run fraction of each up–down cycle spent up: MTBF out of MTBF + MTTR. The constant-rate assumption is a simplification: real hardware follows a</w:t>
      </w:r>
      <w:r>
        <w:t xml:space="preserve"> </w:t>
      </w:r>
      <w:r>
        <w:t xml:space="preserve">“</w:t>
      </w:r>
      <w:r>
        <w:t xml:space="preserve">bathtub curve</w:t>
      </w:r>
      <w:r>
        <w:t xml:space="preserve">”</w:t>
      </w:r>
      <w:r>
        <w:t xml:space="preserve"> </w:t>
      </w:r>
      <w:r>
        <w:t xml:space="preserve">with higher failure rates in early life (infant mortality) and at wear-out, and is roughly constant in between.</w:t>
      </w:r>
    </w:p>
    <w:p>
      <w:pPr>
        <w:pStyle w:val="BodyText"/>
      </w:pPr>
      <w:r>
        <w:rPr>
          <w:bCs/>
          <w:b/>
        </w:rPr>
        <w:t xml:space="preserve">Figure 4.7 — The up–down cycle of a repairable component.</w:t>
      </w:r>
    </w:p>
    <w:p>
      <w:pPr>
        <w:pStyle w:val="BodyText"/>
      </w:pPr>
      <w:r>
        <w:drawing>
          <wp:inline>
            <wp:extent cx="5334000" cy="3434652"/>
            <wp:effectExtent b="0" l="0" r="0" t="0"/>
            <wp:docPr descr="" title="" id="420" name="Picture"/>
            <a:graphic>
              <a:graphicData uri="http://schemas.openxmlformats.org/drawingml/2006/picture">
                <pic:pic>
                  <pic:nvPicPr>
                    <pic:cNvPr descr="/home/user/System-Design/build/.cache/diagrams/9b0c17360cc8.png" id="421" name="Picture"/>
                    <pic:cNvPicPr>
                      <a:picLocks noChangeArrowheads="1" noChangeAspect="1"/>
                    </pic:cNvPicPr>
                  </pic:nvPicPr>
                  <pic:blipFill>
                    <a:blip r:embed="rId419"/>
                    <a:stretch>
                      <a:fillRect/>
                    </a:stretch>
                  </pic:blipFill>
                  <pic:spPr bwMode="auto">
                    <a:xfrm>
                      <a:off x="0" y="0"/>
                      <a:ext cx="5334000" cy="3434652"/>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component alternates between two states. It stays</w:t>
      </w:r>
      <w:r>
        <w:t xml:space="preserve"> </w:t>
      </w:r>
      <w:r>
        <w:rPr>
          <w:rStyle w:val="VerbatimChar"/>
        </w:rPr>
        <w:t xml:space="preserve">Up</w:t>
      </w:r>
      <w:r>
        <w:t xml:space="preserve"> </w:t>
      </w:r>
      <w:r>
        <w:t xml:space="preserve">for an exponentially distributed time with mean MTBF, then moves to</w:t>
      </w:r>
      <w:r>
        <w:t xml:space="preserve"> </w:t>
      </w:r>
      <w:r>
        <w:rPr>
          <w:rStyle w:val="VerbatimChar"/>
        </w:rPr>
        <w:t xml:space="preserve">Down</w:t>
      </w:r>
      <w:r>
        <w:t xml:space="preserve">, where it stays for a repair time with mean MTTR. There is no data flow or protocol; the arrows are state transitions. Availability is the fraction of time spent in</w:t>
      </w:r>
      <w:r>
        <w:t xml:space="preserve"> </w:t>
      </w:r>
      <w:r>
        <w:rPr>
          <w:rStyle w:val="VerbatimChar"/>
        </w:rPr>
        <w:t xml:space="preserve">Up</w:t>
      </w:r>
      <w:r>
        <w:t xml:space="preserve">. The two levers are visible: make failures rarer (longer MTBF) or make repair faster (shorter MTTR). In distributed systems the second is usually cheaper — automatic failover turns an MTTR of hours into seconds.</w:t>
      </w:r>
    </w:p>
    <w:p>
      <w:pPr>
        <w:pStyle w:val="CalloutExample"/>
      </w:pPr>
      <w:r>
        <w:rPr>
          <w:bCs/>
          <w:b/>
        </w:rPr>
        <w:t xml:space="preserve">WORKED EXAMPLE</w:t>
      </w:r>
    </w:p>
    <w:p>
      <w:pPr>
        <w:pStyle w:val="CalloutExample"/>
      </w:pPr>
      <w:r>
        <w:rPr>
          <w:bCs/>
          <w:b/>
        </w:rPr>
        <w:t xml:space="preserve">Worked example — Two ways to get a nine.</w:t>
      </w:r>
      <w:r>
        <w:t xml:space="preserve"> </w:t>
      </w:r>
      <w:r>
        <w:t xml:space="preserve">A server has MTBF = 1,000 h and MTTR = 1 h.</w:t>
      </w:r>
    </w:p>
    <w:p>
      <w:pPr>
        <w:numPr>
          <w:ilvl w:val="0"/>
          <w:numId w:val="1120"/>
        </w:numPr>
        <w:pStyle w:val="Compact"/>
      </w:pPr>
      <m:oMath>
        <m:r>
          <m:t>A</m:t>
        </m:r>
        <m:r>
          <m:rPr>
            <m:sty m:val="p"/>
          </m:rPr>
          <m:t>=</m:t>
        </m:r>
        <m:r>
          <m:t>1000</m:t>
        </m:r>
        <m:r>
          <m:rPr>
            <m:sty m:val="p"/>
          </m:rPr>
          <m:t>/</m:t>
        </m:r>
        <m:d>
          <m:dPr>
            <m:begChr m:val="("/>
            <m:endChr m:val=")"/>
            <m:sepChr m:val=""/>
            <m:grow/>
          </m:dPr>
          <m:e>
            <m:r>
              <m:t>1000</m:t>
            </m:r>
            <m:r>
              <m:rPr>
                <m:sty m:val="p"/>
              </m:rPr>
              <m:t>+</m:t>
            </m:r>
            <m:r>
              <m:t>1</m:t>
            </m:r>
          </m:e>
        </m:d>
        <m:r>
          <m:rPr>
            <m:sty m:val="p"/>
          </m:rPr>
          <m:t>=</m:t>
        </m:r>
        <m:r>
          <m:t>0.99900</m:t>
        </m:r>
      </m:oMath>
      <w:r>
        <w:t xml:space="preserve"> </w:t>
      </w:r>
      <w:r>
        <w:t xml:space="preserve">(three nines).</w:t>
      </w:r>
    </w:p>
    <w:p>
      <w:pPr>
        <w:numPr>
          <w:ilvl w:val="0"/>
          <w:numId w:val="1120"/>
        </w:numPr>
        <w:pStyle w:val="Compact"/>
      </w:pPr>
      <w:r>
        <w:t xml:space="preserve">Option 1, double MTBF to 2,000 h (better hardware):</w:t>
      </w:r>
      <w:r>
        <w:t xml:space="preserve"> </w:t>
      </w:r>
      <m:oMath>
        <m:r>
          <m:t>A</m:t>
        </m:r>
        <m:r>
          <m:rPr>
            <m:sty m:val="p"/>
          </m:rPr>
          <m:t>=</m:t>
        </m:r>
        <m:r>
          <m:t>2000</m:t>
        </m:r>
        <m:r>
          <m:rPr>
            <m:sty m:val="p"/>
          </m:rPr>
          <m:t>/</m:t>
        </m:r>
        <m:r>
          <m:t>2001</m:t>
        </m:r>
        <m:r>
          <m:rPr>
            <m:sty m:val="p"/>
          </m:rPr>
          <m:t>=</m:t>
        </m:r>
        <m:r>
          <m:t>0.99950</m:t>
        </m:r>
      </m:oMath>
      <w:r>
        <w:t xml:space="preserve">.</w:t>
      </w:r>
    </w:p>
    <w:p>
      <w:pPr>
        <w:numPr>
          <w:ilvl w:val="0"/>
          <w:numId w:val="1120"/>
        </w:numPr>
        <w:pStyle w:val="Compact"/>
      </w:pPr>
      <w:r>
        <w:t xml:space="preserve">Option 2, cut MTTR to 6 min = 0.1 h (automated failover):</w:t>
      </w:r>
      <w:r>
        <w:t xml:space="preserve"> </w:t>
      </w:r>
      <m:oMath>
        <m:r>
          <m:t>A</m:t>
        </m:r>
        <m:r>
          <m:rPr>
            <m:sty m:val="p"/>
          </m:rPr>
          <m:t>=</m:t>
        </m:r>
        <m:r>
          <m:t>1000</m:t>
        </m:r>
        <m:r>
          <m:rPr>
            <m:sty m:val="p"/>
          </m:rPr>
          <m:t>/</m:t>
        </m:r>
        <m:r>
          <m:t>1000.1</m:t>
        </m:r>
        <m:r>
          <m:rPr>
            <m:sty m:val="p"/>
          </m:rPr>
          <m:t>=</m:t>
        </m:r>
        <m:r>
          <m:t>0.99990</m:t>
        </m:r>
      </m:oMath>
      <w:r>
        <w:t xml:space="preserve"> </w:t>
      </w:r>
      <w:r>
        <w:t xml:space="preserve">(four nines).</w:t>
      </w:r>
    </w:p>
    <w:p>
      <w:pPr>
        <w:numPr>
          <w:ilvl w:val="0"/>
          <w:numId w:val="1120"/>
        </w:numPr>
        <w:pStyle w:val="Compact"/>
      </w:pPr>
      <w:r>
        <w:t xml:space="preserve">Reliability over a 100-hour batch job:</w:t>
      </w:r>
      <w:r>
        <w:t xml:space="preserve"> </w:t>
      </w:r>
      <m:oMath>
        <m:r>
          <m:t>R</m:t>
        </m:r>
        <m:d>
          <m:dPr>
            <m:begChr m:val="("/>
            <m:endChr m:val=")"/>
            <m:sepChr m:val=""/>
            <m:grow/>
          </m:dPr>
          <m:e>
            <m:r>
              <m:t>100</m:t>
            </m:r>
          </m:e>
        </m:d>
        <m:r>
          <m:rPr>
            <m:sty m:val="p"/>
          </m:rPr>
          <m:t>=</m:t>
        </m:r>
        <m:sSup>
          <m:e>
            <m:r>
              <m:t>e</m:t>
            </m:r>
          </m:e>
          <m:sup>
            <m:r>
              <m:rPr>
                <m:sty m:val="p"/>
              </m:rPr>
              <m:t>−</m:t>
            </m:r>
            <m:r>
              <m:t>100</m:t>
            </m:r>
            <m:r>
              <m:rPr>
                <m:sty m:val="p"/>
              </m:rPr>
              <m:t>/</m:t>
            </m:r>
            <m:r>
              <m:t>1000</m:t>
            </m:r>
          </m:sup>
        </m:sSup>
        <m:r>
          <m:rPr>
            <m:sty m:val="p"/>
          </m:rPr>
          <m:t>=</m:t>
        </m:r>
        <m:sSup>
          <m:e>
            <m:r>
              <m:t>e</m:t>
            </m:r>
          </m:e>
          <m:sup>
            <m:r>
              <m:rPr>
                <m:sty m:val="p"/>
              </m:rPr>
              <m:t>−</m:t>
            </m:r>
            <m:r>
              <m:t>0.1</m:t>
            </m:r>
          </m:sup>
        </m:sSup>
        <m:r>
          <m:rPr>
            <m:sty m:val="p"/>
          </m:rPr>
          <m:t>=</m:t>
        </m:r>
        <m:r>
          <m:t>0.905</m:t>
        </m:r>
      </m:oMath>
      <w:r>
        <w:t xml:space="preserve">. Over one MTBF:</w:t>
      </w:r>
      <w:r>
        <w:t xml:space="preserve"> </w:t>
      </w:r>
      <m:oMath>
        <m:r>
          <m:t>R</m:t>
        </m:r>
        <m:d>
          <m:dPr>
            <m:begChr m:val="("/>
            <m:endChr m:val=")"/>
            <m:sepChr m:val=""/>
            <m:grow/>
          </m:dPr>
          <m:e>
            <m:r>
              <m:t>1000</m:t>
            </m:r>
          </m:e>
        </m:d>
        <m:r>
          <m:rPr>
            <m:sty m:val="p"/>
          </m:rPr>
          <m:t>=</m:t>
        </m:r>
        <m:sSup>
          <m:e>
            <m:r>
              <m:t>e</m:t>
            </m:r>
          </m:e>
          <m:sup>
            <m:r>
              <m:rPr>
                <m:sty m:val="p"/>
              </m:rPr>
              <m:t>−</m:t>
            </m:r>
            <m:r>
              <m:t>1</m:t>
            </m:r>
          </m:sup>
        </m:sSup>
        <m:r>
          <m:rPr>
            <m:sty m:val="p"/>
          </m:rPr>
          <m:t>=</m:t>
        </m:r>
        <m:r>
          <m:t>0.368</m:t>
        </m:r>
      </m:oMath>
      <w:r>
        <w:t xml:space="preserve">.</w:t>
      </w:r>
    </w:p>
    <w:p>
      <w:pPr>
        <w:pStyle w:val="CalloutExample"/>
      </w:pPr>
      <w:r>
        <w:rPr>
          <w:bCs/>
          <w:b/>
        </w:rPr>
        <w:t xml:space="preserve">Interpretation.</w:t>
      </w:r>
      <w:r>
        <w:t xml:space="preserve"> </w:t>
      </w:r>
      <w:r>
        <w:t xml:space="preserve">A 10× reduction in MTTR buys a full nine; a 2× increase in MTBF buys half of one. Note that only 37% of components survive to their MTBF:</w:t>
      </w:r>
      <w:r>
        <w:t xml:space="preserve"> </w:t>
      </w:r>
      <w:r>
        <w:t xml:space="preserve">“</w:t>
      </w:r>
      <w:r>
        <w:t xml:space="preserve">mean time</w:t>
      </w:r>
      <w:r>
        <w:t xml:space="preserve">”</w:t>
      </w:r>
      <w:r>
        <w:t xml:space="preserve"> </w:t>
      </w:r>
      <w:r>
        <w:t xml:space="preserve">is not</w:t>
      </w:r>
      <w:r>
        <w:t xml:space="preserve"> </w:t>
      </w:r>
      <w:r>
        <w:t xml:space="preserve">“</w:t>
      </w:r>
      <w:r>
        <w:t xml:space="preserve">typical time</w:t>
      </w:r>
      <w:r>
        <w:t xml:space="preserve">”</w:t>
      </w:r>
      <w:r>
        <w:t xml:space="preserve">.</w:t>
      </w:r>
      <w:r>
        <w:t xml:space="preserve"> </w:t>
      </w:r>
      <w:r>
        <w:rPr>
          <w:bCs/>
          <w:b/>
        </w:rPr>
        <w:t xml:space="preserve">Engineering implication.</w:t>
      </w:r>
      <w:r>
        <w:t xml:space="preserve"> </w:t>
      </w:r>
      <w:r>
        <w:t xml:space="preserve">Invest in detection and automated recovery (health checks, failover, restarts) before investing in more expensive hardware. For long jobs, reliability matters more than availability: a 100-hour job on this server fails about 10% of the time, so it needs checkpointing.</w:t>
      </w:r>
    </w:p>
    <w:p>
      <w:pPr>
        <w:pStyle w:val="CalloutExample"/>
      </w:pPr>
      <w:r>
        <w:rPr>
          <w:bCs/>
          <w:b/>
        </w:rPr>
        <w:t xml:space="preserve">WORKED EXAMPLE</w:t>
      </w:r>
    </w:p>
    <w:p>
      <w:pPr>
        <w:pStyle w:val="CalloutExample"/>
      </w:pPr>
      <w:r>
        <w:rPr>
          <w:bCs/>
          <w:b/>
        </w:rPr>
        <w:t xml:space="preserve">Worked example — Disk failures in a fleet.</w:t>
      </w:r>
      <w:r>
        <w:t xml:space="preserve"> </w:t>
      </w:r>
      <w:r>
        <w:t xml:space="preserve">A disk datasheet quotes MTTF = 1,000,000 h. The fleet has 10,000 disks.</w:t>
      </w:r>
    </w:p>
    <w:p>
      <w:pPr>
        <w:numPr>
          <w:ilvl w:val="0"/>
          <w:numId w:val="1121"/>
        </w:numPr>
        <w:pStyle w:val="Compact"/>
      </w:pPr>
      <m:oMath>
        <m:r>
          <m:rPr>
            <m:nor/>
            <m:sty m:val="p"/>
          </m:rPr>
          <m:t>AFR</m:t>
        </m:r>
        <m:r>
          <m:rPr>
            <m:sty m:val="p"/>
          </m:rPr>
          <m:t>=</m:t>
        </m:r>
        <m:r>
          <m:t>1</m:t>
        </m:r>
        <m:r>
          <m:rPr>
            <m:sty m:val="p"/>
          </m:rPr>
          <m:t>−</m:t>
        </m:r>
        <m:sSup>
          <m:e>
            <m:r>
              <m:t>e</m:t>
            </m:r>
          </m:e>
          <m:sup>
            <m:r>
              <m:rPr>
                <m:sty m:val="p"/>
              </m:rPr>
              <m:t>−</m:t>
            </m:r>
            <m:r>
              <m:t>8760</m:t>
            </m:r>
            <m:r>
              <m:rPr>
                <m:sty m:val="p"/>
              </m:rPr>
              <m:t>/</m:t>
            </m:r>
            <m:r>
              <m:t>1</m:t>
            </m:r>
            <m:r>
              <m:rPr>
                <m:sty m:val="p"/>
              </m:rPr>
              <m:t>,</m:t>
            </m:r>
            <m:r>
              <m:t>000</m:t>
            </m:r>
            <m:r>
              <m:rPr>
                <m:sty m:val="p"/>
              </m:rPr>
              <m:t>,</m:t>
            </m:r>
            <m:r>
              <m:t>000</m:t>
            </m:r>
          </m:sup>
        </m:sSup>
        <m:r>
          <m:rPr>
            <m:sty m:val="p"/>
          </m:rPr>
          <m:t>=</m:t>
        </m:r>
        <m:r>
          <m:t>1</m:t>
        </m:r>
        <m:r>
          <m:rPr>
            <m:sty m:val="p"/>
          </m:rPr>
          <m:t>−</m:t>
        </m:r>
        <m:sSup>
          <m:e>
            <m:r>
              <m:t>e</m:t>
            </m:r>
          </m:e>
          <m:sup>
            <m:r>
              <m:rPr>
                <m:sty m:val="p"/>
              </m:rPr>
              <m:t>−</m:t>
            </m:r>
            <m:r>
              <m:t>0.00876</m:t>
            </m:r>
          </m:sup>
        </m:sSup>
        <m:r>
          <m:rPr>
            <m:sty m:val="p"/>
          </m:rPr>
          <m:t>=</m:t>
        </m:r>
        <m:r>
          <m:t>0.0087</m:t>
        </m:r>
        <m:r>
          <m:rPr>
            <m:sty m:val="p"/>
          </m:rPr>
          <m:t>=</m:t>
        </m:r>
        <m:r>
          <m:t>0.87</m:t>
        </m:r>
        <m:r>
          <m:rPr>
            <m:sty m:val="p"/>
          </m:rPr>
          <m:t>%</m:t>
        </m:r>
      </m:oMath>
      <w:r>
        <w:t xml:space="preserve">.</w:t>
      </w:r>
    </w:p>
    <w:p>
      <w:pPr>
        <w:numPr>
          <w:ilvl w:val="0"/>
          <w:numId w:val="1121"/>
        </w:numPr>
        <w:pStyle w:val="Compact"/>
      </w:pPr>
      <w:r>
        <w:t xml:space="preserve">Expected failures per year:</w:t>
      </w:r>
      <w:r>
        <w:t xml:space="preserve"> </w:t>
      </w:r>
      <m:oMath>
        <m:r>
          <m:t>10</m:t>
        </m:r>
        <m:r>
          <m:rPr>
            <m:sty m:val="p"/>
          </m:rPr>
          <m:t>,</m:t>
        </m:r>
        <m:r>
          <m:t>000</m:t>
        </m:r>
        <m:r>
          <m:rPr>
            <m:sty m:val="p"/>
          </m:rPr>
          <m:t>×</m:t>
        </m:r>
        <m:r>
          <m:t>0.0087</m:t>
        </m:r>
        <m:r>
          <m:rPr>
            <m:sty m:val="p"/>
          </m:rPr>
          <m:t>=</m:t>
        </m:r>
        <m:r>
          <m:t>87</m:t>
        </m:r>
      </m:oMath>
      <w:r>
        <w:t xml:space="preserve">, about 1.7 per week.</w:t>
      </w:r>
    </w:p>
    <w:p>
      <w:pPr>
        <w:pStyle w:val="CalloutExample"/>
      </w:pPr>
      <w:r>
        <w:rPr>
          <w:bCs/>
          <w:b/>
        </w:rPr>
        <w:t xml:space="preserve">Interpretation.</w:t>
      </w:r>
      <w:r>
        <w:t xml:space="preserve"> </w:t>
      </w:r>
      <w:r>
        <w:t xml:space="preserve">A</w:t>
      </w:r>
      <w:r>
        <w:t xml:space="preserve"> </w:t>
      </w:r>
      <w:r>
        <w:t xml:space="preserve">“</w:t>
      </w:r>
      <w:r>
        <w:t xml:space="preserve">million-hour</w:t>
      </w:r>
      <w:r>
        <w:t xml:space="preserve">”</w:t>
      </w:r>
      <w:r>
        <w:t xml:space="preserve"> </w:t>
      </w:r>
      <w:r>
        <w:t xml:space="preserve">disk still fails nearly twice a week in a 10,000-disk fleet.</w:t>
      </w:r>
      <w:r>
        <w:t xml:space="preserve"> </w:t>
      </w:r>
      <w:r>
        <w:rPr>
          <w:bCs/>
          <w:b/>
        </w:rPr>
        <w:t xml:space="preserve">Engineering implication.</w:t>
      </w:r>
      <w:r>
        <w:t xml:space="preserve"> </w:t>
      </w:r>
      <w:r>
        <w:t xml:space="preserve">Field studies have found real-world replacement rates substantially above datasheet AFRs — Schroeder and Gibson report annual replacement rates typically exceeding 1% and commonly 2–4% across the large populations they studied [Schroeder and Gibson 2007]. Plan with measured fleet data, and use a pessimistic AFR (for example 2–4%) when you have none.</w:t>
      </w:r>
    </w:p>
    <w:bookmarkEnd w:id="422"/>
    <w:bookmarkEnd w:id="423"/>
    <w:bookmarkEnd w:id="424"/>
    <w:bookmarkStart w:id="429" w:name="durability-and-replication"/>
    <w:p>
      <w:pPr>
        <w:pStyle w:val="Heading2"/>
      </w:pPr>
      <w:r>
        <w:t xml:space="preserve">4.16 Durability and replication</w:t>
      </w:r>
    </w:p>
    <w:bookmarkStart w:id="428" w:name="durability-as-a-probability"/>
    <w:p>
      <w:pPr>
        <w:pStyle w:val="Heading3"/>
      </w:pPr>
      <w:r>
        <w:t xml:space="preserve">4.16.1 Durability as a probability</w:t>
      </w:r>
    </w:p>
    <w:p>
      <w:pPr>
        <w:pStyle w:val="CalloutDefinition"/>
      </w:pPr>
      <w:r>
        <w:rPr>
          <w:bCs/>
          <w:b/>
        </w:rPr>
        <w:t xml:space="preserve">DEFINITION</w:t>
      </w:r>
    </w:p>
    <w:p>
      <w:pPr>
        <w:pStyle w:val="CalloutDefinition"/>
      </w:pPr>
      <w:r>
        <w:rPr>
          <w:bCs/>
          <w:b/>
        </w:rPr>
        <w:t xml:space="preserve">Definition — Durability.</w:t>
      </w:r>
      <w:r>
        <w:t xml:space="preserve"> </w:t>
      </w:r>
      <w:r>
        <w:t xml:space="preserve">The probability that data, once acknowledged as written, is not lost over a given period (usually a year). It is quoted in nines like availability:</w:t>
      </w:r>
      <w:r>
        <w:t xml:space="preserve"> </w:t>
      </w:r>
      <w:r>
        <w:t xml:space="preserve">“</w:t>
      </w:r>
      <w:r>
        <w:t xml:space="preserve">eleven nines of durability</w:t>
      </w:r>
      <w:r>
        <w:t xml:space="preserve">”</w:t>
      </w:r>
      <w:r>
        <w:t xml:space="preserve"> </w:t>
      </w:r>
      <w:r>
        <w:t xml:space="preserve">means an annual loss probability of</w:t>
      </w:r>
      <w:r>
        <w:t xml:space="preserve"> </w:t>
      </w:r>
      <m:oMath>
        <m:sSup>
          <m:e>
            <m:r>
              <m:t>10</m:t>
            </m:r>
          </m:e>
          <m:sup>
            <m:r>
              <m:rPr>
                <m:sty m:val="p"/>
              </m:rPr>
              <m:t>−</m:t>
            </m:r>
            <m:r>
              <m:t>11</m:t>
            </m:r>
          </m:sup>
        </m:sSup>
      </m:oMath>
      <w:r>
        <w:t xml:space="preserve"> </w:t>
      </w:r>
      <w:r>
        <w:t xml:space="preserve">per object.</w:t>
      </w:r>
    </w:p>
    <w:p>
      <w:pPr>
        <w:pStyle w:val="BodyText"/>
      </w:pPr>
      <w:r>
        <w:t xml:space="preserve">Durability and availability are different: a storage system can be unavailable for an hour (you cannot read your data) without losing anything, and it can be available while silently having lost an object. Data is lost when</w:t>
      </w:r>
      <w:r>
        <w:t xml:space="preserve"> </w:t>
      </w:r>
      <w:r>
        <w:rPr>
          <w:iCs/>
          <w:i/>
        </w:rPr>
        <w:t xml:space="preserve">every</w:t>
      </w:r>
      <w:r>
        <w:t xml:space="preserve"> </w:t>
      </w:r>
      <w:r>
        <w:t xml:space="preserve">copy is destroyed before the system notices and repairs the first loss. Durability is therefore a race between failure and repair.</w:t>
      </w:r>
    </w:p>
    <w:p>
      <w:pPr>
        <w:pStyle w:val="BodyText"/>
      </w:pPr>
      <w:r>
        <w:rPr>
          <w:bCs/>
          <w:b/>
        </w:rPr>
        <w:t xml:space="preserve">Figure 4.8 — The replica-loss race for three-way replication.</w:t>
      </w:r>
    </w:p>
    <w:p>
      <w:pPr>
        <w:pStyle w:val="BodyText"/>
      </w:pPr>
      <w:r>
        <w:drawing>
          <wp:inline>
            <wp:extent cx="5334000" cy="7662707"/>
            <wp:effectExtent b="0" l="0" r="0" t="0"/>
            <wp:docPr descr="" title="" id="426" name="Picture"/>
            <a:graphic>
              <a:graphicData uri="http://schemas.openxmlformats.org/drawingml/2006/picture">
                <pic:pic>
                  <pic:nvPicPr>
                    <pic:cNvPr descr="/home/user/System-Design/build/.cache/diagrams/479ce11a1fa2.png" id="427" name="Picture"/>
                    <pic:cNvPicPr>
                      <a:picLocks noChangeArrowheads="1" noChangeAspect="1"/>
                    </pic:cNvPicPr>
                  </pic:nvPicPr>
                  <pic:blipFill>
                    <a:blip r:embed="rId425"/>
                    <a:stretch>
                      <a:fillRect/>
                    </a:stretch>
                  </pic:blipFill>
                  <pic:spPr bwMode="auto">
                    <a:xfrm>
                      <a:off x="0" y="0"/>
                      <a:ext cx="5334000" cy="7662707"/>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States count the surviving copies of one piece of data. Each copy fails independently at rate</w:t>
      </w:r>
      <w:r>
        <w:t xml:space="preserve"> </w:t>
      </w:r>
      <m:oMath>
        <m:r>
          <m:t>λ</m:t>
        </m:r>
      </m:oMath>
      <w:r>
        <w:t xml:space="preserve">, so the rate of leaving a state is (copies) ×</w:t>
      </w:r>
      <w:r>
        <w:t xml:space="preserve"> </w:t>
      </w:r>
      <m:oMath>
        <m:r>
          <m:t>λ</m:t>
        </m:r>
      </m:oMath>
      <w:r>
        <w:t xml:space="preserve">. A failed copy is re-created from a survivor in an average repair time</w:t>
      </w:r>
      <w:r>
        <w:t xml:space="preserve"> </w:t>
      </w:r>
      <m:oMath>
        <m:r>
          <m:t>T</m:t>
        </m:r>
      </m:oMath>
      <w:r>
        <w:t xml:space="preserve">, which is dominated by detection time and by copy bandwidth (§4.5.1).</w:t>
      </w:r>
      <w:r>
        <w:t xml:space="preserve"> </w:t>
      </w:r>
      <w:r>
        <w:rPr>
          <w:rStyle w:val="VerbatimChar"/>
        </w:rPr>
        <w:t xml:space="preserve">Lost</w:t>
      </w:r>
      <w:r>
        <w:t xml:space="preserve"> </w:t>
      </w:r>
      <w:r>
        <w:t xml:space="preserve">is absorbing: there is no way back. Data is lost only if two more failures occur while the group is still degraded. The failure point is a long repair window; the scaling lever is parallel re-replication, which shrinks</w:t>
      </w:r>
      <w:r>
        <w:t xml:space="preserve"> </w:t>
      </w:r>
      <m:oMath>
        <m:r>
          <m:t>T</m:t>
        </m:r>
      </m:oMath>
      <w:r>
        <w:t xml:space="preserve">.</w:t>
      </w:r>
    </w:p>
    <w:p>
      <w:pPr>
        <w:pStyle w:val="CalloutFormula"/>
      </w:pPr>
      <w:r>
        <w:rPr>
          <w:bCs/>
          <w:b/>
        </w:rPr>
        <w:t xml:space="preserve">FORMULA</w:t>
      </w:r>
    </w:p>
    <w:p>
      <w:pPr>
        <w:pStyle w:val="CalloutFormula"/>
      </w:pPr>
      <w:r>
        <w:rPr>
          <w:bCs/>
          <w:b/>
        </w:rPr>
        <w:t xml:space="preserve">Approximate annual probability of losing an</w:t>
      </w:r>
      <w:r>
        <w:rPr>
          <w:bCs/>
          <w:b/>
        </w:rPr>
        <w:t xml:space="preserve"> </w:t>
      </w:r>
      <m:oMath>
        <m:r>
          <m:t>n</m:t>
        </m:r>
      </m:oMath>
      <w:r>
        <w:rPr>
          <w:bCs/>
          <w:b/>
        </w:rPr>
        <w:t xml:space="preserve">-way replicated item</w:t>
      </w:r>
    </w:p>
    <w:p>
      <w:pPr>
        <w:pStyle w:val="CalloutFormula"/>
      </w:pPr>
      <m:oMathPara>
        <m:oMathParaPr>
          <m:jc m:val="center"/>
        </m:oMathParaPr>
        <m:oMath>
          <m:sSub>
            <m:e>
              <m:r>
                <m:t>P</m:t>
              </m:r>
            </m:e>
            <m:sub>
              <m:r>
                <m:rPr>
                  <m:nor/>
                  <m:sty m:val="p"/>
                </m:rPr>
                <m:t>loss/yr</m:t>
              </m:r>
            </m:sub>
          </m:sSub>
          <m:r>
            <m:rPr>
              <m:sty m:val="p"/>
            </m:rPr>
            <m:t>≈</m:t>
          </m:r>
          <m:r>
            <m:t>n</m:t>
          </m:r>
          <m:r>
            <m:rPr>
              <m:sty m:val="p"/>
            </m:rPr>
            <m:t>!</m:t>
          </m:r>
          <m:r>
            <m:t> </m:t>
          </m:r>
          <m:sSup>
            <m:e>
              <m:r>
                <m:t>λ</m:t>
              </m:r>
            </m:e>
            <m:sup>
              <m:r>
                <m:t>n</m:t>
              </m:r>
            </m:sup>
          </m:sSup>
          <m:r>
            <m:t> </m:t>
          </m:r>
          <m:sSup>
            <m:e>
              <m:r>
                <m:t>T</m:t>
              </m:r>
            </m:e>
            <m:sup>
              <m:r>
                <m:t> </m:t>
              </m:r>
              <m:r>
                <m:t>n</m:t>
              </m:r>
              <m:r>
                <m:rPr>
                  <m:sty m:val="p"/>
                </m:rPr>
                <m:t>−</m:t>
              </m:r>
              <m:r>
                <m:t>1</m:t>
              </m:r>
            </m:sup>
          </m:sSup>
          <m:r>
            <m:rPr>
              <m:sty m:val="p"/>
            </m:rPr>
            <m:t>×</m:t>
          </m:r>
          <m:r>
            <m:t>H</m:t>
          </m:r>
          <m:r>
            <m:t>  </m:t>
          </m:r>
          <m:r>
            <m:rPr>
              <m:nor/>
              <m:sty m:val="p"/>
            </m:rPr>
            <m:t>valid when </m:t>
          </m:r>
          <m:r>
            <m:t>λ</m:t>
          </m:r>
          <m:r>
            <m:t>T</m:t>
          </m:r>
          <m:r>
            <m:rPr>
              <m:sty m:val="p"/>
            </m:rPr>
            <m:t>≪</m:t>
          </m:r>
          <m:r>
            <m:t>1</m:t>
          </m:r>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n</m:t>
              </m:r>
            </m:oMath>
          </w:p>
        </w:tc>
        <w:tc>
          <w:tcPr/>
          <w:p>
            <w:pPr>
              <w:pStyle w:val="Compact"/>
              <w:jc w:val="left"/>
            </w:pPr>
            <w:r>
              <w:t xml:space="preserve">Number of replicas</w:t>
            </w:r>
          </w:p>
        </w:tc>
        <w:tc>
          <w:tcPr/>
          <w:p>
            <w:pPr>
              <w:pStyle w:val="Compact"/>
              <w:jc w:val="left"/>
            </w:pPr>
            <w:r>
              <w:t xml:space="preserve">count</w:t>
            </w:r>
          </w:p>
        </w:tc>
      </w:tr>
      <w:tr>
        <w:tc>
          <w:tcPr/>
          <w:p>
            <w:pPr>
              <w:pStyle w:val="Compact"/>
              <w:jc w:val="left"/>
            </w:pPr>
            <m:oMath>
              <m:r>
                <m:t>λ</m:t>
              </m:r>
            </m:oMath>
          </w:p>
        </w:tc>
        <w:tc>
          <w:tcPr/>
          <w:p>
            <w:pPr>
              <w:pStyle w:val="Compact"/>
              <w:jc w:val="left"/>
            </w:pPr>
            <w:r>
              <w:t xml:space="preserve">Per-replica failure rate (AFR / 8,760 for small AFR)</w:t>
            </w:r>
          </w:p>
        </w:tc>
        <w:tc>
          <w:tcPr/>
          <w:p>
            <w:pPr>
              <w:pStyle w:val="Compact"/>
              <w:jc w:val="left"/>
            </w:pPr>
            <w:r>
              <w:t xml:space="preserve">failures/hour</w:t>
            </w:r>
          </w:p>
        </w:tc>
      </w:tr>
      <w:tr>
        <w:tc>
          <w:tcPr/>
          <w:p>
            <w:pPr>
              <w:pStyle w:val="Compact"/>
              <w:jc w:val="left"/>
            </w:pPr>
            <m:oMath>
              <m:r>
                <m:t>T</m:t>
              </m:r>
            </m:oMath>
          </w:p>
        </w:tc>
        <w:tc>
          <w:tcPr/>
          <w:p>
            <w:pPr>
              <w:pStyle w:val="Compact"/>
              <w:jc w:val="left"/>
            </w:pPr>
            <w:r>
              <w:t xml:space="preserve">Mean time to detect and re-replicate a lost copy</w:t>
            </w:r>
          </w:p>
        </w:tc>
        <w:tc>
          <w:tcPr/>
          <w:p>
            <w:pPr>
              <w:pStyle w:val="Compact"/>
              <w:jc w:val="left"/>
            </w:pPr>
            <w:r>
              <w:t xml:space="preserve">hours</w:t>
            </w:r>
          </w:p>
        </w:tc>
      </w:tr>
      <w:tr>
        <w:tc>
          <w:tcPr/>
          <w:p>
            <w:pPr>
              <w:pStyle w:val="Compact"/>
              <w:jc w:val="left"/>
            </w:pPr>
            <m:oMath>
              <m:r>
                <m:t>H</m:t>
              </m:r>
            </m:oMath>
          </w:p>
        </w:tc>
        <w:tc>
          <w:tcPr/>
          <w:p>
            <w:pPr>
              <w:pStyle w:val="Compact"/>
              <w:jc w:val="left"/>
            </w:pPr>
            <w:r>
              <w:t xml:space="preserve">Hours per year (8,760)</w:t>
            </w:r>
          </w:p>
        </w:tc>
        <w:tc>
          <w:tcPr/>
          <w:p>
            <w:pPr>
              <w:pStyle w:val="Compact"/>
              <w:jc w:val="left"/>
            </w:pPr>
            <w:r>
              <w:t xml:space="preserve">hours/year</w:t>
            </w:r>
          </w:p>
        </w:tc>
      </w:tr>
      <w:tr>
        <w:tc>
          <w:tcPr/>
          <w:p>
            <w:pPr>
              <w:pStyle w:val="Compact"/>
              <w:jc w:val="left"/>
            </w:pPr>
            <m:oMath>
              <m:sSub>
                <m:e>
                  <m:r>
                    <m:t>P</m:t>
                  </m:r>
                </m:e>
                <m:sub>
                  <m:r>
                    <m:rPr>
                      <m:nor/>
                      <m:sty m:val="p"/>
                    </m:rPr>
                    <m:t>loss/yr</m:t>
                  </m:r>
                </m:sub>
              </m:sSub>
            </m:oMath>
          </w:p>
        </w:tc>
        <w:tc>
          <w:tcPr/>
          <w:p>
            <w:pPr>
              <w:pStyle w:val="Compact"/>
              <w:jc w:val="left"/>
            </w:pPr>
            <w:r>
              <w:t xml:space="preserve">Annual probability that all</w:t>
            </w:r>
            <w:r>
              <w:t xml:space="preserve"> </w:t>
            </w:r>
            <m:oMath>
              <m:r>
                <m:t>n</m:t>
              </m:r>
            </m:oMath>
            <w:r>
              <w:t xml:space="preserve"> </w:t>
            </w:r>
            <w:r>
              <w:t xml:space="preserve">replicas are lost</w:t>
            </w:r>
          </w:p>
        </w:tc>
        <w:tc>
          <w:tcPr/>
          <w:p>
            <w:pPr>
              <w:pStyle w:val="Compact"/>
              <w:jc w:val="left"/>
            </w:pPr>
            <w:r>
              <w:t xml:space="preserve">dimensionless</w:t>
            </w:r>
          </w:p>
        </w:tc>
      </w:tr>
    </w:tbl>
    <w:p>
      <w:pPr>
        <w:pStyle w:val="BodyText"/>
      </w:pPr>
      <w:r>
        <w:rPr>
          <w:bCs/>
          <w:b/>
        </w:rPr>
        <w:t xml:space="preserve">Derivation (three replicas).</w:t>
      </w:r>
      <w:r>
        <w:t xml:space="preserve"> </w:t>
      </w:r>
      <w:r>
        <w:t xml:space="preserve">First failures in the group occur at rate</w:t>
      </w:r>
      <w:r>
        <w:t xml:space="preserve"> </w:t>
      </w:r>
      <m:oMath>
        <m:r>
          <m:t>3</m:t>
        </m:r>
        <m:r>
          <m:t>λ</m:t>
        </m:r>
      </m:oMath>
      <w:r>
        <w:t xml:space="preserve">. Given a first failure, one of the two survivors fails before repair with probability about</w:t>
      </w:r>
      <w:r>
        <w:t xml:space="preserve"> </w:t>
      </w:r>
      <m:oMath>
        <m:r>
          <m:t>2</m:t>
        </m:r>
        <m:r>
          <m:t>λ</m:t>
        </m:r>
        <m:r>
          <m:t>T</m:t>
        </m:r>
      </m:oMath>
      <w:r>
        <w:t xml:space="preserve">, and then the last survivor fails before</w:t>
      </w:r>
      <w:r>
        <w:t xml:space="preserve"> </w:t>
      </w:r>
      <w:r>
        <w:rPr>
          <w:iCs/>
          <w:i/>
        </w:rPr>
        <w:t xml:space="preserve">its</w:t>
      </w:r>
      <w:r>
        <w:t xml:space="preserve"> </w:t>
      </w:r>
      <w:r>
        <w:t xml:space="preserve">repair completes with probability about</w:t>
      </w:r>
      <w:r>
        <w:t xml:space="preserve"> </w:t>
      </w:r>
      <m:oMath>
        <m:r>
          <m:t>λ</m:t>
        </m:r>
        <m:r>
          <m:t>T</m:t>
        </m:r>
      </m:oMath>
      <w:r>
        <w:t xml:space="preserve">. Multiply: loss rate</w:t>
      </w:r>
      <w:r>
        <w:t xml:space="preserve"> </w:t>
      </w:r>
      <m:oMath>
        <m:r>
          <m:rPr>
            <m:sty m:val="p"/>
          </m:rPr>
          <m:t>≈</m:t>
        </m:r>
        <m:r>
          <m:t>3</m:t>
        </m:r>
        <m:r>
          <m:t>λ</m:t>
        </m:r>
        <m:r>
          <m:rPr>
            <m:sty m:val="p"/>
          </m:rPr>
          <m:t>×</m:t>
        </m:r>
        <m:r>
          <m:t>2</m:t>
        </m:r>
        <m:r>
          <m:t>λ</m:t>
        </m:r>
        <m:r>
          <m:t>T</m:t>
        </m:r>
        <m:r>
          <m:rPr>
            <m:sty m:val="p"/>
          </m:rPr>
          <m:t>×</m:t>
        </m:r>
        <m:r>
          <m:t>λ</m:t>
        </m:r>
        <m:r>
          <m:t>T</m:t>
        </m:r>
        <m:r>
          <m:rPr>
            <m:sty m:val="p"/>
          </m:rPr>
          <m:t>=</m:t>
        </m:r>
        <m:r>
          <m:t>6</m:t>
        </m:r>
        <m:sSup>
          <m:e>
            <m:r>
              <m:t>λ</m:t>
            </m:r>
          </m:e>
          <m:sup>
            <m:r>
              <m:t>3</m:t>
            </m:r>
          </m:sup>
        </m:sSup>
        <m:sSup>
          <m:e>
            <m:r>
              <m:t>T</m:t>
            </m:r>
          </m:e>
          <m:sup>
            <m:r>
              <m:t>2</m:t>
            </m:r>
          </m:sup>
        </m:sSup>
      </m:oMath>
      <w:r>
        <w:t xml:space="preserve"> </w:t>
      </w:r>
      <w:r>
        <w:t xml:space="preserve">per hour, and multiply by 8,760 for a year. The same chain for</w:t>
      </w:r>
      <w:r>
        <w:t xml:space="preserve"> </w:t>
      </w:r>
      <m:oMath>
        <m:r>
          <m:t>n</m:t>
        </m:r>
      </m:oMath>
      <w:r>
        <w:t xml:space="preserve"> </w:t>
      </w:r>
      <w:r>
        <w:t xml:space="preserve">replicas gives</w:t>
      </w:r>
      <w:r>
        <w:t xml:space="preserve"> </w:t>
      </w:r>
      <m:oMath>
        <m:r>
          <m:t>n</m:t>
        </m:r>
        <m:r>
          <m:rPr>
            <m:sty m:val="p"/>
          </m:rPr>
          <m:t>!</m:t>
        </m:r>
        <m:r>
          <m:t> </m:t>
        </m:r>
        <m:sSup>
          <m:e>
            <m:r>
              <m:t>λ</m:t>
            </m:r>
          </m:e>
          <m:sup>
            <m:r>
              <m:t>n</m:t>
            </m:r>
          </m:sup>
        </m:sSup>
        <m:sSup>
          <m:e>
            <m:r>
              <m:t>T</m:t>
            </m:r>
          </m:e>
          <m:sup>
            <m:r>
              <m:t>n</m:t>
            </m:r>
            <m:r>
              <m:rPr>
                <m:sty m:val="p"/>
              </m:rPr>
              <m:t>−</m:t>
            </m:r>
            <m:r>
              <m:t>1</m:t>
            </m:r>
          </m:sup>
        </m:sSup>
      </m:oMath>
      <w:r>
        <w:t xml:space="preserve">. This is the standard approximation from a Markov model with one repair at a time and independent failures.</w:t>
      </w:r>
    </w:p>
    <w:p>
      <w:pPr>
        <w:pStyle w:val="CalloutExample"/>
      </w:pPr>
      <w:r>
        <w:rPr>
          <w:bCs/>
          <w:b/>
        </w:rPr>
        <w:t xml:space="preserve">WORKED EXAMPLE</w:t>
      </w:r>
    </w:p>
    <w:p>
      <w:pPr>
        <w:pStyle w:val="CalloutExample"/>
      </w:pPr>
      <w:r>
        <w:rPr>
          <w:bCs/>
          <w:b/>
        </w:rPr>
        <w:t xml:space="preserve">Worked example — How many replicas, and how fast must repair be?</w:t>
      </w:r>
      <w:r>
        <w:t xml:space="preserve"> </w:t>
      </w:r>
      <w:r>
        <w:t xml:space="preserve">Disks have AFR = 2%, so</w:t>
      </w:r>
      <w:r>
        <w:t xml:space="preserve"> </w:t>
      </w:r>
      <m:oMath>
        <m:r>
          <m:t>λ</m:t>
        </m:r>
        <m:r>
          <m:rPr>
            <m:sty m:val="p"/>
          </m:rPr>
          <m:t>=</m:t>
        </m:r>
        <m:r>
          <m:t>0.02</m:t>
        </m:r>
        <m:r>
          <m:rPr>
            <m:sty m:val="p"/>
          </m:rPr>
          <m:t>/</m:t>
        </m:r>
        <m:r>
          <m:t>8760</m:t>
        </m:r>
        <m:r>
          <m:rPr>
            <m:sty m:val="p"/>
          </m:rPr>
          <m:t>=</m:t>
        </m:r>
        <m:r>
          <m:t>2.28</m:t>
        </m:r>
        <m:r>
          <m:rPr>
            <m:sty m:val="p"/>
          </m:rPr>
          <m:t>×</m:t>
        </m:r>
        <m:sSup>
          <m:e>
            <m:r>
              <m:t>10</m:t>
            </m:r>
          </m:e>
          <m:sup>
            <m:r>
              <m:rPr>
                <m:sty m:val="p"/>
              </m:rPr>
              <m:t>−</m:t>
            </m:r>
            <m:r>
              <m:t>6</m:t>
            </m:r>
          </m:sup>
        </m:sSup>
      </m:oMath>
      <w:r>
        <w:t xml:space="preserve"> </w:t>
      </w:r>
      <w:r>
        <w:t xml:space="preserve">per hour. Repair takes</w:t>
      </w:r>
      <w:r>
        <w:t xml:space="preserve"> </w:t>
      </w:r>
      <m:oMath>
        <m:r>
          <m:t>T</m:t>
        </m:r>
        <m:r>
          <m:rPr>
            <m:sty m:val="p"/>
          </m:rPr>
          <m:t>=</m:t>
        </m:r>
        <m:r>
          <m:t>24</m:t>
        </m:r>
      </m:oMath>
      <w:r>
        <w:t xml:space="preserve"> </w:t>
      </w:r>
      <w:r>
        <w:t xml:space="preserve">h, so</w:t>
      </w:r>
      <w:r>
        <w:t xml:space="preserve"> </w:t>
      </w:r>
      <m:oMath>
        <m:r>
          <m:t>λ</m:t>
        </m:r>
        <m:r>
          <m:t>T</m:t>
        </m:r>
        <m:r>
          <m:rPr>
            <m:sty m:val="p"/>
          </m:rPr>
          <m:t>=</m:t>
        </m:r>
        <m:r>
          <m:t>5.48</m:t>
        </m:r>
        <m:r>
          <m:rPr>
            <m:sty m:val="p"/>
          </m:rPr>
          <m:t>×</m:t>
        </m:r>
        <m:sSup>
          <m:e>
            <m:r>
              <m:t>10</m:t>
            </m:r>
          </m:e>
          <m:sup>
            <m:r>
              <m:rPr>
                <m:sty m:val="p"/>
              </m:rPr>
              <m:t>−</m:t>
            </m:r>
            <m:r>
              <m:t>5</m:t>
            </m:r>
          </m:sup>
        </m:sSup>
      </m:oMath>
      <w:r>
        <w:t xml:space="preserve">.</w:t>
      </w:r>
    </w:p>
    <w:p>
      <w:pPr>
        <w:numPr>
          <w:ilvl w:val="0"/>
          <w:numId w:val="1122"/>
        </w:numPr>
        <w:pStyle w:val="Compact"/>
      </w:pPr>
      <w:r>
        <w:t xml:space="preserve">One replica:</w:t>
      </w:r>
      <w:r>
        <w:t xml:space="preserve"> </w:t>
      </w:r>
      <m:oMath>
        <m:r>
          <m:t>P</m:t>
        </m:r>
        <m:r>
          <m:rPr>
            <m:sty m:val="p"/>
          </m:rPr>
          <m:t>≈</m:t>
        </m:r>
        <m:r>
          <m:rPr>
            <m:nor/>
            <m:sty m:val="p"/>
          </m:rPr>
          <m:t>AFR</m:t>
        </m:r>
        <m:r>
          <m:rPr>
            <m:sty m:val="p"/>
          </m:rPr>
          <m:t>=</m:t>
        </m:r>
        <m:r>
          <m:t>2</m:t>
        </m:r>
        <m:r>
          <m:rPr>
            <m:sty m:val="p"/>
          </m:rPr>
          <m:t>×</m:t>
        </m:r>
        <m:sSup>
          <m:e>
            <m:r>
              <m:t>10</m:t>
            </m:r>
          </m:e>
          <m:sup>
            <m:r>
              <m:rPr>
                <m:sty m:val="p"/>
              </m:rPr>
              <m:t>−</m:t>
            </m:r>
            <m:r>
              <m:t>2</m:t>
            </m:r>
          </m:sup>
        </m:sSup>
      </m:oMath>
      <w:r>
        <w:t xml:space="preserve">.</w:t>
      </w:r>
    </w:p>
    <w:p>
      <w:pPr>
        <w:numPr>
          <w:ilvl w:val="0"/>
          <w:numId w:val="1122"/>
        </w:numPr>
        <w:pStyle w:val="Compact"/>
      </w:pPr>
      <w:r>
        <w:t xml:space="preserve">Two replicas:</w:t>
      </w:r>
      <w:r>
        <w:t xml:space="preserve"> </w:t>
      </w:r>
      <m:oMath>
        <m:r>
          <m:t>2</m:t>
        </m:r>
        <m:sSup>
          <m:e>
            <m:r>
              <m:t>λ</m:t>
            </m:r>
          </m:e>
          <m:sup>
            <m:r>
              <m:t>2</m:t>
            </m:r>
          </m:sup>
        </m:sSup>
        <m:r>
          <m:t>T</m:t>
        </m:r>
        <m:r>
          <m:rPr>
            <m:sty m:val="p"/>
          </m:rPr>
          <m:t>×</m:t>
        </m:r>
        <m:r>
          <m:t>8760</m:t>
        </m:r>
        <m:r>
          <m:rPr>
            <m:sty m:val="p"/>
          </m:rPr>
          <m:t>=</m:t>
        </m:r>
        <m:r>
          <m:t>2</m:t>
        </m:r>
        <m:r>
          <m:rPr>
            <m:sty m:val="p"/>
          </m:rPr>
          <m:t>×</m:t>
        </m:r>
        <m:r>
          <m:t>0.02</m:t>
        </m:r>
        <m:r>
          <m:rPr>
            <m:sty m:val="p"/>
          </m:rPr>
          <m:t>×</m:t>
        </m:r>
        <m:r>
          <m:t>λ</m:t>
        </m:r>
        <m:r>
          <m:t>T</m:t>
        </m:r>
        <m:r>
          <m:rPr>
            <m:sty m:val="p"/>
          </m:rPr>
          <m:t>=</m:t>
        </m:r>
        <m:r>
          <m:t>0.04</m:t>
        </m:r>
        <m:r>
          <m:rPr>
            <m:sty m:val="p"/>
          </m:rPr>
          <m:t>×</m:t>
        </m:r>
        <m:r>
          <m:t>5.48</m:t>
        </m:r>
        <m:r>
          <m:rPr>
            <m:sty m:val="p"/>
          </m:rPr>
          <m:t>×</m:t>
        </m:r>
        <m:sSup>
          <m:e>
            <m:r>
              <m:t>10</m:t>
            </m:r>
          </m:e>
          <m:sup>
            <m:r>
              <m:rPr>
                <m:sty m:val="p"/>
              </m:rPr>
              <m:t>−</m:t>
            </m:r>
            <m:r>
              <m:t>5</m:t>
            </m:r>
          </m:sup>
        </m:sSup>
        <m:r>
          <m:rPr>
            <m:sty m:val="p"/>
          </m:rPr>
          <m:t>=</m:t>
        </m:r>
        <m:r>
          <m:t>2.2</m:t>
        </m:r>
        <m:r>
          <m:rPr>
            <m:sty m:val="p"/>
          </m:rPr>
          <m:t>×</m:t>
        </m:r>
        <m:sSup>
          <m:e>
            <m:r>
              <m:t>10</m:t>
            </m:r>
          </m:e>
          <m:sup>
            <m:r>
              <m:rPr>
                <m:sty m:val="p"/>
              </m:rPr>
              <m:t>−</m:t>
            </m:r>
            <m:r>
              <m:t>6</m:t>
            </m:r>
          </m:sup>
        </m:sSup>
      </m:oMath>
      <w:r>
        <w:t xml:space="preserve">.</w:t>
      </w:r>
    </w:p>
    <w:p>
      <w:pPr>
        <w:numPr>
          <w:ilvl w:val="0"/>
          <w:numId w:val="1122"/>
        </w:numPr>
        <w:pStyle w:val="Compact"/>
      </w:pPr>
      <w:r>
        <w:t xml:space="preserve">Three replicas:</w:t>
      </w:r>
      <w:r>
        <w:t xml:space="preserve"> </w:t>
      </w:r>
      <m:oMath>
        <m:r>
          <m:t>6</m:t>
        </m:r>
        <m:sSup>
          <m:e>
            <m:r>
              <m:t>λ</m:t>
            </m:r>
          </m:e>
          <m:sup>
            <m:r>
              <m:t>3</m:t>
            </m:r>
          </m:sup>
        </m:sSup>
        <m:sSup>
          <m:e>
            <m:r>
              <m:t>T</m:t>
            </m:r>
          </m:e>
          <m:sup>
            <m:r>
              <m:t>2</m:t>
            </m:r>
          </m:sup>
        </m:sSup>
        <m:r>
          <m:rPr>
            <m:sty m:val="p"/>
          </m:rPr>
          <m:t>×</m:t>
        </m:r>
        <m:r>
          <m:t>8760</m:t>
        </m:r>
        <m:r>
          <m:rPr>
            <m:sty m:val="p"/>
          </m:rPr>
          <m:t>=</m:t>
        </m:r>
        <m:r>
          <m:t>3</m:t>
        </m:r>
        <m:r>
          <m:rPr>
            <m:sty m:val="p"/>
          </m:rPr>
          <m:t>×</m:t>
        </m:r>
        <m:r>
          <m:t>0.02</m:t>
        </m:r>
        <m:r>
          <m:rPr>
            <m:sty m:val="p"/>
          </m:rPr>
          <m:t>×</m:t>
        </m:r>
        <m:r>
          <m:t>2</m:t>
        </m:r>
        <m:sSup>
          <m:e>
            <m:d>
              <m:dPr>
                <m:begChr m:val="("/>
                <m:endChr m:val=")"/>
                <m:sepChr m:val=""/>
                <m:grow/>
              </m:dPr>
              <m:e>
                <m:r>
                  <m:t>λ</m:t>
                </m:r>
                <m:r>
                  <m:t>T</m:t>
                </m:r>
              </m:e>
            </m:d>
          </m:e>
          <m:sup>
            <m:r>
              <m:t>2</m:t>
            </m:r>
          </m:sup>
        </m:sSup>
        <m:r>
          <m:rPr>
            <m:sty m:val="p"/>
          </m:rPr>
          <m:t>=</m:t>
        </m:r>
        <m:r>
          <m:t>0.06</m:t>
        </m:r>
        <m:r>
          <m:rPr>
            <m:sty m:val="p"/>
          </m:rPr>
          <m:t>×</m:t>
        </m:r>
        <m:r>
          <m:t>2</m:t>
        </m:r>
        <m:r>
          <m:rPr>
            <m:sty m:val="p"/>
          </m:rPr>
          <m:t>×</m:t>
        </m:r>
        <m:r>
          <m:t>3.00</m:t>
        </m:r>
        <m:r>
          <m:rPr>
            <m:sty m:val="p"/>
          </m:rPr>
          <m:t>×</m:t>
        </m:r>
        <m:sSup>
          <m:e>
            <m:r>
              <m:t>10</m:t>
            </m:r>
          </m:e>
          <m:sup>
            <m:r>
              <m:rPr>
                <m:sty m:val="p"/>
              </m:rPr>
              <m:t>−</m:t>
            </m:r>
            <m:r>
              <m:t>9</m:t>
            </m:r>
          </m:sup>
        </m:sSup>
        <m:r>
          <m:rPr>
            <m:sty m:val="p"/>
          </m:rPr>
          <m:t>=</m:t>
        </m:r>
        <m:r>
          <m:t>3.6</m:t>
        </m:r>
        <m:r>
          <m:rPr>
            <m:sty m:val="p"/>
          </m:rPr>
          <m:t>×</m:t>
        </m:r>
        <m:sSup>
          <m:e>
            <m:r>
              <m:t>10</m:t>
            </m:r>
          </m:e>
          <m:sup>
            <m:r>
              <m:rPr>
                <m:sty m:val="p"/>
              </m:rPr>
              <m:t>−</m:t>
            </m:r>
            <m:r>
              <m:t>10</m:t>
            </m:r>
          </m:sup>
        </m:sSup>
      </m:oMath>
      <w:r>
        <w:t xml:space="preserve">.</w:t>
      </w:r>
    </w:p>
    <w:p>
      <w:pPr>
        <w:numPr>
          <w:ilvl w:val="0"/>
          <w:numId w:val="1122"/>
        </w:numPr>
        <w:pStyle w:val="Compact"/>
      </w:pPr>
      <w:r>
        <w:t xml:space="preserve">Fleet view: with</w:t>
      </w:r>
      <w:r>
        <w:t xml:space="preserve"> </w:t>
      </w:r>
      <m:oMath>
        <m:sSup>
          <m:e>
            <m:r>
              <m:t>10</m:t>
            </m:r>
          </m:e>
          <m:sup>
            <m:r>
              <m:t>6</m:t>
            </m:r>
          </m:sup>
        </m:sSup>
      </m:oMath>
      <w:r>
        <w:t xml:space="preserve"> </w:t>
      </w:r>
      <w:r>
        <w:t xml:space="preserve">independent three-replica groups, expected losses are</w:t>
      </w:r>
      <w:r>
        <w:t xml:space="preserve"> </w:t>
      </w:r>
      <m:oMath>
        <m:sSup>
          <m:e>
            <m:r>
              <m:t>10</m:t>
            </m:r>
          </m:e>
          <m:sup>
            <m:r>
              <m:t>6</m:t>
            </m:r>
          </m:sup>
        </m:sSup>
        <m:r>
          <m:rPr>
            <m:sty m:val="p"/>
          </m:rPr>
          <m:t>×</m:t>
        </m:r>
        <m:r>
          <m:t>3.6</m:t>
        </m:r>
        <m:r>
          <m:rPr>
            <m:sty m:val="p"/>
          </m:rPr>
          <m:t>×</m:t>
        </m:r>
        <m:sSup>
          <m:e>
            <m:r>
              <m:t>10</m:t>
            </m:r>
          </m:e>
          <m:sup>
            <m:r>
              <m:rPr>
                <m:sty m:val="p"/>
              </m:rPr>
              <m:t>−</m:t>
            </m:r>
            <m:r>
              <m:t>10</m:t>
            </m:r>
          </m:sup>
        </m:sSup>
        <m:r>
          <m:rPr>
            <m:sty m:val="p"/>
          </m:rPr>
          <m:t>=</m:t>
        </m:r>
        <m:r>
          <m:t>3.6</m:t>
        </m:r>
        <m:r>
          <m:rPr>
            <m:sty m:val="p"/>
          </m:rPr>
          <m:t>×</m:t>
        </m:r>
        <m:sSup>
          <m:e>
            <m:r>
              <m:t>10</m:t>
            </m:r>
          </m:e>
          <m:sup>
            <m:r>
              <m:rPr>
                <m:sty m:val="p"/>
              </m:rPr>
              <m:t>−</m:t>
            </m:r>
            <m:r>
              <m:t>4</m:t>
            </m:r>
          </m:sup>
        </m:sSup>
      </m:oMath>
      <w:r>
        <w:t xml:space="preserve"> </w:t>
      </w:r>
      <w:r>
        <w:t xml:space="preserve">groups per year.</w:t>
      </w:r>
    </w:p>
    <w:p>
      <w:pPr>
        <w:numPr>
          <w:ilvl w:val="0"/>
          <w:numId w:val="1122"/>
        </w:numPr>
        <w:pStyle w:val="Compact"/>
      </w:pPr>
      <w:r>
        <w:t xml:space="preserve">Slower repair,</w:t>
      </w:r>
      <w:r>
        <w:t xml:space="preserve"> </w:t>
      </w:r>
      <m:oMath>
        <m:r>
          <m:t>T</m:t>
        </m:r>
        <m:r>
          <m:rPr>
            <m:sty m:val="p"/>
          </m:rPr>
          <m:t>=</m:t>
        </m:r>
        <m:r>
          <m:t>168</m:t>
        </m:r>
      </m:oMath>
      <w:r>
        <w:t xml:space="preserve"> </w:t>
      </w:r>
      <w:r>
        <w:t xml:space="preserve">h (one week):</w:t>
      </w:r>
      <w:r>
        <w:t xml:space="preserve"> </w:t>
      </w:r>
      <m:oMath>
        <m:r>
          <m:t>λ</m:t>
        </m:r>
        <m:r>
          <m:t>T</m:t>
        </m:r>
        <m:r>
          <m:rPr>
            <m:sty m:val="p"/>
          </m:rPr>
          <m:t>=</m:t>
        </m:r>
        <m:r>
          <m:t>3.84</m:t>
        </m:r>
        <m:r>
          <m:rPr>
            <m:sty m:val="p"/>
          </m:rPr>
          <m:t>×</m:t>
        </m:r>
        <m:sSup>
          <m:e>
            <m:r>
              <m:t>10</m:t>
            </m:r>
          </m:e>
          <m:sup>
            <m:r>
              <m:rPr>
                <m:sty m:val="p"/>
              </m:rPr>
              <m:t>−</m:t>
            </m:r>
            <m:r>
              <m:t>4</m:t>
            </m:r>
          </m:sup>
        </m:sSup>
      </m:oMath>
      <w:r>
        <w:t xml:space="preserve">; three-replica loss</w:t>
      </w:r>
      <w:r>
        <w:t xml:space="preserve"> </w:t>
      </w:r>
      <m:oMath>
        <m:r>
          <m:rPr>
            <m:sty m:val="p"/>
          </m:rPr>
          <m:t>=</m:t>
        </m:r>
        <m:r>
          <m:t>0.06</m:t>
        </m:r>
        <m:r>
          <m:rPr>
            <m:sty m:val="p"/>
          </m:rPr>
          <m:t>×</m:t>
        </m:r>
        <m:r>
          <m:t>2</m:t>
        </m:r>
        <m:r>
          <m:rPr>
            <m:sty m:val="p"/>
          </m:rPr>
          <m:t>×</m:t>
        </m:r>
        <m:sSup>
          <m:e>
            <m:d>
              <m:dPr>
                <m:begChr m:val="("/>
                <m:endChr m:val=")"/>
                <m:sepChr m:val=""/>
                <m:grow/>
              </m:dPr>
              <m:e>
                <m:r>
                  <m:t>3.84</m:t>
                </m:r>
                <m:r>
                  <m:rPr>
                    <m:sty m:val="p"/>
                  </m:rPr>
                  <m:t>×</m:t>
                </m:r>
                <m:sSup>
                  <m:e>
                    <m:r>
                      <m:t>10</m:t>
                    </m:r>
                  </m:e>
                  <m:sup>
                    <m:r>
                      <m:rPr>
                        <m:sty m:val="p"/>
                      </m:rPr>
                      <m:t>−</m:t>
                    </m:r>
                    <m:r>
                      <m:t>4</m:t>
                    </m:r>
                  </m:sup>
                </m:sSup>
              </m:e>
            </m:d>
          </m:e>
          <m:sup>
            <m:r>
              <m:t>2</m:t>
            </m:r>
          </m:sup>
        </m:sSup>
        <m:r>
          <m:rPr>
            <m:sty m:val="p"/>
          </m:rPr>
          <m:t>=</m:t>
        </m:r>
        <m:r>
          <m:t>1.8</m:t>
        </m:r>
        <m:r>
          <m:rPr>
            <m:sty m:val="p"/>
          </m:rPr>
          <m:t>×</m:t>
        </m:r>
        <m:sSup>
          <m:e>
            <m:r>
              <m:t>10</m:t>
            </m:r>
          </m:e>
          <m:sup>
            <m:r>
              <m:rPr>
                <m:sty m:val="p"/>
              </m:rPr>
              <m:t>−</m:t>
            </m:r>
            <m:r>
              <m:t>8</m:t>
            </m:r>
          </m:sup>
        </m:sSup>
      </m:oMath>
      <w:r>
        <w:t xml:space="preserve">, which is</w:t>
      </w:r>
      <w:r>
        <w:t xml:space="preserve"> </w:t>
      </w:r>
      <m:oMath>
        <m:sSup>
          <m:e>
            <m:r>
              <m:t>7</m:t>
            </m:r>
          </m:e>
          <m:sup>
            <m:r>
              <m:t>2</m:t>
            </m:r>
          </m:sup>
        </m:sSup>
        <m:r>
          <m:rPr>
            <m:sty m:val="p"/>
          </m:rPr>
          <m:t>=</m:t>
        </m:r>
        <m:r>
          <m:t>49</m:t>
        </m:r>
      </m:oMath>
      <w:r>
        <w:t xml:space="preserve"> </w:t>
      </w:r>
      <w:r>
        <w:t xml:space="preserve">times worse.</w:t>
      </w:r>
    </w:p>
    <w:p>
      <w:pPr>
        <w:pStyle w:val="CalloutExample"/>
      </w:pPr>
      <w:r>
        <w:rPr>
          <w:bCs/>
          <w:b/>
        </w:rPr>
        <w:t xml:space="preserve">Interpretation.</w:t>
      </w:r>
      <w:r>
        <w:t xml:space="preserve"> </w:t>
      </w:r>
      <w:r>
        <w:t xml:space="preserve">Each extra replica multiplies durability by roughly</w:t>
      </w:r>
      <w:r>
        <w:t xml:space="preserve"> </w:t>
      </w:r>
      <m:oMath>
        <m:r>
          <m:t>1</m:t>
        </m:r>
        <m:r>
          <m:rPr>
            <m:sty m:val="p"/>
          </m:rPr>
          <m:t>/</m:t>
        </m:r>
        <m:d>
          <m:dPr>
            <m:begChr m:val="("/>
            <m:endChr m:val=")"/>
            <m:sepChr m:val=""/>
            <m:grow/>
          </m:dPr>
          <m:e>
            <m:r>
              <m:t>λ</m:t>
            </m:r>
            <m:r>
              <m:t>T</m:t>
            </m:r>
          </m:e>
        </m:d>
      </m:oMath>
      <w:r>
        <w:t xml:space="preserve">, here about four orders of magnitude, and for three replicas loss probability grows with the</w:t>
      </w:r>
      <w:r>
        <w:t xml:space="preserve"> </w:t>
      </w:r>
      <w:r>
        <w:rPr>
          <w:iCs/>
          <w:i/>
        </w:rPr>
        <w:t xml:space="preserve">square</w:t>
      </w:r>
      <w:r>
        <w:t xml:space="preserve"> </w:t>
      </w:r>
      <w:r>
        <w:t xml:space="preserve">of the repair time.</w:t>
      </w:r>
      <w:r>
        <w:t xml:space="preserve"> </w:t>
      </w:r>
      <w:r>
        <w:rPr>
          <w:bCs/>
          <w:b/>
        </w:rPr>
        <w:t xml:space="preserve">Engineering implication.</w:t>
      </w:r>
      <w:r>
        <w:t xml:space="preserve"> </w:t>
      </w:r>
      <w:r>
        <w:t xml:space="preserve">Fast, parallel re-replication is as important as the replica count. These numbers are, however, optimistic upper bounds on durability: they assume independence. In practice correlated failures — a rack losing power, a bad firmware batch, a datacenter-wide event, a software bug that deletes all copies — dominate data loss, which is why durable stores spread replicas across failure domains, keep backups outside the replication system, and checksum data to catch silent corruption (§13.12, §39.9).</w:t>
      </w:r>
    </w:p>
    <w:p>
      <w:pPr>
        <w:pStyle w:val="BodyText"/>
      </w:pPr>
      <w:r>
        <w:rPr>
          <w:bCs/>
          <w:b/>
        </w:rPr>
        <w:t xml:space="preserve">Table 4.8 — Annual loss probability per item (AFR 2%, independent failures).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Replicas</w:t>
            </w:r>
          </w:p>
        </w:tc>
        <w:tc>
          <w:tcPr/>
          <w:p>
            <w:pPr>
              <w:pStyle w:val="Compact"/>
              <w:jc w:val="left"/>
            </w:pPr>
            <m:oMath>
              <m:r>
                <m:t>T</m:t>
              </m:r>
            </m:oMath>
            <w:r>
              <w:t xml:space="preserve"> </w:t>
            </w:r>
            <w:r>
              <w:t xml:space="preserve">= 1 h</w:t>
            </w:r>
          </w:p>
        </w:tc>
        <w:tc>
          <w:tcPr/>
          <w:p>
            <w:pPr>
              <w:pStyle w:val="Compact"/>
              <w:jc w:val="left"/>
            </w:pPr>
            <m:oMath>
              <m:r>
                <m:t>T</m:t>
              </m:r>
            </m:oMath>
            <w:r>
              <w:t xml:space="preserve"> </w:t>
            </w:r>
            <w:r>
              <w:t xml:space="preserve">= 24 h</w:t>
            </w:r>
          </w:p>
        </w:tc>
        <w:tc>
          <w:tcPr/>
          <w:p>
            <w:pPr>
              <w:pStyle w:val="Compact"/>
              <w:jc w:val="left"/>
            </w:pPr>
            <m:oMath>
              <m:r>
                <m:t>T</m:t>
              </m:r>
            </m:oMath>
            <w:r>
              <w:t xml:space="preserve"> </w:t>
            </w:r>
            <w:r>
              <w:t xml:space="preserve">= 168 h</w:t>
            </w:r>
          </w:p>
        </w:tc>
      </w:tr>
      <w:tr>
        <w:tc>
          <w:tcPr/>
          <w:p>
            <w:pPr>
              <w:pStyle w:val="Compact"/>
              <w:jc w:val="left"/>
            </w:pPr>
            <w:r>
              <w:t xml:space="preserve">1</w:t>
            </w:r>
          </w:p>
        </w:tc>
        <w:tc>
          <w:tcPr/>
          <w:p>
            <w:pPr>
              <w:pStyle w:val="Compact"/>
              <w:jc w:val="left"/>
            </w:pPr>
            <m:oMath>
              <m:r>
                <m:t>2</m:t>
              </m:r>
              <m:r>
                <m:rPr>
                  <m:sty m:val="p"/>
                </m:rPr>
                <m:t>×</m:t>
              </m:r>
              <m:sSup>
                <m:e>
                  <m:r>
                    <m:t>10</m:t>
                  </m:r>
                </m:e>
                <m:sup>
                  <m:r>
                    <m:rPr>
                      <m:sty m:val="p"/>
                    </m:rPr>
                    <m:t>−</m:t>
                  </m:r>
                  <m:r>
                    <m:t>2</m:t>
                  </m:r>
                </m:sup>
              </m:sSup>
            </m:oMath>
          </w:p>
        </w:tc>
        <w:tc>
          <w:tcPr/>
          <w:p>
            <w:pPr>
              <w:pStyle w:val="Compact"/>
              <w:jc w:val="left"/>
            </w:pPr>
            <m:oMath>
              <m:r>
                <m:t>2</m:t>
              </m:r>
              <m:r>
                <m:rPr>
                  <m:sty m:val="p"/>
                </m:rPr>
                <m:t>×</m:t>
              </m:r>
              <m:sSup>
                <m:e>
                  <m:r>
                    <m:t>10</m:t>
                  </m:r>
                </m:e>
                <m:sup>
                  <m:r>
                    <m:rPr>
                      <m:sty m:val="p"/>
                    </m:rPr>
                    <m:t>−</m:t>
                  </m:r>
                  <m:r>
                    <m:t>2</m:t>
                  </m:r>
                </m:sup>
              </m:sSup>
            </m:oMath>
          </w:p>
        </w:tc>
        <w:tc>
          <w:tcPr/>
          <w:p>
            <w:pPr>
              <w:pStyle w:val="Compact"/>
              <w:jc w:val="left"/>
            </w:pPr>
            <m:oMath>
              <m:r>
                <m:t>2</m:t>
              </m:r>
              <m:r>
                <m:rPr>
                  <m:sty m:val="p"/>
                </m:rPr>
                <m:t>×</m:t>
              </m:r>
              <m:sSup>
                <m:e>
                  <m:r>
                    <m:t>10</m:t>
                  </m:r>
                </m:e>
                <m:sup>
                  <m:r>
                    <m:rPr>
                      <m:sty m:val="p"/>
                    </m:rPr>
                    <m:t>−</m:t>
                  </m:r>
                  <m:r>
                    <m:t>2</m:t>
                  </m:r>
                </m:sup>
              </m:sSup>
            </m:oMath>
          </w:p>
        </w:tc>
      </w:tr>
      <w:tr>
        <w:tc>
          <w:tcPr/>
          <w:p>
            <w:pPr>
              <w:pStyle w:val="Compact"/>
              <w:jc w:val="left"/>
            </w:pPr>
            <w:r>
              <w:t xml:space="preserve">2</w:t>
            </w:r>
          </w:p>
        </w:tc>
        <w:tc>
          <w:tcPr/>
          <w:p>
            <w:pPr>
              <w:pStyle w:val="Compact"/>
              <w:jc w:val="left"/>
            </w:pPr>
            <m:oMath>
              <m:r>
                <m:t>9.1</m:t>
              </m:r>
              <m:r>
                <m:rPr>
                  <m:sty m:val="p"/>
                </m:rPr>
                <m:t>×</m:t>
              </m:r>
              <m:sSup>
                <m:e>
                  <m:r>
                    <m:t>10</m:t>
                  </m:r>
                </m:e>
                <m:sup>
                  <m:r>
                    <m:rPr>
                      <m:sty m:val="p"/>
                    </m:rPr>
                    <m:t>−</m:t>
                  </m:r>
                  <m:r>
                    <m:t>8</m:t>
                  </m:r>
                </m:sup>
              </m:sSup>
            </m:oMath>
          </w:p>
        </w:tc>
        <w:tc>
          <w:tcPr/>
          <w:p>
            <w:pPr>
              <w:pStyle w:val="Compact"/>
              <w:jc w:val="left"/>
            </w:pPr>
            <m:oMath>
              <m:r>
                <m:t>2.2</m:t>
              </m:r>
              <m:r>
                <m:rPr>
                  <m:sty m:val="p"/>
                </m:rPr>
                <m:t>×</m:t>
              </m:r>
              <m:sSup>
                <m:e>
                  <m:r>
                    <m:t>10</m:t>
                  </m:r>
                </m:e>
                <m:sup>
                  <m:r>
                    <m:rPr>
                      <m:sty m:val="p"/>
                    </m:rPr>
                    <m:t>−</m:t>
                  </m:r>
                  <m:r>
                    <m:t>6</m:t>
                  </m:r>
                </m:sup>
              </m:sSup>
            </m:oMath>
          </w:p>
        </w:tc>
        <w:tc>
          <w:tcPr/>
          <w:p>
            <w:pPr>
              <w:pStyle w:val="Compact"/>
              <w:jc w:val="left"/>
            </w:pPr>
            <m:oMath>
              <m:r>
                <m:t>1.5</m:t>
              </m:r>
              <m:r>
                <m:rPr>
                  <m:sty m:val="p"/>
                </m:rPr>
                <m:t>×</m:t>
              </m:r>
              <m:sSup>
                <m:e>
                  <m:r>
                    <m:t>10</m:t>
                  </m:r>
                </m:e>
                <m:sup>
                  <m:r>
                    <m:rPr>
                      <m:sty m:val="p"/>
                    </m:rPr>
                    <m:t>−</m:t>
                  </m:r>
                  <m:r>
                    <m:t>5</m:t>
                  </m:r>
                </m:sup>
              </m:sSup>
            </m:oMath>
          </w:p>
        </w:tc>
      </w:tr>
      <w:tr>
        <w:tc>
          <w:tcPr/>
          <w:p>
            <w:pPr>
              <w:pStyle w:val="Compact"/>
              <w:jc w:val="left"/>
            </w:pPr>
            <w:r>
              <w:t xml:space="preserve">3</w:t>
            </w:r>
          </w:p>
        </w:tc>
        <w:tc>
          <w:tcPr/>
          <w:p>
            <w:pPr>
              <w:pStyle w:val="Compact"/>
              <w:jc w:val="left"/>
            </w:pPr>
            <m:oMath>
              <m:r>
                <m:t>6.3</m:t>
              </m:r>
              <m:r>
                <m:rPr>
                  <m:sty m:val="p"/>
                </m:rPr>
                <m:t>×</m:t>
              </m:r>
              <m:sSup>
                <m:e>
                  <m:r>
                    <m:t>10</m:t>
                  </m:r>
                </m:e>
                <m:sup>
                  <m:r>
                    <m:rPr>
                      <m:sty m:val="p"/>
                    </m:rPr>
                    <m:t>−</m:t>
                  </m:r>
                  <m:r>
                    <m:t>13</m:t>
                  </m:r>
                </m:sup>
              </m:sSup>
            </m:oMath>
          </w:p>
        </w:tc>
        <w:tc>
          <w:tcPr/>
          <w:p>
            <w:pPr>
              <w:pStyle w:val="Compact"/>
              <w:jc w:val="left"/>
            </w:pPr>
            <m:oMath>
              <m:r>
                <m:t>3.6</m:t>
              </m:r>
              <m:r>
                <m:rPr>
                  <m:sty m:val="p"/>
                </m:rPr>
                <m:t>×</m:t>
              </m:r>
              <m:sSup>
                <m:e>
                  <m:r>
                    <m:t>10</m:t>
                  </m:r>
                </m:e>
                <m:sup>
                  <m:r>
                    <m:rPr>
                      <m:sty m:val="p"/>
                    </m:rPr>
                    <m:t>−</m:t>
                  </m:r>
                  <m:r>
                    <m:t>10</m:t>
                  </m:r>
                </m:sup>
              </m:sSup>
            </m:oMath>
          </w:p>
        </w:tc>
        <w:tc>
          <w:tcPr/>
          <w:p>
            <w:pPr>
              <w:pStyle w:val="Compact"/>
              <w:jc w:val="left"/>
            </w:pPr>
            <m:oMath>
              <m:r>
                <m:t>1.8</m:t>
              </m:r>
              <m:r>
                <m:rPr>
                  <m:sty m:val="p"/>
                </m:rPr>
                <m:t>×</m:t>
              </m:r>
              <m:sSup>
                <m:e>
                  <m:r>
                    <m:t>10</m:t>
                  </m:r>
                </m:e>
                <m:sup>
                  <m:r>
                    <m:rPr>
                      <m:sty m:val="p"/>
                    </m:rPr>
                    <m:t>−</m:t>
                  </m:r>
                  <m:r>
                    <m:t>8</m:t>
                  </m:r>
                </m:sup>
              </m:sSup>
            </m:oMath>
          </w:p>
        </w:tc>
      </w:tr>
    </w:tbl>
    <w:p>
      <w:pPr>
        <w:pStyle w:val="CalloutIndustry"/>
      </w:pPr>
      <w:r>
        <w:rPr>
          <w:bCs/>
          <w:b/>
        </w:rPr>
        <w:t xml:space="preserve">INDUSTRY EXAMPLE</w:t>
      </w:r>
    </w:p>
    <w:p>
      <w:pPr>
        <w:pStyle w:val="CalloutIndustry"/>
      </w:pPr>
      <w:r>
        <w:rPr>
          <w:bCs/>
          <w:b/>
        </w:rPr>
        <w:t xml:space="preserve">Correlated failures in real storage fleets.</w:t>
      </w:r>
      <w:r>
        <w:t xml:space="preserve"> </w:t>
      </w:r>
      <w:r>
        <w:t xml:space="preserve">Ford et al. analyzed a year of availability data from Google’s distributed storage and found that failures are often correlated — many nodes failing together in bursts, for example after power or network events — and that models assuming independence can overestimate durability by orders of magnitude; their models incorporate correlated failures and placement across failure domains [Ford et al. 2010]. Cidon et al. showed that with random replica placement across a large cluster, almost</w:t>
      </w:r>
      <w:r>
        <w:t xml:space="preserve"> </w:t>
      </w:r>
      <w:r>
        <w:rPr>
          <w:iCs/>
          <w:i/>
        </w:rPr>
        <w:t xml:space="preserve">any</w:t>
      </w:r>
      <w:r>
        <w:t xml:space="preserve"> </w:t>
      </w:r>
      <w:r>
        <w:t xml:space="preserve">simultaneous failure of three nodes destroys some chunk, and proposed limiting the number of distinct replica sets (</w:t>
      </w:r>
      <w:r>
        <w:t xml:space="preserve">“</w:t>
      </w:r>
      <w:r>
        <w:t xml:space="preserve">copysets</w:t>
      </w:r>
      <w:r>
        <w:t xml:space="preserve">”</w:t>
      </w:r>
      <w:r>
        <w:t xml:space="preserve">) to reduce the frequency of loss events [Cidon et al. 2013]. Amazon S3 documentation states that S3 is designed for 99.999999999% (eleven nines) annual durability of objects, achieved by storing data redundantly across multiple devices and facilities [AWS S3 documentation]. Replication and erasure coding are compared in §15.6.</w:t>
      </w:r>
      <w:r>
        <w:t xml:space="preserve"> </w:t>
      </w:r>
      <w:r>
        <w:rPr>
          <w:iCs/>
          <w:i/>
        </w:rPr>
        <w:t xml:space="preserve">Evidence: Primary</w:t>
      </w:r>
      <w:r>
        <w:t xml:space="preserve"> </w:t>
      </w:r>
      <w:r>
        <w:t xml:space="preserve">— [Ford et al. 2010; Cidon et al. 2013; AWS S3 documentation]</w:t>
      </w:r>
    </w:p>
    <w:bookmarkEnd w:id="428"/>
    <w:bookmarkEnd w:id="429"/>
    <w:bookmarkStart w:id="432" w:name="X1c76e3a0c065fc2d16ff38af4366d5e6efead43"/>
    <w:p>
      <w:pPr>
        <w:pStyle w:val="Heading2"/>
      </w:pPr>
      <w:r>
        <w:t xml:space="preserve">4.17 Latency numbers every engineer should know</w:t>
      </w:r>
    </w:p>
    <w:bookmarkStart w:id="431" w:name="the-table-and-its-history"/>
    <w:p>
      <w:pPr>
        <w:pStyle w:val="Heading3"/>
      </w:pPr>
      <w:r>
        <w:t xml:space="preserve">4.17.1 The table and its history</w:t>
      </w:r>
    </w:p>
    <w:p>
      <w:pPr>
        <w:pStyle w:val="FirstParagraph"/>
      </w:pPr>
      <w:r>
        <w:t xml:space="preserve">A table of hardware and network latencies popularized by Jeff Dean around 2009–2010, building on a similar table by Peter Norvig, is the standard estimation reference [Dean 2009; Norvig]. Its value lies in the</w:t>
      </w:r>
      <w:r>
        <w:t xml:space="preserve"> </w:t>
      </w:r>
      <w:r>
        <w:rPr>
          <w:iCs/>
          <w:i/>
        </w:rPr>
        <w:t xml:space="preserve">ratios</w:t>
      </w:r>
      <w:r>
        <w:t xml:space="preserve"> </w:t>
      </w:r>
      <w:r>
        <w:t xml:space="preserve">between rows, which change far more slowly than the absolute numbers. Since then SSDs have replaced disks for latency-sensitive data and datacenter networks have moved to 25–100 Gbps and beyond, while memory latency has barely moved. Treat every number as an order-of-magnitude anchor and measure your own hardware.</w:t>
      </w:r>
    </w:p>
    <w:p>
      <w:pPr>
        <w:pStyle w:val="BodyText"/>
      </w:pPr>
      <w:r>
        <w:rPr>
          <w:bCs/>
          <w:b/>
        </w:rPr>
        <w:t xml:space="preserve">Table 4.9 — Latency reference numbers (approximate; era-dependent).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Operation</w:t>
            </w:r>
          </w:p>
        </w:tc>
        <w:tc>
          <w:tcPr/>
          <w:p>
            <w:pPr>
              <w:pStyle w:val="Compact"/>
              <w:jc w:val="left"/>
            </w:pPr>
            <w:r>
              <w:t xml:space="preserve">Classic value (as circulated c. 2010)</w:t>
            </w:r>
          </w:p>
        </w:tc>
        <w:tc>
          <w:tcPr/>
          <w:p>
            <w:pPr>
              <w:pStyle w:val="Compact"/>
              <w:jc w:val="left"/>
            </w:pPr>
            <w:r>
              <w:t xml:space="preserve">Approximate order of magnitude, as of 2025</w:t>
            </w:r>
          </w:p>
        </w:tc>
        <w:tc>
          <w:tcPr/>
          <w:p>
            <w:pPr>
              <w:pStyle w:val="Compact"/>
              <w:jc w:val="left"/>
            </w:pPr>
            <w:r>
              <w:t xml:space="preserve">Notes</w:t>
            </w:r>
          </w:p>
        </w:tc>
      </w:tr>
      <w:tr>
        <w:tc>
          <w:tcPr/>
          <w:p>
            <w:pPr>
              <w:pStyle w:val="Compact"/>
              <w:jc w:val="left"/>
            </w:pPr>
            <w:r>
              <w:t xml:space="preserve">L1 cache reference</w:t>
            </w:r>
          </w:p>
        </w:tc>
        <w:tc>
          <w:tcPr/>
          <w:p>
            <w:pPr>
              <w:pStyle w:val="Compact"/>
              <w:jc w:val="left"/>
            </w:pPr>
            <w:r>
              <w:t xml:space="preserve">0.5 ns</w:t>
            </w:r>
          </w:p>
        </w:tc>
        <w:tc>
          <w:tcPr/>
          <w:p>
            <w:pPr>
              <w:pStyle w:val="Compact"/>
              <w:jc w:val="left"/>
            </w:pPr>
            <w:r>
              <w:t xml:space="preserve">~1 ns</w:t>
            </w:r>
          </w:p>
        </w:tc>
        <w:tc>
          <w:tcPr/>
          <w:p>
            <w:pPr>
              <w:pStyle w:val="Compact"/>
              <w:jc w:val="left"/>
            </w:pPr>
            <w:r>
              <w:t xml:space="preserve">A few CPU cycles</w:t>
            </w:r>
          </w:p>
        </w:tc>
      </w:tr>
      <w:tr>
        <w:tc>
          <w:tcPr/>
          <w:p>
            <w:pPr>
              <w:pStyle w:val="Compact"/>
              <w:jc w:val="left"/>
            </w:pPr>
            <w:r>
              <w:t xml:space="preserve">Branch mispredict</w:t>
            </w:r>
          </w:p>
        </w:tc>
        <w:tc>
          <w:tcPr/>
          <w:p>
            <w:pPr>
              <w:pStyle w:val="Compact"/>
              <w:jc w:val="left"/>
            </w:pPr>
            <w:r>
              <w:t xml:space="preserve">5 ns</w:t>
            </w:r>
          </w:p>
        </w:tc>
        <w:tc>
          <w:tcPr/>
          <w:p>
            <w:pPr>
              <w:pStyle w:val="Compact"/>
              <w:jc w:val="left"/>
            </w:pPr>
            <w:r>
              <w:t xml:space="preserve">~5 ns</w:t>
            </w:r>
          </w:p>
        </w:tc>
        <w:tc>
          <w:tcPr/>
          <w:p>
            <w:pPr>
              <w:pStyle w:val="Compact"/>
              <w:jc w:val="left"/>
            </w:pPr>
            <w:r>
              <w:t xml:space="preserve">Pipeline flush</w:t>
            </w:r>
          </w:p>
        </w:tc>
      </w:tr>
      <w:tr>
        <w:tc>
          <w:tcPr/>
          <w:p>
            <w:pPr>
              <w:pStyle w:val="Compact"/>
              <w:jc w:val="left"/>
            </w:pPr>
            <w:r>
              <w:t xml:space="preserve">L2 cache reference</w:t>
            </w:r>
          </w:p>
        </w:tc>
        <w:tc>
          <w:tcPr/>
          <w:p>
            <w:pPr>
              <w:pStyle w:val="Compact"/>
              <w:jc w:val="left"/>
            </w:pPr>
            <w:r>
              <w:t xml:space="preserve">7 ns</w:t>
            </w:r>
          </w:p>
        </w:tc>
        <w:tc>
          <w:tcPr/>
          <w:p>
            <w:pPr>
              <w:pStyle w:val="Compact"/>
              <w:jc w:val="left"/>
            </w:pPr>
            <w:r>
              <w:t xml:space="preserve">~3–5 ns</w:t>
            </w:r>
          </w:p>
        </w:tc>
        <w:tc>
          <w:tcPr/>
          <w:p>
            <w:pPr>
              <w:pStyle w:val="Compact"/>
            </w:pPr>
          </w:p>
        </w:tc>
      </w:tr>
      <w:tr>
        <w:tc>
          <w:tcPr/>
          <w:p>
            <w:pPr>
              <w:pStyle w:val="Compact"/>
              <w:jc w:val="left"/>
            </w:pPr>
            <w:r>
              <w:t xml:space="preserve">Mutex lock/unlock (uncontended)</w:t>
            </w:r>
          </w:p>
        </w:tc>
        <w:tc>
          <w:tcPr/>
          <w:p>
            <w:pPr>
              <w:pStyle w:val="Compact"/>
              <w:jc w:val="left"/>
            </w:pPr>
            <w:r>
              <w:t xml:space="preserve">25 ns</w:t>
            </w:r>
          </w:p>
        </w:tc>
        <w:tc>
          <w:tcPr/>
          <w:p>
            <w:pPr>
              <w:pStyle w:val="Compact"/>
              <w:jc w:val="left"/>
            </w:pPr>
            <w:r>
              <w:t xml:space="preserve">~10–25 ns</w:t>
            </w:r>
          </w:p>
        </w:tc>
        <w:tc>
          <w:tcPr/>
          <w:p>
            <w:pPr>
              <w:pStyle w:val="Compact"/>
              <w:jc w:val="left"/>
            </w:pPr>
            <w:r>
              <w:t xml:space="preserve">Contended locks cost far more</w:t>
            </w:r>
          </w:p>
        </w:tc>
      </w:tr>
      <w:tr>
        <w:tc>
          <w:tcPr/>
          <w:p>
            <w:pPr>
              <w:pStyle w:val="Compact"/>
              <w:jc w:val="left"/>
            </w:pPr>
            <w:r>
              <w:t xml:space="preserve">Main memory reference</w:t>
            </w:r>
          </w:p>
        </w:tc>
        <w:tc>
          <w:tcPr/>
          <w:p>
            <w:pPr>
              <w:pStyle w:val="Compact"/>
              <w:jc w:val="left"/>
            </w:pPr>
            <w:r>
              <w:t xml:space="preserve">100 ns</w:t>
            </w:r>
          </w:p>
        </w:tc>
        <w:tc>
          <w:tcPr/>
          <w:p>
            <w:pPr>
              <w:pStyle w:val="Compact"/>
              <w:jc w:val="left"/>
            </w:pPr>
            <w:r>
              <w:t xml:space="preserve">~80–120 ns</w:t>
            </w:r>
          </w:p>
        </w:tc>
        <w:tc>
          <w:tcPr/>
          <w:p>
            <w:pPr>
              <w:pStyle w:val="Compact"/>
              <w:jc w:val="left"/>
            </w:pPr>
            <w:r>
              <w:t xml:space="preserve">Has changed little in 15 years</w:t>
            </w:r>
          </w:p>
        </w:tc>
      </w:tr>
      <w:tr>
        <w:tc>
          <w:tcPr/>
          <w:p>
            <w:pPr>
              <w:pStyle w:val="Compact"/>
              <w:jc w:val="left"/>
            </w:pPr>
            <w:r>
              <w:t xml:space="preserve">Compress 1 KB with a fast compressor (Zippy/Snappy)</w:t>
            </w:r>
          </w:p>
        </w:tc>
        <w:tc>
          <w:tcPr/>
          <w:p>
            <w:pPr>
              <w:pStyle w:val="Compact"/>
              <w:jc w:val="left"/>
            </w:pPr>
            <w:r>
              <w:t xml:space="preserve">3 µs</w:t>
            </w:r>
          </w:p>
        </w:tc>
        <w:tc>
          <w:tcPr/>
          <w:p>
            <w:pPr>
              <w:pStyle w:val="Compact"/>
              <w:jc w:val="left"/>
            </w:pPr>
            <w:r>
              <w:t xml:space="preserve">~1–3 µs</w:t>
            </w:r>
          </w:p>
        </w:tc>
        <w:tc>
          <w:tcPr/>
          <w:p>
            <w:pPr>
              <w:pStyle w:val="Compact"/>
            </w:pPr>
          </w:p>
        </w:tc>
      </w:tr>
      <w:tr>
        <w:tc>
          <w:tcPr/>
          <w:p>
            <w:pPr>
              <w:pStyle w:val="Compact"/>
              <w:jc w:val="left"/>
            </w:pPr>
            <w:r>
              <w:t xml:space="preserve">Send 1 KB over a network link</w:t>
            </w:r>
          </w:p>
        </w:tc>
        <w:tc>
          <w:tcPr/>
          <w:p>
            <w:pPr>
              <w:pStyle w:val="Compact"/>
              <w:jc w:val="left"/>
            </w:pPr>
            <w:r>
              <w:t xml:space="preserve">10 µs (1 Gbps)</w:t>
            </w:r>
          </w:p>
        </w:tc>
        <w:tc>
          <w:tcPr/>
          <w:p>
            <w:pPr>
              <w:pStyle w:val="Compact"/>
              <w:jc w:val="left"/>
            </w:pPr>
            <w:r>
              <w:t xml:space="preserve">~1 µs (10 Gbps)</w:t>
            </w:r>
          </w:p>
        </w:tc>
        <w:tc>
          <w:tcPr/>
          <w:p>
            <w:pPr>
              <w:pStyle w:val="Compact"/>
              <w:jc w:val="left"/>
            </w:pPr>
            <w:r>
              <w:t xml:space="preserve">Serialization time only</w:t>
            </w:r>
          </w:p>
        </w:tc>
      </w:tr>
      <w:tr>
        <w:tc>
          <w:tcPr/>
          <w:p>
            <w:pPr>
              <w:pStyle w:val="Compact"/>
              <w:jc w:val="left"/>
            </w:pPr>
            <w:r>
              <w:t xml:space="preserve">Read 4 KB randomly from SSD</w:t>
            </w:r>
          </w:p>
        </w:tc>
        <w:tc>
          <w:tcPr/>
          <w:p>
            <w:pPr>
              <w:pStyle w:val="Compact"/>
              <w:jc w:val="left"/>
            </w:pPr>
            <w:r>
              <w:t xml:space="preserve">150 µs (SATA era)</w:t>
            </w:r>
          </w:p>
        </w:tc>
        <w:tc>
          <w:tcPr/>
          <w:p>
            <w:pPr>
              <w:pStyle w:val="Compact"/>
              <w:jc w:val="left"/>
            </w:pPr>
            <w:r>
              <w:t xml:space="preserve">~50–100 µs (NVMe)</w:t>
            </w:r>
          </w:p>
        </w:tc>
        <w:tc>
          <w:tcPr/>
          <w:p>
            <w:pPr>
              <w:pStyle w:val="Compact"/>
            </w:pPr>
          </w:p>
        </w:tc>
      </w:tr>
      <w:tr>
        <w:tc>
          <w:tcPr/>
          <w:p>
            <w:pPr>
              <w:pStyle w:val="Compact"/>
              <w:jc w:val="left"/>
            </w:pPr>
            <w:r>
              <w:t xml:space="preserve">Read 1 MB sequentially from memory</w:t>
            </w:r>
          </w:p>
        </w:tc>
        <w:tc>
          <w:tcPr/>
          <w:p>
            <w:pPr>
              <w:pStyle w:val="Compact"/>
              <w:jc w:val="left"/>
            </w:pPr>
            <w:r>
              <w:t xml:space="preserve">250 µs</w:t>
            </w:r>
          </w:p>
        </w:tc>
        <w:tc>
          <w:tcPr/>
          <w:p>
            <w:pPr>
              <w:pStyle w:val="Compact"/>
              <w:jc w:val="left"/>
            </w:pPr>
            <w:r>
              <w:t xml:space="preserve">~50–100 µs</w:t>
            </w:r>
          </w:p>
        </w:tc>
        <w:tc>
          <w:tcPr/>
          <w:p>
            <w:pPr>
              <w:pStyle w:val="Compact"/>
              <w:jc w:val="left"/>
            </w:pPr>
            <w:r>
              <w:t xml:space="preserve">One thread; depends on bandwidth per core</w:t>
            </w:r>
          </w:p>
        </w:tc>
      </w:tr>
      <w:tr>
        <w:tc>
          <w:tcPr/>
          <w:p>
            <w:pPr>
              <w:pStyle w:val="Compact"/>
              <w:jc w:val="left"/>
            </w:pPr>
            <w:r>
              <w:t xml:space="preserve">Round trip within one datacenter</w:t>
            </w:r>
          </w:p>
        </w:tc>
        <w:tc>
          <w:tcPr/>
          <w:p>
            <w:pPr>
              <w:pStyle w:val="Compact"/>
              <w:jc w:val="left"/>
            </w:pPr>
            <w:r>
              <w:t xml:space="preserve">500 µs</w:t>
            </w:r>
          </w:p>
        </w:tc>
        <w:tc>
          <w:tcPr/>
          <w:p>
            <w:pPr>
              <w:pStyle w:val="Compact"/>
              <w:jc w:val="left"/>
            </w:pPr>
            <w:r>
              <w:t xml:space="preserve">~50–500 µs</w:t>
            </w:r>
          </w:p>
        </w:tc>
        <w:tc>
          <w:tcPr/>
          <w:p>
            <w:pPr>
              <w:pStyle w:val="Compact"/>
              <w:jc w:val="left"/>
            </w:pPr>
            <w:r>
              <w:t xml:space="preserve">Kernel bypass can be much lower</w:t>
            </w:r>
          </w:p>
        </w:tc>
      </w:tr>
      <w:tr>
        <w:tc>
          <w:tcPr/>
          <w:p>
            <w:pPr>
              <w:pStyle w:val="Compact"/>
              <w:jc w:val="left"/>
            </w:pPr>
            <w:r>
              <w:t xml:space="preserve">Read 1 MB sequentially from SSD</w:t>
            </w:r>
          </w:p>
        </w:tc>
        <w:tc>
          <w:tcPr/>
          <w:p>
            <w:pPr>
              <w:pStyle w:val="Compact"/>
              <w:jc w:val="left"/>
            </w:pPr>
            <w:r>
              <w:t xml:space="preserve">1 ms</w:t>
            </w:r>
          </w:p>
        </w:tc>
        <w:tc>
          <w:tcPr/>
          <w:p>
            <w:pPr>
              <w:pStyle w:val="Compact"/>
              <w:jc w:val="left"/>
            </w:pPr>
            <w:r>
              <w:t xml:space="preserve">~0.15–0.3 ms (NVMe)</w:t>
            </w:r>
          </w:p>
        </w:tc>
        <w:tc>
          <w:tcPr/>
          <w:p>
            <w:pPr>
              <w:pStyle w:val="Compact"/>
            </w:pPr>
          </w:p>
        </w:tc>
      </w:tr>
      <w:tr>
        <w:tc>
          <w:tcPr/>
          <w:p>
            <w:pPr>
              <w:pStyle w:val="Compact"/>
              <w:jc w:val="left"/>
            </w:pPr>
            <w:r>
              <w:t xml:space="preserve">Disk (HDD) seek</w:t>
            </w:r>
          </w:p>
        </w:tc>
        <w:tc>
          <w:tcPr/>
          <w:p>
            <w:pPr>
              <w:pStyle w:val="Compact"/>
              <w:jc w:val="left"/>
            </w:pPr>
            <w:r>
              <w:t xml:space="preserve">10 ms</w:t>
            </w:r>
          </w:p>
        </w:tc>
        <w:tc>
          <w:tcPr/>
          <w:p>
            <w:pPr>
              <w:pStyle w:val="Compact"/>
              <w:jc w:val="left"/>
            </w:pPr>
            <w:r>
              <w:t xml:space="preserve">~4–10 ms</w:t>
            </w:r>
          </w:p>
        </w:tc>
        <w:tc>
          <w:tcPr/>
          <w:p>
            <w:pPr>
              <w:pStyle w:val="Compact"/>
              <w:jc w:val="left"/>
            </w:pPr>
            <w:r>
              <w:t xml:space="preserve">Mechanical; unchanged</w:t>
            </w:r>
          </w:p>
        </w:tc>
      </w:tr>
      <w:tr>
        <w:tc>
          <w:tcPr/>
          <w:p>
            <w:pPr>
              <w:pStyle w:val="Compact"/>
              <w:jc w:val="left"/>
            </w:pPr>
            <w:r>
              <w:t xml:space="preserve">Read 1 MB sequentially from HDD</w:t>
            </w:r>
          </w:p>
        </w:tc>
        <w:tc>
          <w:tcPr/>
          <w:p>
            <w:pPr>
              <w:pStyle w:val="Compact"/>
              <w:jc w:val="left"/>
            </w:pPr>
            <w:r>
              <w:t xml:space="preserve">20 ms</w:t>
            </w:r>
          </w:p>
        </w:tc>
        <w:tc>
          <w:tcPr/>
          <w:p>
            <w:pPr>
              <w:pStyle w:val="Compact"/>
              <w:jc w:val="left"/>
            </w:pPr>
            <w:r>
              <w:t xml:space="preserve">~5 ms</w:t>
            </w:r>
          </w:p>
        </w:tc>
        <w:tc>
          <w:tcPr/>
          <w:p>
            <w:pPr>
              <w:pStyle w:val="Compact"/>
              <w:jc w:val="left"/>
            </w:pPr>
            <w:r>
              <w:t xml:space="preserve">~200 MB/s sequential</w:t>
            </w:r>
          </w:p>
        </w:tc>
      </w:tr>
      <w:tr>
        <w:tc>
          <w:tcPr/>
          <w:p>
            <w:pPr>
              <w:pStyle w:val="Compact"/>
              <w:jc w:val="left"/>
            </w:pPr>
            <w:r>
              <w:t xml:space="preserve">Packet round trip California ↔ Netherlands</w:t>
            </w:r>
          </w:p>
        </w:tc>
        <w:tc>
          <w:tcPr/>
          <w:p>
            <w:pPr>
              <w:pStyle w:val="Compact"/>
              <w:jc w:val="left"/>
            </w:pPr>
            <w:r>
              <w:t xml:space="preserve">150 ms</w:t>
            </w:r>
          </w:p>
        </w:tc>
        <w:tc>
          <w:tcPr/>
          <w:p>
            <w:pPr>
              <w:pStyle w:val="Compact"/>
              <w:jc w:val="left"/>
            </w:pPr>
            <w:r>
              <w:t xml:space="preserve">~140–150 ms</w:t>
            </w:r>
          </w:p>
        </w:tc>
        <w:tc>
          <w:tcPr/>
          <w:p>
            <w:pPr>
              <w:pStyle w:val="Compact"/>
              <w:jc w:val="left"/>
            </w:pPr>
            <w:r>
              <w:t xml:space="preserve">Bounded by the speed of light in fiber</w:t>
            </w:r>
          </w:p>
        </w:tc>
      </w:tr>
    </w:tbl>
    <w:p>
      <w:pPr>
        <w:pStyle w:val="BodyText"/>
      </w:pPr>
      <w:r>
        <w:t xml:space="preserve">The modern column is this book’s order-of-magnitude estimate for commodity server hardware as of 2025, not a benchmark result; ranges reflect variation across hardware generations. Colin Scott’s interactive version of the table extrapolates the values year by year [Scott].</w:t>
      </w:r>
    </w:p>
    <w:bookmarkStart w:id="430" w:name="physics-sets-the-floor"/>
    <w:p>
      <w:pPr>
        <w:pStyle w:val="Heading4"/>
      </w:pPr>
      <w:r>
        <w:t xml:space="preserve">Physics sets the floor</w:t>
      </w:r>
    </w:p>
    <w:p>
      <w:pPr>
        <w:pStyle w:val="FirstParagraph"/>
      </w:pPr>
      <w:r>
        <w:t xml:space="preserve">Light in optical fiber travels at about two-thirds of its vacuum speed, roughly 200,000 km/s, or 5 µs per km. The great-circle distance from California to the Netherlands is about 8,800 km, so the round trip cannot take less than</w:t>
      </w:r>
      <w:r>
        <w:t xml:space="preserve"> </w:t>
      </w:r>
      <m:oMath>
        <m:r>
          <m:t>2</m:t>
        </m:r>
        <m:r>
          <m:rPr>
            <m:sty m:val="p"/>
          </m:rPr>
          <m:t>×</m:t>
        </m:r>
        <m:r>
          <m:t>8</m:t>
        </m:r>
        <m:r>
          <m:rPr>
            <m:sty m:val="p"/>
          </m:rPr>
          <m:t>,</m:t>
        </m:r>
        <m:r>
          <m:t>800</m:t>
        </m:r>
        <m:r>
          <m:rPr>
            <m:sty m:val="p"/>
          </m:rPr>
          <m:t>/</m:t>
        </m:r>
        <m:r>
          <m:t>200</m:t>
        </m:r>
        <m:r>
          <m:rPr>
            <m:sty m:val="p"/>
          </m:rPr>
          <m:t>,</m:t>
        </m:r>
        <m:r>
          <m:t>000</m:t>
        </m:r>
        <m:r>
          <m:rPr>
            <m:sty m:val="p"/>
          </m:rPr>
          <m:t>=</m:t>
        </m:r>
        <m:r>
          <m:t>0.088</m:t>
        </m:r>
      </m:oMath>
      <w:r>
        <w:t xml:space="preserve"> </w:t>
      </w:r>
      <w:r>
        <w:t xml:space="preserve">s = 88 ms, even with perfect routing. No engineering removes that floor; only moving data closer (caching, CDNs, replicas in more regions; Chapters 21 and 44) does.</w:t>
      </w:r>
    </w:p>
    <w:p>
      <w:pPr>
        <w:pStyle w:val="CalloutExample"/>
      </w:pPr>
      <w:r>
        <w:rPr>
          <w:bCs/>
          <w:b/>
        </w:rPr>
        <w:t xml:space="preserve">WORKED EXAMPLE</w:t>
      </w:r>
    </w:p>
    <w:p>
      <w:pPr>
        <w:pStyle w:val="CalloutExample"/>
      </w:pPr>
      <w:r>
        <w:rPr>
          <w:bCs/>
          <w:b/>
        </w:rPr>
        <w:t xml:space="preserve">Worked example — Reading 1 GB from four places, using the classic column.</w:t>
      </w:r>
    </w:p>
    <w:p>
      <w:pPr>
        <w:numPr>
          <w:ilvl w:val="0"/>
          <w:numId w:val="1123"/>
        </w:numPr>
        <w:pStyle w:val="Compact"/>
      </w:pPr>
      <w:r>
        <w:t xml:space="preserve">From memory:</w:t>
      </w:r>
      <w:r>
        <w:t xml:space="preserve"> </w:t>
      </w:r>
      <m:oMath>
        <m:r>
          <m:t>1</m:t>
        </m:r>
        <m:r>
          <m:rPr>
            <m:sty m:val="p"/>
          </m:rPr>
          <m:t>,</m:t>
        </m:r>
        <m:r>
          <m:t>000</m:t>
        </m:r>
        <m:r>
          <m:rPr>
            <m:sty m:val="p"/>
          </m:rPr>
          <m:t>×</m:t>
        </m:r>
        <m:r>
          <m:t>250</m:t>
        </m:r>
      </m:oMath>
      <w:r>
        <w:t xml:space="preserve"> </w:t>
      </w:r>
      <w:r>
        <w:t xml:space="preserve">µs</w:t>
      </w:r>
      <w:r>
        <w:t xml:space="preserve"> </w:t>
      </w:r>
      <m:oMath>
        <m:r>
          <m:rPr>
            <m:sty m:val="p"/>
          </m:rPr>
          <m:t>=</m:t>
        </m:r>
        <m:r>
          <m:t>0.25</m:t>
        </m:r>
      </m:oMath>
      <w:r>
        <w:t xml:space="preserve"> </w:t>
      </w:r>
      <w:r>
        <w:t xml:space="preserve">s.</w:t>
      </w:r>
    </w:p>
    <w:p>
      <w:pPr>
        <w:numPr>
          <w:ilvl w:val="0"/>
          <w:numId w:val="1123"/>
        </w:numPr>
        <w:pStyle w:val="Compact"/>
      </w:pPr>
      <w:r>
        <w:t xml:space="preserve">From SSD (sequential):</w:t>
      </w:r>
      <w:r>
        <w:t xml:space="preserve"> </w:t>
      </w:r>
      <m:oMath>
        <m:r>
          <m:t>1</m:t>
        </m:r>
        <m:r>
          <m:rPr>
            <m:sty m:val="p"/>
          </m:rPr>
          <m:t>,</m:t>
        </m:r>
        <m:r>
          <m:t>000</m:t>
        </m:r>
        <m:r>
          <m:rPr>
            <m:sty m:val="p"/>
          </m:rPr>
          <m:t>×</m:t>
        </m:r>
        <m:r>
          <m:t>1</m:t>
        </m:r>
      </m:oMath>
      <w:r>
        <w:t xml:space="preserve"> </w:t>
      </w:r>
      <w:r>
        <w:t xml:space="preserve">ms</w:t>
      </w:r>
      <w:r>
        <w:t xml:space="preserve"> </w:t>
      </w:r>
      <m:oMath>
        <m:r>
          <m:rPr>
            <m:sty m:val="p"/>
          </m:rPr>
          <m:t>=</m:t>
        </m:r>
        <m:r>
          <m:t>1</m:t>
        </m:r>
      </m:oMath>
      <w:r>
        <w:t xml:space="preserve"> </w:t>
      </w:r>
      <w:r>
        <w:t xml:space="preserve">s.</w:t>
      </w:r>
    </w:p>
    <w:p>
      <w:pPr>
        <w:numPr>
          <w:ilvl w:val="0"/>
          <w:numId w:val="1123"/>
        </w:numPr>
        <w:pStyle w:val="Compact"/>
      </w:pPr>
      <w:r>
        <w:t xml:space="preserve">From HDD (sequential):</w:t>
      </w:r>
      <w:r>
        <w:t xml:space="preserve"> </w:t>
      </w:r>
      <m:oMath>
        <m:r>
          <m:t>1</m:t>
        </m:r>
        <m:r>
          <m:rPr>
            <m:sty m:val="p"/>
          </m:rPr>
          <m:t>,</m:t>
        </m:r>
        <m:r>
          <m:t>000</m:t>
        </m:r>
        <m:r>
          <m:rPr>
            <m:sty m:val="p"/>
          </m:rPr>
          <m:t>×</m:t>
        </m:r>
        <m:r>
          <m:t>20</m:t>
        </m:r>
      </m:oMath>
      <w:r>
        <w:t xml:space="preserve"> </w:t>
      </w:r>
      <w:r>
        <w:t xml:space="preserve">ms</w:t>
      </w:r>
      <w:r>
        <w:t xml:space="preserve"> </w:t>
      </w:r>
      <m:oMath>
        <m:r>
          <m:rPr>
            <m:sty m:val="p"/>
          </m:rPr>
          <m:t>=</m:t>
        </m:r>
        <m:r>
          <m:t>20</m:t>
        </m:r>
      </m:oMath>
      <w:r>
        <w:t xml:space="preserve"> </w:t>
      </w:r>
      <w:r>
        <w:t xml:space="preserve">s.</w:t>
      </w:r>
    </w:p>
    <w:p>
      <w:pPr>
        <w:numPr>
          <w:ilvl w:val="0"/>
          <w:numId w:val="1123"/>
        </w:numPr>
        <w:pStyle w:val="Compact"/>
      </w:pPr>
      <w:r>
        <w:t xml:space="preserve">Over a 1 Gbps network:</w:t>
      </w:r>
      <w:r>
        <w:t xml:space="preserve"> </w:t>
      </w:r>
      <m:oMath>
        <m:r>
          <m:t>8</m:t>
        </m:r>
        <m:r>
          <m:rPr>
            <m:sty m:val="p"/>
          </m:rPr>
          <m:t>×</m:t>
        </m:r>
        <m:sSup>
          <m:e>
            <m:r>
              <m:t>10</m:t>
            </m:r>
          </m:e>
          <m:sup>
            <m:r>
              <m:t>9</m:t>
            </m:r>
          </m:sup>
        </m:sSup>
        <m:r>
          <m:rPr>
            <m:sty m:val="p"/>
          </m:rPr>
          <m:t>/</m:t>
        </m:r>
        <m:sSup>
          <m:e>
            <m:r>
              <m:t>10</m:t>
            </m:r>
          </m:e>
          <m:sup>
            <m:r>
              <m:t>9</m:t>
            </m:r>
          </m:sup>
        </m:sSup>
        <m:r>
          <m:rPr>
            <m:sty m:val="p"/>
          </m:rPr>
          <m:t>=</m:t>
        </m:r>
        <m:r>
          <m:t>8</m:t>
        </m:r>
      </m:oMath>
      <w:r>
        <w:t xml:space="preserve"> </w:t>
      </w:r>
      <w:r>
        <w:t xml:space="preserve">s.</w:t>
      </w:r>
    </w:p>
    <w:p>
      <w:pPr>
        <w:numPr>
          <w:ilvl w:val="0"/>
          <w:numId w:val="1123"/>
        </w:numPr>
        <w:pStyle w:val="Compact"/>
      </w:pPr>
      <w:r>
        <w:t xml:space="preserve">From HDD with a seek per 4 KB block (random):</w:t>
      </w:r>
      <w:r>
        <w:t xml:space="preserve"> </w:t>
      </w:r>
      <m:oMath>
        <m:r>
          <m:t>250</m:t>
        </m:r>
        <m:r>
          <m:rPr>
            <m:sty m:val="p"/>
          </m:rPr>
          <m:t>,</m:t>
        </m:r>
        <m:r>
          <m:t>000</m:t>
        </m:r>
      </m:oMath>
      <w:r>
        <w:t xml:space="preserve"> </w:t>
      </w:r>
      <w:r>
        <w:t xml:space="preserve">blocks</w:t>
      </w:r>
      <w:r>
        <w:t xml:space="preserve"> </w:t>
      </w:r>
      <m:oMath>
        <m:r>
          <m:rPr>
            <m:sty m:val="p"/>
          </m:rPr>
          <m:t>×</m:t>
        </m:r>
      </m:oMath>
      <w:r>
        <w:t xml:space="preserve"> </w:t>
      </w:r>
      <w:r>
        <w:t xml:space="preserve">10 ms</w:t>
      </w:r>
      <w:r>
        <w:t xml:space="preserve"> </w:t>
      </w:r>
      <m:oMath>
        <m:r>
          <m:rPr>
            <m:sty m:val="p"/>
          </m:rPr>
          <m:t>=</m:t>
        </m:r>
        <m:r>
          <m:t>2</m:t>
        </m:r>
        <m:r>
          <m:rPr>
            <m:sty m:val="p"/>
          </m:rPr>
          <m:t>,</m:t>
        </m:r>
        <m:r>
          <m:t>500</m:t>
        </m:r>
      </m:oMath>
      <w:r>
        <w:t xml:space="preserve"> </w:t>
      </w:r>
      <w:r>
        <w:t xml:space="preserve">s ≈ 42 min.</w:t>
      </w:r>
    </w:p>
    <w:p>
      <w:pPr>
        <w:pStyle w:val="CalloutExample"/>
      </w:pPr>
      <w:r>
        <w:rPr>
          <w:bCs/>
          <w:b/>
        </w:rPr>
        <w:t xml:space="preserve">Interpretation.</w:t>
      </w:r>
      <w:r>
        <w:t xml:space="preserve"> </w:t>
      </w:r>
      <w:r>
        <w:t xml:space="preserve">Memory, SSD, network and disk span two orders of magnitude for sequential access, and random disk access is another two orders slower than sequential.</w:t>
      </w:r>
      <w:r>
        <w:t xml:space="preserve"> </w:t>
      </w:r>
      <w:r>
        <w:rPr>
          <w:bCs/>
          <w:b/>
        </w:rPr>
        <w:t xml:space="preserve">Engineering implication.</w:t>
      </w:r>
      <w:r>
        <w:t xml:space="preserve"> </w:t>
      </w:r>
      <w:r>
        <w:t xml:space="preserve">Design data layouts for sequential access (log-structured storage, §13.7; columnar files, §13.13), keep hot working sets in memory (Chapter 20), and count cross-region round trips on every user-facing path: five sequential 150 ms round trips is already 750 ms.</w:t>
      </w:r>
    </w:p>
    <w:bookmarkEnd w:id="430"/>
    <w:bookmarkEnd w:id="431"/>
    <w:bookmarkEnd w:id="432"/>
    <w:bookmarkStart w:id="442" w:name="X323d48b3df1dfecb9700af22273127c958eebae"/>
    <w:p>
      <w:pPr>
        <w:pStyle w:val="Heading2"/>
      </w:pPr>
      <w:r>
        <w:t xml:space="preserve">4.18 Quantitative relationships that recur in system design</w:t>
      </w:r>
    </w:p>
    <w:p>
      <w:pPr>
        <w:pStyle w:val="FirstParagraph"/>
      </w:pPr>
      <w:r>
        <w:t xml:space="preserve">The formulas of this chapter are not independent facts. They describe six trade-offs you will meet in almost every later chapter.</w:t>
      </w:r>
    </w:p>
    <w:p>
      <w:pPr>
        <w:pStyle w:val="BodyText"/>
      </w:pPr>
      <w:r>
        <w:rPr>
          <w:bCs/>
          <w:b/>
        </w:rPr>
        <w:t xml:space="preserve">Figure 4.9 — Six recurring quantitative relationships.</w:t>
      </w:r>
    </w:p>
    <w:p>
      <w:pPr>
        <w:pStyle w:val="BodyText"/>
      </w:pPr>
      <w:r>
        <w:drawing>
          <wp:inline>
            <wp:extent cx="5334000" cy="6966857"/>
            <wp:effectExtent b="0" l="0" r="0" t="0"/>
            <wp:docPr descr="" title="" id="434" name="Picture"/>
            <a:graphic>
              <a:graphicData uri="http://schemas.openxmlformats.org/drawingml/2006/picture">
                <pic:pic>
                  <pic:nvPicPr>
                    <pic:cNvPr descr="/home/user/System-Design/build/.cache/diagrams/652330f7361b.png" id="435" name="Picture"/>
                    <pic:cNvPicPr>
                      <a:picLocks noChangeArrowheads="1" noChangeAspect="1"/>
                    </pic:cNvPicPr>
                  </pic:nvPicPr>
                  <pic:blipFill>
                    <a:blip r:embed="rId433"/>
                    <a:stretch>
                      <a:fillRect/>
                    </a:stretch>
                  </pic:blipFill>
                  <pic:spPr bwMode="auto">
                    <a:xfrm>
                      <a:off x="0" y="0"/>
                      <a:ext cx="5334000" cy="6966857"/>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This is a conceptual map, not a data flow: there are no protocols or storage boundaries. Left-hand nodes are design levers, right-hand nodes are outcomes, and each arrow gives the direction of the effect. Most levers improve one outcome while worsening another — that is what makes them trade-offs. The subsections below quantify each arrow.</w:t>
      </w:r>
    </w:p>
    <w:bookmarkStart w:id="436" w:name="latency-throughput"/>
    <w:p>
      <w:pPr>
        <w:pStyle w:val="Heading3"/>
      </w:pPr>
      <w:r>
        <w:t xml:space="preserve">4.18.1 Latency ↔ throughput</w:t>
      </w:r>
    </w:p>
    <w:p>
      <w:pPr>
        <w:pStyle w:val="FirstParagraph"/>
      </w:pPr>
      <w:r>
        <w:t xml:space="preserve">In a</w:t>
      </w:r>
      <w:r>
        <w:t xml:space="preserve"> </w:t>
      </w:r>
      <w:r>
        <w:rPr>
          <w:iCs/>
          <w:i/>
        </w:rPr>
        <w:t xml:space="preserve">closed</w:t>
      </w:r>
      <w:r>
        <w:t xml:space="preserve"> </w:t>
      </w:r>
      <w:r>
        <w:t xml:space="preserve">system, where a fixed number of clients each wait for a reply before sending the next request, Little’s Law gives throughput</w:t>
      </w:r>
      <w:r>
        <w:t xml:space="preserve"> </w:t>
      </w:r>
      <m:oMath>
        <m:r>
          <m:t>X</m:t>
        </m:r>
        <m:r>
          <m:rPr>
            <m:sty m:val="p"/>
          </m:rPr>
          <m:t>=</m:t>
        </m:r>
        <m:r>
          <m:t>N</m:t>
        </m:r>
        <m:r>
          <m:rPr>
            <m:sty m:val="p"/>
          </m:rPr>
          <m:t>/</m:t>
        </m:r>
        <m:r>
          <m:t>R</m:t>
        </m:r>
      </m:oMath>
      <w:r>
        <w:t xml:space="preserve">: concurrency divided by latency. In an</w:t>
      </w:r>
      <w:r>
        <w:t xml:space="preserve"> </w:t>
      </w:r>
      <w:r>
        <w:rPr>
          <w:iCs/>
          <w:i/>
        </w:rPr>
        <w:t xml:space="preserve">open</w:t>
      </w:r>
      <w:r>
        <w:t xml:space="preserve"> </w:t>
      </w:r>
      <w:r>
        <w:t xml:space="preserve">system, where requests arrive regardless of how fast earlier ones finish, raising throughput toward capacity raises latency by</w:t>
      </w:r>
      <w:r>
        <w:t xml:space="preserve"> </w:t>
      </w:r>
      <m:oMath>
        <m:r>
          <m:t>1</m:t>
        </m:r>
        <m:r>
          <m:rPr>
            <m:sty m:val="p"/>
          </m:rPr>
          <m:t>/</m:t>
        </m:r>
        <m:d>
          <m:dPr>
            <m:begChr m:val="("/>
            <m:endChr m:val=")"/>
            <m:sepChr m:val=""/>
            <m:grow/>
          </m:dPr>
          <m:e>
            <m:r>
              <m:t>1</m:t>
            </m:r>
            <m:r>
              <m:rPr>
                <m:sty m:val="p"/>
              </m:rPr>
              <m:t>−</m:t>
            </m:r>
            <m:r>
              <m:t>ρ</m:t>
            </m:r>
          </m:e>
        </m:d>
      </m:oMath>
      <w:r>
        <w:t xml:space="preserve"> </w:t>
      </w:r>
      <w:r>
        <w:t xml:space="preserve">(§4.10).</w:t>
      </w:r>
    </w:p>
    <w:p>
      <w:pPr>
        <w:pStyle w:val="CalloutExample"/>
      </w:pPr>
      <w:r>
        <w:rPr>
          <w:bCs/>
          <w:b/>
        </w:rPr>
        <w:t xml:space="preserve">WORKED EXAMPLE</w:t>
      </w:r>
    </w:p>
    <w:p>
      <w:pPr>
        <w:pStyle w:val="CalloutExample"/>
      </w:pPr>
      <w:r>
        <w:rPr>
          <w:bCs/>
          <w:b/>
        </w:rPr>
        <w:t xml:space="preserve">Worked example — One connection versus many.</w:t>
      </w:r>
      <w:r>
        <w:t xml:space="preserve"> </w:t>
      </w:r>
      <w:r>
        <w:t xml:space="preserve">A client sends requests one at a time over one connection. Each request spends 1.9 ms on the network round trip and 0.1 ms of server processing, so the server can complete at most 10,000 requests/s, and an unloaded request takes</w:t>
      </w:r>
      <w:r>
        <w:t xml:space="preserve"> </w:t>
      </w:r>
      <m:oMath>
        <m:r>
          <m:t>R</m:t>
        </m:r>
        <m:r>
          <m:rPr>
            <m:sty m:val="p"/>
          </m:rPr>
          <m:t>=</m:t>
        </m:r>
        <m:r>
          <m:t>2</m:t>
        </m:r>
      </m:oMath>
      <w:r>
        <w:t xml:space="preserve"> </w:t>
      </w:r>
      <w:r>
        <w:t xml:space="preserve">ms.</w:t>
      </w:r>
    </w:p>
    <w:p>
      <w:pPr>
        <w:numPr>
          <w:ilvl w:val="0"/>
          <w:numId w:val="1124"/>
        </w:numPr>
        <w:pStyle w:val="Compact"/>
      </w:pPr>
      <w:r>
        <w:t xml:space="preserve">One connection:</w:t>
      </w:r>
      <w:r>
        <w:t xml:space="preserve"> </w:t>
      </w:r>
      <m:oMath>
        <m:r>
          <m:t>X</m:t>
        </m:r>
        <m:r>
          <m:rPr>
            <m:sty m:val="p"/>
          </m:rPr>
          <m:t>=</m:t>
        </m:r>
        <m:r>
          <m:t>N</m:t>
        </m:r>
        <m:r>
          <m:rPr>
            <m:sty m:val="p"/>
          </m:rPr>
          <m:t>/</m:t>
        </m:r>
        <m:r>
          <m:t>R</m:t>
        </m:r>
        <m:r>
          <m:rPr>
            <m:sty m:val="p"/>
          </m:rPr>
          <m:t>=</m:t>
        </m:r>
        <m:r>
          <m:t>1</m:t>
        </m:r>
        <m:r>
          <m:rPr>
            <m:sty m:val="p"/>
          </m:rPr>
          <m:t>/</m:t>
        </m:r>
        <m:r>
          <m:t>0.002</m:t>
        </m:r>
        <m:r>
          <m:rPr>
            <m:sty m:val="p"/>
          </m:rPr>
          <m:t>=</m:t>
        </m:r>
        <m:r>
          <m:t>500</m:t>
        </m:r>
      </m:oMath>
      <w:r>
        <w:t xml:space="preserve"> </w:t>
      </w:r>
      <w:r>
        <w:t xml:space="preserve">requests/s, no matter how powerful the server is. The server is 5% utilized.</w:t>
      </w:r>
    </w:p>
    <w:p>
      <w:pPr>
        <w:numPr>
          <w:ilvl w:val="0"/>
          <w:numId w:val="1124"/>
        </w:numPr>
        <w:pStyle w:val="Compact"/>
      </w:pPr>
      <w:r>
        <w:t xml:space="preserve">Sixteen concurrent connections: ignoring queueing,</w:t>
      </w:r>
      <w:r>
        <w:t xml:space="preserve"> </w:t>
      </w:r>
      <m:oMath>
        <m:r>
          <m:t>X</m:t>
        </m:r>
        <m:r>
          <m:rPr>
            <m:sty m:val="p"/>
          </m:rPr>
          <m:t>=</m:t>
        </m:r>
        <m:r>
          <m:t>16</m:t>
        </m:r>
        <m:r>
          <m:rPr>
            <m:sty m:val="p"/>
          </m:rPr>
          <m:t>/</m:t>
        </m:r>
        <m:r>
          <m:t>0.002</m:t>
        </m:r>
        <m:r>
          <m:rPr>
            <m:sty m:val="p"/>
          </m:rPr>
          <m:t>=</m:t>
        </m:r>
        <m:r>
          <m:t>8</m:t>
        </m:r>
        <m:r>
          <m:rPr>
            <m:sty m:val="p"/>
          </m:rPr>
          <m:t>,</m:t>
        </m:r>
        <m:r>
          <m:t>000</m:t>
        </m:r>
      </m:oMath>
      <w:r>
        <w:t xml:space="preserve"> </w:t>
      </w:r>
      <w:r>
        <w:t xml:space="preserve">requests/s. But the server would then be 80% utilized, and by the M/M/1 approximation its 0.1 ms becomes</w:t>
      </w:r>
      <w:r>
        <w:t xml:space="preserve"> </w:t>
      </w:r>
      <m:oMath>
        <m:r>
          <m:t>0.1</m:t>
        </m:r>
        <m:r>
          <m:rPr>
            <m:sty m:val="p"/>
          </m:rPr>
          <m:t>/</m:t>
        </m:r>
        <m:d>
          <m:dPr>
            <m:begChr m:val="("/>
            <m:endChr m:val=")"/>
            <m:sepChr m:val=""/>
            <m:grow/>
          </m:dPr>
          <m:e>
            <m:r>
              <m:t>1</m:t>
            </m:r>
            <m:r>
              <m:rPr>
                <m:sty m:val="p"/>
              </m:rPr>
              <m:t>−</m:t>
            </m:r>
            <m:r>
              <m:t>0.8</m:t>
            </m:r>
          </m:e>
        </m:d>
        <m:r>
          <m:rPr>
            <m:sty m:val="p"/>
          </m:rPr>
          <m:t>=</m:t>
        </m:r>
        <m:r>
          <m:t>0.5</m:t>
        </m:r>
      </m:oMath>
      <w:r>
        <w:t xml:space="preserve"> </w:t>
      </w:r>
      <w:r>
        <w:t xml:space="preserve">ms. Solving</w:t>
      </w:r>
      <w:r>
        <w:t xml:space="preserve"> </w:t>
      </w:r>
      <m:oMath>
        <m:r>
          <m:t>X</m:t>
        </m:r>
        <m:r>
          <m:rPr>
            <m:sty m:val="p"/>
          </m:rPr>
          <m:t>=</m:t>
        </m:r>
        <m:r>
          <m:t>16</m:t>
        </m:r>
        <m:r>
          <m:rPr>
            <m:sty m:val="p"/>
          </m:rPr>
          <m:t>/</m:t>
        </m:r>
        <m:r>
          <m:t>R</m:t>
        </m:r>
      </m:oMath>
      <w:r>
        <w:t xml:space="preserve"> </w:t>
      </w:r>
      <w:r>
        <w:t xml:space="preserve">and</w:t>
      </w:r>
      <w:r>
        <w:t xml:space="preserve"> </w:t>
      </w:r>
      <m:oMath>
        <m:r>
          <m:t>R</m:t>
        </m:r>
        <m:r>
          <m:rPr>
            <m:sty m:val="p"/>
          </m:rPr>
          <m:t>=</m:t>
        </m:r>
        <m:r>
          <m:t>1.9</m:t>
        </m:r>
        <m:r>
          <m:rPr>
            <m:sty m:val="p"/>
          </m:rPr>
          <m:t>+</m:t>
        </m:r>
        <m:r>
          <m:t>0.1</m:t>
        </m:r>
        <m:r>
          <m:rPr>
            <m:sty m:val="p"/>
          </m:rPr>
          <m:t>/</m:t>
        </m:r>
        <m:d>
          <m:dPr>
            <m:begChr m:val="("/>
            <m:endChr m:val=")"/>
            <m:sepChr m:val=""/>
            <m:grow/>
          </m:dPr>
          <m:e>
            <m:r>
              <m:t>1</m:t>
            </m:r>
            <m:r>
              <m:rPr>
                <m:sty m:val="p"/>
              </m:rPr>
              <m:t>−</m:t>
            </m:r>
            <m:r>
              <m:t>X</m:t>
            </m:r>
            <m:r>
              <m:rPr>
                <m:sty m:val="p"/>
              </m:rPr>
              <m:t>/</m:t>
            </m:r>
            <m:r>
              <m:t>10</m:t>
            </m:r>
            <m:r>
              <m:rPr>
                <m:sty m:val="p"/>
              </m:rPr>
              <m:t>,</m:t>
            </m:r>
            <m:r>
              <m:t>000</m:t>
            </m:r>
          </m:e>
        </m:d>
      </m:oMath>
      <w:r>
        <w:t xml:space="preserve"> </w:t>
      </w:r>
      <w:r>
        <w:t xml:space="preserve">ms together gives</w:t>
      </w:r>
      <w:r>
        <w:t xml:space="preserve"> </w:t>
      </w:r>
      <m:oMath>
        <m:r>
          <m:t>X</m:t>
        </m:r>
        <m:r>
          <m:rPr>
            <m:sty m:val="p"/>
          </m:rPr>
          <m:t>≈</m:t>
        </m:r>
        <m:r>
          <m:t>7</m:t>
        </m:r>
        <m:r>
          <m:rPr>
            <m:sty m:val="p"/>
          </m:rPr>
          <m:t>,</m:t>
        </m:r>
        <m:r>
          <m:t>100</m:t>
        </m:r>
      </m:oMath>
      <w:r>
        <w:t xml:space="preserve"> </w:t>
      </w:r>
      <w:r>
        <w:t xml:space="preserve">requests/s and</w:t>
      </w:r>
      <w:r>
        <w:t xml:space="preserve"> </w:t>
      </w:r>
      <m:oMath>
        <m:r>
          <m:t>R</m:t>
        </m:r>
        <m:r>
          <m:rPr>
            <m:sty m:val="p"/>
          </m:rPr>
          <m:t>≈</m:t>
        </m:r>
        <m:r>
          <m:t>2.25</m:t>
        </m:r>
      </m:oMath>
      <w:r>
        <w:t xml:space="preserve"> </w:t>
      </w:r>
      <w:r>
        <w:t xml:space="preserve">ms.</w:t>
      </w:r>
    </w:p>
    <w:p>
      <w:pPr>
        <w:numPr>
          <w:ilvl w:val="0"/>
          <w:numId w:val="1124"/>
        </w:numPr>
        <w:pStyle w:val="Compact"/>
      </w:pPr>
      <w:r>
        <w:t xml:space="preserve">Sixty-four connections: the naive</w:t>
      </w:r>
      <w:r>
        <w:t xml:space="preserve"> </w:t>
      </w:r>
      <m:oMath>
        <m:r>
          <m:t>64</m:t>
        </m:r>
        <m:r>
          <m:rPr>
            <m:sty m:val="p"/>
          </m:rPr>
          <m:t>/</m:t>
        </m:r>
        <m:r>
          <m:t>0.002</m:t>
        </m:r>
        <m:r>
          <m:rPr>
            <m:sty m:val="p"/>
          </m:rPr>
          <m:t>=</m:t>
        </m:r>
        <m:r>
          <m:t>32</m:t>
        </m:r>
        <m:r>
          <m:rPr>
            <m:sty m:val="p"/>
          </m:rPr>
          <m:t>,</m:t>
        </m:r>
        <m:r>
          <m:t>000</m:t>
        </m:r>
      </m:oMath>
      <w:r>
        <w:t xml:space="preserve"> </w:t>
      </w:r>
      <w:r>
        <w:t xml:space="preserve">requests/s exceeds capacity, so</w:t>
      </w:r>
      <w:r>
        <w:t xml:space="preserve"> </w:t>
      </w:r>
      <m:oMath>
        <m:r>
          <m:t>X</m:t>
        </m:r>
      </m:oMath>
      <w:r>
        <w:t xml:space="preserve"> </w:t>
      </w:r>
      <w:r>
        <w:t xml:space="preserve">approaches 10,000 requests/s and Little’s Law forces</w:t>
      </w:r>
      <w:r>
        <w:t xml:space="preserve"> </w:t>
      </w:r>
      <m:oMath>
        <m:r>
          <m:t>R</m:t>
        </m:r>
        <m:r>
          <m:rPr>
            <m:sty m:val="p"/>
          </m:rPr>
          <m:t>=</m:t>
        </m:r>
        <m:r>
          <m:t>N</m:t>
        </m:r>
        <m:r>
          <m:rPr>
            <m:sty m:val="p"/>
          </m:rPr>
          <m:t>/</m:t>
        </m:r>
        <m:r>
          <m:t>X</m:t>
        </m:r>
        <m:r>
          <m:rPr>
            <m:sty m:val="p"/>
          </m:rPr>
          <m:t>=</m:t>
        </m:r>
        <m:r>
          <m:t>64</m:t>
        </m:r>
        <m:r>
          <m:rPr>
            <m:sty m:val="p"/>
          </m:rPr>
          <m:t>/</m:t>
        </m:r>
        <m:r>
          <m:t>10</m:t>
        </m:r>
        <m:r>
          <m:rPr>
            <m:sty m:val="p"/>
          </m:rPr>
          <m:t>,</m:t>
        </m:r>
        <m:r>
          <m:t>000</m:t>
        </m:r>
        <m:r>
          <m:rPr>
            <m:sty m:val="p"/>
          </m:rPr>
          <m:t>=</m:t>
        </m:r>
        <m:r>
          <m:t>6.4</m:t>
        </m:r>
      </m:oMath>
      <w:r>
        <w:t xml:space="preserve"> </w:t>
      </w:r>
      <w:r>
        <w:t xml:space="preserve">ms. The extra 4.4 ms is pure queueing.</w:t>
      </w:r>
    </w:p>
    <w:p>
      <w:pPr>
        <w:pStyle w:val="CalloutExample"/>
      </w:pPr>
      <w:r>
        <w:rPr>
          <w:bCs/>
          <w:b/>
        </w:rPr>
        <w:t xml:space="preserve">Interpretation.</w:t>
      </w:r>
      <w:r>
        <w:t xml:space="preserve"> </w:t>
      </w:r>
      <w:r>
        <w:t xml:space="preserve">Throughput is limited by concurrency × (1 / latency) and by capacity; latency rises as throughput approaches capacity.</w:t>
      </w:r>
      <w:r>
        <w:t xml:space="preserve"> </w:t>
      </w:r>
      <w:r>
        <w:rPr>
          <w:bCs/>
          <w:b/>
        </w:rPr>
        <w:t xml:space="preserve">Engineering implication.</w:t>
      </w:r>
      <w:r>
        <w:t xml:space="preserve"> </w:t>
      </w:r>
      <w:r>
        <w:t xml:space="preserve">If throughput is low while servers are idle, the bottleneck is client concurrency or round trips (fix with pooling, pipelining, batching); if latency is high while servers are busy, the bottleneck is capacity.</w:t>
      </w:r>
    </w:p>
    <w:bookmarkEnd w:id="436"/>
    <w:bookmarkStart w:id="437" w:name="availability-reliability"/>
    <w:p>
      <w:pPr>
        <w:pStyle w:val="Heading3"/>
      </w:pPr>
      <w:r>
        <w:t xml:space="preserve">4.18.2 Availability ↔ reliability</w:t>
      </w:r>
    </w:p>
    <w:p>
      <w:pPr>
        <w:pStyle w:val="CalloutExample"/>
      </w:pPr>
      <w:r>
        <w:rPr>
          <w:bCs/>
          <w:b/>
        </w:rPr>
        <w:t xml:space="preserve">WORKED EXAMPLE</w:t>
      </w:r>
    </w:p>
    <w:p>
      <w:pPr>
        <w:pStyle w:val="CalloutExample"/>
      </w:pPr>
      <w:r>
        <w:rPr>
          <w:bCs/>
          <w:b/>
        </w:rPr>
        <w:t xml:space="preserve">Worked example — More available, less reliable.</w:t>
      </w:r>
      <w:r>
        <w:t xml:space="preserve"> </w:t>
      </w:r>
      <w:r>
        <w:t xml:space="preserve">System X fails once a day (MTBF = 24 h) but recovers in 1 s. System Y fails once a year (MTBF = 8,760 h) but takes a day to recover.</w:t>
      </w:r>
    </w:p>
    <w:p>
      <w:pPr>
        <w:numPr>
          <w:ilvl w:val="0"/>
          <w:numId w:val="1125"/>
        </w:numPr>
        <w:pStyle w:val="Compact"/>
      </w:pPr>
      <m:oMath>
        <m:sSub>
          <m:e>
            <m:r>
              <m:t>A</m:t>
            </m:r>
          </m:e>
          <m:sub>
            <m:r>
              <m:t>X</m:t>
            </m:r>
          </m:sub>
        </m:sSub>
        <m:r>
          <m:rPr>
            <m:sty m:val="p"/>
          </m:rPr>
          <m:t>=</m:t>
        </m:r>
        <m:r>
          <m:t>86</m:t>
        </m:r>
        <m:r>
          <m:rPr>
            <m:sty m:val="p"/>
          </m:rPr>
          <m:t>,</m:t>
        </m:r>
        <m:r>
          <m:t>400</m:t>
        </m:r>
        <m:r>
          <m:rPr>
            <m:sty m:val="p"/>
          </m:rPr>
          <m:t>/</m:t>
        </m:r>
        <m:r>
          <m:t>86</m:t>
        </m:r>
        <m:r>
          <m:rPr>
            <m:sty m:val="p"/>
          </m:rPr>
          <m:t>,</m:t>
        </m:r>
        <m:r>
          <m:t>401</m:t>
        </m:r>
        <m:r>
          <m:rPr>
            <m:sty m:val="p"/>
          </m:rPr>
          <m:t>=</m:t>
        </m:r>
        <m:r>
          <m:t>0.999988</m:t>
        </m:r>
      </m:oMath>
      <w:r>
        <w:t xml:space="preserve"> </w:t>
      </w:r>
      <w:r>
        <w:t xml:space="preserve">(almost five nines).</w:t>
      </w:r>
    </w:p>
    <w:p>
      <w:pPr>
        <w:numPr>
          <w:ilvl w:val="0"/>
          <w:numId w:val="1125"/>
        </w:numPr>
        <w:pStyle w:val="Compact"/>
      </w:pPr>
      <m:oMath>
        <m:sSub>
          <m:e>
            <m:r>
              <m:t>A</m:t>
            </m:r>
          </m:e>
          <m:sub>
            <m:r>
              <m:t>Y</m:t>
            </m:r>
          </m:sub>
        </m:sSub>
        <m:r>
          <m:rPr>
            <m:sty m:val="p"/>
          </m:rPr>
          <m:t>=</m:t>
        </m:r>
        <m:r>
          <m:t>8</m:t>
        </m:r>
        <m:r>
          <m:rPr>
            <m:sty m:val="p"/>
          </m:rPr>
          <m:t>,</m:t>
        </m:r>
        <m:r>
          <m:t>760</m:t>
        </m:r>
        <m:r>
          <m:rPr>
            <m:sty m:val="p"/>
          </m:rPr>
          <m:t>/</m:t>
        </m:r>
        <m:r>
          <m:t>8</m:t>
        </m:r>
        <m:r>
          <m:rPr>
            <m:sty m:val="p"/>
          </m:rPr>
          <m:t>,</m:t>
        </m:r>
        <m:r>
          <m:t>784</m:t>
        </m:r>
        <m:r>
          <m:rPr>
            <m:sty m:val="p"/>
          </m:rPr>
          <m:t>=</m:t>
        </m:r>
        <m:r>
          <m:t>0.99727</m:t>
        </m:r>
      </m:oMath>
      <w:r>
        <w:t xml:space="preserve"> </w:t>
      </w:r>
      <w:r>
        <w:t xml:space="preserve">(under three nines).</w:t>
      </w:r>
    </w:p>
    <w:p>
      <w:pPr>
        <w:numPr>
          <w:ilvl w:val="0"/>
          <w:numId w:val="1125"/>
        </w:numPr>
        <w:pStyle w:val="Compact"/>
      </w:pPr>
      <w:r>
        <w:t xml:space="preserve">Probability of completing a 6-hour job without interruption:</w:t>
      </w:r>
      <w:r>
        <w:t xml:space="preserve"> </w:t>
      </w:r>
      <m:oMath>
        <m:sSub>
          <m:e>
            <m:r>
              <m:t>R</m:t>
            </m:r>
          </m:e>
          <m:sub>
            <m:r>
              <m:t>X</m:t>
            </m:r>
          </m:sub>
        </m:sSub>
        <m:d>
          <m:dPr>
            <m:begChr m:val="("/>
            <m:endChr m:val=")"/>
            <m:sepChr m:val=""/>
            <m:grow/>
          </m:dPr>
          <m:e>
            <m:r>
              <m:t>6</m:t>
            </m:r>
          </m:e>
        </m:d>
        <m:r>
          <m:rPr>
            <m:sty m:val="p"/>
          </m:rPr>
          <m:t>=</m:t>
        </m:r>
        <m:sSup>
          <m:e>
            <m:r>
              <m:t>e</m:t>
            </m:r>
          </m:e>
          <m:sup>
            <m:r>
              <m:rPr>
                <m:sty m:val="p"/>
              </m:rPr>
              <m:t>−</m:t>
            </m:r>
            <m:r>
              <m:t>6</m:t>
            </m:r>
            <m:r>
              <m:rPr>
                <m:sty m:val="p"/>
              </m:rPr>
              <m:t>/</m:t>
            </m:r>
            <m:r>
              <m:t>24</m:t>
            </m:r>
          </m:sup>
        </m:sSup>
        <m:r>
          <m:rPr>
            <m:sty m:val="p"/>
          </m:rPr>
          <m:t>=</m:t>
        </m:r>
        <m:r>
          <m:t>0.78</m:t>
        </m:r>
      </m:oMath>
      <w:r>
        <w:t xml:space="preserve">;</w:t>
      </w:r>
      <w:r>
        <w:t xml:space="preserve"> </w:t>
      </w:r>
      <m:oMath>
        <m:sSub>
          <m:e>
            <m:r>
              <m:t>R</m:t>
            </m:r>
          </m:e>
          <m:sub>
            <m:r>
              <m:t>Y</m:t>
            </m:r>
          </m:sub>
        </m:sSub>
        <m:d>
          <m:dPr>
            <m:begChr m:val="("/>
            <m:endChr m:val=")"/>
            <m:sepChr m:val=""/>
            <m:grow/>
          </m:dPr>
          <m:e>
            <m:r>
              <m:t>6</m:t>
            </m:r>
          </m:e>
        </m:d>
        <m:r>
          <m:rPr>
            <m:sty m:val="p"/>
          </m:rPr>
          <m:t>=</m:t>
        </m:r>
        <m:sSup>
          <m:e>
            <m:r>
              <m:t>e</m:t>
            </m:r>
          </m:e>
          <m:sup>
            <m:r>
              <m:rPr>
                <m:sty m:val="p"/>
              </m:rPr>
              <m:t>−</m:t>
            </m:r>
            <m:r>
              <m:t>6</m:t>
            </m:r>
            <m:r>
              <m:rPr>
                <m:sty m:val="p"/>
              </m:rPr>
              <m:t>/</m:t>
            </m:r>
            <m:r>
              <m:t>8760</m:t>
            </m:r>
          </m:sup>
        </m:sSup>
        <m:r>
          <m:rPr>
            <m:sty m:val="p"/>
          </m:rPr>
          <m:t>=</m:t>
        </m:r>
        <m:r>
          <m:t>0.9993</m:t>
        </m:r>
      </m:oMath>
      <w:r>
        <w:t xml:space="preserve">.</w:t>
      </w:r>
    </w:p>
    <w:p>
      <w:pPr>
        <w:pStyle w:val="CalloutExample"/>
      </w:pPr>
      <w:r>
        <w:rPr>
          <w:bCs/>
          <w:b/>
        </w:rPr>
        <w:t xml:space="preserve">Interpretation.</w:t>
      </w:r>
      <w:r>
        <w:t xml:space="preserve"> </w:t>
      </w:r>
      <w:r>
        <w:t xml:space="preserve">X is far more available; Y is far more reliable.</w:t>
      </w:r>
      <w:r>
        <w:t xml:space="preserve"> </w:t>
      </w:r>
      <w:r>
        <w:rPr>
          <w:bCs/>
          <w:b/>
        </w:rPr>
        <w:t xml:space="preserve">Engineering implication.</w:t>
      </w:r>
      <w:r>
        <w:t xml:space="preserve"> </w:t>
      </w:r>
      <w:r>
        <w:t xml:space="preserve">Interactive services with retries care about availability; long-running jobs, transactions and stateful sessions care about reliability. Choose the metric that matches what the user experiences, and design accordingly (checkpointing for jobs, fast failover for services).</w:t>
      </w:r>
    </w:p>
    <w:bookmarkEnd w:id="437"/>
    <w:bookmarkStart w:id="438" w:name="Xd6a96a9596d4ff2ddb67795530f058263a5ad6b"/>
    <w:p>
      <w:pPr>
        <w:pStyle w:val="Heading3"/>
      </w:pPr>
      <w:r>
        <w:t xml:space="preserve">4.18.3 Replication ↔ durability (and cost and write latency)</w:t>
      </w:r>
    </w:p>
    <w:p>
      <w:pPr>
        <w:pStyle w:val="FirstParagraph"/>
      </w:pPr>
      <w:r>
        <w:t xml:space="preserve">From §4.16, each extra replica improves durability by about</w:t>
      </w:r>
      <w:r>
        <w:t xml:space="preserve"> </w:t>
      </w:r>
      <m:oMath>
        <m:r>
          <m:t>1</m:t>
        </m:r>
        <m:r>
          <m:rPr>
            <m:sty m:val="p"/>
          </m:rPr>
          <m:t>/</m:t>
        </m:r>
        <m:d>
          <m:dPr>
            <m:begChr m:val="("/>
            <m:endChr m:val=")"/>
            <m:sepChr m:val=""/>
            <m:grow/>
          </m:dPr>
          <m:e>
            <m:r>
              <m:t>λ</m:t>
            </m:r>
            <m:r>
              <m:t>T</m:t>
            </m:r>
          </m:e>
        </m:d>
      </m:oMath>
      <w:r>
        <w:t xml:space="preserve"> </w:t>
      </w:r>
      <w:r>
        <w:t xml:space="preserve">but costs a full copy of storage and, for synchronous replication, adds the slowest acknowledgment to every write.</w:t>
      </w:r>
    </w:p>
    <w:p>
      <w:pPr>
        <w:pStyle w:val="CalloutExample"/>
      </w:pPr>
      <w:r>
        <w:rPr>
          <w:bCs/>
          <w:b/>
        </w:rPr>
        <w:t xml:space="preserve">WORKED EXAMPLE</w:t>
      </w:r>
    </w:p>
    <w:p>
      <w:pPr>
        <w:pStyle w:val="CalloutExample"/>
      </w:pPr>
      <w:r>
        <w:rPr>
          <w:bCs/>
          <w:b/>
        </w:rPr>
        <w:t xml:space="preserve">Worked example — Paying for nines.</w:t>
      </w:r>
      <w:r>
        <w:t xml:space="preserve"> </w:t>
      </w:r>
      <w:r>
        <w:t xml:space="preserve">With AFR 2% and</w:t>
      </w:r>
      <w:r>
        <w:t xml:space="preserve"> </w:t>
      </w:r>
      <m:oMath>
        <m:r>
          <m:t>T</m:t>
        </m:r>
        <m:r>
          <m:rPr>
            <m:sty m:val="p"/>
          </m:rPr>
          <m:t>=</m:t>
        </m:r>
        <m:r>
          <m:t>24</m:t>
        </m:r>
      </m:oMath>
      <w:r>
        <w:t xml:space="preserve"> </w:t>
      </w:r>
      <w:r>
        <w:t xml:space="preserve">h (Table 4.8):</w:t>
      </w:r>
    </w:p>
    <w:p>
      <w:pPr>
        <w:numPr>
          <w:ilvl w:val="0"/>
          <w:numId w:val="1126"/>
        </w:numPr>
        <w:pStyle w:val="Compact"/>
      </w:pPr>
      <w:r>
        <w:t xml:space="preserve">Two replicas:</w:t>
      </w:r>
      <w:r>
        <w:t xml:space="preserve"> </w:t>
      </w:r>
      <m:oMath>
        <m:r>
          <m:t>2.2</m:t>
        </m:r>
        <m:r>
          <m:rPr>
            <m:sty m:val="p"/>
          </m:rPr>
          <m:t>×</m:t>
        </m:r>
        <m:sSup>
          <m:e>
            <m:r>
              <m:t>10</m:t>
            </m:r>
          </m:e>
          <m:sup>
            <m:r>
              <m:rPr>
                <m:sty m:val="p"/>
              </m:rPr>
              <m:t>−</m:t>
            </m:r>
            <m:r>
              <m:t>6</m:t>
            </m:r>
          </m:sup>
        </m:sSup>
      </m:oMath>
      <w:r>
        <w:t xml:space="preserve"> </w:t>
      </w:r>
      <w:r>
        <w:t xml:space="preserve">annual loss probability, 2× storage.</w:t>
      </w:r>
    </w:p>
    <w:p>
      <w:pPr>
        <w:numPr>
          <w:ilvl w:val="0"/>
          <w:numId w:val="1126"/>
        </w:numPr>
        <w:pStyle w:val="Compact"/>
      </w:pPr>
      <w:r>
        <w:t xml:space="preserve">Three replicas:</w:t>
      </w:r>
      <w:r>
        <w:t xml:space="preserve"> </w:t>
      </w:r>
      <m:oMath>
        <m:r>
          <m:t>3.6</m:t>
        </m:r>
        <m:r>
          <m:rPr>
            <m:sty m:val="p"/>
          </m:rPr>
          <m:t>×</m:t>
        </m:r>
        <m:sSup>
          <m:e>
            <m:r>
              <m:t>10</m:t>
            </m:r>
          </m:e>
          <m:sup>
            <m:r>
              <m:rPr>
                <m:sty m:val="p"/>
              </m:rPr>
              <m:t>−</m:t>
            </m:r>
            <m:r>
              <m:t>10</m:t>
            </m:r>
          </m:sup>
        </m:sSup>
      </m:oMath>
      <w:r>
        <w:t xml:space="preserve">, 3× storage: 50% more storage for about 6,000× better durability.</w:t>
      </w:r>
    </w:p>
    <w:p>
      <w:pPr>
        <w:numPr>
          <w:ilvl w:val="0"/>
          <w:numId w:val="1126"/>
        </w:numPr>
        <w:pStyle w:val="Compact"/>
      </w:pPr>
      <w:r>
        <w:t xml:space="preserve">Synchronous write to 3 replicas waiting for all: if each replica acknowledges within 5 ms with probability 0.99, all three do with probability</w:t>
      </w:r>
      <w:r>
        <w:t xml:space="preserve"> </w:t>
      </w:r>
      <m:oMath>
        <m:sSup>
          <m:e>
            <m:r>
              <m:t>0.99</m:t>
            </m:r>
          </m:e>
          <m:sup>
            <m:r>
              <m:t>3</m:t>
            </m:r>
          </m:sup>
        </m:sSup>
        <m:r>
          <m:rPr>
            <m:sty m:val="p"/>
          </m:rPr>
          <m:t>=</m:t>
        </m:r>
        <m:r>
          <m:t>0.970</m:t>
        </m:r>
      </m:oMath>
      <w:r>
        <w:t xml:space="preserve"> </w:t>
      </w:r>
      <w:r>
        <w:t xml:space="preserve">— the fan-out law of §4.8.4 applied to writes. Waiting for 2 of 3 (a quorum) instead:</w:t>
      </w:r>
      <w:r>
        <w:t xml:space="preserve"> </w:t>
      </w:r>
      <m:oMath>
        <m:r>
          <m:t>3</m:t>
        </m:r>
        <m:r>
          <m:rPr>
            <m:sty m:val="p"/>
          </m:rPr>
          <m:t>×</m:t>
        </m:r>
        <m:sSup>
          <m:e>
            <m:r>
              <m:t>0.99</m:t>
            </m:r>
          </m:e>
          <m:sup>
            <m:r>
              <m:t>2</m:t>
            </m:r>
          </m:sup>
        </m:sSup>
        <m:r>
          <m:rPr>
            <m:sty m:val="p"/>
          </m:rPr>
          <m:t>×</m:t>
        </m:r>
        <m:r>
          <m:t>0.01</m:t>
        </m:r>
        <m:r>
          <m:rPr>
            <m:sty m:val="p"/>
          </m:rPr>
          <m:t>+</m:t>
        </m:r>
        <m:sSup>
          <m:e>
            <m:r>
              <m:t>0.99</m:t>
            </m:r>
          </m:e>
          <m:sup>
            <m:r>
              <m:t>3</m:t>
            </m:r>
          </m:sup>
        </m:sSup>
        <m:r>
          <m:rPr>
            <m:sty m:val="p"/>
          </m:rPr>
          <m:t>=</m:t>
        </m:r>
        <m:r>
          <m:t>0.9997</m:t>
        </m:r>
      </m:oMath>
      <w:r>
        <w:t xml:space="preserve">.</w:t>
      </w:r>
    </w:p>
    <w:p>
      <w:pPr>
        <w:pStyle w:val="CalloutExample"/>
      </w:pPr>
      <w:r>
        <w:rPr>
          <w:bCs/>
          <w:b/>
        </w:rPr>
        <w:t xml:space="preserve">Interpretation.</w:t>
      </w:r>
      <w:r>
        <w:t xml:space="preserve"> </w:t>
      </w:r>
      <w:r>
        <w:t xml:space="preserve">Durability is cheap in storage relative to what it buys, but synchronous replication taxes the write tail.</w:t>
      </w:r>
      <w:r>
        <w:t xml:space="preserve"> </w:t>
      </w:r>
      <w:r>
        <w:rPr>
          <w:bCs/>
          <w:b/>
        </w:rPr>
        <w:t xml:space="preserve">Engineering implication.</w:t>
      </w:r>
      <w:r>
        <w:t xml:space="preserve"> </w:t>
      </w:r>
      <w:r>
        <w:t xml:space="preserve">Quorum writes (§27.8) capture most of the durability while hiding the slowest replica; erasure coding (§15.6) reaches comparable durability with less storage at the cost of more expensive repair.</w:t>
      </w:r>
    </w:p>
    <w:bookmarkEnd w:id="438"/>
    <w:bookmarkStart w:id="439" w:name="accuracy-latency"/>
    <w:p>
      <w:pPr>
        <w:pStyle w:val="Heading3"/>
      </w:pPr>
      <w:r>
        <w:t xml:space="preserve">4.18.4 Accuracy ↔ latency</w:t>
      </w:r>
    </w:p>
    <w:p>
      <w:pPr>
        <w:pStyle w:val="FirstParagraph"/>
      </w:pPr>
      <w:r>
        <w:t xml:space="preserve">Many computations can trade correctness for speed: sampling, approximate algorithms, smaller models, fewer candidates. The statistical baseline is the</w:t>
      </w:r>
      <w:r>
        <w:t xml:space="preserve"> </w:t>
      </w:r>
      <w:r>
        <w:rPr>
          <w:bCs/>
          <w:b/>
        </w:rPr>
        <w:t xml:space="preserve">standard error</w:t>
      </w:r>
      <w:r>
        <w:t xml:space="preserve"> </w:t>
      </w:r>
      <w:r>
        <w:t xml:space="preserve">of a mean estimated from</w:t>
      </w:r>
      <w:r>
        <w:t xml:space="preserve"> </w:t>
      </w:r>
      <m:oMath>
        <m:r>
          <m:t>n</m:t>
        </m:r>
      </m:oMath>
      <w:r>
        <w:t xml:space="preserve"> </w:t>
      </w:r>
      <w:r>
        <w:t xml:space="preserve">samples,</w:t>
      </w:r>
      <w:r>
        <w:t xml:space="preserve"> </w:t>
      </w:r>
      <m:oMath>
        <m:r>
          <m:t>σ</m:t>
        </m:r>
        <m:r>
          <m:rPr>
            <m:sty m:val="p"/>
          </m:rPr>
          <m:t>/</m:t>
        </m:r>
        <m:rad>
          <m:radPr>
            <m:degHide m:val="on"/>
          </m:radPr>
          <m:deg/>
          <m:e>
            <m:r>
              <m:t>n</m:t>
            </m:r>
          </m:e>
        </m:rad>
      </m:oMath>
      <w:r>
        <w:t xml:space="preserve">.</w:t>
      </w:r>
    </w:p>
    <w:p>
      <w:pPr>
        <w:pStyle w:val="CalloutFormula"/>
      </w:pPr>
      <w:r>
        <w:rPr>
          <w:bCs/>
          <w:b/>
        </w:rPr>
        <w:t xml:space="preserve">FORMULA</w:t>
      </w:r>
    </w:p>
    <w:p>
      <w:pPr>
        <w:pStyle w:val="CalloutFormula"/>
      </w:pPr>
      <w:r>
        <w:rPr>
          <w:bCs/>
          <w:b/>
        </w:rPr>
        <w:t xml:space="preserve">Standard error of a sample mean</w:t>
      </w:r>
    </w:p>
    <w:p>
      <w:pPr>
        <w:pStyle w:val="CalloutFormula"/>
      </w:pPr>
      <m:oMathPara>
        <m:oMathParaPr>
          <m:jc m:val="center"/>
        </m:oMathParaPr>
        <m:oMath>
          <m:r>
            <m:rPr>
              <m:nor/>
              <m:sty m:val="p"/>
            </m:rPr>
            <m:t>SE</m:t>
          </m:r>
          <m:r>
            <m:rPr>
              <m:sty m:val="p"/>
            </m:rPr>
            <m:t>=</m:t>
          </m:r>
          <m:f>
            <m:fPr>
              <m:type m:val="bar"/>
            </m:fPr>
            <m:num>
              <m:r>
                <m:t>σ</m:t>
              </m:r>
            </m:num>
            <m:den>
              <m:rad>
                <m:radPr>
                  <m:degHide m:val="on"/>
                </m:radPr>
                <m:deg/>
                <m:e>
                  <m:r>
                    <m:t>n</m:t>
                  </m:r>
                </m:e>
              </m:rad>
            </m:den>
          </m:f>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σ</m:t>
              </m:r>
            </m:oMath>
          </w:p>
        </w:tc>
        <w:tc>
          <w:tcPr/>
          <w:p>
            <w:pPr>
              <w:pStyle w:val="Compact"/>
              <w:jc w:val="left"/>
            </w:pPr>
            <w:r>
              <w:t xml:space="preserve">Standard deviation of the quantity being measured</w:t>
            </w:r>
          </w:p>
        </w:tc>
        <w:tc>
          <w:tcPr/>
          <w:p>
            <w:pPr>
              <w:pStyle w:val="Compact"/>
              <w:jc w:val="left"/>
            </w:pPr>
            <w:r>
              <w:t xml:space="preserve">units of the quantity</w:t>
            </w:r>
          </w:p>
        </w:tc>
      </w:tr>
      <w:tr>
        <w:tc>
          <w:tcPr/>
          <w:p>
            <w:pPr>
              <w:pStyle w:val="Compact"/>
              <w:jc w:val="left"/>
            </w:pPr>
            <m:oMath>
              <m:r>
                <m:t>n</m:t>
              </m:r>
            </m:oMath>
          </w:p>
        </w:tc>
        <w:tc>
          <w:tcPr/>
          <w:p>
            <w:pPr>
              <w:pStyle w:val="Compact"/>
              <w:jc w:val="left"/>
            </w:pPr>
            <w:r>
              <w:t xml:space="preserve">Number of independent samples</w:t>
            </w:r>
          </w:p>
        </w:tc>
        <w:tc>
          <w:tcPr/>
          <w:p>
            <w:pPr>
              <w:pStyle w:val="Compact"/>
              <w:jc w:val="left"/>
            </w:pPr>
            <w:r>
              <w:t xml:space="preserve">count</w:t>
            </w:r>
          </w:p>
        </w:tc>
      </w:tr>
      <w:tr>
        <w:tc>
          <w:tcPr/>
          <w:p>
            <w:pPr>
              <w:pStyle w:val="Compact"/>
              <w:jc w:val="left"/>
            </w:pPr>
            <w:r>
              <w:t xml:space="preserve">SE</w:t>
            </w:r>
          </w:p>
        </w:tc>
        <w:tc>
          <w:tcPr/>
          <w:p>
            <w:pPr>
              <w:pStyle w:val="Compact"/>
              <w:jc w:val="left"/>
            </w:pPr>
            <w:r>
              <w:t xml:space="preserve">Typical error of the estimated mean</w:t>
            </w:r>
          </w:p>
        </w:tc>
        <w:tc>
          <w:tcPr/>
          <w:p>
            <w:pPr>
              <w:pStyle w:val="Compact"/>
              <w:jc w:val="left"/>
            </w:pPr>
            <w:r>
              <w:t xml:space="preserve">units of the quantity</w:t>
            </w:r>
          </w:p>
        </w:tc>
      </w:tr>
    </w:tbl>
    <w:p>
      <w:pPr>
        <w:pStyle w:val="CalloutExample"/>
      </w:pPr>
      <w:r>
        <w:rPr>
          <w:bCs/>
          <w:b/>
        </w:rPr>
        <w:t xml:space="preserve">WORKED EXAMPLE</w:t>
      </w:r>
    </w:p>
    <w:p>
      <w:pPr>
        <w:pStyle w:val="CalloutExample"/>
      </w:pPr>
      <w:r>
        <w:rPr>
          <w:bCs/>
          <w:b/>
        </w:rPr>
        <w:t xml:space="preserve">Worked example — The square-root tax.</w:t>
      </w:r>
      <w:r>
        <w:t xml:space="preserve"> </w:t>
      </w:r>
      <w:r>
        <w:t xml:space="preserve">Latency has</w:t>
      </w:r>
      <w:r>
        <w:t xml:space="preserve"> </w:t>
      </w:r>
      <m:oMath>
        <m:r>
          <m:t>σ</m:t>
        </m:r>
        <m:r>
          <m:rPr>
            <m:sty m:val="p"/>
          </m:rPr>
          <m:t>=</m:t>
        </m:r>
        <m:r>
          <m:t>50</m:t>
        </m:r>
      </m:oMath>
      <w:r>
        <w:t xml:space="preserve"> </w:t>
      </w:r>
      <w:r>
        <w:t xml:space="preserve">ms. A monitoring job estimates mean latency from samples.</w:t>
      </w:r>
    </w:p>
    <w:p>
      <w:pPr>
        <w:numPr>
          <w:ilvl w:val="0"/>
          <w:numId w:val="1127"/>
        </w:numPr>
        <w:pStyle w:val="Compact"/>
      </w:pPr>
      <m:oMath>
        <m:r>
          <m:t>n</m:t>
        </m:r>
        <m:r>
          <m:rPr>
            <m:sty m:val="p"/>
          </m:rPr>
          <m:t>=</m:t>
        </m:r>
        <m:r>
          <m:t>100</m:t>
        </m:r>
      </m:oMath>
      <w:r>
        <w:t xml:space="preserve">: SE</w:t>
      </w:r>
      <w:r>
        <w:t xml:space="preserve"> </w:t>
      </w:r>
      <m:oMath>
        <m:r>
          <m:rPr>
            <m:sty m:val="p"/>
          </m:rPr>
          <m:t>=</m:t>
        </m:r>
        <m:r>
          <m:t>50</m:t>
        </m:r>
        <m:r>
          <m:rPr>
            <m:sty m:val="p"/>
          </m:rPr>
          <m:t>/</m:t>
        </m:r>
        <m:rad>
          <m:radPr>
            <m:degHide m:val="on"/>
          </m:radPr>
          <m:deg/>
          <m:e>
            <m:r>
              <m:t>100</m:t>
            </m:r>
          </m:e>
        </m:rad>
        <m:r>
          <m:rPr>
            <m:sty m:val="p"/>
          </m:rPr>
          <m:t>=</m:t>
        </m:r>
        <m:r>
          <m:t>5</m:t>
        </m:r>
      </m:oMath>
      <w:r>
        <w:t xml:space="preserve"> </w:t>
      </w:r>
      <w:r>
        <w:t xml:space="preserve">ms.</w:t>
      </w:r>
    </w:p>
    <w:p>
      <w:pPr>
        <w:numPr>
          <w:ilvl w:val="0"/>
          <w:numId w:val="1127"/>
        </w:numPr>
        <w:pStyle w:val="Compact"/>
      </w:pPr>
      <m:oMath>
        <m:r>
          <m:t>n</m:t>
        </m:r>
        <m:r>
          <m:rPr>
            <m:sty m:val="p"/>
          </m:rPr>
          <m:t>=</m:t>
        </m:r>
        <m:r>
          <m:t>10</m:t>
        </m:r>
        <m:r>
          <m:rPr>
            <m:sty m:val="p"/>
          </m:rPr>
          <m:t>,</m:t>
        </m:r>
        <m:r>
          <m:t>000</m:t>
        </m:r>
      </m:oMath>
      <w:r>
        <w:t xml:space="preserve">: SE</w:t>
      </w:r>
      <w:r>
        <w:t xml:space="preserve"> </w:t>
      </w:r>
      <m:oMath>
        <m:r>
          <m:rPr>
            <m:sty m:val="p"/>
          </m:rPr>
          <m:t>=</m:t>
        </m:r>
        <m:r>
          <m:t>50</m:t>
        </m:r>
        <m:r>
          <m:rPr>
            <m:sty m:val="p"/>
          </m:rPr>
          <m:t>/</m:t>
        </m:r>
        <m:r>
          <m:t>100</m:t>
        </m:r>
        <m:r>
          <m:rPr>
            <m:sty m:val="p"/>
          </m:rPr>
          <m:t>=</m:t>
        </m:r>
        <m:r>
          <m:t>0.5</m:t>
        </m:r>
      </m:oMath>
      <w:r>
        <w:t xml:space="preserve"> </w:t>
      </w:r>
      <w:r>
        <w:t xml:space="preserve">ms.</w:t>
      </w:r>
    </w:p>
    <w:p>
      <w:pPr>
        <w:pStyle w:val="CalloutExample"/>
      </w:pPr>
      <w:r>
        <w:rPr>
          <w:bCs/>
          <w:b/>
        </w:rPr>
        <w:t xml:space="preserve">Interpretation.</w:t>
      </w:r>
      <w:r>
        <w:t xml:space="preserve"> </w:t>
      </w:r>
      <w:r>
        <w:t xml:space="preserve">Ten times the accuracy costs a hundred times the samples, and so a hundred times the processing time.</w:t>
      </w:r>
      <w:r>
        <w:t xml:space="preserve"> </w:t>
      </w:r>
      <w:r>
        <w:rPr>
          <w:bCs/>
          <w:b/>
        </w:rPr>
        <w:t xml:space="preserve">Engineering implication.</w:t>
      </w:r>
      <w:r>
        <w:t xml:space="preserve"> </w:t>
      </w:r>
      <w:r>
        <w:t xml:space="preserve">The same diminishing returns appear elsewhere: an ANN index searched more exhaustively gains recall slowly while latency grows roughly in proportion to the work done (Chapter 74); a ranking stage that scores 5,000 candidates at, say, 20 µs each spends 100 ms versus 10 ms for 500 (an illustrative cost). Decide the accuracy the product needs, then buy exactly that much.</w:t>
      </w:r>
    </w:p>
    <w:bookmarkEnd w:id="439"/>
    <w:bookmarkStart w:id="440" w:name="gpu-utilization-throughput"/>
    <w:p>
      <w:pPr>
        <w:pStyle w:val="Heading3"/>
      </w:pPr>
      <w:r>
        <w:t xml:space="preserve">4.18.5 GPU utilization ↔ throughput</w:t>
      </w:r>
    </w:p>
    <w:p>
      <w:pPr>
        <w:pStyle w:val="FirstParagraph"/>
      </w:pPr>
      <w:r>
        <w:t xml:space="preserve">For ML workloads, throughput is governed by how much of the accelerator’s peak arithmetic is actually used. The</w:t>
      </w:r>
      <w:r>
        <w:t xml:space="preserve"> </w:t>
      </w:r>
      <w:r>
        <w:rPr>
          <w:bCs/>
          <w:b/>
        </w:rPr>
        <w:t xml:space="preserve">model FLOPs utilization (MFU)</w:t>
      </w:r>
      <w:r>
        <w:t xml:space="preserve"> </w:t>
      </w:r>
      <w:r>
        <w:t xml:space="preserve">is the achieved model FLOP/s divided by peak FLOP/s. A dense transformer forward pass costs roughly</w:t>
      </w:r>
      <w:r>
        <w:t xml:space="preserve"> </w:t>
      </w:r>
      <m:oMath>
        <m:r>
          <m:t>2</m:t>
        </m:r>
        <m:r>
          <m:t>P</m:t>
        </m:r>
      </m:oMath>
      <w:r>
        <w:t xml:space="preserve"> </w:t>
      </w:r>
      <w:r>
        <w:t xml:space="preserve">FLOPs per token for a model with</w:t>
      </w:r>
      <w:r>
        <w:t xml:space="preserve"> </w:t>
      </w:r>
      <m:oMath>
        <m:r>
          <m:t>P</m:t>
        </m:r>
      </m:oMath>
      <w:r>
        <w:t xml:space="preserve"> </w:t>
      </w:r>
      <w:r>
        <w:t xml:space="preserve">parameters [Kaplan et al. 2020].</w:t>
      </w:r>
    </w:p>
    <w:p>
      <w:pPr>
        <w:pStyle w:val="CalloutFormula"/>
      </w:pPr>
      <w:r>
        <w:rPr>
          <w:bCs/>
          <w:b/>
        </w:rPr>
        <w:t xml:space="preserve">FORMULA</w:t>
      </w:r>
    </w:p>
    <w:p>
      <w:pPr>
        <w:pStyle w:val="CalloutFormula"/>
      </w:pPr>
      <w:r>
        <w:rPr>
          <w:bCs/>
          <w:b/>
        </w:rPr>
        <w:t xml:space="preserve">Compute-bound token throughput</w:t>
      </w:r>
    </w:p>
    <w:p>
      <w:pPr>
        <w:pStyle w:val="CalloutFormula"/>
      </w:pPr>
      <m:oMathPara>
        <m:oMathParaPr>
          <m:jc m:val="center"/>
        </m:oMathParaPr>
        <m:oMath>
          <m:sSub>
            <m:e>
              <m:r>
                <m:t>X</m:t>
              </m:r>
            </m:e>
            <m:sub>
              <m:r>
                <m:rPr>
                  <m:nor/>
                  <m:sty m:val="p"/>
                </m:rPr>
                <m:t>tokens</m:t>
              </m:r>
            </m:sub>
          </m:sSub>
          <m:r>
            <m:rPr>
              <m:sty m:val="p"/>
            </m:rPr>
            <m:t>=</m:t>
          </m:r>
          <m:f>
            <m:fPr>
              <m:type m:val="bar"/>
            </m:fPr>
            <m:num>
              <m:r>
                <m:rPr>
                  <m:nor/>
                  <m:sty m:val="p"/>
                </m:rPr>
                <m:t>MFU</m:t>
              </m:r>
              <m:r>
                <m:rPr>
                  <m:sty m:val="p"/>
                </m:rPr>
                <m:t>×</m:t>
              </m:r>
              <m:sSub>
                <m:e>
                  <m:r>
                    <m:t>F</m:t>
                  </m:r>
                </m:e>
                <m:sub>
                  <m:r>
                    <m:rPr>
                      <m:nor/>
                      <m:sty m:val="p"/>
                    </m:rPr>
                    <m:t>peak</m:t>
                  </m:r>
                </m:sub>
              </m:sSub>
            </m:num>
            <m:den>
              <m:r>
                <m:t>2</m:t>
              </m:r>
              <m:r>
                <m:t>P</m:t>
              </m:r>
            </m:den>
          </m:f>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F</m:t>
                  </m:r>
                </m:e>
                <m:sub>
                  <m:r>
                    <m:rPr>
                      <m:nor/>
                      <m:sty m:val="p"/>
                    </m:rPr>
                    <m:t>peak</m:t>
                  </m:r>
                </m:sub>
              </m:sSub>
            </m:oMath>
          </w:p>
        </w:tc>
        <w:tc>
          <w:tcPr/>
          <w:p>
            <w:pPr>
              <w:pStyle w:val="Compact"/>
              <w:jc w:val="left"/>
            </w:pPr>
            <w:r>
              <w:t xml:space="preserve">Peak accelerator throughput at the precision used</w:t>
            </w:r>
          </w:p>
        </w:tc>
        <w:tc>
          <w:tcPr/>
          <w:p>
            <w:pPr>
              <w:pStyle w:val="Compact"/>
              <w:jc w:val="left"/>
            </w:pPr>
            <w:r>
              <w:t xml:space="preserve">FLOP/s</w:t>
            </w:r>
          </w:p>
        </w:tc>
      </w:tr>
      <w:tr>
        <w:tc>
          <w:tcPr/>
          <w:p>
            <w:pPr>
              <w:pStyle w:val="Compact"/>
              <w:jc w:val="left"/>
            </w:pPr>
            <w:r>
              <w:t xml:space="preserve">MFU</w:t>
            </w:r>
          </w:p>
        </w:tc>
        <w:tc>
          <w:tcPr/>
          <w:p>
            <w:pPr>
              <w:pStyle w:val="Compact"/>
              <w:jc w:val="left"/>
            </w:pPr>
            <w:r>
              <w:t xml:space="preserve">Model FLOPs utilization</w:t>
            </w:r>
          </w:p>
        </w:tc>
        <w:tc>
          <w:tcPr/>
          <w:p>
            <w:pPr>
              <w:pStyle w:val="Compact"/>
              <w:jc w:val="left"/>
            </w:pPr>
            <w:r>
              <w:t xml:space="preserve">dimensionless (0–1)</w:t>
            </w:r>
          </w:p>
        </w:tc>
      </w:tr>
      <w:tr>
        <w:tc>
          <w:tcPr/>
          <w:p>
            <w:pPr>
              <w:pStyle w:val="Compact"/>
              <w:jc w:val="left"/>
            </w:pPr>
            <m:oMath>
              <m:r>
                <m:t>P</m:t>
              </m:r>
            </m:oMath>
          </w:p>
        </w:tc>
        <w:tc>
          <w:tcPr/>
          <w:p>
            <w:pPr>
              <w:pStyle w:val="Compact"/>
              <w:jc w:val="left"/>
            </w:pPr>
            <w:r>
              <w:t xml:space="preserve">Model parameters</w:t>
            </w:r>
          </w:p>
        </w:tc>
        <w:tc>
          <w:tcPr/>
          <w:p>
            <w:pPr>
              <w:pStyle w:val="Compact"/>
              <w:jc w:val="left"/>
            </w:pPr>
            <w:r>
              <w:t xml:space="preserve">count</w:t>
            </w:r>
          </w:p>
        </w:tc>
      </w:tr>
      <w:tr>
        <w:tc>
          <w:tcPr/>
          <w:p>
            <w:pPr>
              <w:pStyle w:val="Compact"/>
              <w:jc w:val="left"/>
            </w:pPr>
            <m:oMath>
              <m:r>
                <m:t>2</m:t>
              </m:r>
              <m:r>
                <m:t>P</m:t>
              </m:r>
            </m:oMath>
          </w:p>
        </w:tc>
        <w:tc>
          <w:tcPr/>
          <w:p>
            <w:pPr>
              <w:pStyle w:val="Compact"/>
              <w:jc w:val="left"/>
            </w:pPr>
            <w:r>
              <w:t xml:space="preserve">Forward-pass FLOPs per token (approximation)</w:t>
            </w:r>
          </w:p>
        </w:tc>
        <w:tc>
          <w:tcPr/>
          <w:p>
            <w:pPr>
              <w:pStyle w:val="Compact"/>
              <w:jc w:val="left"/>
            </w:pPr>
            <w:r>
              <w:t xml:space="preserve">FLOP/token</w:t>
            </w:r>
          </w:p>
        </w:tc>
      </w:tr>
      <w:tr>
        <w:tc>
          <w:tcPr/>
          <w:p>
            <w:pPr>
              <w:pStyle w:val="Compact"/>
              <w:jc w:val="left"/>
            </w:pPr>
            <m:oMath>
              <m:sSub>
                <m:e>
                  <m:r>
                    <m:t>X</m:t>
                  </m:r>
                </m:e>
                <m:sub>
                  <m:r>
                    <m:rPr>
                      <m:nor/>
                      <m:sty m:val="p"/>
                    </m:rPr>
                    <m:t>tokens</m:t>
                  </m:r>
                </m:sub>
              </m:sSub>
            </m:oMath>
          </w:p>
        </w:tc>
        <w:tc>
          <w:tcPr/>
          <w:p>
            <w:pPr>
              <w:pStyle w:val="Compact"/>
              <w:jc w:val="left"/>
            </w:pPr>
            <w:r>
              <w:t xml:space="preserve">Tokens processed per second per accelerator</w:t>
            </w:r>
          </w:p>
        </w:tc>
        <w:tc>
          <w:tcPr/>
          <w:p>
            <w:pPr>
              <w:pStyle w:val="Compact"/>
              <w:jc w:val="left"/>
            </w:pPr>
            <w:r>
              <w:t xml:space="preserve">tokens/s</w:t>
            </w:r>
          </w:p>
        </w:tc>
      </w:tr>
    </w:tbl>
    <w:p>
      <w:pPr>
        <w:pStyle w:val="CalloutExample"/>
      </w:pPr>
      <w:r>
        <w:rPr>
          <w:bCs/>
          <w:b/>
        </w:rPr>
        <w:t xml:space="preserve">WORKED EXAMPLE</w:t>
      </w:r>
    </w:p>
    <w:p>
      <w:pPr>
        <w:pStyle w:val="CalloutExample"/>
      </w:pPr>
      <w:r>
        <w:rPr>
          <w:bCs/>
          <w:b/>
        </w:rPr>
        <w:t xml:space="preserve">Worked example — Utilization is money.</w:t>
      </w:r>
      <w:r>
        <w:t xml:space="preserve"> </w:t>
      </w:r>
      <w:r>
        <w:t xml:space="preserve">A hypothetical accelerator has</w:t>
      </w:r>
      <w:r>
        <w:t xml:space="preserve"> </w:t>
      </w:r>
      <m:oMath>
        <m:sSub>
          <m:e>
            <m:r>
              <m:t>F</m:t>
            </m:r>
          </m:e>
          <m:sub>
            <m:r>
              <m:rPr>
                <m:nor/>
                <m:sty m:val="p"/>
              </m:rPr>
              <m:t>peak</m:t>
            </m:r>
          </m:sub>
        </m:sSub>
        <m:r>
          <m:rPr>
            <m:sty m:val="p"/>
          </m:rPr>
          <m:t>=</m:t>
        </m:r>
        <m:sSup>
          <m:e>
            <m:r>
              <m:t>10</m:t>
            </m:r>
          </m:e>
          <m:sup>
            <m:r>
              <m:t>15</m:t>
            </m:r>
          </m:sup>
        </m:sSup>
      </m:oMath>
      <w:r>
        <w:t xml:space="preserve"> </w:t>
      </w:r>
      <w:r>
        <w:t xml:space="preserve">FLOP/s (1,000 TFLOP/s, the order of magnitude of data-center GPUs at 16-bit precision as of 2024–2025). The model has</w:t>
      </w:r>
      <w:r>
        <w:t xml:space="preserve"> </w:t>
      </w:r>
      <m:oMath>
        <m:r>
          <m:t>P</m:t>
        </m:r>
        <m:r>
          <m:rPr>
            <m:sty m:val="p"/>
          </m:rPr>
          <m:t>=</m:t>
        </m:r>
        <m:r>
          <m:t>7</m:t>
        </m:r>
        <m:r>
          <m:rPr>
            <m:sty m:val="p"/>
          </m:rPr>
          <m:t>×</m:t>
        </m:r>
        <m:sSup>
          <m:e>
            <m:r>
              <m:t>10</m:t>
            </m:r>
          </m:e>
          <m:sup>
            <m:r>
              <m:t>9</m:t>
            </m:r>
          </m:sup>
        </m:sSup>
      </m:oMath>
      <w:r>
        <w:t xml:space="preserve"> </w:t>
      </w:r>
      <w:r>
        <w:t xml:space="preserve">parameters, so</w:t>
      </w:r>
      <w:r>
        <w:t xml:space="preserve"> </w:t>
      </w:r>
      <m:oMath>
        <m:r>
          <m:t>2</m:t>
        </m:r>
        <m:r>
          <m:t>P</m:t>
        </m:r>
        <m:r>
          <m:rPr>
            <m:sty m:val="p"/>
          </m:rPr>
          <m:t>=</m:t>
        </m:r>
        <m:r>
          <m:t>1.4</m:t>
        </m:r>
        <m:r>
          <m:rPr>
            <m:sty m:val="p"/>
          </m:rPr>
          <m:t>×</m:t>
        </m:r>
        <m:sSup>
          <m:e>
            <m:r>
              <m:t>10</m:t>
            </m:r>
          </m:e>
          <m:sup>
            <m:r>
              <m:t>10</m:t>
            </m:r>
          </m:sup>
        </m:sSup>
      </m:oMath>
      <w:r>
        <w:t xml:space="preserve"> </w:t>
      </w:r>
      <w:r>
        <w:t xml:space="preserve">FLOP/token.</w:t>
      </w:r>
    </w:p>
    <w:p>
      <w:pPr>
        <w:numPr>
          <w:ilvl w:val="0"/>
          <w:numId w:val="1128"/>
        </w:numPr>
        <w:pStyle w:val="Compact"/>
      </w:pPr>
      <w:r>
        <w:t xml:space="preserve">At MFU = 40%:</w:t>
      </w:r>
      <w:r>
        <w:t xml:space="preserve"> </w:t>
      </w:r>
      <m:oMath>
        <m:r>
          <m:t>X</m:t>
        </m:r>
        <m:r>
          <m:rPr>
            <m:sty m:val="p"/>
          </m:rPr>
          <m:t>=</m:t>
        </m:r>
        <m:r>
          <m:t>0.4</m:t>
        </m:r>
        <m:r>
          <m:rPr>
            <m:sty m:val="p"/>
          </m:rPr>
          <m:t>×</m:t>
        </m:r>
        <m:sSup>
          <m:e>
            <m:r>
              <m:t>10</m:t>
            </m:r>
          </m:e>
          <m:sup>
            <m:r>
              <m:t>15</m:t>
            </m:r>
          </m:sup>
        </m:sSup>
        <m:r>
          <m:rPr>
            <m:sty m:val="p"/>
          </m:rPr>
          <m:t>/</m:t>
        </m:r>
        <m:r>
          <m:t>1.4</m:t>
        </m:r>
        <m:r>
          <m:rPr>
            <m:sty m:val="p"/>
          </m:rPr>
          <m:t>×</m:t>
        </m:r>
        <m:sSup>
          <m:e>
            <m:r>
              <m:t>10</m:t>
            </m:r>
          </m:e>
          <m:sup>
            <m:r>
              <m:t>10</m:t>
            </m:r>
          </m:sup>
        </m:sSup>
        <m:r>
          <m:rPr>
            <m:sty m:val="p"/>
          </m:rPr>
          <m:t>=</m:t>
        </m:r>
        <m:r>
          <m:t>28</m:t>
        </m:r>
        <m:r>
          <m:rPr>
            <m:sty m:val="p"/>
          </m:rPr>
          <m:t>,</m:t>
        </m:r>
        <m:r>
          <m:t>571</m:t>
        </m:r>
      </m:oMath>
      <w:r>
        <w:t xml:space="preserve"> </w:t>
      </w:r>
      <w:r>
        <w:t xml:space="preserve">tokens/s.</w:t>
      </w:r>
    </w:p>
    <w:p>
      <w:pPr>
        <w:numPr>
          <w:ilvl w:val="0"/>
          <w:numId w:val="1128"/>
        </w:numPr>
        <w:pStyle w:val="Compact"/>
      </w:pPr>
      <w:r>
        <w:t xml:space="preserve">At MFU = 20%:</w:t>
      </w:r>
      <w:r>
        <w:t xml:space="preserve"> </w:t>
      </w:r>
      <m:oMath>
        <m:r>
          <m:t>X</m:t>
        </m:r>
        <m:r>
          <m:rPr>
            <m:sty m:val="p"/>
          </m:rPr>
          <m:t>=</m:t>
        </m:r>
        <m:r>
          <m:t>14</m:t>
        </m:r>
        <m:r>
          <m:rPr>
            <m:sty m:val="p"/>
          </m:rPr>
          <m:t>,</m:t>
        </m:r>
        <m:r>
          <m:t>286</m:t>
        </m:r>
      </m:oMath>
      <w:r>
        <w:t xml:space="preserve"> </w:t>
      </w:r>
      <w:r>
        <w:t xml:space="preserve">tokens/s.</w:t>
      </w:r>
    </w:p>
    <w:p>
      <w:pPr>
        <w:pStyle w:val="CalloutExample"/>
      </w:pPr>
      <w:r>
        <w:rPr>
          <w:bCs/>
          <w:b/>
        </w:rPr>
        <w:t xml:space="preserve">Interpretation.</w:t>
      </w:r>
      <w:r>
        <w:t xml:space="preserve"> </w:t>
      </w:r>
      <w:r>
        <w:t xml:space="preserve">Halving utilization halves throughput and doubles the cost per token on the same hardware.</w:t>
      </w:r>
      <w:r>
        <w:t xml:space="preserve"> </w:t>
      </w:r>
      <w:r>
        <w:rPr>
          <w:bCs/>
          <w:b/>
        </w:rPr>
        <w:t xml:space="preserve">Engineering implication.</w:t>
      </w:r>
      <w:r>
        <w:t xml:space="preserve"> </w:t>
      </w:r>
      <w:r>
        <w:t xml:space="preserve">Training clusters push MFU as high as possible because they are batch work. Online inference cannot run accelerators at 100% busy for the queueing reasons of §4.10 — latency explodes — so serving systems balance utilization against latency SLOs (Chapters 64, 66 and 73).</w:t>
      </w:r>
    </w:p>
    <w:bookmarkEnd w:id="440"/>
    <w:bookmarkStart w:id="441" w:name="batch-size-latency"/>
    <w:p>
      <w:pPr>
        <w:pStyle w:val="Heading3"/>
      </w:pPr>
      <w:r>
        <w:t xml:space="preserve">4.18.6 Batch size ↔ latency</w:t>
      </w:r>
    </w:p>
    <w:p>
      <w:pPr>
        <w:pStyle w:val="FirstParagraph"/>
      </w:pPr>
      <w:r>
        <w:t xml:space="preserve">Batching amortizes a fixed per-batch cost (kernel launch, loading weights from memory, a network round trip, a disk flush) across many items. A simple model: a batch of</w:t>
      </w:r>
      <w:r>
        <w:t xml:space="preserve"> </w:t>
      </w:r>
      <m:oMath>
        <m:r>
          <m:t>B</m:t>
        </m:r>
      </m:oMath>
      <w:r>
        <w:t xml:space="preserve"> </w:t>
      </w:r>
      <w:r>
        <w:t xml:space="preserve">items takes</w:t>
      </w:r>
      <w:r>
        <w:t xml:space="preserve"> </w:t>
      </w:r>
      <m:oMath>
        <m:r>
          <m:t>T</m:t>
        </m:r>
        <m:d>
          <m:dPr>
            <m:begChr m:val="("/>
            <m:endChr m:val=")"/>
            <m:sepChr m:val=""/>
            <m:grow/>
          </m:dPr>
          <m:e>
            <m:r>
              <m:t>B</m:t>
            </m:r>
          </m:e>
        </m:d>
        <m:r>
          <m:rPr>
            <m:sty m:val="p"/>
          </m:rPr>
          <m:t>=</m:t>
        </m:r>
        <m:sSub>
          <m:e>
            <m:r>
              <m:t>t</m:t>
            </m:r>
          </m:e>
          <m:sub>
            <m:r>
              <m:t>0</m:t>
            </m:r>
          </m:sub>
        </m:sSub>
        <m:r>
          <m:rPr>
            <m:sty m:val="p"/>
          </m:rPr>
          <m:t>+</m:t>
        </m:r>
        <m:r>
          <m:t>B</m:t>
        </m:r>
        <m:r>
          <m:t> </m:t>
        </m:r>
        <m:sSub>
          <m:e>
            <m:r>
              <m:t>t</m:t>
            </m:r>
          </m:e>
          <m:sub>
            <m:r>
              <m:t>1</m:t>
            </m:r>
          </m:sub>
        </m:sSub>
      </m:oMath>
      <w:r>
        <w:t xml:space="preserve">.</w:t>
      </w:r>
    </w:p>
    <w:p>
      <w:pPr>
        <w:pStyle w:val="CalloutFormula"/>
      </w:pPr>
      <w:r>
        <w:rPr>
          <w:bCs/>
          <w:b/>
        </w:rPr>
        <w:t xml:space="preserve">FORMULA</w:t>
      </w:r>
    </w:p>
    <w:p>
      <w:pPr>
        <w:pStyle w:val="CalloutFormula"/>
      </w:pPr>
      <w:r>
        <w:rPr>
          <w:bCs/>
          <w:b/>
        </w:rPr>
        <w:t xml:space="preserve">Batching model</w:t>
      </w:r>
    </w:p>
    <w:p>
      <w:pPr>
        <w:pStyle w:val="CalloutFormula"/>
      </w:pPr>
      <m:oMathPara>
        <m:oMathParaPr>
          <m:jc m:val="center"/>
        </m:oMathParaPr>
        <m:oMath>
          <m:r>
            <m:t>T</m:t>
          </m:r>
          <m:d>
            <m:dPr>
              <m:begChr m:val="("/>
              <m:endChr m:val=")"/>
              <m:sepChr m:val=""/>
              <m:grow/>
            </m:dPr>
            <m:e>
              <m:r>
                <m:t>B</m:t>
              </m:r>
            </m:e>
          </m:d>
          <m:r>
            <m:rPr>
              <m:sty m:val="p"/>
            </m:rPr>
            <m:t>=</m:t>
          </m:r>
          <m:sSub>
            <m:e>
              <m:r>
                <m:t>t</m:t>
              </m:r>
            </m:e>
            <m:sub>
              <m:r>
                <m:t>0</m:t>
              </m:r>
            </m:sub>
          </m:sSub>
          <m:r>
            <m:rPr>
              <m:sty m:val="p"/>
            </m:rPr>
            <m:t>+</m:t>
          </m:r>
          <m:r>
            <m:t>B</m:t>
          </m:r>
          <m:r>
            <m:t> </m:t>
          </m:r>
          <m:sSub>
            <m:e>
              <m:r>
                <m:t>t</m:t>
              </m:r>
            </m:e>
            <m:sub>
              <m:r>
                <m:t>1</m:t>
              </m:r>
            </m:sub>
          </m:sSub>
          <m:r>
            <m:t>  </m:t>
          </m:r>
          <m:r>
            <m:t>X</m:t>
          </m:r>
          <m:d>
            <m:dPr>
              <m:begChr m:val="("/>
              <m:endChr m:val=")"/>
              <m:sepChr m:val=""/>
              <m:grow/>
            </m:dPr>
            <m:e>
              <m:r>
                <m:t>B</m:t>
              </m:r>
            </m:e>
          </m:d>
          <m:r>
            <m:rPr>
              <m:sty m:val="p"/>
            </m:rPr>
            <m:t>=</m:t>
          </m:r>
          <m:f>
            <m:fPr>
              <m:type m:val="bar"/>
            </m:fPr>
            <m:num>
              <m:r>
                <m:t>B</m:t>
              </m:r>
            </m:num>
            <m:den>
              <m:sSub>
                <m:e>
                  <m:r>
                    <m:t>t</m:t>
                  </m:r>
                </m:e>
                <m:sub>
                  <m:r>
                    <m:t>0</m:t>
                  </m:r>
                </m:sub>
              </m:sSub>
              <m:r>
                <m:rPr>
                  <m:sty m:val="p"/>
                </m:rPr>
                <m:t>+</m:t>
              </m:r>
              <m:r>
                <m:t>B</m:t>
              </m:r>
              <m:r>
                <m:t> </m:t>
              </m:r>
              <m:sSub>
                <m:e>
                  <m:r>
                    <m:t>t</m:t>
                  </m:r>
                </m:e>
                <m:sub>
                  <m:r>
                    <m:t>1</m:t>
                  </m:r>
                </m:sub>
              </m:sSub>
            </m:den>
          </m:f>
          <m:r>
            <m:t>  </m:t>
          </m:r>
          <m:sSub>
            <m:e>
              <m:r>
                <m:t>W</m:t>
              </m:r>
            </m:e>
            <m:sub>
              <m:r>
                <m:rPr>
                  <m:nor/>
                  <m:sty m:val="p"/>
                </m:rPr>
                <m:t>fill</m:t>
              </m:r>
            </m:sub>
          </m:sSub>
          <m:r>
            <m:rPr>
              <m:sty m:val="p"/>
            </m:rPr>
            <m:t>≈</m:t>
          </m:r>
          <m:f>
            <m:fPr>
              <m:type m:val="bar"/>
            </m:fPr>
            <m:num>
              <m:r>
                <m:t>B</m:t>
              </m:r>
              <m:r>
                <m:rPr>
                  <m:sty m:val="p"/>
                </m:rPr>
                <m:t>−</m:t>
              </m:r>
              <m:r>
                <m:t>1</m:t>
              </m:r>
            </m:num>
            <m:den>
              <m:r>
                <m:t>2</m:t>
              </m:r>
              <m:r>
                <m:t>λ</m:t>
              </m:r>
            </m:den>
          </m:f>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B</m:t>
              </m:r>
            </m:oMath>
          </w:p>
        </w:tc>
        <w:tc>
          <w:tcPr/>
          <w:p>
            <w:pPr>
              <w:pStyle w:val="Compact"/>
              <w:jc w:val="left"/>
            </w:pPr>
            <w:r>
              <w:t xml:space="preserve">Batch size</w:t>
            </w:r>
          </w:p>
        </w:tc>
        <w:tc>
          <w:tcPr/>
          <w:p>
            <w:pPr>
              <w:pStyle w:val="Compact"/>
              <w:jc w:val="left"/>
            </w:pPr>
            <w:r>
              <w:t xml:space="preserve">items</w:t>
            </w:r>
          </w:p>
        </w:tc>
      </w:tr>
      <w:tr>
        <w:tc>
          <w:tcPr/>
          <w:p>
            <w:pPr>
              <w:pStyle w:val="Compact"/>
              <w:jc w:val="left"/>
            </w:pPr>
            <m:oMath>
              <m:sSub>
                <m:e>
                  <m:r>
                    <m:t>t</m:t>
                  </m:r>
                </m:e>
                <m:sub>
                  <m:r>
                    <m:t>0</m:t>
                  </m:r>
                </m:sub>
              </m:sSub>
            </m:oMath>
          </w:p>
        </w:tc>
        <w:tc>
          <w:tcPr/>
          <w:p>
            <w:pPr>
              <w:pStyle w:val="Compact"/>
              <w:jc w:val="left"/>
            </w:pPr>
            <w:r>
              <w:t xml:space="preserve">Fixed cost per batch</w:t>
            </w:r>
          </w:p>
        </w:tc>
        <w:tc>
          <w:tcPr/>
          <w:p>
            <w:pPr>
              <w:pStyle w:val="Compact"/>
              <w:jc w:val="left"/>
            </w:pPr>
            <w:r>
              <w:t xml:space="preserve">seconds</w:t>
            </w:r>
          </w:p>
        </w:tc>
      </w:tr>
      <w:tr>
        <w:tc>
          <w:tcPr/>
          <w:p>
            <w:pPr>
              <w:pStyle w:val="Compact"/>
              <w:jc w:val="left"/>
            </w:pPr>
            <m:oMath>
              <m:sSub>
                <m:e>
                  <m:r>
                    <m:t>t</m:t>
                  </m:r>
                </m:e>
                <m:sub>
                  <m:r>
                    <m:t>1</m:t>
                  </m:r>
                </m:sub>
              </m:sSub>
            </m:oMath>
          </w:p>
        </w:tc>
        <w:tc>
          <w:tcPr/>
          <w:p>
            <w:pPr>
              <w:pStyle w:val="Compact"/>
              <w:jc w:val="left"/>
            </w:pPr>
            <w:r>
              <w:t xml:space="preserve">Marginal cost per item</w:t>
            </w:r>
          </w:p>
        </w:tc>
        <w:tc>
          <w:tcPr/>
          <w:p>
            <w:pPr>
              <w:pStyle w:val="Compact"/>
              <w:jc w:val="left"/>
            </w:pPr>
            <w:r>
              <w:t xml:space="preserve">seconds/item</w:t>
            </w:r>
          </w:p>
        </w:tc>
      </w:tr>
      <w:tr>
        <w:tc>
          <w:tcPr/>
          <w:p>
            <w:pPr>
              <w:pStyle w:val="Compact"/>
              <w:jc w:val="left"/>
            </w:pPr>
            <m:oMath>
              <m:r>
                <m:t>T</m:t>
              </m:r>
              <m:d>
                <m:dPr>
                  <m:begChr m:val="("/>
                  <m:endChr m:val=")"/>
                  <m:sepChr m:val=""/>
                  <m:grow/>
                </m:dPr>
                <m:e>
                  <m:r>
                    <m:t>B</m:t>
                  </m:r>
                </m:e>
              </m:d>
            </m:oMath>
          </w:p>
        </w:tc>
        <w:tc>
          <w:tcPr/>
          <w:p>
            <w:pPr>
              <w:pStyle w:val="Compact"/>
              <w:jc w:val="left"/>
            </w:pPr>
            <w:r>
              <w:t xml:space="preserve">Time to process one batch</w:t>
            </w:r>
          </w:p>
        </w:tc>
        <w:tc>
          <w:tcPr/>
          <w:p>
            <w:pPr>
              <w:pStyle w:val="Compact"/>
              <w:jc w:val="left"/>
            </w:pPr>
            <w:r>
              <w:t xml:space="preserve">seconds</w:t>
            </w:r>
          </w:p>
        </w:tc>
      </w:tr>
      <w:tr>
        <w:tc>
          <w:tcPr/>
          <w:p>
            <w:pPr>
              <w:pStyle w:val="Compact"/>
              <w:jc w:val="left"/>
            </w:pPr>
            <m:oMath>
              <m:r>
                <m:t>X</m:t>
              </m:r>
              <m:d>
                <m:dPr>
                  <m:begChr m:val="("/>
                  <m:endChr m:val=")"/>
                  <m:sepChr m:val=""/>
                  <m:grow/>
                </m:dPr>
                <m:e>
                  <m:r>
                    <m:t>B</m:t>
                  </m:r>
                </m:e>
              </m:d>
            </m:oMath>
          </w:p>
        </w:tc>
        <w:tc>
          <w:tcPr/>
          <w:p>
            <w:pPr>
              <w:pStyle w:val="Compact"/>
              <w:jc w:val="left"/>
            </w:pPr>
            <w:r>
              <w:t xml:space="preserve">Throughput</w:t>
            </w:r>
          </w:p>
        </w:tc>
        <w:tc>
          <w:tcPr/>
          <w:p>
            <w:pPr>
              <w:pStyle w:val="Compact"/>
              <w:jc w:val="left"/>
            </w:pPr>
            <w:r>
              <w:t xml:space="preserve">items/second</w:t>
            </w:r>
          </w:p>
        </w:tc>
      </w:tr>
      <w:tr>
        <w:tc>
          <w:tcPr/>
          <w:p>
            <w:pPr>
              <w:pStyle w:val="Compact"/>
              <w:jc w:val="left"/>
            </w:pPr>
            <m:oMath>
              <m:r>
                <m:t>λ</m:t>
              </m:r>
            </m:oMath>
          </w:p>
        </w:tc>
        <w:tc>
          <w:tcPr/>
          <w:p>
            <w:pPr>
              <w:pStyle w:val="Compact"/>
              <w:jc w:val="left"/>
            </w:pPr>
            <w:r>
              <w:t xml:space="preserve">Arrival rate of items</w:t>
            </w:r>
          </w:p>
        </w:tc>
        <w:tc>
          <w:tcPr/>
          <w:p>
            <w:pPr>
              <w:pStyle w:val="Compact"/>
              <w:jc w:val="left"/>
            </w:pPr>
            <w:r>
              <w:t xml:space="preserve">items/second</w:t>
            </w:r>
          </w:p>
        </w:tc>
      </w:tr>
      <w:tr>
        <w:tc>
          <w:tcPr/>
          <w:p>
            <w:pPr>
              <w:pStyle w:val="Compact"/>
              <w:jc w:val="left"/>
            </w:pPr>
            <m:oMath>
              <m:sSub>
                <m:e>
                  <m:r>
                    <m:t>W</m:t>
                  </m:r>
                </m:e>
                <m:sub>
                  <m:r>
                    <m:rPr>
                      <m:nor/>
                      <m:sty m:val="p"/>
                    </m:rPr>
                    <m:t>fill</m:t>
                  </m:r>
                </m:sub>
              </m:sSub>
            </m:oMath>
          </w:p>
        </w:tc>
        <w:tc>
          <w:tcPr/>
          <w:p>
            <w:pPr>
              <w:pStyle w:val="Compact"/>
              <w:jc w:val="left"/>
            </w:pPr>
            <w:r>
              <w:t xml:space="preserve">Average time an item waits for its batch to fill</w:t>
            </w:r>
          </w:p>
        </w:tc>
        <w:tc>
          <w:tcPr/>
          <w:p>
            <w:pPr>
              <w:pStyle w:val="Compact"/>
              <w:jc w:val="left"/>
            </w:pPr>
            <w:r>
              <w:t xml:space="preserve">seconds</w:t>
            </w:r>
          </w:p>
        </w:tc>
      </w:tr>
    </w:tbl>
    <w:p>
      <w:pPr>
        <w:pStyle w:val="CalloutExample"/>
      </w:pPr>
      <w:r>
        <w:rPr>
          <w:bCs/>
          <w:b/>
        </w:rPr>
        <w:t xml:space="preserve">WORKED EXAMPLE</w:t>
      </w:r>
    </w:p>
    <w:p>
      <w:pPr>
        <w:pStyle w:val="CalloutExample"/>
      </w:pPr>
      <w:r>
        <w:rPr>
          <w:bCs/>
          <w:b/>
        </w:rPr>
        <w:t xml:space="preserve">Worked example — Choosing a batch size.</w:t>
      </w:r>
      <w:r>
        <w:t xml:space="preserve"> </w:t>
      </w:r>
      <w:r>
        <w:t xml:space="preserve">An inference server has</w:t>
      </w:r>
      <w:r>
        <w:t xml:space="preserve"> </w:t>
      </w:r>
      <m:oMath>
        <m:sSub>
          <m:e>
            <m:r>
              <m:t>t</m:t>
            </m:r>
          </m:e>
          <m:sub>
            <m:r>
              <m:t>0</m:t>
            </m:r>
          </m:sub>
        </m:sSub>
        <m:r>
          <m:rPr>
            <m:sty m:val="p"/>
          </m:rPr>
          <m:t>=</m:t>
        </m:r>
        <m:r>
          <m:t>8</m:t>
        </m:r>
      </m:oMath>
      <w:r>
        <w:t xml:space="preserve"> </w:t>
      </w:r>
      <w:r>
        <w:t xml:space="preserve">ms and</w:t>
      </w:r>
      <w:r>
        <w:t xml:space="preserve"> </w:t>
      </w:r>
      <m:oMath>
        <m:sSub>
          <m:e>
            <m:r>
              <m:t>t</m:t>
            </m:r>
          </m:e>
          <m:sub>
            <m:r>
              <m:t>1</m:t>
            </m:r>
          </m:sub>
        </m:sSub>
        <m:r>
          <m:rPr>
            <m:sty m:val="p"/>
          </m:rPr>
          <m:t>=</m:t>
        </m:r>
        <m:r>
          <m:t>0.5</m:t>
        </m:r>
      </m:oMath>
      <w:r>
        <w:t xml:space="preserve"> </w:t>
      </w:r>
      <w:r>
        <w:t xml:space="preserve">ms per request; requests arrive at</w:t>
      </w:r>
      <w:r>
        <w:t xml:space="preserve"> </w:t>
      </w:r>
      <m:oMath>
        <m:r>
          <m:t>λ</m:t>
        </m:r>
        <m:r>
          <m:rPr>
            <m:sty m:val="p"/>
          </m:rPr>
          <m:t>=</m:t>
        </m:r>
        <m:r>
          <m:t>1</m:t>
        </m:r>
        <m:r>
          <m:rPr>
            <m:sty m:val="p"/>
          </m:rPr>
          <m:t>,</m:t>
        </m:r>
        <m:r>
          <m:t>000</m:t>
        </m:r>
      </m:oMath>
      <w:r>
        <w:t xml:space="preserve">/s.</w:t>
      </w:r>
    </w:p>
    <w:p>
      <w:pPr>
        <w:numPr>
          <w:ilvl w:val="0"/>
          <w:numId w:val="1129"/>
        </w:numPr>
        <w:pStyle w:val="Compact"/>
      </w:pPr>
      <m:oMath>
        <m:r>
          <m:t>B</m:t>
        </m:r>
        <m:r>
          <m:rPr>
            <m:sty m:val="p"/>
          </m:rPr>
          <m:t>=</m:t>
        </m:r>
        <m:r>
          <m:t>1</m:t>
        </m:r>
      </m:oMath>
      <w:r>
        <w:t xml:space="preserve">:</w:t>
      </w:r>
      <w:r>
        <w:t xml:space="preserve"> </w:t>
      </w:r>
      <m:oMath>
        <m:r>
          <m:t>T</m:t>
        </m:r>
        <m:r>
          <m:rPr>
            <m:sty m:val="p"/>
          </m:rPr>
          <m:t>=</m:t>
        </m:r>
        <m:r>
          <m:t>8.5</m:t>
        </m:r>
      </m:oMath>
      <w:r>
        <w:t xml:space="preserve"> </w:t>
      </w:r>
      <w:r>
        <w:t xml:space="preserve">ms;</w:t>
      </w:r>
      <w:r>
        <w:t xml:space="preserve"> </w:t>
      </w:r>
      <m:oMath>
        <m:r>
          <m:t>X</m:t>
        </m:r>
        <m:r>
          <m:rPr>
            <m:sty m:val="p"/>
          </m:rPr>
          <m:t>=</m:t>
        </m:r>
        <m:r>
          <m:t>1</m:t>
        </m:r>
        <m:r>
          <m:rPr>
            <m:sty m:val="p"/>
          </m:rPr>
          <m:t>/</m:t>
        </m:r>
        <m:r>
          <m:t>0.0085</m:t>
        </m:r>
        <m:r>
          <m:rPr>
            <m:sty m:val="p"/>
          </m:rPr>
          <m:t>=</m:t>
        </m:r>
        <m:r>
          <m:t>118</m:t>
        </m:r>
      </m:oMath>
      <w:r>
        <w:t xml:space="preserve">/s — far below demand.</w:t>
      </w:r>
    </w:p>
    <w:p>
      <w:pPr>
        <w:numPr>
          <w:ilvl w:val="0"/>
          <w:numId w:val="1129"/>
        </w:numPr>
        <w:pStyle w:val="Compact"/>
      </w:pPr>
      <m:oMath>
        <m:r>
          <m:t>B</m:t>
        </m:r>
        <m:r>
          <m:rPr>
            <m:sty m:val="p"/>
          </m:rPr>
          <m:t>=</m:t>
        </m:r>
        <m:r>
          <m:t>8</m:t>
        </m:r>
      </m:oMath>
      <w:r>
        <w:t xml:space="preserve">:</w:t>
      </w:r>
      <w:r>
        <w:t xml:space="preserve"> </w:t>
      </w:r>
      <m:oMath>
        <m:r>
          <m:t>T</m:t>
        </m:r>
        <m:r>
          <m:rPr>
            <m:sty m:val="p"/>
          </m:rPr>
          <m:t>=</m:t>
        </m:r>
        <m:r>
          <m:t>12</m:t>
        </m:r>
      </m:oMath>
      <w:r>
        <w:t xml:space="preserve"> </w:t>
      </w:r>
      <w:r>
        <w:t xml:space="preserve">ms;</w:t>
      </w:r>
      <w:r>
        <w:t xml:space="preserve"> </w:t>
      </w:r>
      <m:oMath>
        <m:r>
          <m:t>X</m:t>
        </m:r>
        <m:r>
          <m:rPr>
            <m:sty m:val="p"/>
          </m:rPr>
          <m:t>=</m:t>
        </m:r>
        <m:r>
          <m:t>8</m:t>
        </m:r>
        <m:r>
          <m:rPr>
            <m:sty m:val="p"/>
          </m:rPr>
          <m:t>/</m:t>
        </m:r>
        <m:r>
          <m:t>0.012</m:t>
        </m:r>
        <m:r>
          <m:rPr>
            <m:sty m:val="p"/>
          </m:rPr>
          <m:t>=</m:t>
        </m:r>
        <m:r>
          <m:t>667</m:t>
        </m:r>
      </m:oMath>
      <w:r>
        <w:t xml:space="preserve">/s — still below demand.</w:t>
      </w:r>
    </w:p>
    <w:p>
      <w:pPr>
        <w:numPr>
          <w:ilvl w:val="0"/>
          <w:numId w:val="1129"/>
        </w:numPr>
        <w:pStyle w:val="Compact"/>
      </w:pPr>
      <m:oMath>
        <m:r>
          <m:t>B</m:t>
        </m:r>
        <m:r>
          <m:rPr>
            <m:sty m:val="p"/>
          </m:rPr>
          <m:t>=</m:t>
        </m:r>
        <m:r>
          <m:t>32</m:t>
        </m:r>
      </m:oMath>
      <w:r>
        <w:t xml:space="preserve">:</w:t>
      </w:r>
      <w:r>
        <w:t xml:space="preserve"> </w:t>
      </w:r>
      <m:oMath>
        <m:r>
          <m:t>T</m:t>
        </m:r>
        <m:r>
          <m:rPr>
            <m:sty m:val="p"/>
          </m:rPr>
          <m:t>=</m:t>
        </m:r>
        <m:r>
          <m:t>24</m:t>
        </m:r>
      </m:oMath>
      <w:r>
        <w:t xml:space="preserve"> </w:t>
      </w:r>
      <w:r>
        <w:t xml:space="preserve">ms;</w:t>
      </w:r>
      <w:r>
        <w:t xml:space="preserve"> </w:t>
      </w:r>
      <m:oMath>
        <m:r>
          <m:t>X</m:t>
        </m:r>
        <m:r>
          <m:rPr>
            <m:sty m:val="p"/>
          </m:rPr>
          <m:t>=</m:t>
        </m:r>
        <m:r>
          <m:t>32</m:t>
        </m:r>
        <m:r>
          <m:rPr>
            <m:sty m:val="p"/>
          </m:rPr>
          <m:t>/</m:t>
        </m:r>
        <m:r>
          <m:t>0.024</m:t>
        </m:r>
        <m:r>
          <m:rPr>
            <m:sty m:val="p"/>
          </m:rPr>
          <m:t>=</m:t>
        </m:r>
        <m:r>
          <m:t>1</m:t>
        </m:r>
        <m:r>
          <m:rPr>
            <m:sty m:val="p"/>
          </m:rPr>
          <m:t>,</m:t>
        </m:r>
        <m:r>
          <m:t>333</m:t>
        </m:r>
      </m:oMath>
      <w:r>
        <w:t xml:space="preserve">/s — meets demand; average fill wait</w:t>
      </w:r>
      <w:r>
        <w:t xml:space="preserve"> </w:t>
      </w:r>
      <m:oMath>
        <m:r>
          <m:rPr>
            <m:sty m:val="p"/>
          </m:rPr>
          <m:t>≈</m:t>
        </m:r>
        <m:r>
          <m:t>31</m:t>
        </m:r>
        <m:r>
          <m:rPr>
            <m:sty m:val="p"/>
          </m:rPr>
          <m:t>/</m:t>
        </m:r>
        <m:r>
          <m:t>2000</m:t>
        </m:r>
        <m:r>
          <m:rPr>
            <m:sty m:val="p"/>
          </m:rPr>
          <m:t>=</m:t>
        </m:r>
        <m:r>
          <m:t>15.5</m:t>
        </m:r>
      </m:oMath>
      <w:r>
        <w:t xml:space="preserve"> </w:t>
      </w:r>
      <w:r>
        <w:t xml:space="preserve">ms, so latency ≈ 15.5 + 24 ≈ 40 ms.</w:t>
      </w:r>
    </w:p>
    <w:p>
      <w:pPr>
        <w:numPr>
          <w:ilvl w:val="0"/>
          <w:numId w:val="1129"/>
        </w:numPr>
        <w:pStyle w:val="Compact"/>
      </w:pPr>
      <m:oMath>
        <m:r>
          <m:t>B</m:t>
        </m:r>
        <m:r>
          <m:rPr>
            <m:sty m:val="p"/>
          </m:rPr>
          <m:t>=</m:t>
        </m:r>
        <m:r>
          <m:t>64</m:t>
        </m:r>
      </m:oMath>
      <w:r>
        <w:t xml:space="preserve">:</w:t>
      </w:r>
      <w:r>
        <w:t xml:space="preserve"> </w:t>
      </w:r>
      <m:oMath>
        <m:r>
          <m:t>T</m:t>
        </m:r>
        <m:r>
          <m:rPr>
            <m:sty m:val="p"/>
          </m:rPr>
          <m:t>=</m:t>
        </m:r>
        <m:r>
          <m:t>40</m:t>
        </m:r>
      </m:oMath>
      <w:r>
        <w:t xml:space="preserve"> </w:t>
      </w:r>
      <w:r>
        <w:t xml:space="preserve">ms;</w:t>
      </w:r>
      <w:r>
        <w:t xml:space="preserve"> </w:t>
      </w:r>
      <m:oMath>
        <m:r>
          <m:t>X</m:t>
        </m:r>
        <m:r>
          <m:rPr>
            <m:sty m:val="p"/>
          </m:rPr>
          <m:t>=</m:t>
        </m:r>
        <m:r>
          <m:t>1</m:t>
        </m:r>
        <m:r>
          <m:rPr>
            <m:sty m:val="p"/>
          </m:rPr>
          <m:t>,</m:t>
        </m:r>
        <m:r>
          <m:t>600</m:t>
        </m:r>
      </m:oMath>
      <w:r>
        <w:t xml:space="preserve">/s; fill wait</w:t>
      </w:r>
      <w:r>
        <w:t xml:space="preserve"> </w:t>
      </w:r>
      <m:oMath>
        <m:r>
          <m:rPr>
            <m:sty m:val="p"/>
          </m:rPr>
          <m:t>≈</m:t>
        </m:r>
        <m:r>
          <m:t>63</m:t>
        </m:r>
        <m:r>
          <m:rPr>
            <m:sty m:val="p"/>
          </m:rPr>
          <m:t>/</m:t>
        </m:r>
        <m:r>
          <m:t>2000</m:t>
        </m:r>
        <m:r>
          <m:rPr>
            <m:sty m:val="p"/>
          </m:rPr>
          <m:t>=</m:t>
        </m:r>
        <m:r>
          <m:t>31.5</m:t>
        </m:r>
      </m:oMath>
      <w:r>
        <w:t xml:space="preserve"> </w:t>
      </w:r>
      <w:r>
        <w:t xml:space="preserve">ms; latency ≈ 72 ms.</w:t>
      </w:r>
    </w:p>
    <w:p>
      <w:pPr>
        <w:pStyle w:val="CalloutExample"/>
      </w:pPr>
      <w:r>
        <w:rPr>
          <w:bCs/>
          <w:b/>
        </w:rPr>
        <w:t xml:space="preserve">Interpretation.</w:t>
      </w:r>
      <w:r>
        <w:t xml:space="preserve"> </w:t>
      </w:r>
      <w:r>
        <w:t xml:space="preserve">Throughput rises toward the ceiling</w:t>
      </w:r>
      <w:r>
        <w:t xml:space="preserve"> </w:t>
      </w:r>
      <m:oMath>
        <m:r>
          <m:t>1</m:t>
        </m:r>
        <m:r>
          <m:rPr>
            <m:sty m:val="p"/>
          </m:rPr>
          <m:t>/</m:t>
        </m:r>
        <m:sSub>
          <m:e>
            <m:r>
              <m:t>t</m:t>
            </m:r>
          </m:e>
          <m:sub>
            <m:r>
              <m:t>1</m:t>
            </m:r>
          </m:sub>
        </m:sSub>
        <m:r>
          <m:rPr>
            <m:sty m:val="p"/>
          </m:rPr>
          <m:t>=</m:t>
        </m:r>
        <m:r>
          <m:t>2</m:t>
        </m:r>
        <m:r>
          <m:rPr>
            <m:sty m:val="p"/>
          </m:rPr>
          <m:t>,</m:t>
        </m:r>
        <m:r>
          <m:t>000</m:t>
        </m:r>
      </m:oMath>
      <w:r>
        <w:t xml:space="preserve">/s with diminishing returns, while latency rises roughly linearly with</w:t>
      </w:r>
      <w:r>
        <w:t xml:space="preserve"> </w:t>
      </w:r>
      <m:oMath>
        <m:r>
          <m:t>B</m:t>
        </m:r>
      </m:oMath>
      <w:r>
        <w:t xml:space="preserve">.</w:t>
      </w:r>
      <w:r>
        <w:t xml:space="preserve"> </w:t>
      </w:r>
      <w:r>
        <w:rPr>
          <w:bCs/>
          <w:b/>
        </w:rPr>
        <w:t xml:space="preserve">Engineering implication.</w:t>
      </w:r>
      <w:r>
        <w:t xml:space="preserve"> </w:t>
      </w:r>
      <w:r>
        <w:t xml:space="preserve">Choose the</w:t>
      </w:r>
      <w:r>
        <w:t xml:space="preserve"> </w:t>
      </w:r>
      <w:r>
        <w:rPr>
          <w:iCs/>
          <w:i/>
        </w:rPr>
        <w:t xml:space="preserve">smallest</w:t>
      </w:r>
      <w:r>
        <w:t xml:space="preserve"> </w:t>
      </w:r>
      <w:r>
        <w:t xml:space="preserve">batch that meets throughput with headroom, and cap the fill wait with a timeout (dynamic batching) so that low-traffic periods do not wait for full batches. In memory-bound LLM decoding the effect is even stronger: if each decoding step must stream all</w:t>
      </w:r>
      <w:r>
        <w:t xml:space="preserve"> </w:t>
      </w:r>
      <m:oMath>
        <m:r>
          <m:t>7</m:t>
        </m:r>
        <m:r>
          <m:rPr>
            <m:sty m:val="p"/>
          </m:rPr>
          <m:t>×</m:t>
        </m:r>
        <m:sSup>
          <m:e>
            <m:r>
              <m:t>10</m:t>
            </m:r>
          </m:e>
          <m:sup>
            <m:r>
              <m:t>9</m:t>
            </m:r>
          </m:sup>
        </m:sSup>
        <m:r>
          <m:rPr>
            <m:sty m:val="p"/>
          </m:rPr>
          <m:t>×</m:t>
        </m:r>
        <m:r>
          <m:t>2</m:t>
        </m:r>
      </m:oMath>
      <w:r>
        <w:t xml:space="preserve"> </w:t>
      </w:r>
      <w:r>
        <w:t xml:space="preserve">bytes = 14 GB of weights from memory at a hypothetical 3 TB/s, a step takes about 4.7 ms whether it serves 1 or 32 sequences, so batch 32 yields about</w:t>
      </w:r>
      <w:r>
        <w:t xml:space="preserve"> </w:t>
      </w:r>
      <m:oMath>
        <m:r>
          <m:t>32</m:t>
        </m:r>
        <m:r>
          <m:rPr>
            <m:sty m:val="p"/>
          </m:rPr>
          <m:t>/</m:t>
        </m:r>
        <m:r>
          <m:t>0.0047</m:t>
        </m:r>
        <m:r>
          <m:rPr>
            <m:sty m:val="p"/>
          </m:rPr>
          <m:t>≈</m:t>
        </m:r>
        <m:r>
          <m:t>6</m:t>
        </m:r>
        <m:r>
          <m:rPr>
            <m:sty m:val="p"/>
          </m:rPr>
          <m:t>,</m:t>
        </m:r>
        <m:r>
          <m:t>800</m:t>
        </m:r>
      </m:oMath>
      <w:r>
        <w:t xml:space="preserve"> </w:t>
      </w:r>
      <w:r>
        <w:t xml:space="preserve">tokens/s instead of about 210 (ignoring attention-cache traffic; Chapter 73).</w:t>
      </w:r>
    </w:p>
    <w:p>
      <w:pPr>
        <w:pStyle w:val="BodyText"/>
      </w:pPr>
      <w:r>
        <w:rPr>
          <w:bCs/>
          <w:b/>
        </w:rPr>
        <w:t xml:space="preserve">Table 4.10 — The six relationships at a glance.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Relationship</w:t>
            </w:r>
          </w:p>
        </w:tc>
        <w:tc>
          <w:tcPr/>
          <w:p>
            <w:pPr>
              <w:pStyle w:val="Compact"/>
              <w:jc w:val="left"/>
            </w:pPr>
            <w:r>
              <w:t xml:space="preserve">Governing formula</w:t>
            </w:r>
          </w:p>
        </w:tc>
        <w:tc>
          <w:tcPr/>
          <w:p>
            <w:pPr>
              <w:pStyle w:val="Compact"/>
              <w:jc w:val="left"/>
            </w:pPr>
            <w:r>
              <w:t xml:space="preserve">One-line rule</w:t>
            </w:r>
          </w:p>
        </w:tc>
      </w:tr>
      <w:tr>
        <w:tc>
          <w:tcPr/>
          <w:p>
            <w:pPr>
              <w:pStyle w:val="Compact"/>
              <w:jc w:val="left"/>
            </w:pPr>
            <w:r>
              <w:t xml:space="preserve">Latency ↔ throughput</w:t>
            </w:r>
          </w:p>
        </w:tc>
        <w:tc>
          <w:tcPr/>
          <w:p>
            <w:pPr>
              <w:pStyle w:val="Compact"/>
              <w:jc w:val="left"/>
            </w:pPr>
            <m:oMath>
              <m:r>
                <m:t>X</m:t>
              </m:r>
              <m:r>
                <m:rPr>
                  <m:sty m:val="p"/>
                </m:rPr>
                <m:t>=</m:t>
              </m:r>
              <m:r>
                <m:t>N</m:t>
              </m:r>
              <m:r>
                <m:rPr>
                  <m:sty m:val="p"/>
                </m:rPr>
                <m:t>/</m:t>
              </m:r>
              <m:r>
                <m:t>R</m:t>
              </m:r>
            </m:oMath>
            <w:r>
              <w:t xml:space="preserve">;</w:t>
            </w:r>
            <w:r>
              <w:t xml:space="preserve"> </w:t>
            </w:r>
            <m:oMath>
              <m:r>
                <m:t>W</m:t>
              </m:r>
              <m:r>
                <m:rPr>
                  <m:sty m:val="p"/>
                </m:rPr>
                <m:t>=</m:t>
              </m:r>
              <m:r>
                <m:t>S</m:t>
              </m:r>
              <m:r>
                <m:rPr>
                  <m:sty m:val="p"/>
                </m:rPr>
                <m:t>/</m:t>
              </m:r>
              <m:d>
                <m:dPr>
                  <m:begChr m:val="("/>
                  <m:endChr m:val=")"/>
                  <m:sepChr m:val=""/>
                  <m:grow/>
                </m:dPr>
                <m:e>
                  <m:r>
                    <m:t>1</m:t>
                  </m:r>
                  <m:r>
                    <m:rPr>
                      <m:sty m:val="p"/>
                    </m:rPr>
                    <m:t>−</m:t>
                  </m:r>
                  <m:r>
                    <m:t>ρ</m:t>
                  </m:r>
                </m:e>
              </m:d>
            </m:oMath>
          </w:p>
        </w:tc>
        <w:tc>
          <w:tcPr/>
          <w:p>
            <w:pPr>
              <w:pStyle w:val="Compact"/>
              <w:jc w:val="left"/>
            </w:pPr>
            <w:r>
              <w:t xml:space="preserve">More concurrency raises throughput until queueing raises latency</w:t>
            </w:r>
          </w:p>
        </w:tc>
      </w:tr>
      <w:tr>
        <w:tc>
          <w:tcPr/>
          <w:p>
            <w:pPr>
              <w:pStyle w:val="Compact"/>
              <w:jc w:val="left"/>
            </w:pPr>
            <w:r>
              <w:t xml:space="preserve">Availability ↔ reliability</w:t>
            </w:r>
          </w:p>
        </w:tc>
        <w:tc>
          <w:tcPr/>
          <w:p>
            <w:pPr>
              <w:pStyle w:val="Compact"/>
              <w:jc w:val="left"/>
            </w:pPr>
            <m:oMath>
              <m:r>
                <m:t>A</m:t>
              </m:r>
              <m:r>
                <m:rPr>
                  <m:sty m:val="p"/>
                </m:rPr>
                <m:t>=</m:t>
              </m:r>
              <m:r>
                <m:rPr>
                  <m:nor/>
                  <m:sty m:val="p"/>
                </m:rPr>
                <m:t>MTBF</m:t>
              </m:r>
              <m:r>
                <m:rPr>
                  <m:sty m:val="p"/>
                </m:rPr>
                <m:t>/</m:t>
              </m:r>
              <m:d>
                <m:dPr>
                  <m:begChr m:val="("/>
                  <m:endChr m:val=")"/>
                  <m:sepChr m:val=""/>
                  <m:grow/>
                </m:dPr>
                <m:e>
                  <m:r>
                    <m:rPr>
                      <m:nor/>
                      <m:sty m:val="p"/>
                    </m:rPr>
                    <m:t>MTBF</m:t>
                  </m:r>
                  <m:r>
                    <m:rPr>
                      <m:sty m:val="p"/>
                    </m:rPr>
                    <m:t>+</m:t>
                  </m:r>
                  <m:r>
                    <m:rPr>
                      <m:nor/>
                      <m:sty m:val="p"/>
                    </m:rPr>
                    <m:t>MTTR</m:t>
                  </m:r>
                </m:e>
              </m:d>
            </m:oMath>
            <w:r>
              <w:t xml:space="preserve">;</w:t>
            </w:r>
            <w:r>
              <w:t xml:space="preserve"> </w:t>
            </w:r>
            <m:oMath>
              <m:r>
                <m:t>R</m:t>
              </m:r>
              <m:d>
                <m:dPr>
                  <m:begChr m:val="("/>
                  <m:endChr m:val=")"/>
                  <m:sepChr m:val=""/>
                  <m:grow/>
                </m:dPr>
                <m:e>
                  <m:r>
                    <m:t>t</m:t>
                  </m:r>
                </m:e>
              </m:d>
              <m:r>
                <m:rPr>
                  <m:sty m:val="p"/>
                </m:rPr>
                <m:t>=</m:t>
              </m:r>
              <m:sSup>
                <m:e>
                  <m:r>
                    <m:t>e</m:t>
                  </m:r>
                </m:e>
                <m:sup>
                  <m:r>
                    <m:rPr>
                      <m:sty m:val="p"/>
                    </m:rPr>
                    <m:t>−</m:t>
                  </m:r>
                  <m:r>
                    <m:t>t</m:t>
                  </m:r>
                  <m:r>
                    <m:rPr>
                      <m:sty m:val="p"/>
                    </m:rPr>
                    <m:t>/</m:t>
                  </m:r>
                  <m:r>
                    <m:rPr>
                      <m:nor/>
                      <m:sty m:val="p"/>
                    </m:rPr>
                    <m:t>MTBF</m:t>
                  </m:r>
                </m:sup>
              </m:sSup>
            </m:oMath>
          </w:p>
        </w:tc>
        <w:tc>
          <w:tcPr/>
          <w:p>
            <w:pPr>
              <w:pStyle w:val="Compact"/>
              <w:jc w:val="left"/>
            </w:pPr>
            <w:r>
              <w:t xml:space="preserve">Fast repair buys availability; only rare failure buys reliability</w:t>
            </w:r>
          </w:p>
        </w:tc>
      </w:tr>
      <w:tr>
        <w:tc>
          <w:tcPr/>
          <w:p>
            <w:pPr>
              <w:pStyle w:val="Compact"/>
              <w:jc w:val="left"/>
            </w:pPr>
            <w:r>
              <w:t xml:space="preserve">Replication ↔ durability</w:t>
            </w:r>
          </w:p>
        </w:tc>
        <w:tc>
          <w:tcPr/>
          <w:p>
            <w:pPr>
              <w:pStyle w:val="Compact"/>
              <w:jc w:val="left"/>
            </w:pPr>
            <m:oMath>
              <m:sSub>
                <m:e>
                  <m:r>
                    <m:t>P</m:t>
                  </m:r>
                </m:e>
                <m:sub>
                  <m:r>
                    <m:rPr>
                      <m:nor/>
                      <m:sty m:val="p"/>
                    </m:rPr>
                    <m:t>loss</m:t>
                  </m:r>
                </m:sub>
              </m:sSub>
              <m:r>
                <m:rPr>
                  <m:sty m:val="p"/>
                </m:rPr>
                <m:t>≈</m:t>
              </m:r>
              <m:r>
                <m:t>n</m:t>
              </m:r>
              <m:r>
                <m:rPr>
                  <m:sty m:val="p"/>
                </m:rPr>
                <m:t>!</m:t>
              </m:r>
              <m:sSup>
                <m:e>
                  <m:r>
                    <m:t>λ</m:t>
                  </m:r>
                </m:e>
                <m:sup>
                  <m:r>
                    <m:t>n</m:t>
                  </m:r>
                </m:sup>
              </m:sSup>
              <m:sSup>
                <m:e>
                  <m:r>
                    <m:t>T</m:t>
                  </m:r>
                </m:e>
                <m:sup>
                  <m:r>
                    <m:t>n</m:t>
                  </m:r>
                  <m:r>
                    <m:rPr>
                      <m:sty m:val="p"/>
                    </m:rPr>
                    <m:t>−</m:t>
                  </m:r>
                  <m:r>
                    <m:t>1</m:t>
                  </m:r>
                </m:sup>
              </m:sSup>
              <m:r>
                <m:t>H</m:t>
              </m:r>
            </m:oMath>
          </w:p>
        </w:tc>
        <w:tc>
          <w:tcPr/>
          <w:p>
            <w:pPr>
              <w:pStyle w:val="Compact"/>
              <w:jc w:val="left"/>
            </w:pPr>
            <w:r>
              <w:t xml:space="preserve">Each replica adds ~</w:t>
            </w:r>
            <m:oMath>
              <m:r>
                <m:t>1</m:t>
              </m:r>
              <m:r>
                <m:rPr>
                  <m:sty m:val="p"/>
                </m:rPr>
                <m:t>/</m:t>
              </m:r>
              <m:d>
                <m:dPr>
                  <m:begChr m:val="("/>
                  <m:endChr m:val=")"/>
                  <m:sepChr m:val=""/>
                  <m:grow/>
                </m:dPr>
                <m:e>
                  <m:r>
                    <m:t>λ</m:t>
                  </m:r>
                  <m:r>
                    <m:t>T</m:t>
                  </m:r>
                </m:e>
              </m:d>
            </m:oMath>
            <w:r>
              <w:t xml:space="preserve">; repair speed matters as much</w:t>
            </w:r>
          </w:p>
        </w:tc>
      </w:tr>
      <w:tr>
        <w:tc>
          <w:tcPr/>
          <w:p>
            <w:pPr>
              <w:pStyle w:val="Compact"/>
              <w:jc w:val="left"/>
            </w:pPr>
            <w:r>
              <w:t xml:space="preserve">Accuracy ↔ latency</w:t>
            </w:r>
          </w:p>
        </w:tc>
        <w:tc>
          <w:tcPr/>
          <w:p>
            <w:pPr>
              <w:pStyle w:val="Compact"/>
              <w:jc w:val="left"/>
            </w:pPr>
            <m:oMath>
              <m:r>
                <m:rPr>
                  <m:nor/>
                  <m:sty m:val="p"/>
                </m:rPr>
                <m:t>SE</m:t>
              </m:r>
              <m:r>
                <m:rPr>
                  <m:sty m:val="p"/>
                </m:rPr>
                <m:t>=</m:t>
              </m:r>
              <m:r>
                <m:t>σ</m:t>
              </m:r>
              <m:r>
                <m:rPr>
                  <m:sty m:val="p"/>
                </m:rPr>
                <m:t>/</m:t>
              </m:r>
              <m:rad>
                <m:radPr>
                  <m:degHide m:val="on"/>
                </m:radPr>
                <m:deg/>
                <m:e>
                  <m:r>
                    <m:t>n</m:t>
                  </m:r>
                </m:e>
              </m:rad>
            </m:oMath>
          </w:p>
        </w:tc>
        <w:tc>
          <w:tcPr/>
          <w:p>
            <w:pPr>
              <w:pStyle w:val="Compact"/>
              <w:jc w:val="left"/>
            </w:pPr>
            <w:r>
              <w:t xml:space="preserve">10× accuracy often costs 100× work</w:t>
            </w:r>
          </w:p>
        </w:tc>
      </w:tr>
      <w:tr>
        <w:tc>
          <w:tcPr/>
          <w:p>
            <w:pPr>
              <w:pStyle w:val="Compact"/>
              <w:jc w:val="left"/>
            </w:pPr>
            <w:r>
              <w:t xml:space="preserve">GPU utilization ↔ throughput</w:t>
            </w:r>
          </w:p>
        </w:tc>
        <w:tc>
          <w:tcPr/>
          <w:p>
            <w:pPr>
              <w:pStyle w:val="Compact"/>
              <w:jc w:val="left"/>
            </w:pPr>
            <m:oMath>
              <m:r>
                <m:t>X</m:t>
              </m:r>
              <m:r>
                <m:rPr>
                  <m:sty m:val="p"/>
                </m:rPr>
                <m:t>=</m:t>
              </m:r>
              <m:r>
                <m:rPr>
                  <m:nor/>
                  <m:sty m:val="p"/>
                </m:rPr>
                <m:t>MFU</m:t>
              </m:r>
              <m:r>
                <m:rPr>
                  <m:sty m:val="p"/>
                </m:rPr>
                <m:t>⋅</m:t>
              </m:r>
              <m:sSub>
                <m:e>
                  <m:r>
                    <m:t>F</m:t>
                  </m:r>
                </m:e>
                <m:sub>
                  <m:r>
                    <m:rPr>
                      <m:nor/>
                      <m:sty m:val="p"/>
                    </m:rPr>
                    <m:t>peak</m:t>
                  </m:r>
                </m:sub>
              </m:sSub>
              <m:r>
                <m:rPr>
                  <m:sty m:val="p"/>
                </m:rPr>
                <m:t>/</m:t>
              </m:r>
              <m:d>
                <m:dPr>
                  <m:begChr m:val="("/>
                  <m:endChr m:val=")"/>
                  <m:sepChr m:val=""/>
                  <m:grow/>
                </m:dPr>
                <m:e>
                  <m:r>
                    <m:t>2</m:t>
                  </m:r>
                  <m:r>
                    <m:t>P</m:t>
                  </m:r>
                </m:e>
              </m:d>
            </m:oMath>
          </w:p>
        </w:tc>
        <w:tc>
          <w:tcPr/>
          <w:p>
            <w:pPr>
              <w:pStyle w:val="Compact"/>
              <w:jc w:val="left"/>
            </w:pPr>
            <w:r>
              <w:t xml:space="preserve">Throughput and cost per token scale with utilization</w:t>
            </w:r>
          </w:p>
        </w:tc>
      </w:tr>
      <w:tr>
        <w:tc>
          <w:tcPr/>
          <w:p>
            <w:pPr>
              <w:pStyle w:val="Compact"/>
              <w:jc w:val="left"/>
            </w:pPr>
            <w:r>
              <w:t xml:space="preserve">Batch size ↔ latency</w:t>
            </w:r>
          </w:p>
        </w:tc>
        <w:tc>
          <w:tcPr/>
          <w:p>
            <w:pPr>
              <w:pStyle w:val="Compact"/>
              <w:jc w:val="left"/>
            </w:pPr>
            <m:oMath>
              <m:r>
                <m:t>X</m:t>
              </m:r>
              <m:r>
                <m:rPr>
                  <m:sty m:val="p"/>
                </m:rPr>
                <m:t>=</m:t>
              </m:r>
              <m:r>
                <m:t>B</m:t>
              </m:r>
              <m:r>
                <m:rPr>
                  <m:sty m:val="p"/>
                </m:rPr>
                <m:t>/</m:t>
              </m:r>
              <m:d>
                <m:dPr>
                  <m:begChr m:val="("/>
                  <m:endChr m:val=")"/>
                  <m:sepChr m:val=""/>
                  <m:grow/>
                </m:dPr>
                <m:e>
                  <m:sSub>
                    <m:e>
                      <m:r>
                        <m:t>t</m:t>
                      </m:r>
                    </m:e>
                    <m:sub>
                      <m:r>
                        <m:t>0</m:t>
                      </m:r>
                    </m:sub>
                  </m:sSub>
                  <m:r>
                    <m:rPr>
                      <m:sty m:val="p"/>
                    </m:rPr>
                    <m:t>+</m:t>
                  </m:r>
                  <m:r>
                    <m:t>B</m:t>
                  </m:r>
                  <m:sSub>
                    <m:e>
                      <m:r>
                        <m:t>t</m:t>
                      </m:r>
                    </m:e>
                    <m:sub>
                      <m:r>
                        <m:t>1</m:t>
                      </m:r>
                    </m:sub>
                  </m:sSub>
                </m:e>
              </m:d>
            </m:oMath>
          </w:p>
        </w:tc>
        <w:tc>
          <w:tcPr/>
          <w:p>
            <w:pPr>
              <w:pStyle w:val="Compact"/>
              <w:jc w:val="left"/>
            </w:pPr>
            <w:r>
              <w:t xml:space="preserve">Batching buys throughput with latency</w:t>
            </w:r>
          </w:p>
        </w:tc>
      </w:tr>
    </w:tbl>
    <w:bookmarkEnd w:id="441"/>
    <w:bookmarkEnd w:id="442"/>
    <w:bookmarkStart w:id="443" w:name="summary-and-revision-notes-3"/>
    <w:p>
      <w:pPr>
        <w:pStyle w:val="Heading2"/>
      </w:pPr>
      <w:r>
        <w:t xml:space="preserve">4.19 Summary and revision notes</w:t>
      </w:r>
    </w:p>
    <w:p>
      <w:pPr>
        <w:pStyle w:val="CalloutSummary"/>
      </w:pPr>
      <w:r>
        <w:rPr>
          <w:bCs/>
          <w:b/>
        </w:rPr>
        <w:t xml:space="preserve">SUMMARY</w:t>
      </w:r>
    </w:p>
    <w:p>
      <w:pPr>
        <w:numPr>
          <w:ilvl w:val="0"/>
          <w:numId w:val="1130"/>
        </w:numPr>
        <w:pStyle w:val="Compact"/>
      </w:pPr>
      <w:r>
        <w:rPr>
          <w:bCs/>
          <w:b/>
        </w:rPr>
        <w:t xml:space="preserve">Powers and logs.</w:t>
      </w:r>
      <w:r>
        <w:t xml:space="preserve"> </w:t>
      </w:r>
      <m:oMath>
        <m:sSup>
          <m:e>
            <m:r>
              <m:t>2</m:t>
            </m:r>
          </m:e>
          <m:sup>
            <m:r>
              <m:t>10</m:t>
            </m:r>
          </m:sup>
        </m:sSup>
        <m:r>
          <m:rPr>
            <m:sty m:val="p"/>
          </m:rPr>
          <m:t>≈</m:t>
        </m:r>
        <m:sSup>
          <m:e>
            <m:r>
              <m:t>10</m:t>
            </m:r>
          </m:e>
          <m:sup>
            <m:r>
              <m:t>3</m:t>
            </m:r>
          </m:sup>
        </m:sSup>
      </m:oMath>
      <w:r>
        <w:t xml:space="preserve">; carry exponents exactly and mantissas roughly. Logarithms count halvings: binary search over</w:t>
      </w:r>
      <w:r>
        <w:t xml:space="preserve"> </w:t>
      </w:r>
      <m:oMath>
        <m:sSup>
          <m:e>
            <m:r>
              <m:t>10</m:t>
            </m:r>
          </m:e>
          <m:sup>
            <m:r>
              <m:t>9</m:t>
            </m:r>
          </m:sup>
        </m:sSup>
      </m:oMath>
      <w:r>
        <w:t xml:space="preserve"> </w:t>
      </w:r>
      <w:r>
        <w:t xml:space="preserve">keys takes 30 steps; a B-tree with fan-out ~800 needs 4 levels, and the top levels are cached.</w:t>
      </w:r>
    </w:p>
    <w:p>
      <w:pPr>
        <w:numPr>
          <w:ilvl w:val="0"/>
          <w:numId w:val="1130"/>
        </w:numPr>
        <w:pStyle w:val="Compact"/>
      </w:pPr>
      <w:r>
        <w:rPr>
          <w:bCs/>
          <w:b/>
        </w:rPr>
        <w:t xml:space="preserve">Units.</w:t>
      </w:r>
      <w:r>
        <w:t xml:space="preserve"> </w:t>
      </w:r>
      <w:r>
        <w:t xml:space="preserve">Network rates are bits/s, storage is bytes: divide by 8. KB/MB/GB are decimal, KiB/MiB/GiB binary; the gap is 7% at tera and 13% at peta. One day ≈ 86,400 s ≈</w:t>
      </w:r>
      <w:r>
        <w:t xml:space="preserve"> </w:t>
      </w:r>
      <m:oMath>
        <m:sSup>
          <m:e>
            <m:r>
              <m:t>10</m:t>
            </m:r>
          </m:e>
          <m:sup>
            <m:r>
              <m:t>5</m:t>
            </m:r>
          </m:sup>
        </m:sSup>
      </m:oMath>
      <w:r>
        <w:t xml:space="preserve"> </w:t>
      </w:r>
      <w:r>
        <w:t xml:space="preserve">s.</w:t>
      </w:r>
    </w:p>
    <w:p>
      <w:pPr>
        <w:numPr>
          <w:ilvl w:val="0"/>
          <w:numId w:val="1130"/>
        </w:numPr>
        <w:pStyle w:val="Compact"/>
      </w:pPr>
      <w:r>
        <w:rPr>
          <w:bCs/>
          <w:b/>
        </w:rPr>
        <w:t xml:space="preserve">Probability.</w:t>
      </w:r>
      <w:r>
        <w:t xml:space="preserve"> </w:t>
      </w:r>
      <m:oMath>
        <m:r>
          <m:t>P</m:t>
        </m:r>
        <m:d>
          <m:dPr>
            <m:begChr m:val="("/>
            <m:endChr m:val=")"/>
            <m:sepChr m:val=""/>
            <m:grow/>
          </m:dPr>
          <m:e>
            <m:r>
              <m:rPr>
                <m:nor/>
                <m:sty m:val="p"/>
              </m:rPr>
              <m:t>at least one of </m:t>
            </m:r>
            <m:r>
              <m:t>N</m:t>
            </m:r>
            <m:r>
              <m:rPr>
                <m:nor/>
                <m:sty m:val="p"/>
              </m:rPr>
              <m:t> fails</m:t>
            </m:r>
          </m:e>
        </m:d>
        <m:r>
          <m:rPr>
            <m:sty m:val="p"/>
          </m:rPr>
          <m:t>=</m:t>
        </m:r>
        <m:r>
          <m:t>1</m:t>
        </m:r>
        <m:r>
          <m:rPr>
            <m:sty m:val="p"/>
          </m:rPr>
          <m:t>−</m:t>
        </m:r>
        <m:sSup>
          <m:e>
            <m:d>
              <m:dPr>
                <m:begChr m:val="("/>
                <m:endChr m:val=")"/>
                <m:sepChr m:val=""/>
                <m:grow/>
              </m:dPr>
              <m:e>
                <m:r>
                  <m:t>1</m:t>
                </m:r>
                <m:r>
                  <m:rPr>
                    <m:sty m:val="p"/>
                  </m:rPr>
                  <m:t>−</m:t>
                </m:r>
                <m:r>
                  <m:t>p</m:t>
                </m:r>
              </m:e>
            </m:d>
          </m:e>
          <m:sup>
            <m:r>
              <m:t>N</m:t>
            </m:r>
          </m:sup>
        </m:sSup>
        <m:r>
          <m:rPr>
            <m:sty m:val="p"/>
          </m:rPr>
          <m:t>≈</m:t>
        </m:r>
        <m:r>
          <m:t>1</m:t>
        </m:r>
        <m:r>
          <m:rPr>
            <m:sty m:val="p"/>
          </m:rPr>
          <m:t>−</m:t>
        </m:r>
        <m:sSup>
          <m:e>
            <m:r>
              <m:t>e</m:t>
            </m:r>
          </m:e>
          <m:sup>
            <m:r>
              <m:rPr>
                <m:sty m:val="p"/>
              </m:rPr>
              <m:t>−</m:t>
            </m:r>
            <m:r>
              <m:t>N</m:t>
            </m:r>
            <m:r>
              <m:t>p</m:t>
            </m:r>
          </m:sup>
        </m:sSup>
      </m:oMath>
      <w:r>
        <w:t xml:space="preserve">. Expected values add even without independence. The binomial distribution gives the chance of exactly</w:t>
      </w:r>
      <w:r>
        <w:t xml:space="preserve"> </w:t>
      </w:r>
      <m:oMath>
        <m:r>
          <m:t>k</m:t>
        </m:r>
      </m:oMath>
      <w:r>
        <w:t xml:space="preserve"> </w:t>
      </w:r>
      <w:r>
        <w:t xml:space="preserve">failures — size spares against its tail, not its mean.</w:t>
      </w:r>
    </w:p>
    <w:p>
      <w:pPr>
        <w:numPr>
          <w:ilvl w:val="0"/>
          <w:numId w:val="1130"/>
        </w:numPr>
        <w:pStyle w:val="Compact"/>
      </w:pPr>
      <w:r>
        <w:rPr>
          <w:bCs/>
          <w:b/>
        </w:rPr>
        <w:t xml:space="preserve">Statistics.</w:t>
      </w:r>
      <w:r>
        <w:t xml:space="preserve"> </w:t>
      </w:r>
      <w:r>
        <w:t xml:space="preserve">Latency is right-skewed (log-normal or heavier); the mean is pulled up by the tail and describes no real request. Report percentiles with sample counts; never average percentiles — merge histograms.</w:t>
      </w:r>
    </w:p>
    <w:p>
      <w:pPr>
        <w:numPr>
          <w:ilvl w:val="0"/>
          <w:numId w:val="1130"/>
        </w:numPr>
        <w:pStyle w:val="Compact"/>
      </w:pPr>
      <w:r>
        <w:rPr>
          <w:bCs/>
          <w:b/>
        </w:rPr>
        <w:t xml:space="preserve">Tail at scale.</w:t>
      </w:r>
      <w:r>
        <w:t xml:space="preserve"> </w:t>
      </w:r>
      <w:r>
        <w:t xml:space="preserve">Fan-out to</w:t>
      </w:r>
      <w:r>
        <w:t xml:space="preserve"> </w:t>
      </w:r>
      <m:oMath>
        <m:r>
          <m:t>N</m:t>
        </m:r>
      </m:oMath>
      <w:r>
        <w:t xml:space="preserve"> </w:t>
      </w:r>
      <w:r>
        <w:t xml:space="preserve">leaves:</w:t>
      </w:r>
      <w:r>
        <w:t xml:space="preserve"> </w:t>
      </w:r>
      <m:oMath>
        <m:r>
          <m:t>P</m:t>
        </m:r>
        <m:d>
          <m:dPr>
            <m:begChr m:val="("/>
            <m:endChr m:val=")"/>
            <m:sepChr m:val=""/>
            <m:grow/>
          </m:dPr>
          <m:e>
            <m:r>
              <m:rPr>
                <m:nor/>
                <m:sty m:val="p"/>
              </m:rPr>
              <m:t>all fast</m:t>
            </m:r>
          </m:e>
        </m:d>
        <m:r>
          <m:rPr>
            <m:sty m:val="p"/>
          </m:rPr>
          <m:t>=</m:t>
        </m:r>
        <m:sSup>
          <m:e>
            <m:r>
              <m:t>p</m:t>
            </m:r>
          </m:e>
          <m:sup>
            <m:r>
              <m:t>N</m:t>
            </m:r>
          </m:sup>
        </m:sSup>
      </m:oMath>
      <w:r>
        <w:t xml:space="preserve">. With</w:t>
      </w:r>
      <w:r>
        <w:t xml:space="preserve"> </w:t>
      </w:r>
      <m:oMath>
        <m:r>
          <m:t>N</m:t>
        </m:r>
        <m:r>
          <m:rPr>
            <m:sty m:val="p"/>
          </m:rPr>
          <m:t>=</m:t>
        </m:r>
        <m:r>
          <m:t>100</m:t>
        </m:r>
      </m:oMath>
      <w:r>
        <w:t xml:space="preserve"> </w:t>
      </w:r>
      <w:r>
        <w:t xml:space="preserve">and leaf p99, 63% of requests are slow; leaves must be engineered at p99.99 or use hedged/tied requests.</w:t>
      </w:r>
    </w:p>
    <w:p>
      <w:pPr>
        <w:numPr>
          <w:ilvl w:val="0"/>
          <w:numId w:val="1130"/>
        </w:numPr>
        <w:pStyle w:val="Compact"/>
      </w:pPr>
      <w:r>
        <w:rPr>
          <w:bCs/>
          <w:b/>
        </w:rPr>
        <w:t xml:space="preserve">Linear algebra.</w:t>
      </w:r>
      <w:r>
        <w:t xml:space="preserve"> </w:t>
      </w:r>
      <w:r>
        <w:t xml:space="preserve">Cosine similarity compares directions; a matrix multiply costs</w:t>
      </w:r>
      <w:r>
        <w:t xml:space="preserve"> </w:t>
      </w:r>
      <m:oMath>
        <m:r>
          <m:t>2</m:t>
        </m:r>
        <m:r>
          <m:t>m</m:t>
        </m:r>
        <m:r>
          <m:t>n</m:t>
        </m:r>
        <m:r>
          <m:t>k</m:t>
        </m:r>
      </m:oMath>
      <w:r>
        <w:t xml:space="preserve"> </w:t>
      </w:r>
      <w:r>
        <w:t xml:space="preserve">FLOPs; brute-force vector search and batch-1 inference are memory-bound; batching raises arithmetic intensity.</w:t>
      </w:r>
    </w:p>
    <w:p>
      <w:pPr>
        <w:numPr>
          <w:ilvl w:val="0"/>
          <w:numId w:val="1130"/>
        </w:numPr>
        <w:pStyle w:val="Compact"/>
      </w:pPr>
      <w:r>
        <w:rPr>
          <w:bCs/>
          <w:b/>
        </w:rPr>
        <w:t xml:space="preserve">Queueing.</w:t>
      </w:r>
      <w:r>
        <w:t xml:space="preserve"> </w:t>
      </w:r>
      <w:r>
        <w:t xml:space="preserve">M/M/1:</w:t>
      </w:r>
      <w:r>
        <w:t xml:space="preserve"> </w:t>
      </w:r>
      <m:oMath>
        <m:r>
          <m:t>W</m:t>
        </m:r>
        <m:r>
          <m:rPr>
            <m:sty m:val="p"/>
          </m:rPr>
          <m:t>=</m:t>
        </m:r>
        <m:r>
          <m:t>1</m:t>
        </m:r>
        <m:r>
          <m:rPr>
            <m:sty m:val="p"/>
          </m:rPr>
          <m:t>/</m:t>
        </m:r>
        <m:d>
          <m:dPr>
            <m:begChr m:val="("/>
            <m:endChr m:val=")"/>
            <m:sepChr m:val=""/>
            <m:grow/>
          </m:dPr>
          <m:e>
            <m:r>
              <m:t>μ</m:t>
            </m:r>
            <m:r>
              <m:rPr>
                <m:sty m:val="p"/>
              </m:rPr>
              <m:t>−</m:t>
            </m:r>
            <m:r>
              <m:t>λ</m:t>
            </m:r>
          </m:e>
        </m:d>
        <m:r>
          <m:rPr>
            <m:sty m:val="p"/>
          </m:rPr>
          <m:t>=</m:t>
        </m:r>
        <m:r>
          <m:t>S</m:t>
        </m:r>
        <m:r>
          <m:rPr>
            <m:sty m:val="p"/>
          </m:rPr>
          <m:t>/</m:t>
        </m:r>
        <m:d>
          <m:dPr>
            <m:begChr m:val="("/>
            <m:endChr m:val=")"/>
            <m:sepChr m:val=""/>
            <m:grow/>
          </m:dPr>
          <m:e>
            <m:r>
              <m:t>1</m:t>
            </m:r>
            <m:r>
              <m:rPr>
                <m:sty m:val="p"/>
              </m:rPr>
              <m:t>−</m:t>
            </m:r>
            <m:r>
              <m:t>ρ</m:t>
            </m:r>
          </m:e>
        </m:d>
      </m:oMath>
      <w:r>
        <w:t xml:space="preserve">. Latency doubles each time the remaining headroom halves. Shared queues (M/M/c) beat separate queues on identical hardware.</w:t>
      </w:r>
    </w:p>
    <w:p>
      <w:pPr>
        <w:numPr>
          <w:ilvl w:val="0"/>
          <w:numId w:val="1130"/>
        </w:numPr>
        <w:pStyle w:val="Compact"/>
      </w:pPr>
      <w:r>
        <w:rPr>
          <w:bCs/>
          <w:b/>
        </w:rPr>
        <w:t xml:space="preserve">Little’s Law.</w:t>
      </w:r>
      <w:r>
        <w:t xml:space="preserve"> </w:t>
      </w:r>
      <m:oMath>
        <m:r>
          <m:t>L</m:t>
        </m:r>
        <m:r>
          <m:rPr>
            <m:sty m:val="p"/>
          </m:rPr>
          <m:t>=</m:t>
        </m:r>
        <m:r>
          <m:t>λ</m:t>
        </m:r>
        <m:r>
          <m:t>W</m:t>
        </m:r>
      </m:oMath>
      <w:r>
        <w:t xml:space="preserve"> </w:t>
      </w:r>
      <w:r>
        <w:t xml:space="preserve">on any stable boundary: size thread pools and connection pools from rate × hold time, then add queueing headroom; convert backlog to delay with</w:t>
      </w:r>
      <w:r>
        <w:t xml:space="preserve"> </w:t>
      </w:r>
      <m:oMath>
        <m:r>
          <m:t>W</m:t>
        </m:r>
        <m:r>
          <m:rPr>
            <m:sty m:val="p"/>
          </m:rPr>
          <m:t>=</m:t>
        </m:r>
        <m:r>
          <m:t>L</m:t>
        </m:r>
        <m:r>
          <m:rPr>
            <m:sty m:val="p"/>
          </m:rPr>
          <m:t>/</m:t>
        </m:r>
        <m:r>
          <m:t>λ</m:t>
        </m:r>
      </m:oMath>
      <w:r>
        <w:t xml:space="preserve">.</w:t>
      </w:r>
    </w:p>
    <w:p>
      <w:pPr>
        <w:numPr>
          <w:ilvl w:val="0"/>
          <w:numId w:val="1130"/>
        </w:numPr>
        <w:pStyle w:val="Compact"/>
      </w:pPr>
      <w:r>
        <w:rPr>
          <w:bCs/>
          <w:b/>
        </w:rPr>
        <w:t xml:space="preserve">Scaling laws.</w:t>
      </w:r>
      <w:r>
        <w:t xml:space="preserve"> </w:t>
      </w:r>
      <w:r>
        <w:t xml:space="preserve">Amdahl: ceiling</w:t>
      </w:r>
      <w:r>
        <w:t xml:space="preserve"> </w:t>
      </w:r>
      <m:oMath>
        <m:r>
          <m:t>1</m:t>
        </m:r>
        <m:r>
          <m:rPr>
            <m:sty m:val="p"/>
          </m:rPr>
          <m:t>/</m:t>
        </m:r>
        <m:d>
          <m:dPr>
            <m:begChr m:val="("/>
            <m:endChr m:val=")"/>
            <m:sepChr m:val=""/>
            <m:grow/>
          </m:dPr>
          <m:e>
            <m:r>
              <m:t>1</m:t>
            </m:r>
            <m:r>
              <m:rPr>
                <m:sty m:val="p"/>
              </m:rPr>
              <m:t>−</m:t>
            </m:r>
            <m:r>
              <m:t>p</m:t>
            </m:r>
          </m:e>
        </m:d>
      </m:oMath>
      <w:r>
        <w:t xml:space="preserve"> </w:t>
      </w:r>
      <w:r>
        <w:t xml:space="preserve">for fixed problems. Gustafson: near-linear for growing problems. USL adds coherency</w:t>
      </w:r>
      <w:r>
        <w:t xml:space="preserve"> </w:t>
      </w:r>
      <m:oMath>
        <m:r>
          <m:t>β</m:t>
        </m:r>
      </m:oMath>
      <w:r>
        <w:t xml:space="preserve">, producing a throughput peak at</w:t>
      </w:r>
      <w:r>
        <w:t xml:space="preserve"> </w:t>
      </w:r>
      <m:oMath>
        <m:sSup>
          <m:e>
            <m:r>
              <m:t>N</m:t>
            </m:r>
          </m:e>
          <m:sup>
            <m:r>
              <m:rPr>
                <m:sty m:val="p"/>
              </m:rPr>
              <m:t>*</m:t>
            </m:r>
          </m:sup>
        </m:sSup>
        <m:r>
          <m:rPr>
            <m:sty m:val="p"/>
          </m:rPr>
          <m:t>=</m:t>
        </m:r>
        <m:rad>
          <m:radPr>
            <m:degHide m:val="on"/>
          </m:radPr>
          <m:deg/>
          <m:e>
            <m:d>
              <m:dPr>
                <m:begChr m:val="("/>
                <m:endChr m:val=")"/>
                <m:sepChr m:val=""/>
                <m:grow/>
              </m:dPr>
              <m:e>
                <m:r>
                  <m:t>1</m:t>
                </m:r>
                <m:r>
                  <m:rPr>
                    <m:sty m:val="p"/>
                  </m:rPr>
                  <m:t>−</m:t>
                </m:r>
                <m:r>
                  <m:t>α</m:t>
                </m:r>
              </m:e>
            </m:d>
            <m:r>
              <m:rPr>
                <m:sty m:val="p"/>
              </m:rPr>
              <m:t>/</m:t>
            </m:r>
            <m:r>
              <m:t>β</m:t>
            </m:r>
          </m:e>
        </m:rad>
      </m:oMath>
      <w:r>
        <w:t xml:space="preserve"> </w:t>
      </w:r>
      <w:r>
        <w:t xml:space="preserve">and retrograde scaling beyond it.</w:t>
      </w:r>
    </w:p>
    <w:p>
      <w:pPr>
        <w:numPr>
          <w:ilvl w:val="0"/>
          <w:numId w:val="1130"/>
        </w:numPr>
        <w:pStyle w:val="Compact"/>
      </w:pPr>
      <w:r>
        <w:rPr>
          <w:bCs/>
          <w:b/>
        </w:rPr>
        <w:t xml:space="preserve">Availability.</w:t>
      </w:r>
      <w:r>
        <w:t xml:space="preserve"> </w:t>
      </w:r>
      <w:r>
        <w:t xml:space="preserve">Series multiplies availabilities (always worse than the weakest); parallel multiplies unavailabilities; k-of-n is binomial. Four nines = 4.3 min/month and demands automated recovery. All of it assumes independence.</w:t>
      </w:r>
    </w:p>
    <w:p>
      <w:pPr>
        <w:numPr>
          <w:ilvl w:val="0"/>
          <w:numId w:val="1130"/>
        </w:numPr>
        <w:pStyle w:val="Compact"/>
      </w:pPr>
      <w:r>
        <w:rPr>
          <w:bCs/>
          <w:b/>
        </w:rPr>
        <w:t xml:space="preserve">Reliability.</w:t>
      </w:r>
      <w:r>
        <w:t xml:space="preserve"> </w:t>
      </w:r>
      <m:oMath>
        <m:r>
          <m:t>A</m:t>
        </m:r>
        <m:r>
          <m:rPr>
            <m:sty m:val="p"/>
          </m:rPr>
          <m:t>=</m:t>
        </m:r>
        <m:r>
          <m:rPr>
            <m:nor/>
            <m:sty m:val="p"/>
          </m:rPr>
          <m:t>MTBF</m:t>
        </m:r>
        <m:r>
          <m:rPr>
            <m:sty m:val="p"/>
          </m:rPr>
          <m:t>/</m:t>
        </m:r>
        <m:d>
          <m:dPr>
            <m:begChr m:val="("/>
            <m:endChr m:val=")"/>
            <m:sepChr m:val=""/>
            <m:grow/>
          </m:dPr>
          <m:e>
            <m:r>
              <m:rPr>
                <m:nor/>
                <m:sty m:val="p"/>
              </m:rPr>
              <m:t>MTBF</m:t>
            </m:r>
            <m:r>
              <m:rPr>
                <m:sty m:val="p"/>
              </m:rPr>
              <m:t>+</m:t>
            </m:r>
            <m:r>
              <m:rPr>
                <m:nor/>
                <m:sty m:val="p"/>
              </m:rPr>
              <m:t>MTTR</m:t>
            </m:r>
          </m:e>
        </m:d>
      </m:oMath>
      <w:r>
        <w:t xml:space="preserve">;</w:t>
      </w:r>
      <w:r>
        <w:t xml:space="preserve"> </w:t>
      </w:r>
      <m:oMath>
        <m:r>
          <m:t>R</m:t>
        </m:r>
        <m:d>
          <m:dPr>
            <m:begChr m:val="("/>
            <m:endChr m:val=")"/>
            <m:sepChr m:val=""/>
            <m:grow/>
          </m:dPr>
          <m:e>
            <m:r>
              <m:t>t</m:t>
            </m:r>
          </m:e>
        </m:d>
        <m:r>
          <m:rPr>
            <m:sty m:val="p"/>
          </m:rPr>
          <m:t>=</m:t>
        </m:r>
        <m:sSup>
          <m:e>
            <m:r>
              <m:t>e</m:t>
            </m:r>
          </m:e>
          <m:sup>
            <m:r>
              <m:rPr>
                <m:sty m:val="p"/>
              </m:rPr>
              <m:t>−</m:t>
            </m:r>
            <m:r>
              <m:t>t</m:t>
            </m:r>
            <m:r>
              <m:rPr>
                <m:sty m:val="p"/>
              </m:rPr>
              <m:t>/</m:t>
            </m:r>
            <m:r>
              <m:rPr>
                <m:nor/>
                <m:sty m:val="p"/>
              </m:rPr>
              <m:t>MTBF</m:t>
            </m:r>
          </m:sup>
        </m:sSup>
      </m:oMath>
      <w:r>
        <w:t xml:space="preserve">. Cutting MTTR is usually the cheapest nine. Only 37% of parts survive to their MTBF.</w:t>
      </w:r>
    </w:p>
    <w:p>
      <w:pPr>
        <w:numPr>
          <w:ilvl w:val="0"/>
          <w:numId w:val="1130"/>
        </w:numPr>
        <w:pStyle w:val="Compact"/>
      </w:pPr>
      <w:r>
        <w:rPr>
          <w:bCs/>
          <w:b/>
        </w:rPr>
        <w:t xml:space="preserve">Durability.</w:t>
      </w:r>
      <w:r>
        <w:t xml:space="preserve"> </w:t>
      </w:r>
      <w:r>
        <w:t xml:space="preserve">Annual loss</w:t>
      </w:r>
      <w:r>
        <w:t xml:space="preserve"> </w:t>
      </w:r>
      <m:oMath>
        <m:r>
          <m:rPr>
            <m:sty m:val="p"/>
          </m:rPr>
          <m:t>≈</m:t>
        </m:r>
        <m:r>
          <m:t>n</m:t>
        </m:r>
        <m:r>
          <m:rPr>
            <m:sty m:val="p"/>
          </m:rPr>
          <m:t>!</m:t>
        </m:r>
        <m:sSup>
          <m:e>
            <m:r>
              <m:t>λ</m:t>
            </m:r>
          </m:e>
          <m:sup>
            <m:r>
              <m:t>n</m:t>
            </m:r>
          </m:sup>
        </m:sSup>
        <m:sSup>
          <m:e>
            <m:r>
              <m:t>T</m:t>
            </m:r>
          </m:e>
          <m:sup>
            <m:r>
              <m:t>n</m:t>
            </m:r>
            <m:r>
              <m:rPr>
                <m:sty m:val="p"/>
              </m:rPr>
              <m:t>−</m:t>
            </m:r>
            <m:r>
              <m:t>1</m:t>
            </m:r>
          </m:sup>
        </m:sSup>
        <m:r>
          <m:rPr>
            <m:sty m:val="p"/>
          </m:rPr>
          <m:t>×</m:t>
        </m:r>
        <m:r>
          <m:t>8760</m:t>
        </m:r>
      </m:oMath>
      <w:r>
        <w:t xml:space="preserve">: each replica buys ~</w:t>
      </w:r>
      <m:oMath>
        <m:r>
          <m:t>1</m:t>
        </m:r>
        <m:r>
          <m:rPr>
            <m:sty m:val="p"/>
          </m:rPr>
          <m:t>/</m:t>
        </m:r>
        <m:d>
          <m:dPr>
            <m:begChr m:val="("/>
            <m:endChr m:val=")"/>
            <m:sepChr m:val=""/>
            <m:grow/>
          </m:dPr>
          <m:e>
            <m:r>
              <m:t>λ</m:t>
            </m:r>
            <m:r>
              <m:t>T</m:t>
            </m:r>
          </m:e>
        </m:d>
      </m:oMath>
      <w:r>
        <w:t xml:space="preserve">, and repair time enters squared for three replicas. Correlated failures dominate real loss.</w:t>
      </w:r>
    </w:p>
    <w:p>
      <w:pPr>
        <w:numPr>
          <w:ilvl w:val="0"/>
          <w:numId w:val="1130"/>
        </w:numPr>
        <w:pStyle w:val="Compact"/>
      </w:pPr>
      <w:r>
        <w:rPr>
          <w:bCs/>
          <w:b/>
        </w:rPr>
        <w:t xml:space="preserve">Latency numbers.</w:t>
      </w:r>
      <w:r>
        <w:t xml:space="preserve"> </w:t>
      </w:r>
      <w:r>
        <w:t xml:space="preserve">Memory ~100 ns, NVMe random read ~tens of µs, datacenter round trip ~0.1–0.5 ms, cross-continent round trip ~100+ ms (physics floor ~5 µs/km of fiber). Use ratios; date your numbers.</w:t>
      </w:r>
    </w:p>
    <w:p>
      <w:pPr>
        <w:numPr>
          <w:ilvl w:val="0"/>
          <w:numId w:val="1130"/>
        </w:numPr>
        <w:pStyle w:val="Compact"/>
      </w:pPr>
      <w:r>
        <w:rPr>
          <w:bCs/>
          <w:b/>
        </w:rPr>
        <w:t xml:space="preserve">Trade-offs.</w:t>
      </w:r>
      <w:r>
        <w:t xml:space="preserve"> </w:t>
      </w:r>
      <w:r>
        <w:t xml:space="preserve">Throughput costs latency near saturation; fast repair buys availability, not reliability; replicas buy durability with storage and write tail; accuracy costs work at a square-root rate; utilization sets cost per token; batching buys throughput with latency.</w:t>
      </w:r>
    </w:p>
    <w:bookmarkEnd w:id="443"/>
    <w:bookmarkStart w:id="444" w:name="knowledge-checkpoint-3"/>
    <w:p>
      <w:pPr>
        <w:pStyle w:val="Heading2"/>
      </w:pPr>
      <w:r>
        <w:t xml:space="preserve">4.20 Knowledge checkpoint</w:t>
      </w:r>
    </w:p>
    <w:p>
      <w:pPr>
        <w:numPr>
          <w:ilvl w:val="0"/>
          <w:numId w:val="1131"/>
        </w:numPr>
        <w:pStyle w:val="Compact"/>
      </w:pPr>
      <w:r>
        <w:t xml:space="preserve">Roughly how many bytes is</w:t>
      </w:r>
      <w:r>
        <w:t xml:space="preserve"> </w:t>
      </w:r>
      <m:oMath>
        <m:sSup>
          <m:e>
            <m:r>
              <m:t>2</m:t>
            </m:r>
          </m:e>
          <m:sup>
            <m:r>
              <m:t>40</m:t>
            </m:r>
          </m:sup>
        </m:sSup>
      </m:oMath>
      <w:r>
        <w:t xml:space="preserve"> </w:t>
      </w:r>
      <w:r>
        <w:t xml:space="preserve">bytes, and what is its binary-prefix name?</w:t>
      </w:r>
    </w:p>
    <w:p>
      <w:pPr>
        <w:numPr>
          <w:ilvl w:val="0"/>
          <w:numId w:val="1131"/>
        </w:numPr>
        <w:pStyle w:val="Compact"/>
      </w:pPr>
      <w:r>
        <w:t xml:space="preserve">How many levels does a B-tree with fan-out 500 need to index</w:t>
      </w:r>
      <w:r>
        <w:t xml:space="preserve"> </w:t>
      </w:r>
      <m:oMath>
        <m:sSup>
          <m:e>
            <m:r>
              <m:t>10</m:t>
            </m:r>
          </m:e>
          <m:sup>
            <m:r>
              <m:t>9</m:t>
            </m:r>
          </m:sup>
        </m:sSup>
      </m:oMath>
      <w:r>
        <w:t xml:space="preserve"> </w:t>
      </w:r>
      <w:r>
        <w:t xml:space="preserve">keys?</w:t>
      </w:r>
    </w:p>
    <w:p>
      <w:pPr>
        <w:numPr>
          <w:ilvl w:val="0"/>
          <w:numId w:val="1131"/>
        </w:numPr>
        <w:pStyle w:val="Compact"/>
      </w:pPr>
      <w:r>
        <w:t xml:space="preserve">A 25 Gbps link must copy 50 TB. What is the minimum transfer time?</w:t>
      </w:r>
    </w:p>
    <w:p>
      <w:pPr>
        <w:numPr>
          <w:ilvl w:val="0"/>
          <w:numId w:val="1131"/>
        </w:numPr>
        <w:pStyle w:val="Compact"/>
      </w:pPr>
      <w:r>
        <w:t xml:space="preserve">Each of 500 independent servers fails on a given day with probability 0.002. What is the probability that at least one fails today, and the expected number of failures?</w:t>
      </w:r>
    </w:p>
    <w:p>
      <w:pPr>
        <w:numPr>
          <w:ilvl w:val="0"/>
          <w:numId w:val="1131"/>
        </w:numPr>
        <w:pStyle w:val="Compact"/>
      </w:pPr>
      <w:r>
        <w:t xml:space="preserve">Why is the median often a better summary of latency than the mean?</w:t>
      </w:r>
    </w:p>
    <w:p>
      <w:pPr>
        <w:numPr>
          <w:ilvl w:val="0"/>
          <w:numId w:val="1131"/>
        </w:numPr>
        <w:pStyle w:val="Compact"/>
      </w:pPr>
      <w:r>
        <w:t xml:space="preserve">Using the nearest-rank method, what is the p90 of 1, 2, 3, 4, 5, 6, 7, 8, 9, 100?</w:t>
      </w:r>
    </w:p>
    <w:p>
      <w:pPr>
        <w:numPr>
          <w:ilvl w:val="0"/>
          <w:numId w:val="1131"/>
        </w:numPr>
        <w:pStyle w:val="Compact"/>
      </w:pPr>
      <w:r>
        <w:t xml:space="preserve">A root service fans out to 20 leaves, each fast with probability 0.995. What fraction of root requests are fast?</w:t>
      </w:r>
    </w:p>
    <w:p>
      <w:pPr>
        <w:numPr>
          <w:ilvl w:val="0"/>
          <w:numId w:val="1131"/>
        </w:numPr>
        <w:pStyle w:val="Compact"/>
      </w:pPr>
      <w:r>
        <w:t xml:space="preserve">Compute the cosine similarity of</w:t>
      </w:r>
      <w:r>
        <w:t xml:space="preserve"> </w:t>
      </w:r>
      <m:oMath>
        <m:d>
          <m:dPr>
            <m:begChr m:val="("/>
            <m:endChr m:val=")"/>
            <m:sepChr m:val=""/>
            <m:grow/>
          </m:dPr>
          <m:e>
            <m:r>
              <m:t>3</m:t>
            </m:r>
            <m:r>
              <m:rPr>
                <m:sty m:val="p"/>
              </m:rPr>
              <m:t>,</m:t>
            </m:r>
            <m:r>
              <m:t>4</m:t>
            </m:r>
          </m:e>
        </m:d>
      </m:oMath>
      <w:r>
        <w:t xml:space="preserve"> </w:t>
      </w:r>
      <w:r>
        <w:t xml:space="preserve">and</w:t>
      </w:r>
      <w:r>
        <w:t xml:space="preserve"> </w:t>
      </w:r>
      <m:oMath>
        <m:d>
          <m:dPr>
            <m:begChr m:val="("/>
            <m:endChr m:val=")"/>
            <m:sepChr m:val=""/>
            <m:grow/>
          </m:dPr>
          <m:e>
            <m:r>
              <m:t>4</m:t>
            </m:r>
            <m:r>
              <m:rPr>
                <m:sty m:val="p"/>
              </m:rPr>
              <m:t>,</m:t>
            </m:r>
            <m:r>
              <m:t>3</m:t>
            </m:r>
          </m:e>
        </m:d>
      </m:oMath>
      <w:r>
        <w:t xml:space="preserve">.</w:t>
      </w:r>
    </w:p>
    <w:p>
      <w:pPr>
        <w:numPr>
          <w:ilvl w:val="0"/>
          <w:numId w:val="1131"/>
        </w:numPr>
        <w:pStyle w:val="Compact"/>
      </w:pPr>
      <w:r>
        <w:t xml:space="preserve">An M/M/1 server has a service time of 5 ms. What is the mean response time at 60% and at 95% utilization?</w:t>
      </w:r>
    </w:p>
    <w:p>
      <w:pPr>
        <w:numPr>
          <w:ilvl w:val="0"/>
          <w:numId w:val="1131"/>
        </w:numPr>
        <w:pStyle w:val="Compact"/>
      </w:pPr>
      <w:r>
        <w:t xml:space="preserve">A service processes 400 RPS and each request holds a thread for 150 ms. What is the average number of busy threads?</w:t>
      </w:r>
    </w:p>
    <w:p>
      <w:pPr>
        <w:numPr>
          <w:ilvl w:val="0"/>
          <w:numId w:val="1131"/>
        </w:numPr>
        <w:pStyle w:val="Compact"/>
      </w:pPr>
      <w:r>
        <w:t xml:space="preserve">A job is 90% parallelizable. What is its maximum speedup under Amdahl’s Law, and its speedup on 10 cores?</w:t>
      </w:r>
    </w:p>
    <w:p>
      <w:pPr>
        <w:numPr>
          <w:ilvl w:val="0"/>
          <w:numId w:val="1131"/>
        </w:numPr>
        <w:pStyle w:val="Compact"/>
      </w:pPr>
      <w:r>
        <w:t xml:space="preserve">In the USL, what physical effect does</w:t>
      </w:r>
      <w:r>
        <w:t xml:space="preserve"> </w:t>
      </w:r>
      <m:oMath>
        <m:r>
          <m:t>β</m:t>
        </m:r>
      </m:oMath>
      <w:r>
        <w:t xml:space="preserve"> </w:t>
      </w:r>
      <w:r>
        <w:t xml:space="preserve">model, and what happens to throughput when</w:t>
      </w:r>
      <w:r>
        <w:t xml:space="preserve"> </w:t>
      </w:r>
      <m:oMath>
        <m:r>
          <m:t>β</m:t>
        </m:r>
        <m:r>
          <m:rPr>
            <m:sty m:val="p"/>
          </m:rPr>
          <m:t>&gt;</m:t>
        </m:r>
        <m:r>
          <m:t>0</m:t>
        </m:r>
      </m:oMath>
      <w:r>
        <w:t xml:space="preserve"> </w:t>
      </w:r>
      <w:r>
        <w:t xml:space="preserve">and</w:t>
      </w:r>
      <w:r>
        <w:t xml:space="preserve"> </w:t>
      </w:r>
      <m:oMath>
        <m:r>
          <m:t>N</m:t>
        </m:r>
      </m:oMath>
      <w:r>
        <w:t xml:space="preserve"> </w:t>
      </w:r>
      <w:r>
        <w:t xml:space="preserve">grows large?</w:t>
      </w:r>
    </w:p>
    <w:p>
      <w:pPr>
        <w:numPr>
          <w:ilvl w:val="0"/>
          <w:numId w:val="1131"/>
        </w:numPr>
        <w:pStyle w:val="Compact"/>
      </w:pPr>
      <w:r>
        <w:t xml:space="preserve">A request path calls five services in series, each 99.95% available. What is the path availability, and how much downtime per 30-day month does it allow?</w:t>
      </w:r>
    </w:p>
    <w:p>
      <w:pPr>
        <w:numPr>
          <w:ilvl w:val="0"/>
          <w:numId w:val="1131"/>
        </w:numPr>
        <w:pStyle w:val="Compact"/>
      </w:pPr>
      <w:r>
        <w:t xml:space="preserve">A component has MTBF = 500 h and MTTR = 30 min. What is its availability?</w:t>
      </w:r>
    </w:p>
    <w:p>
      <w:pPr>
        <w:numPr>
          <w:ilvl w:val="0"/>
          <w:numId w:val="1131"/>
        </w:numPr>
        <w:pStyle w:val="Compact"/>
      </w:pPr>
      <w:r>
        <w:t xml:space="preserve">Why does halving the re-replication time improve the durability of a three-replica system by about 4×?</w:t>
      </w:r>
    </w:p>
    <w:p>
      <w:pPr>
        <w:numPr>
          <w:ilvl w:val="0"/>
          <w:numId w:val="1131"/>
        </w:numPr>
        <w:pStyle w:val="Compact"/>
      </w:pPr>
      <w:r>
        <w:t xml:space="preserve">Why is a round trip between California and the Netherlands never faster than about 88 ms?</w:t>
      </w:r>
    </w:p>
    <w:p>
      <w:pPr>
        <w:pStyle w:val="FirstParagraph"/>
      </w:pPr>
      <w:r>
        <w:t xml:space="preserve">Answers</w:t>
      </w:r>
    </w:p>
    <w:p>
      <w:pPr>
        <w:numPr>
          <w:ilvl w:val="0"/>
          <w:numId w:val="1132"/>
        </w:numPr>
        <w:pStyle w:val="Compact"/>
      </w:pPr>
      <m:oMath>
        <m:sSup>
          <m:e>
            <m:r>
              <m:t>2</m:t>
            </m:r>
          </m:e>
          <m:sup>
            <m:r>
              <m:t>40</m:t>
            </m:r>
          </m:sup>
        </m:sSup>
        <m:r>
          <m:rPr>
            <m:sty m:val="p"/>
          </m:rPr>
          <m:t>=</m:t>
        </m:r>
        <m:r>
          <m:t>1</m:t>
        </m:r>
        <m:r>
          <m:rPr>
            <m:sty m:val="p"/>
          </m:rPr>
          <m:t>,</m:t>
        </m:r>
        <m:r>
          <m:t>099</m:t>
        </m:r>
        <m:r>
          <m:rPr>
            <m:sty m:val="p"/>
          </m:rPr>
          <m:t>,</m:t>
        </m:r>
        <m:r>
          <m:t>511</m:t>
        </m:r>
        <m:r>
          <m:rPr>
            <m:sty m:val="p"/>
          </m:rPr>
          <m:t>,</m:t>
        </m:r>
        <m:r>
          <m:t>627</m:t>
        </m:r>
        <m:r>
          <m:rPr>
            <m:sty m:val="p"/>
          </m:rPr>
          <m:t>,</m:t>
        </m:r>
        <m:r>
          <m:t>776</m:t>
        </m:r>
        <m:r>
          <m:rPr>
            <m:sty m:val="p"/>
          </m:rPr>
          <m:t>≈</m:t>
        </m:r>
        <m:r>
          <m:t>1.1</m:t>
        </m:r>
        <m:r>
          <m:rPr>
            <m:sty m:val="p"/>
          </m:rPr>
          <m:t>×</m:t>
        </m:r>
        <m:sSup>
          <m:e>
            <m:r>
              <m:t>10</m:t>
            </m:r>
          </m:e>
          <m:sup>
            <m:r>
              <m:t>12</m:t>
            </m:r>
          </m:sup>
        </m:sSup>
      </m:oMath>
      <w:r>
        <w:t xml:space="preserve"> </w:t>
      </w:r>
      <w:r>
        <w:t xml:space="preserve">bytes; one tebibyte (TiB).</w:t>
      </w:r>
    </w:p>
    <w:p>
      <w:pPr>
        <w:numPr>
          <w:ilvl w:val="0"/>
          <w:numId w:val="1132"/>
        </w:numPr>
        <w:pStyle w:val="Compact"/>
      </w:pPr>
      <m:oMath>
        <m:sSub>
          <m:e>
            <m:r>
              <m:rPr>
                <m:sty m:val="p"/>
              </m:rPr>
              <m:t>log</m:t>
            </m:r>
          </m:e>
          <m:sub>
            <m:r>
              <m:t>500</m:t>
            </m:r>
          </m:sub>
        </m:sSub>
        <m:sSup>
          <m:e>
            <m:r>
              <m:t>10</m:t>
            </m:r>
          </m:e>
          <m:sup>
            <m:r>
              <m:t>9</m:t>
            </m:r>
          </m:sup>
        </m:sSup>
        <m:r>
          <m:rPr>
            <m:sty m:val="p"/>
          </m:rPr>
          <m:t>=</m:t>
        </m:r>
        <m:r>
          <m:t>9</m:t>
        </m:r>
        <m:r>
          <m:rPr>
            <m:sty m:val="p"/>
          </m:rPr>
          <m:t>/</m:t>
        </m:r>
        <m:sSub>
          <m:e>
            <m:r>
              <m:rPr>
                <m:sty m:val="p"/>
              </m:rPr>
              <m:t>log</m:t>
            </m:r>
          </m:e>
          <m:sub>
            <m:r>
              <m:t>10</m:t>
            </m:r>
          </m:sub>
        </m:sSub>
        <m:r>
          <m:t>500</m:t>
        </m:r>
        <m:r>
          <m:rPr>
            <m:sty m:val="p"/>
          </m:rPr>
          <m:t>=</m:t>
        </m:r>
        <m:r>
          <m:t>9</m:t>
        </m:r>
        <m:r>
          <m:rPr>
            <m:sty m:val="p"/>
          </m:rPr>
          <m:t>/</m:t>
        </m:r>
        <m:r>
          <m:t>2.699</m:t>
        </m:r>
        <m:r>
          <m:rPr>
            <m:sty m:val="p"/>
          </m:rPr>
          <m:t>=</m:t>
        </m:r>
        <m:r>
          <m:t>3.33</m:t>
        </m:r>
      </m:oMath>
      <w:r>
        <w:t xml:space="preserve">, so 4 levels.</w:t>
      </w:r>
    </w:p>
    <w:p>
      <w:pPr>
        <w:numPr>
          <w:ilvl w:val="0"/>
          <w:numId w:val="1132"/>
        </w:numPr>
        <w:pStyle w:val="Compact"/>
      </w:pPr>
      <m:oMath>
        <m:r>
          <m:t>50</m:t>
        </m:r>
        <m:r>
          <m:rPr>
            <m:sty m:val="p"/>
          </m:rPr>
          <m:t>×</m:t>
        </m:r>
        <m:sSup>
          <m:e>
            <m:r>
              <m:t>10</m:t>
            </m:r>
          </m:e>
          <m:sup>
            <m:r>
              <m:t>12</m:t>
            </m:r>
          </m:sup>
        </m:sSup>
        <m:r>
          <m:rPr>
            <m:sty m:val="p"/>
          </m:rPr>
          <m:t>×</m:t>
        </m:r>
        <m:r>
          <m:t>8</m:t>
        </m:r>
        <m:r>
          <m:rPr>
            <m:sty m:val="p"/>
          </m:rPr>
          <m:t>/</m:t>
        </m:r>
        <m:d>
          <m:dPr>
            <m:begChr m:val="("/>
            <m:endChr m:val=")"/>
            <m:sepChr m:val=""/>
            <m:grow/>
          </m:dPr>
          <m:e>
            <m:r>
              <m:t>25</m:t>
            </m:r>
            <m:r>
              <m:rPr>
                <m:sty m:val="p"/>
              </m:rPr>
              <m:t>×</m:t>
            </m:r>
            <m:sSup>
              <m:e>
                <m:r>
                  <m:t>10</m:t>
                </m:r>
              </m:e>
              <m:sup>
                <m:r>
                  <m:t>9</m:t>
                </m:r>
              </m:sup>
            </m:sSup>
          </m:e>
        </m:d>
        <m:r>
          <m:rPr>
            <m:sty m:val="p"/>
          </m:rPr>
          <m:t>=</m:t>
        </m:r>
        <m:r>
          <m:t>16</m:t>
        </m:r>
        <m:r>
          <m:rPr>
            <m:sty m:val="p"/>
          </m:rPr>
          <m:t>,</m:t>
        </m:r>
        <m:r>
          <m:t>000</m:t>
        </m:r>
      </m:oMath>
      <w:r>
        <w:t xml:space="preserve"> </w:t>
      </w:r>
      <w:r>
        <w:t xml:space="preserve">s ≈ 4.4 h (before protocol overhead).</w:t>
      </w:r>
    </w:p>
    <w:p>
      <w:pPr>
        <w:numPr>
          <w:ilvl w:val="0"/>
          <w:numId w:val="1132"/>
        </w:numPr>
        <w:pStyle w:val="Compact"/>
      </w:pPr>
      <m:oMath>
        <m:r>
          <m:t>1</m:t>
        </m:r>
        <m:r>
          <m:rPr>
            <m:sty m:val="p"/>
          </m:rPr>
          <m:t>−</m:t>
        </m:r>
        <m:sSup>
          <m:e>
            <m:r>
              <m:t>0.998</m:t>
            </m:r>
          </m:e>
          <m:sup>
            <m:r>
              <m:t>500</m:t>
            </m:r>
          </m:sup>
        </m:sSup>
        <m:r>
          <m:rPr>
            <m:sty m:val="p"/>
          </m:rPr>
          <m:t>≈</m:t>
        </m:r>
        <m:r>
          <m:t>1</m:t>
        </m:r>
        <m:r>
          <m:rPr>
            <m:sty m:val="p"/>
          </m:rPr>
          <m:t>−</m:t>
        </m:r>
        <m:sSup>
          <m:e>
            <m:r>
              <m:t>e</m:t>
            </m:r>
          </m:e>
          <m:sup>
            <m:r>
              <m:rPr>
                <m:sty m:val="p"/>
              </m:rPr>
              <m:t>−</m:t>
            </m:r>
            <m:r>
              <m:t>1</m:t>
            </m:r>
          </m:sup>
        </m:sSup>
        <m:r>
          <m:rPr>
            <m:sty m:val="p"/>
          </m:rPr>
          <m:t>=</m:t>
        </m:r>
        <m:r>
          <m:t>0.632</m:t>
        </m:r>
      </m:oMath>
      <w:r>
        <w:t xml:space="preserve">; expected failures</w:t>
      </w:r>
      <w:r>
        <w:t xml:space="preserve"> </w:t>
      </w:r>
      <m:oMath>
        <m:r>
          <m:t>500</m:t>
        </m:r>
        <m:r>
          <m:rPr>
            <m:sty m:val="p"/>
          </m:rPr>
          <m:t>×</m:t>
        </m:r>
        <m:r>
          <m:t>0.002</m:t>
        </m:r>
        <m:r>
          <m:rPr>
            <m:sty m:val="p"/>
          </m:rPr>
          <m:t>=</m:t>
        </m:r>
        <m:r>
          <m:t>1</m:t>
        </m:r>
      </m:oMath>
      <w:r>
        <w:t xml:space="preserve">.</w:t>
      </w:r>
    </w:p>
    <w:p>
      <w:pPr>
        <w:numPr>
          <w:ilvl w:val="0"/>
          <w:numId w:val="1132"/>
        </w:numPr>
        <w:pStyle w:val="Compact"/>
      </w:pPr>
      <w:r>
        <w:t xml:space="preserve">Latency is right-skewed; a few very slow requests pull the mean up so that it describes no actual request, while the median reflects the typical request and is robust to outliers.</w:t>
      </w:r>
    </w:p>
    <w:p>
      <w:pPr>
        <w:numPr>
          <w:ilvl w:val="0"/>
          <w:numId w:val="1132"/>
        </w:numPr>
        <w:pStyle w:val="Compact"/>
      </w:pPr>
      <w:r>
        <w:t xml:space="preserve">Rank</w:t>
      </w:r>
      <w:r>
        <w:t xml:space="preserve"> </w:t>
      </w:r>
      <m:oMath>
        <m:r>
          <m:rPr>
            <m:sty m:val="p"/>
          </m:rPr>
          <m:t>⌈</m:t>
        </m:r>
        <m:r>
          <m:t>0.9</m:t>
        </m:r>
        <m:r>
          <m:rPr>
            <m:sty m:val="p"/>
          </m:rPr>
          <m:t>×</m:t>
        </m:r>
        <m:r>
          <m:t>10</m:t>
        </m:r>
        <m:r>
          <m:rPr>
            <m:sty m:val="p"/>
          </m:rPr>
          <m:t>⌉</m:t>
        </m:r>
        <m:r>
          <m:rPr>
            <m:sty m:val="p"/>
          </m:rPr>
          <m:t>=</m:t>
        </m:r>
        <m:r>
          <m:t>9</m:t>
        </m:r>
      </m:oMath>
      <w:r>
        <w:t xml:space="preserve">; the 9th value is 9.</w:t>
      </w:r>
    </w:p>
    <w:p>
      <w:pPr>
        <w:numPr>
          <w:ilvl w:val="0"/>
          <w:numId w:val="1132"/>
        </w:numPr>
        <w:pStyle w:val="Compact"/>
      </w:pPr>
      <m:oMath>
        <m:sSup>
          <m:e>
            <m:r>
              <m:t>0.995</m:t>
            </m:r>
          </m:e>
          <m:sup>
            <m:r>
              <m:t>20</m:t>
            </m:r>
          </m:sup>
        </m:sSup>
        <m:r>
          <m:rPr>
            <m:sty m:val="p"/>
          </m:rPr>
          <m:t>=</m:t>
        </m:r>
        <m:r>
          <m:t>0.905</m:t>
        </m:r>
      </m:oMath>
      <w:r>
        <w:t xml:space="preserve">, so about 90.5% fast and 9.5% slow.</w:t>
      </w:r>
    </w:p>
    <w:p>
      <w:pPr>
        <w:numPr>
          <w:ilvl w:val="0"/>
          <w:numId w:val="1132"/>
        </w:numPr>
        <w:pStyle w:val="Compact"/>
      </w:pPr>
      <w:r>
        <w:t xml:space="preserve">Dot</w:t>
      </w:r>
      <w:r>
        <w:t xml:space="preserve"> </w:t>
      </w:r>
      <m:oMath>
        <m:r>
          <m:rPr>
            <m:sty m:val="p"/>
          </m:rPr>
          <m:t>=</m:t>
        </m:r>
        <m:r>
          <m:t>12</m:t>
        </m:r>
        <m:r>
          <m:rPr>
            <m:sty m:val="p"/>
          </m:rPr>
          <m:t>+</m:t>
        </m:r>
        <m:r>
          <m:t>12</m:t>
        </m:r>
        <m:r>
          <m:rPr>
            <m:sty m:val="p"/>
          </m:rPr>
          <m:t>=</m:t>
        </m:r>
        <m:r>
          <m:t>24</m:t>
        </m:r>
      </m:oMath>
      <w:r>
        <w:t xml:space="preserve">; both lengths are 5; cosine</w:t>
      </w:r>
      <w:r>
        <w:t xml:space="preserve"> </w:t>
      </w:r>
      <m:oMath>
        <m:r>
          <m:rPr>
            <m:sty m:val="p"/>
          </m:rPr>
          <m:t>=</m:t>
        </m:r>
        <m:r>
          <m:t>24</m:t>
        </m:r>
        <m:r>
          <m:rPr>
            <m:sty m:val="p"/>
          </m:rPr>
          <m:t>/</m:t>
        </m:r>
        <m:r>
          <m:t>25</m:t>
        </m:r>
        <m:r>
          <m:rPr>
            <m:sty m:val="p"/>
          </m:rPr>
          <m:t>=</m:t>
        </m:r>
        <m:r>
          <m:t>0.96</m:t>
        </m:r>
      </m:oMath>
      <w:r>
        <w:t xml:space="preserve">.</w:t>
      </w:r>
    </w:p>
    <w:p>
      <w:pPr>
        <w:numPr>
          <w:ilvl w:val="0"/>
          <w:numId w:val="1132"/>
        </w:numPr>
        <w:pStyle w:val="Compact"/>
      </w:pPr>
      <m:oMath>
        <m:r>
          <m:t>W</m:t>
        </m:r>
        <m:r>
          <m:rPr>
            <m:sty m:val="p"/>
          </m:rPr>
          <m:t>=</m:t>
        </m:r>
        <m:r>
          <m:t>S</m:t>
        </m:r>
        <m:r>
          <m:rPr>
            <m:sty m:val="p"/>
          </m:rPr>
          <m:t>/</m:t>
        </m:r>
        <m:d>
          <m:dPr>
            <m:begChr m:val="("/>
            <m:endChr m:val=")"/>
            <m:sepChr m:val=""/>
            <m:grow/>
          </m:dPr>
          <m:e>
            <m:r>
              <m:t>1</m:t>
            </m:r>
            <m:r>
              <m:rPr>
                <m:sty m:val="p"/>
              </m:rPr>
              <m:t>−</m:t>
            </m:r>
            <m:r>
              <m:t>ρ</m:t>
            </m:r>
          </m:e>
        </m:d>
      </m:oMath>
      <w:r>
        <w:t xml:space="preserve">:</w:t>
      </w:r>
      <w:r>
        <w:t xml:space="preserve"> </w:t>
      </w:r>
      <m:oMath>
        <m:r>
          <m:t>5</m:t>
        </m:r>
        <m:r>
          <m:rPr>
            <m:sty m:val="p"/>
          </m:rPr>
          <m:t>/</m:t>
        </m:r>
        <m:r>
          <m:t>0.4</m:t>
        </m:r>
        <m:r>
          <m:rPr>
            <m:sty m:val="p"/>
          </m:rPr>
          <m:t>=</m:t>
        </m:r>
        <m:r>
          <m:t>12.5</m:t>
        </m:r>
      </m:oMath>
      <w:r>
        <w:t xml:space="preserve"> </w:t>
      </w:r>
      <w:r>
        <w:t xml:space="preserve">ms at 60%;</w:t>
      </w:r>
      <w:r>
        <w:t xml:space="preserve"> </w:t>
      </w:r>
      <m:oMath>
        <m:r>
          <m:t>5</m:t>
        </m:r>
        <m:r>
          <m:rPr>
            <m:sty m:val="p"/>
          </m:rPr>
          <m:t>/</m:t>
        </m:r>
        <m:r>
          <m:t>0.05</m:t>
        </m:r>
        <m:r>
          <m:rPr>
            <m:sty m:val="p"/>
          </m:rPr>
          <m:t>=</m:t>
        </m:r>
        <m:r>
          <m:t>100</m:t>
        </m:r>
      </m:oMath>
      <w:r>
        <w:t xml:space="preserve"> </w:t>
      </w:r>
      <w:r>
        <w:t xml:space="preserve">ms at 95%.</w:t>
      </w:r>
    </w:p>
    <w:p>
      <w:pPr>
        <w:numPr>
          <w:ilvl w:val="0"/>
          <w:numId w:val="1132"/>
        </w:numPr>
        <w:pStyle w:val="Compact"/>
      </w:pPr>
      <m:oMath>
        <m:r>
          <m:t>L</m:t>
        </m:r>
        <m:r>
          <m:rPr>
            <m:sty m:val="p"/>
          </m:rPr>
          <m:t>=</m:t>
        </m:r>
        <m:r>
          <m:t>400</m:t>
        </m:r>
        <m:r>
          <m:rPr>
            <m:sty m:val="p"/>
          </m:rPr>
          <m:t>×</m:t>
        </m:r>
        <m:r>
          <m:t>0.15</m:t>
        </m:r>
        <m:r>
          <m:rPr>
            <m:sty m:val="p"/>
          </m:rPr>
          <m:t>=</m:t>
        </m:r>
        <m:r>
          <m:t>60</m:t>
        </m:r>
      </m:oMath>
      <w:r>
        <w:t xml:space="preserve"> </w:t>
      </w:r>
      <w:r>
        <w:t xml:space="preserve">threads (size the pool above this for queueing headroom).</w:t>
      </w:r>
    </w:p>
    <w:p>
      <w:pPr>
        <w:numPr>
          <w:ilvl w:val="0"/>
          <w:numId w:val="1132"/>
        </w:numPr>
        <w:pStyle w:val="Compact"/>
      </w:pPr>
      <w:r>
        <w:t xml:space="preserve">Ceiling</w:t>
      </w:r>
      <w:r>
        <w:t xml:space="preserve"> </w:t>
      </w:r>
      <m:oMath>
        <m:r>
          <m:t>1</m:t>
        </m:r>
        <m:r>
          <m:rPr>
            <m:sty m:val="p"/>
          </m:rPr>
          <m:t>/</m:t>
        </m:r>
        <m:r>
          <m:t>0.1</m:t>
        </m:r>
        <m:r>
          <m:rPr>
            <m:sty m:val="p"/>
          </m:rPr>
          <m:t>=</m:t>
        </m:r>
        <m:r>
          <m:t>10</m:t>
        </m:r>
      </m:oMath>
      <w:r>
        <w:t xml:space="preserve">; on 10 cores</w:t>
      </w:r>
      <w:r>
        <w:t xml:space="preserve"> </w:t>
      </w:r>
      <m:oMath>
        <m:r>
          <m:t>1</m:t>
        </m:r>
        <m:r>
          <m:rPr>
            <m:sty m:val="p"/>
          </m:rPr>
          <m:t>/</m:t>
        </m:r>
        <m:d>
          <m:dPr>
            <m:begChr m:val="("/>
            <m:endChr m:val=")"/>
            <m:sepChr m:val=""/>
            <m:grow/>
          </m:dPr>
          <m:e>
            <m:r>
              <m:t>0.1</m:t>
            </m:r>
            <m:r>
              <m:rPr>
                <m:sty m:val="p"/>
              </m:rPr>
              <m:t>+</m:t>
            </m:r>
            <m:r>
              <m:t>0.09</m:t>
            </m:r>
          </m:e>
        </m:d>
        <m:r>
          <m:rPr>
            <m:sty m:val="p"/>
          </m:rPr>
          <m:t>=</m:t>
        </m:r>
        <m:r>
          <m:t>5.26</m:t>
        </m:r>
      </m:oMath>
      <w:r>
        <w:t xml:space="preserve">.</w:t>
      </w:r>
    </w:p>
    <w:p>
      <w:pPr>
        <w:numPr>
          <w:ilvl w:val="0"/>
          <w:numId w:val="1132"/>
        </w:numPr>
        <w:pStyle w:val="Compact"/>
      </w:pPr>
      <w:r>
        <w:t xml:space="preserve">Coherency: pairwise coordination such as cache coherence, consensus or data exchange, growing like</w:t>
      </w:r>
      <w:r>
        <w:t xml:space="preserve"> </w:t>
      </w:r>
      <m:oMath>
        <m:sSup>
          <m:e>
            <m:r>
              <m:t>N</m:t>
            </m:r>
          </m:e>
          <m:sup>
            <m:r>
              <m:t>2</m:t>
            </m:r>
          </m:sup>
        </m:sSup>
      </m:oMath>
      <w:r>
        <w:t xml:space="preserve">. Throughput peaks at</w:t>
      </w:r>
      <w:r>
        <w:t xml:space="preserve"> </w:t>
      </w:r>
      <m:oMath>
        <m:sSup>
          <m:e>
            <m:r>
              <m:t>N</m:t>
            </m:r>
          </m:e>
          <m:sup>
            <m:r>
              <m:rPr>
                <m:sty m:val="p"/>
              </m:rPr>
              <m:t>*</m:t>
            </m:r>
          </m:sup>
        </m:sSup>
      </m:oMath>
      <w:r>
        <w:t xml:space="preserve"> </w:t>
      </w:r>
      <w:r>
        <w:t xml:space="preserve">and then declines (retrograde scaling).</w:t>
      </w:r>
    </w:p>
    <w:p>
      <w:pPr>
        <w:numPr>
          <w:ilvl w:val="0"/>
          <w:numId w:val="1132"/>
        </w:numPr>
        <w:pStyle w:val="Compact"/>
      </w:pPr>
      <m:oMath>
        <m:sSup>
          <m:e>
            <m:r>
              <m:t>0.9995</m:t>
            </m:r>
          </m:e>
          <m:sup>
            <m:r>
              <m:t>5</m:t>
            </m:r>
          </m:sup>
        </m:sSup>
        <m:r>
          <m:rPr>
            <m:sty m:val="p"/>
          </m:rPr>
          <m:t>=</m:t>
        </m:r>
        <m:r>
          <m:t>0.99750</m:t>
        </m:r>
      </m:oMath>
      <w:r>
        <w:t xml:space="preserve">; downtime</w:t>
      </w:r>
      <w:r>
        <w:t xml:space="preserve"> </w:t>
      </w:r>
      <m:oMath>
        <m:r>
          <m:t>0.0025</m:t>
        </m:r>
        <m:r>
          <m:rPr>
            <m:sty m:val="p"/>
          </m:rPr>
          <m:t>×</m:t>
        </m:r>
        <m:r>
          <m:t>43</m:t>
        </m:r>
        <m:r>
          <m:rPr>
            <m:sty m:val="p"/>
          </m:rPr>
          <m:t>,</m:t>
        </m:r>
        <m:r>
          <m:t>200</m:t>
        </m:r>
        <m:r>
          <m:rPr>
            <m:sty m:val="p"/>
          </m:rPr>
          <m:t>=</m:t>
        </m:r>
        <m:r>
          <m:t>108</m:t>
        </m:r>
      </m:oMath>
      <w:r>
        <w:t xml:space="preserve"> </w:t>
      </w:r>
      <w:r>
        <w:t xml:space="preserve">min per month.</w:t>
      </w:r>
    </w:p>
    <w:p>
      <w:pPr>
        <w:numPr>
          <w:ilvl w:val="0"/>
          <w:numId w:val="1132"/>
        </w:numPr>
        <w:pStyle w:val="Compact"/>
      </w:pPr>
      <m:oMath>
        <m:r>
          <m:t>500</m:t>
        </m:r>
        <m:r>
          <m:rPr>
            <m:sty m:val="p"/>
          </m:rPr>
          <m:t>/</m:t>
        </m:r>
        <m:r>
          <m:t>500.5</m:t>
        </m:r>
        <m:r>
          <m:rPr>
            <m:sty m:val="p"/>
          </m:rPr>
          <m:t>=</m:t>
        </m:r>
        <m:r>
          <m:t>0.999</m:t>
        </m:r>
      </m:oMath>
      <w:r>
        <w:t xml:space="preserve"> </w:t>
      </w:r>
      <w:r>
        <w:t xml:space="preserve">(three nines).</w:t>
      </w:r>
    </w:p>
    <w:p>
      <w:pPr>
        <w:numPr>
          <w:ilvl w:val="0"/>
          <w:numId w:val="1132"/>
        </w:numPr>
        <w:pStyle w:val="Compact"/>
      </w:pPr>
      <w:r>
        <w:t xml:space="preserve">For three replicas annual loss probability is proportional to</w:t>
      </w:r>
      <w:r>
        <w:t xml:space="preserve"> </w:t>
      </w:r>
      <m:oMath>
        <m:sSup>
          <m:e>
            <m:r>
              <m:t>T</m:t>
            </m:r>
          </m:e>
          <m:sup>
            <m:r>
              <m:t>2</m:t>
            </m:r>
          </m:sup>
        </m:sSup>
      </m:oMath>
      <w:r>
        <w:t xml:space="preserve">, so halving</w:t>
      </w:r>
      <w:r>
        <w:t xml:space="preserve"> </w:t>
      </w:r>
      <m:oMath>
        <m:r>
          <m:t>T</m:t>
        </m:r>
      </m:oMath>
      <w:r>
        <w:t xml:space="preserve"> </w:t>
      </w:r>
      <w:r>
        <w:t xml:space="preserve">divides it by</w:t>
      </w:r>
      <w:r>
        <w:t xml:space="preserve"> </w:t>
      </w:r>
      <m:oMath>
        <m:sSup>
          <m:e>
            <m:r>
              <m:t>2</m:t>
            </m:r>
          </m:e>
          <m:sup>
            <m:r>
              <m:t>2</m:t>
            </m:r>
          </m:sup>
        </m:sSup>
        <m:r>
          <m:rPr>
            <m:sty m:val="p"/>
          </m:rPr>
          <m:t>=</m:t>
        </m:r>
        <m:r>
          <m:t>4</m:t>
        </m:r>
      </m:oMath>
      <w:r>
        <w:t xml:space="preserve">.</w:t>
      </w:r>
    </w:p>
    <w:p>
      <w:pPr>
        <w:numPr>
          <w:ilvl w:val="0"/>
          <w:numId w:val="1132"/>
        </w:numPr>
        <w:pStyle w:val="Compact"/>
      </w:pPr>
      <w:r>
        <w:t xml:space="preserve">The great-circle distance is about 8,800 km; light in fiber travels about 200,000 km/s;</w:t>
      </w:r>
      <w:r>
        <w:t xml:space="preserve"> </w:t>
      </w:r>
      <m:oMath>
        <m:r>
          <m:t>2</m:t>
        </m:r>
        <m:r>
          <m:rPr>
            <m:sty m:val="p"/>
          </m:rPr>
          <m:t>×</m:t>
        </m:r>
        <m:r>
          <m:t>8</m:t>
        </m:r>
        <m:r>
          <m:rPr>
            <m:sty m:val="p"/>
          </m:rPr>
          <m:t>,</m:t>
        </m:r>
        <m:r>
          <m:t>800</m:t>
        </m:r>
        <m:r>
          <m:rPr>
            <m:sty m:val="p"/>
          </m:rPr>
          <m:t>/</m:t>
        </m:r>
        <m:r>
          <m:t>200</m:t>
        </m:r>
        <m:r>
          <m:rPr>
            <m:sty m:val="p"/>
          </m:rPr>
          <m:t>,</m:t>
        </m:r>
        <m:r>
          <m:t>000</m:t>
        </m:r>
        <m:r>
          <m:rPr>
            <m:sty m:val="p"/>
          </m:rPr>
          <m:t>=</m:t>
        </m:r>
        <m:r>
          <m:t>88</m:t>
        </m:r>
      </m:oMath>
      <w:r>
        <w:t xml:space="preserve"> </w:t>
      </w:r>
      <w:r>
        <w:t xml:space="preserve">ms. Real routes are longer, so measured RTTs are higher.</w:t>
      </w:r>
    </w:p>
    <w:bookmarkEnd w:id="444"/>
    <w:bookmarkStart w:id="448" w:name="interview-questions-3"/>
    <w:p>
      <w:pPr>
        <w:pStyle w:val="Heading2"/>
      </w:pPr>
      <w:r>
        <w:t xml:space="preserve">4.21 Interview questions</w:t>
      </w:r>
    </w:p>
    <w:bookmarkStart w:id="445" w:name="basic-3"/>
    <w:p>
      <w:pPr>
        <w:pStyle w:val="Heading3"/>
      </w:pPr>
      <w:r>
        <w:t xml:space="preserve">Basic</w:t>
      </w:r>
    </w:p>
    <w:p>
      <w:pPr>
        <w:pStyle w:val="FirstParagraph"/>
      </w:pPr>
      <w:r>
        <w:rPr>
          <w:bCs/>
          <w:b/>
        </w:rPr>
        <w:t xml:space="preserve">Q1. Your service averages 50 ms latency. Is that enough to say it meets a</w:t>
      </w:r>
      <w:r>
        <w:rPr>
          <w:bCs/>
          <w:b/>
        </w:rPr>
        <w:t xml:space="preserve"> </w:t>
      </w:r>
      <w:r>
        <w:rPr>
          <w:bCs/>
          <w:b/>
        </w:rPr>
        <w:t xml:space="preserve">“</w:t>
      </w:r>
      <w:r>
        <w:rPr>
          <w:bCs/>
          <w:b/>
        </w:rPr>
        <w:t xml:space="preserve">p99 under 200 ms</w:t>
      </w:r>
      <w:r>
        <w:rPr>
          <w:bCs/>
          <w:b/>
        </w:rPr>
        <w:t xml:space="preserve">”</w:t>
      </w:r>
      <w:r>
        <w:rPr>
          <w:bCs/>
          <w:b/>
        </w:rPr>
        <w:t xml:space="preserve"> </w:t>
      </w:r>
      <w:r>
        <w:rPr>
          <w:bCs/>
          <w:b/>
        </w:rPr>
        <w:t xml:space="preserve">SLO?</w:t>
      </w:r>
      <w:r>
        <w:t xml:space="preserve"> </w:t>
      </w:r>
      <w:r>
        <w:rPr>
          <w:bCs/>
          <w:b/>
        </w:rPr>
        <w:t xml:space="preserve">Answer.</w:t>
      </w:r>
      <w:r>
        <w:t xml:space="preserve"> </w:t>
      </w:r>
      <w:r>
        <w:t xml:space="preserve">No. The mean says nothing about the tail: a right-skewed distribution can have a 50 ms mean with several percent of requests above 200 ms. You need the p99 itself, computed from a histogram over a window with enough samples (hundreds of requests in the tail), and you should check it at fine time resolution so that bad minutes are not averaged away.</w:t>
      </w:r>
    </w:p>
    <w:p>
      <w:pPr>
        <w:pStyle w:val="BodyText"/>
      </w:pPr>
      <w:r>
        <w:rPr>
          <w:bCs/>
          <w:b/>
        </w:rPr>
        <w:t xml:space="preserve">Q2. Estimate the average and peak RPS for 500 million requests per day.</w:t>
      </w:r>
      <w:r>
        <w:t xml:space="preserve"> </w:t>
      </w:r>
      <w:r>
        <w:rPr>
          <w:bCs/>
          <w:b/>
        </w:rPr>
        <w:t xml:space="preserve">Answer.</w:t>
      </w:r>
      <w:r>
        <w:t xml:space="preserve"> </w:t>
      </w:r>
      <m:oMath>
        <m:r>
          <m:t>5</m:t>
        </m:r>
        <m:r>
          <m:rPr>
            <m:sty m:val="p"/>
          </m:rPr>
          <m:t>×</m:t>
        </m:r>
        <m:sSup>
          <m:e>
            <m:r>
              <m:t>10</m:t>
            </m:r>
          </m:e>
          <m:sup>
            <m:r>
              <m:t>8</m:t>
            </m:r>
          </m:sup>
        </m:sSup>
        <m:r>
          <m:rPr>
            <m:sty m:val="p"/>
          </m:rPr>
          <m:t>/</m:t>
        </m:r>
        <m:r>
          <m:t>86</m:t>
        </m:r>
        <m:r>
          <m:rPr>
            <m:sty m:val="p"/>
          </m:rPr>
          <m:t>,</m:t>
        </m:r>
        <m:r>
          <m:t>400</m:t>
        </m:r>
        <m:r>
          <m:rPr>
            <m:sty m:val="p"/>
          </m:rPr>
          <m:t>≈</m:t>
        </m:r>
        <m:r>
          <m:t>5</m:t>
        </m:r>
        <m:r>
          <m:rPr>
            <m:sty m:val="p"/>
          </m:rPr>
          <m:t>,</m:t>
        </m:r>
        <m:r>
          <m:t>800</m:t>
        </m:r>
      </m:oMath>
      <w:r>
        <w:t xml:space="preserve"> </w:t>
      </w:r>
      <w:r>
        <w:t xml:space="preserve">RPS on average (or ~5,000 using</w:t>
      </w:r>
      <w:r>
        <w:t xml:space="preserve"> </w:t>
      </w:r>
      <m:oMath>
        <m:sSup>
          <m:e>
            <m:r>
              <m:t>10</m:t>
            </m:r>
          </m:e>
          <m:sup>
            <m:r>
              <m:t>5</m:t>
            </m:r>
          </m:sup>
        </m:sSup>
      </m:oMath>
      <w:r>
        <w:t xml:space="preserve"> </w:t>
      </w:r>
      <w:r>
        <w:t xml:space="preserve">s/day). With an assumed peak-to-average ratio of 2–3, plan for roughly 12,000–17,000 RPS, and say the ratio is an assumption to be replaced by measurement.</w:t>
      </w:r>
    </w:p>
    <w:p>
      <w:pPr>
        <w:pStyle w:val="BodyText"/>
      </w:pPr>
      <w:r>
        <w:rPr>
          <w:bCs/>
          <w:b/>
        </w:rPr>
        <w:t xml:space="preserve">Q3. Two independent replicas each have 99% availability. What is the availability of the pair, and what assumptions are you making?</w:t>
      </w:r>
      <w:r>
        <w:t xml:space="preserve"> </w:t>
      </w:r>
      <w:r>
        <w:rPr>
          <w:bCs/>
          <w:b/>
        </w:rPr>
        <w:t xml:space="preserve">Answer.</w:t>
      </w:r>
      <w:r>
        <w:t xml:space="preserve"> </w:t>
      </w:r>
      <m:oMath>
        <m:r>
          <m:t>1</m:t>
        </m:r>
        <m:r>
          <m:rPr>
            <m:sty m:val="p"/>
          </m:rPr>
          <m:t>−</m:t>
        </m:r>
        <m:sSup>
          <m:e>
            <m:r>
              <m:t>0.01</m:t>
            </m:r>
          </m:e>
          <m:sup>
            <m:r>
              <m:t>2</m:t>
            </m:r>
          </m:sup>
        </m:sSup>
        <m:r>
          <m:rPr>
            <m:sty m:val="p"/>
          </m:rPr>
          <m:t>=</m:t>
        </m:r>
        <m:r>
          <m:t>99.99</m:t>
        </m:r>
        <m:r>
          <m:rPr>
            <m:sty m:val="p"/>
          </m:rPr>
          <m:t>%</m:t>
        </m:r>
      </m:oMath>
      <w:r>
        <w:t xml:space="preserve">. Assumptions: failures are independent (no shared rack, power, network, deployment or software bug), failover is instantaneous and automatic, and either replica alone can carry the full load. Each assumption, if false, lowers the real number.</w:t>
      </w:r>
    </w:p>
    <w:bookmarkEnd w:id="445"/>
    <w:bookmarkStart w:id="446" w:name="intermediate-3"/>
    <w:p>
      <w:pPr>
        <w:pStyle w:val="Heading3"/>
      </w:pPr>
      <w:r>
        <w:t xml:space="preserve">Intermediate</w:t>
      </w:r>
    </w:p>
    <w:p>
      <w:pPr>
        <w:pStyle w:val="FirstParagraph"/>
      </w:pPr>
      <w:r>
        <w:rPr>
          <w:bCs/>
          <w:b/>
        </w:rPr>
        <w:t xml:space="preserve">Q4. A database server is at 70% CPU and the team wants to consolidate to fewer servers to reach 90%. What would you tell them?</w:t>
      </w:r>
      <w:r>
        <w:t xml:space="preserve"> </w:t>
      </w:r>
      <w:r>
        <w:rPr>
          <w:bCs/>
          <w:b/>
        </w:rPr>
        <w:t xml:space="preserve">Answer.</w:t>
      </w:r>
      <w:r>
        <w:t xml:space="preserve"> </w:t>
      </w:r>
      <w:r>
        <w:t xml:space="preserve">In an M/M/1 approximation, response time scales as</w:t>
      </w:r>
      <w:r>
        <w:t xml:space="preserve"> </w:t>
      </w:r>
      <m:oMath>
        <m:r>
          <m:t>1</m:t>
        </m:r>
        <m:r>
          <m:rPr>
            <m:sty m:val="p"/>
          </m:rPr>
          <m:t>/</m:t>
        </m:r>
        <m:d>
          <m:dPr>
            <m:begChr m:val="("/>
            <m:endChr m:val=")"/>
            <m:sepChr m:val=""/>
            <m:grow/>
          </m:dPr>
          <m:e>
            <m:r>
              <m:t>1</m:t>
            </m:r>
            <m:r>
              <m:rPr>
                <m:sty m:val="p"/>
              </m:rPr>
              <m:t>−</m:t>
            </m:r>
            <m:r>
              <m:t>ρ</m:t>
            </m:r>
          </m:e>
        </m:d>
      </m:oMath>
      <w:r>
        <w:t xml:space="preserve">: going from 0.7 to 0.9 triples queueing-inclusive latency (</w:t>
      </w:r>
      <m:oMath>
        <m:r>
          <m:t>3.3</m:t>
        </m:r>
        <m:r>
          <m:rPr>
            <m:sty m:val="p"/>
          </m:rPr>
          <m:t>×</m:t>
        </m:r>
      </m:oMath>
      <w:r>
        <w:t xml:space="preserve"> </w:t>
      </w:r>
      <w:r>
        <w:t xml:space="preserve">to</w:t>
      </w:r>
      <w:r>
        <w:t xml:space="preserve"> </w:t>
      </w:r>
      <m:oMath>
        <m:r>
          <m:t>10</m:t>
        </m:r>
        <m:r>
          <m:rPr>
            <m:sty m:val="p"/>
          </m:rPr>
          <m:t>×</m:t>
        </m:r>
      </m:oMath>
      <w:r>
        <w:t xml:space="preserve"> </w:t>
      </w:r>
      <w:r>
        <w:t xml:space="preserve">the service time), and the tail grows proportionally (M/M/1 p99 ≈ 4.6× mean). For a latency-sensitive OLTP database that is usually unacceptable; for batch analytics it may be fine. I would model the latency at the forecast</w:t>
      </w:r>
      <w:r>
        <w:t xml:space="preserve"> </w:t>
      </w:r>
      <w:r>
        <w:rPr>
          <w:iCs/>
          <w:i/>
        </w:rPr>
        <w:t xml:space="preserve">peak</w:t>
      </w:r>
      <w:r>
        <w:t xml:space="preserve"> </w:t>
      </w:r>
      <w:r>
        <w:t xml:space="preserve">after consolidation, and keep enough headroom to absorb a replica failure as well.</w:t>
      </w:r>
    </w:p>
    <w:p>
      <w:pPr>
        <w:pStyle w:val="BodyText"/>
      </w:pPr>
      <w:r>
        <w:rPr>
          <w:bCs/>
          <w:b/>
        </w:rPr>
        <w:t xml:space="preserve">Q5. How would you size the connection pool for 40 application instances that together run 3,000 queries/s with a mean connection hold time of 4 ms?</w:t>
      </w:r>
      <w:r>
        <w:t xml:space="preserve"> </w:t>
      </w:r>
      <w:r>
        <w:rPr>
          <w:bCs/>
          <w:b/>
        </w:rPr>
        <w:t xml:space="preserve">Answer.</w:t>
      </w:r>
      <w:r>
        <w:t xml:space="preserve"> </w:t>
      </w:r>
      <w:r>
        <w:t xml:space="preserve">Little’s Law:</w:t>
      </w:r>
      <w:r>
        <w:t xml:space="preserve"> </w:t>
      </w:r>
      <m:oMath>
        <m:r>
          <m:t>L</m:t>
        </m:r>
        <m:r>
          <m:rPr>
            <m:sty m:val="p"/>
          </m:rPr>
          <m:t>=</m:t>
        </m:r>
        <m:r>
          <m:t>3</m:t>
        </m:r>
        <m:r>
          <m:rPr>
            <m:sty m:val="p"/>
          </m:rPr>
          <m:t>,</m:t>
        </m:r>
        <m:r>
          <m:t>000</m:t>
        </m:r>
        <m:r>
          <m:rPr>
            <m:sty m:val="p"/>
          </m:rPr>
          <m:t>×</m:t>
        </m:r>
        <m:r>
          <m:t>0.004</m:t>
        </m:r>
        <m:r>
          <m:rPr>
            <m:sty m:val="p"/>
          </m:rPr>
          <m:t>=</m:t>
        </m:r>
        <m:r>
          <m:t>12</m:t>
        </m:r>
      </m:oMath>
      <w:r>
        <w:t xml:space="preserve"> </w:t>
      </w:r>
      <w:r>
        <w:t xml:space="preserve">connections busy on average across the fleet, 0.3 per instance. A small per-instance pool (2–4) or a shared pooler with on the order of 20–40 server connections gives queueing headroom. The important parts are a query timeout and a cap at the database, because if hold time rises to 200 ms during an incident, demand becomes 600 connections and an uncapped fleet would overload the database.</w:t>
      </w:r>
    </w:p>
    <w:p>
      <w:pPr>
        <w:pStyle w:val="BodyText"/>
      </w:pPr>
      <w:r>
        <w:rPr>
          <w:bCs/>
          <w:b/>
        </w:rPr>
        <w:t xml:space="preserve">Q6. A search service fans out to 50 partitions. Leaf p99 is 20 ms. What will the root p99 roughly look like, and what would you do?</w:t>
      </w:r>
      <w:r>
        <w:t xml:space="preserve"> </w:t>
      </w:r>
      <w:r>
        <w:rPr>
          <w:bCs/>
          <w:b/>
        </w:rPr>
        <w:t xml:space="preserve">Answer.</w:t>
      </w:r>
      <w:r>
        <w:t xml:space="preserve"> </w:t>
      </w:r>
      <m:oMath>
        <m:r>
          <m:t>P</m:t>
        </m:r>
        <m:d>
          <m:dPr>
            <m:begChr m:val="("/>
            <m:endChr m:val=")"/>
            <m:sepChr m:val=""/>
            <m:grow/>
          </m:dPr>
          <m:e>
            <m:r>
              <m:rPr>
                <m:nor/>
                <m:sty m:val="p"/>
              </m:rPr>
              <m:t>all under 20 ms</m:t>
            </m:r>
          </m:e>
        </m:d>
        <m:r>
          <m:rPr>
            <m:sty m:val="p"/>
          </m:rPr>
          <m:t>=</m:t>
        </m:r>
        <m:sSup>
          <m:e>
            <m:r>
              <m:t>0.99</m:t>
            </m:r>
          </m:e>
          <m:sup>
            <m:r>
              <m:t>50</m:t>
            </m:r>
          </m:sup>
        </m:sSup>
        <m:r>
          <m:rPr>
            <m:sty m:val="p"/>
          </m:rPr>
          <m:t>=</m:t>
        </m:r>
        <m:r>
          <m:t>0.605</m:t>
        </m:r>
      </m:oMath>
      <w:r>
        <w:t xml:space="preserve">, so 40% of root requests exceed 20 ms; the root p99 will be set by roughly the leaf p99.98 (</w:t>
      </w:r>
      <m:oMath>
        <m:sSup>
          <m:e>
            <m:r>
              <m:t>0.99</m:t>
            </m:r>
          </m:e>
          <m:sup>
            <m:r>
              <m:t>1</m:t>
            </m:r>
            <m:r>
              <m:rPr>
                <m:sty m:val="p"/>
              </m:rPr>
              <m:t>/</m:t>
            </m:r>
            <m:r>
              <m:t>50</m:t>
            </m:r>
          </m:sup>
        </m:sSup>
        <m:r>
          <m:rPr>
            <m:sty m:val="p"/>
          </m:rPr>
          <m:t>≈</m:t>
        </m:r>
        <m:r>
          <m:t>0.9998</m:t>
        </m:r>
      </m:oMath>
      <w:r>
        <w:t xml:space="preserve">), which may be many times 20 ms. Remedies: reduce leaf variability (GC tuning, isolation from background work), hedged or tied requests, per-leaf deadlines with partial results, and fewer, larger partitions if that is feasible.</w:t>
      </w:r>
    </w:p>
    <w:bookmarkEnd w:id="446"/>
    <w:bookmarkStart w:id="447" w:name="advanced-3"/>
    <w:p>
      <w:pPr>
        <w:pStyle w:val="Heading3"/>
      </w:pPr>
      <w:r>
        <w:t xml:space="preserve">Advanced</w:t>
      </w:r>
    </w:p>
    <w:p>
      <w:pPr>
        <w:pStyle w:val="FirstParagraph"/>
      </w:pPr>
      <w:r>
        <w:rPr>
          <w:bCs/>
          <w:b/>
        </w:rPr>
        <w:t xml:space="preserve">Q7. Load tests show throughput rising to 16 nodes, flat at 32, and falling at 64. Explain using a model, and say what you would investigate.</w:t>
      </w:r>
      <w:r>
        <w:t xml:space="preserve"> </w:t>
      </w:r>
      <w:r>
        <w:rPr>
          <w:bCs/>
          <w:b/>
        </w:rPr>
        <w:t xml:space="preserve">Answer.</w:t>
      </w:r>
      <w:r>
        <w:t xml:space="preserve"> </w:t>
      </w:r>
      <w:r>
        <w:t xml:space="preserve">This is retrograde scaling, which Amdahl’s Law cannot produce but the USL can: a non-zero coherency term</w:t>
      </w:r>
      <w:r>
        <w:t xml:space="preserve"> </w:t>
      </w:r>
      <m:oMath>
        <m:r>
          <m:t>β</m:t>
        </m:r>
        <m:r>
          <m:t>N</m:t>
        </m:r>
        <m:d>
          <m:dPr>
            <m:begChr m:val="("/>
            <m:endChr m:val=")"/>
            <m:sepChr m:val=""/>
            <m:grow/>
          </m:dPr>
          <m:e>
            <m:r>
              <m:t>N</m:t>
            </m:r>
            <m:r>
              <m:rPr>
                <m:sty m:val="p"/>
              </m:rPr>
              <m:t>−</m:t>
            </m:r>
            <m:r>
              <m:t>1</m:t>
            </m:r>
          </m:e>
        </m:d>
      </m:oMath>
      <w:r>
        <w:t xml:space="preserve"> </w:t>
      </w:r>
      <w:r>
        <w:t xml:space="preserve">grows quadratically and eventually dominates. Fitting</w:t>
      </w:r>
      <w:r>
        <w:t xml:space="preserve"> </w:t>
      </w:r>
      <m:oMath>
        <m:r>
          <m:t>α</m:t>
        </m:r>
      </m:oMath>
      <w:r>
        <w:t xml:space="preserve"> </w:t>
      </w:r>
      <w:r>
        <w:t xml:space="preserve">and</w:t>
      </w:r>
      <w:r>
        <w:t xml:space="preserve"> </w:t>
      </w:r>
      <m:oMath>
        <m:r>
          <m:t>β</m:t>
        </m:r>
      </m:oMath>
      <w:r>
        <w:t xml:space="preserve"> </w:t>
      </w:r>
      <w:r>
        <w:t xml:space="preserve">to the measurements gives</w:t>
      </w:r>
      <w:r>
        <w:t xml:space="preserve"> </w:t>
      </w:r>
      <m:oMath>
        <m:sSup>
          <m:e>
            <m:r>
              <m:t>N</m:t>
            </m:r>
          </m:e>
          <m:sup>
            <m:r>
              <m:rPr>
                <m:sty m:val="p"/>
              </m:rPr>
              <m:t>*</m:t>
            </m:r>
          </m:sup>
        </m:sSup>
        <m:r>
          <m:rPr>
            <m:sty m:val="p"/>
          </m:rPr>
          <m:t>=</m:t>
        </m:r>
        <m:rad>
          <m:radPr>
            <m:degHide m:val="on"/>
          </m:radPr>
          <m:deg/>
          <m:e>
            <m:d>
              <m:dPr>
                <m:begChr m:val="("/>
                <m:endChr m:val=")"/>
                <m:sepChr m:val=""/>
                <m:grow/>
              </m:dPr>
              <m:e>
                <m:r>
                  <m:t>1</m:t>
                </m:r>
                <m:r>
                  <m:rPr>
                    <m:sty m:val="p"/>
                  </m:rPr>
                  <m:t>−</m:t>
                </m:r>
                <m:r>
                  <m:t>α</m:t>
                </m:r>
              </m:e>
            </m:d>
            <m:r>
              <m:rPr>
                <m:sty m:val="p"/>
              </m:rPr>
              <m:t>/</m:t>
            </m:r>
            <m:r>
              <m:t>β</m:t>
            </m:r>
          </m:e>
        </m:rad>
      </m:oMath>
      <w:r>
        <w:t xml:space="preserve"> </w:t>
      </w:r>
      <w:r>
        <w:t xml:space="preserve">near 32. I would look for all-to-all interactions: distributed locks, cache invalidation broadcasts, gossip or membership traffic, cross-partition transactions, hot shared rows. The remedy is to partition so that most work needs no coordination, not to add nodes.</w:t>
      </w:r>
    </w:p>
    <w:p>
      <w:pPr>
        <w:pStyle w:val="BodyText"/>
      </w:pPr>
      <w:r>
        <w:rPr>
          <w:bCs/>
          <w:b/>
        </w:rPr>
        <w:t xml:space="preserve">Q8. Design the replication policy for a storage system targeting</w:t>
      </w:r>
      <w:r>
        <w:rPr>
          <w:bCs/>
          <w:b/>
        </w:rPr>
        <w:t xml:space="preserve"> </w:t>
      </w:r>
      <m:oMath>
        <m:sSup>
          <m:e>
            <m:r>
              <m:t>10</m:t>
            </m:r>
          </m:e>
          <m:sup>
            <m:r>
              <m:rPr>
                <m:sty m:val="p"/>
              </m:rPr>
              <m:t>−</m:t>
            </m:r>
            <m:r>
              <m:t>9</m:t>
            </m:r>
          </m:sup>
        </m:sSup>
      </m:oMath>
      <w:r>
        <w:rPr>
          <w:bCs/>
          <w:b/>
        </w:rPr>
        <w:t xml:space="preserve"> </w:t>
      </w:r>
      <w:r>
        <w:rPr>
          <w:bCs/>
          <w:b/>
        </w:rPr>
        <w:t xml:space="preserve">annual loss probability per object with disks at AFR 3%.</w:t>
      </w:r>
      <w:r>
        <w:t xml:space="preserve"> </w:t>
      </w:r>
      <w:r>
        <w:rPr>
          <w:bCs/>
          <w:b/>
        </w:rPr>
        <w:t xml:space="preserve">Answer.</w:t>
      </w:r>
      <w:r>
        <w:t xml:space="preserve"> </w:t>
      </w:r>
      <m:oMath>
        <m:r>
          <m:t>λ</m:t>
        </m:r>
        <m:r>
          <m:rPr>
            <m:sty m:val="p"/>
          </m:rPr>
          <m:t>=</m:t>
        </m:r>
        <m:r>
          <m:t>0.03</m:t>
        </m:r>
        <m:r>
          <m:rPr>
            <m:sty m:val="p"/>
          </m:rPr>
          <m:t>/</m:t>
        </m:r>
        <m:r>
          <m:t>8760</m:t>
        </m:r>
        <m:r>
          <m:rPr>
            <m:sty m:val="p"/>
          </m:rPr>
          <m:t>=</m:t>
        </m:r>
        <m:r>
          <m:t>3.4</m:t>
        </m:r>
        <m:r>
          <m:rPr>
            <m:sty m:val="p"/>
          </m:rPr>
          <m:t>×</m:t>
        </m:r>
        <m:sSup>
          <m:e>
            <m:r>
              <m:t>10</m:t>
            </m:r>
          </m:e>
          <m:sup>
            <m:r>
              <m:rPr>
                <m:sty m:val="p"/>
              </m:rPr>
              <m:t>−</m:t>
            </m:r>
            <m:r>
              <m:t>6</m:t>
            </m:r>
          </m:sup>
        </m:sSup>
      </m:oMath>
      <w:r>
        <w:t xml:space="preserve">/h. Two replicas with</w:t>
      </w:r>
      <w:r>
        <w:t xml:space="preserve"> </w:t>
      </w:r>
      <m:oMath>
        <m:r>
          <m:t>T</m:t>
        </m:r>
        <m:r>
          <m:rPr>
            <m:sty m:val="p"/>
          </m:rPr>
          <m:t>=</m:t>
        </m:r>
        <m:r>
          <m:t>1</m:t>
        </m:r>
      </m:oMath>
      <w:r>
        <w:t xml:space="preserve"> </w:t>
      </w:r>
      <w:r>
        <w:t xml:space="preserve">h give</w:t>
      </w:r>
      <w:r>
        <w:t xml:space="preserve"> </w:t>
      </w:r>
      <m:oMath>
        <m:r>
          <m:t>2</m:t>
        </m:r>
        <m:r>
          <m:rPr>
            <m:sty m:val="p"/>
          </m:rPr>
          <m:t>×</m:t>
        </m:r>
        <m:r>
          <m:t>0.03</m:t>
        </m:r>
        <m:r>
          <m:rPr>
            <m:sty m:val="p"/>
          </m:rPr>
          <m:t>×</m:t>
        </m:r>
        <m:r>
          <m:t>λ</m:t>
        </m:r>
        <m:r>
          <m:t>T</m:t>
        </m:r>
        <m:r>
          <m:rPr>
            <m:sty m:val="p"/>
          </m:rPr>
          <m:t>≈</m:t>
        </m:r>
        <m:r>
          <m:t>2</m:t>
        </m:r>
        <m:r>
          <m:rPr>
            <m:sty m:val="p"/>
          </m:rPr>
          <m:t>×</m:t>
        </m:r>
        <m:sSup>
          <m:e>
            <m:r>
              <m:t>10</m:t>
            </m:r>
          </m:e>
          <m:sup>
            <m:r>
              <m:rPr>
                <m:sty m:val="p"/>
              </m:rPr>
              <m:t>−</m:t>
            </m:r>
            <m:r>
              <m:t>7</m:t>
            </m:r>
          </m:sup>
        </m:sSup>
      </m:oMath>
      <w:r>
        <w:t xml:space="preserve"> </w:t>
      </w:r>
      <w:r>
        <w:t xml:space="preserve">— not enough. Three replicas with</w:t>
      </w:r>
      <w:r>
        <w:t xml:space="preserve"> </w:t>
      </w:r>
      <m:oMath>
        <m:r>
          <m:t>T</m:t>
        </m:r>
        <m:r>
          <m:rPr>
            <m:sty m:val="p"/>
          </m:rPr>
          <m:t>=</m:t>
        </m:r>
        <m:r>
          <m:t>24</m:t>
        </m:r>
      </m:oMath>
      <w:r>
        <w:t xml:space="preserve"> </w:t>
      </w:r>
      <w:r>
        <w:t xml:space="preserve">h give</w:t>
      </w:r>
      <w:r>
        <w:t xml:space="preserve"> </w:t>
      </w:r>
      <m:oMath>
        <m:r>
          <m:t>3</m:t>
        </m:r>
        <m:r>
          <m:rPr>
            <m:sty m:val="p"/>
          </m:rPr>
          <m:t>×</m:t>
        </m:r>
        <m:r>
          <m:t>0.03</m:t>
        </m:r>
        <m:r>
          <m:rPr>
            <m:sty m:val="p"/>
          </m:rPr>
          <m:t>×</m:t>
        </m:r>
        <m:r>
          <m:t>2</m:t>
        </m:r>
        <m:sSup>
          <m:e>
            <m:d>
              <m:dPr>
                <m:begChr m:val="("/>
                <m:endChr m:val=")"/>
                <m:sepChr m:val=""/>
                <m:grow/>
              </m:dPr>
              <m:e>
                <m:r>
                  <m:t>λ</m:t>
                </m:r>
                <m:r>
                  <m:t>T</m:t>
                </m:r>
              </m:e>
            </m:d>
          </m:e>
          <m:sup>
            <m:r>
              <m:t>2</m:t>
            </m:r>
          </m:sup>
        </m:sSup>
        <m:r>
          <m:rPr>
            <m:sty m:val="p"/>
          </m:rPr>
          <m:t>=</m:t>
        </m:r>
        <m:r>
          <m:t>0.09</m:t>
        </m:r>
        <m:r>
          <m:rPr>
            <m:sty m:val="p"/>
          </m:rPr>
          <m:t>×</m:t>
        </m:r>
        <m:r>
          <m:t>2</m:t>
        </m:r>
        <m:r>
          <m:rPr>
            <m:sty m:val="p"/>
          </m:rPr>
          <m:t>×</m:t>
        </m:r>
        <m:sSup>
          <m:e>
            <m:d>
              <m:dPr>
                <m:begChr m:val="("/>
                <m:endChr m:val=")"/>
                <m:sepChr m:val=""/>
                <m:grow/>
              </m:dPr>
              <m:e>
                <m:r>
                  <m:t>8.2</m:t>
                </m:r>
                <m:r>
                  <m:rPr>
                    <m:sty m:val="p"/>
                  </m:rPr>
                  <m:t>×</m:t>
                </m:r>
                <m:sSup>
                  <m:e>
                    <m:r>
                      <m:t>10</m:t>
                    </m:r>
                  </m:e>
                  <m:sup>
                    <m:r>
                      <m:rPr>
                        <m:sty m:val="p"/>
                      </m:rPr>
                      <m:t>−</m:t>
                    </m:r>
                    <m:r>
                      <m:t>5</m:t>
                    </m:r>
                  </m:sup>
                </m:sSup>
              </m:e>
            </m:d>
          </m:e>
          <m:sup>
            <m:r>
              <m:t>2</m:t>
            </m:r>
          </m:sup>
        </m:sSup>
        <m:r>
          <m:rPr>
            <m:sty m:val="p"/>
          </m:rPr>
          <m:t>≈</m:t>
        </m:r>
        <m:r>
          <m:t>1.2</m:t>
        </m:r>
        <m:r>
          <m:rPr>
            <m:sty m:val="p"/>
          </m:rPr>
          <m:t>×</m:t>
        </m:r>
        <m:sSup>
          <m:e>
            <m:r>
              <m:t>10</m:t>
            </m:r>
          </m:e>
          <m:sup>
            <m:r>
              <m:rPr>
                <m:sty m:val="p"/>
              </m:rPr>
              <m:t>−</m:t>
            </m:r>
            <m:r>
              <m:t>9</m:t>
            </m:r>
          </m:sup>
        </m:sSup>
      </m:oMath>
      <w:r>
        <w:t xml:space="preserve"> </w:t>
      </w:r>
      <w:r>
        <w:t xml:space="preserve">— borderline, so I would cut repair time (parallel re-replication across many nodes, fast detection) to a few hours, which gives roughly</w:t>
      </w:r>
      <w:r>
        <w:t xml:space="preserve"> </w:t>
      </w:r>
      <m:oMath>
        <m:sSup>
          <m:e>
            <m:r>
              <m:t>10</m:t>
            </m:r>
          </m:e>
          <m:sup>
            <m:r>
              <m:rPr>
                <m:sty m:val="p"/>
              </m:rPr>
              <m:t>−</m:t>
            </m:r>
            <m:r>
              <m:t>11</m:t>
            </m:r>
          </m:sup>
        </m:sSup>
      </m:oMath>
      <w:r>
        <w:t xml:space="preserve">–</w:t>
      </w:r>
      <m:oMath>
        <m:sSup>
          <m:e>
            <m:r>
              <m:t>10</m:t>
            </m:r>
          </m:e>
          <m:sup>
            <m:r>
              <m:rPr>
                <m:sty m:val="p"/>
              </m:rPr>
              <m:t>−</m:t>
            </m:r>
            <m:r>
              <m:t>10</m:t>
            </m:r>
          </m:sup>
        </m:sSup>
      </m:oMath>
      <w:r>
        <w:t xml:space="preserve">. Then I would state the caveat: the independent-failure model is optimistic, so I would place replicas in distinct failure domains, consider erasure coding across zones for cost, add end-to-end checksums and scrubbing for silent corruption, and keep backups against logical deletion.</w:t>
      </w:r>
    </w:p>
    <w:p>
      <w:pPr>
        <w:pStyle w:val="BodyText"/>
      </w:pPr>
      <w:r>
        <w:rPr>
          <w:bCs/>
          <w:b/>
        </w:rPr>
        <w:t xml:space="preserve">Q9. An LLM serving team reports 25% MFU and asks whether to raise batch size. How do you reason about it?</w:t>
      </w:r>
      <w:r>
        <w:t xml:space="preserve"> </w:t>
      </w:r>
      <w:r>
        <w:rPr>
          <w:bCs/>
          <w:b/>
        </w:rPr>
        <w:t xml:space="preserve">Answer.</w:t>
      </w:r>
      <w:r>
        <w:t xml:space="preserve"> </w:t>
      </w:r>
      <w:r>
        <w:t xml:space="preserve">Throughput scales with MFU, so raising utilization lowers cost per token. In the decode phase, each step is memory-bandwidth-bound (all weights are streamed per step), so larger batches amortize that fixed cost and raise throughput nearly linearly until compute or KV-cache memory becomes the limit. But per-request latency rises: batch formation time grows with</w:t>
      </w:r>
      <w:r>
        <w:t xml:space="preserve"> </w:t>
      </w:r>
      <m:oMath>
        <m:r>
          <m:t>B</m:t>
        </m:r>
        <m:r>
          <m:rPr>
            <m:sty m:val="p"/>
          </m:rPr>
          <m:t>/</m:t>
        </m:r>
        <m:r>
          <m:t>λ</m:t>
        </m:r>
      </m:oMath>
      <w:r>
        <w:t xml:space="preserve">, and step time grows once compute-bound. I would plot throughput and p99 time per output token against batch size, pick the largest batch that keeps p99 within the SLO, use dynamic batching with a maximum wait, and keep utilization below the knee of the queueing curve for bursty traffic.</w:t>
      </w:r>
    </w:p>
    <w:bookmarkEnd w:id="447"/>
    <w:bookmarkEnd w:id="448"/>
    <w:bookmarkStart w:id="449" w:name="practical-exercises-3"/>
    <w:p>
      <w:pPr>
        <w:pStyle w:val="Heading2"/>
      </w:pPr>
      <w:r>
        <w:t xml:space="preserve">4.22 Practical exercises</w:t>
      </w:r>
    </w:p>
    <w:p>
      <w:pPr>
        <w:numPr>
          <w:ilvl w:val="0"/>
          <w:numId w:val="1133"/>
        </w:numPr>
        <w:pStyle w:val="Compact"/>
      </w:pPr>
      <w:r>
        <w:rPr>
          <w:bCs/>
          <w:b/>
        </w:rPr>
        <w:t xml:space="preserve">Percentiles versus means.</w:t>
      </w:r>
      <w:r>
        <w:t xml:space="preserve"> </w:t>
      </w:r>
      <w:r>
        <w:t xml:space="preserve">Modify the §4.8.2 program to use</w:t>
      </w:r>
      <w:r>
        <w:t xml:space="preserve"> </w:t>
      </w:r>
      <m:oMath>
        <m:r>
          <m:t>σ</m:t>
        </m:r>
        <m:r>
          <m:rPr>
            <m:sty m:val="p"/>
          </m:rPr>
          <m:t>=</m:t>
        </m:r>
        <m:r>
          <m:t>0.5</m:t>
        </m:r>
      </m:oMath>
      <w:r>
        <w:t xml:space="preserve"> </w:t>
      </w:r>
      <w:r>
        <w:t xml:space="preserve">and</w:t>
      </w:r>
      <w:r>
        <w:t xml:space="preserve"> </w:t>
      </w:r>
      <m:oMath>
        <m:r>
          <m:t>σ</m:t>
        </m:r>
        <m:r>
          <m:rPr>
            <m:sty m:val="p"/>
          </m:rPr>
          <m:t>=</m:t>
        </m:r>
        <m:r>
          <m:t>1.5</m:t>
        </m:r>
      </m:oMath>
      <w:r>
        <w:t xml:space="preserve"> </w:t>
      </w:r>
      <w:r>
        <w:t xml:space="preserve">for the log-normal. Record mean, p50, p99 and p99.9 for each, and explain how the ratio p99/p50 changes. Check against</w:t>
      </w:r>
      <w:r>
        <w:t xml:space="preserve"> </w:t>
      </w:r>
      <m:oMath>
        <m:sSup>
          <m:e>
            <m:r>
              <m:t>e</m:t>
            </m:r>
          </m:e>
          <m:sup>
            <m:r>
              <m:t>2.326</m:t>
            </m:r>
            <m:r>
              <m:t>σ</m:t>
            </m:r>
          </m:sup>
        </m:sSup>
      </m:oMath>
      <w:r>
        <w:t xml:space="preserve">.</w:t>
      </w:r>
    </w:p>
    <w:p>
      <w:pPr>
        <w:numPr>
          <w:ilvl w:val="0"/>
          <w:numId w:val="1133"/>
        </w:numPr>
        <w:pStyle w:val="Compact"/>
      </w:pPr>
      <w:r>
        <w:rPr>
          <w:bCs/>
          <w:b/>
        </w:rPr>
        <w:t xml:space="preserve">Coordinated omission.</w:t>
      </w:r>
      <w:r>
        <w:t xml:space="preserve"> </w:t>
      </w:r>
      <w:r>
        <w:t xml:space="preserve">Write a load generator that sends a request, waits for the reply, then sends the next (closed loop), against a simulated server that pauses for 1 s every 10 s. Compare the p99 it records with that of an open-loop generator that sends at a fixed rate and measures latency from the</w:t>
      </w:r>
      <w:r>
        <w:t xml:space="preserve"> </w:t>
      </w:r>
      <w:r>
        <w:rPr>
          <w:iCs/>
          <w:i/>
        </w:rPr>
        <w:t xml:space="preserve">intended</w:t>
      </w:r>
      <w:r>
        <w:t xml:space="preserve"> </w:t>
      </w:r>
      <w:r>
        <w:t xml:space="preserve">send time.</w:t>
      </w:r>
    </w:p>
    <w:p>
      <w:pPr>
        <w:numPr>
          <w:ilvl w:val="0"/>
          <w:numId w:val="1133"/>
        </w:numPr>
        <w:pStyle w:val="Compact"/>
      </w:pPr>
      <w:r>
        <w:rPr>
          <w:bCs/>
          <w:b/>
        </w:rPr>
        <w:t xml:space="preserve">M/M/1 versus M/D/1.</w:t>
      </w:r>
      <w:r>
        <w:t xml:space="preserve"> </w:t>
      </w:r>
      <w:r>
        <w:t xml:space="preserve">Change</w:t>
      </w:r>
      <w:r>
        <w:t xml:space="preserve"> </w:t>
      </w:r>
      <w:r>
        <w:rPr>
          <w:rStyle w:val="VerbatimChar"/>
        </w:rPr>
        <w:t xml:space="preserve">simulate_mm1</w:t>
      </w:r>
      <w:r>
        <w:t xml:space="preserve"> </w:t>
      </w:r>
      <w:r>
        <w:t xml:space="preserve">so that service times are constant (always</w:t>
      </w:r>
      <w:r>
        <w:t xml:space="preserve"> </w:t>
      </w:r>
      <m:oMath>
        <m:r>
          <m:t>1</m:t>
        </m:r>
        <m:r>
          <m:rPr>
            <m:sty m:val="p"/>
          </m:rPr>
          <m:t>/</m:t>
        </m:r>
        <m:r>
          <m:t>μ</m:t>
        </m:r>
      </m:oMath>
      <w:r>
        <w:t xml:space="preserve">). Verify that mean waiting time in the queue halves, as the Pollaczek–Khinchine formula predicts.</w:t>
      </w:r>
    </w:p>
    <w:p>
      <w:pPr>
        <w:numPr>
          <w:ilvl w:val="0"/>
          <w:numId w:val="1133"/>
        </w:numPr>
        <w:pStyle w:val="Compact"/>
      </w:pPr>
      <w:r>
        <w:rPr>
          <w:bCs/>
          <w:b/>
        </w:rPr>
        <w:t xml:space="preserve">Pool sizing.</w:t>
      </w:r>
      <w:r>
        <w:t xml:space="preserve"> </w:t>
      </w:r>
      <w:r>
        <w:t xml:space="preserve">Using</w:t>
      </w:r>
      <w:r>
        <w:t xml:space="preserve"> </w:t>
      </w:r>
      <w:r>
        <w:rPr>
          <w:rStyle w:val="VerbatimChar"/>
        </w:rPr>
        <w:t xml:space="preserve">erlang_c</w:t>
      </w:r>
      <w:r>
        <w:t xml:space="preserve">, find the smallest thread pool for</w:t>
      </w:r>
      <w:r>
        <w:t xml:space="preserve"> </w:t>
      </w:r>
      <m:oMath>
        <m:r>
          <m:t>λ</m:t>
        </m:r>
        <m:r>
          <m:rPr>
            <m:sty m:val="p"/>
          </m:rPr>
          <m:t>=</m:t>
        </m:r>
        <m:r>
          <m:t>500</m:t>
        </m:r>
      </m:oMath>
      <w:r>
        <w:t xml:space="preserve"> </w:t>
      </w:r>
      <w:r>
        <w:t xml:space="preserve">RPS and mean hold time 40 ms such that fewer than 1% of requests wait for a thread. Then repeat for a hold time of 200 ms.</w:t>
      </w:r>
    </w:p>
    <w:p>
      <w:pPr>
        <w:numPr>
          <w:ilvl w:val="0"/>
          <w:numId w:val="1133"/>
        </w:numPr>
        <w:pStyle w:val="Compact"/>
      </w:pPr>
      <w:r>
        <w:rPr>
          <w:bCs/>
          <w:b/>
        </w:rPr>
        <w:t xml:space="preserve">Availability of your own system.</w:t>
      </w:r>
      <w:r>
        <w:t xml:space="preserve"> </w:t>
      </w:r>
      <w:r>
        <w:t xml:space="preserve">List every synchronous dependency on the critical path of a service you know, estimate each one’s availability, and compute the series availability with the calculator. Which single change raises it most?</w:t>
      </w:r>
    </w:p>
    <w:p>
      <w:pPr>
        <w:numPr>
          <w:ilvl w:val="0"/>
          <w:numId w:val="1133"/>
        </w:numPr>
        <w:pStyle w:val="Compact"/>
      </w:pPr>
      <w:r>
        <w:rPr>
          <w:bCs/>
          <w:b/>
        </w:rPr>
        <w:t xml:space="preserve">USL fitting.</w:t>
      </w:r>
      <w:r>
        <w:t xml:space="preserve"> </w:t>
      </w:r>
      <w:r>
        <w:t xml:space="preserve">Measure throughput of a local service (or a multithreaded program) at 1, 2, 4, 8, 16 and 32 threads. Fit</w:t>
      </w:r>
      <w:r>
        <w:t xml:space="preserve"> </w:t>
      </w:r>
      <m:oMath>
        <m:r>
          <m:t>α</m:t>
        </m:r>
      </m:oMath>
      <w:r>
        <w:t xml:space="preserve"> </w:t>
      </w:r>
      <w:r>
        <w:t xml:space="preserve">and</w:t>
      </w:r>
      <w:r>
        <w:t xml:space="preserve"> </w:t>
      </w:r>
      <m:oMath>
        <m:r>
          <m:t>β</m:t>
        </m:r>
      </m:oMath>
      <w:r>
        <w:t xml:space="preserve"> </w:t>
      </w:r>
      <w:r>
        <w:t xml:space="preserve">by minimizing squared error over a grid, and predict</w:t>
      </w:r>
      <w:r>
        <w:t xml:space="preserve"> </w:t>
      </w:r>
      <m:oMath>
        <m:sSup>
          <m:e>
            <m:r>
              <m:t>N</m:t>
            </m:r>
          </m:e>
          <m:sup>
            <m:r>
              <m:rPr>
                <m:sty m:val="p"/>
              </m:rPr>
              <m:t>*</m:t>
            </m:r>
          </m:sup>
        </m:sSup>
      </m:oMath>
      <w:r>
        <w:t xml:space="preserve">.</w:t>
      </w:r>
    </w:p>
    <w:bookmarkEnd w:id="449"/>
    <w:bookmarkStart w:id="450" w:name="design-challenges-3"/>
    <w:p>
      <w:pPr>
        <w:pStyle w:val="Heading2"/>
      </w:pPr>
      <w:r>
        <w:t xml:space="preserve">4.23 Design challenges</w:t>
      </w:r>
    </w:p>
    <w:p>
      <w:pPr>
        <w:numPr>
          <w:ilvl w:val="0"/>
          <w:numId w:val="1134"/>
        </w:numPr>
        <w:pStyle w:val="Compact"/>
      </w:pPr>
      <w:r>
        <w:rPr>
          <w:bCs/>
          <w:b/>
        </w:rPr>
        <w:t xml:space="preserve">Fan-out search tier.</w:t>
      </w:r>
      <w:r>
        <w:t xml:space="preserve"> </w:t>
      </w:r>
      <w:r>
        <w:t xml:space="preserve">You must build a search tier over 2 billion documents with a root p99 of 150 ms. Each leaf can hold 20 million documents and has a p50 of 15 ms and a p99 of 60 ms. Determine the number of leaves, the probability that a root request waits on at least one leaf slower than 60 ms, and a design (replication, hedging, deadlines, partial results) that meets the SLO. Show the arithmetic for every step.</w:t>
      </w:r>
    </w:p>
    <w:p>
      <w:pPr>
        <w:numPr>
          <w:ilvl w:val="0"/>
          <w:numId w:val="1134"/>
        </w:numPr>
        <w:pStyle w:val="Compact"/>
      </w:pPr>
      <w:r>
        <w:rPr>
          <w:bCs/>
          <w:b/>
        </w:rPr>
        <w:t xml:space="preserve">Four-nines checkout.</w:t>
      </w:r>
      <w:r>
        <w:t xml:space="preserve"> </w:t>
      </w:r>
      <w:r>
        <w:t xml:space="preserve">A checkout path calls an API gateway, an order service, a payment service and a database. The payment provider offers 99.95%. Can the path meet 99.99%? If not, what architectural changes (asynchronous capture, retries with idempotency keys, a second provider in parallel) change the arithmetic, and what new failure modes do they introduce?</w:t>
      </w:r>
    </w:p>
    <w:p>
      <w:pPr>
        <w:numPr>
          <w:ilvl w:val="0"/>
          <w:numId w:val="1134"/>
        </w:numPr>
        <w:pStyle w:val="Compact"/>
      </w:pPr>
      <w:r>
        <w:rPr>
          <w:bCs/>
          <w:b/>
        </w:rPr>
        <w:t xml:space="preserve">Durable object store on a budget.</w:t>
      </w:r>
      <w:r>
        <w:t xml:space="preserve"> </w:t>
      </w:r>
      <w:r>
        <w:t xml:space="preserve">Design the redundancy scheme for 10 PB of user data with a target of</w:t>
      </w:r>
      <w:r>
        <w:t xml:space="preserve"> </w:t>
      </w:r>
      <m:oMath>
        <m:sSup>
          <m:e>
            <m:r>
              <m:t>10</m:t>
            </m:r>
          </m:e>
          <m:sup>
            <m:r>
              <m:rPr>
                <m:sty m:val="p"/>
              </m:rPr>
              <m:t>−</m:t>
            </m:r>
            <m:r>
              <m:t>11</m:t>
            </m:r>
          </m:sup>
        </m:sSup>
      </m:oMath>
      <w:r>
        <w:t xml:space="preserve"> </w:t>
      </w:r>
      <w:r>
        <w:t xml:space="preserve">annual loss probability per object, using drives with an assumed 2–4% AFR and a 10 Gbps network per node. Compute repair times, compare three-way replication with an erasure code of your choice (see §15.6 for the arithmetic), and identify which correlated failures your model ignores.</w:t>
      </w:r>
    </w:p>
    <w:bookmarkEnd w:id="450"/>
    <w:bookmarkStart w:id="451" w:name="references-3"/>
    <w:p>
      <w:pPr>
        <w:pStyle w:val="Heading2"/>
      </w:pPr>
      <w:r>
        <w:t xml:space="preserve">4.24 References</w:t>
      </w:r>
    </w:p>
    <w:p>
      <w:pPr>
        <w:numPr>
          <w:ilvl w:val="0"/>
          <w:numId w:val="1135"/>
        </w:numPr>
        <w:pStyle w:val="Compact"/>
      </w:pPr>
      <w:r>
        <w:t xml:space="preserve">Amdahl, G. M.</w:t>
      </w:r>
      <w:r>
        <w:t xml:space="preserve"> </w:t>
      </w:r>
      <w:r>
        <w:t xml:space="preserve">“</w:t>
      </w:r>
      <w:r>
        <w:t xml:space="preserve">Validity of the Single Processor Approach to Achieving Large Scale Computing Capabilities.</w:t>
      </w:r>
      <w:r>
        <w:t xml:space="preserve">”</w:t>
      </w:r>
      <w:r>
        <w:t xml:space="preserve"> </w:t>
      </w:r>
      <w:r>
        <w:rPr>
          <w:iCs/>
          <w:i/>
        </w:rPr>
        <w:t xml:space="preserve">AFIPS Spring Joint Computer Conference Proceedings</w:t>
      </w:r>
      <w:r>
        <w:t xml:space="preserve">, vol. 30, pp. 483–485, 1967.</w:t>
      </w:r>
    </w:p>
    <w:p>
      <w:pPr>
        <w:numPr>
          <w:ilvl w:val="0"/>
          <w:numId w:val="1135"/>
        </w:numPr>
        <w:pStyle w:val="Compact"/>
      </w:pPr>
      <w:r>
        <w:t xml:space="preserve">Amazon Web Services.</w:t>
      </w:r>
      <w:r>
        <w:t xml:space="preserve"> </w:t>
      </w:r>
      <w:r>
        <w:rPr>
          <w:iCs/>
          <w:i/>
        </w:rPr>
        <w:t xml:space="preserve">Amazon S3 User Guide — Data protection in Amazon S3</w:t>
      </w:r>
      <w:r>
        <w:t xml:space="preserve">. AWS documentation, accessed 2026.</w:t>
      </w:r>
    </w:p>
    <w:p>
      <w:pPr>
        <w:numPr>
          <w:ilvl w:val="0"/>
          <w:numId w:val="1135"/>
        </w:numPr>
        <w:pStyle w:val="Compact"/>
      </w:pPr>
      <w:r>
        <w:t xml:space="preserve">Bayer, R., McCreight, E.</w:t>
      </w:r>
      <w:r>
        <w:t xml:space="preserve"> </w:t>
      </w:r>
      <w:r>
        <w:t xml:space="preserve">“</w:t>
      </w:r>
      <w:r>
        <w:t xml:space="preserve">Organization and Maintenance of Large Ordered Indices.</w:t>
      </w:r>
      <w:r>
        <w:t xml:space="preserve">”</w:t>
      </w:r>
      <w:r>
        <w:t xml:space="preserve"> </w:t>
      </w:r>
      <w:r>
        <w:rPr>
          <w:iCs/>
          <w:i/>
        </w:rPr>
        <w:t xml:space="preserve">Acta Informatica</w:t>
      </w:r>
      <w:r>
        <w:t xml:space="preserve"> </w:t>
      </w:r>
      <w:r>
        <w:t xml:space="preserve">1(3):173–189, 1972.</w:t>
      </w:r>
    </w:p>
    <w:p>
      <w:pPr>
        <w:numPr>
          <w:ilvl w:val="0"/>
          <w:numId w:val="1135"/>
        </w:numPr>
        <w:pStyle w:val="Compact"/>
      </w:pPr>
      <w:r>
        <w:t xml:space="preserve">Beyer, B., Jones, C., Petoff, J., Murphy, N. R. (eds.).</w:t>
      </w:r>
      <w:r>
        <w:t xml:space="preserve"> </w:t>
      </w:r>
      <w:r>
        <w:rPr>
          <w:iCs/>
          <w:i/>
        </w:rPr>
        <w:t xml:space="preserve">Site Reliability Engineering: How Google Runs Production Systems</w:t>
      </w:r>
      <w:r>
        <w:t xml:space="preserve">. O’Reilly Media, 2016. https://sre.google/sre-book/table-of-contents/</w:t>
      </w:r>
    </w:p>
    <w:p>
      <w:pPr>
        <w:numPr>
          <w:ilvl w:val="0"/>
          <w:numId w:val="1135"/>
        </w:numPr>
        <w:pStyle w:val="Compact"/>
      </w:pPr>
      <w:r>
        <w:t xml:space="preserve">Cidon, A., Rumble, S., Stutsman, R., Katti, S., Ousterhout, J., Rosenblum, M.</w:t>
      </w:r>
      <w:r>
        <w:t xml:space="preserve"> </w:t>
      </w:r>
      <w:r>
        <w:t xml:space="preserve">“</w:t>
      </w:r>
      <w:r>
        <w:t xml:space="preserve">Copysets: Reducing the Frequency of Data Loss in Cloud Storage.</w:t>
      </w:r>
      <w:r>
        <w:t xml:space="preserve">”</w:t>
      </w:r>
      <w:r>
        <w:t xml:space="preserve"> </w:t>
      </w:r>
      <w:r>
        <w:rPr>
          <w:iCs/>
          <w:i/>
        </w:rPr>
        <w:t xml:space="preserve">USENIX Annual Technical Conference (ATC)</w:t>
      </w:r>
      <w:r>
        <w:t xml:space="preserve">, 2013.</w:t>
      </w:r>
    </w:p>
    <w:p>
      <w:pPr>
        <w:numPr>
          <w:ilvl w:val="0"/>
          <w:numId w:val="1135"/>
        </w:numPr>
        <w:pStyle w:val="Compact"/>
      </w:pPr>
      <w:r>
        <w:t xml:space="preserve">Dean, J.</w:t>
      </w:r>
      <w:r>
        <w:t xml:space="preserve"> </w:t>
      </w:r>
      <w:r>
        <w:t xml:space="preserve">“</w:t>
      </w:r>
      <w:r>
        <w:t xml:space="preserve">Designs, Lessons and Advice from Building Large Distributed Systems.</w:t>
      </w:r>
      <w:r>
        <w:t xml:space="preserve">”</w:t>
      </w:r>
      <w:r>
        <w:t xml:space="preserve"> </w:t>
      </w:r>
      <w:r>
        <w:t xml:space="preserve">Keynote,</w:t>
      </w:r>
      <w:r>
        <w:t xml:space="preserve"> </w:t>
      </w:r>
      <w:r>
        <w:rPr>
          <w:iCs/>
          <w:i/>
        </w:rPr>
        <w:t xml:space="preserve">LADIS Workshop</w:t>
      </w:r>
      <w:r>
        <w:t xml:space="preserve">, 2009.</w:t>
      </w:r>
    </w:p>
    <w:p>
      <w:pPr>
        <w:numPr>
          <w:ilvl w:val="0"/>
          <w:numId w:val="1135"/>
        </w:numPr>
        <w:pStyle w:val="Compact"/>
      </w:pPr>
      <w:r>
        <w:t xml:space="preserve">Dean, J., Barroso, L. A.</w:t>
      </w:r>
      <w:r>
        <w:t xml:space="preserve"> </w:t>
      </w:r>
      <w:r>
        <w:t xml:space="preserve">“</w:t>
      </w:r>
      <w:r>
        <w:t xml:space="preserve">The Tail at Scale.</w:t>
      </w:r>
      <w:r>
        <w:t xml:space="preserve">”</w:t>
      </w:r>
      <w:r>
        <w:t xml:space="preserve"> </w:t>
      </w:r>
      <w:r>
        <w:rPr>
          <w:iCs/>
          <w:i/>
        </w:rPr>
        <w:t xml:space="preserve">Communications of the ACM</w:t>
      </w:r>
      <w:r>
        <w:t xml:space="preserve"> </w:t>
      </w:r>
      <w:r>
        <w:t xml:space="preserve">56(2):74–80, 2013.</w:t>
      </w:r>
    </w:p>
    <w:p>
      <w:pPr>
        <w:numPr>
          <w:ilvl w:val="0"/>
          <w:numId w:val="1135"/>
        </w:numPr>
        <w:pStyle w:val="Compact"/>
      </w:pPr>
      <w:r>
        <w:t xml:space="preserve">Ford, D., Labelle, F., Popovici, F. I., Stokely, M., Truong, V.-A., Barroso, L., Grimes, C., Quinlan, S.</w:t>
      </w:r>
      <w:r>
        <w:t xml:space="preserve"> </w:t>
      </w:r>
      <w:r>
        <w:t xml:space="preserve">“</w:t>
      </w:r>
      <w:r>
        <w:t xml:space="preserve">Availability in Globally Distributed Storage Systems.</w:t>
      </w:r>
      <w:r>
        <w:t xml:space="preserve">”</w:t>
      </w:r>
      <w:r>
        <w:t xml:space="preserve"> </w:t>
      </w:r>
      <w:r>
        <w:rPr>
          <w:iCs/>
          <w:i/>
        </w:rPr>
        <w:t xml:space="preserve">USENIX Symposium on Operating Systems Design and Implementation (OSDI)</w:t>
      </w:r>
      <w:r>
        <w:t xml:space="preserve">, 2010.</w:t>
      </w:r>
    </w:p>
    <w:p>
      <w:pPr>
        <w:numPr>
          <w:ilvl w:val="0"/>
          <w:numId w:val="1135"/>
        </w:numPr>
        <w:pStyle w:val="Compact"/>
      </w:pPr>
      <w:r>
        <w:t xml:space="preserve">Gunther, N. J.</w:t>
      </w:r>
      <w:r>
        <w:t xml:space="preserve"> </w:t>
      </w:r>
      <w:r>
        <w:rPr>
          <w:iCs/>
          <w:i/>
        </w:rPr>
        <w:t xml:space="preserve">Guerrilla Capacity Planning: A Tactical Approach to Planning for Highly Scalable Applications and Services</w:t>
      </w:r>
      <w:r>
        <w:t xml:space="preserve">. Springer, 2007.</w:t>
      </w:r>
    </w:p>
    <w:p>
      <w:pPr>
        <w:numPr>
          <w:ilvl w:val="0"/>
          <w:numId w:val="1135"/>
        </w:numPr>
        <w:pStyle w:val="Compact"/>
      </w:pPr>
      <w:r>
        <w:t xml:space="preserve">Gustafson, J. L.</w:t>
      </w:r>
      <w:r>
        <w:t xml:space="preserve"> </w:t>
      </w:r>
      <w:r>
        <w:t xml:space="preserve">“</w:t>
      </w:r>
      <w:r>
        <w:t xml:space="preserve">Reevaluating Amdahl’s Law.</w:t>
      </w:r>
      <w:r>
        <w:t xml:space="preserve">”</w:t>
      </w:r>
      <w:r>
        <w:t xml:space="preserve"> </w:t>
      </w:r>
      <w:r>
        <w:rPr>
          <w:iCs/>
          <w:i/>
        </w:rPr>
        <w:t xml:space="preserve">Communications of the ACM</w:t>
      </w:r>
      <w:r>
        <w:t xml:space="preserve"> </w:t>
      </w:r>
      <w:r>
        <w:t xml:space="preserve">31(5):532–533, 1988.</w:t>
      </w:r>
    </w:p>
    <w:p>
      <w:pPr>
        <w:numPr>
          <w:ilvl w:val="0"/>
          <w:numId w:val="1135"/>
        </w:numPr>
        <w:pStyle w:val="Compact"/>
      </w:pPr>
      <w:r>
        <w:t xml:space="preserve">Harchol-Balter, M.</w:t>
      </w:r>
      <w:r>
        <w:t xml:space="preserve"> </w:t>
      </w:r>
      <w:r>
        <w:rPr>
          <w:iCs/>
          <w:i/>
        </w:rPr>
        <w:t xml:space="preserve">Performance Modeling and Design of Computer Systems: Queueing Theory in Action</w:t>
      </w:r>
      <w:r>
        <w:t xml:space="preserve">. Cambridge University Press, 2013.</w:t>
      </w:r>
    </w:p>
    <w:p>
      <w:pPr>
        <w:numPr>
          <w:ilvl w:val="0"/>
          <w:numId w:val="1135"/>
        </w:numPr>
        <w:pStyle w:val="Compact"/>
      </w:pPr>
      <w:r>
        <w:t xml:space="preserve">International Electrotechnical Commission.</w:t>
      </w:r>
      <w:r>
        <w:t xml:space="preserve"> </w:t>
      </w:r>
      <w:r>
        <w:rPr>
          <w:iCs/>
          <w:i/>
        </w:rPr>
        <w:t xml:space="preserve">IEC 80000-13: Quantities and units — Part 13: Information science and technology</w:t>
      </w:r>
      <w:r>
        <w:t xml:space="preserve">. IEC, 2008.</w:t>
      </w:r>
    </w:p>
    <w:p>
      <w:pPr>
        <w:numPr>
          <w:ilvl w:val="0"/>
          <w:numId w:val="1135"/>
        </w:numPr>
        <w:pStyle w:val="Compact"/>
      </w:pPr>
      <w:r>
        <w:t xml:space="preserve">Kaplan, J., McCandlish, S., Henighan, T., Brown, T. B., Chess, B., Child, R., Gray, S., Radford, A., Wu, J., Amodei, D.</w:t>
      </w:r>
      <w:r>
        <w:t xml:space="preserve"> </w:t>
      </w:r>
      <w:r>
        <w:t xml:space="preserve">“</w:t>
      </w:r>
      <w:r>
        <w:t xml:space="preserve">Scaling Laws for Neural Language Models.</w:t>
      </w:r>
      <w:r>
        <w:t xml:space="preserve">”</w:t>
      </w:r>
      <w:r>
        <w:t xml:space="preserve"> </w:t>
      </w:r>
      <w:r>
        <w:t xml:space="preserve">arXiv:2001.08361, 2020. https://arxiv.org/abs/2001.08361</w:t>
      </w:r>
    </w:p>
    <w:p>
      <w:pPr>
        <w:numPr>
          <w:ilvl w:val="0"/>
          <w:numId w:val="1135"/>
        </w:numPr>
        <w:pStyle w:val="Compact"/>
      </w:pPr>
      <w:r>
        <w:t xml:space="preserve">Kleinrock, L.</w:t>
      </w:r>
      <w:r>
        <w:t xml:space="preserve"> </w:t>
      </w:r>
      <w:r>
        <w:rPr>
          <w:iCs/>
          <w:i/>
        </w:rPr>
        <w:t xml:space="preserve">Queueing Systems, Volume 1: Theory</w:t>
      </w:r>
      <w:r>
        <w:t xml:space="preserve">. Wiley, 1975.</w:t>
      </w:r>
    </w:p>
    <w:p>
      <w:pPr>
        <w:numPr>
          <w:ilvl w:val="0"/>
          <w:numId w:val="1135"/>
        </w:numPr>
        <w:pStyle w:val="Compact"/>
      </w:pPr>
      <w:r>
        <w:t xml:space="preserve">Little, J. D. C.</w:t>
      </w:r>
      <w:r>
        <w:t xml:space="preserve"> </w:t>
      </w:r>
      <w:r>
        <w:t xml:space="preserve">“</w:t>
      </w:r>
      <w:r>
        <w:t xml:space="preserve">A Proof for the Queuing Formula: L = λW.</w:t>
      </w:r>
      <w:r>
        <w:t xml:space="preserve">”</w:t>
      </w:r>
      <w:r>
        <w:t xml:space="preserve"> </w:t>
      </w:r>
      <w:r>
        <w:rPr>
          <w:iCs/>
          <w:i/>
        </w:rPr>
        <w:t xml:space="preserve">Operations Research</w:t>
      </w:r>
      <w:r>
        <w:t xml:space="preserve"> </w:t>
      </w:r>
      <w:r>
        <w:t xml:space="preserve">9(3):383–387, 1961.</w:t>
      </w:r>
    </w:p>
    <w:p>
      <w:pPr>
        <w:numPr>
          <w:ilvl w:val="0"/>
          <w:numId w:val="1135"/>
        </w:numPr>
        <w:pStyle w:val="Compact"/>
      </w:pPr>
      <w:r>
        <w:t xml:space="preserve">Norvig, P.</w:t>
      </w:r>
      <w:r>
        <w:t xml:space="preserve"> </w:t>
      </w:r>
      <w:r>
        <w:t xml:space="preserve">“</w:t>
      </w:r>
      <w:r>
        <w:t xml:space="preserve">Teach Yourself Programming in Ten Years.</w:t>
      </w:r>
      <w:r>
        <w:t xml:space="preserve">”</w:t>
      </w:r>
      <w:r>
        <w:t xml:space="preserve"> </w:t>
      </w:r>
      <w:r>
        <w:t xml:space="preserve">Essay with table of approximate timings. https://norvig.com/21-days.html</w:t>
      </w:r>
    </w:p>
    <w:p>
      <w:pPr>
        <w:numPr>
          <w:ilvl w:val="0"/>
          <w:numId w:val="1135"/>
        </w:numPr>
        <w:pStyle w:val="Compact"/>
      </w:pPr>
      <w:r>
        <w:t xml:space="preserve">Schroeder, B., Gibson, G. A.</w:t>
      </w:r>
      <w:r>
        <w:t xml:space="preserve"> </w:t>
      </w:r>
      <w:r>
        <w:t xml:space="preserve">“</w:t>
      </w:r>
      <w:r>
        <w:t xml:space="preserve">Disk Failures in the Real World: What Does an MTTF of 1,000,000 Hours Mean to You?</w:t>
      </w:r>
      <w:r>
        <w:t xml:space="preserve">”</w:t>
      </w:r>
      <w:r>
        <w:t xml:space="preserve"> </w:t>
      </w:r>
      <w:r>
        <w:rPr>
          <w:iCs/>
          <w:i/>
        </w:rPr>
        <w:t xml:space="preserve">USENIX Conference on File and Storage Technologies (FAST)</w:t>
      </w:r>
      <w:r>
        <w:t xml:space="preserve">, 2007.</w:t>
      </w:r>
    </w:p>
    <w:p>
      <w:pPr>
        <w:numPr>
          <w:ilvl w:val="0"/>
          <w:numId w:val="1135"/>
        </w:numPr>
        <w:pStyle w:val="Compact"/>
      </w:pPr>
      <w:r>
        <w:t xml:space="preserve">Scott, C.</w:t>
      </w:r>
      <w:r>
        <w:t xml:space="preserve"> </w:t>
      </w:r>
      <w:r>
        <w:t xml:space="preserve">“</w:t>
      </w:r>
      <w:r>
        <w:t xml:space="preserve">Latency Numbers Every Programmer Should Know</w:t>
      </w:r>
      <w:r>
        <w:t xml:space="preserve">”</w:t>
      </w:r>
      <w:r>
        <w:t xml:space="preserve"> </w:t>
      </w:r>
      <w:r>
        <w:t xml:space="preserve">(interactive, extrapolated by year). https://colin-scott.github.io/personal_website/research/interactive_latency.html</w:t>
      </w:r>
    </w:p>
    <w:p>
      <w:pPr>
        <w:numPr>
          <w:ilvl w:val="0"/>
          <w:numId w:val="1135"/>
        </w:numPr>
        <w:pStyle w:val="Compact"/>
      </w:pPr>
      <w:r>
        <w:t xml:space="preserve">Tene, G.</w:t>
      </w:r>
      <w:r>
        <w:t xml:space="preserve"> </w:t>
      </w:r>
      <w:r>
        <w:rPr>
          <w:iCs/>
          <w:i/>
        </w:rPr>
        <w:t xml:space="preserve">HdrHistogram: A High Dynamic Range Histogram</w:t>
      </w:r>
      <w:r>
        <w:t xml:space="preserve">. http://hdrhistogram.org/</w:t>
      </w:r>
    </w:p>
    <w:bookmarkEnd w:id="451"/>
    <w:bookmarkStart w:id="452" w:name="open-verification-items-3"/>
    <w:p>
      <w:pPr>
        <w:pStyle w:val="Heading2"/>
      </w:pPr>
      <w:r>
        <w:t xml:space="preserve">4.25 Open verification items</w:t>
      </w:r>
    </w:p>
    <w:p>
      <w:pPr>
        <w:numPr>
          <w:ilvl w:val="0"/>
          <w:numId w:val="1136"/>
        </w:numPr>
        <w:pStyle w:val="Compact"/>
      </w:pPr>
      <w:r>
        <w:t xml:space="preserve">Dean and Barroso (2013) hedged-request benchmark figures (p99.9 from 1,800 ms to 74 ms with ~2% extra requests, 1,000 keys over 100 BigTable servers): confirm exact numbers and wording against the CACM article.</w:t>
      </w:r>
    </w:p>
    <w:p>
      <w:pPr>
        <w:numPr>
          <w:ilvl w:val="0"/>
          <w:numId w:val="1136"/>
        </w:numPr>
        <w:pStyle w:val="Compact"/>
      </w:pPr>
      <w:r>
        <w:t xml:space="preserve">Schroeder and Gibson (2007) field replacement rates (</w:t>
      </w:r>
      <w:r>
        <w:t xml:space="preserve">“</w:t>
      </w:r>
      <w:r>
        <w:t xml:space="preserve">typically exceeding 1%, 2–4% common</w:t>
      </w:r>
      <w:r>
        <w:t xml:space="preserve">”</w:t>
      </w:r>
      <w:r>
        <w:t xml:space="preserve">): confirm against the paper’s abstract.</w:t>
      </w:r>
    </w:p>
    <w:p>
      <w:pPr>
        <w:numPr>
          <w:ilvl w:val="0"/>
          <w:numId w:val="1136"/>
        </w:numPr>
        <w:pStyle w:val="Compact"/>
      </w:pPr>
      <w:r>
        <w:t xml:space="preserve">Table 4.9</w:t>
      </w:r>
      <w:r>
        <w:t xml:space="preserve"> </w:t>
      </w:r>
      <w:r>
        <w:t xml:space="preserve">“</w:t>
      </w:r>
      <w:r>
        <w:t xml:space="preserve">classic</w:t>
      </w:r>
      <w:r>
        <w:t xml:space="preserve">”</w:t>
      </w:r>
      <w:r>
        <w:t xml:space="preserve"> </w:t>
      </w:r>
      <w:r>
        <w:t xml:space="preserve">column: the circulated versions differ (e.g., 1 KB vs 2 KB network send; 20 ms vs 30 ms for 1 MB sequential disk read; SSD rows were added later than Dean’s 2009 talk). Verify each value against Dean’s LADIS 2009 slides and Norvig’s essay, and attribute row by row.</w:t>
      </w:r>
    </w:p>
    <w:p>
      <w:pPr>
        <w:numPr>
          <w:ilvl w:val="0"/>
          <w:numId w:val="1136"/>
        </w:numPr>
        <w:pStyle w:val="Compact"/>
      </w:pPr>
      <w:r>
        <w:t xml:space="preserve">Table 4.9</w:t>
      </w:r>
      <w:r>
        <w:t xml:space="preserve"> </w:t>
      </w:r>
      <w:r>
        <w:t xml:space="preserve">“</w:t>
      </w:r>
      <w:r>
        <w:t xml:space="preserve">as of 2025</w:t>
      </w:r>
      <w:r>
        <w:t xml:space="preserve">”</w:t>
      </w:r>
      <w:r>
        <w:t xml:space="preserve"> </w:t>
      </w:r>
      <w:r>
        <w:t xml:space="preserve">column is the author’s order-of-magnitude estimate; validate against current vendor specifications or measurements before publication.</w:t>
      </w:r>
    </w:p>
    <w:p>
      <w:pPr>
        <w:numPr>
          <w:ilvl w:val="0"/>
          <w:numId w:val="1136"/>
        </w:numPr>
        <w:pStyle w:val="Compact"/>
      </w:pPr>
      <w:r>
        <w:t xml:space="preserve">AWS S3 durability statement: confirm current wording and add the documentation URL.</w:t>
      </w:r>
    </w:p>
    <w:p>
      <w:pPr>
        <w:numPr>
          <w:ilvl w:val="0"/>
          <w:numId w:val="1136"/>
        </w:numPr>
        <w:pStyle w:val="Compact"/>
      </w:pPr>
      <w:r>
        <w:t xml:space="preserve">Gunther’s notation (</w:t>
      </w:r>
      <m:oMath>
        <m:r>
          <m:t>σ</m:t>
        </m:r>
      </m:oMath>
      <w:r>
        <w:t xml:space="preserve">,</w:t>
      </w:r>
      <w:r>
        <w:t xml:space="preserve"> </w:t>
      </w:r>
      <m:oMath>
        <m:r>
          <m:t>κ</m:t>
        </m:r>
      </m:oMath>
      <w:r>
        <w:t xml:space="preserve"> </w:t>
      </w:r>
      <w:r>
        <w:t xml:space="preserve">in later work vs</w:t>
      </w:r>
      <w:r>
        <w:t xml:space="preserve"> </w:t>
      </w:r>
      <m:oMath>
        <m:r>
          <m:t>α</m:t>
        </m:r>
      </m:oMath>
      <w:r>
        <w:t xml:space="preserve">,</w:t>
      </w:r>
      <w:r>
        <w:t xml:space="preserve"> </w:t>
      </w:r>
      <m:oMath>
        <m:r>
          <m:t>β</m:t>
        </m:r>
      </m:oMath>
      <w:r>
        <w:t xml:space="preserve"> </w:t>
      </w:r>
      <w:r>
        <w:t xml:space="preserve">in</w:t>
      </w:r>
      <w:r>
        <w:t xml:space="preserve"> </w:t>
      </w:r>
      <w:r>
        <w:rPr>
          <w:iCs/>
          <w:i/>
        </w:rPr>
        <w:t xml:space="preserve">Guerrilla Capacity Planning</w:t>
      </w:r>
      <w:r>
        <w:t xml:space="preserve">): confirm which notation the 2007 book uses.</w:t>
      </w:r>
    </w:p>
    <w:p>
      <w:pPr>
        <w:numPr>
          <w:ilvl w:val="0"/>
          <w:numId w:val="1136"/>
        </w:numPr>
        <w:pStyle w:val="Compact"/>
      </w:pPr>
      <w:r>
        <w:t xml:space="preserve">IEC 80000-13: confirm the current edition year.</w:t>
      </w:r>
    </w:p>
    <w:p>
      <w:pPr>
        <w:numPr>
          <w:ilvl w:val="0"/>
          <w:numId w:val="1136"/>
        </w:numPr>
        <w:pStyle w:val="Compact"/>
      </w:pPr>
      <w:r>
        <w:t xml:space="preserve">Copy runnable programs to</w:t>
      </w:r>
      <w:r>
        <w:t xml:space="preserve"> </w:t>
      </w:r>
      <w:r>
        <w:rPr>
          <w:rStyle w:val="VerbatimChar"/>
        </w:rPr>
        <w:t xml:space="preserve">code/ch04/</w:t>
      </w:r>
      <w:r>
        <w:t xml:space="preserve"> </w:t>
      </w:r>
      <w:r>
        <w:t xml:space="preserve">per style guide §8 (not done by this author; out of scope for this file).</w:t>
      </w:r>
    </w:p>
    <w:bookmarkEnd w:id="452"/>
    <w:bookmarkEnd w:id="453"/>
    <w:bookmarkStart w:id="454" w:name="part-ii-computer-science-foundations"/>
    <w:p>
      <w:pPr>
        <w:pStyle w:val="Heading1"/>
      </w:pPr>
      <w:r>
        <w:t xml:space="preserve">Part II — Computer Science Foundations</w:t>
      </w:r>
    </w:p>
    <w:bookmarkEnd w:id="454"/>
    <w:bookmarkStart w:id="561" w:name="chapter-5-computer-architecture"/>
    <w:p>
      <w:pPr>
        <w:pStyle w:val="Heading1"/>
      </w:pPr>
      <w:r>
        <w:t xml:space="preserve">Chapter 5 — Computer Architecture</w:t>
      </w:r>
    </w:p>
    <w:p>
      <w:pPr>
        <w:pStyle w:val="BlockText"/>
      </w:pPr>
      <w:r>
        <w:rPr>
          <w:bCs/>
          <w:b/>
        </w:rPr>
        <w:t xml:space="preserve">Level:</w:t>
      </w:r>
      <w:r>
        <w:t xml:space="preserve"> </w:t>
      </w:r>
      <w:r>
        <w:t xml:space="preserve">1 ·</w:t>
      </w:r>
      <w:r>
        <w:t xml:space="preserve"> </w:t>
      </w:r>
      <w:r>
        <w:rPr>
          <w:bCs/>
          <w:b/>
        </w:rPr>
        <w:t xml:space="preserve">Track:</w:t>
      </w:r>
      <w:r>
        <w:t xml:space="preserve"> </w:t>
      </w:r>
      <w:r>
        <w:t xml:space="preserve">Shared ·</w:t>
      </w:r>
      <w:r>
        <w:t xml:space="preserve"> </w:t>
      </w:r>
      <w:r>
        <w:rPr>
          <w:bCs/>
          <w:b/>
        </w:rPr>
        <w:t xml:space="preserve">Estimated reading time:</w:t>
      </w:r>
      <w:r>
        <w:t xml:space="preserve"> </w:t>
      </w:r>
      <w:r>
        <w:t xml:space="preserve">3 h</w:t>
      </w:r>
    </w:p>
    <w:p>
      <w:pPr>
        <w:pStyle w:val="FirstParagraph"/>
      </w:pPr>
      <w:r>
        <w:t xml:space="preserve">Every distributed system, however large, is built out of single machines. When a database is</w:t>
      </w:r>
      <w:r>
        <w:t xml:space="preserve"> </w:t>
      </w:r>
      <w:r>
        <w:t xml:space="preserve">“</w:t>
      </w:r>
      <w:r>
        <w:t xml:space="preserve">slow</w:t>
      </w:r>
      <w:r>
        <w:t xml:space="preserve">”</w:t>
      </w:r>
      <w:r>
        <w:t xml:space="preserve">, a queue</w:t>
      </w:r>
      <w:r>
        <w:t xml:space="preserve"> </w:t>
      </w:r>
      <w:r>
        <w:t xml:space="preserve">“</w:t>
      </w:r>
      <w:r>
        <w:t xml:space="preserve">backs up</w:t>
      </w:r>
      <w:r>
        <w:t xml:space="preserve">”</w:t>
      </w:r>
      <w:r>
        <w:t xml:space="preserve"> </w:t>
      </w:r>
      <w:r>
        <w:t xml:space="preserve">or a service</w:t>
      </w:r>
      <w:r>
        <w:t xml:space="preserve"> </w:t>
      </w:r>
      <w:r>
        <w:t xml:space="preserve">“</w:t>
      </w:r>
      <w:r>
        <w:t xml:space="preserve">needs more threads</w:t>
      </w:r>
      <w:r>
        <w:t xml:space="preserve">”</w:t>
      </w:r>
      <w:r>
        <w:t xml:space="preserve">, the real cause almost always comes down to one of a small number of physical facts: it takes about 100 ns to fetch a value from main memory, a spinning disk can perform only about 100 random reads per second, a network card can only move so many bytes per second, and a CPU core can do useful work only when its data is close at hand. This chapter teaches those facts from the ground up. You need no prior knowledge of hardware. By the end you will be able to explain</w:t>
      </w:r>
      <w:r>
        <w:t xml:space="preserve"> </w:t>
      </w:r>
      <w:r>
        <w:rPr>
          <w:iCs/>
          <w:i/>
        </w:rPr>
        <w:t xml:space="preserve">why</w:t>
      </w:r>
      <w:r>
        <w:t xml:space="preserve"> </w:t>
      </w:r>
      <w:r>
        <w:t xml:space="preserve">system designers favor sequential I/O, batching, caching and data locality, and you will be able to back those preferences with numbers.</w:t>
      </w:r>
    </w:p>
    <w:p>
      <w:pPr>
        <w:pStyle w:val="BodyText"/>
      </w:pPr>
      <w:r>
        <w:t xml:space="preserve">Throughout the chapter we use decimal units for estimation (KB, MB, GB = 10³, 10⁶, 10⁹ bytes) and binary units where hardware is built in powers of two (KiB, MiB, GiB = 2¹⁰, 2²⁰, 2³⁰ bytes), for example cache sizes and page sizes. Hardware numbers are labeled</w:t>
      </w:r>
      <w:r>
        <w:t xml:space="preserve"> </w:t>
      </w:r>
      <w:r>
        <w:t xml:space="preserve">“</w:t>
      </w:r>
      <w:r>
        <w:t xml:space="preserve">as of</w:t>
      </w:r>
      <w:r>
        <w:t xml:space="preserve"> </w:t>
      </w:r>
      <w:r>
        <w:t xml:space="preserve">, approximate</w:t>
      </w:r>
      <w:r>
        <w:t xml:space="preserve">”</w:t>
      </w:r>
      <w:r>
        <w:t xml:space="preserve">. They change every product generation, so learn the</w:t>
      </w:r>
      <w:r>
        <w:t xml:space="preserve"> </w:t>
      </w:r>
      <w:r>
        <w:rPr>
          <w:bCs/>
          <w:b/>
        </w:rPr>
        <w:t xml:space="preserve">orders of magnitude and the ratios</w:t>
      </w:r>
      <w:r>
        <w:t xml:space="preserve">, which are far more stable than any single figure.</w:t>
      </w:r>
    </w:p>
    <w:bookmarkStart w:id="455" w:name="learning-objectives-4"/>
    <w:p>
      <w:pPr>
        <w:pStyle w:val="Heading2"/>
      </w:pPr>
      <w:r>
        <w:t xml:space="preserve">5.1 Learning objectives</w:t>
      </w:r>
    </w:p>
    <w:p>
      <w:pPr>
        <w:pStyle w:val="FirstParagraph"/>
      </w:pPr>
      <w:r>
        <w:t xml:space="preserve">After this chapter you should be able to:</w:t>
      </w:r>
    </w:p>
    <w:p>
      <w:pPr>
        <w:numPr>
          <w:ilvl w:val="0"/>
          <w:numId w:val="1137"/>
        </w:numPr>
        <w:pStyle w:val="Compact"/>
      </w:pPr>
      <w:r>
        <w:t xml:space="preserve">Describe what a CPU core does on every clock cycle, and explain pipelining, branch prediction, superscalar and out-of-order execution, and simultaneous multithreading (hyperthreading) in plain language.</w:t>
      </w:r>
    </w:p>
    <w:p>
      <w:pPr>
        <w:numPr>
          <w:ilvl w:val="0"/>
          <w:numId w:val="1137"/>
        </w:numPr>
        <w:pStyle w:val="Compact"/>
      </w:pPr>
      <w:r>
        <w:t xml:space="preserve">Calculate CPU execution time from instruction count, cycles per instruction and clock rate, and estimate the cost of branch mispredictions.</w:t>
      </w:r>
    </w:p>
    <w:p>
      <w:pPr>
        <w:numPr>
          <w:ilvl w:val="0"/>
          <w:numId w:val="1137"/>
        </w:numPr>
        <w:pStyle w:val="Compact"/>
      </w:pPr>
      <w:r>
        <w:t xml:space="preserve">Explain how L1, L2 and L3 caches, cache lines and associativity work, and calculate average memory access time for a multi-level cache.</w:t>
      </w:r>
    </w:p>
    <w:p>
      <w:pPr>
        <w:numPr>
          <w:ilvl w:val="0"/>
          <w:numId w:val="1137"/>
        </w:numPr>
        <w:pStyle w:val="Compact"/>
      </w:pPr>
      <w:r>
        <w:t xml:space="preserve">Explain cache coherence using the MESI protocol, recognize false sharing in code, and fix it.</w:t>
      </w:r>
    </w:p>
    <w:p>
      <w:pPr>
        <w:numPr>
          <w:ilvl w:val="0"/>
          <w:numId w:val="1137"/>
        </w:numPr>
        <w:pStyle w:val="Compact"/>
      </w:pPr>
      <w:r>
        <w:t xml:space="preserve">Draw the memory hierarchy from registers to archival storage with dated latency, capacity and cost figures.</w:t>
      </w:r>
    </w:p>
    <w:p>
      <w:pPr>
        <w:numPr>
          <w:ilvl w:val="0"/>
          <w:numId w:val="1137"/>
        </w:numPr>
        <w:pStyle w:val="Compact"/>
      </w:pPr>
      <w:r>
        <w:t xml:space="preserve">Calculate hard disk access time from seek time, rotational latency and transfer time, and explain why random I/O on a disk is hundreds of times slower than sequential I/O.</w:t>
      </w:r>
    </w:p>
    <w:p>
      <w:pPr>
        <w:numPr>
          <w:ilvl w:val="0"/>
          <w:numId w:val="1137"/>
        </w:numPr>
        <w:pStyle w:val="Compact"/>
      </w:pPr>
      <w:r>
        <w:t xml:space="preserve">Explain how flash SSDs store data (pages, blocks, erase-before-write), what write amplification is, and why NVMe outperforms SATA.</w:t>
      </w:r>
    </w:p>
    <w:p>
      <w:pPr>
        <w:numPr>
          <w:ilvl w:val="0"/>
          <w:numId w:val="1137"/>
        </w:numPr>
        <w:pStyle w:val="Compact"/>
      </w:pPr>
      <w:r>
        <w:t xml:space="preserve">Compare programmed I/O, interrupts, DMA, polling and kernel bypass.</w:t>
      </w:r>
    </w:p>
    <w:p>
      <w:pPr>
        <w:numPr>
          <w:ilvl w:val="0"/>
          <w:numId w:val="1137"/>
        </w:numPr>
        <w:pStyle w:val="Compact"/>
      </w:pPr>
      <w:r>
        <w:t xml:space="preserve">Diagnose whether a workload is CPU-bound or I/O-bound and size a thread pool accordingly.</w:t>
      </w:r>
    </w:p>
    <w:p>
      <w:pPr>
        <w:numPr>
          <w:ilvl w:val="0"/>
          <w:numId w:val="1137"/>
        </w:numPr>
        <w:pStyle w:val="Compact"/>
      </w:pPr>
      <w:r>
        <w:t xml:space="preserve">Estimate how long it takes to scan 1 GB from RAM, SSD, HDD or the network, and explain the difference between latency and bandwidth.</w:t>
      </w:r>
    </w:p>
    <w:p>
      <w:pPr>
        <w:numPr>
          <w:ilvl w:val="0"/>
          <w:numId w:val="1137"/>
        </w:numPr>
        <w:pStyle w:val="Compact"/>
      </w:pPr>
      <w:r>
        <w:t xml:space="preserve">Explain NUMA and its effect on multi-socket servers.</w:t>
      </w:r>
    </w:p>
    <w:p>
      <w:pPr>
        <w:numPr>
          <w:ilvl w:val="0"/>
          <w:numId w:val="1137"/>
        </w:numPr>
        <w:pStyle w:val="Compact"/>
      </w:pPr>
      <w:r>
        <w:t xml:space="preserve">Explain what SIMD and hardware accelerators do and when they matter.</w:t>
      </w:r>
    </w:p>
    <w:p>
      <w:pPr>
        <w:numPr>
          <w:ilvl w:val="0"/>
          <w:numId w:val="1137"/>
        </w:numPr>
        <w:pStyle w:val="Compact"/>
      </w:pPr>
      <w:r>
        <w:t xml:space="preserve">Map hardware facts to system design decisions: sequential I/O, batching, caching, data locality and queue depth.</w:t>
      </w:r>
    </w:p>
    <w:bookmarkEnd w:id="455"/>
    <w:bookmarkStart w:id="456" w:name="prerequisites-4"/>
    <w:p>
      <w:pPr>
        <w:pStyle w:val="Heading2"/>
      </w:pPr>
      <w:r>
        <w:t xml:space="preserve">5.2 Prerequisites</w:t>
      </w:r>
    </w:p>
    <w:p>
      <w:pPr>
        <w:numPr>
          <w:ilvl w:val="0"/>
          <w:numId w:val="1138"/>
        </w:numPr>
        <w:pStyle w:val="Compact"/>
      </w:pPr>
      <w:r>
        <w:t xml:space="preserve">Powers of two and powers of ten — §4.3 (cache sizes, addresses and capacities are powers of two).</w:t>
      </w:r>
    </w:p>
    <w:p>
      <w:pPr>
        <w:numPr>
          <w:ilvl w:val="0"/>
          <w:numId w:val="1138"/>
        </w:numPr>
        <w:pStyle w:val="Compact"/>
      </w:pPr>
      <w:r>
        <w:t xml:space="preserve">Units: bits, bytes, rates and prefixes — §4.5 (we convert between ns, µs, ms and between MB/s and Gbit/s constantly).</w:t>
      </w:r>
    </w:p>
    <w:p>
      <w:pPr>
        <w:numPr>
          <w:ilvl w:val="0"/>
          <w:numId w:val="1138"/>
        </w:numPr>
        <w:pStyle w:val="Compact"/>
      </w:pPr>
      <w:r>
        <w:t xml:space="preserve">Little’s Law — §4.11 (we use it to relate queue depth, latency and throughput for memory and SSDs).</w:t>
      </w:r>
    </w:p>
    <w:p>
      <w:pPr>
        <w:numPr>
          <w:ilvl w:val="0"/>
          <w:numId w:val="1138"/>
        </w:numPr>
        <w:pStyle w:val="Compact"/>
      </w:pPr>
      <w:r>
        <w:t xml:space="preserve">Latency numbers every engineer should know — §4.17 (this chapter explains the hardware</w:t>
      </w:r>
      <w:r>
        <w:t xml:space="preserve"> </w:t>
      </w:r>
      <w:r>
        <w:rPr>
          <w:iCs/>
          <w:i/>
        </w:rPr>
        <w:t xml:space="preserve">behind</w:t>
      </w:r>
      <w:r>
        <w:t xml:space="preserve"> </w:t>
      </w:r>
      <w:r>
        <w:t xml:space="preserve">those numbers).</w:t>
      </w:r>
    </w:p>
    <w:p>
      <w:pPr>
        <w:numPr>
          <w:ilvl w:val="0"/>
          <w:numId w:val="1138"/>
        </w:numPr>
        <w:pStyle w:val="Compact"/>
      </w:pPr>
      <w:r>
        <w:t xml:space="preserve">Basic programming in any language; the code examples use C and Python, and every line that matters is explained.</w:t>
      </w:r>
    </w:p>
    <w:bookmarkEnd w:id="456"/>
    <w:bookmarkStart w:id="476" w:name="Xda34fe9d345af7ab115f3620903f9e1ea4fecc1"/>
    <w:p>
      <w:pPr>
        <w:pStyle w:val="Heading2"/>
      </w:pPr>
      <w:r>
        <w:t xml:space="preserve">5.3 The CPU: cores, registers, clock and the instruction pipeline</w:t>
      </w:r>
    </w:p>
    <w:bookmarkStart w:id="463" w:name="what-a-cpu-does"/>
    <w:p>
      <w:pPr>
        <w:pStyle w:val="Heading3"/>
      </w:pPr>
      <w:r>
        <w:t xml:space="preserve">5.3.1 What a CPU does</w:t>
      </w:r>
    </w:p>
    <w:p>
      <w:pPr>
        <w:pStyle w:val="CalloutDefinition"/>
      </w:pPr>
      <w:r>
        <w:rPr>
          <w:bCs/>
          <w:b/>
        </w:rPr>
        <w:t xml:space="preserve">DEFINITION</w:t>
      </w:r>
    </w:p>
    <w:p>
      <w:pPr>
        <w:pStyle w:val="CalloutDefinition"/>
      </w:pPr>
      <w:r>
        <w:rPr>
          <w:bCs/>
          <w:b/>
        </w:rPr>
        <w:t xml:space="preserve">Definition — Central processing unit (CPU).</w:t>
      </w:r>
      <w:r>
        <w:t xml:space="preserve"> </w:t>
      </w:r>
      <w:r>
        <w:t xml:space="preserve">The hardware that executes a program’s</w:t>
      </w:r>
      <w:r>
        <w:t xml:space="preserve"> </w:t>
      </w:r>
      <w:r>
        <w:rPr>
          <w:bCs/>
          <w:b/>
        </w:rPr>
        <w:t xml:space="preserve">instructions</w:t>
      </w:r>
      <w:r>
        <w:t xml:space="preserve">: simple operations such as</w:t>
      </w:r>
      <w:r>
        <w:t xml:space="preserve"> </w:t>
      </w:r>
      <w:r>
        <w:t xml:space="preserve">“</w:t>
      </w:r>
      <w:r>
        <w:t xml:space="preserve">add these two numbers</w:t>
      </w:r>
      <w:r>
        <w:t xml:space="preserve">”</w:t>
      </w:r>
      <w:r>
        <w:t xml:space="preserve">,</w:t>
      </w:r>
      <w:r>
        <w:t xml:space="preserve"> </w:t>
      </w:r>
      <w:r>
        <w:t xml:space="preserve">“</w:t>
      </w:r>
      <w:r>
        <w:t xml:space="preserve">load a value from memory address X</w:t>
      </w:r>
      <w:r>
        <w:t xml:space="preserve">”</w:t>
      </w:r>
      <w:r>
        <w:t xml:space="preserve">, or</w:t>
      </w:r>
      <w:r>
        <w:t xml:space="preserve"> </w:t>
      </w:r>
      <w:r>
        <w:t xml:space="preserve">“</w:t>
      </w:r>
      <w:r>
        <w:t xml:space="preserve">if this value is zero, jump to instruction Y</w:t>
      </w:r>
      <w:r>
        <w:t xml:space="preserve">”</w:t>
      </w:r>
      <w:r>
        <w:t xml:space="preserve">. A modern CPU package contains several independent</w:t>
      </w:r>
      <w:r>
        <w:t xml:space="preserve"> </w:t>
      </w:r>
      <w:r>
        <w:rPr>
          <w:bCs/>
          <w:b/>
        </w:rPr>
        <w:t xml:space="preserve">cores</w:t>
      </w:r>
      <w:r>
        <w:t xml:space="preserve">, each of which can execute its own stream of instructions.</w:t>
      </w:r>
    </w:p>
    <w:bookmarkStart w:id="457" w:name="first-principles-explanation-31"/>
    <w:p>
      <w:pPr>
        <w:pStyle w:val="Heading4"/>
      </w:pPr>
      <w:r>
        <w:t xml:space="preserve">First-principles explanation</w:t>
      </w:r>
    </w:p>
    <w:p>
      <w:pPr>
        <w:pStyle w:val="FirstParagraph"/>
      </w:pPr>
      <w:r>
        <w:t xml:space="preserve">Imagine a restaurant kitchen. The</w:t>
      </w:r>
      <w:r>
        <w:t xml:space="preserve"> </w:t>
      </w:r>
      <w:r>
        <w:rPr>
          <w:bCs/>
          <w:b/>
        </w:rPr>
        <w:t xml:space="preserve">chef</w:t>
      </w:r>
      <w:r>
        <w:t xml:space="preserve"> </w:t>
      </w:r>
      <w:r>
        <w:t xml:space="preserve">is a CPU core. The</w:t>
      </w:r>
      <w:r>
        <w:t xml:space="preserve"> </w:t>
      </w:r>
      <w:r>
        <w:rPr>
          <w:bCs/>
          <w:b/>
        </w:rPr>
        <w:t xml:space="preserve">recipe</w:t>
      </w:r>
      <w:r>
        <w:t xml:space="preserve"> </w:t>
      </w:r>
      <w:r>
        <w:t xml:space="preserve">is the program: a numbered list of small steps. The chef’s</w:t>
      </w:r>
      <w:r>
        <w:t xml:space="preserve"> </w:t>
      </w:r>
      <w:r>
        <w:rPr>
          <w:bCs/>
          <w:b/>
        </w:rPr>
        <w:t xml:space="preserve">two hands and the cutting board</w:t>
      </w:r>
      <w:r>
        <w:t xml:space="preserve"> </w:t>
      </w:r>
      <w:r>
        <w:t xml:space="preserve">are the</w:t>
      </w:r>
      <w:r>
        <w:t xml:space="preserve"> </w:t>
      </w:r>
      <w:r>
        <w:rPr>
          <w:bCs/>
          <w:b/>
        </w:rPr>
        <w:t xml:space="preserve">registers</w:t>
      </w:r>
      <w:r>
        <w:t xml:space="preserve">, a tiny number of slots holding the values being worked on right now. The</w:t>
      </w:r>
      <w:r>
        <w:t xml:space="preserve"> </w:t>
      </w:r>
      <w:r>
        <w:rPr>
          <w:bCs/>
          <w:b/>
        </w:rPr>
        <w:t xml:space="preserve">counter beside the stove</w:t>
      </w:r>
      <w:r>
        <w:t xml:space="preserve"> </w:t>
      </w:r>
      <w:r>
        <w:t xml:space="preserve">is the cache, the</w:t>
      </w:r>
      <w:r>
        <w:t xml:space="preserve"> </w:t>
      </w:r>
      <w:r>
        <w:rPr>
          <w:bCs/>
          <w:b/>
        </w:rPr>
        <w:t xml:space="preserve">walk-in fridge</w:t>
      </w:r>
      <w:r>
        <w:t xml:space="preserve"> </w:t>
      </w:r>
      <w:r>
        <w:t xml:space="preserve">at the back of the kitchen is main memory (RAM), and the</w:t>
      </w:r>
      <w:r>
        <w:t xml:space="preserve"> </w:t>
      </w:r>
      <w:r>
        <w:rPr>
          <w:bCs/>
          <w:b/>
        </w:rPr>
        <w:t xml:space="preserve">supplier’s warehouse across town</w:t>
      </w:r>
      <w:r>
        <w:t xml:space="preserve"> </w:t>
      </w:r>
      <w:r>
        <w:t xml:space="preserve">is the disk. The chef works at astonishing speed with whatever is in hand, but any trip to the fridge or the warehouse stops the cooking. Most of the techniques in this chapter are tricks for keeping the chef’s hands full.</w:t>
      </w:r>
    </w:p>
    <w:p>
      <w:pPr>
        <w:pStyle w:val="BodyText"/>
      </w:pPr>
      <w:r>
        <w:t xml:space="preserve">The analogy also explains cores: a kitchen with eight chefs, each following their own recipe, can prepare eight dishes at once — provided they do not keep reaching for the same pan.</w:t>
      </w:r>
    </w:p>
    <w:bookmarkEnd w:id="457"/>
    <w:bookmarkStart w:id="458" w:name="why-does-this-exist-20"/>
    <w:p>
      <w:pPr>
        <w:pStyle w:val="Heading4"/>
      </w:pPr>
      <w:r>
        <w:t xml:space="preserve">Why does this exist?</w:t>
      </w:r>
    </w:p>
    <w:p>
      <w:pPr>
        <w:pStyle w:val="FirstParagraph"/>
      </w:pPr>
      <w:r>
        <w:t xml:space="preserve">Early computers ran one instruction at a time and memory was about as fast as the processor. Since the 1980s processor speed has grown much faster than memory speed — the so-called</w:t>
      </w:r>
      <w:r>
        <w:t xml:space="preserve"> </w:t>
      </w:r>
      <w:r>
        <w:rPr>
          <w:bCs/>
          <w:b/>
        </w:rPr>
        <w:t xml:space="preserve">memory wall</w:t>
      </w:r>
      <w:r>
        <w:t xml:space="preserve"> </w:t>
      </w:r>
      <w:r>
        <w:t xml:space="preserve">[Hennessy &amp; Patterson 2017, ch. 2]. Every feature in a modern core (caches, pipelines, prediction, out-of-order execution) exists to keep a very fast execution engine busy despite slow memory and unpredictable control flow.</w:t>
      </w:r>
    </w:p>
    <w:bookmarkEnd w:id="458"/>
    <w:bookmarkStart w:id="462" w:name="how-it-works-internally-16"/>
    <w:p>
      <w:pPr>
        <w:pStyle w:val="Heading4"/>
      </w:pPr>
      <w:r>
        <w:t xml:space="preserve">How it works internally</w:t>
      </w:r>
    </w:p>
    <w:p>
      <w:pPr>
        <w:pStyle w:val="FirstParagraph"/>
      </w:pPr>
      <w:r>
        <w:t xml:space="preserve">At its simplest a core repeats the</w:t>
      </w:r>
      <w:r>
        <w:t xml:space="preserve"> </w:t>
      </w:r>
      <w:r>
        <w:rPr>
          <w:bCs/>
          <w:b/>
        </w:rPr>
        <w:t xml:space="preserve">fetch–decode–execute cycle</w:t>
      </w:r>
      <w:r>
        <w:t xml:space="preserve">:</w:t>
      </w:r>
    </w:p>
    <w:p>
      <w:pPr>
        <w:numPr>
          <w:ilvl w:val="0"/>
          <w:numId w:val="1139"/>
        </w:numPr>
        <w:pStyle w:val="Compact"/>
      </w:pPr>
      <w:r>
        <w:rPr>
          <w:bCs/>
          <w:b/>
        </w:rPr>
        <w:t xml:space="preserve">Fetch.</w:t>
      </w:r>
      <w:r>
        <w:t xml:space="preserve"> </w:t>
      </w:r>
      <w:r>
        <w:t xml:space="preserve">Read the next instruction from memory at the address held in the</w:t>
      </w:r>
      <w:r>
        <w:t xml:space="preserve"> </w:t>
      </w:r>
      <w:r>
        <w:rPr>
          <w:bCs/>
          <w:b/>
        </w:rPr>
        <w:t xml:space="preserve">program counter</w:t>
      </w:r>
      <w:r>
        <w:t xml:space="preserve"> </w:t>
      </w:r>
      <w:r>
        <w:t xml:space="preserve">(PC) register.</w:t>
      </w:r>
    </w:p>
    <w:p>
      <w:pPr>
        <w:numPr>
          <w:ilvl w:val="0"/>
          <w:numId w:val="1139"/>
        </w:numPr>
        <w:pStyle w:val="Compact"/>
      </w:pPr>
      <w:r>
        <w:rPr>
          <w:bCs/>
          <w:b/>
        </w:rPr>
        <w:t xml:space="preserve">Decode.</w:t>
      </w:r>
      <w:r>
        <w:t xml:space="preserve"> </w:t>
      </w:r>
      <w:r>
        <w:t xml:space="preserve">Work out what the instruction means: which operation, which registers, which memory address.</w:t>
      </w:r>
    </w:p>
    <w:p>
      <w:pPr>
        <w:numPr>
          <w:ilvl w:val="0"/>
          <w:numId w:val="1139"/>
        </w:numPr>
        <w:pStyle w:val="Compact"/>
      </w:pPr>
      <w:r>
        <w:rPr>
          <w:bCs/>
          <w:b/>
        </w:rPr>
        <w:t xml:space="preserve">Execute.</w:t>
      </w:r>
      <w:r>
        <w:t xml:space="preserve"> </w:t>
      </w:r>
      <w:r>
        <w:t xml:space="preserve">Perform the operation in an execution unit — the</w:t>
      </w:r>
      <w:r>
        <w:t xml:space="preserve"> </w:t>
      </w:r>
      <w:r>
        <w:rPr>
          <w:bCs/>
          <w:b/>
        </w:rPr>
        <w:t xml:space="preserve">arithmetic logic unit</w:t>
      </w:r>
      <w:r>
        <w:t xml:space="preserve"> </w:t>
      </w:r>
      <w:r>
        <w:t xml:space="preserve">(ALU) for integer maths, the floating-point unit for decimals, the load/store unit for memory.</w:t>
      </w:r>
    </w:p>
    <w:p>
      <w:pPr>
        <w:numPr>
          <w:ilvl w:val="0"/>
          <w:numId w:val="1139"/>
        </w:numPr>
        <w:pStyle w:val="Compact"/>
      </w:pPr>
      <w:r>
        <w:rPr>
          <w:bCs/>
          <w:b/>
        </w:rPr>
        <w:t xml:space="preserve">Memory access.</w:t>
      </w:r>
      <w:r>
        <w:t xml:space="preserve"> </w:t>
      </w:r>
      <w:r>
        <w:t xml:space="preserve">If the instruction reads or writes memory, do so (via the caches, §5.4).</w:t>
      </w:r>
    </w:p>
    <w:p>
      <w:pPr>
        <w:numPr>
          <w:ilvl w:val="0"/>
          <w:numId w:val="1139"/>
        </w:numPr>
        <w:pStyle w:val="Compact"/>
      </w:pPr>
      <w:r>
        <w:rPr>
          <w:bCs/>
          <w:b/>
        </w:rPr>
        <w:t xml:space="preserve">Write back.</w:t>
      </w:r>
      <w:r>
        <w:t xml:space="preserve"> </w:t>
      </w:r>
      <w:r>
        <w:t xml:space="preserve">Store the result in the destination register and advance the program counter (or jump, if the instruction was a branch).</w:t>
      </w:r>
    </w:p>
    <w:p>
      <w:pPr>
        <w:pStyle w:val="FirstParagraph"/>
      </w:pPr>
      <w:r>
        <w:rPr>
          <w:bCs/>
          <w:b/>
        </w:rPr>
        <w:t xml:space="preserve">Figure 5.1 — Inside a single-socket server.</w:t>
      </w:r>
    </w:p>
    <w:p>
      <w:pPr>
        <w:pStyle w:val="BodyText"/>
      </w:pPr>
      <w:r>
        <w:drawing>
          <wp:inline>
            <wp:extent cx="5334000" cy="1791301"/>
            <wp:effectExtent b="0" l="0" r="0" t="0"/>
            <wp:docPr descr="" title="" id="460" name="Picture"/>
            <a:graphic>
              <a:graphicData uri="http://schemas.openxmlformats.org/drawingml/2006/picture">
                <pic:pic>
                  <pic:nvPicPr>
                    <pic:cNvPr descr="/home/user/System-Design/build/.cache/diagrams/b0303ff5b09d.png" id="461" name="Picture"/>
                    <pic:cNvPicPr>
                      <a:picLocks noChangeArrowheads="1" noChangeAspect="1"/>
                    </pic:cNvPicPr>
                  </pic:nvPicPr>
                  <pic:blipFill>
                    <a:blip r:embed="rId459"/>
                    <a:stretch>
                      <a:fillRect/>
                    </a:stretch>
                  </pic:blipFill>
                  <pic:spPr bwMode="auto">
                    <a:xfrm>
                      <a:off x="0" y="0"/>
                      <a:ext cx="5334000" cy="1791301"/>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package (the chip you hold in your hand) contains several</w:t>
      </w:r>
      <w:r>
        <w:t xml:space="preserve"> </w:t>
      </w:r>
      <w:r>
        <w:rPr>
          <w:bCs/>
          <w:b/>
        </w:rPr>
        <w:t xml:space="preserve">cores</w:t>
      </w:r>
      <w:r>
        <w:t xml:space="preserve">; we show two, but server parts in 2025 carry anywhere from 8 to well over 100. Each core has private</w:t>
      </w:r>
      <w:r>
        <w:t xml:space="preserve"> </w:t>
      </w:r>
      <w:r>
        <w:rPr>
          <w:bCs/>
          <w:b/>
        </w:rPr>
        <w:t xml:space="preserve">registers</w:t>
      </w:r>
      <w:r>
        <w:t xml:space="preserve">, a private</w:t>
      </w:r>
      <w:r>
        <w:t xml:space="preserve"> </w:t>
      </w:r>
      <w:r>
        <w:rPr>
          <w:bCs/>
          <w:b/>
        </w:rPr>
        <w:t xml:space="preserve">L1 cache</w:t>
      </w:r>
      <w:r>
        <w:t xml:space="preserve"> </w:t>
      </w:r>
      <w:r>
        <w:t xml:space="preserve">split into an instruction half and a data half, and usually a private</w:t>
      </w:r>
      <w:r>
        <w:t xml:space="preserve"> </w:t>
      </w:r>
      <w:r>
        <w:rPr>
          <w:bCs/>
          <w:b/>
        </w:rPr>
        <w:t xml:space="preserve">L2 cache</w:t>
      </w:r>
      <w:r>
        <w:t xml:space="preserve">. All cores share an</w:t>
      </w:r>
      <w:r>
        <w:t xml:space="preserve"> </w:t>
      </w:r>
      <w:r>
        <w:rPr>
          <w:bCs/>
          <w:b/>
        </w:rPr>
        <w:t xml:space="preserve">L3 cache</w:t>
      </w:r>
      <w:r>
        <w:t xml:space="preserve">, which connects to the</w:t>
      </w:r>
      <w:r>
        <w:t xml:space="preserve"> </w:t>
      </w:r>
      <w:r>
        <w:rPr>
          <w:bCs/>
          <w:b/>
        </w:rPr>
        <w:t xml:space="preserve">memory controller</w:t>
      </w:r>
      <w:r>
        <w:t xml:space="preserve"> </w:t>
      </w:r>
      <w:r>
        <w:t xml:space="preserve">and the</w:t>
      </w:r>
      <w:r>
        <w:t xml:space="preserve"> </w:t>
      </w:r>
      <w:r>
        <w:rPr>
          <w:bCs/>
          <w:b/>
        </w:rPr>
        <w:t xml:space="preserve">PCIe controller</w:t>
      </w:r>
      <w:r>
        <w:t xml:space="preserve">. The memory controller drives several</w:t>
      </w:r>
      <w:r>
        <w:t xml:space="preserve"> </w:t>
      </w:r>
      <w:r>
        <w:rPr>
          <w:bCs/>
          <w:b/>
        </w:rPr>
        <w:t xml:space="preserve">DDR5 channels</w:t>
      </w:r>
      <w:r>
        <w:t xml:space="preserve"> </w:t>
      </w:r>
      <w:r>
        <w:t xml:space="preserve">to the DRAM modules (main memory). The PCIe controller connects storage (NVMe SSDs), the network card and accelerators such as GPUs over</w:t>
      </w:r>
      <w:r>
        <w:t xml:space="preserve"> </w:t>
      </w:r>
      <w:r>
        <w:rPr>
          <w:bCs/>
          <w:b/>
        </w:rPr>
        <w:t xml:space="preserve">PCIe lanes</w:t>
      </w:r>
      <w:r>
        <w:t xml:space="preserve"> </w:t>
      </w:r>
      <w:r>
        <w:t xml:space="preserve">(x4 = four lanes, x16 = sixteen). Arrows point outward from the core because the core initiates requests; data flows back along the same path. All of these paths are synchronous from the core’s point of view (an instruction waits for its load), except device I/O, which is asynchronous via DMA and interrupts (§5.7). Every arrow is a potential bottleneck: the further right you go, the higher the latency and the lower the bandwidth per byte of capacity. The storage boundary that matters most is the one between DRAM (volatile, lost on power failure) and the SSD (persistent). The machine scales up by adding cores, memory channels, sockets (§5.10) and PCIe devices; beyond that you scale out across machines, which is the subject of most of this book.</w:t>
      </w:r>
    </w:p>
    <w:bookmarkEnd w:id="462"/>
    <w:bookmarkEnd w:id="463"/>
    <w:bookmarkStart w:id="464" w:name="X20b2bd9f101489e9b4e1b444045d6d2b667da62"/>
    <w:p>
      <w:pPr>
        <w:pStyle w:val="Heading3"/>
      </w:pPr>
      <w:r>
        <w:t xml:space="preserve">5.3.2 Registers, the clock and the</w:t>
      </w:r>
      <w:r>
        <w:t xml:space="preserve"> </w:t>
      </w:r>
      <w:r>
        <w:t xml:space="preserve">“</w:t>
      </w:r>
      <w:r>
        <w:t xml:space="preserve">iron law</w:t>
      </w:r>
      <w:r>
        <w:t xml:space="preserve">”</w:t>
      </w:r>
      <w:r>
        <w:t xml:space="preserve"> </w:t>
      </w:r>
      <w:r>
        <w:t xml:space="preserve">of performance</w:t>
      </w:r>
    </w:p>
    <w:p>
      <w:pPr>
        <w:pStyle w:val="CalloutDefinition"/>
      </w:pPr>
      <w:r>
        <w:rPr>
          <w:bCs/>
          <w:b/>
        </w:rPr>
        <w:t xml:space="preserve">DEFINITION</w:t>
      </w:r>
    </w:p>
    <w:p>
      <w:pPr>
        <w:pStyle w:val="CalloutDefinition"/>
      </w:pPr>
      <w:r>
        <w:rPr>
          <w:bCs/>
          <w:b/>
        </w:rPr>
        <w:t xml:space="preserve">Definition — Register.</w:t>
      </w:r>
      <w:r>
        <w:t xml:space="preserve"> </w:t>
      </w:r>
      <w:r>
        <w:t xml:space="preserve">A tiny, extremely fast storage slot inside a core, typically 64 bits wide for general-purpose registers. x86-64 exposes 16 general-purpose integer registers to programs; ARMv8-A (AArch64) exposes 31. Reading a register costs essentially nothing beyond the instruction that uses it.</w:t>
      </w:r>
    </w:p>
    <w:p>
      <w:pPr>
        <w:pStyle w:val="CalloutDefinition"/>
      </w:pPr>
      <w:r>
        <w:rPr>
          <w:bCs/>
          <w:b/>
        </w:rPr>
        <w:t xml:space="preserve">DEFINITION</w:t>
      </w:r>
    </w:p>
    <w:p>
      <w:pPr>
        <w:pStyle w:val="CalloutDefinition"/>
      </w:pPr>
      <w:r>
        <w:rPr>
          <w:bCs/>
          <w:b/>
        </w:rPr>
        <w:t xml:space="preserve">Definition — Clock rate.</w:t>
      </w:r>
      <w:r>
        <w:t xml:space="preserve"> </w:t>
      </w:r>
      <w:r>
        <w:t xml:space="preserve">The frequency at which a core’s internal circuitry steps from one state to the next, measured in hertz (cycles per second). A 4 GHz core has a</w:t>
      </w:r>
      <w:r>
        <w:t xml:space="preserve"> </w:t>
      </w:r>
      <w:r>
        <w:rPr>
          <w:bCs/>
          <w:b/>
        </w:rPr>
        <w:t xml:space="preserve">cycle time</w:t>
      </w:r>
      <w:r>
        <w:t xml:space="preserve"> </w:t>
      </w:r>
      <w:r>
        <w:t xml:space="preserve">of 1 / (4 × 10⁹) s = 0.25 ns.</w:t>
      </w:r>
    </w:p>
    <w:p>
      <w:pPr>
        <w:pStyle w:val="BodyText"/>
      </w:pPr>
      <w:r>
        <w:t xml:space="preserve">The clock is like a metronome in the kitchen: on every tick each part of the core can advance its work by one step. For decades chip makers raised clock rates every year. Around 2005 this stopped: higher frequencies needed more voltage, and power (and therefore heat) grows faster than linearly with voltage and frequency. Clock rates have hovered around 2–6 GHz since (as of 2025, approximate), so the industry turned to doing</w:t>
      </w:r>
      <w:r>
        <w:t xml:space="preserve"> </w:t>
      </w:r>
      <w:r>
        <w:rPr>
          <w:bCs/>
          <w:b/>
        </w:rPr>
        <w:t xml:space="preserve">more work per cycle</w:t>
      </w:r>
      <w:r>
        <w:t xml:space="preserve"> </w:t>
      </w:r>
      <w:r>
        <w:t xml:space="preserve">and putting</w:t>
      </w:r>
      <w:r>
        <w:t xml:space="preserve"> </w:t>
      </w:r>
      <w:r>
        <w:rPr>
          <w:bCs/>
          <w:b/>
        </w:rPr>
        <w:t xml:space="preserve">more cores</w:t>
      </w:r>
      <w:r>
        <w:t xml:space="preserve"> </w:t>
      </w:r>
      <w:r>
        <w:t xml:space="preserve">on each chip [Hennessy &amp; Patterson 2017, ch. 1]. This</w:t>
      </w:r>
      <w:r>
        <w:t xml:space="preserve"> </w:t>
      </w:r>
      <w:r>
        <w:t xml:space="preserve">“</w:t>
      </w:r>
      <w:r>
        <w:t xml:space="preserve">end of free speed-ups</w:t>
      </w:r>
      <w:r>
        <w:t xml:space="preserve">”</w:t>
      </w:r>
      <w:r>
        <w:t xml:space="preserve"> </w:t>
      </w:r>
      <w:r>
        <w:t xml:space="preserve">is why concurrency and horizontal scaling dominate modern system design.</w:t>
      </w:r>
    </w:p>
    <w:p>
      <w:pPr>
        <w:pStyle w:val="BodyText"/>
      </w:pPr>
      <w:r>
        <w:t xml:space="preserve">How long a program takes is governed by three numbers multiplied together.</w:t>
      </w:r>
    </w:p>
    <w:p>
      <w:pPr>
        <w:pStyle w:val="CalloutFormula"/>
      </w:pPr>
      <w:r>
        <w:rPr>
          <w:bCs/>
          <w:b/>
        </w:rPr>
        <w:t xml:space="preserve">FORMULA</w:t>
      </w:r>
    </w:p>
    <w:p>
      <w:pPr>
        <w:pStyle w:val="CalloutFormula"/>
      </w:pPr>
      <w:r>
        <w:rPr>
          <w:bCs/>
          <w:b/>
        </w:rPr>
        <w:t xml:space="preserve">CPU execution time (the</w:t>
      </w:r>
      <w:r>
        <w:rPr>
          <w:bCs/>
          <w:b/>
        </w:rPr>
        <w:t xml:space="preserve"> </w:t>
      </w:r>
      <w:r>
        <w:rPr>
          <w:bCs/>
          <w:b/>
        </w:rPr>
        <w:t xml:space="preserve">“</w:t>
      </w:r>
      <w:r>
        <w:rPr>
          <w:bCs/>
          <w:b/>
        </w:rPr>
        <w:t xml:space="preserve">iron law</w:t>
      </w:r>
      <w:r>
        <w:rPr>
          <w:bCs/>
          <w:b/>
        </w:rPr>
        <w:t xml:space="preserve">”</w:t>
      </w:r>
      <w:r>
        <w:rPr>
          <w:bCs/>
          <w:b/>
        </w:rPr>
        <w:t xml:space="preserve">)</w:t>
      </w:r>
    </w:p>
    <w:p>
      <w:pPr>
        <w:pStyle w:val="CalloutFormula"/>
      </w:pPr>
      <m:oMathPara>
        <m:oMathParaPr>
          <m:jc m:val="center"/>
        </m:oMathParaPr>
        <m:oMath>
          <m:sSub>
            <m:e>
              <m:r>
                <m:t>T</m:t>
              </m:r>
            </m:e>
            <m:sub>
              <m:r>
                <m:t>C</m:t>
              </m:r>
              <m:r>
                <m:t>P</m:t>
              </m:r>
              <m:r>
                <m:t>U</m:t>
              </m:r>
            </m:sub>
          </m:sSub>
          <m:r>
            <m:rPr>
              <m:sty m:val="p"/>
            </m:rPr>
            <m:t>=</m:t>
          </m:r>
          <m:sSub>
            <m:e>
              <m:r>
                <m:t>N</m:t>
              </m:r>
            </m:e>
            <m:sub>
              <m:r>
                <m:t>i</m:t>
              </m:r>
              <m:r>
                <m:t>n</m:t>
              </m:r>
              <m:r>
                <m:t>s</m:t>
              </m:r>
              <m:r>
                <m:t>t</m:t>
              </m:r>
              <m:r>
                <m:t>r</m:t>
              </m:r>
            </m:sub>
          </m:sSub>
          <m:r>
            <m:rPr>
              <m:sty m:val="p"/>
            </m:rPr>
            <m:t>×</m:t>
          </m:r>
          <m:r>
            <m:t>C</m:t>
          </m:r>
          <m:r>
            <m:t>P</m:t>
          </m:r>
          <m:r>
            <m:t>I</m:t>
          </m:r>
          <m:r>
            <m:rPr>
              <m:sty m:val="p"/>
            </m:rPr>
            <m:t>×</m:t>
          </m:r>
          <m:sSub>
            <m:e>
              <m:r>
                <m:t>t</m:t>
              </m:r>
            </m:e>
            <m:sub>
              <m:r>
                <m:t>c</m:t>
              </m:r>
              <m:r>
                <m:t>y</m:t>
              </m:r>
              <m:r>
                <m:t>c</m:t>
              </m:r>
              <m:r>
                <m:t>l</m:t>
              </m:r>
              <m:r>
                <m:t>e</m:t>
              </m:r>
            </m:sub>
          </m:sSub>
          <m:r>
            <m:rPr>
              <m:sty m:val="p"/>
            </m:rPr>
            <m:t>=</m:t>
          </m:r>
          <m:f>
            <m:fPr>
              <m:type m:val="bar"/>
            </m:fPr>
            <m:num>
              <m:sSub>
                <m:e>
                  <m:r>
                    <m:t>N</m:t>
                  </m:r>
                </m:e>
                <m:sub>
                  <m:r>
                    <m:t>i</m:t>
                  </m:r>
                  <m:r>
                    <m:t>n</m:t>
                  </m:r>
                  <m:r>
                    <m:t>s</m:t>
                  </m:r>
                  <m:r>
                    <m:t>t</m:t>
                  </m:r>
                  <m:r>
                    <m:t>r</m:t>
                  </m:r>
                </m:sub>
              </m:sSub>
              <m:r>
                <m:rPr>
                  <m:sty m:val="p"/>
                </m:rPr>
                <m:t>×</m:t>
              </m:r>
              <m:r>
                <m:t>C</m:t>
              </m:r>
              <m:r>
                <m:t>P</m:t>
              </m:r>
              <m:r>
                <m:t>I</m:t>
              </m:r>
            </m:num>
            <m:den>
              <m:r>
                <m:t>f</m:t>
              </m:r>
            </m:den>
          </m:f>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T</m:t>
                  </m:r>
                </m:e>
                <m:sub>
                  <m:r>
                    <m:t>C</m:t>
                  </m:r>
                  <m:r>
                    <m:t>P</m:t>
                  </m:r>
                  <m:r>
                    <m:t>U</m:t>
                  </m:r>
                </m:sub>
              </m:sSub>
            </m:oMath>
          </w:p>
        </w:tc>
        <w:tc>
          <w:tcPr/>
          <w:p>
            <w:pPr>
              <w:pStyle w:val="Compact"/>
              <w:jc w:val="left"/>
            </w:pPr>
            <w:r>
              <w:t xml:space="preserve">CPU time to run the program</w:t>
            </w:r>
          </w:p>
        </w:tc>
        <w:tc>
          <w:tcPr/>
          <w:p>
            <w:pPr>
              <w:pStyle w:val="Compact"/>
              <w:jc w:val="left"/>
            </w:pPr>
            <w:r>
              <w:t xml:space="preserve">seconds</w:t>
            </w:r>
          </w:p>
        </w:tc>
      </w:tr>
      <w:tr>
        <w:tc>
          <w:tcPr/>
          <w:p>
            <w:pPr>
              <w:pStyle w:val="Compact"/>
              <w:jc w:val="left"/>
            </w:pPr>
            <m:oMath>
              <m:sSub>
                <m:e>
                  <m:r>
                    <m:t>N</m:t>
                  </m:r>
                </m:e>
                <m:sub>
                  <m:r>
                    <m:t>i</m:t>
                  </m:r>
                  <m:r>
                    <m:t>n</m:t>
                  </m:r>
                  <m:r>
                    <m:t>s</m:t>
                  </m:r>
                  <m:r>
                    <m:t>t</m:t>
                  </m:r>
                  <m:r>
                    <m:t>r</m:t>
                  </m:r>
                </m:sub>
              </m:sSub>
            </m:oMath>
          </w:p>
        </w:tc>
        <w:tc>
          <w:tcPr/>
          <w:p>
            <w:pPr>
              <w:pStyle w:val="Compact"/>
              <w:jc w:val="left"/>
            </w:pPr>
            <w:r>
              <w:t xml:space="preserve">Number of instructions executed</w:t>
            </w:r>
          </w:p>
        </w:tc>
        <w:tc>
          <w:tcPr/>
          <w:p>
            <w:pPr>
              <w:pStyle w:val="Compact"/>
              <w:jc w:val="left"/>
            </w:pPr>
            <w:r>
              <w:t xml:space="preserve">instructions</w:t>
            </w:r>
          </w:p>
        </w:tc>
      </w:tr>
      <w:tr>
        <w:tc>
          <w:tcPr/>
          <w:p>
            <w:pPr>
              <w:pStyle w:val="Compact"/>
              <w:jc w:val="left"/>
            </w:pPr>
            <m:oMath>
              <m:r>
                <m:t>C</m:t>
              </m:r>
              <m:r>
                <m:t>P</m:t>
              </m:r>
              <m:r>
                <m:t>I</m:t>
              </m:r>
            </m:oMath>
          </w:p>
        </w:tc>
        <w:tc>
          <w:tcPr/>
          <w:p>
            <w:pPr>
              <w:pStyle w:val="Compact"/>
              <w:jc w:val="left"/>
            </w:pPr>
            <w:r>
              <w:t xml:space="preserve">Average clock cycles per instruction (its inverse is IPC, instructions per cycle)</w:t>
            </w:r>
          </w:p>
        </w:tc>
        <w:tc>
          <w:tcPr/>
          <w:p>
            <w:pPr>
              <w:pStyle w:val="Compact"/>
              <w:jc w:val="left"/>
            </w:pPr>
            <w:r>
              <w:t xml:space="preserve">cycles/instruction</w:t>
            </w:r>
          </w:p>
        </w:tc>
      </w:tr>
      <w:tr>
        <w:tc>
          <w:tcPr/>
          <w:p>
            <w:pPr>
              <w:pStyle w:val="Compact"/>
              <w:jc w:val="left"/>
            </w:pPr>
            <m:oMath>
              <m:sSub>
                <m:e>
                  <m:r>
                    <m:t>t</m:t>
                  </m:r>
                </m:e>
                <m:sub>
                  <m:r>
                    <m:t>c</m:t>
                  </m:r>
                  <m:r>
                    <m:t>y</m:t>
                  </m:r>
                  <m:r>
                    <m:t>c</m:t>
                  </m:r>
                  <m:r>
                    <m:t>l</m:t>
                  </m:r>
                  <m:r>
                    <m:t>e</m:t>
                  </m:r>
                </m:sub>
              </m:sSub>
            </m:oMath>
          </w:p>
        </w:tc>
        <w:tc>
          <w:tcPr/>
          <w:p>
            <w:pPr>
              <w:pStyle w:val="Compact"/>
              <w:jc w:val="left"/>
            </w:pPr>
            <w:r>
              <w:t xml:space="preserve">Duration of one clock cycle</w:t>
            </w:r>
          </w:p>
        </w:tc>
        <w:tc>
          <w:tcPr/>
          <w:p>
            <w:pPr>
              <w:pStyle w:val="Compact"/>
              <w:jc w:val="left"/>
            </w:pPr>
            <w:r>
              <w:t xml:space="preserve">seconds/cycle</w:t>
            </w:r>
          </w:p>
        </w:tc>
      </w:tr>
      <w:tr>
        <w:tc>
          <w:tcPr/>
          <w:p>
            <w:pPr>
              <w:pStyle w:val="Compact"/>
              <w:jc w:val="left"/>
            </w:pPr>
            <m:oMath>
              <m:r>
                <m:t>f</m:t>
              </m:r>
            </m:oMath>
          </w:p>
        </w:tc>
        <w:tc>
          <w:tcPr/>
          <w:p>
            <w:pPr>
              <w:pStyle w:val="Compact"/>
              <w:jc w:val="left"/>
            </w:pPr>
            <w:r>
              <w:t xml:space="preserve">Clock frequency,</w:t>
            </w:r>
            <w:r>
              <w:t xml:space="preserve"> </w:t>
            </w:r>
            <m:oMath>
              <m:r>
                <m:t>1</m:t>
              </m:r>
              <m:r>
                <m:rPr>
                  <m:sty m:val="p"/>
                </m:rPr>
                <m:t>/</m:t>
              </m:r>
              <m:sSub>
                <m:e>
                  <m:r>
                    <m:t>t</m:t>
                  </m:r>
                </m:e>
                <m:sub>
                  <m:r>
                    <m:t>c</m:t>
                  </m:r>
                  <m:r>
                    <m:t>y</m:t>
                  </m:r>
                  <m:r>
                    <m:t>c</m:t>
                  </m:r>
                  <m:r>
                    <m:t>l</m:t>
                  </m:r>
                  <m:r>
                    <m:t>e</m:t>
                  </m:r>
                </m:sub>
              </m:sSub>
            </m:oMath>
          </w:p>
        </w:tc>
        <w:tc>
          <w:tcPr/>
          <w:p>
            <w:pPr>
              <w:pStyle w:val="Compact"/>
              <w:jc w:val="left"/>
            </w:pPr>
            <w:r>
              <w:t xml:space="preserve">cycles/second (Hz)</w:t>
            </w:r>
          </w:p>
        </w:tc>
      </w:tr>
    </w:tbl>
    <w:p>
      <w:pPr>
        <w:pStyle w:val="CalloutExample"/>
      </w:pPr>
      <w:r>
        <w:rPr>
          <w:bCs/>
          <w:b/>
        </w:rPr>
        <w:t xml:space="preserve">WORKED EXAMPLE</w:t>
      </w:r>
    </w:p>
    <w:p>
      <w:pPr>
        <w:pStyle w:val="CalloutExample"/>
      </w:pPr>
      <w:r>
        <w:rPr>
          <w:bCs/>
          <w:b/>
        </w:rPr>
        <w:t xml:space="preserve">Worked example — Running a program and paying for mispredicted branches.</w:t>
      </w:r>
    </w:p>
    <w:p>
      <w:pPr>
        <w:pStyle w:val="CalloutExample"/>
      </w:pPr>
      <w:r>
        <w:t xml:space="preserve">A program executes</w:t>
      </w:r>
      <w:r>
        <w:t xml:space="preserve"> </w:t>
      </w:r>
      <m:oMath>
        <m:sSub>
          <m:e>
            <m:r>
              <m:t>N</m:t>
            </m:r>
          </m:e>
          <m:sub>
            <m:r>
              <m:t>i</m:t>
            </m:r>
            <m:r>
              <m:t>n</m:t>
            </m:r>
            <m:r>
              <m:t>s</m:t>
            </m:r>
            <m:r>
              <m:t>t</m:t>
            </m:r>
            <m:r>
              <m:t>r</m:t>
            </m:r>
          </m:sub>
        </m:sSub>
        <m:r>
          <m:rPr>
            <m:sty m:val="p"/>
          </m:rPr>
          <m:t>=</m:t>
        </m:r>
        <m:r>
          <m:t>4</m:t>
        </m:r>
        <m:r>
          <m:rPr>
            <m:sty m:val="p"/>
          </m:rPr>
          <m:t>×</m:t>
        </m:r>
        <m:sSup>
          <m:e>
            <m:r>
              <m:t>10</m:t>
            </m:r>
          </m:e>
          <m:sup>
            <m:r>
              <m:t>9</m:t>
            </m:r>
          </m:sup>
        </m:sSup>
      </m:oMath>
      <w:r>
        <w:t xml:space="preserve"> </w:t>
      </w:r>
      <w:r>
        <w:t xml:space="preserve">instructions on a 4 GHz core (</w:t>
      </w:r>
      <m:oMath>
        <m:sSub>
          <m:e>
            <m:r>
              <m:t>t</m:t>
            </m:r>
          </m:e>
          <m:sub>
            <m:r>
              <m:t>c</m:t>
            </m:r>
            <m:r>
              <m:t>y</m:t>
            </m:r>
            <m:r>
              <m:t>c</m:t>
            </m:r>
            <m:r>
              <m:t>l</m:t>
            </m:r>
            <m:r>
              <m:t>e</m:t>
            </m:r>
          </m:sub>
        </m:sSub>
        <m:r>
          <m:rPr>
            <m:sty m:val="p"/>
          </m:rPr>
          <m:t>=</m:t>
        </m:r>
        <m:r>
          <m:t>0.25</m:t>
        </m:r>
      </m:oMath>
      <w:r>
        <w:t xml:space="preserve"> </w:t>
      </w:r>
      <w:r>
        <w:t xml:space="preserve">ns) at an average CPI of 0.5 (the core completes two instructions per cycle on average).</w:t>
      </w:r>
    </w:p>
    <w:p>
      <w:pPr>
        <w:numPr>
          <w:ilvl w:val="0"/>
          <w:numId w:val="1140"/>
        </w:numPr>
        <w:pStyle w:val="Compact"/>
      </w:pPr>
      <m:oMath>
        <m:sSub>
          <m:e>
            <m:r>
              <m:t>T</m:t>
            </m:r>
          </m:e>
          <m:sub>
            <m:r>
              <m:t>C</m:t>
            </m:r>
            <m:r>
              <m:t>P</m:t>
            </m:r>
            <m:r>
              <m:t>U</m:t>
            </m:r>
          </m:sub>
        </m:sSub>
        <m:r>
          <m:rPr>
            <m:sty m:val="p"/>
          </m:rPr>
          <m:t>=</m:t>
        </m:r>
        <m:r>
          <m:t>4</m:t>
        </m:r>
        <m:r>
          <m:rPr>
            <m:sty m:val="p"/>
          </m:rPr>
          <m:t>×</m:t>
        </m:r>
        <m:sSup>
          <m:e>
            <m:r>
              <m:t>10</m:t>
            </m:r>
          </m:e>
          <m:sup>
            <m:r>
              <m:t>9</m:t>
            </m:r>
          </m:sup>
        </m:sSup>
        <m:r>
          <m:rPr>
            <m:sty m:val="p"/>
          </m:rPr>
          <m:t>×</m:t>
        </m:r>
        <m:r>
          <m:t>0.5</m:t>
        </m:r>
        <m:r>
          <m:rPr>
            <m:sty m:val="p"/>
          </m:rPr>
          <m:t>×</m:t>
        </m:r>
        <m:r>
          <m:t>0.25</m:t>
        </m:r>
        <m:r>
          <m:rPr>
            <m:sty m:val="p"/>
          </m:rPr>
          <m:t>×</m:t>
        </m:r>
        <m:sSup>
          <m:e>
            <m:r>
              <m:t>10</m:t>
            </m:r>
          </m:e>
          <m:sup>
            <m:r>
              <m:rPr>
                <m:sty m:val="p"/>
              </m:rPr>
              <m:t>−</m:t>
            </m:r>
            <m:r>
              <m:t>9</m:t>
            </m:r>
          </m:sup>
        </m:sSup>
        <m:r>
          <m:t> </m:t>
        </m:r>
        <m:r>
          <m:rPr>
            <m:nor/>
            <m:sty m:val="p"/>
          </m:rPr>
          <m:t>s</m:t>
        </m:r>
        <m:r>
          <m:rPr>
            <m:sty m:val="p"/>
          </m:rPr>
          <m:t>=</m:t>
        </m:r>
        <m:r>
          <m:t>0.5</m:t>
        </m:r>
      </m:oMath>
      <w:r>
        <w:t xml:space="preserve"> </w:t>
      </w:r>
      <w:r>
        <w:t xml:space="preserve">s.</w:t>
      </w:r>
    </w:p>
    <w:p>
      <w:pPr>
        <w:pStyle w:val="CalloutExample"/>
      </w:pPr>
      <w:r>
        <w:t xml:space="preserve">Now suppose 20% of instructions are branches, 5% of those branches are mispredicted (§5.3.4), and each misprediction costs 15 cycles.</w:t>
      </w:r>
    </w:p>
    <w:p>
      <w:pPr>
        <w:numPr>
          <w:ilvl w:val="0"/>
          <w:numId w:val="1141"/>
        </w:numPr>
        <w:pStyle w:val="Compact"/>
      </w:pPr>
      <w:r>
        <w:t xml:space="preserve">Extra CPI from mispredictions</w:t>
      </w:r>
      <w:r>
        <w:t xml:space="preserve"> </w:t>
      </w:r>
      <m:oMath>
        <m:r>
          <m:rPr>
            <m:sty m:val="p"/>
          </m:rPr>
          <m:t>=</m:t>
        </m:r>
        <m:r>
          <m:t>0.20</m:t>
        </m:r>
        <m:r>
          <m:rPr>
            <m:sty m:val="p"/>
          </m:rPr>
          <m:t>×</m:t>
        </m:r>
        <m:r>
          <m:t>0.05</m:t>
        </m:r>
        <m:r>
          <m:rPr>
            <m:sty m:val="p"/>
          </m:rPr>
          <m:t>×</m:t>
        </m:r>
        <m:r>
          <m:t>15</m:t>
        </m:r>
        <m:r>
          <m:rPr>
            <m:sty m:val="p"/>
          </m:rPr>
          <m:t>=</m:t>
        </m:r>
        <m:r>
          <m:t>0.15</m:t>
        </m:r>
      </m:oMath>
      <w:r>
        <w:t xml:space="preserve"> </w:t>
      </w:r>
      <w:r>
        <w:t xml:space="preserve">cycles per instruction.</w:t>
      </w:r>
    </w:p>
    <w:p>
      <w:pPr>
        <w:numPr>
          <w:ilvl w:val="0"/>
          <w:numId w:val="1141"/>
        </w:numPr>
        <w:pStyle w:val="Compact"/>
      </w:pPr>
      <w:r>
        <w:t xml:space="preserve">New CPI</w:t>
      </w:r>
      <w:r>
        <w:t xml:space="preserve"> </w:t>
      </w:r>
      <m:oMath>
        <m:r>
          <m:rPr>
            <m:sty m:val="p"/>
          </m:rPr>
          <m:t>=</m:t>
        </m:r>
        <m:r>
          <m:t>0.5</m:t>
        </m:r>
        <m:r>
          <m:rPr>
            <m:sty m:val="p"/>
          </m:rPr>
          <m:t>+</m:t>
        </m:r>
        <m:r>
          <m:t>0.15</m:t>
        </m:r>
        <m:r>
          <m:rPr>
            <m:sty m:val="p"/>
          </m:rPr>
          <m:t>=</m:t>
        </m:r>
        <m:r>
          <m:t>0.65</m:t>
        </m:r>
      </m:oMath>
      <w:r>
        <w:t xml:space="preserve">.</w:t>
      </w:r>
    </w:p>
    <w:p>
      <w:pPr>
        <w:numPr>
          <w:ilvl w:val="0"/>
          <w:numId w:val="1141"/>
        </w:numPr>
        <w:pStyle w:val="Compact"/>
      </w:pPr>
      <w:r>
        <w:t xml:space="preserve">New</w:t>
      </w:r>
      <w:r>
        <w:t xml:space="preserve"> </w:t>
      </w:r>
      <m:oMath>
        <m:sSub>
          <m:e>
            <m:r>
              <m:t>T</m:t>
            </m:r>
          </m:e>
          <m:sub>
            <m:r>
              <m:t>C</m:t>
            </m:r>
            <m:r>
              <m:t>P</m:t>
            </m:r>
            <m:r>
              <m:t>U</m:t>
            </m:r>
          </m:sub>
        </m:sSub>
        <m:r>
          <m:rPr>
            <m:sty m:val="p"/>
          </m:rPr>
          <m:t>=</m:t>
        </m:r>
        <m:r>
          <m:t>4</m:t>
        </m:r>
        <m:r>
          <m:rPr>
            <m:sty m:val="p"/>
          </m:rPr>
          <m:t>×</m:t>
        </m:r>
        <m:sSup>
          <m:e>
            <m:r>
              <m:t>10</m:t>
            </m:r>
          </m:e>
          <m:sup>
            <m:r>
              <m:t>9</m:t>
            </m:r>
          </m:sup>
        </m:sSup>
        <m:r>
          <m:rPr>
            <m:sty m:val="p"/>
          </m:rPr>
          <m:t>×</m:t>
        </m:r>
        <m:r>
          <m:t>0.65</m:t>
        </m:r>
        <m:r>
          <m:rPr>
            <m:sty m:val="p"/>
          </m:rPr>
          <m:t>×</m:t>
        </m:r>
        <m:r>
          <m:t>0.25</m:t>
        </m:r>
        <m:r>
          <m:rPr>
            <m:sty m:val="p"/>
          </m:rPr>
          <m:t>×</m:t>
        </m:r>
        <m:sSup>
          <m:e>
            <m:r>
              <m:t>10</m:t>
            </m:r>
          </m:e>
          <m:sup>
            <m:r>
              <m:rPr>
                <m:sty m:val="p"/>
              </m:rPr>
              <m:t>−</m:t>
            </m:r>
            <m:r>
              <m:t>9</m:t>
            </m:r>
          </m:sup>
        </m:sSup>
        <m:r>
          <m:rPr>
            <m:sty m:val="p"/>
          </m:rPr>
          <m:t>=</m:t>
        </m:r>
        <m:r>
          <m:t>0.65</m:t>
        </m:r>
      </m:oMath>
      <w:r>
        <w:t xml:space="preserve"> </w:t>
      </w:r>
      <w:r>
        <w:t xml:space="preserve">s.</w:t>
      </w:r>
    </w:p>
    <w:p>
      <w:pPr>
        <w:pStyle w:val="CalloutExample"/>
      </w:pPr>
      <w:r>
        <w:t xml:space="preserve">Cross-check:</w:t>
      </w:r>
      <w:r>
        <w:t xml:space="preserve"> </w:t>
      </w:r>
      <m:oMath>
        <m:r>
          <m:t>4</m:t>
        </m:r>
        <m:r>
          <m:rPr>
            <m:sty m:val="p"/>
          </m:rPr>
          <m:t>×</m:t>
        </m:r>
        <m:sSup>
          <m:e>
            <m:r>
              <m:t>10</m:t>
            </m:r>
          </m:e>
          <m:sup>
            <m:r>
              <m:t>9</m:t>
            </m:r>
          </m:sup>
        </m:sSup>
        <m:r>
          <m:rPr>
            <m:sty m:val="p"/>
          </m:rPr>
          <m:t>×</m:t>
        </m:r>
        <m:r>
          <m:t>0.2</m:t>
        </m:r>
        <m:r>
          <m:rPr>
            <m:sty m:val="p"/>
          </m:rPr>
          <m:t>×</m:t>
        </m:r>
        <m:r>
          <m:t>0.05</m:t>
        </m:r>
        <m:r>
          <m:rPr>
            <m:sty m:val="p"/>
          </m:rPr>
          <m:t>=</m:t>
        </m:r>
        <m:r>
          <m:t>4</m:t>
        </m:r>
        <m:r>
          <m:rPr>
            <m:sty m:val="p"/>
          </m:rPr>
          <m:t>×</m:t>
        </m:r>
        <m:sSup>
          <m:e>
            <m:r>
              <m:t>10</m:t>
            </m:r>
          </m:e>
          <m:sup>
            <m:r>
              <m:t>7</m:t>
            </m:r>
          </m:sup>
        </m:sSup>
      </m:oMath>
      <w:r>
        <w:t xml:space="preserve"> </w:t>
      </w:r>
      <w:r>
        <w:t xml:space="preserve">mispredictions</w:t>
      </w:r>
      <w:r>
        <w:t xml:space="preserve"> </w:t>
      </w:r>
      <m:oMath>
        <m:r>
          <m:rPr>
            <m:sty m:val="p"/>
          </m:rPr>
          <m:t>×</m:t>
        </m:r>
      </m:oMath>
      <w:r>
        <w:t xml:space="preserve"> </w:t>
      </w:r>
      <w:r>
        <w:t xml:space="preserve">15 cycles</w:t>
      </w:r>
      <w:r>
        <w:t xml:space="preserve"> </w:t>
      </w:r>
      <m:oMath>
        <m:r>
          <m:rPr>
            <m:sty m:val="p"/>
          </m:rPr>
          <m:t>=</m:t>
        </m:r>
        <m:r>
          <m:t>6</m:t>
        </m:r>
        <m:r>
          <m:rPr>
            <m:sty m:val="p"/>
          </m:rPr>
          <m:t>×</m:t>
        </m:r>
        <m:sSup>
          <m:e>
            <m:r>
              <m:t>10</m:t>
            </m:r>
          </m:e>
          <m:sup>
            <m:r>
              <m:t>8</m:t>
            </m:r>
          </m:sup>
        </m:sSup>
      </m:oMath>
      <w:r>
        <w:t xml:space="preserve"> </w:t>
      </w:r>
      <w:r>
        <w:t xml:space="preserve">cycles</w:t>
      </w:r>
      <w:r>
        <w:t xml:space="preserve"> </w:t>
      </w:r>
      <m:oMath>
        <m:r>
          <m:rPr>
            <m:sty m:val="p"/>
          </m:rPr>
          <m:t>=</m:t>
        </m:r>
        <m:r>
          <m:t>6</m:t>
        </m:r>
        <m:r>
          <m:rPr>
            <m:sty m:val="p"/>
          </m:rPr>
          <m:t>×</m:t>
        </m:r>
        <m:sSup>
          <m:e>
            <m:r>
              <m:t>10</m:t>
            </m:r>
          </m:e>
          <m:sup>
            <m:r>
              <m:t>8</m:t>
            </m:r>
          </m:sup>
        </m:sSup>
        <m:r>
          <m:rPr>
            <m:sty m:val="p"/>
          </m:rPr>
          <m:t>×</m:t>
        </m:r>
        <m:r>
          <m:t>0.25</m:t>
        </m:r>
      </m:oMath>
      <w:r>
        <w:t xml:space="preserve"> </w:t>
      </w:r>
      <w:r>
        <w:t xml:space="preserve">ns</w:t>
      </w:r>
      <w:r>
        <w:t xml:space="preserve"> </w:t>
      </w:r>
      <m:oMath>
        <m:r>
          <m:rPr>
            <m:sty m:val="p"/>
          </m:rPr>
          <m:t>=</m:t>
        </m:r>
        <m:r>
          <m:t>0.15</m:t>
        </m:r>
      </m:oMath>
      <w:r>
        <w:t xml:space="preserve"> </w:t>
      </w:r>
      <w:r>
        <w:t xml:space="preserve">s extra. ✓</w:t>
      </w:r>
    </w:p>
    <w:p>
      <w:pPr>
        <w:pStyle w:val="CalloutExample"/>
      </w:pPr>
      <w:r>
        <w:rPr>
          <w:bCs/>
          <w:b/>
        </w:rPr>
        <w:t xml:space="preserve">Interpretation.</w:t>
      </w:r>
      <w:r>
        <w:t xml:space="preserve"> </w:t>
      </w:r>
      <w:r>
        <w:t xml:space="preserve">One branch in a hundred instructions going the</w:t>
      </w:r>
      <w:r>
        <w:t xml:space="preserve"> </w:t>
      </w:r>
      <w:r>
        <w:t xml:space="preserve">“</w:t>
      </w:r>
      <w:r>
        <w:t xml:space="preserve">wrong way</w:t>
      </w:r>
      <w:r>
        <w:t xml:space="preserve">”</w:t>
      </w:r>
      <w:r>
        <w:t xml:space="preserve"> </w:t>
      </w:r>
      <w:r>
        <w:t xml:space="preserve">costs 30% of the run time.</w:t>
      </w:r>
      <w:r>
        <w:t xml:space="preserve"> </w:t>
      </w:r>
      <w:r>
        <w:rPr>
          <w:bCs/>
          <w:b/>
        </w:rPr>
        <w:t xml:space="preserve">Engineering implication.</w:t>
      </w:r>
      <w:r>
        <w:t xml:space="preserve"> </w:t>
      </w:r>
      <w:r>
        <w:t xml:space="preserve">Raw clock speed is only one of three factors; CPI — which depends on caches, branches and dependencies — usually varies far more between two versions of the same code than clock rate varies between two CPUs.</w:t>
      </w:r>
    </w:p>
    <w:bookmarkEnd w:id="464"/>
    <w:bookmarkStart w:id="470" w:name="the-instruction-pipeline"/>
    <w:p>
      <w:pPr>
        <w:pStyle w:val="Heading3"/>
      </w:pPr>
      <w:r>
        <w:t xml:space="preserve">5.3.3 The instruction pipeline</w:t>
      </w:r>
    </w:p>
    <w:p>
      <w:pPr>
        <w:pStyle w:val="CalloutDefinition"/>
      </w:pPr>
      <w:r>
        <w:rPr>
          <w:bCs/>
          <w:b/>
        </w:rPr>
        <w:t xml:space="preserve">DEFINITION</w:t>
      </w:r>
    </w:p>
    <w:p>
      <w:pPr>
        <w:pStyle w:val="CalloutDefinition"/>
      </w:pPr>
      <w:r>
        <w:rPr>
          <w:bCs/>
          <w:b/>
        </w:rPr>
        <w:t xml:space="preserve">Definition — Instruction pipeline.</w:t>
      </w:r>
      <w:r>
        <w:t xml:space="preserve"> </w:t>
      </w:r>
      <w:r>
        <w:t xml:space="preserve">A technique in which the core splits instruction execution into stages and works on different stages of several consecutive instructions at the same time, like an assembly line.</w:t>
      </w:r>
    </w:p>
    <w:bookmarkStart w:id="465" w:name="first-principles-explanation-32"/>
    <w:p>
      <w:pPr>
        <w:pStyle w:val="Heading4"/>
      </w:pPr>
      <w:r>
        <w:t xml:space="preserve">First-principles explanation</w:t>
      </w:r>
    </w:p>
    <w:p>
      <w:pPr>
        <w:pStyle w:val="FirstParagraph"/>
      </w:pPr>
      <w:r>
        <w:t xml:space="preserve">A laundry has a washer, a dryer and a folding table. Doing one load start-to-finish before starting the next wastes the washer while the dryer runs. Instead you start load 2 in the washer the moment load 1 moves to the dryer. Each load still takes as long as before (its</w:t>
      </w:r>
      <w:r>
        <w:t xml:space="preserve"> </w:t>
      </w:r>
      <w:r>
        <w:rPr>
          <w:bCs/>
          <w:b/>
        </w:rPr>
        <w:t xml:space="preserve">latency</w:t>
      </w:r>
      <w:r>
        <w:t xml:space="preserve"> </w:t>
      </w:r>
      <w:r>
        <w:t xml:space="preserve">is unchanged), but a load</w:t>
      </w:r>
      <w:r>
        <w:t xml:space="preserve"> </w:t>
      </w:r>
      <w:r>
        <w:rPr>
          <w:iCs/>
          <w:i/>
        </w:rPr>
        <w:t xml:space="preserve">finishes</w:t>
      </w:r>
      <w:r>
        <w:t xml:space="preserve"> </w:t>
      </w:r>
      <w:r>
        <w:t xml:space="preserve">far more often (its</w:t>
      </w:r>
      <w:r>
        <w:t xml:space="preserve"> </w:t>
      </w:r>
      <w:r>
        <w:rPr>
          <w:bCs/>
          <w:b/>
        </w:rPr>
        <w:t xml:space="preserve">throughput</w:t>
      </w:r>
      <w:r>
        <w:t xml:space="preserve"> </w:t>
      </w:r>
      <w:r>
        <w:t xml:space="preserve">rises). A CPU pipeline is the same idea applied to instructions. This distinction between latency and throughput recurs at every level of system design (§5.12).</w:t>
      </w:r>
    </w:p>
    <w:bookmarkEnd w:id="465"/>
    <w:bookmarkStart w:id="469" w:name="how-it-works-internally-17"/>
    <w:p>
      <w:pPr>
        <w:pStyle w:val="Heading4"/>
      </w:pPr>
      <w:r>
        <w:t xml:space="preserve">How it works internally</w:t>
      </w:r>
    </w:p>
    <w:p>
      <w:pPr>
        <w:pStyle w:val="FirstParagraph"/>
      </w:pPr>
      <w:r>
        <w:t xml:space="preserve">The classic teaching pipeline has five stages: instruction fetch (IF), instruction decode (ID), execute (EX), memory access (MEM) and write back (WB) [Hennessy &amp; Patterson 2017, appendix C]. Real cores have between roughly 10 and 20 stages (as of 2025, approximate), but the principle is identical.</w:t>
      </w:r>
    </w:p>
    <w:p>
      <w:pPr>
        <w:pStyle w:val="BodyText"/>
      </w:pPr>
      <w:r>
        <w:rPr>
          <w:bCs/>
          <w:b/>
        </w:rPr>
        <w:t xml:space="preserve">Table 5.1 — Five instructions flowing through a five-stage pipeline.</w:t>
      </w:r>
    </w:p>
    <w:tbl>
      <w:tblPr>
        <w:tblStyle w:val="Table"/>
        <w:tblW w:type="auto" w:w="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Cycle →</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c>
          <w:tcPr/>
          <w:p>
            <w:pPr>
              <w:pStyle w:val="Compact"/>
              <w:jc w:val="left"/>
            </w:pPr>
            <w:r>
              <w:t xml:space="preserve">5</w:t>
            </w:r>
          </w:p>
        </w:tc>
        <w:tc>
          <w:tcPr/>
          <w:p>
            <w:pPr>
              <w:pStyle w:val="Compact"/>
              <w:jc w:val="left"/>
            </w:pPr>
            <w:r>
              <w:t xml:space="preserve">6</w:t>
            </w:r>
          </w:p>
        </w:tc>
        <w:tc>
          <w:tcPr/>
          <w:p>
            <w:pPr>
              <w:pStyle w:val="Compact"/>
              <w:jc w:val="left"/>
            </w:pPr>
            <w:r>
              <w:t xml:space="preserve">7</w:t>
            </w:r>
          </w:p>
        </w:tc>
        <w:tc>
          <w:tcPr/>
          <w:p>
            <w:pPr>
              <w:pStyle w:val="Compact"/>
              <w:jc w:val="left"/>
            </w:pPr>
            <w:r>
              <w:t xml:space="preserve">8</w:t>
            </w:r>
          </w:p>
        </w:tc>
        <w:tc>
          <w:tcPr/>
          <w:p>
            <w:pPr>
              <w:pStyle w:val="Compact"/>
              <w:jc w:val="left"/>
            </w:pPr>
            <w:r>
              <w:t xml:space="preserve">9</w:t>
            </w:r>
          </w:p>
        </w:tc>
      </w:tr>
      <w:tr>
        <w:tc>
          <w:tcPr/>
          <w:p>
            <w:pPr>
              <w:pStyle w:val="Compact"/>
              <w:jc w:val="left"/>
            </w:pPr>
            <w:r>
              <w:t xml:space="preserve">Instruction 1</w:t>
            </w:r>
          </w:p>
        </w:tc>
        <w:tc>
          <w:tcPr/>
          <w:p>
            <w:pPr>
              <w:pStyle w:val="Compact"/>
              <w:jc w:val="left"/>
            </w:pPr>
            <w:r>
              <w:t xml:space="preserve">IF</w:t>
            </w:r>
          </w:p>
        </w:tc>
        <w:tc>
          <w:tcPr/>
          <w:p>
            <w:pPr>
              <w:pStyle w:val="Compact"/>
              <w:jc w:val="left"/>
            </w:pPr>
            <w:r>
              <w:t xml:space="preserve">ID</w:t>
            </w:r>
          </w:p>
        </w:tc>
        <w:tc>
          <w:tcPr/>
          <w:p>
            <w:pPr>
              <w:pStyle w:val="Compact"/>
              <w:jc w:val="left"/>
            </w:pPr>
            <w:r>
              <w:t xml:space="preserve">EX</w:t>
            </w:r>
          </w:p>
        </w:tc>
        <w:tc>
          <w:tcPr/>
          <w:p>
            <w:pPr>
              <w:pStyle w:val="Compact"/>
              <w:jc w:val="left"/>
            </w:pPr>
            <w:r>
              <w:t xml:space="preserve">MEM</w:t>
            </w:r>
          </w:p>
        </w:tc>
        <w:tc>
          <w:tcPr/>
          <w:p>
            <w:pPr>
              <w:pStyle w:val="Compact"/>
              <w:jc w:val="left"/>
            </w:pPr>
            <w:r>
              <w:t xml:space="preserve">WB</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Instruction 2</w:t>
            </w:r>
          </w:p>
        </w:tc>
        <w:tc>
          <w:tcPr/>
          <w:p>
            <w:pPr>
              <w:pStyle w:val="Compact"/>
            </w:pPr>
          </w:p>
        </w:tc>
        <w:tc>
          <w:tcPr/>
          <w:p>
            <w:pPr>
              <w:pStyle w:val="Compact"/>
              <w:jc w:val="left"/>
            </w:pPr>
            <w:r>
              <w:t xml:space="preserve">IF</w:t>
            </w:r>
          </w:p>
        </w:tc>
        <w:tc>
          <w:tcPr/>
          <w:p>
            <w:pPr>
              <w:pStyle w:val="Compact"/>
              <w:jc w:val="left"/>
            </w:pPr>
            <w:r>
              <w:t xml:space="preserve">ID</w:t>
            </w:r>
          </w:p>
        </w:tc>
        <w:tc>
          <w:tcPr/>
          <w:p>
            <w:pPr>
              <w:pStyle w:val="Compact"/>
              <w:jc w:val="left"/>
            </w:pPr>
            <w:r>
              <w:t xml:space="preserve">EX</w:t>
            </w:r>
          </w:p>
        </w:tc>
        <w:tc>
          <w:tcPr/>
          <w:p>
            <w:pPr>
              <w:pStyle w:val="Compact"/>
              <w:jc w:val="left"/>
            </w:pPr>
            <w:r>
              <w:t xml:space="preserve">MEM</w:t>
            </w:r>
          </w:p>
        </w:tc>
        <w:tc>
          <w:tcPr/>
          <w:p>
            <w:pPr>
              <w:pStyle w:val="Compact"/>
              <w:jc w:val="left"/>
            </w:pPr>
            <w:r>
              <w:t xml:space="preserve">WB</w:t>
            </w:r>
          </w:p>
        </w:tc>
        <w:tc>
          <w:tcPr/>
          <w:p>
            <w:pPr>
              <w:pStyle w:val="Compact"/>
            </w:pPr>
          </w:p>
        </w:tc>
        <w:tc>
          <w:tcPr/>
          <w:p>
            <w:pPr>
              <w:pStyle w:val="Compact"/>
            </w:pPr>
          </w:p>
        </w:tc>
        <w:tc>
          <w:tcPr/>
          <w:p>
            <w:pPr>
              <w:pStyle w:val="Compact"/>
            </w:pPr>
          </w:p>
        </w:tc>
      </w:tr>
      <w:tr>
        <w:tc>
          <w:tcPr/>
          <w:p>
            <w:pPr>
              <w:pStyle w:val="Compact"/>
              <w:jc w:val="left"/>
            </w:pPr>
            <w:r>
              <w:t xml:space="preserve">Instruction 3</w:t>
            </w:r>
          </w:p>
        </w:tc>
        <w:tc>
          <w:tcPr/>
          <w:p>
            <w:pPr>
              <w:pStyle w:val="Compact"/>
            </w:pPr>
          </w:p>
        </w:tc>
        <w:tc>
          <w:tcPr/>
          <w:p>
            <w:pPr>
              <w:pStyle w:val="Compact"/>
            </w:pPr>
          </w:p>
        </w:tc>
        <w:tc>
          <w:tcPr/>
          <w:p>
            <w:pPr>
              <w:pStyle w:val="Compact"/>
              <w:jc w:val="left"/>
            </w:pPr>
            <w:r>
              <w:t xml:space="preserve">IF</w:t>
            </w:r>
          </w:p>
        </w:tc>
        <w:tc>
          <w:tcPr/>
          <w:p>
            <w:pPr>
              <w:pStyle w:val="Compact"/>
              <w:jc w:val="left"/>
            </w:pPr>
            <w:r>
              <w:t xml:space="preserve">ID</w:t>
            </w:r>
          </w:p>
        </w:tc>
        <w:tc>
          <w:tcPr/>
          <w:p>
            <w:pPr>
              <w:pStyle w:val="Compact"/>
              <w:jc w:val="left"/>
            </w:pPr>
            <w:r>
              <w:t xml:space="preserve">EX</w:t>
            </w:r>
          </w:p>
        </w:tc>
        <w:tc>
          <w:tcPr/>
          <w:p>
            <w:pPr>
              <w:pStyle w:val="Compact"/>
              <w:jc w:val="left"/>
            </w:pPr>
            <w:r>
              <w:t xml:space="preserve">MEM</w:t>
            </w:r>
          </w:p>
        </w:tc>
        <w:tc>
          <w:tcPr/>
          <w:p>
            <w:pPr>
              <w:pStyle w:val="Compact"/>
              <w:jc w:val="left"/>
            </w:pPr>
            <w:r>
              <w:t xml:space="preserve">WB</w:t>
            </w:r>
          </w:p>
        </w:tc>
        <w:tc>
          <w:tcPr/>
          <w:p>
            <w:pPr>
              <w:pStyle w:val="Compact"/>
            </w:pPr>
          </w:p>
        </w:tc>
        <w:tc>
          <w:tcPr/>
          <w:p>
            <w:pPr>
              <w:pStyle w:val="Compact"/>
            </w:pPr>
          </w:p>
        </w:tc>
      </w:tr>
      <w:tr>
        <w:tc>
          <w:tcPr/>
          <w:p>
            <w:pPr>
              <w:pStyle w:val="Compact"/>
              <w:jc w:val="left"/>
            </w:pPr>
            <w:r>
              <w:t xml:space="preserve">Instruction 4</w:t>
            </w:r>
          </w:p>
        </w:tc>
        <w:tc>
          <w:tcPr/>
          <w:p>
            <w:pPr>
              <w:pStyle w:val="Compact"/>
            </w:pPr>
          </w:p>
        </w:tc>
        <w:tc>
          <w:tcPr/>
          <w:p>
            <w:pPr>
              <w:pStyle w:val="Compact"/>
            </w:pPr>
          </w:p>
        </w:tc>
        <w:tc>
          <w:tcPr/>
          <w:p>
            <w:pPr>
              <w:pStyle w:val="Compact"/>
            </w:pPr>
          </w:p>
        </w:tc>
        <w:tc>
          <w:tcPr/>
          <w:p>
            <w:pPr>
              <w:pStyle w:val="Compact"/>
              <w:jc w:val="left"/>
            </w:pPr>
            <w:r>
              <w:t xml:space="preserve">IF</w:t>
            </w:r>
          </w:p>
        </w:tc>
        <w:tc>
          <w:tcPr/>
          <w:p>
            <w:pPr>
              <w:pStyle w:val="Compact"/>
              <w:jc w:val="left"/>
            </w:pPr>
            <w:r>
              <w:t xml:space="preserve">ID</w:t>
            </w:r>
          </w:p>
        </w:tc>
        <w:tc>
          <w:tcPr/>
          <w:p>
            <w:pPr>
              <w:pStyle w:val="Compact"/>
              <w:jc w:val="left"/>
            </w:pPr>
            <w:r>
              <w:t xml:space="preserve">EX</w:t>
            </w:r>
          </w:p>
        </w:tc>
        <w:tc>
          <w:tcPr/>
          <w:p>
            <w:pPr>
              <w:pStyle w:val="Compact"/>
              <w:jc w:val="left"/>
            </w:pPr>
            <w:r>
              <w:t xml:space="preserve">MEM</w:t>
            </w:r>
          </w:p>
        </w:tc>
        <w:tc>
          <w:tcPr/>
          <w:p>
            <w:pPr>
              <w:pStyle w:val="Compact"/>
              <w:jc w:val="left"/>
            </w:pPr>
            <w:r>
              <w:t xml:space="preserve">WB</w:t>
            </w:r>
          </w:p>
        </w:tc>
        <w:tc>
          <w:tcPr/>
          <w:p>
            <w:pPr>
              <w:pStyle w:val="Compact"/>
            </w:pPr>
          </w:p>
        </w:tc>
      </w:tr>
      <w:tr>
        <w:tc>
          <w:tcPr/>
          <w:p>
            <w:pPr>
              <w:pStyle w:val="Compact"/>
              <w:jc w:val="left"/>
            </w:pPr>
            <w:r>
              <w:t xml:space="preserve">Instruction 5</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IF</w:t>
            </w:r>
          </w:p>
        </w:tc>
        <w:tc>
          <w:tcPr/>
          <w:p>
            <w:pPr>
              <w:pStyle w:val="Compact"/>
              <w:jc w:val="left"/>
            </w:pPr>
            <w:r>
              <w:t xml:space="preserve">ID</w:t>
            </w:r>
          </w:p>
        </w:tc>
        <w:tc>
          <w:tcPr/>
          <w:p>
            <w:pPr>
              <w:pStyle w:val="Compact"/>
              <w:jc w:val="left"/>
            </w:pPr>
            <w:r>
              <w:t xml:space="preserve">EX</w:t>
            </w:r>
          </w:p>
        </w:tc>
        <w:tc>
          <w:tcPr/>
          <w:p>
            <w:pPr>
              <w:pStyle w:val="Compact"/>
              <w:jc w:val="left"/>
            </w:pPr>
            <w:r>
              <w:t xml:space="preserve">MEM</w:t>
            </w:r>
          </w:p>
        </w:tc>
        <w:tc>
          <w:tcPr/>
          <w:p>
            <w:pPr>
              <w:pStyle w:val="Compact"/>
              <w:jc w:val="left"/>
            </w:pPr>
            <w:r>
              <w:t xml:space="preserve">WB</w:t>
            </w:r>
          </w:p>
        </w:tc>
      </w:tr>
    </w:tbl>
    <w:p>
      <w:pPr>
        <w:pStyle w:val="BodyText"/>
      </w:pPr>
      <w:r>
        <w:t xml:space="preserve">Without pipelining, five instructions would take 5 × 5 = 25 cycles. With it they take 9 cycles, and once the pipeline is full one instruction completes</w:t>
      </w:r>
      <w:r>
        <w:t xml:space="preserve"> </w:t>
      </w:r>
      <w:r>
        <w:rPr>
          <w:bCs/>
          <w:b/>
        </w:rPr>
        <w:t xml:space="preserve">every</w:t>
      </w:r>
      <w:r>
        <w:t xml:space="preserve"> </w:t>
      </w:r>
      <w:r>
        <w:t xml:space="preserve">cycle. Each individual instruction still takes 5 cycles.</w:t>
      </w:r>
    </w:p>
    <w:p>
      <w:pPr>
        <w:pStyle w:val="BodyText"/>
      </w:pPr>
      <w:r>
        <w:rPr>
          <w:bCs/>
          <w:b/>
        </w:rPr>
        <w:t xml:space="preserve">Figure 5.2 — A pipelined core with a branch predictor.</w:t>
      </w:r>
    </w:p>
    <w:p>
      <w:pPr>
        <w:pStyle w:val="BodyText"/>
      </w:pPr>
      <w:r>
        <w:drawing>
          <wp:inline>
            <wp:extent cx="5334000" cy="1354250"/>
            <wp:effectExtent b="0" l="0" r="0" t="0"/>
            <wp:docPr descr="" title="" id="467" name="Picture"/>
            <a:graphic>
              <a:graphicData uri="http://schemas.openxmlformats.org/drawingml/2006/picture">
                <pic:pic>
                  <pic:nvPicPr>
                    <pic:cNvPr descr="/home/user/System-Design/build/.cache/diagrams/014d59997728.png" id="468" name="Picture"/>
                    <pic:cNvPicPr>
                      <a:picLocks noChangeArrowheads="1" noChangeAspect="1"/>
                    </pic:cNvPicPr>
                  </pic:nvPicPr>
                  <pic:blipFill>
                    <a:blip r:embed="rId466"/>
                    <a:stretch>
                      <a:fillRect/>
                    </a:stretch>
                  </pic:blipFill>
                  <pic:spPr bwMode="auto">
                    <a:xfrm>
                      <a:off x="0" y="0"/>
                      <a:ext cx="5334000" cy="1354250"/>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Instructions move left to right through five stages; each arrow is a hand-off on a clock edge, so the whole chain is synchronous. The</w:t>
      </w:r>
      <w:r>
        <w:t xml:space="preserve"> </w:t>
      </w:r>
      <w:r>
        <w:rPr>
          <w:bCs/>
          <w:b/>
        </w:rPr>
        <w:t xml:space="preserve">fetch</w:t>
      </w:r>
      <w:r>
        <w:t xml:space="preserve"> </w:t>
      </w:r>
      <w:r>
        <w:t xml:space="preserve">stage reads instructions from the</w:t>
      </w:r>
      <w:r>
        <w:t xml:space="preserve"> </w:t>
      </w:r>
      <w:r>
        <w:rPr>
          <w:bCs/>
          <w:b/>
        </w:rPr>
        <w:t xml:space="preserve">L1 instruction cache</w:t>
      </w:r>
      <w:r>
        <w:t xml:space="preserve">; the</w:t>
      </w:r>
      <w:r>
        <w:t xml:space="preserve"> </w:t>
      </w:r>
      <w:r>
        <w:rPr>
          <w:bCs/>
          <w:b/>
        </w:rPr>
        <w:t xml:space="preserve">memory</w:t>
      </w:r>
      <w:r>
        <w:t xml:space="preserve"> </w:t>
      </w:r>
      <w:r>
        <w:t xml:space="preserve">stage reads and writes the</w:t>
      </w:r>
      <w:r>
        <w:t xml:space="preserve"> </w:t>
      </w:r>
      <w:r>
        <w:rPr>
          <w:bCs/>
          <w:b/>
        </w:rPr>
        <w:t xml:space="preserve">L1 data cache</w:t>
      </w:r>
      <w:r>
        <w:t xml:space="preserve"> </w:t>
      </w:r>
      <w:r>
        <w:t xml:space="preserve">(bidirectional arrow). The</w:t>
      </w:r>
      <w:r>
        <w:t xml:space="preserve"> </w:t>
      </w:r>
      <w:r>
        <w:rPr>
          <w:bCs/>
          <w:b/>
        </w:rPr>
        <w:t xml:space="preserve">branch predictor</w:t>
      </w:r>
      <w:r>
        <w:t xml:space="preserve"> </w:t>
      </w:r>
      <w:r>
        <w:t xml:space="preserve">tells fetch which instruction comes next before the core actually knows. The dotted arrow is the failure path: when the execute stage discovers that a branch went the other way, the work in all earlier stages is wrong and is thrown away (flushed), and fetching restarts from the correct address. Pipelines fail to deliver one instruction per cycle when an instruction needs a result not yet produced (a</w:t>
      </w:r>
      <w:r>
        <w:t xml:space="preserve"> </w:t>
      </w:r>
      <w:r>
        <w:rPr>
          <w:bCs/>
          <w:b/>
        </w:rPr>
        <w:t xml:space="preserve">data hazard</w:t>
      </w:r>
      <w:r>
        <w:t xml:space="preserve">), when two instructions need the same unit (a</w:t>
      </w:r>
      <w:r>
        <w:t xml:space="preserve"> </w:t>
      </w:r>
      <w:r>
        <w:rPr>
          <w:bCs/>
          <w:b/>
        </w:rPr>
        <w:t xml:space="preserve">structural hazard</w:t>
      </w:r>
      <w:r>
        <w:t xml:space="preserve">), or when the next instruction is unknown (a</w:t>
      </w:r>
      <w:r>
        <w:t xml:space="preserve"> </w:t>
      </w:r>
      <w:r>
        <w:rPr>
          <w:bCs/>
          <w:b/>
        </w:rPr>
        <w:t xml:space="preserve">control hazard</w:t>
      </w:r>
      <w:r>
        <w:t xml:space="preserve">). Designers scale this structure by making it wider (§5.3.5) rather than much deeper, because deeper pipelines make each misprediction more expensive.</w:t>
      </w:r>
    </w:p>
    <w:bookmarkEnd w:id="469"/>
    <w:bookmarkEnd w:id="470"/>
    <w:bookmarkStart w:id="471" w:name="branch-prediction"/>
    <w:p>
      <w:pPr>
        <w:pStyle w:val="Heading3"/>
      </w:pPr>
      <w:r>
        <w:t xml:space="preserve">5.3.4 Branch prediction</w:t>
      </w:r>
    </w:p>
    <w:p>
      <w:pPr>
        <w:pStyle w:val="CalloutDefinition"/>
      </w:pPr>
      <w:r>
        <w:rPr>
          <w:bCs/>
          <w:b/>
        </w:rPr>
        <w:t xml:space="preserve">DEFINITION</w:t>
      </w:r>
    </w:p>
    <w:p>
      <w:pPr>
        <w:pStyle w:val="CalloutDefinition"/>
      </w:pPr>
      <w:r>
        <w:rPr>
          <w:bCs/>
          <w:b/>
        </w:rPr>
        <w:t xml:space="preserve">Definition — Branch prediction.</w:t>
      </w:r>
      <w:r>
        <w:t xml:space="preserve"> </w:t>
      </w:r>
      <w:r>
        <w:t xml:space="preserve">Hardware that guesses the outcome of a conditional jump (a</w:t>
      </w:r>
      <w:r>
        <w:t xml:space="preserve"> </w:t>
      </w:r>
      <w:r>
        <w:rPr>
          <w:bCs/>
          <w:b/>
        </w:rPr>
        <w:t xml:space="preserve">branch</w:t>
      </w:r>
      <w:r>
        <w:t xml:space="preserve">, e.g. an</w:t>
      </w:r>
      <w:r>
        <w:t xml:space="preserve"> </w:t>
      </w:r>
      <w:r>
        <w:rPr>
          <w:rStyle w:val="VerbatimChar"/>
        </w:rPr>
        <w:t xml:space="preserve">if</w:t>
      </w:r>
      <w:r>
        <w:t xml:space="preserve"> </w:t>
      </w:r>
      <w:r>
        <w:t xml:space="preserve">or a loop condition) before it is computed, so that the pipeline can keep fetching instructions. A wrong guess is a</w:t>
      </w:r>
      <w:r>
        <w:t xml:space="preserve"> </w:t>
      </w:r>
      <w:r>
        <w:rPr>
          <w:bCs/>
          <w:b/>
        </w:rPr>
        <w:t xml:space="preserve">misprediction</w:t>
      </w:r>
      <w:r>
        <w:t xml:space="preserve"> </w:t>
      </w:r>
      <w:r>
        <w:t xml:space="preserve">and forces a pipeline flush.</w:t>
      </w:r>
    </w:p>
    <w:p>
      <w:pPr>
        <w:pStyle w:val="BodyText"/>
      </w:pPr>
      <w:r>
        <w:t xml:space="preserve">A long pipeline needs to know which instruction to fetch next on every cycle, but a branch’s outcome is only known several stages later. Waiting would leave the pipeline empty for 10–20 cycles at every</w:t>
      </w:r>
      <w:r>
        <w:t xml:space="preserve"> </w:t>
      </w:r>
      <w:r>
        <w:rPr>
          <w:rStyle w:val="VerbatimChar"/>
        </w:rPr>
        <w:t xml:space="preserve">if</w:t>
      </w:r>
      <w:r>
        <w:t xml:space="preserve">, and typical code has a branch every five to ten instructions. So the core</w:t>
      </w:r>
      <w:r>
        <w:t xml:space="preserve"> </w:t>
      </w:r>
      <w:r>
        <w:rPr>
          <w:iCs/>
          <w:i/>
        </w:rPr>
        <w:t xml:space="preserve">guesses</w:t>
      </w:r>
      <w:r>
        <w:t xml:space="preserve">. Modern predictors record the recent history of each branch and of the branches before it, and are right well over 95% of the time on typical code (approximate; it depends heavily on the program) [Hennessy &amp; Patterson 2017, ch. 3]. A misprediction costs roughly 15–20 cycles on recent high-performance x86 cores (as of 2025, approximate).</w:t>
      </w:r>
    </w:p>
    <w:p>
      <w:pPr>
        <w:pStyle w:val="BodyText"/>
      </w:pPr>
      <w:r>
        <w:t xml:space="preserve">The practical lesson:</w:t>
      </w:r>
      <w:r>
        <w:t xml:space="preserve"> </w:t>
      </w:r>
      <w:r>
        <w:rPr>
          <w:bCs/>
          <w:b/>
        </w:rPr>
        <w:t xml:space="preserve">predictable code runs faster</w:t>
      </w:r>
      <w:r>
        <w:t xml:space="preserve">. Loops over sorted data, or code whose</w:t>
      </w:r>
      <w:r>
        <w:t xml:space="preserve"> </w:t>
      </w:r>
      <w:r>
        <w:rPr>
          <w:rStyle w:val="VerbatimChar"/>
        </w:rPr>
        <w:t xml:space="preserve">if</w:t>
      </w:r>
      <w:r>
        <w:t xml:space="preserve"> </w:t>
      </w:r>
      <w:r>
        <w:t xml:space="preserve">almost always goes the same way, mispredict rarely. A filter over random data where each element passes with 50% probability mispredicts about half the time. Compilers can sometimes replace such branches with branch-free</w:t>
      </w:r>
      <w:r>
        <w:t xml:space="preserve"> </w:t>
      </w:r>
      <w:r>
        <w:t xml:space="preserve">“</w:t>
      </w:r>
      <w:r>
        <w:t xml:space="preserve">conditional move</w:t>
      </w:r>
      <w:r>
        <w:t xml:space="preserve">”</w:t>
      </w:r>
      <w:r>
        <w:t xml:space="preserve"> </w:t>
      </w:r>
      <w:r>
        <w:t xml:space="preserve">instructions, and data-processing engines often sort or partition data first precisely to make branches predictable.</w:t>
      </w:r>
    </w:p>
    <w:bookmarkEnd w:id="471"/>
    <w:bookmarkStart w:id="472" w:name="X23eacc89d1f6e06f0cc14d5ab2e92cbce147b1e"/>
    <w:p>
      <w:pPr>
        <w:pStyle w:val="Heading3"/>
      </w:pPr>
      <w:r>
        <w:t xml:space="preserve">5.3.5 Superscalar and out-of-order execution (intuition)</w:t>
      </w:r>
    </w:p>
    <w:p>
      <w:pPr>
        <w:pStyle w:val="CalloutDefinition"/>
      </w:pPr>
      <w:r>
        <w:rPr>
          <w:bCs/>
          <w:b/>
        </w:rPr>
        <w:t xml:space="preserve">DEFINITION</w:t>
      </w:r>
    </w:p>
    <w:p>
      <w:pPr>
        <w:pStyle w:val="CalloutDefinition"/>
      </w:pPr>
      <w:r>
        <w:rPr>
          <w:bCs/>
          <w:b/>
        </w:rPr>
        <w:t xml:space="preserve">Definition — Superscalar execution.</w:t>
      </w:r>
      <w:r>
        <w:t xml:space="preserve"> </w:t>
      </w:r>
      <w:r>
        <w:t xml:space="preserve">A core that can issue and complete more than one instruction per cycle by having several execution units working in parallel.</w:t>
      </w:r>
    </w:p>
    <w:p>
      <w:pPr>
        <w:pStyle w:val="CalloutDefinition"/>
      </w:pPr>
      <w:r>
        <w:rPr>
          <w:bCs/>
          <w:b/>
        </w:rPr>
        <w:t xml:space="preserve">DEFINITION</w:t>
      </w:r>
    </w:p>
    <w:p>
      <w:pPr>
        <w:pStyle w:val="CalloutDefinition"/>
      </w:pPr>
      <w:r>
        <w:rPr>
          <w:bCs/>
          <w:b/>
        </w:rPr>
        <w:t xml:space="preserve">Definition — Out-of-order (OoO) execution.</w:t>
      </w:r>
      <w:r>
        <w:t xml:space="preserve"> </w:t>
      </w:r>
      <w:r>
        <w:t xml:space="preserve">A technique in which the core executes instructions as soon as their inputs are ready rather than strictly in program order, while still making the results</w:t>
      </w:r>
      <w:r>
        <w:t xml:space="preserve"> </w:t>
      </w:r>
      <w:r>
        <w:rPr>
          <w:iCs/>
          <w:i/>
        </w:rPr>
        <w:t xml:space="preserve">appear</w:t>
      </w:r>
      <w:r>
        <w:t xml:space="preserve"> </w:t>
      </w:r>
      <w:r>
        <w:t xml:space="preserve">in program order (it</w:t>
      </w:r>
      <w:r>
        <w:t xml:space="preserve"> </w:t>
      </w:r>
      <w:r>
        <w:rPr>
          <w:bCs/>
          <w:b/>
        </w:rPr>
        <w:t xml:space="preserve">retires</w:t>
      </w:r>
      <w:r>
        <w:t xml:space="preserve"> </w:t>
      </w:r>
      <w:r>
        <w:t xml:space="preserve">them in order).</w:t>
      </w:r>
    </w:p>
    <w:p>
      <w:pPr>
        <w:pStyle w:val="BodyText"/>
      </w:pPr>
      <w:r>
        <w:t xml:space="preserve">Back to the kitchen. A good chef reading a recipe does not stand idle while the water boils; they skip ahead to chopping onions, which does not depend on the water, and come back when the pot is ready. That is out-of-order execution. And a chef with two hands and several burners can sear, stir and plate in the same moment; that is superscalar execution.</w:t>
      </w:r>
    </w:p>
    <w:p>
      <w:pPr>
        <w:pStyle w:val="BodyText"/>
      </w:pPr>
      <w:r>
        <w:t xml:space="preserve">Internally, the core decodes a window of upcoming instructions — several hundred on recent high-end cores (as of 2025, approximate) — into a buffer called the</w:t>
      </w:r>
      <w:r>
        <w:t xml:space="preserve"> </w:t>
      </w:r>
      <w:r>
        <w:rPr>
          <w:bCs/>
          <w:b/>
        </w:rPr>
        <w:t xml:space="preserve">reorder buffer</w:t>
      </w:r>
      <w:r>
        <w:t xml:space="preserve">. Each instruction waits in a</w:t>
      </w:r>
      <w:r>
        <w:t xml:space="preserve"> </w:t>
      </w:r>
      <w:r>
        <w:rPr>
          <w:bCs/>
          <w:b/>
        </w:rPr>
        <w:t xml:space="preserve">scheduler</w:t>
      </w:r>
      <w:r>
        <w:t xml:space="preserve"> </w:t>
      </w:r>
      <w:r>
        <w:t xml:space="preserve">until its inputs are ready, then dispatches to any free execution unit. Results are held until every earlier instruction has completed and are then retired in order, which preserves the illusion of sequential execution for the programmer. The key algorithmic idea dates to Tomasulo’s work at IBM in 1967 [Tomasulo 1967].</w:t>
      </w:r>
    </w:p>
    <w:p>
      <w:pPr>
        <w:pStyle w:val="BodyText"/>
      </w:pPr>
      <w:r>
        <w:t xml:space="preserve">Why does this matter to a system designer? Because the main thing OoO hides is</w:t>
      </w:r>
      <w:r>
        <w:t xml:space="preserve"> </w:t>
      </w:r>
      <w:r>
        <w:rPr>
          <w:bCs/>
          <w:b/>
        </w:rPr>
        <w:t xml:space="preserve">memory latency</w:t>
      </w:r>
      <w:r>
        <w:t xml:space="preserve">. If a loop issues ten independent loads, an OoO core can have all ten outstanding at once and pay roughly one memory latency instead of ten. If each load depends on the previous one — walking a linked list, chasing pointers through a tree — nothing can overlap and the core pays the full latency every time. This is why arrays usually beat linked lists by a wide margin in practice, even when asymptotic complexity is identical, and why B-trees with wide nodes (§11.8) beat binary trees on real hardware.</w:t>
      </w:r>
    </w:p>
    <w:bookmarkEnd w:id="472"/>
    <w:bookmarkStart w:id="475" w:name="Xd585efd4de55586854277b01646a139b75ce284"/>
    <w:p>
      <w:pPr>
        <w:pStyle w:val="Heading3"/>
      </w:pPr>
      <w:r>
        <w:t xml:space="preserve">5.3.6 Multiple cores and simultaneous multithreading (hyperthreading)</w:t>
      </w:r>
    </w:p>
    <w:p>
      <w:pPr>
        <w:pStyle w:val="CalloutDefinition"/>
      </w:pPr>
      <w:r>
        <w:rPr>
          <w:bCs/>
          <w:b/>
        </w:rPr>
        <w:t xml:space="preserve">DEFINITION</w:t>
      </w:r>
    </w:p>
    <w:p>
      <w:pPr>
        <w:pStyle w:val="CalloutDefinition"/>
      </w:pPr>
      <w:r>
        <w:rPr>
          <w:bCs/>
          <w:b/>
        </w:rPr>
        <w:t xml:space="preserve">Definition — Multi-core processor.</w:t>
      </w:r>
      <w:r>
        <w:t xml:space="preserve"> </w:t>
      </w:r>
      <w:r>
        <w:t xml:space="preserve">A single chip containing several complete cores, each with its own pipeline and private caches, sharing the last-level cache and memory.</w:t>
      </w:r>
    </w:p>
    <w:p>
      <w:pPr>
        <w:pStyle w:val="CalloutDefinition"/>
      </w:pPr>
      <w:r>
        <w:rPr>
          <w:bCs/>
          <w:b/>
        </w:rPr>
        <w:t xml:space="preserve">DEFINITION</w:t>
      </w:r>
    </w:p>
    <w:p>
      <w:pPr>
        <w:pStyle w:val="CalloutDefinition"/>
      </w:pPr>
      <w:r>
        <w:rPr>
          <w:bCs/>
          <w:b/>
        </w:rPr>
        <w:t xml:space="preserve">Definition — Simultaneous multithreading (SMT).</w:t>
      </w:r>
      <w:r>
        <w:t xml:space="preserve"> </w:t>
      </w:r>
      <w:r>
        <w:t xml:space="preserve">A technique in which one physical core runs two (occasionally more) instruction streams at once, interleaving them through the same execution units. Intel markets its implementation as</w:t>
      </w:r>
      <w:r>
        <w:t xml:space="preserve"> </w:t>
      </w:r>
      <w:r>
        <w:rPr>
          <w:bCs/>
          <w:b/>
        </w:rPr>
        <w:t xml:space="preserve">Hyper-Threading Technology</w:t>
      </w:r>
      <w:r>
        <w:t xml:space="preserve">. Each stream appears to the operating system as a separate</w:t>
      </w:r>
      <w:r>
        <w:t xml:space="preserve"> </w:t>
      </w:r>
      <w:r>
        <w:rPr>
          <w:bCs/>
          <w:b/>
        </w:rPr>
        <w:t xml:space="preserve">logical CPU</w:t>
      </w:r>
      <w:r>
        <w:t xml:space="preserve"> </w:t>
      </w:r>
      <w:r>
        <w:t xml:space="preserve">(or</w:t>
      </w:r>
      <w:r>
        <w:t xml:space="preserve"> </w:t>
      </w:r>
      <w:r>
        <w:rPr>
          <w:bCs/>
          <w:b/>
        </w:rPr>
        <w:t xml:space="preserve">hardware thread</w:t>
      </w:r>
      <w:r>
        <w:t xml:space="preserve">).</w:t>
      </w:r>
    </w:p>
    <w:p>
      <w:pPr>
        <w:pStyle w:val="BodyText"/>
      </w:pPr>
      <w:r>
        <w:t xml:space="preserve">Even with out-of-order execution, a single thread often leaves execution units idle — for example while waiting for a cache miss. SMT gives the core a second recipe to work from: when thread A stalls, the core issues instructions from thread B. The core duplicates only the per-thread state (registers, program counter) and shares nearly everything else, so the extra silicon is small. The benefit depends heavily on the workload. Intel’s original description reported gains of up to about 30% on some server benchmarks [Marr et al. 2002]; workloads that already saturate the execution units or the caches may gain nothing or even slow down, because two threads now compete for the same L1 and L2.</w:t>
      </w:r>
    </w:p>
    <w:p>
      <w:pPr>
        <w:pStyle w:val="BodyText"/>
      </w:pPr>
      <w:r>
        <w:t xml:space="preserve">Three consequences for system design:</w:t>
      </w:r>
    </w:p>
    <w:p>
      <w:pPr>
        <w:numPr>
          <w:ilvl w:val="0"/>
          <w:numId w:val="1142"/>
        </w:numPr>
        <w:pStyle w:val="Compact"/>
      </w:pPr>
      <w:r>
        <w:rPr>
          <w:bCs/>
          <w:b/>
        </w:rPr>
        <w:t xml:space="preserve">A</w:t>
      </w:r>
      <w:r>
        <w:rPr>
          <w:bCs/>
          <w:b/>
        </w:rPr>
        <w:t xml:space="preserve"> </w:t>
      </w:r>
      <w:r>
        <w:rPr>
          <w:bCs/>
          <w:b/>
        </w:rPr>
        <w:t xml:space="preserve">“</w:t>
      </w:r>
      <w:r>
        <w:rPr>
          <w:bCs/>
          <w:b/>
        </w:rPr>
        <w:t xml:space="preserve">vCPU</w:t>
      </w:r>
      <w:r>
        <w:rPr>
          <w:bCs/>
          <w:b/>
        </w:rPr>
        <w:t xml:space="preserve">”</w:t>
      </w:r>
      <w:r>
        <w:rPr>
          <w:bCs/>
          <w:b/>
        </w:rPr>
        <w:t xml:space="preserve"> </w:t>
      </w:r>
      <w:r>
        <w:rPr>
          <w:bCs/>
          <w:b/>
        </w:rPr>
        <w:t xml:space="preserve">in the cloud is usually a hardware thread, not a core.</w:t>
      </w:r>
      <w:r>
        <w:t xml:space="preserve"> </w:t>
      </w:r>
      <w:r>
        <w:t xml:space="preserve">On most x86 instance types at the major cloud providers, two vCPUs share one physical core (as of 2025; check your provider’s documentation per instance family). Do not assume 16 vCPUs give 16 cores’ worth of throughput.</w:t>
      </w:r>
    </w:p>
    <w:p>
      <w:pPr>
        <w:numPr>
          <w:ilvl w:val="0"/>
          <w:numId w:val="1142"/>
        </w:numPr>
        <w:pStyle w:val="Compact"/>
      </w:pPr>
      <w:r>
        <w:rPr>
          <w:bCs/>
          <w:b/>
        </w:rPr>
        <w:t xml:space="preserve">Benchmarks must state whether SMT is on.</w:t>
      </w:r>
      <w:r>
        <w:t xml:space="preserve"> </w:t>
      </w:r>
      <w:r>
        <w:t xml:space="preserve">Doubling thread count from 8 to 16 on an 8-core, 16-thread machine will not double CPU-bound throughput.</w:t>
      </w:r>
    </w:p>
    <w:p>
      <w:pPr>
        <w:numPr>
          <w:ilvl w:val="0"/>
          <w:numId w:val="1142"/>
        </w:numPr>
        <w:pStyle w:val="Compact"/>
      </w:pPr>
      <w:r>
        <w:rPr>
          <w:bCs/>
          <w:b/>
        </w:rPr>
        <w:t xml:space="preserve">Security.</w:t>
      </w:r>
      <w:r>
        <w:t xml:space="preserve"> </w:t>
      </w:r>
      <w:r>
        <w:t xml:space="preserve">Because SMT siblings share caches and execution units, they can leak information to each other through timing side channels. Some operators disable SMT for multi-tenant isolation, and some recent client CPUs ship without it (as of 2024).</w:t>
      </w:r>
    </w:p>
    <w:bookmarkStart w:id="473" w:name="failure-scenarios-10"/>
    <w:p>
      <w:pPr>
        <w:pStyle w:val="Heading4"/>
      </w:pPr>
      <w:r>
        <w:t xml:space="preserve">Failure scenarios</w:t>
      </w:r>
    </w:p>
    <w:p>
      <w:pPr>
        <w:pStyle w:val="FirstParagraph"/>
      </w:pPr>
      <w:r>
        <w:rPr>
          <w:bCs/>
          <w:b/>
        </w:rPr>
        <w:t xml:space="preserve">Table 5.2 — CPU-level 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Service throughput flat after doubling vCPUs</w:t>
            </w:r>
          </w:p>
        </w:tc>
        <w:tc>
          <w:tcPr/>
          <w:p>
            <w:pPr>
              <w:pStyle w:val="Compact"/>
              <w:jc w:val="left"/>
            </w:pPr>
            <w:r>
              <w:t xml:space="preserve">vCPUs were SMT siblings; the workload saturates execution units</w:t>
            </w:r>
          </w:p>
        </w:tc>
        <w:tc>
          <w:tcPr/>
          <w:p>
            <w:pPr>
              <w:pStyle w:val="Compact"/>
              <w:jc w:val="left"/>
            </w:pPr>
            <w:r>
              <w:t xml:space="preserve">Per-core utilization near 100%; IPC drops as threads are added</w:t>
            </w:r>
          </w:p>
        </w:tc>
        <w:tc>
          <w:tcPr/>
          <w:p>
            <w:pPr>
              <w:pStyle w:val="Compact"/>
              <w:jc w:val="left"/>
            </w:pPr>
            <w:r>
              <w:t xml:space="preserve">Size by physical cores; scale out</w:t>
            </w:r>
          </w:p>
        </w:tc>
        <w:tc>
          <w:tcPr/>
          <w:p>
            <w:pPr>
              <w:pStyle w:val="Compact"/>
              <w:jc w:val="left"/>
            </w:pPr>
            <w:r>
              <w:t xml:space="preserve">Benchmark with physical-core counts in mind</w:t>
            </w:r>
          </w:p>
        </w:tc>
      </w:tr>
      <w:tr>
        <w:tc>
          <w:tcPr/>
          <w:p>
            <w:pPr>
              <w:pStyle w:val="Compact"/>
              <w:jc w:val="left"/>
            </w:pPr>
            <w:r>
              <w:t xml:space="preserve">Hot loop far slower on production data than in tests</w:t>
            </w:r>
          </w:p>
        </w:tc>
        <w:tc>
          <w:tcPr/>
          <w:p>
            <w:pPr>
              <w:pStyle w:val="Compact"/>
              <w:jc w:val="left"/>
            </w:pPr>
            <w:r>
              <w:t xml:space="preserve">Test data was sorted or uniform; production data makes branches unpredictable</w:t>
            </w:r>
          </w:p>
        </w:tc>
        <w:tc>
          <w:tcPr/>
          <w:p>
            <w:pPr>
              <w:pStyle w:val="Compact"/>
              <w:jc w:val="left"/>
            </w:pPr>
            <w:r>
              <w:rPr>
                <w:rStyle w:val="VerbatimChar"/>
              </w:rPr>
              <w:t xml:space="preserve">perf stat</w:t>
            </w:r>
            <w:r>
              <w:t xml:space="preserve"> </w:t>
            </w:r>
            <w:r>
              <w:t xml:space="preserve">shows high branch-miss rate</w:t>
            </w:r>
          </w:p>
        </w:tc>
        <w:tc>
          <w:tcPr/>
          <w:p>
            <w:pPr>
              <w:pStyle w:val="Compact"/>
              <w:jc w:val="left"/>
            </w:pPr>
            <w:r>
              <w:t xml:space="preserve">Sort/partition input; use branch-free code</w:t>
            </w:r>
          </w:p>
        </w:tc>
        <w:tc>
          <w:tcPr/>
          <w:p>
            <w:pPr>
              <w:pStyle w:val="Compact"/>
              <w:jc w:val="left"/>
            </w:pPr>
            <w:r>
              <w:t xml:space="preserve">Benchmark on realistic data distributions</w:t>
            </w:r>
          </w:p>
        </w:tc>
      </w:tr>
      <w:tr>
        <w:tc>
          <w:tcPr/>
          <w:p>
            <w:pPr>
              <w:pStyle w:val="Compact"/>
              <w:jc w:val="left"/>
            </w:pPr>
            <w:r>
              <w:t xml:space="preserve">Throttled CPU under sustained load</w:t>
            </w:r>
          </w:p>
        </w:tc>
        <w:tc>
          <w:tcPr/>
          <w:p>
            <w:pPr>
              <w:pStyle w:val="Compact"/>
              <w:jc w:val="left"/>
            </w:pPr>
            <w:r>
              <w:t xml:space="preserve">Thermal or power limits lower the clock rate</w:t>
            </w:r>
          </w:p>
        </w:tc>
        <w:tc>
          <w:tcPr/>
          <w:p>
            <w:pPr>
              <w:pStyle w:val="Compact"/>
              <w:jc w:val="left"/>
            </w:pPr>
            <w:r>
              <w:t xml:space="preserve">Clock frequency drops in telemetry</w:t>
            </w:r>
          </w:p>
        </w:tc>
        <w:tc>
          <w:tcPr/>
          <w:p>
            <w:pPr>
              <w:pStyle w:val="Compact"/>
              <w:jc w:val="left"/>
            </w:pPr>
            <w:r>
              <w:t xml:space="preserve">Improve cooling; spread load</w:t>
            </w:r>
          </w:p>
        </w:tc>
        <w:tc>
          <w:tcPr/>
          <w:p>
            <w:pPr>
              <w:pStyle w:val="Compact"/>
              <w:jc w:val="left"/>
            </w:pPr>
            <w:r>
              <w:t xml:space="preserve">Capacity-plan at sustained, not turbo, frequency</w:t>
            </w:r>
          </w:p>
        </w:tc>
      </w:tr>
    </w:tbl>
    <w:bookmarkEnd w:id="473"/>
    <w:bookmarkStart w:id="474" w:name="common-misconceptions-11"/>
    <w:p>
      <w:pPr>
        <w:pStyle w:val="Heading4"/>
      </w:pPr>
      <w:r>
        <w:t xml:space="preserve">Common misconceptions</w:t>
      </w:r>
    </w:p>
    <w:p>
      <w:pPr>
        <w:pStyle w:val="CalloutMistake"/>
      </w:pPr>
      <w:r>
        <w:rPr>
          <w:bCs/>
          <w:b/>
        </w:rPr>
        <w:t xml:space="preserve">COMMON MISTAKE</w:t>
      </w:r>
    </w:p>
    <w:p>
      <w:pPr>
        <w:pStyle w:val="CalloutMistake"/>
      </w:pPr>
      <w:r>
        <w:rPr>
          <w:bCs/>
          <w:b/>
        </w:rPr>
        <w:t xml:space="preserve">“</w:t>
      </w:r>
      <w:r>
        <w:rPr>
          <w:bCs/>
          <w:b/>
        </w:rPr>
        <w:t xml:space="preserve">A higher GHz number means a faster CPU.</w:t>
      </w:r>
      <w:r>
        <w:rPr>
          <w:bCs/>
          <w:b/>
        </w:rPr>
        <w:t xml:space="preserve">”</w:t>
      </w:r>
      <w:r>
        <w:t xml:space="preserve"> </w:t>
      </w:r>
      <w:r>
        <w:t xml:space="preserve">Clock rate is only one factor in the iron law. A 3 GHz core with an IPC of 4 completes more work than a 4 GHz core with an IPC of 2. Compare CPUs on benchmarks of your own workload.</w:t>
      </w:r>
    </w:p>
    <w:p>
      <w:pPr>
        <w:pStyle w:val="CalloutMistake"/>
      </w:pPr>
      <w:r>
        <w:rPr>
          <w:bCs/>
          <w:b/>
        </w:rPr>
        <w:t xml:space="preserve">COMMON MISTAKE</w:t>
      </w:r>
    </w:p>
    <w:p>
      <w:pPr>
        <w:pStyle w:val="CalloutMistake"/>
      </w:pPr>
      <w:r>
        <w:rPr>
          <w:bCs/>
          <w:b/>
        </w:rPr>
        <w:t xml:space="preserve">“</w:t>
      </w:r>
      <w:r>
        <w:rPr>
          <w:bCs/>
          <w:b/>
        </w:rPr>
        <w:t xml:space="preserve">The CPU runs my code one line at a time, in order.</w:t>
      </w:r>
      <w:r>
        <w:rPr>
          <w:bCs/>
          <w:b/>
        </w:rPr>
        <w:t xml:space="preserve">”</w:t>
      </w:r>
      <w:r>
        <w:t xml:space="preserve"> </w:t>
      </w:r>
      <w:r>
        <w:t xml:space="preserve">It overlaps dozens to hundreds of instructions and executes them out of order; only the</w:t>
      </w:r>
      <w:r>
        <w:t xml:space="preserve"> </w:t>
      </w:r>
      <w:r>
        <w:rPr>
          <w:iCs/>
          <w:i/>
        </w:rPr>
        <w:t xml:space="preserve">visible</w:t>
      </w:r>
      <w:r>
        <w:t xml:space="preserve"> </w:t>
      </w:r>
      <w:r>
        <w:t xml:space="preserve">results are in order. That is why independent operations can be nearly free while dependent chains are slow.</w:t>
      </w:r>
    </w:p>
    <w:bookmarkEnd w:id="474"/>
    <w:bookmarkEnd w:id="475"/>
    <w:bookmarkEnd w:id="476"/>
    <w:bookmarkStart w:id="498" w:name="cpu-caches"/>
    <w:p>
      <w:pPr>
        <w:pStyle w:val="Heading2"/>
      </w:pPr>
      <w:r>
        <w:t xml:space="preserve">5.4 CPU caches</w:t>
      </w:r>
    </w:p>
    <w:bookmarkStart w:id="479" w:name="why-caches-exist"/>
    <w:p>
      <w:pPr>
        <w:pStyle w:val="Heading3"/>
      </w:pPr>
      <w:r>
        <w:t xml:space="preserve">5.4.1 Why caches exist</w:t>
      </w:r>
    </w:p>
    <w:p>
      <w:pPr>
        <w:pStyle w:val="CalloutDefinition"/>
      </w:pPr>
      <w:r>
        <w:rPr>
          <w:bCs/>
          <w:b/>
        </w:rPr>
        <w:t xml:space="preserve">DEFINITION</w:t>
      </w:r>
    </w:p>
    <w:p>
      <w:pPr>
        <w:pStyle w:val="CalloutDefinition"/>
      </w:pPr>
      <w:r>
        <w:rPr>
          <w:bCs/>
          <w:b/>
        </w:rPr>
        <w:t xml:space="preserve">Definition — CPU cache.</w:t>
      </w:r>
      <w:r>
        <w:t xml:space="preserve"> </w:t>
      </w:r>
      <w:r>
        <w:t xml:space="preserve">A small, fast memory built from SRAM (static RAM) on the processor chip that holds copies of recently used main-memory data, so that most loads and stores do not have to wait for DRAM.</w:t>
      </w:r>
    </w:p>
    <w:bookmarkStart w:id="477" w:name="first-principles-explanation-33"/>
    <w:p>
      <w:pPr>
        <w:pStyle w:val="Heading4"/>
      </w:pPr>
      <w:r>
        <w:t xml:space="preserve">First-principles explanation</w:t>
      </w:r>
    </w:p>
    <w:p>
      <w:pPr>
        <w:pStyle w:val="FirstParagraph"/>
      </w:pPr>
      <w:r>
        <w:t xml:space="preserve">Picture a researcher in a library. The book on the</w:t>
      </w:r>
      <w:r>
        <w:t xml:space="preserve"> </w:t>
      </w:r>
      <w:r>
        <w:rPr>
          <w:bCs/>
          <w:b/>
        </w:rPr>
        <w:t xml:space="preserve">desk</w:t>
      </w:r>
      <w:r>
        <w:t xml:space="preserve"> </w:t>
      </w:r>
      <w:r>
        <w:t xml:space="preserve">is instantly available. The</w:t>
      </w:r>
      <w:r>
        <w:t xml:space="preserve"> </w:t>
      </w:r>
      <w:r>
        <w:rPr>
          <w:bCs/>
          <w:b/>
        </w:rPr>
        <w:t xml:space="preserve">shelf behind the chair</w:t>
      </w:r>
      <w:r>
        <w:t xml:space="preserve"> </w:t>
      </w:r>
      <w:r>
        <w:t xml:space="preserve">holds a few dozen books and takes a few seconds to reach. The</w:t>
      </w:r>
      <w:r>
        <w:t xml:space="preserve"> </w:t>
      </w:r>
      <w:r>
        <w:rPr>
          <w:bCs/>
          <w:b/>
        </w:rPr>
        <w:t xml:space="preserve">library stacks</w:t>
      </w:r>
      <w:r>
        <w:t xml:space="preserve"> </w:t>
      </w:r>
      <w:r>
        <w:t xml:space="preserve">on the same floor take a minute. The</w:t>
      </w:r>
      <w:r>
        <w:t xml:space="preserve"> </w:t>
      </w:r>
      <w:r>
        <w:rPr>
          <w:bCs/>
          <w:b/>
        </w:rPr>
        <w:t xml:space="preserve">off-site depository</w:t>
      </w:r>
      <w:r>
        <w:t xml:space="preserve"> </w:t>
      </w:r>
      <w:r>
        <w:t xml:space="preserve">takes a day. The researcher keeps the books they are using right now on the desk and the ones they will probably need soon on the shelf. When they fetch a book from the stacks, they bring back its neighbors too, because research tends to move along the shelf.</w:t>
      </w:r>
    </w:p>
    <w:p>
      <w:pPr>
        <w:pStyle w:val="BodyText"/>
      </w:pPr>
      <w:r>
        <w:t xml:space="preserve">A CPU cache is that desk and shelf. It works because programs exhibit</w:t>
      </w:r>
      <w:r>
        <w:t xml:space="preserve"> </w:t>
      </w:r>
      <w:r>
        <w:rPr>
          <w:bCs/>
          <w:b/>
        </w:rPr>
        <w:t xml:space="preserve">locality of reference</w:t>
      </w:r>
      <w:r>
        <w:t xml:space="preserve">:</w:t>
      </w:r>
    </w:p>
    <w:p>
      <w:pPr>
        <w:numPr>
          <w:ilvl w:val="0"/>
          <w:numId w:val="1143"/>
        </w:numPr>
        <w:pStyle w:val="Compact"/>
      </w:pPr>
      <w:r>
        <w:rPr>
          <w:bCs/>
          <w:b/>
        </w:rPr>
        <w:t xml:space="preserve">Temporal locality</w:t>
      </w:r>
      <w:r>
        <w:t xml:space="preserve"> </w:t>
      </w:r>
      <w:r>
        <w:t xml:space="preserve">— data used recently is likely to be used again soon (a loop counter, a hot configuration object).</w:t>
      </w:r>
    </w:p>
    <w:p>
      <w:pPr>
        <w:numPr>
          <w:ilvl w:val="0"/>
          <w:numId w:val="1143"/>
        </w:numPr>
        <w:pStyle w:val="Compact"/>
      </w:pPr>
      <w:r>
        <w:rPr>
          <w:bCs/>
          <w:b/>
        </w:rPr>
        <w:t xml:space="preserve">Spatial locality</w:t>
      </w:r>
      <w:r>
        <w:t xml:space="preserve"> </w:t>
      </w:r>
      <w:r>
        <w:t xml:space="preserve">— data near recently used data is likely to be used soon (the next element of an array, the next field of a struct).</w:t>
      </w:r>
    </w:p>
    <w:bookmarkEnd w:id="477"/>
    <w:bookmarkStart w:id="478" w:name="why-does-this-exist-21"/>
    <w:p>
      <w:pPr>
        <w:pStyle w:val="Heading4"/>
      </w:pPr>
      <w:r>
        <w:t xml:space="preserve">Why does this exist?</w:t>
      </w:r>
    </w:p>
    <w:p>
      <w:pPr>
        <w:pStyle w:val="FirstParagraph"/>
      </w:pPr>
      <w:r>
        <w:t xml:space="preserve">A DRAM access costs about 80–120 ns (as of 2025, approximate), which at 4 GHz is 320–480 cycles. A core that could issue several instructions per cycle would spend almost all of its time waiting. Making all of main memory as fast as a register is physically impossible: fast memory (SRAM) needs about six transistors per bit, sits on the expensive processor die, and the longer the wires to it, the slower it gets. So designers build a</w:t>
      </w:r>
      <w:r>
        <w:t xml:space="preserve"> </w:t>
      </w:r>
      <w:r>
        <w:rPr>
          <w:bCs/>
          <w:b/>
        </w:rPr>
        <w:t xml:space="preserve">hierarchy</w:t>
      </w:r>
      <w:r>
        <w:t xml:space="preserve">: tiny and very fast near the core, larger and slower further away.</w:t>
      </w:r>
    </w:p>
    <w:bookmarkEnd w:id="478"/>
    <w:bookmarkEnd w:id="479"/>
    <w:bookmarkStart w:id="483" w:name="cache-levels"/>
    <w:p>
      <w:pPr>
        <w:pStyle w:val="Heading3"/>
      </w:pPr>
      <w:r>
        <w:t xml:space="preserve">5.4.2 Cache levels</w:t>
      </w:r>
    </w:p>
    <w:p>
      <w:pPr>
        <w:pStyle w:val="FirstParagraph"/>
      </w:pPr>
      <w:r>
        <w:rPr>
          <w:bCs/>
          <w:b/>
        </w:rPr>
        <w:t xml:space="preserve">Table 5.3 — Typical CPU cache levels (as of 2024–2025, approximate; sizes and latencies vary by product).</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Level</w:t>
            </w:r>
          </w:p>
        </w:tc>
        <w:tc>
          <w:tcPr/>
          <w:p>
            <w:pPr>
              <w:pStyle w:val="Compact"/>
              <w:jc w:val="left"/>
            </w:pPr>
            <w:r>
              <w:t xml:space="preserve">Typical size</w:t>
            </w:r>
          </w:p>
        </w:tc>
        <w:tc>
          <w:tcPr/>
          <w:p>
            <w:pPr>
              <w:pStyle w:val="Compact"/>
              <w:jc w:val="left"/>
            </w:pPr>
            <w:r>
              <w:t xml:space="preserve">Shared by</w:t>
            </w:r>
          </w:p>
        </w:tc>
        <w:tc>
          <w:tcPr/>
          <w:p>
            <w:pPr>
              <w:pStyle w:val="Compact"/>
              <w:jc w:val="left"/>
            </w:pPr>
            <w:r>
              <w:t xml:space="preserve">Latency (cycles)</w:t>
            </w:r>
          </w:p>
        </w:tc>
        <w:tc>
          <w:tcPr/>
          <w:p>
            <w:pPr>
              <w:pStyle w:val="Compact"/>
              <w:jc w:val="left"/>
            </w:pPr>
            <w:r>
              <w:t xml:space="preserve">Latency at ~4 GHz</w:t>
            </w:r>
          </w:p>
        </w:tc>
        <w:tc>
          <w:tcPr/>
          <w:p>
            <w:pPr>
              <w:pStyle w:val="Compact"/>
              <w:jc w:val="left"/>
            </w:pPr>
            <w:r>
              <w:t xml:space="preserve">Analogy</w:t>
            </w:r>
          </w:p>
        </w:tc>
      </w:tr>
      <w:tr>
        <w:tc>
          <w:tcPr/>
          <w:p>
            <w:pPr>
              <w:pStyle w:val="Compact"/>
              <w:jc w:val="left"/>
            </w:pPr>
            <w:r>
              <w:t xml:space="preserve">Registers</w:t>
            </w:r>
          </w:p>
        </w:tc>
        <w:tc>
          <w:tcPr/>
          <w:p>
            <w:pPr>
              <w:pStyle w:val="Compact"/>
              <w:jc w:val="left"/>
            </w:pPr>
            <w:r>
              <w:t xml:space="preserve">Tens of 64-bit values visible per thread</w:t>
            </w:r>
          </w:p>
        </w:tc>
        <w:tc>
          <w:tcPr/>
          <w:p>
            <w:pPr>
              <w:pStyle w:val="Compact"/>
              <w:jc w:val="left"/>
            </w:pPr>
            <w:r>
              <w:t xml:space="preserve">One hardware thread</w:t>
            </w:r>
          </w:p>
        </w:tc>
        <w:tc>
          <w:tcPr/>
          <w:p>
            <w:pPr>
              <w:pStyle w:val="Compact"/>
              <w:jc w:val="left"/>
            </w:pPr>
            <w:r>
              <w:t xml:space="preserve">0–1</w:t>
            </w:r>
          </w:p>
        </w:tc>
        <w:tc>
          <w:tcPr/>
          <w:p>
            <w:pPr>
              <w:pStyle w:val="Compact"/>
              <w:jc w:val="left"/>
            </w:pPr>
            <w:r>
              <w:t xml:space="preserve">&lt; 0.3 ns</w:t>
            </w:r>
          </w:p>
        </w:tc>
        <w:tc>
          <w:tcPr/>
          <w:p>
            <w:pPr>
              <w:pStyle w:val="Compact"/>
              <w:jc w:val="left"/>
            </w:pPr>
            <w:r>
              <w:t xml:space="preserve">Hands</w:t>
            </w:r>
          </w:p>
        </w:tc>
      </w:tr>
      <w:tr>
        <w:tc>
          <w:tcPr/>
          <w:p>
            <w:pPr>
              <w:pStyle w:val="Compact"/>
              <w:jc w:val="left"/>
            </w:pPr>
            <w:r>
              <w:t xml:space="preserve">L1 data</w:t>
            </w:r>
          </w:p>
        </w:tc>
        <w:tc>
          <w:tcPr/>
          <w:p>
            <w:pPr>
              <w:pStyle w:val="Compact"/>
              <w:jc w:val="left"/>
            </w:pPr>
            <w:r>
              <w:t xml:space="preserve">32–64 KiB</w:t>
            </w:r>
          </w:p>
        </w:tc>
        <w:tc>
          <w:tcPr/>
          <w:p>
            <w:pPr>
              <w:pStyle w:val="Compact"/>
              <w:jc w:val="left"/>
            </w:pPr>
            <w:r>
              <w:t xml:space="preserve">One core</w:t>
            </w:r>
          </w:p>
        </w:tc>
        <w:tc>
          <w:tcPr/>
          <w:p>
            <w:pPr>
              <w:pStyle w:val="Compact"/>
              <w:jc w:val="left"/>
            </w:pPr>
            <w:r>
              <w:t xml:space="preserve">~4–6</w:t>
            </w:r>
          </w:p>
        </w:tc>
        <w:tc>
          <w:tcPr/>
          <w:p>
            <w:pPr>
              <w:pStyle w:val="Compact"/>
              <w:jc w:val="left"/>
            </w:pPr>
            <w:r>
              <w:t xml:space="preserve">~1–1.5 ns</w:t>
            </w:r>
          </w:p>
        </w:tc>
        <w:tc>
          <w:tcPr/>
          <w:p>
            <w:pPr>
              <w:pStyle w:val="Compact"/>
              <w:jc w:val="left"/>
            </w:pPr>
            <w:r>
              <w:t xml:space="preserve">Desk</w:t>
            </w:r>
          </w:p>
        </w:tc>
      </w:tr>
      <w:tr>
        <w:tc>
          <w:tcPr/>
          <w:p>
            <w:pPr>
              <w:pStyle w:val="Compact"/>
              <w:jc w:val="left"/>
            </w:pPr>
            <w:r>
              <w:t xml:space="preserve">L2</w:t>
            </w:r>
          </w:p>
        </w:tc>
        <w:tc>
          <w:tcPr/>
          <w:p>
            <w:pPr>
              <w:pStyle w:val="Compact"/>
              <w:jc w:val="left"/>
            </w:pPr>
            <w:r>
              <w:t xml:space="preserve">0.5–3 MiB</w:t>
            </w:r>
          </w:p>
        </w:tc>
        <w:tc>
          <w:tcPr/>
          <w:p>
            <w:pPr>
              <w:pStyle w:val="Compact"/>
              <w:jc w:val="left"/>
            </w:pPr>
            <w:r>
              <w:t xml:space="preserve">One core (usually)</w:t>
            </w:r>
          </w:p>
        </w:tc>
        <w:tc>
          <w:tcPr/>
          <w:p>
            <w:pPr>
              <w:pStyle w:val="Compact"/>
              <w:jc w:val="left"/>
            </w:pPr>
            <w:r>
              <w:t xml:space="preserve">~12–18</w:t>
            </w:r>
          </w:p>
        </w:tc>
        <w:tc>
          <w:tcPr/>
          <w:p>
            <w:pPr>
              <w:pStyle w:val="Compact"/>
              <w:jc w:val="left"/>
            </w:pPr>
            <w:r>
              <w:t xml:space="preserve">~3–5 ns</w:t>
            </w:r>
          </w:p>
        </w:tc>
        <w:tc>
          <w:tcPr/>
          <w:p>
            <w:pPr>
              <w:pStyle w:val="Compact"/>
              <w:jc w:val="left"/>
            </w:pPr>
            <w:r>
              <w:t xml:space="preserve">Shelf behind you</w:t>
            </w:r>
          </w:p>
        </w:tc>
      </w:tr>
      <w:tr>
        <w:tc>
          <w:tcPr/>
          <w:p>
            <w:pPr>
              <w:pStyle w:val="Compact"/>
              <w:jc w:val="left"/>
            </w:pPr>
            <w:r>
              <w:t xml:space="preserve">L3 (last-level cache)</w:t>
            </w:r>
          </w:p>
        </w:tc>
        <w:tc>
          <w:tcPr/>
          <w:p>
            <w:pPr>
              <w:pStyle w:val="Compact"/>
              <w:jc w:val="left"/>
            </w:pPr>
            <w:r>
              <w:t xml:space="preserve">8 MiB to several hundred MiB</w:t>
            </w:r>
          </w:p>
        </w:tc>
        <w:tc>
          <w:tcPr/>
          <w:p>
            <w:pPr>
              <w:pStyle w:val="Compact"/>
              <w:jc w:val="left"/>
            </w:pPr>
            <w:r>
              <w:t xml:space="preserve">All cores on the chip or chiplet</w:t>
            </w:r>
          </w:p>
        </w:tc>
        <w:tc>
          <w:tcPr/>
          <w:p>
            <w:pPr>
              <w:pStyle w:val="Compact"/>
              <w:jc w:val="left"/>
            </w:pPr>
            <w:r>
              <w:t xml:space="preserve">~40–80</w:t>
            </w:r>
          </w:p>
        </w:tc>
        <w:tc>
          <w:tcPr/>
          <w:p>
            <w:pPr>
              <w:pStyle w:val="Compact"/>
              <w:jc w:val="left"/>
            </w:pPr>
            <w:r>
              <w:t xml:space="preserve">~10–20 ns</w:t>
            </w:r>
          </w:p>
        </w:tc>
        <w:tc>
          <w:tcPr/>
          <w:p>
            <w:pPr>
              <w:pStyle w:val="Compact"/>
              <w:jc w:val="left"/>
            </w:pPr>
            <w:r>
              <w:t xml:space="preserve">Stacks on your floor</w:t>
            </w:r>
          </w:p>
        </w:tc>
      </w:tr>
      <w:tr>
        <w:tc>
          <w:tcPr/>
          <w:p>
            <w:pPr>
              <w:pStyle w:val="Compact"/>
              <w:jc w:val="left"/>
            </w:pPr>
            <w:r>
              <w:t xml:space="preserve">DRAM</w:t>
            </w:r>
          </w:p>
        </w:tc>
        <w:tc>
          <w:tcPr/>
          <w:p>
            <w:pPr>
              <w:pStyle w:val="Compact"/>
              <w:jc w:val="left"/>
            </w:pPr>
            <w:r>
              <w:t xml:space="preserve">GBs to TBs</w:t>
            </w:r>
          </w:p>
        </w:tc>
        <w:tc>
          <w:tcPr/>
          <w:p>
            <w:pPr>
              <w:pStyle w:val="Compact"/>
              <w:jc w:val="left"/>
            </w:pPr>
            <w:r>
              <w:t xml:space="preserve">Whole socket (or machine)</w:t>
            </w:r>
          </w:p>
        </w:tc>
        <w:tc>
          <w:tcPr/>
          <w:p>
            <w:pPr>
              <w:pStyle w:val="Compact"/>
              <w:jc w:val="left"/>
            </w:pPr>
            <w:r>
              <w:t xml:space="preserve">~300–500</w:t>
            </w:r>
          </w:p>
        </w:tc>
        <w:tc>
          <w:tcPr/>
          <w:p>
            <w:pPr>
              <w:pStyle w:val="Compact"/>
              <w:jc w:val="left"/>
            </w:pPr>
            <w:r>
              <w:t xml:space="preserve">~80–120 ns</w:t>
            </w:r>
          </w:p>
        </w:tc>
        <w:tc>
          <w:tcPr/>
          <w:p>
            <w:pPr>
              <w:pStyle w:val="Compact"/>
              <w:jc w:val="left"/>
            </w:pPr>
            <w:r>
              <w:t xml:space="preserve">Off-site depository</w:t>
            </w:r>
          </w:p>
        </w:tc>
      </w:tr>
    </w:tbl>
    <w:p>
      <w:pPr>
        <w:pStyle w:val="BodyText"/>
      </w:pPr>
      <w:r>
        <w:t xml:space="preserve">Sources for the ranges: vendor optimization manuals and independent measurements summarized in [Hennessy &amp; Patterson 2017, ch. 2] and [Drepper 2007]; check</w:t>
      </w:r>
      <w:r>
        <w:t xml:space="preserve"> </w:t>
      </w:r>
      <w:r>
        <w:rPr>
          <w:rStyle w:val="VerbatimChar"/>
        </w:rPr>
        <w:t xml:space="preserve">lscpu</w:t>
      </w:r>
      <w:r>
        <w:t xml:space="preserve"> </w:t>
      </w:r>
      <w:r>
        <w:t xml:space="preserve">on your own machine. The machine on which this chapter’s examples were tested reports 48 KiB L1d and 2 MiB L2 per core.</w:t>
      </w:r>
    </w:p>
    <w:p>
      <w:pPr>
        <w:pStyle w:val="BodyText"/>
      </w:pPr>
      <w:r>
        <w:rPr>
          <w:bCs/>
          <w:b/>
        </w:rPr>
        <w:t xml:space="preserve">Figure 5.3 — What happens on a load instruction.</w:t>
      </w:r>
    </w:p>
    <w:p>
      <w:pPr>
        <w:pStyle w:val="BodyText"/>
      </w:pPr>
      <w:r>
        <w:drawing>
          <wp:inline>
            <wp:extent cx="5334000" cy="6035842"/>
            <wp:effectExtent b="0" l="0" r="0" t="0"/>
            <wp:docPr descr="" title="" id="481" name="Picture"/>
            <a:graphic>
              <a:graphicData uri="http://schemas.openxmlformats.org/drawingml/2006/picture">
                <pic:pic>
                  <pic:nvPicPr>
                    <pic:cNvPr descr="/home/user/System-Design/build/.cache/diagrams/117c3ad2c52e.png" id="482" name="Picture"/>
                    <pic:cNvPicPr>
                      <a:picLocks noChangeArrowheads="1" noChangeAspect="1"/>
                    </pic:cNvPicPr>
                  </pic:nvPicPr>
                  <pic:blipFill>
                    <a:blip r:embed="rId480"/>
                    <a:stretch>
                      <a:fillRect/>
                    </a:stretch>
                  </pic:blipFill>
                  <pic:spPr bwMode="auto">
                    <a:xfrm>
                      <a:off x="0" y="0"/>
                      <a:ext cx="5334000" cy="6035842"/>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A load instruction checks each level in turn. A</w:t>
      </w:r>
      <w:r>
        <w:t xml:space="preserve"> </w:t>
      </w:r>
      <w:r>
        <w:rPr>
          <w:bCs/>
          <w:b/>
        </w:rPr>
        <w:t xml:space="preserve">hit</w:t>
      </w:r>
      <w:r>
        <w:t xml:space="preserve"> </w:t>
      </w:r>
      <w:r>
        <w:t xml:space="preserve">returns the data at that level’s latency; a</w:t>
      </w:r>
      <w:r>
        <w:t xml:space="preserve"> </w:t>
      </w:r>
      <w:r>
        <w:rPr>
          <w:bCs/>
          <w:b/>
        </w:rPr>
        <w:t xml:space="preserve">miss</w:t>
      </w:r>
      <w:r>
        <w:t xml:space="preserve"> </w:t>
      </w:r>
      <w:r>
        <w:t xml:space="preserve">passes the request to the next level. When the data finally arrives it is copied into the faster levels so the next access hits (this is temporal locality at work), possibly</w:t>
      </w:r>
      <w:r>
        <w:t xml:space="preserve"> </w:t>
      </w:r>
      <w:r>
        <w:rPr>
          <w:bCs/>
          <w:b/>
        </w:rPr>
        <w:t xml:space="preserve">evicting</w:t>
      </w:r>
      <w:r>
        <w:t xml:space="preserve"> </w:t>
      </w:r>
      <w:r>
        <w:t xml:space="preserve">some other line to make room. Each step is synchronous for the instruction that needs the value, but an out-of-order core keeps running independent instructions while it waits, and several misses can be outstanding at once (§5.9.2). The storage boundary is between L3 (on chip, SRAM) and DRAM (off chip). The main failure mode is a</w:t>
      </w:r>
      <w:r>
        <w:t xml:space="preserve"> </w:t>
      </w:r>
      <w:r>
        <w:rPr>
          <w:bCs/>
          <w:b/>
        </w:rPr>
        <w:t xml:space="preserve">miss storm</w:t>
      </w:r>
      <w:r>
        <w:t xml:space="preserve">: a working set larger than the caches turns most loads into 100 ns trips. The way to scale is not a bigger cache — you cannot buy one — but a smaller, denser working set and access patterns the hardware can predict.</w:t>
      </w:r>
    </w:p>
    <w:bookmarkEnd w:id="483"/>
    <w:bookmarkStart w:id="485" w:name="cache-lines-and-locality"/>
    <w:p>
      <w:pPr>
        <w:pStyle w:val="Heading3"/>
      </w:pPr>
      <w:r>
        <w:t xml:space="preserve">5.4.3 Cache lines and locality</w:t>
      </w:r>
    </w:p>
    <w:p>
      <w:pPr>
        <w:pStyle w:val="CalloutDefinition"/>
      </w:pPr>
      <w:r>
        <w:rPr>
          <w:bCs/>
          <w:b/>
        </w:rPr>
        <w:t xml:space="preserve">DEFINITION</w:t>
      </w:r>
    </w:p>
    <w:p>
      <w:pPr>
        <w:pStyle w:val="CalloutDefinition"/>
      </w:pPr>
      <w:r>
        <w:rPr>
          <w:bCs/>
          <w:b/>
        </w:rPr>
        <w:t xml:space="preserve">Definition — Cache line.</w:t>
      </w:r>
      <w:r>
        <w:t xml:space="preserve"> </w:t>
      </w:r>
      <w:r>
        <w:t xml:space="preserve">The fixed-size unit in which data moves between memory and caches. On x86-64 and most ARM server cores a line is 64 bytes; some designs (for example Apple’s M-series cores) use 128 bytes (as of 2024). A load of a single byte brings its whole line into the cache.</w:t>
      </w:r>
    </w:p>
    <w:p>
      <w:pPr>
        <w:pStyle w:val="BodyText"/>
      </w:pPr>
      <w:r>
        <w:t xml:space="preserve">Because a whole line arrives at once, reading the first element of an array also brings in the next seven 8-byte elements</w:t>
      </w:r>
      <w:r>
        <w:t xml:space="preserve"> </w:t>
      </w:r>
      <w:r>
        <w:t xml:space="preserve">“</w:t>
      </w:r>
      <w:r>
        <w:t xml:space="preserve">for free</w:t>
      </w:r>
      <w:r>
        <w:t xml:space="preserve">”</w:t>
      </w:r>
      <w:r>
        <w:t xml:space="preserve">. Hardware</w:t>
      </w:r>
      <w:r>
        <w:t xml:space="preserve"> </w:t>
      </w:r>
      <w:r>
        <w:rPr>
          <w:bCs/>
          <w:b/>
        </w:rPr>
        <w:t xml:space="preserve">prefetchers</w:t>
      </w:r>
      <w:r>
        <w:t xml:space="preserve"> </w:t>
      </w:r>
      <w:r>
        <w:t xml:space="preserve">go further: when they detect that you are walking through memory in a regular pattern, they start fetching the next lines before you ask. Sequential access is therefore the best case in the entire memory system, and random access the worst.</w:t>
      </w:r>
    </w:p>
    <w:bookmarkStart w:id="484" w:name="X0a218c5f4e9efc312fb1dba878acc8c734fcbaa"/>
    <w:p>
      <w:pPr>
        <w:pStyle w:val="Heading4"/>
      </w:pPr>
      <w:r>
        <w:t xml:space="preserve">Code example — row-major vs column-major traversal</w:t>
      </w:r>
    </w:p>
    <w:p>
      <w:pPr>
        <w:pStyle w:val="SourceCode"/>
      </w:pPr>
      <w:r>
        <w:rPr>
          <w:rStyle w:val="CommentTok"/>
        </w:rPr>
        <w:t xml:space="preserve">/* traverse.c — build: gcc -O2 -std=c11 traverse.c -o traverse */</w:t>
      </w:r>
      <w:r>
        <w:br/>
      </w:r>
      <w:r>
        <w:rPr>
          <w:rStyle w:val="PreprocessorTok"/>
        </w:rPr>
        <w:t xml:space="preserve">#define _POSIX_C_SOURCE </w:t>
      </w:r>
      <w:r>
        <w:rPr>
          <w:rStyle w:val="DecValTok"/>
        </w:rPr>
        <w:t xml:space="preserve">199309</w:t>
      </w:r>
      <w:r>
        <w:rPr>
          <w:rStyle w:val="BuiltInTok"/>
        </w:rPr>
        <w:t xml:space="preserve">L</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&lt;time.h&gt;</w:t>
      </w:r>
      <w:r>
        <w:br/>
      </w:r>
      <w:r>
        <w:br/>
      </w:r>
      <w:r>
        <w:rPr>
          <w:rStyle w:val="PreprocessorTok"/>
        </w:rPr>
        <w:t xml:space="preserve">#define N </w:t>
      </w:r>
      <w:r>
        <w:rPr>
          <w:rStyle w:val="DecValTok"/>
        </w:rPr>
        <w:t xml:space="preserve">8192</w:t>
      </w:r>
      <w:r>
        <w:rPr>
          <w:rStyle w:val="PreprocessorTok"/>
        </w:rPr>
        <w:t xml:space="preserve">                 </w:t>
      </w:r>
      <w:r>
        <w:rPr>
          <w:rStyle w:val="CommentTok"/>
        </w:rPr>
        <w:t xml:space="preserve">/* 8192 x 8192 ints = 256 MiB */</w:t>
      </w:r>
      <w:r>
        <w:br/>
      </w:r>
      <w:r>
        <w:br/>
      </w:r>
      <w:r>
        <w:rPr>
          <w:rStyle w:val="DataTypeTok"/>
        </w:rPr>
        <w:t xml:space="preserve">static</w:t>
      </w:r>
      <w:r>
        <w:rPr>
          <w:rStyle w:val="NormalTok"/>
        </w:rPr>
        <w:t xml:space="preserve"> </w:t>
      </w:r>
      <w:r>
        <w:rPr>
          <w:rStyle w:val="DataTypeTok"/>
        </w:rPr>
        <w:t xml:space="preserve">double</w:t>
      </w:r>
      <w:r>
        <w:rPr>
          <w:rStyle w:val="NormalTok"/>
        </w:rPr>
        <w:t xml:space="preserve"> now</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timespec t</w:t>
      </w:r>
      <w:r>
        <w:rPr>
          <w:rStyle w:val="OperatorTok"/>
        </w:rPr>
        <w:t xml:space="preserve">;</w:t>
      </w:r>
      <w:r>
        <w:br/>
      </w:r>
      <w:r>
        <w:rPr>
          <w:rStyle w:val="NormalTok"/>
        </w:rPr>
        <w:t xml:space="preserve">    clock_gettime</w:t>
      </w:r>
      <w:r>
        <w:rPr>
          <w:rStyle w:val="OperatorTok"/>
        </w:rPr>
        <w:t xml:space="preserve">(</w:t>
      </w:r>
      <w:r>
        <w:rPr>
          <w:rStyle w:val="NormalTok"/>
        </w:rPr>
        <w:t xml:space="preserve">CLOCK_MONOTONIC</w:t>
      </w:r>
      <w:r>
        <w:rPr>
          <w:rStyle w:val="OperatorTok"/>
        </w:rPr>
        <w:t xml:space="preserve">,</w:t>
      </w:r>
      <w:r>
        <w:rPr>
          <w:rStyle w:val="NormalTok"/>
        </w:rPr>
        <w:t xml:space="preserve"> </w:t>
      </w:r>
      <w:r>
        <w:rPr>
          <w:rStyle w:val="OperatorTok"/>
        </w:rPr>
        <w:t xml:space="preserve">&amp;</w:t>
      </w:r>
      <w:r>
        <w:rPr>
          <w:rStyle w:val="NormalTok"/>
        </w:rPr>
        <w:t xml:space="preserve">t</w:t>
      </w:r>
      <w:r>
        <w:rPr>
          <w:rStyle w:val="OperatorTok"/>
        </w:rPr>
        <w:t xml:space="preserve">);</w:t>
      </w:r>
      <w:r>
        <w:br/>
      </w:r>
      <w:r>
        <w:rPr>
          <w:rStyle w:val="NormalTok"/>
        </w:rPr>
        <w:t xml:space="preserve">    </w:t>
      </w:r>
      <w:r>
        <w:rPr>
          <w:rStyle w:val="ControlFlowTok"/>
        </w:rPr>
        <w:t xml:space="preserve">return</w:t>
      </w:r>
      <w:r>
        <w:rPr>
          <w:rStyle w:val="NormalTok"/>
        </w:rPr>
        <w:t xml:space="preserve"> t</w:t>
      </w:r>
      <w:r>
        <w:rPr>
          <w:rStyle w:val="OperatorTok"/>
        </w:rPr>
        <w:t xml:space="preserve">.</w:t>
      </w:r>
      <w:r>
        <w:rPr>
          <w:rStyle w:val="NormalTok"/>
        </w:rPr>
        <w:t xml:space="preserve">tv_sec </w:t>
      </w:r>
      <w:r>
        <w:rPr>
          <w:rStyle w:val="OperatorTok"/>
        </w:rPr>
        <w:t xml:space="preserve">+</w:t>
      </w:r>
      <w:r>
        <w:rPr>
          <w:rStyle w:val="NormalTok"/>
        </w:rPr>
        <w:t xml:space="preserve"> t</w:t>
      </w:r>
      <w:r>
        <w:rPr>
          <w:rStyle w:val="OperatorTok"/>
        </w:rPr>
        <w:t xml:space="preserve">.</w:t>
      </w:r>
      <w:r>
        <w:rPr>
          <w:rStyle w:val="NormalTok"/>
        </w:rPr>
        <w:t xml:space="preserve">tv_nsec </w:t>
      </w:r>
      <w:r>
        <w:rPr>
          <w:rStyle w:val="OperatorTok"/>
        </w:rPr>
        <w:t xml:space="preserve">/</w:t>
      </w:r>
      <w:r>
        <w:rPr>
          <w:rStyle w:val="NormalTok"/>
        </w:rPr>
        <w:t xml:space="preserve"> </w:t>
      </w:r>
      <w:r>
        <w:rPr>
          <w:rStyle w:val="FloatTok"/>
        </w:rPr>
        <w:t xml:space="preserve">1e9</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 malloc</w:t>
      </w:r>
      <w:r>
        <w:rPr>
          <w:rStyle w:val="OperatorTok"/>
        </w:rPr>
        <w:t xml:space="preserve">((</w:t>
      </w:r>
      <w:r>
        <w:rPr>
          <w:rStyle w:val="DataTypeTok"/>
        </w:rPr>
        <w:t xml:space="preserve">size_t</w:t>
      </w:r>
      <w:r>
        <w:rPr>
          <w:rStyle w:val="OperatorTok"/>
        </w:rPr>
        <w:t xml:space="preserve">)</w:t>
      </w:r>
      <w:r>
        <w:rPr>
          <w:rStyle w:val="NormalTok"/>
        </w:rPr>
        <w:t xml:space="preserve">N </w:t>
      </w:r>
      <w:r>
        <w:rPr>
          <w:rStyle w:val="OperatorTok"/>
        </w:rPr>
        <w:t xml:space="preserve">*</w:t>
      </w:r>
      <w:r>
        <w:rPr>
          <w:rStyle w:val="NormalTok"/>
        </w:rPr>
        <w:t xml:space="preserve"> N </w:t>
      </w:r>
      <w:r>
        <w:rPr>
          <w:rStyle w:val="OperatorTok"/>
        </w:rPr>
        <w:t xml:space="preserve">*</w:t>
      </w:r>
      <w:r>
        <w:rPr>
          <w:rStyle w:val="NormalTok"/>
        </w:rPr>
        <w:t xml:space="preserve"> </w:t>
      </w:r>
      <w:r>
        <w:rPr>
          <w:rStyle w:val="KeywordTok"/>
        </w:rPr>
        <w:t xml:space="preserve">sizeof</w:t>
      </w:r>
      <w:r>
        <w:rPr>
          <w:rStyle w:val="NormalTok"/>
        </w:rPr>
        <w:t xml:space="preserve"> </w:t>
      </w:r>
      <w:r>
        <w:rPr>
          <w:rStyle w:val="OperatorTok"/>
        </w:rPr>
        <w:t xml:space="preserve">*</w:t>
      </w:r>
      <w:r>
        <w:rPr>
          <w:rStyle w:val="NormalTok"/>
        </w:rPr>
        <w:t xml:space="preserve">m</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N </w:t>
      </w:r>
      <w:r>
        <w:rPr>
          <w:rStyle w:val="OperatorTok"/>
        </w:rPr>
        <w:t xml:space="preserve">*</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m</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DataTypeTok"/>
        </w:rPr>
        <w:t xml:space="preserve">long</w:t>
      </w:r>
      <w:r>
        <w:rPr>
          <w:rStyle w:val="NormalTok"/>
        </w:rPr>
        <w:t xml:space="preserve"> </w:t>
      </w:r>
      <w:r>
        <w:rPr>
          <w:rStyle w:val="DataTypeTok"/>
        </w:rPr>
        <w:t xml:space="preserve">long</w:t>
      </w:r>
      <w:r>
        <w:rPr>
          <w:rStyle w:val="NormalTok"/>
        </w:rPr>
        <w:t xml:space="preserve"> sum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double</w:t>
      </w:r>
      <w:r>
        <w:rPr>
          <w:rStyle w:val="NormalTok"/>
        </w:rPr>
        <w:t xml:space="preserve"> t0 </w:t>
      </w:r>
      <w:r>
        <w:rPr>
          <w:rStyle w:val="OperatorTok"/>
        </w:rPr>
        <w:t xml:space="preserve">=</w:t>
      </w:r>
      <w:r>
        <w:rPr>
          <w:rStyle w:val="NormalTok"/>
        </w:rPr>
        <w:t xml:space="preserve"> now</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 </w:t>
      </w:r>
      <w:r>
        <w:rPr>
          <w:rStyle w:val="OperatorTok"/>
        </w:rPr>
        <w:t xml:space="preserve">&lt;</w:t>
      </w:r>
      <w:r>
        <w:rPr>
          <w:rStyle w:val="NormalTok"/>
        </w:rPr>
        <w:t xml:space="preserve"> N</w:t>
      </w:r>
      <w:r>
        <w:rPr>
          <w:rStyle w:val="OperatorTok"/>
        </w:rPr>
        <w:t xml:space="preserve">;</w:t>
      </w:r>
      <w:r>
        <w:rPr>
          <w:rStyle w:val="NormalTok"/>
        </w:rPr>
        <w:t xml:space="preserve"> r</w:t>
      </w:r>
      <w:r>
        <w:rPr>
          <w:rStyle w:val="OperatorTok"/>
        </w:rPr>
        <w:t xml:space="preserve">++)</w:t>
      </w:r>
      <w:r>
        <w:rPr>
          <w:rStyle w:val="NormalTok"/>
        </w:rPr>
        <w:t xml:space="preserve">          </w:t>
      </w:r>
      <w:r>
        <w:rPr>
          <w:rStyle w:val="CommentTok"/>
        </w:rPr>
        <w:t xml:space="preserve">/* row-major: consecutive addresses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c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 </w:t>
      </w:r>
      <w:r>
        <w:rPr>
          <w:rStyle w:val="OperatorTok"/>
        </w:rPr>
        <w:t xml:space="preserve">&lt;</w:t>
      </w:r>
      <w:r>
        <w:rPr>
          <w:rStyle w:val="NormalTok"/>
        </w:rPr>
        <w:t xml:space="preserve"> N</w:t>
      </w:r>
      <w:r>
        <w:rPr>
          <w:rStyle w:val="OperatorTok"/>
        </w:rPr>
        <w:t xml:space="preserve">;</w:t>
      </w:r>
      <w:r>
        <w:rPr>
          <w:rStyle w:val="NormalTok"/>
        </w:rPr>
        <w:t xml:space="preserve"> c</w:t>
      </w:r>
      <w:r>
        <w:rPr>
          <w:rStyle w:val="OperatorTok"/>
        </w:rPr>
        <w:t xml:space="preserve">++)</w:t>
      </w:r>
      <w:r>
        <w:br/>
      </w:r>
      <w:r>
        <w:rPr>
          <w:rStyle w:val="NormalTok"/>
        </w:rPr>
        <w:t xml:space="preserve">            sum </w:t>
      </w:r>
      <w:r>
        <w:rPr>
          <w:rStyle w:val="OperatorTok"/>
        </w:rPr>
        <w:t xml:space="preserve">+=</w:t>
      </w:r>
      <w:r>
        <w:rPr>
          <w:rStyle w:val="NormalTok"/>
        </w:rPr>
        <w:t xml:space="preserve"> m</w:t>
      </w:r>
      <w:r>
        <w:rPr>
          <w:rStyle w:val="OperatorTok"/>
        </w:rPr>
        <w:t xml:space="preserve">[</w:t>
      </w:r>
      <w:r>
        <w:rPr>
          <w:rStyle w:val="NormalTok"/>
        </w:rPr>
        <w:t xml:space="preserve">r </w:t>
      </w:r>
      <w:r>
        <w:rPr>
          <w:rStyle w:val="OperatorTok"/>
        </w:rPr>
        <w:t xml:space="preserve">*</w:t>
      </w:r>
      <w:r>
        <w:rPr>
          <w:rStyle w:val="NormalTok"/>
        </w:rPr>
        <w:t xml:space="preserve"> N </w:t>
      </w:r>
      <w:r>
        <w:rPr>
          <w:rStyle w:val="OperatorTok"/>
        </w:rPr>
        <w:t xml:space="preserve">+</w:t>
      </w:r>
      <w:r>
        <w:rPr>
          <w:rStyle w:val="NormalTok"/>
        </w:rPr>
        <w:t xml:space="preserve"> c</w:t>
      </w:r>
      <w:r>
        <w:rPr>
          <w:rStyle w:val="OperatorTok"/>
        </w:rPr>
        <w:t xml:space="preserve">];</w:t>
      </w:r>
      <w:r>
        <w:br/>
      </w:r>
      <w:r>
        <w:rPr>
          <w:rStyle w:val="NormalTok"/>
        </w:rPr>
        <w:t xml:space="preserve">    </w:t>
      </w:r>
      <w:r>
        <w:rPr>
          <w:rStyle w:val="DataTypeTok"/>
        </w:rPr>
        <w:t xml:space="preserve">double</w:t>
      </w:r>
      <w:r>
        <w:rPr>
          <w:rStyle w:val="NormalTok"/>
        </w:rPr>
        <w:t xml:space="preserve"> t1 </w:t>
      </w:r>
      <w:r>
        <w:rPr>
          <w:rStyle w:val="OperatorTok"/>
        </w:rPr>
        <w:t xml:space="preserve">=</w:t>
      </w:r>
      <w:r>
        <w:rPr>
          <w:rStyle w:val="NormalTok"/>
        </w:rPr>
        <w:t xml:space="preserve"> now</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c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 </w:t>
      </w:r>
      <w:r>
        <w:rPr>
          <w:rStyle w:val="OperatorTok"/>
        </w:rPr>
        <w:t xml:space="preserve">&lt;</w:t>
      </w:r>
      <w:r>
        <w:rPr>
          <w:rStyle w:val="NormalTok"/>
        </w:rPr>
        <w:t xml:space="preserve"> N</w:t>
      </w:r>
      <w:r>
        <w:rPr>
          <w:rStyle w:val="OperatorTok"/>
        </w:rPr>
        <w:t xml:space="preserve">;</w:t>
      </w:r>
      <w:r>
        <w:rPr>
          <w:rStyle w:val="NormalTok"/>
        </w:rPr>
        <w:t xml:space="preserve"> c</w:t>
      </w:r>
      <w:r>
        <w:rPr>
          <w:rStyle w:val="OperatorTok"/>
        </w:rPr>
        <w:t xml:space="preserve">++)</w:t>
      </w:r>
      <w:r>
        <w:rPr>
          <w:rStyle w:val="NormalTok"/>
        </w:rPr>
        <w:t xml:space="preserve">          </w:t>
      </w:r>
      <w:r>
        <w:rPr>
          <w:rStyle w:val="CommentTok"/>
        </w:rPr>
        <w:t xml:space="preserve">/* column-major: jumps of N*4 bytes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 </w:t>
      </w:r>
      <w:r>
        <w:rPr>
          <w:rStyle w:val="OperatorTok"/>
        </w:rPr>
        <w:t xml:space="preserve">&lt;</w:t>
      </w:r>
      <w:r>
        <w:rPr>
          <w:rStyle w:val="NormalTok"/>
        </w:rPr>
        <w:t xml:space="preserve"> N</w:t>
      </w:r>
      <w:r>
        <w:rPr>
          <w:rStyle w:val="OperatorTok"/>
        </w:rPr>
        <w:t xml:space="preserve">;</w:t>
      </w:r>
      <w:r>
        <w:rPr>
          <w:rStyle w:val="NormalTok"/>
        </w:rPr>
        <w:t xml:space="preserve"> r</w:t>
      </w:r>
      <w:r>
        <w:rPr>
          <w:rStyle w:val="OperatorTok"/>
        </w:rPr>
        <w:t xml:space="preserve">++)</w:t>
      </w:r>
      <w:r>
        <w:br/>
      </w:r>
      <w:r>
        <w:rPr>
          <w:rStyle w:val="NormalTok"/>
        </w:rPr>
        <w:t xml:space="preserve">            sum </w:t>
      </w:r>
      <w:r>
        <w:rPr>
          <w:rStyle w:val="OperatorTok"/>
        </w:rPr>
        <w:t xml:space="preserve">+=</w:t>
      </w:r>
      <w:r>
        <w:rPr>
          <w:rStyle w:val="NormalTok"/>
        </w:rPr>
        <w:t xml:space="preserve"> m</w:t>
      </w:r>
      <w:r>
        <w:rPr>
          <w:rStyle w:val="OperatorTok"/>
        </w:rPr>
        <w:t xml:space="preserve">[</w:t>
      </w:r>
      <w:r>
        <w:rPr>
          <w:rStyle w:val="NormalTok"/>
        </w:rPr>
        <w:t xml:space="preserve">r </w:t>
      </w:r>
      <w:r>
        <w:rPr>
          <w:rStyle w:val="OperatorTok"/>
        </w:rPr>
        <w:t xml:space="preserve">*</w:t>
      </w:r>
      <w:r>
        <w:rPr>
          <w:rStyle w:val="NormalTok"/>
        </w:rPr>
        <w:t xml:space="preserve"> N </w:t>
      </w:r>
      <w:r>
        <w:rPr>
          <w:rStyle w:val="OperatorTok"/>
        </w:rPr>
        <w:t xml:space="preserve">+</w:t>
      </w:r>
      <w:r>
        <w:rPr>
          <w:rStyle w:val="NormalTok"/>
        </w:rPr>
        <w:t xml:space="preserve"> c</w:t>
      </w:r>
      <w:r>
        <w:rPr>
          <w:rStyle w:val="OperatorTok"/>
        </w:rPr>
        <w:t xml:space="preserve">];</w:t>
      </w:r>
      <w:r>
        <w:br/>
      </w:r>
      <w:r>
        <w:rPr>
          <w:rStyle w:val="NormalTok"/>
        </w:rPr>
        <w:t xml:space="preserve">    </w:t>
      </w:r>
      <w:r>
        <w:rPr>
          <w:rStyle w:val="DataTypeTok"/>
        </w:rPr>
        <w:t xml:space="preserve">double</w:t>
      </w:r>
      <w:r>
        <w:rPr>
          <w:rStyle w:val="NormalTok"/>
        </w:rPr>
        <w:t xml:space="preserve"> t2 </w:t>
      </w:r>
      <w:r>
        <w:rPr>
          <w:rStyle w:val="OperatorTok"/>
        </w:rPr>
        <w:t xml:space="preserve">=</w:t>
      </w:r>
      <w:r>
        <w:rPr>
          <w:rStyle w:val="NormalTok"/>
        </w:rPr>
        <w:t xml:space="preserve"> now</w:t>
      </w:r>
      <w:r>
        <w:rPr>
          <w:rStyle w:val="OperatorTok"/>
        </w:rPr>
        <w:t xml:space="preserve">();</w:t>
      </w:r>
      <w:r>
        <w:br/>
      </w:r>
      <w:r>
        <w:br/>
      </w:r>
      <w:r>
        <w:rPr>
          <w:rStyle w:val="NormalTok"/>
        </w:rPr>
        <w:t xml:space="preserve">    printf</w:t>
      </w:r>
      <w:r>
        <w:rPr>
          <w:rStyle w:val="OperatorTok"/>
        </w:rPr>
        <w:t xml:space="preserve">(</w:t>
      </w:r>
      <w:r>
        <w:rPr>
          <w:rStyle w:val="StringTok"/>
        </w:rPr>
        <w:t xml:space="preserve">"row-major:    </w:t>
      </w:r>
      <w:r>
        <w:rPr>
          <w:rStyle w:val="SpecialCharTok"/>
        </w:rPr>
        <w:t xml:space="preserve">%.3f</w:t>
      </w:r>
      <w:r>
        <w:rPr>
          <w:rStyle w:val="StringTok"/>
        </w:rPr>
        <w:t xml:space="preserve"> s</w:t>
      </w:r>
      <w:r>
        <w:rPr>
          <w:rStyle w:val="SpecialCharTok"/>
        </w:rPr>
        <w:t xml:space="preserve">\n</w:t>
      </w:r>
      <w:r>
        <w:rPr>
          <w:rStyle w:val="StringTok"/>
        </w:rPr>
        <w:t xml:space="preserve">"</w:t>
      </w:r>
      <w:r>
        <w:rPr>
          <w:rStyle w:val="OperatorTok"/>
        </w:rPr>
        <w:t xml:space="preserve">,</w:t>
      </w:r>
      <w:r>
        <w:rPr>
          <w:rStyle w:val="NormalTok"/>
        </w:rPr>
        <w:t xml:space="preserve"> t1 </w:t>
      </w:r>
      <w:r>
        <w:rPr>
          <w:rStyle w:val="OperatorTok"/>
        </w:rPr>
        <w:t xml:space="preserve">-</w:t>
      </w:r>
      <w:r>
        <w:rPr>
          <w:rStyle w:val="NormalTok"/>
        </w:rPr>
        <w:t xml:space="preserve"> t0</w:t>
      </w:r>
      <w:r>
        <w:rPr>
          <w:rStyle w:val="OperatorTok"/>
        </w:rPr>
        <w:t xml:space="preserve">);</w:t>
      </w:r>
      <w:r>
        <w:br/>
      </w:r>
      <w:r>
        <w:rPr>
          <w:rStyle w:val="NormalTok"/>
        </w:rPr>
        <w:t xml:space="preserve">    printf</w:t>
      </w:r>
      <w:r>
        <w:rPr>
          <w:rStyle w:val="OperatorTok"/>
        </w:rPr>
        <w:t xml:space="preserve">(</w:t>
      </w:r>
      <w:r>
        <w:rPr>
          <w:rStyle w:val="StringTok"/>
        </w:rPr>
        <w:t xml:space="preserve">"column-major: </w:t>
      </w:r>
      <w:r>
        <w:rPr>
          <w:rStyle w:val="SpecialCharTok"/>
        </w:rPr>
        <w:t xml:space="preserve">%.3f</w:t>
      </w:r>
      <w:r>
        <w:rPr>
          <w:rStyle w:val="StringTok"/>
        </w:rPr>
        <w:t xml:space="preserve"> s</w:t>
      </w:r>
      <w:r>
        <w:rPr>
          <w:rStyle w:val="SpecialCharTok"/>
        </w:rPr>
        <w:t xml:space="preserve">\n</w:t>
      </w:r>
      <w:r>
        <w:rPr>
          <w:rStyle w:val="StringTok"/>
        </w:rPr>
        <w:t xml:space="preserve">"</w:t>
      </w:r>
      <w:r>
        <w:rPr>
          <w:rStyle w:val="OperatorTok"/>
        </w:rPr>
        <w:t xml:space="preserve">,</w:t>
      </w:r>
      <w:r>
        <w:rPr>
          <w:rStyle w:val="NormalTok"/>
        </w:rPr>
        <w:t xml:space="preserve"> t2 </w:t>
      </w:r>
      <w:r>
        <w:rPr>
          <w:rStyle w:val="OperatorTok"/>
        </w:rPr>
        <w:t xml:space="preserve">-</w:t>
      </w:r>
      <w:r>
        <w:rPr>
          <w:rStyle w:val="NormalTok"/>
        </w:rPr>
        <w:t xml:space="preserve"> t1</w:t>
      </w:r>
      <w:r>
        <w:rPr>
          <w:rStyle w:val="OperatorTok"/>
        </w:rPr>
        <w:t xml:space="preserve">);</w:t>
      </w:r>
      <w:r>
        <w:br/>
      </w:r>
      <w:r>
        <w:rPr>
          <w:rStyle w:val="NormalTok"/>
        </w:rPr>
        <w:t xml:space="preserve">    printf</w:t>
      </w:r>
      <w:r>
        <w:rPr>
          <w:rStyle w:val="OperatorTok"/>
        </w:rPr>
        <w:t xml:space="preserve">(</w:t>
      </w:r>
      <w:r>
        <w:rPr>
          <w:rStyle w:val="StringTok"/>
        </w:rPr>
        <w:t xml:space="preserve">"checksum: </w:t>
      </w:r>
      <w:r>
        <w:rPr>
          <w:rStyle w:val="SpecialCharTok"/>
        </w:rPr>
        <w:t xml:space="preserve">%lld\n</w:t>
      </w:r>
      <w:r>
        <w:rPr>
          <w:rStyle w:val="StringTok"/>
        </w:rPr>
        <w:t xml:space="preserve">"</w:t>
      </w:r>
      <w:r>
        <w:rPr>
          <w:rStyle w:val="OperatorTok"/>
        </w:rPr>
        <w:t xml:space="preserve">,</w:t>
      </w:r>
      <w:r>
        <w:rPr>
          <w:rStyle w:val="NormalTok"/>
        </w:rPr>
        <w:t xml:space="preserve"> sum</w:t>
      </w:r>
      <w:r>
        <w:rPr>
          <w:rStyle w:val="OperatorTok"/>
        </w:rPr>
        <w:t xml:space="preserve">);</w:t>
      </w:r>
      <w:r>
        <w:rPr>
          <w:rStyle w:val="NormalTok"/>
        </w:rPr>
        <w:t xml:space="preserve">         </w:t>
      </w:r>
      <w:r>
        <w:rPr>
          <w:rStyle w:val="CommentTok"/>
        </w:rPr>
        <w:t xml:space="preserve">/* stops the compiler deleting loops */</w:t>
      </w:r>
      <w:r>
        <w:br/>
      </w:r>
      <w:r>
        <w:rPr>
          <w:rStyle w:val="NormalTok"/>
        </w:rPr>
        <w:t xml:space="preserve">    free</w:t>
      </w:r>
      <w:r>
        <w:rPr>
          <w:rStyle w:val="OperatorTok"/>
        </w:rPr>
        <w:t xml:space="preserve">(</w:t>
      </w:r>
      <w:r>
        <w:rPr>
          <w:rStyle w:val="NormalTok"/>
        </w:rPr>
        <w:t xml:space="preserve">m</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t xml:space="preserve">What to notice:</w:t>
      </w:r>
    </w:p>
    <w:p>
      <w:pPr>
        <w:numPr>
          <w:ilvl w:val="0"/>
          <w:numId w:val="1144"/>
        </w:numPr>
        <w:pStyle w:val="Compact"/>
      </w:pPr>
      <w:r>
        <w:t xml:space="preserve">Both loops add exactly the same 67,108,864 integers; only the</w:t>
      </w:r>
      <w:r>
        <w:t xml:space="preserve"> </w:t>
      </w:r>
      <w:r>
        <w:rPr>
          <w:bCs/>
          <w:b/>
        </w:rPr>
        <w:t xml:space="preserve">order</w:t>
      </w:r>
      <w:r>
        <w:t xml:space="preserve"> </w:t>
      </w:r>
      <w:r>
        <w:t xml:space="preserve">differs.</w:t>
      </w:r>
    </w:p>
    <w:p>
      <w:pPr>
        <w:numPr>
          <w:ilvl w:val="0"/>
          <w:numId w:val="1144"/>
        </w:numPr>
        <w:pStyle w:val="Compact"/>
      </w:pPr>
      <w:r>
        <w:t xml:space="preserve">The row-major loop touches consecutive 4-byte integers, so each 64-byte line serves 16 additions and the prefetcher streams lines ahead of time.</w:t>
      </w:r>
    </w:p>
    <w:p>
      <w:pPr>
        <w:numPr>
          <w:ilvl w:val="0"/>
          <w:numId w:val="1144"/>
        </w:numPr>
        <w:pStyle w:val="Compact"/>
      </w:pPr>
      <w:r>
        <w:t xml:space="preserve">The column-major loop jumps 8192 × 4 = 32,768 bytes between consecutive accesses, so every access lands on a different line and, because the matrix is 256 MiB, most of those lines have been evicted before the loop comes back for their neighbors.</w:t>
      </w:r>
    </w:p>
    <w:p>
      <w:pPr>
        <w:numPr>
          <w:ilvl w:val="0"/>
          <w:numId w:val="1144"/>
        </w:numPr>
        <w:pStyle w:val="Compact"/>
      </w:pPr>
      <w:r>
        <w:t xml:space="preserve">On the test machine (a cloud x86-64 VM, 2026) the row-major loop took 0.038 s and the column-major loop 0.667 s — about</w:t>
      </w:r>
      <w:r>
        <w:t xml:space="preserve"> </w:t>
      </w:r>
      <w:r>
        <w:rPr>
          <w:bCs/>
          <w:b/>
        </w:rPr>
        <w:t xml:space="preserve">17× slower</w:t>
      </w:r>
      <w:r>
        <w:t xml:space="preserve"> </w:t>
      </w:r>
      <w:r>
        <w:t xml:space="preserve">for identical arithmetic. Your ratio will differ, but the direction will not.</w:t>
      </w:r>
    </w:p>
    <w:p>
      <w:pPr>
        <w:numPr>
          <w:ilvl w:val="0"/>
          <w:numId w:val="1144"/>
        </w:numPr>
        <w:pStyle w:val="Compact"/>
      </w:pPr>
      <w:r>
        <w:rPr>
          <w:rStyle w:val="VerbatimChar"/>
        </w:rPr>
        <w:t xml:space="preserve">sum</w:t>
      </w:r>
      <w:r>
        <w:t xml:space="preserve"> </w:t>
      </w:r>
      <w:r>
        <w:t xml:space="preserve">is printed so that the optimizing compiler cannot prove the loops are useless and delete them — a classic benchmarking pitfall (§23.5).</w:t>
      </w:r>
    </w:p>
    <w:bookmarkEnd w:id="484"/>
    <w:bookmarkEnd w:id="485"/>
    <w:bookmarkStart w:id="486" w:name="associativity-where-a-line-may-live"/>
    <w:p>
      <w:pPr>
        <w:pStyle w:val="Heading3"/>
      </w:pPr>
      <w:r>
        <w:t xml:space="preserve">5.4.4 Associativity: where a line may live</w:t>
      </w:r>
    </w:p>
    <w:p>
      <w:pPr>
        <w:pStyle w:val="FirstParagraph"/>
      </w:pPr>
      <w:r>
        <w:t xml:space="preserve">A cache must find a line quickly, so it cannot search every slot. Instead the memory address decides which</w:t>
      </w:r>
      <w:r>
        <w:t xml:space="preserve"> </w:t>
      </w:r>
      <w:r>
        <w:rPr>
          <w:bCs/>
          <w:b/>
        </w:rPr>
        <w:t xml:space="preserve">set</w:t>
      </w:r>
      <w:r>
        <w:t xml:space="preserve"> </w:t>
      </w:r>
      <w:r>
        <w:t xml:space="preserve">(group of slots) a line may occupy.</w:t>
      </w:r>
    </w:p>
    <w:p>
      <w:pPr>
        <w:pStyle w:val="CalloutDefinition"/>
      </w:pPr>
      <w:r>
        <w:rPr>
          <w:bCs/>
          <w:b/>
        </w:rPr>
        <w:t xml:space="preserve">DEFINITION</w:t>
      </w:r>
    </w:p>
    <w:p>
      <w:pPr>
        <w:pStyle w:val="CalloutDefinition"/>
      </w:pPr>
      <w:r>
        <w:rPr>
          <w:bCs/>
          <w:b/>
        </w:rPr>
        <w:t xml:space="preserve">Definition — Set-associative cache.</w:t>
      </w:r>
      <w:r>
        <w:t xml:space="preserve"> </w:t>
      </w:r>
      <w:r>
        <w:t xml:space="preserve">A cache divided into</w:t>
      </w:r>
      <w:r>
        <w:t xml:space="preserve"> </w:t>
      </w:r>
      <m:oMath>
        <m:r>
          <m:t>S</m:t>
        </m:r>
      </m:oMath>
      <w:r>
        <w:t xml:space="preserve"> </w:t>
      </w:r>
      <w:r>
        <w:t xml:space="preserve">sets of</w:t>
      </w:r>
      <w:r>
        <w:t xml:space="preserve"> </w:t>
      </w:r>
      <m:oMath>
        <m:r>
          <m:t>W</m:t>
        </m:r>
      </m:oMath>
      <w:r>
        <w:t xml:space="preserve"> </w:t>
      </w:r>
      <w:r>
        <w:t xml:space="preserve">slots (</w:t>
      </w:r>
      <w:r>
        <w:rPr>
          <w:bCs/>
          <w:b/>
        </w:rPr>
        <w:t xml:space="preserve">ways</w:t>
      </w:r>
      <w:r>
        <w:t xml:space="preserve">). A line at a given address may be stored in any of the</w:t>
      </w:r>
      <w:r>
        <w:t xml:space="preserve"> </w:t>
      </w:r>
      <m:oMath>
        <m:r>
          <m:t>W</m:t>
        </m:r>
      </m:oMath>
      <w:r>
        <w:t xml:space="preserve"> </w:t>
      </w:r>
      <w:r>
        <w:t xml:space="preserve">ways of exactly one set.</w:t>
      </w:r>
      <w:r>
        <w:t xml:space="preserve"> </w:t>
      </w:r>
      <m:oMath>
        <m:r>
          <m:t>W</m:t>
        </m:r>
        <m:r>
          <m:rPr>
            <m:sty m:val="p"/>
          </m:rPr>
          <m:t>=</m:t>
        </m:r>
        <m:r>
          <m:t>1</m:t>
        </m:r>
      </m:oMath>
      <w:r>
        <w:t xml:space="preserve"> </w:t>
      </w:r>
      <w:r>
        <w:t xml:space="preserve">is a</w:t>
      </w:r>
      <w:r>
        <w:t xml:space="preserve"> </w:t>
      </w:r>
      <w:r>
        <w:rPr>
          <w:bCs/>
          <w:b/>
        </w:rPr>
        <w:t xml:space="preserve">direct-mapped</w:t>
      </w:r>
      <w:r>
        <w:t xml:space="preserve"> </w:t>
      </w:r>
      <w:r>
        <w:t xml:space="preserve">cache; a cache with a single set holding every line is</w:t>
      </w:r>
      <w:r>
        <w:t xml:space="preserve"> </w:t>
      </w:r>
      <w:r>
        <w:rPr>
          <w:bCs/>
          <w:b/>
        </w:rPr>
        <w:t xml:space="preserve">fully associative</w:t>
      </w:r>
      <w:r>
        <w:t xml:space="preserve">.</w:t>
      </w:r>
    </w:p>
    <w:p>
      <w:pPr>
        <w:pStyle w:val="BodyText"/>
      </w:pPr>
      <w:r>
        <w:t xml:space="preserve">The analogy is a coat check with numbered racks. Your ticket number decides the rack (the set); within the rack your coat can go on any free hook (any way). If many guests’ tickets map to the same rack, that rack overflows even though others are empty — a</w:t>
      </w:r>
      <w:r>
        <w:t xml:space="preserve"> </w:t>
      </w:r>
      <w:r>
        <w:rPr>
          <w:bCs/>
          <w:b/>
        </w:rPr>
        <w:t xml:space="preserve">conflict miss</w:t>
      </w:r>
      <w:r>
        <w:t xml:space="preserve">.</w:t>
      </w:r>
    </w:p>
    <w:p>
      <w:pPr>
        <w:pStyle w:val="CalloutFormula"/>
      </w:pPr>
      <w:r>
        <w:rPr>
          <w:bCs/>
          <w:b/>
        </w:rPr>
        <w:t xml:space="preserve">FORMULA</w:t>
      </w:r>
    </w:p>
    <w:p>
      <w:pPr>
        <w:pStyle w:val="CalloutFormula"/>
      </w:pPr>
      <w:r>
        <w:rPr>
          <w:bCs/>
          <w:b/>
        </w:rPr>
        <w:t xml:space="preserve">Address decomposition in a set-associative cache</w:t>
      </w:r>
    </w:p>
    <w:p>
      <w:pPr>
        <w:pStyle w:val="CalloutFormula"/>
      </w:pPr>
      <m:oMathPara>
        <m:oMathParaPr>
          <m:jc m:val="center"/>
        </m:oMathParaPr>
        <m:oMath>
          <m:r>
            <m:t>S</m:t>
          </m:r>
          <m:r>
            <m:rPr>
              <m:sty m:val="p"/>
            </m:rPr>
            <m:t>=</m:t>
          </m:r>
          <m:f>
            <m:fPr>
              <m:type m:val="bar"/>
            </m:fPr>
            <m:num>
              <m:r>
                <m:t>C</m:t>
              </m:r>
            </m:num>
            <m:den>
              <m:r>
                <m:t>B</m:t>
              </m:r>
              <m:r>
                <m:rPr>
                  <m:sty m:val="p"/>
                </m:rPr>
                <m:t>×</m:t>
              </m:r>
              <m:r>
                <m:t>W</m:t>
              </m:r>
            </m:den>
          </m:f>
          <m:r>
            <m:rPr>
              <m:sty m:val="p"/>
            </m:rPr>
            <m:t>,</m:t>
          </m:r>
          <m:r>
            <m:t>  </m:t>
          </m:r>
          <m:r>
            <m:rPr>
              <m:nor/>
              <m:sty m:val="p"/>
            </m:rPr>
            <m:t>offset bits</m:t>
          </m:r>
          <m:r>
            <m:rPr>
              <m:sty m:val="p"/>
            </m:rPr>
            <m:t>=</m:t>
          </m:r>
          <m:sSub>
            <m:e>
              <m:r>
                <m:rPr>
                  <m:sty m:val="p"/>
                </m:rPr>
                <m:t>log</m:t>
              </m:r>
            </m:e>
            <m:sub>
              <m:r>
                <m:t>2</m:t>
              </m:r>
            </m:sub>
          </m:sSub>
          <m:r>
            <m:t>B</m:t>
          </m:r>
          <m:r>
            <m:rPr>
              <m:sty m:val="p"/>
            </m:rPr>
            <m:t>,</m:t>
          </m:r>
          <m:r>
            <m:t>  </m:t>
          </m:r>
          <m:r>
            <m:rPr>
              <m:nor/>
              <m:sty m:val="p"/>
            </m:rPr>
            <m:t>index bits</m:t>
          </m:r>
          <m:r>
            <m:rPr>
              <m:sty m:val="p"/>
            </m:rPr>
            <m:t>=</m:t>
          </m:r>
          <m:sSub>
            <m:e>
              <m:r>
                <m:rPr>
                  <m:sty m:val="p"/>
                </m:rPr>
                <m:t>log</m:t>
              </m:r>
            </m:e>
            <m:sub>
              <m:r>
                <m:t>2</m:t>
              </m:r>
            </m:sub>
          </m:sSub>
          <m:r>
            <m:t>S</m:t>
          </m:r>
        </m:oMath>
      </m:oMathPara>
    </w:p>
    <w:p>
      <w:pPr>
        <w:pStyle w:val="CalloutFormula"/>
      </w:pPr>
      <m:oMathPara>
        <m:oMathParaPr>
          <m:jc m:val="center"/>
        </m:oMathParaPr>
        <m:oMath>
          <m:r>
            <m:rPr>
              <m:nor/>
              <m:sty m:val="p"/>
            </m:rPr>
            <m:t>set index</m:t>
          </m:r>
          <m:r>
            <m:rPr>
              <m:sty m:val="p"/>
            </m:rPr>
            <m:t>=</m:t>
          </m:r>
          <m:d>
            <m:dPr>
              <m:begChr m:val="⌊"/>
              <m:endChr m:val="⌋"/>
              <m:sepChr m:val=""/>
              <m:grow/>
            </m:dPr>
            <m:e>
              <m:f>
                <m:fPr>
                  <m:type m:val="bar"/>
                </m:fPr>
                <m:num>
                  <m:r>
                    <m:t>A</m:t>
                  </m:r>
                </m:num>
                <m:den>
                  <m:r>
                    <m:t>B</m:t>
                  </m:r>
                </m:den>
              </m:f>
            </m:e>
          </m:d>
          <m:r>
            <m:t> </m:t>
          </m:r>
          <m:r>
            <m:rPr>
              <m:sty m:val="p"/>
            </m:rPr>
            <m:t>mod</m:t>
          </m:r>
          <m:r>
            <m:t> </m:t>
          </m:r>
          <m:r>
            <m:t>S</m:t>
          </m:r>
          <m:r>
            <m:rPr>
              <m:sty m:val="p"/>
            </m:rPr>
            <m:t>,</m:t>
          </m:r>
          <m:r>
            <m:t>  </m:t>
          </m:r>
          <m:r>
            <m:rPr>
              <m:nor/>
              <m:sty m:val="p"/>
            </m:rPr>
            <m:t>tag</m:t>
          </m:r>
          <m:r>
            <m:rPr>
              <m:sty m:val="p"/>
            </m:rPr>
            <m:t>=</m:t>
          </m:r>
          <m:d>
            <m:dPr>
              <m:begChr m:val="⌊"/>
              <m:endChr m:val="⌋"/>
              <m:sepChr m:val=""/>
              <m:grow/>
            </m:dPr>
            <m:e>
              <m:f>
                <m:fPr>
                  <m:type m:val="bar"/>
                </m:fPr>
                <m:num>
                  <m:r>
                    <m:t>A</m:t>
                  </m:r>
                </m:num>
                <m:den>
                  <m:r>
                    <m:t>B</m:t>
                  </m:r>
                  <m:r>
                    <m:rPr>
                      <m:sty m:val="p"/>
                    </m:rPr>
                    <m:t>×</m:t>
                  </m:r>
                  <m:r>
                    <m:t>S</m:t>
                  </m:r>
                </m:den>
              </m:f>
            </m:e>
          </m:d>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C</m:t>
              </m:r>
            </m:oMath>
          </w:p>
        </w:tc>
        <w:tc>
          <w:tcPr/>
          <w:p>
            <w:pPr>
              <w:pStyle w:val="Compact"/>
              <w:jc w:val="left"/>
            </w:pPr>
            <w:r>
              <w:t xml:space="preserve">Cache capacity</w:t>
            </w:r>
          </w:p>
        </w:tc>
        <w:tc>
          <w:tcPr/>
          <w:p>
            <w:pPr>
              <w:pStyle w:val="Compact"/>
              <w:jc w:val="left"/>
            </w:pPr>
            <w:r>
              <w:t xml:space="preserve">bytes</w:t>
            </w:r>
          </w:p>
        </w:tc>
      </w:tr>
      <w:tr>
        <w:tc>
          <w:tcPr/>
          <w:p>
            <w:pPr>
              <w:pStyle w:val="Compact"/>
              <w:jc w:val="left"/>
            </w:pPr>
            <m:oMath>
              <m:r>
                <m:t>B</m:t>
              </m:r>
            </m:oMath>
          </w:p>
        </w:tc>
        <w:tc>
          <w:tcPr/>
          <w:p>
            <w:pPr>
              <w:pStyle w:val="Compact"/>
              <w:jc w:val="left"/>
            </w:pPr>
            <w:r>
              <w:t xml:space="preserve">Line (block) size</w:t>
            </w:r>
          </w:p>
        </w:tc>
        <w:tc>
          <w:tcPr/>
          <w:p>
            <w:pPr>
              <w:pStyle w:val="Compact"/>
              <w:jc w:val="left"/>
            </w:pPr>
            <w:r>
              <w:t xml:space="preserve">bytes</w:t>
            </w:r>
          </w:p>
        </w:tc>
      </w:tr>
      <w:tr>
        <w:tc>
          <w:tcPr/>
          <w:p>
            <w:pPr>
              <w:pStyle w:val="Compact"/>
              <w:jc w:val="left"/>
            </w:pPr>
            <m:oMath>
              <m:r>
                <m:t>W</m:t>
              </m:r>
            </m:oMath>
          </w:p>
        </w:tc>
        <w:tc>
          <w:tcPr/>
          <w:p>
            <w:pPr>
              <w:pStyle w:val="Compact"/>
              <w:jc w:val="left"/>
            </w:pPr>
            <w:r>
              <w:t xml:space="preserve">Associativity (ways per set)</w:t>
            </w:r>
          </w:p>
        </w:tc>
        <w:tc>
          <w:tcPr/>
          <w:p>
            <w:pPr>
              <w:pStyle w:val="Compact"/>
              <w:jc w:val="left"/>
            </w:pPr>
            <w:r>
              <w:t xml:space="preserve">lines</w:t>
            </w:r>
          </w:p>
        </w:tc>
      </w:tr>
      <w:tr>
        <w:tc>
          <w:tcPr/>
          <w:p>
            <w:pPr>
              <w:pStyle w:val="Compact"/>
              <w:jc w:val="left"/>
            </w:pPr>
            <m:oMath>
              <m:r>
                <m:t>S</m:t>
              </m:r>
            </m:oMath>
          </w:p>
        </w:tc>
        <w:tc>
          <w:tcPr/>
          <w:p>
            <w:pPr>
              <w:pStyle w:val="Compact"/>
              <w:jc w:val="left"/>
            </w:pPr>
            <w:r>
              <w:t xml:space="preserve">Number of sets</w:t>
            </w:r>
          </w:p>
        </w:tc>
        <w:tc>
          <w:tcPr/>
          <w:p>
            <w:pPr>
              <w:pStyle w:val="Compact"/>
              <w:jc w:val="left"/>
            </w:pPr>
            <w:r>
              <w:t xml:space="preserve">sets</w:t>
            </w:r>
          </w:p>
        </w:tc>
      </w:tr>
      <w:tr>
        <w:tc>
          <w:tcPr/>
          <w:p>
            <w:pPr>
              <w:pStyle w:val="Compact"/>
              <w:jc w:val="left"/>
            </w:pPr>
            <m:oMath>
              <m:r>
                <m:t>A</m:t>
              </m:r>
            </m:oMath>
          </w:p>
        </w:tc>
        <w:tc>
          <w:tcPr/>
          <w:p>
            <w:pPr>
              <w:pStyle w:val="Compact"/>
              <w:jc w:val="left"/>
            </w:pPr>
            <w:r>
              <w:t xml:space="preserve">Memory address</w:t>
            </w:r>
          </w:p>
        </w:tc>
        <w:tc>
          <w:tcPr/>
          <w:p>
            <w:pPr>
              <w:pStyle w:val="Compact"/>
              <w:jc w:val="left"/>
            </w:pPr>
            <w:r>
              <w:t xml:space="preserve">byte address</w:t>
            </w:r>
          </w:p>
        </w:tc>
      </w:tr>
      <w:tr>
        <w:tc>
          <w:tcPr/>
          <w:p>
            <w:pPr>
              <w:pStyle w:val="Compact"/>
              <w:jc w:val="left"/>
            </w:pPr>
            <w:r>
              <w:t xml:space="preserve">tag</w:t>
            </w:r>
          </w:p>
        </w:tc>
        <w:tc>
          <w:tcPr/>
          <w:p>
            <w:pPr>
              <w:pStyle w:val="Compact"/>
              <w:jc w:val="left"/>
            </w:pPr>
            <w:r>
              <w:t xml:space="preserve">High-order address bits stored with the line to identify it</w:t>
            </w:r>
          </w:p>
        </w:tc>
        <w:tc>
          <w:tcPr/>
          <w:p>
            <w:pPr>
              <w:pStyle w:val="Compact"/>
              <w:jc w:val="left"/>
            </w:pPr>
            <w:r>
              <w:t xml:space="preserve">—</w:t>
            </w:r>
          </w:p>
        </w:tc>
      </w:tr>
    </w:tbl>
    <w:p>
      <w:pPr>
        <w:pStyle w:val="CalloutExample"/>
      </w:pPr>
      <w:r>
        <w:rPr>
          <w:bCs/>
          <w:b/>
        </w:rPr>
        <w:t xml:space="preserve">WORKED EXAMPLE</w:t>
      </w:r>
    </w:p>
    <w:p>
      <w:pPr>
        <w:pStyle w:val="CalloutExample"/>
      </w:pPr>
      <w:r>
        <w:rPr>
          <w:bCs/>
          <w:b/>
        </w:rPr>
        <w:t xml:space="preserve">Worked example — Where does address 0x12345 go in a 32 KiB, 8-way cache with 64-byte lines?</w:t>
      </w:r>
    </w:p>
    <w:p>
      <w:pPr>
        <w:numPr>
          <w:ilvl w:val="0"/>
          <w:numId w:val="1145"/>
        </w:numPr>
        <w:pStyle w:val="Compact"/>
      </w:pPr>
      <w:r>
        <w:t xml:space="preserve">Sets:</w:t>
      </w:r>
      <w:r>
        <w:t xml:space="preserve"> </w:t>
      </w:r>
      <m:oMath>
        <m:r>
          <m:t>S</m:t>
        </m:r>
        <m:r>
          <m:rPr>
            <m:sty m:val="p"/>
          </m:rPr>
          <m:t>=</m:t>
        </m:r>
        <m:r>
          <m:t>32</m:t>
        </m:r>
        <m:r>
          <m:t> </m:t>
        </m:r>
        <m:r>
          <m:t>768</m:t>
        </m:r>
        <m:r>
          <m:rPr>
            <m:sty m:val="p"/>
          </m:rPr>
          <m:t>/</m:t>
        </m:r>
        <m:d>
          <m:dPr>
            <m:begChr m:val="("/>
            <m:endChr m:val=")"/>
            <m:sepChr m:val=""/>
            <m:grow/>
          </m:dPr>
          <m:e>
            <m:r>
              <m:t>64</m:t>
            </m:r>
            <m:r>
              <m:rPr>
                <m:sty m:val="p"/>
              </m:rPr>
              <m:t>×</m:t>
            </m:r>
            <m:r>
              <m:t>8</m:t>
            </m:r>
          </m:e>
        </m:d>
        <m:r>
          <m:rPr>
            <m:sty m:val="p"/>
          </m:rPr>
          <m:t>=</m:t>
        </m:r>
        <m:r>
          <m:t>32</m:t>
        </m:r>
        <m:r>
          <m:t> </m:t>
        </m:r>
        <m:r>
          <m:t>768</m:t>
        </m:r>
        <m:r>
          <m:rPr>
            <m:sty m:val="p"/>
          </m:rPr>
          <m:t>/</m:t>
        </m:r>
        <m:r>
          <m:t>512</m:t>
        </m:r>
        <m:r>
          <m:rPr>
            <m:sty m:val="p"/>
          </m:rPr>
          <m:t>=</m:t>
        </m:r>
        <m:r>
          <m:t>64</m:t>
        </m:r>
      </m:oMath>
      <w:r>
        <w:t xml:space="preserve"> </w:t>
      </w:r>
      <w:r>
        <w:t xml:space="preserve">sets.</w:t>
      </w:r>
    </w:p>
    <w:p>
      <w:pPr>
        <w:numPr>
          <w:ilvl w:val="0"/>
          <w:numId w:val="1145"/>
        </w:numPr>
        <w:pStyle w:val="Compact"/>
      </w:pPr>
      <w:r>
        <w:t xml:space="preserve">Offset bits</w:t>
      </w:r>
      <w:r>
        <w:t xml:space="preserve"> </w:t>
      </w:r>
      <m:oMath>
        <m:r>
          <m:rPr>
            <m:sty m:val="p"/>
          </m:rPr>
          <m:t>=</m:t>
        </m:r>
        <m:sSub>
          <m:e>
            <m:r>
              <m:rPr>
                <m:sty m:val="p"/>
              </m:rPr>
              <m:t>log</m:t>
            </m:r>
          </m:e>
          <m:sub>
            <m:r>
              <m:t>2</m:t>
            </m:r>
          </m:sub>
        </m:sSub>
        <m:r>
          <m:t>64</m:t>
        </m:r>
        <m:r>
          <m:rPr>
            <m:sty m:val="p"/>
          </m:rPr>
          <m:t>=</m:t>
        </m:r>
        <m:r>
          <m:t>6</m:t>
        </m:r>
      </m:oMath>
      <w:r>
        <w:t xml:space="preserve">; index bits</w:t>
      </w:r>
      <w:r>
        <w:t xml:space="preserve"> </w:t>
      </w:r>
      <m:oMath>
        <m:r>
          <m:rPr>
            <m:sty m:val="p"/>
          </m:rPr>
          <m:t>=</m:t>
        </m:r>
        <m:sSub>
          <m:e>
            <m:r>
              <m:rPr>
                <m:sty m:val="p"/>
              </m:rPr>
              <m:t>log</m:t>
            </m:r>
          </m:e>
          <m:sub>
            <m:r>
              <m:t>2</m:t>
            </m:r>
          </m:sub>
        </m:sSub>
        <m:r>
          <m:t>64</m:t>
        </m:r>
        <m:r>
          <m:rPr>
            <m:sty m:val="p"/>
          </m:rPr>
          <m:t>=</m:t>
        </m:r>
        <m:r>
          <m:t>6</m:t>
        </m:r>
      </m:oMath>
      <w:r>
        <w:t xml:space="preserve">.</w:t>
      </w:r>
    </w:p>
    <w:p>
      <w:pPr>
        <w:numPr>
          <w:ilvl w:val="0"/>
          <w:numId w:val="1145"/>
        </w:numPr>
        <w:pStyle w:val="Compact"/>
      </w:pPr>
      <w:r>
        <w:t xml:space="preserve">Address</w:t>
      </w:r>
      <w:r>
        <w:t xml:space="preserve"> </w:t>
      </w:r>
      <m:oMath>
        <m:r>
          <m:t>A</m:t>
        </m:r>
        <m:r>
          <m:rPr>
            <m:sty m:val="p"/>
          </m:rPr>
          <m:t>=</m:t>
        </m:r>
        <m:r>
          <m:rPr>
            <m:nor/>
            <m:sty m:val="p"/>
          </m:rPr>
          <m:t>0x12345</m:t>
        </m:r>
        <m:r>
          <m:rPr>
            <m:sty m:val="p"/>
          </m:rPr>
          <m:t>=</m:t>
        </m:r>
        <m:r>
          <m:t>74</m:t>
        </m:r>
        <m:r>
          <m:t> </m:t>
        </m:r>
        <m:r>
          <m:t>565</m:t>
        </m:r>
      </m:oMath>
      <w:r>
        <w:t xml:space="preserve">.</w:t>
      </w:r>
    </w:p>
    <w:p>
      <w:pPr>
        <w:numPr>
          <w:ilvl w:val="0"/>
          <w:numId w:val="1145"/>
        </w:numPr>
        <w:pStyle w:val="Compact"/>
      </w:pPr>
      <w:r>
        <w:t xml:space="preserve">Offset within the line</w:t>
      </w:r>
      <w:r>
        <w:t xml:space="preserve"> </w:t>
      </w:r>
      <m:oMath>
        <m:r>
          <m:rPr>
            <m:sty m:val="p"/>
          </m:rPr>
          <m:t>=</m:t>
        </m:r>
        <m:r>
          <m:t>74</m:t>
        </m:r>
        <m:r>
          <m:t> </m:t>
        </m:r>
        <m:r>
          <m:t>565</m:t>
        </m:r>
        <m:r>
          <m:t> </m:t>
        </m:r>
        <m:r>
          <m:rPr>
            <m:sty m:val="p"/>
          </m:rPr>
          <m:t>mod</m:t>
        </m:r>
        <m:r>
          <m:t> </m:t>
        </m:r>
        <m:r>
          <m:t>64</m:t>
        </m:r>
        <m:r>
          <m:rPr>
            <m:sty m:val="p"/>
          </m:rPr>
          <m:t>=</m:t>
        </m:r>
        <m:r>
          <m:t>74</m:t>
        </m:r>
        <m:r>
          <m:t> </m:t>
        </m:r>
        <m:r>
          <m:t>565</m:t>
        </m:r>
        <m:r>
          <m:rPr>
            <m:sty m:val="p"/>
          </m:rPr>
          <m:t>−</m:t>
        </m:r>
        <m:r>
          <m:t>1165</m:t>
        </m:r>
        <m:r>
          <m:rPr>
            <m:sty m:val="p"/>
          </m:rPr>
          <m:t>×</m:t>
        </m:r>
        <m:r>
          <m:t>64</m:t>
        </m:r>
        <m:r>
          <m:rPr>
            <m:sty m:val="p"/>
          </m:rPr>
          <m:t>=</m:t>
        </m:r>
        <m:r>
          <m:t>74</m:t>
        </m:r>
        <m:r>
          <m:t> </m:t>
        </m:r>
        <m:r>
          <m:t>565</m:t>
        </m:r>
        <m:r>
          <m:rPr>
            <m:sty m:val="p"/>
          </m:rPr>
          <m:t>−</m:t>
        </m:r>
        <m:r>
          <m:t>74</m:t>
        </m:r>
        <m:r>
          <m:t> </m:t>
        </m:r>
        <m:r>
          <m:t>560</m:t>
        </m:r>
        <m:r>
          <m:rPr>
            <m:sty m:val="p"/>
          </m:rPr>
          <m:t>=</m:t>
        </m:r>
        <m:r>
          <m:t>5</m:t>
        </m:r>
      </m:oMath>
      <w:r>
        <w:t xml:space="preserve">.</w:t>
      </w:r>
    </w:p>
    <w:p>
      <w:pPr>
        <w:numPr>
          <w:ilvl w:val="0"/>
          <w:numId w:val="1145"/>
        </w:numPr>
        <w:pStyle w:val="Compact"/>
      </w:pPr>
      <w:r>
        <w:t xml:space="preserve">Line number</w:t>
      </w:r>
      <w:r>
        <w:t xml:space="preserve"> </w:t>
      </w:r>
      <m:oMath>
        <m:r>
          <m:rPr>
            <m:sty m:val="p"/>
          </m:rPr>
          <m:t>=</m:t>
        </m:r>
        <m:r>
          <m:rPr>
            <m:sty m:val="p"/>
          </m:rPr>
          <m:t>⌊</m:t>
        </m:r>
        <m:r>
          <m:t>74</m:t>
        </m:r>
        <m:r>
          <m:t> </m:t>
        </m:r>
        <m:r>
          <m:t>565</m:t>
        </m:r>
        <m:r>
          <m:rPr>
            <m:sty m:val="p"/>
          </m:rPr>
          <m:t>/</m:t>
        </m:r>
        <m:r>
          <m:t>64</m:t>
        </m:r>
        <m:r>
          <m:rPr>
            <m:sty m:val="p"/>
          </m:rPr>
          <m:t>⌋</m:t>
        </m:r>
        <m:r>
          <m:rPr>
            <m:sty m:val="p"/>
          </m:rPr>
          <m:t>=</m:t>
        </m:r>
        <m:r>
          <m:t>1165</m:t>
        </m:r>
      </m:oMath>
      <w:r>
        <w:t xml:space="preserve">; set index</w:t>
      </w:r>
      <w:r>
        <w:t xml:space="preserve"> </w:t>
      </w:r>
      <m:oMath>
        <m:r>
          <m:rPr>
            <m:sty m:val="p"/>
          </m:rPr>
          <m:t>=</m:t>
        </m:r>
        <m:r>
          <m:t>1165</m:t>
        </m:r>
        <m:r>
          <m:t> </m:t>
        </m:r>
        <m:r>
          <m:rPr>
            <m:sty m:val="p"/>
          </m:rPr>
          <m:t>mod</m:t>
        </m:r>
        <m:r>
          <m:t> </m:t>
        </m:r>
        <m:r>
          <m:t>64</m:t>
        </m:r>
        <m:r>
          <m:rPr>
            <m:sty m:val="p"/>
          </m:rPr>
          <m:t>=</m:t>
        </m:r>
        <m:r>
          <m:t>1165</m:t>
        </m:r>
        <m:r>
          <m:rPr>
            <m:sty m:val="p"/>
          </m:rPr>
          <m:t>−</m:t>
        </m:r>
        <m:r>
          <m:t>18</m:t>
        </m:r>
        <m:r>
          <m:rPr>
            <m:sty m:val="p"/>
          </m:rPr>
          <m:t>×</m:t>
        </m:r>
        <m:r>
          <m:t>64</m:t>
        </m:r>
        <m:r>
          <m:rPr>
            <m:sty m:val="p"/>
          </m:rPr>
          <m:t>=</m:t>
        </m:r>
        <m:r>
          <m:t>13</m:t>
        </m:r>
      </m:oMath>
      <w:r>
        <w:t xml:space="preserve">.</w:t>
      </w:r>
    </w:p>
    <w:p>
      <w:pPr>
        <w:numPr>
          <w:ilvl w:val="0"/>
          <w:numId w:val="1145"/>
        </w:numPr>
        <w:pStyle w:val="Compact"/>
      </w:pPr>
      <w:r>
        <w:t xml:space="preserve">Tag</w:t>
      </w:r>
      <w:r>
        <w:t xml:space="preserve"> </w:t>
      </w:r>
      <m:oMath>
        <m:r>
          <m:rPr>
            <m:sty m:val="p"/>
          </m:rPr>
          <m:t>=</m:t>
        </m:r>
        <m:r>
          <m:rPr>
            <m:sty m:val="p"/>
          </m:rPr>
          <m:t>⌊</m:t>
        </m:r>
        <m:r>
          <m:t>1165</m:t>
        </m:r>
        <m:r>
          <m:rPr>
            <m:sty m:val="p"/>
          </m:rPr>
          <m:t>/</m:t>
        </m:r>
        <m:r>
          <m:t>64</m:t>
        </m:r>
        <m:r>
          <m:rPr>
            <m:sty m:val="p"/>
          </m:rPr>
          <m:t>⌋</m:t>
        </m:r>
        <m:r>
          <m:rPr>
            <m:sty m:val="p"/>
          </m:rPr>
          <m:t>=</m:t>
        </m:r>
        <m:r>
          <m:t>18</m:t>
        </m:r>
      </m:oMath>
      <w:r>
        <w:t xml:space="preserve"> </w:t>
      </w:r>
      <w:r>
        <w:t xml:space="preserve">(0x12).</w:t>
      </w:r>
    </w:p>
    <w:p>
      <w:pPr>
        <w:pStyle w:val="CalloutExample"/>
      </w:pPr>
      <w:r>
        <w:t xml:space="preserve">Check in binary: 0x12345 =</w:t>
      </w:r>
      <w:r>
        <w:t xml:space="preserve"> </w:t>
      </w:r>
      <w:r>
        <w:rPr>
          <w:rStyle w:val="VerbatimChar"/>
        </w:rPr>
        <w:t xml:space="preserve">0001 0010 0011 0100 0101</w:t>
      </w:r>
      <w:r>
        <w:t xml:space="preserve">; the low 6 bits</w:t>
      </w:r>
      <w:r>
        <w:t xml:space="preserve"> </w:t>
      </w:r>
      <w:r>
        <w:rPr>
          <w:rStyle w:val="VerbatimChar"/>
        </w:rPr>
        <w:t xml:space="preserve">000101</w:t>
      </w:r>
      <w:r>
        <w:t xml:space="preserve"> </w:t>
      </w:r>
      <w:r>
        <w:t xml:space="preserve">= 5 ✓, the next 6 bits</w:t>
      </w:r>
      <w:r>
        <w:t xml:space="preserve"> </w:t>
      </w:r>
      <w:r>
        <w:rPr>
          <w:rStyle w:val="VerbatimChar"/>
        </w:rPr>
        <w:t xml:space="preserve">001101</w:t>
      </w:r>
      <w:r>
        <w:t xml:space="preserve"> </w:t>
      </w:r>
      <w:r>
        <w:t xml:space="preserve">= 13 ✓, the remaining bits</w:t>
      </w:r>
      <w:r>
        <w:t xml:space="preserve"> </w:t>
      </w:r>
      <w:r>
        <w:rPr>
          <w:rStyle w:val="VerbatimChar"/>
        </w:rPr>
        <w:t xml:space="preserve">10010</w:t>
      </w:r>
      <w:r>
        <w:t xml:space="preserve"> </w:t>
      </w:r>
      <w:r>
        <w:t xml:space="preserve">= 18 ✓.</w:t>
      </w:r>
    </w:p>
    <w:p>
      <w:pPr>
        <w:pStyle w:val="CalloutExample"/>
      </w:pPr>
      <w:r>
        <w:rPr>
          <w:bCs/>
          <w:b/>
        </w:rPr>
        <w:t xml:space="preserve">Interpretation.</w:t>
      </w:r>
      <w:r>
        <w:t xml:space="preserve"> </w:t>
      </w:r>
      <w:r>
        <w:t xml:space="preserve">Addresses that differ by a multiple of</w:t>
      </w:r>
      <w:r>
        <w:t xml:space="preserve"> </w:t>
      </w:r>
      <m:oMath>
        <m:r>
          <m:t>B</m:t>
        </m:r>
        <m:r>
          <m:rPr>
            <m:sty m:val="p"/>
          </m:rPr>
          <m:t>×</m:t>
        </m:r>
        <m:r>
          <m:t>S</m:t>
        </m:r>
        <m:r>
          <m:rPr>
            <m:sty m:val="p"/>
          </m:rPr>
          <m:t>=</m:t>
        </m:r>
        <m:r>
          <m:t>64</m:t>
        </m:r>
        <m:r>
          <m:rPr>
            <m:sty m:val="p"/>
          </m:rPr>
          <m:t>×</m:t>
        </m:r>
        <m:r>
          <m:t>64</m:t>
        </m:r>
        <m:r>
          <m:rPr>
            <m:sty m:val="p"/>
          </m:rPr>
          <m:t>=</m:t>
        </m:r>
        <m:r>
          <m:t>4096</m:t>
        </m:r>
      </m:oMath>
      <w:r>
        <w:t xml:space="preserve"> </w:t>
      </w:r>
      <w:r>
        <w:t xml:space="preserve">bytes land in the</w:t>
      </w:r>
      <w:r>
        <w:t xml:space="preserve"> </w:t>
      </w:r>
      <w:r>
        <w:rPr>
          <w:bCs/>
          <w:b/>
        </w:rPr>
        <w:t xml:space="preserve">same set</w:t>
      </w:r>
      <w:r>
        <w:t xml:space="preserve">.</w:t>
      </w:r>
      <w:r>
        <w:t xml:space="preserve"> </w:t>
      </w:r>
      <w:r>
        <w:rPr>
          <w:bCs/>
          <w:b/>
        </w:rPr>
        <w:t xml:space="preserve">Engineering implication.</w:t>
      </w:r>
      <w:r>
        <w:t xml:space="preserve"> </w:t>
      </w:r>
      <w:r>
        <w:t xml:space="preserve">A loop that strides through memory in steps of exactly 4 KiB (for example, reading one field from each of many page-aligned 4 KiB records) can use only one set — 8 lines, 512 bytes — of a 32 KiB cache. Power-of-two strides are a known performance trap; padding a row or record by one cache line often removes it [Drepper 2007, §6.2].</w:t>
      </w:r>
    </w:p>
    <w:bookmarkEnd w:id="486"/>
    <w:bookmarkStart w:id="487" w:name="average-memory-access-time"/>
    <w:p>
      <w:pPr>
        <w:pStyle w:val="Heading3"/>
      </w:pPr>
      <w:r>
        <w:t xml:space="preserve">5.4.5 Average memory access time</w:t>
      </w:r>
    </w:p>
    <w:p>
      <w:pPr>
        <w:pStyle w:val="CalloutFormula"/>
      </w:pPr>
      <w:r>
        <w:rPr>
          <w:bCs/>
          <w:b/>
        </w:rPr>
        <w:t xml:space="preserve">FORMULA</w:t>
      </w:r>
    </w:p>
    <w:p>
      <w:pPr>
        <w:pStyle w:val="CalloutFormula"/>
      </w:pPr>
      <w:r>
        <w:rPr>
          <w:bCs/>
          <w:b/>
        </w:rPr>
        <w:t xml:space="preserve">Average memory access time (AMAT), applied recursively to each level</w:t>
      </w:r>
    </w:p>
    <w:p>
      <w:pPr>
        <w:pStyle w:val="CalloutFormula"/>
      </w:pPr>
      <m:oMathPara>
        <m:oMathParaPr>
          <m:jc m:val="center"/>
        </m:oMathParaPr>
        <m:oMath>
          <m:r>
            <m:t>A</m:t>
          </m:r>
          <m:r>
            <m:t>M</m:t>
          </m:r>
          <m:r>
            <m:t>A</m:t>
          </m:r>
          <m:r>
            <m:t>T</m:t>
          </m:r>
          <m:r>
            <m:rPr>
              <m:sty m:val="p"/>
            </m:rPr>
            <m:t>=</m:t>
          </m:r>
          <m:sSub>
            <m:e>
              <m:r>
                <m:t>t</m:t>
              </m:r>
            </m:e>
            <m:sub>
              <m:r>
                <m:t>L</m:t>
              </m:r>
              <m:r>
                <m:t>1</m:t>
              </m:r>
            </m:sub>
          </m:sSub>
          <m:r>
            <m:rPr>
              <m:sty m:val="p"/>
            </m:rPr>
            <m:t>+</m:t>
          </m:r>
          <m:sSub>
            <m:e>
              <m:r>
                <m:t>m</m:t>
              </m:r>
            </m:e>
            <m:sub>
              <m:r>
                <m:t>L</m:t>
              </m:r>
              <m:r>
                <m:t>1</m:t>
              </m:r>
            </m:sub>
          </m:sSub>
          <m:r>
            <m:rPr>
              <m:sty m:val="p"/>
            </m:rPr>
            <m:t>×</m:t>
          </m:r>
          <m:d>
            <m:dPr>
              <m:begChr m:val="("/>
              <m:endChr m:val=")"/>
              <m:sepChr m:val=""/>
              <m:grow/>
            </m:dPr>
            <m:e>
              <m:sSub>
                <m:e>
                  <m:r>
                    <m:t>t</m:t>
                  </m:r>
                </m:e>
                <m:sub>
                  <m:r>
                    <m:t>L</m:t>
                  </m:r>
                  <m:r>
                    <m:t>2</m:t>
                  </m:r>
                </m:sub>
              </m:sSub>
              <m:r>
                <m:rPr>
                  <m:sty m:val="p"/>
                </m:rPr>
                <m:t>+</m:t>
              </m:r>
              <m:sSub>
                <m:e>
                  <m:r>
                    <m:t>m</m:t>
                  </m:r>
                </m:e>
                <m:sub>
                  <m:r>
                    <m:t>L</m:t>
                  </m:r>
                  <m:r>
                    <m:t>2</m:t>
                  </m:r>
                </m:sub>
              </m:sSub>
              <m:r>
                <m:rPr>
                  <m:sty m:val="p"/>
                </m:rPr>
                <m:t>×</m:t>
              </m:r>
              <m:d>
                <m:dPr>
                  <m:begChr m:val="("/>
                  <m:endChr m:val=")"/>
                  <m:sepChr m:val=""/>
                  <m:grow/>
                </m:dPr>
                <m:e>
                  <m:sSub>
                    <m:e>
                      <m:r>
                        <m:t>t</m:t>
                      </m:r>
                    </m:e>
                    <m:sub>
                      <m:r>
                        <m:t>L</m:t>
                      </m:r>
                      <m:r>
                        <m:t>3</m:t>
                      </m:r>
                    </m:sub>
                  </m:sSub>
                  <m:r>
                    <m:rPr>
                      <m:sty m:val="p"/>
                    </m:rPr>
                    <m:t>+</m:t>
                  </m:r>
                  <m:sSub>
                    <m:e>
                      <m:r>
                        <m:t>m</m:t>
                      </m:r>
                    </m:e>
                    <m:sub>
                      <m:r>
                        <m:t>L</m:t>
                      </m:r>
                      <m:r>
                        <m:t>3</m:t>
                      </m:r>
                    </m:sub>
                  </m:sSub>
                  <m:r>
                    <m:rPr>
                      <m:sty m:val="p"/>
                    </m:rPr>
                    <m:t>×</m:t>
                  </m:r>
                  <m:sSub>
                    <m:e>
                      <m:r>
                        <m:t>t</m:t>
                      </m:r>
                    </m:e>
                    <m:sub>
                      <m:r>
                        <m:t>m</m:t>
                      </m:r>
                      <m:r>
                        <m:t>e</m:t>
                      </m:r>
                      <m:r>
                        <m:t>m</m:t>
                      </m:r>
                    </m:sub>
                  </m:sSub>
                </m:e>
              </m:d>
            </m:e>
          </m:d>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t</m:t>
                  </m:r>
                </m:e>
                <m:sub>
                  <m:r>
                    <m:t>L</m:t>
                  </m:r>
                  <m:r>
                    <m:t>1</m:t>
                  </m:r>
                </m:sub>
              </m:sSub>
              <m:r>
                <m:rPr>
                  <m:sty m:val="p"/>
                </m:rPr>
                <m:t>,</m:t>
              </m:r>
              <m:sSub>
                <m:e>
                  <m:r>
                    <m:t>t</m:t>
                  </m:r>
                </m:e>
                <m:sub>
                  <m:r>
                    <m:t>L</m:t>
                  </m:r>
                  <m:r>
                    <m:t>2</m:t>
                  </m:r>
                </m:sub>
              </m:sSub>
              <m:r>
                <m:rPr>
                  <m:sty m:val="p"/>
                </m:rPr>
                <m:t>,</m:t>
              </m:r>
              <m:sSub>
                <m:e>
                  <m:r>
                    <m:t>t</m:t>
                  </m:r>
                </m:e>
                <m:sub>
                  <m:r>
                    <m:t>L</m:t>
                  </m:r>
                  <m:r>
                    <m:t>3</m:t>
                  </m:r>
                </m:sub>
              </m:sSub>
            </m:oMath>
          </w:p>
        </w:tc>
        <w:tc>
          <w:tcPr/>
          <w:p>
            <w:pPr>
              <w:pStyle w:val="Compact"/>
              <w:jc w:val="left"/>
            </w:pPr>
            <w:r>
              <w:t xml:space="preserve">Hit time at each cache level</w:t>
            </w:r>
          </w:p>
        </w:tc>
        <w:tc>
          <w:tcPr/>
          <w:p>
            <w:pPr>
              <w:pStyle w:val="Compact"/>
              <w:jc w:val="left"/>
            </w:pPr>
            <w:r>
              <w:t xml:space="preserve">ns</w:t>
            </w:r>
          </w:p>
        </w:tc>
      </w:tr>
      <w:tr>
        <w:tc>
          <w:tcPr/>
          <w:p>
            <w:pPr>
              <w:pStyle w:val="Compact"/>
              <w:jc w:val="left"/>
            </w:pPr>
            <m:oMath>
              <m:sSub>
                <m:e>
                  <m:r>
                    <m:t>t</m:t>
                  </m:r>
                </m:e>
                <m:sub>
                  <m:r>
                    <m:t>m</m:t>
                  </m:r>
                  <m:r>
                    <m:t>e</m:t>
                  </m:r>
                  <m:r>
                    <m:t>m</m:t>
                  </m:r>
                </m:sub>
              </m:sSub>
            </m:oMath>
          </w:p>
        </w:tc>
        <w:tc>
          <w:tcPr/>
          <w:p>
            <w:pPr>
              <w:pStyle w:val="Compact"/>
              <w:jc w:val="left"/>
            </w:pPr>
            <w:r>
              <w:t xml:space="preserve">DRAM access time</w:t>
            </w:r>
          </w:p>
        </w:tc>
        <w:tc>
          <w:tcPr/>
          <w:p>
            <w:pPr>
              <w:pStyle w:val="Compact"/>
              <w:jc w:val="left"/>
            </w:pPr>
            <w:r>
              <w:t xml:space="preserve">ns</w:t>
            </w:r>
          </w:p>
        </w:tc>
      </w:tr>
      <w:tr>
        <w:tc>
          <w:tcPr/>
          <w:p>
            <w:pPr>
              <w:pStyle w:val="Compact"/>
              <w:jc w:val="left"/>
            </w:pPr>
            <m:oMath>
              <m:sSub>
                <m:e>
                  <m:r>
                    <m:t>m</m:t>
                  </m:r>
                </m:e>
                <m:sub>
                  <m:r>
                    <m:t>L</m:t>
                  </m:r>
                  <m:r>
                    <m:t>1</m:t>
                  </m:r>
                </m:sub>
              </m:sSub>
            </m:oMath>
          </w:p>
        </w:tc>
        <w:tc>
          <w:tcPr/>
          <w:p>
            <w:pPr>
              <w:pStyle w:val="Compact"/>
              <w:jc w:val="left"/>
            </w:pPr>
            <w:r>
              <w:t xml:space="preserve">Fraction of all accesses that miss L1</w:t>
            </w:r>
          </w:p>
        </w:tc>
        <w:tc>
          <w:tcPr/>
          <w:p>
            <w:pPr>
              <w:pStyle w:val="Compact"/>
              <w:jc w:val="left"/>
            </w:pPr>
            <w:r>
              <w:t xml:space="preserve">dimensionless (0–1)</w:t>
            </w:r>
          </w:p>
        </w:tc>
      </w:tr>
      <w:tr>
        <w:tc>
          <w:tcPr/>
          <w:p>
            <w:pPr>
              <w:pStyle w:val="Compact"/>
              <w:jc w:val="left"/>
            </w:pPr>
            <m:oMath>
              <m:sSub>
                <m:e>
                  <m:r>
                    <m:t>m</m:t>
                  </m:r>
                </m:e>
                <m:sub>
                  <m:r>
                    <m:t>L</m:t>
                  </m:r>
                  <m:r>
                    <m:t>2</m:t>
                  </m:r>
                </m:sub>
              </m:sSub>
              <m:r>
                <m:rPr>
                  <m:sty m:val="p"/>
                </m:rPr>
                <m:t>,</m:t>
              </m:r>
              <m:sSub>
                <m:e>
                  <m:r>
                    <m:t>m</m:t>
                  </m:r>
                </m:e>
                <m:sub>
                  <m:r>
                    <m:t>L</m:t>
                  </m:r>
                  <m:r>
                    <m:t>3</m:t>
                  </m:r>
                </m:sub>
              </m:sSub>
            </m:oMath>
          </w:p>
        </w:tc>
        <w:tc>
          <w:tcPr/>
          <w:p>
            <w:pPr>
              <w:pStyle w:val="Compact"/>
              <w:jc w:val="left"/>
            </w:pPr>
            <w:r>
              <w:rPr>
                <w:bCs/>
                <w:b/>
              </w:rPr>
              <w:t xml:space="preserve">Local</w:t>
            </w:r>
            <w:r>
              <w:t xml:space="preserve"> </w:t>
            </w:r>
            <w:r>
              <w:t xml:space="preserve">miss rate: fraction of accesses</w:t>
            </w:r>
            <w:r>
              <w:t xml:space="preserve"> </w:t>
            </w:r>
            <w:r>
              <w:rPr>
                <w:iCs/>
                <w:i/>
              </w:rPr>
              <w:t xml:space="preserve">reaching</w:t>
            </w:r>
            <w:r>
              <w:t xml:space="preserve"> </w:t>
            </w:r>
            <w:r>
              <w:t xml:space="preserve">that level that miss it</w:t>
            </w:r>
          </w:p>
        </w:tc>
        <w:tc>
          <w:tcPr/>
          <w:p>
            <w:pPr>
              <w:pStyle w:val="Compact"/>
              <w:jc w:val="left"/>
            </w:pPr>
            <w:r>
              <w:t xml:space="preserve">dimensionless (0–1)</w:t>
            </w:r>
          </w:p>
        </w:tc>
      </w:tr>
    </w:tbl>
    <w:p>
      <w:pPr>
        <w:pStyle w:val="BodyText"/>
      </w:pPr>
      <w:r>
        <w:t xml:space="preserve">The same formula, with two levels, is the</w:t>
      </w:r>
      <w:r>
        <w:t xml:space="preserve"> </w:t>
      </w:r>
      <w:r>
        <w:rPr>
          <w:bCs/>
          <w:b/>
        </w:rPr>
        <w:t xml:space="preserve">effective access time</w:t>
      </w:r>
      <w:r>
        <w:t xml:space="preserve"> </w:t>
      </w:r>
      <w:r>
        <w:t xml:space="preserve">of any cache in front of a slower store:</w:t>
      </w:r>
      <w:r>
        <w:t xml:space="preserve"> </w:t>
      </w:r>
      <m:oMath>
        <m:r>
          <m:t>E</m:t>
        </m:r>
        <m:r>
          <m:t>A</m:t>
        </m:r>
        <m:r>
          <m:t>T</m:t>
        </m:r>
        <m:r>
          <m:rPr>
            <m:sty m:val="p"/>
          </m:rPr>
          <m:t>=</m:t>
        </m:r>
        <m:r>
          <m:t>h</m:t>
        </m:r>
        <m:r>
          <m:rPr>
            <m:sty m:val="p"/>
          </m:rPr>
          <m:t>×</m:t>
        </m:r>
        <m:sSub>
          <m:e>
            <m:r>
              <m:t>t</m:t>
            </m:r>
          </m:e>
          <m:sub>
            <m:r>
              <m:t>h</m:t>
            </m:r>
            <m:r>
              <m:t>i</m:t>
            </m:r>
            <m:r>
              <m:t>t</m:t>
            </m:r>
          </m:sub>
        </m:sSub>
        <m:r>
          <m:rPr>
            <m:sty m:val="p"/>
          </m:rPr>
          <m:t>+</m:t>
        </m:r>
        <m:d>
          <m:dPr>
            <m:begChr m:val="("/>
            <m:endChr m:val=")"/>
            <m:sepChr m:val=""/>
            <m:grow/>
          </m:dPr>
          <m:e>
            <m:r>
              <m:t>1</m:t>
            </m:r>
            <m:r>
              <m:rPr>
                <m:sty m:val="p"/>
              </m:rPr>
              <m:t>−</m:t>
            </m:r>
            <m:r>
              <m:t>h</m:t>
            </m:r>
          </m:e>
        </m:d>
        <m:r>
          <m:rPr>
            <m:sty m:val="p"/>
          </m:rPr>
          <m:t>×</m:t>
        </m:r>
        <m:sSub>
          <m:e>
            <m:r>
              <m:t>t</m:t>
            </m:r>
          </m:e>
          <m:sub>
            <m:r>
              <m:t>m</m:t>
            </m:r>
            <m:r>
              <m:t>i</m:t>
            </m:r>
            <m:r>
              <m:t>s</m:t>
            </m:r>
            <m:r>
              <m:t>s</m:t>
            </m:r>
          </m:sub>
        </m:sSub>
      </m:oMath>
      <w:r>
        <w:t xml:space="preserve">, where</w:t>
      </w:r>
      <w:r>
        <w:t xml:space="preserve"> </w:t>
      </w:r>
      <m:oMath>
        <m:r>
          <m:t>h</m:t>
        </m:r>
      </m:oMath>
      <w:r>
        <w:t xml:space="preserve"> </w:t>
      </w:r>
      <w:r>
        <w:t xml:space="preserve">is the hit ratio. You will use it again for application caches (§20.3).</w:t>
      </w:r>
    </w:p>
    <w:p>
      <w:pPr>
        <w:pStyle w:val="CalloutExample"/>
      </w:pPr>
      <w:r>
        <w:rPr>
          <w:bCs/>
          <w:b/>
        </w:rPr>
        <w:t xml:space="preserve">WORKED EXAMPLE</w:t>
      </w:r>
    </w:p>
    <w:p>
      <w:pPr>
        <w:pStyle w:val="CalloutExample"/>
      </w:pPr>
      <w:r>
        <w:rPr>
          <w:bCs/>
          <w:b/>
        </w:rPr>
        <w:t xml:space="preserve">Worked example — Good locality versus poor locality.</w:t>
      </w:r>
    </w:p>
    <w:p>
      <w:pPr>
        <w:pStyle w:val="CalloutExample"/>
      </w:pPr>
      <w:r>
        <w:t xml:space="preserve">Assume</w:t>
      </w:r>
      <w:r>
        <w:t xml:space="preserve"> </w:t>
      </w:r>
      <m:oMath>
        <m:sSub>
          <m:e>
            <m:r>
              <m:t>t</m:t>
            </m:r>
          </m:e>
          <m:sub>
            <m:r>
              <m:t>L</m:t>
            </m:r>
            <m:r>
              <m:t>1</m:t>
            </m:r>
          </m:sub>
        </m:sSub>
        <m:r>
          <m:rPr>
            <m:sty m:val="p"/>
          </m:rPr>
          <m:t>=</m:t>
        </m:r>
        <m:r>
          <m:t>1</m:t>
        </m:r>
      </m:oMath>
      <w:r>
        <w:t xml:space="preserve"> </w:t>
      </w:r>
      <w:r>
        <w:t xml:space="preserve">ns,</w:t>
      </w:r>
      <w:r>
        <w:t xml:space="preserve"> </w:t>
      </w:r>
      <m:oMath>
        <m:sSub>
          <m:e>
            <m:r>
              <m:t>t</m:t>
            </m:r>
          </m:e>
          <m:sub>
            <m:r>
              <m:t>L</m:t>
            </m:r>
            <m:r>
              <m:t>2</m:t>
            </m:r>
          </m:sub>
        </m:sSub>
        <m:r>
          <m:rPr>
            <m:sty m:val="p"/>
          </m:rPr>
          <m:t>=</m:t>
        </m:r>
        <m:r>
          <m:t>4</m:t>
        </m:r>
      </m:oMath>
      <w:r>
        <w:t xml:space="preserve"> </w:t>
      </w:r>
      <w:r>
        <w:t xml:space="preserve">ns,</w:t>
      </w:r>
      <w:r>
        <w:t xml:space="preserve"> </w:t>
      </w:r>
      <m:oMath>
        <m:sSub>
          <m:e>
            <m:r>
              <m:t>t</m:t>
            </m:r>
          </m:e>
          <m:sub>
            <m:r>
              <m:t>L</m:t>
            </m:r>
            <m:r>
              <m:t>3</m:t>
            </m:r>
          </m:sub>
        </m:sSub>
        <m:r>
          <m:rPr>
            <m:sty m:val="p"/>
          </m:rPr>
          <m:t>=</m:t>
        </m:r>
        <m:r>
          <m:t>15</m:t>
        </m:r>
      </m:oMath>
      <w:r>
        <w:t xml:space="preserve"> </w:t>
      </w:r>
      <w:r>
        <w:t xml:space="preserve">ns,</w:t>
      </w:r>
      <w:r>
        <w:t xml:space="preserve"> </w:t>
      </w:r>
      <m:oMath>
        <m:sSub>
          <m:e>
            <m:r>
              <m:t>t</m:t>
            </m:r>
          </m:e>
          <m:sub>
            <m:r>
              <m:t>m</m:t>
            </m:r>
            <m:r>
              <m:t>e</m:t>
            </m:r>
            <m:r>
              <m:t>m</m:t>
            </m:r>
          </m:sub>
        </m:sSub>
        <m:r>
          <m:rPr>
            <m:sty m:val="p"/>
          </m:rPr>
          <m:t>=</m:t>
        </m:r>
        <m:r>
          <m:t>90</m:t>
        </m:r>
      </m:oMath>
      <w:r>
        <w:t xml:space="preserve"> </w:t>
      </w:r>
      <w:r>
        <w:t xml:space="preserve">ns.</w:t>
      </w:r>
    </w:p>
    <w:p>
      <w:pPr>
        <w:pStyle w:val="CalloutExample"/>
      </w:pPr>
      <w:r>
        <w:rPr>
          <w:iCs/>
          <w:i/>
        </w:rPr>
        <w:t xml:space="preserve">Good locality</w:t>
      </w:r>
      <w:r>
        <w:t xml:space="preserve"> </w:t>
      </w:r>
      <w:r>
        <w:t xml:space="preserve">(array scans, small hot data):</w:t>
      </w:r>
      <w:r>
        <w:t xml:space="preserve"> </w:t>
      </w:r>
      <m:oMath>
        <m:sSub>
          <m:e>
            <m:r>
              <m:t>m</m:t>
            </m:r>
          </m:e>
          <m:sub>
            <m:r>
              <m:t>L</m:t>
            </m:r>
            <m:r>
              <m:t>1</m:t>
            </m:r>
          </m:sub>
        </m:sSub>
        <m:r>
          <m:rPr>
            <m:sty m:val="p"/>
          </m:rPr>
          <m:t>=</m:t>
        </m:r>
        <m:r>
          <m:t>0.05</m:t>
        </m:r>
      </m:oMath>
      <w:r>
        <w:t xml:space="preserve">,</w:t>
      </w:r>
      <w:r>
        <w:t xml:space="preserve"> </w:t>
      </w:r>
      <m:oMath>
        <m:sSub>
          <m:e>
            <m:r>
              <m:t>m</m:t>
            </m:r>
          </m:e>
          <m:sub>
            <m:r>
              <m:t>L</m:t>
            </m:r>
            <m:r>
              <m:t>2</m:t>
            </m:r>
          </m:sub>
        </m:sSub>
        <m:r>
          <m:rPr>
            <m:sty m:val="p"/>
          </m:rPr>
          <m:t>=</m:t>
        </m:r>
        <m:r>
          <m:t>0.20</m:t>
        </m:r>
      </m:oMath>
      <w:r>
        <w:t xml:space="preserve">,</w:t>
      </w:r>
      <w:r>
        <w:t xml:space="preserve"> </w:t>
      </w:r>
      <m:oMath>
        <m:sSub>
          <m:e>
            <m:r>
              <m:t>m</m:t>
            </m:r>
          </m:e>
          <m:sub>
            <m:r>
              <m:t>L</m:t>
            </m:r>
            <m:r>
              <m:t>3</m:t>
            </m:r>
          </m:sub>
        </m:sSub>
        <m:r>
          <m:rPr>
            <m:sty m:val="p"/>
          </m:rPr>
          <m:t>=</m:t>
        </m:r>
        <m:r>
          <m:t>0.30</m:t>
        </m:r>
      </m:oMath>
      <w:r>
        <w:t xml:space="preserve">.</w:t>
      </w:r>
    </w:p>
    <w:p>
      <w:pPr>
        <w:numPr>
          <w:ilvl w:val="0"/>
          <w:numId w:val="1146"/>
        </w:numPr>
        <w:pStyle w:val="Compact"/>
      </w:pPr>
      <w:r>
        <w:t xml:space="preserve">L3 term:</w:t>
      </w:r>
      <w:r>
        <w:t xml:space="preserve"> </w:t>
      </w:r>
      <m:oMath>
        <m:r>
          <m:t>15</m:t>
        </m:r>
        <m:r>
          <m:rPr>
            <m:sty m:val="p"/>
          </m:rPr>
          <m:t>+</m:t>
        </m:r>
        <m:r>
          <m:t>0.30</m:t>
        </m:r>
        <m:r>
          <m:rPr>
            <m:sty m:val="p"/>
          </m:rPr>
          <m:t>×</m:t>
        </m:r>
        <m:r>
          <m:t>90</m:t>
        </m:r>
        <m:r>
          <m:rPr>
            <m:sty m:val="p"/>
          </m:rPr>
          <m:t>=</m:t>
        </m:r>
        <m:r>
          <m:t>15</m:t>
        </m:r>
        <m:r>
          <m:rPr>
            <m:sty m:val="p"/>
          </m:rPr>
          <m:t>+</m:t>
        </m:r>
        <m:r>
          <m:t>27</m:t>
        </m:r>
        <m:r>
          <m:rPr>
            <m:sty m:val="p"/>
          </m:rPr>
          <m:t>=</m:t>
        </m:r>
        <m:r>
          <m:t>42</m:t>
        </m:r>
      </m:oMath>
      <w:r>
        <w:t xml:space="preserve"> </w:t>
      </w:r>
      <w:r>
        <w:t xml:space="preserve">ns.</w:t>
      </w:r>
    </w:p>
    <w:p>
      <w:pPr>
        <w:numPr>
          <w:ilvl w:val="0"/>
          <w:numId w:val="1146"/>
        </w:numPr>
        <w:pStyle w:val="Compact"/>
      </w:pPr>
      <w:r>
        <w:t xml:space="preserve">L2 term:</w:t>
      </w:r>
      <w:r>
        <w:t xml:space="preserve"> </w:t>
      </w:r>
      <m:oMath>
        <m:r>
          <m:t>4</m:t>
        </m:r>
        <m:r>
          <m:rPr>
            <m:sty m:val="p"/>
          </m:rPr>
          <m:t>+</m:t>
        </m:r>
        <m:r>
          <m:t>0.20</m:t>
        </m:r>
        <m:r>
          <m:rPr>
            <m:sty m:val="p"/>
          </m:rPr>
          <m:t>×</m:t>
        </m:r>
        <m:r>
          <m:t>42</m:t>
        </m:r>
        <m:r>
          <m:rPr>
            <m:sty m:val="p"/>
          </m:rPr>
          <m:t>=</m:t>
        </m:r>
        <m:r>
          <m:t>4</m:t>
        </m:r>
        <m:r>
          <m:rPr>
            <m:sty m:val="p"/>
          </m:rPr>
          <m:t>+</m:t>
        </m:r>
        <m:r>
          <m:t>8.4</m:t>
        </m:r>
        <m:r>
          <m:rPr>
            <m:sty m:val="p"/>
          </m:rPr>
          <m:t>=</m:t>
        </m:r>
        <m:r>
          <m:t>12.4</m:t>
        </m:r>
      </m:oMath>
      <w:r>
        <w:t xml:space="preserve"> </w:t>
      </w:r>
      <w:r>
        <w:t xml:space="preserve">ns.</w:t>
      </w:r>
    </w:p>
    <w:p>
      <w:pPr>
        <w:numPr>
          <w:ilvl w:val="0"/>
          <w:numId w:val="1146"/>
        </w:numPr>
        <w:pStyle w:val="Compact"/>
      </w:pPr>
      <w:r>
        <w:t xml:space="preserve">AMAT</w:t>
      </w:r>
      <w:r>
        <w:t xml:space="preserve"> </w:t>
      </w:r>
      <m:oMath>
        <m:r>
          <m:rPr>
            <m:sty m:val="p"/>
          </m:rPr>
          <m:t>=</m:t>
        </m:r>
        <m:r>
          <m:t>1</m:t>
        </m:r>
        <m:r>
          <m:rPr>
            <m:sty m:val="p"/>
          </m:rPr>
          <m:t>+</m:t>
        </m:r>
        <m:r>
          <m:t>0.05</m:t>
        </m:r>
        <m:r>
          <m:rPr>
            <m:sty m:val="p"/>
          </m:rPr>
          <m:t>×</m:t>
        </m:r>
        <m:r>
          <m:t>12.4</m:t>
        </m:r>
        <m:r>
          <m:rPr>
            <m:sty m:val="p"/>
          </m:rPr>
          <m:t>=</m:t>
        </m:r>
        <m:r>
          <m:t>1</m:t>
        </m:r>
        <m:r>
          <m:rPr>
            <m:sty m:val="p"/>
          </m:rPr>
          <m:t>+</m:t>
        </m:r>
        <m:r>
          <m:t>0.62</m:t>
        </m:r>
        <m:r>
          <m:rPr>
            <m:sty m:val="p"/>
          </m:rPr>
          <m:t>=</m:t>
        </m:r>
        <m:r>
          <m:t>1.62</m:t>
        </m:r>
      </m:oMath>
      <w:r>
        <w:t xml:space="preserve"> </w:t>
      </w:r>
      <w:r>
        <w:t xml:space="preserve">ns.</w:t>
      </w:r>
    </w:p>
    <w:p>
      <w:pPr>
        <w:pStyle w:val="CalloutExample"/>
      </w:pPr>
      <w:r>
        <w:rPr>
          <w:iCs/>
          <w:i/>
        </w:rPr>
        <w:t xml:space="preserve">Poor locality</w:t>
      </w:r>
      <w:r>
        <w:t xml:space="preserve"> </w:t>
      </w:r>
      <w:r>
        <w:t xml:space="preserve">(random lookups in a large hash table):</w:t>
      </w:r>
      <w:r>
        <w:t xml:space="preserve"> </w:t>
      </w:r>
      <m:oMath>
        <m:sSub>
          <m:e>
            <m:r>
              <m:t>m</m:t>
            </m:r>
          </m:e>
          <m:sub>
            <m:r>
              <m:t>L</m:t>
            </m:r>
            <m:r>
              <m:t>1</m:t>
            </m:r>
          </m:sub>
        </m:sSub>
        <m:r>
          <m:rPr>
            <m:sty m:val="p"/>
          </m:rPr>
          <m:t>=</m:t>
        </m:r>
        <m:r>
          <m:t>0.30</m:t>
        </m:r>
      </m:oMath>
      <w:r>
        <w:t xml:space="preserve">,</w:t>
      </w:r>
      <w:r>
        <w:t xml:space="preserve"> </w:t>
      </w:r>
      <m:oMath>
        <m:sSub>
          <m:e>
            <m:r>
              <m:t>m</m:t>
            </m:r>
          </m:e>
          <m:sub>
            <m:r>
              <m:t>L</m:t>
            </m:r>
            <m:r>
              <m:t>2</m:t>
            </m:r>
          </m:sub>
        </m:sSub>
        <m:r>
          <m:rPr>
            <m:sty m:val="p"/>
          </m:rPr>
          <m:t>=</m:t>
        </m:r>
        <m:r>
          <m:t>0.60</m:t>
        </m:r>
      </m:oMath>
      <w:r>
        <w:t xml:space="preserve">,</w:t>
      </w:r>
      <w:r>
        <w:t xml:space="preserve"> </w:t>
      </w:r>
      <m:oMath>
        <m:sSub>
          <m:e>
            <m:r>
              <m:t>m</m:t>
            </m:r>
          </m:e>
          <m:sub>
            <m:r>
              <m:t>L</m:t>
            </m:r>
            <m:r>
              <m:t>3</m:t>
            </m:r>
          </m:sub>
        </m:sSub>
        <m:r>
          <m:rPr>
            <m:sty m:val="p"/>
          </m:rPr>
          <m:t>=</m:t>
        </m:r>
        <m:r>
          <m:t>0.70</m:t>
        </m:r>
      </m:oMath>
      <w:r>
        <w:t xml:space="preserve">.</w:t>
      </w:r>
    </w:p>
    <w:p>
      <w:pPr>
        <w:numPr>
          <w:ilvl w:val="0"/>
          <w:numId w:val="1147"/>
        </w:numPr>
        <w:pStyle w:val="Compact"/>
      </w:pPr>
      <w:r>
        <w:t xml:space="preserve">L3 term:</w:t>
      </w:r>
      <w:r>
        <w:t xml:space="preserve"> </w:t>
      </w:r>
      <m:oMath>
        <m:r>
          <m:t>15</m:t>
        </m:r>
        <m:r>
          <m:rPr>
            <m:sty m:val="p"/>
          </m:rPr>
          <m:t>+</m:t>
        </m:r>
        <m:r>
          <m:t>0.70</m:t>
        </m:r>
        <m:r>
          <m:rPr>
            <m:sty m:val="p"/>
          </m:rPr>
          <m:t>×</m:t>
        </m:r>
        <m:r>
          <m:t>90</m:t>
        </m:r>
        <m:r>
          <m:rPr>
            <m:sty m:val="p"/>
          </m:rPr>
          <m:t>=</m:t>
        </m:r>
        <m:r>
          <m:t>15</m:t>
        </m:r>
        <m:r>
          <m:rPr>
            <m:sty m:val="p"/>
          </m:rPr>
          <m:t>+</m:t>
        </m:r>
        <m:r>
          <m:t>63</m:t>
        </m:r>
        <m:r>
          <m:rPr>
            <m:sty m:val="p"/>
          </m:rPr>
          <m:t>=</m:t>
        </m:r>
        <m:r>
          <m:t>78</m:t>
        </m:r>
      </m:oMath>
      <w:r>
        <w:t xml:space="preserve"> </w:t>
      </w:r>
      <w:r>
        <w:t xml:space="preserve">ns.</w:t>
      </w:r>
    </w:p>
    <w:p>
      <w:pPr>
        <w:numPr>
          <w:ilvl w:val="0"/>
          <w:numId w:val="1147"/>
        </w:numPr>
        <w:pStyle w:val="Compact"/>
      </w:pPr>
      <w:r>
        <w:t xml:space="preserve">L2 term:</w:t>
      </w:r>
      <w:r>
        <w:t xml:space="preserve"> </w:t>
      </w:r>
      <m:oMath>
        <m:r>
          <m:t>4</m:t>
        </m:r>
        <m:r>
          <m:rPr>
            <m:sty m:val="p"/>
          </m:rPr>
          <m:t>+</m:t>
        </m:r>
        <m:r>
          <m:t>0.60</m:t>
        </m:r>
        <m:r>
          <m:rPr>
            <m:sty m:val="p"/>
          </m:rPr>
          <m:t>×</m:t>
        </m:r>
        <m:r>
          <m:t>78</m:t>
        </m:r>
        <m:r>
          <m:rPr>
            <m:sty m:val="p"/>
          </m:rPr>
          <m:t>=</m:t>
        </m:r>
        <m:r>
          <m:t>4</m:t>
        </m:r>
        <m:r>
          <m:rPr>
            <m:sty m:val="p"/>
          </m:rPr>
          <m:t>+</m:t>
        </m:r>
        <m:r>
          <m:t>46.8</m:t>
        </m:r>
        <m:r>
          <m:rPr>
            <m:sty m:val="p"/>
          </m:rPr>
          <m:t>=</m:t>
        </m:r>
        <m:r>
          <m:t>50.8</m:t>
        </m:r>
      </m:oMath>
      <w:r>
        <w:t xml:space="preserve"> </w:t>
      </w:r>
      <w:r>
        <w:t xml:space="preserve">ns.</w:t>
      </w:r>
    </w:p>
    <w:p>
      <w:pPr>
        <w:numPr>
          <w:ilvl w:val="0"/>
          <w:numId w:val="1147"/>
        </w:numPr>
        <w:pStyle w:val="Compact"/>
      </w:pPr>
      <w:r>
        <w:t xml:space="preserve">AMAT</w:t>
      </w:r>
      <w:r>
        <w:t xml:space="preserve"> </w:t>
      </w:r>
      <m:oMath>
        <m:r>
          <m:rPr>
            <m:sty m:val="p"/>
          </m:rPr>
          <m:t>=</m:t>
        </m:r>
        <m:r>
          <m:t>1</m:t>
        </m:r>
        <m:r>
          <m:rPr>
            <m:sty m:val="p"/>
          </m:rPr>
          <m:t>+</m:t>
        </m:r>
        <m:r>
          <m:t>0.30</m:t>
        </m:r>
        <m:r>
          <m:rPr>
            <m:sty m:val="p"/>
          </m:rPr>
          <m:t>×</m:t>
        </m:r>
        <m:r>
          <m:t>50.8</m:t>
        </m:r>
        <m:r>
          <m:rPr>
            <m:sty m:val="p"/>
          </m:rPr>
          <m:t>=</m:t>
        </m:r>
        <m:r>
          <m:t>1</m:t>
        </m:r>
        <m:r>
          <m:rPr>
            <m:sty m:val="p"/>
          </m:rPr>
          <m:t>+</m:t>
        </m:r>
        <m:r>
          <m:t>15.24</m:t>
        </m:r>
        <m:r>
          <m:rPr>
            <m:sty m:val="p"/>
          </m:rPr>
          <m:t>=</m:t>
        </m:r>
        <m:r>
          <m:t>16.24</m:t>
        </m:r>
      </m:oMath>
      <w:r>
        <w:t xml:space="preserve"> </w:t>
      </w:r>
      <w:r>
        <w:t xml:space="preserve">ns.</w:t>
      </w:r>
    </w:p>
    <w:p>
      <w:pPr>
        <w:pStyle w:val="CalloutExample"/>
      </w:pPr>
      <w:r>
        <w:rPr>
          <w:bCs/>
          <w:b/>
        </w:rPr>
        <w:t xml:space="preserve">Interpretation.</w:t>
      </w:r>
      <w:r>
        <w:t xml:space="preserve"> </w:t>
      </w:r>
      <w:r>
        <w:t xml:space="preserve">The same hardware delivers memory ten times slower on average for the second workload.</w:t>
      </w:r>
      <w:r>
        <w:t xml:space="preserve"> </w:t>
      </w:r>
      <w:r>
        <w:rPr>
          <w:bCs/>
          <w:b/>
        </w:rPr>
        <w:t xml:space="preserve">Engineering implication.</w:t>
      </w:r>
      <w:r>
        <w:t xml:space="preserve"> </w:t>
      </w:r>
      <w:r>
        <w:t xml:space="preserve">Data layout (compact structs, arrays instead of pointer-linked nodes, hot fields grouped together) can change performance by an order of magnitude without changing the algorithm. The application-level twin of this example: raising a cache hit ratio from 90% to 99% in front of a 100 µs SSD read, with a 1 µs hit, cuts effective access time from</w:t>
      </w:r>
      <w:r>
        <w:t xml:space="preserve"> </w:t>
      </w:r>
      <m:oMath>
        <m:r>
          <m:t>0.9</m:t>
        </m:r>
        <m:r>
          <m:rPr>
            <m:sty m:val="p"/>
          </m:rPr>
          <m:t>×</m:t>
        </m:r>
        <m:r>
          <m:t>1</m:t>
        </m:r>
        <m:r>
          <m:rPr>
            <m:sty m:val="p"/>
          </m:rPr>
          <m:t>+</m:t>
        </m:r>
        <m:r>
          <m:t>0.1</m:t>
        </m:r>
        <m:r>
          <m:rPr>
            <m:sty m:val="p"/>
          </m:rPr>
          <m:t>×</m:t>
        </m:r>
        <m:r>
          <m:t>100</m:t>
        </m:r>
        <m:r>
          <m:rPr>
            <m:sty m:val="p"/>
          </m:rPr>
          <m:t>=</m:t>
        </m:r>
        <m:r>
          <m:t>10.9</m:t>
        </m:r>
      </m:oMath>
      <w:r>
        <w:t xml:space="preserve"> </w:t>
      </w:r>
      <w:r>
        <w:t xml:space="preserve">µs to</w:t>
      </w:r>
      <w:r>
        <w:t xml:space="preserve"> </w:t>
      </w:r>
      <m:oMath>
        <m:r>
          <m:t>0.99</m:t>
        </m:r>
        <m:r>
          <m:rPr>
            <m:sty m:val="p"/>
          </m:rPr>
          <m:t>×</m:t>
        </m:r>
        <m:r>
          <m:t>1</m:t>
        </m:r>
        <m:r>
          <m:rPr>
            <m:sty m:val="p"/>
          </m:rPr>
          <m:t>+</m:t>
        </m:r>
        <m:r>
          <m:t>0.01</m:t>
        </m:r>
        <m:r>
          <m:rPr>
            <m:sty m:val="p"/>
          </m:rPr>
          <m:t>×</m:t>
        </m:r>
        <m:r>
          <m:t>100</m:t>
        </m:r>
        <m:r>
          <m:rPr>
            <m:sty m:val="p"/>
          </m:rPr>
          <m:t>=</m:t>
        </m:r>
        <m:r>
          <m:t>1.99</m:t>
        </m:r>
      </m:oMath>
      <w:r>
        <w:t xml:space="preserve"> </w:t>
      </w:r>
      <w:r>
        <w:t xml:space="preserve">µs, about 5.5× faster.</w:t>
      </w:r>
    </w:p>
    <w:bookmarkEnd w:id="487"/>
    <w:bookmarkStart w:id="491" w:name="cache-coherence-and-the-mesi-protocol"/>
    <w:p>
      <w:pPr>
        <w:pStyle w:val="Heading3"/>
      </w:pPr>
      <w:r>
        <w:t xml:space="preserve">5.4.6 Cache coherence and the MESI protocol</w:t>
      </w:r>
    </w:p>
    <w:p>
      <w:pPr>
        <w:pStyle w:val="CalloutDefinition"/>
      </w:pPr>
      <w:r>
        <w:rPr>
          <w:bCs/>
          <w:b/>
        </w:rPr>
        <w:t xml:space="preserve">DEFINITION</w:t>
      </w:r>
    </w:p>
    <w:p>
      <w:pPr>
        <w:pStyle w:val="CalloutDefinition"/>
      </w:pPr>
      <w:r>
        <w:rPr>
          <w:bCs/>
          <w:b/>
        </w:rPr>
        <w:t xml:space="preserve">Definition — Cache coherence.</w:t>
      </w:r>
      <w:r>
        <w:t xml:space="preserve"> </w:t>
      </w:r>
      <w:r>
        <w:t xml:space="preserve">The guarantee that all cores observe a single, consistent sequence of values for each memory location, even though each core keeps private copies in its own caches.</w:t>
      </w:r>
    </w:p>
    <w:p>
      <w:pPr>
        <w:pStyle w:val="BodyText"/>
      </w:pPr>
      <w:r>
        <w:t xml:space="preserve">Suppose cores 0 and 1 both cache the variable</w:t>
      </w:r>
      <w:r>
        <w:t xml:space="preserve"> </w:t>
      </w:r>
      <w:r>
        <w:rPr>
          <w:rStyle w:val="VerbatimChar"/>
        </w:rPr>
        <w:t xml:space="preserve">x</w:t>
      </w:r>
      <w:r>
        <w:t xml:space="preserve">. Core 0 writes</w:t>
      </w:r>
      <w:r>
        <w:t xml:space="preserve"> </w:t>
      </w:r>
      <w:r>
        <w:rPr>
          <w:rStyle w:val="VerbatimChar"/>
        </w:rPr>
        <w:t xml:space="preserve">x = 5</w:t>
      </w:r>
      <w:r>
        <w:t xml:space="preserve">. If core 1 keeps reading its stale copy, the program breaks. Coherence protocols prevent this by tracking, for every cached line, which cores hold it and whether it has been changed. The textbook protocol is</w:t>
      </w:r>
      <w:r>
        <w:t xml:space="preserve"> </w:t>
      </w:r>
      <w:r>
        <w:rPr>
          <w:bCs/>
          <w:b/>
        </w:rPr>
        <w:t xml:space="preserve">MESI</w:t>
      </w:r>
      <w:r>
        <w:t xml:space="preserve">, named after the four states a line can be in within one core’s cache [Papamarcos &amp; Patel 1984; Sorin, Hill &amp; Wood 2011]:</w:t>
      </w:r>
    </w:p>
    <w:p>
      <w:pPr>
        <w:numPr>
          <w:ilvl w:val="0"/>
          <w:numId w:val="1148"/>
        </w:numPr>
        <w:pStyle w:val="Compact"/>
      </w:pPr>
      <w:r>
        <w:rPr>
          <w:bCs/>
          <w:b/>
        </w:rPr>
        <w:t xml:space="preserve">Modified (M)</w:t>
      </w:r>
      <w:r>
        <w:t xml:space="preserve"> </w:t>
      </w:r>
      <w:r>
        <w:t xml:space="preserve">— this core has the only copy and has changed it; memory is stale. The core must write the line back before anyone else may use it.</w:t>
      </w:r>
    </w:p>
    <w:p>
      <w:pPr>
        <w:numPr>
          <w:ilvl w:val="0"/>
          <w:numId w:val="1148"/>
        </w:numPr>
        <w:pStyle w:val="Compact"/>
      </w:pPr>
      <w:r>
        <w:rPr>
          <w:bCs/>
          <w:b/>
        </w:rPr>
        <w:t xml:space="preserve">Exclusive (E)</w:t>
      </w:r>
      <w:r>
        <w:t xml:space="preserve"> </w:t>
      </w:r>
      <w:r>
        <w:t xml:space="preserve">— this core has the only copy, and it matches memory. The core may write to it without telling anyone.</w:t>
      </w:r>
    </w:p>
    <w:p>
      <w:pPr>
        <w:numPr>
          <w:ilvl w:val="0"/>
          <w:numId w:val="1148"/>
        </w:numPr>
        <w:pStyle w:val="Compact"/>
      </w:pPr>
      <w:r>
        <w:rPr>
          <w:bCs/>
          <w:b/>
        </w:rPr>
        <w:t xml:space="preserve">Shared (S)</w:t>
      </w:r>
      <w:r>
        <w:t xml:space="preserve"> </w:t>
      </w:r>
      <w:r>
        <w:t xml:space="preserve">— several cores may hold read-only copies that match memory.</w:t>
      </w:r>
    </w:p>
    <w:p>
      <w:pPr>
        <w:numPr>
          <w:ilvl w:val="0"/>
          <w:numId w:val="1148"/>
        </w:numPr>
        <w:pStyle w:val="Compact"/>
      </w:pPr>
      <w:r>
        <w:rPr>
          <w:bCs/>
          <w:b/>
        </w:rPr>
        <w:t xml:space="preserve">Invalid (I)</w:t>
      </w:r>
      <w:r>
        <w:t xml:space="preserve"> </w:t>
      </w:r>
      <w:r>
        <w:t xml:space="preserve">— this cache does not hold a valid copy.</w:t>
      </w:r>
    </w:p>
    <w:p>
      <w:pPr>
        <w:pStyle w:val="FirstParagraph"/>
      </w:pPr>
      <w:r>
        <w:t xml:space="preserve">The analogy is a shared document with a single</w:t>
      </w:r>
      <w:r>
        <w:t xml:space="preserve"> </w:t>
      </w:r>
      <w:r>
        <w:t xml:space="preserve">“</w:t>
      </w:r>
      <w:r>
        <w:t xml:space="preserve">edit pen</w:t>
      </w:r>
      <w:r>
        <w:t xml:space="preserve">”</w:t>
      </w:r>
      <w:r>
        <w:t xml:space="preserve">. Anyone may hold a read-only photocopy (Shared). To write, you must collect every photocopy and shred it (invalidate them), then you hold the pen (Modified). Real processors use extensions — Intel describes MESIF, AMD MOESI — that add states to reduce memory traffic, but the core idea is the same.</w:t>
      </w:r>
    </w:p>
    <w:p>
      <w:pPr>
        <w:pStyle w:val="BodyText"/>
      </w:pPr>
      <w:r>
        <w:rPr>
          <w:bCs/>
          <w:b/>
        </w:rPr>
        <w:t xml:space="preserve">Figure 5.4 — MESI state transitions for one cache line in one core’s cache.</w:t>
      </w:r>
    </w:p>
    <w:p>
      <w:pPr>
        <w:pStyle w:val="BodyText"/>
      </w:pPr>
      <w:r>
        <w:drawing>
          <wp:inline>
            <wp:extent cx="5334000" cy="2245056"/>
            <wp:effectExtent b="0" l="0" r="0" t="0"/>
            <wp:docPr descr="" title="" id="489" name="Picture"/>
            <a:graphic>
              <a:graphicData uri="http://schemas.openxmlformats.org/drawingml/2006/picture">
                <pic:pic>
                  <pic:nvPicPr>
                    <pic:cNvPr descr="/home/user/System-Design/build/.cache/diagrams/63192d3a647c.png" id="490" name="Picture"/>
                    <pic:cNvPicPr>
                      <a:picLocks noChangeArrowheads="1" noChangeAspect="1"/>
                    </pic:cNvPicPr>
                  </pic:nvPicPr>
                  <pic:blipFill>
                    <a:blip r:embed="rId488"/>
                    <a:stretch>
                      <a:fillRect/>
                    </a:stretch>
                  </pic:blipFill>
                  <pic:spPr bwMode="auto">
                    <a:xfrm>
                      <a:off x="0" y="0"/>
                      <a:ext cx="5334000" cy="2245056"/>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Each box is the state of</w:t>
      </w:r>
      <w:r>
        <w:t xml:space="preserve"> </w:t>
      </w:r>
      <w:r>
        <w:rPr>
          <w:iCs/>
          <w:i/>
        </w:rPr>
        <w:t xml:space="preserve">one</w:t>
      </w:r>
      <w:r>
        <w:t xml:space="preserve"> </w:t>
      </w:r>
      <w:r>
        <w:t xml:space="preserve">64-byte line in</w:t>
      </w:r>
      <w:r>
        <w:t xml:space="preserve"> </w:t>
      </w:r>
      <w:r>
        <w:rPr>
          <w:iCs/>
          <w:i/>
        </w:rPr>
        <w:t xml:space="preserve">one</w:t>
      </w:r>
      <w:r>
        <w:t xml:space="preserve"> </w:t>
      </w:r>
      <w:r>
        <w:t xml:space="preserve">core’s cache; every core runs this machine independently for every line.</w:t>
      </w:r>
      <w:r>
        <w:t xml:space="preserve"> </w:t>
      </w:r>
      <w:r>
        <w:t xml:space="preserve">“</w:t>
      </w:r>
      <w:r>
        <w:t xml:space="preserve">Local</w:t>
      </w:r>
      <w:r>
        <w:t xml:space="preserve">”</w:t>
      </w:r>
      <w:r>
        <w:t xml:space="preserve"> </w:t>
      </w:r>
      <w:r>
        <w:t xml:space="preserve">events come from this core’s own instructions;</w:t>
      </w:r>
      <w:r>
        <w:t xml:space="preserve"> </w:t>
      </w:r>
      <w:r>
        <w:t xml:space="preserve">“</w:t>
      </w:r>
      <w:r>
        <w:t xml:space="preserve">another core</w:t>
      </w:r>
      <w:r>
        <w:t xml:space="preserve">”</w:t>
      </w:r>
      <w:r>
        <w:t xml:space="preserve"> </w:t>
      </w:r>
      <w:r>
        <w:t xml:space="preserve">events arrive as coherence messages over the on-chip interconnect (a ring or mesh linking cores, caches and memory controllers) or, between sockets, over the socket-to-socket link. Transitions caused by our own reads and writes are synchronous with the instruction; invalidations and write-backs triggered by other cores arrive asynchronously. Note the two expensive arcs: moving from Shared to Modified requires invalidating every other copy and waiting for acknowledgments, and a remote read of a Modified line forces a write-back. When two cores repeatedly write the same line, it ping-pongs between their caches, each transfer costing tens of nanoseconds on one chip and more across sockets. Coherence traffic is the reason</w:t>
      </w:r>
      <w:r>
        <w:t xml:space="preserve"> </w:t>
      </w:r>
      <w:r>
        <w:t xml:space="preserve">“</w:t>
      </w:r>
      <w:r>
        <w:t xml:space="preserve">just add cores</w:t>
      </w:r>
      <w:r>
        <w:t xml:space="preserve">”</w:t>
      </w:r>
      <w:r>
        <w:t xml:space="preserve"> </w:t>
      </w:r>
      <w:r>
        <w:t xml:space="preserve">stops scaling for shared, frequently written data.</w:t>
      </w:r>
    </w:p>
    <w:bookmarkEnd w:id="491"/>
    <w:bookmarkStart w:id="497" w:name="false-sharing"/>
    <w:p>
      <w:pPr>
        <w:pStyle w:val="Heading3"/>
      </w:pPr>
      <w:r>
        <w:t xml:space="preserve">5.4.7 False sharing</w:t>
      </w:r>
    </w:p>
    <w:p>
      <w:pPr>
        <w:pStyle w:val="CalloutDefinition"/>
      </w:pPr>
      <w:r>
        <w:rPr>
          <w:bCs/>
          <w:b/>
        </w:rPr>
        <w:t xml:space="preserve">DEFINITION</w:t>
      </w:r>
    </w:p>
    <w:p>
      <w:pPr>
        <w:pStyle w:val="CalloutDefinition"/>
      </w:pPr>
      <w:r>
        <w:rPr>
          <w:bCs/>
          <w:b/>
        </w:rPr>
        <w:t xml:space="preserve">Definition — False sharing.</w:t>
      </w:r>
      <w:r>
        <w:t xml:space="preserve"> </w:t>
      </w:r>
      <w:r>
        <w:t xml:space="preserve">A performance problem in which threads on different cores write to</w:t>
      </w:r>
      <w:r>
        <w:t xml:space="preserve"> </w:t>
      </w:r>
      <w:r>
        <w:rPr>
          <w:iCs/>
          <w:i/>
        </w:rPr>
        <w:t xml:space="preserve">different</w:t>
      </w:r>
      <w:r>
        <w:t xml:space="preserve"> </w:t>
      </w:r>
      <w:r>
        <w:t xml:space="preserve">variables that happen to sit in the</w:t>
      </w:r>
      <w:r>
        <w:t xml:space="preserve"> </w:t>
      </w:r>
      <w:r>
        <w:rPr>
          <w:iCs/>
          <w:i/>
        </w:rPr>
        <w:t xml:space="preserve">same</w:t>
      </w:r>
      <w:r>
        <w:t xml:space="preserve"> </w:t>
      </w:r>
      <w:r>
        <w:t xml:space="preserve">cache line, so the coherence protocol bounces the line between cores as if they were sharing data.</w:t>
      </w:r>
    </w:p>
    <w:p>
      <w:pPr>
        <w:pStyle w:val="BodyText"/>
      </w:pPr>
      <w:r>
        <w:t xml:space="preserve">Coherence works at the granularity of a whole line, not a variable. Two counters 8 bytes apart, each updated by its own thread, look to the hardware exactly like one heavily contended variable. The program is logically correct and has no locks, yet it scales</w:t>
      </w:r>
      <w:r>
        <w:t xml:space="preserve"> </w:t>
      </w:r>
      <w:r>
        <w:rPr>
          <w:iCs/>
          <w:i/>
        </w:rPr>
        <w:t xml:space="preserve">negatively</w:t>
      </w:r>
      <w:r>
        <w:t xml:space="preserve">.</w:t>
      </w:r>
    </w:p>
    <w:bookmarkStart w:id="492" w:name="X5410dbb7c3d821af837966735ee5ac1357291bd"/>
    <w:p>
      <w:pPr>
        <w:pStyle w:val="Heading4"/>
      </w:pPr>
      <w:r>
        <w:t xml:space="preserve">Code example — demonstrating and fixing false sharing in C</w:t>
      </w:r>
    </w:p>
    <w:p>
      <w:pPr>
        <w:pStyle w:val="SourceCode"/>
      </w:pPr>
      <w:r>
        <w:rPr>
          <w:rStyle w:val="CommentTok"/>
        </w:rPr>
        <w:t xml:space="preserve">/* false_sharing.c — build: gcc -O2 -std=c11 -pthread false_sharing.c -o fs */</w:t>
      </w:r>
      <w:r>
        <w:br/>
      </w:r>
      <w:r>
        <w:rPr>
          <w:rStyle w:val="PreprocessorTok"/>
        </w:rPr>
        <w:t xml:space="preserve">#define _POSIX_C_SOURCE </w:t>
      </w:r>
      <w:r>
        <w:rPr>
          <w:rStyle w:val="DecValTok"/>
        </w:rPr>
        <w:t xml:space="preserve">199309</w:t>
      </w:r>
      <w:r>
        <w:rPr>
          <w:rStyle w:val="BuiltInTok"/>
        </w:rPr>
        <w:t xml:space="preserve">L</w:t>
      </w:r>
      <w:r>
        <w:br/>
      </w:r>
      <w:r>
        <w:rPr>
          <w:rStyle w:val="PreprocessorTok"/>
        </w:rPr>
        <w:t xml:space="preserve">#include </w:t>
      </w:r>
      <w:r>
        <w:rPr>
          <w:rStyle w:val="ImportTok"/>
        </w:rPr>
        <w:t xml:space="preserve">&lt;pthread.h&gt;</w:t>
      </w:r>
      <w:r>
        <w:br/>
      </w:r>
      <w:r>
        <w:rPr>
          <w:rStyle w:val="PreprocessorTok"/>
        </w:rPr>
        <w:t xml:space="preserve">#include </w:t>
      </w:r>
      <w:r>
        <w:rPr>
          <w:rStyle w:val="ImportTok"/>
        </w:rPr>
        <w:t xml:space="preserve">&lt;stdalign.h&gt;</w:t>
      </w:r>
      <w:r>
        <w:br/>
      </w:r>
      <w:r>
        <w:rPr>
          <w:rStyle w:val="PreprocessorTok"/>
        </w:rPr>
        <w:t xml:space="preserve">#include </w:t>
      </w:r>
      <w:r>
        <w:rPr>
          <w:rStyle w:val="ImportTok"/>
        </w:rPr>
        <w:t xml:space="preserve">&lt;stdatomic.h&gt;</w:t>
      </w:r>
      <w:r>
        <w:br/>
      </w:r>
      <w:r>
        <w:rPr>
          <w:rStyle w:val="PreprocessorTok"/>
        </w:rPr>
        <w:t xml:space="preserve">#include </w:t>
      </w:r>
      <w:r>
        <w:rPr>
          <w:rStyle w:val="ImportTok"/>
        </w:rPr>
        <w:t xml:space="preserve">&lt;stdint.h&gt;</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&lt;time.h&gt;</w:t>
      </w:r>
      <w:r>
        <w:br/>
      </w:r>
      <w:r>
        <w:br/>
      </w:r>
      <w:r>
        <w:rPr>
          <w:rStyle w:val="PreprocessorTok"/>
        </w:rPr>
        <w:t xml:space="preserve">#define ITERATIONS </w:t>
      </w:r>
      <w:r>
        <w:rPr>
          <w:rStyle w:val="DecValTok"/>
        </w:rPr>
        <w:t xml:space="preserve">50000000</w:t>
      </w:r>
      <w:r>
        <w:rPr>
          <w:rStyle w:val="BuiltInTok"/>
        </w:rPr>
        <w:t xml:space="preserve">ULL</w:t>
      </w:r>
      <w:r>
        <w:rPr>
          <w:rStyle w:val="PreprocessorTok"/>
        </w:rPr>
        <w:t xml:space="preserve">   </w:t>
      </w:r>
      <w:r>
        <w:rPr>
          <w:rStyle w:val="CommentTok"/>
        </w:rPr>
        <w:t xml:space="preserve">/* 5 x 10^7 increments per thread */</w:t>
      </w:r>
      <w:r>
        <w:br/>
      </w:r>
      <w:r>
        <w:rPr>
          <w:rStyle w:val="PreprocessorTok"/>
        </w:rPr>
        <w:t xml:space="preserve">#define CACHE_LINE </w:t>
      </w:r>
      <w:r>
        <w:rPr>
          <w:rStyle w:val="DecValTok"/>
        </w:rPr>
        <w:t xml:space="preserve">64</w:t>
      </w:r>
      <w:r>
        <w:rPr>
          <w:rStyle w:val="PreprocessorTok"/>
        </w:rPr>
        <w:t xml:space="preserve">            </w:t>
      </w:r>
      <w:r>
        <w:rPr>
          <w:rStyle w:val="CommentTok"/>
        </w:rPr>
        <w:t xml:space="preserve">/* x86-64 line size; check yours */</w:t>
      </w:r>
      <w:r>
        <w:br/>
      </w:r>
      <w:r>
        <w:br/>
      </w:r>
      <w:r>
        <w:rPr>
          <w:rStyle w:val="CommentTok"/>
        </w:rPr>
        <w:t xml:space="preserve">/* Variant A: two counters 8 bytes apart -&gt; same cache line. */</w:t>
      </w:r>
      <w:r>
        <w:br/>
      </w:r>
      <w:r>
        <w:rPr>
          <w:rStyle w:val="KeywordTok"/>
        </w:rPr>
        <w:t xml:space="preserve">struct</w:t>
      </w:r>
      <w:r>
        <w:rPr>
          <w:rStyle w:val="NormalTok"/>
        </w:rPr>
        <w:t xml:space="preserve"> packed </w:t>
      </w:r>
      <w:r>
        <w:rPr>
          <w:rStyle w:val="OperatorTok"/>
        </w:rPr>
        <w:t xml:space="preserve">{</w:t>
      </w:r>
      <w:r>
        <w:br/>
      </w:r>
      <w:r>
        <w:rPr>
          <w:rStyle w:val="NormalTok"/>
        </w:rPr>
        <w:t xml:space="preserve">    </w:t>
      </w:r>
      <w:r>
        <w:rPr>
          <w:rStyle w:val="KeywordTok"/>
        </w:rPr>
        <w:t xml:space="preserve">_Atomic</w:t>
      </w:r>
      <w:r>
        <w:rPr>
          <w:rStyle w:val="NormalTok"/>
        </w:rPr>
        <w:t xml:space="preserve"> </w:t>
      </w:r>
      <w:r>
        <w:rPr>
          <w:rStyle w:val="DataTypeTok"/>
        </w:rPr>
        <w:t xml:space="preserve">uint64_t</w:t>
      </w:r>
      <w:r>
        <w:rPr>
          <w:rStyle w:val="NormalTok"/>
        </w:rPr>
        <w:t xml:space="preserve"> a</w:t>
      </w:r>
      <w:r>
        <w:rPr>
          <w:rStyle w:val="OperatorTok"/>
        </w:rPr>
        <w:t xml:space="preserve">;</w:t>
      </w:r>
      <w:r>
        <w:br/>
      </w:r>
      <w:r>
        <w:rPr>
          <w:rStyle w:val="NormalTok"/>
        </w:rPr>
        <w:t xml:space="preserve">    </w:t>
      </w:r>
      <w:r>
        <w:rPr>
          <w:rStyle w:val="KeywordTok"/>
        </w:rPr>
        <w:t xml:space="preserve">_Atomic</w:t>
      </w:r>
      <w:r>
        <w:rPr>
          <w:rStyle w:val="NormalTok"/>
        </w:rPr>
        <w:t xml:space="preserve"> </w:t>
      </w:r>
      <w:r>
        <w:rPr>
          <w:rStyle w:val="DataTypeTok"/>
        </w:rPr>
        <w:t xml:space="preserve">uint64_t</w:t>
      </w:r>
      <w:r>
        <w:rPr>
          <w:rStyle w:val="NormalTok"/>
        </w:rPr>
        <w:t xml:space="preserve"> b</w:t>
      </w:r>
      <w:r>
        <w:rPr>
          <w:rStyle w:val="OperatorTok"/>
        </w:rPr>
        <w:t xml:space="preserve">;</w:t>
      </w:r>
      <w:r>
        <w:br/>
      </w:r>
      <w:r>
        <w:rPr>
          <w:rStyle w:val="OperatorTok"/>
        </w:rPr>
        <w:t xml:space="preserve">};</w:t>
      </w:r>
      <w:r>
        <w:br/>
      </w:r>
      <w:r>
        <w:br/>
      </w:r>
      <w:r>
        <w:rPr>
          <w:rStyle w:val="CommentTok"/>
        </w:rPr>
        <w:t xml:space="preserve">/* Variant B: each counter starts its own 64-byte cache line. */</w:t>
      </w:r>
      <w:r>
        <w:br/>
      </w:r>
      <w:r>
        <w:rPr>
          <w:rStyle w:val="KeywordTok"/>
        </w:rPr>
        <w:t xml:space="preserve">struct</w:t>
      </w:r>
      <w:r>
        <w:rPr>
          <w:rStyle w:val="NormalTok"/>
        </w:rPr>
        <w:t xml:space="preserve"> padded </w:t>
      </w:r>
      <w:r>
        <w:rPr>
          <w:rStyle w:val="OperatorTok"/>
        </w:rPr>
        <w:t xml:space="preserve">{</w:t>
      </w:r>
      <w:r>
        <w:br/>
      </w:r>
      <w:r>
        <w:rPr>
          <w:rStyle w:val="NormalTok"/>
        </w:rPr>
        <w:t xml:space="preserve">    </w:t>
      </w:r>
      <w:r>
        <w:rPr>
          <w:rStyle w:val="KeywordTok"/>
        </w:rPr>
        <w:t xml:space="preserve">alignas</w:t>
      </w:r>
      <w:r>
        <w:rPr>
          <w:rStyle w:val="OperatorTok"/>
        </w:rPr>
        <w:t xml:space="preserve">(</w:t>
      </w:r>
      <w:r>
        <w:rPr>
          <w:rStyle w:val="NormalTok"/>
        </w:rPr>
        <w:t xml:space="preserve">CACHE_LINE</w:t>
      </w:r>
      <w:r>
        <w:rPr>
          <w:rStyle w:val="OperatorTok"/>
        </w:rPr>
        <w:t xml:space="preserve">)</w:t>
      </w:r>
      <w:r>
        <w:rPr>
          <w:rStyle w:val="NormalTok"/>
        </w:rPr>
        <w:t xml:space="preserve"> </w:t>
      </w:r>
      <w:r>
        <w:rPr>
          <w:rStyle w:val="KeywordTok"/>
        </w:rPr>
        <w:t xml:space="preserve">_Atomic</w:t>
      </w:r>
      <w:r>
        <w:rPr>
          <w:rStyle w:val="NormalTok"/>
        </w:rPr>
        <w:t xml:space="preserve"> </w:t>
      </w:r>
      <w:r>
        <w:rPr>
          <w:rStyle w:val="DataTypeTok"/>
        </w:rPr>
        <w:t xml:space="preserve">uint64_t</w:t>
      </w:r>
      <w:r>
        <w:rPr>
          <w:rStyle w:val="NormalTok"/>
        </w:rPr>
        <w:t xml:space="preserve"> a</w:t>
      </w:r>
      <w:r>
        <w:rPr>
          <w:rStyle w:val="OperatorTok"/>
        </w:rPr>
        <w:t xml:space="preserve">;</w:t>
      </w:r>
      <w:r>
        <w:br/>
      </w:r>
      <w:r>
        <w:rPr>
          <w:rStyle w:val="NormalTok"/>
        </w:rPr>
        <w:t xml:space="preserve">    </w:t>
      </w:r>
      <w:r>
        <w:rPr>
          <w:rStyle w:val="KeywordTok"/>
        </w:rPr>
        <w:t xml:space="preserve">alignas</w:t>
      </w:r>
      <w:r>
        <w:rPr>
          <w:rStyle w:val="OperatorTok"/>
        </w:rPr>
        <w:t xml:space="preserve">(</w:t>
      </w:r>
      <w:r>
        <w:rPr>
          <w:rStyle w:val="NormalTok"/>
        </w:rPr>
        <w:t xml:space="preserve">CACHE_LINE</w:t>
      </w:r>
      <w:r>
        <w:rPr>
          <w:rStyle w:val="OperatorTok"/>
        </w:rPr>
        <w:t xml:space="preserve">)</w:t>
      </w:r>
      <w:r>
        <w:rPr>
          <w:rStyle w:val="NormalTok"/>
        </w:rPr>
        <w:t xml:space="preserve"> </w:t>
      </w:r>
      <w:r>
        <w:rPr>
          <w:rStyle w:val="KeywordTok"/>
        </w:rPr>
        <w:t xml:space="preserve">_Atomic</w:t>
      </w:r>
      <w:r>
        <w:rPr>
          <w:rStyle w:val="NormalTok"/>
        </w:rPr>
        <w:t xml:space="preserve"> </w:t>
      </w:r>
      <w:r>
        <w:rPr>
          <w:rStyle w:val="DataTypeTok"/>
        </w:rPr>
        <w:t xml:space="preserve">uint64_t</w:t>
      </w:r>
      <w:r>
        <w:rPr>
          <w:rStyle w:val="NormalTok"/>
        </w:rPr>
        <w:t xml:space="preserve"> b</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KeywordTok"/>
        </w:rPr>
        <w:t xml:space="preserve">struct</w:t>
      </w:r>
      <w:r>
        <w:rPr>
          <w:rStyle w:val="NormalTok"/>
        </w:rPr>
        <w:t xml:space="preserve"> packed P</w:t>
      </w:r>
      <w:r>
        <w:rPr>
          <w:rStyle w:val="OperatorTok"/>
        </w:rPr>
        <w:t xml:space="preserve">;</w:t>
      </w:r>
      <w:r>
        <w:br/>
      </w:r>
      <w:r>
        <w:rPr>
          <w:rStyle w:val="DataTypeTok"/>
        </w:rPr>
        <w:t xml:space="preserve">static</w:t>
      </w:r>
      <w:r>
        <w:rPr>
          <w:rStyle w:val="NormalTok"/>
        </w:rPr>
        <w:t xml:space="preserve"> </w:t>
      </w:r>
      <w:r>
        <w:rPr>
          <w:rStyle w:val="KeywordTok"/>
        </w:rPr>
        <w:t xml:space="preserve">struct</w:t>
      </w:r>
      <w:r>
        <w:rPr>
          <w:rStyle w:val="NormalTok"/>
        </w:rPr>
        <w:t xml:space="preserve"> padded Q</w:t>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worker</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arg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_Atomic</w:t>
      </w:r>
      <w:r>
        <w:rPr>
          <w:rStyle w:val="NormalTok"/>
        </w:rPr>
        <w:t xml:space="preserve"> </w:t>
      </w:r>
      <w:r>
        <w:rPr>
          <w:rStyle w:val="DataTypeTok"/>
        </w:rPr>
        <w:t xml:space="preserve">uint64_t</w:t>
      </w:r>
      <w:r>
        <w:rPr>
          <w:rStyle w:val="NormalTok"/>
        </w:rPr>
        <w:t xml:space="preserve"> </w:t>
      </w:r>
      <w:r>
        <w:rPr>
          <w:rStyle w:val="OperatorTok"/>
        </w:rPr>
        <w:t xml:space="preserve">*</w:t>
      </w:r>
      <w:r>
        <w:rPr>
          <w:rStyle w:val="NormalTok"/>
        </w:rPr>
        <w:t xml:space="preserve">counter </w:t>
      </w:r>
      <w:r>
        <w:rPr>
          <w:rStyle w:val="OperatorTok"/>
        </w:rPr>
        <w:t xml:space="preserve">=</w:t>
      </w:r>
      <w:r>
        <w:rPr>
          <w:rStyle w:val="NormalTok"/>
        </w:rPr>
        <w:t xml:space="preserve"> arg</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uint64_t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ITERATIONS</w:t>
      </w:r>
      <w:r>
        <w:rPr>
          <w:rStyle w:val="OperatorTok"/>
        </w:rPr>
        <w:t xml:space="preserve">;</w:t>
      </w:r>
      <w:r>
        <w:rPr>
          <w:rStyle w:val="NormalTok"/>
        </w:rPr>
        <w:t xml:space="preserve"> i</w:t>
      </w:r>
      <w:r>
        <w:rPr>
          <w:rStyle w:val="OperatorTok"/>
        </w:rPr>
        <w:t xml:space="preserve">++)</w:t>
      </w:r>
      <w:r>
        <w:br/>
      </w:r>
      <w:r>
        <w:rPr>
          <w:rStyle w:val="NormalTok"/>
        </w:rPr>
        <w:t xml:space="preserve">        atomic_fetch_add_explicit</w:t>
      </w:r>
      <w:r>
        <w:rPr>
          <w:rStyle w:val="OperatorTok"/>
        </w:rPr>
        <w:t xml:space="preserve">(</w:t>
      </w:r>
      <w:r>
        <w:rPr>
          <w:rStyle w:val="NormalTok"/>
        </w:rPr>
        <w:t xml:space="preserve">counter</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memory_order_relaxed</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double</w:t>
      </w:r>
      <w:r>
        <w:rPr>
          <w:rStyle w:val="NormalTok"/>
        </w:rPr>
        <w:t xml:space="preserve"> run</w:t>
      </w:r>
      <w:r>
        <w:rPr>
          <w:rStyle w:val="OperatorTok"/>
        </w:rPr>
        <w:t xml:space="preserve">(</w:t>
      </w:r>
      <w:r>
        <w:rPr>
          <w:rStyle w:val="KeywordTok"/>
        </w:rPr>
        <w:t xml:space="preserve">_Atomic</w:t>
      </w:r>
      <w:r>
        <w:rPr>
          <w:rStyle w:val="NormalTok"/>
        </w:rPr>
        <w:t xml:space="preserve"> </w:t>
      </w:r>
      <w:r>
        <w:rPr>
          <w:rStyle w:val="DataTypeTok"/>
        </w:rPr>
        <w:t xml:space="preserve">uint64_t</w:t>
      </w:r>
      <w:r>
        <w:rPr>
          <w:rStyle w:val="NormalTok"/>
        </w:rPr>
        <w:t xml:space="preserve"> </w:t>
      </w:r>
      <w:r>
        <w:rPr>
          <w:rStyle w:val="OperatorTok"/>
        </w:rPr>
        <w:t xml:space="preserve">*</w:t>
      </w:r>
      <w:r>
        <w:rPr>
          <w:rStyle w:val="NormalTok"/>
        </w:rPr>
        <w:t xml:space="preserve">x</w:t>
      </w:r>
      <w:r>
        <w:rPr>
          <w:rStyle w:val="OperatorTok"/>
        </w:rPr>
        <w:t xml:space="preserve">,</w:t>
      </w:r>
      <w:r>
        <w:rPr>
          <w:rStyle w:val="NormalTok"/>
        </w:rPr>
        <w:t xml:space="preserve"> </w:t>
      </w:r>
      <w:r>
        <w:rPr>
          <w:rStyle w:val="KeywordTok"/>
        </w:rPr>
        <w:t xml:space="preserve">_Atomic</w:t>
      </w:r>
      <w:r>
        <w:rPr>
          <w:rStyle w:val="NormalTok"/>
        </w:rPr>
        <w:t xml:space="preserve"> </w:t>
      </w:r>
      <w:r>
        <w:rPr>
          <w:rStyle w:val="DataTypeTok"/>
        </w:rPr>
        <w:t xml:space="preserve">uint64_t</w:t>
      </w:r>
      <w:r>
        <w:rPr>
          <w:rStyle w:val="NormalTok"/>
        </w:rPr>
        <w:t xml:space="preserve"> </w:t>
      </w:r>
      <w:r>
        <w:rPr>
          <w:rStyle w:val="OperatorTok"/>
        </w:rPr>
        <w:t xml:space="preserve">*</w:t>
      </w:r>
      <w:r>
        <w:rPr>
          <w:rStyle w:val="NormalTok"/>
        </w:rPr>
        <w:t xml:space="preserve">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timespec t0</w:t>
      </w:r>
      <w:r>
        <w:rPr>
          <w:rStyle w:val="OperatorTok"/>
        </w:rPr>
        <w:t xml:space="preserve">,</w:t>
      </w:r>
      <w:r>
        <w:rPr>
          <w:rStyle w:val="NormalTok"/>
        </w:rPr>
        <w:t xml:space="preserve"> t1</w:t>
      </w:r>
      <w:r>
        <w:rPr>
          <w:rStyle w:val="OperatorTok"/>
        </w:rPr>
        <w:t xml:space="preserve">;</w:t>
      </w:r>
      <w:r>
        <w:br/>
      </w:r>
      <w:r>
        <w:rPr>
          <w:rStyle w:val="NormalTok"/>
        </w:rPr>
        <w:t xml:space="preserve">    pthread_t ta</w:t>
      </w:r>
      <w:r>
        <w:rPr>
          <w:rStyle w:val="OperatorTok"/>
        </w:rPr>
        <w:t xml:space="preserve">,</w:t>
      </w:r>
      <w:r>
        <w:rPr>
          <w:rStyle w:val="NormalTok"/>
        </w:rPr>
        <w:t xml:space="preserve"> tb</w:t>
      </w:r>
      <w:r>
        <w:rPr>
          <w:rStyle w:val="OperatorTok"/>
        </w:rPr>
        <w:t xml:space="preserve">;</w:t>
      </w:r>
      <w:r>
        <w:br/>
      </w:r>
      <w:r>
        <w:rPr>
          <w:rStyle w:val="NormalTok"/>
        </w:rPr>
        <w:t xml:space="preserve">    clock_gettime</w:t>
      </w:r>
      <w:r>
        <w:rPr>
          <w:rStyle w:val="OperatorTok"/>
        </w:rPr>
        <w:t xml:space="preserve">(</w:t>
      </w:r>
      <w:r>
        <w:rPr>
          <w:rStyle w:val="NormalTok"/>
        </w:rPr>
        <w:t xml:space="preserve">CLOCK_MONOTONIC</w:t>
      </w:r>
      <w:r>
        <w:rPr>
          <w:rStyle w:val="OperatorTok"/>
        </w:rPr>
        <w:t xml:space="preserve">,</w:t>
      </w:r>
      <w:r>
        <w:rPr>
          <w:rStyle w:val="NormalTok"/>
        </w:rPr>
        <w:t xml:space="preserve"> </w:t>
      </w:r>
      <w:r>
        <w:rPr>
          <w:rStyle w:val="OperatorTok"/>
        </w:rPr>
        <w:t xml:space="preserve">&amp;</w:t>
      </w:r>
      <w:r>
        <w:rPr>
          <w:rStyle w:val="NormalTok"/>
        </w:rPr>
        <w:t xml:space="preserve">t0</w:t>
      </w:r>
      <w:r>
        <w:rPr>
          <w:rStyle w:val="OperatorTok"/>
        </w:rPr>
        <w:t xml:space="preserve">);</w:t>
      </w:r>
      <w:r>
        <w:br/>
      </w:r>
      <w:r>
        <w:rPr>
          <w:rStyle w:val="NormalTok"/>
        </w:rPr>
        <w:t xml:space="preserve">    pthread_create</w:t>
      </w:r>
      <w:r>
        <w:rPr>
          <w:rStyle w:val="OperatorTok"/>
        </w:rPr>
        <w:t xml:space="preserve">(&amp;</w:t>
      </w:r>
      <w:r>
        <w:rPr>
          <w:rStyle w:val="NormalTok"/>
        </w:rPr>
        <w:t xml:space="preserve">ta</w:t>
      </w:r>
      <w:r>
        <w:rPr>
          <w:rStyle w:val="OperatorTok"/>
        </w:rPr>
        <w:t xml:space="preserve">,</w:t>
      </w:r>
      <w:r>
        <w:rPr>
          <w:rStyle w:val="NormalTok"/>
        </w:rPr>
        <w:t xml:space="preserve"> NULL</w:t>
      </w:r>
      <w:r>
        <w:rPr>
          <w:rStyle w:val="OperatorTok"/>
        </w:rPr>
        <w:t xml:space="preserve">,</w:t>
      </w:r>
      <w:r>
        <w:rPr>
          <w:rStyle w:val="NormalTok"/>
        </w:rPr>
        <w:t xml:space="preserve"> worker</w:t>
      </w:r>
      <w:r>
        <w:rPr>
          <w:rStyle w:val="OperatorTok"/>
        </w:rPr>
        <w:t xml:space="preserve">,</w:t>
      </w:r>
      <w:r>
        <w:rPr>
          <w:rStyle w:val="NormalTok"/>
        </w:rPr>
        <w:t xml:space="preserve"> </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x</w:t>
      </w:r>
      <w:r>
        <w:rPr>
          <w:rStyle w:val="OperatorTok"/>
        </w:rPr>
        <w:t xml:space="preserve">);</w:t>
      </w:r>
      <w:r>
        <w:br/>
      </w:r>
      <w:r>
        <w:rPr>
          <w:rStyle w:val="NormalTok"/>
        </w:rPr>
        <w:t xml:space="preserve">    pthread_create</w:t>
      </w:r>
      <w:r>
        <w:rPr>
          <w:rStyle w:val="OperatorTok"/>
        </w:rPr>
        <w:t xml:space="preserve">(&amp;</w:t>
      </w:r>
      <w:r>
        <w:rPr>
          <w:rStyle w:val="NormalTok"/>
        </w:rPr>
        <w:t xml:space="preserve">tb</w:t>
      </w:r>
      <w:r>
        <w:rPr>
          <w:rStyle w:val="OperatorTok"/>
        </w:rPr>
        <w:t xml:space="preserve">,</w:t>
      </w:r>
      <w:r>
        <w:rPr>
          <w:rStyle w:val="NormalTok"/>
        </w:rPr>
        <w:t xml:space="preserve"> NULL</w:t>
      </w:r>
      <w:r>
        <w:rPr>
          <w:rStyle w:val="OperatorTok"/>
        </w:rPr>
        <w:t xml:space="preserve">,</w:t>
      </w:r>
      <w:r>
        <w:rPr>
          <w:rStyle w:val="NormalTok"/>
        </w:rPr>
        <w:t xml:space="preserve"> worker</w:t>
      </w:r>
      <w:r>
        <w:rPr>
          <w:rStyle w:val="OperatorTok"/>
        </w:rPr>
        <w:t xml:space="preserve">,</w:t>
      </w:r>
      <w:r>
        <w:rPr>
          <w:rStyle w:val="NormalTok"/>
        </w:rPr>
        <w:t xml:space="preserve"> </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y</w:t>
      </w:r>
      <w:r>
        <w:rPr>
          <w:rStyle w:val="OperatorTok"/>
        </w:rPr>
        <w:t xml:space="preserve">);</w:t>
      </w:r>
      <w:r>
        <w:br/>
      </w:r>
      <w:r>
        <w:rPr>
          <w:rStyle w:val="NormalTok"/>
        </w:rPr>
        <w:t xml:space="preserve">    pthread_join</w:t>
      </w:r>
      <w:r>
        <w:rPr>
          <w:rStyle w:val="OperatorTok"/>
        </w:rPr>
        <w:t xml:space="preserve">(</w:t>
      </w:r>
      <w:r>
        <w:rPr>
          <w:rStyle w:val="NormalTok"/>
        </w:rPr>
        <w:t xml:space="preserve">ta</w:t>
      </w:r>
      <w:r>
        <w:rPr>
          <w:rStyle w:val="OperatorTok"/>
        </w:rPr>
        <w:t xml:space="preserve">,</w:t>
      </w:r>
      <w:r>
        <w:rPr>
          <w:rStyle w:val="NormalTok"/>
        </w:rPr>
        <w:t xml:space="preserve"> NULL</w:t>
      </w:r>
      <w:r>
        <w:rPr>
          <w:rStyle w:val="OperatorTok"/>
        </w:rPr>
        <w:t xml:space="preserve">);</w:t>
      </w:r>
      <w:r>
        <w:br/>
      </w:r>
      <w:r>
        <w:rPr>
          <w:rStyle w:val="NormalTok"/>
        </w:rPr>
        <w:t xml:space="preserve">    pthread_join</w:t>
      </w:r>
      <w:r>
        <w:rPr>
          <w:rStyle w:val="OperatorTok"/>
        </w:rPr>
        <w:t xml:space="preserve">(</w:t>
      </w:r>
      <w:r>
        <w:rPr>
          <w:rStyle w:val="NormalTok"/>
        </w:rPr>
        <w:t xml:space="preserve">tb</w:t>
      </w:r>
      <w:r>
        <w:rPr>
          <w:rStyle w:val="OperatorTok"/>
        </w:rPr>
        <w:t xml:space="preserve">,</w:t>
      </w:r>
      <w:r>
        <w:rPr>
          <w:rStyle w:val="NormalTok"/>
        </w:rPr>
        <w:t xml:space="preserve"> NULL</w:t>
      </w:r>
      <w:r>
        <w:rPr>
          <w:rStyle w:val="OperatorTok"/>
        </w:rPr>
        <w:t xml:space="preserve">);</w:t>
      </w:r>
      <w:r>
        <w:br/>
      </w:r>
      <w:r>
        <w:rPr>
          <w:rStyle w:val="NormalTok"/>
        </w:rPr>
        <w:t xml:space="preserve">    clock_gettime</w:t>
      </w:r>
      <w:r>
        <w:rPr>
          <w:rStyle w:val="OperatorTok"/>
        </w:rPr>
        <w:t xml:space="preserve">(</w:t>
      </w:r>
      <w:r>
        <w:rPr>
          <w:rStyle w:val="NormalTok"/>
        </w:rPr>
        <w:t xml:space="preserve">CLOCK_MONOTONIC</w:t>
      </w:r>
      <w:r>
        <w:rPr>
          <w:rStyle w:val="OperatorTok"/>
        </w:rPr>
        <w:t xml:space="preserve">,</w:t>
      </w:r>
      <w:r>
        <w:rPr>
          <w:rStyle w:val="NormalTok"/>
        </w:rPr>
        <w:t xml:space="preserve"> </w:t>
      </w:r>
      <w:r>
        <w:rPr>
          <w:rStyle w:val="OperatorTok"/>
        </w:rPr>
        <w:t xml:space="preserve">&amp;</w:t>
      </w:r>
      <w:r>
        <w:rPr>
          <w:rStyle w:val="NormalTok"/>
        </w:rPr>
        <w:t xml:space="preserve">t1</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double</w:t>
      </w:r>
      <w:r>
        <w:rPr>
          <w:rStyle w:val="OperatorTok"/>
        </w:rPr>
        <w:t xml:space="preserve">)(</w:t>
      </w:r>
      <w:r>
        <w:rPr>
          <w:rStyle w:val="NormalTok"/>
        </w:rPr>
        <w:t xml:space="preserve">t1</w:t>
      </w:r>
      <w:r>
        <w:rPr>
          <w:rStyle w:val="OperatorTok"/>
        </w:rPr>
        <w:t xml:space="preserve">.</w:t>
      </w:r>
      <w:r>
        <w:rPr>
          <w:rStyle w:val="NormalTok"/>
        </w:rPr>
        <w:t xml:space="preserve">tv_sec </w:t>
      </w:r>
      <w:r>
        <w:rPr>
          <w:rStyle w:val="OperatorTok"/>
        </w:rPr>
        <w:t xml:space="preserve">-</w:t>
      </w:r>
      <w:r>
        <w:rPr>
          <w:rStyle w:val="NormalTok"/>
        </w:rPr>
        <w:t xml:space="preserve"> t0</w:t>
      </w:r>
      <w:r>
        <w:rPr>
          <w:rStyle w:val="OperatorTok"/>
        </w:rPr>
        <w:t xml:space="preserve">.</w:t>
      </w:r>
      <w:r>
        <w:rPr>
          <w:rStyle w:val="NormalTok"/>
        </w:rPr>
        <w:t xml:space="preserve">tv_sec</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t1</w:t>
      </w:r>
      <w:r>
        <w:rPr>
          <w:rStyle w:val="OperatorTok"/>
        </w:rPr>
        <w:t xml:space="preserve">.</w:t>
      </w:r>
      <w:r>
        <w:rPr>
          <w:rStyle w:val="NormalTok"/>
        </w:rPr>
        <w:t xml:space="preserve">tv_nsec </w:t>
      </w:r>
      <w:r>
        <w:rPr>
          <w:rStyle w:val="OperatorTok"/>
        </w:rPr>
        <w:t xml:space="preserve">-</w:t>
      </w:r>
      <w:r>
        <w:rPr>
          <w:rStyle w:val="NormalTok"/>
        </w:rPr>
        <w:t xml:space="preserve"> t0</w:t>
      </w:r>
      <w:r>
        <w:rPr>
          <w:rStyle w:val="OperatorTok"/>
        </w:rPr>
        <w:t xml:space="preserve">.</w:t>
      </w:r>
      <w:r>
        <w:rPr>
          <w:rStyle w:val="NormalTok"/>
        </w:rPr>
        <w:t xml:space="preserve">tv_nsec</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1e9</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"gap between counters: packed=</w:t>
      </w:r>
      <w:r>
        <w:rPr>
          <w:rStyle w:val="SpecialCharTok"/>
        </w:rPr>
        <w:t xml:space="preserve">%td</w:t>
      </w:r>
      <w:r>
        <w:rPr>
          <w:rStyle w:val="StringTok"/>
        </w:rPr>
        <w:t xml:space="preserve"> B, padded=</w:t>
      </w:r>
      <w:r>
        <w:rPr>
          <w:rStyle w:val="SpecialCharTok"/>
        </w:rPr>
        <w:t xml:space="preserve">%td</w:t>
      </w:r>
      <w:r>
        <w:rPr>
          <w:rStyle w:val="StringTok"/>
        </w:rPr>
        <w:t xml:space="preserve"> B</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DataTypeTok"/>
        </w:rPr>
        <w:t xml:space="preserve">char</w:t>
      </w:r>
      <w:r>
        <w:rPr>
          <w:rStyle w:val="NormalTok"/>
        </w:rPr>
        <w:t xml:space="preserve"> </w:t>
      </w:r>
      <w:r>
        <w:rPr>
          <w:rStyle w:val="OperatorTok"/>
        </w:rPr>
        <w:t xml:space="preserve">*)&amp;</w:t>
      </w:r>
      <w:r>
        <w:rPr>
          <w:rStyle w:val="NormalTok"/>
        </w:rPr>
        <w:t xml:space="preserve">P</w:t>
      </w:r>
      <w:r>
        <w:rPr>
          <w:rStyle w:val="OperatorTok"/>
        </w:rPr>
        <w:t xml:space="preserve">.</w:t>
      </w:r>
      <w:r>
        <w:rPr>
          <w:rStyle w:val="NormalTok"/>
        </w:rPr>
        <w:t xml:space="preserve">b </w:t>
      </w:r>
      <w:r>
        <w:rPr>
          <w:rStyle w:val="OperatorTok"/>
        </w:rPr>
        <w:t xml:space="preserve">-</w:t>
      </w:r>
      <w:r>
        <w:rPr>
          <w:rStyle w:val="NormalTok"/>
        </w:rPr>
        <w:t xml:space="preserve"> </w:t>
      </w:r>
      <w:r>
        <w:rPr>
          <w:rStyle w:val="OperatorTok"/>
        </w:rPr>
        <w:t xml:space="preserve">(</w:t>
      </w:r>
      <w:r>
        <w:rPr>
          <w:rStyle w:val="DataTypeTok"/>
        </w:rPr>
        <w:t xml:space="preserve">char</w:t>
      </w:r>
      <w:r>
        <w:rPr>
          <w:rStyle w:val="NormalTok"/>
        </w:rPr>
        <w:t xml:space="preserve"> </w:t>
      </w:r>
      <w:r>
        <w:rPr>
          <w:rStyle w:val="OperatorTok"/>
        </w:rPr>
        <w:t xml:space="preserve">*)&amp;</w:t>
      </w:r>
      <w:r>
        <w:rPr>
          <w:rStyle w:val="NormalTok"/>
        </w:rPr>
        <w:t xml:space="preserve">P</w:t>
      </w:r>
      <w:r>
        <w:rPr>
          <w:rStyle w:val="OperatorTok"/>
        </w:rPr>
        <w:t xml:space="preserve">.</w:t>
      </w:r>
      <w:r>
        <w:rPr>
          <w:rStyle w:val="NormalTok"/>
        </w:rPr>
        <w:t xml:space="preserve">a</w:t>
      </w:r>
      <w:r>
        <w:rPr>
          <w:rStyle w:val="OperatorTok"/>
        </w:rPr>
        <w:t xml:space="preserve">,</w:t>
      </w:r>
      <w:r>
        <w:rPr>
          <w:rStyle w:val="NormalTok"/>
        </w:rPr>
        <w:t xml:space="preserve"> </w:t>
      </w:r>
      <w:r>
        <w:rPr>
          <w:rStyle w:val="OperatorTok"/>
        </w:rPr>
        <w:t xml:space="preserve">(</w:t>
      </w:r>
      <w:r>
        <w:rPr>
          <w:rStyle w:val="DataTypeTok"/>
        </w:rPr>
        <w:t xml:space="preserve">char</w:t>
      </w:r>
      <w:r>
        <w:rPr>
          <w:rStyle w:val="NormalTok"/>
        </w:rPr>
        <w:t xml:space="preserve"> </w:t>
      </w:r>
      <w:r>
        <w:rPr>
          <w:rStyle w:val="OperatorTok"/>
        </w:rPr>
        <w:t xml:space="preserve">*)&amp;</w:t>
      </w:r>
      <w:r>
        <w:rPr>
          <w:rStyle w:val="NormalTok"/>
        </w:rPr>
        <w:t xml:space="preserve">Q</w:t>
      </w:r>
      <w:r>
        <w:rPr>
          <w:rStyle w:val="OperatorTok"/>
        </w:rPr>
        <w:t xml:space="preserve">.</w:t>
      </w:r>
      <w:r>
        <w:rPr>
          <w:rStyle w:val="NormalTok"/>
        </w:rPr>
        <w:t xml:space="preserve">b </w:t>
      </w:r>
      <w:r>
        <w:rPr>
          <w:rStyle w:val="OperatorTok"/>
        </w:rPr>
        <w:t xml:space="preserve">-</w:t>
      </w:r>
      <w:r>
        <w:rPr>
          <w:rStyle w:val="NormalTok"/>
        </w:rPr>
        <w:t xml:space="preserve"> </w:t>
      </w:r>
      <w:r>
        <w:rPr>
          <w:rStyle w:val="OperatorTok"/>
        </w:rPr>
        <w:t xml:space="preserve">(</w:t>
      </w:r>
      <w:r>
        <w:rPr>
          <w:rStyle w:val="DataTypeTok"/>
        </w:rPr>
        <w:t xml:space="preserve">char</w:t>
      </w:r>
      <w:r>
        <w:rPr>
          <w:rStyle w:val="NormalTok"/>
        </w:rPr>
        <w:t xml:space="preserve"> </w:t>
      </w:r>
      <w:r>
        <w:rPr>
          <w:rStyle w:val="OperatorTok"/>
        </w:rPr>
        <w:t xml:space="preserve">*)&amp;</w:t>
      </w:r>
      <w:r>
        <w:rPr>
          <w:rStyle w:val="NormalTok"/>
        </w:rPr>
        <w:t xml:space="preserve">Q</w:t>
      </w:r>
      <w:r>
        <w:rPr>
          <w:rStyle w:val="OperatorTok"/>
        </w:rPr>
        <w:t xml:space="preserve">.</w:t>
      </w:r>
      <w:r>
        <w:rPr>
          <w:rStyle w:val="NormalTok"/>
        </w:rPr>
        <w:t xml:space="preserve">a</w:t>
      </w:r>
      <w:r>
        <w:rPr>
          <w:rStyle w:val="OperatorTok"/>
        </w:rPr>
        <w:t xml:space="preserve">);</w:t>
      </w:r>
      <w:r>
        <w:br/>
      </w:r>
      <w:r>
        <w:rPr>
          <w:rStyle w:val="NormalTok"/>
        </w:rPr>
        <w:t xml:space="preserve">    printf</w:t>
      </w:r>
      <w:r>
        <w:rPr>
          <w:rStyle w:val="OperatorTok"/>
        </w:rPr>
        <w:t xml:space="preserve">(</w:t>
      </w:r>
      <w:r>
        <w:rPr>
          <w:rStyle w:val="StringTok"/>
        </w:rPr>
        <w:t xml:space="preserve">"packed (false sharing): </w:t>
      </w:r>
      <w:r>
        <w:rPr>
          <w:rStyle w:val="SpecialCharTok"/>
        </w:rPr>
        <w:t xml:space="preserve">%.2f</w:t>
      </w:r>
      <w:r>
        <w:rPr>
          <w:rStyle w:val="StringTok"/>
        </w:rPr>
        <w:t xml:space="preserve"> s</w:t>
      </w:r>
      <w:r>
        <w:rPr>
          <w:rStyle w:val="SpecialCharTok"/>
        </w:rPr>
        <w:t xml:space="preserve">\n</w:t>
      </w:r>
      <w:r>
        <w:rPr>
          <w:rStyle w:val="StringTok"/>
        </w:rPr>
        <w:t xml:space="preserve">"</w:t>
      </w:r>
      <w:r>
        <w:rPr>
          <w:rStyle w:val="OperatorTok"/>
        </w:rPr>
        <w:t xml:space="preserve">,</w:t>
      </w:r>
      <w:r>
        <w:rPr>
          <w:rStyle w:val="NormalTok"/>
        </w:rPr>
        <w:t xml:space="preserve"> run</w:t>
      </w:r>
      <w:r>
        <w:rPr>
          <w:rStyle w:val="OperatorTok"/>
        </w:rPr>
        <w:t xml:space="preserve">(&amp;</w:t>
      </w:r>
      <w:r>
        <w:rPr>
          <w:rStyle w:val="NormalTok"/>
        </w:rPr>
        <w:t xml:space="preserve">P</w:t>
      </w:r>
      <w:r>
        <w:rPr>
          <w:rStyle w:val="OperatorTok"/>
        </w:rPr>
        <w:t xml:space="preserve">.</w:t>
      </w:r>
      <w:r>
        <w:rPr>
          <w:rStyle w:val="NormalTok"/>
        </w:rPr>
        <w:t xml:space="preserve">a</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rPr>
          <w:rStyle w:val="NormalTok"/>
        </w:rPr>
        <w:t xml:space="preserve">b</w:t>
      </w:r>
      <w:r>
        <w:rPr>
          <w:rStyle w:val="OperatorTok"/>
        </w:rPr>
        <w:t xml:space="preserve">));</w:t>
      </w:r>
      <w:r>
        <w:br/>
      </w:r>
      <w:r>
        <w:rPr>
          <w:rStyle w:val="NormalTok"/>
        </w:rPr>
        <w:t xml:space="preserve">    printf</w:t>
      </w:r>
      <w:r>
        <w:rPr>
          <w:rStyle w:val="OperatorTok"/>
        </w:rPr>
        <w:t xml:space="preserve">(</w:t>
      </w:r>
      <w:r>
        <w:rPr>
          <w:rStyle w:val="StringTok"/>
        </w:rPr>
        <w:t xml:space="preserve">"padded (separate lines): </w:t>
      </w:r>
      <w:r>
        <w:rPr>
          <w:rStyle w:val="SpecialCharTok"/>
        </w:rPr>
        <w:t xml:space="preserve">%.2f</w:t>
      </w:r>
      <w:r>
        <w:rPr>
          <w:rStyle w:val="StringTok"/>
        </w:rPr>
        <w:t xml:space="preserve"> s</w:t>
      </w:r>
      <w:r>
        <w:rPr>
          <w:rStyle w:val="SpecialCharTok"/>
        </w:rPr>
        <w:t xml:space="preserve">\n</w:t>
      </w:r>
      <w:r>
        <w:rPr>
          <w:rStyle w:val="StringTok"/>
        </w:rPr>
        <w:t xml:space="preserve">"</w:t>
      </w:r>
      <w:r>
        <w:rPr>
          <w:rStyle w:val="OperatorTok"/>
        </w:rPr>
        <w:t xml:space="preserve">,</w:t>
      </w:r>
      <w:r>
        <w:rPr>
          <w:rStyle w:val="NormalTok"/>
        </w:rPr>
        <w:t xml:space="preserve"> run</w:t>
      </w:r>
      <w:r>
        <w:rPr>
          <w:rStyle w:val="OperatorTok"/>
        </w:rPr>
        <w:t xml:space="preserve">(&amp;</w:t>
      </w:r>
      <w:r>
        <w:rPr>
          <w:rStyle w:val="NormalTok"/>
        </w:rPr>
        <w:t xml:space="preserve">Q</w:t>
      </w:r>
      <w:r>
        <w:rPr>
          <w:rStyle w:val="OperatorTok"/>
        </w:rPr>
        <w:t xml:space="preserve">.</w:t>
      </w:r>
      <w:r>
        <w:rPr>
          <w:rStyle w:val="NormalTok"/>
        </w:rPr>
        <w:t xml:space="preserve">a</w:t>
      </w:r>
      <w:r>
        <w:rPr>
          <w:rStyle w:val="OperatorTok"/>
        </w:rPr>
        <w:t xml:space="preserve">,</w:t>
      </w:r>
      <w:r>
        <w:rPr>
          <w:rStyle w:val="NormalTok"/>
        </w:rPr>
        <w:t xml:space="preserve"> </w:t>
      </w:r>
      <w:r>
        <w:rPr>
          <w:rStyle w:val="OperatorTok"/>
        </w:rPr>
        <w:t xml:space="preserve">&amp;</w:t>
      </w:r>
      <w:r>
        <w:rPr>
          <w:rStyle w:val="NormalTok"/>
        </w:rPr>
        <w:t xml:space="preserve">Q</w:t>
      </w:r>
      <w:r>
        <w:rPr>
          <w:rStyle w:val="OperatorTok"/>
        </w:rPr>
        <w:t xml:space="preserve">.</w:t>
      </w:r>
      <w:r>
        <w:rPr>
          <w:rStyle w:val="NormalTok"/>
        </w:rPr>
        <w:t xml:space="preserve">b</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t xml:space="preserve">What to notice:</w:t>
      </w:r>
    </w:p>
    <w:p>
      <w:pPr>
        <w:numPr>
          <w:ilvl w:val="0"/>
          <w:numId w:val="1149"/>
        </w:numPr>
        <w:pStyle w:val="Compact"/>
      </w:pPr>
      <w:r>
        <w:t xml:space="preserve">Each thread touches</w:t>
      </w:r>
      <w:r>
        <w:t xml:space="preserve"> </w:t>
      </w:r>
      <w:r>
        <w:rPr>
          <w:bCs/>
          <w:b/>
        </w:rPr>
        <w:t xml:space="preserve">only its own counter</w:t>
      </w:r>
      <w:r>
        <w:t xml:space="preserve">; there is no logical sharing and no lock.</w:t>
      </w:r>
    </w:p>
    <w:p>
      <w:pPr>
        <w:numPr>
          <w:ilvl w:val="0"/>
          <w:numId w:val="1149"/>
        </w:numPr>
        <w:pStyle w:val="Compact"/>
      </w:pPr>
      <w:r>
        <w:t xml:space="preserve">In</w:t>
      </w:r>
      <w:r>
        <w:t xml:space="preserve"> </w:t>
      </w:r>
      <w:r>
        <w:rPr>
          <w:rStyle w:val="VerbatimChar"/>
        </w:rPr>
        <w:t xml:space="preserve">struct packed</w:t>
      </w:r>
      <w:r>
        <w:t xml:space="preserve"> </w:t>
      </w:r>
      <w:r>
        <w:t xml:space="preserve">the counters are 8 bytes apart, so they share a 64-byte line. In</w:t>
      </w:r>
      <w:r>
        <w:t xml:space="preserve"> </w:t>
      </w:r>
      <w:r>
        <w:rPr>
          <w:rStyle w:val="VerbatimChar"/>
        </w:rPr>
        <w:t xml:space="preserve">struct padded</w:t>
      </w:r>
      <w:r>
        <w:t xml:space="preserve">,</w:t>
      </w:r>
      <w:r>
        <w:t xml:space="preserve"> </w:t>
      </w:r>
      <w:r>
        <w:rPr>
          <w:rStyle w:val="VerbatimChar"/>
        </w:rPr>
        <w:t xml:space="preserve">alignas(64)</w:t>
      </w:r>
      <w:r>
        <w:t xml:space="preserve"> </w:t>
      </w:r>
      <w:r>
        <w:t xml:space="preserve">forces each counter onto its own line (the struct grows from 16 to 128 bytes).</w:t>
      </w:r>
    </w:p>
    <w:p>
      <w:pPr>
        <w:numPr>
          <w:ilvl w:val="0"/>
          <w:numId w:val="1149"/>
        </w:numPr>
        <w:pStyle w:val="Compact"/>
      </w:pPr>
      <w:r>
        <w:rPr>
          <w:rStyle w:val="VerbatimChar"/>
        </w:rPr>
        <w:t xml:space="preserve">atomic_fetch_add_explicit</w:t>
      </w:r>
      <w:r>
        <w:t xml:space="preserve"> </w:t>
      </w:r>
      <w:r>
        <w:t xml:space="preserve">compiles to a locked read-modify-write instruction, which requires the core to hold the line in the Modified state — every increment by one thread therefore steals the line from the other.</w:t>
      </w:r>
    </w:p>
    <w:p>
      <w:pPr>
        <w:numPr>
          <w:ilvl w:val="0"/>
          <w:numId w:val="1149"/>
        </w:numPr>
        <w:pStyle w:val="Compact"/>
      </w:pPr>
      <w:r>
        <w:t xml:space="preserve">On the 4-vCPU test VM (2026), three runs gave 1.57–1.69 s for the packed layout versus 0.31–0.34 s for the padded layout: about</w:t>
      </w:r>
      <w:r>
        <w:t xml:space="preserve"> </w:t>
      </w:r>
      <w:r>
        <w:rPr>
          <w:bCs/>
          <w:b/>
        </w:rPr>
        <w:t xml:space="preserve">5× slower purely because of memory layout</w:t>
      </w:r>
      <w:r>
        <w:t xml:space="preserve">. With plain (non-atomic) increments, the effect is smaller and noisier because store buffers and compiler optimizations hide part of it — another reason to measure rather than assume.</w:t>
      </w:r>
    </w:p>
    <w:p>
      <w:pPr>
        <w:numPr>
          <w:ilvl w:val="0"/>
          <w:numId w:val="1149"/>
        </w:numPr>
        <w:pStyle w:val="Compact"/>
      </w:pPr>
      <w:r>
        <w:t xml:space="preserve">The fix costs memory (112 wasted bytes here). Pad only data that is genuinely written by different threads at high frequency: per-thread counters, queue head and tail indices, per-core statistics.</w:t>
      </w:r>
    </w:p>
    <w:bookmarkEnd w:id="492"/>
    <w:bookmarkStart w:id="493" w:name="real-world-industry-applications-11"/>
    <w:p>
      <w:pPr>
        <w:pStyle w:val="Heading4"/>
      </w:pPr>
      <w:r>
        <w:t xml:space="preserve">Real-world industry applications</w:t>
      </w:r>
    </w:p>
    <w:p>
      <w:pPr>
        <w:pStyle w:val="CalloutIndustry"/>
      </w:pPr>
      <w:r>
        <w:rPr>
          <w:bCs/>
          <w:b/>
        </w:rPr>
        <w:t xml:space="preserve">INDUSTRY EXAMPLE</w:t>
      </w:r>
    </w:p>
    <w:p>
      <w:pPr>
        <w:pStyle w:val="CalloutIndustry"/>
      </w:pPr>
      <w:r>
        <w:rPr>
          <w:bCs/>
          <w:b/>
        </w:rPr>
        <w:t xml:space="preserve">LMAX Disruptor (low-latency financial exchange).</w:t>
      </w:r>
      <w:r>
        <w:t xml:space="preserve"> </w:t>
      </w:r>
      <w:r>
        <w:t xml:space="preserve">LMAX built an inter-thread messaging library for its trading platform and found that the head and tail sequence counters of a queue, written by different threads, suffered false sharing. The Disruptor pads its sequence counters to occupy their own cache lines and avoids locks on the hot path; the authors attribute a large part of its throughput advantage over conventional bounded queues to this</w:t>
      </w:r>
      <w:r>
        <w:t xml:space="preserve"> </w:t>
      </w:r>
      <w:r>
        <w:t xml:space="preserve">“</w:t>
      </w:r>
      <w:r>
        <w:t xml:space="preserve">mechanical sympathy</w:t>
      </w:r>
      <w:r>
        <w:t xml:space="preserve">”</w:t>
      </w:r>
      <w:r>
        <w:t xml:space="preserve"> </w:t>
      </w:r>
      <w:r>
        <w:t xml:space="preserve">with the cache hierarchy. Trade-off: padded structures waste memory and the design assumes a known line size.</w:t>
      </w:r>
      <w:r>
        <w:t xml:space="preserve"> </w:t>
      </w:r>
      <w:r>
        <w:rPr>
          <w:iCs/>
          <w:i/>
        </w:rPr>
        <w:t xml:space="preserve">Evidence: Primary</w:t>
      </w:r>
      <w:r>
        <w:t xml:space="preserve"> </w:t>
      </w:r>
      <w:r>
        <w:t xml:space="preserve">— [Thompson et al. 2011]</w:t>
      </w:r>
    </w:p>
    <w:p>
      <w:pPr>
        <w:pStyle w:val="CalloutIndustry"/>
      </w:pPr>
      <w:r>
        <w:rPr>
          <w:bCs/>
          <w:b/>
        </w:rPr>
        <w:t xml:space="preserve">INDUSTRY EXAMPLE</w:t>
      </w:r>
    </w:p>
    <w:p>
      <w:pPr>
        <w:pStyle w:val="CalloutIndustry"/>
      </w:pPr>
      <w:r>
        <w:rPr>
          <w:bCs/>
          <w:b/>
        </w:rPr>
        <w:t xml:space="preserve">Netflix (JVM service on larger cloud instances).</w:t>
      </w:r>
      <w:r>
        <w:t xml:space="preserve"> </w:t>
      </w:r>
      <w:r>
        <w:t xml:space="preserve">When Netflix moved a stateless Java service to an instance type with three times the vCPUs, throughput rose only about 25% instead of the expected ~3×. Using hardware performance counters, engineers traced the problem to cache-line contention inside the JVM’s type-checking code — first false sharing, then, after a workaround, true sharing of a frequently written cache field. Fixing it brought throughput close to the expected scaling. Trade-off: diagnosing it required low-level counters that are not exposed on every cloud instance type.</w:t>
      </w:r>
      <w:r>
        <w:t xml:space="preserve"> </w:t>
      </w:r>
      <w:r>
        <w:rPr>
          <w:iCs/>
          <w:i/>
        </w:rPr>
        <w:t xml:space="preserve">Evidence: Primary</w:t>
      </w:r>
      <w:r>
        <w:t xml:space="preserve"> </w:t>
      </w:r>
      <w:r>
        <w:t xml:space="preserve">— [Filanovsky &amp; Sane 2022]</w:t>
      </w:r>
    </w:p>
    <w:p>
      <w:pPr>
        <w:pStyle w:val="BodyText"/>
      </w:pPr>
      <w:r>
        <w:t xml:space="preserve">Runtimes offer help: Java’s internal</w:t>
      </w:r>
      <w:r>
        <w:t xml:space="preserve"> </w:t>
      </w:r>
      <w:r>
        <w:rPr>
          <w:rStyle w:val="VerbatimChar"/>
        </w:rPr>
        <w:t xml:space="preserve">@Contended</w:t>
      </w:r>
      <w:r>
        <w:t xml:space="preserve"> </w:t>
      </w:r>
      <w:r>
        <w:t xml:space="preserve">annotation, C++17’s</w:t>
      </w:r>
      <w:r>
        <w:t xml:space="preserve"> </w:t>
      </w:r>
      <w:r>
        <w:rPr>
          <w:rStyle w:val="VerbatimChar"/>
        </w:rPr>
        <w:t xml:space="preserve">std::hardware_destructive_interference_size</w:t>
      </w:r>
      <w:r>
        <w:t xml:space="preserve">, and explicit padding fields in Go and Rust.</w:t>
      </w:r>
    </w:p>
    <w:bookmarkEnd w:id="493"/>
    <w:bookmarkStart w:id="494" w:name="advantages-and-disadvantages-of-caches"/>
    <w:p>
      <w:pPr>
        <w:pStyle w:val="Heading4"/>
      </w:pPr>
      <w:r>
        <w:t xml:space="preserve">Advantages and disadvantages of caches</w:t>
      </w:r>
    </w:p>
    <w:p>
      <w:pPr>
        <w:pStyle w:val="FirstParagraph"/>
      </w:pPr>
      <w:r>
        <w:t xml:space="preserve">Caches make the common case (good locality) almost as fast as registers, with no effort from the programmer. Their disadvantages are that performance becomes</w:t>
      </w:r>
      <w:r>
        <w:t xml:space="preserve"> </w:t>
      </w:r>
      <w:r>
        <w:rPr>
          <w:bCs/>
          <w:b/>
        </w:rPr>
        <w:t xml:space="preserve">data-dependent and hard to predict</w:t>
      </w:r>
      <w:r>
        <w:t xml:space="preserve">, that coherence traffic limits how well shared, written data scales across cores, and that shared caches create interference between unrelated workloads — one tenant’s large scan can evict another tenant’s hot data (the</w:t>
      </w:r>
      <w:r>
        <w:t xml:space="preserve"> </w:t>
      </w:r>
      <w:r>
        <w:rPr>
          <w:bCs/>
          <w:b/>
        </w:rPr>
        <w:t xml:space="preserve">noisy neighbor</w:t>
      </w:r>
      <w:r>
        <w:t xml:space="preserve"> </w:t>
      </w:r>
      <w:r>
        <w:t xml:space="preserve">problem, Ch 47).</w:t>
      </w:r>
    </w:p>
    <w:bookmarkEnd w:id="494"/>
    <w:bookmarkStart w:id="495" w:name="failure-scenarios-11"/>
    <w:p>
      <w:pPr>
        <w:pStyle w:val="Heading4"/>
      </w:pPr>
      <w:r>
        <w:t xml:space="preserve">Failure scenarios</w:t>
      </w:r>
    </w:p>
    <w:p>
      <w:pPr>
        <w:pStyle w:val="FirstParagraph"/>
      </w:pPr>
      <w:r>
        <w:rPr>
          <w:bCs/>
          <w:b/>
        </w:rPr>
        <w:t xml:space="preserve">Table 5.4 — Cache-related 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Throughput falls as threads are added</w:t>
            </w:r>
          </w:p>
        </w:tc>
        <w:tc>
          <w:tcPr/>
          <w:p>
            <w:pPr>
              <w:pStyle w:val="Compact"/>
              <w:jc w:val="left"/>
            </w:pPr>
            <w:r>
              <w:t xml:space="preserve">False sharing or a hot shared counter</w:t>
            </w:r>
          </w:p>
        </w:tc>
        <w:tc>
          <w:tcPr/>
          <w:p>
            <w:pPr>
              <w:pStyle w:val="Compact"/>
              <w:jc w:val="left"/>
            </w:pPr>
            <w:r>
              <w:rPr>
                <w:rStyle w:val="VerbatimChar"/>
              </w:rPr>
              <w:t xml:space="preserve">perf c2c</w:t>
            </w:r>
            <w:r>
              <w:t xml:space="preserve"> </w:t>
            </w:r>
            <w:r>
              <w:t xml:space="preserve">on Linux; high cross-core cache-to-cache transfers</w:t>
            </w:r>
          </w:p>
        </w:tc>
        <w:tc>
          <w:tcPr/>
          <w:p>
            <w:pPr>
              <w:pStyle w:val="Compact"/>
              <w:jc w:val="left"/>
            </w:pPr>
            <w:r>
              <w:t xml:space="preserve">Pad or shard per-thread state</w:t>
            </w:r>
          </w:p>
        </w:tc>
        <w:tc>
          <w:tcPr/>
          <w:p>
            <w:pPr>
              <w:pStyle w:val="Compact"/>
              <w:jc w:val="left"/>
            </w:pPr>
            <w:r>
              <w:t xml:space="preserve">Per-thread or per-core data; aggregate occasionally</w:t>
            </w:r>
          </w:p>
        </w:tc>
      </w:tr>
      <w:tr>
        <w:tc>
          <w:tcPr/>
          <w:p>
            <w:pPr>
              <w:pStyle w:val="Compact"/>
              <w:jc w:val="left"/>
            </w:pPr>
            <w:r>
              <w:t xml:space="preserve">Latency spikes when a batch job runs on the same host</w:t>
            </w:r>
          </w:p>
        </w:tc>
        <w:tc>
          <w:tcPr/>
          <w:p>
            <w:pPr>
              <w:pStyle w:val="Compact"/>
              <w:jc w:val="left"/>
            </w:pPr>
            <w:r>
              <w:t xml:space="preserve">Batch job’s scan evicts the service’s working set from shared L3</w:t>
            </w:r>
          </w:p>
        </w:tc>
        <w:tc>
          <w:tcPr/>
          <w:p>
            <w:pPr>
              <w:pStyle w:val="Compact"/>
              <w:jc w:val="left"/>
            </w:pPr>
            <w:r>
              <w:t xml:space="preserve">LLC miss rate rises in sync with the batch job</w:t>
            </w:r>
          </w:p>
        </w:tc>
        <w:tc>
          <w:tcPr/>
          <w:p>
            <w:pPr>
              <w:pStyle w:val="Compact"/>
              <w:jc w:val="left"/>
            </w:pPr>
            <w:r>
              <w:t xml:space="preserve">Move the job; pin to other cores</w:t>
            </w:r>
          </w:p>
        </w:tc>
        <w:tc>
          <w:tcPr/>
          <w:p>
            <w:pPr>
              <w:pStyle w:val="Compact"/>
              <w:jc w:val="left"/>
            </w:pPr>
            <w:r>
              <w:t xml:space="preserve">Cache partitioning (e.g., Intel RDT) or separate hosts</w:t>
            </w:r>
          </w:p>
        </w:tc>
      </w:tr>
      <w:tr>
        <w:tc>
          <w:tcPr/>
          <w:p>
            <w:pPr>
              <w:pStyle w:val="Compact"/>
              <w:jc w:val="left"/>
            </w:pPr>
            <w:r>
              <w:t xml:space="preserve">Mysterious slowdown at certain array sizes</w:t>
            </w:r>
          </w:p>
        </w:tc>
        <w:tc>
          <w:tcPr/>
          <w:p>
            <w:pPr>
              <w:pStyle w:val="Compact"/>
              <w:jc w:val="left"/>
            </w:pPr>
            <w:r>
              <w:t xml:space="preserve">Power-of-two stride causes conflict misses in one set</w:t>
            </w:r>
          </w:p>
        </w:tc>
        <w:tc>
          <w:tcPr/>
          <w:p>
            <w:pPr>
              <w:pStyle w:val="Compact"/>
              <w:jc w:val="left"/>
            </w:pPr>
            <w:r>
              <w:t xml:space="preserve">Performance cliff at sizes like 4096 or 8192</w:t>
            </w:r>
          </w:p>
        </w:tc>
        <w:tc>
          <w:tcPr/>
          <w:p>
            <w:pPr>
              <w:pStyle w:val="Compact"/>
              <w:jc w:val="left"/>
            </w:pPr>
            <w:r>
              <w:t xml:space="preserve">Pad rows/records</w:t>
            </w:r>
          </w:p>
        </w:tc>
        <w:tc>
          <w:tcPr/>
          <w:p>
            <w:pPr>
              <w:pStyle w:val="Compact"/>
              <w:jc w:val="left"/>
            </w:pPr>
            <w:r>
              <w:t xml:space="preserve">Avoid power-of-two strides in hot loops</w:t>
            </w:r>
          </w:p>
        </w:tc>
      </w:tr>
      <w:tr>
        <w:tc>
          <w:tcPr/>
          <w:p>
            <w:pPr>
              <w:pStyle w:val="Compact"/>
              <w:jc w:val="left"/>
            </w:pPr>
            <w:r>
              <w:t xml:space="preserve">Pointer-heavy structure slow despite good big-O</w:t>
            </w:r>
          </w:p>
        </w:tc>
        <w:tc>
          <w:tcPr/>
          <w:p>
            <w:pPr>
              <w:pStyle w:val="Compact"/>
              <w:jc w:val="left"/>
            </w:pPr>
            <w:r>
              <w:t xml:space="preserve">Each hop is a dependent cache miss</w:t>
            </w:r>
          </w:p>
        </w:tc>
        <w:tc>
          <w:tcPr/>
          <w:p>
            <w:pPr>
              <w:pStyle w:val="Compact"/>
              <w:jc w:val="left"/>
            </w:pPr>
            <w:r>
              <w:t xml:space="preserve">Low IPC, high cache-miss counts</w:t>
            </w:r>
          </w:p>
        </w:tc>
        <w:tc>
          <w:tcPr/>
          <w:p>
            <w:pPr>
              <w:pStyle w:val="Compact"/>
              <w:jc w:val="left"/>
            </w:pPr>
            <w:r>
              <w:t xml:space="preserve">Switch to arrays / B-tree-like wide nodes</w:t>
            </w:r>
          </w:p>
        </w:tc>
        <w:tc>
          <w:tcPr/>
          <w:p>
            <w:pPr>
              <w:pStyle w:val="Compact"/>
              <w:jc w:val="left"/>
            </w:pPr>
            <w:r>
              <w:t xml:space="preserve">Design data structures for locality</w:t>
            </w:r>
          </w:p>
        </w:tc>
      </w:tr>
    </w:tbl>
    <w:bookmarkEnd w:id="495"/>
    <w:bookmarkStart w:id="496" w:name="common-misconceptions-12"/>
    <w:p>
      <w:pPr>
        <w:pStyle w:val="Heading4"/>
      </w:pPr>
      <w:r>
        <w:t xml:space="preserve">Common misconceptions</w:t>
      </w:r>
    </w:p>
    <w:p>
      <w:pPr>
        <w:pStyle w:val="CalloutMistake"/>
      </w:pPr>
      <w:r>
        <w:rPr>
          <w:bCs/>
          <w:b/>
        </w:rPr>
        <w:t xml:space="preserve">COMMON MISTAKE</w:t>
      </w:r>
    </w:p>
    <w:p>
      <w:pPr>
        <w:pStyle w:val="CalloutMistake"/>
      </w:pPr>
      <w:r>
        <w:rPr>
          <w:bCs/>
          <w:b/>
        </w:rPr>
        <w:t xml:space="preserve">“</w:t>
      </w:r>
      <w:r>
        <w:rPr>
          <w:bCs/>
          <w:b/>
        </w:rPr>
        <w:t xml:space="preserve">Lock-free code always scales.</w:t>
      </w:r>
      <w:r>
        <w:rPr>
          <w:bCs/>
          <w:b/>
        </w:rPr>
        <w:t xml:space="preserve">”</w:t>
      </w:r>
      <w:r>
        <w:t xml:space="preserve"> </w:t>
      </w:r>
      <w:r>
        <w:t xml:space="preserve">Lock-free code still writes to shared cache lines. If many cores update the same atomic counter, the line ping-pongs between them and throughput can be</w:t>
      </w:r>
      <w:r>
        <w:t xml:space="preserve"> </w:t>
      </w:r>
      <w:r>
        <w:rPr>
          <w:iCs/>
          <w:i/>
        </w:rPr>
        <w:t xml:space="preserve">lower</w:t>
      </w:r>
      <w:r>
        <w:t xml:space="preserve"> </w:t>
      </w:r>
      <w:r>
        <w:t xml:space="preserve">than with one thread. Scalable designs avoid shared writes altogether (per-core counters, sharded state).</w:t>
      </w:r>
    </w:p>
    <w:p>
      <w:pPr>
        <w:pStyle w:val="CalloutMistake"/>
      </w:pPr>
      <w:r>
        <w:rPr>
          <w:bCs/>
          <w:b/>
        </w:rPr>
        <w:t xml:space="preserve">COMMON MISTAKE</w:t>
      </w:r>
    </w:p>
    <w:p>
      <w:pPr>
        <w:pStyle w:val="CalloutMistake"/>
      </w:pPr>
      <w:r>
        <w:rPr>
          <w:bCs/>
          <w:b/>
        </w:rPr>
        <w:t xml:space="preserve">“</w:t>
      </w:r>
      <w:r>
        <w:rPr>
          <w:bCs/>
          <w:b/>
        </w:rPr>
        <w:t xml:space="preserve">Caches only matter to C programmers.</w:t>
      </w:r>
      <w:r>
        <w:rPr>
          <w:bCs/>
          <w:b/>
        </w:rPr>
        <w:t xml:space="preserve">”</w:t>
      </w:r>
      <w:r>
        <w:t xml:space="preserve"> </w:t>
      </w:r>
      <w:r>
        <w:t xml:space="preserve">Every language runs on the same hardware. Java object headers, Python object pointers and Go slices all have cache footprints; the gap between</w:t>
      </w:r>
      <w:r>
        <w:t xml:space="preserve"> </w:t>
      </w:r>
      <w:r>
        <w:t xml:space="preserve">“</w:t>
      </w:r>
      <w:r>
        <w:t xml:space="preserve">array of values</w:t>
      </w:r>
      <w:r>
        <w:t xml:space="preserve">”</w:t>
      </w:r>
      <w:r>
        <w:t xml:space="preserve"> </w:t>
      </w:r>
      <w:r>
        <w:t xml:space="preserve">and</w:t>
      </w:r>
      <w:r>
        <w:t xml:space="preserve"> </w:t>
      </w:r>
      <w:r>
        <w:t xml:space="preserve">“</w:t>
      </w:r>
      <w:r>
        <w:t xml:space="preserve">array of pointers to objects</w:t>
      </w:r>
      <w:r>
        <w:t xml:space="preserve">”</w:t>
      </w:r>
      <w:r>
        <w:t xml:space="preserve"> </w:t>
      </w:r>
      <w:r>
        <w:t xml:space="preserve">is often several-fold in any language.</w:t>
      </w:r>
    </w:p>
    <w:bookmarkEnd w:id="496"/>
    <w:bookmarkEnd w:id="497"/>
    <w:bookmarkEnd w:id="498"/>
    <w:bookmarkStart w:id="504" w:name="ram-and-the-memory-hierarchy"/>
    <w:p>
      <w:pPr>
        <w:pStyle w:val="Heading2"/>
      </w:pPr>
      <w:r>
        <w:t xml:space="preserve">5.5 RAM and the memory hierarchy</w:t>
      </w:r>
    </w:p>
    <w:bookmarkStart w:id="499" w:name="main-memory-dram"/>
    <w:p>
      <w:pPr>
        <w:pStyle w:val="Heading3"/>
      </w:pPr>
      <w:r>
        <w:t xml:space="preserve">5.5.1 Main memory (DRAM)</w:t>
      </w:r>
    </w:p>
    <w:p>
      <w:pPr>
        <w:pStyle w:val="CalloutDefinition"/>
      </w:pPr>
      <w:r>
        <w:rPr>
          <w:bCs/>
          <w:b/>
        </w:rPr>
        <w:t xml:space="preserve">DEFINITION</w:t>
      </w:r>
    </w:p>
    <w:p>
      <w:pPr>
        <w:pStyle w:val="CalloutDefinition"/>
      </w:pPr>
      <w:r>
        <w:rPr>
          <w:bCs/>
          <w:b/>
        </w:rPr>
        <w:t xml:space="preserve">Definition — DRAM (dynamic random-access memory).</w:t>
      </w:r>
      <w:r>
        <w:t xml:space="preserve"> </w:t>
      </w:r>
      <w:r>
        <w:t xml:space="preserve">The technology used for main memory. Each bit is stored as charge in a tiny capacitor that leaks and must be</w:t>
      </w:r>
      <w:r>
        <w:t xml:space="preserve"> </w:t>
      </w:r>
      <w:r>
        <w:rPr>
          <w:bCs/>
          <w:b/>
        </w:rPr>
        <w:t xml:space="preserve">refreshed</w:t>
      </w:r>
      <w:r>
        <w:t xml:space="preserve"> </w:t>
      </w:r>
      <w:r>
        <w:t xml:space="preserve">every few tens of milliseconds. DRAM is</w:t>
      </w:r>
      <w:r>
        <w:t xml:space="preserve"> </w:t>
      </w:r>
      <w:r>
        <w:rPr>
          <w:bCs/>
          <w:b/>
        </w:rPr>
        <w:t xml:space="preserve">volatile</w:t>
      </w:r>
      <w:r>
        <w:t xml:space="preserve">: its contents are lost when power is removed.</w:t>
      </w:r>
    </w:p>
    <w:p>
      <w:pPr>
        <w:pStyle w:val="BodyText"/>
      </w:pPr>
      <w:r>
        <w:t xml:space="preserve">DRAM uses one transistor and one capacitor per bit, versus about six transistors for the SRAM in caches, so it is far denser and cheaper — but slower. Memory chips sit on modules (DIMMs) that plug into</w:t>
      </w:r>
      <w:r>
        <w:t xml:space="preserve"> </w:t>
      </w:r>
      <w:r>
        <w:rPr>
          <w:bCs/>
          <w:b/>
        </w:rPr>
        <w:t xml:space="preserve">channels</w:t>
      </w:r>
      <w:r>
        <w:t xml:space="preserve">, each an independent 64-bit data path to the CPU’s memory controller (DDR5 splits each module’s path into two 32-bit subchannels, still 64 bits in total). Inside a chip, bits are arranged in banks of rows and columns; reading a row that is already</w:t>
      </w:r>
      <w:r>
        <w:t xml:space="preserve"> </w:t>
      </w:r>
      <w:r>
        <w:t xml:space="preserve">“</w:t>
      </w:r>
      <w:r>
        <w:t xml:space="preserve">open</w:t>
      </w:r>
      <w:r>
        <w:t xml:space="preserve">”</w:t>
      </w:r>
      <w:r>
        <w:t xml:space="preserve"> </w:t>
      </w:r>
      <w:r>
        <w:t xml:space="preserve">is faster than opening a new one, which is one more reason sequential access is cheaper than random access [Drepper 2007, §2]. Servers use</w:t>
      </w:r>
      <w:r>
        <w:t xml:space="preserve"> </w:t>
      </w:r>
      <w:r>
        <w:rPr>
          <w:bCs/>
          <w:b/>
        </w:rPr>
        <w:t xml:space="preserve">ECC</w:t>
      </w:r>
      <w:r>
        <w:t xml:space="preserve"> </w:t>
      </w:r>
      <w:r>
        <w:t xml:space="preserve">(error-correcting code) memory, which stores extra check bits to correct single-bit errors.</w:t>
      </w:r>
    </w:p>
    <w:bookmarkEnd w:id="499"/>
    <w:bookmarkStart w:id="503" w:name="the-memory-hierarchy"/>
    <w:p>
      <w:pPr>
        <w:pStyle w:val="Heading3"/>
      </w:pPr>
      <w:r>
        <w:t xml:space="preserve">5.5.2 The memory hierarchy</w:t>
      </w:r>
    </w:p>
    <w:p>
      <w:pPr>
        <w:pStyle w:val="CalloutDefinition"/>
      </w:pPr>
      <w:r>
        <w:rPr>
          <w:bCs/>
          <w:b/>
        </w:rPr>
        <w:t xml:space="preserve">DEFINITION</w:t>
      </w:r>
    </w:p>
    <w:p>
      <w:pPr>
        <w:pStyle w:val="CalloutDefinition"/>
      </w:pPr>
      <w:r>
        <w:rPr>
          <w:bCs/>
          <w:b/>
        </w:rPr>
        <w:t xml:space="preserve">Definition — Memory hierarchy.</w:t>
      </w:r>
      <w:r>
        <w:t xml:space="preserve"> </w:t>
      </w:r>
      <w:r>
        <w:t xml:space="preserve">The layered arrangement of storage technologies in a computer, from small, fast and expensive per byte (registers, caches) to large, slow and cheap per byte (disks, tape), in which each level acts as a cache for the level below it.</w:t>
      </w:r>
    </w:p>
    <w:p>
      <w:pPr>
        <w:pStyle w:val="BodyText"/>
      </w:pPr>
      <w:r>
        <w:rPr>
          <w:bCs/>
          <w:b/>
        </w:rPr>
        <w:t xml:space="preserve">Figure 5.5 — The memory and storage hierarchy (as of 2024–2025, approximate).</w:t>
      </w:r>
    </w:p>
    <w:p>
      <w:pPr>
        <w:pStyle w:val="BodyText"/>
      </w:pPr>
      <w:r>
        <w:drawing>
          <wp:inline>
            <wp:extent cx="5334000" cy="21780500"/>
            <wp:effectExtent b="0" l="0" r="0" t="0"/>
            <wp:docPr descr="" title="" id="501" name="Picture"/>
            <a:graphic>
              <a:graphicData uri="http://schemas.openxmlformats.org/drawingml/2006/picture">
                <pic:pic>
                  <pic:nvPicPr>
                    <pic:cNvPr descr="/home/user/System-Design/build/.cache/diagrams/6d1958b4ae99.png" id="502" name="Picture"/>
                    <pic:cNvPicPr>
                      <a:picLocks noChangeArrowheads="1" noChangeAspect="1"/>
                    </pic:cNvPicPr>
                  </pic:nvPicPr>
                  <pic:blipFill>
                    <a:blip r:embed="rId500"/>
                    <a:stretch>
                      <a:fillRect/>
                    </a:stretch>
                  </pic:blipFill>
                  <pic:spPr bwMode="auto">
                    <a:xfrm>
                      <a:off x="0" y="0"/>
                      <a:ext cx="5334000" cy="21780500"/>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Read it top to bottom as</w:t>
      </w:r>
      <w:r>
        <w:t xml:space="preserve"> </w:t>
      </w:r>
      <w:r>
        <w:t xml:space="preserve">“</w:t>
      </w:r>
      <w:r>
        <w:t xml:space="preserve">faster, smaller, costlier per byte</w:t>
      </w:r>
      <w:r>
        <w:t xml:space="preserve">”</w:t>
      </w:r>
      <w:r>
        <w:t xml:space="preserve"> </w:t>
      </w:r>
      <w:r>
        <w:t xml:space="preserve">turning into</w:t>
      </w:r>
      <w:r>
        <w:t xml:space="preserve"> </w:t>
      </w:r>
      <w:r>
        <w:t xml:space="preserve">“</w:t>
      </w:r>
      <w:r>
        <w:t xml:space="preserve">slower, larger, cheaper per byte</w:t>
      </w:r>
      <w:r>
        <w:t xml:space="preserve">”</w:t>
      </w:r>
      <w:r>
        <w:t xml:space="preserve">. Each arrow means</w:t>
      </w:r>
      <w:r>
        <w:t xml:space="preserve"> </w:t>
      </w:r>
      <w:r>
        <w:t xml:space="preserve">“</w:t>
      </w:r>
      <w:r>
        <w:t xml:space="preserve">misses at this level are served by the next level</w:t>
      </w:r>
      <w:r>
        <w:t xml:space="preserve">”</w:t>
      </w:r>
      <w:r>
        <w:t xml:space="preserve">. The levels above DRAM are managed by hardware automatically; the boundary between DRAM and SSD is managed by software — the operating system’s page cache (§6.6) or your database’s buffer pool (§13.4). The most important storage boundary is</w:t>
      </w:r>
      <w:r>
        <w:t xml:space="preserve"> </w:t>
      </w:r>
      <w:r>
        <w:rPr>
          <w:bCs/>
          <w:b/>
        </w:rPr>
        <w:t xml:space="preserve">volatility</w:t>
      </w:r>
      <w:r>
        <w:t xml:space="preserve">: everything from DRAM upward vanishes on power loss, so durability requires reaching the SSD, disk or a remote replica (§6.14). Each step down costs roughly 3–1000× in latency. Systems</w:t>
      </w:r>
      <w:r>
        <w:t xml:space="preserve"> </w:t>
      </w:r>
      <w:r>
        <w:t xml:space="preserve">“</w:t>
      </w:r>
      <w:r>
        <w:t xml:space="preserve">scale</w:t>
      </w:r>
      <w:r>
        <w:t xml:space="preserve">”</w:t>
      </w:r>
      <w:r>
        <w:t xml:space="preserve"> </w:t>
      </w:r>
      <w:r>
        <w:t xml:space="preserve">this pyramid by keeping the working set as high up as possible: more RAM to cache hot data, SSDs instead of disks for random access, and disks or object storage only for cold, sequentially read data.</w:t>
      </w:r>
    </w:p>
    <w:p>
      <w:pPr>
        <w:pStyle w:val="BodyText"/>
      </w:pPr>
      <w:r>
        <w:rPr>
          <w:bCs/>
          <w:b/>
        </w:rPr>
        <w:t xml:space="preserve">Table 5.5 — Memory hierarchy numbers (as of 2024–2025, approximate; prices are volatile).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Level</w:t>
            </w:r>
          </w:p>
        </w:tc>
        <w:tc>
          <w:tcPr/>
          <w:p>
            <w:pPr>
              <w:pStyle w:val="Compact"/>
              <w:jc w:val="left"/>
            </w:pPr>
            <w:r>
              <w:t xml:space="preserve">Typical capacity</w:t>
            </w:r>
          </w:p>
        </w:tc>
        <w:tc>
          <w:tcPr/>
          <w:p>
            <w:pPr>
              <w:pStyle w:val="Compact"/>
              <w:jc w:val="left"/>
            </w:pPr>
            <w:r>
              <w:t xml:space="preserve">Random-access latency</w:t>
            </w:r>
          </w:p>
        </w:tc>
        <w:tc>
          <w:tcPr/>
          <w:p>
            <w:pPr>
              <w:pStyle w:val="Compact"/>
              <w:jc w:val="left"/>
            </w:pPr>
            <w:r>
              <w:t xml:space="preserve">Sequential bandwidth</w:t>
            </w:r>
          </w:p>
        </w:tc>
        <w:tc>
          <w:tcPr/>
          <w:p>
            <w:pPr>
              <w:pStyle w:val="Compact"/>
              <w:jc w:val="left"/>
            </w:pPr>
            <w:r>
              <w:t xml:space="preserve">Approx. cost per GB</w:t>
            </w:r>
          </w:p>
        </w:tc>
        <w:tc>
          <w:tcPr/>
          <w:p>
            <w:pPr>
              <w:pStyle w:val="Compact"/>
              <w:jc w:val="left"/>
            </w:pPr>
            <w:r>
              <w:t xml:space="preserve">Persistent?</w:t>
            </w:r>
          </w:p>
        </w:tc>
      </w:tr>
      <w:tr>
        <w:tc>
          <w:tcPr/>
          <w:p>
            <w:pPr>
              <w:pStyle w:val="Compact"/>
              <w:jc w:val="left"/>
            </w:pPr>
            <w:r>
              <w:t xml:space="preserve">L1 / L2 / L3 cache</w:t>
            </w:r>
          </w:p>
        </w:tc>
        <w:tc>
          <w:tcPr/>
          <w:p>
            <w:pPr>
              <w:pStyle w:val="Compact"/>
              <w:jc w:val="left"/>
            </w:pPr>
            <w:r>
              <w:t xml:space="preserve">KiB to hundreds of MiB</w:t>
            </w:r>
          </w:p>
        </w:tc>
        <w:tc>
          <w:tcPr/>
          <w:p>
            <w:pPr>
              <w:pStyle w:val="Compact"/>
              <w:jc w:val="left"/>
            </w:pPr>
            <w:r>
              <w:t xml:space="preserve">~1 / ~4 / ~15 ns</w:t>
            </w:r>
          </w:p>
        </w:tc>
        <w:tc>
          <w:tcPr/>
          <w:p>
            <w:pPr>
              <w:pStyle w:val="Compact"/>
              <w:jc w:val="left"/>
            </w:pPr>
            <w:r>
              <w:t xml:space="preserve">Hundreds of GB/s per core (L1)</w:t>
            </w:r>
          </w:p>
        </w:tc>
        <w:tc>
          <w:tcPr/>
          <w:p>
            <w:pPr>
              <w:pStyle w:val="Compact"/>
              <w:jc w:val="left"/>
            </w:pPr>
            <w:r>
              <w:t xml:space="preserve">Not sold separately</w:t>
            </w:r>
          </w:p>
        </w:tc>
        <w:tc>
          <w:tcPr/>
          <w:p>
            <w:pPr>
              <w:pStyle w:val="Compact"/>
              <w:jc w:val="left"/>
            </w:pPr>
            <w:r>
              <w:t xml:space="preserve">No</w:t>
            </w:r>
          </w:p>
        </w:tc>
      </w:tr>
      <w:tr>
        <w:tc>
          <w:tcPr/>
          <w:p>
            <w:pPr>
              <w:pStyle w:val="Compact"/>
              <w:jc w:val="left"/>
            </w:pPr>
            <w:r>
              <w:t xml:space="preserve">DRAM (DDR5)</w:t>
            </w:r>
          </w:p>
        </w:tc>
        <w:tc>
          <w:tcPr/>
          <w:p>
            <w:pPr>
              <w:pStyle w:val="Compact"/>
              <w:jc w:val="left"/>
            </w:pPr>
            <w:r>
              <w:t xml:space="preserve">16 GB – several TB per server</w:t>
            </w:r>
          </w:p>
        </w:tc>
        <w:tc>
          <w:tcPr/>
          <w:p>
            <w:pPr>
              <w:pStyle w:val="Compact"/>
              <w:jc w:val="left"/>
            </w:pPr>
            <w:r>
              <w:t xml:space="preserve">~80–120 ns</w:t>
            </w:r>
          </w:p>
        </w:tc>
        <w:tc>
          <w:tcPr/>
          <w:p>
            <w:pPr>
              <w:pStyle w:val="Compact"/>
              <w:jc w:val="left"/>
            </w:pPr>
            <w:r>
              <w:t xml:space="preserve">~38 GB/s per DDR5-4800 channel; ~300–600 GB/s per socket</w:t>
            </w:r>
          </w:p>
        </w:tc>
        <w:tc>
          <w:tcPr/>
          <w:p>
            <w:pPr>
              <w:pStyle w:val="Compact"/>
              <w:jc w:val="left"/>
            </w:pPr>
            <w:r>
              <w:t xml:space="preserve">~$2–5</w:t>
            </w:r>
          </w:p>
        </w:tc>
        <w:tc>
          <w:tcPr/>
          <w:p>
            <w:pPr>
              <w:pStyle w:val="Compact"/>
              <w:jc w:val="left"/>
            </w:pPr>
            <w:r>
              <w:t xml:space="preserve">No</w:t>
            </w:r>
          </w:p>
        </w:tc>
      </w:tr>
      <w:tr>
        <w:tc>
          <w:tcPr/>
          <w:p>
            <w:pPr>
              <w:pStyle w:val="Compact"/>
              <w:jc w:val="left"/>
            </w:pPr>
            <w:r>
              <w:t xml:space="preserve">NVMe SSD (TLC flash)</w:t>
            </w:r>
          </w:p>
        </w:tc>
        <w:tc>
          <w:tcPr/>
          <w:p>
            <w:pPr>
              <w:pStyle w:val="Compact"/>
              <w:jc w:val="left"/>
            </w:pPr>
            <w:r>
              <w:t xml:space="preserve">1–30+ TB</w:t>
            </w:r>
          </w:p>
        </w:tc>
        <w:tc>
          <w:tcPr/>
          <w:p>
            <w:pPr>
              <w:pStyle w:val="Compact"/>
              <w:jc w:val="left"/>
            </w:pPr>
            <w:r>
              <w:t xml:space="preserve">~50–100 µs read</w:t>
            </w:r>
          </w:p>
        </w:tc>
        <w:tc>
          <w:tcPr/>
          <w:p>
            <w:pPr>
              <w:pStyle w:val="Compact"/>
              <w:jc w:val="left"/>
            </w:pPr>
            <w:r>
              <w:t xml:space="preserve">~3–7 GB/s (PCIe 4.0 x4); ~10–14 GB/s (PCIe 5.0 x4)</w:t>
            </w:r>
          </w:p>
        </w:tc>
        <w:tc>
          <w:tcPr/>
          <w:p>
            <w:pPr>
              <w:pStyle w:val="Compact"/>
              <w:jc w:val="left"/>
            </w:pPr>
            <w:r>
              <w:t xml:space="preserve">~$0.05–0.15</w:t>
            </w:r>
          </w:p>
        </w:tc>
        <w:tc>
          <w:tcPr/>
          <w:p>
            <w:pPr>
              <w:pStyle w:val="Compact"/>
              <w:jc w:val="left"/>
            </w:pPr>
            <w:r>
              <w:t xml:space="preserve">Yes</w:t>
            </w:r>
          </w:p>
        </w:tc>
      </w:tr>
      <w:tr>
        <w:tc>
          <w:tcPr/>
          <w:p>
            <w:pPr>
              <w:pStyle w:val="Compact"/>
              <w:jc w:val="left"/>
            </w:pPr>
            <w:r>
              <w:t xml:space="preserve">SATA SSD</w:t>
            </w:r>
          </w:p>
        </w:tc>
        <w:tc>
          <w:tcPr/>
          <w:p>
            <w:pPr>
              <w:pStyle w:val="Compact"/>
              <w:jc w:val="left"/>
            </w:pPr>
            <w:r>
              <w:t xml:space="preserve">0.25–8 TB</w:t>
            </w:r>
          </w:p>
        </w:tc>
        <w:tc>
          <w:tcPr/>
          <w:p>
            <w:pPr>
              <w:pStyle w:val="Compact"/>
              <w:jc w:val="left"/>
            </w:pPr>
            <w:r>
              <w:t xml:space="preserve">~80–150 µs read</w:t>
            </w:r>
          </w:p>
        </w:tc>
        <w:tc>
          <w:tcPr/>
          <w:p>
            <w:pPr>
              <w:pStyle w:val="Compact"/>
              <w:jc w:val="left"/>
            </w:pPr>
            <w:r>
              <w:t xml:space="preserve">~0.55 GB/s</w:t>
            </w:r>
          </w:p>
        </w:tc>
        <w:tc>
          <w:tcPr/>
          <w:p>
            <w:pPr>
              <w:pStyle w:val="Compact"/>
              <w:jc w:val="left"/>
            </w:pPr>
            <w:r>
              <w:t xml:space="preserve">~$0.05–0.10</w:t>
            </w:r>
          </w:p>
        </w:tc>
        <w:tc>
          <w:tcPr/>
          <w:p>
            <w:pPr>
              <w:pStyle w:val="Compact"/>
              <w:jc w:val="left"/>
            </w:pPr>
            <w:r>
              <w:t xml:space="preserve">Yes</w:t>
            </w:r>
          </w:p>
        </w:tc>
      </w:tr>
      <w:tr>
        <w:tc>
          <w:tcPr/>
          <w:p>
            <w:pPr>
              <w:pStyle w:val="Compact"/>
              <w:jc w:val="left"/>
            </w:pPr>
            <w:r>
              <w:t xml:space="preserve">HDD (7200 RPM)</w:t>
            </w:r>
          </w:p>
        </w:tc>
        <w:tc>
          <w:tcPr/>
          <w:p>
            <w:pPr>
              <w:pStyle w:val="Compact"/>
              <w:jc w:val="left"/>
            </w:pPr>
            <w:r>
              <w:t xml:space="preserve">4–30+ TB</w:t>
            </w:r>
          </w:p>
        </w:tc>
        <w:tc>
          <w:tcPr/>
          <w:p>
            <w:pPr>
              <w:pStyle w:val="Compact"/>
              <w:jc w:val="left"/>
            </w:pPr>
            <w:r>
              <w:t xml:space="preserve">~5–15 ms</w:t>
            </w:r>
          </w:p>
        </w:tc>
        <w:tc>
          <w:tcPr/>
          <w:p>
            <w:pPr>
              <w:pStyle w:val="Compact"/>
              <w:jc w:val="left"/>
            </w:pPr>
            <w:r>
              <w:t xml:space="preserve">~0.15–0.28 GB/s</w:t>
            </w:r>
          </w:p>
        </w:tc>
        <w:tc>
          <w:tcPr/>
          <w:p>
            <w:pPr>
              <w:pStyle w:val="Compact"/>
              <w:jc w:val="left"/>
            </w:pPr>
            <w:r>
              <w:t xml:space="preserve">~$0.015–0.03</w:t>
            </w:r>
          </w:p>
        </w:tc>
        <w:tc>
          <w:tcPr/>
          <w:p>
            <w:pPr>
              <w:pStyle w:val="Compact"/>
              <w:jc w:val="left"/>
            </w:pPr>
            <w:r>
              <w:t xml:space="preserve">Yes</w:t>
            </w:r>
          </w:p>
        </w:tc>
      </w:tr>
      <w:tr>
        <w:tc>
          <w:tcPr/>
          <w:p>
            <w:pPr>
              <w:pStyle w:val="Compact"/>
              <w:jc w:val="left"/>
            </w:pPr>
            <w:r>
              <w:t xml:space="preserve">LTO-9 tape</w:t>
            </w:r>
          </w:p>
        </w:tc>
        <w:tc>
          <w:tcPr/>
          <w:p>
            <w:pPr>
              <w:pStyle w:val="Compact"/>
              <w:jc w:val="left"/>
            </w:pPr>
            <w:r>
              <w:t xml:space="preserve">18 TB native per cartridge</w:t>
            </w:r>
          </w:p>
        </w:tc>
        <w:tc>
          <w:tcPr/>
          <w:p>
            <w:pPr>
              <w:pStyle w:val="Compact"/>
              <w:jc w:val="left"/>
            </w:pPr>
            <w:r>
              <w:t xml:space="preserve">Seconds to minutes (mount, wind)</w:t>
            </w:r>
          </w:p>
        </w:tc>
        <w:tc>
          <w:tcPr/>
          <w:p>
            <w:pPr>
              <w:pStyle w:val="Compact"/>
              <w:jc w:val="left"/>
            </w:pPr>
            <w:r>
              <w:t xml:space="preserve">~0.4 GB/s native</w:t>
            </w:r>
          </w:p>
        </w:tc>
        <w:tc>
          <w:tcPr/>
          <w:p>
            <w:pPr>
              <w:pStyle w:val="Compact"/>
              <w:jc w:val="left"/>
            </w:pPr>
            <w:r>
              <w:t xml:space="preserve">&lt; $0.01</w:t>
            </w:r>
          </w:p>
        </w:tc>
        <w:tc>
          <w:tcPr/>
          <w:p>
            <w:pPr>
              <w:pStyle w:val="Compact"/>
              <w:jc w:val="left"/>
            </w:pPr>
            <w:r>
              <w:t xml:space="preserve">Yes</w:t>
            </w:r>
          </w:p>
        </w:tc>
      </w:tr>
    </w:tbl>
    <w:p>
      <w:pPr>
        <w:pStyle w:val="BodyText"/>
      </w:pPr>
      <w:r>
        <w:t xml:space="preserve">Sources: interface limits from the DDR5, PCIe and SATA specifications (bandwidth arithmetic in §5.9); device ranges from vendor datasheets of the period; LTO-9 figures from the LTO Program; general structure from [Hennessy &amp; Patterson 2017, ch. 2] and [Bryant &amp; O’Hallaron 2015, ch. 6]. Prices are retail/street approximations for 2024 and changed sharply in 2025–2026 for DRAM and flash; treat them as ratios, not quotes.</w:t>
      </w:r>
    </w:p>
    <w:p>
      <w:pPr>
        <w:pStyle w:val="BodyText"/>
      </w:pPr>
      <w:r>
        <w:t xml:space="preserve">The ratios are the lesson: DRAM costs roughly 30–100× more per GB than flash, and flash roughly 3–5× more than disk, while latency falls by about 1,000× from DRAM to flash and 100× again from flash to disk. Choosing where data lives is an economic decision as much as a technical one.</w:t>
      </w:r>
    </w:p>
    <w:bookmarkEnd w:id="503"/>
    <w:bookmarkEnd w:id="504"/>
    <w:bookmarkStart w:id="517" w:name="storage-devices"/>
    <w:p>
      <w:pPr>
        <w:pStyle w:val="Heading2"/>
      </w:pPr>
      <w:r>
        <w:t xml:space="preserve">5.6 Storage devices</w:t>
      </w:r>
    </w:p>
    <w:bookmarkStart w:id="506" w:name="hard-disk-drives-hdds"/>
    <w:p>
      <w:pPr>
        <w:pStyle w:val="Heading3"/>
      </w:pPr>
      <w:r>
        <w:t xml:space="preserve">5.6.1 Hard disk drives (HDDs)</w:t>
      </w:r>
    </w:p>
    <w:p>
      <w:pPr>
        <w:pStyle w:val="CalloutDefinition"/>
      </w:pPr>
      <w:r>
        <w:rPr>
          <w:bCs/>
          <w:b/>
        </w:rPr>
        <w:t xml:space="preserve">DEFINITION</w:t>
      </w:r>
    </w:p>
    <w:p>
      <w:pPr>
        <w:pStyle w:val="CalloutDefinition"/>
      </w:pPr>
      <w:r>
        <w:rPr>
          <w:bCs/>
          <w:b/>
        </w:rPr>
        <w:t xml:space="preserve">Definition — Hard disk drive (HDD).</w:t>
      </w:r>
      <w:r>
        <w:t xml:space="preserve"> </w:t>
      </w:r>
      <w:r>
        <w:t xml:space="preserve">A storage device that records data magnetically on spinning platters, read and written by heads mounted on a moving arm (the</w:t>
      </w:r>
      <w:r>
        <w:t xml:space="preserve"> </w:t>
      </w:r>
      <w:r>
        <w:rPr>
          <w:bCs/>
          <w:b/>
        </w:rPr>
        <w:t xml:space="preserve">actuator</w:t>
      </w:r>
      <w:r>
        <w:t xml:space="preserve">). Data is organized in concentric</w:t>
      </w:r>
      <w:r>
        <w:t xml:space="preserve"> </w:t>
      </w:r>
      <w:r>
        <w:rPr>
          <w:bCs/>
          <w:b/>
        </w:rPr>
        <w:t xml:space="preserve">tracks</w:t>
      </w:r>
      <w:r>
        <w:t xml:space="preserve"> </w:t>
      </w:r>
      <w:r>
        <w:t xml:space="preserve">divided into</w:t>
      </w:r>
      <w:r>
        <w:t xml:space="preserve"> </w:t>
      </w:r>
      <w:r>
        <w:rPr>
          <w:bCs/>
          <w:b/>
        </w:rPr>
        <w:t xml:space="preserve">sectors</w:t>
      </w:r>
      <w:r>
        <w:t xml:space="preserve"> </w:t>
      </w:r>
      <w:r>
        <w:t xml:space="preserve">of 512 or 4096 bytes.</w:t>
      </w:r>
    </w:p>
    <w:bookmarkStart w:id="505" w:name="first-principles-explanation-34"/>
    <w:p>
      <w:pPr>
        <w:pStyle w:val="Heading4"/>
      </w:pPr>
      <w:r>
        <w:t xml:space="preserve">First-principles explanation</w:t>
      </w:r>
    </w:p>
    <w:p>
      <w:pPr>
        <w:pStyle w:val="FirstParagraph"/>
      </w:pPr>
      <w:r>
        <w:t xml:space="preserve">Think of a record player. To play a particular song, you lift the arm and move it to the right groove (the</w:t>
      </w:r>
      <w:r>
        <w:t xml:space="preserve"> </w:t>
      </w:r>
      <w:r>
        <w:rPr>
          <w:bCs/>
          <w:b/>
        </w:rPr>
        <w:t xml:space="preserve">seek</w:t>
      </w:r>
      <w:r>
        <w:t xml:space="preserve">), then wait for the start of the song to come round under the needle (</w:t>
      </w:r>
      <w:r>
        <w:rPr>
          <w:bCs/>
          <w:b/>
        </w:rPr>
        <w:t xml:space="preserve">rotational latency</w:t>
      </w:r>
      <w:r>
        <w:t xml:space="preserve">), then listen to the song (</w:t>
      </w:r>
      <w:r>
        <w:rPr>
          <w:bCs/>
          <w:b/>
        </w:rPr>
        <w:t xml:space="preserve">transfer</w:t>
      </w:r>
      <w:r>
        <w:t xml:space="preserve">). Moving the arm and waiting for the platter take milliseconds — millions of CPU cycles — whereas reading the data once the head is in place is fast. An HDD rewards you for reading long runs of adjacent data and punishes you for jumping around.</w:t>
      </w:r>
    </w:p>
    <w:p>
      <w:pPr>
        <w:pStyle w:val="CalloutFormula"/>
      </w:pPr>
      <w:r>
        <w:rPr>
          <w:bCs/>
          <w:b/>
        </w:rPr>
        <w:t xml:space="preserve">FORMULA</w:t>
      </w:r>
    </w:p>
    <w:p>
      <w:pPr>
        <w:pStyle w:val="CalloutFormula"/>
      </w:pPr>
      <w:r>
        <w:rPr>
          <w:bCs/>
          <w:b/>
        </w:rPr>
        <w:t xml:space="preserve">HDD access time</w:t>
      </w:r>
    </w:p>
    <w:p>
      <w:pPr>
        <w:pStyle w:val="CalloutFormula"/>
      </w:pPr>
      <m:oMathPara>
        <m:oMathParaPr>
          <m:jc m:val="center"/>
        </m:oMathParaPr>
        <m:oMath>
          <m:sSub>
            <m:e>
              <m:r>
                <m:t>T</m:t>
              </m:r>
            </m:e>
            <m:sub>
              <m:r>
                <m:t>a</m:t>
              </m:r>
              <m:r>
                <m:t>c</m:t>
              </m:r>
              <m:r>
                <m:t>c</m:t>
              </m:r>
              <m:r>
                <m:t>e</m:t>
              </m:r>
              <m:r>
                <m:t>s</m:t>
              </m:r>
              <m:r>
                <m:t>s</m:t>
              </m:r>
            </m:sub>
          </m:sSub>
          <m:r>
            <m:rPr>
              <m:sty m:val="p"/>
            </m:rPr>
            <m:t>=</m:t>
          </m:r>
          <m:sSub>
            <m:e>
              <m:r>
                <m:t>T</m:t>
              </m:r>
            </m:e>
            <m:sub>
              <m:r>
                <m:t>s</m:t>
              </m:r>
              <m:r>
                <m:t>e</m:t>
              </m:r>
              <m:r>
                <m:t>e</m:t>
              </m:r>
              <m:r>
                <m:t>k</m:t>
              </m:r>
            </m:sub>
          </m:sSub>
          <m:r>
            <m:rPr>
              <m:sty m:val="p"/>
            </m:rPr>
            <m:t>+</m:t>
          </m:r>
          <m:sSub>
            <m:e>
              <m:r>
                <m:t>T</m:t>
              </m:r>
            </m:e>
            <m:sub>
              <m:r>
                <m:t>r</m:t>
              </m:r>
              <m:r>
                <m:t>o</m:t>
              </m:r>
              <m:r>
                <m:t>t</m:t>
              </m:r>
            </m:sub>
          </m:sSub>
          <m:r>
            <m:rPr>
              <m:sty m:val="p"/>
            </m:rPr>
            <m:t>+</m:t>
          </m:r>
          <m:sSub>
            <m:e>
              <m:r>
                <m:t>T</m:t>
              </m:r>
            </m:e>
            <m:sub>
              <m:r>
                <m:t>t</m:t>
              </m:r>
              <m:r>
                <m:t>r</m:t>
              </m:r>
              <m:r>
                <m:t>a</m:t>
              </m:r>
              <m:r>
                <m:t>n</m:t>
              </m:r>
              <m:r>
                <m:t>s</m:t>
              </m:r>
              <m:r>
                <m:t>f</m:t>
              </m:r>
              <m:r>
                <m:t>e</m:t>
              </m:r>
              <m:r>
                <m:t>r</m:t>
              </m:r>
            </m:sub>
          </m:sSub>
          <m:r>
            <m:rPr>
              <m:sty m:val="p"/>
            </m:rPr>
            <m:t>,</m:t>
          </m:r>
          <m:r>
            <m:t>  </m:t>
          </m:r>
          <m:sSub>
            <m:e>
              <m:r>
                <m:t>T</m:t>
              </m:r>
            </m:e>
            <m:sub>
              <m:r>
                <m:t>r</m:t>
              </m:r>
              <m:r>
                <m:t>o</m:t>
              </m:r>
              <m:r>
                <m:t>t</m:t>
              </m:r>
            </m:sub>
          </m:sSub>
          <m:r>
            <m:rPr>
              <m:sty m:val="p"/>
            </m:rPr>
            <m:t>=</m:t>
          </m:r>
          <m:f>
            <m:fPr>
              <m:type m:val="bar"/>
            </m:fPr>
            <m:num>
              <m:r>
                <m:t>1</m:t>
              </m:r>
            </m:num>
            <m:den>
              <m:r>
                <m:t>2</m:t>
              </m:r>
            </m:den>
          </m:f>
          <m:r>
            <m:rPr>
              <m:sty m:val="p"/>
            </m:rPr>
            <m:t>×</m:t>
          </m:r>
          <m:f>
            <m:fPr>
              <m:type m:val="bar"/>
            </m:fPr>
            <m:num>
              <m:r>
                <m:t>60</m:t>
              </m:r>
            </m:num>
            <m:den>
              <m:r>
                <m:t>R</m:t>
              </m:r>
              <m:r>
                <m:t>P</m:t>
              </m:r>
              <m:r>
                <m:t>M</m:t>
              </m:r>
            </m:den>
          </m:f>
          <m:r>
            <m:rPr>
              <m:sty m:val="p"/>
            </m:rPr>
            <m:t>,</m:t>
          </m:r>
          <m:r>
            <m:t>  </m:t>
          </m:r>
          <m:sSub>
            <m:e>
              <m:r>
                <m:t>T</m:t>
              </m:r>
            </m:e>
            <m:sub>
              <m:r>
                <m:t>t</m:t>
              </m:r>
              <m:r>
                <m:t>r</m:t>
              </m:r>
              <m:r>
                <m:t>a</m:t>
              </m:r>
              <m:r>
                <m:t>n</m:t>
              </m:r>
              <m:r>
                <m:t>s</m:t>
              </m:r>
              <m:r>
                <m:t>f</m:t>
              </m:r>
              <m:r>
                <m:t>e</m:t>
              </m:r>
              <m:r>
                <m:t>r</m:t>
              </m:r>
            </m:sub>
          </m:sSub>
          <m:r>
            <m:rPr>
              <m:sty m:val="p"/>
            </m:rPr>
            <m:t>=</m:t>
          </m:r>
          <m:f>
            <m:fPr>
              <m:type m:val="bar"/>
            </m:fPr>
            <m:num>
              <m:r>
                <m:t>S</m:t>
              </m:r>
            </m:num>
            <m:den>
              <m:r>
                <m:t>R</m:t>
              </m:r>
            </m:den>
          </m:f>
        </m:oMath>
      </m:oMathPara>
    </w:p>
    <w:p>
      <w:pPr>
        <w:pStyle w:val="CalloutFormula"/>
      </w:pPr>
      <m:oMathPara>
        <m:oMathParaPr>
          <m:jc m:val="center"/>
        </m:oMathParaPr>
        <m:oMath>
          <m:r>
            <m:t>I</m:t>
          </m:r>
          <m:r>
            <m:t>O</m:t>
          </m:r>
          <m:r>
            <m:t>P</m:t>
          </m:r>
          <m:sSub>
            <m:e>
              <m:r>
                <m:t>S</m:t>
              </m:r>
            </m:e>
            <m:sub>
              <m:r>
                <m:t>r</m:t>
              </m:r>
              <m:r>
                <m:t>a</m:t>
              </m:r>
              <m:r>
                <m:t>n</m:t>
              </m:r>
              <m:r>
                <m:t>d</m:t>
              </m:r>
              <m:r>
                <m:t>o</m:t>
              </m:r>
              <m:r>
                <m:t>m</m:t>
              </m:r>
            </m:sub>
          </m:sSub>
          <m:r>
            <m:rPr>
              <m:sty m:val="p"/>
            </m:rPr>
            <m:t>≈</m:t>
          </m:r>
          <m:f>
            <m:fPr>
              <m:type m:val="bar"/>
            </m:fPr>
            <m:num>
              <m:r>
                <m:t>1</m:t>
              </m:r>
            </m:num>
            <m:den>
              <m:sSub>
                <m:e>
                  <m:r>
                    <m:t>T</m:t>
                  </m:r>
                </m:e>
                <m:sub>
                  <m:r>
                    <m:t>a</m:t>
                  </m:r>
                  <m:r>
                    <m:t>c</m:t>
                  </m:r>
                  <m:r>
                    <m:t>c</m:t>
                  </m:r>
                  <m:r>
                    <m:t>e</m:t>
                  </m:r>
                  <m:r>
                    <m:t>s</m:t>
                  </m:r>
                  <m:r>
                    <m:t>s</m:t>
                  </m:r>
                </m:sub>
              </m:sSub>
            </m:den>
          </m:f>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T</m:t>
                  </m:r>
                </m:e>
                <m:sub>
                  <m:r>
                    <m:t>s</m:t>
                  </m:r>
                  <m:r>
                    <m:t>e</m:t>
                  </m:r>
                  <m:r>
                    <m:t>e</m:t>
                  </m:r>
                  <m:r>
                    <m:t>k</m:t>
                  </m:r>
                </m:sub>
              </m:sSub>
            </m:oMath>
          </w:p>
        </w:tc>
        <w:tc>
          <w:tcPr/>
          <w:p>
            <w:pPr>
              <w:pStyle w:val="Compact"/>
              <w:jc w:val="left"/>
            </w:pPr>
            <w:r>
              <w:t xml:space="preserve">Average time to move the head to the target track</w:t>
            </w:r>
          </w:p>
        </w:tc>
        <w:tc>
          <w:tcPr/>
          <w:p>
            <w:pPr>
              <w:pStyle w:val="Compact"/>
              <w:jc w:val="left"/>
            </w:pPr>
            <w:r>
              <w:t xml:space="preserve">ms</w:t>
            </w:r>
          </w:p>
        </w:tc>
      </w:tr>
      <w:tr>
        <w:tc>
          <w:tcPr/>
          <w:p>
            <w:pPr>
              <w:pStyle w:val="Compact"/>
              <w:jc w:val="left"/>
            </w:pPr>
            <m:oMath>
              <m:sSub>
                <m:e>
                  <m:r>
                    <m:t>T</m:t>
                  </m:r>
                </m:e>
                <m:sub>
                  <m:r>
                    <m:t>r</m:t>
                  </m:r>
                  <m:r>
                    <m:t>o</m:t>
                  </m:r>
                  <m:r>
                    <m:t>t</m:t>
                  </m:r>
                </m:sub>
              </m:sSub>
            </m:oMath>
          </w:p>
        </w:tc>
        <w:tc>
          <w:tcPr/>
          <w:p>
            <w:pPr>
              <w:pStyle w:val="Compact"/>
              <w:jc w:val="left"/>
            </w:pPr>
            <w:r>
              <w:t xml:space="preserve">Average rotational latency: half a revolution</w:t>
            </w:r>
          </w:p>
        </w:tc>
        <w:tc>
          <w:tcPr/>
          <w:p>
            <w:pPr>
              <w:pStyle w:val="Compact"/>
              <w:jc w:val="left"/>
            </w:pPr>
            <w:r>
              <w:t xml:space="preserve">ms</w:t>
            </w:r>
          </w:p>
        </w:tc>
      </w:tr>
      <w:tr>
        <w:tc>
          <w:tcPr/>
          <w:p>
            <w:pPr>
              <w:pStyle w:val="Compact"/>
              <w:jc w:val="left"/>
            </w:pPr>
            <m:oMath>
              <m:r>
                <m:t>R</m:t>
              </m:r>
              <m:r>
                <m:t>P</m:t>
              </m:r>
              <m:r>
                <m:t>M</m:t>
              </m:r>
            </m:oMath>
          </w:p>
        </w:tc>
        <w:tc>
          <w:tcPr/>
          <w:p>
            <w:pPr>
              <w:pStyle w:val="Compact"/>
              <w:jc w:val="left"/>
            </w:pPr>
            <w:r>
              <w:t xml:space="preserve">Spindle speed</w:t>
            </w:r>
          </w:p>
        </w:tc>
        <w:tc>
          <w:tcPr/>
          <w:p>
            <w:pPr>
              <w:pStyle w:val="Compact"/>
              <w:jc w:val="left"/>
            </w:pPr>
            <w:r>
              <w:t xml:space="preserve">revolutions per minute</w:t>
            </w:r>
          </w:p>
        </w:tc>
      </w:tr>
      <w:tr>
        <w:tc>
          <w:tcPr/>
          <w:p>
            <w:pPr>
              <w:pStyle w:val="Compact"/>
              <w:jc w:val="left"/>
            </w:pPr>
            <m:oMath>
              <m:r>
                <m:t>S</m:t>
              </m:r>
            </m:oMath>
          </w:p>
        </w:tc>
        <w:tc>
          <w:tcPr/>
          <w:p>
            <w:pPr>
              <w:pStyle w:val="Compact"/>
              <w:jc w:val="left"/>
            </w:pPr>
            <w:r>
              <w:t xml:space="preserve">Size of the request</w:t>
            </w:r>
          </w:p>
        </w:tc>
        <w:tc>
          <w:tcPr/>
          <w:p>
            <w:pPr>
              <w:pStyle w:val="Compact"/>
              <w:jc w:val="left"/>
            </w:pPr>
            <w:r>
              <w:t xml:space="preserve">bytes</w:t>
            </w:r>
          </w:p>
        </w:tc>
      </w:tr>
      <w:tr>
        <w:tc>
          <w:tcPr/>
          <w:p>
            <w:pPr>
              <w:pStyle w:val="Compact"/>
              <w:jc w:val="left"/>
            </w:pPr>
            <m:oMath>
              <m:r>
                <m:t>R</m:t>
              </m:r>
            </m:oMath>
          </w:p>
        </w:tc>
        <w:tc>
          <w:tcPr/>
          <w:p>
            <w:pPr>
              <w:pStyle w:val="Compact"/>
              <w:jc w:val="left"/>
            </w:pPr>
            <w:r>
              <w:t xml:space="preserve">Sustained media transfer rate</w:t>
            </w:r>
          </w:p>
        </w:tc>
        <w:tc>
          <w:tcPr/>
          <w:p>
            <w:pPr>
              <w:pStyle w:val="Compact"/>
              <w:jc w:val="left"/>
            </w:pPr>
            <w:r>
              <w:t xml:space="preserve">bytes/second</w:t>
            </w:r>
          </w:p>
        </w:tc>
      </w:tr>
      <w:tr>
        <w:tc>
          <w:tcPr/>
          <w:p>
            <w:pPr>
              <w:pStyle w:val="Compact"/>
              <w:jc w:val="left"/>
            </w:pPr>
            <m:oMath>
              <m:r>
                <m:t>I</m:t>
              </m:r>
              <m:r>
                <m:t>O</m:t>
              </m:r>
              <m:r>
                <m:t>P</m:t>
              </m:r>
              <m:sSub>
                <m:e>
                  <m:r>
                    <m:t>S</m:t>
                  </m:r>
                </m:e>
                <m:sub>
                  <m:r>
                    <m:t>r</m:t>
                  </m:r>
                  <m:r>
                    <m:t>a</m:t>
                  </m:r>
                  <m:r>
                    <m:t>n</m:t>
                  </m:r>
                  <m:r>
                    <m:t>d</m:t>
                  </m:r>
                  <m:r>
                    <m:t>o</m:t>
                  </m:r>
                  <m:r>
                    <m:t>m</m:t>
                  </m:r>
                </m:sub>
              </m:sSub>
            </m:oMath>
          </w:p>
        </w:tc>
        <w:tc>
          <w:tcPr/>
          <w:p>
            <w:pPr>
              <w:pStyle w:val="Compact"/>
              <w:jc w:val="left"/>
            </w:pPr>
            <w:r>
              <w:t xml:space="preserve">Random I/O operations per second for one outstanding request</w:t>
            </w:r>
          </w:p>
        </w:tc>
        <w:tc>
          <w:tcPr/>
          <w:p>
            <w:pPr>
              <w:pStyle w:val="Compact"/>
              <w:jc w:val="left"/>
            </w:pPr>
            <w:r>
              <w:t xml:space="preserve">operations/second</w:t>
            </w:r>
          </w:p>
        </w:tc>
      </w:tr>
    </w:tbl>
    <w:p>
      <w:pPr>
        <w:pStyle w:val="CalloutExample"/>
      </w:pPr>
      <w:r>
        <w:rPr>
          <w:bCs/>
          <w:b/>
        </w:rPr>
        <w:t xml:space="preserve">WORKED EXAMPLE</w:t>
      </w:r>
    </w:p>
    <w:p>
      <w:pPr>
        <w:pStyle w:val="CalloutExample"/>
      </w:pPr>
      <w:r>
        <w:rPr>
          <w:bCs/>
          <w:b/>
        </w:rPr>
        <w:t xml:space="preserve">Worked example — Random versus sequential reads on a 7200 RPM disk.</w:t>
      </w:r>
    </w:p>
    <w:p>
      <w:pPr>
        <w:pStyle w:val="CalloutExample"/>
      </w:pPr>
      <w:r>
        <w:t xml:space="preserve">Assume</w:t>
      </w:r>
      <w:r>
        <w:t xml:space="preserve"> </w:t>
      </w:r>
      <m:oMath>
        <m:sSub>
          <m:e>
            <m:r>
              <m:t>T</m:t>
            </m:r>
          </m:e>
          <m:sub>
            <m:r>
              <m:t>s</m:t>
            </m:r>
            <m:r>
              <m:t>e</m:t>
            </m:r>
            <m:r>
              <m:t>e</m:t>
            </m:r>
            <m:r>
              <m:t>k</m:t>
            </m:r>
          </m:sub>
        </m:sSub>
        <m:r>
          <m:rPr>
            <m:sty m:val="p"/>
          </m:rPr>
          <m:t>=</m:t>
        </m:r>
        <m:r>
          <m:t>8.5</m:t>
        </m:r>
      </m:oMath>
      <w:r>
        <w:t xml:space="preserve"> </w:t>
      </w:r>
      <w:r>
        <w:t xml:space="preserve">ms (a typical desktop-class average),</w:t>
      </w:r>
      <w:r>
        <w:t xml:space="preserve"> </w:t>
      </w:r>
      <m:oMath>
        <m:r>
          <m:t>R</m:t>
        </m:r>
        <m:r>
          <m:rPr>
            <m:sty m:val="p"/>
          </m:rPr>
          <m:t>=</m:t>
        </m:r>
        <m:r>
          <m:t>200</m:t>
        </m:r>
      </m:oMath>
      <w:r>
        <w:t xml:space="preserve"> </w:t>
      </w:r>
      <w:r>
        <w:t xml:space="preserve">MB/s (as of 2024, approximate; outer tracks are faster than inner tracks).</w:t>
      </w:r>
    </w:p>
    <w:p>
      <w:pPr>
        <w:numPr>
          <w:ilvl w:val="0"/>
          <w:numId w:val="1150"/>
        </w:numPr>
        <w:pStyle w:val="Compact"/>
      </w:pPr>
      <w:r>
        <w:t xml:space="preserve">One revolution:</w:t>
      </w:r>
      <w:r>
        <w:t xml:space="preserve"> </w:t>
      </w:r>
      <m:oMath>
        <m:r>
          <m:t>60</m:t>
        </m:r>
        <m:r>
          <m:rPr>
            <m:sty m:val="p"/>
          </m:rPr>
          <m:t>/</m:t>
        </m:r>
        <m:r>
          <m:t>7200</m:t>
        </m:r>
        <m:r>
          <m:rPr>
            <m:sty m:val="p"/>
          </m:rPr>
          <m:t>=</m:t>
        </m:r>
        <m:r>
          <m:t>0.008</m:t>
        </m:r>
        <m:r>
          <m:t> </m:t>
        </m:r>
        <m:r>
          <m:t>33</m:t>
        </m:r>
      </m:oMath>
      <w:r>
        <w:t xml:space="preserve"> </w:t>
      </w:r>
      <w:r>
        <w:t xml:space="preserve">s</w:t>
      </w:r>
      <w:r>
        <w:t xml:space="preserve"> </w:t>
      </w:r>
      <m:oMath>
        <m:r>
          <m:rPr>
            <m:sty m:val="p"/>
          </m:rPr>
          <m:t>=</m:t>
        </m:r>
        <m:r>
          <m:t>8.33</m:t>
        </m:r>
      </m:oMath>
      <w:r>
        <w:t xml:space="preserve"> </w:t>
      </w:r>
      <w:r>
        <w:t xml:space="preserve">ms, so</w:t>
      </w:r>
      <w:r>
        <w:t xml:space="preserve"> </w:t>
      </w:r>
      <m:oMath>
        <m:sSub>
          <m:e>
            <m:r>
              <m:t>T</m:t>
            </m:r>
          </m:e>
          <m:sub>
            <m:r>
              <m:t>r</m:t>
            </m:r>
            <m:r>
              <m:t>o</m:t>
            </m:r>
            <m:r>
              <m:t>t</m:t>
            </m:r>
          </m:sub>
        </m:sSub>
        <m:r>
          <m:rPr>
            <m:sty m:val="p"/>
          </m:rPr>
          <m:t>=</m:t>
        </m:r>
        <m:r>
          <m:t>8.33</m:t>
        </m:r>
        <m:r>
          <m:rPr>
            <m:sty m:val="p"/>
          </m:rPr>
          <m:t>/</m:t>
        </m:r>
        <m:r>
          <m:t>2</m:t>
        </m:r>
        <m:r>
          <m:rPr>
            <m:sty m:val="p"/>
          </m:rPr>
          <m:t>=</m:t>
        </m:r>
        <m:r>
          <m:t>4.17</m:t>
        </m:r>
      </m:oMath>
      <w:r>
        <w:t xml:space="preserve"> </w:t>
      </w:r>
      <w:r>
        <w:t xml:space="preserve">ms.</w:t>
      </w:r>
    </w:p>
    <w:p>
      <w:pPr>
        <w:numPr>
          <w:ilvl w:val="0"/>
          <w:numId w:val="1150"/>
        </w:numPr>
        <w:pStyle w:val="Compact"/>
      </w:pPr>
      <w:r>
        <w:t xml:space="preserve">Transfer of a 4 KiB block:</w:t>
      </w:r>
      <w:r>
        <w:t xml:space="preserve"> </w:t>
      </w:r>
      <m:oMath>
        <m:r>
          <m:t>4096</m:t>
        </m:r>
        <m:r>
          <m:rPr>
            <m:sty m:val="p"/>
          </m:rPr>
          <m:t>/</m:t>
        </m:r>
        <m:d>
          <m:dPr>
            <m:begChr m:val="("/>
            <m:endChr m:val=")"/>
            <m:sepChr m:val=""/>
            <m:grow/>
          </m:dPr>
          <m:e>
            <m:r>
              <m:t>200</m:t>
            </m:r>
            <m:r>
              <m:rPr>
                <m:sty m:val="p"/>
              </m:rPr>
              <m:t>×</m:t>
            </m:r>
            <m:sSup>
              <m:e>
                <m:r>
                  <m:t>10</m:t>
                </m:r>
              </m:e>
              <m:sup>
                <m:r>
                  <m:t>6</m:t>
                </m:r>
              </m:sup>
            </m:sSup>
          </m:e>
        </m:d>
        <m:r>
          <m:rPr>
            <m:sty m:val="p"/>
          </m:rPr>
          <m:t>=</m:t>
        </m:r>
        <m:r>
          <m:t>2.05</m:t>
        </m:r>
        <m:r>
          <m:rPr>
            <m:sty m:val="p"/>
          </m:rPr>
          <m:t>×</m:t>
        </m:r>
        <m:sSup>
          <m:e>
            <m:r>
              <m:t>10</m:t>
            </m:r>
          </m:e>
          <m:sup>
            <m:r>
              <m:rPr>
                <m:sty m:val="p"/>
              </m:rPr>
              <m:t>−</m:t>
            </m:r>
            <m:r>
              <m:t>5</m:t>
            </m:r>
          </m:sup>
        </m:sSup>
      </m:oMath>
      <w:r>
        <w:t xml:space="preserve"> </w:t>
      </w:r>
      <w:r>
        <w:t xml:space="preserve">s</w:t>
      </w:r>
      <w:r>
        <w:t xml:space="preserve"> </w:t>
      </w:r>
      <m:oMath>
        <m:r>
          <m:rPr>
            <m:sty m:val="p"/>
          </m:rPr>
          <m:t>=</m:t>
        </m:r>
        <m:r>
          <m:t>0.02</m:t>
        </m:r>
      </m:oMath>
      <w:r>
        <w:t xml:space="preserve"> </w:t>
      </w:r>
      <w:r>
        <w:t xml:space="preserve">ms.</w:t>
      </w:r>
    </w:p>
    <w:p>
      <w:pPr>
        <w:numPr>
          <w:ilvl w:val="0"/>
          <w:numId w:val="1150"/>
        </w:numPr>
        <w:pStyle w:val="Compact"/>
      </w:pPr>
      <w:r>
        <w:t xml:space="preserve">Random 4 KiB read:</w:t>
      </w:r>
      <w:r>
        <w:t xml:space="preserve"> </w:t>
      </w:r>
      <m:oMath>
        <m:sSub>
          <m:e>
            <m:r>
              <m:t>T</m:t>
            </m:r>
          </m:e>
          <m:sub>
            <m:r>
              <m:t>a</m:t>
            </m:r>
            <m:r>
              <m:t>c</m:t>
            </m:r>
            <m:r>
              <m:t>c</m:t>
            </m:r>
            <m:r>
              <m:t>e</m:t>
            </m:r>
            <m:r>
              <m:t>s</m:t>
            </m:r>
            <m:r>
              <m:t>s</m:t>
            </m:r>
          </m:sub>
        </m:sSub>
        <m:r>
          <m:rPr>
            <m:sty m:val="p"/>
          </m:rPr>
          <m:t>=</m:t>
        </m:r>
        <m:r>
          <m:t>8.5</m:t>
        </m:r>
        <m:r>
          <m:rPr>
            <m:sty m:val="p"/>
          </m:rPr>
          <m:t>+</m:t>
        </m:r>
        <m:r>
          <m:t>4.17</m:t>
        </m:r>
        <m:r>
          <m:rPr>
            <m:sty m:val="p"/>
          </m:rPr>
          <m:t>+</m:t>
        </m:r>
        <m:r>
          <m:t>0.02</m:t>
        </m:r>
        <m:r>
          <m:rPr>
            <m:sty m:val="p"/>
          </m:rPr>
          <m:t>=</m:t>
        </m:r>
        <m:r>
          <m:t>12.69</m:t>
        </m:r>
      </m:oMath>
      <w:r>
        <w:t xml:space="preserve"> </w:t>
      </w:r>
      <w:r>
        <w:t xml:space="preserve">ms.</w:t>
      </w:r>
    </w:p>
    <w:p>
      <w:pPr>
        <w:numPr>
          <w:ilvl w:val="0"/>
          <w:numId w:val="1150"/>
        </w:numPr>
        <w:pStyle w:val="Compact"/>
      </w:pPr>
      <w:r>
        <w:t xml:space="preserve">Random IOPS</w:t>
      </w:r>
      <w:r>
        <w:t xml:space="preserve"> </w:t>
      </w:r>
      <m:oMath>
        <m:r>
          <m:rPr>
            <m:sty m:val="p"/>
          </m:rPr>
          <m:t>≈</m:t>
        </m:r>
        <m:r>
          <m:t>1</m:t>
        </m:r>
        <m:r>
          <m:rPr>
            <m:sty m:val="p"/>
          </m:rPr>
          <m:t>/</m:t>
        </m:r>
        <m:r>
          <m:t>0.012</m:t>
        </m:r>
        <m:r>
          <m:t> </m:t>
        </m:r>
        <m:r>
          <m:t>69</m:t>
        </m:r>
        <m:r>
          <m:rPr>
            <m:sty m:val="p"/>
          </m:rPr>
          <m:t>≈</m:t>
        </m:r>
        <m:r>
          <m:t>79</m:t>
        </m:r>
      </m:oMath>
      <w:r>
        <w:t xml:space="preserve"> </w:t>
      </w:r>
      <w:r>
        <w:t xml:space="preserve">operations/s, so random throughput</w:t>
      </w:r>
      <w:r>
        <w:t xml:space="preserve"> </w:t>
      </w:r>
      <m:oMath>
        <m:r>
          <m:rPr>
            <m:sty m:val="p"/>
          </m:rPr>
          <m:t>=</m:t>
        </m:r>
        <m:r>
          <m:t>79</m:t>
        </m:r>
        <m:r>
          <m:rPr>
            <m:sty m:val="p"/>
          </m:rPr>
          <m:t>×</m:t>
        </m:r>
        <m:r>
          <m:t>4096</m:t>
        </m:r>
        <m:r>
          <m:rPr>
            <m:sty m:val="p"/>
          </m:rPr>
          <m:t>≈</m:t>
        </m:r>
        <m:r>
          <m:t>0.32</m:t>
        </m:r>
      </m:oMath>
      <w:r>
        <w:t xml:space="preserve"> </w:t>
      </w:r>
      <w:r>
        <w:t xml:space="preserve">MB/s.</w:t>
      </w:r>
    </w:p>
    <w:p>
      <w:pPr>
        <w:numPr>
          <w:ilvl w:val="0"/>
          <w:numId w:val="1150"/>
        </w:numPr>
        <w:pStyle w:val="Compact"/>
      </w:pPr>
      <w:r>
        <w:t xml:space="preserve">Sequential throughput</w:t>
      </w:r>
      <w:r>
        <w:t xml:space="preserve"> </w:t>
      </w:r>
      <m:oMath>
        <m:r>
          <m:rPr>
            <m:sty m:val="p"/>
          </m:rPr>
          <m:t>≈</m:t>
        </m:r>
        <m:r>
          <m:t>200</m:t>
        </m:r>
      </m:oMath>
      <w:r>
        <w:t xml:space="preserve"> </w:t>
      </w:r>
      <w:r>
        <w:t xml:space="preserve">MB/s, which is</w:t>
      </w:r>
      <w:r>
        <w:t xml:space="preserve"> </w:t>
      </w:r>
      <m:oMath>
        <m:r>
          <m:t>200</m:t>
        </m:r>
        <m:r>
          <m:rPr>
            <m:sty m:val="p"/>
          </m:rPr>
          <m:t>/</m:t>
        </m:r>
        <m:r>
          <m:t>0.32</m:t>
        </m:r>
        <m:r>
          <m:rPr>
            <m:sty m:val="p"/>
          </m:rPr>
          <m:t>≈</m:t>
        </m:r>
        <m:r>
          <m:t>620</m:t>
        </m:r>
        <m:r>
          <m:rPr>
            <m:sty m:val="p"/>
          </m:rPr>
          <m:t>×</m:t>
        </m:r>
      </m:oMath>
      <w:r>
        <w:t xml:space="preserve"> </w:t>
      </w:r>
      <w:r>
        <w:t xml:space="preserve">the random throughput.</w:t>
      </w:r>
    </w:p>
    <w:p>
      <w:pPr>
        <w:numPr>
          <w:ilvl w:val="0"/>
          <w:numId w:val="1150"/>
        </w:numPr>
        <w:pStyle w:val="Compact"/>
      </w:pPr>
      <w:r>
        <w:t xml:space="preserve">Reading 100 MB contiguously after one positioning:</w:t>
      </w:r>
      <w:r>
        <w:t xml:space="preserve"> </w:t>
      </w:r>
      <m:oMath>
        <m:r>
          <m:t>12.67</m:t>
        </m:r>
        <m:r>
          <m:rPr>
            <m:sty m:val="p"/>
          </m:rPr>
          <m:t>+</m:t>
        </m:r>
        <m:d>
          <m:dPr>
            <m:begChr m:val="("/>
            <m:endChr m:val=")"/>
            <m:sepChr m:val=""/>
            <m:grow/>
          </m:dPr>
          <m:e>
            <m:sSup>
              <m:e>
                <m:r>
                  <m:t>10</m:t>
                </m:r>
              </m:e>
              <m:sup>
                <m:r>
                  <m:t>8</m:t>
                </m:r>
              </m:sup>
            </m:sSup>
            <m:r>
              <m:rPr>
                <m:sty m:val="p"/>
              </m:rPr>
              <m:t>/</m:t>
            </m:r>
            <m:r>
              <m:t>2</m:t>
            </m:r>
            <m:r>
              <m:rPr>
                <m:sty m:val="p"/>
              </m:rPr>
              <m:t>×</m:t>
            </m:r>
            <m:sSup>
              <m:e>
                <m:r>
                  <m:t>10</m:t>
                </m:r>
              </m:e>
              <m:sup>
                <m:r>
                  <m:t>8</m:t>
                </m:r>
              </m:sup>
            </m:sSup>
          </m:e>
        </m:d>
        <m:r>
          <m:rPr>
            <m:sty m:val="p"/>
          </m:rPr>
          <m:t>×</m:t>
        </m:r>
        <m:r>
          <m:t>1000</m:t>
        </m:r>
        <m:r>
          <m:rPr>
            <m:sty m:val="p"/>
          </m:rPr>
          <m:t>=</m:t>
        </m:r>
        <m:r>
          <m:t>12.67</m:t>
        </m:r>
        <m:r>
          <m:rPr>
            <m:sty m:val="p"/>
          </m:rPr>
          <m:t>+</m:t>
        </m:r>
        <m:r>
          <m:t>500</m:t>
        </m:r>
        <m:r>
          <m:rPr>
            <m:sty m:val="p"/>
          </m:rPr>
          <m:t>=</m:t>
        </m:r>
        <m:r>
          <m:t>512.67</m:t>
        </m:r>
      </m:oMath>
      <w:r>
        <w:t xml:space="preserve"> </w:t>
      </w:r>
      <w:r>
        <w:t xml:space="preserve">ms, an effective</w:t>
      </w:r>
      <w:r>
        <w:t xml:space="preserve"> </w:t>
      </w:r>
      <m:oMath>
        <m:sSup>
          <m:e>
            <m:r>
              <m:t>10</m:t>
            </m:r>
          </m:e>
          <m:sup>
            <m:r>
              <m:t>8</m:t>
            </m:r>
          </m:sup>
        </m:sSup>
        <m:r>
          <m:rPr>
            <m:sty m:val="p"/>
          </m:rPr>
          <m:t>/</m:t>
        </m:r>
        <m:r>
          <m:t>0.512</m:t>
        </m:r>
        <m:r>
          <m:t> </m:t>
        </m:r>
        <m:r>
          <m:t>67</m:t>
        </m:r>
        <m:r>
          <m:rPr>
            <m:sty m:val="p"/>
          </m:rPr>
          <m:t>≈</m:t>
        </m:r>
        <m:r>
          <m:t>195</m:t>
        </m:r>
      </m:oMath>
      <w:r>
        <w:t xml:space="preserve"> </w:t>
      </w:r>
      <w:r>
        <w:t xml:space="preserve">MB/s — 97.5% of the maximum.</w:t>
      </w:r>
    </w:p>
    <w:p>
      <w:pPr>
        <w:pStyle w:val="CalloutExample"/>
      </w:pPr>
      <w:r>
        <w:rPr>
          <w:bCs/>
          <w:b/>
        </w:rPr>
        <w:t xml:space="preserve">Interpretation.</w:t>
      </w:r>
      <w:r>
        <w:t xml:space="preserve"> </w:t>
      </w:r>
      <w:r>
        <w:t xml:space="preserve">For small random reads, 99.8% of the time is mechanical positioning (</w:t>
      </w:r>
      <m:oMath>
        <m:r>
          <m:t>12.67</m:t>
        </m:r>
        <m:r>
          <m:rPr>
            <m:sty m:val="p"/>
          </m:rPr>
          <m:t>/</m:t>
        </m:r>
        <m:r>
          <m:t>12.69</m:t>
        </m:r>
      </m:oMath>
      <w:r>
        <w:t xml:space="preserve">).</w:t>
      </w:r>
      <w:r>
        <w:t xml:space="preserve"> </w:t>
      </w:r>
      <w:r>
        <w:rPr>
          <w:bCs/>
          <w:b/>
        </w:rPr>
        <w:t xml:space="preserve">Engineering implication.</w:t>
      </w:r>
      <w:r>
        <w:t xml:space="preserve"> </w:t>
      </w:r>
      <w:r>
        <w:t xml:space="preserve">On disks, design for large sequential transfers: append-only logs, LSM trees (§13.8), large blocks in distributed file systems (§15.5) and batch scans. Even a 15,000 RPM enterprise disk (</w:t>
      </w:r>
      <m:oMath>
        <m:sSub>
          <m:e>
            <m:r>
              <m:t>T</m:t>
            </m:r>
          </m:e>
          <m:sub>
            <m:r>
              <m:t>r</m:t>
            </m:r>
            <m:r>
              <m:t>o</m:t>
            </m:r>
            <m:r>
              <m:t>t</m:t>
            </m:r>
          </m:sub>
        </m:sSub>
        <m:r>
          <m:rPr>
            <m:sty m:val="p"/>
          </m:rPr>
          <m:t>=</m:t>
        </m:r>
        <m:r>
          <m:t>2</m:t>
        </m:r>
      </m:oMath>
      <w:r>
        <w:t xml:space="preserve"> </w:t>
      </w:r>
      <w:r>
        <w:t xml:space="preserve">ms, seek ≈ 3.5 ms) reaches only about</w:t>
      </w:r>
      <w:r>
        <w:t xml:space="preserve"> </w:t>
      </w:r>
      <m:oMath>
        <m:r>
          <m:t>1</m:t>
        </m:r>
        <m:r>
          <m:rPr>
            <m:sty m:val="p"/>
          </m:rPr>
          <m:t>/</m:t>
        </m:r>
        <m:r>
          <m:t>0.0055</m:t>
        </m:r>
        <m:r>
          <m:rPr>
            <m:sty m:val="p"/>
          </m:rPr>
          <m:t>≈</m:t>
        </m:r>
        <m:r>
          <m:t>180</m:t>
        </m:r>
      </m:oMath>
      <w:r>
        <w:t xml:space="preserve"> </w:t>
      </w:r>
      <w:r>
        <w:t xml:space="preserve">random IOPS.</w:t>
      </w:r>
    </w:p>
    <w:p>
      <w:pPr>
        <w:pStyle w:val="BodyText"/>
      </w:pPr>
      <w:r>
        <w:t xml:space="preserve">HDDs remain the cheapest online storage per byte (Table 5.5), so they still hold most of the world’s bulk data in object stores and backup systems — where access is overwhelmingly sequential [Ruemmler &amp; Wilkes 1994].</w:t>
      </w:r>
    </w:p>
    <w:bookmarkEnd w:id="505"/>
    <w:bookmarkEnd w:id="506"/>
    <w:bookmarkStart w:id="510" w:name="solid-state-drives-ssds-and-flash-memory"/>
    <w:p>
      <w:pPr>
        <w:pStyle w:val="Heading3"/>
      </w:pPr>
      <w:r>
        <w:t xml:space="preserve">5.6.2 Solid-state drives (SSDs) and flash memory</w:t>
      </w:r>
    </w:p>
    <w:p>
      <w:pPr>
        <w:pStyle w:val="CalloutDefinition"/>
      </w:pPr>
      <w:r>
        <w:rPr>
          <w:bCs/>
          <w:b/>
        </w:rPr>
        <w:t xml:space="preserve">DEFINITION</w:t>
      </w:r>
    </w:p>
    <w:p>
      <w:pPr>
        <w:pStyle w:val="CalloutDefinition"/>
      </w:pPr>
      <w:r>
        <w:rPr>
          <w:bCs/>
          <w:b/>
        </w:rPr>
        <w:t xml:space="preserve">Definition — Solid-state drive (SSD).</w:t>
      </w:r>
      <w:r>
        <w:t xml:space="preserve"> </w:t>
      </w:r>
      <w:r>
        <w:t xml:space="preserve">A storage device with no moving parts that stores data in</w:t>
      </w:r>
      <w:r>
        <w:t xml:space="preserve"> </w:t>
      </w:r>
      <w:r>
        <w:rPr>
          <w:bCs/>
          <w:b/>
        </w:rPr>
        <w:t xml:space="preserve">NAND flash</w:t>
      </w:r>
      <w:r>
        <w:t xml:space="preserve"> </w:t>
      </w:r>
      <w:r>
        <w:t xml:space="preserve">memory cells, managed by an on-board controller running a</w:t>
      </w:r>
      <w:r>
        <w:t xml:space="preserve"> </w:t>
      </w:r>
      <w:r>
        <w:rPr>
          <w:bCs/>
          <w:b/>
        </w:rPr>
        <w:t xml:space="preserve">flash translation layer</w:t>
      </w:r>
      <w:r>
        <w:t xml:space="preserve"> </w:t>
      </w:r>
      <w:r>
        <w:t xml:space="preserve">(FTL).</w:t>
      </w:r>
    </w:p>
    <w:p>
      <w:pPr>
        <w:pStyle w:val="BodyText"/>
      </w:pPr>
      <w:r>
        <w:t xml:space="preserve">Flash is fast to read and has no seek time, but it has three peculiar rules that shape everything about SSD behavior [Agrawal et al. 2008]:</w:t>
      </w:r>
    </w:p>
    <w:p>
      <w:pPr>
        <w:numPr>
          <w:ilvl w:val="0"/>
          <w:numId w:val="1151"/>
        </w:numPr>
        <w:pStyle w:val="Compact"/>
      </w:pPr>
      <w:r>
        <w:rPr>
          <w:bCs/>
          <w:b/>
        </w:rPr>
        <w:t xml:space="preserve">Read and write in pages.</w:t>
      </w:r>
      <w:r>
        <w:t xml:space="preserve"> </w:t>
      </w:r>
      <w:r>
        <w:t xml:space="preserve">The smallest unit you can read or program (write) is a</w:t>
      </w:r>
      <w:r>
        <w:t xml:space="preserve"> </w:t>
      </w:r>
      <w:r>
        <w:rPr>
          <w:bCs/>
          <w:b/>
        </w:rPr>
        <w:t xml:space="preserve">page</w:t>
      </w:r>
      <w:r>
        <w:t xml:space="preserve">, typically 4–16 KiB (as of 2024, approximate).</w:t>
      </w:r>
    </w:p>
    <w:p>
      <w:pPr>
        <w:numPr>
          <w:ilvl w:val="0"/>
          <w:numId w:val="1151"/>
        </w:numPr>
        <w:pStyle w:val="Compact"/>
      </w:pPr>
      <w:r>
        <w:rPr>
          <w:bCs/>
          <w:b/>
        </w:rPr>
        <w:t xml:space="preserve">Erase in blocks.</w:t>
      </w:r>
      <w:r>
        <w:t xml:space="preserve"> </w:t>
      </w:r>
      <w:r>
        <w:t xml:space="preserve">A page cannot be overwritten in place. It must first be erased, and erasure works only on a whole</w:t>
      </w:r>
      <w:r>
        <w:t xml:space="preserve"> </w:t>
      </w:r>
      <w:r>
        <w:rPr>
          <w:bCs/>
          <w:b/>
        </w:rPr>
        <w:t xml:space="preserve">erase block</w:t>
      </w:r>
      <w:r>
        <w:t xml:space="preserve"> </w:t>
      </w:r>
      <w:r>
        <w:t xml:space="preserve">of hundreds of pages (several MiB in modern chips).</w:t>
      </w:r>
    </w:p>
    <w:p>
      <w:pPr>
        <w:numPr>
          <w:ilvl w:val="0"/>
          <w:numId w:val="1151"/>
        </w:numPr>
        <w:pStyle w:val="Compact"/>
      </w:pPr>
      <w:r>
        <w:rPr>
          <w:bCs/>
          <w:b/>
        </w:rPr>
        <w:t xml:space="preserve">Cells wear out.</w:t>
      </w:r>
      <w:r>
        <w:t xml:space="preserve"> </w:t>
      </w:r>
      <w:r>
        <w:t xml:space="preserve">Each block survives a limited number of program/erase (P/E) cycles — on the order of 1,000–3,000 for TLC (three bits per cell) flash and fewer for QLC (four bits per cell) (as of 2024, approximate; vendors rarely publish exact figures).</w:t>
      </w:r>
    </w:p>
    <w:p>
      <w:pPr>
        <w:pStyle w:val="FirstParagraph"/>
      </w:pPr>
      <w:r>
        <w:t xml:space="preserve">The analogy is a notebook written in pen. You cannot rub out one line; to reuse a page you must tear out a whole chapter, and the binding can only take so many tear-outs. So when you</w:t>
      </w:r>
      <w:r>
        <w:t xml:space="preserve"> </w:t>
      </w:r>
      <w:r>
        <w:t xml:space="preserve">“</w:t>
      </w:r>
      <w:r>
        <w:t xml:space="preserve">update</w:t>
      </w:r>
      <w:r>
        <w:t xml:space="preserve">”</w:t>
      </w:r>
      <w:r>
        <w:t xml:space="preserve"> </w:t>
      </w:r>
      <w:r>
        <w:t xml:space="preserve">a line, you write the new version on a fresh page and cross out the old one. Periodically you copy the still-valid lines from a messy chapter to a fresh one and tear the old chapter out. That is exactly what an SSD controller does.</w:t>
      </w:r>
    </w:p>
    <w:p>
      <w:pPr>
        <w:pStyle w:val="BodyText"/>
      </w:pPr>
      <w:r>
        <w:rPr>
          <w:bCs/>
          <w:b/>
        </w:rPr>
        <w:t xml:space="preserve">Figure 5.6 — How an SSD handles an overwrite and garbage collection.</w:t>
      </w:r>
    </w:p>
    <w:p>
      <w:pPr>
        <w:pStyle w:val="BodyText"/>
      </w:pPr>
      <w:r>
        <w:drawing>
          <wp:inline>
            <wp:extent cx="5334000" cy="1860476"/>
            <wp:effectExtent b="0" l="0" r="0" t="0"/>
            <wp:docPr descr="" title="" id="508" name="Picture"/>
            <a:graphic>
              <a:graphicData uri="http://schemas.openxmlformats.org/drawingml/2006/picture">
                <pic:pic>
                  <pic:nvPicPr>
                    <pic:cNvPr descr="/home/user/System-Design/build/.cache/diagrams/e64a78d4cd37.png" id="509" name="Picture"/>
                    <pic:cNvPicPr>
                      <a:picLocks noChangeArrowheads="1" noChangeAspect="1"/>
                    </pic:cNvPicPr>
                  </pic:nvPicPr>
                  <pic:blipFill>
                    <a:blip r:embed="rId507"/>
                    <a:stretch>
                      <a:fillRect/>
                    </a:stretch>
                  </pic:blipFill>
                  <pic:spPr bwMode="auto">
                    <a:xfrm>
                      <a:off x="0" y="0"/>
                      <a:ext cx="5334000" cy="1860476"/>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host addresses data by</w:t>
      </w:r>
      <w:r>
        <w:t xml:space="preserve"> </w:t>
      </w:r>
      <w:r>
        <w:rPr>
          <w:bCs/>
          <w:b/>
        </w:rPr>
        <w:t xml:space="preserve">logical block address</w:t>
      </w:r>
      <w:r>
        <w:t xml:space="preserve"> </w:t>
      </w:r>
      <w:r>
        <w:t xml:space="preserve">(LBA); the FTL translates LBAs to physical flash pages using a mapping table held in the SSD’s own DRAM (backed up to flash). An overwrite from the host (solid arrows, synchronous with the write command) becomes</w:t>
      </w:r>
      <w:r>
        <w:t xml:space="preserve"> </w:t>
      </w:r>
      <w:r>
        <w:t xml:space="preserve">“</w:t>
      </w:r>
      <w:r>
        <w:t xml:space="preserve">program a fresh page, then repoint the mapping</w:t>
      </w:r>
      <w:r>
        <w:t xml:space="preserve">”</w:t>
      </w:r>
      <w:r>
        <w:t xml:space="preserve">, and the old page is merely marked invalid. In the background (dotted arrows, asynchronous), the</w:t>
      </w:r>
      <w:r>
        <w:t xml:space="preserve"> </w:t>
      </w:r>
      <w:r>
        <w:rPr>
          <w:bCs/>
          <w:b/>
        </w:rPr>
        <w:t xml:space="preserve">garbage collector</w:t>
      </w:r>
      <w:r>
        <w:t xml:space="preserve"> </w:t>
      </w:r>
      <w:r>
        <w:t xml:space="preserve">chooses a block with few valid pages, copies the survivors elsewhere and erases the block, returning it to the free pool. The failure point is garbage collection under sustained random writes: when free blocks run out, the host’s writes wait behind GC, producing latency spikes. Drives mitigate this with</w:t>
      </w:r>
      <w:r>
        <w:t xml:space="preserve"> </w:t>
      </w:r>
      <w:r>
        <w:rPr>
          <w:bCs/>
          <w:b/>
        </w:rPr>
        <w:t xml:space="preserve">over-provisioning</w:t>
      </w:r>
      <w:r>
        <w:t xml:space="preserve"> </w:t>
      </w:r>
      <w:r>
        <w:t xml:space="preserve">(spare capacity invisible to the host) and the host helps with</w:t>
      </w:r>
      <w:r>
        <w:t xml:space="preserve"> </w:t>
      </w:r>
      <w:r>
        <w:rPr>
          <w:bCs/>
          <w:b/>
        </w:rPr>
        <w:t xml:space="preserve">TRIM</w:t>
      </w:r>
      <w:r>
        <w:t xml:space="preserve">/deallocate commands that tell the drive which pages no longer hold useful data. The mapping table is also why SSDs need power-loss protection capacitors in enterprise models.</w:t>
      </w:r>
    </w:p>
    <w:bookmarkEnd w:id="510"/>
    <w:bookmarkStart w:id="511" w:name="write-amplification-and-endurance"/>
    <w:p>
      <w:pPr>
        <w:pStyle w:val="Heading3"/>
      </w:pPr>
      <w:r>
        <w:t xml:space="preserve">5.6.3 Write amplification and endurance</w:t>
      </w:r>
    </w:p>
    <w:p>
      <w:pPr>
        <w:pStyle w:val="CalloutFormula"/>
      </w:pPr>
      <w:r>
        <w:rPr>
          <w:bCs/>
          <w:b/>
        </w:rPr>
        <w:t xml:space="preserve">FORMULA</w:t>
      </w:r>
    </w:p>
    <w:p>
      <w:pPr>
        <w:pStyle w:val="CalloutFormula"/>
      </w:pPr>
      <w:r>
        <w:rPr>
          <w:bCs/>
          <w:b/>
        </w:rPr>
        <w:t xml:space="preserve">Write amplification factor and drive lifetime</w:t>
      </w:r>
    </w:p>
    <w:p>
      <w:pPr>
        <w:pStyle w:val="CalloutFormula"/>
      </w:pPr>
      <m:oMathPara>
        <m:oMathParaPr>
          <m:jc m:val="center"/>
        </m:oMathParaPr>
        <m:oMath>
          <m:r>
            <m:t>W</m:t>
          </m:r>
          <m:r>
            <m:t>A</m:t>
          </m:r>
          <m:r>
            <m:t>F</m:t>
          </m:r>
          <m:r>
            <m:rPr>
              <m:sty m:val="p"/>
            </m:rPr>
            <m:t>=</m:t>
          </m:r>
          <m:f>
            <m:fPr>
              <m:type m:val="bar"/>
            </m:fPr>
            <m:num>
              <m:r>
                <m:rPr>
                  <m:nor/>
                  <m:sty m:val="p"/>
                </m:rPr>
                <m:t>bytes written to flash</m:t>
              </m:r>
            </m:num>
            <m:den>
              <m:r>
                <m:rPr>
                  <m:nor/>
                  <m:sty m:val="p"/>
                </m:rPr>
                <m:t>bytes written by the host</m:t>
              </m:r>
            </m:den>
          </m:f>
          <m:r>
            <m:rPr>
              <m:sty m:val="p"/>
            </m:rPr>
            <m:t>,</m:t>
          </m:r>
          <m:r>
            <m:t>  </m:t>
          </m:r>
          <m:r>
            <m:rPr>
              <m:nor/>
              <m:sty m:val="p"/>
            </m:rPr>
            <m:t>Lifetime (days)</m:t>
          </m:r>
          <m:r>
            <m:rPr>
              <m:sty m:val="p"/>
            </m:rPr>
            <m:t>≈</m:t>
          </m:r>
          <m:f>
            <m:fPr>
              <m:type m:val="bar"/>
            </m:fPr>
            <m:num>
              <m:r>
                <m:t>C</m:t>
              </m:r>
              <m:r>
                <m:rPr>
                  <m:sty m:val="p"/>
                </m:rPr>
                <m:t>×</m:t>
              </m:r>
              <m:r>
                <m:t>P</m:t>
              </m:r>
              <m:r>
                <m:t>E</m:t>
              </m:r>
            </m:num>
            <m:den>
              <m:sSub>
                <m:e>
                  <m:r>
                    <m:t>W</m:t>
                  </m:r>
                </m:e>
                <m:sub>
                  <m:r>
                    <m:t>h</m:t>
                  </m:r>
                  <m:r>
                    <m:t>o</m:t>
                  </m:r>
                  <m:r>
                    <m:t>s</m:t>
                  </m:r>
                  <m:r>
                    <m:t>t</m:t>
                  </m:r>
                </m:sub>
              </m:sSub>
              <m:r>
                <m:rPr>
                  <m:sty m:val="p"/>
                </m:rPr>
                <m:t>×</m:t>
              </m:r>
              <m:r>
                <m:t>W</m:t>
              </m:r>
              <m:r>
                <m:t>A</m:t>
              </m:r>
              <m:r>
                <m:t>F</m:t>
              </m:r>
            </m:den>
          </m:f>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W</m:t>
              </m:r>
              <m:r>
                <m:t>A</m:t>
              </m:r>
              <m:r>
                <m:t>F</m:t>
              </m:r>
            </m:oMath>
          </w:p>
        </w:tc>
        <w:tc>
          <w:tcPr/>
          <w:p>
            <w:pPr>
              <w:pStyle w:val="Compact"/>
              <w:jc w:val="left"/>
            </w:pPr>
            <w:r>
              <w:t xml:space="preserve">Write amplification factor (≥ 1 for a drive without compression)</w:t>
            </w:r>
          </w:p>
        </w:tc>
        <w:tc>
          <w:tcPr/>
          <w:p>
            <w:pPr>
              <w:pStyle w:val="Compact"/>
              <w:jc w:val="left"/>
            </w:pPr>
            <w:r>
              <w:t xml:space="preserve">dimensionless</w:t>
            </w:r>
          </w:p>
        </w:tc>
      </w:tr>
      <w:tr>
        <w:tc>
          <w:tcPr/>
          <w:p>
            <w:pPr>
              <w:pStyle w:val="Compact"/>
              <w:jc w:val="left"/>
            </w:pPr>
            <m:oMath>
              <m:r>
                <m:t>C</m:t>
              </m:r>
            </m:oMath>
          </w:p>
        </w:tc>
        <w:tc>
          <w:tcPr/>
          <w:p>
            <w:pPr>
              <w:pStyle w:val="Compact"/>
              <w:jc w:val="left"/>
            </w:pPr>
            <w:r>
              <w:t xml:space="preserve">Raw flash capacity</w:t>
            </w:r>
          </w:p>
        </w:tc>
        <w:tc>
          <w:tcPr/>
          <w:p>
            <w:pPr>
              <w:pStyle w:val="Compact"/>
              <w:jc w:val="left"/>
            </w:pPr>
            <w:r>
              <w:t xml:space="preserve">bytes</w:t>
            </w:r>
          </w:p>
        </w:tc>
      </w:tr>
      <w:tr>
        <w:tc>
          <w:tcPr/>
          <w:p>
            <w:pPr>
              <w:pStyle w:val="Compact"/>
              <w:jc w:val="left"/>
            </w:pPr>
            <m:oMath>
              <m:r>
                <m:t>P</m:t>
              </m:r>
              <m:r>
                <m:t>E</m:t>
              </m:r>
            </m:oMath>
          </w:p>
        </w:tc>
        <w:tc>
          <w:tcPr/>
          <w:p>
            <w:pPr>
              <w:pStyle w:val="Compact"/>
              <w:jc w:val="left"/>
            </w:pPr>
            <w:r>
              <w:t xml:space="preserve">Rated program/erase cycles per block</w:t>
            </w:r>
          </w:p>
        </w:tc>
        <w:tc>
          <w:tcPr/>
          <w:p>
            <w:pPr>
              <w:pStyle w:val="Compact"/>
              <w:jc w:val="left"/>
            </w:pPr>
            <w:r>
              <w:t xml:space="preserve">cycles</w:t>
            </w:r>
          </w:p>
        </w:tc>
      </w:tr>
      <w:tr>
        <w:tc>
          <w:tcPr/>
          <w:p>
            <w:pPr>
              <w:pStyle w:val="Compact"/>
              <w:jc w:val="left"/>
            </w:pPr>
            <m:oMath>
              <m:sSub>
                <m:e>
                  <m:r>
                    <m:t>W</m:t>
                  </m:r>
                </m:e>
                <m:sub>
                  <m:r>
                    <m:t>h</m:t>
                  </m:r>
                  <m:r>
                    <m:t>o</m:t>
                  </m:r>
                  <m:r>
                    <m:t>s</m:t>
                  </m:r>
                  <m:r>
                    <m:t>t</m:t>
                  </m:r>
                </m:sub>
              </m:sSub>
            </m:oMath>
          </w:p>
        </w:tc>
        <w:tc>
          <w:tcPr/>
          <w:p>
            <w:pPr>
              <w:pStyle w:val="Compact"/>
              <w:jc w:val="left"/>
            </w:pPr>
            <w:r>
              <w:t xml:space="preserve">Host write volume per day</w:t>
            </w:r>
          </w:p>
        </w:tc>
        <w:tc>
          <w:tcPr/>
          <w:p>
            <w:pPr>
              <w:pStyle w:val="Compact"/>
              <w:jc w:val="left"/>
            </w:pPr>
            <w:r>
              <w:t xml:space="preserve">bytes/day</w:t>
            </w:r>
          </w:p>
        </w:tc>
      </w:tr>
    </w:tbl>
    <w:p>
      <w:pPr>
        <w:pStyle w:val="CalloutExample"/>
      </w:pPr>
      <w:r>
        <w:rPr>
          <w:bCs/>
          <w:b/>
        </w:rPr>
        <w:t xml:space="preserve">WORKED EXAMPLE</w:t>
      </w:r>
    </w:p>
    <w:p>
      <w:pPr>
        <w:pStyle w:val="CalloutExample"/>
      </w:pPr>
      <w:r>
        <w:rPr>
          <w:bCs/>
          <w:b/>
        </w:rPr>
        <w:t xml:space="preserve">Worked example — How long will this SSD last?</w:t>
      </w:r>
    </w:p>
    <w:p>
      <w:pPr>
        <w:pStyle w:val="CalloutExample"/>
      </w:pPr>
      <w:r>
        <w:t xml:space="preserve">A 1 TB TLC SSD, assumed rating</w:t>
      </w:r>
      <w:r>
        <w:t xml:space="preserve"> </w:t>
      </w:r>
      <m:oMath>
        <m:r>
          <m:t>P</m:t>
        </m:r>
        <m:r>
          <m:t>E</m:t>
        </m:r>
        <m:r>
          <m:rPr>
            <m:sty m:val="p"/>
          </m:rPr>
          <m:t>=</m:t>
        </m:r>
        <m:r>
          <m:t>3000</m:t>
        </m:r>
      </m:oMath>
      <w:r>
        <w:t xml:space="preserve"> </w:t>
      </w:r>
      <w:r>
        <w:t xml:space="preserve">cycles, so total flash write budget</w:t>
      </w:r>
      <w:r>
        <w:t xml:space="preserve"> </w:t>
      </w:r>
      <m:oMath>
        <m:r>
          <m:rPr>
            <m:sty m:val="p"/>
          </m:rPr>
          <m:t>=</m:t>
        </m:r>
        <m:sSup>
          <m:e>
            <m:r>
              <m:t>10</m:t>
            </m:r>
          </m:e>
          <m:sup>
            <m:r>
              <m:t>12</m:t>
            </m:r>
          </m:sup>
        </m:sSup>
        <m:r>
          <m:rPr>
            <m:sty m:val="p"/>
          </m:rPr>
          <m:t>×</m:t>
        </m:r>
        <m:r>
          <m:t>3000</m:t>
        </m:r>
        <m:r>
          <m:rPr>
            <m:sty m:val="p"/>
          </m:rPr>
          <m:t>=</m:t>
        </m:r>
        <m:r>
          <m:t>3</m:t>
        </m:r>
        <m:r>
          <m:rPr>
            <m:sty m:val="p"/>
          </m:rPr>
          <m:t>×</m:t>
        </m:r>
        <m:sSup>
          <m:e>
            <m:r>
              <m:t>10</m:t>
            </m:r>
          </m:e>
          <m:sup>
            <m:r>
              <m:t>15</m:t>
            </m:r>
          </m:sup>
        </m:sSup>
      </m:oMath>
      <w:r>
        <w:t xml:space="preserve"> </w:t>
      </w:r>
      <w:r>
        <w:t xml:space="preserve">bytes</w:t>
      </w:r>
      <w:r>
        <w:t xml:space="preserve"> </w:t>
      </w:r>
      <m:oMath>
        <m:r>
          <m:rPr>
            <m:sty m:val="p"/>
          </m:rPr>
          <m:t>=</m:t>
        </m:r>
        <m:r>
          <m:t>3</m:t>
        </m:r>
      </m:oMath>
      <w:r>
        <w:t xml:space="preserve"> </w:t>
      </w:r>
      <w:r>
        <w:t xml:space="preserve">PB. A database writes</w:t>
      </w:r>
      <w:r>
        <w:t xml:space="preserve"> </w:t>
      </w:r>
      <m:oMath>
        <m:sSub>
          <m:e>
            <m:r>
              <m:t>W</m:t>
            </m:r>
          </m:e>
          <m:sub>
            <m:r>
              <m:t>h</m:t>
            </m:r>
            <m:r>
              <m:t>o</m:t>
            </m:r>
            <m:r>
              <m:t>s</m:t>
            </m:r>
            <m:r>
              <m:t>t</m:t>
            </m:r>
          </m:sub>
        </m:sSub>
        <m:r>
          <m:rPr>
            <m:sty m:val="p"/>
          </m:rPr>
          <m:t>=</m:t>
        </m:r>
        <m:r>
          <m:t>500</m:t>
        </m:r>
      </m:oMath>
      <w:r>
        <w:t xml:space="preserve"> </w:t>
      </w:r>
      <w:r>
        <w:t xml:space="preserve">GB/day (0.5 drive writes per day).</w:t>
      </w:r>
    </w:p>
    <w:p>
      <w:pPr>
        <w:numPr>
          <w:ilvl w:val="0"/>
          <w:numId w:val="1152"/>
        </w:numPr>
        <w:pStyle w:val="Compact"/>
      </w:pPr>
      <w:r>
        <w:t xml:space="preserve">With sequential, log-structured writes,</w:t>
      </w:r>
      <w:r>
        <w:t xml:space="preserve"> </w:t>
      </w:r>
      <m:oMath>
        <m:r>
          <m:t>W</m:t>
        </m:r>
        <m:r>
          <m:t>A</m:t>
        </m:r>
        <m:r>
          <m:t>F</m:t>
        </m:r>
        <m:r>
          <m:rPr>
            <m:sty m:val="p"/>
          </m:rPr>
          <m:t>≈</m:t>
        </m:r>
        <m:r>
          <m:t>2.5</m:t>
        </m:r>
      </m:oMath>
      <w:r>
        <w:t xml:space="preserve">: flash writes</w:t>
      </w:r>
      <w:r>
        <w:t xml:space="preserve"> </w:t>
      </w:r>
      <m:oMath>
        <m:r>
          <m:rPr>
            <m:sty m:val="p"/>
          </m:rPr>
          <m:t>=</m:t>
        </m:r>
        <m:r>
          <m:t>500</m:t>
        </m:r>
        <m:r>
          <m:rPr>
            <m:sty m:val="p"/>
          </m:rPr>
          <m:t>×</m:t>
        </m:r>
        <m:r>
          <m:t>2.5</m:t>
        </m:r>
        <m:r>
          <m:rPr>
            <m:sty m:val="p"/>
          </m:rPr>
          <m:t>=</m:t>
        </m:r>
        <m:r>
          <m:t>1250</m:t>
        </m:r>
      </m:oMath>
      <w:r>
        <w:t xml:space="preserve"> </w:t>
      </w:r>
      <w:r>
        <w:t xml:space="preserve">GB/day</w:t>
      </w:r>
      <w:r>
        <w:t xml:space="preserve"> </w:t>
      </w:r>
      <m:oMath>
        <m:r>
          <m:rPr>
            <m:sty m:val="p"/>
          </m:rPr>
          <m:t>=</m:t>
        </m:r>
        <m:r>
          <m:t>1.25</m:t>
        </m:r>
      </m:oMath>
      <w:r>
        <w:t xml:space="preserve"> </w:t>
      </w:r>
      <w:r>
        <w:t xml:space="preserve">TB/day. Lifetime</w:t>
      </w:r>
      <w:r>
        <w:t xml:space="preserve"> </w:t>
      </w:r>
      <m:oMath>
        <m:r>
          <m:rPr>
            <m:sty m:val="p"/>
          </m:rPr>
          <m:t>=</m:t>
        </m:r>
        <m:r>
          <m:t>3000</m:t>
        </m:r>
        <m:r>
          <m:rPr>
            <m:nor/>
            <m:sty m:val="p"/>
          </m:rPr>
          <m:t> TB</m:t>
        </m:r>
        <m:r>
          <m:rPr>
            <m:sty m:val="p"/>
          </m:rPr>
          <m:t>/</m:t>
        </m:r>
        <m:r>
          <m:t>1.25</m:t>
        </m:r>
        <m:r>
          <m:rPr>
            <m:nor/>
            <m:sty m:val="p"/>
          </m:rPr>
          <m:t> TB/day</m:t>
        </m:r>
        <m:r>
          <m:rPr>
            <m:sty m:val="p"/>
          </m:rPr>
          <m:t>=</m:t>
        </m:r>
        <m:r>
          <m:t>2400</m:t>
        </m:r>
      </m:oMath>
      <w:r>
        <w:t xml:space="preserve"> </w:t>
      </w:r>
      <w:r>
        <w:t xml:space="preserve">days</w:t>
      </w:r>
      <w:r>
        <w:t xml:space="preserve"> </w:t>
      </w:r>
      <m:oMath>
        <m:r>
          <m:rPr>
            <m:sty m:val="p"/>
          </m:rPr>
          <m:t>≈</m:t>
        </m:r>
        <m:r>
          <m:t>6.6</m:t>
        </m:r>
      </m:oMath>
      <w:r>
        <w:t xml:space="preserve"> </w:t>
      </w:r>
      <w:r>
        <w:t xml:space="preserve">years.</w:t>
      </w:r>
    </w:p>
    <w:p>
      <w:pPr>
        <w:numPr>
          <w:ilvl w:val="0"/>
          <w:numId w:val="1152"/>
        </w:numPr>
        <w:pStyle w:val="Compact"/>
      </w:pPr>
      <w:r>
        <w:t xml:space="preserve">With small random in-place updates on a nearly full drive,</w:t>
      </w:r>
      <w:r>
        <w:t xml:space="preserve"> </w:t>
      </w:r>
      <m:oMath>
        <m:r>
          <m:t>W</m:t>
        </m:r>
        <m:r>
          <m:t>A</m:t>
        </m:r>
        <m:r>
          <m:t>F</m:t>
        </m:r>
        <m:r>
          <m:rPr>
            <m:sty m:val="p"/>
          </m:rPr>
          <m:t>≈</m:t>
        </m:r>
        <m:r>
          <m:t>5</m:t>
        </m:r>
      </m:oMath>
      <w:r>
        <w:t xml:space="preserve">: flash writes</w:t>
      </w:r>
      <w:r>
        <w:t xml:space="preserve"> </w:t>
      </w:r>
      <m:oMath>
        <m:r>
          <m:rPr>
            <m:sty m:val="p"/>
          </m:rPr>
          <m:t>=</m:t>
        </m:r>
        <m:r>
          <m:t>2.5</m:t>
        </m:r>
      </m:oMath>
      <w:r>
        <w:t xml:space="preserve"> </w:t>
      </w:r>
      <w:r>
        <w:t xml:space="preserve">TB/day. Lifetime</w:t>
      </w:r>
      <w:r>
        <w:t xml:space="preserve"> </w:t>
      </w:r>
      <m:oMath>
        <m:r>
          <m:rPr>
            <m:sty m:val="p"/>
          </m:rPr>
          <m:t>=</m:t>
        </m:r>
        <m:r>
          <m:t>3000</m:t>
        </m:r>
        <m:r>
          <m:rPr>
            <m:sty m:val="p"/>
          </m:rPr>
          <m:t>/</m:t>
        </m:r>
        <m:r>
          <m:t>2.5</m:t>
        </m:r>
        <m:r>
          <m:rPr>
            <m:sty m:val="p"/>
          </m:rPr>
          <m:t>=</m:t>
        </m:r>
        <m:r>
          <m:t>1200</m:t>
        </m:r>
      </m:oMath>
      <w:r>
        <w:t xml:space="preserve"> </w:t>
      </w:r>
      <w:r>
        <w:t xml:space="preserve">days</w:t>
      </w:r>
      <w:r>
        <w:t xml:space="preserve"> </w:t>
      </w:r>
      <m:oMath>
        <m:r>
          <m:rPr>
            <m:sty m:val="p"/>
          </m:rPr>
          <m:t>≈</m:t>
        </m:r>
        <m:r>
          <m:t>3.3</m:t>
        </m:r>
      </m:oMath>
      <w:r>
        <w:t xml:space="preserve"> </w:t>
      </w:r>
      <w:r>
        <w:t xml:space="preserve">years.</w:t>
      </w:r>
    </w:p>
    <w:p>
      <w:pPr>
        <w:pStyle w:val="CalloutExample"/>
      </w:pPr>
      <w:r>
        <w:rPr>
          <w:bCs/>
          <w:b/>
        </w:rPr>
        <w:t xml:space="preserve">Interpretation.</w:t>
      </w:r>
      <w:r>
        <w:t xml:space="preserve"> </w:t>
      </w:r>
      <w:r>
        <w:t xml:space="preserve">The same host workload wears the drive out twice as fast purely because of the write</w:t>
      </w:r>
      <w:r>
        <w:t xml:space="preserve"> </w:t>
      </w:r>
      <w:r>
        <w:rPr>
          <w:iCs/>
          <w:i/>
        </w:rPr>
        <w:t xml:space="preserve">pattern</w:t>
      </w:r>
      <w:r>
        <w:t xml:space="preserve">.</w:t>
      </w:r>
      <w:r>
        <w:t xml:space="preserve"> </w:t>
      </w:r>
      <w:r>
        <w:rPr>
          <w:bCs/>
          <w:b/>
        </w:rPr>
        <w:t xml:space="preserve">Engineering implication.</w:t>
      </w:r>
      <w:r>
        <w:t xml:space="preserve"> </w:t>
      </w:r>
      <w:r>
        <w:t xml:space="preserve">Write amplification compounds: an LSM tree’s own compaction (§13.11) multiplies with the SSD’s internal WAF. Prefer large, sequential, aligned writes; leave free space (or over-provisioning) on write-heavy drives; and monitor the drive’s wear indicators (SMART / NVMe health log).</w:t>
      </w:r>
    </w:p>
    <w:bookmarkEnd w:id="511"/>
    <w:bookmarkStart w:id="512" w:name="sata-versus-nvme"/>
    <w:p>
      <w:pPr>
        <w:pStyle w:val="Heading3"/>
      </w:pPr>
      <w:r>
        <w:t xml:space="preserve">5.6.4 SATA versus NVMe</w:t>
      </w:r>
    </w:p>
    <w:p>
      <w:pPr>
        <w:pStyle w:val="FirstParagraph"/>
      </w:pPr>
      <w:r>
        <w:t xml:space="preserve">SSDs first plugged into the same</w:t>
      </w:r>
      <w:r>
        <w:t xml:space="preserve"> </w:t>
      </w:r>
      <w:r>
        <w:rPr>
          <w:bCs/>
          <w:b/>
        </w:rPr>
        <w:t xml:space="preserve">SATA</w:t>
      </w:r>
      <w:r>
        <w:t xml:space="preserve"> </w:t>
      </w:r>
      <w:r>
        <w:t xml:space="preserve">interface designed for hard disks. SATA III signals at 6 Gbit/s, and after its 8b/10b line encoding (10 bits on the wire per data byte) delivers at most 600 MB/s; real drives reach about 550 MB/s. Its command protocol, AHCI, offers</w:t>
      </w:r>
      <w:r>
        <w:t xml:space="preserve"> </w:t>
      </w:r>
      <w:r>
        <w:rPr>
          <w:bCs/>
          <w:b/>
        </w:rPr>
        <w:t xml:space="preserve">one command queue of 32 entries</w:t>
      </w:r>
      <w:r>
        <w:t xml:space="preserve"> </w:t>
      </w:r>
      <w:r>
        <w:t xml:space="preserve">— ample for a disk that can do 100 operations per second, but a straitjacket for flash that can do hundreds of thousands.</w:t>
      </w:r>
    </w:p>
    <w:p>
      <w:pPr>
        <w:pStyle w:val="BodyText"/>
      </w:pPr>
      <w:r>
        <w:rPr>
          <w:bCs/>
          <w:b/>
        </w:rPr>
        <w:t xml:space="preserve">NVMe</w:t>
      </w:r>
      <w:r>
        <w:t xml:space="preserve"> </w:t>
      </w:r>
      <w:r>
        <w:t xml:space="preserve">(Non-Volatile Memory Express) is a protocol designed for flash that attaches drives directly to</w:t>
      </w:r>
      <w:r>
        <w:t xml:space="preserve"> </w:t>
      </w:r>
      <w:r>
        <w:rPr>
          <w:bCs/>
          <w:b/>
        </w:rPr>
        <w:t xml:space="preserve">PCIe</w:t>
      </w:r>
      <w:r>
        <w:t xml:space="preserve"> </w:t>
      </w:r>
      <w:r>
        <w:t xml:space="preserve">lanes. It supports up to about 65,535 I/O queues, each up to 65,536 commands deep [NVM Express Base Specification], so every CPU core can have its own submission and completion queue pair with no locking between cores. A PCIe 4.0 x4 link carries roughly 7.9 GB/s of payload after encoding (16 GT/s × 4 lanes × 128/130 ÷ 8 ≈ 7.9 GB/s), and fast drives deliver about 7 GB/s sequential and around a million random 4 KiB reads per second at high queue depth (as of 2024, approximate).</w:t>
      </w:r>
    </w:p>
    <w:bookmarkEnd w:id="512"/>
    <w:bookmarkStart w:id="513" w:name="iops-throughput-and-queue-depth"/>
    <w:p>
      <w:pPr>
        <w:pStyle w:val="Heading3"/>
      </w:pPr>
      <w:r>
        <w:t xml:space="preserve">5.6.5 IOPS, throughput and queue depth</w:t>
      </w:r>
    </w:p>
    <w:p>
      <w:pPr>
        <w:pStyle w:val="CalloutDefinition"/>
      </w:pPr>
      <w:r>
        <w:rPr>
          <w:bCs/>
          <w:b/>
        </w:rPr>
        <w:t xml:space="preserve">DEFINITION</w:t>
      </w:r>
    </w:p>
    <w:p>
      <w:pPr>
        <w:pStyle w:val="CalloutDefinition"/>
      </w:pPr>
      <w:r>
        <w:rPr>
          <w:bCs/>
          <w:b/>
        </w:rPr>
        <w:t xml:space="preserve">Definition — IOPS.</w:t>
      </w:r>
      <w:r>
        <w:t xml:space="preserve"> </w:t>
      </w:r>
      <w:r>
        <w:t xml:space="preserve">Input/output operations per second: the number of independent read or write requests a device completes per second, quoted for a stated request size (usually 4 KiB) and</w:t>
      </w:r>
      <w:r>
        <w:t xml:space="preserve"> </w:t>
      </w:r>
      <w:r>
        <w:rPr>
          <w:bCs/>
          <w:b/>
        </w:rPr>
        <w:t xml:space="preserve">queue depth</w:t>
      </w:r>
      <w:r>
        <w:t xml:space="preserve"> </w:t>
      </w:r>
      <w:r>
        <w:t xml:space="preserve">(number of requests outstanding at once).</w:t>
      </w:r>
    </w:p>
    <w:p>
      <w:pPr>
        <w:pStyle w:val="CalloutFormula"/>
      </w:pPr>
      <w:r>
        <w:rPr>
          <w:bCs/>
          <w:b/>
        </w:rPr>
        <w:t xml:space="preserve">FORMULA</w:t>
      </w:r>
    </w:p>
    <w:p>
      <w:pPr>
        <w:pStyle w:val="CalloutFormula"/>
      </w:pPr>
      <w:r>
        <w:rPr>
          <w:bCs/>
          <w:b/>
        </w:rPr>
        <w:t xml:space="preserve">Little’s Law applied to a storage device</w:t>
      </w:r>
    </w:p>
    <w:p>
      <w:pPr>
        <w:pStyle w:val="CalloutFormula"/>
      </w:pPr>
      <m:oMathPara>
        <m:oMathParaPr>
          <m:jc m:val="center"/>
        </m:oMathParaPr>
        <m:oMath>
          <m:r>
            <m:t>I</m:t>
          </m:r>
          <m:r>
            <m:t>O</m:t>
          </m:r>
          <m:r>
            <m:t>P</m:t>
          </m:r>
          <m:r>
            <m:t>S</m:t>
          </m:r>
          <m:r>
            <m:rPr>
              <m:sty m:val="p"/>
            </m:rPr>
            <m:t>=</m:t>
          </m:r>
          <m:f>
            <m:fPr>
              <m:type m:val="bar"/>
            </m:fPr>
            <m:num>
              <m:r>
                <m:t>Q</m:t>
              </m:r>
              <m:r>
                <m:t>D</m:t>
              </m:r>
            </m:num>
            <m:den>
              <m:r>
                <m:t>L</m:t>
              </m:r>
            </m:den>
          </m:f>
          <m:r>
            <m:rPr>
              <m:sty m:val="p"/>
            </m:rPr>
            <m:t>,</m:t>
          </m:r>
          <m:r>
            <m:t>  </m:t>
          </m:r>
          <m:r>
            <m:rPr>
              <m:nor/>
              <m:sty m:val="p"/>
            </m:rPr>
            <m:t>Throughput</m:t>
          </m:r>
          <m:r>
            <m:rPr>
              <m:sty m:val="p"/>
            </m:rPr>
            <m:t>=</m:t>
          </m:r>
          <m:r>
            <m:t>I</m:t>
          </m:r>
          <m:r>
            <m:t>O</m:t>
          </m:r>
          <m:r>
            <m:t>P</m:t>
          </m:r>
          <m:r>
            <m:t>S</m:t>
          </m:r>
          <m:r>
            <m:rPr>
              <m:sty m:val="p"/>
            </m:rPr>
            <m:t>×</m:t>
          </m:r>
          <m:r>
            <m:t>S</m:t>
          </m:r>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Q</m:t>
              </m:r>
              <m:r>
                <m:t>D</m:t>
              </m:r>
            </m:oMath>
          </w:p>
        </w:tc>
        <w:tc>
          <w:tcPr/>
          <w:p>
            <w:pPr>
              <w:pStyle w:val="Compact"/>
              <w:jc w:val="left"/>
            </w:pPr>
            <w:r>
              <w:t xml:space="preserve">Average number of requests outstanding (queue depth)</w:t>
            </w:r>
          </w:p>
        </w:tc>
        <w:tc>
          <w:tcPr/>
          <w:p>
            <w:pPr>
              <w:pStyle w:val="Compact"/>
              <w:jc w:val="left"/>
            </w:pPr>
            <w:r>
              <w:t xml:space="preserve">requests</w:t>
            </w:r>
          </w:p>
        </w:tc>
      </w:tr>
      <w:tr>
        <w:tc>
          <w:tcPr/>
          <w:p>
            <w:pPr>
              <w:pStyle w:val="Compact"/>
              <w:jc w:val="left"/>
            </w:pPr>
            <m:oMath>
              <m:r>
                <m:t>L</m:t>
              </m:r>
            </m:oMath>
          </w:p>
        </w:tc>
        <w:tc>
          <w:tcPr/>
          <w:p>
            <w:pPr>
              <w:pStyle w:val="Compact"/>
              <w:jc w:val="left"/>
            </w:pPr>
            <w:r>
              <w:t xml:space="preserve">Average latency per request</w:t>
            </w:r>
          </w:p>
        </w:tc>
        <w:tc>
          <w:tcPr/>
          <w:p>
            <w:pPr>
              <w:pStyle w:val="Compact"/>
              <w:jc w:val="left"/>
            </w:pPr>
            <w:r>
              <w:t xml:space="preserve">seconds</w:t>
            </w:r>
          </w:p>
        </w:tc>
      </w:tr>
      <w:tr>
        <w:tc>
          <w:tcPr/>
          <w:p>
            <w:pPr>
              <w:pStyle w:val="Compact"/>
              <w:jc w:val="left"/>
            </w:pPr>
            <m:oMath>
              <m:r>
                <m:t>S</m:t>
              </m:r>
            </m:oMath>
          </w:p>
        </w:tc>
        <w:tc>
          <w:tcPr/>
          <w:p>
            <w:pPr>
              <w:pStyle w:val="Compact"/>
              <w:jc w:val="left"/>
            </w:pPr>
            <w:r>
              <w:t xml:space="preserve">Request size</w:t>
            </w:r>
          </w:p>
        </w:tc>
        <w:tc>
          <w:tcPr/>
          <w:p>
            <w:pPr>
              <w:pStyle w:val="Compact"/>
              <w:jc w:val="left"/>
            </w:pPr>
            <w:r>
              <w:t xml:space="preserve">bytes</w:t>
            </w:r>
          </w:p>
        </w:tc>
      </w:tr>
    </w:tbl>
    <w:p>
      <w:pPr>
        <w:pStyle w:val="CalloutExample"/>
      </w:pPr>
      <w:r>
        <w:rPr>
          <w:bCs/>
          <w:b/>
        </w:rPr>
        <w:t xml:space="preserve">WORKED EXAMPLE</w:t>
      </w:r>
    </w:p>
    <w:p>
      <w:pPr>
        <w:pStyle w:val="CalloutExample"/>
      </w:pPr>
      <w:r>
        <w:rPr>
          <w:bCs/>
          <w:b/>
        </w:rPr>
        <w:t xml:space="preserve">Worked example — Why a single-threaded reader cannot exploit an NVMe SSD.</w:t>
      </w:r>
    </w:p>
    <w:p>
      <w:pPr>
        <w:pStyle w:val="CalloutExample"/>
      </w:pPr>
      <w:r>
        <w:t xml:space="preserve">An NVMe SSD has a random-read latency of</w:t>
      </w:r>
      <w:r>
        <w:t xml:space="preserve"> </w:t>
      </w:r>
      <m:oMath>
        <m:r>
          <m:t>L</m:t>
        </m:r>
        <m:r>
          <m:rPr>
            <m:sty m:val="p"/>
          </m:rPr>
          <m:t>=</m:t>
        </m:r>
        <m:r>
          <m:t>80</m:t>
        </m:r>
      </m:oMath>
      <w:r>
        <w:t xml:space="preserve"> </w:t>
      </w:r>
      <w:r>
        <w:t xml:space="preserve">µs.</w:t>
      </w:r>
    </w:p>
    <w:p>
      <w:pPr>
        <w:numPr>
          <w:ilvl w:val="0"/>
          <w:numId w:val="1153"/>
        </w:numPr>
        <w:pStyle w:val="Compact"/>
      </w:pPr>
      <w:r>
        <w:t xml:space="preserve">One request at a time (</w:t>
      </w:r>
      <m:oMath>
        <m:r>
          <m:t>Q</m:t>
        </m:r>
        <m:r>
          <m:t>D</m:t>
        </m:r>
        <m:r>
          <m:rPr>
            <m:sty m:val="p"/>
          </m:rPr>
          <m:t>=</m:t>
        </m:r>
        <m:r>
          <m:t>1</m:t>
        </m:r>
      </m:oMath>
      <w:r>
        <w:t xml:space="preserve">):</w:t>
      </w:r>
      <w:r>
        <w:t xml:space="preserve"> </w:t>
      </w:r>
      <m:oMath>
        <m:r>
          <m:t>I</m:t>
        </m:r>
        <m:r>
          <m:t>O</m:t>
        </m:r>
        <m:r>
          <m:t>P</m:t>
        </m:r>
        <m:r>
          <m:t>S</m:t>
        </m:r>
        <m:r>
          <m:rPr>
            <m:sty m:val="p"/>
          </m:rPr>
          <m:t>=</m:t>
        </m:r>
        <m:r>
          <m:t>1</m:t>
        </m:r>
        <m:r>
          <m:rPr>
            <m:sty m:val="p"/>
          </m:rPr>
          <m:t>/</m:t>
        </m:r>
        <m:d>
          <m:dPr>
            <m:begChr m:val="("/>
            <m:endChr m:val=")"/>
            <m:sepChr m:val=""/>
            <m:grow/>
          </m:dPr>
          <m:e>
            <m:r>
              <m:t>80</m:t>
            </m:r>
            <m:r>
              <m:rPr>
                <m:sty m:val="p"/>
              </m:rPr>
              <m:t>×</m:t>
            </m:r>
            <m:sSup>
              <m:e>
                <m:r>
                  <m:t>10</m:t>
                </m:r>
              </m:e>
              <m:sup>
                <m:r>
                  <m:rPr>
                    <m:sty m:val="p"/>
                  </m:rPr>
                  <m:t>−</m:t>
                </m:r>
                <m:r>
                  <m:t>6</m:t>
                </m:r>
              </m:sup>
            </m:sSup>
          </m:e>
        </m:d>
        <m:r>
          <m:rPr>
            <m:sty m:val="p"/>
          </m:rPr>
          <m:t>=</m:t>
        </m:r>
        <m:r>
          <m:t>12</m:t>
        </m:r>
        <m:r>
          <m:t> </m:t>
        </m:r>
        <m:r>
          <m:t>500</m:t>
        </m:r>
      </m:oMath>
      <w:r>
        <w:t xml:space="preserve">; throughput</w:t>
      </w:r>
      <w:r>
        <w:t xml:space="preserve"> </w:t>
      </w:r>
      <m:oMath>
        <m:r>
          <m:rPr>
            <m:sty m:val="p"/>
          </m:rPr>
          <m:t>=</m:t>
        </m:r>
        <m:r>
          <m:t>12</m:t>
        </m:r>
        <m:r>
          <m:t> </m:t>
        </m:r>
        <m:r>
          <m:t>500</m:t>
        </m:r>
        <m:r>
          <m:rPr>
            <m:sty m:val="p"/>
          </m:rPr>
          <m:t>×</m:t>
        </m:r>
        <m:r>
          <m:t>4096</m:t>
        </m:r>
        <m:r>
          <m:rPr>
            <m:sty m:val="p"/>
          </m:rPr>
          <m:t>=</m:t>
        </m:r>
        <m:r>
          <m:t>51.2</m:t>
        </m:r>
      </m:oMath>
      <w:r>
        <w:t xml:space="preserve"> </w:t>
      </w:r>
      <w:r>
        <w:t xml:space="preserve">MB/s.</w:t>
      </w:r>
    </w:p>
    <w:p>
      <w:pPr>
        <w:numPr>
          <w:ilvl w:val="0"/>
          <w:numId w:val="1153"/>
        </w:numPr>
        <w:pStyle w:val="Compact"/>
      </w:pPr>
      <w:r>
        <w:t xml:space="preserve">To reach the drive’s rated</w:t>
      </w:r>
      <w:r>
        <w:t xml:space="preserve"> </w:t>
      </w:r>
      <m:oMath>
        <m:sSup>
          <m:e>
            <m:r>
              <m:t>10</m:t>
            </m:r>
          </m:e>
          <m:sup>
            <m:r>
              <m:t>6</m:t>
            </m:r>
          </m:sup>
        </m:sSup>
      </m:oMath>
      <w:r>
        <w:t xml:space="preserve"> </w:t>
      </w:r>
      <w:r>
        <w:t xml:space="preserve">IOPS:</w:t>
      </w:r>
      <w:r>
        <w:t xml:space="preserve"> </w:t>
      </w:r>
      <m:oMath>
        <m:r>
          <m:t>Q</m:t>
        </m:r>
        <m:r>
          <m:t>D</m:t>
        </m:r>
        <m:r>
          <m:rPr>
            <m:sty m:val="p"/>
          </m:rPr>
          <m:t>=</m:t>
        </m:r>
        <m:r>
          <m:t>I</m:t>
        </m:r>
        <m:r>
          <m:t>O</m:t>
        </m:r>
        <m:r>
          <m:t>P</m:t>
        </m:r>
        <m:r>
          <m:t>S</m:t>
        </m:r>
        <m:r>
          <m:rPr>
            <m:sty m:val="p"/>
          </m:rPr>
          <m:t>×</m:t>
        </m:r>
        <m:r>
          <m:t>L</m:t>
        </m:r>
        <m:r>
          <m:rPr>
            <m:sty m:val="p"/>
          </m:rPr>
          <m:t>=</m:t>
        </m:r>
        <m:sSup>
          <m:e>
            <m:r>
              <m:t>10</m:t>
            </m:r>
          </m:e>
          <m:sup>
            <m:r>
              <m:t>6</m:t>
            </m:r>
          </m:sup>
        </m:sSup>
        <m:r>
          <m:rPr>
            <m:sty m:val="p"/>
          </m:rPr>
          <m:t>×</m:t>
        </m:r>
        <m:r>
          <m:t>80</m:t>
        </m:r>
        <m:r>
          <m:rPr>
            <m:sty m:val="p"/>
          </m:rPr>
          <m:t>×</m:t>
        </m:r>
        <m:sSup>
          <m:e>
            <m:r>
              <m:t>10</m:t>
            </m:r>
          </m:e>
          <m:sup>
            <m:r>
              <m:rPr>
                <m:sty m:val="p"/>
              </m:rPr>
              <m:t>−</m:t>
            </m:r>
            <m:r>
              <m:t>6</m:t>
            </m:r>
          </m:sup>
        </m:sSup>
        <m:r>
          <m:rPr>
            <m:sty m:val="p"/>
          </m:rPr>
          <m:t>=</m:t>
        </m:r>
        <m:r>
          <m:t>80</m:t>
        </m:r>
      </m:oMath>
      <w:r>
        <w:t xml:space="preserve"> </w:t>
      </w:r>
      <w:r>
        <w:t xml:space="preserve">requests outstanding.</w:t>
      </w:r>
    </w:p>
    <w:p>
      <w:pPr>
        <w:pStyle w:val="CalloutExample"/>
      </w:pPr>
      <w:r>
        <w:rPr>
          <w:bCs/>
          <w:b/>
        </w:rPr>
        <w:t xml:space="preserve">Interpretation.</w:t>
      </w:r>
      <w:r>
        <w:t xml:space="preserve"> </w:t>
      </w:r>
      <w:r>
        <w:t xml:space="preserve">A program that issues one blocking read, waits, then issues the next will use about 1% of a fast SSD.</w:t>
      </w:r>
      <w:r>
        <w:t xml:space="preserve"> </w:t>
      </w:r>
      <w:r>
        <w:rPr>
          <w:bCs/>
          <w:b/>
        </w:rPr>
        <w:t xml:space="preserve">Engineering implication.</w:t>
      </w:r>
      <w:r>
        <w:t xml:space="preserve"> </w:t>
      </w:r>
      <w:r>
        <w:t xml:space="preserve">To use modern storage you need</w:t>
      </w:r>
      <w:r>
        <w:t xml:space="preserve"> </w:t>
      </w:r>
      <w:r>
        <w:rPr>
          <w:bCs/>
          <w:b/>
        </w:rPr>
        <w:t xml:space="preserve">concurrency in the I/O path</w:t>
      </w:r>
      <w:r>
        <w:t xml:space="preserve">: many threads, asynchronous I/O (io_uring, §6.13), or batched requests. The same law governs memory (§5.9.2) and network connections (§7.15).</w:t>
      </w:r>
    </w:p>
    <w:bookmarkEnd w:id="513"/>
    <w:bookmarkStart w:id="516" w:name="persistent-memory-and-newer-tiers"/>
    <w:p>
      <w:pPr>
        <w:pStyle w:val="Heading3"/>
      </w:pPr>
      <w:r>
        <w:t xml:space="preserve">5.6.6 Persistent memory and newer tiers</w:t>
      </w:r>
    </w:p>
    <w:p>
      <w:pPr>
        <w:pStyle w:val="FirstParagraph"/>
      </w:pPr>
      <w:r>
        <w:rPr>
          <w:bCs/>
          <w:b/>
        </w:rPr>
        <w:t xml:space="preserve">Persistent memory</w:t>
      </w:r>
      <w:r>
        <w:t xml:space="preserve"> </w:t>
      </w:r>
      <w:r>
        <w:t xml:space="preserve">(PMem) is byte-addressable like DRAM — the CPU reads it with ordinary load instructions — but keeps its contents without power. The best-known product, Intel Optane persistent memory, offered larger capacities than DRAM at read latencies of a few hundred nanoseconds (approximate); Intel announced in 2022 that it was winding the business down. The ideas survive in capacitor-backed DRAM inside storage controllers and in</w:t>
      </w:r>
      <w:r>
        <w:t xml:space="preserve"> </w:t>
      </w:r>
      <w:r>
        <w:rPr>
          <w:bCs/>
          <w:b/>
        </w:rPr>
        <w:t xml:space="preserve">CXL</w:t>
      </w:r>
      <w:r>
        <w:t xml:space="preserve"> </w:t>
      </w:r>
      <w:r>
        <w:t xml:space="preserve">(Compute Express Link), which attaches extra memory over the PCIe physical layer at somewhat higher latency than local DRAM. Programming persistent memory requires explicit cache-line flushes and fences, because data still in a volatile CPU cache is not durable.</w:t>
      </w:r>
    </w:p>
    <w:p>
      <w:pPr>
        <w:pStyle w:val="BodyText"/>
      </w:pPr>
      <w:r>
        <w:rPr>
          <w:bCs/>
          <w:b/>
        </w:rPr>
        <w:t xml:space="preserve">Table 5.6 — Storage device comparison (as of 2024–2025, approximate).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pPr>
          </w:p>
        </w:tc>
        <w:tc>
          <w:tcPr/>
          <w:p>
            <w:pPr>
              <w:pStyle w:val="Compact"/>
              <w:jc w:val="left"/>
            </w:pPr>
            <w:r>
              <w:t xml:space="preserve">HDD</w:t>
            </w:r>
          </w:p>
        </w:tc>
        <w:tc>
          <w:tcPr/>
          <w:p>
            <w:pPr>
              <w:pStyle w:val="Compact"/>
              <w:jc w:val="left"/>
            </w:pPr>
            <w:r>
              <w:t xml:space="preserve">SATA SSD</w:t>
            </w:r>
          </w:p>
        </w:tc>
        <w:tc>
          <w:tcPr/>
          <w:p>
            <w:pPr>
              <w:pStyle w:val="Compact"/>
              <w:jc w:val="left"/>
            </w:pPr>
            <w:r>
              <w:t xml:space="preserve">NVMe SSD</w:t>
            </w:r>
          </w:p>
        </w:tc>
        <w:tc>
          <w:tcPr/>
          <w:p>
            <w:pPr>
              <w:pStyle w:val="Compact"/>
              <w:jc w:val="left"/>
            </w:pPr>
            <w:r>
              <w:t xml:space="preserve">Persistent memory / CXL memory</w:t>
            </w:r>
          </w:p>
        </w:tc>
      </w:tr>
      <w:tr>
        <w:tc>
          <w:tcPr/>
          <w:p>
            <w:pPr>
              <w:pStyle w:val="Compact"/>
              <w:jc w:val="left"/>
            </w:pPr>
            <w:r>
              <w:t xml:space="preserve">What it is</w:t>
            </w:r>
          </w:p>
        </w:tc>
        <w:tc>
          <w:tcPr/>
          <w:p>
            <w:pPr>
              <w:pStyle w:val="Compact"/>
              <w:jc w:val="left"/>
            </w:pPr>
            <w:r>
              <w:t xml:space="preserve">Spinning magnetic platters</w:t>
            </w:r>
          </w:p>
        </w:tc>
        <w:tc>
          <w:tcPr/>
          <w:p>
            <w:pPr>
              <w:pStyle w:val="Compact"/>
              <w:jc w:val="left"/>
            </w:pPr>
            <w:r>
              <w:t xml:space="preserve">Flash behind a disk-era interface</w:t>
            </w:r>
          </w:p>
        </w:tc>
        <w:tc>
          <w:tcPr/>
          <w:p>
            <w:pPr>
              <w:pStyle w:val="Compact"/>
              <w:jc w:val="left"/>
            </w:pPr>
            <w:r>
              <w:t xml:space="preserve">Flash on PCIe with a flash-native protocol</w:t>
            </w:r>
          </w:p>
        </w:tc>
        <w:tc>
          <w:tcPr/>
          <w:p>
            <w:pPr>
              <w:pStyle w:val="Compact"/>
              <w:jc w:val="left"/>
            </w:pPr>
            <w:r>
              <w:t xml:space="preserve">Byte-addressable memory on the memory bus or CXL</w:t>
            </w:r>
          </w:p>
        </w:tc>
      </w:tr>
      <w:tr>
        <w:tc>
          <w:tcPr/>
          <w:p>
            <w:pPr>
              <w:pStyle w:val="Compact"/>
              <w:jc w:val="left"/>
            </w:pPr>
            <w:r>
              <w:t xml:space="preserve">How it works</w:t>
            </w:r>
          </w:p>
        </w:tc>
        <w:tc>
          <w:tcPr/>
          <w:p>
            <w:pPr>
              <w:pStyle w:val="Compact"/>
              <w:jc w:val="left"/>
            </w:pPr>
            <w:r>
              <w:t xml:space="preserve">Mechanical seek + rotation</w:t>
            </w:r>
          </w:p>
        </w:tc>
        <w:tc>
          <w:tcPr/>
          <w:p>
            <w:pPr>
              <w:pStyle w:val="Compact"/>
              <w:jc w:val="left"/>
            </w:pPr>
            <w:r>
              <w:t xml:space="preserve">FTL, 1 queue × 32 commands</w:t>
            </w:r>
          </w:p>
        </w:tc>
        <w:tc>
          <w:tcPr/>
          <w:p>
            <w:pPr>
              <w:pStyle w:val="Compact"/>
              <w:jc w:val="left"/>
            </w:pPr>
            <w:r>
              <w:t xml:space="preserve">FTL, up to ~64K queues</w:t>
            </w:r>
          </w:p>
        </w:tc>
        <w:tc>
          <w:tcPr/>
          <w:p>
            <w:pPr>
              <w:pStyle w:val="Compact"/>
              <w:jc w:val="left"/>
            </w:pPr>
            <w:r>
              <w:t xml:space="preserve">CPU loads/stores</w:t>
            </w:r>
          </w:p>
        </w:tc>
      </w:tr>
      <w:tr>
        <w:tc>
          <w:tcPr/>
          <w:p>
            <w:pPr>
              <w:pStyle w:val="Compact"/>
              <w:jc w:val="left"/>
            </w:pPr>
            <w:r>
              <w:t xml:space="preserve">Advantages</w:t>
            </w:r>
          </w:p>
        </w:tc>
        <w:tc>
          <w:tcPr/>
          <w:p>
            <w:pPr>
              <w:pStyle w:val="Compact"/>
              <w:jc w:val="left"/>
            </w:pPr>
            <w:r>
              <w:t xml:space="preserve">Cheapest per TB; good sequential speed</w:t>
            </w:r>
          </w:p>
        </w:tc>
        <w:tc>
          <w:tcPr/>
          <w:p>
            <w:pPr>
              <w:pStyle w:val="Compact"/>
              <w:jc w:val="left"/>
            </w:pPr>
            <w:r>
              <w:t xml:space="preserve">Drop-in replacement for disks</w:t>
            </w:r>
          </w:p>
        </w:tc>
        <w:tc>
          <w:tcPr/>
          <w:p>
            <w:pPr>
              <w:pStyle w:val="Compact"/>
              <w:jc w:val="left"/>
            </w:pPr>
            <w:r>
              <w:t xml:space="preserve">Very high IOPS and bandwidth</w:t>
            </w:r>
          </w:p>
        </w:tc>
        <w:tc>
          <w:tcPr/>
          <w:p>
            <w:pPr>
              <w:pStyle w:val="Compact"/>
              <w:jc w:val="left"/>
            </w:pPr>
            <w:r>
              <w:t xml:space="preserve">Nanosecond-scale access, large capacity</w:t>
            </w:r>
          </w:p>
        </w:tc>
      </w:tr>
      <w:tr>
        <w:tc>
          <w:tcPr/>
          <w:p>
            <w:pPr>
              <w:pStyle w:val="Compact"/>
              <w:jc w:val="left"/>
            </w:pPr>
            <w:r>
              <w:t xml:space="preserve">Disadvantages</w:t>
            </w:r>
          </w:p>
        </w:tc>
        <w:tc>
          <w:tcPr/>
          <w:p>
            <w:pPr>
              <w:pStyle w:val="Compact"/>
              <w:jc w:val="left"/>
            </w:pPr>
            <w:r>
              <w:t xml:space="preserve">~100 random IOPS; mechanical failure</w:t>
            </w:r>
          </w:p>
        </w:tc>
        <w:tc>
          <w:tcPr/>
          <w:p>
            <w:pPr>
              <w:pStyle w:val="Compact"/>
              <w:jc w:val="left"/>
            </w:pPr>
            <w:r>
              <w:t xml:space="preserve">Interface caps at ~550 MB/s</w:t>
            </w:r>
          </w:p>
        </w:tc>
        <w:tc>
          <w:tcPr/>
          <w:p>
            <w:pPr>
              <w:pStyle w:val="Compact"/>
              <w:jc w:val="left"/>
            </w:pPr>
            <w:r>
              <w:t xml:space="preserve">Wear-out; GC latency spikes</w:t>
            </w:r>
          </w:p>
        </w:tc>
        <w:tc>
          <w:tcPr/>
          <w:p>
            <w:pPr>
              <w:pStyle w:val="Compact"/>
              <w:jc w:val="left"/>
            </w:pPr>
            <w:r>
              <w:t xml:space="preserve">Niche, costly; Optane discontinued</w:t>
            </w:r>
          </w:p>
        </w:tc>
      </w:tr>
      <w:tr>
        <w:tc>
          <w:tcPr/>
          <w:p>
            <w:pPr>
              <w:pStyle w:val="Compact"/>
              <w:jc w:val="left"/>
            </w:pPr>
            <w:r>
              <w:t xml:space="preserve">Performance</w:t>
            </w:r>
          </w:p>
        </w:tc>
        <w:tc>
          <w:tcPr/>
          <w:p>
            <w:pPr>
              <w:pStyle w:val="Compact"/>
              <w:jc w:val="left"/>
            </w:pPr>
            <w:r>
              <w:t xml:space="preserve">~80–200 IOPS; ~0.2 GB/s</w:t>
            </w:r>
          </w:p>
        </w:tc>
        <w:tc>
          <w:tcPr/>
          <w:p>
            <w:pPr>
              <w:pStyle w:val="Compact"/>
              <w:jc w:val="left"/>
            </w:pPr>
            <w:r>
              <w:t xml:space="preserve">~50–100K IOPS; 0.55 GB/s</w:t>
            </w:r>
          </w:p>
        </w:tc>
        <w:tc>
          <w:tcPr/>
          <w:p>
            <w:pPr>
              <w:pStyle w:val="Compact"/>
              <w:jc w:val="left"/>
            </w:pPr>
            <w:r>
              <w:t xml:space="preserve">~0.5–1.5M IOPS; 3–14 GB/s</w:t>
            </w:r>
          </w:p>
        </w:tc>
        <w:tc>
          <w:tcPr/>
          <w:p>
            <w:pPr>
              <w:pStyle w:val="Compact"/>
              <w:jc w:val="left"/>
            </w:pPr>
            <w:r>
              <w:t xml:space="preserve">~100s ns latency</w:t>
            </w:r>
          </w:p>
        </w:tc>
      </w:tr>
      <w:tr>
        <w:tc>
          <w:tcPr/>
          <w:p>
            <w:pPr>
              <w:pStyle w:val="Compact"/>
              <w:jc w:val="left"/>
            </w:pPr>
            <w:r>
              <w:t xml:space="preserve">Cost per GB</w:t>
            </w:r>
          </w:p>
        </w:tc>
        <w:tc>
          <w:tcPr/>
          <w:p>
            <w:pPr>
              <w:pStyle w:val="Compact"/>
              <w:jc w:val="left"/>
            </w:pPr>
            <w:r>
              <w:t xml:space="preserve">~$0.02</w:t>
            </w:r>
          </w:p>
        </w:tc>
        <w:tc>
          <w:tcPr/>
          <w:p>
            <w:pPr>
              <w:pStyle w:val="Compact"/>
              <w:jc w:val="left"/>
            </w:pPr>
            <w:r>
              <w:t xml:space="preserve">~$0.05–0.10</w:t>
            </w:r>
          </w:p>
        </w:tc>
        <w:tc>
          <w:tcPr/>
          <w:p>
            <w:pPr>
              <w:pStyle w:val="Compact"/>
              <w:jc w:val="left"/>
            </w:pPr>
            <w:r>
              <w:t xml:space="preserve">~$0.05–0.15</w:t>
            </w:r>
          </w:p>
        </w:tc>
        <w:tc>
          <w:tcPr/>
          <w:p>
            <w:pPr>
              <w:pStyle w:val="Compact"/>
              <w:jc w:val="left"/>
            </w:pPr>
            <w:r>
              <w:t xml:space="preserve">Above DRAM-adjacent tiers</w:t>
            </w:r>
          </w:p>
        </w:tc>
      </w:tr>
      <w:tr>
        <w:tc>
          <w:tcPr/>
          <w:p>
            <w:pPr>
              <w:pStyle w:val="Compact"/>
              <w:jc w:val="left"/>
            </w:pPr>
            <w:r>
              <w:t xml:space="preserve">Choose when</w:t>
            </w:r>
          </w:p>
        </w:tc>
        <w:tc>
          <w:tcPr/>
          <w:p>
            <w:pPr>
              <w:pStyle w:val="Compact"/>
              <w:jc w:val="left"/>
            </w:pPr>
            <w:r>
              <w:t xml:space="preserve">Cold, bulk, sequential data</w:t>
            </w:r>
          </w:p>
        </w:tc>
        <w:tc>
          <w:tcPr/>
          <w:p>
            <w:pPr>
              <w:pStyle w:val="Compact"/>
              <w:jc w:val="left"/>
            </w:pPr>
            <w:r>
              <w:t xml:space="preserve">Legacy servers, budget</w:t>
            </w:r>
          </w:p>
        </w:tc>
        <w:tc>
          <w:tcPr/>
          <w:p>
            <w:pPr>
              <w:pStyle w:val="Compact"/>
              <w:jc w:val="left"/>
            </w:pPr>
            <w:r>
              <w:t xml:space="preserve">Databases, logs, anything random-access</w:t>
            </w:r>
          </w:p>
        </w:tc>
        <w:tc>
          <w:tcPr/>
          <w:p>
            <w:pPr>
              <w:pStyle w:val="Compact"/>
              <w:jc w:val="left"/>
            </w:pPr>
            <w:r>
              <w:t xml:space="preserve">Very large in-memory datasets; specialized logging</w:t>
            </w:r>
          </w:p>
        </w:tc>
      </w:tr>
    </w:tbl>
    <w:bookmarkStart w:id="514" w:name="real-world-industry-applications-12"/>
    <w:p>
      <w:pPr>
        <w:pStyle w:val="Heading4"/>
      </w:pPr>
      <w:r>
        <w:t xml:space="preserve">Real-world industry applications</w:t>
      </w:r>
    </w:p>
    <w:p>
      <w:pPr>
        <w:pStyle w:val="CalloutIndustry"/>
      </w:pPr>
      <w:r>
        <w:rPr>
          <w:bCs/>
          <w:b/>
        </w:rPr>
        <w:t xml:space="preserve">INDUSTRY EXAMPLE</w:t>
      </w:r>
    </w:p>
    <w:p>
      <w:pPr>
        <w:pStyle w:val="CalloutIndustry"/>
      </w:pPr>
      <w:r>
        <w:rPr>
          <w:bCs/>
          <w:b/>
        </w:rPr>
        <w:t xml:space="preserve">Apache Kafka (append-only log on ordinary disks).</w:t>
      </w:r>
      <w:r>
        <w:t xml:space="preserve"> </w:t>
      </w:r>
      <w:r>
        <w:t xml:space="preserve">Kafka’s designers observed that sequential disk throughput is hundreds of times higher than random-access throughput and that the operating system’s page cache already keeps recently written data in RAM. Kafka therefore stores each partition as an append-only file, reads and writes it sequentially, and relies on the page cache rather than an in-process cache, which lets brokers sustain high throughput even on hard disks. Trade-off: the design favors sequential consumers; random lookups by key are not what it is for.</w:t>
      </w:r>
      <w:r>
        <w:t xml:space="preserve"> </w:t>
      </w:r>
      <w:r>
        <w:rPr>
          <w:iCs/>
          <w:i/>
        </w:rPr>
        <w:t xml:space="preserve">Evidence: Primary</w:t>
      </w:r>
      <w:r>
        <w:t xml:space="preserve"> </w:t>
      </w:r>
      <w:r>
        <w:t xml:space="preserve">— [Apache Kafka Documentation, Design]</w:t>
      </w:r>
    </w:p>
    <w:bookmarkEnd w:id="514"/>
    <w:bookmarkStart w:id="515" w:name="failure-scenarios-12"/>
    <w:p>
      <w:pPr>
        <w:pStyle w:val="Heading4"/>
      </w:pPr>
      <w:r>
        <w:t xml:space="preserve">Failure scenarios</w:t>
      </w:r>
    </w:p>
    <w:p>
      <w:pPr>
        <w:pStyle w:val="FirstParagraph"/>
      </w:pPr>
      <w:r>
        <w:rPr>
          <w:bCs/>
          <w:b/>
        </w:rPr>
        <w:t xml:space="preserve">Table 5.7 — Storage 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p99 write latency spikes on a busy SSD</w:t>
            </w:r>
          </w:p>
        </w:tc>
        <w:tc>
          <w:tcPr/>
          <w:p>
            <w:pPr>
              <w:pStyle w:val="Compact"/>
              <w:jc w:val="left"/>
            </w:pPr>
            <w:r>
              <w:t xml:space="preserve">Garbage collection when free blocks are exhausted</w:t>
            </w:r>
          </w:p>
        </w:tc>
        <w:tc>
          <w:tcPr/>
          <w:p>
            <w:pPr>
              <w:pStyle w:val="Compact"/>
              <w:jc w:val="left"/>
            </w:pPr>
            <w:r>
              <w:t xml:space="preserve">Latency spikes correlate with sustained writes</w:t>
            </w:r>
          </w:p>
        </w:tc>
        <w:tc>
          <w:tcPr/>
          <w:p>
            <w:pPr>
              <w:pStyle w:val="Compact"/>
              <w:jc w:val="left"/>
            </w:pPr>
            <w:r>
              <w:t xml:space="preserve">Throttle writes; free space</w:t>
            </w:r>
          </w:p>
        </w:tc>
        <w:tc>
          <w:tcPr/>
          <w:p>
            <w:pPr>
              <w:pStyle w:val="Compact"/>
              <w:jc w:val="left"/>
            </w:pPr>
            <w:r>
              <w:t xml:space="preserve">Over-provision; TRIM; sequential writes</w:t>
            </w:r>
          </w:p>
        </w:tc>
      </w:tr>
      <w:tr>
        <w:tc>
          <w:tcPr/>
          <w:p>
            <w:pPr>
              <w:pStyle w:val="Compact"/>
              <w:jc w:val="left"/>
            </w:pPr>
            <w:r>
              <w:t xml:space="preserve">SSD wears out early</w:t>
            </w:r>
          </w:p>
        </w:tc>
        <w:tc>
          <w:tcPr/>
          <w:p>
            <w:pPr>
              <w:pStyle w:val="Compact"/>
              <w:jc w:val="left"/>
            </w:pPr>
            <w:r>
              <w:t xml:space="preserve">High write amplification from small random writes</w:t>
            </w:r>
          </w:p>
        </w:tc>
        <w:tc>
          <w:tcPr/>
          <w:p>
            <w:pPr>
              <w:pStyle w:val="Compact"/>
              <w:jc w:val="left"/>
            </w:pPr>
            <w:r>
              <w:t xml:space="preserve">SMART</w:t>
            </w:r>
            <w:r>
              <w:t xml:space="preserve"> </w:t>
            </w:r>
            <w:r>
              <w:t xml:space="preserve">“</w:t>
            </w:r>
            <w:r>
              <w:t xml:space="preserve">percentage used</w:t>
            </w:r>
            <w:r>
              <w:t xml:space="preserve">”</w:t>
            </w:r>
            <w:r>
              <w:t xml:space="preserve"> </w:t>
            </w:r>
            <w:r>
              <w:t xml:space="preserve">climbs fast</w:t>
            </w:r>
          </w:p>
        </w:tc>
        <w:tc>
          <w:tcPr/>
          <w:p>
            <w:pPr>
              <w:pStyle w:val="Compact"/>
              <w:jc w:val="left"/>
            </w:pPr>
            <w:r>
              <w:t xml:space="preserve">Replace drive; rebuild replica</w:t>
            </w:r>
          </w:p>
        </w:tc>
        <w:tc>
          <w:tcPr/>
          <w:p>
            <w:pPr>
              <w:pStyle w:val="Compact"/>
              <w:jc w:val="left"/>
            </w:pPr>
            <w:r>
              <w:t xml:space="preserve">Log-structured writes; endurance-rated drives</w:t>
            </w:r>
          </w:p>
        </w:tc>
      </w:tr>
      <w:tr>
        <w:tc>
          <w:tcPr/>
          <w:p>
            <w:pPr>
              <w:pStyle w:val="Compact"/>
              <w:jc w:val="left"/>
            </w:pPr>
            <w:r>
              <w:t xml:space="preserve">Database slow after moving from SSD to cheaper HDD tier</w:t>
            </w:r>
          </w:p>
        </w:tc>
        <w:tc>
          <w:tcPr/>
          <w:p>
            <w:pPr>
              <w:pStyle w:val="Compact"/>
              <w:jc w:val="left"/>
            </w:pPr>
            <w:r>
              <w:t xml:space="preserve">Random-access workload on ~100 IOPS devices</w:t>
            </w:r>
          </w:p>
        </w:tc>
        <w:tc>
          <w:tcPr/>
          <w:p>
            <w:pPr>
              <w:pStyle w:val="Compact"/>
              <w:jc w:val="left"/>
            </w:pPr>
            <w:r>
              <w:t xml:space="preserve">Queue depth high, low throughput, high await</w:t>
            </w:r>
          </w:p>
        </w:tc>
        <w:tc>
          <w:tcPr/>
          <w:p>
            <w:pPr>
              <w:pStyle w:val="Compact"/>
              <w:jc w:val="left"/>
            </w:pPr>
            <w:r>
              <w:t xml:space="preserve">Move back; add cache</w:t>
            </w:r>
          </w:p>
        </w:tc>
        <w:tc>
          <w:tcPr/>
          <w:p>
            <w:pPr>
              <w:pStyle w:val="Compact"/>
              <w:jc w:val="left"/>
            </w:pPr>
            <w:r>
              <w:t xml:space="preserve">Match the device to the access pattern</w:t>
            </w:r>
          </w:p>
        </w:tc>
      </w:tr>
      <w:tr>
        <w:tc>
          <w:tcPr/>
          <w:p>
            <w:pPr>
              <w:pStyle w:val="Compact"/>
              <w:jc w:val="left"/>
            </w:pPr>
            <w:r>
              <w:t xml:space="preserve">Data lost after power failure despite successful write</w:t>
            </w:r>
          </w:p>
        </w:tc>
        <w:tc>
          <w:tcPr/>
          <w:p>
            <w:pPr>
              <w:pStyle w:val="Compact"/>
              <w:jc w:val="left"/>
            </w:pPr>
            <w:r>
              <w:t xml:space="preserve">Data was still in volatile cache (OS, drive)</w:t>
            </w:r>
          </w:p>
        </w:tc>
        <w:tc>
          <w:tcPr/>
          <w:p>
            <w:pPr>
              <w:pStyle w:val="Compact"/>
              <w:jc w:val="left"/>
            </w:pPr>
            <w:r>
              <w:t xml:space="preserve">Corruption on restart</w:t>
            </w:r>
          </w:p>
        </w:tc>
        <w:tc>
          <w:tcPr/>
          <w:p>
            <w:pPr>
              <w:pStyle w:val="Compact"/>
              <w:jc w:val="left"/>
            </w:pPr>
            <w:r>
              <w:t xml:space="preserve">Restore from replica/backup</w:t>
            </w:r>
          </w:p>
        </w:tc>
        <w:tc>
          <w:tcPr/>
          <w:p>
            <w:pPr>
              <w:pStyle w:val="Compact"/>
              <w:jc w:val="left"/>
            </w:pPr>
            <w:r>
              <w:rPr>
                <w:rStyle w:val="VerbatimChar"/>
              </w:rPr>
              <w:t xml:space="preserve">fsync</w:t>
            </w:r>
            <w:r>
              <w:t xml:space="preserve"> </w:t>
            </w:r>
            <w:r>
              <w:t xml:space="preserve">and drives with power-loss protection (§6.14)</w:t>
            </w:r>
          </w:p>
        </w:tc>
      </w:tr>
    </w:tbl>
    <w:p>
      <w:pPr>
        <w:pStyle w:val="CalloutMistake"/>
      </w:pPr>
      <w:r>
        <w:rPr>
          <w:bCs/>
          <w:b/>
        </w:rPr>
        <w:t xml:space="preserve">COMMON MISTAKE</w:t>
      </w:r>
    </w:p>
    <w:p>
      <w:pPr>
        <w:pStyle w:val="CalloutMistake"/>
      </w:pPr>
      <w:r>
        <w:rPr>
          <w:bCs/>
          <w:b/>
        </w:rPr>
        <w:t xml:space="preserve">“</w:t>
      </w:r>
      <w:r>
        <w:rPr>
          <w:bCs/>
          <w:b/>
        </w:rPr>
        <w:t xml:space="preserve">SSDs make access patterns irrelevant.</w:t>
      </w:r>
      <w:r>
        <w:rPr>
          <w:bCs/>
          <w:b/>
        </w:rPr>
        <w:t xml:space="preserve">”</w:t>
      </w:r>
      <w:r>
        <w:t xml:space="preserve"> </w:t>
      </w:r>
      <w:r>
        <w:t xml:space="preserve">Sequential I/O on an SSD is still faster than random I/O, writes are amplified by small random updates, and a single blocking thread cannot exploit the device’s parallelism. SSDs shrink the penalty for randomness from ~600× to a few times; they do not remove it.</w:t>
      </w:r>
    </w:p>
    <w:bookmarkEnd w:id="515"/>
    <w:bookmarkEnd w:id="516"/>
    <w:bookmarkEnd w:id="517"/>
    <w:bookmarkStart w:id="526" w:name="io-operations"/>
    <w:p>
      <w:pPr>
        <w:pStyle w:val="Heading2"/>
      </w:pPr>
      <w:r>
        <w:t xml:space="preserve">5.7 I/O operations</w:t>
      </w:r>
    </w:p>
    <w:p>
      <w:pPr>
        <w:pStyle w:val="CalloutDefinition"/>
      </w:pPr>
      <w:r>
        <w:rPr>
          <w:bCs/>
          <w:b/>
        </w:rPr>
        <w:t xml:space="preserve">DEFINITION</w:t>
      </w:r>
    </w:p>
    <w:p>
      <w:pPr>
        <w:pStyle w:val="CalloutDefinition"/>
      </w:pPr>
      <w:r>
        <w:rPr>
          <w:bCs/>
          <w:b/>
        </w:rPr>
        <w:t xml:space="preserve">Definition — I/O (input/output).</w:t>
      </w:r>
      <w:r>
        <w:t xml:space="preserve"> </w:t>
      </w:r>
      <w:r>
        <w:t xml:space="preserve">Any transfer of data between the CPU/memory and a device outside it: storage, network cards, GPUs, keyboards. A</w:t>
      </w:r>
      <w:r>
        <w:t xml:space="preserve"> </w:t>
      </w:r>
      <w:r>
        <w:rPr>
          <w:bCs/>
          <w:b/>
        </w:rPr>
        <w:t xml:space="preserve">device controller</w:t>
      </w:r>
      <w:r>
        <w:t xml:space="preserve"> </w:t>
      </w:r>
      <w:r>
        <w:t xml:space="preserve">on each device does the physical work; the CPU communicates with it through</w:t>
      </w:r>
      <w:r>
        <w:t xml:space="preserve"> </w:t>
      </w:r>
      <w:r>
        <w:rPr>
          <w:bCs/>
          <w:b/>
        </w:rPr>
        <w:t xml:space="preserve">device registers</w:t>
      </w:r>
      <w:r>
        <w:t xml:space="preserve"> </w:t>
      </w:r>
      <w:r>
        <w:t xml:space="preserve">and shared memory.</w:t>
      </w:r>
    </w:p>
    <w:p>
      <w:pPr>
        <w:pStyle w:val="BodyText"/>
      </w:pPr>
      <w:r>
        <w:t xml:space="preserve">The central question of I/O design is:</w:t>
      </w:r>
      <w:r>
        <w:t xml:space="preserve"> </w:t>
      </w:r>
      <w:r>
        <w:rPr>
          <w:iCs/>
          <w:i/>
        </w:rPr>
        <w:t xml:space="preserve">what does the CPU do while a slow device works?</w:t>
      </w:r>
      <w:r>
        <w:t xml:space="preserve"> </w:t>
      </w:r>
      <w:r>
        <w:t xml:space="preserve">Back in the kitchen, ordering from the supplier can be handled four ways. You can stand at the phone repeating</w:t>
      </w:r>
      <w:r>
        <w:t xml:space="preserve"> </w:t>
      </w:r>
      <w:r>
        <w:t xml:space="preserve">“</w:t>
      </w:r>
      <w:r>
        <w:t xml:space="preserve">is it ready yet?</w:t>
      </w:r>
      <w:r>
        <w:t xml:space="preserve">”</w:t>
      </w:r>
      <w:r>
        <w:t xml:space="preserve"> </w:t>
      </w:r>
      <w:r>
        <w:t xml:space="preserve">(</w:t>
      </w:r>
      <w:r>
        <w:rPr>
          <w:bCs/>
          <w:b/>
        </w:rPr>
        <w:t xml:space="preserve">polling</w:t>
      </w:r>
      <w:r>
        <w:t xml:space="preserve">). You can do something else and let the supplier ring a bell when the delivery arrives (</w:t>
      </w:r>
      <w:r>
        <w:rPr>
          <w:bCs/>
          <w:b/>
        </w:rPr>
        <w:t xml:space="preserve">interrupts</w:t>
      </w:r>
      <w:r>
        <w:t xml:space="preserve">). You can have the supplier’s driver carry the goods straight into the fridge without you lifting a box (</w:t>
      </w:r>
      <w:r>
        <w:rPr>
          <w:bCs/>
          <w:b/>
        </w:rPr>
        <w:t xml:space="preserve">DMA</w:t>
      </w:r>
      <w:r>
        <w:t xml:space="preserve">). Or, for the busiest restaurants, you can bypass the front office entirely and deal with the driver directly (</w:t>
      </w:r>
      <w:r>
        <w:rPr>
          <w:bCs/>
          <w:b/>
        </w:rPr>
        <w:t xml:space="preserve">kernel bypass</w:t>
      </w:r>
      <w:r>
        <w:t xml:space="preserve">).</w:t>
      </w:r>
    </w:p>
    <w:bookmarkStart w:id="518" w:name="programmed-io"/>
    <w:p>
      <w:pPr>
        <w:pStyle w:val="Heading3"/>
      </w:pPr>
      <w:r>
        <w:t xml:space="preserve">5.7.1 Programmed I/O</w:t>
      </w:r>
    </w:p>
    <w:p>
      <w:pPr>
        <w:pStyle w:val="FirstParagraph"/>
      </w:pPr>
      <w:r>
        <w:t xml:space="preserve">In</w:t>
      </w:r>
      <w:r>
        <w:t xml:space="preserve"> </w:t>
      </w:r>
      <w:r>
        <w:rPr>
          <w:bCs/>
          <w:b/>
        </w:rPr>
        <w:t xml:space="preserve">programmed I/O</w:t>
      </w:r>
      <w:r>
        <w:t xml:space="preserve"> </w:t>
      </w:r>
      <w:r>
        <w:t xml:space="preserve">(PIO) the CPU itself moves every word between the device and memory, reading and writing device registers in a loop. It is simple and still used for tiny, infrequent transfers (configuring a device), but for bulk data it wastes the most expensive resource in the machine — CPU cycles — on copying.</w:t>
      </w:r>
    </w:p>
    <w:bookmarkEnd w:id="518"/>
    <w:bookmarkStart w:id="519" w:name="interrupts"/>
    <w:p>
      <w:pPr>
        <w:pStyle w:val="Heading3"/>
      </w:pPr>
      <w:r>
        <w:t xml:space="preserve">5.7.2 Interrupts</w:t>
      </w:r>
    </w:p>
    <w:p>
      <w:pPr>
        <w:pStyle w:val="FirstParagraph"/>
      </w:pPr>
      <w:r>
        <w:t xml:space="preserve">An</w:t>
      </w:r>
      <w:r>
        <w:t xml:space="preserve"> </w:t>
      </w:r>
      <w:r>
        <w:rPr>
          <w:bCs/>
          <w:b/>
        </w:rPr>
        <w:t xml:space="preserve">interrupt</w:t>
      </w:r>
      <w:r>
        <w:t xml:space="preserve"> </w:t>
      </w:r>
      <w:r>
        <w:t xml:space="preserve">is a hardware signal from a device that makes the CPU suspend its current work, run a short</w:t>
      </w:r>
      <w:r>
        <w:t xml:space="preserve"> </w:t>
      </w:r>
      <w:r>
        <w:rPr>
          <w:bCs/>
          <w:b/>
        </w:rPr>
        <w:t xml:space="preserve">interrupt handler</w:t>
      </w:r>
      <w:r>
        <w:t xml:space="preserve"> </w:t>
      </w:r>
      <w:r>
        <w:t xml:space="preserve">in the kernel, and then resume. The CPU starts an operation, goes off to run other threads, and is notified on completion. Modern PCIe devices raise</w:t>
      </w:r>
      <w:r>
        <w:t xml:space="preserve"> </w:t>
      </w:r>
      <w:r>
        <w:rPr>
          <w:bCs/>
          <w:b/>
        </w:rPr>
        <w:t xml:space="preserve">message-signaled interrupts</w:t>
      </w:r>
      <w:r>
        <w:t xml:space="preserve"> </w:t>
      </w:r>
      <w:r>
        <w:t xml:space="preserve">(MSI-X), which can be steered to a specific core. Interrupts are efficient when events are rare, but each one costs on the order of a microsecond or more of CPU time (handler entry, cache pollution, possible context switch; approximate). At millions of events per second — a single 10 Gbit/s link can deliver up to about 14.9 million minimum-size Ethernet frames per second (10¹⁰ bit/s ÷ (84 bytes × 8) on the wire, counting preamble and inter-frame gap) — one interrupt per packet would overwhelm the CPU.</w:t>
      </w:r>
    </w:p>
    <w:bookmarkEnd w:id="519"/>
    <w:bookmarkStart w:id="523" w:name="direct-memory-access-dma"/>
    <w:p>
      <w:pPr>
        <w:pStyle w:val="Heading3"/>
      </w:pPr>
      <w:r>
        <w:t xml:space="preserve">5.7.3 Direct memory access (DMA)</w:t>
      </w:r>
    </w:p>
    <w:p>
      <w:pPr>
        <w:pStyle w:val="CalloutDefinition"/>
      </w:pPr>
      <w:r>
        <w:rPr>
          <w:bCs/>
          <w:b/>
        </w:rPr>
        <w:t xml:space="preserve">DEFINITION</w:t>
      </w:r>
    </w:p>
    <w:p>
      <w:pPr>
        <w:pStyle w:val="CalloutDefinition"/>
      </w:pPr>
      <w:r>
        <w:rPr>
          <w:bCs/>
          <w:b/>
        </w:rPr>
        <w:t xml:space="preserve">Definition — Direct memory access (DMA).</w:t>
      </w:r>
      <w:r>
        <w:t xml:space="preserve"> </w:t>
      </w:r>
      <w:r>
        <w:t xml:space="preserve">A mechanism that lets a device controller read from or write to main memory directly, without the CPU copying each word; the CPU only sets up the transfer and is told when it finishes.</w:t>
      </w:r>
    </w:p>
    <w:p>
      <w:pPr>
        <w:pStyle w:val="BodyText"/>
      </w:pPr>
      <w:r>
        <w:rPr>
          <w:bCs/>
          <w:b/>
        </w:rPr>
        <w:t xml:space="preserve">Figure 5.7 — Reading a block from an NVMe SSD with DMA and an interrupt.</w:t>
      </w:r>
    </w:p>
    <w:p>
      <w:pPr>
        <w:pStyle w:val="BodyText"/>
      </w:pPr>
      <w:r>
        <w:drawing>
          <wp:inline>
            <wp:extent cx="5334000" cy="2081068"/>
            <wp:effectExtent b="0" l="0" r="0" t="0"/>
            <wp:docPr descr="" title="" id="521" name="Picture"/>
            <a:graphic>
              <a:graphicData uri="http://schemas.openxmlformats.org/drawingml/2006/picture">
                <pic:pic>
                  <pic:nvPicPr>
                    <pic:cNvPr descr="/home/user/System-Design/build/.cache/diagrams/2dd3792be3ed.png" id="522" name="Picture"/>
                    <pic:cNvPicPr>
                      <a:picLocks noChangeArrowheads="1" noChangeAspect="1"/>
                    </pic:cNvPicPr>
                  </pic:nvPicPr>
                  <pic:blipFill>
                    <a:blip r:embed="rId520"/>
                    <a:stretch>
                      <a:fillRect/>
                    </a:stretch>
                  </pic:blipFill>
                  <pic:spPr bwMode="auto">
                    <a:xfrm>
                      <a:off x="0" y="0"/>
                      <a:ext cx="5334000" cy="2081068"/>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Four participants: the application thread, the kernel’s NVMe driver, the command queues living in ordinary RAM, and the SSD’s controller. The application’s</w:t>
      </w:r>
      <w:r>
        <w:t xml:space="preserve"> </w:t>
      </w:r>
      <w:r>
        <w:rPr>
          <w:rStyle w:val="VerbatimChar"/>
        </w:rPr>
        <w:t xml:space="preserve">read</w:t>
      </w:r>
      <w:r>
        <w:t xml:space="preserve"> </w:t>
      </w:r>
      <w:r>
        <w:t xml:space="preserve">system call is synchronous</w:t>
      </w:r>
      <w:r>
        <w:t xml:space="preserve"> </w:t>
      </w:r>
      <w:r>
        <w:rPr>
          <w:iCs/>
          <w:i/>
        </w:rPr>
        <w:t xml:space="preserve">for the thread</w:t>
      </w:r>
      <w:r>
        <w:t xml:space="preserve"> </w:t>
      </w:r>
      <w:r>
        <w:t xml:space="preserve">— it blocks — but the CPU core is free to run other threads in the meantime. The kernel writes a command describing the request and the destination buffer into a submission queue in memory, then writes to a</w:t>
      </w:r>
      <w:r>
        <w:t xml:space="preserve"> </w:t>
      </w:r>
      <w:r>
        <w:rPr>
          <w:bCs/>
          <w:b/>
        </w:rPr>
        <w:t xml:space="preserve">doorbell</w:t>
      </w:r>
      <w:r>
        <w:t xml:space="preserve"> </w:t>
      </w:r>
      <w:r>
        <w:t xml:space="preserve">register on the device over PCIe. From then on the device does the work: it fetches the command, reads flash, and</w:t>
      </w:r>
      <w:r>
        <w:t xml:space="preserve"> </w:t>
      </w:r>
      <w:r>
        <w:rPr>
          <w:bCs/>
          <w:b/>
        </w:rPr>
        <w:t xml:space="preserve">DMAs</w:t>
      </w:r>
      <w:r>
        <w:t xml:space="preserve"> </w:t>
      </w:r>
      <w:r>
        <w:t xml:space="preserve">the data straight into the buffer — no CPU copying. Finally it posts a completion entry and raises an interrupt (dashed arrow: asynchronous notification). The storage boundary is crossed only by the device. Failure points: the device may time out (the driver resets it and fails the I/O), and a buggy device with unrestricted DMA could overwrite arbitrary memory, which is why servers use an</w:t>
      </w:r>
      <w:r>
        <w:t xml:space="preserve"> </w:t>
      </w:r>
      <w:r>
        <w:rPr>
          <w:bCs/>
          <w:b/>
        </w:rPr>
        <w:t xml:space="preserve">IOMMU</w:t>
      </w:r>
      <w:r>
        <w:t xml:space="preserve"> </w:t>
      </w:r>
      <w:r>
        <w:t xml:space="preserve">to restrict which addresses each device may access. Scaling comes from many queue pairs (one per core) and many outstanding commands (§5.6.5).</w:t>
      </w:r>
    </w:p>
    <w:bookmarkEnd w:id="523"/>
    <w:bookmarkStart w:id="524" w:name="polling-and-interrupt-coalescing"/>
    <w:p>
      <w:pPr>
        <w:pStyle w:val="Heading3"/>
      </w:pPr>
      <w:r>
        <w:t xml:space="preserve">5.7.4 Polling and interrupt coalescing</w:t>
      </w:r>
    </w:p>
    <w:p>
      <w:pPr>
        <w:pStyle w:val="FirstParagraph"/>
      </w:pPr>
      <w:r>
        <w:t xml:space="preserve">When events are very frequent,</w:t>
      </w:r>
      <w:r>
        <w:t xml:space="preserve"> </w:t>
      </w:r>
      <w:r>
        <w:rPr>
          <w:bCs/>
          <w:b/>
        </w:rPr>
        <w:t xml:space="preserve">polling</w:t>
      </w:r>
      <w:r>
        <w:t xml:space="preserve"> </w:t>
      </w:r>
      <w:r>
        <w:t xml:space="preserve">— a core repeatedly checking a completion queue — is cheaper than taking an interrupt per event, at the cost of burning a core even when idle. Practical systems mix the two. Network cards</w:t>
      </w:r>
      <w:r>
        <w:t xml:space="preserve"> </w:t>
      </w:r>
      <w:r>
        <w:rPr>
          <w:bCs/>
          <w:b/>
        </w:rPr>
        <w:t xml:space="preserve">coalesce</w:t>
      </w:r>
      <w:r>
        <w:t xml:space="preserve"> </w:t>
      </w:r>
      <w:r>
        <w:t xml:space="preserve">interrupts (one interrupt per batch of packets or per few microseconds), and Linux’s NAPI network subsystem switches from interrupts to polling under load, then back again when traffic subsides. This is the batching principle of §5.12 appearing inside the kernel. How programs see all this — blocking calls versus non-blocking interfaces such as</w:t>
      </w:r>
      <w:r>
        <w:t xml:space="preserve"> </w:t>
      </w:r>
      <w:r>
        <w:rPr>
          <w:rStyle w:val="VerbatimChar"/>
        </w:rPr>
        <w:t xml:space="preserve">epoll</w:t>
      </w:r>
      <w:r>
        <w:t xml:space="preserve"> </w:t>
      </w:r>
      <w:r>
        <w:t xml:space="preserve">and</w:t>
      </w:r>
      <w:r>
        <w:t xml:space="preserve"> </w:t>
      </w:r>
      <w:r>
        <w:rPr>
          <w:rStyle w:val="VerbatimChar"/>
        </w:rPr>
        <w:t xml:space="preserve">io_uring</w:t>
      </w:r>
      <w:r>
        <w:t xml:space="preserve"> </w:t>
      </w:r>
      <w:r>
        <w:t xml:space="preserve">— is covered in §6.13; underneath, the device always works in parallel with the CPU, and software’s job is to keep enough requests in flight.</w:t>
      </w:r>
    </w:p>
    <w:bookmarkEnd w:id="524"/>
    <w:bookmarkStart w:id="525" w:name="kernel-bypass-introduction"/>
    <w:p>
      <w:pPr>
        <w:pStyle w:val="Heading3"/>
      </w:pPr>
      <w:r>
        <w:t xml:space="preserve">5.7.5 Kernel bypass (introduction)</w:t>
      </w:r>
    </w:p>
    <w:p>
      <w:pPr>
        <w:pStyle w:val="FirstParagraph"/>
      </w:pPr>
      <w:r>
        <w:t xml:space="preserve">For each I/O, the conventional path crosses the user/kernel boundary, runs generic driver code, and often copies data between kernel and user buffers. At 10–100 Gbit/s or a million IOPS, those per-operation costs (each a few hundred nanoseconds to microseconds) become the bottleneck.</w:t>
      </w:r>
      <w:r>
        <w:t xml:space="preserve"> </w:t>
      </w:r>
      <w:r>
        <w:rPr>
          <w:bCs/>
          <w:b/>
        </w:rPr>
        <w:t xml:space="preserve">Kernel bypass</w:t>
      </w:r>
      <w:r>
        <w:t xml:space="preserve"> </w:t>
      </w:r>
      <w:r>
        <w:t xml:space="preserve">lets an application drive the device directly from user space:</w:t>
      </w:r>
    </w:p>
    <w:p>
      <w:pPr>
        <w:numPr>
          <w:ilvl w:val="0"/>
          <w:numId w:val="1154"/>
        </w:numPr>
        <w:pStyle w:val="Compact"/>
      </w:pPr>
      <w:r>
        <w:rPr>
          <w:bCs/>
          <w:b/>
        </w:rPr>
        <w:t xml:space="preserve">DPDK</w:t>
      </w:r>
      <w:r>
        <w:t xml:space="preserve"> </w:t>
      </w:r>
      <w:r>
        <w:t xml:space="preserve">(Data Plane Development Kit) — user-space network drivers that poll NIC queues; used in software routers, load balancers and packet processors [DPDK Documentation].</w:t>
      </w:r>
    </w:p>
    <w:p>
      <w:pPr>
        <w:numPr>
          <w:ilvl w:val="0"/>
          <w:numId w:val="1154"/>
        </w:numPr>
        <w:pStyle w:val="Compact"/>
      </w:pPr>
      <w:r>
        <w:rPr>
          <w:bCs/>
          <w:b/>
        </w:rPr>
        <w:t xml:space="preserve">SPDK</w:t>
      </w:r>
      <w:r>
        <w:t xml:space="preserve"> </w:t>
      </w:r>
      <w:r>
        <w:t xml:space="preserve">(Storage Performance Development Kit) — the same approach for NVMe storage [SPDK Documentation].</w:t>
      </w:r>
    </w:p>
    <w:p>
      <w:pPr>
        <w:numPr>
          <w:ilvl w:val="0"/>
          <w:numId w:val="1154"/>
        </w:numPr>
        <w:pStyle w:val="Compact"/>
      </w:pPr>
      <w:r>
        <w:rPr>
          <w:bCs/>
          <w:b/>
        </w:rPr>
        <w:t xml:space="preserve">RDMA</w:t>
      </w:r>
      <w:r>
        <w:t xml:space="preserve"> </w:t>
      </w:r>
      <w:r>
        <w:t xml:space="preserve">(remote direct memory access) — network cards that read and write a</w:t>
      </w:r>
      <w:r>
        <w:t xml:space="preserve"> </w:t>
      </w:r>
      <w:r>
        <w:rPr>
          <w:iCs/>
          <w:i/>
        </w:rPr>
        <w:t xml:space="preserve">remote</w:t>
      </w:r>
      <w:r>
        <w:t xml:space="preserve"> </w:t>
      </w:r>
      <w:r>
        <w:t xml:space="preserve">machine’s memory without involving the remote CPU, used in HPC and some databases and ML clusters (Ch 49, Ch 65).</w:t>
      </w:r>
    </w:p>
    <w:p>
      <w:pPr>
        <w:numPr>
          <w:ilvl w:val="0"/>
          <w:numId w:val="1154"/>
        </w:numPr>
        <w:pStyle w:val="Compact"/>
      </w:pPr>
      <w:r>
        <w:rPr>
          <w:bCs/>
          <w:b/>
        </w:rPr>
        <w:t xml:space="preserve">io_uring</w:t>
      </w:r>
      <w:r>
        <w:t xml:space="preserve"> </w:t>
      </w:r>
      <w:r>
        <w:t xml:space="preserve">(Linux 5.1, 2019) — not a full bypass, but shared submission/completion rings between application and kernel that remove most per-operation system calls and can poll [Axboe 2019].</w:t>
      </w:r>
    </w:p>
    <w:p>
      <w:pPr>
        <w:pStyle w:val="FirstParagraph"/>
      </w:pPr>
      <w:r>
        <w:t xml:space="preserve">Bypass trades generality, security isolation and operational simplicity for raw speed: you dedicate cores to polling, give up the kernel’s TCP stack or file system, and take on more of the driver’s responsibilities. Most services never need it; network appliances, exchanges and storage engines sometimes do.</w:t>
      </w:r>
    </w:p>
    <w:p>
      <w:pPr>
        <w:pStyle w:val="BodyText"/>
      </w:pPr>
      <w:r>
        <w:rPr>
          <w:bCs/>
          <w:b/>
        </w:rPr>
        <w:t xml:space="preserve">Table 5.8 — I/O mechanisms compared.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Mechanism</w:t>
            </w:r>
          </w:p>
        </w:tc>
        <w:tc>
          <w:tcPr/>
          <w:p>
            <w:pPr>
              <w:pStyle w:val="Compact"/>
              <w:jc w:val="left"/>
            </w:pPr>
            <w:r>
              <w:t xml:space="preserve">CPU cost per transfer</w:t>
            </w:r>
          </w:p>
        </w:tc>
        <w:tc>
          <w:tcPr/>
          <w:p>
            <w:pPr>
              <w:pStyle w:val="Compact"/>
              <w:jc w:val="left"/>
            </w:pPr>
            <w:r>
              <w:t xml:space="preserve">Latency</w:t>
            </w:r>
          </w:p>
        </w:tc>
        <w:tc>
          <w:tcPr/>
          <w:p>
            <w:pPr>
              <w:pStyle w:val="Compact"/>
              <w:jc w:val="left"/>
            </w:pPr>
            <w:r>
              <w:t xml:space="preserve">Best for</w:t>
            </w:r>
          </w:p>
        </w:tc>
        <w:tc>
          <w:tcPr/>
          <w:p>
            <w:pPr>
              <w:pStyle w:val="Compact"/>
              <w:jc w:val="left"/>
            </w:pPr>
            <w:r>
              <w:t xml:space="preserve">Drawback</w:t>
            </w:r>
          </w:p>
        </w:tc>
      </w:tr>
      <w:tr>
        <w:tc>
          <w:tcPr/>
          <w:p>
            <w:pPr>
              <w:pStyle w:val="Compact"/>
              <w:jc w:val="left"/>
            </w:pPr>
            <w:r>
              <w:t xml:space="preserve">Programmed I/O</w:t>
            </w:r>
          </w:p>
        </w:tc>
        <w:tc>
          <w:tcPr/>
          <w:p>
            <w:pPr>
              <w:pStyle w:val="Compact"/>
              <w:jc w:val="left"/>
            </w:pPr>
            <w:r>
              <w:t xml:space="preserve">Very high (CPU copies every word)</w:t>
            </w:r>
          </w:p>
        </w:tc>
        <w:tc>
          <w:tcPr/>
          <w:p>
            <w:pPr>
              <w:pStyle w:val="Compact"/>
              <w:jc w:val="left"/>
            </w:pPr>
            <w:r>
              <w:t xml:space="preserve">Low for tiny transfers</w:t>
            </w:r>
          </w:p>
        </w:tc>
        <w:tc>
          <w:tcPr/>
          <w:p>
            <w:pPr>
              <w:pStyle w:val="Compact"/>
              <w:jc w:val="left"/>
            </w:pPr>
            <w:r>
              <w:t xml:space="preserve">Device configuration</w:t>
            </w:r>
          </w:p>
        </w:tc>
        <w:tc>
          <w:tcPr/>
          <w:p>
            <w:pPr>
              <w:pStyle w:val="Compact"/>
              <w:jc w:val="left"/>
            </w:pPr>
            <w:r>
              <w:t xml:space="preserve">Wastes CPU on bulk data</w:t>
            </w:r>
          </w:p>
        </w:tc>
      </w:tr>
      <w:tr>
        <w:tc>
          <w:tcPr/>
          <w:p>
            <w:pPr>
              <w:pStyle w:val="Compact"/>
              <w:jc w:val="left"/>
            </w:pPr>
            <w:r>
              <w:t xml:space="preserve">Interrupt-driven + DMA</w:t>
            </w:r>
          </w:p>
        </w:tc>
        <w:tc>
          <w:tcPr/>
          <w:p>
            <w:pPr>
              <w:pStyle w:val="Compact"/>
              <w:jc w:val="left"/>
            </w:pPr>
            <w:r>
              <w:t xml:space="preserve">Low per byte; ~µs per interrupt</w:t>
            </w:r>
          </w:p>
        </w:tc>
        <w:tc>
          <w:tcPr/>
          <w:p>
            <w:pPr>
              <w:pStyle w:val="Compact"/>
              <w:jc w:val="left"/>
            </w:pPr>
            <w:r>
              <w:t xml:space="preserve">Adds interrupt + wake-up time</w:t>
            </w:r>
          </w:p>
        </w:tc>
        <w:tc>
          <w:tcPr/>
          <w:p>
            <w:pPr>
              <w:pStyle w:val="Compact"/>
              <w:jc w:val="left"/>
            </w:pPr>
            <w:r>
              <w:t xml:space="preserve">General-purpose I/O</w:t>
            </w:r>
          </w:p>
        </w:tc>
        <w:tc>
          <w:tcPr/>
          <w:p>
            <w:pPr>
              <w:pStyle w:val="Compact"/>
              <w:jc w:val="left"/>
            </w:pPr>
            <w:r>
              <w:t xml:space="preserve">Interrupt storms at high event rates</w:t>
            </w:r>
          </w:p>
        </w:tc>
      </w:tr>
      <w:tr>
        <w:tc>
          <w:tcPr/>
          <w:p>
            <w:pPr>
              <w:pStyle w:val="Compact"/>
              <w:jc w:val="left"/>
            </w:pPr>
            <w:r>
              <w:t xml:space="preserve">Polling</w:t>
            </w:r>
          </w:p>
        </w:tc>
        <w:tc>
          <w:tcPr/>
          <w:p>
            <w:pPr>
              <w:pStyle w:val="Compact"/>
              <w:jc w:val="left"/>
            </w:pPr>
            <w:r>
              <w:t xml:space="preserve">A dedicated core, even when idle</w:t>
            </w:r>
          </w:p>
        </w:tc>
        <w:tc>
          <w:tcPr/>
          <w:p>
            <w:pPr>
              <w:pStyle w:val="Compact"/>
              <w:jc w:val="left"/>
            </w:pPr>
            <w:r>
              <w:t xml:space="preserve">Lowest</w:t>
            </w:r>
          </w:p>
        </w:tc>
        <w:tc>
          <w:tcPr/>
          <w:p>
            <w:pPr>
              <w:pStyle w:val="Compact"/>
              <w:jc w:val="left"/>
            </w:pPr>
            <w:r>
              <w:t xml:space="preserve">Very high event rates</w:t>
            </w:r>
          </w:p>
        </w:tc>
        <w:tc>
          <w:tcPr/>
          <w:p>
            <w:pPr>
              <w:pStyle w:val="Compact"/>
              <w:jc w:val="left"/>
            </w:pPr>
            <w:r>
              <w:t xml:space="preserve">Burns CPU and power</w:t>
            </w:r>
          </w:p>
        </w:tc>
      </w:tr>
      <w:tr>
        <w:tc>
          <w:tcPr/>
          <w:p>
            <w:pPr>
              <w:pStyle w:val="Compact"/>
              <w:jc w:val="left"/>
            </w:pPr>
            <w:r>
              <w:t xml:space="preserve">Coalescing / hybrid (NAPI)</w:t>
            </w:r>
          </w:p>
        </w:tc>
        <w:tc>
          <w:tcPr/>
          <w:p>
            <w:pPr>
              <w:pStyle w:val="Compact"/>
              <w:jc w:val="left"/>
            </w:pPr>
            <w:r>
              <w:t xml:space="preserve">Low</w:t>
            </w:r>
          </w:p>
        </w:tc>
        <w:tc>
          <w:tcPr/>
          <w:p>
            <w:pPr>
              <w:pStyle w:val="Compact"/>
              <w:jc w:val="left"/>
            </w:pPr>
            <w:r>
              <w:t xml:space="preserve">Slightly higher for single events</w:t>
            </w:r>
          </w:p>
        </w:tc>
        <w:tc>
          <w:tcPr/>
          <w:p>
            <w:pPr>
              <w:pStyle w:val="Compact"/>
              <w:jc w:val="left"/>
            </w:pPr>
            <w:r>
              <w:t xml:space="preserve">Network stacks under variable load</w:t>
            </w:r>
          </w:p>
        </w:tc>
        <w:tc>
          <w:tcPr/>
          <w:p>
            <w:pPr>
              <w:pStyle w:val="Compact"/>
              <w:jc w:val="left"/>
            </w:pPr>
            <w:r>
              <w:t xml:space="preserve">Tuning trade-off between latency and CPU</w:t>
            </w:r>
          </w:p>
        </w:tc>
      </w:tr>
      <w:tr>
        <w:tc>
          <w:tcPr/>
          <w:p>
            <w:pPr>
              <w:pStyle w:val="Compact"/>
              <w:jc w:val="left"/>
            </w:pPr>
            <w:r>
              <w:t xml:space="preserve">Kernel bypass (DPDK/SPDK/RDMA)</w:t>
            </w:r>
          </w:p>
        </w:tc>
        <w:tc>
          <w:tcPr/>
          <w:p>
            <w:pPr>
              <w:pStyle w:val="Compact"/>
              <w:jc w:val="left"/>
            </w:pPr>
            <w:r>
              <w:t xml:space="preserve">Lowest per operation</w:t>
            </w:r>
          </w:p>
        </w:tc>
        <w:tc>
          <w:tcPr/>
          <w:p>
            <w:pPr>
              <w:pStyle w:val="Compact"/>
              <w:jc w:val="left"/>
            </w:pPr>
            <w:r>
              <w:t xml:space="preserve">Lowest</w:t>
            </w:r>
          </w:p>
        </w:tc>
        <w:tc>
          <w:tcPr/>
          <w:p>
            <w:pPr>
              <w:pStyle w:val="Compact"/>
              <w:jc w:val="left"/>
            </w:pPr>
            <w:r>
              <w:t xml:space="preserve">Packet processing, storage engines, HPC</w:t>
            </w:r>
          </w:p>
        </w:tc>
        <w:tc>
          <w:tcPr/>
          <w:p>
            <w:pPr>
              <w:pStyle w:val="Compact"/>
              <w:jc w:val="left"/>
            </w:pPr>
            <w:r>
              <w:t xml:space="preserve">Complexity; loses kernel features</w:t>
            </w:r>
          </w:p>
        </w:tc>
      </w:tr>
    </w:tbl>
    <w:bookmarkEnd w:id="525"/>
    <w:bookmarkEnd w:id="526"/>
    <w:bookmarkStart w:id="532" w:name="cpu-bound-versus-io-bound-workloads"/>
    <w:p>
      <w:pPr>
        <w:pStyle w:val="Heading2"/>
      </w:pPr>
      <w:r>
        <w:t xml:space="preserve">5.8 CPU-bound versus I/O-bound workloads</w:t>
      </w:r>
    </w:p>
    <w:p>
      <w:pPr>
        <w:pStyle w:val="CalloutDefinition"/>
      </w:pPr>
      <w:r>
        <w:rPr>
          <w:bCs/>
          <w:b/>
        </w:rPr>
        <w:t xml:space="preserve">DEFINITION</w:t>
      </w:r>
    </w:p>
    <w:p>
      <w:pPr>
        <w:pStyle w:val="CalloutDefinition"/>
      </w:pPr>
      <w:r>
        <w:rPr>
          <w:bCs/>
          <w:b/>
        </w:rPr>
        <w:t xml:space="preserve">Definition — CPU-bound and I/O-bound.</w:t>
      </w:r>
      <w:r>
        <w:t xml:space="preserve"> </w:t>
      </w:r>
      <w:r>
        <w:t xml:space="preserve">A workload is</w:t>
      </w:r>
      <w:r>
        <w:t xml:space="preserve"> </w:t>
      </w:r>
      <w:r>
        <w:rPr>
          <w:bCs/>
          <w:b/>
        </w:rPr>
        <w:t xml:space="preserve">CPU-bound</w:t>
      </w:r>
      <w:r>
        <w:t xml:space="preserve"> </w:t>
      </w:r>
      <w:r>
        <w:t xml:space="preserve">when its speed is limited by how fast the processor can execute instructions; giving it a faster CPU or more cores speeds it up. It is</w:t>
      </w:r>
      <w:r>
        <w:t xml:space="preserve"> </w:t>
      </w:r>
      <w:r>
        <w:rPr>
          <w:bCs/>
          <w:b/>
        </w:rPr>
        <w:t xml:space="preserve">I/O-bound</w:t>
      </w:r>
      <w:r>
        <w:t xml:space="preserve"> </w:t>
      </w:r>
      <w:r>
        <w:t xml:space="preserve">when it spends most of its time waiting for storage or the network; a faster CPU barely helps, but more concurrency or faster devices do. A related category,</w:t>
      </w:r>
      <w:r>
        <w:t xml:space="preserve"> </w:t>
      </w:r>
      <w:r>
        <w:rPr>
          <w:bCs/>
          <w:b/>
        </w:rPr>
        <w:t xml:space="preserve">memory-bound</w:t>
      </w:r>
      <w:r>
        <w:t xml:space="preserve">, is limited by memory latency or bandwidth (§5.9) — the CPU looks</w:t>
      </w:r>
      <w:r>
        <w:t xml:space="preserve"> </w:t>
      </w:r>
      <w:r>
        <w:t xml:space="preserve">“</w:t>
      </w:r>
      <w:r>
        <w:t xml:space="preserve">busy</w:t>
      </w:r>
      <w:r>
        <w:t xml:space="preserve">”</w:t>
      </w:r>
      <w:r>
        <w:t xml:space="preserve"> </w:t>
      </w:r>
      <w:r>
        <w:t xml:space="preserve">but is mostly stalled.</w:t>
      </w:r>
    </w:p>
    <w:p>
      <w:pPr>
        <w:pStyle w:val="BodyText"/>
      </w:pPr>
      <w:r>
        <w:t xml:space="preserve">A cook who spends all day chopping is CPU-bound: hire more cooks. A cook who spends all day waiting for deliveries is I/O-bound: hiring more cooks only adds more people waiting — what helps is ordering many deliveries at once, or keeping stock closer to hand (caching).</w:t>
      </w:r>
    </w:p>
    <w:bookmarkStart w:id="530" w:name="how-to-tell"/>
    <w:p>
      <w:pPr>
        <w:pStyle w:val="Heading3"/>
      </w:pPr>
      <w:r>
        <w:t xml:space="preserve">5.8.1 How to tell</w:t>
      </w:r>
    </w:p>
    <w:p>
      <w:pPr>
        <w:pStyle w:val="FirstParagraph"/>
      </w:pPr>
      <w:r>
        <w:rPr>
          <w:bCs/>
          <w:b/>
        </w:rPr>
        <w:t xml:space="preserve">Figure 5.8 — Diagnosing what limits a workload.</w:t>
      </w:r>
    </w:p>
    <w:p>
      <w:pPr>
        <w:pStyle w:val="BodyText"/>
      </w:pPr>
      <w:r>
        <w:drawing>
          <wp:inline>
            <wp:extent cx="5334000" cy="3565843"/>
            <wp:effectExtent b="0" l="0" r="0" t="0"/>
            <wp:docPr descr="" title="" id="528" name="Picture"/>
            <a:graphic>
              <a:graphicData uri="http://schemas.openxmlformats.org/drawingml/2006/picture">
                <pic:pic>
                  <pic:nvPicPr>
                    <pic:cNvPr descr="/home/user/System-Design/build/.cache/diagrams/1e4e15612be3.png" id="529" name="Picture"/>
                    <pic:cNvPicPr>
                      <a:picLocks noChangeArrowheads="1" noChangeAspect="1"/>
                    </pic:cNvPicPr>
                  </pic:nvPicPr>
                  <pic:blipFill>
                    <a:blip r:embed="rId527"/>
                    <a:stretch>
                      <a:fillRect/>
                    </a:stretch>
                  </pic:blipFill>
                  <pic:spPr bwMode="auto">
                    <a:xfrm>
                      <a:off x="0" y="0"/>
                      <a:ext cx="5334000" cy="3565843"/>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Start at the top with a symptom and walk the decisions using measurements, not guesses. CPU utilization per core (not the machine average, which hides one saturated core) separates</w:t>
      </w:r>
      <w:r>
        <w:t xml:space="preserve"> </w:t>
      </w:r>
      <w:r>
        <w:t xml:space="preserve">“</w:t>
      </w:r>
      <w:r>
        <w:t xml:space="preserve">computing</w:t>
      </w:r>
      <w:r>
        <w:t xml:space="preserve">”</w:t>
      </w:r>
      <w:r>
        <w:t xml:space="preserve"> </w:t>
      </w:r>
      <w:r>
        <w:t xml:space="preserve">from</w:t>
      </w:r>
      <w:r>
        <w:t xml:space="preserve"> </w:t>
      </w:r>
      <w:r>
        <w:t xml:space="preserve">“</w:t>
      </w:r>
      <w:r>
        <w:t xml:space="preserve">waiting</w:t>
      </w:r>
      <w:r>
        <w:t xml:space="preserve">”</w:t>
      </w:r>
      <w:r>
        <w:t xml:space="preserve">. Among busy CPUs, instructions per cycle and cache-miss counters (from</w:t>
      </w:r>
      <w:r>
        <w:t xml:space="preserve"> </w:t>
      </w:r>
      <w:r>
        <w:rPr>
          <w:rStyle w:val="VerbatimChar"/>
        </w:rPr>
        <w:t xml:space="preserve">perf stat</w:t>
      </w:r>
      <w:r>
        <w:t xml:space="preserve"> </w:t>
      </w:r>
      <w:r>
        <w:t xml:space="preserve">on Linux) separate genuine computation from stalls on memory. Among idle CPUs, disk utilization and queue length (</w:t>
      </w:r>
      <w:r>
        <w:rPr>
          <w:rStyle w:val="VerbatimChar"/>
        </w:rPr>
        <w:t xml:space="preserve">iostat -x</w:t>
      </w:r>
      <w:r>
        <w:t xml:space="preserve">) reveal storage limits, and thread dumps or off-CPU profiles reveal whether threads wait on network calls to dependencies or on locks. Each leaf names a different remedy; applying the wrong one (more threads for a CPU-bound service, a faster CPU for an I/O-bound one) wastes money. This is the resource model of §2.6 applied to one machine; the systematic version is Brendan Gregg’s USE method (§23.3) [Gregg 2020].</w:t>
      </w:r>
    </w:p>
    <w:p>
      <w:pPr>
        <w:pStyle w:val="BodyText"/>
      </w:pPr>
      <w:r>
        <w:rPr>
          <w:bCs/>
          <w:b/>
        </w:rPr>
        <w:t xml:space="preserve">Table 5.9 — Signals that distinguish CPU-bound from I/O-bound workloads.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Signal</w:t>
            </w:r>
          </w:p>
        </w:tc>
        <w:tc>
          <w:tcPr/>
          <w:p>
            <w:pPr>
              <w:pStyle w:val="Compact"/>
              <w:jc w:val="left"/>
            </w:pPr>
            <w:r>
              <w:t xml:space="preserve">CPU-bound</w:t>
            </w:r>
          </w:p>
        </w:tc>
        <w:tc>
          <w:tcPr/>
          <w:p>
            <w:pPr>
              <w:pStyle w:val="Compact"/>
              <w:jc w:val="left"/>
            </w:pPr>
            <w:r>
              <w:t xml:space="preserve">I/O-bound</w:t>
            </w:r>
          </w:p>
        </w:tc>
      </w:tr>
      <w:tr>
        <w:tc>
          <w:tcPr/>
          <w:p>
            <w:pPr>
              <w:pStyle w:val="Compact"/>
              <w:jc w:val="left"/>
            </w:pPr>
            <w:r>
              <w:t xml:space="preserve">Per-core CPU utilization</w:t>
            </w:r>
          </w:p>
        </w:tc>
        <w:tc>
          <w:tcPr/>
          <w:p>
            <w:pPr>
              <w:pStyle w:val="Compact"/>
              <w:jc w:val="left"/>
            </w:pPr>
            <w:r>
              <w:t xml:space="preserve">Near 100% in user time</w:t>
            </w:r>
          </w:p>
        </w:tc>
        <w:tc>
          <w:tcPr/>
          <w:p>
            <w:pPr>
              <w:pStyle w:val="Compact"/>
              <w:jc w:val="left"/>
            </w:pPr>
            <w:r>
              <w:t xml:space="preserve">Low or moderate</w:t>
            </w:r>
          </w:p>
        </w:tc>
      </w:tr>
      <w:tr>
        <w:tc>
          <w:tcPr/>
          <w:p>
            <w:pPr>
              <w:pStyle w:val="Compact"/>
              <w:jc w:val="left"/>
            </w:pPr>
            <w:r>
              <w:rPr>
                <w:rStyle w:val="VerbatimChar"/>
              </w:rPr>
              <w:t xml:space="preserve">time</w:t>
            </w:r>
            <w:r>
              <w:t xml:space="preserve"> </w:t>
            </w:r>
            <w:r>
              <w:t xml:space="preserve">output for a command</w:t>
            </w:r>
          </w:p>
        </w:tc>
        <w:tc>
          <w:tcPr/>
          <w:p>
            <w:pPr>
              <w:pStyle w:val="Compact"/>
              <w:jc w:val="left"/>
            </w:pPr>
            <w:r>
              <w:t xml:space="preserve">user + sys ≈ real (× cores used)</w:t>
            </w:r>
          </w:p>
        </w:tc>
        <w:tc>
          <w:tcPr/>
          <w:p>
            <w:pPr>
              <w:pStyle w:val="Compact"/>
              <w:jc w:val="left"/>
            </w:pPr>
            <w:r>
              <w:t xml:space="preserve">real ≫ user + sys</w:t>
            </w:r>
          </w:p>
        </w:tc>
      </w:tr>
      <w:tr>
        <w:tc>
          <w:tcPr/>
          <w:p>
            <w:pPr>
              <w:pStyle w:val="Compact"/>
              <w:jc w:val="left"/>
            </w:pPr>
            <w:r>
              <w:t xml:space="preserve">Effect of a faster CPU</w:t>
            </w:r>
          </w:p>
        </w:tc>
        <w:tc>
          <w:tcPr/>
          <w:p>
            <w:pPr>
              <w:pStyle w:val="Compact"/>
              <w:jc w:val="left"/>
            </w:pPr>
            <w:r>
              <w:t xml:space="preserve">Proportional speed-up</w:t>
            </w:r>
          </w:p>
        </w:tc>
        <w:tc>
          <w:tcPr/>
          <w:p>
            <w:pPr>
              <w:pStyle w:val="Compact"/>
              <w:jc w:val="left"/>
            </w:pPr>
            <w:r>
              <w:t xml:space="preserve">Little effect</w:t>
            </w:r>
          </w:p>
        </w:tc>
      </w:tr>
      <w:tr>
        <w:tc>
          <w:tcPr/>
          <w:p>
            <w:pPr>
              <w:pStyle w:val="Compact"/>
              <w:jc w:val="left"/>
            </w:pPr>
            <w:r>
              <w:t xml:space="preserve">Effect of more threads</w:t>
            </w:r>
          </w:p>
        </w:tc>
        <w:tc>
          <w:tcPr/>
          <w:p>
            <w:pPr>
              <w:pStyle w:val="Compact"/>
              <w:jc w:val="left"/>
            </w:pPr>
            <w:r>
              <w:t xml:space="preserve">Helps up to the core count, then hurts</w:t>
            </w:r>
          </w:p>
        </w:tc>
        <w:tc>
          <w:tcPr/>
          <w:p>
            <w:pPr>
              <w:pStyle w:val="Compact"/>
              <w:jc w:val="left"/>
            </w:pPr>
            <w:r>
              <w:t xml:space="preserve">Helps until the device or dependency saturates</w:t>
            </w:r>
          </w:p>
        </w:tc>
      </w:tr>
      <w:tr>
        <w:tc>
          <w:tcPr/>
          <w:p>
            <w:pPr>
              <w:pStyle w:val="Compact"/>
              <w:jc w:val="left"/>
            </w:pPr>
            <w:r>
              <w:t xml:space="preserve">Typical examples</w:t>
            </w:r>
          </w:p>
        </w:tc>
        <w:tc>
          <w:tcPr/>
          <w:p>
            <w:pPr>
              <w:pStyle w:val="Compact"/>
              <w:jc w:val="left"/>
            </w:pPr>
            <w:r>
              <w:t xml:space="preserve">Compression, encryption, image resizing, JSON parsing at scale, model inference on CPU</w:t>
            </w:r>
          </w:p>
        </w:tc>
        <w:tc>
          <w:tcPr/>
          <w:p>
            <w:pPr>
              <w:pStyle w:val="Compact"/>
              <w:jc w:val="left"/>
            </w:pPr>
            <w:r>
              <w:t xml:space="preserve">Database queries over the network, file servers, API gateways, web crawlers</w:t>
            </w:r>
          </w:p>
        </w:tc>
      </w:tr>
    </w:tbl>
    <w:p>
      <w:pPr>
        <w:pStyle w:val="BodyText"/>
      </w:pPr>
      <w:r>
        <w:t xml:space="preserve">A caution about the Linux</w:t>
      </w:r>
      <w:r>
        <w:t xml:space="preserve"> </w:t>
      </w:r>
      <w:r>
        <w:rPr>
          <w:rStyle w:val="VerbatimChar"/>
        </w:rPr>
        <w:t xml:space="preserve">%iowait</w:t>
      </w:r>
      <w:r>
        <w:t xml:space="preserve"> </w:t>
      </w:r>
      <w:r>
        <w:t xml:space="preserve">metric: it reports idle time during which some I/O was outstanding. It is a hint, not a measure of I/O capacity; a fully busy CPU can hide I/O waits, and on multi-core machines the number is easy to misread [Gregg 2020].</w:t>
      </w:r>
    </w:p>
    <w:bookmarkEnd w:id="530"/>
    <w:bookmarkStart w:id="531" w:name="why-it-matters-for-thread-pools"/>
    <w:p>
      <w:pPr>
        <w:pStyle w:val="Heading3"/>
      </w:pPr>
      <w:r>
        <w:t xml:space="preserve">5.8.2 Why it matters for thread pools</w:t>
      </w:r>
    </w:p>
    <w:p>
      <w:pPr>
        <w:pStyle w:val="CalloutFormula"/>
      </w:pPr>
      <w:r>
        <w:rPr>
          <w:bCs/>
          <w:b/>
        </w:rPr>
        <w:t xml:space="preserve">FORMULA</w:t>
      </w:r>
    </w:p>
    <w:p>
      <w:pPr>
        <w:pStyle w:val="CalloutFormula"/>
      </w:pPr>
      <w:r>
        <w:rPr>
          <w:bCs/>
          <w:b/>
        </w:rPr>
        <w:t xml:space="preserve">Thread pool sizing heuristic</w:t>
      </w:r>
      <w:r>
        <w:t xml:space="preserve"> </w:t>
      </w:r>
      <w:r>
        <w:t xml:space="preserve">[Goetz et al. 2006, §8.2]</w:t>
      </w:r>
    </w:p>
    <w:p>
      <w:pPr>
        <w:pStyle w:val="CalloutFormula"/>
      </w:pPr>
      <m:oMathPara>
        <m:oMathParaPr>
          <m:jc m:val="center"/>
        </m:oMathParaPr>
        <m:oMath>
          <m:sSub>
            <m:e>
              <m:r>
                <m:t>N</m:t>
              </m:r>
            </m:e>
            <m:sub>
              <m:r>
                <m:t>t</m:t>
              </m:r>
              <m:r>
                <m:t>h</m:t>
              </m:r>
              <m:r>
                <m:t>r</m:t>
              </m:r>
              <m:r>
                <m:t>e</m:t>
              </m:r>
              <m:r>
                <m:t>a</m:t>
              </m:r>
              <m:r>
                <m:t>d</m:t>
              </m:r>
              <m:r>
                <m:t>s</m:t>
              </m:r>
            </m:sub>
          </m:sSub>
          <m:r>
            <m:rPr>
              <m:sty m:val="p"/>
            </m:rPr>
            <m:t>=</m:t>
          </m:r>
          <m:sSub>
            <m:e>
              <m:r>
                <m:t>N</m:t>
              </m:r>
            </m:e>
            <m:sub>
              <m:r>
                <m:t>c</m:t>
              </m:r>
              <m:r>
                <m:t>o</m:t>
              </m:r>
              <m:r>
                <m:t>r</m:t>
              </m:r>
              <m:r>
                <m:t>e</m:t>
              </m:r>
              <m:r>
                <m:t>s</m:t>
              </m:r>
            </m:sub>
          </m:sSub>
          <m:r>
            <m:rPr>
              <m:sty m:val="p"/>
            </m:rPr>
            <m:t>×</m:t>
          </m:r>
          <m:sSub>
            <m:e>
              <m:r>
                <m:t>U</m:t>
              </m:r>
            </m:e>
            <m:sub>
              <m:r>
                <m:t>t</m:t>
              </m:r>
              <m:r>
                <m:t>a</m:t>
              </m:r>
              <m:r>
                <m:t>r</m:t>
              </m:r>
              <m:r>
                <m:t>g</m:t>
              </m:r>
              <m:r>
                <m:t>e</m:t>
              </m:r>
              <m:r>
                <m:t>t</m:t>
              </m:r>
            </m:sub>
          </m:sSub>
          <m:r>
            <m:rPr>
              <m:sty m:val="p"/>
            </m:rPr>
            <m:t>×</m:t>
          </m:r>
          <m:d>
            <m:dPr>
              <m:begChr m:val="("/>
              <m:endChr m:val=")"/>
              <m:sepChr m:val=""/>
              <m:grow/>
            </m:dPr>
            <m:e>
              <m:r>
                <m:t>1</m:t>
              </m:r>
              <m:r>
                <m:rPr>
                  <m:sty m:val="p"/>
                </m:rPr>
                <m:t>+</m:t>
              </m:r>
              <m:f>
                <m:fPr>
                  <m:type m:val="bar"/>
                </m:fPr>
                <m:num>
                  <m:r>
                    <m:t>W</m:t>
                  </m:r>
                </m:num>
                <m:den>
                  <m:r>
                    <m:t>C</m:t>
                  </m:r>
                </m:den>
              </m:f>
            </m:e>
          </m:d>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N</m:t>
                  </m:r>
                </m:e>
                <m:sub>
                  <m:r>
                    <m:t>t</m:t>
                  </m:r>
                  <m:r>
                    <m:t>h</m:t>
                  </m:r>
                  <m:r>
                    <m:t>r</m:t>
                  </m:r>
                  <m:r>
                    <m:t>e</m:t>
                  </m:r>
                  <m:r>
                    <m:t>a</m:t>
                  </m:r>
                  <m:r>
                    <m:t>d</m:t>
                  </m:r>
                  <m:r>
                    <m:t>s</m:t>
                  </m:r>
                </m:sub>
              </m:sSub>
            </m:oMath>
          </w:p>
        </w:tc>
        <w:tc>
          <w:tcPr/>
          <w:p>
            <w:pPr>
              <w:pStyle w:val="Compact"/>
              <w:jc w:val="left"/>
            </w:pPr>
            <w:r>
              <w:t xml:space="preserve">Threads in the pool</w:t>
            </w:r>
          </w:p>
        </w:tc>
        <w:tc>
          <w:tcPr/>
          <w:p>
            <w:pPr>
              <w:pStyle w:val="Compact"/>
              <w:jc w:val="left"/>
            </w:pPr>
            <w:r>
              <w:t xml:space="preserve">threads</w:t>
            </w:r>
          </w:p>
        </w:tc>
      </w:tr>
      <w:tr>
        <w:tc>
          <w:tcPr/>
          <w:p>
            <w:pPr>
              <w:pStyle w:val="Compact"/>
              <w:jc w:val="left"/>
            </w:pPr>
            <m:oMath>
              <m:sSub>
                <m:e>
                  <m:r>
                    <m:t>N</m:t>
                  </m:r>
                </m:e>
                <m:sub>
                  <m:r>
                    <m:t>c</m:t>
                  </m:r>
                  <m:r>
                    <m:t>o</m:t>
                  </m:r>
                  <m:r>
                    <m:t>r</m:t>
                  </m:r>
                  <m:r>
                    <m:t>e</m:t>
                  </m:r>
                  <m:r>
                    <m:t>s</m:t>
                  </m:r>
                </m:sub>
              </m:sSub>
            </m:oMath>
          </w:p>
        </w:tc>
        <w:tc>
          <w:tcPr/>
          <w:p>
            <w:pPr>
              <w:pStyle w:val="Compact"/>
              <w:jc w:val="left"/>
            </w:pPr>
            <w:r>
              <w:t xml:space="preserve">Cores available to the pool</w:t>
            </w:r>
          </w:p>
        </w:tc>
        <w:tc>
          <w:tcPr/>
          <w:p>
            <w:pPr>
              <w:pStyle w:val="Compact"/>
              <w:jc w:val="left"/>
            </w:pPr>
            <w:r>
              <w:t xml:space="preserve">cores</w:t>
            </w:r>
          </w:p>
        </w:tc>
      </w:tr>
      <w:tr>
        <w:tc>
          <w:tcPr/>
          <w:p>
            <w:pPr>
              <w:pStyle w:val="Compact"/>
              <w:jc w:val="left"/>
            </w:pPr>
            <m:oMath>
              <m:sSub>
                <m:e>
                  <m:r>
                    <m:t>U</m:t>
                  </m:r>
                </m:e>
                <m:sub>
                  <m:r>
                    <m:t>t</m:t>
                  </m:r>
                  <m:r>
                    <m:t>a</m:t>
                  </m:r>
                  <m:r>
                    <m:t>r</m:t>
                  </m:r>
                  <m:r>
                    <m:t>g</m:t>
                  </m:r>
                  <m:r>
                    <m:t>e</m:t>
                  </m:r>
                  <m:r>
                    <m:t>t</m:t>
                  </m:r>
                </m:sub>
              </m:sSub>
            </m:oMath>
          </w:p>
        </w:tc>
        <w:tc>
          <w:tcPr/>
          <w:p>
            <w:pPr>
              <w:pStyle w:val="Compact"/>
              <w:jc w:val="left"/>
            </w:pPr>
            <w:r>
              <w:t xml:space="preserve">Target CPU utilization (0–1)</w:t>
            </w:r>
          </w:p>
        </w:tc>
        <w:tc>
          <w:tcPr/>
          <w:p>
            <w:pPr>
              <w:pStyle w:val="Compact"/>
              <w:jc w:val="left"/>
            </w:pPr>
            <w:r>
              <w:t xml:space="preserve">dimensionless</w:t>
            </w:r>
          </w:p>
        </w:tc>
      </w:tr>
      <w:tr>
        <w:tc>
          <w:tcPr/>
          <w:p>
            <w:pPr>
              <w:pStyle w:val="Compact"/>
              <w:jc w:val="left"/>
            </w:pPr>
            <m:oMath>
              <m:r>
                <m:t>W</m:t>
              </m:r>
            </m:oMath>
          </w:p>
        </w:tc>
        <w:tc>
          <w:tcPr/>
          <w:p>
            <w:pPr>
              <w:pStyle w:val="Compact"/>
              <w:jc w:val="left"/>
            </w:pPr>
            <w:r>
              <w:t xml:space="preserve">Average time a task spends waiting (I/O, remote calls)</w:t>
            </w:r>
          </w:p>
        </w:tc>
        <w:tc>
          <w:tcPr/>
          <w:p>
            <w:pPr>
              <w:pStyle w:val="Compact"/>
              <w:jc w:val="left"/>
            </w:pPr>
            <w:r>
              <w:t xml:space="preserve">seconds</w:t>
            </w:r>
          </w:p>
        </w:tc>
      </w:tr>
      <w:tr>
        <w:tc>
          <w:tcPr/>
          <w:p>
            <w:pPr>
              <w:pStyle w:val="Compact"/>
              <w:jc w:val="left"/>
            </w:pPr>
            <m:oMath>
              <m:r>
                <m:t>C</m:t>
              </m:r>
            </m:oMath>
          </w:p>
        </w:tc>
        <w:tc>
          <w:tcPr/>
          <w:p>
            <w:pPr>
              <w:pStyle w:val="Compact"/>
              <w:jc w:val="left"/>
            </w:pPr>
            <w:r>
              <w:t xml:space="preserve">Average CPU time per task</w:t>
            </w:r>
          </w:p>
        </w:tc>
        <w:tc>
          <w:tcPr/>
          <w:p>
            <w:pPr>
              <w:pStyle w:val="Compact"/>
              <w:jc w:val="left"/>
            </w:pPr>
            <w:r>
              <w:t xml:space="preserve">seconds</w:t>
            </w:r>
          </w:p>
        </w:tc>
      </w:tr>
    </w:tbl>
    <w:p>
      <w:pPr>
        <w:pStyle w:val="CalloutExample"/>
      </w:pPr>
      <w:r>
        <w:rPr>
          <w:bCs/>
          <w:b/>
        </w:rPr>
        <w:t xml:space="preserve">WORKED EXAMPLE</w:t>
      </w:r>
    </w:p>
    <w:p>
      <w:pPr>
        <w:pStyle w:val="CalloutExample"/>
      </w:pPr>
      <w:r>
        <w:rPr>
          <w:bCs/>
          <w:b/>
        </w:rPr>
        <w:t xml:space="preserve">Worked example — Sizing pools for two services on an 8-core machine.</w:t>
      </w:r>
    </w:p>
    <w:p>
      <w:pPr>
        <w:numPr>
          <w:ilvl w:val="0"/>
          <w:numId w:val="1155"/>
        </w:numPr>
        <w:pStyle w:val="Compact"/>
      </w:pPr>
      <w:r>
        <w:rPr>
          <w:iCs/>
          <w:i/>
        </w:rPr>
        <w:t xml:space="preserve">Image-thumbnail service</w:t>
      </w:r>
      <w:r>
        <w:t xml:space="preserve"> </w:t>
      </w:r>
      <w:r>
        <w:t xml:space="preserve">(CPU-bound):</w:t>
      </w:r>
      <w:r>
        <w:t xml:space="preserve"> </w:t>
      </w:r>
      <m:oMath>
        <m:r>
          <m:t>W</m:t>
        </m:r>
        <m:r>
          <m:rPr>
            <m:sty m:val="p"/>
          </m:rPr>
          <m:t>≈</m:t>
        </m:r>
        <m:r>
          <m:t>0</m:t>
        </m:r>
      </m:oMath>
      <w:r>
        <w:t xml:space="preserve">, so</w:t>
      </w:r>
      <w:r>
        <w:t xml:space="preserve"> </w:t>
      </w:r>
      <m:oMath>
        <m:r>
          <m:t>N</m:t>
        </m:r>
        <m:r>
          <m:rPr>
            <m:sty m:val="p"/>
          </m:rPr>
          <m:t>=</m:t>
        </m:r>
        <m:r>
          <m:t>8</m:t>
        </m:r>
        <m:r>
          <m:rPr>
            <m:sty m:val="p"/>
          </m:rPr>
          <m:t>×</m:t>
        </m:r>
        <m:r>
          <m:t>1</m:t>
        </m:r>
        <m:r>
          <m:rPr>
            <m:sty m:val="p"/>
          </m:rPr>
          <m:t>×</m:t>
        </m:r>
        <m:d>
          <m:dPr>
            <m:begChr m:val="("/>
            <m:endChr m:val=")"/>
            <m:sepChr m:val=""/>
            <m:grow/>
          </m:dPr>
          <m:e>
            <m:r>
              <m:t>1</m:t>
            </m:r>
            <m:r>
              <m:rPr>
                <m:sty m:val="p"/>
              </m:rPr>
              <m:t>+</m:t>
            </m:r>
            <m:r>
              <m:t>0</m:t>
            </m:r>
          </m:e>
        </m:d>
        <m:r>
          <m:rPr>
            <m:sty m:val="p"/>
          </m:rPr>
          <m:t>=</m:t>
        </m:r>
        <m:r>
          <m:t>8</m:t>
        </m:r>
      </m:oMath>
      <w:r>
        <w:t xml:space="preserve"> </w:t>
      </w:r>
      <w:r>
        <w:t xml:space="preserve">threads. Goetz et al. suggest</w:t>
      </w:r>
      <w:r>
        <w:t xml:space="preserve"> </w:t>
      </w:r>
      <m:oMath>
        <m:sSub>
          <m:e>
            <m:r>
              <m:t>N</m:t>
            </m:r>
          </m:e>
          <m:sub>
            <m:r>
              <m:t>c</m:t>
            </m:r>
            <m:r>
              <m:t>o</m:t>
            </m:r>
            <m:r>
              <m:t>r</m:t>
            </m:r>
            <m:r>
              <m:t>e</m:t>
            </m:r>
            <m:r>
              <m:t>s</m:t>
            </m:r>
          </m:sub>
        </m:sSub>
        <m:r>
          <m:rPr>
            <m:sty m:val="p"/>
          </m:rPr>
          <m:t>+</m:t>
        </m:r>
        <m:r>
          <m:t>1</m:t>
        </m:r>
      </m:oMath>
      <w:r>
        <w:t xml:space="preserve"> </w:t>
      </w:r>
      <w:r>
        <w:t xml:space="preserve">to cover the occasional page fault. Using 64 threads would add context switches and cache thrashing, not throughput.</w:t>
      </w:r>
    </w:p>
    <w:p>
      <w:pPr>
        <w:numPr>
          <w:ilvl w:val="0"/>
          <w:numId w:val="1155"/>
        </w:numPr>
        <w:pStyle w:val="Compact"/>
      </w:pPr>
      <w:r>
        <w:rPr>
          <w:iCs/>
          <w:i/>
        </w:rPr>
        <w:t xml:space="preserve">Order API</w:t>
      </w:r>
      <w:r>
        <w:t xml:space="preserve"> </w:t>
      </w:r>
      <w:r>
        <w:t xml:space="preserve">(I/O-bound): each request uses</w:t>
      </w:r>
      <w:r>
        <w:t xml:space="preserve"> </w:t>
      </w:r>
      <m:oMath>
        <m:r>
          <m:t>C</m:t>
        </m:r>
        <m:r>
          <m:rPr>
            <m:sty m:val="p"/>
          </m:rPr>
          <m:t>=</m:t>
        </m:r>
        <m:r>
          <m:t>5</m:t>
        </m:r>
      </m:oMath>
      <w:r>
        <w:t xml:space="preserve"> </w:t>
      </w:r>
      <w:r>
        <w:t xml:space="preserve">ms of CPU and waits</w:t>
      </w:r>
      <w:r>
        <w:t xml:space="preserve"> </w:t>
      </w:r>
      <m:oMath>
        <m:r>
          <m:t>W</m:t>
        </m:r>
        <m:r>
          <m:rPr>
            <m:sty m:val="p"/>
          </m:rPr>
          <m:t>=</m:t>
        </m:r>
        <m:r>
          <m:t>50</m:t>
        </m:r>
      </m:oMath>
      <w:r>
        <w:t xml:space="preserve"> </w:t>
      </w:r>
      <w:r>
        <w:t xml:space="preserve">ms on the database. At</w:t>
      </w:r>
      <w:r>
        <w:t xml:space="preserve"> </w:t>
      </w:r>
      <m:oMath>
        <m:sSub>
          <m:e>
            <m:r>
              <m:t>U</m:t>
            </m:r>
          </m:e>
          <m:sub>
            <m:r>
              <m:t>t</m:t>
            </m:r>
            <m:r>
              <m:t>a</m:t>
            </m:r>
            <m:r>
              <m:t>r</m:t>
            </m:r>
            <m:r>
              <m:t>g</m:t>
            </m:r>
            <m:r>
              <m:t>e</m:t>
            </m:r>
            <m:r>
              <m:t>t</m:t>
            </m:r>
          </m:sub>
        </m:sSub>
        <m:r>
          <m:rPr>
            <m:sty m:val="p"/>
          </m:rPr>
          <m:t>=</m:t>
        </m:r>
        <m:r>
          <m:t>1</m:t>
        </m:r>
      </m:oMath>
      <w:r>
        <w:t xml:space="preserve">:</w:t>
      </w:r>
      <w:r>
        <w:t xml:space="preserve"> </w:t>
      </w:r>
      <m:oMath>
        <m:r>
          <m:t>N</m:t>
        </m:r>
        <m:r>
          <m:rPr>
            <m:sty m:val="p"/>
          </m:rPr>
          <m:t>=</m:t>
        </m:r>
        <m:r>
          <m:t>8</m:t>
        </m:r>
        <m:r>
          <m:rPr>
            <m:sty m:val="p"/>
          </m:rPr>
          <m:t>×</m:t>
        </m:r>
        <m:d>
          <m:dPr>
            <m:begChr m:val="("/>
            <m:endChr m:val=")"/>
            <m:sepChr m:val=""/>
            <m:grow/>
          </m:dPr>
          <m:e>
            <m:r>
              <m:t>1</m:t>
            </m:r>
            <m:r>
              <m:rPr>
                <m:sty m:val="p"/>
              </m:rPr>
              <m:t>+</m:t>
            </m:r>
            <m:r>
              <m:t>50</m:t>
            </m:r>
            <m:r>
              <m:rPr>
                <m:sty m:val="p"/>
              </m:rPr>
              <m:t>/</m:t>
            </m:r>
            <m:r>
              <m:t>5</m:t>
            </m:r>
          </m:e>
        </m:d>
        <m:r>
          <m:rPr>
            <m:sty m:val="p"/>
          </m:rPr>
          <m:t>=</m:t>
        </m:r>
        <m:r>
          <m:t>8</m:t>
        </m:r>
        <m:r>
          <m:rPr>
            <m:sty m:val="p"/>
          </m:rPr>
          <m:t>×</m:t>
        </m:r>
        <m:r>
          <m:t>11</m:t>
        </m:r>
        <m:r>
          <m:rPr>
            <m:sty m:val="p"/>
          </m:rPr>
          <m:t>=</m:t>
        </m:r>
        <m:r>
          <m:t>88</m:t>
        </m:r>
      </m:oMath>
      <w:r>
        <w:t xml:space="preserve"> </w:t>
      </w:r>
      <w:r>
        <w:t xml:space="preserve">threads. At</w:t>
      </w:r>
      <w:r>
        <w:t xml:space="preserve"> </w:t>
      </w:r>
      <m:oMath>
        <m:sSub>
          <m:e>
            <m:r>
              <m:t>U</m:t>
            </m:r>
          </m:e>
          <m:sub>
            <m:r>
              <m:t>t</m:t>
            </m:r>
            <m:r>
              <m:t>a</m:t>
            </m:r>
            <m:r>
              <m:t>r</m:t>
            </m:r>
            <m:r>
              <m:t>g</m:t>
            </m:r>
            <m:r>
              <m:t>e</m:t>
            </m:r>
            <m:r>
              <m:t>t</m:t>
            </m:r>
          </m:sub>
        </m:sSub>
        <m:r>
          <m:rPr>
            <m:sty m:val="p"/>
          </m:rPr>
          <m:t>=</m:t>
        </m:r>
        <m:r>
          <m:t>0.8</m:t>
        </m:r>
      </m:oMath>
      <w:r>
        <w:t xml:space="preserve">, leaving headroom:</w:t>
      </w:r>
      <w:r>
        <w:t xml:space="preserve"> </w:t>
      </w:r>
      <m:oMath>
        <m:r>
          <m:t>8</m:t>
        </m:r>
        <m:r>
          <m:rPr>
            <m:sty m:val="p"/>
          </m:rPr>
          <m:t>×</m:t>
        </m:r>
        <m:r>
          <m:t>0.8</m:t>
        </m:r>
        <m:r>
          <m:rPr>
            <m:sty m:val="p"/>
          </m:rPr>
          <m:t>×</m:t>
        </m:r>
        <m:r>
          <m:t>11</m:t>
        </m:r>
        <m:r>
          <m:rPr>
            <m:sty m:val="p"/>
          </m:rPr>
          <m:t>=</m:t>
        </m:r>
        <m:r>
          <m:t>70.4</m:t>
        </m:r>
        <m:r>
          <m:rPr>
            <m:sty m:val="p"/>
          </m:rPr>
          <m:t>≈</m:t>
        </m:r>
        <m:r>
          <m:t>70</m:t>
        </m:r>
      </m:oMath>
      <w:r>
        <w:t xml:space="preserve"> </w:t>
      </w:r>
      <w:r>
        <w:t xml:space="preserve">threads.</w:t>
      </w:r>
    </w:p>
    <w:p>
      <w:pPr>
        <w:numPr>
          <w:ilvl w:val="0"/>
          <w:numId w:val="1155"/>
        </w:numPr>
        <w:pStyle w:val="Compact"/>
      </w:pPr>
      <w:r>
        <w:t xml:space="preserve">Maximum throughput of the order API is set by CPU:</w:t>
      </w:r>
      <w:r>
        <w:t xml:space="preserve"> </w:t>
      </w:r>
      <m:oMath>
        <m:r>
          <m:t>8</m:t>
        </m:r>
        <m:r>
          <m:rPr>
            <m:nor/>
            <m:sty m:val="p"/>
          </m:rPr>
          <m:t> cores</m:t>
        </m:r>
        <m:r>
          <m:rPr>
            <m:sty m:val="p"/>
          </m:rPr>
          <m:t>/</m:t>
        </m:r>
        <m:r>
          <m:t>5</m:t>
        </m:r>
        <m:r>
          <m:rPr>
            <m:nor/>
            <m:sty m:val="p"/>
          </m:rPr>
          <m:t> ms</m:t>
        </m:r>
        <m:r>
          <m:rPr>
            <m:sty m:val="p"/>
          </m:rPr>
          <m:t>=</m:t>
        </m:r>
        <m:r>
          <m:t>1600</m:t>
        </m:r>
      </m:oMath>
      <w:r>
        <w:t xml:space="preserve"> </w:t>
      </w:r>
      <w:r>
        <w:t xml:space="preserve">requests/s at 100% CPU. Little’s Law check:</w:t>
      </w:r>
      <w:r>
        <w:t xml:space="preserve"> </w:t>
      </w:r>
      <m:oMath>
        <m:r>
          <m:t>1600</m:t>
        </m:r>
        <m:r>
          <m:rPr>
            <m:nor/>
            <m:sty m:val="p"/>
          </m:rPr>
          <m:t> req/s</m:t>
        </m:r>
        <m:r>
          <m:rPr>
            <m:sty m:val="p"/>
          </m:rPr>
          <m:t>×</m:t>
        </m:r>
        <m:r>
          <m:t>55</m:t>
        </m:r>
        <m:r>
          <m:rPr>
            <m:nor/>
            <m:sty m:val="p"/>
          </m:rPr>
          <m:t> ms</m:t>
        </m:r>
        <m:r>
          <m:rPr>
            <m:sty m:val="p"/>
          </m:rPr>
          <m:t>=</m:t>
        </m:r>
        <m:r>
          <m:t>88</m:t>
        </m:r>
      </m:oMath>
      <w:r>
        <w:t xml:space="preserve"> </w:t>
      </w:r>
      <w:r>
        <w:t xml:space="preserve">requests in flight ✓.</w:t>
      </w:r>
    </w:p>
    <w:p>
      <w:pPr>
        <w:pStyle w:val="CalloutExample"/>
      </w:pPr>
      <w:r>
        <w:rPr>
          <w:bCs/>
          <w:b/>
        </w:rPr>
        <w:t xml:space="preserve">Interpretation.</w:t>
      </w:r>
      <w:r>
        <w:t xml:space="preserve"> </w:t>
      </w:r>
      <w:r>
        <w:t xml:space="preserve">The I/O-bound service needs about 11× more threads than cores, because each thread spends 10/11 of its life waiting.</w:t>
      </w:r>
      <w:r>
        <w:t xml:space="preserve"> </w:t>
      </w:r>
      <w:r>
        <w:rPr>
          <w:bCs/>
          <w:b/>
        </w:rPr>
        <w:t xml:space="preserve">Engineering implication.</w:t>
      </w:r>
      <w:r>
        <w:t xml:space="preserve"> </w:t>
      </w:r>
      <w:r>
        <w:t xml:space="preserve">The formula assumes the dependency can absorb the load: 88 concurrent requests need about 88 database connections (§14.13). If the database saturates first, more threads only lengthen its queue. Event loops and async runtimes (§6.15) achieve the same concurrency with far fewer threads.</w:t>
      </w:r>
    </w:p>
    <w:p>
      <w:pPr>
        <w:pStyle w:val="CalloutMistake"/>
      </w:pPr>
      <w:r>
        <w:rPr>
          <w:bCs/>
          <w:b/>
        </w:rPr>
        <w:t xml:space="preserve">COMMON MISTAKE</w:t>
      </w:r>
    </w:p>
    <w:p>
      <w:pPr>
        <w:pStyle w:val="CalloutMistake"/>
      </w:pPr>
      <w:r>
        <w:rPr>
          <w:bCs/>
          <w:b/>
        </w:rPr>
        <w:t xml:space="preserve">“</w:t>
      </w:r>
      <w:r>
        <w:rPr>
          <w:bCs/>
          <w:b/>
        </w:rPr>
        <w:t xml:space="preserve">Python threads speed up CPU-bound work.</w:t>
      </w:r>
      <w:r>
        <w:rPr>
          <w:bCs/>
          <w:b/>
        </w:rPr>
        <w:t xml:space="preserve">”</w:t>
      </w:r>
      <w:r>
        <w:t xml:space="preserve"> </w:t>
      </w:r>
      <w:r>
        <w:t xml:space="preserve">In CPython the global interpreter lock (GIL) lets only one thread execute Python bytecode at a time, so threads help I/O-bound Python code but not pure-Python CPU-bound code; use processes or native extensions (such as numpy) that release the lock. Free-threaded CPython builds exist experimentally since Python 3.13 (as of 2025), which may change this advice over time.</w:t>
      </w:r>
    </w:p>
    <w:bookmarkEnd w:id="531"/>
    <w:bookmarkEnd w:id="532"/>
    <w:bookmarkStart w:id="537" w:name="memory-latency-and-bandwidth"/>
    <w:p>
      <w:pPr>
        <w:pStyle w:val="Heading2"/>
      </w:pPr>
      <w:r>
        <w:t xml:space="preserve">5.9 Memory latency and bandwidth</w:t>
      </w:r>
    </w:p>
    <w:bookmarkStart w:id="533" w:name="two-different-numbers"/>
    <w:p>
      <w:pPr>
        <w:pStyle w:val="Heading3"/>
      </w:pPr>
      <w:r>
        <w:t xml:space="preserve">5.9.1 Two different numbers</w:t>
      </w:r>
    </w:p>
    <w:p>
      <w:pPr>
        <w:pStyle w:val="CalloutDefinition"/>
      </w:pPr>
      <w:r>
        <w:rPr>
          <w:bCs/>
          <w:b/>
        </w:rPr>
        <w:t xml:space="preserve">DEFINITION</w:t>
      </w:r>
    </w:p>
    <w:p>
      <w:pPr>
        <w:pStyle w:val="CalloutDefinition"/>
      </w:pPr>
      <w:r>
        <w:rPr>
          <w:bCs/>
          <w:b/>
        </w:rPr>
        <w:t xml:space="preserve">Definition — Latency and bandwidth (hardware).</w:t>
      </w:r>
      <w:r>
        <w:t xml:space="preserve"> </w:t>
      </w:r>
      <w:r>
        <w:rPr>
          <w:bCs/>
          <w:b/>
        </w:rPr>
        <w:t xml:space="preserve">Latency</w:t>
      </w:r>
      <w:r>
        <w:t xml:space="preserve"> </w:t>
      </w:r>
      <w:r>
        <w:t xml:space="preserve">is the time from issuing one request to receiving its first byte (for example, ~100 ns for a DRAM load).</w:t>
      </w:r>
      <w:r>
        <w:t xml:space="preserve"> </w:t>
      </w:r>
      <w:r>
        <w:rPr>
          <w:bCs/>
          <w:b/>
        </w:rPr>
        <w:t xml:space="preserve">Bandwidth</w:t>
      </w:r>
      <w:r>
        <w:t xml:space="preserve"> </w:t>
      </w:r>
      <w:r>
        <w:t xml:space="preserve">is the maximum rate at which data can be moved once transfers are flowing (for example, ~38 GB/s for one DDR5-4800 channel). Achieved bandwidth is</w:t>
      </w:r>
      <w:r>
        <w:t xml:space="preserve"> </w:t>
      </w:r>
      <w:r>
        <w:rPr>
          <w:bCs/>
          <w:b/>
        </w:rPr>
        <w:t xml:space="preserve">throughput</w:t>
      </w:r>
      <w:r>
        <w:t xml:space="preserve">.</w:t>
      </w:r>
    </w:p>
    <w:p>
      <w:pPr>
        <w:pStyle w:val="BodyText"/>
      </w:pPr>
      <w:r>
        <w:t xml:space="preserve">A motorway is the usual picture: latency is how long one car takes to drive from A to B; bandwidth is how many cars per hour the road can carry. Adding lanes raises bandwidth but does not make any single car arrive sooner. For hardware, latency improves slowly (DRAM latency has changed little in two decades), while bandwidth improves steadily with more channels and faster signaling [Hennessy &amp; Patterson 2017, ch. 2]. Designs that need bandwidth can buy it; designs that need low latency must avoid the trip altogether — by caching, prefetching or co-locating data.</w:t>
      </w:r>
    </w:p>
    <w:p>
      <w:pPr>
        <w:pStyle w:val="CalloutFormula"/>
      </w:pPr>
      <w:r>
        <w:rPr>
          <w:bCs/>
          <w:b/>
        </w:rPr>
        <w:t xml:space="preserve">FORMULA</w:t>
      </w:r>
    </w:p>
    <w:p>
      <w:pPr>
        <w:pStyle w:val="CalloutFormula"/>
      </w:pPr>
      <w:r>
        <w:rPr>
          <w:bCs/>
          <w:b/>
        </w:rPr>
        <w:t xml:space="preserve">Peak DRAM bandwidth</w:t>
      </w:r>
    </w:p>
    <w:p>
      <w:pPr>
        <w:pStyle w:val="CalloutFormula"/>
      </w:pPr>
      <m:oMathPara>
        <m:oMathParaPr>
          <m:jc m:val="center"/>
        </m:oMathParaPr>
        <m:oMath>
          <m:r>
            <m:t>B</m:t>
          </m:r>
          <m:sSub>
            <m:e>
              <m:r>
                <m:t>W</m:t>
              </m:r>
            </m:e>
            <m:sub>
              <m:r>
                <m:t>p</m:t>
              </m:r>
              <m:r>
                <m:t>e</m:t>
              </m:r>
              <m:r>
                <m:t>a</m:t>
              </m:r>
              <m:r>
                <m:t>k</m:t>
              </m:r>
            </m:sub>
          </m:sSub>
          <m:r>
            <m:rPr>
              <m:sty m:val="p"/>
            </m:rPr>
            <m:t>=</m:t>
          </m:r>
          <m:sSub>
            <m:e>
              <m:r>
                <m:t>R</m:t>
              </m:r>
            </m:e>
            <m:sub>
              <m:r>
                <m:t>t</m:t>
              </m:r>
              <m:r>
                <m:t>r</m:t>
              </m:r>
              <m:r>
                <m:t>a</m:t>
              </m:r>
              <m:r>
                <m:t>n</m:t>
              </m:r>
              <m:r>
                <m:t>s</m:t>
              </m:r>
              <m:r>
                <m:t>f</m:t>
              </m:r>
              <m:r>
                <m:t>e</m:t>
              </m:r>
              <m:r>
                <m:t>r</m:t>
              </m:r>
            </m:sub>
          </m:sSub>
          <m:r>
            <m:rPr>
              <m:sty m:val="p"/>
            </m:rPr>
            <m:t>×</m:t>
          </m:r>
          <m:sSub>
            <m:e>
              <m:r>
                <m:t>W</m:t>
              </m:r>
            </m:e>
            <m:sub>
              <m:r>
                <m:t>b</m:t>
              </m:r>
              <m:r>
                <m:t>u</m:t>
              </m:r>
              <m:r>
                <m:t>s</m:t>
              </m:r>
            </m:sub>
          </m:sSub>
          <m:r>
            <m:rPr>
              <m:sty m:val="p"/>
            </m:rPr>
            <m:t>×</m:t>
          </m:r>
          <m:sSub>
            <m:e>
              <m:r>
                <m:t>N</m:t>
              </m:r>
            </m:e>
            <m:sub>
              <m:r>
                <m:t>c</m:t>
              </m:r>
              <m:r>
                <m:t>h</m:t>
              </m:r>
              <m:r>
                <m:t>a</m:t>
              </m:r>
              <m:r>
                <m:t>n</m:t>
              </m:r>
              <m:r>
                <m:t>n</m:t>
              </m:r>
              <m:r>
                <m:t>e</m:t>
              </m:r>
              <m:r>
                <m:t>l</m:t>
              </m:r>
              <m:r>
                <m:t>s</m:t>
              </m:r>
            </m:sub>
          </m:sSub>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R</m:t>
                  </m:r>
                </m:e>
                <m:sub>
                  <m:r>
                    <m:t>t</m:t>
                  </m:r>
                  <m:r>
                    <m:t>r</m:t>
                  </m:r>
                  <m:r>
                    <m:t>a</m:t>
                  </m:r>
                  <m:r>
                    <m:t>n</m:t>
                  </m:r>
                  <m:r>
                    <m:t>s</m:t>
                  </m:r>
                  <m:r>
                    <m:t>f</m:t>
                  </m:r>
                  <m:r>
                    <m:t>e</m:t>
                  </m:r>
                  <m:r>
                    <m:t>r</m:t>
                  </m:r>
                </m:sub>
              </m:sSub>
            </m:oMath>
          </w:p>
        </w:tc>
        <w:tc>
          <w:tcPr/>
          <w:p>
            <w:pPr>
              <w:pStyle w:val="Compact"/>
              <w:jc w:val="left"/>
            </w:pPr>
            <w:r>
              <w:t xml:space="preserve">Data transfers per second per channel (the</w:t>
            </w:r>
            <w:r>
              <w:t xml:space="preserve"> </w:t>
            </w:r>
            <w:r>
              <w:t xml:space="preserve">“</w:t>
            </w:r>
            <w:r>
              <w:t xml:space="preserve">4800</w:t>
            </w:r>
            <w:r>
              <w:t xml:space="preserve">”</w:t>
            </w:r>
            <w:r>
              <w:t xml:space="preserve"> </w:t>
            </w:r>
            <w:r>
              <w:t xml:space="preserve">in DDR5-4800)</w:t>
            </w:r>
          </w:p>
        </w:tc>
        <w:tc>
          <w:tcPr/>
          <w:p>
            <w:pPr>
              <w:pStyle w:val="Compact"/>
              <w:jc w:val="left"/>
            </w:pPr>
            <w:r>
              <w:t xml:space="preserve">transfers/second (MT/s)</w:t>
            </w:r>
          </w:p>
        </w:tc>
      </w:tr>
      <w:tr>
        <w:tc>
          <w:tcPr/>
          <w:p>
            <w:pPr>
              <w:pStyle w:val="Compact"/>
              <w:jc w:val="left"/>
            </w:pPr>
            <m:oMath>
              <m:sSub>
                <m:e>
                  <m:r>
                    <m:t>W</m:t>
                  </m:r>
                </m:e>
                <m:sub>
                  <m:r>
                    <m:t>b</m:t>
                  </m:r>
                  <m:r>
                    <m:t>u</m:t>
                  </m:r>
                  <m:r>
                    <m:t>s</m:t>
                  </m:r>
                </m:sub>
              </m:sSub>
            </m:oMath>
          </w:p>
        </w:tc>
        <w:tc>
          <w:tcPr/>
          <w:p>
            <w:pPr>
              <w:pStyle w:val="Compact"/>
              <w:jc w:val="left"/>
            </w:pPr>
            <w:r>
              <w:t xml:space="preserve">Width of a channel’s data path: 8 bytes (64 bits)</w:t>
            </w:r>
          </w:p>
        </w:tc>
        <w:tc>
          <w:tcPr/>
          <w:p>
            <w:pPr>
              <w:pStyle w:val="Compact"/>
              <w:jc w:val="left"/>
            </w:pPr>
            <w:r>
              <w:t xml:space="preserve">bytes/transfer</w:t>
            </w:r>
          </w:p>
        </w:tc>
      </w:tr>
      <w:tr>
        <w:tc>
          <w:tcPr/>
          <w:p>
            <w:pPr>
              <w:pStyle w:val="Compact"/>
              <w:jc w:val="left"/>
            </w:pPr>
            <m:oMath>
              <m:sSub>
                <m:e>
                  <m:r>
                    <m:t>N</m:t>
                  </m:r>
                </m:e>
                <m:sub>
                  <m:r>
                    <m:t>c</m:t>
                  </m:r>
                  <m:r>
                    <m:t>h</m:t>
                  </m:r>
                  <m:r>
                    <m:t>a</m:t>
                  </m:r>
                  <m:r>
                    <m:t>n</m:t>
                  </m:r>
                  <m:r>
                    <m:t>n</m:t>
                  </m:r>
                  <m:r>
                    <m:t>e</m:t>
                  </m:r>
                  <m:r>
                    <m:t>l</m:t>
                  </m:r>
                  <m:r>
                    <m:t>s</m:t>
                  </m:r>
                </m:sub>
              </m:sSub>
            </m:oMath>
          </w:p>
        </w:tc>
        <w:tc>
          <w:tcPr/>
          <w:p>
            <w:pPr>
              <w:pStyle w:val="Compact"/>
              <w:jc w:val="left"/>
            </w:pPr>
            <w:r>
              <w:t xml:space="preserve">Populated memory channels</w:t>
            </w:r>
          </w:p>
        </w:tc>
        <w:tc>
          <w:tcPr/>
          <w:p>
            <w:pPr>
              <w:pStyle w:val="Compact"/>
              <w:jc w:val="left"/>
            </w:pPr>
            <w:r>
              <w:t xml:space="preserve">channels</w:t>
            </w:r>
          </w:p>
        </w:tc>
      </w:tr>
    </w:tbl>
    <w:p>
      <w:pPr>
        <w:pStyle w:val="CalloutExample"/>
      </w:pPr>
      <w:r>
        <w:rPr>
          <w:bCs/>
          <w:b/>
        </w:rPr>
        <w:t xml:space="preserve">WORKED EXAMPLE</w:t>
      </w:r>
    </w:p>
    <w:p>
      <w:pPr>
        <w:pStyle w:val="CalloutExample"/>
      </w:pPr>
      <w:r>
        <w:rPr>
          <w:bCs/>
          <w:b/>
        </w:rPr>
        <w:t xml:space="preserve">Worked example — How much bandwidth does a server socket have?</w:t>
      </w:r>
    </w:p>
    <w:p>
      <w:pPr>
        <w:numPr>
          <w:ilvl w:val="0"/>
          <w:numId w:val="1156"/>
        </w:numPr>
        <w:pStyle w:val="Compact"/>
      </w:pPr>
      <w:r>
        <w:t xml:space="preserve">One DDR5-4800 channel:</w:t>
      </w:r>
      <w:r>
        <w:t xml:space="preserve"> </w:t>
      </w:r>
      <m:oMath>
        <m:r>
          <m:t>4800</m:t>
        </m:r>
        <m:r>
          <m:rPr>
            <m:sty m:val="p"/>
          </m:rPr>
          <m:t>×</m:t>
        </m:r>
        <m:sSup>
          <m:e>
            <m:r>
              <m:t>10</m:t>
            </m:r>
          </m:e>
          <m:sup>
            <m:r>
              <m:t>6</m:t>
            </m:r>
          </m:sup>
        </m:sSup>
        <m:r>
          <m:rPr>
            <m:sty m:val="p"/>
          </m:rPr>
          <m:t>×</m:t>
        </m:r>
        <m:r>
          <m:t>8</m:t>
        </m:r>
        <m:r>
          <m:rPr>
            <m:sty m:val="p"/>
          </m:rPr>
          <m:t>=</m:t>
        </m:r>
        <m:r>
          <m:t>38.4</m:t>
        </m:r>
        <m:r>
          <m:rPr>
            <m:sty m:val="p"/>
          </m:rPr>
          <m:t>×</m:t>
        </m:r>
        <m:sSup>
          <m:e>
            <m:r>
              <m:t>10</m:t>
            </m:r>
          </m:e>
          <m:sup>
            <m:r>
              <m:t>9</m:t>
            </m:r>
          </m:sup>
        </m:sSup>
      </m:oMath>
      <w:r>
        <w:t xml:space="preserve"> </w:t>
      </w:r>
      <w:r>
        <w:t xml:space="preserve">B/s</w:t>
      </w:r>
      <w:r>
        <w:t xml:space="preserve"> </w:t>
      </w:r>
      <m:oMath>
        <m:r>
          <m:rPr>
            <m:sty m:val="p"/>
          </m:rPr>
          <m:t>=</m:t>
        </m:r>
        <m:r>
          <m:t>38.4</m:t>
        </m:r>
      </m:oMath>
      <w:r>
        <w:t xml:space="preserve"> </w:t>
      </w:r>
      <w:r>
        <w:t xml:space="preserve">GB/s.</w:t>
      </w:r>
    </w:p>
    <w:p>
      <w:pPr>
        <w:numPr>
          <w:ilvl w:val="0"/>
          <w:numId w:val="1156"/>
        </w:numPr>
        <w:pStyle w:val="Compact"/>
      </w:pPr>
      <w:r>
        <w:t xml:space="preserve">A socket with 8 channels:</w:t>
      </w:r>
      <w:r>
        <w:t xml:space="preserve"> </w:t>
      </w:r>
      <m:oMath>
        <m:r>
          <m:t>8</m:t>
        </m:r>
        <m:r>
          <m:rPr>
            <m:sty m:val="p"/>
          </m:rPr>
          <m:t>×</m:t>
        </m:r>
        <m:r>
          <m:t>38.4</m:t>
        </m:r>
        <m:r>
          <m:rPr>
            <m:sty m:val="p"/>
          </m:rPr>
          <m:t>=</m:t>
        </m:r>
        <m:r>
          <m:t>307.2</m:t>
        </m:r>
      </m:oMath>
      <w:r>
        <w:t xml:space="preserve"> </w:t>
      </w:r>
      <w:r>
        <w:t xml:space="preserve">GB/s. With 12 channels (as on some 2023–2024 server CPUs):</w:t>
      </w:r>
      <w:r>
        <w:t xml:space="preserve"> </w:t>
      </w:r>
      <m:oMath>
        <m:r>
          <m:t>12</m:t>
        </m:r>
        <m:r>
          <m:rPr>
            <m:sty m:val="p"/>
          </m:rPr>
          <m:t>×</m:t>
        </m:r>
        <m:r>
          <m:t>38.4</m:t>
        </m:r>
        <m:r>
          <m:rPr>
            <m:sty m:val="p"/>
          </m:rPr>
          <m:t>=</m:t>
        </m:r>
        <m:r>
          <m:t>460.8</m:t>
        </m:r>
      </m:oMath>
      <w:r>
        <w:t xml:space="preserve"> </w:t>
      </w:r>
      <w:r>
        <w:t xml:space="preserve">GB/s.</w:t>
      </w:r>
    </w:p>
    <w:p>
      <w:pPr>
        <w:pStyle w:val="CalloutExample"/>
      </w:pPr>
      <w:r>
        <w:rPr>
          <w:bCs/>
          <w:b/>
        </w:rPr>
        <w:t xml:space="preserve">Interpretation.</w:t>
      </w:r>
      <w:r>
        <w:t xml:space="preserve"> </w:t>
      </w:r>
      <w:r>
        <w:t xml:space="preserve">These are theoretical peaks; sustained throughput on streaming benchmarks is typically 70–90% of peak (approximate).</w:t>
      </w:r>
      <w:r>
        <w:t xml:space="preserve"> </w:t>
      </w:r>
      <w:r>
        <w:rPr>
          <w:bCs/>
          <w:b/>
        </w:rPr>
        <w:t xml:space="preserve">Engineering implication.</w:t>
      </w:r>
      <w:r>
        <w:t xml:space="preserve"> </w:t>
      </w:r>
      <w:r>
        <w:t xml:space="preserve">Leaving channels unpopulated to save money (four DIMMs in an eight-channel server) halves memory bandwidth — a common, invisible misconfiguration for analytics and ML workloads.</w:t>
      </w:r>
    </w:p>
    <w:bookmarkEnd w:id="533"/>
    <w:bookmarkStart w:id="534" w:name="X6f76277d734f028bff3f00efd039315a2da9f2e"/>
    <w:p>
      <w:pPr>
        <w:pStyle w:val="Heading3"/>
      </w:pPr>
      <w:r>
        <w:t xml:space="preserve">5.9.2 Why one core cannot use all the bandwidth: Little’s Law in memory</w:t>
      </w:r>
    </w:p>
    <w:p>
      <w:pPr>
        <w:pStyle w:val="FirstParagraph"/>
      </w:pPr>
      <w:r>
        <w:t xml:space="preserve">Bandwidth is only achieved if enough requests are in flight to cover the latency — the same law as for SSDs (§5.6.5).</w:t>
      </w:r>
    </w:p>
    <w:p>
      <w:pPr>
        <w:pStyle w:val="CalloutExample"/>
      </w:pPr>
      <w:r>
        <w:rPr>
          <w:bCs/>
          <w:b/>
        </w:rPr>
        <w:t xml:space="preserve">WORKED EXAMPLE</w:t>
      </w:r>
    </w:p>
    <w:p>
      <w:pPr>
        <w:pStyle w:val="CalloutExample"/>
      </w:pPr>
      <w:r>
        <w:rPr>
          <w:bCs/>
          <w:b/>
        </w:rPr>
        <w:t xml:space="preserve">Worked example — Memory-level parallelism.</w:t>
      </w:r>
    </w:p>
    <w:p>
      <w:pPr>
        <w:pStyle w:val="CalloutExample"/>
      </w:pPr>
      <w:r>
        <w:t xml:space="preserve">Each core can track a limited number of outstanding L1 misses — on the order of 10–20 on recent x86 cores (as of 2024, approximate; hardware prefetchers into L2 add more). Assume 12 outstanding 64-byte misses and 100 ns latency.</w:t>
      </w:r>
    </w:p>
    <w:p>
      <w:pPr>
        <w:numPr>
          <w:ilvl w:val="0"/>
          <w:numId w:val="1157"/>
        </w:numPr>
        <w:pStyle w:val="Compact"/>
      </w:pPr>
      <w:r>
        <w:t xml:space="preserve">Bytes in flight</w:t>
      </w:r>
      <w:r>
        <w:t xml:space="preserve"> </w:t>
      </w:r>
      <m:oMath>
        <m:r>
          <m:rPr>
            <m:sty m:val="p"/>
          </m:rPr>
          <m:t>=</m:t>
        </m:r>
        <m:r>
          <m:t>12</m:t>
        </m:r>
        <m:r>
          <m:rPr>
            <m:sty m:val="p"/>
          </m:rPr>
          <m:t>×</m:t>
        </m:r>
        <m:r>
          <m:t>64</m:t>
        </m:r>
        <m:r>
          <m:rPr>
            <m:sty m:val="p"/>
          </m:rPr>
          <m:t>=</m:t>
        </m:r>
        <m:r>
          <m:t>768</m:t>
        </m:r>
      </m:oMath>
      <w:r>
        <w:t xml:space="preserve"> </w:t>
      </w:r>
      <w:r>
        <w:t xml:space="preserve">B.</w:t>
      </w:r>
    </w:p>
    <w:p>
      <w:pPr>
        <w:numPr>
          <w:ilvl w:val="0"/>
          <w:numId w:val="1157"/>
        </w:numPr>
        <w:pStyle w:val="Compact"/>
      </w:pPr>
      <w:r>
        <w:t xml:space="preserve">Throughput</w:t>
      </w:r>
      <w:r>
        <w:t xml:space="preserve"> </w:t>
      </w:r>
      <m:oMath>
        <m:r>
          <m:rPr>
            <m:sty m:val="p"/>
          </m:rPr>
          <m:t>=</m:t>
        </m:r>
        <m:r>
          <m:t>768</m:t>
        </m:r>
        <m:r>
          <m:rPr>
            <m:nor/>
            <m:sty m:val="p"/>
          </m:rPr>
          <m:t> B</m:t>
        </m:r>
        <m:r>
          <m:rPr>
            <m:sty m:val="p"/>
          </m:rPr>
          <m:t>/</m:t>
        </m:r>
        <m:r>
          <m:t>100</m:t>
        </m:r>
        <m:r>
          <m:rPr>
            <m:nor/>
            <m:sty m:val="p"/>
          </m:rPr>
          <m:t> ns</m:t>
        </m:r>
        <m:r>
          <m:rPr>
            <m:sty m:val="p"/>
          </m:rPr>
          <m:t>=</m:t>
        </m:r>
        <m:r>
          <m:t>7.68</m:t>
        </m:r>
      </m:oMath>
      <w:r>
        <w:t xml:space="preserve"> </w:t>
      </w:r>
      <w:r>
        <w:t xml:space="preserve">B/ns</w:t>
      </w:r>
      <w:r>
        <w:t xml:space="preserve"> </w:t>
      </w:r>
      <m:oMath>
        <m:r>
          <m:rPr>
            <m:sty m:val="p"/>
          </m:rPr>
          <m:t>=</m:t>
        </m:r>
        <m:r>
          <m:t>7.68</m:t>
        </m:r>
      </m:oMath>
      <w:r>
        <w:t xml:space="preserve"> </w:t>
      </w:r>
      <w:r>
        <w:t xml:space="preserve">GB/s.</w:t>
      </w:r>
    </w:p>
    <w:p>
      <w:pPr>
        <w:numPr>
          <w:ilvl w:val="0"/>
          <w:numId w:val="1157"/>
        </w:numPr>
        <w:pStyle w:val="Compact"/>
      </w:pPr>
      <w:r>
        <w:t xml:space="preserve">To saturate an 8-channel socket at 307.2 GB/s with a loaded latency of ~110 ns: bytes in flight</w:t>
      </w:r>
      <w:r>
        <w:t xml:space="preserve"> </w:t>
      </w:r>
      <m:oMath>
        <m:r>
          <m:rPr>
            <m:sty m:val="p"/>
          </m:rPr>
          <m:t>=</m:t>
        </m:r>
        <m:r>
          <m:t>307.2</m:t>
        </m:r>
        <m:r>
          <m:rPr>
            <m:sty m:val="p"/>
          </m:rPr>
          <m:t>×</m:t>
        </m:r>
        <m:sSup>
          <m:e>
            <m:r>
              <m:t>10</m:t>
            </m:r>
          </m:e>
          <m:sup>
            <m:r>
              <m:t>9</m:t>
            </m:r>
          </m:sup>
        </m:sSup>
        <m:r>
          <m:rPr>
            <m:sty m:val="p"/>
          </m:rPr>
          <m:t>×</m:t>
        </m:r>
        <m:r>
          <m:t>110</m:t>
        </m:r>
        <m:r>
          <m:rPr>
            <m:sty m:val="p"/>
          </m:rPr>
          <m:t>×</m:t>
        </m:r>
        <m:sSup>
          <m:e>
            <m:r>
              <m:t>10</m:t>
            </m:r>
          </m:e>
          <m:sup>
            <m:r>
              <m:rPr>
                <m:sty m:val="p"/>
              </m:rPr>
              <m:t>−</m:t>
            </m:r>
            <m:r>
              <m:t>9</m:t>
            </m:r>
          </m:sup>
        </m:sSup>
        <m:r>
          <m:rPr>
            <m:sty m:val="p"/>
          </m:rPr>
          <m:t>=</m:t>
        </m:r>
        <m:r>
          <m:t>33</m:t>
        </m:r>
        <m:r>
          <m:t> </m:t>
        </m:r>
        <m:r>
          <m:t>792</m:t>
        </m:r>
      </m:oMath>
      <w:r>
        <w:t xml:space="preserve"> </w:t>
      </w:r>
      <w:r>
        <w:t xml:space="preserve">B</w:t>
      </w:r>
      <w:r>
        <w:t xml:space="preserve"> </w:t>
      </w:r>
      <m:oMath>
        <m:r>
          <m:rPr>
            <m:sty m:val="p"/>
          </m:rPr>
          <m:t>=</m:t>
        </m:r>
        <m:r>
          <m:t>528</m:t>
        </m:r>
      </m:oMath>
      <w:r>
        <w:t xml:space="preserve"> </w:t>
      </w:r>
      <w:r>
        <w:t xml:space="preserve">cache lines.</w:t>
      </w:r>
    </w:p>
    <w:p>
      <w:pPr>
        <w:pStyle w:val="CalloutExample"/>
      </w:pPr>
      <w:r>
        <w:rPr>
          <w:bCs/>
          <w:b/>
        </w:rPr>
        <w:t xml:space="preserve">Interpretation.</w:t>
      </w:r>
      <w:r>
        <w:t xml:space="preserve"> </w:t>
      </w:r>
      <w:r>
        <w:t xml:space="preserve">One thread doing demand loads tops out well below the socket’s bandwidth; it takes many cores — or very effective prefetching — to keep 500+ lines in flight.</w:t>
      </w:r>
      <w:r>
        <w:t xml:space="preserve"> </w:t>
      </w:r>
      <w:r>
        <w:rPr>
          <w:bCs/>
          <w:b/>
        </w:rPr>
        <w:t xml:space="preserve">Engineering implication.</w:t>
      </w:r>
      <w:r>
        <w:t xml:space="preserve"> </w:t>
      </w:r>
      <w:r>
        <w:t xml:space="preserve">Memory-bound jobs (scans, aggregations, embedding lookups) scale with cores</w:t>
      </w:r>
      <w:r>
        <w:t xml:space="preserve"> </w:t>
      </w:r>
      <w:r>
        <w:rPr>
          <w:iCs/>
          <w:i/>
        </w:rPr>
        <w:t xml:space="preserve">until</w:t>
      </w:r>
      <w:r>
        <w:t xml:space="preserve"> </w:t>
      </w:r>
      <w:r>
        <w:t xml:space="preserve">the memory channels saturate, then stop, however many more cores you add. Pointer chasing is worst of all: with one outstanding miss, throughput is</w:t>
      </w:r>
      <w:r>
        <w:t xml:space="preserve"> </w:t>
      </w:r>
      <m:oMath>
        <m:r>
          <m:t>64</m:t>
        </m:r>
        <m:r>
          <m:rPr>
            <m:nor/>
            <m:sty m:val="p"/>
          </m:rPr>
          <m:t> B</m:t>
        </m:r>
        <m:r>
          <m:rPr>
            <m:sty m:val="p"/>
          </m:rPr>
          <m:t>/</m:t>
        </m:r>
        <m:r>
          <m:t>100</m:t>
        </m:r>
        <m:r>
          <m:rPr>
            <m:nor/>
            <m:sty m:val="p"/>
          </m:rPr>
          <m:t> ns</m:t>
        </m:r>
        <m:r>
          <m:rPr>
            <m:sty m:val="p"/>
          </m:rPr>
          <m:t>=</m:t>
        </m:r>
        <m:r>
          <m:t>0.64</m:t>
        </m:r>
      </m:oMath>
      <w:r>
        <w:t xml:space="preserve"> </w:t>
      </w:r>
      <w:r>
        <w:t xml:space="preserve">GB/s.</w:t>
      </w:r>
    </w:p>
    <w:bookmarkEnd w:id="534"/>
    <w:bookmarkStart w:id="535" w:name="worked-examples-scanning-1-gb"/>
    <w:p>
      <w:pPr>
        <w:pStyle w:val="Heading3"/>
      </w:pPr>
      <w:r>
        <w:t xml:space="preserve">5.9.3 Worked examples: scanning 1 GB</w:t>
      </w:r>
    </w:p>
    <w:p>
      <w:pPr>
        <w:pStyle w:val="FirstParagraph"/>
      </w:pPr>
      <w:r>
        <w:t xml:space="preserve">The single most useful exercise in this chapter is estimating how long it takes to read 1 GB (</w:t>
      </w:r>
      <m:oMath>
        <m:sSup>
          <m:e>
            <m:r>
              <m:t>10</m:t>
            </m:r>
          </m:e>
          <m:sup>
            <m:r>
              <m:t>9</m:t>
            </m:r>
          </m:sup>
        </m:sSup>
      </m:oMath>
      <w:r>
        <w:t xml:space="preserve"> </w:t>
      </w:r>
      <w:r>
        <w:t xml:space="preserve">bytes) from each place it might live.</w:t>
      </w:r>
    </w:p>
    <w:p>
      <w:pPr>
        <w:pStyle w:val="CalloutExample"/>
      </w:pPr>
      <w:r>
        <w:rPr>
          <w:bCs/>
          <w:b/>
        </w:rPr>
        <w:t xml:space="preserve">WORKED EXAMPLE</w:t>
      </w:r>
    </w:p>
    <w:p>
      <w:pPr>
        <w:pStyle w:val="CalloutExample"/>
      </w:pPr>
      <w:r>
        <w:rPr>
          <w:bCs/>
          <w:b/>
        </w:rPr>
        <w:t xml:space="preserve">Worked example — Time to read 1 GB (as of 2024–2025, approximate rates).</w:t>
      </w:r>
    </w:p>
    <w:p>
      <w:pPr>
        <w:pStyle w:val="CalloutExample"/>
      </w:pPr>
      <w:r>
        <w:t xml:space="preserve">Sequential reads:</w:t>
      </w:r>
      <w:r>
        <w:t xml:space="preserve"> </w:t>
      </w:r>
      <m:oMath>
        <m:r>
          <m:t>T</m:t>
        </m:r>
        <m:r>
          <m:rPr>
            <m:sty m:val="p"/>
          </m:rPr>
          <m:t>=</m:t>
        </m:r>
        <m:sSup>
          <m:e>
            <m:r>
              <m:t>10</m:t>
            </m:r>
          </m:e>
          <m:sup>
            <m:r>
              <m:t>9</m:t>
            </m:r>
          </m:sup>
        </m:sSup>
        <m:r>
          <m:rPr>
            <m:nor/>
            <m:sty m:val="p"/>
          </m:rPr>
          <m:t> B</m:t>
        </m:r>
        <m:r>
          <m:rPr>
            <m:sty m:val="p"/>
          </m:rPr>
          <m:t>/</m:t>
        </m:r>
        <m:r>
          <m:rPr>
            <m:nor/>
            <m:sty m:val="p"/>
          </m:rPr>
          <m:t>throughput</m:t>
        </m:r>
      </m:oMath>
      <w:r>
        <w:t xml:space="preserve">.</w:t>
      </w:r>
    </w:p>
    <w:p>
      <w:pPr>
        <w:numPr>
          <w:ilvl w:val="0"/>
          <w:numId w:val="1158"/>
        </w:numPr>
        <w:pStyle w:val="Compact"/>
      </w:pPr>
      <w:r>
        <w:t xml:space="preserve">DRAM, one thread streaming at ~10 GB/s:</w:t>
      </w:r>
      <w:r>
        <w:t xml:space="preserve"> </w:t>
      </w:r>
      <m:oMath>
        <m:sSup>
          <m:e>
            <m:r>
              <m:t>10</m:t>
            </m:r>
          </m:e>
          <m:sup>
            <m:r>
              <m:t>9</m:t>
            </m:r>
          </m:sup>
        </m:sSup>
        <m:r>
          <m:rPr>
            <m:sty m:val="p"/>
          </m:rPr>
          <m:t>/</m:t>
        </m:r>
        <m:sSup>
          <m:e>
            <m:r>
              <m:t>10</m:t>
            </m:r>
          </m:e>
          <m:sup>
            <m:r>
              <m:t>10</m:t>
            </m:r>
          </m:sup>
        </m:sSup>
        <m:r>
          <m:rPr>
            <m:sty m:val="p"/>
          </m:rPr>
          <m:t>=</m:t>
        </m:r>
        <m:r>
          <m:t>0.1</m:t>
        </m:r>
      </m:oMath>
      <w:r>
        <w:t xml:space="preserve"> </w:t>
      </w:r>
      <w:r>
        <w:t xml:space="preserve">s</w:t>
      </w:r>
      <w:r>
        <w:t xml:space="preserve"> </w:t>
      </w:r>
      <m:oMath>
        <m:r>
          <m:rPr>
            <m:sty m:val="p"/>
          </m:rPr>
          <m:t>=</m:t>
        </m:r>
        <m:r>
          <m:t>100</m:t>
        </m:r>
      </m:oMath>
      <w:r>
        <w:t xml:space="preserve"> </w:t>
      </w:r>
      <w:r>
        <w:t xml:space="preserve">ms. Whole socket at ~200 GB/s achieved: 5 ms.</w:t>
      </w:r>
    </w:p>
    <w:p>
      <w:pPr>
        <w:numPr>
          <w:ilvl w:val="0"/>
          <w:numId w:val="1158"/>
        </w:numPr>
        <w:pStyle w:val="Compact"/>
      </w:pPr>
      <w:r>
        <w:t xml:space="preserve">NVMe SSD (PCIe 4.0) at ~7 GB/s:</w:t>
      </w:r>
      <w:r>
        <w:t xml:space="preserve"> </w:t>
      </w:r>
      <m:oMath>
        <m:sSup>
          <m:e>
            <m:r>
              <m:t>10</m:t>
            </m:r>
          </m:e>
          <m:sup>
            <m:r>
              <m:t>9</m:t>
            </m:r>
          </m:sup>
        </m:sSup>
        <m:r>
          <m:rPr>
            <m:sty m:val="p"/>
          </m:rPr>
          <m:t>/</m:t>
        </m:r>
        <m:d>
          <m:dPr>
            <m:begChr m:val="("/>
            <m:endChr m:val=")"/>
            <m:sepChr m:val=""/>
            <m:grow/>
          </m:dPr>
          <m:e>
            <m:r>
              <m:t>7</m:t>
            </m:r>
            <m:r>
              <m:rPr>
                <m:sty m:val="p"/>
              </m:rPr>
              <m:t>×</m:t>
            </m:r>
            <m:sSup>
              <m:e>
                <m:r>
                  <m:t>10</m:t>
                </m:r>
              </m:e>
              <m:sup>
                <m:r>
                  <m:t>9</m:t>
                </m:r>
              </m:sup>
            </m:sSup>
          </m:e>
        </m:d>
        <m:r>
          <m:rPr>
            <m:sty m:val="p"/>
          </m:rPr>
          <m:t>≈</m:t>
        </m:r>
        <m:r>
          <m:t>0.143</m:t>
        </m:r>
      </m:oMath>
      <w:r>
        <w:t xml:space="preserve"> </w:t>
      </w:r>
      <w:r>
        <w:t xml:space="preserve">s</w:t>
      </w:r>
      <w:r>
        <w:t xml:space="preserve"> </w:t>
      </w:r>
      <m:oMath>
        <m:r>
          <m:rPr>
            <m:sty m:val="p"/>
          </m:rPr>
          <m:t>=</m:t>
        </m:r>
        <m:r>
          <m:t>143</m:t>
        </m:r>
      </m:oMath>
      <w:r>
        <w:t xml:space="preserve"> </w:t>
      </w:r>
      <w:r>
        <w:t xml:space="preserve">ms.</w:t>
      </w:r>
    </w:p>
    <w:p>
      <w:pPr>
        <w:numPr>
          <w:ilvl w:val="0"/>
          <w:numId w:val="1158"/>
        </w:numPr>
        <w:pStyle w:val="Compact"/>
      </w:pPr>
      <w:r>
        <w:t xml:space="preserve">SATA SSD at ~550 MB/s:</w:t>
      </w:r>
      <w:r>
        <w:t xml:space="preserve"> </w:t>
      </w:r>
      <m:oMath>
        <m:sSup>
          <m:e>
            <m:r>
              <m:t>10</m:t>
            </m:r>
          </m:e>
          <m:sup>
            <m:r>
              <m:t>9</m:t>
            </m:r>
          </m:sup>
        </m:sSup>
        <m:r>
          <m:rPr>
            <m:sty m:val="p"/>
          </m:rPr>
          <m:t>/</m:t>
        </m:r>
        <m:d>
          <m:dPr>
            <m:begChr m:val="("/>
            <m:endChr m:val=")"/>
            <m:sepChr m:val=""/>
            <m:grow/>
          </m:dPr>
          <m:e>
            <m:r>
              <m:t>5.5</m:t>
            </m:r>
            <m:r>
              <m:rPr>
                <m:sty m:val="p"/>
              </m:rPr>
              <m:t>×</m:t>
            </m:r>
            <m:sSup>
              <m:e>
                <m:r>
                  <m:t>10</m:t>
                </m:r>
              </m:e>
              <m:sup>
                <m:r>
                  <m:t>8</m:t>
                </m:r>
              </m:sup>
            </m:sSup>
          </m:e>
        </m:d>
        <m:r>
          <m:rPr>
            <m:sty m:val="p"/>
          </m:rPr>
          <m:t>≈</m:t>
        </m:r>
        <m:r>
          <m:t>1.82</m:t>
        </m:r>
      </m:oMath>
      <w:r>
        <w:t xml:space="preserve"> </w:t>
      </w:r>
      <w:r>
        <w:t xml:space="preserve">s.</w:t>
      </w:r>
    </w:p>
    <w:p>
      <w:pPr>
        <w:numPr>
          <w:ilvl w:val="0"/>
          <w:numId w:val="1158"/>
        </w:numPr>
        <w:pStyle w:val="Compact"/>
      </w:pPr>
      <w:r>
        <w:t xml:space="preserve">HDD at ~200 MB/s:</w:t>
      </w:r>
      <w:r>
        <w:t xml:space="preserve"> </w:t>
      </w:r>
      <m:oMath>
        <m:sSup>
          <m:e>
            <m:r>
              <m:t>10</m:t>
            </m:r>
          </m:e>
          <m:sup>
            <m:r>
              <m:t>9</m:t>
            </m:r>
          </m:sup>
        </m:sSup>
        <m:r>
          <m:rPr>
            <m:sty m:val="p"/>
          </m:rPr>
          <m:t>/</m:t>
        </m:r>
        <m:d>
          <m:dPr>
            <m:begChr m:val="("/>
            <m:endChr m:val=")"/>
            <m:sepChr m:val=""/>
            <m:grow/>
          </m:dPr>
          <m:e>
            <m:r>
              <m:t>2</m:t>
            </m:r>
            <m:r>
              <m:rPr>
                <m:sty m:val="p"/>
              </m:rPr>
              <m:t>×</m:t>
            </m:r>
            <m:sSup>
              <m:e>
                <m:r>
                  <m:t>10</m:t>
                </m:r>
              </m:e>
              <m:sup>
                <m:r>
                  <m:t>8</m:t>
                </m:r>
              </m:sup>
            </m:sSup>
          </m:e>
        </m:d>
        <m:r>
          <m:rPr>
            <m:sty m:val="p"/>
          </m:rPr>
          <m:t>=</m:t>
        </m:r>
        <m:r>
          <m:t>5</m:t>
        </m:r>
      </m:oMath>
      <w:r>
        <w:t xml:space="preserve"> </w:t>
      </w:r>
      <w:r>
        <w:t xml:space="preserve">s.</w:t>
      </w:r>
    </w:p>
    <w:p>
      <w:pPr>
        <w:numPr>
          <w:ilvl w:val="0"/>
          <w:numId w:val="1158"/>
        </w:numPr>
        <w:pStyle w:val="Compact"/>
      </w:pPr>
      <w:r>
        <w:t xml:space="preserve">Network at 1 / 10 / 100 Gbit/s (</w:t>
      </w:r>
      <m:oMath>
        <m:r>
          <m:rPr>
            <m:sty m:val="p"/>
          </m:rPr>
          <m:t>=</m:t>
        </m:r>
        <m:r>
          <m:t>0.125</m:t>
        </m:r>
      </m:oMath>
      <w:r>
        <w:t xml:space="preserve"> </w:t>
      </w:r>
      <w:r>
        <w:t xml:space="preserve">/</w:t>
      </w:r>
      <w:r>
        <w:t xml:space="preserve"> </w:t>
      </w:r>
      <m:oMath>
        <m:r>
          <m:t>1.25</m:t>
        </m:r>
      </m:oMath>
      <w:r>
        <w:t xml:space="preserve"> </w:t>
      </w:r>
      <w:r>
        <w:t xml:space="preserve">/</w:t>
      </w:r>
      <w:r>
        <w:t xml:space="preserve"> </w:t>
      </w:r>
      <m:oMath>
        <m:r>
          <m:t>12.5</m:t>
        </m:r>
      </m:oMath>
      <w:r>
        <w:t xml:space="preserve"> </w:t>
      </w:r>
      <w:r>
        <w:t xml:space="preserve">GB/s): 8 s / 0.8 s / 0.08 s, before protocol overhead of a few percent.</w:t>
      </w:r>
    </w:p>
    <w:p>
      <w:pPr>
        <w:pStyle w:val="CalloutExample"/>
      </w:pPr>
      <w:r>
        <w:t xml:space="preserve">Random reads: the same gigabyte read as many small, dependent requests.</w:t>
      </w:r>
    </w:p>
    <w:p>
      <w:pPr>
        <w:numPr>
          <w:ilvl w:val="0"/>
          <w:numId w:val="1159"/>
        </w:numPr>
        <w:pStyle w:val="Compact"/>
      </w:pPr>
      <w:r>
        <w:t xml:space="preserve">DRAM, random 64-byte lines, one at a time:</w:t>
      </w:r>
      <w:r>
        <w:t xml:space="preserve"> </w:t>
      </w:r>
      <m:oMath>
        <m:sSup>
          <m:e>
            <m:r>
              <m:t>10</m:t>
            </m:r>
          </m:e>
          <m:sup>
            <m:r>
              <m:t>9</m:t>
            </m:r>
          </m:sup>
        </m:sSup>
        <m:r>
          <m:rPr>
            <m:sty m:val="p"/>
          </m:rPr>
          <m:t>/</m:t>
        </m:r>
        <m:r>
          <m:t>64</m:t>
        </m:r>
        <m:r>
          <m:rPr>
            <m:sty m:val="p"/>
          </m:rPr>
          <m:t>=</m:t>
        </m:r>
        <m:r>
          <m:t>15</m:t>
        </m:r>
        <m:r>
          <m:t> </m:t>
        </m:r>
        <m:r>
          <m:t>625</m:t>
        </m:r>
        <m:r>
          <m:t> </m:t>
        </m:r>
        <m:r>
          <m:t>000</m:t>
        </m:r>
      </m:oMath>
      <w:r>
        <w:t xml:space="preserve"> </w:t>
      </w:r>
      <w:r>
        <w:t xml:space="preserve">lines</w:t>
      </w:r>
      <w:r>
        <w:t xml:space="preserve"> </w:t>
      </w:r>
      <m:oMath>
        <m:r>
          <m:rPr>
            <m:sty m:val="p"/>
          </m:rPr>
          <m:t>×</m:t>
        </m:r>
      </m:oMath>
      <w:r>
        <w:t xml:space="preserve"> </w:t>
      </w:r>
      <w:r>
        <w:t xml:space="preserve">100 ns</w:t>
      </w:r>
      <w:r>
        <w:t xml:space="preserve"> </w:t>
      </w:r>
      <m:oMath>
        <m:r>
          <m:rPr>
            <m:sty m:val="p"/>
          </m:rPr>
          <m:t>=</m:t>
        </m:r>
        <m:r>
          <m:t>1.5625</m:t>
        </m:r>
      </m:oMath>
      <w:r>
        <w:t xml:space="preserve"> </w:t>
      </w:r>
      <w:r>
        <w:t xml:space="preserve">s — about 16× slower than streaming the same memory.</w:t>
      </w:r>
    </w:p>
    <w:p>
      <w:pPr>
        <w:numPr>
          <w:ilvl w:val="0"/>
          <w:numId w:val="1159"/>
        </w:numPr>
        <w:pStyle w:val="Compact"/>
      </w:pPr>
      <w:r>
        <w:t xml:space="preserve">NVMe, random 4 KiB reads at QD 1:</w:t>
      </w:r>
      <w:r>
        <w:t xml:space="preserve"> </w:t>
      </w:r>
      <m:oMath>
        <m:sSup>
          <m:e>
            <m:r>
              <m:t>10</m:t>
            </m:r>
          </m:e>
          <m:sup>
            <m:r>
              <m:t>9</m:t>
            </m:r>
          </m:sup>
        </m:sSup>
        <m:r>
          <m:rPr>
            <m:sty m:val="p"/>
          </m:rPr>
          <m:t>/</m:t>
        </m:r>
        <m:r>
          <m:t>4096</m:t>
        </m:r>
        <m:r>
          <m:rPr>
            <m:sty m:val="p"/>
          </m:rPr>
          <m:t>≈</m:t>
        </m:r>
        <m:r>
          <m:t>244</m:t>
        </m:r>
        <m:r>
          <m:t> </m:t>
        </m:r>
        <m:r>
          <m:t>141</m:t>
        </m:r>
      </m:oMath>
      <w:r>
        <w:t xml:space="preserve"> </w:t>
      </w:r>
      <w:r>
        <w:t xml:space="preserve">reads</w:t>
      </w:r>
      <w:r>
        <w:t xml:space="preserve"> </w:t>
      </w:r>
      <m:oMath>
        <m:r>
          <m:rPr>
            <m:sty m:val="p"/>
          </m:rPr>
          <m:t>×</m:t>
        </m:r>
      </m:oMath>
      <w:r>
        <w:t xml:space="preserve"> </w:t>
      </w:r>
      <w:r>
        <w:t xml:space="preserve">80 µs</w:t>
      </w:r>
      <w:r>
        <w:t xml:space="preserve"> </w:t>
      </w:r>
      <m:oMath>
        <m:r>
          <m:rPr>
            <m:sty m:val="p"/>
          </m:rPr>
          <m:t>≈</m:t>
        </m:r>
        <m:r>
          <m:t>19.5</m:t>
        </m:r>
      </m:oMath>
      <w:r>
        <w:t xml:space="preserve"> </w:t>
      </w:r>
      <w:r>
        <w:t xml:space="preserve">s. At QD 80 (~</w:t>
      </w:r>
      <m:oMath>
        <m:sSup>
          <m:e>
            <m:r>
              <m:t>10</m:t>
            </m:r>
          </m:e>
          <m:sup>
            <m:r>
              <m:t>6</m:t>
            </m:r>
          </m:sup>
        </m:sSup>
      </m:oMath>
      <w:r>
        <w:t xml:space="preserve"> </w:t>
      </w:r>
      <w:r>
        <w:t xml:space="preserve">IOPS):</w:t>
      </w:r>
      <w:r>
        <w:t xml:space="preserve"> </w:t>
      </w:r>
      <m:oMath>
        <m:r>
          <m:t>244</m:t>
        </m:r>
        <m:r>
          <m:t> </m:t>
        </m:r>
        <m:r>
          <m:t>141</m:t>
        </m:r>
        <m:r>
          <m:rPr>
            <m:sty m:val="p"/>
          </m:rPr>
          <m:t>/</m:t>
        </m:r>
        <m:sSup>
          <m:e>
            <m:r>
              <m:t>10</m:t>
            </m:r>
          </m:e>
          <m:sup>
            <m:r>
              <m:t>6</m:t>
            </m:r>
          </m:sup>
        </m:sSup>
        <m:r>
          <m:rPr>
            <m:sty m:val="p"/>
          </m:rPr>
          <m:t>≈</m:t>
        </m:r>
        <m:r>
          <m:t>0.24</m:t>
        </m:r>
      </m:oMath>
      <w:r>
        <w:t xml:space="preserve"> </w:t>
      </w:r>
      <w:r>
        <w:t xml:space="preserve">s.</w:t>
      </w:r>
    </w:p>
    <w:p>
      <w:pPr>
        <w:numPr>
          <w:ilvl w:val="0"/>
          <w:numId w:val="1159"/>
        </w:numPr>
        <w:pStyle w:val="Compact"/>
      </w:pPr>
      <w:r>
        <w:t xml:space="preserve">HDD, random 4 KiB reads:</w:t>
      </w:r>
      <w:r>
        <w:t xml:space="preserve"> </w:t>
      </w:r>
      <m:oMath>
        <m:r>
          <m:t>244</m:t>
        </m:r>
        <m:r>
          <m:t> </m:t>
        </m:r>
        <m:r>
          <m:t>141</m:t>
        </m:r>
        <m:r>
          <m:rPr>
            <m:sty m:val="p"/>
          </m:rPr>
          <m:t>×</m:t>
        </m:r>
        <m:r>
          <m:t>12.69</m:t>
        </m:r>
      </m:oMath>
      <w:r>
        <w:t xml:space="preserve"> </w:t>
      </w:r>
      <w:r>
        <w:t xml:space="preserve">ms</w:t>
      </w:r>
      <w:r>
        <w:t xml:space="preserve"> </w:t>
      </w:r>
      <m:oMath>
        <m:r>
          <m:rPr>
            <m:sty m:val="p"/>
          </m:rPr>
          <m:t>≈</m:t>
        </m:r>
        <m:r>
          <m:t>3098</m:t>
        </m:r>
      </m:oMath>
      <w:r>
        <w:t xml:space="preserve"> </w:t>
      </w:r>
      <w:r>
        <w:t xml:space="preserve">s</w:t>
      </w:r>
      <w:r>
        <w:t xml:space="preserve"> </w:t>
      </w:r>
      <m:oMath>
        <m:r>
          <m:rPr>
            <m:sty m:val="p"/>
          </m:rPr>
          <m:t>≈</m:t>
        </m:r>
        <m:r>
          <m:t>51.6</m:t>
        </m:r>
      </m:oMath>
      <w:r>
        <w:t xml:space="preserve"> </w:t>
      </w:r>
      <w:r>
        <w:t xml:space="preserve">minutes.</w:t>
      </w:r>
    </w:p>
    <w:p>
      <w:pPr>
        <w:pStyle w:val="CalloutExample"/>
      </w:pPr>
      <w:r>
        <w:rPr>
          <w:bCs/>
          <w:b/>
        </w:rPr>
        <w:t xml:space="preserve">Interpretation.</w:t>
      </w:r>
      <w:r>
        <w:t xml:space="preserve"> </w:t>
      </w:r>
      <w:r>
        <w:t xml:space="preserve">Between the best case (5 ms) and the worst (52 minutes) lies a factor of about 600,000 — for the</w:t>
      </w:r>
      <w:r>
        <w:t xml:space="preserve"> </w:t>
      </w:r>
      <w:r>
        <w:rPr>
          <w:iCs/>
          <w:i/>
        </w:rPr>
        <w:t xml:space="preserve">same</w:t>
      </w:r>
      <w:r>
        <w:t xml:space="preserve"> </w:t>
      </w:r>
      <w:r>
        <w:t xml:space="preserve">gigabyte.</w:t>
      </w:r>
      <w:r>
        <w:t xml:space="preserve"> </w:t>
      </w:r>
      <w:r>
        <w:rPr>
          <w:bCs/>
          <w:b/>
        </w:rPr>
        <w:t xml:space="preserve">Engineering implication.</w:t>
      </w:r>
      <w:r>
        <w:t xml:space="preserve"> </w:t>
      </w:r>
      <w:r>
        <w:t xml:space="preserve">The access pattern matters as much as the device: random HDD access is 620× slower than sequential HDD access, and random DRAM access is slower than sequential NVMe access. This is why databases build indexes that turn scans into a few targeted reads, why analytics systems store columns contiguously, and why caches exist at every level.</w:t>
      </w:r>
    </w:p>
    <w:p>
      <w:pPr>
        <w:pStyle w:val="BodyText"/>
      </w:pPr>
      <w:r>
        <w:rPr>
          <w:bCs/>
          <w:b/>
        </w:rPr>
        <w:t xml:space="preserve">Table 5.10 — Time to read 1 GB, summary (as of 2024–2025, approximate).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Source and pattern</w:t>
            </w:r>
          </w:p>
        </w:tc>
        <w:tc>
          <w:tcPr/>
          <w:p>
            <w:pPr>
              <w:pStyle w:val="Compact"/>
              <w:jc w:val="left"/>
            </w:pPr>
            <w:r>
              <w:t xml:space="preserve">Rate or latency assumed</w:t>
            </w:r>
          </w:p>
        </w:tc>
        <w:tc>
          <w:tcPr/>
          <w:p>
            <w:pPr>
              <w:pStyle w:val="Compact"/>
              <w:jc w:val="left"/>
            </w:pPr>
            <w:r>
              <w:t xml:space="preserve">Time</w:t>
            </w:r>
          </w:p>
        </w:tc>
      </w:tr>
      <w:tr>
        <w:tc>
          <w:tcPr/>
          <w:p>
            <w:pPr>
              <w:pStyle w:val="Compact"/>
              <w:jc w:val="left"/>
            </w:pPr>
            <w:r>
              <w:t xml:space="preserve">DRAM, all cores streaming</w:t>
            </w:r>
          </w:p>
        </w:tc>
        <w:tc>
          <w:tcPr/>
          <w:p>
            <w:pPr>
              <w:pStyle w:val="Compact"/>
              <w:jc w:val="left"/>
            </w:pPr>
            <w:r>
              <w:t xml:space="preserve">~200 GB/s</w:t>
            </w:r>
          </w:p>
        </w:tc>
        <w:tc>
          <w:tcPr/>
          <w:p>
            <w:pPr>
              <w:pStyle w:val="Compact"/>
              <w:jc w:val="left"/>
            </w:pPr>
            <w:r>
              <w:t xml:space="preserve">~5 ms</w:t>
            </w:r>
          </w:p>
        </w:tc>
      </w:tr>
      <w:tr>
        <w:tc>
          <w:tcPr/>
          <w:p>
            <w:pPr>
              <w:pStyle w:val="Compact"/>
              <w:jc w:val="left"/>
            </w:pPr>
            <w:r>
              <w:t xml:space="preserve">DRAM, one thread streaming</w:t>
            </w:r>
          </w:p>
        </w:tc>
        <w:tc>
          <w:tcPr/>
          <w:p>
            <w:pPr>
              <w:pStyle w:val="Compact"/>
              <w:jc w:val="left"/>
            </w:pPr>
            <w:r>
              <w:t xml:space="preserve">~10 GB/s</w:t>
            </w:r>
          </w:p>
        </w:tc>
        <w:tc>
          <w:tcPr/>
          <w:p>
            <w:pPr>
              <w:pStyle w:val="Compact"/>
              <w:jc w:val="left"/>
            </w:pPr>
            <w:r>
              <w:t xml:space="preserve">~0.1 s</w:t>
            </w:r>
          </w:p>
        </w:tc>
      </w:tr>
      <w:tr>
        <w:tc>
          <w:tcPr/>
          <w:p>
            <w:pPr>
              <w:pStyle w:val="Compact"/>
              <w:jc w:val="left"/>
            </w:pPr>
            <w:r>
              <w:t xml:space="preserve">NVMe SSD, sequential</w:t>
            </w:r>
          </w:p>
        </w:tc>
        <w:tc>
          <w:tcPr/>
          <w:p>
            <w:pPr>
              <w:pStyle w:val="Compact"/>
              <w:jc w:val="left"/>
            </w:pPr>
            <w:r>
              <w:t xml:space="preserve">~7 GB/s</w:t>
            </w:r>
          </w:p>
        </w:tc>
        <w:tc>
          <w:tcPr/>
          <w:p>
            <w:pPr>
              <w:pStyle w:val="Compact"/>
              <w:jc w:val="left"/>
            </w:pPr>
            <w:r>
              <w:t xml:space="preserve">~0.14 s</w:t>
            </w:r>
          </w:p>
        </w:tc>
      </w:tr>
      <w:tr>
        <w:tc>
          <w:tcPr/>
          <w:p>
            <w:pPr>
              <w:pStyle w:val="Compact"/>
              <w:jc w:val="left"/>
            </w:pPr>
            <w:r>
              <w:t xml:space="preserve">10 Gbit/s network</w:t>
            </w:r>
          </w:p>
        </w:tc>
        <w:tc>
          <w:tcPr/>
          <w:p>
            <w:pPr>
              <w:pStyle w:val="Compact"/>
              <w:jc w:val="left"/>
            </w:pPr>
            <w:r>
              <w:t xml:space="preserve">1.25 GB/s</w:t>
            </w:r>
          </w:p>
        </w:tc>
        <w:tc>
          <w:tcPr/>
          <w:p>
            <w:pPr>
              <w:pStyle w:val="Compact"/>
              <w:jc w:val="left"/>
            </w:pPr>
            <w:r>
              <w:t xml:space="preserve">~0.8 s</w:t>
            </w:r>
          </w:p>
        </w:tc>
      </w:tr>
      <w:tr>
        <w:tc>
          <w:tcPr/>
          <w:p>
            <w:pPr>
              <w:pStyle w:val="Compact"/>
              <w:jc w:val="left"/>
            </w:pPr>
            <w:r>
              <w:t xml:space="preserve">DRAM, dependent random 64 B reads</w:t>
            </w:r>
          </w:p>
        </w:tc>
        <w:tc>
          <w:tcPr/>
          <w:p>
            <w:pPr>
              <w:pStyle w:val="Compact"/>
              <w:jc w:val="left"/>
            </w:pPr>
            <w:r>
              <w:t xml:space="preserve">100 ns each</w:t>
            </w:r>
          </w:p>
        </w:tc>
        <w:tc>
          <w:tcPr/>
          <w:p>
            <w:pPr>
              <w:pStyle w:val="Compact"/>
              <w:jc w:val="left"/>
            </w:pPr>
            <w:r>
              <w:t xml:space="preserve">~1.6 s</w:t>
            </w:r>
          </w:p>
        </w:tc>
      </w:tr>
      <w:tr>
        <w:tc>
          <w:tcPr/>
          <w:p>
            <w:pPr>
              <w:pStyle w:val="Compact"/>
              <w:jc w:val="left"/>
            </w:pPr>
            <w:r>
              <w:t xml:space="preserve">SATA SSD, sequential</w:t>
            </w:r>
          </w:p>
        </w:tc>
        <w:tc>
          <w:tcPr/>
          <w:p>
            <w:pPr>
              <w:pStyle w:val="Compact"/>
              <w:jc w:val="left"/>
            </w:pPr>
            <w:r>
              <w:t xml:space="preserve">0.55 GB/s</w:t>
            </w:r>
          </w:p>
        </w:tc>
        <w:tc>
          <w:tcPr/>
          <w:p>
            <w:pPr>
              <w:pStyle w:val="Compact"/>
              <w:jc w:val="left"/>
            </w:pPr>
            <w:r>
              <w:t xml:space="preserve">~1.8 s</w:t>
            </w:r>
          </w:p>
        </w:tc>
      </w:tr>
      <w:tr>
        <w:tc>
          <w:tcPr/>
          <w:p>
            <w:pPr>
              <w:pStyle w:val="Compact"/>
              <w:jc w:val="left"/>
            </w:pPr>
            <w:r>
              <w:t xml:space="preserve">HDD, sequential</w:t>
            </w:r>
          </w:p>
        </w:tc>
        <w:tc>
          <w:tcPr/>
          <w:p>
            <w:pPr>
              <w:pStyle w:val="Compact"/>
              <w:jc w:val="left"/>
            </w:pPr>
            <w:r>
              <w:t xml:space="preserve">0.2 GB/s</w:t>
            </w:r>
          </w:p>
        </w:tc>
        <w:tc>
          <w:tcPr/>
          <w:p>
            <w:pPr>
              <w:pStyle w:val="Compact"/>
              <w:jc w:val="left"/>
            </w:pPr>
            <w:r>
              <w:t xml:space="preserve">~5 s</w:t>
            </w:r>
          </w:p>
        </w:tc>
      </w:tr>
      <w:tr>
        <w:tc>
          <w:tcPr/>
          <w:p>
            <w:pPr>
              <w:pStyle w:val="Compact"/>
              <w:jc w:val="left"/>
            </w:pPr>
            <w:r>
              <w:t xml:space="preserve">NVMe SSD, random 4 KiB, QD 1</w:t>
            </w:r>
          </w:p>
        </w:tc>
        <w:tc>
          <w:tcPr/>
          <w:p>
            <w:pPr>
              <w:pStyle w:val="Compact"/>
              <w:jc w:val="left"/>
            </w:pPr>
            <w:r>
              <w:t xml:space="preserve">80 µs each</w:t>
            </w:r>
          </w:p>
        </w:tc>
        <w:tc>
          <w:tcPr/>
          <w:p>
            <w:pPr>
              <w:pStyle w:val="Compact"/>
              <w:jc w:val="left"/>
            </w:pPr>
            <w:r>
              <w:t xml:space="preserve">~20 s</w:t>
            </w:r>
          </w:p>
        </w:tc>
      </w:tr>
      <w:tr>
        <w:tc>
          <w:tcPr/>
          <w:p>
            <w:pPr>
              <w:pStyle w:val="Compact"/>
              <w:jc w:val="left"/>
            </w:pPr>
            <w:r>
              <w:t xml:space="preserve">HDD, random 4 KiB</w:t>
            </w:r>
          </w:p>
        </w:tc>
        <w:tc>
          <w:tcPr/>
          <w:p>
            <w:pPr>
              <w:pStyle w:val="Compact"/>
              <w:jc w:val="left"/>
            </w:pPr>
            <w:r>
              <w:t xml:space="preserve">12.7 ms each</w:t>
            </w:r>
          </w:p>
        </w:tc>
        <w:tc>
          <w:tcPr/>
          <w:p>
            <w:pPr>
              <w:pStyle w:val="Compact"/>
              <w:jc w:val="left"/>
            </w:pPr>
            <w:r>
              <w:t xml:space="preserve">~52 min</w:t>
            </w:r>
          </w:p>
        </w:tc>
      </w:tr>
    </w:tbl>
    <w:bookmarkEnd w:id="535"/>
    <w:bookmarkStart w:id="536" w:name="latency-numbers-then-and-now"/>
    <w:p>
      <w:pPr>
        <w:pStyle w:val="Heading3"/>
      </w:pPr>
      <w:r>
        <w:t xml:space="preserve">5.9.4 Latency numbers, then and now</w:t>
      </w:r>
    </w:p>
    <w:p>
      <w:pPr>
        <w:pStyle w:val="FirstParagraph"/>
      </w:pPr>
      <w:r>
        <w:t xml:space="preserve">Jeff Dean’s list of</w:t>
      </w:r>
      <w:r>
        <w:t xml:space="preserve"> </w:t>
      </w:r>
      <w:r>
        <w:t xml:space="preserve">“</w:t>
      </w:r>
      <w:r>
        <w:t xml:space="preserve">numbers everyone should know</w:t>
      </w:r>
      <w:r>
        <w:t xml:space="preserve">”</w:t>
      </w:r>
      <w:r>
        <w:t xml:space="preserve">, presented in 2009 and building on a similar table by Peter Norvig, is the best-known summary of these facts [Dean 2009; Norvig 2001]. §4.17 discusses it in full; Table 5.11 shows how the hardware-specific entries compare with this chapter’s figures.</w:t>
      </w:r>
    </w:p>
    <w:p>
      <w:pPr>
        <w:pStyle w:val="BodyText"/>
      </w:pPr>
      <w:r>
        <w:rPr>
          <w:bCs/>
          <w:b/>
        </w:rPr>
        <w:t xml:space="preserve">Table 5.11 — Classic latency numbers versus approximate 2024–2025 values.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Operation</w:t>
            </w:r>
          </w:p>
        </w:tc>
        <w:tc>
          <w:tcPr/>
          <w:p>
            <w:pPr>
              <w:pStyle w:val="Compact"/>
              <w:jc w:val="left"/>
            </w:pPr>
            <w:r>
              <w:t xml:space="preserve">Dean 2009</w:t>
            </w:r>
          </w:p>
        </w:tc>
        <w:tc>
          <w:tcPr/>
          <w:p>
            <w:pPr>
              <w:pStyle w:val="Compact"/>
              <w:jc w:val="left"/>
            </w:pPr>
            <w:r>
              <w:t xml:space="preserve">Approx. 2024–2025 (this chapter)</w:t>
            </w:r>
          </w:p>
        </w:tc>
        <w:tc>
          <w:tcPr/>
          <w:p>
            <w:pPr>
              <w:pStyle w:val="Compact"/>
              <w:jc w:val="left"/>
            </w:pPr>
            <w:r>
              <w:t xml:space="preserve">What changed</w:t>
            </w:r>
          </w:p>
        </w:tc>
      </w:tr>
      <w:tr>
        <w:tc>
          <w:tcPr/>
          <w:p>
            <w:pPr>
              <w:pStyle w:val="Compact"/>
              <w:jc w:val="left"/>
            </w:pPr>
            <w:r>
              <w:t xml:space="preserve">L1 cache reference</w:t>
            </w:r>
          </w:p>
        </w:tc>
        <w:tc>
          <w:tcPr/>
          <w:p>
            <w:pPr>
              <w:pStyle w:val="Compact"/>
              <w:jc w:val="left"/>
            </w:pPr>
            <w:r>
              <w:t xml:space="preserve">0.5 ns</w:t>
            </w:r>
          </w:p>
        </w:tc>
        <w:tc>
          <w:tcPr/>
          <w:p>
            <w:pPr>
              <w:pStyle w:val="Compact"/>
              <w:jc w:val="left"/>
            </w:pPr>
            <w:r>
              <w:t xml:space="preserve">~1 ns</w:t>
            </w:r>
          </w:p>
        </w:tc>
        <w:tc>
          <w:tcPr/>
          <w:p>
            <w:pPr>
              <w:pStyle w:val="Compact"/>
              <w:jc w:val="left"/>
            </w:pPr>
            <w:r>
              <w:t xml:space="preserve">About the same in cycles; clocks stalled near 3–5 GHz</w:t>
            </w:r>
          </w:p>
        </w:tc>
      </w:tr>
      <w:tr>
        <w:tc>
          <w:tcPr/>
          <w:p>
            <w:pPr>
              <w:pStyle w:val="Compact"/>
              <w:jc w:val="left"/>
            </w:pPr>
            <w:r>
              <w:t xml:space="preserve">Branch mispredict</w:t>
            </w:r>
          </w:p>
        </w:tc>
        <w:tc>
          <w:tcPr/>
          <w:p>
            <w:pPr>
              <w:pStyle w:val="Compact"/>
              <w:jc w:val="left"/>
            </w:pPr>
            <w:r>
              <w:t xml:space="preserve">5 ns</w:t>
            </w:r>
          </w:p>
        </w:tc>
        <w:tc>
          <w:tcPr/>
          <w:p>
            <w:pPr>
              <w:pStyle w:val="Compact"/>
              <w:jc w:val="left"/>
            </w:pPr>
            <w:r>
              <w:t xml:space="preserve">~4–5 ns (15–20 cycles)</w:t>
            </w:r>
          </w:p>
        </w:tc>
        <w:tc>
          <w:tcPr/>
          <w:p>
            <w:pPr>
              <w:pStyle w:val="Compact"/>
              <w:jc w:val="left"/>
            </w:pPr>
            <w:r>
              <w:t xml:space="preserve">Little change</w:t>
            </w:r>
          </w:p>
        </w:tc>
      </w:tr>
      <w:tr>
        <w:tc>
          <w:tcPr/>
          <w:p>
            <w:pPr>
              <w:pStyle w:val="Compact"/>
              <w:jc w:val="left"/>
            </w:pPr>
            <w:r>
              <w:t xml:space="preserve">L2 cache reference</w:t>
            </w:r>
          </w:p>
        </w:tc>
        <w:tc>
          <w:tcPr/>
          <w:p>
            <w:pPr>
              <w:pStyle w:val="Compact"/>
              <w:jc w:val="left"/>
            </w:pPr>
            <w:r>
              <w:t xml:space="preserve">7 ns</w:t>
            </w:r>
          </w:p>
        </w:tc>
        <w:tc>
          <w:tcPr/>
          <w:p>
            <w:pPr>
              <w:pStyle w:val="Compact"/>
              <w:jc w:val="left"/>
            </w:pPr>
            <w:r>
              <w:t xml:space="preserve">~3–5 ns</w:t>
            </w:r>
          </w:p>
        </w:tc>
        <w:tc>
          <w:tcPr/>
          <w:p>
            <w:pPr>
              <w:pStyle w:val="Compact"/>
              <w:jc w:val="left"/>
            </w:pPr>
            <w:r>
              <w:t xml:space="preserve">Somewhat faster</w:t>
            </w:r>
          </w:p>
        </w:tc>
      </w:tr>
      <w:tr>
        <w:tc>
          <w:tcPr/>
          <w:p>
            <w:pPr>
              <w:pStyle w:val="Compact"/>
              <w:jc w:val="left"/>
            </w:pPr>
            <w:r>
              <w:t xml:space="preserve">Main memory reference</w:t>
            </w:r>
          </w:p>
        </w:tc>
        <w:tc>
          <w:tcPr/>
          <w:p>
            <w:pPr>
              <w:pStyle w:val="Compact"/>
              <w:jc w:val="left"/>
            </w:pPr>
            <w:r>
              <w:t xml:space="preserve">100 ns</w:t>
            </w:r>
          </w:p>
        </w:tc>
        <w:tc>
          <w:tcPr/>
          <w:p>
            <w:pPr>
              <w:pStyle w:val="Compact"/>
              <w:jc w:val="left"/>
            </w:pPr>
            <w:r>
              <w:t xml:space="preserve">~80–120 ns</w:t>
            </w:r>
          </w:p>
        </w:tc>
        <w:tc>
          <w:tcPr/>
          <w:p>
            <w:pPr>
              <w:pStyle w:val="Compact"/>
              <w:jc w:val="left"/>
            </w:pPr>
            <w:r>
              <w:t xml:space="preserve">Essentially unchanged</w:t>
            </w:r>
          </w:p>
        </w:tc>
      </w:tr>
      <w:tr>
        <w:tc>
          <w:tcPr/>
          <w:p>
            <w:pPr>
              <w:pStyle w:val="Compact"/>
              <w:jc w:val="left"/>
            </w:pPr>
            <w:r>
              <w:t xml:space="preserve">Read 1 MB sequentially from memory</w:t>
            </w:r>
          </w:p>
        </w:tc>
        <w:tc>
          <w:tcPr/>
          <w:p>
            <w:pPr>
              <w:pStyle w:val="Compact"/>
              <w:jc w:val="left"/>
            </w:pPr>
            <w:r>
              <w:t xml:space="preserve">250 µs</w:t>
            </w:r>
          </w:p>
        </w:tc>
        <w:tc>
          <w:tcPr/>
          <w:p>
            <w:pPr>
              <w:pStyle w:val="Compact"/>
              <w:jc w:val="left"/>
            </w:pPr>
            <w:r>
              <w:t xml:space="preserve">~50–100 µs per thread</w:t>
            </w:r>
          </w:p>
        </w:tc>
        <w:tc>
          <w:tcPr/>
          <w:p>
            <w:pPr>
              <w:pStyle w:val="Compact"/>
              <w:jc w:val="left"/>
            </w:pPr>
            <w:r>
              <w:t xml:space="preserve">Bandwidth grew ~3–5×</w:t>
            </w:r>
          </w:p>
        </w:tc>
      </w:tr>
      <w:tr>
        <w:tc>
          <w:tcPr/>
          <w:p>
            <w:pPr>
              <w:pStyle w:val="Compact"/>
              <w:jc w:val="left"/>
            </w:pPr>
            <w:r>
              <w:t xml:space="preserve">Disk seek</w:t>
            </w:r>
          </w:p>
        </w:tc>
        <w:tc>
          <w:tcPr/>
          <w:p>
            <w:pPr>
              <w:pStyle w:val="Compact"/>
              <w:jc w:val="left"/>
            </w:pPr>
            <w:r>
              <w:t xml:space="preserve">10 ms</w:t>
            </w:r>
          </w:p>
        </w:tc>
        <w:tc>
          <w:tcPr/>
          <w:p>
            <w:pPr>
              <w:pStyle w:val="Compact"/>
              <w:jc w:val="left"/>
            </w:pPr>
            <w:r>
              <w:t xml:space="preserve">~4–10 ms</w:t>
            </w:r>
          </w:p>
        </w:tc>
        <w:tc>
          <w:tcPr/>
          <w:p>
            <w:pPr>
              <w:pStyle w:val="Compact"/>
              <w:jc w:val="left"/>
            </w:pPr>
            <w:r>
              <w:t xml:space="preserve">Mechanics barely changed</w:t>
            </w:r>
          </w:p>
        </w:tc>
      </w:tr>
      <w:tr>
        <w:tc>
          <w:tcPr/>
          <w:p>
            <w:pPr>
              <w:pStyle w:val="Compact"/>
              <w:jc w:val="left"/>
            </w:pPr>
            <w:r>
              <w:t xml:space="preserve">Read 1 MB sequentially from disk</w:t>
            </w:r>
          </w:p>
        </w:tc>
        <w:tc>
          <w:tcPr/>
          <w:p>
            <w:pPr>
              <w:pStyle w:val="Compact"/>
              <w:jc w:val="left"/>
            </w:pPr>
            <w:r>
              <w:t xml:space="preserve">20 ms</w:t>
            </w:r>
          </w:p>
        </w:tc>
        <w:tc>
          <w:tcPr/>
          <w:p>
            <w:pPr>
              <w:pStyle w:val="Compact"/>
              <w:jc w:val="left"/>
            </w:pPr>
            <w:r>
              <w:t xml:space="preserve">~5 ms</w:t>
            </w:r>
          </w:p>
        </w:tc>
        <w:tc>
          <w:tcPr/>
          <w:p>
            <w:pPr>
              <w:pStyle w:val="Compact"/>
              <w:jc w:val="left"/>
            </w:pPr>
            <w:r>
              <w:t xml:space="preserve">Higher areal density</w:t>
            </w:r>
          </w:p>
        </w:tc>
      </w:tr>
      <w:tr>
        <w:tc>
          <w:tcPr/>
          <w:p>
            <w:pPr>
              <w:pStyle w:val="Compact"/>
              <w:jc w:val="left"/>
            </w:pPr>
            <w:r>
              <w:t xml:space="preserve">Random read from SSD</w:t>
            </w:r>
          </w:p>
        </w:tc>
        <w:tc>
          <w:tcPr/>
          <w:p>
            <w:pPr>
              <w:pStyle w:val="Compact"/>
              <w:jc w:val="left"/>
            </w:pPr>
            <w:r>
              <w:t xml:space="preserve">Not in 2009 list (150 µs in later versions)</w:t>
            </w:r>
          </w:p>
        </w:tc>
        <w:tc>
          <w:tcPr/>
          <w:p>
            <w:pPr>
              <w:pStyle w:val="Compact"/>
              <w:jc w:val="left"/>
            </w:pPr>
            <w:r>
              <w:t xml:space="preserve">~50–100 µs</w:t>
            </w:r>
          </w:p>
        </w:tc>
        <w:tc>
          <w:tcPr/>
          <w:p>
            <w:pPr>
              <w:pStyle w:val="Compact"/>
              <w:jc w:val="left"/>
            </w:pPr>
            <w:r>
              <w:t xml:space="preserve">SSDs became mainstream</w:t>
            </w:r>
          </w:p>
        </w:tc>
      </w:tr>
      <w:tr>
        <w:tc>
          <w:tcPr/>
          <w:p>
            <w:pPr>
              <w:pStyle w:val="Compact"/>
              <w:jc w:val="left"/>
            </w:pPr>
            <w:r>
              <w:t xml:space="preserve">Read 1 MB sequentially from NVMe SSD</w:t>
            </w:r>
          </w:p>
        </w:tc>
        <w:tc>
          <w:tcPr/>
          <w:p>
            <w:pPr>
              <w:pStyle w:val="Compact"/>
              <w:jc w:val="left"/>
            </w:pPr>
            <w:r>
              <w:t xml:space="preserve">Not in 2009 list (1 ms for SSD in later versions)</w:t>
            </w:r>
          </w:p>
        </w:tc>
        <w:tc>
          <w:tcPr/>
          <w:p>
            <w:pPr>
              <w:pStyle w:val="Compact"/>
              <w:jc w:val="left"/>
            </w:pPr>
            <w:r>
              <w:t xml:space="preserve">~0.15–0.3 ms</w:t>
            </w:r>
          </w:p>
        </w:tc>
        <w:tc>
          <w:tcPr/>
          <w:p>
            <w:pPr>
              <w:pStyle w:val="Compact"/>
              <w:jc w:val="left"/>
            </w:pPr>
            <w:r>
              <w:t xml:space="preserve">New tier</w:t>
            </w:r>
          </w:p>
        </w:tc>
      </w:tr>
    </w:tbl>
    <w:p>
      <w:pPr>
        <w:pStyle w:val="BodyText"/>
      </w:pPr>
      <w:r>
        <w:t xml:space="preserve">Versions of Dean’s list differ slightly in individual entries; the durable lesson is the</w:t>
      </w:r>
      <w:r>
        <w:t xml:space="preserve"> </w:t>
      </w:r>
      <w:r>
        <w:rPr>
          <w:iCs/>
          <w:i/>
        </w:rPr>
        <w:t xml:space="preserve">shape</w:t>
      </w:r>
      <w:r>
        <w:t xml:space="preserve">: memory latency stuck, bandwidth up, disks still mechanical, flash filling the gap between them.</w:t>
      </w:r>
    </w:p>
    <w:bookmarkEnd w:id="536"/>
    <w:bookmarkEnd w:id="537"/>
    <w:bookmarkStart w:id="541" w:name="numa"/>
    <w:p>
      <w:pPr>
        <w:pStyle w:val="Heading2"/>
      </w:pPr>
      <w:r>
        <w:t xml:space="preserve">5.10 NUMA</w:t>
      </w:r>
    </w:p>
    <w:p>
      <w:pPr>
        <w:pStyle w:val="CalloutDefinition"/>
      </w:pPr>
      <w:r>
        <w:rPr>
          <w:bCs/>
          <w:b/>
        </w:rPr>
        <w:t xml:space="preserve">DEFINITION</w:t>
      </w:r>
    </w:p>
    <w:p>
      <w:pPr>
        <w:pStyle w:val="CalloutDefinition"/>
      </w:pPr>
      <w:r>
        <w:rPr>
          <w:bCs/>
          <w:b/>
        </w:rPr>
        <w:t xml:space="preserve">Definition — NUMA (non-uniform memory access).</w:t>
      </w:r>
      <w:r>
        <w:t xml:space="preserve"> </w:t>
      </w:r>
      <w:r>
        <w:t xml:space="preserve">A memory architecture in which each processor socket (or each chiplet group within a socket) has its own directly attached memory. A core can access all memory in the machine, but accessing its</w:t>
      </w:r>
      <w:r>
        <w:t xml:space="preserve"> </w:t>
      </w:r>
      <w:r>
        <w:rPr>
          <w:bCs/>
          <w:b/>
        </w:rPr>
        <w:t xml:space="preserve">local</w:t>
      </w:r>
      <w:r>
        <w:t xml:space="preserve"> </w:t>
      </w:r>
      <w:r>
        <w:t xml:space="preserve">memory is faster than accessing</w:t>
      </w:r>
      <w:r>
        <w:t xml:space="preserve"> </w:t>
      </w:r>
      <w:r>
        <w:rPr>
          <w:bCs/>
          <w:b/>
        </w:rPr>
        <w:t xml:space="preserve">remote</w:t>
      </w:r>
      <w:r>
        <w:t xml:space="preserve"> </w:t>
      </w:r>
      <w:r>
        <w:t xml:space="preserve">memory attached to another socket.</w:t>
      </w:r>
    </w:p>
    <w:p>
      <w:pPr>
        <w:pStyle w:val="BodyText"/>
      </w:pPr>
      <w:r>
        <w:t xml:space="preserve">Picture two kitchens joined by a corridor, each with its own fridge. A chef can fetch from either fridge, but the far one takes noticeably longer and the corridor can get crowded. NUMA exists because a single shared memory controller cannot scale to dozens of cores and hundreds of GB/s; attaching memory to each socket multiplies total bandwidth, at the price of uneven latency [Lameter 2013].</w:t>
      </w:r>
    </w:p>
    <w:p>
      <w:pPr>
        <w:pStyle w:val="BodyText"/>
      </w:pPr>
      <w:r>
        <w:rPr>
          <w:bCs/>
          <w:b/>
        </w:rPr>
        <w:t xml:space="preserve">Figure 5.9 — A two-socket NUMA server.</w:t>
      </w:r>
    </w:p>
    <w:p>
      <w:pPr>
        <w:pStyle w:val="BodyText"/>
      </w:pPr>
      <w:r>
        <w:drawing>
          <wp:inline>
            <wp:extent cx="5334000" cy="3844055"/>
            <wp:effectExtent b="0" l="0" r="0" t="0"/>
            <wp:docPr descr="" title="" id="539" name="Picture"/>
            <a:graphic>
              <a:graphicData uri="http://schemas.openxmlformats.org/drawingml/2006/picture">
                <pic:pic>
                  <pic:nvPicPr>
                    <pic:cNvPr descr="/home/user/System-Design/build/.cache/diagrams/6ccab640088a.png" id="540" name="Picture"/>
                    <pic:cNvPicPr>
                      <a:picLocks noChangeArrowheads="1" noChangeAspect="1"/>
                    </pic:cNvPicPr>
                  </pic:nvPicPr>
                  <pic:blipFill>
                    <a:blip r:embed="rId538"/>
                    <a:stretch>
                      <a:fillRect/>
                    </a:stretch>
                  </pic:blipFill>
                  <pic:spPr bwMode="auto">
                    <a:xfrm>
                      <a:off x="0" y="0"/>
                      <a:ext cx="5334000" cy="3844055"/>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Each socket, with its cores, its L3 cache, its memory channels and its PCIe devices, forms a</w:t>
      </w:r>
      <w:r>
        <w:t xml:space="preserve"> </w:t>
      </w:r>
      <w:r>
        <w:rPr>
          <w:bCs/>
          <w:b/>
        </w:rPr>
        <w:t xml:space="preserve">NUMA node</w:t>
      </w:r>
      <w:r>
        <w:t xml:space="preserve">. A core on socket 0 reaches DRAM 0 directly; to reach DRAM 1 its request travels over the</w:t>
      </w:r>
      <w:r>
        <w:t xml:space="preserve"> </w:t>
      </w:r>
      <w:r>
        <w:rPr>
          <w:bCs/>
          <w:b/>
        </w:rPr>
        <w:t xml:space="preserve">socket-to-socket interconnect</w:t>
      </w:r>
      <w:r>
        <w:t xml:space="preserve"> </w:t>
      </w:r>
      <w:r>
        <w:t xml:space="preserve">(Intel UPI, AMD Infinity Fabric), adding latency — remote accesses commonly cost about 1.5–2× local ones (as of 2024, approximate; Linux reports relative distances via</w:t>
      </w:r>
      <w:r>
        <w:t xml:space="preserve"> </w:t>
      </w:r>
      <w:r>
        <w:rPr>
          <w:rStyle w:val="VerbatimChar"/>
        </w:rPr>
        <w:t xml:space="preserve">numactl --hardware</w:t>
      </w:r>
      <w:r>
        <w:t xml:space="preserve">, typically 10 for local and around 20 or more for remote). Devices are local to one node as well: packets arriving on a NIC attached to socket 0 are cheapest to process on socket 0’s cores. The interconnect is shared and carries coherence traffic too, so it is both a latency penalty and a bandwidth bottleneck. Failure points are performance failures — a process whose threads run on node 1 while its memory sits on node 0. Scaling within the machine means keeping threads, their memory and their devices on the same node.</w:t>
      </w:r>
    </w:p>
    <w:p>
      <w:pPr>
        <w:pStyle w:val="CalloutExample"/>
      </w:pPr>
      <w:r>
        <w:rPr>
          <w:bCs/>
          <w:b/>
        </w:rPr>
        <w:t xml:space="preserve">WORKED EXAMPLE</w:t>
      </w:r>
    </w:p>
    <w:p>
      <w:pPr>
        <w:pStyle w:val="CalloutExample"/>
      </w:pPr>
      <w:r>
        <w:rPr>
          <w:bCs/>
          <w:b/>
        </w:rPr>
        <w:t xml:space="preserve">Worked example — The cost of ignoring NUMA.</w:t>
      </w:r>
    </w:p>
    <w:p>
      <w:pPr>
        <w:pStyle w:val="CalloutExample"/>
      </w:pPr>
      <w:r>
        <w:t xml:space="preserve">Assume local DRAM latency 80 ns and remote 140 ns.</w:t>
      </w:r>
    </w:p>
    <w:p>
      <w:pPr>
        <w:numPr>
          <w:ilvl w:val="0"/>
          <w:numId w:val="1160"/>
        </w:numPr>
        <w:pStyle w:val="Compact"/>
      </w:pPr>
      <w:r>
        <w:t xml:space="preserve">Two sockets, memory placed without regard to which node will use it: about half of accesses are remote. Average</w:t>
      </w:r>
      <w:r>
        <w:t xml:space="preserve"> </w:t>
      </w:r>
      <m:oMath>
        <m:r>
          <m:rPr>
            <m:sty m:val="p"/>
          </m:rPr>
          <m:t>=</m:t>
        </m:r>
        <m:r>
          <m:t>0.5</m:t>
        </m:r>
        <m:r>
          <m:rPr>
            <m:sty m:val="p"/>
          </m:rPr>
          <m:t>×</m:t>
        </m:r>
        <m:r>
          <m:t>80</m:t>
        </m:r>
        <m:r>
          <m:rPr>
            <m:sty m:val="p"/>
          </m:rPr>
          <m:t>+</m:t>
        </m:r>
        <m:r>
          <m:t>0.5</m:t>
        </m:r>
        <m:r>
          <m:rPr>
            <m:sty m:val="p"/>
          </m:rPr>
          <m:t>×</m:t>
        </m:r>
        <m:r>
          <m:t>140</m:t>
        </m:r>
        <m:r>
          <m:rPr>
            <m:sty m:val="p"/>
          </m:rPr>
          <m:t>=</m:t>
        </m:r>
        <m:r>
          <m:t>40</m:t>
        </m:r>
        <m:r>
          <m:rPr>
            <m:sty m:val="p"/>
          </m:rPr>
          <m:t>+</m:t>
        </m:r>
        <m:r>
          <m:t>70</m:t>
        </m:r>
        <m:r>
          <m:rPr>
            <m:sty m:val="p"/>
          </m:rPr>
          <m:t>=</m:t>
        </m:r>
        <m:r>
          <m:t>110</m:t>
        </m:r>
      </m:oMath>
      <w:r>
        <w:t xml:space="preserve"> </w:t>
      </w:r>
      <w:r>
        <w:t xml:space="preserve">ns, 37.5% worse than all-local.</w:t>
      </w:r>
    </w:p>
    <w:p>
      <w:pPr>
        <w:numPr>
          <w:ilvl w:val="0"/>
          <w:numId w:val="1160"/>
        </w:numPr>
        <w:pStyle w:val="Compact"/>
      </w:pPr>
      <w:r>
        <w:t xml:space="preserve">Four sockets, memory interleaved evenly: 75% remote. Average</w:t>
      </w:r>
      <w:r>
        <w:t xml:space="preserve"> </w:t>
      </w:r>
      <m:oMath>
        <m:r>
          <m:rPr>
            <m:sty m:val="p"/>
          </m:rPr>
          <m:t>=</m:t>
        </m:r>
        <m:r>
          <m:t>0.25</m:t>
        </m:r>
        <m:r>
          <m:rPr>
            <m:sty m:val="p"/>
          </m:rPr>
          <m:t>×</m:t>
        </m:r>
        <m:r>
          <m:t>80</m:t>
        </m:r>
        <m:r>
          <m:rPr>
            <m:sty m:val="p"/>
          </m:rPr>
          <m:t>+</m:t>
        </m:r>
        <m:r>
          <m:t>0.75</m:t>
        </m:r>
        <m:r>
          <m:rPr>
            <m:sty m:val="p"/>
          </m:rPr>
          <m:t>×</m:t>
        </m:r>
        <m:r>
          <m:t>140</m:t>
        </m:r>
        <m:r>
          <m:rPr>
            <m:sty m:val="p"/>
          </m:rPr>
          <m:t>=</m:t>
        </m:r>
        <m:r>
          <m:t>20</m:t>
        </m:r>
        <m:r>
          <m:rPr>
            <m:sty m:val="p"/>
          </m:rPr>
          <m:t>+</m:t>
        </m:r>
        <m:r>
          <m:t>105</m:t>
        </m:r>
        <m:r>
          <m:rPr>
            <m:sty m:val="p"/>
          </m:rPr>
          <m:t>=</m:t>
        </m:r>
        <m:r>
          <m:t>125</m:t>
        </m:r>
      </m:oMath>
      <w:r>
        <w:t xml:space="preserve"> </w:t>
      </w:r>
      <w:r>
        <w:t xml:space="preserve">ns, 56% worse.</w:t>
      </w:r>
    </w:p>
    <w:p>
      <w:pPr>
        <w:pStyle w:val="CalloutExample"/>
      </w:pPr>
      <w:r>
        <w:rPr>
          <w:bCs/>
          <w:b/>
        </w:rPr>
        <w:t xml:space="preserve">Interpretation.</w:t>
      </w:r>
      <w:r>
        <w:t xml:space="preserve"> </w:t>
      </w:r>
      <w:r>
        <w:t xml:space="preserve">For memory-bound work, NUMA-unaware placement directly inflates latency and congests the interconnect.</w:t>
      </w:r>
      <w:r>
        <w:t xml:space="preserve"> </w:t>
      </w:r>
      <w:r>
        <w:rPr>
          <w:bCs/>
          <w:b/>
        </w:rPr>
        <w:t xml:space="preserve">Engineering implication.</w:t>
      </w:r>
      <w:r>
        <w:t xml:space="preserve"> </w:t>
      </w:r>
      <w:r>
        <w:t xml:space="preserve">On large servers, pin latency-sensitive processes to one node (</w:t>
      </w:r>
      <w:r>
        <w:rPr>
          <w:rStyle w:val="VerbatimChar"/>
        </w:rPr>
        <w:t xml:space="preserve">numactl --cpunodebind=0 --membind=0</w:t>
      </w:r>
      <w:r>
        <w:t xml:space="preserve">), run one process per node rather than one huge process, or prefer smaller single-socket instances. Cloud VMs that span sockets expose NUMA topology too.</w:t>
      </w:r>
    </w:p>
    <w:p>
      <w:pPr>
        <w:pStyle w:val="CalloutIndustry"/>
      </w:pPr>
      <w:r>
        <w:rPr>
          <w:bCs/>
          <w:b/>
        </w:rPr>
        <w:t xml:space="preserve">INDUSTRY EXAMPLE</w:t>
      </w:r>
    </w:p>
    <w:p>
      <w:pPr>
        <w:pStyle w:val="CalloutIndustry"/>
      </w:pPr>
      <w:r>
        <w:rPr>
          <w:bCs/>
          <w:b/>
        </w:rPr>
        <w:t xml:space="preserve">MySQL</w:t>
      </w:r>
      <w:r>
        <w:rPr>
          <w:bCs/>
          <w:b/>
        </w:rPr>
        <w:t xml:space="preserve"> </w:t>
      </w:r>
      <w:r>
        <w:rPr>
          <w:bCs/>
          <w:b/>
        </w:rPr>
        <w:t xml:space="preserve">“</w:t>
      </w:r>
      <w:r>
        <w:rPr>
          <w:bCs/>
          <w:b/>
        </w:rPr>
        <w:t xml:space="preserve">swap insanity</w:t>
      </w:r>
      <w:r>
        <w:rPr>
          <w:bCs/>
          <w:b/>
        </w:rPr>
        <w:t xml:space="preserve">”</w:t>
      </w:r>
      <w:r>
        <w:rPr>
          <w:bCs/>
          <w:b/>
        </w:rPr>
        <w:t xml:space="preserve"> </w:t>
      </w:r>
      <w:r>
        <w:rPr>
          <w:bCs/>
          <w:b/>
        </w:rPr>
        <w:t xml:space="preserve">on two-socket servers.</w:t>
      </w:r>
      <w:r>
        <w:t xml:space="preserve"> </w:t>
      </w:r>
      <w:r>
        <w:t xml:space="preserve">Jeremy Cole described MySQL servers with a buffer pool sized for the whole machine’s RAM that nevertheless swapped to disk. Linux’s default policy allocated memory from the local node of the allocating thread, so one NUMA node filled up while the other had free memory, and the kernel swapped instead of using the remote node. His recommended remedy was to start MySQL with memory interleaved across nodes (</w:t>
      </w:r>
      <w:r>
        <w:rPr>
          <w:rStyle w:val="VerbatimChar"/>
        </w:rPr>
        <w:t xml:space="preserve">numactl --interleave=all</w:t>
      </w:r>
      <w:r>
        <w:t xml:space="preserve">), accepting uniformly higher latency in exchange for predictable behavior; later MySQL versions added an option to interleave the buffer pool.</w:t>
      </w:r>
      <w:r>
        <w:t xml:space="preserve"> </w:t>
      </w:r>
      <w:r>
        <w:rPr>
          <w:iCs/>
          <w:i/>
        </w:rPr>
        <w:t xml:space="preserve">Evidence: Primary</w:t>
      </w:r>
      <w:r>
        <w:t xml:space="preserve"> </w:t>
      </w:r>
      <w:r>
        <w:t xml:space="preserve">— [Cole 2010]</w:t>
      </w:r>
    </w:p>
    <w:p>
      <w:pPr>
        <w:pStyle w:val="CalloutMistake"/>
      </w:pPr>
      <w:r>
        <w:rPr>
          <w:bCs/>
          <w:b/>
        </w:rPr>
        <w:t xml:space="preserve">COMMON MISTAKE</w:t>
      </w:r>
    </w:p>
    <w:p>
      <w:pPr>
        <w:pStyle w:val="CalloutMistake"/>
      </w:pPr>
      <w:r>
        <w:rPr>
          <w:bCs/>
          <w:b/>
        </w:rPr>
        <w:t xml:space="preserve">“</w:t>
      </w:r>
      <w:r>
        <w:rPr>
          <w:bCs/>
          <w:b/>
        </w:rPr>
        <w:t xml:space="preserve">All RAM in a server is equally fast.</w:t>
      </w:r>
      <w:r>
        <w:rPr>
          <w:bCs/>
          <w:b/>
        </w:rPr>
        <w:t xml:space="preserve">”</w:t>
      </w:r>
      <w:r>
        <w:t xml:space="preserve"> </w:t>
      </w:r>
      <w:r>
        <w:t xml:space="preserve">On multi-socket and many-chiplet servers it is not. Check</w:t>
      </w:r>
      <w:r>
        <w:t xml:space="preserve"> </w:t>
      </w:r>
      <w:r>
        <w:rPr>
          <w:rStyle w:val="VerbatimChar"/>
        </w:rPr>
        <w:t xml:space="preserve">lscpu</w:t>
      </w:r>
      <w:r>
        <w:t xml:space="preserve"> </w:t>
      </w:r>
      <w:r>
        <w:t xml:space="preserve">and</w:t>
      </w:r>
      <w:r>
        <w:t xml:space="preserve"> </w:t>
      </w:r>
      <w:r>
        <w:rPr>
          <w:rStyle w:val="VerbatimChar"/>
        </w:rPr>
        <w:t xml:space="preserve">numactl --hardware</w:t>
      </w:r>
      <w:r>
        <w:t xml:space="preserve"> </w:t>
      </w:r>
      <w:r>
        <w:t xml:space="preserve">before benchmarking, and keep the benchmark’s threads and memory on the same node or document that you did not.</w:t>
      </w:r>
    </w:p>
    <w:bookmarkEnd w:id="541"/>
    <w:bookmarkStart w:id="544" w:name="simd-and-accelerators"/>
    <w:p>
      <w:pPr>
        <w:pStyle w:val="Heading2"/>
      </w:pPr>
      <w:r>
        <w:t xml:space="preserve">5.11 SIMD and accelerators</w:t>
      </w:r>
    </w:p>
    <w:bookmarkStart w:id="542" w:name="simd"/>
    <w:p>
      <w:pPr>
        <w:pStyle w:val="Heading3"/>
      </w:pPr>
      <w:r>
        <w:t xml:space="preserve">5.11.1 SIMD</w:t>
      </w:r>
    </w:p>
    <w:p>
      <w:pPr>
        <w:pStyle w:val="CalloutDefinition"/>
      </w:pPr>
      <w:r>
        <w:rPr>
          <w:bCs/>
          <w:b/>
        </w:rPr>
        <w:t xml:space="preserve">DEFINITION</w:t>
      </w:r>
    </w:p>
    <w:p>
      <w:pPr>
        <w:pStyle w:val="CalloutDefinition"/>
      </w:pPr>
      <w:r>
        <w:rPr>
          <w:bCs/>
          <w:b/>
        </w:rPr>
        <w:t xml:space="preserve">Definition — SIMD (single instruction, multiple data).</w:t>
      </w:r>
      <w:r>
        <w:t xml:space="preserve"> </w:t>
      </w:r>
      <w:r>
        <w:t xml:space="preserve">CPU instructions that apply the same operation to several data elements packed into one wide</w:t>
      </w:r>
      <w:r>
        <w:t xml:space="preserve"> </w:t>
      </w:r>
      <w:r>
        <w:rPr>
          <w:bCs/>
          <w:b/>
        </w:rPr>
        <w:t xml:space="preserve">vector register</w:t>
      </w:r>
      <w:r>
        <w:t xml:space="preserve"> </w:t>
      </w:r>
      <w:r>
        <w:t xml:space="preserve">at once — for example, adding eight pairs of 32-bit floats in a single instruction.</w:t>
      </w:r>
    </w:p>
    <w:p>
      <w:pPr>
        <w:pStyle w:val="BodyText"/>
      </w:pPr>
      <w:r>
        <w:t xml:space="preserve">Instead of a cook slicing one carrot at a time, SIMD is a mandoline that slices eight at once with a single stroke. It pays off when the same operation runs over large arrays of uniform data: image and audio processing, compression, checksums, string search, database column scans and machine-learning arithmetic.</w:t>
      </w:r>
    </w:p>
    <w:p>
      <w:pPr>
        <w:pStyle w:val="BodyText"/>
      </w:pPr>
      <w:r>
        <w:rPr>
          <w:bCs/>
          <w:b/>
        </w:rPr>
        <w:t xml:space="preserve">Table 5.12 — Common SIMD instruction sets (as of 2025).</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Instruction set</w:t>
            </w:r>
          </w:p>
        </w:tc>
        <w:tc>
          <w:tcPr/>
          <w:p>
            <w:pPr>
              <w:pStyle w:val="Compact"/>
              <w:jc w:val="left"/>
            </w:pPr>
            <w:r>
              <w:t xml:space="preserve">Platform</w:t>
            </w:r>
          </w:p>
        </w:tc>
        <w:tc>
          <w:tcPr/>
          <w:p>
            <w:pPr>
              <w:pStyle w:val="Compact"/>
              <w:jc w:val="left"/>
            </w:pPr>
            <w:r>
              <w:t xml:space="preserve">Register width</w:t>
            </w:r>
          </w:p>
        </w:tc>
        <w:tc>
          <w:tcPr/>
          <w:p>
            <w:pPr>
              <w:pStyle w:val="Compact"/>
              <w:jc w:val="left"/>
            </w:pPr>
            <w:r>
              <w:t xml:space="preserve">32-bit floats per instruction</w:t>
            </w:r>
          </w:p>
        </w:tc>
      </w:tr>
      <w:tr>
        <w:tc>
          <w:tcPr/>
          <w:p>
            <w:pPr>
              <w:pStyle w:val="Compact"/>
              <w:jc w:val="left"/>
            </w:pPr>
            <w:r>
              <w:t xml:space="preserve">SSE family</w:t>
            </w:r>
          </w:p>
        </w:tc>
        <w:tc>
          <w:tcPr/>
          <w:p>
            <w:pPr>
              <w:pStyle w:val="Compact"/>
              <w:jc w:val="left"/>
            </w:pPr>
            <w:r>
              <w:t xml:space="preserve">x86</w:t>
            </w:r>
          </w:p>
        </w:tc>
        <w:tc>
          <w:tcPr/>
          <w:p>
            <w:pPr>
              <w:pStyle w:val="Compact"/>
              <w:jc w:val="left"/>
            </w:pPr>
            <w:r>
              <w:t xml:space="preserve">128 bits</w:t>
            </w:r>
          </w:p>
        </w:tc>
        <w:tc>
          <w:tcPr/>
          <w:p>
            <w:pPr>
              <w:pStyle w:val="Compact"/>
              <w:jc w:val="left"/>
            </w:pPr>
            <w:r>
              <w:t xml:space="preserve">4</w:t>
            </w:r>
          </w:p>
        </w:tc>
      </w:tr>
      <w:tr>
        <w:tc>
          <w:tcPr/>
          <w:p>
            <w:pPr>
              <w:pStyle w:val="Compact"/>
              <w:jc w:val="left"/>
            </w:pPr>
            <w:r>
              <w:t xml:space="preserve">AVX / AVX2</w:t>
            </w:r>
          </w:p>
        </w:tc>
        <w:tc>
          <w:tcPr/>
          <w:p>
            <w:pPr>
              <w:pStyle w:val="Compact"/>
              <w:jc w:val="left"/>
            </w:pPr>
            <w:r>
              <w:t xml:space="preserve">x86</w:t>
            </w:r>
          </w:p>
        </w:tc>
        <w:tc>
          <w:tcPr/>
          <w:p>
            <w:pPr>
              <w:pStyle w:val="Compact"/>
              <w:jc w:val="left"/>
            </w:pPr>
            <w:r>
              <w:t xml:space="preserve">256 bits</w:t>
            </w:r>
          </w:p>
        </w:tc>
        <w:tc>
          <w:tcPr/>
          <w:p>
            <w:pPr>
              <w:pStyle w:val="Compact"/>
              <w:jc w:val="left"/>
            </w:pPr>
            <w:r>
              <w:t xml:space="preserve">8</w:t>
            </w:r>
          </w:p>
        </w:tc>
      </w:tr>
      <w:tr>
        <w:tc>
          <w:tcPr/>
          <w:p>
            <w:pPr>
              <w:pStyle w:val="Compact"/>
              <w:jc w:val="left"/>
            </w:pPr>
            <w:r>
              <w:t xml:space="preserve">AVX-512</w:t>
            </w:r>
          </w:p>
        </w:tc>
        <w:tc>
          <w:tcPr/>
          <w:p>
            <w:pPr>
              <w:pStyle w:val="Compact"/>
              <w:jc w:val="left"/>
            </w:pPr>
            <w:r>
              <w:t xml:space="preserve">x86 (many server parts)</w:t>
            </w:r>
          </w:p>
        </w:tc>
        <w:tc>
          <w:tcPr/>
          <w:p>
            <w:pPr>
              <w:pStyle w:val="Compact"/>
              <w:jc w:val="left"/>
            </w:pPr>
            <w:r>
              <w:t xml:space="preserve">512 bits</w:t>
            </w:r>
          </w:p>
        </w:tc>
        <w:tc>
          <w:tcPr/>
          <w:p>
            <w:pPr>
              <w:pStyle w:val="Compact"/>
              <w:jc w:val="left"/>
            </w:pPr>
            <w:r>
              <w:t xml:space="preserve">16</w:t>
            </w:r>
          </w:p>
        </w:tc>
      </w:tr>
      <w:tr>
        <w:tc>
          <w:tcPr/>
          <w:p>
            <w:pPr>
              <w:pStyle w:val="Compact"/>
              <w:jc w:val="left"/>
            </w:pPr>
            <w:r>
              <w:t xml:space="preserve">NEON (Advanced SIMD)</w:t>
            </w:r>
          </w:p>
        </w:tc>
        <w:tc>
          <w:tcPr/>
          <w:p>
            <w:pPr>
              <w:pStyle w:val="Compact"/>
              <w:jc w:val="left"/>
            </w:pPr>
            <w:r>
              <w:t xml:space="preserve">ARM</w:t>
            </w:r>
          </w:p>
        </w:tc>
        <w:tc>
          <w:tcPr/>
          <w:p>
            <w:pPr>
              <w:pStyle w:val="Compact"/>
              <w:jc w:val="left"/>
            </w:pPr>
            <w:r>
              <w:t xml:space="preserve">128 bits</w:t>
            </w:r>
          </w:p>
        </w:tc>
        <w:tc>
          <w:tcPr/>
          <w:p>
            <w:pPr>
              <w:pStyle w:val="Compact"/>
              <w:jc w:val="left"/>
            </w:pPr>
            <w:r>
              <w:t xml:space="preserve">4</w:t>
            </w:r>
          </w:p>
        </w:tc>
      </w:tr>
      <w:tr>
        <w:tc>
          <w:tcPr/>
          <w:p>
            <w:pPr>
              <w:pStyle w:val="Compact"/>
              <w:jc w:val="left"/>
            </w:pPr>
            <w:r>
              <w:t xml:space="preserve">SVE / SVE2</w:t>
            </w:r>
          </w:p>
        </w:tc>
        <w:tc>
          <w:tcPr/>
          <w:p>
            <w:pPr>
              <w:pStyle w:val="Compact"/>
              <w:jc w:val="left"/>
            </w:pPr>
            <w:r>
              <w:t xml:space="preserve">ARM (some server parts)</w:t>
            </w:r>
          </w:p>
        </w:tc>
        <w:tc>
          <w:tcPr/>
          <w:p>
            <w:pPr>
              <w:pStyle w:val="Compact"/>
              <w:jc w:val="left"/>
            </w:pPr>
            <w:r>
              <w:t xml:space="preserve">128–2048 bits, implementation-defined</w:t>
            </w:r>
          </w:p>
        </w:tc>
        <w:tc>
          <w:tcPr/>
          <w:p>
            <w:pPr>
              <w:pStyle w:val="Compact"/>
              <w:jc w:val="left"/>
            </w:pPr>
            <w:r>
              <w:t xml:space="preserve">4–64</w:t>
            </w:r>
          </w:p>
        </w:tc>
      </w:tr>
    </w:tbl>
    <w:p>
      <w:pPr>
        <w:pStyle w:val="BodyText"/>
      </w:pPr>
      <w:r>
        <w:t xml:space="preserve">You rarely write SIMD instructions by hand. Compilers</w:t>
      </w:r>
      <w:r>
        <w:t xml:space="preserve"> </w:t>
      </w:r>
      <w:r>
        <w:rPr>
          <w:bCs/>
          <w:b/>
        </w:rPr>
        <w:t xml:space="preserve">auto-vectorize</w:t>
      </w:r>
      <w:r>
        <w:t xml:space="preserve"> </w:t>
      </w:r>
      <w:r>
        <w:t xml:space="preserve">simple loops, and libraries such as numpy, BLAS and database engines ship vectorized kernels. Your job is to give them data they can vectorize: contiguous arrays of one type, not lists of objects. The database research system MonetDB/X100 showed that processing data in cache-sized</w:t>
      </w:r>
      <w:r>
        <w:t xml:space="preserve"> </w:t>
      </w:r>
      <w:r>
        <w:rPr>
          <w:iCs/>
          <w:i/>
        </w:rPr>
        <w:t xml:space="preserve">vectors</w:t>
      </w:r>
      <w:r>
        <w:t xml:space="preserve"> </w:t>
      </w:r>
      <w:r>
        <w:t xml:space="preserve">of column values, rather than one row at a time, cut interpretation overhead and enabled SIMD, which shaped modern vectorized analytics engines [Boncz et al. 2005].</w:t>
      </w:r>
    </w:p>
    <w:p>
      <w:pPr>
        <w:pStyle w:val="SourceCode"/>
      </w:pPr>
      <w:r>
        <w:rPr>
          <w:rStyle w:val="CommentTok"/>
        </w:rPr>
        <w:t xml:space="preserve">"""simd.py — interpreted loop vs vectorized (SIMD-backed) numpy."""</w:t>
      </w:r>
      <w:r>
        <w:br/>
      </w:r>
      <w:r>
        <w:rPr>
          <w:rStyle w:val="ImportTok"/>
        </w:rPr>
        <w:t xml:space="preserve">import</w:t>
      </w:r>
      <w:r>
        <w:rPr>
          <w:rStyle w:val="NormalTok"/>
        </w:rPr>
        <w:t xml:space="preserve"> time</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n </w:t>
      </w:r>
      <w:r>
        <w:rPr>
          <w:rStyle w:val="OperatorTok"/>
        </w:rPr>
        <w:t xml:space="preserve">=</w:t>
      </w:r>
      <w:r>
        <w:rPr>
          <w:rStyle w:val="NormalTok"/>
        </w:rPr>
        <w:t xml:space="preserve"> </w:t>
      </w:r>
      <w:r>
        <w:rPr>
          <w:rStyle w:val="DecValTok"/>
        </w:rPr>
        <w:t xml:space="preserve">10_000_000</w:t>
      </w:r>
      <w:r>
        <w:br/>
      </w:r>
      <w:r>
        <w:rPr>
          <w:rStyle w:val="NormalTok"/>
        </w:rPr>
        <w:t xml:space="preserve">a </w:t>
      </w:r>
      <w:r>
        <w:rPr>
          <w:rStyle w:val="OperatorTok"/>
        </w:rPr>
        <w:t xml:space="preserve">=</w:t>
      </w:r>
      <w:r>
        <w:rPr>
          <w:rStyle w:val="NormalTok"/>
        </w:rPr>
        <w:t xml:space="preserve"> np.random.rand(n).astype(np.float32)</w:t>
      </w:r>
      <w:r>
        <w:br/>
      </w:r>
      <w:r>
        <w:rPr>
          <w:rStyle w:val="NormalTok"/>
        </w:rPr>
        <w:t xml:space="preserve">b </w:t>
      </w:r>
      <w:r>
        <w:rPr>
          <w:rStyle w:val="OperatorTok"/>
        </w:rPr>
        <w:t xml:space="preserve">=</w:t>
      </w:r>
      <w:r>
        <w:rPr>
          <w:rStyle w:val="NormalTok"/>
        </w:rPr>
        <w:t xml:space="preserve"> np.random.rand(n).astype(np.float32)</w:t>
      </w:r>
      <w:r>
        <w:br/>
      </w:r>
      <w:r>
        <w:br/>
      </w:r>
      <w:r>
        <w:rPr>
          <w:rStyle w:val="NormalTok"/>
        </w:rPr>
        <w:t xml:space="preserve">t0 </w:t>
      </w:r>
      <w:r>
        <w:rPr>
          <w:rStyle w:val="OperatorTok"/>
        </w:rPr>
        <w:t xml:space="preserve">=</w:t>
      </w:r>
      <w:r>
        <w:rPr>
          <w:rStyle w:val="NormalTok"/>
        </w:rPr>
        <w:t xml:space="preserve"> time.perf_counter()</w:t>
      </w:r>
      <w:r>
        <w:br/>
      </w:r>
      <w:r>
        <w:rPr>
          <w:rStyle w:val="NormalTok"/>
        </w:rPr>
        <w:t xml:space="preserve">out </w:t>
      </w:r>
      <w:r>
        <w:rPr>
          <w:rStyle w:val="OperatorTok"/>
        </w:rPr>
        <w:t xml:space="preserve">=</w:t>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 n</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                 </w:t>
      </w:r>
      <w:r>
        <w:rPr>
          <w:rStyle w:val="CommentTok"/>
        </w:rPr>
        <w:t xml:space="preserve"># one element at a time, interpreted</w:t>
      </w:r>
      <w:r>
        <w:br/>
      </w:r>
      <w:r>
        <w:rPr>
          <w:rStyle w:val="NormalTok"/>
        </w:rPr>
        <w:t xml:space="preserve">    out[i] </w:t>
      </w:r>
      <w:r>
        <w:rPr>
          <w:rStyle w:val="OperatorTok"/>
        </w:rPr>
        <w:t xml:space="preserve">=</w:t>
      </w:r>
      <w:r>
        <w:rPr>
          <w:rStyle w:val="NormalTok"/>
        </w:rPr>
        <w:t xml:space="preserve"> a[i] </w:t>
      </w:r>
      <w:r>
        <w:rPr>
          <w:rStyle w:val="OperatorTok"/>
        </w:rPr>
        <w:t xml:space="preserve">*</w:t>
      </w:r>
      <w:r>
        <w:rPr>
          <w:rStyle w:val="NormalTok"/>
        </w:rPr>
        <w:t xml:space="preserve"> b[i] </w:t>
      </w:r>
      <w:r>
        <w:rPr>
          <w:rStyle w:val="OperatorTok"/>
        </w:rPr>
        <w:t xml:space="preserve">+</w:t>
      </w:r>
      <w:r>
        <w:rPr>
          <w:rStyle w:val="NormalTok"/>
        </w:rPr>
        <w:t xml:space="preserve"> </w:t>
      </w:r>
      <w:r>
        <w:rPr>
          <w:rStyle w:val="FloatTok"/>
        </w:rPr>
        <w:t xml:space="preserve">1.0</w:t>
      </w:r>
      <w:r>
        <w:br/>
      </w:r>
      <w:r>
        <w:rPr>
          <w:rStyle w:val="NormalTok"/>
        </w:rPr>
        <w:t xml:space="preserve">t1 </w:t>
      </w:r>
      <w:r>
        <w:rPr>
          <w:rStyle w:val="OperatorTok"/>
        </w:rPr>
        <w:t xml:space="preserve">=</w:t>
      </w:r>
      <w:r>
        <w:rPr>
          <w:rStyle w:val="NormalTok"/>
        </w:rPr>
        <w:t xml:space="preserve"> time.perf_counter()</w:t>
      </w:r>
      <w:r>
        <w:br/>
      </w:r>
      <w:r>
        <w:rPr>
          <w:rStyle w:val="NormalTok"/>
        </w:rPr>
        <w:t xml:space="preserve">c </w:t>
      </w:r>
      <w:r>
        <w:rPr>
          <w:rStyle w:val="OperatorTok"/>
        </w:rPr>
        <w:t xml:space="preserve">=</w:t>
      </w:r>
      <w:r>
        <w:rPr>
          <w:rStyle w:val="NormalTok"/>
        </w:rPr>
        <w:t xml:space="preserve"> a </w:t>
      </w:r>
      <w:r>
        <w:rPr>
          <w:rStyle w:val="OperatorTok"/>
        </w:rPr>
        <w:t xml:space="preserve">*</w:t>
      </w:r>
      <w:r>
        <w:rPr>
          <w:rStyle w:val="NormalTok"/>
        </w:rPr>
        <w:t xml:space="preserve"> b </w:t>
      </w:r>
      <w:r>
        <w:rPr>
          <w:rStyle w:val="OperatorTok"/>
        </w:rPr>
        <w:t xml:space="preserve">+</w:t>
      </w:r>
      <w:r>
        <w:rPr>
          <w:rStyle w:val="NormalTok"/>
        </w:rPr>
        <w:t xml:space="preserve"> </w:t>
      </w:r>
      <w:r>
        <w:rPr>
          <w:rStyle w:val="FloatTok"/>
        </w:rPr>
        <w:t xml:space="preserve">1.0</w:t>
      </w:r>
      <w:r>
        <w:rPr>
          <w:rStyle w:val="NormalTok"/>
        </w:rPr>
        <w:t xml:space="preserve">                    </w:t>
      </w:r>
      <w:r>
        <w:rPr>
          <w:rStyle w:val="CommentTok"/>
        </w:rPr>
        <w:t xml:space="preserve"># whole-array ops in compiled, SIMD loops</w:t>
      </w:r>
      <w:r>
        <w:br/>
      </w:r>
      <w:r>
        <w:rPr>
          <w:rStyle w:val="NormalTok"/>
        </w:rPr>
        <w:t xml:space="preserve">t2 </w:t>
      </w:r>
      <w:r>
        <w:rPr>
          <w:rStyle w:val="OperatorTok"/>
        </w:rPr>
        <w:t xml:space="preserve">=</w:t>
      </w:r>
      <w:r>
        <w:rPr>
          <w:rStyle w:val="NormalTok"/>
        </w:rPr>
        <w:t xml:space="preserve"> time.perf_counter()</w:t>
      </w:r>
      <w:r>
        <w:br/>
      </w:r>
      <w:r>
        <w:br/>
      </w:r>
      <w:r>
        <w:rPr>
          <w:rStyle w:val="BuiltInTok"/>
        </w:rPr>
        <w:t xml:space="preserve">print</w:t>
      </w:r>
      <w:r>
        <w:rPr>
          <w:rStyle w:val="NormalTok"/>
        </w:rPr>
        <w:t xml:space="preserve">(</w:t>
      </w:r>
      <w:r>
        <w:rPr>
          <w:rStyle w:val="SpecialStringTok"/>
        </w:rPr>
        <w:t xml:space="preserve">f"python loop: </w:t>
      </w:r>
      <w:r>
        <w:rPr>
          <w:rStyle w:val="SpecialCharTok"/>
        </w:rPr>
        <w:t xml:space="preserve">{</w:t>
      </w:r>
      <w:r>
        <w:rPr>
          <w:rStyle w:val="NormalTok"/>
        </w:rPr>
        <w:t xml:space="preserve">t1 </w:t>
      </w:r>
      <w:r>
        <w:rPr>
          <w:rStyle w:val="OperatorTok"/>
        </w:rPr>
        <w:t xml:space="preserve">-</w:t>
      </w:r>
      <w:r>
        <w:rPr>
          <w:rStyle w:val="NormalTok"/>
        </w:rPr>
        <w:t xml:space="preserve"> t0</w:t>
      </w:r>
      <w:r>
        <w:rPr>
          <w:rStyle w:val="SpecialCharTok"/>
        </w:rPr>
        <w:t xml:space="preserve">:.2f}</w:t>
      </w:r>
      <w:r>
        <w:rPr>
          <w:rStyle w:val="SpecialStringTok"/>
        </w:rPr>
        <w:t xml:space="preserve"> s"</w:t>
      </w:r>
      <w:r>
        <w:rPr>
          <w:rStyle w:val="NormalTok"/>
        </w:rPr>
        <w:t xml:space="preserve">)</w:t>
      </w:r>
      <w:r>
        <w:br/>
      </w:r>
      <w:r>
        <w:rPr>
          <w:rStyle w:val="BuiltInTok"/>
        </w:rPr>
        <w:t xml:space="preserve">print</w:t>
      </w:r>
      <w:r>
        <w:rPr>
          <w:rStyle w:val="NormalTok"/>
        </w:rPr>
        <w:t xml:space="preserve">(</w:t>
      </w:r>
      <w:r>
        <w:rPr>
          <w:rStyle w:val="SpecialStringTok"/>
        </w:rPr>
        <w:t xml:space="preserve">f"numpy:       </w:t>
      </w:r>
      <w:r>
        <w:rPr>
          <w:rStyle w:val="SpecialCharTok"/>
        </w:rPr>
        <w:t xml:space="preserve">{</w:t>
      </w:r>
      <w:r>
        <w:rPr>
          <w:rStyle w:val="NormalTok"/>
        </w:rPr>
        <w:t xml:space="preserve">t2 </w:t>
      </w:r>
      <w:r>
        <w:rPr>
          <w:rStyle w:val="OperatorTok"/>
        </w:rPr>
        <w:t xml:space="preserve">-</w:t>
      </w:r>
      <w:r>
        <w:rPr>
          <w:rStyle w:val="NormalTok"/>
        </w:rPr>
        <w:t xml:space="preserve"> t1</w:t>
      </w:r>
      <w:r>
        <w:rPr>
          <w:rStyle w:val="SpecialCharTok"/>
        </w:rPr>
        <w:t xml:space="preserve">:.4f}</w:t>
      </w:r>
      <w:r>
        <w:rPr>
          <w:rStyle w:val="SpecialStringTok"/>
        </w:rPr>
        <w:t xml:space="preserve"> s  (</w:t>
      </w:r>
      <w:r>
        <w:rPr>
          <w:rStyle w:val="SpecialCharTok"/>
        </w:rPr>
        <w:t xml:space="preserve">{</w:t>
      </w:r>
      <w:r>
        <w:rPr>
          <w:rStyle w:val="NormalTok"/>
        </w:rPr>
        <w:t xml:space="preserve">(t1 </w:t>
      </w:r>
      <w:r>
        <w:rPr>
          <w:rStyle w:val="OperatorTok"/>
        </w:rPr>
        <w:t xml:space="preserve">-</w:t>
      </w:r>
      <w:r>
        <w:rPr>
          <w:rStyle w:val="NormalTok"/>
        </w:rPr>
        <w:t xml:space="preserve"> t0) </w:t>
      </w:r>
      <w:r>
        <w:rPr>
          <w:rStyle w:val="OperatorTok"/>
        </w:rPr>
        <w:t xml:space="preserve">/</w:t>
      </w:r>
      <w:r>
        <w:rPr>
          <w:rStyle w:val="NormalTok"/>
        </w:rPr>
        <w:t xml:space="preserve"> (t2 </w:t>
      </w:r>
      <w:r>
        <w:rPr>
          <w:rStyle w:val="OperatorTok"/>
        </w:rPr>
        <w:t xml:space="preserve">-</w:t>
      </w:r>
      <w:r>
        <w:rPr>
          <w:rStyle w:val="NormalTok"/>
        </w:rPr>
        <w:t xml:space="preserve"> t1)</w:t>
      </w:r>
      <w:r>
        <w:rPr>
          <w:rStyle w:val="SpecialCharTok"/>
        </w:rPr>
        <w:t xml:space="preserve">:.0f}</w:t>
      </w:r>
      <w:r>
        <w:rPr>
          <w:rStyle w:val="SpecialStringTok"/>
        </w:rPr>
        <w:t xml:space="preserve">x faster)"</w:t>
      </w:r>
      <w:r>
        <w:rPr>
          <w:rStyle w:val="NormalTok"/>
        </w:rPr>
        <w:t xml:space="preserve">)</w:t>
      </w:r>
    </w:p>
    <w:p>
      <w:pPr>
        <w:pStyle w:val="FirstParagraph"/>
      </w:pPr>
      <w:r>
        <w:t xml:space="preserve">What to notice:</w:t>
      </w:r>
    </w:p>
    <w:p>
      <w:pPr>
        <w:numPr>
          <w:ilvl w:val="0"/>
          <w:numId w:val="1161"/>
        </w:numPr>
        <w:pStyle w:val="Compact"/>
      </w:pPr>
      <w:r>
        <w:t xml:space="preserve">Both versions compute the same 10 million results.</w:t>
      </w:r>
    </w:p>
    <w:p>
      <w:pPr>
        <w:numPr>
          <w:ilvl w:val="0"/>
          <w:numId w:val="1161"/>
        </w:numPr>
        <w:pStyle w:val="Compact"/>
      </w:pPr>
      <w:r>
        <w:t xml:space="preserve">The speed-up (about 20× on the test VM in 2026; often larger) comes from two sources: removing the interpreter’s per-element overhead, and SIMD in numpy’s compiled loops. Do not attribute it all to SIMD.</w:t>
      </w:r>
    </w:p>
    <w:p>
      <w:pPr>
        <w:numPr>
          <w:ilvl w:val="0"/>
          <w:numId w:val="1161"/>
        </w:numPr>
        <w:pStyle w:val="Compact"/>
      </w:pPr>
      <w:r>
        <w:rPr>
          <w:rStyle w:val="VerbatimChar"/>
        </w:rPr>
        <w:t xml:space="preserve">a * b + 1.0</w:t>
      </w:r>
      <w:r>
        <w:t xml:space="preserve"> </w:t>
      </w:r>
      <w:r>
        <w:t xml:space="preserve">makes two passes over memory and allocates a temporary array; at this size the vectorized version is limited by memory bandwidth (§5.9), not arithmetic.</w:t>
      </w:r>
    </w:p>
    <w:bookmarkEnd w:id="542"/>
    <w:bookmarkStart w:id="543" w:name="accelerators"/>
    <w:p>
      <w:pPr>
        <w:pStyle w:val="Heading3"/>
      </w:pPr>
      <w:r>
        <w:t xml:space="preserve">5.11.2 Accelerators</w:t>
      </w:r>
    </w:p>
    <w:p>
      <w:pPr>
        <w:pStyle w:val="FirstParagraph"/>
      </w:pPr>
      <w:r>
        <w:t xml:space="preserve">When one kind of computation dominates a workload, it can pay to build or buy hardware specialized for it:</w:t>
      </w:r>
    </w:p>
    <w:p>
      <w:pPr>
        <w:numPr>
          <w:ilvl w:val="0"/>
          <w:numId w:val="1162"/>
        </w:numPr>
        <w:pStyle w:val="Compact"/>
      </w:pPr>
      <w:r>
        <w:rPr>
          <w:bCs/>
          <w:b/>
        </w:rPr>
        <w:t xml:space="preserve">GPUs</w:t>
      </w:r>
      <w:r>
        <w:t xml:space="preserve"> </w:t>
      </w:r>
      <w:r>
        <w:t xml:space="preserve">— thousands of simple arithmetic lanes and very high-bandwidth memory (HBM), designed for massively parallel, regular computation. They dominate ML training and inference. Chapter 64 covers their architecture, the roofline model [Williams et al. 2009] and the compute-bound versus memory-bound distinction in depth.</w:t>
      </w:r>
    </w:p>
    <w:p>
      <w:pPr>
        <w:numPr>
          <w:ilvl w:val="0"/>
          <w:numId w:val="1162"/>
        </w:numPr>
        <w:pStyle w:val="Compact"/>
      </w:pPr>
      <w:r>
        <w:rPr>
          <w:bCs/>
          <w:b/>
        </w:rPr>
        <w:t xml:space="preserve">TPUs and other ML ASICs</w:t>
      </w:r>
      <w:r>
        <w:t xml:space="preserve"> </w:t>
      </w:r>
      <w:r>
        <w:t xml:space="preserve">— chips built around large matrix-multiply units [Jouppi et al. 2017].</w:t>
      </w:r>
    </w:p>
    <w:p>
      <w:pPr>
        <w:numPr>
          <w:ilvl w:val="0"/>
          <w:numId w:val="1162"/>
        </w:numPr>
        <w:pStyle w:val="Compact"/>
      </w:pPr>
      <w:r>
        <w:rPr>
          <w:bCs/>
          <w:b/>
        </w:rPr>
        <w:t xml:space="preserve">Fixed-function units inside the CPU</w:t>
      </w:r>
      <w:r>
        <w:t xml:space="preserve"> </w:t>
      </w:r>
      <w:r>
        <w:t xml:space="preserve">— AES and SHA instructions make TLS encryption cheap; compression and cryptography offload engines exist on some server CPUs and NICs.</w:t>
      </w:r>
    </w:p>
    <w:p>
      <w:pPr>
        <w:numPr>
          <w:ilvl w:val="0"/>
          <w:numId w:val="1162"/>
        </w:numPr>
        <w:pStyle w:val="Compact"/>
      </w:pPr>
      <w:r>
        <w:rPr>
          <w:bCs/>
          <w:b/>
        </w:rPr>
        <w:t xml:space="preserve">SmartNICs / DPUs and FPGAs</w:t>
      </w:r>
      <w:r>
        <w:t xml:space="preserve"> </w:t>
      </w:r>
      <w:r>
        <w:t xml:space="preserve">— network cards with programmable processors that offload packet processing, storage virtualization or encryption from the host CPU.</w:t>
      </w:r>
    </w:p>
    <w:p>
      <w:pPr>
        <w:pStyle w:val="FirstParagraph"/>
      </w:pPr>
      <w:r>
        <w:t xml:space="preserve">The design question is always whether the workload is large and regular enough to justify specialized hardware, and whether data can reach it fast enough — an accelerator starved by PCIe or by CPU-side data preparation delivers a fraction of its rated speed.</w:t>
      </w:r>
    </w:p>
    <w:bookmarkEnd w:id="543"/>
    <w:bookmarkEnd w:id="544"/>
    <w:bookmarkStart w:id="550" w:name="X0e4a6bde4bb534780ce273570dd784967482226"/>
    <w:p>
      <w:pPr>
        <w:pStyle w:val="Heading2"/>
      </w:pPr>
      <w:r>
        <w:t xml:space="preserve">5.12 Throughput versus latency at the hardware level</w:t>
      </w:r>
    </w:p>
    <w:bookmarkStart w:id="545" w:name="the-pattern-underneath-everything"/>
    <w:p>
      <w:pPr>
        <w:pStyle w:val="Heading3"/>
      </w:pPr>
      <w:r>
        <w:t xml:space="preserve">5.12.1 The pattern underneath everything</w:t>
      </w:r>
    </w:p>
    <w:p>
      <w:pPr>
        <w:pStyle w:val="FirstParagraph"/>
      </w:pPr>
      <w:r>
        <w:t xml:space="preserve">Every component in this chapter shows the same trade-off. A</w:t>
      </w:r>
      <w:r>
        <w:t xml:space="preserve"> </w:t>
      </w:r>
      <w:r>
        <w:rPr>
          <w:bCs/>
          <w:b/>
        </w:rPr>
        <w:t xml:space="preserve">pipeline</w:t>
      </w:r>
      <w:r>
        <w:t xml:space="preserve"> </w:t>
      </w:r>
      <w:r>
        <w:t xml:space="preserve">raises instruction throughput without shortening any instruction.</w:t>
      </w:r>
      <w:r>
        <w:t xml:space="preserve"> </w:t>
      </w:r>
      <w:r>
        <w:rPr>
          <w:bCs/>
          <w:b/>
        </w:rPr>
        <w:t xml:space="preserve">Out-of-order</w:t>
      </w:r>
      <w:r>
        <w:t xml:space="preserve"> </w:t>
      </w:r>
      <w:r>
        <w:t xml:space="preserve">cores and</w:t>
      </w:r>
      <w:r>
        <w:t xml:space="preserve"> </w:t>
      </w:r>
      <w:r>
        <w:rPr>
          <w:bCs/>
          <w:b/>
        </w:rPr>
        <w:t xml:space="preserve">memory-level parallelism</w:t>
      </w:r>
      <w:r>
        <w:t xml:space="preserve"> </w:t>
      </w:r>
      <w:r>
        <w:t xml:space="preserve">raise memory throughput by keeping many misses in flight.</w:t>
      </w:r>
      <w:r>
        <w:t xml:space="preserve"> </w:t>
      </w:r>
      <w:r>
        <w:rPr>
          <w:bCs/>
          <w:b/>
        </w:rPr>
        <w:t xml:space="preserve">NVMe queues</w:t>
      </w:r>
      <w:r>
        <w:t xml:space="preserve"> </w:t>
      </w:r>
      <w:r>
        <w:t xml:space="preserve">raise IOPS by keeping dozens of requests outstanding.</w:t>
      </w:r>
      <w:r>
        <w:t xml:space="preserve"> </w:t>
      </w:r>
      <w:r>
        <w:rPr>
          <w:bCs/>
          <w:b/>
        </w:rPr>
        <w:t xml:space="preserve">Interrupt coalescing</w:t>
      </w:r>
      <w:r>
        <w:t xml:space="preserve"> </w:t>
      </w:r>
      <w:r>
        <w:t xml:space="preserve">raises packet throughput by delaying notifications. In each case Little’s Law (</w:t>
      </w:r>
      <m:oMath>
        <m:r>
          <m:t>L</m:t>
        </m:r>
        <m:r>
          <m:rPr>
            <m:sty m:val="p"/>
          </m:rPr>
          <m:t>=</m:t>
        </m:r>
        <m:r>
          <m:t>λ</m:t>
        </m:r>
        <m:r>
          <m:t>W</m:t>
        </m:r>
      </m:oMath>
      <w:r>
        <w:t xml:space="preserve">, §4.11) holds: to get throughput</w:t>
      </w:r>
      <w:r>
        <w:t xml:space="preserve"> </w:t>
      </w:r>
      <m:oMath>
        <m:r>
          <m:t>λ</m:t>
        </m:r>
      </m:oMath>
      <w:r>
        <w:t xml:space="preserve"> </w:t>
      </w:r>
      <w:r>
        <w:t xml:space="preserve">from a resource with latency</w:t>
      </w:r>
      <w:r>
        <w:t xml:space="preserve"> </w:t>
      </w:r>
      <m:oMath>
        <m:r>
          <m:t>W</m:t>
        </m:r>
      </m:oMath>
      <w:r>
        <w:t xml:space="preserve">, you need</w:t>
      </w:r>
      <w:r>
        <w:t xml:space="preserve"> </w:t>
      </w:r>
      <m:oMath>
        <m:r>
          <m:t>L</m:t>
        </m:r>
        <m:r>
          <m:rPr>
            <m:sty m:val="p"/>
          </m:rPr>
          <m:t>=</m:t>
        </m:r>
        <m:r>
          <m:t>λ</m:t>
        </m:r>
        <m:r>
          <m:t>W</m:t>
        </m:r>
      </m:oMath>
      <w:r>
        <w:t xml:space="preserve"> </w:t>
      </w:r>
      <w:r>
        <w:t xml:space="preserve">operations in flight. Latency is mostly fixed by physics; throughput is bought with parallelism and batching.</w:t>
      </w:r>
    </w:p>
    <w:p>
      <w:pPr>
        <w:pStyle w:val="CalloutFormula"/>
      </w:pPr>
      <w:r>
        <w:rPr>
          <w:bCs/>
          <w:b/>
        </w:rPr>
        <w:t xml:space="preserve">FORMULA</w:t>
      </w:r>
    </w:p>
    <w:p>
      <w:pPr>
        <w:pStyle w:val="CalloutFormula"/>
      </w:pPr>
      <w:r>
        <w:rPr>
          <w:bCs/>
          <w:b/>
        </w:rPr>
        <w:t xml:space="preserve">Throughput with batching (fixed plus per-item cost)</w:t>
      </w:r>
    </w:p>
    <w:p>
      <w:pPr>
        <w:pStyle w:val="CalloutFormula"/>
      </w:pPr>
      <m:oMathPara>
        <m:oMathParaPr>
          <m:jc m:val="center"/>
        </m:oMathParaPr>
        <m:oMath>
          <m:r>
            <m:t>X</m:t>
          </m:r>
          <m:d>
            <m:dPr>
              <m:begChr m:val="("/>
              <m:endChr m:val=")"/>
              <m:sepChr m:val=""/>
              <m:grow/>
            </m:dPr>
            <m:e>
              <m:r>
                <m:t>B</m:t>
              </m:r>
            </m:e>
          </m:d>
          <m:r>
            <m:rPr>
              <m:sty m:val="p"/>
            </m:rPr>
            <m:t>=</m:t>
          </m:r>
          <m:f>
            <m:fPr>
              <m:type m:val="bar"/>
            </m:fPr>
            <m:num>
              <m:r>
                <m:t>B</m:t>
              </m:r>
            </m:num>
            <m:den>
              <m:r>
                <m:t>F</m:t>
              </m:r>
              <m:r>
                <m:rPr>
                  <m:sty m:val="p"/>
                </m:rPr>
                <m:t>+</m:t>
              </m:r>
              <m:r>
                <m:t>B</m:t>
              </m:r>
              <m:r>
                <m:rPr>
                  <m:sty m:val="p"/>
                </m:rPr>
                <m:t>×</m:t>
              </m:r>
              <m:r>
                <m:t>v</m:t>
              </m:r>
            </m:den>
          </m:f>
          <m:r>
            <m:rPr>
              <m:sty m:val="p"/>
            </m:rPr>
            <m:t>,</m:t>
          </m:r>
          <m:r>
            <m:t>  </m:t>
          </m:r>
          <m:sSub>
            <m:e>
              <m:r>
                <m:t>T</m:t>
              </m:r>
            </m:e>
            <m:sub>
              <m:r>
                <m:t>b</m:t>
              </m:r>
              <m:r>
                <m:t>a</m:t>
              </m:r>
              <m:r>
                <m:t>t</m:t>
              </m:r>
              <m:r>
                <m:t>c</m:t>
              </m:r>
              <m:r>
                <m:t>h</m:t>
              </m:r>
            </m:sub>
          </m:sSub>
          <m:d>
            <m:dPr>
              <m:begChr m:val="("/>
              <m:endChr m:val=")"/>
              <m:sepChr m:val=""/>
              <m:grow/>
            </m:dPr>
            <m:e>
              <m:r>
                <m:t>B</m:t>
              </m:r>
            </m:e>
          </m:d>
          <m:r>
            <m:rPr>
              <m:sty m:val="p"/>
            </m:rPr>
            <m:t>=</m:t>
          </m:r>
          <m:r>
            <m:t>F</m:t>
          </m:r>
          <m:r>
            <m:rPr>
              <m:sty m:val="p"/>
            </m:rPr>
            <m:t>+</m:t>
          </m:r>
          <m:r>
            <m:t>B</m:t>
          </m:r>
          <m:r>
            <m:rPr>
              <m:sty m:val="p"/>
            </m:rPr>
            <m:t>×</m:t>
          </m:r>
          <m:r>
            <m:t>v</m:t>
          </m:r>
          <m:r>
            <m:rPr>
              <m:sty m:val="p"/>
            </m:rPr>
            <m:t>,</m:t>
          </m:r>
          <m:r>
            <m:t>  </m:t>
          </m:r>
          <m:sSub>
            <m:e>
              <m:r>
                <m:t>X</m:t>
              </m:r>
            </m:e>
            <m:sub>
              <m:r>
                <m:t>m</m:t>
              </m:r>
              <m:r>
                <m:t>a</m:t>
              </m:r>
              <m:r>
                <m:t>x</m:t>
              </m:r>
            </m:sub>
          </m:sSub>
          <m:r>
            <m:rPr>
              <m:sty m:val="p"/>
            </m:rPr>
            <m:t>=</m:t>
          </m:r>
          <m:f>
            <m:fPr>
              <m:type m:val="bar"/>
            </m:fPr>
            <m:num>
              <m:r>
                <m:t>1</m:t>
              </m:r>
            </m:num>
            <m:den>
              <m:r>
                <m:t>v</m:t>
              </m:r>
            </m:den>
          </m:f>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B</m:t>
              </m:r>
            </m:oMath>
          </w:p>
        </w:tc>
        <w:tc>
          <w:tcPr/>
          <w:p>
            <w:pPr>
              <w:pStyle w:val="Compact"/>
              <w:jc w:val="left"/>
            </w:pPr>
            <w:r>
              <w:t xml:space="preserve">Items per batch</w:t>
            </w:r>
          </w:p>
        </w:tc>
        <w:tc>
          <w:tcPr/>
          <w:p>
            <w:pPr>
              <w:pStyle w:val="Compact"/>
              <w:jc w:val="left"/>
            </w:pPr>
            <w:r>
              <w:t xml:space="preserve">items</w:t>
            </w:r>
          </w:p>
        </w:tc>
      </w:tr>
      <w:tr>
        <w:tc>
          <w:tcPr/>
          <w:p>
            <w:pPr>
              <w:pStyle w:val="Compact"/>
              <w:jc w:val="left"/>
            </w:pPr>
            <m:oMath>
              <m:r>
                <m:t>F</m:t>
              </m:r>
            </m:oMath>
          </w:p>
        </w:tc>
        <w:tc>
          <w:tcPr/>
          <w:p>
            <w:pPr>
              <w:pStyle w:val="Compact"/>
              <w:jc w:val="left"/>
            </w:pPr>
            <w:r>
              <w:t xml:space="preserve">Fixed cost per operation (system call, device round trip, interrupt, network RTT)</w:t>
            </w:r>
          </w:p>
        </w:tc>
        <w:tc>
          <w:tcPr/>
          <w:p>
            <w:pPr>
              <w:pStyle w:val="Compact"/>
              <w:jc w:val="left"/>
            </w:pPr>
            <w:r>
              <w:t xml:space="preserve">seconds</w:t>
            </w:r>
          </w:p>
        </w:tc>
      </w:tr>
      <w:tr>
        <w:tc>
          <w:tcPr/>
          <w:p>
            <w:pPr>
              <w:pStyle w:val="Compact"/>
              <w:jc w:val="left"/>
            </w:pPr>
            <m:oMath>
              <m:r>
                <m:t>v</m:t>
              </m:r>
            </m:oMath>
          </w:p>
        </w:tc>
        <w:tc>
          <w:tcPr/>
          <w:p>
            <w:pPr>
              <w:pStyle w:val="Compact"/>
              <w:jc w:val="left"/>
            </w:pPr>
            <w:r>
              <w:t xml:space="preserve">Variable cost per item</w:t>
            </w:r>
          </w:p>
        </w:tc>
        <w:tc>
          <w:tcPr/>
          <w:p>
            <w:pPr>
              <w:pStyle w:val="Compact"/>
              <w:jc w:val="left"/>
            </w:pPr>
            <w:r>
              <w:t xml:space="preserve">seconds/item</w:t>
            </w:r>
          </w:p>
        </w:tc>
      </w:tr>
      <w:tr>
        <w:tc>
          <w:tcPr/>
          <w:p>
            <w:pPr>
              <w:pStyle w:val="Compact"/>
              <w:jc w:val="left"/>
            </w:pPr>
            <m:oMath>
              <m:r>
                <m:t>X</m:t>
              </m:r>
              <m:d>
                <m:dPr>
                  <m:begChr m:val="("/>
                  <m:endChr m:val=")"/>
                  <m:sepChr m:val=""/>
                  <m:grow/>
                </m:dPr>
                <m:e>
                  <m:r>
                    <m:t>B</m:t>
                  </m:r>
                </m:e>
              </m:d>
            </m:oMath>
          </w:p>
        </w:tc>
        <w:tc>
          <w:tcPr/>
          <w:p>
            <w:pPr>
              <w:pStyle w:val="Compact"/>
              <w:jc w:val="left"/>
            </w:pPr>
            <w:r>
              <w:t xml:space="preserve">Throughput at batch size</w:t>
            </w:r>
            <w:r>
              <w:t xml:space="preserve"> </w:t>
            </w:r>
            <m:oMath>
              <m:r>
                <m:t>B</m:t>
              </m:r>
            </m:oMath>
          </w:p>
        </w:tc>
        <w:tc>
          <w:tcPr/>
          <w:p>
            <w:pPr>
              <w:pStyle w:val="Compact"/>
              <w:jc w:val="left"/>
            </w:pPr>
            <w:r>
              <w:t xml:space="preserve">items/second</w:t>
            </w:r>
          </w:p>
        </w:tc>
      </w:tr>
      <w:tr>
        <w:tc>
          <w:tcPr/>
          <w:p>
            <w:pPr>
              <w:pStyle w:val="Compact"/>
              <w:jc w:val="left"/>
            </w:pPr>
            <m:oMath>
              <m:sSub>
                <m:e>
                  <m:r>
                    <m:t>T</m:t>
                  </m:r>
                </m:e>
                <m:sub>
                  <m:r>
                    <m:t>b</m:t>
                  </m:r>
                  <m:r>
                    <m:t>a</m:t>
                  </m:r>
                  <m:r>
                    <m:t>t</m:t>
                  </m:r>
                  <m:r>
                    <m:t>c</m:t>
                  </m:r>
                  <m:r>
                    <m:t>h</m:t>
                  </m:r>
                </m:sub>
              </m:sSub>
              <m:d>
                <m:dPr>
                  <m:begChr m:val="("/>
                  <m:endChr m:val=")"/>
                  <m:sepChr m:val=""/>
                  <m:grow/>
                </m:dPr>
                <m:e>
                  <m:r>
                    <m:t>B</m:t>
                  </m:r>
                </m:e>
              </m:d>
            </m:oMath>
          </w:p>
        </w:tc>
        <w:tc>
          <w:tcPr/>
          <w:p>
            <w:pPr>
              <w:pStyle w:val="Compact"/>
              <w:jc w:val="left"/>
            </w:pPr>
            <w:r>
              <w:t xml:space="preserve">Time to complete one batch</w:t>
            </w:r>
          </w:p>
        </w:tc>
        <w:tc>
          <w:tcPr/>
          <w:p>
            <w:pPr>
              <w:pStyle w:val="Compact"/>
              <w:jc w:val="left"/>
            </w:pPr>
            <w:r>
              <w:t xml:space="preserve">seconds</w:t>
            </w:r>
          </w:p>
        </w:tc>
      </w:tr>
    </w:tbl>
    <w:p>
      <w:pPr>
        <w:pStyle w:val="CalloutExample"/>
      </w:pPr>
      <w:r>
        <w:rPr>
          <w:bCs/>
          <w:b/>
        </w:rPr>
        <w:t xml:space="preserve">WORKED EXAMPLE</w:t>
      </w:r>
    </w:p>
    <w:p>
      <w:pPr>
        <w:pStyle w:val="CalloutExample"/>
      </w:pPr>
      <w:r>
        <w:rPr>
          <w:bCs/>
          <w:b/>
        </w:rPr>
        <w:t xml:space="preserve">Worked example — Batching small writes.</w:t>
      </w:r>
    </w:p>
    <w:p>
      <w:pPr>
        <w:pStyle w:val="CalloutExample"/>
      </w:pPr>
      <w:r>
        <w:t xml:space="preserve">Writing 100-byte records to a log, each write call has fixed cost</w:t>
      </w:r>
      <w:r>
        <w:t xml:space="preserve"> </w:t>
      </w:r>
      <m:oMath>
        <m:r>
          <m:t>F</m:t>
        </m:r>
        <m:r>
          <m:rPr>
            <m:sty m:val="p"/>
          </m:rPr>
          <m:t>=</m:t>
        </m:r>
        <m:r>
          <m:t>50</m:t>
        </m:r>
      </m:oMath>
      <w:r>
        <w:t xml:space="preserve"> </w:t>
      </w:r>
      <w:r>
        <w:t xml:space="preserve">µs and per-record cost</w:t>
      </w:r>
      <w:r>
        <w:t xml:space="preserve"> </w:t>
      </w:r>
      <m:oMath>
        <m:r>
          <m:t>v</m:t>
        </m:r>
        <m:r>
          <m:rPr>
            <m:sty m:val="p"/>
          </m:rPr>
          <m:t>=</m:t>
        </m:r>
        <m:r>
          <m:t>0.1</m:t>
        </m:r>
      </m:oMath>
      <w:r>
        <w:t xml:space="preserve"> </w:t>
      </w:r>
      <w:r>
        <w:t xml:space="preserve">µs.</w:t>
      </w:r>
    </w:p>
    <w:p>
      <w:pPr>
        <w:numPr>
          <w:ilvl w:val="0"/>
          <w:numId w:val="1163"/>
        </w:numPr>
        <w:pStyle w:val="Compact"/>
      </w:pPr>
      <m:oMath>
        <m:r>
          <m:t>B</m:t>
        </m:r>
        <m:r>
          <m:rPr>
            <m:sty m:val="p"/>
          </m:rPr>
          <m:t>=</m:t>
        </m:r>
        <m:r>
          <m:t>1</m:t>
        </m:r>
      </m:oMath>
      <w:r>
        <w:t xml:space="preserve">:</w:t>
      </w:r>
      <w:r>
        <w:t xml:space="preserve"> </w:t>
      </w:r>
      <m:oMath>
        <m:r>
          <m:t>X</m:t>
        </m:r>
        <m:r>
          <m:rPr>
            <m:sty m:val="p"/>
          </m:rPr>
          <m:t>=</m:t>
        </m:r>
        <m:r>
          <m:t>1</m:t>
        </m:r>
        <m:r>
          <m:rPr>
            <m:sty m:val="p"/>
          </m:rPr>
          <m:t>/</m:t>
        </m:r>
        <m:r>
          <m:t>50.1</m:t>
        </m:r>
        <m:r>
          <m:rPr>
            <m:nor/>
            <m:sty m:val="p"/>
          </m:rPr>
          <m:t> µs</m:t>
        </m:r>
        <m:r>
          <m:rPr>
            <m:sty m:val="p"/>
          </m:rPr>
          <m:t>≈</m:t>
        </m:r>
        <m:r>
          <m:t>19</m:t>
        </m:r>
        <m:r>
          <m:t> </m:t>
        </m:r>
        <m:r>
          <m:t>960</m:t>
        </m:r>
      </m:oMath>
      <w:r>
        <w:t xml:space="preserve"> </w:t>
      </w:r>
      <w:r>
        <w:t xml:space="preserve">records/s; each write completes in 50.1 µs.</w:t>
      </w:r>
    </w:p>
    <w:p>
      <w:pPr>
        <w:numPr>
          <w:ilvl w:val="0"/>
          <w:numId w:val="1163"/>
        </w:numPr>
        <w:pStyle w:val="Compact"/>
      </w:pPr>
      <m:oMath>
        <m:r>
          <m:t>B</m:t>
        </m:r>
        <m:r>
          <m:rPr>
            <m:sty m:val="p"/>
          </m:rPr>
          <m:t>=</m:t>
        </m:r>
        <m:r>
          <m:t>100</m:t>
        </m:r>
      </m:oMath>
      <w:r>
        <w:t xml:space="preserve">:</w:t>
      </w:r>
      <w:r>
        <w:t xml:space="preserve"> </w:t>
      </w:r>
      <m:oMath>
        <m:r>
          <m:t>T</m:t>
        </m:r>
        <m:r>
          <m:rPr>
            <m:sty m:val="p"/>
          </m:rPr>
          <m:t>=</m:t>
        </m:r>
        <m:r>
          <m:t>50</m:t>
        </m:r>
        <m:r>
          <m:rPr>
            <m:sty m:val="p"/>
          </m:rPr>
          <m:t>+</m:t>
        </m:r>
        <m:r>
          <m:t>100</m:t>
        </m:r>
        <m:r>
          <m:rPr>
            <m:sty m:val="p"/>
          </m:rPr>
          <m:t>×</m:t>
        </m:r>
        <m:r>
          <m:t>0.1</m:t>
        </m:r>
        <m:r>
          <m:rPr>
            <m:sty m:val="p"/>
          </m:rPr>
          <m:t>=</m:t>
        </m:r>
        <m:r>
          <m:t>60</m:t>
        </m:r>
      </m:oMath>
      <w:r>
        <w:t xml:space="preserve"> </w:t>
      </w:r>
      <w:r>
        <w:t xml:space="preserve">µs;</w:t>
      </w:r>
      <w:r>
        <w:t xml:space="preserve"> </w:t>
      </w:r>
      <m:oMath>
        <m:r>
          <m:t>X</m:t>
        </m:r>
        <m:r>
          <m:rPr>
            <m:sty m:val="p"/>
          </m:rPr>
          <m:t>=</m:t>
        </m:r>
        <m:r>
          <m:t>100</m:t>
        </m:r>
        <m:r>
          <m:rPr>
            <m:sty m:val="p"/>
          </m:rPr>
          <m:t>/</m:t>
        </m:r>
        <m:r>
          <m:t>60</m:t>
        </m:r>
        <m:r>
          <m:rPr>
            <m:nor/>
            <m:sty m:val="p"/>
          </m:rPr>
          <m:t> µs</m:t>
        </m:r>
        <m:r>
          <m:rPr>
            <m:sty m:val="p"/>
          </m:rPr>
          <m:t>≈</m:t>
        </m:r>
        <m:r>
          <m:t>1.67</m:t>
        </m:r>
      </m:oMath>
      <w:r>
        <w:t xml:space="preserve"> </w:t>
      </w:r>
      <w:r>
        <w:t xml:space="preserve">million records/s.</w:t>
      </w:r>
    </w:p>
    <w:p>
      <w:pPr>
        <w:numPr>
          <w:ilvl w:val="0"/>
          <w:numId w:val="1163"/>
        </w:numPr>
        <w:pStyle w:val="Compact"/>
      </w:pPr>
      <m:oMath>
        <m:r>
          <m:t>B</m:t>
        </m:r>
        <m:r>
          <m:rPr>
            <m:sty m:val="p"/>
          </m:rPr>
          <m:t>=</m:t>
        </m:r>
        <m:r>
          <m:t>1000</m:t>
        </m:r>
      </m:oMath>
      <w:r>
        <w:t xml:space="preserve">:</w:t>
      </w:r>
      <w:r>
        <w:t xml:space="preserve"> </w:t>
      </w:r>
      <m:oMath>
        <m:r>
          <m:t>T</m:t>
        </m:r>
        <m:r>
          <m:rPr>
            <m:sty m:val="p"/>
          </m:rPr>
          <m:t>=</m:t>
        </m:r>
        <m:r>
          <m:t>50</m:t>
        </m:r>
        <m:r>
          <m:rPr>
            <m:sty m:val="p"/>
          </m:rPr>
          <m:t>+</m:t>
        </m:r>
        <m:r>
          <m:t>100</m:t>
        </m:r>
        <m:r>
          <m:rPr>
            <m:sty m:val="p"/>
          </m:rPr>
          <m:t>=</m:t>
        </m:r>
        <m:r>
          <m:t>150</m:t>
        </m:r>
      </m:oMath>
      <w:r>
        <w:t xml:space="preserve"> </w:t>
      </w:r>
      <w:r>
        <w:t xml:space="preserve">µs;</w:t>
      </w:r>
      <w:r>
        <w:t xml:space="preserve"> </w:t>
      </w:r>
      <m:oMath>
        <m:r>
          <m:t>X</m:t>
        </m:r>
        <m:r>
          <m:rPr>
            <m:sty m:val="p"/>
          </m:rPr>
          <m:t>=</m:t>
        </m:r>
        <m:r>
          <m:t>1000</m:t>
        </m:r>
        <m:r>
          <m:rPr>
            <m:sty m:val="p"/>
          </m:rPr>
          <m:t>/</m:t>
        </m:r>
        <m:r>
          <m:t>150</m:t>
        </m:r>
        <m:r>
          <m:rPr>
            <m:nor/>
            <m:sty m:val="p"/>
          </m:rPr>
          <m:t> µs</m:t>
        </m:r>
        <m:r>
          <m:rPr>
            <m:sty m:val="p"/>
          </m:rPr>
          <m:t>≈</m:t>
        </m:r>
        <m:r>
          <m:t>6.67</m:t>
        </m:r>
      </m:oMath>
      <w:r>
        <w:t xml:space="preserve"> </w:t>
      </w:r>
      <w:r>
        <w:t xml:space="preserve">million records/s.</w:t>
      </w:r>
    </w:p>
    <w:p>
      <w:pPr>
        <w:numPr>
          <w:ilvl w:val="0"/>
          <w:numId w:val="1163"/>
        </w:numPr>
        <w:pStyle w:val="Compact"/>
      </w:pPr>
      <w:r>
        <w:t xml:space="preserve">Ceiling:</w:t>
      </w:r>
      <w:r>
        <w:t xml:space="preserve"> </w:t>
      </w:r>
      <m:oMath>
        <m:sSub>
          <m:e>
            <m:r>
              <m:t>X</m:t>
            </m:r>
          </m:e>
          <m:sub>
            <m:r>
              <m:t>m</m:t>
            </m:r>
            <m:r>
              <m:t>a</m:t>
            </m:r>
            <m:r>
              <m:t>x</m:t>
            </m:r>
          </m:sub>
        </m:sSub>
        <m:r>
          <m:rPr>
            <m:sty m:val="p"/>
          </m:rPr>
          <m:t>=</m:t>
        </m:r>
        <m:r>
          <m:t>1</m:t>
        </m:r>
        <m:r>
          <m:rPr>
            <m:sty m:val="p"/>
          </m:rPr>
          <m:t>/</m:t>
        </m:r>
        <m:r>
          <m:t>0.1</m:t>
        </m:r>
        <m:r>
          <m:rPr>
            <m:nor/>
            <m:sty m:val="p"/>
          </m:rPr>
          <m:t> µs</m:t>
        </m:r>
        <m:r>
          <m:rPr>
            <m:sty m:val="p"/>
          </m:rPr>
          <m:t>=</m:t>
        </m:r>
        <m:r>
          <m:t>10</m:t>
        </m:r>
      </m:oMath>
      <w:r>
        <w:t xml:space="preserve"> </w:t>
      </w:r>
      <w:r>
        <w:t xml:space="preserve">million records/s.</w:t>
      </w:r>
    </w:p>
    <w:p>
      <w:pPr>
        <w:pStyle w:val="CalloutExample"/>
      </w:pPr>
      <w:r>
        <w:rPr>
          <w:bCs/>
          <w:b/>
        </w:rPr>
        <w:t xml:space="preserve">Interpretation.</w:t>
      </w:r>
      <w:r>
        <w:t xml:space="preserve"> </w:t>
      </w:r>
      <w:r>
        <w:t xml:space="preserve">Batching 100 records multiplies throughput by about 84× while raising per-batch latency only from 50 µs to 60 µs; going to 1000 gains another 4× in throughput but per-batch latency rises 2.5×, plus the time spent</w:t>
      </w:r>
      <w:r>
        <w:t xml:space="preserve"> </w:t>
      </w:r>
      <w:r>
        <w:rPr>
          <w:iCs/>
          <w:i/>
        </w:rPr>
        <w:t xml:space="preserve">waiting</w:t>
      </w:r>
      <w:r>
        <w:t xml:space="preserve"> </w:t>
      </w:r>
      <w:r>
        <w:t xml:space="preserve">for the batch to fill.</w:t>
      </w:r>
      <w:r>
        <w:t xml:space="preserve"> </w:t>
      </w:r>
      <w:r>
        <w:rPr>
          <w:bCs/>
          <w:b/>
        </w:rPr>
        <w:t xml:space="preserve">Engineering implication.</w:t>
      </w:r>
      <w:r>
        <w:t xml:space="preserve"> </w:t>
      </w:r>
      <w:r>
        <w:t xml:space="preserve">Batch until the fixed cost is amortized (a few times</w:t>
      </w:r>
      <w:r>
        <w:t xml:space="preserve"> </w:t>
      </w:r>
      <m:oMath>
        <m:r>
          <m:t>F</m:t>
        </m:r>
        <m:r>
          <m:rPr>
            <m:sty m:val="p"/>
          </m:rPr>
          <m:t>/</m:t>
        </m:r>
        <m:r>
          <m:t>v</m:t>
        </m:r>
      </m:oMath>
      <w:r>
        <w:t xml:space="preserve"> </w:t>
      </w:r>
      <w:r>
        <w:t xml:space="preserve">items), then stop; bound the wait with a timer. Kafka producers (</w:t>
      </w:r>
      <w:r>
        <w:rPr>
          <w:rStyle w:val="VerbatimChar"/>
        </w:rPr>
        <w:t xml:space="preserve">linger.ms</w:t>
      </w:r>
      <w:r>
        <w:t xml:space="preserve">, §31.6), group commit in databases (§13.5) and dynamic batching in model serving (Ch 66) all implement this curve.</w:t>
      </w:r>
    </w:p>
    <w:bookmarkEnd w:id="545"/>
    <w:bookmarkStart w:id="549" w:name="X01bf7c1f6883872a0ecf6d8ae29d328de76d5a5"/>
    <w:p>
      <w:pPr>
        <w:pStyle w:val="Heading3"/>
      </w:pPr>
      <w:r>
        <w:t xml:space="preserve">5.12.2 How hardware facts drive system design decisions</w:t>
      </w:r>
    </w:p>
    <w:p>
      <w:pPr>
        <w:pStyle w:val="FirstParagraph"/>
      </w:pPr>
      <w:r>
        <w:rPr>
          <w:bCs/>
          <w:b/>
        </w:rPr>
        <w:t xml:space="preserve">Figure 5.10 — From hardware facts to design decisions.</w:t>
      </w:r>
    </w:p>
    <w:p>
      <w:pPr>
        <w:pStyle w:val="BodyText"/>
      </w:pPr>
      <w:r>
        <w:drawing>
          <wp:inline>
            <wp:extent cx="5334000" cy="5766486"/>
            <wp:effectExtent b="0" l="0" r="0" t="0"/>
            <wp:docPr descr="" title="" id="547" name="Picture"/>
            <a:graphic>
              <a:graphicData uri="http://schemas.openxmlformats.org/drawingml/2006/picture">
                <pic:pic>
                  <pic:nvPicPr>
                    <pic:cNvPr descr="/home/user/System-Design/build/.cache/diagrams/9d0fa65a235c.png" id="548" name="Picture"/>
                    <pic:cNvPicPr>
                      <a:picLocks noChangeArrowheads="1" noChangeAspect="1"/>
                    </pic:cNvPicPr>
                  </pic:nvPicPr>
                  <pic:blipFill>
                    <a:blip r:embed="rId546"/>
                    <a:stretch>
                      <a:fillRect/>
                    </a:stretch>
                  </pic:blipFill>
                  <pic:spPr bwMode="auto">
                    <a:xfrm>
                      <a:off x="0" y="0"/>
                      <a:ext cx="5334000" cy="5766486"/>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Each row pairs a physical fact (left) with the design principle it forces (right); arrows mean</w:t>
      </w:r>
      <w:r>
        <w:t xml:space="preserve"> </w:t>
      </w:r>
      <w:r>
        <w:t xml:space="preserve">“</w:t>
      </w:r>
      <w:r>
        <w:t xml:space="preserve">therefore</w:t>
      </w:r>
      <w:r>
        <w:t xml:space="preserve">”</w:t>
      </w:r>
      <w:r>
        <w:t xml:space="preserve">. None of these is a fashion — each follows from numbers you calculated in this chapter. The same principles reappear at datacenter scale: a cross-region network round trip is to a datacenter what a DRAM miss is to a core, so caching, batching, locality and parallelism return in Part IV (scalability, caching, CDNs) and Part V (distributed systems). When a design violates one of these pairs — chatty per-item network calls, random writes to disks, a global counter updated by every core — it usually fails at scale for precisely the reason on the left.</w:t>
      </w:r>
    </w:p>
    <w:p>
      <w:pPr>
        <w:pStyle w:val="BodyText"/>
      </w:pPr>
      <w:r>
        <w:rPr>
          <w:bCs/>
          <w:b/>
        </w:rPr>
        <w:t xml:space="preserve">Table 5.13 — Hardware facts and the design decisions they drive.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Hardware fact (§)</w:t>
            </w:r>
          </w:p>
        </w:tc>
        <w:tc>
          <w:tcPr/>
          <w:p>
            <w:pPr>
              <w:pStyle w:val="Compact"/>
              <w:jc w:val="left"/>
            </w:pPr>
            <w:r>
              <w:t xml:space="preserve">Design decision</w:t>
            </w:r>
          </w:p>
        </w:tc>
        <w:tc>
          <w:tcPr/>
          <w:p>
            <w:pPr>
              <w:pStyle w:val="Compact"/>
              <w:jc w:val="left"/>
            </w:pPr>
            <w:r>
              <w:t xml:space="preserve">Examples in this book</w:t>
            </w:r>
          </w:p>
        </w:tc>
      </w:tr>
      <w:tr>
        <w:tc>
          <w:tcPr/>
          <w:p>
            <w:pPr>
              <w:pStyle w:val="Compact"/>
              <w:jc w:val="left"/>
            </w:pPr>
            <w:r>
              <w:t xml:space="preserve">Sequential ≫ random on HDD (~620×) and still better on SSD (§5.6)</w:t>
            </w:r>
          </w:p>
        </w:tc>
        <w:tc>
          <w:tcPr/>
          <w:p>
            <w:pPr>
              <w:pStyle w:val="Compact"/>
              <w:jc w:val="left"/>
            </w:pPr>
            <w:r>
              <w:t xml:space="preserve">Write sequentially; read in large chunks</w:t>
            </w:r>
          </w:p>
        </w:tc>
        <w:tc>
          <w:tcPr/>
          <w:p>
            <w:pPr>
              <w:pStyle w:val="Compact"/>
              <w:jc w:val="left"/>
            </w:pPr>
            <w:r>
              <w:t xml:space="preserve">Write-ahead logs (§13.5), LSM trees (§13.8), Kafka (§31.13)</w:t>
            </w:r>
          </w:p>
        </w:tc>
      </w:tr>
      <w:tr>
        <w:tc>
          <w:tcPr/>
          <w:p>
            <w:pPr>
              <w:pStyle w:val="Compact"/>
              <w:jc w:val="left"/>
            </w:pPr>
            <w:r>
              <w:t xml:space="preserve">Fixed cost per operation (§5.7, §5.12)</w:t>
            </w:r>
          </w:p>
        </w:tc>
        <w:tc>
          <w:tcPr/>
          <w:p>
            <w:pPr>
              <w:pStyle w:val="Compact"/>
              <w:jc w:val="left"/>
            </w:pPr>
            <w:r>
              <w:t xml:space="preserve">Batch and pipeline</w:t>
            </w:r>
          </w:p>
        </w:tc>
        <w:tc>
          <w:tcPr/>
          <w:p>
            <w:pPr>
              <w:pStyle w:val="Compact"/>
              <w:jc w:val="left"/>
            </w:pPr>
            <w:r>
              <w:t xml:space="preserve">Kafka batching (§31.6), HTTP/2 multiplexing (§7.9), dynamic batching (Ch 66)</w:t>
            </w:r>
          </w:p>
        </w:tc>
      </w:tr>
      <w:tr>
        <w:tc>
          <w:tcPr/>
          <w:p>
            <w:pPr>
              <w:pStyle w:val="Compact"/>
              <w:jc w:val="left"/>
            </w:pPr>
            <w:r>
              <w:t xml:space="preserve">Memory hierarchy steps of 3–1000× (§5.5)</w:t>
            </w:r>
          </w:p>
        </w:tc>
        <w:tc>
          <w:tcPr/>
          <w:p>
            <w:pPr>
              <w:pStyle w:val="Compact"/>
              <w:jc w:val="left"/>
            </w:pPr>
            <w:r>
              <w:t xml:space="preserve">Cache hot data close to its consumer</w:t>
            </w:r>
          </w:p>
        </w:tc>
        <w:tc>
          <w:tcPr/>
          <w:p>
            <w:pPr>
              <w:pStyle w:val="Compact"/>
              <w:jc w:val="left"/>
            </w:pPr>
            <w:r>
              <w:t xml:space="preserve">Buffer pools (§13.4), Redis (§20.6), CDNs (Ch 21)</w:t>
            </w:r>
          </w:p>
        </w:tc>
      </w:tr>
      <w:tr>
        <w:tc>
          <w:tcPr/>
          <w:p>
            <w:pPr>
              <w:pStyle w:val="Compact"/>
              <w:jc w:val="left"/>
            </w:pPr>
            <w:r>
              <w:t xml:space="preserve">Cache lines, prefetching, NUMA (§5.4, §5.10)</w:t>
            </w:r>
          </w:p>
        </w:tc>
        <w:tc>
          <w:tcPr/>
          <w:p>
            <w:pPr>
              <w:pStyle w:val="Compact"/>
              <w:jc w:val="left"/>
            </w:pPr>
            <w:r>
              <w:t xml:space="preserve">Keep related data together and near the compute</w:t>
            </w:r>
          </w:p>
        </w:tc>
        <w:tc>
          <w:tcPr/>
          <w:p>
            <w:pPr>
              <w:pStyle w:val="Compact"/>
              <w:jc w:val="left"/>
            </w:pPr>
            <w:r>
              <w:t xml:space="preserve">Columnar storage (§13.13), data locality in Spark (§29.7)</w:t>
            </w:r>
          </w:p>
        </w:tc>
      </w:tr>
      <w:tr>
        <w:tc>
          <w:tcPr/>
          <w:p>
            <w:pPr>
              <w:pStyle w:val="Compact"/>
              <w:jc w:val="left"/>
            </w:pPr>
            <w:r>
              <w:t xml:space="preserve">Devices need queue depth (§5.6.5)</w:t>
            </w:r>
          </w:p>
        </w:tc>
        <w:tc>
          <w:tcPr/>
          <w:p>
            <w:pPr>
              <w:pStyle w:val="Compact"/>
              <w:jc w:val="left"/>
            </w:pPr>
            <w:r>
              <w:t xml:space="preserve">Concurrency in the I/O path</w:t>
            </w:r>
          </w:p>
        </w:tc>
        <w:tc>
          <w:tcPr/>
          <w:p>
            <w:pPr>
              <w:pStyle w:val="Compact"/>
              <w:jc w:val="left"/>
            </w:pPr>
            <w:r>
              <w:t xml:space="preserve">io_uring and event loops (§6.13), connection pools (§7.16)</w:t>
            </w:r>
          </w:p>
        </w:tc>
      </w:tr>
      <w:tr>
        <w:tc>
          <w:tcPr/>
          <w:p>
            <w:pPr>
              <w:pStyle w:val="Compact"/>
              <w:jc w:val="left"/>
            </w:pPr>
            <w:r>
              <w:t xml:space="preserve">Coherence makes shared writes expensive (§5.4.6)</w:t>
            </w:r>
          </w:p>
        </w:tc>
        <w:tc>
          <w:tcPr/>
          <w:p>
            <w:pPr>
              <w:pStyle w:val="Compact"/>
              <w:jc w:val="left"/>
            </w:pPr>
            <w:r>
              <w:t xml:space="preserve">Avoid shared mutable state; partition it</w:t>
            </w:r>
          </w:p>
        </w:tc>
        <w:tc>
          <w:tcPr/>
          <w:p>
            <w:pPr>
              <w:pStyle w:val="Compact"/>
              <w:jc w:val="left"/>
            </w:pPr>
            <w:r>
              <w:t xml:space="preserve">Shard-per-core designs, partitioned databases (Ch 14)</w:t>
            </w:r>
          </w:p>
        </w:tc>
      </w:tr>
      <w:tr>
        <w:tc>
          <w:tcPr/>
          <w:p>
            <w:pPr>
              <w:pStyle w:val="Compact"/>
              <w:jc w:val="left"/>
            </w:pPr>
            <w:r>
              <w:t xml:space="preserve">DRAM is volatile (§5.5)</w:t>
            </w:r>
          </w:p>
        </w:tc>
        <w:tc>
          <w:tcPr/>
          <w:p>
            <w:pPr>
              <w:pStyle w:val="Compact"/>
              <w:jc w:val="left"/>
            </w:pPr>
            <w:r>
              <w:t xml:space="preserve">Durability needs persistent media or replicas</w:t>
            </w:r>
          </w:p>
        </w:tc>
        <w:tc>
          <w:tcPr/>
          <w:p>
            <w:pPr>
              <w:pStyle w:val="Compact"/>
              <w:jc w:val="left"/>
            </w:pPr>
            <w:r>
              <w:t xml:space="preserve">fsync (§6.14), replication (Ch 27)</w:t>
            </w:r>
          </w:p>
        </w:tc>
      </w:tr>
    </w:tbl>
    <w:p>
      <w:pPr>
        <w:pStyle w:val="CalloutIndustry"/>
      </w:pPr>
      <w:r>
        <w:rPr>
          <w:bCs/>
          <w:b/>
        </w:rPr>
        <w:t xml:space="preserve">INDUSTRY EXAMPLE</w:t>
      </w:r>
    </w:p>
    <w:p>
      <w:pPr>
        <w:pStyle w:val="CalloutIndustry"/>
      </w:pPr>
      <w:r>
        <w:rPr>
          <w:bCs/>
          <w:b/>
        </w:rPr>
        <w:t xml:space="preserve">ScyllaDB and the Seastar framework (shard-per-core).</w:t>
      </w:r>
      <w:r>
        <w:t xml:space="preserve"> </w:t>
      </w:r>
      <w:r>
        <w:t xml:space="preserve">ScyllaDB, a Cassandra-compatible database, is built on the Seastar framework, which runs one thread per core, partitions data so that each core owns its shard, and passes messages between cores instead of sharing locked data structures. The design avoids cache-line contention and lock overhead and keeps each core’s data in its own caches and local NUMA memory. Trade-off: everything must be asynchronous, and skewed keys can overload a single core.</w:t>
      </w:r>
      <w:r>
        <w:t xml:space="preserve"> </w:t>
      </w:r>
      <w:r>
        <w:rPr>
          <w:iCs/>
          <w:i/>
        </w:rPr>
        <w:t xml:space="preserve">Evidence: Primary</w:t>
      </w:r>
      <w:r>
        <w:t xml:space="preserve"> </w:t>
      </w:r>
      <w:r>
        <w:t xml:space="preserve">— [Seastar Documentation]</w:t>
      </w:r>
    </w:p>
    <w:p>
      <w:pPr>
        <w:pStyle w:val="CalloutRecommendation"/>
      </w:pPr>
      <w:r>
        <w:rPr>
          <w:bCs/>
          <w:b/>
        </w:rPr>
        <w:t xml:space="preserve">RECOMMENDATION</w:t>
      </w:r>
    </w:p>
    <w:p>
      <w:pPr>
        <w:pStyle w:val="CalloutRecommendation"/>
      </w:pPr>
      <w:r>
        <w:rPr>
          <w:bCs/>
          <w:b/>
        </w:rPr>
        <w:t xml:space="preserve">Mechanical sympathy in practice.</w:t>
      </w:r>
      <w:r>
        <w:t xml:space="preserve"> </w:t>
      </w:r>
      <w:r>
        <w:t xml:space="preserve">(1) Estimate before you build: write down the latency and bandwidth of each hop. (2) Prefer arrays and contiguous layouts for hot data. (3) Turn many small operations into fewer large ones. (4) Keep enough requests in flight to use your devices. (5) Do not share frequently written data across cores or machines. (6) Measure with hardware counters (</w:t>
      </w:r>
      <w:r>
        <w:rPr>
          <w:rStyle w:val="VerbatimChar"/>
        </w:rPr>
        <w:t xml:space="preserve">perf</w:t>
      </w:r>
      <w:r>
        <w:t xml:space="preserve">) before and after; intuition about hardware is often wrong.</w:t>
      </w:r>
    </w:p>
    <w:p>
      <w:pPr>
        <w:pStyle w:val="CalloutTip"/>
      </w:pPr>
      <w:r>
        <w:rPr>
          <w:bCs/>
          <w:b/>
        </w:rPr>
        <w:t xml:space="preserve">INTERVIEW TIP</w:t>
      </w:r>
    </w:p>
    <w:p>
      <w:pPr>
        <w:pStyle w:val="CalloutTip"/>
      </w:pPr>
      <w:r>
        <w:rPr>
          <w:bCs/>
          <w:b/>
        </w:rPr>
        <w:t xml:space="preserve">Interview tip.</w:t>
      </w:r>
      <w:r>
        <w:t xml:space="preserve"> </w:t>
      </w:r>
      <w:r>
        <w:t xml:space="preserve">When an interviewer asks</w:t>
      </w:r>
      <w:r>
        <w:t xml:space="preserve"> </w:t>
      </w:r>
      <w:r>
        <w:t xml:space="preserve">“</w:t>
      </w:r>
      <w:r>
        <w:t xml:space="preserve">why is X fast?</w:t>
      </w:r>
      <w:r>
        <w:t xml:space="preserve">”</w:t>
      </w:r>
      <w:r>
        <w:t xml:space="preserve"> </w:t>
      </w:r>
      <w:r>
        <w:t xml:space="preserve">(Kafka, Redis, a columnar database), the answer almost always maps onto one row of Table 5.13. Say the hardware fact and its number first, then the design choice.</w:t>
      </w:r>
    </w:p>
    <w:bookmarkEnd w:id="549"/>
    <w:bookmarkEnd w:id="550"/>
    <w:bookmarkStart w:id="551" w:name="summary-and-revision-notes-4"/>
    <w:p>
      <w:pPr>
        <w:pStyle w:val="Heading2"/>
      </w:pPr>
      <w:r>
        <w:t xml:space="preserve">5.13 Summary and revision notes</w:t>
      </w:r>
    </w:p>
    <w:p>
      <w:pPr>
        <w:pStyle w:val="CalloutSummary"/>
      </w:pPr>
      <w:r>
        <w:rPr>
          <w:bCs/>
          <w:b/>
        </w:rPr>
        <w:t xml:space="preserve">SUMMARY</w:t>
      </w:r>
    </w:p>
    <w:p>
      <w:pPr>
        <w:numPr>
          <w:ilvl w:val="0"/>
          <w:numId w:val="1164"/>
        </w:numPr>
        <w:pStyle w:val="Compact"/>
      </w:pPr>
      <w:r>
        <w:t xml:space="preserve">A CPU core repeatedly fetches, decodes and executes instructions. Execution time = instructions × CPI × cycle time; clock rates stalled near 3–5 GHz around 2005, so performance now comes from more work per cycle and more cores.</w:t>
      </w:r>
    </w:p>
    <w:p>
      <w:pPr>
        <w:numPr>
          <w:ilvl w:val="0"/>
          <w:numId w:val="1164"/>
        </w:numPr>
        <w:pStyle w:val="Compact"/>
      </w:pPr>
      <w:r>
        <w:t xml:space="preserve">Pipelining, superscalar issue and out-of-order execution raise throughput by overlapping instructions; branch prediction keeps the pipeline fed. Mispredictions (~15–20 cycles) and dependent memory accesses are what slow cores down.</w:t>
      </w:r>
    </w:p>
    <w:p>
      <w:pPr>
        <w:numPr>
          <w:ilvl w:val="0"/>
          <w:numId w:val="1164"/>
        </w:numPr>
        <w:pStyle w:val="Compact"/>
      </w:pPr>
      <w:r>
        <w:t xml:space="preserve">SMT (hyperthreading) shares one core between two hardware threads; a cloud vCPU is usually one such thread, not a full core.</w:t>
      </w:r>
    </w:p>
    <w:p>
      <w:pPr>
        <w:numPr>
          <w:ilvl w:val="0"/>
          <w:numId w:val="1164"/>
        </w:numPr>
        <w:pStyle w:val="Compact"/>
      </w:pPr>
      <w:r>
        <w:t xml:space="preserve">Caches (L1 ~1 ns, L2 ~4 ns, L3 ~15 ns, DRAM ~100 ns; as of 2024–2025, approximate) exploit temporal and spatial locality. Data moves in 64-byte cache lines; sequential access is the best case and pointer chasing the worst.</w:t>
      </w:r>
    </w:p>
    <w:p>
      <w:pPr>
        <w:numPr>
          <w:ilvl w:val="0"/>
          <w:numId w:val="1164"/>
        </w:numPr>
        <w:pStyle w:val="Compact"/>
      </w:pPr>
      <w:r>
        <w:t xml:space="preserve">AMAT = hit time + miss rate × miss penalty, applied level by level; layout alone can change it 10×.</w:t>
      </w:r>
    </w:p>
    <w:p>
      <w:pPr>
        <w:numPr>
          <w:ilvl w:val="0"/>
          <w:numId w:val="1164"/>
        </w:numPr>
        <w:pStyle w:val="Compact"/>
      </w:pPr>
      <w:r>
        <w:t xml:space="preserve">MESI keeps caches coherent per line; writes to one line from several cores cause ping-pong. False sharing is unrelated variables in one line; fix it with padding or per-thread data.</w:t>
      </w:r>
    </w:p>
    <w:p>
      <w:pPr>
        <w:numPr>
          <w:ilvl w:val="0"/>
          <w:numId w:val="1164"/>
        </w:numPr>
        <w:pStyle w:val="Compact"/>
      </w:pPr>
      <w:r>
        <w:t xml:space="preserve">The memory hierarchy spans ~1 ns to ~10 ms and about 1000× in cost per GB; DRAM and above are volatile.</w:t>
      </w:r>
    </w:p>
    <w:p>
      <w:pPr>
        <w:numPr>
          <w:ilvl w:val="0"/>
          <w:numId w:val="1164"/>
        </w:numPr>
        <w:pStyle w:val="Compact"/>
      </w:pPr>
      <w:r>
        <w:t xml:space="preserve">HDD access = seek + rotational latency + transfer; ~80–200 random IOPS versus ~200 MB/s sequential (~620× gap for 4 KiB reads).</w:t>
      </w:r>
    </w:p>
    <w:p>
      <w:pPr>
        <w:numPr>
          <w:ilvl w:val="0"/>
          <w:numId w:val="1164"/>
        </w:numPr>
        <w:pStyle w:val="Compact"/>
      </w:pPr>
      <w:r>
        <w:t xml:space="preserve">Flash writes pages, erases blocks and wears out; the FTL remaps writes, garbage-collects and causes write amplification. NVMe’s many deep queues unlock flash parallelism that SATA’s single 32-entry queue cannot.</w:t>
      </w:r>
    </w:p>
    <w:p>
      <w:pPr>
        <w:numPr>
          <w:ilvl w:val="0"/>
          <w:numId w:val="1164"/>
        </w:numPr>
        <w:pStyle w:val="Compact"/>
      </w:pPr>
      <w:r>
        <w:t xml:space="preserve">IOPS = queue depth / latency: fast devices need many requests in flight.</w:t>
      </w:r>
    </w:p>
    <w:p>
      <w:pPr>
        <w:numPr>
          <w:ilvl w:val="0"/>
          <w:numId w:val="1164"/>
        </w:numPr>
        <w:pStyle w:val="Compact"/>
      </w:pPr>
      <w:r>
        <w:t xml:space="preserve">I/O evolves from programmed I/O to interrupts + DMA to polling and kernel bypass as event rates rise.</w:t>
      </w:r>
    </w:p>
    <w:p>
      <w:pPr>
        <w:numPr>
          <w:ilvl w:val="0"/>
          <w:numId w:val="1164"/>
        </w:numPr>
        <w:pStyle w:val="Compact"/>
      </w:pPr>
      <w:r>
        <w:t xml:space="preserve">CPU-bound work needs ~one thread per core; I/O-bound work needs about N_cores × (1 + W/C) threads, limited by downstream capacity.</w:t>
      </w:r>
    </w:p>
    <w:p>
      <w:pPr>
        <w:numPr>
          <w:ilvl w:val="0"/>
          <w:numId w:val="1164"/>
        </w:numPr>
        <w:pStyle w:val="Compact"/>
      </w:pPr>
      <w:r>
        <w:t xml:space="preserve">Latency barely improves; bandwidth does. Peak DRAM bandwidth = transfer rate × 8 bytes × channels; achieving it needs hundreds of misses in flight.</w:t>
      </w:r>
    </w:p>
    <w:p>
      <w:pPr>
        <w:numPr>
          <w:ilvl w:val="0"/>
          <w:numId w:val="1164"/>
        </w:numPr>
        <w:pStyle w:val="Compact"/>
      </w:pPr>
      <w:r>
        <w:t xml:space="preserve">NUMA makes remote memory ~1.5–2× slower; keep threads, memory and devices on one node.</w:t>
      </w:r>
    </w:p>
    <w:p>
      <w:pPr>
        <w:numPr>
          <w:ilvl w:val="0"/>
          <w:numId w:val="1164"/>
        </w:numPr>
        <w:pStyle w:val="Compact"/>
      </w:pPr>
      <w:r>
        <w:t xml:space="preserve">SIMD and accelerators speed up regular, data-parallel work if data is contiguous and can be fed fast enough.</w:t>
      </w:r>
    </w:p>
    <w:p>
      <w:pPr>
        <w:numPr>
          <w:ilvl w:val="0"/>
          <w:numId w:val="1164"/>
        </w:numPr>
        <w:pStyle w:val="Compact"/>
      </w:pPr>
      <w:r>
        <w:t xml:space="preserve">Hardware facts drive design: sequential I/O, batching, caching, data locality, concurrency in the I/O path, and no shared mutable hot spots.</w:t>
      </w:r>
    </w:p>
    <w:bookmarkEnd w:id="551"/>
    <w:bookmarkStart w:id="552" w:name="knowledge-checkpoint-4"/>
    <w:p>
      <w:pPr>
        <w:pStyle w:val="Heading2"/>
      </w:pPr>
      <w:r>
        <w:t xml:space="preserve">5.14 Knowledge checkpoint</w:t>
      </w:r>
    </w:p>
    <w:p>
      <w:pPr>
        <w:numPr>
          <w:ilvl w:val="0"/>
          <w:numId w:val="1165"/>
        </w:numPr>
        <w:pStyle w:val="Compact"/>
      </w:pPr>
      <w:r>
        <w:t xml:space="preserve">Using the iron law, what happens to execution time if CPI rises from 0.5 to 0.75 at a fixed clock rate and instruction count?</w:t>
      </w:r>
    </w:p>
    <w:p>
      <w:pPr>
        <w:numPr>
          <w:ilvl w:val="0"/>
          <w:numId w:val="1165"/>
        </w:numPr>
        <w:pStyle w:val="Compact"/>
      </w:pPr>
      <w:r>
        <w:t xml:space="preserve">Why does a deeper pipeline make branch mispredictions more expensive?</w:t>
      </w:r>
    </w:p>
    <w:p>
      <w:pPr>
        <w:numPr>
          <w:ilvl w:val="0"/>
          <w:numId w:val="1165"/>
        </w:numPr>
        <w:pStyle w:val="Compact"/>
      </w:pPr>
      <w:r>
        <w:t xml:space="preserve">Why can an out-of-order core hide the latency of ten independent loads but not ten loads in a linked list?</w:t>
      </w:r>
    </w:p>
    <w:p>
      <w:pPr>
        <w:numPr>
          <w:ilvl w:val="0"/>
          <w:numId w:val="1165"/>
        </w:numPr>
        <w:pStyle w:val="Compact"/>
      </w:pPr>
      <w:r>
        <w:t xml:space="preserve">What is the difference between temporal and spatial locality? Give one example of each.</w:t>
      </w:r>
    </w:p>
    <w:p>
      <w:pPr>
        <w:numPr>
          <w:ilvl w:val="0"/>
          <w:numId w:val="1165"/>
        </w:numPr>
        <w:pStyle w:val="Compact"/>
      </w:pPr>
      <w:r>
        <w:t xml:space="preserve">In a 32 KiB, 8-way cache with 64-byte lines, how many sets are there, and why are addresses 4 KiB apart a problem?</w:t>
      </w:r>
    </w:p>
    <w:p>
      <w:pPr>
        <w:numPr>
          <w:ilvl w:val="0"/>
          <w:numId w:val="1165"/>
        </w:numPr>
        <w:pStyle w:val="Compact"/>
      </w:pPr>
      <w:r>
        <w:t xml:space="preserve">Compute AMAT for</w:t>
      </w:r>
      <w:r>
        <w:t xml:space="preserve"> </w:t>
      </w:r>
      <m:oMath>
        <m:sSub>
          <m:e>
            <m:r>
              <m:t>t</m:t>
            </m:r>
          </m:e>
          <m:sub>
            <m:r>
              <m:t>L</m:t>
            </m:r>
            <m:r>
              <m:t>1</m:t>
            </m:r>
          </m:sub>
        </m:sSub>
        <m:r>
          <m:rPr>
            <m:sty m:val="p"/>
          </m:rPr>
          <m:t>=</m:t>
        </m:r>
        <m:r>
          <m:t>1</m:t>
        </m:r>
      </m:oMath>
      <w:r>
        <w:t xml:space="preserve"> </w:t>
      </w:r>
      <w:r>
        <w:t xml:space="preserve">ns,</w:t>
      </w:r>
      <w:r>
        <w:t xml:space="preserve"> </w:t>
      </w:r>
      <m:oMath>
        <m:sSub>
          <m:e>
            <m:r>
              <m:t>m</m:t>
            </m:r>
          </m:e>
          <m:sub>
            <m:r>
              <m:t>L</m:t>
            </m:r>
            <m:r>
              <m:t>1</m:t>
            </m:r>
          </m:sub>
        </m:sSub>
        <m:r>
          <m:rPr>
            <m:sty m:val="p"/>
          </m:rPr>
          <m:t>=</m:t>
        </m:r>
        <m:r>
          <m:t>0.1</m:t>
        </m:r>
      </m:oMath>
      <w:r>
        <w:t xml:space="preserve">, and a flat 50 ns penalty for every L1 miss.</w:t>
      </w:r>
    </w:p>
    <w:p>
      <w:pPr>
        <w:numPr>
          <w:ilvl w:val="0"/>
          <w:numId w:val="1165"/>
        </w:numPr>
        <w:pStyle w:val="Compact"/>
      </w:pPr>
      <w:r>
        <w:t xml:space="preserve">Name the four MESI states and say which one allows a write without any coherence traffic.</w:t>
      </w:r>
    </w:p>
    <w:p>
      <w:pPr>
        <w:numPr>
          <w:ilvl w:val="0"/>
          <w:numId w:val="1165"/>
        </w:numPr>
        <w:pStyle w:val="Compact"/>
      </w:pPr>
      <w:r>
        <w:t xml:space="preserve">Two threads increment separate counters and get slower when you add the second thread. What is the likely cause and the fix?</w:t>
      </w:r>
    </w:p>
    <w:p>
      <w:pPr>
        <w:numPr>
          <w:ilvl w:val="0"/>
          <w:numId w:val="1165"/>
        </w:numPr>
        <w:pStyle w:val="Compact"/>
      </w:pPr>
      <w:r>
        <w:t xml:space="preserve">A 5400 RPM disk has an average seek of 10 ms. What is its average rotational latency and approximate random-read IOPS for small blocks?</w:t>
      </w:r>
    </w:p>
    <w:p>
      <w:pPr>
        <w:numPr>
          <w:ilvl w:val="0"/>
          <w:numId w:val="1165"/>
        </w:numPr>
        <w:pStyle w:val="Compact"/>
      </w:pPr>
      <w:r>
        <w:t xml:space="preserve">Why can a flash SSD not overwrite a page in place, and what does the FTL do instead?</w:t>
      </w:r>
    </w:p>
    <w:p>
      <w:pPr>
        <w:numPr>
          <w:ilvl w:val="0"/>
          <w:numId w:val="1165"/>
        </w:numPr>
        <w:pStyle w:val="Compact"/>
      </w:pPr>
      <w:r>
        <w:t xml:space="preserve">A device has 100 µs latency. What queue depth is needed for 400,000 IOPS?</w:t>
      </w:r>
    </w:p>
    <w:p>
      <w:pPr>
        <w:numPr>
          <w:ilvl w:val="0"/>
          <w:numId w:val="1165"/>
        </w:numPr>
        <w:pStyle w:val="Compact"/>
      </w:pPr>
      <w:r>
        <w:t xml:space="preserve">What is DMA and what problem does it solve?</w:t>
      </w:r>
    </w:p>
    <w:p>
      <w:pPr>
        <w:numPr>
          <w:ilvl w:val="0"/>
          <w:numId w:val="1165"/>
        </w:numPr>
        <w:pStyle w:val="Compact"/>
      </w:pPr>
      <w:r>
        <w:t xml:space="preserve">A service’s</w:t>
      </w:r>
      <w:r>
        <w:t xml:space="preserve"> </w:t>
      </w:r>
      <w:r>
        <w:rPr>
          <w:rStyle w:val="VerbatimChar"/>
        </w:rPr>
        <w:t xml:space="preserve">time</w:t>
      </w:r>
      <w:r>
        <w:t xml:space="preserve"> </w:t>
      </w:r>
      <w:r>
        <w:t xml:space="preserve">output shows real = 10 s, user + sys = 0.5 s. Is it CPU-bound or I/O-bound? What would you change first?</w:t>
      </w:r>
    </w:p>
    <w:p>
      <w:pPr>
        <w:numPr>
          <w:ilvl w:val="0"/>
          <w:numId w:val="1165"/>
        </w:numPr>
        <w:pStyle w:val="Compact"/>
      </w:pPr>
      <w:r>
        <w:t xml:space="preserve">What is the peak bandwidth of six DDR5-5600 channels?</w:t>
      </w:r>
    </w:p>
    <w:p>
      <w:pPr>
        <w:numPr>
          <w:ilvl w:val="0"/>
          <w:numId w:val="1165"/>
        </w:numPr>
        <w:pStyle w:val="Compact"/>
      </w:pPr>
      <w:r>
        <w:t xml:space="preserve">On a two-socket server, local latency is 90 ns and remote 150 ns. What is the average latency if 30% of accesses are remote?</w:t>
      </w:r>
    </w:p>
    <w:p>
      <w:pPr>
        <w:pStyle w:val="FirstParagraph"/>
      </w:pPr>
      <w:r>
        <w:t xml:space="preserve">Answers</w:t>
      </w:r>
    </w:p>
    <w:p>
      <w:pPr>
        <w:numPr>
          <w:ilvl w:val="0"/>
          <w:numId w:val="1166"/>
        </w:numPr>
        <w:pStyle w:val="Compact"/>
      </w:pPr>
      <w:r>
        <w:t xml:space="preserve">Time rises by 50% (0.75 / 0.5 = 1.5), because time is proportional to CPI.</w:t>
      </w:r>
    </w:p>
    <w:p>
      <w:pPr>
        <w:numPr>
          <w:ilvl w:val="0"/>
          <w:numId w:val="1166"/>
        </w:numPr>
        <w:pStyle w:val="Compact"/>
      </w:pPr>
      <w:r>
        <w:t xml:space="preserve">The branch outcome is known later in a deeper pipeline, so more stages hold wrongly fetched instructions that must be flushed; more cycles are lost per misprediction.</w:t>
      </w:r>
    </w:p>
    <w:p>
      <w:pPr>
        <w:numPr>
          <w:ilvl w:val="0"/>
          <w:numId w:val="1166"/>
        </w:numPr>
        <w:pStyle w:val="Compact"/>
      </w:pPr>
      <w:r>
        <w:t xml:space="preserve">Independent loads can all be issued and outstanding at once, overlapping their latency. In a linked list each address is known only after the previous load returns, so the latencies add up serially.</w:t>
      </w:r>
    </w:p>
    <w:p>
      <w:pPr>
        <w:numPr>
          <w:ilvl w:val="0"/>
          <w:numId w:val="1166"/>
        </w:numPr>
        <w:pStyle w:val="Compact"/>
      </w:pPr>
      <w:r>
        <w:t xml:space="preserve">Temporal: reusing the same data soon (a loop counter, a hot config value). Spatial: using nearby data soon (the next array element, adjacent struct fields).</w:t>
      </w:r>
    </w:p>
    <w:p>
      <w:pPr>
        <w:numPr>
          <w:ilvl w:val="0"/>
          <w:numId w:val="1166"/>
        </w:numPr>
        <w:pStyle w:val="Compact"/>
      </w:pPr>
      <m:oMath>
        <m:r>
          <m:t>32</m:t>
        </m:r>
        <m:r>
          <m:t> </m:t>
        </m:r>
        <m:r>
          <m:t>768</m:t>
        </m:r>
        <m:r>
          <m:rPr>
            <m:sty m:val="p"/>
          </m:rPr>
          <m:t>/</m:t>
        </m:r>
        <m:d>
          <m:dPr>
            <m:begChr m:val="("/>
            <m:endChr m:val=")"/>
            <m:sepChr m:val=""/>
            <m:grow/>
          </m:dPr>
          <m:e>
            <m:r>
              <m:t>64</m:t>
            </m:r>
            <m:r>
              <m:rPr>
                <m:sty m:val="p"/>
              </m:rPr>
              <m:t>×</m:t>
            </m:r>
            <m:r>
              <m:t>8</m:t>
            </m:r>
          </m:e>
        </m:d>
        <m:r>
          <m:rPr>
            <m:sty m:val="p"/>
          </m:rPr>
          <m:t>=</m:t>
        </m:r>
        <m:r>
          <m:t>64</m:t>
        </m:r>
      </m:oMath>
      <w:r>
        <w:t xml:space="preserve"> </w:t>
      </w:r>
      <w:r>
        <w:t xml:space="preserve">sets. Addresses</w:t>
      </w:r>
      <w:r>
        <w:t xml:space="preserve"> </w:t>
      </w:r>
      <m:oMath>
        <m:r>
          <m:t>64</m:t>
        </m:r>
        <m:r>
          <m:rPr>
            <m:sty m:val="p"/>
          </m:rPr>
          <m:t>×</m:t>
        </m:r>
        <m:r>
          <m:t>64</m:t>
        </m:r>
        <m:r>
          <m:rPr>
            <m:sty m:val="p"/>
          </m:rPr>
          <m:t>=</m:t>
        </m:r>
        <m:r>
          <m:t>4096</m:t>
        </m:r>
      </m:oMath>
      <w:r>
        <w:t xml:space="preserve"> </w:t>
      </w:r>
      <w:r>
        <w:t xml:space="preserve">bytes apart map to the same set, so a 4 KiB stride can use only 8 lines (one set) and suffers conflict misses.</w:t>
      </w:r>
    </w:p>
    <w:p>
      <w:pPr>
        <w:numPr>
          <w:ilvl w:val="0"/>
          <w:numId w:val="1166"/>
        </w:numPr>
        <w:pStyle w:val="Compact"/>
      </w:pPr>
      <m:oMath>
        <m:r>
          <m:t>1</m:t>
        </m:r>
        <m:r>
          <m:rPr>
            <m:sty m:val="p"/>
          </m:rPr>
          <m:t>+</m:t>
        </m:r>
        <m:r>
          <m:t>0.1</m:t>
        </m:r>
        <m:r>
          <m:rPr>
            <m:sty m:val="p"/>
          </m:rPr>
          <m:t>×</m:t>
        </m:r>
        <m:r>
          <m:t>50</m:t>
        </m:r>
        <m:r>
          <m:rPr>
            <m:sty m:val="p"/>
          </m:rPr>
          <m:t>=</m:t>
        </m:r>
        <m:r>
          <m:t>6</m:t>
        </m:r>
      </m:oMath>
      <w:r>
        <w:t xml:space="preserve"> </w:t>
      </w:r>
      <w:r>
        <w:t xml:space="preserve">ns.</w:t>
      </w:r>
    </w:p>
    <w:p>
      <w:pPr>
        <w:numPr>
          <w:ilvl w:val="0"/>
          <w:numId w:val="1166"/>
        </w:numPr>
        <w:pStyle w:val="Compact"/>
      </w:pPr>
      <w:r>
        <w:t xml:space="preserve">Modified, Exclusive, Shared, Invalid. Writes to an Exclusive line (moving it to Modified) need no bus/interconnect traffic; a line already in Modified also needs none.</w:t>
      </w:r>
    </w:p>
    <w:p>
      <w:pPr>
        <w:numPr>
          <w:ilvl w:val="0"/>
          <w:numId w:val="1166"/>
        </w:numPr>
        <w:pStyle w:val="Compact"/>
      </w:pPr>
      <w:r>
        <w:t xml:space="preserve">False sharing: both counters are in one cache line, which ping-pongs between cores. Pad each counter to its own 64-byte line or keep per-thread counters and combine them at the end.</w:t>
      </w:r>
    </w:p>
    <w:p>
      <w:pPr>
        <w:numPr>
          <w:ilvl w:val="0"/>
          <w:numId w:val="1166"/>
        </w:numPr>
        <w:pStyle w:val="Compact"/>
      </w:pPr>
      <w:r>
        <w:t xml:space="preserve">One revolution</w:t>
      </w:r>
      <w:r>
        <w:t xml:space="preserve"> </w:t>
      </w:r>
      <m:oMath>
        <m:r>
          <m:rPr>
            <m:sty m:val="p"/>
          </m:rPr>
          <m:t>=</m:t>
        </m:r>
        <m:r>
          <m:t>60</m:t>
        </m:r>
        <m:r>
          <m:rPr>
            <m:sty m:val="p"/>
          </m:rPr>
          <m:t>/</m:t>
        </m:r>
        <m:r>
          <m:t>5400</m:t>
        </m:r>
        <m:r>
          <m:rPr>
            <m:sty m:val="p"/>
          </m:rPr>
          <m:t>=</m:t>
        </m:r>
        <m:r>
          <m:t>11.1</m:t>
        </m:r>
      </m:oMath>
      <w:r>
        <w:t xml:space="preserve"> </w:t>
      </w:r>
      <w:r>
        <w:t xml:space="preserve">ms; average rotational latency</w:t>
      </w:r>
      <w:r>
        <w:t xml:space="preserve"> </w:t>
      </w:r>
      <m:oMath>
        <m:r>
          <m:rPr>
            <m:sty m:val="p"/>
          </m:rPr>
          <m:t>=</m:t>
        </m:r>
        <m:r>
          <m:t>5.56</m:t>
        </m:r>
      </m:oMath>
      <w:r>
        <w:t xml:space="preserve"> </w:t>
      </w:r>
      <w:r>
        <w:t xml:space="preserve">ms. Access ≈</w:t>
      </w:r>
      <w:r>
        <w:t xml:space="preserve"> </w:t>
      </w:r>
      <m:oMath>
        <m:r>
          <m:t>10</m:t>
        </m:r>
        <m:r>
          <m:rPr>
            <m:sty m:val="p"/>
          </m:rPr>
          <m:t>+</m:t>
        </m:r>
        <m:r>
          <m:t>5.56</m:t>
        </m:r>
        <m:r>
          <m:rPr>
            <m:sty m:val="p"/>
          </m:rPr>
          <m:t>≈</m:t>
        </m:r>
        <m:r>
          <m:t>15.6</m:t>
        </m:r>
      </m:oMath>
      <w:r>
        <w:t xml:space="preserve"> </w:t>
      </w:r>
      <w:r>
        <w:t xml:space="preserve">ms, so ≈</w:t>
      </w:r>
      <w:r>
        <w:t xml:space="preserve"> </w:t>
      </w:r>
      <m:oMath>
        <m:r>
          <m:t>1</m:t>
        </m:r>
        <m:r>
          <m:rPr>
            <m:sty m:val="p"/>
          </m:rPr>
          <m:t>/</m:t>
        </m:r>
        <m:r>
          <m:t>0.0156</m:t>
        </m:r>
        <m:r>
          <m:rPr>
            <m:sty m:val="p"/>
          </m:rPr>
          <m:t>≈</m:t>
        </m:r>
        <m:r>
          <m:t>64</m:t>
        </m:r>
      </m:oMath>
      <w:r>
        <w:t xml:space="preserve"> </w:t>
      </w:r>
      <w:r>
        <w:t xml:space="preserve">IOPS.</w:t>
      </w:r>
    </w:p>
    <w:p>
      <w:pPr>
        <w:numPr>
          <w:ilvl w:val="0"/>
          <w:numId w:val="1166"/>
        </w:numPr>
        <w:pStyle w:val="Compact"/>
      </w:pPr>
      <w:r>
        <w:t xml:space="preserve">Flash must be erased before being reprogrammed, and erase works only on whole blocks of many pages. The FTL writes the new data to a free page, updates its logical-to-physical map, marks the old page invalid and later garbage-collects blocks.</w:t>
      </w:r>
    </w:p>
    <w:p>
      <w:pPr>
        <w:numPr>
          <w:ilvl w:val="0"/>
          <w:numId w:val="1166"/>
        </w:numPr>
        <w:pStyle w:val="Compact"/>
      </w:pPr>
      <m:oMath>
        <m:r>
          <m:t>Q</m:t>
        </m:r>
        <m:r>
          <m:t>D</m:t>
        </m:r>
        <m:r>
          <m:rPr>
            <m:sty m:val="p"/>
          </m:rPr>
          <m:t>=</m:t>
        </m:r>
        <m:r>
          <m:t>400</m:t>
        </m:r>
        <m:r>
          <m:t> </m:t>
        </m:r>
        <m:r>
          <m:t>000</m:t>
        </m:r>
        <m:r>
          <m:rPr>
            <m:sty m:val="p"/>
          </m:rPr>
          <m:t>×</m:t>
        </m:r>
        <m:r>
          <m:t>100</m:t>
        </m:r>
        <m:r>
          <m:rPr>
            <m:sty m:val="p"/>
          </m:rPr>
          <m:t>×</m:t>
        </m:r>
        <m:sSup>
          <m:e>
            <m:r>
              <m:t>10</m:t>
            </m:r>
          </m:e>
          <m:sup>
            <m:r>
              <m:rPr>
                <m:sty m:val="p"/>
              </m:rPr>
              <m:t>−</m:t>
            </m:r>
            <m:r>
              <m:t>6</m:t>
            </m:r>
          </m:sup>
        </m:sSup>
        <m:r>
          <m:rPr>
            <m:sty m:val="p"/>
          </m:rPr>
          <m:t>=</m:t>
        </m:r>
        <m:r>
          <m:t>40</m:t>
        </m:r>
      </m:oMath>
      <w:r>
        <w:t xml:space="preserve"> </w:t>
      </w:r>
      <w:r>
        <w:t xml:space="preserve">outstanding requests.</w:t>
      </w:r>
    </w:p>
    <w:p>
      <w:pPr>
        <w:numPr>
          <w:ilvl w:val="0"/>
          <w:numId w:val="1166"/>
        </w:numPr>
        <w:pStyle w:val="Compact"/>
      </w:pPr>
      <w:r>
        <w:t xml:space="preserve">Direct memory access lets a device copy data to or from RAM itself; the CPU only sets up the transfer and handles the completion, so CPU cycles are not spent copying bytes.</w:t>
      </w:r>
    </w:p>
    <w:p>
      <w:pPr>
        <w:numPr>
          <w:ilvl w:val="0"/>
          <w:numId w:val="1166"/>
        </w:numPr>
        <w:pStyle w:val="Compact"/>
      </w:pPr>
      <w:r>
        <w:t xml:space="preserve">I/O-bound (or waiting on something): the CPU was busy only 5% of the time. Find what it waits on — disk, network or locks — and add concurrency, caching or batching rather than a faster CPU.</w:t>
      </w:r>
    </w:p>
    <w:p>
      <w:pPr>
        <w:numPr>
          <w:ilvl w:val="0"/>
          <w:numId w:val="1166"/>
        </w:numPr>
        <w:pStyle w:val="Compact"/>
      </w:pPr>
      <m:oMath>
        <m:r>
          <m:t>5600</m:t>
        </m:r>
        <m:r>
          <m:rPr>
            <m:sty m:val="p"/>
          </m:rPr>
          <m:t>×</m:t>
        </m:r>
        <m:sSup>
          <m:e>
            <m:r>
              <m:t>10</m:t>
            </m:r>
          </m:e>
          <m:sup>
            <m:r>
              <m:t>6</m:t>
            </m:r>
          </m:sup>
        </m:sSup>
        <m:r>
          <m:rPr>
            <m:sty m:val="p"/>
          </m:rPr>
          <m:t>×</m:t>
        </m:r>
        <m:r>
          <m:t>8</m:t>
        </m:r>
        <m:r>
          <m:rPr>
            <m:sty m:val="p"/>
          </m:rPr>
          <m:t>×</m:t>
        </m:r>
        <m:r>
          <m:t>6</m:t>
        </m:r>
        <m:r>
          <m:rPr>
            <m:sty m:val="p"/>
          </m:rPr>
          <m:t>=</m:t>
        </m:r>
        <m:r>
          <m:t>268.8</m:t>
        </m:r>
        <m:r>
          <m:rPr>
            <m:sty m:val="p"/>
          </m:rPr>
          <m:t>×</m:t>
        </m:r>
        <m:sSup>
          <m:e>
            <m:r>
              <m:t>10</m:t>
            </m:r>
          </m:e>
          <m:sup>
            <m:r>
              <m:t>9</m:t>
            </m:r>
          </m:sup>
        </m:sSup>
      </m:oMath>
      <w:r>
        <w:t xml:space="preserve"> </w:t>
      </w:r>
      <w:r>
        <w:t xml:space="preserve">B/s</w:t>
      </w:r>
      <w:r>
        <w:t xml:space="preserve"> </w:t>
      </w:r>
      <m:oMath>
        <m:r>
          <m:rPr>
            <m:sty m:val="p"/>
          </m:rPr>
          <m:t>=</m:t>
        </m:r>
        <m:r>
          <m:t>268.8</m:t>
        </m:r>
      </m:oMath>
      <w:r>
        <w:t xml:space="preserve"> </w:t>
      </w:r>
      <w:r>
        <w:t xml:space="preserve">GB/s.</w:t>
      </w:r>
    </w:p>
    <w:p>
      <w:pPr>
        <w:numPr>
          <w:ilvl w:val="0"/>
          <w:numId w:val="1166"/>
        </w:numPr>
        <w:pStyle w:val="Compact"/>
      </w:pPr>
      <m:oMath>
        <m:r>
          <m:t>0.7</m:t>
        </m:r>
        <m:r>
          <m:rPr>
            <m:sty m:val="p"/>
          </m:rPr>
          <m:t>×</m:t>
        </m:r>
        <m:r>
          <m:t>90</m:t>
        </m:r>
        <m:r>
          <m:rPr>
            <m:sty m:val="p"/>
          </m:rPr>
          <m:t>+</m:t>
        </m:r>
        <m:r>
          <m:t>0.3</m:t>
        </m:r>
        <m:r>
          <m:rPr>
            <m:sty m:val="p"/>
          </m:rPr>
          <m:t>×</m:t>
        </m:r>
        <m:r>
          <m:t>150</m:t>
        </m:r>
        <m:r>
          <m:rPr>
            <m:sty m:val="p"/>
          </m:rPr>
          <m:t>=</m:t>
        </m:r>
        <m:r>
          <m:t>63</m:t>
        </m:r>
        <m:r>
          <m:rPr>
            <m:sty m:val="p"/>
          </m:rPr>
          <m:t>+</m:t>
        </m:r>
        <m:r>
          <m:t>45</m:t>
        </m:r>
        <m:r>
          <m:rPr>
            <m:sty m:val="p"/>
          </m:rPr>
          <m:t>=</m:t>
        </m:r>
        <m:r>
          <m:t>108</m:t>
        </m:r>
      </m:oMath>
      <w:r>
        <w:t xml:space="preserve"> </w:t>
      </w:r>
      <w:r>
        <w:t xml:space="preserve">ns.</w:t>
      </w:r>
    </w:p>
    <w:bookmarkEnd w:id="552"/>
    <w:bookmarkStart w:id="556" w:name="interview-questions-4"/>
    <w:p>
      <w:pPr>
        <w:pStyle w:val="Heading2"/>
      </w:pPr>
      <w:r>
        <w:t xml:space="preserve">5.15 Interview questions</w:t>
      </w:r>
    </w:p>
    <w:bookmarkStart w:id="553" w:name="basic-4"/>
    <w:p>
      <w:pPr>
        <w:pStyle w:val="Heading3"/>
      </w:pPr>
      <w:r>
        <w:t xml:space="preserve">Basic</w:t>
      </w:r>
    </w:p>
    <w:p>
      <w:pPr>
        <w:pStyle w:val="FirstParagraph"/>
      </w:pPr>
      <w:r>
        <w:rPr>
          <w:bCs/>
          <w:b/>
        </w:rPr>
        <w:t xml:space="preserve">Q1. Why is reading data sequentially faster than reading it randomly, on both disks and memory?</w:t>
      </w:r>
      <w:r>
        <w:t xml:space="preserve"> </w:t>
      </w:r>
      <w:r>
        <w:rPr>
          <w:bCs/>
          <w:b/>
        </w:rPr>
        <w:t xml:space="preserve">Answer.</w:t>
      </w:r>
      <w:r>
        <w:t xml:space="preserve"> </w:t>
      </w:r>
      <w:r>
        <w:t xml:space="preserve">On an HDD a random read pays a seek (~4–10 ms) and half a rotation (~4 ms at 7200 RPM) for every request, while a sequential read pays them once and then streams at ~200 MB/s — about 620× faster for 4 KiB requests. In memory, data arrives in 64-byte cache lines and hardware prefetchers detect sequential patterns and fetch ahead, so sequential reads hit in cache while random reads each pay ~100 ns of DRAM latency. SSDs narrow the gap but still favor large sequential I/O.</w:t>
      </w:r>
    </w:p>
    <w:p>
      <w:pPr>
        <w:pStyle w:val="BodyText"/>
      </w:pPr>
      <w:r>
        <w:rPr>
          <w:bCs/>
          <w:b/>
        </w:rPr>
        <w:t xml:space="preserve">Q2. What is a cache line and why should a programmer care?</w:t>
      </w:r>
      <w:r>
        <w:t xml:space="preserve"> </w:t>
      </w:r>
      <w:r>
        <w:rPr>
          <w:bCs/>
          <w:b/>
        </w:rPr>
        <w:t xml:space="preserve">Answer.</w:t>
      </w:r>
      <w:r>
        <w:t xml:space="preserve"> </w:t>
      </w:r>
      <w:r>
        <w:t xml:space="preserve">The 64-byte (on most x86 and ARM servers) unit in which data moves between memory and caches. It means neighbors of anything you read are nearly free (so arrays and compact structs are fast), and that coherence works per line, so threads writing different variables in the same line interfere (false sharing).</w:t>
      </w:r>
    </w:p>
    <w:bookmarkEnd w:id="553"/>
    <w:bookmarkStart w:id="554" w:name="intermediate-4"/>
    <w:p>
      <w:pPr>
        <w:pStyle w:val="Heading3"/>
      </w:pPr>
      <w:r>
        <w:t xml:space="preserve">Intermediate</w:t>
      </w:r>
    </w:p>
    <w:p>
      <w:pPr>
        <w:pStyle w:val="FirstParagraph"/>
      </w:pPr>
      <w:r>
        <w:rPr>
          <w:bCs/>
          <w:b/>
        </w:rPr>
        <w:t xml:space="preserve">Q3. You moved a service from an 8-vCPU to a 32-vCPU instance and throughput rose only 30%. What could explain this, and how would you investigate?</w:t>
      </w:r>
      <w:r>
        <w:t xml:space="preserve"> </w:t>
      </w:r>
      <w:r>
        <w:rPr>
          <w:bCs/>
          <w:b/>
        </w:rPr>
        <w:t xml:space="preserve">Answer.</w:t>
      </w:r>
      <w:r>
        <w:t xml:space="preserve"> </w:t>
      </w:r>
      <w:r>
        <w:t xml:space="preserve">Candidates: (1) the service is limited by something other than CPU — a database, a lock, a single-threaded component (check per-thread CPU, thread dumps); (2) contention on shared cache lines (atomic counters, false sharing, a JVM internal structure) — check with</w:t>
      </w:r>
      <w:r>
        <w:t xml:space="preserve"> </w:t>
      </w:r>
      <w:r>
        <w:rPr>
          <w:rStyle w:val="VerbatimChar"/>
        </w:rPr>
        <w:t xml:space="preserve">perf c2c</w:t>
      </w:r>
      <w:r>
        <w:t xml:space="preserve"> </w:t>
      </w:r>
      <w:r>
        <w:t xml:space="preserve">or cache-miss counters; (3) NUMA effects if the larger instance spans sockets; (4) vCPUs are hyperthreads, so 32 vCPUs are 16 cores. Measure per-core utilization and IPC before and after, then test hypotheses one by one. Netflix’s published 2022 case was exactly this pattern, caused by cache-line sharing in the JVM.</w:t>
      </w:r>
    </w:p>
    <w:p>
      <w:pPr>
        <w:pStyle w:val="BodyText"/>
      </w:pPr>
      <w:r>
        <w:rPr>
          <w:bCs/>
          <w:b/>
        </w:rPr>
        <w:t xml:space="preserve">Q4. How would you size a thread pool for a service that calls a database?</w:t>
      </w:r>
      <w:r>
        <w:t xml:space="preserve"> </w:t>
      </w:r>
      <w:r>
        <w:rPr>
          <w:bCs/>
          <w:b/>
        </w:rPr>
        <w:t xml:space="preserve">Answer.</w:t>
      </w:r>
      <w:r>
        <w:t xml:space="preserve"> </w:t>
      </w:r>
      <w:r>
        <w:t xml:space="preserve">Measure CPU time per request</w:t>
      </w:r>
      <w:r>
        <w:t xml:space="preserve"> </w:t>
      </w:r>
      <m:oMath>
        <m:r>
          <m:t>C</m:t>
        </m:r>
      </m:oMath>
      <w:r>
        <w:t xml:space="preserve"> </w:t>
      </w:r>
      <w:r>
        <w:t xml:space="preserve">and wait time</w:t>
      </w:r>
      <w:r>
        <w:t xml:space="preserve"> </w:t>
      </w:r>
      <m:oMath>
        <m:r>
          <m:t>W</m:t>
        </m:r>
      </m:oMath>
      <w:r>
        <w:t xml:space="preserve">. Start with</w:t>
      </w:r>
      <w:r>
        <w:t xml:space="preserve"> </w:t>
      </w:r>
      <m:oMath>
        <m:r>
          <m:t>N</m:t>
        </m:r>
        <m:r>
          <m:rPr>
            <m:sty m:val="p"/>
          </m:rPr>
          <m:t>=</m:t>
        </m:r>
        <m:sSub>
          <m:e>
            <m:r>
              <m:t>N</m:t>
            </m:r>
          </m:e>
          <m:sub>
            <m:r>
              <m:t>c</m:t>
            </m:r>
            <m:r>
              <m:t>o</m:t>
            </m:r>
            <m:r>
              <m:t>r</m:t>
            </m:r>
            <m:r>
              <m:t>e</m:t>
            </m:r>
            <m:r>
              <m:t>s</m:t>
            </m:r>
          </m:sub>
        </m:sSub>
        <m:r>
          <m:rPr>
            <m:sty m:val="p"/>
          </m:rPr>
          <m:t>×</m:t>
        </m:r>
        <m:r>
          <m:t>U</m:t>
        </m:r>
        <m:r>
          <m:rPr>
            <m:sty m:val="p"/>
          </m:rPr>
          <m:t>×</m:t>
        </m:r>
        <m:d>
          <m:dPr>
            <m:begChr m:val="("/>
            <m:endChr m:val=")"/>
            <m:sepChr m:val=""/>
            <m:grow/>
          </m:dPr>
          <m:e>
            <m:r>
              <m:t>1</m:t>
            </m:r>
            <m:r>
              <m:rPr>
                <m:sty m:val="p"/>
              </m:rPr>
              <m:t>+</m:t>
            </m:r>
            <m:r>
              <m:t>W</m:t>
            </m:r>
            <m:r>
              <m:rPr>
                <m:sty m:val="p"/>
              </m:rPr>
              <m:t>/</m:t>
            </m:r>
            <m:r>
              <m:t>C</m:t>
            </m:r>
          </m:e>
        </m:d>
      </m:oMath>
      <w:r>
        <w:t xml:space="preserve">; e.g., 8 cores,</w:t>
      </w:r>
      <w:r>
        <w:t xml:space="preserve"> </w:t>
      </w:r>
      <m:oMath>
        <m:r>
          <m:t>C</m:t>
        </m:r>
        <m:r>
          <m:rPr>
            <m:sty m:val="p"/>
          </m:rPr>
          <m:t>=</m:t>
        </m:r>
        <m:r>
          <m:t>5</m:t>
        </m:r>
      </m:oMath>
      <w:r>
        <w:t xml:space="preserve"> </w:t>
      </w:r>
      <w:r>
        <w:t xml:space="preserve">ms,</w:t>
      </w:r>
      <w:r>
        <w:t xml:space="preserve"> </w:t>
      </w:r>
      <m:oMath>
        <m:r>
          <m:t>W</m:t>
        </m:r>
        <m:r>
          <m:rPr>
            <m:sty m:val="p"/>
          </m:rPr>
          <m:t>=</m:t>
        </m:r>
        <m:r>
          <m:t>50</m:t>
        </m:r>
      </m:oMath>
      <w:r>
        <w:t xml:space="preserve"> </w:t>
      </w:r>
      <w:r>
        <w:t xml:space="preserve">ms gives ~88 threads at full utilization. Then cap it by the downstream: the database connection pool and the database’s own capacity. Validate with a load test, watching p99 latency and CPU; if latency rises without throughput gain, the pool is too large. For very high concurrency, consider async I/O instead.</w:t>
      </w:r>
    </w:p>
    <w:bookmarkEnd w:id="554"/>
    <w:bookmarkStart w:id="555" w:name="advanced-4"/>
    <w:p>
      <w:pPr>
        <w:pStyle w:val="Heading3"/>
      </w:pPr>
      <w:r>
        <w:t xml:space="preserve">Advanced</w:t>
      </w:r>
    </w:p>
    <w:p>
      <w:pPr>
        <w:pStyle w:val="FirstParagraph"/>
      </w:pPr>
      <w:r>
        <w:rPr>
          <w:bCs/>
          <w:b/>
        </w:rPr>
        <w:t xml:space="preserve">Q5. Explain why Kafka can sustain high throughput even on hard disks.</w:t>
      </w:r>
      <w:r>
        <w:t xml:space="preserve"> </w:t>
      </w:r>
      <w:r>
        <w:rPr>
          <w:bCs/>
          <w:b/>
        </w:rPr>
        <w:t xml:space="preserve">Answer.</w:t>
      </w:r>
      <w:r>
        <w:t xml:space="preserve"> </w:t>
      </w:r>
      <w:r>
        <w:t xml:space="preserve">Each partition is an append-only log, so writes are sequential (no seeks). Reads by consumers are also mostly sequential and usually served from the OS page cache because recently written data is still in RAM. Producers and brokers batch many messages per request, amortizing per-request fixed costs (Table 5.13). Data is sent from page cache to socket without copying through user space (zero-copy, §31.13). Each design choice maps to a hardware fact: sequential ≫ random, fixed per-operation costs, and DRAM ≫ disk.</w:t>
      </w:r>
    </w:p>
    <w:p>
      <w:pPr>
        <w:pStyle w:val="BodyText"/>
      </w:pPr>
      <w:r>
        <w:rPr>
          <w:bCs/>
          <w:b/>
        </w:rPr>
        <w:t xml:space="preserve">Q6. Design the counters for a metrics library that must record 50 million increments per second across 64 cores.</w:t>
      </w:r>
      <w:r>
        <w:t xml:space="preserve"> </w:t>
      </w:r>
      <w:r>
        <w:rPr>
          <w:bCs/>
          <w:b/>
        </w:rPr>
        <w:t xml:space="preserve">Answer.</w:t>
      </w:r>
      <w:r>
        <w:t xml:space="preserve"> </w:t>
      </w:r>
      <w:r>
        <w:t xml:space="preserve">A single shared atomic counter would ping-pong one cache line between 64 cores and cap at a few tens of millions of updates per second or less, with heavy cross-core traffic. Instead, give each core (or thread) its own counter, each padded to its own cache line (or grouped per core in a per-core region), and increment it with plain or relaxed atomic operations. A reader sums all slots when scraping — reads are rare, so their cost is irrelevant. This trades a little memory (64 lines × 64 B = 4 KiB per counter) and slightly stale reads for near-linear scaling. Keep each core’s slots on its own NUMA node. This is the same</w:t>
      </w:r>
      <w:r>
        <w:t xml:space="preserve"> </w:t>
      </w:r>
      <w:r>
        <w:t xml:space="preserve">“</w:t>
      </w:r>
      <w:r>
        <w:t xml:space="preserve">partition, don’t share</w:t>
      </w:r>
      <w:r>
        <w:t xml:space="preserve">”</w:t>
      </w:r>
      <w:r>
        <w:t xml:space="preserve"> </w:t>
      </w:r>
      <w:r>
        <w:t xml:space="preserve">principle used by shard-per-core databases.</w:t>
      </w:r>
    </w:p>
    <w:bookmarkEnd w:id="555"/>
    <w:bookmarkEnd w:id="556"/>
    <w:bookmarkStart w:id="557" w:name="practical-exercises-4"/>
    <w:p>
      <w:pPr>
        <w:pStyle w:val="Heading2"/>
      </w:pPr>
      <w:r>
        <w:t xml:space="preserve">5.16 Practical exercises</w:t>
      </w:r>
    </w:p>
    <w:p>
      <w:pPr>
        <w:numPr>
          <w:ilvl w:val="0"/>
          <w:numId w:val="1167"/>
        </w:numPr>
        <w:pStyle w:val="Compact"/>
      </w:pPr>
      <w:r>
        <w:rPr>
          <w:bCs/>
          <w:b/>
        </w:rPr>
        <w:t xml:space="preserve">Cache-line stride benchmark (Python + numpy).</w:t>
      </w:r>
      <w:r>
        <w:t xml:space="preserve"> </w:t>
      </w:r>
      <w:r>
        <w:t xml:space="preserve">Run the program below. Plot nanoseconds per element against stride. Explain why the cost per element rises until the stride reaches about 64–128 bytes and then levels off, and why total time stays roughly constant for strides up to 64 bytes.</w:t>
      </w:r>
    </w:p>
    <w:p>
      <w:pPr>
        <w:pStyle w:val="SourceCode"/>
      </w:pPr>
      <w:r>
        <w:rPr>
          <w:rStyle w:val="CommentTok"/>
        </w:rPr>
        <w:t xml:space="preserve">"""stride.py — how access stride affects time per element touched.</w:t>
      </w:r>
      <w:r>
        <w:br/>
      </w:r>
      <w:r>
        <w:br/>
      </w:r>
      <w:r>
        <w:rPr>
          <w:rStyle w:val="CommentTok"/>
        </w:rPr>
        <w:t xml:space="preserve">Run: python3 stride.py   (needs numpy)</w:t>
      </w:r>
      <w:r>
        <w:br/>
      </w:r>
      <w:r>
        <w:rPr>
          <w:rStyle w:val="CommentTok"/>
        </w:rPr>
        <w:t xml:space="preserve">"""</w:t>
      </w:r>
      <w:r>
        <w:br/>
      </w:r>
      <w:r>
        <w:rPr>
          <w:rStyle w:val="ImportTok"/>
        </w:rPr>
        <w:t xml:space="preserve">import</w:t>
      </w:r>
      <w:r>
        <w:rPr>
          <w:rStyle w:val="NormalTok"/>
        </w:rPr>
        <w:t xml:space="preserve"> time</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N_BYTES </w:t>
      </w:r>
      <w:r>
        <w:rPr>
          <w:rStyle w:val="OperatorTok"/>
        </w:rPr>
        <w:t xml:space="preserve">=</w:t>
      </w:r>
      <w:r>
        <w:rPr>
          <w:rStyle w:val="NormalTok"/>
        </w:rPr>
        <w:t xml:space="preserve"> </w:t>
      </w:r>
      <w:r>
        <w:rPr>
          <w:rStyle w:val="DecValTok"/>
        </w:rPr>
        <w:t xml:space="preserve">256</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CommentTok"/>
        </w:rPr>
        <w:t xml:space="preserve"># 256 MiB buffer, far larger than any L3</w:t>
      </w:r>
      <w:r>
        <w:br/>
      </w:r>
      <w:r>
        <w:rPr>
          <w:rStyle w:val="NormalTok"/>
        </w:rPr>
        <w:t xml:space="preserve">data </w:t>
      </w:r>
      <w:r>
        <w:rPr>
          <w:rStyle w:val="OperatorTok"/>
        </w:rPr>
        <w:t xml:space="preserve">=</w:t>
      </w:r>
      <w:r>
        <w:rPr>
          <w:rStyle w:val="NormalTok"/>
        </w:rPr>
        <w:t xml:space="preserve"> np.ones(N_BYTES </w:t>
      </w:r>
      <w:r>
        <w:rPr>
          <w:rStyle w:val="OperatorTok"/>
        </w:rPr>
        <w:t xml:space="preserve">//</w:t>
      </w:r>
      <w:r>
        <w:rPr>
          <w:rStyle w:val="NormalTok"/>
        </w:rPr>
        <w:t xml:space="preserve"> </w:t>
      </w:r>
      <w:r>
        <w:rPr>
          <w:rStyle w:val="DecValTok"/>
        </w:rPr>
        <w:t xml:space="preserve">8</w:t>
      </w:r>
      <w:r>
        <w:rPr>
          <w:rStyle w:val="NormalTok"/>
        </w:rPr>
        <w:t xml:space="preserve">, dtype</w:t>
      </w:r>
      <w:r>
        <w:rPr>
          <w:rStyle w:val="OperatorTok"/>
        </w:rPr>
        <w:t xml:space="preserve">=</w:t>
      </w:r>
      <w:r>
        <w:rPr>
          <w:rStyle w:val="NormalTok"/>
        </w:rPr>
        <w:t xml:space="preserve">np.int64)   </w:t>
      </w:r>
      <w:r>
        <w:rPr>
          <w:rStyle w:val="CommentTok"/>
        </w:rPr>
        <w:t xml:space="preserve"># 8-byte elements</w:t>
      </w:r>
      <w:r>
        <w:br/>
      </w:r>
      <w:r>
        <w:br/>
      </w:r>
      <w:r>
        <w:rPr>
          <w:rStyle w:val="KeywordTok"/>
        </w:rPr>
        <w:t xml:space="preserve">def</w:t>
      </w:r>
      <w:r>
        <w:rPr>
          <w:rStyle w:val="NormalTok"/>
        </w:rPr>
        <w:t xml:space="preserve"> ns_per_element(stride_elems: </w:t>
      </w:r>
      <w:r>
        <w:rPr>
          <w:rStyle w:val="BuiltInTok"/>
        </w:rPr>
        <w:t xml:space="preserve">int</w:t>
      </w:r>
      <w:r>
        <w:rPr>
          <w:rStyle w:val="NormalTok"/>
        </w:rPr>
        <w:t xml:space="preserve">, repeats: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view </w:t>
      </w:r>
      <w:r>
        <w:rPr>
          <w:rStyle w:val="OperatorTok"/>
        </w:rPr>
        <w:t xml:space="preserve">=</w:t>
      </w:r>
      <w:r>
        <w:rPr>
          <w:rStyle w:val="NormalTok"/>
        </w:rPr>
        <w:t xml:space="preserve"> data[::stride_elems]          </w:t>
      </w:r>
      <w:r>
        <w:rPr>
          <w:rStyle w:val="CommentTok"/>
        </w:rPr>
        <w:t xml:space="preserve"># strided view, no copy</w:t>
      </w:r>
      <w:r>
        <w:br/>
      </w:r>
      <w:r>
        <w:rPr>
          <w:rStyle w:val="NormalTok"/>
        </w:rPr>
        <w:t xml:space="preserve">    best </w:t>
      </w:r>
      <w:r>
        <w:rPr>
          <w:rStyle w:val="OperatorTok"/>
        </w:rPr>
        <w:t xml:space="preserve">=</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(repeats):</w:t>
      </w:r>
      <w:r>
        <w:br/>
      </w:r>
      <w:r>
        <w:rPr>
          <w:rStyle w:val="NormalTok"/>
        </w:rPr>
        <w:t xml:space="preserve">        t0 </w:t>
      </w:r>
      <w:r>
        <w:rPr>
          <w:rStyle w:val="OperatorTok"/>
        </w:rPr>
        <w:t xml:space="preserve">=</w:t>
      </w:r>
      <w:r>
        <w:rPr>
          <w:rStyle w:val="NormalTok"/>
        </w:rPr>
        <w:t xml:space="preserve"> time.perf_counter()</w:t>
      </w:r>
      <w:r>
        <w:br/>
      </w:r>
      <w:r>
        <w:rPr>
          <w:rStyle w:val="NormalTok"/>
        </w:rPr>
        <w:t xml:space="preserve">        view.</w:t>
      </w:r>
      <w:r>
        <w:rPr>
          <w:rStyle w:val="BuiltInTok"/>
        </w:rPr>
        <w:t xml:space="preserve">sum</w:t>
      </w:r>
      <w:r>
        <w:rPr>
          <w:rStyle w:val="NormalTok"/>
        </w:rPr>
        <w:t xml:space="preserve">()                       </w:t>
      </w:r>
      <w:r>
        <w:rPr>
          <w:rStyle w:val="CommentTok"/>
        </w:rPr>
        <w:t xml:space="preserve"># touches every element of the view</w:t>
      </w:r>
      <w:r>
        <w:br/>
      </w:r>
      <w:r>
        <w:rPr>
          <w:rStyle w:val="NormalTok"/>
        </w:rPr>
        <w:t xml:space="preserve">        best </w:t>
      </w:r>
      <w:r>
        <w:rPr>
          <w:rStyle w:val="OperatorTok"/>
        </w:rPr>
        <w:t xml:space="preserve">=</w:t>
      </w:r>
      <w:r>
        <w:rPr>
          <w:rStyle w:val="NormalTok"/>
        </w:rPr>
        <w:t xml:space="preserve"> </w:t>
      </w:r>
      <w:r>
        <w:rPr>
          <w:rStyle w:val="BuiltInTok"/>
        </w:rPr>
        <w:t xml:space="preserve">min</w:t>
      </w:r>
      <w:r>
        <w:rPr>
          <w:rStyle w:val="NormalTok"/>
        </w:rPr>
        <w:t xml:space="preserve">(best, time.perf_counter() </w:t>
      </w:r>
      <w:r>
        <w:rPr>
          <w:rStyle w:val="OperatorTok"/>
        </w:rPr>
        <w:t xml:space="preserve">-</w:t>
      </w:r>
      <w:r>
        <w:rPr>
          <w:rStyle w:val="NormalTok"/>
        </w:rPr>
        <w:t xml:space="preserve"> t0)</w:t>
      </w:r>
      <w:r>
        <w:br/>
      </w:r>
      <w:r>
        <w:rPr>
          <w:rStyle w:val="NormalTok"/>
        </w:rPr>
        <w:t xml:space="preserve">    </w:t>
      </w:r>
      <w:r>
        <w:rPr>
          <w:rStyle w:val="ControlFlowTok"/>
        </w:rPr>
        <w:t xml:space="preserve">return</w:t>
      </w:r>
      <w:r>
        <w:rPr>
          <w:rStyle w:val="NormalTok"/>
        </w:rPr>
        <w:t xml:space="preserve"> best </w:t>
      </w:r>
      <w:r>
        <w:rPr>
          <w:rStyle w:val="OperatorTok"/>
        </w:rPr>
        <w:t xml:space="preserve">/</w:t>
      </w:r>
      <w:r>
        <w:rPr>
          <w:rStyle w:val="NormalTok"/>
        </w:rPr>
        <w:t xml:space="preserve"> view.size </w:t>
      </w:r>
      <w:r>
        <w:rPr>
          <w:rStyle w:val="OperatorTok"/>
        </w:rPr>
        <w:t xml:space="preserve">*</w:t>
      </w:r>
      <w:r>
        <w:rPr>
          <w:rStyle w:val="NormalTok"/>
        </w:rPr>
        <w:t xml:space="preserve"> </w:t>
      </w:r>
      <w:r>
        <w:rPr>
          <w:rStyle w:val="FloatTok"/>
        </w:rPr>
        <w:t xml:space="preserve">1e9</w:t>
      </w:r>
      <w:r>
        <w:br/>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'stride (B)'</w:t>
      </w:r>
      <w:r>
        <w:rPr>
          <w:rStyle w:val="SpecialCharTok"/>
        </w:rPr>
        <w:t xml:space="preserve">:&gt;10}</w:t>
      </w:r>
      <w:r>
        <w:rPr>
          <w:rStyle w:val="SpecialStringTok"/>
        </w:rPr>
        <w:t xml:space="preserve"> </w:t>
      </w:r>
      <w:r>
        <w:rPr>
          <w:rStyle w:val="SpecialCharTok"/>
        </w:rPr>
        <w:t xml:space="preserve">{</w:t>
      </w:r>
      <w:r>
        <w:rPr>
          <w:rStyle w:val="StringTok"/>
        </w:rPr>
        <w:t xml:space="preserve">'elements'</w:t>
      </w:r>
      <w:r>
        <w:rPr>
          <w:rStyle w:val="SpecialCharTok"/>
        </w:rPr>
        <w:t xml:space="preserve">:&gt;12}</w:t>
      </w:r>
      <w:r>
        <w:rPr>
          <w:rStyle w:val="SpecialStringTok"/>
        </w:rPr>
        <w:t xml:space="preserve"> </w:t>
      </w:r>
      <w:r>
        <w:rPr>
          <w:rStyle w:val="SpecialCharTok"/>
        </w:rPr>
        <w:t xml:space="preserve">{</w:t>
      </w:r>
      <w:r>
        <w:rPr>
          <w:rStyle w:val="StringTok"/>
        </w:rPr>
        <w:t xml:space="preserve">'ns/element'</w:t>
      </w:r>
      <w:r>
        <w:rPr>
          <w:rStyle w:val="SpecialCharTok"/>
        </w:rPr>
        <w:t xml:space="preserve">:&gt;11}</w:t>
      </w:r>
      <w:r>
        <w:rPr>
          <w:rStyle w:val="SpecialStringTok"/>
        </w:rPr>
        <w:t xml:space="preserve">"</w:t>
      </w:r>
      <w:r>
        <w:rPr>
          <w:rStyle w:val="NormalTok"/>
        </w:rPr>
        <w:t xml:space="preserve">)</w:t>
      </w:r>
      <w:r>
        <w:br/>
      </w:r>
      <w:r>
        <w:rPr>
          <w:rStyle w:val="ControlFlowTok"/>
        </w:rPr>
        <w:t xml:space="preserve">for</w:t>
      </w:r>
      <w:r>
        <w:rPr>
          <w:rStyle w:val="NormalTok"/>
        </w:rPr>
        <w:t xml:space="preserve"> stride </w:t>
      </w:r>
      <w:r>
        <w:rPr>
          <w:rStyle w:val="KeywordTok"/>
        </w:rPr>
        <w:t xml:space="preserve">in</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DecValTok"/>
        </w:rPr>
        <w:t xml:space="preserve">128</w:t>
      </w:r>
      <w:r>
        <w:rPr>
          <w:rStyle w:val="NormalTok"/>
        </w:rPr>
        <w:t xml:space="preserve">, </w:t>
      </w:r>
      <w:r>
        <w:rPr>
          <w:rStyle w:val="DecValTok"/>
        </w:rPr>
        <w:t xml:space="preserve">512</w:t>
      </w:r>
      <w:r>
        <w:rPr>
          <w:rStyle w:val="NormalTok"/>
        </w:rPr>
        <w:t xml:space="preserve">]:</w:t>
      </w:r>
      <w:r>
        <w:br/>
      </w:r>
      <w:r>
        <w:rPr>
          <w:rStyle w:val="NormalTok"/>
        </w:rPr>
        <w:t xml:space="preserve">    n </w:t>
      </w:r>
      <w:r>
        <w:rPr>
          <w:rStyle w:val="OperatorTok"/>
        </w:rPr>
        <w:t xml:space="preserve">=</w:t>
      </w:r>
      <w:r>
        <w:rPr>
          <w:rStyle w:val="NormalTok"/>
        </w:rPr>
        <w:t xml:space="preserve"> data[::stride].size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stride </w:t>
      </w:r>
      <w:r>
        <w:rPr>
          <w:rStyle w:val="OperatorTok"/>
        </w:rPr>
        <w:t xml:space="preserve">*</w:t>
      </w:r>
      <w:r>
        <w:rPr>
          <w:rStyle w:val="NormalTok"/>
        </w:rPr>
        <w:t xml:space="preserve"> </w:t>
      </w:r>
      <w:r>
        <w:rPr>
          <w:rStyle w:val="DecValTok"/>
        </w:rPr>
        <w:t xml:space="preserve">8</w:t>
      </w:r>
      <w:r>
        <w:rPr>
          <w:rStyle w:val="SpecialCharTok"/>
        </w:rPr>
        <w:t xml:space="preserve">:&gt;10}</w:t>
      </w:r>
      <w:r>
        <w:rPr>
          <w:rStyle w:val="SpecialStringTok"/>
        </w:rPr>
        <w:t xml:space="preserve"> </w:t>
      </w:r>
      <w:r>
        <w:rPr>
          <w:rStyle w:val="SpecialCharTok"/>
        </w:rPr>
        <w:t xml:space="preserve">{</w:t>
      </w:r>
      <w:r>
        <w:rPr>
          <w:rStyle w:val="NormalTok"/>
        </w:rPr>
        <w:t xml:space="preserve">n</w:t>
      </w:r>
      <w:r>
        <w:rPr>
          <w:rStyle w:val="SpecialCharTok"/>
        </w:rPr>
        <w:t xml:space="preserve">:&gt;12,}</w:t>
      </w:r>
      <w:r>
        <w:rPr>
          <w:rStyle w:val="SpecialStringTok"/>
        </w:rPr>
        <w:t xml:space="preserve"> </w:t>
      </w:r>
      <w:r>
        <w:rPr>
          <w:rStyle w:val="SpecialCharTok"/>
        </w:rPr>
        <w:t xml:space="preserve">{</w:t>
      </w:r>
      <w:r>
        <w:rPr>
          <w:rStyle w:val="NormalTok"/>
        </w:rPr>
        <w:t xml:space="preserve">ns_per_element(stride)</w:t>
      </w:r>
      <w:r>
        <w:rPr>
          <w:rStyle w:val="SpecialCharTok"/>
        </w:rPr>
        <w:t xml:space="preserve">:&gt;11.2f}</w:t>
      </w:r>
      <w:r>
        <w:rPr>
          <w:rStyle w:val="SpecialStringTok"/>
        </w:rPr>
        <w:t xml:space="preserve">"</w:t>
      </w:r>
      <w:r>
        <w:rPr>
          <w:rStyle w:val="NormalTok"/>
        </w:rPr>
        <w:t xml:space="preserve">)</w:t>
      </w:r>
    </w:p>
    <w:p>
      <w:pPr>
        <w:pStyle w:val="FirstParagraph"/>
      </w:pPr>
      <w:r>
        <w:t xml:space="preserve">What to notice: up to a 64-byte stride every cache line is still fetched, so total time is dominated by moving 256 MiB from DRAM and the time</w:t>
      </w:r>
      <w:r>
        <w:t xml:space="preserve"> </w:t>
      </w:r>
      <w:r>
        <w:rPr>
          <w:iCs/>
          <w:i/>
        </w:rPr>
        <w:t xml:space="preserve">per element</w:t>
      </w:r>
      <w:r>
        <w:t xml:space="preserve"> </w:t>
      </w:r>
      <w:r>
        <w:t xml:space="preserve">grows as fewer elements share each line; beyond 64 bytes each element costs one line fetch (plus adjacent-line prefetch effects up to ~128 bytes). On the test VM the cost rose from ~0.7 ns/element at an 8-byte stride to ~7 ns/element at 256 bytes and above.</w:t>
      </w:r>
    </w:p>
    <w:p>
      <w:pPr>
        <w:numPr>
          <w:ilvl w:val="0"/>
          <w:numId w:val="1168"/>
        </w:numPr>
        <w:pStyle w:val="Compact"/>
      </w:pPr>
      <w:r>
        <w:rPr>
          <w:bCs/>
          <w:b/>
        </w:rPr>
        <w:t xml:space="preserve">False sharing.</w:t>
      </w:r>
      <w:r>
        <w:t xml:space="preserve"> </w:t>
      </w:r>
      <w:r>
        <w:t xml:space="preserve">Compile and run</w:t>
      </w:r>
      <w:r>
        <w:t xml:space="preserve"> </w:t>
      </w:r>
      <w:r>
        <w:rPr>
          <w:rStyle w:val="VerbatimChar"/>
        </w:rPr>
        <w:t xml:space="preserve">false_sharing.c</w:t>
      </w:r>
      <w:r>
        <w:t xml:space="preserve"> </w:t>
      </w:r>
      <w:r>
        <w:t xml:space="preserve">from §5.4.7. Then change</w:t>
      </w:r>
      <w:r>
        <w:t xml:space="preserve"> </w:t>
      </w:r>
      <w:r>
        <w:rPr>
          <w:rStyle w:val="VerbatimChar"/>
        </w:rPr>
        <w:t xml:space="preserve">CACHE_LINE</w:t>
      </w:r>
      <w:r>
        <w:t xml:space="preserve"> </w:t>
      </w:r>
      <w:r>
        <w:t xml:space="preserve">to 32 and 128 and explain the results. Finally, run the packed version with both threads pinned to the same core (</w:t>
      </w:r>
      <w:r>
        <w:rPr>
          <w:rStyle w:val="VerbatimChar"/>
        </w:rPr>
        <w:t xml:space="preserve">taskset -c 0 ./fs</w:t>
      </w:r>
      <w:r>
        <w:t xml:space="preserve">) and explain why the penalty disappears.</w:t>
      </w:r>
    </w:p>
    <w:p>
      <w:pPr>
        <w:numPr>
          <w:ilvl w:val="0"/>
          <w:numId w:val="1168"/>
        </w:numPr>
        <w:pStyle w:val="Compact"/>
      </w:pPr>
      <w:r>
        <w:rPr>
          <w:bCs/>
          <w:b/>
        </w:rPr>
        <w:t xml:space="preserve">Disk and SSD.</w:t>
      </w:r>
      <w:r>
        <w:t xml:space="preserve"> </w:t>
      </w:r>
      <w:r>
        <w:t xml:space="preserve">Using</w:t>
      </w:r>
      <w:r>
        <w:t xml:space="preserve"> </w:t>
      </w:r>
      <w:r>
        <w:rPr>
          <w:rStyle w:val="VerbatimChar"/>
        </w:rPr>
        <w:t xml:space="preserve">fio</w:t>
      </w:r>
      <w:r>
        <w:t xml:space="preserve">, measure random 4 KiB read IOPS at queue depths 1, 4, 16 and 64 on a scratch file on your SSD. Check that IOPS ≈ QD / latency until the device saturates.</w:t>
      </w:r>
    </w:p>
    <w:p>
      <w:pPr>
        <w:numPr>
          <w:ilvl w:val="0"/>
          <w:numId w:val="1168"/>
        </w:numPr>
        <w:pStyle w:val="Compact"/>
      </w:pPr>
      <w:r>
        <w:rPr>
          <w:bCs/>
          <w:b/>
        </w:rPr>
        <w:t xml:space="preserve">CPU-bound or I/O-bound?</w:t>
      </w:r>
      <w:r>
        <w:t xml:space="preserve"> </w:t>
      </w:r>
      <w:r>
        <w:t xml:space="preserve">Run a compression job (</w:t>
      </w:r>
      <w:r>
        <w:rPr>
          <w:rStyle w:val="VerbatimChar"/>
        </w:rPr>
        <w:t xml:space="preserve">gzip</w:t>
      </w:r>
      <w:r>
        <w:t xml:space="preserve"> </w:t>
      </w:r>
      <w:r>
        <w:t xml:space="preserve">on a large file) and a script that downloads 100 URLs sequentially, each under</w:t>
      </w:r>
      <w:r>
        <w:t xml:space="preserve"> </w:t>
      </w:r>
      <w:r>
        <w:rPr>
          <w:rStyle w:val="VerbatimChar"/>
        </w:rPr>
        <w:t xml:space="preserve">time</w:t>
      </w:r>
      <w:r>
        <w:t xml:space="preserve">. Compare real versus user + sys and watch</w:t>
      </w:r>
      <w:r>
        <w:t xml:space="preserve"> </w:t>
      </w:r>
      <w:r>
        <w:rPr>
          <w:rStyle w:val="VerbatimChar"/>
        </w:rPr>
        <w:t xml:space="preserve">vmstat 1</w:t>
      </w:r>
      <w:r>
        <w:t xml:space="preserve"> </w:t>
      </w:r>
      <w:r>
        <w:t xml:space="preserve">during each.</w:t>
      </w:r>
    </w:p>
    <w:p>
      <w:pPr>
        <w:numPr>
          <w:ilvl w:val="0"/>
          <w:numId w:val="1168"/>
        </w:numPr>
        <w:pStyle w:val="Compact"/>
      </w:pPr>
      <w:r>
        <w:rPr>
          <w:bCs/>
          <w:b/>
        </w:rPr>
        <w:t xml:space="preserve">Topology tour.</w:t>
      </w:r>
      <w:r>
        <w:t xml:space="preserve"> </w:t>
      </w:r>
      <w:r>
        <w:t xml:space="preserve">On a Linux machine, record the output of</w:t>
      </w:r>
      <w:r>
        <w:t xml:space="preserve"> </w:t>
      </w:r>
      <w:r>
        <w:rPr>
          <w:rStyle w:val="VerbatimChar"/>
        </w:rPr>
        <w:t xml:space="preserve">lscpu</w:t>
      </w:r>
      <w:r>
        <w:t xml:space="preserve">,</w:t>
      </w:r>
      <w:r>
        <w:t xml:space="preserve"> </w:t>
      </w:r>
      <w:r>
        <w:rPr>
          <w:rStyle w:val="VerbatimChar"/>
        </w:rPr>
        <w:t xml:space="preserve">lscpu -C</w:t>
      </w:r>
      <w:r>
        <w:t xml:space="preserve"> </w:t>
      </w:r>
      <w:r>
        <w:t xml:space="preserve">(cache sizes and line size) and</w:t>
      </w:r>
      <w:r>
        <w:t xml:space="preserve"> </w:t>
      </w:r>
      <w:r>
        <w:rPr>
          <w:rStyle w:val="VerbatimChar"/>
        </w:rPr>
        <w:t xml:space="preserve">numactl --hardware</w:t>
      </w:r>
      <w:r>
        <w:t xml:space="preserve">. Draw your own version of Figure 5.1 with real numbers.</w:t>
      </w:r>
    </w:p>
    <w:bookmarkEnd w:id="557"/>
    <w:bookmarkStart w:id="558" w:name="design-challenges-4"/>
    <w:p>
      <w:pPr>
        <w:pStyle w:val="Heading2"/>
      </w:pPr>
      <w:r>
        <w:t xml:space="preserve">5.17 Design challenges</w:t>
      </w:r>
    </w:p>
    <w:p>
      <w:pPr>
        <w:numPr>
          <w:ilvl w:val="0"/>
          <w:numId w:val="1169"/>
        </w:numPr>
        <w:pStyle w:val="Compact"/>
      </w:pPr>
      <w:r>
        <w:rPr>
          <w:bCs/>
          <w:b/>
        </w:rPr>
        <w:t xml:space="preserve">Log-structured key-value store on HDDs.</w:t>
      </w:r>
      <w:r>
        <w:t xml:space="preserve"> </w:t>
      </w:r>
      <w:r>
        <w:t xml:space="preserve">You must store 20 TB of 1 KB values on HDDs with 50,000 writes/s and 5,000 random reads/s. Estimate how many disks a random-write design would need versus an append-only log with an in-memory index, and what the memory cost of the index would be.</w:t>
      </w:r>
    </w:p>
    <w:p>
      <w:pPr>
        <w:numPr>
          <w:ilvl w:val="0"/>
          <w:numId w:val="1169"/>
        </w:numPr>
        <w:pStyle w:val="Compact"/>
      </w:pPr>
      <w:r>
        <w:rPr>
          <w:bCs/>
          <w:b/>
        </w:rPr>
        <w:t xml:space="preserve">Analytics scan budget.</w:t>
      </w:r>
      <w:r>
        <w:t xml:space="preserve"> </w:t>
      </w:r>
      <w:r>
        <w:t xml:space="preserve">Analysts want to scan a 2 TB table in under 10 seconds. Using Table 5.10, decide whether this is feasible from NVMe on one machine, from RAM on one machine, or only across a cluster, and how many nodes and what storage format (row or column) you would choose.</w:t>
      </w:r>
    </w:p>
    <w:p>
      <w:pPr>
        <w:numPr>
          <w:ilvl w:val="0"/>
          <w:numId w:val="1169"/>
        </w:numPr>
        <w:pStyle w:val="Compact"/>
      </w:pPr>
      <w:r>
        <w:rPr>
          <w:bCs/>
          <w:b/>
        </w:rPr>
        <w:t xml:space="preserve">Low-latency order gateway.</w:t>
      </w:r>
      <w:r>
        <w:t xml:space="preserve"> </w:t>
      </w:r>
      <w:r>
        <w:t xml:space="preserve">A trading gateway must handle 2 million messages/s with p99 under 20 µs on one server. Choose between interrupts, polling and kernel bypass for the NIC; decide thread-to-core and NUMA placement; and explain how you would avoid false sharing between the receive and send threads.</w:t>
      </w:r>
    </w:p>
    <w:bookmarkEnd w:id="558"/>
    <w:bookmarkStart w:id="559" w:name="references-4"/>
    <w:p>
      <w:pPr>
        <w:pStyle w:val="Heading2"/>
      </w:pPr>
      <w:r>
        <w:t xml:space="preserve">5.18 References</w:t>
      </w:r>
    </w:p>
    <w:p>
      <w:pPr>
        <w:numPr>
          <w:ilvl w:val="0"/>
          <w:numId w:val="1170"/>
        </w:numPr>
        <w:pStyle w:val="Compact"/>
      </w:pPr>
      <w:r>
        <w:t xml:space="preserve">Agrawal, N., Prabhakaran, V., Wobber, T., Davis, J. D., Manasse, M., Panigrahy, R.</w:t>
      </w:r>
      <w:r>
        <w:t xml:space="preserve"> </w:t>
      </w:r>
      <w:r>
        <w:rPr>
          <w:iCs/>
          <w:i/>
        </w:rPr>
        <w:t xml:space="preserve">Design Tradeoffs for SSD Performance</w:t>
      </w:r>
      <w:r>
        <w:t xml:space="preserve">. USENIX Annual Technical Conference, 2008.</w:t>
      </w:r>
    </w:p>
    <w:p>
      <w:pPr>
        <w:numPr>
          <w:ilvl w:val="0"/>
          <w:numId w:val="1170"/>
        </w:numPr>
        <w:pStyle w:val="Compact"/>
      </w:pPr>
      <w:r>
        <w:t xml:space="preserve">Apache Software Foundation.</w:t>
      </w:r>
      <w:r>
        <w:t xml:space="preserve"> </w:t>
      </w:r>
      <w:r>
        <w:rPr>
          <w:iCs/>
          <w:i/>
        </w:rPr>
        <w:t xml:space="preserve">Apache Kafka Documentation — Design</w:t>
      </w:r>
      <w:r>
        <w:t xml:space="preserve">. https://kafka.apache.org/documentation/#design</w:t>
      </w:r>
    </w:p>
    <w:p>
      <w:pPr>
        <w:numPr>
          <w:ilvl w:val="0"/>
          <w:numId w:val="1170"/>
        </w:numPr>
        <w:pStyle w:val="Compact"/>
      </w:pPr>
      <w:r>
        <w:t xml:space="preserve">Axboe, J.</w:t>
      </w:r>
      <w:r>
        <w:t xml:space="preserve"> </w:t>
      </w:r>
      <w:r>
        <w:rPr>
          <w:iCs/>
          <w:i/>
        </w:rPr>
        <w:t xml:space="preserve">Efficient IO with io_uring</w:t>
      </w:r>
      <w:r>
        <w:t xml:space="preserve">. 2019. https://kernel.dk/io_uring.pdf</w:t>
      </w:r>
    </w:p>
    <w:p>
      <w:pPr>
        <w:numPr>
          <w:ilvl w:val="0"/>
          <w:numId w:val="1170"/>
        </w:numPr>
        <w:pStyle w:val="Compact"/>
      </w:pPr>
      <w:r>
        <w:t xml:space="preserve">Boncz, P., Zukowski, M., Nes, N.</w:t>
      </w:r>
      <w:r>
        <w:t xml:space="preserve"> </w:t>
      </w:r>
      <w:r>
        <w:rPr>
          <w:iCs/>
          <w:i/>
        </w:rPr>
        <w:t xml:space="preserve">MonetDB/X100: Hyper-Pipelining Query Execution</w:t>
      </w:r>
      <w:r>
        <w:t xml:space="preserve">. CIDR, 2005.</w:t>
      </w:r>
    </w:p>
    <w:p>
      <w:pPr>
        <w:numPr>
          <w:ilvl w:val="0"/>
          <w:numId w:val="1170"/>
        </w:numPr>
        <w:pStyle w:val="Compact"/>
      </w:pPr>
      <w:r>
        <w:t xml:space="preserve">Bryant, R. E., O’Hallaron, D. R.</w:t>
      </w:r>
      <w:r>
        <w:t xml:space="preserve"> </w:t>
      </w:r>
      <w:r>
        <w:rPr>
          <w:iCs/>
          <w:i/>
        </w:rPr>
        <w:t xml:space="preserve">Computer Systems: A Programmer’s Perspective</w:t>
      </w:r>
      <w:r>
        <w:t xml:space="preserve">, 3rd ed. Pearson, 2015.</w:t>
      </w:r>
    </w:p>
    <w:p>
      <w:pPr>
        <w:numPr>
          <w:ilvl w:val="0"/>
          <w:numId w:val="1170"/>
        </w:numPr>
        <w:pStyle w:val="Compact"/>
      </w:pPr>
      <w:r>
        <w:t xml:space="preserve">Cole, J.</w:t>
      </w:r>
      <w:r>
        <w:t xml:space="preserve"> </w:t>
      </w:r>
      <w:r>
        <w:rPr>
          <w:iCs/>
          <w:i/>
        </w:rPr>
        <w:t xml:space="preserve">The MySQL</w:t>
      </w:r>
      <w:r>
        <w:rPr>
          <w:iCs/>
          <w:i/>
        </w:rPr>
        <w:t xml:space="preserve"> </w:t>
      </w:r>
      <w:r>
        <w:rPr>
          <w:iCs/>
          <w:i/>
        </w:rPr>
        <w:t xml:space="preserve">“</w:t>
      </w:r>
      <w:r>
        <w:rPr>
          <w:iCs/>
          <w:i/>
        </w:rPr>
        <w:t xml:space="preserve">swap insanity</w:t>
      </w:r>
      <w:r>
        <w:rPr>
          <w:iCs/>
          <w:i/>
        </w:rPr>
        <w:t xml:space="preserve">”</w:t>
      </w:r>
      <w:r>
        <w:rPr>
          <w:iCs/>
          <w:i/>
        </w:rPr>
        <w:t xml:space="preserve"> </w:t>
      </w:r>
      <w:r>
        <w:rPr>
          <w:iCs/>
          <w:i/>
        </w:rPr>
        <w:t xml:space="preserve">problem and the effects of the NUMA architecture</w:t>
      </w:r>
      <w:r>
        <w:t xml:space="preserve">. Blog post, 2010.</w:t>
      </w:r>
    </w:p>
    <w:p>
      <w:pPr>
        <w:numPr>
          <w:ilvl w:val="0"/>
          <w:numId w:val="1170"/>
        </w:numPr>
        <w:pStyle w:val="Compact"/>
      </w:pPr>
      <w:r>
        <w:t xml:space="preserve">Dean, J.</w:t>
      </w:r>
      <w:r>
        <w:t xml:space="preserve"> </w:t>
      </w:r>
      <w:r>
        <w:rPr>
          <w:iCs/>
          <w:i/>
        </w:rPr>
        <w:t xml:space="preserve">Designs, Lessons and Advice from Building Large Distributed Systems</w:t>
      </w:r>
      <w:r>
        <w:t xml:space="preserve">. Keynote, LADIS Workshop, 2009.</w:t>
      </w:r>
    </w:p>
    <w:p>
      <w:pPr>
        <w:numPr>
          <w:ilvl w:val="0"/>
          <w:numId w:val="1170"/>
        </w:numPr>
        <w:pStyle w:val="Compact"/>
      </w:pPr>
      <w:r>
        <w:t xml:space="preserve">DPDK Project.</w:t>
      </w:r>
      <w:r>
        <w:t xml:space="preserve"> </w:t>
      </w:r>
      <w:r>
        <w:rPr>
          <w:iCs/>
          <w:i/>
        </w:rPr>
        <w:t xml:space="preserve">Data Plane Development Kit Documentation</w:t>
      </w:r>
      <w:r>
        <w:t xml:space="preserve">. https://doc.dpdk.org/</w:t>
      </w:r>
    </w:p>
    <w:p>
      <w:pPr>
        <w:numPr>
          <w:ilvl w:val="0"/>
          <w:numId w:val="1170"/>
        </w:numPr>
        <w:pStyle w:val="Compact"/>
      </w:pPr>
      <w:r>
        <w:t xml:space="preserve">Drepper, U.</w:t>
      </w:r>
      <w:r>
        <w:t xml:space="preserve"> </w:t>
      </w:r>
      <w:r>
        <w:rPr>
          <w:iCs/>
          <w:i/>
        </w:rPr>
        <w:t xml:space="preserve">What Every Programmer Should Know About Memory</w:t>
      </w:r>
      <w:r>
        <w:t xml:space="preserve">. Red Hat, 2007. https://www.akkadia.org/drepper/cpumemory.pdf</w:t>
      </w:r>
    </w:p>
    <w:p>
      <w:pPr>
        <w:numPr>
          <w:ilvl w:val="0"/>
          <w:numId w:val="1170"/>
        </w:numPr>
        <w:pStyle w:val="Compact"/>
      </w:pPr>
      <w:r>
        <w:t xml:space="preserve">Filanovsky, V., Sane, H.</w:t>
      </w:r>
      <w:r>
        <w:t xml:space="preserve"> </w:t>
      </w:r>
      <w:r>
        <w:rPr>
          <w:iCs/>
          <w:i/>
        </w:rPr>
        <w:t xml:space="preserve">Seeing through hardware counters: a journey to threefold performance increase</w:t>
      </w:r>
      <w:r>
        <w:t xml:space="preserve">. Netflix Technology Blog, 2022.</w:t>
      </w:r>
    </w:p>
    <w:p>
      <w:pPr>
        <w:numPr>
          <w:ilvl w:val="0"/>
          <w:numId w:val="1170"/>
        </w:numPr>
        <w:pStyle w:val="Compact"/>
      </w:pPr>
      <w:r>
        <w:t xml:space="preserve">Goetz, B., Peierls, T., Bloch, J., Bowbeer, J., Holmes, D., Lea, D.</w:t>
      </w:r>
      <w:r>
        <w:t xml:space="preserve"> </w:t>
      </w:r>
      <w:r>
        <w:rPr>
          <w:iCs/>
          <w:i/>
        </w:rPr>
        <w:t xml:space="preserve">Java Concurrency in Practice</w:t>
      </w:r>
      <w:r>
        <w:t xml:space="preserve">. Addison-Wesley, 2006.</w:t>
      </w:r>
    </w:p>
    <w:p>
      <w:pPr>
        <w:numPr>
          <w:ilvl w:val="0"/>
          <w:numId w:val="1170"/>
        </w:numPr>
        <w:pStyle w:val="Compact"/>
      </w:pPr>
      <w:r>
        <w:t xml:space="preserve">Gregg, B.</w:t>
      </w:r>
      <w:r>
        <w:t xml:space="preserve"> </w:t>
      </w:r>
      <w:r>
        <w:rPr>
          <w:iCs/>
          <w:i/>
        </w:rPr>
        <w:t xml:space="preserve">Systems Performance: Enterprise and the Cloud</w:t>
      </w:r>
      <w:r>
        <w:t xml:space="preserve">, 2nd ed. Addison-Wesley, 2020.</w:t>
      </w:r>
    </w:p>
    <w:p>
      <w:pPr>
        <w:numPr>
          <w:ilvl w:val="0"/>
          <w:numId w:val="1170"/>
        </w:numPr>
        <w:pStyle w:val="Compact"/>
      </w:pPr>
      <w:r>
        <w:t xml:space="preserve">Hennessy, J. L., Patterson, D. A.</w:t>
      </w:r>
      <w:r>
        <w:t xml:space="preserve"> </w:t>
      </w:r>
      <w:r>
        <w:rPr>
          <w:iCs/>
          <w:i/>
        </w:rPr>
        <w:t xml:space="preserve">Computer Architecture: A Quantitative Approach</w:t>
      </w:r>
      <w:r>
        <w:t xml:space="preserve">, 6th ed. Morgan Kaufmann, 2017.</w:t>
      </w:r>
    </w:p>
    <w:p>
      <w:pPr>
        <w:numPr>
          <w:ilvl w:val="0"/>
          <w:numId w:val="1170"/>
        </w:numPr>
        <w:pStyle w:val="Compact"/>
      </w:pPr>
      <w:r>
        <w:t xml:space="preserve">Jouppi, N. P., et al. </w:t>
      </w:r>
      <w:r>
        <w:rPr>
          <w:iCs/>
          <w:i/>
        </w:rPr>
        <w:t xml:space="preserve">In-Datacenter Performance Analysis of a Tensor Processing Unit</w:t>
      </w:r>
      <w:r>
        <w:t xml:space="preserve">. ISCA, 2017.</w:t>
      </w:r>
    </w:p>
    <w:p>
      <w:pPr>
        <w:numPr>
          <w:ilvl w:val="0"/>
          <w:numId w:val="1170"/>
        </w:numPr>
        <w:pStyle w:val="Compact"/>
      </w:pPr>
      <w:r>
        <w:t xml:space="preserve">Lameter, C.</w:t>
      </w:r>
      <w:r>
        <w:t xml:space="preserve"> </w:t>
      </w:r>
      <w:r>
        <w:rPr>
          <w:iCs/>
          <w:i/>
        </w:rPr>
        <w:t xml:space="preserve">NUMA (Non-Uniform Memory Access): An Overview</w:t>
      </w:r>
      <w:r>
        <w:t xml:space="preserve">. ACM Queue 11(7), 2013.</w:t>
      </w:r>
    </w:p>
    <w:p>
      <w:pPr>
        <w:numPr>
          <w:ilvl w:val="0"/>
          <w:numId w:val="1170"/>
        </w:numPr>
        <w:pStyle w:val="Compact"/>
      </w:pPr>
      <w:r>
        <w:t xml:space="preserve">LTO Program.</w:t>
      </w:r>
      <w:r>
        <w:t xml:space="preserve"> </w:t>
      </w:r>
      <w:r>
        <w:rPr>
          <w:iCs/>
          <w:i/>
        </w:rPr>
        <w:t xml:space="preserve">LTO technology specifications (LTO-9)</w:t>
      </w:r>
      <w:r>
        <w:t xml:space="preserve">. https://www.lto.org/</w:t>
      </w:r>
    </w:p>
    <w:p>
      <w:pPr>
        <w:numPr>
          <w:ilvl w:val="0"/>
          <w:numId w:val="1170"/>
        </w:numPr>
        <w:pStyle w:val="Compact"/>
      </w:pPr>
      <w:r>
        <w:t xml:space="preserve">Marr, D. T., Binns, F., Hill, D. L., Hinton, G., Koufaty, D. A., Miller, J. A., Upton, M.</w:t>
      </w:r>
      <w:r>
        <w:t xml:space="preserve"> </w:t>
      </w:r>
      <w:r>
        <w:rPr>
          <w:iCs/>
          <w:i/>
        </w:rPr>
        <w:t xml:space="preserve">Hyper-Threading Technology Architecture and Microarchitecture</w:t>
      </w:r>
      <w:r>
        <w:t xml:space="preserve">. Intel Technology Journal 6(1), 2002.</w:t>
      </w:r>
    </w:p>
    <w:p>
      <w:pPr>
        <w:numPr>
          <w:ilvl w:val="0"/>
          <w:numId w:val="1170"/>
        </w:numPr>
        <w:pStyle w:val="Compact"/>
      </w:pPr>
      <w:r>
        <w:t xml:space="preserve">Norvig, P.</w:t>
      </w:r>
      <w:r>
        <w:t xml:space="preserve"> </w:t>
      </w:r>
      <w:r>
        <w:rPr>
          <w:iCs/>
          <w:i/>
        </w:rPr>
        <w:t xml:space="preserve">Teach Yourself Programming in Ten Years</w:t>
      </w:r>
      <w:r>
        <w:t xml:space="preserve">. 2001. https://norvig.com/21-days.html</w:t>
      </w:r>
    </w:p>
    <w:p>
      <w:pPr>
        <w:numPr>
          <w:ilvl w:val="0"/>
          <w:numId w:val="1170"/>
        </w:numPr>
        <w:pStyle w:val="Compact"/>
      </w:pPr>
      <w:r>
        <w:t xml:space="preserve">NVM Express, Inc. </w:t>
      </w:r>
      <w:r>
        <w:rPr>
          <w:iCs/>
          <w:i/>
        </w:rPr>
        <w:t xml:space="preserve">NVM Express Base Specification</w:t>
      </w:r>
      <w:r>
        <w:t xml:space="preserve">. https://nvmexpress.org/specifications/</w:t>
      </w:r>
    </w:p>
    <w:p>
      <w:pPr>
        <w:numPr>
          <w:ilvl w:val="0"/>
          <w:numId w:val="1170"/>
        </w:numPr>
        <w:pStyle w:val="Compact"/>
      </w:pPr>
      <w:r>
        <w:t xml:space="preserve">Papamarcos, M. S., Patel, J. H.</w:t>
      </w:r>
      <w:r>
        <w:t xml:space="preserve"> </w:t>
      </w:r>
      <w:r>
        <w:rPr>
          <w:iCs/>
          <w:i/>
        </w:rPr>
        <w:t xml:space="preserve">A Low-Overhead Coherence Solution for Multiprocessors with Private Cache Memories</w:t>
      </w:r>
      <w:r>
        <w:t xml:space="preserve">. ISCA, 1984.</w:t>
      </w:r>
    </w:p>
    <w:p>
      <w:pPr>
        <w:numPr>
          <w:ilvl w:val="0"/>
          <w:numId w:val="1170"/>
        </w:numPr>
        <w:pStyle w:val="Compact"/>
      </w:pPr>
      <w:r>
        <w:t xml:space="preserve">Ruemmler, C., Wilkes, J.</w:t>
      </w:r>
      <w:r>
        <w:t xml:space="preserve"> </w:t>
      </w:r>
      <w:r>
        <w:rPr>
          <w:iCs/>
          <w:i/>
        </w:rPr>
        <w:t xml:space="preserve">An Introduction to Disk Drive Modeling</w:t>
      </w:r>
      <w:r>
        <w:t xml:space="preserve">. IEEE Computer 27(3), 1994.</w:t>
      </w:r>
    </w:p>
    <w:p>
      <w:pPr>
        <w:numPr>
          <w:ilvl w:val="0"/>
          <w:numId w:val="1170"/>
        </w:numPr>
        <w:pStyle w:val="Compact"/>
      </w:pPr>
      <w:r>
        <w:t xml:space="preserve">Seastar Project.</w:t>
      </w:r>
      <w:r>
        <w:t xml:space="preserve"> </w:t>
      </w:r>
      <w:r>
        <w:rPr>
          <w:iCs/>
          <w:i/>
        </w:rPr>
        <w:t xml:space="preserve">Seastar Documentation</w:t>
      </w:r>
      <w:r>
        <w:t xml:space="preserve">. https://seastar.io/</w:t>
      </w:r>
    </w:p>
    <w:p>
      <w:pPr>
        <w:numPr>
          <w:ilvl w:val="0"/>
          <w:numId w:val="1170"/>
        </w:numPr>
        <w:pStyle w:val="Compact"/>
      </w:pPr>
      <w:r>
        <w:t xml:space="preserve">Sorin, D. J., Hill, M. D., Wood, D. A.</w:t>
      </w:r>
      <w:r>
        <w:t xml:space="preserve"> </w:t>
      </w:r>
      <w:r>
        <w:rPr>
          <w:iCs/>
          <w:i/>
        </w:rPr>
        <w:t xml:space="preserve">A Primer on Memory Consistency and Cache Coherence</w:t>
      </w:r>
      <w:r>
        <w:t xml:space="preserve">. Morgan &amp; Claypool, 2011.</w:t>
      </w:r>
    </w:p>
    <w:p>
      <w:pPr>
        <w:numPr>
          <w:ilvl w:val="0"/>
          <w:numId w:val="1170"/>
        </w:numPr>
        <w:pStyle w:val="Compact"/>
      </w:pPr>
      <w:r>
        <w:t xml:space="preserve">SPDK Project.</w:t>
      </w:r>
      <w:r>
        <w:t xml:space="preserve"> </w:t>
      </w:r>
      <w:r>
        <w:rPr>
          <w:iCs/>
          <w:i/>
        </w:rPr>
        <w:t xml:space="preserve">Storage Performance Development Kit Documentation</w:t>
      </w:r>
      <w:r>
        <w:t xml:space="preserve">. https://spdk.io/</w:t>
      </w:r>
    </w:p>
    <w:p>
      <w:pPr>
        <w:numPr>
          <w:ilvl w:val="0"/>
          <w:numId w:val="1170"/>
        </w:numPr>
        <w:pStyle w:val="Compact"/>
      </w:pPr>
      <w:r>
        <w:t xml:space="preserve">Thompson, M., Farley, D., Barker, M., Gee, P., Stewart, A.</w:t>
      </w:r>
      <w:r>
        <w:t xml:space="preserve"> </w:t>
      </w:r>
      <w:r>
        <w:rPr>
          <w:iCs/>
          <w:i/>
        </w:rPr>
        <w:t xml:space="preserve">Disruptor: High performance alternative to bounded queues for exchanging data between concurrent threads</w:t>
      </w:r>
      <w:r>
        <w:t xml:space="preserve">. LMAX, 2011. https://lmax-exchange.github.io/disruptor/</w:t>
      </w:r>
    </w:p>
    <w:p>
      <w:pPr>
        <w:numPr>
          <w:ilvl w:val="0"/>
          <w:numId w:val="1170"/>
        </w:numPr>
        <w:pStyle w:val="Compact"/>
      </w:pPr>
      <w:r>
        <w:t xml:space="preserve">Tomasulo, R. M.</w:t>
      </w:r>
      <w:r>
        <w:t xml:space="preserve"> </w:t>
      </w:r>
      <w:r>
        <w:rPr>
          <w:iCs/>
          <w:i/>
        </w:rPr>
        <w:t xml:space="preserve">An Efficient Algorithm for Exploiting Multiple Arithmetic Units</w:t>
      </w:r>
      <w:r>
        <w:t xml:space="preserve">. IBM Journal of Research and Development 11(1), 1967.</w:t>
      </w:r>
    </w:p>
    <w:p>
      <w:pPr>
        <w:numPr>
          <w:ilvl w:val="0"/>
          <w:numId w:val="1170"/>
        </w:numPr>
        <w:pStyle w:val="Compact"/>
      </w:pPr>
      <w:r>
        <w:t xml:space="preserve">Williams, S., Waterman, A., Patterson, D.</w:t>
      </w:r>
      <w:r>
        <w:t xml:space="preserve"> </w:t>
      </w:r>
      <w:r>
        <w:rPr>
          <w:iCs/>
          <w:i/>
        </w:rPr>
        <w:t xml:space="preserve">Roofline: An Insightful Visual Performance Model for Multicore Architectures</w:t>
      </w:r>
      <w:r>
        <w:t xml:space="preserve">. Communications of the ACM 52(4), 2009.</w:t>
      </w:r>
    </w:p>
    <w:bookmarkEnd w:id="559"/>
    <w:bookmarkStart w:id="560" w:name="open-verification-items-4"/>
    <w:p>
      <w:pPr>
        <w:pStyle w:val="Heading2"/>
      </w:pPr>
      <w:r>
        <w:t xml:space="preserve">5.19 Open verification items</w:t>
      </w:r>
    </w:p>
    <w:p>
      <w:pPr>
        <w:numPr>
          <w:ilvl w:val="0"/>
          <w:numId w:val="1171"/>
        </w:numPr>
        <w:pStyle w:val="Compact"/>
      </w:pPr>
      <w:r>
        <w:t xml:space="preserve">Cost per GB in Table 5.5 and Table 5.6 reflects approximate 2024 street prices; DRAM and NAND prices moved sharply in 2025–2026. Re-check before publication.</w:t>
      </w:r>
    </w:p>
    <w:p>
      <w:pPr>
        <w:numPr>
          <w:ilvl w:val="0"/>
          <w:numId w:val="1171"/>
        </w:numPr>
        <w:pStyle w:val="Compact"/>
      </w:pPr>
      <w:r>
        <w:t xml:space="preserve">Exact URLs for [Dean 2009] (LADIS keynote slides), [Cole 2010] and [Filanovsky &amp; Sane 2022] are omitted pending verification; confirm the specific entries of Dean’s list (versions differ, e.g. 20 ms vs 30 ms for 1 MB from disk).</w:t>
      </w:r>
    </w:p>
    <w:p>
      <w:pPr>
        <w:numPr>
          <w:ilvl w:val="0"/>
          <w:numId w:val="1171"/>
        </w:numPr>
        <w:pStyle w:val="Compact"/>
      </w:pPr>
      <w:r>
        <w:t xml:space="preserve">Confirm the</w:t>
      </w:r>
      <w:r>
        <w:t xml:space="preserve"> </w:t>
      </w:r>
      <w:r>
        <w:t xml:space="preserve">“</w:t>
      </w:r>
      <w:r>
        <w:t xml:space="preserve">up to ~30%</w:t>
      </w:r>
      <w:r>
        <w:t xml:space="preserve">”</w:t>
      </w:r>
      <w:r>
        <w:t xml:space="preserve"> </w:t>
      </w:r>
      <w:r>
        <w:t xml:space="preserve">Hyper-Threading gain against [Marr et al. 2002] and the MySQL release that added buffer-pool NUMA interleaving.</w:t>
      </w:r>
    </w:p>
    <w:p>
      <w:pPr>
        <w:numPr>
          <w:ilvl w:val="0"/>
          <w:numId w:val="1171"/>
        </w:numPr>
        <w:pStyle w:val="Compact"/>
      </w:pPr>
      <w:r>
        <w:t xml:space="preserve">Cite a primary source (Intel investor communication, 2022) for the Optane wind-down.</w:t>
      </w:r>
    </w:p>
    <w:p>
      <w:pPr>
        <w:numPr>
          <w:ilvl w:val="0"/>
          <w:numId w:val="1171"/>
        </w:numPr>
        <w:pStyle w:val="Compact"/>
      </w:pPr>
      <w:r>
        <w:t xml:space="preserve">Microarchitectural ranges (branch-mispredict penalty 15–20 cycles; 10–20 outstanding L1 misses per core; reorder buffer</w:t>
      </w:r>
      <w:r>
        <w:t xml:space="preserve"> </w:t>
      </w:r>
      <w:r>
        <w:t xml:space="preserve">“</w:t>
      </w:r>
      <w:r>
        <w:t xml:space="preserve">several hundred</w:t>
      </w:r>
      <w:r>
        <w:t xml:space="preserve">”</w:t>
      </w:r>
      <w:r>
        <w:t xml:space="preserve"> </w:t>
      </w:r>
      <w:r>
        <w:t xml:space="preserve">entries) should be checked against current Intel/AMD/Arm optimization manuals.</w:t>
      </w:r>
    </w:p>
    <w:p>
      <w:pPr>
        <w:numPr>
          <w:ilvl w:val="0"/>
          <w:numId w:val="1171"/>
        </w:numPr>
        <w:pStyle w:val="Compact"/>
      </w:pPr>
      <w:r>
        <w:t xml:space="preserve">TLC endurance of 1,000–3,000 P/E cycles is a commonly quoted range, not a vendor specification.</w:t>
      </w:r>
    </w:p>
    <w:p>
      <w:pPr>
        <w:numPr>
          <w:ilvl w:val="0"/>
          <w:numId w:val="1171"/>
        </w:numPr>
        <w:pStyle w:val="Compact"/>
      </w:pPr>
      <w:r>
        <w:t xml:space="preserve">Status of free-threaded CPython (experimental from 3.13) may have changed.</w:t>
      </w:r>
    </w:p>
    <w:bookmarkEnd w:id="560"/>
    <w:bookmarkEnd w:id="561"/>
    <w:bookmarkStart w:id="686" w:name="chapter-6-operating-systems"/>
    <w:p>
      <w:pPr>
        <w:pStyle w:val="Heading1"/>
      </w:pPr>
      <w:r>
        <w:t xml:space="preserve">Chapter 6 — Operating Systems</w:t>
      </w:r>
    </w:p>
    <w:p>
      <w:pPr>
        <w:pStyle w:val="BlockText"/>
      </w:pPr>
      <w:r>
        <w:rPr>
          <w:bCs/>
          <w:b/>
        </w:rPr>
        <w:t xml:space="preserve">Level:</w:t>
      </w:r>
      <w:r>
        <w:t xml:space="preserve"> </w:t>
      </w:r>
      <w:r>
        <w:t xml:space="preserve">1–2 ·</w:t>
      </w:r>
      <w:r>
        <w:t xml:space="preserve"> </w:t>
      </w:r>
      <w:r>
        <w:rPr>
          <w:bCs/>
          <w:b/>
        </w:rPr>
        <w:t xml:space="preserve">Track:</w:t>
      </w:r>
      <w:r>
        <w:t xml:space="preserve"> </w:t>
      </w:r>
      <w:r>
        <w:t xml:space="preserve">Shared ·</w:t>
      </w:r>
      <w:r>
        <w:t xml:space="preserve"> </w:t>
      </w:r>
      <w:r>
        <w:rPr>
          <w:bCs/>
          <w:b/>
        </w:rPr>
        <w:t xml:space="preserve">Estimated reading time:</w:t>
      </w:r>
      <w:r>
        <w:t xml:space="preserve"> </w:t>
      </w:r>
      <w:r>
        <w:t xml:space="preserve">3 h</w:t>
      </w:r>
    </w:p>
    <w:p>
      <w:pPr>
        <w:pStyle w:val="FirstParagraph"/>
      </w:pPr>
      <w:r>
        <w:t xml:space="preserve">Every service you will design in this book, whether a URL shortener, a Kafka broker or an LLM inference server, is in the end a set of processes running on an operating system. The operating system decides which of them runs, how much memory each one sees, how its bytes reach the network card and the disk, and what happens when two of them touch the same data at once. When a service is</w:t>
      </w:r>
      <w:r>
        <w:t xml:space="preserve"> </w:t>
      </w:r>
      <w:r>
        <w:t xml:space="preserve">“</w:t>
      </w:r>
      <w:r>
        <w:t xml:space="preserve">slow for no reason</w:t>
      </w:r>
      <w:r>
        <w:t xml:space="preserve">”</w:t>
      </w:r>
      <w:r>
        <w:t xml:space="preserve">, the reason is often here: a context-switch storm, a page-fault spike, a thread pool sized for 200 that is serving 20,000 connections, or an</w:t>
      </w:r>
      <w:r>
        <w:t xml:space="preserve"> </w:t>
      </w:r>
      <w:r>
        <w:rPr>
          <w:rStyle w:val="VerbatimChar"/>
        </w:rPr>
        <w:t xml:space="preserve">fsync</w:t>
      </w:r>
      <w:r>
        <w:t xml:space="preserve"> </w:t>
      </w:r>
      <w:r>
        <w:t xml:space="preserve">that took 400 ms. This chapter gives you the vocabulary and the mental models to see those problems, estimate them with numbers, and choose designs that avoid them.</w:t>
      </w:r>
    </w:p>
    <w:bookmarkStart w:id="562" w:name="learning-objectives-5"/>
    <w:p>
      <w:pPr>
        <w:pStyle w:val="Heading2"/>
      </w:pPr>
      <w:r>
        <w:t xml:space="preserve">6.1 Learning objectives</w:t>
      </w:r>
    </w:p>
    <w:p>
      <w:pPr>
        <w:pStyle w:val="FirstParagraph"/>
      </w:pPr>
      <w:r>
        <w:t xml:space="preserve">After this chapter you should be able to:</w:t>
      </w:r>
    </w:p>
    <w:p>
      <w:pPr>
        <w:numPr>
          <w:ilvl w:val="0"/>
          <w:numId w:val="1172"/>
        </w:numPr>
        <w:pStyle w:val="Compact"/>
      </w:pPr>
      <w:r>
        <w:t xml:space="preserve">Explain what a process and a thread are, draw the process state diagram, and list what the kernel stores in a process control block.</w:t>
      </w:r>
    </w:p>
    <w:p>
      <w:pPr>
        <w:numPr>
          <w:ilvl w:val="0"/>
          <w:numId w:val="1172"/>
        </w:numPr>
        <w:pStyle w:val="Compact"/>
      </w:pPr>
      <w:r>
        <w:t xml:space="preserve">Describe the steps of a context switch and estimate both its direct cost and its indirect cache cost.</w:t>
      </w:r>
    </w:p>
    <w:p>
      <w:pPr>
        <w:numPr>
          <w:ilvl w:val="0"/>
          <w:numId w:val="1172"/>
        </w:numPr>
        <w:pStyle w:val="Compact"/>
      </w:pPr>
      <w:r>
        <w:t xml:space="preserve">Compare FCFS, round robin, priority, MLFQ and Linux’s CFS/EEVDF schedulers, and calculate turnaround and response times for a small workload.</w:t>
      </w:r>
    </w:p>
    <w:p>
      <w:pPr>
        <w:numPr>
          <w:ilvl w:val="0"/>
          <w:numId w:val="1172"/>
        </w:numPr>
        <w:pStyle w:val="Compact"/>
      </w:pPr>
      <w:r>
        <w:t xml:space="preserve">Trace a memory access through the TLB, page table and page-fault handler, and calculate effective access time and TLB reach.</w:t>
      </w:r>
    </w:p>
    <w:p>
      <w:pPr>
        <w:numPr>
          <w:ilvl w:val="0"/>
          <w:numId w:val="1172"/>
        </w:numPr>
        <w:pStyle w:val="Compact"/>
      </w:pPr>
      <w:r>
        <w:t xml:space="preserve">Explain what a system call is, why it costs more than a function call, and how batching and vDSO reduce that cost.</w:t>
      </w:r>
    </w:p>
    <w:p>
      <w:pPr>
        <w:numPr>
          <w:ilvl w:val="0"/>
          <w:numId w:val="1172"/>
        </w:numPr>
        <w:pStyle w:val="Compact"/>
      </w:pPr>
      <w:r>
        <w:t xml:space="preserve">Distinguish concurrency from parallelism and identify a race condition and its critical section in code.</w:t>
      </w:r>
    </w:p>
    <w:p>
      <w:pPr>
        <w:numPr>
          <w:ilvl w:val="0"/>
          <w:numId w:val="1172"/>
        </w:numPr>
        <w:pStyle w:val="Compact"/>
      </w:pPr>
      <w:r>
        <w:t xml:space="preserve">Choose between a mutex, semaphore, condition variable, atomic/CAS operation, read-write lock and lock-free structure, and explain the ABA problem.</w:t>
      </w:r>
    </w:p>
    <w:p>
      <w:pPr>
        <w:numPr>
          <w:ilvl w:val="0"/>
          <w:numId w:val="1172"/>
        </w:numPr>
        <w:pStyle w:val="Compact"/>
      </w:pPr>
      <w:r>
        <w:t xml:space="preserve">State the four Coffman conditions, apply prevention, avoidance and detection to deadlock, and explain priority inversion using the Mars Pathfinder incident.</w:t>
      </w:r>
    </w:p>
    <w:p>
      <w:pPr>
        <w:numPr>
          <w:ilvl w:val="0"/>
          <w:numId w:val="1172"/>
        </w:numPr>
        <w:pStyle w:val="Compact"/>
      </w:pPr>
      <w:r>
        <w:t xml:space="preserve">Compare blocking, non-blocking, multiplexed (</w:t>
      </w:r>
      <w:r>
        <w:rPr>
          <w:rStyle w:val="VerbatimChar"/>
        </w:rPr>
        <w:t xml:space="preserve">select</w:t>
      </w:r>
      <w:r>
        <w:t xml:space="preserve">/</w:t>
      </w:r>
      <w:r>
        <w:rPr>
          <w:rStyle w:val="VerbatimChar"/>
        </w:rPr>
        <w:t xml:space="preserve">poll</w:t>
      </w:r>
      <w:r>
        <w:t xml:space="preserve">/</w:t>
      </w:r>
      <w:r>
        <w:rPr>
          <w:rStyle w:val="VerbatimChar"/>
        </w:rPr>
        <w:t xml:space="preserve">epoll</w:t>
      </w:r>
      <w:r>
        <w:t xml:space="preserve">/</w:t>
      </w:r>
      <w:r>
        <w:rPr>
          <w:rStyle w:val="VerbatimChar"/>
        </w:rPr>
        <w:t xml:space="preserve">kqueue</w:t>
      </w:r>
      <w:r>
        <w:t xml:space="preserve">) and completion-based (</w:t>
      </w:r>
      <w:r>
        <w:rPr>
          <w:rStyle w:val="VerbatimChar"/>
        </w:rPr>
        <w:t xml:space="preserve">io_uring</w:t>
      </w:r>
      <w:r>
        <w:t xml:space="preserve">) I/O, and explain the C10K problem.</w:t>
      </w:r>
    </w:p>
    <w:p>
      <w:pPr>
        <w:numPr>
          <w:ilvl w:val="0"/>
          <w:numId w:val="1172"/>
        </w:numPr>
        <w:pStyle w:val="Compact"/>
      </w:pPr>
      <w:r>
        <w:t xml:space="preserve">Write a crash-safe file update using</w:t>
      </w:r>
      <w:r>
        <w:t xml:space="preserve"> </w:t>
      </w:r>
      <w:r>
        <w:rPr>
          <w:rStyle w:val="VerbatimChar"/>
        </w:rPr>
        <w:t xml:space="preserve">fsync</w:t>
      </w:r>
      <w:r>
        <w:t xml:space="preserve"> </w:t>
      </w:r>
      <w:r>
        <w:t xml:space="preserve">correctly and name the common durability pitfalls.</w:t>
      </w:r>
    </w:p>
    <w:p>
      <w:pPr>
        <w:numPr>
          <w:ilvl w:val="0"/>
          <w:numId w:val="1172"/>
        </w:numPr>
        <w:pStyle w:val="Compact"/>
      </w:pPr>
      <w:r>
        <w:t xml:space="preserve">Compare thread-per-request, event loop, actor, goroutine and async/await concurrency models and size a server’s memory for a target number of concurrent connections.</w:t>
      </w:r>
    </w:p>
    <w:bookmarkEnd w:id="562"/>
    <w:bookmarkStart w:id="563" w:name="prerequisites-5"/>
    <w:p>
      <w:pPr>
        <w:pStyle w:val="Heading2"/>
      </w:pPr>
      <w:r>
        <w:t xml:space="preserve">6.2 Prerequisites</w:t>
      </w:r>
    </w:p>
    <w:p>
      <w:pPr>
        <w:numPr>
          <w:ilvl w:val="0"/>
          <w:numId w:val="1173"/>
        </w:numPr>
        <w:pStyle w:val="Compact"/>
      </w:pPr>
      <w:r>
        <w:t xml:space="preserve">CPU cores, registers and caches — §5.3–§5.4 (context-switch cost is mostly a cache story).</w:t>
      </w:r>
    </w:p>
    <w:p>
      <w:pPr>
        <w:numPr>
          <w:ilvl w:val="0"/>
          <w:numId w:val="1173"/>
        </w:numPr>
        <w:pStyle w:val="Compact"/>
      </w:pPr>
      <w:r>
        <w:t xml:space="preserve">RAM and the memory hierarchy — §5.5 and §5.9 (virtual memory sits on top of it).</w:t>
      </w:r>
    </w:p>
    <w:p>
      <w:pPr>
        <w:numPr>
          <w:ilvl w:val="0"/>
          <w:numId w:val="1173"/>
        </w:numPr>
        <w:pStyle w:val="Compact"/>
      </w:pPr>
      <w:r>
        <w:t xml:space="preserve">Storage devices and I/O with DMA and interrupts — §5.6–§5.7 (I/O models and</w:t>
      </w:r>
      <w:r>
        <w:t xml:space="preserve"> </w:t>
      </w:r>
      <w:r>
        <w:rPr>
          <w:rStyle w:val="VerbatimChar"/>
        </w:rPr>
        <w:t xml:space="preserve">fsync</w:t>
      </w:r>
      <w:r>
        <w:t xml:space="preserve"> </w:t>
      </w:r>
      <w:r>
        <w:t xml:space="preserve">depend on them).</w:t>
      </w:r>
    </w:p>
    <w:p>
      <w:pPr>
        <w:numPr>
          <w:ilvl w:val="0"/>
          <w:numId w:val="1173"/>
        </w:numPr>
        <w:pStyle w:val="Compact"/>
      </w:pPr>
      <w:r>
        <w:t xml:space="preserve">Little’s Law — §4.11 (used to size thread pools and connection counts).</w:t>
      </w:r>
    </w:p>
    <w:p>
      <w:pPr>
        <w:numPr>
          <w:ilvl w:val="0"/>
          <w:numId w:val="1173"/>
        </w:numPr>
        <w:pStyle w:val="Compact"/>
      </w:pPr>
      <w:r>
        <w:t xml:space="preserve">Amdahl’s Law — §4.12 (limits on parallel speed-up).</w:t>
      </w:r>
    </w:p>
    <w:p>
      <w:pPr>
        <w:numPr>
          <w:ilvl w:val="0"/>
          <w:numId w:val="1173"/>
        </w:numPr>
        <w:pStyle w:val="Compact"/>
      </w:pPr>
      <w:r>
        <w:t xml:space="preserve">Powers of two and binary prefixes — §4.3 and §4.5 (page sizes and address spaces are powers of two). In this chapter,</w:t>
      </w:r>
      <w:r>
        <w:t xml:space="preserve"> </w:t>
      </w:r>
      <w:r>
        <w:rPr>
          <w:bCs/>
          <w:b/>
        </w:rPr>
        <w:t xml:space="preserve">KiB/MiB/GiB</w:t>
      </w:r>
      <w:r>
        <w:t xml:space="preserve"> </w:t>
      </w:r>
      <w:r>
        <w:t xml:space="preserve">(powers of two) are used for page sizes, stacks and address spaces;</w:t>
      </w:r>
      <w:r>
        <w:t xml:space="preserve"> </w:t>
      </w:r>
      <w:r>
        <w:rPr>
          <w:bCs/>
          <w:b/>
        </w:rPr>
        <w:t xml:space="preserve">KB/MB/GB</w:t>
      </w:r>
      <w:r>
        <w:t xml:space="preserve"> </w:t>
      </w:r>
      <w:r>
        <w:t xml:space="preserve">(powers of ten) for rough capacity estimates.</w:t>
      </w:r>
    </w:p>
    <w:bookmarkEnd w:id="563"/>
    <w:bookmarkStart w:id="581" w:name="processes-and-threads"/>
    <w:p>
      <w:pPr>
        <w:pStyle w:val="Heading2"/>
      </w:pPr>
      <w:r>
        <w:t xml:space="preserve">6.3 Processes and threads</w:t>
      </w:r>
    </w:p>
    <w:bookmarkStart w:id="566" w:name="what-an-operating-system-is-for"/>
    <w:p>
      <w:pPr>
        <w:pStyle w:val="Heading3"/>
      </w:pPr>
      <w:r>
        <w:t xml:space="preserve">6.3.1 What an operating system is for</w:t>
      </w:r>
    </w:p>
    <w:p>
      <w:pPr>
        <w:pStyle w:val="CalloutDefinition"/>
      </w:pPr>
      <w:r>
        <w:rPr>
          <w:bCs/>
          <w:b/>
        </w:rPr>
        <w:t xml:space="preserve">DEFINITION</w:t>
      </w:r>
    </w:p>
    <w:p>
      <w:pPr>
        <w:pStyle w:val="CalloutDefinition"/>
      </w:pPr>
      <w:r>
        <w:rPr>
          <w:bCs/>
          <w:b/>
        </w:rPr>
        <w:t xml:space="preserve">Definition — Operating system (OS).</w:t>
      </w:r>
      <w:r>
        <w:t xml:space="preserve"> </w:t>
      </w:r>
      <w:r>
        <w:t xml:space="preserve">The software layer that manages a computer’s hardware (CPU, memory, storage, network) and provides running programs with safe, shared, abstract access to it. The privileged core of the OS that runs with full hardware access is the</w:t>
      </w:r>
      <w:r>
        <w:t xml:space="preserve"> </w:t>
      </w:r>
      <w:r>
        <w:rPr>
          <w:bCs/>
          <w:b/>
        </w:rPr>
        <w:t xml:space="preserve">kernel</w:t>
      </w:r>
      <w:r>
        <w:t xml:space="preserve">.</w:t>
      </w:r>
    </w:p>
    <w:bookmarkStart w:id="564" w:name="first-principles-explanation-35"/>
    <w:p>
      <w:pPr>
        <w:pStyle w:val="Heading4"/>
      </w:pPr>
      <w:r>
        <w:t xml:space="preserve">First-principles explanation</w:t>
      </w:r>
    </w:p>
    <w:p>
      <w:pPr>
        <w:pStyle w:val="FirstParagraph"/>
      </w:pPr>
      <w:r>
        <w:t xml:space="preserve">Think of a busy shared kitchen. Many cooks (programs) want the same stoves (CPU cores), counter space (memory) and fridge (disk). The kitchen manager (the kernel) gives each cook a private-looking workstation, rotates stove time fairly, and is the only person allowed to touch the gas valves (the hardware).</w:t>
      </w:r>
    </w:p>
    <w:p>
      <w:pPr>
        <w:pStyle w:val="BodyText"/>
      </w:pPr>
      <w:r>
        <w:t xml:space="preserve">The OS provides three big illusions, which is how</w:t>
      </w:r>
      <w:r>
        <w:t xml:space="preserve"> </w:t>
      </w:r>
      <w:r>
        <w:rPr>
          <w:iCs/>
          <w:i/>
        </w:rPr>
        <w:t xml:space="preserve">Operating Systems: Three Easy Pieces</w:t>
      </w:r>
      <w:r>
        <w:t xml:space="preserve"> </w:t>
      </w:r>
      <w:r>
        <w:t xml:space="preserve">organizes the subject [Arpaci-Dusseau 2018]:</w:t>
      </w:r>
    </w:p>
    <w:p>
      <w:pPr>
        <w:numPr>
          <w:ilvl w:val="0"/>
          <w:numId w:val="1174"/>
        </w:numPr>
        <w:pStyle w:val="Compact"/>
      </w:pPr>
      <w:r>
        <w:rPr>
          <w:bCs/>
          <w:b/>
        </w:rPr>
        <w:t xml:space="preserve">Virtualization</w:t>
      </w:r>
      <w:r>
        <w:t xml:space="preserve"> </w:t>
      </w:r>
      <w:r>
        <w:t xml:space="preserve">— each program believes it has its own CPU and its own large, private memory.</w:t>
      </w:r>
    </w:p>
    <w:p>
      <w:pPr>
        <w:numPr>
          <w:ilvl w:val="0"/>
          <w:numId w:val="1174"/>
        </w:numPr>
        <w:pStyle w:val="Compact"/>
      </w:pPr>
      <w:r>
        <w:rPr>
          <w:bCs/>
          <w:b/>
        </w:rPr>
        <w:t xml:space="preserve">Concurrency</w:t>
      </w:r>
      <w:r>
        <w:t xml:space="preserve"> </w:t>
      </w:r>
      <w:r>
        <w:t xml:space="preserve">— many things appear to happen at once, safely.</w:t>
      </w:r>
    </w:p>
    <w:p>
      <w:pPr>
        <w:numPr>
          <w:ilvl w:val="0"/>
          <w:numId w:val="1174"/>
        </w:numPr>
        <w:pStyle w:val="Compact"/>
      </w:pPr>
      <w:r>
        <w:rPr>
          <w:bCs/>
          <w:b/>
        </w:rPr>
        <w:t xml:space="preserve">Persistence</w:t>
      </w:r>
      <w:r>
        <w:t xml:space="preserve"> </w:t>
      </w:r>
      <w:r>
        <w:t xml:space="preserve">— data survives power loss, through file systems.</w:t>
      </w:r>
    </w:p>
    <w:bookmarkEnd w:id="564"/>
    <w:bookmarkStart w:id="565" w:name="why-does-this-exist-22"/>
    <w:p>
      <w:pPr>
        <w:pStyle w:val="Heading4"/>
      </w:pPr>
      <w:r>
        <w:t xml:space="preserve">Why does this exist?</w:t>
      </w:r>
    </w:p>
    <w:p>
      <w:pPr>
        <w:pStyle w:val="FirstParagraph"/>
      </w:pPr>
      <w:r>
        <w:t xml:space="preserve">Running several programs at once (</w:t>
      </w:r>
      <w:r>
        <w:rPr>
          <w:bCs/>
          <w:b/>
        </w:rPr>
        <w:t xml:space="preserve">multiprogramming</w:t>
      </w:r>
      <w:r>
        <w:t xml:space="preserve">) keeps the CPU busy while one program waits for I/O, but creates three problems: programs could overwrite each other’s memory, one could hog the CPU forever, and each would have to drive the hardware itself. The kernel solves all three by being the single trusted intermediary. The CPU enforces this with</w:t>
      </w:r>
      <w:r>
        <w:t xml:space="preserve"> </w:t>
      </w:r>
      <w:r>
        <w:rPr>
          <w:bCs/>
          <w:b/>
        </w:rPr>
        <w:t xml:space="preserve">privilege levels</w:t>
      </w:r>
      <w:r>
        <w:t xml:space="preserve">: user code runs in</w:t>
      </w:r>
      <w:r>
        <w:t xml:space="preserve"> </w:t>
      </w:r>
      <w:r>
        <w:rPr>
          <w:bCs/>
          <w:b/>
        </w:rPr>
        <w:t xml:space="preserve">user mode</w:t>
      </w:r>
      <w:r>
        <w:t xml:space="preserve"> </w:t>
      </w:r>
      <w:r>
        <w:t xml:space="preserve">and cannot execute privileged instructions or touch kernel memory; the kernel runs in</w:t>
      </w:r>
      <w:r>
        <w:t xml:space="preserve"> </w:t>
      </w:r>
      <w:r>
        <w:rPr>
          <w:bCs/>
          <w:b/>
        </w:rPr>
        <w:t xml:space="preserve">kernel mode</w:t>
      </w:r>
      <w:r>
        <w:t xml:space="preserve"> </w:t>
      </w:r>
      <w:r>
        <w:t xml:space="preserve">(on x86-64, ring 0 versus ring 3).</w:t>
      </w:r>
    </w:p>
    <w:bookmarkEnd w:id="565"/>
    <w:bookmarkEnd w:id="566"/>
    <w:bookmarkStart w:id="570" w:name="the-process-and-its-address-space"/>
    <w:p>
      <w:pPr>
        <w:pStyle w:val="Heading3"/>
      </w:pPr>
      <w:r>
        <w:t xml:space="preserve">6.3.2 The process and its address space</w:t>
      </w:r>
    </w:p>
    <w:p>
      <w:pPr>
        <w:pStyle w:val="CalloutDefinition"/>
      </w:pPr>
      <w:r>
        <w:rPr>
          <w:bCs/>
          <w:b/>
        </w:rPr>
        <w:t xml:space="preserve">DEFINITION</w:t>
      </w:r>
    </w:p>
    <w:p>
      <w:pPr>
        <w:pStyle w:val="CalloutDefinition"/>
      </w:pPr>
      <w:r>
        <w:rPr>
          <w:bCs/>
          <w:b/>
        </w:rPr>
        <w:t xml:space="preserve">Definition — Process.</w:t>
      </w:r>
      <w:r>
        <w:t xml:space="preserve"> </w:t>
      </w:r>
      <w:r>
        <w:t xml:space="preserve">A running instance of a program: its code, its private</w:t>
      </w:r>
      <w:r>
        <w:t xml:space="preserve"> </w:t>
      </w:r>
      <w:r>
        <w:rPr>
          <w:bCs/>
          <w:b/>
        </w:rPr>
        <w:t xml:space="preserve">virtual address space</w:t>
      </w:r>
      <w:r>
        <w:t xml:space="preserve">, one or more threads of execution, and the OS resources it holds (open files, sockets, signal handlers, credentials).</w:t>
      </w:r>
    </w:p>
    <w:p>
      <w:pPr>
        <w:pStyle w:val="CalloutDefinition"/>
      </w:pPr>
      <w:r>
        <w:rPr>
          <w:bCs/>
          <w:b/>
        </w:rPr>
        <w:t xml:space="preserve">DEFINITION</w:t>
      </w:r>
    </w:p>
    <w:p>
      <w:pPr>
        <w:pStyle w:val="CalloutDefinition"/>
      </w:pPr>
      <w:r>
        <w:rPr>
          <w:bCs/>
          <w:b/>
        </w:rPr>
        <w:t xml:space="preserve">Definition — Address space.</w:t>
      </w:r>
      <w:r>
        <w:t xml:space="preserve"> </w:t>
      </w:r>
      <w:r>
        <w:t xml:space="preserve">The range of memory addresses a process can use. On Linux x86-64 with 4-level page tables, user space spans 2⁴⁷ bytes = 128 TiB of</w:t>
      </w:r>
      <w:r>
        <w:t xml:space="preserve"> </w:t>
      </w:r>
      <w:r>
        <w:rPr>
          <w:iCs/>
          <w:i/>
        </w:rPr>
        <w:t xml:space="preserve">virtual</w:t>
      </w:r>
      <w:r>
        <w:t xml:space="preserve"> </w:t>
      </w:r>
      <w:r>
        <w:t xml:space="preserve">addresses; the kernel occupies the upper half and is not accessible from user mode.</w:t>
      </w:r>
    </w:p>
    <w:p>
      <w:pPr>
        <w:pStyle w:val="BodyText"/>
      </w:pPr>
      <w:r>
        <w:t xml:space="preserve">A program is a recipe on disk; a process is a cook following it, with their own bench and progress marker. Every process sees the same layout of its private memory (Figure 6.1).</w:t>
      </w:r>
    </w:p>
    <w:p>
      <w:pPr>
        <w:pStyle w:val="BodyText"/>
      </w:pPr>
      <w:r>
        <w:rPr>
          <w:bCs/>
          <w:b/>
        </w:rPr>
        <w:t xml:space="preserve">Figure 6.1 — Layout of a process’s virtual address space on Linux x86-64.</w:t>
      </w:r>
    </w:p>
    <w:p>
      <w:pPr>
        <w:pStyle w:val="BodyText"/>
      </w:pPr>
      <w:r>
        <w:drawing>
          <wp:inline>
            <wp:extent cx="5334000" cy="14004406"/>
            <wp:effectExtent b="0" l="0" r="0" t="0"/>
            <wp:docPr descr="" title="" id="568" name="Picture"/>
            <a:graphic>
              <a:graphicData uri="http://schemas.openxmlformats.org/drawingml/2006/picture">
                <pic:pic>
                  <pic:nvPicPr>
                    <pic:cNvPr descr="/home/user/System-Design/build/.cache/diagrams/596022cf6224.png" id="569" name="Picture"/>
                    <pic:cNvPicPr>
                      <a:picLocks noChangeArrowheads="1" noChangeAspect="1"/>
                    </pic:cNvPicPr>
                  </pic:nvPicPr>
                  <pic:blipFill>
                    <a:blip r:embed="rId567"/>
                    <a:stretch>
                      <a:fillRect/>
                    </a:stretch>
                  </pic:blipFill>
                  <pic:spPr bwMode="auto">
                    <a:xfrm>
                      <a:off x="0" y="0"/>
                      <a:ext cx="5334000" cy="14004406"/>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High addresses are at the top.</w:t>
      </w:r>
      <w:r>
        <w:t xml:space="preserve"> </w:t>
      </w:r>
      <w:r>
        <w:rPr>
          <w:bCs/>
          <w:b/>
        </w:rPr>
        <w:t xml:space="preserve">Text</w:t>
      </w:r>
      <w:r>
        <w:t xml:space="preserve"> </w:t>
      </w:r>
      <w:r>
        <w:t xml:space="preserve">holds the program’s instructions, mapped read-only so a stray write crashes rather than corrupts.</w:t>
      </w:r>
      <w:r>
        <w:t xml:space="preserve"> </w:t>
      </w:r>
      <w:r>
        <w:rPr>
          <w:bCs/>
          <w:b/>
        </w:rPr>
        <w:t xml:space="preserve">Data</w:t>
      </w:r>
      <w:r>
        <w:t xml:space="preserve"> </w:t>
      </w:r>
      <w:r>
        <w:t xml:space="preserve">and</w:t>
      </w:r>
      <w:r>
        <w:t xml:space="preserve"> </w:t>
      </w:r>
      <w:r>
        <w:rPr>
          <w:bCs/>
          <w:b/>
        </w:rPr>
        <w:t xml:space="preserve">BSS</w:t>
      </w:r>
      <w:r>
        <w:t xml:space="preserve"> </w:t>
      </w:r>
      <w:r>
        <w:t xml:space="preserve">hold global variables. The</w:t>
      </w:r>
      <w:r>
        <w:t xml:space="preserve"> </w:t>
      </w:r>
      <w:r>
        <w:rPr>
          <w:bCs/>
          <w:b/>
        </w:rPr>
        <w:t xml:space="preserve">heap</w:t>
      </w:r>
      <w:r>
        <w:t xml:space="preserve"> </w:t>
      </w:r>
      <w:r>
        <w:t xml:space="preserve">(</w:t>
      </w:r>
      <w:r>
        <w:rPr>
          <w:rStyle w:val="VerbatimChar"/>
        </w:rPr>
        <w:t xml:space="preserve">malloc</w:t>
      </w:r>
      <w:r>
        <w:t xml:space="preserve">/</w:t>
      </w:r>
      <w:r>
        <w:rPr>
          <w:rStyle w:val="VerbatimChar"/>
        </w:rPr>
        <w:t xml:space="preserve">new</w:t>
      </w:r>
      <w:r>
        <w:t xml:space="preserve">) grows upward; the</w:t>
      </w:r>
      <w:r>
        <w:t xml:space="preserve"> </w:t>
      </w:r>
      <w:r>
        <w:rPr>
          <w:bCs/>
          <w:b/>
        </w:rPr>
        <w:t xml:space="preserve">stack</w:t>
      </w:r>
      <w:r>
        <w:t xml:space="preserve"> </w:t>
      </w:r>
      <w:r>
        <w:t xml:space="preserve">(call frames, locals; one per thread) grows downward. The</w:t>
      </w:r>
      <w:r>
        <w:t xml:space="preserve"> </w:t>
      </w:r>
      <w:r>
        <w:rPr>
          <w:bCs/>
          <w:b/>
        </w:rPr>
        <w:t xml:space="preserve">memory-mapped region</w:t>
      </w:r>
      <w:r>
        <w:t xml:space="preserve"> </w:t>
      </w:r>
      <w:r>
        <w:t xml:space="preserve">holds shared libraries and</w:t>
      </w:r>
      <w:r>
        <w:t xml:space="preserve"> </w:t>
      </w:r>
      <w:r>
        <w:rPr>
          <w:rStyle w:val="VerbatimChar"/>
        </w:rPr>
        <w:t xml:space="preserve">mmap</w:t>
      </w:r>
      <w:r>
        <w:t xml:space="preserve">ed files (§6.6.6). The gap between heap and stack is</w:t>
      </w:r>
      <w:r>
        <w:t xml:space="preserve"> </w:t>
      </w:r>
      <w:r>
        <w:rPr>
          <w:iCs/>
          <w:i/>
        </w:rPr>
        <w:t xml:space="preserve">unbacked</w:t>
      </w:r>
      <w:r>
        <w:t xml:space="preserve">: no physical memory is used until a page is touched. The</w:t>
      </w:r>
      <w:r>
        <w:t xml:space="preserve"> </w:t>
      </w:r>
      <w:r>
        <w:rPr>
          <w:bCs/>
          <w:b/>
        </w:rPr>
        <w:t xml:space="preserve">kernel</w:t>
      </w:r>
      <w:r>
        <w:t xml:space="preserve"> </w:t>
      </w:r>
      <w:r>
        <w:t xml:space="preserve">region is mapped into every process but protected by the CPU’s privilege check. Failure points: a stack overflowing into its guard page (a crash) and a heap growing until memory runs out (§6.6.4). There are no network edges or storage boundaries: this is one process’s view of memory.</w:t>
      </w:r>
    </w:p>
    <w:bookmarkEnd w:id="570"/>
    <w:bookmarkStart w:id="571" w:name="the-process-control-block"/>
    <w:p>
      <w:pPr>
        <w:pStyle w:val="Heading3"/>
      </w:pPr>
      <w:r>
        <w:t xml:space="preserve">6.3.3 The process control block</w:t>
      </w:r>
    </w:p>
    <w:p>
      <w:pPr>
        <w:pStyle w:val="CalloutDefinition"/>
      </w:pPr>
      <w:r>
        <w:rPr>
          <w:bCs/>
          <w:b/>
        </w:rPr>
        <w:t xml:space="preserve">DEFINITION</w:t>
      </w:r>
    </w:p>
    <w:p>
      <w:pPr>
        <w:pStyle w:val="CalloutDefinition"/>
      </w:pPr>
      <w:r>
        <w:rPr>
          <w:bCs/>
          <w:b/>
        </w:rPr>
        <w:t xml:space="preserve">Definition — Process control block (PCB).</w:t>
      </w:r>
      <w:r>
        <w:t xml:space="preserve"> </w:t>
      </w:r>
      <w:r>
        <w:t xml:space="preserve">The kernel data structure that records everything needed to stop a process and later resume it exactly where it left off. In Linux it is</w:t>
      </w:r>
      <w:r>
        <w:t xml:space="preserve"> </w:t>
      </w:r>
      <w:r>
        <w:rPr>
          <w:rStyle w:val="VerbatimChar"/>
        </w:rPr>
        <w:t xml:space="preserve">struct task_struct</w:t>
      </w:r>
      <w:r>
        <w:t xml:space="preserve">.</w:t>
      </w:r>
    </w:p>
    <w:p>
      <w:pPr>
        <w:pStyle w:val="BodyText"/>
      </w:pPr>
      <w:r>
        <w:t xml:space="preserve">The PCB is the cook’s clipboard. It typically contains [Silberschatz et al. 2018]:</w:t>
      </w:r>
    </w:p>
    <w:p>
      <w:pPr>
        <w:numPr>
          <w:ilvl w:val="0"/>
          <w:numId w:val="1175"/>
        </w:numPr>
        <w:pStyle w:val="Compact"/>
      </w:pPr>
      <w:r>
        <w:rPr>
          <w:bCs/>
          <w:b/>
        </w:rPr>
        <w:t xml:space="preserve">Identity:</w:t>
      </w:r>
      <w:r>
        <w:t xml:space="preserve"> </w:t>
      </w:r>
      <w:r>
        <w:t xml:space="preserve">process ID (PID), parent PID, user and group IDs.</w:t>
      </w:r>
    </w:p>
    <w:p>
      <w:pPr>
        <w:numPr>
          <w:ilvl w:val="0"/>
          <w:numId w:val="1175"/>
        </w:numPr>
        <w:pStyle w:val="Compact"/>
      </w:pPr>
      <w:r>
        <w:rPr>
          <w:bCs/>
          <w:b/>
        </w:rPr>
        <w:t xml:space="preserve">State:</w:t>
      </w:r>
      <w:r>
        <w:t xml:space="preserve"> </w:t>
      </w:r>
      <w:r>
        <w:t xml:space="preserve">new, ready, running, blocked, terminated (§6.3.4).</w:t>
      </w:r>
    </w:p>
    <w:p>
      <w:pPr>
        <w:numPr>
          <w:ilvl w:val="0"/>
          <w:numId w:val="1175"/>
        </w:numPr>
        <w:pStyle w:val="Compact"/>
      </w:pPr>
      <w:r>
        <w:rPr>
          <w:bCs/>
          <w:b/>
        </w:rPr>
        <w:t xml:space="preserve">CPU context:</w:t>
      </w:r>
      <w:r>
        <w:t xml:space="preserve"> </w:t>
      </w:r>
      <w:r>
        <w:t xml:space="preserve">saved program counter, stack pointer and general-purpose registers (on Linux these are saved on the task’s kernel stack and in</w:t>
      </w:r>
      <w:r>
        <w:t xml:space="preserve"> </w:t>
      </w:r>
      <w:r>
        <w:rPr>
          <w:rStyle w:val="VerbatimChar"/>
        </w:rPr>
        <w:t xml:space="preserve">thread_struct</w:t>
      </w:r>
      <w:r>
        <w:t xml:space="preserve">).</w:t>
      </w:r>
    </w:p>
    <w:p>
      <w:pPr>
        <w:numPr>
          <w:ilvl w:val="0"/>
          <w:numId w:val="1175"/>
        </w:numPr>
        <w:pStyle w:val="Compact"/>
      </w:pPr>
      <w:r>
        <w:rPr>
          <w:bCs/>
          <w:b/>
        </w:rPr>
        <w:t xml:space="preserve">Scheduling information:</w:t>
      </w:r>
      <w:r>
        <w:t xml:space="preserve"> </w:t>
      </w:r>
      <w:r>
        <w:t xml:space="preserve">priority, nice value, accumulated CPU time, which run queue it is on.</w:t>
      </w:r>
    </w:p>
    <w:p>
      <w:pPr>
        <w:numPr>
          <w:ilvl w:val="0"/>
          <w:numId w:val="1175"/>
        </w:numPr>
        <w:pStyle w:val="Compact"/>
      </w:pPr>
      <w:r>
        <w:rPr>
          <w:bCs/>
          <w:b/>
        </w:rPr>
        <w:t xml:space="preserve">Memory-management information:</w:t>
      </w:r>
      <w:r>
        <w:t xml:space="preserve"> </w:t>
      </w:r>
      <w:r>
        <w:t xml:space="preserve">a pointer to the page tables and the list of mapped regions (Linux</w:t>
      </w:r>
      <w:r>
        <w:t xml:space="preserve"> </w:t>
      </w:r>
      <w:r>
        <w:rPr>
          <w:rStyle w:val="VerbatimChar"/>
        </w:rPr>
        <w:t xml:space="preserve">mm_struct</w:t>
      </w:r>
      <w:r>
        <w:t xml:space="preserve">).</w:t>
      </w:r>
    </w:p>
    <w:p>
      <w:pPr>
        <w:numPr>
          <w:ilvl w:val="0"/>
          <w:numId w:val="1175"/>
        </w:numPr>
        <w:pStyle w:val="Compact"/>
      </w:pPr>
      <w:r>
        <w:rPr>
          <w:bCs/>
          <w:b/>
        </w:rPr>
        <w:t xml:space="preserve">I/O and file information:</w:t>
      </w:r>
      <w:r>
        <w:t xml:space="preserve"> </w:t>
      </w:r>
      <w:r>
        <w:t xml:space="preserve">the table of open file descriptors, current directory.</w:t>
      </w:r>
    </w:p>
    <w:p>
      <w:pPr>
        <w:numPr>
          <w:ilvl w:val="0"/>
          <w:numId w:val="1175"/>
        </w:numPr>
        <w:pStyle w:val="Compact"/>
      </w:pPr>
      <w:r>
        <w:rPr>
          <w:bCs/>
          <w:b/>
        </w:rPr>
        <w:t xml:space="preserve">Signal information:</w:t>
      </w:r>
      <w:r>
        <w:t xml:space="preserve"> </w:t>
      </w:r>
      <w:r>
        <w:t xml:space="preserve">pending signals and installed handlers.</w:t>
      </w:r>
    </w:p>
    <w:p>
      <w:pPr>
        <w:numPr>
          <w:ilvl w:val="0"/>
          <w:numId w:val="1175"/>
        </w:numPr>
        <w:pStyle w:val="Compact"/>
      </w:pPr>
      <w:r>
        <w:rPr>
          <w:bCs/>
          <w:b/>
        </w:rPr>
        <w:t xml:space="preserve">Accounting:</w:t>
      </w:r>
      <w:r>
        <w:t xml:space="preserve"> </w:t>
      </w:r>
      <w:r>
        <w:t xml:space="preserve">CPU time used, start time, resource limits.</w:t>
      </w:r>
    </w:p>
    <w:p>
      <w:pPr>
        <w:pStyle w:val="FirstParagraph"/>
      </w:pPr>
      <w:r>
        <w:t xml:space="preserve">On Linux, each thread is also a</w:t>
      </w:r>
      <w:r>
        <w:t xml:space="preserve"> </w:t>
      </w:r>
      <w:r>
        <w:rPr>
          <w:rStyle w:val="VerbatimChar"/>
        </w:rPr>
        <w:t xml:space="preserve">task_struct</w:t>
      </w:r>
      <w:r>
        <w:t xml:space="preserve">; threads of one process point at the same</w:t>
      </w:r>
      <w:r>
        <w:t xml:space="preserve"> </w:t>
      </w:r>
      <w:r>
        <w:rPr>
          <w:rStyle w:val="VerbatimChar"/>
        </w:rPr>
        <w:t xml:space="preserve">mm_struct</w:t>
      </w:r>
      <w:r>
        <w:t xml:space="preserve"> </w:t>
      </w:r>
      <w:r>
        <w:t xml:space="preserve">and file table. A</w:t>
      </w:r>
      <w:r>
        <w:t xml:space="preserve"> </w:t>
      </w:r>
      <w:r>
        <w:rPr>
          <w:rStyle w:val="VerbatimChar"/>
        </w:rPr>
        <w:t xml:space="preserve">task_struct</w:t>
      </w:r>
      <w:r>
        <w:t xml:space="preserve"> </w:t>
      </w:r>
      <w:r>
        <w:t xml:space="preserve">is several kilobytes, and each task also has a 16 KiB kernel stack on x86-64 (as of Linux 6.x), so 10,000 threads cost roughly 200 MB of kernel memory before their user-space stacks are counted.</w:t>
      </w:r>
    </w:p>
    <w:bookmarkEnd w:id="571"/>
    <w:bookmarkStart w:id="575" w:name="process-states"/>
    <w:p>
      <w:pPr>
        <w:pStyle w:val="Heading3"/>
      </w:pPr>
      <w:r>
        <w:t xml:space="preserve">6.3.4 Process states</w:t>
      </w:r>
    </w:p>
    <w:p>
      <w:pPr>
        <w:pStyle w:val="CalloutDefinition"/>
      </w:pPr>
      <w:r>
        <w:rPr>
          <w:bCs/>
          <w:b/>
        </w:rPr>
        <w:t xml:space="preserve">DEFINITION</w:t>
      </w:r>
    </w:p>
    <w:p>
      <w:pPr>
        <w:pStyle w:val="CalloutDefinition"/>
      </w:pPr>
      <w:r>
        <w:rPr>
          <w:bCs/>
          <w:b/>
        </w:rPr>
        <w:t xml:space="preserve">Definition — Process state.</w:t>
      </w:r>
      <w:r>
        <w:t xml:space="preserve"> </w:t>
      </w:r>
      <w:r>
        <w:t xml:space="preserve">The scheduling status of a process (or thread): whether it is running on a CPU, ready and waiting for a CPU, or blocked waiting for an event.</w:t>
      </w:r>
    </w:p>
    <w:p>
      <w:pPr>
        <w:pStyle w:val="BodyText"/>
      </w:pPr>
      <w:r>
        <w:rPr>
          <w:bCs/>
          <w:b/>
        </w:rPr>
        <w:t xml:space="preserve">Figure 6.2 — Process state diagram.</w:t>
      </w:r>
    </w:p>
    <w:p>
      <w:pPr>
        <w:pStyle w:val="BodyText"/>
      </w:pPr>
      <w:r>
        <w:drawing>
          <wp:inline>
            <wp:extent cx="5334000" cy="5250980"/>
            <wp:effectExtent b="0" l="0" r="0" t="0"/>
            <wp:docPr descr="" title="" id="573" name="Picture"/>
            <a:graphic>
              <a:graphicData uri="http://schemas.openxmlformats.org/drawingml/2006/picture">
                <pic:pic>
                  <pic:nvPicPr>
                    <pic:cNvPr descr="/home/user/System-Design/build/.cache/diagrams/e829db803839.png" id="574" name="Picture"/>
                    <pic:cNvPicPr>
                      <a:picLocks noChangeArrowheads="1" noChangeAspect="1"/>
                    </pic:cNvPicPr>
                  </pic:nvPicPr>
                  <pic:blipFill>
                    <a:blip r:embed="rId572"/>
                    <a:stretch>
                      <a:fillRect/>
                    </a:stretch>
                  </pic:blipFill>
                  <pic:spPr bwMode="auto">
                    <a:xfrm>
                      <a:off x="0" y="0"/>
                      <a:ext cx="5334000" cy="5250980"/>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A process is</w:t>
      </w:r>
      <w:r>
        <w:t xml:space="preserve"> </w:t>
      </w:r>
      <w:r>
        <w:rPr>
          <w:bCs/>
          <w:b/>
        </w:rPr>
        <w:t xml:space="preserve">New</w:t>
      </w:r>
      <w:r>
        <w:t xml:space="preserve"> </w:t>
      </w:r>
      <w:r>
        <w:t xml:space="preserve">while the kernel builds its PCB and address space, then</w:t>
      </w:r>
      <w:r>
        <w:t xml:space="preserve"> </w:t>
      </w:r>
      <w:r>
        <w:rPr>
          <w:bCs/>
          <w:b/>
        </w:rPr>
        <w:t xml:space="preserve">Ready</w:t>
      </w:r>
      <w:r>
        <w:t xml:space="preserve">: runnable but waiting for a CPU. The scheduler (§6.5)</w:t>
      </w:r>
      <w:r>
        <w:t xml:space="preserve"> </w:t>
      </w:r>
      <w:r>
        <w:rPr>
          <w:bCs/>
          <w:b/>
        </w:rPr>
        <w:t xml:space="preserve">dispatches</w:t>
      </w:r>
      <w:r>
        <w:t xml:space="preserve"> </w:t>
      </w:r>
      <w:r>
        <w:t xml:space="preserve">one ready task per core to</w:t>
      </w:r>
      <w:r>
        <w:t xml:space="preserve"> </w:t>
      </w:r>
      <w:r>
        <w:rPr>
          <w:bCs/>
          <w:b/>
        </w:rPr>
        <w:t xml:space="preserve">Running</w:t>
      </w:r>
      <w:r>
        <w:t xml:space="preserve">. A running process leaves the CPU in three ways: it is</w:t>
      </w:r>
      <w:r>
        <w:t xml:space="preserve"> </w:t>
      </w:r>
      <w:r>
        <w:rPr>
          <w:bCs/>
          <w:b/>
        </w:rPr>
        <w:t xml:space="preserve">preempted</w:t>
      </w:r>
      <w:r>
        <w:t xml:space="preserve"> </w:t>
      </w:r>
      <w:r>
        <w:t xml:space="preserve">(slice expired or a higher-priority task woke) and returns to Ready; it waits for something not yet available (disk, network packet, lock, timer) and becomes</w:t>
      </w:r>
      <w:r>
        <w:t xml:space="preserve"> </w:t>
      </w:r>
      <w:r>
        <w:rPr>
          <w:bCs/>
          <w:b/>
        </w:rPr>
        <w:t xml:space="preserve">Blocked</w:t>
      </w:r>
      <w:r>
        <w:t xml:space="preserve">; or it</w:t>
      </w:r>
      <w:r>
        <w:t xml:space="preserve"> </w:t>
      </w:r>
      <w:r>
        <w:rPr>
          <w:bCs/>
          <w:b/>
        </w:rPr>
        <w:t xml:space="preserve">exits</w:t>
      </w:r>
      <w:r>
        <w:t xml:space="preserve">. When the awaited event occurs, usually signaled by a hardware interrupt (§5.7), the process returns to Ready,</w:t>
      </w:r>
      <w:r>
        <w:t xml:space="preserve"> </w:t>
      </w:r>
      <w:r>
        <w:rPr>
          <w:iCs/>
          <w:i/>
        </w:rPr>
        <w:t xml:space="preserve">not</w:t>
      </w:r>
      <w:r>
        <w:t xml:space="preserve"> </w:t>
      </w:r>
      <w:r>
        <w:t xml:space="preserve">straight to Running. A</w:t>
      </w:r>
      <w:r>
        <w:t xml:space="preserve"> </w:t>
      </w:r>
      <w:r>
        <w:rPr>
          <w:bCs/>
          <w:b/>
        </w:rPr>
        <w:t xml:space="preserve">Terminated</w:t>
      </w:r>
      <w:r>
        <w:t xml:space="preserve"> </w:t>
      </w:r>
      <w:r>
        <w:t xml:space="preserve">process whose parent has not collected its exit status is a</w:t>
      </w:r>
      <w:r>
        <w:t xml:space="preserve"> </w:t>
      </w:r>
      <w:r>
        <w:rPr>
          <w:bCs/>
          <w:b/>
        </w:rPr>
        <w:t xml:space="preserve">zombie</w:t>
      </w:r>
      <w:r>
        <w:t xml:space="preserve">. Every transition is made by the kernel.</w:t>
      </w:r>
    </w:p>
    <w:p>
      <w:pPr>
        <w:pStyle w:val="BodyText"/>
      </w:pPr>
      <w:r>
        <w:t xml:space="preserve">Linux reports these states in</w:t>
      </w:r>
      <w:r>
        <w:t xml:space="preserve"> </w:t>
      </w:r>
      <w:r>
        <w:rPr>
          <w:rStyle w:val="VerbatimChar"/>
        </w:rPr>
        <w:t xml:space="preserve">ps</w:t>
      </w:r>
      <w:r>
        <w:t xml:space="preserve"> </w:t>
      </w:r>
      <w:r>
        <w:t xml:space="preserve">and</w:t>
      </w:r>
      <w:r>
        <w:t xml:space="preserve"> </w:t>
      </w:r>
      <w:r>
        <w:rPr>
          <w:rStyle w:val="VerbatimChar"/>
        </w:rPr>
        <w:t xml:space="preserve">top</w:t>
      </w:r>
      <w:r>
        <w:t xml:space="preserve"> </w:t>
      </w:r>
      <w:r>
        <w:t xml:space="preserve">with single letters:</w:t>
      </w:r>
      <w:r>
        <w:t xml:space="preserve"> </w:t>
      </w:r>
      <w:r>
        <w:rPr>
          <w:bCs/>
          <w:b/>
        </w:rPr>
        <w:t xml:space="preserve">R</w:t>
      </w:r>
      <w:r>
        <w:t xml:space="preserve"> </w:t>
      </w:r>
      <w:r>
        <w:t xml:space="preserve">(running</w:t>
      </w:r>
      <w:r>
        <w:t xml:space="preserve"> </w:t>
      </w:r>
      <w:r>
        <w:rPr>
          <w:iCs/>
          <w:i/>
        </w:rPr>
        <w:t xml:space="preserve">or</w:t>
      </w:r>
      <w:r>
        <w:t xml:space="preserve"> </w:t>
      </w:r>
      <w:r>
        <w:t xml:space="preserve">ready, Linux does not distinguish them),</w:t>
      </w:r>
      <w:r>
        <w:t xml:space="preserve"> </w:t>
      </w:r>
      <w:r>
        <w:rPr>
          <w:bCs/>
          <w:b/>
        </w:rPr>
        <w:t xml:space="preserve">S</w:t>
      </w:r>
      <w:r>
        <w:t xml:space="preserve"> </w:t>
      </w:r>
      <w:r>
        <w:t xml:space="preserve">(interruptible sleep, the normal blocked state),</w:t>
      </w:r>
      <w:r>
        <w:t xml:space="preserve"> </w:t>
      </w:r>
      <w:r>
        <w:rPr>
          <w:bCs/>
          <w:b/>
        </w:rPr>
        <w:t xml:space="preserve">D</w:t>
      </w:r>
      <w:r>
        <w:t xml:space="preserve"> </w:t>
      </w:r>
      <w:r>
        <w:t xml:space="preserve">(uninterruptible sleep, usually waiting on disk or network file system I/O, cannot be killed until the I/O completes),</w:t>
      </w:r>
      <w:r>
        <w:t xml:space="preserve"> </w:t>
      </w:r>
      <w:r>
        <w:rPr>
          <w:bCs/>
          <w:b/>
        </w:rPr>
        <w:t xml:space="preserve">T</w:t>
      </w:r>
      <w:r>
        <w:t xml:space="preserve"> </w:t>
      </w:r>
      <w:r>
        <w:t xml:space="preserve">(stopped by a signal or debugger) and</w:t>
      </w:r>
      <w:r>
        <w:t xml:space="preserve"> </w:t>
      </w:r>
      <w:r>
        <w:rPr>
          <w:bCs/>
          <w:b/>
        </w:rPr>
        <w:t xml:space="preserve">Z</w:t>
      </w:r>
      <w:r>
        <w:t xml:space="preserve"> </w:t>
      </w:r>
      <w:r>
        <w:t xml:space="preserve">(zombie). On Linux, tasks in</w:t>
      </w:r>
      <w:r>
        <w:t xml:space="preserve"> </w:t>
      </w:r>
      <w:r>
        <w:rPr>
          <w:bCs/>
          <w:b/>
        </w:rPr>
        <w:t xml:space="preserve">D</w:t>
      </w:r>
      <w:r>
        <w:t xml:space="preserve"> </w:t>
      </w:r>
      <w:r>
        <w:t xml:space="preserve">count toward the</w:t>
      </w:r>
      <w:r>
        <w:t xml:space="preserve"> </w:t>
      </w:r>
      <w:r>
        <w:rPr>
          <w:bCs/>
          <w:b/>
        </w:rPr>
        <w:t xml:space="preserve">load average</w:t>
      </w:r>
      <w:r>
        <w:t xml:space="preserve"> </w:t>
      </w:r>
      <w:r>
        <w:t xml:space="preserve">along with R tasks, which is why a server with a hung NFS mount can show a load average of 200 while its CPUs are idle [Gregg 2020].</w:t>
      </w:r>
    </w:p>
    <w:bookmarkEnd w:id="575"/>
    <w:bookmarkStart w:id="580" w:name="threads"/>
    <w:p>
      <w:pPr>
        <w:pStyle w:val="Heading3"/>
      </w:pPr>
      <w:r>
        <w:t xml:space="preserve">6.3.5 Threads</w:t>
      </w:r>
    </w:p>
    <w:p>
      <w:pPr>
        <w:pStyle w:val="CalloutDefinition"/>
      </w:pPr>
      <w:r>
        <w:rPr>
          <w:bCs/>
          <w:b/>
        </w:rPr>
        <w:t xml:space="preserve">DEFINITION</w:t>
      </w:r>
    </w:p>
    <w:p>
      <w:pPr>
        <w:pStyle w:val="CalloutDefinition"/>
      </w:pPr>
      <w:r>
        <w:rPr>
          <w:bCs/>
          <w:b/>
        </w:rPr>
        <w:t xml:space="preserve">Definition — Thread.</w:t>
      </w:r>
      <w:r>
        <w:t xml:space="preserve"> </w:t>
      </w:r>
      <w:r>
        <w:t xml:space="preserve">An independent sequence of execution within a process, with its own program counter, registers and stack, sharing the process’s address space, heap, globals and open files with the process’s other threads.</w:t>
      </w:r>
    </w:p>
    <w:p>
      <w:pPr>
        <w:pStyle w:val="BodyText"/>
      </w:pPr>
      <w:r>
        <w:t xml:space="preserve">If a process is a cook with a private workstation, threads are several cooks</w:t>
      </w:r>
      <w:r>
        <w:t xml:space="preserve"> </w:t>
      </w:r>
      <w:r>
        <w:rPr>
          <w:iCs/>
          <w:i/>
        </w:rPr>
        <w:t xml:space="preserve">sharing one workstation</w:t>
      </w:r>
      <w:r>
        <w:t xml:space="preserve">: they pass ingredients instantly (shared memory) but can reach for the same knife at once (a race condition, §6.9).</w:t>
      </w:r>
    </w:p>
    <w:bookmarkStart w:id="576" w:name="how-it-works-internally-18"/>
    <w:p>
      <w:pPr>
        <w:pStyle w:val="Heading4"/>
      </w:pPr>
      <w:r>
        <w:t xml:space="preserve">How it works internally</w:t>
      </w:r>
    </w:p>
    <w:p>
      <w:pPr>
        <w:numPr>
          <w:ilvl w:val="0"/>
          <w:numId w:val="1176"/>
        </w:numPr>
        <w:pStyle w:val="Compact"/>
      </w:pPr>
      <w:r>
        <w:t xml:space="preserve">A process starts with one thread (the</w:t>
      </w:r>
      <w:r>
        <w:t xml:space="preserve"> </w:t>
      </w:r>
      <w:r>
        <w:rPr>
          <w:bCs/>
          <w:b/>
        </w:rPr>
        <w:t xml:space="preserve">main thread</w:t>
      </w:r>
      <w:r>
        <w:t xml:space="preserve">).</w:t>
      </w:r>
    </w:p>
    <w:p>
      <w:pPr>
        <w:numPr>
          <w:ilvl w:val="0"/>
          <w:numId w:val="1176"/>
        </w:numPr>
        <w:pStyle w:val="Compact"/>
      </w:pPr>
      <w:r>
        <w:t xml:space="preserve">Creating a thread (</w:t>
      </w:r>
      <w:r>
        <w:rPr>
          <w:rStyle w:val="VerbatimChar"/>
        </w:rPr>
        <w:t xml:space="preserve">pthread_create</w:t>
      </w:r>
      <w:r>
        <w:t xml:space="preserve">,</w:t>
      </w:r>
      <w:r>
        <w:t xml:space="preserve"> </w:t>
      </w:r>
      <w:r>
        <w:rPr>
          <w:rStyle w:val="VerbatimChar"/>
        </w:rPr>
        <w:t xml:space="preserve">new Thread()</w:t>
      </w:r>
      <w:r>
        <w:t xml:space="preserve">,</w:t>
      </w:r>
      <w:r>
        <w:t xml:space="preserve"> </w:t>
      </w:r>
      <w:r>
        <w:rPr>
          <w:rStyle w:val="VerbatimChar"/>
        </w:rPr>
        <w:t xml:space="preserve">threading.Thread</w:t>
      </w:r>
      <w:r>
        <w:t xml:space="preserve">) asks the kernel, on Linux via the</w:t>
      </w:r>
      <w:r>
        <w:t xml:space="preserve"> </w:t>
      </w:r>
      <w:r>
        <w:rPr>
          <w:rStyle w:val="VerbatimChar"/>
        </w:rPr>
        <w:t xml:space="preserve">clone()</w:t>
      </w:r>
      <w:r>
        <w:t xml:space="preserve"> </w:t>
      </w:r>
      <w:r>
        <w:t xml:space="preserve">system call, to create a new schedulable task that</w:t>
      </w:r>
      <w:r>
        <w:t xml:space="preserve"> </w:t>
      </w:r>
      <w:r>
        <w:rPr>
          <w:iCs/>
          <w:i/>
        </w:rPr>
        <w:t xml:space="preserve">shares</w:t>
      </w:r>
      <w:r>
        <w:t xml:space="preserve"> </w:t>
      </w:r>
      <w:r>
        <w:t xml:space="preserve">the address space and file table instead of copying them.</w:t>
      </w:r>
    </w:p>
    <w:p>
      <w:pPr>
        <w:numPr>
          <w:ilvl w:val="0"/>
          <w:numId w:val="1176"/>
        </w:numPr>
        <w:pStyle w:val="Compact"/>
      </w:pPr>
      <w:r>
        <w:t xml:space="preserve">The runtime allocates a new</w:t>
      </w:r>
      <w:r>
        <w:t xml:space="preserve"> </w:t>
      </w:r>
      <w:r>
        <w:rPr>
          <w:bCs/>
          <w:b/>
        </w:rPr>
        <w:t xml:space="preserve">user-space stack</w:t>
      </w:r>
      <w:r>
        <w:t xml:space="preserve"> </w:t>
      </w:r>
      <w:r>
        <w:t xml:space="preserve">for the thread (by default 8 MiB of</w:t>
      </w:r>
      <w:r>
        <w:t xml:space="preserve"> </w:t>
      </w:r>
      <w:r>
        <w:rPr>
          <w:iCs/>
          <w:i/>
        </w:rPr>
        <w:t xml:space="preserve">virtual</w:t>
      </w:r>
      <w:r>
        <w:t xml:space="preserve"> </w:t>
      </w:r>
      <w:r>
        <w:t xml:space="preserve">address space for glibc threads on Linux, taken from</w:t>
      </w:r>
      <w:r>
        <w:t xml:space="preserve"> </w:t>
      </w:r>
      <w:r>
        <w:rPr>
          <w:rStyle w:val="VerbatimChar"/>
        </w:rPr>
        <w:t xml:space="preserve">ulimit -s</w:t>
      </w:r>
      <w:r>
        <w:t xml:space="preserve">; 1 MiB for Java platform threads on 64-bit Linux, as of JDK 21) plus a</w:t>
      </w:r>
      <w:r>
        <w:t xml:space="preserve"> </w:t>
      </w:r>
      <w:r>
        <w:rPr>
          <w:bCs/>
          <w:b/>
        </w:rPr>
        <w:t xml:space="preserve">guard page</w:t>
      </w:r>
      <w:r>
        <w:t xml:space="preserve"> </w:t>
      </w:r>
      <w:r>
        <w:t xml:space="preserve">below it to catch overflow.</w:t>
      </w:r>
    </w:p>
    <w:p>
      <w:pPr>
        <w:numPr>
          <w:ilvl w:val="0"/>
          <w:numId w:val="1176"/>
        </w:numPr>
        <w:pStyle w:val="Compact"/>
      </w:pPr>
      <w:r>
        <w:t xml:space="preserve">The kernel scheduler sees each thread as an independent task. Two threads of one process can run truly simultaneously on two cores.</w:t>
      </w:r>
    </w:p>
    <w:p>
      <w:pPr>
        <w:pStyle w:val="FirstParagraph"/>
      </w:pPr>
      <w:r>
        <w:t xml:space="preserve">Linux uses a</w:t>
      </w:r>
      <w:r>
        <w:t xml:space="preserve"> </w:t>
      </w:r>
      <w:r>
        <w:rPr>
          <w:bCs/>
          <w:b/>
        </w:rPr>
        <w:t xml:space="preserve">1:1 threading model</w:t>
      </w:r>
      <w:r>
        <w:t xml:space="preserve">: every user thread is one kernel task. Go goroutines, Erlang processes and Java virtual threads multiplex many lightweight user-space threads onto a few kernel threads (an</w:t>
      </w:r>
      <w:r>
        <w:t xml:space="preserve"> </w:t>
      </w:r>
      <w:r>
        <w:rPr>
          <w:bCs/>
          <w:b/>
        </w:rPr>
        <w:t xml:space="preserve">M:N model</w:t>
      </w:r>
      <w:r>
        <w:t xml:space="preserve">, §6.15). New processes are created with</w:t>
      </w:r>
      <w:r>
        <w:t xml:space="preserve"> </w:t>
      </w:r>
      <w:r>
        <w:rPr>
          <w:rStyle w:val="VerbatimChar"/>
        </w:rPr>
        <w:t xml:space="preserve">fork()</w:t>
      </w:r>
      <w:r>
        <w:t xml:space="preserve">, a near-copy of the caller made cheap by copy-on-write (§6.6.5), usually followed by</w:t>
      </w:r>
      <w:r>
        <w:t xml:space="preserve"> </w:t>
      </w:r>
      <w:r>
        <w:rPr>
          <w:rStyle w:val="VerbatimChar"/>
        </w:rPr>
        <w:t xml:space="preserve">exec()</w:t>
      </w:r>
      <w:r>
        <w:t xml:space="preserve"> </w:t>
      </w:r>
      <w:r>
        <w:t xml:space="preserve">to load a new program.</w:t>
      </w:r>
    </w:p>
    <w:p>
      <w:pPr>
        <w:pStyle w:val="BodyText"/>
      </w:pPr>
      <w:r>
        <w:rPr>
          <w:bCs/>
          <w:b/>
        </w:rPr>
        <w:t xml:space="preserve">Table 6.1 — Processes versus threads.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Process</w:t>
            </w:r>
          </w:p>
        </w:tc>
        <w:tc>
          <w:tcPr/>
          <w:p>
            <w:pPr>
              <w:pStyle w:val="Compact"/>
              <w:jc w:val="left"/>
            </w:pPr>
            <w:r>
              <w:t xml:space="preserve">Thread</w:t>
            </w:r>
          </w:p>
        </w:tc>
      </w:tr>
      <w:tr>
        <w:tc>
          <w:tcPr/>
          <w:p>
            <w:pPr>
              <w:pStyle w:val="Compact"/>
              <w:jc w:val="left"/>
            </w:pPr>
            <w:r>
              <w:t xml:space="preserve">Address space</w:t>
            </w:r>
          </w:p>
        </w:tc>
        <w:tc>
          <w:tcPr/>
          <w:p>
            <w:pPr>
              <w:pStyle w:val="Compact"/>
              <w:jc w:val="left"/>
            </w:pPr>
            <w:r>
              <w:t xml:space="preserve">Private</w:t>
            </w:r>
          </w:p>
        </w:tc>
        <w:tc>
          <w:tcPr/>
          <w:p>
            <w:pPr>
              <w:pStyle w:val="Compact"/>
              <w:jc w:val="left"/>
            </w:pPr>
            <w:r>
              <w:t xml:space="preserve">Shared with sibling threads</w:t>
            </w:r>
          </w:p>
        </w:tc>
      </w:tr>
      <w:tr>
        <w:tc>
          <w:tcPr/>
          <w:p>
            <w:pPr>
              <w:pStyle w:val="Compact"/>
              <w:jc w:val="left"/>
            </w:pPr>
            <w:r>
              <w:t xml:space="preserve">Creation cost (Linux, order of magnitude)</w:t>
            </w:r>
          </w:p>
        </w:tc>
        <w:tc>
          <w:tcPr/>
          <w:p>
            <w:pPr>
              <w:pStyle w:val="Compact"/>
              <w:jc w:val="left"/>
            </w:pPr>
            <w:r>
              <w:t xml:space="preserve">Tens to hundreds of µs (</w:t>
            </w:r>
            <w:r>
              <w:rPr>
                <w:rStyle w:val="VerbatimChar"/>
              </w:rPr>
              <w:t xml:space="preserve">fork</w:t>
            </w:r>
            <w:r>
              <w:t xml:space="preserve">+</w:t>
            </w:r>
            <w:r>
              <w:rPr>
                <w:rStyle w:val="VerbatimChar"/>
              </w:rPr>
              <w:t xml:space="preserve">exec</w:t>
            </w:r>
            <w:r>
              <w:t xml:space="preserve"> </w:t>
            </w:r>
            <w:r>
              <w:t xml:space="preserve">more)</w:t>
            </w:r>
          </w:p>
        </w:tc>
        <w:tc>
          <w:tcPr/>
          <w:p>
            <w:pPr>
              <w:pStyle w:val="Compact"/>
              <w:jc w:val="left"/>
            </w:pPr>
            <w:r>
              <w:t xml:space="preserve">~10 µs or less</w:t>
            </w:r>
          </w:p>
        </w:tc>
      </w:tr>
      <w:tr>
        <w:tc>
          <w:tcPr/>
          <w:p>
            <w:pPr>
              <w:pStyle w:val="Compact"/>
              <w:jc w:val="left"/>
            </w:pPr>
            <w:r>
              <w:t xml:space="preserve">Communication</w:t>
            </w:r>
          </w:p>
        </w:tc>
        <w:tc>
          <w:tcPr/>
          <w:p>
            <w:pPr>
              <w:pStyle w:val="Compact"/>
              <w:jc w:val="left"/>
            </w:pPr>
            <w:r>
              <w:t xml:space="preserve">IPC: pipes, sockets, shared memory (§6.12)</w:t>
            </w:r>
          </w:p>
        </w:tc>
        <w:tc>
          <w:tcPr/>
          <w:p>
            <w:pPr>
              <w:pStyle w:val="Compact"/>
              <w:jc w:val="left"/>
            </w:pPr>
            <w:r>
              <w:t xml:space="preserve">Direct reads/writes to shared memory</w:t>
            </w:r>
          </w:p>
        </w:tc>
      </w:tr>
      <w:tr>
        <w:tc>
          <w:tcPr/>
          <w:p>
            <w:pPr>
              <w:pStyle w:val="Compact"/>
              <w:jc w:val="left"/>
            </w:pPr>
            <w:r>
              <w:t xml:space="preserve">Isolation</w:t>
            </w:r>
          </w:p>
        </w:tc>
        <w:tc>
          <w:tcPr/>
          <w:p>
            <w:pPr>
              <w:pStyle w:val="Compact"/>
              <w:jc w:val="left"/>
            </w:pPr>
            <w:r>
              <w:t xml:space="preserve">Strong: a crash or wild pointer affects only itself</w:t>
            </w:r>
          </w:p>
        </w:tc>
        <w:tc>
          <w:tcPr/>
          <w:p>
            <w:pPr>
              <w:pStyle w:val="Compact"/>
              <w:jc w:val="left"/>
            </w:pPr>
            <w:r>
              <w:t xml:space="preserve">Weak: one bad thread can crash all</w:t>
            </w:r>
          </w:p>
        </w:tc>
      </w:tr>
      <w:tr>
        <w:tc>
          <w:tcPr/>
          <w:p>
            <w:pPr>
              <w:pStyle w:val="Compact"/>
              <w:jc w:val="left"/>
            </w:pPr>
            <w:r>
              <w:t xml:space="preserve">Context-switch cost</w:t>
            </w:r>
          </w:p>
        </w:tc>
        <w:tc>
          <w:tcPr/>
          <w:p>
            <w:pPr>
              <w:pStyle w:val="Compact"/>
              <w:jc w:val="left"/>
            </w:pPr>
            <w:r>
              <w:t xml:space="preserve">Higher: may change page tables</w:t>
            </w:r>
          </w:p>
        </w:tc>
        <w:tc>
          <w:tcPr/>
          <w:p>
            <w:pPr>
              <w:pStyle w:val="Compact"/>
              <w:jc w:val="left"/>
            </w:pPr>
            <w:r>
              <w:t xml:space="preserve">Lower: same page tables</w:t>
            </w:r>
          </w:p>
        </w:tc>
      </w:tr>
      <w:tr>
        <w:tc>
          <w:tcPr/>
          <w:p>
            <w:pPr>
              <w:pStyle w:val="Compact"/>
              <w:jc w:val="left"/>
            </w:pPr>
            <w:r>
              <w:t xml:space="preserve">Memory overhead</w:t>
            </w:r>
          </w:p>
        </w:tc>
        <w:tc>
          <w:tcPr/>
          <w:p>
            <w:pPr>
              <w:pStyle w:val="Compact"/>
              <w:jc w:val="left"/>
            </w:pPr>
            <w:r>
              <w:t xml:space="preserve">Full set of page tables and mappings</w:t>
            </w:r>
          </w:p>
        </w:tc>
        <w:tc>
          <w:tcPr/>
          <w:p>
            <w:pPr>
              <w:pStyle w:val="Compact"/>
              <w:jc w:val="left"/>
            </w:pPr>
            <w:r>
              <w:t xml:space="preserve">Stack + kernel task (~16 KiB kernel stack)</w:t>
            </w:r>
          </w:p>
        </w:tc>
      </w:tr>
      <w:tr>
        <w:tc>
          <w:tcPr/>
          <w:p>
            <w:pPr>
              <w:pStyle w:val="Compact"/>
              <w:jc w:val="left"/>
            </w:pPr>
            <w:r>
              <w:t xml:space="preserve">Typical use</w:t>
            </w:r>
          </w:p>
        </w:tc>
        <w:tc>
          <w:tcPr/>
          <w:p>
            <w:pPr>
              <w:pStyle w:val="Compact"/>
              <w:jc w:val="left"/>
            </w:pPr>
            <w:r>
              <w:t xml:space="preserve">Isolation between services, browser tabs, worker pools (e.g. PostgreSQL backends)</w:t>
            </w:r>
          </w:p>
        </w:tc>
        <w:tc>
          <w:tcPr/>
          <w:p>
            <w:pPr>
              <w:pStyle w:val="Compact"/>
              <w:jc w:val="left"/>
            </w:pPr>
            <w:r>
              <w:t xml:space="preserve">Parallelism inside one service (e.g. Java/Go servers)</w:t>
            </w:r>
          </w:p>
        </w:tc>
      </w:tr>
      <w:tr>
        <w:tc>
          <w:tcPr/>
          <w:p>
            <w:pPr>
              <w:pStyle w:val="Compact"/>
              <w:jc w:val="left"/>
            </w:pPr>
            <w:r>
              <w:t xml:space="preserve">Choose when</w:t>
            </w:r>
          </w:p>
        </w:tc>
        <w:tc>
          <w:tcPr/>
          <w:p>
            <w:pPr>
              <w:pStyle w:val="Compact"/>
              <w:jc w:val="left"/>
            </w:pPr>
            <w:r>
              <w:t xml:space="preserve">Faults must be contained, or code is not thread-safe</w:t>
            </w:r>
          </w:p>
        </w:tc>
        <w:tc>
          <w:tcPr/>
          <w:p>
            <w:pPr>
              <w:pStyle w:val="Compact"/>
              <w:jc w:val="left"/>
            </w:pPr>
            <w:r>
              <w:t xml:space="preserve">Tasks share large data and need low-latency communication</w:t>
            </w:r>
          </w:p>
        </w:tc>
      </w:tr>
    </w:tbl>
    <w:p>
      <w:pPr>
        <w:pStyle w:val="BodyText"/>
      </w:pPr>
      <w:r>
        <w:t xml:space="preserve">The creation-cost figures are orders of magnitude, not benchmarks; measure on your own hardware.</w:t>
      </w:r>
    </w:p>
    <w:bookmarkEnd w:id="576"/>
    <w:bookmarkStart w:id="577" w:name="real-world-industry-applications-13"/>
    <w:p>
      <w:pPr>
        <w:pStyle w:val="Heading4"/>
      </w:pPr>
      <w:r>
        <w:t xml:space="preserve">Real-world industry applications</w:t>
      </w:r>
    </w:p>
    <w:p>
      <w:pPr>
        <w:pStyle w:val="CalloutIndustry"/>
      </w:pPr>
      <w:r>
        <w:rPr>
          <w:bCs/>
          <w:b/>
        </w:rPr>
        <w:t xml:space="preserve">INDUSTRY EXAMPLE</w:t>
      </w:r>
    </w:p>
    <w:p>
      <w:pPr>
        <w:pStyle w:val="CalloutIndustry"/>
      </w:pPr>
      <w:r>
        <w:rPr>
          <w:bCs/>
          <w:b/>
        </w:rPr>
        <w:t xml:space="preserve">PostgreSQL versus MySQL.</w:t>
      </w:r>
      <w:r>
        <w:t xml:space="preserve"> </w:t>
      </w:r>
      <w:r>
        <w:t xml:space="preserve">PostgreSQL forks one backend</w:t>
      </w:r>
      <w:r>
        <w:t xml:space="preserve"> </w:t>
      </w:r>
      <w:r>
        <w:rPr>
          <w:iCs/>
          <w:i/>
        </w:rPr>
        <w:t xml:space="preserve">process</w:t>
      </w:r>
      <w:r>
        <w:t xml:space="preserve"> </w:t>
      </w:r>
      <w:r>
        <w:t xml:space="preserve">per client connection, containing faults at the cost of per-connection memory, which is why large deployments put a pooler such as PgBouncer in front (§14.13). MySQL uses one</w:t>
      </w:r>
      <w:r>
        <w:t xml:space="preserve"> </w:t>
      </w:r>
      <w:r>
        <w:rPr>
          <w:iCs/>
          <w:i/>
        </w:rPr>
        <w:t xml:space="preserve">thread</w:t>
      </w:r>
      <w:r>
        <w:t xml:space="preserve"> </w:t>
      </w:r>
      <w:r>
        <w:t xml:space="preserve">per connection inside a single process: cheaper connections, shared fate.</w:t>
      </w:r>
      <w:r>
        <w:t xml:space="preserve"> </w:t>
      </w:r>
      <w:r>
        <w:rPr>
          <w:iCs/>
          <w:i/>
        </w:rPr>
        <w:t xml:space="preserve">Evidence: Primary</w:t>
      </w:r>
      <w:r>
        <w:t xml:space="preserve"> </w:t>
      </w:r>
      <w:r>
        <w:t xml:space="preserve">— [PostgreSQL Docs: Architectural Fundamentals]; [MySQL Docs: Connection Interfaces]</w:t>
      </w:r>
    </w:p>
    <w:bookmarkEnd w:id="577"/>
    <w:bookmarkStart w:id="578" w:name="failure-scenarios-13"/>
    <w:p>
      <w:pPr>
        <w:pStyle w:val="Heading4"/>
      </w:pPr>
      <w:r>
        <w:t xml:space="preserve">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Zombie processes accumulate until no PIDs are left</w:t>
            </w:r>
          </w:p>
        </w:tc>
        <w:tc>
          <w:tcPr/>
          <w:p>
            <w:pPr>
              <w:pStyle w:val="Compact"/>
              <w:jc w:val="left"/>
            </w:pPr>
            <w:r>
              <w:t xml:space="preserve">Parent never calls</w:t>
            </w:r>
            <w:r>
              <w:t xml:space="preserve"> </w:t>
            </w:r>
            <w:r>
              <w:rPr>
                <w:rStyle w:val="VerbatimChar"/>
              </w:rPr>
              <w:t xml:space="preserve">wait()</w:t>
            </w:r>
            <w:r>
              <w:t xml:space="preserve">; in containers, the app runs as PID 1 and does not reap orphans</w:t>
            </w:r>
          </w:p>
        </w:tc>
        <w:tc>
          <w:tcPr/>
          <w:p>
            <w:pPr>
              <w:pStyle w:val="Compact"/>
              <w:jc w:val="left"/>
            </w:pPr>
            <w:r>
              <w:rPr>
                <w:rStyle w:val="VerbatimChar"/>
              </w:rPr>
              <w:t xml:space="preserve">ps</w:t>
            </w:r>
            <w:r>
              <w:t xml:space="preserve"> </w:t>
            </w:r>
            <w:r>
              <w:t xml:space="preserve">shows many</w:t>
            </w:r>
            <w:r>
              <w:t xml:space="preserve"> </w:t>
            </w:r>
            <w:r>
              <w:rPr>
                <w:rStyle w:val="VerbatimChar"/>
              </w:rPr>
              <w:t xml:space="preserve">Z</w:t>
            </w:r>
            <w:r>
              <w:t xml:space="preserve"> </w:t>
            </w:r>
            <w:r>
              <w:t xml:space="preserve">entries;</w:t>
            </w:r>
            <w:r>
              <w:t xml:space="preserve"> </w:t>
            </w:r>
            <w:r>
              <w:rPr>
                <w:rStyle w:val="VerbatimChar"/>
              </w:rPr>
              <w:t xml:space="preserve">fork</w:t>
            </w:r>
            <w:r>
              <w:t xml:space="preserve"> </w:t>
            </w:r>
            <w:r>
              <w:t xml:space="preserve">fails with</w:t>
            </w:r>
            <w:r>
              <w:t xml:space="preserve"> </w:t>
            </w:r>
            <w:r>
              <w:rPr>
                <w:rStyle w:val="VerbatimChar"/>
              </w:rPr>
              <w:t xml:space="preserve">EAGAIN</w:t>
            </w:r>
          </w:p>
        </w:tc>
        <w:tc>
          <w:tcPr/>
          <w:p>
            <w:pPr>
              <w:pStyle w:val="Compact"/>
              <w:jc w:val="left"/>
            </w:pPr>
            <w:r>
              <w:t xml:space="preserve">Restart the parent</w:t>
            </w:r>
          </w:p>
        </w:tc>
        <w:tc>
          <w:tcPr/>
          <w:p>
            <w:pPr>
              <w:pStyle w:val="Compact"/>
              <w:jc w:val="left"/>
            </w:pPr>
            <w:r>
              <w:t xml:space="preserve">Reap children; run a minimal init (e.g. </w:t>
            </w:r>
            <w:r>
              <w:rPr>
                <w:rStyle w:val="VerbatimChar"/>
              </w:rPr>
              <w:t xml:space="preserve">tini</w:t>
            </w:r>
            <w:r>
              <w:t xml:space="preserve">) as PID 1 in containers</w:t>
            </w:r>
          </w:p>
        </w:tc>
      </w:tr>
      <w:tr>
        <w:tc>
          <w:tcPr/>
          <w:p>
            <w:pPr>
              <w:pStyle w:val="Compact"/>
              <w:jc w:val="left"/>
            </w:pPr>
            <w:r>
              <w:t xml:space="preserve">Load average 200 but CPU idle</w:t>
            </w:r>
          </w:p>
        </w:tc>
        <w:tc>
          <w:tcPr/>
          <w:p>
            <w:pPr>
              <w:pStyle w:val="Compact"/>
              <w:jc w:val="left"/>
            </w:pPr>
            <w:r>
              <w:t xml:space="preserve">Many tasks in</w:t>
            </w:r>
            <w:r>
              <w:t xml:space="preserve"> </w:t>
            </w:r>
            <w:r>
              <w:rPr>
                <w:bCs/>
                <w:b/>
              </w:rPr>
              <w:t xml:space="preserve">D</w:t>
            </w:r>
            <w:r>
              <w:t xml:space="preserve"> </w:t>
            </w:r>
            <w:r>
              <w:t xml:space="preserve">state on hung storage or NFS</w:t>
            </w:r>
          </w:p>
        </w:tc>
        <w:tc>
          <w:tcPr/>
          <w:p>
            <w:pPr>
              <w:pStyle w:val="Compact"/>
              <w:jc w:val="left"/>
            </w:pPr>
            <w:r>
              <w:rPr>
                <w:rStyle w:val="VerbatimChar"/>
              </w:rPr>
              <w:t xml:space="preserve">ps -eo stat</w:t>
            </w:r>
            <w:r>
              <w:t xml:space="preserve"> </w:t>
            </w:r>
            <w:r>
              <w:t xml:space="preserve">shows</w:t>
            </w:r>
            <w:r>
              <w:t xml:space="preserve"> </w:t>
            </w:r>
            <w:r>
              <w:rPr>
                <w:rStyle w:val="VerbatimChar"/>
              </w:rPr>
              <w:t xml:space="preserve">D</w:t>
            </w:r>
            <w:r>
              <w:t xml:space="preserve">;</w:t>
            </w:r>
            <w:r>
              <w:t xml:space="preserve"> </w:t>
            </w:r>
            <w:r>
              <w:rPr>
                <w:rStyle w:val="VerbatimChar"/>
              </w:rPr>
              <w:t xml:space="preserve">/proc/&lt;pid&gt;/stack</w:t>
            </w:r>
          </w:p>
        </w:tc>
        <w:tc>
          <w:tcPr/>
          <w:p>
            <w:pPr>
              <w:pStyle w:val="Compact"/>
              <w:jc w:val="left"/>
            </w:pPr>
            <w:r>
              <w:t xml:space="preserve">Fix storage; reboot if stuck</w:t>
            </w:r>
          </w:p>
        </w:tc>
        <w:tc>
          <w:tcPr/>
          <w:p>
            <w:pPr>
              <w:pStyle w:val="Compact"/>
              <w:jc w:val="left"/>
            </w:pPr>
            <w:r>
              <w:t xml:space="preserve">Timeouts on network file systems; monitor I/O latency</w:t>
            </w:r>
          </w:p>
        </w:tc>
      </w:tr>
    </w:tbl>
    <w:bookmarkEnd w:id="578"/>
    <w:bookmarkStart w:id="579" w:name="common-misconceptions-13"/>
    <w:p>
      <w:pPr>
        <w:pStyle w:val="Heading4"/>
      </w:pPr>
      <w:r>
        <w:t xml:space="preserve">Common misconceptions</w:t>
      </w:r>
    </w:p>
    <w:p>
      <w:pPr>
        <w:pStyle w:val="CalloutMistake"/>
      </w:pPr>
      <w:r>
        <w:rPr>
          <w:bCs/>
          <w:b/>
        </w:rPr>
        <w:t xml:space="preserve">COMMON MISTAKE</w:t>
      </w:r>
    </w:p>
    <w:p>
      <w:pPr>
        <w:pStyle w:val="CalloutMistake"/>
      </w:pPr>
      <w:r>
        <w:rPr>
          <w:bCs/>
          <w:b/>
        </w:rPr>
        <w:t xml:space="preserve">“</w:t>
      </w:r>
      <w:r>
        <w:rPr>
          <w:bCs/>
          <w:b/>
        </w:rPr>
        <w:t xml:space="preserve">Threads are free.</w:t>
      </w:r>
      <w:r>
        <w:rPr>
          <w:bCs/>
          <w:b/>
        </w:rPr>
        <w:t xml:space="preserve">”</w:t>
      </w:r>
      <w:r>
        <w:t xml:space="preserve"> </w:t>
      </w:r>
      <w:r>
        <w:t xml:space="preserve">Each costs a kernel task, kernel stack, user stack and scheduling work. Ten thousand threads is feasible; a million kernel threads on one machine is not (§6.15.6).</w:t>
      </w:r>
    </w:p>
    <w:bookmarkEnd w:id="579"/>
    <w:bookmarkEnd w:id="580"/>
    <w:bookmarkEnd w:id="581"/>
    <w:bookmarkStart w:id="589" w:name="context-switching-and-its-cost"/>
    <w:p>
      <w:pPr>
        <w:pStyle w:val="Heading2"/>
      </w:pPr>
      <w:r>
        <w:t xml:space="preserve">6.4 Context switching and its cost</w:t>
      </w:r>
    </w:p>
    <w:p>
      <w:pPr>
        <w:pStyle w:val="CalloutDefinition"/>
      </w:pPr>
      <w:r>
        <w:rPr>
          <w:bCs/>
          <w:b/>
        </w:rPr>
        <w:t xml:space="preserve">DEFINITION</w:t>
      </w:r>
    </w:p>
    <w:p>
      <w:pPr>
        <w:pStyle w:val="CalloutDefinition"/>
      </w:pPr>
      <w:r>
        <w:rPr>
          <w:bCs/>
          <w:b/>
        </w:rPr>
        <w:t xml:space="preserve">Definition — Context switch.</w:t>
      </w:r>
      <w:r>
        <w:t xml:space="preserve"> </w:t>
      </w:r>
      <w:r>
        <w:t xml:space="preserve">The kernel operation that stops one thread running on a CPU core, saves its CPU state into its PCB, and loads the saved state of another thread so that it resumes where it left off.</w:t>
      </w:r>
    </w:p>
    <w:bookmarkStart w:id="582" w:name="first-principles-explanation-36"/>
    <w:p>
      <w:pPr>
        <w:pStyle w:val="Heading3"/>
      </w:pPr>
      <w:r>
        <w:t xml:space="preserve">First-principles explanation</w:t>
      </w:r>
    </w:p>
    <w:p>
      <w:pPr>
        <w:pStyle w:val="FirstParagraph"/>
      </w:pPr>
      <w:r>
        <w:t xml:space="preserve">Switching between two books, noting your page is quick; reloading the plot into your head is what costs. Likewise, saving and loading registers is quick; the expensive part is that the new thread finds the CPU’s caches full of the</w:t>
      </w:r>
      <w:r>
        <w:t xml:space="preserve"> </w:t>
      </w:r>
      <w:r>
        <w:rPr>
          <w:iCs/>
          <w:i/>
        </w:rPr>
        <w:t xml:space="preserve">old</w:t>
      </w:r>
      <w:r>
        <w:t xml:space="preserve"> </w:t>
      </w:r>
      <w:r>
        <w:t xml:space="preserve">thread’s data. Switching exists because a core runs one thread at a time: pausing a thread that waits for a 10 ms disk read lets the core do useful work meanwhile.</w:t>
      </w:r>
    </w:p>
    <w:bookmarkEnd w:id="582"/>
    <w:bookmarkStart w:id="586" w:name="how-it-works-internally-19"/>
    <w:p>
      <w:pPr>
        <w:pStyle w:val="Heading3"/>
      </w:pPr>
      <w:r>
        <w:t xml:space="preserve">How it works internally</w:t>
      </w:r>
    </w:p>
    <w:p>
      <w:pPr>
        <w:pStyle w:val="FirstParagraph"/>
      </w:pPr>
      <w:r>
        <w:t xml:space="preserve">A switch is triggered in one of two ways. A</w:t>
      </w:r>
      <w:r>
        <w:t xml:space="preserve"> </w:t>
      </w:r>
      <w:r>
        <w:rPr>
          <w:bCs/>
          <w:b/>
        </w:rPr>
        <w:t xml:space="preserve">voluntary</w:t>
      </w:r>
      <w:r>
        <w:t xml:space="preserve"> </w:t>
      </w:r>
      <w:r>
        <w:t xml:space="preserve">switch happens when the running thread blocks (reads from an empty socket, waits for a lock, sleeps). An</w:t>
      </w:r>
      <w:r>
        <w:t xml:space="preserve"> </w:t>
      </w:r>
      <w:r>
        <w:rPr>
          <w:bCs/>
          <w:b/>
        </w:rPr>
        <w:t xml:space="preserve">involuntary</w:t>
      </w:r>
      <w:r>
        <w:t xml:space="preserve"> </w:t>
      </w:r>
      <w:r>
        <w:t xml:space="preserve">switch happens when the kernel preempts the thread, usually because a periodic</w:t>
      </w:r>
      <w:r>
        <w:t xml:space="preserve"> </w:t>
      </w:r>
      <w:r>
        <w:rPr>
          <w:bCs/>
          <w:b/>
        </w:rPr>
        <w:t xml:space="preserve">timer interrupt</w:t>
      </w:r>
      <w:r>
        <w:t xml:space="preserve"> </w:t>
      </w:r>
      <w:r>
        <w:t xml:space="preserve">found its time slice used up or a higher-priority thread became ready.</w:t>
      </w:r>
    </w:p>
    <w:p>
      <w:pPr>
        <w:pStyle w:val="BodyText"/>
      </w:pPr>
      <w:r>
        <w:rPr>
          <w:bCs/>
          <w:b/>
        </w:rPr>
        <w:t xml:space="preserve">Figure 6.3 — A context switch between two threads triggered by a timer interrupt.</w:t>
      </w:r>
    </w:p>
    <w:p>
      <w:pPr>
        <w:pStyle w:val="BodyText"/>
      </w:pPr>
      <w:r>
        <w:drawing>
          <wp:inline>
            <wp:extent cx="5334000" cy="3190657"/>
            <wp:effectExtent b="0" l="0" r="0" t="0"/>
            <wp:docPr descr="" title="" id="584" name="Picture"/>
            <a:graphic>
              <a:graphicData uri="http://schemas.openxmlformats.org/drawingml/2006/picture">
                <pic:pic>
                  <pic:nvPicPr>
                    <pic:cNvPr descr="/home/user/System-Design/build/.cache/diagrams/908681a30538.png" id="585" name="Picture"/>
                    <pic:cNvPicPr>
                      <a:picLocks noChangeArrowheads="1" noChangeAspect="1"/>
                    </pic:cNvPicPr>
                  </pic:nvPicPr>
                  <pic:blipFill>
                    <a:blip r:embed="rId583"/>
                    <a:stretch>
                      <a:fillRect/>
                    </a:stretch>
                  </pic:blipFill>
                  <pic:spPr bwMode="auto">
                    <a:xfrm>
                      <a:off x="0" y="0"/>
                      <a:ext cx="5334000" cy="3190657"/>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dotted arrow is asynchronous: the timer interrupt arrives regardless of what A is doing and forces the CPU into kernel mode, saving A’s instruction pointer and stack pointer. Solid arrows are synchronous steps on the same core. The kernel saves A’s remaining registers, returns A to the Ready queue and asks the scheduling policy (§6.5) for the next task. If B belongs to a</w:t>
      </w:r>
      <w:r>
        <w:t xml:space="preserve"> </w:t>
      </w:r>
      <w:r>
        <w:rPr>
          <w:iCs/>
          <w:i/>
        </w:rPr>
        <w:t xml:space="preserve">different process</w:t>
      </w:r>
      <w:r>
        <w:t xml:space="preserve">, the kernel loads B’s page-table root (on x86-64, the</w:t>
      </w:r>
      <w:r>
        <w:t xml:space="preserve"> </w:t>
      </w:r>
      <w:r>
        <w:rPr>
          <w:rStyle w:val="VerbatimChar"/>
        </w:rPr>
        <w:t xml:space="preserve">CR3</w:t>
      </w:r>
      <w:r>
        <w:t xml:space="preserve"> </w:t>
      </w:r>
      <w:r>
        <w:t xml:space="preserve">register);</w:t>
      </w:r>
      <w:r>
        <w:t xml:space="preserve"> </w:t>
      </w:r>
      <w:r>
        <w:rPr>
          <w:bCs/>
          <w:b/>
        </w:rPr>
        <w:t xml:space="preserve">process-context identifiers (PCIDs)</w:t>
      </w:r>
      <w:r>
        <w:t xml:space="preserve"> </w:t>
      </w:r>
      <w:r>
        <w:t xml:space="preserve">let TLB entries of different processes coexist, avoiding a full TLB flush. B’s registers are restored and the CPU returns to user mode. No storage or network is involved; the failure point is performance: too-frequent switches leave the core in the kernel and refilling caches.</w:t>
      </w:r>
    </w:p>
    <w:bookmarkEnd w:id="586"/>
    <w:bookmarkStart w:id="587" w:name="mathematical-foundations-6"/>
    <w:p>
      <w:pPr>
        <w:pStyle w:val="Heading3"/>
      </w:pPr>
      <w:r>
        <w:t xml:space="preserve">Mathematical foundations</w:t>
      </w:r>
    </w:p>
    <w:p>
      <w:pPr>
        <w:pStyle w:val="FirstParagraph"/>
      </w:pPr>
      <w:r>
        <w:t xml:space="preserve">There are two costs.</w:t>
      </w:r>
    </w:p>
    <w:p>
      <w:pPr>
        <w:numPr>
          <w:ilvl w:val="0"/>
          <w:numId w:val="1177"/>
        </w:numPr>
        <w:pStyle w:val="Compact"/>
      </w:pPr>
      <w:r>
        <w:rPr>
          <w:bCs/>
          <w:b/>
        </w:rPr>
        <w:t xml:space="preserve">Direct cost</w:t>
      </w:r>
      <w:r>
        <w:t xml:space="preserve"> </w:t>
      </w:r>
      <w:r>
        <w:t xml:space="preserve">— the kernel instructions above: entering the kernel, saving and restoring registers, running the scheduler, switching page tables. On modern x86-64 Linux this is roughly</w:t>
      </w:r>
      <w:r>
        <w:t xml:space="preserve"> </w:t>
      </w:r>
      <w:r>
        <w:rPr>
          <w:bCs/>
          <w:b/>
        </w:rPr>
        <w:t xml:space="preserve">1–5 µs</w:t>
      </w:r>
      <w:r>
        <w:t xml:space="preserve"> </w:t>
      </w:r>
      <w:r>
        <w:t xml:space="preserve">per switch (as of the 2020s; it varies with CPU, kernel version and security mitigations such as those for Spectre and Meltdown).</w:t>
      </w:r>
    </w:p>
    <w:p>
      <w:pPr>
        <w:numPr>
          <w:ilvl w:val="0"/>
          <w:numId w:val="1177"/>
        </w:numPr>
        <w:pStyle w:val="Compact"/>
      </w:pPr>
      <w:r>
        <w:rPr>
          <w:bCs/>
          <w:b/>
        </w:rPr>
        <w:t xml:space="preserve">Indirect cost</w:t>
      </w:r>
      <w:r>
        <w:t xml:space="preserve"> </w:t>
      </w:r>
      <w:r>
        <w:t xml:space="preserve">— after the switch the incoming thread’s data and instructions are no longer in the L1/L2 caches (§5.4) and its address translations are no longer in the TLB (§6.6.3), so it runs slowly until they are reloaded. This can exceed the direct cost by one or two orders of magnitude for threads with large working sets [Li et al. 2007].</w:t>
      </w:r>
    </w:p>
    <w:p>
      <w:pPr>
        <w:pStyle w:val="CalloutFormula"/>
      </w:pPr>
      <w:r>
        <w:rPr>
          <w:bCs/>
          <w:b/>
        </w:rPr>
        <w:t xml:space="preserve">FORMULA</w:t>
      </w:r>
    </w:p>
    <w:p>
      <w:pPr>
        <w:pStyle w:val="CalloutFormula"/>
      </w:pPr>
      <w:r>
        <w:rPr>
          <w:bCs/>
          <w:b/>
        </w:rPr>
        <w:t xml:space="preserve">Context-switch overhead fraction</w:t>
      </w:r>
    </w:p>
    <w:p>
      <w:pPr>
        <w:pStyle w:val="CalloutFormula"/>
      </w:pPr>
      <m:oMathPara>
        <m:oMathParaPr>
          <m:jc m:val="center"/>
        </m:oMathParaPr>
        <m:oMath>
          <m:r>
            <m:t>f</m:t>
          </m:r>
          <m:r>
            <m:rPr>
              <m:sty m:val="p"/>
            </m:rPr>
            <m:t>=</m:t>
          </m:r>
          <m:f>
            <m:fPr>
              <m:type m:val="bar"/>
            </m:fPr>
            <m:num>
              <m:r>
                <m:t>C</m:t>
              </m:r>
            </m:num>
            <m:den>
              <m:r>
                <m:t>Q</m:t>
              </m:r>
              <m:r>
                <m:rPr>
                  <m:sty m:val="p"/>
                </m:rPr>
                <m:t>+</m:t>
              </m:r>
              <m:r>
                <m:t>C</m:t>
              </m:r>
            </m:den>
          </m:f>
        </m:oMath>
      </m:oMathPara>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f</m:t>
              </m:r>
            </m:oMath>
          </w:p>
        </w:tc>
        <w:tc>
          <w:tcPr/>
          <w:p>
            <w:pPr>
              <w:pStyle w:val="Compact"/>
              <w:jc w:val="left"/>
            </w:pPr>
            <w:r>
              <w:t xml:space="preserve">Fraction of CPU time lost to switching</w:t>
            </w:r>
          </w:p>
        </w:tc>
        <w:tc>
          <w:tcPr/>
          <w:p>
            <w:pPr>
              <w:pStyle w:val="Compact"/>
              <w:jc w:val="left"/>
            </w:pPr>
            <w:r>
              <w:t xml:space="preserve">dimensionless (0–1)</w:t>
            </w:r>
          </w:p>
        </w:tc>
      </w:tr>
      <w:tr>
        <w:tc>
          <w:tcPr/>
          <w:p>
            <w:pPr>
              <w:pStyle w:val="Compact"/>
              <w:jc w:val="left"/>
            </w:pPr>
            <m:oMath>
              <m:r>
                <m:t>C</m:t>
              </m:r>
            </m:oMath>
          </w:p>
        </w:tc>
        <w:tc>
          <w:tcPr/>
          <w:p>
            <w:pPr>
              <w:pStyle w:val="Compact"/>
              <w:jc w:val="left"/>
            </w:pPr>
            <w:r>
              <w:t xml:space="preserve">Effective cost of one switch, direct + indirect</w:t>
            </w:r>
          </w:p>
        </w:tc>
        <w:tc>
          <w:tcPr/>
          <w:p>
            <w:pPr>
              <w:pStyle w:val="Compact"/>
              <w:jc w:val="left"/>
            </w:pPr>
            <w:r>
              <w:t xml:space="preserve">µs</w:t>
            </w:r>
          </w:p>
        </w:tc>
      </w:tr>
      <w:tr>
        <w:tc>
          <w:tcPr/>
          <w:p>
            <w:pPr>
              <w:pStyle w:val="Compact"/>
              <w:jc w:val="left"/>
            </w:pPr>
            <m:oMath>
              <m:r>
                <m:t>Q</m:t>
              </m:r>
            </m:oMath>
          </w:p>
        </w:tc>
        <w:tc>
          <w:tcPr/>
          <w:p>
            <w:pPr>
              <w:pStyle w:val="Compact"/>
              <w:jc w:val="left"/>
            </w:pPr>
            <w:r>
              <w:t xml:space="preserve">Average time a thread runs between switches</w:t>
            </w:r>
          </w:p>
        </w:tc>
        <w:tc>
          <w:tcPr/>
          <w:p>
            <w:pPr>
              <w:pStyle w:val="Compact"/>
              <w:jc w:val="left"/>
            </w:pPr>
            <w:r>
              <w:t xml:space="preserve">µs</w:t>
            </w:r>
          </w:p>
        </w:tc>
      </w:tr>
    </w:tbl>
    <w:p>
      <w:pPr>
        <w:pStyle w:val="CalloutFormula"/>
      </w:pPr>
      <w:r>
        <w:rPr>
          <w:bCs/>
          <w:b/>
        </w:rPr>
        <w:t xml:space="preserve">FORMULA</w:t>
      </w:r>
    </w:p>
    <w:p>
      <w:pPr>
        <w:pStyle w:val="CalloutFormula"/>
      </w:pPr>
      <w:r>
        <w:rPr>
          <w:bCs/>
          <w:b/>
        </w:rPr>
        <w:t xml:space="preserve">Cache refill estimate (indirect cost)</w:t>
      </w:r>
    </w:p>
    <w:p>
      <w:pPr>
        <w:pStyle w:val="CalloutFormula"/>
      </w:pPr>
      <m:oMathPara>
        <m:oMathParaPr>
          <m:jc m:val="center"/>
        </m:oMathParaPr>
        <m:oMath>
          <m:sSub>
            <m:e>
              <m:r>
                <m:t>C</m:t>
              </m:r>
            </m:e>
            <m:sub>
              <m:r>
                <m:rPr>
                  <m:nor/>
                  <m:sty m:val="p"/>
                </m:rPr>
                <m:t>refill</m:t>
              </m:r>
            </m:sub>
          </m:sSub>
          <m:r>
            <m:rPr>
              <m:sty m:val="p"/>
            </m:rPr>
            <m:t>≈</m:t>
          </m:r>
          <m:f>
            <m:fPr>
              <m:type m:val="bar"/>
            </m:fPr>
            <m:num>
              <m:r>
                <m:t>W</m:t>
              </m:r>
            </m:num>
            <m:den>
              <m:r>
                <m:t>L</m:t>
              </m:r>
            </m:den>
          </m:f>
          <m:r>
            <m:rPr>
              <m:sty m:val="p"/>
            </m:rPr>
            <m:t>×</m:t>
          </m:r>
          <m:f>
            <m:fPr>
              <m:type m:val="bar"/>
            </m:fPr>
            <m:num>
              <m:sSub>
                <m:e>
                  <m:r>
                    <m:t>t</m:t>
                  </m:r>
                </m:e>
                <m:sub>
                  <m:r>
                    <m:rPr>
                      <m:nor/>
                      <m:sty m:val="p"/>
                    </m:rPr>
                    <m:t>miss</m:t>
                  </m:r>
                </m:sub>
              </m:sSub>
            </m:num>
            <m:den>
              <m:r>
                <m:t>M</m:t>
              </m:r>
            </m:den>
          </m:f>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C</m:t>
                  </m:r>
                </m:e>
                <m:sub>
                  <m:r>
                    <m:rPr>
                      <m:nor/>
                      <m:sty m:val="p"/>
                    </m:rPr>
                    <m:t>refill</m:t>
                  </m:r>
                </m:sub>
              </m:sSub>
            </m:oMath>
          </w:p>
        </w:tc>
        <w:tc>
          <w:tcPr/>
          <w:p>
            <w:pPr>
              <w:pStyle w:val="Compact"/>
              <w:jc w:val="left"/>
            </w:pPr>
            <w:r>
              <w:t xml:space="preserve">Time spent reloading the working set after a switch</w:t>
            </w:r>
          </w:p>
        </w:tc>
        <w:tc>
          <w:tcPr/>
          <w:p>
            <w:pPr>
              <w:pStyle w:val="Compact"/>
              <w:jc w:val="left"/>
            </w:pPr>
            <w:r>
              <w:t xml:space="preserve">ns</w:t>
            </w:r>
          </w:p>
        </w:tc>
      </w:tr>
      <w:tr>
        <w:tc>
          <w:tcPr/>
          <w:p>
            <w:pPr>
              <w:pStyle w:val="Compact"/>
              <w:jc w:val="left"/>
            </w:pPr>
            <m:oMath>
              <m:r>
                <m:t>W</m:t>
              </m:r>
            </m:oMath>
          </w:p>
        </w:tc>
        <w:tc>
          <w:tcPr/>
          <w:p>
            <w:pPr>
              <w:pStyle w:val="Compact"/>
              <w:jc w:val="left"/>
            </w:pPr>
            <w:r>
              <w:t xml:space="preserve">Working set that was evicted</w:t>
            </w:r>
          </w:p>
        </w:tc>
        <w:tc>
          <w:tcPr/>
          <w:p>
            <w:pPr>
              <w:pStyle w:val="Compact"/>
              <w:jc w:val="left"/>
            </w:pPr>
            <w:r>
              <w:t xml:space="preserve">bytes</w:t>
            </w:r>
          </w:p>
        </w:tc>
      </w:tr>
      <w:tr>
        <w:tc>
          <w:tcPr/>
          <w:p>
            <w:pPr>
              <w:pStyle w:val="Compact"/>
              <w:jc w:val="left"/>
            </w:pPr>
            <m:oMath>
              <m:r>
                <m:t>L</m:t>
              </m:r>
            </m:oMath>
          </w:p>
        </w:tc>
        <w:tc>
          <w:tcPr/>
          <w:p>
            <w:pPr>
              <w:pStyle w:val="Compact"/>
              <w:jc w:val="left"/>
            </w:pPr>
            <w:r>
              <w:t xml:space="preserve">Cache line size (64 on x86-64 and most ARM servers)</w:t>
            </w:r>
          </w:p>
        </w:tc>
        <w:tc>
          <w:tcPr/>
          <w:p>
            <w:pPr>
              <w:pStyle w:val="Compact"/>
              <w:jc w:val="left"/>
            </w:pPr>
            <w:r>
              <w:t xml:space="preserve">bytes/line</w:t>
            </w:r>
          </w:p>
        </w:tc>
      </w:tr>
      <w:tr>
        <w:tc>
          <w:tcPr/>
          <w:p>
            <w:pPr>
              <w:pStyle w:val="Compact"/>
              <w:jc w:val="left"/>
            </w:pPr>
            <m:oMath>
              <m:sSub>
                <m:e>
                  <m:r>
                    <m:t>t</m:t>
                  </m:r>
                </m:e>
                <m:sub>
                  <m:r>
                    <m:rPr>
                      <m:nor/>
                      <m:sty m:val="p"/>
                    </m:rPr>
                    <m:t>miss</m:t>
                  </m:r>
                </m:sub>
              </m:sSub>
            </m:oMath>
          </w:p>
        </w:tc>
        <w:tc>
          <w:tcPr/>
          <w:p>
            <w:pPr>
              <w:pStyle w:val="Compact"/>
              <w:jc w:val="left"/>
            </w:pPr>
            <w:r>
              <w:t xml:space="preserve">Latency of one miss to the next memory level</w:t>
            </w:r>
          </w:p>
        </w:tc>
        <w:tc>
          <w:tcPr/>
          <w:p>
            <w:pPr>
              <w:pStyle w:val="Compact"/>
              <w:jc w:val="left"/>
            </w:pPr>
            <w:r>
              <w:t xml:space="preserve">ns</w:t>
            </w:r>
          </w:p>
        </w:tc>
      </w:tr>
      <w:tr>
        <w:tc>
          <w:tcPr/>
          <w:p>
            <w:pPr>
              <w:pStyle w:val="Compact"/>
              <w:jc w:val="left"/>
            </w:pPr>
            <m:oMath>
              <m:r>
                <m:t>M</m:t>
              </m:r>
            </m:oMath>
          </w:p>
        </w:tc>
        <w:tc>
          <w:tcPr/>
          <w:p>
            <w:pPr>
              <w:pStyle w:val="Compact"/>
              <w:jc w:val="left"/>
            </w:pPr>
            <w:r>
              <w:t xml:space="preserve">Memory-level parallelism: misses overlapped in flight</w:t>
            </w:r>
          </w:p>
        </w:tc>
        <w:tc>
          <w:tcPr/>
          <w:p>
            <w:pPr>
              <w:pStyle w:val="Compact"/>
              <w:jc w:val="left"/>
            </w:pPr>
            <w:r>
              <w:t xml:space="preserve">dimensionless (≥ 1)</w:t>
            </w:r>
          </w:p>
        </w:tc>
      </w:tr>
    </w:tbl>
    <w:p>
      <w:pPr>
        <w:pStyle w:val="CalloutExample"/>
      </w:pPr>
      <w:r>
        <w:rPr>
          <w:bCs/>
          <w:b/>
        </w:rPr>
        <w:t xml:space="preserve">WORKED EXAMPLE</w:t>
      </w:r>
    </w:p>
    <w:p>
      <w:pPr>
        <w:pStyle w:val="CalloutExample"/>
      </w:pPr>
      <w:r>
        <w:rPr>
          <w:bCs/>
          <w:b/>
        </w:rPr>
        <w:t xml:space="preserve">Worked example — When does switching hurt?</w:t>
      </w:r>
    </w:p>
    <w:p>
      <w:pPr>
        <w:pStyle w:val="CalloutExample"/>
      </w:pPr>
      <w:r>
        <w:rPr>
          <w:iCs/>
          <w:i/>
        </w:rPr>
        <w:t xml:space="preserve">Case 1: CPU-bound batch job.</w:t>
      </w:r>
      <w:r>
        <w:t xml:space="preserve"> </w:t>
      </w:r>
      <w:r>
        <w:t xml:space="preserve">A thread runs a full 4 ms slice (</w:t>
      </w:r>
      <m:oMath>
        <m:r>
          <m:t>Q</m:t>
        </m:r>
        <m:r>
          <m:rPr>
            <m:sty m:val="p"/>
          </m:rPr>
          <m:t>=</m:t>
        </m:r>
        <m:r>
          <m:t>4000</m:t>
        </m:r>
      </m:oMath>
      <w:r>
        <w:t xml:space="preserve"> </w:t>
      </w:r>
      <w:r>
        <w:t xml:space="preserve">µs) and the direct switch cost is</w:t>
      </w:r>
      <w:r>
        <w:t xml:space="preserve"> </w:t>
      </w:r>
      <m:oMath>
        <m:r>
          <m:t>C</m:t>
        </m:r>
        <m:r>
          <m:rPr>
            <m:sty m:val="p"/>
          </m:rPr>
          <m:t>=</m:t>
        </m:r>
        <m:r>
          <m:t>3</m:t>
        </m:r>
      </m:oMath>
      <w:r>
        <w:t xml:space="preserve"> </w:t>
      </w:r>
      <w:r>
        <w:t xml:space="preserve">µs.</w:t>
      </w:r>
      <w:r>
        <w:t xml:space="preserve"> </w:t>
      </w:r>
      <m:oMath>
        <m:r>
          <m:t>f</m:t>
        </m:r>
        <m:r>
          <m:rPr>
            <m:sty m:val="p"/>
          </m:rPr>
          <m:t>=</m:t>
        </m:r>
        <m:r>
          <m:t>3</m:t>
        </m:r>
        <m:r>
          <m:rPr>
            <m:sty m:val="p"/>
          </m:rPr>
          <m:t>/</m:t>
        </m:r>
        <m:d>
          <m:dPr>
            <m:begChr m:val="("/>
            <m:endChr m:val=")"/>
            <m:sepChr m:val=""/>
            <m:grow/>
          </m:dPr>
          <m:e>
            <m:r>
              <m:t>4000</m:t>
            </m:r>
            <m:r>
              <m:rPr>
                <m:sty m:val="p"/>
              </m:rPr>
              <m:t>+</m:t>
            </m:r>
            <m:r>
              <m:t>3</m:t>
            </m:r>
          </m:e>
        </m:d>
        <m:r>
          <m:rPr>
            <m:sty m:val="p"/>
          </m:rPr>
          <m:t>=</m:t>
        </m:r>
        <m:r>
          <m:t>0.00075</m:t>
        </m:r>
      </m:oMath>
      <w:r>
        <w:t xml:space="preserve">, i.e. </w:t>
      </w:r>
      <w:r>
        <w:rPr>
          <w:bCs/>
          <w:b/>
        </w:rPr>
        <w:t xml:space="preserve">0.075 %</w:t>
      </w:r>
      <w:r>
        <w:t xml:space="preserve"> </w:t>
      </w:r>
      <w:r>
        <w:t xml:space="preserve">of CPU time. Negligible.</w:t>
      </w:r>
    </w:p>
    <w:p>
      <w:pPr>
        <w:pStyle w:val="CalloutExample"/>
      </w:pPr>
      <w:r>
        <w:rPr>
          <w:iCs/>
          <w:i/>
        </w:rPr>
        <w:t xml:space="preserve">Case 2: the same switch, but the thread’s 1 MiB working set was evicted to DRAM.</w:t>
      </w:r>
      <w:r>
        <w:t xml:space="preserve"> </w:t>
      </w:r>
      <m:oMath>
        <m:r>
          <m:t>W</m:t>
        </m:r>
        <m:r>
          <m:rPr>
            <m:sty m:val="p"/>
          </m:rPr>
          <m:t>=</m:t>
        </m:r>
        <m:r>
          <m:t>1</m:t>
        </m:r>
        <m:r>
          <m:rPr>
            <m:sty m:val="p"/>
          </m:rPr>
          <m:t>,</m:t>
        </m:r>
        <m:r>
          <m:t>048</m:t>
        </m:r>
        <m:r>
          <m:rPr>
            <m:sty m:val="p"/>
          </m:rPr>
          <m:t>,</m:t>
        </m:r>
        <m:r>
          <m:t>576</m:t>
        </m:r>
      </m:oMath>
      <w:r>
        <w:t xml:space="preserve"> </w:t>
      </w:r>
      <w:r>
        <w:t xml:space="preserve">bytes,</w:t>
      </w:r>
      <w:r>
        <w:t xml:space="preserve"> </w:t>
      </w:r>
      <m:oMath>
        <m:r>
          <m:t>L</m:t>
        </m:r>
        <m:r>
          <m:rPr>
            <m:sty m:val="p"/>
          </m:rPr>
          <m:t>=</m:t>
        </m:r>
        <m:r>
          <m:t>64</m:t>
        </m:r>
      </m:oMath>
      <w:r>
        <w:t xml:space="preserve"> </w:t>
      </w:r>
      <w:r>
        <w:t xml:space="preserve">bytes, so</w:t>
      </w:r>
      <w:r>
        <w:t xml:space="preserve"> </w:t>
      </w:r>
      <m:oMath>
        <m:r>
          <m:t>W</m:t>
        </m:r>
        <m:r>
          <m:rPr>
            <m:sty m:val="p"/>
          </m:rPr>
          <m:t>/</m:t>
        </m:r>
        <m:r>
          <m:t>L</m:t>
        </m:r>
        <m:r>
          <m:rPr>
            <m:sty m:val="p"/>
          </m:rPr>
          <m:t>=</m:t>
        </m:r>
        <m:r>
          <m:t>16</m:t>
        </m:r>
        <m:r>
          <m:rPr>
            <m:sty m:val="p"/>
          </m:rPr>
          <m:t>,</m:t>
        </m:r>
        <m:r>
          <m:t>384</m:t>
        </m:r>
      </m:oMath>
      <w:r>
        <w:t xml:space="preserve"> </w:t>
      </w:r>
      <w:r>
        <w:t xml:space="preserve">lines. Take</w:t>
      </w:r>
      <w:r>
        <w:t xml:space="preserve"> </w:t>
      </w:r>
      <m:oMath>
        <m:sSub>
          <m:e>
            <m:r>
              <m:t>t</m:t>
            </m:r>
          </m:e>
          <m:sub>
            <m:r>
              <m:rPr>
                <m:nor/>
                <m:sty m:val="p"/>
              </m:rPr>
              <m:t>miss</m:t>
            </m:r>
          </m:sub>
        </m:sSub>
        <m:r>
          <m:rPr>
            <m:sty m:val="p"/>
          </m:rPr>
          <m:t>=</m:t>
        </m:r>
        <m:r>
          <m:t>90</m:t>
        </m:r>
      </m:oMath>
      <w:r>
        <w:t xml:space="preserve"> </w:t>
      </w:r>
      <w:r>
        <w:t xml:space="preserve">ns to DRAM and</w:t>
      </w:r>
      <w:r>
        <w:t xml:space="preserve"> </w:t>
      </w:r>
      <m:oMath>
        <m:r>
          <m:t>M</m:t>
        </m:r>
        <m:r>
          <m:rPr>
            <m:sty m:val="p"/>
          </m:rPr>
          <m:t>=</m:t>
        </m:r>
        <m:r>
          <m:t>8</m:t>
        </m:r>
      </m:oMath>
      <w:r>
        <w:t xml:space="preserve"> </w:t>
      </w:r>
      <w:r>
        <w:t xml:space="preserve">overlapping misses:</w:t>
      </w:r>
      <w:r>
        <w:t xml:space="preserve"> </w:t>
      </w:r>
      <m:oMath>
        <m:sSub>
          <m:e>
            <m:r>
              <m:t>C</m:t>
            </m:r>
          </m:e>
          <m:sub>
            <m:r>
              <m:rPr>
                <m:nor/>
                <m:sty m:val="p"/>
              </m:rPr>
              <m:t>refill</m:t>
            </m:r>
          </m:sub>
        </m:sSub>
        <m:r>
          <m:rPr>
            <m:sty m:val="p"/>
          </m:rPr>
          <m:t>=</m:t>
        </m:r>
        <m:r>
          <m:t>16</m:t>
        </m:r>
        <m:r>
          <m:rPr>
            <m:sty m:val="p"/>
          </m:rPr>
          <m:t>,</m:t>
        </m:r>
        <m:r>
          <m:t>384</m:t>
        </m:r>
        <m:r>
          <m:rPr>
            <m:sty m:val="p"/>
          </m:rPr>
          <m:t>×</m:t>
        </m:r>
        <m:r>
          <m:t>90</m:t>
        </m:r>
        <m:r>
          <m:rPr>
            <m:sty m:val="p"/>
          </m:rPr>
          <m:t>/</m:t>
        </m:r>
        <m:r>
          <m:t>8</m:t>
        </m:r>
        <m:r>
          <m:rPr>
            <m:sty m:val="p"/>
          </m:rPr>
          <m:t>=</m:t>
        </m:r>
        <m:r>
          <m:t>184</m:t>
        </m:r>
        <m:r>
          <m:rPr>
            <m:sty m:val="p"/>
          </m:rPr>
          <m:t>,</m:t>
        </m:r>
        <m:r>
          <m:t>320</m:t>
        </m:r>
      </m:oMath>
      <w:r>
        <w:t xml:space="preserve"> </w:t>
      </w:r>
      <w:r>
        <w:t xml:space="preserve">ns ≈</w:t>
      </w:r>
      <w:r>
        <w:t xml:space="preserve"> </w:t>
      </w:r>
      <w:r>
        <w:rPr>
          <w:bCs/>
          <w:b/>
        </w:rPr>
        <w:t xml:space="preserve">184 µs</w:t>
      </w:r>
      <w:r>
        <w:t xml:space="preserve">, about 60× the direct cost.</w:t>
      </w:r>
    </w:p>
    <w:p>
      <w:pPr>
        <w:pStyle w:val="CalloutExample"/>
      </w:pPr>
      <w:r>
        <w:rPr>
          <w:iCs/>
          <w:i/>
        </w:rPr>
        <w:t xml:space="preserve">Case 3: a chatty server.</w:t>
      </w:r>
      <w:r>
        <w:t xml:space="preserve"> </w:t>
      </w:r>
      <w:r>
        <w:t xml:space="preserve">Threads handle tiny requests and block on the network every 20 µs (</w:t>
      </w:r>
      <m:oMath>
        <m:r>
          <m:t>Q</m:t>
        </m:r>
        <m:r>
          <m:rPr>
            <m:sty m:val="p"/>
          </m:rPr>
          <m:t>=</m:t>
        </m:r>
        <m:r>
          <m:t>20</m:t>
        </m:r>
      </m:oMath>
      <w:r>
        <w:t xml:space="preserve"> </w:t>
      </w:r>
      <w:r>
        <w:t xml:space="preserve">µs). With a modest 10 µs effective switch cost (direct plus a small refill),</w:t>
      </w:r>
      <w:r>
        <w:t xml:space="preserve"> </w:t>
      </w:r>
      <m:oMath>
        <m:r>
          <m:t>f</m:t>
        </m:r>
        <m:r>
          <m:rPr>
            <m:sty m:val="p"/>
          </m:rPr>
          <m:t>=</m:t>
        </m:r>
        <m:r>
          <m:t>10</m:t>
        </m:r>
        <m:r>
          <m:rPr>
            <m:sty m:val="p"/>
          </m:rPr>
          <m:t>/</m:t>
        </m:r>
        <m:d>
          <m:dPr>
            <m:begChr m:val="("/>
            <m:endChr m:val=")"/>
            <m:sepChr m:val=""/>
            <m:grow/>
          </m:dPr>
          <m:e>
            <m:r>
              <m:t>20</m:t>
            </m:r>
            <m:r>
              <m:rPr>
                <m:sty m:val="p"/>
              </m:rPr>
              <m:t>+</m:t>
            </m:r>
            <m:r>
              <m:t>10</m:t>
            </m:r>
          </m:e>
        </m:d>
        <m:r>
          <m:rPr>
            <m:sty m:val="p"/>
          </m:rPr>
          <m:t>=</m:t>
        </m:r>
        <m:r>
          <m:t>0.33</m:t>
        </m:r>
      </m:oMath>
      <w:r>
        <w:t xml:space="preserve">:</w:t>
      </w:r>
      <w:r>
        <w:t xml:space="preserve"> </w:t>
      </w:r>
      <w:r>
        <w:rPr>
          <w:bCs/>
          <w:b/>
        </w:rPr>
        <w:t xml:space="preserve">a third of the CPU goes to switching</w:t>
      </w:r>
      <w:r>
        <w:t xml:space="preserve">.</w:t>
      </w:r>
    </w:p>
    <w:p>
      <w:pPr>
        <w:pStyle w:val="CalloutExample"/>
      </w:pPr>
      <w:r>
        <w:rPr>
          <w:bCs/>
          <w:b/>
        </w:rPr>
        <w:t xml:space="preserve">Interpretation.</w:t>
      </w:r>
      <w:r>
        <w:t xml:space="preserve"> </w:t>
      </w:r>
      <w:r>
        <w:t xml:space="preserve">Context switches are cheap when threads run for milliseconds and expensive when they run for microseconds.</w:t>
      </w:r>
      <w:r>
        <w:t xml:space="preserve"> </w:t>
      </w:r>
      <w:r>
        <w:rPr>
          <w:bCs/>
          <w:b/>
        </w:rPr>
        <w:t xml:space="preserve">Engineering implication:</w:t>
      </w:r>
      <w:r>
        <w:t xml:space="preserve"> </w:t>
      </w:r>
      <w:r>
        <w:t xml:space="preserve">for high-rate, short-request workloads, prefer designs that do many small units of work per switch: event loops (§6.13), batching (§23.8), fewer threads than cores-times-a-small-factor for CPU-bound pools, and pinning hot threads to cores.</w:t>
      </w:r>
    </w:p>
    <w:bookmarkEnd w:id="587"/>
    <w:bookmarkStart w:id="588" w:name="how-to-observe-it"/>
    <w:p>
      <w:pPr>
        <w:pStyle w:val="Heading3"/>
      </w:pPr>
      <w:r>
        <w:t xml:space="preserve">How to observe it</w:t>
      </w:r>
    </w:p>
    <w:p>
      <w:pPr>
        <w:numPr>
          <w:ilvl w:val="0"/>
          <w:numId w:val="1178"/>
        </w:numPr>
        <w:pStyle w:val="Compact"/>
      </w:pPr>
      <w:r>
        <w:rPr>
          <w:rStyle w:val="VerbatimChar"/>
        </w:rPr>
        <w:t xml:space="preserve">vmstat 1</w:t>
      </w:r>
      <w:r>
        <w:t xml:space="preserve"> </w:t>
      </w:r>
      <w:r>
        <w:t xml:space="preserve">— the</w:t>
      </w:r>
      <w:r>
        <w:t xml:space="preserve"> </w:t>
      </w:r>
      <w:r>
        <w:rPr>
          <w:rStyle w:val="VerbatimChar"/>
        </w:rPr>
        <w:t xml:space="preserve">cs</w:t>
      </w:r>
      <w:r>
        <w:t xml:space="preserve"> </w:t>
      </w:r>
      <w:r>
        <w:t xml:space="preserve">column is context switches per second for the whole machine. Tens of thousands per second per core is normal for a busy server; hundreds of thousands per core deserves investigation.</w:t>
      </w:r>
    </w:p>
    <w:p>
      <w:pPr>
        <w:numPr>
          <w:ilvl w:val="0"/>
          <w:numId w:val="1178"/>
        </w:numPr>
        <w:pStyle w:val="Compact"/>
      </w:pPr>
      <w:r>
        <w:rPr>
          <w:rStyle w:val="VerbatimChar"/>
        </w:rPr>
        <w:t xml:space="preserve">pidstat -w 1</w:t>
      </w:r>
      <w:r>
        <w:t xml:space="preserve"> </w:t>
      </w:r>
      <w:r>
        <w:t xml:space="preserve">or</w:t>
      </w:r>
      <w:r>
        <w:t xml:space="preserve"> </w:t>
      </w:r>
      <w:r>
        <w:rPr>
          <w:rStyle w:val="VerbatimChar"/>
        </w:rPr>
        <w:t xml:space="preserve">/proc/&lt;pid&gt;/status</w:t>
      </w:r>
      <w:r>
        <w:t xml:space="preserve"> </w:t>
      </w:r>
      <w:r>
        <w:t xml:space="preserve">— per-task voluntary switches (blocking: lock contention, small I/Os) versus involuntary ones (preemption: CPU contention). If thread migrations between NUMA sockets are frequent, pin threads (§5.10).</w:t>
      </w:r>
    </w:p>
    <w:p>
      <w:pPr>
        <w:numPr>
          <w:ilvl w:val="0"/>
          <w:numId w:val="1178"/>
        </w:numPr>
        <w:pStyle w:val="Compact"/>
      </w:pPr>
      <w:r>
        <w:rPr>
          <w:rStyle w:val="VerbatimChar"/>
        </w:rPr>
        <w:t xml:space="preserve">perf sched</w:t>
      </w:r>
      <w:r>
        <w:t xml:space="preserve"> </w:t>
      </w:r>
      <w:r>
        <w:t xml:space="preserve">and</w:t>
      </w:r>
      <w:r>
        <w:t xml:space="preserve"> </w:t>
      </w:r>
      <w:r>
        <w:rPr>
          <w:rStyle w:val="VerbatimChar"/>
        </w:rPr>
        <w:t xml:space="preserve">perf stat -e context-switches,cpu-migrations</w:t>
      </w:r>
      <w:r>
        <w:t xml:space="preserve"> </w:t>
      </w:r>
      <w:r>
        <w:t xml:space="preserve">for detailed analysis [Gregg 2020].</w:t>
      </w:r>
    </w:p>
    <w:p>
      <w:pPr>
        <w:pStyle w:val="CalloutMistake"/>
      </w:pPr>
      <w:r>
        <w:rPr>
          <w:bCs/>
          <w:b/>
        </w:rPr>
        <w:t xml:space="preserve">COMMON MISTAKE</w:t>
      </w:r>
    </w:p>
    <w:p>
      <w:pPr>
        <w:pStyle w:val="CalloutMistake"/>
      </w:pPr>
      <w:r>
        <w:rPr>
          <w:bCs/>
          <w:b/>
        </w:rPr>
        <w:t xml:space="preserve">“</w:t>
      </w:r>
      <w:r>
        <w:rPr>
          <w:bCs/>
          <w:b/>
        </w:rPr>
        <w:t xml:space="preserve">A context switch costs a few microseconds, so it never matters.</w:t>
      </w:r>
      <w:r>
        <w:rPr>
          <w:bCs/>
          <w:b/>
        </w:rPr>
        <w:t xml:space="preserve">”</w:t>
      </w:r>
      <w:r>
        <w:t xml:space="preserve"> </w:t>
      </w:r>
      <w:r>
        <w:t xml:space="preserve">The few microseconds is only the direct cost. The cache and TLB refill afterwards can cost far more, and it appears in your profile as</w:t>
      </w:r>
      <w:r>
        <w:t xml:space="preserve"> </w:t>
      </w:r>
      <w:r>
        <w:t xml:space="preserve">“</w:t>
      </w:r>
      <w:r>
        <w:t xml:space="preserve">slow application code</w:t>
      </w:r>
      <w:r>
        <w:t xml:space="preserve">”</w:t>
      </w:r>
      <w:r>
        <w:t xml:space="preserve">, not as kernel time.</w:t>
      </w:r>
    </w:p>
    <w:bookmarkEnd w:id="588"/>
    <w:bookmarkEnd w:id="589"/>
    <w:bookmarkStart w:id="601" w:name="cpu-scheduling"/>
    <w:p>
      <w:pPr>
        <w:pStyle w:val="Heading2"/>
      </w:pPr>
      <w:r>
        <w:t xml:space="preserve">6.5 CPU scheduling</w:t>
      </w:r>
    </w:p>
    <w:p>
      <w:pPr>
        <w:pStyle w:val="CalloutDefinition"/>
      </w:pPr>
      <w:r>
        <w:rPr>
          <w:bCs/>
          <w:b/>
        </w:rPr>
        <w:t xml:space="preserve">DEFINITION</w:t>
      </w:r>
    </w:p>
    <w:p>
      <w:pPr>
        <w:pStyle w:val="CalloutDefinition"/>
      </w:pPr>
      <w:r>
        <w:rPr>
          <w:bCs/>
          <w:b/>
        </w:rPr>
        <w:t xml:space="preserve">Definition — CPU scheduler.</w:t>
      </w:r>
      <w:r>
        <w:t xml:space="preserve"> </w:t>
      </w:r>
      <w:r>
        <w:t xml:space="preserve">The part of the kernel that decides which ready thread runs next on each core and for how long. The rule it follows is the</w:t>
      </w:r>
      <w:r>
        <w:t xml:space="preserve"> </w:t>
      </w:r>
      <w:r>
        <w:rPr>
          <w:bCs/>
          <w:b/>
        </w:rPr>
        <w:t xml:space="preserve">scheduling policy</w:t>
      </w:r>
      <w:r>
        <w:t xml:space="preserve">; the mechanism that performs the switch is the dispatcher (§6.4).</w:t>
      </w:r>
    </w:p>
    <w:bookmarkStart w:id="590" w:name="first-principles-explanation-37"/>
    <w:p>
      <w:pPr>
        <w:pStyle w:val="Heading3"/>
      </w:pPr>
      <w:r>
        <w:t xml:space="preserve">First-principles explanation</w:t>
      </w:r>
    </w:p>
    <w:p>
      <w:pPr>
        <w:pStyle w:val="FirstParagraph"/>
      </w:pPr>
      <w:r>
        <w:t xml:space="preserve">A doctor with a waiting room is a scheduler. Strict arrival order leaves a 2-minute renewal stuck behind a 60-minute consultation; quickest-first minimizes average waiting but may leave the long case waiting all day; 10 minutes each in rotation means nobody waits long to be</w:t>
      </w:r>
      <w:r>
        <w:t xml:space="preserve"> </w:t>
      </w:r>
      <w:r>
        <w:rPr>
          <w:iCs/>
          <w:i/>
        </w:rPr>
        <w:t xml:space="preserve">seen</w:t>
      </w:r>
      <w:r>
        <w:t xml:space="preserve">, but long cases finish later. Every CPU scheduling policy is one of these trade-offs. It optimizes some mix of:</w:t>
      </w:r>
    </w:p>
    <w:p>
      <w:pPr>
        <w:numPr>
          <w:ilvl w:val="0"/>
          <w:numId w:val="1179"/>
        </w:numPr>
        <w:pStyle w:val="Compact"/>
      </w:pPr>
      <w:r>
        <w:rPr>
          <w:bCs/>
          <w:b/>
        </w:rPr>
        <w:t xml:space="preserve">Turnaround time</w:t>
      </w:r>
      <w:r>
        <w:t xml:space="preserve"> </w:t>
      </w:r>
      <w:r>
        <w:t xml:space="preserve">— arrival to completion; matters for batch work.</w:t>
      </w:r>
    </w:p>
    <w:p>
      <w:pPr>
        <w:numPr>
          <w:ilvl w:val="0"/>
          <w:numId w:val="1179"/>
        </w:numPr>
        <w:pStyle w:val="Compact"/>
      </w:pPr>
      <w:r>
        <w:rPr>
          <w:bCs/>
          <w:b/>
        </w:rPr>
        <w:t xml:space="preserve">Response time</w:t>
      </w:r>
      <w:r>
        <w:t xml:space="preserve"> </w:t>
      </w:r>
      <w:r>
        <w:t xml:space="preserve">— arrival to first run; matters for interactive work and request handlers.</w:t>
      </w:r>
    </w:p>
    <w:p>
      <w:pPr>
        <w:numPr>
          <w:ilvl w:val="0"/>
          <w:numId w:val="1179"/>
        </w:numPr>
        <w:pStyle w:val="Compact"/>
      </w:pPr>
      <w:r>
        <w:rPr>
          <w:bCs/>
          <w:b/>
        </w:rPr>
        <w:t xml:space="preserve">Throughput</w:t>
      </w:r>
      <w:r>
        <w:t xml:space="preserve">,</w:t>
      </w:r>
      <w:r>
        <w:t xml:space="preserve"> </w:t>
      </w:r>
      <w:r>
        <w:rPr>
          <w:bCs/>
          <w:b/>
        </w:rPr>
        <w:t xml:space="preserve">fairness</w:t>
      </w:r>
      <w:r>
        <w:t xml:space="preserve"> </w:t>
      </w:r>
      <w:r>
        <w:t xml:space="preserve">(each thread, user or container gets its share) and</w:t>
      </w:r>
      <w:r>
        <w:t xml:space="preserve"> </w:t>
      </w:r>
      <w:r>
        <w:rPr>
          <w:bCs/>
          <w:b/>
        </w:rPr>
        <w:t xml:space="preserve">utilization</w:t>
      </w:r>
      <w:r>
        <w:t xml:space="preserve">.</w:t>
      </w:r>
    </w:p>
    <w:p>
      <w:pPr>
        <w:pStyle w:val="FirstParagraph"/>
      </w:pPr>
      <w:r>
        <w:t xml:space="preserve">These conflict: shortest-job-first minimizes turnaround but is unfair to long jobs; rapid rotation minimizes response time but adds switching overhead.</w:t>
      </w:r>
    </w:p>
    <w:bookmarkEnd w:id="590"/>
    <w:bookmarkStart w:id="591" w:name="first-come-first-served-fcfs"/>
    <w:p>
      <w:pPr>
        <w:pStyle w:val="Heading3"/>
      </w:pPr>
      <w:r>
        <w:t xml:space="preserve">6.5.1 First-come, first-served (FCFS)</w:t>
      </w:r>
    </w:p>
    <w:p>
      <w:pPr>
        <w:pStyle w:val="FirstParagraph"/>
      </w:pPr>
      <w:r>
        <w:t xml:space="preserve">Run jobs to completion in arrival order. Simple, but suffers the</w:t>
      </w:r>
      <w:r>
        <w:t xml:space="preserve"> </w:t>
      </w:r>
      <w:r>
        <w:rPr>
          <w:bCs/>
          <w:b/>
        </w:rPr>
        <w:t xml:space="preserve">convoy effect</w:t>
      </w:r>
      <w:r>
        <w:t xml:space="preserve">: short jobs queue behind a long one.</w:t>
      </w:r>
      <w:r>
        <w:t xml:space="preserve"> </w:t>
      </w:r>
      <w:r>
        <w:rPr>
          <w:bCs/>
          <w:b/>
        </w:rPr>
        <w:t xml:space="preserve">Shortest job first (SJF)</w:t>
      </w:r>
      <w:r>
        <w:t xml:space="preserve"> </w:t>
      </w:r>
      <w:r>
        <w:t xml:space="preserve">and its preemptive form</w:t>
      </w:r>
      <w:r>
        <w:t xml:space="preserve"> </w:t>
      </w:r>
      <w:r>
        <w:rPr>
          <w:bCs/>
          <w:b/>
        </w:rPr>
        <w:t xml:space="preserve">STCF</w:t>
      </w:r>
      <w:r>
        <w:t xml:space="preserve"> </w:t>
      </w:r>
      <w:r>
        <w:t xml:space="preserve">are optimal for average turnaround but need job lengths in advance, which a general-purpose OS does not have [Arpaci-Dusseau 2018].</w:t>
      </w:r>
    </w:p>
    <w:bookmarkEnd w:id="591"/>
    <w:bookmarkStart w:id="592" w:name="round-robin-rr"/>
    <w:p>
      <w:pPr>
        <w:pStyle w:val="Heading3"/>
      </w:pPr>
      <w:r>
        <w:t xml:space="preserve">6.5.2 Round robin (RR)</w:t>
      </w:r>
    </w:p>
    <w:p>
      <w:pPr>
        <w:pStyle w:val="FirstParagraph"/>
      </w:pPr>
      <w:r>
        <w:t xml:space="preserve">Run each ready thread for a fixed</w:t>
      </w:r>
      <w:r>
        <w:t xml:space="preserve"> </w:t>
      </w:r>
      <w:r>
        <w:rPr>
          <w:bCs/>
          <w:b/>
        </w:rPr>
        <w:t xml:space="preserve">time slice</w:t>
      </w:r>
      <w:r>
        <w:t xml:space="preserve"> </w:t>
      </w:r>
      <w:r>
        <w:t xml:space="preserve">(</w:t>
      </w:r>
      <w:r>
        <w:rPr>
          <w:bCs/>
          <w:b/>
        </w:rPr>
        <w:t xml:space="preserve">quantum</w:t>
      </w:r>
      <w:r>
        <w:t xml:space="preserve">), then move it to the back of the queue. RR gives good response time and cannot starve anyone, but too short a slice wastes time switching (§6.4) and too long a slice degenerates into FCFS. General-purpose systems use roughly 1–10 ms.</w:t>
      </w:r>
    </w:p>
    <w:p>
      <w:pPr>
        <w:pStyle w:val="CalloutFormula"/>
      </w:pPr>
      <w:r>
        <w:rPr>
          <w:bCs/>
          <w:b/>
        </w:rPr>
        <w:t xml:space="preserve">FORMULA</w:t>
      </w:r>
    </w:p>
    <w:p>
      <w:pPr>
        <w:pStyle w:val="CalloutFormula"/>
      </w:pPr>
      <w:r>
        <w:rPr>
          <w:bCs/>
          <w:b/>
        </w:rPr>
        <w:t xml:space="preserve">Average turnaround and response time</w:t>
      </w:r>
    </w:p>
    <w:p>
      <w:pPr>
        <w:pStyle w:val="CalloutFormula"/>
      </w:pPr>
      <m:oMathPara>
        <m:oMathParaPr>
          <m:jc m:val="center"/>
        </m:oMathParaPr>
        <m:oMath>
          <m:sSub>
            <m:e>
              <m:acc>
                <m:accPr>
                  <m:chr m:val="‾"/>
                </m:accPr>
                <m:e>
                  <m:r>
                    <m:t>T</m:t>
                  </m:r>
                </m:e>
              </m:acc>
            </m:e>
            <m:sub>
              <m:r>
                <m:rPr>
                  <m:nor/>
                  <m:sty m:val="p"/>
                </m:rPr>
                <m:t>turn</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endChr m:val=")"/>
                  <m:sepChr m:val=""/>
                  <m:grow/>
                </m:dPr>
                <m:e>
                  <m:sSubSup>
                    <m:e>
                      <m:r>
                        <m:t>T</m:t>
                      </m:r>
                    </m:e>
                    <m:sub>
                      <m:r>
                        <m:rPr>
                          <m:nor/>
                          <m:sty m:val="p"/>
                        </m:rPr>
                        <m:t>completion</m:t>
                      </m:r>
                    </m:sub>
                    <m:sup>
                      <m:r>
                        <m:t> </m:t>
                      </m:r>
                      <m:r>
                        <m:t>i</m:t>
                      </m:r>
                    </m:sup>
                  </m:sSubSup>
                  <m:r>
                    <m:rPr>
                      <m:sty m:val="p"/>
                    </m:rPr>
                    <m:t>−</m:t>
                  </m:r>
                  <m:sSubSup>
                    <m:e>
                      <m:r>
                        <m:t>T</m:t>
                      </m:r>
                    </m:e>
                    <m:sub>
                      <m:r>
                        <m:rPr>
                          <m:nor/>
                          <m:sty m:val="p"/>
                        </m:rPr>
                        <m:t>arrival</m:t>
                      </m:r>
                    </m:sub>
                    <m:sup>
                      <m:r>
                        <m:t> </m:t>
                      </m:r>
                      <m:r>
                        <m:t>i</m:t>
                      </m:r>
                    </m:sup>
                  </m:sSubSup>
                </m:e>
              </m:d>
            </m:e>
          </m:nary>
          <m:r>
            <m:t>  </m:t>
          </m:r>
          <m:sSub>
            <m:e>
              <m:acc>
                <m:accPr>
                  <m:chr m:val="‾"/>
                </m:accPr>
                <m:e>
                  <m:r>
                    <m:t>T</m:t>
                  </m:r>
                </m:e>
              </m:acc>
            </m:e>
            <m:sub>
              <m:r>
                <m:rPr>
                  <m:nor/>
                  <m:sty m:val="p"/>
                </m:rPr>
                <m:t>resp</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endChr m:val=")"/>
                  <m:sepChr m:val=""/>
                  <m:grow/>
                </m:dPr>
                <m:e>
                  <m:sSubSup>
                    <m:e>
                      <m:r>
                        <m:t>T</m:t>
                      </m:r>
                    </m:e>
                    <m:sub>
                      <m:r>
                        <m:rPr>
                          <m:nor/>
                          <m:sty m:val="p"/>
                        </m:rPr>
                        <m:t>first run</m:t>
                      </m:r>
                    </m:sub>
                    <m:sup>
                      <m:r>
                        <m:t> </m:t>
                      </m:r>
                      <m:r>
                        <m:t>i</m:t>
                      </m:r>
                    </m:sup>
                  </m:sSubSup>
                  <m:r>
                    <m:rPr>
                      <m:sty m:val="p"/>
                    </m:rPr>
                    <m:t>−</m:t>
                  </m:r>
                  <m:sSubSup>
                    <m:e>
                      <m:r>
                        <m:t>T</m:t>
                      </m:r>
                    </m:e>
                    <m:sub>
                      <m:r>
                        <m:rPr>
                          <m:nor/>
                          <m:sty m:val="p"/>
                        </m:rPr>
                        <m:t>arrival</m:t>
                      </m:r>
                    </m:sub>
                    <m:sup>
                      <m:r>
                        <m:t> </m:t>
                      </m:r>
                      <m:r>
                        <m:t>i</m:t>
                      </m:r>
                    </m:sup>
                  </m:sSubSup>
                </m:e>
              </m:d>
            </m:e>
          </m:nary>
        </m:oMath>
      </m:oMathPara>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n</m:t>
              </m:r>
            </m:oMath>
          </w:p>
        </w:tc>
        <w:tc>
          <w:tcPr/>
          <w:p>
            <w:pPr>
              <w:pStyle w:val="Compact"/>
              <w:jc w:val="left"/>
            </w:pPr>
            <w:r>
              <w:t xml:space="preserve">Number of jobs</w:t>
            </w:r>
          </w:p>
        </w:tc>
        <w:tc>
          <w:tcPr/>
          <w:p>
            <w:pPr>
              <w:pStyle w:val="Compact"/>
              <w:jc w:val="left"/>
            </w:pPr>
            <w:r>
              <w:t xml:space="preserve">jobs</w:t>
            </w:r>
          </w:p>
        </w:tc>
      </w:tr>
      <w:tr>
        <w:tc>
          <w:tcPr/>
          <w:p>
            <w:pPr>
              <w:pStyle w:val="Compact"/>
              <w:jc w:val="left"/>
            </w:pPr>
            <m:oMath>
              <m:sSubSup>
                <m:e>
                  <m:r>
                    <m:t>T</m:t>
                  </m:r>
                </m:e>
                <m:sub>
                  <m:r>
                    <m:rPr>
                      <m:nor/>
                      <m:sty m:val="p"/>
                    </m:rPr>
                    <m:t>arrival</m:t>
                  </m:r>
                </m:sub>
                <m:sup>
                  <m:r>
                    <m:t> </m:t>
                  </m:r>
                  <m:r>
                    <m:t>i</m:t>
                  </m:r>
                </m:sup>
              </m:sSubSup>
            </m:oMath>
          </w:p>
        </w:tc>
        <w:tc>
          <w:tcPr/>
          <w:p>
            <w:pPr>
              <w:pStyle w:val="Compact"/>
              <w:jc w:val="left"/>
            </w:pPr>
            <w:r>
              <w:t xml:space="preserve">Time job</w:t>
            </w:r>
            <w:r>
              <w:t xml:space="preserve"> </w:t>
            </w:r>
            <m:oMath>
              <m:r>
                <m:t>i</m:t>
              </m:r>
            </m:oMath>
            <w:r>
              <w:t xml:space="preserve"> </w:t>
            </w:r>
            <w:r>
              <w:t xml:space="preserve">became ready</w:t>
            </w:r>
          </w:p>
        </w:tc>
        <w:tc>
          <w:tcPr/>
          <w:p>
            <w:pPr>
              <w:pStyle w:val="Compact"/>
              <w:jc w:val="left"/>
            </w:pPr>
            <w:r>
              <w:t xml:space="preserve">ms</w:t>
            </w:r>
          </w:p>
        </w:tc>
      </w:tr>
      <w:tr>
        <w:tc>
          <w:tcPr/>
          <w:p>
            <w:pPr>
              <w:pStyle w:val="Compact"/>
              <w:jc w:val="left"/>
            </w:pPr>
            <m:oMath>
              <m:sSubSup>
                <m:e>
                  <m:r>
                    <m:t>T</m:t>
                  </m:r>
                </m:e>
                <m:sub>
                  <m:r>
                    <m:rPr>
                      <m:nor/>
                      <m:sty m:val="p"/>
                    </m:rPr>
                    <m:t>first run</m:t>
                  </m:r>
                </m:sub>
                <m:sup>
                  <m:r>
                    <m:t> </m:t>
                  </m:r>
                  <m:r>
                    <m:t>i</m:t>
                  </m:r>
                </m:sup>
              </m:sSubSup>
            </m:oMath>
          </w:p>
        </w:tc>
        <w:tc>
          <w:tcPr/>
          <w:p>
            <w:pPr>
              <w:pStyle w:val="Compact"/>
              <w:jc w:val="left"/>
            </w:pPr>
            <w:r>
              <w:t xml:space="preserve">Time job</w:t>
            </w:r>
            <w:r>
              <w:t xml:space="preserve"> </w:t>
            </w:r>
            <m:oMath>
              <m:r>
                <m:t>i</m:t>
              </m:r>
            </m:oMath>
            <w:r>
              <w:t xml:space="preserve"> </w:t>
            </w:r>
            <w:r>
              <w:t xml:space="preserve">first got a CPU</w:t>
            </w:r>
          </w:p>
        </w:tc>
        <w:tc>
          <w:tcPr/>
          <w:p>
            <w:pPr>
              <w:pStyle w:val="Compact"/>
              <w:jc w:val="left"/>
            </w:pPr>
            <w:r>
              <w:t xml:space="preserve">ms</w:t>
            </w:r>
          </w:p>
        </w:tc>
      </w:tr>
      <w:tr>
        <w:tc>
          <w:tcPr/>
          <w:p>
            <w:pPr>
              <w:pStyle w:val="Compact"/>
              <w:jc w:val="left"/>
            </w:pPr>
            <m:oMath>
              <m:sSubSup>
                <m:e>
                  <m:r>
                    <m:t>T</m:t>
                  </m:r>
                </m:e>
                <m:sub>
                  <m:r>
                    <m:rPr>
                      <m:nor/>
                      <m:sty m:val="p"/>
                    </m:rPr>
                    <m:t>completion</m:t>
                  </m:r>
                </m:sub>
                <m:sup>
                  <m:r>
                    <m:t> </m:t>
                  </m:r>
                  <m:r>
                    <m:t>i</m:t>
                  </m:r>
                </m:sup>
              </m:sSubSup>
            </m:oMath>
          </w:p>
        </w:tc>
        <w:tc>
          <w:tcPr/>
          <w:p>
            <w:pPr>
              <w:pStyle w:val="Compact"/>
              <w:jc w:val="left"/>
            </w:pPr>
            <w:r>
              <w:t xml:space="preserve">Time job</w:t>
            </w:r>
            <w:r>
              <w:t xml:space="preserve"> </w:t>
            </w:r>
            <m:oMath>
              <m:r>
                <m:t>i</m:t>
              </m:r>
            </m:oMath>
            <w:r>
              <w:t xml:space="preserve"> </w:t>
            </w:r>
            <w:r>
              <w:t xml:space="preserve">finished</w:t>
            </w:r>
          </w:p>
        </w:tc>
        <w:tc>
          <w:tcPr/>
          <w:p>
            <w:pPr>
              <w:pStyle w:val="Compact"/>
              <w:jc w:val="left"/>
            </w:pPr>
            <w:r>
              <w:t xml:space="preserve">ms</w:t>
            </w:r>
          </w:p>
        </w:tc>
      </w:tr>
    </w:tbl>
    <w:p>
      <w:pPr>
        <w:pStyle w:val="CalloutExample"/>
      </w:pPr>
      <w:r>
        <w:rPr>
          <w:bCs/>
          <w:b/>
        </w:rPr>
        <w:t xml:space="preserve">WORKED EXAMPLE</w:t>
      </w:r>
    </w:p>
    <w:p>
      <w:pPr>
        <w:pStyle w:val="CalloutExample"/>
      </w:pPr>
      <w:r>
        <w:rPr>
          <w:bCs/>
          <w:b/>
        </w:rPr>
        <w:t xml:space="preserve">Worked example — FCFS vs SJF vs RR on one core.</w:t>
      </w:r>
      <w:r>
        <w:t xml:space="preserve"> </w:t>
      </w:r>
      <w:r>
        <w:t xml:space="preserve">Three jobs arrive at</w:t>
      </w:r>
      <w:r>
        <w:t xml:space="preserve"> </w:t>
      </w:r>
      <m:oMath>
        <m:r>
          <m:t>t</m:t>
        </m:r>
        <m:r>
          <m:rPr>
            <m:sty m:val="p"/>
          </m:rPr>
          <m:t>=</m:t>
        </m:r>
        <m:r>
          <m:t>0</m:t>
        </m:r>
      </m:oMath>
      <w:r>
        <w:t xml:space="preserve">: A needs 100 ms of CPU, B needs 10 ms, C needs 10 ms. Ignore switching cost.</w:t>
      </w:r>
    </w:p>
    <w:p>
      <w:pPr>
        <w:pStyle w:val="CalloutExample"/>
      </w:pPr>
      <w:r>
        <w:rPr>
          <w:iCs/>
          <w:i/>
        </w:rPr>
        <w:t xml:space="preserve">FCFS (order A, B, C).</w:t>
      </w:r>
      <w:r>
        <w:t xml:space="preserve"> </w:t>
      </w:r>
      <w:r>
        <w:t xml:space="preserve">Completions: A = 100, B = 110, C = 120. Average turnaround = (100 + 110 + 120)/3 =</w:t>
      </w:r>
      <w:r>
        <w:t xml:space="preserve"> </w:t>
      </w:r>
      <w:r>
        <w:rPr>
          <w:bCs/>
          <w:b/>
        </w:rPr>
        <w:t xml:space="preserve">110 ms</w:t>
      </w:r>
      <w:r>
        <w:t xml:space="preserve">. First runs: A = 0, B = 100, C = 110; average response =</w:t>
      </w:r>
      <w:r>
        <w:t xml:space="preserve"> </w:t>
      </w:r>
      <w:r>
        <w:rPr>
          <w:bCs/>
          <w:b/>
        </w:rPr>
        <w:t xml:space="preserve">70 ms</w:t>
      </w:r>
      <w:r>
        <w:t xml:space="preserve">.</w:t>
      </w:r>
    </w:p>
    <w:p>
      <w:pPr>
        <w:pStyle w:val="CalloutExample"/>
      </w:pPr>
      <w:r>
        <w:rPr>
          <w:iCs/>
          <w:i/>
        </w:rPr>
        <w:t xml:space="preserve">SJF (order B, C, A).</w:t>
      </w:r>
      <w:r>
        <w:t xml:space="preserve"> </w:t>
      </w:r>
      <w:r>
        <w:t xml:space="preserve">Completions: B = 10, C = 20, A = 120. Average turnaround = (10 + 20 + 120)/3 =</w:t>
      </w:r>
      <w:r>
        <w:t xml:space="preserve"> </w:t>
      </w:r>
      <w:r>
        <w:rPr>
          <w:bCs/>
          <w:b/>
        </w:rPr>
        <w:t xml:space="preserve">50 ms</w:t>
      </w:r>
      <w:r>
        <w:t xml:space="preserve">. Average response = (0 + 10 + 20)/3 =</w:t>
      </w:r>
      <w:r>
        <w:t xml:space="preserve"> </w:t>
      </w:r>
      <w:r>
        <w:rPr>
          <w:bCs/>
          <w:b/>
        </w:rPr>
        <w:t xml:space="preserve">10 ms</w:t>
      </w:r>
      <w:r>
        <w:t xml:space="preserve">.</w:t>
      </w:r>
    </w:p>
    <w:p>
      <w:pPr>
        <w:pStyle w:val="CalloutExample"/>
      </w:pPr>
      <w:r>
        <w:rPr>
          <w:iCs/>
          <w:i/>
        </w:rPr>
        <w:t xml:space="preserve">RR, 10 ms slice.</w:t>
      </w:r>
      <w:r>
        <w:t xml:space="preserve"> </w:t>
      </w:r>
      <w:r>
        <w:t xml:space="preserve">A runs 0–10, B 10–20 (done), C 20–30 (done), then A alone 30–120. Average turnaround = (120 + 20 + 30)/3 ≈</w:t>
      </w:r>
      <w:r>
        <w:t xml:space="preserve"> </w:t>
      </w:r>
      <w:r>
        <w:rPr>
          <w:bCs/>
          <w:b/>
        </w:rPr>
        <w:t xml:space="preserve">56.7 ms</w:t>
      </w:r>
      <w:r>
        <w:t xml:space="preserve">. Average response = (0 + 10 + 20)/3 =</w:t>
      </w:r>
      <w:r>
        <w:t xml:space="preserve"> </w:t>
      </w:r>
      <w:r>
        <w:rPr>
          <w:bCs/>
          <w:b/>
        </w:rPr>
        <w:t xml:space="preserve">10 ms</w:t>
      </w:r>
      <w:r>
        <w:t xml:space="preserve">.</w:t>
      </w:r>
    </w:p>
    <w:p>
      <w:pPr>
        <w:pStyle w:val="CalloutExample"/>
      </w:pPr>
      <w:r>
        <w:rPr>
          <w:bCs/>
          <w:b/>
        </w:rPr>
        <w:t xml:space="preserve">Interpretation.</w:t>
      </w:r>
      <w:r>
        <w:t xml:space="preserve"> </w:t>
      </w:r>
      <w:r>
        <w:t xml:space="preserve">RR matches SJF’s response time and comes close to its turnaround</w:t>
      </w:r>
      <w:r>
        <w:t xml:space="preserve"> </w:t>
      </w:r>
      <w:r>
        <w:rPr>
          <w:iCs/>
          <w:i/>
        </w:rPr>
        <w:t xml:space="preserve">without knowing job lengths</w:t>
      </w:r>
      <w:r>
        <w:t xml:space="preserve">. FCFS is more than twice as bad on turnaround because two short jobs waited behind a long one.</w:t>
      </w:r>
      <w:r>
        <w:t xml:space="preserve"> </w:t>
      </w:r>
      <w:r>
        <w:rPr>
          <w:bCs/>
          <w:b/>
        </w:rPr>
        <w:t xml:space="preserve">Engineering implication:</w:t>
      </w:r>
      <w:r>
        <w:t xml:space="preserve"> </w:t>
      </w:r>
      <w:r>
        <w:t xml:space="preserve">the same convoy effect appears in application queues: one slow request type in a shared FIFO worker pool inflates latency for every fast request. Separate queues or pools per request class (bulkheads, §22.14) apply this lesson at the service level.</w:t>
      </w:r>
    </w:p>
    <w:bookmarkEnd w:id="592"/>
    <w:bookmarkStart w:id="593" w:name="priority-scheduling"/>
    <w:p>
      <w:pPr>
        <w:pStyle w:val="Heading3"/>
      </w:pPr>
      <w:r>
        <w:t xml:space="preserve">6.5.3 Priority scheduling</w:t>
      </w:r>
    </w:p>
    <w:p>
      <w:pPr>
        <w:pStyle w:val="FirstParagraph"/>
      </w:pPr>
      <w:r>
        <w:t xml:space="preserve">Each thread has a priority; the highest-priority ready thread runs. This lets important work (an audio driver, a heartbeat thread) preempt bulk work, but low-priority threads can</w:t>
      </w:r>
      <w:r>
        <w:t xml:space="preserve"> </w:t>
      </w:r>
      <w:r>
        <w:rPr>
          <w:bCs/>
          <w:b/>
        </w:rPr>
        <w:t xml:space="preserve">starve</w:t>
      </w:r>
      <w:r>
        <w:t xml:space="preserve">: wait forever because higher-priority work keeps arriving. The classic remedy is</w:t>
      </w:r>
      <w:r>
        <w:t xml:space="preserve"> </w:t>
      </w:r>
      <w:r>
        <w:rPr>
          <w:bCs/>
          <w:b/>
        </w:rPr>
        <w:t xml:space="preserve">aging</w:t>
      </w:r>
      <w:r>
        <w:t xml:space="preserve">: gradually raise the priority of threads that have waited a long time. Priorities also create</w:t>
      </w:r>
      <w:r>
        <w:t xml:space="preserve"> </w:t>
      </w:r>
      <w:r>
        <w:rPr>
          <w:bCs/>
          <w:b/>
        </w:rPr>
        <w:t xml:space="preserve">priority inversion</w:t>
      </w:r>
      <w:r>
        <w:t xml:space="preserve"> </w:t>
      </w:r>
      <w:r>
        <w:t xml:space="preserve">with locks (§6.11.5).</w:t>
      </w:r>
    </w:p>
    <w:bookmarkEnd w:id="593"/>
    <w:bookmarkStart w:id="597" w:name="multi-level-feedback-queue-mlfq"/>
    <w:p>
      <w:pPr>
        <w:pStyle w:val="Heading3"/>
      </w:pPr>
      <w:r>
        <w:t xml:space="preserve">6.5.4 Multi-level feedback queue (MLFQ)</w:t>
      </w:r>
    </w:p>
    <w:p>
      <w:pPr>
        <w:pStyle w:val="FirstParagraph"/>
      </w:pPr>
      <w:r>
        <w:t xml:space="preserve">MLFQ, first described for the CTSS time-sharing system in 1962 by Corbató and colleagues, learns a thread’s behavior instead of requiring it to be declared. It keeps several RR queues at different priority levels and applies five rules, as formulated in OSTEP [Arpaci-Dusseau 2018]:</w:t>
      </w:r>
    </w:p>
    <w:p>
      <w:pPr>
        <w:numPr>
          <w:ilvl w:val="0"/>
          <w:numId w:val="1180"/>
        </w:numPr>
        <w:pStyle w:val="Compact"/>
      </w:pPr>
      <w:r>
        <w:t xml:space="preserve">If priority(A) &gt; priority(B), A runs.</w:t>
      </w:r>
    </w:p>
    <w:p>
      <w:pPr>
        <w:numPr>
          <w:ilvl w:val="0"/>
          <w:numId w:val="1180"/>
        </w:numPr>
        <w:pStyle w:val="Compact"/>
      </w:pPr>
      <w:r>
        <w:t xml:space="preserve">If priority(A) = priority(B), A and B run round robin.</w:t>
      </w:r>
    </w:p>
    <w:p>
      <w:pPr>
        <w:numPr>
          <w:ilvl w:val="0"/>
          <w:numId w:val="1180"/>
        </w:numPr>
        <w:pStyle w:val="Compact"/>
      </w:pPr>
      <w:r>
        <w:t xml:space="preserve">A new job starts at the highest priority.</w:t>
      </w:r>
    </w:p>
    <w:p>
      <w:pPr>
        <w:numPr>
          <w:ilvl w:val="0"/>
          <w:numId w:val="1180"/>
        </w:numPr>
        <w:pStyle w:val="Compact"/>
      </w:pPr>
      <w:r>
        <w:t xml:space="preserve">Once a job uses up its time allotment at a level, however many times it gave up the CPU, its priority drops one level.</w:t>
      </w:r>
    </w:p>
    <w:p>
      <w:pPr>
        <w:numPr>
          <w:ilvl w:val="0"/>
          <w:numId w:val="1180"/>
        </w:numPr>
        <w:pStyle w:val="Compact"/>
      </w:pPr>
      <w:r>
        <w:t xml:space="preserve">After some period S, move every job back to the top queue (a</w:t>
      </w:r>
      <w:r>
        <w:t xml:space="preserve"> </w:t>
      </w:r>
      <w:r>
        <w:rPr>
          <w:bCs/>
          <w:b/>
        </w:rPr>
        <w:t xml:space="preserve">priority boost</w:t>
      </w:r>
      <w:r>
        <w:t xml:space="preserve">).</w:t>
      </w:r>
    </w:p>
    <w:p>
      <w:pPr>
        <w:pStyle w:val="FirstParagraph"/>
      </w:pPr>
      <w:r>
        <w:rPr>
          <w:bCs/>
          <w:b/>
        </w:rPr>
        <w:t xml:space="preserve">Figure 6.4 — Multi-level feedback queue decisions.</w:t>
      </w:r>
    </w:p>
    <w:p>
      <w:pPr>
        <w:pStyle w:val="BodyText"/>
      </w:pPr>
      <w:r>
        <w:drawing>
          <wp:inline>
            <wp:extent cx="5334000" cy="14156808"/>
            <wp:effectExtent b="0" l="0" r="0" t="0"/>
            <wp:docPr descr="" title="" id="595" name="Picture"/>
            <a:graphic>
              <a:graphicData uri="http://schemas.openxmlformats.org/drawingml/2006/picture">
                <pic:pic>
                  <pic:nvPicPr>
                    <pic:cNvPr descr="/home/user/System-Design/build/.cache/diagrams/1067b5e6b232.png" id="596" name="Picture"/>
                    <pic:cNvPicPr>
                      <a:picLocks noChangeArrowheads="1" noChangeAspect="1"/>
                    </pic:cNvPicPr>
                  </pic:nvPicPr>
                  <pic:blipFill>
                    <a:blip r:embed="rId594"/>
                    <a:stretch>
                      <a:fillRect/>
                    </a:stretch>
                  </pic:blipFill>
                  <pic:spPr bwMode="auto">
                    <a:xfrm>
                      <a:off x="0" y="0"/>
                      <a:ext cx="5334000" cy="14156808"/>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Rectangles are run queues; the highest non-empty queue is served (rule 1), round robin within it (rule 2). New jobs enter Queue 0 (rule 3). Interactive jobs block for I/O before exhausting their allotment and stay high, so they respond fast; CPU-bound jobs sink to lower queues with longer slices (rule 4). The dotted arrow is the asynchronous priority boost (rule 5), which prevents starvation of the bottom queue. Counting</w:t>
      </w:r>
      <w:r>
        <w:t xml:space="preserve"> </w:t>
      </w:r>
      <w:r>
        <w:rPr>
          <w:iCs/>
          <w:i/>
        </w:rPr>
        <w:t xml:space="preserve">total</w:t>
      </w:r>
      <w:r>
        <w:t xml:space="preserve"> </w:t>
      </w:r>
      <w:r>
        <w:t xml:space="preserve">allotment used stops a program gaming the scheduler by yielding just before its slice expires. Variants of MLFQ underlie the schedulers of BSD derivatives, Solaris and Windows [Arpaci-Dusseau 2018].</w:t>
      </w:r>
    </w:p>
    <w:bookmarkEnd w:id="597"/>
    <w:bookmarkStart w:id="600" w:name="linux-cfs-and-eevdf"/>
    <w:p>
      <w:pPr>
        <w:pStyle w:val="Heading3"/>
      </w:pPr>
      <w:r>
        <w:t xml:space="preserve">6.5.5 Linux: CFS and EEVDF</w:t>
      </w:r>
    </w:p>
    <w:p>
      <w:pPr>
        <w:pStyle w:val="FirstParagraph"/>
      </w:pPr>
      <w:r>
        <w:t xml:space="preserve">Linux’s normal scheduling class (</w:t>
      </w:r>
      <w:r>
        <w:rPr>
          <w:rStyle w:val="VerbatimChar"/>
        </w:rPr>
        <w:t xml:space="preserve">SCHED_NORMAL</w:t>
      </w:r>
      <w:r>
        <w:t xml:space="preserve">, also called</w:t>
      </w:r>
      <w:r>
        <w:t xml:space="preserve"> </w:t>
      </w:r>
      <w:r>
        <w:rPr>
          <w:rStyle w:val="VerbatimChar"/>
        </w:rPr>
        <w:t xml:space="preserve">SCHED_OTHER</w:t>
      </w:r>
      <w:r>
        <w:t xml:space="preserve">) aims at</w:t>
      </w:r>
      <w:r>
        <w:t xml:space="preserve"> </w:t>
      </w:r>
      <w:r>
        <w:rPr>
          <w:bCs/>
          <w:b/>
        </w:rPr>
        <w:t xml:space="preserve">proportional-share fairness</w:t>
      </w:r>
      <w:r>
        <w:t xml:space="preserve">: each runnable thread should get a share of CPU proportional to its</w:t>
      </w:r>
      <w:r>
        <w:t xml:space="preserve"> </w:t>
      </w:r>
      <w:r>
        <w:rPr>
          <w:bCs/>
          <w:b/>
        </w:rPr>
        <w:t xml:space="preserve">weight</w:t>
      </w:r>
      <w:r>
        <w:t xml:space="preserve">, which is derived from its</w:t>
      </w:r>
      <w:r>
        <w:t xml:space="preserve"> </w:t>
      </w:r>
      <w:r>
        <w:rPr>
          <w:bCs/>
          <w:b/>
        </w:rPr>
        <w:t xml:space="preserve">nice value</w:t>
      </w:r>
      <w:r>
        <w:t xml:space="preserve"> </w:t>
      </w:r>
      <w:r>
        <w:t xml:space="preserve">(−20 = highest weight, +19 = lowest).</w:t>
      </w:r>
    </w:p>
    <w:p>
      <w:pPr>
        <w:pStyle w:val="BodyText"/>
      </w:pPr>
      <w:r>
        <w:rPr>
          <w:bCs/>
          <w:b/>
        </w:rPr>
        <w:t xml:space="preserve">CFS (Completely Fair Scheduler)</w:t>
      </w:r>
      <w:r>
        <w:t xml:space="preserve"> </w:t>
      </w:r>
      <w:r>
        <w:t xml:space="preserve">was the default from Linux 2.6.23 (2007) until Linux 6.6 (2023). It tracks for each thread a</w:t>
      </w:r>
      <w:r>
        <w:t xml:space="preserve"> </w:t>
      </w:r>
      <w:r>
        <w:rPr>
          <w:bCs/>
          <w:b/>
        </w:rPr>
        <w:t xml:space="preserve">virtual runtime</w:t>
      </w:r>
      <w:r>
        <w:t xml:space="preserve"> </w:t>
      </w:r>
      <w:r>
        <w:t xml:space="preserve">(</w:t>
      </w:r>
      <w:r>
        <w:rPr>
          <w:rStyle w:val="VerbatimChar"/>
        </w:rPr>
        <w:t xml:space="preserve">vruntime</w:t>
      </w:r>
      <w:r>
        <w:t xml:space="preserve">): actual CPU time scaled inversely by weight. It keeps runnable threads in a red-black tree ordered by</w:t>
      </w:r>
      <w:r>
        <w:t xml:space="preserve"> </w:t>
      </w:r>
      <w:r>
        <w:rPr>
          <w:rStyle w:val="VerbatimChar"/>
        </w:rPr>
        <w:t xml:space="preserve">vruntime</w:t>
      </w:r>
      <w:r>
        <w:t xml:space="preserve"> </w:t>
      </w:r>
      <w:r>
        <w:t xml:space="preserve">and always runs the thread that has had the least weighted CPU, so picking the next thread costs</w:t>
      </w:r>
      <w:r>
        <w:t xml:space="preserve"> </w:t>
      </w:r>
      <m:oMath>
        <m:r>
          <m:t>O</m:t>
        </m:r>
        <m:d>
          <m:dPr>
            <m:begChr m:val="("/>
            <m:endChr m:val=")"/>
            <m:sepChr m:val=""/>
            <m:grow/>
          </m:dPr>
          <m:e>
            <m:r>
              <m:rPr>
                <m:sty m:val="p"/>
              </m:rPr>
              <m:t>log</m:t>
            </m:r>
            <m:r>
              <m:t>n</m:t>
            </m:r>
          </m:e>
        </m:d>
      </m:oMath>
      <w:r>
        <w:t xml:space="preserve"> </w:t>
      </w:r>
      <w:r>
        <w:t xml:space="preserve">[Linux Docs: CFS].</w:t>
      </w:r>
    </w:p>
    <w:p>
      <w:pPr>
        <w:pStyle w:val="BodyText"/>
      </w:pPr>
      <w:r>
        <w:rPr>
          <w:bCs/>
          <w:b/>
        </w:rPr>
        <w:t xml:space="preserve">EEVDF (Earliest Eligible Virtual Deadline First)</w:t>
      </w:r>
      <w:r>
        <w:t xml:space="preserve"> </w:t>
      </w:r>
      <w:r>
        <w:t xml:space="preserve">replaced CFS’s selection logic in Linux 6.6 (October 2023), based on an algorithm by Stoica and Abdel-Wahab [Stoica &amp; Abdel-Wahab 1995]. Each thread has a</w:t>
      </w:r>
      <w:r>
        <w:t xml:space="preserve"> </w:t>
      </w:r>
      <w:r>
        <w:rPr>
          <w:bCs/>
          <w:b/>
        </w:rPr>
        <w:t xml:space="preserve">lag</w:t>
      </w:r>
      <w:r>
        <w:t xml:space="preserve">: CPU time owed minus time received. Threads with non-negative lag are</w:t>
      </w:r>
      <w:r>
        <w:t xml:space="preserve"> </w:t>
      </w:r>
      <w:r>
        <w:rPr>
          <w:bCs/>
          <w:b/>
        </w:rPr>
        <w:t xml:space="preserve">eligible</w:t>
      </w:r>
      <w:r>
        <w:t xml:space="preserve">; among them EEVDF runs the one with the earliest</w:t>
      </w:r>
      <w:r>
        <w:t xml:space="preserve"> </w:t>
      </w:r>
      <w:r>
        <w:rPr>
          <w:bCs/>
          <w:b/>
        </w:rPr>
        <w:t xml:space="preserve">virtual deadline</w:t>
      </w:r>
      <w:r>
        <w:t xml:space="preserve"> </w:t>
      </w:r>
      <w:r>
        <w:t xml:space="preserve">(roughly eligible time plus requested slice divided by weight). Fairness is kept, and latency-sensitive threads that request shorter slices get a principled advantage instead of hand-tuned heuristics [Linux Docs: EEVDF; Corbet 2023]. The default base slice is about 0.75 ms (as of Linux 6.6–6.x, scaled up on many-CPU machines).</w:t>
      </w:r>
    </w:p>
    <w:p>
      <w:pPr>
        <w:pStyle w:val="BodyText"/>
      </w:pPr>
      <w:r>
        <w:t xml:space="preserve">Linux also has</w:t>
      </w:r>
      <w:r>
        <w:t xml:space="preserve"> </w:t>
      </w:r>
      <w:r>
        <w:rPr>
          <w:bCs/>
          <w:b/>
        </w:rPr>
        <w:t xml:space="preserve">real-time</w:t>
      </w:r>
      <w:r>
        <w:t xml:space="preserve"> </w:t>
      </w:r>
      <w:r>
        <w:t xml:space="preserve">classes (</w:t>
      </w:r>
      <w:r>
        <w:rPr>
          <w:rStyle w:val="VerbatimChar"/>
        </w:rPr>
        <w:t xml:space="preserve">SCHED_FIFO</w:t>
      </w:r>
      <w:r>
        <w:t xml:space="preserve">,</w:t>
      </w:r>
      <w:r>
        <w:t xml:space="preserve"> </w:t>
      </w:r>
      <w:r>
        <w:rPr>
          <w:rStyle w:val="VerbatimChar"/>
        </w:rPr>
        <w:t xml:space="preserve">SCHED_RR</w:t>
      </w:r>
      <w:r>
        <w:t xml:space="preserve">, priorities 1–99) that always preempt normal threads,</w:t>
      </w:r>
      <w:r>
        <w:t xml:space="preserve"> </w:t>
      </w:r>
      <w:r>
        <w:rPr>
          <w:rStyle w:val="VerbatimChar"/>
        </w:rPr>
        <w:t xml:space="preserve">SCHED_DEADLINE</w:t>
      </w:r>
      <w:r>
        <w:t xml:space="preserve"> </w:t>
      </w:r>
      <w:r>
        <w:t xml:space="preserve">for tasks with explicit runtime and period guarantees, and, from Linux 6.12 (2024),</w:t>
      </w:r>
      <w:r>
        <w:t xml:space="preserve"> </w:t>
      </w:r>
      <w:r>
        <w:rPr>
          <w:bCs/>
          <w:b/>
        </w:rPr>
        <w:t xml:space="preserve">sched_ext</w:t>
      </w:r>
      <w:r>
        <w:t xml:space="preserve">, which lets a scheduling policy be loaded as a BPF program [Linux man-pages: sched(7)].</w:t>
      </w:r>
    </w:p>
    <w:p>
      <w:pPr>
        <w:pStyle w:val="CalloutFormula"/>
      </w:pPr>
      <w:r>
        <w:rPr>
          <w:bCs/>
          <w:b/>
        </w:rPr>
        <w:t xml:space="preserve">FORMULA</w:t>
      </w:r>
    </w:p>
    <w:p>
      <w:pPr>
        <w:pStyle w:val="CalloutFormula"/>
      </w:pPr>
      <w:r>
        <w:rPr>
          <w:bCs/>
          <w:b/>
        </w:rPr>
        <w:t xml:space="preserve">Proportional CPU share</w:t>
      </w:r>
    </w:p>
    <w:p>
      <w:pPr>
        <w:pStyle w:val="CalloutFormula"/>
      </w:pPr>
      <m:oMathPara>
        <m:oMathParaPr>
          <m:jc m:val="center"/>
        </m:oMathParaPr>
        <m:oMath>
          <m:sSub>
            <m:e>
              <m:r>
                <m:t>s</m:t>
              </m:r>
            </m:e>
            <m:sub>
              <m:r>
                <m:t>i</m:t>
              </m:r>
            </m:sub>
          </m:sSub>
          <m:r>
            <m:rPr>
              <m:sty m:val="p"/>
            </m:rPr>
            <m:t>=</m:t>
          </m:r>
          <m:f>
            <m:fPr>
              <m:type m:val="bar"/>
            </m:fPr>
            <m:num>
              <m:sSub>
                <m:e>
                  <m:r>
                    <m:t>w</m:t>
                  </m:r>
                </m:e>
                <m:sub>
                  <m:r>
                    <m:t>i</m:t>
                  </m:r>
                </m:sub>
              </m:sSub>
            </m:num>
            <m:den>
              <m:nary>
                <m:naryPr>
                  <m:chr m:val="∑"/>
                  <m:limLoc m:val="undOvr"/>
                  <m:subHide m:val="off"/>
                  <m:supHide m:val="on"/>
                </m:naryPr>
                <m:sub>
                  <m:r>
                    <m:t>j</m:t>
                  </m:r>
                  <m:r>
                    <m:rPr>
                      <m:sty m:val="p"/>
                    </m:rPr>
                    <m:t>∈</m:t>
                  </m:r>
                  <m:r>
                    <m:t>R</m:t>
                  </m:r>
                </m:sub>
                <m:sup>
                  <m:r>
                    <m:t>​</m:t>
                  </m:r>
                </m:sup>
                <m:e>
                  <m:sSub>
                    <m:e>
                      <m:r>
                        <m:t>w</m:t>
                      </m:r>
                    </m:e>
                    <m:sub>
                      <m:r>
                        <m:t>j</m:t>
                      </m:r>
                    </m:sub>
                  </m:sSub>
                </m:e>
              </m:nary>
            </m:den>
          </m:f>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s</m:t>
                  </m:r>
                </m:e>
                <m:sub>
                  <m:r>
                    <m:t>i</m:t>
                  </m:r>
                </m:sub>
              </m:sSub>
            </m:oMath>
          </w:p>
        </w:tc>
        <w:tc>
          <w:tcPr/>
          <w:p>
            <w:pPr>
              <w:pStyle w:val="Compact"/>
              <w:jc w:val="left"/>
            </w:pPr>
            <w:r>
              <w:t xml:space="preserve">Fraction of one core’s time thread</w:t>
            </w:r>
            <w:r>
              <w:t xml:space="preserve"> </w:t>
            </w:r>
            <m:oMath>
              <m:r>
                <m:t>i</m:t>
              </m:r>
            </m:oMath>
            <w:r>
              <w:t xml:space="preserve"> </w:t>
            </w:r>
            <w:r>
              <w:t xml:space="preserve">receives when all threads in</w:t>
            </w:r>
            <w:r>
              <w:t xml:space="preserve"> </w:t>
            </w:r>
            <m:oMath>
              <m:r>
                <m:t>R</m:t>
              </m:r>
            </m:oMath>
            <w:r>
              <w:t xml:space="preserve"> </w:t>
            </w:r>
            <w:r>
              <w:t xml:space="preserve">compete</w:t>
            </w:r>
          </w:p>
        </w:tc>
        <w:tc>
          <w:tcPr/>
          <w:p>
            <w:pPr>
              <w:pStyle w:val="Compact"/>
              <w:jc w:val="left"/>
            </w:pPr>
            <w:r>
              <w:t xml:space="preserve">dimensionless (0–1)</w:t>
            </w:r>
          </w:p>
        </w:tc>
      </w:tr>
      <w:tr>
        <w:tc>
          <w:tcPr/>
          <w:p>
            <w:pPr>
              <w:pStyle w:val="Compact"/>
              <w:jc w:val="left"/>
            </w:pPr>
            <m:oMath>
              <m:sSub>
                <m:e>
                  <m:r>
                    <m:t>w</m:t>
                  </m:r>
                </m:e>
                <m:sub>
                  <m:r>
                    <m:t>i</m:t>
                  </m:r>
                </m:sub>
              </m:sSub>
            </m:oMath>
          </w:p>
        </w:tc>
        <w:tc>
          <w:tcPr/>
          <w:p>
            <w:pPr>
              <w:pStyle w:val="Compact"/>
              <w:jc w:val="left"/>
            </w:pPr>
            <w:r>
              <w:t xml:space="preserve">Weight of thread</w:t>
            </w:r>
            <w:r>
              <w:t xml:space="preserve"> </w:t>
            </w:r>
            <m:oMath>
              <m:r>
                <m:t>i</m:t>
              </m:r>
            </m:oMath>
            <w:r>
              <w:t xml:space="preserve">, from its nice value (nice 0 = 1024; each nice step changes weight by about 1.25×)</w:t>
            </w:r>
          </w:p>
        </w:tc>
        <w:tc>
          <w:tcPr/>
          <w:p>
            <w:pPr>
              <w:pStyle w:val="Compact"/>
              <w:jc w:val="left"/>
            </w:pPr>
            <w:r>
              <w:t xml:space="preserve">dimensionless</w:t>
            </w:r>
          </w:p>
        </w:tc>
      </w:tr>
      <w:tr>
        <w:tc>
          <w:tcPr/>
          <w:p>
            <w:pPr>
              <w:pStyle w:val="Compact"/>
              <w:jc w:val="left"/>
            </w:pPr>
            <m:oMath>
              <m:r>
                <m:t>R</m:t>
              </m:r>
            </m:oMath>
          </w:p>
        </w:tc>
        <w:tc>
          <w:tcPr/>
          <w:p>
            <w:pPr>
              <w:pStyle w:val="Compact"/>
              <w:jc w:val="left"/>
            </w:pPr>
            <w:r>
              <w:t xml:space="preserve">Set of runnable threads competing on that core</w:t>
            </w:r>
          </w:p>
        </w:tc>
        <w:tc>
          <w:tcPr/>
          <w:p>
            <w:pPr>
              <w:pStyle w:val="Compact"/>
              <w:jc w:val="left"/>
            </w:pPr>
            <w:r>
              <w:t xml:space="preserve">—</w:t>
            </w:r>
          </w:p>
        </w:tc>
      </w:tr>
    </w:tbl>
    <w:p>
      <w:pPr>
        <w:pStyle w:val="CalloutExample"/>
      </w:pPr>
      <w:r>
        <w:rPr>
          <w:bCs/>
          <w:b/>
        </w:rPr>
        <w:t xml:space="preserve">WORKED EXAMPLE</w:t>
      </w:r>
    </w:p>
    <w:p>
      <w:pPr>
        <w:pStyle w:val="CalloutExample"/>
      </w:pPr>
      <w:r>
        <w:rPr>
          <w:bCs/>
          <w:b/>
        </w:rPr>
        <w:t xml:space="preserve">Worked example — Nice values.</w:t>
      </w:r>
      <w:r>
        <w:t xml:space="preserve"> </w:t>
      </w:r>
      <w:r>
        <w:t xml:space="preserve">Two CPU-bound threads share one core. Thread X has nice 0 (weight 1024); thread Y has nice 5 (weight 335, from the kernel’s weight table).</w:t>
      </w:r>
      <w:r>
        <w:t xml:space="preserve"> </w:t>
      </w:r>
      <m:oMath>
        <m:sSub>
          <m:e>
            <m:r>
              <m:t>s</m:t>
            </m:r>
          </m:e>
          <m:sub>
            <m:r>
              <m:t>X</m:t>
            </m:r>
          </m:sub>
        </m:sSub>
        <m:r>
          <m:rPr>
            <m:sty m:val="p"/>
          </m:rPr>
          <m:t>=</m:t>
        </m:r>
        <m:r>
          <m:t>1024</m:t>
        </m:r>
        <m:r>
          <m:rPr>
            <m:sty m:val="p"/>
          </m:rPr>
          <m:t>/</m:t>
        </m:r>
        <m:d>
          <m:dPr>
            <m:begChr m:val="("/>
            <m:endChr m:val=")"/>
            <m:sepChr m:val=""/>
            <m:grow/>
          </m:dPr>
          <m:e>
            <m:r>
              <m:t>1024</m:t>
            </m:r>
            <m:r>
              <m:rPr>
                <m:sty m:val="p"/>
              </m:rPr>
              <m:t>+</m:t>
            </m:r>
            <m:r>
              <m:t>335</m:t>
            </m:r>
          </m:e>
        </m:d>
        <m:r>
          <m:rPr>
            <m:sty m:val="p"/>
          </m:rPr>
          <m:t>=</m:t>
        </m:r>
        <m:r>
          <m:t>1024</m:t>
        </m:r>
        <m:r>
          <m:rPr>
            <m:sty m:val="p"/>
          </m:rPr>
          <m:t>/</m:t>
        </m:r>
        <m:r>
          <m:t>1359</m:t>
        </m:r>
        <m:r>
          <m:rPr>
            <m:sty m:val="p"/>
          </m:rPr>
          <m:t>≈</m:t>
        </m:r>
        <m:r>
          <m:t>0.753</m:t>
        </m:r>
      </m:oMath>
      <w:r>
        <w:t xml:space="preserve">;</w:t>
      </w:r>
      <w:r>
        <w:t xml:space="preserve"> </w:t>
      </w:r>
      <m:oMath>
        <m:sSub>
          <m:e>
            <m:r>
              <m:t>s</m:t>
            </m:r>
          </m:e>
          <m:sub>
            <m:r>
              <m:t>Y</m:t>
            </m:r>
          </m:sub>
        </m:sSub>
        <m:r>
          <m:rPr>
            <m:sty m:val="p"/>
          </m:rPr>
          <m:t>≈</m:t>
        </m:r>
        <m:r>
          <m:t>0.247</m:t>
        </m:r>
      </m:oMath>
      <w:r>
        <w:t xml:space="preserve">.</w:t>
      </w:r>
      <w:r>
        <w:t xml:space="preserve"> </w:t>
      </w:r>
      <w:r>
        <w:rPr>
          <w:bCs/>
          <w:b/>
        </w:rPr>
        <w:t xml:space="preserve">Interpretation.</w:t>
      </w:r>
      <w:r>
        <w:t xml:space="preserve"> </w:t>
      </w:r>
      <w:r>
        <w:t xml:space="preserve">Five nice levels give roughly a 3:1 split, consistent with the rule of thumb that each nice step shifts about 10 % of CPU between two competing threads.</w:t>
      </w:r>
      <w:r>
        <w:t xml:space="preserve"> </w:t>
      </w:r>
      <w:r>
        <w:rPr>
          <w:bCs/>
          <w:b/>
        </w:rPr>
        <w:t xml:space="preserve">Engineering implication:</w:t>
      </w:r>
      <w:r>
        <w:t xml:space="preserve"> </w:t>
      </w:r>
      <w:r>
        <w:t xml:space="preserve">to keep a log-compaction or backup job from hurting request latency on the same machine, running it at nice 10–19 is a cheap first step; cgroup CPU weights do the same for whole containers.</w:t>
      </w:r>
    </w:p>
    <w:p>
      <w:pPr>
        <w:pStyle w:val="BodyText"/>
      </w:pPr>
      <w:r>
        <w:rPr>
          <w:bCs/>
          <w:b/>
        </w:rPr>
        <w:t xml:space="preserve">Table 6.2 — CPU scheduling policies compared.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Policy</w:t>
            </w:r>
          </w:p>
        </w:tc>
        <w:tc>
          <w:tcPr/>
          <w:p>
            <w:pPr>
              <w:pStyle w:val="Compact"/>
              <w:jc w:val="left"/>
            </w:pPr>
            <w:r>
              <w:t xml:space="preserve">How it works</w:t>
            </w:r>
          </w:p>
        </w:tc>
        <w:tc>
          <w:tcPr/>
          <w:p>
            <w:pPr>
              <w:pStyle w:val="Compact"/>
              <w:jc w:val="left"/>
            </w:pPr>
            <w:r>
              <w:t xml:space="preserve">Advantages</w:t>
            </w:r>
          </w:p>
        </w:tc>
        <w:tc>
          <w:tcPr/>
          <w:p>
            <w:pPr>
              <w:pStyle w:val="Compact"/>
              <w:jc w:val="left"/>
            </w:pPr>
            <w:r>
              <w:t xml:space="preserve">Disadvantages</w:t>
            </w:r>
          </w:p>
        </w:tc>
        <w:tc>
          <w:tcPr/>
          <w:p>
            <w:pPr>
              <w:pStyle w:val="Compact"/>
              <w:jc w:val="left"/>
            </w:pPr>
            <w:r>
              <w:t xml:space="preserve">Choose when</w:t>
            </w:r>
          </w:p>
        </w:tc>
      </w:tr>
      <w:tr>
        <w:tc>
          <w:tcPr/>
          <w:p>
            <w:pPr>
              <w:pStyle w:val="Compact"/>
              <w:jc w:val="left"/>
            </w:pPr>
            <w:r>
              <w:t xml:space="preserve">FCFS</w:t>
            </w:r>
          </w:p>
        </w:tc>
        <w:tc>
          <w:tcPr/>
          <w:p>
            <w:pPr>
              <w:pStyle w:val="Compact"/>
              <w:jc w:val="left"/>
            </w:pPr>
            <w:r>
              <w:t xml:space="preserve">Run in arrival order to completion</w:t>
            </w:r>
          </w:p>
        </w:tc>
        <w:tc>
          <w:tcPr/>
          <w:p>
            <w:pPr>
              <w:pStyle w:val="Compact"/>
              <w:jc w:val="left"/>
            </w:pPr>
            <w:r>
              <w:t xml:space="preserve">Simple, no switching</w:t>
            </w:r>
          </w:p>
        </w:tc>
        <w:tc>
          <w:tcPr/>
          <w:p>
            <w:pPr>
              <w:pStyle w:val="Compact"/>
              <w:jc w:val="left"/>
            </w:pPr>
            <w:r>
              <w:t xml:space="preserve">Convoy effect; poor response time</w:t>
            </w:r>
          </w:p>
        </w:tc>
        <w:tc>
          <w:tcPr/>
          <w:p>
            <w:pPr>
              <w:pStyle w:val="Compact"/>
              <w:jc w:val="left"/>
            </w:pPr>
            <w:r>
              <w:t xml:space="preserve">Batch queues of similar-sized jobs</w:t>
            </w:r>
          </w:p>
        </w:tc>
      </w:tr>
      <w:tr>
        <w:tc>
          <w:tcPr/>
          <w:p>
            <w:pPr>
              <w:pStyle w:val="Compact"/>
              <w:jc w:val="left"/>
            </w:pPr>
            <w:r>
              <w:t xml:space="preserve">SJF / STCF</w:t>
            </w:r>
          </w:p>
        </w:tc>
        <w:tc>
          <w:tcPr/>
          <w:p>
            <w:pPr>
              <w:pStyle w:val="Compact"/>
              <w:jc w:val="left"/>
            </w:pPr>
            <w:r>
              <w:t xml:space="preserve">Shortest (remaining) job first</w:t>
            </w:r>
          </w:p>
        </w:tc>
        <w:tc>
          <w:tcPr/>
          <w:p>
            <w:pPr>
              <w:pStyle w:val="Compact"/>
              <w:jc w:val="left"/>
            </w:pPr>
            <w:r>
              <w:t xml:space="preserve">Optimal average turnaround</w:t>
            </w:r>
          </w:p>
        </w:tc>
        <w:tc>
          <w:tcPr/>
          <w:p>
            <w:pPr>
              <w:pStyle w:val="Compact"/>
              <w:jc w:val="left"/>
            </w:pPr>
            <w:r>
              <w:t xml:space="preserve">Needs job lengths; starves long jobs</w:t>
            </w:r>
          </w:p>
        </w:tc>
        <w:tc>
          <w:tcPr/>
          <w:p>
            <w:pPr>
              <w:pStyle w:val="Compact"/>
              <w:jc w:val="left"/>
            </w:pPr>
            <w:r>
              <w:t xml:space="preserve">Job sizes known (some batch systems)</w:t>
            </w:r>
          </w:p>
        </w:tc>
      </w:tr>
      <w:tr>
        <w:tc>
          <w:tcPr/>
          <w:p>
            <w:pPr>
              <w:pStyle w:val="Compact"/>
              <w:jc w:val="left"/>
            </w:pPr>
            <w:r>
              <w:t xml:space="preserve">Round robin</w:t>
            </w:r>
          </w:p>
        </w:tc>
        <w:tc>
          <w:tcPr/>
          <w:p>
            <w:pPr>
              <w:pStyle w:val="Compact"/>
              <w:jc w:val="left"/>
            </w:pPr>
            <w:r>
              <w:t xml:space="preserve">Fixed slice, rotate</w:t>
            </w:r>
          </w:p>
        </w:tc>
        <w:tc>
          <w:tcPr/>
          <w:p>
            <w:pPr>
              <w:pStyle w:val="Compact"/>
              <w:jc w:val="left"/>
            </w:pPr>
            <w:r>
              <w:t xml:space="preserve">Good response time; no starvation</w:t>
            </w:r>
          </w:p>
        </w:tc>
        <w:tc>
          <w:tcPr/>
          <w:p>
            <w:pPr>
              <w:pStyle w:val="Compact"/>
              <w:jc w:val="left"/>
            </w:pPr>
            <w:r>
              <w:t xml:space="preserve">Switching overhead; poor turnaround for equal jobs</w:t>
            </w:r>
          </w:p>
        </w:tc>
        <w:tc>
          <w:tcPr/>
          <w:p>
            <w:pPr>
              <w:pStyle w:val="Compact"/>
              <w:jc w:val="left"/>
            </w:pPr>
            <w:r>
              <w:t xml:space="preserve">Time-sharing with similar priorities</w:t>
            </w:r>
          </w:p>
        </w:tc>
      </w:tr>
      <w:tr>
        <w:tc>
          <w:tcPr/>
          <w:p>
            <w:pPr>
              <w:pStyle w:val="Compact"/>
              <w:jc w:val="left"/>
            </w:pPr>
            <w:r>
              <w:t xml:space="preserve">Priority</w:t>
            </w:r>
          </w:p>
        </w:tc>
        <w:tc>
          <w:tcPr/>
          <w:p>
            <w:pPr>
              <w:pStyle w:val="Compact"/>
              <w:jc w:val="left"/>
            </w:pPr>
            <w:r>
              <w:t xml:space="preserve">Highest priority runs</w:t>
            </w:r>
          </w:p>
        </w:tc>
        <w:tc>
          <w:tcPr/>
          <w:p>
            <w:pPr>
              <w:pStyle w:val="Compact"/>
              <w:jc w:val="left"/>
            </w:pPr>
            <w:r>
              <w:t xml:space="preserve">Important work goes first</w:t>
            </w:r>
          </w:p>
        </w:tc>
        <w:tc>
          <w:tcPr/>
          <w:p>
            <w:pPr>
              <w:pStyle w:val="Compact"/>
              <w:jc w:val="left"/>
            </w:pPr>
            <w:r>
              <w:t xml:space="preserve">Starvation; priority inversion</w:t>
            </w:r>
          </w:p>
        </w:tc>
        <w:tc>
          <w:tcPr/>
          <w:p>
            <w:pPr>
              <w:pStyle w:val="Compact"/>
              <w:jc w:val="left"/>
            </w:pPr>
            <w:r>
              <w:t xml:space="preserve">Real-time and control systems</w:t>
            </w:r>
          </w:p>
        </w:tc>
      </w:tr>
      <w:tr>
        <w:tc>
          <w:tcPr/>
          <w:p>
            <w:pPr>
              <w:pStyle w:val="Compact"/>
              <w:jc w:val="left"/>
            </w:pPr>
            <w:r>
              <w:t xml:space="preserve">MLFQ</w:t>
            </w:r>
          </w:p>
        </w:tc>
        <w:tc>
          <w:tcPr/>
          <w:p>
            <w:pPr>
              <w:pStyle w:val="Compact"/>
              <w:jc w:val="left"/>
            </w:pPr>
            <w:r>
              <w:t xml:space="preserve">Priority queues; demote CPU hogs; periodic boost</w:t>
            </w:r>
          </w:p>
        </w:tc>
        <w:tc>
          <w:tcPr/>
          <w:p>
            <w:pPr>
              <w:pStyle w:val="Compact"/>
              <w:jc w:val="left"/>
            </w:pPr>
            <w:r>
              <w:t xml:space="preserve">Learns behavior; good interactivity</w:t>
            </w:r>
          </w:p>
        </w:tc>
        <w:tc>
          <w:tcPr/>
          <w:p>
            <w:pPr>
              <w:pStyle w:val="Compact"/>
              <w:jc w:val="left"/>
            </w:pPr>
            <w:r>
              <w:t xml:space="preserve">Many tuning knobs</w:t>
            </w:r>
          </w:p>
        </w:tc>
        <w:tc>
          <w:tcPr/>
          <w:p>
            <w:pPr>
              <w:pStyle w:val="Compact"/>
              <w:jc w:val="left"/>
            </w:pPr>
            <w:r>
              <w:t xml:space="preserve">General-purpose desktops and servers</w:t>
            </w:r>
          </w:p>
        </w:tc>
      </w:tr>
      <w:tr>
        <w:tc>
          <w:tcPr/>
          <w:p>
            <w:pPr>
              <w:pStyle w:val="Compact"/>
              <w:jc w:val="left"/>
            </w:pPr>
            <w:r>
              <w:t xml:space="preserve">CFS / EEVDF (Linux)</w:t>
            </w:r>
          </w:p>
        </w:tc>
        <w:tc>
          <w:tcPr/>
          <w:p>
            <w:pPr>
              <w:pStyle w:val="Compact"/>
              <w:jc w:val="left"/>
            </w:pPr>
            <w:r>
              <w:t xml:space="preserve">Weighted fair share by virtual runtime; EEVDF adds lag and virtual deadlines</w:t>
            </w:r>
          </w:p>
        </w:tc>
        <w:tc>
          <w:tcPr/>
          <w:p>
            <w:pPr>
              <w:pStyle w:val="Compact"/>
              <w:jc w:val="left"/>
            </w:pPr>
            <w:r>
              <w:t xml:space="preserve">Fair, scalable, tunable by nice and cgroups</w:t>
            </w:r>
          </w:p>
        </w:tc>
        <w:tc>
          <w:tcPr/>
          <w:p>
            <w:pPr>
              <w:pStyle w:val="Compact"/>
              <w:jc w:val="left"/>
            </w:pPr>
            <w:r>
              <w:t xml:space="preserve">Fairness is not latency; complex</w:t>
            </w:r>
          </w:p>
        </w:tc>
        <w:tc>
          <w:tcPr/>
          <w:p>
            <w:pPr>
              <w:pStyle w:val="Compact"/>
              <w:jc w:val="left"/>
            </w:pPr>
            <w:r>
              <w:t xml:space="preserve">Default on Linux servers (as of 2026)</w:t>
            </w:r>
          </w:p>
        </w:tc>
      </w:tr>
    </w:tbl>
    <w:bookmarkStart w:id="598" w:name="real-world-industry-applications-14"/>
    <w:p>
      <w:pPr>
        <w:pStyle w:val="Heading4"/>
      </w:pPr>
      <w:r>
        <w:t xml:space="preserve">Real-world industry applications</w:t>
      </w:r>
    </w:p>
    <w:p>
      <w:pPr>
        <w:pStyle w:val="CalloutIndustry"/>
      </w:pPr>
      <w:r>
        <w:rPr>
          <w:bCs/>
          <w:b/>
        </w:rPr>
        <w:t xml:space="preserve">INDUSTRY EXAMPLE</w:t>
      </w:r>
    </w:p>
    <w:p>
      <w:pPr>
        <w:pStyle w:val="CalloutIndustry"/>
      </w:pPr>
      <w:r>
        <w:rPr>
          <w:bCs/>
          <w:b/>
        </w:rPr>
        <w:t xml:space="preserve">CPU limits in containers cause throttling.</w:t>
      </w:r>
      <w:r>
        <w:t xml:space="preserve"> </w:t>
      </w:r>
      <w:r>
        <w:t xml:space="preserve">Kubernetes CPU limits use CFS</w:t>
      </w:r>
      <w:r>
        <w:t xml:space="preserve"> </w:t>
      </w:r>
      <w:r>
        <w:rPr>
          <w:bCs/>
          <w:b/>
        </w:rPr>
        <w:t xml:space="preserve">bandwidth control</w:t>
      </w:r>
      <w:r>
        <w:t xml:space="preserve">: a cgroup gets a CPU-time quota per period (default 100 ms,</w:t>
      </w:r>
      <w:r>
        <w:t xml:space="preserve"> </w:t>
      </w:r>
      <w:r>
        <w:rPr>
          <w:rStyle w:val="VerbatimChar"/>
        </w:rPr>
        <w:t xml:space="preserve">cpu.max</w:t>
      </w:r>
      <w:r>
        <w:t xml:space="preserve"> </w:t>
      </w:r>
      <w:r>
        <w:t xml:space="preserve">in cgroup v2). A service limited to 1 CPU with 4 busy threads uses its quota in 25 ms and is</w:t>
      </w:r>
      <w:r>
        <w:t xml:space="preserve"> </w:t>
      </w:r>
      <w:r>
        <w:rPr>
          <w:bCs/>
          <w:b/>
        </w:rPr>
        <w:t xml:space="preserve">throttled</w:t>
      </w:r>
      <w:r>
        <w:t xml:space="preserve"> </w:t>
      </w:r>
      <w:r>
        <w:t xml:space="preserve">for the remaining 75 ms, delaying in-flight requests even on an idle node.</w:t>
      </w:r>
      <w:r>
        <w:t xml:space="preserve"> </w:t>
      </w:r>
      <w:r>
        <w:rPr>
          <w:rStyle w:val="VerbatimChar"/>
        </w:rPr>
        <w:t xml:space="preserve">nr_throttled</w:t>
      </w:r>
      <w:r>
        <w:t xml:space="preserve"> </w:t>
      </w:r>
      <w:r>
        <w:t xml:space="preserve">in</w:t>
      </w:r>
      <w:r>
        <w:t xml:space="preserve"> </w:t>
      </w:r>
      <w:r>
        <w:rPr>
          <w:rStyle w:val="VerbatimChar"/>
        </w:rPr>
        <w:t xml:space="preserve">cpu.stat</w:t>
      </w:r>
      <w:r>
        <w:t xml:space="preserve"> </w:t>
      </w:r>
      <w:r>
        <w:t xml:space="preserve">reveals it. Mitigations: raise or remove limits for latency-critical services, or size thread pools to the limit rather than the host’s cores (§42.13).</w:t>
      </w:r>
      <w:r>
        <w:t xml:space="preserve"> </w:t>
      </w:r>
      <w:r>
        <w:rPr>
          <w:iCs/>
          <w:i/>
        </w:rPr>
        <w:t xml:space="preserve">Evidence: Primary</w:t>
      </w:r>
      <w:r>
        <w:t xml:space="preserve"> </w:t>
      </w:r>
      <w:r>
        <w:t xml:space="preserve">— [Linux Docs: CFS Bandwidth Control]</w:t>
      </w:r>
    </w:p>
    <w:bookmarkEnd w:id="598"/>
    <w:bookmarkStart w:id="599" w:name="common-misconceptions-14"/>
    <w:p>
      <w:pPr>
        <w:pStyle w:val="Heading4"/>
      </w:pPr>
      <w:r>
        <w:t xml:space="preserve">Common misconceptions</w:t>
      </w:r>
    </w:p>
    <w:p>
      <w:pPr>
        <w:pStyle w:val="CalloutMistake"/>
      </w:pPr>
      <w:r>
        <w:rPr>
          <w:bCs/>
          <w:b/>
        </w:rPr>
        <w:t xml:space="preserve">COMMON MISTAKE</w:t>
      </w:r>
    </w:p>
    <w:p>
      <w:pPr>
        <w:pStyle w:val="CalloutMistake"/>
      </w:pPr>
      <w:r>
        <w:rPr>
          <w:bCs/>
          <w:b/>
        </w:rPr>
        <w:t xml:space="preserve">“</w:t>
      </w:r>
      <w:r>
        <w:rPr>
          <w:bCs/>
          <w:b/>
        </w:rPr>
        <w:t xml:space="preserve">Nice -20 makes my latency-sensitive service fast.</w:t>
      </w:r>
      <w:r>
        <w:rPr>
          <w:bCs/>
          <w:b/>
        </w:rPr>
        <w:t xml:space="preserve">”</w:t>
      </w:r>
      <w:r>
        <w:t xml:space="preserve"> </w:t>
      </w:r>
      <w:r>
        <w:t xml:space="preserve">Nice changes the</w:t>
      </w:r>
      <w:r>
        <w:t xml:space="preserve"> </w:t>
      </w:r>
      <w:r>
        <w:rPr>
          <w:iCs/>
          <w:i/>
        </w:rPr>
        <w:t xml:space="preserve">share</w:t>
      </w:r>
      <w:r>
        <w:t xml:space="preserve"> </w:t>
      </w:r>
      <w:r>
        <w:t xml:space="preserve">of CPU under contention; on a machine that is not CPU-saturated it has almost no effect. For latency, keep runnable threads below core count and avoid CPU throttling.</w:t>
      </w:r>
    </w:p>
    <w:bookmarkEnd w:id="599"/>
    <w:bookmarkEnd w:id="600"/>
    <w:bookmarkEnd w:id="601"/>
    <w:bookmarkStart w:id="614" w:name="virtual-memory-paging-and-the-page-cache"/>
    <w:p>
      <w:pPr>
        <w:pStyle w:val="Heading2"/>
      </w:pPr>
      <w:r>
        <w:t xml:space="preserve">6.6 Virtual memory, paging and the page cache</w:t>
      </w:r>
    </w:p>
    <w:bookmarkStart w:id="603" w:name="the-idea-of-virtual-memory"/>
    <w:p>
      <w:pPr>
        <w:pStyle w:val="Heading3"/>
      </w:pPr>
      <w:r>
        <w:t xml:space="preserve">6.6.1 The idea of virtual memory</w:t>
      </w:r>
    </w:p>
    <w:p>
      <w:pPr>
        <w:pStyle w:val="CalloutDefinition"/>
      </w:pPr>
      <w:r>
        <w:rPr>
          <w:bCs/>
          <w:b/>
        </w:rPr>
        <w:t xml:space="preserve">DEFINITION</w:t>
      </w:r>
    </w:p>
    <w:p>
      <w:pPr>
        <w:pStyle w:val="CalloutDefinition"/>
      </w:pPr>
      <w:r>
        <w:rPr>
          <w:bCs/>
          <w:b/>
        </w:rPr>
        <w:t xml:space="preserve">Definition — Virtual memory.</w:t>
      </w:r>
      <w:r>
        <w:t xml:space="preserve"> </w:t>
      </w:r>
      <w:r>
        <w:t xml:space="preserve">A mechanism in which every address a program uses is a</w:t>
      </w:r>
      <w:r>
        <w:t xml:space="preserve"> </w:t>
      </w:r>
      <w:r>
        <w:rPr>
          <w:bCs/>
          <w:b/>
        </w:rPr>
        <w:t xml:space="preserve">virtual address</w:t>
      </w:r>
      <w:r>
        <w:t xml:space="preserve"> </w:t>
      </w:r>
      <w:r>
        <w:t xml:space="preserve">that the hardware’s</w:t>
      </w:r>
      <w:r>
        <w:t xml:space="preserve"> </w:t>
      </w:r>
      <w:r>
        <w:rPr>
          <w:bCs/>
          <w:b/>
        </w:rPr>
        <w:t xml:space="preserve">memory-management unit (MMU)</w:t>
      </w:r>
      <w:r>
        <w:t xml:space="preserve"> </w:t>
      </w:r>
      <w:r>
        <w:t xml:space="preserve">translates, using tables maintained by the kernel, into a</w:t>
      </w:r>
      <w:r>
        <w:t xml:space="preserve"> </w:t>
      </w:r>
      <w:r>
        <w:rPr>
          <w:bCs/>
          <w:b/>
        </w:rPr>
        <w:t xml:space="preserve">physical address</w:t>
      </w:r>
      <w:r>
        <w:t xml:space="preserve"> </w:t>
      </w:r>
      <w:r>
        <w:t xml:space="preserve">in RAM, or into a fault if no valid mapping exists.</w:t>
      </w:r>
    </w:p>
    <w:bookmarkStart w:id="602" w:name="first-principles-explanation-38"/>
    <w:p>
      <w:pPr>
        <w:pStyle w:val="Heading4"/>
      </w:pPr>
      <w:r>
        <w:t xml:space="preserve">First-principles explanation</w:t>
      </w:r>
    </w:p>
    <w:p>
      <w:pPr>
        <w:pStyle w:val="FirstParagraph"/>
      </w:pPr>
      <w:r>
        <w:t xml:space="preserve">A hotel guest is told</w:t>
      </w:r>
      <w:r>
        <w:t xml:space="preserve"> </w:t>
      </w:r>
      <w:r>
        <w:t xml:space="preserve">“</w:t>
      </w:r>
      <w:r>
        <w:t xml:space="preserve">you are in room 12</w:t>
      </w:r>
      <w:r>
        <w:t xml:space="preserve">”</w:t>
      </w:r>
      <w:r>
        <w:t xml:space="preserve">; the front desk’s private sheet for that guest says room 12 is physically room 407. Two guests can both have</w:t>
      </w:r>
      <w:r>
        <w:t xml:space="preserve"> </w:t>
      </w:r>
      <w:r>
        <w:t xml:space="preserve">“</w:t>
      </w:r>
      <w:r>
        <w:t xml:space="preserve">room 12</w:t>
      </w:r>
      <w:r>
        <w:t xml:space="preserve">”</w:t>
      </w:r>
      <w:r>
        <w:t xml:space="preserve">, luggage can be moved without telling the guest, and a guest asking for a room not on their sheet is stopped at the desk. Virtual memory gives each process exactly this, and so delivers</w:t>
      </w:r>
      <w:r>
        <w:t xml:space="preserve"> </w:t>
      </w:r>
      <w:r>
        <w:rPr>
          <w:bCs/>
          <w:b/>
        </w:rPr>
        <w:t xml:space="preserve">isolation</w:t>
      </w:r>
      <w:r>
        <w:t xml:space="preserve"> </w:t>
      </w:r>
      <w:r>
        <w:t xml:space="preserve">(separate tables),</w:t>
      </w:r>
      <w:r>
        <w:t xml:space="preserve"> </w:t>
      </w:r>
      <w:r>
        <w:rPr>
          <w:bCs/>
          <w:b/>
        </w:rPr>
        <w:t xml:space="preserve">convenience</w:t>
      </w:r>
      <w:r>
        <w:t xml:space="preserve"> </w:t>
      </w:r>
      <w:r>
        <w:t xml:space="preserve">(the same layout for everyone, Figure 6.1) and</w:t>
      </w:r>
      <w:r>
        <w:t xml:space="preserve"> </w:t>
      </w:r>
      <w:r>
        <w:rPr>
          <w:bCs/>
          <w:b/>
        </w:rPr>
        <w:t xml:space="preserve">flexibility</w:t>
      </w:r>
      <w:r>
        <w:t xml:space="preserve"> </w:t>
      </w:r>
      <w:r>
        <w:t xml:space="preserve">(memory allocated lazily, shared, mapped to files or moved to disk).</w:t>
      </w:r>
    </w:p>
    <w:bookmarkEnd w:id="602"/>
    <w:bookmarkEnd w:id="603"/>
    <w:bookmarkStart w:id="604" w:name="paging-and-page-tables"/>
    <w:p>
      <w:pPr>
        <w:pStyle w:val="Heading3"/>
      </w:pPr>
      <w:r>
        <w:t xml:space="preserve">6.6.2 Paging and page tables</w:t>
      </w:r>
    </w:p>
    <w:p>
      <w:pPr>
        <w:pStyle w:val="FirstParagraph"/>
      </w:pPr>
      <w:r>
        <w:t xml:space="preserve">Memory is divided into fixed-size blocks:</w:t>
      </w:r>
      <w:r>
        <w:t xml:space="preserve"> </w:t>
      </w:r>
      <w:r>
        <w:rPr>
          <w:bCs/>
          <w:b/>
        </w:rPr>
        <w:t xml:space="preserve">pages</w:t>
      </w:r>
      <w:r>
        <w:t xml:space="preserve"> </w:t>
      </w:r>
      <w:r>
        <w:t xml:space="preserve">in virtual memory and</w:t>
      </w:r>
      <w:r>
        <w:t xml:space="preserve"> </w:t>
      </w:r>
      <w:r>
        <w:rPr>
          <w:bCs/>
          <w:b/>
        </w:rPr>
        <w:t xml:space="preserve">frames</w:t>
      </w:r>
      <w:r>
        <w:t xml:space="preserve"> </w:t>
      </w:r>
      <w:r>
        <w:t xml:space="preserve">in physical memory, typically</w:t>
      </w:r>
      <w:r>
        <w:t xml:space="preserve"> </w:t>
      </w:r>
      <w:r>
        <w:rPr>
          <w:bCs/>
          <w:b/>
        </w:rPr>
        <w:t xml:space="preserve">4 KiB</w:t>
      </w:r>
      <w:r>
        <w:t xml:space="preserve"> </w:t>
      </w:r>
      <w:r>
        <w:t xml:space="preserve">on x86-64 and most ARM servers. A virtual address is split into a</w:t>
      </w:r>
      <w:r>
        <w:t xml:space="preserve"> </w:t>
      </w:r>
      <w:r>
        <w:rPr>
          <w:bCs/>
          <w:b/>
        </w:rPr>
        <w:t xml:space="preserve">virtual page number</w:t>
      </w:r>
      <w:r>
        <w:t xml:space="preserve"> </w:t>
      </w:r>
      <w:r>
        <w:t xml:space="preserve">and an</w:t>
      </w:r>
      <w:r>
        <w:t xml:space="preserve"> </w:t>
      </w:r>
      <w:r>
        <w:rPr>
          <w:bCs/>
          <w:b/>
        </w:rPr>
        <w:t xml:space="preserve">offset</w:t>
      </w:r>
      <w:r>
        <w:t xml:space="preserve"> </w:t>
      </w:r>
      <w:r>
        <w:t xml:space="preserve">within the page. The kernel keeps a</w:t>
      </w:r>
      <w:r>
        <w:t xml:space="preserve"> </w:t>
      </w:r>
      <w:r>
        <w:rPr>
          <w:bCs/>
          <w:b/>
        </w:rPr>
        <w:t xml:space="preserve">page table</w:t>
      </w:r>
      <w:r>
        <w:t xml:space="preserve"> </w:t>
      </w:r>
      <w:r>
        <w:t xml:space="preserve">per process that maps virtual page numbers to physical frame numbers, plus permission bits:</w:t>
      </w:r>
      <w:r>
        <w:t xml:space="preserve"> </w:t>
      </w:r>
      <w:r>
        <w:rPr>
          <w:iCs/>
          <w:i/>
        </w:rPr>
        <w:t xml:space="preserve">present</w:t>
      </w:r>
      <w:r>
        <w:t xml:space="preserve">,</w:t>
      </w:r>
      <w:r>
        <w:t xml:space="preserve"> </w:t>
      </w:r>
      <w:r>
        <w:rPr>
          <w:iCs/>
          <w:i/>
        </w:rPr>
        <w:t xml:space="preserve">writable</w:t>
      </w:r>
      <w:r>
        <w:t xml:space="preserve">,</w:t>
      </w:r>
      <w:r>
        <w:t xml:space="preserve"> </w:t>
      </w:r>
      <w:r>
        <w:rPr>
          <w:iCs/>
          <w:i/>
        </w:rPr>
        <w:t xml:space="preserve">user-accessible</w:t>
      </w:r>
      <w:r>
        <w:t xml:space="preserve">,</w:t>
      </w:r>
      <w:r>
        <w:t xml:space="preserve"> </w:t>
      </w:r>
      <w:r>
        <w:rPr>
          <w:iCs/>
          <w:i/>
        </w:rPr>
        <w:t xml:space="preserve">no-execute</w:t>
      </w:r>
      <w:r>
        <w:t xml:space="preserve">, and</w:t>
      </w:r>
      <w:r>
        <w:t xml:space="preserve"> </w:t>
      </w:r>
      <w:r>
        <w:rPr>
          <w:iCs/>
          <w:i/>
        </w:rPr>
        <w:t xml:space="preserve">accessed</w:t>
      </w:r>
      <w:r>
        <w:t xml:space="preserve">/</w:t>
      </w:r>
      <w:r>
        <w:rPr>
          <w:iCs/>
          <w:i/>
        </w:rPr>
        <w:t xml:space="preserve">dirty</w:t>
      </w:r>
      <w:r>
        <w:t xml:space="preserve"> </w:t>
      </w:r>
      <w:r>
        <w:t xml:space="preserve">flags that the hardware sets so the kernel knows which pages were used or modified.</w:t>
      </w:r>
    </w:p>
    <w:p>
      <w:pPr>
        <w:pStyle w:val="BodyText"/>
      </w:pPr>
      <w:r>
        <w:t xml:space="preserve">A flat table for 128 TiB of virtual space would need 2³⁵ entries, far too large. So the table is a</w:t>
      </w:r>
      <w:r>
        <w:t xml:space="preserve"> </w:t>
      </w:r>
      <w:r>
        <w:rPr>
          <w:bCs/>
          <w:b/>
        </w:rPr>
        <w:t xml:space="preserve">multi-level tree</w:t>
      </w:r>
      <w:r>
        <w:t xml:space="preserve">: on x86-64 with 4-level paging, the 48-bit address is split into four 9-bit indices (one per level) and a 12-bit offset (9 + 9 + 9 + 9 + 12 = 48). Only the branches actually used are allocated. Newer CPUs support 5-level paging (57-bit addresses) for very large-memory machines.</w:t>
      </w:r>
    </w:p>
    <w:bookmarkEnd w:id="604"/>
    <w:bookmarkStart w:id="608" w:name="the-tlb"/>
    <w:p>
      <w:pPr>
        <w:pStyle w:val="Heading3"/>
      </w:pPr>
      <w:r>
        <w:t xml:space="preserve">6.6.3 The TLB</w:t>
      </w:r>
    </w:p>
    <w:p>
      <w:pPr>
        <w:pStyle w:val="FirstParagraph"/>
      </w:pPr>
      <w:r>
        <w:t xml:space="preserve">Walking a four-level tree means up to four extra memory reads for every load or store, which would make every memory access several times slower. The</w:t>
      </w:r>
      <w:r>
        <w:t xml:space="preserve"> </w:t>
      </w:r>
      <w:r>
        <w:rPr>
          <w:bCs/>
          <w:b/>
        </w:rPr>
        <w:t xml:space="preserve">translation lookaside buffer (TLB)</w:t>
      </w:r>
      <w:r>
        <w:t xml:space="preserve"> </w:t>
      </w:r>
      <w:r>
        <w:t xml:space="preserve">is a small cache inside the CPU core that holds recent virtual-to-physical translations. Typical server cores have tens of entries in the first-level TLB and roughly 1,000–3,000 entries in a second-level TLB (as of 2020s x86-64 and ARM designs; consult your CPU’s documentation).</w:t>
      </w:r>
    </w:p>
    <w:p>
      <w:pPr>
        <w:pStyle w:val="BodyText"/>
      </w:pPr>
      <w:r>
        <w:rPr>
          <w:bCs/>
          <w:b/>
        </w:rPr>
        <w:t xml:space="preserve">Figure 6.5 — Translating a virtual address: TLB, page walk and page fault.</w:t>
      </w:r>
    </w:p>
    <w:p>
      <w:pPr>
        <w:pStyle w:val="BodyText"/>
      </w:pPr>
      <w:r>
        <w:drawing>
          <wp:inline>
            <wp:extent cx="5334000" cy="9086140"/>
            <wp:effectExtent b="0" l="0" r="0" t="0"/>
            <wp:docPr descr="" title="" id="606" name="Picture"/>
            <a:graphic>
              <a:graphicData uri="http://schemas.openxmlformats.org/drawingml/2006/picture">
                <pic:pic>
                  <pic:nvPicPr>
                    <pic:cNvPr descr="/home/user/System-Design/build/.cache/diagrams/16c550753fb0.png" id="607" name="Picture"/>
                    <pic:cNvPicPr>
                      <a:picLocks noChangeArrowheads="1" noChangeAspect="1"/>
                    </pic:cNvPicPr>
                  </pic:nvPicPr>
                  <pic:blipFill>
                    <a:blip r:embed="rId605"/>
                    <a:stretch>
                      <a:fillRect/>
                    </a:stretch>
                  </pic:blipFill>
                  <pic:spPr bwMode="auto">
                    <a:xfrm>
                      <a:off x="0" y="0"/>
                      <a:ext cx="5334000" cy="9086140"/>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Every load, store and instruction fetch starts at the top. A</w:t>
      </w:r>
      <w:r>
        <w:t xml:space="preserve"> </w:t>
      </w:r>
      <w:r>
        <w:rPr>
          <w:bCs/>
          <w:b/>
        </w:rPr>
        <w:t xml:space="preserve">TLB hit</w:t>
      </w:r>
      <w:r>
        <w:t xml:space="preserve"> </w:t>
      </w:r>
      <w:r>
        <w:t xml:space="preserve">makes translation essentially free. On a</w:t>
      </w:r>
      <w:r>
        <w:t xml:space="preserve"> </w:t>
      </w:r>
      <w:r>
        <w:rPr>
          <w:bCs/>
          <w:b/>
        </w:rPr>
        <w:t xml:space="preserve">miss</w:t>
      </w:r>
      <w:r>
        <w:t xml:space="preserve">, the MMU hardware walks the page table; if the entry is present and permitted, the TLB is filled. Otherwise the CPU raises a</w:t>
      </w:r>
      <w:r>
        <w:t xml:space="preserve"> </w:t>
      </w:r>
      <w:r>
        <w:rPr>
          <w:bCs/>
          <w:b/>
        </w:rPr>
        <w:t xml:space="preserve">page fault</w:t>
      </w:r>
      <w:r>
        <w:t xml:space="preserve">, a synchronous trap into the kernel. An invalid address (null pointer, write to read-only code) gets</w:t>
      </w:r>
      <w:r>
        <w:t xml:space="preserve"> </w:t>
      </w:r>
      <w:r>
        <w:rPr>
          <w:bCs/>
          <w:b/>
        </w:rPr>
        <w:t xml:space="preserve">SIGSEGV</w:t>
      </w:r>
      <w:r>
        <w:t xml:space="preserve">. A valid page already in RAM (a shared library page, a fresh zero page on first touch) is a cheap</w:t>
      </w:r>
      <w:r>
        <w:t xml:space="preserve"> </w:t>
      </w:r>
      <w:r>
        <w:rPr>
          <w:bCs/>
          <w:b/>
        </w:rPr>
        <w:t xml:space="preserve">minor fault</w:t>
      </w:r>
      <w:r>
        <w:t xml:space="preserve">: the kernel just fills in the entry. A page that must come from storage (a file page or a swapped-out page) is a</w:t>
      </w:r>
      <w:r>
        <w:t xml:space="preserve"> </w:t>
      </w:r>
      <w:r>
        <w:rPr>
          <w:bCs/>
          <w:b/>
        </w:rPr>
        <w:t xml:space="preserve">major fault</w:t>
      </w:r>
      <w:r>
        <w:t xml:space="preserve">: the thread blocks while the disk is read, the storage boundary in this figure. Then the instruction is retried. The failure point that matters is the major-fault path, which turns a 100 ns access into a 100 µs (SSD) to 10 ms (HDD) wait.</w:t>
      </w:r>
    </w:p>
    <w:p>
      <w:pPr>
        <w:pStyle w:val="CalloutFormula"/>
      </w:pPr>
      <w:r>
        <w:rPr>
          <w:bCs/>
          <w:b/>
        </w:rPr>
        <w:t xml:space="preserve">FORMULA</w:t>
      </w:r>
    </w:p>
    <w:p>
      <w:pPr>
        <w:pStyle w:val="CalloutFormula"/>
      </w:pPr>
      <w:r>
        <w:rPr>
          <w:bCs/>
          <w:b/>
        </w:rPr>
        <w:t xml:space="preserve">TLB reach</w:t>
      </w:r>
    </w:p>
    <w:p>
      <w:pPr>
        <w:pStyle w:val="CalloutFormula"/>
      </w:pPr>
      <m:oMathPara>
        <m:oMathParaPr>
          <m:jc m:val="center"/>
        </m:oMathParaPr>
        <m:oMath>
          <m:sSub>
            <m:e>
              <m:r>
                <m:t>R</m:t>
              </m:r>
            </m:e>
            <m:sub>
              <m:r>
                <m:rPr>
                  <m:nor/>
                  <m:sty m:val="p"/>
                </m:rPr>
                <m:t>TLB</m:t>
              </m:r>
            </m:sub>
          </m:sSub>
          <m:r>
            <m:rPr>
              <m:sty m:val="p"/>
            </m:rPr>
            <m:t>=</m:t>
          </m:r>
          <m:r>
            <m:t>E</m:t>
          </m:r>
          <m:r>
            <m:rPr>
              <m:sty m:val="p"/>
            </m:rPr>
            <m:t>×</m:t>
          </m:r>
          <m:r>
            <m:t>P</m:t>
          </m:r>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R</m:t>
                  </m:r>
                </m:e>
                <m:sub>
                  <m:r>
                    <m:rPr>
                      <m:nor/>
                      <m:sty m:val="p"/>
                    </m:rPr>
                    <m:t>TLB</m:t>
                  </m:r>
                </m:sub>
              </m:sSub>
            </m:oMath>
          </w:p>
        </w:tc>
        <w:tc>
          <w:tcPr/>
          <w:p>
            <w:pPr>
              <w:pStyle w:val="Compact"/>
              <w:jc w:val="left"/>
            </w:pPr>
            <w:r>
              <w:t xml:space="preserve">Amount of memory addressable without a TLB miss</w:t>
            </w:r>
          </w:p>
        </w:tc>
        <w:tc>
          <w:tcPr/>
          <w:p>
            <w:pPr>
              <w:pStyle w:val="Compact"/>
              <w:jc w:val="left"/>
            </w:pPr>
            <w:r>
              <w:t xml:space="preserve">bytes</w:t>
            </w:r>
          </w:p>
        </w:tc>
      </w:tr>
      <w:tr>
        <w:tc>
          <w:tcPr/>
          <w:p>
            <w:pPr>
              <w:pStyle w:val="Compact"/>
              <w:jc w:val="left"/>
            </w:pPr>
            <m:oMath>
              <m:r>
                <m:t>E</m:t>
              </m:r>
            </m:oMath>
          </w:p>
        </w:tc>
        <w:tc>
          <w:tcPr/>
          <w:p>
            <w:pPr>
              <w:pStyle w:val="Compact"/>
              <w:jc w:val="left"/>
            </w:pPr>
            <w:r>
              <w:t xml:space="preserve">Number of TLB entries</w:t>
            </w:r>
          </w:p>
        </w:tc>
        <w:tc>
          <w:tcPr/>
          <w:p>
            <w:pPr>
              <w:pStyle w:val="Compact"/>
              <w:jc w:val="left"/>
            </w:pPr>
            <w:r>
              <w:t xml:space="preserve">entries</w:t>
            </w:r>
          </w:p>
        </w:tc>
      </w:tr>
      <w:tr>
        <w:tc>
          <w:tcPr/>
          <w:p>
            <w:pPr>
              <w:pStyle w:val="Compact"/>
              <w:jc w:val="left"/>
            </w:pPr>
            <m:oMath>
              <m:r>
                <m:t>P</m:t>
              </m:r>
            </m:oMath>
          </w:p>
        </w:tc>
        <w:tc>
          <w:tcPr/>
          <w:p>
            <w:pPr>
              <w:pStyle w:val="Compact"/>
              <w:jc w:val="left"/>
            </w:pPr>
            <w:r>
              <w:t xml:space="preserve">Page size per entry</w:t>
            </w:r>
          </w:p>
        </w:tc>
        <w:tc>
          <w:tcPr/>
          <w:p>
            <w:pPr>
              <w:pStyle w:val="Compact"/>
              <w:jc w:val="left"/>
            </w:pPr>
            <w:r>
              <w:t xml:space="preserve">bytes</w:t>
            </w:r>
          </w:p>
        </w:tc>
      </w:tr>
    </w:tbl>
    <w:p>
      <w:pPr>
        <w:pStyle w:val="CalloutFormula"/>
      </w:pPr>
      <w:r>
        <w:rPr>
          <w:bCs/>
          <w:b/>
        </w:rPr>
        <w:t xml:space="preserve">FORMULA</w:t>
      </w:r>
    </w:p>
    <w:p>
      <w:pPr>
        <w:pStyle w:val="CalloutFormula"/>
      </w:pPr>
      <w:r>
        <w:rPr>
          <w:bCs/>
          <w:b/>
        </w:rPr>
        <w:t xml:space="preserve">Effective memory access time with page faults</w:t>
      </w:r>
    </w:p>
    <w:p>
      <w:pPr>
        <w:pStyle w:val="CalloutFormula"/>
      </w:pPr>
      <m:oMathPara>
        <m:oMathParaPr>
          <m:jc m:val="center"/>
        </m:oMathParaPr>
        <m:oMath>
          <m:r>
            <m:rPr>
              <m:nor/>
              <m:sty m:val="p"/>
            </m:rPr>
            <m:t>EAT</m:t>
          </m:r>
          <m:r>
            <m:rPr>
              <m:sty m:val="p"/>
            </m:rPr>
            <m:t>=</m:t>
          </m:r>
          <m:d>
            <m:dPr>
              <m:begChr m:val="("/>
              <m:endChr m:val=")"/>
              <m:sepChr m:val=""/>
              <m:grow/>
            </m:dPr>
            <m:e>
              <m:r>
                <m:t>1</m:t>
              </m:r>
              <m:r>
                <m:rPr>
                  <m:sty m:val="p"/>
                </m:rPr>
                <m:t>−</m:t>
              </m:r>
              <m:r>
                <m:t>p</m:t>
              </m:r>
            </m:e>
          </m:d>
          <m:r>
            <m:rPr>
              <m:sty m:val="p"/>
            </m:rPr>
            <m:t>×</m:t>
          </m:r>
          <m:sSub>
            <m:e>
              <m:r>
                <m:t>t</m:t>
              </m:r>
            </m:e>
            <m:sub>
              <m:r>
                <m:rPr>
                  <m:nor/>
                  <m:sty m:val="p"/>
                </m:rPr>
                <m:t>mem</m:t>
              </m:r>
            </m:sub>
          </m:sSub>
          <m:r>
            <m:rPr>
              <m:sty m:val="p"/>
            </m:rPr>
            <m:t>+</m:t>
          </m:r>
          <m:r>
            <m:t>p</m:t>
          </m:r>
          <m:r>
            <m:rPr>
              <m:sty m:val="p"/>
            </m:rPr>
            <m:t>×</m:t>
          </m:r>
          <m:sSub>
            <m:e>
              <m:r>
                <m:t>t</m:t>
              </m:r>
            </m:e>
            <m:sub>
              <m:r>
                <m:rPr>
                  <m:nor/>
                  <m:sty m:val="p"/>
                </m:rPr>
                <m:t>fault</m:t>
              </m:r>
            </m:sub>
          </m:sSub>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w:r>
              <w:t xml:space="preserve">EAT</w:t>
            </w:r>
          </w:p>
        </w:tc>
        <w:tc>
          <w:tcPr/>
          <w:p>
            <w:pPr>
              <w:pStyle w:val="Compact"/>
              <w:jc w:val="left"/>
            </w:pPr>
            <w:r>
              <w:t xml:space="preserve">Average time per memory access</w:t>
            </w:r>
          </w:p>
        </w:tc>
        <w:tc>
          <w:tcPr/>
          <w:p>
            <w:pPr>
              <w:pStyle w:val="Compact"/>
              <w:jc w:val="left"/>
            </w:pPr>
            <w:r>
              <w:t xml:space="preserve">ns</w:t>
            </w:r>
          </w:p>
        </w:tc>
      </w:tr>
      <w:tr>
        <w:tc>
          <w:tcPr/>
          <w:p>
            <w:pPr>
              <w:pStyle w:val="Compact"/>
              <w:jc w:val="left"/>
            </w:pPr>
            <m:oMath>
              <m:r>
                <m:t>p</m:t>
              </m:r>
            </m:oMath>
          </w:p>
        </w:tc>
        <w:tc>
          <w:tcPr/>
          <w:p>
            <w:pPr>
              <w:pStyle w:val="Compact"/>
              <w:jc w:val="left"/>
            </w:pPr>
            <w:r>
              <w:t xml:space="preserve">Probability that an access causes a major page fault</w:t>
            </w:r>
          </w:p>
        </w:tc>
        <w:tc>
          <w:tcPr/>
          <w:p>
            <w:pPr>
              <w:pStyle w:val="Compact"/>
              <w:jc w:val="left"/>
            </w:pPr>
            <w:r>
              <w:t xml:space="preserve">dimensionless (0–1)</w:t>
            </w:r>
          </w:p>
        </w:tc>
      </w:tr>
      <w:tr>
        <w:tc>
          <w:tcPr/>
          <w:p>
            <w:pPr>
              <w:pStyle w:val="Compact"/>
              <w:jc w:val="left"/>
            </w:pPr>
            <m:oMath>
              <m:sSub>
                <m:e>
                  <m:r>
                    <m:t>t</m:t>
                  </m:r>
                </m:e>
                <m:sub>
                  <m:r>
                    <m:rPr>
                      <m:nor/>
                      <m:sty m:val="p"/>
                    </m:rPr>
                    <m:t>mem</m:t>
                  </m:r>
                </m:sub>
              </m:sSub>
            </m:oMath>
          </w:p>
        </w:tc>
        <w:tc>
          <w:tcPr/>
          <w:p>
            <w:pPr>
              <w:pStyle w:val="Compact"/>
              <w:jc w:val="left"/>
            </w:pPr>
            <w:r>
              <w:t xml:space="preserve">Time for an access with no fault</w:t>
            </w:r>
          </w:p>
        </w:tc>
        <w:tc>
          <w:tcPr/>
          <w:p>
            <w:pPr>
              <w:pStyle w:val="Compact"/>
              <w:jc w:val="left"/>
            </w:pPr>
            <w:r>
              <w:t xml:space="preserve">ns</w:t>
            </w:r>
          </w:p>
        </w:tc>
      </w:tr>
      <w:tr>
        <w:tc>
          <w:tcPr/>
          <w:p>
            <w:pPr>
              <w:pStyle w:val="Compact"/>
              <w:jc w:val="left"/>
            </w:pPr>
            <m:oMath>
              <m:sSub>
                <m:e>
                  <m:r>
                    <m:t>t</m:t>
                  </m:r>
                </m:e>
                <m:sub>
                  <m:r>
                    <m:rPr>
                      <m:nor/>
                      <m:sty m:val="p"/>
                    </m:rPr>
                    <m:t>fault</m:t>
                  </m:r>
                </m:sub>
              </m:sSub>
            </m:oMath>
          </w:p>
        </w:tc>
        <w:tc>
          <w:tcPr/>
          <w:p>
            <w:pPr>
              <w:pStyle w:val="Compact"/>
              <w:jc w:val="left"/>
            </w:pPr>
            <w:r>
              <w:t xml:space="preserve">Time to service a major fault, including the disk read</w:t>
            </w:r>
          </w:p>
        </w:tc>
        <w:tc>
          <w:tcPr/>
          <w:p>
            <w:pPr>
              <w:pStyle w:val="Compact"/>
              <w:jc w:val="left"/>
            </w:pPr>
            <w:r>
              <w:t xml:space="preserve">ns</w:t>
            </w:r>
          </w:p>
        </w:tc>
      </w:tr>
    </w:tbl>
    <w:p>
      <w:pPr>
        <w:pStyle w:val="CalloutExample"/>
      </w:pPr>
      <w:r>
        <w:rPr>
          <w:bCs/>
          <w:b/>
        </w:rPr>
        <w:t xml:space="preserve">WORKED EXAMPLE</w:t>
      </w:r>
    </w:p>
    <w:p>
      <w:pPr>
        <w:pStyle w:val="CalloutExample"/>
      </w:pPr>
      <w:r>
        <w:rPr>
          <w:bCs/>
          <w:b/>
        </w:rPr>
        <w:t xml:space="preserve">Worked example — Why huge pages and why swapping hurts.</w:t>
      </w:r>
    </w:p>
    <w:p>
      <w:pPr>
        <w:pStyle w:val="CalloutExample"/>
      </w:pPr>
      <w:r>
        <w:rPr>
          <w:iCs/>
          <w:i/>
        </w:rPr>
        <w:t xml:space="preserve">TLB reach.</w:t>
      </w:r>
      <w:r>
        <w:t xml:space="preserve"> </w:t>
      </w:r>
      <w:r>
        <w:t xml:space="preserve">A core with</w:t>
      </w:r>
      <w:r>
        <w:t xml:space="preserve"> </w:t>
      </w:r>
      <m:oMath>
        <m:r>
          <m:t>E</m:t>
        </m:r>
        <m:r>
          <m:rPr>
            <m:sty m:val="p"/>
          </m:rPr>
          <m:t>=</m:t>
        </m:r>
        <m:r>
          <m:t>1</m:t>
        </m:r>
        <m:r>
          <m:rPr>
            <m:sty m:val="p"/>
          </m:rPr>
          <m:t>,</m:t>
        </m:r>
        <m:r>
          <m:t>536</m:t>
        </m:r>
      </m:oMath>
      <w:r>
        <w:t xml:space="preserve"> </w:t>
      </w:r>
      <w:r>
        <w:t xml:space="preserve">second-level entries and 4 KiB pages has</w:t>
      </w:r>
      <w:r>
        <w:t xml:space="preserve"> </w:t>
      </w:r>
      <m:oMath>
        <m:r>
          <m:t>R</m:t>
        </m:r>
        <m:r>
          <m:rPr>
            <m:sty m:val="p"/>
          </m:rPr>
          <m:t>=</m:t>
        </m:r>
        <m:r>
          <m:t>1</m:t>
        </m:r>
        <m:r>
          <m:rPr>
            <m:sty m:val="p"/>
          </m:rPr>
          <m:t>,</m:t>
        </m:r>
        <m:r>
          <m:t>536</m:t>
        </m:r>
        <m:r>
          <m:rPr>
            <m:sty m:val="p"/>
          </m:rPr>
          <m:t>×</m:t>
        </m:r>
        <m:r>
          <m:t>4</m:t>
        </m:r>
        <m:r>
          <m:rPr>
            <m:sty m:val="p"/>
          </m:rPr>
          <m:t>=</m:t>
        </m:r>
        <m:r>
          <m:t>6</m:t>
        </m:r>
        <m:r>
          <m:rPr>
            <m:sty m:val="p"/>
          </m:rPr>
          <m:t>,</m:t>
        </m:r>
        <m:r>
          <m:t>144</m:t>
        </m:r>
      </m:oMath>
      <w:r>
        <w:t xml:space="preserve"> </w:t>
      </w:r>
      <w:r>
        <w:t xml:space="preserve">KiB =</w:t>
      </w:r>
      <w:r>
        <w:t xml:space="preserve"> </w:t>
      </w:r>
      <w:r>
        <w:rPr>
          <w:bCs/>
          <w:b/>
        </w:rPr>
        <w:t xml:space="preserve">6 MiB</w:t>
      </w:r>
      <w:r>
        <w:t xml:space="preserve">. A database with a 64 GiB in-memory buffer pool touching memory randomly will miss in the TLB on most accesses. With 2 MiB</w:t>
      </w:r>
      <w:r>
        <w:t xml:space="preserve"> </w:t>
      </w:r>
      <w:r>
        <w:rPr>
          <w:bCs/>
          <w:b/>
        </w:rPr>
        <w:t xml:space="preserve">huge pages</w:t>
      </w:r>
      <w:r>
        <w:t xml:space="preserve">, the same entries cover</w:t>
      </w:r>
      <w:r>
        <w:t xml:space="preserve"> </w:t>
      </w:r>
      <m:oMath>
        <m:r>
          <m:t>1</m:t>
        </m:r>
        <m:r>
          <m:rPr>
            <m:sty m:val="p"/>
          </m:rPr>
          <m:t>,</m:t>
        </m:r>
        <m:r>
          <m:t>536</m:t>
        </m:r>
        <m:r>
          <m:rPr>
            <m:sty m:val="p"/>
          </m:rPr>
          <m:t>×</m:t>
        </m:r>
        <m:r>
          <m:t>2</m:t>
        </m:r>
      </m:oMath>
      <w:r>
        <w:t xml:space="preserve"> </w:t>
      </w:r>
      <w:r>
        <w:t xml:space="preserve">MiB =</w:t>
      </w:r>
      <w:r>
        <w:t xml:space="preserve"> </w:t>
      </w:r>
      <w:r>
        <w:rPr>
          <w:bCs/>
          <w:b/>
        </w:rPr>
        <w:t xml:space="preserve">3 GiB</w:t>
      </w:r>
      <w:r>
        <w:t xml:space="preserve">, 512× more. This is why databases and JVMs often use explicit huge pages.</w:t>
      </w:r>
    </w:p>
    <w:p>
      <w:pPr>
        <w:pStyle w:val="CalloutExample"/>
      </w:pPr>
      <w:r>
        <w:rPr>
          <w:iCs/>
          <w:i/>
        </w:rPr>
        <w:t xml:space="preserve">Page faults.</w:t>
      </w:r>
      <w:r>
        <w:t xml:space="preserve"> </w:t>
      </w:r>
      <w:r>
        <w:t xml:space="preserve">Let</w:t>
      </w:r>
      <w:r>
        <w:t xml:space="preserve"> </w:t>
      </w:r>
      <m:oMath>
        <m:sSub>
          <m:e>
            <m:r>
              <m:t>t</m:t>
            </m:r>
          </m:e>
          <m:sub>
            <m:r>
              <m:rPr>
                <m:nor/>
                <m:sty m:val="p"/>
              </m:rPr>
              <m:t>mem</m:t>
            </m:r>
          </m:sub>
        </m:sSub>
        <m:r>
          <m:rPr>
            <m:sty m:val="p"/>
          </m:rPr>
          <m:t>=</m:t>
        </m:r>
        <m:r>
          <m:t>100</m:t>
        </m:r>
      </m:oMath>
      <w:r>
        <w:t xml:space="preserve"> </w:t>
      </w:r>
      <w:r>
        <w:t xml:space="preserve">ns and a major fault from an NVMe SSD take</w:t>
      </w:r>
      <w:r>
        <w:t xml:space="preserve"> </w:t>
      </w:r>
      <m:oMath>
        <m:sSub>
          <m:e>
            <m:r>
              <m:t>t</m:t>
            </m:r>
          </m:e>
          <m:sub>
            <m:r>
              <m:rPr>
                <m:nor/>
                <m:sty m:val="p"/>
              </m:rPr>
              <m:t>fault</m:t>
            </m:r>
          </m:sub>
        </m:sSub>
        <m:r>
          <m:rPr>
            <m:sty m:val="p"/>
          </m:rPr>
          <m:t>=</m:t>
        </m:r>
        <m:r>
          <m:t>100</m:t>
        </m:r>
      </m:oMath>
      <w:r>
        <w:t xml:space="preserve"> </w:t>
      </w:r>
      <w:r>
        <w:t xml:space="preserve">µs = 100,000 ns. If one access in 10,000 faults (</w:t>
      </w:r>
      <m:oMath>
        <m:r>
          <m:t>p</m:t>
        </m:r>
        <m:r>
          <m:rPr>
            <m:sty m:val="p"/>
          </m:rPr>
          <m:t>=</m:t>
        </m:r>
        <m:sSup>
          <m:e>
            <m:r>
              <m:t>10</m:t>
            </m:r>
          </m:e>
          <m:sup>
            <m:r>
              <m:rPr>
                <m:sty m:val="p"/>
              </m:rPr>
              <m:t>−</m:t>
            </m:r>
            <m:r>
              <m:t>4</m:t>
            </m:r>
          </m:sup>
        </m:sSup>
      </m:oMath>
      <w:r>
        <w:t xml:space="preserve">):</w:t>
      </w:r>
      <w:r>
        <w:t xml:space="preserve"> </w:t>
      </w:r>
      <w:r>
        <w:t xml:space="preserve">EAT</w:t>
      </w:r>
      <w:r>
        <w:t xml:space="preserve"> </w:t>
      </w:r>
      <m:oMath>
        <m:r>
          <m:rPr>
            <m:sty m:val="p"/>
          </m:rPr>
          <m:t>=</m:t>
        </m:r>
        <m:r>
          <m:t>0.9999</m:t>
        </m:r>
        <m:r>
          <m:rPr>
            <m:sty m:val="p"/>
          </m:rPr>
          <m:t>×</m:t>
        </m:r>
        <m:r>
          <m:t>100</m:t>
        </m:r>
        <m:r>
          <m:rPr>
            <m:sty m:val="p"/>
          </m:rPr>
          <m:t>+</m:t>
        </m:r>
        <m:r>
          <m:t>0.0001</m:t>
        </m:r>
        <m:r>
          <m:rPr>
            <m:sty m:val="p"/>
          </m:rPr>
          <m:t>×</m:t>
        </m:r>
        <m:r>
          <m:t>100</m:t>
        </m:r>
        <m:r>
          <m:rPr>
            <m:sty m:val="p"/>
          </m:rPr>
          <m:t>,</m:t>
        </m:r>
        <m:r>
          <m:t>000</m:t>
        </m:r>
        <m:r>
          <m:rPr>
            <m:sty m:val="p"/>
          </m:rPr>
          <m:t>=</m:t>
        </m:r>
        <m:r>
          <m:t>99.99</m:t>
        </m:r>
        <m:r>
          <m:rPr>
            <m:sty m:val="p"/>
          </m:rPr>
          <m:t>+</m:t>
        </m:r>
        <m:r>
          <m:t>10</m:t>
        </m:r>
        <m:r>
          <m:rPr>
            <m:sty m:val="p"/>
          </m:rPr>
          <m:t>≈</m:t>
        </m:r>
      </m:oMath>
      <w:r>
        <w:t xml:space="preserve"> </w:t>
      </w:r>
      <w:r>
        <w:rPr>
          <w:bCs/>
          <w:b/>
        </w:rPr>
        <w:t xml:space="preserve">110 ns</w:t>
      </w:r>
      <w:r>
        <w:t xml:space="preserve">, a 10 % slowdown.</w:t>
      </w:r>
      <w:r>
        <w:t xml:space="preserve"> </w:t>
      </w:r>
      <w:r>
        <w:t xml:space="preserve">To keep the slowdown under 10 % with a 10 ms HDD (</w:t>
      </w:r>
      <m:oMath>
        <m:sSub>
          <m:e>
            <m:r>
              <m:t>t</m:t>
            </m:r>
          </m:e>
          <m:sub>
            <m:r>
              <m:rPr>
                <m:nor/>
                <m:sty m:val="p"/>
              </m:rPr>
              <m:t>fault</m:t>
            </m:r>
          </m:sub>
        </m:sSub>
        <m:r>
          <m:rPr>
            <m:sty m:val="p"/>
          </m:rPr>
          <m:t>=</m:t>
        </m:r>
        <m:sSup>
          <m:e>
            <m:r>
              <m:t>10</m:t>
            </m:r>
          </m:e>
          <m:sup>
            <m:r>
              <m:t>7</m:t>
            </m:r>
          </m:sup>
        </m:sSup>
      </m:oMath>
      <w:r>
        <w:t xml:space="preserve"> </w:t>
      </w:r>
      <w:r>
        <w:t xml:space="preserve">ns), we need</w:t>
      </w:r>
      <w:r>
        <w:t xml:space="preserve"> </w:t>
      </w:r>
      <m:oMath>
        <m:r>
          <m:t>p</m:t>
        </m:r>
        <m:r>
          <m:rPr>
            <m:sty m:val="p"/>
          </m:rPr>
          <m:t>×</m:t>
        </m:r>
        <m:sSup>
          <m:e>
            <m:r>
              <m:t>10</m:t>
            </m:r>
          </m:e>
          <m:sup>
            <m:r>
              <m:t>7</m:t>
            </m:r>
          </m:sup>
        </m:sSup>
        <m:r>
          <m:rPr>
            <m:sty m:val="p"/>
          </m:rPr>
          <m:t>&lt;</m:t>
        </m:r>
        <m:r>
          <m:t>10</m:t>
        </m:r>
      </m:oMath>
      <w:r>
        <w:t xml:space="preserve">, i.e. </w:t>
      </w:r>
      <m:oMath>
        <m:r>
          <m:t>p</m:t>
        </m:r>
        <m:r>
          <m:rPr>
            <m:sty m:val="p"/>
          </m:rPr>
          <m:t>&lt;</m:t>
        </m:r>
        <m:sSup>
          <m:e>
            <m:r>
              <m:t>10</m:t>
            </m:r>
          </m:e>
          <m:sup>
            <m:r>
              <m:rPr>
                <m:sty m:val="p"/>
              </m:rPr>
              <m:t>−</m:t>
            </m:r>
            <m:r>
              <m:t>6</m:t>
            </m:r>
          </m:sup>
        </m:sSup>
      </m:oMath>
      <w:r>
        <w:t xml:space="preserve">:</w:t>
      </w:r>
      <w:r>
        <w:t xml:space="preserve"> </w:t>
      </w:r>
      <w:r>
        <w:rPr>
          <w:bCs/>
          <w:b/>
        </w:rPr>
        <w:t xml:space="preserve">fewer than one fault per million accesses</w:t>
      </w:r>
      <w:r>
        <w:t xml:space="preserve">.</w:t>
      </w:r>
    </w:p>
    <w:p>
      <w:pPr>
        <w:pStyle w:val="CalloutExample"/>
      </w:pPr>
      <w:r>
        <w:rPr>
          <w:bCs/>
          <w:b/>
        </w:rPr>
        <w:t xml:space="preserve">Interpretation.</w:t>
      </w:r>
      <w:r>
        <w:t xml:space="preserve"> </w:t>
      </w:r>
      <w:r>
        <w:t xml:space="preserve">Even rare major faults dominate the average.</w:t>
      </w:r>
      <w:r>
        <w:t xml:space="preserve"> </w:t>
      </w:r>
      <w:r>
        <w:rPr>
          <w:bCs/>
          <w:b/>
        </w:rPr>
        <w:t xml:space="preserve">Engineering implication:</w:t>
      </w:r>
      <w:r>
        <w:t xml:space="preserve"> </w:t>
      </w:r>
      <w:r>
        <w:t xml:space="preserve">a latency-sensitive service must keep its working set in RAM. When the working set exceeds RAM and the system swaps heavily (</w:t>
      </w:r>
      <w:r>
        <w:rPr>
          <w:bCs/>
          <w:b/>
        </w:rPr>
        <w:t xml:space="preserve">thrashing</w:t>
      </w:r>
      <w:r>
        <w:t xml:space="preserve">), throughput collapses by orders of magnitude rather than degrading gracefully.</w:t>
      </w:r>
    </w:p>
    <w:bookmarkEnd w:id="608"/>
    <w:bookmarkStart w:id="609" w:name="demand-paging-and-overcommit"/>
    <w:p>
      <w:pPr>
        <w:pStyle w:val="Heading3"/>
      </w:pPr>
      <w:r>
        <w:t xml:space="preserve">6.6.4 Demand paging and overcommit</w:t>
      </w:r>
    </w:p>
    <w:p>
      <w:pPr>
        <w:pStyle w:val="FirstParagraph"/>
      </w:pPr>
      <w:r>
        <w:t xml:space="preserve">Linux allocates physical memory lazily:</w:t>
      </w:r>
      <w:r>
        <w:t xml:space="preserve"> </w:t>
      </w:r>
      <w:r>
        <w:rPr>
          <w:rStyle w:val="VerbatimChar"/>
        </w:rPr>
        <w:t xml:space="preserve">malloc(1 GiB)</w:t>
      </w:r>
      <w:r>
        <w:t xml:space="preserve"> </w:t>
      </w:r>
      <w:r>
        <w:t xml:space="preserve">reserves only virtual addresses, and frames are assigned on first touch. It also</w:t>
      </w:r>
      <w:r>
        <w:t xml:space="preserve"> </w:t>
      </w:r>
      <w:r>
        <w:rPr>
          <w:bCs/>
          <w:b/>
        </w:rPr>
        <w:t xml:space="preserve">overcommits</w:t>
      </w:r>
      <w:r>
        <w:t xml:space="preserve"> </w:t>
      </w:r>
      <w:r>
        <w:t xml:space="preserve">by default, promising more virtual memory than exists. When the bet fails, the</w:t>
      </w:r>
      <w:r>
        <w:t xml:space="preserve"> </w:t>
      </w:r>
      <w:r>
        <w:rPr>
          <w:bCs/>
          <w:b/>
        </w:rPr>
        <w:t xml:space="preserve">OOM killer</w:t>
      </w:r>
      <w:r>
        <w:t xml:space="preserve"> </w:t>
      </w:r>
      <w:r>
        <w:t xml:space="preserve">kills a process, typically the largest, with SIGKILL; a container exceeding its cgroup limit (</w:t>
      </w:r>
      <w:r>
        <w:rPr>
          <w:rStyle w:val="VerbatimChar"/>
        </w:rPr>
        <w:t xml:space="preserve">memory.max</w:t>
      </w:r>
      <w:r>
        <w:t xml:space="preserve">) is killed the same way (§42.3). Watch</w:t>
      </w:r>
      <w:r>
        <w:t xml:space="preserve"> </w:t>
      </w:r>
      <w:r>
        <w:rPr>
          <w:bCs/>
          <w:b/>
        </w:rPr>
        <w:t xml:space="preserve">resident set size</w:t>
      </w:r>
      <w:r>
        <w:t xml:space="preserve"> </w:t>
      </w:r>
      <w:r>
        <w:t xml:space="preserve">(RSS, physical pages in use), not virtual size.</w:t>
      </w:r>
    </w:p>
    <w:bookmarkEnd w:id="609"/>
    <w:bookmarkStart w:id="610" w:name="copy-on-write"/>
    <w:p>
      <w:pPr>
        <w:pStyle w:val="Heading3"/>
      </w:pPr>
      <w:r>
        <w:t xml:space="preserve">6.6.5 Copy-on-write</w:t>
      </w:r>
    </w:p>
    <w:p>
      <w:pPr>
        <w:pStyle w:val="FirstParagraph"/>
      </w:pPr>
      <w:r>
        <w:t xml:space="preserve">When</w:t>
      </w:r>
      <w:r>
        <w:t xml:space="preserve"> </w:t>
      </w:r>
      <w:r>
        <w:rPr>
          <w:rStyle w:val="VerbatimChar"/>
        </w:rPr>
        <w:t xml:space="preserve">fork()</w:t>
      </w:r>
      <w:r>
        <w:t xml:space="preserve"> </w:t>
      </w:r>
      <w:r>
        <w:t xml:space="preserve">creates a child, the kernel shares all the parent’s pages with the child and marks them read-only in both. The first write by either side triggers a fault, and only then is that one page copied. This makes</w:t>
      </w:r>
      <w:r>
        <w:t xml:space="preserve"> </w:t>
      </w:r>
      <w:r>
        <w:rPr>
          <w:rStyle w:val="VerbatimChar"/>
        </w:rPr>
        <w:t xml:space="preserve">fork</w:t>
      </w:r>
      <w:r>
        <w:t xml:space="preserve"> </w:t>
      </w:r>
      <w:r>
        <w:t xml:space="preserve">fast and allows a process to take a consistent</w:t>
      </w:r>
      <w:r>
        <w:t xml:space="preserve"> </w:t>
      </w:r>
      <w:r>
        <w:rPr>
          <w:bCs/>
          <w:b/>
        </w:rPr>
        <w:t xml:space="preserve">snapshot</w:t>
      </w:r>
      <w:r>
        <w:t xml:space="preserve"> </w:t>
      </w:r>
      <w:r>
        <w:t xml:space="preserve">of its memory cheaply.</w:t>
      </w:r>
    </w:p>
    <w:p>
      <w:pPr>
        <w:pStyle w:val="CalloutIndustry"/>
      </w:pPr>
      <w:r>
        <w:rPr>
          <w:bCs/>
          <w:b/>
        </w:rPr>
        <w:t xml:space="preserve">INDUSTRY EXAMPLE</w:t>
      </w:r>
    </w:p>
    <w:p>
      <w:pPr>
        <w:pStyle w:val="CalloutIndustry"/>
      </w:pPr>
      <w:r>
        <w:rPr>
          <w:bCs/>
          <w:b/>
        </w:rPr>
        <w:t xml:space="preserve">Redis background snapshots.</w:t>
      </w:r>
      <w:r>
        <w:t xml:space="preserve"> </w:t>
      </w:r>
      <w:r>
        <w:t xml:space="preserve">Redis calls</w:t>
      </w:r>
      <w:r>
        <w:t xml:space="preserve"> </w:t>
      </w:r>
      <w:r>
        <w:rPr>
          <w:rStyle w:val="VerbatimChar"/>
        </w:rPr>
        <w:t xml:space="preserve">fork()</w:t>
      </w:r>
      <w:r>
        <w:t xml:space="preserve"> </w:t>
      </w:r>
      <w:r>
        <w:t xml:space="preserve">to snapshot; the child writes its frozen copy-on-write view to disk while the parent keeps serving writes. Overhead is proportional to pages modified meanwhile, up to twice the dataset for write-heavy instances. Redis recommends disabling</w:t>
      </w:r>
      <w:r>
        <w:t xml:space="preserve"> </w:t>
      </w:r>
      <w:r>
        <w:rPr>
          <w:bCs/>
          <w:b/>
        </w:rPr>
        <w:t xml:space="preserve">Transparent Huge Pages</w:t>
      </w:r>
      <w:r>
        <w:t xml:space="preserve">, because then one small write copies a 2 MiB page instead of 4 KiB, causing latency spikes.</w:t>
      </w:r>
      <w:r>
        <w:t xml:space="preserve"> </w:t>
      </w:r>
      <w:r>
        <w:rPr>
          <w:iCs/>
          <w:i/>
        </w:rPr>
        <w:t xml:space="preserve">Evidence: Primary</w:t>
      </w:r>
      <w:r>
        <w:t xml:space="preserve"> </w:t>
      </w:r>
      <w:r>
        <w:t xml:space="preserve">— [Redis Docs: Persistence]; [Redis Docs: Latency diagnosis]</w:t>
      </w:r>
    </w:p>
    <w:bookmarkEnd w:id="610"/>
    <w:bookmarkStart w:id="611" w:name="the-page-cache-and-mmap"/>
    <w:p>
      <w:pPr>
        <w:pStyle w:val="Heading3"/>
      </w:pPr>
      <w:r>
        <w:t xml:space="preserve">6.6.6 The page cache and mmap</w:t>
      </w:r>
    </w:p>
    <w:p>
      <w:pPr>
        <w:pStyle w:val="CalloutDefinition"/>
      </w:pPr>
      <w:r>
        <w:rPr>
          <w:bCs/>
          <w:b/>
        </w:rPr>
        <w:t xml:space="preserve">DEFINITION</w:t>
      </w:r>
    </w:p>
    <w:p>
      <w:pPr>
        <w:pStyle w:val="CalloutDefinition"/>
      </w:pPr>
      <w:r>
        <w:rPr>
          <w:bCs/>
          <w:b/>
        </w:rPr>
        <w:t xml:space="preserve">Definition — Page cache.</w:t>
      </w:r>
      <w:r>
        <w:t xml:space="preserve"> </w:t>
      </w:r>
      <w:r>
        <w:t xml:space="preserve">The kernel’s in-RAM cache of file contents, organized in pages. Reads are served from it when possible; writes normally modify pages in it (marking them</w:t>
      </w:r>
      <w:r>
        <w:t xml:space="preserve"> </w:t>
      </w:r>
      <w:r>
        <w:rPr>
          <w:bCs/>
          <w:b/>
        </w:rPr>
        <w:t xml:space="preserve">dirty</w:t>
      </w:r>
      <w:r>
        <w:t xml:space="preserve">) and return immediately, with the kernel writing them back to storage later.</w:t>
      </w:r>
    </w:p>
    <w:p>
      <w:pPr>
        <w:pStyle w:val="BodyText"/>
      </w:pPr>
      <w:r>
        <w:t xml:space="preserve">Linux uses almost all otherwise-free RAM as page cache, so</w:t>
      </w:r>
      <w:r>
        <w:t xml:space="preserve"> </w:t>
      </w:r>
      <w:r>
        <w:rPr>
          <w:rStyle w:val="VerbatimChar"/>
        </w:rPr>
        <w:t xml:space="preserve">free</w:t>
      </w:r>
      <w:r>
        <w:t xml:space="preserve"> </w:t>
      </w:r>
      <w:r>
        <w:t xml:space="preserve">reports little</w:t>
      </w:r>
      <w:r>
        <w:t xml:space="preserve"> </w:t>
      </w:r>
      <w:r>
        <w:t xml:space="preserve">“</w:t>
      </w:r>
      <w:r>
        <w:t xml:space="preserve">free</w:t>
      </w:r>
      <w:r>
        <w:t xml:space="preserve">”</w:t>
      </w:r>
      <w:r>
        <w:t xml:space="preserve"> </w:t>
      </w:r>
      <w:r>
        <w:t xml:space="preserve">memory on a healthy server; watch</w:t>
      </w:r>
      <w:r>
        <w:t xml:space="preserve"> </w:t>
      </w:r>
      <w:r>
        <w:t xml:space="preserve">“</w:t>
      </w:r>
      <w:r>
        <w:t xml:space="preserve">available</w:t>
      </w:r>
      <w:r>
        <w:t xml:space="preserve">”</w:t>
      </w:r>
      <w:r>
        <w:t xml:space="preserve"> </w:t>
      </w:r>
      <w:r>
        <w:t xml:space="preserve">instead. By default dirty pages are written back by kernel threads after they have been dirty for about 30 s, checked every 5 s (</w:t>
      </w:r>
      <w:r>
        <w:rPr>
          <w:rStyle w:val="VerbatimChar"/>
        </w:rPr>
        <w:t xml:space="preserve">vm.dirty_expire_centisecs = 3000</w:t>
      </w:r>
      <w:r>
        <w:t xml:space="preserve">,</w:t>
      </w:r>
      <w:r>
        <w:t xml:space="preserve"> </w:t>
      </w:r>
      <w:r>
        <w:rPr>
          <w:rStyle w:val="VerbatimChar"/>
        </w:rPr>
        <w:t xml:space="preserve">vm.dirty_writeback_centisecs = 500</w:t>
      </w:r>
      <w:r>
        <w:t xml:space="preserve">, as of Linux 6.x) or sooner under memory pressure. The consequence for durability is in §6.14.</w:t>
      </w:r>
    </w:p>
    <w:p>
      <w:pPr>
        <w:pStyle w:val="BodyText"/>
      </w:pPr>
      <w:r>
        <w:rPr>
          <w:rStyle w:val="VerbatimChar"/>
          <w:bCs/>
          <w:b/>
        </w:rPr>
        <w:t xml:space="preserve">mmap</w:t>
      </w:r>
      <w:r>
        <w:t xml:space="preserve"> </w:t>
      </w:r>
      <w:r>
        <w:t xml:space="preserve">maps a file directly into a process’s address space: reading the memory reads the file through the page cache, with no</w:t>
      </w:r>
      <w:r>
        <w:t xml:space="preserve"> </w:t>
      </w:r>
      <w:r>
        <w:rPr>
          <w:rStyle w:val="VerbatimChar"/>
        </w:rPr>
        <w:t xml:space="preserve">read()</w:t>
      </w:r>
      <w:r>
        <w:t xml:space="preserve"> </w:t>
      </w:r>
      <w:r>
        <w:t xml:space="preserve">system call and no copy into a user buffer. It is elegant for read-mostly data (shared libraries are loaded this way), but it hides I/O inside ordinary memory accesses: any pointer dereference may block on a major fault, I/O errors arrive as a</w:t>
      </w:r>
      <w:r>
        <w:t xml:space="preserve"> </w:t>
      </w:r>
      <w:r>
        <w:rPr>
          <w:rStyle w:val="VerbatimChar"/>
        </w:rPr>
        <w:t xml:space="preserve">SIGBUS</w:t>
      </w:r>
      <w:r>
        <w:t xml:space="preserve"> </w:t>
      </w:r>
      <w:r>
        <w:t xml:space="preserve">signal instead of an error code, and the kernel, not the application, decides what to evict. Crotty, Leis and Pavlo argue that for these reasons database systems should usually manage their own buffer pool instead of relying on</w:t>
      </w:r>
      <w:r>
        <w:t xml:space="preserve"> </w:t>
      </w:r>
      <w:r>
        <w:rPr>
          <w:rStyle w:val="VerbatimChar"/>
        </w:rPr>
        <w:t xml:space="preserve">mmap</w:t>
      </w:r>
      <w:r>
        <w:t xml:space="preserve"> </w:t>
      </w:r>
      <w:r>
        <w:t xml:space="preserve">[Crotty et al. 2022] (see §13.4).</w:t>
      </w:r>
    </w:p>
    <w:p>
      <w:pPr>
        <w:pStyle w:val="CalloutIndustry"/>
      </w:pPr>
      <w:r>
        <w:rPr>
          <w:bCs/>
          <w:b/>
        </w:rPr>
        <w:t xml:space="preserve">INDUSTRY EXAMPLE</w:t>
      </w:r>
    </w:p>
    <w:p>
      <w:pPr>
        <w:pStyle w:val="CalloutIndustry"/>
      </w:pPr>
      <w:r>
        <w:rPr>
          <w:bCs/>
          <w:b/>
        </w:rPr>
        <w:t xml:space="preserve">Apache Kafka relies on the page cache.</w:t>
      </w:r>
      <w:r>
        <w:t xml:space="preserve"> </w:t>
      </w:r>
      <w:r>
        <w:t xml:space="preserve">Kafka brokers append to log files and let the OS page cache hold recent data instead of caching messages in the JVM, avoiding double caching, surviving process restarts and keeping heaps small. Consumers of recent data are served from the page cache via</w:t>
      </w:r>
      <w:r>
        <w:t xml:space="preserve"> </w:t>
      </w:r>
      <w:r>
        <w:rPr>
          <w:rStyle w:val="VerbatimChar"/>
        </w:rPr>
        <w:t xml:space="preserve">sendfile</w:t>
      </w:r>
      <w:r>
        <w:t xml:space="preserve">, without copying through user space (§31.13).</w:t>
      </w:r>
      <w:r>
        <w:t xml:space="preserve"> </w:t>
      </w:r>
      <w:r>
        <w:rPr>
          <w:iCs/>
          <w:i/>
        </w:rPr>
        <w:t xml:space="preserve">Evidence: Primary</w:t>
      </w:r>
      <w:r>
        <w:t xml:space="preserve"> </w:t>
      </w:r>
      <w:r>
        <w:t xml:space="preserve">— [Apache Kafka Docs: Design, Persistence]</w:t>
      </w:r>
    </w:p>
    <w:bookmarkEnd w:id="611"/>
    <w:bookmarkStart w:id="613" w:name="swapping"/>
    <w:p>
      <w:pPr>
        <w:pStyle w:val="Heading3"/>
      </w:pPr>
      <w:r>
        <w:t xml:space="preserve">6.6.7 Swapping</w:t>
      </w:r>
    </w:p>
    <w:p>
      <w:pPr>
        <w:pStyle w:val="FirstParagraph"/>
      </w:pPr>
      <w:r>
        <w:rPr>
          <w:bCs/>
          <w:b/>
        </w:rPr>
        <w:t xml:space="preserve">Swapping</w:t>
      </w:r>
      <w:r>
        <w:t xml:space="preserve"> </w:t>
      </w:r>
      <w:r>
        <w:t xml:space="preserve">moves rarely used</w:t>
      </w:r>
      <w:r>
        <w:t xml:space="preserve"> </w:t>
      </w:r>
      <w:r>
        <w:rPr>
          <w:bCs/>
          <w:b/>
        </w:rPr>
        <w:t xml:space="preserve">anonymous</w:t>
      </w:r>
      <w:r>
        <w:t xml:space="preserve"> </w:t>
      </w:r>
      <w:r>
        <w:t xml:space="preserve">pages (heap and stack, with no file behind them) to disk so their frames can be reused; clean file-backed pages are simply dropped and re-read later. Modest swap moves idle memory out of the way; swapping a working set is thrashing. Many latency-sensitive deployments disable swap or set</w:t>
      </w:r>
      <w:r>
        <w:t xml:space="preserve"> </w:t>
      </w:r>
      <w:r>
        <w:rPr>
          <w:rStyle w:val="VerbatimChar"/>
        </w:rPr>
        <w:t xml:space="preserve">vm.swappiness</w:t>
      </w:r>
      <w:r>
        <w:t xml:space="preserve"> </w:t>
      </w:r>
      <w:r>
        <w:t xml:space="preserve">low.</w:t>
      </w:r>
    </w:p>
    <w:bookmarkStart w:id="612" w:name="failure-scenarios-14"/>
    <w:p>
      <w:pPr>
        <w:pStyle w:val="Heading4"/>
      </w:pPr>
      <w:r>
        <w:t xml:space="preserve">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Process killed with exit code 137, no error log</w:t>
            </w:r>
          </w:p>
        </w:tc>
        <w:tc>
          <w:tcPr/>
          <w:p>
            <w:pPr>
              <w:pStyle w:val="Compact"/>
              <w:jc w:val="left"/>
            </w:pPr>
            <w:r>
              <w:t xml:space="preserve">OOM killer or cgroup limit sent SIGKILL</w:t>
            </w:r>
          </w:p>
        </w:tc>
        <w:tc>
          <w:tcPr/>
          <w:p>
            <w:pPr>
              <w:pStyle w:val="Compact"/>
              <w:jc w:val="left"/>
            </w:pPr>
            <w:r>
              <w:rPr>
                <w:rStyle w:val="VerbatimChar"/>
              </w:rPr>
              <w:t xml:space="preserve">dmesg</w:t>
            </w:r>
            <w:r>
              <w:t xml:space="preserve"> </w:t>
            </w:r>
            <w:r>
              <w:t xml:space="preserve">“</w:t>
            </w:r>
            <w:r>
              <w:t xml:space="preserve">Out of memory: Killed process</w:t>
            </w:r>
            <w:r>
              <w:t xml:space="preserve">”</w:t>
            </w:r>
            <w:r>
              <w:t xml:space="preserve">; container</w:t>
            </w:r>
            <w:r>
              <w:t xml:space="preserve"> </w:t>
            </w:r>
            <w:r>
              <w:rPr>
                <w:rStyle w:val="VerbatimChar"/>
              </w:rPr>
              <w:t xml:space="preserve">OOMKilled</w:t>
            </w:r>
            <w:r>
              <w:t xml:space="preserve"> </w:t>
            </w:r>
            <w:r>
              <w:t xml:space="preserve">status</w:t>
            </w:r>
          </w:p>
        </w:tc>
        <w:tc>
          <w:tcPr/>
          <w:p>
            <w:pPr>
              <w:pStyle w:val="Compact"/>
              <w:jc w:val="left"/>
            </w:pPr>
            <w:r>
              <w:t xml:space="preserve">Restart with more memory</w:t>
            </w:r>
          </w:p>
        </w:tc>
        <w:tc>
          <w:tcPr/>
          <w:p>
            <w:pPr>
              <w:pStyle w:val="Compact"/>
              <w:jc w:val="left"/>
            </w:pPr>
            <w:r>
              <w:t xml:space="preserve">Set memory limits above peak RSS; bound caches and queues</w:t>
            </w:r>
          </w:p>
        </w:tc>
      </w:tr>
      <w:tr>
        <w:tc>
          <w:tcPr/>
          <w:p>
            <w:pPr>
              <w:pStyle w:val="Compact"/>
              <w:jc w:val="left"/>
            </w:pPr>
            <w:r>
              <w:t xml:space="preserve">Latency rises 100× under load</w:t>
            </w:r>
          </w:p>
        </w:tc>
        <w:tc>
          <w:tcPr/>
          <w:p>
            <w:pPr>
              <w:pStyle w:val="Compact"/>
              <w:jc w:val="left"/>
            </w:pPr>
            <w:r>
              <w:t xml:space="preserve">Working set exceeds RAM; major faults or swap thrashing</w:t>
            </w:r>
          </w:p>
        </w:tc>
        <w:tc>
          <w:tcPr/>
          <w:p>
            <w:pPr>
              <w:pStyle w:val="Compact"/>
              <w:jc w:val="left"/>
            </w:pPr>
            <w:r>
              <w:rPr>
                <w:rStyle w:val="VerbatimChar"/>
              </w:rPr>
              <w:t xml:space="preserve">vmstat</w:t>
            </w:r>
            <w:r>
              <w:t xml:space="preserve"> </w:t>
            </w:r>
            <w:r>
              <w:rPr>
                <w:rStyle w:val="VerbatimChar"/>
              </w:rPr>
              <w:t xml:space="preserve">si</w:t>
            </w:r>
            <w:r>
              <w:t xml:space="preserve">/</w:t>
            </w:r>
            <w:r>
              <w:rPr>
                <w:rStyle w:val="VerbatimChar"/>
              </w:rPr>
              <w:t xml:space="preserve">so</w:t>
            </w:r>
            <w:r>
              <w:t xml:space="preserve"> </w:t>
            </w:r>
            <w:r>
              <w:t xml:space="preserve">columns; major-fault counters (</w:t>
            </w:r>
            <w:r>
              <w:rPr>
                <w:rStyle w:val="VerbatimChar"/>
              </w:rPr>
              <w:t xml:space="preserve">sar -B</w:t>
            </w:r>
            <w:r>
              <w:t xml:space="preserve">)</w:t>
            </w:r>
          </w:p>
        </w:tc>
        <w:tc>
          <w:tcPr/>
          <w:p>
            <w:pPr>
              <w:pStyle w:val="Compact"/>
              <w:jc w:val="left"/>
            </w:pPr>
            <w:r>
              <w:t xml:space="preserve">Add RAM or shed load</w:t>
            </w:r>
          </w:p>
        </w:tc>
        <w:tc>
          <w:tcPr/>
          <w:p>
            <w:pPr>
              <w:pStyle w:val="Compact"/>
              <w:jc w:val="left"/>
            </w:pPr>
            <w:r>
              <w:t xml:space="preserve">Capacity plan working set; avoid swap for latency tiers</w:t>
            </w:r>
          </w:p>
        </w:tc>
      </w:tr>
      <w:tr>
        <w:tc>
          <w:tcPr/>
          <w:p>
            <w:pPr>
              <w:pStyle w:val="Compact"/>
              <w:jc w:val="left"/>
            </w:pPr>
            <w:r>
              <w:t xml:space="preserve">“</w:t>
            </w:r>
            <w:r>
              <w:t xml:space="preserve">Free memory is 1 %</w:t>
            </w:r>
            <w:r>
              <w:t xml:space="preserve">”</w:t>
            </w:r>
            <w:r>
              <w:t xml:space="preserve"> </w:t>
            </w:r>
            <w:r>
              <w:t xml:space="preserve">alert fires constantly</w:t>
            </w:r>
          </w:p>
        </w:tc>
        <w:tc>
          <w:tcPr/>
          <w:p>
            <w:pPr>
              <w:pStyle w:val="Compact"/>
              <w:jc w:val="left"/>
            </w:pPr>
            <w:r>
              <w:t xml:space="preserve">Page cache is counted as used</w:t>
            </w:r>
          </w:p>
        </w:tc>
        <w:tc>
          <w:tcPr/>
          <w:p>
            <w:pPr>
              <w:pStyle w:val="Compact"/>
              <w:jc w:val="left"/>
            </w:pPr>
            <w:r>
              <w:t xml:space="preserve">Compare with</w:t>
            </w:r>
            <w:r>
              <w:t xml:space="preserve"> </w:t>
            </w:r>
            <w:r>
              <w:t xml:space="preserve">“</w:t>
            </w:r>
            <w:r>
              <w:t xml:space="preserve">available</w:t>
            </w:r>
            <w:r>
              <w:t xml:space="preserve">”</w:t>
            </w:r>
          </w:p>
        </w:tc>
        <w:tc>
          <w:tcPr/>
          <w:p>
            <w:pPr>
              <w:pStyle w:val="Compact"/>
              <w:jc w:val="left"/>
            </w:pPr>
            <w:r>
              <w:t xml:space="preserve">None needed</w:t>
            </w:r>
          </w:p>
        </w:tc>
        <w:tc>
          <w:tcPr/>
          <w:p>
            <w:pPr>
              <w:pStyle w:val="Compact"/>
              <w:jc w:val="left"/>
            </w:pPr>
            <w:r>
              <w:t xml:space="preserve">Alert on available memory and major faults instead</w:t>
            </w:r>
          </w:p>
        </w:tc>
      </w:tr>
    </w:tbl>
    <w:bookmarkEnd w:id="612"/>
    <w:bookmarkEnd w:id="613"/>
    <w:bookmarkEnd w:id="614"/>
    <w:bookmarkStart w:id="621" w:name="system-calls-and-the-kerneluser-boundary"/>
    <w:p>
      <w:pPr>
        <w:pStyle w:val="Heading2"/>
      </w:pPr>
      <w:r>
        <w:t xml:space="preserve">6.7 System calls and the kernel/user boundary</w:t>
      </w:r>
    </w:p>
    <w:p>
      <w:pPr>
        <w:pStyle w:val="CalloutDefinition"/>
      </w:pPr>
      <w:r>
        <w:rPr>
          <w:bCs/>
          <w:b/>
        </w:rPr>
        <w:t xml:space="preserve">DEFINITION</w:t>
      </w:r>
    </w:p>
    <w:p>
      <w:pPr>
        <w:pStyle w:val="CalloutDefinition"/>
      </w:pPr>
      <w:r>
        <w:rPr>
          <w:bCs/>
          <w:b/>
        </w:rPr>
        <w:t xml:space="preserve">Definition — System call (syscall).</w:t>
      </w:r>
      <w:r>
        <w:t xml:space="preserve"> </w:t>
      </w:r>
      <w:r>
        <w:t xml:space="preserve">A controlled entry from user mode into the kernel to request a privileged service, such as reading a file, sending on a socket, allocating memory or creating a process. Linux x86-64 has a few hundred system calls, each identified by a number [Linux man-pages: syscalls(2)].</w:t>
      </w:r>
    </w:p>
    <w:bookmarkStart w:id="615" w:name="first-principles-explanation-39"/>
    <w:p>
      <w:pPr>
        <w:pStyle w:val="Heading3"/>
      </w:pPr>
      <w:r>
        <w:t xml:space="preserve">First-principles explanation</w:t>
      </w:r>
    </w:p>
    <w:p>
      <w:pPr>
        <w:pStyle w:val="FirstParagraph"/>
      </w:pPr>
      <w:r>
        <w:t xml:space="preserve">A bank customer cannot walk into the vault; they hand a slip through one narrow window where every request is checked. A system call is that window, and library functions such as</w:t>
      </w:r>
      <w:r>
        <w:t xml:space="preserve"> </w:t>
      </w:r>
      <w:r>
        <w:rPr>
          <w:rStyle w:val="VerbatimChar"/>
        </w:rPr>
        <w:t xml:space="preserve">printf</w:t>
      </w:r>
      <w:r>
        <w:t xml:space="preserve"> </w:t>
      </w:r>
      <w:r>
        <w:t xml:space="preserve">or Python’s</w:t>
      </w:r>
      <w:r>
        <w:t xml:space="preserve"> </w:t>
      </w:r>
      <w:r>
        <w:rPr>
          <w:rStyle w:val="VerbatimChar"/>
        </w:rPr>
        <w:t xml:space="preserve">open()</w:t>
      </w:r>
      <w:r>
        <w:t xml:space="preserve"> </w:t>
      </w:r>
      <w:r>
        <w:t xml:space="preserve">are wrappers that fill in the slip.</w:t>
      </w:r>
    </w:p>
    <w:bookmarkEnd w:id="615"/>
    <w:bookmarkStart w:id="619" w:name="how-it-works-internally-20"/>
    <w:p>
      <w:pPr>
        <w:pStyle w:val="Heading3"/>
      </w:pPr>
      <w:r>
        <w:t xml:space="preserve">How it works internally</w:t>
      </w:r>
    </w:p>
    <w:p>
      <w:pPr>
        <w:pStyle w:val="FirstParagraph"/>
      </w:pPr>
      <w:r>
        <w:rPr>
          <w:bCs/>
          <w:b/>
        </w:rPr>
        <w:t xml:space="preserve">Figure 6.6 — A</w:t>
      </w:r>
      <w:r>
        <w:rPr>
          <w:bCs/>
          <w:b/>
        </w:rPr>
        <w:t xml:space="preserve"> </w:t>
      </w:r>
      <w:r>
        <w:rPr>
          <w:rStyle w:val="VerbatimChar"/>
          <w:bCs/>
          <w:b/>
        </w:rPr>
        <w:t xml:space="preserve">read()</w:t>
      </w:r>
      <w:r>
        <w:rPr>
          <w:bCs/>
          <w:b/>
        </w:rPr>
        <w:t xml:space="preserve"> </w:t>
      </w:r>
      <w:r>
        <w:rPr>
          <w:bCs/>
          <w:b/>
        </w:rPr>
        <w:t xml:space="preserve">system call that must wait for the disk.</w:t>
      </w:r>
    </w:p>
    <w:p>
      <w:pPr>
        <w:pStyle w:val="BodyText"/>
      </w:pPr>
      <w:r>
        <w:drawing>
          <wp:inline>
            <wp:extent cx="5334000" cy="2558518"/>
            <wp:effectExtent b="0" l="0" r="0" t="0"/>
            <wp:docPr descr="" title="" id="617" name="Picture"/>
            <a:graphic>
              <a:graphicData uri="http://schemas.openxmlformats.org/drawingml/2006/picture">
                <pic:pic>
                  <pic:nvPicPr>
                    <pic:cNvPr descr="/home/user/System-Design/build/.cache/diagrams/baa904624ff3.png" id="618" name="Picture"/>
                    <pic:cNvPicPr>
                      <a:picLocks noChangeArrowheads="1" noChangeAspect="1"/>
                    </pic:cNvPicPr>
                  </pic:nvPicPr>
                  <pic:blipFill>
                    <a:blip r:embed="rId616"/>
                    <a:stretch>
                      <a:fillRect/>
                    </a:stretch>
                  </pic:blipFill>
                  <pic:spPr bwMode="auto">
                    <a:xfrm>
                      <a:off x="0" y="0"/>
                      <a:ext cx="5334000" cy="2558518"/>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library wrapper puts the system-call number and arguments in registers and executes the</w:t>
      </w:r>
      <w:r>
        <w:t xml:space="preserve"> </w:t>
      </w:r>
      <w:r>
        <w:rPr>
          <w:rStyle w:val="VerbatimChar"/>
        </w:rPr>
        <w:t xml:space="preserve">syscall</w:t>
      </w:r>
      <w:r>
        <w:t xml:space="preserve"> </w:t>
      </w:r>
      <w:r>
        <w:t xml:space="preserve">instruction, entering the kernel at a fixed entry point, the only way in. The kernel</w:t>
      </w:r>
      <w:r>
        <w:t xml:space="preserve"> </w:t>
      </w:r>
      <w:r>
        <w:rPr>
          <w:iCs/>
          <w:i/>
        </w:rPr>
        <w:t xml:space="preserve">validates</w:t>
      </w:r>
      <w:r>
        <w:t xml:space="preserve"> </w:t>
      </w:r>
      <w:r>
        <w:t xml:space="preserve">everything, since user code can pass any value: is the descriptor open, does the buffer lie in the caller’s memory? On a page-cache hit (§6.6.6) it copies the data and returns within about a microsecond. On a miss it submits a request across the storage boundary and the thread</w:t>
      </w:r>
      <w:r>
        <w:t xml:space="preserve"> </w:t>
      </w:r>
      <w:r>
        <w:rPr>
          <w:bCs/>
          <w:b/>
        </w:rPr>
        <w:t xml:space="preserve">blocks</w:t>
      </w:r>
      <w:r>
        <w:t xml:space="preserve"> </w:t>
      </w:r>
      <w:r>
        <w:t xml:space="preserve">(a voluntary context switch). The dotted arrow is the device’s asynchronous completion interrupt; the thread becomes Ready, runs again, and the kernel copies the data out and returns. Failure points: bad arguments return</w:t>
      </w:r>
      <w:r>
        <w:t xml:space="preserve"> </w:t>
      </w:r>
      <w:r>
        <w:rPr>
          <w:rStyle w:val="VerbatimChar"/>
        </w:rPr>
        <w:t xml:space="preserve">EBADF</w:t>
      </w:r>
      <w:r>
        <w:t xml:space="preserve"> </w:t>
      </w:r>
      <w:r>
        <w:t xml:space="preserve">or</w:t>
      </w:r>
      <w:r>
        <w:t xml:space="preserve"> </w:t>
      </w:r>
      <w:r>
        <w:rPr>
          <w:rStyle w:val="VerbatimChar"/>
        </w:rPr>
        <w:t xml:space="preserve">EFAULT</w:t>
      </w:r>
      <w:r>
        <w:t xml:space="preserve">, device errors</w:t>
      </w:r>
      <w:r>
        <w:t xml:space="preserve"> </w:t>
      </w:r>
      <w:r>
        <w:rPr>
          <w:rStyle w:val="VerbatimChar"/>
        </w:rPr>
        <w:t xml:space="preserve">EIO</w:t>
      </w:r>
      <w:r>
        <w:t xml:space="preserve">, and a signal can interrupt a slow call with</w:t>
      </w:r>
      <w:r>
        <w:t xml:space="preserve"> </w:t>
      </w:r>
      <w:r>
        <w:rPr>
          <w:rStyle w:val="VerbatimChar"/>
        </w:rPr>
        <w:t xml:space="preserve">EINTR</w:t>
      </w:r>
      <w:r>
        <w:t xml:space="preserve">, which callers must retry.</w:t>
      </w:r>
    </w:p>
    <w:bookmarkEnd w:id="619"/>
    <w:bookmarkStart w:id="620" w:name="what-it-costs"/>
    <w:p>
      <w:pPr>
        <w:pStyle w:val="Heading3"/>
      </w:pPr>
      <w:r>
        <w:t xml:space="preserve">What it costs</w:t>
      </w:r>
    </w:p>
    <w:p>
      <w:pPr>
        <w:pStyle w:val="FirstParagraph"/>
      </w:pPr>
      <w:r>
        <w:t xml:space="preserve">A trivial system call costs on the order of</w:t>
      </w:r>
      <w:r>
        <w:t xml:space="preserve"> </w:t>
      </w:r>
      <w:r>
        <w:rPr>
          <w:bCs/>
          <w:b/>
        </w:rPr>
        <w:t xml:space="preserve">100 ns to a few hundred ns</w:t>
      </w:r>
      <w:r>
        <w:t xml:space="preserve"> </w:t>
      </w:r>
      <w:r>
        <w:t xml:space="preserve">on modern x86-64 Linux, against about 1–5 ns for a function call (as of the 2020s). The cost rose in 2018 when</w:t>
      </w:r>
      <w:r>
        <w:t xml:space="preserve"> </w:t>
      </w:r>
      <w:r>
        <w:rPr>
          <w:bCs/>
          <w:b/>
        </w:rPr>
        <w:t xml:space="preserve">kernel page-table isolation (KPTI)</w:t>
      </w:r>
      <w:r>
        <w:t xml:space="preserve">, the Meltdown mitigation, began switching page tables on every kernel entry on affected CPUs. A rough Python measurement on this chapter’s test VM found</w:t>
      </w:r>
      <w:r>
        <w:t xml:space="preserve"> </w:t>
      </w:r>
      <w:r>
        <w:rPr>
          <w:rStyle w:val="VerbatimChar"/>
        </w:rPr>
        <w:t xml:space="preserve">os.getppid()</w:t>
      </w:r>
      <w:r>
        <w:t xml:space="preserve"> </w:t>
      </w:r>
      <w:r>
        <w:t xml:space="preserve">at about 190 ns per call against about 50 ns for a built-in function call.</w:t>
      </w:r>
    </w:p>
    <w:p>
      <w:pPr>
        <w:pStyle w:val="BodyText"/>
      </w:pPr>
      <w:r>
        <w:t xml:space="preserve">Three techniques reduce syscall cost:</w:t>
      </w:r>
    </w:p>
    <w:p>
      <w:pPr>
        <w:numPr>
          <w:ilvl w:val="0"/>
          <w:numId w:val="1181"/>
        </w:numPr>
        <w:pStyle w:val="Compact"/>
      </w:pPr>
      <w:r>
        <w:rPr>
          <w:bCs/>
          <w:b/>
        </w:rPr>
        <w:t xml:space="preserve">Batching</w:t>
      </w:r>
      <w:r>
        <w:t xml:space="preserve"> </w:t>
      </w:r>
      <w:r>
        <w:t xml:space="preserve">— do more per call:</w:t>
      </w:r>
      <w:r>
        <w:t xml:space="preserve"> </w:t>
      </w:r>
      <w:r>
        <w:rPr>
          <w:rStyle w:val="VerbatimChar"/>
        </w:rPr>
        <w:t xml:space="preserve">readv</w:t>
      </w:r>
      <w:r>
        <w:t xml:space="preserve">/</w:t>
      </w:r>
      <w:r>
        <w:rPr>
          <w:rStyle w:val="VerbatimChar"/>
        </w:rPr>
        <w:t xml:space="preserve">writev</w:t>
      </w:r>
      <w:r>
        <w:t xml:space="preserve"> </w:t>
      </w:r>
      <w:r>
        <w:t xml:space="preserve">for scatter/gather I/O,</w:t>
      </w:r>
      <w:r>
        <w:t xml:space="preserve"> </w:t>
      </w:r>
      <w:r>
        <w:rPr>
          <w:rStyle w:val="VerbatimChar"/>
        </w:rPr>
        <w:t xml:space="preserve">sendmmsg</w:t>
      </w:r>
      <w:r>
        <w:t xml:space="preserve"> </w:t>
      </w:r>
      <w:r>
        <w:t xml:space="preserve">for many UDP datagrams, larger buffers.</w:t>
      </w:r>
    </w:p>
    <w:p>
      <w:pPr>
        <w:numPr>
          <w:ilvl w:val="0"/>
          <w:numId w:val="1181"/>
        </w:numPr>
        <w:pStyle w:val="Compact"/>
      </w:pPr>
      <w:r>
        <w:rPr>
          <w:bCs/>
          <w:b/>
        </w:rPr>
        <w:t xml:space="preserve">vDSO (virtual dynamic shared object)</w:t>
      </w:r>
      <w:r>
        <w:t xml:space="preserve"> </w:t>
      </w:r>
      <w:r>
        <w:t xml:space="preserve">— the kernel maps a small read-only library into every process so that some calls, notably</w:t>
      </w:r>
      <w:r>
        <w:t xml:space="preserve"> </w:t>
      </w:r>
      <w:r>
        <w:rPr>
          <w:rStyle w:val="VerbatimChar"/>
        </w:rPr>
        <w:t xml:space="preserve">clock_gettime</w:t>
      </w:r>
      <w:r>
        <w:t xml:space="preserve"> </w:t>
      </w:r>
      <w:r>
        <w:t xml:space="preserve">and</w:t>
      </w:r>
      <w:r>
        <w:t xml:space="preserve"> </w:t>
      </w:r>
      <w:r>
        <w:rPr>
          <w:rStyle w:val="VerbatimChar"/>
        </w:rPr>
        <w:t xml:space="preserve">gettimeofday</w:t>
      </w:r>
      <w:r>
        <w:t xml:space="preserve">, run entirely in user mode by reading kernel-maintained data.</w:t>
      </w:r>
    </w:p>
    <w:p>
      <w:pPr>
        <w:numPr>
          <w:ilvl w:val="0"/>
          <w:numId w:val="1181"/>
        </w:numPr>
        <w:pStyle w:val="Compact"/>
      </w:pPr>
      <w:r>
        <w:rPr>
          <w:bCs/>
          <w:b/>
        </w:rPr>
        <w:t xml:space="preserve">Shared-memory rings</w:t>
      </w:r>
      <w:r>
        <w:t xml:space="preserve"> </w:t>
      </w:r>
      <w:r>
        <w:t xml:space="preserve">—</w:t>
      </w:r>
      <w:r>
        <w:t xml:space="preserve"> </w:t>
      </w:r>
      <w:r>
        <w:rPr>
          <w:rStyle w:val="VerbatimChar"/>
        </w:rPr>
        <w:t xml:space="preserve">io_uring</w:t>
      </w:r>
      <w:r>
        <w:t xml:space="preserve"> </w:t>
      </w:r>
      <w:r>
        <w:t xml:space="preserve">(§6.13.5) lets the application queue many I/O requests in memory shared with the kernel, submitting them with one system call or, in polled mode, none.</w:t>
      </w:r>
    </w:p>
    <w:p>
      <w:pPr>
        <w:pStyle w:val="FirstParagraph"/>
      </w:pPr>
      <w:r>
        <w:t xml:space="preserve">To observe system calls,</w:t>
      </w:r>
      <w:r>
        <w:t xml:space="preserve"> </w:t>
      </w:r>
      <w:r>
        <w:rPr>
          <w:rStyle w:val="VerbatimChar"/>
        </w:rPr>
        <w:t xml:space="preserve">strace -c -p &lt;pid&gt;</w:t>
      </w:r>
      <w:r>
        <w:t xml:space="preserve"> </w:t>
      </w:r>
      <w:r>
        <w:t xml:space="preserve">counts and times them (with heavy overhead);</w:t>
      </w:r>
      <w:r>
        <w:t xml:space="preserve"> </w:t>
      </w:r>
      <w:r>
        <w:rPr>
          <w:rStyle w:val="VerbatimChar"/>
        </w:rPr>
        <w:t xml:space="preserve">perf trace</w:t>
      </w:r>
      <w:r>
        <w:t xml:space="preserve"> </w:t>
      </w:r>
      <w:r>
        <w:t xml:space="preserve">and eBPF tools such as</w:t>
      </w:r>
      <w:r>
        <w:t xml:space="preserve"> </w:t>
      </w:r>
      <w:r>
        <w:rPr>
          <w:rStyle w:val="VerbatimChar"/>
        </w:rPr>
        <w:t xml:space="preserve">syscount</w:t>
      </w:r>
      <w:r>
        <w:t xml:space="preserve"> </w:t>
      </w:r>
      <w:r>
        <w:t xml:space="preserve">are cheaper [Gregg 2020].</w:t>
      </w:r>
    </w:p>
    <w:p>
      <w:pPr>
        <w:pStyle w:val="CalloutMistake"/>
      </w:pPr>
      <w:r>
        <w:rPr>
          <w:bCs/>
          <w:b/>
        </w:rPr>
        <w:t xml:space="preserve">COMMON MISTAKE</w:t>
      </w:r>
    </w:p>
    <w:p>
      <w:pPr>
        <w:pStyle w:val="CalloutMistake"/>
      </w:pPr>
      <w:r>
        <w:rPr>
          <w:bCs/>
          <w:b/>
        </w:rPr>
        <w:t xml:space="preserve">“</w:t>
      </w:r>
      <w:r>
        <w:rPr>
          <w:bCs/>
          <w:b/>
        </w:rPr>
        <w:t xml:space="preserve">Calling</w:t>
      </w:r>
      <w:r>
        <w:rPr>
          <w:bCs/>
          <w:b/>
        </w:rPr>
        <w:t xml:space="preserve"> </w:t>
      </w:r>
      <w:r>
        <w:rPr>
          <w:rStyle w:val="VerbatimChar"/>
          <w:bCs/>
          <w:b/>
        </w:rPr>
        <w:t xml:space="preserve">write()</w:t>
      </w:r>
      <w:r>
        <w:rPr>
          <w:bCs/>
          <w:b/>
        </w:rPr>
        <w:t xml:space="preserve"> </w:t>
      </w:r>
      <w:r>
        <w:rPr>
          <w:bCs/>
          <w:b/>
        </w:rPr>
        <w:t xml:space="preserve">means my data is on disk.</w:t>
      </w:r>
      <w:r>
        <w:rPr>
          <w:bCs/>
          <w:b/>
        </w:rPr>
        <w:t xml:space="preserve">”</w:t>
      </w:r>
      <w:r>
        <w:t xml:space="preserve"> </w:t>
      </w:r>
      <w:r>
        <w:rPr>
          <w:rStyle w:val="VerbatimChar"/>
        </w:rPr>
        <w:t xml:space="preserve">write()</w:t>
      </w:r>
      <w:r>
        <w:t xml:space="preserve"> </w:t>
      </w:r>
      <w:r>
        <w:t xml:space="preserve">returns when the data is in the page cache. It is durable only after a successful</w:t>
      </w:r>
      <w:r>
        <w:t xml:space="preserve"> </w:t>
      </w:r>
      <w:r>
        <w:rPr>
          <w:rStyle w:val="VerbatimChar"/>
        </w:rPr>
        <w:t xml:space="preserve">fsync()</w:t>
      </w:r>
      <w:r>
        <w:t xml:space="preserve"> </w:t>
      </w:r>
      <w:r>
        <w:t xml:space="preserve">(§6.14.3).</w:t>
      </w:r>
    </w:p>
    <w:bookmarkEnd w:id="620"/>
    <w:bookmarkEnd w:id="621"/>
    <w:bookmarkStart w:id="622" w:name="concurrency-versus-parallelism"/>
    <w:p>
      <w:pPr>
        <w:pStyle w:val="Heading2"/>
      </w:pPr>
      <w:r>
        <w:t xml:space="preserve">6.8 Concurrency versus parallelism</w:t>
      </w:r>
    </w:p>
    <w:p>
      <w:pPr>
        <w:pStyle w:val="CalloutDefinition"/>
      </w:pPr>
      <w:r>
        <w:rPr>
          <w:bCs/>
          <w:b/>
        </w:rPr>
        <w:t xml:space="preserve">DEFINITION</w:t>
      </w:r>
    </w:p>
    <w:p>
      <w:pPr>
        <w:pStyle w:val="CalloutDefinition"/>
      </w:pPr>
      <w:r>
        <w:rPr>
          <w:bCs/>
          <w:b/>
        </w:rPr>
        <w:t xml:space="preserve">Definition — Concurrency and parallelism.</w:t>
      </w:r>
      <w:r>
        <w:t xml:space="preserve"> </w:t>
      </w:r>
      <w:r>
        <w:rPr>
          <w:bCs/>
          <w:b/>
        </w:rPr>
        <w:t xml:space="preserve">Concurrency</w:t>
      </w:r>
      <w:r>
        <w:t xml:space="preserve"> </w:t>
      </w:r>
      <w:r>
        <w:t xml:space="preserve">is the</w:t>
      </w:r>
      <w:r>
        <w:t xml:space="preserve"> </w:t>
      </w:r>
      <w:r>
        <w:rPr>
          <w:iCs/>
          <w:i/>
        </w:rPr>
        <w:t xml:space="preserve">structuring</w:t>
      </w:r>
      <w:r>
        <w:t xml:space="preserve"> </w:t>
      </w:r>
      <w:r>
        <w:t xml:space="preserve">of a program as multiple tasks whose lifetimes overlap, so that progress on one does not wait for the others to finish.</w:t>
      </w:r>
      <w:r>
        <w:t xml:space="preserve"> </w:t>
      </w:r>
      <w:r>
        <w:rPr>
          <w:bCs/>
          <w:b/>
        </w:rPr>
        <w:t xml:space="preserve">Parallelism</w:t>
      </w:r>
      <w:r>
        <w:t xml:space="preserve"> </w:t>
      </w:r>
      <w:r>
        <w:t xml:space="preserve">is the</w:t>
      </w:r>
      <w:r>
        <w:t xml:space="preserve"> </w:t>
      </w:r>
      <w:r>
        <w:rPr>
          <w:iCs/>
          <w:i/>
        </w:rPr>
        <w:t xml:space="preserve">simultaneous execution</w:t>
      </w:r>
      <w:r>
        <w:t xml:space="preserve"> </w:t>
      </w:r>
      <w:r>
        <w:t xml:space="preserve">of multiple computations on multiple hardware units (cores, CPUs, GPUs).</w:t>
      </w:r>
    </w:p>
    <w:p>
      <w:pPr>
        <w:pStyle w:val="BodyText"/>
      </w:pPr>
      <w:r>
        <w:t xml:space="preserve">One cook juggling three dishes, stirring one while another simmers, is concurrent but not parallel. Three cooks each making one dish are parallel. Rob Pike’s summary: concurrency is about</w:t>
      </w:r>
      <w:r>
        <w:t xml:space="preserve"> </w:t>
      </w:r>
      <w:r>
        <w:rPr>
          <w:iCs/>
          <w:i/>
        </w:rPr>
        <w:t xml:space="preserve">dealing with</w:t>
      </w:r>
      <w:r>
        <w:t xml:space="preserve"> </w:t>
      </w:r>
      <w:r>
        <w:t xml:space="preserve">many things at once; parallelism is about</w:t>
      </w:r>
      <w:r>
        <w:t xml:space="preserve"> </w:t>
      </w:r>
      <w:r>
        <w:rPr>
          <w:iCs/>
          <w:i/>
        </w:rPr>
        <w:t xml:space="preserve">doing</w:t>
      </w:r>
      <w:r>
        <w:t xml:space="preserve"> </w:t>
      </w:r>
      <w:r>
        <w:t xml:space="preserve">many things at once [Pike 2012].</w:t>
      </w:r>
    </w:p>
    <w:p>
      <w:pPr>
        <w:pStyle w:val="BodyText"/>
      </w:pPr>
      <w:r>
        <w:rPr>
          <w:bCs/>
          <w:b/>
        </w:rPr>
        <w:t xml:space="preserve">I/O-bound</w:t>
      </w:r>
      <w:r>
        <w:t xml:space="preserve"> </w:t>
      </w:r>
      <w:r>
        <w:t xml:space="preserve">work (a web server waiting on databases) needs concurrency: thousands of requests in flight, mostly waiting, which one core can serve with an event loop (§6.13).</w:t>
      </w:r>
      <w:r>
        <w:t xml:space="preserve"> </w:t>
      </w:r>
      <w:r>
        <w:rPr>
          <w:bCs/>
          <w:b/>
        </w:rPr>
        <w:t xml:space="preserve">CPU-bound</w:t>
      </w:r>
      <w:r>
        <w:t xml:space="preserve"> </w:t>
      </w:r>
      <w:r>
        <w:t xml:space="preserve">work (image encoding) needs parallelism, with speed-up limited by the serial fraction (Amdahl’s Law, §4.12). Concurrency alone gives no CPU speed-up.</w:t>
      </w:r>
    </w:p>
    <w:p>
      <w:pPr>
        <w:pStyle w:val="BodyText"/>
      </w:pPr>
      <w:r>
        <w:t xml:space="preserve">CPython’s</w:t>
      </w:r>
      <w:r>
        <w:t xml:space="preserve"> </w:t>
      </w:r>
      <w:r>
        <w:rPr>
          <w:bCs/>
          <w:b/>
        </w:rPr>
        <w:t xml:space="preserve">global interpreter lock (GIL)</w:t>
      </w:r>
      <w:r>
        <w:t xml:space="preserve"> </w:t>
      </w:r>
      <w:r>
        <w:t xml:space="preserve">is the standard illustration: Python threads are concurrent, and overlap well while waiting on I/O, but only one executes Python bytecode at a time, so CPU-bound Python code gains nothing from threads. Use processes (</w:t>
      </w:r>
      <w:r>
        <w:rPr>
          <w:rStyle w:val="VerbatimChar"/>
        </w:rPr>
        <w:t xml:space="preserve">multiprocessing</w:t>
      </w:r>
      <w:r>
        <w:t xml:space="preserve">), native extensions that release the GIL, or the optional free-threaded build of CPython (experimental in 3.13, officially supported but not the default in 3.14, as of 2026) for CPU parallelism.</w:t>
      </w:r>
    </w:p>
    <w:bookmarkEnd w:id="622"/>
    <w:bookmarkStart w:id="628" w:name="race-conditions-and-critical-sections"/>
    <w:p>
      <w:pPr>
        <w:pStyle w:val="Heading2"/>
      </w:pPr>
      <w:r>
        <w:t xml:space="preserve">6.9 Race conditions and critical sections</w:t>
      </w:r>
    </w:p>
    <w:p>
      <w:pPr>
        <w:pStyle w:val="CalloutDefinition"/>
      </w:pPr>
      <w:r>
        <w:rPr>
          <w:bCs/>
          <w:b/>
        </w:rPr>
        <w:t xml:space="preserve">DEFINITION</w:t>
      </w:r>
    </w:p>
    <w:p>
      <w:pPr>
        <w:pStyle w:val="CalloutDefinition"/>
      </w:pPr>
      <w:r>
        <w:rPr>
          <w:bCs/>
          <w:b/>
        </w:rPr>
        <w:t xml:space="preserve">Definition — Race condition.</w:t>
      </w:r>
      <w:r>
        <w:t xml:space="preserve"> </w:t>
      </w:r>
      <w:r>
        <w:t xml:space="preserve">A bug in which the result of a program depends on the relative timing or interleaving of concurrent operations on shared state. A</w:t>
      </w:r>
      <w:r>
        <w:t xml:space="preserve"> </w:t>
      </w:r>
      <w:r>
        <w:rPr>
          <w:bCs/>
          <w:b/>
        </w:rPr>
        <w:t xml:space="preserve">data race</w:t>
      </w:r>
      <w:r>
        <w:t xml:space="preserve"> </w:t>
      </w:r>
      <w:r>
        <w:t xml:space="preserve">is the specific case where two threads access the same memory location concurrently, at least one access is a write, and nothing orders them.</w:t>
      </w:r>
    </w:p>
    <w:p>
      <w:pPr>
        <w:pStyle w:val="CalloutDefinition"/>
      </w:pPr>
      <w:r>
        <w:rPr>
          <w:bCs/>
          <w:b/>
        </w:rPr>
        <w:t xml:space="preserve">DEFINITION</w:t>
      </w:r>
    </w:p>
    <w:p>
      <w:pPr>
        <w:pStyle w:val="CalloutDefinition"/>
      </w:pPr>
      <w:r>
        <w:rPr>
          <w:bCs/>
          <w:b/>
        </w:rPr>
        <w:t xml:space="preserve">Definition — Critical section.</w:t>
      </w:r>
      <w:r>
        <w:t xml:space="preserve"> </w:t>
      </w:r>
      <w:r>
        <w:t xml:space="preserve">A region of code that accesses shared state and must not be executed by more than one thread at a time. Guaranteeing this is</w:t>
      </w:r>
      <w:r>
        <w:t xml:space="preserve"> </w:t>
      </w:r>
      <w:r>
        <w:rPr>
          <w:bCs/>
          <w:b/>
        </w:rPr>
        <w:t xml:space="preserve">mutual exclusion</w:t>
      </w:r>
      <w:r>
        <w:t xml:space="preserve">.</w:t>
      </w:r>
    </w:p>
    <w:bookmarkStart w:id="626" w:name="first-principles-explanation-40"/>
    <w:p>
      <w:pPr>
        <w:pStyle w:val="Heading3"/>
      </w:pPr>
      <w:r>
        <w:t xml:space="preserve">First-principles explanation</w:t>
      </w:r>
    </w:p>
    <w:p>
      <w:pPr>
        <w:pStyle w:val="FirstParagraph"/>
      </w:pPr>
      <w:r>
        <w:t xml:space="preserve">Two people deposit $50 at the same moment into a shared account holding $100, at different cash machines. Each machine reads $100, adds $50 and writes $150; the correct balance is $200. Neither machine erred alone: the bug is the</w:t>
      </w:r>
      <w:r>
        <w:t xml:space="preserve"> </w:t>
      </w:r>
      <w:r>
        <w:rPr>
          <w:iCs/>
          <w:i/>
        </w:rPr>
        <w:t xml:space="preserve">interleaving</w:t>
      </w:r>
      <w:r>
        <w:t xml:space="preserve"> </w:t>
      </w:r>
      <w:r>
        <w:t xml:space="preserve">of read, modify and write, the</w:t>
      </w:r>
      <w:r>
        <w:t xml:space="preserve"> </w:t>
      </w:r>
      <w:r>
        <w:rPr>
          <w:bCs/>
          <w:b/>
        </w:rPr>
        <w:t xml:space="preserve">lost update</w:t>
      </w:r>
      <w:r>
        <w:t xml:space="preserve">.</w:t>
      </w:r>
    </w:p>
    <w:p>
      <w:pPr>
        <w:pStyle w:val="BodyText"/>
      </w:pPr>
      <w:r>
        <w:rPr>
          <w:bCs/>
          <w:b/>
        </w:rPr>
        <w:t xml:space="preserve">Figure 6.7 — Two threads lose an update to a shared counter.</w:t>
      </w:r>
    </w:p>
    <w:p>
      <w:pPr>
        <w:pStyle w:val="BodyText"/>
      </w:pPr>
      <w:r>
        <w:drawing>
          <wp:inline>
            <wp:extent cx="5334000" cy="4026357"/>
            <wp:effectExtent b="0" l="0" r="0" t="0"/>
            <wp:docPr descr="" title="" id="624" name="Picture"/>
            <a:graphic>
              <a:graphicData uri="http://schemas.openxmlformats.org/drawingml/2006/picture">
                <pic:pic>
                  <pic:nvPicPr>
                    <pic:cNvPr descr="/home/user/System-Design/build/.cache/diagrams/d34792244675.png" id="625" name="Picture"/>
                    <pic:cNvPicPr>
                      <a:picLocks noChangeArrowheads="1" noChangeAspect="1"/>
                    </pic:cNvPicPr>
                  </pic:nvPicPr>
                  <pic:blipFill>
                    <a:blip r:embed="rId623"/>
                    <a:stretch>
                      <a:fillRect/>
                    </a:stretch>
                  </pic:blipFill>
                  <pic:spPr bwMode="auto">
                    <a:xfrm>
                      <a:off x="0" y="0"/>
                      <a:ext cx="5334000" cy="4026357"/>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Each arrow is a synchronous step, but the two threads’ steps interleave in an order chosen by the scheduler and hardware. Both read before either writes, so one increment is lost. The critical section is</w:t>
      </w:r>
      <w:r>
        <w:t xml:space="preserve"> </w:t>
      </w:r>
      <w:r>
        <w:rPr>
          <w:iCs/>
          <w:i/>
        </w:rPr>
        <w:t xml:space="preserve">read, compute, write</w:t>
      </w:r>
      <w:r>
        <w:t xml:space="preserve">; making it indivisible, with a lock or one atomic instruction, removes the bug. The same failure occurs across machines when two service instances read-modify-write a database row (§11.13, §26.13).</w:t>
      </w:r>
    </w:p>
    <w:bookmarkEnd w:id="626"/>
    <w:bookmarkStart w:id="627" w:name="code-example-4"/>
    <w:p>
      <w:pPr>
        <w:pStyle w:val="Heading3"/>
      </w:pPr>
      <w:r>
        <w:t xml:space="preserve">Code example</w:t>
      </w:r>
    </w:p>
    <w:p>
      <w:pPr>
        <w:pStyle w:val="FirstParagraph"/>
      </w:pPr>
      <w:r>
        <w:t xml:space="preserve">The Python program below makes the race visible.</w:t>
      </w:r>
      <w:r>
        <w:t xml:space="preserve"> </w:t>
      </w:r>
      <w:r>
        <w:rPr>
          <w:rStyle w:val="VerbatimChar"/>
        </w:rPr>
        <w:t xml:space="preserve">counter += 1</w:t>
      </w:r>
      <w:r>
        <w:t xml:space="preserve"> </w:t>
      </w:r>
      <w:r>
        <w:t xml:space="preserve">in CPython is not atomic, but the GIL makes the bad interleaving rare, so</w:t>
      </w:r>
      <w:r>
        <w:t xml:space="preserve"> </w:t>
      </w:r>
      <w:r>
        <w:rPr>
          <w:rStyle w:val="VerbatimChar"/>
        </w:rPr>
        <w:t xml:space="preserve">time.sleep(0)</w:t>
      </w:r>
      <w:r>
        <w:t xml:space="preserve"> </w:t>
      </w:r>
      <w:r>
        <w:t xml:space="preserve">deliberately yields the CPU between the read and the write, exactly where a preemption could occur.</w:t>
      </w:r>
    </w:p>
    <w:p>
      <w:pPr>
        <w:pStyle w:val="SourceCode"/>
      </w:pPr>
      <w:r>
        <w:rPr>
          <w:rStyle w:val="CommentTok"/>
        </w:rPr>
        <w:t xml:space="preserve">"""Lost updates: a read-modify-write race, then the fix with a mutex."""</w:t>
      </w:r>
      <w:r>
        <w:br/>
      </w:r>
      <w:r>
        <w:rPr>
          <w:rStyle w:val="ImportTok"/>
        </w:rPr>
        <w:t xml:space="preserve">import</w:t>
      </w:r>
      <w:r>
        <w:rPr>
          <w:rStyle w:val="NormalTok"/>
        </w:rPr>
        <w:t xml:space="preserve"> threading</w:t>
      </w:r>
      <w:r>
        <w:br/>
      </w:r>
      <w:r>
        <w:rPr>
          <w:rStyle w:val="ImportTok"/>
        </w:rPr>
        <w:t xml:space="preserve">import</w:t>
      </w:r>
      <w:r>
        <w:rPr>
          <w:rStyle w:val="NormalTok"/>
        </w:rPr>
        <w:t xml:space="preserve"> time</w:t>
      </w:r>
      <w:r>
        <w:br/>
      </w:r>
      <w:r>
        <w:br/>
      </w:r>
      <w:r>
        <w:rPr>
          <w:rStyle w:val="NormalTok"/>
        </w:rPr>
        <w:t xml:space="preserve">N_THREADS </w:t>
      </w:r>
      <w:r>
        <w:rPr>
          <w:rStyle w:val="OperatorTok"/>
        </w:rPr>
        <w:t xml:space="preserve">=</w:t>
      </w:r>
      <w:r>
        <w:rPr>
          <w:rStyle w:val="NormalTok"/>
        </w:rPr>
        <w:t xml:space="preserve"> </w:t>
      </w:r>
      <w:r>
        <w:rPr>
          <w:rStyle w:val="DecValTok"/>
        </w:rPr>
        <w:t xml:space="preserve">4</w:t>
      </w:r>
      <w:r>
        <w:br/>
      </w:r>
      <w:r>
        <w:rPr>
          <w:rStyle w:val="NormalTok"/>
        </w:rPr>
        <w:t xml:space="preserve">N_INCREMENTS </w:t>
      </w:r>
      <w:r>
        <w:rPr>
          <w:rStyle w:val="OperatorTok"/>
        </w:rPr>
        <w:t xml:space="preserve">=</w:t>
      </w:r>
      <w:r>
        <w:rPr>
          <w:rStyle w:val="NormalTok"/>
        </w:rPr>
        <w:t xml:space="preserve"> </w:t>
      </w:r>
      <w:r>
        <w:rPr>
          <w:rStyle w:val="DecValTok"/>
        </w:rPr>
        <w:t xml:space="preserve">10_000</w:t>
      </w:r>
      <w:r>
        <w:br/>
      </w:r>
      <w:r>
        <w:br/>
      </w:r>
      <w:r>
        <w:rPr>
          <w:rStyle w:val="NormalTok"/>
        </w:rPr>
        <w:t xml:space="preserve">counter </w:t>
      </w:r>
      <w:r>
        <w:rPr>
          <w:rStyle w:val="OperatorTok"/>
        </w:rPr>
        <w:t xml:space="preserve">=</w:t>
      </w:r>
      <w:r>
        <w:rPr>
          <w:rStyle w:val="NormalTok"/>
        </w:rPr>
        <w:t xml:space="preserve"> </w:t>
      </w:r>
      <w:r>
        <w:rPr>
          <w:rStyle w:val="DecValTok"/>
        </w:rPr>
        <w:t xml:space="preserve">0</w:t>
      </w:r>
      <w:r>
        <w:br/>
      </w:r>
      <w:r>
        <w:rPr>
          <w:rStyle w:val="NormalTok"/>
        </w:rPr>
        <w:t xml:space="preserve">lock </w:t>
      </w:r>
      <w:r>
        <w:rPr>
          <w:rStyle w:val="OperatorTok"/>
        </w:rPr>
        <w:t xml:space="preserve">=</w:t>
      </w:r>
      <w:r>
        <w:rPr>
          <w:rStyle w:val="NormalTok"/>
        </w:rPr>
        <w:t xml:space="preserve"> threading.Lock()</w:t>
      </w:r>
      <w:r>
        <w:br/>
      </w:r>
      <w:r>
        <w:br/>
      </w:r>
      <w:r>
        <w:br/>
      </w:r>
      <w:r>
        <w:rPr>
          <w:rStyle w:val="KeywordTok"/>
        </w:rPr>
        <w:t xml:space="preserve">def</w:t>
      </w:r>
      <w:r>
        <w:rPr>
          <w:rStyle w:val="NormalTok"/>
        </w:rPr>
        <w:t xml:space="preserve"> unsafe_increment()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KeywordTok"/>
        </w:rPr>
        <w:t xml:space="preserve">global</w:t>
      </w:r>
      <w:r>
        <w:rPr>
          <w:rStyle w:val="NormalTok"/>
        </w:rPr>
        <w:t xml:space="preserve"> counter</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(N_INCREMENTS):</w:t>
      </w:r>
      <w:r>
        <w:br/>
      </w:r>
      <w:r>
        <w:rPr>
          <w:rStyle w:val="NormalTok"/>
        </w:rPr>
        <w:t xml:space="preserve">        current </w:t>
      </w:r>
      <w:r>
        <w:rPr>
          <w:rStyle w:val="OperatorTok"/>
        </w:rPr>
        <w:t xml:space="preserve">=</w:t>
      </w:r>
      <w:r>
        <w:rPr>
          <w:rStyle w:val="NormalTok"/>
        </w:rPr>
        <w:t xml:space="preserve"> counter      </w:t>
      </w:r>
      <w:r>
        <w:rPr>
          <w:rStyle w:val="CommentTok"/>
        </w:rPr>
        <w:t xml:space="preserve"># 1. read</w:t>
      </w:r>
      <w:r>
        <w:br/>
      </w:r>
      <w:r>
        <w:rPr>
          <w:rStyle w:val="NormalTok"/>
        </w:rPr>
        <w:t xml:space="preserve">        time.sleep(</w:t>
      </w:r>
      <w:r>
        <w:rPr>
          <w:rStyle w:val="DecValTok"/>
        </w:rPr>
        <w:t xml:space="preserve">0</w:t>
      </w:r>
      <w:r>
        <w:rPr>
          <w:rStyle w:val="NormalTok"/>
        </w:rPr>
        <w:t xml:space="preserve">)          </w:t>
      </w:r>
      <w:r>
        <w:rPr>
          <w:rStyle w:val="CommentTok"/>
        </w:rPr>
        <w:t xml:space="preserve"># widen the window: yield the CPU (see note)</w:t>
      </w:r>
      <w:r>
        <w:br/>
      </w:r>
      <w:r>
        <w:rPr>
          <w:rStyle w:val="NormalTok"/>
        </w:rPr>
        <w:t xml:space="preserve">        counter </w:t>
      </w:r>
      <w:r>
        <w:rPr>
          <w:rStyle w:val="OperatorTok"/>
        </w:rPr>
        <w:t xml:space="preserve">=</w:t>
      </w:r>
      <w:r>
        <w:rPr>
          <w:rStyle w:val="NormalTok"/>
        </w:rPr>
        <w:t xml:space="preserve"> current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2. modify + 3. write</w:t>
      </w:r>
      <w:r>
        <w:br/>
      </w:r>
      <w:r>
        <w:br/>
      </w:r>
      <w:r>
        <w:br/>
      </w:r>
      <w:r>
        <w:rPr>
          <w:rStyle w:val="KeywordTok"/>
        </w:rPr>
        <w:t xml:space="preserve">def</w:t>
      </w:r>
      <w:r>
        <w:rPr>
          <w:rStyle w:val="NormalTok"/>
        </w:rPr>
        <w:t xml:space="preserve"> safe_increment()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KeywordTok"/>
        </w:rPr>
        <w:t xml:space="preserve">global</w:t>
      </w:r>
      <w:r>
        <w:rPr>
          <w:rStyle w:val="NormalTok"/>
        </w:rPr>
        <w:t xml:space="preserve"> counter</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(N_INCREMENTS):</w:t>
      </w:r>
      <w:r>
        <w:br/>
      </w:r>
      <w:r>
        <w:rPr>
          <w:rStyle w:val="NormalTok"/>
        </w:rPr>
        <w:t xml:space="preserve">        </w:t>
      </w:r>
      <w:r>
        <w:rPr>
          <w:rStyle w:val="ControlFlowTok"/>
        </w:rPr>
        <w:t xml:space="preserve">with</w:t>
      </w:r>
      <w:r>
        <w:rPr>
          <w:rStyle w:val="NormalTok"/>
        </w:rPr>
        <w:t xml:space="preserve"> lock:             </w:t>
      </w:r>
      <w:r>
        <w:rPr>
          <w:rStyle w:val="CommentTok"/>
        </w:rPr>
        <w:t xml:space="preserve"># critical section starts</w:t>
      </w:r>
      <w:r>
        <w:br/>
      </w:r>
      <w:r>
        <w:rPr>
          <w:rStyle w:val="NormalTok"/>
        </w:rPr>
        <w:t xml:space="preserve">            current </w:t>
      </w:r>
      <w:r>
        <w:rPr>
          <w:rStyle w:val="OperatorTok"/>
        </w:rPr>
        <w:t xml:space="preserve">=</w:t>
      </w:r>
      <w:r>
        <w:rPr>
          <w:rStyle w:val="NormalTok"/>
        </w:rPr>
        <w:t xml:space="preserve"> counter</w:t>
      </w:r>
      <w:r>
        <w:br/>
      </w:r>
      <w:r>
        <w:rPr>
          <w:rStyle w:val="NormalTok"/>
        </w:rPr>
        <w:t xml:space="preserve">            time.sleep(</w:t>
      </w:r>
      <w:r>
        <w:rPr>
          <w:rStyle w:val="DecValTok"/>
        </w:rPr>
        <w:t xml:space="preserve">0</w:t>
      </w:r>
      <w:r>
        <w:rPr>
          <w:rStyle w:val="NormalTok"/>
        </w:rPr>
        <w:t xml:space="preserve">)</w:t>
      </w:r>
      <w:r>
        <w:br/>
      </w:r>
      <w:r>
        <w:rPr>
          <w:rStyle w:val="NormalTok"/>
        </w:rPr>
        <w:t xml:space="preserve">            counter </w:t>
      </w:r>
      <w:r>
        <w:rPr>
          <w:rStyle w:val="OperatorTok"/>
        </w:rPr>
        <w:t xml:space="preserve">=</w:t>
      </w:r>
      <w:r>
        <w:rPr>
          <w:rStyle w:val="NormalTok"/>
        </w:rPr>
        <w:t xml:space="preserve"> current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mmentTok"/>
        </w:rPr>
        <w:t xml:space="preserve"># critical section ends (lock released)</w:t>
      </w:r>
      <w:r>
        <w:br/>
      </w:r>
      <w:r>
        <w:br/>
      </w:r>
      <w:r>
        <w:br/>
      </w:r>
      <w:r>
        <w:rPr>
          <w:rStyle w:val="KeywordTok"/>
        </w:rPr>
        <w:t xml:space="preserve">def</w:t>
      </w:r>
      <w:r>
        <w:rPr>
          <w:rStyle w:val="NormalTok"/>
        </w:rPr>
        <w:t xml:space="preserve"> run(worker)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KeywordTok"/>
        </w:rPr>
        <w:t xml:space="preserve">global</w:t>
      </w:r>
      <w:r>
        <w:rPr>
          <w:rStyle w:val="NormalTok"/>
        </w:rPr>
        <w:t xml:space="preserve"> counter</w:t>
      </w:r>
      <w:r>
        <w:br/>
      </w:r>
      <w:r>
        <w:rPr>
          <w:rStyle w:val="NormalTok"/>
        </w:rPr>
        <w:t xml:space="preserve">    counter </w:t>
      </w:r>
      <w:r>
        <w:rPr>
          <w:rStyle w:val="OperatorTok"/>
        </w:rPr>
        <w:t xml:space="preserve">=</w:t>
      </w:r>
      <w:r>
        <w:rPr>
          <w:rStyle w:val="NormalTok"/>
        </w:rPr>
        <w:t xml:space="preserve"> </w:t>
      </w:r>
      <w:r>
        <w:rPr>
          <w:rStyle w:val="DecValTok"/>
        </w:rPr>
        <w:t xml:space="preserve">0</w:t>
      </w:r>
      <w:r>
        <w:br/>
      </w:r>
      <w:r>
        <w:rPr>
          <w:rStyle w:val="NormalTok"/>
        </w:rPr>
        <w:t xml:space="preserve">    threads </w:t>
      </w:r>
      <w:r>
        <w:rPr>
          <w:rStyle w:val="OperatorTok"/>
        </w:rPr>
        <w:t xml:space="preserve">=</w:t>
      </w:r>
      <w:r>
        <w:rPr>
          <w:rStyle w:val="NormalTok"/>
        </w:rPr>
        <w:t xml:space="preserve"> [threading.Thread(target</w:t>
      </w:r>
      <w:r>
        <w:rPr>
          <w:rStyle w:val="OperatorTok"/>
        </w:rPr>
        <w:t xml:space="preserve">=</w:t>
      </w:r>
      <w:r>
        <w:rPr>
          <w:rStyle w:val="NormalTok"/>
        </w:rPr>
        <w:t xml:space="preserve">worker)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(N_THREADS)]</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threads:</w:t>
      </w:r>
      <w:r>
        <w:br/>
      </w:r>
      <w:r>
        <w:rPr>
          <w:rStyle w:val="NormalTok"/>
        </w:rPr>
        <w:t xml:space="preserve">        t.start()</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threads:</w:t>
      </w:r>
      <w:r>
        <w:br/>
      </w:r>
      <w:r>
        <w:rPr>
          <w:rStyle w:val="NormalTok"/>
        </w:rPr>
        <w:t xml:space="preserve">        t.join()</w:t>
      </w:r>
      <w:r>
        <w:br/>
      </w:r>
      <w:r>
        <w:rPr>
          <w:rStyle w:val="NormalTok"/>
        </w:rPr>
        <w:t xml:space="preserve">    </w:t>
      </w:r>
      <w:r>
        <w:rPr>
          <w:rStyle w:val="ControlFlowTok"/>
        </w:rPr>
        <w:t xml:space="preserve">return</w:t>
      </w:r>
      <w:r>
        <w:rPr>
          <w:rStyle w:val="NormalTok"/>
        </w:rPr>
        <w:t xml:space="preserve"> counter</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expected </w:t>
      </w:r>
      <w:r>
        <w:rPr>
          <w:rStyle w:val="OperatorTok"/>
        </w:rPr>
        <w:t xml:space="preserve">=</w:t>
      </w:r>
      <w:r>
        <w:rPr>
          <w:rStyle w:val="NormalTok"/>
        </w:rPr>
        <w:t xml:space="preserve"> N_THREADS </w:t>
      </w:r>
      <w:r>
        <w:rPr>
          <w:rStyle w:val="OperatorTok"/>
        </w:rPr>
        <w:t xml:space="preserve">*</w:t>
      </w:r>
      <w:r>
        <w:rPr>
          <w:rStyle w:val="NormalTok"/>
        </w:rPr>
        <w:t xml:space="preserve"> N_INCREMENTS</w:t>
      </w:r>
      <w:r>
        <w:br/>
      </w:r>
      <w:r>
        <w:rPr>
          <w:rStyle w:val="NormalTok"/>
        </w:rPr>
        <w:t xml:space="preserve">    </w:t>
      </w:r>
      <w:r>
        <w:rPr>
          <w:rStyle w:val="BuiltInTok"/>
        </w:rPr>
        <w:t xml:space="preserve">print</w:t>
      </w:r>
      <w:r>
        <w:rPr>
          <w:rStyle w:val="NormalTok"/>
        </w:rPr>
        <w:t xml:space="preserve">(</w:t>
      </w:r>
      <w:r>
        <w:rPr>
          <w:rStyle w:val="SpecialStringTok"/>
        </w:rPr>
        <w:t xml:space="preserve">f"expected       = </w:t>
      </w:r>
      <w:r>
        <w:rPr>
          <w:rStyle w:val="SpecialCharTok"/>
        </w:rPr>
        <w:t xml:space="preserve">{</w:t>
      </w:r>
      <w:r>
        <w:rPr>
          <w:rStyle w:val="NormalTok"/>
        </w:rPr>
        <w:t xml:space="preserve">expected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f"without a lock = </w:t>
      </w:r>
      <w:r>
        <w:rPr>
          <w:rStyle w:val="SpecialCharTok"/>
        </w:rPr>
        <w:t xml:space="preserve">{</w:t>
      </w:r>
      <w:r>
        <w:rPr>
          <w:rStyle w:val="NormalTok"/>
        </w:rPr>
        <w:t xml:space="preserve">run(unsafe_increment)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f"with a lock    = </w:t>
      </w:r>
      <w:r>
        <w:rPr>
          <w:rStyle w:val="SpecialCharTok"/>
        </w:rPr>
        <w:t xml:space="preserve">{</w:t>
      </w:r>
      <w:r>
        <w:rPr>
          <w:rStyle w:val="NormalTok"/>
        </w:rPr>
        <w:t xml:space="preserve">run(safe_increment)</w:t>
      </w:r>
      <w:r>
        <w:rPr>
          <w:rStyle w:val="SpecialCharTok"/>
        </w:rPr>
        <w:t xml:space="preserve">}</w:t>
      </w:r>
      <w:r>
        <w:rPr>
          <w:rStyle w:val="SpecialStringTok"/>
        </w:rPr>
        <w:t xml:space="preserve">"</w:t>
      </w:r>
      <w:r>
        <w:rPr>
          <w:rStyle w:val="NormalTok"/>
        </w:rPr>
        <w:t xml:space="preserve">)</w:t>
      </w:r>
    </w:p>
    <w:p>
      <w:pPr>
        <w:pStyle w:val="FirstParagraph"/>
      </w:pPr>
      <w:r>
        <w:t xml:space="preserve">A run on CPython 3.13 printed</w:t>
      </w:r>
      <w:r>
        <w:t xml:space="preserve"> </w:t>
      </w:r>
      <w:r>
        <w:rPr>
          <w:rStyle w:val="VerbatimChar"/>
        </w:rPr>
        <w:t xml:space="preserve">expected = 40000</w:t>
      </w:r>
      <w:r>
        <w:t xml:space="preserve">,</w:t>
      </w:r>
      <w:r>
        <w:t xml:space="preserve"> </w:t>
      </w:r>
      <w:r>
        <w:rPr>
          <w:rStyle w:val="VerbatimChar"/>
        </w:rPr>
        <w:t xml:space="preserve">without a lock = 10000</w:t>
      </w:r>
      <w:r>
        <w:t xml:space="preserve"> </w:t>
      </w:r>
      <w:r>
        <w:t xml:space="preserve">and</w:t>
      </w:r>
      <w:r>
        <w:t xml:space="preserve"> </w:t>
      </w:r>
      <w:r>
        <w:rPr>
          <w:rStyle w:val="VerbatimChar"/>
        </w:rPr>
        <w:t xml:space="preserve">with a lock = 40000</w:t>
      </w:r>
      <w:r>
        <w:t xml:space="preserve">; the unsafe count varies between runs.</w:t>
      </w:r>
    </w:p>
    <w:p>
      <w:pPr>
        <w:pStyle w:val="BodyText"/>
      </w:pPr>
      <w:r>
        <w:t xml:space="preserve">What to notice:</w:t>
      </w:r>
    </w:p>
    <w:p>
      <w:pPr>
        <w:numPr>
          <w:ilvl w:val="0"/>
          <w:numId w:val="1182"/>
        </w:numPr>
        <w:pStyle w:val="Compact"/>
      </w:pPr>
      <w:r>
        <w:t xml:space="preserve">The unsafe version loses about three quarters of the increments: writes overwrite each other.</w:t>
      </w:r>
    </w:p>
    <w:p>
      <w:pPr>
        <w:numPr>
          <w:ilvl w:val="0"/>
          <w:numId w:val="1182"/>
        </w:numPr>
        <w:pStyle w:val="Compact"/>
      </w:pPr>
      <w:r>
        <w:rPr>
          <w:rStyle w:val="VerbatimChar"/>
        </w:rPr>
        <w:t xml:space="preserve">with lock:</w:t>
      </w:r>
      <w:r>
        <w:t xml:space="preserve"> </w:t>
      </w:r>
      <w:r>
        <w:t xml:space="preserve">makes read-compute-write a critical section: correct, but threads now take turns.</w:t>
      </w:r>
    </w:p>
    <w:p>
      <w:pPr>
        <w:numPr>
          <w:ilvl w:val="0"/>
          <w:numId w:val="1182"/>
        </w:numPr>
        <w:pStyle w:val="Compact"/>
      </w:pPr>
      <w:r>
        <w:t xml:space="preserve">Removing</w:t>
      </w:r>
      <w:r>
        <w:t xml:space="preserve"> </w:t>
      </w:r>
      <w:r>
        <w:rPr>
          <w:rStyle w:val="VerbatimChar"/>
        </w:rPr>
        <w:t xml:space="preserve">time.sleep(0)</w:t>
      </w:r>
      <w:r>
        <w:t xml:space="preserve"> </w:t>
      </w:r>
      <w:r>
        <w:t xml:space="preserve">makes the race</w:t>
      </w:r>
      <w:r>
        <w:t xml:space="preserve"> </w:t>
      </w:r>
      <w:r>
        <w:rPr>
          <w:iCs/>
          <w:i/>
        </w:rPr>
        <w:t xml:space="preserve">rarer</w:t>
      </w:r>
      <w:r>
        <w:t xml:space="preserve">, not absent. Tests that pass</w:t>
      </w:r>
      <w:r>
        <w:t xml:space="preserve"> </w:t>
      </w:r>
      <w:r>
        <w:t xml:space="preserve">“</w:t>
      </w:r>
      <w:r>
        <w:t xml:space="preserve">most of the time</w:t>
      </w:r>
      <w:r>
        <w:t xml:space="preserve">”</w:t>
      </w:r>
      <w:r>
        <w:t xml:space="preserve"> </w:t>
      </w:r>
      <w:r>
        <w:t xml:space="preserve">are the hallmark of races.</w:t>
      </w:r>
    </w:p>
    <w:p>
      <w:pPr>
        <w:pStyle w:val="FirstParagraph"/>
      </w:pPr>
      <w:r>
        <w:t xml:space="preserve">The Go version needs no artificial delay, because goroutines run in parallel on multiple cores:</w:t>
      </w:r>
    </w:p>
    <w:p>
      <w:pPr>
        <w:pStyle w:val="SourceCode"/>
      </w:pPr>
      <w:r>
        <w:rPr>
          <w:rStyle w:val="CommentTok"/>
        </w:rPr>
        <w:t xml:space="preserve">// Three counters incremented by many goroutines: racy, mutex, atomic.</w:t>
      </w:r>
      <w:r>
        <w:br/>
      </w:r>
      <w:r>
        <w:rPr>
          <w:rStyle w:val="KeywordTok"/>
        </w:rPr>
        <w:t xml:space="preserve">package</w:t>
      </w:r>
      <w:r>
        <w:rPr>
          <w:rStyle w:val="NormalTok"/>
        </w:rPr>
        <w:t xml:space="preserve"> main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"fmt"</w:t>
      </w:r>
      <w:r>
        <w:br/>
      </w:r>
      <w:r>
        <w:rPr>
          <w:rStyle w:val="NormalTok"/>
        </w:rPr>
        <w:t xml:space="preserve">    </w:t>
      </w:r>
      <w:r>
        <w:rPr>
          <w:rStyle w:val="StringTok"/>
        </w:rPr>
        <w:t xml:space="preserve">"sync"</w:t>
      </w:r>
      <w:r>
        <w:br/>
      </w:r>
      <w:r>
        <w:rPr>
          <w:rStyle w:val="NormalTok"/>
        </w:rPr>
        <w:t xml:space="preserve">    </w:t>
      </w:r>
      <w:r>
        <w:rPr>
          <w:rStyle w:val="StringTok"/>
        </w:rPr>
        <w:t xml:space="preserve">"sync/atomic"</w:t>
      </w:r>
      <w:r>
        <w:br/>
      </w:r>
      <w:r>
        <w:rPr>
          <w:rStyle w:val="OperatorTok"/>
        </w:rPr>
        <w:t xml:space="preserve">)</w:t>
      </w:r>
      <w:r>
        <w:br/>
      </w:r>
      <w:r>
        <w:br/>
      </w:r>
      <w:r>
        <w:rPr>
          <w:rStyle w:val="KeywordTok"/>
        </w:rPr>
        <w:t xml:space="preserve">const</w:t>
      </w:r>
      <w:r>
        <w:rPr>
          <w:rStyle w:val="NormalTok"/>
        </w:rPr>
        <w:t xml:space="preserve"> goroutines </w:t>
      </w:r>
      <w:r>
        <w:rPr>
          <w:rStyle w:val="OperatorTok"/>
        </w:rPr>
        <w:t xml:space="preserve">=</w:t>
      </w:r>
      <w:r>
        <w:rPr>
          <w:rStyle w:val="NormalTok"/>
        </w:rPr>
        <w:t xml:space="preserve"> </w:t>
      </w:r>
      <w:r>
        <w:rPr>
          <w:rStyle w:val="DecValTok"/>
        </w:rPr>
        <w:t xml:space="preserve">8</w:t>
      </w:r>
      <w:r>
        <w:br/>
      </w:r>
      <w:r>
        <w:rPr>
          <w:rStyle w:val="KeywordTok"/>
        </w:rPr>
        <w:t xml:space="preserve">const</w:t>
      </w:r>
      <w:r>
        <w:rPr>
          <w:rStyle w:val="NormalTok"/>
        </w:rPr>
        <w:t xml:space="preserve"> increments </w:t>
      </w:r>
      <w:r>
        <w:rPr>
          <w:rStyle w:val="OperatorTok"/>
        </w:rPr>
        <w:t xml:space="preserve">=</w:t>
      </w:r>
      <w:r>
        <w:rPr>
          <w:rStyle w:val="NormalTok"/>
        </w:rPr>
        <w:t xml:space="preserve"> </w:t>
      </w:r>
      <w:r>
        <w:rPr>
          <w:rStyle w:val="DecValTok"/>
        </w:rPr>
        <w:t xml:space="preserve">100_000</w:t>
      </w:r>
      <w:r>
        <w:br/>
      </w:r>
      <w:r>
        <w:br/>
      </w:r>
      <w:r>
        <w:rPr>
          <w:rStyle w:val="KeywordTok"/>
        </w:rPr>
        <w:t xml:space="preserve">func</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wg sync</w:t>
      </w:r>
      <w:r>
        <w:rPr>
          <w:rStyle w:val="OperatorTok"/>
        </w:rPr>
        <w:t xml:space="preserve">.</w:t>
      </w:r>
      <w:r>
        <w:rPr>
          <w:rStyle w:val="NormalTok"/>
        </w:rPr>
        <w:t xml:space="preserve">WaitGroup</w:t>
      </w:r>
      <w:r>
        <w:br/>
      </w:r>
      <w:r>
        <w:br/>
      </w:r>
      <w:r>
        <w:rPr>
          <w:rStyle w:val="NormalTok"/>
        </w:rPr>
        <w:t xml:space="preserve">    </w:t>
      </w:r>
      <w:r>
        <w:rPr>
          <w:rStyle w:val="CommentTok"/>
        </w:rPr>
        <w:t xml:space="preserve">// 1. Racy: counter++ is a read-modify-write, not one indivisible step.</w:t>
      </w:r>
      <w:r>
        <w:br/>
      </w:r>
      <w:r>
        <w:rPr>
          <w:rStyle w:val="NormalTok"/>
        </w:rPr>
        <w:t xml:space="preserve">    racy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g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g </w:t>
      </w:r>
      <w:r>
        <w:rPr>
          <w:rStyle w:val="OperatorTok"/>
        </w:rPr>
        <w:t xml:space="preserve">&lt;</w:t>
      </w:r>
      <w:r>
        <w:rPr>
          <w:rStyle w:val="NormalTok"/>
        </w:rPr>
        <w:t xml:space="preserve"> goroutines</w:t>
      </w:r>
      <w:r>
        <w:rPr>
          <w:rStyle w:val="OperatorTok"/>
        </w:rPr>
        <w:t xml:space="preserve">;</w:t>
      </w:r>
      <w:r>
        <w:rPr>
          <w:rStyle w:val="NormalTok"/>
        </w:rPr>
        <w:t xml:space="preserve"> g</w:t>
      </w:r>
      <w:r>
        <w:rPr>
          <w:rStyle w:val="OperatorTok"/>
        </w:rPr>
        <w:t xml:space="preserve">++</w:t>
      </w:r>
      <w:r>
        <w:rPr>
          <w:rStyle w:val="NormalTok"/>
        </w:rPr>
        <w:t xml:space="preserve"> </w:t>
      </w:r>
      <w:r>
        <w:rPr>
          <w:rStyle w:val="OperatorTok"/>
        </w:rPr>
        <w:t xml:space="preserve">{</w:t>
      </w:r>
      <w:r>
        <w:br/>
      </w:r>
      <w:r>
        <w:rPr>
          <w:rStyle w:val="NormalTok"/>
        </w:rPr>
        <w:t xml:space="preserve">        wg</w:t>
      </w:r>
      <w:r>
        <w:rPr>
          <w:rStyle w:val="OperatorTok"/>
        </w:rPr>
        <w:t xml:space="preserve">.</w:t>
      </w:r>
      <w:r>
        <w:rPr>
          <w:rStyle w:val="NormalTok"/>
        </w:rPr>
        <w:t xml:space="preserve">Add</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go</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wg</w:t>
      </w:r>
      <w:r>
        <w:rPr>
          <w:rStyle w:val="OperatorTok"/>
        </w:rPr>
        <w:t xml:space="preserve">.</w:t>
      </w:r>
      <w:r>
        <w:rPr>
          <w:rStyle w:val="NormalTok"/>
        </w:rPr>
        <w:t xml:space="preserve">Done</w:t>
      </w:r>
      <w:r>
        <w:rPr>
          <w:rStyle w:val="OperatorTok"/>
        </w:rPr>
        <w:t xml:space="preserve">()</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increments</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racy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wg</w:t>
      </w:r>
      <w:r>
        <w:rPr>
          <w:rStyle w:val="OperatorTok"/>
        </w:rPr>
        <w:t xml:space="preserve">.</w:t>
      </w:r>
      <w:r>
        <w:rPr>
          <w:rStyle w:val="NormalTok"/>
        </w:rPr>
        <w:t xml:space="preserve">Wait</w:t>
      </w:r>
      <w:r>
        <w:rPr>
          <w:rStyle w:val="OperatorTok"/>
        </w:rPr>
        <w:t xml:space="preserve">()</w:t>
      </w:r>
      <w:r>
        <w:br/>
      </w:r>
      <w:r>
        <w:br/>
      </w:r>
      <w:r>
        <w:rPr>
          <w:rStyle w:val="NormalTok"/>
        </w:rPr>
        <w:t xml:space="preserve">    </w:t>
      </w:r>
      <w:r>
        <w:rPr>
          <w:rStyle w:val="CommentTok"/>
        </w:rPr>
        <w:t xml:space="preserve">// 2. Mutex: only one goroutine at a time inside the critical section.</w:t>
      </w:r>
      <w:r>
        <w:br/>
      </w:r>
      <w:r>
        <w:rPr>
          <w:rStyle w:val="NormalTok"/>
        </w:rPr>
        <w:t xml:space="preserve">    </w:t>
      </w:r>
      <w:r>
        <w:rPr>
          <w:rStyle w:val="KeywordTok"/>
        </w:rPr>
        <w:t xml:space="preserve">var</w:t>
      </w:r>
      <w:r>
        <w:rPr>
          <w:rStyle w:val="NormalTok"/>
        </w:rPr>
        <w:t xml:space="preserve"> mu sync</w:t>
      </w:r>
      <w:r>
        <w:rPr>
          <w:rStyle w:val="OperatorTok"/>
        </w:rPr>
        <w:t xml:space="preserve">.</w:t>
      </w:r>
      <w:r>
        <w:rPr>
          <w:rStyle w:val="NormalTok"/>
        </w:rPr>
        <w:t xml:space="preserve">Mutex</w:t>
      </w:r>
      <w:r>
        <w:br/>
      </w:r>
      <w:r>
        <w:rPr>
          <w:rStyle w:val="NormalTok"/>
        </w:rPr>
        <w:t xml:space="preserve">    locked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g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g </w:t>
      </w:r>
      <w:r>
        <w:rPr>
          <w:rStyle w:val="OperatorTok"/>
        </w:rPr>
        <w:t xml:space="preserve">&lt;</w:t>
      </w:r>
      <w:r>
        <w:rPr>
          <w:rStyle w:val="NormalTok"/>
        </w:rPr>
        <w:t xml:space="preserve"> goroutines</w:t>
      </w:r>
      <w:r>
        <w:rPr>
          <w:rStyle w:val="OperatorTok"/>
        </w:rPr>
        <w:t xml:space="preserve">;</w:t>
      </w:r>
      <w:r>
        <w:rPr>
          <w:rStyle w:val="NormalTok"/>
        </w:rPr>
        <w:t xml:space="preserve"> g</w:t>
      </w:r>
      <w:r>
        <w:rPr>
          <w:rStyle w:val="OperatorTok"/>
        </w:rPr>
        <w:t xml:space="preserve">++</w:t>
      </w:r>
      <w:r>
        <w:rPr>
          <w:rStyle w:val="NormalTok"/>
        </w:rPr>
        <w:t xml:space="preserve"> </w:t>
      </w:r>
      <w:r>
        <w:rPr>
          <w:rStyle w:val="OperatorTok"/>
        </w:rPr>
        <w:t xml:space="preserve">{</w:t>
      </w:r>
      <w:r>
        <w:br/>
      </w:r>
      <w:r>
        <w:rPr>
          <w:rStyle w:val="NormalTok"/>
        </w:rPr>
        <w:t xml:space="preserve">        wg</w:t>
      </w:r>
      <w:r>
        <w:rPr>
          <w:rStyle w:val="OperatorTok"/>
        </w:rPr>
        <w:t xml:space="preserve">.</w:t>
      </w:r>
      <w:r>
        <w:rPr>
          <w:rStyle w:val="NormalTok"/>
        </w:rPr>
        <w:t xml:space="preserve">Add</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go</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wg</w:t>
      </w:r>
      <w:r>
        <w:rPr>
          <w:rStyle w:val="OperatorTok"/>
        </w:rPr>
        <w:t xml:space="preserve">.</w:t>
      </w:r>
      <w:r>
        <w:rPr>
          <w:rStyle w:val="NormalTok"/>
        </w:rPr>
        <w:t xml:space="preserve">Done</w:t>
      </w:r>
      <w:r>
        <w:rPr>
          <w:rStyle w:val="OperatorTok"/>
        </w:rPr>
        <w:t xml:space="preserve">()</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increments</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mu</w:t>
      </w:r>
      <w:r>
        <w:rPr>
          <w:rStyle w:val="OperatorTok"/>
        </w:rPr>
        <w:t xml:space="preserve">.</w:t>
      </w:r>
      <w:r>
        <w:rPr>
          <w:rStyle w:val="NormalTok"/>
        </w:rPr>
        <w:t xml:space="preserve">Lock</w:t>
      </w:r>
      <w:r>
        <w:rPr>
          <w:rStyle w:val="OperatorTok"/>
        </w:rPr>
        <w:t xml:space="preserve">()</w:t>
      </w:r>
      <w:r>
        <w:br/>
      </w:r>
      <w:r>
        <w:rPr>
          <w:rStyle w:val="NormalTok"/>
        </w:rPr>
        <w:t xml:space="preserve">                locked</w:t>
      </w:r>
      <w:r>
        <w:rPr>
          <w:rStyle w:val="OperatorTok"/>
        </w:rPr>
        <w:t xml:space="preserve">++</w:t>
      </w:r>
      <w:r>
        <w:br/>
      </w:r>
      <w:r>
        <w:rPr>
          <w:rStyle w:val="NormalTok"/>
        </w:rPr>
        <w:t xml:space="preserve">                mu</w:t>
      </w:r>
      <w:r>
        <w:rPr>
          <w:rStyle w:val="OperatorTok"/>
        </w:rPr>
        <w:t xml:space="preserve">.</w:t>
      </w:r>
      <w:r>
        <w:rPr>
          <w:rStyle w:val="NormalTok"/>
        </w:rPr>
        <w:t xml:space="preserve">Unlock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wg</w:t>
      </w:r>
      <w:r>
        <w:rPr>
          <w:rStyle w:val="OperatorTok"/>
        </w:rPr>
        <w:t xml:space="preserve">.</w:t>
      </w:r>
      <w:r>
        <w:rPr>
          <w:rStyle w:val="NormalTok"/>
        </w:rPr>
        <w:t xml:space="preserve">Wait</w:t>
      </w:r>
      <w:r>
        <w:rPr>
          <w:rStyle w:val="OperatorTok"/>
        </w:rPr>
        <w:t xml:space="preserve">()</w:t>
      </w:r>
      <w:r>
        <w:br/>
      </w:r>
      <w:r>
        <w:br/>
      </w:r>
      <w:r>
        <w:rPr>
          <w:rStyle w:val="NormalTok"/>
        </w:rPr>
        <w:t xml:space="preserve">    </w:t>
      </w:r>
      <w:r>
        <w:rPr>
          <w:rStyle w:val="CommentTok"/>
        </w:rPr>
        <w:t xml:space="preserve">// 3. Atomic: the hardware performs the increment indivisibly.</w:t>
      </w:r>
      <w:r>
        <w:br/>
      </w:r>
      <w:r>
        <w:rPr>
          <w:rStyle w:val="NormalTok"/>
        </w:rPr>
        <w:t xml:space="preserve">    </w:t>
      </w:r>
      <w:r>
        <w:rPr>
          <w:rStyle w:val="KeywordTok"/>
        </w:rPr>
        <w:t xml:space="preserve">var</w:t>
      </w:r>
      <w:r>
        <w:rPr>
          <w:rStyle w:val="NormalTok"/>
        </w:rPr>
        <w:t xml:space="preserve"> atomicCount atomic</w:t>
      </w:r>
      <w:r>
        <w:rPr>
          <w:rStyle w:val="OperatorTok"/>
        </w:rPr>
        <w:t xml:space="preserve">.</w:t>
      </w:r>
      <w:r>
        <w:rPr>
          <w:rStyle w:val="NormalTok"/>
        </w:rPr>
        <w:t xml:space="preserve">Int64</w:t>
      </w:r>
      <w:r>
        <w:br/>
      </w:r>
      <w:r>
        <w:rPr>
          <w:rStyle w:val="NormalTok"/>
        </w:rPr>
        <w:t xml:space="preserve">    </w:t>
      </w:r>
      <w:r>
        <w:rPr>
          <w:rStyle w:val="ControlFlowTok"/>
        </w:rPr>
        <w:t xml:space="preserve">for</w:t>
      </w:r>
      <w:r>
        <w:rPr>
          <w:rStyle w:val="NormalTok"/>
        </w:rPr>
        <w:t xml:space="preserve"> g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g </w:t>
      </w:r>
      <w:r>
        <w:rPr>
          <w:rStyle w:val="OperatorTok"/>
        </w:rPr>
        <w:t xml:space="preserve">&lt;</w:t>
      </w:r>
      <w:r>
        <w:rPr>
          <w:rStyle w:val="NormalTok"/>
        </w:rPr>
        <w:t xml:space="preserve"> goroutines</w:t>
      </w:r>
      <w:r>
        <w:rPr>
          <w:rStyle w:val="OperatorTok"/>
        </w:rPr>
        <w:t xml:space="preserve">;</w:t>
      </w:r>
      <w:r>
        <w:rPr>
          <w:rStyle w:val="NormalTok"/>
        </w:rPr>
        <w:t xml:space="preserve"> g</w:t>
      </w:r>
      <w:r>
        <w:rPr>
          <w:rStyle w:val="OperatorTok"/>
        </w:rPr>
        <w:t xml:space="preserve">++</w:t>
      </w:r>
      <w:r>
        <w:rPr>
          <w:rStyle w:val="NormalTok"/>
        </w:rPr>
        <w:t xml:space="preserve"> </w:t>
      </w:r>
      <w:r>
        <w:rPr>
          <w:rStyle w:val="OperatorTok"/>
        </w:rPr>
        <w:t xml:space="preserve">{</w:t>
      </w:r>
      <w:r>
        <w:br/>
      </w:r>
      <w:r>
        <w:rPr>
          <w:rStyle w:val="NormalTok"/>
        </w:rPr>
        <w:t xml:space="preserve">        wg</w:t>
      </w:r>
      <w:r>
        <w:rPr>
          <w:rStyle w:val="OperatorTok"/>
        </w:rPr>
        <w:t xml:space="preserve">.</w:t>
      </w:r>
      <w:r>
        <w:rPr>
          <w:rStyle w:val="NormalTok"/>
        </w:rPr>
        <w:t xml:space="preserve">Add</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go</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wg</w:t>
      </w:r>
      <w:r>
        <w:rPr>
          <w:rStyle w:val="OperatorTok"/>
        </w:rPr>
        <w:t xml:space="preserve">.</w:t>
      </w:r>
      <w:r>
        <w:rPr>
          <w:rStyle w:val="NormalTok"/>
        </w:rPr>
        <w:t xml:space="preserve">Done</w:t>
      </w:r>
      <w:r>
        <w:rPr>
          <w:rStyle w:val="OperatorTok"/>
        </w:rPr>
        <w:t xml:space="preserve">()</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increments</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atomicCount</w:t>
      </w:r>
      <w:r>
        <w:rPr>
          <w:rStyle w:val="OperatorTok"/>
        </w:rPr>
        <w:t xml:space="preserve">.</w:t>
      </w:r>
      <w:r>
        <w:rPr>
          <w:rStyle w:val="NormalTok"/>
        </w:rPr>
        <w:t xml:space="preserve">Add</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wg</w:t>
      </w:r>
      <w:r>
        <w:rPr>
          <w:rStyle w:val="OperatorTok"/>
        </w:rPr>
        <w:t xml:space="preserve">.</w:t>
      </w:r>
      <w:r>
        <w:rPr>
          <w:rStyle w:val="NormalTok"/>
        </w:rPr>
        <w:t xml:space="preserve">Wait</w:t>
      </w:r>
      <w:r>
        <w:rPr>
          <w:rStyle w:val="OperatorTok"/>
        </w:rPr>
        <w:t xml:space="preserve">()</w:t>
      </w:r>
      <w:r>
        <w:br/>
      </w:r>
      <w:r>
        <w:br/>
      </w:r>
      <w:r>
        <w:rPr>
          <w:rStyle w:val="NormalTok"/>
        </w:rPr>
        <w:t xml:space="preserve">    fmt</w:t>
      </w:r>
      <w:r>
        <w:rPr>
          <w:rStyle w:val="OperatorTok"/>
        </w:rPr>
        <w:t xml:space="preserve">.</w:t>
      </w:r>
      <w:r>
        <w:rPr>
          <w:rStyle w:val="NormalTok"/>
        </w:rPr>
        <w:t xml:space="preserve">Println</w:t>
      </w:r>
      <w:r>
        <w:rPr>
          <w:rStyle w:val="OperatorTok"/>
        </w:rPr>
        <w:t xml:space="preserve">(</w:t>
      </w:r>
      <w:r>
        <w:rPr>
          <w:rStyle w:val="StringTok"/>
        </w:rPr>
        <w:t xml:space="preserve">"expected:"</w:t>
      </w:r>
      <w:r>
        <w:rPr>
          <w:rStyle w:val="OperatorTok"/>
        </w:rPr>
        <w:t xml:space="preserve">,</w:t>
      </w:r>
      <w:r>
        <w:rPr>
          <w:rStyle w:val="NormalTok"/>
        </w:rPr>
        <w:t xml:space="preserve"> goroutines</w:t>
      </w:r>
      <w:r>
        <w:rPr>
          <w:rStyle w:val="OperatorTok"/>
        </w:rPr>
        <w:t xml:space="preserve">*</w:t>
      </w:r>
      <w:r>
        <w:rPr>
          <w:rStyle w:val="NormalTok"/>
        </w:rPr>
        <w:t xml:space="preserve">increments</w:t>
      </w:r>
      <w:r>
        <w:rPr>
          <w:rStyle w:val="OperatorTok"/>
        </w:rPr>
        <w:t xml:space="preserve">)</w:t>
      </w:r>
      <w:r>
        <w:br/>
      </w:r>
      <w:r>
        <w:rPr>
          <w:rStyle w:val="NormalTok"/>
        </w:rPr>
        <w:t xml:space="preserve">    fmt</w:t>
      </w:r>
      <w:r>
        <w:rPr>
          <w:rStyle w:val="OperatorTok"/>
        </w:rPr>
        <w:t xml:space="preserve">.</w:t>
      </w:r>
      <w:r>
        <w:rPr>
          <w:rStyle w:val="NormalTok"/>
        </w:rPr>
        <w:t xml:space="preserve">Println</w:t>
      </w:r>
      <w:r>
        <w:rPr>
          <w:rStyle w:val="OperatorTok"/>
        </w:rPr>
        <w:t xml:space="preserve">(</w:t>
      </w:r>
      <w:r>
        <w:rPr>
          <w:rStyle w:val="StringTok"/>
        </w:rPr>
        <w:t xml:space="preserve">"racy:    "</w:t>
      </w:r>
      <w:r>
        <w:rPr>
          <w:rStyle w:val="OperatorTok"/>
        </w:rPr>
        <w:t xml:space="preserve">,</w:t>
      </w:r>
      <w:r>
        <w:rPr>
          <w:rStyle w:val="NormalTok"/>
        </w:rPr>
        <w:t xml:space="preserve"> racy</w:t>
      </w:r>
      <w:r>
        <w:rPr>
          <w:rStyle w:val="OperatorTok"/>
        </w:rPr>
        <w:t xml:space="preserve">)</w:t>
      </w:r>
      <w:r>
        <w:br/>
      </w:r>
      <w:r>
        <w:rPr>
          <w:rStyle w:val="NormalTok"/>
        </w:rPr>
        <w:t xml:space="preserve">    fmt</w:t>
      </w:r>
      <w:r>
        <w:rPr>
          <w:rStyle w:val="OperatorTok"/>
        </w:rPr>
        <w:t xml:space="preserve">.</w:t>
      </w:r>
      <w:r>
        <w:rPr>
          <w:rStyle w:val="NormalTok"/>
        </w:rPr>
        <w:t xml:space="preserve">Println</w:t>
      </w:r>
      <w:r>
        <w:rPr>
          <w:rStyle w:val="OperatorTok"/>
        </w:rPr>
        <w:t xml:space="preserve">(</w:t>
      </w:r>
      <w:r>
        <w:rPr>
          <w:rStyle w:val="StringTok"/>
        </w:rPr>
        <w:t xml:space="preserve">"mutex:   "</w:t>
      </w:r>
      <w:r>
        <w:rPr>
          <w:rStyle w:val="OperatorTok"/>
        </w:rPr>
        <w:t xml:space="preserve">,</w:t>
      </w:r>
      <w:r>
        <w:rPr>
          <w:rStyle w:val="NormalTok"/>
        </w:rPr>
        <w:t xml:space="preserve"> locked</w:t>
      </w:r>
      <w:r>
        <w:rPr>
          <w:rStyle w:val="OperatorTok"/>
        </w:rPr>
        <w:t xml:space="preserve">)</w:t>
      </w:r>
      <w:r>
        <w:br/>
      </w:r>
      <w:r>
        <w:rPr>
          <w:rStyle w:val="NormalTok"/>
        </w:rPr>
        <w:t xml:space="preserve">    fmt</w:t>
      </w:r>
      <w:r>
        <w:rPr>
          <w:rStyle w:val="OperatorTok"/>
        </w:rPr>
        <w:t xml:space="preserve">.</w:t>
      </w:r>
      <w:r>
        <w:rPr>
          <w:rStyle w:val="NormalTok"/>
        </w:rPr>
        <w:t xml:space="preserve">Println</w:t>
      </w:r>
      <w:r>
        <w:rPr>
          <w:rStyle w:val="OperatorTok"/>
        </w:rPr>
        <w:t xml:space="preserve">(</w:t>
      </w:r>
      <w:r>
        <w:rPr>
          <w:rStyle w:val="StringTok"/>
        </w:rPr>
        <w:t xml:space="preserve">"atomic:  "</w:t>
      </w:r>
      <w:r>
        <w:rPr>
          <w:rStyle w:val="OperatorTok"/>
        </w:rPr>
        <w:t xml:space="preserve">,</w:t>
      </w:r>
      <w:r>
        <w:rPr>
          <w:rStyle w:val="NormalTok"/>
        </w:rPr>
        <w:t xml:space="preserve"> atomicCount</w:t>
      </w:r>
      <w:r>
        <w:rPr>
          <w:rStyle w:val="OperatorTok"/>
        </w:rPr>
        <w:t xml:space="preserve">.</w:t>
      </w:r>
      <w:r>
        <w:rPr>
          <w:rStyle w:val="NormalTok"/>
        </w:rPr>
        <w:t xml:space="preserve">Load</w:t>
      </w:r>
      <w:r>
        <w:rPr>
          <w:rStyle w:val="OperatorTok"/>
        </w:rPr>
        <w:t xml:space="preserve">())</w:t>
      </w:r>
      <w:r>
        <w:br/>
      </w:r>
      <w:r>
        <w:rPr>
          <w:rStyle w:val="OperatorTok"/>
        </w:rPr>
        <w:t xml:space="preserve">}</w:t>
      </w:r>
    </w:p>
    <w:p>
      <w:pPr>
        <w:pStyle w:val="FirstParagraph"/>
      </w:pPr>
      <w:r>
        <w:t xml:space="preserve">On a 4-core VM with Go 1.24,</w:t>
      </w:r>
      <w:r>
        <w:t xml:space="preserve"> </w:t>
      </w:r>
      <w:r>
        <w:rPr>
          <w:rStyle w:val="VerbatimChar"/>
        </w:rPr>
        <w:t xml:space="preserve">go run .</w:t>
      </w:r>
      <w:r>
        <w:t xml:space="preserve"> </w:t>
      </w:r>
      <w:r>
        <w:t xml:space="preserve">printed</w:t>
      </w:r>
      <w:r>
        <w:t xml:space="preserve"> </w:t>
      </w:r>
      <w:r>
        <w:rPr>
          <w:rStyle w:val="VerbatimChar"/>
        </w:rPr>
        <w:t xml:space="preserve">racy: 493557</w:t>
      </w:r>
      <w:r>
        <w:t xml:space="preserve"> </w:t>
      </w:r>
      <w:r>
        <w:t xml:space="preserve">against</w:t>
      </w:r>
      <w:r>
        <w:t xml:space="preserve"> </w:t>
      </w:r>
      <w:r>
        <w:rPr>
          <w:rStyle w:val="VerbatimChar"/>
        </w:rPr>
        <w:t xml:space="preserve">expected: 800000</w:t>
      </w:r>
      <w:r>
        <w:t xml:space="preserve">; the mutex and atomic counters were exact.</w:t>
      </w:r>
    </w:p>
    <w:p>
      <w:pPr>
        <w:pStyle w:val="BodyText"/>
      </w:pPr>
      <w:r>
        <w:t xml:space="preserve">What to notice:</w:t>
      </w:r>
    </w:p>
    <w:p>
      <w:pPr>
        <w:numPr>
          <w:ilvl w:val="0"/>
          <w:numId w:val="1183"/>
        </w:numPr>
        <w:pStyle w:val="Compact"/>
      </w:pPr>
      <w:r>
        <w:rPr>
          <w:rStyle w:val="VerbatimChar"/>
        </w:rPr>
        <w:t xml:space="preserve">go run -race .</w:t>
      </w:r>
      <w:r>
        <w:t xml:space="preserve"> </w:t>
      </w:r>
      <w:r>
        <w:t xml:space="preserve">runs Go’s</w:t>
      </w:r>
      <w:r>
        <w:t xml:space="preserve"> </w:t>
      </w:r>
      <w:r>
        <w:rPr>
          <w:bCs/>
          <w:b/>
        </w:rPr>
        <w:t xml:space="preserve">race detector</w:t>
      </w:r>
      <w:r>
        <w:t xml:space="preserve">, which reports</w:t>
      </w:r>
      <w:r>
        <w:t xml:space="preserve"> </w:t>
      </w:r>
      <w:r>
        <w:rPr>
          <w:rStyle w:val="VerbatimChar"/>
        </w:rPr>
        <w:t xml:space="preserve">WARNING: DATA RACE</w:t>
      </w:r>
      <w:r>
        <w:t xml:space="preserve"> </w:t>
      </w:r>
      <w:r>
        <w:t xml:space="preserve">with both stack traces; use</w:t>
      </w:r>
      <w:r>
        <w:t xml:space="preserve"> </w:t>
      </w:r>
      <w:r>
        <w:rPr>
          <w:rStyle w:val="VerbatimChar"/>
        </w:rPr>
        <w:t xml:space="preserve">-race</w:t>
      </w:r>
      <w:r>
        <w:t xml:space="preserve"> </w:t>
      </w:r>
      <w:r>
        <w:t xml:space="preserve">in CI [Go Docs: Data Race Detector].</w:t>
      </w:r>
    </w:p>
    <w:p>
      <w:pPr>
        <w:numPr>
          <w:ilvl w:val="0"/>
          <w:numId w:val="1183"/>
        </w:numPr>
        <w:pStyle w:val="Compact"/>
      </w:pPr>
      <w:r>
        <w:rPr>
          <w:rStyle w:val="VerbatimChar"/>
        </w:rPr>
        <w:t xml:space="preserve">atomic.Int64</w:t>
      </w:r>
      <w:r>
        <w:t xml:space="preserve"> </w:t>
      </w:r>
      <w:r>
        <w:t xml:space="preserve">(Go 1.19+) is one locked hardware instruction, usually faster than a mutex for a single counter; for two or more variables, use a mutex.</w:t>
      </w:r>
    </w:p>
    <w:p>
      <w:pPr>
        <w:numPr>
          <w:ilvl w:val="0"/>
          <w:numId w:val="1183"/>
        </w:numPr>
        <w:pStyle w:val="Compact"/>
      </w:pPr>
      <w:r>
        <w:t xml:space="preserve">In Go, Java and C/C++, racy programs have weak or undefined semantics: compilers and CPUs may reorder or cache values [Go Docs: Memory Model].</w:t>
      </w:r>
    </w:p>
    <w:p>
      <w:pPr>
        <w:pStyle w:val="CalloutMistake"/>
      </w:pPr>
      <w:r>
        <w:rPr>
          <w:bCs/>
          <w:b/>
        </w:rPr>
        <w:t xml:space="preserve">COMMON MISTAKE</w:t>
      </w:r>
    </w:p>
    <w:p>
      <w:pPr>
        <w:pStyle w:val="CalloutMistake"/>
      </w:pPr>
      <w:r>
        <w:rPr>
          <w:bCs/>
          <w:b/>
        </w:rPr>
        <w:t xml:space="preserve">“</w:t>
      </w:r>
      <w:r>
        <w:rPr>
          <w:bCs/>
          <w:b/>
        </w:rPr>
        <w:t xml:space="preserve">It is only a counter; a small error is fine.</w:t>
      </w:r>
      <w:r>
        <w:rPr>
          <w:bCs/>
          <w:b/>
        </w:rPr>
        <w:t xml:space="preserve">”</w:t>
      </w:r>
      <w:r>
        <w:t xml:space="preserve"> </w:t>
      </w:r>
      <w:r>
        <w:t xml:space="preserve">The same pattern guards bank balances, inventory counts, rate-limit tokens and</w:t>
      </w:r>
      <w:r>
        <w:t xml:space="preserve"> </w:t>
      </w:r>
      <w:r>
        <w:t xml:space="preserve">“</w:t>
      </w:r>
      <w:r>
        <w:t xml:space="preserve">is this seat booked?</w:t>
      </w:r>
      <w:r>
        <w:t xml:space="preserve">”</w:t>
      </w:r>
      <w:r>
        <w:t xml:space="preserve"> </w:t>
      </w:r>
      <w:r>
        <w:t xml:space="preserve">flags. Treat every read-modify-write of shared state as a critical section, or replace it with a single atomic operation.</w:t>
      </w:r>
    </w:p>
    <w:bookmarkEnd w:id="627"/>
    <w:bookmarkEnd w:id="628"/>
    <w:bookmarkStart w:id="635" w:name="synchronization-primitives"/>
    <w:p>
      <w:pPr>
        <w:pStyle w:val="Heading2"/>
      </w:pPr>
      <w:r>
        <w:t xml:space="preserve">6.10 Synchronization primitives</w:t>
      </w:r>
    </w:p>
    <w:p>
      <w:pPr>
        <w:pStyle w:val="FirstParagraph"/>
      </w:pPr>
      <w:r>
        <w:t xml:space="preserve">Each primitive below answers a specific coordination problem. Table 6.3 at the end of the section compares them.</w:t>
      </w:r>
    </w:p>
    <w:bookmarkStart w:id="629" w:name="mutexes-and-spinlocks"/>
    <w:p>
      <w:pPr>
        <w:pStyle w:val="Heading3"/>
      </w:pPr>
      <w:r>
        <w:t xml:space="preserve">6.10.1 Mutexes and spinlocks</w:t>
      </w:r>
    </w:p>
    <w:p>
      <w:pPr>
        <w:pStyle w:val="CalloutDefinition"/>
      </w:pPr>
      <w:r>
        <w:rPr>
          <w:bCs/>
          <w:b/>
        </w:rPr>
        <w:t xml:space="preserve">DEFINITION</w:t>
      </w:r>
    </w:p>
    <w:p>
      <w:pPr>
        <w:pStyle w:val="CalloutDefinition"/>
      </w:pPr>
      <w:r>
        <w:rPr>
          <w:bCs/>
          <w:b/>
        </w:rPr>
        <w:t xml:space="preserve">Definition — Mutex (mutual-exclusion lock).</w:t>
      </w:r>
      <w:r>
        <w:t xml:space="preserve"> </w:t>
      </w:r>
      <w:r>
        <w:t xml:space="preserve">An object with two operations,</w:t>
      </w:r>
      <w:r>
        <w:t xml:space="preserve"> </w:t>
      </w:r>
      <w:r>
        <w:rPr>
          <w:rStyle w:val="VerbatimChar"/>
        </w:rPr>
        <w:t xml:space="preserve">lock</w:t>
      </w:r>
      <w:r>
        <w:t xml:space="preserve"> </w:t>
      </w:r>
      <w:r>
        <w:t xml:space="preserve">and</w:t>
      </w:r>
      <w:r>
        <w:t xml:space="preserve"> </w:t>
      </w:r>
      <w:r>
        <w:rPr>
          <w:rStyle w:val="VerbatimChar"/>
        </w:rPr>
        <w:t xml:space="preserve">unlock</w:t>
      </w:r>
      <w:r>
        <w:t xml:space="preserve">, guaranteeing that at most one thread holds it at a time. A thread that calls</w:t>
      </w:r>
      <w:r>
        <w:t xml:space="preserve"> </w:t>
      </w:r>
      <w:r>
        <w:rPr>
          <w:rStyle w:val="VerbatimChar"/>
        </w:rPr>
        <w:t xml:space="preserve">lock</w:t>
      </w:r>
      <w:r>
        <w:t xml:space="preserve"> </w:t>
      </w:r>
      <w:r>
        <w:t xml:space="preserve">while another holds it waits.</w:t>
      </w:r>
    </w:p>
    <w:p>
      <w:pPr>
        <w:pStyle w:val="BodyText"/>
      </w:pPr>
      <w:r>
        <w:t xml:space="preserve">A mutex is the key to a single-occupancy bathroom. A</w:t>
      </w:r>
      <w:r>
        <w:t xml:space="preserve"> </w:t>
      </w:r>
      <w:r>
        <w:rPr>
          <w:bCs/>
          <w:b/>
        </w:rPr>
        <w:t xml:space="preserve">spinlock</w:t>
      </w:r>
      <w:r>
        <w:t xml:space="preserve"> </w:t>
      </w:r>
      <w:r>
        <w:t xml:space="preserve">waits by looping, burning CPU but reacting within nanoseconds; it suits tiny kernel critical sections. A</w:t>
      </w:r>
      <w:r>
        <w:t xml:space="preserve"> </w:t>
      </w:r>
      <w:r>
        <w:rPr>
          <w:bCs/>
          <w:b/>
        </w:rPr>
        <w:t xml:space="preserve">blocking mutex</w:t>
      </w:r>
      <w:r>
        <w:t xml:space="preserve"> </w:t>
      </w:r>
      <w:r>
        <w:t xml:space="preserve">puts the waiter to sleep (§6.4) and wakes it on unlock. Linux builds mutexes on</w:t>
      </w:r>
      <w:r>
        <w:t xml:space="preserve"> </w:t>
      </w:r>
      <w:r>
        <w:rPr>
          <w:bCs/>
          <w:b/>
        </w:rPr>
        <w:t xml:space="preserve">futexes</w:t>
      </w:r>
      <w:r>
        <w:t xml:space="preserve">: an uncontended lock is one atomic instruction in user space; only under contention does the thread call</w:t>
      </w:r>
      <w:r>
        <w:t xml:space="preserve"> </w:t>
      </w:r>
      <w:r>
        <w:rPr>
          <w:rStyle w:val="VerbatimChar"/>
        </w:rPr>
        <w:t xml:space="preserve">futex()</w:t>
      </w:r>
      <w:r>
        <w:t xml:space="preserve"> </w:t>
      </w:r>
      <w:r>
        <w:t xml:space="preserve">to sleep in the kernel [Franke et al. 2002]. Most mutexes spin briefly, then sleep. Uncontended locks cost tens of nanoseconds; contended ones cost microseconds of context switching.</w:t>
      </w:r>
    </w:p>
    <w:bookmarkEnd w:id="629"/>
    <w:bookmarkStart w:id="630" w:name="semaphores"/>
    <w:p>
      <w:pPr>
        <w:pStyle w:val="Heading3"/>
      </w:pPr>
      <w:r>
        <w:t xml:space="preserve">6.10.2 Semaphores</w:t>
      </w:r>
    </w:p>
    <w:p>
      <w:pPr>
        <w:pStyle w:val="CalloutDefinition"/>
      </w:pPr>
      <w:r>
        <w:rPr>
          <w:bCs/>
          <w:b/>
        </w:rPr>
        <w:t xml:space="preserve">DEFINITION</w:t>
      </w:r>
    </w:p>
    <w:p>
      <w:pPr>
        <w:pStyle w:val="CalloutDefinition"/>
      </w:pPr>
      <w:r>
        <w:rPr>
          <w:bCs/>
          <w:b/>
        </w:rPr>
        <w:t xml:space="preserve">Definition — Semaphore.</w:t>
      </w:r>
      <w:r>
        <w:t xml:space="preserve"> </w:t>
      </w:r>
      <w:r>
        <w:t xml:space="preserve">An integer counter with two atomic operations introduced by Dijkstra:</w:t>
      </w:r>
      <w:r>
        <w:t xml:space="preserve"> </w:t>
      </w:r>
      <w:r>
        <w:rPr>
          <w:bCs/>
          <w:b/>
        </w:rPr>
        <w:t xml:space="preserve">wait</w:t>
      </w:r>
      <w:r>
        <w:t xml:space="preserve"> </w:t>
      </w:r>
      <w:r>
        <w:t xml:space="preserve">(P, or</w:t>
      </w:r>
      <w:r>
        <w:t xml:space="preserve"> </w:t>
      </w:r>
      <w:r>
        <w:rPr>
          <w:iCs/>
          <w:i/>
        </w:rPr>
        <w:t xml:space="preserve">acquire</w:t>
      </w:r>
      <w:r>
        <w:t xml:space="preserve">) decrements it and blocks if the result would be negative;</w:t>
      </w:r>
      <w:r>
        <w:t xml:space="preserve"> </w:t>
      </w:r>
      <w:r>
        <w:rPr>
          <w:bCs/>
          <w:b/>
        </w:rPr>
        <w:t xml:space="preserve">signal</w:t>
      </w:r>
      <w:r>
        <w:t xml:space="preserve"> </w:t>
      </w:r>
      <w:r>
        <w:t xml:space="preserve">(V, or</w:t>
      </w:r>
      <w:r>
        <w:t xml:space="preserve"> </w:t>
      </w:r>
      <w:r>
        <w:rPr>
          <w:iCs/>
          <w:i/>
        </w:rPr>
        <w:t xml:space="preserve">release</w:t>
      </w:r>
      <w:r>
        <w:t xml:space="preserve">) increments it and wakes a waiter [Dijkstra 1965].</w:t>
      </w:r>
    </w:p>
    <w:p>
      <w:pPr>
        <w:pStyle w:val="BodyText"/>
      </w:pPr>
      <w:r>
        <w:t xml:space="preserve">A semaphore initialized to</w:t>
      </w:r>
      <w:r>
        <w:t xml:space="preserve"> </w:t>
      </w:r>
      <w:r>
        <w:rPr>
          <w:iCs/>
          <w:i/>
        </w:rPr>
        <w:t xml:space="preserve">N</w:t>
      </w:r>
      <w:r>
        <w:t xml:space="preserve"> </w:t>
      </w:r>
      <w:r>
        <w:t xml:space="preserve">is a car park with</w:t>
      </w:r>
      <w:r>
        <w:t xml:space="preserve"> </w:t>
      </w:r>
      <w:r>
        <w:rPr>
          <w:iCs/>
          <w:i/>
        </w:rPr>
        <w:t xml:space="preserve">N</w:t>
      </w:r>
      <w:r>
        <w:t xml:space="preserve"> </w:t>
      </w:r>
      <w:r>
        <w:t xml:space="preserve">spaces: the natural tool for</w:t>
      </w:r>
      <w:r>
        <w:t xml:space="preserve"> </w:t>
      </w:r>
      <w:r>
        <w:rPr>
          <w:bCs/>
          <w:b/>
        </w:rPr>
        <w:t xml:space="preserve">limiting concurrency</w:t>
      </w:r>
      <w:r>
        <w:t xml:space="preserve">, such as at most 20 database connections or 4 concurrent inferences on one GPU. Unlike a mutex, any thread may signal it, so it has no owner and cannot support priority inheritance (§6.11.5).</w:t>
      </w:r>
    </w:p>
    <w:bookmarkEnd w:id="630"/>
    <w:bookmarkStart w:id="631" w:name="condition-variables"/>
    <w:p>
      <w:pPr>
        <w:pStyle w:val="Heading3"/>
      </w:pPr>
      <w:r>
        <w:t xml:space="preserve">6.10.3 Condition variables</w:t>
      </w:r>
    </w:p>
    <w:p>
      <w:pPr>
        <w:pStyle w:val="CalloutDefinition"/>
      </w:pPr>
      <w:r>
        <w:rPr>
          <w:bCs/>
          <w:b/>
        </w:rPr>
        <w:t xml:space="preserve">DEFINITION</w:t>
      </w:r>
    </w:p>
    <w:p>
      <w:pPr>
        <w:pStyle w:val="CalloutDefinition"/>
      </w:pPr>
      <w:r>
        <w:rPr>
          <w:bCs/>
          <w:b/>
        </w:rPr>
        <w:t xml:space="preserve">Definition — Condition variable.</w:t>
      </w:r>
      <w:r>
        <w:t xml:space="preserve"> </w:t>
      </w:r>
      <w:r>
        <w:t xml:space="preserve">A queue of threads waiting for some condition on shared state to become true, always used together with a mutex.</w:t>
      </w:r>
      <w:r>
        <w:t xml:space="preserve"> </w:t>
      </w:r>
      <w:r>
        <w:rPr>
          <w:rStyle w:val="VerbatimChar"/>
        </w:rPr>
        <w:t xml:space="preserve">wait</w:t>
      </w:r>
      <w:r>
        <w:t xml:space="preserve"> </w:t>
      </w:r>
      <w:r>
        <w:t xml:space="preserve">atomically releases the mutex and sleeps;</w:t>
      </w:r>
      <w:r>
        <w:t xml:space="preserve"> </w:t>
      </w:r>
      <w:r>
        <w:rPr>
          <w:rStyle w:val="VerbatimChar"/>
        </w:rPr>
        <w:t xml:space="preserve">notify</w:t>
      </w:r>
      <w:r>
        <w:t xml:space="preserve"> </w:t>
      </w:r>
      <w:r>
        <w:t xml:space="preserve">(</w:t>
      </w:r>
      <w:r>
        <w:rPr>
          <w:rStyle w:val="VerbatimChar"/>
        </w:rPr>
        <w:t xml:space="preserve">signal</w:t>
      </w:r>
      <w:r>
        <w:t xml:space="preserve">) wakes one waiter and</w:t>
      </w:r>
      <w:r>
        <w:t xml:space="preserve"> </w:t>
      </w:r>
      <w:r>
        <w:rPr>
          <w:rStyle w:val="VerbatimChar"/>
        </w:rPr>
        <w:t xml:space="preserve">notify_all</w:t>
      </w:r>
      <w:r>
        <w:t xml:space="preserve"> </w:t>
      </w:r>
      <w:r>
        <w:t xml:space="preserve">(</w:t>
      </w:r>
      <w:r>
        <w:rPr>
          <w:rStyle w:val="VerbatimChar"/>
        </w:rPr>
        <w:t xml:space="preserve">broadcast</w:t>
      </w:r>
      <w:r>
        <w:t xml:space="preserve">) wakes all.</w:t>
      </w:r>
    </w:p>
    <w:p>
      <w:pPr>
        <w:pStyle w:val="BodyText"/>
      </w:pPr>
      <w:r>
        <w:t xml:space="preserve">A mutex answers</w:t>
      </w:r>
      <w:r>
        <w:t xml:space="preserve"> </w:t>
      </w:r>
      <w:r>
        <w:t xml:space="preserve">“</w:t>
      </w:r>
      <w:r>
        <w:t xml:space="preserve">only one at a time</w:t>
      </w:r>
      <w:r>
        <w:t xml:space="preserve">”</w:t>
      </w:r>
      <w:r>
        <w:t xml:space="preserve">; a condition variable answers</w:t>
      </w:r>
      <w:r>
        <w:t xml:space="preserve"> </w:t>
      </w:r>
      <w:r>
        <w:t xml:space="preserve">“</w:t>
      </w:r>
      <w:r>
        <w:t xml:space="preserve">wait until something is true</w:t>
      </w:r>
      <w:r>
        <w:t xml:space="preserve">”</w:t>
      </w:r>
      <w:r>
        <w:t xml:space="preserve">, such as</w:t>
      </w:r>
      <w:r>
        <w:t xml:space="preserve"> </w:t>
      </w:r>
      <w:r>
        <w:t xml:space="preserve">“</w:t>
      </w:r>
      <w:r>
        <w:t xml:space="preserve">the queue is not empty</w:t>
      </w:r>
      <w:r>
        <w:t xml:space="preserve">”</w:t>
      </w:r>
      <w:r>
        <w:t xml:space="preserve">. The bounded buffer below is the canonical example: producers wait while the buffer is full, consumers while it is empty.</w:t>
      </w:r>
    </w:p>
    <w:p>
      <w:pPr>
        <w:pStyle w:val="SourceCode"/>
      </w:pPr>
      <w:r>
        <w:rPr>
          <w:rStyle w:val="CommentTok"/>
        </w:rPr>
        <w:t xml:space="preserve">"""A bounded buffer (producer/consumer) built from one mutex and two condition variables."""</w:t>
      </w:r>
      <w:r>
        <w:br/>
      </w:r>
      <w:r>
        <w:rPr>
          <w:rStyle w:val="ImportTok"/>
        </w:rPr>
        <w:t xml:space="preserve">import</w:t>
      </w:r>
      <w:r>
        <w:rPr>
          <w:rStyle w:val="NormalTok"/>
        </w:rPr>
        <w:t xml:space="preserve"> threading</w:t>
      </w:r>
      <w:r>
        <w:br/>
      </w:r>
      <w:r>
        <w:rPr>
          <w:rStyle w:val="ImportTok"/>
        </w:rPr>
        <w:t xml:space="preserve">from</w:t>
      </w:r>
      <w:r>
        <w:rPr>
          <w:rStyle w:val="NormalTok"/>
        </w:rPr>
        <w:t xml:space="preserve"> collections </w:t>
      </w:r>
      <w:r>
        <w:rPr>
          <w:rStyle w:val="ImportTok"/>
        </w:rPr>
        <w:t xml:space="preserve">import</w:t>
      </w:r>
      <w:r>
        <w:rPr>
          <w:rStyle w:val="NormalTok"/>
        </w:rPr>
        <w:t xml:space="preserve"> deque</w:t>
      </w:r>
      <w:r>
        <w:br/>
      </w:r>
      <w:r>
        <w:br/>
      </w:r>
      <w:r>
        <w:br/>
      </w:r>
      <w:r>
        <w:rPr>
          <w:rStyle w:val="KeywordTok"/>
        </w:rPr>
        <w:t xml:space="preserve">class</w:t>
      </w:r>
      <w:r>
        <w:rPr>
          <w:rStyle w:val="NormalTok"/>
        </w:rPr>
        <w:t xml:space="preserve"> BoundedBuffer: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capacity: </w:t>
      </w:r>
      <w:r>
        <w:rPr>
          <w:rStyle w:val="BuiltInTok"/>
        </w:rPr>
        <w:t xml:space="preserve">int</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.capacity </w:t>
      </w:r>
      <w:r>
        <w:rPr>
          <w:rStyle w:val="OperatorTok"/>
        </w:rPr>
        <w:t xml:space="preserve">=</w:t>
      </w:r>
      <w:r>
        <w:rPr>
          <w:rStyle w:val="NormalTok"/>
        </w:rPr>
        <w:t xml:space="preserve"> capacity</w:t>
      </w:r>
      <w:r>
        <w:br/>
      </w:r>
      <w:r>
        <w:rPr>
          <w:rStyle w:val="NormalTok"/>
        </w:rPr>
        <w:t xml:space="preserve">        </w:t>
      </w:r>
      <w:r>
        <w:rPr>
          <w:rStyle w:val="VariableTok"/>
        </w:rPr>
        <w:t xml:space="preserve">self</w:t>
      </w:r>
      <w:r>
        <w:rPr>
          <w:rStyle w:val="NormalTok"/>
        </w:rPr>
        <w:t xml:space="preserve">.items </w:t>
      </w:r>
      <w:r>
        <w:rPr>
          <w:rStyle w:val="OperatorTok"/>
        </w:rPr>
        <w:t xml:space="preserve">=</w:t>
      </w:r>
      <w:r>
        <w:rPr>
          <w:rStyle w:val="NormalTok"/>
        </w:rPr>
        <w:t xml:space="preserve"> deque()</w:t>
      </w:r>
      <w:r>
        <w:br/>
      </w:r>
      <w:r>
        <w:rPr>
          <w:rStyle w:val="NormalTok"/>
        </w:rPr>
        <w:t xml:space="preserve">        </w:t>
      </w:r>
      <w:r>
        <w:rPr>
          <w:rStyle w:val="VariableTok"/>
        </w:rPr>
        <w:t xml:space="preserve">self</w:t>
      </w:r>
      <w:r>
        <w:rPr>
          <w:rStyle w:val="NormalTok"/>
        </w:rPr>
        <w:t xml:space="preserve">.lock </w:t>
      </w:r>
      <w:r>
        <w:rPr>
          <w:rStyle w:val="OperatorTok"/>
        </w:rPr>
        <w:t xml:space="preserve">=</w:t>
      </w:r>
      <w:r>
        <w:rPr>
          <w:rStyle w:val="NormalTok"/>
        </w:rPr>
        <w:t xml:space="preserve"> threading.Lock()</w:t>
      </w:r>
      <w:r>
        <w:br/>
      </w:r>
      <w:r>
        <w:rPr>
          <w:rStyle w:val="NormalTok"/>
        </w:rPr>
        <w:t xml:space="preserve">        </w:t>
      </w:r>
      <w:r>
        <w:rPr>
          <w:rStyle w:val="VariableTok"/>
        </w:rPr>
        <w:t xml:space="preserve">self</w:t>
      </w:r>
      <w:r>
        <w:rPr>
          <w:rStyle w:val="NormalTok"/>
        </w:rPr>
        <w:t xml:space="preserve">.not_full </w:t>
      </w:r>
      <w:r>
        <w:rPr>
          <w:rStyle w:val="OperatorTok"/>
        </w:rPr>
        <w:t xml:space="preserve">=</w:t>
      </w:r>
      <w:r>
        <w:rPr>
          <w:rStyle w:val="NormalTok"/>
        </w:rPr>
        <w:t xml:space="preserve"> threading.Condition(</w:t>
      </w:r>
      <w:r>
        <w:rPr>
          <w:rStyle w:val="VariableTok"/>
        </w:rPr>
        <w:t xml:space="preserve">self</w:t>
      </w:r>
      <w:r>
        <w:rPr>
          <w:rStyle w:val="NormalTok"/>
        </w:rPr>
        <w:t xml:space="preserve">.lock)   </w:t>
      </w:r>
      <w:r>
        <w:rPr>
          <w:rStyle w:val="CommentTok"/>
        </w:rPr>
        <w:t xml:space="preserve"># producers wait here</w:t>
      </w:r>
      <w:r>
        <w:br/>
      </w:r>
      <w:r>
        <w:rPr>
          <w:rStyle w:val="NormalTok"/>
        </w:rPr>
        <w:t xml:space="preserve">        </w:t>
      </w:r>
      <w:r>
        <w:rPr>
          <w:rStyle w:val="VariableTok"/>
        </w:rPr>
        <w:t xml:space="preserve">self</w:t>
      </w:r>
      <w:r>
        <w:rPr>
          <w:rStyle w:val="NormalTok"/>
        </w:rPr>
        <w:t xml:space="preserve">.not_empty </w:t>
      </w:r>
      <w:r>
        <w:rPr>
          <w:rStyle w:val="OperatorTok"/>
        </w:rPr>
        <w:t xml:space="preserve">=</w:t>
      </w:r>
      <w:r>
        <w:rPr>
          <w:rStyle w:val="NormalTok"/>
        </w:rPr>
        <w:t xml:space="preserve"> threading.Condition(</w:t>
      </w:r>
      <w:r>
        <w:rPr>
          <w:rStyle w:val="VariableTok"/>
        </w:rPr>
        <w:t xml:space="preserve">self</w:t>
      </w:r>
      <w:r>
        <w:rPr>
          <w:rStyle w:val="NormalTok"/>
        </w:rPr>
        <w:t xml:space="preserve">.lock)  </w:t>
      </w:r>
      <w:r>
        <w:rPr>
          <w:rStyle w:val="CommentTok"/>
        </w:rPr>
        <w:t xml:space="preserve"># consumers wait here</w:t>
      </w:r>
      <w:r>
        <w:br/>
      </w:r>
      <w:r>
        <w:br/>
      </w:r>
      <w:r>
        <w:rPr>
          <w:rStyle w:val="NormalTok"/>
        </w:rPr>
        <w:t xml:space="preserve">    </w:t>
      </w:r>
      <w:r>
        <w:rPr>
          <w:rStyle w:val="KeywordTok"/>
        </w:rPr>
        <w:t xml:space="preserve">def</w:t>
      </w:r>
      <w:r>
        <w:rPr>
          <w:rStyle w:val="NormalTok"/>
        </w:rPr>
        <w:t xml:space="preserve"> put(</w:t>
      </w:r>
      <w:r>
        <w:rPr>
          <w:rStyle w:val="VariableTok"/>
        </w:rPr>
        <w:t xml:space="preserve">self</w:t>
      </w:r>
      <w:r>
        <w:rPr>
          <w:rStyle w:val="NormalTok"/>
        </w:rPr>
        <w:t xml:space="preserve">, item)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.lock:</w:t>
      </w:r>
      <w:r>
        <w:br/>
      </w:r>
      <w:r>
        <w:rPr>
          <w:rStyle w:val="NormalTok"/>
        </w:rPr>
        <w:t xml:space="preserve">            </w:t>
      </w:r>
      <w:r>
        <w:rPr>
          <w:rStyle w:val="ControlFlowTok"/>
        </w:rPr>
        <w:t xml:space="preserve">while</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.items) </w:t>
      </w:r>
      <w:r>
        <w:rPr>
          <w:rStyle w:val="OperatorTok"/>
        </w:rPr>
        <w:t xml:space="preserve">==</w:t>
      </w:r>
      <w:r>
        <w:rPr>
          <w:rStyle w:val="NormalTok"/>
        </w:rPr>
        <w:t xml:space="preserve"> </w:t>
      </w:r>
      <w:r>
        <w:rPr>
          <w:rStyle w:val="VariableTok"/>
        </w:rPr>
        <w:t xml:space="preserve">self</w:t>
      </w:r>
      <w:r>
        <w:rPr>
          <w:rStyle w:val="NormalTok"/>
        </w:rPr>
        <w:t xml:space="preserve">.capacity:      </w:t>
      </w:r>
      <w:r>
        <w:rPr>
          <w:rStyle w:val="CommentTok"/>
        </w:rPr>
        <w:t xml:space="preserve"># while, not if</w:t>
      </w:r>
      <w:r>
        <w:br/>
      </w:r>
      <w:r>
        <w:rPr>
          <w:rStyle w:val="NormalTok"/>
        </w:rPr>
        <w:t xml:space="preserve">                </w:t>
      </w:r>
      <w:r>
        <w:rPr>
          <w:rStyle w:val="VariableTok"/>
        </w:rPr>
        <w:t xml:space="preserve">self</w:t>
      </w:r>
      <w:r>
        <w:rPr>
          <w:rStyle w:val="NormalTok"/>
        </w:rPr>
        <w:t xml:space="preserve">.not_full.wait()                     </w:t>
      </w:r>
      <w:r>
        <w:rPr>
          <w:rStyle w:val="CommentTok"/>
        </w:rPr>
        <w:t xml:space="preserve"># releases lock while asleep</w:t>
      </w:r>
      <w:r>
        <w:br/>
      </w:r>
      <w:r>
        <w:rPr>
          <w:rStyle w:val="NormalTok"/>
        </w:rPr>
        <w:t xml:space="preserve">            </w:t>
      </w:r>
      <w:r>
        <w:rPr>
          <w:rStyle w:val="VariableTok"/>
        </w:rPr>
        <w:t xml:space="preserve">self</w:t>
      </w:r>
      <w:r>
        <w:rPr>
          <w:rStyle w:val="NormalTok"/>
        </w:rPr>
        <w:t xml:space="preserve">.items.append(item)</w:t>
      </w:r>
      <w:r>
        <w:br/>
      </w:r>
      <w:r>
        <w:rPr>
          <w:rStyle w:val="NormalTok"/>
        </w:rPr>
        <w:t xml:space="preserve">            </w:t>
      </w:r>
      <w:r>
        <w:rPr>
          <w:rStyle w:val="VariableTok"/>
        </w:rPr>
        <w:t xml:space="preserve">self</w:t>
      </w:r>
      <w:r>
        <w:rPr>
          <w:rStyle w:val="NormalTok"/>
        </w:rPr>
        <w:t xml:space="preserve">.not_empty.notify()                      </w:t>
      </w:r>
      <w:r>
        <w:rPr>
          <w:rStyle w:val="CommentTok"/>
        </w:rPr>
        <w:t xml:space="preserve"># wake one consumer</w:t>
      </w:r>
      <w:r>
        <w:br/>
      </w:r>
      <w:r>
        <w:br/>
      </w:r>
      <w:r>
        <w:rPr>
          <w:rStyle w:val="NormalTok"/>
        </w:rPr>
        <w:t xml:space="preserve">    </w:t>
      </w:r>
      <w:r>
        <w:rPr>
          <w:rStyle w:val="KeywordTok"/>
        </w:rPr>
        <w:t xml:space="preserve">def</w:t>
      </w:r>
      <w:r>
        <w:rPr>
          <w:rStyle w:val="NormalTok"/>
        </w:rPr>
        <w:t xml:space="preserve"> get(</w:t>
      </w:r>
      <w:r>
        <w:rPr>
          <w:rStyle w:val="VariableTok"/>
        </w:rPr>
        <w:t xml:space="preserve">self</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.lock:</w:t>
      </w:r>
      <w:r>
        <w:br/>
      </w:r>
      <w:r>
        <w:rPr>
          <w:rStyle w:val="NormalTok"/>
        </w:rPr>
        <w:t xml:space="preserve">            </w:t>
      </w:r>
      <w:r>
        <w:rPr>
          <w:rStyle w:val="ControlFlowTok"/>
        </w:rPr>
        <w:t xml:space="preserve">while</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.items:</w:t>
      </w:r>
      <w:r>
        <w:br/>
      </w:r>
      <w:r>
        <w:rPr>
          <w:rStyle w:val="NormalTok"/>
        </w:rPr>
        <w:t xml:space="preserve">                </w:t>
      </w:r>
      <w:r>
        <w:rPr>
          <w:rStyle w:val="VariableTok"/>
        </w:rPr>
        <w:t xml:space="preserve">self</w:t>
      </w:r>
      <w:r>
        <w:rPr>
          <w:rStyle w:val="NormalTok"/>
        </w:rPr>
        <w:t xml:space="preserve">.not_empty.wait()</w:t>
      </w:r>
      <w:r>
        <w:br/>
      </w:r>
      <w:r>
        <w:rPr>
          <w:rStyle w:val="NormalTok"/>
        </w:rPr>
        <w:t xml:space="preserve">            item </w:t>
      </w:r>
      <w:r>
        <w:rPr>
          <w:rStyle w:val="OperatorTok"/>
        </w:rPr>
        <w:t xml:space="preserve">=</w:t>
      </w:r>
      <w:r>
        <w:rPr>
          <w:rStyle w:val="NormalTok"/>
        </w:rPr>
        <w:t xml:space="preserve"> </w:t>
      </w:r>
      <w:r>
        <w:rPr>
          <w:rStyle w:val="VariableTok"/>
        </w:rPr>
        <w:t xml:space="preserve">self</w:t>
      </w:r>
      <w:r>
        <w:rPr>
          <w:rStyle w:val="NormalTok"/>
        </w:rPr>
        <w:t xml:space="preserve">.items.popleft()</w:t>
      </w:r>
      <w:r>
        <w:br/>
      </w:r>
      <w:r>
        <w:rPr>
          <w:rStyle w:val="NormalTok"/>
        </w:rPr>
        <w:t xml:space="preserve">            </w:t>
      </w:r>
      <w:r>
        <w:rPr>
          <w:rStyle w:val="VariableTok"/>
        </w:rPr>
        <w:t xml:space="preserve">self</w:t>
      </w:r>
      <w:r>
        <w:rPr>
          <w:rStyle w:val="NormalTok"/>
        </w:rPr>
        <w:t xml:space="preserve">.not_full.notify()                       </w:t>
      </w:r>
      <w:r>
        <w:rPr>
          <w:rStyle w:val="CommentTok"/>
        </w:rPr>
        <w:t xml:space="preserve"># wake one producer</w:t>
      </w:r>
      <w:r>
        <w:br/>
      </w:r>
      <w:r>
        <w:rPr>
          <w:rStyle w:val="NormalTok"/>
        </w:rPr>
        <w:t xml:space="preserve">            </w:t>
      </w:r>
      <w:r>
        <w:rPr>
          <w:rStyle w:val="ControlFlowTok"/>
        </w:rPr>
        <w:t xml:space="preserve">return</w:t>
      </w:r>
      <w:r>
        <w:rPr>
          <w:rStyle w:val="NormalTok"/>
        </w:rPr>
        <w:t xml:space="preserve"> item</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buf </w:t>
      </w:r>
      <w:r>
        <w:rPr>
          <w:rStyle w:val="OperatorTok"/>
        </w:rPr>
        <w:t xml:space="preserve">=</w:t>
      </w:r>
      <w:r>
        <w:rPr>
          <w:rStyle w:val="NormalTok"/>
        </w:rPr>
        <w:t xml:space="preserve"> BoundedBuffer(capacity</w:t>
      </w:r>
      <w:r>
        <w:rPr>
          <w:rStyle w:val="OperatorTok"/>
        </w:rPr>
        <w:t xml:space="preserve">=</w:t>
      </w:r>
      <w:r>
        <w:rPr>
          <w:rStyle w:val="DecValTok"/>
        </w:rPr>
        <w:t xml:space="preserve">8</w:t>
      </w:r>
      <w:r>
        <w:rPr>
          <w:rStyle w:val="NormalTok"/>
        </w:rPr>
        <w:t xml:space="preserve">)</w:t>
      </w:r>
      <w:r>
        <w:br/>
      </w:r>
      <w:r>
        <w:rPr>
          <w:rStyle w:val="NormalTok"/>
        </w:rPr>
        <w:t xml:space="preserve">    N_PRODUCERS, PER_PRODUCER </w:t>
      </w:r>
      <w:r>
        <w:rPr>
          <w:rStyle w:val="OperatorTok"/>
        </w:rPr>
        <w:t xml:space="preserve">=</w:t>
      </w:r>
      <w:r>
        <w:rPr>
          <w:rStyle w:val="NormalTok"/>
        </w:rPr>
        <w:t xml:space="preserve"> </w:t>
      </w:r>
      <w:r>
        <w:rPr>
          <w:rStyle w:val="DecValTok"/>
        </w:rPr>
        <w:t xml:space="preserve">3</w:t>
      </w:r>
      <w:r>
        <w:rPr>
          <w:rStyle w:val="NormalTok"/>
        </w:rPr>
        <w:t xml:space="preserve">, </w:t>
      </w:r>
      <w:r>
        <w:rPr>
          <w:rStyle w:val="DecValTok"/>
        </w:rPr>
        <w:t xml:space="preserve">10_000</w:t>
      </w:r>
      <w:r>
        <w:br/>
      </w:r>
      <w:r>
        <w:rPr>
          <w:rStyle w:val="NormalTok"/>
        </w:rPr>
        <w:t xml:space="preserve">    results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producer(pid: </w:t>
      </w:r>
      <w:r>
        <w:rPr>
          <w:rStyle w:val="BuiltInTok"/>
        </w:rPr>
        <w:t xml:space="preserve">int</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(PER_PRODUCER):</w:t>
      </w:r>
      <w:r>
        <w:br/>
      </w:r>
      <w:r>
        <w:rPr>
          <w:rStyle w:val="NormalTok"/>
        </w:rPr>
        <w:t xml:space="preserve">            buf.put((pid, i))</w:t>
      </w:r>
      <w:r>
        <w:br/>
      </w:r>
      <w:r>
        <w:br/>
      </w:r>
      <w:r>
        <w:rPr>
          <w:rStyle w:val="NormalTok"/>
        </w:rPr>
        <w:t xml:space="preserve">    </w:t>
      </w:r>
      <w:r>
        <w:rPr>
          <w:rStyle w:val="KeywordTok"/>
        </w:rPr>
        <w:t xml:space="preserve">def</w:t>
      </w:r>
      <w:r>
        <w:rPr>
          <w:rStyle w:val="NormalTok"/>
        </w:rPr>
        <w:t xml:space="preserve"> consumer()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(N_PRODUCERS </w:t>
      </w:r>
      <w:r>
        <w:rPr>
          <w:rStyle w:val="OperatorTok"/>
        </w:rPr>
        <w:t xml:space="preserve">*</w:t>
      </w:r>
      <w:r>
        <w:rPr>
          <w:rStyle w:val="NormalTok"/>
        </w:rPr>
        <w:t xml:space="preserve"> PER_PRODUCER):</w:t>
      </w:r>
      <w:r>
        <w:br/>
      </w:r>
      <w:r>
        <w:rPr>
          <w:rStyle w:val="NormalTok"/>
        </w:rPr>
        <w:t xml:space="preserve">            results.append(buf.get())</w:t>
      </w:r>
      <w:r>
        <w:br/>
      </w:r>
      <w:r>
        <w:br/>
      </w:r>
      <w:r>
        <w:rPr>
          <w:rStyle w:val="NormalTok"/>
        </w:rPr>
        <w:t xml:space="preserve">    threads </w:t>
      </w:r>
      <w:r>
        <w:rPr>
          <w:rStyle w:val="OperatorTok"/>
        </w:rPr>
        <w:t xml:space="preserve">=</w:t>
      </w:r>
      <w:r>
        <w:rPr>
          <w:rStyle w:val="NormalTok"/>
        </w:rPr>
        <w:t xml:space="preserve"> [threading.Thread(target</w:t>
      </w:r>
      <w:r>
        <w:rPr>
          <w:rStyle w:val="OperatorTok"/>
        </w:rPr>
        <w:t xml:space="preserve">=</w:t>
      </w:r>
      <w:r>
        <w:rPr>
          <w:rStyle w:val="NormalTok"/>
        </w:rPr>
        <w:t xml:space="preserve">producer, args</w:t>
      </w:r>
      <w:r>
        <w:rPr>
          <w:rStyle w:val="OperatorTok"/>
        </w:rPr>
        <w:t xml:space="preserve">=</w:t>
      </w:r>
      <w:r>
        <w:rPr>
          <w:rStyle w:val="NormalTok"/>
        </w:rPr>
        <w:t xml:space="preserve">(p,)) </w:t>
      </w:r>
      <w:r>
        <w:rPr>
          <w:rStyle w:val="ControlFlowTok"/>
        </w:rPr>
        <w:t xml:space="preserve">for</w:t>
      </w:r>
      <w:r>
        <w:rPr>
          <w:rStyle w:val="NormalTok"/>
        </w:rPr>
        <w:t xml:space="preserve"> p </w:t>
      </w:r>
      <w:r>
        <w:rPr>
          <w:rStyle w:val="KeywordTok"/>
        </w:rPr>
        <w:t xml:space="preserve">in</w:t>
      </w:r>
      <w:r>
        <w:rPr>
          <w:rStyle w:val="NormalTok"/>
        </w:rPr>
        <w:t xml:space="preserve"> </w:t>
      </w:r>
      <w:r>
        <w:rPr>
          <w:rStyle w:val="BuiltInTok"/>
        </w:rPr>
        <w:t xml:space="preserve">range</w:t>
      </w:r>
      <w:r>
        <w:rPr>
          <w:rStyle w:val="NormalTok"/>
        </w:rPr>
        <w:t xml:space="preserve">(N_PRODUCERS)]</w:t>
      </w:r>
      <w:r>
        <w:br/>
      </w:r>
      <w:r>
        <w:rPr>
          <w:rStyle w:val="NormalTok"/>
        </w:rPr>
        <w:t xml:space="preserve">    threads.append(threading.Thread(target</w:t>
      </w:r>
      <w:r>
        <w:rPr>
          <w:rStyle w:val="OperatorTok"/>
        </w:rPr>
        <w:t xml:space="preserve">=</w:t>
      </w:r>
      <w:r>
        <w:rPr>
          <w:rStyle w:val="NormalTok"/>
        </w:rPr>
        <w:t xml:space="preserve">consumer))</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threads:</w:t>
      </w:r>
      <w:r>
        <w:br/>
      </w:r>
      <w:r>
        <w:rPr>
          <w:rStyle w:val="NormalTok"/>
        </w:rPr>
        <w:t xml:space="preserve">        t.start()</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threads:</w:t>
      </w:r>
      <w:r>
        <w:br/>
      </w:r>
      <w:r>
        <w:rPr>
          <w:rStyle w:val="NormalTok"/>
        </w:rPr>
        <w:t xml:space="preserve">        t.join()</w:t>
      </w:r>
      <w:r>
        <w:br/>
      </w:r>
      <w:r>
        <w:rPr>
          <w:rStyle w:val="NormalTok"/>
        </w:rPr>
        <w:t xml:space="preserve">    </w:t>
      </w:r>
      <w:r>
        <w:rPr>
          <w:rStyle w:val="BuiltInTok"/>
        </w:rPr>
        <w:t xml:space="preserve">print</w:t>
      </w:r>
      <w:r>
        <w:rPr>
          <w:rStyle w:val="NormalTok"/>
        </w:rPr>
        <w:t xml:space="preserve">(</w:t>
      </w:r>
      <w:r>
        <w:rPr>
          <w:rStyle w:val="StringTok"/>
        </w:rPr>
        <w:t xml:space="preserve">"consumed:"</w:t>
      </w:r>
      <w:r>
        <w:rPr>
          <w:rStyle w:val="NormalTok"/>
        </w:rPr>
        <w:t xml:space="preserve">, </w:t>
      </w:r>
      <w:r>
        <w:rPr>
          <w:rStyle w:val="BuiltInTok"/>
        </w:rPr>
        <w:t xml:space="preserve">len</w:t>
      </w:r>
      <w:r>
        <w:rPr>
          <w:rStyle w:val="NormalTok"/>
        </w:rPr>
        <w:t xml:space="preserve">(results), </w:t>
      </w:r>
      <w:r>
        <w:rPr>
          <w:rStyle w:val="StringTok"/>
        </w:rPr>
        <w:t xml:space="preserve">"unique:"</w:t>
      </w:r>
      <w:r>
        <w:rPr>
          <w:rStyle w:val="NormalTok"/>
        </w:rPr>
        <w:t xml:space="preserve">, </w:t>
      </w:r>
      <w:r>
        <w:rPr>
          <w:rStyle w:val="BuiltInTok"/>
        </w:rPr>
        <w:t xml:space="preserve">len</w:t>
      </w:r>
      <w:r>
        <w:rPr>
          <w:rStyle w:val="NormalTok"/>
        </w:rPr>
        <w:t xml:space="preserve">(</w:t>
      </w:r>
      <w:r>
        <w:rPr>
          <w:rStyle w:val="BuiltInTok"/>
        </w:rPr>
        <w:t xml:space="preserve">set</w:t>
      </w:r>
      <w:r>
        <w:rPr>
          <w:rStyle w:val="NormalTok"/>
        </w:rPr>
        <w:t xml:space="preserve">(results)))</w:t>
      </w:r>
    </w:p>
    <w:p>
      <w:pPr>
        <w:pStyle w:val="FirstParagraph"/>
      </w:pPr>
      <w:r>
        <w:t xml:space="preserve">Output:</w:t>
      </w:r>
      <w:r>
        <w:t xml:space="preserve"> </w:t>
      </w:r>
      <w:r>
        <w:rPr>
          <w:rStyle w:val="VerbatimChar"/>
        </w:rPr>
        <w:t xml:space="preserve">consumed: 30000 unique: 30000</w:t>
      </w:r>
      <w:r>
        <w:t xml:space="preserve">.</w:t>
      </w:r>
    </w:p>
    <w:p>
      <w:pPr>
        <w:pStyle w:val="BodyText"/>
      </w:pPr>
      <w:r>
        <w:t xml:space="preserve">What to notice:</w:t>
      </w:r>
    </w:p>
    <w:p>
      <w:pPr>
        <w:numPr>
          <w:ilvl w:val="0"/>
          <w:numId w:val="1184"/>
        </w:numPr>
        <w:pStyle w:val="Compact"/>
      </w:pPr>
      <w:r>
        <w:t xml:space="preserve">The condition is re-checked in a</w:t>
      </w:r>
      <w:r>
        <w:t xml:space="preserve"> </w:t>
      </w:r>
      <w:r>
        <w:rPr>
          <w:rStyle w:val="VerbatimChar"/>
          <w:bCs/>
          <w:b/>
        </w:rPr>
        <w:t xml:space="preserve">while</w:t>
      </w:r>
      <w:r>
        <w:rPr>
          <w:bCs/>
          <w:b/>
        </w:rPr>
        <w:t xml:space="preserve"> </w:t>
      </w:r>
      <w:r>
        <w:rPr>
          <w:bCs/>
          <w:b/>
        </w:rPr>
        <w:t xml:space="preserve">loop</w:t>
      </w:r>
      <w:r>
        <w:t xml:space="preserve">: under</w:t>
      </w:r>
      <w:r>
        <w:t xml:space="preserve"> </w:t>
      </w:r>
      <w:r>
        <w:rPr>
          <w:bCs/>
          <w:b/>
        </w:rPr>
        <w:t xml:space="preserve">Mesa semantics</w:t>
      </w:r>
      <w:r>
        <w:t xml:space="preserve">, used by almost every real system, a woken thread only becomes runnable, and another thread may take the item first;</w:t>
      </w:r>
      <w:r>
        <w:t xml:space="preserve"> </w:t>
      </w:r>
      <w:r>
        <w:rPr>
          <w:bCs/>
          <w:b/>
        </w:rPr>
        <w:t xml:space="preserve">spurious wake-ups</w:t>
      </w:r>
      <w:r>
        <w:t xml:space="preserve"> </w:t>
      </w:r>
      <w:r>
        <w:t xml:space="preserve">are also allowed [Lampson &amp; Redell 1980].</w:t>
      </w:r>
    </w:p>
    <w:p>
      <w:pPr>
        <w:numPr>
          <w:ilvl w:val="0"/>
          <w:numId w:val="1184"/>
        </w:numPr>
        <w:pStyle w:val="Compact"/>
      </w:pPr>
      <w:r>
        <w:rPr>
          <w:rStyle w:val="VerbatimChar"/>
        </w:rPr>
        <w:t xml:space="preserve">wait()</w:t>
      </w:r>
      <w:r>
        <w:t xml:space="preserve"> </w:t>
      </w:r>
      <w:r>
        <w:t xml:space="preserve">releases the lock while sleeping and reacquires it before returning.</w:t>
      </w:r>
    </w:p>
    <w:p>
      <w:pPr>
        <w:numPr>
          <w:ilvl w:val="0"/>
          <w:numId w:val="1184"/>
        </w:numPr>
        <w:pStyle w:val="Compact"/>
      </w:pPr>
      <w:r>
        <w:t xml:space="preserve">The bounded capacity is</w:t>
      </w:r>
      <w:r>
        <w:t xml:space="preserve"> </w:t>
      </w:r>
      <w:r>
        <w:rPr>
          <w:bCs/>
          <w:b/>
        </w:rPr>
        <w:t xml:space="preserve">backpressure</w:t>
      </w:r>
      <w:r>
        <w:t xml:space="preserve"> </w:t>
      </w:r>
      <w:r>
        <w:t xml:space="preserve">(§22.10): producers slow to the consumer’s pace instead of exhausting memory. Python’s</w:t>
      </w:r>
      <w:r>
        <w:t xml:space="preserve"> </w:t>
      </w:r>
      <w:r>
        <w:rPr>
          <w:rStyle w:val="VerbatimChar"/>
        </w:rPr>
        <w:t xml:space="preserve">queue.Queue</w:t>
      </w:r>
      <w:r>
        <w:t xml:space="preserve"> </w:t>
      </w:r>
      <w:r>
        <w:t xml:space="preserve">works this way.</w:t>
      </w:r>
    </w:p>
    <w:bookmarkEnd w:id="631"/>
    <w:bookmarkStart w:id="632" w:name="atomics-and-compare-and-swap"/>
    <w:p>
      <w:pPr>
        <w:pStyle w:val="Heading3"/>
      </w:pPr>
      <w:r>
        <w:t xml:space="preserve">6.10.4 Atomics and compare-and-swap</w:t>
      </w:r>
    </w:p>
    <w:p>
      <w:pPr>
        <w:pStyle w:val="CalloutDefinition"/>
      </w:pPr>
      <w:r>
        <w:rPr>
          <w:bCs/>
          <w:b/>
        </w:rPr>
        <w:t xml:space="preserve">DEFINITION</w:t>
      </w:r>
    </w:p>
    <w:p>
      <w:pPr>
        <w:pStyle w:val="CalloutDefinition"/>
      </w:pPr>
      <w:r>
        <w:rPr>
          <w:bCs/>
          <w:b/>
        </w:rPr>
        <w:t xml:space="preserve">Definition — Compare-and-swap (CAS).</w:t>
      </w:r>
      <w:r>
        <w:t xml:space="preserve"> </w:t>
      </w:r>
      <w:r>
        <w:t xml:space="preserve">An atomic CPU instruction that, in one indivisible step, compares a memory location with an expected value and, only if they are equal, replaces it with a new value, reporting whether it succeeded. On x86-64 it is</w:t>
      </w:r>
      <w:r>
        <w:t xml:space="preserve"> </w:t>
      </w:r>
      <w:r>
        <w:rPr>
          <w:rStyle w:val="VerbatimChar"/>
        </w:rPr>
        <w:t xml:space="preserve">LOCK CMPXCHG</w:t>
      </w:r>
      <w:r>
        <w:t xml:space="preserve">; ARMv8.1 and later provide</w:t>
      </w:r>
      <w:r>
        <w:t xml:space="preserve"> </w:t>
      </w:r>
      <w:r>
        <w:rPr>
          <w:rStyle w:val="VerbatimChar"/>
        </w:rPr>
        <w:t xml:space="preserve">CAS</w:t>
      </w:r>
      <w:r>
        <w:t xml:space="preserve">, and earlier ARM uses load-linked/store-conditional pairs.</w:t>
      </w:r>
    </w:p>
    <w:p>
      <w:pPr>
        <w:pStyle w:val="BodyText"/>
      </w:pPr>
      <w:r>
        <w:t xml:space="preserve">Atomic instructions (atomic add, exchange, CAS) make a single read-modify-write indivisible in hardware, with no lock and no sleeping. CAS is the building block for everything else: to apply any update, read the current value, compute the new one, and CAS it in; if another thread changed the value meanwhile, the CAS fails and you retry.</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concurrent</w:t>
      </w:r>
      <w:r>
        <w:rPr>
          <w:rStyle w:val="OperatorTok"/>
        </w:rPr>
        <w:t xml:space="preserve">.</w:t>
      </w:r>
      <w:r>
        <w:rPr>
          <w:rStyle w:val="ImportTok"/>
        </w:rPr>
        <w:t xml:space="preserve">atomic</w:t>
      </w:r>
      <w:r>
        <w:rPr>
          <w:rStyle w:val="OperatorTok"/>
        </w:rPr>
        <w:t xml:space="preserve">.</w:t>
      </w:r>
      <w:r>
        <w:rPr>
          <w:rStyle w:val="ImportTok"/>
        </w:rPr>
        <w:t xml:space="preserve">AtomicLong</w:t>
      </w:r>
      <w:r>
        <w:rPr>
          <w:rStyle w:val="OperatorTok"/>
        </w:rPr>
        <w:t xml:space="preserve">;</w:t>
      </w:r>
      <w:r>
        <w:br/>
      </w:r>
      <w:r>
        <w:br/>
      </w:r>
      <w:r>
        <w:rPr>
          <w:rStyle w:val="CommentTok"/>
        </w:rPr>
        <w:t xml:space="preserve">/**</w:t>
      </w:r>
      <w:r>
        <w:rPr>
          <w:rStyle w:val="NormalTok"/>
        </w:rPr>
        <w:t xml:space="preserve"> A lock</w:t>
      </w:r>
      <w:r>
        <w:rPr>
          <w:rStyle w:val="CommentTok"/>
        </w:rPr>
        <w:t xml:space="preserve">-</w:t>
      </w:r>
      <w:r>
        <w:rPr>
          <w:rStyle w:val="NormalTok"/>
        </w:rPr>
        <w:t xml:space="preserve">free </w:t>
      </w:r>
      <w:r>
        <w:rPr>
          <w:rStyle w:val="CommentTok"/>
        </w:rPr>
        <w:t xml:space="preserve">"</w:t>
      </w:r>
      <w:r>
        <w:rPr>
          <w:rStyle w:val="NormalTok"/>
        </w:rPr>
        <w:t xml:space="preserve">max seen so far</w:t>
      </w:r>
      <w:r>
        <w:rPr>
          <w:rStyle w:val="CommentTok"/>
        </w:rPr>
        <w:t xml:space="preserve">"</w:t>
      </w:r>
      <w:r>
        <w:rPr>
          <w:rStyle w:val="NormalTok"/>
        </w:rPr>
        <w:t xml:space="preserve"> tracker built from a compare</w:t>
      </w:r>
      <w:r>
        <w:rPr>
          <w:rStyle w:val="CommentTok"/>
        </w:rPr>
        <w:t xml:space="preserve">-</w:t>
      </w:r>
      <w:r>
        <w:rPr>
          <w:rStyle w:val="NormalTok"/>
        </w:rPr>
        <w:t xml:space="preserve">and</w:t>
      </w:r>
      <w:r>
        <w:rPr>
          <w:rStyle w:val="CommentTok"/>
        </w:rPr>
        <w:t xml:space="preserve">-</w:t>
      </w:r>
      <w:r>
        <w:rPr>
          <w:rStyle w:val="NormalTok"/>
        </w:rPr>
        <w:t xml:space="preserve">swap retry loop</w:t>
      </w:r>
      <w:r>
        <w:rPr>
          <w:rStyle w:val="CommentTok"/>
        </w:rPr>
        <w:t xml:space="preserve">. */</w:t>
      </w:r>
      <w:r>
        <w:br/>
      </w:r>
      <w:r>
        <w:rPr>
          <w:rStyle w:val="KeywordTok"/>
        </w:rPr>
        <w:t xml:space="preserve">public</w:t>
      </w:r>
      <w:r>
        <w:rPr>
          <w:rStyle w:val="NormalTok"/>
        </w:rPr>
        <w:t xml:space="preserve"> </w:t>
      </w:r>
      <w:r>
        <w:rPr>
          <w:rStyle w:val="KeywordTok"/>
        </w:rPr>
        <w:t xml:space="preserve">class</w:t>
      </w:r>
      <w:r>
        <w:rPr>
          <w:rStyle w:val="NormalTok"/>
        </w:rPr>
        <w:t xml:space="preserve"> CasCounter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AtomicLong</w:t>
      </w:r>
      <w:r>
        <w:rPr>
          <w:rStyle w:val="NormalTok"/>
        </w:rPr>
        <w:t xml:space="preserve"> max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AtomicLong</w:t>
      </w:r>
      <w:r>
        <w:rPr>
          <w:rStyle w:val="OperatorTok"/>
        </w:rPr>
        <w:t xml:space="preserve">(</w:t>
      </w:r>
      <w:r>
        <w:rPr>
          <w:rStyle w:val="BuiltInTok"/>
        </w:rPr>
        <w:t xml:space="preserve">Long</w:t>
      </w:r>
      <w:r>
        <w:rPr>
          <w:rStyle w:val="OperatorTok"/>
        </w:rPr>
        <w:t xml:space="preserve">.</w:t>
      </w:r>
      <w:r>
        <w:rPr>
          <w:rStyle w:val="FunctionTok"/>
        </w:rPr>
        <w:t xml:space="preserve">MIN_VALUE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AtomicLong</w:t>
      </w:r>
      <w:r>
        <w:rPr>
          <w:rStyle w:val="NormalTok"/>
        </w:rPr>
        <w:t xml:space="preserve"> retries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AtomicLong</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offer</w:t>
      </w:r>
      <w:r>
        <w:rPr>
          <w:rStyle w:val="OperatorTok"/>
        </w:rPr>
        <w:t xml:space="preserve">(</w:t>
      </w:r>
      <w:r>
        <w:rPr>
          <w:rStyle w:val="DataTypeTok"/>
        </w:rPr>
        <w:t xml:space="preserve">long</w:t>
      </w:r>
      <w:r>
        <w:rPr>
          <w:rStyle w:val="NormalTok"/>
        </w:rPr>
        <w:t xml:space="preserve"> candidate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KeywordTok"/>
        </w:rPr>
        <w:t xml:space="preserve">true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long</w:t>
      </w:r>
      <w:r>
        <w:rPr>
          <w:rStyle w:val="NormalTok"/>
        </w:rPr>
        <w:t xml:space="preserve"> current </w:t>
      </w:r>
      <w:r>
        <w:rPr>
          <w:rStyle w:val="OperatorTok"/>
        </w:rPr>
        <w:t xml:space="preserve">=</w:t>
      </w:r>
      <w:r>
        <w:rPr>
          <w:rStyle w:val="NormalTok"/>
        </w:rPr>
        <w:t xml:space="preserve"> max</w:t>
      </w:r>
      <w:r>
        <w:rPr>
          <w:rStyle w:val="OperatorTok"/>
        </w:rPr>
        <w:t xml:space="preserve">.</w:t>
      </w:r>
      <w:r>
        <w:rPr>
          <w:rStyle w:val="FunctionTok"/>
        </w:rPr>
        <w:t xml:space="preserve">get</w:t>
      </w:r>
      <w:r>
        <w:rPr>
          <w:rStyle w:val="OperatorTok"/>
        </w:rPr>
        <w:t xml:space="preserve">();</w:t>
      </w:r>
      <w:r>
        <w:rPr>
          <w:rStyle w:val="NormalTok"/>
        </w:rPr>
        <w:t xml:space="preserve">                       </w:t>
      </w:r>
      <w:r>
        <w:rPr>
          <w:rStyle w:val="CommentTok"/>
        </w:rPr>
        <w:t xml:space="preserve">// 1. read</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candidate </w:t>
      </w:r>
      <w:r>
        <w:rPr>
          <w:rStyle w:val="OperatorTok"/>
        </w:rPr>
        <w:t xml:space="preserve">&lt;=</w:t>
      </w:r>
      <w:r>
        <w:rPr>
          <w:rStyle w:val="NormalTok"/>
        </w:rPr>
        <w:t xml:space="preserve"> current</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rPr>
          <w:rStyle w:val="CommentTok"/>
        </w:rPr>
        <w:t xml:space="preserve">// nothing to do</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max</w:t>
      </w:r>
      <w:r>
        <w:rPr>
          <w:rStyle w:val="OperatorTok"/>
        </w:rPr>
        <w:t xml:space="preserve">.</w:t>
      </w:r>
      <w:r>
        <w:rPr>
          <w:rStyle w:val="FunctionTok"/>
        </w:rPr>
        <w:t xml:space="preserve">compareAndSet</w:t>
      </w:r>
      <w:r>
        <w:rPr>
          <w:rStyle w:val="OperatorTok"/>
        </w:rPr>
        <w:t xml:space="preserve">(</w:t>
      </w:r>
      <w:r>
        <w:rPr>
          <w:rStyle w:val="NormalTok"/>
        </w:rPr>
        <w:t xml:space="preserve">current</w:t>
      </w:r>
      <w:r>
        <w:rPr>
          <w:rStyle w:val="OperatorTok"/>
        </w:rPr>
        <w:t xml:space="preserve">,</w:t>
      </w:r>
      <w:r>
        <w:rPr>
          <w:rStyle w:val="NormalTok"/>
        </w:rPr>
        <w:t xml:space="preserve"> candidate</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2. swap only if unchanged</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retries</w:t>
      </w:r>
      <w:r>
        <w:rPr>
          <w:rStyle w:val="OperatorTok"/>
        </w:rPr>
        <w:t xml:space="preserve">.</w:t>
      </w:r>
      <w:r>
        <w:rPr>
          <w:rStyle w:val="FunctionTok"/>
        </w:rPr>
        <w:t xml:space="preserve">incrementAndGet</w:t>
      </w:r>
      <w:r>
        <w:rPr>
          <w:rStyle w:val="OperatorTok"/>
        </w:rPr>
        <w:t xml:space="preserve">();</w:t>
      </w:r>
      <w:r>
        <w:rPr>
          <w:rStyle w:val="NormalTok"/>
        </w:rPr>
        <w:t xml:space="preserve">                      </w:t>
      </w:r>
      <w:r>
        <w:rPr>
          <w:rStyle w:val="CommentTok"/>
        </w:rPr>
        <w:t xml:space="preserve">// 3. someone beat us: retry</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InterruptedException</w:t>
      </w:r>
      <w:r>
        <w:rPr>
          <w:rStyle w:val="NormalTok"/>
        </w:rPr>
        <w:t xml:space="preserve"> </w:t>
      </w:r>
      <w:r>
        <w:rPr>
          <w:rStyle w:val="OperatorTok"/>
        </w:rPr>
        <w:t xml:space="preserve">{</w:t>
      </w:r>
      <w:r>
        <w:br/>
      </w:r>
      <w:r>
        <w:rPr>
          <w:rStyle w:val="NormalTok"/>
        </w:rPr>
        <w:t xml:space="preserve">        CasCounter tracker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CasCounter</w:t>
      </w:r>
      <w:r>
        <w:rPr>
          <w:rStyle w:val="OperatorTok"/>
        </w:rPr>
        <w:t xml:space="preserve">();</w:t>
      </w:r>
      <w:r>
        <w:br/>
      </w:r>
      <w:r>
        <w:rPr>
          <w:rStyle w:val="NormalTok"/>
        </w:rPr>
        <w:t xml:space="preserve">        </w:t>
      </w:r>
      <w:r>
        <w:rPr>
          <w:rStyle w:val="BuiltInTok"/>
        </w:rPr>
        <w:t xml:space="preserve">Thread</w:t>
      </w:r>
      <w:r>
        <w:rPr>
          <w:rStyle w:val="OperatorTok"/>
        </w:rPr>
        <w:t xml:space="preserve">[]</w:t>
      </w:r>
      <w:r>
        <w:rPr>
          <w:rStyle w:val="NormalTok"/>
        </w:rPr>
        <w:t xml:space="preserve"> workers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Thread</w:t>
      </w:r>
      <w:r>
        <w:rPr>
          <w:rStyle w:val="OperatorTok"/>
        </w:rPr>
        <w:t xml:space="preserve">[</w:t>
      </w:r>
      <w:r>
        <w:rPr>
          <w:rStyle w:val="DecValTok"/>
        </w:rPr>
        <w:t xml:space="preserve">4</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t </w:t>
      </w:r>
      <w:r>
        <w:rPr>
          <w:rStyle w:val="OperatorTok"/>
        </w:rPr>
        <w:t xml:space="preserve">&lt;</w:t>
      </w:r>
      <w:r>
        <w:rPr>
          <w:rStyle w:val="NormalTok"/>
        </w:rPr>
        <w:t xml:space="preserve"> workers</w:t>
      </w:r>
      <w:r>
        <w:rPr>
          <w:rStyle w:val="OperatorTok"/>
        </w:rPr>
        <w:t xml:space="preserve">.</w:t>
      </w:r>
      <w:r>
        <w:rPr>
          <w:rStyle w:val="FunctionTok"/>
        </w:rPr>
        <w:t xml:space="preserve">length</w:t>
      </w:r>
      <w:r>
        <w:rPr>
          <w:rStyle w:val="OperatorTok"/>
        </w:rPr>
        <w:t xml:space="preserve">;</w:t>
      </w:r>
      <w:r>
        <w:rPr>
          <w:rStyle w:val="NormalTok"/>
        </w:rPr>
        <w:t xml:space="preserve"> 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final</w:t>
      </w:r>
      <w:r>
        <w:rPr>
          <w:rStyle w:val="NormalTok"/>
        </w:rPr>
        <w:t xml:space="preserve"> </w:t>
      </w:r>
      <w:r>
        <w:rPr>
          <w:rStyle w:val="DataTypeTok"/>
        </w:rPr>
        <w:t xml:space="preserve">int</w:t>
      </w:r>
      <w:r>
        <w:rPr>
          <w:rStyle w:val="NormalTok"/>
        </w:rPr>
        <w:t xml:space="preserve"> id </w:t>
      </w:r>
      <w:r>
        <w:rPr>
          <w:rStyle w:val="OperatorTok"/>
        </w:rPr>
        <w:t xml:space="preserve">=</w:t>
      </w:r>
      <w:r>
        <w:rPr>
          <w:rStyle w:val="NormalTok"/>
        </w:rPr>
        <w:t xml:space="preserve"> t</w:t>
      </w:r>
      <w:r>
        <w:rPr>
          <w:rStyle w:val="OperatorTok"/>
        </w:rPr>
        <w:t xml:space="preserve">;</w:t>
      </w:r>
      <w:r>
        <w:br/>
      </w:r>
      <w:r>
        <w:rPr>
          <w:rStyle w:val="NormalTok"/>
        </w:rPr>
        <w:t xml:space="preserve">            workers</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Thread</w:t>
      </w:r>
      <w:r>
        <w:rPr>
          <w:rStyle w:val="OperatorTok"/>
        </w:rPr>
        <w:t xml:space="preserve">(()</w:t>
      </w:r>
      <w:r>
        <w:rPr>
          <w:rStyle w:val="NormalTok"/>
        </w:rPr>
        <w:t xml:space="preserve">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long</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1_000_000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tracker</w:t>
      </w:r>
      <w:r>
        <w:rPr>
          <w:rStyle w:val="OperatorTok"/>
        </w:rPr>
        <w:t xml:space="preserve">.</w:t>
      </w:r>
      <w:r>
        <w:rPr>
          <w:rStyle w:val="FunctionTok"/>
        </w:rPr>
        <w:t xml:space="preserve">offer</w:t>
      </w:r>
      <w:r>
        <w:rPr>
          <w:rStyle w:val="OperatorTok"/>
        </w:rPr>
        <w:t xml:space="preserve">(</w:t>
      </w:r>
      <w:r>
        <w:rPr>
          <w:rStyle w:val="NormalTok"/>
        </w:rPr>
        <w:t xml:space="preserve">i </w:t>
      </w:r>
      <w:r>
        <w:rPr>
          <w:rStyle w:val="OperatorTok"/>
        </w:rPr>
        <w:t xml:space="preserve">*</w:t>
      </w:r>
      <w:r>
        <w:rPr>
          <w:rStyle w:val="NormalTok"/>
        </w:rPr>
        <w:t xml:space="preserve"> workers</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workers</w:t>
      </w:r>
      <w:r>
        <w:rPr>
          <w:rStyle w:val="OperatorTok"/>
        </w:rPr>
        <w:t xml:space="preserve">[</w:t>
      </w:r>
      <w:r>
        <w:rPr>
          <w:rStyle w:val="NormalTok"/>
        </w:rPr>
        <w:t xml:space="preserve">t</w:t>
      </w:r>
      <w:r>
        <w:rPr>
          <w:rStyle w:val="OperatorTok"/>
        </w:rPr>
        <w:t xml:space="preserve">].</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Thread</w:t>
      </w:r>
      <w:r>
        <w:rPr>
          <w:rStyle w:val="NormalTok"/>
        </w:rPr>
        <w:t xml:space="preserve"> w </w:t>
      </w:r>
      <w:r>
        <w:rPr>
          <w:rStyle w:val="OperatorTok"/>
        </w:rPr>
        <w:t xml:space="preserve">:</w:t>
      </w:r>
      <w:r>
        <w:rPr>
          <w:rStyle w:val="NormalTok"/>
        </w:rPr>
        <w:t xml:space="preserve"> workers</w:t>
      </w:r>
      <w:r>
        <w:rPr>
          <w:rStyle w:val="OperatorTok"/>
        </w:rPr>
        <w:t xml:space="preserve">)</w:t>
      </w:r>
      <w:r>
        <w:rPr>
          <w:rStyle w:val="NormalTok"/>
        </w:rPr>
        <w:t xml:space="preserve"> w</w:t>
      </w:r>
      <w:r>
        <w:rPr>
          <w:rStyle w:val="OperatorTok"/>
        </w:rPr>
        <w:t xml:space="preserve">.</w:t>
      </w:r>
      <w:r>
        <w:rPr>
          <w:rStyle w:val="FunctionTok"/>
        </w:rPr>
        <w:t xml:space="preserve">join</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"max     = "</w:t>
      </w:r>
      <w:r>
        <w:rPr>
          <w:rStyle w:val="NormalTok"/>
        </w:rPr>
        <w:t xml:space="preserve"> </w:t>
      </w:r>
      <w:r>
        <w:rPr>
          <w:rStyle w:val="OperatorTok"/>
        </w:rPr>
        <w:t xml:space="preserve">+</w:t>
      </w:r>
      <w:r>
        <w:rPr>
          <w:rStyle w:val="NormalTok"/>
        </w:rPr>
        <w:t xml:space="preserve"> tracker</w:t>
      </w:r>
      <w:r>
        <w:rPr>
          <w:rStyle w:val="OperatorTok"/>
        </w:rPr>
        <w:t xml:space="preserve">.</w:t>
      </w:r>
      <w:r>
        <w:rPr>
          <w:rStyle w:val="FunctionTok"/>
        </w:rPr>
        <w:t xml:space="preserve">max</w:t>
      </w:r>
      <w:r>
        <w:rPr>
          <w:rStyle w:val="OperatorTok"/>
        </w:rPr>
        <w:t xml:space="preserve">.</w:t>
      </w:r>
      <w:r>
        <w:rPr>
          <w:rStyle w:val="FunctionTok"/>
        </w:rPr>
        <w:t xml:space="preserve">get</w:t>
      </w:r>
      <w:r>
        <w:rPr>
          <w:rStyle w:val="OperatorTok"/>
        </w:rPr>
        <w:t xml:space="preserve">());</w:t>
      </w:r>
      <w:r>
        <w:rPr>
          <w:rStyle w:val="NormalTok"/>
        </w:rPr>
        <w:t xml:space="preserve">   </w:t>
      </w:r>
      <w:r>
        <w:rPr>
          <w:rStyle w:val="CommentTok"/>
        </w:rPr>
        <w:t xml:space="preserve">// 3999999</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"retries = "</w:t>
      </w:r>
      <w:r>
        <w:rPr>
          <w:rStyle w:val="NormalTok"/>
        </w:rPr>
        <w:t xml:space="preserve"> </w:t>
      </w:r>
      <w:r>
        <w:rPr>
          <w:rStyle w:val="OperatorTok"/>
        </w:rPr>
        <w:t xml:space="preserve">+</w:t>
      </w:r>
      <w:r>
        <w:rPr>
          <w:rStyle w:val="NormalTok"/>
        </w:rPr>
        <w:t xml:space="preserve"> tracker</w:t>
      </w:r>
      <w:r>
        <w:rPr>
          <w:rStyle w:val="OperatorTok"/>
        </w:rPr>
        <w:t xml:space="preserve">.</w:t>
      </w:r>
      <w:r>
        <w:rPr>
          <w:rStyle w:val="FunctionTok"/>
        </w:rPr>
        <w:t xml:space="preserve">retries</w:t>
      </w:r>
      <w:r>
        <w:rPr>
          <w:rStyle w:val="OperatorTok"/>
        </w:rPr>
        <w:t xml:space="preserve">.</w:t>
      </w:r>
      <w:r>
        <w:rPr>
          <w:rStyle w:val="FunctionTok"/>
        </w:rPr>
        <w:t xml:space="preserve">get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On JDK 21 with 4 threads this printed</w:t>
      </w:r>
      <w:r>
        <w:t xml:space="preserve"> </w:t>
      </w:r>
      <w:r>
        <w:rPr>
          <w:rStyle w:val="VerbatimChar"/>
        </w:rPr>
        <w:t xml:space="preserve">max = 3999999</w:t>
      </w:r>
      <w:r>
        <w:t xml:space="preserve"> </w:t>
      </w:r>
      <w:r>
        <w:t xml:space="preserve">and several hundred thousand retries.</w:t>
      </w:r>
    </w:p>
    <w:p>
      <w:pPr>
        <w:pStyle w:val="BodyText"/>
      </w:pPr>
      <w:r>
        <w:t xml:space="preserve">What to notice:</w:t>
      </w:r>
    </w:p>
    <w:p>
      <w:pPr>
        <w:numPr>
          <w:ilvl w:val="0"/>
          <w:numId w:val="1185"/>
        </w:numPr>
        <w:pStyle w:val="Compact"/>
      </w:pPr>
      <w:r>
        <w:t xml:space="preserve">No thread blocks; a failed CAS means another thread made progress. This is</w:t>
      </w:r>
      <w:r>
        <w:t xml:space="preserve"> </w:t>
      </w:r>
      <w:r>
        <w:rPr>
          <w:bCs/>
          <w:b/>
        </w:rPr>
        <w:t xml:space="preserve">lock-free</w:t>
      </w:r>
      <w:r>
        <w:t xml:space="preserve"> </w:t>
      </w:r>
      <w:r>
        <w:t xml:space="preserve">progress.</w:t>
      </w:r>
    </w:p>
    <w:p>
      <w:pPr>
        <w:numPr>
          <w:ilvl w:val="0"/>
          <w:numId w:val="1185"/>
        </w:numPr>
        <w:pStyle w:val="Compact"/>
      </w:pPr>
      <w:r>
        <w:t xml:space="preserve">Each retry bounced a cache line between cores (§5.4); under heavy contention a CAS loop can be slower than a mutex.</w:t>
      </w:r>
    </w:p>
    <w:p>
      <w:pPr>
        <w:numPr>
          <w:ilvl w:val="0"/>
          <w:numId w:val="1185"/>
        </w:numPr>
        <w:pStyle w:val="Compact"/>
      </w:pPr>
      <w:r>
        <w:t xml:space="preserve">Atomics also impose</w:t>
      </w:r>
      <w:r>
        <w:t xml:space="preserve"> </w:t>
      </w:r>
      <w:r>
        <w:rPr>
          <w:bCs/>
          <w:b/>
        </w:rPr>
        <w:t xml:space="preserve">memory ordering</w:t>
      </w:r>
      <w:r>
        <w:t xml:space="preserve">: writes before an atomic store become visible to threads that observe it. Plain variables have no such guarantee.</w:t>
      </w:r>
    </w:p>
    <w:bookmarkEnd w:id="632"/>
    <w:bookmarkStart w:id="633" w:name="read-write-locks"/>
    <w:p>
      <w:pPr>
        <w:pStyle w:val="Heading3"/>
      </w:pPr>
      <w:r>
        <w:t xml:space="preserve">6.10.5 Read-write locks</w:t>
      </w:r>
    </w:p>
    <w:p>
      <w:pPr>
        <w:pStyle w:val="FirstParagraph"/>
      </w:pPr>
      <w:r>
        <w:t xml:space="preserve">A</w:t>
      </w:r>
      <w:r>
        <w:t xml:space="preserve"> </w:t>
      </w:r>
      <w:r>
        <w:rPr>
          <w:bCs/>
          <w:b/>
        </w:rPr>
        <w:t xml:space="preserve">read-write lock</w:t>
      </w:r>
      <w:r>
        <w:t xml:space="preserve"> </w:t>
      </w:r>
      <w:r>
        <w:t xml:space="preserve">allows many concurrent readers or one writer. It helps when reads dominate</w:t>
      </w:r>
      <w:r>
        <w:t xml:space="preserve"> </w:t>
      </w:r>
      <w:r>
        <w:rPr>
          <w:iCs/>
          <w:i/>
        </w:rPr>
        <w:t xml:space="preserve">and</w:t>
      </w:r>
      <w:r>
        <w:t xml:space="preserve"> </w:t>
      </w:r>
      <w:r>
        <w:t xml:space="preserve">critical sections are long, such as a routing table. Caveats: every reader updates the lock’s shared counter, so for very short reads on many cores it can be slower than a mutex; and readers can starve writers unless the lock is</w:t>
      </w:r>
      <w:r>
        <w:t xml:space="preserve"> </w:t>
      </w:r>
      <w:r>
        <w:rPr>
          <w:bCs/>
          <w:b/>
        </w:rPr>
        <w:t xml:space="preserve">writer-preferring</w:t>
      </w:r>
      <w:r>
        <w:t xml:space="preserve">. For read-mostly data,</w:t>
      </w:r>
      <w:r>
        <w:t xml:space="preserve"> </w:t>
      </w:r>
      <w:r>
        <w:rPr>
          <w:bCs/>
          <w:b/>
        </w:rPr>
        <w:t xml:space="preserve">copy-on-write snapshots</w:t>
      </w:r>
      <w:r>
        <w:t xml:space="preserve"> </w:t>
      </w:r>
      <w:r>
        <w:t xml:space="preserve">(readers load an atomic pointer to an immutable version; writers swap in a new one) and Linux’s</w:t>
      </w:r>
      <w:r>
        <w:t xml:space="preserve"> </w:t>
      </w:r>
      <w:r>
        <w:rPr>
          <w:bCs/>
          <w:b/>
        </w:rPr>
        <w:t xml:space="preserve">read-copy-update (RCU)</w:t>
      </w:r>
      <w:r>
        <w:t xml:space="preserve"> </w:t>
      </w:r>
      <w:r>
        <w:t xml:space="preserve">avoid reader locking entirely.</w:t>
      </w:r>
    </w:p>
    <w:bookmarkEnd w:id="633"/>
    <w:bookmarkStart w:id="634" w:name="Xf9df36c99e3ac1d52c5df401dda0cc817b36cba"/>
    <w:p>
      <w:pPr>
        <w:pStyle w:val="Heading3"/>
      </w:pPr>
      <w:r>
        <w:t xml:space="preserve">6.10.6 Lock-free data structures and the ABA problem</w:t>
      </w:r>
    </w:p>
    <w:p>
      <w:pPr>
        <w:pStyle w:val="FirstParagraph"/>
      </w:pPr>
      <w:r>
        <w:t xml:space="preserve">A</w:t>
      </w:r>
      <w:r>
        <w:t xml:space="preserve"> </w:t>
      </w:r>
      <w:r>
        <w:rPr>
          <w:bCs/>
          <w:b/>
        </w:rPr>
        <w:t xml:space="preserve">lock-free</w:t>
      </w:r>
      <w:r>
        <w:t xml:space="preserve"> </w:t>
      </w:r>
      <w:r>
        <w:t xml:space="preserve">data structure guarantees that some thread always makes progress, even if others are paused mid-operation; a</w:t>
      </w:r>
      <w:r>
        <w:t xml:space="preserve"> </w:t>
      </w:r>
      <w:r>
        <w:rPr>
          <w:bCs/>
          <w:b/>
        </w:rPr>
        <w:t xml:space="preserve">wait-free</w:t>
      </w:r>
      <w:r>
        <w:t xml:space="preserve"> </w:t>
      </w:r>
      <w:r>
        <w:t xml:space="preserve">one guarantees that</w:t>
      </w:r>
      <w:r>
        <w:t xml:space="preserve"> </w:t>
      </w:r>
      <w:r>
        <w:rPr>
          <w:iCs/>
          <w:i/>
        </w:rPr>
        <w:t xml:space="preserve">every</w:t>
      </w:r>
      <w:r>
        <w:t xml:space="preserve"> </w:t>
      </w:r>
      <w:r>
        <w:t xml:space="preserve">thread finishes in a bounded number of steps [Herlihy &amp; Shavit 2012]. The classic example is the</w:t>
      </w:r>
      <w:r>
        <w:t xml:space="preserve"> </w:t>
      </w:r>
      <w:r>
        <w:rPr>
          <w:bCs/>
          <w:b/>
        </w:rPr>
        <w:t xml:space="preserve">Treiber stack</w:t>
      </w:r>
      <w:r>
        <w:t xml:space="preserve"> </w:t>
      </w:r>
      <w:r>
        <w:t xml:space="preserve">[Treiber 1986]:</w:t>
      </w:r>
      <w:r>
        <w:t xml:space="preserve"> </w:t>
      </w:r>
      <w:r>
        <w:rPr>
          <w:rStyle w:val="VerbatimChar"/>
        </w:rPr>
        <w:t xml:space="preserve">push</w:t>
      </w:r>
      <w:r>
        <w:t xml:space="preserve"> </w:t>
      </w:r>
      <w:r>
        <w:t xml:space="preserve">reads the current top, sets the new node’s</w:t>
      </w:r>
      <w:r>
        <w:t xml:space="preserve"> </w:t>
      </w:r>
      <w:r>
        <w:rPr>
          <w:rStyle w:val="VerbatimChar"/>
        </w:rPr>
        <w:t xml:space="preserve">next</w:t>
      </w:r>
      <w:r>
        <w:t xml:space="preserve"> </w:t>
      </w:r>
      <w:r>
        <w:t xml:space="preserve">to it, and CASes the top from old to new.</w:t>
      </w:r>
    </w:p>
    <w:p>
      <w:pPr>
        <w:pStyle w:val="BodyText"/>
      </w:pPr>
      <w:r>
        <w:t xml:space="preserve">The</w:t>
      </w:r>
      <w:r>
        <w:t xml:space="preserve"> </w:t>
      </w:r>
      <w:r>
        <w:rPr>
          <w:bCs/>
          <w:b/>
        </w:rPr>
        <w:t xml:space="preserve">ABA problem</w:t>
      </w:r>
      <w:r>
        <w:t xml:space="preserve"> </w:t>
      </w:r>
      <w:r>
        <w:t xml:space="preserve">breaks naive CAS designs. CAS checks only that the value</w:t>
      </w:r>
      <w:r>
        <w:t xml:space="preserve"> </w:t>
      </w:r>
      <w:r>
        <w:rPr>
          <w:iCs/>
          <w:i/>
        </w:rPr>
        <w:t xml:space="preserve">looks</w:t>
      </w:r>
      <w:r>
        <w:t xml:space="preserve"> </w:t>
      </w:r>
      <w:r>
        <w:t xml:space="preserve">the same, not that it</w:t>
      </w:r>
      <w:r>
        <w:t xml:space="preserve"> </w:t>
      </w:r>
      <w:r>
        <w:rPr>
          <w:iCs/>
          <w:i/>
        </w:rPr>
        <w:t xml:space="preserve">is</w:t>
      </w:r>
      <w:r>
        <w:t xml:space="preserve"> </w:t>
      </w:r>
      <w:r>
        <w:t xml:space="preserve">unchanged:</w:t>
      </w:r>
    </w:p>
    <w:p>
      <w:pPr>
        <w:numPr>
          <w:ilvl w:val="0"/>
          <w:numId w:val="1186"/>
        </w:numPr>
        <w:pStyle w:val="Compact"/>
      </w:pPr>
      <w:r>
        <w:t xml:space="preserve">Thread 1 reads top = A (with A.next = B) and is preempted before its CAS(top, A → B).</w:t>
      </w:r>
    </w:p>
    <w:p>
      <w:pPr>
        <w:numPr>
          <w:ilvl w:val="0"/>
          <w:numId w:val="1186"/>
        </w:numPr>
        <w:pStyle w:val="Compact"/>
      </w:pPr>
      <w:r>
        <w:t xml:space="preserve">Thread 2 pops A, pops B, frees B, then pushes A back (or a new node reusing A’s memory). Top is A again, but A.next is now something else.</w:t>
      </w:r>
    </w:p>
    <w:p>
      <w:pPr>
        <w:numPr>
          <w:ilvl w:val="0"/>
          <w:numId w:val="1186"/>
        </w:numPr>
        <w:pStyle w:val="Compact"/>
      </w:pPr>
      <w:r>
        <w:t xml:space="preserve">Thread 1 resumes; CAS(top, A → B)</w:t>
      </w:r>
      <w:r>
        <w:t xml:space="preserve"> </w:t>
      </w:r>
      <w:r>
        <w:rPr>
          <w:iCs/>
          <w:i/>
        </w:rPr>
        <w:t xml:space="preserve">succeeds</w:t>
      </w:r>
      <w:r>
        <w:t xml:space="preserve">, because top equals A, and installs the freed node B as the top. The stack is corrupted.</w:t>
      </w:r>
    </w:p>
    <w:p>
      <w:pPr>
        <w:pStyle w:val="FirstParagraph"/>
      </w:pPr>
      <w:r>
        <w:t xml:space="preserve">Remedies: pair the pointer with a</w:t>
      </w:r>
      <w:r>
        <w:t xml:space="preserve"> </w:t>
      </w:r>
      <w:r>
        <w:rPr>
          <w:bCs/>
          <w:b/>
        </w:rPr>
        <w:t xml:space="preserve">version counter</w:t>
      </w:r>
      <w:r>
        <w:t xml:space="preserve"> </w:t>
      </w:r>
      <w:r>
        <w:t xml:space="preserve">and CAS both together (a tagged pointer); use</w:t>
      </w:r>
      <w:r>
        <w:t xml:space="preserve"> </w:t>
      </w:r>
      <w:r>
        <w:rPr>
          <w:bCs/>
          <w:b/>
        </w:rPr>
        <w:t xml:space="preserve">hazard pointers</w:t>
      </w:r>
      <w:r>
        <w:t xml:space="preserve"> </w:t>
      </w:r>
      <w:r>
        <w:t xml:space="preserve">[Michael 2004] or</w:t>
      </w:r>
      <w:r>
        <w:t xml:space="preserve"> </w:t>
      </w:r>
      <w:r>
        <w:rPr>
          <w:bCs/>
          <w:b/>
        </w:rPr>
        <w:t xml:space="preserve">epoch-based reclamation</w:t>
      </w:r>
      <w:r>
        <w:t xml:space="preserve"> </w:t>
      </w:r>
      <w:r>
        <w:t xml:space="preserve">so memory is not reused while any thread may hold a reference; or rely on garbage collection, which prevents node reuse while referenced. In practice, use tested concurrent collections (</w:t>
      </w:r>
      <w:r>
        <w:rPr>
          <w:rStyle w:val="VerbatimChar"/>
        </w:rPr>
        <w:t xml:space="preserve">java.util.concurrent</w:t>
      </w:r>
      <w:r>
        <w:t xml:space="preserve">, Go channels, Rust’s</w:t>
      </w:r>
      <w:r>
        <w:t xml:space="preserve"> </w:t>
      </w:r>
      <w:r>
        <w:rPr>
          <w:rStyle w:val="VerbatimChar"/>
        </w:rPr>
        <w:t xml:space="preserve">crossbeam</w:t>
      </w:r>
      <w:r>
        <w:t xml:space="preserve">) rather than writing your own.</w:t>
      </w:r>
    </w:p>
    <w:p>
      <w:pPr>
        <w:pStyle w:val="BodyText"/>
      </w:pPr>
      <w:r>
        <w:rPr>
          <w:bCs/>
          <w:b/>
        </w:rPr>
        <w:t xml:space="preserve">Table 6.3 — Synchronization primitives compared.</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Primitive</w:t>
            </w:r>
          </w:p>
        </w:tc>
        <w:tc>
          <w:tcPr/>
          <w:p>
            <w:pPr>
              <w:pStyle w:val="Compact"/>
              <w:jc w:val="left"/>
            </w:pPr>
            <w:r>
              <w:t xml:space="preserve">Problem it solves</w:t>
            </w:r>
          </w:p>
        </w:tc>
        <w:tc>
          <w:tcPr/>
          <w:p>
            <w:pPr>
              <w:pStyle w:val="Compact"/>
              <w:jc w:val="left"/>
            </w:pPr>
            <w:r>
              <w:t xml:space="preserve">Waiting behavior</w:t>
            </w:r>
          </w:p>
        </w:tc>
        <w:tc>
          <w:tcPr/>
          <w:p>
            <w:pPr>
              <w:pStyle w:val="Compact"/>
              <w:jc w:val="left"/>
            </w:pPr>
            <w:r>
              <w:t xml:space="preserve">Typical cost (uncontended)</w:t>
            </w:r>
          </w:p>
        </w:tc>
        <w:tc>
          <w:tcPr/>
          <w:p>
            <w:pPr>
              <w:pStyle w:val="Compact"/>
              <w:jc w:val="left"/>
            </w:pPr>
            <w:r>
              <w:t xml:space="preserve">Pitfalls</w:t>
            </w:r>
          </w:p>
        </w:tc>
        <w:tc>
          <w:tcPr/>
          <w:p>
            <w:pPr>
              <w:pStyle w:val="Compact"/>
              <w:jc w:val="left"/>
            </w:pPr>
            <w:r>
              <w:t xml:space="preserve">Choose when</w:t>
            </w:r>
          </w:p>
        </w:tc>
      </w:tr>
      <w:tr>
        <w:tc>
          <w:tcPr/>
          <w:p>
            <w:pPr>
              <w:pStyle w:val="Compact"/>
              <w:jc w:val="left"/>
            </w:pPr>
            <w:r>
              <w:t xml:space="preserve">Spinlock</w:t>
            </w:r>
          </w:p>
        </w:tc>
        <w:tc>
          <w:tcPr/>
          <w:p>
            <w:pPr>
              <w:pStyle w:val="Compact"/>
              <w:jc w:val="left"/>
            </w:pPr>
            <w:r>
              <w:t xml:space="preserve">Mutual exclusion for tiny sections</w:t>
            </w:r>
          </w:p>
        </w:tc>
        <w:tc>
          <w:tcPr/>
          <w:p>
            <w:pPr>
              <w:pStyle w:val="Compact"/>
              <w:jc w:val="left"/>
            </w:pPr>
            <w:r>
              <w:t xml:space="preserve">Busy-waits</w:t>
            </w:r>
          </w:p>
        </w:tc>
        <w:tc>
          <w:tcPr/>
          <w:p>
            <w:pPr>
              <w:pStyle w:val="Compact"/>
              <w:jc w:val="left"/>
            </w:pPr>
            <w:r>
              <w:t xml:space="preserve">~10–20 ns</w:t>
            </w:r>
          </w:p>
        </w:tc>
        <w:tc>
          <w:tcPr/>
          <w:p>
            <w:pPr>
              <w:pStyle w:val="Compact"/>
              <w:jc w:val="left"/>
            </w:pPr>
            <w:r>
              <w:t xml:space="preserve">Wastes CPU; terrible if holder is preempted</w:t>
            </w:r>
          </w:p>
        </w:tc>
        <w:tc>
          <w:tcPr/>
          <w:p>
            <w:pPr>
              <w:pStyle w:val="Compact"/>
              <w:jc w:val="left"/>
            </w:pPr>
            <w:r>
              <w:t xml:space="preserve">Kernel code, sections of a few instructions</w:t>
            </w:r>
          </w:p>
        </w:tc>
      </w:tr>
      <w:tr>
        <w:tc>
          <w:tcPr/>
          <w:p>
            <w:pPr>
              <w:pStyle w:val="Compact"/>
              <w:jc w:val="left"/>
            </w:pPr>
            <w:r>
              <w:t xml:space="preserve">Mutex</w:t>
            </w:r>
          </w:p>
        </w:tc>
        <w:tc>
          <w:tcPr/>
          <w:p>
            <w:pPr>
              <w:pStyle w:val="Compact"/>
              <w:jc w:val="left"/>
            </w:pPr>
            <w:r>
              <w:t xml:space="preserve">Mutual exclusion</w:t>
            </w:r>
          </w:p>
        </w:tc>
        <w:tc>
          <w:tcPr/>
          <w:p>
            <w:pPr>
              <w:pStyle w:val="Compact"/>
              <w:jc w:val="left"/>
            </w:pPr>
            <w:r>
              <w:t xml:space="preserve">Spin briefly, then sleep</w:t>
            </w:r>
          </w:p>
        </w:tc>
        <w:tc>
          <w:tcPr/>
          <w:p>
            <w:pPr>
              <w:pStyle w:val="Compact"/>
              <w:jc w:val="left"/>
            </w:pPr>
            <w:r>
              <w:t xml:space="preserve">~20–50 ns</w:t>
            </w:r>
          </w:p>
        </w:tc>
        <w:tc>
          <w:tcPr/>
          <w:p>
            <w:pPr>
              <w:pStyle w:val="Compact"/>
              <w:jc w:val="left"/>
            </w:pPr>
            <w:r>
              <w:t xml:space="preserve">Deadlock, contention, priority inversion</w:t>
            </w:r>
          </w:p>
        </w:tc>
        <w:tc>
          <w:tcPr/>
          <w:p>
            <w:pPr>
              <w:pStyle w:val="Compact"/>
              <w:jc w:val="left"/>
            </w:pPr>
            <w:r>
              <w:t xml:space="preserve">Default for protecting shared state</w:t>
            </w:r>
          </w:p>
        </w:tc>
      </w:tr>
      <w:tr>
        <w:tc>
          <w:tcPr/>
          <w:p>
            <w:pPr>
              <w:pStyle w:val="Compact"/>
              <w:jc w:val="left"/>
            </w:pPr>
            <w:r>
              <w:t xml:space="preserve">Semaphore</w:t>
            </w:r>
          </w:p>
        </w:tc>
        <w:tc>
          <w:tcPr/>
          <w:p>
            <w:pPr>
              <w:pStyle w:val="Compact"/>
              <w:jc w:val="left"/>
            </w:pPr>
            <w:r>
              <w:t xml:space="preserve">Limit concurrency to N</w:t>
            </w:r>
          </w:p>
        </w:tc>
        <w:tc>
          <w:tcPr/>
          <w:p>
            <w:pPr>
              <w:pStyle w:val="Compact"/>
              <w:jc w:val="left"/>
            </w:pPr>
            <w:r>
              <w:t xml:space="preserve">Sleeps</w:t>
            </w:r>
          </w:p>
        </w:tc>
        <w:tc>
          <w:tcPr/>
          <w:p>
            <w:pPr>
              <w:pStyle w:val="Compact"/>
              <w:jc w:val="left"/>
            </w:pPr>
            <w:r>
              <w:t xml:space="preserve">Similar to mutex</w:t>
            </w:r>
          </w:p>
        </w:tc>
        <w:tc>
          <w:tcPr/>
          <w:p>
            <w:pPr>
              <w:pStyle w:val="Compact"/>
              <w:jc w:val="left"/>
            </w:pPr>
            <w:r>
              <w:t xml:space="preserve">No ownership; easy to miscount</w:t>
            </w:r>
          </w:p>
        </w:tc>
        <w:tc>
          <w:tcPr/>
          <w:p>
            <w:pPr>
              <w:pStyle w:val="Compact"/>
              <w:jc w:val="left"/>
            </w:pPr>
            <w:r>
              <w:t xml:space="preserve">Connection or resource pools</w:t>
            </w:r>
          </w:p>
        </w:tc>
      </w:tr>
      <w:tr>
        <w:tc>
          <w:tcPr/>
          <w:p>
            <w:pPr>
              <w:pStyle w:val="Compact"/>
              <w:jc w:val="left"/>
            </w:pPr>
            <w:r>
              <w:t xml:space="preserve">Condition variable</w:t>
            </w:r>
          </w:p>
        </w:tc>
        <w:tc>
          <w:tcPr/>
          <w:p>
            <w:pPr>
              <w:pStyle w:val="Compact"/>
              <w:jc w:val="left"/>
            </w:pPr>
            <w:r>
              <w:t xml:space="preserve">Wait until a predicate holds</w:t>
            </w:r>
          </w:p>
        </w:tc>
        <w:tc>
          <w:tcPr/>
          <w:p>
            <w:pPr>
              <w:pStyle w:val="Compact"/>
              <w:jc w:val="left"/>
            </w:pPr>
            <w:r>
              <w:t xml:space="preserve">Sleeps, releases mutex</w:t>
            </w:r>
          </w:p>
        </w:tc>
        <w:tc>
          <w:tcPr/>
          <w:p>
            <w:pPr>
              <w:pStyle w:val="Compact"/>
              <w:jc w:val="left"/>
            </w:pPr>
            <w:r>
              <w:t xml:space="preserve">Similar to mutex</w:t>
            </w:r>
          </w:p>
        </w:tc>
        <w:tc>
          <w:tcPr/>
          <w:p>
            <w:pPr>
              <w:pStyle w:val="Compact"/>
              <w:jc w:val="left"/>
            </w:pPr>
            <w:r>
              <w:t xml:space="preserve">Must loop on predicate; lost wake-ups</w:t>
            </w:r>
          </w:p>
        </w:tc>
        <w:tc>
          <w:tcPr/>
          <w:p>
            <w:pPr>
              <w:pStyle w:val="Compact"/>
              <w:jc w:val="left"/>
            </w:pPr>
            <w:r>
              <w:t xml:space="preserve">Queues, producer/consumer</w:t>
            </w:r>
          </w:p>
        </w:tc>
      </w:tr>
      <w:tr>
        <w:tc>
          <w:tcPr/>
          <w:p>
            <w:pPr>
              <w:pStyle w:val="Compact"/>
              <w:jc w:val="left"/>
            </w:pPr>
            <w:r>
              <w:t xml:space="preserve">Atomic / CAS</w:t>
            </w:r>
          </w:p>
        </w:tc>
        <w:tc>
          <w:tcPr/>
          <w:p>
            <w:pPr>
              <w:pStyle w:val="Compact"/>
              <w:jc w:val="left"/>
            </w:pPr>
            <w:r>
              <w:t xml:space="preserve">Single-variable read-modify-write</w:t>
            </w:r>
          </w:p>
        </w:tc>
        <w:tc>
          <w:tcPr/>
          <w:p>
            <w:pPr>
              <w:pStyle w:val="Compact"/>
              <w:jc w:val="left"/>
            </w:pPr>
            <w:r>
              <w:t xml:space="preserve">Never sleeps; may retry</w:t>
            </w:r>
          </w:p>
        </w:tc>
        <w:tc>
          <w:tcPr/>
          <w:p>
            <w:pPr>
              <w:pStyle w:val="Compact"/>
              <w:jc w:val="left"/>
            </w:pPr>
            <w:r>
              <w:t xml:space="preserve">~5–20 ns; more when contended</w:t>
            </w:r>
          </w:p>
        </w:tc>
        <w:tc>
          <w:tcPr/>
          <w:p>
            <w:pPr>
              <w:pStyle w:val="Compact"/>
              <w:jc w:val="left"/>
            </w:pPr>
            <w:r>
              <w:t xml:space="preserve">Only one variable; ABA; ordering subtleties</w:t>
            </w:r>
          </w:p>
        </w:tc>
        <w:tc>
          <w:tcPr/>
          <w:p>
            <w:pPr>
              <w:pStyle w:val="Compact"/>
              <w:jc w:val="left"/>
            </w:pPr>
            <w:r>
              <w:t xml:space="preserve">Counters, flags, pointers</w:t>
            </w:r>
          </w:p>
        </w:tc>
      </w:tr>
      <w:tr>
        <w:tc>
          <w:tcPr/>
          <w:p>
            <w:pPr>
              <w:pStyle w:val="Compact"/>
              <w:jc w:val="left"/>
            </w:pPr>
            <w:r>
              <w:t xml:space="preserve">Read-write lock</w:t>
            </w:r>
          </w:p>
        </w:tc>
        <w:tc>
          <w:tcPr/>
          <w:p>
            <w:pPr>
              <w:pStyle w:val="Compact"/>
              <w:jc w:val="left"/>
            </w:pPr>
            <w:r>
              <w:t xml:space="preserve">Many readers, rare writers</w:t>
            </w:r>
          </w:p>
        </w:tc>
        <w:tc>
          <w:tcPr/>
          <w:p>
            <w:pPr>
              <w:pStyle w:val="Compact"/>
              <w:jc w:val="left"/>
            </w:pPr>
            <w:r>
              <w:t xml:space="preserve">Sleeps</w:t>
            </w:r>
          </w:p>
        </w:tc>
        <w:tc>
          <w:tcPr/>
          <w:p>
            <w:pPr>
              <w:pStyle w:val="Compact"/>
              <w:jc w:val="left"/>
            </w:pPr>
            <w:r>
              <w:t xml:space="preserve">Higher than mutex</w:t>
            </w:r>
          </w:p>
        </w:tc>
        <w:tc>
          <w:tcPr/>
          <w:p>
            <w:pPr>
              <w:pStyle w:val="Compact"/>
              <w:jc w:val="left"/>
            </w:pPr>
            <w:r>
              <w:t xml:space="preserve">Writer starvation; reader-counter contention</w:t>
            </w:r>
          </w:p>
        </w:tc>
        <w:tc>
          <w:tcPr/>
          <w:p>
            <w:pPr>
              <w:pStyle w:val="Compact"/>
              <w:jc w:val="left"/>
            </w:pPr>
            <w:r>
              <w:t xml:space="preserve">Long read-mostly sections</w:t>
            </w:r>
          </w:p>
        </w:tc>
      </w:tr>
      <w:tr>
        <w:tc>
          <w:tcPr/>
          <w:p>
            <w:pPr>
              <w:pStyle w:val="Compact"/>
              <w:jc w:val="left"/>
            </w:pPr>
            <w:r>
              <w:t xml:space="preserve">Lock-free structure</w:t>
            </w:r>
          </w:p>
        </w:tc>
        <w:tc>
          <w:tcPr/>
          <w:p>
            <w:pPr>
              <w:pStyle w:val="Compact"/>
              <w:jc w:val="left"/>
            </w:pPr>
            <w:r>
              <w:t xml:space="preserve">Progress without locks</w:t>
            </w:r>
          </w:p>
        </w:tc>
        <w:tc>
          <w:tcPr/>
          <w:p>
            <w:pPr>
              <w:pStyle w:val="Compact"/>
              <w:jc w:val="left"/>
            </w:pPr>
            <w:r>
              <w:t xml:space="preserve">Never sleeps</w:t>
            </w:r>
          </w:p>
        </w:tc>
        <w:tc>
          <w:tcPr/>
          <w:p>
            <w:pPr>
              <w:pStyle w:val="Compact"/>
              <w:jc w:val="left"/>
            </w:pPr>
            <w:r>
              <w:t xml:space="preserve">Varies</w:t>
            </w:r>
          </w:p>
        </w:tc>
        <w:tc>
          <w:tcPr/>
          <w:p>
            <w:pPr>
              <w:pStyle w:val="Compact"/>
              <w:jc w:val="left"/>
            </w:pPr>
            <w:r>
              <w:t xml:space="preserve">ABA; memory reclamation; very hard to verify</w:t>
            </w:r>
          </w:p>
        </w:tc>
        <w:tc>
          <w:tcPr/>
          <w:p>
            <w:pPr>
              <w:pStyle w:val="Compact"/>
              <w:jc w:val="left"/>
            </w:pPr>
            <w:r>
              <w:t xml:space="preserve">Proven library implementations only</w:t>
            </w:r>
          </w:p>
        </w:tc>
      </w:tr>
    </w:tbl>
    <w:p>
      <w:pPr>
        <w:pStyle w:val="BodyText"/>
      </w:pPr>
      <w:r>
        <w:t xml:space="preserve">Costs are orders of magnitude on current x86-64 servers (as of the 2020s) and grow sharply under contention, when cache lines move between cores.</w:t>
      </w:r>
    </w:p>
    <w:bookmarkEnd w:id="634"/>
    <w:bookmarkEnd w:id="635"/>
    <w:bookmarkStart w:id="648" w:name="X8fb33901d8d0721b1d9f182156333a8168067dd"/>
    <w:p>
      <w:pPr>
        <w:pStyle w:val="Heading2"/>
      </w:pPr>
      <w:r>
        <w:t xml:space="preserve">6.11 Deadlock, livelock, starvation and priority inversion</w:t>
      </w:r>
    </w:p>
    <w:bookmarkStart w:id="639" w:name="deadlock-and-the-coffman-conditions"/>
    <w:p>
      <w:pPr>
        <w:pStyle w:val="Heading3"/>
      </w:pPr>
      <w:r>
        <w:t xml:space="preserve">6.11.1 Deadlock and the Coffman conditions</w:t>
      </w:r>
    </w:p>
    <w:p>
      <w:pPr>
        <w:pStyle w:val="CalloutDefinition"/>
      </w:pPr>
      <w:r>
        <w:rPr>
          <w:bCs/>
          <w:b/>
        </w:rPr>
        <w:t xml:space="preserve">DEFINITION</w:t>
      </w:r>
    </w:p>
    <w:p>
      <w:pPr>
        <w:pStyle w:val="CalloutDefinition"/>
      </w:pPr>
      <w:r>
        <w:rPr>
          <w:bCs/>
          <w:b/>
        </w:rPr>
        <w:t xml:space="preserve">Definition — Deadlock.</w:t>
      </w:r>
      <w:r>
        <w:t xml:space="preserve"> </w:t>
      </w:r>
      <w:r>
        <w:t xml:space="preserve">A state in which each thread in a set is waiting for a resource held by another thread in the same set, so none can ever proceed.</w:t>
      </w:r>
    </w:p>
    <w:p>
      <w:pPr>
        <w:pStyle w:val="BodyText"/>
      </w:pPr>
      <w:r>
        <w:t xml:space="preserve">Four cars at a four-way junction, each waiting for the car on its right, will never move. Deadlock requires all four of these conditions at once [Coffman et al. 1971; Tanenbaum &amp; Bos 2014]:</w:t>
      </w:r>
    </w:p>
    <w:p>
      <w:pPr>
        <w:numPr>
          <w:ilvl w:val="0"/>
          <w:numId w:val="1187"/>
        </w:numPr>
        <w:pStyle w:val="Compact"/>
      </w:pPr>
      <w:r>
        <w:rPr>
          <w:bCs/>
          <w:b/>
        </w:rPr>
        <w:t xml:space="preserve">Mutual exclusion</w:t>
      </w:r>
      <w:r>
        <w:t xml:space="preserve"> </w:t>
      </w:r>
      <w:r>
        <w:t xml:space="preserve">— a resource can be held by only one thread at a time.</w:t>
      </w:r>
    </w:p>
    <w:p>
      <w:pPr>
        <w:numPr>
          <w:ilvl w:val="0"/>
          <w:numId w:val="1187"/>
        </w:numPr>
        <w:pStyle w:val="Compact"/>
      </w:pPr>
      <w:r>
        <w:rPr>
          <w:bCs/>
          <w:b/>
        </w:rPr>
        <w:t xml:space="preserve">Hold and wait</w:t>
      </w:r>
      <w:r>
        <w:t xml:space="preserve"> </w:t>
      </w:r>
      <w:r>
        <w:t xml:space="preserve">— a thread holds at least one resource while waiting for another.</w:t>
      </w:r>
    </w:p>
    <w:p>
      <w:pPr>
        <w:numPr>
          <w:ilvl w:val="0"/>
          <w:numId w:val="1187"/>
        </w:numPr>
        <w:pStyle w:val="Compact"/>
      </w:pPr>
      <w:r>
        <w:rPr>
          <w:bCs/>
          <w:b/>
        </w:rPr>
        <w:t xml:space="preserve">No preemption</w:t>
      </w:r>
      <w:r>
        <w:t xml:space="preserve"> </w:t>
      </w:r>
      <w:r>
        <w:t xml:space="preserve">— a resource cannot be forcibly taken away; it is released only voluntarily.</w:t>
      </w:r>
    </w:p>
    <w:p>
      <w:pPr>
        <w:numPr>
          <w:ilvl w:val="0"/>
          <w:numId w:val="1187"/>
        </w:numPr>
        <w:pStyle w:val="Compact"/>
      </w:pPr>
      <w:r>
        <w:rPr>
          <w:bCs/>
          <w:b/>
        </w:rPr>
        <w:t xml:space="preserve">Circular wait</w:t>
      </w:r>
      <w:r>
        <w:t xml:space="preserve"> </w:t>
      </w:r>
      <w:r>
        <w:t xml:space="preserve">— there is a cycle of threads, each waiting for a resource held by the next.</w:t>
      </w:r>
    </w:p>
    <w:p>
      <w:pPr>
        <w:pStyle w:val="FirstParagraph"/>
      </w:pPr>
      <w:r>
        <w:rPr>
          <w:bCs/>
          <w:b/>
        </w:rPr>
        <w:t xml:space="preserve">Figure 6.8 — Resource-allocation graph with a deadlock cycle.</w:t>
      </w:r>
    </w:p>
    <w:p>
      <w:pPr>
        <w:pStyle w:val="BodyText"/>
      </w:pPr>
      <w:r>
        <w:drawing>
          <wp:inline>
            <wp:extent cx="5334000" cy="995458"/>
            <wp:effectExtent b="0" l="0" r="0" t="0"/>
            <wp:docPr descr="" title="" id="637" name="Picture"/>
            <a:graphic>
              <a:graphicData uri="http://schemas.openxmlformats.org/drawingml/2006/picture">
                <pic:pic>
                  <pic:nvPicPr>
                    <pic:cNvPr descr="/home/user/System-Design/build/.cache/diagrams/220df71a11a9.png" id="638" name="Picture"/>
                    <pic:cNvPicPr>
                      <a:picLocks noChangeArrowheads="1" noChangeAspect="1"/>
                    </pic:cNvPicPr>
                  </pic:nvPicPr>
                  <pic:blipFill>
                    <a:blip r:embed="rId636"/>
                    <a:stretch>
                      <a:fillRect/>
                    </a:stretch>
                  </pic:blipFill>
                  <pic:spPr bwMode="auto">
                    <a:xfrm>
                      <a:off x="0" y="0"/>
                      <a:ext cx="5334000" cy="995458"/>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Rectangles are threads, cylinders are locks. Thread → lock means</w:t>
      </w:r>
      <w:r>
        <w:t xml:space="preserve"> </w:t>
      </w:r>
      <w:r>
        <w:t xml:space="preserve">“</w:t>
      </w:r>
      <w:r>
        <w:t xml:space="preserve">waits for</w:t>
      </w:r>
      <w:r>
        <w:t xml:space="preserve">”</w:t>
      </w:r>
      <w:r>
        <w:t xml:space="preserve">; lock → thread means</w:t>
      </w:r>
      <w:r>
        <w:t xml:space="preserve"> </w:t>
      </w:r>
      <w:r>
        <w:t xml:space="preserve">“</w:t>
      </w:r>
      <w:r>
        <w:t xml:space="preserve">is held by</w:t>
      </w:r>
      <w:r>
        <w:t xml:space="preserve">”</w:t>
      </w:r>
      <w:r>
        <w:t xml:space="preserve">. Following the arrows from T1 returns to T1: a</w:t>
      </w:r>
      <w:r>
        <w:t xml:space="preserve"> </w:t>
      </w:r>
      <w:r>
        <w:rPr>
          <w:bCs/>
          <w:b/>
        </w:rPr>
        <w:t xml:space="preserve">cycle</w:t>
      </w:r>
      <w:r>
        <w:t xml:space="preserve">. With single-instance resources such as locks, a cycle is necessary and sufficient for deadlock, which is how deadlock detectors, including those in databases (§11.15), work. Every edge is a synchronous blocking wait; breaking any one edge removes the deadlock.</w:t>
      </w:r>
    </w:p>
    <w:p>
      <w:pPr>
        <w:pStyle w:val="BodyText"/>
      </w:pPr>
      <w:r>
        <w:t xml:space="preserve">The code below produces exactly this cycle. Because a real deadlock would hang forever, it uses</w:t>
      </w:r>
      <w:r>
        <w:t xml:space="preserve"> </w:t>
      </w:r>
      <w:r>
        <w:rPr>
          <w:rStyle w:val="VerbatimChar"/>
        </w:rPr>
        <w:t xml:space="preserve">acquire(timeout=...)</w:t>
      </w:r>
      <w:r>
        <w:t xml:space="preserve"> </w:t>
      </w:r>
      <w:r>
        <w:t xml:space="preserve">to detect the situation:</w:t>
      </w:r>
    </w:p>
    <w:p>
      <w:pPr>
        <w:pStyle w:val="SourceCode"/>
      </w:pPr>
      <w:r>
        <w:rPr>
          <w:rStyle w:val="CommentTok"/>
        </w:rPr>
        <w:t xml:space="preserve">"""Two threads take two locks in opposite order -&gt; deadlock (detected via timeout)."""</w:t>
      </w:r>
      <w:r>
        <w:br/>
      </w:r>
      <w:r>
        <w:rPr>
          <w:rStyle w:val="ImportTok"/>
        </w:rPr>
        <w:t xml:space="preserve">import</w:t>
      </w:r>
      <w:r>
        <w:rPr>
          <w:rStyle w:val="NormalTok"/>
        </w:rPr>
        <w:t xml:space="preserve"> threading</w:t>
      </w:r>
      <w:r>
        <w:br/>
      </w:r>
      <w:r>
        <w:rPr>
          <w:rStyle w:val="ImportTok"/>
        </w:rPr>
        <w:t xml:space="preserve">import</w:t>
      </w:r>
      <w:r>
        <w:rPr>
          <w:rStyle w:val="NormalTok"/>
        </w:rPr>
        <w:t xml:space="preserve"> time</w:t>
      </w:r>
      <w:r>
        <w:br/>
      </w:r>
      <w:r>
        <w:br/>
      </w:r>
      <w:r>
        <w:rPr>
          <w:rStyle w:val="NormalTok"/>
        </w:rPr>
        <w:t xml:space="preserve">lock_a </w:t>
      </w:r>
      <w:r>
        <w:rPr>
          <w:rStyle w:val="OperatorTok"/>
        </w:rPr>
        <w:t xml:space="preserve">=</w:t>
      </w:r>
      <w:r>
        <w:rPr>
          <w:rStyle w:val="NormalTok"/>
        </w:rPr>
        <w:t xml:space="preserve"> threading.Lock()</w:t>
      </w:r>
      <w:r>
        <w:br/>
      </w:r>
      <w:r>
        <w:rPr>
          <w:rStyle w:val="NormalTok"/>
        </w:rPr>
        <w:t xml:space="preserve">lock_b </w:t>
      </w:r>
      <w:r>
        <w:rPr>
          <w:rStyle w:val="OperatorTok"/>
        </w:rPr>
        <w:t xml:space="preserve">=</w:t>
      </w:r>
      <w:r>
        <w:rPr>
          <w:rStyle w:val="NormalTok"/>
        </w:rPr>
        <w:t xml:space="preserve"> threading.Lock()</w:t>
      </w:r>
      <w:r>
        <w:br/>
      </w:r>
      <w:r>
        <w:br/>
      </w:r>
      <w:r>
        <w:br/>
      </w:r>
      <w:r>
        <w:rPr>
          <w:rStyle w:val="KeywordTok"/>
        </w:rPr>
        <w:t xml:space="preserve">def</w:t>
      </w:r>
      <w:r>
        <w:rPr>
          <w:rStyle w:val="NormalTok"/>
        </w:rPr>
        <w:t xml:space="preserve"> worker(name: </w:t>
      </w:r>
      <w:r>
        <w:rPr>
          <w:rStyle w:val="BuiltInTok"/>
        </w:rPr>
        <w:t xml:space="preserve">str</w:t>
      </w:r>
      <w:r>
        <w:rPr>
          <w:rStyle w:val="NormalTok"/>
        </w:rPr>
        <w:t xml:space="preserve">, first: threading.Lock, second: threading.Lock)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with</w:t>
      </w:r>
      <w:r>
        <w:rPr>
          <w:rStyle w:val="NormalTok"/>
        </w:rPr>
        <w:t xml:space="preserve"> first:</w:t>
      </w:r>
      <w:r>
        <w:br/>
      </w:r>
      <w:r>
        <w:rPr>
          <w:rStyle w:val="NormalTok"/>
        </w:rPr>
        <w:t xml:space="preserve">        time.sleep(</w:t>
      </w:r>
      <w:r>
        <w:rPr>
          <w:rStyle w:val="FloatTok"/>
        </w:rPr>
        <w:t xml:space="preserve">0.1</w:t>
      </w:r>
      <w:r>
        <w:rPr>
          <w:rStyle w:val="NormalTok"/>
        </w:rPr>
        <w:t xml:space="preserve">)                       </w:t>
      </w:r>
      <w:r>
        <w:rPr>
          <w:rStyle w:val="CommentTok"/>
        </w:rPr>
        <w:t xml:space="preserve"># make the bad interleaving very likely</w:t>
      </w:r>
      <w:r>
        <w:br/>
      </w:r>
      <w:r>
        <w:rPr>
          <w:rStyle w:val="NormalTok"/>
        </w:rPr>
        <w:t xml:space="preserve">        </w:t>
      </w:r>
      <w:r>
        <w:rPr>
          <w:rStyle w:val="ControlFlowTok"/>
        </w:rPr>
        <w:t xml:space="preserve">if</w:t>
      </w:r>
      <w:r>
        <w:rPr>
          <w:rStyle w:val="NormalTok"/>
        </w:rPr>
        <w:t xml:space="preserve"> second.acquire(timeout</w:t>
      </w:r>
      <w:r>
        <w:rPr>
          <w:rStyle w:val="OperatorTok"/>
        </w:rPr>
        <w:t xml:space="preserve">=</w:t>
      </w:r>
      <w:r>
        <w:rPr>
          <w:rStyle w:val="FloatTok"/>
        </w:rPr>
        <w:t xml:space="preserve">1.0</w:t>
      </w:r>
      <w:r>
        <w:rPr>
          <w:rStyle w:val="NormalTok"/>
        </w:rPr>
        <w:t xml:space="preserve">):       </w:t>
      </w:r>
      <w:r>
        <w:rPr>
          <w:rStyle w:val="CommentTok"/>
        </w:rPr>
        <w:t xml:space="preserve"># a real program would block forever</w:t>
      </w:r>
      <w:r>
        <w:br/>
      </w:r>
      <w:r>
        <w:rPr>
          <w:rStyle w:val="NormalTok"/>
        </w:rPr>
        <w:t xml:space="preserve">            second.release()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finished"</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gave up after 1 s -- probable deadlock"</w:t>
      </w:r>
      <w:r>
        <w:rPr>
          <w:rStyle w:val="NormalTok"/>
        </w:rPr>
        <w:t xml:space="preserve">)</w:t>
      </w:r>
      <w:r>
        <w:br/>
      </w:r>
      <w:r>
        <w:br/>
      </w:r>
      <w:r>
        <w:br/>
      </w:r>
      <w:r>
        <w:rPr>
          <w:rStyle w:val="NormalTok"/>
        </w:rPr>
        <w:t xml:space="preserve">t1 </w:t>
      </w:r>
      <w:r>
        <w:rPr>
          <w:rStyle w:val="OperatorTok"/>
        </w:rPr>
        <w:t xml:space="preserve">=</w:t>
      </w:r>
      <w:r>
        <w:rPr>
          <w:rStyle w:val="NormalTok"/>
        </w:rPr>
        <w:t xml:space="preserve"> threading.Thread(target</w:t>
      </w:r>
      <w:r>
        <w:rPr>
          <w:rStyle w:val="OperatorTok"/>
        </w:rPr>
        <w:t xml:space="preserve">=</w:t>
      </w:r>
      <w:r>
        <w:rPr>
          <w:rStyle w:val="NormalTok"/>
        </w:rPr>
        <w:t xml:space="preserve">worker, args</w:t>
      </w:r>
      <w:r>
        <w:rPr>
          <w:rStyle w:val="OperatorTok"/>
        </w:rPr>
        <w:t xml:space="preserve">=</w:t>
      </w:r>
      <w:r>
        <w:rPr>
          <w:rStyle w:val="NormalTok"/>
        </w:rPr>
        <w:t xml:space="preserve">(</w:t>
      </w:r>
      <w:r>
        <w:rPr>
          <w:rStyle w:val="StringTok"/>
        </w:rPr>
        <w:t xml:space="preserve">"T1"</w:t>
      </w:r>
      <w:r>
        <w:rPr>
          <w:rStyle w:val="NormalTok"/>
        </w:rPr>
        <w:t xml:space="preserve">, lock_a, lock_b))</w:t>
      </w:r>
      <w:r>
        <w:br/>
      </w:r>
      <w:r>
        <w:rPr>
          <w:rStyle w:val="NormalTok"/>
        </w:rPr>
        <w:t xml:space="preserve">t2 </w:t>
      </w:r>
      <w:r>
        <w:rPr>
          <w:rStyle w:val="OperatorTok"/>
        </w:rPr>
        <w:t xml:space="preserve">=</w:t>
      </w:r>
      <w:r>
        <w:rPr>
          <w:rStyle w:val="NormalTok"/>
        </w:rPr>
        <w:t xml:space="preserve"> threading.Thread(target</w:t>
      </w:r>
      <w:r>
        <w:rPr>
          <w:rStyle w:val="OperatorTok"/>
        </w:rPr>
        <w:t xml:space="preserve">=</w:t>
      </w:r>
      <w:r>
        <w:rPr>
          <w:rStyle w:val="NormalTok"/>
        </w:rPr>
        <w:t xml:space="preserve">worker, args</w:t>
      </w:r>
      <w:r>
        <w:rPr>
          <w:rStyle w:val="OperatorTok"/>
        </w:rPr>
        <w:t xml:space="preserve">=</w:t>
      </w:r>
      <w:r>
        <w:rPr>
          <w:rStyle w:val="NormalTok"/>
        </w:rPr>
        <w:t xml:space="preserve">(</w:t>
      </w:r>
      <w:r>
        <w:rPr>
          <w:rStyle w:val="StringTok"/>
        </w:rPr>
        <w:t xml:space="preserve">"T2"</w:t>
      </w:r>
      <w:r>
        <w:rPr>
          <w:rStyle w:val="NormalTok"/>
        </w:rPr>
        <w:t xml:space="preserve">, lock_b, lock_a))  </w:t>
      </w:r>
      <w:r>
        <w:rPr>
          <w:rStyle w:val="CommentTok"/>
        </w:rPr>
        <w:t xml:space="preserve"># opposite order!</w:t>
      </w:r>
      <w:r>
        <w:br/>
      </w:r>
      <w:r>
        <w:rPr>
          <w:rStyle w:val="NormalTok"/>
        </w:rPr>
        <w:t xml:space="preserve">t1.start()</w:t>
      </w:r>
      <w:r>
        <w:rPr>
          <w:rStyle w:val="OperatorTok"/>
        </w:rPr>
        <w:t xml:space="preserve">;</w:t>
      </w:r>
      <w:r>
        <w:rPr>
          <w:rStyle w:val="NormalTok"/>
        </w:rPr>
        <w:t xml:space="preserve"> t2.start()</w:t>
      </w:r>
      <w:r>
        <w:rPr>
          <w:rStyle w:val="OperatorTok"/>
        </w:rPr>
        <w:t xml:space="preserve">;</w:t>
      </w:r>
      <w:r>
        <w:rPr>
          <w:rStyle w:val="NormalTok"/>
        </w:rPr>
        <w:t xml:space="preserve"> t1.join()</w:t>
      </w:r>
      <w:r>
        <w:rPr>
          <w:rStyle w:val="OperatorTok"/>
        </w:rPr>
        <w:t xml:space="preserve">;</w:t>
      </w:r>
      <w:r>
        <w:rPr>
          <w:rStyle w:val="NormalTok"/>
        </w:rPr>
        <w:t xml:space="preserve"> t2.join()</w:t>
      </w:r>
      <w:r>
        <w:br/>
      </w:r>
      <w:r>
        <w:br/>
      </w:r>
      <w:r>
        <w:rPr>
          <w:rStyle w:val="CommentTok"/>
        </w:rPr>
        <w:t xml:space="preserve"># Fix: impose a global lock order (always A before B) and the cycle cannot form.</w:t>
      </w:r>
      <w:r>
        <w:br/>
      </w:r>
      <w:r>
        <w:rPr>
          <w:rStyle w:val="NormalTok"/>
        </w:rPr>
        <w:t xml:space="preserve">t1 </w:t>
      </w:r>
      <w:r>
        <w:rPr>
          <w:rStyle w:val="OperatorTok"/>
        </w:rPr>
        <w:t xml:space="preserve">=</w:t>
      </w:r>
      <w:r>
        <w:rPr>
          <w:rStyle w:val="NormalTok"/>
        </w:rPr>
        <w:t xml:space="preserve"> threading.Thread(target</w:t>
      </w:r>
      <w:r>
        <w:rPr>
          <w:rStyle w:val="OperatorTok"/>
        </w:rPr>
        <w:t xml:space="preserve">=</w:t>
      </w:r>
      <w:r>
        <w:rPr>
          <w:rStyle w:val="NormalTok"/>
        </w:rPr>
        <w:t xml:space="preserve">worker, args</w:t>
      </w:r>
      <w:r>
        <w:rPr>
          <w:rStyle w:val="OperatorTok"/>
        </w:rPr>
        <w:t xml:space="preserve">=</w:t>
      </w:r>
      <w:r>
        <w:rPr>
          <w:rStyle w:val="NormalTok"/>
        </w:rPr>
        <w:t xml:space="preserve">(</w:t>
      </w:r>
      <w:r>
        <w:rPr>
          <w:rStyle w:val="StringTok"/>
        </w:rPr>
        <w:t xml:space="preserve">"T1"</w:t>
      </w:r>
      <w:r>
        <w:rPr>
          <w:rStyle w:val="NormalTok"/>
        </w:rPr>
        <w:t xml:space="preserve">, lock_a, lock_b))</w:t>
      </w:r>
      <w:r>
        <w:br/>
      </w:r>
      <w:r>
        <w:rPr>
          <w:rStyle w:val="NormalTok"/>
        </w:rPr>
        <w:t xml:space="preserve">t2 </w:t>
      </w:r>
      <w:r>
        <w:rPr>
          <w:rStyle w:val="OperatorTok"/>
        </w:rPr>
        <w:t xml:space="preserve">=</w:t>
      </w:r>
      <w:r>
        <w:rPr>
          <w:rStyle w:val="NormalTok"/>
        </w:rPr>
        <w:t xml:space="preserve"> threading.Thread(target</w:t>
      </w:r>
      <w:r>
        <w:rPr>
          <w:rStyle w:val="OperatorTok"/>
        </w:rPr>
        <w:t xml:space="preserve">=</w:t>
      </w:r>
      <w:r>
        <w:rPr>
          <w:rStyle w:val="NormalTok"/>
        </w:rPr>
        <w:t xml:space="preserve">worker, args</w:t>
      </w:r>
      <w:r>
        <w:rPr>
          <w:rStyle w:val="OperatorTok"/>
        </w:rPr>
        <w:t xml:space="preserve">=</w:t>
      </w:r>
      <w:r>
        <w:rPr>
          <w:rStyle w:val="NormalTok"/>
        </w:rPr>
        <w:t xml:space="preserve">(</w:t>
      </w:r>
      <w:r>
        <w:rPr>
          <w:rStyle w:val="StringTok"/>
        </w:rPr>
        <w:t xml:space="preserve">"T2"</w:t>
      </w:r>
      <w:r>
        <w:rPr>
          <w:rStyle w:val="NormalTok"/>
        </w:rPr>
        <w:t xml:space="preserve">, lock_a, lock_b))</w:t>
      </w:r>
      <w:r>
        <w:br/>
      </w:r>
      <w:r>
        <w:rPr>
          <w:rStyle w:val="NormalTok"/>
        </w:rPr>
        <w:t xml:space="preserve">t1.start()</w:t>
      </w:r>
      <w:r>
        <w:rPr>
          <w:rStyle w:val="OperatorTok"/>
        </w:rPr>
        <w:t xml:space="preserve">;</w:t>
      </w:r>
      <w:r>
        <w:rPr>
          <w:rStyle w:val="NormalTok"/>
        </w:rPr>
        <w:t xml:space="preserve"> t2.start()</w:t>
      </w:r>
      <w:r>
        <w:rPr>
          <w:rStyle w:val="OperatorTok"/>
        </w:rPr>
        <w:t xml:space="preserve">;</w:t>
      </w:r>
      <w:r>
        <w:rPr>
          <w:rStyle w:val="NormalTok"/>
        </w:rPr>
        <w:t xml:space="preserve"> t1.join()</w:t>
      </w:r>
      <w:r>
        <w:rPr>
          <w:rStyle w:val="OperatorTok"/>
        </w:rPr>
        <w:t xml:space="preserve">;</w:t>
      </w:r>
      <w:r>
        <w:rPr>
          <w:rStyle w:val="NormalTok"/>
        </w:rPr>
        <w:t xml:space="preserve"> t2.join()</w:t>
      </w:r>
    </w:p>
    <w:p>
      <w:pPr>
        <w:pStyle w:val="FirstParagraph"/>
      </w:pPr>
      <w:r>
        <w:t xml:space="preserve">Typical output:</w:t>
      </w:r>
      <w:r>
        <w:t xml:space="preserve"> </w:t>
      </w:r>
      <w:r>
        <w:rPr>
          <w:rStyle w:val="VerbatimChar"/>
        </w:rPr>
        <w:t xml:space="preserve">T1: gave up after 1 s -- probable deadlock</w:t>
      </w:r>
      <w:r>
        <w:t xml:space="preserve">,</w:t>
      </w:r>
      <w:r>
        <w:t xml:space="preserve"> </w:t>
      </w:r>
      <w:r>
        <w:rPr>
          <w:rStyle w:val="VerbatimChar"/>
        </w:rPr>
        <w:t xml:space="preserve">T2: finished</w:t>
      </w:r>
      <w:r>
        <w:t xml:space="preserve">,</w:t>
      </w:r>
      <w:r>
        <w:t xml:space="preserve"> </w:t>
      </w:r>
      <w:r>
        <w:rPr>
          <w:rStyle w:val="VerbatimChar"/>
        </w:rPr>
        <w:t xml:space="preserve">T1: finished</w:t>
      </w:r>
      <w:r>
        <w:t xml:space="preserve">,</w:t>
      </w:r>
      <w:r>
        <w:t xml:space="preserve"> </w:t>
      </w:r>
      <w:r>
        <w:rPr>
          <w:rStyle w:val="VerbatimChar"/>
        </w:rPr>
        <w:t xml:space="preserve">T2: finished</w:t>
      </w:r>
      <w:r>
        <w:t xml:space="preserve">.</w:t>
      </w:r>
    </w:p>
    <w:p>
      <w:pPr>
        <w:pStyle w:val="BodyText"/>
      </w:pPr>
      <w:r>
        <w:t xml:space="preserve">What to notice:</w:t>
      </w:r>
    </w:p>
    <w:p>
      <w:pPr>
        <w:numPr>
          <w:ilvl w:val="0"/>
          <w:numId w:val="1188"/>
        </w:numPr>
        <w:pStyle w:val="Compact"/>
      </w:pPr>
      <w:r>
        <w:t xml:space="preserve">In the first run each thread holds one lock and wants the other. When T1 gives up and releases A, T2 can finish: the timeout broke</w:t>
      </w:r>
      <w:r>
        <w:t xml:space="preserve"> </w:t>
      </w:r>
      <w:r>
        <w:rPr>
          <w:bCs/>
          <w:b/>
        </w:rPr>
        <w:t xml:space="preserve">hold and wait</w:t>
      </w:r>
      <w:r>
        <w:t xml:space="preserve">, which is how databases resolve deadlocks by aborting a victim transaction.</w:t>
      </w:r>
    </w:p>
    <w:p>
      <w:pPr>
        <w:numPr>
          <w:ilvl w:val="0"/>
          <w:numId w:val="1188"/>
        </w:numPr>
        <w:pStyle w:val="Compact"/>
      </w:pPr>
      <w:r>
        <w:t xml:space="preserve">In the second run both threads take A before B. No cycle can form, so no timeout is needed.</w:t>
      </w:r>
    </w:p>
    <w:bookmarkEnd w:id="639"/>
    <w:bookmarkStart w:id="640" w:name="X4c160c5923b224b56e49cde825e5edca5e7c947"/>
    <w:p>
      <w:pPr>
        <w:pStyle w:val="Heading3"/>
      </w:pPr>
      <w:r>
        <w:t xml:space="preserve">6.11.2 Handling deadlock: prevention, avoidance, detection</w:t>
      </w:r>
    </w:p>
    <w:p>
      <w:pPr>
        <w:pStyle w:val="FirstParagraph"/>
      </w:pPr>
      <w:r>
        <w:rPr>
          <w:bCs/>
          <w:b/>
        </w:rPr>
        <w:t xml:space="preserve">Prevention</w:t>
      </w:r>
      <w:r>
        <w:t xml:space="preserve"> </w:t>
      </w:r>
      <w:r>
        <w:t xml:space="preserve">makes one Coffman condition impossible by design:</w:t>
      </w:r>
    </w:p>
    <w:p>
      <w:pPr>
        <w:numPr>
          <w:ilvl w:val="0"/>
          <w:numId w:val="1189"/>
        </w:numPr>
        <w:pStyle w:val="Compact"/>
      </w:pPr>
      <w:r>
        <w:rPr>
          <w:iCs/>
          <w:i/>
        </w:rPr>
        <w:t xml:space="preserve">Circular wait:</w:t>
      </w:r>
      <w:r>
        <w:t xml:space="preserve"> </w:t>
      </w:r>
      <w:r>
        <w:t xml:space="preserve">define a global</w:t>
      </w:r>
      <w:r>
        <w:t xml:space="preserve"> </w:t>
      </w:r>
      <w:r>
        <w:rPr>
          <w:bCs/>
          <w:b/>
        </w:rPr>
        <w:t xml:space="preserve">lock ordering</w:t>
      </w:r>
      <w:r>
        <w:t xml:space="preserve"> </w:t>
      </w:r>
      <w:r>
        <w:t xml:space="preserve">(by address, by ID, by level) and always acquire locks in that order. This is the most practical technique.</w:t>
      </w:r>
    </w:p>
    <w:p>
      <w:pPr>
        <w:numPr>
          <w:ilvl w:val="0"/>
          <w:numId w:val="1189"/>
        </w:numPr>
        <w:pStyle w:val="Compact"/>
      </w:pPr>
      <w:r>
        <w:rPr>
          <w:iCs/>
          <w:i/>
        </w:rPr>
        <w:t xml:space="preserve">Hold and wait:</w:t>
      </w:r>
      <w:r>
        <w:t xml:space="preserve"> </w:t>
      </w:r>
      <w:r>
        <w:t xml:space="preserve">acquire all needed locks at once, or use</w:t>
      </w:r>
      <w:r>
        <w:t xml:space="preserve"> </w:t>
      </w:r>
      <w:r>
        <w:rPr>
          <w:rStyle w:val="VerbatimChar"/>
        </w:rPr>
        <w:t xml:space="preserve">tryLock</w:t>
      </w:r>
      <w:r>
        <w:t xml:space="preserve"> </w:t>
      </w:r>
      <w:r>
        <w:t xml:space="preserve">and release everything on failure.</w:t>
      </w:r>
    </w:p>
    <w:p>
      <w:pPr>
        <w:numPr>
          <w:ilvl w:val="0"/>
          <w:numId w:val="1189"/>
        </w:numPr>
        <w:pStyle w:val="Compact"/>
      </w:pPr>
      <w:r>
        <w:rPr>
          <w:iCs/>
          <w:i/>
        </w:rPr>
        <w:t xml:space="preserve">No preemption:</w:t>
      </w:r>
      <w:r>
        <w:t xml:space="preserve"> </w:t>
      </w:r>
      <w:r>
        <w:t xml:space="preserve">use timeouts so a waiting thread gives up what it holds.</w:t>
      </w:r>
    </w:p>
    <w:p>
      <w:pPr>
        <w:numPr>
          <w:ilvl w:val="0"/>
          <w:numId w:val="1189"/>
        </w:numPr>
        <w:pStyle w:val="Compact"/>
      </w:pPr>
      <w:r>
        <w:rPr>
          <w:iCs/>
          <w:i/>
        </w:rPr>
        <w:t xml:space="preserve">Mutual exclusion:</w:t>
      </w:r>
      <w:r>
        <w:t xml:space="preserve"> </w:t>
      </w:r>
      <w:r>
        <w:t xml:space="preserve">avoid locks entirely: immutable data, lock-free structures, or one owner thread per piece of state (actors, §6.15.3).</w:t>
      </w:r>
    </w:p>
    <w:p>
      <w:pPr>
        <w:pStyle w:val="FirstParagraph"/>
      </w:pPr>
      <w:r>
        <w:rPr>
          <w:bCs/>
          <w:b/>
        </w:rPr>
        <w:t xml:space="preserve">Avoidance</w:t>
      </w:r>
      <w:r>
        <w:t xml:space="preserve"> </w:t>
      </w:r>
      <w:r>
        <w:t xml:space="preserve">refuses requests that</w:t>
      </w:r>
      <w:r>
        <w:t xml:space="preserve"> </w:t>
      </w:r>
      <w:r>
        <w:rPr>
          <w:iCs/>
          <w:i/>
        </w:rPr>
        <w:t xml:space="preserve">could</w:t>
      </w:r>
      <w:r>
        <w:t xml:space="preserve"> </w:t>
      </w:r>
      <w:r>
        <w:t xml:space="preserve">lead to deadlock. Dijkstra’s</w:t>
      </w:r>
      <w:r>
        <w:t xml:space="preserve"> </w:t>
      </w:r>
      <w:r>
        <w:rPr>
          <w:bCs/>
          <w:b/>
        </w:rPr>
        <w:t xml:space="preserve">banker’s algorithm</w:t>
      </w:r>
      <w:r>
        <w:t xml:space="preserve"> </w:t>
      </w:r>
      <w:r>
        <w:t xml:space="preserve">grants a resource only if some order still exists in which every thread can obtain its declared maximum and finish (a</w:t>
      </w:r>
      <w:r>
        <w:t xml:space="preserve"> </w:t>
      </w:r>
      <w:r>
        <w:rPr>
          <w:bCs/>
          <w:b/>
        </w:rPr>
        <w:t xml:space="preserve">safe state</w:t>
      </w:r>
      <w:r>
        <w:t xml:space="preserve">) [Dijkstra 1965]; needing maximum demands in advance makes it rare in practice.</w:t>
      </w:r>
    </w:p>
    <w:p>
      <w:pPr>
        <w:pStyle w:val="BodyText"/>
      </w:pPr>
      <w:r>
        <w:rPr>
          <w:bCs/>
          <w:b/>
        </w:rPr>
        <w:t xml:space="preserve">Detection and recovery</w:t>
      </w:r>
      <w:r>
        <w:t xml:space="preserve"> </w:t>
      </w:r>
      <w:r>
        <w:t xml:space="preserve">lets deadlocks happen, finds cycles in the wait-for graph and aborts a victim, as databases do. For applications, a</w:t>
      </w:r>
      <w:r>
        <w:t xml:space="preserve"> </w:t>
      </w:r>
      <w:r>
        <w:rPr>
          <w:bCs/>
          <w:b/>
        </w:rPr>
        <w:t xml:space="preserve">thread dump</w:t>
      </w:r>
      <w:r>
        <w:t xml:space="preserve"> </w:t>
      </w:r>
      <w:r>
        <w:t xml:space="preserve">(</w:t>
      </w:r>
      <w:r>
        <w:rPr>
          <w:rStyle w:val="VerbatimChar"/>
        </w:rPr>
        <w:t xml:space="preserve">jstack</w:t>
      </w:r>
      <w:r>
        <w:t xml:space="preserve">, Go’s</w:t>
      </w:r>
      <w:r>
        <w:t xml:space="preserve"> </w:t>
      </w:r>
      <w:r>
        <w:rPr>
          <w:rStyle w:val="VerbatimChar"/>
        </w:rPr>
        <w:t xml:space="preserve">SIGQUIT</w:t>
      </w:r>
      <w:r>
        <w:t xml:space="preserve"> </w:t>
      </w:r>
      <w:r>
        <w:t xml:space="preserve">dump) shows each thread’s held and awaited locks.</w:t>
      </w:r>
    </w:p>
    <w:bookmarkEnd w:id="640"/>
    <w:bookmarkStart w:id="641" w:name="livelock"/>
    <w:p>
      <w:pPr>
        <w:pStyle w:val="Heading3"/>
      </w:pPr>
      <w:r>
        <w:t xml:space="preserve">6.11.3 Livelock</w:t>
      </w:r>
    </w:p>
    <w:p>
      <w:pPr>
        <w:pStyle w:val="FirstParagraph"/>
      </w:pPr>
      <w:r>
        <w:t xml:space="preserve">In a</w:t>
      </w:r>
      <w:r>
        <w:t xml:space="preserve"> </w:t>
      </w:r>
      <w:r>
        <w:rPr>
          <w:bCs/>
          <w:b/>
        </w:rPr>
        <w:t xml:space="preserve">livelock</w:t>
      </w:r>
      <w:r>
        <w:t xml:space="preserve">, threads keep reacting to each other without progress, like two people in a corridor stepping aside the same way again and again; threads that</w:t>
      </w:r>
      <w:r>
        <w:t xml:space="preserve"> </w:t>
      </w:r>
      <w:r>
        <w:rPr>
          <w:rStyle w:val="VerbatimChar"/>
        </w:rPr>
        <w:t xml:space="preserve">tryLock</w:t>
      </w:r>
      <w:r>
        <w:t xml:space="preserve">, fail, release and retry in lock-step do the same. The fix is</w:t>
      </w:r>
      <w:r>
        <w:t xml:space="preserve"> </w:t>
      </w:r>
      <w:r>
        <w:rPr>
          <w:bCs/>
          <w:b/>
        </w:rPr>
        <w:t xml:space="preserve">randomized backoff</w:t>
      </w:r>
      <w:r>
        <w:t xml:space="preserve">, as with retry jitter (§22.12).</w:t>
      </w:r>
    </w:p>
    <w:bookmarkEnd w:id="641"/>
    <w:bookmarkStart w:id="642" w:name="starvation"/>
    <w:p>
      <w:pPr>
        <w:pStyle w:val="Heading3"/>
      </w:pPr>
      <w:r>
        <w:t xml:space="preserve">6.11.4 Starvation</w:t>
      </w:r>
    </w:p>
    <w:p>
      <w:pPr>
        <w:pStyle w:val="FirstParagraph"/>
      </w:pPr>
      <w:r>
        <w:t xml:space="preserve">In</w:t>
      </w:r>
      <w:r>
        <w:t xml:space="preserve"> </w:t>
      </w:r>
      <w:r>
        <w:rPr>
          <w:bCs/>
          <w:b/>
        </w:rPr>
        <w:t xml:space="preserve">starvation</w:t>
      </w:r>
      <w:r>
        <w:t xml:space="preserve">, a thread waits indefinitely because others are always preferred: low priority under strict priority scheduling, writers under a reader-preferring lock, a thread that always loses an unfair lock. Remedies are fairness policies: FIFO locks (Java’s</w:t>
      </w:r>
      <w:r>
        <w:t xml:space="preserve"> </w:t>
      </w:r>
      <w:r>
        <w:rPr>
          <w:rStyle w:val="VerbatimChar"/>
        </w:rPr>
        <w:t xml:space="preserve">new ReentrantLock(true)</w:t>
      </w:r>
      <w:r>
        <w:t xml:space="preserve">), aging, priority boosts. Fair locks cost throughput, since each handoff to a sleeping thread is a context switch, so most locks default to unfair.</w:t>
      </w:r>
    </w:p>
    <w:bookmarkEnd w:id="642"/>
    <w:bookmarkStart w:id="643" w:name="priority-inversion"/>
    <w:p>
      <w:pPr>
        <w:pStyle w:val="Heading3"/>
      </w:pPr>
      <w:r>
        <w:t xml:space="preserve">6.11.5 Priority inversion</w:t>
      </w:r>
    </w:p>
    <w:p>
      <w:pPr>
        <w:pStyle w:val="CalloutDefinition"/>
      </w:pPr>
      <w:r>
        <w:rPr>
          <w:bCs/>
          <w:b/>
        </w:rPr>
        <w:t xml:space="preserve">DEFINITION</w:t>
      </w:r>
    </w:p>
    <w:p>
      <w:pPr>
        <w:pStyle w:val="CalloutDefinition"/>
      </w:pPr>
      <w:r>
        <w:rPr>
          <w:bCs/>
          <w:b/>
        </w:rPr>
        <w:t xml:space="preserve">Definition — Priority inversion.</w:t>
      </w:r>
      <w:r>
        <w:t xml:space="preserve"> </w:t>
      </w:r>
      <w:r>
        <w:t xml:space="preserve">A situation in which a high-priority thread is blocked waiting for a lock held by a low-priority thread, while a medium-priority thread, which needs no lock, preempts the low-priority one, so the high-priority thread effectively runs at the lowest priority.</w:t>
      </w:r>
    </w:p>
    <w:bookmarkEnd w:id="643"/>
    <w:bookmarkStart w:id="647" w:name="case-study-mars-pathfinder-1997"/>
    <w:p>
      <w:pPr>
        <w:pStyle w:val="Heading3"/>
      </w:pPr>
      <w:r>
        <w:t xml:space="preserve">6.11.6 Case study: Mars Pathfinder, 1997</w:t>
      </w:r>
    </w:p>
    <w:p>
      <w:pPr>
        <w:pStyle w:val="FirstParagraph"/>
      </w:pPr>
      <w:r>
        <w:rPr>
          <w:bCs/>
          <w:b/>
        </w:rPr>
        <w:t xml:space="preserve">Figure 6.9 — Priority inversion on Mars Pathfinder.</w:t>
      </w:r>
    </w:p>
    <w:p>
      <w:pPr>
        <w:pStyle w:val="BodyText"/>
      </w:pPr>
      <w:r>
        <w:drawing>
          <wp:inline>
            <wp:extent cx="5334000" cy="2436968"/>
            <wp:effectExtent b="0" l="0" r="0" t="0"/>
            <wp:docPr descr="" title="" id="645" name="Picture"/>
            <a:graphic>
              <a:graphicData uri="http://schemas.openxmlformats.org/drawingml/2006/picture">
                <pic:pic>
                  <pic:nvPicPr>
                    <pic:cNvPr descr="/home/user/System-Design/build/.cache/diagrams/6b9670e02a29.png" id="646" name="Picture"/>
                    <pic:cNvPicPr>
                      <a:picLocks noChangeArrowheads="1" noChangeAspect="1"/>
                    </pic:cNvPicPr>
                  </pic:nvPicPr>
                  <pic:blipFill>
                    <a:blip r:embed="rId644"/>
                    <a:stretch>
                      <a:fillRect/>
                    </a:stretch>
                  </pic:blipFill>
                  <pic:spPr bwMode="auto">
                    <a:xfrm>
                      <a:off x="0" y="0"/>
                      <a:ext cx="5334000" cy="2436968"/>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Three tasks share one CPU under strict priorities, and one mutex guards a shared memory area, the information bus. The low-priority weather task takes the mutex; the high-priority bus task blocks on it, normally briefly. The medium-priority communications task, which needs no mutex, preempts the low task, so the mutex is never released and the high task waits as long as the medium task runs. The dotted arrows are asynchronous: a watchdog saw that the high-priority work had not completed in time and reset the computer. Failure point: the mutex. Fix: priority inheritance.</w:t>
      </w:r>
    </w:p>
    <w:p>
      <w:pPr>
        <w:pStyle w:val="CalloutIndustry"/>
      </w:pPr>
      <w:r>
        <w:rPr>
          <w:bCs/>
          <w:b/>
        </w:rPr>
        <w:t xml:space="preserve">INDUSTRY EXAMPLE</w:t>
      </w:r>
    </w:p>
    <w:p>
      <w:pPr>
        <w:pStyle w:val="CalloutIndustry"/>
      </w:pPr>
      <w:r>
        <w:rPr>
          <w:bCs/>
          <w:b/>
        </w:rPr>
        <w:t xml:space="preserve">Mars Pathfinder, July 1997.</w:t>
      </w:r>
      <w:r>
        <w:t xml:space="preserve"> </w:t>
      </w:r>
      <w:r>
        <w:t xml:space="preserve">Days after landing on 4 July 1997, the Pathfinder lander began suffering total system resets, losing data each time. JPL engineers reproduced the problem on an identical ground system and traced it to priority inversion on a mutex in the VxWorks real-time operating system. The mutex had been created with</w:t>
      </w:r>
      <w:r>
        <w:t xml:space="preserve"> </w:t>
      </w:r>
      <w:r>
        <w:rPr>
          <w:bCs/>
          <w:b/>
        </w:rPr>
        <w:t xml:space="preserve">priority inheritance</w:t>
      </w:r>
      <w:r>
        <w:t xml:space="preserve"> </w:t>
      </w:r>
      <w:r>
        <w:t xml:space="preserve">disabled. Priority inheritance temporarily raises a lock holder to the priority of the highest thread waiting for it, so the low task would have run at high priority, released the lock quickly, and not been preempted by the medium task [Sha et al. 1990]. Because the team had left debugging facilities enabled in the flight software, they could change the mutex’s initialization parameter remotely; after the patch was uploaded the resets stopped. The lessons: real-time systems need priority-inheritance (or priority-ceiling) locks, and the ability to diagnose and patch in production is a design requirement, not a luxury.</w:t>
      </w:r>
      <w:r>
        <w:t xml:space="preserve"> </w:t>
      </w:r>
      <w:r>
        <w:rPr>
          <w:iCs/>
          <w:i/>
        </w:rPr>
        <w:t xml:space="preserve">Evidence: Primary</w:t>
      </w:r>
      <w:r>
        <w:t xml:space="preserve"> </w:t>
      </w:r>
      <w:r>
        <w:t xml:space="preserve">— account by Glenn Reeves, JPL software team lead [Reeves 1997], as summarized by Mike Jones [Jones 1997]</w:t>
      </w:r>
    </w:p>
    <w:p>
      <w:pPr>
        <w:pStyle w:val="BodyText"/>
      </w:pPr>
      <w:r>
        <w:t xml:space="preserve">Priority inversion also appears in servers, when a background job holds a lock, pool slot or database row lock that user-facing requests need.</w:t>
      </w:r>
    </w:p>
    <w:p>
      <w:pPr>
        <w:pStyle w:val="BodyText"/>
      </w:pPr>
      <w:r>
        <w:rPr>
          <w:bCs/>
          <w:b/>
        </w:rPr>
        <w:t xml:space="preserve">Table 6.4 — Liveness failures compared.</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Failure</w:t>
            </w:r>
          </w:p>
        </w:tc>
        <w:tc>
          <w:tcPr/>
          <w:p>
            <w:pPr>
              <w:pStyle w:val="Compact"/>
              <w:jc w:val="left"/>
            </w:pPr>
            <w:r>
              <w:t xml:space="preserve">What it looks like</w:t>
            </w:r>
          </w:p>
        </w:tc>
        <w:tc>
          <w:tcPr/>
          <w:p>
            <w:pPr>
              <w:pStyle w:val="Compact"/>
              <w:jc w:val="left"/>
            </w:pPr>
            <w:r>
              <w:t xml:space="preserve">Threads are</w:t>
            </w:r>
          </w:p>
        </w:tc>
        <w:tc>
          <w:tcPr/>
          <w:p>
            <w:pPr>
              <w:pStyle w:val="Compact"/>
              <w:jc w:val="left"/>
            </w:pPr>
            <w:r>
              <w:t xml:space="preserve">Root cause</w:t>
            </w:r>
          </w:p>
        </w:tc>
        <w:tc>
          <w:tcPr/>
          <w:p>
            <w:pPr>
              <w:pStyle w:val="Compact"/>
              <w:jc w:val="left"/>
            </w:pPr>
            <w:r>
              <w:t xml:space="preserve">Detection</w:t>
            </w:r>
          </w:p>
        </w:tc>
        <w:tc>
          <w:tcPr/>
          <w:p>
            <w:pPr>
              <w:pStyle w:val="Compact"/>
              <w:jc w:val="left"/>
            </w:pPr>
            <w:r>
              <w:t xml:space="preserve">Fix</w:t>
            </w:r>
          </w:p>
        </w:tc>
      </w:tr>
      <w:tr>
        <w:tc>
          <w:tcPr/>
          <w:p>
            <w:pPr>
              <w:pStyle w:val="Compact"/>
              <w:jc w:val="left"/>
            </w:pPr>
            <w:r>
              <w:t xml:space="preserve">Deadlock</w:t>
            </w:r>
          </w:p>
        </w:tc>
        <w:tc>
          <w:tcPr/>
          <w:p>
            <w:pPr>
              <w:pStyle w:val="Compact"/>
              <w:jc w:val="left"/>
            </w:pPr>
            <w:r>
              <w:t xml:space="preserve">Requests hang forever; CPU idle</w:t>
            </w:r>
          </w:p>
        </w:tc>
        <w:tc>
          <w:tcPr/>
          <w:p>
            <w:pPr>
              <w:pStyle w:val="Compact"/>
              <w:jc w:val="left"/>
            </w:pPr>
            <w:r>
              <w:t xml:space="preserve">Blocked</w:t>
            </w:r>
          </w:p>
        </w:tc>
        <w:tc>
          <w:tcPr/>
          <w:p>
            <w:pPr>
              <w:pStyle w:val="Compact"/>
              <w:jc w:val="left"/>
            </w:pPr>
            <w:r>
              <w:t xml:space="preserve">Cycle of waits (all four Coffman conditions)</w:t>
            </w:r>
          </w:p>
        </w:tc>
        <w:tc>
          <w:tcPr/>
          <w:p>
            <w:pPr>
              <w:pStyle w:val="Compact"/>
              <w:jc w:val="left"/>
            </w:pPr>
            <w:r>
              <w:t xml:space="preserve">Thread dump shows lock cycle</w:t>
            </w:r>
          </w:p>
        </w:tc>
        <w:tc>
          <w:tcPr/>
          <w:p>
            <w:pPr>
              <w:pStyle w:val="Compact"/>
              <w:jc w:val="left"/>
            </w:pPr>
            <w:r>
              <w:t xml:space="preserve">Lock ordering, timeouts, victim abort</w:t>
            </w:r>
          </w:p>
        </w:tc>
      </w:tr>
      <w:tr>
        <w:tc>
          <w:tcPr/>
          <w:p>
            <w:pPr>
              <w:pStyle w:val="Compact"/>
              <w:jc w:val="left"/>
            </w:pPr>
            <w:r>
              <w:t xml:space="preserve">Livelock</w:t>
            </w:r>
          </w:p>
        </w:tc>
        <w:tc>
          <w:tcPr/>
          <w:p>
            <w:pPr>
              <w:pStyle w:val="Compact"/>
              <w:jc w:val="left"/>
            </w:pPr>
            <w:r>
              <w:t xml:space="preserve">CPU busy, no progress</w:t>
            </w:r>
          </w:p>
        </w:tc>
        <w:tc>
          <w:tcPr/>
          <w:p>
            <w:pPr>
              <w:pStyle w:val="Compact"/>
              <w:jc w:val="left"/>
            </w:pPr>
            <w:r>
              <w:t xml:space="preserve">Running</w:t>
            </w:r>
          </w:p>
        </w:tc>
        <w:tc>
          <w:tcPr/>
          <w:p>
            <w:pPr>
              <w:pStyle w:val="Compact"/>
              <w:jc w:val="left"/>
            </w:pPr>
            <w:r>
              <w:t xml:space="preserve">Symmetric retry reactions</w:t>
            </w:r>
          </w:p>
        </w:tc>
        <w:tc>
          <w:tcPr/>
          <w:p>
            <w:pPr>
              <w:pStyle w:val="Compact"/>
              <w:jc w:val="left"/>
            </w:pPr>
            <w:r>
              <w:t xml:space="preserve">High CPU with zero throughput</w:t>
            </w:r>
          </w:p>
        </w:tc>
        <w:tc>
          <w:tcPr/>
          <w:p>
            <w:pPr>
              <w:pStyle w:val="Compact"/>
              <w:jc w:val="left"/>
            </w:pPr>
            <w:r>
              <w:t xml:space="preserve">Randomized backoff</w:t>
            </w:r>
          </w:p>
        </w:tc>
      </w:tr>
      <w:tr>
        <w:tc>
          <w:tcPr/>
          <w:p>
            <w:pPr>
              <w:pStyle w:val="Compact"/>
              <w:jc w:val="left"/>
            </w:pPr>
            <w:r>
              <w:t xml:space="preserve">Starvation</w:t>
            </w:r>
          </w:p>
        </w:tc>
        <w:tc>
          <w:tcPr/>
          <w:p>
            <w:pPr>
              <w:pStyle w:val="Compact"/>
              <w:jc w:val="left"/>
            </w:pPr>
            <w:r>
              <w:t xml:space="preserve">Some requests never finish; others are fine</w:t>
            </w:r>
          </w:p>
        </w:tc>
        <w:tc>
          <w:tcPr/>
          <w:p>
            <w:pPr>
              <w:pStyle w:val="Compact"/>
              <w:jc w:val="left"/>
            </w:pPr>
            <w:r>
              <w:t xml:space="preserve">Ready or blocked</w:t>
            </w:r>
          </w:p>
        </w:tc>
        <w:tc>
          <w:tcPr/>
          <w:p>
            <w:pPr>
              <w:pStyle w:val="Compact"/>
              <w:jc w:val="left"/>
            </w:pPr>
            <w:r>
              <w:t xml:space="preserve">Unfair scheduling or locking</w:t>
            </w:r>
          </w:p>
        </w:tc>
        <w:tc>
          <w:tcPr/>
          <w:p>
            <w:pPr>
              <w:pStyle w:val="Compact"/>
              <w:jc w:val="left"/>
            </w:pPr>
            <w:r>
              <w:t xml:space="preserve">Per-class latency; wait-time histograms</w:t>
            </w:r>
          </w:p>
        </w:tc>
        <w:tc>
          <w:tcPr/>
          <w:p>
            <w:pPr>
              <w:pStyle w:val="Compact"/>
              <w:jc w:val="left"/>
            </w:pPr>
            <w:r>
              <w:t xml:space="preserve">Fair locks, aging, quotas</w:t>
            </w:r>
          </w:p>
        </w:tc>
      </w:tr>
      <w:tr>
        <w:tc>
          <w:tcPr/>
          <w:p>
            <w:pPr>
              <w:pStyle w:val="Compact"/>
              <w:jc w:val="left"/>
            </w:pPr>
            <w:r>
              <w:t xml:space="preserve">Priority inversion</w:t>
            </w:r>
          </w:p>
        </w:tc>
        <w:tc>
          <w:tcPr/>
          <w:p>
            <w:pPr>
              <w:pStyle w:val="Compact"/>
              <w:jc w:val="left"/>
            </w:pPr>
            <w:r>
              <w:t xml:space="preserve">High-priority work delayed by low-priority work</w:t>
            </w:r>
          </w:p>
        </w:tc>
        <w:tc>
          <w:tcPr/>
          <w:p>
            <w:pPr>
              <w:pStyle w:val="Compact"/>
              <w:jc w:val="left"/>
            </w:pPr>
            <w:r>
              <w:t xml:space="preserve">High blocked; medium running</w:t>
            </w:r>
          </w:p>
        </w:tc>
        <w:tc>
          <w:tcPr/>
          <w:p>
            <w:pPr>
              <w:pStyle w:val="Compact"/>
              <w:jc w:val="left"/>
            </w:pPr>
            <w:r>
              <w:t xml:space="preserve">Lock held by low-priority thread</w:t>
            </w:r>
          </w:p>
        </w:tc>
        <w:tc>
          <w:tcPr/>
          <w:p>
            <w:pPr>
              <w:pStyle w:val="Compact"/>
              <w:jc w:val="left"/>
            </w:pPr>
            <w:r>
              <w:t xml:space="preserve">Latency spikes correlated with background jobs</w:t>
            </w:r>
          </w:p>
        </w:tc>
        <w:tc>
          <w:tcPr/>
          <w:p>
            <w:pPr>
              <w:pStyle w:val="Compact"/>
              <w:jc w:val="left"/>
            </w:pPr>
            <w:r>
              <w:t xml:space="preserve">Priority inheritance or ceiling; avoid sharing locks across priorities</w:t>
            </w:r>
          </w:p>
        </w:tc>
      </w:tr>
    </w:tbl>
    <w:bookmarkEnd w:id="647"/>
    <w:bookmarkEnd w:id="648"/>
    <w:bookmarkStart w:id="649" w:name="inter-process-communication"/>
    <w:p>
      <w:pPr>
        <w:pStyle w:val="Heading2"/>
      </w:pPr>
      <w:r>
        <w:t xml:space="preserve">6.12 Inter-process communication</w:t>
      </w:r>
    </w:p>
    <w:p>
      <w:pPr>
        <w:pStyle w:val="FirstParagraph"/>
      </w:pPr>
      <w:r>
        <w:t xml:space="preserve">Processes have private address spaces (§6.3.2), so they cooperate through kernel-provided channels, trading speed, structure and reach.</w:t>
      </w:r>
    </w:p>
    <w:p>
      <w:pPr>
        <w:numPr>
          <w:ilvl w:val="0"/>
          <w:numId w:val="1190"/>
        </w:numPr>
        <w:pStyle w:val="Compact"/>
      </w:pPr>
      <w:r>
        <w:rPr>
          <w:bCs/>
          <w:b/>
        </w:rPr>
        <w:t xml:space="preserve">Pipes</w:t>
      </w:r>
      <w:r>
        <w:t xml:space="preserve"> </w:t>
      </w:r>
      <w:r>
        <w:t xml:space="preserve">— a one-way byte stream through a kernel buffer (64 KiB by default on Linux), as in</w:t>
      </w:r>
      <w:r>
        <w:t xml:space="preserve"> </w:t>
      </w:r>
      <w:r>
        <w:rPr>
          <w:rStyle w:val="VerbatimChar"/>
        </w:rPr>
        <w:t xml:space="preserve">grep error log | wc -l</w:t>
      </w:r>
      <w:r>
        <w:t xml:space="preserve">;</w:t>
      </w:r>
      <w:r>
        <w:t xml:space="preserve"> </w:t>
      </w:r>
      <w:r>
        <w:rPr>
          <w:iCs/>
          <w:i/>
        </w:rPr>
        <w:t xml:space="preserve">named pipes</w:t>
      </w:r>
      <w:r>
        <w:t xml:space="preserve"> </w:t>
      </w:r>
      <w:r>
        <w:t xml:space="preserve">(FIFOs) let unrelated processes connect. A writer to a full pipe blocks: built-in backpressure.</w:t>
      </w:r>
    </w:p>
    <w:p>
      <w:pPr>
        <w:numPr>
          <w:ilvl w:val="0"/>
          <w:numId w:val="1190"/>
        </w:numPr>
        <w:pStyle w:val="Compact"/>
      </w:pPr>
      <w:r>
        <w:rPr>
          <w:bCs/>
          <w:b/>
        </w:rPr>
        <w:t xml:space="preserve">Unix domain sockets</w:t>
      </w:r>
      <w:r>
        <w:t xml:space="preserve"> </w:t>
      </w:r>
      <w:r>
        <w:t xml:space="preserve">— the socket API on one machine, addressed by a file path; bidirectional, and able to pass file descriptors. Docker’s API and local database connections use them; they skip the TCP/IP stack.</w:t>
      </w:r>
    </w:p>
    <w:p>
      <w:pPr>
        <w:numPr>
          <w:ilvl w:val="0"/>
          <w:numId w:val="1190"/>
        </w:numPr>
        <w:pStyle w:val="Compact"/>
      </w:pPr>
      <w:r>
        <w:rPr>
          <w:bCs/>
          <w:b/>
        </w:rPr>
        <w:t xml:space="preserve">TCP/UDP sockets</w:t>
      </w:r>
      <w:r>
        <w:t xml:space="preserve"> </w:t>
      </w:r>
      <w:r>
        <w:t xml:space="preserve">— slower locally, but the same code works across machines (§7.7).</w:t>
      </w:r>
    </w:p>
    <w:p>
      <w:pPr>
        <w:numPr>
          <w:ilvl w:val="0"/>
          <w:numId w:val="1190"/>
        </w:numPr>
        <w:pStyle w:val="Compact"/>
      </w:pPr>
      <w:r>
        <w:rPr>
          <w:bCs/>
          <w:b/>
        </w:rPr>
        <w:t xml:space="preserve">Shared memory</w:t>
      </w:r>
      <w:r>
        <w:t xml:space="preserve"> </w:t>
      </w:r>
      <w:r>
        <w:t xml:space="preserve">— processes map the same physical pages (</w:t>
      </w:r>
      <w:r>
        <w:rPr>
          <w:rStyle w:val="VerbatimChar"/>
        </w:rPr>
        <w:t xml:space="preserve">shm_open</w:t>
      </w:r>
      <w:r>
        <w:t xml:space="preserve"> </w:t>
      </w:r>
      <w:r>
        <w:t xml:space="preserve">+</w:t>
      </w:r>
      <w:r>
        <w:t xml:space="preserve"> </w:t>
      </w:r>
      <w:r>
        <w:rPr>
          <w:rStyle w:val="VerbatimChar"/>
        </w:rPr>
        <w:t xml:space="preserve">mmap</w:t>
      </w:r>
      <w:r>
        <w:t xml:space="preserve">). Fastest, with no system calls after setup, but the processes must synchronize themselves. PostgreSQL’s shared buffer pool uses it.</w:t>
      </w:r>
    </w:p>
    <w:p>
      <w:pPr>
        <w:numPr>
          <w:ilvl w:val="0"/>
          <w:numId w:val="1190"/>
        </w:numPr>
        <w:pStyle w:val="Compact"/>
      </w:pPr>
      <w:r>
        <w:rPr>
          <w:bCs/>
          <w:b/>
        </w:rPr>
        <w:t xml:space="preserve">Message queues</w:t>
      </w:r>
      <w:r>
        <w:t xml:space="preserve"> </w:t>
      </w:r>
      <w:r>
        <w:t xml:space="preserve">— POSIX</w:t>
      </w:r>
      <w:r>
        <w:t xml:space="preserve"> </w:t>
      </w:r>
      <w:r>
        <w:rPr>
          <w:rStyle w:val="VerbatimChar"/>
        </w:rPr>
        <w:t xml:space="preserve">mq_open</w:t>
      </w:r>
      <w:r>
        <w:t xml:space="preserve"> </w:t>
      </w:r>
      <w:r>
        <w:t xml:space="preserve">keeps discrete, prioritized messages in the kernel, locally; distributed brokers (Chapter 30) generalize the idea.</w:t>
      </w:r>
    </w:p>
    <w:p>
      <w:pPr>
        <w:numPr>
          <w:ilvl w:val="0"/>
          <w:numId w:val="1190"/>
        </w:numPr>
        <w:pStyle w:val="Compact"/>
      </w:pPr>
      <w:r>
        <w:rPr>
          <w:bCs/>
          <w:b/>
        </w:rPr>
        <w:t xml:space="preserve">Signals</w:t>
      </w:r>
      <w:r>
        <w:t xml:space="preserve"> </w:t>
      </w:r>
      <w:r>
        <w:t xml:space="preserve">— asynchronous notifications carrying only a number:</w:t>
      </w:r>
      <w:r>
        <w:t xml:space="preserve"> </w:t>
      </w:r>
      <w:r>
        <w:rPr>
          <w:rStyle w:val="VerbatimChar"/>
        </w:rPr>
        <w:t xml:space="preserve">SIGTERM</w:t>
      </w:r>
      <w:r>
        <w:t xml:space="preserve"> </w:t>
      </w:r>
      <w:r>
        <w:t xml:space="preserve">(please exit),</w:t>
      </w:r>
      <w:r>
        <w:t xml:space="preserve"> </w:t>
      </w:r>
      <w:r>
        <w:rPr>
          <w:rStyle w:val="VerbatimChar"/>
        </w:rPr>
        <w:t xml:space="preserve">SIGKILL</w:t>
      </w:r>
      <w:r>
        <w:t xml:space="preserve"> </w:t>
      </w:r>
      <w:r>
        <w:t xml:space="preserve">(exit now, uncatchable),</w:t>
      </w:r>
      <w:r>
        <w:t xml:space="preserve"> </w:t>
      </w:r>
      <w:r>
        <w:rPr>
          <w:rStyle w:val="VerbatimChar"/>
        </w:rPr>
        <w:t xml:space="preserve">SIGINT</w:t>
      </w:r>
      <w:r>
        <w:t xml:space="preserve"> </w:t>
      </w:r>
      <w:r>
        <w:t xml:space="preserve">(Ctrl-C),</w:t>
      </w:r>
      <w:r>
        <w:t xml:space="preserve"> </w:t>
      </w:r>
      <w:r>
        <w:rPr>
          <w:rStyle w:val="VerbatimChar"/>
        </w:rPr>
        <w:t xml:space="preserve">SIGHUP</w:t>
      </w:r>
      <w:r>
        <w:t xml:space="preserve"> </w:t>
      </w:r>
      <w:r>
        <w:t xml:space="preserve">(often</w:t>
      </w:r>
      <w:r>
        <w:t xml:space="preserve"> </w:t>
      </w:r>
      <w:r>
        <w:t xml:space="preserve">“</w:t>
      </w:r>
      <w:r>
        <w:t xml:space="preserve">reload</w:t>
      </w:r>
      <w:r>
        <w:t xml:space="preserve">”</w:t>
      </w:r>
      <w:r>
        <w:t xml:space="preserve">),</w:t>
      </w:r>
      <w:r>
        <w:t xml:space="preserve"> </w:t>
      </w:r>
      <w:r>
        <w:rPr>
          <w:rStyle w:val="VerbatimChar"/>
        </w:rPr>
        <w:t xml:space="preserve">SIGCHLD</w:t>
      </w:r>
      <w:r>
        <w:t xml:space="preserve"> </w:t>
      </w:r>
      <w:r>
        <w:t xml:space="preserve">(child exited). Handlers interrupt the program anywhere, so they may call only</w:t>
      </w:r>
      <w:r>
        <w:t xml:space="preserve"> </w:t>
      </w:r>
      <w:r>
        <w:rPr>
          <w:bCs/>
          <w:b/>
        </w:rPr>
        <w:t xml:space="preserve">async-signal-safe</w:t>
      </w:r>
      <w:r>
        <w:t xml:space="preserve"> </w:t>
      </w:r>
      <w:r>
        <w:t xml:space="preserve">functions; set a flag and act in the main loop [Linux man-pages: signal(7)]. Kubernetes sends</w:t>
      </w:r>
      <w:r>
        <w:t xml:space="preserve"> </w:t>
      </w:r>
      <w:r>
        <w:rPr>
          <w:rStyle w:val="VerbatimChar"/>
        </w:rPr>
        <w:t xml:space="preserve">SIGTERM</w:t>
      </w:r>
      <w:r>
        <w:t xml:space="preserve">, waits a grace period (30 s by default), then</w:t>
      </w:r>
      <w:r>
        <w:t xml:space="preserve"> </w:t>
      </w:r>
      <w:r>
        <w:rPr>
          <w:rStyle w:val="VerbatimChar"/>
        </w:rPr>
        <w:t xml:space="preserve">SIGKILL</w:t>
      </w:r>
      <w:r>
        <w:t xml:space="preserve">, so services must handle</w:t>
      </w:r>
      <w:r>
        <w:t xml:space="preserve"> </w:t>
      </w:r>
      <w:r>
        <w:rPr>
          <w:rStyle w:val="VerbatimChar"/>
        </w:rPr>
        <w:t xml:space="preserve">SIGTERM</w:t>
      </w:r>
      <w:r>
        <w:t xml:space="preserve"> </w:t>
      </w:r>
      <w:r>
        <w:t xml:space="preserve">to drain gracefully (§43.4).</w:t>
      </w:r>
    </w:p>
    <w:p>
      <w:pPr>
        <w:pStyle w:val="FirstParagraph"/>
      </w:pPr>
      <w:r>
        <w:rPr>
          <w:bCs/>
          <w:b/>
        </w:rPr>
        <w:t xml:space="preserve">Table 6.5 — IPC mechanisms compared.</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Mechanism</w:t>
            </w:r>
          </w:p>
        </w:tc>
        <w:tc>
          <w:tcPr/>
          <w:p>
            <w:pPr>
              <w:pStyle w:val="Compact"/>
              <w:jc w:val="left"/>
            </w:pPr>
            <w:r>
              <w:t xml:space="preserve">Direction</w:t>
            </w:r>
          </w:p>
        </w:tc>
        <w:tc>
          <w:tcPr/>
          <w:p>
            <w:pPr>
              <w:pStyle w:val="Compact"/>
              <w:jc w:val="left"/>
            </w:pPr>
            <w:r>
              <w:t xml:space="preserve">Data model</w:t>
            </w:r>
          </w:p>
        </w:tc>
        <w:tc>
          <w:tcPr/>
          <w:p>
            <w:pPr>
              <w:pStyle w:val="Compact"/>
              <w:jc w:val="left"/>
            </w:pPr>
            <w:r>
              <w:t xml:space="preserve">Speed (local)</w:t>
            </w:r>
          </w:p>
        </w:tc>
        <w:tc>
          <w:tcPr/>
          <w:p>
            <w:pPr>
              <w:pStyle w:val="Compact"/>
              <w:jc w:val="left"/>
            </w:pPr>
            <w:r>
              <w:t xml:space="preserve">Scope</w:t>
            </w:r>
          </w:p>
        </w:tc>
        <w:tc>
          <w:tcPr/>
          <w:p>
            <w:pPr>
              <w:pStyle w:val="Compact"/>
              <w:jc w:val="left"/>
            </w:pPr>
            <w:r>
              <w:t xml:space="preserve">Synchronization</w:t>
            </w:r>
          </w:p>
        </w:tc>
        <w:tc>
          <w:tcPr/>
          <w:p>
            <w:pPr>
              <w:pStyle w:val="Compact"/>
              <w:jc w:val="left"/>
            </w:pPr>
            <w:r>
              <w:t xml:space="preserve">Choose when</w:t>
            </w:r>
          </w:p>
        </w:tc>
      </w:tr>
      <w:tr>
        <w:tc>
          <w:tcPr/>
          <w:p>
            <w:pPr>
              <w:pStyle w:val="Compact"/>
              <w:jc w:val="left"/>
            </w:pPr>
            <w:r>
              <w:t xml:space="preserve">Pipe / FIFO</w:t>
            </w:r>
          </w:p>
        </w:tc>
        <w:tc>
          <w:tcPr/>
          <w:p>
            <w:pPr>
              <w:pStyle w:val="Compact"/>
              <w:jc w:val="left"/>
            </w:pPr>
            <w:r>
              <w:t xml:space="preserve">One-way</w:t>
            </w:r>
          </w:p>
        </w:tc>
        <w:tc>
          <w:tcPr/>
          <w:p>
            <w:pPr>
              <w:pStyle w:val="Compact"/>
              <w:jc w:val="left"/>
            </w:pPr>
            <w:r>
              <w:t xml:space="preserve">Byte stream</w:t>
            </w:r>
          </w:p>
        </w:tc>
        <w:tc>
          <w:tcPr/>
          <w:p>
            <w:pPr>
              <w:pStyle w:val="Compact"/>
              <w:jc w:val="left"/>
            </w:pPr>
            <w:r>
              <w:t xml:space="preserve">Fast</w:t>
            </w:r>
          </w:p>
        </w:tc>
        <w:tc>
          <w:tcPr/>
          <w:p>
            <w:pPr>
              <w:pStyle w:val="Compact"/>
              <w:jc w:val="left"/>
            </w:pPr>
            <w:r>
              <w:t xml:space="preserve">Same machine (pipe: related processes)</w:t>
            </w:r>
          </w:p>
        </w:tc>
        <w:tc>
          <w:tcPr/>
          <w:p>
            <w:pPr>
              <w:pStyle w:val="Compact"/>
              <w:jc w:val="left"/>
            </w:pPr>
            <w:r>
              <w:t xml:space="preserve">Built in (blocking)</w:t>
            </w:r>
          </w:p>
        </w:tc>
        <w:tc>
          <w:tcPr/>
          <w:p>
            <w:pPr>
              <w:pStyle w:val="Compact"/>
              <w:jc w:val="left"/>
            </w:pPr>
            <w:r>
              <w:t xml:space="preserve">Streaming between parent and child, shell pipelines</w:t>
            </w:r>
          </w:p>
        </w:tc>
      </w:tr>
      <w:tr>
        <w:tc>
          <w:tcPr/>
          <w:p>
            <w:pPr>
              <w:pStyle w:val="Compact"/>
              <w:jc w:val="left"/>
            </w:pPr>
            <w:r>
              <w:t xml:space="preserve">Unix domain socket</w:t>
            </w:r>
          </w:p>
        </w:tc>
        <w:tc>
          <w:tcPr/>
          <w:p>
            <w:pPr>
              <w:pStyle w:val="Compact"/>
              <w:jc w:val="left"/>
            </w:pPr>
            <w:r>
              <w:t xml:space="preserve">Two-way</w:t>
            </w:r>
          </w:p>
        </w:tc>
        <w:tc>
          <w:tcPr/>
          <w:p>
            <w:pPr>
              <w:pStyle w:val="Compact"/>
              <w:jc w:val="left"/>
            </w:pPr>
            <w:r>
              <w:t xml:space="preserve">Stream or datagram</w:t>
            </w:r>
          </w:p>
        </w:tc>
        <w:tc>
          <w:tcPr/>
          <w:p>
            <w:pPr>
              <w:pStyle w:val="Compact"/>
              <w:jc w:val="left"/>
            </w:pPr>
            <w:r>
              <w:t xml:space="preserve">Fast</w:t>
            </w:r>
          </w:p>
        </w:tc>
        <w:tc>
          <w:tcPr/>
          <w:p>
            <w:pPr>
              <w:pStyle w:val="Compact"/>
              <w:jc w:val="left"/>
            </w:pPr>
            <w:r>
              <w:t xml:space="preserve">Same machine</w:t>
            </w:r>
          </w:p>
        </w:tc>
        <w:tc>
          <w:tcPr/>
          <w:p>
            <w:pPr>
              <w:pStyle w:val="Compact"/>
              <w:jc w:val="left"/>
            </w:pPr>
            <w:r>
              <w:t xml:space="preserve">Built in</w:t>
            </w:r>
          </w:p>
        </w:tc>
        <w:tc>
          <w:tcPr/>
          <w:p>
            <w:pPr>
              <w:pStyle w:val="Compact"/>
              <w:jc w:val="left"/>
            </w:pPr>
            <w:r>
              <w:t xml:space="preserve">Local client–server, sidecars, passing file descriptors</w:t>
            </w:r>
          </w:p>
        </w:tc>
      </w:tr>
      <w:tr>
        <w:tc>
          <w:tcPr/>
          <w:p>
            <w:pPr>
              <w:pStyle w:val="Compact"/>
              <w:jc w:val="left"/>
            </w:pPr>
            <w:r>
              <w:t xml:space="preserve">TCP socket</w:t>
            </w:r>
          </w:p>
        </w:tc>
        <w:tc>
          <w:tcPr/>
          <w:p>
            <w:pPr>
              <w:pStyle w:val="Compact"/>
              <w:jc w:val="left"/>
            </w:pPr>
            <w:r>
              <w:t xml:space="preserve">Two-way</w:t>
            </w:r>
          </w:p>
        </w:tc>
        <w:tc>
          <w:tcPr/>
          <w:p>
            <w:pPr>
              <w:pStyle w:val="Compact"/>
              <w:jc w:val="left"/>
            </w:pPr>
            <w:r>
              <w:t xml:space="preserve">Stream</w:t>
            </w:r>
          </w:p>
        </w:tc>
        <w:tc>
          <w:tcPr/>
          <w:p>
            <w:pPr>
              <w:pStyle w:val="Compact"/>
              <w:jc w:val="left"/>
            </w:pPr>
            <w:r>
              <w:t xml:space="preserve">Moderate</w:t>
            </w:r>
          </w:p>
        </w:tc>
        <w:tc>
          <w:tcPr/>
          <w:p>
            <w:pPr>
              <w:pStyle w:val="Compact"/>
              <w:jc w:val="left"/>
            </w:pPr>
            <w:r>
              <w:t xml:space="preserve">Network</w:t>
            </w:r>
          </w:p>
        </w:tc>
        <w:tc>
          <w:tcPr/>
          <w:p>
            <w:pPr>
              <w:pStyle w:val="Compact"/>
              <w:jc w:val="left"/>
            </w:pPr>
            <w:r>
              <w:t xml:space="preserve">Built in</w:t>
            </w:r>
          </w:p>
        </w:tc>
        <w:tc>
          <w:tcPr/>
          <w:p>
            <w:pPr>
              <w:pStyle w:val="Compact"/>
              <w:jc w:val="left"/>
            </w:pPr>
            <w:r>
              <w:t xml:space="preserve">Anything that may later run on another machine</w:t>
            </w:r>
          </w:p>
        </w:tc>
      </w:tr>
      <w:tr>
        <w:tc>
          <w:tcPr/>
          <w:p>
            <w:pPr>
              <w:pStyle w:val="Compact"/>
              <w:jc w:val="left"/>
            </w:pPr>
            <w:r>
              <w:t xml:space="preserve">Shared memory</w:t>
            </w:r>
          </w:p>
        </w:tc>
        <w:tc>
          <w:tcPr/>
          <w:p>
            <w:pPr>
              <w:pStyle w:val="Compact"/>
              <w:jc w:val="left"/>
            </w:pPr>
            <w:r>
              <w:t xml:space="preserve">Any</w:t>
            </w:r>
          </w:p>
        </w:tc>
        <w:tc>
          <w:tcPr/>
          <w:p>
            <w:pPr>
              <w:pStyle w:val="Compact"/>
              <w:jc w:val="left"/>
            </w:pPr>
            <w:r>
              <w:t xml:space="preserve">Raw bytes</w:t>
            </w:r>
          </w:p>
        </w:tc>
        <w:tc>
          <w:tcPr/>
          <w:p>
            <w:pPr>
              <w:pStyle w:val="Compact"/>
              <w:jc w:val="left"/>
            </w:pPr>
            <w:r>
              <w:t xml:space="preserve">Fastest</w:t>
            </w:r>
          </w:p>
        </w:tc>
        <w:tc>
          <w:tcPr/>
          <w:p>
            <w:pPr>
              <w:pStyle w:val="Compact"/>
              <w:jc w:val="left"/>
            </w:pPr>
            <w:r>
              <w:t xml:space="preserve">Same machine</w:t>
            </w:r>
          </w:p>
        </w:tc>
        <w:tc>
          <w:tcPr/>
          <w:p>
            <w:pPr>
              <w:pStyle w:val="Compact"/>
              <w:jc w:val="left"/>
            </w:pPr>
            <w:r>
              <w:t xml:space="preserve">Do it yourself</w:t>
            </w:r>
          </w:p>
        </w:tc>
        <w:tc>
          <w:tcPr/>
          <w:p>
            <w:pPr>
              <w:pStyle w:val="Compact"/>
              <w:jc w:val="left"/>
            </w:pPr>
            <w:r>
              <w:t xml:space="preserve">Very high throughput, low latency, large shared data</w:t>
            </w:r>
          </w:p>
        </w:tc>
      </w:tr>
      <w:tr>
        <w:tc>
          <w:tcPr/>
          <w:p>
            <w:pPr>
              <w:pStyle w:val="Compact"/>
              <w:jc w:val="left"/>
            </w:pPr>
            <w:r>
              <w:t xml:space="preserve">POSIX message queue</w:t>
            </w:r>
          </w:p>
        </w:tc>
        <w:tc>
          <w:tcPr/>
          <w:p>
            <w:pPr>
              <w:pStyle w:val="Compact"/>
              <w:jc w:val="left"/>
            </w:pPr>
            <w:r>
              <w:t xml:space="preserve">One-way</w:t>
            </w:r>
          </w:p>
        </w:tc>
        <w:tc>
          <w:tcPr/>
          <w:p>
            <w:pPr>
              <w:pStyle w:val="Compact"/>
              <w:jc w:val="left"/>
            </w:pPr>
            <w:r>
              <w:t xml:space="preserve">Discrete messages</w:t>
            </w:r>
          </w:p>
        </w:tc>
        <w:tc>
          <w:tcPr/>
          <w:p>
            <w:pPr>
              <w:pStyle w:val="Compact"/>
              <w:jc w:val="left"/>
            </w:pPr>
            <w:r>
              <w:t xml:space="preserve">Fast</w:t>
            </w:r>
          </w:p>
        </w:tc>
        <w:tc>
          <w:tcPr/>
          <w:p>
            <w:pPr>
              <w:pStyle w:val="Compact"/>
              <w:jc w:val="left"/>
            </w:pPr>
            <w:r>
              <w:t xml:space="preserve">Same machine</w:t>
            </w:r>
          </w:p>
        </w:tc>
        <w:tc>
          <w:tcPr/>
          <w:p>
            <w:pPr>
              <w:pStyle w:val="Compact"/>
              <w:jc w:val="left"/>
            </w:pPr>
            <w:r>
              <w:t xml:space="preserve">Built in</w:t>
            </w:r>
          </w:p>
        </w:tc>
        <w:tc>
          <w:tcPr/>
          <w:p>
            <w:pPr>
              <w:pStyle w:val="Compact"/>
              <w:jc w:val="left"/>
            </w:pPr>
            <w:r>
              <w:t xml:space="preserve">Small prioritized messages between local processes</w:t>
            </w:r>
          </w:p>
        </w:tc>
      </w:tr>
      <w:tr>
        <w:tc>
          <w:tcPr/>
          <w:p>
            <w:pPr>
              <w:pStyle w:val="Compact"/>
              <w:jc w:val="left"/>
            </w:pPr>
            <w:r>
              <w:t xml:space="preserve">Signal</w:t>
            </w:r>
          </w:p>
        </w:tc>
        <w:tc>
          <w:tcPr/>
          <w:p>
            <w:pPr>
              <w:pStyle w:val="Compact"/>
              <w:jc w:val="left"/>
            </w:pPr>
            <w:r>
              <w:t xml:space="preserve">One-way</w:t>
            </w:r>
          </w:p>
        </w:tc>
        <w:tc>
          <w:tcPr/>
          <w:p>
            <w:pPr>
              <w:pStyle w:val="Compact"/>
              <w:jc w:val="left"/>
            </w:pPr>
            <w:r>
              <w:t xml:space="preserve">A number</w:t>
            </w:r>
          </w:p>
        </w:tc>
        <w:tc>
          <w:tcPr/>
          <w:p>
            <w:pPr>
              <w:pStyle w:val="Compact"/>
              <w:jc w:val="left"/>
            </w:pPr>
            <w:r>
              <w:t xml:space="preserve">Fast</w:t>
            </w:r>
          </w:p>
        </w:tc>
        <w:tc>
          <w:tcPr/>
          <w:p>
            <w:pPr>
              <w:pStyle w:val="Compact"/>
              <w:jc w:val="left"/>
            </w:pPr>
            <w:r>
              <w:t xml:space="preserve">Same machine</w:t>
            </w:r>
          </w:p>
        </w:tc>
        <w:tc>
          <w:tcPr/>
          <w:p>
            <w:pPr>
              <w:pStyle w:val="Compact"/>
              <w:jc w:val="left"/>
            </w:pPr>
            <w:r>
              <w:t xml:space="preserve">Asynchronous</w:t>
            </w:r>
          </w:p>
        </w:tc>
        <w:tc>
          <w:tcPr/>
          <w:p>
            <w:pPr>
              <w:pStyle w:val="Compact"/>
              <w:jc w:val="left"/>
            </w:pPr>
            <w:r>
              <w:t xml:space="preserve">Lifecycle control: stop, reload, child exit</w:t>
            </w:r>
          </w:p>
        </w:tc>
      </w:tr>
    </w:tbl>
    <w:bookmarkEnd w:id="649"/>
    <w:bookmarkStart w:id="661" w:name="io-models-from-blocking-to-io_uring"/>
    <w:p>
      <w:pPr>
        <w:pStyle w:val="Heading2"/>
      </w:pPr>
      <w:r>
        <w:t xml:space="preserve">6.13 I/O models: from blocking to io_uring</w:t>
      </w:r>
    </w:p>
    <w:p>
      <w:pPr>
        <w:pStyle w:val="FirstParagraph"/>
      </w:pPr>
      <w:r>
        <w:t xml:space="preserve">A network server spends most of its life waiting. The</w:t>
      </w:r>
      <w:r>
        <w:t xml:space="preserve"> </w:t>
      </w:r>
      <w:r>
        <w:rPr>
          <w:bCs/>
          <w:b/>
        </w:rPr>
        <w:t xml:space="preserve">I/O model</w:t>
      </w:r>
      <w:r>
        <w:t xml:space="preserve"> </w:t>
      </w:r>
      <w:r>
        <w:t xml:space="preserve">decides what a thread does while it waits, and so how many connections one machine can hold.</w:t>
      </w:r>
    </w:p>
    <w:bookmarkStart w:id="650" w:name="blocking-and-non-blocking-io"/>
    <w:p>
      <w:pPr>
        <w:pStyle w:val="Heading3"/>
      </w:pPr>
      <w:r>
        <w:t xml:space="preserve">6.13.1 Blocking and non-blocking I/O</w:t>
      </w:r>
    </w:p>
    <w:p>
      <w:pPr>
        <w:pStyle w:val="FirstParagraph"/>
      </w:pPr>
      <w:r>
        <w:t xml:space="preserve">With</w:t>
      </w:r>
      <w:r>
        <w:t xml:space="preserve"> </w:t>
      </w:r>
      <w:r>
        <w:rPr>
          <w:bCs/>
          <w:b/>
        </w:rPr>
        <w:t xml:space="preserve">blocking I/O</w:t>
      </w:r>
      <w:r>
        <w:t xml:space="preserve">,</w:t>
      </w:r>
      <w:r>
        <w:t xml:space="preserve"> </w:t>
      </w:r>
      <w:r>
        <w:rPr>
          <w:rStyle w:val="VerbatimChar"/>
        </w:rPr>
        <w:t xml:space="preserve">read()</w:t>
      </w:r>
      <w:r>
        <w:t xml:space="preserve"> </w:t>
      </w:r>
      <w:r>
        <w:t xml:space="preserve">on a socket with no data puts the thread to sleep until data arrives: simple code, but one thread per waiting connection. With</w:t>
      </w:r>
      <w:r>
        <w:t xml:space="preserve"> </w:t>
      </w:r>
      <w:r>
        <w:rPr>
          <w:bCs/>
          <w:b/>
        </w:rPr>
        <w:t xml:space="preserve">non-blocking I/O</w:t>
      </w:r>
      <w:r>
        <w:t xml:space="preserve"> </w:t>
      </w:r>
      <w:r>
        <w:t xml:space="preserve">(</w:t>
      </w:r>
      <w:r>
        <w:rPr>
          <w:rStyle w:val="VerbatimChar"/>
        </w:rPr>
        <w:t xml:space="preserve">O_NONBLOCK</w:t>
      </w:r>
      <w:r>
        <w:t xml:space="preserve">),</w:t>
      </w:r>
      <w:r>
        <w:t xml:space="preserve"> </w:t>
      </w:r>
      <w:r>
        <w:rPr>
          <w:rStyle w:val="VerbatimChar"/>
        </w:rPr>
        <w:t xml:space="preserve">read()</w:t>
      </w:r>
      <w:r>
        <w:t xml:space="preserve"> </w:t>
      </w:r>
      <w:r>
        <w:t xml:space="preserve">returns</w:t>
      </w:r>
      <w:r>
        <w:t xml:space="preserve"> </w:t>
      </w:r>
      <w:r>
        <w:rPr>
          <w:rStyle w:val="VerbatimChar"/>
        </w:rPr>
        <w:t xml:space="preserve">EAGAIN</w:t>
      </w:r>
      <w:r>
        <w:t xml:space="preserve"> </w:t>
      </w:r>
      <w:r>
        <w:t xml:space="preserve">immediately when there is no data, so one thread can juggle many sockets, but it needs a way to sleep until</w:t>
      </w:r>
      <w:r>
        <w:t xml:space="preserve"> </w:t>
      </w:r>
      <w:r>
        <w:rPr>
          <w:iCs/>
          <w:i/>
        </w:rPr>
        <w:t xml:space="preserve">any</w:t>
      </w:r>
      <w:r>
        <w:t xml:space="preserve"> </w:t>
      </w:r>
      <w:r>
        <w:t xml:space="preserve">of them is ready rather than spinning.</w:t>
      </w:r>
    </w:p>
    <w:bookmarkEnd w:id="650"/>
    <w:bookmarkStart w:id="651" w:name="io-multiplexing-select-poll-epoll-kqueue"/>
    <w:p>
      <w:pPr>
        <w:pStyle w:val="Heading3"/>
      </w:pPr>
      <w:r>
        <w:t xml:space="preserve">6.13.2 I/O multiplexing: select, poll, epoll, kqueue</w:t>
      </w:r>
    </w:p>
    <w:p>
      <w:pPr>
        <w:pStyle w:val="FirstParagraph"/>
      </w:pPr>
      <w:r>
        <w:rPr>
          <w:bCs/>
          <w:b/>
        </w:rPr>
        <w:t xml:space="preserve">I/O multiplexing</w:t>
      </w:r>
      <w:r>
        <w:t xml:space="preserve"> </w:t>
      </w:r>
      <w:r>
        <w:t xml:space="preserve">lets one thread ask the kernel:</w:t>
      </w:r>
      <w:r>
        <w:t xml:space="preserve"> </w:t>
      </w:r>
      <w:r>
        <w:t xml:space="preserve">“</w:t>
      </w:r>
      <w:r>
        <w:t xml:space="preserve">here are my sockets; sleep until at least one can be read or written without blocking, and tell me which.</w:t>
      </w:r>
      <w:r>
        <w:t xml:space="preserve">”</w:t>
      </w:r>
      <w:r>
        <w:t xml:space="preserve"> </w:t>
      </w:r>
      <w:r>
        <w:t xml:space="preserve">These are</w:t>
      </w:r>
      <w:r>
        <w:t xml:space="preserve"> </w:t>
      </w:r>
      <w:r>
        <w:rPr>
          <w:bCs/>
          <w:b/>
        </w:rPr>
        <w:t xml:space="preserve">readiness</w:t>
      </w:r>
      <w:r>
        <w:t xml:space="preserve"> </w:t>
      </w:r>
      <w:r>
        <w:t xml:space="preserve">notifications.</w:t>
      </w:r>
    </w:p>
    <w:p>
      <w:pPr>
        <w:numPr>
          <w:ilvl w:val="0"/>
          <w:numId w:val="1191"/>
        </w:numPr>
        <w:pStyle w:val="Compact"/>
      </w:pPr>
      <w:r>
        <w:rPr>
          <w:rStyle w:val="VerbatimChar"/>
          <w:bCs/>
          <w:b/>
        </w:rPr>
        <w:t xml:space="preserve">select</w:t>
      </w:r>
      <w:r>
        <w:t xml:space="preserve"> </w:t>
      </w:r>
      <w:r>
        <w:t xml:space="preserve">(4.2BSD) passes descriptor bitmaps on every call, is limited to descriptors below</w:t>
      </w:r>
      <w:r>
        <w:t xml:space="preserve"> </w:t>
      </w:r>
      <w:r>
        <w:rPr>
          <w:rStyle w:val="VerbatimChar"/>
        </w:rPr>
        <w:t xml:space="preserve">FD_SETSIZE</w:t>
      </w:r>
      <w:r>
        <w:t xml:space="preserve"> </w:t>
      </w:r>
      <w:r>
        <w:t xml:space="preserve">(1,024 on Linux/glibc), and scans all of them:</w:t>
      </w:r>
      <w:r>
        <w:t xml:space="preserve"> </w:t>
      </w:r>
      <m:oMath>
        <m:r>
          <m:t>O</m:t>
        </m:r>
        <m:d>
          <m:dPr>
            <m:begChr m:val="("/>
            <m:endChr m:val=")"/>
            <m:sepChr m:val=""/>
            <m:grow/>
          </m:dPr>
          <m:e>
            <m:r>
              <m:t>n</m:t>
            </m:r>
          </m:e>
        </m:d>
      </m:oMath>
      <w:r>
        <w:t xml:space="preserve"> </w:t>
      </w:r>
      <w:r>
        <w:t xml:space="preserve">work per wake-up.</w:t>
      </w:r>
    </w:p>
    <w:p>
      <w:pPr>
        <w:numPr>
          <w:ilvl w:val="0"/>
          <w:numId w:val="1191"/>
        </w:numPr>
        <w:pStyle w:val="Compact"/>
      </w:pPr>
      <w:r>
        <w:rPr>
          <w:rStyle w:val="VerbatimChar"/>
          <w:bCs/>
          <w:b/>
        </w:rPr>
        <w:t xml:space="preserve">poll</w:t>
      </w:r>
      <w:r>
        <w:t xml:space="preserve"> </w:t>
      </w:r>
      <w:r>
        <w:t xml:space="preserve">uses an array, removing the limit, but still scans all</w:t>
      </w:r>
      <w:r>
        <w:t xml:space="preserve"> </w:t>
      </w:r>
      <m:oMath>
        <m:r>
          <m:t>n</m:t>
        </m:r>
      </m:oMath>
      <w:r>
        <w:t xml:space="preserve">.</w:t>
      </w:r>
    </w:p>
    <w:p>
      <w:pPr>
        <w:numPr>
          <w:ilvl w:val="0"/>
          <w:numId w:val="1191"/>
        </w:numPr>
        <w:pStyle w:val="Compact"/>
      </w:pPr>
      <w:r>
        <w:rPr>
          <w:rStyle w:val="VerbatimChar"/>
          <w:bCs/>
          <w:b/>
        </w:rPr>
        <w:t xml:space="preserve">epoll</w:t>
      </w:r>
      <w:r>
        <w:t xml:space="preserve"> </w:t>
      </w:r>
      <w:r>
        <w:t xml:space="preserve">(Linux 2.6) registers interest once (</w:t>
      </w:r>
      <w:r>
        <w:rPr>
          <w:rStyle w:val="VerbatimChar"/>
        </w:rPr>
        <w:t xml:space="preserve">epoll_ctl</w:t>
      </w:r>
      <w:r>
        <w:t xml:space="preserve">); the kernel maintains a ready list, and</w:t>
      </w:r>
      <w:r>
        <w:t xml:space="preserve"> </w:t>
      </w:r>
      <w:r>
        <w:rPr>
          <w:rStyle w:val="VerbatimChar"/>
        </w:rPr>
        <w:t xml:space="preserve">epoll_wait</w:t>
      </w:r>
      <w:r>
        <w:t xml:space="preserve"> </w:t>
      </w:r>
      <w:r>
        <w:t xml:space="preserve">returns only ready descriptors, so cost scales with</w:t>
      </w:r>
      <w:r>
        <w:t xml:space="preserve"> </w:t>
      </w:r>
      <w:r>
        <w:rPr>
          <w:iCs/>
          <w:i/>
        </w:rPr>
        <w:t xml:space="preserve">ready</w:t>
      </w:r>
      <w:r>
        <w:t xml:space="preserve">, not watched, descriptors [Linux man-pages: epoll(7)].</w:t>
      </w:r>
    </w:p>
    <w:p>
      <w:pPr>
        <w:numPr>
          <w:ilvl w:val="0"/>
          <w:numId w:val="1191"/>
        </w:numPr>
        <w:pStyle w:val="Compact"/>
      </w:pPr>
      <w:r>
        <w:rPr>
          <w:rStyle w:val="VerbatimChar"/>
          <w:bCs/>
          <w:b/>
        </w:rPr>
        <w:t xml:space="preserve">kqueue</w:t>
      </w:r>
      <w:r>
        <w:t xml:space="preserve"> </w:t>
      </w:r>
      <w:r>
        <w:t xml:space="preserve">(FreeBSD 4.1, 2000; also macOS) scales the same way and also covers files, signals, timers and processes [Lemon 2001].</w:t>
      </w:r>
    </w:p>
    <w:p>
      <w:pPr>
        <w:pStyle w:val="FirstParagraph"/>
      </w:pPr>
      <w:r>
        <w:rPr>
          <w:bCs/>
          <w:b/>
        </w:rPr>
        <w:t xml:space="preserve">Level-triggered</w:t>
      </w:r>
      <w:r>
        <w:t xml:space="preserve"> </w:t>
      </w:r>
      <w:r>
        <w:t xml:space="preserve">notification keeps reporting a socket while data remains;</w:t>
      </w:r>
      <w:r>
        <w:t xml:space="preserve"> </w:t>
      </w:r>
      <w:r>
        <w:rPr>
          <w:bCs/>
          <w:b/>
        </w:rPr>
        <w:t xml:space="preserve">edge-triggered</w:t>
      </w:r>
      <w:r>
        <w:t xml:space="preserve"> </w:t>
      </w:r>
      <w:r>
        <w:t xml:space="preserve">reports only new arrivals, so the program must read until</w:t>
      </w:r>
      <w:r>
        <w:t xml:space="preserve"> </w:t>
      </w:r>
      <w:r>
        <w:rPr>
          <w:rStyle w:val="VerbatimChar"/>
        </w:rPr>
        <w:t xml:space="preserve">EAGAIN</w:t>
      </w:r>
      <w:r>
        <w:t xml:space="preserve">. Readiness has a blind spot: regular files are always</w:t>
      </w:r>
      <w:r>
        <w:t xml:space="preserve"> </w:t>
      </w:r>
      <w:r>
        <w:t xml:space="preserve">“</w:t>
      </w:r>
      <w:r>
        <w:t xml:space="preserve">ready</w:t>
      </w:r>
      <w:r>
        <w:t xml:space="preserve">”</w:t>
      </w:r>
      <w:r>
        <w:t xml:space="preserve"> </w:t>
      </w:r>
      <w:r>
        <w:t xml:space="preserve">yet reads can block on disk, which is why Node.js’s libuv runs file operations on a thread pool (4 threads by default) [Node.js Docs: Don’t Block the Event Loop].</w:t>
      </w:r>
    </w:p>
    <w:bookmarkEnd w:id="651"/>
    <w:bookmarkStart w:id="652" w:name="the-c10k-problem"/>
    <w:p>
      <w:pPr>
        <w:pStyle w:val="Heading3"/>
      </w:pPr>
      <w:r>
        <w:t xml:space="preserve">6.13.3 The C10K problem</w:t>
      </w:r>
    </w:p>
    <w:p>
      <w:pPr>
        <w:pStyle w:val="FirstParagraph"/>
      </w:pPr>
      <w:r>
        <w:t xml:space="preserve">In 1999 Dan Kegel’s web page</w:t>
      </w:r>
      <w:r>
        <w:t xml:space="preserve"> </w:t>
      </w:r>
      <w:r>
        <w:rPr>
          <w:iCs/>
          <w:i/>
        </w:rPr>
        <w:t xml:space="preserve">The C10K problem</w:t>
      </w:r>
      <w:r>
        <w:t xml:space="preserve"> </w:t>
      </w:r>
      <w:r>
        <w:t xml:space="preserve">asked how one server could handle ten thousand simultaneous clients, when the hardware clearly could but the software could not [Kegel 1999]. Thread-per-connection hit memory and scheduling limits, and</w:t>
      </w:r>
      <w:r>
        <w:t xml:space="preserve"> </w:t>
      </w:r>
      <w:r>
        <w:rPr>
          <w:rStyle w:val="VerbatimChar"/>
        </w:rPr>
        <w:t xml:space="preserve">select</w:t>
      </w:r>
      <w:r>
        <w:t xml:space="preserve">/</w:t>
      </w:r>
      <w:r>
        <w:rPr>
          <w:rStyle w:val="VerbatimChar"/>
        </w:rPr>
        <w:t xml:space="preserve">poll</w:t>
      </w:r>
      <w:r>
        <w:t xml:space="preserve"> </w:t>
      </w:r>
      <w:r>
        <w:t xml:space="preserve">spent their time rescanning idle sockets. Kegel surveyed the strategies (thread per client, readiness notification, asynchronous completion); the eventual answer was event-driven servers on</w:t>
      </w:r>
      <w:r>
        <w:t xml:space="preserve"> </w:t>
      </w:r>
      <w:r>
        <w:rPr>
          <w:rStyle w:val="VerbatimChar"/>
        </w:rPr>
        <w:t xml:space="preserve">epoll</w:t>
      </w:r>
      <w:r>
        <w:t xml:space="preserve">/</w:t>
      </w:r>
      <w:r>
        <w:rPr>
          <w:rStyle w:val="VerbatimChar"/>
        </w:rPr>
        <w:t xml:space="preserve">kqueue</w:t>
      </w:r>
      <w:r>
        <w:t xml:space="preserve">, the architecture of nginx, HAProxy, Node.js and Redis. Today a tuned server holds millions of mostly idle connections (see §9.9).</w:t>
      </w:r>
    </w:p>
    <w:bookmarkEnd w:id="652"/>
    <w:bookmarkStart w:id="656" w:name="the-event-loop"/>
    <w:p>
      <w:pPr>
        <w:pStyle w:val="Heading3"/>
      </w:pPr>
      <w:r>
        <w:t xml:space="preserve">6.13.4 The event loop</w:t>
      </w:r>
    </w:p>
    <w:p>
      <w:pPr>
        <w:pStyle w:val="CalloutDefinition"/>
      </w:pPr>
      <w:r>
        <w:rPr>
          <w:bCs/>
          <w:b/>
        </w:rPr>
        <w:t xml:space="preserve">DEFINITION</w:t>
      </w:r>
    </w:p>
    <w:p>
      <w:pPr>
        <w:pStyle w:val="CalloutDefinition"/>
      </w:pPr>
      <w:r>
        <w:rPr>
          <w:bCs/>
          <w:b/>
        </w:rPr>
        <w:t xml:space="preserve">Definition — Event loop.</w:t>
      </w:r>
      <w:r>
        <w:t xml:space="preserve"> </w:t>
      </w:r>
      <w:r>
        <w:t xml:space="preserve">A single thread that repeatedly waits for events (ready sockets, expired timers, completed tasks) using an I/O multiplexing call, and dispatches each event to a short, non-blocking handler.</w:t>
      </w:r>
    </w:p>
    <w:p>
      <w:pPr>
        <w:pStyle w:val="BodyText"/>
      </w:pPr>
      <w:r>
        <w:rPr>
          <w:bCs/>
          <w:b/>
        </w:rPr>
        <w:t xml:space="preserve">Figure 6.10 — An event loop on epoll.</w:t>
      </w:r>
    </w:p>
    <w:p>
      <w:pPr>
        <w:pStyle w:val="BodyText"/>
      </w:pPr>
      <w:r>
        <w:drawing>
          <wp:inline>
            <wp:extent cx="5334000" cy="5381047"/>
            <wp:effectExtent b="0" l="0" r="0" t="0"/>
            <wp:docPr descr="" title="" id="654" name="Picture"/>
            <a:graphic>
              <a:graphicData uri="http://schemas.openxmlformats.org/drawingml/2006/picture">
                <pic:pic>
                  <pic:nvPicPr>
                    <pic:cNvPr descr="/home/user/System-Design/build/.cache/diagrams/ce24996e9759.png" id="655" name="Picture"/>
                    <pic:cNvPicPr>
                      <a:picLocks noChangeArrowheads="1" noChangeAspect="1"/>
                    </pic:cNvPicPr>
                  </pic:nvPicPr>
                  <pic:blipFill>
                    <a:blip r:embed="rId653"/>
                    <a:stretch>
                      <a:fillRect/>
                    </a:stretch>
                  </pic:blipFill>
                  <pic:spPr bwMode="auto">
                    <a:xfrm>
                      <a:off x="0" y="0"/>
                      <a:ext cx="5334000" cy="5381047"/>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One thread sleeps in</w:t>
      </w:r>
      <w:r>
        <w:t xml:space="preserve"> </w:t>
      </w:r>
      <w:r>
        <w:rPr>
          <w:rStyle w:val="VerbatimChar"/>
        </w:rPr>
        <w:t xml:space="preserve">epoll_wait</w:t>
      </w:r>
      <w:r>
        <w:t xml:space="preserve">, the only place it may block, and dispatches each ready event: accept a connection, read and parse a request, flush output, run a timer. Handlers must be short. Blocking or CPU-heavy work (disk reads, password hashing, a synchronous database driver) goes to a</w:t>
      </w:r>
      <w:r>
        <w:t xml:space="preserve"> </w:t>
      </w:r>
      <w:r>
        <w:rPr>
          <w:bCs/>
          <w:b/>
        </w:rPr>
        <w:t xml:space="preserve">worker pool</w:t>
      </w:r>
      <w:r>
        <w:t xml:space="preserve">, whose completion returns asynchronously as a new event (dotted arrow). The failure point is a slow handler: while one callback runs for 200 ms,</w:t>
      </w:r>
      <w:r>
        <w:t xml:space="preserve"> </w:t>
      </w:r>
      <w:r>
        <w:rPr>
          <w:iCs/>
          <w:i/>
        </w:rPr>
        <w:t xml:space="preserve">every</w:t>
      </w:r>
      <w:r>
        <w:t xml:space="preserve"> </w:t>
      </w:r>
      <w:r>
        <w:t xml:space="preserve">connection on the loop waits 200 ms. To use more cores, run one loop per core (nginx workers,</w:t>
      </w:r>
      <w:r>
        <w:t xml:space="preserve"> </w:t>
      </w:r>
      <w:r>
        <w:rPr>
          <w:rStyle w:val="VerbatimChar"/>
        </w:rPr>
        <w:t xml:space="preserve">SO_REUSEPORT</w:t>
      </w:r>
      <w:r>
        <w:t xml:space="preserve">, Node.js cluster).</w:t>
      </w:r>
    </w:p>
    <w:p>
      <w:pPr>
        <w:pStyle w:val="BodyText"/>
      </w:pPr>
      <w:r>
        <w:t xml:space="preserve">The Python program below is a complete event-loop echo server. On Linux,</w:t>
      </w:r>
      <w:r>
        <w:t xml:space="preserve"> </w:t>
      </w:r>
      <w:r>
        <w:rPr>
          <w:rStyle w:val="VerbatimChar"/>
        </w:rPr>
        <w:t xml:space="preserve">selectors.DefaultSelector</w:t>
      </w:r>
      <w:r>
        <w:t xml:space="preserve"> </w:t>
      </w:r>
      <w:r>
        <w:t xml:space="preserve">uses</w:t>
      </w:r>
      <w:r>
        <w:t xml:space="preserve"> </w:t>
      </w:r>
      <w:r>
        <w:rPr>
          <w:rStyle w:val="VerbatimChar"/>
        </w:rPr>
        <w:t xml:space="preserve">epoll</w:t>
      </w:r>
      <w:r>
        <w:t xml:space="preserve">; on macOS,</w:t>
      </w:r>
      <w:r>
        <w:t xml:space="preserve"> </w:t>
      </w:r>
      <w:r>
        <w:rPr>
          <w:rStyle w:val="VerbatimChar"/>
        </w:rPr>
        <w:t xml:space="preserve">kqueue</w:t>
      </w:r>
      <w:r>
        <w:t xml:space="preserve">.</w:t>
      </w:r>
    </w:p>
    <w:p>
      <w:pPr>
        <w:pStyle w:val="SourceCode"/>
      </w:pPr>
      <w:r>
        <w:rPr>
          <w:rStyle w:val="CommentTok"/>
        </w:rPr>
        <w:t xml:space="preserve">"""A single-threaded echo server: one event loop, many connections.</w:t>
      </w:r>
      <w:r>
        <w:br/>
      </w:r>
      <w:r>
        <w:br/>
      </w:r>
      <w:r>
        <w:rPr>
          <w:rStyle w:val="CommentTok"/>
        </w:rPr>
        <w:t xml:space="preserve">On Linux, selectors.DefaultSelector is backed by epoll; on macOS/BSD by kqueue.</w:t>
      </w:r>
      <w:r>
        <w:br/>
      </w:r>
      <w:r>
        <w:rPr>
          <w:rStyle w:val="CommentTok"/>
        </w:rPr>
        <w:t xml:space="preserve">"""</w:t>
      </w:r>
      <w:r>
        <w:br/>
      </w:r>
      <w:r>
        <w:rPr>
          <w:rStyle w:val="ImportTok"/>
        </w:rPr>
        <w:t xml:space="preserve">import</w:t>
      </w:r>
      <w:r>
        <w:rPr>
          <w:rStyle w:val="NormalTok"/>
        </w:rPr>
        <w:t xml:space="preserve"> selectors</w:t>
      </w:r>
      <w:r>
        <w:br/>
      </w:r>
      <w:r>
        <w:rPr>
          <w:rStyle w:val="ImportTok"/>
        </w:rPr>
        <w:t xml:space="preserve">import</w:t>
      </w:r>
      <w:r>
        <w:rPr>
          <w:rStyle w:val="NormalTok"/>
        </w:rPr>
        <w:t xml:space="preserve"> socket</w:t>
      </w:r>
      <w:r>
        <w:br/>
      </w:r>
      <w:r>
        <w:br/>
      </w:r>
      <w:r>
        <w:rPr>
          <w:rStyle w:val="NormalTok"/>
        </w:rPr>
        <w:t xml:space="preserve">sel </w:t>
      </w:r>
      <w:r>
        <w:rPr>
          <w:rStyle w:val="OperatorTok"/>
        </w:rPr>
        <w:t xml:space="preserve">=</w:t>
      </w:r>
      <w:r>
        <w:rPr>
          <w:rStyle w:val="NormalTok"/>
        </w:rPr>
        <w:t xml:space="preserve"> selectors.DefaultSelector()</w:t>
      </w:r>
      <w:r>
        <w:br/>
      </w:r>
      <w:r>
        <w:br/>
      </w:r>
      <w:r>
        <w:br/>
      </w:r>
      <w:r>
        <w:rPr>
          <w:rStyle w:val="KeywordTok"/>
        </w:rPr>
        <w:t xml:space="preserve">def</w:t>
      </w:r>
      <w:r>
        <w:rPr>
          <w:rStyle w:val="NormalTok"/>
        </w:rPr>
        <w:t xml:space="preserve"> accept(server: socket.socket)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conn, _addr </w:t>
      </w:r>
      <w:r>
        <w:rPr>
          <w:rStyle w:val="OperatorTok"/>
        </w:rPr>
        <w:t xml:space="preserve">=</w:t>
      </w:r>
      <w:r>
        <w:rPr>
          <w:rStyle w:val="NormalTok"/>
        </w:rPr>
        <w:t xml:space="preserve"> server.accept()              </w:t>
      </w:r>
      <w:r>
        <w:rPr>
          <w:rStyle w:val="CommentTok"/>
        </w:rPr>
        <w:t xml:space="preserve"># ready, so this will not block</w:t>
      </w:r>
      <w:r>
        <w:br/>
      </w:r>
      <w:r>
        <w:rPr>
          <w:rStyle w:val="NormalTok"/>
        </w:rPr>
        <w:t xml:space="preserve">    conn.setblocking(</w:t>
      </w:r>
      <w:r>
        <w:rPr>
          <w:rStyle w:val="VariableTok"/>
        </w:rPr>
        <w:t xml:space="preserve">False</w:t>
      </w:r>
      <w:r>
        <w:rPr>
          <w:rStyle w:val="NormalTok"/>
        </w:rPr>
        <w:t xml:space="preserve">)</w:t>
      </w:r>
      <w:r>
        <w:br/>
      </w:r>
      <w:r>
        <w:rPr>
          <w:rStyle w:val="NormalTok"/>
        </w:rPr>
        <w:t xml:space="preserve">    sel.register(conn, selectors.EVENT_READ, handle)</w:t>
      </w:r>
      <w:r>
        <w:br/>
      </w:r>
      <w:r>
        <w:br/>
      </w:r>
      <w:r>
        <w:br/>
      </w:r>
      <w:r>
        <w:rPr>
          <w:rStyle w:val="KeywordTok"/>
        </w:rPr>
        <w:t xml:space="preserve">def</w:t>
      </w:r>
      <w:r>
        <w:rPr>
          <w:rStyle w:val="NormalTok"/>
        </w:rPr>
        <w:t xml:space="preserve"> handle(conn: socket.socket)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data </w:t>
      </w:r>
      <w:r>
        <w:rPr>
          <w:rStyle w:val="OperatorTok"/>
        </w:rPr>
        <w:t xml:space="preserve">=</w:t>
      </w:r>
      <w:r>
        <w:rPr>
          <w:rStyle w:val="NormalTok"/>
        </w:rPr>
        <w:t xml:space="preserve"> conn.recv(</w:t>
      </w:r>
      <w:r>
        <w:rPr>
          <w:rStyle w:val="DecValTok"/>
        </w:rPr>
        <w:t xml:space="preserve">4096</w:t>
      </w:r>
      <w:r>
        <w:rPr>
          <w:rStyle w:val="NormalTok"/>
        </w:rPr>
        <w:t xml:space="preserve">)                     </w:t>
      </w:r>
      <w:r>
        <w:rPr>
          <w:rStyle w:val="CommentTok"/>
        </w:rPr>
        <w:t xml:space="preserve"># ready, so this will not block</w:t>
      </w:r>
      <w:r>
        <w:br/>
      </w:r>
      <w:r>
        <w:rPr>
          <w:rStyle w:val="NormalTok"/>
        </w:rPr>
        <w:t xml:space="preserve">    </w:t>
      </w:r>
      <w:r>
        <w:rPr>
          <w:rStyle w:val="ControlFlowTok"/>
        </w:rPr>
        <w:t xml:space="preserve">if</w:t>
      </w:r>
      <w:r>
        <w:rPr>
          <w:rStyle w:val="NormalTok"/>
        </w:rPr>
        <w:t xml:space="preserve"> data:</w:t>
      </w:r>
      <w:r>
        <w:br/>
      </w:r>
      <w:r>
        <w:rPr>
          <w:rStyle w:val="NormalTok"/>
        </w:rPr>
        <w:t xml:space="preserve">        conn.sendall(data)                     </w:t>
      </w:r>
      <w:r>
        <w:rPr>
          <w:rStyle w:val="CommentTok"/>
        </w:rPr>
        <w:t xml:space="preserve"># simplification: assumes the send buffer has room</w:t>
      </w:r>
      <w:r>
        <w:br/>
      </w:r>
      <w:r>
        <w:rPr>
          <w:rStyle w:val="NormalTok"/>
        </w:rPr>
        <w:t xml:space="preserve">    </w:t>
      </w:r>
      <w:r>
        <w:rPr>
          <w:rStyle w:val="ControlFlowTok"/>
        </w:rPr>
        <w:t xml:space="preserve">else</w:t>
      </w:r>
      <w:r>
        <w:rPr>
          <w:rStyle w:val="NormalTok"/>
        </w:rPr>
        <w:t xml:space="preserve">:                                      </w:t>
      </w:r>
      <w:r>
        <w:rPr>
          <w:rStyle w:val="CommentTok"/>
        </w:rPr>
        <w:t xml:space="preserve"># empty read = peer closed</w:t>
      </w:r>
      <w:r>
        <w:br/>
      </w:r>
      <w:r>
        <w:rPr>
          <w:rStyle w:val="NormalTok"/>
        </w:rPr>
        <w:t xml:space="preserve">        sel.unregister(conn)</w:t>
      </w:r>
      <w:r>
        <w:br/>
      </w:r>
      <w:r>
        <w:rPr>
          <w:rStyle w:val="NormalTok"/>
        </w:rPr>
        <w:t xml:space="preserve">        conn.close()</w:t>
      </w:r>
      <w:r>
        <w:br/>
      </w:r>
      <w:r>
        <w:br/>
      </w:r>
      <w:r>
        <w:br/>
      </w:r>
      <w:r>
        <w:rPr>
          <w:rStyle w:val="KeywordTok"/>
        </w:rPr>
        <w:t xml:space="preserve">def</w:t>
      </w:r>
      <w:r>
        <w:rPr>
          <w:rStyle w:val="NormalTok"/>
        </w:rPr>
        <w:t xml:space="preserve"> serve(host: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"127.0.0.1"</w:t>
      </w:r>
      <w:r>
        <w:rPr>
          <w:rStyle w:val="NormalTok"/>
        </w:rPr>
        <w:t xml:space="preserve">, port: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9000</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server </w:t>
      </w:r>
      <w:r>
        <w:rPr>
          <w:rStyle w:val="OperatorTok"/>
        </w:rPr>
        <w:t xml:space="preserve">=</w:t>
      </w:r>
      <w:r>
        <w:rPr>
          <w:rStyle w:val="NormalTok"/>
        </w:rPr>
        <w:t xml:space="preserve"> socket.socket(socket.AF_INET, socket.SOCK_STREAM)</w:t>
      </w:r>
      <w:r>
        <w:br/>
      </w:r>
      <w:r>
        <w:rPr>
          <w:rStyle w:val="NormalTok"/>
        </w:rPr>
        <w:t xml:space="preserve">    server.setsockopt(socket.SOL_SOCKET, socket.SO_REUSEADDR, </w:t>
      </w:r>
      <w:r>
        <w:rPr>
          <w:rStyle w:val="DecValTok"/>
        </w:rPr>
        <w:t xml:space="preserve">1</w:t>
      </w:r>
      <w:r>
        <w:rPr>
          <w:rStyle w:val="NormalTok"/>
        </w:rPr>
        <w:t xml:space="preserve">)</w:t>
      </w:r>
      <w:r>
        <w:br/>
      </w:r>
      <w:r>
        <w:rPr>
          <w:rStyle w:val="NormalTok"/>
        </w:rPr>
        <w:t xml:space="preserve">    server.bind((host, port))</w:t>
      </w:r>
      <w:r>
        <w:br/>
      </w:r>
      <w:r>
        <w:rPr>
          <w:rStyle w:val="NormalTok"/>
        </w:rPr>
        <w:t xml:space="preserve">    server.listen(</w:t>
      </w:r>
      <w:r>
        <w:rPr>
          <w:rStyle w:val="DecValTok"/>
        </w:rPr>
        <w:t xml:space="preserve">1024</w:t>
      </w:r>
      <w:r>
        <w:rPr>
          <w:rStyle w:val="NormalTok"/>
        </w:rPr>
        <w:t xml:space="preserve">)</w:t>
      </w:r>
      <w:r>
        <w:br/>
      </w:r>
      <w:r>
        <w:rPr>
          <w:rStyle w:val="NormalTok"/>
        </w:rPr>
        <w:t xml:space="preserve">    server.setblocking(</w:t>
      </w:r>
      <w:r>
        <w:rPr>
          <w:rStyle w:val="VariableTok"/>
        </w:rPr>
        <w:t xml:space="preserve">False</w:t>
      </w:r>
      <w:r>
        <w:rPr>
          <w:rStyle w:val="NormalTok"/>
        </w:rPr>
        <w:t xml:space="preserve">)</w:t>
      </w:r>
      <w:r>
        <w:br/>
      </w:r>
      <w:r>
        <w:rPr>
          <w:rStyle w:val="NormalTok"/>
        </w:rPr>
        <w:t xml:space="preserve">    sel.register(server, selectors.EVENT_READ, accept)</w:t>
      </w:r>
      <w:r>
        <w:br/>
      </w:r>
      <w:r>
        <w:rPr>
          <w:rStyle w:val="NormalTok"/>
        </w:rPr>
        <w:t xml:space="preserve">    </w:t>
      </w:r>
      <w:r>
        <w:rPr>
          <w:rStyle w:val="BuiltInTok"/>
        </w:rPr>
        <w:t xml:space="preserve">print</w:t>
      </w:r>
      <w:r>
        <w:rPr>
          <w:rStyle w:val="NormalTok"/>
        </w:rPr>
        <w:t xml:space="preserve">(</w:t>
      </w:r>
      <w:r>
        <w:rPr>
          <w:rStyle w:val="SpecialStringTok"/>
        </w:rPr>
        <w:t xml:space="preserve">f"selector = </w:t>
      </w:r>
      <w:r>
        <w:rPr>
          <w:rStyle w:val="SpecialCharTok"/>
        </w:rPr>
        <w:t xml:space="preserve">{</w:t>
      </w:r>
      <w:r>
        <w:rPr>
          <w:rStyle w:val="BuiltInTok"/>
        </w:rPr>
        <w:t xml:space="preserve">type</w:t>
      </w:r>
      <w:r>
        <w:rPr>
          <w:rStyle w:val="NormalTok"/>
        </w:rPr>
        <w:t xml:space="preserve">(sel)</w:t>
      </w:r>
      <w:r>
        <w:rPr>
          <w:rStyle w:val="SpecialCharTok"/>
        </w:rPr>
        <w:t xml:space="preserve">.</w:t>
      </w:r>
      <w:r>
        <w:rPr>
          <w:rStyle w:val="VariableTok"/>
        </w:rPr>
        <w:t xml:space="preserve">__name__</w:t>
      </w:r>
      <w:r>
        <w:rPr>
          <w:rStyle w:val="SpecialCharTok"/>
        </w:rPr>
        <w:t xml:space="preserve">}</w:t>
      </w:r>
      <w:r>
        <w:rPr>
          <w:rStyle w:val="SpecialStringTok"/>
        </w:rPr>
        <w:t xml:space="preserve">; listening on </w:t>
      </w:r>
      <w:r>
        <w:rPr>
          <w:rStyle w:val="SpecialCharTok"/>
        </w:rPr>
        <w:t xml:space="preserve">{</w:t>
      </w:r>
      <w:r>
        <w:rPr>
          <w:rStyle w:val="NormalTok"/>
        </w:rPr>
        <w:t xml:space="preserve">host</w:t>
      </w:r>
      <w:r>
        <w:rPr>
          <w:rStyle w:val="SpecialCharTok"/>
        </w:rPr>
        <w:t xml:space="preserve">}</w:t>
      </w:r>
      <w:r>
        <w:rPr>
          <w:rStyle w:val="SpecialStringTok"/>
        </w:rPr>
        <w:t xml:space="preserve">:</w:t>
      </w:r>
      <w:r>
        <w:rPr>
          <w:rStyle w:val="SpecialCharTok"/>
        </w:rPr>
        <w:t xml:space="preserve">{</w:t>
      </w:r>
      <w:r>
        <w:rPr>
          <w:rStyle w:val="NormalTok"/>
        </w:rPr>
        <w:t xml:space="preserve">port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                                </w:t>
      </w:r>
      <w:r>
        <w:rPr>
          <w:rStyle w:val="CommentTok"/>
        </w:rPr>
        <w:t xml:space="preserve"># THE event loop</w:t>
      </w:r>
      <w:r>
        <w:br/>
      </w:r>
      <w:r>
        <w:rPr>
          <w:rStyle w:val="NormalTok"/>
        </w:rPr>
        <w:t xml:space="preserve">        </w:t>
      </w:r>
      <w:r>
        <w:rPr>
          <w:rStyle w:val="ControlFlowTok"/>
        </w:rPr>
        <w:t xml:space="preserve">for</w:t>
      </w:r>
      <w:r>
        <w:rPr>
          <w:rStyle w:val="NormalTok"/>
        </w:rPr>
        <w:t xml:space="preserve"> key, _mask </w:t>
      </w:r>
      <w:r>
        <w:rPr>
          <w:rStyle w:val="KeywordTok"/>
        </w:rPr>
        <w:t xml:space="preserve">in</w:t>
      </w:r>
      <w:r>
        <w:rPr>
          <w:rStyle w:val="NormalTok"/>
        </w:rPr>
        <w:t xml:space="preserve"> sel.select():        </w:t>
      </w:r>
      <w:r>
        <w:rPr>
          <w:rStyle w:val="CommentTok"/>
        </w:rPr>
        <w:t xml:space="preserve"># block until &gt;= 1 socket is ready</w:t>
      </w:r>
      <w:r>
        <w:br/>
      </w:r>
      <w:r>
        <w:rPr>
          <w:rStyle w:val="NormalTok"/>
        </w:rPr>
        <w:t xml:space="preserve">            callback </w:t>
      </w:r>
      <w:r>
        <w:rPr>
          <w:rStyle w:val="OperatorTok"/>
        </w:rPr>
        <w:t xml:space="preserve">=</w:t>
      </w:r>
      <w:r>
        <w:rPr>
          <w:rStyle w:val="NormalTok"/>
        </w:rPr>
        <w:t xml:space="preserve"> key.data</w:t>
      </w:r>
      <w:r>
        <w:br/>
      </w:r>
      <w:r>
        <w:rPr>
          <w:rStyle w:val="NormalTok"/>
        </w:rPr>
        <w:t xml:space="preserve">            callback(key.fileobj)              </w:t>
      </w:r>
      <w:r>
        <w:rPr>
          <w:rStyle w:val="CommentTok"/>
        </w:rPr>
        <w:t xml:space="preserve"># run the handler; it must not block</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serve()</w:t>
      </w:r>
    </w:p>
    <w:p>
      <w:pPr>
        <w:pStyle w:val="FirstParagraph"/>
      </w:pPr>
      <w:r>
        <w:t xml:space="preserve">Connect with</w:t>
      </w:r>
      <w:r>
        <w:t xml:space="preserve"> </w:t>
      </w:r>
      <w:r>
        <w:rPr>
          <w:rStyle w:val="VerbatimChar"/>
        </w:rPr>
        <w:t xml:space="preserve">nc 127.0.0.1 9000</w:t>
      </w:r>
      <w:r>
        <w:t xml:space="preserve"> </w:t>
      </w:r>
      <w:r>
        <w:t xml:space="preserve">from several terminals; in testing it printed</w:t>
      </w:r>
      <w:r>
        <w:t xml:space="preserve"> </w:t>
      </w:r>
      <w:r>
        <w:rPr>
          <w:rStyle w:val="VerbatimChar"/>
        </w:rPr>
        <w:t xml:space="preserve">selector = EpollSelector</w:t>
      </w:r>
      <w:r>
        <w:t xml:space="preserve"> </w:t>
      </w:r>
      <w:r>
        <w:t xml:space="preserve">and served 200 concurrent clients correctly.</w:t>
      </w:r>
    </w:p>
    <w:p>
      <w:pPr>
        <w:pStyle w:val="BodyText"/>
      </w:pPr>
      <w:r>
        <w:t xml:space="preserve">What to notice:</w:t>
      </w:r>
    </w:p>
    <w:p>
      <w:pPr>
        <w:numPr>
          <w:ilvl w:val="0"/>
          <w:numId w:val="1192"/>
        </w:numPr>
        <w:pStyle w:val="Compact"/>
      </w:pPr>
      <w:r>
        <w:t xml:space="preserve">There is exactly one blocking call,</w:t>
      </w:r>
      <w:r>
        <w:t xml:space="preserve"> </w:t>
      </w:r>
      <w:r>
        <w:rPr>
          <w:rStyle w:val="VerbatimChar"/>
        </w:rPr>
        <w:t xml:space="preserve">sel.select()</w:t>
      </w:r>
      <w:r>
        <w:t xml:space="preserve">. Everything else runs only when the kernel has said it will not block.</w:t>
      </w:r>
    </w:p>
    <w:p>
      <w:pPr>
        <w:numPr>
          <w:ilvl w:val="0"/>
          <w:numId w:val="1192"/>
        </w:numPr>
        <w:pStyle w:val="Compact"/>
      </w:pPr>
      <w:r>
        <w:rPr>
          <w:rStyle w:val="VerbatimChar"/>
        </w:rPr>
        <w:t xml:space="preserve">sendall</w:t>
      </w:r>
      <w:r>
        <w:t xml:space="preserve"> </w:t>
      </w:r>
      <w:r>
        <w:t xml:space="preserve">on a non-blocking socket can still fail if the client is slow to read; a production server keeps a per-connection output buffer and registers for</w:t>
      </w:r>
      <w:r>
        <w:t xml:space="preserve"> </w:t>
      </w:r>
      <w:r>
        <w:rPr>
          <w:rStyle w:val="VerbatimChar"/>
        </w:rPr>
        <w:t xml:space="preserve">EVENT_WRITE</w:t>
      </w:r>
      <w:r>
        <w:t xml:space="preserve">. Frameworks handle this for you.</w:t>
      </w:r>
    </w:p>
    <w:bookmarkEnd w:id="656"/>
    <w:bookmarkStart w:id="660" w:name="completion-based-io-and-io_uring"/>
    <w:p>
      <w:pPr>
        <w:pStyle w:val="Heading3"/>
      </w:pPr>
      <w:r>
        <w:t xml:space="preserve">6.13.5 Completion-based I/O and io_uring</w:t>
      </w:r>
    </w:p>
    <w:p>
      <w:pPr>
        <w:pStyle w:val="FirstParagraph"/>
      </w:pPr>
      <w:r>
        <w:t xml:space="preserve">Readiness APIs need one system call to learn a socket is ready and another to read it.</w:t>
      </w:r>
      <w:r>
        <w:t xml:space="preserve"> </w:t>
      </w:r>
      <w:r>
        <w:rPr>
          <w:bCs/>
          <w:b/>
        </w:rPr>
        <w:t xml:space="preserve">Completion-based</w:t>
      </w:r>
      <w:r>
        <w:t xml:space="preserve"> </w:t>
      </w:r>
      <w:r>
        <w:t xml:space="preserve">APIs instead let the application</w:t>
      </w:r>
      <w:r>
        <w:t xml:space="preserve"> </w:t>
      </w:r>
      <w:r>
        <w:rPr>
          <w:iCs/>
          <w:i/>
        </w:rPr>
        <w:t xml:space="preserve">submit</w:t>
      </w:r>
      <w:r>
        <w:t xml:space="preserve"> </w:t>
      </w:r>
      <w:r>
        <w:t xml:space="preserve">an operation and later be told it is</w:t>
      </w:r>
      <w:r>
        <w:t xml:space="preserve"> </w:t>
      </w:r>
      <w:r>
        <w:rPr>
          <w:iCs/>
          <w:i/>
        </w:rPr>
        <w:t xml:space="preserve">complete</w:t>
      </w:r>
      <w:r>
        <w:t xml:space="preserve"> </w:t>
      </w:r>
      <w:r>
        <w:t xml:space="preserve">(Windows I/O completion ports; Linux’s older AIO worked well only for</w:t>
      </w:r>
      <w:r>
        <w:t xml:space="preserve"> </w:t>
      </w:r>
      <w:r>
        <w:rPr>
          <w:rStyle w:val="VerbatimChar"/>
        </w:rPr>
        <w:t xml:space="preserve">O_DIRECT</w:t>
      </w:r>
      <w:r>
        <w:t xml:space="preserve"> </w:t>
      </w:r>
      <w:r>
        <w:t xml:space="preserve">files).</w:t>
      </w:r>
    </w:p>
    <w:p>
      <w:pPr>
        <w:pStyle w:val="BodyText"/>
      </w:pPr>
      <w:r>
        <w:rPr>
          <w:bCs/>
          <w:b/>
        </w:rPr>
        <w:t xml:space="preserve">io_uring</w:t>
      </w:r>
      <w:r>
        <w:t xml:space="preserve">, added in Linux 5.1 (2019) by Jens Axboe, provides two ring buffers in memory shared between application and kernel: a</w:t>
      </w:r>
      <w:r>
        <w:t xml:space="preserve"> </w:t>
      </w:r>
      <w:r>
        <w:rPr>
          <w:bCs/>
          <w:b/>
        </w:rPr>
        <w:t xml:space="preserve">submission queue (SQ)</w:t>
      </w:r>
      <w:r>
        <w:t xml:space="preserve"> </w:t>
      </w:r>
      <w:r>
        <w:t xml:space="preserve">and a</w:t>
      </w:r>
      <w:r>
        <w:t xml:space="preserve"> </w:t>
      </w:r>
      <w:r>
        <w:rPr>
          <w:bCs/>
          <w:b/>
        </w:rPr>
        <w:t xml:space="preserve">completion queue (CQ)</w:t>
      </w:r>
      <w:r>
        <w:t xml:space="preserve"> </w:t>
      </w:r>
      <w:r>
        <w:t xml:space="preserve">[Axboe 2019].</w:t>
      </w:r>
    </w:p>
    <w:p>
      <w:pPr>
        <w:pStyle w:val="BodyText"/>
      </w:pPr>
      <w:r>
        <w:rPr>
          <w:bCs/>
          <w:b/>
        </w:rPr>
        <w:t xml:space="preserve">Figure 6.11 — io_uring submission and completion rings.</w:t>
      </w:r>
    </w:p>
    <w:p>
      <w:pPr>
        <w:pStyle w:val="BodyText"/>
      </w:pPr>
      <w:r>
        <w:drawing>
          <wp:inline>
            <wp:extent cx="5334000" cy="1464663"/>
            <wp:effectExtent b="0" l="0" r="0" t="0"/>
            <wp:docPr descr="" title="" id="658" name="Picture"/>
            <a:graphic>
              <a:graphicData uri="http://schemas.openxmlformats.org/drawingml/2006/picture">
                <pic:pic>
                  <pic:nvPicPr>
                    <pic:cNvPr descr="/home/user/System-Design/build/.cache/diagrams/b26e104b42cb.png" id="659" name="Picture"/>
                    <pic:cNvPicPr>
                      <a:picLocks noChangeArrowheads="1" noChangeAspect="1"/>
                    </pic:cNvPicPr>
                  </pic:nvPicPr>
                  <pic:blipFill>
                    <a:blip r:embed="rId657"/>
                    <a:stretch>
                      <a:fillRect/>
                    </a:stretch>
                  </pic:blipFill>
                  <pic:spPr bwMode="auto">
                    <a:xfrm>
                      <a:off x="0" y="0"/>
                      <a:ext cx="5334000" cy="1464663"/>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application writes request entries (opcode, descriptor, buffer, user tag) into the shared submission ring with plain memory writes, then submits any number with</w:t>
      </w:r>
      <w:r>
        <w:t xml:space="preserve"> </w:t>
      </w:r>
      <w:r>
        <w:rPr>
          <w:iCs/>
          <w:i/>
        </w:rPr>
        <w:t xml:space="preserve">one</w:t>
      </w:r>
      <w:r>
        <w:t xml:space="preserve"> </w:t>
      </w:r>
      <w:r>
        <w:rPr>
          <w:rStyle w:val="VerbatimChar"/>
        </w:rPr>
        <w:t xml:space="preserve">io_uring_enter</w:t>
      </w:r>
      <w:r>
        <w:t xml:space="preserve"> </w:t>
      </w:r>
      <w:r>
        <w:t xml:space="preserve">call. The kernel performs them, files and sockets alike, and posts results asynchronously to the completion ring (dotted arrow), possibly out of order; the tag matches results to requests. Reaping completions needs no system call, and in</w:t>
      </w:r>
      <w:r>
        <w:t xml:space="preserve"> </w:t>
      </w:r>
      <w:r>
        <w:rPr>
          <w:bCs/>
          <w:b/>
        </w:rPr>
        <w:t xml:space="preserve">SQPOLL</w:t>
      </w:r>
      <w:r>
        <w:t xml:space="preserve"> </w:t>
      </w:r>
      <w:r>
        <w:t xml:space="preserve">mode a kernel thread polls the submission ring so submission needs none either. Costs: a more complex programming model and a large new kernel attack surface. Google reported in 2023 that most kernel exploits submitted to its bug-bounty program involved io_uring and that it had restricted io_uring on ChromeOS, Android apps and its production servers [Google Security Blog 2023]; some container runtimes block it by default.</w:t>
      </w:r>
    </w:p>
    <w:p>
      <w:pPr>
        <w:pStyle w:val="BodyText"/>
      </w:pPr>
      <w:r>
        <w:rPr>
          <w:bCs/>
          <w:b/>
        </w:rPr>
        <w:t xml:space="preserve">Table 6.6 — I/O models compared.</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Model</w:t>
            </w:r>
          </w:p>
        </w:tc>
        <w:tc>
          <w:tcPr/>
          <w:p>
            <w:pPr>
              <w:pStyle w:val="Compact"/>
              <w:jc w:val="left"/>
            </w:pPr>
            <w:r>
              <w:t xml:space="preserve">How it works</w:t>
            </w:r>
          </w:p>
        </w:tc>
        <w:tc>
          <w:tcPr/>
          <w:p>
            <w:pPr>
              <w:pStyle w:val="Compact"/>
              <w:jc w:val="left"/>
            </w:pPr>
            <w:r>
              <w:t xml:space="preserve">Advantages</w:t>
            </w:r>
          </w:p>
        </w:tc>
        <w:tc>
          <w:tcPr/>
          <w:p>
            <w:pPr>
              <w:pStyle w:val="Compact"/>
              <w:jc w:val="left"/>
            </w:pPr>
            <w:r>
              <w:t xml:space="preserve">Disadvantages</w:t>
            </w:r>
          </w:p>
        </w:tc>
        <w:tc>
          <w:tcPr/>
          <w:p>
            <w:pPr>
              <w:pStyle w:val="Compact"/>
              <w:jc w:val="left"/>
            </w:pPr>
            <w:r>
              <w:t xml:space="preserve">Scales to</w:t>
            </w:r>
          </w:p>
        </w:tc>
        <w:tc>
          <w:tcPr/>
          <w:p>
            <w:pPr>
              <w:pStyle w:val="Compact"/>
              <w:jc w:val="left"/>
            </w:pPr>
            <w:r>
              <w:t xml:space="preserve">Choose when</w:t>
            </w:r>
          </w:p>
        </w:tc>
      </w:tr>
      <w:tr>
        <w:tc>
          <w:tcPr/>
          <w:p>
            <w:pPr>
              <w:pStyle w:val="Compact"/>
              <w:jc w:val="left"/>
            </w:pPr>
            <w:r>
              <w:t xml:space="preserve">Blocking, thread per connection</w:t>
            </w:r>
          </w:p>
        </w:tc>
        <w:tc>
          <w:tcPr/>
          <w:p>
            <w:pPr>
              <w:pStyle w:val="Compact"/>
              <w:jc w:val="left"/>
            </w:pPr>
            <w:r>
              <w:t xml:space="preserve">Each thread blocks in</w:t>
            </w:r>
            <w:r>
              <w:t xml:space="preserve"> </w:t>
            </w:r>
            <w:r>
              <w:rPr>
                <w:rStyle w:val="VerbatimChar"/>
              </w:rPr>
              <w:t xml:space="preserve">read</w:t>
            </w:r>
            <w:r>
              <w:t xml:space="preserve">/</w:t>
            </w:r>
            <w:r>
              <w:rPr>
                <w:rStyle w:val="VerbatimChar"/>
              </w:rPr>
              <w:t xml:space="preserve">write</w:t>
            </w:r>
          </w:p>
        </w:tc>
        <w:tc>
          <w:tcPr/>
          <w:p>
            <w:pPr>
              <w:pStyle w:val="Compact"/>
              <w:jc w:val="left"/>
            </w:pPr>
            <w:r>
              <w:t xml:space="preserve">Simplest code; natural stack traces</w:t>
            </w:r>
          </w:p>
        </w:tc>
        <w:tc>
          <w:tcPr/>
          <w:p>
            <w:pPr>
              <w:pStyle w:val="Compact"/>
              <w:jc w:val="left"/>
            </w:pPr>
            <w:r>
              <w:t xml:space="preserve">Memory and switching per connection</w:t>
            </w:r>
          </w:p>
        </w:tc>
        <w:tc>
          <w:tcPr/>
          <w:p>
            <w:pPr>
              <w:pStyle w:val="Compact"/>
              <w:jc w:val="left"/>
            </w:pPr>
            <w:r>
              <w:t xml:space="preserve">Thousands of connections</w:t>
            </w:r>
          </w:p>
        </w:tc>
        <w:tc>
          <w:tcPr/>
          <w:p>
            <w:pPr>
              <w:pStyle w:val="Compact"/>
              <w:jc w:val="left"/>
            </w:pPr>
            <w:r>
              <w:t xml:space="preserve">Moderate concurrency; blocking libraries</w:t>
            </w:r>
          </w:p>
        </w:tc>
      </w:tr>
      <w:tr>
        <w:tc>
          <w:tcPr/>
          <w:p>
            <w:pPr>
              <w:pStyle w:val="Compact"/>
              <w:jc w:val="left"/>
            </w:pPr>
            <w:r>
              <w:t xml:space="preserve">Non-blocking + busy polling</w:t>
            </w:r>
          </w:p>
        </w:tc>
        <w:tc>
          <w:tcPr/>
          <w:p>
            <w:pPr>
              <w:pStyle w:val="Compact"/>
              <w:jc w:val="left"/>
            </w:pPr>
            <w:r>
              <w:t xml:space="preserve">Loop calling</w:t>
            </w:r>
            <w:r>
              <w:t xml:space="preserve"> </w:t>
            </w:r>
            <w:r>
              <w:rPr>
                <w:rStyle w:val="VerbatimChar"/>
              </w:rPr>
              <w:t xml:space="preserve">read</w:t>
            </w:r>
            <w:r>
              <w:t xml:space="preserve"> </w:t>
            </w:r>
            <w:r>
              <w:t xml:space="preserve">until not</w:t>
            </w:r>
            <w:r>
              <w:t xml:space="preserve"> </w:t>
            </w:r>
            <w:r>
              <w:rPr>
                <w:rStyle w:val="VerbatimChar"/>
              </w:rPr>
              <w:t xml:space="preserve">EAGAIN</w:t>
            </w:r>
          </w:p>
        </w:tc>
        <w:tc>
          <w:tcPr/>
          <w:p>
            <w:pPr>
              <w:pStyle w:val="Compact"/>
              <w:jc w:val="left"/>
            </w:pPr>
            <w:r>
              <w:t xml:space="preserve">Lowest latency on a dedicated core</w:t>
            </w:r>
          </w:p>
        </w:tc>
        <w:tc>
          <w:tcPr/>
          <w:p>
            <w:pPr>
              <w:pStyle w:val="Compact"/>
              <w:jc w:val="left"/>
            </w:pPr>
            <w:r>
              <w:t xml:space="preserve">Burns a full core</w:t>
            </w:r>
          </w:p>
        </w:tc>
        <w:tc>
          <w:tcPr/>
          <w:p>
            <w:pPr>
              <w:pStyle w:val="Compact"/>
              <w:jc w:val="left"/>
            </w:pPr>
            <w:r>
              <w:t xml:space="preserve">Few connections</w:t>
            </w:r>
          </w:p>
        </w:tc>
        <w:tc>
          <w:tcPr/>
          <w:p>
            <w:pPr>
              <w:pStyle w:val="Compact"/>
              <w:jc w:val="left"/>
            </w:pPr>
            <w:r>
              <w:t xml:space="preserve">Kernel-bypass and trading systems</w:t>
            </w:r>
          </w:p>
        </w:tc>
      </w:tr>
      <w:tr>
        <w:tc>
          <w:tcPr/>
          <w:p>
            <w:pPr>
              <w:pStyle w:val="Compact"/>
              <w:jc w:val="left"/>
            </w:pPr>
            <w:r>
              <w:rPr>
                <w:rStyle w:val="VerbatimChar"/>
              </w:rPr>
              <w:t xml:space="preserve">select</w:t>
            </w:r>
            <w:r>
              <w:t xml:space="preserve"> </w:t>
            </w:r>
            <w:r>
              <w:t xml:space="preserve">/</w:t>
            </w:r>
            <w:r>
              <w:t xml:space="preserve"> </w:t>
            </w:r>
            <w:r>
              <w:rPr>
                <w:rStyle w:val="VerbatimChar"/>
              </w:rPr>
              <w:t xml:space="preserve">poll</w:t>
            </w:r>
          </w:p>
        </w:tc>
        <w:tc>
          <w:tcPr/>
          <w:p>
            <w:pPr>
              <w:pStyle w:val="Compact"/>
              <w:jc w:val="left"/>
            </w:pPr>
            <w:r>
              <w:t xml:space="preserve">Readiness for a set passed each call</w:t>
            </w:r>
          </w:p>
        </w:tc>
        <w:tc>
          <w:tcPr/>
          <w:p>
            <w:pPr>
              <w:pStyle w:val="Compact"/>
              <w:jc w:val="left"/>
            </w:pPr>
            <w:r>
              <w:t xml:space="preserve">Portable</w:t>
            </w:r>
          </w:p>
        </w:tc>
        <w:tc>
          <w:tcPr/>
          <w:p>
            <w:pPr>
              <w:pStyle w:val="Compact"/>
              <w:jc w:val="left"/>
            </w:pPr>
            <m:oMath>
              <m:r>
                <m:t>O</m:t>
              </m:r>
              <m:d>
                <m:dPr>
                  <m:begChr m:val="("/>
                  <m:endChr m:val=")"/>
                  <m:sepChr m:val=""/>
                  <m:grow/>
                </m:dPr>
                <m:e>
                  <m:r>
                    <m:t>n</m:t>
                  </m:r>
                </m:e>
              </m:d>
            </m:oMath>
            <w:r>
              <w:t xml:space="preserve"> </w:t>
            </w:r>
            <w:r>
              <w:t xml:space="preserve">per call;</w:t>
            </w:r>
            <w:r>
              <w:t xml:space="preserve"> </w:t>
            </w:r>
            <w:r>
              <w:rPr>
                <w:rStyle w:val="VerbatimChar"/>
              </w:rPr>
              <w:t xml:space="preserve">select</w:t>
            </w:r>
            <w:r>
              <w:t xml:space="preserve"> </w:t>
            </w:r>
            <w:r>
              <w:t xml:space="preserve">limited to 1,024</w:t>
            </w:r>
          </w:p>
        </w:tc>
        <w:tc>
          <w:tcPr/>
          <w:p>
            <w:pPr>
              <w:pStyle w:val="Compact"/>
              <w:jc w:val="left"/>
            </w:pPr>
            <w:r>
              <w:t xml:space="preserve">Hundreds</w:t>
            </w:r>
          </w:p>
        </w:tc>
        <w:tc>
          <w:tcPr/>
          <w:p>
            <w:pPr>
              <w:pStyle w:val="Compact"/>
              <w:jc w:val="left"/>
            </w:pPr>
            <w:r>
              <w:t xml:space="preserve">Small tools, portability</w:t>
            </w:r>
          </w:p>
        </w:tc>
      </w:tr>
      <w:tr>
        <w:tc>
          <w:tcPr/>
          <w:p>
            <w:pPr>
              <w:pStyle w:val="Compact"/>
              <w:jc w:val="left"/>
            </w:pPr>
            <w:r>
              <w:rPr>
                <w:rStyle w:val="VerbatimChar"/>
              </w:rPr>
              <w:t xml:space="preserve">epoll</w:t>
            </w:r>
            <w:r>
              <w:t xml:space="preserve"> </w:t>
            </w:r>
            <w:r>
              <w:t xml:space="preserve">/</w:t>
            </w:r>
            <w:r>
              <w:t xml:space="preserve"> </w:t>
            </w:r>
            <w:r>
              <w:rPr>
                <w:rStyle w:val="VerbatimChar"/>
              </w:rPr>
              <w:t xml:space="preserve">kqueue</w:t>
            </w:r>
          </w:p>
        </w:tc>
        <w:tc>
          <w:tcPr/>
          <w:p>
            <w:pPr>
              <w:pStyle w:val="Compact"/>
              <w:jc w:val="left"/>
            </w:pPr>
            <w:r>
              <w:t xml:space="preserve">Register once; wait for ready list</w:t>
            </w:r>
          </w:p>
        </w:tc>
        <w:tc>
          <w:tcPr/>
          <w:p>
            <w:pPr>
              <w:pStyle w:val="Compact"/>
              <w:jc w:val="left"/>
            </w:pPr>
            <m:oMath>
              <m:r>
                <m:t>O</m:t>
              </m:r>
              <m:d>
                <m:dPr>
                  <m:begChr m:val="("/>
                  <m:endChr m:val=")"/>
                  <m:sepChr m:val=""/>
                  <m:grow/>
                </m:dPr>
                <m:e>
                  <m:r>
                    <m:rPr>
                      <m:nor/>
                      <m:sty m:val="p"/>
                    </m:rPr>
                    <m:t>ready</m:t>
                  </m:r>
                </m:e>
              </m:d>
            </m:oMath>
            <w:r>
              <w:t xml:space="preserve">; mature</w:t>
            </w:r>
          </w:p>
        </w:tc>
        <w:tc>
          <w:tcPr/>
          <w:p>
            <w:pPr>
              <w:pStyle w:val="Compact"/>
              <w:jc w:val="left"/>
            </w:pPr>
            <w:r>
              <w:t xml:space="preserve">Readiness only; files still block</w:t>
            </w:r>
          </w:p>
        </w:tc>
        <w:tc>
          <w:tcPr/>
          <w:p>
            <w:pPr>
              <w:pStyle w:val="Compact"/>
              <w:jc w:val="left"/>
            </w:pPr>
            <w:r>
              <w:t xml:space="preserve">Millions of sockets</w:t>
            </w:r>
          </w:p>
        </w:tc>
        <w:tc>
          <w:tcPr/>
          <w:p>
            <w:pPr>
              <w:pStyle w:val="Compact"/>
              <w:jc w:val="left"/>
            </w:pPr>
            <w:r>
              <w:t xml:space="preserve">Network servers on Linux/BSD</w:t>
            </w:r>
          </w:p>
        </w:tc>
      </w:tr>
      <w:tr>
        <w:tc>
          <w:tcPr/>
          <w:p>
            <w:pPr>
              <w:pStyle w:val="Compact"/>
              <w:jc w:val="left"/>
            </w:pPr>
            <w:r>
              <w:rPr>
                <w:rStyle w:val="VerbatimChar"/>
              </w:rPr>
              <w:t xml:space="preserve">io_uring</w:t>
            </w:r>
          </w:p>
        </w:tc>
        <w:tc>
          <w:tcPr/>
          <w:p>
            <w:pPr>
              <w:pStyle w:val="Compact"/>
              <w:jc w:val="left"/>
            </w:pPr>
            <w:r>
              <w:t xml:space="preserve">Shared submission/completion rings</w:t>
            </w:r>
          </w:p>
        </w:tc>
        <w:tc>
          <w:tcPr/>
          <w:p>
            <w:pPr>
              <w:pStyle w:val="Compact"/>
              <w:jc w:val="left"/>
            </w:pPr>
            <w:r>
              <w:t xml:space="preserve">Batching; async files and sockets; few syscalls</w:t>
            </w:r>
          </w:p>
        </w:tc>
        <w:tc>
          <w:tcPr/>
          <w:p>
            <w:pPr>
              <w:pStyle w:val="Compact"/>
              <w:jc w:val="left"/>
            </w:pPr>
            <w:r>
              <w:t xml:space="preserve">Newer; security restrictions; complex</w:t>
            </w:r>
          </w:p>
        </w:tc>
        <w:tc>
          <w:tcPr/>
          <w:p>
            <w:pPr>
              <w:pStyle w:val="Compact"/>
              <w:jc w:val="left"/>
            </w:pPr>
            <w:r>
              <w:t xml:space="preserve">Very high IOPS</w:t>
            </w:r>
          </w:p>
        </w:tc>
        <w:tc>
          <w:tcPr/>
          <w:p>
            <w:pPr>
              <w:pStyle w:val="Compact"/>
              <w:jc w:val="left"/>
            </w:pPr>
            <w:r>
              <w:t xml:space="preserve">Storage engines, proxies on modern Linux</w:t>
            </w:r>
          </w:p>
        </w:tc>
      </w:tr>
    </w:tbl>
    <w:bookmarkEnd w:id="660"/>
    <w:bookmarkEnd w:id="661"/>
    <w:bookmarkStart w:id="668" w:name="file-systems-journaling-and-fsync"/>
    <w:p>
      <w:pPr>
        <w:pStyle w:val="Heading2"/>
      </w:pPr>
      <w:r>
        <w:t xml:space="preserve">6.14 File systems, journaling and fsync</w:t>
      </w:r>
    </w:p>
    <w:bookmarkStart w:id="662" w:name="what-a-file-system-does"/>
    <w:p>
      <w:pPr>
        <w:pStyle w:val="Heading3"/>
      </w:pPr>
      <w:r>
        <w:t xml:space="preserve">6.14.1 What a file system does</w:t>
      </w:r>
    </w:p>
    <w:p>
      <w:pPr>
        <w:pStyle w:val="FirstParagraph"/>
      </w:pPr>
      <w:r>
        <w:t xml:space="preserve">A</w:t>
      </w:r>
      <w:r>
        <w:t xml:space="preserve"> </w:t>
      </w:r>
      <w:r>
        <w:rPr>
          <w:bCs/>
          <w:b/>
        </w:rPr>
        <w:t xml:space="preserve">file system</w:t>
      </w:r>
      <w:r>
        <w:t xml:space="preserve"> </w:t>
      </w:r>
      <w:r>
        <w:t xml:space="preserve">turns an array of numbered disk blocks into named, hierarchical files. Each file has an</w:t>
      </w:r>
      <w:r>
        <w:t xml:space="preserve"> </w:t>
      </w:r>
      <w:r>
        <w:rPr>
          <w:bCs/>
          <w:b/>
        </w:rPr>
        <w:t xml:space="preserve">inode</w:t>
      </w:r>
      <w:r>
        <w:t xml:space="preserve"> </w:t>
      </w:r>
      <w:r>
        <w:t xml:space="preserve">holding metadata (size, owner, permissions, timestamps) and the locations of its data blocks; a</w:t>
      </w:r>
      <w:r>
        <w:t xml:space="preserve"> </w:t>
      </w:r>
      <w:r>
        <w:rPr>
          <w:bCs/>
          <w:b/>
        </w:rPr>
        <w:t xml:space="preserve">directory</w:t>
      </w:r>
      <w:r>
        <w:t xml:space="preserve"> </w:t>
      </w:r>
      <w:r>
        <w:t xml:space="preserve">maps names to inode numbers. Creating</w:t>
      </w:r>
      <w:r>
        <w:t xml:space="preserve"> </w:t>
      </w:r>
      <w:r>
        <w:rPr>
          <w:rStyle w:val="VerbatimChar"/>
        </w:rPr>
        <w:t xml:space="preserve">/data/log.txt</w:t>
      </w:r>
      <w:r>
        <w:t xml:space="preserve"> </w:t>
      </w:r>
      <w:r>
        <w:t xml:space="preserve">touches several structures: a new inode, the free-block bitmap, data blocks and the parent directory.</w:t>
      </w:r>
    </w:p>
    <w:bookmarkEnd w:id="662"/>
    <w:bookmarkStart w:id="663" w:name="crash-consistency-and-journaling"/>
    <w:p>
      <w:pPr>
        <w:pStyle w:val="Heading3"/>
      </w:pPr>
      <w:r>
        <w:t xml:space="preserve">6.14.2 Crash consistency and journaling</w:t>
      </w:r>
    </w:p>
    <w:p>
      <w:pPr>
        <w:pStyle w:val="FirstParagraph"/>
      </w:pPr>
      <w:r>
        <w:t xml:space="preserve">A crash midway through those updates can leave a directory entry pointing at an uninitialized inode; older file systems needed a full-disk</w:t>
      </w:r>
      <w:r>
        <w:t xml:space="preserve"> </w:t>
      </w:r>
      <w:r>
        <w:rPr>
          <w:rStyle w:val="VerbatimChar"/>
        </w:rPr>
        <w:t xml:space="preserve">fsck</w:t>
      </w:r>
      <w:r>
        <w:t xml:space="preserve">, taking hours on large disks. A</w:t>
      </w:r>
      <w:r>
        <w:t xml:space="preserve"> </w:t>
      </w:r>
      <w:r>
        <w:rPr>
          <w:bCs/>
          <w:b/>
        </w:rPr>
        <w:t xml:space="preserve">journaling</w:t>
      </w:r>
      <w:r>
        <w:t xml:space="preserve"> </w:t>
      </w:r>
      <w:r>
        <w:t xml:space="preserve">file system uses a</w:t>
      </w:r>
      <w:r>
        <w:t xml:space="preserve"> </w:t>
      </w:r>
      <w:r>
        <w:rPr>
          <w:bCs/>
          <w:b/>
        </w:rPr>
        <w:t xml:space="preserve">write-ahead log</w:t>
      </w:r>
      <w:r>
        <w:t xml:space="preserve"> </w:t>
      </w:r>
      <w:r>
        <w:t xml:space="preserve">(§13.5): record the intended changes in a journal, commit, then apply them in place; after a crash, replay committed entries in seconds. ext4 offers three modes:</w:t>
      </w:r>
      <w:r>
        <w:t xml:space="preserve"> </w:t>
      </w:r>
      <w:r>
        <w:rPr>
          <w:rStyle w:val="VerbatimChar"/>
          <w:bCs/>
          <w:b/>
        </w:rPr>
        <w:t xml:space="preserve">data=journal</w:t>
      </w:r>
      <w:r>
        <w:t xml:space="preserve"> </w:t>
      </w:r>
      <w:r>
        <w:t xml:space="preserve">(data and metadata both journaled: safest, slowest),</w:t>
      </w:r>
      <w:r>
        <w:t xml:space="preserve"> </w:t>
      </w:r>
      <w:r>
        <w:rPr>
          <w:rStyle w:val="VerbatimChar"/>
          <w:bCs/>
          <w:b/>
        </w:rPr>
        <w:t xml:space="preserve">data=ordered</w:t>
      </w:r>
      <w:r>
        <w:t xml:space="preserve"> </w:t>
      </w:r>
      <w:r>
        <w:t xml:space="preserve">(the default: only metadata journaled, but data blocks are written before the metadata that points at them) and</w:t>
      </w:r>
      <w:r>
        <w:t xml:space="preserve"> </w:t>
      </w:r>
      <w:r>
        <w:rPr>
          <w:rStyle w:val="VerbatimChar"/>
          <w:bCs/>
          <w:b/>
        </w:rPr>
        <w:t xml:space="preserve">data=writeback</w:t>
      </w:r>
      <w:r>
        <w:t xml:space="preserve"> </w:t>
      </w:r>
      <w:r>
        <w:t xml:space="preserve">(metadata only, no ordering: a crash can expose stale data). XFS journals metadata.</w:t>
      </w:r>
      <w:r>
        <w:t xml:space="preserve"> </w:t>
      </w:r>
      <w:r>
        <w:rPr>
          <w:bCs/>
          <w:b/>
        </w:rPr>
        <w:t xml:space="preserve">Copy-on-write</w:t>
      </w:r>
      <w:r>
        <w:t xml:space="preserve"> </w:t>
      </w:r>
      <w:r>
        <w:t xml:space="preserve">file systems such as ZFS and Btrfs never overwrite in place: they write new blocks and atomically switch a root pointer.</w:t>
      </w:r>
    </w:p>
    <w:p>
      <w:pPr>
        <w:pStyle w:val="BodyText"/>
      </w:pPr>
      <w:r>
        <w:t xml:space="preserve">Journaling protects the file system’s</w:t>
      </w:r>
      <w:r>
        <w:t xml:space="preserve"> </w:t>
      </w:r>
      <w:r>
        <w:rPr>
          <w:iCs/>
          <w:i/>
        </w:rPr>
        <w:t xml:space="preserve">own</w:t>
      </w:r>
      <w:r>
        <w:t xml:space="preserve"> </w:t>
      </w:r>
      <w:r>
        <w:t xml:space="preserve">structures. It does</w:t>
      </w:r>
      <w:r>
        <w:t xml:space="preserve"> </w:t>
      </w:r>
      <w:r>
        <w:rPr>
          <w:bCs/>
          <w:b/>
        </w:rPr>
        <w:t xml:space="preserve">not</w:t>
      </w:r>
      <w:r>
        <w:t xml:space="preserve"> </w:t>
      </w:r>
      <w:r>
        <w:t xml:space="preserve">make your application’s data durable at any particular moment.</w:t>
      </w:r>
    </w:p>
    <w:bookmarkEnd w:id="663"/>
    <w:bookmarkStart w:id="667" w:name="fsync-and-durability"/>
    <w:p>
      <w:pPr>
        <w:pStyle w:val="Heading3"/>
      </w:pPr>
      <w:r>
        <w:t xml:space="preserve">6.14.3 fsync and durability</w:t>
      </w:r>
    </w:p>
    <w:p>
      <w:pPr>
        <w:pStyle w:val="FirstParagraph"/>
      </w:pPr>
      <w:r>
        <w:rPr>
          <w:bCs/>
          <w:b/>
        </w:rPr>
        <w:t xml:space="preserve">Figure 6.12 — The write path from application to stable storage.</w:t>
      </w:r>
    </w:p>
    <w:p>
      <w:pPr>
        <w:pStyle w:val="BodyText"/>
      </w:pPr>
      <w:r>
        <w:drawing>
          <wp:inline>
            <wp:extent cx="5334000" cy="629586"/>
            <wp:effectExtent b="0" l="0" r="0" t="0"/>
            <wp:docPr descr="" title="" id="665" name="Picture"/>
            <a:graphic>
              <a:graphicData uri="http://schemas.openxmlformats.org/drawingml/2006/picture">
                <pic:pic>
                  <pic:nvPicPr>
                    <pic:cNvPr descr="/home/user/System-Design/build/.cache/diagrams/fdf5045de874.png" id="666" name="Picture"/>
                    <pic:cNvPicPr>
                      <a:picLocks noChangeArrowheads="1" noChangeAspect="1"/>
                    </pic:cNvPicPr>
                  </pic:nvPicPr>
                  <pic:blipFill>
                    <a:blip r:embed="rId664"/>
                    <a:stretch>
                      <a:fillRect/>
                    </a:stretch>
                  </pic:blipFill>
                  <pic:spPr bwMode="auto">
                    <a:xfrm>
                      <a:off x="0" y="0"/>
                      <a:ext cx="5334000" cy="629586"/>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rPr>
          <w:rStyle w:val="VerbatimChar"/>
        </w:rPr>
        <w:t xml:space="preserve">write()</w:t>
      </w:r>
      <w:r>
        <w:t xml:space="preserve"> </w:t>
      </w:r>
      <w:r>
        <w:t xml:space="preserve">copies data into the page cache and returns; nothing is on disk yet. The dotted arrow is asynchronous background writeback (§6.6.6), roughly 30 s later by default.</w:t>
      </w:r>
      <w:r>
        <w:t xml:space="preserve"> </w:t>
      </w:r>
      <w:r>
        <w:rPr>
          <w:rStyle w:val="VerbatimChar"/>
        </w:rPr>
        <w:t xml:space="preserve">fsync(fd)</w:t>
      </w:r>
      <w:r>
        <w:t xml:space="preserve"> </w:t>
      </w:r>
      <w:r>
        <w:t xml:space="preserve">is the synchronous path: it writes the file’s dirty pages and metadata, waits for the device, and issues a</w:t>
      </w:r>
      <w:r>
        <w:t xml:space="preserve"> </w:t>
      </w:r>
      <w:r>
        <w:rPr>
          <w:bCs/>
          <w:b/>
        </w:rPr>
        <w:t xml:space="preserve">cache flush</w:t>
      </w:r>
      <w:r>
        <w:t xml:space="preserve"> </w:t>
      </w:r>
      <w:r>
        <w:t xml:space="preserve">so the drive’s volatile write cache reaches stable media, the storage boundary that matters. Enterprise SSDs with</w:t>
      </w:r>
      <w:r>
        <w:t xml:space="preserve"> </w:t>
      </w:r>
      <w:r>
        <w:rPr>
          <w:bCs/>
          <w:b/>
        </w:rPr>
        <w:t xml:space="preserve">power-loss protection</w:t>
      </w:r>
      <w:r>
        <w:t xml:space="preserve"> </w:t>
      </w:r>
      <w:r>
        <w:t xml:space="preserve">capacitors can treat their cache as stable. Failure points: a crash loses dirty pages, a drive that ignores flushes loses its cache, and a writeback I/O error can lose data silently.</w:t>
      </w:r>
    </w:p>
    <w:p>
      <w:pPr>
        <w:pStyle w:val="BodyText"/>
      </w:pPr>
      <w:r>
        <w:t xml:space="preserve">Durability pitfalls, each of which has caused real data loss:</w:t>
      </w:r>
    </w:p>
    <w:p>
      <w:pPr>
        <w:numPr>
          <w:ilvl w:val="0"/>
          <w:numId w:val="1193"/>
        </w:numPr>
        <w:pStyle w:val="Compact"/>
      </w:pPr>
      <w:r>
        <w:rPr>
          <w:rStyle w:val="VerbatimChar"/>
          <w:bCs/>
          <w:b/>
        </w:rPr>
        <w:t xml:space="preserve">write()</w:t>
      </w:r>
      <w:r>
        <w:rPr>
          <w:bCs/>
          <w:b/>
        </w:rPr>
        <w:t xml:space="preserve"> </w:t>
      </w:r>
      <w:r>
        <w:rPr>
          <w:bCs/>
          <w:b/>
        </w:rPr>
        <w:t xml:space="preserve">is not durable.</w:t>
      </w:r>
      <w:r>
        <w:t xml:space="preserve"> </w:t>
      </w:r>
      <w:r>
        <w:t xml:space="preserve">Without</w:t>
      </w:r>
      <w:r>
        <w:t xml:space="preserve"> </w:t>
      </w:r>
      <w:r>
        <w:rPr>
          <w:rStyle w:val="VerbatimChar"/>
        </w:rPr>
        <w:t xml:space="preserve">fsync</w:t>
      </w:r>
      <w:r>
        <w:t xml:space="preserve"> </w:t>
      </w:r>
      <w:r>
        <w:t xml:space="preserve">(or</w:t>
      </w:r>
      <w:r>
        <w:t xml:space="preserve"> </w:t>
      </w:r>
      <w:r>
        <w:rPr>
          <w:rStyle w:val="VerbatimChar"/>
        </w:rPr>
        <w:t xml:space="preserve">fdatasync</w:t>
      </w:r>
      <w:r>
        <w:t xml:space="preserve">, which skips non-essential metadata), a crash loses acknowledged writes.</w:t>
      </w:r>
    </w:p>
    <w:p>
      <w:pPr>
        <w:numPr>
          <w:ilvl w:val="0"/>
          <w:numId w:val="1193"/>
        </w:numPr>
        <w:pStyle w:val="Compact"/>
      </w:pPr>
      <w:r>
        <w:rPr>
          <w:bCs/>
          <w:b/>
        </w:rPr>
        <w:t xml:space="preserve">The directory needs</w:t>
      </w:r>
      <w:r>
        <w:rPr>
          <w:bCs/>
          <w:b/>
        </w:rPr>
        <w:t xml:space="preserve"> </w:t>
      </w:r>
      <w:r>
        <w:rPr>
          <w:rStyle w:val="VerbatimChar"/>
          <w:bCs/>
          <w:b/>
        </w:rPr>
        <w:t xml:space="preserve">fsync</w:t>
      </w:r>
      <w:r>
        <w:rPr>
          <w:bCs/>
          <w:b/>
        </w:rPr>
        <w:t xml:space="preserve"> </w:t>
      </w:r>
      <w:r>
        <w:rPr>
          <w:bCs/>
          <w:b/>
        </w:rPr>
        <w:t xml:space="preserve">too.</w:t>
      </w:r>
      <w:r>
        <w:t xml:space="preserve"> </w:t>
      </w:r>
      <w:r>
        <w:t xml:space="preserve">Creating or renaming a file changes the</w:t>
      </w:r>
      <w:r>
        <w:t xml:space="preserve"> </w:t>
      </w:r>
      <w:r>
        <w:rPr>
          <w:iCs/>
          <w:i/>
        </w:rPr>
        <w:t xml:space="preserve">directory</w:t>
      </w:r>
      <w:r>
        <w:t xml:space="preserve">, which must also be synced [Linux man-pages: fsync(2); Pillai et al. 2014].</w:t>
      </w:r>
    </w:p>
    <w:p>
      <w:pPr>
        <w:numPr>
          <w:ilvl w:val="0"/>
          <w:numId w:val="1193"/>
        </w:numPr>
        <w:pStyle w:val="Compact"/>
      </w:pPr>
      <w:r>
        <w:rPr>
          <w:bCs/>
          <w:b/>
        </w:rPr>
        <w:t xml:space="preserve">“</w:t>
      </w:r>
      <w:r>
        <w:rPr>
          <w:bCs/>
          <w:b/>
        </w:rPr>
        <w:t xml:space="preserve">Write temp, then rename</w:t>
      </w:r>
      <w:r>
        <w:rPr>
          <w:bCs/>
          <w:b/>
        </w:rPr>
        <w:t xml:space="preserve">”</w:t>
      </w:r>
      <w:r>
        <w:rPr>
          <w:bCs/>
          <w:b/>
        </w:rPr>
        <w:t xml:space="preserve"> </w:t>
      </w:r>
      <w:r>
        <w:rPr>
          <w:bCs/>
          <w:b/>
        </w:rPr>
        <w:t xml:space="preserve">needs</w:t>
      </w:r>
      <w:r>
        <w:rPr>
          <w:bCs/>
          <w:b/>
        </w:rPr>
        <w:t xml:space="preserve"> </w:t>
      </w:r>
      <w:r>
        <w:rPr>
          <w:rStyle w:val="VerbatimChar"/>
          <w:bCs/>
          <w:b/>
        </w:rPr>
        <w:t xml:space="preserve">fsync</w:t>
      </w:r>
      <w:r>
        <w:rPr>
          <w:bCs/>
          <w:b/>
        </w:rPr>
        <w:t xml:space="preserve"> </w:t>
      </w:r>
      <w:r>
        <w:rPr>
          <w:bCs/>
          <w:b/>
        </w:rPr>
        <w:t xml:space="preserve">before the rename</w:t>
      </w:r>
      <w:r>
        <w:t xml:space="preserve">, or a crash can leave the new name pointing at an empty file.</w:t>
      </w:r>
    </w:p>
    <w:p>
      <w:pPr>
        <w:numPr>
          <w:ilvl w:val="0"/>
          <w:numId w:val="1193"/>
        </w:numPr>
        <w:pStyle w:val="Compact"/>
      </w:pPr>
      <w:r>
        <w:rPr>
          <w:rStyle w:val="VerbatimChar"/>
          <w:bCs/>
          <w:b/>
        </w:rPr>
        <w:t xml:space="preserve">fsync</w:t>
      </w:r>
      <w:r>
        <w:rPr>
          <w:bCs/>
          <w:b/>
        </w:rPr>
        <w:t xml:space="preserve"> </w:t>
      </w:r>
      <w:r>
        <w:rPr>
          <w:bCs/>
          <w:b/>
        </w:rPr>
        <w:t xml:space="preserve">errors are not retryable.</w:t>
      </w:r>
      <w:r>
        <w:t xml:space="preserve"> </w:t>
      </w:r>
      <w:r>
        <w:t xml:space="preserve">On Linux a failed writeback may mark pages clean, so a second</w:t>
      </w:r>
      <w:r>
        <w:t xml:space="preserve"> </w:t>
      </w:r>
      <w:r>
        <w:rPr>
          <w:rStyle w:val="VerbatimChar"/>
        </w:rPr>
        <w:t xml:space="preserve">fsync</w:t>
      </w:r>
      <w:r>
        <w:t xml:space="preserve"> </w:t>
      </w:r>
      <w:r>
        <w:t xml:space="preserve">can succeed although the data was lost. After the 2018</w:t>
      </w:r>
      <w:r>
        <w:t xml:space="preserve"> </w:t>
      </w:r>
      <w:r>
        <w:t xml:space="preserve">“</w:t>
      </w:r>
      <w:r>
        <w:t xml:space="preserve">fsyncgate</w:t>
      </w:r>
      <w:r>
        <w:t xml:space="preserve">”</w:t>
      </w:r>
      <w:r>
        <w:t xml:space="preserve"> </w:t>
      </w:r>
      <w:r>
        <w:t xml:space="preserve">investigation, PostgreSQL crashes and recovers from its write-ahead log on any</w:t>
      </w:r>
      <w:r>
        <w:t xml:space="preserve"> </w:t>
      </w:r>
      <w:r>
        <w:rPr>
          <w:rStyle w:val="VerbatimChar"/>
        </w:rPr>
        <w:t xml:space="preserve">fsync</w:t>
      </w:r>
      <w:r>
        <w:t xml:space="preserve"> </w:t>
      </w:r>
      <w:r>
        <w:t xml:space="preserve">failure [PostgreSQL Wiki: Fsync Errors; Rebello et al. 2020].</w:t>
      </w:r>
    </w:p>
    <w:p>
      <w:pPr>
        <w:numPr>
          <w:ilvl w:val="0"/>
          <w:numId w:val="1193"/>
        </w:numPr>
        <w:pStyle w:val="Compact"/>
      </w:pPr>
      <w:r>
        <w:rPr>
          <w:bCs/>
          <w:b/>
        </w:rPr>
        <w:t xml:space="preserve">macOS</w:t>
      </w:r>
      <w:r>
        <w:rPr>
          <w:bCs/>
          <w:b/>
        </w:rPr>
        <w:t xml:space="preserve"> </w:t>
      </w:r>
      <w:r>
        <w:rPr>
          <w:rStyle w:val="VerbatimChar"/>
          <w:bCs/>
          <w:b/>
        </w:rPr>
        <w:t xml:space="preserve">fsync</w:t>
      </w:r>
      <w:r>
        <w:rPr>
          <w:bCs/>
          <w:b/>
        </w:rPr>
        <w:t xml:space="preserve"> </w:t>
      </w:r>
      <w:r>
        <w:rPr>
          <w:bCs/>
          <w:b/>
        </w:rPr>
        <w:t xml:space="preserve">does not flush the drive cache</w:t>
      </w:r>
      <w:r>
        <w:t xml:space="preserve">; use</w:t>
      </w:r>
      <w:r>
        <w:t xml:space="preserve"> </w:t>
      </w:r>
      <w:r>
        <w:rPr>
          <w:rStyle w:val="VerbatimChar"/>
        </w:rPr>
        <w:t xml:space="preserve">fcntl(fd, F_FULLFSYNC)</w:t>
      </w:r>
      <w:r>
        <w:t xml:space="preserve"> </w:t>
      </w:r>
      <w:r>
        <w:t xml:space="preserve">[Apple: fsync(2) man page].</w:t>
      </w:r>
    </w:p>
    <w:p>
      <w:pPr>
        <w:numPr>
          <w:ilvl w:val="0"/>
          <w:numId w:val="1193"/>
        </w:numPr>
        <w:pStyle w:val="Compact"/>
      </w:pPr>
      <w:r>
        <w:rPr>
          <w:rStyle w:val="VerbatimChar"/>
          <w:bCs/>
          <w:b/>
        </w:rPr>
        <w:t xml:space="preserve">O_DIRECT</w:t>
      </w:r>
      <w:r>
        <w:rPr>
          <w:bCs/>
          <w:b/>
        </w:rPr>
        <w:t xml:space="preserve"> </w:t>
      </w:r>
      <w:r>
        <w:rPr>
          <w:bCs/>
          <w:b/>
        </w:rPr>
        <w:t xml:space="preserve">is not</w:t>
      </w:r>
      <w:r>
        <w:rPr>
          <w:bCs/>
          <w:b/>
        </w:rPr>
        <w:t xml:space="preserve"> </w:t>
      </w:r>
      <w:r>
        <w:rPr>
          <w:rStyle w:val="VerbatimChar"/>
          <w:bCs/>
          <w:b/>
        </w:rPr>
        <w:t xml:space="preserve">O_SYNC</w:t>
      </w:r>
      <w:r>
        <w:t xml:space="preserve">: bypassing the page cache does not make writes durable.</w:t>
      </w:r>
    </w:p>
    <w:p>
      <w:pPr>
        <w:numPr>
          <w:ilvl w:val="0"/>
          <w:numId w:val="1193"/>
        </w:numPr>
        <w:pStyle w:val="Compact"/>
      </w:pPr>
      <w:r>
        <w:rPr>
          <w:bCs/>
          <w:b/>
        </w:rPr>
        <w:t xml:space="preserve">Torn writes</w:t>
      </w:r>
      <w:r>
        <w:t xml:space="preserve">: a crash mid-write can leave half-old, half-new sectors; databases detect this with checksums (§13.12).</w:t>
      </w:r>
    </w:p>
    <w:p>
      <w:pPr>
        <w:pStyle w:val="FirstParagraph"/>
      </w:pPr>
      <w:r>
        <w:t xml:space="preserve">The program below replaces a file atomically and durably on POSIX systems:</w:t>
      </w:r>
    </w:p>
    <w:p>
      <w:pPr>
        <w:pStyle w:val="SourceCode"/>
      </w:pPr>
      <w:r>
        <w:rPr>
          <w:rStyle w:val="CommentTok"/>
        </w:rPr>
        <w:t xml:space="preserve">"""Atomically and durably replace a file on a POSIX system (Linux, macOS)."""</w:t>
      </w:r>
      <w:r>
        <w:br/>
      </w:r>
      <w:r>
        <w:rPr>
          <w:rStyle w:val="ImportTok"/>
        </w:rPr>
        <w:t xml:space="preserve">import</w:t>
      </w:r>
      <w:r>
        <w:rPr>
          <w:rStyle w:val="NormalTok"/>
        </w:rPr>
        <w:t xml:space="preserve"> os</w:t>
      </w:r>
      <w:r>
        <w:br/>
      </w:r>
      <w:r>
        <w:br/>
      </w:r>
      <w:r>
        <w:br/>
      </w:r>
      <w:r>
        <w:rPr>
          <w:rStyle w:val="KeywordTok"/>
        </w:rPr>
        <w:t xml:space="preserve">def</w:t>
      </w:r>
      <w:r>
        <w:rPr>
          <w:rStyle w:val="NormalTok"/>
        </w:rPr>
        <w:t xml:space="preserve"> durable_replace(path: </w:t>
      </w:r>
      <w:r>
        <w:rPr>
          <w:rStyle w:val="BuiltInTok"/>
        </w:rPr>
        <w:t xml:space="preserve">str</w:t>
      </w:r>
      <w:r>
        <w:rPr>
          <w:rStyle w:val="NormalTok"/>
        </w:rPr>
        <w:t xml:space="preserve">, data: </w:t>
      </w:r>
      <w:r>
        <w:rPr>
          <w:rStyle w:val="BuiltInTok"/>
        </w:rPr>
        <w:t xml:space="preserve">bytes</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directory </w:t>
      </w:r>
      <w:r>
        <w:rPr>
          <w:rStyle w:val="OperatorTok"/>
        </w:rPr>
        <w:t xml:space="preserve">=</w:t>
      </w:r>
      <w:r>
        <w:rPr>
          <w:rStyle w:val="NormalTok"/>
        </w:rPr>
        <w:t xml:space="preserve"> os.path.dirname(os.path.abspath(path))</w:t>
      </w:r>
      <w:r>
        <w:br/>
      </w:r>
      <w:r>
        <w:rPr>
          <w:rStyle w:val="NormalTok"/>
        </w:rPr>
        <w:t xml:space="preserve">    tmp_path </w:t>
      </w:r>
      <w:r>
        <w:rPr>
          <w:rStyle w:val="OperatorTok"/>
        </w:rPr>
        <w:t xml:space="preserve">=</w:t>
      </w:r>
      <w:r>
        <w:rPr>
          <w:rStyle w:val="NormalTok"/>
        </w:rPr>
        <w:t xml:space="preserve"> path </w:t>
      </w:r>
      <w:r>
        <w:rPr>
          <w:rStyle w:val="OperatorTok"/>
        </w:rPr>
        <w:t xml:space="preserve">+</w:t>
      </w:r>
      <w:r>
        <w:rPr>
          <w:rStyle w:val="NormalTok"/>
        </w:rPr>
        <w:t xml:space="preserve"> </w:t>
      </w:r>
      <w:r>
        <w:rPr>
          <w:rStyle w:val="StringTok"/>
        </w:rPr>
        <w:t xml:space="preserve">".tmp"</w:t>
      </w:r>
      <w:r>
        <w:br/>
      </w:r>
      <w:r>
        <w:br/>
      </w:r>
      <w:r>
        <w:rPr>
          <w:rStyle w:val="NormalTok"/>
        </w:rPr>
        <w:t xml:space="preserve">    fd </w:t>
      </w:r>
      <w:r>
        <w:rPr>
          <w:rStyle w:val="OperatorTok"/>
        </w:rPr>
        <w:t xml:space="preserve">=</w:t>
      </w:r>
      <w:r>
        <w:rPr>
          <w:rStyle w:val="NormalTok"/>
        </w:rPr>
        <w:t xml:space="preserve"> os.</w:t>
      </w:r>
      <w:r>
        <w:rPr>
          <w:rStyle w:val="BuiltInTok"/>
        </w:rPr>
        <w:t xml:space="preserve">open</w:t>
      </w:r>
      <w:r>
        <w:rPr>
          <w:rStyle w:val="NormalTok"/>
        </w:rPr>
        <w:t xml:space="preserve">(tmp_path, os.O_WRONLY </w:t>
      </w:r>
      <w:r>
        <w:rPr>
          <w:rStyle w:val="OperatorTok"/>
        </w:rPr>
        <w:t xml:space="preserve">|</w:t>
      </w:r>
      <w:r>
        <w:rPr>
          <w:rStyle w:val="NormalTok"/>
        </w:rPr>
        <w:t xml:space="preserve"> os.O_CREAT </w:t>
      </w:r>
      <w:r>
        <w:rPr>
          <w:rStyle w:val="OperatorTok"/>
        </w:rPr>
        <w:t xml:space="preserve">|</w:t>
      </w:r>
      <w:r>
        <w:rPr>
          <w:rStyle w:val="NormalTok"/>
        </w:rPr>
        <w:t xml:space="preserve"> os.O_TRUNC, </w:t>
      </w:r>
      <w:r>
        <w:rPr>
          <w:rStyle w:val="BaseNTok"/>
        </w:rPr>
        <w:t xml:space="preserve">0o644</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view </w:t>
      </w:r>
      <w:r>
        <w:rPr>
          <w:rStyle w:val="OperatorTok"/>
        </w:rPr>
        <w:t xml:space="preserve">=</w:t>
      </w:r>
      <w:r>
        <w:rPr>
          <w:rStyle w:val="NormalTok"/>
        </w:rPr>
        <w:t xml:space="preserve"> </w:t>
      </w:r>
      <w:r>
        <w:rPr>
          <w:rStyle w:val="BuiltInTok"/>
        </w:rPr>
        <w:t xml:space="preserve">memoryview</w:t>
      </w:r>
      <w:r>
        <w:rPr>
          <w:rStyle w:val="NormalTok"/>
        </w:rPr>
        <w:t xml:space="preserve">(data)</w:t>
      </w:r>
      <w:r>
        <w:br/>
      </w:r>
      <w:r>
        <w:rPr>
          <w:rStyle w:val="NormalTok"/>
        </w:rPr>
        <w:t xml:space="preserve">        </w:t>
      </w:r>
      <w:r>
        <w:rPr>
          <w:rStyle w:val="ControlFlowTok"/>
        </w:rPr>
        <w:t xml:space="preserve">while</w:t>
      </w:r>
      <w:r>
        <w:rPr>
          <w:rStyle w:val="NormalTok"/>
        </w:rPr>
        <w:t xml:space="preserve"> view:                          </w:t>
      </w:r>
      <w:r>
        <w:rPr>
          <w:rStyle w:val="CommentTok"/>
        </w:rPr>
        <w:t xml:space="preserve"># write() may write fewer bytes than asked</w:t>
      </w:r>
      <w:r>
        <w:br/>
      </w:r>
      <w:r>
        <w:rPr>
          <w:rStyle w:val="NormalTok"/>
        </w:rPr>
        <w:t xml:space="preserve">            written </w:t>
      </w:r>
      <w:r>
        <w:rPr>
          <w:rStyle w:val="OperatorTok"/>
        </w:rPr>
        <w:t xml:space="preserve">=</w:t>
      </w:r>
      <w:r>
        <w:rPr>
          <w:rStyle w:val="NormalTok"/>
        </w:rPr>
        <w:t xml:space="preserve"> os.write(fd, view)</w:t>
      </w:r>
      <w:r>
        <w:br/>
      </w:r>
      <w:r>
        <w:rPr>
          <w:rStyle w:val="NormalTok"/>
        </w:rPr>
        <w:t xml:space="preserve">            view </w:t>
      </w:r>
      <w:r>
        <w:rPr>
          <w:rStyle w:val="OperatorTok"/>
        </w:rPr>
        <w:t xml:space="preserve">=</w:t>
      </w:r>
      <w:r>
        <w:rPr>
          <w:rStyle w:val="NormalTok"/>
        </w:rPr>
        <w:t xml:space="preserve"> view[written:]</w:t>
      </w:r>
      <w:r>
        <w:br/>
      </w:r>
      <w:r>
        <w:rPr>
          <w:rStyle w:val="NormalTok"/>
        </w:rPr>
        <w:t xml:space="preserve">        os.fsync(fd)                         </w:t>
      </w:r>
      <w:r>
        <w:rPr>
          <w:rStyle w:val="CommentTok"/>
        </w:rPr>
        <w:t xml:space="preserve"># 1. file contents reach stable storage</w:t>
      </w:r>
      <w:r>
        <w:br/>
      </w:r>
      <w:r>
        <w:rPr>
          <w:rStyle w:val="NormalTok"/>
        </w:rPr>
        <w:t xml:space="preserve">    </w:t>
      </w:r>
      <w:r>
        <w:rPr>
          <w:rStyle w:val="ControlFlowTok"/>
        </w:rPr>
        <w:t xml:space="preserve">finally</w:t>
      </w:r>
      <w:r>
        <w:rPr>
          <w:rStyle w:val="NormalTok"/>
        </w:rPr>
        <w:t xml:space="preserve">:</w:t>
      </w:r>
      <w:r>
        <w:br/>
      </w:r>
      <w:r>
        <w:rPr>
          <w:rStyle w:val="NormalTok"/>
        </w:rPr>
        <w:t xml:space="preserve">        os.close(fd)</w:t>
      </w:r>
      <w:r>
        <w:br/>
      </w:r>
      <w:r>
        <w:br/>
      </w:r>
      <w:r>
        <w:rPr>
          <w:rStyle w:val="NormalTok"/>
        </w:rPr>
        <w:t xml:space="preserve">    os.replace(tmp_path, path)               </w:t>
      </w:r>
      <w:r>
        <w:rPr>
          <w:rStyle w:val="CommentTok"/>
        </w:rPr>
        <w:t xml:space="preserve"># 2. atomic rename over the old file</w:t>
      </w:r>
      <w:r>
        <w:br/>
      </w:r>
      <w:r>
        <w:br/>
      </w:r>
      <w:r>
        <w:rPr>
          <w:rStyle w:val="NormalTok"/>
        </w:rPr>
        <w:t xml:space="preserve">    dir_fd </w:t>
      </w:r>
      <w:r>
        <w:rPr>
          <w:rStyle w:val="OperatorTok"/>
        </w:rPr>
        <w:t xml:space="preserve">=</w:t>
      </w:r>
      <w:r>
        <w:rPr>
          <w:rStyle w:val="NormalTok"/>
        </w:rPr>
        <w:t xml:space="preserve"> os.</w:t>
      </w:r>
      <w:r>
        <w:rPr>
          <w:rStyle w:val="BuiltInTok"/>
        </w:rPr>
        <w:t xml:space="preserve">open</w:t>
      </w:r>
      <w:r>
        <w:rPr>
          <w:rStyle w:val="NormalTok"/>
        </w:rPr>
        <w:t xml:space="preserve">(directory, os.O_RDONLY)</w:t>
      </w:r>
      <w:r>
        <w:br/>
      </w:r>
      <w:r>
        <w:rPr>
          <w:rStyle w:val="NormalTok"/>
        </w:rPr>
        <w:t xml:space="preserve">    </w:t>
      </w:r>
      <w:r>
        <w:rPr>
          <w:rStyle w:val="ControlFlowTok"/>
        </w:rPr>
        <w:t xml:space="preserve">try</w:t>
      </w:r>
      <w:r>
        <w:rPr>
          <w:rStyle w:val="NormalTok"/>
        </w:rPr>
        <w:t xml:space="preserve">:</w:t>
      </w:r>
      <w:r>
        <w:br/>
      </w:r>
      <w:r>
        <w:rPr>
          <w:rStyle w:val="NormalTok"/>
        </w:rPr>
        <w:t xml:space="preserve">        os.fsync(dir_fd)                     </w:t>
      </w:r>
      <w:r>
        <w:rPr>
          <w:rStyle w:val="CommentTok"/>
        </w:rPr>
        <w:t xml:space="preserve"># 3. the rename itself (a directory entry) is durable</w:t>
      </w:r>
      <w:r>
        <w:br/>
      </w:r>
      <w:r>
        <w:rPr>
          <w:rStyle w:val="NormalTok"/>
        </w:rPr>
        <w:t xml:space="preserve">    </w:t>
      </w:r>
      <w:r>
        <w:rPr>
          <w:rStyle w:val="ControlFlowTok"/>
        </w:rPr>
        <w:t xml:space="preserve">finally</w:t>
      </w:r>
      <w:r>
        <w:rPr>
          <w:rStyle w:val="NormalTok"/>
        </w:rPr>
        <w:t xml:space="preserve">:</w:t>
      </w:r>
      <w:r>
        <w:br/>
      </w:r>
      <w:r>
        <w:rPr>
          <w:rStyle w:val="NormalTok"/>
        </w:rPr>
        <w:t xml:space="preserve">        os.close(dir_fd)</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durable_replace(</w:t>
      </w:r>
      <w:r>
        <w:rPr>
          <w:rStyle w:val="StringTok"/>
        </w:rPr>
        <w:t xml:space="preserve">"config.json"</w:t>
      </w:r>
      <w:r>
        <w:rPr>
          <w:rStyle w:val="NormalTok"/>
        </w:rPr>
        <w:t xml:space="preserve">, </w:t>
      </w:r>
      <w:r>
        <w:rPr>
          <w:rStyle w:val="StringTok"/>
        </w:rPr>
        <w:t xml:space="preserve">b'{"version": 2}</w:t>
      </w:r>
      <w:r>
        <w:rPr>
          <w:rStyle w:val="CharTok"/>
        </w:rPr>
        <w:t xml:space="preserve">\n</w:t>
      </w:r>
      <w:r>
        <w:rPr>
          <w:rStyle w:val="StringTok"/>
        </w:rPr>
        <w:t xml:space="preserve">'</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"config.json"</w:t>
      </w:r>
      <w:r>
        <w:rPr>
          <w:rStyle w:val="NormalTok"/>
        </w:rPr>
        <w:t xml:space="preserve">, </w:t>
      </w:r>
      <w:r>
        <w:rPr>
          <w:rStyle w:val="StringTok"/>
        </w:rPr>
        <w:t xml:space="preserve">"rb"</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BuiltInTok"/>
        </w:rPr>
        <w:t xml:space="preserve">print</w:t>
      </w:r>
      <w:r>
        <w:rPr>
          <w:rStyle w:val="NormalTok"/>
        </w:rPr>
        <w:t xml:space="preserve">(f.read())</w:t>
      </w:r>
    </w:p>
    <w:p>
      <w:pPr>
        <w:pStyle w:val="FirstParagraph"/>
      </w:pPr>
      <w:r>
        <w:t xml:space="preserve">What to notice:</w:t>
      </w:r>
    </w:p>
    <w:p>
      <w:pPr>
        <w:numPr>
          <w:ilvl w:val="0"/>
          <w:numId w:val="1194"/>
        </w:numPr>
        <w:pStyle w:val="Compact"/>
      </w:pPr>
      <w:r>
        <w:t xml:space="preserve">Readers see the complete old or complete new file, never a mixture:</w:t>
      </w:r>
      <w:r>
        <w:t xml:space="preserve"> </w:t>
      </w:r>
      <w:r>
        <w:rPr>
          <w:rStyle w:val="VerbatimChar"/>
        </w:rPr>
        <w:t xml:space="preserve">os.replace</w:t>
      </w:r>
      <w:r>
        <w:t xml:space="preserve"> </w:t>
      </w:r>
      <w:r>
        <w:t xml:space="preserve">is an atomic rename within one file system.</w:t>
      </w:r>
    </w:p>
    <w:p>
      <w:pPr>
        <w:numPr>
          <w:ilvl w:val="0"/>
          <w:numId w:val="1194"/>
        </w:numPr>
        <w:pStyle w:val="Compact"/>
      </w:pPr>
      <w:r>
        <w:t xml:space="preserve">Skipping step 1 risks an empty file under the new name; skipping step 3 risks the old file reappearing after a crash.</w:t>
      </w:r>
    </w:p>
    <w:p>
      <w:pPr>
        <w:numPr>
          <w:ilvl w:val="0"/>
          <w:numId w:val="1194"/>
        </w:numPr>
        <w:pStyle w:val="Compact"/>
      </w:pPr>
      <w:r>
        <w:t xml:space="preserve">If</w:t>
      </w:r>
      <w:r>
        <w:t xml:space="preserve"> </w:t>
      </w:r>
      <w:r>
        <w:rPr>
          <w:rStyle w:val="VerbatimChar"/>
        </w:rPr>
        <w:t xml:space="preserve">os.fsync</w:t>
      </w:r>
      <w:r>
        <w:t xml:space="preserve"> </w:t>
      </w:r>
      <w:r>
        <w:t xml:space="preserve">raises, the function propagates the exception rather than retrying (pitfall 4). On macOS, add</w:t>
      </w:r>
      <w:r>
        <w:t xml:space="preserve"> </w:t>
      </w:r>
      <w:r>
        <w:rPr>
          <w:rStyle w:val="VerbatimChar"/>
        </w:rPr>
        <w:t xml:space="preserve">fcntl.fcntl(fd, fcntl.F_FULLFSYNC)</w:t>
      </w:r>
      <w:r>
        <w:t xml:space="preserve"> </w:t>
      </w:r>
      <w:r>
        <w:t xml:space="preserve">for power-loss durability.</w:t>
      </w:r>
    </w:p>
    <w:p>
      <w:pPr>
        <w:pStyle w:val="CalloutFormula"/>
      </w:pPr>
      <w:r>
        <w:rPr>
          <w:bCs/>
          <w:b/>
        </w:rPr>
        <w:t xml:space="preserve">FORMULA</w:t>
      </w:r>
    </w:p>
    <w:p>
      <w:pPr>
        <w:pStyle w:val="CalloutFormula"/>
      </w:pPr>
      <w:r>
        <w:rPr>
          <w:bCs/>
          <w:b/>
        </w:rPr>
        <w:t xml:space="preserve">Group-commit throughput</w:t>
      </w:r>
    </w:p>
    <w:p>
      <w:pPr>
        <w:pStyle w:val="CalloutFormula"/>
      </w:pPr>
      <m:oMathPara>
        <m:oMathParaPr>
          <m:jc m:val="center"/>
        </m:oMathParaPr>
        <m:oMath>
          <m:r>
            <m:t>X</m:t>
          </m:r>
          <m:r>
            <m:rPr>
              <m:sty m:val="p"/>
            </m:rPr>
            <m:t>=</m:t>
          </m:r>
          <m:f>
            <m:fPr>
              <m:type m:val="bar"/>
            </m:fPr>
            <m:num>
              <m:r>
                <m:t>B</m:t>
              </m:r>
            </m:num>
            <m:den>
              <m:sSub>
                <m:e>
                  <m:r>
                    <m:t>t</m:t>
                  </m:r>
                </m:e>
                <m:sub>
                  <m:r>
                    <m:rPr>
                      <m:nor/>
                      <m:sty m:val="p"/>
                    </m:rPr>
                    <m:t>fsync</m:t>
                  </m:r>
                </m:sub>
              </m:sSub>
            </m:den>
          </m:f>
        </m:oMath>
      </m:oMathPara>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X</m:t>
              </m:r>
            </m:oMath>
          </w:p>
        </w:tc>
        <w:tc>
          <w:tcPr/>
          <w:p>
            <w:pPr>
              <w:pStyle w:val="Compact"/>
              <w:jc w:val="left"/>
            </w:pPr>
            <w:r>
              <w:t xml:space="preserve">Maximum durable commits per second on one log</w:t>
            </w:r>
          </w:p>
        </w:tc>
        <w:tc>
          <w:tcPr/>
          <w:p>
            <w:pPr>
              <w:pStyle w:val="Compact"/>
              <w:jc w:val="left"/>
            </w:pPr>
            <w:r>
              <w:t xml:space="preserve">commits/s</w:t>
            </w:r>
          </w:p>
        </w:tc>
      </w:tr>
      <w:tr>
        <w:tc>
          <w:tcPr/>
          <w:p>
            <w:pPr>
              <w:pStyle w:val="Compact"/>
              <w:jc w:val="left"/>
            </w:pPr>
            <m:oMath>
              <m:r>
                <m:t>B</m:t>
              </m:r>
            </m:oMath>
          </w:p>
        </w:tc>
        <w:tc>
          <w:tcPr/>
          <w:p>
            <w:pPr>
              <w:pStyle w:val="Compact"/>
              <w:jc w:val="left"/>
            </w:pPr>
            <w:r>
              <w:t xml:space="preserve">Commits made durable by one</w:t>
            </w:r>
            <w:r>
              <w:t xml:space="preserve"> </w:t>
            </w:r>
            <w:r>
              <w:rPr>
                <w:rStyle w:val="VerbatimChar"/>
              </w:rPr>
              <w:t xml:space="preserve">fsync</w:t>
            </w:r>
            <w:r>
              <w:t xml:space="preserve"> </w:t>
            </w:r>
            <w:r>
              <w:t xml:space="preserve">(batch size)</w:t>
            </w:r>
          </w:p>
        </w:tc>
        <w:tc>
          <w:tcPr/>
          <w:p>
            <w:pPr>
              <w:pStyle w:val="Compact"/>
              <w:jc w:val="left"/>
            </w:pPr>
            <w:r>
              <w:t xml:space="preserve">commits</w:t>
            </w:r>
          </w:p>
        </w:tc>
      </w:tr>
      <w:tr>
        <w:tc>
          <w:tcPr/>
          <w:p>
            <w:pPr>
              <w:pStyle w:val="Compact"/>
              <w:jc w:val="left"/>
            </w:pPr>
            <m:oMath>
              <m:sSub>
                <m:e>
                  <m:r>
                    <m:t>t</m:t>
                  </m:r>
                </m:e>
                <m:sub>
                  <m:r>
                    <m:rPr>
                      <m:nor/>
                      <m:sty m:val="p"/>
                    </m:rPr>
                    <m:t>fsync</m:t>
                  </m:r>
                </m:sub>
              </m:sSub>
            </m:oMath>
          </w:p>
        </w:tc>
        <w:tc>
          <w:tcPr/>
          <w:p>
            <w:pPr>
              <w:pStyle w:val="Compact"/>
              <w:jc w:val="left"/>
            </w:pPr>
            <w:r>
              <w:t xml:space="preserve">Latency of one</w:t>
            </w:r>
            <w:r>
              <w:t xml:space="preserve"> </w:t>
            </w:r>
            <w:r>
              <w:rPr>
                <w:rStyle w:val="VerbatimChar"/>
              </w:rPr>
              <w:t xml:space="preserve">fsync</w:t>
            </w:r>
          </w:p>
        </w:tc>
        <w:tc>
          <w:tcPr/>
          <w:p>
            <w:pPr>
              <w:pStyle w:val="Compact"/>
              <w:jc w:val="left"/>
            </w:pPr>
            <w:r>
              <w:t xml:space="preserve">s</w:t>
            </w:r>
          </w:p>
        </w:tc>
      </w:tr>
    </w:tbl>
    <w:p>
      <w:pPr>
        <w:pStyle w:val="CalloutExample"/>
      </w:pPr>
      <w:r>
        <w:rPr>
          <w:bCs/>
          <w:b/>
        </w:rPr>
        <w:t xml:space="preserve">WORKED EXAMPLE</w:t>
      </w:r>
    </w:p>
    <w:p>
      <w:pPr>
        <w:pStyle w:val="CalloutExample"/>
      </w:pPr>
      <w:r>
        <w:rPr>
          <w:bCs/>
          <w:b/>
        </w:rPr>
        <w:t xml:space="preserve">Worked example — Why databases batch fsyncs.</w:t>
      </w:r>
      <w:r>
        <w:t xml:space="preserve"> </w:t>
      </w:r>
      <w:r>
        <w:t xml:space="preserve">An SSD without power-loss protection takes</w:t>
      </w:r>
      <w:r>
        <w:t xml:space="preserve"> </w:t>
      </w:r>
      <m:oMath>
        <m:sSub>
          <m:e>
            <m:r>
              <m:t>t</m:t>
            </m:r>
          </m:e>
          <m:sub>
            <m:r>
              <m:rPr>
                <m:nor/>
                <m:sty m:val="p"/>
              </m:rPr>
              <m:t>fsync</m:t>
            </m:r>
          </m:sub>
        </m:sSub>
        <m:r>
          <m:rPr>
            <m:sty m:val="p"/>
          </m:rPr>
          <m:t>=</m:t>
        </m:r>
        <m:r>
          <m:t>2</m:t>
        </m:r>
      </m:oMath>
      <w:r>
        <w:t xml:space="preserve"> </w:t>
      </w:r>
      <w:r>
        <w:t xml:space="preserve">ms (0.002 s) per</w:t>
      </w:r>
      <w:r>
        <w:t xml:space="preserve"> </w:t>
      </w:r>
      <w:r>
        <w:rPr>
          <w:rStyle w:val="VerbatimChar"/>
        </w:rPr>
        <w:t xml:space="preserve">fsync</w:t>
      </w:r>
      <w:r>
        <w:t xml:space="preserve">.</w:t>
      </w:r>
      <w:r>
        <w:t xml:space="preserve"> </w:t>
      </w:r>
      <w:r>
        <w:t xml:space="preserve">One commit per</w:t>
      </w:r>
      <w:r>
        <w:t xml:space="preserve"> </w:t>
      </w:r>
      <w:r>
        <w:rPr>
          <w:rStyle w:val="VerbatimChar"/>
        </w:rPr>
        <w:t xml:space="preserve">fsync</w:t>
      </w:r>
      <w:r>
        <w:t xml:space="preserve">:</w:t>
      </w:r>
      <w:r>
        <w:t xml:space="preserve"> </w:t>
      </w:r>
      <m:oMath>
        <m:r>
          <m:t>X</m:t>
        </m:r>
        <m:r>
          <m:rPr>
            <m:sty m:val="p"/>
          </m:rPr>
          <m:t>=</m:t>
        </m:r>
        <m:r>
          <m:t>1</m:t>
        </m:r>
        <m:r>
          <m:rPr>
            <m:sty m:val="p"/>
          </m:rPr>
          <m:t>/</m:t>
        </m:r>
        <m:r>
          <m:t>0.002</m:t>
        </m:r>
        <m:r>
          <m:rPr>
            <m:sty m:val="p"/>
          </m:rPr>
          <m:t>=</m:t>
        </m:r>
      </m:oMath>
      <w:r>
        <w:t xml:space="preserve"> </w:t>
      </w:r>
      <w:r>
        <w:rPr>
          <w:bCs/>
          <w:b/>
        </w:rPr>
        <w:t xml:space="preserve">500 commits/s</w:t>
      </w:r>
      <w:r>
        <w:t xml:space="preserve">, no matter how fast the CPU is.</w:t>
      </w:r>
      <w:r>
        <w:t xml:space="preserve"> </w:t>
      </w:r>
      <w:r>
        <w:rPr>
          <w:bCs/>
          <w:b/>
        </w:rPr>
        <w:t xml:space="preserve">Group commit</w:t>
      </w:r>
      <w:r>
        <w:t xml:space="preserve"> </w:t>
      </w:r>
      <w:r>
        <w:t xml:space="preserve">waits briefly to collect concurrent commits into one</w:t>
      </w:r>
      <w:r>
        <w:t xml:space="preserve"> </w:t>
      </w:r>
      <w:r>
        <w:rPr>
          <w:rStyle w:val="VerbatimChar"/>
        </w:rPr>
        <w:t xml:space="preserve">fsync</w:t>
      </w:r>
      <w:r>
        <w:t xml:space="preserve">. With</w:t>
      </w:r>
      <w:r>
        <w:t xml:space="preserve"> </w:t>
      </w:r>
      <m:oMath>
        <m:r>
          <m:t>B</m:t>
        </m:r>
        <m:r>
          <m:rPr>
            <m:sty m:val="p"/>
          </m:rPr>
          <m:t>=</m:t>
        </m:r>
        <m:r>
          <m:t>50</m:t>
        </m:r>
      </m:oMath>
      <w:r>
        <w:t xml:space="preserve">:</w:t>
      </w:r>
      <w:r>
        <w:t xml:space="preserve"> </w:t>
      </w:r>
      <m:oMath>
        <m:r>
          <m:t>X</m:t>
        </m:r>
        <m:r>
          <m:rPr>
            <m:sty m:val="p"/>
          </m:rPr>
          <m:t>=</m:t>
        </m:r>
        <m:r>
          <m:t>50</m:t>
        </m:r>
        <m:r>
          <m:rPr>
            <m:sty m:val="p"/>
          </m:rPr>
          <m:t>/</m:t>
        </m:r>
        <m:r>
          <m:t>0.002</m:t>
        </m:r>
        <m:r>
          <m:rPr>
            <m:sty m:val="p"/>
          </m:rPr>
          <m:t>=</m:t>
        </m:r>
      </m:oMath>
      <w:r>
        <w:t xml:space="preserve"> </w:t>
      </w:r>
      <w:r>
        <w:rPr>
          <w:bCs/>
          <w:b/>
        </w:rPr>
        <w:t xml:space="preserve">25,000 commits/s</w:t>
      </w:r>
      <w:r>
        <w:t xml:space="preserve">, at the price of up to a couple of milliseconds of extra latency per commit.</w:t>
      </w:r>
      <w:r>
        <w:t xml:space="preserve"> </w:t>
      </w:r>
      <w:r>
        <w:rPr>
          <w:bCs/>
          <w:b/>
        </w:rPr>
        <w:t xml:space="preserve">Interpretation.</w:t>
      </w:r>
      <w:r>
        <w:t xml:space="preserve"> </w:t>
      </w:r>
      <w:r>
        <w:t xml:space="preserve">Durable write throughput is set by fsync latency, not bandwidth.</w:t>
      </w:r>
      <w:r>
        <w:t xml:space="preserve"> </w:t>
      </w:r>
      <w:r>
        <w:rPr>
          <w:bCs/>
          <w:b/>
        </w:rPr>
        <w:t xml:space="preserve">Engineering implication:</w:t>
      </w:r>
      <w:r>
        <w:t xml:space="preserve"> </w:t>
      </w:r>
      <w:r>
        <w:t xml:space="preserve">databases batch commits into one log flush, and drives with power-loss protection raise the ceiling further. When a vendor quotes</w:t>
      </w:r>
      <w:r>
        <w:t xml:space="preserve"> </w:t>
      </w:r>
      <w:r>
        <w:t xml:space="preserve">“</w:t>
      </w:r>
      <w:r>
        <w:t xml:space="preserve">100,000 writes per second</w:t>
      </w:r>
      <w:r>
        <w:t xml:space="preserve">”</w:t>
      </w:r>
      <w:r>
        <w:t xml:space="preserve">, ask how many</w:t>
      </w:r>
      <w:r>
        <w:t xml:space="preserve"> </w:t>
      </w:r>
      <w:r>
        <w:rPr>
          <w:rStyle w:val="VerbatimChar"/>
        </w:rPr>
        <w:t xml:space="preserve">fsync</w:t>
      </w:r>
      <w:r>
        <w:t xml:space="preserve">s that included.</w:t>
      </w:r>
    </w:p>
    <w:p>
      <w:pPr>
        <w:pStyle w:val="BodyText"/>
      </w:pPr>
      <w:r>
        <w:rPr>
          <w:bCs/>
          <w:b/>
        </w:rPr>
        <w:t xml:space="preserve">Table 6.7 — Durability options for a write.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Option</w:t>
            </w:r>
          </w:p>
        </w:tc>
        <w:tc>
          <w:tcPr/>
          <w:p>
            <w:pPr>
              <w:pStyle w:val="Compact"/>
              <w:jc w:val="left"/>
            </w:pPr>
            <w:r>
              <w:t xml:space="preserve">What is guaranteed at return</w:t>
            </w:r>
          </w:p>
        </w:tc>
        <w:tc>
          <w:tcPr/>
          <w:p>
            <w:pPr>
              <w:pStyle w:val="Compact"/>
              <w:jc w:val="left"/>
            </w:pPr>
            <w:r>
              <w:t xml:space="preserve">Relative cost</w:t>
            </w:r>
          </w:p>
        </w:tc>
        <w:tc>
          <w:tcPr/>
          <w:p>
            <w:pPr>
              <w:pStyle w:val="Compact"/>
              <w:jc w:val="left"/>
            </w:pPr>
            <w:r>
              <w:t xml:space="preserve">Choose when</w:t>
            </w:r>
          </w:p>
        </w:tc>
      </w:tr>
      <w:tr>
        <w:tc>
          <w:tcPr/>
          <w:p>
            <w:pPr>
              <w:pStyle w:val="Compact"/>
              <w:jc w:val="left"/>
            </w:pPr>
            <w:r>
              <w:rPr>
                <w:rStyle w:val="VerbatimChar"/>
              </w:rPr>
              <w:t xml:space="preserve">write()</w:t>
            </w:r>
            <w:r>
              <w:t xml:space="preserve"> </w:t>
            </w:r>
            <w:r>
              <w:t xml:space="preserve">only</w:t>
            </w:r>
          </w:p>
        </w:tc>
        <w:tc>
          <w:tcPr/>
          <w:p>
            <w:pPr>
              <w:pStyle w:val="Compact"/>
              <w:jc w:val="left"/>
            </w:pPr>
            <w:r>
              <w:t xml:space="preserve">Data in page cache; lost on power failure or kernel crash</w:t>
            </w:r>
          </w:p>
        </w:tc>
        <w:tc>
          <w:tcPr/>
          <w:p>
            <w:pPr>
              <w:pStyle w:val="Compact"/>
              <w:jc w:val="left"/>
            </w:pPr>
            <w:r>
              <w:t xml:space="preserve">Lowest</w:t>
            </w:r>
          </w:p>
        </w:tc>
        <w:tc>
          <w:tcPr/>
          <w:p>
            <w:pPr>
              <w:pStyle w:val="Compact"/>
              <w:jc w:val="left"/>
            </w:pPr>
            <w:r>
              <w:t xml:space="preserve">Caches, temporary data, data you can regenerate</w:t>
            </w:r>
          </w:p>
        </w:tc>
      </w:tr>
      <w:tr>
        <w:tc>
          <w:tcPr/>
          <w:p>
            <w:pPr>
              <w:pStyle w:val="Compact"/>
              <w:jc w:val="left"/>
            </w:pPr>
            <w:r>
              <w:rPr>
                <w:rStyle w:val="VerbatimChar"/>
              </w:rPr>
              <w:t xml:space="preserve">write()</w:t>
            </w:r>
            <w:r>
              <w:t xml:space="preserve"> </w:t>
            </w:r>
            <w:r>
              <w:t xml:space="preserve">+</w:t>
            </w:r>
            <w:r>
              <w:t xml:space="preserve"> </w:t>
            </w:r>
            <w:r>
              <w:rPr>
                <w:rStyle w:val="VerbatimChar"/>
              </w:rPr>
              <w:t xml:space="preserve">fdatasync()</w:t>
            </w:r>
          </w:p>
        </w:tc>
        <w:tc>
          <w:tcPr/>
          <w:p>
            <w:pPr>
              <w:pStyle w:val="Compact"/>
              <w:jc w:val="left"/>
            </w:pPr>
            <w:r>
              <w:t xml:space="preserve">Data and size metadata on stable storage</w:t>
            </w:r>
          </w:p>
        </w:tc>
        <w:tc>
          <w:tcPr/>
          <w:p>
            <w:pPr>
              <w:pStyle w:val="Compact"/>
              <w:jc w:val="left"/>
            </w:pPr>
            <w:r>
              <w:t xml:space="preserve">High (one device flush)</w:t>
            </w:r>
          </w:p>
        </w:tc>
        <w:tc>
          <w:tcPr/>
          <w:p>
            <w:pPr>
              <w:pStyle w:val="Compact"/>
              <w:jc w:val="left"/>
            </w:pPr>
            <w:r>
              <w:t xml:space="preserve">Write-ahead logs and append-only files</w:t>
            </w:r>
          </w:p>
        </w:tc>
      </w:tr>
      <w:tr>
        <w:tc>
          <w:tcPr/>
          <w:p>
            <w:pPr>
              <w:pStyle w:val="Compact"/>
              <w:jc w:val="left"/>
            </w:pPr>
            <w:r>
              <w:rPr>
                <w:rStyle w:val="VerbatimChar"/>
              </w:rPr>
              <w:t xml:space="preserve">write()</w:t>
            </w:r>
            <w:r>
              <w:t xml:space="preserve"> </w:t>
            </w:r>
            <w:r>
              <w:t xml:space="preserve">+</w:t>
            </w:r>
            <w:r>
              <w:t xml:space="preserve"> </w:t>
            </w:r>
            <w:r>
              <w:rPr>
                <w:rStyle w:val="VerbatimChar"/>
              </w:rPr>
              <w:t xml:space="preserve">fsync()</w:t>
            </w:r>
          </w:p>
        </w:tc>
        <w:tc>
          <w:tcPr/>
          <w:p>
            <w:pPr>
              <w:pStyle w:val="Compact"/>
              <w:jc w:val="left"/>
            </w:pPr>
            <w:r>
              <w:t xml:space="preserve">Data and all metadata on stable storage</w:t>
            </w:r>
          </w:p>
        </w:tc>
        <w:tc>
          <w:tcPr/>
          <w:p>
            <w:pPr>
              <w:pStyle w:val="Compact"/>
              <w:jc w:val="left"/>
            </w:pPr>
            <w:r>
              <w:t xml:space="preserve">High</w:t>
            </w:r>
          </w:p>
        </w:tc>
        <w:tc>
          <w:tcPr/>
          <w:p>
            <w:pPr>
              <w:pStyle w:val="Compact"/>
              <w:jc w:val="left"/>
            </w:pPr>
            <w:r>
              <w:t xml:space="preserve">General durable files</w:t>
            </w:r>
          </w:p>
        </w:tc>
      </w:tr>
      <w:tr>
        <w:tc>
          <w:tcPr/>
          <w:p>
            <w:pPr>
              <w:pStyle w:val="Compact"/>
              <w:jc w:val="left"/>
            </w:pPr>
            <w:r>
              <w:t xml:space="preserve">+</w:t>
            </w:r>
            <w:r>
              <w:t xml:space="preserve"> </w:t>
            </w:r>
            <w:r>
              <w:rPr>
                <w:rStyle w:val="VerbatimChar"/>
              </w:rPr>
              <w:t xml:space="preserve">fsync()</w:t>
            </w:r>
            <w:r>
              <w:t xml:space="preserve"> </w:t>
            </w:r>
            <w:r>
              <w:t xml:space="preserve">on directory</w:t>
            </w:r>
          </w:p>
        </w:tc>
        <w:tc>
          <w:tcPr/>
          <w:p>
            <w:pPr>
              <w:pStyle w:val="Compact"/>
              <w:jc w:val="left"/>
            </w:pPr>
            <w:r>
              <w:t xml:space="preserve">The file’s name and existence are durable</w:t>
            </w:r>
          </w:p>
        </w:tc>
        <w:tc>
          <w:tcPr/>
          <w:p>
            <w:pPr>
              <w:pStyle w:val="Compact"/>
              <w:jc w:val="left"/>
            </w:pPr>
            <w:r>
              <w:t xml:space="preserve">Additional flush</w:t>
            </w:r>
          </w:p>
        </w:tc>
        <w:tc>
          <w:tcPr/>
          <w:p>
            <w:pPr>
              <w:pStyle w:val="Compact"/>
              <w:jc w:val="left"/>
            </w:pPr>
            <w:r>
              <w:t xml:space="preserve">Newly created or renamed files</w:t>
            </w:r>
          </w:p>
        </w:tc>
      </w:tr>
      <w:tr>
        <w:tc>
          <w:tcPr/>
          <w:p>
            <w:pPr>
              <w:pStyle w:val="Compact"/>
              <w:jc w:val="left"/>
            </w:pPr>
            <w:r>
              <w:rPr>
                <w:rStyle w:val="VerbatimChar"/>
              </w:rPr>
              <w:t xml:space="preserve">O_DSYNC</w:t>
            </w:r>
            <w:r>
              <w:t xml:space="preserve"> </w:t>
            </w:r>
            <w:r>
              <w:t xml:space="preserve">/</w:t>
            </w:r>
            <w:r>
              <w:t xml:space="preserve"> </w:t>
            </w:r>
            <w:r>
              <w:rPr>
                <w:rStyle w:val="VerbatimChar"/>
              </w:rPr>
              <w:t xml:space="preserve">O_SYNC</w:t>
            </w:r>
            <w:r>
              <w:t xml:space="preserve"> </w:t>
            </w:r>
            <w:r>
              <w:t xml:space="preserve">on open</w:t>
            </w:r>
          </w:p>
        </w:tc>
        <w:tc>
          <w:tcPr/>
          <w:p>
            <w:pPr>
              <w:pStyle w:val="Compact"/>
              <w:jc w:val="left"/>
            </w:pPr>
            <w:r>
              <w:t xml:space="preserve">Every</w:t>
            </w:r>
            <w:r>
              <w:t xml:space="preserve"> </w:t>
            </w:r>
            <w:r>
              <w:rPr>
                <w:rStyle w:val="VerbatimChar"/>
              </w:rPr>
              <w:t xml:space="preserve">write</w:t>
            </w:r>
            <w:r>
              <w:t xml:space="preserve"> </w:t>
            </w:r>
            <w:r>
              <w:t xml:space="preserve">behaves as if followed by</w:t>
            </w:r>
            <w:r>
              <w:t xml:space="preserve"> </w:t>
            </w:r>
            <w:r>
              <w:rPr>
                <w:rStyle w:val="VerbatimChar"/>
              </w:rPr>
              <w:t xml:space="preserve">fdatasync</w:t>
            </w:r>
            <w:r>
              <w:t xml:space="preserve"> </w:t>
            </w:r>
            <w:r>
              <w:t xml:space="preserve">/</w:t>
            </w:r>
            <w:r>
              <w:t xml:space="preserve"> </w:t>
            </w:r>
            <w:r>
              <w:rPr>
                <w:rStyle w:val="VerbatimChar"/>
              </w:rPr>
              <w:t xml:space="preserve">fsync</w:t>
            </w:r>
          </w:p>
        </w:tc>
        <w:tc>
          <w:tcPr/>
          <w:p>
            <w:pPr>
              <w:pStyle w:val="Compact"/>
              <w:jc w:val="left"/>
            </w:pPr>
            <w:r>
              <w:t xml:space="preserve">Highest per write</w:t>
            </w:r>
          </w:p>
        </w:tc>
        <w:tc>
          <w:tcPr/>
          <w:p>
            <w:pPr>
              <w:pStyle w:val="Compact"/>
              <w:jc w:val="left"/>
            </w:pPr>
            <w:r>
              <w:t xml:space="preserve">Small, critical, infrequent writes</w:t>
            </w:r>
          </w:p>
        </w:tc>
      </w:tr>
      <w:tr>
        <w:tc>
          <w:tcPr/>
          <w:p>
            <w:pPr>
              <w:pStyle w:val="Compact"/>
              <w:jc w:val="left"/>
            </w:pPr>
            <w:r>
              <w:t xml:space="preserve">Replication instead of local fsync</w:t>
            </w:r>
          </w:p>
        </w:tc>
        <w:tc>
          <w:tcPr/>
          <w:p>
            <w:pPr>
              <w:pStyle w:val="Compact"/>
              <w:jc w:val="left"/>
            </w:pPr>
            <w:r>
              <w:t xml:space="preserve">Data in RAM on several machines</w:t>
            </w:r>
          </w:p>
        </w:tc>
        <w:tc>
          <w:tcPr/>
          <w:p>
            <w:pPr>
              <w:pStyle w:val="Compact"/>
              <w:jc w:val="left"/>
            </w:pPr>
            <w:r>
              <w:t xml:space="preserve">Network round trip</w:t>
            </w:r>
          </w:p>
        </w:tc>
        <w:tc>
          <w:tcPr/>
          <w:p>
            <w:pPr>
              <w:pStyle w:val="Compact"/>
              <w:jc w:val="left"/>
            </w:pPr>
            <w:r>
              <w:t xml:space="preserve">Distributed logs that accept correlated-failure risk (§27.3)</w:t>
            </w:r>
          </w:p>
        </w:tc>
      </w:tr>
    </w:tbl>
    <w:bookmarkEnd w:id="667"/>
    <w:bookmarkEnd w:id="668"/>
    <w:bookmarkStart w:id="675" w:name="concurrency-models-in-practice"/>
    <w:p>
      <w:pPr>
        <w:pStyle w:val="Heading2"/>
      </w:pPr>
      <w:r>
        <w:t xml:space="preserve">6.15 Concurrency models in practice</w:t>
      </w:r>
    </w:p>
    <w:p>
      <w:pPr>
        <w:pStyle w:val="FirstParagraph"/>
      </w:pPr>
      <w:r>
        <w:t xml:space="preserve">The five models below answer one question differently:</w:t>
      </w:r>
      <w:r>
        <w:t xml:space="preserve"> </w:t>
      </w:r>
      <w:r>
        <w:rPr>
          <w:iCs/>
          <w:i/>
        </w:rPr>
        <w:t xml:space="preserve">what represents a waiting request, and what does it cost?</w:t>
      </w:r>
    </w:p>
    <w:bookmarkStart w:id="669" w:name="thread-per-request"/>
    <w:p>
      <w:pPr>
        <w:pStyle w:val="Heading3"/>
      </w:pPr>
      <w:r>
        <w:t xml:space="preserve">6.15.1 Thread per request</w:t>
      </w:r>
    </w:p>
    <w:p>
      <w:pPr>
        <w:pStyle w:val="FirstParagraph"/>
      </w:pPr>
      <w:r>
        <w:t xml:space="preserve">Each request gets an OS thread (usually from a pool) running blocking code start to finish: classic Tomcat servlets, Apache httpd’s worker model, threaded Python WSGI servers.</w:t>
      </w:r>
      <w:r>
        <w:t xml:space="preserve"> </w:t>
      </w:r>
      <w:r>
        <w:rPr>
          <w:bCs/>
          <w:b/>
        </w:rPr>
        <w:t xml:space="preserve">Strengths:</w:t>
      </w:r>
      <w:r>
        <w:t xml:space="preserve"> </w:t>
      </w:r>
      <w:r>
        <w:t xml:space="preserve">sequential code, readable stack traces, parallelism across cores.</w:t>
      </w:r>
      <w:r>
        <w:t xml:space="preserve"> </w:t>
      </w:r>
      <w:r>
        <w:rPr>
          <w:bCs/>
          <w:b/>
        </w:rPr>
        <w:t xml:space="preserve">Weaknesses:</w:t>
      </w:r>
      <w:r>
        <w:t xml:space="preserve"> </w:t>
      </w:r>
      <w:r>
        <w:t xml:space="preserve">each waiting request costs a whole thread, capping concurrency by memory and switching overhead, and a slow dependency can tie up every pool thread.</w:t>
      </w:r>
    </w:p>
    <w:bookmarkEnd w:id="669"/>
    <w:bookmarkStart w:id="670" w:name="event-loop-node.js-nginx-redis"/>
    <w:p>
      <w:pPr>
        <w:pStyle w:val="Heading3"/>
      </w:pPr>
      <w:r>
        <w:t xml:space="preserve">6.15.2 Event loop (Node.js, nginx, Redis)</w:t>
      </w:r>
    </w:p>
    <w:p>
      <w:pPr>
        <w:pStyle w:val="FirstParagraph"/>
      </w:pPr>
      <w:r>
        <w:t xml:space="preserve">One thread runs an event loop (§6.13.4); a waiting request costs a small state object and a callback. Node.js runs JavaScript on one libuv loop; nginx runs one loop per worker process; Redis executes commands on one main thread, making each command trivially atomic.</w:t>
      </w:r>
      <w:r>
        <w:t xml:space="preserve"> </w:t>
      </w:r>
      <w:r>
        <w:rPr>
          <w:bCs/>
          <w:b/>
        </w:rPr>
        <w:t xml:space="preserve">Strengths:</w:t>
      </w:r>
      <w:r>
        <w:t xml:space="preserve"> </w:t>
      </w:r>
      <w:r>
        <w:t xml:space="preserve">tiny per-connection cost, no locks for loop-owned state.</w:t>
      </w:r>
      <w:r>
        <w:t xml:space="preserve"> </w:t>
      </w:r>
      <w:r>
        <w:rPr>
          <w:bCs/>
          <w:b/>
        </w:rPr>
        <w:t xml:space="preserve">Weaknesses:</w:t>
      </w:r>
      <w:r>
        <w:t xml:space="preserve"> </w:t>
      </w:r>
      <w:r>
        <w:t xml:space="preserve">one core per loop, and any blocking callback stalls every connection [Node.js Docs: Don’t Block the Event Loop].</w:t>
      </w:r>
    </w:p>
    <w:bookmarkEnd w:id="670"/>
    <w:bookmarkStart w:id="671" w:name="actors-erlangotp-akka"/>
    <w:p>
      <w:pPr>
        <w:pStyle w:val="Heading3"/>
      </w:pPr>
      <w:r>
        <w:t xml:space="preserve">6.15.3 Actors (Erlang/OTP, Akka)</w:t>
      </w:r>
    </w:p>
    <w:p>
      <w:pPr>
        <w:pStyle w:val="FirstParagraph"/>
      </w:pPr>
      <w:r>
        <w:t xml:space="preserve">An</w:t>
      </w:r>
      <w:r>
        <w:t xml:space="preserve"> </w:t>
      </w:r>
      <w:r>
        <w:rPr>
          <w:bCs/>
          <w:b/>
        </w:rPr>
        <w:t xml:space="preserve">actor</w:t>
      </w:r>
      <w:r>
        <w:t xml:space="preserve"> </w:t>
      </w:r>
      <w:r>
        <w:t xml:space="preserve">is an isolated unit of state with a</w:t>
      </w:r>
      <w:r>
        <w:t xml:space="preserve"> </w:t>
      </w:r>
      <w:r>
        <w:rPr>
          <w:bCs/>
          <w:b/>
        </w:rPr>
        <w:t xml:space="preserve">mailbox</w:t>
      </w:r>
      <w:r>
        <w:t xml:space="preserve">; actors share no memory, communicate only by asynchronous messages and process one message at a time, so their state has no data races [Hewitt et al. 1973]. Erlang processes, scheduled by the BEAM virtual machine with one scheduler thread per core, take a few hundred machine words each at creation [Erlang Docs: Efficiency Guide]. Erlang/OTP adds</w:t>
      </w:r>
      <w:r>
        <w:t xml:space="preserve"> </w:t>
      </w:r>
      <w:r>
        <w:rPr>
          <w:bCs/>
          <w:b/>
        </w:rPr>
        <w:t xml:space="preserve">supervision trees</w:t>
      </w:r>
      <w:r>
        <w:t xml:space="preserve"> </w:t>
      </w:r>
      <w:r>
        <w:t xml:space="preserve">that restart crashed actors (</w:t>
      </w:r>
      <w:r>
        <w:t xml:space="preserve">“</w:t>
      </w:r>
      <w:r>
        <w:t xml:space="preserve">let it crash</w:t>
      </w:r>
      <w:r>
        <w:t xml:space="preserve">”</w:t>
      </w:r>
      <w:r>
        <w:t xml:space="preserve">) [Armstrong 2003]; Akka brings the model to the JVM.</w:t>
      </w:r>
      <w:r>
        <w:t xml:space="preserve"> </w:t>
      </w:r>
      <w:r>
        <w:rPr>
          <w:bCs/>
          <w:b/>
        </w:rPr>
        <w:t xml:space="preserve">Weaknesses:</w:t>
      </w:r>
      <w:r>
        <w:t xml:space="preserve"> </w:t>
      </w:r>
      <w:r>
        <w:t xml:space="preserve">unbounded mailboxes, extra plumbing for request/response, and hard reasoning about ordering across actors.</w:t>
      </w:r>
    </w:p>
    <w:p>
      <w:pPr>
        <w:pStyle w:val="CalloutIndustry"/>
      </w:pPr>
      <w:r>
        <w:rPr>
          <w:bCs/>
          <w:b/>
        </w:rPr>
        <w:t xml:space="preserve">INDUSTRY EXAMPLE</w:t>
      </w:r>
    </w:p>
    <w:p>
      <w:pPr>
        <w:pStyle w:val="CalloutIndustry"/>
      </w:pPr>
      <w:r>
        <w:rPr>
          <w:bCs/>
          <w:b/>
        </w:rPr>
        <w:t xml:space="preserve">WhatsApp on Erlang.</w:t>
      </w:r>
      <w:r>
        <w:t xml:space="preserve"> </w:t>
      </w:r>
      <w:r>
        <w:t xml:space="preserve">WhatsApp built its messaging servers on Erlang/FreeBSD and reported in a 2012 engineering blog post more than two million simultaneous TCP connections on a single server, attributing it to lightweight Erlang processes and kernel tuning.</w:t>
      </w:r>
      <w:r>
        <w:t xml:space="preserve"> </w:t>
      </w:r>
      <w:r>
        <w:rPr>
          <w:iCs/>
          <w:i/>
        </w:rPr>
        <w:t xml:space="preserve">Evidence: Primary</w:t>
      </w:r>
      <w:r>
        <w:t xml:space="preserve"> </w:t>
      </w:r>
      <w:r>
        <w:t xml:space="preserve">— [WhatsApp Blog 2012]</w:t>
      </w:r>
    </w:p>
    <w:bookmarkEnd w:id="671"/>
    <w:bookmarkStart w:id="672" w:name="goroutines-go"/>
    <w:p>
      <w:pPr>
        <w:pStyle w:val="Heading3"/>
      </w:pPr>
      <w:r>
        <w:t xml:space="preserve">6.15.4 Goroutines (Go)</w:t>
      </w:r>
    </w:p>
    <w:p>
      <w:pPr>
        <w:pStyle w:val="FirstParagraph"/>
      </w:pPr>
      <w:r>
        <w:t xml:space="preserve">Go multiplexes</w:t>
      </w:r>
      <w:r>
        <w:t xml:space="preserve"> </w:t>
      </w:r>
      <w:r>
        <w:rPr>
          <w:bCs/>
          <w:b/>
        </w:rPr>
        <w:t xml:space="preserve">goroutines</w:t>
      </w:r>
      <w:r>
        <w:t xml:space="preserve"> </w:t>
      </w:r>
      <w:r>
        <w:t xml:space="preserve">onto</w:t>
      </w:r>
      <w:r>
        <w:t xml:space="preserve"> </w:t>
      </w:r>
      <w:r>
        <w:rPr>
          <w:rStyle w:val="VerbatimChar"/>
        </w:rPr>
        <w:t xml:space="preserve">GOMAXPROCS</w:t>
      </w:r>
      <w:r>
        <w:t xml:space="preserve"> </w:t>
      </w:r>
      <w:r>
        <w:t xml:space="preserve">OS threads (by default the number of usable CPUs). A goroutine starts with a 2 KiB stack that grows on demand. On network I/O the runtime parks the goroutine and registers the socket with its</w:t>
      </w:r>
      <w:r>
        <w:t xml:space="preserve"> </w:t>
      </w:r>
      <w:r>
        <w:rPr>
          <w:bCs/>
          <w:b/>
        </w:rPr>
        <w:t xml:space="preserve">netpoller</w:t>
      </w:r>
      <w:r>
        <w:t xml:space="preserve"> </w:t>
      </w:r>
      <w:r>
        <w:t xml:space="preserve">(built on</w:t>
      </w:r>
      <w:r>
        <w:t xml:space="preserve"> </w:t>
      </w:r>
      <w:r>
        <w:rPr>
          <w:rStyle w:val="VerbatimChar"/>
        </w:rPr>
        <w:t xml:space="preserve">epoll</w:t>
      </w:r>
      <w:r>
        <w:t xml:space="preserve">/</w:t>
      </w:r>
      <w:r>
        <w:rPr>
          <w:rStyle w:val="VerbatimChar"/>
        </w:rPr>
        <w:t xml:space="preserve">kqueue</w:t>
      </w:r>
      <w:r>
        <w:t xml:space="preserve">), so blocking-style code gets event-loop efficiency; since Go 1.14 long-running goroutines can also be preempted.</w:t>
      </w:r>
      <w:r>
        <w:t xml:space="preserve"> </w:t>
      </w:r>
      <w:r>
        <w:rPr>
          <w:bCs/>
          <w:b/>
        </w:rPr>
        <w:t xml:space="preserve">Weaknesses:</w:t>
      </w:r>
      <w:r>
        <w:t xml:space="preserve"> </w:t>
      </w:r>
      <w:r>
        <w:t xml:space="preserve">shared memory still allows races and deadlocks (§6.9), and leaked goroutines accumulate silently. Java’s</w:t>
      </w:r>
      <w:r>
        <w:t xml:space="preserve"> </w:t>
      </w:r>
      <w:r>
        <w:rPr>
          <w:bCs/>
          <w:b/>
        </w:rPr>
        <w:t xml:space="preserve">virtual threads</w:t>
      </w:r>
      <w:r>
        <w:t xml:space="preserve"> </w:t>
      </w:r>
      <w:r>
        <w:t xml:space="preserve">(JDK 21, 2023) apply the same idea to the JVM [OpenJDK JEP 444].</w:t>
      </w:r>
    </w:p>
    <w:bookmarkEnd w:id="672"/>
    <w:bookmarkStart w:id="673" w:name="Xbb7d270ef24df462f60768e2713a192c97d66e8"/>
    <w:p>
      <w:pPr>
        <w:pStyle w:val="Heading3"/>
      </w:pPr>
      <w:r>
        <w:t xml:space="preserve">6.15.5 async/await (Python asyncio, JavaScript, C#, Rust)</w:t>
      </w:r>
    </w:p>
    <w:p>
      <w:pPr>
        <w:pStyle w:val="FirstParagraph"/>
      </w:pPr>
      <w:r>
        <w:rPr>
          <w:bCs/>
          <w:b/>
        </w:rPr>
        <w:t xml:space="preserve">async/await</w:t>
      </w:r>
      <w:r>
        <w:t xml:space="preserve"> </w:t>
      </w:r>
      <w:r>
        <w:t xml:space="preserve">is syntax for event-loop code that reads sequentially. An</w:t>
      </w:r>
      <w:r>
        <w:t xml:space="preserve"> </w:t>
      </w:r>
      <w:r>
        <w:rPr>
          <w:rStyle w:val="VerbatimChar"/>
        </w:rPr>
        <w:t xml:space="preserve">async</w:t>
      </w:r>
      <w:r>
        <w:t xml:space="preserve"> </w:t>
      </w:r>
      <w:r>
        <w:t xml:space="preserve">function is a</w:t>
      </w:r>
      <w:r>
        <w:t xml:space="preserve"> </w:t>
      </w:r>
      <w:r>
        <w:rPr>
          <w:bCs/>
          <w:b/>
        </w:rPr>
        <w:t xml:space="preserve">coroutine</w:t>
      </w:r>
      <w:r>
        <w:t xml:space="preserve">; each</w:t>
      </w:r>
      <w:r>
        <w:t xml:space="preserve"> </w:t>
      </w:r>
      <w:r>
        <w:rPr>
          <w:rStyle w:val="VerbatimChar"/>
        </w:rPr>
        <w:t xml:space="preserve">await</w:t>
      </w:r>
      <w:r>
        <w:t xml:space="preserve"> </w:t>
      </w:r>
      <w:r>
        <w:t xml:space="preserve">is a point where it may suspend and return control to the loop. Scheduling is</w:t>
      </w:r>
      <w:r>
        <w:t xml:space="preserve"> </w:t>
      </w:r>
      <w:r>
        <w:rPr>
          <w:bCs/>
          <w:b/>
        </w:rPr>
        <w:t xml:space="preserve">cooperative</w:t>
      </w:r>
      <w:r>
        <w:t xml:space="preserve">: coroutines yield only at</w:t>
      </w:r>
      <w:r>
        <w:t xml:space="preserve"> </w:t>
      </w:r>
      <w:r>
        <w:rPr>
          <w:rStyle w:val="VerbatimChar"/>
        </w:rPr>
        <w:t xml:space="preserve">await</w:t>
      </w:r>
      <w:r>
        <w:t xml:space="preserve">.</w:t>
      </w:r>
    </w:p>
    <w:p>
      <w:pPr>
        <w:pStyle w:val="SourceCode"/>
      </w:pPr>
      <w:r>
        <w:rPr>
          <w:rStyle w:val="CommentTok"/>
        </w:rPr>
        <w:t xml:space="preserve">"""10,000 concurrent 'requests', one thread, about one second."""</w:t>
      </w:r>
      <w:r>
        <w:br/>
      </w:r>
      <w:r>
        <w:rPr>
          <w:rStyle w:val="ImportTok"/>
        </w:rPr>
        <w:t xml:space="preserve">import</w:t>
      </w:r>
      <w:r>
        <w:rPr>
          <w:rStyle w:val="NormalTok"/>
        </w:rPr>
        <w:t xml:space="preserve"> asyncio</w:t>
      </w:r>
      <w:r>
        <w:br/>
      </w:r>
      <w:r>
        <w:rPr>
          <w:rStyle w:val="ImportTok"/>
        </w:rPr>
        <w:t xml:space="preserve">import</w:t>
      </w:r>
      <w:r>
        <w:rPr>
          <w:rStyle w:val="NormalTok"/>
        </w:rPr>
        <w:t xml:space="preserve"> time</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handle_request(i: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ntrolFlowTok"/>
        </w:rPr>
        <w:t xml:space="preserve">await</w:t>
      </w:r>
      <w:r>
        <w:rPr>
          <w:rStyle w:val="NormalTok"/>
        </w:rPr>
        <w:t xml:space="preserve"> asyncio.sleep(</w:t>
      </w:r>
      <w:r>
        <w:rPr>
          <w:rStyle w:val="FloatTok"/>
        </w:rPr>
        <w:t xml:space="preserve">1.0</w:t>
      </w:r>
      <w:r>
        <w:rPr>
          <w:rStyle w:val="NormalTok"/>
        </w:rPr>
        <w:t xml:space="preserve">)        </w:t>
      </w:r>
      <w:r>
        <w:rPr>
          <w:rStyle w:val="CommentTok"/>
        </w:rPr>
        <w:t xml:space="preserve"># stands in for a 1 s network call; yields to the loop</w:t>
      </w:r>
      <w:r>
        <w:br/>
      </w:r>
      <w:r>
        <w:rPr>
          <w:rStyle w:val="NormalTok"/>
        </w:rPr>
        <w:t xml:space="preserve">    </w:t>
      </w:r>
      <w:r>
        <w:rPr>
          <w:rStyle w:val="ControlFlowTok"/>
        </w:rPr>
        <w:t xml:space="preserve">return</w:t>
      </w:r>
      <w:r>
        <w:rPr>
          <w:rStyle w:val="NormalTok"/>
        </w:rPr>
        <w:t xml:space="preserve"> i</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main()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start </w:t>
      </w:r>
      <w:r>
        <w:rPr>
          <w:rStyle w:val="OperatorTok"/>
        </w:rPr>
        <w:t xml:space="preserve">=</w:t>
      </w:r>
      <w:r>
        <w:rPr>
          <w:rStyle w:val="NormalTok"/>
        </w:rPr>
        <w:t xml:space="preserve"> time.perf_counter()</w:t>
      </w:r>
      <w:r>
        <w:br/>
      </w:r>
      <w:r>
        <w:rPr>
          <w:rStyle w:val="NormalTok"/>
        </w:rPr>
        <w:t xml:space="preserve">    results </w:t>
      </w:r>
      <w:r>
        <w:rPr>
          <w:rStyle w:val="OperatorTok"/>
        </w:rPr>
        <w:t xml:space="preserve">=</w:t>
      </w:r>
      <w:r>
        <w:rPr>
          <w:rStyle w:val="NormalTok"/>
        </w:rPr>
        <w:t xml:space="preserve"> </w:t>
      </w:r>
      <w:r>
        <w:rPr>
          <w:rStyle w:val="ControlFlowTok"/>
        </w:rPr>
        <w:t xml:space="preserve">await</w:t>
      </w:r>
      <w:r>
        <w:rPr>
          <w:rStyle w:val="NormalTok"/>
        </w:rPr>
        <w:t xml:space="preserve"> asyncio.gather(</w:t>
      </w:r>
      <w:r>
        <w:rPr>
          <w:rStyle w:val="OperatorTok"/>
        </w:rPr>
        <w:t xml:space="preserve">*</w:t>
      </w:r>
      <w:r>
        <w:rPr>
          <w:rStyle w:val="NormalTok"/>
        </w:rPr>
        <w:t xml:space="preserve">(handle_request(i)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10_000</w:t>
      </w:r>
      <w:r>
        <w:rPr>
          <w:rStyle w:val="NormalTok"/>
        </w:rPr>
        <w:t xml:space="preserve">)))</w:t>
      </w:r>
      <w:r>
        <w:br/>
      </w:r>
      <w:r>
        <w:rPr>
          <w:rStyle w:val="NormalTok"/>
        </w:rPr>
        <w:t xml:space="preserve">    elapsed </w:t>
      </w:r>
      <w:r>
        <w:rPr>
          <w:rStyle w:val="OperatorTok"/>
        </w:rPr>
        <w:t xml:space="preserve">=</w:t>
      </w:r>
      <w:r>
        <w:rPr>
          <w:rStyle w:val="NormalTok"/>
        </w:rPr>
        <w:t xml:space="preserve"> time.perf_counter() </w:t>
      </w:r>
      <w:r>
        <w:rPr>
          <w:rStyle w:val="OperatorTok"/>
        </w:rPr>
        <w:t xml:space="preserve">-</w:t>
      </w:r>
      <w:r>
        <w:rPr>
          <w:rStyle w:val="NormalTok"/>
        </w:rPr>
        <w:t xml:space="preserve"> start</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BuiltInTok"/>
        </w:rPr>
        <w:t xml:space="preserve">len</w:t>
      </w:r>
      <w:r>
        <w:rPr>
          <w:rStyle w:val="NormalTok"/>
        </w:rPr>
        <w:t xml:space="preserve">(results)</w:t>
      </w:r>
      <w:r>
        <w:rPr>
          <w:rStyle w:val="SpecialCharTok"/>
        </w:rPr>
        <w:t xml:space="preserve">}</w:t>
      </w:r>
      <w:r>
        <w:rPr>
          <w:rStyle w:val="SpecialStringTok"/>
        </w:rPr>
        <w:t xml:space="preserve"> requests finished in </w:t>
      </w:r>
      <w:r>
        <w:rPr>
          <w:rStyle w:val="SpecialCharTok"/>
        </w:rPr>
        <w:t xml:space="preserve">{</w:t>
      </w:r>
      <w:r>
        <w:rPr>
          <w:rStyle w:val="NormalTok"/>
        </w:rPr>
        <w:t xml:space="preserve">elapsed</w:t>
      </w:r>
      <w:r>
        <w:rPr>
          <w:rStyle w:val="SpecialCharTok"/>
        </w:rPr>
        <w:t xml:space="preserve">:.2f}</w:t>
      </w:r>
      <w:r>
        <w:rPr>
          <w:rStyle w:val="SpecialStringTok"/>
        </w:rPr>
        <w:t xml:space="preserve"> s on one thread"</w:t>
      </w:r>
      <w:r>
        <w:rPr>
          <w:rStyle w:val="NormalTok"/>
        </w:rPr>
        <w:t xml:space="preserve">)</w:t>
      </w:r>
      <w:r>
        <w:br/>
      </w:r>
      <w:r>
        <w:br/>
      </w:r>
      <w:r>
        <w:br/>
      </w:r>
      <w:r>
        <w:rPr>
          <w:rStyle w:val="NormalTok"/>
        </w:rPr>
        <w:t xml:space="preserve">asyncio.run(main())</w:t>
      </w:r>
    </w:p>
    <w:p>
      <w:pPr>
        <w:pStyle w:val="FirstParagraph"/>
      </w:pPr>
      <w:r>
        <w:t xml:space="preserve">Output in testing:</w:t>
      </w:r>
      <w:r>
        <w:t xml:space="preserve"> </w:t>
      </w:r>
      <w:r>
        <w:rPr>
          <w:rStyle w:val="VerbatimChar"/>
        </w:rPr>
        <w:t xml:space="preserve">10000 requests finished in 1.09 s on one thread</w:t>
      </w:r>
      <w:r>
        <w:t xml:space="preserve">.</w:t>
      </w:r>
    </w:p>
    <w:p>
      <w:pPr>
        <w:pStyle w:val="BodyText"/>
      </w:pPr>
      <w:r>
        <w:t xml:space="preserve">What to notice:</w:t>
      </w:r>
    </w:p>
    <w:p>
      <w:pPr>
        <w:numPr>
          <w:ilvl w:val="0"/>
          <w:numId w:val="1195"/>
        </w:numPr>
        <w:pStyle w:val="Compact"/>
      </w:pPr>
      <w:r>
        <w:t xml:space="preserve">10,000 one-second waits overlap on one thread: this is concurrency without parallelism (§6.8).</w:t>
      </w:r>
    </w:p>
    <w:p>
      <w:pPr>
        <w:numPr>
          <w:ilvl w:val="0"/>
          <w:numId w:val="1195"/>
        </w:numPr>
        <w:pStyle w:val="Compact"/>
      </w:pPr>
      <w:r>
        <w:t xml:space="preserve">Replace</w:t>
      </w:r>
      <w:r>
        <w:t xml:space="preserve"> </w:t>
      </w:r>
      <w:r>
        <w:rPr>
          <w:rStyle w:val="VerbatimChar"/>
        </w:rPr>
        <w:t xml:space="preserve">await asyncio.sleep(1.0)</w:t>
      </w:r>
      <w:r>
        <w:t xml:space="preserve"> </w:t>
      </w:r>
      <w:r>
        <w:t xml:space="preserve">with</w:t>
      </w:r>
      <w:r>
        <w:t xml:space="preserve"> </w:t>
      </w:r>
      <w:r>
        <w:rPr>
          <w:rStyle w:val="VerbatimChar"/>
        </w:rPr>
        <w:t xml:space="preserve">time.sleep(1.0)</w:t>
      </w:r>
      <w:r>
        <w:t xml:space="preserve"> </w:t>
      </w:r>
      <w:r>
        <w:t xml:space="preserve">and the program takes about 10,000 seconds: one blocking call inside a coroutine blocks the whole loop.</w:t>
      </w:r>
    </w:p>
    <w:p>
      <w:pPr>
        <w:numPr>
          <w:ilvl w:val="0"/>
          <w:numId w:val="1195"/>
        </w:numPr>
        <w:pStyle w:val="Compact"/>
      </w:pPr>
      <w:r>
        <w:t xml:space="preserve">async is</w:t>
      </w:r>
      <w:r>
        <w:t xml:space="preserve"> </w:t>
      </w:r>
      <w:r>
        <w:t xml:space="preserve">“</w:t>
      </w:r>
      <w:r>
        <w:t xml:space="preserve">contagious</w:t>
      </w:r>
      <w:r>
        <w:t xml:space="preserve">”</w:t>
      </w:r>
      <w:r>
        <w:t xml:space="preserve">: a function that awaits must itself be</w:t>
      </w:r>
      <w:r>
        <w:t xml:space="preserve"> </w:t>
      </w:r>
      <w:r>
        <w:rPr>
          <w:rStyle w:val="VerbatimChar"/>
        </w:rPr>
        <w:t xml:space="preserve">async</w:t>
      </w:r>
      <w:r>
        <w:t xml:space="preserve">, so libraries split into synchronous and asynchronous versions (the</w:t>
      </w:r>
      <w:r>
        <w:t xml:space="preserve"> </w:t>
      </w:r>
      <w:r>
        <w:t xml:space="preserve">“</w:t>
      </w:r>
      <w:r>
        <w:t xml:space="preserve">function color</w:t>
      </w:r>
      <w:r>
        <w:t xml:space="preserve">”</w:t>
      </w:r>
      <w:r>
        <w:t xml:space="preserve"> </w:t>
      </w:r>
      <w:r>
        <w:t xml:space="preserve">problem).</w:t>
      </w:r>
    </w:p>
    <w:bookmarkEnd w:id="673"/>
    <w:bookmarkStart w:id="674" w:name="comparison-and-capacity"/>
    <w:p>
      <w:pPr>
        <w:pStyle w:val="Heading3"/>
      </w:pPr>
      <w:r>
        <w:t xml:space="preserve">6.15.6 Comparison and capacity</w:t>
      </w:r>
    </w:p>
    <w:p>
      <w:pPr>
        <w:pStyle w:val="FirstParagraph"/>
      </w:pPr>
      <w:r>
        <w:rPr>
          <w:bCs/>
          <w:b/>
        </w:rPr>
        <w:t xml:space="preserve">Table 6.8 — Concurrency models compared.</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Aspect</w:t>
            </w:r>
          </w:p>
        </w:tc>
        <w:tc>
          <w:tcPr/>
          <w:p>
            <w:pPr>
              <w:pStyle w:val="Compact"/>
              <w:jc w:val="left"/>
            </w:pPr>
            <w:r>
              <w:t xml:space="preserve">Thread per request</w:t>
            </w:r>
          </w:p>
        </w:tc>
        <w:tc>
          <w:tcPr/>
          <w:p>
            <w:pPr>
              <w:pStyle w:val="Compact"/>
              <w:jc w:val="left"/>
            </w:pPr>
            <w:r>
              <w:t xml:space="preserve">Event loop</w:t>
            </w:r>
          </w:p>
        </w:tc>
        <w:tc>
          <w:tcPr/>
          <w:p>
            <w:pPr>
              <w:pStyle w:val="Compact"/>
              <w:jc w:val="left"/>
            </w:pPr>
            <w:r>
              <w:t xml:space="preserve">Actors</w:t>
            </w:r>
          </w:p>
        </w:tc>
        <w:tc>
          <w:tcPr/>
          <w:p>
            <w:pPr>
              <w:pStyle w:val="Compact"/>
              <w:jc w:val="left"/>
            </w:pPr>
            <w:r>
              <w:t xml:space="preserve">Goroutines / virtual threads</w:t>
            </w:r>
          </w:p>
        </w:tc>
        <w:tc>
          <w:tcPr/>
          <w:p>
            <w:pPr>
              <w:pStyle w:val="Compact"/>
              <w:jc w:val="left"/>
            </w:pPr>
            <w:r>
              <w:t xml:space="preserve">async/await</w:t>
            </w:r>
          </w:p>
        </w:tc>
      </w:tr>
      <w:tr>
        <w:tc>
          <w:tcPr/>
          <w:p>
            <w:pPr>
              <w:pStyle w:val="Compact"/>
              <w:jc w:val="left"/>
            </w:pPr>
            <w:r>
              <w:t xml:space="preserve">Unit of concurrency</w:t>
            </w:r>
          </w:p>
        </w:tc>
        <w:tc>
          <w:tcPr/>
          <w:p>
            <w:pPr>
              <w:pStyle w:val="Compact"/>
              <w:jc w:val="left"/>
            </w:pPr>
            <w:r>
              <w:t xml:space="preserve">OS thread</w:t>
            </w:r>
          </w:p>
        </w:tc>
        <w:tc>
          <w:tcPr/>
          <w:p>
            <w:pPr>
              <w:pStyle w:val="Compact"/>
              <w:jc w:val="left"/>
            </w:pPr>
            <w:r>
              <w:t xml:space="preserve">Callback + state</w:t>
            </w:r>
          </w:p>
        </w:tc>
        <w:tc>
          <w:tcPr/>
          <w:p>
            <w:pPr>
              <w:pStyle w:val="Compact"/>
              <w:jc w:val="left"/>
            </w:pPr>
            <w:r>
              <w:t xml:space="preserve">Actor with mailbox</w:t>
            </w:r>
          </w:p>
        </w:tc>
        <w:tc>
          <w:tcPr/>
          <w:p>
            <w:pPr>
              <w:pStyle w:val="Compact"/>
              <w:jc w:val="left"/>
            </w:pPr>
            <w:r>
              <w:t xml:space="preserve">Runtime-managed thread</w:t>
            </w:r>
          </w:p>
        </w:tc>
        <w:tc>
          <w:tcPr/>
          <w:p>
            <w:pPr>
              <w:pStyle w:val="Compact"/>
              <w:jc w:val="left"/>
            </w:pPr>
            <w:r>
              <w:t xml:space="preserve">Coroutine</w:t>
            </w:r>
          </w:p>
        </w:tc>
      </w:tr>
      <w:tr>
        <w:tc>
          <w:tcPr/>
          <w:p>
            <w:pPr>
              <w:pStyle w:val="Compact"/>
              <w:jc w:val="left"/>
            </w:pPr>
            <w:r>
              <w:t xml:space="preserve">Memory per waiting request (order of magnitude)</w:t>
            </w:r>
          </w:p>
        </w:tc>
        <w:tc>
          <w:tcPr/>
          <w:p>
            <w:pPr>
              <w:pStyle w:val="Compact"/>
              <w:jc w:val="left"/>
            </w:pPr>
            <w:r>
              <w:t xml:space="preserve">64 KiB–1 MiB touched stack + kernel task</w:t>
            </w:r>
          </w:p>
        </w:tc>
        <w:tc>
          <w:tcPr/>
          <w:p>
            <w:pPr>
              <w:pStyle w:val="Compact"/>
              <w:jc w:val="left"/>
            </w:pPr>
            <w:r>
              <w:t xml:space="preserve">~1 KiB or less</w:t>
            </w:r>
          </w:p>
        </w:tc>
        <w:tc>
          <w:tcPr/>
          <w:p>
            <w:pPr>
              <w:pStyle w:val="Compact"/>
              <w:jc w:val="left"/>
            </w:pPr>
            <w:r>
              <w:t xml:space="preserve">~1–3 KB</w:t>
            </w:r>
          </w:p>
        </w:tc>
        <w:tc>
          <w:tcPr/>
          <w:p>
            <w:pPr>
              <w:pStyle w:val="Compact"/>
              <w:jc w:val="left"/>
            </w:pPr>
            <w:r>
              <w:t xml:space="preserve">~2–8 KiB</w:t>
            </w:r>
          </w:p>
        </w:tc>
        <w:tc>
          <w:tcPr/>
          <w:p>
            <w:pPr>
              <w:pStyle w:val="Compact"/>
              <w:jc w:val="left"/>
            </w:pPr>
            <w:r>
              <w:t xml:space="preserve">~1–2 KiB</w:t>
            </w:r>
          </w:p>
        </w:tc>
      </w:tr>
      <w:tr>
        <w:tc>
          <w:tcPr/>
          <w:p>
            <w:pPr>
              <w:pStyle w:val="Compact"/>
              <w:jc w:val="left"/>
            </w:pPr>
            <w:r>
              <w:t xml:space="preserve">Scheduling</w:t>
            </w:r>
          </w:p>
        </w:tc>
        <w:tc>
          <w:tcPr/>
          <w:p>
            <w:pPr>
              <w:pStyle w:val="Compact"/>
              <w:jc w:val="left"/>
            </w:pPr>
            <w:r>
              <w:t xml:space="preserve">Preemptive, kernel</w:t>
            </w:r>
          </w:p>
        </w:tc>
        <w:tc>
          <w:tcPr/>
          <w:p>
            <w:pPr>
              <w:pStyle w:val="Compact"/>
              <w:jc w:val="left"/>
            </w:pPr>
            <w:r>
              <w:t xml:space="preserve">Cooperative, one thread</w:t>
            </w:r>
          </w:p>
        </w:tc>
        <w:tc>
          <w:tcPr/>
          <w:p>
            <w:pPr>
              <w:pStyle w:val="Compact"/>
              <w:jc w:val="left"/>
            </w:pPr>
            <w:r>
              <w:t xml:space="preserve">Runtime, per message</w:t>
            </w:r>
          </w:p>
        </w:tc>
        <w:tc>
          <w:tcPr/>
          <w:p>
            <w:pPr>
              <w:pStyle w:val="Compact"/>
              <w:jc w:val="left"/>
            </w:pPr>
            <w:r>
              <w:t xml:space="preserve">Runtime, mostly preemptive</w:t>
            </w:r>
          </w:p>
        </w:tc>
        <w:tc>
          <w:tcPr/>
          <w:p>
            <w:pPr>
              <w:pStyle w:val="Compact"/>
              <w:jc w:val="left"/>
            </w:pPr>
            <w:r>
              <w:t xml:space="preserve">Cooperative at</w:t>
            </w:r>
            <w:r>
              <w:t xml:space="preserve"> </w:t>
            </w:r>
            <w:r>
              <w:rPr>
                <w:rStyle w:val="VerbatimChar"/>
              </w:rPr>
              <w:t xml:space="preserve">await</w:t>
            </w:r>
          </w:p>
        </w:tc>
      </w:tr>
      <w:tr>
        <w:tc>
          <w:tcPr/>
          <w:p>
            <w:pPr>
              <w:pStyle w:val="Compact"/>
              <w:jc w:val="left"/>
            </w:pPr>
            <w:r>
              <w:t xml:space="preserve">Uses multiple cores</w:t>
            </w:r>
          </w:p>
        </w:tc>
        <w:tc>
          <w:tcPr/>
          <w:p>
            <w:pPr>
              <w:pStyle w:val="Compact"/>
              <w:jc w:val="left"/>
            </w:pPr>
            <w:r>
              <w:t xml:space="preserve">Yes</w:t>
            </w:r>
          </w:p>
        </w:tc>
        <w:tc>
          <w:tcPr/>
          <w:p>
            <w:pPr>
              <w:pStyle w:val="Compact"/>
              <w:jc w:val="left"/>
            </w:pPr>
            <w:r>
              <w:t xml:space="preserve">No (run one loop per core)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Only with multiple loops or executors</w:t>
            </w:r>
          </w:p>
        </w:tc>
      </w:tr>
      <w:tr>
        <w:tc>
          <w:tcPr/>
          <w:p>
            <w:pPr>
              <w:pStyle w:val="Compact"/>
              <w:jc w:val="left"/>
            </w:pPr>
            <w:r>
              <w:t xml:space="preserve">Shared-state safety</w:t>
            </w:r>
          </w:p>
        </w:tc>
        <w:tc>
          <w:tcPr/>
          <w:p>
            <w:pPr>
              <w:pStyle w:val="Compact"/>
              <w:jc w:val="left"/>
            </w:pPr>
            <w:r>
              <w:t xml:space="preserve">Locks needed</w:t>
            </w:r>
          </w:p>
        </w:tc>
        <w:tc>
          <w:tcPr/>
          <w:p>
            <w:pPr>
              <w:pStyle w:val="Compact"/>
              <w:jc w:val="left"/>
            </w:pPr>
            <w:r>
              <w:t xml:space="preserve">Safe within the loop</w:t>
            </w:r>
          </w:p>
        </w:tc>
        <w:tc>
          <w:tcPr/>
          <w:p>
            <w:pPr>
              <w:pStyle w:val="Compact"/>
              <w:jc w:val="left"/>
            </w:pPr>
            <w:r>
              <w:t xml:space="preserve">Safe by isolation</w:t>
            </w:r>
          </w:p>
        </w:tc>
        <w:tc>
          <w:tcPr/>
          <w:p>
            <w:pPr>
              <w:pStyle w:val="Compact"/>
              <w:jc w:val="left"/>
            </w:pPr>
            <w:r>
              <w:t xml:space="preserve">Locks or channels needed</w:t>
            </w:r>
          </w:p>
        </w:tc>
        <w:tc>
          <w:tcPr/>
          <w:p>
            <w:pPr>
              <w:pStyle w:val="Compact"/>
              <w:jc w:val="left"/>
            </w:pPr>
            <w:r>
              <w:t xml:space="preserve">Safe within one loop</w:t>
            </w:r>
          </w:p>
        </w:tc>
      </w:tr>
      <w:tr>
        <w:tc>
          <w:tcPr/>
          <w:p>
            <w:pPr>
              <w:pStyle w:val="Compact"/>
              <w:jc w:val="left"/>
            </w:pPr>
            <w:r>
              <w:t xml:space="preserve">Main failure mode</w:t>
            </w:r>
          </w:p>
        </w:tc>
        <w:tc>
          <w:tcPr/>
          <w:p>
            <w:pPr>
              <w:pStyle w:val="Compact"/>
              <w:jc w:val="left"/>
            </w:pPr>
            <w:r>
              <w:t xml:space="preserve">Thread exhaustion; context switching</w:t>
            </w:r>
          </w:p>
        </w:tc>
        <w:tc>
          <w:tcPr/>
          <w:p>
            <w:pPr>
              <w:pStyle w:val="Compact"/>
              <w:jc w:val="left"/>
            </w:pPr>
            <w:r>
              <w:t xml:space="preserve">Blocking the loop</w:t>
            </w:r>
          </w:p>
        </w:tc>
        <w:tc>
          <w:tcPr/>
          <w:p>
            <w:pPr>
              <w:pStyle w:val="Compact"/>
              <w:jc w:val="left"/>
            </w:pPr>
            <w:r>
              <w:t xml:space="preserve">Mailbox overflow</w:t>
            </w:r>
          </w:p>
        </w:tc>
        <w:tc>
          <w:tcPr/>
          <w:p>
            <w:pPr>
              <w:pStyle w:val="Compact"/>
              <w:jc w:val="left"/>
            </w:pPr>
            <w:r>
              <w:t xml:space="preserve">Goroutine leaks; races</w:t>
            </w:r>
          </w:p>
        </w:tc>
        <w:tc>
          <w:tcPr/>
          <w:p>
            <w:pPr>
              <w:pStyle w:val="Compact"/>
              <w:jc w:val="left"/>
            </w:pPr>
            <w:r>
              <w:t xml:space="preserve">Accidental blocking call</w:t>
            </w:r>
          </w:p>
        </w:tc>
      </w:tr>
      <w:tr>
        <w:tc>
          <w:tcPr/>
          <w:p>
            <w:pPr>
              <w:pStyle w:val="Compact"/>
              <w:jc w:val="left"/>
            </w:pPr>
            <w:r>
              <w:t xml:space="preserve">Code style</w:t>
            </w:r>
          </w:p>
        </w:tc>
        <w:tc>
          <w:tcPr/>
          <w:p>
            <w:pPr>
              <w:pStyle w:val="Compact"/>
              <w:jc w:val="left"/>
            </w:pPr>
            <w:r>
              <w:t xml:space="preserve">Sequential, blocking</w:t>
            </w:r>
          </w:p>
        </w:tc>
        <w:tc>
          <w:tcPr/>
          <w:p>
            <w:pPr>
              <w:pStyle w:val="Compact"/>
              <w:jc w:val="left"/>
            </w:pPr>
            <w:r>
              <w:t xml:space="preserve">Callbacks or promises</w:t>
            </w:r>
          </w:p>
        </w:tc>
        <w:tc>
          <w:tcPr/>
          <w:p>
            <w:pPr>
              <w:pStyle w:val="Compact"/>
              <w:jc w:val="left"/>
            </w:pPr>
            <w:r>
              <w:t xml:space="preserve">Message handlers</w:t>
            </w:r>
          </w:p>
        </w:tc>
        <w:tc>
          <w:tcPr/>
          <w:p>
            <w:pPr>
              <w:pStyle w:val="Compact"/>
              <w:jc w:val="left"/>
            </w:pPr>
            <w:r>
              <w:t xml:space="preserve">Sequential, blocking</w:t>
            </w:r>
          </w:p>
        </w:tc>
        <w:tc>
          <w:tcPr/>
          <w:p>
            <w:pPr>
              <w:pStyle w:val="Compact"/>
              <w:jc w:val="left"/>
            </w:pPr>
            <w:r>
              <w:t xml:space="preserve">Sequential with</w:t>
            </w:r>
            <w:r>
              <w:t xml:space="preserve"> </w:t>
            </w:r>
            <w:r>
              <w:rPr>
                <w:rStyle w:val="VerbatimChar"/>
              </w:rPr>
              <w:t xml:space="preserve">await</w:t>
            </w:r>
          </w:p>
        </w:tc>
      </w:tr>
      <w:tr>
        <w:tc>
          <w:tcPr/>
          <w:p>
            <w:pPr>
              <w:pStyle w:val="Compact"/>
              <w:jc w:val="left"/>
            </w:pPr>
            <w:r>
              <w:t xml:space="preserve">Examples</w:t>
            </w:r>
          </w:p>
        </w:tc>
        <w:tc>
          <w:tcPr/>
          <w:p>
            <w:pPr>
              <w:pStyle w:val="Compact"/>
              <w:jc w:val="left"/>
            </w:pPr>
            <w:r>
              <w:t xml:space="preserve">Tomcat, Apache httpd, Django with threads</w:t>
            </w:r>
          </w:p>
        </w:tc>
        <w:tc>
          <w:tcPr/>
          <w:p>
            <w:pPr>
              <w:pStyle w:val="Compact"/>
              <w:jc w:val="left"/>
            </w:pPr>
            <w:r>
              <w:t xml:space="preserve">nginx, Node.js, Redis</w:t>
            </w:r>
          </w:p>
        </w:tc>
        <w:tc>
          <w:tcPr/>
          <w:p>
            <w:pPr>
              <w:pStyle w:val="Compact"/>
              <w:jc w:val="left"/>
            </w:pPr>
            <w:r>
              <w:t xml:space="preserve">Erlang/OTP, Akka</w:t>
            </w:r>
          </w:p>
        </w:tc>
        <w:tc>
          <w:tcPr/>
          <w:p>
            <w:pPr>
              <w:pStyle w:val="Compact"/>
              <w:jc w:val="left"/>
            </w:pPr>
            <w:r>
              <w:t xml:space="preserve">Go servers, Java 21 virtual threads</w:t>
            </w:r>
          </w:p>
        </w:tc>
        <w:tc>
          <w:tcPr/>
          <w:p>
            <w:pPr>
              <w:pStyle w:val="Compact"/>
              <w:jc w:val="left"/>
            </w:pPr>
            <w:r>
              <w:t xml:space="preserve">FastAPI, aiohttp, Rust Tokio</w:t>
            </w:r>
          </w:p>
        </w:tc>
      </w:tr>
      <w:tr>
        <w:tc>
          <w:tcPr/>
          <w:p>
            <w:pPr>
              <w:pStyle w:val="Compact"/>
              <w:jc w:val="left"/>
            </w:pPr>
            <w:r>
              <w:t xml:space="preserve">Choose when</w:t>
            </w:r>
          </w:p>
        </w:tc>
        <w:tc>
          <w:tcPr/>
          <w:p>
            <w:pPr>
              <w:pStyle w:val="Compact"/>
              <w:jc w:val="left"/>
            </w:pPr>
            <w:r>
              <w:t xml:space="preserve">Moderate concurrency, blocking libraries</w:t>
            </w:r>
          </w:p>
        </w:tc>
        <w:tc>
          <w:tcPr/>
          <w:p>
            <w:pPr>
              <w:pStyle w:val="Compact"/>
              <w:jc w:val="left"/>
            </w:pPr>
            <w:r>
              <w:t xml:space="preserve">Many connections, light per-request CPU</w:t>
            </w:r>
          </w:p>
        </w:tc>
        <w:tc>
          <w:tcPr/>
          <w:p>
            <w:pPr>
              <w:pStyle w:val="Compact"/>
              <w:jc w:val="left"/>
            </w:pPr>
            <w:r>
              <w:t xml:space="preserve">Fault isolation, many stateful entities</w:t>
            </w:r>
          </w:p>
        </w:tc>
        <w:tc>
          <w:tcPr/>
          <w:p>
            <w:pPr>
              <w:pStyle w:val="Compact"/>
              <w:jc w:val="left"/>
            </w:pPr>
            <w:r>
              <w:t xml:space="preserve">High concurrency with simple code</w:t>
            </w:r>
          </w:p>
        </w:tc>
        <w:tc>
          <w:tcPr/>
          <w:p>
            <w:pPr>
              <w:pStyle w:val="Compact"/>
              <w:jc w:val="left"/>
            </w:pPr>
            <w:r>
              <w:t xml:space="preserve">High I/O concurrency in Python/JS/Rust</w:t>
            </w:r>
          </w:p>
        </w:tc>
      </w:tr>
    </w:tbl>
    <w:p>
      <w:pPr>
        <w:pStyle w:val="BodyText"/>
      </w:pPr>
      <w:r>
        <w:t xml:space="preserve">Memory figures are orders of magnitude for planning (as of 2026 runtimes), not measurements; measure your own service’s resident memory per connection.</w:t>
      </w:r>
    </w:p>
    <w:p>
      <w:pPr>
        <w:pStyle w:val="CalloutFormula"/>
      </w:pPr>
      <w:r>
        <w:rPr>
          <w:bCs/>
          <w:b/>
        </w:rPr>
        <w:t xml:space="preserve">FORMULA</w:t>
      </w:r>
    </w:p>
    <w:p>
      <w:pPr>
        <w:pStyle w:val="CalloutFormula"/>
      </w:pPr>
      <w:r>
        <w:rPr>
          <w:bCs/>
          <w:b/>
        </w:rPr>
        <w:t xml:space="preserve">Memory for concurrent connections</w:t>
      </w:r>
    </w:p>
    <w:p>
      <w:pPr>
        <w:pStyle w:val="CalloutFormula"/>
      </w:pPr>
      <m:oMathPara>
        <m:oMathParaPr>
          <m:jc m:val="center"/>
        </m:oMathParaPr>
        <m:oMath>
          <m:sSub>
            <m:e>
              <m:r>
                <m:t>M</m:t>
              </m:r>
            </m:e>
            <m:sub>
              <m:r>
                <m:rPr>
                  <m:nor/>
                  <m:sty m:val="p"/>
                </m:rPr>
                <m:t>total</m:t>
              </m:r>
            </m:sub>
          </m:sSub>
          <m:r>
            <m:rPr>
              <m:sty m:val="p"/>
            </m:rPr>
            <m:t>=</m:t>
          </m:r>
          <m:r>
            <m:t>N</m:t>
          </m:r>
          <m:r>
            <m:rPr>
              <m:sty m:val="p"/>
            </m:rPr>
            <m:t>×</m:t>
          </m:r>
          <m:d>
            <m:dPr>
              <m:begChr m:val="("/>
              <m:endChr m:val=")"/>
              <m:sepChr m:val=""/>
              <m:grow/>
            </m:dPr>
            <m:e>
              <m:sSub>
                <m:e>
                  <m:r>
                    <m:t>m</m:t>
                  </m:r>
                </m:e>
                <m:sub>
                  <m:r>
                    <m:rPr>
                      <m:nor/>
                      <m:sty m:val="p"/>
                    </m:rPr>
                    <m:t>unit</m:t>
                  </m:r>
                </m:sub>
              </m:sSub>
              <m:r>
                <m:rPr>
                  <m:sty m:val="p"/>
                </m:rPr>
                <m:t>+</m:t>
              </m:r>
              <m:sSub>
                <m:e>
                  <m:r>
                    <m:t>m</m:t>
                  </m:r>
                </m:e>
                <m:sub>
                  <m:r>
                    <m:rPr>
                      <m:nor/>
                      <m:sty m:val="p"/>
                    </m:rPr>
                    <m:t>conn</m:t>
                  </m:r>
                </m:sub>
              </m:sSub>
            </m:e>
          </m:d>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M</m:t>
                  </m:r>
                </m:e>
                <m:sub>
                  <m:r>
                    <m:rPr>
                      <m:nor/>
                      <m:sty m:val="p"/>
                    </m:rPr>
                    <m:t>total</m:t>
                  </m:r>
                </m:sub>
              </m:sSub>
            </m:oMath>
          </w:p>
        </w:tc>
        <w:tc>
          <w:tcPr/>
          <w:p>
            <w:pPr>
              <w:pStyle w:val="Compact"/>
              <w:jc w:val="left"/>
            </w:pPr>
            <w:r>
              <w:t xml:space="preserve">Memory needed for concurrency overhead</w:t>
            </w:r>
          </w:p>
        </w:tc>
        <w:tc>
          <w:tcPr/>
          <w:p>
            <w:pPr>
              <w:pStyle w:val="Compact"/>
              <w:jc w:val="left"/>
            </w:pPr>
            <w:r>
              <w:t xml:space="preserve">bytes</w:t>
            </w:r>
          </w:p>
        </w:tc>
      </w:tr>
      <w:tr>
        <w:tc>
          <w:tcPr/>
          <w:p>
            <w:pPr>
              <w:pStyle w:val="Compact"/>
              <w:jc w:val="left"/>
            </w:pPr>
            <m:oMath>
              <m:r>
                <m:t>N</m:t>
              </m:r>
            </m:oMath>
          </w:p>
        </w:tc>
        <w:tc>
          <w:tcPr/>
          <w:p>
            <w:pPr>
              <w:pStyle w:val="Compact"/>
              <w:jc w:val="left"/>
            </w:pPr>
            <w:r>
              <w:t xml:space="preserve">Concurrent connections (or in-flight requests)</w:t>
            </w:r>
          </w:p>
        </w:tc>
        <w:tc>
          <w:tcPr/>
          <w:p>
            <w:pPr>
              <w:pStyle w:val="Compact"/>
              <w:jc w:val="left"/>
            </w:pPr>
            <w:r>
              <w:t xml:space="preserve">connections</w:t>
            </w:r>
          </w:p>
        </w:tc>
      </w:tr>
      <w:tr>
        <w:tc>
          <w:tcPr/>
          <w:p>
            <w:pPr>
              <w:pStyle w:val="Compact"/>
              <w:jc w:val="left"/>
            </w:pPr>
            <m:oMath>
              <m:sSub>
                <m:e>
                  <m:r>
                    <m:t>m</m:t>
                  </m:r>
                </m:e>
                <m:sub>
                  <m:r>
                    <m:rPr>
                      <m:nor/>
                      <m:sty m:val="p"/>
                    </m:rPr>
                    <m:t>unit</m:t>
                  </m:r>
                </m:sub>
              </m:sSub>
            </m:oMath>
          </w:p>
        </w:tc>
        <w:tc>
          <w:tcPr/>
          <w:p>
            <w:pPr>
              <w:pStyle w:val="Compact"/>
              <w:jc w:val="left"/>
            </w:pPr>
            <w:r>
              <w:t xml:space="preserve">Resident memory per concurrency unit (thread stack + kernel task, or coroutine)</w:t>
            </w:r>
          </w:p>
        </w:tc>
        <w:tc>
          <w:tcPr/>
          <w:p>
            <w:pPr>
              <w:pStyle w:val="Compact"/>
              <w:jc w:val="left"/>
            </w:pPr>
            <w:r>
              <w:t xml:space="preserve">bytes</w:t>
            </w:r>
          </w:p>
        </w:tc>
      </w:tr>
      <w:tr>
        <w:tc>
          <w:tcPr/>
          <w:p>
            <w:pPr>
              <w:pStyle w:val="Compact"/>
              <w:jc w:val="left"/>
            </w:pPr>
            <m:oMath>
              <m:sSub>
                <m:e>
                  <m:r>
                    <m:t>m</m:t>
                  </m:r>
                </m:e>
                <m:sub>
                  <m:r>
                    <m:rPr>
                      <m:nor/>
                      <m:sty m:val="p"/>
                    </m:rPr>
                    <m:t>conn</m:t>
                  </m:r>
                </m:sub>
              </m:sSub>
            </m:oMath>
          </w:p>
        </w:tc>
        <w:tc>
          <w:tcPr/>
          <w:p>
            <w:pPr>
              <w:pStyle w:val="Compact"/>
              <w:jc w:val="left"/>
            </w:pPr>
            <w:r>
              <w:t xml:space="preserve">Per-connection buffers (socket buffers, TLS state, request object)</w:t>
            </w:r>
          </w:p>
        </w:tc>
        <w:tc>
          <w:tcPr/>
          <w:p>
            <w:pPr>
              <w:pStyle w:val="Compact"/>
              <w:jc w:val="left"/>
            </w:pPr>
            <w:r>
              <w:t xml:space="preserve">bytes</w:t>
            </w:r>
          </w:p>
        </w:tc>
      </w:tr>
    </w:tbl>
    <w:p>
      <w:pPr>
        <w:pStyle w:val="CalloutExample"/>
      </w:pPr>
      <w:r>
        <w:rPr>
          <w:bCs/>
          <w:b/>
        </w:rPr>
        <w:t xml:space="preserve">WORKED EXAMPLE</w:t>
      </w:r>
    </w:p>
    <w:p>
      <w:pPr>
        <w:pStyle w:val="CalloutExample"/>
      </w:pPr>
      <w:r>
        <w:rPr>
          <w:bCs/>
          <w:b/>
        </w:rPr>
        <w:t xml:space="preserve">Worked example — 10,000 and 100,000 connections.</w:t>
      </w:r>
      <w:r>
        <w:t xml:space="preserve"> </w:t>
      </w:r>
      <w:r>
        <w:t xml:space="preserve">A chat gateway must hold</w:t>
      </w:r>
      <w:r>
        <w:t xml:space="preserve"> </w:t>
      </w:r>
      <m:oMath>
        <m:r>
          <m:t>N</m:t>
        </m:r>
        <m:r>
          <m:rPr>
            <m:sty m:val="p"/>
          </m:rPr>
          <m:t>=</m:t>
        </m:r>
        <m:r>
          <m:t>10</m:t>
        </m:r>
        <m:r>
          <m:rPr>
            <m:sty m:val="p"/>
          </m:rPr>
          <m:t>,</m:t>
        </m:r>
        <m:r>
          <m:t>000</m:t>
        </m:r>
      </m:oMath>
      <w:r>
        <w:t xml:space="preserve"> </w:t>
      </w:r>
      <w:r>
        <w:t xml:space="preserve">mostly idle WebSocket connections. Assume</w:t>
      </w:r>
      <w:r>
        <w:t xml:space="preserve"> </w:t>
      </w:r>
      <m:oMath>
        <m:sSub>
          <m:e>
            <m:r>
              <m:t>m</m:t>
            </m:r>
          </m:e>
          <m:sub>
            <m:r>
              <m:rPr>
                <m:nor/>
                <m:sty m:val="p"/>
              </m:rPr>
              <m:t>conn</m:t>
            </m:r>
          </m:sub>
        </m:sSub>
        <m:r>
          <m:rPr>
            <m:sty m:val="p"/>
          </m:rPr>
          <m:t>=</m:t>
        </m:r>
        <m:r>
          <m:t>20</m:t>
        </m:r>
      </m:oMath>
      <w:r>
        <w:t xml:space="preserve"> </w:t>
      </w:r>
      <w:r>
        <w:t xml:space="preserve">KB of socket buffers and TLS state per connection in every model.</w:t>
      </w:r>
    </w:p>
    <w:p>
      <w:pPr>
        <w:pStyle w:val="CalloutExample"/>
      </w:pPr>
      <w:r>
        <w:rPr>
          <w:iCs/>
          <w:i/>
        </w:rPr>
        <w:t xml:space="preserve">Thread per connection (Java platform threads).</w:t>
      </w:r>
      <w:r>
        <w:t xml:space="preserve"> </w:t>
      </w:r>
      <w:r>
        <w:t xml:space="preserve">Each thread reserves 1 MiB of virtual stack, but only touched pages are resident; assume 64 KiB touched + 16 KiB kernel stack + ~8 KiB other kernel state ≈ 88 KB.</w:t>
      </w:r>
      <w:r>
        <w:t xml:space="preserve"> </w:t>
      </w:r>
      <m:oMath>
        <m:r>
          <m:t>M</m:t>
        </m:r>
        <m:r>
          <m:rPr>
            <m:sty m:val="p"/>
          </m:rPr>
          <m:t>=</m:t>
        </m:r>
        <m:r>
          <m:t>10</m:t>
        </m:r>
        <m:r>
          <m:rPr>
            <m:sty m:val="p"/>
          </m:rPr>
          <m:t>,</m:t>
        </m:r>
        <m:r>
          <m:t>000</m:t>
        </m:r>
        <m:r>
          <m:rPr>
            <m:sty m:val="p"/>
          </m:rPr>
          <m:t>×</m:t>
        </m:r>
        <m:d>
          <m:dPr>
            <m:begChr m:val="("/>
            <m:endChr m:val=")"/>
            <m:sepChr m:val=""/>
            <m:grow/>
          </m:dPr>
          <m:e>
            <m:r>
              <m:t>88</m:t>
            </m:r>
            <m:r>
              <m:rPr>
                <m:sty m:val="p"/>
              </m:rPr>
              <m:t>+</m:t>
            </m:r>
            <m:r>
              <m:t>20</m:t>
            </m:r>
          </m:e>
        </m:d>
      </m:oMath>
      <w:r>
        <w:t xml:space="preserve"> </w:t>
      </w:r>
      <w:r>
        <w:t xml:space="preserve">KB =</w:t>
      </w:r>
      <w:r>
        <w:t xml:space="preserve"> </w:t>
      </w:r>
      <w:r>
        <w:rPr>
          <w:bCs/>
          <w:b/>
        </w:rPr>
        <w:t xml:space="preserve">1.08 GB</w:t>
      </w:r>
      <w:r>
        <w:t xml:space="preserve">. Workable, though with 10,000 schedulable threads.</w:t>
      </w:r>
      <w:r>
        <w:t xml:space="preserve"> </w:t>
      </w:r>
      <w:r>
        <w:rPr>
          <w:iCs/>
          <w:i/>
        </w:rPr>
        <w:t xml:space="preserve">Goroutines.</w:t>
      </w:r>
      <w:r>
        <w:t xml:space="preserve"> </w:t>
      </w:r>
      <w:r>
        <w:t xml:space="preserve">Assume 8 KiB per goroutine (≈ 8 KB).</w:t>
      </w:r>
      <w:r>
        <w:t xml:space="preserve"> </w:t>
      </w:r>
      <m:oMath>
        <m:r>
          <m:t>M</m:t>
        </m:r>
        <m:r>
          <m:rPr>
            <m:sty m:val="p"/>
          </m:rPr>
          <m:t>=</m:t>
        </m:r>
        <m:r>
          <m:t>10</m:t>
        </m:r>
        <m:r>
          <m:rPr>
            <m:sty m:val="p"/>
          </m:rPr>
          <m:t>,</m:t>
        </m:r>
        <m:r>
          <m:t>000</m:t>
        </m:r>
        <m:r>
          <m:rPr>
            <m:sty m:val="p"/>
          </m:rPr>
          <m:t>×</m:t>
        </m:r>
        <m:d>
          <m:dPr>
            <m:begChr m:val="("/>
            <m:endChr m:val=")"/>
            <m:sepChr m:val=""/>
            <m:grow/>
          </m:dPr>
          <m:e>
            <m:r>
              <m:t>8</m:t>
            </m:r>
            <m:r>
              <m:rPr>
                <m:sty m:val="p"/>
              </m:rPr>
              <m:t>+</m:t>
            </m:r>
            <m:r>
              <m:t>20</m:t>
            </m:r>
          </m:e>
        </m:d>
      </m:oMath>
      <w:r>
        <w:t xml:space="preserve"> </w:t>
      </w:r>
      <w:r>
        <w:t xml:space="preserve">KB =</w:t>
      </w:r>
      <w:r>
        <w:t xml:space="preserve"> </w:t>
      </w:r>
      <w:r>
        <w:rPr>
          <w:bCs/>
          <w:b/>
        </w:rPr>
        <w:t xml:space="preserve">280 MB</w:t>
      </w:r>
      <w:r>
        <w:t xml:space="preserve">.</w:t>
      </w:r>
    </w:p>
    <w:p>
      <w:pPr>
        <w:pStyle w:val="CalloutExample"/>
      </w:pPr>
      <w:r>
        <w:t xml:space="preserve">Now scale to</w:t>
      </w:r>
      <w:r>
        <w:t xml:space="preserve"> </w:t>
      </w:r>
      <m:oMath>
        <m:r>
          <m:t>N</m:t>
        </m:r>
        <m:r>
          <m:rPr>
            <m:sty m:val="p"/>
          </m:rPr>
          <m:t>=</m:t>
        </m:r>
        <m:r>
          <m:t>100</m:t>
        </m:r>
        <m:r>
          <m:rPr>
            <m:sty m:val="p"/>
          </m:rPr>
          <m:t>,</m:t>
        </m:r>
        <m:r>
          <m:t>000</m:t>
        </m:r>
      </m:oMath>
      <w:r>
        <w:t xml:space="preserve">: threads need</w:t>
      </w:r>
      <w:r>
        <w:t xml:space="preserve"> </w:t>
      </w:r>
      <w:r>
        <w:rPr>
          <w:bCs/>
          <w:b/>
        </w:rPr>
        <w:t xml:space="preserve">10.8 GB</w:t>
      </w:r>
      <w:r>
        <w:t xml:space="preserve"> </w:t>
      </w:r>
      <w:r>
        <w:t xml:space="preserve">plus 100,000 kernel tasks (beyond typical</w:t>
      </w:r>
      <w:r>
        <w:t xml:space="preserve"> </w:t>
      </w:r>
      <w:r>
        <w:rPr>
          <w:rStyle w:val="VerbatimChar"/>
        </w:rPr>
        <w:t xml:space="preserve">pids.max</w:t>
      </w:r>
      <w:r>
        <w:t xml:space="preserve"> </w:t>
      </w:r>
      <w:r>
        <w:t xml:space="preserve">and thread limits, and every wake-up is a context switch); goroutines need</w:t>
      </w:r>
      <w:r>
        <w:t xml:space="preserve"> </w:t>
      </w:r>
      <w:r>
        <w:rPr>
          <w:bCs/>
          <w:b/>
        </w:rPr>
        <w:t xml:space="preserve">2.8 GB</w:t>
      </w:r>
      <w:r>
        <w:t xml:space="preserve">; an event loop with ~1 KB per connection needs about</w:t>
      </w:r>
      <w:r>
        <w:t xml:space="preserve"> </w:t>
      </w:r>
      <w:r>
        <w:rPr>
          <w:bCs/>
          <w:b/>
        </w:rPr>
        <w:t xml:space="preserve">2.1 GB</w:t>
      </w:r>
      <w:r>
        <w:t xml:space="preserve">, dominated by socket buffers.</w:t>
      </w:r>
    </w:p>
    <w:p>
      <w:pPr>
        <w:pStyle w:val="CalloutExample"/>
      </w:pPr>
      <w:r>
        <w:rPr>
          <w:bCs/>
          <w:b/>
        </w:rPr>
        <w:t xml:space="preserve">Interpretation.</w:t>
      </w:r>
      <w:r>
        <w:t xml:space="preserve"> </w:t>
      </w:r>
      <w:r>
        <w:t xml:space="preserve">Thread-per-connection works at thousands of connections and becomes the bottleneck at hundreds of thousands, where per-connection buffers also start to dominate.</w:t>
      </w:r>
      <w:r>
        <w:t xml:space="preserve"> </w:t>
      </w:r>
      <w:r>
        <w:rPr>
          <w:bCs/>
          <w:b/>
        </w:rPr>
        <w:t xml:space="preserve">Engineering implication:</w:t>
      </w:r>
      <w:r>
        <w:t xml:space="preserve"> </w:t>
      </w:r>
      <w:r>
        <w:t xml:space="preserve">for connection-heavy services (gateways, push, chat; §9.9) choose event loops, goroutines or virtual threads; for CPU-heavy work, core count matters more than the model.</w:t>
      </w:r>
    </w:p>
    <w:p>
      <w:pPr>
        <w:pStyle w:val="CalloutFormula"/>
      </w:pPr>
      <w:r>
        <w:rPr>
          <w:bCs/>
          <w:b/>
        </w:rPr>
        <w:t xml:space="preserve">FORMULA</w:t>
      </w:r>
    </w:p>
    <w:p>
      <w:pPr>
        <w:pStyle w:val="CalloutFormula"/>
      </w:pPr>
      <w:r>
        <w:rPr>
          <w:bCs/>
          <w:b/>
        </w:rPr>
        <w:t xml:space="preserve">Thread-pool sizing</w:t>
      </w:r>
    </w:p>
    <w:p>
      <w:pPr>
        <w:pStyle w:val="CalloutFormula"/>
      </w:pPr>
      <m:oMathPara>
        <m:oMathParaPr>
          <m:jc m:val="center"/>
        </m:oMathParaPr>
        <m:oMath>
          <m:sSub>
            <m:e>
              <m:r>
                <m:t>N</m:t>
              </m:r>
            </m:e>
            <m:sub>
              <m:r>
                <m:rPr>
                  <m:nor/>
                  <m:sty m:val="p"/>
                </m:rPr>
                <m:t>threads</m:t>
              </m:r>
            </m:sub>
          </m:sSub>
          <m:r>
            <m:rPr>
              <m:sty m:val="p"/>
            </m:rPr>
            <m:t>=</m:t>
          </m:r>
          <m:r>
            <m:t>λ</m:t>
          </m:r>
          <m:r>
            <m:rPr>
              <m:sty m:val="p"/>
            </m:rPr>
            <m:t>×</m:t>
          </m:r>
          <m:r>
            <m:t>W</m:t>
          </m:r>
          <m:r>
            <m:t>  </m:t>
          </m:r>
          <m:r>
            <m:rPr>
              <m:nor/>
              <m:sty m:val="p"/>
            </m:rPr>
            <m:t>and, for mixed CPU/I/O work,</m:t>
          </m:r>
          <m:r>
            <m:t>  </m:t>
          </m:r>
          <m:sSub>
            <m:e>
              <m:r>
                <m:t>N</m:t>
              </m:r>
            </m:e>
            <m:sub>
              <m:r>
                <m:rPr>
                  <m:nor/>
                  <m:sty m:val="p"/>
                </m:rPr>
                <m:t>threads</m:t>
              </m:r>
            </m:sub>
          </m:sSub>
          <m:r>
            <m:rPr>
              <m:sty m:val="p"/>
            </m:rPr>
            <m:t>≈</m:t>
          </m:r>
          <m:sSub>
            <m:e>
              <m:r>
                <m:t>N</m:t>
              </m:r>
            </m:e>
            <m:sub>
              <m:r>
                <m:rPr>
                  <m:nor/>
                  <m:sty m:val="p"/>
                </m:rPr>
                <m:t>cpu</m:t>
              </m:r>
            </m:sub>
          </m:sSub>
          <m:r>
            <m:rPr>
              <m:sty m:val="p"/>
            </m:rPr>
            <m:t>×</m:t>
          </m:r>
          <m:r>
            <m:t>U</m:t>
          </m:r>
          <m:r>
            <m:rPr>
              <m:sty m:val="p"/>
            </m:rPr>
            <m:t>×</m:t>
          </m:r>
          <m:d>
            <m:dPr>
              <m:begChr m:val="("/>
              <m:endChr m:val=")"/>
              <m:sepChr m:val=""/>
              <m:grow/>
            </m:dPr>
            <m:e>
              <m:r>
                <m:t>1</m:t>
              </m:r>
              <m:r>
                <m:rPr>
                  <m:sty m:val="p"/>
                </m:rPr>
                <m:t>+</m:t>
              </m:r>
              <m:f>
                <m:fPr>
                  <m:type m:val="bar"/>
                </m:fPr>
                <m:num>
                  <m:sSub>
                    <m:e>
                      <m:r>
                        <m:t>T</m:t>
                      </m:r>
                    </m:e>
                    <m:sub>
                      <m:r>
                        <m:rPr>
                          <m:nor/>
                          <m:sty m:val="p"/>
                        </m:rPr>
                        <m:t>wait</m:t>
                      </m:r>
                    </m:sub>
                  </m:sSub>
                </m:num>
                <m:den>
                  <m:sSub>
                    <m:e>
                      <m:r>
                        <m:t>T</m:t>
                      </m:r>
                    </m:e>
                    <m:sub>
                      <m:r>
                        <m:rPr>
                          <m:nor/>
                          <m:sty m:val="p"/>
                        </m:rPr>
                        <m:t>cpu</m:t>
                      </m:r>
                    </m:sub>
                  </m:sSub>
                </m:den>
              </m:f>
            </m:e>
          </m:d>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N</m:t>
                  </m:r>
                </m:e>
                <m:sub>
                  <m:r>
                    <m:rPr>
                      <m:nor/>
                      <m:sty m:val="p"/>
                    </m:rPr>
                    <m:t>threads</m:t>
                  </m:r>
                </m:sub>
              </m:sSub>
            </m:oMath>
          </w:p>
        </w:tc>
        <w:tc>
          <w:tcPr/>
          <w:p>
            <w:pPr>
              <w:pStyle w:val="Compact"/>
              <w:jc w:val="left"/>
            </w:pPr>
            <w:r>
              <w:t xml:space="preserve">Threads needed to sustain the load</w:t>
            </w:r>
          </w:p>
        </w:tc>
        <w:tc>
          <w:tcPr/>
          <w:p>
            <w:pPr>
              <w:pStyle w:val="Compact"/>
              <w:jc w:val="left"/>
            </w:pPr>
            <w:r>
              <w:t xml:space="preserve">threads</w:t>
            </w:r>
          </w:p>
        </w:tc>
      </w:tr>
      <w:tr>
        <w:tc>
          <w:tcPr/>
          <w:p>
            <w:pPr>
              <w:pStyle w:val="Compact"/>
              <w:jc w:val="left"/>
            </w:pPr>
            <m:oMath>
              <m:r>
                <m:t>λ</m:t>
              </m:r>
            </m:oMath>
          </w:p>
        </w:tc>
        <w:tc>
          <w:tcPr/>
          <w:p>
            <w:pPr>
              <w:pStyle w:val="Compact"/>
              <w:jc w:val="left"/>
            </w:pPr>
            <w:r>
              <w:t xml:space="preserve">Request arrival rate</w:t>
            </w:r>
          </w:p>
        </w:tc>
        <w:tc>
          <w:tcPr/>
          <w:p>
            <w:pPr>
              <w:pStyle w:val="Compact"/>
              <w:jc w:val="left"/>
            </w:pPr>
            <w:r>
              <w:t xml:space="preserve">requests/s</w:t>
            </w:r>
          </w:p>
        </w:tc>
      </w:tr>
      <w:tr>
        <w:tc>
          <w:tcPr/>
          <w:p>
            <w:pPr>
              <w:pStyle w:val="Compact"/>
              <w:jc w:val="left"/>
            </w:pPr>
            <m:oMath>
              <m:r>
                <m:t>W</m:t>
              </m:r>
            </m:oMath>
          </w:p>
        </w:tc>
        <w:tc>
          <w:tcPr/>
          <w:p>
            <w:pPr>
              <w:pStyle w:val="Compact"/>
              <w:jc w:val="left"/>
            </w:pPr>
            <w:r>
              <w:t xml:space="preserve">Time a request occupies a thread</w:t>
            </w:r>
          </w:p>
        </w:tc>
        <w:tc>
          <w:tcPr/>
          <w:p>
            <w:pPr>
              <w:pStyle w:val="Compact"/>
              <w:jc w:val="left"/>
            </w:pPr>
            <w:r>
              <w:t xml:space="preserve">s</w:t>
            </w:r>
          </w:p>
        </w:tc>
      </w:tr>
      <w:tr>
        <w:tc>
          <w:tcPr/>
          <w:p>
            <w:pPr>
              <w:pStyle w:val="Compact"/>
              <w:jc w:val="left"/>
            </w:pPr>
            <m:oMath>
              <m:sSub>
                <m:e>
                  <m:r>
                    <m:t>N</m:t>
                  </m:r>
                </m:e>
                <m:sub>
                  <m:r>
                    <m:rPr>
                      <m:nor/>
                      <m:sty m:val="p"/>
                    </m:rPr>
                    <m:t>cpu</m:t>
                  </m:r>
                </m:sub>
              </m:sSub>
            </m:oMath>
          </w:p>
        </w:tc>
        <w:tc>
          <w:tcPr/>
          <w:p>
            <w:pPr>
              <w:pStyle w:val="Compact"/>
              <w:jc w:val="left"/>
            </w:pPr>
            <w:r>
              <w:t xml:space="preserve">Available cores</w:t>
            </w:r>
          </w:p>
        </w:tc>
        <w:tc>
          <w:tcPr/>
          <w:p>
            <w:pPr>
              <w:pStyle w:val="Compact"/>
              <w:jc w:val="left"/>
            </w:pPr>
            <w:r>
              <w:t xml:space="preserve">cores</w:t>
            </w:r>
          </w:p>
        </w:tc>
      </w:tr>
      <w:tr>
        <w:tc>
          <w:tcPr/>
          <w:p>
            <w:pPr>
              <w:pStyle w:val="Compact"/>
              <w:jc w:val="left"/>
            </w:pPr>
            <m:oMath>
              <m:r>
                <m:t>U</m:t>
              </m:r>
            </m:oMath>
          </w:p>
        </w:tc>
        <w:tc>
          <w:tcPr/>
          <w:p>
            <w:pPr>
              <w:pStyle w:val="Compact"/>
              <w:jc w:val="left"/>
            </w:pPr>
            <w:r>
              <w:t xml:space="preserve">Target CPU utilization</w:t>
            </w:r>
          </w:p>
        </w:tc>
        <w:tc>
          <w:tcPr/>
          <w:p>
            <w:pPr>
              <w:pStyle w:val="Compact"/>
              <w:jc w:val="left"/>
            </w:pPr>
            <w:r>
              <w:t xml:space="preserve">dimensionless (0–1)</w:t>
            </w:r>
          </w:p>
        </w:tc>
      </w:tr>
      <w:tr>
        <w:tc>
          <w:tcPr/>
          <w:p>
            <w:pPr>
              <w:pStyle w:val="Compact"/>
              <w:jc w:val="left"/>
            </w:pPr>
            <m:oMath>
              <m:sSub>
                <m:e>
                  <m:r>
                    <m:t>T</m:t>
                  </m:r>
                </m:e>
                <m:sub>
                  <m:r>
                    <m:rPr>
                      <m:nor/>
                      <m:sty m:val="p"/>
                    </m:rPr>
                    <m:t>wait</m:t>
                  </m:r>
                </m:sub>
              </m:sSub>
            </m:oMath>
            <w:r>
              <w:t xml:space="preserve">,</w:t>
            </w:r>
            <w:r>
              <w:t xml:space="preserve"> </w:t>
            </w:r>
            <m:oMath>
              <m:sSub>
                <m:e>
                  <m:r>
                    <m:t>T</m:t>
                  </m:r>
                </m:e>
                <m:sub>
                  <m:r>
                    <m:rPr>
                      <m:nor/>
                      <m:sty m:val="p"/>
                    </m:rPr>
                    <m:t>cpu</m:t>
                  </m:r>
                </m:sub>
              </m:sSub>
            </m:oMath>
          </w:p>
        </w:tc>
        <w:tc>
          <w:tcPr/>
          <w:p>
            <w:pPr>
              <w:pStyle w:val="Compact"/>
              <w:jc w:val="left"/>
            </w:pPr>
            <w:r>
              <w:t xml:space="preserve">Per-request time spent waiting and computing</w:t>
            </w:r>
          </w:p>
        </w:tc>
        <w:tc>
          <w:tcPr/>
          <w:p>
            <w:pPr>
              <w:pStyle w:val="Compact"/>
              <w:jc w:val="left"/>
            </w:pPr>
            <w:r>
              <w:t xml:space="preserve">ms</w:t>
            </w:r>
          </w:p>
        </w:tc>
      </w:tr>
    </w:tbl>
    <w:p>
      <w:pPr>
        <w:pStyle w:val="CalloutExample"/>
      </w:pPr>
      <w:r>
        <w:rPr>
          <w:bCs/>
          <w:b/>
        </w:rPr>
        <w:t xml:space="preserve">WORKED EXAMPLE</w:t>
      </w:r>
    </w:p>
    <w:p>
      <w:pPr>
        <w:pStyle w:val="CalloutExample"/>
      </w:pPr>
      <w:r>
        <w:rPr>
          <w:bCs/>
          <w:b/>
        </w:rPr>
        <w:t xml:space="preserve">Worked example — Sizing a blocking service.</w:t>
      </w:r>
      <w:r>
        <w:t xml:space="preserve"> </w:t>
      </w:r>
      <w:r>
        <w:t xml:space="preserve">A service receives</w:t>
      </w:r>
      <w:r>
        <w:t xml:space="preserve"> </w:t>
      </w:r>
      <m:oMath>
        <m:r>
          <m:t>λ</m:t>
        </m:r>
        <m:r>
          <m:rPr>
            <m:sty m:val="p"/>
          </m:rPr>
          <m:t>=</m:t>
        </m:r>
        <m:r>
          <m:t>2</m:t>
        </m:r>
        <m:r>
          <m:rPr>
            <m:sty m:val="p"/>
          </m:rPr>
          <m:t>,</m:t>
        </m:r>
        <m:r>
          <m:t>000</m:t>
        </m:r>
      </m:oMath>
      <w:r>
        <w:t xml:space="preserve"> </w:t>
      </w:r>
      <w:r>
        <w:t xml:space="preserve">requests/s; each request spends 10 ms on CPU and 90 ms waiting for a database (</w:t>
      </w:r>
      <m:oMath>
        <m:r>
          <m:t>W</m:t>
        </m:r>
        <m:r>
          <m:rPr>
            <m:sty m:val="p"/>
          </m:rPr>
          <m:t>=</m:t>
        </m:r>
        <m:r>
          <m:t>0.1</m:t>
        </m:r>
      </m:oMath>
      <w:r>
        <w:t xml:space="preserve"> </w:t>
      </w:r>
      <w:r>
        <w:t xml:space="preserve">s).</w:t>
      </w:r>
      <w:r>
        <w:t xml:space="preserve"> </w:t>
      </w:r>
      <w:r>
        <w:t xml:space="preserve">Little’s Law (§4.11):</w:t>
      </w:r>
      <w:r>
        <w:t xml:space="preserve"> </w:t>
      </w:r>
      <m:oMath>
        <m:sSub>
          <m:e>
            <m:r>
              <m:t>N</m:t>
            </m:r>
          </m:e>
          <m:sub>
            <m:r>
              <m:rPr>
                <m:nor/>
                <m:sty m:val="p"/>
              </m:rPr>
              <m:t>threads</m:t>
            </m:r>
          </m:sub>
        </m:sSub>
        <m:r>
          <m:rPr>
            <m:sty m:val="p"/>
          </m:rPr>
          <m:t>=</m:t>
        </m:r>
        <m:r>
          <m:t>2</m:t>
        </m:r>
        <m:r>
          <m:rPr>
            <m:sty m:val="p"/>
          </m:rPr>
          <m:t>,</m:t>
        </m:r>
        <m:r>
          <m:t>000</m:t>
        </m:r>
        <m:r>
          <m:rPr>
            <m:sty m:val="p"/>
          </m:rPr>
          <m:t>×</m:t>
        </m:r>
        <m:r>
          <m:t>0.1</m:t>
        </m:r>
        <m:r>
          <m:rPr>
            <m:sty m:val="p"/>
          </m:rPr>
          <m:t>=</m:t>
        </m:r>
      </m:oMath>
      <w:r>
        <w:t xml:space="preserve"> </w:t>
      </w:r>
      <w:r>
        <w:rPr>
          <w:bCs/>
          <w:b/>
        </w:rPr>
        <w:t xml:space="preserve">200 threads</w:t>
      </w:r>
      <w:r>
        <w:t xml:space="preserve"> </w:t>
      </w:r>
      <w:r>
        <w:t xml:space="preserve">in use on average.</w:t>
      </w:r>
      <w:r>
        <w:t xml:space="preserve"> </w:t>
      </w:r>
      <w:r>
        <w:t xml:space="preserve">CPU check:</w:t>
      </w:r>
      <w:r>
        <w:t xml:space="preserve"> </w:t>
      </w:r>
      <m:oMath>
        <m:r>
          <m:t>2</m:t>
        </m:r>
        <m:r>
          <m:rPr>
            <m:sty m:val="p"/>
          </m:rPr>
          <m:t>,</m:t>
        </m:r>
        <m:r>
          <m:t>000</m:t>
        </m:r>
        <m:r>
          <m:rPr>
            <m:sty m:val="p"/>
          </m:rPr>
          <m:t>×</m:t>
        </m:r>
        <m:r>
          <m:t>0.010</m:t>
        </m:r>
      </m:oMath>
      <w:r>
        <w:t xml:space="preserve"> </w:t>
      </w:r>
      <w:r>
        <w:t xml:space="preserve">s = 20 core-seconds per second, so at least</w:t>
      </w:r>
      <w:r>
        <w:t xml:space="preserve"> </w:t>
      </w:r>
      <w:r>
        <w:rPr>
          <w:bCs/>
          <w:b/>
        </w:rPr>
        <w:t xml:space="preserve">20 cores</w:t>
      </w:r>
      <w:r>
        <w:t xml:space="preserve">. With</w:t>
      </w:r>
      <w:r>
        <w:t xml:space="preserve"> </w:t>
      </w:r>
      <m:oMath>
        <m:sSub>
          <m:e>
            <m:r>
              <m:t>N</m:t>
            </m:r>
          </m:e>
          <m:sub>
            <m:r>
              <m:rPr>
                <m:nor/>
                <m:sty m:val="p"/>
              </m:rPr>
              <m:t>cpu</m:t>
            </m:r>
          </m:sub>
        </m:sSub>
        <m:r>
          <m:rPr>
            <m:sty m:val="p"/>
          </m:rPr>
          <m:t>=</m:t>
        </m:r>
        <m:r>
          <m:t>32</m:t>
        </m:r>
      </m:oMath>
      <w:r>
        <w:t xml:space="preserve">,</w:t>
      </w:r>
      <w:r>
        <w:t xml:space="preserve"> </w:t>
      </w:r>
      <m:oMath>
        <m:r>
          <m:t>U</m:t>
        </m:r>
        <m:r>
          <m:rPr>
            <m:sty m:val="p"/>
          </m:rPr>
          <m:t>=</m:t>
        </m:r>
        <m:r>
          <m:t>0.7</m:t>
        </m:r>
      </m:oMath>
      <w:r>
        <w:t xml:space="preserve">:</w:t>
      </w:r>
      <w:r>
        <w:t xml:space="preserve"> </w:t>
      </w:r>
      <m:oMath>
        <m:sSub>
          <m:e>
            <m:r>
              <m:t>N</m:t>
            </m:r>
          </m:e>
          <m:sub>
            <m:r>
              <m:rPr>
                <m:nor/>
                <m:sty m:val="p"/>
              </m:rPr>
              <m:t>threads</m:t>
            </m:r>
          </m:sub>
        </m:sSub>
        <m:r>
          <m:rPr>
            <m:sty m:val="p"/>
          </m:rPr>
          <m:t>≈</m:t>
        </m:r>
        <m:r>
          <m:t>32</m:t>
        </m:r>
        <m:r>
          <m:rPr>
            <m:sty m:val="p"/>
          </m:rPr>
          <m:t>×</m:t>
        </m:r>
        <m:r>
          <m:t>0.7</m:t>
        </m:r>
        <m:r>
          <m:rPr>
            <m:sty m:val="p"/>
          </m:rPr>
          <m:t>×</m:t>
        </m:r>
        <m:d>
          <m:dPr>
            <m:begChr m:val="("/>
            <m:endChr m:val=")"/>
            <m:sepChr m:val=""/>
            <m:grow/>
          </m:dPr>
          <m:e>
            <m:r>
              <m:t>1</m:t>
            </m:r>
            <m:r>
              <m:rPr>
                <m:sty m:val="p"/>
              </m:rPr>
              <m:t>+</m:t>
            </m:r>
            <m:r>
              <m:t>90</m:t>
            </m:r>
            <m:r>
              <m:rPr>
                <m:sty m:val="p"/>
              </m:rPr>
              <m:t>/</m:t>
            </m:r>
            <m:r>
              <m:t>10</m:t>
            </m:r>
          </m:e>
        </m:d>
        <m:r>
          <m:rPr>
            <m:sty m:val="p"/>
          </m:rPr>
          <m:t>=</m:t>
        </m:r>
        <m:r>
          <m:t>224</m:t>
        </m:r>
      </m:oMath>
      <w:r>
        <w:t xml:space="preserve">, consistent with 200 [Goetz et al. 2006].</w:t>
      </w:r>
      <w:r>
        <w:t xml:space="preserve"> </w:t>
      </w:r>
      <w:r>
        <w:rPr>
          <w:bCs/>
          <w:b/>
        </w:rPr>
        <w:t xml:space="preserve">Interpretation.</w:t>
      </w:r>
      <w:r>
        <w:t xml:space="preserve"> </w:t>
      </w:r>
      <w:r>
        <w:t xml:space="preserve">200–250 threads is reasonable here. If the database slows to 900 ms, the same load needs</w:t>
      </w:r>
      <w:r>
        <w:t xml:space="preserve"> </w:t>
      </w:r>
      <m:oMath>
        <m:r>
          <m:t>2</m:t>
        </m:r>
        <m:r>
          <m:rPr>
            <m:sty m:val="p"/>
          </m:rPr>
          <m:t>,</m:t>
        </m:r>
        <m:r>
          <m:t>000</m:t>
        </m:r>
        <m:r>
          <m:rPr>
            <m:sty m:val="p"/>
          </m:rPr>
          <m:t>×</m:t>
        </m:r>
        <m:r>
          <m:t>0.91</m:t>
        </m:r>
        <m:r>
          <m:rPr>
            <m:sty m:val="p"/>
          </m:rPr>
          <m:t>≈</m:t>
        </m:r>
        <m:r>
          <m:t>1</m:t>
        </m:r>
        <m:r>
          <m:rPr>
            <m:sty m:val="p"/>
          </m:rPr>
          <m:t>,</m:t>
        </m:r>
        <m:r>
          <m:t>820</m:t>
        </m:r>
      </m:oMath>
      <w:r>
        <w:t xml:space="preserve"> </w:t>
      </w:r>
      <w:r>
        <w:t xml:space="preserve">threads: a fixed pool of 250 saturates and requests queue.</w:t>
      </w:r>
      <w:r>
        <w:t xml:space="preserve"> </w:t>
      </w:r>
      <w:r>
        <w:rPr>
          <w:bCs/>
          <w:b/>
        </w:rPr>
        <w:t xml:space="preserve">Engineering implication:</w:t>
      </w:r>
      <w:r>
        <w:t xml:space="preserve"> </w:t>
      </w:r>
      <w:r>
        <w:t xml:space="preserve">bound the pool and the queue, set timeouts on downstream calls (§22.11), and shed load rather than letting a slow dependency consume every thread.</w:t>
      </w:r>
    </w:p>
    <w:p>
      <w:pPr>
        <w:pStyle w:val="CalloutMistake"/>
      </w:pPr>
      <w:r>
        <w:rPr>
          <w:bCs/>
          <w:b/>
        </w:rPr>
        <w:t xml:space="preserve">COMMON MISTAKE</w:t>
      </w:r>
    </w:p>
    <w:p>
      <w:pPr>
        <w:pStyle w:val="CalloutMistake"/>
      </w:pPr>
      <w:r>
        <w:rPr>
          <w:bCs/>
          <w:b/>
        </w:rPr>
        <w:t xml:space="preserve">“</w:t>
      </w:r>
      <w:r>
        <w:rPr>
          <w:bCs/>
          <w:b/>
        </w:rPr>
        <w:t xml:space="preserve">Async is faster.</w:t>
      </w:r>
      <w:r>
        <w:rPr>
          <w:bCs/>
          <w:b/>
        </w:rPr>
        <w:t xml:space="preserve">”</w:t>
      </w:r>
      <w:r>
        <w:t xml:space="preserve"> </w:t>
      </w:r>
      <w:r>
        <w:t xml:space="preserve">async/await and event loops do not make individual operations faster; they make</w:t>
      </w:r>
      <w:r>
        <w:t xml:space="preserve"> </w:t>
      </w:r>
      <w:r>
        <w:rPr>
          <w:iCs/>
          <w:i/>
        </w:rPr>
        <w:t xml:space="preserve">waiting</w:t>
      </w:r>
      <w:r>
        <w:t xml:space="preserve"> </w:t>
      </w:r>
      <w:r>
        <w:t xml:space="preserve">cheaper, so more requests can wait at once. For CPU-bound work they are no better than threads, and a single misplaced blocking call makes them much worse.</w:t>
      </w:r>
    </w:p>
    <w:bookmarkEnd w:id="674"/>
    <w:bookmarkEnd w:id="675"/>
    <w:bookmarkStart w:id="676" w:name="summary-and-revision-notes-5"/>
    <w:p>
      <w:pPr>
        <w:pStyle w:val="Heading2"/>
      </w:pPr>
      <w:r>
        <w:t xml:space="preserve">6.16 Summary and revision notes</w:t>
      </w:r>
    </w:p>
    <w:p>
      <w:pPr>
        <w:pStyle w:val="CalloutSummary"/>
      </w:pPr>
      <w:r>
        <w:rPr>
          <w:bCs/>
          <w:b/>
        </w:rPr>
        <w:t xml:space="preserve">SUMMARY</w:t>
      </w:r>
    </w:p>
    <w:p>
      <w:pPr>
        <w:numPr>
          <w:ilvl w:val="0"/>
          <w:numId w:val="1196"/>
        </w:numPr>
        <w:pStyle w:val="Compact"/>
      </w:pPr>
      <w:r>
        <w:t xml:space="preserve">A</w:t>
      </w:r>
      <w:r>
        <w:t xml:space="preserve"> </w:t>
      </w:r>
      <w:r>
        <w:rPr>
          <w:bCs/>
          <w:b/>
        </w:rPr>
        <w:t xml:space="preserve">process</w:t>
      </w:r>
      <w:r>
        <w:t xml:space="preserve"> </w:t>
      </w:r>
      <w:r>
        <w:t xml:space="preserve">is a running program with a private address space; a</w:t>
      </w:r>
      <w:r>
        <w:t xml:space="preserve"> </w:t>
      </w:r>
      <w:r>
        <w:rPr>
          <w:bCs/>
          <w:b/>
        </w:rPr>
        <w:t xml:space="preserve">thread</w:t>
      </w:r>
      <w:r>
        <w:t xml:space="preserve"> </w:t>
      </w:r>
      <w:r>
        <w:t xml:space="preserve">is an execution context sharing its process’s memory. The PCB (</w:t>
      </w:r>
      <w:r>
        <w:rPr>
          <w:rStyle w:val="VerbatimChar"/>
        </w:rPr>
        <w:t xml:space="preserve">task_struct</w:t>
      </w:r>
      <w:r>
        <w:t xml:space="preserve">) stores everything needed to resume. States: New → Ready ⇄ Running → Blocked → Ready → … → Terminated.</w:t>
      </w:r>
    </w:p>
    <w:p>
      <w:pPr>
        <w:numPr>
          <w:ilvl w:val="0"/>
          <w:numId w:val="1196"/>
        </w:numPr>
        <w:pStyle w:val="Compact"/>
      </w:pPr>
      <w:r>
        <w:t xml:space="preserve">A</w:t>
      </w:r>
      <w:r>
        <w:t xml:space="preserve"> </w:t>
      </w:r>
      <w:r>
        <w:rPr>
          <w:bCs/>
          <w:b/>
        </w:rPr>
        <w:t xml:space="preserve">context switch</w:t>
      </w:r>
      <w:r>
        <w:t xml:space="preserve"> </w:t>
      </w:r>
      <w:r>
        <w:t xml:space="preserve">costs ~1–5 µs directly, but cache and TLB refill can cost 10–100× more. Overhead fraction</w:t>
      </w:r>
      <w:r>
        <w:t xml:space="preserve"> </w:t>
      </w:r>
      <m:oMath>
        <m:r>
          <m:t>f</m:t>
        </m:r>
        <m:r>
          <m:rPr>
            <m:sty m:val="p"/>
          </m:rPr>
          <m:t>=</m:t>
        </m:r>
        <m:r>
          <m:t>C</m:t>
        </m:r>
        <m:r>
          <m:rPr>
            <m:sty m:val="p"/>
          </m:rPr>
          <m:t>/</m:t>
        </m:r>
        <m:d>
          <m:dPr>
            <m:begChr m:val="("/>
            <m:endChr m:val=")"/>
            <m:sepChr m:val=""/>
            <m:grow/>
          </m:dPr>
          <m:e>
            <m:r>
              <m:t>Q</m:t>
            </m:r>
            <m:r>
              <m:rPr>
                <m:sty m:val="p"/>
              </m:rPr>
              <m:t>+</m:t>
            </m:r>
            <m:r>
              <m:t>C</m:t>
            </m:r>
          </m:e>
        </m:d>
      </m:oMath>
      <w:r>
        <w:t xml:space="preserve">: it matters when threads run only microseconds between switches.</w:t>
      </w:r>
    </w:p>
    <w:p>
      <w:pPr>
        <w:numPr>
          <w:ilvl w:val="0"/>
          <w:numId w:val="1196"/>
        </w:numPr>
        <w:pStyle w:val="Compact"/>
      </w:pPr>
      <w:r>
        <w:rPr>
          <w:bCs/>
          <w:b/>
        </w:rPr>
        <w:t xml:space="preserve">Scheduling</w:t>
      </w:r>
      <w:r>
        <w:t xml:space="preserve"> </w:t>
      </w:r>
      <w:r>
        <w:t xml:space="preserve">trades turnaround, response time and fairness. RR fixes FCFS’s convoy effect; MLFQ learns interactivity; Linux uses weighted fair sharing (CFS from 2.6.23, EEVDF from 6.6). CPU quotas in containers can throttle a service even when the host is idle.</w:t>
      </w:r>
    </w:p>
    <w:p>
      <w:pPr>
        <w:numPr>
          <w:ilvl w:val="0"/>
          <w:numId w:val="1196"/>
        </w:numPr>
        <w:pStyle w:val="Compact"/>
      </w:pPr>
      <w:r>
        <w:rPr>
          <w:bCs/>
          <w:b/>
        </w:rPr>
        <w:t xml:space="preserve">Virtual memory</w:t>
      </w:r>
      <w:r>
        <w:t xml:space="preserve"> </w:t>
      </w:r>
      <w:r>
        <w:t xml:space="preserve">translates addresses through page tables cached in the TLB. TLB reach = entries × page size; huge pages extend it. Major page faults cost 100 µs–10 ms, so even rare faults dominate average access time. The</w:t>
      </w:r>
      <w:r>
        <w:t xml:space="preserve"> </w:t>
      </w:r>
      <w:r>
        <w:rPr>
          <w:bCs/>
          <w:b/>
        </w:rPr>
        <w:t xml:space="preserve">page cache</w:t>
      </w:r>
      <w:r>
        <w:t xml:space="preserve"> </w:t>
      </w:r>
      <w:r>
        <w:t xml:space="preserve">holds file data;</w:t>
      </w:r>
      <w:r>
        <w:t xml:space="preserve"> </w:t>
      </w:r>
      <w:r>
        <w:rPr>
          <w:rStyle w:val="VerbatimChar"/>
        </w:rPr>
        <w:t xml:space="preserve">mmap</w:t>
      </w:r>
      <w:r>
        <w:t xml:space="preserve"> </w:t>
      </w:r>
      <w:r>
        <w:t xml:space="preserve">maps it into memory; copy-on-write makes</w:t>
      </w:r>
      <w:r>
        <w:t xml:space="preserve"> </w:t>
      </w:r>
      <w:r>
        <w:rPr>
          <w:rStyle w:val="VerbatimChar"/>
        </w:rPr>
        <w:t xml:space="preserve">fork</w:t>
      </w:r>
      <w:r>
        <w:t xml:space="preserve"> </w:t>
      </w:r>
      <w:r>
        <w:t xml:space="preserve">cheap.</w:t>
      </w:r>
    </w:p>
    <w:p>
      <w:pPr>
        <w:numPr>
          <w:ilvl w:val="0"/>
          <w:numId w:val="1196"/>
        </w:numPr>
        <w:pStyle w:val="Compact"/>
      </w:pPr>
      <w:r>
        <w:t xml:space="preserve">A</w:t>
      </w:r>
      <w:r>
        <w:t xml:space="preserve"> </w:t>
      </w:r>
      <w:r>
        <w:rPr>
          <w:bCs/>
          <w:b/>
        </w:rPr>
        <w:t xml:space="preserve">system call</w:t>
      </w:r>
      <w:r>
        <w:t xml:space="preserve"> </w:t>
      </w:r>
      <w:r>
        <w:t xml:space="preserve">costs ~100 ns or more versus ~1 ns for a function call; batch, use vDSO, or use shared rings (</w:t>
      </w:r>
      <w:r>
        <w:rPr>
          <w:rStyle w:val="VerbatimChar"/>
        </w:rPr>
        <w:t xml:space="preserve">io_uring</w:t>
      </w:r>
      <w:r>
        <w:t xml:space="preserve">).</w:t>
      </w:r>
    </w:p>
    <w:p>
      <w:pPr>
        <w:numPr>
          <w:ilvl w:val="0"/>
          <w:numId w:val="1196"/>
        </w:numPr>
        <w:pStyle w:val="Compact"/>
      </w:pPr>
      <w:r>
        <w:rPr>
          <w:bCs/>
          <w:b/>
        </w:rPr>
        <w:t xml:space="preserve">Concurrency</w:t>
      </w:r>
      <w:r>
        <w:t xml:space="preserve"> </w:t>
      </w:r>
      <w:r>
        <w:t xml:space="preserve">is about structure and overlapping waits;</w:t>
      </w:r>
      <w:r>
        <w:t xml:space="preserve"> </w:t>
      </w:r>
      <w:r>
        <w:rPr>
          <w:bCs/>
          <w:b/>
        </w:rPr>
        <w:t xml:space="preserve">parallelism</w:t>
      </w:r>
      <w:r>
        <w:t xml:space="preserve"> </w:t>
      </w:r>
      <w:r>
        <w:t xml:space="preserve">is simultaneous execution. Neither implies the other.</w:t>
      </w:r>
    </w:p>
    <w:p>
      <w:pPr>
        <w:numPr>
          <w:ilvl w:val="0"/>
          <w:numId w:val="1196"/>
        </w:numPr>
        <w:pStyle w:val="Compact"/>
      </w:pPr>
      <w:r>
        <w:t xml:space="preserve">A</w:t>
      </w:r>
      <w:r>
        <w:t xml:space="preserve"> </w:t>
      </w:r>
      <w:r>
        <w:rPr>
          <w:bCs/>
          <w:b/>
        </w:rPr>
        <w:t xml:space="preserve">race condition</w:t>
      </w:r>
      <w:r>
        <w:t xml:space="preserve"> </w:t>
      </w:r>
      <w:r>
        <w:t xml:space="preserve">is a timing-dependent bug; protect every read-modify-write of shared state as a</w:t>
      </w:r>
      <w:r>
        <w:t xml:space="preserve"> </w:t>
      </w:r>
      <w:r>
        <w:rPr>
          <w:bCs/>
          <w:b/>
        </w:rPr>
        <w:t xml:space="preserve">critical section</w:t>
      </w:r>
      <w:r>
        <w:t xml:space="preserve">, and run race detectors in CI.</w:t>
      </w:r>
    </w:p>
    <w:p>
      <w:pPr>
        <w:numPr>
          <w:ilvl w:val="0"/>
          <w:numId w:val="1196"/>
        </w:numPr>
        <w:pStyle w:val="Compact"/>
      </w:pPr>
      <w:r>
        <w:t xml:space="preserve">Mutex for exclusion; semaphore to limit concurrency; condition variable (in a</w:t>
      </w:r>
      <w:r>
        <w:t xml:space="preserve"> </w:t>
      </w:r>
      <w:r>
        <w:rPr>
          <w:rStyle w:val="VerbatimChar"/>
        </w:rPr>
        <w:t xml:space="preserve">while</w:t>
      </w:r>
      <w:r>
        <w:t xml:space="preserve"> </w:t>
      </w:r>
      <w:r>
        <w:t xml:space="preserve">loop) to wait for a predicate; atomics/CAS for single-word updates; read-write locks for long read-mostly sections; lock-free structures only from proven libraries, minding ABA.</w:t>
      </w:r>
    </w:p>
    <w:p>
      <w:pPr>
        <w:numPr>
          <w:ilvl w:val="0"/>
          <w:numId w:val="1196"/>
        </w:numPr>
        <w:pStyle w:val="Compact"/>
      </w:pPr>
      <w:r>
        <w:rPr>
          <w:bCs/>
          <w:b/>
        </w:rPr>
        <w:t xml:space="preserve">Deadlock</w:t>
      </w:r>
      <w:r>
        <w:t xml:space="preserve"> </w:t>
      </w:r>
      <w:r>
        <w:t xml:space="preserve">needs all four Coffman conditions; break circular wait with lock ordering. Livelock → randomized backoff; starvation → fairness; priority inversion → priority inheritance (Mars Pathfinder, 1997).</w:t>
      </w:r>
    </w:p>
    <w:p>
      <w:pPr>
        <w:numPr>
          <w:ilvl w:val="0"/>
          <w:numId w:val="1196"/>
        </w:numPr>
        <w:pStyle w:val="Compact"/>
      </w:pPr>
      <w:r>
        <w:t xml:space="preserve">IPC: pipes, sockets, shared memory (fastest), message queues, signals (handle</w:t>
      </w:r>
      <w:r>
        <w:t xml:space="preserve"> </w:t>
      </w:r>
      <w:r>
        <w:rPr>
          <w:rStyle w:val="VerbatimChar"/>
        </w:rPr>
        <w:t xml:space="preserve">SIGTERM</w:t>
      </w:r>
      <w:r>
        <w:t xml:space="preserve">).</w:t>
      </w:r>
    </w:p>
    <w:p>
      <w:pPr>
        <w:numPr>
          <w:ilvl w:val="0"/>
          <w:numId w:val="1196"/>
        </w:numPr>
        <w:pStyle w:val="Compact"/>
      </w:pPr>
      <w:r>
        <w:t xml:space="preserve">I/O: blocking needs a thread per connection;</w:t>
      </w:r>
      <w:r>
        <w:t xml:space="preserve"> </w:t>
      </w:r>
      <w:r>
        <w:rPr>
          <w:rStyle w:val="VerbatimChar"/>
        </w:rPr>
        <w:t xml:space="preserve">epoll</w:t>
      </w:r>
      <w:r>
        <w:t xml:space="preserve">/</w:t>
      </w:r>
      <w:r>
        <w:rPr>
          <w:rStyle w:val="VerbatimChar"/>
        </w:rPr>
        <w:t xml:space="preserve">kqueue</w:t>
      </w:r>
      <w:r>
        <w:t xml:space="preserve"> </w:t>
      </w:r>
      <w:r>
        <w:t xml:space="preserve">readiness notification solved C10K;</w:t>
      </w:r>
      <w:r>
        <w:t xml:space="preserve"> </w:t>
      </w:r>
      <w:r>
        <w:rPr>
          <w:rStyle w:val="VerbatimChar"/>
        </w:rPr>
        <w:t xml:space="preserve">io_uring</w:t>
      </w:r>
      <w:r>
        <w:t xml:space="preserve"> </w:t>
      </w:r>
      <w:r>
        <w:t xml:space="preserve">adds batched completion-based I/O. An event loop must never block.</w:t>
      </w:r>
    </w:p>
    <w:p>
      <w:pPr>
        <w:numPr>
          <w:ilvl w:val="0"/>
          <w:numId w:val="1196"/>
        </w:numPr>
        <w:pStyle w:val="Compact"/>
      </w:pPr>
      <w:r>
        <w:rPr>
          <w:rStyle w:val="VerbatimChar"/>
        </w:rPr>
        <w:t xml:space="preserve">write()</w:t>
      </w:r>
      <w:r>
        <w:t xml:space="preserve"> </w:t>
      </w:r>
      <w:r>
        <w:t xml:space="preserve">is not durable. Use</w:t>
      </w:r>
      <w:r>
        <w:t xml:space="preserve"> </w:t>
      </w:r>
      <w:r>
        <w:rPr>
          <w:rStyle w:val="VerbatimChar"/>
        </w:rPr>
        <w:t xml:space="preserve">fsync</w:t>
      </w:r>
      <w:r>
        <w:t xml:space="preserve"> </w:t>
      </w:r>
      <w:r>
        <w:t xml:space="preserve">on the file</w:t>
      </w:r>
      <w:r>
        <w:t xml:space="preserve"> </w:t>
      </w:r>
      <w:r>
        <w:rPr>
          <w:iCs/>
          <w:i/>
        </w:rPr>
        <w:t xml:space="preserve">and</w:t>
      </w:r>
      <w:r>
        <w:t xml:space="preserve"> </w:t>
      </w:r>
      <w:r>
        <w:t xml:space="preserve">its directory, treat</w:t>
      </w:r>
      <w:r>
        <w:t xml:space="preserve"> </w:t>
      </w:r>
      <w:r>
        <w:rPr>
          <w:rStyle w:val="VerbatimChar"/>
        </w:rPr>
        <w:t xml:space="preserve">fsync</w:t>
      </w:r>
      <w:r>
        <w:t xml:space="preserve"> </w:t>
      </w:r>
      <w:r>
        <w:t xml:space="preserve">errors as fatal, and batch commits (group commit</w:t>
      </w:r>
      <w:r>
        <w:t xml:space="preserve"> </w:t>
      </w:r>
      <m:oMath>
        <m:r>
          <m:t>X</m:t>
        </m:r>
        <m:r>
          <m:rPr>
            <m:sty m:val="p"/>
          </m:rPr>
          <m:t>=</m:t>
        </m:r>
        <m:r>
          <m:t>B</m:t>
        </m:r>
        <m:r>
          <m:rPr>
            <m:sty m:val="p"/>
          </m:rPr>
          <m:t>/</m:t>
        </m:r>
        <m:sSub>
          <m:e>
            <m:r>
              <m:t>t</m:t>
            </m:r>
          </m:e>
          <m:sub>
            <m:r>
              <m:rPr>
                <m:nor/>
                <m:sty m:val="p"/>
              </m:rPr>
              <m:t>fsync</m:t>
            </m:r>
          </m:sub>
        </m:sSub>
      </m:oMath>
      <w:r>
        <w:t xml:space="preserve">).</w:t>
      </w:r>
    </w:p>
    <w:p>
      <w:pPr>
        <w:numPr>
          <w:ilvl w:val="0"/>
          <w:numId w:val="1196"/>
        </w:numPr>
        <w:pStyle w:val="Compact"/>
      </w:pPr>
      <w:r>
        <w:t xml:space="preserve">Thread-per-request is simple but costs ~100 KB per connection; event loops, goroutines, virtual threads and async/await make waiting cheap. Size pools with Little’s Law and bound them.</w:t>
      </w:r>
    </w:p>
    <w:bookmarkEnd w:id="676"/>
    <w:bookmarkStart w:id="677" w:name="knowledge-checkpoint-5"/>
    <w:p>
      <w:pPr>
        <w:pStyle w:val="Heading2"/>
      </w:pPr>
      <w:r>
        <w:t xml:space="preserve">6.17 Knowledge checkpoint</w:t>
      </w:r>
    </w:p>
    <w:p>
      <w:pPr>
        <w:numPr>
          <w:ilvl w:val="0"/>
          <w:numId w:val="1197"/>
        </w:numPr>
        <w:pStyle w:val="Compact"/>
      </w:pPr>
      <w:r>
        <w:t xml:space="preserve">What is the difference between a program, a process and a thread?</w:t>
      </w:r>
    </w:p>
    <w:p>
      <w:pPr>
        <w:numPr>
          <w:ilvl w:val="0"/>
          <w:numId w:val="1197"/>
        </w:numPr>
        <w:pStyle w:val="Compact"/>
      </w:pPr>
      <w:r>
        <w:t xml:space="preserve">Name five pieces of information stored in a PCB.</w:t>
      </w:r>
    </w:p>
    <w:p>
      <w:pPr>
        <w:numPr>
          <w:ilvl w:val="0"/>
          <w:numId w:val="1197"/>
        </w:numPr>
        <w:pStyle w:val="Compact"/>
      </w:pPr>
      <w:r>
        <w:t xml:space="preserve">Why does a process go from Blocked to Ready rather than directly to Running?</w:t>
      </w:r>
    </w:p>
    <w:p>
      <w:pPr>
        <w:numPr>
          <w:ilvl w:val="0"/>
          <w:numId w:val="1197"/>
        </w:numPr>
        <w:pStyle w:val="Compact"/>
      </w:pPr>
      <w:r>
        <w:t xml:space="preserve">Distinguish the direct and indirect costs of a context switch.</w:t>
      </w:r>
    </w:p>
    <w:p>
      <w:pPr>
        <w:numPr>
          <w:ilvl w:val="0"/>
          <w:numId w:val="1197"/>
        </w:numPr>
        <w:pStyle w:val="Compact"/>
      </w:pPr>
      <w:r>
        <w:t xml:space="preserve">Three jobs of 100, 10 and 10 ms arrive together. What is the average turnaround time under FCFS (in that order) and under SJF?</w:t>
      </w:r>
    </w:p>
    <w:p>
      <w:pPr>
        <w:numPr>
          <w:ilvl w:val="0"/>
          <w:numId w:val="1197"/>
        </w:numPr>
        <w:pStyle w:val="Compact"/>
      </w:pPr>
      <w:r>
        <w:t xml:space="preserve">How does a CPU limit in a container cause latency spikes on an idle host?</w:t>
      </w:r>
    </w:p>
    <w:p>
      <w:pPr>
        <w:numPr>
          <w:ilvl w:val="0"/>
          <w:numId w:val="1197"/>
        </w:numPr>
        <w:pStyle w:val="Compact"/>
      </w:pPr>
      <w:r>
        <w:t xml:space="preserve">Calculate the TLB reach of 2,048 entries with 4 KiB pages and with 2 MiB pages.</w:t>
      </w:r>
    </w:p>
    <w:p>
      <w:pPr>
        <w:numPr>
          <w:ilvl w:val="0"/>
          <w:numId w:val="1197"/>
        </w:numPr>
        <w:pStyle w:val="Compact"/>
      </w:pPr>
      <w:r>
        <w:t xml:space="preserve">What is the difference between a minor and a major page fault?</w:t>
      </w:r>
    </w:p>
    <w:p>
      <w:pPr>
        <w:numPr>
          <w:ilvl w:val="0"/>
          <w:numId w:val="1197"/>
        </w:numPr>
        <w:pStyle w:val="Compact"/>
      </w:pPr>
      <w:r>
        <w:t xml:space="preserve">Why must a condition-variable wait be inside a</w:t>
      </w:r>
      <w:r>
        <w:t xml:space="preserve"> </w:t>
      </w:r>
      <w:r>
        <w:rPr>
          <w:rStyle w:val="VerbatimChar"/>
        </w:rPr>
        <w:t xml:space="preserve">while</w:t>
      </w:r>
      <w:r>
        <w:t xml:space="preserve"> </w:t>
      </w:r>
      <w:r>
        <w:t xml:space="preserve">loop?</w:t>
      </w:r>
    </w:p>
    <w:p>
      <w:pPr>
        <w:numPr>
          <w:ilvl w:val="0"/>
          <w:numId w:val="1197"/>
        </w:numPr>
        <w:pStyle w:val="Compact"/>
      </w:pPr>
      <w:r>
        <w:t xml:space="preserve">Describe the ABA problem in one or two sentences and give one remedy.</w:t>
      </w:r>
    </w:p>
    <w:p>
      <w:pPr>
        <w:numPr>
          <w:ilvl w:val="0"/>
          <w:numId w:val="1197"/>
        </w:numPr>
        <w:pStyle w:val="Compact"/>
      </w:pPr>
      <w:r>
        <w:t xml:space="preserve">List the four Coffman conditions and the most practical way to break one.</w:t>
      </w:r>
    </w:p>
    <w:p>
      <w:pPr>
        <w:numPr>
          <w:ilvl w:val="0"/>
          <w:numId w:val="1197"/>
        </w:numPr>
        <w:pStyle w:val="Compact"/>
      </w:pPr>
      <w:r>
        <w:t xml:space="preserve">Why does</w:t>
      </w:r>
      <w:r>
        <w:t xml:space="preserve"> </w:t>
      </w:r>
      <w:r>
        <w:rPr>
          <w:rStyle w:val="VerbatimChar"/>
        </w:rPr>
        <w:t xml:space="preserve">epoll</w:t>
      </w:r>
      <w:r>
        <w:t xml:space="preserve"> </w:t>
      </w:r>
      <w:r>
        <w:t xml:space="preserve">not help with reading regular files?</w:t>
      </w:r>
    </w:p>
    <w:p>
      <w:pPr>
        <w:numPr>
          <w:ilvl w:val="0"/>
          <w:numId w:val="1197"/>
        </w:numPr>
        <w:pStyle w:val="Compact"/>
      </w:pPr>
      <w:r>
        <w:t xml:space="preserve">List the three steps to durably replace a file and the consequence of skipping each.</w:t>
      </w:r>
    </w:p>
    <w:p>
      <w:pPr>
        <w:numPr>
          <w:ilvl w:val="0"/>
          <w:numId w:val="1197"/>
        </w:numPr>
        <w:pStyle w:val="Compact"/>
      </w:pPr>
      <w:r>
        <w:t xml:space="preserve">A service handles 1,000 requests/s, each holding a thread for 250 ms. How many threads are busy on average?</w:t>
      </w:r>
    </w:p>
    <w:p>
      <w:pPr>
        <w:pStyle w:val="FirstParagraph"/>
      </w:pPr>
      <w:r>
        <w:t xml:space="preserve">Answers</w:t>
      </w:r>
    </w:p>
    <w:p>
      <w:pPr>
        <w:numPr>
          <w:ilvl w:val="0"/>
          <w:numId w:val="1198"/>
        </w:numPr>
        <w:pStyle w:val="Compact"/>
      </w:pPr>
      <w:r>
        <w:t xml:space="preserve">A program is an executable file; a process is a running instance with its own address space and resources; a thread is one execution context (registers, stack) inside a process, sharing its memory.</w:t>
      </w:r>
    </w:p>
    <w:p>
      <w:pPr>
        <w:numPr>
          <w:ilvl w:val="0"/>
          <w:numId w:val="1198"/>
        </w:numPr>
        <w:pStyle w:val="Compact"/>
      </w:pPr>
      <w:r>
        <w:t xml:space="preserve">Any five of: PID and parent PID, state, saved registers and program counter, scheduling priority and accounting, page-table pointer and memory map, open file table, signal handlers, credentials, resource limits.</w:t>
      </w:r>
    </w:p>
    <w:p>
      <w:pPr>
        <w:numPr>
          <w:ilvl w:val="0"/>
          <w:numId w:val="1198"/>
        </w:numPr>
        <w:pStyle w:val="Compact"/>
      </w:pPr>
      <w:r>
        <w:t xml:space="preserve">The event that unblocked it does not mean a CPU is free; it must be chosen by the scheduler like any other ready task.</w:t>
      </w:r>
    </w:p>
    <w:p>
      <w:pPr>
        <w:numPr>
          <w:ilvl w:val="0"/>
          <w:numId w:val="1198"/>
        </w:numPr>
        <w:pStyle w:val="Compact"/>
      </w:pPr>
      <w:r>
        <w:t xml:space="preserve">Direct: kernel work to save and restore state and choose the next task (~1–5 µs). Indirect: slower execution afterwards because caches and TLB hold the previous thread’s state.</w:t>
      </w:r>
    </w:p>
    <w:p>
      <w:pPr>
        <w:numPr>
          <w:ilvl w:val="0"/>
          <w:numId w:val="1198"/>
        </w:numPr>
        <w:pStyle w:val="Compact"/>
      </w:pPr>
      <w:r>
        <w:t xml:space="preserve">FCFS: completions 100, 110, 120 → average 110 ms. SJF: 10, 20, 120 → average 50 ms.</w:t>
      </w:r>
    </w:p>
    <w:p>
      <w:pPr>
        <w:numPr>
          <w:ilvl w:val="0"/>
          <w:numId w:val="1198"/>
        </w:numPr>
        <w:pStyle w:val="Compact"/>
      </w:pPr>
      <w:r>
        <w:t xml:space="preserve">CFS bandwidth control gives the cgroup a quota per period (default 100 ms). Several threads exhaust it early and the cgroup is throttled for the rest of the period, delaying requests regardless of host load.</w:t>
      </w:r>
    </w:p>
    <w:p>
      <w:pPr>
        <w:numPr>
          <w:ilvl w:val="0"/>
          <w:numId w:val="1198"/>
        </w:numPr>
        <w:pStyle w:val="Compact"/>
      </w:pPr>
      <w:r>
        <w:t xml:space="preserve">2,048 × 4 KiB = 8 MiB; 2,048 × 2 MiB = 4 GiB.</w:t>
      </w:r>
    </w:p>
    <w:p>
      <w:pPr>
        <w:numPr>
          <w:ilvl w:val="0"/>
          <w:numId w:val="1198"/>
        </w:numPr>
        <w:pStyle w:val="Compact"/>
      </w:pPr>
      <w:r>
        <w:t xml:space="preserve">A minor fault needs no I/O (page already in RAM, or a fresh zero page); a major fault reads from storage and blocks the thread for 100 µs–10 ms.</w:t>
      </w:r>
    </w:p>
    <w:p>
      <w:pPr>
        <w:numPr>
          <w:ilvl w:val="0"/>
          <w:numId w:val="1198"/>
        </w:numPr>
        <w:pStyle w:val="Compact"/>
      </w:pPr>
      <w:r>
        <w:t xml:space="preserve">Under Mesa semantics another thread may change the state before the woken waiter reacquires the lock, and spurious wake-ups are allowed.</w:t>
      </w:r>
    </w:p>
    <w:p>
      <w:pPr>
        <w:numPr>
          <w:ilvl w:val="0"/>
          <w:numId w:val="1198"/>
        </w:numPr>
        <w:pStyle w:val="Compact"/>
      </w:pPr>
      <w:r>
        <w:t xml:space="preserve">A CAS succeeds because a location again holds value A, although it changed to B and back in between, so the CAS acts on stale assumptions. Remedies: version-tagged pointers, hazard pointers, epoch-based reclamation.</w:t>
      </w:r>
    </w:p>
    <w:p>
      <w:pPr>
        <w:numPr>
          <w:ilvl w:val="0"/>
          <w:numId w:val="1198"/>
        </w:numPr>
        <w:pStyle w:val="Compact"/>
      </w:pPr>
      <w:r>
        <w:t xml:space="preserve">Mutual exclusion, hold and wait, no preemption, circular wait. Break circular wait with a global lock order.</w:t>
      </w:r>
    </w:p>
    <w:p>
      <w:pPr>
        <w:numPr>
          <w:ilvl w:val="0"/>
          <w:numId w:val="1198"/>
        </w:numPr>
        <w:pStyle w:val="Compact"/>
      </w:pPr>
      <w:r>
        <w:t xml:space="preserve">Regular files are always reported ready, yet reads can block on disk. Use a thread pool or</w:t>
      </w:r>
      <w:r>
        <w:t xml:space="preserve"> </w:t>
      </w:r>
      <w:r>
        <w:rPr>
          <w:rStyle w:val="VerbatimChar"/>
        </w:rPr>
        <w:t xml:space="preserve">io_uring</w:t>
      </w:r>
      <w:r>
        <w:t xml:space="preserve">.</w:t>
      </w:r>
    </w:p>
    <w:p>
      <w:pPr>
        <w:numPr>
          <w:ilvl w:val="0"/>
          <w:numId w:val="1198"/>
        </w:numPr>
        <w:pStyle w:val="Compact"/>
      </w:pPr>
      <w:r>
        <w:rPr>
          <w:rStyle w:val="VerbatimChar"/>
        </w:rPr>
        <w:t xml:space="preserve">fsync</w:t>
      </w:r>
      <w:r>
        <w:t xml:space="preserve"> </w:t>
      </w:r>
      <w:r>
        <w:t xml:space="preserve">the temporary file (else the new name may point at empty data), rename atomically (else readers may see a partial file),</w:t>
      </w:r>
      <w:r>
        <w:t xml:space="preserve"> </w:t>
      </w:r>
      <w:r>
        <w:rPr>
          <w:rStyle w:val="VerbatimChar"/>
        </w:rPr>
        <w:t xml:space="preserve">fsync</w:t>
      </w:r>
      <w:r>
        <w:t xml:space="preserve"> </w:t>
      </w:r>
      <w:r>
        <w:t xml:space="preserve">the directory (else the old file may reappear after a crash).</w:t>
      </w:r>
    </w:p>
    <w:p>
      <w:pPr>
        <w:numPr>
          <w:ilvl w:val="0"/>
          <w:numId w:val="1198"/>
        </w:numPr>
        <w:pStyle w:val="Compact"/>
      </w:pPr>
      <w:r>
        <w:t xml:space="preserve">Little’s Law: 1,000 × 0.25 = 250 threads.</w:t>
      </w:r>
    </w:p>
    <w:bookmarkEnd w:id="677"/>
    <w:bookmarkStart w:id="681" w:name="interview-questions-5"/>
    <w:p>
      <w:pPr>
        <w:pStyle w:val="Heading2"/>
      </w:pPr>
      <w:r>
        <w:t xml:space="preserve">6.18 Interview questions</w:t>
      </w:r>
    </w:p>
    <w:bookmarkStart w:id="678" w:name="basic-5"/>
    <w:p>
      <w:pPr>
        <w:pStyle w:val="Heading3"/>
      </w:pPr>
      <w:r>
        <w:t xml:space="preserve">Basic</w:t>
      </w:r>
    </w:p>
    <w:p>
      <w:pPr>
        <w:pStyle w:val="FirstParagraph"/>
      </w:pPr>
      <w:r>
        <w:rPr>
          <w:bCs/>
          <w:b/>
        </w:rPr>
        <w:t xml:space="preserve">Q1. What is the difference between a process and a thread, and when would you choose processes?</w:t>
      </w:r>
      <w:r>
        <w:t xml:space="preserve"> </w:t>
      </w:r>
      <w:r>
        <w:rPr>
          <w:bCs/>
          <w:b/>
        </w:rPr>
        <w:t xml:space="preserve">Answer.</w:t>
      </w:r>
      <w:r>
        <w:t xml:space="preserve"> </w:t>
      </w:r>
      <w:r>
        <w:t xml:space="preserve">A process has its own address space; threads share their process’s memory and file descriptors but have their own stacks and registers. Threads communicate cheaply and switch faster; processes isolate faults. Choose processes for isolation (untrusted code, non-thread-safe libraries, PostgreSQL backends) or to bypass a GIL; threads for low-latency sharing of large in-memory state.</w:t>
      </w:r>
    </w:p>
    <w:p>
      <w:pPr>
        <w:pStyle w:val="BodyText"/>
      </w:pPr>
      <w:r>
        <w:rPr>
          <w:bCs/>
          <w:b/>
        </w:rPr>
        <w:t xml:space="preserve">Q2. What is a race condition? Give an example and two fixes.</w:t>
      </w:r>
      <w:r>
        <w:t xml:space="preserve"> </w:t>
      </w:r>
      <w:r>
        <w:rPr>
          <w:bCs/>
          <w:b/>
        </w:rPr>
        <w:t xml:space="preserve">Answer.</w:t>
      </w:r>
      <w:r>
        <w:t xml:space="preserve"> </w:t>
      </w:r>
      <w:r>
        <w:t xml:space="preserve">A bug whose outcome depends on the interleaving of concurrent operations; e.g. two threads both read 5 and both write 6. Fixes: a mutex around the read-modify-write, or one atomic operation (atomic add, CAS loop); across services, transactions or conditional writes. Tests rarely reveal races, so use race detectors.</w:t>
      </w:r>
    </w:p>
    <w:p>
      <w:pPr>
        <w:pStyle w:val="BodyText"/>
      </w:pPr>
      <w:r>
        <w:rPr>
          <w:bCs/>
          <w:b/>
        </w:rPr>
        <w:t xml:space="preserve">Q3. What is a deadlock and how do you prevent it in application code?</w:t>
      </w:r>
      <w:r>
        <w:t xml:space="preserve"> </w:t>
      </w:r>
      <w:r>
        <w:rPr>
          <w:bCs/>
          <w:b/>
        </w:rPr>
        <w:t xml:space="preserve">Answer.</w:t>
      </w:r>
      <w:r>
        <w:t xml:space="preserve"> </w:t>
      </w:r>
      <w:r>
        <w:t xml:space="preserve">A cycle of threads each waiting for a resource held by the next, requiring all four Coffman conditions. Acquire locks in one global order, never hold locks across I/O or unknown callbacks, use</w:t>
      </w:r>
      <w:r>
        <w:t xml:space="preserve"> </w:t>
      </w:r>
      <w:r>
        <w:rPr>
          <w:rStyle w:val="VerbatimChar"/>
        </w:rPr>
        <w:t xml:space="preserve">tryLock</w:t>
      </w:r>
      <w:r>
        <w:t xml:space="preserve"> </w:t>
      </w:r>
      <w:r>
        <w:t xml:space="preserve">with timeouts, and prefer single-owner state or message passing. Detect with thread dumps.</w:t>
      </w:r>
    </w:p>
    <w:bookmarkEnd w:id="678"/>
    <w:bookmarkStart w:id="679" w:name="intermediate-5"/>
    <w:p>
      <w:pPr>
        <w:pStyle w:val="Heading3"/>
      </w:pPr>
      <w:r>
        <w:t xml:space="preserve">Intermediate</w:t>
      </w:r>
    </w:p>
    <w:p>
      <w:pPr>
        <w:pStyle w:val="FirstParagraph"/>
      </w:pPr>
      <w:r>
        <w:rPr>
          <w:bCs/>
          <w:b/>
        </w:rPr>
        <w:t xml:space="preserve">Q4. Your service’s p99 latency doubled after you increased the worker pool from 64 to 2,000 threads on a 16-core machine. Why might that be?</w:t>
      </w:r>
      <w:r>
        <w:t xml:space="preserve"> </w:t>
      </w:r>
      <w:r>
        <w:rPr>
          <w:bCs/>
          <w:b/>
        </w:rPr>
        <w:t xml:space="preserve">Answer.</w:t>
      </w:r>
      <w:r>
        <w:t xml:space="preserve"> </w:t>
      </w:r>
      <w:r>
        <w:t xml:space="preserve">If the work is CPU-bound, 2,000 runnable threads on 16 cores each wait behind ~125 others; involuntary switches multiply and evict caches, so throughput falls while queueing grows, and lock contention rises. Check</w:t>
      </w:r>
      <w:r>
        <w:t xml:space="preserve"> </w:t>
      </w:r>
      <w:r>
        <w:rPr>
          <w:rStyle w:val="VerbatimChar"/>
        </w:rPr>
        <w:t xml:space="preserve">vmstat</w:t>
      </w:r>
      <w:r>
        <w:t xml:space="preserve"> </w:t>
      </w:r>
      <w:r>
        <w:t xml:space="preserve">(cs, run queue), voluntary versus involuntary switches and lock profiles. Size the pool with Little’s Law and the CPU/wait ratio, with a bounded queue and load shedding. If the work is I/O-bound, async or virtual threads are cheaper than a huge pool.</w:t>
      </w:r>
    </w:p>
    <w:p>
      <w:pPr>
        <w:pStyle w:val="BodyText"/>
      </w:pPr>
      <w:r>
        <w:rPr>
          <w:bCs/>
          <w:b/>
        </w:rPr>
        <w:t xml:space="preserve">Q5. Explain how an event loop serves 10,000 connections on one thread, and what breaks it.</w:t>
      </w:r>
      <w:r>
        <w:t xml:space="preserve"> </w:t>
      </w:r>
      <w:r>
        <w:rPr>
          <w:bCs/>
          <w:b/>
        </w:rPr>
        <w:t xml:space="preserve">Answer.</w:t>
      </w:r>
      <w:r>
        <w:t xml:space="preserve"> </w:t>
      </w:r>
      <w:r>
        <w:t xml:space="preserve">Non-blocking sockets are registered with</w:t>
      </w:r>
      <w:r>
        <w:t xml:space="preserve"> </w:t>
      </w:r>
      <w:r>
        <w:rPr>
          <w:rStyle w:val="VerbatimChar"/>
        </w:rPr>
        <w:t xml:space="preserve">epoll</w:t>
      </w:r>
      <w:r>
        <w:t xml:space="preserve">/</w:t>
      </w:r>
      <w:r>
        <w:rPr>
          <w:rStyle w:val="VerbatimChar"/>
        </w:rPr>
        <w:t xml:space="preserve">kqueue</w:t>
      </w:r>
      <w:r>
        <w:t xml:space="preserve">; the loop sleeps in one wait call and runs short handlers for the ready sockets, so a waiting connection costs a small state object, not a thread. It breaks when a handler blocks or burns CPU (synchronous DB driver, large JSON parse, file I/O), stalling every connection. Mitigations: worker pools, one loop per core, event-loop-lag monitoring.</w:t>
      </w:r>
    </w:p>
    <w:p>
      <w:pPr>
        <w:pStyle w:val="BodyText"/>
      </w:pPr>
      <w:r>
        <w:rPr>
          <w:bCs/>
          <w:b/>
        </w:rPr>
        <w:t xml:space="preserve">Q6. A database acknowledges writes after</w:t>
      </w:r>
      <w:r>
        <w:rPr>
          <w:bCs/>
          <w:b/>
        </w:rPr>
        <w:t xml:space="preserve"> </w:t>
      </w:r>
      <w:r>
        <w:rPr>
          <w:rStyle w:val="VerbatimChar"/>
          <w:bCs/>
          <w:b/>
        </w:rPr>
        <w:t xml:space="preserve">write()</w:t>
      </w:r>
      <w:r>
        <w:rPr>
          <w:bCs/>
          <w:b/>
        </w:rPr>
        <w:t xml:space="preserve"> </w:t>
      </w:r>
      <w:r>
        <w:rPr>
          <w:bCs/>
          <w:b/>
        </w:rPr>
        <w:t xml:space="preserve">but before</w:t>
      </w:r>
      <w:r>
        <w:rPr>
          <w:bCs/>
          <w:b/>
        </w:rPr>
        <w:t xml:space="preserve"> </w:t>
      </w:r>
      <w:r>
        <w:rPr>
          <w:rStyle w:val="VerbatimChar"/>
          <w:bCs/>
          <w:b/>
        </w:rPr>
        <w:t xml:space="preserve">fsync()</w:t>
      </w:r>
      <w:r>
        <w:rPr>
          <w:bCs/>
          <w:b/>
        </w:rPr>
        <w:t xml:space="preserve">. What can go wrong, and how do real databases make commits durable but fast?</w:t>
      </w:r>
      <w:r>
        <w:t xml:space="preserve"> </w:t>
      </w:r>
      <w:r>
        <w:rPr>
          <w:bCs/>
          <w:b/>
        </w:rPr>
        <w:t xml:space="preserve">Answer.</w:t>
      </w:r>
      <w:r>
        <w:t xml:space="preserve"> </w:t>
      </w:r>
      <w:r>
        <w:t xml:space="preserve">A crash loses data still in the page cache, so acknowledged commits vanish. Durable systems append to a write-ahead log and</w:t>
      </w:r>
      <w:r>
        <w:t xml:space="preserve"> </w:t>
      </w:r>
      <w:r>
        <w:rPr>
          <w:rStyle w:val="VerbatimChar"/>
        </w:rPr>
        <w:t xml:space="preserve">fdatasync</w:t>
      </w:r>
      <w:r>
        <w:t xml:space="preserve"> </w:t>
      </w:r>
      <w:r>
        <w:t xml:space="preserve">before acknowledging, using group commit to amortize flushes (</w:t>
      </w:r>
      <m:oMath>
        <m:r>
          <m:t>X</m:t>
        </m:r>
        <m:r>
          <m:rPr>
            <m:sty m:val="p"/>
          </m:rPr>
          <m:t>=</m:t>
        </m:r>
        <m:r>
          <m:t>B</m:t>
        </m:r>
        <m:r>
          <m:rPr>
            <m:sty m:val="p"/>
          </m:rPr>
          <m:t>/</m:t>
        </m:r>
        <m:sSub>
          <m:e>
            <m:r>
              <m:t>t</m:t>
            </m:r>
          </m:e>
          <m:sub>
            <m:r>
              <m:rPr>
                <m:nor/>
                <m:sty m:val="p"/>
              </m:rPr>
              <m:t>fsync</m:t>
            </m:r>
          </m:sub>
        </m:sSub>
      </m:oMath>
      <w:r>
        <w:t xml:space="preserve">); they</w:t>
      </w:r>
      <w:r>
        <w:t xml:space="preserve"> </w:t>
      </w:r>
      <w:r>
        <w:rPr>
          <w:rStyle w:val="VerbatimChar"/>
        </w:rPr>
        <w:t xml:space="preserve">fsync</w:t>
      </w:r>
      <w:r>
        <w:t xml:space="preserve"> </w:t>
      </w:r>
      <w:r>
        <w:t xml:space="preserve">directories after creating files, treat</w:t>
      </w:r>
      <w:r>
        <w:t xml:space="preserve"> </w:t>
      </w:r>
      <w:r>
        <w:rPr>
          <w:rStyle w:val="VerbatimChar"/>
        </w:rPr>
        <w:t xml:space="preserve">fsync</w:t>
      </w:r>
      <w:r>
        <w:t xml:space="preserve"> </w:t>
      </w:r>
      <w:r>
        <w:t xml:space="preserve">errors as fatal, and use drives with power-loss protection. Alternatively, replicate to other machines before acknowledging, trading flush latency for a network round trip and correlated-failure risk.</w:t>
      </w:r>
    </w:p>
    <w:bookmarkEnd w:id="679"/>
    <w:bookmarkStart w:id="680" w:name="advanced-5"/>
    <w:p>
      <w:pPr>
        <w:pStyle w:val="Heading3"/>
      </w:pPr>
      <w:r>
        <w:t xml:space="preserve">Advanced</w:t>
      </w:r>
    </w:p>
    <w:p>
      <w:pPr>
        <w:pStyle w:val="FirstParagraph"/>
      </w:pPr>
      <w:r>
        <w:rPr>
          <w:bCs/>
          <w:b/>
        </w:rPr>
        <w:t xml:space="preserve">Q7. Explain priority inversion with a real example and how to prevent it, including outside real-time systems.</w:t>
      </w:r>
      <w:r>
        <w:t xml:space="preserve"> </w:t>
      </w:r>
      <w:r>
        <w:rPr>
          <w:bCs/>
          <w:b/>
        </w:rPr>
        <w:t xml:space="preserve">Answer.</w:t>
      </w:r>
      <w:r>
        <w:t xml:space="preserve"> </w:t>
      </w:r>
      <w:r>
        <w:t xml:space="preserve">A high-priority task blocks on a lock held by a low-priority task, which a medium-priority task preempts, so the high task waits indefinitely. Mars Pathfinder (1997) reset repeatedly because a VxWorks mutex shared by a low-priority weather task and a high-priority bus task lacked priority inheritance; JPL enabled it remotely. Prevention: priority inheritance or ceiling locks, no locks shared across priority levels, short critical sections. In servers, isolate pools and resources so background jobs cannot hold what user traffic needs.</w:t>
      </w:r>
    </w:p>
    <w:p>
      <w:pPr>
        <w:pStyle w:val="BodyText"/>
      </w:pPr>
      <w:r>
        <w:rPr>
          <w:bCs/>
          <w:b/>
        </w:rPr>
        <w:t xml:space="preserve">Q8. Compare epoll and io_uring. When would you adopt io_uring?</w:t>
      </w:r>
      <w:r>
        <w:t xml:space="preserve"> </w:t>
      </w:r>
      <w:r>
        <w:rPr>
          <w:bCs/>
          <w:b/>
        </w:rPr>
        <w:t xml:space="preserve">Answer.</w:t>
      </w:r>
      <w:r>
        <w:t xml:space="preserve"> </w:t>
      </w:r>
      <w:r>
        <w:rPr>
          <w:rStyle w:val="VerbatimChar"/>
        </w:rPr>
        <w:t xml:space="preserve">epoll</w:t>
      </w:r>
      <w:r>
        <w:t xml:space="preserve"> </w:t>
      </w:r>
      <w:r>
        <w:t xml:space="preserve">is readiness-based: it says a socket can be read, then a separate call reads it, and file reads can still block.</w:t>
      </w:r>
      <w:r>
        <w:t xml:space="preserve"> </w:t>
      </w:r>
      <w:r>
        <w:rPr>
          <w:rStyle w:val="VerbatimChar"/>
        </w:rPr>
        <w:t xml:space="preserve">io_uring</w:t>
      </w:r>
      <w:r>
        <w:t xml:space="preserve"> </w:t>
      </w:r>
      <w:r>
        <w:t xml:space="preserve">is completion-based, with shared submission and completion rings, giving batching, asynchronous file I/O and, with SQPOLL, near-zero system calls. Adopt it for high-IOPS storage engines or proxies where syscall overhead is a measured bottleneck, accepting complexity, kernel-version dependence and security restrictions. For typical web services,</w:t>
      </w:r>
      <w:r>
        <w:t xml:space="preserve"> </w:t>
      </w:r>
      <w:r>
        <w:rPr>
          <w:rStyle w:val="VerbatimChar"/>
        </w:rPr>
        <w:t xml:space="preserve">epoll</w:t>
      </w:r>
      <w:r>
        <w:t xml:space="preserve"> </w:t>
      </w:r>
      <w:r>
        <w:t xml:space="preserve">via a mature runtime is enough.</w:t>
      </w:r>
    </w:p>
    <w:p>
      <w:pPr>
        <w:pStyle w:val="BodyText"/>
      </w:pPr>
      <w:r>
        <w:rPr>
          <w:bCs/>
          <w:b/>
        </w:rPr>
        <w:t xml:space="preserve">Q9. Design the concurrency model for a WebSocket gateway holding 1 million mostly idle connections across a fleet. Justify it with numbers.</w:t>
      </w:r>
      <w:r>
        <w:t xml:space="preserve"> </w:t>
      </w:r>
      <w:r>
        <w:rPr>
          <w:bCs/>
          <w:b/>
        </w:rPr>
        <w:t xml:space="preserve">Answer.</w:t>
      </w:r>
      <w:r>
        <w:t xml:space="preserve"> </w:t>
      </w:r>
      <w:r>
        <w:t xml:space="preserve">Thread-per-connection at ~100 KB each needs ~100 GB and a million kernel tasks: impractical. An event loop or goroutines at ~1–8 KB plus ~20 KB of socket and TLS buffers needs ~25–30 GB in total; spread it over, say, 10 nodes × 100,000 connections so one node loss affects 10 %. Run one loop per core (or Go with GOMAXPROCS = cores), raise file-descriptor limits, size socket buffers deliberately, push heavy work to other services via queues, and drain connections gradually on</w:t>
      </w:r>
      <w:r>
        <w:t xml:space="preserve"> </w:t>
      </w:r>
      <w:r>
        <w:rPr>
          <w:rStyle w:val="VerbatimChar"/>
        </w:rPr>
        <w:t xml:space="preserve">SIGTERM</w:t>
      </w:r>
      <w:r>
        <w:t xml:space="preserve"> </w:t>
      </w:r>
      <w:r>
        <w:t xml:space="preserve">to avoid reconnect storms (§9.9).</w:t>
      </w:r>
    </w:p>
    <w:bookmarkEnd w:id="680"/>
    <w:bookmarkEnd w:id="681"/>
    <w:bookmarkStart w:id="682" w:name="practical-exercises-5"/>
    <w:p>
      <w:pPr>
        <w:pStyle w:val="Heading2"/>
      </w:pPr>
      <w:r>
        <w:t xml:space="preserve">6.19 Practical exercises</w:t>
      </w:r>
    </w:p>
    <w:p>
      <w:pPr>
        <w:numPr>
          <w:ilvl w:val="0"/>
          <w:numId w:val="1199"/>
        </w:numPr>
        <w:pStyle w:val="Compact"/>
      </w:pPr>
      <w:r>
        <w:rPr>
          <w:bCs/>
          <w:b/>
        </w:rPr>
        <w:t xml:space="preserve">Watch process states.</w:t>
      </w:r>
      <w:r>
        <w:t xml:space="preserve"> </w:t>
      </w:r>
      <w:r>
        <w:t xml:space="preserve">Run</w:t>
      </w:r>
      <w:r>
        <w:t xml:space="preserve"> </w:t>
      </w:r>
      <w:r>
        <w:rPr>
          <w:rStyle w:val="VerbatimChar"/>
        </w:rPr>
        <w:t xml:space="preserve">sleep 100 &amp;</w:t>
      </w:r>
      <w:r>
        <w:t xml:space="preserve">, a CPU loop (</w:t>
      </w:r>
      <w:r>
        <w:rPr>
          <w:rStyle w:val="VerbatimChar"/>
        </w:rPr>
        <w:t xml:space="preserve">yes &gt; /dev/null &amp;</w:t>
      </w:r>
      <w:r>
        <w:t xml:space="preserve">) and</w:t>
      </w:r>
      <w:r>
        <w:t xml:space="preserve"> </w:t>
      </w:r>
      <w:r>
        <w:rPr>
          <w:rStyle w:val="VerbatimChar"/>
        </w:rPr>
        <w:t xml:space="preserve">cat</w:t>
      </w:r>
      <w:r>
        <w:t xml:space="preserve"> </w:t>
      </w:r>
      <w:r>
        <w:t xml:space="preserve">reading from a terminal. Use</w:t>
      </w:r>
      <w:r>
        <w:t xml:space="preserve"> </w:t>
      </w:r>
      <w:r>
        <w:rPr>
          <w:rStyle w:val="VerbatimChar"/>
        </w:rPr>
        <w:t xml:space="preserve">ps -o pid,stat,wchan:20,cmd</w:t>
      </w:r>
      <w:r>
        <w:t xml:space="preserve"> </w:t>
      </w:r>
      <w:r>
        <w:t xml:space="preserve">to identify R and S states. Kill the parent of a child that has exited without being reaped and observe the zombie.</w:t>
      </w:r>
    </w:p>
    <w:p>
      <w:pPr>
        <w:numPr>
          <w:ilvl w:val="0"/>
          <w:numId w:val="1199"/>
        </w:numPr>
        <w:pStyle w:val="Compact"/>
      </w:pPr>
      <w:r>
        <w:rPr>
          <w:bCs/>
          <w:b/>
        </w:rPr>
        <w:t xml:space="preserve">Measure a context switch.</w:t>
      </w:r>
      <w:r>
        <w:t xml:space="preserve"> </w:t>
      </w:r>
      <w:r>
        <w:t xml:space="preserve">Run the following ping-pong program, once normally and once pinned to one core with</w:t>
      </w:r>
      <w:r>
        <w:t xml:space="preserve"> </w:t>
      </w:r>
      <w:r>
        <w:rPr>
          <w:rStyle w:val="VerbatimChar"/>
        </w:rPr>
        <w:t xml:space="preserve">taskset -c 0</w:t>
      </w:r>
      <w:r>
        <w:t xml:space="preserve">. Explain the difference. On one test VM for this chapter, it gave about 24 µs per round trip unpinned and about 4 µs pinned, because cross-core wake-ups add inter-processor interrupts and idle-state exits.</w:t>
      </w:r>
    </w:p>
    <w:p>
      <w:pPr>
        <w:pStyle w:val="SourceCode"/>
      </w:pPr>
      <w:r>
        <w:rPr>
          <w:rStyle w:val="CommentTok"/>
        </w:rPr>
        <w:t xml:space="preserve">"""Two processes bounce one byte over a pair of pipes (POSIX only: uses fork).</w:t>
      </w:r>
      <w:r>
        <w:br/>
      </w:r>
      <w:r>
        <w:br/>
      </w:r>
      <w:r>
        <w:rPr>
          <w:rStyle w:val="CommentTok"/>
        </w:rPr>
        <w:t xml:space="preserve">Each round trip forces at least two blocking reads and wake-ups, so the</w:t>
      </w:r>
      <w:r>
        <w:br/>
      </w:r>
      <w:r>
        <w:rPr>
          <w:rStyle w:val="CommentTok"/>
        </w:rPr>
        <w:t xml:space="preserve">time per round trip upper-bounds the cost of two context switches plus</w:t>
      </w:r>
      <w:r>
        <w:br/>
      </w:r>
      <w:r>
        <w:rPr>
          <w:rStyle w:val="CommentTok"/>
        </w:rPr>
        <w:t xml:space="preserve">four system calls and Python interpreter overhead.</w:t>
      </w:r>
      <w:r>
        <w:br/>
      </w:r>
      <w:r>
        <w:rPr>
          <w:rStyle w:val="CommentTok"/>
        </w:rPr>
        <w:t xml:space="preserve">"""</w:t>
      </w:r>
      <w:r>
        <w:br/>
      </w:r>
      <w:r>
        <w:rPr>
          <w:rStyle w:val="ImportTok"/>
        </w:rPr>
        <w:t xml:space="preserve">import</w:t>
      </w:r>
      <w:r>
        <w:rPr>
          <w:rStyle w:val="NormalTok"/>
        </w:rPr>
        <w:t xml:space="preserve"> os</w:t>
      </w:r>
      <w:r>
        <w:br/>
      </w:r>
      <w:r>
        <w:rPr>
          <w:rStyle w:val="ImportTok"/>
        </w:rPr>
        <w:t xml:space="preserve">import</w:t>
      </w:r>
      <w:r>
        <w:rPr>
          <w:rStyle w:val="NormalTok"/>
        </w:rPr>
        <w:t xml:space="preserve"> time</w:t>
      </w:r>
      <w:r>
        <w:br/>
      </w:r>
      <w:r>
        <w:br/>
      </w:r>
      <w:r>
        <w:rPr>
          <w:rStyle w:val="NormalTok"/>
        </w:rPr>
        <w:t xml:space="preserve">ROUNDS </w:t>
      </w:r>
      <w:r>
        <w:rPr>
          <w:rStyle w:val="OperatorTok"/>
        </w:rPr>
        <w:t xml:space="preserve">=</w:t>
      </w:r>
      <w:r>
        <w:rPr>
          <w:rStyle w:val="NormalTok"/>
        </w:rPr>
        <w:t xml:space="preserve"> </w:t>
      </w:r>
      <w:r>
        <w:rPr>
          <w:rStyle w:val="DecValTok"/>
        </w:rPr>
        <w:t xml:space="preserve">100_000</w:t>
      </w:r>
      <w:r>
        <w:br/>
      </w:r>
      <w:r>
        <w:br/>
      </w:r>
      <w:r>
        <w:rPr>
          <w:rStyle w:val="NormalTok"/>
        </w:rPr>
        <w:t xml:space="preserve">parent_to_child_r, parent_to_child_w </w:t>
      </w:r>
      <w:r>
        <w:rPr>
          <w:rStyle w:val="OperatorTok"/>
        </w:rPr>
        <w:t xml:space="preserve">=</w:t>
      </w:r>
      <w:r>
        <w:rPr>
          <w:rStyle w:val="NormalTok"/>
        </w:rPr>
        <w:t xml:space="preserve"> os.pipe()</w:t>
      </w:r>
      <w:r>
        <w:br/>
      </w:r>
      <w:r>
        <w:rPr>
          <w:rStyle w:val="NormalTok"/>
        </w:rPr>
        <w:t xml:space="preserve">child_to_parent_r, child_to_parent_w </w:t>
      </w:r>
      <w:r>
        <w:rPr>
          <w:rStyle w:val="OperatorTok"/>
        </w:rPr>
        <w:t xml:space="preserve">=</w:t>
      </w:r>
      <w:r>
        <w:rPr>
          <w:rStyle w:val="NormalTok"/>
        </w:rPr>
        <w:t xml:space="preserve"> os.pipe()</w:t>
      </w:r>
      <w:r>
        <w:br/>
      </w:r>
      <w:r>
        <w:br/>
      </w:r>
      <w:r>
        <w:rPr>
          <w:rStyle w:val="NormalTok"/>
        </w:rPr>
        <w:t xml:space="preserve">pid </w:t>
      </w:r>
      <w:r>
        <w:rPr>
          <w:rStyle w:val="OperatorTok"/>
        </w:rPr>
        <w:t xml:space="preserve">=</w:t>
      </w:r>
      <w:r>
        <w:rPr>
          <w:rStyle w:val="NormalTok"/>
        </w:rPr>
        <w:t xml:space="preserve"> os.fork()</w:t>
      </w:r>
      <w:r>
        <w:br/>
      </w:r>
      <w:r>
        <w:rPr>
          <w:rStyle w:val="ControlFlowTok"/>
        </w:rPr>
        <w:t xml:space="preserve">if</w:t>
      </w:r>
      <w:r>
        <w:rPr>
          <w:rStyle w:val="NormalTok"/>
        </w:rPr>
        <w:t xml:space="preserve"> pid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child process</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(ROUNDS):</w:t>
      </w:r>
      <w:r>
        <w:br/>
      </w:r>
      <w:r>
        <w:rPr>
          <w:rStyle w:val="NormalTok"/>
        </w:rPr>
        <w:t xml:space="preserve">        os.read(parent_to_child_r, </w:t>
      </w:r>
      <w:r>
        <w:rPr>
          <w:rStyle w:val="DecValTok"/>
        </w:rPr>
        <w:t xml:space="preserve">1</w:t>
      </w:r>
      <w:r>
        <w:rPr>
          <w:rStyle w:val="NormalTok"/>
        </w:rPr>
        <w:t xml:space="preserve">)           </w:t>
      </w:r>
      <w:r>
        <w:rPr>
          <w:rStyle w:val="CommentTok"/>
        </w:rPr>
        <w:t xml:space="preserve"># block until parent writes</w:t>
      </w:r>
      <w:r>
        <w:br/>
      </w:r>
      <w:r>
        <w:rPr>
          <w:rStyle w:val="NormalTok"/>
        </w:rPr>
        <w:t xml:space="preserve">        os.write(child_to_parent_w, </w:t>
      </w:r>
      <w:r>
        <w:rPr>
          <w:rStyle w:val="StringTok"/>
        </w:rPr>
        <w:t xml:space="preserve">b"x"</w:t>
      </w:r>
      <w:r>
        <w:rPr>
          <w:rStyle w:val="NormalTok"/>
        </w:rPr>
        <w:t xml:space="preserve">)       </w:t>
      </w:r>
      <w:r>
        <w:rPr>
          <w:rStyle w:val="CommentTok"/>
        </w:rPr>
        <w:t xml:space="preserve"># wake the parent</w:t>
      </w:r>
      <w:r>
        <w:br/>
      </w:r>
      <w:r>
        <w:rPr>
          <w:rStyle w:val="NormalTok"/>
        </w:rPr>
        <w:t xml:space="preserve">    os._exit(</w:t>
      </w:r>
      <w:r>
        <w:rPr>
          <w:rStyle w:val="DecValTok"/>
        </w:rPr>
        <w:t xml:space="preserve">0</w:t>
      </w:r>
      <w:r>
        <w:rPr>
          <w:rStyle w:val="NormalTok"/>
        </w:rPr>
        <w:t xml:space="preserve">)</w:t>
      </w:r>
      <w:r>
        <w:br/>
      </w:r>
      <w:r>
        <w:br/>
      </w:r>
      <w:r>
        <w:rPr>
          <w:rStyle w:val="NormalTok"/>
        </w:rPr>
        <w:t xml:space="preserve">start </w:t>
      </w:r>
      <w:r>
        <w:rPr>
          <w:rStyle w:val="OperatorTok"/>
        </w:rPr>
        <w:t xml:space="preserve">=</w:t>
      </w:r>
      <w:r>
        <w:rPr>
          <w:rStyle w:val="NormalTok"/>
        </w:rPr>
        <w:t xml:space="preserve"> time.perf_counter()</w:t>
      </w:r>
      <w:r>
        <w:br/>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(ROUNDS):</w:t>
      </w:r>
      <w:r>
        <w:br/>
      </w:r>
      <w:r>
        <w:rPr>
          <w:rStyle w:val="NormalTok"/>
        </w:rPr>
        <w:t xml:space="preserve">    os.write(parent_to_child_w, </w:t>
      </w:r>
      <w:r>
        <w:rPr>
          <w:rStyle w:val="StringTok"/>
        </w:rPr>
        <w:t xml:space="preserve">b"x"</w:t>
      </w:r>
      <w:r>
        <w:rPr>
          <w:rStyle w:val="NormalTok"/>
        </w:rPr>
        <w:t xml:space="preserve">)           </w:t>
      </w:r>
      <w:r>
        <w:rPr>
          <w:rStyle w:val="CommentTok"/>
        </w:rPr>
        <w:t xml:space="preserve"># wake the child</w:t>
      </w:r>
      <w:r>
        <w:br/>
      </w:r>
      <w:r>
        <w:rPr>
          <w:rStyle w:val="NormalTok"/>
        </w:rPr>
        <w:t xml:space="preserve">    os.read(child_to_parent_r, </w:t>
      </w:r>
      <w:r>
        <w:rPr>
          <w:rStyle w:val="DecValTok"/>
        </w:rPr>
        <w:t xml:space="preserve">1</w:t>
      </w:r>
      <w:r>
        <w:rPr>
          <w:rStyle w:val="NormalTok"/>
        </w:rPr>
        <w:t xml:space="preserve">)               </w:t>
      </w:r>
      <w:r>
        <w:rPr>
          <w:rStyle w:val="CommentTok"/>
        </w:rPr>
        <w:t xml:space="preserve"># block until child answers</w:t>
      </w:r>
      <w:r>
        <w:br/>
      </w:r>
      <w:r>
        <w:rPr>
          <w:rStyle w:val="NormalTok"/>
        </w:rPr>
        <w:t xml:space="preserve">elapsed </w:t>
      </w:r>
      <w:r>
        <w:rPr>
          <w:rStyle w:val="OperatorTok"/>
        </w:rPr>
        <w:t xml:space="preserve">=</w:t>
      </w:r>
      <w:r>
        <w:rPr>
          <w:rStyle w:val="NormalTok"/>
        </w:rPr>
        <w:t xml:space="preserve"> time.perf_counter() </w:t>
      </w:r>
      <w:r>
        <w:rPr>
          <w:rStyle w:val="OperatorTok"/>
        </w:rPr>
        <w:t xml:space="preserve">-</w:t>
      </w:r>
      <w:r>
        <w:rPr>
          <w:rStyle w:val="NormalTok"/>
        </w:rPr>
        <w:t xml:space="preserve"> start</w:t>
      </w:r>
      <w:r>
        <w:br/>
      </w:r>
      <w:r>
        <w:rPr>
          <w:rStyle w:val="NormalTok"/>
        </w:rPr>
        <w:t xml:space="preserve">os.waitpid(pid, </w:t>
      </w:r>
      <w:r>
        <w:rPr>
          <w:rStyle w:val="DecValTok"/>
        </w:rPr>
        <w:t xml:space="preserve">0</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elapsed </w:t>
      </w:r>
      <w:r>
        <w:rPr>
          <w:rStyle w:val="OperatorTok"/>
        </w:rPr>
        <w:t xml:space="preserve">/</w:t>
      </w:r>
      <w:r>
        <w:rPr>
          <w:rStyle w:val="NormalTok"/>
        </w:rPr>
        <w:t xml:space="preserve"> ROUNDS </w:t>
      </w:r>
      <w:r>
        <w:rPr>
          <w:rStyle w:val="OperatorTok"/>
        </w:rPr>
        <w:t xml:space="preserve">*</w:t>
      </w:r>
      <w:r>
        <w:rPr>
          <w:rStyle w:val="NormalTok"/>
        </w:rPr>
        <w:t xml:space="preserve"> </w:t>
      </w:r>
      <w:r>
        <w:rPr>
          <w:rStyle w:val="FloatTok"/>
        </w:rPr>
        <w:t xml:space="preserve">1e6</w:t>
      </w:r>
      <w:r>
        <w:rPr>
          <w:rStyle w:val="SpecialCharTok"/>
        </w:rPr>
        <w:t xml:space="preserve">:.1f}</w:t>
      </w:r>
      <w:r>
        <w:rPr>
          <w:rStyle w:val="SpecialStringTok"/>
        </w:rPr>
        <w:t xml:space="preserve"> us per round trip"</w:t>
      </w:r>
      <w:r>
        <w:rPr>
          <w:rStyle w:val="NormalTok"/>
        </w:rPr>
        <w:t xml:space="preserve">)</w:t>
      </w:r>
    </w:p>
    <w:p>
      <w:pPr>
        <w:numPr>
          <w:ilvl w:val="0"/>
          <w:numId w:val="1200"/>
        </w:numPr>
        <w:pStyle w:val="Compact"/>
      </w:pPr>
      <w:r>
        <w:rPr>
          <w:bCs/>
          <w:b/>
        </w:rPr>
        <w:t xml:space="preserve">Find the race.</w:t>
      </w:r>
      <w:r>
        <w:t xml:space="preserve"> </w:t>
      </w:r>
      <w:r>
        <w:t xml:space="preserve">Run the Go program in §6.9 with</w:t>
      </w:r>
      <w:r>
        <w:t xml:space="preserve"> </w:t>
      </w:r>
      <w:r>
        <w:rPr>
          <w:rStyle w:val="VerbatimChar"/>
        </w:rPr>
        <w:t xml:space="preserve">go run -race .</w:t>
      </w:r>
      <w:r>
        <w:t xml:space="preserve">. Then write a version that uses a channel owned by one goroutine instead of a mutex, and confirm the race detector is silent.</w:t>
      </w:r>
    </w:p>
    <w:p>
      <w:pPr>
        <w:numPr>
          <w:ilvl w:val="0"/>
          <w:numId w:val="1200"/>
        </w:numPr>
        <w:pStyle w:val="Compact"/>
      </w:pPr>
      <w:r>
        <w:rPr>
          <w:bCs/>
          <w:b/>
        </w:rPr>
        <w:t xml:space="preserve">Break the event loop.</w:t>
      </w:r>
      <w:r>
        <w:t xml:space="preserve"> </w:t>
      </w:r>
      <w:r>
        <w:t xml:space="preserve">Add</w:t>
      </w:r>
      <w:r>
        <w:t xml:space="preserve"> </w:t>
      </w:r>
      <w:r>
        <w:rPr>
          <w:rStyle w:val="VerbatimChar"/>
        </w:rPr>
        <w:t xml:space="preserve">time.sleep(2)</w:t>
      </w:r>
      <w:r>
        <w:t xml:space="preserve"> </w:t>
      </w:r>
      <w:r>
        <w:t xml:space="preserve">inside</w:t>
      </w:r>
      <w:r>
        <w:t xml:space="preserve"> </w:t>
      </w:r>
      <w:r>
        <w:rPr>
          <w:rStyle w:val="VerbatimChar"/>
        </w:rPr>
        <w:t xml:space="preserve">handle()</w:t>
      </w:r>
      <w:r>
        <w:t xml:space="preserve"> </w:t>
      </w:r>
      <w:r>
        <w:t xml:space="preserve">in the echo server of §6.13.4, connect three clients, and measure how long the third waits. Fix it by moving the slow work to a</w:t>
      </w:r>
      <w:r>
        <w:t xml:space="preserve"> </w:t>
      </w:r>
      <w:r>
        <w:rPr>
          <w:rStyle w:val="VerbatimChar"/>
        </w:rPr>
        <w:t xml:space="preserve">concurrent.futures.ThreadPoolExecutor</w:t>
      </w:r>
      <w:r>
        <w:t xml:space="preserve">.</w:t>
      </w:r>
    </w:p>
    <w:p>
      <w:pPr>
        <w:numPr>
          <w:ilvl w:val="0"/>
          <w:numId w:val="1200"/>
        </w:numPr>
        <w:pStyle w:val="Compact"/>
      </w:pPr>
      <w:r>
        <w:rPr>
          <w:bCs/>
          <w:b/>
        </w:rPr>
        <w:t xml:space="preserve">Count system calls.</w:t>
      </w:r>
      <w:r>
        <w:t xml:space="preserve"> </w:t>
      </w:r>
      <w:r>
        <w:t xml:space="preserve">Run</w:t>
      </w:r>
      <w:r>
        <w:t xml:space="preserve"> </w:t>
      </w:r>
      <w:r>
        <w:rPr>
          <w:rStyle w:val="VerbatimChar"/>
        </w:rPr>
        <w:t xml:space="preserve">strace -c python3 -c "open('/etc/hostname').read()"</w:t>
      </w:r>
      <w:r>
        <w:t xml:space="preserve"> </w:t>
      </w:r>
      <w:r>
        <w:t xml:space="preserve">and then the same for a program that copies a 100 MB file using 1-byte reads versus 64 KiB reads. Relate the time difference to §6.7.</w:t>
      </w:r>
    </w:p>
    <w:p>
      <w:pPr>
        <w:numPr>
          <w:ilvl w:val="0"/>
          <w:numId w:val="1200"/>
        </w:numPr>
        <w:pStyle w:val="Compact"/>
      </w:pPr>
      <w:r>
        <w:rPr>
          <w:bCs/>
          <w:b/>
        </w:rPr>
        <w:t xml:space="preserve">Durability check.</w:t>
      </w:r>
      <w:r>
        <w:t xml:space="preserve"> </w:t>
      </w:r>
      <w:r>
        <w:t xml:space="preserve">Write a program that appends 10,000 small records with and without</w:t>
      </w:r>
      <w:r>
        <w:t xml:space="preserve"> </w:t>
      </w:r>
      <w:r>
        <w:rPr>
          <w:rStyle w:val="VerbatimChar"/>
        </w:rPr>
        <w:t xml:space="preserve">fsync</w:t>
      </w:r>
      <w:r>
        <w:t xml:space="preserve"> </w:t>
      </w:r>
      <w:r>
        <w:t xml:space="preserve">after each, and with one</w:t>
      </w:r>
      <w:r>
        <w:t xml:space="preserve"> </w:t>
      </w:r>
      <w:r>
        <w:rPr>
          <w:rStyle w:val="VerbatimChar"/>
        </w:rPr>
        <w:t xml:space="preserve">fsync</w:t>
      </w:r>
      <w:r>
        <w:t xml:space="preserve"> </w:t>
      </w:r>
      <w:r>
        <w:t xml:space="preserve">per 100 records. Compute the commits per second and compare with the group-commit formula in §6.14.3.</w:t>
      </w:r>
    </w:p>
    <w:bookmarkEnd w:id="682"/>
    <w:bookmarkStart w:id="683" w:name="design-challenges-5"/>
    <w:p>
      <w:pPr>
        <w:pStyle w:val="Heading2"/>
      </w:pPr>
      <w:r>
        <w:t xml:space="preserve">6.20 Design challenges</w:t>
      </w:r>
    </w:p>
    <w:p>
      <w:pPr>
        <w:numPr>
          <w:ilvl w:val="0"/>
          <w:numId w:val="1201"/>
        </w:numPr>
        <w:pStyle w:val="Compact"/>
      </w:pPr>
      <w:r>
        <w:rPr>
          <w:bCs/>
          <w:b/>
        </w:rPr>
        <w:t xml:space="preserve">Log-ingestion agent.</w:t>
      </w:r>
      <w:r>
        <w:t xml:space="preserve"> </w:t>
      </w:r>
      <w:r>
        <w:t xml:space="preserve">Design a host agent that tails 500 log files, batches lines, and ships them to a remote collector at 50 MB/s, surviving agent restarts without losing or duplicating more than one batch. Decide: threads versus event loop versus</w:t>
      </w:r>
      <w:r>
        <w:t xml:space="preserve"> </w:t>
      </w:r>
      <w:r>
        <w:rPr>
          <w:rStyle w:val="VerbatimChar"/>
        </w:rPr>
        <w:t xml:space="preserve">io_uring</w:t>
      </w:r>
      <w:r>
        <w:t xml:space="preserve">; how offsets are made durable (</w:t>
      </w:r>
      <w:r>
        <w:rPr>
          <w:rStyle w:val="VerbatimChar"/>
        </w:rPr>
        <w:t xml:space="preserve">fsync</w:t>
      </w:r>
      <w:r>
        <w:t xml:space="preserve"> </w:t>
      </w:r>
      <w:r>
        <w:t xml:space="preserve">strategy and cost); how backpressure works when the collector is slow; how the agent behaves when the disk fills. Justify each choice with numbers from this chapter.</w:t>
      </w:r>
    </w:p>
    <w:p>
      <w:pPr>
        <w:numPr>
          <w:ilvl w:val="0"/>
          <w:numId w:val="1201"/>
        </w:numPr>
        <w:pStyle w:val="Compact"/>
      </w:pPr>
      <w:r>
        <w:rPr>
          <w:bCs/>
          <w:b/>
        </w:rPr>
        <w:t xml:space="preserve">Multi-tenant job runner.</w:t>
      </w:r>
      <w:r>
        <w:t xml:space="preserve"> </w:t>
      </w:r>
      <w:r>
        <w:t xml:space="preserve">Design a single-machine runner for untrusted user jobs that guarantees each tenant a fair CPU share and a memory cap, and kills runaway jobs without affecting others. Discuss processes versus threads, cgroup CPU weights versus quotas (and throttling), OOM behavior, signals for graceful termination, and how to prevent a tenant from starving others through a shared lock or file system. Relate to §47.</w:t>
      </w:r>
    </w:p>
    <w:p>
      <w:pPr>
        <w:numPr>
          <w:ilvl w:val="0"/>
          <w:numId w:val="1201"/>
        </w:numPr>
        <w:pStyle w:val="Compact"/>
      </w:pPr>
      <w:r>
        <w:rPr>
          <w:bCs/>
          <w:b/>
        </w:rPr>
        <w:t xml:space="preserve">In-memory rate limiter.</w:t>
      </w:r>
      <w:r>
        <w:t xml:space="preserve"> </w:t>
      </w:r>
      <w:r>
        <w:t xml:space="preserve">Design a per-API-key rate limiter inside a service handling 200,000 requests/s on 32 cores. Compare a global mutex-protected map, a sharded map with per-shard locks, per-core counters merged periodically, and atomic CAS on token buckets. Estimate contention, explain where false sharing appears (§5.4), and state which you would ship and why (see §22.4).</w:t>
      </w:r>
    </w:p>
    <w:bookmarkEnd w:id="683"/>
    <w:bookmarkStart w:id="684" w:name="references-5"/>
    <w:p>
      <w:pPr>
        <w:pStyle w:val="Heading2"/>
      </w:pPr>
      <w:r>
        <w:t xml:space="preserve">6.21 References</w:t>
      </w:r>
    </w:p>
    <w:p>
      <w:pPr>
        <w:numPr>
          <w:ilvl w:val="0"/>
          <w:numId w:val="1202"/>
        </w:numPr>
        <w:pStyle w:val="Compact"/>
      </w:pPr>
      <w:r>
        <w:t xml:space="preserve">Arpaci-Dusseau, R. H., and Arpaci-Dusseau, A. C.</w:t>
      </w:r>
      <w:r>
        <w:t xml:space="preserve"> </w:t>
      </w:r>
      <w:r>
        <w:rPr>
          <w:iCs/>
          <w:i/>
        </w:rPr>
        <w:t xml:space="preserve">Operating Systems: Three Easy Pieces</w:t>
      </w:r>
      <w:r>
        <w:t xml:space="preserve">. Arpaci-Dusseau Books, 2018 (v1.00; free online). https://ostep.org</w:t>
      </w:r>
    </w:p>
    <w:p>
      <w:pPr>
        <w:numPr>
          <w:ilvl w:val="0"/>
          <w:numId w:val="1202"/>
        </w:numPr>
        <w:pStyle w:val="Compact"/>
      </w:pPr>
      <w:r>
        <w:t xml:space="preserve">Silberschatz, A., Galvin, P. B., and Gagne, G.</w:t>
      </w:r>
      <w:r>
        <w:t xml:space="preserve"> </w:t>
      </w:r>
      <w:r>
        <w:rPr>
          <w:iCs/>
          <w:i/>
        </w:rPr>
        <w:t xml:space="preserve">Operating System Concepts</w:t>
      </w:r>
      <w:r>
        <w:t xml:space="preserve">, 10th ed. Wiley, 2018.</w:t>
      </w:r>
    </w:p>
    <w:p>
      <w:pPr>
        <w:numPr>
          <w:ilvl w:val="0"/>
          <w:numId w:val="1202"/>
        </w:numPr>
        <w:pStyle w:val="Compact"/>
      </w:pPr>
      <w:r>
        <w:t xml:space="preserve">Tanenbaum, A. S., and Bos, H.</w:t>
      </w:r>
      <w:r>
        <w:t xml:space="preserve"> </w:t>
      </w:r>
      <w:r>
        <w:rPr>
          <w:iCs/>
          <w:i/>
        </w:rPr>
        <w:t xml:space="preserve">Modern Operating Systems</w:t>
      </w:r>
      <w:r>
        <w:t xml:space="preserve">, 4th ed. Pearson, 2014.</w:t>
      </w:r>
    </w:p>
    <w:p>
      <w:pPr>
        <w:numPr>
          <w:ilvl w:val="0"/>
          <w:numId w:val="1202"/>
        </w:numPr>
        <w:pStyle w:val="Compact"/>
      </w:pPr>
      <w:r>
        <w:t xml:space="preserve">Kegel, D.</w:t>
      </w:r>
      <w:r>
        <w:t xml:space="preserve"> </w:t>
      </w:r>
      <w:r>
        <w:rPr>
          <w:iCs/>
          <w:i/>
        </w:rPr>
        <w:t xml:space="preserve">The C10K problem</w:t>
      </w:r>
      <w:r>
        <w:t xml:space="preserve">. Web page, first published 1999. http://www.kegel.com/c10k.html</w:t>
      </w:r>
    </w:p>
    <w:p>
      <w:pPr>
        <w:numPr>
          <w:ilvl w:val="0"/>
          <w:numId w:val="1202"/>
        </w:numPr>
        <w:pStyle w:val="Compact"/>
      </w:pPr>
      <w:r>
        <w:t xml:space="preserve">Axboe, J.</w:t>
      </w:r>
      <w:r>
        <w:t xml:space="preserve"> </w:t>
      </w:r>
      <w:r>
        <w:rPr>
          <w:iCs/>
          <w:i/>
        </w:rPr>
        <w:t xml:space="preserve">Efficient IO with io_uring</w:t>
      </w:r>
      <w:r>
        <w:t xml:space="preserve">. 2019. https://kernel.dk/io_uring.pdf</w:t>
      </w:r>
    </w:p>
    <w:p>
      <w:pPr>
        <w:numPr>
          <w:ilvl w:val="0"/>
          <w:numId w:val="1202"/>
        </w:numPr>
        <w:pStyle w:val="Compact"/>
      </w:pPr>
      <w:r>
        <w:t xml:space="preserve">Linux man-pages project.</w:t>
      </w:r>
      <w:r>
        <w:t xml:space="preserve"> </w:t>
      </w:r>
      <w:r>
        <w:rPr>
          <w:rStyle w:val="VerbatimChar"/>
        </w:rPr>
        <w:t xml:space="preserve">syscalls(2)</w:t>
      </w:r>
      <w:r>
        <w:t xml:space="preserve">,</w:t>
      </w:r>
      <w:r>
        <w:t xml:space="preserve"> </w:t>
      </w:r>
      <w:r>
        <w:rPr>
          <w:rStyle w:val="VerbatimChar"/>
        </w:rPr>
        <w:t xml:space="preserve">sched(7)</w:t>
      </w:r>
      <w:r>
        <w:t xml:space="preserve">,</w:t>
      </w:r>
      <w:r>
        <w:t xml:space="preserve"> </w:t>
      </w:r>
      <w:r>
        <w:rPr>
          <w:rStyle w:val="VerbatimChar"/>
        </w:rPr>
        <w:t xml:space="preserve">signal(7)</w:t>
      </w:r>
      <w:r>
        <w:t xml:space="preserve">,</w:t>
      </w:r>
      <w:r>
        <w:t xml:space="preserve"> </w:t>
      </w:r>
      <w:r>
        <w:rPr>
          <w:rStyle w:val="VerbatimChar"/>
        </w:rPr>
        <w:t xml:space="preserve">epoll(7)</w:t>
      </w:r>
      <w:r>
        <w:t xml:space="preserve">,</w:t>
      </w:r>
      <w:r>
        <w:t xml:space="preserve"> </w:t>
      </w:r>
      <w:r>
        <w:rPr>
          <w:rStyle w:val="VerbatimChar"/>
        </w:rPr>
        <w:t xml:space="preserve">fsync(2)</w:t>
      </w:r>
      <w:r>
        <w:t xml:space="preserve">,</w:t>
      </w:r>
      <w:r>
        <w:t xml:space="preserve"> </w:t>
      </w:r>
      <w:r>
        <w:rPr>
          <w:rStyle w:val="VerbatimChar"/>
        </w:rPr>
        <w:t xml:space="preserve">mmap(2)</w:t>
      </w:r>
      <w:r>
        <w:t xml:space="preserve">,</w:t>
      </w:r>
      <w:r>
        <w:t xml:space="preserve"> </w:t>
      </w:r>
      <w:r>
        <w:rPr>
          <w:rStyle w:val="VerbatimChar"/>
        </w:rPr>
        <w:t xml:space="preserve">futex(2)</w:t>
      </w:r>
      <w:r>
        <w:t xml:space="preserve">,</w:t>
      </w:r>
      <w:r>
        <w:t xml:space="preserve"> </w:t>
      </w:r>
      <w:r>
        <w:rPr>
          <w:rStyle w:val="VerbatimChar"/>
        </w:rPr>
        <w:t xml:space="preserve">io_uring(7)</w:t>
      </w:r>
      <w:r>
        <w:t xml:space="preserve">,</w:t>
      </w:r>
      <w:r>
        <w:t xml:space="preserve"> </w:t>
      </w:r>
      <w:r>
        <w:rPr>
          <w:rStyle w:val="VerbatimChar"/>
        </w:rPr>
        <w:t xml:space="preserve">pipe(7)</w:t>
      </w:r>
      <w:r>
        <w:t xml:space="preserve">. https://man7.org/linux/man-pages/</w:t>
      </w:r>
    </w:p>
    <w:p>
      <w:pPr>
        <w:numPr>
          <w:ilvl w:val="0"/>
          <w:numId w:val="1202"/>
        </w:numPr>
        <w:pStyle w:val="Compact"/>
      </w:pPr>
      <w:r>
        <w:t xml:space="preserve">Linux kernel documentation.</w:t>
      </w:r>
      <w:r>
        <w:t xml:space="preserve"> </w:t>
      </w:r>
      <w:r>
        <w:rPr>
          <w:iCs/>
          <w:i/>
        </w:rPr>
        <w:t xml:space="preserve">CFS Scheduler</w:t>
      </w:r>
      <w:r>
        <w:t xml:space="preserve">;</w:t>
      </w:r>
      <w:r>
        <w:t xml:space="preserve"> </w:t>
      </w:r>
      <w:r>
        <w:rPr>
          <w:iCs/>
          <w:i/>
        </w:rPr>
        <w:t xml:space="preserve">EEVDF Scheduler</w:t>
      </w:r>
      <w:r>
        <w:t xml:space="preserve">;</w:t>
      </w:r>
      <w:r>
        <w:t xml:space="preserve"> </w:t>
      </w:r>
      <w:r>
        <w:rPr>
          <w:iCs/>
          <w:i/>
        </w:rPr>
        <w:t xml:space="preserve">CFS Bandwidth Control</w:t>
      </w:r>
      <w:r>
        <w:t xml:space="preserve">. https://docs.kernel.org/scheduler/</w:t>
      </w:r>
    </w:p>
    <w:p>
      <w:pPr>
        <w:numPr>
          <w:ilvl w:val="0"/>
          <w:numId w:val="1202"/>
        </w:numPr>
        <w:pStyle w:val="Compact"/>
      </w:pPr>
      <w:r>
        <w:t xml:space="preserve">Stoica, I., and Abdel-Wahab, H.</w:t>
      </w:r>
      <w:r>
        <w:t xml:space="preserve"> </w:t>
      </w:r>
      <w:r>
        <w:rPr>
          <w:iCs/>
          <w:i/>
        </w:rPr>
        <w:t xml:space="preserve">Earliest Eligible Virtual Deadline First: A Flexible and Accurate Mechanism for Proportional Share Resource Allocation</w:t>
      </w:r>
      <w:r>
        <w:t xml:space="preserve">. Technical Report TR-95-22, Old Dominion University, 1995.</w:t>
      </w:r>
    </w:p>
    <w:p>
      <w:pPr>
        <w:numPr>
          <w:ilvl w:val="0"/>
          <w:numId w:val="1202"/>
        </w:numPr>
        <w:pStyle w:val="Compact"/>
      </w:pPr>
      <w:r>
        <w:t xml:space="preserve">Corbet, J.</w:t>
      </w:r>
      <w:r>
        <w:t xml:space="preserve"> </w:t>
      </w:r>
      <w:r>
        <w:t xml:space="preserve">“</w:t>
      </w:r>
      <w:r>
        <w:t xml:space="preserve">An EEVDF CPU scheduler for Linux.</w:t>
      </w:r>
      <w:r>
        <w:t xml:space="preserve">”</w:t>
      </w:r>
      <w:r>
        <w:t xml:space="preserve"> </w:t>
      </w:r>
      <w:r>
        <w:t xml:space="preserve">LWN.net, 2023. https://lwn.net/Articles/925371/</w:t>
      </w:r>
    </w:p>
    <w:p>
      <w:pPr>
        <w:numPr>
          <w:ilvl w:val="0"/>
          <w:numId w:val="1202"/>
        </w:numPr>
        <w:pStyle w:val="Compact"/>
      </w:pPr>
      <w:r>
        <w:t xml:space="preserve">Gregg, B.</w:t>
      </w:r>
      <w:r>
        <w:t xml:space="preserve"> </w:t>
      </w:r>
      <w:r>
        <w:rPr>
          <w:iCs/>
          <w:i/>
        </w:rPr>
        <w:t xml:space="preserve">Systems Performance: Enterprise and the Cloud</w:t>
      </w:r>
      <w:r>
        <w:t xml:space="preserve">, 2nd ed. Addison-Wesley, 2020.</w:t>
      </w:r>
    </w:p>
    <w:p>
      <w:pPr>
        <w:numPr>
          <w:ilvl w:val="0"/>
          <w:numId w:val="1202"/>
        </w:numPr>
        <w:pStyle w:val="Compact"/>
      </w:pPr>
      <w:r>
        <w:t xml:space="preserve">Li, C., Ding, C., and Shen, K.</w:t>
      </w:r>
      <w:r>
        <w:t xml:space="preserve"> </w:t>
      </w:r>
      <w:r>
        <w:t xml:space="preserve">“</w:t>
      </w:r>
      <w:r>
        <w:t xml:space="preserve">Quantifying the Cost of Context Switch.</w:t>
      </w:r>
      <w:r>
        <w:t xml:space="preserve">”</w:t>
      </w:r>
      <w:r>
        <w:t xml:space="preserve"> </w:t>
      </w:r>
      <w:r>
        <w:rPr>
          <w:iCs/>
          <w:i/>
        </w:rPr>
        <w:t xml:space="preserve">Workshop on Experimental Computer Science (ExpCS)</w:t>
      </w:r>
      <w:r>
        <w:t xml:space="preserve">, 2007.</w:t>
      </w:r>
    </w:p>
    <w:p>
      <w:pPr>
        <w:numPr>
          <w:ilvl w:val="0"/>
          <w:numId w:val="1202"/>
        </w:numPr>
        <w:pStyle w:val="Compact"/>
      </w:pPr>
      <w:r>
        <w:t xml:space="preserve">Franke, H., Russell, R., and Kirkwood, M.</w:t>
      </w:r>
      <w:r>
        <w:t xml:space="preserve"> </w:t>
      </w:r>
      <w:r>
        <w:t xml:space="preserve">“</w:t>
      </w:r>
      <w:r>
        <w:t xml:space="preserve">Fuss, Futexes and Furwocks: Fast Userlevel Locking in Linux.</w:t>
      </w:r>
      <w:r>
        <w:t xml:space="preserve">”</w:t>
      </w:r>
      <w:r>
        <w:t xml:space="preserve"> </w:t>
      </w:r>
      <w:r>
        <w:rPr>
          <w:iCs/>
          <w:i/>
        </w:rPr>
        <w:t xml:space="preserve">Ottawa Linux Symposium</w:t>
      </w:r>
      <w:r>
        <w:t xml:space="preserve">, 2002.</w:t>
      </w:r>
    </w:p>
    <w:p>
      <w:pPr>
        <w:numPr>
          <w:ilvl w:val="0"/>
          <w:numId w:val="1202"/>
        </w:numPr>
        <w:pStyle w:val="Compact"/>
      </w:pPr>
      <w:r>
        <w:t xml:space="preserve">Dijkstra, E. W.</w:t>
      </w:r>
      <w:r>
        <w:t xml:space="preserve"> </w:t>
      </w:r>
      <w:r>
        <w:rPr>
          <w:iCs/>
          <w:i/>
        </w:rPr>
        <w:t xml:space="preserve">Cooperating Sequential Processes</w:t>
      </w:r>
      <w:r>
        <w:t xml:space="preserve"> </w:t>
      </w:r>
      <w:r>
        <w:t xml:space="preserve">(EWD 123). Technological University, Eindhoven, 1965.</w:t>
      </w:r>
    </w:p>
    <w:p>
      <w:pPr>
        <w:numPr>
          <w:ilvl w:val="0"/>
          <w:numId w:val="1202"/>
        </w:numPr>
        <w:pStyle w:val="Compact"/>
      </w:pPr>
      <w:r>
        <w:t xml:space="preserve">Lampson, B. W., and Redell, D. D.</w:t>
      </w:r>
      <w:r>
        <w:t xml:space="preserve"> </w:t>
      </w:r>
      <w:r>
        <w:t xml:space="preserve">“</w:t>
      </w:r>
      <w:r>
        <w:t xml:space="preserve">Experience with Processes and Monitors in Mesa.</w:t>
      </w:r>
      <w:r>
        <w:t xml:space="preserve">”</w:t>
      </w:r>
      <w:r>
        <w:t xml:space="preserve"> </w:t>
      </w:r>
      <w:r>
        <w:rPr>
          <w:iCs/>
          <w:i/>
        </w:rPr>
        <w:t xml:space="preserve">Communications of the ACM</w:t>
      </w:r>
      <w:r>
        <w:t xml:space="preserve"> </w:t>
      </w:r>
      <w:r>
        <w:t xml:space="preserve">23(2), 1980.</w:t>
      </w:r>
    </w:p>
    <w:p>
      <w:pPr>
        <w:numPr>
          <w:ilvl w:val="0"/>
          <w:numId w:val="1202"/>
        </w:numPr>
        <w:pStyle w:val="Compact"/>
      </w:pPr>
      <w:r>
        <w:t xml:space="preserve">Herlihy, M., and Shavit, N.</w:t>
      </w:r>
      <w:r>
        <w:t xml:space="preserve"> </w:t>
      </w:r>
      <w:r>
        <w:rPr>
          <w:iCs/>
          <w:i/>
        </w:rPr>
        <w:t xml:space="preserve">The Art of Multiprocessor Programming</w:t>
      </w:r>
      <w:r>
        <w:t xml:space="preserve">, revised 1st ed. Morgan Kaufmann, 2012.</w:t>
      </w:r>
    </w:p>
    <w:p>
      <w:pPr>
        <w:numPr>
          <w:ilvl w:val="0"/>
          <w:numId w:val="1202"/>
        </w:numPr>
        <w:pStyle w:val="Compact"/>
      </w:pPr>
      <w:r>
        <w:t xml:space="preserve">Treiber, R. K.</w:t>
      </w:r>
      <w:r>
        <w:t xml:space="preserve"> </w:t>
      </w:r>
      <w:r>
        <w:rPr>
          <w:iCs/>
          <w:i/>
        </w:rPr>
        <w:t xml:space="preserve">Systems Programming: Coping with Parallelism</w:t>
      </w:r>
      <w:r>
        <w:t xml:space="preserve">. IBM Research Report RJ 5118, 1986.</w:t>
      </w:r>
    </w:p>
    <w:p>
      <w:pPr>
        <w:numPr>
          <w:ilvl w:val="0"/>
          <w:numId w:val="1202"/>
        </w:numPr>
        <w:pStyle w:val="Compact"/>
      </w:pPr>
      <w:r>
        <w:t xml:space="preserve">Michael, M. M.</w:t>
      </w:r>
      <w:r>
        <w:t xml:space="preserve"> </w:t>
      </w:r>
      <w:r>
        <w:t xml:space="preserve">“</w:t>
      </w:r>
      <w:r>
        <w:t xml:space="preserve">Hazard Pointers: Safe Memory Reclamation for Lock-Free Objects.</w:t>
      </w:r>
      <w:r>
        <w:t xml:space="preserve">”</w:t>
      </w:r>
      <w:r>
        <w:t xml:space="preserve"> </w:t>
      </w:r>
      <w:r>
        <w:rPr>
          <w:iCs/>
          <w:i/>
        </w:rPr>
        <w:t xml:space="preserve">IEEE Transactions on Parallel and Distributed Systems</w:t>
      </w:r>
      <w:r>
        <w:t xml:space="preserve"> </w:t>
      </w:r>
      <w:r>
        <w:t xml:space="preserve">15(6), 2004.</w:t>
      </w:r>
    </w:p>
    <w:p>
      <w:pPr>
        <w:numPr>
          <w:ilvl w:val="0"/>
          <w:numId w:val="1202"/>
        </w:numPr>
        <w:pStyle w:val="Compact"/>
      </w:pPr>
      <w:r>
        <w:t xml:space="preserve">Coffman, E. G., Elphick, M. J., and Shoshani, A.</w:t>
      </w:r>
      <w:r>
        <w:t xml:space="preserve"> </w:t>
      </w:r>
      <w:r>
        <w:t xml:space="preserve">“</w:t>
      </w:r>
      <w:r>
        <w:t xml:space="preserve">System Deadlocks.</w:t>
      </w:r>
      <w:r>
        <w:t xml:space="preserve">”</w:t>
      </w:r>
      <w:r>
        <w:t xml:space="preserve"> </w:t>
      </w:r>
      <w:r>
        <w:rPr>
          <w:iCs/>
          <w:i/>
        </w:rPr>
        <w:t xml:space="preserve">ACM Computing Surveys</w:t>
      </w:r>
      <w:r>
        <w:t xml:space="preserve"> </w:t>
      </w:r>
      <w:r>
        <w:t xml:space="preserve">3(2), 1971.</w:t>
      </w:r>
    </w:p>
    <w:p>
      <w:pPr>
        <w:numPr>
          <w:ilvl w:val="0"/>
          <w:numId w:val="1202"/>
        </w:numPr>
        <w:pStyle w:val="Compact"/>
      </w:pPr>
      <w:r>
        <w:t xml:space="preserve">Sha, L., Rajkumar, R., and Lehoczky, J. P.</w:t>
      </w:r>
      <w:r>
        <w:t xml:space="preserve"> </w:t>
      </w:r>
      <w:r>
        <w:t xml:space="preserve">“</w:t>
      </w:r>
      <w:r>
        <w:t xml:space="preserve">Priority Inheritance Protocols: An Approach to Real-Time Synchronization.</w:t>
      </w:r>
      <w:r>
        <w:t xml:space="preserve">”</w:t>
      </w:r>
      <w:r>
        <w:t xml:space="preserve"> </w:t>
      </w:r>
      <w:r>
        <w:rPr>
          <w:iCs/>
          <w:i/>
        </w:rPr>
        <w:t xml:space="preserve">IEEE Transactions on Computers</w:t>
      </w:r>
      <w:r>
        <w:t xml:space="preserve"> </w:t>
      </w:r>
      <w:r>
        <w:t xml:space="preserve">39(9), 1990.</w:t>
      </w:r>
    </w:p>
    <w:p>
      <w:pPr>
        <w:numPr>
          <w:ilvl w:val="0"/>
          <w:numId w:val="1202"/>
        </w:numPr>
        <w:pStyle w:val="Compact"/>
      </w:pPr>
      <w:r>
        <w:t xml:space="preserve">Reeves, G. E.</w:t>
      </w:r>
      <w:r>
        <w:t xml:space="preserve"> </w:t>
      </w:r>
      <w:r>
        <w:t xml:space="preserve">“</w:t>
      </w:r>
      <w:r>
        <w:t xml:space="preserve">What really happened on Mars?</w:t>
      </w:r>
      <w:r>
        <w:t xml:space="preserve">”</w:t>
      </w:r>
      <w:r>
        <w:t xml:space="preserve"> </w:t>
      </w:r>
      <w:r>
        <w:t xml:space="preserve">Email account, December 1997; reproduced at https://www.cs.cornell.edu/courses/cs614/1999sp/papers/pathfinder.html</w:t>
      </w:r>
    </w:p>
    <w:p>
      <w:pPr>
        <w:numPr>
          <w:ilvl w:val="0"/>
          <w:numId w:val="1202"/>
        </w:numPr>
        <w:pStyle w:val="Compact"/>
      </w:pPr>
      <w:r>
        <w:t xml:space="preserve">Jones, M. B.</w:t>
      </w:r>
      <w:r>
        <w:t xml:space="preserve"> </w:t>
      </w:r>
      <w:r>
        <w:t xml:space="preserve">“</w:t>
      </w:r>
      <w:r>
        <w:t xml:space="preserve">What really happened on Mars Rover Pathfinder.</w:t>
      </w:r>
      <w:r>
        <w:t xml:space="preserve">”</w:t>
      </w:r>
      <w:r>
        <w:t xml:space="preserve"> </w:t>
      </w:r>
      <w:r>
        <w:rPr>
          <w:iCs/>
          <w:i/>
        </w:rPr>
        <w:t xml:space="preserve">The RISKS Digest</w:t>
      </w:r>
      <w:r>
        <w:t xml:space="preserve"> </w:t>
      </w:r>
      <w:r>
        <w:t xml:space="preserve">19(49), 1997.</w:t>
      </w:r>
    </w:p>
    <w:p>
      <w:pPr>
        <w:numPr>
          <w:ilvl w:val="0"/>
          <w:numId w:val="1202"/>
        </w:numPr>
        <w:pStyle w:val="Compact"/>
      </w:pPr>
      <w:r>
        <w:t xml:space="preserve">Lemon, J.</w:t>
      </w:r>
      <w:r>
        <w:t xml:space="preserve"> </w:t>
      </w:r>
      <w:r>
        <w:t xml:space="preserve">“</w:t>
      </w:r>
      <w:r>
        <w:t xml:space="preserve">Kqueue: A Generic and Scalable Event Notification Facility.</w:t>
      </w:r>
      <w:r>
        <w:t xml:space="preserve">”</w:t>
      </w:r>
      <w:r>
        <w:t xml:space="preserve"> </w:t>
      </w:r>
      <w:r>
        <w:rPr>
          <w:iCs/>
          <w:i/>
        </w:rPr>
        <w:t xml:space="preserve">USENIX Annual Technical Conference, FREENIX Track</w:t>
      </w:r>
      <w:r>
        <w:t xml:space="preserve">, 2001.</w:t>
      </w:r>
    </w:p>
    <w:p>
      <w:pPr>
        <w:numPr>
          <w:ilvl w:val="0"/>
          <w:numId w:val="1202"/>
        </w:numPr>
        <w:pStyle w:val="Compact"/>
      </w:pPr>
      <w:r>
        <w:t xml:space="preserve">Pillai, T. S., et al. </w:t>
      </w:r>
      <w:r>
        <w:t xml:space="preserve">“</w:t>
      </w:r>
      <w:r>
        <w:t xml:space="preserve">All File Systems Are Not Created Equal: On the Complexity of Crafting Crash-Consistent Applications.</w:t>
      </w:r>
      <w:r>
        <w:t xml:space="preserve">”</w:t>
      </w:r>
      <w:r>
        <w:t xml:space="preserve"> </w:t>
      </w:r>
      <w:r>
        <w:rPr>
          <w:iCs/>
          <w:i/>
        </w:rPr>
        <w:t xml:space="preserve">OSDI</w:t>
      </w:r>
      <w:r>
        <w:t xml:space="preserve">, 2014.</w:t>
      </w:r>
    </w:p>
    <w:p>
      <w:pPr>
        <w:numPr>
          <w:ilvl w:val="0"/>
          <w:numId w:val="1202"/>
        </w:numPr>
        <w:pStyle w:val="Compact"/>
      </w:pPr>
      <w:r>
        <w:t xml:space="preserve">Rebello, A., et al. </w:t>
      </w:r>
      <w:r>
        <w:t xml:space="preserve">“</w:t>
      </w:r>
      <w:r>
        <w:t xml:space="preserve">Can Applications Recover from fsync Failures?</w:t>
      </w:r>
      <w:r>
        <w:t xml:space="preserve">”</w:t>
      </w:r>
      <w:r>
        <w:t xml:space="preserve"> </w:t>
      </w:r>
      <w:r>
        <w:rPr>
          <w:iCs/>
          <w:i/>
        </w:rPr>
        <w:t xml:space="preserve">USENIX Annual Technical Conference</w:t>
      </w:r>
      <w:r>
        <w:t xml:space="preserve">, 2020.</w:t>
      </w:r>
    </w:p>
    <w:p>
      <w:pPr>
        <w:numPr>
          <w:ilvl w:val="0"/>
          <w:numId w:val="1202"/>
        </w:numPr>
        <w:pStyle w:val="Compact"/>
      </w:pPr>
      <w:r>
        <w:t xml:space="preserve">PostgreSQL Wiki.</w:t>
      </w:r>
      <w:r>
        <w:t xml:space="preserve"> </w:t>
      </w:r>
      <w:r>
        <w:rPr>
          <w:iCs/>
          <w:i/>
        </w:rPr>
        <w:t xml:space="preserve">Fsync Errors</w:t>
      </w:r>
      <w:r>
        <w:t xml:space="preserve">. https://wiki.postgresql.org/wiki/Fsync_Errors</w:t>
      </w:r>
    </w:p>
    <w:p>
      <w:pPr>
        <w:numPr>
          <w:ilvl w:val="0"/>
          <w:numId w:val="1202"/>
        </w:numPr>
        <w:pStyle w:val="Compact"/>
      </w:pPr>
      <w:r>
        <w:t xml:space="preserve">Crotty, A., Leis, V., and Pavlo, A.</w:t>
      </w:r>
      <w:r>
        <w:t xml:space="preserve"> </w:t>
      </w:r>
      <w:r>
        <w:t xml:space="preserve">“</w:t>
      </w:r>
      <w:r>
        <w:t xml:space="preserve">Are You Sure You Want to Use MMAP in Your Database Management System?</w:t>
      </w:r>
      <w:r>
        <w:t xml:space="preserve">”</w:t>
      </w:r>
      <w:r>
        <w:t xml:space="preserve"> </w:t>
      </w:r>
      <w:r>
        <w:rPr>
          <w:iCs/>
          <w:i/>
        </w:rPr>
        <w:t xml:space="preserve">CIDR</w:t>
      </w:r>
      <w:r>
        <w:t xml:space="preserve">, 2022.</w:t>
      </w:r>
    </w:p>
    <w:p>
      <w:pPr>
        <w:numPr>
          <w:ilvl w:val="0"/>
          <w:numId w:val="1202"/>
        </w:numPr>
        <w:pStyle w:val="Compact"/>
      </w:pPr>
      <w:r>
        <w:t xml:space="preserve">Apache Kafka.</w:t>
      </w:r>
      <w:r>
        <w:t xml:space="preserve"> </w:t>
      </w:r>
      <w:r>
        <w:rPr>
          <w:iCs/>
          <w:i/>
        </w:rPr>
        <w:t xml:space="preserve">Documentation: Design — Persistence</w:t>
      </w:r>
      <w:r>
        <w:t xml:space="preserve">. https://kafka.apache.org/documentation/#persistence</w:t>
      </w:r>
    </w:p>
    <w:p>
      <w:pPr>
        <w:numPr>
          <w:ilvl w:val="0"/>
          <w:numId w:val="1202"/>
        </w:numPr>
        <w:pStyle w:val="Compact"/>
      </w:pPr>
      <w:r>
        <w:t xml:space="preserve">Redis.</w:t>
      </w:r>
      <w:r>
        <w:t xml:space="preserve"> </w:t>
      </w:r>
      <w:r>
        <w:rPr>
          <w:iCs/>
          <w:i/>
        </w:rPr>
        <w:t xml:space="preserve">Redis persistence</w:t>
      </w:r>
      <w:r>
        <w:t xml:space="preserve"> </w:t>
      </w:r>
      <w:r>
        <w:t xml:space="preserve">and</w:t>
      </w:r>
      <w:r>
        <w:t xml:space="preserve"> </w:t>
      </w:r>
      <w:r>
        <w:rPr>
          <w:iCs/>
          <w:i/>
        </w:rPr>
        <w:t xml:space="preserve">Diagnosing latency issues</w:t>
      </w:r>
      <w:r>
        <w:t xml:space="preserve">. https://redis.io/docs/</w:t>
      </w:r>
    </w:p>
    <w:p>
      <w:pPr>
        <w:numPr>
          <w:ilvl w:val="0"/>
          <w:numId w:val="1202"/>
        </w:numPr>
        <w:pStyle w:val="Compact"/>
      </w:pPr>
      <w:r>
        <w:t xml:space="preserve">PostgreSQL.</w:t>
      </w:r>
      <w:r>
        <w:t xml:space="preserve"> </w:t>
      </w:r>
      <w:r>
        <w:rPr>
          <w:iCs/>
          <w:i/>
        </w:rPr>
        <w:t xml:space="preserve">Documentation: Architectural Fundamentals</w:t>
      </w:r>
      <w:r>
        <w:t xml:space="preserve">. https://www.postgresql.org/docs/current/tutorial-arch.html</w:t>
      </w:r>
    </w:p>
    <w:p>
      <w:pPr>
        <w:numPr>
          <w:ilvl w:val="0"/>
          <w:numId w:val="1202"/>
        </w:numPr>
        <w:pStyle w:val="Compact"/>
      </w:pPr>
      <w:r>
        <w:t xml:space="preserve">MySQL.</w:t>
      </w:r>
      <w:r>
        <w:t xml:space="preserve"> </w:t>
      </w:r>
      <w:r>
        <w:rPr>
          <w:iCs/>
          <w:i/>
        </w:rPr>
        <w:t xml:space="preserve">MySQL 8.0 Reference Manual: Connection Interfaces</w:t>
      </w:r>
      <w:r>
        <w:t xml:space="preserve">. https://dev.mysql.com/doc/</w:t>
      </w:r>
    </w:p>
    <w:p>
      <w:pPr>
        <w:numPr>
          <w:ilvl w:val="0"/>
          <w:numId w:val="1202"/>
        </w:numPr>
        <w:pStyle w:val="Compact"/>
      </w:pPr>
      <w:r>
        <w:t xml:space="preserve">Pike, R.</w:t>
      </w:r>
      <w:r>
        <w:t xml:space="preserve"> </w:t>
      </w:r>
      <w:r>
        <w:t xml:space="preserve">“</w:t>
      </w:r>
      <w:r>
        <w:t xml:space="preserve">Concurrency is not Parallelism.</w:t>
      </w:r>
      <w:r>
        <w:t xml:space="preserve">”</w:t>
      </w:r>
      <w:r>
        <w:t xml:space="preserve"> </w:t>
      </w:r>
      <w:r>
        <w:t xml:space="preserve">Talk, Heroku Waza conference, 2012.</w:t>
      </w:r>
    </w:p>
    <w:p>
      <w:pPr>
        <w:numPr>
          <w:ilvl w:val="0"/>
          <w:numId w:val="1202"/>
        </w:numPr>
        <w:pStyle w:val="Compact"/>
      </w:pPr>
      <w:r>
        <w:t xml:space="preserve">The Go Authors.</w:t>
      </w:r>
      <w:r>
        <w:t xml:space="preserve"> </w:t>
      </w:r>
      <w:r>
        <w:rPr>
          <w:iCs/>
          <w:i/>
        </w:rPr>
        <w:t xml:space="preserve">Data Race Detector</w:t>
      </w:r>
      <w:r>
        <w:t xml:space="preserve"> </w:t>
      </w:r>
      <w:r>
        <w:t xml:space="preserve">and</w:t>
      </w:r>
      <w:r>
        <w:t xml:space="preserve"> </w:t>
      </w:r>
      <w:r>
        <w:rPr>
          <w:iCs/>
          <w:i/>
        </w:rPr>
        <w:t xml:space="preserve">The Go Memory Model</w:t>
      </w:r>
      <w:r>
        <w:t xml:space="preserve">. https://go.dev/doc/articles/race_detector, https://go.dev/ref/mem</w:t>
      </w:r>
    </w:p>
    <w:p>
      <w:pPr>
        <w:numPr>
          <w:ilvl w:val="0"/>
          <w:numId w:val="1202"/>
        </w:numPr>
        <w:pStyle w:val="Compact"/>
      </w:pPr>
      <w:r>
        <w:t xml:space="preserve">Node.js.</w:t>
      </w:r>
      <w:r>
        <w:t xml:space="preserve"> </w:t>
      </w:r>
      <w:r>
        <w:rPr>
          <w:iCs/>
          <w:i/>
        </w:rPr>
        <w:t xml:space="preserve">Don’t Block the Event Loop (or the Worker Pool)</w:t>
      </w:r>
      <w:r>
        <w:t xml:space="preserve">. https://nodejs.org/en/learn/asynchronous-work/dont-block-the-event-loop</w:t>
      </w:r>
    </w:p>
    <w:p>
      <w:pPr>
        <w:numPr>
          <w:ilvl w:val="0"/>
          <w:numId w:val="1202"/>
        </w:numPr>
        <w:pStyle w:val="Compact"/>
      </w:pPr>
      <w:r>
        <w:t xml:space="preserve">Google Security Blog.</w:t>
      </w:r>
      <w:r>
        <w:t xml:space="preserve"> </w:t>
      </w:r>
      <w:r>
        <w:t xml:space="preserve">“</w:t>
      </w:r>
      <w:r>
        <w:t xml:space="preserve">Learnings from kCTF VRP’s 42 Linux kernel exploits submissions.</w:t>
      </w:r>
      <w:r>
        <w:t xml:space="preserve">”</w:t>
      </w:r>
      <w:r>
        <w:t xml:space="preserve"> </w:t>
      </w:r>
      <w:r>
        <w:t xml:space="preserve">2023. https://security.googleblog.com/</w:t>
      </w:r>
    </w:p>
    <w:p>
      <w:pPr>
        <w:numPr>
          <w:ilvl w:val="0"/>
          <w:numId w:val="1202"/>
        </w:numPr>
        <w:pStyle w:val="Compact"/>
      </w:pPr>
      <w:r>
        <w:t xml:space="preserve">Apple.</w:t>
      </w:r>
      <w:r>
        <w:t xml:space="preserve"> </w:t>
      </w:r>
      <w:r>
        <w:rPr>
          <w:rStyle w:val="VerbatimChar"/>
        </w:rPr>
        <w:t xml:space="preserve">fsync(2)</w:t>
      </w:r>
      <w:r>
        <w:t xml:space="preserve"> </w:t>
      </w:r>
      <w:r>
        <w:t xml:space="preserve">macOS manual page.</w:t>
      </w:r>
    </w:p>
    <w:p>
      <w:pPr>
        <w:numPr>
          <w:ilvl w:val="0"/>
          <w:numId w:val="1202"/>
        </w:numPr>
        <w:pStyle w:val="Compact"/>
      </w:pPr>
      <w:r>
        <w:t xml:space="preserve">Hewitt, C., Bishop, P., and Steiger, R.</w:t>
      </w:r>
      <w:r>
        <w:t xml:space="preserve"> </w:t>
      </w:r>
      <w:r>
        <w:t xml:space="preserve">“</w:t>
      </w:r>
      <w:r>
        <w:t xml:space="preserve">A Universal Modular ACTOR Formalism for Artificial Intelligence.</w:t>
      </w:r>
      <w:r>
        <w:t xml:space="preserve">”</w:t>
      </w:r>
      <w:r>
        <w:t xml:space="preserve"> </w:t>
      </w:r>
      <w:r>
        <w:rPr>
          <w:iCs/>
          <w:i/>
        </w:rPr>
        <w:t xml:space="preserve">IJCAI</w:t>
      </w:r>
      <w:r>
        <w:t xml:space="preserve">, 1973.</w:t>
      </w:r>
    </w:p>
    <w:p>
      <w:pPr>
        <w:numPr>
          <w:ilvl w:val="0"/>
          <w:numId w:val="1202"/>
        </w:numPr>
        <w:pStyle w:val="Compact"/>
      </w:pPr>
      <w:r>
        <w:t xml:space="preserve">Armstrong, J.</w:t>
      </w:r>
      <w:r>
        <w:t xml:space="preserve"> </w:t>
      </w:r>
      <w:r>
        <w:rPr>
          <w:iCs/>
          <w:i/>
        </w:rPr>
        <w:t xml:space="preserve">Making Reliable Distributed Systems in the Presence of Software Errors</w:t>
      </w:r>
      <w:r>
        <w:t xml:space="preserve">. PhD thesis, Royal Institute of Technology (KTH), Stockholm, 2003.</w:t>
      </w:r>
    </w:p>
    <w:p>
      <w:pPr>
        <w:numPr>
          <w:ilvl w:val="0"/>
          <w:numId w:val="1202"/>
        </w:numPr>
        <w:pStyle w:val="Compact"/>
      </w:pPr>
      <w:r>
        <w:t xml:space="preserve">Erlang/OTP.</w:t>
      </w:r>
      <w:r>
        <w:t xml:space="preserve"> </w:t>
      </w:r>
      <w:r>
        <w:rPr>
          <w:iCs/>
          <w:i/>
        </w:rPr>
        <w:t xml:space="preserve">Efficiency Guide: Processes</w:t>
      </w:r>
      <w:r>
        <w:t xml:space="preserve">. https://www.erlang.org/doc/</w:t>
      </w:r>
    </w:p>
    <w:p>
      <w:pPr>
        <w:numPr>
          <w:ilvl w:val="0"/>
          <w:numId w:val="1202"/>
        </w:numPr>
        <w:pStyle w:val="Compact"/>
      </w:pPr>
      <w:r>
        <w:t xml:space="preserve">WhatsApp.</w:t>
      </w:r>
      <w:r>
        <w:t xml:space="preserve"> </w:t>
      </w:r>
      <w:r>
        <w:t xml:space="preserve">“</w:t>
      </w:r>
      <w:r>
        <w:t xml:space="preserve">1 million is so 2011.</w:t>
      </w:r>
      <w:r>
        <w:t xml:space="preserve">”</w:t>
      </w:r>
      <w:r>
        <w:t xml:space="preserve"> </w:t>
      </w:r>
      <w:r>
        <w:t xml:space="preserve">WhatsApp Blog, January 2012.</w:t>
      </w:r>
    </w:p>
    <w:p>
      <w:pPr>
        <w:numPr>
          <w:ilvl w:val="0"/>
          <w:numId w:val="1202"/>
        </w:numPr>
        <w:pStyle w:val="Compact"/>
      </w:pPr>
      <w:r>
        <w:t xml:space="preserve">OpenJDK.</w:t>
      </w:r>
      <w:r>
        <w:t xml:space="preserve"> </w:t>
      </w:r>
      <w:r>
        <w:rPr>
          <w:iCs/>
          <w:i/>
        </w:rPr>
        <w:t xml:space="preserve">JEP 444: Virtual Threads</w:t>
      </w:r>
      <w:r>
        <w:t xml:space="preserve">. 2023. https://openjdk.org/jeps/444</w:t>
      </w:r>
    </w:p>
    <w:p>
      <w:pPr>
        <w:numPr>
          <w:ilvl w:val="0"/>
          <w:numId w:val="1202"/>
        </w:numPr>
        <w:pStyle w:val="Compact"/>
      </w:pPr>
      <w:r>
        <w:t xml:space="preserve">Goetz, B., et al. </w:t>
      </w:r>
      <w:r>
        <w:rPr>
          <w:iCs/>
          <w:i/>
        </w:rPr>
        <w:t xml:space="preserve">Java Concurrency in Practice</w:t>
      </w:r>
      <w:r>
        <w:t xml:space="preserve">. Addison-Wesley, 2006.</w:t>
      </w:r>
    </w:p>
    <w:bookmarkEnd w:id="684"/>
    <w:bookmarkStart w:id="685" w:name="open-verification-items-5"/>
    <w:p>
      <w:pPr>
        <w:pStyle w:val="Heading2"/>
      </w:pPr>
      <w:r>
        <w:t xml:space="preserve">6.22 Open verification items</w:t>
      </w:r>
    </w:p>
    <w:p>
      <w:pPr>
        <w:numPr>
          <w:ilvl w:val="0"/>
          <w:numId w:val="1203"/>
        </w:numPr>
        <w:pStyle w:val="Compact"/>
      </w:pPr>
      <w:r>
        <w:t xml:space="preserve">Exact LWN article URL and date for [Corbet 2023] (lwn.net was unreachable from the authoring environment). EEVDF merge in 6.6 and the 0.75 ms × (1 + log2 ncpus) base slice were confirmed against the v6.6 scheduler pull request and commit e4ec3318; whether later 6.x releases changed the default is not verified.</w:t>
      </w:r>
    </w:p>
    <w:p>
      <w:pPr>
        <w:numPr>
          <w:ilvl w:val="0"/>
          <w:numId w:val="1203"/>
        </w:numPr>
        <w:pStyle w:val="Compact"/>
      </w:pPr>
      <w:r>
        <w:t xml:space="preserve">Magnitude of indirect context-switch cost reported by [Li et al. 2007]; direct-cost range 1–5 µs on current hardware.</w:t>
      </w:r>
    </w:p>
    <w:p>
      <w:pPr>
        <w:numPr>
          <w:ilvl w:val="0"/>
          <w:numId w:val="1203"/>
        </w:numPr>
        <w:pStyle w:val="Compact"/>
      </w:pPr>
      <w:r>
        <w:t xml:space="preserve">Mars Pathfinder details (task names, watchdog mechanism, remote patch via on-board interpreter) against Reeves’s original text; Cornell mirror URL.</w:t>
      </w:r>
    </w:p>
    <w:p>
      <w:pPr>
        <w:numPr>
          <w:ilvl w:val="0"/>
          <w:numId w:val="1203"/>
        </w:numPr>
        <w:pStyle w:val="Compact"/>
      </w:pPr>
      <w:r>
        <w:t xml:space="preserve">Google Security Blog 2023 io_uring statistics and the exact scope of the restriction; full article URL.</w:t>
      </w:r>
    </w:p>
    <w:p>
      <w:pPr>
        <w:numPr>
          <w:ilvl w:val="0"/>
          <w:numId w:val="1203"/>
        </w:numPr>
        <w:pStyle w:val="Compact"/>
      </w:pPr>
      <w:r>
        <w:t xml:space="preserve">WhatsApp 2012</w:t>
      </w:r>
      <w:r>
        <w:t xml:space="preserve"> </w:t>
      </w:r>
      <w:r>
        <w:t xml:space="preserve">“</w:t>
      </w:r>
      <w:r>
        <w:t xml:space="preserve">2 million connections</w:t>
      </w:r>
      <w:r>
        <w:t xml:space="preserve">”</w:t>
      </w:r>
      <w:r>
        <w:t xml:space="preserve"> </w:t>
      </w:r>
      <w:r>
        <w:t xml:space="preserve">blog post URL and wording.</w:t>
      </w:r>
    </w:p>
    <w:p>
      <w:pPr>
        <w:numPr>
          <w:ilvl w:val="0"/>
          <w:numId w:val="1203"/>
        </w:numPr>
        <w:pStyle w:val="Compact"/>
      </w:pPr>
      <w:r>
        <w:t xml:space="preserve">Erlang process initial size (</w:t>
      </w:r>
      <w:r>
        <w:t xml:space="preserve">“</w:t>
      </w:r>
      <w:r>
        <w:t xml:space="preserve">a few hundred words</w:t>
      </w:r>
      <w:r>
        <w:t xml:space="preserve">”</w:t>
      </w:r>
      <w:r>
        <w:t xml:space="preserve">) for the current OTP release; Python 3.14 free-threading status.</w:t>
      </w:r>
    </w:p>
    <w:p>
      <w:pPr>
        <w:numPr>
          <w:ilvl w:val="0"/>
          <w:numId w:val="1203"/>
        </w:numPr>
        <w:pStyle w:val="Compact"/>
      </w:pPr>
      <w:r>
        <w:t xml:space="preserve">Whether Dijkstra’s banker’s algorithm should be cited to EWD 123 or EWD 108.</w:t>
      </w:r>
    </w:p>
    <w:p>
      <w:pPr>
        <w:numPr>
          <w:ilvl w:val="0"/>
          <w:numId w:val="1203"/>
        </w:numPr>
        <w:pStyle w:val="Compact"/>
      </w:pPr>
      <w:r>
        <w:t xml:space="preserve">MySQL</w:t>
      </w:r>
      <w:r>
        <w:t xml:space="preserve"> </w:t>
      </w:r>
      <w:r>
        <w:t xml:space="preserve">“</w:t>
      </w:r>
      <w:r>
        <w:t xml:space="preserve">Connection Interfaces</w:t>
      </w:r>
      <w:r>
        <w:t xml:space="preserve">”</w:t>
      </w:r>
      <w:r>
        <w:t xml:space="preserve"> </w:t>
      </w:r>
      <w:r>
        <w:t xml:space="preserve">page title for thread-per-connection.</w:t>
      </w:r>
    </w:p>
    <w:p>
      <w:pPr>
        <w:numPr>
          <w:ilvl w:val="0"/>
          <w:numId w:val="1203"/>
        </w:numPr>
        <w:pStyle w:val="Compact"/>
      </w:pPr>
      <w:r>
        <w:t xml:space="preserve">TLB entry counts (1,000–3,000 second-level entries) for current server CPUs.</w:t>
      </w:r>
    </w:p>
    <w:bookmarkEnd w:id="685"/>
    <w:bookmarkEnd w:id="686"/>
    <w:bookmarkStart w:id="822" w:name="chapter-7-networking-fundamentals"/>
    <w:p>
      <w:pPr>
        <w:pStyle w:val="Heading1"/>
      </w:pPr>
      <w:r>
        <w:t xml:space="preserve">Chapter 7 — Networking Fundamentals</w:t>
      </w:r>
    </w:p>
    <w:p>
      <w:pPr>
        <w:pStyle w:val="BlockText"/>
      </w:pPr>
      <w:r>
        <w:rPr>
          <w:bCs/>
          <w:b/>
        </w:rPr>
        <w:t xml:space="preserve">Level:</w:t>
      </w:r>
      <w:r>
        <w:t xml:space="preserve"> </w:t>
      </w:r>
      <w:r>
        <w:t xml:space="preserve">1–2 ·</w:t>
      </w:r>
      <w:r>
        <w:t xml:space="preserve"> </w:t>
      </w:r>
      <w:r>
        <w:rPr>
          <w:bCs/>
          <w:b/>
        </w:rPr>
        <w:t xml:space="preserve">Track:</w:t>
      </w:r>
      <w:r>
        <w:t xml:space="preserve"> </w:t>
      </w:r>
      <w:r>
        <w:t xml:space="preserve">Shared ·</w:t>
      </w:r>
      <w:r>
        <w:t xml:space="preserve"> </w:t>
      </w:r>
      <w:r>
        <w:rPr>
          <w:bCs/>
          <w:b/>
        </w:rPr>
        <w:t xml:space="preserve">Estimated reading time:</w:t>
      </w:r>
      <w:r>
        <w:t xml:space="preserve"> </w:t>
      </w:r>
      <w:r>
        <w:t xml:space="preserve">5 h</w:t>
      </w:r>
    </w:p>
    <w:p>
      <w:pPr>
        <w:pStyle w:val="FirstParagraph"/>
      </w:pPr>
      <w:r>
        <w:t xml:space="preserve">Every system in this book is a set of computers that talk to each other. A database replica talks to its primary, a browser talks to a load balancer, and a model server streams tokens to a phone. Whenever two computers talk, the network sets hard limits on how fast they can do it, how often it fails, and what it costs. Those limits come from physics (the speed of light), from economics (the cost of bandwidth), and from decades-old protocol decisions that you cannot change. You can design around them only if you understand them.</w:t>
      </w:r>
    </w:p>
    <w:p>
      <w:pPr>
        <w:pStyle w:val="BodyText"/>
      </w:pPr>
      <w:r>
        <w:t xml:space="preserve">This chapter builds the network up from nothing. We start with the layered model that lets thousands of independently built protocols cooperate, then follow a single request down through addressing, routing, name resolution, transport, security and application protocols. We finish by tracing everything that happens when you type a URL into a browser. Throughout, the goal is quantitative intuition: by the end you should be able to estimate, with arithmetic, how long a request will take and why.</w:t>
      </w:r>
    </w:p>
    <w:bookmarkStart w:id="687" w:name="learning-objectives-6"/>
    <w:p>
      <w:pPr>
        <w:pStyle w:val="Heading2"/>
      </w:pPr>
      <w:r>
        <w:t xml:space="preserve">7.1 Learning objectives</w:t>
      </w:r>
    </w:p>
    <w:p>
      <w:pPr>
        <w:pStyle w:val="FirstParagraph"/>
      </w:pPr>
      <w:r>
        <w:t xml:space="preserve">After this chapter you should be able to:</w:t>
      </w:r>
    </w:p>
    <w:p>
      <w:pPr>
        <w:numPr>
          <w:ilvl w:val="0"/>
          <w:numId w:val="1204"/>
        </w:numPr>
        <w:pStyle w:val="Compact"/>
      </w:pPr>
      <w:r>
        <w:t xml:space="preserve">Explain the OSI and TCP/IP layer models and describe how</w:t>
      </w:r>
      <w:r>
        <w:t xml:space="preserve"> </w:t>
      </w:r>
      <w:r>
        <w:rPr>
          <w:bCs/>
          <w:b/>
        </w:rPr>
        <w:t xml:space="preserve">encapsulation</w:t>
      </w:r>
      <w:r>
        <w:t xml:space="preserve"> </w:t>
      </w:r>
      <w:r>
        <w:t xml:space="preserve">wraps application data in transport, network and link headers.</w:t>
      </w:r>
    </w:p>
    <w:p>
      <w:pPr>
        <w:numPr>
          <w:ilvl w:val="0"/>
          <w:numId w:val="1204"/>
        </w:numPr>
        <w:pStyle w:val="Compact"/>
      </w:pPr>
      <w:r>
        <w:t xml:space="preserve">Read and compute IPv4 and IPv6 CIDR blocks: network address, broadcast address, usable host count and whether an address falls in a subnet.</w:t>
      </w:r>
    </w:p>
    <w:p>
      <w:pPr>
        <w:numPr>
          <w:ilvl w:val="0"/>
          <w:numId w:val="1204"/>
        </w:numPr>
        <w:pStyle w:val="Compact"/>
      </w:pPr>
      <w:r>
        <w:t xml:space="preserve">Describe how packets are routed inside a network and between autonomous systems with BGP, and explain how anycast steers users to a nearby server.</w:t>
      </w:r>
    </w:p>
    <w:p>
      <w:pPr>
        <w:numPr>
          <w:ilvl w:val="0"/>
          <w:numId w:val="1204"/>
        </w:numPr>
        <w:pStyle w:val="Compact"/>
      </w:pPr>
      <w:r>
        <w:t xml:space="preserve">Draw the DNS resolution sequence (stub, recursive resolver, root, TLD, authoritative), name the common record types, and reason about TTLs and the limits of DNS-based load balancing.</w:t>
      </w:r>
    </w:p>
    <w:p>
      <w:pPr>
        <w:numPr>
          <w:ilvl w:val="0"/>
          <w:numId w:val="1204"/>
        </w:numPr>
        <w:pStyle w:val="Compact"/>
      </w:pPr>
      <w:r>
        <w:t xml:space="preserve">Explain TCP’s three-way handshake, four-way close, TIME_WAIT, sequence numbers, retransmission, flow control and congestion control (slow start, AIMD, CUBIC, BBR), and identify head-of-line blocking.</w:t>
      </w:r>
    </w:p>
    <w:p>
      <w:pPr>
        <w:numPr>
          <w:ilvl w:val="0"/>
          <w:numId w:val="1204"/>
        </w:numPr>
        <w:pStyle w:val="Compact"/>
      </w:pPr>
      <w:r>
        <w:t xml:space="preserve">Decide when UDP is the right transport and what you must rebuild on top of it.</w:t>
      </w:r>
    </w:p>
    <w:p>
      <w:pPr>
        <w:numPr>
          <w:ilvl w:val="0"/>
          <w:numId w:val="1204"/>
        </w:numPr>
        <w:pStyle w:val="Compact"/>
      </w:pPr>
      <w:r>
        <w:t xml:space="preserve">Compare HTTP/1.1, HTTP/2 and HTTP/3 (over QUIC) and justify a choice for a given workload.</w:t>
      </w:r>
    </w:p>
    <w:p>
      <w:pPr>
        <w:numPr>
          <w:ilvl w:val="0"/>
          <w:numId w:val="1204"/>
        </w:numPr>
        <w:pStyle w:val="Compact"/>
      </w:pPr>
      <w:r>
        <w:t xml:space="preserve">Sequence the TLS 1.3 handshake, explain certificate validation, and state the security caveats of 0-RTT.</w:t>
      </w:r>
    </w:p>
    <w:p>
      <w:pPr>
        <w:numPr>
          <w:ilvl w:val="0"/>
          <w:numId w:val="1204"/>
        </w:numPr>
        <w:pStyle w:val="Compact"/>
      </w:pPr>
      <w:r>
        <w:t xml:space="preserve">Distinguish forward proxies from reverse proxies, and explain NAT, firewalls and cloud security groups.</w:t>
      </w:r>
    </w:p>
    <w:p>
      <w:pPr>
        <w:numPr>
          <w:ilvl w:val="0"/>
          <w:numId w:val="1204"/>
        </w:numPr>
        <w:pStyle w:val="Compact"/>
      </w:pPr>
      <w:r>
        <w:t xml:space="preserve">Decompose latency into propagation, transmission, queuing and processing delay; compute the bandwidth-delay product; and apply the Mathis formula to estimate TCP throughput under loss.</w:t>
      </w:r>
    </w:p>
    <w:p>
      <w:pPr>
        <w:numPr>
          <w:ilvl w:val="0"/>
          <w:numId w:val="1204"/>
        </w:numPr>
        <w:pStyle w:val="Compact"/>
      </w:pPr>
      <w:r>
        <w:t xml:space="preserve">Quantify the cost of connection setup and size a connection pool.</w:t>
      </w:r>
    </w:p>
    <w:p>
      <w:pPr>
        <w:numPr>
          <w:ilvl w:val="0"/>
          <w:numId w:val="1204"/>
        </w:numPr>
        <w:pStyle w:val="Compact"/>
      </w:pPr>
      <w:r>
        <w:t xml:space="preserve">Describe leaf–spine (Clos) datacenter fabrics and why east–west traffic dominates modern datacenters.</w:t>
      </w:r>
    </w:p>
    <w:bookmarkEnd w:id="687"/>
    <w:bookmarkStart w:id="688" w:name="prerequisites-6"/>
    <w:p>
      <w:pPr>
        <w:pStyle w:val="Heading2"/>
      </w:pPr>
      <w:r>
        <w:t xml:space="preserve">7.2 Prerequisites</w:t>
      </w:r>
    </w:p>
    <w:p>
      <w:pPr>
        <w:numPr>
          <w:ilvl w:val="0"/>
          <w:numId w:val="1205"/>
        </w:numPr>
        <w:pStyle w:val="Compact"/>
      </w:pPr>
      <w:r>
        <w:t xml:space="preserve">Units: bits vs bytes, SI prefixes, rates — §4.5 (every calculation here converts between bits per second and bytes).</w:t>
      </w:r>
    </w:p>
    <w:p>
      <w:pPr>
        <w:numPr>
          <w:ilvl w:val="0"/>
          <w:numId w:val="1205"/>
        </w:numPr>
        <w:pStyle w:val="Compact"/>
      </w:pPr>
      <w:r>
        <w:t xml:space="preserve">Percentiles and tail latency — §4.8 (network latency is heavy-tailed; averages mislead).</w:t>
      </w:r>
    </w:p>
    <w:p>
      <w:pPr>
        <w:numPr>
          <w:ilvl w:val="0"/>
          <w:numId w:val="1205"/>
        </w:numPr>
        <w:pStyle w:val="Compact"/>
      </w:pPr>
      <w:r>
        <w:t xml:space="preserve">Little’s Law — §4.11 (used to size connection pools in §7.16).</w:t>
      </w:r>
    </w:p>
    <w:p>
      <w:pPr>
        <w:numPr>
          <w:ilvl w:val="0"/>
          <w:numId w:val="1205"/>
        </w:numPr>
        <w:pStyle w:val="Compact"/>
      </w:pPr>
      <w:r>
        <w:t xml:space="preserve">Latency numbers every engineer should know — §4.17 (this chapter derives several of them).</w:t>
      </w:r>
    </w:p>
    <w:p>
      <w:pPr>
        <w:numPr>
          <w:ilvl w:val="0"/>
          <w:numId w:val="1205"/>
        </w:numPr>
        <w:pStyle w:val="Compact"/>
      </w:pPr>
      <w:r>
        <w:t xml:space="preserve">Processes, sockets as file descriptors, and I/O models (blocking, epoll) — §6.7 and §6.13 (a TCP connection is a kernel object your process reads and writes).</w:t>
      </w:r>
    </w:p>
    <w:p>
      <w:pPr>
        <w:pStyle w:val="FirstParagraph"/>
      </w:pPr>
      <w:r>
        <w:t xml:space="preserve">No prior networking knowledge is assumed.</w:t>
      </w:r>
    </w:p>
    <w:bookmarkEnd w:id="688"/>
    <w:bookmarkStart w:id="698" w:name="osi-and-tcpip-models"/>
    <w:p>
      <w:pPr>
        <w:pStyle w:val="Heading2"/>
      </w:pPr>
      <w:r>
        <w:t xml:space="preserve">7.3 OSI and TCP/IP models</w:t>
      </w:r>
    </w:p>
    <w:bookmarkStart w:id="690" w:name="the-postal-analogy"/>
    <w:p>
      <w:pPr>
        <w:pStyle w:val="Heading3"/>
      </w:pPr>
      <w:r>
        <w:t xml:space="preserve">7.3.1 The postal analogy</w:t>
      </w:r>
    </w:p>
    <w:p>
      <w:pPr>
        <w:pStyle w:val="FirstParagraph"/>
      </w:pPr>
      <w:r>
        <w:t xml:space="preserve">Imagine you want to send a letter to a friend in another country. You write the letter (the content). You put it in an envelope and write your friend’s name on it. The post office puts your envelope into a mail sack addressed to a sorting center in the destination city. The mail sack goes into a truck, then a plane, then another truck. At each sorting center, a worker reads only the sack label, not your letter, and decides where it goes next. At the far end, the sack is opened, the envelope is delivered to the right house, and your friend opens it and reads the letter.</w:t>
      </w:r>
    </w:p>
    <w:p>
      <w:pPr>
        <w:pStyle w:val="BodyText"/>
      </w:pPr>
      <w:r>
        <w:t xml:space="preserve">Three ideas in this story are the foundation of all computer networking:</w:t>
      </w:r>
    </w:p>
    <w:p>
      <w:pPr>
        <w:numPr>
          <w:ilvl w:val="0"/>
          <w:numId w:val="1206"/>
        </w:numPr>
        <w:pStyle w:val="Compact"/>
      </w:pPr>
      <w:r>
        <w:rPr>
          <w:bCs/>
          <w:b/>
        </w:rPr>
        <w:t xml:space="preserve">Layering.</w:t>
      </w:r>
      <w:r>
        <w:t xml:space="preserve"> </w:t>
      </w:r>
      <w:r>
        <w:t xml:space="preserve">Each participant does one job and trusts the others to do theirs. The letter writer does not care whether the mail flies or sails. The truck driver does not read letters.</w:t>
      </w:r>
    </w:p>
    <w:p>
      <w:pPr>
        <w:numPr>
          <w:ilvl w:val="0"/>
          <w:numId w:val="1206"/>
        </w:numPr>
        <w:pStyle w:val="Compact"/>
      </w:pPr>
      <w:r>
        <w:rPr>
          <w:bCs/>
          <w:b/>
        </w:rPr>
        <w:t xml:space="preserve">Encapsulation.</w:t>
      </w:r>
      <w:r>
        <w:t xml:space="preserve"> </w:t>
      </w:r>
      <w:r>
        <w:t xml:space="preserve">Each layer wraps the thing it was given in its own envelope with its own address, and the matching layer at the far end unwraps it.</w:t>
      </w:r>
    </w:p>
    <w:p>
      <w:pPr>
        <w:numPr>
          <w:ilvl w:val="0"/>
          <w:numId w:val="1206"/>
        </w:numPr>
        <w:pStyle w:val="Compact"/>
      </w:pPr>
      <w:r>
        <w:rPr>
          <w:bCs/>
          <w:b/>
        </w:rPr>
        <w:t xml:space="preserve">Hop-by-hop forwarding.</w:t>
      </w:r>
      <w:r>
        <w:t xml:space="preserve"> </w:t>
      </w:r>
      <w:r>
        <w:t xml:space="preserve">Intermediate sorting centers look only at the outer address and forward toward the destination. They do not need the whole route in advance.</w:t>
      </w:r>
    </w:p>
    <w:p>
      <w:pPr>
        <w:pStyle w:val="FirstParagraph"/>
      </w:pPr>
      <w:r>
        <w:t xml:space="preserve">Computer networks work the same way. Your application writes bytes. The operating system wraps them in a</w:t>
      </w:r>
      <w:r>
        <w:t xml:space="preserve"> </w:t>
      </w:r>
      <w:r>
        <w:rPr>
          <w:bCs/>
          <w:b/>
        </w:rPr>
        <w:t xml:space="preserve">segment</w:t>
      </w:r>
      <w:r>
        <w:t xml:space="preserve"> </w:t>
      </w:r>
      <w:r>
        <w:t xml:space="preserve">with port numbers (which program on the machine), then in a</w:t>
      </w:r>
      <w:r>
        <w:t xml:space="preserve"> </w:t>
      </w:r>
      <w:r>
        <w:rPr>
          <w:bCs/>
          <w:b/>
        </w:rPr>
        <w:t xml:space="preserve">packet</w:t>
      </w:r>
      <w:r>
        <w:t xml:space="preserve"> </w:t>
      </w:r>
      <w:r>
        <w:t xml:space="preserve">with IP addresses (which machine on the planet), then in a</w:t>
      </w:r>
      <w:r>
        <w:t xml:space="preserve"> </w:t>
      </w:r>
      <w:r>
        <w:rPr>
          <w:bCs/>
          <w:b/>
        </w:rPr>
        <w:t xml:space="preserve">frame</w:t>
      </w:r>
      <w:r>
        <w:t xml:space="preserve"> </w:t>
      </w:r>
      <w:r>
        <w:t xml:space="preserve">with hardware addresses (which device on this particular wire). Routers along the way read the packet header and forward it, and the receiving machine unwraps each layer in reverse.</w:t>
      </w:r>
    </w:p>
    <w:p>
      <w:pPr>
        <w:pStyle w:val="CalloutDefinition"/>
      </w:pPr>
      <w:r>
        <w:rPr>
          <w:bCs/>
          <w:b/>
        </w:rPr>
        <w:t xml:space="preserve">DEFINITION</w:t>
      </w:r>
    </w:p>
    <w:p>
      <w:pPr>
        <w:pStyle w:val="CalloutDefinition"/>
      </w:pPr>
      <w:r>
        <w:rPr>
          <w:bCs/>
          <w:b/>
        </w:rPr>
        <w:t xml:space="preserve">Definition — Protocol.</w:t>
      </w:r>
      <w:r>
        <w:t xml:space="preserve"> </w:t>
      </w:r>
      <w:r>
        <w:t xml:space="preserve">A set of rules two parties agree on for exchanging messages: message formats, the meaning of each field, and the actions each side takes on sending, receiving or timing out. A</w:t>
      </w:r>
      <w:r>
        <w:t xml:space="preserve"> </w:t>
      </w:r>
      <w:r>
        <w:rPr>
          <w:bCs/>
          <w:b/>
        </w:rPr>
        <w:t xml:space="preserve">protocol stack</w:t>
      </w:r>
      <w:r>
        <w:t xml:space="preserve"> </w:t>
      </w:r>
      <w:r>
        <w:t xml:space="preserve">is a set of protocols layered so that each uses the service provided by the layer below and offers a service to the layer above.</w:t>
      </w:r>
    </w:p>
    <w:p>
      <w:pPr>
        <w:pStyle w:val="CalloutDefinition"/>
      </w:pPr>
      <w:r>
        <w:rPr>
          <w:bCs/>
          <w:b/>
        </w:rPr>
        <w:t xml:space="preserve">DEFINITION</w:t>
      </w:r>
    </w:p>
    <w:p>
      <w:pPr>
        <w:pStyle w:val="CalloutDefinition"/>
      </w:pPr>
      <w:r>
        <w:rPr>
          <w:bCs/>
          <w:b/>
        </w:rPr>
        <w:t xml:space="preserve">Definition — Encapsulation.</w:t>
      </w:r>
      <w:r>
        <w:t xml:space="preserve"> </w:t>
      </w:r>
      <w:r>
        <w:t xml:space="preserve">The process by which each layer of the stack prepends its own header (and sometimes appends a trailer) to the data unit handed down by the layer above, treating that data unit as an opaque payload.</w:t>
      </w:r>
      <w:r>
        <w:t xml:space="preserve"> </w:t>
      </w:r>
      <w:r>
        <w:rPr>
          <w:bCs/>
          <w:b/>
        </w:rPr>
        <w:t xml:space="preserve">Decapsulation</w:t>
      </w:r>
      <w:r>
        <w:t xml:space="preserve"> </w:t>
      </w:r>
      <w:r>
        <w:t xml:space="preserve">is the reverse at the receiver.</w:t>
      </w:r>
    </w:p>
    <w:bookmarkStart w:id="689" w:name="why-does-this-exist-23"/>
    <w:p>
      <w:pPr>
        <w:pStyle w:val="Heading4"/>
      </w:pPr>
      <w:r>
        <w:t xml:space="preserve">Why does this exist?</w:t>
      </w:r>
    </w:p>
    <w:p>
      <w:pPr>
        <w:pStyle w:val="FirstParagraph"/>
      </w:pPr>
      <w:r>
        <w:t xml:space="preserve">In the 1970s, every computer vendor had its own networking scheme, and machines from different vendors could not talk. Layering solved two problems. First, it made</w:t>
      </w:r>
      <w:r>
        <w:t xml:space="preserve"> </w:t>
      </w:r>
      <w:r>
        <w:rPr>
          <w:bCs/>
          <w:b/>
        </w:rPr>
        <w:t xml:space="preserve">interoperability</w:t>
      </w:r>
      <w:r>
        <w:t xml:space="preserve"> </w:t>
      </w:r>
      <w:r>
        <w:t xml:space="preserve">possible: if two vendors implement the same protocol at a layer, their machines can communicate regardless of what is above or below. Second, it made</w:t>
      </w:r>
      <w:r>
        <w:t xml:space="preserve"> </w:t>
      </w:r>
      <w:r>
        <w:rPr>
          <w:bCs/>
          <w:b/>
        </w:rPr>
        <w:t xml:space="preserve">independent evolution</w:t>
      </w:r>
      <w:r>
        <w:t xml:space="preserve"> </w:t>
      </w:r>
      <w:r>
        <w:t xml:space="preserve">possible: Wi-Fi replaced Ethernet cables at the bottom and HTTP/3 replaced HTTP/1.1 at the top, while IP in the middle stayed the same. This</w:t>
      </w:r>
      <w:r>
        <w:t xml:space="preserve"> </w:t>
      </w:r>
      <w:r>
        <w:t xml:space="preserve">“</w:t>
      </w:r>
      <w:r>
        <w:t xml:space="preserve">narrow waist</w:t>
      </w:r>
      <w:r>
        <w:t xml:space="preserve">”</w:t>
      </w:r>
      <w:r>
        <w:t xml:space="preserve"> </w:t>
      </w:r>
      <w:r>
        <w:t xml:space="preserve">design, with many link technologies below and many applications above one common Internet Protocol, is the main reason the Internet scaled from a few dozen hosts in 1970 to billions of devices.</w:t>
      </w:r>
    </w:p>
    <w:bookmarkEnd w:id="689"/>
    <w:bookmarkEnd w:id="690"/>
    <w:bookmarkStart w:id="691" w:name="the-two-models"/>
    <w:p>
      <w:pPr>
        <w:pStyle w:val="Heading3"/>
      </w:pPr>
      <w:r>
        <w:t xml:space="preserve">7.3.2 The two models</w:t>
      </w:r>
    </w:p>
    <w:p>
      <w:pPr>
        <w:pStyle w:val="FirstParagraph"/>
      </w:pPr>
      <w:r>
        <w:t xml:space="preserve">There are two reference models you will hear about. The</w:t>
      </w:r>
      <w:r>
        <w:t xml:space="preserve"> </w:t>
      </w:r>
      <w:r>
        <w:rPr>
          <w:bCs/>
          <w:b/>
        </w:rPr>
        <w:t xml:space="preserve">OSI model</w:t>
      </w:r>
      <w:r>
        <w:t xml:space="preserve"> </w:t>
      </w:r>
      <w:r>
        <w:t xml:space="preserve">(Open Systems Interconnection), standardized by ISO in the early 1980s, has seven layers. It is a teaching vocabulary; the OSI protocol suite itself lost to TCP/IP in the market. The</w:t>
      </w:r>
      <w:r>
        <w:t xml:space="preserve"> </w:t>
      </w:r>
      <w:r>
        <w:rPr>
          <w:bCs/>
          <w:b/>
        </w:rPr>
        <w:t xml:space="preserve">TCP/IP model</w:t>
      </w:r>
      <w:r>
        <w:t xml:space="preserve"> </w:t>
      </w:r>
      <w:r>
        <w:t xml:space="preserve">(also called the Internet model) has four or five layers and describes the protocols the Internet actually runs. Engineers mix the vocabularies freely:</w:t>
      </w:r>
      <w:r>
        <w:t xml:space="preserve"> </w:t>
      </w:r>
      <w:r>
        <w:t xml:space="preserve">“</w:t>
      </w:r>
      <w:r>
        <w:t xml:space="preserve">an L4 load balancer</w:t>
      </w:r>
      <w:r>
        <w:t xml:space="preserve">”</w:t>
      </w:r>
      <w:r>
        <w:t xml:space="preserve"> </w:t>
      </w:r>
      <w:r>
        <w:t xml:space="preserve">uses the OSI number for the transport layer, and</w:t>
      </w:r>
      <w:r>
        <w:t xml:space="preserve"> </w:t>
      </w:r>
      <w:r>
        <w:t xml:space="preserve">“</w:t>
      </w:r>
      <w:r>
        <w:t xml:space="preserve">an L7 proxy</w:t>
      </w:r>
      <w:r>
        <w:t xml:space="preserve">”</w:t>
      </w:r>
      <w:r>
        <w:t xml:space="preserve"> </w:t>
      </w:r>
      <w:r>
        <w:t xml:space="preserve">uses the OSI number for the application layer.</w:t>
      </w:r>
    </w:p>
    <w:p>
      <w:pPr>
        <w:pStyle w:val="BodyText"/>
      </w:pPr>
      <w:r>
        <w:rPr>
          <w:bCs/>
          <w:b/>
        </w:rPr>
        <w:t xml:space="preserve">Table 7.1 — OSI and TCP/IP layers compared.</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OSI layer</w:t>
            </w:r>
          </w:p>
        </w:tc>
        <w:tc>
          <w:tcPr/>
          <w:p>
            <w:pPr>
              <w:pStyle w:val="Compact"/>
              <w:jc w:val="left"/>
            </w:pPr>
            <w:r>
              <w:t xml:space="preserve">TCP/IP layer</w:t>
            </w:r>
          </w:p>
        </w:tc>
        <w:tc>
          <w:tcPr/>
          <w:p>
            <w:pPr>
              <w:pStyle w:val="Compact"/>
              <w:jc w:val="left"/>
            </w:pPr>
            <w:r>
              <w:t xml:space="preserve">Job</w:t>
            </w:r>
          </w:p>
        </w:tc>
        <w:tc>
          <w:tcPr/>
          <w:p>
            <w:pPr>
              <w:pStyle w:val="Compact"/>
              <w:jc w:val="left"/>
            </w:pPr>
            <w:r>
              <w:t xml:space="preserve">Example protocols</w:t>
            </w:r>
          </w:p>
        </w:tc>
        <w:tc>
          <w:tcPr/>
          <w:p>
            <w:pPr>
              <w:pStyle w:val="Compact"/>
              <w:jc w:val="left"/>
            </w:pPr>
            <w:r>
              <w:t xml:space="preserve">Data unit (PDU)</w:t>
            </w:r>
          </w:p>
        </w:tc>
        <w:tc>
          <w:tcPr/>
          <w:p>
            <w:pPr>
              <w:pStyle w:val="Compact"/>
              <w:jc w:val="left"/>
            </w:pPr>
            <w:r>
              <w:t xml:space="preserve">Address used</w:t>
            </w:r>
          </w:p>
        </w:tc>
      </w:tr>
      <w:tr>
        <w:tc>
          <w:tcPr/>
          <w:p>
            <w:pPr>
              <w:pStyle w:val="Compact"/>
              <w:jc w:val="left"/>
            </w:pPr>
            <w:r>
              <w:t xml:space="preserve">7 Application</w:t>
            </w:r>
          </w:p>
        </w:tc>
        <w:tc>
          <w:tcPr/>
          <w:p>
            <w:pPr>
              <w:pStyle w:val="Compact"/>
              <w:jc w:val="left"/>
            </w:pPr>
            <w:r>
              <w:t xml:space="preserve">Application</w:t>
            </w:r>
          </w:p>
        </w:tc>
        <w:tc>
          <w:tcPr/>
          <w:p>
            <w:pPr>
              <w:pStyle w:val="Compact"/>
              <w:jc w:val="left"/>
            </w:pPr>
            <w:r>
              <w:t xml:space="preserve">Meaning of messages for a specific application</w:t>
            </w:r>
          </w:p>
        </w:tc>
        <w:tc>
          <w:tcPr/>
          <w:p>
            <w:pPr>
              <w:pStyle w:val="Compact"/>
              <w:jc w:val="left"/>
            </w:pPr>
            <w:r>
              <w:t xml:space="preserve">HTTP, DNS, SMTP, gRPC</w:t>
            </w:r>
          </w:p>
        </w:tc>
        <w:tc>
          <w:tcPr/>
          <w:p>
            <w:pPr>
              <w:pStyle w:val="Compact"/>
              <w:jc w:val="left"/>
            </w:pPr>
            <w:r>
              <w:t xml:space="preserve">Message</w:t>
            </w:r>
          </w:p>
        </w:tc>
        <w:tc>
          <w:tcPr/>
          <w:p>
            <w:pPr>
              <w:pStyle w:val="Compact"/>
              <w:jc w:val="left"/>
            </w:pPr>
            <w:r>
              <w:t xml:space="preserve">URL, hostname</w:t>
            </w:r>
          </w:p>
        </w:tc>
      </w:tr>
      <w:tr>
        <w:tc>
          <w:tcPr/>
          <w:p>
            <w:pPr>
              <w:pStyle w:val="Compact"/>
              <w:jc w:val="left"/>
            </w:pPr>
            <w:r>
              <w:t xml:space="preserve">6 Presentation</w:t>
            </w:r>
          </w:p>
        </w:tc>
        <w:tc>
          <w:tcPr/>
          <w:p>
            <w:pPr>
              <w:pStyle w:val="Compact"/>
              <w:jc w:val="left"/>
            </w:pPr>
            <w:r>
              <w:t xml:space="preserve">(folded into application)</w:t>
            </w:r>
          </w:p>
        </w:tc>
        <w:tc>
          <w:tcPr/>
          <w:p>
            <w:pPr>
              <w:pStyle w:val="Compact"/>
              <w:jc w:val="left"/>
            </w:pPr>
            <w:r>
              <w:t xml:space="preserve">Encoding, compression, encryption</w:t>
            </w:r>
          </w:p>
        </w:tc>
        <w:tc>
          <w:tcPr/>
          <w:p>
            <w:pPr>
              <w:pStyle w:val="Compact"/>
              <w:jc w:val="left"/>
            </w:pPr>
            <w:r>
              <w:t xml:space="preserve">TLS*, JSON, Protobuf</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5 Session</w:t>
            </w:r>
          </w:p>
        </w:tc>
        <w:tc>
          <w:tcPr/>
          <w:p>
            <w:pPr>
              <w:pStyle w:val="Compact"/>
              <w:jc w:val="left"/>
            </w:pPr>
            <w:r>
              <w:t xml:space="preserve">(folded into application)</w:t>
            </w:r>
          </w:p>
        </w:tc>
        <w:tc>
          <w:tcPr/>
          <w:p>
            <w:pPr>
              <w:pStyle w:val="Compact"/>
              <w:jc w:val="left"/>
            </w:pPr>
            <w:r>
              <w:t xml:space="preserve">Dialogue management, resumption</w:t>
            </w:r>
          </w:p>
        </w:tc>
        <w:tc>
          <w:tcPr/>
          <w:p>
            <w:pPr>
              <w:pStyle w:val="Compact"/>
              <w:jc w:val="left"/>
            </w:pPr>
            <w:r>
              <w:t xml:space="preserve">TLS sessions*, RPC sessions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 Transport</w:t>
            </w:r>
          </w:p>
        </w:tc>
        <w:tc>
          <w:tcPr/>
          <w:p>
            <w:pPr>
              <w:pStyle w:val="Compact"/>
              <w:jc w:val="left"/>
            </w:pPr>
            <w:r>
              <w:t xml:space="preserve">Transport</w:t>
            </w:r>
          </w:p>
        </w:tc>
        <w:tc>
          <w:tcPr/>
          <w:p>
            <w:pPr>
              <w:pStyle w:val="Compact"/>
              <w:jc w:val="left"/>
            </w:pPr>
            <w:r>
              <w:t xml:space="preserve">Process-to-process delivery; reliability; flow and congestion control</w:t>
            </w:r>
          </w:p>
        </w:tc>
        <w:tc>
          <w:tcPr/>
          <w:p>
            <w:pPr>
              <w:pStyle w:val="Compact"/>
              <w:jc w:val="left"/>
            </w:pPr>
            <w:r>
              <w:t xml:space="preserve">TCP, UDP, QUIC**</w:t>
            </w:r>
          </w:p>
        </w:tc>
        <w:tc>
          <w:tcPr/>
          <w:p>
            <w:pPr>
              <w:pStyle w:val="Compact"/>
              <w:jc w:val="left"/>
            </w:pPr>
            <w:r>
              <w:t xml:space="preserve">Segment (TCP), datagram (UDP)</w:t>
            </w:r>
          </w:p>
        </w:tc>
        <w:tc>
          <w:tcPr/>
          <w:p>
            <w:pPr>
              <w:pStyle w:val="Compact"/>
              <w:jc w:val="left"/>
            </w:pPr>
            <w:r>
              <w:t xml:space="preserve">Port number</w:t>
            </w:r>
          </w:p>
        </w:tc>
      </w:tr>
      <w:tr>
        <w:tc>
          <w:tcPr/>
          <w:p>
            <w:pPr>
              <w:pStyle w:val="Compact"/>
              <w:jc w:val="left"/>
            </w:pPr>
            <w:r>
              <w:t xml:space="preserve">3 Network</w:t>
            </w:r>
          </w:p>
        </w:tc>
        <w:tc>
          <w:tcPr/>
          <w:p>
            <w:pPr>
              <w:pStyle w:val="Compact"/>
              <w:jc w:val="left"/>
            </w:pPr>
            <w:r>
              <w:t xml:space="preserve">Internet</w:t>
            </w:r>
          </w:p>
        </w:tc>
        <w:tc>
          <w:tcPr/>
          <w:p>
            <w:pPr>
              <w:pStyle w:val="Compact"/>
              <w:jc w:val="left"/>
            </w:pPr>
            <w:r>
              <w:t xml:space="preserve">Host-to-host delivery across many networks</w:t>
            </w:r>
          </w:p>
        </w:tc>
        <w:tc>
          <w:tcPr/>
          <w:p>
            <w:pPr>
              <w:pStyle w:val="Compact"/>
              <w:jc w:val="left"/>
            </w:pPr>
            <w:r>
              <w:t xml:space="preserve">IPv4, IPv6, ICMP</w:t>
            </w:r>
          </w:p>
        </w:tc>
        <w:tc>
          <w:tcPr/>
          <w:p>
            <w:pPr>
              <w:pStyle w:val="Compact"/>
              <w:jc w:val="left"/>
            </w:pPr>
            <w:r>
              <w:t xml:space="preserve">Packet</w:t>
            </w:r>
          </w:p>
        </w:tc>
        <w:tc>
          <w:tcPr/>
          <w:p>
            <w:pPr>
              <w:pStyle w:val="Compact"/>
              <w:jc w:val="left"/>
            </w:pPr>
            <w:r>
              <w:t xml:space="preserve">IP address</w:t>
            </w:r>
          </w:p>
        </w:tc>
      </w:tr>
      <w:tr>
        <w:tc>
          <w:tcPr/>
          <w:p>
            <w:pPr>
              <w:pStyle w:val="Compact"/>
              <w:jc w:val="left"/>
            </w:pPr>
            <w:r>
              <w:t xml:space="preserve">2 Data link</w:t>
            </w:r>
          </w:p>
        </w:tc>
        <w:tc>
          <w:tcPr/>
          <w:p>
            <w:pPr>
              <w:pStyle w:val="Compact"/>
              <w:jc w:val="left"/>
            </w:pPr>
            <w:r>
              <w:t xml:space="preserve">Link</w:t>
            </w:r>
          </w:p>
        </w:tc>
        <w:tc>
          <w:tcPr/>
          <w:p>
            <w:pPr>
              <w:pStyle w:val="Compact"/>
              <w:jc w:val="left"/>
            </w:pPr>
            <w:r>
              <w:t xml:space="preserve">Delivery across one physical network segment</w:t>
            </w:r>
          </w:p>
        </w:tc>
        <w:tc>
          <w:tcPr/>
          <w:p>
            <w:pPr>
              <w:pStyle w:val="Compact"/>
              <w:jc w:val="left"/>
            </w:pPr>
            <w:r>
              <w:t xml:space="preserve">Ethernet, Wi-Fi (802.11)</w:t>
            </w:r>
          </w:p>
        </w:tc>
        <w:tc>
          <w:tcPr/>
          <w:p>
            <w:pPr>
              <w:pStyle w:val="Compact"/>
              <w:jc w:val="left"/>
            </w:pPr>
            <w:r>
              <w:t xml:space="preserve">Frame</w:t>
            </w:r>
          </w:p>
        </w:tc>
        <w:tc>
          <w:tcPr/>
          <w:p>
            <w:pPr>
              <w:pStyle w:val="Compact"/>
              <w:jc w:val="left"/>
            </w:pPr>
            <w:r>
              <w:t xml:space="preserve">MAC address</w:t>
            </w:r>
          </w:p>
        </w:tc>
      </w:tr>
      <w:tr>
        <w:tc>
          <w:tcPr/>
          <w:p>
            <w:pPr>
              <w:pStyle w:val="Compact"/>
              <w:jc w:val="left"/>
            </w:pPr>
            <w:r>
              <w:t xml:space="preserve">1 Physical</w:t>
            </w:r>
          </w:p>
        </w:tc>
        <w:tc>
          <w:tcPr/>
          <w:p>
            <w:pPr>
              <w:pStyle w:val="Compact"/>
              <w:jc w:val="left"/>
            </w:pPr>
            <w:r>
              <w:t xml:space="preserve">Link (or separate physical layer)</w:t>
            </w:r>
          </w:p>
        </w:tc>
        <w:tc>
          <w:tcPr/>
          <w:p>
            <w:pPr>
              <w:pStyle w:val="Compact"/>
              <w:jc w:val="left"/>
            </w:pPr>
            <w:r>
              <w:t xml:space="preserve">Bits as voltages, light or radio</w:t>
            </w:r>
          </w:p>
        </w:tc>
        <w:tc>
          <w:tcPr/>
          <w:p>
            <w:pPr>
              <w:pStyle w:val="Compact"/>
              <w:jc w:val="left"/>
            </w:pPr>
            <w:r>
              <w:t xml:space="preserve">Copper, fiber, radio</w:t>
            </w:r>
          </w:p>
        </w:tc>
        <w:tc>
          <w:tcPr/>
          <w:p>
            <w:pPr>
              <w:pStyle w:val="Compact"/>
              <w:jc w:val="left"/>
            </w:pPr>
            <w:r>
              <w:t xml:space="preserve">Bit/symbol</w:t>
            </w:r>
          </w:p>
        </w:tc>
        <w:tc>
          <w:tcPr/>
          <w:p>
            <w:pPr>
              <w:pStyle w:val="Compact"/>
              <w:jc w:val="left"/>
            </w:pPr>
            <w:r>
              <w:t xml:space="preserve">—</w:t>
            </w:r>
          </w:p>
        </w:tc>
      </w:tr>
    </w:tbl>
    <w:p>
      <w:pPr>
        <w:pStyle w:val="BodyText"/>
      </w:pPr>
      <w:r>
        <w:t xml:space="preserve">*TLS does not fit cleanly: it runs on top of TCP but below HTTP, so people place it at 5, 6 or</w:t>
      </w:r>
      <w:r>
        <w:t xml:space="preserve"> </w:t>
      </w:r>
      <w:r>
        <w:t xml:space="preserve">“</w:t>
      </w:r>
      <w:r>
        <w:t xml:space="preserve">4.5</w:t>
      </w:r>
      <w:r>
        <w:t xml:space="preserve">”</w:t>
      </w:r>
      <w:r>
        <w:t xml:space="preserve">. **QUIC runs on top of UDP yet provides transport services (reliability, streams, congestion control), so it is a transport protocol implemented in user space.</w:t>
      </w:r>
    </w:p>
    <w:p>
      <w:pPr>
        <w:pStyle w:val="BodyText"/>
      </w:pPr>
      <w:r>
        <w:t xml:space="preserve">Do not memorize the OSI layers 5 and 6 as separate things that exist in real stacks; they do not. What matters in practice is the five-layer view: physical, link, network, transport, application. This is the organizing structure of the standard textbook treatment [Kurose and Ross 2021], which is the recommended companion for this chapter.</w:t>
      </w:r>
    </w:p>
    <w:bookmarkEnd w:id="691"/>
    <w:bookmarkStart w:id="697" w:name="how-encapsulation-works-internally"/>
    <w:p>
      <w:pPr>
        <w:pStyle w:val="Heading3"/>
      </w:pPr>
      <w:r>
        <w:t xml:space="preserve">7.3.3 How encapsulation works internally</w:t>
      </w:r>
    </w:p>
    <w:p>
      <w:pPr>
        <w:pStyle w:val="FirstParagraph"/>
      </w:pPr>
      <w:r>
        <w:t xml:space="preserve">Follow one HTTP request from a browser to a web server.</w:t>
      </w:r>
    </w:p>
    <w:p>
      <w:pPr>
        <w:numPr>
          <w:ilvl w:val="0"/>
          <w:numId w:val="1207"/>
        </w:numPr>
        <w:pStyle w:val="Compact"/>
      </w:pPr>
      <w:r>
        <w:rPr>
          <w:bCs/>
          <w:b/>
        </w:rPr>
        <w:t xml:space="preserve">Application.</w:t>
      </w:r>
      <w:r>
        <w:t xml:space="preserve"> </w:t>
      </w:r>
      <w:r>
        <w:t xml:space="preserve">The browser produces the bytes</w:t>
      </w:r>
      <w:r>
        <w:t xml:space="preserve"> </w:t>
      </w:r>
      <w:r>
        <w:rPr>
          <w:rStyle w:val="VerbatimChar"/>
        </w:rPr>
        <w:t xml:space="preserve">GET /index.html HTTP/1.1\r\nHost: example.com\r\n\r\n</w:t>
      </w:r>
      <w:r>
        <w:t xml:space="preserve"> </w:t>
      </w:r>
      <w:r>
        <w:t xml:space="preserve">(about 40 bytes) and calls</w:t>
      </w:r>
      <w:r>
        <w:t xml:space="preserve"> </w:t>
      </w:r>
      <w:r>
        <w:rPr>
          <w:rStyle w:val="VerbatimChar"/>
        </w:rPr>
        <w:t xml:space="preserve">write()</w:t>
      </w:r>
      <w:r>
        <w:t xml:space="preserve"> </w:t>
      </w:r>
      <w:r>
        <w:t xml:space="preserve">on a socket.</w:t>
      </w:r>
    </w:p>
    <w:p>
      <w:pPr>
        <w:numPr>
          <w:ilvl w:val="0"/>
          <w:numId w:val="1207"/>
        </w:numPr>
        <w:pStyle w:val="Compact"/>
      </w:pPr>
      <w:r>
        <w:rPr>
          <w:bCs/>
          <w:b/>
        </w:rPr>
        <w:t xml:space="preserve">Transport.</w:t>
      </w:r>
      <w:r>
        <w:t xml:space="preserve"> </w:t>
      </w:r>
      <w:r>
        <w:t xml:space="preserve">The kernel’s TCP implementation copies the bytes into the socket’s send buffer, splits them into segments no larger than the</w:t>
      </w:r>
      <w:r>
        <w:t xml:space="preserve"> </w:t>
      </w:r>
      <w:r>
        <w:rPr>
          <w:bCs/>
          <w:b/>
        </w:rPr>
        <w:t xml:space="preserve">maximum segment size (MSS)</w:t>
      </w:r>
      <w:r>
        <w:t xml:space="preserve">, and prepends a 20-byte TCP header (up to 60 bytes with options) containing source port (say 52,814), destination port 443, a sequence number, an acknowledgment number, flags and a window size.</w:t>
      </w:r>
    </w:p>
    <w:p>
      <w:pPr>
        <w:numPr>
          <w:ilvl w:val="0"/>
          <w:numId w:val="1207"/>
        </w:numPr>
        <w:pStyle w:val="Compact"/>
      </w:pPr>
      <w:r>
        <w:rPr>
          <w:bCs/>
          <w:b/>
        </w:rPr>
        <w:t xml:space="preserve">Network.</w:t>
      </w:r>
      <w:r>
        <w:t xml:space="preserve"> </w:t>
      </w:r>
      <w:r>
        <w:t xml:space="preserve">IP prepends a 20-byte IPv4 header (or a 40-byte IPv6 header) containing source and destination IP addresses, a time-to-live (TTL, renamed</w:t>
      </w:r>
      <w:r>
        <w:t xml:space="preserve"> </w:t>
      </w:r>
      <w:r>
        <w:t xml:space="preserve">“</w:t>
      </w:r>
      <w:r>
        <w:t xml:space="preserve">hop limit</w:t>
      </w:r>
      <w:r>
        <w:t xml:space="preserve">”</w:t>
      </w:r>
      <w:r>
        <w:t xml:space="preserve"> </w:t>
      </w:r>
      <w:r>
        <w:t xml:space="preserve">in IPv6) counter, and the protocol number of the payload (6 for TCP, 17 for UDP).</w:t>
      </w:r>
    </w:p>
    <w:p>
      <w:pPr>
        <w:numPr>
          <w:ilvl w:val="0"/>
          <w:numId w:val="1207"/>
        </w:numPr>
        <w:pStyle w:val="Compact"/>
      </w:pPr>
      <w:r>
        <w:rPr>
          <w:bCs/>
          <w:b/>
        </w:rPr>
        <w:t xml:space="preserve">Link.</w:t>
      </w:r>
      <w:r>
        <w:t xml:space="preserve"> </w:t>
      </w:r>
      <w:r>
        <w:t xml:space="preserve">The network interface driver looks up the MAC address of the next hop (the local router) using ARP (IPv4) or Neighbor Discovery (IPv6), and prepends a 14-byte Ethernet header (destination MAC, source MAC, EtherType) and appends a 4-byte frame check sequence (a CRC for error detection).</w:t>
      </w:r>
    </w:p>
    <w:p>
      <w:pPr>
        <w:numPr>
          <w:ilvl w:val="0"/>
          <w:numId w:val="1207"/>
        </w:numPr>
        <w:pStyle w:val="Compact"/>
      </w:pPr>
      <w:r>
        <w:rPr>
          <w:bCs/>
          <w:b/>
        </w:rPr>
        <w:t xml:space="preserve">Physical.</w:t>
      </w:r>
      <w:r>
        <w:t xml:space="preserve"> </w:t>
      </w:r>
      <w:r>
        <w:t xml:space="preserve">The network card serializes the frame onto the wire as electrical or optical symbols.</w:t>
      </w:r>
    </w:p>
    <w:p>
      <w:pPr>
        <w:numPr>
          <w:ilvl w:val="0"/>
          <w:numId w:val="1207"/>
        </w:numPr>
        <w:pStyle w:val="Compact"/>
      </w:pPr>
      <w:r>
        <w:rPr>
          <w:bCs/>
          <w:b/>
        </w:rPr>
        <w:t xml:space="preserve">Each router</w:t>
      </w:r>
      <w:r>
        <w:t xml:space="preserve"> </w:t>
      </w:r>
      <w:r>
        <w:t xml:space="preserve">receives the frame, checks the CRC, strips the Ethernet header, reads the IP destination, decrements the TTL, looks up the next hop, and wraps the packet in a</w:t>
      </w:r>
      <w:r>
        <w:t xml:space="preserve"> </w:t>
      </w:r>
      <w:r>
        <w:rPr>
          <w:iCs/>
          <w:i/>
        </w:rPr>
        <w:t xml:space="preserve">new</w:t>
      </w:r>
      <w:r>
        <w:t xml:space="preserve"> </w:t>
      </w:r>
      <w:r>
        <w:t xml:space="preserve">link-layer frame for the next link. The IP packet travels end to end; link-layer frames live for one hop only.</w:t>
      </w:r>
    </w:p>
    <w:p>
      <w:pPr>
        <w:numPr>
          <w:ilvl w:val="0"/>
          <w:numId w:val="1207"/>
        </w:numPr>
        <w:pStyle w:val="Compact"/>
      </w:pPr>
      <w:r>
        <w:rPr>
          <w:bCs/>
          <w:b/>
        </w:rPr>
        <w:t xml:space="preserve">The server</w:t>
      </w:r>
      <w:r>
        <w:t xml:space="preserve"> </w:t>
      </w:r>
      <w:r>
        <w:t xml:space="preserve">decapsulates in reverse: the NIC checks the frame, IP checks the destination address, TCP uses the (source IP, source port, destination IP, destination port)</w:t>
      </w:r>
      <w:r>
        <w:t xml:space="preserve"> </w:t>
      </w:r>
      <w:r>
        <w:rPr>
          <w:bCs/>
          <w:b/>
        </w:rPr>
        <w:t xml:space="preserve">4-tuple</w:t>
      </w:r>
      <w:r>
        <w:t xml:space="preserve"> </w:t>
      </w:r>
      <w:r>
        <w:t xml:space="preserve">to find the right socket, and the application reads the original bytes.</w:t>
      </w:r>
    </w:p>
    <w:p>
      <w:pPr>
        <w:pStyle w:val="FirstParagraph"/>
      </w:pPr>
      <w:r>
        <w:rPr>
          <w:bCs/>
          <w:b/>
        </w:rPr>
        <w:t xml:space="preserve">Figure 7.1 — Encapsulation down the sender’s stack and decapsulation up the receiver’s.</w:t>
      </w:r>
    </w:p>
    <w:p>
      <w:pPr>
        <w:pStyle w:val="BodyText"/>
      </w:pPr>
      <w:r>
        <w:drawing>
          <wp:inline>
            <wp:extent cx="5334000" cy="298173"/>
            <wp:effectExtent b="0" l="0" r="0" t="0"/>
            <wp:docPr descr="" title="" id="693" name="Picture"/>
            <a:graphic>
              <a:graphicData uri="http://schemas.openxmlformats.org/drawingml/2006/picture">
                <pic:pic>
                  <pic:nvPicPr>
                    <pic:cNvPr descr="/home/user/System-Design/build/.cache/diagrams/4168e3c6cbc0.png" id="694" name="Picture"/>
                    <pic:cNvPicPr>
                      <a:picLocks noChangeArrowheads="1" noChangeAspect="1"/>
                    </pic:cNvPicPr>
                  </pic:nvPicPr>
                  <pic:blipFill>
                    <a:blip r:embed="rId692"/>
                    <a:stretch>
                      <a:fillRect/>
                    </a:stretch>
                  </pic:blipFill>
                  <pic:spPr bwMode="auto">
                    <a:xfrm>
                      <a:off x="0" y="0"/>
                      <a:ext cx="5334000" cy="298173"/>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left group is the sending host; data flows down its stack, gaining one header per layer. The middle group is a single router: it operates only up to the network layer, stripping the incoming Ethernet frame, reading and modifying the IP header (decrementing TTL), and building a fresh frame for the outgoing link. The right group is the receiving host, where data flows up and each layer removes its own header. All arrows are synchronous hand-offs within the same packet’s journey; nothing here is queued asynchronously except inside each device’s transmit buffer, which is a failure point (buffers overflow and drop packets, see §7.15). Storage boundaries are absent: the network stores nothing durably. To scale, you add links and routers; the layered design means hosts need not change.</w:t>
      </w:r>
    </w:p>
    <w:bookmarkStart w:id="695" w:name="mathematical-foundations-header-overhead"/>
    <w:p>
      <w:pPr>
        <w:pStyle w:val="Heading4"/>
      </w:pPr>
      <w:r>
        <w:t xml:space="preserve">Mathematical foundations: header overhead</w:t>
      </w:r>
    </w:p>
    <w:p>
      <w:pPr>
        <w:pStyle w:val="CalloutFormula"/>
      </w:pPr>
      <w:r>
        <w:rPr>
          <w:bCs/>
          <w:b/>
        </w:rPr>
        <w:t xml:space="preserve">FORMULA</w:t>
      </w:r>
    </w:p>
    <w:p>
      <w:pPr>
        <w:pStyle w:val="CalloutFormula"/>
      </w:pPr>
      <w:r>
        <w:rPr>
          <w:bCs/>
          <w:b/>
        </w:rPr>
        <w:t xml:space="preserve">Protocol efficiency (goodput fraction)</w:t>
      </w:r>
    </w:p>
    <w:p>
      <w:pPr>
        <w:pStyle w:val="CalloutFormula"/>
      </w:pPr>
      <m:oMathPara>
        <m:oMathParaPr>
          <m:jc m:val="center"/>
        </m:oMathParaPr>
        <m:oMath>
          <m:r>
            <m:t>η</m:t>
          </m:r>
          <m:r>
            <m:rPr>
              <m:sty m:val="p"/>
            </m:rPr>
            <m:t>=</m:t>
          </m:r>
          <m:f>
            <m:fPr>
              <m:type m:val="bar"/>
            </m:fPr>
            <m:num>
              <m:r>
                <m:t>P</m:t>
              </m:r>
            </m:num>
            <m:den>
              <m:r>
                <m:t>P</m:t>
              </m:r>
              <m:r>
                <m:rPr>
                  <m:sty m:val="p"/>
                </m:rPr>
                <m:t>+</m:t>
              </m:r>
              <m:r>
                <m:t>H</m:t>
              </m:r>
            </m:den>
          </m:f>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η</m:t>
              </m:r>
            </m:oMath>
          </w:p>
        </w:tc>
        <w:tc>
          <w:tcPr/>
          <w:p>
            <w:pPr>
              <w:pStyle w:val="Compact"/>
              <w:jc w:val="left"/>
            </w:pPr>
            <w:r>
              <w:t xml:space="preserve">Fraction of transmitted bytes that are application payload</w:t>
            </w:r>
          </w:p>
        </w:tc>
        <w:tc>
          <w:tcPr/>
          <w:p>
            <w:pPr>
              <w:pStyle w:val="Compact"/>
              <w:jc w:val="left"/>
            </w:pPr>
            <w:r>
              <w:t xml:space="preserve">dimensionless (0–1)</w:t>
            </w:r>
          </w:p>
        </w:tc>
      </w:tr>
      <w:tr>
        <w:tc>
          <w:tcPr/>
          <w:p>
            <w:pPr>
              <w:pStyle w:val="Compact"/>
              <w:jc w:val="left"/>
            </w:pPr>
            <m:oMath>
              <m:r>
                <m:t>P</m:t>
              </m:r>
            </m:oMath>
          </w:p>
        </w:tc>
        <w:tc>
          <w:tcPr/>
          <w:p>
            <w:pPr>
              <w:pStyle w:val="Compact"/>
              <w:jc w:val="left"/>
            </w:pPr>
            <w:r>
              <w:t xml:space="preserve">Application payload bytes per frame</w:t>
            </w:r>
          </w:p>
        </w:tc>
        <w:tc>
          <w:tcPr/>
          <w:p>
            <w:pPr>
              <w:pStyle w:val="Compact"/>
              <w:jc w:val="left"/>
            </w:pPr>
            <w:r>
              <w:t xml:space="preserve">bytes</w:t>
            </w:r>
          </w:p>
        </w:tc>
      </w:tr>
      <w:tr>
        <w:tc>
          <w:tcPr/>
          <w:p>
            <w:pPr>
              <w:pStyle w:val="Compact"/>
              <w:jc w:val="left"/>
            </w:pPr>
            <m:oMath>
              <m:r>
                <m:t>H</m:t>
              </m:r>
            </m:oMath>
          </w:p>
        </w:tc>
        <w:tc>
          <w:tcPr/>
          <w:p>
            <w:pPr>
              <w:pStyle w:val="Compact"/>
              <w:jc w:val="left"/>
            </w:pPr>
            <w:r>
              <w:t xml:space="preserve">Total per-frame overhead from all layers (headers, trailers, and on Ethernet the preamble and inter-frame gap)</w:t>
            </w:r>
          </w:p>
        </w:tc>
        <w:tc>
          <w:tcPr/>
          <w:p>
            <w:pPr>
              <w:pStyle w:val="Compact"/>
              <w:jc w:val="left"/>
            </w:pPr>
            <w:r>
              <w:t xml:space="preserve">bytes</w:t>
            </w:r>
          </w:p>
        </w:tc>
      </w:tr>
    </w:tbl>
    <w:p>
      <w:pPr>
        <w:pStyle w:val="CalloutExample"/>
      </w:pPr>
      <w:r>
        <w:rPr>
          <w:bCs/>
          <w:b/>
        </w:rPr>
        <w:t xml:space="preserve">WORKED EXAMPLE</w:t>
      </w:r>
    </w:p>
    <w:p>
      <w:pPr>
        <w:pStyle w:val="CalloutExample"/>
      </w:pPr>
      <w:r>
        <w:rPr>
          <w:bCs/>
          <w:b/>
        </w:rPr>
        <w:t xml:space="preserve">Worked example — How much of a gigabit link carries your data?</w:t>
      </w:r>
    </w:p>
    <w:p>
      <w:pPr>
        <w:pStyle w:val="CalloutExample"/>
      </w:pPr>
      <w:r>
        <w:t xml:space="preserve">A standard Ethernet</w:t>
      </w:r>
      <w:r>
        <w:t xml:space="preserve"> </w:t>
      </w:r>
      <w:r>
        <w:rPr>
          <w:bCs/>
          <w:b/>
        </w:rPr>
        <w:t xml:space="preserve">maximum transmission unit (MTU)</w:t>
      </w:r>
      <w:r>
        <w:t xml:space="preserve"> </w:t>
      </w:r>
      <w:r>
        <w:t xml:space="preserve">is 1,500 bytes: the largest IP packet a frame can carry. Inside that, IPv4 uses 20 bytes and TCP 20 bytes, plus 12 bytes for the commonly enabled TCP timestamp option.</w:t>
      </w:r>
    </w:p>
    <w:p>
      <w:pPr>
        <w:numPr>
          <w:ilvl w:val="0"/>
          <w:numId w:val="1208"/>
        </w:numPr>
        <w:pStyle w:val="Compact"/>
      </w:pPr>
      <w:r>
        <w:t xml:space="preserve">TCP payload per packet:</w:t>
      </w:r>
      <w:r>
        <w:t xml:space="preserve"> </w:t>
      </w:r>
      <m:oMath>
        <m:r>
          <m:t>1500</m:t>
        </m:r>
        <m:r>
          <m:rPr>
            <m:sty m:val="p"/>
          </m:rPr>
          <m:t>−</m:t>
        </m:r>
        <m:r>
          <m:t>20</m:t>
        </m:r>
        <m:r>
          <m:rPr>
            <m:sty m:val="p"/>
          </m:rPr>
          <m:t>−</m:t>
        </m:r>
        <m:r>
          <m:t>20</m:t>
        </m:r>
        <m:r>
          <m:rPr>
            <m:sty m:val="p"/>
          </m:rPr>
          <m:t>−</m:t>
        </m:r>
        <m:r>
          <m:t>12</m:t>
        </m:r>
        <m:r>
          <m:rPr>
            <m:sty m:val="p"/>
          </m:rPr>
          <m:t>=</m:t>
        </m:r>
        <m:r>
          <m:t>1448</m:t>
        </m:r>
      </m:oMath>
      <w:r>
        <w:t xml:space="preserve"> </w:t>
      </w:r>
      <w:r>
        <w:t xml:space="preserve">bytes.</w:t>
      </w:r>
    </w:p>
    <w:p>
      <w:pPr>
        <w:numPr>
          <w:ilvl w:val="0"/>
          <w:numId w:val="1208"/>
        </w:numPr>
        <w:pStyle w:val="Compact"/>
      </w:pPr>
      <w:r>
        <w:t xml:space="preserve">On-the-wire cost per frame: 1,500 (packet) + 14 (Ethernet header) + 4 (FCS) + 8 (preamble) + 12 (inter-frame gap) = 1,538 bytes.</w:t>
      </w:r>
    </w:p>
    <w:p>
      <w:pPr>
        <w:numPr>
          <w:ilvl w:val="0"/>
          <w:numId w:val="1208"/>
        </w:numPr>
        <w:pStyle w:val="Compact"/>
      </w:pPr>
      <w:r>
        <w:t xml:space="preserve">Efficiency:</w:t>
      </w:r>
      <w:r>
        <w:t xml:space="preserve"> </w:t>
      </w:r>
      <m:oMath>
        <m:r>
          <m:t>η</m:t>
        </m:r>
        <m:r>
          <m:rPr>
            <m:sty m:val="p"/>
          </m:rPr>
          <m:t>=</m:t>
        </m:r>
        <m:r>
          <m:t>1448</m:t>
        </m:r>
        <m:r>
          <m:rPr>
            <m:sty m:val="p"/>
          </m:rPr>
          <m:t>/</m:t>
        </m:r>
        <m:r>
          <m:t>1538</m:t>
        </m:r>
        <m:r>
          <m:rPr>
            <m:sty m:val="p"/>
          </m:rPr>
          <m:t>≈</m:t>
        </m:r>
        <m:r>
          <m:t>0.941</m:t>
        </m:r>
      </m:oMath>
      <w:r>
        <w:t xml:space="preserve">.</w:t>
      </w:r>
    </w:p>
    <w:p>
      <w:pPr>
        <w:numPr>
          <w:ilvl w:val="0"/>
          <w:numId w:val="1208"/>
        </w:numPr>
        <w:pStyle w:val="Compact"/>
      </w:pPr>
      <w:r>
        <w:t xml:space="preserve">Maximum TCP goodput on 1 Gbps Ethernet:</w:t>
      </w:r>
      <w:r>
        <w:t xml:space="preserve"> </w:t>
      </w:r>
      <m:oMath>
        <m:r>
          <m:t>0.941</m:t>
        </m:r>
        <m:r>
          <m:rPr>
            <m:sty m:val="p"/>
          </m:rPr>
          <m:t>×</m:t>
        </m:r>
        <m:r>
          <m:t>1000</m:t>
        </m:r>
        <m:r>
          <m:rPr>
            <m:sty m:val="p"/>
          </m:rPr>
          <m:t>≈</m:t>
        </m:r>
        <m:r>
          <m:t>941</m:t>
        </m:r>
      </m:oMath>
      <w:r>
        <w:t xml:space="preserve"> </w:t>
      </w:r>
      <w:r>
        <w:t xml:space="preserve">Mbps.</w:t>
      </w:r>
    </w:p>
    <w:p>
      <w:pPr>
        <w:pStyle w:val="CalloutExample"/>
      </w:pPr>
      <w:r>
        <w:t xml:space="preserve">Interpretation: about 6% of a full-size frame is overhead. Now consider a tiny 40-byte request carried in one packet: the wire cost is</w:t>
      </w:r>
      <w:r>
        <w:t xml:space="preserve"> </w:t>
      </w:r>
      <m:oMath>
        <m:r>
          <m:t>40</m:t>
        </m:r>
        <m:r>
          <m:rPr>
            <m:sty m:val="p"/>
          </m:rPr>
          <m:t>+</m:t>
        </m:r>
        <m:r>
          <m:t>20</m:t>
        </m:r>
        <m:r>
          <m:rPr>
            <m:sty m:val="p"/>
          </m:rPr>
          <m:t>+</m:t>
        </m:r>
        <m:r>
          <m:t>32</m:t>
        </m:r>
        <m:r>
          <m:rPr>
            <m:sty m:val="p"/>
          </m:rPr>
          <m:t>+</m:t>
        </m:r>
        <m:r>
          <m:t>38</m:t>
        </m:r>
        <m:r>
          <m:rPr>
            <m:sty m:val="p"/>
          </m:rPr>
          <m:t>=</m:t>
        </m:r>
        <m:r>
          <m:t>130</m:t>
        </m:r>
      </m:oMath>
      <w:r>
        <w:t xml:space="preserve"> </w:t>
      </w:r>
      <w:r>
        <w:t xml:space="preserve">bytes, so efficiency is</w:t>
      </w:r>
      <w:r>
        <w:t xml:space="preserve"> </w:t>
      </w:r>
      <m:oMath>
        <m:r>
          <m:t>40</m:t>
        </m:r>
        <m:r>
          <m:rPr>
            <m:sty m:val="p"/>
          </m:rPr>
          <m:t>/</m:t>
        </m:r>
        <m:r>
          <m:t>130</m:t>
        </m:r>
        <m:r>
          <m:rPr>
            <m:sty m:val="p"/>
          </m:rPr>
          <m:t>≈</m:t>
        </m:r>
        <m:r>
          <m:t>31</m:t>
        </m:r>
        <m:r>
          <m:rPr>
            <m:sty m:val="p"/>
          </m:rPr>
          <m:t>%</m:t>
        </m:r>
      </m:oMath>
      <w:r>
        <w:t xml:space="preserve">.</w:t>
      </w:r>
    </w:p>
    <w:p>
      <w:pPr>
        <w:pStyle w:val="CalloutExample"/>
      </w:pPr>
      <w:r>
        <w:t xml:space="preserve">Engineering implication: small messages are dominated by header cost (and, more importantly, by per-packet processing cost in CPUs and switches). This is one reason systems</w:t>
      </w:r>
      <w:r>
        <w:t xml:space="preserve"> </w:t>
      </w:r>
      <w:r>
        <w:rPr>
          <w:bCs/>
          <w:b/>
        </w:rPr>
        <w:t xml:space="preserve">batch</w:t>
      </w:r>
      <w:r>
        <w:t xml:space="preserve"> </w:t>
      </w:r>
      <w:r>
        <w:t xml:space="preserve">small writes (§23.8) and why the 941 Mbps</w:t>
      </w:r>
      <w:r>
        <w:t xml:space="preserve"> </w:t>
      </w:r>
      <w:r>
        <w:t xml:space="preserve">“</w:t>
      </w:r>
      <w:r>
        <w:t xml:space="preserve">real</w:t>
      </w:r>
      <w:r>
        <w:t xml:space="preserve">”</w:t>
      </w:r>
      <w:r>
        <w:t xml:space="preserve"> </w:t>
      </w:r>
      <w:r>
        <w:t xml:space="preserve">ceiling of gigabit Ethernet is a well-known measurement in</w:t>
      </w:r>
      <w:r>
        <w:t xml:space="preserve"> </w:t>
      </w:r>
      <w:r>
        <w:rPr>
          <w:rStyle w:val="VerbatimChar"/>
        </w:rPr>
        <w:t xml:space="preserve">iperf</w:t>
      </w:r>
      <w:r>
        <w:t xml:space="preserve"> </w:t>
      </w:r>
      <w:r>
        <w:t xml:space="preserve">tests.</w:t>
      </w:r>
    </w:p>
    <w:bookmarkEnd w:id="695"/>
    <w:bookmarkStart w:id="696" w:name="common-misconceptions-15"/>
    <w:p>
      <w:pPr>
        <w:pStyle w:val="Heading4"/>
      </w:pPr>
      <w:r>
        <w:t xml:space="preserve">Common misconceptions</w:t>
      </w:r>
    </w:p>
    <w:p>
      <w:pPr>
        <w:pStyle w:val="CalloutMistake"/>
      </w:pPr>
      <w:r>
        <w:rPr>
          <w:bCs/>
          <w:b/>
        </w:rPr>
        <w:t xml:space="preserve">COMMON MISTAKE</w:t>
      </w:r>
    </w:p>
    <w:p>
      <w:pPr>
        <w:pStyle w:val="CalloutMistake"/>
      </w:pPr>
      <w:r>
        <w:rPr>
          <w:bCs/>
          <w:b/>
        </w:rPr>
        <w:t xml:space="preserve">“</w:t>
      </w:r>
      <w:r>
        <w:rPr>
          <w:bCs/>
          <w:b/>
        </w:rPr>
        <w:t xml:space="preserve">Layer 7 means HTTP and Layer 4 means TCP, so a Layer 4 device cannot see anything about HTTP.</w:t>
      </w:r>
      <w:r>
        <w:rPr>
          <w:bCs/>
          <w:b/>
        </w:rPr>
        <w:t xml:space="preserve">”</w:t>
      </w:r>
      <w:r>
        <w:t xml:space="preserve"> </w:t>
      </w:r>
      <w:r>
        <w:t xml:space="preserve">Roughly right, but the numbers are labels for</w:t>
      </w:r>
      <w:r>
        <w:t xml:space="preserve"> </w:t>
      </w:r>
      <w:r>
        <w:rPr>
          <w:iCs/>
          <w:i/>
        </w:rPr>
        <w:t xml:space="preserve">what a device inspects</w:t>
      </w:r>
      <w:r>
        <w:t xml:space="preserve">, not for physical boxes. A</w:t>
      </w:r>
      <w:r>
        <w:t xml:space="preserve"> </w:t>
      </w:r>
      <w:r>
        <w:t xml:space="preserve">“</w:t>
      </w:r>
      <w:r>
        <w:t xml:space="preserve">Layer 4 load balancer</w:t>
      </w:r>
      <w:r>
        <w:t xml:space="preserve">”</w:t>
      </w:r>
      <w:r>
        <w:t xml:space="preserve"> </w:t>
      </w:r>
      <w:r>
        <w:t xml:space="preserve">makes decisions using IP addresses and ports; a</w:t>
      </w:r>
      <w:r>
        <w:t xml:space="preserve"> </w:t>
      </w:r>
      <w:r>
        <w:t xml:space="preserve">“</w:t>
      </w:r>
      <w:r>
        <w:t xml:space="preserve">Layer 7 load balancer</w:t>
      </w:r>
      <w:r>
        <w:t xml:space="preserve">”</w:t>
      </w:r>
      <w:r>
        <w:t xml:space="preserve"> </w:t>
      </w:r>
      <w:r>
        <w:t xml:space="preserve">parses HTTP and can route on path or header. Both receive the full packet (§19.3).</w:t>
      </w:r>
    </w:p>
    <w:bookmarkEnd w:id="696"/>
    <w:bookmarkEnd w:id="697"/>
    <w:bookmarkEnd w:id="698"/>
    <w:bookmarkStart w:id="705" w:name="ip-addressing-ipv4ipv6-subnets-and-cidr"/>
    <w:p>
      <w:pPr>
        <w:pStyle w:val="Heading2"/>
      </w:pPr>
      <w:r>
        <w:t xml:space="preserve">7.4 IP addressing, IPv4/IPv6, subnets and CIDR</w:t>
      </w:r>
    </w:p>
    <w:bookmarkStart w:id="701" w:name="what-an-ip-address-is"/>
    <w:p>
      <w:pPr>
        <w:pStyle w:val="Heading3"/>
      </w:pPr>
      <w:r>
        <w:t xml:space="preserve">7.4.1 What an IP address is</w:t>
      </w:r>
    </w:p>
    <w:p>
      <w:pPr>
        <w:pStyle w:val="CalloutDefinition"/>
      </w:pPr>
      <w:r>
        <w:rPr>
          <w:bCs/>
          <w:b/>
        </w:rPr>
        <w:t xml:space="preserve">DEFINITION</w:t>
      </w:r>
    </w:p>
    <w:p>
      <w:pPr>
        <w:pStyle w:val="CalloutDefinition"/>
      </w:pPr>
      <w:r>
        <w:rPr>
          <w:bCs/>
          <w:b/>
        </w:rPr>
        <w:t xml:space="preserve">Definition — IP address.</w:t>
      </w:r>
      <w:r>
        <w:t xml:space="preserve"> </w:t>
      </w:r>
      <w:r>
        <w:t xml:space="preserve">A numeric identifier assigned to a network interface that the Internet Protocol uses to deliver packets. An</w:t>
      </w:r>
      <w:r>
        <w:t xml:space="preserve"> </w:t>
      </w:r>
      <w:r>
        <w:rPr>
          <w:bCs/>
          <w:b/>
        </w:rPr>
        <w:t xml:space="preserve">IPv4</w:t>
      </w:r>
      <w:r>
        <w:t xml:space="preserve"> </w:t>
      </w:r>
      <w:r>
        <w:t xml:space="preserve">address is 32 bits, written as four decimal octets (</w:t>
      </w:r>
      <w:r>
        <w:rPr>
          <w:rStyle w:val="VerbatimChar"/>
        </w:rPr>
        <w:t xml:space="preserve">203.0.113.25</w:t>
      </w:r>
      <w:r>
        <w:t xml:space="preserve">) [RFC 791]. An</w:t>
      </w:r>
      <w:r>
        <w:t xml:space="preserve"> </w:t>
      </w:r>
      <w:r>
        <w:rPr>
          <w:bCs/>
          <w:b/>
        </w:rPr>
        <w:t xml:space="preserve">IPv6</w:t>
      </w:r>
      <w:r>
        <w:t xml:space="preserve"> </w:t>
      </w:r>
      <w:r>
        <w:t xml:space="preserve">address is 128 bits, written as eight groups of four hexadecimal digits separated by colons (</w:t>
      </w:r>
      <w:r>
        <w:rPr>
          <w:rStyle w:val="VerbatimChar"/>
        </w:rPr>
        <w:t xml:space="preserve">2001:db8:0:1::25</w:t>
      </w:r>
      <w:r>
        <w:t xml:space="preserve">) [RFC 8200].</w:t>
      </w:r>
    </w:p>
    <w:bookmarkStart w:id="699" w:name="first-principles-explanation-41"/>
    <w:p>
      <w:pPr>
        <w:pStyle w:val="Heading4"/>
      </w:pPr>
      <w:r>
        <w:t xml:space="preserve">First-principles explanation</w:t>
      </w:r>
    </w:p>
    <w:p>
      <w:pPr>
        <w:pStyle w:val="FirstParagraph"/>
      </w:pPr>
      <w:r>
        <w:t xml:space="preserve">A postal address is hierarchical: country, city, street, house number. A sorting center in another country only needs to read the country to forward the letter; only the local post office reads the house number. IP addresses are hierarchical in the same way, but the split point is flexible. The leading bits form the</w:t>
      </w:r>
      <w:r>
        <w:t xml:space="preserve"> </w:t>
      </w:r>
      <w:r>
        <w:rPr>
          <w:bCs/>
          <w:b/>
        </w:rPr>
        <w:t xml:space="preserve">network prefix</w:t>
      </w:r>
      <w:r>
        <w:t xml:space="preserve"> </w:t>
      </w:r>
      <w:r>
        <w:t xml:space="preserve">(which network), and the trailing bits identify the</w:t>
      </w:r>
      <w:r>
        <w:t xml:space="preserve"> </w:t>
      </w:r>
      <w:r>
        <w:rPr>
          <w:bCs/>
          <w:b/>
        </w:rPr>
        <w:t xml:space="preserve">host</w:t>
      </w:r>
      <w:r>
        <w:t xml:space="preserve"> </w:t>
      </w:r>
      <w:r>
        <w:t xml:space="preserve">within that network. Routers far away only need the prefix.</w:t>
      </w:r>
    </w:p>
    <w:bookmarkEnd w:id="699"/>
    <w:bookmarkStart w:id="700" w:name="why-does-this-exist-24"/>
    <w:p>
      <w:pPr>
        <w:pStyle w:val="Heading4"/>
      </w:pPr>
      <w:r>
        <w:t xml:space="preserve">Why does this exist?</w:t>
      </w:r>
    </w:p>
    <w:p>
      <w:pPr>
        <w:pStyle w:val="FirstParagraph"/>
      </w:pPr>
      <w:r>
        <w:t xml:space="preserve">Routers must decide where to send every packet in nanoseconds. If they had to store a route for every one of billions of devices, their tables would not fit in fast memory. Grouping addresses into prefixes lets a router store one entry for millions of hosts. The original 1981 scheme fixed the split at 8, 16 or 24 bits (</w:t>
      </w:r>
      <w:r>
        <w:t xml:space="preserve">“</w:t>
      </w:r>
      <w:r>
        <w:t xml:space="preserve">classes A, B, C</w:t>
      </w:r>
      <w:r>
        <w:t xml:space="preserve">”</w:t>
      </w:r>
      <w:r>
        <w:t xml:space="preserve">), which wasted addresses: an organization needing 300 addresses had to take a class B with 65,536.</w:t>
      </w:r>
      <w:r>
        <w:t xml:space="preserve"> </w:t>
      </w:r>
      <w:r>
        <w:rPr>
          <w:bCs/>
          <w:b/>
        </w:rPr>
        <w:t xml:space="preserve">Classless Inter-Domain Routing (CIDR)</w:t>
      </w:r>
      <w:r>
        <w:t xml:space="preserve">, introduced in 1993 and specified today in RFC 4632, allows the split at any bit.</w:t>
      </w:r>
    </w:p>
    <w:bookmarkEnd w:id="700"/>
    <w:bookmarkEnd w:id="701"/>
    <w:bookmarkStart w:id="702" w:name="cidr-notation-and-subnet-arithmetic"/>
    <w:p>
      <w:pPr>
        <w:pStyle w:val="Heading3"/>
      </w:pPr>
      <w:r>
        <w:t xml:space="preserve">7.4.2 CIDR notation and subnet arithmetic</w:t>
      </w:r>
    </w:p>
    <w:p>
      <w:pPr>
        <w:pStyle w:val="CalloutDefinition"/>
      </w:pPr>
      <w:r>
        <w:rPr>
          <w:bCs/>
          <w:b/>
        </w:rPr>
        <w:t xml:space="preserve">DEFINITION</w:t>
      </w:r>
    </w:p>
    <w:p>
      <w:pPr>
        <w:pStyle w:val="CalloutDefinition"/>
      </w:pPr>
      <w:r>
        <w:rPr>
          <w:bCs/>
          <w:b/>
        </w:rPr>
        <w:t xml:space="preserve">Definition — CIDR block.</w:t>
      </w:r>
      <w:r>
        <w:t xml:space="preserve"> </w:t>
      </w:r>
      <w:r>
        <w:t xml:space="preserve">An address range written as</w:t>
      </w:r>
      <w:r>
        <w:t xml:space="preserve"> </w:t>
      </w:r>
      <w:r>
        <w:rPr>
          <w:rStyle w:val="VerbatimChar"/>
        </w:rPr>
        <w:t xml:space="preserve">address/prefix-length</w:t>
      </w:r>
      <w:r>
        <w:t xml:space="preserve">, for example</w:t>
      </w:r>
      <w:r>
        <w:t xml:space="preserve"> </w:t>
      </w:r>
      <w:r>
        <w:rPr>
          <w:rStyle w:val="VerbatimChar"/>
        </w:rPr>
        <w:t xml:space="preserve">192.168.10.64/26</w:t>
      </w:r>
      <w:r>
        <w:t xml:space="preserve">. The prefix length</w:t>
      </w:r>
      <w:r>
        <w:t xml:space="preserve"> </w:t>
      </w:r>
      <m:oMath>
        <m:r>
          <m:t>n</m:t>
        </m:r>
      </m:oMath>
      <w:r>
        <w:t xml:space="preserve"> </w:t>
      </w:r>
      <w:r>
        <w:t xml:space="preserve">says that the first</w:t>
      </w:r>
      <w:r>
        <w:t xml:space="preserve"> </w:t>
      </w:r>
      <m:oMath>
        <m:r>
          <m:t>n</m:t>
        </m:r>
      </m:oMath>
      <w:r>
        <w:t xml:space="preserve"> </w:t>
      </w:r>
      <w:r>
        <w:t xml:space="preserve">bits identify the network; the remaining</w:t>
      </w:r>
      <w:r>
        <w:t xml:space="preserve"> </w:t>
      </w:r>
      <m:oMath>
        <m:r>
          <m:t>32</m:t>
        </m:r>
        <m:r>
          <m:rPr>
            <m:sty m:val="p"/>
          </m:rPr>
          <m:t>−</m:t>
        </m:r>
        <m:r>
          <m:t>n</m:t>
        </m:r>
      </m:oMath>
      <w:r>
        <w:t xml:space="preserve"> </w:t>
      </w:r>
      <w:r>
        <w:t xml:space="preserve">bits (IPv4) or</w:t>
      </w:r>
      <w:r>
        <w:t xml:space="preserve"> </w:t>
      </w:r>
      <m:oMath>
        <m:r>
          <m:t>128</m:t>
        </m:r>
        <m:r>
          <m:rPr>
            <m:sty m:val="p"/>
          </m:rPr>
          <m:t>−</m:t>
        </m:r>
        <m:r>
          <m:t>n</m:t>
        </m:r>
      </m:oMath>
      <w:r>
        <w:t xml:space="preserve"> </w:t>
      </w:r>
      <w:r>
        <w:t xml:space="preserve">bits (IPv6) identify hosts. The</w:t>
      </w:r>
      <w:r>
        <w:t xml:space="preserve"> </w:t>
      </w:r>
      <w:r>
        <w:rPr>
          <w:bCs/>
          <w:b/>
        </w:rPr>
        <w:t xml:space="preserve">subnet mask</w:t>
      </w:r>
      <w:r>
        <w:t xml:space="preserve"> </w:t>
      </w:r>
      <w:r>
        <w:t xml:space="preserve">is the same information as a dotted number with</w:t>
      </w:r>
      <w:r>
        <w:t xml:space="preserve"> </w:t>
      </w:r>
      <m:oMath>
        <m:r>
          <m:t>n</m:t>
        </m:r>
      </m:oMath>
      <w:r>
        <w:t xml:space="preserve"> </w:t>
      </w:r>
      <w:r>
        <w:t xml:space="preserve">one-bits followed by zeros (</w:t>
      </w:r>
      <w:r>
        <w:rPr>
          <w:rStyle w:val="VerbatimChar"/>
        </w:rPr>
        <w:t xml:space="preserve">/26</w:t>
      </w:r>
      <w:r>
        <w:t xml:space="preserve"> </w:t>
      </w:r>
      <w:r>
        <w:t xml:space="preserve">=</w:t>
      </w:r>
      <w:r>
        <w:t xml:space="preserve"> </w:t>
      </w:r>
      <w:r>
        <w:rPr>
          <w:rStyle w:val="VerbatimChar"/>
        </w:rPr>
        <w:t xml:space="preserve">255.255.255.192</w:t>
      </w:r>
      <w:r>
        <w:t xml:space="preserve">).</w:t>
      </w:r>
    </w:p>
    <w:p>
      <w:pPr>
        <w:pStyle w:val="CalloutFormula"/>
      </w:pPr>
      <w:r>
        <w:rPr>
          <w:bCs/>
          <w:b/>
        </w:rPr>
        <w:t xml:space="preserve">FORMULA</w:t>
      </w:r>
    </w:p>
    <w:p>
      <w:pPr>
        <w:pStyle w:val="CalloutFormula"/>
      </w:pPr>
      <w:r>
        <w:rPr>
          <w:bCs/>
          <w:b/>
        </w:rPr>
        <w:t xml:space="preserve">Addresses in a CIDR block</w:t>
      </w:r>
    </w:p>
    <w:p>
      <w:pPr>
        <w:pStyle w:val="CalloutFormula"/>
      </w:pPr>
      <m:oMathPara>
        <m:oMathParaPr>
          <m:jc m:val="center"/>
        </m:oMathParaPr>
        <m:oMath>
          <m:sSub>
            <m:e>
              <m:r>
                <m:t>N</m:t>
              </m:r>
            </m:e>
            <m:sub>
              <m:r>
                <m:rPr>
                  <m:nor/>
                  <m:sty m:val="p"/>
                </m:rPr>
                <m:t>addr</m:t>
              </m:r>
            </m:sub>
          </m:sSub>
          <m:r>
            <m:rPr>
              <m:sty m:val="p"/>
            </m:rPr>
            <m:t>=</m:t>
          </m:r>
          <m:sSup>
            <m:e>
              <m:r>
                <m:t>2</m:t>
              </m:r>
            </m:e>
            <m:sup>
              <m:r>
                <m:t> </m:t>
              </m:r>
              <m:r>
                <m:t>W</m:t>
              </m:r>
              <m:r>
                <m:rPr>
                  <m:sty m:val="p"/>
                </m:rPr>
                <m:t>−</m:t>
              </m:r>
              <m:r>
                <m:t>n</m:t>
              </m:r>
            </m:sup>
          </m:sSup>
          <m:r>
            <m:t>  </m:t>
          </m:r>
          <m:sSub>
            <m:e>
              <m:r>
                <m:t>N</m:t>
              </m:r>
            </m:e>
            <m:sub>
              <m:r>
                <m:rPr>
                  <m:nor/>
                  <m:sty m:val="p"/>
                </m:rPr>
                <m:t>hosts,IPv4</m:t>
              </m:r>
            </m:sub>
          </m:sSub>
          <m:r>
            <m:rPr>
              <m:sty m:val="p"/>
            </m:rPr>
            <m:t>=</m:t>
          </m:r>
          <m:sSup>
            <m:e>
              <m:r>
                <m:t>2</m:t>
              </m:r>
            </m:e>
            <m:sup>
              <m:r>
                <m:t> </m:t>
              </m:r>
              <m:r>
                <m:t>32</m:t>
              </m:r>
              <m:r>
                <m:rPr>
                  <m:sty m:val="p"/>
                </m:rPr>
                <m:t>−</m:t>
              </m:r>
              <m:r>
                <m:t>n</m:t>
              </m:r>
            </m:sup>
          </m:sSup>
          <m:r>
            <m:rPr>
              <m:sty m:val="p"/>
            </m:rPr>
            <m:t>−</m:t>
          </m:r>
          <m:r>
            <m:t>2</m:t>
          </m:r>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N</m:t>
                  </m:r>
                </m:e>
                <m:sub>
                  <m:r>
                    <m:rPr>
                      <m:nor/>
                      <m:sty m:val="p"/>
                    </m:rPr>
                    <m:t>addr</m:t>
                  </m:r>
                </m:sub>
              </m:sSub>
            </m:oMath>
          </w:p>
        </w:tc>
        <w:tc>
          <w:tcPr/>
          <w:p>
            <w:pPr>
              <w:pStyle w:val="Compact"/>
              <w:jc w:val="left"/>
            </w:pPr>
            <w:r>
              <w:t xml:space="preserve">Total addresses in the block</w:t>
            </w:r>
          </w:p>
        </w:tc>
        <w:tc>
          <w:tcPr/>
          <w:p>
            <w:pPr>
              <w:pStyle w:val="Compact"/>
              <w:jc w:val="left"/>
            </w:pPr>
            <w:r>
              <w:t xml:space="preserve">addresses</w:t>
            </w:r>
          </w:p>
        </w:tc>
      </w:tr>
      <w:tr>
        <w:tc>
          <w:tcPr/>
          <w:p>
            <w:pPr>
              <w:pStyle w:val="Compact"/>
              <w:jc w:val="left"/>
            </w:pPr>
            <m:oMath>
              <m:r>
                <m:t>W</m:t>
              </m:r>
            </m:oMath>
          </w:p>
        </w:tc>
        <w:tc>
          <w:tcPr/>
          <w:p>
            <w:pPr>
              <w:pStyle w:val="Compact"/>
              <w:jc w:val="left"/>
            </w:pPr>
            <w:r>
              <w:t xml:space="preserve">Address width: 32 for IPv4, 128 for IPv6</w:t>
            </w:r>
          </w:p>
        </w:tc>
        <w:tc>
          <w:tcPr/>
          <w:p>
            <w:pPr>
              <w:pStyle w:val="Compact"/>
              <w:jc w:val="left"/>
            </w:pPr>
            <w:r>
              <w:t xml:space="preserve">bits</w:t>
            </w:r>
          </w:p>
        </w:tc>
      </w:tr>
      <w:tr>
        <w:tc>
          <w:tcPr/>
          <w:p>
            <w:pPr>
              <w:pStyle w:val="Compact"/>
              <w:jc w:val="left"/>
            </w:pPr>
            <m:oMath>
              <m:r>
                <m:t>n</m:t>
              </m:r>
            </m:oMath>
          </w:p>
        </w:tc>
        <w:tc>
          <w:tcPr/>
          <w:p>
            <w:pPr>
              <w:pStyle w:val="Compact"/>
              <w:jc w:val="left"/>
            </w:pPr>
            <w:r>
              <w:t xml:space="preserve">Prefix length</w:t>
            </w:r>
          </w:p>
        </w:tc>
        <w:tc>
          <w:tcPr/>
          <w:p>
            <w:pPr>
              <w:pStyle w:val="Compact"/>
              <w:jc w:val="left"/>
            </w:pPr>
            <w:r>
              <w:t xml:space="preserve">bits</w:t>
            </w:r>
          </w:p>
        </w:tc>
      </w:tr>
      <w:tr>
        <w:tc>
          <w:tcPr/>
          <w:p>
            <w:pPr>
              <w:pStyle w:val="Compact"/>
              <w:jc w:val="left"/>
            </w:pPr>
            <m:oMath>
              <m:sSub>
                <m:e>
                  <m:r>
                    <m:t>N</m:t>
                  </m:r>
                </m:e>
                <m:sub>
                  <m:r>
                    <m:rPr>
                      <m:nor/>
                      <m:sty m:val="p"/>
                    </m:rPr>
                    <m:t>hosts,IPv4</m:t>
                  </m:r>
                </m:sub>
              </m:sSub>
            </m:oMath>
          </w:p>
        </w:tc>
        <w:tc>
          <w:tcPr/>
          <w:p>
            <w:pPr>
              <w:pStyle w:val="Compact"/>
              <w:jc w:val="left"/>
            </w:pPr>
            <w:r>
              <w:t xml:space="preserve">Assignable IPv4 hosts on a traditional subnet: subtract the</w:t>
            </w:r>
            <w:r>
              <w:t xml:space="preserve"> </w:t>
            </w:r>
            <w:r>
              <w:rPr>
                <w:bCs/>
                <w:b/>
              </w:rPr>
              <w:t xml:space="preserve">network address</w:t>
            </w:r>
            <w:r>
              <w:t xml:space="preserve"> </w:t>
            </w:r>
            <w:r>
              <w:t xml:space="preserve">(all host bits 0) and the</w:t>
            </w:r>
            <w:r>
              <w:t xml:space="preserve"> </w:t>
            </w:r>
            <w:r>
              <w:rPr>
                <w:bCs/>
                <w:b/>
              </w:rPr>
              <w:t xml:space="preserve">broadcast address</w:t>
            </w:r>
            <w:r>
              <w:t xml:space="preserve"> </w:t>
            </w:r>
            <w:r>
              <w:t xml:space="preserve">(all host bits 1)</w:t>
            </w:r>
          </w:p>
        </w:tc>
        <w:tc>
          <w:tcPr/>
          <w:p>
            <w:pPr>
              <w:pStyle w:val="Compact"/>
              <w:jc w:val="left"/>
            </w:pPr>
            <w:r>
              <w:t xml:space="preserve">addresses</w:t>
            </w:r>
          </w:p>
        </w:tc>
      </w:tr>
    </w:tbl>
    <w:p>
      <w:pPr>
        <w:pStyle w:val="BodyText"/>
      </w:pPr>
      <w:r>
        <w:t xml:space="preserve">The</w:t>
      </w:r>
      <w:r>
        <w:t xml:space="preserve"> </w:t>
      </w:r>
      <w:r>
        <w:t xml:space="preserve">“</w:t>
      </w:r>
      <w:r>
        <w:t xml:space="preserve">−2</w:t>
      </w:r>
      <w:r>
        <w:t xml:space="preserve">”</w:t>
      </w:r>
      <w:r>
        <w:t xml:space="preserve"> </w:t>
      </w:r>
      <w:r>
        <w:t xml:space="preserve">applies to ordinary IPv4 LAN subnets. Point-to-point</w:t>
      </w:r>
      <w:r>
        <w:t xml:space="preserve"> </w:t>
      </w:r>
      <w:r>
        <w:rPr>
          <w:rStyle w:val="VerbatimChar"/>
        </w:rPr>
        <w:t xml:space="preserve">/31</w:t>
      </w:r>
      <w:r>
        <w:t xml:space="preserve"> </w:t>
      </w:r>
      <w:r>
        <w:t xml:space="preserve">links (RFC 3021) and single-host</w:t>
      </w:r>
      <w:r>
        <w:t xml:space="preserve"> </w:t>
      </w:r>
      <w:r>
        <w:rPr>
          <w:rStyle w:val="VerbatimChar"/>
        </w:rPr>
        <w:t xml:space="preserve">/32</w:t>
      </w:r>
      <w:r>
        <w:t xml:space="preserve"> </w:t>
      </w:r>
      <w:r>
        <w:t xml:space="preserve">routes are exceptions, and cloud providers reserve more: AWS reserves five addresses in every VPC subnet (network, VPC router, DNS, one reserved for future use, broadcast), as of 2025 [AWS Docs: VPC subnets].</w:t>
      </w:r>
    </w:p>
    <w:p>
      <w:pPr>
        <w:pStyle w:val="CalloutExample"/>
      </w:pPr>
      <w:r>
        <w:rPr>
          <w:bCs/>
          <w:b/>
        </w:rPr>
        <w:t xml:space="preserve">WORKED EXAMPLE</w:t>
      </w:r>
    </w:p>
    <w:p>
      <w:pPr>
        <w:pStyle w:val="CalloutExample"/>
      </w:pPr>
      <w:r>
        <w:rPr>
          <w:bCs/>
          <w:b/>
        </w:rPr>
        <w:t xml:space="preserve">Worked example 1 — Which subnet is 192.168.10.77/26 in?</w:t>
      </w:r>
    </w:p>
    <w:p>
      <w:pPr>
        <w:numPr>
          <w:ilvl w:val="0"/>
          <w:numId w:val="1209"/>
        </w:numPr>
        <w:pStyle w:val="Compact"/>
      </w:pPr>
      <w:r>
        <w:t xml:space="preserve">A</w:t>
      </w:r>
      <w:r>
        <w:t xml:space="preserve"> </w:t>
      </w:r>
      <w:r>
        <w:rPr>
          <w:rStyle w:val="VerbatimChar"/>
        </w:rPr>
        <w:t xml:space="preserve">/26</w:t>
      </w:r>
      <w:r>
        <w:t xml:space="preserve"> </w:t>
      </w:r>
      <w:r>
        <w:t xml:space="preserve">leaves</w:t>
      </w:r>
      <w:r>
        <w:t xml:space="preserve"> </w:t>
      </w:r>
      <m:oMath>
        <m:r>
          <m:t>32</m:t>
        </m:r>
        <m:r>
          <m:rPr>
            <m:sty m:val="p"/>
          </m:rPr>
          <m:t>−</m:t>
        </m:r>
        <m:r>
          <m:t>26</m:t>
        </m:r>
        <m:r>
          <m:rPr>
            <m:sty m:val="p"/>
          </m:rPr>
          <m:t>=</m:t>
        </m:r>
        <m:r>
          <m:t>6</m:t>
        </m:r>
      </m:oMath>
      <w:r>
        <w:t xml:space="preserve"> </w:t>
      </w:r>
      <w:r>
        <w:t xml:space="preserve">host bits, so each subnet holds</w:t>
      </w:r>
      <w:r>
        <w:t xml:space="preserve"> </w:t>
      </w:r>
      <m:oMath>
        <m:sSup>
          <m:e>
            <m:r>
              <m:t>2</m:t>
            </m:r>
          </m:e>
          <m:sup>
            <m:r>
              <m:t>6</m:t>
            </m:r>
          </m:sup>
        </m:sSup>
        <m:r>
          <m:rPr>
            <m:sty m:val="p"/>
          </m:rPr>
          <m:t>=</m:t>
        </m:r>
        <m:r>
          <m:t>64</m:t>
        </m:r>
      </m:oMath>
      <w:r>
        <w:t xml:space="preserve"> </w:t>
      </w:r>
      <w:r>
        <w:t xml:space="preserve">addresses.</w:t>
      </w:r>
    </w:p>
    <w:p>
      <w:pPr>
        <w:numPr>
          <w:ilvl w:val="0"/>
          <w:numId w:val="1209"/>
        </w:numPr>
        <w:pStyle w:val="Compact"/>
      </w:pPr>
      <w:r>
        <w:t xml:space="preserve">The mask is 26 one-bits:</w:t>
      </w:r>
      <w:r>
        <w:t xml:space="preserve"> </w:t>
      </w:r>
      <w:r>
        <w:rPr>
          <w:rStyle w:val="VerbatimChar"/>
        </w:rPr>
        <w:t xml:space="preserve">11111111.11111111.11111111.11000000</w:t>
      </w:r>
      <w:r>
        <w:t xml:space="preserve"> </w:t>
      </w:r>
      <w:r>
        <w:t xml:space="preserve">=</w:t>
      </w:r>
      <w:r>
        <w:t xml:space="preserve"> </w:t>
      </w:r>
      <w:r>
        <w:rPr>
          <w:rStyle w:val="VerbatimChar"/>
        </w:rPr>
        <w:t xml:space="preserve">255.255.255.192</w:t>
      </w:r>
      <w:r>
        <w:t xml:space="preserve">.</w:t>
      </w:r>
    </w:p>
    <w:p>
      <w:pPr>
        <w:numPr>
          <w:ilvl w:val="0"/>
          <w:numId w:val="1209"/>
        </w:numPr>
        <w:pStyle w:val="Compact"/>
      </w:pPr>
      <w:r>
        <w:t xml:space="preserve">Only the last octet is split. Subnets start at multiples of 64 in that octet: .0, .64, .128, .192.</w:t>
      </w:r>
    </w:p>
    <w:p>
      <w:pPr>
        <w:numPr>
          <w:ilvl w:val="0"/>
          <w:numId w:val="1209"/>
        </w:numPr>
        <w:pStyle w:val="Compact"/>
      </w:pPr>
      <w:r>
        <w:t xml:space="preserve">77 lies between 64 and 127, so the network address is</w:t>
      </w:r>
      <w:r>
        <w:t xml:space="preserve"> </w:t>
      </w:r>
      <w:r>
        <w:rPr>
          <w:bCs/>
          <w:b/>
        </w:rPr>
        <w:t xml:space="preserve">192.168.10.64</w:t>
      </w:r>
      <w:r>
        <w:t xml:space="preserve">.</w:t>
      </w:r>
    </w:p>
    <w:p>
      <w:pPr>
        <w:numPr>
          <w:ilvl w:val="0"/>
          <w:numId w:val="1209"/>
        </w:numPr>
        <w:pStyle w:val="Compact"/>
      </w:pPr>
      <w:r>
        <w:t xml:space="preserve">Broadcast address: last address of the block = 64 + 64 − 1 =</w:t>
      </w:r>
      <w:r>
        <w:t xml:space="preserve"> </w:t>
      </w:r>
      <w:r>
        <w:rPr>
          <w:bCs/>
          <w:b/>
        </w:rPr>
        <w:t xml:space="preserve">192.168.10.127</w:t>
      </w:r>
      <w:r>
        <w:t xml:space="preserve">.</w:t>
      </w:r>
    </w:p>
    <w:p>
      <w:pPr>
        <w:numPr>
          <w:ilvl w:val="0"/>
          <w:numId w:val="1209"/>
        </w:numPr>
        <w:pStyle w:val="Compact"/>
      </w:pPr>
      <w:r>
        <w:t xml:space="preserve">Usable hosts:</w:t>
      </w:r>
      <w:r>
        <w:t xml:space="preserve"> </w:t>
      </w:r>
      <w:r>
        <w:rPr>
          <w:bCs/>
          <w:b/>
        </w:rPr>
        <w:t xml:space="preserve">192.168.10.65 – 192.168.10.126</w:t>
      </w:r>
      <w:r>
        <w:t xml:space="preserve">, which is</w:t>
      </w:r>
      <w:r>
        <w:t xml:space="preserve"> </w:t>
      </w:r>
      <m:oMath>
        <m:r>
          <m:t>64</m:t>
        </m:r>
        <m:r>
          <m:rPr>
            <m:sty m:val="p"/>
          </m:rPr>
          <m:t>−</m:t>
        </m:r>
        <m:r>
          <m:t>2</m:t>
        </m:r>
        <m:r>
          <m:rPr>
            <m:sty m:val="p"/>
          </m:rPr>
          <m:t>=</m:t>
        </m:r>
        <m:r>
          <m:t>62</m:t>
        </m:r>
      </m:oMath>
      <w:r>
        <w:t xml:space="preserve"> </w:t>
      </w:r>
      <w:r>
        <w:t xml:space="preserve">hosts.</w:t>
      </w:r>
    </w:p>
    <w:p>
      <w:pPr>
        <w:pStyle w:val="CalloutExample"/>
      </w:pPr>
      <w:r>
        <w:t xml:space="preserve">Bitwise check: 77 =</w:t>
      </w:r>
      <w:r>
        <w:t xml:space="preserve"> </w:t>
      </w:r>
      <w:r>
        <w:rPr>
          <w:rStyle w:val="VerbatimChar"/>
        </w:rPr>
        <w:t xml:space="preserve">01001101</w:t>
      </w:r>
      <w:r>
        <w:t xml:space="preserve">; AND with mask</w:t>
      </w:r>
      <w:r>
        <w:t xml:space="preserve"> </w:t>
      </w:r>
      <w:r>
        <w:rPr>
          <w:rStyle w:val="VerbatimChar"/>
        </w:rPr>
        <w:t xml:space="preserve">11000000</w:t>
      </w:r>
      <w:r>
        <w:t xml:space="preserve"> </w:t>
      </w:r>
      <w:r>
        <w:t xml:space="preserve">gives</w:t>
      </w:r>
      <w:r>
        <w:t xml:space="preserve"> </w:t>
      </w:r>
      <w:r>
        <w:rPr>
          <w:rStyle w:val="VerbatimChar"/>
        </w:rPr>
        <w:t xml:space="preserve">01000000</w:t>
      </w:r>
      <w:r>
        <w:t xml:space="preserve"> </w:t>
      </w:r>
      <w:r>
        <w:t xml:space="preserve">= 64. Correct.</w:t>
      </w:r>
    </w:p>
    <w:p>
      <w:pPr>
        <w:pStyle w:val="CalloutExample"/>
      </w:pPr>
      <w:r>
        <w:rPr>
          <w:bCs/>
          <w:b/>
        </w:rPr>
        <w:t xml:space="preserve">WORKED EXAMPLE</w:t>
      </w:r>
    </w:p>
    <w:p>
      <w:pPr>
        <w:pStyle w:val="CalloutExample"/>
      </w:pPr>
      <w:r>
        <w:rPr>
          <w:bCs/>
          <w:b/>
        </w:rPr>
        <w:t xml:space="preserve">Worked example 2 — Carving a cloud VPC into subnets.</w:t>
      </w:r>
    </w:p>
    <w:p>
      <w:pPr>
        <w:pStyle w:val="CalloutExample"/>
      </w:pPr>
      <w:r>
        <w:t xml:space="preserve">You are given the VPC range</w:t>
      </w:r>
      <w:r>
        <w:t xml:space="preserve"> </w:t>
      </w:r>
      <w:r>
        <w:rPr>
          <w:rStyle w:val="VerbatimChar"/>
        </w:rPr>
        <w:t xml:space="preserve">10.0.0.0/16</w:t>
      </w:r>
      <w:r>
        <w:t xml:space="preserve"> </w:t>
      </w:r>
      <w:r>
        <w:t xml:space="preserve">and want equal subnets across three availability zones, each with public and private tiers (six subnets), leaving room to grow.</w:t>
      </w:r>
    </w:p>
    <w:p>
      <w:pPr>
        <w:numPr>
          <w:ilvl w:val="0"/>
          <w:numId w:val="1210"/>
        </w:numPr>
        <w:pStyle w:val="Compact"/>
      </w:pPr>
      <w:r>
        <w:t xml:space="preserve">The VPC has</w:t>
      </w:r>
      <w:r>
        <w:t xml:space="preserve"> </w:t>
      </w:r>
      <m:oMath>
        <m:sSup>
          <m:e>
            <m:r>
              <m:t>2</m:t>
            </m:r>
          </m:e>
          <m:sup>
            <m:r>
              <m:t>32</m:t>
            </m:r>
            <m:r>
              <m:rPr>
                <m:sty m:val="p"/>
              </m:rPr>
              <m:t>−</m:t>
            </m:r>
            <m:r>
              <m:t>16</m:t>
            </m:r>
          </m:sup>
        </m:sSup>
        <m:r>
          <m:rPr>
            <m:sty m:val="p"/>
          </m:rPr>
          <m:t>=</m:t>
        </m:r>
        <m:r>
          <m:t>65</m:t>
        </m:r>
        <m:r>
          <m:rPr>
            <m:sty m:val="p"/>
          </m:rPr>
          <m:t>,</m:t>
        </m:r>
        <m:r>
          <m:t>536</m:t>
        </m:r>
      </m:oMath>
      <w:r>
        <w:t xml:space="preserve"> </w:t>
      </w:r>
      <w:r>
        <w:t xml:space="preserve">addresses.</w:t>
      </w:r>
    </w:p>
    <w:p>
      <w:pPr>
        <w:numPr>
          <w:ilvl w:val="0"/>
          <w:numId w:val="1210"/>
        </w:numPr>
        <w:pStyle w:val="Compact"/>
      </w:pPr>
      <w:r>
        <w:t xml:space="preserve">Choose</w:t>
      </w:r>
      <w:r>
        <w:t xml:space="preserve"> </w:t>
      </w:r>
      <w:r>
        <w:rPr>
          <w:rStyle w:val="VerbatimChar"/>
        </w:rPr>
        <w:t xml:space="preserve">/20</w:t>
      </w:r>
      <w:r>
        <w:t xml:space="preserve"> </w:t>
      </w:r>
      <w:r>
        <w:t xml:space="preserve">subnets:</w:t>
      </w:r>
      <w:r>
        <w:t xml:space="preserve"> </w:t>
      </w:r>
      <m:oMath>
        <m:sSup>
          <m:e>
            <m:r>
              <m:t>2</m:t>
            </m:r>
          </m:e>
          <m:sup>
            <m:r>
              <m:t>20</m:t>
            </m:r>
            <m:r>
              <m:rPr>
                <m:sty m:val="p"/>
              </m:rPr>
              <m:t>−</m:t>
            </m:r>
            <m:r>
              <m:t>16</m:t>
            </m:r>
          </m:sup>
        </m:sSup>
        <m:r>
          <m:rPr>
            <m:sty m:val="p"/>
          </m:rPr>
          <m:t>=</m:t>
        </m:r>
        <m:r>
          <m:t>16</m:t>
        </m:r>
      </m:oMath>
      <w:r>
        <w:t xml:space="preserve"> </w:t>
      </w:r>
      <w:r>
        <w:t xml:space="preserve">subnets of</w:t>
      </w:r>
      <w:r>
        <w:t xml:space="preserve"> </w:t>
      </w:r>
      <m:oMath>
        <m:sSup>
          <m:e>
            <m:r>
              <m:t>2</m:t>
            </m:r>
          </m:e>
          <m:sup>
            <m:r>
              <m:t>12</m:t>
            </m:r>
          </m:sup>
        </m:sSup>
        <m:r>
          <m:rPr>
            <m:sty m:val="p"/>
          </m:rPr>
          <m:t>=</m:t>
        </m:r>
        <m:r>
          <m:t>4</m:t>
        </m:r>
        <m:r>
          <m:rPr>
            <m:sty m:val="p"/>
          </m:rPr>
          <m:t>,</m:t>
        </m:r>
        <m:r>
          <m:t>096</m:t>
        </m:r>
      </m:oMath>
      <w:r>
        <w:t xml:space="preserve"> </w:t>
      </w:r>
      <w:r>
        <w:t xml:space="preserve">addresses each. Six are used now; ten remain for growth.</w:t>
      </w:r>
    </w:p>
    <w:p>
      <w:pPr>
        <w:numPr>
          <w:ilvl w:val="0"/>
          <w:numId w:val="1210"/>
        </w:numPr>
        <w:pStyle w:val="Compact"/>
      </w:pPr>
      <w:r>
        <w:t xml:space="preserve">With</w:t>
      </w:r>
      <w:r>
        <w:t xml:space="preserve"> </w:t>
      </w:r>
      <w:r>
        <w:rPr>
          <w:rStyle w:val="VerbatimChar"/>
        </w:rPr>
        <w:t xml:space="preserve">/20</w:t>
      </w:r>
      <w:r>
        <w:t xml:space="preserve">, the third octet advances in steps of</w:t>
      </w:r>
      <w:r>
        <w:t xml:space="preserve"> </w:t>
      </w:r>
      <m:oMath>
        <m:r>
          <m:t>4096</m:t>
        </m:r>
        <m:r>
          <m:rPr>
            <m:sty m:val="p"/>
          </m:rPr>
          <m:t>/</m:t>
        </m:r>
        <m:r>
          <m:t>256</m:t>
        </m:r>
        <m:r>
          <m:rPr>
            <m:sty m:val="p"/>
          </m:rPr>
          <m:t>=</m:t>
        </m:r>
        <m:r>
          <m:t>16</m:t>
        </m:r>
      </m:oMath>
      <w:r>
        <w:t xml:space="preserve">:</w:t>
      </w:r>
      <w:r>
        <w:t xml:space="preserve"> </w:t>
      </w:r>
      <w:r>
        <w:rPr>
          <w:rStyle w:val="VerbatimChar"/>
        </w:rPr>
        <w:t xml:space="preserve">10.0.0.0/20</w:t>
      </w:r>
      <w:r>
        <w:t xml:space="preserve">,</w:t>
      </w:r>
      <w:r>
        <w:t xml:space="preserve"> </w:t>
      </w:r>
      <w:r>
        <w:rPr>
          <w:rStyle w:val="VerbatimChar"/>
        </w:rPr>
        <w:t xml:space="preserve">10.0.16.0/20</w:t>
      </w:r>
      <w:r>
        <w:t xml:space="preserve">,</w:t>
      </w:r>
      <w:r>
        <w:t xml:space="preserve"> </w:t>
      </w:r>
      <w:r>
        <w:rPr>
          <w:rStyle w:val="VerbatimChar"/>
        </w:rPr>
        <w:t xml:space="preserve">10.0.32.0/20</w:t>
      </w:r>
      <w:r>
        <w:t xml:space="preserve">, … ,</w:t>
      </w:r>
      <w:r>
        <w:t xml:space="preserve"> </w:t>
      </w:r>
      <w:r>
        <w:rPr>
          <w:rStyle w:val="VerbatimChar"/>
        </w:rPr>
        <w:t xml:space="preserve">10.0.240.0/20</w:t>
      </w:r>
      <w:r>
        <w:t xml:space="preserve">.</w:t>
      </w:r>
    </w:p>
    <w:p>
      <w:pPr>
        <w:numPr>
          <w:ilvl w:val="0"/>
          <w:numId w:val="1210"/>
        </w:numPr>
        <w:pStyle w:val="Compact"/>
      </w:pPr>
      <w:r>
        <w:t xml:space="preserve">Usable per subnet on AWS:</w:t>
      </w:r>
      <w:r>
        <w:t xml:space="preserve"> </w:t>
      </w:r>
      <m:oMath>
        <m:r>
          <m:t>4096</m:t>
        </m:r>
        <m:r>
          <m:rPr>
            <m:sty m:val="p"/>
          </m:rPr>
          <m:t>−</m:t>
        </m:r>
        <m:r>
          <m:t>5</m:t>
        </m:r>
        <m:r>
          <m:rPr>
            <m:sty m:val="p"/>
          </m:rPr>
          <m:t>=</m:t>
        </m:r>
        <m:r>
          <m:t>4</m:t>
        </m:r>
        <m:r>
          <m:rPr>
            <m:sty m:val="p"/>
          </m:rPr>
          <m:t>,</m:t>
        </m:r>
        <m:r>
          <m:t>091</m:t>
        </m:r>
      </m:oMath>
      <w:r>
        <w:t xml:space="preserve">.</w:t>
      </w:r>
    </w:p>
    <w:p>
      <w:pPr>
        <w:numPr>
          <w:ilvl w:val="0"/>
          <w:numId w:val="1210"/>
        </w:numPr>
        <w:pStyle w:val="Compact"/>
      </w:pPr>
      <w:r>
        <w:t xml:space="preserve">Membership test: is</w:t>
      </w:r>
      <w:r>
        <w:t xml:space="preserve"> </w:t>
      </w:r>
      <w:r>
        <w:rPr>
          <w:rStyle w:val="VerbatimChar"/>
        </w:rPr>
        <w:t xml:space="preserve">10.0.37.200</w:t>
      </w:r>
      <w:r>
        <w:t xml:space="preserve"> </w:t>
      </w:r>
      <w:r>
        <w:t xml:space="preserve">in</w:t>
      </w:r>
      <w:r>
        <w:t xml:space="preserve"> </w:t>
      </w:r>
      <w:r>
        <w:rPr>
          <w:rStyle w:val="VerbatimChar"/>
        </w:rPr>
        <w:t xml:space="preserve">10.0.32.0/20</w:t>
      </w:r>
      <w:r>
        <w:t xml:space="preserve">? The block covers third-octet values 32–47 (32 + 16 − 1). 37 is in that range, so</w:t>
      </w:r>
      <w:r>
        <w:t xml:space="preserve"> </w:t>
      </w:r>
      <w:r>
        <w:rPr>
          <w:bCs/>
          <w:b/>
        </w:rPr>
        <w:t xml:space="preserve">yes</w:t>
      </w:r>
      <w:r>
        <w:t xml:space="preserve">; its range is</w:t>
      </w:r>
      <w:r>
        <w:t xml:space="preserve"> </w:t>
      </w:r>
      <w:r>
        <w:rPr>
          <w:rStyle w:val="VerbatimChar"/>
        </w:rPr>
        <w:t xml:space="preserve">10.0.32.0</w:t>
      </w:r>
      <w:r>
        <w:t xml:space="preserve">–</w:t>
      </w:r>
      <w:r>
        <w:rPr>
          <w:rStyle w:val="VerbatimChar"/>
        </w:rPr>
        <w:t xml:space="preserve">10.0.47.255</w:t>
      </w:r>
      <w:r>
        <w:t xml:space="preserve">.</w:t>
      </w:r>
    </w:p>
    <w:p>
      <w:pPr>
        <w:pStyle w:val="CalloutExample"/>
      </w:pPr>
      <w:r>
        <w:t xml:space="preserve">Interpretation: a</w:t>
      </w:r>
      <w:r>
        <w:t xml:space="preserve"> </w:t>
      </w:r>
      <w:r>
        <w:rPr>
          <w:rStyle w:val="VerbatimChar"/>
        </w:rPr>
        <w:t xml:space="preserve">/20</w:t>
      </w:r>
      <w:r>
        <w:t xml:space="preserve"> </w:t>
      </w:r>
      <w:r>
        <w:t xml:space="preserve">per subnet sounds generous, but container platforms that give every pod its own VPC address (for example, the AWS VPC CNI for Kubernetes) can consume thousands of addresses per subnet. Running out of IPs in a subnet is a common production incident; size for pods, not for nodes (Ch 42).</w:t>
      </w:r>
    </w:p>
    <w:p>
      <w:pPr>
        <w:pStyle w:val="CalloutExample"/>
      </w:pPr>
      <w:r>
        <w:rPr>
          <w:bCs/>
          <w:b/>
        </w:rPr>
        <w:t xml:space="preserve">WORKED EXAMPLE</w:t>
      </w:r>
    </w:p>
    <w:p>
      <w:pPr>
        <w:pStyle w:val="CalloutExample"/>
      </w:pPr>
      <w:r>
        <w:rPr>
          <w:bCs/>
          <w:b/>
        </w:rPr>
        <w:t xml:space="preserve">Worked example 3 — Do two networks overlap?</w:t>
      </w:r>
    </w:p>
    <w:p>
      <w:pPr>
        <w:pStyle w:val="CalloutExample"/>
      </w:pPr>
      <w:r>
        <w:t xml:space="preserve">Team A uses</w:t>
      </w:r>
      <w:r>
        <w:t xml:space="preserve"> </w:t>
      </w:r>
      <w:r>
        <w:rPr>
          <w:rStyle w:val="VerbatimChar"/>
        </w:rPr>
        <w:t xml:space="preserve">10.0.0.0/16</w:t>
      </w:r>
      <w:r>
        <w:t xml:space="preserve"> </w:t>
      </w:r>
      <w:r>
        <w:t xml:space="preserve">(10.0.0.0–10.0.255.255). Team B uses</w:t>
      </w:r>
      <w:r>
        <w:t xml:space="preserve"> </w:t>
      </w:r>
      <w:r>
        <w:rPr>
          <w:rStyle w:val="VerbatimChar"/>
        </w:rPr>
        <w:t xml:space="preserve">10.0.128.0/17</w:t>
      </w:r>
      <w:r>
        <w:t xml:space="preserve"> </w:t>
      </w:r>
      <w:r>
        <w:t xml:space="preserve">(10.0.128.0–10.0.255.255). B’s range lies entirely inside A’s, so the two VPCs</w:t>
      </w:r>
      <w:r>
        <w:t xml:space="preserve"> </w:t>
      </w:r>
      <w:r>
        <w:rPr>
          <w:bCs/>
          <w:b/>
        </w:rPr>
        <w:t xml:space="preserve">overlap</w:t>
      </w:r>
      <w:r>
        <w:t xml:space="preserve"> </w:t>
      </w:r>
      <w:r>
        <w:t xml:space="preserve">and cannot be peered or connected with simple routing: a packet to 10.0.200.1 would be ambiguous. Engineering implication: allocate non-overlapping RFC 1918 ranges centrally (an IP address management plan)</w:t>
      </w:r>
      <w:r>
        <w:t xml:space="preserve"> </w:t>
      </w:r>
      <w:r>
        <w:rPr>
          <w:iCs/>
          <w:i/>
        </w:rPr>
        <w:t xml:space="preserve">before</w:t>
      </w:r>
      <w:r>
        <w:t xml:space="preserve"> </w:t>
      </w:r>
      <w:r>
        <w:t xml:space="preserve">teams create networks; renumbering later is painful.</w:t>
      </w:r>
    </w:p>
    <w:p>
      <w:pPr>
        <w:pStyle w:val="BodyText"/>
      </w:pPr>
      <w:r>
        <w:rPr>
          <w:bCs/>
          <w:b/>
        </w:rPr>
        <w:t xml:space="preserve">Table 7.2 — CIDR quick reference (IPv4).</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Prefix</w:t>
            </w:r>
          </w:p>
        </w:tc>
        <w:tc>
          <w:tcPr/>
          <w:p>
            <w:pPr>
              <w:pStyle w:val="Compact"/>
              <w:jc w:val="left"/>
            </w:pPr>
            <w:r>
              <w:t xml:space="preserve">Mask</w:t>
            </w:r>
          </w:p>
        </w:tc>
        <w:tc>
          <w:tcPr/>
          <w:p>
            <w:pPr>
              <w:pStyle w:val="Compact"/>
              <w:jc w:val="left"/>
            </w:pPr>
            <w:r>
              <w:t xml:space="preserve">Addresses</w:t>
            </w:r>
          </w:p>
        </w:tc>
        <w:tc>
          <w:tcPr/>
          <w:p>
            <w:pPr>
              <w:pStyle w:val="Compact"/>
              <w:jc w:val="left"/>
            </w:pPr>
            <w:r>
              <w:t xml:space="preserve">Typical use</w:t>
            </w:r>
          </w:p>
        </w:tc>
      </w:tr>
      <w:tr>
        <w:tc>
          <w:tcPr/>
          <w:p>
            <w:pPr>
              <w:pStyle w:val="Compact"/>
              <w:jc w:val="left"/>
            </w:pPr>
            <w:r>
              <w:t xml:space="preserve">/8</w:t>
            </w:r>
          </w:p>
        </w:tc>
        <w:tc>
          <w:tcPr/>
          <w:p>
            <w:pPr>
              <w:pStyle w:val="Compact"/>
              <w:jc w:val="left"/>
            </w:pPr>
            <w:r>
              <w:t xml:space="preserve">255.0.0.0</w:t>
            </w:r>
          </w:p>
        </w:tc>
        <w:tc>
          <w:tcPr/>
          <w:p>
            <w:pPr>
              <w:pStyle w:val="Compact"/>
              <w:jc w:val="left"/>
            </w:pPr>
            <w:r>
              <w:t xml:space="preserve">16,777,216</w:t>
            </w:r>
          </w:p>
        </w:tc>
        <w:tc>
          <w:tcPr/>
          <w:p>
            <w:pPr>
              <w:pStyle w:val="Compact"/>
              <w:jc w:val="left"/>
            </w:pPr>
            <w:r>
              <w:t xml:space="preserve">Large private network (10.0.0.0/8)</w:t>
            </w:r>
          </w:p>
        </w:tc>
      </w:tr>
      <w:tr>
        <w:tc>
          <w:tcPr/>
          <w:p>
            <w:pPr>
              <w:pStyle w:val="Compact"/>
              <w:jc w:val="left"/>
            </w:pPr>
            <w:r>
              <w:t xml:space="preserve">/16</w:t>
            </w:r>
          </w:p>
        </w:tc>
        <w:tc>
          <w:tcPr/>
          <w:p>
            <w:pPr>
              <w:pStyle w:val="Compact"/>
              <w:jc w:val="left"/>
            </w:pPr>
            <w:r>
              <w:t xml:space="preserve">255.255.0.0</w:t>
            </w:r>
          </w:p>
        </w:tc>
        <w:tc>
          <w:tcPr/>
          <w:p>
            <w:pPr>
              <w:pStyle w:val="Compact"/>
              <w:jc w:val="left"/>
            </w:pPr>
            <w:r>
              <w:t xml:space="preserve">65,536</w:t>
            </w:r>
          </w:p>
        </w:tc>
        <w:tc>
          <w:tcPr/>
          <w:p>
            <w:pPr>
              <w:pStyle w:val="Compact"/>
              <w:jc w:val="left"/>
            </w:pPr>
            <w:r>
              <w:t xml:space="preserve">A cloud VPC</w:t>
            </w:r>
          </w:p>
        </w:tc>
      </w:tr>
      <w:tr>
        <w:tc>
          <w:tcPr/>
          <w:p>
            <w:pPr>
              <w:pStyle w:val="Compact"/>
              <w:jc w:val="left"/>
            </w:pPr>
            <w:r>
              <w:t xml:space="preserve">/20</w:t>
            </w:r>
          </w:p>
        </w:tc>
        <w:tc>
          <w:tcPr/>
          <w:p>
            <w:pPr>
              <w:pStyle w:val="Compact"/>
              <w:jc w:val="left"/>
            </w:pPr>
            <w:r>
              <w:t xml:space="preserve">255.255.240.0</w:t>
            </w:r>
          </w:p>
        </w:tc>
        <w:tc>
          <w:tcPr/>
          <w:p>
            <w:pPr>
              <w:pStyle w:val="Compact"/>
              <w:jc w:val="left"/>
            </w:pPr>
            <w:r>
              <w:t xml:space="preserve">4,096</w:t>
            </w:r>
          </w:p>
        </w:tc>
        <w:tc>
          <w:tcPr/>
          <w:p>
            <w:pPr>
              <w:pStyle w:val="Compact"/>
              <w:jc w:val="left"/>
            </w:pPr>
            <w:r>
              <w:t xml:space="preserve">A large subnet per availability zone</w:t>
            </w:r>
          </w:p>
        </w:tc>
      </w:tr>
      <w:tr>
        <w:tc>
          <w:tcPr/>
          <w:p>
            <w:pPr>
              <w:pStyle w:val="Compact"/>
              <w:jc w:val="left"/>
            </w:pPr>
            <w:r>
              <w:t xml:space="preserve">/24</w:t>
            </w:r>
          </w:p>
        </w:tc>
        <w:tc>
          <w:tcPr/>
          <w:p>
            <w:pPr>
              <w:pStyle w:val="Compact"/>
              <w:jc w:val="left"/>
            </w:pPr>
            <w:r>
              <w:t xml:space="preserve">255.255.255.0</w:t>
            </w:r>
          </w:p>
        </w:tc>
        <w:tc>
          <w:tcPr/>
          <w:p>
            <w:pPr>
              <w:pStyle w:val="Compact"/>
              <w:jc w:val="left"/>
            </w:pPr>
            <w:r>
              <w:t xml:space="preserve">256</w:t>
            </w:r>
          </w:p>
        </w:tc>
        <w:tc>
          <w:tcPr/>
          <w:p>
            <w:pPr>
              <w:pStyle w:val="Compact"/>
              <w:jc w:val="left"/>
            </w:pPr>
            <w:r>
              <w:t xml:space="preserve">Classic LAN; smallest prefix widely accepted in global BGP</w:t>
            </w:r>
          </w:p>
        </w:tc>
      </w:tr>
      <w:tr>
        <w:tc>
          <w:tcPr/>
          <w:p>
            <w:pPr>
              <w:pStyle w:val="Compact"/>
              <w:jc w:val="left"/>
            </w:pPr>
            <w:r>
              <w:t xml:space="preserve">/26</w:t>
            </w:r>
          </w:p>
        </w:tc>
        <w:tc>
          <w:tcPr/>
          <w:p>
            <w:pPr>
              <w:pStyle w:val="Compact"/>
              <w:jc w:val="left"/>
            </w:pPr>
            <w:r>
              <w:t xml:space="preserve">255.255.255.192</w:t>
            </w:r>
          </w:p>
        </w:tc>
        <w:tc>
          <w:tcPr/>
          <w:p>
            <w:pPr>
              <w:pStyle w:val="Compact"/>
              <w:jc w:val="left"/>
            </w:pPr>
            <w:r>
              <w:t xml:space="preserve">64</w:t>
            </w:r>
          </w:p>
        </w:tc>
        <w:tc>
          <w:tcPr/>
          <w:p>
            <w:pPr>
              <w:pStyle w:val="Compact"/>
              <w:jc w:val="left"/>
            </w:pPr>
            <w:r>
              <w:t xml:space="preserve">Small subnet</w:t>
            </w:r>
          </w:p>
        </w:tc>
      </w:tr>
      <w:tr>
        <w:tc>
          <w:tcPr/>
          <w:p>
            <w:pPr>
              <w:pStyle w:val="Compact"/>
              <w:jc w:val="left"/>
            </w:pPr>
            <w:r>
              <w:t xml:space="preserve">/30</w:t>
            </w:r>
          </w:p>
        </w:tc>
        <w:tc>
          <w:tcPr/>
          <w:p>
            <w:pPr>
              <w:pStyle w:val="Compact"/>
              <w:jc w:val="left"/>
            </w:pPr>
            <w:r>
              <w:t xml:space="preserve">255.255.255.252</w:t>
            </w:r>
          </w:p>
        </w:tc>
        <w:tc>
          <w:tcPr/>
          <w:p>
            <w:pPr>
              <w:pStyle w:val="Compact"/>
              <w:jc w:val="left"/>
            </w:pPr>
            <w:r>
              <w:t xml:space="preserve">4</w:t>
            </w:r>
          </w:p>
        </w:tc>
        <w:tc>
          <w:tcPr/>
          <w:p>
            <w:pPr>
              <w:pStyle w:val="Compact"/>
              <w:jc w:val="left"/>
            </w:pPr>
            <w:r>
              <w:t xml:space="preserve">Legacy point-to-point link (2 usable)</w:t>
            </w:r>
          </w:p>
        </w:tc>
      </w:tr>
      <w:tr>
        <w:tc>
          <w:tcPr/>
          <w:p>
            <w:pPr>
              <w:pStyle w:val="Compact"/>
              <w:jc w:val="left"/>
            </w:pPr>
            <w:r>
              <w:t xml:space="preserve">/31</w:t>
            </w:r>
          </w:p>
        </w:tc>
        <w:tc>
          <w:tcPr/>
          <w:p>
            <w:pPr>
              <w:pStyle w:val="Compact"/>
              <w:jc w:val="left"/>
            </w:pPr>
            <w:r>
              <w:t xml:space="preserve">255.255.255.254</w:t>
            </w:r>
          </w:p>
        </w:tc>
        <w:tc>
          <w:tcPr/>
          <w:p>
            <w:pPr>
              <w:pStyle w:val="Compact"/>
              <w:jc w:val="left"/>
            </w:pPr>
            <w:r>
              <w:t xml:space="preserve">2</w:t>
            </w:r>
          </w:p>
        </w:tc>
        <w:tc>
          <w:tcPr/>
          <w:p>
            <w:pPr>
              <w:pStyle w:val="Compact"/>
              <w:jc w:val="left"/>
            </w:pPr>
            <w:r>
              <w:t xml:space="preserve">Point-to-point link (RFC 3021, both usable)</w:t>
            </w:r>
          </w:p>
        </w:tc>
      </w:tr>
      <w:tr>
        <w:tc>
          <w:tcPr/>
          <w:p>
            <w:pPr>
              <w:pStyle w:val="Compact"/>
              <w:jc w:val="left"/>
            </w:pPr>
            <w:r>
              <w:t xml:space="preserve">/32</w:t>
            </w:r>
          </w:p>
        </w:tc>
        <w:tc>
          <w:tcPr/>
          <w:p>
            <w:pPr>
              <w:pStyle w:val="Compact"/>
              <w:jc w:val="left"/>
            </w:pPr>
            <w:r>
              <w:t xml:space="preserve">255.255.255.255</w:t>
            </w:r>
          </w:p>
        </w:tc>
        <w:tc>
          <w:tcPr/>
          <w:p>
            <w:pPr>
              <w:pStyle w:val="Compact"/>
              <w:jc w:val="left"/>
            </w:pPr>
            <w:r>
              <w:t xml:space="preserve">1</w:t>
            </w:r>
          </w:p>
        </w:tc>
        <w:tc>
          <w:tcPr/>
          <w:p>
            <w:pPr>
              <w:pStyle w:val="Compact"/>
              <w:jc w:val="left"/>
            </w:pPr>
            <w:r>
              <w:t xml:space="preserve">A single host route</w:t>
            </w:r>
          </w:p>
        </w:tc>
      </w:tr>
    </w:tbl>
    <w:bookmarkEnd w:id="702"/>
    <w:bookmarkStart w:id="703" w:name="private-and-special-purpose-ranges"/>
    <w:p>
      <w:pPr>
        <w:pStyle w:val="Heading3"/>
      </w:pPr>
      <w:r>
        <w:t xml:space="preserve">7.4.3 Private and special-purpose ranges</w:t>
      </w:r>
    </w:p>
    <w:p>
      <w:pPr>
        <w:pStyle w:val="FirstParagraph"/>
      </w:pPr>
      <w:r>
        <w:t xml:space="preserve">Some ranges are reserved and never routed on the public Internet. The most important are the</w:t>
      </w:r>
      <w:r>
        <w:t xml:space="preserve"> </w:t>
      </w:r>
      <w:r>
        <w:rPr>
          <w:bCs/>
          <w:b/>
        </w:rPr>
        <w:t xml:space="preserve">private</w:t>
      </w:r>
      <w:r>
        <w:t xml:space="preserve"> </w:t>
      </w:r>
      <w:r>
        <w:t xml:space="preserve">ranges of RFC 1918, which any organization may reuse internally; they reach the Internet only through NAT (§7.13).</w:t>
      </w:r>
    </w:p>
    <w:p>
      <w:pPr>
        <w:pStyle w:val="BodyText"/>
      </w:pPr>
      <w:r>
        <w:rPr>
          <w:bCs/>
          <w:b/>
        </w:rPr>
        <w:t xml:space="preserve">Table 7.3 — Special-purpose address ranges.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Range</w:t>
            </w:r>
          </w:p>
        </w:tc>
        <w:tc>
          <w:tcPr/>
          <w:p>
            <w:pPr>
              <w:pStyle w:val="Compact"/>
              <w:jc w:val="left"/>
            </w:pPr>
            <w:r>
              <w:t xml:space="preserve">Size</w:t>
            </w:r>
          </w:p>
        </w:tc>
        <w:tc>
          <w:tcPr/>
          <w:p>
            <w:pPr>
              <w:pStyle w:val="Compact"/>
              <w:jc w:val="left"/>
            </w:pPr>
            <w:r>
              <w:t xml:space="preserve">Purpose</w:t>
            </w:r>
          </w:p>
        </w:tc>
      </w:tr>
      <w:tr>
        <w:tc>
          <w:tcPr/>
          <w:p>
            <w:pPr>
              <w:pStyle w:val="Compact"/>
              <w:jc w:val="left"/>
            </w:pPr>
            <w:r>
              <w:t xml:space="preserve">10.0.0.0/8</w:t>
            </w:r>
          </w:p>
        </w:tc>
        <w:tc>
          <w:tcPr/>
          <w:p>
            <w:pPr>
              <w:pStyle w:val="Compact"/>
              <w:jc w:val="left"/>
            </w:pPr>
            <w:r>
              <w:t xml:space="preserve">16,777,216</w:t>
            </w:r>
          </w:p>
        </w:tc>
        <w:tc>
          <w:tcPr/>
          <w:p>
            <w:pPr>
              <w:pStyle w:val="Compact"/>
              <w:jc w:val="left"/>
            </w:pPr>
            <w:r>
              <w:t xml:space="preserve">Private (RFC 1918)</w:t>
            </w:r>
          </w:p>
        </w:tc>
      </w:tr>
      <w:tr>
        <w:tc>
          <w:tcPr/>
          <w:p>
            <w:pPr>
              <w:pStyle w:val="Compact"/>
              <w:jc w:val="left"/>
            </w:pPr>
            <w:r>
              <w:t xml:space="preserve">172.16.0.0/12</w:t>
            </w:r>
          </w:p>
        </w:tc>
        <w:tc>
          <w:tcPr/>
          <w:p>
            <w:pPr>
              <w:pStyle w:val="Compact"/>
              <w:jc w:val="left"/>
            </w:pPr>
            <w:r>
              <w:t xml:space="preserve">1,048,576</w:t>
            </w:r>
          </w:p>
        </w:tc>
        <w:tc>
          <w:tcPr/>
          <w:p>
            <w:pPr>
              <w:pStyle w:val="Compact"/>
              <w:jc w:val="left"/>
            </w:pPr>
            <w:r>
              <w:t xml:space="preserve">Private (RFC 1918): 172.16.0.0–172.31.255.255</w:t>
            </w:r>
          </w:p>
        </w:tc>
      </w:tr>
      <w:tr>
        <w:tc>
          <w:tcPr/>
          <w:p>
            <w:pPr>
              <w:pStyle w:val="Compact"/>
              <w:jc w:val="left"/>
            </w:pPr>
            <w:r>
              <w:t xml:space="preserve">192.168.0.0/16</w:t>
            </w:r>
          </w:p>
        </w:tc>
        <w:tc>
          <w:tcPr/>
          <w:p>
            <w:pPr>
              <w:pStyle w:val="Compact"/>
              <w:jc w:val="left"/>
            </w:pPr>
            <w:r>
              <w:t xml:space="preserve">65,536</w:t>
            </w:r>
          </w:p>
        </w:tc>
        <w:tc>
          <w:tcPr/>
          <w:p>
            <w:pPr>
              <w:pStyle w:val="Compact"/>
              <w:jc w:val="left"/>
            </w:pPr>
            <w:r>
              <w:t xml:space="preserve">Private (RFC 1918), common in homes</w:t>
            </w:r>
          </w:p>
        </w:tc>
      </w:tr>
      <w:tr>
        <w:tc>
          <w:tcPr/>
          <w:p>
            <w:pPr>
              <w:pStyle w:val="Compact"/>
              <w:jc w:val="left"/>
            </w:pPr>
            <w:r>
              <w:t xml:space="preserve">100.64.0.0/10</w:t>
            </w:r>
          </w:p>
        </w:tc>
        <w:tc>
          <w:tcPr/>
          <w:p>
            <w:pPr>
              <w:pStyle w:val="Compact"/>
              <w:jc w:val="left"/>
            </w:pPr>
            <w:r>
              <w:t xml:space="preserve">4,194,304</w:t>
            </w:r>
          </w:p>
        </w:tc>
        <w:tc>
          <w:tcPr/>
          <w:p>
            <w:pPr>
              <w:pStyle w:val="Compact"/>
              <w:jc w:val="left"/>
            </w:pPr>
            <w:r>
              <w:t xml:space="preserve">Shared address space for carrier-grade NAT (RFC 6598)</w:t>
            </w:r>
          </w:p>
        </w:tc>
      </w:tr>
      <w:tr>
        <w:tc>
          <w:tcPr/>
          <w:p>
            <w:pPr>
              <w:pStyle w:val="Compact"/>
              <w:jc w:val="left"/>
            </w:pPr>
            <w:r>
              <w:t xml:space="preserve">127.0.0.0/8</w:t>
            </w:r>
          </w:p>
        </w:tc>
        <w:tc>
          <w:tcPr/>
          <w:p>
            <w:pPr>
              <w:pStyle w:val="Compact"/>
              <w:jc w:val="left"/>
            </w:pPr>
            <w:r>
              <w:t xml:space="preserve">16,777,216</w:t>
            </w:r>
          </w:p>
        </w:tc>
        <w:tc>
          <w:tcPr/>
          <w:p>
            <w:pPr>
              <w:pStyle w:val="Compact"/>
              <w:jc w:val="left"/>
            </w:pPr>
            <w:r>
              <w:t xml:space="preserve">Loopback (</w:t>
            </w:r>
            <w:r>
              <w:rPr>
                <w:rStyle w:val="VerbatimChar"/>
              </w:rPr>
              <w:t xml:space="preserve">127.0.0.1</w:t>
            </w:r>
            <w:r>
              <w:t xml:space="preserve"> </w:t>
            </w:r>
            <w:r>
              <w:t xml:space="preserve">= this machine)</w:t>
            </w:r>
          </w:p>
        </w:tc>
      </w:tr>
      <w:tr>
        <w:tc>
          <w:tcPr/>
          <w:p>
            <w:pPr>
              <w:pStyle w:val="Compact"/>
              <w:jc w:val="left"/>
            </w:pPr>
            <w:r>
              <w:t xml:space="preserve">169.254.0.0/16</w:t>
            </w:r>
          </w:p>
        </w:tc>
        <w:tc>
          <w:tcPr/>
          <w:p>
            <w:pPr>
              <w:pStyle w:val="Compact"/>
              <w:jc w:val="left"/>
            </w:pPr>
            <w:r>
              <w:t xml:space="preserve">65,536</w:t>
            </w:r>
          </w:p>
        </w:tc>
        <w:tc>
          <w:tcPr/>
          <w:p>
            <w:pPr>
              <w:pStyle w:val="Compact"/>
              <w:jc w:val="left"/>
            </w:pPr>
            <w:r>
              <w:t xml:space="preserve">Link-local; cloud instance metadata services commonly live at</w:t>
            </w:r>
            <w:r>
              <w:t xml:space="preserve"> </w:t>
            </w:r>
            <w:r>
              <w:rPr>
                <w:rStyle w:val="VerbatimChar"/>
              </w:rPr>
              <w:t xml:space="preserve">169.254.169.254</w:t>
            </w:r>
          </w:p>
        </w:tc>
      </w:tr>
      <w:tr>
        <w:tc>
          <w:tcPr/>
          <w:p>
            <w:pPr>
              <w:pStyle w:val="Compact"/>
              <w:jc w:val="left"/>
            </w:pPr>
            <w:r>
              <w:t xml:space="preserve">192.0.2.0/24, 198.51.100.0/24, 203.0.113.0/24</w:t>
            </w:r>
          </w:p>
        </w:tc>
        <w:tc>
          <w:tcPr/>
          <w:p>
            <w:pPr>
              <w:pStyle w:val="Compact"/>
              <w:jc w:val="left"/>
            </w:pPr>
            <w:r>
              <w:t xml:space="preserve">256 each</w:t>
            </w:r>
          </w:p>
        </w:tc>
        <w:tc>
          <w:tcPr/>
          <w:p>
            <w:pPr>
              <w:pStyle w:val="Compact"/>
              <w:jc w:val="left"/>
            </w:pPr>
            <w:r>
              <w:t xml:space="preserve">Documentation examples (RFC 5737); used in this book</w:t>
            </w:r>
          </w:p>
        </w:tc>
      </w:tr>
      <w:tr>
        <w:tc>
          <w:tcPr/>
          <w:p>
            <w:pPr>
              <w:pStyle w:val="Compact"/>
              <w:jc w:val="left"/>
            </w:pPr>
            <w:r>
              <w:rPr>
                <w:rStyle w:val="VerbatimChar"/>
              </w:rPr>
              <w:t xml:space="preserve">::1/128</w:t>
            </w:r>
          </w:p>
        </w:tc>
        <w:tc>
          <w:tcPr/>
          <w:p>
            <w:pPr>
              <w:pStyle w:val="Compact"/>
              <w:jc w:val="left"/>
            </w:pPr>
            <w:r>
              <w:t xml:space="preserve">1</w:t>
            </w:r>
          </w:p>
        </w:tc>
        <w:tc>
          <w:tcPr/>
          <w:p>
            <w:pPr>
              <w:pStyle w:val="Compact"/>
              <w:jc w:val="left"/>
            </w:pPr>
            <w:r>
              <w:t xml:space="preserve">IPv6 loopback</w:t>
            </w:r>
          </w:p>
        </w:tc>
      </w:tr>
      <w:tr>
        <w:tc>
          <w:tcPr/>
          <w:p>
            <w:pPr>
              <w:pStyle w:val="Compact"/>
              <w:jc w:val="left"/>
            </w:pPr>
            <w:r>
              <w:rPr>
                <w:rStyle w:val="VerbatimChar"/>
              </w:rPr>
              <w:t xml:space="preserve">fe80::/10</w:t>
            </w:r>
          </w:p>
        </w:tc>
        <w:tc>
          <w:tcPr/>
          <w:p>
            <w:pPr>
              <w:pStyle w:val="Compact"/>
              <w:jc w:val="left"/>
            </w:pPr>
            <w:r>
              <w:t xml:space="preserve">—</w:t>
            </w:r>
          </w:p>
        </w:tc>
        <w:tc>
          <w:tcPr/>
          <w:p>
            <w:pPr>
              <w:pStyle w:val="Compact"/>
              <w:jc w:val="left"/>
            </w:pPr>
            <w:r>
              <w:t xml:space="preserve">IPv6 link-local</w:t>
            </w:r>
          </w:p>
        </w:tc>
      </w:tr>
      <w:tr>
        <w:tc>
          <w:tcPr/>
          <w:p>
            <w:pPr>
              <w:pStyle w:val="Compact"/>
              <w:jc w:val="left"/>
            </w:pPr>
            <w:r>
              <w:rPr>
                <w:rStyle w:val="VerbatimChar"/>
              </w:rPr>
              <w:t xml:space="preserve">fc00::/7</w:t>
            </w:r>
          </w:p>
        </w:tc>
        <w:tc>
          <w:tcPr/>
          <w:p>
            <w:pPr>
              <w:pStyle w:val="Compact"/>
              <w:jc w:val="left"/>
            </w:pPr>
            <w:r>
              <w:t xml:space="preserve">—</w:t>
            </w:r>
          </w:p>
        </w:tc>
        <w:tc>
          <w:tcPr/>
          <w:p>
            <w:pPr>
              <w:pStyle w:val="Compact"/>
              <w:jc w:val="left"/>
            </w:pPr>
            <w:r>
              <w:t xml:space="preserve">IPv6 unique local addresses (RFC 4193), the IPv6 analog of private space</w:t>
            </w:r>
          </w:p>
        </w:tc>
      </w:tr>
      <w:tr>
        <w:tc>
          <w:tcPr/>
          <w:p>
            <w:pPr>
              <w:pStyle w:val="Compact"/>
              <w:jc w:val="left"/>
            </w:pPr>
            <w:r>
              <w:rPr>
                <w:rStyle w:val="VerbatimChar"/>
              </w:rPr>
              <w:t xml:space="preserve">2000::/3</w:t>
            </w:r>
          </w:p>
        </w:tc>
        <w:tc>
          <w:tcPr/>
          <w:p>
            <w:pPr>
              <w:pStyle w:val="Compact"/>
              <w:jc w:val="left"/>
            </w:pPr>
            <w:r>
              <w:t xml:space="preserve">—</w:t>
            </w:r>
          </w:p>
        </w:tc>
        <w:tc>
          <w:tcPr/>
          <w:p>
            <w:pPr>
              <w:pStyle w:val="Compact"/>
              <w:jc w:val="left"/>
            </w:pPr>
            <w:r>
              <w:t xml:space="preserve">IPv6 global unicast</w:t>
            </w:r>
          </w:p>
        </w:tc>
      </w:tr>
      <w:tr>
        <w:tc>
          <w:tcPr/>
          <w:p>
            <w:pPr>
              <w:pStyle w:val="Compact"/>
              <w:jc w:val="left"/>
            </w:pPr>
            <w:r>
              <w:rPr>
                <w:rStyle w:val="VerbatimChar"/>
              </w:rPr>
              <w:t xml:space="preserve">2001:db8::/32</w:t>
            </w:r>
          </w:p>
        </w:tc>
        <w:tc>
          <w:tcPr/>
          <w:p>
            <w:pPr>
              <w:pStyle w:val="Compact"/>
              <w:jc w:val="left"/>
            </w:pPr>
            <w:r>
              <w:t xml:space="preserve">—</w:t>
            </w:r>
          </w:p>
        </w:tc>
        <w:tc>
          <w:tcPr/>
          <w:p>
            <w:pPr>
              <w:pStyle w:val="Compact"/>
              <w:jc w:val="left"/>
            </w:pPr>
            <w:r>
              <w:t xml:space="preserve">IPv6 documentation (RFC 3849)</w:t>
            </w:r>
          </w:p>
        </w:tc>
      </w:tr>
    </w:tbl>
    <w:bookmarkEnd w:id="703"/>
    <w:bookmarkStart w:id="704" w:name="ipv4-exhaustion-and-ipv6"/>
    <w:p>
      <w:pPr>
        <w:pStyle w:val="Heading3"/>
      </w:pPr>
      <w:r>
        <w:t xml:space="preserve">7.4.4 IPv4 exhaustion and IPv6</w:t>
      </w:r>
    </w:p>
    <w:p>
      <w:pPr>
        <w:pStyle w:val="FirstParagraph"/>
      </w:pPr>
      <w:r>
        <w:t xml:space="preserve">IPv4 offers</w:t>
      </w:r>
      <w:r>
        <w:t xml:space="preserve"> </w:t>
      </w:r>
      <m:oMath>
        <m:sSup>
          <m:e>
            <m:r>
              <m:t>2</m:t>
            </m:r>
          </m:e>
          <m:sup>
            <m:r>
              <m:t>32</m:t>
            </m:r>
          </m:sup>
        </m:sSup>
        <m:r>
          <m:rPr>
            <m:sty m:val="p"/>
          </m:rPr>
          <m:t>≈</m:t>
        </m:r>
        <m:r>
          <m:t>4.29</m:t>
        </m:r>
      </m:oMath>
      <w:r>
        <w:t xml:space="preserve"> </w:t>
      </w:r>
      <w:r>
        <w:t xml:space="preserve">billion addresses, fewer than the number of connected devices. The regional Internet registries ran out of freely allocatable IPv4 space during the 2010s, and IPv4 addresses are now bought and sold. Two responses coexist: NAT (§7.13), which lets many devices share one public address, and IPv6, which offers</w:t>
      </w:r>
      <w:r>
        <w:t xml:space="preserve"> </w:t>
      </w:r>
      <m:oMath>
        <m:sSup>
          <m:e>
            <m:r>
              <m:t>2</m:t>
            </m:r>
          </m:e>
          <m:sup>
            <m:r>
              <m:t>128</m:t>
            </m:r>
          </m:sup>
        </m:sSup>
        <m:r>
          <m:rPr>
            <m:sty m:val="p"/>
          </m:rPr>
          <m:t>≈</m:t>
        </m:r>
        <m:r>
          <m:t>3.4</m:t>
        </m:r>
        <m:r>
          <m:rPr>
            <m:sty m:val="p"/>
          </m:rPr>
          <m:t>×</m:t>
        </m:r>
        <m:sSup>
          <m:e>
            <m:r>
              <m:t>10</m:t>
            </m:r>
          </m:e>
          <m:sup>
            <m:r>
              <m:t>38</m:t>
            </m:r>
          </m:sup>
        </m:sSup>
      </m:oMath>
      <w:r>
        <w:t xml:space="preserve"> </w:t>
      </w:r>
      <w:r>
        <w:t xml:space="preserve">addresses.</w:t>
      </w:r>
    </w:p>
    <w:p>
      <w:pPr>
        <w:pStyle w:val="BodyText"/>
      </w:pPr>
      <w:r>
        <w:t xml:space="preserve">IPv6 makes several other changes [RFC 8200]:</w:t>
      </w:r>
    </w:p>
    <w:p>
      <w:pPr>
        <w:numPr>
          <w:ilvl w:val="0"/>
          <w:numId w:val="1211"/>
        </w:numPr>
        <w:pStyle w:val="Compact"/>
      </w:pPr>
      <w:r>
        <w:rPr>
          <w:bCs/>
          <w:b/>
        </w:rPr>
        <w:t xml:space="preserve">Fixed 40-byte header</w:t>
      </w:r>
      <w:r>
        <w:t xml:space="preserve"> </w:t>
      </w:r>
      <w:r>
        <w:t xml:space="preserve">with optional extension headers, simpler for hardware to parse.</w:t>
      </w:r>
    </w:p>
    <w:p>
      <w:pPr>
        <w:numPr>
          <w:ilvl w:val="0"/>
          <w:numId w:val="1211"/>
        </w:numPr>
        <w:pStyle w:val="Compact"/>
      </w:pPr>
      <w:r>
        <w:rPr>
          <w:bCs/>
          <w:b/>
        </w:rPr>
        <w:t xml:space="preserve">No fragmentation by routers.</w:t>
      </w:r>
      <w:r>
        <w:t xml:space="preserve"> </w:t>
      </w:r>
      <w:r>
        <w:t xml:space="preserve">Only the sender fragments; routers send an ICMPv6</w:t>
      </w:r>
      <w:r>
        <w:t xml:space="preserve"> </w:t>
      </w:r>
      <w:r>
        <w:t xml:space="preserve">“</w:t>
      </w:r>
      <w:r>
        <w:t xml:space="preserve">Packet Too Big</w:t>
      </w:r>
      <w:r>
        <w:t xml:space="preserve">”</w:t>
      </w:r>
      <w:r>
        <w:t xml:space="preserve"> </w:t>
      </w:r>
      <w:r>
        <w:t xml:space="preserve">message instead, so path MTU discovery is mandatory.</w:t>
      </w:r>
    </w:p>
    <w:p>
      <w:pPr>
        <w:numPr>
          <w:ilvl w:val="0"/>
          <w:numId w:val="1211"/>
        </w:numPr>
        <w:pStyle w:val="Compact"/>
      </w:pPr>
      <w:r>
        <w:rPr>
          <w:bCs/>
          <w:b/>
        </w:rPr>
        <w:t xml:space="preserve">No header checksum</w:t>
      </w:r>
      <w:r>
        <w:t xml:space="preserve"> </w:t>
      </w:r>
      <w:r>
        <w:t xml:space="preserve">(the link and transport layers already check).</w:t>
      </w:r>
    </w:p>
    <w:p>
      <w:pPr>
        <w:numPr>
          <w:ilvl w:val="0"/>
          <w:numId w:val="1211"/>
        </w:numPr>
        <w:pStyle w:val="Compact"/>
      </w:pPr>
      <w:r>
        <w:rPr>
          <w:bCs/>
          <w:b/>
        </w:rPr>
        <w:t xml:space="preserve">Standard /64 subnets.</w:t>
      </w:r>
      <w:r>
        <w:t xml:space="preserve"> </w:t>
      </w:r>
      <w:r>
        <w:t xml:space="preserve">A single LAN gets</w:t>
      </w:r>
      <w:r>
        <w:t xml:space="preserve"> </w:t>
      </w:r>
      <m:oMath>
        <m:sSup>
          <m:e>
            <m:r>
              <m:t>2</m:t>
            </m:r>
          </m:e>
          <m:sup>
            <m:r>
              <m:t>64</m:t>
            </m:r>
          </m:sup>
        </m:sSup>
      </m:oMath>
      <w:r>
        <w:t xml:space="preserve"> </w:t>
      </w:r>
      <w:r>
        <w:t xml:space="preserve">addresses, enough for hosts to self-assign addresses (SLAAC). A typical site receives a</w:t>
      </w:r>
      <w:r>
        <w:t xml:space="preserve"> </w:t>
      </w:r>
      <w:r>
        <w:rPr>
          <w:rStyle w:val="VerbatimChar"/>
        </w:rPr>
        <w:t xml:space="preserve">/48</w:t>
      </w:r>
      <w:r>
        <w:t xml:space="preserve">, which holds</w:t>
      </w:r>
      <w:r>
        <w:t xml:space="preserve"> </w:t>
      </w:r>
      <m:oMath>
        <m:sSup>
          <m:e>
            <m:r>
              <m:t>2</m:t>
            </m:r>
          </m:e>
          <m:sup>
            <m:r>
              <m:t>64</m:t>
            </m:r>
            <m:r>
              <m:rPr>
                <m:sty m:val="p"/>
              </m:rPr>
              <m:t>−</m:t>
            </m:r>
            <m:r>
              <m:t>48</m:t>
            </m:r>
          </m:sup>
        </m:sSup>
        <m:r>
          <m:rPr>
            <m:sty m:val="p"/>
          </m:rPr>
          <m:t>=</m:t>
        </m:r>
        <m:r>
          <m:t>65</m:t>
        </m:r>
        <m:r>
          <m:rPr>
            <m:sty m:val="p"/>
          </m:rPr>
          <m:t>,</m:t>
        </m:r>
        <m:r>
          <m:t>536</m:t>
        </m:r>
      </m:oMath>
      <w:r>
        <w:t xml:space="preserve"> </w:t>
      </w:r>
      <w:r>
        <w:rPr>
          <w:rStyle w:val="VerbatimChar"/>
        </w:rPr>
        <w:t xml:space="preserve">/64</w:t>
      </w:r>
      <w:r>
        <w:t xml:space="preserve"> </w:t>
      </w:r>
      <w:r>
        <w:t xml:space="preserve">subnets.</w:t>
      </w:r>
    </w:p>
    <w:p>
      <w:pPr>
        <w:numPr>
          <w:ilvl w:val="0"/>
          <w:numId w:val="1211"/>
        </w:numPr>
        <w:pStyle w:val="Compact"/>
      </w:pPr>
      <w:r>
        <w:rPr>
          <w:bCs/>
          <w:b/>
        </w:rPr>
        <w:t xml:space="preserve">Notation shortcuts.</w:t>
      </w:r>
      <w:r>
        <w:t xml:space="preserve"> </w:t>
      </w:r>
      <w:r>
        <w:t xml:space="preserve">Leading zeros in a group may be dropped, and one run of all-zero groups may be replaced by</w:t>
      </w:r>
      <w:r>
        <w:t xml:space="preserve"> </w:t>
      </w:r>
      <w:r>
        <w:rPr>
          <w:rStyle w:val="VerbatimChar"/>
        </w:rPr>
        <w:t xml:space="preserve">::</w:t>
      </w:r>
      <w:r>
        <w:t xml:space="preserve">. So</w:t>
      </w:r>
      <w:r>
        <w:t xml:space="preserve"> </w:t>
      </w:r>
      <w:r>
        <w:rPr>
          <w:rStyle w:val="VerbatimChar"/>
        </w:rPr>
        <w:t xml:space="preserve">2001:0db8:0000:0000:0000:0000:0000:0025</w:t>
      </w:r>
      <w:r>
        <w:t xml:space="preserve"> </w:t>
      </w:r>
      <w:r>
        <w:t xml:space="preserve">is</w:t>
      </w:r>
      <w:r>
        <w:t xml:space="preserve"> </w:t>
      </w:r>
      <w:r>
        <w:rPr>
          <w:rStyle w:val="VerbatimChar"/>
        </w:rPr>
        <w:t xml:space="preserve">2001:db8::25</w:t>
      </w:r>
      <w:r>
        <w:t xml:space="preserve">.</w:t>
      </w:r>
    </w:p>
    <w:p>
      <w:pPr>
        <w:pStyle w:val="FirstParagraph"/>
      </w:pPr>
      <w:r>
        <w:t xml:space="preserve">Clients with both IPv4 and IPv6 use</w:t>
      </w:r>
      <w:r>
        <w:t xml:space="preserve"> </w:t>
      </w:r>
      <w:r>
        <w:rPr>
          <w:bCs/>
          <w:b/>
        </w:rPr>
        <w:t xml:space="preserve">Happy Eyeballs</w:t>
      </w:r>
      <w:r>
        <w:t xml:space="preserve"> </w:t>
      </w:r>
      <w:r>
        <w:t xml:space="preserve">(RFC 8305): they start connecting over IPv6 and, if that has not succeeded within a short delay (around 250 ms is recommended), race an IPv4 attempt, using whichever connects first. This prevents broken IPv6 paths from adding seconds of delay.</w:t>
      </w:r>
    </w:p>
    <w:p>
      <w:pPr>
        <w:pStyle w:val="CalloutMistake"/>
      </w:pPr>
      <w:r>
        <w:rPr>
          <w:bCs/>
          <w:b/>
        </w:rPr>
        <w:t xml:space="preserve">COMMON MISTAKE</w:t>
      </w:r>
    </w:p>
    <w:p>
      <w:pPr>
        <w:pStyle w:val="CalloutMistake"/>
      </w:pPr>
      <w:r>
        <w:rPr>
          <w:bCs/>
          <w:b/>
        </w:rPr>
        <w:t xml:space="preserve">“</w:t>
      </w:r>
      <w:r>
        <w:rPr>
          <w:bCs/>
          <w:b/>
        </w:rPr>
        <w:t xml:space="preserve">Private addresses are a security feature.</w:t>
      </w:r>
      <w:r>
        <w:rPr>
          <w:bCs/>
          <w:b/>
        </w:rPr>
        <w:t xml:space="preserve">”</w:t>
      </w:r>
      <w:r>
        <w:t xml:space="preserve"> </w:t>
      </w:r>
      <w:r>
        <w:t xml:space="preserve">RFC 1918 ranges are not routed on the Internet, which incidentally makes hosts unreachable from outside without NAT rules. But reachability is not access control: a compromised host inside the network reaches them freely. Use firewalls and authentication (§7.14, §10.10), not address choice, for security.</w:t>
      </w:r>
    </w:p>
    <w:bookmarkEnd w:id="704"/>
    <w:bookmarkEnd w:id="705"/>
    <w:bookmarkStart w:id="715" w:name="routing-basics-bgp-and-anycast"/>
    <w:p>
      <w:pPr>
        <w:pStyle w:val="Heading2"/>
      </w:pPr>
      <w:r>
        <w:t xml:space="preserve">7.5 Routing basics, BGP and anycast</w:t>
      </w:r>
    </w:p>
    <w:bookmarkStart w:id="706" w:name="forwarding-and-longest-prefix-match"/>
    <w:p>
      <w:pPr>
        <w:pStyle w:val="Heading3"/>
      </w:pPr>
      <w:r>
        <w:t xml:space="preserve">7.5.1 Forwarding and longest-prefix match</w:t>
      </w:r>
    </w:p>
    <w:p>
      <w:pPr>
        <w:pStyle w:val="CalloutDefinition"/>
      </w:pPr>
      <w:r>
        <w:rPr>
          <w:bCs/>
          <w:b/>
        </w:rPr>
        <w:t xml:space="preserve">DEFINITION</w:t>
      </w:r>
    </w:p>
    <w:p>
      <w:pPr>
        <w:pStyle w:val="CalloutDefinition"/>
      </w:pPr>
      <w:r>
        <w:rPr>
          <w:bCs/>
          <w:b/>
        </w:rPr>
        <w:t xml:space="preserve">Definition — Routing and forwarding.</w:t>
      </w:r>
      <w:r>
        <w:t xml:space="preserve"> </w:t>
      </w:r>
      <w:r>
        <w:rPr>
          <w:bCs/>
          <w:b/>
        </w:rPr>
        <w:t xml:space="preserve">Forwarding</w:t>
      </w:r>
      <w:r>
        <w:t xml:space="preserve"> </w:t>
      </w:r>
      <w:r>
        <w:t xml:space="preserve">is the per-packet act of choosing an outgoing interface for a packet based on its destination address and the</w:t>
      </w:r>
      <w:r>
        <w:t xml:space="preserve"> </w:t>
      </w:r>
      <w:r>
        <w:rPr>
          <w:bCs/>
          <w:b/>
        </w:rPr>
        <w:t xml:space="preserve">forwarding table</w:t>
      </w:r>
      <w:r>
        <w:t xml:space="preserve">.</w:t>
      </w:r>
      <w:r>
        <w:t xml:space="preserve"> </w:t>
      </w:r>
      <w:r>
        <w:rPr>
          <w:bCs/>
          <w:b/>
        </w:rPr>
        <w:t xml:space="preserve">Routing</w:t>
      </w:r>
      <w:r>
        <w:t xml:space="preserve"> </w:t>
      </w:r>
      <w:r>
        <w:t xml:space="preserve">is the control-plane process of building those tables by exchanging reachability information with other routers.</w:t>
      </w:r>
    </w:p>
    <w:p>
      <w:pPr>
        <w:pStyle w:val="BodyText"/>
      </w:pPr>
      <w:r>
        <w:t xml:space="preserve">Each router holds a table of prefixes and next hops. When a packet arrives, the router selects the</w:t>
      </w:r>
      <w:r>
        <w:t xml:space="preserve"> </w:t>
      </w:r>
      <w:r>
        <w:rPr>
          <w:bCs/>
          <w:b/>
        </w:rPr>
        <w:t xml:space="preserve">most specific</w:t>
      </w:r>
      <w:r>
        <w:t xml:space="preserve"> </w:t>
      </w:r>
      <w:r>
        <w:t xml:space="preserve">(longest) prefix that contains the destination. This rule is called</w:t>
      </w:r>
      <w:r>
        <w:t xml:space="preserve"> </w:t>
      </w:r>
      <w:r>
        <w:rPr>
          <w:bCs/>
          <w:b/>
        </w:rPr>
        <w:t xml:space="preserve">longest-prefix match</w:t>
      </w:r>
      <w:r>
        <w:t xml:space="preserve">.</w:t>
      </w:r>
    </w:p>
    <w:p>
      <w:pPr>
        <w:pStyle w:val="CalloutExample"/>
      </w:pPr>
      <w:r>
        <w:rPr>
          <w:bCs/>
          <w:b/>
        </w:rPr>
        <w:t xml:space="preserve">WORKED EXAMPLE</w:t>
      </w:r>
    </w:p>
    <w:p>
      <w:pPr>
        <w:pStyle w:val="CalloutExample"/>
      </w:pPr>
      <w:r>
        <w:rPr>
          <w:bCs/>
          <w:b/>
        </w:rPr>
        <w:t xml:space="preserve">Worked example — Longest-prefix match.</w:t>
      </w:r>
    </w:p>
    <w:p>
      <w:pPr>
        <w:pStyle w:val="CalloutExample"/>
      </w:pPr>
      <w:r>
        <w:t xml:space="preserve">A router has these entries: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Prefix</w:t>
            </w:r>
          </w:p>
        </w:tc>
        <w:tc>
          <w:tcPr/>
          <w:p>
            <w:pPr>
              <w:pStyle w:val="Compact"/>
              <w:jc w:val="left"/>
            </w:pPr>
            <w:r>
              <w:t xml:space="preserve">Next hop</w:t>
            </w:r>
          </w:p>
        </w:tc>
      </w:tr>
      <w:tr>
        <w:tc>
          <w:tcPr/>
          <w:p>
            <w:pPr>
              <w:pStyle w:val="Compact"/>
              <w:jc w:val="left"/>
            </w:pPr>
            <w:r>
              <w:t xml:space="preserve">0.0.0.0/0 (default route)</w:t>
            </w:r>
          </w:p>
        </w:tc>
        <w:tc>
          <w:tcPr/>
          <w:p>
            <w:pPr>
              <w:pStyle w:val="Compact"/>
              <w:jc w:val="left"/>
            </w:pPr>
            <w:r>
              <w:t xml:space="preserve">ISP uplink</w:t>
            </w:r>
          </w:p>
        </w:tc>
      </w:tr>
      <w:tr>
        <w:tc>
          <w:tcPr/>
          <w:p>
            <w:pPr>
              <w:pStyle w:val="Compact"/>
              <w:jc w:val="left"/>
            </w:pPr>
            <w:r>
              <w:t xml:space="preserve">10.0.0.0/8</w:t>
            </w:r>
          </w:p>
        </w:tc>
        <w:tc>
          <w:tcPr/>
          <w:p>
            <w:pPr>
              <w:pStyle w:val="Compact"/>
              <w:jc w:val="left"/>
            </w:pPr>
            <w:r>
              <w:t xml:space="preserve">Core router A</w:t>
            </w:r>
          </w:p>
        </w:tc>
      </w:tr>
      <w:tr>
        <w:tc>
          <w:tcPr/>
          <w:p>
            <w:pPr>
              <w:pStyle w:val="Compact"/>
              <w:jc w:val="left"/>
            </w:pPr>
            <w:r>
              <w:t xml:space="preserve">10.1.0.0/16</w:t>
            </w:r>
          </w:p>
        </w:tc>
        <w:tc>
          <w:tcPr/>
          <w:p>
            <w:pPr>
              <w:pStyle w:val="Compact"/>
              <w:jc w:val="left"/>
            </w:pPr>
            <w:r>
              <w:t xml:space="preserve">Core router B</w:t>
            </w:r>
          </w:p>
        </w:tc>
      </w:tr>
      <w:tr>
        <w:tc>
          <w:tcPr/>
          <w:p>
            <w:pPr>
              <w:pStyle w:val="Compact"/>
              <w:jc w:val="left"/>
            </w:pPr>
            <w:r>
              <w:t xml:space="preserve">10.1.2.0/24</w:t>
            </w:r>
          </w:p>
        </w:tc>
        <w:tc>
          <w:tcPr/>
          <w:p>
            <w:pPr>
              <w:pStyle w:val="Compact"/>
              <w:jc w:val="left"/>
            </w:pPr>
            <w:r>
              <w:t xml:space="preserve">Access switch C</w:t>
            </w:r>
          </w:p>
        </w:tc>
      </w:tr>
    </w:tbl>
    <w:p>
      <w:pPr>
        <w:numPr>
          <w:ilvl w:val="0"/>
          <w:numId w:val="1212"/>
        </w:numPr>
        <w:pStyle w:val="Compact"/>
      </w:pPr>
      <w:r>
        <w:t xml:space="preserve">Destination</w:t>
      </w:r>
      <w:r>
        <w:t xml:space="preserve"> </w:t>
      </w:r>
      <w:r>
        <w:rPr>
          <w:rStyle w:val="VerbatimChar"/>
        </w:rPr>
        <w:t xml:space="preserve">10.1.2.3</w:t>
      </w:r>
      <w:r>
        <w:t xml:space="preserve"> </w:t>
      </w:r>
      <w:r>
        <w:t xml:space="preserve">matches /0, /8, /16 and /24. Longest is /24, so it goes to</w:t>
      </w:r>
      <w:r>
        <w:t xml:space="preserve"> </w:t>
      </w:r>
      <w:r>
        <w:rPr>
          <w:bCs/>
          <w:b/>
        </w:rPr>
        <w:t xml:space="preserve">C</w:t>
      </w:r>
      <w:r>
        <w:t xml:space="preserve">.</w:t>
      </w:r>
    </w:p>
    <w:p>
      <w:pPr>
        <w:numPr>
          <w:ilvl w:val="0"/>
          <w:numId w:val="1212"/>
        </w:numPr>
        <w:pStyle w:val="Compact"/>
      </w:pPr>
      <w:r>
        <w:rPr>
          <w:rStyle w:val="VerbatimChar"/>
        </w:rPr>
        <w:t xml:space="preserve">10.1.9.9</w:t>
      </w:r>
      <w:r>
        <w:t xml:space="preserve"> </w:t>
      </w:r>
      <w:r>
        <w:t xml:space="preserve">matches /0, /8, /16: goes to</w:t>
      </w:r>
      <w:r>
        <w:t xml:space="preserve"> </w:t>
      </w:r>
      <w:r>
        <w:rPr>
          <w:bCs/>
          <w:b/>
        </w:rPr>
        <w:t xml:space="preserve">B</w:t>
      </w:r>
      <w:r>
        <w:t xml:space="preserve">.</w:t>
      </w:r>
    </w:p>
    <w:p>
      <w:pPr>
        <w:numPr>
          <w:ilvl w:val="0"/>
          <w:numId w:val="1212"/>
        </w:numPr>
        <w:pStyle w:val="Compact"/>
      </w:pPr>
      <w:r>
        <w:rPr>
          <w:rStyle w:val="VerbatimChar"/>
        </w:rPr>
        <w:t xml:space="preserve">10.200.0.1</w:t>
      </w:r>
      <w:r>
        <w:t xml:space="preserve"> </w:t>
      </w:r>
      <w:r>
        <w:t xml:space="preserve">matches /0 and /8: goes to</w:t>
      </w:r>
      <w:r>
        <w:t xml:space="preserve"> </w:t>
      </w:r>
      <w:r>
        <w:rPr>
          <w:bCs/>
          <w:b/>
        </w:rPr>
        <w:t xml:space="preserve">A</w:t>
      </w:r>
      <w:r>
        <w:t xml:space="preserve">.</w:t>
      </w:r>
    </w:p>
    <w:p>
      <w:pPr>
        <w:numPr>
          <w:ilvl w:val="0"/>
          <w:numId w:val="1212"/>
        </w:numPr>
        <w:pStyle w:val="Compact"/>
      </w:pPr>
      <w:r>
        <w:rPr>
          <w:rStyle w:val="VerbatimChar"/>
        </w:rPr>
        <w:t xml:space="preserve">8.8.8.8</w:t>
      </w:r>
      <w:r>
        <w:t xml:space="preserve"> </w:t>
      </w:r>
      <w:r>
        <w:t xml:space="preserve">matches only /0: goes to the</w:t>
      </w:r>
      <w:r>
        <w:t xml:space="preserve"> </w:t>
      </w:r>
      <w:r>
        <w:rPr>
          <w:bCs/>
          <w:b/>
        </w:rPr>
        <w:t xml:space="preserve">ISP uplink</w:t>
      </w:r>
      <w:r>
        <w:t xml:space="preserve">.</w:t>
      </w:r>
    </w:p>
    <w:p>
      <w:pPr>
        <w:pStyle w:val="CalloutExample"/>
      </w:pPr>
      <w:r>
        <w:t xml:space="preserve">Engineering implication: longest-prefix match lets operators override broad routes with specific ones. It also lets an attacker or a misconfiguration hijack traffic by announcing a</w:t>
      </w:r>
      <w:r>
        <w:t xml:space="preserve"> </w:t>
      </w:r>
      <w:r>
        <w:rPr>
          <w:iCs/>
          <w:i/>
        </w:rPr>
        <w:t xml:space="preserve">more specific</w:t>
      </w:r>
      <w:r>
        <w:t xml:space="preserve"> </w:t>
      </w:r>
      <w:r>
        <w:t xml:space="preserve">prefix than the legitimate owner, as the industry example below shows.</w:t>
      </w:r>
    </w:p>
    <w:p>
      <w:pPr>
        <w:pStyle w:val="BodyText"/>
      </w:pPr>
      <w:r>
        <w:t xml:space="preserve">When several equally good next hops exist, routers use</w:t>
      </w:r>
      <w:r>
        <w:t xml:space="preserve"> </w:t>
      </w:r>
      <w:r>
        <w:rPr>
          <w:bCs/>
          <w:b/>
        </w:rPr>
        <w:t xml:space="preserve">equal-cost multi-path (ECMP)</w:t>
      </w:r>
      <w:r>
        <w:t xml:space="preserve"> </w:t>
      </w:r>
      <w:r>
        <w:t xml:space="preserve">routing: they hash each packet’s flow identifiers (the 5-tuple of protocol, source and destination address and port) to pick one path. All packets of one flow take the same path, which avoids reordering, while different flows spread across paths. ECMP is the foundation of datacenter fabrics (§7.17) and of horizontally scaled load balancers (§19.8).</w:t>
      </w:r>
    </w:p>
    <w:bookmarkEnd w:id="706"/>
    <w:bookmarkStart w:id="708" w:name="interior-and-exterior-routing"/>
    <w:p>
      <w:pPr>
        <w:pStyle w:val="Heading3"/>
      </w:pPr>
      <w:r>
        <w:t xml:space="preserve">7.5.2 Interior and exterior routing</w:t>
      </w:r>
    </w:p>
    <w:p>
      <w:pPr>
        <w:pStyle w:val="FirstParagraph"/>
      </w:pPr>
      <w:r>
        <w:t xml:space="preserve">The Internet is a network of networks. Each independently operated network, such as an ISP, a cloud provider or a large enterprise, is an</w:t>
      </w:r>
      <w:r>
        <w:t xml:space="preserve"> </w:t>
      </w:r>
      <w:r>
        <w:rPr>
          <w:bCs/>
          <w:b/>
        </w:rPr>
        <w:t xml:space="preserve">autonomous system (AS)</w:t>
      </w:r>
      <w:r>
        <w:t xml:space="preserve"> </w:t>
      </w:r>
      <w:r>
        <w:t xml:space="preserve">identified by an AS number (ASN). Routing happens at two levels:</w:t>
      </w:r>
    </w:p>
    <w:p>
      <w:pPr>
        <w:numPr>
          <w:ilvl w:val="0"/>
          <w:numId w:val="1213"/>
        </w:numPr>
        <w:pStyle w:val="Compact"/>
      </w:pPr>
      <w:r>
        <w:rPr>
          <w:bCs/>
          <w:b/>
        </w:rPr>
        <w:t xml:space="preserve">Interior gateway protocols</w:t>
      </w:r>
      <w:r>
        <w:t xml:space="preserve"> </w:t>
      </w:r>
      <w:r>
        <w:t xml:space="preserve">(OSPF, IS-IS) run</w:t>
      </w:r>
      <w:r>
        <w:t xml:space="preserve"> </w:t>
      </w:r>
      <w:r>
        <w:rPr>
          <w:iCs/>
          <w:i/>
        </w:rPr>
        <w:t xml:space="preserve">inside</w:t>
      </w:r>
      <w:r>
        <w:t xml:space="preserve"> </w:t>
      </w:r>
      <w:r>
        <w:t xml:space="preserve">an AS. They compute shortest paths using link costs, converge in seconds or less, and assume everyone is cooperative.</w:t>
      </w:r>
    </w:p>
    <w:p>
      <w:pPr>
        <w:numPr>
          <w:ilvl w:val="0"/>
          <w:numId w:val="1213"/>
        </w:numPr>
        <w:pStyle w:val="Compact"/>
      </w:pPr>
      <w:r>
        <w:rPr>
          <w:bCs/>
          <w:b/>
        </w:rPr>
        <w:t xml:space="preserve">The Border Gateway Protocol (BGP)</w:t>
      </w:r>
      <w:r>
        <w:t xml:space="preserve">, version 4 (RFC 4271), runs</w:t>
      </w:r>
      <w:r>
        <w:t xml:space="preserve"> </w:t>
      </w:r>
      <w:r>
        <w:rPr>
          <w:iCs/>
          <w:i/>
        </w:rPr>
        <w:t xml:space="preserve">between</w:t>
      </w:r>
      <w:r>
        <w:t xml:space="preserve"> </w:t>
      </w:r>
      <w:r>
        <w:t xml:space="preserve">ASes. It is the protocol that holds the Internet together.</w:t>
      </w:r>
    </w:p>
    <w:p>
      <w:pPr>
        <w:pStyle w:val="CalloutDefinition"/>
      </w:pPr>
      <w:r>
        <w:rPr>
          <w:bCs/>
          <w:b/>
        </w:rPr>
        <w:t xml:space="preserve">DEFINITION</w:t>
      </w:r>
    </w:p>
    <w:p>
      <w:pPr>
        <w:pStyle w:val="CalloutDefinition"/>
      </w:pPr>
      <w:r>
        <w:rPr>
          <w:bCs/>
          <w:b/>
        </w:rPr>
        <w:t xml:space="preserve">Definition — BGP.</w:t>
      </w:r>
      <w:r>
        <w:t xml:space="preserve"> </w:t>
      </w:r>
      <w:r>
        <w:t xml:space="preserve">A</w:t>
      </w:r>
      <w:r>
        <w:t xml:space="preserve"> </w:t>
      </w:r>
      <w:r>
        <w:rPr>
          <w:bCs/>
          <w:b/>
        </w:rPr>
        <w:t xml:space="preserve">path-vector</w:t>
      </w:r>
      <w:r>
        <w:t xml:space="preserve"> </w:t>
      </w:r>
      <w:r>
        <w:t xml:space="preserve">routing protocol in which neighboring routers (peers) exchange, over a TCP session on port 179, announcements of the form</w:t>
      </w:r>
      <w:r>
        <w:t xml:space="preserve"> </w:t>
      </w:r>
      <w:r>
        <w:t xml:space="preserve">“</w:t>
      </w:r>
      <w:r>
        <w:t xml:space="preserve">prefix P is reachable via AS path [X, Y, Z]</w:t>
      </w:r>
      <w:r>
        <w:t xml:space="preserve">”</w:t>
      </w:r>
      <w:r>
        <w:t xml:space="preserve">. Each AS chooses among the paths it hears according to its own</w:t>
      </w:r>
      <w:r>
        <w:t xml:space="preserve"> </w:t>
      </w:r>
      <w:r>
        <w:rPr>
          <w:bCs/>
          <w:b/>
        </w:rPr>
        <w:t xml:space="preserve">policy</w:t>
      </w:r>
      <w:r>
        <w:t xml:space="preserve">, then re-announces its chosen path (with its own ASN prepended) to the peers its policy allows.</w:t>
      </w:r>
    </w:p>
    <w:bookmarkStart w:id="707" w:name="how-bgp-works-internally"/>
    <w:p>
      <w:pPr>
        <w:pStyle w:val="Heading4"/>
      </w:pPr>
      <w:r>
        <w:t xml:space="preserve">How BGP works internally</w:t>
      </w:r>
    </w:p>
    <w:p>
      <w:pPr>
        <w:numPr>
          <w:ilvl w:val="0"/>
          <w:numId w:val="1214"/>
        </w:numPr>
        <w:pStyle w:val="Compact"/>
      </w:pPr>
      <w:r>
        <w:t xml:space="preserve">Two routers in different ASes open a TCP connection on port 179 and exchange OPEN messages.</w:t>
      </w:r>
    </w:p>
    <w:p>
      <w:pPr>
        <w:numPr>
          <w:ilvl w:val="0"/>
          <w:numId w:val="1214"/>
        </w:numPr>
        <w:pStyle w:val="Compact"/>
      </w:pPr>
      <w:r>
        <w:t xml:space="preserve">Each sends UPDATE messages announcing prefixes it can reach, with attributes including the</w:t>
      </w:r>
      <w:r>
        <w:t xml:space="preserve"> </w:t>
      </w:r>
      <w:r>
        <w:rPr>
          <w:bCs/>
          <w:b/>
        </w:rPr>
        <w:t xml:space="preserve">AS path</w:t>
      </w:r>
      <w:r>
        <w:t xml:space="preserve"> </w:t>
      </w:r>
      <w:r>
        <w:t xml:space="preserve">(the list of ASes traversed), the next hop, and preference hints.</w:t>
      </w:r>
    </w:p>
    <w:p>
      <w:pPr>
        <w:numPr>
          <w:ilvl w:val="0"/>
          <w:numId w:val="1214"/>
        </w:numPr>
        <w:pStyle w:val="Compact"/>
      </w:pPr>
      <w:r>
        <w:t xml:space="preserve">Each router stores all received paths, then chooses one best path per prefix. The decision is policy-first: a network prefers routes learned from paying customers over routes from peers, and peers over upstream providers it pays. Only after policy does it prefer the shortest AS path, and then a series of tie-breakers.</w:t>
      </w:r>
    </w:p>
    <w:p>
      <w:pPr>
        <w:numPr>
          <w:ilvl w:val="0"/>
          <w:numId w:val="1214"/>
        </w:numPr>
        <w:pStyle w:val="Compact"/>
      </w:pPr>
      <w:r>
        <w:t xml:space="preserve">The router installs the best path in its forwarding table and announces it onward, prepending its own ASN. Loops are prevented because a router rejects any path that already contains its own ASN.</w:t>
      </w:r>
    </w:p>
    <w:p>
      <w:pPr>
        <w:numPr>
          <w:ilvl w:val="0"/>
          <w:numId w:val="1214"/>
        </w:numPr>
        <w:pStyle w:val="Compact"/>
      </w:pPr>
      <w:r>
        <w:t xml:space="preserve">When a route disappears, a WITHDRAW propagates. Convergence across the Internet can take seconds to minutes.</w:t>
      </w:r>
    </w:p>
    <w:p>
      <w:pPr>
        <w:pStyle w:val="FirstParagraph"/>
      </w:pPr>
      <w:r>
        <w:t xml:space="preserve">Two consequences matter for system designers. First,</w:t>
      </w:r>
      <w:r>
        <w:t xml:space="preserve"> </w:t>
      </w:r>
      <w:r>
        <w:rPr>
          <w:bCs/>
          <w:b/>
        </w:rPr>
        <w:t xml:space="preserve">BGP picks paths by business policy, not latency</w:t>
      </w:r>
      <w:r>
        <w:t xml:space="preserve">: traffic between two cities may detour through a third. Second,</w:t>
      </w:r>
      <w:r>
        <w:t xml:space="preserve"> </w:t>
      </w:r>
      <w:r>
        <w:rPr>
          <w:bCs/>
          <w:b/>
        </w:rPr>
        <w:t xml:space="preserve">BGP trusts announcements by default</w:t>
      </w:r>
      <w:r>
        <w:t xml:space="preserve">. The Resource Public Key Infrastructure (RPKI) lets prefix owners publish cryptographically signed statements of which ASN may originate their prefixes, and route-origin validation is increasingly deployed, but it is not universal.</w:t>
      </w:r>
    </w:p>
    <w:bookmarkEnd w:id="707"/>
    <w:bookmarkEnd w:id="708"/>
    <w:bookmarkStart w:id="714" w:name="anycast"/>
    <w:p>
      <w:pPr>
        <w:pStyle w:val="Heading3"/>
      </w:pPr>
      <w:r>
        <w:t xml:space="preserve">7.5.3 Anycast</w:t>
      </w:r>
    </w:p>
    <w:p>
      <w:pPr>
        <w:pStyle w:val="CalloutDefinition"/>
      </w:pPr>
      <w:r>
        <w:rPr>
          <w:bCs/>
          <w:b/>
        </w:rPr>
        <w:t xml:space="preserve">DEFINITION</w:t>
      </w:r>
    </w:p>
    <w:p>
      <w:pPr>
        <w:pStyle w:val="CalloutDefinition"/>
      </w:pPr>
      <w:r>
        <w:rPr>
          <w:bCs/>
          <w:b/>
        </w:rPr>
        <w:t xml:space="preserve">Definition — Anycast.</w:t>
      </w:r>
      <w:r>
        <w:t xml:space="preserve"> </w:t>
      </w:r>
      <w:r>
        <w:t xml:space="preserve">An addressing scheme in which the same IP prefix is announced via BGP from many locations at once. Each client’s packets are routed to whichever announcing location is</w:t>
      </w:r>
      <w:r>
        <w:t xml:space="preserve"> </w:t>
      </w:r>
      <w:r>
        <w:t xml:space="preserve">“</w:t>
      </w:r>
      <w:r>
        <w:t xml:space="preserve">closest</w:t>
      </w:r>
      <w:r>
        <w:t xml:space="preserve">”</w:t>
      </w:r>
      <w:r>
        <w:t xml:space="preserve"> </w:t>
      </w:r>
      <w:r>
        <w:t xml:space="preserve">according to BGP path selection.</w:t>
      </w:r>
    </w:p>
    <w:p>
      <w:pPr>
        <w:pStyle w:val="BodyText"/>
      </w:pPr>
      <w:r>
        <w:t xml:space="preserve">Analogy: a national emergency phone number connects you to your nearest dispatch center, not to a single central office. You dial the same number everywhere.</w:t>
      </w:r>
    </w:p>
    <w:p>
      <w:pPr>
        <w:pStyle w:val="BodyText"/>
      </w:pPr>
      <w:r>
        <w:t xml:space="preserve">Anycast is how the DNS root servers, public resolvers such as</w:t>
      </w:r>
      <w:r>
        <w:t xml:space="preserve"> </w:t>
      </w:r>
      <w:r>
        <w:rPr>
          <w:rStyle w:val="VerbatimChar"/>
        </w:rPr>
        <w:t xml:space="preserve">8.8.8.8</w:t>
      </w:r>
      <w:r>
        <w:t xml:space="preserve"> </w:t>
      </w:r>
      <w:r>
        <w:t xml:space="preserve">and</w:t>
      </w:r>
      <w:r>
        <w:t xml:space="preserve"> </w:t>
      </w:r>
      <w:r>
        <w:rPr>
          <w:rStyle w:val="VerbatimChar"/>
        </w:rPr>
        <w:t xml:space="preserve">1.1.1.1</w:t>
      </w:r>
      <w:r>
        <w:t xml:space="preserve">, and most CDNs (§21.3) put one address in front of hundreds of sites. Its strengths are automatic proximity, natural absorption of distributed denial-of-service (DDoS) traffic across many sites (§10.11), and failover by</w:t>
      </w:r>
      <w:r>
        <w:t xml:space="preserve"> </w:t>
      </w:r>
      <w:r>
        <w:rPr>
          <w:bCs/>
          <w:b/>
        </w:rPr>
        <w:t xml:space="preserve">withdrawal</w:t>
      </w:r>
      <w:r>
        <w:t xml:space="preserve">: if a site fails, it stops announcing the prefix, and BGP reroutes clients to the next-nearest site.</w:t>
      </w:r>
    </w:p>
    <w:p>
      <w:pPr>
        <w:pStyle w:val="BodyText"/>
      </w:pPr>
      <w:r>
        <w:t xml:space="preserve">Its weaknesses follow from BGP.</w:t>
      </w:r>
      <w:r>
        <w:t xml:space="preserve"> </w:t>
      </w:r>
      <w:r>
        <w:t xml:space="preserve">“</w:t>
      </w:r>
      <w:r>
        <w:t xml:space="preserve">Closest</w:t>
      </w:r>
      <w:r>
        <w:t xml:space="preserve">”</w:t>
      </w:r>
      <w:r>
        <w:t xml:space="preserve"> </w:t>
      </w:r>
      <w:r>
        <w:t xml:space="preserve">means best by BGP policy, which usually but not always correlates with lowest latency. And because routing can change mid-connection, a long-lived TCP connection can suddenly have its packets delivered to a different site that has no state for it. For this reason anycast was first popular for short UDP exchanges such as DNS; operators that use it for TCP rely on route stability in practice and design for the occasional reset.</w:t>
      </w:r>
    </w:p>
    <w:p>
      <w:pPr>
        <w:pStyle w:val="BodyText"/>
      </w:pPr>
      <w:r>
        <w:rPr>
          <w:bCs/>
          <w:b/>
        </w:rPr>
        <w:t xml:space="preserve">Figure 7.2 — BGP routing between autonomous systems, with an anycast prefix announced from two sites.</w:t>
      </w:r>
    </w:p>
    <w:p>
      <w:pPr>
        <w:pStyle w:val="BodyText"/>
      </w:pPr>
      <w:r>
        <w:drawing>
          <wp:inline>
            <wp:extent cx="5334000" cy="683946"/>
            <wp:effectExtent b="0" l="0" r="0" t="0"/>
            <wp:docPr descr="" title="" id="710" name="Picture"/>
            <a:graphic>
              <a:graphicData uri="http://schemas.openxmlformats.org/drawingml/2006/picture">
                <pic:pic>
                  <pic:nvPicPr>
                    <pic:cNvPr descr="/home/user/System-Design/build/.cache/diagrams/60a65b78dfbb.png" id="711" name="Picture"/>
                    <pic:cNvPicPr>
                      <a:picLocks noChangeArrowheads="1" noChangeAspect="1"/>
                    </pic:cNvPicPr>
                  </pic:nvPicPr>
                  <pic:blipFill>
                    <a:blip r:embed="rId709"/>
                    <a:stretch>
                      <a:fillRect/>
                    </a:stretch>
                  </pic:blipFill>
                  <pic:spPr bwMode="auto">
                    <a:xfrm>
                      <a:off x="0" y="0"/>
                      <a:ext cx="5334000" cy="683946"/>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Two users (stadiums) reach their ISPs, which are separate autonomous systems connected to transit providers by BGP sessions. Two edge sites announce the</w:t>
      </w:r>
      <w:r>
        <w:t xml:space="preserve"> </w:t>
      </w:r>
      <w:r>
        <w:rPr>
          <w:iCs/>
          <w:i/>
        </w:rPr>
        <w:t xml:space="preserve">same</w:t>
      </w:r>
      <w:r>
        <w:t xml:space="preserve"> </w:t>
      </w:r>
      <w:r>
        <w:t xml:space="preserve">prefix,</w:t>
      </w:r>
      <w:r>
        <w:t xml:space="preserve"> </w:t>
      </w:r>
      <w:r>
        <w:rPr>
          <w:rStyle w:val="VerbatimChar"/>
        </w:rPr>
        <w:t xml:space="preserve">198.51.100.0/24</w:t>
      </w:r>
      <w:r>
        <w:t xml:space="preserve">. The Paris user’s ISP hears the shortest policy-preferred path via Frankfurt, and the Tokyo user’s ISP hears a path via Osaka, so the same destination address is served from different continents. Traffic flows synchronously left to right for requests (responses return along a path that may differ, because Internet routing is asymmetric). The origin datacenter is the storage boundary; the edges may cache (§21.4). Failure points: if Frankfurt withdraws its announcement, Paris traffic reconverges toward Osaka (or another site) within seconds to minutes, and in-flight TCP connections break. Scaling: add more announcing sites.</w:t>
      </w:r>
    </w:p>
    <w:bookmarkStart w:id="712" w:name="real-world-industry-applications-15"/>
    <w:p>
      <w:pPr>
        <w:pStyle w:val="Heading4"/>
      </w:pPr>
      <w:r>
        <w:t xml:space="preserve">Real-world industry applications</w:t>
      </w:r>
    </w:p>
    <w:p>
      <w:pPr>
        <w:pStyle w:val="CalloutIndustry"/>
      </w:pPr>
      <w:r>
        <w:rPr>
          <w:bCs/>
          <w:b/>
        </w:rPr>
        <w:t xml:space="preserve">INDUSTRY EXAMPLE</w:t>
      </w:r>
    </w:p>
    <w:p>
      <w:pPr>
        <w:pStyle w:val="CalloutIndustry"/>
      </w:pPr>
      <w:r>
        <w:rPr>
          <w:bCs/>
          <w:b/>
        </w:rPr>
        <w:t xml:space="preserve">Facebook, 4 October 2021.</w:t>
      </w:r>
      <w:r>
        <w:t xml:space="preserve"> </w:t>
      </w:r>
      <w:r>
        <w:t xml:space="preserve">During routine maintenance, a command intended to assess backbone capacity unintentionally disconnected Facebook’s backbone, and a bug in an audit tool failed to stop it. Facebook’s DNS servers are designed to withdraw their BGP anycast announcements when they cannot reach the datacenters, as a health safeguard. With the backbone gone, every DNS site withdrew at once, so</w:t>
      </w:r>
      <w:r>
        <w:t xml:space="preserve"> </w:t>
      </w:r>
      <w:r>
        <w:rPr>
          <w:rStyle w:val="VerbatimChar"/>
        </w:rPr>
        <w:t xml:space="preserve">facebook.com</w:t>
      </w:r>
      <w:r>
        <w:t xml:space="preserve"> </w:t>
      </w:r>
      <w:r>
        <w:t xml:space="preserve">and related names could not be resolved anywhere. The outage lasted roughly six hours, and recovery was slowed because internal tools depended on the same network. Lesson: a health-driven withdrawal that is correct for one site can become a global outage when all sites share a failure; build in</w:t>
      </w:r>
      <w:r>
        <w:t xml:space="preserve"> </w:t>
      </w:r>
      <w:r>
        <w:t xml:space="preserve">“</w:t>
      </w:r>
      <w:r>
        <w:t xml:space="preserve">never withdraw the last route</w:t>
      </w:r>
      <w:r>
        <w:t xml:space="preserve">”</w:t>
      </w:r>
      <w:r>
        <w:t xml:space="preserve"> </w:t>
      </w:r>
      <w:r>
        <w:t xml:space="preserve">guards and out-of-band access.</w:t>
      </w:r>
      <w:r>
        <w:t xml:space="preserve"> </w:t>
      </w:r>
      <w:r>
        <w:rPr>
          <w:iCs/>
          <w:i/>
        </w:rPr>
        <w:t xml:space="preserve">Evidence: Primary</w:t>
      </w:r>
      <w:r>
        <w:t xml:space="preserve"> </w:t>
      </w:r>
      <w:r>
        <w:t xml:space="preserve">— [Janardhan 2021]</w:t>
      </w:r>
    </w:p>
    <w:p>
      <w:pPr>
        <w:pStyle w:val="CalloutIndustry"/>
      </w:pPr>
      <w:r>
        <w:rPr>
          <w:bCs/>
          <w:b/>
        </w:rPr>
        <w:t xml:space="preserve">INDUSTRY EXAMPLE</w:t>
      </w:r>
    </w:p>
    <w:p>
      <w:pPr>
        <w:pStyle w:val="CalloutIndustry"/>
      </w:pPr>
      <w:r>
        <w:rPr>
          <w:bCs/>
          <w:b/>
        </w:rPr>
        <w:t xml:space="preserve">YouTube prefix hijack, February 2008.</w:t>
      </w:r>
      <w:r>
        <w:t xml:space="preserve"> </w:t>
      </w:r>
      <w:r>
        <w:t xml:space="preserve">Pakistan Telecom, intending to block YouTube domestically, announced a more-specific</w:t>
      </w:r>
      <w:r>
        <w:t xml:space="preserve"> </w:t>
      </w:r>
      <w:r>
        <w:rPr>
          <w:rStyle w:val="VerbatimChar"/>
        </w:rPr>
        <w:t xml:space="preserve">/24</w:t>
      </w:r>
      <w:r>
        <w:t xml:space="preserve"> </w:t>
      </w:r>
      <w:r>
        <w:t xml:space="preserve">covering YouTube’s address space. Its upstream provider propagated the announcement globally, and by longest-prefix match much of the Internet sent YouTube traffic to Pakistan for about two hours. The incident is a standard case study for BGP’s trust model and motivates prefix filtering and RPKI.</w:t>
      </w:r>
      <w:r>
        <w:t xml:space="preserve"> </w:t>
      </w:r>
      <w:r>
        <w:rPr>
          <w:iCs/>
          <w:i/>
        </w:rPr>
        <w:t xml:space="preserve">Evidence: Secondary</w:t>
      </w:r>
      <w:r>
        <w:t xml:space="preserve"> </w:t>
      </w:r>
      <w:r>
        <w:t xml:space="preserve">— [RIPE NCC 2008]</w:t>
      </w:r>
    </w:p>
    <w:bookmarkEnd w:id="712"/>
    <w:bookmarkStart w:id="713" w:name="failure-scenarios-15"/>
    <w:p>
      <w:pPr>
        <w:pStyle w:val="Heading4"/>
      </w:pPr>
      <w:r>
        <w:t xml:space="preserve">Failure scenarios</w:t>
      </w:r>
    </w:p>
    <w:p>
      <w:pPr>
        <w:pStyle w:val="FirstParagraph"/>
      </w:pPr>
      <w:r>
        <w:rPr>
          <w:bCs/>
          <w:b/>
        </w:rPr>
        <w:t xml:space="preserve">Table 7.4 — Routing 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Route leak or hijack</w:t>
            </w:r>
          </w:p>
        </w:tc>
        <w:tc>
          <w:tcPr/>
          <w:p>
            <w:pPr>
              <w:pStyle w:val="Compact"/>
              <w:jc w:val="left"/>
            </w:pPr>
            <w:r>
              <w:t xml:space="preserve">A network announces prefixes it does not own, or re-announces routes against policy</w:t>
            </w:r>
          </w:p>
        </w:tc>
        <w:tc>
          <w:tcPr/>
          <w:p>
            <w:pPr>
              <w:pStyle w:val="Compact"/>
              <w:jc w:val="left"/>
            </w:pPr>
            <w:r>
              <w:t xml:space="preserve">External BGP monitors; sudden traffic shifts; latency jumps</w:t>
            </w:r>
          </w:p>
        </w:tc>
        <w:tc>
          <w:tcPr/>
          <w:p>
            <w:pPr>
              <w:pStyle w:val="Compact"/>
              <w:jc w:val="left"/>
            </w:pPr>
            <w:r>
              <w:t xml:space="preserve">Contact upstreams; announce more-specific prefixes</w:t>
            </w:r>
          </w:p>
        </w:tc>
        <w:tc>
          <w:tcPr/>
          <w:p>
            <w:pPr>
              <w:pStyle w:val="Compact"/>
              <w:jc w:val="left"/>
            </w:pPr>
            <w:r>
              <w:t xml:space="preserve">RPKI origin validation, prefix filters, max-prefix limits</w:t>
            </w:r>
          </w:p>
        </w:tc>
      </w:tr>
      <w:tr>
        <w:tc>
          <w:tcPr/>
          <w:p>
            <w:pPr>
              <w:pStyle w:val="Compact"/>
              <w:jc w:val="left"/>
            </w:pPr>
            <w:r>
              <w:t xml:space="preserve">Self-inflicted withdrawal</w:t>
            </w:r>
          </w:p>
        </w:tc>
        <w:tc>
          <w:tcPr/>
          <w:p>
            <w:pPr>
              <w:pStyle w:val="Compact"/>
              <w:jc w:val="left"/>
            </w:pPr>
            <w:r>
              <w:t xml:space="preserve">Health checks or automation withdraw all announcements simultaneously</w:t>
            </w:r>
          </w:p>
        </w:tc>
        <w:tc>
          <w:tcPr/>
          <w:p>
            <w:pPr>
              <w:pStyle w:val="Compact"/>
              <w:jc w:val="left"/>
            </w:pPr>
            <w:r>
              <w:t xml:space="preserve">Global reachability probes fail</w:t>
            </w:r>
          </w:p>
        </w:tc>
        <w:tc>
          <w:tcPr/>
          <w:p>
            <w:pPr>
              <w:pStyle w:val="Compact"/>
              <w:jc w:val="left"/>
            </w:pPr>
            <w:r>
              <w:t xml:space="preserve">Out-of-band access to re-announce</w:t>
            </w:r>
          </w:p>
        </w:tc>
        <w:tc>
          <w:tcPr/>
          <w:p>
            <w:pPr>
              <w:pStyle w:val="Compact"/>
              <w:jc w:val="left"/>
            </w:pPr>
            <w:r>
              <w:t xml:space="preserve">Guard rails preventing withdrawal of the last route; staged changes</w:t>
            </w:r>
          </w:p>
        </w:tc>
      </w:tr>
      <w:tr>
        <w:tc>
          <w:tcPr/>
          <w:p>
            <w:pPr>
              <w:pStyle w:val="Compact"/>
              <w:jc w:val="left"/>
            </w:pPr>
            <w:r>
              <w:t xml:space="preserve">Slow convergence</w:t>
            </w:r>
          </w:p>
        </w:tc>
        <w:tc>
          <w:tcPr/>
          <w:p>
            <w:pPr>
              <w:pStyle w:val="Compact"/>
              <w:jc w:val="left"/>
            </w:pPr>
            <w:r>
              <w:t xml:space="preserve">BGP path exploration after a failure</w:t>
            </w:r>
          </w:p>
        </w:tc>
        <w:tc>
          <w:tcPr/>
          <w:p>
            <w:pPr>
              <w:pStyle w:val="Compact"/>
              <w:jc w:val="left"/>
            </w:pPr>
            <w:r>
              <w:t xml:space="preserve">Elevated loss for seconds to minutes</w:t>
            </w:r>
          </w:p>
        </w:tc>
        <w:tc>
          <w:tcPr/>
          <w:p>
            <w:pPr>
              <w:pStyle w:val="Compact"/>
              <w:jc w:val="left"/>
            </w:pPr>
            <w:r>
              <w:t xml:space="preserve">Wait; fail over at a higher layer (DNS, client retry)</w:t>
            </w:r>
          </w:p>
        </w:tc>
        <w:tc>
          <w:tcPr/>
          <w:p>
            <w:pPr>
              <w:pStyle w:val="Compact"/>
              <w:jc w:val="left"/>
            </w:pPr>
            <w:r>
              <w:t xml:space="preserve">Multiple upstreams; BFD for fast failure detection</w:t>
            </w:r>
          </w:p>
        </w:tc>
      </w:tr>
      <w:tr>
        <w:tc>
          <w:tcPr/>
          <w:p>
            <w:pPr>
              <w:pStyle w:val="Compact"/>
              <w:jc w:val="left"/>
            </w:pPr>
            <w:r>
              <w:t xml:space="preserve">Anycast connection resets</w:t>
            </w:r>
          </w:p>
        </w:tc>
        <w:tc>
          <w:tcPr/>
          <w:p>
            <w:pPr>
              <w:pStyle w:val="Compact"/>
              <w:jc w:val="left"/>
            </w:pPr>
            <w:r>
              <w:t xml:space="preserve">Route change moves an in-flight TCP flow to another site</w:t>
            </w:r>
          </w:p>
        </w:tc>
        <w:tc>
          <w:tcPr/>
          <w:p>
            <w:pPr>
              <w:pStyle w:val="Compact"/>
              <w:jc w:val="left"/>
            </w:pPr>
            <w:r>
              <w:t xml:space="preserve">Spikes in TCP resets during route changes</w:t>
            </w:r>
          </w:p>
        </w:tc>
        <w:tc>
          <w:tcPr/>
          <w:p>
            <w:pPr>
              <w:pStyle w:val="Compact"/>
              <w:jc w:val="left"/>
            </w:pPr>
            <w:r>
              <w:t xml:space="preserve">Client retries</w:t>
            </w:r>
          </w:p>
        </w:tc>
        <w:tc>
          <w:tcPr/>
          <w:p>
            <w:pPr>
              <w:pStyle w:val="Compact"/>
              <w:jc w:val="left"/>
            </w:pPr>
            <w:r>
              <w:t xml:space="preserve">Short-lived connections; stable announcements</w:t>
            </w:r>
          </w:p>
        </w:tc>
      </w:tr>
    </w:tbl>
    <w:bookmarkEnd w:id="713"/>
    <w:bookmarkEnd w:id="714"/>
    <w:bookmarkEnd w:id="715"/>
    <w:bookmarkStart w:id="729" w:name="dns-the-internets-directory"/>
    <w:p>
      <w:pPr>
        <w:pStyle w:val="Heading2"/>
      </w:pPr>
      <w:r>
        <w:t xml:space="preserve">7.6 DNS: the Internet’s directory</w:t>
      </w:r>
    </w:p>
    <w:bookmarkStart w:id="718" w:name="what-dns-is-and-why-it-exists"/>
    <w:p>
      <w:pPr>
        <w:pStyle w:val="Heading3"/>
      </w:pPr>
      <w:r>
        <w:t xml:space="preserve">7.6.1 What DNS is and why it exists</w:t>
      </w:r>
    </w:p>
    <w:p>
      <w:pPr>
        <w:pStyle w:val="CalloutDefinition"/>
      </w:pPr>
      <w:r>
        <w:rPr>
          <w:bCs/>
          <w:b/>
        </w:rPr>
        <w:t xml:space="preserve">DEFINITION</w:t>
      </w:r>
    </w:p>
    <w:p>
      <w:pPr>
        <w:pStyle w:val="CalloutDefinition"/>
      </w:pPr>
      <w:r>
        <w:rPr>
          <w:bCs/>
          <w:b/>
        </w:rPr>
        <w:t xml:space="preserve">Definition — Domain Name System (DNS).</w:t>
      </w:r>
      <w:r>
        <w:t xml:space="preserve"> </w:t>
      </w:r>
      <w:r>
        <w:t xml:space="preserve">A hierarchical, distributed database that maps human-readable</w:t>
      </w:r>
      <w:r>
        <w:t xml:space="preserve"> </w:t>
      </w:r>
      <w:r>
        <w:rPr>
          <w:bCs/>
          <w:b/>
        </w:rPr>
        <w:t xml:space="preserve">domain names</w:t>
      </w:r>
      <w:r>
        <w:t xml:space="preserve"> </w:t>
      </w:r>
      <w:r>
        <w:t xml:space="preserve">(such as</w:t>
      </w:r>
      <w:r>
        <w:t xml:space="preserve"> </w:t>
      </w:r>
      <w:r>
        <w:rPr>
          <w:rStyle w:val="VerbatimChar"/>
        </w:rPr>
        <w:t xml:space="preserve">www.example.com</w:t>
      </w:r>
      <w:r>
        <w:t xml:space="preserve">) to data, most often IP addresses, and the protocol used to query it [RFC 1034; RFC 1035].</w:t>
      </w:r>
    </w:p>
    <w:bookmarkStart w:id="716" w:name="first-principles-explanation-42"/>
    <w:p>
      <w:pPr>
        <w:pStyle w:val="Heading4"/>
      </w:pPr>
      <w:r>
        <w:t xml:space="preserve">First-principles explanation</w:t>
      </w:r>
    </w:p>
    <w:p>
      <w:pPr>
        <w:pStyle w:val="FirstParagraph"/>
      </w:pPr>
      <w:r>
        <w:t xml:space="preserve">People remember names; routers need numbers. In the early ARPANET, every host downloaded a single file,</w:t>
      </w:r>
      <w:r>
        <w:t xml:space="preserve"> </w:t>
      </w:r>
      <w:r>
        <w:rPr>
          <w:rStyle w:val="VerbatimChar"/>
        </w:rPr>
        <w:t xml:space="preserve">HOSTS.TXT</w:t>
      </w:r>
      <w:r>
        <w:t xml:space="preserve">, listing every name and address. As the network grew, that file became too large, changed too often, and depended on one central maintainer. DNS replaced it with a</w:t>
      </w:r>
      <w:r>
        <w:t xml:space="preserve"> </w:t>
      </w:r>
      <w:r>
        <w:rPr>
          <w:bCs/>
          <w:b/>
        </w:rPr>
        <w:t xml:space="preserve">delegated hierarchy</w:t>
      </w:r>
      <w:r>
        <w:t xml:space="preserve">, much like a library catalog split across buildings: the front desk (the</w:t>
      </w:r>
      <w:r>
        <w:t xml:space="preserve"> </w:t>
      </w:r>
      <w:r>
        <w:rPr>
          <w:bCs/>
          <w:b/>
        </w:rPr>
        <w:t xml:space="preserve">root</w:t>
      </w:r>
      <w:r>
        <w:t xml:space="preserve">) does not know where every book is, but it knows which building holds each subject (the</w:t>
      </w:r>
      <w:r>
        <w:t xml:space="preserve"> </w:t>
      </w:r>
      <w:r>
        <w:rPr>
          <w:bCs/>
          <w:b/>
        </w:rPr>
        <w:t xml:space="preserve">top-level domains</w:t>
      </w:r>
      <w:r>
        <w:t xml:space="preserve"> </w:t>
      </w:r>
      <w:r>
        <w:t xml:space="preserve">such as</w:t>
      </w:r>
      <w:r>
        <w:t xml:space="preserve"> </w:t>
      </w:r>
      <w:r>
        <w:rPr>
          <w:rStyle w:val="VerbatimChar"/>
        </w:rPr>
        <w:t xml:space="preserve">.com</w:t>
      </w:r>
      <w:r>
        <w:t xml:space="preserve">), and each building knows which room holds each shelf (the</w:t>
      </w:r>
      <w:r>
        <w:t xml:space="preserve"> </w:t>
      </w:r>
      <w:r>
        <w:rPr>
          <w:bCs/>
          <w:b/>
        </w:rPr>
        <w:t xml:space="preserve">authoritative servers</w:t>
      </w:r>
      <w:r>
        <w:t xml:space="preserve"> </w:t>
      </w:r>
      <w:r>
        <w:t xml:space="preserve">for</w:t>
      </w:r>
      <w:r>
        <w:t xml:space="preserve"> </w:t>
      </w:r>
      <w:r>
        <w:rPr>
          <w:rStyle w:val="VerbatimChar"/>
        </w:rPr>
        <w:t xml:space="preserve">example.com</w:t>
      </w:r>
      <w:r>
        <w:t xml:space="preserve">). Responsibility for each zone is delegated to whoever owns it, so no one party maintains everything.</w:t>
      </w:r>
    </w:p>
    <w:bookmarkEnd w:id="716"/>
    <w:bookmarkStart w:id="717" w:name="the-cast-of-characters"/>
    <w:p>
      <w:pPr>
        <w:pStyle w:val="Heading4"/>
      </w:pPr>
      <w:r>
        <w:t xml:space="preserve">The cast of characters</w:t>
      </w:r>
    </w:p>
    <w:p>
      <w:pPr>
        <w:numPr>
          <w:ilvl w:val="0"/>
          <w:numId w:val="1215"/>
        </w:numPr>
        <w:pStyle w:val="Compact"/>
      </w:pPr>
      <w:r>
        <w:rPr>
          <w:bCs/>
          <w:b/>
        </w:rPr>
        <w:t xml:space="preserve">Stub resolver.</w:t>
      </w:r>
      <w:r>
        <w:t xml:space="preserve"> </w:t>
      </w:r>
      <w:r>
        <w:t xml:space="preserve">A small library in your operating system. It does not do the work itself; it asks a recursive resolver and waits.</w:t>
      </w:r>
    </w:p>
    <w:p>
      <w:pPr>
        <w:numPr>
          <w:ilvl w:val="0"/>
          <w:numId w:val="1215"/>
        </w:numPr>
        <w:pStyle w:val="Compact"/>
      </w:pPr>
      <w:r>
        <w:rPr>
          <w:bCs/>
          <w:b/>
        </w:rPr>
        <w:t xml:space="preserve">Recursive resolver</w:t>
      </w:r>
      <w:r>
        <w:t xml:space="preserve"> </w:t>
      </w:r>
      <w:r>
        <w:t xml:space="preserve">(also called a caching or full-service resolver). Run by your ISP, your company, or a public service such as</w:t>
      </w:r>
      <w:r>
        <w:t xml:space="preserve"> </w:t>
      </w:r>
      <w:r>
        <w:rPr>
          <w:rStyle w:val="VerbatimChar"/>
        </w:rPr>
        <w:t xml:space="preserve">8.8.8.8</w:t>
      </w:r>
      <w:r>
        <w:t xml:space="preserve"> </w:t>
      </w:r>
      <w:r>
        <w:t xml:space="preserve">or</w:t>
      </w:r>
      <w:r>
        <w:t xml:space="preserve"> </w:t>
      </w:r>
      <w:r>
        <w:rPr>
          <w:rStyle w:val="VerbatimChar"/>
        </w:rPr>
        <w:t xml:space="preserve">1.1.1.1</w:t>
      </w:r>
      <w:r>
        <w:t xml:space="preserve">. It chases the answer through the hierarchy on your behalf and caches the results.</w:t>
      </w:r>
    </w:p>
    <w:p>
      <w:pPr>
        <w:numPr>
          <w:ilvl w:val="0"/>
          <w:numId w:val="1215"/>
        </w:numPr>
        <w:pStyle w:val="Compact"/>
      </w:pPr>
      <w:r>
        <w:rPr>
          <w:bCs/>
          <w:b/>
        </w:rPr>
        <w:t xml:space="preserve">Root name servers.</w:t>
      </w:r>
      <w:r>
        <w:t xml:space="preserve"> </w:t>
      </w:r>
      <w:r>
        <w:t xml:space="preserve">Thirteen named server identities (</w:t>
      </w:r>
      <w:r>
        <w:rPr>
          <w:rStyle w:val="VerbatimChar"/>
        </w:rPr>
        <w:t xml:space="preserve">a.root-servers.net</w:t>
      </w:r>
      <w:r>
        <w:t xml:space="preserve"> </w:t>
      </w:r>
      <w:r>
        <w:t xml:space="preserve">through</w:t>
      </w:r>
      <w:r>
        <w:t xml:space="preserve"> </w:t>
      </w:r>
      <w:r>
        <w:rPr>
          <w:rStyle w:val="VerbatimChar"/>
        </w:rPr>
        <w:t xml:space="preserve">m.root-servers.net</w:t>
      </w:r>
      <w:r>
        <w:t xml:space="preserve">), each replicated via anycast (§7.5.3) to many physical instances worldwide. They know where each top-level domain’s servers are.</w:t>
      </w:r>
    </w:p>
    <w:p>
      <w:pPr>
        <w:numPr>
          <w:ilvl w:val="0"/>
          <w:numId w:val="1215"/>
        </w:numPr>
        <w:pStyle w:val="Compact"/>
      </w:pPr>
      <w:r>
        <w:rPr>
          <w:bCs/>
          <w:b/>
        </w:rPr>
        <w:t xml:space="preserve">TLD name servers.</w:t>
      </w:r>
      <w:r>
        <w:t xml:space="preserve"> </w:t>
      </w:r>
      <w:r>
        <w:t xml:space="preserve">Authoritative for a top-level domain such as</w:t>
      </w:r>
      <w:r>
        <w:t xml:space="preserve"> </w:t>
      </w:r>
      <w:r>
        <w:rPr>
          <w:rStyle w:val="VerbatimChar"/>
        </w:rPr>
        <w:t xml:space="preserve">.com</w:t>
      </w:r>
      <w:r>
        <w:t xml:space="preserve"> </w:t>
      </w:r>
      <w:r>
        <w:t xml:space="preserve">or</w:t>
      </w:r>
      <w:r>
        <w:t xml:space="preserve"> </w:t>
      </w:r>
      <w:r>
        <w:rPr>
          <w:rStyle w:val="VerbatimChar"/>
        </w:rPr>
        <w:t xml:space="preserve">.uk</w:t>
      </w:r>
      <w:r>
        <w:t xml:space="preserve">. They know the name servers for each second-level domain.</w:t>
      </w:r>
    </w:p>
    <w:p>
      <w:pPr>
        <w:numPr>
          <w:ilvl w:val="0"/>
          <w:numId w:val="1215"/>
        </w:numPr>
        <w:pStyle w:val="Compact"/>
      </w:pPr>
      <w:r>
        <w:rPr>
          <w:bCs/>
          <w:b/>
        </w:rPr>
        <w:t xml:space="preserve">Authoritative name servers.</w:t>
      </w:r>
      <w:r>
        <w:t xml:space="preserve"> </w:t>
      </w:r>
      <w:r>
        <w:t xml:space="preserve">Hold the actual records for a zone such as</w:t>
      </w:r>
      <w:r>
        <w:t xml:space="preserve"> </w:t>
      </w:r>
      <w:r>
        <w:rPr>
          <w:rStyle w:val="VerbatimChar"/>
        </w:rPr>
        <w:t xml:space="preserve">example.com</w:t>
      </w:r>
      <w:r>
        <w:t xml:space="preserve">. Managed DNS providers and cloud DNS services operate these for most companies.</w:t>
      </w:r>
    </w:p>
    <w:bookmarkEnd w:id="717"/>
    <w:bookmarkEnd w:id="718"/>
    <w:bookmarkStart w:id="723" w:name="recursive-versus-iterative-resolution"/>
    <w:p>
      <w:pPr>
        <w:pStyle w:val="Heading3"/>
      </w:pPr>
      <w:r>
        <w:t xml:space="preserve">7.6.2 Recursive versus iterative resolution</w:t>
      </w:r>
    </w:p>
    <w:p>
      <w:pPr>
        <w:pStyle w:val="FirstParagraph"/>
      </w:pPr>
      <w:r>
        <w:t xml:space="preserve">There are two query styles. In a</w:t>
      </w:r>
      <w:r>
        <w:t xml:space="preserve"> </w:t>
      </w:r>
      <w:r>
        <w:rPr>
          <w:bCs/>
          <w:b/>
        </w:rPr>
        <w:t xml:space="preserve">recursive query</w:t>
      </w:r>
      <w:r>
        <w:t xml:space="preserve">, the client asks</w:t>
      </w:r>
      <w:r>
        <w:t xml:space="preserve"> </w:t>
      </w:r>
      <w:r>
        <w:t xml:space="preserve">“</w:t>
      </w:r>
      <w:r>
        <w:t xml:space="preserve">give me the final answer</w:t>
      </w:r>
      <w:r>
        <w:t xml:space="preserve">”</w:t>
      </w:r>
      <w:r>
        <w:t xml:space="preserve">, and the server must either return it or an error. Your stub resolver sends recursive queries to the recursive resolver. In an</w:t>
      </w:r>
      <w:r>
        <w:t xml:space="preserve"> </w:t>
      </w:r>
      <w:r>
        <w:rPr>
          <w:bCs/>
          <w:b/>
        </w:rPr>
        <w:t xml:space="preserve">iterative query</w:t>
      </w:r>
      <w:r>
        <w:t xml:space="preserve">, the server returns the best information it has, often a</w:t>
      </w:r>
      <w:r>
        <w:t xml:space="preserve"> </w:t>
      </w:r>
      <w:r>
        <w:rPr>
          <w:bCs/>
          <w:b/>
        </w:rPr>
        <w:t xml:space="preserve">referral</w:t>
      </w:r>
      <w:r>
        <w:t xml:space="preserve"> </w:t>
      </w:r>
      <w:r>
        <w:t xml:space="preserve">(</w:t>
      </w:r>
      <w:r>
        <w:t xml:space="preserve">“</w:t>
      </w:r>
      <w:r>
        <w:t xml:space="preserve">I don’t know, but ask these servers</w:t>
      </w:r>
      <w:r>
        <w:t xml:space="preserve">”</w:t>
      </w:r>
      <w:r>
        <w:t xml:space="preserve">), and the asker continues. Recursive resolvers send iterative queries to root, TLD and authoritative servers.</w:t>
      </w:r>
    </w:p>
    <w:p>
      <w:pPr>
        <w:pStyle w:val="BodyText"/>
      </w:pPr>
      <w:r>
        <w:rPr>
          <w:bCs/>
          <w:b/>
        </w:rPr>
        <w:t xml:space="preserve">Figure 7.3 — DNS resolution of www.example.com with an empty cache.</w:t>
      </w:r>
    </w:p>
    <w:p>
      <w:pPr>
        <w:pStyle w:val="BodyText"/>
      </w:pPr>
      <w:r>
        <w:drawing>
          <wp:inline>
            <wp:extent cx="5334000" cy="1941025"/>
            <wp:effectExtent b="0" l="0" r="0" t="0"/>
            <wp:docPr descr="" title="" id="720" name="Picture"/>
            <a:graphic>
              <a:graphicData uri="http://schemas.openxmlformats.org/drawingml/2006/picture">
                <pic:pic>
                  <pic:nvPicPr>
                    <pic:cNvPr descr="/home/user/System-Design/build/.cache/diagrams/fedf4762846e.png" id="721" name="Picture"/>
                    <pic:cNvPicPr>
                      <a:picLocks noChangeArrowheads="1" noChangeAspect="1"/>
                    </pic:cNvPicPr>
                  </pic:nvPicPr>
                  <pic:blipFill>
                    <a:blip r:embed="rId719"/>
                    <a:stretch>
                      <a:fillRect/>
                    </a:stretch>
                  </pic:blipFill>
                  <pic:spPr bwMode="auto">
                    <a:xfrm>
                      <a:off x="0" y="0"/>
                      <a:ext cx="5334000" cy="1941025"/>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Six participants appear from left to right: the application, the operating system’s stub resolver, the recursive resolver, and three levels of authoritative servers. Steps 1–2 are the recursive part: the stub asks once and waits. Steps 3–8 are iterative: the resolver walks down the hierarchy, receiving referrals (dashed return arrows) from the root and the TLD, each containing the name-server (NS) records for the next level and</w:t>
      </w:r>
      <w:r>
        <w:t xml:space="preserve"> </w:t>
      </w:r>
      <w:r>
        <w:rPr>
          <w:bCs/>
          <w:b/>
        </w:rPr>
        <w:t xml:space="preserve">glue</w:t>
      </w:r>
      <w:r>
        <w:t xml:space="preserve"> </w:t>
      </w:r>
      <w:r>
        <w:t xml:space="preserve">records giving those servers’ IP addresses. Step 8 is the final answer, here an A record with a 300-second TTL. All exchanges are synchronous request/response, normally over UDP port 53. The resolver’s cache is the storage boundary: once populated, steps 3–8 are skipped for every client of that resolver until the TTL expires, and the root and TLD referrals are cached for much longer (typically days). Failure points: any server not responding forces a timeout and retry against another listed server (each zone must have at least two). Scaling comes from caching and from anycast replication of the root and TLD servers. (The address 192.0.2.10 is a documentation address used for illustration.)</w:t>
      </w:r>
    </w:p>
    <w:bookmarkStart w:id="722" w:name="X11e6e885578c949387788844286658c968d4300"/>
    <w:p>
      <w:pPr>
        <w:pStyle w:val="Heading4"/>
      </w:pPr>
      <w:r>
        <w:t xml:space="preserve">Mathematical foundations: what a cold lookup costs</w:t>
      </w:r>
    </w:p>
    <w:p>
      <w:pPr>
        <w:pStyle w:val="CalloutExample"/>
      </w:pPr>
      <w:r>
        <w:rPr>
          <w:bCs/>
          <w:b/>
        </w:rPr>
        <w:t xml:space="preserve">WORKED EXAMPLE</w:t>
      </w:r>
    </w:p>
    <w:p>
      <w:pPr>
        <w:pStyle w:val="CalloutExample"/>
      </w:pPr>
      <w:r>
        <w:rPr>
          <w:bCs/>
          <w:b/>
        </w:rPr>
        <w:t xml:space="preserve">Worked example — Cold versus warm DNS lookup.</w:t>
      </w:r>
    </w:p>
    <w:p>
      <w:pPr>
        <w:pStyle w:val="CalloutExample"/>
      </w:pPr>
      <w:r>
        <w:t xml:space="preserve">Assume the client is 5 ms from its recursive resolver, and the resolver is 20 ms from the root instance, 30 ms from the TLD server and 40 ms from the authoritative server (all round-trip times).</w:t>
      </w:r>
    </w:p>
    <w:p>
      <w:pPr>
        <w:numPr>
          <w:ilvl w:val="0"/>
          <w:numId w:val="1216"/>
        </w:numPr>
        <w:pStyle w:val="Compact"/>
      </w:pPr>
      <w:r>
        <w:t xml:space="preserve">Cold cache:</w:t>
      </w:r>
      <w:r>
        <w:t xml:space="preserve"> </w:t>
      </w:r>
      <m:oMath>
        <m:r>
          <m:t>5</m:t>
        </m:r>
        <m:r>
          <m:rPr>
            <m:sty m:val="p"/>
          </m:rPr>
          <m:t>+</m:t>
        </m:r>
        <m:r>
          <m:t>20</m:t>
        </m:r>
        <m:r>
          <m:rPr>
            <m:sty m:val="p"/>
          </m:rPr>
          <m:t>+</m:t>
        </m:r>
        <m:r>
          <m:t>30</m:t>
        </m:r>
        <m:r>
          <m:rPr>
            <m:sty m:val="p"/>
          </m:rPr>
          <m:t>+</m:t>
        </m:r>
        <m:r>
          <m:t>40</m:t>
        </m:r>
        <m:r>
          <m:rPr>
            <m:sty m:val="p"/>
          </m:rPr>
          <m:t>=</m:t>
        </m:r>
        <m:r>
          <m:t>95</m:t>
        </m:r>
      </m:oMath>
      <w:r>
        <w:t xml:space="preserve"> </w:t>
      </w:r>
      <w:r>
        <w:t xml:space="preserve">ms before the browser can even open a connection.</w:t>
      </w:r>
    </w:p>
    <w:p>
      <w:pPr>
        <w:numPr>
          <w:ilvl w:val="0"/>
          <w:numId w:val="1216"/>
        </w:numPr>
        <w:pStyle w:val="Compact"/>
      </w:pPr>
      <w:r>
        <w:t xml:space="preserve">Root and TLD referrals cached (typical, since they have long TTLs) but the name itself expired:</w:t>
      </w:r>
      <w:r>
        <w:t xml:space="preserve"> </w:t>
      </w:r>
      <m:oMath>
        <m:r>
          <m:t>5</m:t>
        </m:r>
        <m:r>
          <m:rPr>
            <m:sty m:val="p"/>
          </m:rPr>
          <m:t>+</m:t>
        </m:r>
        <m:r>
          <m:t>40</m:t>
        </m:r>
        <m:r>
          <m:rPr>
            <m:sty m:val="p"/>
          </m:rPr>
          <m:t>=</m:t>
        </m:r>
        <m:r>
          <m:t>45</m:t>
        </m:r>
      </m:oMath>
      <w:r>
        <w:t xml:space="preserve"> </w:t>
      </w:r>
      <w:r>
        <w:t xml:space="preserve">ms.</w:t>
      </w:r>
    </w:p>
    <w:p>
      <w:pPr>
        <w:numPr>
          <w:ilvl w:val="0"/>
          <w:numId w:val="1216"/>
        </w:numPr>
        <w:pStyle w:val="Compact"/>
      </w:pPr>
      <w:r>
        <w:t xml:space="preserve">Fully warm at the resolver: 5 ms.</w:t>
      </w:r>
    </w:p>
    <w:p>
      <w:pPr>
        <w:numPr>
          <w:ilvl w:val="0"/>
          <w:numId w:val="1216"/>
        </w:numPr>
        <w:pStyle w:val="Compact"/>
      </w:pPr>
      <w:r>
        <w:t xml:space="preserve">Cached in the operating system or browser: effectively 0 ms.</w:t>
      </w:r>
    </w:p>
    <w:p>
      <w:pPr>
        <w:pStyle w:val="CalloutExample"/>
      </w:pPr>
      <w:r>
        <w:t xml:space="preserve">Interpretation: almost all real lookups hit case 3 or 4, which is why DNS feels free. The cold path matters for rarely visited domains, for very low TTLs, and for every new third-party domain a page references. Engineering implication: minimize the number of distinct hostnames on a critical path, and use</w:t>
      </w:r>
      <w:r>
        <w:t xml:space="preserve"> </w:t>
      </w:r>
      <w:r>
        <w:rPr>
          <w:rStyle w:val="VerbatimChar"/>
        </w:rPr>
        <w:t xml:space="preserve">&lt;link rel="dns-prefetch"&gt;</w:t>
      </w:r>
      <w:r>
        <w:t xml:space="preserve"> </w:t>
      </w:r>
      <w:r>
        <w:t xml:space="preserve">or</w:t>
      </w:r>
      <w:r>
        <w:t xml:space="preserve"> </w:t>
      </w:r>
      <w:r>
        <w:rPr>
          <w:rStyle w:val="VerbatimChar"/>
        </w:rPr>
        <w:t xml:space="preserve">preconnect</w:t>
      </w:r>
      <w:r>
        <w:t xml:space="preserve"> </w:t>
      </w:r>
      <w:r>
        <w:t xml:space="preserve">hints for domains you know you will need.</w:t>
      </w:r>
    </w:p>
    <w:bookmarkEnd w:id="722"/>
    <w:bookmarkEnd w:id="723"/>
    <w:bookmarkStart w:id="724" w:name="record-types"/>
    <w:p>
      <w:pPr>
        <w:pStyle w:val="Heading3"/>
      </w:pPr>
      <w:r>
        <w:t xml:space="preserve">7.6.3 Record types</w:t>
      </w:r>
    </w:p>
    <w:p>
      <w:pPr>
        <w:pStyle w:val="FirstParagraph"/>
      </w:pPr>
      <w:r>
        <w:rPr>
          <w:bCs/>
          <w:b/>
        </w:rPr>
        <w:t xml:space="preserve">Table 7.5 — Common DNS record types.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Type</w:t>
            </w:r>
          </w:p>
        </w:tc>
        <w:tc>
          <w:tcPr/>
          <w:p>
            <w:pPr>
              <w:pStyle w:val="Compact"/>
              <w:jc w:val="left"/>
            </w:pPr>
            <w:r>
              <w:t xml:space="preserve">Maps a name to</w:t>
            </w:r>
          </w:p>
        </w:tc>
        <w:tc>
          <w:tcPr/>
          <w:p>
            <w:pPr>
              <w:pStyle w:val="Compact"/>
              <w:jc w:val="left"/>
            </w:pPr>
            <w:r>
              <w:t xml:space="preserve">Example</w:t>
            </w:r>
          </w:p>
        </w:tc>
        <w:tc>
          <w:tcPr/>
          <w:p>
            <w:pPr>
              <w:pStyle w:val="Compact"/>
              <w:jc w:val="left"/>
            </w:pPr>
            <w:r>
              <w:t xml:space="preserve">Typical use</w:t>
            </w:r>
          </w:p>
        </w:tc>
      </w:tr>
      <w:tr>
        <w:tc>
          <w:tcPr/>
          <w:p>
            <w:pPr>
              <w:pStyle w:val="Compact"/>
              <w:jc w:val="left"/>
            </w:pPr>
            <w:r>
              <w:t xml:space="preserve">A</w:t>
            </w:r>
          </w:p>
        </w:tc>
        <w:tc>
          <w:tcPr/>
          <w:p>
            <w:pPr>
              <w:pStyle w:val="Compact"/>
              <w:jc w:val="left"/>
            </w:pPr>
            <w:r>
              <w:t xml:space="preserve">An IPv4 address</w:t>
            </w:r>
          </w:p>
        </w:tc>
        <w:tc>
          <w:tcPr/>
          <w:p>
            <w:pPr>
              <w:pStyle w:val="Compact"/>
              <w:jc w:val="left"/>
            </w:pPr>
            <w:r>
              <w:rPr>
                <w:rStyle w:val="VerbatimChar"/>
              </w:rPr>
              <w:t xml:space="preserve">www.example.com. 300 IN A 192.0.2.10</w:t>
            </w:r>
          </w:p>
        </w:tc>
        <w:tc>
          <w:tcPr/>
          <w:p>
            <w:pPr>
              <w:pStyle w:val="Compact"/>
              <w:jc w:val="left"/>
            </w:pPr>
            <w:r>
              <w:t xml:space="preserve">Host address</w:t>
            </w:r>
          </w:p>
        </w:tc>
      </w:tr>
      <w:tr>
        <w:tc>
          <w:tcPr/>
          <w:p>
            <w:pPr>
              <w:pStyle w:val="Compact"/>
              <w:jc w:val="left"/>
            </w:pPr>
            <w:r>
              <w:t xml:space="preserve">AAAA</w:t>
            </w:r>
          </w:p>
        </w:tc>
        <w:tc>
          <w:tcPr/>
          <w:p>
            <w:pPr>
              <w:pStyle w:val="Compact"/>
              <w:jc w:val="left"/>
            </w:pPr>
            <w:r>
              <w:t xml:space="preserve">An IPv6 address</w:t>
            </w:r>
          </w:p>
        </w:tc>
        <w:tc>
          <w:tcPr/>
          <w:p>
            <w:pPr>
              <w:pStyle w:val="Compact"/>
              <w:jc w:val="left"/>
            </w:pPr>
            <w:r>
              <w:rPr>
                <w:rStyle w:val="VerbatimChar"/>
              </w:rPr>
              <w:t xml:space="preserve">www.example.com. 300 IN AAAA 2001:db8::10</w:t>
            </w:r>
          </w:p>
        </w:tc>
        <w:tc>
          <w:tcPr/>
          <w:p>
            <w:pPr>
              <w:pStyle w:val="Compact"/>
              <w:jc w:val="left"/>
            </w:pPr>
            <w:r>
              <w:t xml:space="preserve">Host address over IPv6</w:t>
            </w:r>
          </w:p>
        </w:tc>
      </w:tr>
      <w:tr>
        <w:tc>
          <w:tcPr/>
          <w:p>
            <w:pPr>
              <w:pStyle w:val="Compact"/>
              <w:jc w:val="left"/>
            </w:pPr>
            <w:r>
              <w:t xml:space="preserve">CNAME</w:t>
            </w:r>
          </w:p>
        </w:tc>
        <w:tc>
          <w:tcPr/>
          <w:p>
            <w:pPr>
              <w:pStyle w:val="Compact"/>
              <w:jc w:val="left"/>
            </w:pPr>
            <w:r>
              <w:t xml:space="preserve">Another name (an alias)</w:t>
            </w:r>
          </w:p>
        </w:tc>
        <w:tc>
          <w:tcPr/>
          <w:p>
            <w:pPr>
              <w:pStyle w:val="Compact"/>
              <w:jc w:val="left"/>
            </w:pPr>
            <w:r>
              <w:rPr>
                <w:rStyle w:val="VerbatimChar"/>
              </w:rPr>
              <w:t xml:space="preserve">shop.example.com. 3600 IN CNAME shops.saas-provider.example.</w:t>
            </w:r>
          </w:p>
        </w:tc>
        <w:tc>
          <w:tcPr/>
          <w:p>
            <w:pPr>
              <w:pStyle w:val="Compact"/>
              <w:jc w:val="left"/>
            </w:pPr>
            <w:r>
              <w:t xml:space="preserve">Point your name at a provider’s hostname</w:t>
            </w:r>
          </w:p>
        </w:tc>
      </w:tr>
      <w:tr>
        <w:tc>
          <w:tcPr/>
          <w:p>
            <w:pPr>
              <w:pStyle w:val="Compact"/>
              <w:jc w:val="left"/>
            </w:pPr>
            <w:r>
              <w:t xml:space="preserve">MX</w:t>
            </w:r>
          </w:p>
        </w:tc>
        <w:tc>
          <w:tcPr/>
          <w:p>
            <w:pPr>
              <w:pStyle w:val="Compact"/>
              <w:jc w:val="left"/>
            </w:pPr>
            <w:r>
              <w:t xml:space="preserve">A mail server name, with priority</w:t>
            </w:r>
          </w:p>
        </w:tc>
        <w:tc>
          <w:tcPr/>
          <w:p>
            <w:pPr>
              <w:pStyle w:val="Compact"/>
              <w:jc w:val="left"/>
            </w:pPr>
            <w:r>
              <w:rPr>
                <w:rStyle w:val="VerbatimChar"/>
              </w:rPr>
              <w:t xml:space="preserve">example.com. 3600 IN MX 10 mail1.example.com.</w:t>
            </w:r>
          </w:p>
        </w:tc>
        <w:tc>
          <w:tcPr/>
          <w:p>
            <w:pPr>
              <w:pStyle w:val="Compact"/>
              <w:jc w:val="left"/>
            </w:pPr>
            <w:r>
              <w:t xml:space="preserve">Email delivery (lower number = preferred)</w:t>
            </w:r>
          </w:p>
        </w:tc>
      </w:tr>
      <w:tr>
        <w:tc>
          <w:tcPr/>
          <w:p>
            <w:pPr>
              <w:pStyle w:val="Compact"/>
              <w:jc w:val="left"/>
            </w:pPr>
            <w:r>
              <w:t xml:space="preserve">NS</w:t>
            </w:r>
          </w:p>
        </w:tc>
        <w:tc>
          <w:tcPr/>
          <w:p>
            <w:pPr>
              <w:pStyle w:val="Compact"/>
              <w:jc w:val="left"/>
            </w:pPr>
            <w:r>
              <w:t xml:space="preserve">The authoritative name servers of a zone</w:t>
            </w:r>
          </w:p>
        </w:tc>
        <w:tc>
          <w:tcPr/>
          <w:p>
            <w:pPr>
              <w:pStyle w:val="Compact"/>
              <w:jc w:val="left"/>
            </w:pPr>
            <w:r>
              <w:rPr>
                <w:rStyle w:val="VerbatimChar"/>
              </w:rPr>
              <w:t xml:space="preserve">example.com. 86400 IN NS ns1.dnsprovider.example.</w:t>
            </w:r>
          </w:p>
        </w:tc>
        <w:tc>
          <w:tcPr/>
          <w:p>
            <w:pPr>
              <w:pStyle w:val="Compact"/>
              <w:jc w:val="left"/>
            </w:pPr>
            <w:r>
              <w:t xml:space="preserve">Delegation</w:t>
            </w:r>
          </w:p>
        </w:tc>
      </w:tr>
      <w:tr>
        <w:tc>
          <w:tcPr/>
          <w:p>
            <w:pPr>
              <w:pStyle w:val="Compact"/>
              <w:jc w:val="left"/>
            </w:pPr>
            <w:r>
              <w:t xml:space="preserve">TXT</w:t>
            </w:r>
          </w:p>
        </w:tc>
        <w:tc>
          <w:tcPr/>
          <w:p>
            <w:pPr>
              <w:pStyle w:val="Compact"/>
              <w:jc w:val="left"/>
            </w:pPr>
            <w:r>
              <w:t xml:space="preserve">Arbitrary text</w:t>
            </w:r>
          </w:p>
        </w:tc>
        <w:tc>
          <w:tcPr/>
          <w:p>
            <w:pPr>
              <w:pStyle w:val="Compact"/>
              <w:jc w:val="left"/>
            </w:pPr>
            <w:r>
              <w:rPr>
                <w:rStyle w:val="VerbatimChar"/>
              </w:rPr>
              <w:t xml:space="preserve">example.com. 300 IN TXT "v=spf1 include:_spf.mailer.example -all"</w:t>
            </w:r>
          </w:p>
        </w:tc>
        <w:tc>
          <w:tcPr/>
          <w:p>
            <w:pPr>
              <w:pStyle w:val="Compact"/>
              <w:jc w:val="left"/>
            </w:pPr>
            <w:r>
              <w:t xml:space="preserve">Domain ownership proofs, SPF, DKIM, DMARC</w:t>
            </w:r>
          </w:p>
        </w:tc>
      </w:tr>
      <w:tr>
        <w:tc>
          <w:tcPr/>
          <w:p>
            <w:pPr>
              <w:pStyle w:val="Compact"/>
              <w:jc w:val="left"/>
            </w:pPr>
            <w:r>
              <w:t xml:space="preserve">SRV</w:t>
            </w:r>
          </w:p>
        </w:tc>
        <w:tc>
          <w:tcPr/>
          <w:p>
            <w:pPr>
              <w:pStyle w:val="Compact"/>
              <w:jc w:val="left"/>
            </w:pPr>
            <w:r>
              <w:t xml:space="preserve">Host and port for a service, with priority and weight</w:t>
            </w:r>
          </w:p>
        </w:tc>
        <w:tc>
          <w:tcPr/>
          <w:p>
            <w:pPr>
              <w:pStyle w:val="Compact"/>
              <w:jc w:val="left"/>
            </w:pPr>
            <w:r>
              <w:rPr>
                <w:rStyle w:val="VerbatimChar"/>
              </w:rPr>
              <w:t xml:space="preserve">_sip._tcp.example.com. 300 IN SRV 10 60 5060 sip1.example.com.</w:t>
            </w:r>
          </w:p>
        </w:tc>
        <w:tc>
          <w:tcPr/>
          <w:p>
            <w:pPr>
              <w:pStyle w:val="Compact"/>
              <w:jc w:val="left"/>
            </w:pPr>
            <w:r>
              <w:t xml:space="preserve">Service discovery (RFC 2782); used by SIP, XMPP, some service meshes</w:t>
            </w:r>
          </w:p>
        </w:tc>
      </w:tr>
      <w:tr>
        <w:tc>
          <w:tcPr/>
          <w:p>
            <w:pPr>
              <w:pStyle w:val="Compact"/>
              <w:jc w:val="left"/>
            </w:pPr>
            <w:r>
              <w:t xml:space="preserve">SOA</w:t>
            </w:r>
          </w:p>
        </w:tc>
        <w:tc>
          <w:tcPr/>
          <w:p>
            <w:pPr>
              <w:pStyle w:val="Compact"/>
              <w:jc w:val="left"/>
            </w:pPr>
            <w:r>
              <w:t xml:space="preserve">Zone metadata: primary server, serial, timers, negative-caching TTL</w:t>
            </w:r>
          </w:p>
        </w:tc>
        <w:tc>
          <w:tcPr/>
          <w:p>
            <w:pPr>
              <w:pStyle w:val="Compact"/>
              <w:jc w:val="left"/>
            </w:pPr>
            <w:r>
              <w:t xml:space="preserve">—</w:t>
            </w:r>
          </w:p>
        </w:tc>
        <w:tc>
          <w:tcPr/>
          <w:p>
            <w:pPr>
              <w:pStyle w:val="Compact"/>
              <w:jc w:val="left"/>
            </w:pPr>
            <w:r>
              <w:t xml:space="preserve">Zone administration</w:t>
            </w:r>
          </w:p>
        </w:tc>
      </w:tr>
      <w:tr>
        <w:tc>
          <w:tcPr/>
          <w:p>
            <w:pPr>
              <w:pStyle w:val="Compact"/>
              <w:jc w:val="left"/>
            </w:pPr>
            <w:r>
              <w:t xml:space="preserve">PTR</w:t>
            </w:r>
          </w:p>
        </w:tc>
        <w:tc>
          <w:tcPr/>
          <w:p>
            <w:pPr>
              <w:pStyle w:val="Compact"/>
              <w:jc w:val="left"/>
            </w:pPr>
            <w:r>
              <w:t xml:space="preserve">A name, for reverse lookup of an address</w:t>
            </w:r>
          </w:p>
        </w:tc>
        <w:tc>
          <w:tcPr/>
          <w:p>
            <w:pPr>
              <w:pStyle w:val="Compact"/>
              <w:jc w:val="left"/>
            </w:pPr>
            <w:r>
              <w:rPr>
                <w:rStyle w:val="VerbatimChar"/>
              </w:rPr>
              <w:t xml:space="preserve">10.2.0.192.in-addr.arpa. PTR www.example.com.</w:t>
            </w:r>
          </w:p>
        </w:tc>
        <w:tc>
          <w:tcPr/>
          <w:p>
            <w:pPr>
              <w:pStyle w:val="Compact"/>
              <w:jc w:val="left"/>
            </w:pPr>
            <w:r>
              <w:t xml:space="preserve">Logs, mail server checks</w:t>
            </w:r>
          </w:p>
        </w:tc>
      </w:tr>
      <w:tr>
        <w:tc>
          <w:tcPr/>
          <w:p>
            <w:pPr>
              <w:pStyle w:val="Compact"/>
              <w:jc w:val="left"/>
            </w:pPr>
            <w:r>
              <w:t xml:space="preserve">CAA</w:t>
            </w:r>
          </w:p>
        </w:tc>
        <w:tc>
          <w:tcPr/>
          <w:p>
            <w:pPr>
              <w:pStyle w:val="Compact"/>
              <w:jc w:val="left"/>
            </w:pPr>
            <w:r>
              <w:t xml:space="preserve">Which certificate authorities may issue for the domain</w:t>
            </w:r>
          </w:p>
        </w:tc>
        <w:tc>
          <w:tcPr/>
          <w:p>
            <w:pPr>
              <w:pStyle w:val="Compact"/>
              <w:jc w:val="left"/>
            </w:pPr>
            <w:r>
              <w:rPr>
                <w:rStyle w:val="VerbatimChar"/>
              </w:rPr>
              <w:t xml:space="preserve">example.com. CAA 0 issue "letsencrypt.org"</w:t>
            </w:r>
          </w:p>
        </w:tc>
        <w:tc>
          <w:tcPr/>
          <w:p>
            <w:pPr>
              <w:pStyle w:val="Compact"/>
              <w:jc w:val="left"/>
            </w:pPr>
            <w:r>
              <w:t xml:space="preserve">Restricting certificate issuance (§7.10)</w:t>
            </w:r>
          </w:p>
        </w:tc>
      </w:tr>
      <w:tr>
        <w:tc>
          <w:tcPr/>
          <w:p>
            <w:pPr>
              <w:pStyle w:val="Compact"/>
              <w:jc w:val="left"/>
            </w:pPr>
            <w:r>
              <w:t xml:space="preserve">HTTPS / SVCB</w:t>
            </w:r>
          </w:p>
        </w:tc>
        <w:tc>
          <w:tcPr/>
          <w:p>
            <w:pPr>
              <w:pStyle w:val="Compact"/>
              <w:jc w:val="left"/>
            </w:pPr>
            <w:r>
              <w:t xml:space="preserve">Connection parameters: ALPN protocols, ports, address hints</w:t>
            </w:r>
          </w:p>
        </w:tc>
        <w:tc>
          <w:tcPr/>
          <w:p>
            <w:pPr>
              <w:pStyle w:val="Compact"/>
              <w:jc w:val="left"/>
            </w:pPr>
            <w:r>
              <w:rPr>
                <w:rStyle w:val="VerbatimChar"/>
              </w:rPr>
              <w:t xml:space="preserve">example.com. HTTPS 1 . alpn="h3,h2"</w:t>
            </w:r>
          </w:p>
        </w:tc>
        <w:tc>
          <w:tcPr/>
          <w:p>
            <w:pPr>
              <w:pStyle w:val="Compact"/>
              <w:jc w:val="left"/>
            </w:pPr>
            <w:r>
              <w:t xml:space="preserve">Advertising HTTP/3 before the first connection (RFC 9460)</w:t>
            </w:r>
          </w:p>
        </w:tc>
      </w:tr>
    </w:tbl>
    <w:p>
      <w:pPr>
        <w:pStyle w:val="BodyText"/>
      </w:pPr>
      <w:r>
        <w:t xml:space="preserve">Three rules trip people up. First, a</w:t>
      </w:r>
      <w:r>
        <w:t xml:space="preserve"> </w:t>
      </w:r>
      <w:r>
        <w:rPr>
          <w:bCs/>
          <w:b/>
        </w:rPr>
        <w:t xml:space="preserve">CNAME cannot coexist with other records at the same name</w:t>
      </w:r>
      <w:r>
        <w:t xml:space="preserve">, so you cannot put a CNAME at the zone apex (</w:t>
      </w:r>
      <w:r>
        <w:rPr>
          <w:rStyle w:val="VerbatimChar"/>
        </w:rPr>
        <w:t xml:space="preserve">example.com</w:t>
      </w:r>
      <w:r>
        <w:t xml:space="preserve"> </w:t>
      </w:r>
      <w:r>
        <w:t xml:space="preserve">itself, which must hold SOA and NS records). DNS providers offer non-standard</w:t>
      </w:r>
      <w:r>
        <w:t xml:space="preserve"> </w:t>
      </w:r>
      <w:r>
        <w:t xml:space="preserve">“</w:t>
      </w:r>
      <w:r>
        <w:t xml:space="preserve">ALIAS</w:t>
      </w:r>
      <w:r>
        <w:t xml:space="preserve">”</w:t>
      </w:r>
      <w:r>
        <w:t xml:space="preserve"> </w:t>
      </w:r>
      <w:r>
        <w:t xml:space="preserve">or</w:t>
      </w:r>
      <w:r>
        <w:t xml:space="preserve"> </w:t>
      </w:r>
      <w:r>
        <w:t xml:space="preserve">“</w:t>
      </w:r>
      <w:r>
        <w:t xml:space="preserve">CNAME flattening</w:t>
      </w:r>
      <w:r>
        <w:t xml:space="preserve">”</w:t>
      </w:r>
      <w:r>
        <w:t xml:space="preserve"> </w:t>
      </w:r>
      <w:r>
        <w:t xml:space="preserve">features to work around this. Second, every record in a response carries its own TTL. Third, MX and SRV records point to</w:t>
      </w:r>
      <w:r>
        <w:t xml:space="preserve"> </w:t>
      </w:r>
      <w:r>
        <w:rPr>
          <w:iCs/>
          <w:i/>
        </w:rPr>
        <w:t xml:space="preserve">names</w:t>
      </w:r>
      <w:r>
        <w:t xml:space="preserve">, never directly to addresses.</w:t>
      </w:r>
    </w:p>
    <w:bookmarkEnd w:id="724"/>
    <w:bookmarkStart w:id="725" w:name="ttl-and-caching"/>
    <w:p>
      <w:pPr>
        <w:pStyle w:val="Heading3"/>
      </w:pPr>
      <w:r>
        <w:t xml:space="preserve">7.6.4 TTL and caching</w:t>
      </w:r>
    </w:p>
    <w:p>
      <w:pPr>
        <w:pStyle w:val="CalloutDefinition"/>
      </w:pPr>
      <w:r>
        <w:rPr>
          <w:bCs/>
          <w:b/>
        </w:rPr>
        <w:t xml:space="preserve">DEFINITION</w:t>
      </w:r>
    </w:p>
    <w:p>
      <w:pPr>
        <w:pStyle w:val="CalloutDefinition"/>
      </w:pPr>
      <w:r>
        <w:rPr>
          <w:bCs/>
          <w:b/>
        </w:rPr>
        <w:t xml:space="preserve">Definition — DNS time to live (TTL).</w:t>
      </w:r>
      <w:r>
        <w:t xml:space="preserve"> </w:t>
      </w:r>
      <w:r>
        <w:t xml:space="preserve">A per-record value, in seconds, that tells any cache how long it may reuse the record before asking again.</w:t>
      </w:r>
      <w:r>
        <w:t xml:space="preserve"> </w:t>
      </w:r>
      <w:r>
        <w:rPr>
          <w:bCs/>
          <w:b/>
        </w:rPr>
        <w:t xml:space="preserve">Negative caching</w:t>
      </w:r>
      <w:r>
        <w:t xml:space="preserve"> </w:t>
      </w:r>
      <w:r>
        <w:t xml:space="preserve">stores</w:t>
      </w:r>
      <w:r>
        <w:t xml:space="preserve"> </w:t>
      </w:r>
      <w:r>
        <w:t xml:space="preserve">“</w:t>
      </w:r>
      <w:r>
        <w:t xml:space="preserve">this name does not exist</w:t>
      </w:r>
      <w:r>
        <w:t xml:space="preserve">”</w:t>
      </w:r>
      <w:r>
        <w:t xml:space="preserve"> </w:t>
      </w:r>
      <w:r>
        <w:t xml:space="preserve">(NXDOMAIN) answers for a duration derived from the zone’s SOA record [RFC 2308].</w:t>
      </w:r>
    </w:p>
    <w:p>
      <w:pPr>
        <w:pStyle w:val="BodyText"/>
      </w:pPr>
      <w:r>
        <w:t xml:space="preserve">Caches exist at several levels: the browser, the operating system, the recursive resolver, and sometimes in application runtimes. (Some runtimes have historically cached DNS answers far longer than the TTL, or forever, by default; the Java Virtual Machine’s behavior depends on configuration and security manager settings, so check your runtime.)</w:t>
      </w:r>
    </w:p>
    <w:p>
      <w:pPr>
        <w:pStyle w:val="BodyText"/>
      </w:pPr>
      <w:r>
        <w:t xml:space="preserve">TTL is a trade-off between</w:t>
      </w:r>
      <w:r>
        <w:t xml:space="preserve"> </w:t>
      </w:r>
      <w:r>
        <w:rPr>
          <w:bCs/>
          <w:b/>
        </w:rPr>
        <w:t xml:space="preserve">agility</w:t>
      </w:r>
      <w:r>
        <w:t xml:space="preserve"> </w:t>
      </w:r>
      <w:r>
        <w:t xml:space="preserve">(how quickly a change takes effect) and</w:t>
      </w:r>
      <w:r>
        <w:t xml:space="preserve"> </w:t>
      </w:r>
      <w:r>
        <w:rPr>
          <w:bCs/>
          <w:b/>
        </w:rPr>
        <w:t xml:space="preserve">load and latency</w:t>
      </w:r>
      <w:r>
        <w:t xml:space="preserve"> </w:t>
      </w:r>
      <w:r>
        <w:t xml:space="preserve">(how often resolvers must re-query). Short TTLs (30–60 s) let you fail over quickly but raise query volume and the fraction of slow cold lookups. Long TTLs (hours to a day) are efficient but make changes slow.</w:t>
      </w:r>
    </w:p>
    <w:p>
      <w:pPr>
        <w:pStyle w:val="CalloutExample"/>
      </w:pPr>
      <w:r>
        <w:rPr>
          <w:bCs/>
          <w:b/>
        </w:rPr>
        <w:t xml:space="preserve">WORKED EXAMPLE</w:t>
      </w:r>
    </w:p>
    <w:p>
      <w:pPr>
        <w:pStyle w:val="CalloutExample"/>
      </w:pPr>
      <w:r>
        <w:rPr>
          <w:bCs/>
          <w:b/>
        </w:rPr>
        <w:t xml:space="preserve">Worked example — How long does a DNS failover really take?</w:t>
      </w:r>
    </w:p>
    <w:p>
      <w:pPr>
        <w:pStyle w:val="CalloutExample"/>
      </w:pPr>
      <w:r>
        <w:t xml:space="preserve">Your record has TTL 300 s, and your health checker takes 30 s (three failed probes, 10 s apart) to declare the primary site dead and update DNS.</w:t>
      </w:r>
    </w:p>
    <w:p>
      <w:pPr>
        <w:numPr>
          <w:ilvl w:val="0"/>
          <w:numId w:val="1217"/>
        </w:numPr>
        <w:pStyle w:val="Compact"/>
      </w:pPr>
      <w:r>
        <w:t xml:space="preserve">Detection: 30 s.</w:t>
      </w:r>
    </w:p>
    <w:p>
      <w:pPr>
        <w:numPr>
          <w:ilvl w:val="0"/>
          <w:numId w:val="1217"/>
        </w:numPr>
        <w:pStyle w:val="Compact"/>
      </w:pPr>
      <w:r>
        <w:t xml:space="preserve">Worst-case cache staleness: a resolver that refreshed one second before the update keeps serving the old answer for up to 300 s.</w:t>
      </w:r>
    </w:p>
    <w:p>
      <w:pPr>
        <w:numPr>
          <w:ilvl w:val="0"/>
          <w:numId w:val="1217"/>
        </w:numPr>
        <w:pStyle w:val="Compact"/>
      </w:pPr>
      <w:r>
        <w:t xml:space="preserve">Worst-case total for well-behaved resolvers:</w:t>
      </w:r>
      <w:r>
        <w:t xml:space="preserve"> </w:t>
      </w:r>
      <m:oMath>
        <m:r>
          <m:t>30</m:t>
        </m:r>
        <m:r>
          <m:rPr>
            <m:sty m:val="p"/>
          </m:rPr>
          <m:t>+</m:t>
        </m:r>
        <m:r>
          <m:t>300</m:t>
        </m:r>
        <m:r>
          <m:rPr>
            <m:sty m:val="p"/>
          </m:rPr>
          <m:t>=</m:t>
        </m:r>
        <m:r>
          <m:t>330</m:t>
        </m:r>
      </m:oMath>
      <w:r>
        <w:t xml:space="preserve"> </w:t>
      </w:r>
      <w:r>
        <w:t xml:space="preserve">s, about 5.5 minutes. The average client re-queries halfway through the TTL, so the mean is about</w:t>
      </w:r>
      <w:r>
        <w:t xml:space="preserve"> </w:t>
      </w:r>
      <m:oMath>
        <m:r>
          <m:t>30</m:t>
        </m:r>
        <m:r>
          <m:rPr>
            <m:sty m:val="p"/>
          </m:rPr>
          <m:t>+</m:t>
        </m:r>
        <m:r>
          <m:t>150</m:t>
        </m:r>
        <m:r>
          <m:rPr>
            <m:sty m:val="p"/>
          </m:rPr>
          <m:t>=</m:t>
        </m:r>
        <m:r>
          <m:t>180</m:t>
        </m:r>
      </m:oMath>
      <w:r>
        <w:t xml:space="preserve"> </w:t>
      </w:r>
      <w:r>
        <w:t xml:space="preserve">s.</w:t>
      </w:r>
    </w:p>
    <w:p>
      <w:pPr>
        <w:numPr>
          <w:ilvl w:val="0"/>
          <w:numId w:val="1217"/>
        </w:numPr>
        <w:pStyle w:val="Compact"/>
      </w:pPr>
      <w:r>
        <w:t xml:space="preserve">Clients holding open connections are not affected by DNS at all: they keep sending to the dead address until their connections fail and they reconnect.</w:t>
      </w:r>
    </w:p>
    <w:p>
      <w:pPr>
        <w:numPr>
          <w:ilvl w:val="0"/>
          <w:numId w:val="1217"/>
        </w:numPr>
        <w:pStyle w:val="Compact"/>
      </w:pPr>
      <w:r>
        <w:t xml:space="preserve">Misbehaving caches that enforce a minimum TTL or ignore it extend the tail indefinitely.</w:t>
      </w:r>
    </w:p>
    <w:p>
      <w:pPr>
        <w:pStyle w:val="CalloutExample"/>
      </w:pPr>
      <w:r>
        <w:t xml:space="preserve">Engineering implication: DNS failover is a</w:t>
      </w:r>
      <w:r>
        <w:t xml:space="preserve"> </w:t>
      </w:r>
      <w:r>
        <w:rPr>
          <w:iCs/>
          <w:i/>
        </w:rPr>
        <w:t xml:space="preserve">minutes-scale</w:t>
      </w:r>
      <w:r>
        <w:t xml:space="preserve"> </w:t>
      </w:r>
      <w:r>
        <w:t xml:space="preserve">mechanism. If you need seconds, put a stable address in front (an anycast virtual IP or a load balancer, §19.8) and fail over behind it.</w:t>
      </w:r>
    </w:p>
    <w:p>
      <w:pPr>
        <w:pStyle w:val="BodyText"/>
      </w:pPr>
      <w:r>
        <w:t xml:space="preserve">Before a planned migration, lower the TTL well in advance. If the old TTL is 86,400 s (one day), you must lower it at least one day before the cut-over, because resolvers that cached the record just before you changed it will not re-query for a day.</w:t>
      </w:r>
    </w:p>
    <w:bookmarkEnd w:id="725"/>
    <w:bookmarkStart w:id="728" w:name="dns-based-load-balancing-and-its-limits"/>
    <w:p>
      <w:pPr>
        <w:pStyle w:val="Heading3"/>
      </w:pPr>
      <w:r>
        <w:t xml:space="preserve">7.6.5 DNS-based load balancing and its limits</w:t>
      </w:r>
    </w:p>
    <w:p>
      <w:pPr>
        <w:pStyle w:val="FirstParagraph"/>
      </w:pPr>
      <w:r>
        <w:t xml:space="preserve">Because a DNS answer can differ per query, DNS is the coarsest and cheapest load balancer:</w:t>
      </w:r>
    </w:p>
    <w:p>
      <w:pPr>
        <w:numPr>
          <w:ilvl w:val="0"/>
          <w:numId w:val="1218"/>
        </w:numPr>
        <w:pStyle w:val="Compact"/>
      </w:pPr>
      <w:r>
        <w:rPr>
          <w:bCs/>
          <w:b/>
        </w:rPr>
        <w:t xml:space="preserve">Round-robin DNS.</w:t>
      </w:r>
      <w:r>
        <w:t xml:space="preserve"> </w:t>
      </w:r>
      <w:r>
        <w:t xml:space="preserve">Return several A records, rotating their order. Clients typically try the first.</w:t>
      </w:r>
    </w:p>
    <w:p>
      <w:pPr>
        <w:numPr>
          <w:ilvl w:val="0"/>
          <w:numId w:val="1218"/>
        </w:numPr>
        <w:pStyle w:val="Compact"/>
      </w:pPr>
      <w:r>
        <w:rPr>
          <w:bCs/>
          <w:b/>
        </w:rPr>
        <w:t xml:space="preserve">Weighted answers.</w:t>
      </w:r>
      <w:r>
        <w:t xml:space="preserve"> </w:t>
      </w:r>
      <w:r>
        <w:t xml:space="preserve">Return each address in proportion to configured weights.</w:t>
      </w:r>
    </w:p>
    <w:p>
      <w:pPr>
        <w:numPr>
          <w:ilvl w:val="0"/>
          <w:numId w:val="1218"/>
        </w:numPr>
        <w:pStyle w:val="Compact"/>
      </w:pPr>
      <w:r>
        <w:rPr>
          <w:bCs/>
          <w:b/>
        </w:rPr>
        <w:t xml:space="preserve">Geo-DNS / latency-based DNS.</w:t>
      </w:r>
      <w:r>
        <w:t xml:space="preserve"> </w:t>
      </w:r>
      <w:r>
        <w:t xml:space="preserve">Answer based on the resolver’s (or, with the EDNS Client Subnet extension, the client’s) location, pointing users to a nearby region (Ch 44, §19.9).</w:t>
      </w:r>
    </w:p>
    <w:p>
      <w:pPr>
        <w:numPr>
          <w:ilvl w:val="0"/>
          <w:numId w:val="1218"/>
        </w:numPr>
        <w:pStyle w:val="Compact"/>
      </w:pPr>
      <w:r>
        <w:rPr>
          <w:bCs/>
          <w:b/>
        </w:rPr>
        <w:t xml:space="preserve">Health-checked DNS.</w:t>
      </w:r>
      <w:r>
        <w:t xml:space="preserve"> </w:t>
      </w:r>
      <w:r>
        <w:t xml:space="preserve">Remove addresses whose health checks fail.</w:t>
      </w:r>
    </w:p>
    <w:p>
      <w:pPr>
        <w:pStyle w:val="FirstParagraph"/>
      </w:pPr>
      <w:r>
        <w:t xml:space="preserve">The limits are fundamental, not implementation details:</w:t>
      </w:r>
    </w:p>
    <w:p>
      <w:pPr>
        <w:numPr>
          <w:ilvl w:val="0"/>
          <w:numId w:val="1219"/>
        </w:numPr>
        <w:pStyle w:val="Compact"/>
      </w:pPr>
      <w:r>
        <w:rPr>
          <w:bCs/>
          <w:b/>
        </w:rPr>
        <w:t xml:space="preserve">Caching defeats fine control.</w:t>
      </w:r>
      <w:r>
        <w:t xml:space="preserve"> </w:t>
      </w:r>
      <w:r>
        <w:t xml:space="preserve">A large resolver (an ISP serving millions of users) caches one answer and hands it to all its clients for the TTL, so</w:t>
      </w:r>
      <w:r>
        <w:t xml:space="preserve"> </w:t>
      </w:r>
      <w:r>
        <w:t xml:space="preserve">“</w:t>
      </w:r>
      <w:r>
        <w:t xml:space="preserve">1/N of queries</w:t>
      </w:r>
      <w:r>
        <w:t xml:space="preserve">”</w:t>
      </w:r>
      <w:r>
        <w:t xml:space="preserve"> </w:t>
      </w:r>
      <w:r>
        <w:t xml:space="preserve">is not</w:t>
      </w:r>
      <w:r>
        <w:t xml:space="preserve"> </w:t>
      </w:r>
      <w:r>
        <w:t xml:space="preserve">“</w:t>
      </w:r>
      <w:r>
        <w:t xml:space="preserve">1/N of users</w:t>
      </w:r>
      <w:r>
        <w:t xml:space="preserve">”</w:t>
      </w:r>
      <w:r>
        <w:t xml:space="preserve">.</w:t>
      </w:r>
    </w:p>
    <w:p>
      <w:pPr>
        <w:numPr>
          <w:ilvl w:val="0"/>
          <w:numId w:val="1219"/>
        </w:numPr>
        <w:pStyle w:val="Compact"/>
      </w:pPr>
      <w:r>
        <w:rPr>
          <w:bCs/>
          <w:b/>
        </w:rPr>
        <w:t xml:space="preserve">Resolver location is not client location.</w:t>
      </w:r>
      <w:r>
        <w:t xml:space="preserve"> </w:t>
      </w:r>
      <w:r>
        <w:t xml:space="preserve">Geo-DNS sees the recursive resolver’s address. A user in Singapore using a resolver in the US may be sent to the US region, unless EDNS Client Subnet is supported.</w:t>
      </w:r>
    </w:p>
    <w:p>
      <w:pPr>
        <w:numPr>
          <w:ilvl w:val="0"/>
          <w:numId w:val="1219"/>
        </w:numPr>
        <w:pStyle w:val="Compact"/>
      </w:pPr>
      <w:r>
        <w:rPr>
          <w:bCs/>
          <w:b/>
        </w:rPr>
        <w:t xml:space="preserve">Failover speed is bounded by TTL</w:t>
      </w:r>
      <w:r>
        <w:t xml:space="preserve"> </w:t>
      </w:r>
      <w:r>
        <w:t xml:space="preserve">and by stale clients, as computed above.</w:t>
      </w:r>
    </w:p>
    <w:p>
      <w:pPr>
        <w:numPr>
          <w:ilvl w:val="0"/>
          <w:numId w:val="1219"/>
        </w:numPr>
        <w:pStyle w:val="Compact"/>
      </w:pPr>
      <w:r>
        <w:rPr>
          <w:bCs/>
          <w:b/>
        </w:rPr>
        <w:t xml:space="preserve">No load awareness.</w:t>
      </w:r>
      <w:r>
        <w:t xml:space="preserve"> </w:t>
      </w:r>
      <w:r>
        <w:t xml:space="preserve">DNS does not see connection counts or server latency; it picks before the connection exists.</w:t>
      </w:r>
    </w:p>
    <w:p>
      <w:pPr>
        <w:numPr>
          <w:ilvl w:val="0"/>
          <w:numId w:val="1219"/>
        </w:numPr>
        <w:pStyle w:val="Compact"/>
      </w:pPr>
      <w:r>
        <w:rPr>
          <w:bCs/>
          <w:b/>
        </w:rPr>
        <w:t xml:space="preserve">Clients behave inconsistently.</w:t>
      </w:r>
      <w:r>
        <w:t xml:space="preserve"> </w:t>
      </w:r>
      <w:r>
        <w:t xml:space="preserve">Some try only the first address; some try all; some pin forever.</w:t>
      </w:r>
    </w:p>
    <w:p>
      <w:pPr>
        <w:pStyle w:val="FirstParagraph"/>
      </w:pPr>
      <w:r>
        <w:t xml:space="preserve">DNS is therefore used to pick a</w:t>
      </w:r>
      <w:r>
        <w:t xml:space="preserve"> </w:t>
      </w:r>
      <w:r>
        <w:rPr>
          <w:bCs/>
          <w:b/>
        </w:rPr>
        <w:t xml:space="preserve">region or site</w:t>
      </w:r>
      <w:r>
        <w:t xml:space="preserve">, and real load balancers distribute connections</w:t>
      </w:r>
      <w:r>
        <w:t xml:space="preserve"> </w:t>
      </w:r>
      <w:r>
        <w:rPr>
          <w:iCs/>
          <w:i/>
        </w:rPr>
        <w:t xml:space="preserve">within</w:t>
      </w:r>
      <w:r>
        <w:t xml:space="preserve"> </w:t>
      </w:r>
      <w:r>
        <w:t xml:space="preserve">the site (Chapter 19).</w:t>
      </w:r>
    </w:p>
    <w:bookmarkStart w:id="726" w:name="transport-details"/>
    <w:p>
      <w:pPr>
        <w:pStyle w:val="Heading4"/>
      </w:pPr>
      <w:r>
        <w:t xml:space="preserve">Transport details</w:t>
      </w:r>
    </w:p>
    <w:p>
      <w:pPr>
        <w:pStyle w:val="FirstParagraph"/>
      </w:pPr>
      <w:r>
        <w:t xml:space="preserve">DNS normally uses UDP port 53 because a query and a response each fit in one datagram, avoiding a handshake. Classic DNS limited UDP responses to 512 bytes; the EDNS(0) extension (RFC 6891) lets clients advertise larger buffers, and current operational guidance favors about 1,232 bytes to avoid IP fragmentation. If a response is too large, the server sets the truncation (TC) bit and the client retries over TCP. Zone transfers between servers use TCP. Encrypted variants exist: DNS over TLS (port 853, RFC 7858) and DNS over HTTPS (RFC 8484), which hide queries from on-path observers.</w:t>
      </w:r>
    </w:p>
    <w:bookmarkEnd w:id="726"/>
    <w:bookmarkStart w:id="727" w:name="failure-scenarios-16"/>
    <w:p>
      <w:pPr>
        <w:pStyle w:val="Heading4"/>
      </w:pPr>
      <w:r>
        <w:t xml:space="preserve">Failure scenarios</w:t>
      </w:r>
    </w:p>
    <w:p>
      <w:pPr>
        <w:pStyle w:val="FirstParagraph"/>
      </w:pPr>
      <w:r>
        <w:rPr>
          <w:bCs/>
          <w:b/>
        </w:rPr>
        <w:t xml:space="preserve">Table 7.6 — DNS 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Authoritative provider outage</w:t>
            </w:r>
          </w:p>
        </w:tc>
        <w:tc>
          <w:tcPr/>
          <w:p>
            <w:pPr>
              <w:pStyle w:val="Compact"/>
              <w:jc w:val="left"/>
            </w:pPr>
            <w:r>
              <w:t xml:space="preserve">DDoS or provider failure; all NS records at one provider</w:t>
            </w:r>
          </w:p>
        </w:tc>
        <w:tc>
          <w:tcPr/>
          <w:p>
            <w:pPr>
              <w:pStyle w:val="Compact"/>
              <w:jc w:val="left"/>
            </w:pPr>
            <w:r>
              <w:t xml:space="preserve">Resolution failures from external probes</w:t>
            </w:r>
          </w:p>
        </w:tc>
        <w:tc>
          <w:tcPr/>
          <w:p>
            <w:pPr>
              <w:pStyle w:val="Compact"/>
              <w:jc w:val="left"/>
            </w:pPr>
            <w:r>
              <w:t xml:space="preserve">Wait, or change NS at the registrar (slow: TLD TTLs are long)</w:t>
            </w:r>
          </w:p>
        </w:tc>
        <w:tc>
          <w:tcPr/>
          <w:p>
            <w:pPr>
              <w:pStyle w:val="Compact"/>
              <w:jc w:val="left"/>
            </w:pPr>
            <w:r>
              <w:t xml:space="preserve">Two independent DNS providers serving the same zone</w:t>
            </w:r>
          </w:p>
        </w:tc>
      </w:tr>
      <w:tr>
        <w:tc>
          <w:tcPr/>
          <w:p>
            <w:pPr>
              <w:pStyle w:val="Compact"/>
              <w:jc w:val="left"/>
            </w:pPr>
            <w:r>
              <w:t xml:space="preserve">Stale records after migration</w:t>
            </w:r>
          </w:p>
        </w:tc>
        <w:tc>
          <w:tcPr/>
          <w:p>
            <w:pPr>
              <w:pStyle w:val="Compact"/>
              <w:jc w:val="left"/>
            </w:pPr>
            <w:r>
              <w:t xml:space="preserve">TTL was long when you changed the record</w:t>
            </w:r>
          </w:p>
        </w:tc>
        <w:tc>
          <w:tcPr/>
          <w:p>
            <w:pPr>
              <w:pStyle w:val="Compact"/>
              <w:jc w:val="left"/>
            </w:pPr>
            <w:r>
              <w:t xml:space="preserve">Traffic still reaching old addresses</w:t>
            </w:r>
          </w:p>
        </w:tc>
        <w:tc>
          <w:tcPr/>
          <w:p>
            <w:pPr>
              <w:pStyle w:val="Compact"/>
              <w:jc w:val="left"/>
            </w:pPr>
            <w:r>
              <w:t xml:space="preserve">Keep old endpoint alive until TTL × 2 has passed</w:t>
            </w:r>
          </w:p>
        </w:tc>
        <w:tc>
          <w:tcPr/>
          <w:p>
            <w:pPr>
              <w:pStyle w:val="Compact"/>
              <w:jc w:val="left"/>
            </w:pPr>
            <w:r>
              <w:t xml:space="preserve">Lower TTL in advance of planned changes</w:t>
            </w:r>
          </w:p>
        </w:tc>
      </w:tr>
      <w:tr>
        <w:tc>
          <w:tcPr/>
          <w:p>
            <w:pPr>
              <w:pStyle w:val="Compact"/>
              <w:jc w:val="left"/>
            </w:pPr>
            <w:r>
              <w:t xml:space="preserve">Resolver overload / latency</w:t>
            </w:r>
          </w:p>
        </w:tc>
        <w:tc>
          <w:tcPr/>
          <w:p>
            <w:pPr>
              <w:pStyle w:val="Compact"/>
              <w:jc w:val="left"/>
            </w:pPr>
            <w:r>
              <w:t xml:space="preserve">Too many lookups per request; no local caching</w:t>
            </w:r>
          </w:p>
        </w:tc>
        <w:tc>
          <w:tcPr/>
          <w:p>
            <w:pPr>
              <w:pStyle w:val="Compact"/>
              <w:jc w:val="left"/>
            </w:pPr>
            <w:r>
              <w:t xml:space="preserve">High p99 on connection setup; resolver timeouts</w:t>
            </w:r>
          </w:p>
        </w:tc>
        <w:tc>
          <w:tcPr/>
          <w:p>
            <w:pPr>
              <w:pStyle w:val="Compact"/>
              <w:jc w:val="left"/>
            </w:pPr>
            <w:r>
              <w:t xml:space="preserve">Add local caching resolver</w:t>
            </w:r>
          </w:p>
        </w:tc>
        <w:tc>
          <w:tcPr/>
          <w:p>
            <w:pPr>
              <w:pStyle w:val="Compact"/>
              <w:jc w:val="left"/>
            </w:pPr>
            <w:r>
              <w:t xml:space="preserve">Cache in-process with TTL respect; reuse connections</w:t>
            </w:r>
          </w:p>
        </w:tc>
      </w:tr>
      <w:tr>
        <w:tc>
          <w:tcPr/>
          <w:p>
            <w:pPr>
              <w:pStyle w:val="Compact"/>
              <w:jc w:val="left"/>
            </w:pPr>
            <w:r>
              <w:t xml:space="preserve">Negative-cache trap</w:t>
            </w:r>
          </w:p>
        </w:tc>
        <w:tc>
          <w:tcPr/>
          <w:p>
            <w:pPr>
              <w:pStyle w:val="Compact"/>
              <w:jc w:val="left"/>
            </w:pPr>
            <w:r>
              <w:t xml:space="preserve">Name queried before it was created; NXDOMAIN cached</w:t>
            </w:r>
          </w:p>
        </w:tc>
        <w:tc>
          <w:tcPr/>
          <w:p>
            <w:pPr>
              <w:pStyle w:val="Compact"/>
              <w:jc w:val="left"/>
            </w:pPr>
            <w:r>
              <w:t xml:space="preserve">“</w:t>
            </w:r>
            <w:r>
              <w:t xml:space="preserve">Works for me, not for them</w:t>
            </w:r>
            <w:r>
              <w:t xml:space="preserve">”</w:t>
            </w:r>
          </w:p>
        </w:tc>
        <w:tc>
          <w:tcPr/>
          <w:p>
            <w:pPr>
              <w:pStyle w:val="Compact"/>
              <w:jc w:val="left"/>
            </w:pPr>
            <w:r>
              <w:t xml:space="preserve">Wait out SOA negative TTL</w:t>
            </w:r>
          </w:p>
        </w:tc>
        <w:tc>
          <w:tcPr/>
          <w:p>
            <w:pPr>
              <w:pStyle w:val="Compact"/>
              <w:jc w:val="left"/>
            </w:pPr>
            <w:r>
              <w:t xml:space="preserve">Create records before announcing names</w:t>
            </w:r>
          </w:p>
        </w:tc>
      </w:tr>
      <w:tr>
        <w:tc>
          <w:tcPr/>
          <w:p>
            <w:pPr>
              <w:pStyle w:val="Compact"/>
              <w:jc w:val="left"/>
            </w:pPr>
            <w:r>
              <w:t xml:space="preserve">Split-horizon mismatch</w:t>
            </w:r>
          </w:p>
        </w:tc>
        <w:tc>
          <w:tcPr/>
          <w:p>
            <w:pPr>
              <w:pStyle w:val="Compact"/>
              <w:jc w:val="left"/>
            </w:pPr>
            <w:r>
              <w:t xml:space="preserve">Internal and external views of a zone differ</w:t>
            </w:r>
          </w:p>
        </w:tc>
        <w:tc>
          <w:tcPr/>
          <w:p>
            <w:pPr>
              <w:pStyle w:val="Compact"/>
              <w:jc w:val="left"/>
            </w:pPr>
            <w:r>
              <w:t xml:space="preserve">Errors only inside or only outside the network</w:t>
            </w:r>
          </w:p>
        </w:tc>
        <w:tc>
          <w:tcPr/>
          <w:p>
            <w:pPr>
              <w:pStyle w:val="Compact"/>
              <w:jc w:val="left"/>
            </w:pPr>
            <w:r>
              <w:t xml:space="preserve">Fix the view</w:t>
            </w:r>
          </w:p>
        </w:tc>
        <w:tc>
          <w:tcPr/>
          <w:p>
            <w:pPr>
              <w:pStyle w:val="Compact"/>
              <w:jc w:val="left"/>
            </w:pPr>
            <w:r>
              <w:t xml:space="preserve">Test both views in deployment checks</w:t>
            </w:r>
          </w:p>
        </w:tc>
      </w:tr>
    </w:tbl>
    <w:p>
      <w:pPr>
        <w:pStyle w:val="CalloutMistake"/>
      </w:pPr>
      <w:r>
        <w:rPr>
          <w:bCs/>
          <w:b/>
        </w:rPr>
        <w:t xml:space="preserve">COMMON MISTAKE</w:t>
      </w:r>
    </w:p>
    <w:p>
      <w:pPr>
        <w:pStyle w:val="CalloutMistake"/>
      </w:pPr>
      <w:r>
        <w:rPr>
          <w:bCs/>
          <w:b/>
        </w:rPr>
        <w:t xml:space="preserve">“</w:t>
      </w:r>
      <w:r>
        <w:rPr>
          <w:bCs/>
          <w:b/>
        </w:rPr>
        <w:t xml:space="preserve">Changing a DNS record takes 24–48 hours to propagate.</w:t>
      </w:r>
      <w:r>
        <w:rPr>
          <w:bCs/>
          <w:b/>
        </w:rPr>
        <w:t xml:space="preserve">”</w:t>
      </w:r>
      <w:r>
        <w:t xml:space="preserve"> </w:t>
      </w:r>
      <w:r>
        <w:t xml:space="preserve">DNS does not propagate; caches</w:t>
      </w:r>
      <w:r>
        <w:t xml:space="preserve"> </w:t>
      </w:r>
      <w:r>
        <w:rPr>
          <w:iCs/>
          <w:i/>
        </w:rPr>
        <w:t xml:space="preserve">expire</w:t>
      </w:r>
      <w:r>
        <w:t xml:space="preserve">. A change is visible to a given resolver as soon as its cached copy’s TTL runs out. The folklore</w:t>
      </w:r>
      <w:r>
        <w:t xml:space="preserve"> </w:t>
      </w:r>
      <w:r>
        <w:t xml:space="preserve">“</w:t>
      </w:r>
      <w:r>
        <w:t xml:space="preserve">48 hours</w:t>
      </w:r>
      <w:r>
        <w:t xml:space="preserve">”</w:t>
      </w:r>
      <w:r>
        <w:t xml:space="preserve"> </w:t>
      </w:r>
      <w:r>
        <w:t xml:space="preserve">comes from long TTLs, especially on NS records at the TLD.</w:t>
      </w:r>
    </w:p>
    <w:bookmarkEnd w:id="727"/>
    <w:bookmarkEnd w:id="728"/>
    <w:bookmarkEnd w:id="729"/>
    <w:bookmarkStart w:id="754" w:name="X0593d95de2fb4272c1a21a718e8991b0377b9f5"/>
    <w:p>
      <w:pPr>
        <w:pStyle w:val="Heading2"/>
      </w:pPr>
      <w:r>
        <w:t xml:space="preserve">7.7 TCP: reliable byte streams over an unreliable network</w:t>
      </w:r>
    </w:p>
    <w:bookmarkStart w:id="731" w:name="what-tcp-provides"/>
    <w:p>
      <w:pPr>
        <w:pStyle w:val="Heading3"/>
      </w:pPr>
      <w:r>
        <w:t xml:space="preserve">7.7.1 What TCP provides</w:t>
      </w:r>
    </w:p>
    <w:p>
      <w:pPr>
        <w:pStyle w:val="FirstParagraph"/>
      </w:pPr>
      <w:r>
        <w:t xml:space="preserve">IP is a</w:t>
      </w:r>
      <w:r>
        <w:t xml:space="preserve"> </w:t>
      </w:r>
      <w:r>
        <w:rPr>
          <w:bCs/>
          <w:b/>
        </w:rPr>
        <w:t xml:space="preserve">best-effort</w:t>
      </w:r>
      <w:r>
        <w:t xml:space="preserve"> </w:t>
      </w:r>
      <w:r>
        <w:t xml:space="preserve">service: packets may be lost, duplicated, delayed or delivered out of order, and IP will not tell you. Most applications want the opposite: a reliable, ordered pipe of bytes. The</w:t>
      </w:r>
      <w:r>
        <w:t xml:space="preserve"> </w:t>
      </w:r>
      <w:r>
        <w:rPr>
          <w:bCs/>
          <w:b/>
        </w:rPr>
        <w:t xml:space="preserve">Transmission Control Protocol</w:t>
      </w:r>
      <w:r>
        <w:t xml:space="preserve"> </w:t>
      </w:r>
      <w:r>
        <w:t xml:space="preserve">builds that pipe on top of IP [RFC 9293].</w:t>
      </w:r>
    </w:p>
    <w:p>
      <w:pPr>
        <w:pStyle w:val="CalloutDefinition"/>
      </w:pPr>
      <w:r>
        <w:rPr>
          <w:bCs/>
          <w:b/>
        </w:rPr>
        <w:t xml:space="preserve">DEFINITION</w:t>
      </w:r>
    </w:p>
    <w:p>
      <w:pPr>
        <w:pStyle w:val="CalloutDefinition"/>
      </w:pPr>
      <w:r>
        <w:rPr>
          <w:bCs/>
          <w:b/>
        </w:rPr>
        <w:t xml:space="preserve">Definition — TCP.</w:t>
      </w:r>
      <w:r>
        <w:t xml:space="preserve"> </w:t>
      </w:r>
      <w:r>
        <w:t xml:space="preserve">A connection-oriented transport protocol that provides a reliable, ordered, full-duplex</w:t>
      </w:r>
      <w:r>
        <w:t xml:space="preserve"> </w:t>
      </w:r>
      <w:r>
        <w:rPr>
          <w:bCs/>
          <w:b/>
        </w:rPr>
        <w:t xml:space="preserve">byte stream</w:t>
      </w:r>
      <w:r>
        <w:t xml:space="preserve"> </w:t>
      </w:r>
      <w:r>
        <w:t xml:space="preserve">between two endpoints identified by (IP address, port) pairs. It achieves reliability with sequence numbers, acknowledgments and retransmission; it protects a slow receiver with</w:t>
      </w:r>
      <w:r>
        <w:t xml:space="preserve"> </w:t>
      </w:r>
      <w:r>
        <w:rPr>
          <w:bCs/>
          <w:b/>
        </w:rPr>
        <w:t xml:space="preserve">flow control</w:t>
      </w:r>
      <w:r>
        <w:t xml:space="preserve">; and it protects the network with</w:t>
      </w:r>
      <w:r>
        <w:t xml:space="preserve"> </w:t>
      </w:r>
      <w:r>
        <w:rPr>
          <w:bCs/>
          <w:b/>
        </w:rPr>
        <w:t xml:space="preserve">congestion control</w:t>
      </w:r>
      <w:r>
        <w:t xml:space="preserve">.</w:t>
      </w:r>
    </w:p>
    <w:bookmarkStart w:id="730" w:name="first-principles-explanation-43"/>
    <w:p>
      <w:pPr>
        <w:pStyle w:val="Heading4"/>
      </w:pPr>
      <w:r>
        <w:t xml:space="preserve">First-principles explanation</w:t>
      </w:r>
    </w:p>
    <w:p>
      <w:pPr>
        <w:pStyle w:val="FirstParagraph"/>
      </w:pPr>
      <w:r>
        <w:t xml:space="preserve">Imagine mailing a 300-page manuscript one page per envelope through an unreliable postal service. To make sure your editor gets every page in order, you would number each page, ask the editor to send back postcards saying</w:t>
      </w:r>
      <w:r>
        <w:t xml:space="preserve"> </w:t>
      </w:r>
      <w:r>
        <w:t xml:space="preserve">“</w:t>
      </w:r>
      <w:r>
        <w:t xml:space="preserve">I have everything up to page 57</w:t>
      </w:r>
      <w:r>
        <w:t xml:space="preserve">”</w:t>
      </w:r>
      <w:r>
        <w:t xml:space="preserve">, and resend any page not acknowledged within a reasonable time. You would also avoid sending all 300 pages at once if the editor’s desk is small (flow control) or if the post office is visibly overwhelmed (congestion control). That is TCP. The one twist is that TCP numbers</w:t>
      </w:r>
      <w:r>
        <w:t xml:space="preserve"> </w:t>
      </w:r>
      <w:r>
        <w:rPr>
          <w:bCs/>
          <w:b/>
        </w:rPr>
        <w:t xml:space="preserve">bytes</w:t>
      </w:r>
      <w:r>
        <w:t xml:space="preserve">, not pages: the stream has no message boundaries, so an application that writes</w:t>
      </w:r>
      <w:r>
        <w:t xml:space="preserve"> </w:t>
      </w:r>
      <w:r>
        <w:t xml:space="preserve">“</w:t>
      </w:r>
      <w:r>
        <w:t xml:space="preserve">hello</w:t>
      </w:r>
      <w:r>
        <w:t xml:space="preserve">”</w:t>
      </w:r>
      <w:r>
        <w:t xml:space="preserve"> </w:t>
      </w:r>
      <w:r>
        <w:t xml:space="preserve">and then</w:t>
      </w:r>
      <w:r>
        <w:t xml:space="preserve"> </w:t>
      </w:r>
      <w:r>
        <w:t xml:space="preserve">“</w:t>
      </w:r>
      <w:r>
        <w:t xml:space="preserve">world</w:t>
      </w:r>
      <w:r>
        <w:t xml:space="preserve">”</w:t>
      </w:r>
      <w:r>
        <w:t xml:space="preserve"> </w:t>
      </w:r>
      <w:r>
        <w:t xml:space="preserve">may receive</w:t>
      </w:r>
      <w:r>
        <w:t xml:space="preserve"> </w:t>
      </w:r>
      <w:r>
        <w:t xml:space="preserve">“</w:t>
      </w:r>
      <w:r>
        <w:t xml:space="preserve">hellowor</w:t>
      </w:r>
      <w:r>
        <w:t xml:space="preserve">”</w:t>
      </w:r>
      <w:r>
        <w:t xml:space="preserve"> </w:t>
      </w:r>
      <w:r>
        <w:t xml:space="preserve">and</w:t>
      </w:r>
      <w:r>
        <w:t xml:space="preserve"> </w:t>
      </w:r>
      <w:r>
        <w:t xml:space="preserve">“</w:t>
      </w:r>
      <w:r>
        <w:t xml:space="preserve">ld</w:t>
      </w:r>
      <w:r>
        <w:t xml:space="preserve">”</w:t>
      </w:r>
      <w:r>
        <w:t xml:space="preserve">. Application protocols must add their own framing (a length prefix or a delimiter).</w:t>
      </w:r>
    </w:p>
    <w:bookmarkEnd w:id="730"/>
    <w:bookmarkEnd w:id="731"/>
    <w:bookmarkStart w:id="732" w:name="the-segment"/>
    <w:p>
      <w:pPr>
        <w:pStyle w:val="Heading3"/>
      </w:pPr>
      <w:r>
        <w:t xml:space="preserve">7.7.2 The segment</w:t>
      </w:r>
    </w:p>
    <w:p>
      <w:pPr>
        <w:pStyle w:val="FirstParagraph"/>
      </w:pPr>
      <w:r>
        <w:t xml:space="preserve">Every TCP segment carries a header of 20 bytes plus up to 40 bytes of options. The fields you will reason about most are:</w:t>
      </w:r>
    </w:p>
    <w:p>
      <w:pPr>
        <w:numPr>
          <w:ilvl w:val="0"/>
          <w:numId w:val="1220"/>
        </w:numPr>
        <w:pStyle w:val="Compact"/>
      </w:pPr>
      <w:r>
        <w:rPr>
          <w:bCs/>
          <w:b/>
        </w:rPr>
        <w:t xml:space="preserve">Source and destination ports</w:t>
      </w:r>
      <w:r>
        <w:t xml:space="preserve"> </w:t>
      </w:r>
      <w:r>
        <w:t xml:space="preserve">(16 bits each). Together with the IP addresses they form the connection’s 4-tuple.</w:t>
      </w:r>
    </w:p>
    <w:p>
      <w:pPr>
        <w:numPr>
          <w:ilvl w:val="0"/>
          <w:numId w:val="1220"/>
        </w:numPr>
        <w:pStyle w:val="Compact"/>
      </w:pPr>
      <w:r>
        <w:rPr>
          <w:bCs/>
          <w:b/>
        </w:rPr>
        <w:t xml:space="preserve">Sequence number</w:t>
      </w:r>
      <w:r>
        <w:t xml:space="preserve"> </w:t>
      </w:r>
      <w:r>
        <w:t xml:space="preserve">(32 bits). The stream offset of the first payload byte in this segment, relative to a random</w:t>
      </w:r>
      <w:r>
        <w:t xml:space="preserve"> </w:t>
      </w:r>
      <w:r>
        <w:rPr>
          <w:bCs/>
          <w:b/>
        </w:rPr>
        <w:t xml:space="preserve">initial sequence number (ISN)</w:t>
      </w:r>
      <w:r>
        <w:t xml:space="preserve">.</w:t>
      </w:r>
    </w:p>
    <w:p>
      <w:pPr>
        <w:numPr>
          <w:ilvl w:val="0"/>
          <w:numId w:val="1220"/>
        </w:numPr>
        <w:pStyle w:val="Compact"/>
      </w:pPr>
      <w:r>
        <w:rPr>
          <w:bCs/>
          <w:b/>
        </w:rPr>
        <w:t xml:space="preserve">Acknowledgment number</w:t>
      </w:r>
      <w:r>
        <w:t xml:space="preserve"> </w:t>
      </w:r>
      <w:r>
        <w:t xml:space="preserve">(32 bits). The next byte the sender of this segment expects to receive:</w:t>
      </w:r>
      <w:r>
        <w:t xml:space="preserve"> </w:t>
      </w:r>
      <w:r>
        <w:t xml:space="preserve">“</w:t>
      </w:r>
      <w:r>
        <w:t xml:space="preserve">I have everything before this</w:t>
      </w:r>
      <w:r>
        <w:t xml:space="preserve">”</w:t>
      </w:r>
      <w:r>
        <w:t xml:space="preserve">.</w:t>
      </w:r>
    </w:p>
    <w:p>
      <w:pPr>
        <w:numPr>
          <w:ilvl w:val="0"/>
          <w:numId w:val="1220"/>
        </w:numPr>
        <w:pStyle w:val="Compact"/>
      </w:pPr>
      <w:r>
        <w:rPr>
          <w:bCs/>
          <w:b/>
        </w:rPr>
        <w:t xml:space="preserve">Flags.</w:t>
      </w:r>
      <w:r>
        <w:t xml:space="preserve"> </w:t>
      </w:r>
      <w:r>
        <w:t xml:space="preserve">SYN (synchronize, opens a connection), ACK (acknowledgment field valid), FIN (no more data from me), RST (abort), PSH, URG, plus ECE/CWR for explicit congestion notification.</w:t>
      </w:r>
    </w:p>
    <w:p>
      <w:pPr>
        <w:numPr>
          <w:ilvl w:val="0"/>
          <w:numId w:val="1220"/>
        </w:numPr>
        <w:pStyle w:val="Compact"/>
      </w:pPr>
      <w:r>
        <w:rPr>
          <w:bCs/>
          <w:b/>
        </w:rPr>
        <w:t xml:space="preserve">Window</w:t>
      </w:r>
      <w:r>
        <w:t xml:space="preserve"> </w:t>
      </w:r>
      <w:r>
        <w:t xml:space="preserve">(16 bits). How many more bytes the sender of this segment is willing to receive (flow control, §7.7.6).</w:t>
      </w:r>
    </w:p>
    <w:p>
      <w:pPr>
        <w:numPr>
          <w:ilvl w:val="0"/>
          <w:numId w:val="1220"/>
        </w:numPr>
        <w:pStyle w:val="Compact"/>
      </w:pPr>
      <w:r>
        <w:rPr>
          <w:bCs/>
          <w:b/>
        </w:rPr>
        <w:t xml:space="preserve">Options.</w:t>
      </w:r>
      <w:r>
        <w:t xml:space="preserve"> </w:t>
      </w:r>
      <w:r>
        <w:t xml:space="preserve">MSS, window scale, selective acknowledgments (SACK) and timestamps, mostly negotiated in the handshake.</w:t>
      </w:r>
    </w:p>
    <w:bookmarkEnd w:id="732"/>
    <w:bookmarkStart w:id="736" w:name="the-three-way-handshake"/>
    <w:p>
      <w:pPr>
        <w:pStyle w:val="Heading3"/>
      </w:pPr>
      <w:r>
        <w:t xml:space="preserve">7.7.3 The three-way handshake</w:t>
      </w:r>
    </w:p>
    <w:p>
      <w:pPr>
        <w:pStyle w:val="FirstParagraph"/>
      </w:pPr>
      <w:r>
        <w:t xml:space="preserve">Before data flows, both sides must agree that the connection exists and learn each other’s initial sequence numbers. Each ISN is chosen randomly so that stray segments from an old connection, or an off-path attacker, are unlikely to fall into the valid window.</w:t>
      </w:r>
    </w:p>
    <w:p>
      <w:pPr>
        <w:pStyle w:val="BodyText"/>
      </w:pPr>
      <w:r>
        <w:rPr>
          <w:bCs/>
          <w:b/>
        </w:rPr>
        <w:t xml:space="preserve">Figure 7.4 — TCP three-way handshake followed by the first request.</w:t>
      </w:r>
    </w:p>
    <w:p>
      <w:pPr>
        <w:pStyle w:val="BodyText"/>
      </w:pPr>
      <w:r>
        <w:drawing>
          <wp:inline>
            <wp:extent cx="5334000" cy="3720586"/>
            <wp:effectExtent b="0" l="0" r="0" t="0"/>
            <wp:docPr descr="" title="" id="734" name="Picture"/>
            <a:graphic>
              <a:graphicData uri="http://schemas.openxmlformats.org/drawingml/2006/picture">
                <pic:pic>
                  <pic:nvPicPr>
                    <pic:cNvPr descr="/home/user/System-Design/build/.cache/diagrams/0931eb25c760.png" id="735" name="Picture"/>
                    <pic:cNvPicPr>
                      <a:picLocks noChangeArrowheads="1" noChangeAspect="1"/>
                    </pic:cNvPicPr>
                  </pic:nvPicPr>
                  <pic:blipFill>
                    <a:blip r:embed="rId733"/>
                    <a:stretch>
                      <a:fillRect/>
                    </a:stretch>
                  </pic:blipFill>
                  <pic:spPr bwMode="auto">
                    <a:xfrm>
                      <a:off x="0" y="0"/>
                      <a:ext cx="5334000" cy="3720586"/>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Two participants: the client, which actively opens, and the server, which is listening. Step 1 is the SYN, carrying the client’s random ISN</w:t>
      </w:r>
      <w:r>
        <w:t xml:space="preserve"> </w:t>
      </w:r>
      <m:oMath>
        <m:r>
          <m:t>x</m:t>
        </m:r>
      </m:oMath>
      <w:r>
        <w:t xml:space="preserve"> </w:t>
      </w:r>
      <w:r>
        <w:t xml:space="preserve">and its option offers. Step 2, the SYN-ACK, acknowledges</w:t>
      </w:r>
      <w:r>
        <w:t xml:space="preserve"> </w:t>
      </w:r>
      <m:oMath>
        <m:r>
          <m:t>x</m:t>
        </m:r>
        <m:r>
          <m:rPr>
            <m:sty m:val="p"/>
          </m:rPr>
          <m:t>+</m:t>
        </m:r>
        <m:r>
          <m:t>1</m:t>
        </m:r>
      </m:oMath>
      <w:r>
        <w:t xml:space="preserve"> </w:t>
      </w:r>
      <w:r>
        <w:t xml:space="preserve">(a SYN consumes one sequence number) and carries the server’s own ISN</w:t>
      </w:r>
      <w:r>
        <w:t xml:space="preserve"> </w:t>
      </w:r>
      <m:oMath>
        <m:r>
          <m:t>y</m:t>
        </m:r>
      </m:oMath>
      <w:r>
        <w:t xml:space="preserve">. Step 3 completes the handshake. The client may send data immediately after step 3, so the handshake costs the client</w:t>
      </w:r>
      <w:r>
        <w:t xml:space="preserve"> </w:t>
      </w:r>
      <w:r>
        <w:rPr>
          <w:bCs/>
          <w:b/>
        </w:rPr>
        <w:t xml:space="preserve">one round-trip time (RTT)</w:t>
      </w:r>
      <w:r>
        <w:t xml:space="preserve"> </w:t>
      </w:r>
      <w:r>
        <w:t xml:space="preserve">before its request can leave; the server sees the request 1.5 RTTs after the client began. All exchanges are synchronous. The server’s half-open queue (connections between steps 2 and 3) is a failure point: a</w:t>
      </w:r>
      <w:r>
        <w:t xml:space="preserve"> </w:t>
      </w:r>
      <w:r>
        <w:rPr>
          <w:bCs/>
          <w:b/>
        </w:rPr>
        <w:t xml:space="preserve">SYN flood</w:t>
      </w:r>
      <w:r>
        <w:t xml:space="preserve"> </w:t>
      </w:r>
      <w:r>
        <w:t xml:space="preserve">attack fills it with spoofed SYNs, which servers counter with</w:t>
      </w:r>
      <w:r>
        <w:t xml:space="preserve"> </w:t>
      </w:r>
      <w:r>
        <w:rPr>
          <w:bCs/>
          <w:b/>
        </w:rPr>
        <w:t xml:space="preserve">SYN cookies</w:t>
      </w:r>
      <w:r>
        <w:t xml:space="preserve">, encoding the connection state in the ISN instead of storing it. Scaling: the server’s accept queue (</w:t>
      </w:r>
      <w:r>
        <w:rPr>
          <w:rStyle w:val="VerbatimChar"/>
        </w:rPr>
        <w:t xml:space="preserve">listen</w:t>
      </w:r>
      <w:r>
        <w:t xml:space="preserve"> </w:t>
      </w:r>
      <w:r>
        <w:t xml:space="preserve">backlog) must be sized for connection bursts.</w:t>
      </w:r>
    </w:p>
    <w:p>
      <w:pPr>
        <w:pStyle w:val="BodyText"/>
      </w:pPr>
      <w:r>
        <w:t xml:space="preserve">TCP Fast Open (RFC 7413) lets a returning client put data in the SYN using a cookie from a previous connection, saving one RTT, but middlebox interference and replay concerns have limited its deployment. QUIC (§7.9.4) achieves the same goal more robustly.</w:t>
      </w:r>
    </w:p>
    <w:bookmarkEnd w:id="736"/>
    <w:bookmarkStart w:id="740" w:name="the-four-way-close-and-time_wait"/>
    <w:p>
      <w:pPr>
        <w:pStyle w:val="Heading3"/>
      </w:pPr>
      <w:r>
        <w:t xml:space="preserve">7.7.4 The four-way close and TIME_WAIT</w:t>
      </w:r>
    </w:p>
    <w:p>
      <w:pPr>
        <w:pStyle w:val="FirstParagraph"/>
      </w:pPr>
      <w:r>
        <w:t xml:space="preserve">TCP is full-duplex, so each direction closes independently. Each side sends a FIN when it has no more data, and the other acknowledges it.</w:t>
      </w:r>
    </w:p>
    <w:p>
      <w:pPr>
        <w:pStyle w:val="BodyText"/>
      </w:pPr>
      <w:r>
        <w:rPr>
          <w:bCs/>
          <w:b/>
        </w:rPr>
        <w:t xml:space="preserve">Figure 7.5 — TCP four-way close and the TIME_WAIT state.</w:t>
      </w:r>
    </w:p>
    <w:p>
      <w:pPr>
        <w:pStyle w:val="BodyText"/>
      </w:pPr>
      <w:r>
        <w:drawing>
          <wp:inline>
            <wp:extent cx="5334000" cy="6319197"/>
            <wp:effectExtent b="0" l="0" r="0" t="0"/>
            <wp:docPr descr="" title="" id="738" name="Picture"/>
            <a:graphic>
              <a:graphicData uri="http://schemas.openxmlformats.org/drawingml/2006/picture">
                <pic:pic>
                  <pic:nvPicPr>
                    <pic:cNvPr descr="/home/user/System-Design/build/.cache/diagrams/4efea6a9c48c.png" id="739" name="Picture"/>
                    <pic:cNvPicPr>
                      <a:picLocks noChangeArrowheads="1" noChangeAspect="1"/>
                    </pic:cNvPicPr>
                  </pic:nvPicPr>
                  <pic:blipFill>
                    <a:blip r:embed="rId737"/>
                    <a:stretch>
                      <a:fillRect/>
                    </a:stretch>
                  </pic:blipFill>
                  <pic:spPr bwMode="auto">
                    <a:xfrm>
                      <a:off x="0" y="0"/>
                      <a:ext cx="5334000" cy="6319197"/>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w:t>
      </w:r>
      <w:r>
        <w:t xml:space="preserve"> </w:t>
      </w:r>
      <w:r>
        <w:rPr>
          <w:bCs/>
          <w:b/>
        </w:rPr>
        <w:t xml:space="preserve">active closer</w:t>
      </w:r>
      <w:r>
        <w:t xml:space="preserve"> </w:t>
      </w:r>
      <w:r>
        <w:t xml:space="preserve">is whichever side calls</w:t>
      </w:r>
      <w:r>
        <w:t xml:space="preserve"> </w:t>
      </w:r>
      <w:r>
        <w:rPr>
          <w:rStyle w:val="VerbatimChar"/>
        </w:rPr>
        <w:t xml:space="preserve">close()</w:t>
      </w:r>
      <w:r>
        <w:t xml:space="preserve"> </w:t>
      </w:r>
      <w:r>
        <w:t xml:space="preserve">first; the other is the</w:t>
      </w:r>
      <w:r>
        <w:t xml:space="preserve"> </w:t>
      </w:r>
      <w:r>
        <w:rPr>
          <w:bCs/>
          <w:b/>
        </w:rPr>
        <w:t xml:space="preserve">passive closer</w:t>
      </w:r>
      <w:r>
        <w:t xml:space="preserve">. Steps 1–2 close the active side’s direction; the passive side enters CLOSE_WAIT and may keep sending until its application also closes (a pile-up of CLOSE_WAIT sockets is the classic symptom of an application that forgets to close connections). Steps 3–4 close the other direction. Steps 2 and 3 are often combined into one segment, making the close effectively three segments. The active closer then waits in</w:t>
      </w:r>
      <w:r>
        <w:t xml:space="preserve"> </w:t>
      </w:r>
      <w:r>
        <w:rPr>
          <w:bCs/>
          <w:b/>
        </w:rPr>
        <w:t xml:space="preserve">TIME_WAIT</w:t>
      </w:r>
      <w:r>
        <w:t xml:space="preserve"> </w:t>
      </w:r>
      <w:r>
        <w:t xml:space="preserve">for twice the</w:t>
      </w:r>
      <w:r>
        <w:t xml:space="preserve"> </w:t>
      </w:r>
      <w:r>
        <w:rPr>
          <w:bCs/>
          <w:b/>
        </w:rPr>
        <w:t xml:space="preserve">maximum segment lifetime (MSL)</w:t>
      </w:r>
      <w:r>
        <w:t xml:space="preserve">. All steps are synchronous; RST is the abrupt alternative that skips all of this and discards unsent data.</w:t>
      </w:r>
    </w:p>
    <w:p>
      <w:pPr>
        <w:pStyle w:val="BodyText"/>
      </w:pPr>
      <w:r>
        <w:t xml:space="preserve">TIME_WAIT exists for two reasons. First, if the final ACK (step 4) is lost, the passive side will retransmit its FIN, and the active side must still be around to re-acknowledge it. Second, it ensures that delayed segments from this connection have died out before a new connection with the same 4-tuple can be created and misinterpret them. RFC 793 set MSL to two minutes; Linux hard-codes TIME_WAIT at 60 seconds.</w:t>
      </w:r>
    </w:p>
    <w:p>
      <w:pPr>
        <w:pStyle w:val="CalloutExample"/>
      </w:pPr>
      <w:r>
        <w:rPr>
          <w:bCs/>
          <w:b/>
        </w:rPr>
        <w:t xml:space="preserve">WORKED EXAMPLE</w:t>
      </w:r>
    </w:p>
    <w:p>
      <w:pPr>
        <w:pStyle w:val="CalloutExample"/>
      </w:pPr>
      <w:r>
        <w:rPr>
          <w:bCs/>
          <w:b/>
        </w:rPr>
        <w:t xml:space="preserve">Worked example — Ephemeral port exhaustion from TIME_WAIT.</w:t>
      </w:r>
    </w:p>
    <w:p>
      <w:pPr>
        <w:pStyle w:val="CalloutExample"/>
      </w:pPr>
      <w:r>
        <w:t xml:space="preserve">A service opens a new TCP connection for every request to one backend (one destination IP and port) and closes it afterward, so the service is the active closer.</w:t>
      </w:r>
    </w:p>
    <w:p>
      <w:pPr>
        <w:numPr>
          <w:ilvl w:val="0"/>
          <w:numId w:val="1221"/>
        </w:numPr>
        <w:pStyle w:val="Compact"/>
      </w:pPr>
      <w:r>
        <w:t xml:space="preserve">Each connection needs a unique source port. Linux’s default ephemeral port range is 32,768–60,999:</w:t>
      </w:r>
      <w:r>
        <w:t xml:space="preserve"> </w:t>
      </w:r>
      <m:oMath>
        <m:r>
          <m:t>60</m:t>
        </m:r>
        <m:r>
          <m:rPr>
            <m:sty m:val="p"/>
          </m:rPr>
          <m:t>,</m:t>
        </m:r>
        <m:r>
          <m:t>999</m:t>
        </m:r>
        <m:r>
          <m:rPr>
            <m:sty m:val="p"/>
          </m:rPr>
          <m:t>−</m:t>
        </m:r>
        <m:r>
          <m:t>32</m:t>
        </m:r>
        <m:r>
          <m:rPr>
            <m:sty m:val="p"/>
          </m:rPr>
          <m:t>,</m:t>
        </m:r>
        <m:r>
          <m:t>768</m:t>
        </m:r>
        <m:r>
          <m:rPr>
            <m:sty m:val="p"/>
          </m:rPr>
          <m:t>+</m:t>
        </m:r>
        <m:r>
          <m:t>1</m:t>
        </m:r>
        <m:r>
          <m:rPr>
            <m:sty m:val="p"/>
          </m:rPr>
          <m:t>=</m:t>
        </m:r>
        <m:r>
          <m:t>28</m:t>
        </m:r>
        <m:r>
          <m:rPr>
            <m:sty m:val="p"/>
          </m:rPr>
          <m:t>,</m:t>
        </m:r>
        <m:r>
          <m:t>232</m:t>
        </m:r>
      </m:oMath>
      <w:r>
        <w:t xml:space="preserve"> </w:t>
      </w:r>
      <w:r>
        <w:t xml:space="preserve">ports.</w:t>
      </w:r>
    </w:p>
    <w:p>
      <w:pPr>
        <w:numPr>
          <w:ilvl w:val="0"/>
          <w:numId w:val="1221"/>
        </w:numPr>
        <w:pStyle w:val="Compact"/>
      </w:pPr>
      <w:r>
        <w:t xml:space="preserve">Each closed connection holds its port in TIME_WAIT for 60 s.</w:t>
      </w:r>
    </w:p>
    <w:p>
      <w:pPr>
        <w:numPr>
          <w:ilvl w:val="0"/>
          <w:numId w:val="1221"/>
        </w:numPr>
        <w:pStyle w:val="Compact"/>
      </w:pPr>
      <w:r>
        <w:t xml:space="preserve">Sustainable new-connection rate to that single destination:</w:t>
      </w:r>
      <w:r>
        <w:t xml:space="preserve"> </w:t>
      </w:r>
      <m:oMath>
        <m:r>
          <m:t>28</m:t>
        </m:r>
        <m:r>
          <m:rPr>
            <m:sty m:val="p"/>
          </m:rPr>
          <m:t>,</m:t>
        </m:r>
        <m:r>
          <m:t>232</m:t>
        </m:r>
        <m:r>
          <m:rPr>
            <m:sty m:val="p"/>
          </m:rPr>
          <m:t>/</m:t>
        </m:r>
        <m:r>
          <m:t>60</m:t>
        </m:r>
        <m:r>
          <m:rPr>
            <m:sty m:val="p"/>
          </m:rPr>
          <m:t>≈</m:t>
        </m:r>
        <m:r>
          <m:t>470</m:t>
        </m:r>
      </m:oMath>
      <w:r>
        <w:t xml:space="preserve"> </w:t>
      </w:r>
      <w:r>
        <w:t xml:space="preserve">connections per second.</w:t>
      </w:r>
    </w:p>
    <w:p>
      <w:pPr>
        <w:numPr>
          <w:ilvl w:val="0"/>
          <w:numId w:val="1221"/>
        </w:numPr>
        <w:pStyle w:val="Compact"/>
      </w:pPr>
      <w:r>
        <w:t xml:space="preserve">At 1,000 requests per second with one connection per request, ports run out after about</w:t>
      </w:r>
      <w:r>
        <w:t xml:space="preserve"> </w:t>
      </w:r>
      <m:oMath>
        <m:r>
          <m:t>28</m:t>
        </m:r>
        <m:r>
          <m:rPr>
            <m:sty m:val="p"/>
          </m:rPr>
          <m:t>,</m:t>
        </m:r>
        <m:r>
          <m:t>232</m:t>
        </m:r>
        <m:r>
          <m:rPr>
            <m:sty m:val="p"/>
          </m:rPr>
          <m:t>/</m:t>
        </m:r>
        <m:r>
          <m:t>1</m:t>
        </m:r>
        <m:r>
          <m:rPr>
            <m:sty m:val="p"/>
          </m:rPr>
          <m:t>,</m:t>
        </m:r>
        <m:r>
          <m:t>000</m:t>
        </m:r>
        <m:r>
          <m:rPr>
            <m:sty m:val="p"/>
          </m:rPr>
          <m:t>≈</m:t>
        </m:r>
        <m:r>
          <m:t>28</m:t>
        </m:r>
      </m:oMath>
      <w:r>
        <w:t xml:space="preserve"> </w:t>
      </w:r>
      <w:r>
        <w:t xml:space="preserve">s, and</w:t>
      </w:r>
      <w:r>
        <w:t xml:space="preserve"> </w:t>
      </w:r>
      <w:r>
        <w:rPr>
          <w:rStyle w:val="VerbatimChar"/>
        </w:rPr>
        <w:t xml:space="preserve">connect()</w:t>
      </w:r>
      <w:r>
        <w:t xml:space="preserve"> </w:t>
      </w:r>
      <w:r>
        <w:t xml:space="preserve">starts failing with</w:t>
      </w:r>
      <w:r>
        <w:t xml:space="preserve"> </w:t>
      </w:r>
      <w:r>
        <w:rPr>
          <w:rStyle w:val="VerbatimChar"/>
        </w:rPr>
        <w:t xml:space="preserve">EADDRNOTAVAIL</w:t>
      </w:r>
      <w:r>
        <w:t xml:space="preserve">.</w:t>
      </w:r>
    </w:p>
    <w:p>
      <w:pPr>
        <w:pStyle w:val="CalloutExample"/>
      </w:pPr>
      <w:r>
        <w:t xml:space="preserve">Interpretation: TIME_WAIT is not a bug, but opening a connection per request is. Fixes, in order of preference: reuse connections with keep-alive and pooling (§7.16); add destination IPs or ports (each distinct 4-tuple has its own port space); widen the ephemeral range; enable</w:t>
      </w:r>
      <w:r>
        <w:t xml:space="preserve"> </w:t>
      </w:r>
      <w:r>
        <w:rPr>
          <w:rStyle w:val="VerbatimChar"/>
        </w:rPr>
        <w:t xml:space="preserve">net.ipv4.tcp_tw_reuse</w:t>
      </w:r>
      <w:r>
        <w:t xml:space="preserve"> </w:t>
      </w:r>
      <w:r>
        <w:t xml:space="preserve">for outgoing connections. Never use the long-removed</w:t>
      </w:r>
      <w:r>
        <w:t xml:space="preserve"> </w:t>
      </w:r>
      <w:r>
        <w:rPr>
          <w:rStyle w:val="VerbatimChar"/>
        </w:rPr>
        <w:t xml:space="preserve">tcp_tw_recycle</w:t>
      </w:r>
      <w:r>
        <w:t xml:space="preserve">, which broke clients behind NAT.</w:t>
      </w:r>
    </w:p>
    <w:bookmarkEnd w:id="740"/>
    <w:bookmarkStart w:id="741" w:name="X99c348e9e6b580eb5da5ccc0e66d633e36c0a55"/>
    <w:p>
      <w:pPr>
        <w:pStyle w:val="Heading3"/>
      </w:pPr>
      <w:r>
        <w:t xml:space="preserve">7.7.5 Sequence numbers, acknowledgments and retransmission</w:t>
      </w:r>
    </w:p>
    <w:p>
      <w:pPr>
        <w:pStyle w:val="FirstParagraph"/>
      </w:pPr>
      <w:r>
        <w:t xml:space="preserve">TCP uses</w:t>
      </w:r>
      <w:r>
        <w:t xml:space="preserve"> </w:t>
      </w:r>
      <w:r>
        <w:rPr>
          <w:bCs/>
          <w:b/>
        </w:rPr>
        <w:t xml:space="preserve">cumulative acknowledgments</w:t>
      </w:r>
      <w:r>
        <w:t xml:space="preserve">: ACK number</w:t>
      </w:r>
      <w:r>
        <w:t xml:space="preserve"> </w:t>
      </w:r>
      <m:oMath>
        <m:r>
          <m:t>N</m:t>
        </m:r>
      </m:oMath>
      <w:r>
        <w:t xml:space="preserve"> </w:t>
      </w:r>
      <w:r>
        <w:t xml:space="preserve">means</w:t>
      </w:r>
      <w:r>
        <w:t xml:space="preserve"> </w:t>
      </w:r>
      <w:r>
        <w:t xml:space="preserve">“</w:t>
      </w:r>
      <w:r>
        <w:t xml:space="preserve">I have all bytes before</w:t>
      </w:r>
      <w:r>
        <w:t xml:space="preserve"> </w:t>
      </w:r>
      <m:oMath>
        <m:r>
          <m:t>N</m:t>
        </m:r>
      </m:oMath>
      <w:r>
        <w:t xml:space="preserve">”</w:t>
      </w:r>
      <w:r>
        <w:t xml:space="preserve">. The sender keeps every unacknowledged byte in its send buffer and retransmits on one of two signals:</w:t>
      </w:r>
    </w:p>
    <w:p>
      <w:pPr>
        <w:numPr>
          <w:ilvl w:val="0"/>
          <w:numId w:val="1222"/>
        </w:numPr>
        <w:pStyle w:val="Compact"/>
      </w:pPr>
      <w:r>
        <w:rPr>
          <w:bCs/>
          <w:b/>
        </w:rPr>
        <w:t xml:space="preserve">Retransmission timeout (RTO).</w:t>
      </w:r>
      <w:r>
        <w:t xml:space="preserve"> </w:t>
      </w:r>
      <w:r>
        <w:t xml:space="preserve">If no ACK arrives within a timeout computed from measured RTTs, the sender retransmits the oldest unacknowledged segment, doubles the timeout (</w:t>
      </w:r>
      <w:r>
        <w:rPr>
          <w:bCs/>
          <w:b/>
        </w:rPr>
        <w:t xml:space="preserve">exponential backoff</w:t>
      </w:r>
      <w:r>
        <w:t xml:space="preserve">), and treats the event as severe congestion.</w:t>
      </w:r>
    </w:p>
    <w:p>
      <w:pPr>
        <w:numPr>
          <w:ilvl w:val="0"/>
          <w:numId w:val="1222"/>
        </w:numPr>
        <w:pStyle w:val="Compact"/>
      </w:pPr>
      <w:r>
        <w:rPr>
          <w:bCs/>
          <w:b/>
        </w:rPr>
        <w:t xml:space="preserve">Fast retransmit.</w:t>
      </w:r>
      <w:r>
        <w:t xml:space="preserve"> </w:t>
      </w:r>
      <w:r>
        <w:t xml:space="preserve">If the receiver gets a segment out of order, it immediately re-sends its last ACK. Three</w:t>
      </w:r>
      <w:r>
        <w:t xml:space="preserve"> </w:t>
      </w:r>
      <w:r>
        <w:rPr>
          <w:bCs/>
          <w:b/>
        </w:rPr>
        <w:t xml:space="preserve">duplicate ACKs</w:t>
      </w:r>
      <w:r>
        <w:t xml:space="preserve"> </w:t>
      </w:r>
      <w:r>
        <w:t xml:space="preserve">strongly suggest a single lost segment with later ones still arriving, so the sender retransmits at once without waiting for the timer [RFC 5681].</w:t>
      </w:r>
    </w:p>
    <w:p>
      <w:pPr>
        <w:pStyle w:val="FirstParagraph"/>
      </w:pPr>
      <w:r>
        <w:rPr>
          <w:bCs/>
          <w:b/>
        </w:rPr>
        <w:t xml:space="preserve">Selective acknowledgments (SACK)</w:t>
      </w:r>
      <w:r>
        <w:t xml:space="preserve"> </w:t>
      </w:r>
      <w:r>
        <w:t xml:space="preserve">let the receiver report exactly which blocks beyond the gap it holds, so the sender retransmits only what is missing.</w:t>
      </w:r>
    </w:p>
    <w:p>
      <w:pPr>
        <w:pStyle w:val="CalloutFormula"/>
      </w:pPr>
      <w:r>
        <w:rPr>
          <w:bCs/>
          <w:b/>
        </w:rPr>
        <w:t xml:space="preserve">FORMULA</w:t>
      </w:r>
    </w:p>
    <w:p>
      <w:pPr>
        <w:pStyle w:val="CalloutFormula"/>
      </w:pPr>
      <w:r>
        <w:rPr>
          <w:bCs/>
          <w:b/>
        </w:rPr>
        <w:t xml:space="preserve">Retransmission timeout (RFC 6298)</w:t>
      </w:r>
    </w:p>
    <w:p>
      <w:pPr>
        <w:pStyle w:val="CalloutFormula"/>
      </w:pPr>
      <w:r>
        <w:t xml:space="preserve">On each new RTT sample</w:t>
      </w:r>
      <w:r>
        <w:t xml:space="preserve"> </w:t>
      </w:r>
      <m:oMath>
        <m:r>
          <m:t>R</m:t>
        </m:r>
      </m:oMath>
      <w:r>
        <w:t xml:space="preserve"> </w:t>
      </w:r>
      <w:r>
        <w:t xml:space="preserve">(after the first):</w:t>
      </w:r>
    </w:p>
    <w:p>
      <w:pPr>
        <w:pStyle w:val="CalloutFormula"/>
      </w:pPr>
      <m:oMathPara>
        <m:oMathParaPr>
          <m:jc m:val="center"/>
        </m:oMathParaPr>
        <m:oMath>
          <m:r>
            <m:rPr>
              <m:nor/>
              <m:sty m:val="p"/>
            </m:rPr>
            <m:t>RTTVAR</m:t>
          </m:r>
          <m:r>
            <m:rPr>
              <m:sty m:val="p"/>
            </m:rPr>
            <m:t>←</m:t>
          </m:r>
          <m:d>
            <m:dPr>
              <m:begChr m:val="("/>
              <m:endChr m:val=")"/>
              <m:sepChr m:val=""/>
              <m:grow/>
            </m:dPr>
            <m:e>
              <m:r>
                <m:t>1</m:t>
              </m:r>
              <m:r>
                <m:rPr>
                  <m:sty m:val="p"/>
                </m:rPr>
                <m:t>−</m:t>
              </m:r>
              <m:r>
                <m:t>β</m:t>
              </m:r>
            </m:e>
          </m:d>
          <m:r>
            <m:t> </m:t>
          </m:r>
          <m:r>
            <m:rPr>
              <m:nor/>
              <m:sty m:val="p"/>
            </m:rPr>
            <m:t>RTTVAR</m:t>
          </m:r>
          <m:r>
            <m:rPr>
              <m:sty m:val="p"/>
            </m:rPr>
            <m:t>+</m:t>
          </m:r>
          <m:r>
            <m:t>β</m:t>
          </m:r>
          <m:r>
            <m:t> </m:t>
          </m:r>
          <m:d>
            <m:dPr>
              <m:begChr m:val="|"/>
              <m:endChr m:val="|"/>
              <m:sepChr m:val=""/>
              <m:grow/>
            </m:dPr>
            <m:e>
              <m:r>
                <m:rPr>
                  <m:nor/>
                  <m:sty m:val="p"/>
                </m:rPr>
                <m:t>SRTT</m:t>
              </m:r>
              <m:r>
                <m:rPr>
                  <m:sty m:val="p"/>
                </m:rPr>
                <m:t>−</m:t>
              </m:r>
              <m:r>
                <m:t>R</m:t>
              </m:r>
            </m:e>
          </m:d>
        </m:oMath>
      </m:oMathPara>
    </w:p>
    <w:p>
      <w:pPr>
        <w:pStyle w:val="CalloutFormula"/>
      </w:pPr>
      <m:oMathPara>
        <m:oMathParaPr>
          <m:jc m:val="center"/>
        </m:oMathParaPr>
        <m:oMath>
          <m:r>
            <m:rPr>
              <m:nor/>
              <m:sty m:val="p"/>
            </m:rPr>
            <m:t>SRTT</m:t>
          </m:r>
          <m:r>
            <m:rPr>
              <m:sty m:val="p"/>
            </m:rPr>
            <m:t>←</m:t>
          </m:r>
          <m:d>
            <m:dPr>
              <m:begChr m:val="("/>
              <m:endChr m:val=")"/>
              <m:sepChr m:val=""/>
              <m:grow/>
            </m:dPr>
            <m:e>
              <m:r>
                <m:t>1</m:t>
              </m:r>
              <m:r>
                <m:rPr>
                  <m:sty m:val="p"/>
                </m:rPr>
                <m:t>−</m:t>
              </m:r>
              <m:r>
                <m:t>α</m:t>
              </m:r>
            </m:e>
          </m:d>
          <m:r>
            <m:t> </m:t>
          </m:r>
          <m:r>
            <m:rPr>
              <m:nor/>
              <m:sty m:val="p"/>
            </m:rPr>
            <m:t>SRTT</m:t>
          </m:r>
          <m:r>
            <m:rPr>
              <m:sty m:val="p"/>
            </m:rPr>
            <m:t>+</m:t>
          </m:r>
          <m:r>
            <m:t>α</m:t>
          </m:r>
          <m:r>
            <m:t> </m:t>
          </m:r>
          <m:r>
            <m:t>R</m:t>
          </m:r>
        </m:oMath>
      </m:oMathPara>
    </w:p>
    <w:p>
      <w:pPr>
        <w:pStyle w:val="CalloutFormula"/>
      </w:pPr>
      <m:oMathPara>
        <m:oMathParaPr>
          <m:jc m:val="center"/>
        </m:oMathParaPr>
        <m:oMath>
          <m:r>
            <m:rPr>
              <m:nor/>
              <m:sty m:val="p"/>
            </m:rPr>
            <m:t>RTO</m:t>
          </m:r>
          <m:r>
            <m:rPr>
              <m:sty m:val="p"/>
            </m:rPr>
            <m:t>=</m:t>
          </m:r>
          <m:r>
            <m:rPr>
              <m:nor/>
              <m:sty m:val="p"/>
            </m:rPr>
            <m:t>SRTT</m:t>
          </m:r>
          <m:r>
            <m:rPr>
              <m:sty m:val="p"/>
            </m:rPr>
            <m:t>+</m:t>
          </m:r>
          <m:r>
            <m:rPr>
              <m:sty m:val="p"/>
            </m:rPr>
            <m:t>max</m:t>
          </m:r>
          <m:d>
            <m:dPr>
              <m:begChr m:val="("/>
              <m:endChr m:val=")"/>
              <m:sepChr m:val=""/>
              <m:grow/>
            </m:dPr>
            <m:e>
              <m:r>
                <m:t>G</m:t>
              </m:r>
              <m:r>
                <m:rPr>
                  <m:sty m:val="p"/>
                </m:rPr>
                <m:t>,</m:t>
              </m:r>
              <m:r>
                <m:t> </m:t>
              </m:r>
              <m:r>
                <m:t>4</m:t>
              </m:r>
              <m:r>
                <m:t> </m:t>
              </m:r>
              <m:r>
                <m:rPr>
                  <m:nor/>
                  <m:sty m:val="p"/>
                </m:rPr>
                <m:t>RTTVAR</m:t>
              </m:r>
            </m:e>
          </m:d>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R</m:t>
              </m:r>
            </m:oMath>
          </w:p>
        </w:tc>
        <w:tc>
          <w:tcPr/>
          <w:p>
            <w:pPr>
              <w:pStyle w:val="Compact"/>
              <w:jc w:val="left"/>
            </w:pPr>
            <w:r>
              <w:t xml:space="preserve">Latest measured round-trip time</w:t>
            </w:r>
          </w:p>
        </w:tc>
        <w:tc>
          <w:tcPr/>
          <w:p>
            <w:pPr>
              <w:pStyle w:val="Compact"/>
              <w:jc w:val="left"/>
            </w:pPr>
            <w:r>
              <w:t xml:space="preserve">ms</w:t>
            </w:r>
          </w:p>
        </w:tc>
      </w:tr>
      <w:tr>
        <w:tc>
          <w:tcPr/>
          <w:p>
            <w:pPr>
              <w:pStyle w:val="Compact"/>
              <w:jc w:val="left"/>
            </w:pPr>
            <w:r>
              <w:t xml:space="preserve">SRTT</w:t>
            </w:r>
          </w:p>
        </w:tc>
        <w:tc>
          <w:tcPr/>
          <w:p>
            <w:pPr>
              <w:pStyle w:val="Compact"/>
              <w:jc w:val="left"/>
            </w:pPr>
            <w:r>
              <w:t xml:space="preserve">Smoothed (exponentially averaged) RTT</w:t>
            </w:r>
          </w:p>
        </w:tc>
        <w:tc>
          <w:tcPr/>
          <w:p>
            <w:pPr>
              <w:pStyle w:val="Compact"/>
              <w:jc w:val="left"/>
            </w:pPr>
            <w:r>
              <w:t xml:space="preserve">ms</w:t>
            </w:r>
          </w:p>
        </w:tc>
      </w:tr>
      <w:tr>
        <w:tc>
          <w:tcPr/>
          <w:p>
            <w:pPr>
              <w:pStyle w:val="Compact"/>
              <w:jc w:val="left"/>
            </w:pPr>
            <w:r>
              <w:t xml:space="preserve">RTTVAR</w:t>
            </w:r>
          </w:p>
        </w:tc>
        <w:tc>
          <w:tcPr/>
          <w:p>
            <w:pPr>
              <w:pStyle w:val="Compact"/>
              <w:jc w:val="left"/>
            </w:pPr>
            <w:r>
              <w:t xml:space="preserve">Smoothed RTT variation</w:t>
            </w:r>
          </w:p>
        </w:tc>
        <w:tc>
          <w:tcPr/>
          <w:p>
            <w:pPr>
              <w:pStyle w:val="Compact"/>
              <w:jc w:val="left"/>
            </w:pPr>
            <w:r>
              <w:t xml:space="preserve">ms</w:t>
            </w:r>
          </w:p>
        </w:tc>
      </w:tr>
      <w:tr>
        <w:tc>
          <w:tcPr/>
          <w:p>
            <w:pPr>
              <w:pStyle w:val="Compact"/>
              <w:jc w:val="left"/>
            </w:pPr>
            <m:oMath>
              <m:r>
                <m:t>α</m:t>
              </m:r>
              <m:r>
                <m:rPr>
                  <m:sty m:val="p"/>
                </m:rPr>
                <m:t>,</m:t>
              </m:r>
              <m:r>
                <m:t>β</m:t>
              </m:r>
            </m:oMath>
          </w:p>
        </w:tc>
        <w:tc>
          <w:tcPr/>
          <w:p>
            <w:pPr>
              <w:pStyle w:val="Compact"/>
              <w:jc w:val="left"/>
            </w:pPr>
            <w:r>
              <w:t xml:space="preserve">Smoothing gains,</w:t>
            </w:r>
            <w:r>
              <w:t xml:space="preserve"> </w:t>
            </w:r>
            <m:oMath>
              <m:r>
                <m:t>1</m:t>
              </m:r>
              <m:r>
                <m:rPr>
                  <m:sty m:val="p"/>
                </m:rPr>
                <m:t>/</m:t>
              </m:r>
              <m:r>
                <m:t>8</m:t>
              </m:r>
            </m:oMath>
            <w:r>
              <w:t xml:space="preserve"> </w:t>
            </w:r>
            <w:r>
              <w:t xml:space="preserve">and</w:t>
            </w:r>
            <w:r>
              <w:t xml:space="preserve"> </w:t>
            </w:r>
            <m:oMath>
              <m:r>
                <m:t>1</m:t>
              </m:r>
              <m:r>
                <m:rPr>
                  <m:sty m:val="p"/>
                </m:rPr>
                <m:t>/</m:t>
              </m:r>
              <m:r>
                <m:t>4</m:t>
              </m:r>
            </m:oMath>
          </w:p>
        </w:tc>
        <w:tc>
          <w:tcPr/>
          <w:p>
            <w:pPr>
              <w:pStyle w:val="Compact"/>
              <w:jc w:val="left"/>
            </w:pPr>
            <w:r>
              <w:t xml:space="preserve">dimensionless</w:t>
            </w:r>
          </w:p>
        </w:tc>
      </w:tr>
      <w:tr>
        <w:tc>
          <w:tcPr/>
          <w:p>
            <w:pPr>
              <w:pStyle w:val="Compact"/>
              <w:jc w:val="left"/>
            </w:pPr>
            <m:oMath>
              <m:r>
                <m:t>G</m:t>
              </m:r>
            </m:oMath>
          </w:p>
        </w:tc>
        <w:tc>
          <w:tcPr/>
          <w:p>
            <w:pPr>
              <w:pStyle w:val="Compact"/>
              <w:jc w:val="left"/>
            </w:pPr>
            <w:r>
              <w:t xml:space="preserve">Clock granularity</w:t>
            </w:r>
          </w:p>
        </w:tc>
        <w:tc>
          <w:tcPr/>
          <w:p>
            <w:pPr>
              <w:pStyle w:val="Compact"/>
              <w:jc w:val="left"/>
            </w:pPr>
            <w:r>
              <w:t xml:space="preserve">ms</w:t>
            </w:r>
          </w:p>
        </w:tc>
      </w:tr>
      <w:tr>
        <w:tc>
          <w:tcPr/>
          <w:p>
            <w:pPr>
              <w:pStyle w:val="Compact"/>
              <w:jc w:val="left"/>
            </w:pPr>
            <w:r>
              <w:t xml:space="preserve">RTO</w:t>
            </w:r>
          </w:p>
        </w:tc>
        <w:tc>
          <w:tcPr/>
          <w:p>
            <w:pPr>
              <w:pStyle w:val="Compact"/>
              <w:jc w:val="left"/>
            </w:pPr>
            <w:r>
              <w:t xml:space="preserve">Retransmission timeout; RFC 6298 says round up to at least 1 s</w:t>
            </w:r>
          </w:p>
        </w:tc>
        <w:tc>
          <w:tcPr/>
          <w:p>
            <w:pPr>
              <w:pStyle w:val="Compact"/>
              <w:jc w:val="left"/>
            </w:pPr>
            <w:r>
              <w:t xml:space="preserve">ms</w:t>
            </w:r>
          </w:p>
        </w:tc>
      </w:tr>
    </w:tbl>
    <w:p>
      <w:pPr>
        <w:pStyle w:val="CalloutExample"/>
      </w:pPr>
      <w:r>
        <w:rPr>
          <w:bCs/>
          <w:b/>
        </w:rPr>
        <w:t xml:space="preserve">WORKED EXAMPLE</w:t>
      </w:r>
    </w:p>
    <w:p>
      <w:pPr>
        <w:pStyle w:val="CalloutExample"/>
      </w:pPr>
      <w:r>
        <w:rPr>
          <w:bCs/>
          <w:b/>
        </w:rPr>
        <w:t xml:space="preserve">Worked example — Computing an RTO.</w:t>
      </w:r>
    </w:p>
    <w:p>
      <w:pPr>
        <w:pStyle w:val="CalloutExample"/>
      </w:pPr>
      <w:r>
        <w:t xml:space="preserve">Current state: SRTT = 100 ms, RTTVAR = 10 ms. A new sample arrives:</w:t>
      </w:r>
      <w:r>
        <w:t xml:space="preserve"> </w:t>
      </w:r>
      <m:oMath>
        <m:r>
          <m:t>R</m:t>
        </m:r>
        <m:r>
          <m:rPr>
            <m:sty m:val="p"/>
          </m:rPr>
          <m:t>=</m:t>
        </m:r>
        <m:r>
          <m:t>140</m:t>
        </m:r>
      </m:oMath>
      <w:r>
        <w:t xml:space="preserve"> </w:t>
      </w:r>
      <w:r>
        <w:t xml:space="preserve">ms. Assume</w:t>
      </w:r>
      <w:r>
        <w:t xml:space="preserve"> </w:t>
      </w:r>
      <m:oMath>
        <m:r>
          <m:t>G</m:t>
        </m:r>
      </m:oMath>
      <w:r>
        <w:t xml:space="preserve"> </w:t>
      </w:r>
      <w:r>
        <w:t xml:space="preserve">is negligible.</w:t>
      </w:r>
    </w:p>
    <w:p>
      <w:pPr>
        <w:numPr>
          <w:ilvl w:val="0"/>
          <w:numId w:val="1223"/>
        </w:numPr>
        <w:pStyle w:val="Compact"/>
      </w:pPr>
      <w:r>
        <w:t xml:space="preserve">RTTVAR</w:t>
      </w:r>
      <w:r>
        <w:t xml:space="preserve"> </w:t>
      </w:r>
      <m:oMath>
        <m:r>
          <m:rPr>
            <m:sty m:val="p"/>
          </m:rPr>
          <m:t>=</m:t>
        </m:r>
        <m:r>
          <m:t>0.75</m:t>
        </m:r>
        <m:r>
          <m:rPr>
            <m:sty m:val="p"/>
          </m:rPr>
          <m:t>×</m:t>
        </m:r>
        <m:r>
          <m:t>10</m:t>
        </m:r>
        <m:r>
          <m:rPr>
            <m:sty m:val="p"/>
          </m:rPr>
          <m:t>+</m:t>
        </m:r>
        <m:r>
          <m:t>0.25</m:t>
        </m:r>
        <m:r>
          <m:rPr>
            <m:sty m:val="p"/>
          </m:rPr>
          <m:t>×</m:t>
        </m:r>
        <m:d>
          <m:dPr>
            <m:begChr m:val="|"/>
            <m:endChr m:val="|"/>
            <m:sepChr m:val=""/>
            <m:grow/>
          </m:dPr>
          <m:e>
            <m:r>
              <m:t>100</m:t>
            </m:r>
            <m:r>
              <m:rPr>
                <m:sty m:val="p"/>
              </m:rPr>
              <m:t>−</m:t>
            </m:r>
            <m:r>
              <m:t>140</m:t>
            </m:r>
          </m:e>
        </m:d>
        <m:r>
          <m:rPr>
            <m:sty m:val="p"/>
          </m:rPr>
          <m:t>=</m:t>
        </m:r>
        <m:r>
          <m:t>7.5</m:t>
        </m:r>
        <m:r>
          <m:rPr>
            <m:sty m:val="p"/>
          </m:rPr>
          <m:t>+</m:t>
        </m:r>
        <m:r>
          <m:t>10</m:t>
        </m:r>
        <m:r>
          <m:rPr>
            <m:sty m:val="p"/>
          </m:rPr>
          <m:t>=</m:t>
        </m:r>
        <m:r>
          <m:t>17.5</m:t>
        </m:r>
      </m:oMath>
      <w:r>
        <w:t xml:space="preserve"> </w:t>
      </w:r>
      <w:r>
        <w:t xml:space="preserve">ms (computed with the</w:t>
      </w:r>
      <w:r>
        <w:t xml:space="preserve"> </w:t>
      </w:r>
      <w:r>
        <w:rPr>
          <w:iCs/>
          <w:i/>
        </w:rPr>
        <w:t xml:space="preserve">old</w:t>
      </w:r>
      <w:r>
        <w:t xml:space="preserve"> </w:t>
      </w:r>
      <w:r>
        <w:t xml:space="preserve">SRTT, as the RFC requires).</w:t>
      </w:r>
    </w:p>
    <w:p>
      <w:pPr>
        <w:numPr>
          <w:ilvl w:val="0"/>
          <w:numId w:val="1223"/>
        </w:numPr>
        <w:pStyle w:val="Compact"/>
      </w:pPr>
      <w:r>
        <w:t xml:space="preserve">SRTT</w:t>
      </w:r>
      <w:r>
        <w:t xml:space="preserve"> </w:t>
      </w:r>
      <m:oMath>
        <m:r>
          <m:rPr>
            <m:sty m:val="p"/>
          </m:rPr>
          <m:t>=</m:t>
        </m:r>
        <m:r>
          <m:t>0.875</m:t>
        </m:r>
        <m:r>
          <m:rPr>
            <m:sty m:val="p"/>
          </m:rPr>
          <m:t>×</m:t>
        </m:r>
        <m:r>
          <m:t>100</m:t>
        </m:r>
        <m:r>
          <m:rPr>
            <m:sty m:val="p"/>
          </m:rPr>
          <m:t>+</m:t>
        </m:r>
        <m:r>
          <m:t>0.125</m:t>
        </m:r>
        <m:r>
          <m:rPr>
            <m:sty m:val="p"/>
          </m:rPr>
          <m:t>×</m:t>
        </m:r>
        <m:r>
          <m:t>140</m:t>
        </m:r>
        <m:r>
          <m:rPr>
            <m:sty m:val="p"/>
          </m:rPr>
          <m:t>=</m:t>
        </m:r>
        <m:r>
          <m:t>87.5</m:t>
        </m:r>
        <m:r>
          <m:rPr>
            <m:sty m:val="p"/>
          </m:rPr>
          <m:t>+</m:t>
        </m:r>
        <m:r>
          <m:t>17.5</m:t>
        </m:r>
        <m:r>
          <m:rPr>
            <m:sty m:val="p"/>
          </m:rPr>
          <m:t>=</m:t>
        </m:r>
        <m:r>
          <m:t>105</m:t>
        </m:r>
      </m:oMath>
      <w:r>
        <w:t xml:space="preserve"> </w:t>
      </w:r>
      <w:r>
        <w:t xml:space="preserve">ms.</w:t>
      </w:r>
    </w:p>
    <w:p>
      <w:pPr>
        <w:numPr>
          <w:ilvl w:val="0"/>
          <w:numId w:val="1223"/>
        </w:numPr>
        <w:pStyle w:val="Compact"/>
      </w:pPr>
      <w:r>
        <w:t xml:space="preserve">RTO</w:t>
      </w:r>
      <w:r>
        <w:t xml:space="preserve"> </w:t>
      </w:r>
      <m:oMath>
        <m:r>
          <m:rPr>
            <m:sty m:val="p"/>
          </m:rPr>
          <m:t>=</m:t>
        </m:r>
        <m:r>
          <m:t>105</m:t>
        </m:r>
        <m:r>
          <m:rPr>
            <m:sty m:val="p"/>
          </m:rPr>
          <m:t>+</m:t>
        </m:r>
        <m:r>
          <m:t>4</m:t>
        </m:r>
        <m:r>
          <m:rPr>
            <m:sty m:val="p"/>
          </m:rPr>
          <m:t>×</m:t>
        </m:r>
        <m:r>
          <m:t>17.5</m:t>
        </m:r>
        <m:r>
          <m:rPr>
            <m:sty m:val="p"/>
          </m:rPr>
          <m:t>=</m:t>
        </m:r>
        <m:r>
          <m:t>175</m:t>
        </m:r>
      </m:oMath>
      <w:r>
        <w:t xml:space="preserve"> </w:t>
      </w:r>
      <w:r>
        <w:t xml:space="preserve">ms.</w:t>
      </w:r>
    </w:p>
    <w:p>
      <w:pPr>
        <w:numPr>
          <w:ilvl w:val="0"/>
          <w:numId w:val="1223"/>
        </w:numPr>
        <w:pStyle w:val="Compact"/>
      </w:pPr>
      <w:r>
        <w:t xml:space="preserve">RFC 6298 rounds this up to its 1 s minimum; Linux uses a 200 ms minimum, so Linux would wait 200 ms.</w:t>
      </w:r>
    </w:p>
    <w:p>
      <w:pPr>
        <w:pStyle w:val="CalloutExample"/>
      </w:pPr>
      <w:r>
        <w:t xml:space="preserve">Interpretation: inside a datacenter, where RTTs are around 0.1–0.5 ms, a single timeout-driven retransmission costs 200 ms, hundreds of times the normal latency. This is why one lost packet can dominate p99 latency for small RPCs (§23.6), and why datacenter operators tune minimum RTOs down and work hard to avoid drops.</w:t>
      </w:r>
    </w:p>
    <w:bookmarkEnd w:id="741"/>
    <w:bookmarkStart w:id="742" w:name="flow-control-and-the-receive-window"/>
    <w:p>
      <w:pPr>
        <w:pStyle w:val="Heading3"/>
      </w:pPr>
      <w:r>
        <w:t xml:space="preserve">7.7.6 Flow control and the receive window</w:t>
      </w:r>
    </w:p>
    <w:p>
      <w:pPr>
        <w:pStyle w:val="FirstParagraph"/>
      </w:pPr>
      <w:r>
        <w:rPr>
          <w:bCs/>
          <w:b/>
        </w:rPr>
        <w:t xml:space="preserve">Flow control</w:t>
      </w:r>
      <w:r>
        <w:t xml:space="preserve"> </w:t>
      </w:r>
      <w:r>
        <w:t xml:space="preserve">prevents a fast sender from overflowing a slow receiver. Each ACK advertises the</w:t>
      </w:r>
      <w:r>
        <w:t xml:space="preserve"> </w:t>
      </w:r>
      <w:r>
        <w:rPr>
          <w:bCs/>
          <w:b/>
        </w:rPr>
        <w:t xml:space="preserve">receive window</w:t>
      </w:r>
      <w:r>
        <w:t xml:space="preserve"> </w:t>
      </w:r>
      <w:r>
        <w:t xml:space="preserve">(</w:t>
      </w:r>
      <w:r>
        <w:rPr>
          <w:rStyle w:val="VerbatimChar"/>
        </w:rPr>
        <w:t xml:space="preserve">rwnd</w:t>
      </w:r>
      <w:r>
        <w:t xml:space="preserve">): the free space in the receiver’s socket buffer. The sender never has more than</w:t>
      </w:r>
      <w:r>
        <w:t xml:space="preserve"> </w:t>
      </w:r>
      <w:r>
        <w:rPr>
          <w:rStyle w:val="VerbatimChar"/>
        </w:rPr>
        <w:t xml:space="preserve">rwnd</w:t>
      </w:r>
      <w:r>
        <w:t xml:space="preserve"> </w:t>
      </w:r>
      <w:r>
        <w:t xml:space="preserve">unacknowledged bytes outstanding. If the application stops reading, the buffer fills, the advertised window drops to zero, and the sender pauses, probing periodically until the window reopens. Flow control is how TCP provides</w:t>
      </w:r>
      <w:r>
        <w:t xml:space="preserve"> </w:t>
      </w:r>
      <w:r>
        <w:rPr>
          <w:bCs/>
          <w:b/>
        </w:rPr>
        <w:t xml:space="preserve">backpressure</w:t>
      </w:r>
      <w:r>
        <w:t xml:space="preserve"> </w:t>
      </w:r>
      <w:r>
        <w:t xml:space="preserve">end to end (§22.10).</w:t>
      </w:r>
    </w:p>
    <w:p>
      <w:pPr>
        <w:pStyle w:val="BodyText"/>
      </w:pPr>
      <w:r>
        <w:t xml:space="preserve">The header’s window field is 16 bits, so it can express at most 65,535 bytes. That is far too small for fast long-distance links (see the bandwidth-delay product in §7.15), so the</w:t>
      </w:r>
      <w:r>
        <w:t xml:space="preserve"> </w:t>
      </w:r>
      <w:r>
        <w:rPr>
          <w:bCs/>
          <w:b/>
        </w:rPr>
        <w:t xml:space="preserve">window scale</w:t>
      </w:r>
      <w:r>
        <w:t xml:space="preserve"> </w:t>
      </w:r>
      <w:r>
        <w:t xml:space="preserve">option (RFC 7323), negotiated in the SYN, multiplies the window by</w:t>
      </w:r>
      <w:r>
        <w:t xml:space="preserve"> </w:t>
      </w:r>
      <m:oMath>
        <m:sSup>
          <m:e>
            <m:r>
              <m:t>2</m:t>
            </m:r>
          </m:e>
          <m:sup>
            <m:r>
              <m:t>s</m:t>
            </m:r>
          </m:sup>
        </m:sSup>
      </m:oMath>
      <w:r>
        <w:t xml:space="preserve"> </w:t>
      </w:r>
      <w:r>
        <w:t xml:space="preserve">for</w:t>
      </w:r>
      <w:r>
        <w:t xml:space="preserve"> </w:t>
      </w:r>
      <m:oMath>
        <m:r>
          <m:t>s</m:t>
        </m:r>
        <m:r>
          <m:rPr>
            <m:sty m:val="p"/>
          </m:rPr>
          <m:t>≤</m:t>
        </m:r>
        <m:r>
          <m:t>14</m:t>
        </m:r>
      </m:oMath>
      <w:r>
        <w:t xml:space="preserve">, allowing windows up to about 1 GiB (</w:t>
      </w:r>
      <m:oMath>
        <m:r>
          <m:t>65</m:t>
        </m:r>
        <m:r>
          <m:rPr>
            <m:sty m:val="p"/>
          </m:rPr>
          <m:t>,</m:t>
        </m:r>
        <m:r>
          <m:t>535</m:t>
        </m:r>
        <m:r>
          <m:rPr>
            <m:sty m:val="p"/>
          </m:rPr>
          <m:t>×</m:t>
        </m:r>
        <m:sSup>
          <m:e>
            <m:r>
              <m:t>2</m:t>
            </m:r>
          </m:e>
          <m:sup>
            <m:r>
              <m:t>14</m:t>
            </m:r>
          </m:sup>
        </m:sSup>
        <m:r>
          <m:rPr>
            <m:sty m:val="p"/>
          </m:rPr>
          <m:t>=</m:t>
        </m:r>
        <m:r>
          <m:t>1</m:t>
        </m:r>
        <m:r>
          <m:rPr>
            <m:sty m:val="p"/>
          </m:rPr>
          <m:t>,</m:t>
        </m:r>
        <m:r>
          <m:t>073</m:t>
        </m:r>
        <m:r>
          <m:rPr>
            <m:sty m:val="p"/>
          </m:rPr>
          <m:t>,</m:t>
        </m:r>
        <m:r>
          <m:t>725</m:t>
        </m:r>
        <m:r>
          <m:rPr>
            <m:sty m:val="p"/>
          </m:rPr>
          <m:t>,</m:t>
        </m:r>
        <m:r>
          <m:t>440</m:t>
        </m:r>
      </m:oMath>
      <w:r>
        <w:t xml:space="preserve"> </w:t>
      </w:r>
      <w:r>
        <w:t xml:space="preserve">bytes).</w:t>
      </w:r>
    </w:p>
    <w:bookmarkEnd w:id="742"/>
    <w:bookmarkStart w:id="749" w:name="congestion-control"/>
    <w:p>
      <w:pPr>
        <w:pStyle w:val="Heading3"/>
      </w:pPr>
      <w:r>
        <w:t xml:space="preserve">7.7.7 Congestion control</w:t>
      </w:r>
    </w:p>
    <w:p>
      <w:pPr>
        <w:pStyle w:val="FirstParagraph"/>
      </w:pPr>
      <w:r>
        <w:t xml:space="preserve">Flow control protects the receiver.</w:t>
      </w:r>
      <w:r>
        <w:t xml:space="preserve"> </w:t>
      </w:r>
      <w:r>
        <w:rPr>
          <w:bCs/>
          <w:b/>
        </w:rPr>
        <w:t xml:space="preserve">Congestion control</w:t>
      </w:r>
      <w:r>
        <w:t xml:space="preserve"> </w:t>
      </w:r>
      <w:r>
        <w:t xml:space="preserve">protects the network. In October 1986, the early Internet suffered</w:t>
      </w:r>
      <w:r>
        <w:t xml:space="preserve"> </w:t>
      </w:r>
      <w:r>
        <w:rPr>
          <w:bCs/>
          <w:b/>
        </w:rPr>
        <w:t xml:space="preserve">congestion collapse</w:t>
      </w:r>
      <w:r>
        <w:t xml:space="preserve">: throughput between Lawrence Berkeley Laboratory and UC Berkeley fell from 32 kbps to 40 bps [Jacobson 1988] because senders retransmitted aggressively into already-full queues, so most bandwidth carried duplicate packets that were then dropped. Van Jacobson’s 1988 algorithms, refined into today’s RFC 5681, made each sender infer congestion and back off.</w:t>
      </w:r>
    </w:p>
    <w:p>
      <w:pPr>
        <w:pStyle w:val="CalloutDefinition"/>
      </w:pPr>
      <w:r>
        <w:rPr>
          <w:bCs/>
          <w:b/>
        </w:rPr>
        <w:t xml:space="preserve">DEFINITION</w:t>
      </w:r>
    </w:p>
    <w:p>
      <w:pPr>
        <w:pStyle w:val="CalloutDefinition"/>
      </w:pPr>
      <w:r>
        <w:rPr>
          <w:bCs/>
          <w:b/>
        </w:rPr>
        <w:t xml:space="preserve">Definition — Congestion window (cwnd).</w:t>
      </w:r>
      <w:r>
        <w:t xml:space="preserve"> </w:t>
      </w:r>
      <w:r>
        <w:t xml:space="preserve">A sender-side limit, in bytes or segments, on unacknowledged data in flight, based on the sender’s estimate of what the network path can absorb. The sender may have at most</w:t>
      </w:r>
      <w:r>
        <w:t xml:space="preserve"> </w:t>
      </w:r>
      <m:oMath>
        <m:r>
          <m:rPr>
            <m:sty m:val="p"/>
          </m:rPr>
          <m:t>min</m:t>
        </m:r>
        <m:d>
          <m:dPr>
            <m:begChr m:val="("/>
            <m:endChr m:val=")"/>
            <m:sepChr m:val=""/>
            <m:grow/>
          </m:dPr>
          <m:e>
            <m:r>
              <m:rPr>
                <m:nor/>
                <m:sty m:val="p"/>
              </m:rPr>
              <m:t>cwnd</m:t>
            </m:r>
            <m:r>
              <m:rPr>
                <m:sty m:val="p"/>
              </m:rPr>
              <m:t>,</m:t>
            </m:r>
            <m:r>
              <m:rPr>
                <m:nor/>
                <m:sty m:val="p"/>
              </m:rPr>
              <m:t>rwnd</m:t>
            </m:r>
          </m:e>
        </m:d>
      </m:oMath>
      <w:r>
        <w:t xml:space="preserve"> </w:t>
      </w:r>
      <w:r>
        <w:t xml:space="preserve">bytes outstanding.</w:t>
      </w:r>
    </w:p>
    <w:bookmarkStart w:id="746" w:name="how-classic-congestion-control-works"/>
    <w:p>
      <w:pPr>
        <w:pStyle w:val="Heading4"/>
      </w:pPr>
      <w:r>
        <w:t xml:space="preserve">How classic congestion control works</w:t>
      </w:r>
    </w:p>
    <w:p>
      <w:pPr>
        <w:numPr>
          <w:ilvl w:val="0"/>
          <w:numId w:val="1224"/>
        </w:numPr>
        <w:pStyle w:val="Compact"/>
      </w:pPr>
      <w:r>
        <w:rPr>
          <w:bCs/>
          <w:b/>
        </w:rPr>
        <w:t xml:space="preserve">Slow start.</w:t>
      </w:r>
      <w:r>
        <w:t xml:space="preserve"> </w:t>
      </w:r>
      <w:r>
        <w:t xml:space="preserve">A new connection starts with a small initial window (10 segments, about 14.6 KB, per RFC 6928) and increases cwnd by one segment for every segment acknowledged. That</w:t>
      </w:r>
      <w:r>
        <w:t xml:space="preserve"> </w:t>
      </w:r>
      <w:r>
        <w:rPr>
          <w:bCs/>
          <w:b/>
        </w:rPr>
        <w:t xml:space="preserve">doubles cwnd every RTT</w:t>
      </w:r>
      <w:r>
        <w:t xml:space="preserve">:</w:t>
      </w:r>
      <w:r>
        <w:t xml:space="preserve"> </w:t>
      </w:r>
      <w:r>
        <w:t xml:space="preserve">“</w:t>
      </w:r>
      <w:r>
        <w:t xml:space="preserve">slow</w:t>
      </w:r>
      <w:r>
        <w:t xml:space="preserve">”</w:t>
      </w:r>
      <w:r>
        <w:t xml:space="preserve"> </w:t>
      </w:r>
      <w:r>
        <w:t xml:space="preserve">only in comparison with sending everything at once.</w:t>
      </w:r>
    </w:p>
    <w:p>
      <w:pPr>
        <w:numPr>
          <w:ilvl w:val="0"/>
          <w:numId w:val="1224"/>
        </w:numPr>
        <w:pStyle w:val="Compact"/>
      </w:pPr>
      <w:r>
        <w:t xml:space="preserve">When cwnd reaches the</w:t>
      </w:r>
      <w:r>
        <w:t xml:space="preserve"> </w:t>
      </w:r>
      <w:r>
        <w:rPr>
          <w:bCs/>
          <w:b/>
        </w:rPr>
        <w:t xml:space="preserve">slow-start threshold</w:t>
      </w:r>
      <w:r>
        <w:t xml:space="preserve"> </w:t>
      </w:r>
      <w:r>
        <w:t xml:space="preserve">(</w:t>
      </w:r>
      <w:r>
        <w:rPr>
          <w:rStyle w:val="VerbatimChar"/>
        </w:rPr>
        <w:t xml:space="preserve">ssthresh</w:t>
      </w:r>
      <w:r>
        <w:t xml:space="preserve">), the sender switches to</w:t>
      </w:r>
      <w:r>
        <w:t xml:space="preserve"> </w:t>
      </w:r>
      <w:r>
        <w:rPr>
          <w:bCs/>
          <w:b/>
        </w:rPr>
        <w:t xml:space="preserve">congestion avoidance</w:t>
      </w:r>
      <w:r>
        <w:t xml:space="preserve">: it adds about one segment per RTT (</w:t>
      </w:r>
      <w:r>
        <w:rPr>
          <w:bCs/>
          <w:b/>
        </w:rPr>
        <w:t xml:space="preserve">additive increase</w:t>
      </w:r>
      <w:r>
        <w:t xml:space="preserve">).</w:t>
      </w:r>
    </w:p>
    <w:p>
      <w:pPr>
        <w:numPr>
          <w:ilvl w:val="0"/>
          <w:numId w:val="1224"/>
        </w:numPr>
        <w:pStyle w:val="Compact"/>
      </w:pPr>
      <w:r>
        <w:t xml:space="preserve">On a loss detected by three duplicate ACKs, the sender halves cwnd (</w:t>
      </w:r>
      <w:r>
        <w:rPr>
          <w:bCs/>
          <w:b/>
        </w:rPr>
        <w:t xml:space="preserve">multiplicative decrease</w:t>
      </w:r>
      <w:r>
        <w:t xml:space="preserve">), sets ssthresh to the new value, retransmits, and continues in congestion avoidance via</w:t>
      </w:r>
      <w:r>
        <w:t xml:space="preserve"> </w:t>
      </w:r>
      <w:r>
        <w:rPr>
          <w:bCs/>
          <w:b/>
        </w:rPr>
        <w:t xml:space="preserve">fast recovery</w:t>
      </w:r>
      <w:r>
        <w:t xml:space="preserve">.</w:t>
      </w:r>
    </w:p>
    <w:p>
      <w:pPr>
        <w:numPr>
          <w:ilvl w:val="0"/>
          <w:numId w:val="1224"/>
        </w:numPr>
        <w:pStyle w:val="Compact"/>
      </w:pPr>
      <w:r>
        <w:t xml:space="preserve">On a retransmission timeout, the sender assumes something severe happened, sets ssthresh to half the flight size, resets cwnd to one segment, and re-enters slow start.</w:t>
      </w:r>
    </w:p>
    <w:p>
      <w:pPr>
        <w:pStyle w:val="FirstParagraph"/>
      </w:pPr>
      <w:r>
        <w:t xml:space="preserve">Steps 2 and 3 together are</w:t>
      </w:r>
      <w:r>
        <w:t xml:space="preserve"> </w:t>
      </w:r>
      <w:r>
        <w:rPr>
          <w:bCs/>
          <w:b/>
        </w:rPr>
        <w:t xml:space="preserve">AIMD (additive increase, multiplicative decrease)</w:t>
      </w:r>
      <w:r>
        <w:t xml:space="preserve">. It produces the familiar sawtooth of cwnd over time, and it has a beautiful property: multiple AIMD flows sharing a bottleneck converge toward an equal share.</w:t>
      </w:r>
    </w:p>
    <w:p>
      <w:pPr>
        <w:pStyle w:val="BodyText"/>
      </w:pPr>
      <w:r>
        <w:rPr>
          <w:bCs/>
          <w:b/>
        </w:rPr>
        <w:t xml:space="preserve">Figure 7.6 — Loss-based TCP congestion control states (Reno-style).</w:t>
      </w:r>
    </w:p>
    <w:p>
      <w:pPr>
        <w:pStyle w:val="BodyText"/>
      </w:pPr>
      <w:r>
        <w:drawing>
          <wp:inline>
            <wp:extent cx="5334000" cy="2540000"/>
            <wp:effectExtent b="0" l="0" r="0" t="0"/>
            <wp:docPr descr="" title="" id="744" name="Picture"/>
            <a:graphic>
              <a:graphicData uri="http://schemas.openxmlformats.org/drawingml/2006/picture">
                <pic:pic>
                  <pic:nvPicPr>
                    <pic:cNvPr descr="/home/user/System-Design/build/.cache/diagrams/f99e697e20f9.png" id="745" name="Picture"/>
                    <pic:cNvPicPr>
                      <a:picLocks noChangeArrowheads="1" noChangeAspect="1"/>
                    </pic:cNvPicPr>
                  </pic:nvPicPr>
                  <pic:blipFill>
                    <a:blip r:embed="rId743"/>
                    <a:stretch>
                      <a:fillRect/>
                    </a:stretch>
                  </pic:blipFill>
                  <pic:spPr bwMode="auto">
                    <a:xfrm>
                      <a:off x="0" y="0"/>
                      <a:ext cx="5334000" cy="2540000"/>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Each box is a sender state. A connection begins in slow start, where cwnd doubles each RTT. Reaching ssthresh moves it to congestion avoidance (linear growth). Three duplicate ACKs, a mild loss signal, move it to fast recovery with cwnd halved; once the lost data is acknowledged, it returns to congestion avoidance. A timeout, the severe signal, sends it all the way back to slow start with cwnd of one segment. All transitions are driven by asynchronous events (ACK arrivals and timers) on the sender. Failure point: repeated timeouts on a lossy path keep the connection in slow start with exponentially growing RTOs, which users experience as a</w:t>
      </w:r>
      <w:r>
        <w:t xml:space="preserve"> </w:t>
      </w:r>
      <w:r>
        <w:t xml:space="preserve">“</w:t>
      </w:r>
      <w:r>
        <w:t xml:space="preserve">hung</w:t>
      </w:r>
      <w:r>
        <w:t xml:space="preserve">”</w:t>
      </w:r>
      <w:r>
        <w:t xml:space="preserve"> </w:t>
      </w:r>
      <w:r>
        <w:t xml:space="preserve">transfer.</w:t>
      </w:r>
    </w:p>
    <w:p>
      <w:pPr>
        <w:pStyle w:val="CalloutExample"/>
      </w:pPr>
      <w:r>
        <w:rPr>
          <w:bCs/>
          <w:b/>
        </w:rPr>
        <w:t xml:space="preserve">WORKED EXAMPLE</w:t>
      </w:r>
    </w:p>
    <w:p>
      <w:pPr>
        <w:pStyle w:val="CalloutExample"/>
      </w:pPr>
      <w:r>
        <w:rPr>
          <w:bCs/>
          <w:b/>
        </w:rPr>
        <w:t xml:space="preserve">Worked example — How many RTTs does slow start need for 1 MB?</w:t>
      </w:r>
    </w:p>
    <w:p>
      <w:pPr>
        <w:pStyle w:val="CalloutExample"/>
      </w:pPr>
      <w:r>
        <w:t xml:space="preserve">Assume MSS = 1,460 bytes, initial cwnd = 10 segments, no loss, a large receive window, and ignore delayed ACKs.</w:t>
      </w:r>
    </w:p>
    <w:p>
      <w:pPr>
        <w:numPr>
          <w:ilvl w:val="0"/>
          <w:numId w:val="1225"/>
        </w:numPr>
        <w:pStyle w:val="Compact"/>
      </w:pPr>
      <w:r>
        <w:t xml:space="preserve">Segments needed:</w:t>
      </w:r>
      <w:r>
        <w:t xml:space="preserve"> </w:t>
      </w:r>
      <m:oMath>
        <m:r>
          <m:t>1</m:t>
        </m:r>
        <m:r>
          <m:rPr>
            <m:sty m:val="p"/>
          </m:rPr>
          <m:t>,</m:t>
        </m:r>
        <m:r>
          <m:t>000</m:t>
        </m:r>
        <m:r>
          <m:rPr>
            <m:sty m:val="p"/>
          </m:rPr>
          <m:t>,</m:t>
        </m:r>
        <m:r>
          <m:t>000</m:t>
        </m:r>
        <m:r>
          <m:rPr>
            <m:sty m:val="p"/>
          </m:rPr>
          <m:t>/</m:t>
        </m:r>
        <m:r>
          <m:t>1</m:t>
        </m:r>
        <m:r>
          <m:rPr>
            <m:sty m:val="p"/>
          </m:rPr>
          <m:t>,</m:t>
        </m:r>
        <m:r>
          <m:t>460</m:t>
        </m:r>
        <m:r>
          <m:rPr>
            <m:sty m:val="p"/>
          </m:rPr>
          <m:t>≈</m:t>
        </m:r>
        <m:r>
          <m:t>685</m:t>
        </m:r>
      </m:oMath>
      <w:r>
        <w:t xml:space="preserve">.</w:t>
      </w:r>
    </w:p>
    <w:p>
      <w:pPr>
        <w:numPr>
          <w:ilvl w:val="0"/>
          <w:numId w:val="1225"/>
        </w:numPr>
        <w:pStyle w:val="Compact"/>
      </w:pPr>
      <w:r>
        <w:t xml:space="preserve">Segments sent per round (RTT): 10, 20, 40, 80, 160, 320, 640.</w:t>
      </w:r>
    </w:p>
    <w:p>
      <w:pPr>
        <w:numPr>
          <w:ilvl w:val="0"/>
          <w:numId w:val="1225"/>
        </w:numPr>
        <w:pStyle w:val="Compact"/>
      </w:pPr>
      <w:r>
        <w:t xml:space="preserve">Cumulative: 10, 30, 70, 150, 310, 630, 1,270.</w:t>
      </w:r>
    </w:p>
    <w:p>
      <w:pPr>
        <w:numPr>
          <w:ilvl w:val="0"/>
          <w:numId w:val="1225"/>
        </w:numPr>
        <w:pStyle w:val="Compact"/>
      </w:pPr>
      <w:r>
        <w:t xml:space="preserve">After 6 rounds, 630 &lt; 685; the 7th round finishes the transfer. So</w:t>
      </w:r>
      <w:r>
        <w:t xml:space="preserve"> </w:t>
      </w:r>
      <w:r>
        <w:rPr>
          <w:bCs/>
          <w:b/>
        </w:rPr>
        <w:t xml:space="preserve">7 RTTs</w:t>
      </w:r>
      <w:r>
        <w:t xml:space="preserve"> </w:t>
      </w:r>
      <w:r>
        <w:t xml:space="preserve">of data transfer.</w:t>
      </w:r>
    </w:p>
    <w:p>
      <w:pPr>
        <w:numPr>
          <w:ilvl w:val="0"/>
          <w:numId w:val="1225"/>
        </w:numPr>
        <w:pStyle w:val="Compact"/>
      </w:pPr>
      <w:r>
        <w:t xml:space="preserve">At an 80 ms RTT that is</w:t>
      </w:r>
      <w:r>
        <w:t xml:space="preserve"> </w:t>
      </w:r>
      <m:oMath>
        <m:r>
          <m:t>7</m:t>
        </m:r>
        <m:r>
          <m:rPr>
            <m:sty m:val="p"/>
          </m:rPr>
          <m:t>×</m:t>
        </m:r>
        <m:r>
          <m:t>80</m:t>
        </m:r>
        <m:r>
          <m:rPr>
            <m:sty m:val="p"/>
          </m:rPr>
          <m:t>=</m:t>
        </m:r>
        <m:r>
          <m:t>560</m:t>
        </m:r>
      </m:oMath>
      <w:r>
        <w:t xml:space="preserve"> </w:t>
      </w:r>
      <w:r>
        <w:t xml:space="preserve">ms, plus 1 RTT of TCP handshake and 1 RTT of TLS 1.3 handshake (§7.10):</w:t>
      </w:r>
      <w:r>
        <w:t xml:space="preserve"> </w:t>
      </w:r>
      <m:oMath>
        <m:r>
          <m:t>9</m:t>
        </m:r>
        <m:r>
          <m:rPr>
            <m:sty m:val="p"/>
          </m:rPr>
          <m:t>×</m:t>
        </m:r>
        <m:r>
          <m:t>80</m:t>
        </m:r>
        <m:r>
          <m:rPr>
            <m:sty m:val="p"/>
          </m:rPr>
          <m:t>=</m:t>
        </m:r>
        <m:r>
          <m:t>720</m:t>
        </m:r>
      </m:oMath>
      <w:r>
        <w:t xml:space="preserve"> </w:t>
      </w:r>
      <w:r>
        <w:t xml:space="preserve">ms in total, regardless of whether the link is 100 Mbps or 10 Gbps.</w:t>
      </w:r>
    </w:p>
    <w:p>
      <w:pPr>
        <w:pStyle w:val="CalloutExample"/>
      </w:pPr>
      <w:r>
        <w:t xml:space="preserve">Interpretation: for small and medium transfers on long paths,</w:t>
      </w:r>
      <w:r>
        <w:t xml:space="preserve"> </w:t>
      </w:r>
      <w:r>
        <w:rPr>
          <w:bCs/>
          <w:b/>
        </w:rPr>
        <w:t xml:space="preserve">latency, not bandwidth, determines download time</w:t>
      </w:r>
      <w:r>
        <w:t xml:space="preserve">. A 10× faster link barely helps; reducing RTT (a CDN edge close to the user, §21.3) or reusing a connection whose cwnd is already large (§7.16) helps enormously.</w:t>
      </w:r>
    </w:p>
    <w:bookmarkEnd w:id="746"/>
    <w:bookmarkStart w:id="747" w:name="cubic"/>
    <w:p>
      <w:pPr>
        <w:pStyle w:val="Heading4"/>
      </w:pPr>
      <w:r>
        <w:t xml:space="preserve">CUBIC</w:t>
      </w:r>
    </w:p>
    <w:p>
      <w:pPr>
        <w:pStyle w:val="FirstParagraph"/>
      </w:pPr>
      <w:r>
        <w:t xml:space="preserve">On fast long-distance paths, Reno’s</w:t>
      </w:r>
      <w:r>
        <w:t xml:space="preserve"> </w:t>
      </w:r>
      <w:r>
        <w:t xml:space="preserve">“</w:t>
      </w:r>
      <w:r>
        <w:t xml:space="preserve">add one segment per RTT</w:t>
      </w:r>
      <w:r>
        <w:t xml:space="preserve">”</w:t>
      </w:r>
      <w:r>
        <w:t xml:space="preserve"> </w:t>
      </w:r>
      <w:r>
        <w:t xml:space="preserve">is painfully slow to regain a large window after a loss: after a loss halves a 10,000-segment window, regaining the missing 5,000 segments at one segment per 100 ms RTT takes</w:t>
      </w:r>
      <w:r>
        <w:t xml:space="preserve"> </w:t>
      </w:r>
      <m:oMath>
        <m:r>
          <m:t>5</m:t>
        </m:r>
        <m:r>
          <m:rPr>
            <m:sty m:val="p"/>
          </m:rPr>
          <m:t>,</m:t>
        </m:r>
        <m:r>
          <m:t>000</m:t>
        </m:r>
        <m:r>
          <m:rPr>
            <m:sty m:val="p"/>
          </m:rPr>
          <m:t>×</m:t>
        </m:r>
        <m:r>
          <m:t>0.1</m:t>
        </m:r>
        <m:r>
          <m:rPr>
            <m:sty m:val="p"/>
          </m:rPr>
          <m:t>=</m:t>
        </m:r>
        <m:r>
          <m:t>500</m:t>
        </m:r>
      </m:oMath>
      <w:r>
        <w:t xml:space="preserve"> </w:t>
      </w:r>
      <w:r>
        <w:t xml:space="preserve">s.</w:t>
      </w:r>
      <w:r>
        <w:t xml:space="preserve"> </w:t>
      </w:r>
      <w:r>
        <w:rPr>
          <w:bCs/>
          <w:b/>
        </w:rPr>
        <w:t xml:space="preserve">CUBIC</w:t>
      </w:r>
      <w:r>
        <w:t xml:space="preserve"> </w:t>
      </w:r>
      <w:r>
        <w:t xml:space="preserve">[Ha et al. 2008; RFC 9438] replaces linear growth with a cubic function of</w:t>
      </w:r>
      <w:r>
        <w:t xml:space="preserve"> </w:t>
      </w:r>
      <w:r>
        <w:rPr>
          <w:iCs/>
          <w:i/>
        </w:rPr>
        <w:t xml:space="preserve">time since the last loss</w:t>
      </w:r>
      <w:r>
        <w:t xml:space="preserve">, independent of RTT. It has been Linux’s default since 2006 and is the default in most operating systems today.</w:t>
      </w:r>
    </w:p>
    <w:p>
      <w:pPr>
        <w:pStyle w:val="CalloutFormula"/>
      </w:pPr>
      <w:r>
        <w:rPr>
          <w:bCs/>
          <w:b/>
        </w:rPr>
        <w:t xml:space="preserve">FORMULA</w:t>
      </w:r>
    </w:p>
    <w:p>
      <w:pPr>
        <w:pStyle w:val="CalloutFormula"/>
      </w:pPr>
      <w:r>
        <w:rPr>
          <w:bCs/>
          <w:b/>
        </w:rPr>
        <w:t xml:space="preserve">CUBIC window growth</w:t>
      </w:r>
    </w:p>
    <w:p>
      <w:pPr>
        <w:pStyle w:val="CalloutFormula"/>
      </w:pPr>
      <m:oMathPara>
        <m:oMathParaPr>
          <m:jc m:val="center"/>
        </m:oMathParaPr>
        <m:oMath>
          <m:r>
            <m:t>W</m:t>
          </m:r>
          <m:d>
            <m:dPr>
              <m:begChr m:val="("/>
              <m:endChr m:val=")"/>
              <m:sepChr m:val=""/>
              <m:grow/>
            </m:dPr>
            <m:e>
              <m:r>
                <m:t>t</m:t>
              </m:r>
            </m:e>
          </m:d>
          <m:r>
            <m:rPr>
              <m:sty m:val="p"/>
            </m:rPr>
            <m:t>=</m:t>
          </m:r>
          <m:r>
            <m:t>C</m:t>
          </m:r>
          <m:r>
            <m:t> </m:t>
          </m:r>
          <m:sSup>
            <m:e>
              <m:d>
                <m:dPr>
                  <m:begChr m:val="("/>
                  <m:endChr m:val=")"/>
                  <m:sepChr m:val=""/>
                  <m:grow/>
                </m:dPr>
                <m:e>
                  <m:r>
                    <m:t>t</m:t>
                  </m:r>
                  <m:r>
                    <m:rPr>
                      <m:sty m:val="p"/>
                    </m:rPr>
                    <m:t>−</m:t>
                  </m:r>
                  <m:r>
                    <m:t>K</m:t>
                  </m:r>
                </m:e>
              </m:d>
            </m:e>
            <m:sup>
              <m:r>
                <m:t>3</m:t>
              </m:r>
            </m:sup>
          </m:sSup>
          <m:r>
            <m:rPr>
              <m:sty m:val="p"/>
            </m:rPr>
            <m:t>+</m:t>
          </m:r>
          <m:sSub>
            <m:e>
              <m:r>
                <m:t>W</m:t>
              </m:r>
            </m:e>
            <m:sub>
              <m:r>
                <m:rPr>
                  <m:sty m:val="p"/>
                </m:rPr>
                <m:t>max</m:t>
              </m:r>
            </m:sub>
          </m:sSub>
          <m:r>
            <m:rPr>
              <m:sty m:val="p"/>
            </m:rPr>
            <m:t>,</m:t>
          </m:r>
          <m:r>
            <m:t>  </m:t>
          </m:r>
          <m:r>
            <m:t>K</m:t>
          </m:r>
          <m:r>
            <m:rPr>
              <m:sty m:val="p"/>
            </m:rPr>
            <m:t>=</m:t>
          </m:r>
          <m:rad>
            <m:deg>
              <m:r>
                <m:t>3</m:t>
              </m:r>
            </m:deg>
            <m:e>
              <m:f>
                <m:fPr>
                  <m:type m:val="bar"/>
                </m:fPr>
                <m:num>
                  <m:sSub>
                    <m:e>
                      <m:r>
                        <m:t>W</m:t>
                      </m:r>
                    </m:e>
                    <m:sub>
                      <m:r>
                        <m:rPr>
                          <m:sty m:val="p"/>
                        </m:rPr>
                        <m:t>max</m:t>
                      </m:r>
                    </m:sub>
                  </m:sSub>
                  <m:r>
                    <m:t> </m:t>
                  </m:r>
                  <m:d>
                    <m:dPr>
                      <m:begChr m:val="("/>
                      <m:endChr m:val=")"/>
                      <m:sepChr m:val=""/>
                      <m:grow/>
                    </m:dPr>
                    <m:e>
                      <m:r>
                        <m:t>1</m:t>
                      </m:r>
                      <m:r>
                        <m:rPr>
                          <m:sty m:val="p"/>
                        </m:rPr>
                        <m:t>−</m:t>
                      </m:r>
                      <m:r>
                        <m:t>β</m:t>
                      </m:r>
                    </m:e>
                  </m:d>
                </m:num>
                <m:den>
                  <m:r>
                    <m:t>C</m:t>
                  </m:r>
                </m:den>
              </m:f>
            </m:e>
          </m:rad>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W</m:t>
              </m:r>
              <m:d>
                <m:dPr>
                  <m:begChr m:val="("/>
                  <m:endChr m:val=")"/>
                  <m:sepChr m:val=""/>
                  <m:grow/>
                </m:dPr>
                <m:e>
                  <m:r>
                    <m:t>t</m:t>
                  </m:r>
                </m:e>
              </m:d>
            </m:oMath>
          </w:p>
        </w:tc>
        <w:tc>
          <w:tcPr/>
          <w:p>
            <w:pPr>
              <w:pStyle w:val="Compact"/>
              <w:jc w:val="left"/>
            </w:pPr>
            <w:r>
              <w:t xml:space="preserve">Congestion window</w:t>
            </w:r>
            <w:r>
              <w:t xml:space="preserve"> </w:t>
            </w:r>
            <m:oMath>
              <m:r>
                <m:t>t</m:t>
              </m:r>
            </m:oMath>
            <w:r>
              <w:t xml:space="preserve"> </w:t>
            </w:r>
            <w:r>
              <w:t xml:space="preserve">seconds after the last loss</w:t>
            </w:r>
          </w:p>
        </w:tc>
        <w:tc>
          <w:tcPr/>
          <w:p>
            <w:pPr>
              <w:pStyle w:val="Compact"/>
              <w:jc w:val="left"/>
            </w:pPr>
            <w:r>
              <w:t xml:space="preserve">segments</w:t>
            </w:r>
          </w:p>
        </w:tc>
      </w:tr>
      <w:tr>
        <w:tc>
          <w:tcPr/>
          <w:p>
            <w:pPr>
              <w:pStyle w:val="Compact"/>
              <w:jc w:val="left"/>
            </w:pPr>
            <m:oMath>
              <m:sSub>
                <m:e>
                  <m:r>
                    <m:t>W</m:t>
                  </m:r>
                </m:e>
                <m:sub>
                  <m:r>
                    <m:rPr>
                      <m:sty m:val="p"/>
                    </m:rPr>
                    <m:t>max</m:t>
                  </m:r>
                </m:sub>
              </m:sSub>
            </m:oMath>
          </w:p>
        </w:tc>
        <w:tc>
          <w:tcPr/>
          <w:p>
            <w:pPr>
              <w:pStyle w:val="Compact"/>
              <w:jc w:val="left"/>
            </w:pPr>
            <w:r>
              <w:t xml:space="preserve">Window just before the last loss</w:t>
            </w:r>
          </w:p>
        </w:tc>
        <w:tc>
          <w:tcPr/>
          <w:p>
            <w:pPr>
              <w:pStyle w:val="Compact"/>
              <w:jc w:val="left"/>
            </w:pPr>
            <w:r>
              <w:t xml:space="preserve">segments</w:t>
            </w:r>
          </w:p>
        </w:tc>
      </w:tr>
      <w:tr>
        <w:tc>
          <w:tcPr/>
          <w:p>
            <w:pPr>
              <w:pStyle w:val="Compact"/>
              <w:jc w:val="left"/>
            </w:pPr>
            <m:oMath>
              <m:r>
                <m:t>β</m:t>
              </m:r>
            </m:oMath>
          </w:p>
        </w:tc>
        <w:tc>
          <w:tcPr/>
          <w:p>
            <w:pPr>
              <w:pStyle w:val="Compact"/>
              <w:jc w:val="left"/>
            </w:pPr>
            <w:r>
              <w:t xml:space="preserve">Multiplicative decrease factor; window becomes</w:t>
            </w:r>
            <w:r>
              <w:t xml:space="preserve"> </w:t>
            </w:r>
            <m:oMath>
              <m:r>
                <m:t>β</m:t>
              </m:r>
              <m:sSub>
                <m:e>
                  <m:r>
                    <m:t>W</m:t>
                  </m:r>
                </m:e>
                <m:sub>
                  <m:r>
                    <m:rPr>
                      <m:sty m:val="p"/>
                    </m:rPr>
                    <m:t>max</m:t>
                  </m:r>
                </m:sub>
              </m:sSub>
            </m:oMath>
            <w:r>
              <w:t xml:space="preserve"> </w:t>
            </w:r>
            <w:r>
              <w:t xml:space="preserve">after loss (0.7)</w:t>
            </w:r>
          </w:p>
        </w:tc>
        <w:tc>
          <w:tcPr/>
          <w:p>
            <w:pPr>
              <w:pStyle w:val="Compact"/>
              <w:jc w:val="left"/>
            </w:pPr>
            <w:r>
              <w:t xml:space="preserve">dimensionless</w:t>
            </w:r>
          </w:p>
        </w:tc>
      </w:tr>
      <w:tr>
        <w:tc>
          <w:tcPr/>
          <w:p>
            <w:pPr>
              <w:pStyle w:val="Compact"/>
              <w:jc w:val="left"/>
            </w:pPr>
            <m:oMath>
              <m:r>
                <m:t>C</m:t>
              </m:r>
            </m:oMath>
          </w:p>
        </w:tc>
        <w:tc>
          <w:tcPr/>
          <w:p>
            <w:pPr>
              <w:pStyle w:val="Compact"/>
              <w:jc w:val="left"/>
            </w:pPr>
            <w:r>
              <w:t xml:space="preserve">Scaling constant (0.4)</w:t>
            </w:r>
          </w:p>
        </w:tc>
        <w:tc>
          <w:tcPr/>
          <w:p>
            <w:pPr>
              <w:pStyle w:val="Compact"/>
              <w:jc w:val="left"/>
            </w:pPr>
            <w:r>
              <w:t xml:space="preserve">segments/s³</w:t>
            </w:r>
          </w:p>
        </w:tc>
      </w:tr>
      <w:tr>
        <w:tc>
          <w:tcPr/>
          <w:p>
            <w:pPr>
              <w:pStyle w:val="Compact"/>
              <w:jc w:val="left"/>
            </w:pPr>
            <m:oMath>
              <m:r>
                <m:t>K</m:t>
              </m:r>
            </m:oMath>
          </w:p>
        </w:tc>
        <w:tc>
          <w:tcPr/>
          <w:p>
            <w:pPr>
              <w:pStyle w:val="Compact"/>
              <w:jc w:val="left"/>
            </w:pPr>
            <w:r>
              <w:t xml:space="preserve">Time to climb back to</w:t>
            </w:r>
            <w:r>
              <w:t xml:space="preserve"> </w:t>
            </w:r>
            <m:oMath>
              <m:sSub>
                <m:e>
                  <m:r>
                    <m:t>W</m:t>
                  </m:r>
                </m:e>
                <m:sub>
                  <m:r>
                    <m:rPr>
                      <m:sty m:val="p"/>
                    </m:rPr>
                    <m:t>max</m:t>
                  </m:r>
                </m:sub>
              </m:sSub>
            </m:oMath>
          </w:p>
        </w:tc>
        <w:tc>
          <w:tcPr/>
          <w:p>
            <w:pPr>
              <w:pStyle w:val="Compact"/>
              <w:jc w:val="left"/>
            </w:pPr>
            <w:r>
              <w:t xml:space="preserve">s</w:t>
            </w:r>
          </w:p>
        </w:tc>
      </w:tr>
    </w:tbl>
    <w:p>
      <w:pPr>
        <w:pStyle w:val="CalloutExample"/>
      </w:pPr>
      <w:r>
        <w:rPr>
          <w:bCs/>
          <w:b/>
        </w:rPr>
        <w:t xml:space="preserve">WORKED EXAMPLE</w:t>
      </w:r>
    </w:p>
    <w:p>
      <w:pPr>
        <w:pStyle w:val="CalloutExample"/>
      </w:pPr>
      <w:r>
        <w:rPr>
          <w:bCs/>
          <w:b/>
        </w:rPr>
        <w:t xml:space="preserve">Worked example — CUBIC recovery time.</w:t>
      </w:r>
    </w:p>
    <w:p>
      <w:pPr>
        <w:pStyle w:val="CalloutExample"/>
      </w:pPr>
      <w:r>
        <w:t xml:space="preserve">Suppose</w:t>
      </w:r>
      <w:r>
        <w:t xml:space="preserve"> </w:t>
      </w:r>
      <m:oMath>
        <m:sSub>
          <m:e>
            <m:r>
              <m:t>W</m:t>
            </m:r>
          </m:e>
          <m:sub>
            <m:r>
              <m:rPr>
                <m:sty m:val="p"/>
              </m:rPr>
              <m:t>max</m:t>
            </m:r>
          </m:sub>
        </m:sSub>
        <m:r>
          <m:rPr>
            <m:sty m:val="p"/>
          </m:rPr>
          <m:t>=</m:t>
        </m:r>
        <m:r>
          <m:t>100</m:t>
        </m:r>
      </m:oMath>
      <w:r>
        <w:t xml:space="preserve"> </w:t>
      </w:r>
      <w:r>
        <w:t xml:space="preserve">segments when a loss occurs.</w:t>
      </w:r>
    </w:p>
    <w:p>
      <w:pPr>
        <w:numPr>
          <w:ilvl w:val="0"/>
          <w:numId w:val="1226"/>
        </w:numPr>
        <w:pStyle w:val="Compact"/>
      </w:pPr>
      <w:r>
        <w:t xml:space="preserve">After the loss:</w:t>
      </w:r>
      <w:r>
        <w:t xml:space="preserve"> </w:t>
      </w:r>
      <m:oMath>
        <m:r>
          <m:t>W</m:t>
        </m:r>
        <m:d>
          <m:dPr>
            <m:begChr m:val="("/>
            <m:endChr m:val=")"/>
            <m:sepChr m:val=""/>
            <m:grow/>
          </m:dPr>
          <m:e>
            <m:r>
              <m:t>0</m:t>
            </m:r>
          </m:e>
        </m:d>
        <m:r>
          <m:rPr>
            <m:sty m:val="p"/>
          </m:rPr>
          <m:t>=</m:t>
        </m:r>
        <m:r>
          <m:t>0.7</m:t>
        </m:r>
        <m:r>
          <m:rPr>
            <m:sty m:val="p"/>
          </m:rPr>
          <m:t>×</m:t>
        </m:r>
        <m:r>
          <m:t>100</m:t>
        </m:r>
        <m:r>
          <m:rPr>
            <m:sty m:val="p"/>
          </m:rPr>
          <m:t>=</m:t>
        </m:r>
        <m:r>
          <m:t>70</m:t>
        </m:r>
      </m:oMath>
      <w:r>
        <w:t xml:space="preserve"> </w:t>
      </w:r>
      <w:r>
        <w:t xml:space="preserve">segments. Check with the formula:</w:t>
      </w:r>
      <w:r>
        <w:t xml:space="preserve"> </w:t>
      </w:r>
      <m:oMath>
        <m:sSup>
          <m:e>
            <m:r>
              <m:t>K</m:t>
            </m:r>
          </m:e>
          <m:sup>
            <m:r>
              <m:t>3</m:t>
            </m:r>
          </m:sup>
        </m:sSup>
        <m:r>
          <m:rPr>
            <m:sty m:val="p"/>
          </m:rPr>
          <m:t>=</m:t>
        </m:r>
        <m:r>
          <m:t>100</m:t>
        </m:r>
        <m:r>
          <m:rPr>
            <m:sty m:val="p"/>
          </m:rPr>
          <m:t>×</m:t>
        </m:r>
        <m:r>
          <m:t>0.3</m:t>
        </m:r>
        <m:r>
          <m:rPr>
            <m:sty m:val="p"/>
          </m:rPr>
          <m:t>/</m:t>
        </m:r>
        <m:r>
          <m:t>0.4</m:t>
        </m:r>
        <m:r>
          <m:rPr>
            <m:sty m:val="p"/>
          </m:rPr>
          <m:t>=</m:t>
        </m:r>
        <m:r>
          <m:t>75</m:t>
        </m:r>
      </m:oMath>
      <w:r>
        <w:t xml:space="preserve">, so</w:t>
      </w:r>
      <w:r>
        <w:t xml:space="preserve"> </w:t>
      </w:r>
      <m:oMath>
        <m:r>
          <m:t>K</m:t>
        </m:r>
        <m:r>
          <m:rPr>
            <m:sty m:val="p"/>
          </m:rPr>
          <m:t>=</m:t>
        </m:r>
        <m:rad>
          <m:deg>
            <m:r>
              <m:t>3</m:t>
            </m:r>
          </m:deg>
          <m:e>
            <m:r>
              <m:t>75</m:t>
            </m:r>
          </m:e>
        </m:rad>
        <m:r>
          <m:rPr>
            <m:sty m:val="p"/>
          </m:rPr>
          <m:t>≈</m:t>
        </m:r>
        <m:r>
          <m:t>4.22</m:t>
        </m:r>
      </m:oMath>
      <w:r>
        <w:t xml:space="preserve"> </w:t>
      </w:r>
      <w:r>
        <w:t xml:space="preserve">s, and</w:t>
      </w:r>
      <w:r>
        <w:t xml:space="preserve"> </w:t>
      </w:r>
      <m:oMath>
        <m:r>
          <m:t>W</m:t>
        </m:r>
        <m:d>
          <m:dPr>
            <m:begChr m:val="("/>
            <m:endChr m:val=")"/>
            <m:sepChr m:val=""/>
            <m:grow/>
          </m:dPr>
          <m:e>
            <m:r>
              <m:t>0</m:t>
            </m:r>
          </m:e>
        </m:d>
        <m:r>
          <m:rPr>
            <m:sty m:val="p"/>
          </m:rPr>
          <m:t>=</m:t>
        </m:r>
        <m:r>
          <m:t>0.4</m:t>
        </m:r>
        <m:r>
          <m:rPr>
            <m:sty m:val="p"/>
          </m:rPr>
          <m:t>×</m:t>
        </m:r>
        <m:sSup>
          <m:e>
            <m:d>
              <m:dPr>
                <m:begChr m:val="("/>
                <m:endChr m:val=")"/>
                <m:sepChr m:val=""/>
                <m:grow/>
              </m:dPr>
              <m:e>
                <m:r>
                  <m:rPr>
                    <m:sty m:val="p"/>
                  </m:rPr>
                  <m:t>−</m:t>
                </m:r>
                <m:r>
                  <m:t>4.22</m:t>
                </m:r>
              </m:e>
            </m:d>
          </m:e>
          <m:sup>
            <m:r>
              <m:t>3</m:t>
            </m:r>
          </m:sup>
        </m:sSup>
        <m:r>
          <m:rPr>
            <m:sty m:val="p"/>
          </m:rPr>
          <m:t>+</m:t>
        </m:r>
        <m:r>
          <m:t>100</m:t>
        </m:r>
        <m:r>
          <m:rPr>
            <m:sty m:val="p"/>
          </m:rPr>
          <m:t>=</m:t>
        </m:r>
        <m:r>
          <m:t>0.4</m:t>
        </m:r>
        <m:r>
          <m:rPr>
            <m:sty m:val="p"/>
          </m:rPr>
          <m:t>×</m:t>
        </m:r>
        <m:d>
          <m:dPr>
            <m:begChr m:val="("/>
            <m:endChr m:val=")"/>
            <m:sepChr m:val=""/>
            <m:grow/>
          </m:dPr>
          <m:e>
            <m:r>
              <m:rPr>
                <m:sty m:val="p"/>
              </m:rPr>
              <m:t>−</m:t>
            </m:r>
            <m:r>
              <m:t>75</m:t>
            </m:r>
          </m:e>
        </m:d>
        <m:r>
          <m:rPr>
            <m:sty m:val="p"/>
          </m:rPr>
          <m:t>+</m:t>
        </m:r>
        <m:r>
          <m:t>100</m:t>
        </m:r>
        <m:r>
          <m:rPr>
            <m:sty m:val="p"/>
          </m:rPr>
          <m:t>=</m:t>
        </m:r>
        <m:r>
          <m:t>70</m:t>
        </m:r>
      </m:oMath>
      <w:r>
        <w:t xml:space="preserve">. Consistent.</w:t>
      </w:r>
    </w:p>
    <w:p>
      <w:pPr>
        <w:numPr>
          <w:ilvl w:val="0"/>
          <w:numId w:val="1226"/>
        </w:numPr>
        <w:pStyle w:val="Compact"/>
      </w:pPr>
      <w:r>
        <w:t xml:space="preserve">Growth is fast at first, flattens as</w:t>
      </w:r>
      <w:r>
        <w:t xml:space="preserve"> </w:t>
      </w:r>
      <m:oMath>
        <m:r>
          <m:t>t</m:t>
        </m:r>
        <m:r>
          <m:rPr>
            <m:sty m:val="p"/>
          </m:rPr>
          <m:t>→</m:t>
        </m:r>
        <m:r>
          <m:t>K</m:t>
        </m:r>
      </m:oMath>
      <w:r>
        <w:t xml:space="preserve"> </w:t>
      </w:r>
      <w:r>
        <w:t xml:space="preserve">(the curve is cautious near the window where loss last occurred), and reaches 100 segments at</w:t>
      </w:r>
      <w:r>
        <w:t xml:space="preserve"> </w:t>
      </w:r>
      <m:oMath>
        <m:r>
          <m:t>t</m:t>
        </m:r>
        <m:r>
          <m:rPr>
            <m:sty m:val="p"/>
          </m:rPr>
          <m:t>≈</m:t>
        </m:r>
        <m:r>
          <m:t>4.22</m:t>
        </m:r>
      </m:oMath>
      <w:r>
        <w:t xml:space="preserve"> </w:t>
      </w:r>
      <w:r>
        <w:t xml:space="preserve">s.</w:t>
      </w:r>
    </w:p>
    <w:p>
      <w:pPr>
        <w:numPr>
          <w:ilvl w:val="0"/>
          <w:numId w:val="1226"/>
        </w:numPr>
        <w:pStyle w:val="Compact"/>
      </w:pPr>
      <w:r>
        <w:t xml:space="preserve">Beyond</w:t>
      </w:r>
      <w:r>
        <w:t xml:space="preserve"> </w:t>
      </w:r>
      <m:oMath>
        <m:r>
          <m:t>K</m:t>
        </m:r>
      </m:oMath>
      <w:r>
        <w:t xml:space="preserve"> </w:t>
      </w:r>
      <w:r>
        <w:t xml:space="preserve">the window accelerates again, probing for newly available bandwidth.</w:t>
      </w:r>
    </w:p>
    <w:p>
      <w:pPr>
        <w:pStyle w:val="CalloutExample"/>
      </w:pPr>
      <w:r>
        <w:t xml:space="preserve">Interpretation: recovery time depends on</w:t>
      </w:r>
      <w:r>
        <w:t xml:space="preserve"> </w:t>
      </w:r>
      <m:oMath>
        <m:sSub>
          <m:e>
            <m:r>
              <m:t>W</m:t>
            </m:r>
          </m:e>
          <m:sub>
            <m:r>
              <m:rPr>
                <m:sty m:val="p"/>
              </m:rPr>
              <m:t>max</m:t>
            </m:r>
          </m:sub>
        </m:sSub>
      </m:oMath>
      <w:r>
        <w:t xml:space="preserve"> </w:t>
      </w:r>
      <w:r>
        <w:t xml:space="preserve">and constants, not on RTT, so long-RTT flows are not penalized as much as under Reno. The plateau around</w:t>
      </w:r>
      <w:r>
        <w:t xml:space="preserve"> </w:t>
      </w:r>
      <m:oMath>
        <m:sSub>
          <m:e>
            <m:r>
              <m:t>W</m:t>
            </m:r>
          </m:e>
          <m:sub>
            <m:r>
              <m:rPr>
                <m:sty m:val="p"/>
              </m:rPr>
              <m:t>max</m:t>
            </m:r>
          </m:sub>
        </m:sSub>
      </m:oMath>
      <w:r>
        <w:t xml:space="preserve"> </w:t>
      </w:r>
      <w:r>
        <w:t xml:space="preserve">keeps CUBIC near the last known-good operating point.</w:t>
      </w:r>
    </w:p>
    <w:bookmarkEnd w:id="747"/>
    <w:bookmarkStart w:id="748" w:name="bbr"/>
    <w:p>
      <w:pPr>
        <w:pStyle w:val="Heading4"/>
      </w:pPr>
      <w:r>
        <w:t xml:space="preserve">BBR</w:t>
      </w:r>
    </w:p>
    <w:p>
      <w:pPr>
        <w:pStyle w:val="FirstParagraph"/>
      </w:pPr>
      <w:r>
        <w:t xml:space="preserve">Loss-based algorithms (Reno, CUBIC) treat packet loss as</w:t>
      </w:r>
      <w:r>
        <w:t xml:space="preserve"> </w:t>
      </w:r>
      <w:r>
        <w:rPr>
          <w:iCs/>
          <w:i/>
        </w:rPr>
        <w:t xml:space="preserve">the</w:t>
      </w:r>
      <w:r>
        <w:t xml:space="preserve"> </w:t>
      </w:r>
      <w:r>
        <w:t xml:space="preserve">congestion signal. That has two problems. On paths with large buffers, they keep filling the queue until it overflows, adding hundreds of milliseconds of queuing delay (</w:t>
      </w:r>
      <w:r>
        <w:rPr>
          <w:bCs/>
          <w:b/>
        </w:rPr>
        <w:t xml:space="preserve">bufferbloat</w:t>
      </w:r>
      <w:r>
        <w:t xml:space="preserve">, §7.15). On paths with random loss unrelated to congestion (wireless, long-haul links), they back off when they should not.</w:t>
      </w:r>
    </w:p>
    <w:p>
      <w:pPr>
        <w:pStyle w:val="BodyText"/>
      </w:pPr>
      <w:r>
        <w:rPr>
          <w:bCs/>
          <w:b/>
        </w:rPr>
        <w:t xml:space="preserve">BBR</w:t>
      </w:r>
      <w:r>
        <w:t xml:space="preserve"> </w:t>
      </w:r>
      <w:r>
        <w:t xml:space="preserve">(Bottleneck Bandwidth and Round-trip propagation time) [Cardwell et al. 2016] instead builds an explicit model of the path. It continuously estimates the</w:t>
      </w:r>
      <w:r>
        <w:t xml:space="preserve"> </w:t>
      </w:r>
      <w:r>
        <w:rPr>
          <w:bCs/>
          <w:b/>
        </w:rPr>
        <w:t xml:space="preserve">bottleneck bandwidth</w:t>
      </w:r>
      <w:r>
        <w:t xml:space="preserve"> </w:t>
      </w:r>
      <w:r>
        <w:t xml:space="preserve">(the maximum recent delivery rate) and the</w:t>
      </w:r>
      <w:r>
        <w:t xml:space="preserve"> </w:t>
      </w:r>
      <w:r>
        <w:rPr>
          <w:bCs/>
          <w:b/>
        </w:rPr>
        <w:t xml:space="preserve">minimum RTT</w:t>
      </w:r>
      <w:r>
        <w:t xml:space="preserve"> </w:t>
      </w:r>
      <w:r>
        <w:t xml:space="preserve">(the propagation delay with empty queues). It then paces packets at the estimated bandwidth and keeps roughly one bandwidth-delay product in flight, periodically probing slightly above that rate to discover more bandwidth and periodically draining the queue to re-measure minimum RTT.</w:t>
      </w:r>
    </w:p>
    <w:p>
      <w:pPr>
        <w:pStyle w:val="BodyText"/>
      </w:pPr>
      <w:r>
        <w:rPr>
          <w:bCs/>
          <w:b/>
        </w:rPr>
        <w:t xml:space="preserve">Table 7.7 — Congestion control algorithms compared.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Aspect</w:t>
            </w:r>
          </w:p>
        </w:tc>
        <w:tc>
          <w:tcPr/>
          <w:p>
            <w:pPr>
              <w:pStyle w:val="Compact"/>
              <w:jc w:val="left"/>
            </w:pPr>
            <w:r>
              <w:t xml:space="preserve">Reno (AIMD)</w:t>
            </w:r>
          </w:p>
        </w:tc>
        <w:tc>
          <w:tcPr/>
          <w:p>
            <w:pPr>
              <w:pStyle w:val="Compact"/>
              <w:jc w:val="left"/>
            </w:pPr>
            <w:r>
              <w:t xml:space="preserve">CUBIC</w:t>
            </w:r>
          </w:p>
        </w:tc>
        <w:tc>
          <w:tcPr/>
          <w:p>
            <w:pPr>
              <w:pStyle w:val="Compact"/>
              <w:jc w:val="left"/>
            </w:pPr>
            <w:r>
              <w:t xml:space="preserve">BBR (v1)</w:t>
            </w:r>
          </w:p>
        </w:tc>
      </w:tr>
      <w:tr>
        <w:tc>
          <w:tcPr/>
          <w:p>
            <w:pPr>
              <w:pStyle w:val="Compact"/>
              <w:jc w:val="left"/>
            </w:pPr>
            <w:r>
              <w:t xml:space="preserve">Congestion signal</w:t>
            </w:r>
          </w:p>
        </w:tc>
        <w:tc>
          <w:tcPr/>
          <w:p>
            <w:pPr>
              <w:pStyle w:val="Compact"/>
              <w:jc w:val="left"/>
            </w:pPr>
            <w:r>
              <w:t xml:space="preserve">Packet loss</w:t>
            </w:r>
          </w:p>
        </w:tc>
        <w:tc>
          <w:tcPr/>
          <w:p>
            <w:pPr>
              <w:pStyle w:val="Compact"/>
              <w:jc w:val="left"/>
            </w:pPr>
            <w:r>
              <w:t xml:space="preserve">Packet loss</w:t>
            </w:r>
          </w:p>
        </w:tc>
        <w:tc>
          <w:tcPr/>
          <w:p>
            <w:pPr>
              <w:pStyle w:val="Compact"/>
              <w:jc w:val="left"/>
            </w:pPr>
            <w:r>
              <w:t xml:space="preserve">Measured bandwidth and RTT model</w:t>
            </w:r>
          </w:p>
        </w:tc>
      </w:tr>
      <w:tr>
        <w:tc>
          <w:tcPr/>
          <w:p>
            <w:pPr>
              <w:pStyle w:val="Compact"/>
              <w:jc w:val="left"/>
            </w:pPr>
            <w:r>
              <w:t xml:space="preserve">Growth function</w:t>
            </w:r>
          </w:p>
        </w:tc>
        <w:tc>
          <w:tcPr/>
          <w:p>
            <w:pPr>
              <w:pStyle w:val="Compact"/>
              <w:jc w:val="left"/>
            </w:pPr>
            <w:r>
              <w:t xml:space="preserve">+1 MSS per RTT</w:t>
            </w:r>
          </w:p>
        </w:tc>
        <w:tc>
          <w:tcPr/>
          <w:p>
            <w:pPr>
              <w:pStyle w:val="Compact"/>
              <w:jc w:val="left"/>
            </w:pPr>
            <w:r>
              <w:t xml:space="preserve">Cubic in time since last loss</w:t>
            </w:r>
          </w:p>
        </w:tc>
        <w:tc>
          <w:tcPr/>
          <w:p>
            <w:pPr>
              <w:pStyle w:val="Compact"/>
              <w:jc w:val="left"/>
            </w:pPr>
            <w:r>
              <w:t xml:space="preserve">Pacing at estimated bottleneck rate, with probing</w:t>
            </w:r>
          </w:p>
        </w:tc>
      </w:tr>
      <w:tr>
        <w:tc>
          <w:tcPr/>
          <w:p>
            <w:pPr>
              <w:pStyle w:val="Compact"/>
              <w:jc w:val="left"/>
            </w:pPr>
            <w:r>
              <w:t xml:space="preserve">Response to loss</w:t>
            </w:r>
          </w:p>
        </w:tc>
        <w:tc>
          <w:tcPr/>
          <w:p>
            <w:pPr>
              <w:pStyle w:val="Compact"/>
              <w:jc w:val="left"/>
            </w:pPr>
            <w:r>
              <w:t xml:space="preserve">Halve cwnd</w:t>
            </w:r>
          </w:p>
        </w:tc>
        <w:tc>
          <w:tcPr/>
          <w:p>
            <w:pPr>
              <w:pStyle w:val="Compact"/>
              <w:jc w:val="left"/>
            </w:pPr>
            <w:r>
              <w:t xml:space="preserve">Multiply by 0.7</w:t>
            </w:r>
          </w:p>
        </w:tc>
        <w:tc>
          <w:tcPr/>
          <w:p>
            <w:pPr>
              <w:pStyle w:val="Compact"/>
              <w:jc w:val="left"/>
            </w:pPr>
            <w:r>
              <w:t xml:space="preserve">Largely ignores isolated loss</w:t>
            </w:r>
          </w:p>
        </w:tc>
      </w:tr>
      <w:tr>
        <w:tc>
          <w:tcPr/>
          <w:p>
            <w:pPr>
              <w:pStyle w:val="Compact"/>
              <w:jc w:val="left"/>
            </w:pPr>
            <w:r>
              <w:t xml:space="preserve">Queue occupancy</w:t>
            </w:r>
          </w:p>
        </w:tc>
        <w:tc>
          <w:tcPr/>
          <w:p>
            <w:pPr>
              <w:pStyle w:val="Compact"/>
              <w:jc w:val="left"/>
            </w:pPr>
            <w:r>
              <w:t xml:space="preserve">Fills buffers until loss</w:t>
            </w:r>
          </w:p>
        </w:tc>
        <w:tc>
          <w:tcPr/>
          <w:p>
            <w:pPr>
              <w:pStyle w:val="Compact"/>
              <w:jc w:val="left"/>
            </w:pPr>
            <w:r>
              <w:t xml:space="preserve">Fills buffers until loss</w:t>
            </w:r>
          </w:p>
        </w:tc>
        <w:tc>
          <w:tcPr/>
          <w:p>
            <w:pPr>
              <w:pStyle w:val="Compact"/>
              <w:jc w:val="left"/>
            </w:pPr>
            <w:r>
              <w:t xml:space="preserve">Aims for little standing queue</w:t>
            </w:r>
          </w:p>
        </w:tc>
      </w:tr>
      <w:tr>
        <w:tc>
          <w:tcPr/>
          <w:p>
            <w:pPr>
              <w:pStyle w:val="Compact"/>
              <w:jc w:val="left"/>
            </w:pPr>
            <w:r>
              <w:t xml:space="preserve">Strength</w:t>
            </w:r>
          </w:p>
        </w:tc>
        <w:tc>
          <w:tcPr/>
          <w:p>
            <w:pPr>
              <w:pStyle w:val="Compact"/>
              <w:jc w:val="left"/>
            </w:pPr>
            <w:r>
              <w:t xml:space="preserve">Simple, fair among equals</w:t>
            </w:r>
          </w:p>
        </w:tc>
        <w:tc>
          <w:tcPr/>
          <w:p>
            <w:pPr>
              <w:pStyle w:val="Compact"/>
              <w:jc w:val="left"/>
            </w:pPr>
            <w:r>
              <w:t xml:space="preserve">Good on high-BDP paths; default almost everywhere</w:t>
            </w:r>
          </w:p>
        </w:tc>
        <w:tc>
          <w:tcPr/>
          <w:p>
            <w:pPr>
              <w:pStyle w:val="Compact"/>
              <w:jc w:val="left"/>
            </w:pPr>
            <w:r>
              <w:t xml:space="preserve">Low latency; high throughput with random loss</w:t>
            </w:r>
          </w:p>
        </w:tc>
      </w:tr>
      <w:tr>
        <w:tc>
          <w:tcPr/>
          <w:p>
            <w:pPr>
              <w:pStyle w:val="Compact"/>
              <w:jc w:val="left"/>
            </w:pPr>
            <w:r>
              <w:t xml:space="preserve">Weakness</w:t>
            </w:r>
          </w:p>
        </w:tc>
        <w:tc>
          <w:tcPr/>
          <w:p>
            <w:pPr>
              <w:pStyle w:val="Compact"/>
              <w:jc w:val="left"/>
            </w:pPr>
            <w:r>
              <w:t xml:space="preserve">Slow on high-BDP paths</w:t>
            </w:r>
          </w:p>
        </w:tc>
        <w:tc>
          <w:tcPr/>
          <w:p>
            <w:pPr>
              <w:pStyle w:val="Compact"/>
              <w:jc w:val="left"/>
            </w:pPr>
            <w:r>
              <w:t xml:space="preserve">Bufferbloat; collapses with random loss</w:t>
            </w:r>
          </w:p>
        </w:tc>
        <w:tc>
          <w:tcPr/>
          <w:p>
            <w:pPr>
              <w:pStyle w:val="Compact"/>
              <w:jc w:val="left"/>
            </w:pPr>
            <w:r>
              <w:t xml:space="preserve">Fairness issues versus loss-based flows; retransmissions with shallow buffers</w:t>
            </w:r>
          </w:p>
        </w:tc>
      </w:tr>
      <w:tr>
        <w:tc>
          <w:tcPr/>
          <w:p>
            <w:pPr>
              <w:pStyle w:val="Compact"/>
              <w:jc w:val="left"/>
            </w:pPr>
            <w:r>
              <w:t xml:space="preserve">Where used</w:t>
            </w:r>
          </w:p>
        </w:tc>
        <w:tc>
          <w:tcPr/>
          <w:p>
            <w:pPr>
              <w:pStyle w:val="Compact"/>
              <w:jc w:val="left"/>
            </w:pPr>
            <w:r>
              <w:t xml:space="preserve">Teaching baseline</w:t>
            </w:r>
          </w:p>
        </w:tc>
        <w:tc>
          <w:tcPr/>
          <w:p>
            <w:pPr>
              <w:pStyle w:val="Compact"/>
              <w:jc w:val="left"/>
            </w:pPr>
            <w:r>
              <w:t xml:space="preserve">Linux, Windows, macOS defaults</w:t>
            </w:r>
          </w:p>
        </w:tc>
        <w:tc>
          <w:tcPr/>
          <w:p>
            <w:pPr>
              <w:pStyle w:val="Compact"/>
              <w:jc w:val="left"/>
            </w:pPr>
            <w:r>
              <w:t xml:space="preserve">Google services, available in Linux since 4.9</w:t>
            </w:r>
          </w:p>
        </w:tc>
      </w:tr>
    </w:tbl>
    <w:p>
      <w:pPr>
        <w:pStyle w:val="CalloutIndustry"/>
      </w:pPr>
      <w:r>
        <w:rPr>
          <w:bCs/>
          <w:b/>
        </w:rPr>
        <w:t xml:space="preserve">INDUSTRY EXAMPLE</w:t>
      </w:r>
    </w:p>
    <w:p>
      <w:pPr>
        <w:pStyle w:val="CalloutIndustry"/>
      </w:pPr>
      <w:r>
        <w:rPr>
          <w:bCs/>
          <w:b/>
        </w:rPr>
        <w:t xml:space="preserve">BBR at Google.</w:t>
      </w:r>
      <w:r>
        <w:t xml:space="preserve"> </w:t>
      </w:r>
      <w:r>
        <w:t xml:space="preserve">Google reported deploying BBR on its B4 inter-datacenter backbone, where it delivered 2–25× higher throughput than CUBIC, and on YouTube and google.com traffic, where it reduced median RTT (by reducing queuing) while improving throughput. Later work (BBRv2/v3) addresses fairness and loss-sensitivity issues found in BBRv1.</w:t>
      </w:r>
      <w:r>
        <w:t xml:space="preserve"> </w:t>
      </w:r>
      <w:r>
        <w:rPr>
          <w:iCs/>
          <w:i/>
        </w:rPr>
        <w:t xml:space="preserve">Evidence: Primary</w:t>
      </w:r>
      <w:r>
        <w:t xml:space="preserve"> </w:t>
      </w:r>
      <w:r>
        <w:t xml:space="preserve">— [Cardwell et al. 2016]</w:t>
      </w:r>
    </w:p>
    <w:bookmarkEnd w:id="748"/>
    <w:bookmarkEnd w:id="749"/>
    <w:bookmarkStart w:id="750" w:name="nagles-algorithm-and-delayed-acks"/>
    <w:p>
      <w:pPr>
        <w:pStyle w:val="Heading3"/>
      </w:pPr>
      <w:r>
        <w:t xml:space="preserve">7.7.8 Nagle’s algorithm and delayed ACKs</w:t>
      </w:r>
    </w:p>
    <w:p>
      <w:pPr>
        <w:pStyle w:val="FirstParagraph"/>
      </w:pPr>
      <w:r>
        <w:t xml:space="preserve">In 1984, John Nagle observed that interactive programs sending one keystroke per write produced 41-byte packets (40 bytes of headers, 1 byte of data), wasting bandwidth.</w:t>
      </w:r>
      <w:r>
        <w:t xml:space="preserve"> </w:t>
      </w:r>
      <w:r>
        <w:rPr>
          <w:bCs/>
          <w:b/>
        </w:rPr>
        <w:t xml:space="preserve">Nagle’s algorithm</w:t>
      </w:r>
      <w:r>
        <w:t xml:space="preserve"> </w:t>
      </w:r>
      <w:r>
        <w:t xml:space="preserve">(RFC 896) says: if there is unacknowledged data in flight, buffer small writes until either the ACK arrives or a full segment accumulates.</w:t>
      </w:r>
    </w:p>
    <w:p>
      <w:pPr>
        <w:pStyle w:val="BodyText"/>
      </w:pPr>
      <w:r>
        <w:t xml:space="preserve">Separately, receivers use</w:t>
      </w:r>
      <w:r>
        <w:t xml:space="preserve"> </w:t>
      </w:r>
      <w:r>
        <w:rPr>
          <w:bCs/>
          <w:b/>
        </w:rPr>
        <w:t xml:space="preserve">delayed ACKs</w:t>
      </w:r>
      <w:r>
        <w:t xml:space="preserve">: they wait briefly (up to 500 ms by RFC 1122; Linux uses about 40 ms or more) hoping to piggyback the ACK on response data or to acknowledge two segments at once.</w:t>
      </w:r>
    </w:p>
    <w:p>
      <w:pPr>
        <w:pStyle w:val="BodyText"/>
      </w:pPr>
      <w:r>
        <w:t xml:space="preserve">Each idea is reasonable; together they cause a notorious stall. A client writes a request header (small write 1), then the body (small write 2), then waits for a response. Write 1 is sent. Nagle holds write 2 until write 1 is acknowledged. The server cannot respond before it has the whole request, so it has nothing to piggyback on and delays its ACK. The pair sit idle for the delayed-ACK timer, adding tens of milliseconds to every request. The fixes are to assemble the full message and write it once, or to set the</w:t>
      </w:r>
      <w:r>
        <w:t xml:space="preserve"> </w:t>
      </w:r>
      <w:r>
        <w:rPr>
          <w:rStyle w:val="VerbatimChar"/>
        </w:rPr>
        <w:t xml:space="preserve">TCP_NODELAY</w:t>
      </w:r>
      <w:r>
        <w:t xml:space="preserve"> </w:t>
      </w:r>
      <w:r>
        <w:t xml:space="preserve">socket option, which disables Nagle. Almost every RPC framework and database driver sets</w:t>
      </w:r>
      <w:r>
        <w:t xml:space="preserve"> </w:t>
      </w:r>
      <w:r>
        <w:rPr>
          <w:rStyle w:val="VerbatimChar"/>
        </w:rPr>
        <w:t xml:space="preserve">TCP_NODELAY</w:t>
      </w:r>
      <w:r>
        <w:t xml:space="preserve"> </w:t>
      </w:r>
      <w:r>
        <w:t xml:space="preserve">by default.</w:t>
      </w:r>
    </w:p>
    <w:bookmarkEnd w:id="750"/>
    <w:bookmarkStart w:id="751" w:name="head-of-line-blocking"/>
    <w:p>
      <w:pPr>
        <w:pStyle w:val="Heading3"/>
      </w:pPr>
      <w:r>
        <w:t xml:space="preserve">7.7.9 Head-of-line blocking</w:t>
      </w:r>
    </w:p>
    <w:p>
      <w:pPr>
        <w:pStyle w:val="FirstParagraph"/>
      </w:pPr>
      <w:r>
        <w:rPr>
          <w:bCs/>
          <w:b/>
        </w:rPr>
        <w:t xml:space="preserve">Head-of-line (HOL) blocking</w:t>
      </w:r>
      <w:r>
        <w:t xml:space="preserve"> </w:t>
      </w:r>
      <w:r>
        <w:t xml:space="preserve">occurs when an item at the front of a queue holds up everything behind it. TCP guarantees in-order delivery of one byte stream, so if segment 5 is lost and segments 6–20 arrive, the receiving kernel holds 6–20 in its buffer and the application can read nothing until segment 5’s retransmission arrives, at least one RTT later. If the application multiplexed several independent requests over that connection (HTTP/2, §7.9.3), all of them stall because of one packet that belonged to only one of them. This is the central motivation for QUIC (§7.9.4), which provides independent streams with no cross-stream HOL blocking.</w:t>
      </w:r>
    </w:p>
    <w:bookmarkEnd w:id="751"/>
    <w:bookmarkStart w:id="753" w:name="X382d3bac99ebbf0220f70581794639f30bdde5c"/>
    <w:p>
      <w:pPr>
        <w:pStyle w:val="Heading3"/>
      </w:pPr>
      <w:r>
        <w:t xml:space="preserve">7.7.10 Code example: a TCP echo server and client</w:t>
      </w:r>
    </w:p>
    <w:p>
      <w:pPr>
        <w:pStyle w:val="SourceCode"/>
      </w:pPr>
      <w:r>
        <w:rPr>
          <w:rStyle w:val="CommentTok"/>
        </w:rPr>
        <w:t xml:space="preserve"># echo_server.py — a minimal, runnable TCP echo server (Python 3.8+).</w:t>
      </w:r>
      <w:r>
        <w:br/>
      </w:r>
      <w:r>
        <w:rPr>
          <w:rStyle w:val="ImportTok"/>
        </w:rPr>
        <w:t xml:space="preserve">import</w:t>
      </w:r>
      <w:r>
        <w:rPr>
          <w:rStyle w:val="NormalTok"/>
        </w:rPr>
        <w:t xml:space="preserve"> socket</w:t>
      </w:r>
      <w:r>
        <w:br/>
      </w:r>
      <w:r>
        <w:br/>
      </w:r>
      <w:r>
        <w:rPr>
          <w:rStyle w:val="NormalTok"/>
        </w:rPr>
        <w:t xml:space="preserve">HOST, PORT </w:t>
      </w:r>
      <w:r>
        <w:rPr>
          <w:rStyle w:val="OperatorTok"/>
        </w:rPr>
        <w:t xml:space="preserve">=</w:t>
      </w:r>
      <w:r>
        <w:rPr>
          <w:rStyle w:val="NormalTok"/>
        </w:rPr>
        <w:t xml:space="preserve"> </w:t>
      </w:r>
      <w:r>
        <w:rPr>
          <w:rStyle w:val="StringTok"/>
        </w:rPr>
        <w:t xml:space="preserve">"127.0.0.1"</w:t>
      </w:r>
      <w:r>
        <w:rPr>
          <w:rStyle w:val="NormalTok"/>
        </w:rPr>
        <w:t xml:space="preserve">, </w:t>
      </w:r>
      <w:r>
        <w:rPr>
          <w:rStyle w:val="DecValTok"/>
        </w:rPr>
        <w:t xml:space="preserve">9000</w:t>
      </w:r>
      <w:r>
        <w:br/>
      </w:r>
      <w:r>
        <w:br/>
      </w:r>
      <w:r>
        <w:rPr>
          <w:rStyle w:val="ControlFlowTok"/>
        </w:rPr>
        <w:t xml:space="preserve">with</w:t>
      </w:r>
      <w:r>
        <w:rPr>
          <w:rStyle w:val="NormalTok"/>
        </w:rPr>
        <w:t xml:space="preserve"> socket.socket(socket.AF_INET, socket.SOCK_STREAM) </w:t>
      </w:r>
      <w:r>
        <w:rPr>
          <w:rStyle w:val="ImportTok"/>
        </w:rPr>
        <w:t xml:space="preserve">as</w:t>
      </w:r>
      <w:r>
        <w:rPr>
          <w:rStyle w:val="NormalTok"/>
        </w:rPr>
        <w:t xml:space="preserve"> srv:</w:t>
      </w:r>
      <w:r>
        <w:br/>
      </w:r>
      <w:r>
        <w:rPr>
          <w:rStyle w:val="NormalTok"/>
        </w:rPr>
        <w:t xml:space="preserve">    srv.setsockopt(socket.SOL_SOCKET, socket.SO_REUSEADDR, </w:t>
      </w:r>
      <w:r>
        <w:rPr>
          <w:rStyle w:val="DecValTok"/>
        </w:rPr>
        <w:t xml:space="preserve">1</w:t>
      </w:r>
      <w:r>
        <w:rPr>
          <w:rStyle w:val="NormalTok"/>
        </w:rPr>
        <w:t xml:space="preserve">)  </w:t>
      </w:r>
      <w:r>
        <w:rPr>
          <w:rStyle w:val="CommentTok"/>
        </w:rPr>
        <w:t xml:space="preserve"># rebind despite TIME_WAIT</w:t>
      </w:r>
      <w:r>
        <w:br/>
      </w:r>
      <w:r>
        <w:rPr>
          <w:rStyle w:val="NormalTok"/>
        </w:rPr>
        <w:t xml:space="preserve">    srv.bind((HOST, PORT))</w:t>
      </w:r>
      <w:r>
        <w:br/>
      </w:r>
      <w:r>
        <w:rPr>
          <w:rStyle w:val="NormalTok"/>
        </w:rPr>
        <w:t xml:space="preserve">    srv.listen(</w:t>
      </w:r>
      <w:r>
        <w:rPr>
          <w:rStyle w:val="DecValTok"/>
        </w:rPr>
        <w:t xml:space="preserve">128</w:t>
      </w:r>
      <w:r>
        <w:rPr>
          <w:rStyle w:val="NormalTok"/>
        </w:rPr>
        <w:t xml:space="preserve">)                         </w:t>
      </w:r>
      <w:r>
        <w:rPr>
          <w:rStyle w:val="CommentTok"/>
        </w:rPr>
        <w:t xml:space="preserve"># backlog of completed handshakes</w:t>
      </w:r>
      <w:r>
        <w:br/>
      </w:r>
      <w:r>
        <w:rPr>
          <w:rStyle w:val="NormalTok"/>
        </w:rPr>
        <w:t xml:space="preserve">    </w:t>
      </w:r>
      <w:r>
        <w:rPr>
          <w:rStyle w:val="BuiltInTok"/>
        </w:rPr>
        <w:t xml:space="preserve">print</w:t>
      </w:r>
      <w:r>
        <w:rPr>
          <w:rStyle w:val="NormalTok"/>
        </w:rPr>
        <w:t xml:space="preserve">(</w:t>
      </w:r>
      <w:r>
        <w:rPr>
          <w:rStyle w:val="SpecialStringTok"/>
        </w:rPr>
        <w:t xml:space="preserve">f"listening on </w:t>
      </w:r>
      <w:r>
        <w:rPr>
          <w:rStyle w:val="SpecialCharTok"/>
        </w:rPr>
        <w:t xml:space="preserve">{</w:t>
      </w:r>
      <w:r>
        <w:rPr>
          <w:rStyle w:val="NormalTok"/>
        </w:rPr>
        <w:t xml:space="preserve">HOST</w:t>
      </w:r>
      <w:r>
        <w:rPr>
          <w:rStyle w:val="SpecialCharTok"/>
        </w:rPr>
        <w:t xml:space="preserve">}</w:t>
      </w:r>
      <w:r>
        <w:rPr>
          <w:rStyle w:val="SpecialStringTok"/>
        </w:rPr>
        <w:t xml:space="preserve">:</w:t>
      </w:r>
      <w:r>
        <w:rPr>
          <w:rStyle w:val="SpecialCharTok"/>
        </w:rPr>
        <w:t xml:space="preserve">{</w:t>
      </w:r>
      <w:r>
        <w:rPr>
          <w:rStyle w:val="NormalTok"/>
        </w:rPr>
        <w:t xml:space="preserve">PORT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conn, addr </w:t>
      </w:r>
      <w:r>
        <w:rPr>
          <w:rStyle w:val="OperatorTok"/>
        </w:rPr>
        <w:t xml:space="preserve">=</w:t>
      </w:r>
      <w:r>
        <w:rPr>
          <w:rStyle w:val="NormalTok"/>
        </w:rPr>
        <w:t xml:space="preserve"> srv.accept()           </w:t>
      </w:r>
      <w:r>
        <w:rPr>
          <w:rStyle w:val="CommentTok"/>
        </w:rPr>
        <w:t xml:space="preserve"># handshake already done by the kernel</w:t>
      </w:r>
      <w:r>
        <w:br/>
      </w:r>
      <w:r>
        <w:rPr>
          <w:rStyle w:val="NormalTok"/>
        </w:rPr>
        <w:t xml:space="preserve">        </w:t>
      </w:r>
      <w:r>
        <w:rPr>
          <w:rStyle w:val="ControlFlowTok"/>
        </w:rPr>
        <w:t xml:space="preserve">with</w:t>
      </w:r>
      <w:r>
        <w:rPr>
          <w:rStyle w:val="NormalTok"/>
        </w:rPr>
        <w:t xml:space="preserve"> conn:</w:t>
      </w:r>
      <w:r>
        <w:br/>
      </w:r>
      <w:r>
        <w:rPr>
          <w:rStyle w:val="NormalTok"/>
        </w:rPr>
        <w:t xml:space="preserve">            conn.setsockopt(socket.IPPROTO_TCP, socket.TCP_NODELAY, </w:t>
      </w:r>
      <w:r>
        <w:rPr>
          <w:rStyle w:val="DecValTok"/>
        </w:rPr>
        <w:t xml:space="preserve">1</w:t>
      </w:r>
      <w:r>
        <w:rPr>
          <w:rStyle w:val="NormalTok"/>
        </w:rPr>
        <w:t xml:space="preserve">)</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data </w:t>
      </w:r>
      <w:r>
        <w:rPr>
          <w:rStyle w:val="OperatorTok"/>
        </w:rPr>
        <w:t xml:space="preserve">=</w:t>
      </w:r>
      <w:r>
        <w:rPr>
          <w:rStyle w:val="NormalTok"/>
        </w:rPr>
        <w:t xml:space="preserve"> conn.recv(</w:t>
      </w:r>
      <w:r>
        <w:rPr>
          <w:rStyle w:val="DecValTok"/>
        </w:rPr>
        <w:t xml:space="preserve">4096</w:t>
      </w:r>
      <w:r>
        <w:rPr>
          <w:rStyle w:val="NormalTok"/>
        </w:rPr>
        <w:t xml:space="preserve">)      </w:t>
      </w:r>
      <w:r>
        <w:rPr>
          <w:rStyle w:val="CommentTok"/>
        </w:rPr>
        <w:t xml:space="preserve"># may return fewer bytes than were sent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data:                </w:t>
      </w:r>
      <w:r>
        <w:rPr>
          <w:rStyle w:val="CommentTok"/>
        </w:rPr>
        <w:t xml:space="preserve"># empty read: peer sent FIN</w:t>
      </w:r>
      <w:r>
        <w:br/>
      </w:r>
      <w:r>
        <w:rPr>
          <w:rStyle w:val="NormalTok"/>
        </w:rPr>
        <w:t xml:space="preserve">                    </w:t>
      </w:r>
      <w:r>
        <w:rPr>
          <w:rStyle w:val="ControlFlowTok"/>
        </w:rPr>
        <w:t xml:space="preserve">break</w:t>
      </w:r>
      <w:r>
        <w:br/>
      </w:r>
      <w:r>
        <w:rPr>
          <w:rStyle w:val="NormalTok"/>
        </w:rPr>
        <w:t xml:space="preserve">                conn.sendall(data)          </w:t>
      </w:r>
      <w:r>
        <w:rPr>
          <w:rStyle w:val="CommentTok"/>
        </w:rPr>
        <w:t xml:space="preserve"># loops until every byte is queued</w:t>
      </w:r>
    </w:p>
    <w:p>
      <w:pPr>
        <w:pStyle w:val="SourceCode"/>
      </w:pPr>
      <w:r>
        <w:rPr>
          <w:rStyle w:val="CommentTok"/>
        </w:rPr>
        <w:t xml:space="preserve"># echo_client.py — measures connect time and one request/response round trip.</w:t>
      </w:r>
      <w:r>
        <w:br/>
      </w:r>
      <w:r>
        <w:rPr>
          <w:rStyle w:val="ImportTok"/>
        </w:rPr>
        <w:t xml:space="preserve">import</w:t>
      </w:r>
      <w:r>
        <w:rPr>
          <w:rStyle w:val="NormalTok"/>
        </w:rPr>
        <w:t xml:space="preserve"> socket, time</w:t>
      </w:r>
      <w:r>
        <w:br/>
      </w:r>
      <w:r>
        <w:br/>
      </w:r>
      <w:r>
        <w:rPr>
          <w:rStyle w:val="NormalTok"/>
        </w:rPr>
        <w:t xml:space="preserve">t0 </w:t>
      </w:r>
      <w:r>
        <w:rPr>
          <w:rStyle w:val="OperatorTok"/>
        </w:rPr>
        <w:t xml:space="preserve">=</w:t>
      </w:r>
      <w:r>
        <w:rPr>
          <w:rStyle w:val="NormalTok"/>
        </w:rPr>
        <w:t xml:space="preserve"> time.perf_counter()</w:t>
      </w:r>
      <w:r>
        <w:br/>
      </w:r>
      <w:r>
        <w:rPr>
          <w:rStyle w:val="NormalTok"/>
        </w:rPr>
        <w:t xml:space="preserve">s </w:t>
      </w:r>
      <w:r>
        <w:rPr>
          <w:rStyle w:val="OperatorTok"/>
        </w:rPr>
        <w:t xml:space="preserve">=</w:t>
      </w:r>
      <w:r>
        <w:rPr>
          <w:rStyle w:val="NormalTok"/>
        </w:rPr>
        <w:t xml:space="preserve"> socket.create_connection((</w:t>
      </w:r>
      <w:r>
        <w:rPr>
          <w:rStyle w:val="StringTok"/>
        </w:rPr>
        <w:t xml:space="preserve">"127.0.0.1"</w:t>
      </w:r>
      <w:r>
        <w:rPr>
          <w:rStyle w:val="NormalTok"/>
        </w:rPr>
        <w:t xml:space="preserve">, </w:t>
      </w:r>
      <w:r>
        <w:rPr>
          <w:rStyle w:val="DecValTok"/>
        </w:rPr>
        <w:t xml:space="preserve">9000</w:t>
      </w:r>
      <w:r>
        <w:rPr>
          <w:rStyle w:val="NormalTok"/>
        </w:rPr>
        <w:t xml:space="preserve">))   </w:t>
      </w:r>
      <w:r>
        <w:rPr>
          <w:rStyle w:val="CommentTok"/>
        </w:rPr>
        <w:t xml:space="preserve"># SYN, SYN-ACK, ACK</w:t>
      </w:r>
      <w:r>
        <w:br/>
      </w:r>
      <w:r>
        <w:rPr>
          <w:rStyle w:val="NormalTok"/>
        </w:rPr>
        <w:t xml:space="preserve">t1 </w:t>
      </w:r>
      <w:r>
        <w:rPr>
          <w:rStyle w:val="OperatorTok"/>
        </w:rPr>
        <w:t xml:space="preserve">=</w:t>
      </w:r>
      <w:r>
        <w:rPr>
          <w:rStyle w:val="NormalTok"/>
        </w:rPr>
        <w:t xml:space="preserve"> time.perf_counter()</w:t>
      </w:r>
      <w:r>
        <w:br/>
      </w:r>
      <w:r>
        <w:rPr>
          <w:rStyle w:val="NormalTok"/>
        </w:rPr>
        <w:t xml:space="preserve">s.sendall(</w:t>
      </w:r>
      <w:r>
        <w:rPr>
          <w:rStyle w:val="StringTok"/>
        </w:rPr>
        <w:t xml:space="preserve">b"hello"</w:t>
      </w:r>
      <w:r>
        <w:rPr>
          <w:rStyle w:val="NormalTok"/>
        </w:rPr>
        <w:t xml:space="preserve">)</w:t>
      </w:r>
      <w:r>
        <w:br/>
      </w:r>
      <w:r>
        <w:rPr>
          <w:rStyle w:val="NormalTok"/>
        </w:rPr>
        <w:t xml:space="preserve">reply </w:t>
      </w:r>
      <w:r>
        <w:rPr>
          <w:rStyle w:val="OperatorTok"/>
        </w:rPr>
        <w:t xml:space="preserve">=</w:t>
      </w:r>
      <w:r>
        <w:rPr>
          <w:rStyle w:val="NormalTok"/>
        </w:rPr>
        <w:t xml:space="preserve"> s.recv(</w:t>
      </w:r>
      <w:r>
        <w:rPr>
          <w:rStyle w:val="DecValTok"/>
        </w:rPr>
        <w:t xml:space="preserve">4096</w:t>
      </w:r>
      <w:r>
        <w:rPr>
          <w:rStyle w:val="NormalTok"/>
        </w:rPr>
        <w:t xml:space="preserve">)</w:t>
      </w:r>
      <w:r>
        <w:br/>
      </w:r>
      <w:r>
        <w:rPr>
          <w:rStyle w:val="NormalTok"/>
        </w:rPr>
        <w:t xml:space="preserve">t2 </w:t>
      </w:r>
      <w:r>
        <w:rPr>
          <w:rStyle w:val="OperatorTok"/>
        </w:rPr>
        <w:t xml:space="preserve">=</w:t>
      </w:r>
      <w:r>
        <w:rPr>
          <w:rStyle w:val="NormalTok"/>
        </w:rPr>
        <w:t xml:space="preserve"> time.perf_counter()</w:t>
      </w:r>
      <w:r>
        <w:br/>
      </w:r>
      <w:r>
        <w:rPr>
          <w:rStyle w:val="NormalTok"/>
        </w:rPr>
        <w:t xml:space="preserve">s.close()                                             </w:t>
      </w:r>
      <w:r>
        <w:rPr>
          <w:rStyle w:val="CommentTok"/>
        </w:rPr>
        <w:t xml:space="preserve"># client is active closer: TIME_WAIT here</w:t>
      </w:r>
      <w:r>
        <w:br/>
      </w:r>
      <w:r>
        <w:rPr>
          <w:rStyle w:val="BuiltInTok"/>
        </w:rPr>
        <w:t xml:space="preserve">print</w:t>
      </w:r>
      <w:r>
        <w:rPr>
          <w:rStyle w:val="NormalTok"/>
        </w:rPr>
        <w:t xml:space="preserve">(reply, </w:t>
      </w:r>
      <w:r>
        <w:rPr>
          <w:rStyle w:val="SpecialStringTok"/>
        </w:rPr>
        <w:t xml:space="preserve">f"connect=</w:t>
      </w:r>
      <w:r>
        <w:rPr>
          <w:rStyle w:val="SpecialCharTok"/>
        </w:rPr>
        <w:t xml:space="preserve">{</w:t>
      </w:r>
      <w:r>
        <w:rPr>
          <w:rStyle w:val="FloatTok"/>
        </w:rPr>
        <w:t xml:space="preserve">1e3</w:t>
      </w:r>
      <w:r>
        <w:rPr>
          <w:rStyle w:val="OperatorTok"/>
        </w:rPr>
        <w:t xml:space="preserve">*</w:t>
      </w:r>
      <w:r>
        <w:rPr>
          <w:rStyle w:val="NormalTok"/>
        </w:rPr>
        <w:t xml:space="preserve">(t1</w:t>
      </w:r>
      <w:r>
        <w:rPr>
          <w:rStyle w:val="OperatorTok"/>
        </w:rPr>
        <w:t xml:space="preserve">-</w:t>
      </w:r>
      <w:r>
        <w:rPr>
          <w:rStyle w:val="NormalTok"/>
        </w:rPr>
        <w:t xml:space="preserve">t0)</w:t>
      </w:r>
      <w:r>
        <w:rPr>
          <w:rStyle w:val="SpecialCharTok"/>
        </w:rPr>
        <w:t xml:space="preserve">:.3f}</w:t>
      </w:r>
      <w:r>
        <w:rPr>
          <w:rStyle w:val="SpecialStringTok"/>
        </w:rPr>
        <w:t xml:space="preserve"> ms  rtt=</w:t>
      </w:r>
      <w:r>
        <w:rPr>
          <w:rStyle w:val="SpecialCharTok"/>
        </w:rPr>
        <w:t xml:space="preserve">{</w:t>
      </w:r>
      <w:r>
        <w:rPr>
          <w:rStyle w:val="FloatTok"/>
        </w:rPr>
        <w:t xml:space="preserve">1e3</w:t>
      </w:r>
      <w:r>
        <w:rPr>
          <w:rStyle w:val="OperatorTok"/>
        </w:rPr>
        <w:t xml:space="preserve">*</w:t>
      </w:r>
      <w:r>
        <w:rPr>
          <w:rStyle w:val="NormalTok"/>
        </w:rPr>
        <w:t xml:space="preserve">(t2</w:t>
      </w:r>
      <w:r>
        <w:rPr>
          <w:rStyle w:val="OperatorTok"/>
        </w:rPr>
        <w:t xml:space="preserve">-</w:t>
      </w:r>
      <w:r>
        <w:rPr>
          <w:rStyle w:val="NormalTok"/>
        </w:rPr>
        <w:t xml:space="preserve">t1)</w:t>
      </w:r>
      <w:r>
        <w:rPr>
          <w:rStyle w:val="SpecialCharTok"/>
        </w:rPr>
        <w:t xml:space="preserve">:.3f}</w:t>
      </w:r>
      <w:r>
        <w:rPr>
          <w:rStyle w:val="SpecialStringTok"/>
        </w:rPr>
        <w:t xml:space="preserve"> ms"</w:t>
      </w:r>
      <w:r>
        <w:rPr>
          <w:rStyle w:val="NormalTok"/>
        </w:rPr>
        <w:t xml:space="preserve">)</w:t>
      </w:r>
    </w:p>
    <w:p>
      <w:pPr>
        <w:pStyle w:val="FirstParagraph"/>
      </w:pPr>
      <w:r>
        <w:t xml:space="preserve">What to notice:</w:t>
      </w:r>
    </w:p>
    <w:p>
      <w:pPr>
        <w:numPr>
          <w:ilvl w:val="0"/>
          <w:numId w:val="1227"/>
        </w:numPr>
        <w:pStyle w:val="Compact"/>
      </w:pPr>
      <w:r>
        <w:rPr>
          <w:rStyle w:val="VerbatimChar"/>
        </w:rPr>
        <w:t xml:space="preserve">accept()</w:t>
      </w:r>
      <w:r>
        <w:t xml:space="preserve"> </w:t>
      </w:r>
      <w:r>
        <w:t xml:space="preserve">returns only after the kernel has completed the three-way handshake; your application never sees SYNs.</w:t>
      </w:r>
    </w:p>
    <w:p>
      <w:pPr>
        <w:numPr>
          <w:ilvl w:val="0"/>
          <w:numId w:val="1227"/>
        </w:numPr>
        <w:pStyle w:val="Compact"/>
      </w:pPr>
      <w:r>
        <w:rPr>
          <w:rStyle w:val="VerbatimChar"/>
        </w:rPr>
        <w:t xml:space="preserve">recv(4096)</w:t>
      </w:r>
      <w:r>
        <w:t xml:space="preserve"> </w:t>
      </w:r>
      <w:r>
        <w:t xml:space="preserve">returns</w:t>
      </w:r>
      <w:r>
        <w:t xml:space="preserve"> </w:t>
      </w:r>
      <w:r>
        <w:rPr>
          <w:iCs/>
          <w:i/>
        </w:rPr>
        <w:t xml:space="preserve">up to</w:t>
      </w:r>
      <w:r>
        <w:t xml:space="preserve"> </w:t>
      </w:r>
      <w:r>
        <w:t xml:space="preserve">4,096 bytes. TCP is a byte stream, so a real protocol must loop until a complete message has arrived, using a length prefix or delimiter.</w:t>
      </w:r>
    </w:p>
    <w:p>
      <w:pPr>
        <w:numPr>
          <w:ilvl w:val="0"/>
          <w:numId w:val="1227"/>
        </w:numPr>
        <w:pStyle w:val="Compact"/>
      </w:pPr>
      <w:r>
        <w:rPr>
          <w:rStyle w:val="VerbatimChar"/>
        </w:rPr>
        <w:t xml:space="preserve">recv</w:t>
      </w:r>
      <w:r>
        <w:t xml:space="preserve"> </w:t>
      </w:r>
      <w:r>
        <w:t xml:space="preserve">returning</w:t>
      </w:r>
      <w:r>
        <w:t xml:space="preserve"> </w:t>
      </w:r>
      <w:r>
        <w:rPr>
          <w:rStyle w:val="VerbatimChar"/>
        </w:rPr>
        <w:t xml:space="preserve">b""</w:t>
      </w:r>
      <w:r>
        <w:t xml:space="preserve"> </w:t>
      </w:r>
      <w:r>
        <w:t xml:space="preserve">is how the application learns that the peer sent FIN.</w:t>
      </w:r>
    </w:p>
    <w:p>
      <w:pPr>
        <w:numPr>
          <w:ilvl w:val="0"/>
          <w:numId w:val="1227"/>
        </w:numPr>
        <w:pStyle w:val="Compact"/>
      </w:pPr>
      <w:r>
        <w:rPr>
          <w:rStyle w:val="VerbatimChar"/>
        </w:rPr>
        <w:t xml:space="preserve">SO_REUSEADDR</w:t>
      </w:r>
      <w:r>
        <w:t xml:space="preserve"> </w:t>
      </w:r>
      <w:r>
        <w:t xml:space="preserve">lets a restarted server bind its port while old connections linger in TIME_WAIT.</w:t>
      </w:r>
    </w:p>
    <w:p>
      <w:pPr>
        <w:numPr>
          <w:ilvl w:val="0"/>
          <w:numId w:val="1227"/>
        </w:numPr>
        <w:pStyle w:val="Compact"/>
      </w:pPr>
      <w:r>
        <w:t xml:space="preserve">The server handles one client at a time; production servers use threads, an event loop (§6.13) or</w:t>
      </w:r>
      <w:r>
        <w:t xml:space="preserve"> </w:t>
      </w:r>
      <w:r>
        <w:rPr>
          <w:rStyle w:val="VerbatimChar"/>
        </w:rPr>
        <w:t xml:space="preserve">asyncio</w:t>
      </w:r>
      <w:r>
        <w:t xml:space="preserve">.</w:t>
      </w:r>
    </w:p>
    <w:p>
      <w:pPr>
        <w:numPr>
          <w:ilvl w:val="0"/>
          <w:numId w:val="1227"/>
        </w:numPr>
        <w:pStyle w:val="Compact"/>
      </w:pPr>
      <w:r>
        <w:t xml:space="preserve">Over loopback, both timings will be tens of microseconds; the same client against a server 80 ms away would show about 80 ms for each.</w:t>
      </w:r>
    </w:p>
    <w:bookmarkStart w:id="752" w:name="failure-scenarios-17"/>
    <w:p>
      <w:pPr>
        <w:pStyle w:val="Heading4"/>
      </w:pPr>
      <w:r>
        <w:t xml:space="preserve">Failure scenarios</w:t>
      </w:r>
    </w:p>
    <w:p>
      <w:pPr>
        <w:pStyle w:val="FirstParagraph"/>
      </w:pPr>
      <w:r>
        <w:rPr>
          <w:bCs/>
          <w:b/>
        </w:rPr>
        <w:t xml:space="preserve">Table 7.8 — TCP 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Ephemeral port exhaustion</w:t>
            </w:r>
          </w:p>
        </w:tc>
        <w:tc>
          <w:tcPr/>
          <w:p>
            <w:pPr>
              <w:pStyle w:val="Compact"/>
              <w:jc w:val="left"/>
            </w:pPr>
            <w:r>
              <w:t xml:space="preserve">Connection per request; TIME_WAIT holds ports</w:t>
            </w:r>
          </w:p>
        </w:tc>
        <w:tc>
          <w:tcPr/>
          <w:p>
            <w:pPr>
              <w:pStyle w:val="Compact"/>
              <w:jc w:val="left"/>
            </w:pPr>
            <w:r>
              <w:rPr>
                <w:rStyle w:val="VerbatimChar"/>
              </w:rPr>
              <w:t xml:space="preserve">EADDRNOTAVAIL</w:t>
            </w:r>
            <w:r>
              <w:t xml:space="preserve">; many TIME_WAIT sockets in</w:t>
            </w:r>
            <w:r>
              <w:t xml:space="preserve"> </w:t>
            </w:r>
            <w:r>
              <w:rPr>
                <w:rStyle w:val="VerbatimChar"/>
              </w:rPr>
              <w:t xml:space="preserve">ss -s</w:t>
            </w:r>
          </w:p>
        </w:tc>
        <w:tc>
          <w:tcPr/>
          <w:p>
            <w:pPr>
              <w:pStyle w:val="Compact"/>
              <w:jc w:val="left"/>
            </w:pPr>
            <w:r>
              <w:t xml:space="preserve">Reuse connections;</w:t>
            </w:r>
            <w:r>
              <w:t xml:space="preserve"> </w:t>
            </w:r>
            <w:r>
              <w:rPr>
                <w:rStyle w:val="VerbatimChar"/>
              </w:rPr>
              <w:t xml:space="preserve">tcp_tw_reuse</w:t>
            </w:r>
          </w:p>
        </w:tc>
        <w:tc>
          <w:tcPr/>
          <w:p>
            <w:pPr>
              <w:pStyle w:val="Compact"/>
              <w:jc w:val="left"/>
            </w:pPr>
            <w:r>
              <w:t xml:space="preserve">Pooling and keep-alive (§7.16)</w:t>
            </w:r>
          </w:p>
        </w:tc>
      </w:tr>
      <w:tr>
        <w:tc>
          <w:tcPr/>
          <w:p>
            <w:pPr>
              <w:pStyle w:val="Compact"/>
              <w:jc w:val="left"/>
            </w:pPr>
            <w:r>
              <w:t xml:space="preserve">CLOSE_WAIT leak</w:t>
            </w:r>
          </w:p>
        </w:tc>
        <w:tc>
          <w:tcPr/>
          <w:p>
            <w:pPr>
              <w:pStyle w:val="Compact"/>
              <w:jc w:val="left"/>
            </w:pPr>
            <w:r>
              <w:t xml:space="preserve">Application never closes sockets after peer FIN</w:t>
            </w:r>
          </w:p>
        </w:tc>
        <w:tc>
          <w:tcPr/>
          <w:p>
            <w:pPr>
              <w:pStyle w:val="Compact"/>
              <w:jc w:val="left"/>
            </w:pPr>
            <w:r>
              <w:t xml:space="preserve">Growing CLOSE_WAIT count; file-descriptor exhaustion</w:t>
            </w:r>
          </w:p>
        </w:tc>
        <w:tc>
          <w:tcPr/>
          <w:p>
            <w:pPr>
              <w:pStyle w:val="Compact"/>
              <w:jc w:val="left"/>
            </w:pPr>
            <w:r>
              <w:t xml:space="preserve">Restart process; fix code</w:t>
            </w:r>
          </w:p>
        </w:tc>
        <w:tc>
          <w:tcPr/>
          <w:p>
            <w:pPr>
              <w:pStyle w:val="Compact"/>
              <w:jc w:val="left"/>
            </w:pPr>
            <w:r>
              <w:t xml:space="preserve">Close in</w:t>
            </w:r>
            <w:r>
              <w:t xml:space="preserve"> </w:t>
            </w:r>
            <w:r>
              <w:rPr>
                <w:rStyle w:val="VerbatimChar"/>
              </w:rPr>
              <w:t xml:space="preserve">finally</w:t>
            </w:r>
            <w:r>
              <w:t xml:space="preserve">/context managers; timeouts</w:t>
            </w:r>
          </w:p>
        </w:tc>
      </w:tr>
      <w:tr>
        <w:tc>
          <w:tcPr/>
          <w:p>
            <w:pPr>
              <w:pStyle w:val="Compact"/>
              <w:jc w:val="left"/>
            </w:pPr>
            <w:r>
              <w:t xml:space="preserve">Half-open connection</w:t>
            </w:r>
          </w:p>
        </w:tc>
        <w:tc>
          <w:tcPr/>
          <w:p>
            <w:pPr>
              <w:pStyle w:val="Compact"/>
              <w:jc w:val="left"/>
            </w:pPr>
            <w:r>
              <w:t xml:space="preserve">Peer crashed or a NAT/firewall dropped state; no FIN sent</w:t>
            </w:r>
          </w:p>
        </w:tc>
        <w:tc>
          <w:tcPr/>
          <w:p>
            <w:pPr>
              <w:pStyle w:val="Compact"/>
              <w:jc w:val="left"/>
            </w:pPr>
            <w:r>
              <w:t xml:space="preserve">Writes hang or eventually reset; reads block forever</w:t>
            </w:r>
          </w:p>
        </w:tc>
        <w:tc>
          <w:tcPr/>
          <w:p>
            <w:pPr>
              <w:pStyle w:val="Compact"/>
              <w:jc w:val="left"/>
            </w:pPr>
            <w:r>
              <w:t xml:space="preserve">Application-level timeouts; reconnect</w:t>
            </w:r>
          </w:p>
        </w:tc>
        <w:tc>
          <w:tcPr/>
          <w:p>
            <w:pPr>
              <w:pStyle w:val="Compact"/>
              <w:jc w:val="left"/>
            </w:pPr>
            <w:r>
              <w:t xml:space="preserve">TCP keep-alive or application heartbeats; read deadlines</w:t>
            </w:r>
          </w:p>
        </w:tc>
      </w:tr>
      <w:tr>
        <w:tc>
          <w:tcPr/>
          <w:p>
            <w:pPr>
              <w:pStyle w:val="Compact"/>
              <w:jc w:val="left"/>
            </w:pPr>
            <w:r>
              <w:t xml:space="preserve">Retransmission-driven tail latency</w:t>
            </w:r>
          </w:p>
        </w:tc>
        <w:tc>
          <w:tcPr/>
          <w:p>
            <w:pPr>
              <w:pStyle w:val="Compact"/>
              <w:jc w:val="left"/>
            </w:pPr>
            <w:r>
              <w:t xml:space="preserve">Packet loss; minimum RTO of 200 ms+</w:t>
            </w:r>
          </w:p>
        </w:tc>
        <w:tc>
          <w:tcPr/>
          <w:p>
            <w:pPr>
              <w:pStyle w:val="Compact"/>
              <w:jc w:val="left"/>
            </w:pPr>
            <w:r>
              <w:t xml:space="preserve">p99 spikes;</w:t>
            </w:r>
            <w:r>
              <w:t xml:space="preserve"> </w:t>
            </w:r>
            <w:r>
              <w:rPr>
                <w:rStyle w:val="VerbatimChar"/>
              </w:rPr>
              <w:t xml:space="preserve">nstat</w:t>
            </w:r>
            <w:r>
              <w:t xml:space="preserve"> </w:t>
            </w:r>
            <w:r>
              <w:t xml:space="preserve">retransmission counters</w:t>
            </w:r>
          </w:p>
        </w:tc>
        <w:tc>
          <w:tcPr/>
          <w:p>
            <w:pPr>
              <w:pStyle w:val="Compact"/>
              <w:jc w:val="left"/>
            </w:pPr>
            <w:r>
              <w:t xml:space="preserve">—</w:t>
            </w:r>
          </w:p>
        </w:tc>
        <w:tc>
          <w:tcPr/>
          <w:p>
            <w:pPr>
              <w:pStyle w:val="Compact"/>
              <w:jc w:val="left"/>
            </w:pPr>
            <w:r>
              <w:t xml:space="preserve">Avoid drops; hedged requests (§23.7)</w:t>
            </w:r>
          </w:p>
        </w:tc>
      </w:tr>
      <w:tr>
        <w:tc>
          <w:tcPr/>
          <w:p>
            <w:pPr>
              <w:pStyle w:val="Compact"/>
              <w:jc w:val="left"/>
            </w:pPr>
            <w:r>
              <w:t xml:space="preserve">Nagle/delayed-ACK stall</w:t>
            </w:r>
          </w:p>
        </w:tc>
        <w:tc>
          <w:tcPr/>
          <w:p>
            <w:pPr>
              <w:pStyle w:val="Compact"/>
              <w:jc w:val="left"/>
            </w:pPr>
            <w:r>
              <w:t xml:space="preserve">Multiple small writes per request</w:t>
            </w:r>
          </w:p>
        </w:tc>
        <w:tc>
          <w:tcPr/>
          <w:p>
            <w:pPr>
              <w:pStyle w:val="Compact"/>
              <w:jc w:val="left"/>
            </w:pPr>
            <w:r>
              <w:t xml:space="preserve">Latency floor of about 40 ms on small requests</w:t>
            </w:r>
          </w:p>
        </w:tc>
        <w:tc>
          <w:tcPr/>
          <w:p>
            <w:pPr>
              <w:pStyle w:val="Compact"/>
              <w:jc w:val="left"/>
            </w:pPr>
            <w:r>
              <w:t xml:space="preserve">Set</w:t>
            </w:r>
            <w:r>
              <w:t xml:space="preserve"> </w:t>
            </w:r>
            <w:r>
              <w:rPr>
                <w:rStyle w:val="VerbatimChar"/>
              </w:rPr>
              <w:t xml:space="preserve">TCP_NODELAY</w:t>
            </w:r>
          </w:p>
        </w:tc>
        <w:tc>
          <w:tcPr/>
          <w:p>
            <w:pPr>
              <w:pStyle w:val="Compact"/>
              <w:jc w:val="left"/>
            </w:pPr>
            <w:r>
              <w:t xml:space="preserve">Write whole messages; framework defaults</w:t>
            </w:r>
          </w:p>
        </w:tc>
      </w:tr>
      <w:tr>
        <w:tc>
          <w:tcPr/>
          <w:p>
            <w:pPr>
              <w:pStyle w:val="Compact"/>
              <w:jc w:val="left"/>
            </w:pPr>
            <w:r>
              <w:t xml:space="preserve">SYN flood</w:t>
            </w:r>
          </w:p>
        </w:tc>
        <w:tc>
          <w:tcPr/>
          <w:p>
            <w:pPr>
              <w:pStyle w:val="Compact"/>
              <w:jc w:val="left"/>
            </w:pPr>
            <w:r>
              <w:t xml:space="preserve">Spoofed SYNs fill the half-open queue</w:t>
            </w:r>
          </w:p>
        </w:tc>
        <w:tc>
          <w:tcPr/>
          <w:p>
            <w:pPr>
              <w:pStyle w:val="Compact"/>
              <w:jc w:val="left"/>
            </w:pPr>
            <w:r>
              <w:t xml:space="preserve">Many SYN_RECV sockets</w:t>
            </w:r>
          </w:p>
        </w:tc>
        <w:tc>
          <w:tcPr/>
          <w:p>
            <w:pPr>
              <w:pStyle w:val="Compact"/>
              <w:jc w:val="left"/>
            </w:pPr>
            <w:r>
              <w:t xml:space="preserve">SYN cookies</w:t>
            </w:r>
          </w:p>
        </w:tc>
        <w:tc>
          <w:tcPr/>
          <w:p>
            <w:pPr>
              <w:pStyle w:val="Compact"/>
              <w:jc w:val="left"/>
            </w:pPr>
            <w:r>
              <w:t xml:space="preserve">SYN cookies on by default; DDoS protection</w:t>
            </w:r>
          </w:p>
        </w:tc>
      </w:tr>
    </w:tbl>
    <w:p>
      <w:pPr>
        <w:pStyle w:val="CalloutMistake"/>
      </w:pPr>
      <w:r>
        <w:rPr>
          <w:bCs/>
          <w:b/>
        </w:rPr>
        <w:t xml:space="preserve">COMMON MISTAKE</w:t>
      </w:r>
    </w:p>
    <w:p>
      <w:pPr>
        <w:pStyle w:val="CalloutMistake"/>
      </w:pPr>
      <w:r>
        <w:rPr>
          <w:bCs/>
          <w:b/>
        </w:rPr>
        <w:t xml:space="preserve">“</w:t>
      </w:r>
      <w:r>
        <w:rPr>
          <w:bCs/>
          <w:b/>
        </w:rPr>
        <w:t xml:space="preserve">TCP guarantees my message was processed.</w:t>
      </w:r>
      <w:r>
        <w:rPr>
          <w:bCs/>
          <w:b/>
        </w:rPr>
        <w:t xml:space="preserve">”</w:t>
      </w:r>
      <w:r>
        <w:t xml:space="preserve"> </w:t>
      </w:r>
      <w:r>
        <w:t xml:space="preserve">An ACK means the peer’s</w:t>
      </w:r>
      <w:r>
        <w:t xml:space="preserve"> </w:t>
      </w:r>
      <w:r>
        <w:rPr>
          <w:iCs/>
          <w:i/>
        </w:rPr>
        <w:t xml:space="preserve">kernel</w:t>
      </w:r>
      <w:r>
        <w:t xml:space="preserve"> </w:t>
      </w:r>
      <w:r>
        <w:t xml:space="preserve">received the bytes into a buffer, not that the application read them, let alone acted on them or wrote them durably. If the server crashes after ACKing, the data is gone. End-to-end confirmation must come from the application (§24.14, the end-to-end argument).</w:t>
      </w:r>
    </w:p>
    <w:p>
      <w:pPr>
        <w:pStyle w:val="CalloutMistake"/>
      </w:pPr>
      <w:r>
        <w:rPr>
          <w:bCs/>
          <w:b/>
        </w:rPr>
        <w:t xml:space="preserve">COMMON MISTAKE</w:t>
      </w:r>
    </w:p>
    <w:p>
      <w:pPr>
        <w:pStyle w:val="CalloutMistake"/>
      </w:pPr>
      <w:r>
        <w:rPr>
          <w:bCs/>
          <w:b/>
        </w:rPr>
        <w:t xml:space="preserve">“</w:t>
      </w:r>
      <w:r>
        <w:rPr>
          <w:bCs/>
          <w:b/>
        </w:rPr>
        <w:t xml:space="preserve">A TCP connection notices immediately when the other side dies.</w:t>
      </w:r>
      <w:r>
        <w:rPr>
          <w:bCs/>
          <w:b/>
        </w:rPr>
        <w:t xml:space="preserve">”</w:t>
      </w:r>
      <w:r>
        <w:t xml:space="preserve"> </w:t>
      </w:r>
      <w:r>
        <w:t xml:space="preserve">If the peer vanishes without sending FIN or RST (power loss, cable cut, a firewall silently dropping state), an idle connection looks healthy indefinitely. TCP keep-alive probes default to starting after two hours of idleness on Linux. Always set application-level timeouts.</w:t>
      </w:r>
    </w:p>
    <w:bookmarkEnd w:id="752"/>
    <w:bookmarkEnd w:id="753"/>
    <w:bookmarkEnd w:id="754"/>
    <w:bookmarkStart w:id="757" w:name="udp-and-when-to-use-it"/>
    <w:p>
      <w:pPr>
        <w:pStyle w:val="Heading2"/>
      </w:pPr>
      <w:r>
        <w:t xml:space="preserve">7.8 UDP and when to use it</w:t>
      </w:r>
    </w:p>
    <w:p>
      <w:pPr>
        <w:pStyle w:val="CalloutDefinition"/>
      </w:pPr>
      <w:r>
        <w:rPr>
          <w:bCs/>
          <w:b/>
        </w:rPr>
        <w:t xml:space="preserve">DEFINITION</w:t>
      </w:r>
    </w:p>
    <w:p>
      <w:pPr>
        <w:pStyle w:val="CalloutDefinition"/>
      </w:pPr>
      <w:r>
        <w:rPr>
          <w:bCs/>
          <w:b/>
        </w:rPr>
        <w:t xml:space="preserve">Definition — UDP.</w:t>
      </w:r>
      <w:r>
        <w:t xml:space="preserve"> </w:t>
      </w:r>
      <w:r>
        <w:t xml:space="preserve">The User Datagram Protocol [RFC 768] is a connectionless transport protocol that adds only port numbers, a length and a checksum to IP. Its 8-byte header provides process-to-process delivery of individual</w:t>
      </w:r>
      <w:r>
        <w:t xml:space="preserve"> </w:t>
      </w:r>
      <w:r>
        <w:rPr>
          <w:bCs/>
          <w:b/>
        </w:rPr>
        <w:t xml:space="preserve">datagrams</w:t>
      </w:r>
      <w:r>
        <w:t xml:space="preserve"> </w:t>
      </w:r>
      <w:r>
        <w:t xml:space="preserve">with no handshake, no acknowledgments, no retransmission, no ordering, and no flow or congestion control.</w:t>
      </w:r>
    </w:p>
    <w:p>
      <w:pPr>
        <w:pStyle w:val="BodyText"/>
      </w:pPr>
      <w:r>
        <w:t xml:space="preserve">If TCP is registered mail with numbered pages and receipts, UDP is a postcard: cheap, immediate, and with no guarantee it arrives or that two postcards arrive in order. UDP does preserve message boundaries: one</w:t>
      </w:r>
      <w:r>
        <w:t xml:space="preserve"> </w:t>
      </w:r>
      <w:r>
        <w:rPr>
          <w:rStyle w:val="VerbatimChar"/>
        </w:rPr>
        <w:t xml:space="preserve">sendto()</w:t>
      </w:r>
      <w:r>
        <w:t xml:space="preserve"> </w:t>
      </w:r>
      <w:r>
        <w:t xml:space="preserve">produces one datagram, and the receiver gets exactly that datagram or nothing.</w:t>
      </w:r>
    </w:p>
    <w:bookmarkStart w:id="755" w:name="why-does-this-exist-25"/>
    <w:p>
      <w:pPr>
        <w:pStyle w:val="Heading3"/>
      </w:pPr>
      <w:r>
        <w:t xml:space="preserve">Why does this exist?</w:t>
      </w:r>
    </w:p>
    <w:p>
      <w:pPr>
        <w:pStyle w:val="FirstParagraph"/>
      </w:pPr>
      <w:r>
        <w:t xml:space="preserve">Some applications are hurt more by TCP’s guarantees than helped:</w:t>
      </w:r>
    </w:p>
    <w:p>
      <w:pPr>
        <w:numPr>
          <w:ilvl w:val="0"/>
          <w:numId w:val="1228"/>
        </w:numPr>
        <w:pStyle w:val="Compact"/>
      </w:pPr>
      <w:r>
        <w:rPr>
          <w:bCs/>
          <w:b/>
        </w:rPr>
        <w:t xml:space="preserve">Request/response with tiny messages.</w:t>
      </w:r>
      <w:r>
        <w:t xml:space="preserve"> </w:t>
      </w:r>
      <w:r>
        <w:t xml:space="preserve">A DNS query fits in one packet. A TCP handshake would triple the latency; if the reply is lost, the client simply asks again.</w:t>
      </w:r>
    </w:p>
    <w:p>
      <w:pPr>
        <w:numPr>
          <w:ilvl w:val="0"/>
          <w:numId w:val="1228"/>
        </w:numPr>
        <w:pStyle w:val="Compact"/>
      </w:pPr>
      <w:r>
        <w:rPr>
          <w:bCs/>
          <w:b/>
        </w:rPr>
        <w:t xml:space="preserve">Real-time media and games.</w:t>
      </w:r>
      <w:r>
        <w:t xml:space="preserve"> </w:t>
      </w:r>
      <w:r>
        <w:t xml:space="preserve">A voice packet that arrives 300 ms late is useless; it is better to skip it than to stall the stream waiting for a retransmission (TCP’s head-of-line blocking).</w:t>
      </w:r>
    </w:p>
    <w:p>
      <w:pPr>
        <w:numPr>
          <w:ilvl w:val="0"/>
          <w:numId w:val="1228"/>
        </w:numPr>
        <w:pStyle w:val="Compact"/>
      </w:pPr>
      <w:r>
        <w:rPr>
          <w:bCs/>
          <w:b/>
        </w:rPr>
        <w:t xml:space="preserve">Custom transports.</w:t>
      </w:r>
      <w:r>
        <w:t xml:space="preserve"> </w:t>
      </w:r>
      <w:r>
        <w:t xml:space="preserve">QUIC (§7.9.4) implements its own reliability, streams and congestion control</w:t>
      </w:r>
      <w:r>
        <w:t xml:space="preserve"> </w:t>
      </w:r>
      <w:r>
        <w:rPr>
          <w:iCs/>
          <w:i/>
        </w:rPr>
        <w:t xml:space="preserve">on top of</w:t>
      </w:r>
      <w:r>
        <w:t xml:space="preserve"> </w:t>
      </w:r>
      <w:r>
        <w:t xml:space="preserve">UDP, because UDP passes through existing firewalls and NATs and can be implemented in user space without kernel changes.</w:t>
      </w:r>
    </w:p>
    <w:p>
      <w:pPr>
        <w:numPr>
          <w:ilvl w:val="0"/>
          <w:numId w:val="1228"/>
        </w:numPr>
        <w:pStyle w:val="Compact"/>
      </w:pPr>
      <w:r>
        <w:rPr>
          <w:bCs/>
          <w:b/>
        </w:rPr>
        <w:t xml:space="preserve">Multicast and broadcast</w:t>
      </w:r>
      <w:r>
        <w:t xml:space="preserve">, such as DHCP address assignment and market-data feeds, which TCP’s one-to-one connections cannot express.</w:t>
      </w:r>
    </w:p>
    <w:p>
      <w:pPr>
        <w:numPr>
          <w:ilvl w:val="0"/>
          <w:numId w:val="1228"/>
        </w:numPr>
        <w:pStyle w:val="Compact"/>
      </w:pPr>
      <w:r>
        <w:rPr>
          <w:bCs/>
          <w:b/>
        </w:rPr>
        <w:t xml:space="preserve">High-volume, loss-tolerant telemetry</w:t>
      </w:r>
      <w:r>
        <w:t xml:space="preserve">, such as StatsD metrics, where an occasional lost sample does not matter.</w:t>
      </w:r>
    </w:p>
    <w:p>
      <w:pPr>
        <w:pStyle w:val="FirstParagraph"/>
      </w:pPr>
      <w:r>
        <w:rPr>
          <w:bCs/>
          <w:b/>
        </w:rPr>
        <w:t xml:space="preserve">Table 7.9 — TCP versus UDP.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TCP</w:t>
            </w:r>
          </w:p>
        </w:tc>
        <w:tc>
          <w:tcPr/>
          <w:p>
            <w:pPr>
              <w:pStyle w:val="Compact"/>
              <w:jc w:val="left"/>
            </w:pPr>
            <w:r>
              <w:t xml:space="preserve">UDP</w:t>
            </w:r>
          </w:p>
        </w:tc>
      </w:tr>
      <w:tr>
        <w:tc>
          <w:tcPr/>
          <w:p>
            <w:pPr>
              <w:pStyle w:val="Compact"/>
              <w:jc w:val="left"/>
            </w:pPr>
            <w:r>
              <w:t xml:space="preserve">What it is</w:t>
            </w:r>
          </w:p>
        </w:tc>
        <w:tc>
          <w:tcPr/>
          <w:p>
            <w:pPr>
              <w:pStyle w:val="Compact"/>
              <w:jc w:val="left"/>
            </w:pPr>
            <w:r>
              <w:t xml:space="preserve">Reliable, ordered byte stream</w:t>
            </w:r>
          </w:p>
        </w:tc>
        <w:tc>
          <w:tcPr/>
          <w:p>
            <w:pPr>
              <w:pStyle w:val="Compact"/>
              <w:jc w:val="left"/>
            </w:pPr>
            <w:r>
              <w:t xml:space="preserve">Unreliable datagrams</w:t>
            </w:r>
          </w:p>
        </w:tc>
      </w:tr>
      <w:tr>
        <w:tc>
          <w:tcPr/>
          <w:p>
            <w:pPr>
              <w:pStyle w:val="Compact"/>
              <w:jc w:val="left"/>
            </w:pPr>
            <w:r>
              <w:t xml:space="preserve">Connection setup</w:t>
            </w:r>
          </w:p>
        </w:tc>
        <w:tc>
          <w:tcPr/>
          <w:p>
            <w:pPr>
              <w:pStyle w:val="Compact"/>
              <w:jc w:val="left"/>
            </w:pPr>
            <w:r>
              <w:t xml:space="preserve">3-way handshake (1 RTT)</w:t>
            </w:r>
          </w:p>
        </w:tc>
        <w:tc>
          <w:tcPr/>
          <w:p>
            <w:pPr>
              <w:pStyle w:val="Compact"/>
              <w:jc w:val="left"/>
            </w:pPr>
            <w:r>
              <w:t xml:space="preserve">None</w:t>
            </w:r>
          </w:p>
        </w:tc>
      </w:tr>
      <w:tr>
        <w:tc>
          <w:tcPr/>
          <w:p>
            <w:pPr>
              <w:pStyle w:val="Compact"/>
              <w:jc w:val="left"/>
            </w:pPr>
            <w:r>
              <w:t xml:space="preserve">Header</w:t>
            </w:r>
          </w:p>
        </w:tc>
        <w:tc>
          <w:tcPr/>
          <w:p>
            <w:pPr>
              <w:pStyle w:val="Compact"/>
              <w:jc w:val="left"/>
            </w:pPr>
            <w:r>
              <w:t xml:space="preserve">20–60 bytes</w:t>
            </w:r>
          </w:p>
        </w:tc>
        <w:tc>
          <w:tcPr/>
          <w:p>
            <w:pPr>
              <w:pStyle w:val="Compact"/>
              <w:jc w:val="left"/>
            </w:pPr>
            <w:r>
              <w:t xml:space="preserve">8 bytes</w:t>
            </w:r>
          </w:p>
        </w:tc>
      </w:tr>
      <w:tr>
        <w:tc>
          <w:tcPr/>
          <w:p>
            <w:pPr>
              <w:pStyle w:val="Compact"/>
              <w:jc w:val="left"/>
            </w:pPr>
            <w:r>
              <w:t xml:space="preserve">Reliability and ordering</w:t>
            </w:r>
          </w:p>
        </w:tc>
        <w:tc>
          <w:tcPr/>
          <w:p>
            <w:pPr>
              <w:pStyle w:val="Compact"/>
              <w:jc w:val="left"/>
            </w:pPr>
            <w:r>
              <w:t xml:space="preserve">Yes, via sequence numbers and retransmission</w:t>
            </w:r>
          </w:p>
        </w:tc>
        <w:tc>
          <w:tcPr/>
          <w:p>
            <w:pPr>
              <w:pStyle w:val="Compact"/>
              <w:jc w:val="left"/>
            </w:pPr>
            <w:r>
              <w:t xml:space="preserve">No</w:t>
            </w:r>
          </w:p>
        </w:tc>
      </w:tr>
      <w:tr>
        <w:tc>
          <w:tcPr/>
          <w:p>
            <w:pPr>
              <w:pStyle w:val="Compact"/>
              <w:jc w:val="left"/>
            </w:pPr>
            <w:r>
              <w:t xml:space="preserve">Message boundaries</w:t>
            </w:r>
          </w:p>
        </w:tc>
        <w:tc>
          <w:tcPr/>
          <w:p>
            <w:pPr>
              <w:pStyle w:val="Compact"/>
              <w:jc w:val="left"/>
            </w:pPr>
            <w:r>
              <w:t xml:space="preserve">No (byte stream)</w:t>
            </w:r>
          </w:p>
        </w:tc>
        <w:tc>
          <w:tcPr/>
          <w:p>
            <w:pPr>
              <w:pStyle w:val="Compact"/>
              <w:jc w:val="left"/>
            </w:pPr>
            <w:r>
              <w:t xml:space="preserve">Yes (one datagram = one message)</w:t>
            </w:r>
          </w:p>
        </w:tc>
      </w:tr>
      <w:tr>
        <w:tc>
          <w:tcPr/>
          <w:p>
            <w:pPr>
              <w:pStyle w:val="Compact"/>
              <w:jc w:val="left"/>
            </w:pPr>
            <w:r>
              <w:t xml:space="preserve">Flow and congestion control</w:t>
            </w:r>
          </w:p>
        </w:tc>
        <w:tc>
          <w:tcPr/>
          <w:p>
            <w:pPr>
              <w:pStyle w:val="Compact"/>
              <w:jc w:val="left"/>
            </w:pPr>
            <w:r>
              <w:t xml:space="preserve">Yes</w:t>
            </w:r>
          </w:p>
        </w:tc>
        <w:tc>
          <w:tcPr/>
          <w:p>
            <w:pPr>
              <w:pStyle w:val="Compact"/>
              <w:jc w:val="left"/>
            </w:pPr>
            <w:r>
              <w:t xml:space="preserve">No; application’s responsibility</w:t>
            </w:r>
          </w:p>
        </w:tc>
      </w:tr>
      <w:tr>
        <w:tc>
          <w:tcPr/>
          <w:p>
            <w:pPr>
              <w:pStyle w:val="Compact"/>
              <w:jc w:val="left"/>
            </w:pPr>
            <w:r>
              <w:t xml:space="preserve">Head-of-line blocking</w:t>
            </w:r>
          </w:p>
        </w:tc>
        <w:tc>
          <w:tcPr/>
          <w:p>
            <w:pPr>
              <w:pStyle w:val="Compact"/>
              <w:jc w:val="left"/>
            </w:pPr>
            <w:r>
              <w:t xml:space="preserve">Yes, within the stream</w:t>
            </w:r>
          </w:p>
        </w:tc>
        <w:tc>
          <w:tcPr/>
          <w:p>
            <w:pPr>
              <w:pStyle w:val="Compact"/>
              <w:jc w:val="left"/>
            </w:pPr>
            <w:r>
              <w:t xml:space="preserve">No</w:t>
            </w:r>
          </w:p>
        </w:tc>
      </w:tr>
      <w:tr>
        <w:tc>
          <w:tcPr/>
          <w:p>
            <w:pPr>
              <w:pStyle w:val="Compact"/>
              <w:jc w:val="left"/>
            </w:pPr>
            <w:r>
              <w:t xml:space="preserve">State on server</w:t>
            </w:r>
          </w:p>
        </w:tc>
        <w:tc>
          <w:tcPr/>
          <w:p>
            <w:pPr>
              <w:pStyle w:val="Compact"/>
              <w:jc w:val="left"/>
            </w:pPr>
            <w:r>
              <w:t xml:space="preserve">Per connection</w:t>
            </w:r>
          </w:p>
        </w:tc>
        <w:tc>
          <w:tcPr/>
          <w:p>
            <w:pPr>
              <w:pStyle w:val="Compact"/>
              <w:jc w:val="left"/>
            </w:pPr>
            <w:r>
              <w:t xml:space="preserve">None required</w:t>
            </w:r>
          </w:p>
        </w:tc>
      </w:tr>
      <w:tr>
        <w:tc>
          <w:tcPr/>
          <w:p>
            <w:pPr>
              <w:pStyle w:val="Compact"/>
              <w:jc w:val="left"/>
            </w:pPr>
            <w:r>
              <w:t xml:space="preserve">Typical uses</w:t>
            </w:r>
          </w:p>
        </w:tc>
        <w:tc>
          <w:tcPr/>
          <w:p>
            <w:pPr>
              <w:pStyle w:val="Compact"/>
              <w:jc w:val="left"/>
            </w:pPr>
            <w:r>
              <w:t xml:space="preserve">HTTP/1.1, HTTP/2, databases, RPC</w:t>
            </w:r>
          </w:p>
        </w:tc>
        <w:tc>
          <w:tcPr/>
          <w:p>
            <w:pPr>
              <w:pStyle w:val="Compact"/>
              <w:jc w:val="left"/>
            </w:pPr>
            <w:r>
              <w:t xml:space="preserve">DNS, VoIP, games, QUIC/HTTP/3, DHCP, telemetry</w:t>
            </w:r>
          </w:p>
        </w:tc>
      </w:tr>
      <w:tr>
        <w:tc>
          <w:tcPr/>
          <w:p>
            <w:pPr>
              <w:pStyle w:val="Compact"/>
              <w:jc w:val="left"/>
            </w:pPr>
            <w:r>
              <w:t xml:space="preserve">Choose when</w:t>
            </w:r>
          </w:p>
        </w:tc>
        <w:tc>
          <w:tcPr/>
          <w:p>
            <w:pPr>
              <w:pStyle w:val="Compact"/>
              <w:jc w:val="left"/>
            </w:pPr>
            <w:r>
              <w:t xml:space="preserve">You need every byte, in order, and can tolerate setup cost</w:t>
            </w:r>
          </w:p>
        </w:tc>
        <w:tc>
          <w:tcPr/>
          <w:p>
            <w:pPr>
              <w:pStyle w:val="Compact"/>
              <w:jc w:val="left"/>
            </w:pPr>
            <w:r>
              <w:t xml:space="preserve">Timeliness beats completeness, or you are building your own transport</w:t>
            </w:r>
          </w:p>
        </w:tc>
      </w:tr>
    </w:tbl>
    <w:bookmarkEnd w:id="755"/>
    <w:bookmarkStart w:id="756" w:name="what-you-must-rebuild-on-udp"/>
    <w:p>
      <w:pPr>
        <w:pStyle w:val="Heading3"/>
      </w:pPr>
      <w:r>
        <w:t xml:space="preserve">What you must rebuild on UDP</w:t>
      </w:r>
    </w:p>
    <w:p>
      <w:pPr>
        <w:pStyle w:val="FirstParagraph"/>
      </w:pPr>
      <w:r>
        <w:t xml:space="preserve">Choosing UDP moves responsibilities into your application: detecting loss (sequence numbers), deciding whether to retransmit, reordering, splitting messages to fit the path MTU (a UDP datagram larger than the MTU gets fragmented by IP, and losing any fragment loses the whole datagram), and above all</w:t>
      </w:r>
      <w:r>
        <w:t xml:space="preserve"> </w:t>
      </w:r>
      <w:r>
        <w:rPr>
          <w:bCs/>
          <w:b/>
        </w:rPr>
        <w:t xml:space="preserve">congestion control</w:t>
      </w:r>
      <w:r>
        <w:t xml:space="preserve">. A UDP application that sends at a fixed high rate regardless of loss harms every other flow on the path; RFC 8085 gives guidelines for responsible UDP use.</w:t>
      </w:r>
    </w:p>
    <w:p>
      <w:pPr>
        <w:pStyle w:val="CalloutWarning"/>
      </w:pPr>
      <w:r>
        <w:rPr>
          <w:bCs/>
          <w:b/>
        </w:rPr>
        <w:t xml:space="preserve">WARNING / TRADE-OFF</w:t>
      </w:r>
    </w:p>
    <w:p>
      <w:pPr>
        <w:pStyle w:val="CalloutWarning"/>
      </w:pPr>
      <w:r>
        <w:rPr>
          <w:bCs/>
          <w:b/>
        </w:rPr>
        <w:t xml:space="preserve">UDP amplification attacks.</w:t>
      </w:r>
      <w:r>
        <w:t xml:space="preserve"> </w:t>
      </w:r>
      <w:r>
        <w:t xml:space="preserve">Because UDP has no handshake, an attacker can forge the source address of a small request so that a server sends a much larger response to the victim. Open DNS resolvers, NTP and memcached servers exposed over UDP have been abused for very large DDoS attacks. Never expose UDP services that send responses much larger than requests to the Internet without rate limiting and source validation (§10.11).</w:t>
      </w:r>
    </w:p>
    <w:bookmarkEnd w:id="756"/>
    <w:bookmarkEnd w:id="757"/>
    <w:bookmarkStart w:id="769" w:name="http1.1-http2-http3-and-quic"/>
    <w:p>
      <w:pPr>
        <w:pStyle w:val="Heading2"/>
      </w:pPr>
      <w:r>
        <w:t xml:space="preserve">7.9 HTTP/1.1, HTTP/2, HTTP/3 and QUIC</w:t>
      </w:r>
    </w:p>
    <w:bookmarkStart w:id="758" w:name="http-semantics"/>
    <w:p>
      <w:pPr>
        <w:pStyle w:val="Heading3"/>
      </w:pPr>
      <w:r>
        <w:t xml:space="preserve">7.9.1 HTTP semantics</w:t>
      </w:r>
    </w:p>
    <w:p>
      <w:pPr>
        <w:pStyle w:val="FirstParagraph"/>
      </w:pPr>
      <w:r>
        <w:t xml:space="preserve">The</w:t>
      </w:r>
      <w:r>
        <w:t xml:space="preserve"> </w:t>
      </w:r>
      <w:r>
        <w:rPr>
          <w:bCs/>
          <w:b/>
        </w:rPr>
        <w:t xml:space="preserve">Hypertext Transfer Protocol</w:t>
      </w:r>
      <w:r>
        <w:t xml:space="preserve"> </w:t>
      </w:r>
      <w:r>
        <w:t xml:space="preserve">is a request/response application protocol. A client sends a request with a</w:t>
      </w:r>
      <w:r>
        <w:t xml:space="preserve"> </w:t>
      </w:r>
      <w:r>
        <w:rPr>
          <w:bCs/>
          <w:b/>
        </w:rPr>
        <w:t xml:space="preserve">method</w:t>
      </w:r>
      <w:r>
        <w:t xml:space="preserve"> </w:t>
      </w:r>
      <w:r>
        <w:t xml:space="preserve">(GET, POST, PUT, DELETE, …), a</w:t>
      </w:r>
      <w:r>
        <w:t xml:space="preserve"> </w:t>
      </w:r>
      <w:r>
        <w:rPr>
          <w:bCs/>
          <w:b/>
        </w:rPr>
        <w:t xml:space="preserve">target</w:t>
      </w:r>
      <w:r>
        <w:t xml:space="preserve"> </w:t>
      </w:r>
      <w:r>
        <w:t xml:space="preserve">(path),</w:t>
      </w:r>
      <w:r>
        <w:t xml:space="preserve"> </w:t>
      </w:r>
      <w:r>
        <w:rPr>
          <w:bCs/>
          <w:b/>
        </w:rPr>
        <w:t xml:space="preserve">header fields</w:t>
      </w:r>
      <w:r>
        <w:t xml:space="preserve"> </w:t>
      </w:r>
      <w:r>
        <w:t xml:space="preserve">(metadata such as</w:t>
      </w:r>
      <w:r>
        <w:t xml:space="preserve"> </w:t>
      </w:r>
      <w:r>
        <w:rPr>
          <w:rStyle w:val="VerbatimChar"/>
        </w:rPr>
        <w:t xml:space="preserve">Host</w:t>
      </w:r>
      <w:r>
        <w:t xml:space="preserve">,</w:t>
      </w:r>
      <w:r>
        <w:t xml:space="preserve"> </w:t>
      </w:r>
      <w:r>
        <w:rPr>
          <w:rStyle w:val="VerbatimChar"/>
        </w:rPr>
        <w:t xml:space="preserve">Content-Type</w:t>
      </w:r>
      <w:r>
        <w:t xml:space="preserve">,</w:t>
      </w:r>
      <w:r>
        <w:t xml:space="preserve"> </w:t>
      </w:r>
      <w:r>
        <w:rPr>
          <w:rStyle w:val="VerbatimChar"/>
        </w:rPr>
        <w:t xml:space="preserve">Cache-Control</w:t>
      </w:r>
      <w:r>
        <w:t xml:space="preserve">) and an optional body. The server answers with a</w:t>
      </w:r>
      <w:r>
        <w:t xml:space="preserve"> </w:t>
      </w:r>
      <w:r>
        <w:rPr>
          <w:bCs/>
          <w:b/>
        </w:rPr>
        <w:t xml:space="preserve">status code</w:t>
      </w:r>
      <w:r>
        <w:t xml:space="preserve"> </w:t>
      </w:r>
      <w:r>
        <w:t xml:space="preserve">(200 OK, 301 redirect, 404 not found, 503 unavailable, …), headers and an optional body. RFC 9110 defines these</w:t>
      </w:r>
      <w:r>
        <w:t xml:space="preserve"> </w:t>
      </w:r>
      <w:r>
        <w:rPr>
          <w:bCs/>
          <w:b/>
        </w:rPr>
        <w:t xml:space="preserve">semantics</w:t>
      </w:r>
      <w:r>
        <w:t xml:space="preserve"> </w:t>
      </w:r>
      <w:r>
        <w:t xml:space="preserve">separately from how they are encoded on the wire, and three wire versions coexist: HTTP/1.1 [RFC 9112], HTTP/2 [RFC 9113] and HTTP/3 [RFC 9114]. Your application code sees the same methods, headers and status codes whichever version carries them. API design on top of HTTP is covered in §8.6. For a performance-oriented treatment of everything in this section, see [Grigorik 2013].</w:t>
      </w:r>
    </w:p>
    <w:bookmarkEnd w:id="758"/>
    <w:bookmarkStart w:id="759" w:name="http1.1-text-keep-alive-and-pipelining"/>
    <w:p>
      <w:pPr>
        <w:pStyle w:val="Heading3"/>
      </w:pPr>
      <w:r>
        <w:t xml:space="preserve">7.9.2 HTTP/1.1: text, keep-alive and pipelining</w:t>
      </w:r>
    </w:p>
    <w:p>
      <w:pPr>
        <w:pStyle w:val="FirstParagraph"/>
      </w:pPr>
      <w:r>
        <w:t xml:space="preserve">HTTP/1.1 messages are human-readable text:</w:t>
      </w:r>
    </w:p>
    <w:p>
      <w:pPr>
        <w:pStyle w:val="SourceCode"/>
      </w:pPr>
      <w:r>
        <w:rPr>
          <w:rStyle w:val="VerbatimChar"/>
        </w:rPr>
        <w:t xml:space="preserve">GET /index.html HTTP/1.1</w:t>
      </w:r>
      <w:r>
        <w:br/>
      </w:r>
      <w:r>
        <w:rPr>
          <w:rStyle w:val="VerbatimChar"/>
        </w:rPr>
        <w:t xml:space="preserve">Host: www.example.com</w:t>
      </w:r>
      <w:r>
        <w:br/>
      </w:r>
      <w:r>
        <w:rPr>
          <w:rStyle w:val="VerbatimChar"/>
        </w:rPr>
        <w:t xml:space="preserve">User-Agent: curl/8.5.0</w:t>
      </w:r>
      <w:r>
        <w:br/>
      </w:r>
      <w:r>
        <w:rPr>
          <w:rStyle w:val="VerbatimChar"/>
        </w:rPr>
        <w:t xml:space="preserve">Accept: */*</w:t>
      </w:r>
    </w:p>
    <w:p>
      <w:pPr>
        <w:pStyle w:val="FirstParagraph"/>
      </w:pPr>
      <w:r>
        <w:t xml:space="preserve">The response begins</w:t>
      </w:r>
      <w:r>
        <w:t xml:space="preserve"> </w:t>
      </w:r>
      <w:r>
        <w:rPr>
          <w:rStyle w:val="VerbatimChar"/>
        </w:rPr>
        <w:t xml:space="preserve">HTTP/1.1 200 OK</w:t>
      </w:r>
      <w:r>
        <w:t xml:space="preserve">, followed by headers, a blank line and the body. The body’s end is marked by</w:t>
      </w:r>
      <w:r>
        <w:t xml:space="preserve"> </w:t>
      </w:r>
      <w:r>
        <w:rPr>
          <w:rStyle w:val="VerbatimChar"/>
        </w:rPr>
        <w:t xml:space="preserve">Content-Length</w:t>
      </w:r>
      <w:r>
        <w:t xml:space="preserve"> </w:t>
      </w:r>
      <w:r>
        <w:t xml:space="preserve">or by</w:t>
      </w:r>
      <w:r>
        <w:t xml:space="preserve"> </w:t>
      </w:r>
      <w:r>
        <w:rPr>
          <w:bCs/>
          <w:b/>
        </w:rPr>
        <w:t xml:space="preserve">chunked transfer encoding</w:t>
      </w:r>
      <w:r>
        <w:t xml:space="preserve">.</w:t>
      </w:r>
    </w:p>
    <w:p>
      <w:pPr>
        <w:pStyle w:val="BodyText"/>
      </w:pPr>
      <w:r>
        <w:t xml:space="preserve">HTTP/1.0 opened a new TCP connection per request. HTTP/1.1 made</w:t>
      </w:r>
      <w:r>
        <w:t xml:space="preserve"> </w:t>
      </w:r>
      <w:r>
        <w:rPr>
          <w:bCs/>
          <w:b/>
        </w:rPr>
        <w:t xml:space="preserve">persistent connections</w:t>
      </w:r>
      <w:r>
        <w:t xml:space="preserve"> </w:t>
      </w:r>
      <w:r>
        <w:t xml:space="preserve">(keep-alive) the default: after a response, the connection stays open for the next request, saving a TCP (and TLS) handshake and keeping the warmed-up congestion window.</w:t>
      </w:r>
    </w:p>
    <w:p>
      <w:pPr>
        <w:pStyle w:val="BodyText"/>
      </w:pPr>
      <w:r>
        <w:t xml:space="preserve">The remaining problem is that one connection carries</w:t>
      </w:r>
      <w:r>
        <w:t xml:space="preserve"> </w:t>
      </w:r>
      <w:r>
        <w:rPr>
          <w:bCs/>
          <w:b/>
        </w:rPr>
        <w:t xml:space="preserve">one request at a time</w:t>
      </w:r>
      <w:r>
        <w:t xml:space="preserve">. HTTP/1.1 defined</w:t>
      </w:r>
      <w:r>
        <w:t xml:space="preserve"> </w:t>
      </w:r>
      <w:r>
        <w:rPr>
          <w:bCs/>
          <w:b/>
        </w:rPr>
        <w:t xml:space="preserve">pipelining</w:t>
      </w:r>
      <w:r>
        <w:t xml:space="preserve">, sending several requests without waiting, but responses must return in request order, so one slow response blocks all those behind it (application-level head-of-line blocking). Buggy intermediaries and that HOL problem meant browsers never enabled pipelining by default. Browsers instead open</w:t>
      </w:r>
      <w:r>
        <w:t xml:space="preserve"> </w:t>
      </w:r>
      <w:r>
        <w:rPr>
          <w:bCs/>
          <w:b/>
        </w:rPr>
        <w:t xml:space="preserve">multiple parallel connections</w:t>
      </w:r>
      <w:r>
        <w:t xml:space="preserve">, typically six per host, and sites used to</w:t>
      </w:r>
      <w:r>
        <w:t xml:space="preserve"> </w:t>
      </w:r>
      <w:r>
        <w:t xml:space="preserve">“</w:t>
      </w:r>
      <w:r>
        <w:t xml:space="preserve">shard</w:t>
      </w:r>
      <w:r>
        <w:t xml:space="preserve">”</w:t>
      </w:r>
      <w:r>
        <w:t xml:space="preserve"> </w:t>
      </w:r>
      <w:r>
        <w:t xml:space="preserve">assets across hostnames to get more. Each extra connection costs handshakes, server memory and separate slow starts, and connections compete with each other for bandwidth.</w:t>
      </w:r>
    </w:p>
    <w:bookmarkEnd w:id="759"/>
    <w:bookmarkStart w:id="762" w:name="http2-binary-framing-and-multiplexing"/>
    <w:p>
      <w:pPr>
        <w:pStyle w:val="Heading3"/>
      </w:pPr>
      <w:r>
        <w:t xml:space="preserve">7.9.3 HTTP/2: binary framing and multiplexing</w:t>
      </w:r>
    </w:p>
    <w:p>
      <w:pPr>
        <w:pStyle w:val="FirstParagraph"/>
      </w:pPr>
      <w:r>
        <w:t xml:space="preserve">HTTP/2 (originally RFC 7540 in 2015, now RFC 9113) keeps HTTP semantics but changes the wire format.</w:t>
      </w:r>
    </w:p>
    <w:bookmarkStart w:id="760" w:name="how-it-works-internally-21"/>
    <w:p>
      <w:pPr>
        <w:pStyle w:val="Heading4"/>
      </w:pPr>
      <w:r>
        <w:t xml:space="preserve">How it works internally</w:t>
      </w:r>
    </w:p>
    <w:p>
      <w:pPr>
        <w:numPr>
          <w:ilvl w:val="0"/>
          <w:numId w:val="1229"/>
        </w:numPr>
        <w:pStyle w:val="Compact"/>
      </w:pPr>
      <w:r>
        <w:rPr>
          <w:bCs/>
          <w:b/>
        </w:rPr>
        <w:t xml:space="preserve">Binary framing.</w:t>
      </w:r>
      <w:r>
        <w:t xml:space="preserve"> </w:t>
      </w:r>
      <w:r>
        <w:t xml:space="preserve">Each message is split into</w:t>
      </w:r>
      <w:r>
        <w:t xml:space="preserve"> </w:t>
      </w:r>
      <w:r>
        <w:rPr>
          <w:bCs/>
          <w:b/>
        </w:rPr>
        <w:t xml:space="preserve">frames</w:t>
      </w:r>
      <w:r>
        <w:t xml:space="preserve"> </w:t>
      </w:r>
      <w:r>
        <w:t xml:space="preserve">with a 9-byte header giving length, type (HEADERS, DATA, SETTINGS, WINDOW_UPDATE, RST_STREAM, GOAWAY, PING, …), flags and a</w:t>
      </w:r>
      <w:r>
        <w:t xml:space="preserve"> </w:t>
      </w:r>
      <w:r>
        <w:rPr>
          <w:bCs/>
          <w:b/>
        </w:rPr>
        <w:t xml:space="preserve">stream identifier</w:t>
      </w:r>
      <w:r>
        <w:t xml:space="preserve">.</w:t>
      </w:r>
    </w:p>
    <w:p>
      <w:pPr>
        <w:numPr>
          <w:ilvl w:val="0"/>
          <w:numId w:val="1229"/>
        </w:numPr>
        <w:pStyle w:val="Compact"/>
      </w:pPr>
      <w:r>
        <w:rPr>
          <w:bCs/>
          <w:b/>
        </w:rPr>
        <w:t xml:space="preserve">Streams and multiplexing.</w:t>
      </w:r>
      <w:r>
        <w:t xml:space="preserve"> </w:t>
      </w:r>
      <w:r>
        <w:t xml:space="preserve">Each request/response pair is a</w:t>
      </w:r>
      <w:r>
        <w:t xml:space="preserve"> </w:t>
      </w:r>
      <w:r>
        <w:rPr>
          <w:bCs/>
          <w:b/>
        </w:rPr>
        <w:t xml:space="preserve">stream</w:t>
      </w:r>
      <w:r>
        <w:t xml:space="preserve"> </w:t>
      </w:r>
      <w:r>
        <w:t xml:space="preserve">with its own ID (odd numbers for client-initiated streams). Frames from many streams interleave on one TCP connection, so a slow response no longer blocks others at the HTTP layer. One connection per origin replaces six.</w:t>
      </w:r>
    </w:p>
    <w:p>
      <w:pPr>
        <w:numPr>
          <w:ilvl w:val="0"/>
          <w:numId w:val="1229"/>
        </w:numPr>
        <w:pStyle w:val="Compact"/>
      </w:pPr>
      <w:r>
        <w:rPr>
          <w:bCs/>
          <w:b/>
        </w:rPr>
        <w:t xml:space="preserve">Header compression with HPACK</w:t>
      </w:r>
      <w:r>
        <w:t xml:space="preserve"> </w:t>
      </w:r>
      <w:r>
        <w:t xml:space="preserve">[RFC 7541]. Requests repeat nearly identical headers (cookies, user agent). HPACK keeps a</w:t>
      </w:r>
      <w:r>
        <w:t xml:space="preserve"> </w:t>
      </w:r>
      <w:r>
        <w:rPr>
          <w:bCs/>
          <w:b/>
        </w:rPr>
        <w:t xml:space="preserve">static table</w:t>
      </w:r>
      <w:r>
        <w:t xml:space="preserve"> </w:t>
      </w:r>
      <w:r>
        <w:t xml:space="preserve">of 61 common header fields and a</w:t>
      </w:r>
      <w:r>
        <w:t xml:space="preserve"> </w:t>
      </w:r>
      <w:r>
        <w:rPr>
          <w:bCs/>
          <w:b/>
        </w:rPr>
        <w:t xml:space="preserve">dynamic table</w:t>
      </w:r>
      <w:r>
        <w:t xml:space="preserve"> </w:t>
      </w:r>
      <w:r>
        <w:t xml:space="preserve">of recently sent ones on both ends, so repeated headers are sent as small integer indexes; new values may be Huffman-coded. HPACK avoids the compression side-channel attacks (CRIME) that made general-purpose compression of headers unsafe.</w:t>
      </w:r>
    </w:p>
    <w:p>
      <w:pPr>
        <w:numPr>
          <w:ilvl w:val="0"/>
          <w:numId w:val="1229"/>
        </w:numPr>
        <w:pStyle w:val="Compact"/>
      </w:pPr>
      <w:r>
        <w:rPr>
          <w:bCs/>
          <w:b/>
        </w:rPr>
        <w:t xml:space="preserve">Per-stream and connection flow control</w:t>
      </w:r>
      <w:r>
        <w:t xml:space="preserve"> </w:t>
      </w:r>
      <w:r>
        <w:t xml:space="preserve">with WINDOW_UPDATE frames, so one large download cannot starve other streams of buffer space.</w:t>
      </w:r>
    </w:p>
    <w:p>
      <w:pPr>
        <w:numPr>
          <w:ilvl w:val="0"/>
          <w:numId w:val="1229"/>
        </w:numPr>
        <w:pStyle w:val="Compact"/>
      </w:pPr>
      <w:r>
        <w:rPr>
          <w:bCs/>
          <w:b/>
        </w:rPr>
        <w:t xml:space="preserve">Stream cancellation</w:t>
      </w:r>
      <w:r>
        <w:t xml:space="preserve"> </w:t>
      </w:r>
      <w:r>
        <w:t xml:space="preserve">with RST_STREAM, without closing the connection.</w:t>
      </w:r>
    </w:p>
    <w:p>
      <w:pPr>
        <w:pStyle w:val="FirstParagraph"/>
      </w:pPr>
      <w:r>
        <w:t xml:space="preserve">Two features have faded. The original priority tree was complex and inconsistently implemented, and RFC 9113 deprecates it in favor of the simpler scheme in RFC 9218.</w:t>
      </w:r>
      <w:r>
        <w:t xml:space="preserve"> </w:t>
      </w:r>
      <w:r>
        <w:rPr>
          <w:bCs/>
          <w:b/>
        </w:rPr>
        <w:t xml:space="preserve">Server push</w:t>
      </w:r>
      <w:r>
        <w:t xml:space="preserve">, which let servers send resources before they were requested, proved hard to use well; major browsers have removed support.</w:t>
      </w:r>
    </w:p>
    <w:bookmarkEnd w:id="760"/>
    <w:bookmarkStart w:id="761" w:name="the-tcp-head-of-line-problem-remains"/>
    <w:p>
      <w:pPr>
        <w:pStyle w:val="Heading4"/>
      </w:pPr>
      <w:r>
        <w:t xml:space="preserve">The TCP head-of-line problem remains</w:t>
      </w:r>
    </w:p>
    <w:p>
      <w:pPr>
        <w:pStyle w:val="FirstParagraph"/>
      </w:pPr>
      <w:r>
        <w:t xml:space="preserve">HTTP/2 removed head-of-line blocking at the HTTP layer, but all streams still share one TCP byte stream. A single lost packet stalls</w:t>
      </w:r>
      <w:r>
        <w:t xml:space="preserve"> </w:t>
      </w:r>
      <w:r>
        <w:rPr>
          <w:iCs/>
          <w:i/>
        </w:rPr>
        <w:t xml:space="preserve">every</w:t>
      </w:r>
      <w:r>
        <w:t xml:space="preserve"> </w:t>
      </w:r>
      <w:r>
        <w:t xml:space="preserve">stream until it is retransmitted (§7.7.9). On a clean network HTTP/2’s single connection beats six HTTP/1.1 connections; at loss rates of a few percent, typical of poor mobile networks, it can do worse, because six independent connections each suffer only their own losses.</w:t>
      </w:r>
    </w:p>
    <w:bookmarkEnd w:id="761"/>
    <w:bookmarkEnd w:id="762"/>
    <w:bookmarkStart w:id="768" w:name="quic-and-http3"/>
    <w:p>
      <w:pPr>
        <w:pStyle w:val="Heading3"/>
      </w:pPr>
      <w:r>
        <w:t xml:space="preserve">7.9.4 QUIC and HTTP/3</w:t>
      </w:r>
    </w:p>
    <w:p>
      <w:pPr>
        <w:pStyle w:val="FirstParagraph"/>
      </w:pPr>
      <w:r>
        <w:rPr>
          <w:bCs/>
          <w:b/>
        </w:rPr>
        <w:t xml:space="preserve">QUIC</w:t>
      </w:r>
      <w:r>
        <w:t xml:space="preserve"> </w:t>
      </w:r>
      <w:r>
        <w:t xml:space="preserve">[RFC 9000] is a general-purpose transport protocol, developed first at Google and standardized by the IETF in 2021, that runs over UDP.</w:t>
      </w:r>
      <w:r>
        <w:t xml:space="preserve"> </w:t>
      </w:r>
      <w:r>
        <w:rPr>
          <w:bCs/>
          <w:b/>
        </w:rPr>
        <w:t xml:space="preserve">HTTP/3</w:t>
      </w:r>
      <w:r>
        <w:t xml:space="preserve"> </w:t>
      </w:r>
      <w:r>
        <w:t xml:space="preserve">[RFC 9114] is HTTP mapped onto QUIC.</w:t>
      </w:r>
    </w:p>
    <w:bookmarkStart w:id="763" w:name="why-does-this-exist-26"/>
    <w:p>
      <w:pPr>
        <w:pStyle w:val="Heading4"/>
      </w:pPr>
      <w:r>
        <w:t xml:space="preserve">Why does this exist?</w:t>
      </w:r>
    </w:p>
    <w:p>
      <w:pPr>
        <w:pStyle w:val="FirstParagraph"/>
      </w:pPr>
      <w:r>
        <w:t xml:space="preserve">Three problems could not be fixed inside TCP. First, TCP’s head-of-line blocking is inherent in its single ordered stream. Second, a secure connection costs two sequential handshakes (TCP, then TLS). Third, TCP lives in operating-system kernels and is inspected and sometimes rewritten by</w:t>
      </w:r>
      <w:r>
        <w:t xml:space="preserve"> </w:t>
      </w:r>
      <w:r>
        <w:rPr>
          <w:bCs/>
          <w:b/>
        </w:rPr>
        <w:t xml:space="preserve">middleboxes</w:t>
      </w:r>
      <w:r>
        <w:t xml:space="preserve"> </w:t>
      </w:r>
      <w:r>
        <w:t xml:space="preserve">(firewalls, NATs, load balancers), so new TCP features take a decade to deploy, a problem called</w:t>
      </w:r>
      <w:r>
        <w:t xml:space="preserve"> </w:t>
      </w:r>
      <w:r>
        <w:rPr>
          <w:bCs/>
          <w:b/>
        </w:rPr>
        <w:t xml:space="preserve">ossification</w:t>
      </w:r>
      <w:r>
        <w:t xml:space="preserve">. Building on UDP, implementing the transport in user space, and encrypting nearly all transport headers solves all three.</w:t>
      </w:r>
    </w:p>
    <w:bookmarkEnd w:id="763"/>
    <w:bookmarkStart w:id="767" w:name="how-it-works-internally-22"/>
    <w:p>
      <w:pPr>
        <w:pStyle w:val="Heading4"/>
      </w:pPr>
      <w:r>
        <w:t xml:space="preserve">How it works internally</w:t>
      </w:r>
    </w:p>
    <w:p>
      <w:pPr>
        <w:numPr>
          <w:ilvl w:val="0"/>
          <w:numId w:val="1230"/>
        </w:numPr>
        <w:pStyle w:val="Compact"/>
      </w:pPr>
      <w:r>
        <w:rPr>
          <w:bCs/>
          <w:b/>
        </w:rPr>
        <w:t xml:space="preserve">Integrated handshake.</w:t>
      </w:r>
      <w:r>
        <w:t xml:space="preserve"> </w:t>
      </w:r>
      <w:r>
        <w:t xml:space="preserve">QUIC carries the TLS 1.3 handshake inside its own packets [RFC 9001]. Transport and cryptographic setup happen together in</w:t>
      </w:r>
      <w:r>
        <w:t xml:space="preserve"> </w:t>
      </w:r>
      <w:r>
        <w:rPr>
          <w:bCs/>
          <w:b/>
        </w:rPr>
        <w:t xml:space="preserve">1 RTT</w:t>
      </w:r>
      <w:r>
        <w:t xml:space="preserve">; a resumed connection can send application data in its first flight (</w:t>
      </w:r>
      <w:r>
        <w:rPr>
          <w:bCs/>
          <w:b/>
        </w:rPr>
        <w:t xml:space="preserve">0-RTT</w:t>
      </w:r>
      <w:r>
        <w:t xml:space="preserve">, with the caveats in §7.10.4).</w:t>
      </w:r>
    </w:p>
    <w:p>
      <w:pPr>
        <w:numPr>
          <w:ilvl w:val="0"/>
          <w:numId w:val="1230"/>
        </w:numPr>
        <w:pStyle w:val="Compact"/>
      </w:pPr>
      <w:r>
        <w:rPr>
          <w:bCs/>
          <w:b/>
        </w:rPr>
        <w:t xml:space="preserve">Independent streams.</w:t>
      </w:r>
      <w:r>
        <w:t xml:space="preserve"> </w:t>
      </w:r>
      <w:r>
        <w:t xml:space="preserve">Reliability and ordering are per stream. A lost packet delays only the streams whose data it carried.</w:t>
      </w:r>
    </w:p>
    <w:p>
      <w:pPr>
        <w:numPr>
          <w:ilvl w:val="0"/>
          <w:numId w:val="1230"/>
        </w:numPr>
        <w:pStyle w:val="Compact"/>
      </w:pPr>
      <w:r>
        <w:rPr>
          <w:bCs/>
          <w:b/>
        </w:rPr>
        <w:t xml:space="preserve">Connection IDs.</w:t>
      </w:r>
      <w:r>
        <w:t xml:space="preserve"> </w:t>
      </w:r>
      <w:r>
        <w:t xml:space="preserve">A QUIC connection is identified by connection IDs chosen by the endpoints, not by the IP/port 4-tuple. When a phone moves from Wi-Fi to cellular and its IP address changes, the connection</w:t>
      </w:r>
      <w:r>
        <w:t xml:space="preserve"> </w:t>
      </w:r>
      <w:r>
        <w:rPr>
          <w:bCs/>
          <w:b/>
        </w:rPr>
        <w:t xml:space="preserve">migrates</w:t>
      </w:r>
      <w:r>
        <w:t xml:space="preserve"> </w:t>
      </w:r>
      <w:r>
        <w:t xml:space="preserve">without a new handshake.</w:t>
      </w:r>
    </w:p>
    <w:p>
      <w:pPr>
        <w:numPr>
          <w:ilvl w:val="0"/>
          <w:numId w:val="1230"/>
        </w:numPr>
        <w:pStyle w:val="Compact"/>
      </w:pPr>
      <w:r>
        <w:rPr>
          <w:bCs/>
          <w:b/>
        </w:rPr>
        <w:t xml:space="preserve">Encrypted headers.</w:t>
      </w:r>
      <w:r>
        <w:t xml:space="preserve"> </w:t>
      </w:r>
      <w:r>
        <w:t xml:space="preserve">Packet numbers and most transport metadata are encrypted, so middleboxes cannot depend on (and ossify) them.</w:t>
      </w:r>
    </w:p>
    <w:p>
      <w:pPr>
        <w:numPr>
          <w:ilvl w:val="0"/>
          <w:numId w:val="1230"/>
        </w:numPr>
        <w:pStyle w:val="Compact"/>
      </w:pPr>
      <w:r>
        <w:rPr>
          <w:bCs/>
          <w:b/>
        </w:rPr>
        <w:t xml:space="preserve">Better loss recovery.</w:t>
      </w:r>
      <w:r>
        <w:t xml:space="preserve"> </w:t>
      </w:r>
      <w:r>
        <w:t xml:space="preserve">Packet numbers are never reused (a retransmission gets a new number), which removes TCP’s ambiguity about whether an ACK refers to the original or the retransmission [RFC 9002].</w:t>
      </w:r>
    </w:p>
    <w:p>
      <w:pPr>
        <w:numPr>
          <w:ilvl w:val="0"/>
          <w:numId w:val="1230"/>
        </w:numPr>
        <w:pStyle w:val="Compact"/>
      </w:pPr>
      <w:r>
        <w:rPr>
          <w:bCs/>
          <w:b/>
        </w:rPr>
        <w:t xml:space="preserve">QPACK</w:t>
      </w:r>
      <w:r>
        <w:t xml:space="preserve"> </w:t>
      </w:r>
      <w:r>
        <w:t xml:space="preserve">[RFC 9204] replaces HPACK, because HPACK assumes in-order delivery of headers, which independent streams no longer guarantee.</w:t>
      </w:r>
    </w:p>
    <w:p>
      <w:pPr>
        <w:pStyle w:val="FirstParagraph"/>
      </w:pPr>
      <w:r>
        <w:t xml:space="preserve">Clients learn that a server supports HTTP/3 from an</w:t>
      </w:r>
      <w:r>
        <w:t xml:space="preserve"> </w:t>
      </w:r>
      <w:r>
        <w:rPr>
          <w:rStyle w:val="VerbatimChar"/>
        </w:rPr>
        <w:t xml:space="preserve">Alt-Svc</w:t>
      </w:r>
      <w:r>
        <w:t xml:space="preserve"> </w:t>
      </w:r>
      <w:r>
        <w:t xml:space="preserve">response header on an earlier HTTP/2 connection, or from a DNS HTTPS record (§7.6.3), and fall back to HTTP/2 over TCP when UDP is blocked, as it is on some enterprise networks.</w:t>
      </w:r>
    </w:p>
    <w:p>
      <w:pPr>
        <w:pStyle w:val="BodyText"/>
      </w:pPr>
      <w:r>
        <w:rPr>
          <w:bCs/>
          <w:b/>
        </w:rPr>
        <w:t xml:space="preserve">Figure 7.7 — Protocol stacks for the three HTTP versions.</w:t>
      </w:r>
    </w:p>
    <w:p>
      <w:pPr>
        <w:pStyle w:val="BodyText"/>
      </w:pPr>
      <w:r>
        <w:drawing>
          <wp:inline>
            <wp:extent cx="5334000" cy="376813"/>
            <wp:effectExtent b="0" l="0" r="0" t="0"/>
            <wp:docPr descr="" title="" id="765" name="Picture"/>
            <a:graphic>
              <a:graphicData uri="http://schemas.openxmlformats.org/drawingml/2006/picture">
                <pic:pic>
                  <pic:nvPicPr>
                    <pic:cNvPr descr="/home/user/System-Design/build/.cache/diagrams/4e06151e9f5f.png" id="766" name="Picture"/>
                    <pic:cNvPicPr>
                      <a:picLocks noChangeArrowheads="1" noChangeAspect="1"/>
                    </pic:cNvPicPr>
                  </pic:nvPicPr>
                  <pic:blipFill>
                    <a:blip r:embed="rId764"/>
                    <a:stretch>
                      <a:fillRect/>
                    </a:stretch>
                  </pic:blipFill>
                  <pic:spPr bwMode="auto">
                    <a:xfrm>
                      <a:off x="0" y="0"/>
                      <a:ext cx="5334000" cy="376813"/>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Each column is one protocol stack, top (application) to bottom (network). In HTTP/1.1 and HTTP/2, the security layer (TLS) sits between HTTP and TCP, and reliability lives in the kernel’s TCP. HTTP/2 changes only the top box: binary framing and multiplexed streams over a single TCP connection. In HTTP/3, QUIC absorbs the jobs of both TCP and TLS and runs over UDP, so the stream abstraction moves into the transport and loss on one stream no longer blocks others. Arrows represent encapsulation (synchronous hand-off of each message down the stack). Failure point specific to HTTP/3: networks that block or throttle UDP, handled by falling back to HTTP/2. Scaling consideration: QUIC runs in user space and encrypts every packet individually, so it has historically cost more server CPU per byte than kernel TCP with TLS; implementations close the gap with UDP segmentation offload and batching.</w:t>
      </w:r>
    </w:p>
    <w:p>
      <w:pPr>
        <w:pStyle w:val="BodyText"/>
      </w:pPr>
      <w:r>
        <w:rPr>
          <w:bCs/>
          <w:b/>
        </w:rPr>
        <w:t xml:space="preserve">Table 7.10 — HTTP/1.1, HTTP/2 and HTTP/3 compared.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Aspect</w:t>
            </w:r>
          </w:p>
        </w:tc>
        <w:tc>
          <w:tcPr/>
          <w:p>
            <w:pPr>
              <w:pStyle w:val="Compact"/>
              <w:jc w:val="left"/>
            </w:pPr>
            <w:r>
              <w:t xml:space="preserve">HTTP/1.1</w:t>
            </w:r>
          </w:p>
        </w:tc>
        <w:tc>
          <w:tcPr/>
          <w:p>
            <w:pPr>
              <w:pStyle w:val="Compact"/>
              <w:jc w:val="left"/>
            </w:pPr>
            <w:r>
              <w:t xml:space="preserve">HTTP/2</w:t>
            </w:r>
          </w:p>
        </w:tc>
        <w:tc>
          <w:tcPr/>
          <w:p>
            <w:pPr>
              <w:pStyle w:val="Compact"/>
              <w:jc w:val="left"/>
            </w:pPr>
            <w:r>
              <w:t xml:space="preserve">HTTP/3</w:t>
            </w:r>
          </w:p>
        </w:tc>
      </w:tr>
      <w:tr>
        <w:tc>
          <w:tcPr/>
          <w:p>
            <w:pPr>
              <w:pStyle w:val="Compact"/>
              <w:jc w:val="left"/>
            </w:pPr>
            <w:r>
              <w:t xml:space="preserve">Specification</w:t>
            </w:r>
          </w:p>
        </w:tc>
        <w:tc>
          <w:tcPr/>
          <w:p>
            <w:pPr>
              <w:pStyle w:val="Compact"/>
              <w:jc w:val="left"/>
            </w:pPr>
            <w:r>
              <w:t xml:space="preserve">RFC 9112</w:t>
            </w:r>
          </w:p>
        </w:tc>
        <w:tc>
          <w:tcPr/>
          <w:p>
            <w:pPr>
              <w:pStyle w:val="Compact"/>
              <w:jc w:val="left"/>
            </w:pPr>
            <w:r>
              <w:t xml:space="preserve">RFC 9113</w:t>
            </w:r>
          </w:p>
        </w:tc>
        <w:tc>
          <w:tcPr/>
          <w:p>
            <w:pPr>
              <w:pStyle w:val="Compact"/>
              <w:jc w:val="left"/>
            </w:pPr>
            <w:r>
              <w:t xml:space="preserve">RFC 9114 (over QUIC, RFC 9000)</w:t>
            </w:r>
          </w:p>
        </w:tc>
      </w:tr>
      <w:tr>
        <w:tc>
          <w:tcPr/>
          <w:p>
            <w:pPr>
              <w:pStyle w:val="Compact"/>
              <w:jc w:val="left"/>
            </w:pPr>
            <w:r>
              <w:t xml:space="preserve">Encoding</w:t>
            </w:r>
          </w:p>
        </w:tc>
        <w:tc>
          <w:tcPr/>
          <w:p>
            <w:pPr>
              <w:pStyle w:val="Compact"/>
              <w:jc w:val="left"/>
            </w:pPr>
            <w:r>
              <w:t xml:space="preserve">Text</w:t>
            </w:r>
          </w:p>
        </w:tc>
        <w:tc>
          <w:tcPr/>
          <w:p>
            <w:pPr>
              <w:pStyle w:val="Compact"/>
              <w:jc w:val="left"/>
            </w:pPr>
            <w:r>
              <w:t xml:space="preserve">Binary frames</w:t>
            </w:r>
          </w:p>
        </w:tc>
        <w:tc>
          <w:tcPr/>
          <w:p>
            <w:pPr>
              <w:pStyle w:val="Compact"/>
              <w:jc w:val="left"/>
            </w:pPr>
            <w:r>
              <w:t xml:space="preserve">Binary frames</w:t>
            </w:r>
          </w:p>
        </w:tc>
      </w:tr>
      <w:tr>
        <w:tc>
          <w:tcPr/>
          <w:p>
            <w:pPr>
              <w:pStyle w:val="Compact"/>
              <w:jc w:val="left"/>
            </w:pPr>
            <w:r>
              <w:t xml:space="preserve">Transport</w:t>
            </w:r>
          </w:p>
        </w:tc>
        <w:tc>
          <w:tcPr/>
          <w:p>
            <w:pPr>
              <w:pStyle w:val="Compact"/>
              <w:jc w:val="left"/>
            </w:pPr>
            <w:r>
              <w:t xml:space="preserve">TCP</w:t>
            </w:r>
          </w:p>
        </w:tc>
        <w:tc>
          <w:tcPr/>
          <w:p>
            <w:pPr>
              <w:pStyle w:val="Compact"/>
              <w:jc w:val="left"/>
            </w:pPr>
            <w:r>
              <w:t xml:space="preserve">TCP</w:t>
            </w:r>
          </w:p>
        </w:tc>
        <w:tc>
          <w:tcPr/>
          <w:p>
            <w:pPr>
              <w:pStyle w:val="Compact"/>
              <w:jc w:val="left"/>
            </w:pPr>
            <w:r>
              <w:t xml:space="preserve">QUIC over UDP</w:t>
            </w:r>
          </w:p>
        </w:tc>
      </w:tr>
      <w:tr>
        <w:tc>
          <w:tcPr/>
          <w:p>
            <w:pPr>
              <w:pStyle w:val="Compact"/>
              <w:jc w:val="left"/>
            </w:pPr>
            <w:r>
              <w:t xml:space="preserve">Concurrency per connection</w:t>
            </w:r>
          </w:p>
        </w:tc>
        <w:tc>
          <w:tcPr/>
          <w:p>
            <w:pPr>
              <w:pStyle w:val="Compact"/>
              <w:jc w:val="left"/>
            </w:pPr>
            <w:r>
              <w:t xml:space="preserve">One request at a time</w:t>
            </w:r>
          </w:p>
        </w:tc>
        <w:tc>
          <w:tcPr/>
          <w:p>
            <w:pPr>
              <w:pStyle w:val="Compact"/>
              <w:jc w:val="left"/>
            </w:pPr>
            <w:r>
              <w:t xml:space="preserve">Many multiplexed streams</w:t>
            </w:r>
          </w:p>
        </w:tc>
        <w:tc>
          <w:tcPr/>
          <w:p>
            <w:pPr>
              <w:pStyle w:val="Compact"/>
              <w:jc w:val="left"/>
            </w:pPr>
            <w:r>
              <w:t xml:space="preserve">Many independent streams</w:t>
            </w:r>
          </w:p>
        </w:tc>
      </w:tr>
      <w:tr>
        <w:tc>
          <w:tcPr/>
          <w:p>
            <w:pPr>
              <w:pStyle w:val="Compact"/>
              <w:jc w:val="left"/>
            </w:pPr>
            <w:r>
              <w:t xml:space="preserve">Head-of-line blocking</w:t>
            </w:r>
          </w:p>
        </w:tc>
        <w:tc>
          <w:tcPr/>
          <w:p>
            <w:pPr>
              <w:pStyle w:val="Compact"/>
              <w:jc w:val="left"/>
            </w:pPr>
            <w:r>
              <w:t xml:space="preserve">HTTP layer and TCP</w:t>
            </w:r>
          </w:p>
        </w:tc>
        <w:tc>
          <w:tcPr/>
          <w:p>
            <w:pPr>
              <w:pStyle w:val="Compact"/>
              <w:jc w:val="left"/>
            </w:pPr>
            <w:r>
              <w:t xml:space="preserve">TCP layer only</w:t>
            </w:r>
          </w:p>
        </w:tc>
        <w:tc>
          <w:tcPr/>
          <w:p>
            <w:pPr>
              <w:pStyle w:val="Compact"/>
              <w:jc w:val="left"/>
            </w:pPr>
            <w:r>
              <w:t xml:space="preserve">None across streams</w:t>
            </w:r>
          </w:p>
        </w:tc>
      </w:tr>
      <w:tr>
        <w:tc>
          <w:tcPr/>
          <w:p>
            <w:pPr>
              <w:pStyle w:val="Compact"/>
              <w:jc w:val="left"/>
            </w:pPr>
            <w:r>
              <w:t xml:space="preserve">Header compression</w:t>
            </w:r>
          </w:p>
        </w:tc>
        <w:tc>
          <w:tcPr/>
          <w:p>
            <w:pPr>
              <w:pStyle w:val="Compact"/>
              <w:jc w:val="left"/>
            </w:pPr>
            <w:r>
              <w:t xml:space="preserve">None</w:t>
            </w:r>
          </w:p>
        </w:tc>
        <w:tc>
          <w:tcPr/>
          <w:p>
            <w:pPr>
              <w:pStyle w:val="Compact"/>
              <w:jc w:val="left"/>
            </w:pPr>
            <w:r>
              <w:t xml:space="preserve">HPACK</w:t>
            </w:r>
          </w:p>
        </w:tc>
        <w:tc>
          <w:tcPr/>
          <w:p>
            <w:pPr>
              <w:pStyle w:val="Compact"/>
              <w:jc w:val="left"/>
            </w:pPr>
            <w:r>
              <w:t xml:space="preserve">QPACK</w:t>
            </w:r>
          </w:p>
        </w:tc>
      </w:tr>
      <w:tr>
        <w:tc>
          <w:tcPr/>
          <w:p>
            <w:pPr>
              <w:pStyle w:val="Compact"/>
              <w:jc w:val="left"/>
            </w:pPr>
            <w:r>
              <w:t xml:space="preserve">Encryption</w:t>
            </w:r>
          </w:p>
        </w:tc>
        <w:tc>
          <w:tcPr/>
          <w:p>
            <w:pPr>
              <w:pStyle w:val="Compact"/>
              <w:jc w:val="left"/>
            </w:pPr>
            <w:r>
              <w:t xml:space="preserve">Optional (TLS)</w:t>
            </w:r>
          </w:p>
        </w:tc>
        <w:tc>
          <w:tcPr/>
          <w:p>
            <w:pPr>
              <w:pStyle w:val="Compact"/>
              <w:jc w:val="left"/>
            </w:pPr>
            <w:r>
              <w:t xml:space="preserve">Effectively required by browsers</w:t>
            </w:r>
          </w:p>
        </w:tc>
        <w:tc>
          <w:tcPr/>
          <w:p>
            <w:pPr>
              <w:pStyle w:val="Compact"/>
              <w:jc w:val="left"/>
            </w:pPr>
            <w:r>
              <w:t xml:space="preserve">Always (TLS 1.3 built in)</w:t>
            </w:r>
          </w:p>
        </w:tc>
      </w:tr>
      <w:tr>
        <w:tc>
          <w:tcPr/>
          <w:p>
            <w:pPr>
              <w:pStyle w:val="Compact"/>
              <w:jc w:val="left"/>
            </w:pPr>
            <w:r>
              <w:t xml:space="preserve">New-connection setup with TLS 1.3</w:t>
            </w:r>
          </w:p>
        </w:tc>
        <w:tc>
          <w:tcPr/>
          <w:p>
            <w:pPr>
              <w:pStyle w:val="Compact"/>
              <w:jc w:val="left"/>
            </w:pPr>
            <w:r>
              <w:t xml:space="preserve">2 RTT (TCP + TLS)</w:t>
            </w:r>
          </w:p>
        </w:tc>
        <w:tc>
          <w:tcPr/>
          <w:p>
            <w:pPr>
              <w:pStyle w:val="Compact"/>
              <w:jc w:val="left"/>
            </w:pPr>
            <w:r>
              <w:t xml:space="preserve">2 RTT</w:t>
            </w:r>
          </w:p>
        </w:tc>
        <w:tc>
          <w:tcPr/>
          <w:p>
            <w:pPr>
              <w:pStyle w:val="Compact"/>
              <w:jc w:val="left"/>
            </w:pPr>
            <w:r>
              <w:t xml:space="preserve">1 RTT; 0 RTT on resumption</w:t>
            </w:r>
          </w:p>
        </w:tc>
      </w:tr>
      <w:tr>
        <w:tc>
          <w:tcPr/>
          <w:p>
            <w:pPr>
              <w:pStyle w:val="Compact"/>
              <w:jc w:val="left"/>
            </w:pPr>
            <w:r>
              <w:t xml:space="preserve">Connection migration</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 via connection IDs</w:t>
            </w:r>
          </w:p>
        </w:tc>
      </w:tr>
      <w:tr>
        <w:tc>
          <w:tcPr/>
          <w:p>
            <w:pPr>
              <w:pStyle w:val="Compact"/>
              <w:jc w:val="left"/>
            </w:pPr>
            <w:r>
              <w:t xml:space="preserve">Debuggability</w:t>
            </w:r>
          </w:p>
        </w:tc>
        <w:tc>
          <w:tcPr/>
          <w:p>
            <w:pPr>
              <w:pStyle w:val="Compact"/>
              <w:jc w:val="left"/>
            </w:pPr>
            <w:r>
              <w:t xml:space="preserve">Plain text with telnet or curl</w:t>
            </w:r>
          </w:p>
        </w:tc>
        <w:tc>
          <w:tcPr/>
          <w:p>
            <w:pPr>
              <w:pStyle w:val="Compact"/>
              <w:jc w:val="left"/>
            </w:pPr>
            <w:r>
              <w:t xml:space="preserve">Needs tools</w:t>
            </w:r>
          </w:p>
        </w:tc>
        <w:tc>
          <w:tcPr/>
          <w:p>
            <w:pPr>
              <w:pStyle w:val="Compact"/>
              <w:jc w:val="left"/>
            </w:pPr>
            <w:r>
              <w:t xml:space="preserve">Needs tools and decrypting keys</w:t>
            </w:r>
          </w:p>
        </w:tc>
      </w:tr>
      <w:tr>
        <w:tc>
          <w:tcPr/>
          <w:p>
            <w:pPr>
              <w:pStyle w:val="Compact"/>
              <w:jc w:val="left"/>
            </w:pPr>
            <w:r>
              <w:t xml:space="preserve">Choose when</w:t>
            </w:r>
          </w:p>
        </w:tc>
        <w:tc>
          <w:tcPr/>
          <w:p>
            <w:pPr>
              <w:pStyle w:val="Compact"/>
              <w:jc w:val="left"/>
            </w:pPr>
            <w:r>
              <w:t xml:space="preserve">Simple clients, internal tooling, legacy</w:t>
            </w:r>
          </w:p>
        </w:tc>
        <w:tc>
          <w:tcPr/>
          <w:p>
            <w:pPr>
              <w:pStyle w:val="Compact"/>
              <w:jc w:val="left"/>
            </w:pPr>
            <w:r>
              <w:t xml:space="preserve">Default for APIs and gRPC; most traffic</w:t>
            </w:r>
          </w:p>
        </w:tc>
        <w:tc>
          <w:tcPr/>
          <w:p>
            <w:pPr>
              <w:pStyle w:val="Compact"/>
              <w:jc w:val="left"/>
            </w:pPr>
            <w:r>
              <w:t xml:space="preserve">Mobile and lossy networks, latency-sensitive web traffic</w:t>
            </w:r>
          </w:p>
        </w:tc>
      </w:tr>
    </w:tbl>
    <w:p>
      <w:pPr>
        <w:pStyle w:val="CalloutRecommendation"/>
      </w:pPr>
      <w:r>
        <w:rPr>
          <w:bCs/>
          <w:b/>
        </w:rPr>
        <w:t xml:space="preserve">RECOMMENDATION</w:t>
      </w:r>
    </w:p>
    <w:p>
      <w:pPr>
        <w:pStyle w:val="CalloutRecommendation"/>
      </w:pPr>
      <w:r>
        <w:rPr>
          <w:bCs/>
          <w:b/>
        </w:rPr>
        <w:t xml:space="preserve">Choosing an HTTP version.</w:t>
      </w:r>
      <w:r>
        <w:t xml:space="preserve"> </w:t>
      </w:r>
      <w:r>
        <w:t xml:space="preserve">Terminate HTTP/2 (and HTTP/3 where your load balancer or CDN supports it) at the edge for browsers and mobile clients. Inside a datacenter, HTTP/2 over long-lived connections (for example, gRPC, §8.8) is the common default: loss is rare, so TCP HOL blocking matters little, while kernel TCP is cheap and mature. Do not hand-roll HTTP/3 between internal services without a measured reason.</w:t>
      </w:r>
    </w:p>
    <w:p>
      <w:pPr>
        <w:pStyle w:val="CalloutMistake"/>
      </w:pPr>
      <w:r>
        <w:rPr>
          <w:bCs/>
          <w:b/>
        </w:rPr>
        <w:t xml:space="preserve">COMMON MISTAKE</w:t>
      </w:r>
    </w:p>
    <w:p>
      <w:pPr>
        <w:pStyle w:val="CalloutMistake"/>
      </w:pPr>
      <w:r>
        <w:rPr>
          <w:bCs/>
          <w:b/>
        </w:rPr>
        <w:t xml:space="preserve">“</w:t>
      </w:r>
      <w:r>
        <w:rPr>
          <w:bCs/>
          <w:b/>
        </w:rPr>
        <w:t xml:space="preserve">HTTP/2 is always faster than HTTP/1.1.</w:t>
      </w:r>
      <w:r>
        <w:rPr>
          <w:bCs/>
          <w:b/>
        </w:rPr>
        <w:t xml:space="preserve">”</w:t>
      </w:r>
      <w:r>
        <w:t xml:space="preserve"> </w:t>
      </w:r>
      <w:r>
        <w:t xml:space="preserve">HTTP/2 wins in most browser workloads because it removes connection limits and compresses headers. But one connection means one congestion window and one point of HOL blocking: under heavy loss, or when a single connection’s cwnd is the bottleneck for bulk transfer, several HTTP/1.1 connections can outperform it. Measure on your traffic.</w:t>
      </w:r>
    </w:p>
    <w:bookmarkEnd w:id="767"/>
    <w:bookmarkEnd w:id="768"/>
    <w:bookmarkEnd w:id="769"/>
    <w:bookmarkStart w:id="777" w:name="tls-1.3-and-https"/>
    <w:p>
      <w:pPr>
        <w:pStyle w:val="Heading2"/>
      </w:pPr>
      <w:r>
        <w:t xml:space="preserve">7.10 TLS 1.3 and HTTPS</w:t>
      </w:r>
    </w:p>
    <w:bookmarkStart w:id="770" w:name="what-tls-provides"/>
    <w:p>
      <w:pPr>
        <w:pStyle w:val="Heading3"/>
      </w:pPr>
      <w:r>
        <w:t xml:space="preserve">7.10.1 What TLS provides</w:t>
      </w:r>
    </w:p>
    <w:p>
      <w:pPr>
        <w:pStyle w:val="CalloutDefinition"/>
      </w:pPr>
      <w:r>
        <w:rPr>
          <w:bCs/>
          <w:b/>
        </w:rPr>
        <w:t xml:space="preserve">DEFINITION</w:t>
      </w:r>
    </w:p>
    <w:p>
      <w:pPr>
        <w:pStyle w:val="CalloutDefinition"/>
      </w:pPr>
      <w:r>
        <w:rPr>
          <w:bCs/>
          <w:b/>
        </w:rPr>
        <w:t xml:space="preserve">Definition — Transport Layer Security (TLS).</w:t>
      </w:r>
      <w:r>
        <w:t xml:space="preserve"> </w:t>
      </w:r>
      <w:r>
        <w:t xml:space="preserve">A protocol that gives two communicating applications</w:t>
      </w:r>
      <w:r>
        <w:t xml:space="preserve"> </w:t>
      </w:r>
      <w:r>
        <w:rPr>
          <w:bCs/>
          <w:b/>
        </w:rPr>
        <w:t xml:space="preserve">confidentiality</w:t>
      </w:r>
      <w:r>
        <w:t xml:space="preserve"> </w:t>
      </w:r>
      <w:r>
        <w:t xml:space="preserve">(eavesdroppers cannot read the data),</w:t>
      </w:r>
      <w:r>
        <w:t xml:space="preserve"> </w:t>
      </w:r>
      <w:r>
        <w:rPr>
          <w:bCs/>
          <w:b/>
        </w:rPr>
        <w:t xml:space="preserve">integrity</w:t>
      </w:r>
      <w:r>
        <w:t xml:space="preserve"> </w:t>
      </w:r>
      <w:r>
        <w:t xml:space="preserve">(tampering is detected) and</w:t>
      </w:r>
      <w:r>
        <w:t xml:space="preserve"> </w:t>
      </w:r>
      <w:r>
        <w:rPr>
          <w:bCs/>
          <w:b/>
        </w:rPr>
        <w:t xml:space="preserve">authentication</w:t>
      </w:r>
      <w:r>
        <w:t xml:space="preserve"> </w:t>
      </w:r>
      <w:r>
        <w:t xml:space="preserve">(at least the server proves its identity, usually with an X.509 certificate).</w:t>
      </w:r>
      <w:r>
        <w:t xml:space="preserve"> </w:t>
      </w:r>
      <w:r>
        <w:rPr>
          <w:bCs/>
          <w:b/>
        </w:rPr>
        <w:t xml:space="preserve">HTTPS</w:t>
      </w:r>
      <w:r>
        <w:t xml:space="preserve"> </w:t>
      </w:r>
      <w:r>
        <w:t xml:space="preserve">is HTTP carried over TLS, on TCP port 443 by default. TLS 1.3 is specified in RFC 8446 (2018).</w:t>
      </w:r>
    </w:p>
    <w:p>
      <w:pPr>
        <w:pStyle w:val="BodyText"/>
      </w:pPr>
      <w:r>
        <w:t xml:space="preserve">Analogy: before discussing secrets with a stranger on the phone, you check their government-issued ID (the certificate, vouched for by a trusted issuer), then the two of you agree on a code that only you two know, without ever saying it aloud on the line (a</w:t>
      </w:r>
      <w:r>
        <w:t xml:space="preserve"> </w:t>
      </w:r>
      <w:r>
        <w:rPr>
          <w:bCs/>
          <w:b/>
        </w:rPr>
        <w:t xml:space="preserve">key exchange</w:t>
      </w:r>
      <w:r>
        <w:t xml:space="preserve">), and from then on you speak only in that code and seal every sentence so changes would be noticed (authenticated encryption).</w:t>
      </w:r>
    </w:p>
    <w:p>
      <w:pPr>
        <w:pStyle w:val="BodyText"/>
      </w:pPr>
      <w:r>
        <w:t xml:space="preserve">The cryptography itself (Diffie–Hellman, signatures, AEAD ciphers) is covered in §10.4. Here we focus on the round trips and their operational consequences.</w:t>
      </w:r>
    </w:p>
    <w:bookmarkEnd w:id="770"/>
    <w:bookmarkStart w:id="774" w:name="the-tls-1.3-handshake"/>
    <w:p>
      <w:pPr>
        <w:pStyle w:val="Heading3"/>
      </w:pPr>
      <w:r>
        <w:t xml:space="preserve">7.10.2 The TLS 1.3 handshake</w:t>
      </w:r>
    </w:p>
    <w:p>
      <w:pPr>
        <w:pStyle w:val="FirstParagraph"/>
      </w:pPr>
      <w:r>
        <w:t xml:space="preserve">TLS 1.2 needed</w:t>
      </w:r>
      <w:r>
        <w:t xml:space="preserve"> </w:t>
      </w:r>
      <w:r>
        <w:rPr>
          <w:bCs/>
          <w:b/>
        </w:rPr>
        <w:t xml:space="preserve">two</w:t>
      </w:r>
      <w:r>
        <w:t xml:space="preserve"> </w:t>
      </w:r>
      <w:r>
        <w:t xml:space="preserve">round trips before application data could flow. TLS 1.3 needs</w:t>
      </w:r>
      <w:r>
        <w:t xml:space="preserve"> </w:t>
      </w:r>
      <w:r>
        <w:rPr>
          <w:bCs/>
          <w:b/>
        </w:rPr>
        <w:t xml:space="preserve">one</w:t>
      </w:r>
      <w:r>
        <w:t xml:space="preserve">, because the client guesses the key-exchange group the server will accept and sends its key share in the very first message.</w:t>
      </w:r>
    </w:p>
    <w:p>
      <w:pPr>
        <w:pStyle w:val="BodyText"/>
      </w:pPr>
      <w:r>
        <w:rPr>
          <w:bCs/>
          <w:b/>
        </w:rPr>
        <w:t xml:space="preserve">Figure 7.8 — TLS 1.3 full handshake (after the TCP handshake).</w:t>
      </w:r>
    </w:p>
    <w:p>
      <w:pPr>
        <w:pStyle w:val="BodyText"/>
      </w:pPr>
      <w:r>
        <w:drawing>
          <wp:inline>
            <wp:extent cx="5334000" cy="3735981"/>
            <wp:effectExtent b="0" l="0" r="0" t="0"/>
            <wp:docPr descr="" title="" id="772" name="Picture"/>
            <a:graphic>
              <a:graphicData uri="http://schemas.openxmlformats.org/drawingml/2006/picture">
                <pic:pic>
                  <pic:nvPicPr>
                    <pic:cNvPr descr="/home/user/System-Design/build/.cache/diagrams/f77565196a2b.png" id="773" name="Picture"/>
                    <pic:cNvPicPr>
                      <a:picLocks noChangeArrowheads="1" noChangeAspect="1"/>
                    </pic:cNvPicPr>
                  </pic:nvPicPr>
                  <pic:blipFill>
                    <a:blip r:embed="rId771"/>
                    <a:stretch>
                      <a:fillRect/>
                    </a:stretch>
                  </pic:blipFill>
                  <pic:spPr bwMode="auto">
                    <a:xfrm>
                      <a:off x="0" y="0"/>
                      <a:ext cx="5334000" cy="3735981"/>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Step 1, the</w:t>
      </w:r>
      <w:r>
        <w:t xml:space="preserve"> </w:t>
      </w:r>
      <w:r>
        <w:rPr>
          <w:bCs/>
          <w:b/>
        </w:rPr>
        <w:t xml:space="preserve">ClientHello</w:t>
      </w:r>
      <w:r>
        <w:t xml:space="preserve">, carries a random nonce, the cipher suites the client supports, its ephemeral Diffie–Hellman</w:t>
      </w:r>
      <w:r>
        <w:t xml:space="preserve"> </w:t>
      </w:r>
      <w:r>
        <w:rPr>
          <w:bCs/>
          <w:b/>
        </w:rPr>
        <w:t xml:space="preserve">key share</w:t>
      </w:r>
      <w:r>
        <w:t xml:space="preserve">, the</w:t>
      </w:r>
      <w:r>
        <w:t xml:space="preserve"> </w:t>
      </w:r>
      <w:r>
        <w:rPr>
          <w:bCs/>
          <w:b/>
        </w:rPr>
        <w:t xml:space="preserve">Server Name Indication (SNI)</w:t>
      </w:r>
      <w:r>
        <w:t xml:space="preserve"> </w:t>
      </w:r>
      <w:r>
        <w:t xml:space="preserve">naming the host it wants (so one IP address can serve many sites), and the</w:t>
      </w:r>
      <w:r>
        <w:t xml:space="preserve"> </w:t>
      </w:r>
      <w:r>
        <w:rPr>
          <w:bCs/>
          <w:b/>
        </w:rPr>
        <w:t xml:space="preserve">ALPN</w:t>
      </w:r>
      <w:r>
        <w:t xml:space="preserve"> </w:t>
      </w:r>
      <w:r>
        <w:t xml:space="preserve">list of application protocols it speaks (</w:t>
      </w:r>
      <w:r>
        <w:rPr>
          <w:rStyle w:val="VerbatimChar"/>
        </w:rPr>
        <w:t xml:space="preserve">h2</w:t>
      </w:r>
      <w:r>
        <w:t xml:space="preserve">,</w:t>
      </w:r>
      <w:r>
        <w:t xml:space="preserve"> </w:t>
      </w:r>
      <w:r>
        <w:rPr>
          <w:rStyle w:val="VerbatimChar"/>
        </w:rPr>
        <w:t xml:space="preserve">http/1.1</w:t>
      </w:r>
      <w:r>
        <w:t xml:space="preserve">). Steps 2–6 are the server’s single flight. From the ServerHello onward, both sides can derive handshake keys, so everything after it, including the certificate, is encrypted (in TLS 1.2 the certificate traveled in clear text). CertificateVerify proves the server holds the private key for the certificate; Finished proves nobody tampered with the handshake. In step 7 the client sends its Finished and, in step 8, its first request, all after</w:t>
      </w:r>
      <w:r>
        <w:t xml:space="preserve"> </w:t>
      </w:r>
      <w:r>
        <w:rPr>
          <w:bCs/>
          <w:b/>
        </w:rPr>
        <w:t xml:space="preserve">one RTT</w:t>
      </w:r>
      <w:r>
        <w:t xml:space="preserve">. Steps 9–10 arrive later: a session ticket for faster resumption, and the response. Everything is synchronous request/response over the already-established TCP connection. Failure points: certificate validation (expired, wrong name, untrusted issuer) aborts the handshake; mismatched protocol versions or cipher suites fail at step 2. Scaling consideration: the server’s signature in step 5 is the main CPU cost of a handshake, which is a reason to reuse connections (§7.16) and resume sessions.</w:t>
      </w:r>
    </w:p>
    <w:bookmarkEnd w:id="774"/>
    <w:bookmarkStart w:id="775" w:name="certificates-and-the-chain-of-trust"/>
    <w:p>
      <w:pPr>
        <w:pStyle w:val="Heading3"/>
      </w:pPr>
      <w:r>
        <w:t xml:space="preserve">7.10.3 Certificates and the chain of trust</w:t>
      </w:r>
    </w:p>
    <w:p>
      <w:pPr>
        <w:pStyle w:val="FirstParagraph"/>
      </w:pPr>
      <w:r>
        <w:t xml:space="preserve">A</w:t>
      </w:r>
      <w:r>
        <w:t xml:space="preserve"> </w:t>
      </w:r>
      <w:r>
        <w:rPr>
          <w:bCs/>
          <w:b/>
        </w:rPr>
        <w:t xml:space="preserve">certificate</w:t>
      </w:r>
      <w:r>
        <w:t xml:space="preserve"> </w:t>
      </w:r>
      <w:r>
        <w:t xml:space="preserve">binds a public key to one or more names (in the Subject Alternative Name field), with a validity period, signed by a</w:t>
      </w:r>
      <w:r>
        <w:t xml:space="preserve"> </w:t>
      </w:r>
      <w:r>
        <w:rPr>
          <w:bCs/>
          <w:b/>
        </w:rPr>
        <w:t xml:space="preserve">certificate authority (CA)</w:t>
      </w:r>
      <w:r>
        <w:t xml:space="preserve">. Browsers and operating systems ship a</w:t>
      </w:r>
      <w:r>
        <w:t xml:space="preserve"> </w:t>
      </w:r>
      <w:r>
        <w:rPr>
          <w:bCs/>
          <w:b/>
        </w:rPr>
        <w:t xml:space="preserve">root store</w:t>
      </w:r>
      <w:r>
        <w:t xml:space="preserve"> </w:t>
      </w:r>
      <w:r>
        <w:t xml:space="preserve">of trusted root CAs. Servers send their own (</w:t>
      </w:r>
      <w:r>
        <w:rPr>
          <w:bCs/>
          <w:b/>
        </w:rPr>
        <w:t xml:space="preserve">leaf</w:t>
      </w:r>
      <w:r>
        <w:t xml:space="preserve">) certificate plus</w:t>
      </w:r>
      <w:r>
        <w:t xml:space="preserve"> </w:t>
      </w:r>
      <w:r>
        <w:rPr>
          <w:bCs/>
          <w:b/>
        </w:rPr>
        <w:t xml:space="preserve">intermediate</w:t>
      </w:r>
      <w:r>
        <w:t xml:space="preserve"> </w:t>
      </w:r>
      <w:r>
        <w:t xml:space="preserve">certificates; the client builds a chain from leaf to a trusted root and checks:</w:t>
      </w:r>
    </w:p>
    <w:p>
      <w:pPr>
        <w:numPr>
          <w:ilvl w:val="0"/>
          <w:numId w:val="1231"/>
        </w:numPr>
        <w:pStyle w:val="Compact"/>
      </w:pPr>
      <w:r>
        <w:t xml:space="preserve">each signature in the chain verifies with the issuer’s public key;</w:t>
      </w:r>
    </w:p>
    <w:p>
      <w:pPr>
        <w:numPr>
          <w:ilvl w:val="0"/>
          <w:numId w:val="1231"/>
        </w:numPr>
        <w:pStyle w:val="Compact"/>
      </w:pPr>
      <w:r>
        <w:t xml:space="preserve">the current time is within every certificate’s validity period;</w:t>
      </w:r>
    </w:p>
    <w:p>
      <w:pPr>
        <w:numPr>
          <w:ilvl w:val="0"/>
          <w:numId w:val="1231"/>
        </w:numPr>
        <w:pStyle w:val="Compact"/>
      </w:pPr>
      <w:r>
        <w:t xml:space="preserve">the requested hostname matches a name in the leaf;</w:t>
      </w:r>
    </w:p>
    <w:p>
      <w:pPr>
        <w:numPr>
          <w:ilvl w:val="0"/>
          <w:numId w:val="1231"/>
        </w:numPr>
        <w:pStyle w:val="Compact"/>
      </w:pPr>
      <w:r>
        <w:t xml:space="preserve">the certificate has not been revoked (via OCSP or CRLs, imperfectly in practice); and</w:t>
      </w:r>
    </w:p>
    <w:p>
      <w:pPr>
        <w:numPr>
          <w:ilvl w:val="0"/>
          <w:numId w:val="1231"/>
        </w:numPr>
        <w:pStyle w:val="Compact"/>
      </w:pPr>
      <w:r>
        <w:t xml:space="preserve">publicly trusted certificates appear in Certificate Transparency logs, as major browsers require.</w:t>
      </w:r>
    </w:p>
    <w:p>
      <w:pPr>
        <w:pStyle w:val="FirstParagraph"/>
      </w:pPr>
      <w:r>
        <w:t xml:space="preserve">Operationally, the most common TLS outage is mundane:</w:t>
      </w:r>
      <w:r>
        <w:t xml:space="preserve"> </w:t>
      </w:r>
      <w:r>
        <w:rPr>
          <w:bCs/>
          <w:b/>
        </w:rPr>
        <w:t xml:space="preserve">an expired certificate</w:t>
      </w:r>
      <w:r>
        <w:t xml:space="preserve">. Publicly trusted certificates have a maximum lifetime of 398 days as of 2025, and the CA/Browser Forum has adopted a schedule to shorten it further over the coming years; ACME-based automation (as popularized by Let’s Encrypt) is the only sane response. Monitor expiry dates of every certificate, including internal ones.</w:t>
      </w:r>
    </w:p>
    <w:p>
      <w:pPr>
        <w:pStyle w:val="BodyText"/>
      </w:pPr>
      <w:r>
        <w:rPr>
          <w:bCs/>
          <w:b/>
        </w:rPr>
        <w:t xml:space="preserve">Mutual TLS (mTLS)</w:t>
      </w:r>
      <w:r>
        <w:t xml:space="preserve">, in which the client also presents a certificate, is the standard way to authenticate services to each other inside a zero-trust network (§10.10). PKI design — issuance, revocation and private CAs — is covered in §10.5.</w:t>
      </w:r>
    </w:p>
    <w:p>
      <w:pPr>
        <w:pStyle w:val="BodyText"/>
      </w:pPr>
      <w:r>
        <w:rPr>
          <w:bCs/>
          <w:b/>
        </w:rPr>
        <w:t xml:space="preserve">Table 7.11 — TLS 1.2 versus TLS 1.3.</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TLS 1.2 (RFC 5246)</w:t>
            </w:r>
          </w:p>
        </w:tc>
        <w:tc>
          <w:tcPr/>
          <w:p>
            <w:pPr>
              <w:pStyle w:val="Compact"/>
              <w:jc w:val="left"/>
            </w:pPr>
            <w:r>
              <w:t xml:space="preserve">TLS 1.3 (RFC 8446)</w:t>
            </w:r>
          </w:p>
        </w:tc>
      </w:tr>
      <w:tr>
        <w:tc>
          <w:tcPr/>
          <w:p>
            <w:pPr>
              <w:pStyle w:val="Compact"/>
              <w:jc w:val="left"/>
            </w:pPr>
            <w:r>
              <w:t xml:space="preserve">Full handshake</w:t>
            </w:r>
          </w:p>
        </w:tc>
        <w:tc>
          <w:tcPr/>
          <w:p>
            <w:pPr>
              <w:pStyle w:val="Compact"/>
              <w:jc w:val="left"/>
            </w:pPr>
            <w:r>
              <w:t xml:space="preserve">2 RTT</w:t>
            </w:r>
          </w:p>
        </w:tc>
        <w:tc>
          <w:tcPr/>
          <w:p>
            <w:pPr>
              <w:pStyle w:val="Compact"/>
              <w:jc w:val="left"/>
            </w:pPr>
            <w:r>
              <w:t xml:space="preserve">1 RTT</w:t>
            </w:r>
          </w:p>
        </w:tc>
      </w:tr>
      <w:tr>
        <w:tc>
          <w:tcPr/>
          <w:p>
            <w:pPr>
              <w:pStyle w:val="Compact"/>
              <w:jc w:val="left"/>
            </w:pPr>
            <w:r>
              <w:t xml:space="preserve">Resumption</w:t>
            </w:r>
          </w:p>
        </w:tc>
        <w:tc>
          <w:tcPr/>
          <w:p>
            <w:pPr>
              <w:pStyle w:val="Compact"/>
              <w:jc w:val="left"/>
            </w:pPr>
            <w:r>
              <w:t xml:space="preserve">1 RTT</w:t>
            </w:r>
          </w:p>
        </w:tc>
        <w:tc>
          <w:tcPr/>
          <w:p>
            <w:pPr>
              <w:pStyle w:val="Compact"/>
              <w:jc w:val="left"/>
            </w:pPr>
            <w:r>
              <w:t xml:space="preserve">1 RTT, or 0-RTT with early data</w:t>
            </w:r>
          </w:p>
        </w:tc>
      </w:tr>
      <w:tr>
        <w:tc>
          <w:tcPr/>
          <w:p>
            <w:pPr>
              <w:pStyle w:val="Compact"/>
              <w:jc w:val="left"/>
            </w:pPr>
            <w:r>
              <w:t xml:space="preserve">Key exchange</w:t>
            </w:r>
          </w:p>
        </w:tc>
        <w:tc>
          <w:tcPr/>
          <w:p>
            <w:pPr>
              <w:pStyle w:val="Compact"/>
              <w:jc w:val="left"/>
            </w:pPr>
            <w:r>
              <w:t xml:space="preserve">RSA key transport or (EC)DHE</w:t>
            </w:r>
          </w:p>
        </w:tc>
        <w:tc>
          <w:tcPr/>
          <w:p>
            <w:pPr>
              <w:pStyle w:val="Compact"/>
              <w:jc w:val="left"/>
            </w:pPr>
            <w:r>
              <w:t xml:space="preserve">(EC)DHE only, so forward secrecy is mandatory</w:t>
            </w:r>
          </w:p>
        </w:tc>
      </w:tr>
      <w:tr>
        <w:tc>
          <w:tcPr/>
          <w:p>
            <w:pPr>
              <w:pStyle w:val="Compact"/>
              <w:jc w:val="left"/>
            </w:pPr>
            <w:r>
              <w:t xml:space="preserve">Cipher suites</w:t>
            </w:r>
          </w:p>
        </w:tc>
        <w:tc>
          <w:tcPr/>
          <w:p>
            <w:pPr>
              <w:pStyle w:val="Compact"/>
              <w:jc w:val="left"/>
            </w:pPr>
            <w:r>
              <w:t xml:space="preserve">Many, including weak legacy options</w:t>
            </w:r>
          </w:p>
        </w:tc>
        <w:tc>
          <w:tcPr/>
          <w:p>
            <w:pPr>
              <w:pStyle w:val="Compact"/>
              <w:jc w:val="left"/>
            </w:pPr>
            <w:r>
              <w:t xml:space="preserve">Five AEAD suites</w:t>
            </w:r>
          </w:p>
        </w:tc>
      </w:tr>
      <w:tr>
        <w:tc>
          <w:tcPr/>
          <w:p>
            <w:pPr>
              <w:pStyle w:val="Compact"/>
              <w:jc w:val="left"/>
            </w:pPr>
            <w:r>
              <w:t xml:space="preserve">Certificate visibility</w:t>
            </w:r>
          </w:p>
        </w:tc>
        <w:tc>
          <w:tcPr/>
          <w:p>
            <w:pPr>
              <w:pStyle w:val="Compact"/>
              <w:jc w:val="left"/>
            </w:pPr>
            <w:r>
              <w:t xml:space="preserve">Sent in clear text</w:t>
            </w:r>
          </w:p>
        </w:tc>
        <w:tc>
          <w:tcPr/>
          <w:p>
            <w:pPr>
              <w:pStyle w:val="Compact"/>
              <w:jc w:val="left"/>
            </w:pPr>
            <w:r>
              <w:t xml:space="preserve">Encrypted</w:t>
            </w:r>
          </w:p>
        </w:tc>
      </w:tr>
      <w:tr>
        <w:tc>
          <w:tcPr/>
          <w:p>
            <w:pPr>
              <w:pStyle w:val="Compact"/>
              <w:jc w:val="left"/>
            </w:pPr>
            <w:r>
              <w:t xml:space="preserve">Removed features</w:t>
            </w:r>
          </w:p>
        </w:tc>
        <w:tc>
          <w:tcPr/>
          <w:p>
            <w:pPr>
              <w:pStyle w:val="Compact"/>
              <w:jc w:val="left"/>
            </w:pPr>
            <w:r>
              <w:t xml:space="preserve">—</w:t>
            </w:r>
          </w:p>
        </w:tc>
        <w:tc>
          <w:tcPr/>
          <w:p>
            <w:pPr>
              <w:pStyle w:val="Compact"/>
              <w:jc w:val="left"/>
            </w:pPr>
            <w:r>
              <w:t xml:space="preserve">RSA key transport, static DH, CBC-mode ciphers, compression, renegotiation</w:t>
            </w:r>
          </w:p>
        </w:tc>
      </w:tr>
    </w:tbl>
    <w:p>
      <w:pPr>
        <w:pStyle w:val="BodyText"/>
      </w:pPr>
      <w:r>
        <w:rPr>
          <w:bCs/>
          <w:b/>
        </w:rPr>
        <w:t xml:space="preserve">Forward secrecy</w:t>
      </w:r>
      <w:r>
        <w:t xml:space="preserve"> </w:t>
      </w:r>
      <w:r>
        <w:t xml:space="preserve">means that stealing a server’s long-term private key later does not let an attacker decrypt previously recorded sessions, because each session’s keys came from ephemeral Diffie–Hellman values that were discarded.</w:t>
      </w:r>
    </w:p>
    <w:bookmarkEnd w:id="775"/>
    <w:bookmarkStart w:id="776" w:name="rtt-and-its-caveats"/>
    <w:p>
      <w:pPr>
        <w:pStyle w:val="Heading3"/>
      </w:pPr>
      <w:r>
        <w:t xml:space="preserve">7.10.4 0-RTT and its caveats</w:t>
      </w:r>
    </w:p>
    <w:p>
      <w:pPr>
        <w:pStyle w:val="FirstParagraph"/>
      </w:pPr>
      <w:r>
        <w:t xml:space="preserve">With a session ticket from a previous connection, a TLS 1.3 client can send</w:t>
      </w:r>
      <w:r>
        <w:t xml:space="preserve"> </w:t>
      </w:r>
      <w:r>
        <w:rPr>
          <w:bCs/>
          <w:b/>
        </w:rPr>
        <w:t xml:space="preserve">early data</w:t>
      </w:r>
      <w:r>
        <w:t xml:space="preserve"> </w:t>
      </w:r>
      <w:r>
        <w:t xml:space="preserve">in its first flight, encrypted under a key derived from the resumption pre-shared key. Combined with QUIC, a returning client can deliver a request with zero round trips of setup. Two caveats make 0-RTT dangerous if used carelessly [RFC 8446 §8]:</w:t>
      </w:r>
    </w:p>
    <w:p>
      <w:pPr>
        <w:numPr>
          <w:ilvl w:val="0"/>
          <w:numId w:val="1232"/>
        </w:numPr>
        <w:pStyle w:val="Compact"/>
      </w:pPr>
      <w:r>
        <w:rPr>
          <w:bCs/>
          <w:b/>
        </w:rPr>
        <w:t xml:space="preserve">Replay.</w:t>
      </w:r>
      <w:r>
        <w:t xml:space="preserve"> </w:t>
      </w:r>
      <w:r>
        <w:t xml:space="preserve">An attacker who records the first flight can resend it, and the server may process the early data twice. TLS cannot fully prevent this across a distributed server fleet.</w:t>
      </w:r>
    </w:p>
    <w:p>
      <w:pPr>
        <w:numPr>
          <w:ilvl w:val="0"/>
          <w:numId w:val="1232"/>
        </w:numPr>
        <w:pStyle w:val="Compact"/>
      </w:pPr>
      <w:r>
        <w:rPr>
          <w:bCs/>
          <w:b/>
        </w:rPr>
        <w:t xml:space="preserve">Weaker forward secrecy for early data</w:t>
      </w:r>
      <w:r>
        <w:t xml:space="preserve">, which is protected only by the resumption key, not by fresh ephemeral key exchange.</w:t>
      </w:r>
    </w:p>
    <w:p>
      <w:pPr>
        <w:pStyle w:val="FirstParagraph"/>
      </w:pPr>
      <w:r>
        <w:t xml:space="preserve">The rule: accept 0-RTT only for</w:t>
      </w:r>
      <w:r>
        <w:t xml:space="preserve"> </w:t>
      </w:r>
      <w:r>
        <w:rPr>
          <w:bCs/>
          <w:b/>
        </w:rPr>
        <w:t xml:space="preserve">idempotent, safe requests</w:t>
      </w:r>
      <w:r>
        <w:t xml:space="preserve"> </w:t>
      </w:r>
      <w:r>
        <w:t xml:space="preserve">(GET without side effects). Servers and CDNs that support it typically restrict it to such methods, and HTTP defines the</w:t>
      </w:r>
      <w:r>
        <w:t xml:space="preserve"> </w:t>
      </w:r>
      <w:r>
        <w:rPr>
          <w:rStyle w:val="VerbatimChar"/>
        </w:rPr>
        <w:t xml:space="preserve">Early-Data</w:t>
      </w:r>
      <w:r>
        <w:t xml:space="preserve"> </w:t>
      </w:r>
      <w:r>
        <w:t xml:space="preserve">header and the 425 (Too Early) status code (RFC 8470) so origins can reject replay-unsafe early requests. Never let a payment or any non-idempotent POST ride in 0-RTT (see idempotency keys, §22.15).</w:t>
      </w:r>
    </w:p>
    <w:p>
      <w:pPr>
        <w:pStyle w:val="CalloutMistake"/>
      </w:pPr>
      <w:r>
        <w:rPr>
          <w:bCs/>
          <w:b/>
        </w:rPr>
        <w:t xml:space="preserve">COMMON MISTAKE</w:t>
      </w:r>
    </w:p>
    <w:p>
      <w:pPr>
        <w:pStyle w:val="CalloutMistake"/>
      </w:pPr>
      <w:r>
        <w:rPr>
          <w:bCs/>
          <w:b/>
        </w:rPr>
        <w:t xml:space="preserve">“</w:t>
      </w:r>
      <w:r>
        <w:rPr>
          <w:bCs/>
          <w:b/>
        </w:rPr>
        <w:t xml:space="preserve">TLS is too slow to use internally.</w:t>
      </w:r>
      <w:r>
        <w:rPr>
          <w:bCs/>
          <w:b/>
        </w:rPr>
        <w:t xml:space="preserve">”</w:t>
      </w:r>
      <w:r>
        <w:t xml:space="preserve"> </w:t>
      </w:r>
      <w:r>
        <w:t xml:space="preserve">With TLS 1.3, a handshake costs one RTT (sub-millisecond inside a datacenter) and some CPU, and modern CPUs encrypt with AES-GCM at several GB/s per core using hardware instructions. With connection reuse, the steady-state cost is small. The exceptions are extreme-throughput paths, where kernel TLS and NIC offload exist for exactly this reason.</w:t>
      </w:r>
    </w:p>
    <w:bookmarkEnd w:id="776"/>
    <w:bookmarkEnd w:id="777"/>
    <w:bookmarkStart w:id="781" w:name="websockets-introduction"/>
    <w:p>
      <w:pPr>
        <w:pStyle w:val="Heading2"/>
      </w:pPr>
      <w:r>
        <w:t xml:space="preserve">7.11 WebSockets (introduction)</w:t>
      </w:r>
    </w:p>
    <w:p>
      <w:pPr>
        <w:pStyle w:val="FirstParagraph"/>
      </w:pPr>
      <w:r>
        <w:t xml:space="preserve">HTTP is client-initiated: the server cannot speak until asked. Chat, live dashboards, collaborative editors and multiplayer games need the server to push data whenever it has some.</w:t>
      </w:r>
      <w:r>
        <w:t xml:space="preserve"> </w:t>
      </w:r>
      <w:r>
        <w:rPr>
          <w:bCs/>
          <w:b/>
        </w:rPr>
        <w:t xml:space="preserve">WebSocket</w:t>
      </w:r>
      <w:r>
        <w:t xml:space="preserve"> </w:t>
      </w:r>
      <w:r>
        <w:t xml:space="preserve">[RFC 6455] provides a persistent, full-duplex, message-oriented channel between browser and server, created by</w:t>
      </w:r>
      <w:r>
        <w:t xml:space="preserve"> </w:t>
      </w:r>
      <w:r>
        <w:rPr>
          <w:bCs/>
          <w:b/>
        </w:rPr>
        <w:t xml:space="preserve">upgrading</w:t>
      </w:r>
      <w:r>
        <w:t xml:space="preserve"> </w:t>
      </w:r>
      <w:r>
        <w:t xml:space="preserve">an HTTP/1.1 connection.</w:t>
      </w:r>
    </w:p>
    <w:p>
      <w:pPr>
        <w:pStyle w:val="BodyText"/>
      </w:pPr>
      <w:r>
        <w:rPr>
          <w:bCs/>
          <w:b/>
        </w:rPr>
        <w:t xml:space="preserve">Figure 7.9 — WebSocket opening handshake and framing.</w:t>
      </w:r>
    </w:p>
    <w:p>
      <w:pPr>
        <w:pStyle w:val="BodyText"/>
      </w:pPr>
      <w:r>
        <w:drawing>
          <wp:inline>
            <wp:extent cx="5334000" cy="3139550"/>
            <wp:effectExtent b="0" l="0" r="0" t="0"/>
            <wp:docPr descr="" title="" id="779" name="Picture"/>
            <a:graphic>
              <a:graphicData uri="http://schemas.openxmlformats.org/drawingml/2006/picture">
                <pic:pic>
                  <pic:nvPicPr>
                    <pic:cNvPr descr="/home/user/System-Design/build/.cache/diagrams/d32c027e9594.png" id="780" name="Picture"/>
                    <pic:cNvPicPr>
                      <a:picLocks noChangeArrowheads="1" noChangeAspect="1"/>
                    </pic:cNvPicPr>
                  </pic:nvPicPr>
                  <pic:blipFill>
                    <a:blip r:embed="rId778"/>
                    <a:stretch>
                      <a:fillRect/>
                    </a:stretch>
                  </pic:blipFill>
                  <pic:spPr bwMode="auto">
                    <a:xfrm>
                      <a:off x="0" y="0"/>
                      <a:ext cx="5334000" cy="3139550"/>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Steps 1–2 are an ordinary HTTP/1.1 exchange over an existing TCP (usually TLS) connection. The client sends a random base64 key; the server proves it understood the WebSocket protocol by returning</w:t>
      </w:r>
      <w:r>
        <w:t xml:space="preserve"> </w:t>
      </w:r>
      <w:r>
        <w:rPr>
          <w:rStyle w:val="VerbatimChar"/>
        </w:rPr>
        <w:t xml:space="preserve">Sec-WebSocket-Accept</w:t>
      </w:r>
      <w:r>
        <w:t xml:space="preserve">, the base64-encoded SHA-1 hash of the key concatenated with the fixed GUID</w:t>
      </w:r>
      <w:r>
        <w:t xml:space="preserve"> </w:t>
      </w:r>
      <w:r>
        <w:rPr>
          <w:rStyle w:val="VerbatimChar"/>
        </w:rPr>
        <w:t xml:space="preserve">258EAFA5-E914-47DA-95CA-C5AB0DC85B11</w:t>
      </w:r>
      <w:r>
        <w:t xml:space="preserve"> </w:t>
      </w:r>
      <w:r>
        <w:t xml:space="preserve">(the values shown are the example from RFC 6455). After the</w:t>
      </w:r>
      <w:r>
        <w:t xml:space="preserve"> </w:t>
      </w:r>
      <w:r>
        <w:rPr>
          <w:rStyle w:val="VerbatimChar"/>
        </w:rPr>
        <w:t xml:space="preserve">101</w:t>
      </w:r>
      <w:r>
        <w:t xml:space="preserve"> </w:t>
      </w:r>
      <w:r>
        <w:t xml:space="preserve">response the same TCP connection carries WebSocket</w:t>
      </w:r>
      <w:r>
        <w:t xml:space="preserve"> </w:t>
      </w:r>
      <w:r>
        <w:rPr>
          <w:bCs/>
          <w:b/>
        </w:rPr>
        <w:t xml:space="preserve">frames</w:t>
      </w:r>
      <w:r>
        <w:t xml:space="preserve"> </w:t>
      </w:r>
      <w:r>
        <w:t xml:space="preserve">in both directions, at any time (steps 3–6): either side may send without being asked, so the arrows are asynchronous in the application sense. Frames from client to server are</w:t>
      </w:r>
      <w:r>
        <w:t xml:space="preserve"> </w:t>
      </w:r>
      <w:r>
        <w:rPr>
          <w:bCs/>
          <w:b/>
        </w:rPr>
        <w:t xml:space="preserve">masked</w:t>
      </w:r>
      <w:r>
        <w:t xml:space="preserve"> </w:t>
      </w:r>
      <w:r>
        <w:t xml:space="preserve">with a random 4-byte key to stop malicious pages from crafting bytes that confuse caching proxies. Control frames (ping, pong, close) keep the connection alive and close it cleanly. Failure points: intermediaries with idle timeouts (load balancers commonly default to around 60 s) silently kill quiet connections, so applications send periodic pings; and every connection pins state to one server, which complicates deploys and load balancing.</w:t>
      </w:r>
    </w:p>
    <w:p>
      <w:pPr>
        <w:pStyle w:val="BodyText"/>
      </w:pPr>
      <w:r>
        <w:t xml:space="preserve">The full design space (long polling, Server-Sent Events, WebSockets at scale, sticky routing, presence) is Chapter 9. WebSockets can also run over HTTP/2 (RFC 8441) and HTTP/3 (RFC 9220) using an extended CONNECT method.</w:t>
      </w:r>
    </w:p>
    <w:bookmarkEnd w:id="781"/>
    <w:bookmarkStart w:id="785" w:name="forward-proxies-and-reverse-proxies"/>
    <w:p>
      <w:pPr>
        <w:pStyle w:val="Heading2"/>
      </w:pPr>
      <w:r>
        <w:t xml:space="preserve">7.12 Forward proxies and reverse proxies</w:t>
      </w:r>
    </w:p>
    <w:p>
      <w:pPr>
        <w:pStyle w:val="CalloutDefinition"/>
      </w:pPr>
      <w:r>
        <w:rPr>
          <w:bCs/>
          <w:b/>
        </w:rPr>
        <w:t xml:space="preserve">DEFINITION</w:t>
      </w:r>
    </w:p>
    <w:p>
      <w:pPr>
        <w:pStyle w:val="CalloutDefinition"/>
      </w:pPr>
      <w:r>
        <w:rPr>
          <w:bCs/>
          <w:b/>
        </w:rPr>
        <w:t xml:space="preserve">Definition — Proxy.</w:t>
      </w:r>
      <w:r>
        <w:t xml:space="preserve"> </w:t>
      </w:r>
      <w:r>
        <w:t xml:space="preserve">An intermediary that terminates a client’s connection and opens its own connection onward, relaying requests and responses. A</w:t>
      </w:r>
      <w:r>
        <w:t xml:space="preserve"> </w:t>
      </w:r>
      <w:r>
        <w:rPr>
          <w:bCs/>
          <w:b/>
        </w:rPr>
        <w:t xml:space="preserve">forward proxy</w:t>
      </w:r>
      <w:r>
        <w:t xml:space="preserve"> </w:t>
      </w:r>
      <w:r>
        <w:t xml:space="preserve">acts on behalf of</w:t>
      </w:r>
      <w:r>
        <w:t xml:space="preserve"> </w:t>
      </w:r>
      <w:r>
        <w:rPr>
          <w:bCs/>
          <w:b/>
        </w:rPr>
        <w:t xml:space="preserve">clients</w:t>
      </w:r>
      <w:r>
        <w:t xml:space="preserve"> </w:t>
      </w:r>
      <w:r>
        <w:t xml:space="preserve">and is chosen by them (or their network administrator). A</w:t>
      </w:r>
      <w:r>
        <w:t xml:space="preserve"> </w:t>
      </w:r>
      <w:r>
        <w:rPr>
          <w:bCs/>
          <w:b/>
        </w:rPr>
        <w:t xml:space="preserve">reverse proxy</w:t>
      </w:r>
      <w:r>
        <w:t xml:space="preserve"> </w:t>
      </w:r>
      <w:r>
        <w:t xml:space="preserve">acts on behalf of</w:t>
      </w:r>
      <w:r>
        <w:t xml:space="preserve"> </w:t>
      </w:r>
      <w:r>
        <w:rPr>
          <w:bCs/>
          <w:b/>
        </w:rPr>
        <w:t xml:space="preserve">servers</w:t>
      </w:r>
      <w:r>
        <w:t xml:space="preserve"> </w:t>
      </w:r>
      <w:r>
        <w:t xml:space="preserve">and is chosen by the site operator; clients usually do not know it exists.</w:t>
      </w:r>
    </w:p>
    <w:p>
      <w:pPr>
        <w:pStyle w:val="BodyText"/>
      </w:pPr>
      <w:r>
        <w:t xml:space="preserve">Analogy: a forward proxy is your personal assistant who places all your calls, so callees see the assistant’s number. A reverse proxy is a company switchboard: callers dial one number and the receptionist routes them to the right employee, who never has to expose a direct line.</w:t>
      </w:r>
    </w:p>
    <w:p>
      <w:pPr>
        <w:pStyle w:val="BodyText"/>
      </w:pPr>
      <w:r>
        <w:rPr>
          <w:bCs/>
          <w:b/>
        </w:rPr>
        <w:t xml:space="preserve">Figure 7.10 — Forward proxy versus reverse proxy.</w:t>
      </w:r>
    </w:p>
    <w:p>
      <w:pPr>
        <w:pStyle w:val="BodyText"/>
      </w:pPr>
      <w:r>
        <w:drawing>
          <wp:inline>
            <wp:extent cx="5334000" cy="2230771"/>
            <wp:effectExtent b="0" l="0" r="0" t="0"/>
            <wp:docPr descr="" title="" id="783" name="Picture"/>
            <a:graphic>
              <a:graphicData uri="http://schemas.openxmlformats.org/drawingml/2006/picture">
                <pic:pic>
                  <pic:nvPicPr>
                    <pic:cNvPr descr="/home/user/System-Design/build/.cache/diagrams/5e091cf6a327.png" id="784" name="Picture"/>
                    <pic:cNvPicPr>
                      <a:picLocks noChangeArrowheads="1" noChangeAspect="1"/>
                    </pic:cNvPicPr>
                  </pic:nvPicPr>
                  <pic:blipFill>
                    <a:blip r:embed="rId782"/>
                    <a:stretch>
                      <a:fillRect/>
                    </a:stretch>
                  </pic:blipFill>
                  <pic:spPr bwMode="auto">
                    <a:xfrm>
                      <a:off x="0" y="0"/>
                      <a:ext cx="5334000" cy="2230771"/>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On the left, client machines inside an organization send all outbound traffic through a forward proxy, using the HTTP</w:t>
      </w:r>
      <w:r>
        <w:t xml:space="preserve"> </w:t>
      </w:r>
      <w:r>
        <w:rPr>
          <w:rStyle w:val="VerbatimChar"/>
        </w:rPr>
        <w:t xml:space="preserve">CONNECT</w:t>
      </w:r>
      <w:r>
        <w:t xml:space="preserve"> </w:t>
      </w:r>
      <w:r>
        <w:t xml:space="preserve">method to tunnel TLS connections; destination sites see the proxy’s address. On the right, Internet users connect to a reverse proxy, which terminates TLS, inspects HTTP and forwards each request to one of several application servers over internal HTTP or gRPC; users see only the proxy. Both paths are synchronous request/response. The database behind the app servers is the storage boundary. Failure points: each proxy is a single point of failure unless replicated behind anycast, ECMP or DNS (§19.8). Scaling: reverse proxies scale horizontally and absorb connection-handling work (TLS, slow clients) so app servers do not have to.</w:t>
      </w:r>
    </w:p>
    <w:p>
      <w:pPr>
        <w:pStyle w:val="BodyText"/>
      </w:pPr>
      <w:r>
        <w:rPr>
          <w:bCs/>
          <w:b/>
        </w:rPr>
        <w:t xml:space="preserve">Table 7.12 — Forward and reverse proxies compared.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Forward proxy</w:t>
            </w:r>
          </w:p>
        </w:tc>
        <w:tc>
          <w:tcPr/>
          <w:p>
            <w:pPr>
              <w:pStyle w:val="Compact"/>
              <w:jc w:val="left"/>
            </w:pPr>
            <w:r>
              <w:t xml:space="preserve">Reverse proxy</w:t>
            </w:r>
          </w:p>
        </w:tc>
      </w:tr>
      <w:tr>
        <w:tc>
          <w:tcPr/>
          <w:p>
            <w:pPr>
              <w:pStyle w:val="Compact"/>
              <w:jc w:val="left"/>
            </w:pPr>
            <w:r>
              <w:t xml:space="preserve">Acts for</w:t>
            </w:r>
          </w:p>
        </w:tc>
        <w:tc>
          <w:tcPr/>
          <w:p>
            <w:pPr>
              <w:pStyle w:val="Compact"/>
              <w:jc w:val="left"/>
            </w:pPr>
            <w:r>
              <w:t xml:space="preserve">Clients</w:t>
            </w:r>
          </w:p>
        </w:tc>
        <w:tc>
          <w:tcPr/>
          <w:p>
            <w:pPr>
              <w:pStyle w:val="Compact"/>
              <w:jc w:val="left"/>
            </w:pPr>
            <w:r>
              <w:t xml:space="preserve">Servers</w:t>
            </w:r>
          </w:p>
        </w:tc>
      </w:tr>
      <w:tr>
        <w:tc>
          <w:tcPr/>
          <w:p>
            <w:pPr>
              <w:pStyle w:val="Compact"/>
              <w:jc w:val="left"/>
            </w:pPr>
            <w:r>
              <w:t xml:space="preserve">Configured by</w:t>
            </w:r>
          </w:p>
        </w:tc>
        <w:tc>
          <w:tcPr/>
          <w:p>
            <w:pPr>
              <w:pStyle w:val="Compact"/>
              <w:jc w:val="left"/>
            </w:pPr>
            <w:r>
              <w:t xml:space="preserve">Client or client’s network</w:t>
            </w:r>
          </w:p>
        </w:tc>
        <w:tc>
          <w:tcPr/>
          <w:p>
            <w:pPr>
              <w:pStyle w:val="Compact"/>
              <w:jc w:val="left"/>
            </w:pPr>
            <w:r>
              <w:t xml:space="preserve">Service operator</w:t>
            </w:r>
          </w:p>
        </w:tc>
      </w:tr>
      <w:tr>
        <w:tc>
          <w:tcPr/>
          <w:p>
            <w:pPr>
              <w:pStyle w:val="Compact"/>
              <w:jc w:val="left"/>
            </w:pPr>
            <w:r>
              <w:t xml:space="preserve">Hides</w:t>
            </w:r>
          </w:p>
        </w:tc>
        <w:tc>
          <w:tcPr/>
          <w:p>
            <w:pPr>
              <w:pStyle w:val="Compact"/>
              <w:jc w:val="left"/>
            </w:pPr>
            <w:r>
              <w:t xml:space="preserve">Client identity from servers</w:t>
            </w:r>
          </w:p>
        </w:tc>
        <w:tc>
          <w:tcPr/>
          <w:p>
            <w:pPr>
              <w:pStyle w:val="Compact"/>
              <w:jc w:val="left"/>
            </w:pPr>
            <w:r>
              <w:t xml:space="preserve">Server topology from clients</w:t>
            </w:r>
          </w:p>
        </w:tc>
      </w:tr>
      <w:tr>
        <w:tc>
          <w:tcPr/>
          <w:p>
            <w:pPr>
              <w:pStyle w:val="Compact"/>
              <w:jc w:val="left"/>
            </w:pPr>
            <w:r>
              <w:t xml:space="preserve">Typical functions</w:t>
            </w:r>
          </w:p>
        </w:tc>
        <w:tc>
          <w:tcPr/>
          <w:p>
            <w:pPr>
              <w:pStyle w:val="Compact"/>
              <w:jc w:val="left"/>
            </w:pPr>
            <w:r>
              <w:t xml:space="preserve">Egress filtering, caching, auditing, access control, anonymity</w:t>
            </w:r>
          </w:p>
        </w:tc>
        <w:tc>
          <w:tcPr/>
          <w:p>
            <w:pPr>
              <w:pStyle w:val="Compact"/>
              <w:jc w:val="left"/>
            </w:pPr>
            <w:r>
              <w:t xml:space="preserve">TLS termination, load balancing, routing by path or host, caching, compression, rate limiting, WAF, request buffering</w:t>
            </w:r>
          </w:p>
        </w:tc>
      </w:tr>
      <w:tr>
        <w:tc>
          <w:tcPr/>
          <w:p>
            <w:pPr>
              <w:pStyle w:val="Compact"/>
              <w:jc w:val="left"/>
            </w:pPr>
            <w:r>
              <w:t xml:space="preserve">Examples</w:t>
            </w:r>
          </w:p>
        </w:tc>
        <w:tc>
          <w:tcPr/>
          <w:p>
            <w:pPr>
              <w:pStyle w:val="Compact"/>
              <w:jc w:val="left"/>
            </w:pPr>
            <w:r>
              <w:t xml:space="preserve">Squid, corporate secure web gateways, egress proxies in VPCs</w:t>
            </w:r>
          </w:p>
        </w:tc>
        <w:tc>
          <w:tcPr/>
          <w:p>
            <w:pPr>
              <w:pStyle w:val="Compact"/>
              <w:jc w:val="left"/>
            </w:pPr>
            <w:r>
              <w:t xml:space="preserve">NGINX, HAProxy, Envoy, cloud load balancers, CDNs, API gateways</w:t>
            </w:r>
          </w:p>
        </w:tc>
      </w:tr>
      <w:tr>
        <w:tc>
          <w:tcPr/>
          <w:p>
            <w:pPr>
              <w:pStyle w:val="Compact"/>
              <w:jc w:val="left"/>
            </w:pPr>
            <w:r>
              <w:t xml:space="preserve">System-design relevance</w:t>
            </w:r>
          </w:p>
        </w:tc>
        <w:tc>
          <w:tcPr/>
          <w:p>
            <w:pPr>
              <w:pStyle w:val="Compact"/>
              <w:jc w:val="left"/>
            </w:pPr>
            <w:r>
              <w:t xml:space="preserve">Controlled egress from private networks</w:t>
            </w:r>
          </w:p>
        </w:tc>
        <w:tc>
          <w:tcPr/>
          <w:p>
            <w:pPr>
              <w:pStyle w:val="Compact"/>
              <w:jc w:val="left"/>
            </w:pPr>
            <w:r>
              <w:t xml:space="preserve">Nearly every web architecture’s front door</w:t>
            </w:r>
          </w:p>
        </w:tc>
      </w:tr>
    </w:tbl>
    <w:p>
      <w:pPr>
        <w:pStyle w:val="BodyText"/>
      </w:pPr>
      <w:r>
        <w:t xml:space="preserve">A reverse proxy that distributes load is a</w:t>
      </w:r>
      <w:r>
        <w:t xml:space="preserve"> </w:t>
      </w:r>
      <w:r>
        <w:rPr>
          <w:bCs/>
          <w:b/>
        </w:rPr>
        <w:t xml:space="preserve">load balancer</w:t>
      </w:r>
      <w:r>
        <w:t xml:space="preserve"> </w:t>
      </w:r>
      <w:r>
        <w:t xml:space="preserve">(Chapter 19); one that adds authentication, quotas and API management is an</w:t>
      </w:r>
      <w:r>
        <w:t xml:space="preserve"> </w:t>
      </w:r>
      <w:r>
        <w:rPr>
          <w:bCs/>
          <w:b/>
        </w:rPr>
        <w:t xml:space="preserve">API gateway</w:t>
      </w:r>
      <w:r>
        <w:t xml:space="preserve"> </w:t>
      </w:r>
      <w:r>
        <w:t xml:space="preserve">(§34.6); one deployed beside every service instance is a</w:t>
      </w:r>
      <w:r>
        <w:t xml:space="preserve"> </w:t>
      </w:r>
      <w:r>
        <w:rPr>
          <w:bCs/>
          <w:b/>
        </w:rPr>
        <w:t xml:space="preserve">sidecar</w:t>
      </w:r>
      <w:r>
        <w:t xml:space="preserve"> </w:t>
      </w:r>
      <w:r>
        <w:t xml:space="preserve">in a</w:t>
      </w:r>
      <w:r>
        <w:t xml:space="preserve"> </w:t>
      </w:r>
      <w:r>
        <w:rPr>
          <w:bCs/>
          <w:b/>
        </w:rPr>
        <w:t xml:space="preserve">service mesh</w:t>
      </w:r>
      <w:r>
        <w:t xml:space="preserve">. Proxies that terminate TCP also shield back-ends from slow clients: the proxy buffers a slowly uploaded request and hands the application a complete one, so the application’s limited workers are not tied up for seconds.</w:t>
      </w:r>
    </w:p>
    <w:p>
      <w:pPr>
        <w:pStyle w:val="CalloutWarning"/>
      </w:pPr>
      <w:r>
        <w:rPr>
          <w:bCs/>
          <w:b/>
        </w:rPr>
        <w:t xml:space="preserve">WARNING / TRADE-OFF</w:t>
      </w:r>
    </w:p>
    <w:p>
      <w:pPr>
        <w:pStyle w:val="CalloutWarning"/>
      </w:pPr>
      <w:r>
        <w:rPr>
          <w:bCs/>
          <w:b/>
        </w:rPr>
        <w:t xml:space="preserve">The client IP problem.</w:t>
      </w:r>
      <w:r>
        <w:t xml:space="preserve"> </w:t>
      </w:r>
      <w:r>
        <w:t xml:space="preserve">Behind a reverse proxy, the application sees the proxy’s IP as the source. Proxies pass the original address in the</w:t>
      </w:r>
      <w:r>
        <w:t xml:space="preserve"> </w:t>
      </w:r>
      <w:r>
        <w:rPr>
          <w:rStyle w:val="VerbatimChar"/>
        </w:rPr>
        <w:t xml:space="preserve">X-Forwarded-For</w:t>
      </w:r>
      <w:r>
        <w:t xml:space="preserve"> </w:t>
      </w:r>
      <w:r>
        <w:t xml:space="preserve">or standard</w:t>
      </w:r>
      <w:r>
        <w:t xml:space="preserve"> </w:t>
      </w:r>
      <w:r>
        <w:rPr>
          <w:rStyle w:val="VerbatimChar"/>
        </w:rPr>
        <w:t xml:space="preserve">Forwarded</w:t>
      </w:r>
      <w:r>
        <w:t xml:space="preserve"> </w:t>
      </w:r>
      <w:r>
        <w:t xml:space="preserve">header (RFC 7239), or at L4 via the PROXY protocol. Trust these headers only when they were set by your own proxy; otherwise clients can forge them to evade rate limits or IP allow-lists.</w:t>
      </w:r>
    </w:p>
    <w:bookmarkEnd w:id="785"/>
    <w:bookmarkStart w:id="790" w:name="nat"/>
    <w:p>
      <w:pPr>
        <w:pStyle w:val="Heading2"/>
      </w:pPr>
      <w:r>
        <w:t xml:space="preserve">7.13 NAT</w:t>
      </w:r>
    </w:p>
    <w:p>
      <w:pPr>
        <w:pStyle w:val="CalloutDefinition"/>
      </w:pPr>
      <w:r>
        <w:rPr>
          <w:bCs/>
          <w:b/>
        </w:rPr>
        <w:t xml:space="preserve">DEFINITION</w:t>
      </w:r>
    </w:p>
    <w:p>
      <w:pPr>
        <w:pStyle w:val="CalloutDefinition"/>
      </w:pPr>
      <w:r>
        <w:rPr>
          <w:bCs/>
          <w:b/>
        </w:rPr>
        <w:t xml:space="preserve">Definition — Network Address Translation (NAT).</w:t>
      </w:r>
      <w:r>
        <w:t xml:space="preserve"> </w:t>
      </w:r>
      <w:r>
        <w:t xml:space="preserve">A function, usually in a router or gateway, that rewrites the source and/or destination IP addresses (and usually ports) of packets as they pass, keeping a</w:t>
      </w:r>
      <w:r>
        <w:t xml:space="preserve"> </w:t>
      </w:r>
      <w:r>
        <w:rPr>
          <w:bCs/>
          <w:b/>
        </w:rPr>
        <w:t xml:space="preserve">translation table</w:t>
      </w:r>
      <w:r>
        <w:t xml:space="preserve"> </w:t>
      </w:r>
      <w:r>
        <w:t xml:space="preserve">so that replies can be rewritten back. The most common form,</w:t>
      </w:r>
      <w:r>
        <w:t xml:space="preserve"> </w:t>
      </w:r>
      <w:r>
        <w:rPr>
          <w:bCs/>
          <w:b/>
        </w:rPr>
        <w:t xml:space="preserve">source NAT with port translation</w:t>
      </w:r>
      <w:r>
        <w:t xml:space="preserve"> </w:t>
      </w:r>
      <w:r>
        <w:t xml:space="preserve">(NAPT, often just</w:t>
      </w:r>
      <w:r>
        <w:t xml:space="preserve"> </w:t>
      </w:r>
      <w:r>
        <w:t xml:space="preserve">“</w:t>
      </w:r>
      <w:r>
        <w:t xml:space="preserve">NAT</w:t>
      </w:r>
      <w:r>
        <w:t xml:space="preserve">”</w:t>
      </w:r>
      <w:r>
        <w:t xml:space="preserve">), lets many hosts with private addresses share one public address [RFC 3022].</w:t>
      </w:r>
    </w:p>
    <w:p>
      <w:pPr>
        <w:pStyle w:val="BodyText"/>
      </w:pPr>
      <w:r>
        <w:t xml:space="preserve">Analogy: an office building with one street address and a mailroom. Outgoing letters carry the building’s return address with an internal</w:t>
      </w:r>
      <w:r>
        <w:t xml:space="preserve"> </w:t>
      </w:r>
      <w:r>
        <w:t xml:space="preserve">“</w:t>
      </w:r>
      <w:r>
        <w:t xml:space="preserve">room code</w:t>
      </w:r>
      <w:r>
        <w:t xml:space="preserve">”</w:t>
      </w:r>
      <w:r>
        <w:t xml:space="preserve"> </w:t>
      </w:r>
      <w:r>
        <w:t xml:space="preserve">written on them; when replies come back with that code, the mailroom forwards them to the right room. A letter that arrives with no room code the mailroom has issued has nowhere to go.</w:t>
      </w:r>
    </w:p>
    <w:p>
      <w:pPr>
        <w:pStyle w:val="BodyText"/>
      </w:pPr>
      <w:r>
        <w:rPr>
          <w:bCs/>
          <w:b/>
        </w:rPr>
        <w:t xml:space="preserve">Figure 7.11 — Source NAT for an outbound connection.</w:t>
      </w:r>
    </w:p>
    <w:p>
      <w:pPr>
        <w:pStyle w:val="BodyText"/>
      </w:pPr>
      <w:r>
        <w:drawing>
          <wp:inline>
            <wp:extent cx="5334000" cy="1708477"/>
            <wp:effectExtent b="0" l="0" r="0" t="0"/>
            <wp:docPr descr="" title="" id="787" name="Picture"/>
            <a:graphic>
              <a:graphicData uri="http://schemas.openxmlformats.org/drawingml/2006/picture">
                <pic:pic>
                  <pic:nvPicPr>
                    <pic:cNvPr descr="/home/user/System-Design/build/.cache/diagrams/152a6d694e90.png" id="788" name="Picture"/>
                    <pic:cNvPicPr>
                      <a:picLocks noChangeArrowheads="1" noChangeAspect="1"/>
                    </pic:cNvPicPr>
                  </pic:nvPicPr>
                  <pic:blipFill>
                    <a:blip r:embed="rId786"/>
                    <a:stretch>
                      <a:fillRect/>
                    </a:stretch>
                  </pic:blipFill>
                  <pic:spPr bwMode="auto">
                    <a:xfrm>
                      <a:off x="0" y="0"/>
                      <a:ext cx="5334000" cy="1708477"/>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A private host (left) opens a connection to a public server (right) through a NAT gateway (middle). In step 1 the packet carries the host’s private address. The NAT rewrites the source to its own public address and a free public port, recording the mapping (steps 2–3). The server replies to the public address (step 4), and the NAT reverses the translation using the table (steps 5–6). All traffic is synchronous and flows through the same NAT in both directions: the NAT is</w:t>
      </w:r>
      <w:r>
        <w:t xml:space="preserve"> </w:t>
      </w:r>
      <w:r>
        <w:rPr>
          <w:bCs/>
          <w:b/>
        </w:rPr>
        <w:t xml:space="preserve">stateful</w:t>
      </w:r>
      <w:r>
        <w:t xml:space="preserve">, which makes it a failure point (if it restarts or the mapping times out, existing connections die) and a scaling limit (ports per destination).</w:t>
      </w:r>
    </w:p>
    <w:bookmarkStart w:id="789" w:name="consequences-for-system-design"/>
    <w:p>
      <w:pPr>
        <w:pStyle w:val="Heading3"/>
      </w:pPr>
      <w:r>
        <w:t xml:space="preserve">Consequences for system design</w:t>
      </w:r>
    </w:p>
    <w:p>
      <w:pPr>
        <w:numPr>
          <w:ilvl w:val="0"/>
          <w:numId w:val="1233"/>
        </w:numPr>
        <w:pStyle w:val="Compact"/>
      </w:pPr>
      <w:r>
        <w:rPr>
          <w:bCs/>
          <w:b/>
        </w:rPr>
        <w:t xml:space="preserve">Inbound connections are impossible by default</w:t>
      </w:r>
      <w:r>
        <w:t xml:space="preserve">, because no mapping exists until the inside host sends first. Peer-to-peer systems (WebRTC, §9.7) use STUN to discover their public mapping and fall back to TURN relays when NAT behavior prevents direct connections.</w:t>
      </w:r>
    </w:p>
    <w:p>
      <w:pPr>
        <w:numPr>
          <w:ilvl w:val="0"/>
          <w:numId w:val="1233"/>
        </w:numPr>
        <w:pStyle w:val="Compact"/>
      </w:pPr>
      <w:r>
        <w:rPr>
          <w:bCs/>
          <w:b/>
        </w:rPr>
        <w:t xml:space="preserve">Mappings time out.</w:t>
      </w:r>
      <w:r>
        <w:t xml:space="preserve"> </w:t>
      </w:r>
      <w:r>
        <w:t xml:space="preserve">Idle UDP mappings may expire in tens of seconds and TCP mappings in minutes to hours, depending on the device. Long-lived idle connections need keep-alives shorter than the NAT timeout, or they become half-open (§7.7).</w:t>
      </w:r>
    </w:p>
    <w:p>
      <w:pPr>
        <w:numPr>
          <w:ilvl w:val="0"/>
          <w:numId w:val="1233"/>
        </w:numPr>
        <w:pStyle w:val="Compact"/>
      </w:pPr>
      <w:r>
        <w:rPr>
          <w:bCs/>
          <w:b/>
        </w:rPr>
        <w:t xml:space="preserve">Port exhaustion.</w:t>
      </w:r>
      <w:r>
        <w:t xml:space="preserve"> </w:t>
      </w:r>
      <w:r>
        <w:t xml:space="preserve">A single public IP has about 64,000 usable ports per destination (IP, port, protocol). AWS documents a NAT gateway limit of 55,000 simultaneous connections per assigned IP address to each unique destination, raisable by assigning more IPs (as of 2025) [AWS Docs: NAT gateways]. A fleet of services calling one external API through one NAT IP can exhaust this; connection pooling and more NAT IPs fix it.</w:t>
      </w:r>
    </w:p>
    <w:p>
      <w:pPr>
        <w:numPr>
          <w:ilvl w:val="0"/>
          <w:numId w:val="1233"/>
        </w:numPr>
        <w:pStyle w:val="Compact"/>
      </w:pPr>
      <w:r>
        <w:rPr>
          <w:bCs/>
          <w:b/>
        </w:rPr>
        <w:t xml:space="preserve">Carrier-grade NAT (CGNAT)</w:t>
      </w:r>
      <w:r>
        <w:t xml:space="preserve">: mobile and some fixed ISPs place many subscribers behind shared addresses from</w:t>
      </w:r>
      <w:r>
        <w:t xml:space="preserve"> </w:t>
      </w:r>
      <w:r>
        <w:rPr>
          <w:rStyle w:val="VerbatimChar"/>
        </w:rPr>
        <w:t xml:space="preserve">100.64.0.0/10</w:t>
      </w:r>
      <w:r>
        <w:t xml:space="preserve">. Thousands of users can share one public IP, so</w:t>
      </w:r>
      <w:r>
        <w:t xml:space="preserve"> </w:t>
      </w:r>
      <w:r>
        <w:rPr>
          <w:bCs/>
          <w:b/>
        </w:rPr>
        <w:t xml:space="preserve">IP-based rate limiting and blocking punish innocent users</w:t>
      </w:r>
      <w:r>
        <w:t xml:space="preserve">.</w:t>
      </w:r>
    </w:p>
    <w:p>
      <w:pPr>
        <w:numPr>
          <w:ilvl w:val="0"/>
          <w:numId w:val="1233"/>
        </w:numPr>
        <w:pStyle w:val="Compact"/>
      </w:pPr>
      <w:r>
        <w:rPr>
          <w:bCs/>
          <w:b/>
        </w:rPr>
        <w:t xml:space="preserve">Cost.</w:t>
      </w:r>
      <w:r>
        <w:t xml:space="preserve"> </w:t>
      </w:r>
      <w:r>
        <w:t xml:space="preserve">Managed cloud NAT gateways usually charge per gigabyte processed; routing bulk traffic to cloud storage through them instead of private endpoints is a common surprise on the bill.</w:t>
      </w:r>
    </w:p>
    <w:bookmarkEnd w:id="789"/>
    <w:bookmarkEnd w:id="790"/>
    <w:bookmarkStart w:id="792" w:name="firewalls-and-security-groups"/>
    <w:p>
      <w:pPr>
        <w:pStyle w:val="Heading2"/>
      </w:pPr>
      <w:r>
        <w:t xml:space="preserve">7.14 Firewalls and security groups</w:t>
      </w:r>
    </w:p>
    <w:p>
      <w:pPr>
        <w:pStyle w:val="CalloutDefinition"/>
      </w:pPr>
      <w:r>
        <w:rPr>
          <w:bCs/>
          <w:b/>
        </w:rPr>
        <w:t xml:space="preserve">DEFINITION</w:t>
      </w:r>
    </w:p>
    <w:p>
      <w:pPr>
        <w:pStyle w:val="CalloutDefinition"/>
      </w:pPr>
      <w:r>
        <w:rPr>
          <w:bCs/>
          <w:b/>
        </w:rPr>
        <w:t xml:space="preserve">Definition — Firewall.</w:t>
      </w:r>
      <w:r>
        <w:t xml:space="preserve"> </w:t>
      </w:r>
      <w:r>
        <w:t xml:space="preserve">A device or software function that permits or denies traffic according to rules. A</w:t>
      </w:r>
      <w:r>
        <w:t xml:space="preserve"> </w:t>
      </w:r>
      <w:r>
        <w:rPr>
          <w:bCs/>
          <w:b/>
        </w:rPr>
        <w:t xml:space="preserve">stateless</w:t>
      </w:r>
      <w:r>
        <w:t xml:space="preserve"> </w:t>
      </w:r>
      <w:r>
        <w:t xml:space="preserve">(packet-filter) firewall evaluates each packet independently against rules on addresses, ports and protocol. A</w:t>
      </w:r>
      <w:r>
        <w:t xml:space="preserve"> </w:t>
      </w:r>
      <w:r>
        <w:rPr>
          <w:bCs/>
          <w:b/>
        </w:rPr>
        <w:t xml:space="preserve">stateful</w:t>
      </w:r>
      <w:r>
        <w:t xml:space="preserve"> </w:t>
      </w:r>
      <w:r>
        <w:t xml:space="preserve">firewall tracks connections, so a reply to an allowed outbound connection is automatically permitted.</w:t>
      </w:r>
      <w:r>
        <w:t xml:space="preserve"> </w:t>
      </w:r>
      <w:r>
        <w:rPr>
          <w:bCs/>
          <w:b/>
        </w:rPr>
        <w:t xml:space="preserve">Application-layer firewalls</w:t>
      </w:r>
      <w:r>
        <w:t xml:space="preserve">, including web application firewalls (WAFs), parse protocols such as HTTP to block malicious requests.</w:t>
      </w:r>
    </w:p>
    <w:p>
      <w:pPr>
        <w:pStyle w:val="BodyText"/>
      </w:pPr>
      <w:r>
        <w:t xml:space="preserve">Cloud providers expose two common forms. A</w:t>
      </w:r>
      <w:r>
        <w:t xml:space="preserve"> </w:t>
      </w:r>
      <w:r>
        <w:rPr>
          <w:bCs/>
          <w:b/>
        </w:rPr>
        <w:t xml:space="preserve">security group</w:t>
      </w:r>
      <w:r>
        <w:t xml:space="preserve"> </w:t>
      </w:r>
      <w:r>
        <w:t xml:space="preserve">(AWS, similar constructs elsewhere) is a stateful, allow-only rule set attached to a network interface or instance. A</w:t>
      </w:r>
      <w:r>
        <w:t xml:space="preserve"> </w:t>
      </w:r>
      <w:r>
        <w:rPr>
          <w:bCs/>
          <w:b/>
        </w:rPr>
        <w:t xml:space="preserve">network ACL</w:t>
      </w:r>
      <w:r>
        <w:t xml:space="preserve"> </w:t>
      </w:r>
      <w:r>
        <w:t xml:space="preserve">is a stateless, ordered allow-and-deny rule list attached to a subnet. Because NACLs are stateless, you must explicitly allow return traffic, typically to the client’s ephemeral port range, which is a frequent source of</w:t>
      </w:r>
      <w:r>
        <w:t xml:space="preserve"> </w:t>
      </w:r>
      <w:r>
        <w:t xml:space="preserve">“</w:t>
      </w:r>
      <w:r>
        <w:t xml:space="preserve">connection hangs</w:t>
      </w:r>
      <w:r>
        <w:t xml:space="preserve">”</w:t>
      </w:r>
      <w:r>
        <w:t xml:space="preserve"> </w:t>
      </w:r>
      <w:r>
        <w:t xml:space="preserve">misconfigurations.</w:t>
      </w:r>
    </w:p>
    <w:p>
      <w:pPr>
        <w:pStyle w:val="BodyText"/>
      </w:pPr>
      <w:r>
        <w:rPr>
          <w:bCs/>
          <w:b/>
        </w:rPr>
        <w:t xml:space="preserve">Table 7.13 — Firewall mechanisms compared.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Aspect</w:t>
            </w:r>
          </w:p>
        </w:tc>
        <w:tc>
          <w:tcPr/>
          <w:p>
            <w:pPr>
              <w:pStyle w:val="Compact"/>
              <w:jc w:val="left"/>
            </w:pPr>
            <w:r>
              <w:t xml:space="preserve">Stateless ACL</w:t>
            </w:r>
          </w:p>
        </w:tc>
        <w:tc>
          <w:tcPr/>
          <w:p>
            <w:pPr>
              <w:pStyle w:val="Compact"/>
              <w:jc w:val="left"/>
            </w:pPr>
            <w:r>
              <w:t xml:space="preserve">Stateful firewall / security group</w:t>
            </w:r>
          </w:p>
        </w:tc>
        <w:tc>
          <w:tcPr/>
          <w:p>
            <w:pPr>
              <w:pStyle w:val="Compact"/>
              <w:jc w:val="left"/>
            </w:pPr>
            <w:r>
              <w:t xml:space="preserve">Web application firewall</w:t>
            </w:r>
          </w:p>
        </w:tc>
      </w:tr>
      <w:tr>
        <w:tc>
          <w:tcPr/>
          <w:p>
            <w:pPr>
              <w:pStyle w:val="Compact"/>
              <w:jc w:val="left"/>
            </w:pPr>
            <w:r>
              <w:t xml:space="preserve">Inspects</w:t>
            </w:r>
          </w:p>
        </w:tc>
        <w:tc>
          <w:tcPr/>
          <w:p>
            <w:pPr>
              <w:pStyle w:val="Compact"/>
              <w:jc w:val="left"/>
            </w:pPr>
            <w:r>
              <w:t xml:space="preserve">Packet headers</w:t>
            </w:r>
          </w:p>
        </w:tc>
        <w:tc>
          <w:tcPr/>
          <w:p>
            <w:pPr>
              <w:pStyle w:val="Compact"/>
              <w:jc w:val="left"/>
            </w:pPr>
            <w:r>
              <w:t xml:space="preserve">Headers plus connection state</w:t>
            </w:r>
          </w:p>
        </w:tc>
        <w:tc>
          <w:tcPr/>
          <w:p>
            <w:pPr>
              <w:pStyle w:val="Compact"/>
              <w:jc w:val="left"/>
            </w:pPr>
            <w:r>
              <w:t xml:space="preserve">HTTP requests (L7)</w:t>
            </w:r>
          </w:p>
        </w:tc>
      </w:tr>
      <w:tr>
        <w:tc>
          <w:tcPr/>
          <w:p>
            <w:pPr>
              <w:pStyle w:val="Compact"/>
              <w:jc w:val="left"/>
            </w:pPr>
            <w:r>
              <w:t xml:space="preserve">Return traffic</w:t>
            </w:r>
          </w:p>
        </w:tc>
        <w:tc>
          <w:tcPr/>
          <w:p>
            <w:pPr>
              <w:pStyle w:val="Compact"/>
              <w:jc w:val="left"/>
            </w:pPr>
            <w:r>
              <w:t xml:space="preserve">Must be explicitly allowed</w:t>
            </w:r>
          </w:p>
        </w:tc>
        <w:tc>
          <w:tcPr/>
          <w:p>
            <w:pPr>
              <w:pStyle w:val="Compact"/>
              <w:jc w:val="left"/>
            </w:pPr>
            <w:r>
              <w:t xml:space="preserve">Allowed automatically</w:t>
            </w:r>
          </w:p>
        </w:tc>
        <w:tc>
          <w:tcPr/>
          <w:p>
            <w:pPr>
              <w:pStyle w:val="Compact"/>
              <w:jc w:val="left"/>
            </w:pPr>
            <w:r>
              <w:t xml:space="preserve">N/A (proxy)</w:t>
            </w:r>
          </w:p>
        </w:tc>
      </w:tr>
      <w:tr>
        <w:tc>
          <w:tcPr/>
          <w:p>
            <w:pPr>
              <w:pStyle w:val="Compact"/>
              <w:jc w:val="left"/>
            </w:pPr>
            <w:r>
              <w:t xml:space="preserve">Rule style</w:t>
            </w:r>
          </w:p>
        </w:tc>
        <w:tc>
          <w:tcPr/>
          <w:p>
            <w:pPr>
              <w:pStyle w:val="Compact"/>
              <w:jc w:val="left"/>
            </w:pPr>
            <w:r>
              <w:t xml:space="preserve">Ordered allow/deny</w:t>
            </w:r>
          </w:p>
        </w:tc>
        <w:tc>
          <w:tcPr/>
          <w:p>
            <w:pPr>
              <w:pStyle w:val="Compact"/>
              <w:jc w:val="left"/>
            </w:pPr>
            <w:r>
              <w:t xml:space="preserve">Usually allow-only</w:t>
            </w:r>
          </w:p>
        </w:tc>
        <w:tc>
          <w:tcPr/>
          <w:p>
            <w:pPr>
              <w:pStyle w:val="Compact"/>
              <w:jc w:val="left"/>
            </w:pPr>
            <w:r>
              <w:t xml:space="preserve">Signatures, rate rules, custom logic</w:t>
            </w:r>
          </w:p>
        </w:tc>
      </w:tr>
      <w:tr>
        <w:tc>
          <w:tcPr/>
          <w:p>
            <w:pPr>
              <w:pStyle w:val="Compact"/>
              <w:jc w:val="left"/>
            </w:pPr>
            <w:r>
              <w:t xml:space="preserve">Cost of state</w:t>
            </w:r>
          </w:p>
        </w:tc>
        <w:tc>
          <w:tcPr/>
          <w:p>
            <w:pPr>
              <w:pStyle w:val="Compact"/>
              <w:jc w:val="left"/>
            </w:pPr>
            <w:r>
              <w:t xml:space="preserve">None</w:t>
            </w:r>
          </w:p>
        </w:tc>
        <w:tc>
          <w:tcPr/>
          <w:p>
            <w:pPr>
              <w:pStyle w:val="Compact"/>
              <w:jc w:val="left"/>
            </w:pPr>
            <w:r>
              <w:t xml:space="preserve">Connection table (can be exhausted)</w:t>
            </w:r>
          </w:p>
        </w:tc>
        <w:tc>
          <w:tcPr/>
          <w:p>
            <w:pPr>
              <w:pStyle w:val="Compact"/>
              <w:jc w:val="left"/>
            </w:pPr>
            <w:r>
              <w:t xml:space="preserve">Full proxying</w:t>
            </w:r>
          </w:p>
        </w:tc>
      </w:tr>
      <w:tr>
        <w:tc>
          <w:tcPr/>
          <w:p>
            <w:pPr>
              <w:pStyle w:val="Compact"/>
              <w:jc w:val="left"/>
            </w:pPr>
            <w:r>
              <w:t xml:space="preserve">Typical placement</w:t>
            </w:r>
          </w:p>
        </w:tc>
        <w:tc>
          <w:tcPr/>
          <w:p>
            <w:pPr>
              <w:pStyle w:val="Compact"/>
              <w:jc w:val="left"/>
            </w:pPr>
            <w:r>
              <w:t xml:space="preserve">Subnet boundary</w:t>
            </w:r>
          </w:p>
        </w:tc>
        <w:tc>
          <w:tcPr/>
          <w:p>
            <w:pPr>
              <w:pStyle w:val="Compact"/>
              <w:jc w:val="left"/>
            </w:pPr>
            <w:r>
              <w:t xml:space="preserve">Each instance or interface</w:t>
            </w:r>
          </w:p>
        </w:tc>
        <w:tc>
          <w:tcPr/>
          <w:p>
            <w:pPr>
              <w:pStyle w:val="Compact"/>
              <w:jc w:val="left"/>
            </w:pPr>
            <w:r>
              <w:t xml:space="preserve">In front of web apps, often at the CDN</w:t>
            </w:r>
          </w:p>
        </w:tc>
      </w:tr>
      <w:tr>
        <w:tc>
          <w:tcPr/>
          <w:p>
            <w:pPr>
              <w:pStyle w:val="Compact"/>
              <w:jc w:val="left"/>
            </w:pPr>
            <w:r>
              <w:t xml:space="preserve">Choose when</w:t>
            </w:r>
          </w:p>
        </w:tc>
        <w:tc>
          <w:tcPr/>
          <w:p>
            <w:pPr>
              <w:pStyle w:val="Compact"/>
              <w:jc w:val="left"/>
            </w:pPr>
            <w:r>
              <w:t xml:space="preserve">Coarse subnet guardrails</w:t>
            </w:r>
          </w:p>
        </w:tc>
        <w:tc>
          <w:tcPr/>
          <w:p>
            <w:pPr>
              <w:pStyle w:val="Compact"/>
              <w:jc w:val="left"/>
            </w:pPr>
            <w:r>
              <w:t xml:space="preserve">Default micro-segmentation between tiers</w:t>
            </w:r>
          </w:p>
        </w:tc>
        <w:tc>
          <w:tcPr/>
          <w:p>
            <w:pPr>
              <w:pStyle w:val="Compact"/>
              <w:jc w:val="left"/>
            </w:pPr>
            <w:r>
              <w:t xml:space="preserve">Blocking injection, bots, abusive patterns</w:t>
            </w:r>
          </w:p>
        </w:tc>
      </w:tr>
    </w:tbl>
    <w:bookmarkStart w:id="791" w:name="practical-rules"/>
    <w:p>
      <w:pPr>
        <w:pStyle w:val="Heading3"/>
      </w:pPr>
      <w:r>
        <w:t xml:space="preserve">Practical rules</w:t>
      </w:r>
    </w:p>
    <w:p>
      <w:pPr>
        <w:numPr>
          <w:ilvl w:val="0"/>
          <w:numId w:val="1234"/>
        </w:numPr>
        <w:pStyle w:val="Compact"/>
      </w:pPr>
      <w:r>
        <w:rPr>
          <w:bCs/>
          <w:b/>
        </w:rPr>
        <w:t xml:space="preserve">Default deny.</w:t>
      </w:r>
      <w:r>
        <w:t xml:space="preserve"> </w:t>
      </w:r>
      <w:r>
        <w:t xml:space="preserve">Allow only the ports and sources each tier needs: the load balancer may reach the app tier on port 8080; only the app tier may reach the database on 5432.</w:t>
      </w:r>
    </w:p>
    <w:p>
      <w:pPr>
        <w:numPr>
          <w:ilvl w:val="0"/>
          <w:numId w:val="1234"/>
        </w:numPr>
        <w:pStyle w:val="Compact"/>
      </w:pPr>
      <w:r>
        <w:rPr>
          <w:bCs/>
          <w:b/>
        </w:rPr>
        <w:t xml:space="preserve">Reference groups, not addresses.</w:t>
      </w:r>
      <w:r>
        <w:t xml:space="preserve"> </w:t>
      </w:r>
      <w:r>
        <w:t xml:space="preserve">Security groups can name other groups as sources (</w:t>
      </w:r>
      <w:r>
        <w:t xml:space="preserve">“</w:t>
      </w:r>
      <w:r>
        <w:t xml:space="preserve">allow from sg-app</w:t>
      </w:r>
      <w:r>
        <w:t xml:space="preserve">”</w:t>
      </w:r>
      <w:r>
        <w:t xml:space="preserve">), which keeps rules correct as instances scale in and out.</w:t>
      </w:r>
    </w:p>
    <w:p>
      <w:pPr>
        <w:numPr>
          <w:ilvl w:val="0"/>
          <w:numId w:val="1234"/>
        </w:numPr>
        <w:pStyle w:val="Compact"/>
      </w:pPr>
      <w:r>
        <w:rPr>
          <w:bCs/>
          <w:b/>
        </w:rPr>
        <w:t xml:space="preserve">Firewalls are one layer of defense in depth.</w:t>
      </w:r>
      <w:r>
        <w:t xml:space="preserve"> </w:t>
      </w:r>
      <w:r>
        <w:t xml:space="preserve">Combine them with authentication and encryption (mTLS, §10.10); a network position is not an identity.</w:t>
      </w:r>
    </w:p>
    <w:p>
      <w:pPr>
        <w:numPr>
          <w:ilvl w:val="0"/>
          <w:numId w:val="1234"/>
        </w:numPr>
        <w:pStyle w:val="Compact"/>
      </w:pPr>
      <w:r>
        <w:rPr>
          <w:bCs/>
          <w:b/>
        </w:rPr>
        <w:t xml:space="preserve">Watch the state table.</w:t>
      </w:r>
      <w:r>
        <w:t xml:space="preserve"> </w:t>
      </w:r>
      <w:r>
        <w:t xml:space="preserve">Stateful devices track every connection; a flood of connections (legitimate or attack) can exhaust their tables and drop everything. Linux’s</w:t>
      </w:r>
      <w:r>
        <w:t xml:space="preserve"> </w:t>
      </w:r>
      <w:r>
        <w:rPr>
          <w:rStyle w:val="VerbatimChar"/>
        </w:rPr>
        <w:t xml:space="preserve">conntrack</w:t>
      </w:r>
      <w:r>
        <w:t xml:space="preserve"> </w:t>
      </w:r>
      <w:r>
        <w:t xml:space="preserve">table is a common culprit on busy proxies.</w:t>
      </w:r>
    </w:p>
    <w:p>
      <w:pPr>
        <w:numPr>
          <w:ilvl w:val="0"/>
          <w:numId w:val="1234"/>
        </w:numPr>
        <w:pStyle w:val="Compact"/>
      </w:pPr>
      <w:r>
        <w:rPr>
          <w:bCs/>
          <w:b/>
        </w:rPr>
        <w:t xml:space="preserve">Silent drops cause timeouts, rejections cause fast failure.</w:t>
      </w:r>
      <w:r>
        <w:t xml:space="preserve"> </w:t>
      </w:r>
      <w:r>
        <w:t xml:space="preserve">A firewall that drops packets makes clients wait for a timeout; one that sends RST or ICMP unreachable fails fast. Choose deliberately.</w:t>
      </w:r>
    </w:p>
    <w:bookmarkEnd w:id="791"/>
    <w:bookmarkEnd w:id="792"/>
    <w:bookmarkStart w:id="796" w:name="Xd5cd505410fbcb76a64ce67ddbd003f6a4202af"/>
    <w:p>
      <w:pPr>
        <w:pStyle w:val="Heading2"/>
      </w:pPr>
      <w:r>
        <w:t xml:space="preserve">7.15 Latency, bandwidth, the bandwidth-delay product and packet loss</w:t>
      </w:r>
    </w:p>
    <w:bookmarkStart w:id="793" w:name="the-four-components-of-latency"/>
    <w:p>
      <w:pPr>
        <w:pStyle w:val="Heading3"/>
      </w:pPr>
      <w:r>
        <w:t xml:space="preserve">7.15.1 The four components of latency</w:t>
      </w:r>
    </w:p>
    <w:p>
      <w:pPr>
        <w:pStyle w:val="FirstParagraph"/>
      </w:pPr>
      <w:r>
        <w:t xml:space="preserve">Think of a highway.</w:t>
      </w:r>
      <w:r>
        <w:t xml:space="preserve"> </w:t>
      </w:r>
      <w:r>
        <w:rPr>
          <w:bCs/>
          <w:b/>
        </w:rPr>
        <w:t xml:space="preserve">Bandwidth</w:t>
      </w:r>
      <w:r>
        <w:t xml:space="preserve"> </w:t>
      </w:r>
      <w:r>
        <w:t xml:space="preserve">is the number of lanes: how many cars per second can pass a point.</w:t>
      </w:r>
      <w:r>
        <w:t xml:space="preserve"> </w:t>
      </w:r>
      <w:r>
        <w:rPr>
          <w:bCs/>
          <w:b/>
        </w:rPr>
        <w:t xml:space="preserve">Latency</w:t>
      </w:r>
      <w:r>
        <w:t xml:space="preserve"> </w:t>
      </w:r>
      <w:r>
        <w:t xml:space="preserve">is how long one car takes to travel from entrance to exit. Adding lanes does not make the drive shorter. A packet’s one-way delay through each hop is the sum of four parts.</w:t>
      </w:r>
    </w:p>
    <w:p>
      <w:pPr>
        <w:pStyle w:val="CalloutDefinition"/>
      </w:pPr>
      <w:r>
        <w:rPr>
          <w:bCs/>
          <w:b/>
        </w:rPr>
        <w:t xml:space="preserve">DEFINITION</w:t>
      </w:r>
    </w:p>
    <w:p>
      <w:pPr>
        <w:pStyle w:val="CalloutDefinition"/>
      </w:pPr>
      <w:r>
        <w:rPr>
          <w:bCs/>
          <w:b/>
        </w:rPr>
        <w:t xml:space="preserve">Definition — Components of network delay.</w:t>
      </w:r>
      <w:r>
        <w:t xml:space="preserve"> </w:t>
      </w:r>
      <w:r>
        <w:rPr>
          <w:bCs/>
          <w:b/>
        </w:rPr>
        <w:t xml:space="preserve">Propagation delay</w:t>
      </w:r>
      <w:r>
        <w:t xml:space="preserve">: time for a signal to travel the physical distance.</w:t>
      </w:r>
      <w:r>
        <w:t xml:space="preserve"> </w:t>
      </w:r>
      <w:r>
        <w:rPr>
          <w:bCs/>
          <w:b/>
        </w:rPr>
        <w:t xml:space="preserve">Transmission (serialization) delay</w:t>
      </w:r>
      <w:r>
        <w:t xml:space="preserve">: time to push all of a packet’s bits onto the link.</w:t>
      </w:r>
      <w:r>
        <w:t xml:space="preserve"> </w:t>
      </w:r>
      <w:r>
        <w:rPr>
          <w:bCs/>
          <w:b/>
        </w:rPr>
        <w:t xml:space="preserve">Queuing delay</w:t>
      </w:r>
      <w:r>
        <w:t xml:space="preserve">: time spent waiting in buffers behind other packets.</w:t>
      </w:r>
      <w:r>
        <w:t xml:space="preserve"> </w:t>
      </w:r>
      <w:r>
        <w:rPr>
          <w:bCs/>
          <w:b/>
        </w:rPr>
        <w:t xml:space="preserve">Processing delay</w:t>
      </w:r>
      <w:r>
        <w:t xml:space="preserve">: time for a device to examine headers, look up routes and copy the packet.</w:t>
      </w:r>
    </w:p>
    <w:p>
      <w:pPr>
        <w:pStyle w:val="CalloutFormula"/>
      </w:pPr>
      <w:r>
        <w:rPr>
          <w:bCs/>
          <w:b/>
        </w:rPr>
        <w:t xml:space="preserve">FORMULA</w:t>
      </w:r>
    </w:p>
    <w:p>
      <w:pPr>
        <w:pStyle w:val="CalloutFormula"/>
      </w:pPr>
      <w:r>
        <w:rPr>
          <w:bCs/>
          <w:b/>
        </w:rPr>
        <w:t xml:space="preserve">One-hop delay</w:t>
      </w:r>
    </w:p>
    <w:p>
      <w:pPr>
        <w:pStyle w:val="CalloutFormula"/>
      </w:pPr>
      <m:oMathPara>
        <m:oMathParaPr>
          <m:jc m:val="center"/>
        </m:oMathParaPr>
        <m:oMath>
          <m:sSub>
            <m:e>
              <m:r>
                <m:t>d</m:t>
              </m:r>
            </m:e>
            <m:sub>
              <m:r>
                <m:rPr>
                  <m:nor/>
                  <m:sty m:val="p"/>
                </m:rPr>
                <m:t>hop</m:t>
              </m:r>
            </m:sub>
          </m:sSub>
          <m:r>
            <m:rPr>
              <m:sty m:val="p"/>
            </m:rPr>
            <m:t>=</m:t>
          </m:r>
          <m:limLow>
            <m:e>
              <m:limLow>
                <m:e>
                  <m:f>
                    <m:fPr>
                      <m:type m:val="bar"/>
                    </m:fPr>
                    <m:num>
                      <m:r>
                        <m:t>D</m:t>
                      </m:r>
                    </m:num>
                    <m:den>
                      <m:r>
                        <m:t>v</m:t>
                      </m:r>
                    </m:den>
                  </m:f>
                </m:e>
                <m:lim>
                  <m:r>
                    <m:rPr>
                      <m:sty m:val="p"/>
                    </m:rPr>
                    <m:t>⏟</m:t>
                  </m:r>
                </m:lim>
              </m:limLow>
            </m:e>
            <m:lim>
              <m:r>
                <m:rPr>
                  <m:nor/>
                  <m:sty m:val="p"/>
                </m:rPr>
                <m:t>propagation</m:t>
              </m:r>
            </m:lim>
          </m:limLow>
          <m:r>
            <m:rPr>
              <m:sty m:val="p"/>
            </m:rPr>
            <m:t>+</m:t>
          </m:r>
          <m:limLow>
            <m:e>
              <m:limLow>
                <m:e>
                  <m:f>
                    <m:fPr>
                      <m:type m:val="bar"/>
                    </m:fPr>
                    <m:num>
                      <m:r>
                        <m:t>L</m:t>
                      </m:r>
                    </m:num>
                    <m:den>
                      <m:r>
                        <m:t>R</m:t>
                      </m:r>
                    </m:den>
                  </m:f>
                </m:e>
                <m:lim>
                  <m:r>
                    <m:rPr>
                      <m:sty m:val="p"/>
                    </m:rPr>
                    <m:t>⏟</m:t>
                  </m:r>
                </m:lim>
              </m:limLow>
            </m:e>
            <m:lim>
              <m:r>
                <m:rPr>
                  <m:nor/>
                  <m:sty m:val="p"/>
                </m:rPr>
                <m:t>transmission</m:t>
              </m:r>
            </m:lim>
          </m:limLow>
          <m:r>
            <m:rPr>
              <m:sty m:val="p"/>
            </m:rPr>
            <m:t>+</m:t>
          </m:r>
          <m:sSub>
            <m:e>
              <m:r>
                <m:t>d</m:t>
              </m:r>
            </m:e>
            <m:sub>
              <m:r>
                <m:rPr>
                  <m:nor/>
                  <m:sty m:val="p"/>
                </m:rPr>
                <m:t>queue</m:t>
              </m:r>
            </m:sub>
          </m:sSub>
          <m:r>
            <m:rPr>
              <m:sty m:val="p"/>
            </m:rPr>
            <m:t>+</m:t>
          </m:r>
          <m:sSub>
            <m:e>
              <m:r>
                <m:t>d</m:t>
              </m:r>
            </m:e>
            <m:sub>
              <m:r>
                <m:rPr>
                  <m:nor/>
                  <m:sty m:val="p"/>
                </m:rPr>
                <m:t>proc</m:t>
              </m:r>
            </m:sub>
          </m:sSub>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D</m:t>
              </m:r>
            </m:oMath>
          </w:p>
        </w:tc>
        <w:tc>
          <w:tcPr/>
          <w:p>
            <w:pPr>
              <w:pStyle w:val="Compact"/>
              <w:jc w:val="left"/>
            </w:pPr>
            <w:r>
              <w:t xml:space="preserve">Physical length of the link</w:t>
            </w:r>
          </w:p>
        </w:tc>
        <w:tc>
          <w:tcPr/>
          <w:p>
            <w:pPr>
              <w:pStyle w:val="Compact"/>
              <w:jc w:val="left"/>
            </w:pPr>
            <w:r>
              <w:t xml:space="preserve">m (or km)</w:t>
            </w:r>
          </w:p>
        </w:tc>
      </w:tr>
      <w:tr>
        <w:tc>
          <w:tcPr/>
          <w:p>
            <w:pPr>
              <w:pStyle w:val="Compact"/>
              <w:jc w:val="left"/>
            </w:pPr>
            <m:oMath>
              <m:r>
                <m:t>v</m:t>
              </m:r>
            </m:oMath>
          </w:p>
        </w:tc>
        <w:tc>
          <w:tcPr/>
          <w:p>
            <w:pPr>
              <w:pStyle w:val="Compact"/>
              <w:jc w:val="left"/>
            </w:pPr>
            <w:r>
              <w:t xml:space="preserve">Signal speed in the medium: about</w:t>
            </w:r>
            <w:r>
              <w:t xml:space="preserve"> </w:t>
            </w:r>
            <m:oMath>
              <m:r>
                <m:t>2</m:t>
              </m:r>
              <m:r>
                <m:rPr>
                  <m:sty m:val="p"/>
                </m:rPr>
                <m:t>×</m:t>
              </m:r>
              <m:sSup>
                <m:e>
                  <m:r>
                    <m:t>10</m:t>
                  </m:r>
                </m:e>
                <m:sup>
                  <m:r>
                    <m:t>8</m:t>
                  </m:r>
                </m:sup>
              </m:sSup>
            </m:oMath>
            <w:r>
              <w:t xml:space="preserve"> </w:t>
            </w:r>
            <w:r>
              <w:t xml:space="preserve">m/s in optical fiber (roughly two-thirds of</w:t>
            </w:r>
            <w:r>
              <w:t xml:space="preserve"> </w:t>
            </w:r>
            <m:oMath>
              <m:r>
                <m:t>c</m:t>
              </m:r>
            </m:oMath>
            <w:r>
              <w:t xml:space="preserve">)</w:t>
            </w:r>
          </w:p>
        </w:tc>
        <w:tc>
          <w:tcPr/>
          <w:p>
            <w:pPr>
              <w:pStyle w:val="Compact"/>
              <w:jc w:val="left"/>
            </w:pPr>
            <w:r>
              <w:t xml:space="preserve">m/s</w:t>
            </w:r>
          </w:p>
        </w:tc>
      </w:tr>
      <w:tr>
        <w:tc>
          <w:tcPr/>
          <w:p>
            <w:pPr>
              <w:pStyle w:val="Compact"/>
              <w:jc w:val="left"/>
            </w:pPr>
            <m:oMath>
              <m:r>
                <m:t>L</m:t>
              </m:r>
            </m:oMath>
          </w:p>
        </w:tc>
        <w:tc>
          <w:tcPr/>
          <w:p>
            <w:pPr>
              <w:pStyle w:val="Compact"/>
              <w:jc w:val="left"/>
            </w:pPr>
            <w:r>
              <w:t xml:space="preserve">Packet size</w:t>
            </w:r>
          </w:p>
        </w:tc>
        <w:tc>
          <w:tcPr/>
          <w:p>
            <w:pPr>
              <w:pStyle w:val="Compact"/>
              <w:jc w:val="left"/>
            </w:pPr>
            <w:r>
              <w:t xml:space="preserve">bits</w:t>
            </w:r>
          </w:p>
        </w:tc>
      </w:tr>
      <w:tr>
        <w:tc>
          <w:tcPr/>
          <w:p>
            <w:pPr>
              <w:pStyle w:val="Compact"/>
              <w:jc w:val="left"/>
            </w:pPr>
            <m:oMath>
              <m:r>
                <m:t>R</m:t>
              </m:r>
            </m:oMath>
          </w:p>
        </w:tc>
        <w:tc>
          <w:tcPr/>
          <w:p>
            <w:pPr>
              <w:pStyle w:val="Compact"/>
              <w:jc w:val="left"/>
            </w:pPr>
            <w:r>
              <w:t xml:space="preserve">Link rate (bandwidth)</w:t>
            </w:r>
          </w:p>
        </w:tc>
        <w:tc>
          <w:tcPr/>
          <w:p>
            <w:pPr>
              <w:pStyle w:val="Compact"/>
              <w:jc w:val="left"/>
            </w:pPr>
            <w:r>
              <w:t xml:space="preserve">bits/s</w:t>
            </w:r>
          </w:p>
        </w:tc>
      </w:tr>
      <w:tr>
        <w:tc>
          <w:tcPr/>
          <w:p>
            <w:pPr>
              <w:pStyle w:val="Compact"/>
              <w:jc w:val="left"/>
            </w:pPr>
            <m:oMath>
              <m:sSub>
                <m:e>
                  <m:r>
                    <m:t>d</m:t>
                  </m:r>
                </m:e>
                <m:sub>
                  <m:r>
                    <m:rPr>
                      <m:nor/>
                      <m:sty m:val="p"/>
                    </m:rPr>
                    <m:t>queue</m:t>
                  </m:r>
                </m:sub>
              </m:sSub>
            </m:oMath>
          </w:p>
        </w:tc>
        <w:tc>
          <w:tcPr/>
          <w:p>
            <w:pPr>
              <w:pStyle w:val="Compact"/>
              <w:jc w:val="left"/>
            </w:pPr>
            <w:r>
              <w:t xml:space="preserve">Queuing delay: bytes waiting ahead ÷ link rate</w:t>
            </w:r>
          </w:p>
        </w:tc>
        <w:tc>
          <w:tcPr/>
          <w:p>
            <w:pPr>
              <w:pStyle w:val="Compact"/>
              <w:jc w:val="left"/>
            </w:pPr>
            <w:r>
              <w:t xml:space="preserve">s</w:t>
            </w:r>
          </w:p>
        </w:tc>
      </w:tr>
      <w:tr>
        <w:tc>
          <w:tcPr/>
          <w:p>
            <w:pPr>
              <w:pStyle w:val="Compact"/>
              <w:jc w:val="left"/>
            </w:pPr>
            <m:oMath>
              <m:sSub>
                <m:e>
                  <m:r>
                    <m:t>d</m:t>
                  </m:r>
                </m:e>
                <m:sub>
                  <m:r>
                    <m:rPr>
                      <m:nor/>
                      <m:sty m:val="p"/>
                    </m:rPr>
                    <m:t>proc</m:t>
                  </m:r>
                </m:sub>
              </m:sSub>
            </m:oMath>
          </w:p>
        </w:tc>
        <w:tc>
          <w:tcPr/>
          <w:p>
            <w:pPr>
              <w:pStyle w:val="Compact"/>
              <w:jc w:val="left"/>
            </w:pPr>
            <w:r>
              <w:t xml:space="preserve">Processing delay: microseconds in software, sub-microsecond in switch hardware</w:t>
            </w:r>
          </w:p>
        </w:tc>
        <w:tc>
          <w:tcPr/>
          <w:p>
            <w:pPr>
              <w:pStyle w:val="Compact"/>
              <w:jc w:val="left"/>
            </w:pPr>
            <w:r>
              <w:t xml:space="preserve">s</w:t>
            </w:r>
          </w:p>
        </w:tc>
      </w:tr>
    </w:tbl>
    <w:p>
      <w:pPr>
        <w:pStyle w:val="BodyText"/>
      </w:pPr>
      <w:r>
        <w:rPr>
          <w:bCs/>
          <w:b/>
        </w:rPr>
        <w:t xml:space="preserve">Table 7.14 — Delay components at a glance.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Component</w:t>
            </w:r>
          </w:p>
        </w:tc>
        <w:tc>
          <w:tcPr/>
          <w:p>
            <w:pPr>
              <w:pStyle w:val="Compact"/>
              <w:jc w:val="left"/>
            </w:pPr>
            <w:r>
              <w:t xml:space="preserve">Depends on</w:t>
            </w:r>
          </w:p>
        </w:tc>
        <w:tc>
          <w:tcPr/>
          <w:p>
            <w:pPr>
              <w:pStyle w:val="Compact"/>
              <w:jc w:val="left"/>
            </w:pPr>
            <w:r>
              <w:t xml:space="preserve">Typical magnitude</w:t>
            </w:r>
          </w:p>
        </w:tc>
        <w:tc>
          <w:tcPr/>
          <w:p>
            <w:pPr>
              <w:pStyle w:val="Compact"/>
              <w:jc w:val="left"/>
            </w:pPr>
            <w:r>
              <w:t xml:space="preserve">How to reduce it</w:t>
            </w:r>
          </w:p>
        </w:tc>
      </w:tr>
      <w:tr>
        <w:tc>
          <w:tcPr/>
          <w:p>
            <w:pPr>
              <w:pStyle w:val="Compact"/>
              <w:jc w:val="left"/>
            </w:pPr>
            <w:r>
              <w:t xml:space="preserve">Propagation</w:t>
            </w:r>
          </w:p>
        </w:tc>
        <w:tc>
          <w:tcPr/>
          <w:p>
            <w:pPr>
              <w:pStyle w:val="Compact"/>
              <w:jc w:val="left"/>
            </w:pPr>
            <w:r>
              <w:t xml:space="preserve">Distance, medium</w:t>
            </w:r>
          </w:p>
        </w:tc>
        <w:tc>
          <w:tcPr/>
          <w:p>
            <w:pPr>
              <w:pStyle w:val="Compact"/>
              <w:jc w:val="left"/>
            </w:pPr>
            <w:r>
              <w:t xml:space="preserve">~5 µs per km of fiber; tens of ms across oceans</w:t>
            </w:r>
          </w:p>
        </w:tc>
        <w:tc>
          <w:tcPr/>
          <w:p>
            <w:pPr>
              <w:pStyle w:val="Compact"/>
              <w:jc w:val="left"/>
            </w:pPr>
            <w:r>
              <w:t xml:space="preserve">Move closer: CDNs, edge, regional replicas</w:t>
            </w:r>
          </w:p>
        </w:tc>
      </w:tr>
      <w:tr>
        <w:tc>
          <w:tcPr/>
          <w:p>
            <w:pPr>
              <w:pStyle w:val="Compact"/>
              <w:jc w:val="left"/>
            </w:pPr>
            <w:r>
              <w:t xml:space="preserve">Transmission</w:t>
            </w:r>
          </w:p>
        </w:tc>
        <w:tc>
          <w:tcPr/>
          <w:p>
            <w:pPr>
              <w:pStyle w:val="Compact"/>
              <w:jc w:val="left"/>
            </w:pPr>
            <w:r>
              <w:t xml:space="preserve">Packet size, link rate</w:t>
            </w:r>
          </w:p>
        </w:tc>
        <w:tc>
          <w:tcPr/>
          <w:p>
            <w:pPr>
              <w:pStyle w:val="Compact"/>
              <w:jc w:val="left"/>
            </w:pPr>
            <w:r>
              <w:t xml:space="preserve">12 µs for 1,500 B at 1 Gbps; 1.2 µs at 10 Gbps</w:t>
            </w:r>
          </w:p>
        </w:tc>
        <w:tc>
          <w:tcPr/>
          <w:p>
            <w:pPr>
              <w:pStyle w:val="Compact"/>
              <w:jc w:val="left"/>
            </w:pPr>
            <w:r>
              <w:t xml:space="preserve">Faster links, smaller packets</w:t>
            </w:r>
          </w:p>
        </w:tc>
      </w:tr>
      <w:tr>
        <w:tc>
          <w:tcPr/>
          <w:p>
            <w:pPr>
              <w:pStyle w:val="Compact"/>
              <w:jc w:val="left"/>
            </w:pPr>
            <w:r>
              <w:t xml:space="preserve">Queuing</w:t>
            </w:r>
          </w:p>
        </w:tc>
        <w:tc>
          <w:tcPr/>
          <w:p>
            <w:pPr>
              <w:pStyle w:val="Compact"/>
              <w:jc w:val="left"/>
            </w:pPr>
            <w:r>
              <w:t xml:space="preserve">Load, buffer size</w:t>
            </w:r>
          </w:p>
        </w:tc>
        <w:tc>
          <w:tcPr/>
          <w:p>
            <w:pPr>
              <w:pStyle w:val="Compact"/>
              <w:jc w:val="left"/>
            </w:pPr>
            <w:r>
              <w:t xml:space="preserve">0 to hundreds of ms</w:t>
            </w:r>
          </w:p>
        </w:tc>
        <w:tc>
          <w:tcPr/>
          <w:p>
            <w:pPr>
              <w:pStyle w:val="Compact"/>
              <w:jc w:val="left"/>
            </w:pPr>
            <w:r>
              <w:t xml:space="preserve">Lower utilization, AQM, BBR</w:t>
            </w:r>
          </w:p>
        </w:tc>
      </w:tr>
      <w:tr>
        <w:tc>
          <w:tcPr/>
          <w:p>
            <w:pPr>
              <w:pStyle w:val="Compact"/>
              <w:jc w:val="left"/>
            </w:pPr>
            <w:r>
              <w:t xml:space="preserve">Processing</w:t>
            </w:r>
          </w:p>
        </w:tc>
        <w:tc>
          <w:tcPr/>
          <w:p>
            <w:pPr>
              <w:pStyle w:val="Compact"/>
              <w:jc w:val="left"/>
            </w:pPr>
            <w:r>
              <w:t xml:space="preserve">Device and software path</w:t>
            </w:r>
          </w:p>
        </w:tc>
        <w:tc>
          <w:tcPr/>
          <w:p>
            <w:pPr>
              <w:pStyle w:val="Compact"/>
              <w:jc w:val="left"/>
            </w:pPr>
            <w:r>
              <w:t xml:space="preserve">~µs (hardware) to tens of µs (software)</w:t>
            </w:r>
          </w:p>
        </w:tc>
        <w:tc>
          <w:tcPr/>
          <w:p>
            <w:pPr>
              <w:pStyle w:val="Compact"/>
              <w:jc w:val="left"/>
            </w:pPr>
            <w:r>
              <w:t xml:space="preserve">Kernel bypass, offloads, fewer hops</w:t>
            </w:r>
          </w:p>
        </w:tc>
      </w:tr>
    </w:tbl>
    <w:p>
      <w:pPr>
        <w:pStyle w:val="CalloutExample"/>
      </w:pPr>
      <w:r>
        <w:rPr>
          <w:bCs/>
          <w:b/>
        </w:rPr>
        <w:t xml:space="preserve">WORKED EXAMPLE</w:t>
      </w:r>
    </w:p>
    <w:p>
      <w:pPr>
        <w:pStyle w:val="CalloutExample"/>
      </w:pPr>
      <w:r>
        <w:rPr>
          <w:bCs/>
          <w:b/>
        </w:rPr>
        <w:t xml:space="preserve">Worked example 1 — The speed-of-light floor from New York to London.</w:t>
      </w:r>
    </w:p>
    <w:p>
      <w:pPr>
        <w:pStyle w:val="CalloutExample"/>
      </w:pPr>
      <w:r>
        <w:t xml:space="preserve">The great-circle distance between New York and London is about 5,570 km.</w:t>
      </w:r>
    </w:p>
    <w:p>
      <w:pPr>
        <w:numPr>
          <w:ilvl w:val="0"/>
          <w:numId w:val="1235"/>
        </w:numPr>
        <w:pStyle w:val="Compact"/>
      </w:pPr>
      <w:r>
        <w:t xml:space="preserve">One-way propagation in fiber:</w:t>
      </w:r>
      <w:r>
        <w:t xml:space="preserve"> </w:t>
      </w:r>
      <m:oMath>
        <m:r>
          <m:t>5</m:t>
        </m:r>
        <m:r>
          <m:rPr>
            <m:sty m:val="p"/>
          </m:rPr>
          <m:t>,</m:t>
        </m:r>
        <m:r>
          <m:t>570</m:t>
        </m:r>
        <m:r>
          <m:rPr>
            <m:nor/>
            <m:sty m:val="p"/>
          </m:rPr>
          <m:t> km</m:t>
        </m:r>
        <m:r>
          <m:rPr>
            <m:sty m:val="p"/>
          </m:rPr>
          <m:t>/</m:t>
        </m:r>
        <m:r>
          <m:t>200</m:t>
        </m:r>
        <m:r>
          <m:rPr>
            <m:sty m:val="p"/>
          </m:rPr>
          <m:t>,</m:t>
        </m:r>
        <m:r>
          <m:t>000</m:t>
        </m:r>
        <m:r>
          <m:rPr>
            <m:nor/>
            <m:sty m:val="p"/>
          </m:rPr>
          <m:t> km/s</m:t>
        </m:r>
        <m:r>
          <m:rPr>
            <m:sty m:val="p"/>
          </m:rPr>
          <m:t>=</m:t>
        </m:r>
        <m:r>
          <m:t>0.02785</m:t>
        </m:r>
      </m:oMath>
      <w:r>
        <w:t xml:space="preserve"> </w:t>
      </w:r>
      <w:r>
        <w:t xml:space="preserve">s = 27.85 ms.</w:t>
      </w:r>
    </w:p>
    <w:p>
      <w:pPr>
        <w:numPr>
          <w:ilvl w:val="0"/>
          <w:numId w:val="1235"/>
        </w:numPr>
        <w:pStyle w:val="Compact"/>
      </w:pPr>
      <w:r>
        <w:t xml:space="preserve">Round-trip time:</w:t>
      </w:r>
      <w:r>
        <w:t xml:space="preserve"> </w:t>
      </w:r>
      <m:oMath>
        <m:r>
          <m:t>2</m:t>
        </m:r>
        <m:r>
          <m:rPr>
            <m:sty m:val="p"/>
          </m:rPr>
          <m:t>×</m:t>
        </m:r>
        <m:r>
          <m:t>27.85</m:t>
        </m:r>
        <m:r>
          <m:rPr>
            <m:sty m:val="p"/>
          </m:rPr>
          <m:t>=</m:t>
        </m:r>
        <m:r>
          <m:t>55.7</m:t>
        </m:r>
      </m:oMath>
      <w:r>
        <w:t xml:space="preserve"> </w:t>
      </w:r>
      <w:r>
        <w:t xml:space="preserve">ms.</w:t>
      </w:r>
    </w:p>
    <w:p>
      <w:pPr>
        <w:numPr>
          <w:ilvl w:val="0"/>
          <w:numId w:val="1235"/>
        </w:numPr>
        <w:pStyle w:val="Compact"/>
      </w:pPr>
      <w:r>
        <w:t xml:space="preserve">Even in a vacuum at</w:t>
      </w:r>
      <w:r>
        <w:t xml:space="preserve"> </w:t>
      </w:r>
      <m:oMath>
        <m:r>
          <m:t>c</m:t>
        </m:r>
        <m:r>
          <m:rPr>
            <m:sty m:val="p"/>
          </m:rPr>
          <m:t>≈</m:t>
        </m:r>
        <m:r>
          <m:t>299</m:t>
        </m:r>
        <m:r>
          <m:rPr>
            <m:sty m:val="p"/>
          </m:rPr>
          <m:t>,</m:t>
        </m:r>
        <m:r>
          <m:t>792</m:t>
        </m:r>
      </m:oMath>
      <w:r>
        <w:t xml:space="preserve"> </w:t>
      </w:r>
      <w:r>
        <w:t xml:space="preserve">km/s, the RTT would be</w:t>
      </w:r>
      <w:r>
        <w:t xml:space="preserve"> </w:t>
      </w:r>
      <m:oMath>
        <m:r>
          <m:t>2</m:t>
        </m:r>
        <m:r>
          <m:rPr>
            <m:sty m:val="p"/>
          </m:rPr>
          <m:t>×</m:t>
        </m:r>
        <m:r>
          <m:t>5</m:t>
        </m:r>
        <m:r>
          <m:rPr>
            <m:sty m:val="p"/>
          </m:rPr>
          <m:t>,</m:t>
        </m:r>
        <m:r>
          <m:t>570</m:t>
        </m:r>
        <m:r>
          <m:rPr>
            <m:sty m:val="p"/>
          </m:rPr>
          <m:t>/</m:t>
        </m:r>
        <m:r>
          <m:t>299</m:t>
        </m:r>
        <m:r>
          <m:rPr>
            <m:sty m:val="p"/>
          </m:rPr>
          <m:t>,</m:t>
        </m:r>
        <m:r>
          <m:t>792</m:t>
        </m:r>
        <m:r>
          <m:rPr>
            <m:sty m:val="p"/>
          </m:rPr>
          <m:t>≈</m:t>
        </m:r>
        <m:r>
          <m:t>37.2</m:t>
        </m:r>
      </m:oMath>
      <w:r>
        <w:t xml:space="preserve"> </w:t>
      </w:r>
      <w:r>
        <w:t xml:space="preserve">ms.</w:t>
      </w:r>
    </w:p>
    <w:p>
      <w:pPr>
        <w:numPr>
          <w:ilvl w:val="0"/>
          <w:numId w:val="1235"/>
        </w:numPr>
        <w:pStyle w:val="Compact"/>
      </w:pPr>
      <w:r>
        <w:t xml:space="preserve">Real cables do not follow the great circle, and routers, transmission and queuing add more, so measured RTTs are noticeably higher than 55.7 ms (often in the 70 ms range).</w:t>
      </w:r>
    </w:p>
    <w:p>
      <w:pPr>
        <w:pStyle w:val="CalloutExample"/>
      </w:pPr>
      <w:r>
        <w:t xml:space="preserve">Interpretation: no engineering can make a New York–London round trip faster than about 56 ms over fiber. A user in London calling a single-region service in New York pays at least that on every round trip, and a page needing five sequential round trips pays at least 280 ms. Engineering implication: for global users, reduce round trips (connection reuse, TLS 1.3, QUIC) and move content and computation closer (CDNs, Ch 21; multi-region, Ch 44).</w:t>
      </w:r>
    </w:p>
    <w:p>
      <w:pPr>
        <w:pStyle w:val="CalloutExample"/>
      </w:pPr>
      <w:r>
        <w:rPr>
          <w:bCs/>
          <w:b/>
        </w:rPr>
        <w:t xml:space="preserve">WORKED EXAMPLE</w:t>
      </w:r>
    </w:p>
    <w:p>
      <w:pPr>
        <w:pStyle w:val="CalloutExample"/>
      </w:pPr>
      <w:r>
        <w:rPr>
          <w:bCs/>
          <w:b/>
        </w:rPr>
        <w:t xml:space="preserve">Worked example 2 — Transmission versus propagation.</w:t>
      </w:r>
    </w:p>
    <w:p>
      <w:pPr>
        <w:pStyle w:val="CalloutExample"/>
      </w:pPr>
      <w:r>
        <w:t xml:space="preserve">Send one 1,500-byte packet (</w:t>
      </w:r>
      <m:oMath>
        <m:r>
          <m:t>L</m:t>
        </m:r>
        <m:r>
          <m:rPr>
            <m:sty m:val="p"/>
          </m:rPr>
          <m:t>=</m:t>
        </m:r>
        <m:r>
          <m:t>12</m:t>
        </m:r>
        <m:r>
          <m:rPr>
            <m:sty m:val="p"/>
          </m:rPr>
          <m:t>,</m:t>
        </m:r>
        <m:r>
          <m:t>000</m:t>
        </m:r>
      </m:oMath>
      <w:r>
        <w:t xml:space="preserve"> </w:t>
      </w:r>
      <w:r>
        <w:t xml:space="preserve">bits).</w:t>
      </w:r>
    </w:p>
    <w:p>
      <w:pPr>
        <w:numPr>
          <w:ilvl w:val="0"/>
          <w:numId w:val="1236"/>
        </w:numPr>
        <w:pStyle w:val="Compact"/>
      </w:pPr>
      <w:r>
        <w:t xml:space="preserve">On a 10 Mbps link:</w:t>
      </w:r>
      <w:r>
        <w:t xml:space="preserve"> </w:t>
      </w:r>
      <m:oMath>
        <m:r>
          <m:t>12</m:t>
        </m:r>
        <m:r>
          <m:rPr>
            <m:sty m:val="p"/>
          </m:rPr>
          <m:t>,</m:t>
        </m:r>
        <m:r>
          <m:t>000</m:t>
        </m:r>
        <m:r>
          <m:rPr>
            <m:sty m:val="p"/>
          </m:rPr>
          <m:t>/</m:t>
        </m:r>
        <m:sSup>
          <m:e>
            <m:r>
              <m:t>10</m:t>
            </m:r>
          </m:e>
          <m:sup>
            <m:r>
              <m:t>7</m:t>
            </m:r>
          </m:sup>
        </m:sSup>
        <m:r>
          <m:rPr>
            <m:sty m:val="p"/>
          </m:rPr>
          <m:t>=</m:t>
        </m:r>
        <m:r>
          <m:t>1.2</m:t>
        </m:r>
      </m:oMath>
      <w:r>
        <w:t xml:space="preserve"> </w:t>
      </w:r>
      <w:r>
        <w:t xml:space="preserve">ms.</w:t>
      </w:r>
    </w:p>
    <w:p>
      <w:pPr>
        <w:numPr>
          <w:ilvl w:val="0"/>
          <w:numId w:val="1236"/>
        </w:numPr>
        <w:pStyle w:val="Compact"/>
      </w:pPr>
      <w:r>
        <w:t xml:space="preserve">On a 1 Gbps link:</w:t>
      </w:r>
      <w:r>
        <w:t xml:space="preserve"> </w:t>
      </w:r>
      <m:oMath>
        <m:r>
          <m:t>12</m:t>
        </m:r>
        <m:r>
          <m:rPr>
            <m:sty m:val="p"/>
          </m:rPr>
          <m:t>,</m:t>
        </m:r>
        <m:r>
          <m:t>000</m:t>
        </m:r>
        <m:r>
          <m:rPr>
            <m:sty m:val="p"/>
          </m:rPr>
          <m:t>/</m:t>
        </m:r>
        <m:sSup>
          <m:e>
            <m:r>
              <m:t>10</m:t>
            </m:r>
          </m:e>
          <m:sup>
            <m:r>
              <m:t>9</m:t>
            </m:r>
          </m:sup>
        </m:sSup>
        <m:r>
          <m:rPr>
            <m:sty m:val="p"/>
          </m:rPr>
          <m:t>=</m:t>
        </m:r>
        <m:r>
          <m:t>12</m:t>
        </m:r>
      </m:oMath>
      <w:r>
        <w:t xml:space="preserve"> </w:t>
      </w:r>
      <w:r>
        <w:t xml:space="preserve">µs.</w:t>
      </w:r>
    </w:p>
    <w:p>
      <w:pPr>
        <w:numPr>
          <w:ilvl w:val="0"/>
          <w:numId w:val="1236"/>
        </w:numPr>
        <w:pStyle w:val="Compact"/>
      </w:pPr>
      <w:r>
        <w:t xml:space="preserve">On a 100 Gbps link:</w:t>
      </w:r>
      <w:r>
        <w:t xml:space="preserve"> </w:t>
      </w:r>
      <m:oMath>
        <m:r>
          <m:t>12</m:t>
        </m:r>
        <m:r>
          <m:rPr>
            <m:sty m:val="p"/>
          </m:rPr>
          <m:t>,</m:t>
        </m:r>
        <m:r>
          <m:t>000</m:t>
        </m:r>
        <m:r>
          <m:rPr>
            <m:sty m:val="p"/>
          </m:rPr>
          <m:t>/</m:t>
        </m:r>
        <m:sSup>
          <m:e>
            <m:r>
              <m:t>10</m:t>
            </m:r>
          </m:e>
          <m:sup>
            <m:r>
              <m:t>11</m:t>
            </m:r>
          </m:sup>
        </m:sSup>
        <m:r>
          <m:rPr>
            <m:sty m:val="p"/>
          </m:rPr>
          <m:t>=</m:t>
        </m:r>
        <m:r>
          <m:t>120</m:t>
        </m:r>
      </m:oMath>
      <w:r>
        <w:t xml:space="preserve"> </w:t>
      </w:r>
      <w:r>
        <w:t xml:space="preserve">ns.</w:t>
      </w:r>
    </w:p>
    <w:p>
      <w:pPr>
        <w:pStyle w:val="CalloutExample"/>
      </w:pPr>
      <w:r>
        <w:t xml:space="preserve">Compare with propagation across a 100 m datacenter cable:</w:t>
      </w:r>
      <w:r>
        <w:t xml:space="preserve"> </w:t>
      </w:r>
      <m:oMath>
        <m:r>
          <m:t>100</m:t>
        </m:r>
        <m:r>
          <m:rPr>
            <m:sty m:val="p"/>
          </m:rPr>
          <m:t>/</m:t>
        </m:r>
        <m:d>
          <m:dPr>
            <m:begChr m:val="("/>
            <m:endChr m:val=")"/>
            <m:sepChr m:val=""/>
            <m:grow/>
          </m:dPr>
          <m:e>
            <m:r>
              <m:t>2</m:t>
            </m:r>
            <m:r>
              <m:rPr>
                <m:sty m:val="p"/>
              </m:rPr>
              <m:t>×</m:t>
            </m:r>
            <m:sSup>
              <m:e>
                <m:r>
                  <m:t>10</m:t>
                </m:r>
              </m:e>
              <m:sup>
                <m:r>
                  <m:t>8</m:t>
                </m:r>
              </m:sup>
            </m:sSup>
          </m:e>
        </m:d>
        <m:r>
          <m:rPr>
            <m:sty m:val="p"/>
          </m:rPr>
          <m:t>=</m:t>
        </m:r>
        <m:r>
          <m:t>0.5</m:t>
        </m:r>
      </m:oMath>
      <w:r>
        <w:t xml:space="preserve"> </w:t>
      </w:r>
      <w:r>
        <w:t xml:space="preserve">µs. Interpretation: on slow access links, serialization dominates; on fast datacenter links, serialization becomes negligible and per-hop processing and software stacks dominate.</w:t>
      </w:r>
    </w:p>
    <w:p>
      <w:pPr>
        <w:pStyle w:val="CalloutExample"/>
      </w:pPr>
      <w:r>
        <w:rPr>
          <w:bCs/>
          <w:b/>
        </w:rPr>
        <w:t xml:space="preserve">WORKED EXAMPLE</w:t>
      </w:r>
    </w:p>
    <w:p>
      <w:pPr>
        <w:pStyle w:val="CalloutExample"/>
      </w:pPr>
      <w:r>
        <w:rPr>
          <w:bCs/>
          <w:b/>
        </w:rPr>
        <w:t xml:space="preserve">Worked example 3 — Bufferbloat.</w:t>
      </w:r>
    </w:p>
    <w:p>
      <w:pPr>
        <w:pStyle w:val="CalloutExample"/>
      </w:pPr>
      <w:r>
        <w:t xml:space="preserve">A home router has a 10 MB buffer in front of a 1 Gbps uplink. When a large upload fills that buffer, a newly arriving packet waits behind</w:t>
      </w:r>
      <w:r>
        <w:t xml:space="preserve"> </w:t>
      </w:r>
      <m:oMath>
        <m:r>
          <m:t>10</m:t>
        </m:r>
        <m:r>
          <m:rPr>
            <m:sty m:val="p"/>
          </m:rPr>
          <m:t>×</m:t>
        </m:r>
        <m:sSup>
          <m:e>
            <m:r>
              <m:t>10</m:t>
            </m:r>
          </m:e>
          <m:sup>
            <m:r>
              <m:t>6</m:t>
            </m:r>
          </m:sup>
        </m:sSup>
        <m:r>
          <m:rPr>
            <m:sty m:val="p"/>
          </m:rPr>
          <m:t>×</m:t>
        </m:r>
        <m:r>
          <m:t>8</m:t>
        </m:r>
        <m:r>
          <m:rPr>
            <m:sty m:val="p"/>
          </m:rPr>
          <m:t>=</m:t>
        </m:r>
        <m:r>
          <m:t>8</m:t>
        </m:r>
        <m:r>
          <m:rPr>
            <m:sty m:val="p"/>
          </m:rPr>
          <m:t>×</m:t>
        </m:r>
        <m:sSup>
          <m:e>
            <m:r>
              <m:t>10</m:t>
            </m:r>
          </m:e>
          <m:sup>
            <m:r>
              <m:t>7</m:t>
            </m:r>
          </m:sup>
        </m:sSup>
      </m:oMath>
      <w:r>
        <w:t xml:space="preserve"> </w:t>
      </w:r>
      <w:r>
        <w:t xml:space="preserve">bits, so its queuing delay is</w:t>
      </w:r>
      <w:r>
        <w:t xml:space="preserve"> </w:t>
      </w:r>
      <m:oMath>
        <m:r>
          <m:t>8</m:t>
        </m:r>
        <m:r>
          <m:rPr>
            <m:sty m:val="p"/>
          </m:rPr>
          <m:t>×</m:t>
        </m:r>
        <m:sSup>
          <m:e>
            <m:r>
              <m:t>10</m:t>
            </m:r>
          </m:e>
          <m:sup>
            <m:r>
              <m:t>7</m:t>
            </m:r>
          </m:sup>
        </m:sSup>
        <m:r>
          <m:rPr>
            <m:sty m:val="p"/>
          </m:rPr>
          <m:t>/</m:t>
        </m:r>
        <m:sSup>
          <m:e>
            <m:r>
              <m:t>10</m:t>
            </m:r>
          </m:e>
          <m:sup>
            <m:r>
              <m:t>9</m:t>
            </m:r>
          </m:sup>
        </m:sSup>
        <m:r>
          <m:rPr>
            <m:sty m:val="p"/>
          </m:rPr>
          <m:t>=</m:t>
        </m:r>
        <m:r>
          <m:t>0.08</m:t>
        </m:r>
      </m:oMath>
      <w:r>
        <w:t xml:space="preserve"> </w:t>
      </w:r>
      <w:r>
        <w:t xml:space="preserve">s = 80 ms. On a 20 Mbps uplink the same buffer would add</w:t>
      </w:r>
      <w:r>
        <w:t xml:space="preserve"> </w:t>
      </w:r>
      <m:oMath>
        <m:r>
          <m:t>8</m:t>
        </m:r>
        <m:r>
          <m:rPr>
            <m:sty m:val="p"/>
          </m:rPr>
          <m:t>×</m:t>
        </m:r>
        <m:sSup>
          <m:e>
            <m:r>
              <m:t>10</m:t>
            </m:r>
          </m:e>
          <m:sup>
            <m:r>
              <m:t>7</m:t>
            </m:r>
          </m:sup>
        </m:sSup>
        <m:r>
          <m:rPr>
            <m:sty m:val="p"/>
          </m:rPr>
          <m:t>/</m:t>
        </m:r>
        <m:d>
          <m:dPr>
            <m:begChr m:val="("/>
            <m:endChr m:val=")"/>
            <m:sepChr m:val=""/>
            <m:grow/>
          </m:dPr>
          <m:e>
            <m:r>
              <m:t>2</m:t>
            </m:r>
            <m:r>
              <m:rPr>
                <m:sty m:val="p"/>
              </m:rPr>
              <m:t>×</m:t>
            </m:r>
            <m:sSup>
              <m:e>
                <m:r>
                  <m:t>10</m:t>
                </m:r>
              </m:e>
              <m:sup>
                <m:r>
                  <m:t>7</m:t>
                </m:r>
              </m:sup>
            </m:sSup>
          </m:e>
        </m:d>
        <m:r>
          <m:rPr>
            <m:sty m:val="p"/>
          </m:rPr>
          <m:t>=</m:t>
        </m:r>
        <m:r>
          <m:t>4</m:t>
        </m:r>
      </m:oMath>
      <w:r>
        <w:t xml:space="preserve"> </w:t>
      </w:r>
      <w:r>
        <w:t xml:space="preserve">s. Loss-based congestion control (CUBIC) keeps such buffers full, so a video call alongside a big upload suffers seconds of lag. Fixes: active queue management (CoDel, FQ-CoDel) on the bottleneck, and delay-aware congestion control such as BBR.</w:t>
      </w:r>
    </w:p>
    <w:bookmarkEnd w:id="793"/>
    <w:bookmarkStart w:id="794" w:name="X6946a9443dceafbb0b7b048a3aa9cf4048fe4d7"/>
    <w:p>
      <w:pPr>
        <w:pStyle w:val="Heading3"/>
      </w:pPr>
      <w:r>
        <w:t xml:space="preserve">7.15.2 Throughput and the bandwidth-delay product</w:t>
      </w:r>
    </w:p>
    <w:p>
      <w:pPr>
        <w:pStyle w:val="FirstParagraph"/>
      </w:pPr>
      <w:r>
        <w:t xml:space="preserve">A reliable sender can only have a window’s worth of unacknowledged data in flight; it then waits for ACKs, which take one RTT. So:</w:t>
      </w:r>
    </w:p>
    <w:p>
      <w:pPr>
        <w:pStyle w:val="CalloutFormula"/>
      </w:pPr>
      <w:r>
        <w:rPr>
          <w:bCs/>
          <w:b/>
        </w:rPr>
        <w:t xml:space="preserve">FORMULA</w:t>
      </w:r>
    </w:p>
    <w:p>
      <w:pPr>
        <w:pStyle w:val="CalloutFormula"/>
      </w:pPr>
      <w:r>
        <w:rPr>
          <w:bCs/>
          <w:b/>
        </w:rPr>
        <w:t xml:space="preserve">Window-limited throughput and the bandwidth-delay product (BDP)</w:t>
      </w:r>
    </w:p>
    <w:p>
      <w:pPr>
        <w:pStyle w:val="CalloutFormula"/>
      </w:pPr>
      <m:oMathPara>
        <m:oMathParaPr>
          <m:jc m:val="center"/>
        </m:oMathParaPr>
        <m:oMath>
          <m:r>
            <m:rPr>
              <m:nor/>
              <m:sty m:val="p"/>
            </m:rPr>
            <m:t>Throughput</m:t>
          </m:r>
          <m:r>
            <m:rPr>
              <m:sty m:val="p"/>
            </m:rPr>
            <m:t>≤</m:t>
          </m:r>
          <m:f>
            <m:fPr>
              <m:type m:val="bar"/>
            </m:fPr>
            <m:num>
              <m:r>
                <m:t>W</m:t>
              </m:r>
            </m:num>
            <m:den>
              <m:r>
                <m:rPr>
                  <m:nor/>
                  <m:sty m:val="p"/>
                </m:rPr>
                <m:t>RTT</m:t>
              </m:r>
            </m:den>
          </m:f>
          <m:r>
            <m:t>  </m:t>
          </m:r>
          <m:r>
            <m:t>  </m:t>
          </m:r>
          <m:r>
            <m:rPr>
              <m:nor/>
              <m:sty m:val="p"/>
            </m:rPr>
            <m:t>BDP</m:t>
          </m:r>
          <m:r>
            <m:rPr>
              <m:sty m:val="p"/>
            </m:rPr>
            <m:t>=</m:t>
          </m:r>
          <m:r>
            <m:t>R</m:t>
          </m:r>
          <m:r>
            <m:rPr>
              <m:sty m:val="p"/>
            </m:rPr>
            <m:t>×</m:t>
          </m:r>
          <m:r>
            <m:rPr>
              <m:nor/>
              <m:sty m:val="p"/>
            </m:rPr>
            <m:t>RTT</m:t>
          </m:r>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W</m:t>
              </m:r>
            </m:oMath>
          </w:p>
        </w:tc>
        <w:tc>
          <w:tcPr/>
          <w:p>
            <w:pPr>
              <w:pStyle w:val="Compact"/>
              <w:jc w:val="left"/>
            </w:pPr>
            <w:r>
              <w:t xml:space="preserve">Effective window,</w:t>
            </w:r>
            <w:r>
              <w:t xml:space="preserve"> </w:t>
            </w:r>
            <m:oMath>
              <m:r>
                <m:rPr>
                  <m:sty m:val="p"/>
                </m:rPr>
                <m:t>min</m:t>
              </m:r>
              <m:d>
                <m:dPr>
                  <m:begChr m:val="("/>
                  <m:endChr m:val=")"/>
                  <m:sepChr m:val=""/>
                  <m:grow/>
                </m:dPr>
                <m:e>
                  <m:r>
                    <m:rPr>
                      <m:nor/>
                      <m:sty m:val="p"/>
                    </m:rPr>
                    <m:t>cwnd</m:t>
                  </m:r>
                  <m:r>
                    <m:rPr>
                      <m:sty m:val="p"/>
                    </m:rPr>
                    <m:t>,</m:t>
                  </m:r>
                  <m:r>
                    <m:rPr>
                      <m:nor/>
                      <m:sty m:val="p"/>
                    </m:rPr>
                    <m:t>rwnd</m:t>
                  </m:r>
                </m:e>
              </m:d>
            </m:oMath>
          </w:p>
        </w:tc>
        <w:tc>
          <w:tcPr/>
          <w:p>
            <w:pPr>
              <w:pStyle w:val="Compact"/>
              <w:jc w:val="left"/>
            </w:pPr>
            <w:r>
              <w:t xml:space="preserve">bytes</w:t>
            </w:r>
          </w:p>
        </w:tc>
      </w:tr>
      <w:tr>
        <w:tc>
          <w:tcPr/>
          <w:p>
            <w:pPr>
              <w:pStyle w:val="Compact"/>
              <w:jc w:val="left"/>
            </w:pPr>
            <w:r>
              <w:t xml:space="preserve">RTT</w:t>
            </w:r>
          </w:p>
        </w:tc>
        <w:tc>
          <w:tcPr/>
          <w:p>
            <w:pPr>
              <w:pStyle w:val="Compact"/>
              <w:jc w:val="left"/>
            </w:pPr>
            <w:r>
              <w:t xml:space="preserve">Round-trip time</w:t>
            </w:r>
          </w:p>
        </w:tc>
        <w:tc>
          <w:tcPr/>
          <w:p>
            <w:pPr>
              <w:pStyle w:val="Compact"/>
              <w:jc w:val="left"/>
            </w:pPr>
            <w:r>
              <w:t xml:space="preserve">s</w:t>
            </w:r>
          </w:p>
        </w:tc>
      </w:tr>
      <w:tr>
        <w:tc>
          <w:tcPr/>
          <w:p>
            <w:pPr>
              <w:pStyle w:val="Compact"/>
              <w:jc w:val="left"/>
            </w:pPr>
            <m:oMath>
              <m:r>
                <m:t>R</m:t>
              </m:r>
            </m:oMath>
          </w:p>
        </w:tc>
        <w:tc>
          <w:tcPr/>
          <w:p>
            <w:pPr>
              <w:pStyle w:val="Compact"/>
              <w:jc w:val="left"/>
            </w:pPr>
            <w:r>
              <w:t xml:space="preserve">Bottleneck link rate</w:t>
            </w:r>
          </w:p>
        </w:tc>
        <w:tc>
          <w:tcPr/>
          <w:p>
            <w:pPr>
              <w:pStyle w:val="Compact"/>
              <w:jc w:val="left"/>
            </w:pPr>
            <w:r>
              <w:t xml:space="preserve">bits/s (divide by 8 for bytes/s)</w:t>
            </w:r>
          </w:p>
        </w:tc>
      </w:tr>
      <w:tr>
        <w:tc>
          <w:tcPr/>
          <w:p>
            <w:pPr>
              <w:pStyle w:val="Compact"/>
              <w:jc w:val="left"/>
            </w:pPr>
            <w:r>
              <w:t xml:space="preserve">BDP</w:t>
            </w:r>
          </w:p>
        </w:tc>
        <w:tc>
          <w:tcPr/>
          <w:p>
            <w:pPr>
              <w:pStyle w:val="Compact"/>
              <w:jc w:val="left"/>
            </w:pPr>
            <w:r>
              <w:t xml:space="preserve">Data that must be in flight to keep the link full</w:t>
            </w:r>
          </w:p>
        </w:tc>
        <w:tc>
          <w:tcPr/>
          <w:p>
            <w:pPr>
              <w:pStyle w:val="Compact"/>
              <w:jc w:val="left"/>
            </w:pPr>
            <w:r>
              <w:t xml:space="preserve">bits or bytes</w:t>
            </w:r>
          </w:p>
        </w:tc>
      </w:tr>
    </w:tbl>
    <w:p>
      <w:pPr>
        <w:pStyle w:val="CalloutExample"/>
      </w:pPr>
      <w:r>
        <w:rPr>
          <w:bCs/>
          <w:b/>
        </w:rPr>
        <w:t xml:space="preserve">WORKED EXAMPLE</w:t>
      </w:r>
    </w:p>
    <w:p>
      <w:pPr>
        <w:pStyle w:val="CalloutExample"/>
      </w:pPr>
      <w:r>
        <w:rPr>
          <w:bCs/>
          <w:b/>
        </w:rPr>
        <w:t xml:space="preserve">Worked example — BDP for a 10 Gbps, 80 ms path.</w:t>
      </w:r>
    </w:p>
    <w:p>
      <w:pPr>
        <w:numPr>
          <w:ilvl w:val="0"/>
          <w:numId w:val="1237"/>
        </w:numPr>
        <w:pStyle w:val="Compact"/>
      </w:pPr>
      <w:r>
        <w:t xml:space="preserve">BDP</w:t>
      </w:r>
      <w:r>
        <w:t xml:space="preserve"> </w:t>
      </w:r>
      <m:oMath>
        <m:r>
          <m:rPr>
            <m:sty m:val="p"/>
          </m:rPr>
          <m:t>=</m:t>
        </m:r>
        <m:r>
          <m:t>10</m:t>
        </m:r>
        <m:r>
          <m:rPr>
            <m:sty m:val="p"/>
          </m:rPr>
          <m:t>×</m:t>
        </m:r>
        <m:sSup>
          <m:e>
            <m:r>
              <m:t>10</m:t>
            </m:r>
          </m:e>
          <m:sup>
            <m:r>
              <m:t>9</m:t>
            </m:r>
          </m:sup>
        </m:sSup>
        <m:r>
          <m:rPr>
            <m:nor/>
            <m:sty m:val="p"/>
          </m:rPr>
          <m:t> bits/s</m:t>
        </m:r>
        <m:r>
          <m:rPr>
            <m:sty m:val="p"/>
          </m:rPr>
          <m:t>×</m:t>
        </m:r>
        <m:r>
          <m:t>0.080</m:t>
        </m:r>
        <m:r>
          <m:rPr>
            <m:nor/>
            <m:sty m:val="p"/>
          </m:rPr>
          <m:t> s</m:t>
        </m:r>
        <m:r>
          <m:rPr>
            <m:sty m:val="p"/>
          </m:rPr>
          <m:t>=</m:t>
        </m:r>
        <m:r>
          <m:t>8</m:t>
        </m:r>
        <m:r>
          <m:rPr>
            <m:sty m:val="p"/>
          </m:rPr>
          <m:t>×</m:t>
        </m:r>
        <m:sSup>
          <m:e>
            <m:r>
              <m:t>10</m:t>
            </m:r>
          </m:e>
          <m:sup>
            <m:r>
              <m:t>8</m:t>
            </m:r>
          </m:sup>
        </m:sSup>
      </m:oMath>
      <w:r>
        <w:t xml:space="preserve"> </w:t>
      </w:r>
      <w:r>
        <w:t xml:space="preserve">bits.</w:t>
      </w:r>
    </w:p>
    <w:p>
      <w:pPr>
        <w:numPr>
          <w:ilvl w:val="0"/>
          <w:numId w:val="1237"/>
        </w:numPr>
        <w:pStyle w:val="Compact"/>
      </w:pPr>
      <w:r>
        <w:t xml:space="preserve">In bytes:</w:t>
      </w:r>
      <w:r>
        <w:t xml:space="preserve"> </w:t>
      </w:r>
      <m:oMath>
        <m:r>
          <m:t>8</m:t>
        </m:r>
        <m:r>
          <m:rPr>
            <m:sty m:val="p"/>
          </m:rPr>
          <m:t>×</m:t>
        </m:r>
        <m:sSup>
          <m:e>
            <m:r>
              <m:t>10</m:t>
            </m:r>
          </m:e>
          <m:sup>
            <m:r>
              <m:t>8</m:t>
            </m:r>
          </m:sup>
        </m:sSup>
        <m:r>
          <m:rPr>
            <m:sty m:val="p"/>
          </m:rPr>
          <m:t>/</m:t>
        </m:r>
        <m:r>
          <m:t>8</m:t>
        </m:r>
        <m:r>
          <m:rPr>
            <m:sty m:val="p"/>
          </m:rPr>
          <m:t>=</m:t>
        </m:r>
        <m:sSup>
          <m:e>
            <m:r>
              <m:t>10</m:t>
            </m:r>
          </m:e>
          <m:sup>
            <m:r>
              <m:t>8</m:t>
            </m:r>
          </m:sup>
        </m:sSup>
      </m:oMath>
      <w:r>
        <w:t xml:space="preserve"> </w:t>
      </w:r>
      <w:r>
        <w:t xml:space="preserve">bytes =</w:t>
      </w:r>
      <w:r>
        <w:t xml:space="preserve"> </w:t>
      </w:r>
      <w:r>
        <w:rPr>
          <w:bCs/>
          <w:b/>
        </w:rPr>
        <w:t xml:space="preserve">100 MB</w:t>
      </w:r>
      <w:r>
        <w:t xml:space="preserve">.</w:t>
      </w:r>
    </w:p>
    <w:p>
      <w:pPr>
        <w:numPr>
          <w:ilvl w:val="0"/>
          <w:numId w:val="1237"/>
        </w:numPr>
        <w:pStyle w:val="Compact"/>
      </w:pPr>
      <w:r>
        <w:t xml:space="preserve">Without window scaling,</w:t>
      </w:r>
      <w:r>
        <w:t xml:space="preserve"> </w:t>
      </w:r>
      <m:oMath>
        <m:r>
          <m:t>W</m:t>
        </m:r>
      </m:oMath>
      <w:r>
        <w:t xml:space="preserve"> </w:t>
      </w:r>
      <w:r>
        <w:t xml:space="preserve">is at most 65,535 bytes, giving throughput</w:t>
      </w:r>
      <w:r>
        <w:t xml:space="preserve"> </w:t>
      </w:r>
      <m:oMath>
        <m:r>
          <m:rPr>
            <m:sty m:val="p"/>
          </m:rPr>
          <m:t>≤</m:t>
        </m:r>
        <m:r>
          <m:t>65</m:t>
        </m:r>
        <m:r>
          <m:rPr>
            <m:sty m:val="p"/>
          </m:rPr>
          <m:t>,</m:t>
        </m:r>
        <m:r>
          <m:t>535</m:t>
        </m:r>
        <m:r>
          <m:rPr>
            <m:sty m:val="p"/>
          </m:rPr>
          <m:t>×</m:t>
        </m:r>
        <m:r>
          <m:t>8</m:t>
        </m:r>
        <m:r>
          <m:rPr>
            <m:sty m:val="p"/>
          </m:rPr>
          <m:t>/</m:t>
        </m:r>
        <m:r>
          <m:t>0.08</m:t>
        </m:r>
        <m:r>
          <m:rPr>
            <m:sty m:val="p"/>
          </m:rPr>
          <m:t>≈</m:t>
        </m:r>
        <m:r>
          <m:t>6.55</m:t>
        </m:r>
      </m:oMath>
      <w:r>
        <w:t xml:space="preserve"> </w:t>
      </w:r>
      <w:r>
        <w:t xml:space="preserve">Mbps, about 0.07% of the link.</w:t>
      </w:r>
    </w:p>
    <w:p>
      <w:pPr>
        <w:numPr>
          <w:ilvl w:val="0"/>
          <w:numId w:val="1237"/>
        </w:numPr>
        <w:pStyle w:val="Compact"/>
      </w:pPr>
      <w:r>
        <w:t xml:space="preserve">To fill the link, the receiver must advertise (and the sender buffer) about 100 MB per connection: window scaling must be on and kernel buffer limits (</w:t>
      </w:r>
      <w:r>
        <w:rPr>
          <w:rStyle w:val="VerbatimChar"/>
        </w:rPr>
        <w:t xml:space="preserve">net.ipv4.tcp_rmem</w:t>
      </w:r>
      <w:r>
        <w:t xml:space="preserve"> </w:t>
      </w:r>
      <w:r>
        <w:t xml:space="preserve">and</w:t>
      </w:r>
      <w:r>
        <w:t xml:space="preserve"> </w:t>
      </w:r>
      <w:r>
        <w:rPr>
          <w:rStyle w:val="VerbatimChar"/>
        </w:rPr>
        <w:t xml:space="preserve">tcp_wmem</w:t>
      </w:r>
      <w:r>
        <w:t xml:space="preserve"> </w:t>
      </w:r>
      <w:r>
        <w:t xml:space="preserve">maximums on Linux) must be at least that large.</w:t>
      </w:r>
    </w:p>
    <w:p>
      <w:pPr>
        <w:pStyle w:val="CalloutExample"/>
      </w:pPr>
      <w:r>
        <w:t xml:space="preserve">Interpretation: on</w:t>
      </w:r>
      <w:r>
        <w:t xml:space="preserve"> </w:t>
      </w:r>
      <w:r>
        <w:t xml:space="preserve">“</w:t>
      </w:r>
      <w:r>
        <w:t xml:space="preserve">long fat networks</w:t>
      </w:r>
      <w:r>
        <w:t xml:space="preserve">”</w:t>
      </w:r>
      <w:r>
        <w:t xml:space="preserve">, a single TCP connection is limited by buffers and window, not by the link. Engineering implication: bulk cross-region transfers (backups, replication, dataset copies) need tuned buffers, parallel streams, or both.</w:t>
      </w:r>
    </w:p>
    <w:bookmarkEnd w:id="794"/>
    <w:bookmarkStart w:id="795" w:name="packet-loss-and-the-mathis-formula"/>
    <w:p>
      <w:pPr>
        <w:pStyle w:val="Heading3"/>
      </w:pPr>
      <w:r>
        <w:t xml:space="preserve">7.15.3 Packet loss and the Mathis formula</w:t>
      </w:r>
    </w:p>
    <w:p>
      <w:pPr>
        <w:pStyle w:val="FirstParagraph"/>
      </w:pPr>
      <w:r>
        <w:t xml:space="preserve">Loss hurts TCP twice: each lost packet must be retransmitted, and each loss signal halves (Reno) or cuts (CUBIC) the congestion window. For loss-based congestion avoidance with random loss probability</w:t>
      </w:r>
      <w:r>
        <w:t xml:space="preserve"> </w:t>
      </w:r>
      <m:oMath>
        <m:r>
          <m:t>p</m:t>
        </m:r>
      </m:oMath>
      <w:r>
        <w:t xml:space="preserve">, Mathis, Semke, Mahdavi and Ott derived a simple upper bound on steady-state throughput [Mathis et al. 1997].</w:t>
      </w:r>
    </w:p>
    <w:p>
      <w:pPr>
        <w:pStyle w:val="CalloutFormula"/>
      </w:pPr>
      <w:r>
        <w:rPr>
          <w:bCs/>
          <w:b/>
        </w:rPr>
        <w:t xml:space="preserve">FORMULA</w:t>
      </w:r>
    </w:p>
    <w:p>
      <w:pPr>
        <w:pStyle w:val="CalloutFormula"/>
      </w:pPr>
      <w:r>
        <w:rPr>
          <w:bCs/>
          <w:b/>
        </w:rPr>
        <w:t xml:space="preserve">Mathis throughput formula</w:t>
      </w:r>
    </w:p>
    <w:p>
      <w:pPr>
        <w:pStyle w:val="CalloutFormula"/>
      </w:pPr>
      <m:oMathPara>
        <m:oMathParaPr>
          <m:jc m:val="center"/>
        </m:oMathParaPr>
        <m:oMath>
          <m:r>
            <m:rPr>
              <m:nor/>
              <m:sty m:val="p"/>
            </m:rPr>
            <m:t>Throughput</m:t>
          </m:r>
          <m:r>
            <m:rPr>
              <m:sty m:val="p"/>
            </m:rPr>
            <m:t>≤</m:t>
          </m:r>
          <m:f>
            <m:fPr>
              <m:type m:val="bar"/>
            </m:fPr>
            <m:num>
              <m:r>
                <m:rPr>
                  <m:nor/>
                  <m:sty m:val="p"/>
                </m:rPr>
                <m:t>MSS</m:t>
              </m:r>
            </m:num>
            <m:den>
              <m:r>
                <m:rPr>
                  <m:nor/>
                  <m:sty m:val="p"/>
                </m:rPr>
                <m:t>RTT</m:t>
              </m:r>
            </m:den>
          </m:f>
          <m:r>
            <m:rPr>
              <m:sty m:val="p"/>
            </m:rPr>
            <m:t>×</m:t>
          </m:r>
          <m:f>
            <m:fPr>
              <m:type m:val="bar"/>
            </m:fPr>
            <m:num>
              <m:r>
                <m:t>C</m:t>
              </m:r>
            </m:num>
            <m:den>
              <m:rad>
                <m:radPr>
                  <m:degHide m:val="on"/>
                </m:radPr>
                <m:deg/>
                <m:e>
                  <m:r>
                    <m:t>p</m:t>
                  </m:r>
                </m:e>
              </m:rad>
            </m:den>
          </m:f>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w:r>
              <w:t xml:space="preserve">MSS</w:t>
            </w:r>
          </w:p>
        </w:tc>
        <w:tc>
          <w:tcPr/>
          <w:p>
            <w:pPr>
              <w:pStyle w:val="Compact"/>
              <w:jc w:val="left"/>
            </w:pPr>
            <w:r>
              <w:t xml:space="preserve">Maximum segment size</w:t>
            </w:r>
          </w:p>
        </w:tc>
        <w:tc>
          <w:tcPr/>
          <w:p>
            <w:pPr>
              <w:pStyle w:val="Compact"/>
              <w:jc w:val="left"/>
            </w:pPr>
            <w:r>
              <w:t xml:space="preserve">bits (or bytes, for bytes/s)</w:t>
            </w:r>
          </w:p>
        </w:tc>
      </w:tr>
      <w:tr>
        <w:tc>
          <w:tcPr/>
          <w:p>
            <w:pPr>
              <w:pStyle w:val="Compact"/>
              <w:jc w:val="left"/>
            </w:pPr>
            <w:r>
              <w:t xml:space="preserve">RTT</w:t>
            </w:r>
          </w:p>
        </w:tc>
        <w:tc>
          <w:tcPr/>
          <w:p>
            <w:pPr>
              <w:pStyle w:val="Compact"/>
              <w:jc w:val="left"/>
            </w:pPr>
            <w:r>
              <w:t xml:space="preserve">Round-trip time</w:t>
            </w:r>
          </w:p>
        </w:tc>
        <w:tc>
          <w:tcPr/>
          <w:p>
            <w:pPr>
              <w:pStyle w:val="Compact"/>
              <w:jc w:val="left"/>
            </w:pPr>
            <w:r>
              <w:t xml:space="preserve">s</w:t>
            </w:r>
          </w:p>
        </w:tc>
      </w:tr>
      <w:tr>
        <w:tc>
          <w:tcPr/>
          <w:p>
            <w:pPr>
              <w:pStyle w:val="Compact"/>
              <w:jc w:val="left"/>
            </w:pPr>
            <m:oMath>
              <m:r>
                <m:t>p</m:t>
              </m:r>
            </m:oMath>
          </w:p>
        </w:tc>
        <w:tc>
          <w:tcPr/>
          <w:p>
            <w:pPr>
              <w:pStyle w:val="Compact"/>
              <w:jc w:val="left"/>
            </w:pPr>
            <w:r>
              <w:t xml:space="preserve">Packet loss probability</w:t>
            </w:r>
          </w:p>
        </w:tc>
        <w:tc>
          <w:tcPr/>
          <w:p>
            <w:pPr>
              <w:pStyle w:val="Compact"/>
              <w:jc w:val="left"/>
            </w:pPr>
            <w:r>
              <w:t xml:space="preserve">dimensionless</w:t>
            </w:r>
          </w:p>
        </w:tc>
      </w:tr>
      <w:tr>
        <w:tc>
          <w:tcPr/>
          <w:p>
            <w:pPr>
              <w:pStyle w:val="Compact"/>
              <w:jc w:val="left"/>
            </w:pPr>
            <m:oMath>
              <m:r>
                <m:t>C</m:t>
              </m:r>
            </m:oMath>
          </w:p>
        </w:tc>
        <w:tc>
          <w:tcPr/>
          <w:p>
            <w:pPr>
              <w:pStyle w:val="Compact"/>
              <w:jc w:val="left"/>
            </w:pPr>
            <w:r>
              <w:t xml:space="preserve">Constant,</w:t>
            </w:r>
            <w:r>
              <w:t xml:space="preserve"> </w:t>
            </w:r>
            <m:oMath>
              <m:rad>
                <m:radPr>
                  <m:degHide m:val="on"/>
                </m:radPr>
                <m:deg/>
                <m:e>
                  <m:r>
                    <m:t>3</m:t>
                  </m:r>
                  <m:r>
                    <m:rPr>
                      <m:sty m:val="p"/>
                    </m:rPr>
                    <m:t>/</m:t>
                  </m:r>
                  <m:r>
                    <m:t>2</m:t>
                  </m:r>
                </m:e>
              </m:rad>
              <m:r>
                <m:rPr>
                  <m:sty m:val="p"/>
                </m:rPr>
                <m:t>≈</m:t>
              </m:r>
              <m:r>
                <m:t>1.22</m:t>
              </m:r>
            </m:oMath>
            <w:r>
              <w:t xml:space="preserve"> </w:t>
            </w:r>
            <w:r>
              <w:t xml:space="preserve">for periodic loss with every packet ACKed</w:t>
            </w:r>
          </w:p>
        </w:tc>
        <w:tc>
          <w:tcPr/>
          <w:p>
            <w:pPr>
              <w:pStyle w:val="Compact"/>
              <w:jc w:val="left"/>
            </w:pPr>
            <w:r>
              <w:t xml:space="preserve">dimensionless</w:t>
            </w:r>
          </w:p>
        </w:tc>
      </w:tr>
    </w:tbl>
    <w:p>
      <w:pPr>
        <w:pStyle w:val="CalloutExample"/>
      </w:pPr>
      <w:r>
        <w:rPr>
          <w:bCs/>
          <w:b/>
        </w:rPr>
        <w:t xml:space="preserve">WORKED EXAMPLE</w:t>
      </w:r>
    </w:p>
    <w:p>
      <w:pPr>
        <w:pStyle w:val="CalloutExample"/>
      </w:pPr>
      <w:r>
        <w:rPr>
          <w:bCs/>
          <w:b/>
        </w:rPr>
        <w:t xml:space="preserve">Worked example — Loss caps a long-distance connection.</w:t>
      </w:r>
    </w:p>
    <w:p>
      <w:pPr>
        <w:pStyle w:val="CalloutExample"/>
      </w:pPr>
      <w:r>
        <w:t xml:space="preserve">MSS = 1,460 bytes = 11,680 bits; RTT = 80 ms.</w:t>
      </w:r>
    </w:p>
    <w:p>
      <w:pPr>
        <w:numPr>
          <w:ilvl w:val="0"/>
          <w:numId w:val="1238"/>
        </w:numPr>
        <w:pStyle w:val="Compact"/>
      </w:pPr>
      <m:oMath>
        <m:r>
          <m:rPr>
            <m:nor/>
            <m:sty m:val="p"/>
          </m:rPr>
          <m:t>MSS</m:t>
        </m:r>
        <m:r>
          <m:rPr>
            <m:sty m:val="p"/>
          </m:rPr>
          <m:t>/</m:t>
        </m:r>
        <m:r>
          <m:rPr>
            <m:nor/>
            <m:sty m:val="p"/>
          </m:rPr>
          <m:t>RTT</m:t>
        </m:r>
        <m:r>
          <m:rPr>
            <m:sty m:val="p"/>
          </m:rPr>
          <m:t>=</m:t>
        </m:r>
        <m:r>
          <m:t>11</m:t>
        </m:r>
        <m:r>
          <m:rPr>
            <m:sty m:val="p"/>
          </m:rPr>
          <m:t>,</m:t>
        </m:r>
        <m:r>
          <m:t>680</m:t>
        </m:r>
        <m:r>
          <m:rPr>
            <m:sty m:val="p"/>
          </m:rPr>
          <m:t>/</m:t>
        </m:r>
        <m:r>
          <m:t>0.08</m:t>
        </m:r>
        <m:r>
          <m:rPr>
            <m:sty m:val="p"/>
          </m:rPr>
          <m:t>=</m:t>
        </m:r>
        <m:r>
          <m:t>146</m:t>
        </m:r>
        <m:r>
          <m:rPr>
            <m:sty m:val="p"/>
          </m:rPr>
          <m:t>,</m:t>
        </m:r>
        <m:r>
          <m:t>000</m:t>
        </m:r>
      </m:oMath>
      <w:r>
        <w:t xml:space="preserve"> </w:t>
      </w:r>
      <w:r>
        <w:t xml:space="preserve">bits/s.</w:t>
      </w:r>
    </w:p>
    <w:p>
      <w:pPr>
        <w:numPr>
          <w:ilvl w:val="0"/>
          <w:numId w:val="1238"/>
        </w:numPr>
        <w:pStyle w:val="Compact"/>
      </w:pPr>
      <w:r>
        <w:t xml:space="preserve">With</w:t>
      </w:r>
      <w:r>
        <w:t xml:space="preserve"> </w:t>
      </w:r>
      <m:oMath>
        <m:r>
          <m:t>p</m:t>
        </m:r>
        <m:r>
          <m:rPr>
            <m:sty m:val="p"/>
          </m:rPr>
          <m:t>=</m:t>
        </m:r>
        <m:sSup>
          <m:e>
            <m:r>
              <m:t>10</m:t>
            </m:r>
          </m:e>
          <m:sup>
            <m:r>
              <m:rPr>
                <m:sty m:val="p"/>
              </m:rPr>
              <m:t>−</m:t>
            </m:r>
            <m:r>
              <m:t>4</m:t>
            </m:r>
          </m:sup>
        </m:sSup>
      </m:oMath>
      <w:r>
        <w:t xml:space="preserve"> </w:t>
      </w:r>
      <w:r>
        <w:t xml:space="preserve">(0.01% loss):</w:t>
      </w:r>
      <w:r>
        <w:t xml:space="preserve"> </w:t>
      </w:r>
      <m:oMath>
        <m:r>
          <m:t>C</m:t>
        </m:r>
        <m:r>
          <m:rPr>
            <m:sty m:val="p"/>
          </m:rPr>
          <m:t>/</m:t>
        </m:r>
        <m:rad>
          <m:radPr>
            <m:degHide m:val="on"/>
          </m:radPr>
          <m:deg/>
          <m:e>
            <m:r>
              <m:t>p</m:t>
            </m:r>
          </m:e>
        </m:rad>
        <m:r>
          <m:rPr>
            <m:sty m:val="p"/>
          </m:rPr>
          <m:t>=</m:t>
        </m:r>
        <m:r>
          <m:t>1.22</m:t>
        </m:r>
        <m:r>
          <m:rPr>
            <m:sty m:val="p"/>
          </m:rPr>
          <m:t>/</m:t>
        </m:r>
        <m:r>
          <m:t>0.01</m:t>
        </m:r>
        <m:r>
          <m:rPr>
            <m:sty m:val="p"/>
          </m:rPr>
          <m:t>=</m:t>
        </m:r>
        <m:r>
          <m:t>122</m:t>
        </m:r>
      </m:oMath>
      <w:r>
        <w:t xml:space="preserve">, so throughput</w:t>
      </w:r>
      <w:r>
        <w:t xml:space="preserve"> </w:t>
      </w:r>
      <m:oMath>
        <m:r>
          <m:rPr>
            <m:sty m:val="p"/>
          </m:rPr>
          <m:t>≤</m:t>
        </m:r>
        <m:r>
          <m:t>146</m:t>
        </m:r>
        <m:r>
          <m:rPr>
            <m:sty m:val="p"/>
          </m:rPr>
          <m:t>,</m:t>
        </m:r>
        <m:r>
          <m:t>000</m:t>
        </m:r>
        <m:r>
          <m:rPr>
            <m:sty m:val="p"/>
          </m:rPr>
          <m:t>×</m:t>
        </m:r>
        <m:r>
          <m:t>122</m:t>
        </m:r>
        <m:r>
          <m:rPr>
            <m:sty m:val="p"/>
          </m:rPr>
          <m:t>≈</m:t>
        </m:r>
        <m:r>
          <m:t>17.8</m:t>
        </m:r>
      </m:oMath>
      <w:r>
        <w:t xml:space="preserve"> </w:t>
      </w:r>
      <w:r>
        <w:t xml:space="preserve">Mbps.</w:t>
      </w:r>
    </w:p>
    <w:p>
      <w:pPr>
        <w:numPr>
          <w:ilvl w:val="0"/>
          <w:numId w:val="1238"/>
        </w:numPr>
        <w:pStyle w:val="Compact"/>
      </w:pPr>
      <w:r>
        <w:t xml:space="preserve">With</w:t>
      </w:r>
      <w:r>
        <w:t xml:space="preserve"> </w:t>
      </w:r>
      <m:oMath>
        <m:r>
          <m:t>p</m:t>
        </m:r>
        <m:r>
          <m:rPr>
            <m:sty m:val="p"/>
          </m:rPr>
          <m:t>=</m:t>
        </m:r>
        <m:sSup>
          <m:e>
            <m:r>
              <m:t>10</m:t>
            </m:r>
          </m:e>
          <m:sup>
            <m:r>
              <m:rPr>
                <m:sty m:val="p"/>
              </m:rPr>
              <m:t>−</m:t>
            </m:r>
            <m:r>
              <m:t>6</m:t>
            </m:r>
          </m:sup>
        </m:sSup>
      </m:oMath>
      <w:r>
        <w:t xml:space="preserve">:</w:t>
      </w:r>
      <w:r>
        <w:t xml:space="preserve"> </w:t>
      </w:r>
      <m:oMath>
        <m:r>
          <m:t>C</m:t>
        </m:r>
        <m:r>
          <m:rPr>
            <m:sty m:val="p"/>
          </m:rPr>
          <m:t>/</m:t>
        </m:r>
        <m:rad>
          <m:radPr>
            <m:degHide m:val="on"/>
          </m:radPr>
          <m:deg/>
          <m:e>
            <m:r>
              <m:t>p</m:t>
            </m:r>
          </m:e>
        </m:rad>
        <m:r>
          <m:rPr>
            <m:sty m:val="p"/>
          </m:rPr>
          <m:t>=</m:t>
        </m:r>
        <m:r>
          <m:t>1</m:t>
        </m:r>
        <m:r>
          <m:rPr>
            <m:sty m:val="p"/>
          </m:rPr>
          <m:t>,</m:t>
        </m:r>
        <m:r>
          <m:t>220</m:t>
        </m:r>
      </m:oMath>
      <w:r>
        <w:t xml:space="preserve">, so throughput</w:t>
      </w:r>
      <w:r>
        <w:t xml:space="preserve"> </w:t>
      </w:r>
      <m:oMath>
        <m:r>
          <m:rPr>
            <m:sty m:val="p"/>
          </m:rPr>
          <m:t>≤</m:t>
        </m:r>
        <m:r>
          <m:t>178</m:t>
        </m:r>
      </m:oMath>
      <w:r>
        <w:t xml:space="preserve"> </w:t>
      </w:r>
      <w:r>
        <w:t xml:space="preserve">Mbps.</w:t>
      </w:r>
    </w:p>
    <w:p>
      <w:pPr>
        <w:numPr>
          <w:ilvl w:val="0"/>
          <w:numId w:val="1238"/>
        </w:numPr>
        <w:pStyle w:val="Compact"/>
      </w:pPr>
      <w:r>
        <w:t xml:space="preserve">To reach 10 Gbps:</w:t>
      </w:r>
      <w:r>
        <w:t xml:space="preserve"> </w:t>
      </w:r>
      <m:oMath>
        <m:rad>
          <m:radPr>
            <m:degHide m:val="on"/>
          </m:radPr>
          <m:deg/>
          <m:e>
            <m:r>
              <m:t>p</m:t>
            </m:r>
          </m:e>
        </m:rad>
        <m:r>
          <m:rPr>
            <m:sty m:val="p"/>
          </m:rPr>
          <m:t>=</m:t>
        </m:r>
        <m:r>
          <m:t>1.22</m:t>
        </m:r>
        <m:r>
          <m:rPr>
            <m:sty m:val="p"/>
          </m:rPr>
          <m:t>×</m:t>
        </m:r>
        <m:r>
          <m:t>146</m:t>
        </m:r>
        <m:r>
          <m:rPr>
            <m:sty m:val="p"/>
          </m:rPr>
          <m:t>,</m:t>
        </m:r>
        <m:r>
          <m:t>000</m:t>
        </m:r>
        <m:r>
          <m:rPr>
            <m:sty m:val="p"/>
          </m:rPr>
          <m:t>/</m:t>
        </m:r>
        <m:sSup>
          <m:e>
            <m:r>
              <m:t>10</m:t>
            </m:r>
          </m:e>
          <m:sup>
            <m:r>
              <m:t>10</m:t>
            </m:r>
          </m:sup>
        </m:sSup>
        <m:r>
          <m:rPr>
            <m:sty m:val="p"/>
          </m:rPr>
          <m:t>≈</m:t>
        </m:r>
        <m:r>
          <m:t>1.79</m:t>
        </m:r>
        <m:r>
          <m:rPr>
            <m:sty m:val="p"/>
          </m:rPr>
          <m:t>×</m:t>
        </m:r>
        <m:sSup>
          <m:e>
            <m:r>
              <m:t>10</m:t>
            </m:r>
          </m:e>
          <m:sup>
            <m:r>
              <m:rPr>
                <m:sty m:val="p"/>
              </m:rPr>
              <m:t>−</m:t>
            </m:r>
            <m:r>
              <m:t>5</m:t>
            </m:r>
          </m:sup>
        </m:sSup>
      </m:oMath>
      <w:r>
        <w:t xml:space="preserve">, so</w:t>
      </w:r>
      <w:r>
        <w:t xml:space="preserve"> </w:t>
      </w:r>
      <m:oMath>
        <m:r>
          <m:t>p</m:t>
        </m:r>
        <m:r>
          <m:rPr>
            <m:sty m:val="p"/>
          </m:rPr>
          <m:t>≈</m:t>
        </m:r>
        <m:r>
          <m:t>3.2</m:t>
        </m:r>
        <m:r>
          <m:rPr>
            <m:sty m:val="p"/>
          </m:rPr>
          <m:t>×</m:t>
        </m:r>
        <m:sSup>
          <m:e>
            <m:r>
              <m:t>10</m:t>
            </m:r>
          </m:e>
          <m:sup>
            <m:r>
              <m:rPr>
                <m:sty m:val="p"/>
              </m:rPr>
              <m:t>−</m:t>
            </m:r>
            <m:r>
              <m:t>10</m:t>
            </m:r>
          </m:sup>
        </m:sSup>
      </m:oMath>
      <w:r>
        <w:t xml:space="preserve">, about one loss in three billion packets.</w:t>
      </w:r>
    </w:p>
    <w:p>
      <w:pPr>
        <w:pStyle w:val="CalloutExample"/>
      </w:pPr>
      <w:r>
        <w:t xml:space="preserve">Interpretation: throughput falls with</w:t>
      </w:r>
      <w:r>
        <w:t xml:space="preserve"> </w:t>
      </w:r>
      <m:oMath>
        <m:r>
          <m:t>1</m:t>
        </m:r>
        <m:r>
          <m:rPr>
            <m:sty m:val="p"/>
          </m:rPr>
          <m:t>/</m:t>
        </m:r>
        <m:r>
          <m:rPr>
            <m:nor/>
            <m:sty m:val="p"/>
          </m:rPr>
          <m:t>RTT</m:t>
        </m:r>
      </m:oMath>
      <w:r>
        <w:t xml:space="preserve"> </w:t>
      </w:r>
      <w:r>
        <w:t xml:space="preserve">and</w:t>
      </w:r>
      <w:r>
        <w:t xml:space="preserve"> </w:t>
      </w:r>
      <m:oMath>
        <m:r>
          <m:t>1</m:t>
        </m:r>
        <m:r>
          <m:rPr>
            <m:sty m:val="p"/>
          </m:rPr>
          <m:t>/</m:t>
        </m:r>
        <m:rad>
          <m:radPr>
            <m:degHide m:val="on"/>
          </m:radPr>
          <m:deg/>
          <m:e>
            <m:r>
              <m:t>p</m:t>
            </m:r>
          </m:e>
        </m:rad>
      </m:oMath>
      <w:r>
        <w:t xml:space="preserve">, independent of link speed. A tiny 0.01% loss caps a single transcontinental CUBIC- or Reno-style flow at under 20 Mbps on a 10 Gbps link. Engineering implications: (a) find and fix lossy links, which are often a dirty optic or a bad cable; (b) reduce RTT; (c) for bulk transfers, use parallel connections or a model-based algorithm such as BBR that does not treat random loss as congestion. The formula is an approximation for loss-based algorithms in congestion avoidance; it does not describe BBR, short flows still in slow start, or timeout-dominated regimes.</w:t>
      </w:r>
    </w:p>
    <w:bookmarkEnd w:id="795"/>
    <w:bookmarkEnd w:id="796"/>
    <w:bookmarkStart w:id="800" w:name="connection-pooling-and-keep-alive"/>
    <w:p>
      <w:pPr>
        <w:pStyle w:val="Heading2"/>
      </w:pPr>
      <w:r>
        <w:t xml:space="preserve">7.16 Connection pooling and keep-alive</w:t>
      </w:r>
    </w:p>
    <w:bookmarkStart w:id="797" w:name="the-cost-of-a-new-connection"/>
    <w:p>
      <w:pPr>
        <w:pStyle w:val="Heading3"/>
      </w:pPr>
      <w:r>
        <w:t xml:space="preserve">7.16.1 The cost of a new connection</w:t>
      </w:r>
    </w:p>
    <w:p>
      <w:pPr>
        <w:pStyle w:val="FirstParagraph"/>
      </w:pPr>
      <w:r>
        <w:t xml:space="preserve">Before the first byte of a response can arrive over a new HTTPS connection, the client pays for DNS, the TCP handshake, the TLS handshake, and the request itself.</w:t>
      </w:r>
    </w:p>
    <w:p>
      <w:pPr>
        <w:pStyle w:val="BodyText"/>
      </w:pPr>
      <w:r>
        <w:rPr>
          <w:bCs/>
          <w:b/>
        </w:rPr>
        <w:t xml:space="preserve">Table 7.15 — Round trips before the first response byte (DNS cached).</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Stack</w:t>
            </w:r>
          </w:p>
        </w:tc>
        <w:tc>
          <w:tcPr/>
          <w:p>
            <w:pPr>
              <w:pStyle w:val="Compact"/>
              <w:jc w:val="left"/>
            </w:pPr>
            <w:r>
              <w:t xml:space="preserve">Setup RTTs</w:t>
            </w:r>
          </w:p>
        </w:tc>
        <w:tc>
          <w:tcPr/>
          <w:p>
            <w:pPr>
              <w:pStyle w:val="Compact"/>
              <w:jc w:val="left"/>
            </w:pPr>
            <w:r>
              <w:t xml:space="preserve">Request RTT</w:t>
            </w:r>
          </w:p>
        </w:tc>
        <w:tc>
          <w:tcPr/>
          <w:p>
            <w:pPr>
              <w:pStyle w:val="Compact"/>
              <w:jc w:val="left"/>
            </w:pPr>
            <w:r>
              <w:t xml:space="preserve">Total</w:t>
            </w:r>
          </w:p>
        </w:tc>
        <w:tc>
          <w:tcPr/>
          <w:p>
            <w:pPr>
              <w:pStyle w:val="Compact"/>
              <w:jc w:val="left"/>
            </w:pPr>
            <w:r>
              <w:t xml:space="preserve">At RTT 80 ms</w:t>
            </w:r>
          </w:p>
        </w:tc>
        <w:tc>
          <w:tcPr/>
          <w:p>
            <w:pPr>
              <w:pStyle w:val="Compact"/>
              <w:jc w:val="left"/>
            </w:pPr>
            <w:r>
              <w:t xml:space="preserve">At RTT 0.5 ms (same datacenter)</w:t>
            </w:r>
          </w:p>
        </w:tc>
      </w:tr>
      <w:tr>
        <w:tc>
          <w:tcPr/>
          <w:p>
            <w:pPr>
              <w:pStyle w:val="Compact"/>
              <w:jc w:val="left"/>
            </w:pPr>
            <w:r>
              <w:t xml:space="preserve">HTTP over TCP, no TLS</w:t>
            </w:r>
          </w:p>
        </w:tc>
        <w:tc>
          <w:tcPr/>
          <w:p>
            <w:pPr>
              <w:pStyle w:val="Compact"/>
              <w:jc w:val="left"/>
            </w:pPr>
            <w:r>
              <w:t xml:space="preserve">1</w:t>
            </w:r>
          </w:p>
        </w:tc>
        <w:tc>
          <w:tcPr/>
          <w:p>
            <w:pPr>
              <w:pStyle w:val="Compact"/>
              <w:jc w:val="left"/>
            </w:pPr>
            <w:r>
              <w:t xml:space="preserve">1</w:t>
            </w:r>
          </w:p>
        </w:tc>
        <w:tc>
          <w:tcPr/>
          <w:p>
            <w:pPr>
              <w:pStyle w:val="Compact"/>
              <w:jc w:val="left"/>
            </w:pPr>
            <w:r>
              <w:t xml:space="preserve">2</w:t>
            </w:r>
          </w:p>
        </w:tc>
        <w:tc>
          <w:tcPr/>
          <w:p>
            <w:pPr>
              <w:pStyle w:val="Compact"/>
              <w:jc w:val="left"/>
            </w:pPr>
            <w:r>
              <w:t xml:space="preserve">160 ms</w:t>
            </w:r>
          </w:p>
        </w:tc>
        <w:tc>
          <w:tcPr/>
          <w:p>
            <w:pPr>
              <w:pStyle w:val="Compact"/>
              <w:jc w:val="left"/>
            </w:pPr>
            <w:r>
              <w:t xml:space="preserve">1.0 ms</w:t>
            </w:r>
          </w:p>
        </w:tc>
      </w:tr>
      <w:tr>
        <w:tc>
          <w:tcPr/>
          <w:p>
            <w:pPr>
              <w:pStyle w:val="Compact"/>
              <w:jc w:val="left"/>
            </w:pPr>
            <w:r>
              <w:t xml:space="preserve">HTTPS, TCP + TLS 1.2</w:t>
            </w:r>
          </w:p>
        </w:tc>
        <w:tc>
          <w:tcPr/>
          <w:p>
            <w:pPr>
              <w:pStyle w:val="Compact"/>
              <w:jc w:val="left"/>
            </w:pPr>
            <w:r>
              <w:t xml:space="preserve">1 + 2</w:t>
            </w:r>
          </w:p>
        </w:tc>
        <w:tc>
          <w:tcPr/>
          <w:p>
            <w:pPr>
              <w:pStyle w:val="Compact"/>
              <w:jc w:val="left"/>
            </w:pPr>
            <w:r>
              <w:t xml:space="preserve">1</w:t>
            </w:r>
          </w:p>
        </w:tc>
        <w:tc>
          <w:tcPr/>
          <w:p>
            <w:pPr>
              <w:pStyle w:val="Compact"/>
              <w:jc w:val="left"/>
            </w:pPr>
            <w:r>
              <w:t xml:space="preserve">4</w:t>
            </w:r>
          </w:p>
        </w:tc>
        <w:tc>
          <w:tcPr/>
          <w:p>
            <w:pPr>
              <w:pStyle w:val="Compact"/>
              <w:jc w:val="left"/>
            </w:pPr>
            <w:r>
              <w:t xml:space="preserve">320 ms</w:t>
            </w:r>
          </w:p>
        </w:tc>
        <w:tc>
          <w:tcPr/>
          <w:p>
            <w:pPr>
              <w:pStyle w:val="Compact"/>
              <w:jc w:val="left"/>
            </w:pPr>
            <w:r>
              <w:t xml:space="preserve">2.0 ms</w:t>
            </w:r>
          </w:p>
        </w:tc>
      </w:tr>
      <w:tr>
        <w:tc>
          <w:tcPr/>
          <w:p>
            <w:pPr>
              <w:pStyle w:val="Compact"/>
              <w:jc w:val="left"/>
            </w:pPr>
            <w:r>
              <w:t xml:space="preserve">HTTPS, TCP + TLS 1.3</w:t>
            </w:r>
          </w:p>
        </w:tc>
        <w:tc>
          <w:tcPr/>
          <w:p>
            <w:pPr>
              <w:pStyle w:val="Compact"/>
              <w:jc w:val="left"/>
            </w:pPr>
            <w:r>
              <w:t xml:space="preserve">1 + 1</w:t>
            </w:r>
          </w:p>
        </w:tc>
        <w:tc>
          <w:tcPr/>
          <w:p>
            <w:pPr>
              <w:pStyle w:val="Compact"/>
              <w:jc w:val="left"/>
            </w:pPr>
            <w:r>
              <w:t xml:space="preserve">1</w:t>
            </w:r>
          </w:p>
        </w:tc>
        <w:tc>
          <w:tcPr/>
          <w:p>
            <w:pPr>
              <w:pStyle w:val="Compact"/>
              <w:jc w:val="left"/>
            </w:pPr>
            <w:r>
              <w:t xml:space="preserve">3</w:t>
            </w:r>
          </w:p>
        </w:tc>
        <w:tc>
          <w:tcPr/>
          <w:p>
            <w:pPr>
              <w:pStyle w:val="Compact"/>
              <w:jc w:val="left"/>
            </w:pPr>
            <w:r>
              <w:t xml:space="preserve">240 ms</w:t>
            </w:r>
          </w:p>
        </w:tc>
        <w:tc>
          <w:tcPr/>
          <w:p>
            <w:pPr>
              <w:pStyle w:val="Compact"/>
              <w:jc w:val="left"/>
            </w:pPr>
            <w:r>
              <w:t xml:space="preserve">1.5 ms</w:t>
            </w:r>
          </w:p>
        </w:tc>
      </w:tr>
      <w:tr>
        <w:tc>
          <w:tcPr/>
          <w:p>
            <w:pPr>
              <w:pStyle w:val="Compact"/>
              <w:jc w:val="left"/>
            </w:pPr>
            <w:r>
              <w:t xml:space="preserve">HTTP/3, QUIC first connection</w:t>
            </w:r>
          </w:p>
        </w:tc>
        <w:tc>
          <w:tcPr/>
          <w:p>
            <w:pPr>
              <w:pStyle w:val="Compact"/>
              <w:jc w:val="left"/>
            </w:pPr>
            <w:r>
              <w:t xml:space="preserve">1</w:t>
            </w:r>
          </w:p>
        </w:tc>
        <w:tc>
          <w:tcPr/>
          <w:p>
            <w:pPr>
              <w:pStyle w:val="Compact"/>
              <w:jc w:val="left"/>
            </w:pPr>
            <w:r>
              <w:t xml:space="preserve">1</w:t>
            </w:r>
          </w:p>
        </w:tc>
        <w:tc>
          <w:tcPr/>
          <w:p>
            <w:pPr>
              <w:pStyle w:val="Compact"/>
              <w:jc w:val="left"/>
            </w:pPr>
            <w:r>
              <w:t xml:space="preserve">2</w:t>
            </w:r>
          </w:p>
        </w:tc>
        <w:tc>
          <w:tcPr/>
          <w:p>
            <w:pPr>
              <w:pStyle w:val="Compact"/>
              <w:jc w:val="left"/>
            </w:pPr>
            <w:r>
              <w:t xml:space="preserve">160 ms</w:t>
            </w:r>
          </w:p>
        </w:tc>
        <w:tc>
          <w:tcPr/>
          <w:p>
            <w:pPr>
              <w:pStyle w:val="Compact"/>
              <w:jc w:val="left"/>
            </w:pPr>
            <w:r>
              <w:t xml:space="preserve">1.0 ms</w:t>
            </w:r>
          </w:p>
        </w:tc>
      </w:tr>
      <w:tr>
        <w:tc>
          <w:tcPr/>
          <w:p>
            <w:pPr>
              <w:pStyle w:val="Compact"/>
              <w:jc w:val="left"/>
            </w:pPr>
            <w:r>
              <w:t xml:space="preserve">HTTP/3, QUIC 0-RTT resumption</w:t>
            </w:r>
          </w:p>
        </w:tc>
        <w:tc>
          <w:tcPr/>
          <w:p>
            <w:pPr>
              <w:pStyle w:val="Compact"/>
              <w:jc w:val="left"/>
            </w:pPr>
            <w:r>
              <w:t xml:space="preserve">0</w:t>
            </w:r>
          </w:p>
        </w:tc>
        <w:tc>
          <w:tcPr/>
          <w:p>
            <w:pPr>
              <w:pStyle w:val="Compact"/>
              <w:jc w:val="left"/>
            </w:pPr>
            <w:r>
              <w:t xml:space="preserve">1</w:t>
            </w:r>
          </w:p>
        </w:tc>
        <w:tc>
          <w:tcPr/>
          <w:p>
            <w:pPr>
              <w:pStyle w:val="Compact"/>
              <w:jc w:val="left"/>
            </w:pPr>
            <w:r>
              <w:t xml:space="preserve">1</w:t>
            </w:r>
          </w:p>
        </w:tc>
        <w:tc>
          <w:tcPr/>
          <w:p>
            <w:pPr>
              <w:pStyle w:val="Compact"/>
              <w:jc w:val="left"/>
            </w:pPr>
            <w:r>
              <w:t xml:space="preserve">80 ms</w:t>
            </w:r>
          </w:p>
        </w:tc>
        <w:tc>
          <w:tcPr/>
          <w:p>
            <w:pPr>
              <w:pStyle w:val="Compact"/>
              <w:jc w:val="left"/>
            </w:pPr>
            <w:r>
              <w:t xml:space="preserve">0.5 ms</w:t>
            </w:r>
          </w:p>
        </w:tc>
      </w:tr>
      <w:tr>
        <w:tc>
          <w:tcPr/>
          <w:p>
            <w:pPr>
              <w:pStyle w:val="Compact"/>
              <w:jc w:val="left"/>
            </w:pPr>
            <w:r>
              <w:t xml:space="preserve">Any stack, reused connection</w:t>
            </w:r>
          </w:p>
        </w:tc>
        <w:tc>
          <w:tcPr/>
          <w:p>
            <w:pPr>
              <w:pStyle w:val="Compact"/>
              <w:jc w:val="left"/>
            </w:pPr>
            <w:r>
              <w:t xml:space="preserve">0</w:t>
            </w:r>
          </w:p>
        </w:tc>
        <w:tc>
          <w:tcPr/>
          <w:p>
            <w:pPr>
              <w:pStyle w:val="Compact"/>
              <w:jc w:val="left"/>
            </w:pPr>
            <w:r>
              <w:t xml:space="preserve">1</w:t>
            </w:r>
          </w:p>
        </w:tc>
        <w:tc>
          <w:tcPr/>
          <w:p>
            <w:pPr>
              <w:pStyle w:val="Compact"/>
              <w:jc w:val="left"/>
            </w:pPr>
            <w:r>
              <w:t xml:space="preserve">1</w:t>
            </w:r>
          </w:p>
        </w:tc>
        <w:tc>
          <w:tcPr/>
          <w:p>
            <w:pPr>
              <w:pStyle w:val="Compact"/>
              <w:jc w:val="left"/>
            </w:pPr>
            <w:r>
              <w:t xml:space="preserve">80 ms</w:t>
            </w:r>
          </w:p>
        </w:tc>
        <w:tc>
          <w:tcPr/>
          <w:p>
            <w:pPr>
              <w:pStyle w:val="Compact"/>
              <w:jc w:val="left"/>
            </w:pPr>
            <w:r>
              <w:t xml:space="preserve">0.5 ms</w:t>
            </w:r>
          </w:p>
        </w:tc>
      </w:tr>
    </w:tbl>
    <w:p>
      <w:pPr>
        <w:pStyle w:val="BodyText"/>
      </w:pPr>
      <w:r>
        <w:t xml:space="preserve">Round trips are only part of the cost. Each new connection also burns CPU (the TLS asymmetric cryptography is the expensive part), allocates kernel and proxy memory, starts in slow start with a small congestion window (§7.7.7), and leaves a TIME_WAIT entry when closed (§7.7.4).</w:t>
      </w:r>
    </w:p>
    <w:p>
      <w:pPr>
        <w:pStyle w:val="CalloutExample"/>
      </w:pPr>
      <w:r>
        <w:rPr>
          <w:bCs/>
          <w:b/>
        </w:rPr>
        <w:t xml:space="preserve">WORKED EXAMPLE</w:t>
      </w:r>
    </w:p>
    <w:p>
      <w:pPr>
        <w:pStyle w:val="CalloutExample"/>
      </w:pPr>
      <w:r>
        <w:rPr>
          <w:bCs/>
          <w:b/>
        </w:rPr>
        <w:t xml:space="preserve">Worked example — Reusing connections to a cross-region dependency.</w:t>
      </w:r>
    </w:p>
    <w:p>
      <w:pPr>
        <w:pStyle w:val="CalloutExample"/>
      </w:pPr>
      <w:r>
        <w:t xml:space="preserve">Service A in Virginia calls service B in Oregon (RTT about 70 ms) 200 times per second. Each call takes 10 ms of server time.</w:t>
      </w:r>
    </w:p>
    <w:p>
      <w:pPr>
        <w:numPr>
          <w:ilvl w:val="0"/>
          <w:numId w:val="1239"/>
        </w:numPr>
        <w:pStyle w:val="Compact"/>
      </w:pPr>
      <w:r>
        <w:t xml:space="preserve">New TCP + TLS 1.3 connection per call: latency ≈</w:t>
      </w:r>
      <w:r>
        <w:t xml:space="preserve"> </w:t>
      </w:r>
      <m:oMath>
        <m:r>
          <m:t>3</m:t>
        </m:r>
        <m:r>
          <m:rPr>
            <m:sty m:val="p"/>
          </m:rPr>
          <m:t>×</m:t>
        </m:r>
        <m:r>
          <m:t>70</m:t>
        </m:r>
        <m:r>
          <m:rPr>
            <m:sty m:val="p"/>
          </m:rPr>
          <m:t>+</m:t>
        </m:r>
        <m:r>
          <m:t>10</m:t>
        </m:r>
        <m:r>
          <m:rPr>
            <m:sty m:val="p"/>
          </m:rPr>
          <m:t>=</m:t>
        </m:r>
        <m:r>
          <m:t>220</m:t>
        </m:r>
      </m:oMath>
      <w:r>
        <w:t xml:space="preserve"> </w:t>
      </w:r>
      <w:r>
        <w:t xml:space="preserve">ms per call.</w:t>
      </w:r>
    </w:p>
    <w:p>
      <w:pPr>
        <w:numPr>
          <w:ilvl w:val="0"/>
          <w:numId w:val="1239"/>
        </w:numPr>
        <w:pStyle w:val="Compact"/>
      </w:pPr>
      <w:r>
        <w:t xml:space="preserve">Reused connection:</w:t>
      </w:r>
      <w:r>
        <w:t xml:space="preserve"> </w:t>
      </w:r>
      <m:oMath>
        <m:r>
          <m:t>1</m:t>
        </m:r>
        <m:r>
          <m:rPr>
            <m:sty m:val="p"/>
          </m:rPr>
          <m:t>×</m:t>
        </m:r>
        <m:r>
          <m:t>70</m:t>
        </m:r>
        <m:r>
          <m:rPr>
            <m:sty m:val="p"/>
          </m:rPr>
          <m:t>+</m:t>
        </m:r>
        <m:r>
          <m:t>10</m:t>
        </m:r>
        <m:r>
          <m:rPr>
            <m:sty m:val="p"/>
          </m:rPr>
          <m:t>=</m:t>
        </m:r>
        <m:r>
          <m:t>80</m:t>
        </m:r>
      </m:oMath>
      <w:r>
        <w:t xml:space="preserve"> </w:t>
      </w:r>
      <w:r>
        <w:t xml:space="preserve">ms per call, a 2.75× reduction.</w:t>
      </w:r>
    </w:p>
    <w:p>
      <w:pPr>
        <w:numPr>
          <w:ilvl w:val="0"/>
          <w:numId w:val="1239"/>
        </w:numPr>
        <w:pStyle w:val="Compact"/>
      </w:pPr>
      <w:r>
        <w:t xml:space="preserve">Handshake work avoided: 200 TLS handshakes per second, each involving a signature on B and verification on A.</w:t>
      </w:r>
    </w:p>
    <w:p>
      <w:pPr>
        <w:numPr>
          <w:ilvl w:val="0"/>
          <w:numId w:val="1239"/>
        </w:numPr>
        <w:pStyle w:val="Compact"/>
      </w:pPr>
      <w:r>
        <w:t xml:space="preserve">Ports: with per-call connections and A as active closer,</w:t>
      </w:r>
      <w:r>
        <w:t xml:space="preserve"> </w:t>
      </w:r>
      <m:oMath>
        <m:r>
          <m:t>200</m:t>
        </m:r>
        <m:r>
          <m:rPr>
            <m:sty m:val="p"/>
          </m:rPr>
          <m:t>×</m:t>
        </m:r>
        <m:r>
          <m:t>60</m:t>
        </m:r>
        <m:r>
          <m:rPr>
            <m:sty m:val="p"/>
          </m:rPr>
          <m:t>=</m:t>
        </m:r>
        <m:r>
          <m:t>12</m:t>
        </m:r>
        <m:r>
          <m:rPr>
            <m:sty m:val="p"/>
          </m:rPr>
          <m:t>,</m:t>
        </m:r>
        <m:r>
          <m:t>000</m:t>
        </m:r>
      </m:oMath>
      <w:r>
        <w:t xml:space="preserve"> </w:t>
      </w:r>
      <w:r>
        <w:t xml:space="preserve">sockets sit in TIME_WAIT at any time, about 43% of the 28,232 default ephemeral ports.</w:t>
      </w:r>
    </w:p>
    <w:p>
      <w:pPr>
        <w:pStyle w:val="CalloutExample"/>
      </w:pPr>
      <w:r>
        <w:t xml:space="preserve">Interpretation: connection reuse is not a micro-optimization; it changes latency by a factor of nearly three and removes a scaling cliff.</w:t>
      </w:r>
    </w:p>
    <w:bookmarkEnd w:id="797"/>
    <w:bookmarkStart w:id="798" w:name="sizing-a-pool-with-littles-law"/>
    <w:p>
      <w:pPr>
        <w:pStyle w:val="Heading3"/>
      </w:pPr>
      <w:r>
        <w:t xml:space="preserve">7.16.2 Sizing a pool with Little’s Law</w:t>
      </w:r>
    </w:p>
    <w:p>
      <w:pPr>
        <w:pStyle w:val="FirstParagraph"/>
      </w:pPr>
      <w:r>
        <w:t xml:space="preserve">A</w:t>
      </w:r>
      <w:r>
        <w:t xml:space="preserve"> </w:t>
      </w:r>
      <w:r>
        <w:rPr>
          <w:bCs/>
          <w:b/>
        </w:rPr>
        <w:t xml:space="preserve">connection pool</w:t>
      </w:r>
      <w:r>
        <w:t xml:space="preserve"> </w:t>
      </w:r>
      <w:r>
        <w:t xml:space="preserve">keeps a set of open connections that callers borrow and return. For protocols that carry one request at a time per connection (HTTP/1.1, most database protocols), the number of connections in use equals the number of requests in flight, which Little’s Law gives directly (§4.11).</w:t>
      </w:r>
    </w:p>
    <w:p>
      <w:pPr>
        <w:pStyle w:val="CalloutFormula"/>
      </w:pPr>
      <w:r>
        <w:rPr>
          <w:bCs/>
          <w:b/>
        </w:rPr>
        <w:t xml:space="preserve">FORMULA</w:t>
      </w:r>
    </w:p>
    <w:p>
      <w:pPr>
        <w:pStyle w:val="CalloutFormula"/>
      </w:pPr>
      <w:r>
        <w:rPr>
          <w:bCs/>
          <w:b/>
        </w:rPr>
        <w:t xml:space="preserve">Connections needed for a one-request-per-connection protocol</w:t>
      </w:r>
    </w:p>
    <w:p>
      <w:pPr>
        <w:pStyle w:val="CalloutFormula"/>
      </w:pPr>
      <m:oMathPara>
        <m:oMathParaPr>
          <m:jc m:val="center"/>
        </m:oMathParaPr>
        <m:oMath>
          <m:r>
            <m:t>N</m:t>
          </m:r>
          <m:r>
            <m:rPr>
              <m:sty m:val="p"/>
            </m:rPr>
            <m:t>=</m:t>
          </m:r>
          <m:r>
            <m:t>λ</m:t>
          </m:r>
          <m:r>
            <m:rPr>
              <m:sty m:val="p"/>
            </m:rPr>
            <m:t>×</m:t>
          </m:r>
          <m:r>
            <m:t>W</m:t>
          </m:r>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N</m:t>
              </m:r>
            </m:oMath>
          </w:p>
        </w:tc>
        <w:tc>
          <w:tcPr/>
          <w:p>
            <w:pPr>
              <w:pStyle w:val="Compact"/>
              <w:jc w:val="left"/>
            </w:pPr>
            <w:r>
              <w:t xml:space="preserve">Average connections busy</w:t>
            </w:r>
          </w:p>
        </w:tc>
        <w:tc>
          <w:tcPr/>
          <w:p>
            <w:pPr>
              <w:pStyle w:val="Compact"/>
              <w:jc w:val="left"/>
            </w:pPr>
            <w:r>
              <w:t xml:space="preserve">connections</w:t>
            </w:r>
          </w:p>
        </w:tc>
      </w:tr>
      <w:tr>
        <w:tc>
          <w:tcPr/>
          <w:p>
            <w:pPr>
              <w:pStyle w:val="Compact"/>
              <w:jc w:val="left"/>
            </w:pPr>
            <m:oMath>
              <m:r>
                <m:t>λ</m:t>
              </m:r>
            </m:oMath>
          </w:p>
        </w:tc>
        <w:tc>
          <w:tcPr/>
          <w:p>
            <w:pPr>
              <w:pStyle w:val="Compact"/>
              <w:jc w:val="left"/>
            </w:pPr>
            <w:r>
              <w:t xml:space="preserve">Request rate</w:t>
            </w:r>
          </w:p>
        </w:tc>
        <w:tc>
          <w:tcPr/>
          <w:p>
            <w:pPr>
              <w:pStyle w:val="Compact"/>
              <w:jc w:val="left"/>
            </w:pPr>
            <w:r>
              <w:t xml:space="preserve">requests/s</w:t>
            </w:r>
          </w:p>
        </w:tc>
      </w:tr>
      <w:tr>
        <w:tc>
          <w:tcPr/>
          <w:p>
            <w:pPr>
              <w:pStyle w:val="Compact"/>
              <w:jc w:val="left"/>
            </w:pPr>
            <m:oMath>
              <m:r>
                <m:t>W</m:t>
              </m:r>
            </m:oMath>
          </w:p>
        </w:tc>
        <w:tc>
          <w:tcPr/>
          <w:p>
            <w:pPr>
              <w:pStyle w:val="Compact"/>
              <w:jc w:val="left"/>
            </w:pPr>
            <w:r>
              <w:t xml:space="preserve">Time a request holds a connection (network RTT plus server time)</w:t>
            </w:r>
          </w:p>
        </w:tc>
        <w:tc>
          <w:tcPr/>
          <w:p>
            <w:pPr>
              <w:pStyle w:val="Compact"/>
              <w:jc w:val="left"/>
            </w:pPr>
            <w:r>
              <w:t xml:space="preserve">s</w:t>
            </w:r>
          </w:p>
        </w:tc>
      </w:tr>
    </w:tbl>
    <w:p>
      <w:pPr>
        <w:pStyle w:val="CalloutExample"/>
      </w:pPr>
      <w:r>
        <w:rPr>
          <w:bCs/>
          <w:b/>
        </w:rPr>
        <w:t xml:space="preserve">WORKED EXAMPLE</w:t>
      </w:r>
    </w:p>
    <w:p>
      <w:pPr>
        <w:pStyle w:val="CalloutExample"/>
      </w:pPr>
      <w:r>
        <w:rPr>
          <w:bCs/>
          <w:b/>
        </w:rPr>
        <w:t xml:space="preserve">Worked example — Database pool sizing.</w:t>
      </w:r>
    </w:p>
    <w:p>
      <w:pPr>
        <w:pStyle w:val="CalloutExample"/>
      </w:pPr>
      <w:r>
        <w:t xml:space="preserve">An application server issues 2,000 queries per second; each holds a connection for 5 ms on average (0.5 ms RTT plus 4.5 ms of query execution).</w:t>
      </w:r>
    </w:p>
    <w:p>
      <w:pPr>
        <w:numPr>
          <w:ilvl w:val="0"/>
          <w:numId w:val="1240"/>
        </w:numPr>
        <w:pStyle w:val="Compact"/>
      </w:pPr>
      <m:oMath>
        <m:r>
          <m:t>N</m:t>
        </m:r>
        <m:r>
          <m:rPr>
            <m:sty m:val="p"/>
          </m:rPr>
          <m:t>=</m:t>
        </m:r>
        <m:r>
          <m:t>2</m:t>
        </m:r>
        <m:r>
          <m:rPr>
            <m:sty m:val="p"/>
          </m:rPr>
          <m:t>,</m:t>
        </m:r>
        <m:r>
          <m:t>000</m:t>
        </m:r>
        <m:r>
          <m:rPr>
            <m:sty m:val="p"/>
          </m:rPr>
          <m:t>×</m:t>
        </m:r>
        <m:r>
          <m:t>0.005</m:t>
        </m:r>
        <m:r>
          <m:rPr>
            <m:sty m:val="p"/>
          </m:rPr>
          <m:t>=</m:t>
        </m:r>
        <m:r>
          <m:t>10</m:t>
        </m:r>
      </m:oMath>
      <w:r>
        <w:t xml:space="preserve"> </w:t>
      </w:r>
      <w:r>
        <w:t xml:space="preserve">busy connections on average.</w:t>
      </w:r>
    </w:p>
    <w:p>
      <w:pPr>
        <w:numPr>
          <w:ilvl w:val="0"/>
          <w:numId w:val="1240"/>
        </w:numPr>
        <w:pStyle w:val="Compact"/>
      </w:pPr>
      <w:r>
        <w:t xml:space="preserve">Add headroom for bursts and tail latency: if p99 hold time is 25 ms, bursts can need</w:t>
      </w:r>
      <w:r>
        <w:t xml:space="preserve"> </w:t>
      </w:r>
      <m:oMath>
        <m:r>
          <m:t>2</m:t>
        </m:r>
        <m:r>
          <m:rPr>
            <m:sty m:val="p"/>
          </m:rPr>
          <m:t>,</m:t>
        </m:r>
        <m:r>
          <m:t>000</m:t>
        </m:r>
        <m:r>
          <m:rPr>
            <m:sty m:val="p"/>
          </m:rPr>
          <m:t>×</m:t>
        </m:r>
        <m:r>
          <m:t>0.025</m:t>
        </m:r>
        <m:r>
          <m:rPr>
            <m:sty m:val="p"/>
          </m:rPr>
          <m:t>=</m:t>
        </m:r>
        <m:r>
          <m:t>50</m:t>
        </m:r>
      </m:oMath>
      <w:r>
        <w:t xml:space="preserve">. A pool of 20–50 is reasonable.</w:t>
      </w:r>
    </w:p>
    <w:p>
      <w:pPr>
        <w:numPr>
          <w:ilvl w:val="0"/>
          <w:numId w:val="1240"/>
        </w:numPr>
        <w:pStyle w:val="Compact"/>
      </w:pPr>
      <w:r>
        <w:t xml:space="preserve">With 40 application servers each holding a pool of 50, the database must accept 2,000 connections. Many databases degrade with thousands of connections (PostgreSQL uses a process per connection), which is why connection proxies such as PgBouncer sit in between (Chapter 14).</w:t>
      </w:r>
    </w:p>
    <w:p>
      <w:pPr>
        <w:pStyle w:val="CalloutExample"/>
      </w:pPr>
      <w:r>
        <w:t xml:space="preserve">Interpretation: size pools from rate × hold time, not by guessing; and remember pools multiply across instances.</w:t>
      </w:r>
    </w:p>
    <w:bookmarkEnd w:id="798"/>
    <w:bookmarkStart w:id="799" w:name="keep-alive-pitfalls"/>
    <w:p>
      <w:pPr>
        <w:pStyle w:val="Heading3"/>
      </w:pPr>
      <w:r>
        <w:t xml:space="preserve">7.16.3 Keep-alive pitfalls</w:t>
      </w:r>
    </w:p>
    <w:p>
      <w:pPr>
        <w:numPr>
          <w:ilvl w:val="0"/>
          <w:numId w:val="1241"/>
        </w:numPr>
        <w:pStyle w:val="Compact"/>
      </w:pPr>
      <w:r>
        <w:rPr>
          <w:bCs/>
          <w:b/>
        </w:rPr>
        <w:t xml:space="preserve">Idle-timeout races.</w:t>
      </w:r>
      <w:r>
        <w:t xml:space="preserve"> </w:t>
      </w:r>
      <w:r>
        <w:t xml:space="preserve">If the server (or a load balancer) closes idle connections after 60 s and the client’s pool keeps them for 90 s, the client will occasionally send a request on a connection the server has just closed, getting a reset. Set client idle timeouts</w:t>
      </w:r>
      <w:r>
        <w:t xml:space="preserve"> </w:t>
      </w:r>
      <w:r>
        <w:rPr>
          <w:bCs/>
          <w:b/>
        </w:rPr>
        <w:t xml:space="preserve">shorter</w:t>
      </w:r>
      <w:r>
        <w:t xml:space="preserve"> </w:t>
      </w:r>
      <w:r>
        <w:t xml:space="preserve">than every server-side timeout along the path, and retry idempotent requests on this specific failure.</w:t>
      </w:r>
    </w:p>
    <w:p>
      <w:pPr>
        <w:numPr>
          <w:ilvl w:val="0"/>
          <w:numId w:val="1241"/>
        </w:numPr>
        <w:pStyle w:val="Compact"/>
      </w:pPr>
      <w:r>
        <w:rPr>
          <w:bCs/>
          <w:b/>
        </w:rPr>
        <w:t xml:space="preserve">Stale connections after failover.</w:t>
      </w:r>
      <w:r>
        <w:t xml:space="preserve"> </w:t>
      </w:r>
      <w:r>
        <w:t xml:space="preserve">Long-lived connections keep talking to an old backend after DNS changes, so set a maximum connection lifetime.</w:t>
      </w:r>
    </w:p>
    <w:p>
      <w:pPr>
        <w:numPr>
          <w:ilvl w:val="0"/>
          <w:numId w:val="1241"/>
        </w:numPr>
        <w:pStyle w:val="Compact"/>
      </w:pPr>
      <w:r>
        <w:rPr>
          <w:bCs/>
          <w:b/>
        </w:rPr>
        <w:t xml:space="preserve">Load imbalance with multiplexed protocols.</w:t>
      </w:r>
      <w:r>
        <w:t xml:space="preserve"> </w:t>
      </w:r>
      <w:r>
        <w:t xml:space="preserve">An HTTP/2 or gRPC client may send all its traffic over one long-lived connection to one backend; an L4 load balancer balances connections, not requests, so new backends receive nothing. Use L7 (request-level) load balancing or client-side balancing, and cap connection age so connections periodically redistribute (§19.10).</w:t>
      </w:r>
    </w:p>
    <w:p>
      <w:pPr>
        <w:numPr>
          <w:ilvl w:val="0"/>
          <w:numId w:val="1241"/>
        </w:numPr>
        <w:pStyle w:val="Compact"/>
      </w:pPr>
      <w:r>
        <w:rPr>
          <w:bCs/>
          <w:b/>
        </w:rPr>
        <w:t xml:space="preserve">TCP keep-alive is not HTTP keep-alive.</w:t>
      </w:r>
      <w:r>
        <w:t xml:space="preserve"> </w:t>
      </w:r>
      <w:r>
        <w:t xml:space="preserve">HTTP keep-alive means</w:t>
      </w:r>
      <w:r>
        <w:t xml:space="preserve"> </w:t>
      </w:r>
      <w:r>
        <w:t xml:space="preserve">“</w:t>
      </w:r>
      <w:r>
        <w:t xml:space="preserve">reuse this connection for more requests</w:t>
      </w:r>
      <w:r>
        <w:t xml:space="preserve">”</w:t>
      </w:r>
      <w:r>
        <w:t xml:space="preserve">. TCP keep-alive sends empty probes on an idle connection to detect dead peers and refresh NAT and firewall state.</w:t>
      </w:r>
    </w:p>
    <w:bookmarkEnd w:id="799"/>
    <w:bookmarkEnd w:id="800"/>
    <w:bookmarkStart w:id="806" w:name="datacenter-networking"/>
    <w:p>
      <w:pPr>
        <w:pStyle w:val="Heading2"/>
      </w:pPr>
      <w:r>
        <w:t xml:space="preserve">7.17 Datacenter networking</w:t>
      </w:r>
    </w:p>
    <w:bookmarkStart w:id="804" w:name="from-trees-to-leafspine"/>
    <w:p>
      <w:pPr>
        <w:pStyle w:val="Heading3"/>
      </w:pPr>
      <w:r>
        <w:t xml:space="preserve">7.17.1 From trees to leaf–spine</w:t>
      </w:r>
    </w:p>
    <w:p>
      <w:pPr>
        <w:pStyle w:val="FirstParagraph"/>
      </w:pPr>
      <w:r>
        <w:t xml:space="preserve">Traditional enterprise networks were</w:t>
      </w:r>
      <w:r>
        <w:t xml:space="preserve"> </w:t>
      </w:r>
      <w:r>
        <w:rPr>
          <w:bCs/>
          <w:b/>
        </w:rPr>
        <w:t xml:space="preserve">trees</w:t>
      </w:r>
      <w:r>
        <w:t xml:space="preserve">: servers connect to access switches, which connect to aggregation switches, which connect to a pair of large core routers. Trees suit</w:t>
      </w:r>
      <w:r>
        <w:t xml:space="preserve"> </w:t>
      </w:r>
      <w:r>
        <w:rPr>
          <w:bCs/>
          <w:b/>
        </w:rPr>
        <w:t xml:space="preserve">north–south</w:t>
      </w:r>
      <w:r>
        <w:t xml:space="preserve"> </w:t>
      </w:r>
      <w:r>
        <w:t xml:space="preserve">traffic (between users outside and servers inside). Modern applications are different: a single user request fans out to dozens of internal services, caches and databases, and batch jobs shuffle terabytes between servers. Most bytes now flow</w:t>
      </w:r>
      <w:r>
        <w:t xml:space="preserve"> </w:t>
      </w:r>
      <w:r>
        <w:rPr>
          <w:bCs/>
          <w:b/>
        </w:rPr>
        <w:t xml:space="preserve">east–west</w:t>
      </w:r>
      <w:r>
        <w:t xml:space="preserve">, server to server inside the datacenter. In a tree, east–west traffic converges on the few links near the top, which become the bottleneck, and the expensive core routers become both a cost and a failure concentration.</w:t>
      </w:r>
    </w:p>
    <w:p>
      <w:pPr>
        <w:pStyle w:val="CalloutDefinition"/>
      </w:pPr>
      <w:r>
        <w:rPr>
          <w:bCs/>
          <w:b/>
        </w:rPr>
        <w:t xml:space="preserve">DEFINITION</w:t>
      </w:r>
    </w:p>
    <w:p>
      <w:pPr>
        <w:pStyle w:val="CalloutDefinition"/>
      </w:pPr>
      <w:r>
        <w:rPr>
          <w:bCs/>
          <w:b/>
        </w:rPr>
        <w:t xml:space="preserve">Definition — Leaf–spine (folded Clos) network.</w:t>
      </w:r>
      <w:r>
        <w:t xml:space="preserve"> </w:t>
      </w:r>
      <w:r>
        <w:t xml:space="preserve">A two-tier topology in which every</w:t>
      </w:r>
      <w:r>
        <w:t xml:space="preserve"> </w:t>
      </w:r>
      <w:r>
        <w:rPr>
          <w:bCs/>
          <w:b/>
        </w:rPr>
        <w:t xml:space="preserve">leaf</w:t>
      </w:r>
      <w:r>
        <w:t xml:space="preserve"> </w:t>
      </w:r>
      <w:r>
        <w:t xml:space="preserve">(top-of-rack) switch connects to every</w:t>
      </w:r>
      <w:r>
        <w:t xml:space="preserve"> </w:t>
      </w:r>
      <w:r>
        <w:rPr>
          <w:bCs/>
          <w:b/>
        </w:rPr>
        <w:t xml:space="preserve">spine</w:t>
      </w:r>
      <w:r>
        <w:t xml:space="preserve"> </w:t>
      </w:r>
      <w:r>
        <w:t xml:space="preserve">switch, and servers attach only to leaves. Any two servers on different leaves are exactly two switch hops apart (leaf → spine → leaf), and traffic is spread across all spines with ECMP. It is a form of the multistage</w:t>
      </w:r>
      <w:r>
        <w:t xml:space="preserve"> </w:t>
      </w:r>
      <w:r>
        <w:rPr>
          <w:bCs/>
          <w:b/>
        </w:rPr>
        <w:t xml:space="preserve">Clos network</w:t>
      </w:r>
      <w:r>
        <w:t xml:space="preserve">, first described by Charles Clos in 1953 for telephone switching. Larger fabrics add a third tier.</w:t>
      </w:r>
    </w:p>
    <w:p>
      <w:pPr>
        <w:pStyle w:val="BodyText"/>
      </w:pPr>
      <w:r>
        <w:rPr>
          <w:bCs/>
          <w:b/>
        </w:rPr>
        <w:t xml:space="preserve">Figure 7.12 — A leaf–spine fabric with ECMP.</w:t>
      </w:r>
    </w:p>
    <w:p>
      <w:pPr>
        <w:pStyle w:val="BodyText"/>
      </w:pPr>
      <w:r>
        <w:drawing>
          <wp:inline>
            <wp:extent cx="5334000" cy="2052006"/>
            <wp:effectExtent b="0" l="0" r="0" t="0"/>
            <wp:docPr descr="" title="" id="802" name="Picture"/>
            <a:graphic>
              <a:graphicData uri="http://schemas.openxmlformats.org/drawingml/2006/picture">
                <pic:pic>
                  <pic:nvPicPr>
                    <pic:cNvPr descr="/home/user/System-Design/build/.cache/diagrams/c97dca5b6ad6.png" id="803" name="Picture"/>
                    <pic:cNvPicPr>
                      <a:picLocks noChangeArrowheads="1" noChangeAspect="1"/>
                    </pic:cNvPicPr>
                  </pic:nvPicPr>
                  <pic:blipFill>
                    <a:blip r:embed="rId801"/>
                    <a:stretch>
                      <a:fillRect/>
                    </a:stretch>
                  </pic:blipFill>
                  <pic:spPr bwMode="auto">
                    <a:xfrm>
                      <a:off x="0" y="0"/>
                      <a:ext cx="5334000" cy="2052006"/>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Servers in each rack connect to their leaf switch. Every leaf has one uplink to every spine (a full bipartite mesh), so a flow from rack 1 to rack 3 has four equal-cost two-hop paths, and leaves pick among them by hashing each flow’s 5-tuple (ECMP). Spines never connect to each other or to servers. One leaf (or a dedicated pair) connects to border routers for north–south traffic. Links are undirected because traffic flows both ways; all forwarding is synchronous hardware switching. Failure points: losing a spine removes one quarter of cross-rack capacity rather than isolating anything; losing a leaf isolates its rack, which is why critical services spread replicas across racks. Scaling: add spines for more bandwidth, add leaves (up to the spine port count) for more racks.</w:t>
      </w:r>
    </w:p>
    <w:p>
      <w:pPr>
        <w:pStyle w:val="CalloutFormula"/>
      </w:pPr>
      <w:r>
        <w:rPr>
          <w:bCs/>
          <w:b/>
        </w:rPr>
        <w:t xml:space="preserve">FORMULA</w:t>
      </w:r>
    </w:p>
    <w:p>
      <w:pPr>
        <w:pStyle w:val="CalloutFormula"/>
      </w:pPr>
      <w:r>
        <w:rPr>
          <w:bCs/>
          <w:b/>
        </w:rPr>
        <w:t xml:space="preserve">Oversubscription ratio at a leaf</w:t>
      </w:r>
    </w:p>
    <w:p>
      <w:pPr>
        <w:pStyle w:val="CalloutFormula"/>
      </w:pPr>
      <m:oMathPara>
        <m:oMathParaPr>
          <m:jc m:val="center"/>
        </m:oMathParaPr>
        <m:oMath>
          <m:r>
            <m:rPr>
              <m:nor/>
              <m:sty m:val="p"/>
            </m:rPr>
            <m:t>Oversubscription</m:t>
          </m:r>
          <m:r>
            <m:rPr>
              <m:sty m:val="p"/>
            </m:rPr>
            <m:t>=</m:t>
          </m:r>
          <m:f>
            <m:fPr>
              <m:type m:val="bar"/>
            </m:fPr>
            <m:num>
              <m:r>
                <m:rPr>
                  <m:nor/>
                  <m:sty m:val="p"/>
                </m:rPr>
                <m:t>total server-facing bandwidth</m:t>
              </m:r>
            </m:num>
            <m:den>
              <m:r>
                <m:rPr>
                  <m:nor/>
                  <m:sty m:val="p"/>
                </m:rPr>
                <m:t>total uplink bandwidth</m:t>
              </m:r>
            </m:den>
          </m:f>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w:r>
              <w:t xml:space="preserve">Server-facing bandwidth</w:t>
            </w:r>
          </w:p>
        </w:tc>
        <w:tc>
          <w:tcPr/>
          <w:p>
            <w:pPr>
              <w:pStyle w:val="Compact"/>
              <w:jc w:val="left"/>
            </w:pPr>
            <w:r>
              <w:t xml:space="preserve">Sum of the leaf’s downlink port speeds</w:t>
            </w:r>
          </w:p>
        </w:tc>
        <w:tc>
          <w:tcPr/>
          <w:p>
            <w:pPr>
              <w:pStyle w:val="Compact"/>
              <w:jc w:val="left"/>
            </w:pPr>
            <w:r>
              <w:t xml:space="preserve">Gbps</w:t>
            </w:r>
          </w:p>
        </w:tc>
      </w:tr>
      <w:tr>
        <w:tc>
          <w:tcPr/>
          <w:p>
            <w:pPr>
              <w:pStyle w:val="Compact"/>
              <w:jc w:val="left"/>
            </w:pPr>
            <w:r>
              <w:t xml:space="preserve">Uplink bandwidth</w:t>
            </w:r>
          </w:p>
        </w:tc>
        <w:tc>
          <w:tcPr/>
          <w:p>
            <w:pPr>
              <w:pStyle w:val="Compact"/>
              <w:jc w:val="left"/>
            </w:pPr>
            <w:r>
              <w:t xml:space="preserve">Sum of the leaf’s spine-facing port speeds</w:t>
            </w:r>
          </w:p>
        </w:tc>
        <w:tc>
          <w:tcPr/>
          <w:p>
            <w:pPr>
              <w:pStyle w:val="Compact"/>
              <w:jc w:val="left"/>
            </w:pPr>
            <w:r>
              <w:t xml:space="preserve">Gbps</w:t>
            </w:r>
          </w:p>
        </w:tc>
      </w:tr>
    </w:tbl>
    <w:p>
      <w:pPr>
        <w:pStyle w:val="CalloutExample"/>
      </w:pPr>
      <w:r>
        <w:rPr>
          <w:bCs/>
          <w:b/>
        </w:rPr>
        <w:t xml:space="preserve">WORKED EXAMPLE</w:t>
      </w:r>
    </w:p>
    <w:p>
      <w:pPr>
        <w:pStyle w:val="CalloutExample"/>
      </w:pPr>
      <w:r>
        <w:rPr>
          <w:bCs/>
          <w:b/>
        </w:rPr>
        <w:t xml:space="preserve">Worked example — Sizing a leaf–spine fabric.</w:t>
      </w:r>
    </w:p>
    <w:p>
      <w:pPr>
        <w:pStyle w:val="CalloutExample"/>
      </w:pPr>
      <w:r>
        <w:t xml:space="preserve">Each leaf has 48 × 25 Gbps server ports and 6 × 100 Gbps uplinks; each spine has 64 × 100 Gbps ports.</w:t>
      </w:r>
    </w:p>
    <w:p>
      <w:pPr>
        <w:numPr>
          <w:ilvl w:val="0"/>
          <w:numId w:val="1242"/>
        </w:numPr>
        <w:pStyle w:val="Compact"/>
      </w:pPr>
      <w:r>
        <w:t xml:space="preserve">Downlink:</w:t>
      </w:r>
      <w:r>
        <w:t xml:space="preserve"> </w:t>
      </w:r>
      <m:oMath>
        <m:r>
          <m:t>48</m:t>
        </m:r>
        <m:r>
          <m:rPr>
            <m:sty m:val="p"/>
          </m:rPr>
          <m:t>×</m:t>
        </m:r>
        <m:r>
          <m:t>25</m:t>
        </m:r>
        <m:r>
          <m:rPr>
            <m:sty m:val="p"/>
          </m:rPr>
          <m:t>=</m:t>
        </m:r>
        <m:r>
          <m:t>1</m:t>
        </m:r>
        <m:r>
          <m:rPr>
            <m:sty m:val="p"/>
          </m:rPr>
          <m:t>,</m:t>
        </m:r>
        <m:r>
          <m:t>200</m:t>
        </m:r>
      </m:oMath>
      <w:r>
        <w:t xml:space="preserve"> </w:t>
      </w:r>
      <w:r>
        <w:t xml:space="preserve">Gbps. Uplink:</w:t>
      </w:r>
      <w:r>
        <w:t xml:space="preserve"> </w:t>
      </w:r>
      <m:oMath>
        <m:r>
          <m:t>6</m:t>
        </m:r>
        <m:r>
          <m:rPr>
            <m:sty m:val="p"/>
          </m:rPr>
          <m:t>×</m:t>
        </m:r>
        <m:r>
          <m:t>100</m:t>
        </m:r>
        <m:r>
          <m:rPr>
            <m:sty m:val="p"/>
          </m:rPr>
          <m:t>=</m:t>
        </m:r>
        <m:r>
          <m:t>600</m:t>
        </m:r>
      </m:oMath>
      <w:r>
        <w:t xml:space="preserve"> </w:t>
      </w:r>
      <w:r>
        <w:t xml:space="preserve">Gbps.</w:t>
      </w:r>
    </w:p>
    <w:p>
      <w:pPr>
        <w:numPr>
          <w:ilvl w:val="0"/>
          <w:numId w:val="1242"/>
        </w:numPr>
        <w:pStyle w:val="Compact"/>
      </w:pPr>
      <w:r>
        <w:t xml:space="preserve">Oversubscription:</w:t>
      </w:r>
      <w:r>
        <w:t xml:space="preserve"> </w:t>
      </w:r>
      <m:oMath>
        <m:r>
          <m:t>1</m:t>
        </m:r>
        <m:r>
          <m:rPr>
            <m:sty m:val="p"/>
          </m:rPr>
          <m:t>,</m:t>
        </m:r>
        <m:r>
          <m:t>200</m:t>
        </m:r>
        <m:r>
          <m:rPr>
            <m:sty m:val="p"/>
          </m:rPr>
          <m:t>/</m:t>
        </m:r>
        <m:r>
          <m:t>600</m:t>
        </m:r>
        <m:r>
          <m:rPr>
            <m:sty m:val="p"/>
          </m:rPr>
          <m:t>=</m:t>
        </m:r>
        <m:r>
          <m:t>2</m:t>
        </m:r>
        <m:r>
          <m:rPr>
            <m:sty m:val="p"/>
          </m:rPr>
          <m:t>:</m:t>
        </m:r>
        <m:r>
          <m:t>1</m:t>
        </m:r>
      </m:oMath>
      <w:r>
        <w:t xml:space="preserve">. If every server sends cross-rack at full rate, each gets at most 12.5 Gbps.</w:t>
      </w:r>
    </w:p>
    <w:p>
      <w:pPr>
        <w:numPr>
          <w:ilvl w:val="0"/>
          <w:numId w:val="1242"/>
        </w:numPr>
        <w:pStyle w:val="Compact"/>
      </w:pPr>
      <w:r>
        <w:t xml:space="preserve">Each leaf uses one port on each of 6 spines, so there are 6 spines. Each spine has 64 ports, so at most 64 leaves.</w:t>
      </w:r>
    </w:p>
    <w:p>
      <w:pPr>
        <w:numPr>
          <w:ilvl w:val="0"/>
          <w:numId w:val="1242"/>
        </w:numPr>
        <w:pStyle w:val="Compact"/>
      </w:pPr>
      <w:r>
        <w:t xml:space="preserve">Maximum servers:</w:t>
      </w:r>
      <w:r>
        <w:t xml:space="preserve"> </w:t>
      </w:r>
      <m:oMath>
        <m:r>
          <m:t>64</m:t>
        </m:r>
        <m:r>
          <m:rPr>
            <m:sty m:val="p"/>
          </m:rPr>
          <m:t>×</m:t>
        </m:r>
        <m:r>
          <m:t>48</m:t>
        </m:r>
        <m:r>
          <m:rPr>
            <m:sty m:val="p"/>
          </m:rPr>
          <m:t>=</m:t>
        </m:r>
        <m:r>
          <m:t>3</m:t>
        </m:r>
        <m:r>
          <m:rPr>
            <m:sty m:val="p"/>
          </m:rPr>
          <m:t>,</m:t>
        </m:r>
        <m:r>
          <m:t>072</m:t>
        </m:r>
      </m:oMath>
      <w:r>
        <w:t xml:space="preserve">.</w:t>
      </w:r>
    </w:p>
    <w:p>
      <w:pPr>
        <w:numPr>
          <w:ilvl w:val="0"/>
          <w:numId w:val="1242"/>
        </w:numPr>
        <w:pStyle w:val="Compact"/>
      </w:pPr>
      <w:r>
        <w:t xml:space="preserve">Total leaf-to-spine capacity:</w:t>
      </w:r>
      <w:r>
        <w:t xml:space="preserve"> </w:t>
      </w:r>
      <m:oMath>
        <m:r>
          <m:t>64</m:t>
        </m:r>
        <m:r>
          <m:rPr>
            <m:nor/>
            <m:sty m:val="p"/>
          </m:rPr>
          <m:t> leaves</m:t>
        </m:r>
        <m:r>
          <m:rPr>
            <m:sty m:val="p"/>
          </m:rPr>
          <m:t>×</m:t>
        </m:r>
        <m:r>
          <m:t>600</m:t>
        </m:r>
        <m:r>
          <m:rPr>
            <m:nor/>
            <m:sty m:val="p"/>
          </m:rPr>
          <m:t> Gbps</m:t>
        </m:r>
        <m:r>
          <m:rPr>
            <m:sty m:val="p"/>
          </m:rPr>
          <m:t>=</m:t>
        </m:r>
        <m:r>
          <m:t>38.4</m:t>
        </m:r>
      </m:oMath>
      <w:r>
        <w:t xml:space="preserve"> </w:t>
      </w:r>
      <w:r>
        <w:t xml:space="preserve">Tbps. The</w:t>
      </w:r>
      <w:r>
        <w:t xml:space="preserve"> </w:t>
      </w:r>
      <w:r>
        <w:rPr>
          <w:bCs/>
          <w:b/>
        </w:rPr>
        <w:t xml:space="preserve">bisection bandwidth</w:t>
      </w:r>
      <w:r>
        <w:t xml:space="preserve"> </w:t>
      </w:r>
      <w:r>
        <w:t xml:space="preserve">(capacity between any half of the leaves and the other half) is</w:t>
      </w:r>
      <w:r>
        <w:t xml:space="preserve"> </w:t>
      </w:r>
      <m:oMath>
        <m:r>
          <m:t>32</m:t>
        </m:r>
        <m:r>
          <m:rPr>
            <m:sty m:val="p"/>
          </m:rPr>
          <m:t>×</m:t>
        </m:r>
        <m:r>
          <m:t>600</m:t>
        </m:r>
        <m:r>
          <m:rPr>
            <m:sty m:val="p"/>
          </m:rPr>
          <m:t>=</m:t>
        </m:r>
        <m:r>
          <m:t>19.2</m:t>
        </m:r>
      </m:oMath>
      <w:r>
        <w:t xml:space="preserve"> </w:t>
      </w:r>
      <w:r>
        <w:t xml:space="preserve">Tbps.</w:t>
      </w:r>
    </w:p>
    <w:p>
      <w:pPr>
        <w:pStyle w:val="CalloutExample"/>
      </w:pPr>
      <w:r>
        <w:t xml:space="preserve">Interpretation: oversubscription is a cost lever. 1:1 (</w:t>
      </w:r>
      <w:r>
        <w:t xml:space="preserve">“</w:t>
      </w:r>
      <w:r>
        <w:t xml:space="preserve">non-blocking</w:t>
      </w:r>
      <w:r>
        <w:t xml:space="preserve">”</w:t>
      </w:r>
      <w:r>
        <w:t xml:space="preserve">) fabrics cost more uplinks and spines; 3:1 is acceptable for workloads that are mostly rack-local. Larger fabrics add a third tier of switches to go beyond the port count of one spine.</w:t>
      </w:r>
    </w:p>
    <w:p>
      <w:pPr>
        <w:pStyle w:val="CalloutIndustry"/>
      </w:pPr>
      <w:r>
        <w:rPr>
          <w:bCs/>
          <w:b/>
        </w:rPr>
        <w:t xml:space="preserve">INDUSTRY EXAMPLE</w:t>
      </w:r>
    </w:p>
    <w:p>
      <w:pPr>
        <w:pStyle w:val="CalloutIndustry"/>
      </w:pPr>
      <w:r>
        <w:rPr>
          <w:bCs/>
          <w:b/>
        </w:rPr>
        <w:t xml:space="preserve">Google Jupiter.</w:t>
      </w:r>
      <w:r>
        <w:t xml:space="preserve"> </w:t>
      </w:r>
      <w:r>
        <w:t xml:space="preserve">Google’s SIGCOMM 2015 paper describes a decade of five datacenter network generations, culminating in Jupiter. Instead of buying ever-larger proprietary routers, Google built multistage Clos topologies from many small switches using commodity merchant silicon, managed them with centralized, software-defined control rather than traditional distributed routing protocols, and scaled capacity about 100× over ten years to more than 1 Pbps of bisection bandwidth. The paper’s argument (that bandwidth demand from east–west traffic grows faster than any single box can, so the network must scale out like the servers) is now standard practice across large datacenter operators.</w:t>
      </w:r>
      <w:r>
        <w:t xml:space="preserve"> </w:t>
      </w:r>
      <w:r>
        <w:rPr>
          <w:iCs/>
          <w:i/>
        </w:rPr>
        <w:t xml:space="preserve">Evidence: Primary</w:t>
      </w:r>
      <w:r>
        <w:t xml:space="preserve"> </w:t>
      </w:r>
      <w:r>
        <w:t xml:space="preserve">— [Singh et al. 2015]</w:t>
      </w:r>
    </w:p>
    <w:bookmarkEnd w:id="804"/>
    <w:bookmarkStart w:id="805" w:name="datacenter-specific-problems"/>
    <w:p>
      <w:pPr>
        <w:pStyle w:val="Heading3"/>
      </w:pPr>
      <w:r>
        <w:t xml:space="preserve">7.17.2 Datacenter-specific problems</w:t>
      </w:r>
    </w:p>
    <w:p>
      <w:pPr>
        <w:numPr>
          <w:ilvl w:val="0"/>
          <w:numId w:val="1243"/>
        </w:numPr>
        <w:pStyle w:val="Compact"/>
      </w:pPr>
      <w:r>
        <w:rPr>
          <w:bCs/>
          <w:b/>
        </w:rPr>
        <w:t xml:space="preserve">Incast.</w:t>
      </w:r>
      <w:r>
        <w:t xml:space="preserve"> </w:t>
      </w:r>
      <w:r>
        <w:t xml:space="preserve">When a client fans a request out to 100 servers that all reply at the same instant, the replies converge on one leaf port, overflow its shallow buffer, and drop packets. The dropped flows wait for a 200 ms minimum RTO in a network whose RTT is about 100 µs, producing extreme tail latency (§23.6). Mitigations: limit fan-out concurrency, jittered responses, smaller minimum RTOs, and ECN-based congestion control such as DCTCP.</w:t>
      </w:r>
    </w:p>
    <w:p>
      <w:pPr>
        <w:numPr>
          <w:ilvl w:val="0"/>
          <w:numId w:val="1243"/>
        </w:numPr>
        <w:pStyle w:val="Compact"/>
      </w:pPr>
      <w:r>
        <w:rPr>
          <w:bCs/>
          <w:b/>
        </w:rPr>
        <w:t xml:space="preserve">ECMP hash collisions.</w:t>
      </w:r>
      <w:r>
        <w:t xml:space="preserve"> </w:t>
      </w:r>
      <w:r>
        <w:t xml:space="preserve">Two elephant flows hashed onto the same spine link share it while other links sit idle. Flowlet switching, packet spraying and adaptive routing reduce this.</w:t>
      </w:r>
    </w:p>
    <w:p>
      <w:pPr>
        <w:numPr>
          <w:ilvl w:val="0"/>
          <w:numId w:val="1243"/>
        </w:numPr>
        <w:pStyle w:val="Compact"/>
      </w:pPr>
      <w:r>
        <w:rPr>
          <w:bCs/>
          <w:b/>
        </w:rPr>
        <w:t xml:space="preserve">Gray failures.</w:t>
      </w:r>
      <w:r>
        <w:t xml:space="preserve"> </w:t>
      </w:r>
      <w:r>
        <w:t xml:space="preserve">A link that drops 1% of packets is worse than a dead one, because routing still uses it while TCP throughput collapses (recall the Mathis formula). Operators monitor per-link error counters and drain suspect links automatically.</w:t>
      </w:r>
    </w:p>
    <w:bookmarkEnd w:id="805"/>
    <w:bookmarkEnd w:id="806"/>
    <w:bookmarkStart w:id="811" w:name="what-happens-when-you-type-a-url"/>
    <w:p>
      <w:pPr>
        <w:pStyle w:val="Heading2"/>
      </w:pPr>
      <w:r>
        <w:t xml:space="preserve">7.18 What happens when you type a URL</w:t>
      </w:r>
    </w:p>
    <w:p>
      <w:pPr>
        <w:pStyle w:val="FirstParagraph"/>
      </w:pPr>
      <w:r>
        <w:t xml:space="preserve">Everything in this chapter appears in the life of one request. Suppose you type</w:t>
      </w:r>
      <w:r>
        <w:t xml:space="preserve"> </w:t>
      </w:r>
      <w:r>
        <w:rPr>
          <w:rStyle w:val="VerbatimChar"/>
        </w:rPr>
        <w:t xml:space="preserve">https://www.example.com/</w:t>
      </w:r>
      <w:r>
        <w:t xml:space="preserve"> </w:t>
      </w:r>
      <w:r>
        <w:t xml:space="preserve">into a browser on a laptop connected by Wi-Fi at home, with a cold DNS cache, and the site is served by a CDN edge 20 ms away (RTT) with HTTP/2.</w:t>
      </w:r>
    </w:p>
    <w:p>
      <w:pPr>
        <w:pStyle w:val="BodyText"/>
      </w:pPr>
      <w:r>
        <w:rPr>
          <w:bCs/>
          <w:b/>
        </w:rPr>
        <w:t xml:space="preserve">Figure 7.13 — Loading https://www.example.com/ end to end.</w:t>
      </w:r>
    </w:p>
    <w:p>
      <w:pPr>
        <w:pStyle w:val="BodyText"/>
      </w:pPr>
      <w:r>
        <w:drawing>
          <wp:inline>
            <wp:extent cx="5334000" cy="2885446"/>
            <wp:effectExtent b="0" l="0" r="0" t="0"/>
            <wp:docPr descr="" title="" id="808" name="Picture"/>
            <a:graphic>
              <a:graphicData uri="http://schemas.openxmlformats.org/drawingml/2006/picture">
                <pic:pic>
                  <pic:nvPicPr>
                    <pic:cNvPr descr="/home/user/System-Design/build/.cache/diagrams/c6c023c967f7.png" id="809" name="Picture"/>
                    <pic:cNvPicPr>
                      <a:picLocks noChangeArrowheads="1" noChangeAspect="1"/>
                    </pic:cNvPicPr>
                  </pic:nvPicPr>
                  <pic:blipFill>
                    <a:blip r:embed="rId807"/>
                    <a:stretch>
                      <a:fillRect/>
                    </a:stretch>
                  </pic:blipFill>
                  <pic:spPr bwMode="auto">
                    <a:xfrm>
                      <a:off x="0" y="0"/>
                      <a:ext cx="5334000" cy="2885446"/>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Steps 1–4: the browser (via the operating system stub) asks a recursive resolver, which walks the DNS hierarchy (§7.6); the authoritative server returns a CNAME pointing into the CDN, whose own authoritative servers answer with an anycast address (§7.5.3). Steps 5–7: the TCP handshake (§7.7.3), with the TLS ClientHello piggybacked on the final ACK. Step 8: the server’s TLS 1.3 flight (§7.10.2), including the certificate the browser validates. Step 9: the client’s Finished and the first HTTP/2 request, with ALPN having selected</w:t>
      </w:r>
      <w:r>
        <w:t xml:space="preserve"> </w:t>
      </w:r>
      <w:r>
        <w:rPr>
          <w:rStyle w:val="VerbatimChar"/>
        </w:rPr>
        <w:t xml:space="preserve">h2</w:t>
      </w:r>
      <w:r>
        <w:t xml:space="preserve"> </w:t>
      </w:r>
      <w:r>
        <w:t xml:space="preserve">(§7.9.3). Steps 10–13: the edge serves from cache or fetches from the origin over a pre-warmed, pooled connection (§7.16), so the user does not pay the origin’s handshakes. Step 14: subresources reuse the same multiplexed connection. All steps are synchronous; the edge cache and origin are the storage boundaries. Failure points include DNS (every step depends on it), certificate validity, and the origin path on cache misses.</w:t>
      </w:r>
    </w:p>
    <w:bookmarkStart w:id="810" w:name="steps-the-diagram-leaves-out"/>
    <w:p>
      <w:pPr>
        <w:pStyle w:val="Heading3"/>
      </w:pPr>
      <w:r>
        <w:t xml:space="preserve">7.18.1 Steps the diagram leaves out</w:t>
      </w:r>
    </w:p>
    <w:p>
      <w:pPr>
        <w:pStyle w:val="FirstParagraph"/>
      </w:pPr>
      <w:r>
        <w:t xml:space="preserve">Figure 7.13 shows the protocol messages. Several steps happen around them:</w:t>
      </w:r>
    </w:p>
    <w:p>
      <w:pPr>
        <w:numPr>
          <w:ilvl w:val="0"/>
          <w:numId w:val="1244"/>
        </w:numPr>
        <w:pStyle w:val="Compact"/>
      </w:pPr>
      <w:r>
        <w:rPr>
          <w:bCs/>
          <w:b/>
        </w:rPr>
        <w:t xml:space="preserve">Before any network traffic</w:t>
      </w:r>
      <w:r>
        <w:t xml:space="preserve">, the browser parses the URL into scheme (</w:t>
      </w:r>
      <w:r>
        <w:rPr>
          <w:rStyle w:val="VerbatimChar"/>
        </w:rPr>
        <w:t xml:space="preserve">https</w:t>
      </w:r>
      <w:r>
        <w:t xml:space="preserve">, so port 443), host and path, applies its HSTS list (which may force HTTPS), and checks its HTTP cache and any existing connection to the origin. A reused connection skips steps 1–9 of the figure entirely.</w:t>
      </w:r>
    </w:p>
    <w:p>
      <w:pPr>
        <w:numPr>
          <w:ilvl w:val="0"/>
          <w:numId w:val="1244"/>
        </w:numPr>
        <w:pStyle w:val="Compact"/>
      </w:pPr>
      <w:r>
        <w:rPr>
          <w:bCs/>
          <w:b/>
        </w:rPr>
        <w:t xml:space="preserve">Choosing an address (§7.4).</w:t>
      </w:r>
      <w:r>
        <w:t xml:space="preserve"> </w:t>
      </w:r>
      <w:r>
        <w:t xml:space="preserve">With both AAAA and A answers, Happy Eyeballs tries IPv6 first and races IPv4 if needed.</w:t>
      </w:r>
    </w:p>
    <w:p>
      <w:pPr>
        <w:numPr>
          <w:ilvl w:val="0"/>
          <w:numId w:val="1244"/>
        </w:numPr>
        <w:pStyle w:val="Compact"/>
      </w:pPr>
      <w:r>
        <w:rPr>
          <w:bCs/>
          <w:b/>
        </w:rPr>
        <w:t xml:space="preserve">The first hop (§7.3).</w:t>
      </w:r>
      <w:r>
        <w:t xml:space="preserve"> </w:t>
      </w:r>
      <w:r>
        <w:t xml:space="preserve">The destination is off-subnet, so the laptop frames the packet for its default gateway, learning the gateway’s MAC address with ARP or Neighbor Discovery.</w:t>
      </w:r>
    </w:p>
    <w:p>
      <w:pPr>
        <w:numPr>
          <w:ilvl w:val="0"/>
          <w:numId w:val="1244"/>
        </w:numPr>
        <w:pStyle w:val="Compact"/>
      </w:pPr>
      <w:r>
        <w:rPr>
          <w:bCs/>
          <w:b/>
        </w:rPr>
        <w:t xml:space="preserve">NAT (§7.13).</w:t>
      </w:r>
      <w:r>
        <w:t xml:space="preserve"> </w:t>
      </w:r>
      <w:r>
        <w:t xml:space="preserve">For IPv4, the home router rewrites the private source address (for example</w:t>
      </w:r>
      <w:r>
        <w:t xml:space="preserve"> </w:t>
      </w:r>
      <w:r>
        <w:rPr>
          <w:rStyle w:val="VerbatimChar"/>
        </w:rPr>
        <w:t xml:space="preserve">192.168.1.23</w:t>
      </w:r>
      <w:r>
        <w:t xml:space="preserve">) to its public address and records the mapping; the ISP may add carrier-grade NAT.</w:t>
      </w:r>
    </w:p>
    <w:p>
      <w:pPr>
        <w:numPr>
          <w:ilvl w:val="0"/>
          <w:numId w:val="1244"/>
        </w:numPr>
        <w:pStyle w:val="Compact"/>
      </w:pPr>
      <w:r>
        <w:rPr>
          <w:bCs/>
          <w:b/>
        </w:rPr>
        <w:t xml:space="preserve">Routing (§7.5).</w:t>
      </w:r>
      <w:r>
        <w:t xml:space="preserve"> </w:t>
      </w:r>
      <w:r>
        <w:t xml:space="preserve">ISP routers forward by longest-prefix match, and BGP delivers the anycast destination to a nearby edge site.</w:t>
      </w:r>
    </w:p>
    <w:p>
      <w:pPr>
        <w:numPr>
          <w:ilvl w:val="0"/>
          <w:numId w:val="1244"/>
        </w:numPr>
        <w:pStyle w:val="Compact"/>
      </w:pPr>
      <w:r>
        <w:rPr>
          <w:bCs/>
          <w:b/>
        </w:rPr>
        <w:t xml:space="preserve">Edge admission (§7.14, Chapter 19).</w:t>
      </w:r>
      <w:r>
        <w:t xml:space="preserve"> </w:t>
      </w:r>
      <w:r>
        <w:t xml:space="preserve">DDoS filtering and an L4 load balancer (ECMP plus consistent hashing) pick the server running the reverse proxy.</w:t>
      </w:r>
    </w:p>
    <w:p>
      <w:pPr>
        <w:numPr>
          <w:ilvl w:val="0"/>
          <w:numId w:val="1244"/>
        </w:numPr>
        <w:pStyle w:val="Compact"/>
      </w:pPr>
      <w:r>
        <w:rPr>
          <w:bCs/>
          <w:b/>
        </w:rPr>
        <w:t xml:space="preserve">Behind the edge (§8.5, Chapter 21).</w:t>
      </w:r>
      <w:r>
        <w:t xml:space="preserve"> </w:t>
      </w:r>
      <w:r>
        <w:t xml:space="preserve">On a cache miss, the origin’s reverse proxy routes the request to an application server, which may call caches and databases across a leaf–spine fabric (§7.17).</w:t>
      </w:r>
    </w:p>
    <w:p>
      <w:pPr>
        <w:numPr>
          <w:ilvl w:val="0"/>
          <w:numId w:val="1244"/>
        </w:numPr>
        <w:pStyle w:val="Compact"/>
      </w:pPr>
      <w:r>
        <w:rPr>
          <w:bCs/>
          <w:b/>
        </w:rPr>
        <w:t xml:space="preserve">After the response.</w:t>
      </w:r>
      <w:r>
        <w:t xml:space="preserve"> </w:t>
      </w:r>
      <w:r>
        <w:t xml:space="preserve">The browser discovers CSS, JavaScript and images and fetches them as concurrent streams on the same connection, ramping up under slow start (§7.7.7). An</w:t>
      </w:r>
      <w:r>
        <w:t xml:space="preserve"> </w:t>
      </w:r>
      <w:r>
        <w:rPr>
          <w:rStyle w:val="VerbatimChar"/>
        </w:rPr>
        <w:t xml:space="preserve">Alt-Svc</w:t>
      </w:r>
      <w:r>
        <w:t xml:space="preserve"> </w:t>
      </w:r>
      <w:r>
        <w:t xml:space="preserve">header may advertise HTTP/3 for later connections.</w:t>
      </w:r>
    </w:p>
    <w:p>
      <w:pPr>
        <w:pStyle w:val="CalloutExample"/>
      </w:pPr>
      <w:r>
        <w:rPr>
          <w:bCs/>
          <w:b/>
        </w:rPr>
        <w:t xml:space="preserve">WORKED EXAMPLE</w:t>
      </w:r>
    </w:p>
    <w:p>
      <w:pPr>
        <w:pStyle w:val="CalloutExample"/>
      </w:pPr>
      <w:r>
        <w:rPr>
          <w:bCs/>
          <w:b/>
        </w:rPr>
        <w:t xml:space="preserve">Worked example — Time to first byte budget.</w:t>
      </w:r>
    </w:p>
    <w:p>
      <w:pPr>
        <w:pStyle w:val="CalloutExample"/>
      </w:pPr>
      <w:r>
        <w:t xml:space="preserve">Assume: 5 ms RTT to the resolver; resolver needs root, TLD and authoritative lookups costing 15, 20 and 30 ms, plus 25 ms for the CDN’s authoritative servers; 20 ms RTT to the edge; 2 ms edge processing on a cache hit.</w:t>
      </w:r>
    </w:p>
    <w:p>
      <w:pPr>
        <w:numPr>
          <w:ilvl w:val="0"/>
          <w:numId w:val="1245"/>
        </w:numPr>
        <w:pStyle w:val="Compact"/>
      </w:pPr>
      <w:r>
        <w:t xml:space="preserve">DNS:</w:t>
      </w:r>
      <w:r>
        <w:t xml:space="preserve"> </w:t>
      </w:r>
      <m:oMath>
        <m:r>
          <m:t>5</m:t>
        </m:r>
        <m:r>
          <m:rPr>
            <m:sty m:val="p"/>
          </m:rPr>
          <m:t>+</m:t>
        </m:r>
        <m:r>
          <m:t>15</m:t>
        </m:r>
        <m:r>
          <m:rPr>
            <m:sty m:val="p"/>
          </m:rPr>
          <m:t>+</m:t>
        </m:r>
        <m:r>
          <m:t>20</m:t>
        </m:r>
        <m:r>
          <m:rPr>
            <m:sty m:val="p"/>
          </m:rPr>
          <m:t>+</m:t>
        </m:r>
        <m:r>
          <m:t>30</m:t>
        </m:r>
        <m:r>
          <m:rPr>
            <m:sty m:val="p"/>
          </m:rPr>
          <m:t>+</m:t>
        </m:r>
        <m:r>
          <m:t>25</m:t>
        </m:r>
        <m:r>
          <m:rPr>
            <m:sty m:val="p"/>
          </m:rPr>
          <m:t>=</m:t>
        </m:r>
        <m:r>
          <m:t>95</m:t>
        </m:r>
      </m:oMath>
      <w:r>
        <w:t xml:space="preserve"> </w:t>
      </w:r>
      <w:r>
        <w:t xml:space="preserve">ms (cold); 5 ms warm.</w:t>
      </w:r>
    </w:p>
    <w:p>
      <w:pPr>
        <w:numPr>
          <w:ilvl w:val="0"/>
          <w:numId w:val="1245"/>
        </w:numPr>
        <w:pStyle w:val="Compact"/>
      </w:pPr>
      <w:r>
        <w:t xml:space="preserve">TCP handshake: 20 ms.</w:t>
      </w:r>
    </w:p>
    <w:p>
      <w:pPr>
        <w:numPr>
          <w:ilvl w:val="0"/>
          <w:numId w:val="1245"/>
        </w:numPr>
        <w:pStyle w:val="Compact"/>
      </w:pPr>
      <w:r>
        <w:t xml:space="preserve">TLS 1.3 handshake: 20 ms.</w:t>
      </w:r>
    </w:p>
    <w:p>
      <w:pPr>
        <w:numPr>
          <w:ilvl w:val="0"/>
          <w:numId w:val="1245"/>
        </w:numPr>
        <w:pStyle w:val="Compact"/>
      </w:pPr>
      <w:r>
        <w:t xml:space="preserve">Request and first response byte:</w:t>
      </w:r>
      <w:r>
        <w:t xml:space="preserve"> </w:t>
      </w:r>
      <m:oMath>
        <m:r>
          <m:t>20</m:t>
        </m:r>
        <m:r>
          <m:rPr>
            <m:sty m:val="p"/>
          </m:rPr>
          <m:t>+</m:t>
        </m:r>
        <m:r>
          <m:t>2</m:t>
        </m:r>
        <m:r>
          <m:rPr>
            <m:sty m:val="p"/>
          </m:rPr>
          <m:t>=</m:t>
        </m:r>
        <m:r>
          <m:t>22</m:t>
        </m:r>
      </m:oMath>
      <w:r>
        <w:t xml:space="preserve"> </w:t>
      </w:r>
      <w:r>
        <w:t xml:space="preserve">ms.</w:t>
      </w:r>
    </w:p>
    <w:p>
      <w:pPr>
        <w:numPr>
          <w:ilvl w:val="0"/>
          <w:numId w:val="1245"/>
        </w:numPr>
        <w:pStyle w:val="Compact"/>
      </w:pPr>
      <w:r>
        <w:t xml:space="preserve">Total cold:</w:t>
      </w:r>
      <w:r>
        <w:t xml:space="preserve"> </w:t>
      </w:r>
      <m:oMath>
        <m:r>
          <m:t>95</m:t>
        </m:r>
        <m:r>
          <m:rPr>
            <m:sty m:val="p"/>
          </m:rPr>
          <m:t>+</m:t>
        </m:r>
        <m:r>
          <m:t>20</m:t>
        </m:r>
        <m:r>
          <m:rPr>
            <m:sty m:val="p"/>
          </m:rPr>
          <m:t>+</m:t>
        </m:r>
        <m:r>
          <m:t>20</m:t>
        </m:r>
        <m:r>
          <m:rPr>
            <m:sty m:val="p"/>
          </m:rPr>
          <m:t>+</m:t>
        </m:r>
        <m:r>
          <m:t>22</m:t>
        </m:r>
        <m:r>
          <m:rPr>
            <m:sty m:val="p"/>
          </m:rPr>
          <m:t>=</m:t>
        </m:r>
        <m:r>
          <m:t>157</m:t>
        </m:r>
      </m:oMath>
      <w:r>
        <w:t xml:space="preserve"> </w:t>
      </w:r>
      <w:r>
        <w:t xml:space="preserve">ms. Warm DNS:</w:t>
      </w:r>
      <w:r>
        <w:t xml:space="preserve"> </w:t>
      </w:r>
      <m:oMath>
        <m:r>
          <m:t>5</m:t>
        </m:r>
        <m:r>
          <m:rPr>
            <m:sty m:val="p"/>
          </m:rPr>
          <m:t>+</m:t>
        </m:r>
        <m:r>
          <m:t>62</m:t>
        </m:r>
        <m:r>
          <m:rPr>
            <m:sty m:val="p"/>
          </m:rPr>
          <m:t>=</m:t>
        </m:r>
        <m:r>
          <m:t>67</m:t>
        </m:r>
      </m:oMath>
      <w:r>
        <w:t xml:space="preserve"> </w:t>
      </w:r>
      <w:r>
        <w:t xml:space="preserve">ms. Reused connection: 22 ms.</w:t>
      </w:r>
    </w:p>
    <w:p>
      <w:pPr>
        <w:numPr>
          <w:ilvl w:val="0"/>
          <w:numId w:val="1245"/>
        </w:numPr>
        <w:pStyle w:val="Compact"/>
      </w:pPr>
      <w:r>
        <w:t xml:space="preserve">On a cache miss with the origin 70 ms from the edge over a pooled connection, add $70 + $ origin processing (say 30 ms) = 100 ms.</w:t>
      </w:r>
    </w:p>
    <w:p>
      <w:pPr>
        <w:pStyle w:val="CalloutExample"/>
      </w:pPr>
      <w:r>
        <w:t xml:space="preserve">Interpretation: on a cold visit, connection setup (DNS, TCP, TLS) is most of the time to first byte, and the server’s own work is a small slice. This is why the biggest wins for global latency are fewer round trips and shorter round trips, not faster servers.</w:t>
      </w:r>
    </w:p>
    <w:bookmarkEnd w:id="810"/>
    <w:bookmarkEnd w:id="811"/>
    <w:bookmarkStart w:id="812" w:name="summary-and-revision-notes-6"/>
    <w:p>
      <w:pPr>
        <w:pStyle w:val="Heading2"/>
      </w:pPr>
      <w:r>
        <w:t xml:space="preserve">7.19 Summary and revision notes</w:t>
      </w:r>
    </w:p>
    <w:p>
      <w:pPr>
        <w:pStyle w:val="CalloutSummary"/>
      </w:pPr>
      <w:r>
        <w:rPr>
          <w:bCs/>
          <w:b/>
        </w:rPr>
        <w:t xml:space="preserve">SUMMARY</w:t>
      </w:r>
    </w:p>
    <w:p>
      <w:pPr>
        <w:numPr>
          <w:ilvl w:val="0"/>
          <w:numId w:val="1246"/>
        </w:numPr>
        <w:pStyle w:val="Compact"/>
      </w:pPr>
      <w:r>
        <w:rPr>
          <w:bCs/>
          <w:b/>
        </w:rPr>
        <w:t xml:space="preserve">Layering and encapsulation.</w:t>
      </w:r>
      <w:r>
        <w:t xml:space="preserve"> </w:t>
      </w:r>
      <w:r>
        <w:t xml:space="preserve">Each layer adds its own header: application message → TCP segment or UDP datagram (ports) → IP packet (addresses) → link frame (MAC). Routers rewrite link frames at every hop; IP packets travel end to end.</w:t>
      </w:r>
    </w:p>
    <w:p>
      <w:pPr>
        <w:numPr>
          <w:ilvl w:val="0"/>
          <w:numId w:val="1246"/>
        </w:numPr>
        <w:pStyle w:val="Compact"/>
      </w:pPr>
      <w:r>
        <w:rPr>
          <w:bCs/>
          <w:b/>
        </w:rPr>
        <w:t xml:space="preserve">Addressing.</w:t>
      </w:r>
      <w:r>
        <w:t xml:space="preserve"> </w:t>
      </w:r>
      <w:r>
        <w:t xml:space="preserve">IPv4 is 32 bits, IPv6 is 128. CIDR</w:t>
      </w:r>
      <w:r>
        <w:t xml:space="preserve"> </w:t>
      </w:r>
      <w:r>
        <w:rPr>
          <w:rStyle w:val="VerbatimChar"/>
        </w:rPr>
        <w:t xml:space="preserve">/n</w:t>
      </w:r>
      <w:r>
        <w:t xml:space="preserve"> </w:t>
      </w:r>
      <w:r>
        <w:t xml:space="preserve">leaves</w:t>
      </w:r>
      <w:r>
        <w:t xml:space="preserve"> </w:t>
      </w:r>
      <m:oMath>
        <m:sSup>
          <m:e>
            <m:r>
              <m:t>2</m:t>
            </m:r>
          </m:e>
          <m:sup>
            <m:r>
              <m:t>32</m:t>
            </m:r>
            <m:r>
              <m:rPr>
                <m:sty m:val="p"/>
              </m:rPr>
              <m:t>−</m:t>
            </m:r>
            <m:r>
              <m:t>n</m:t>
            </m:r>
          </m:sup>
        </m:sSup>
      </m:oMath>
      <w:r>
        <w:t xml:space="preserve"> </w:t>
      </w:r>
      <w:r>
        <w:t xml:space="preserve">IPv4 addresses (minus 2 on ordinary subnets; minus 5 on AWS). Private ranges: 10/8, 172.16/12, 192.168/16. Plan non-overlapping ranges before networks need to connect.</w:t>
      </w:r>
    </w:p>
    <w:p>
      <w:pPr>
        <w:numPr>
          <w:ilvl w:val="0"/>
          <w:numId w:val="1246"/>
        </w:numPr>
        <w:pStyle w:val="Compact"/>
      </w:pPr>
      <w:r>
        <w:rPr>
          <w:bCs/>
          <w:b/>
        </w:rPr>
        <w:t xml:space="preserve">Routing.</w:t>
      </w:r>
      <w:r>
        <w:t xml:space="preserve"> </w:t>
      </w:r>
      <w:r>
        <w:t xml:space="preserve">Forwarding uses longest-prefix match. BGP connects autonomous systems by policy, not latency, and trusts announcements by default. Anycast announces one prefix from many sites to steer users to a nearby one.</w:t>
      </w:r>
    </w:p>
    <w:p>
      <w:pPr>
        <w:numPr>
          <w:ilvl w:val="0"/>
          <w:numId w:val="1246"/>
        </w:numPr>
        <w:pStyle w:val="Compact"/>
      </w:pPr>
      <w:r>
        <w:rPr>
          <w:bCs/>
          <w:b/>
        </w:rPr>
        <w:t xml:space="preserve">DNS.</w:t>
      </w:r>
      <w:r>
        <w:t xml:space="preserve"> </w:t>
      </w:r>
      <w:r>
        <w:t xml:space="preserve">Stub → recursive resolver (recursive query) → root → TLD → authoritative (iterative queries). Caches expire by TTL; nothing</w:t>
      </w:r>
      <w:r>
        <w:t xml:space="preserve"> </w:t>
      </w:r>
      <w:r>
        <w:t xml:space="preserve">“</w:t>
      </w:r>
      <w:r>
        <w:t xml:space="preserve">propagates</w:t>
      </w:r>
      <w:r>
        <w:t xml:space="preserve">”</w:t>
      </w:r>
      <w:r>
        <w:t xml:space="preserve">. DNS load balancing picks sites, not servers, and fails over in minutes.</w:t>
      </w:r>
    </w:p>
    <w:p>
      <w:pPr>
        <w:numPr>
          <w:ilvl w:val="0"/>
          <w:numId w:val="1246"/>
        </w:numPr>
        <w:pStyle w:val="Compact"/>
      </w:pPr>
      <w:r>
        <w:rPr>
          <w:bCs/>
          <w:b/>
        </w:rPr>
        <w:t xml:space="preserve">TCP.</w:t>
      </w:r>
      <w:r>
        <w:t xml:space="preserve"> </w:t>
      </w:r>
      <w:r>
        <w:t xml:space="preserve">1-RTT handshake; four-way close; the active closer holds TIME_WAIT (60 s on Linux), which can exhaust ephemeral ports. Reliability via sequence numbers, cumulative ACKs, fast retransmit and RTO (200 ms minimum on Linux). Flow control uses the receive window; congestion control uses cwnd: slow start doubles per RTT, AIMD halves on loss, CUBIC grows by a cubic of time, BBR paces at measured bandwidth. One lost segment blocks the whole stream (head-of-line blocking). Set</w:t>
      </w:r>
      <w:r>
        <w:t xml:space="preserve"> </w:t>
      </w:r>
      <w:r>
        <w:rPr>
          <w:rStyle w:val="VerbatimChar"/>
        </w:rPr>
        <w:t xml:space="preserve">TCP_NODELAY</w:t>
      </w:r>
      <w:r>
        <w:t xml:space="preserve"> </w:t>
      </w:r>
      <w:r>
        <w:t xml:space="preserve">for RPC.</w:t>
      </w:r>
    </w:p>
    <w:p>
      <w:pPr>
        <w:numPr>
          <w:ilvl w:val="0"/>
          <w:numId w:val="1246"/>
        </w:numPr>
        <w:pStyle w:val="Compact"/>
      </w:pPr>
      <w:r>
        <w:rPr>
          <w:bCs/>
          <w:b/>
        </w:rPr>
        <w:t xml:space="preserve">UDP.</w:t>
      </w:r>
      <w:r>
        <w:t xml:space="preserve"> </w:t>
      </w:r>
      <w:r>
        <w:t xml:space="preserve">8-byte header, no setup, no reliability. Use it when timeliness beats completeness or to build your own transport; you then own congestion control.</w:t>
      </w:r>
    </w:p>
    <w:p>
      <w:pPr>
        <w:numPr>
          <w:ilvl w:val="0"/>
          <w:numId w:val="1246"/>
        </w:numPr>
        <w:pStyle w:val="Compact"/>
      </w:pPr>
      <w:r>
        <w:rPr>
          <w:bCs/>
          <w:b/>
        </w:rPr>
        <w:t xml:space="preserve">HTTP.</w:t>
      </w:r>
      <w:r>
        <w:t xml:space="preserve"> </w:t>
      </w:r>
      <w:r>
        <w:t xml:space="preserve">1.1: one request at a time per connection, about six connections per host. 2: binary frames, multiplexed streams, HPACK, but TCP HOL blocking. 3: QUIC over UDP with independent streams, built-in TLS 1.3, 1-RTT (0-RTT on resumption) setup and connection migration.</w:t>
      </w:r>
    </w:p>
    <w:p>
      <w:pPr>
        <w:numPr>
          <w:ilvl w:val="0"/>
          <w:numId w:val="1246"/>
        </w:numPr>
        <w:pStyle w:val="Compact"/>
      </w:pPr>
      <w:r>
        <w:rPr>
          <w:bCs/>
          <w:b/>
        </w:rPr>
        <w:t xml:space="preserve">TLS 1.3.</w:t>
      </w:r>
      <w:r>
        <w:t xml:space="preserve"> </w:t>
      </w:r>
      <w:r>
        <w:t xml:space="preserve">1-RTT handshake, encrypted certificates, mandatory forward secrecy. 0-RTT early data is replayable: use only for idempotent requests. Expired certificates are the most common TLS outage; automate renewal.</w:t>
      </w:r>
    </w:p>
    <w:p>
      <w:pPr>
        <w:numPr>
          <w:ilvl w:val="0"/>
          <w:numId w:val="1246"/>
        </w:numPr>
        <w:pStyle w:val="Compact"/>
      </w:pPr>
      <w:r>
        <w:rPr>
          <w:bCs/>
          <w:b/>
        </w:rPr>
        <w:t xml:space="preserve">Middle of the network.</w:t>
      </w:r>
      <w:r>
        <w:t xml:space="preserve"> </w:t>
      </w:r>
      <w:r>
        <w:t xml:space="preserve">Forward proxies act for clients; reverse proxies act for servers (TLS termination, routing, load balancing). NAT shares public IPs, blocks unsolicited inbound traffic, and has finite ports per destination. Security groups are stateful; network ACLs are stateless.</w:t>
      </w:r>
    </w:p>
    <w:p>
      <w:pPr>
        <w:numPr>
          <w:ilvl w:val="0"/>
          <w:numId w:val="1246"/>
        </w:numPr>
        <w:pStyle w:val="Compact"/>
      </w:pPr>
      <w:r>
        <w:rPr>
          <w:bCs/>
          <w:b/>
        </w:rPr>
        <w:t xml:space="preserve">Numbers.</w:t>
      </w:r>
      <w:r>
        <w:t xml:space="preserve"> </w:t>
      </w:r>
      <w:r>
        <w:t xml:space="preserve">Fiber propagation is about 5 µs/km; NY–London RTT is at least 56 ms. BDP</w:t>
      </w:r>
      <w:r>
        <w:t xml:space="preserve"> </w:t>
      </w:r>
      <m:oMath>
        <m:r>
          <m:rPr>
            <m:sty m:val="p"/>
          </m:rPr>
          <m:t>=</m:t>
        </m:r>
        <m:r>
          <m:t>R</m:t>
        </m:r>
        <m:r>
          <m:rPr>
            <m:sty m:val="p"/>
          </m:rPr>
          <m:t>×</m:t>
        </m:r>
        <m:r>
          <m:rPr>
            <m:nor/>
            <m:sty m:val="p"/>
          </m:rPr>
          <m:t>RTT</m:t>
        </m:r>
      </m:oMath>
      <w:r>
        <w:t xml:space="preserve">: 10 Gbps × 80 ms = 100 MB in flight. Mathis: throughput</w:t>
      </w:r>
      <w:r>
        <w:t xml:space="preserve"> </w:t>
      </w:r>
      <m:oMath>
        <m:r>
          <m:rPr>
            <m:sty m:val="p"/>
          </m:rPr>
          <m:t>≤</m:t>
        </m:r>
        <m:d>
          <m:dPr>
            <m:begChr m:val="("/>
            <m:endChr m:val=")"/>
            <m:sepChr m:val=""/>
            <m:grow/>
          </m:dPr>
          <m:e>
            <m:r>
              <m:rPr>
                <m:nor/>
                <m:sty m:val="p"/>
              </m:rPr>
              <m:t>MSS</m:t>
            </m:r>
            <m:r>
              <m:rPr>
                <m:sty m:val="p"/>
              </m:rPr>
              <m:t>/</m:t>
            </m:r>
            <m:r>
              <m:rPr>
                <m:nor/>
                <m:sty m:val="p"/>
              </m:rPr>
              <m:t>RTT</m:t>
            </m:r>
          </m:e>
        </m:d>
        <m:r>
          <m:rPr>
            <m:sty m:val="p"/>
          </m:rPr>
          <m:t>×</m:t>
        </m:r>
        <m:r>
          <m:t>1.22</m:t>
        </m:r>
        <m:r>
          <m:rPr>
            <m:sty m:val="p"/>
          </m:rPr>
          <m:t>/</m:t>
        </m:r>
        <m:rad>
          <m:radPr>
            <m:degHide m:val="on"/>
          </m:radPr>
          <m:deg/>
          <m:e>
            <m:r>
              <m:t>p</m:t>
            </m:r>
          </m:e>
        </m:rad>
      </m:oMath>
      <w:r>
        <w:t xml:space="preserve">, so 0.01% loss caps an 80 ms flow near 18 Mbps.</w:t>
      </w:r>
    </w:p>
    <w:p>
      <w:pPr>
        <w:numPr>
          <w:ilvl w:val="0"/>
          <w:numId w:val="1246"/>
        </w:numPr>
        <w:pStyle w:val="Compact"/>
      </w:pPr>
      <w:r>
        <w:rPr>
          <w:bCs/>
          <w:b/>
        </w:rPr>
        <w:t xml:space="preserve">Connections.</w:t>
      </w:r>
      <w:r>
        <w:t xml:space="preserve"> </w:t>
      </w:r>
      <w:r>
        <w:t xml:space="preserve">A new HTTPS connection with TLS 1.3 costs 3 RTTs to first byte, versus 1 on a reused connection. Pool connections; size pools with</w:t>
      </w:r>
      <w:r>
        <w:t xml:space="preserve"> </w:t>
      </w:r>
      <m:oMath>
        <m:r>
          <m:t>N</m:t>
        </m:r>
        <m:r>
          <m:rPr>
            <m:sty m:val="p"/>
          </m:rPr>
          <m:t>=</m:t>
        </m:r>
        <m:r>
          <m:t>λ</m:t>
        </m:r>
        <m:r>
          <m:t>W</m:t>
        </m:r>
      </m:oMath>
      <w:r>
        <w:t xml:space="preserve">; set client idle timeouts shorter than server timeouts.</w:t>
      </w:r>
    </w:p>
    <w:p>
      <w:pPr>
        <w:numPr>
          <w:ilvl w:val="0"/>
          <w:numId w:val="1246"/>
        </w:numPr>
        <w:pStyle w:val="Compact"/>
      </w:pPr>
      <w:r>
        <w:rPr>
          <w:bCs/>
          <w:b/>
        </w:rPr>
        <w:t xml:space="preserve">Datacenters.</w:t>
      </w:r>
      <w:r>
        <w:t xml:space="preserve"> </w:t>
      </w:r>
      <w:r>
        <w:t xml:space="preserve">East–west traffic dominates; leaf–spine Clos fabrics with ECMP give every rack equal-cost two-hop paths and scale out with commodity switches (Google Jupiter: over 1 Pbps of bisection bandwidth).</w:t>
      </w:r>
    </w:p>
    <w:bookmarkEnd w:id="812"/>
    <w:bookmarkStart w:id="813" w:name="knowledge-checkpoint-6"/>
    <w:p>
      <w:pPr>
        <w:pStyle w:val="Heading2"/>
      </w:pPr>
      <w:r>
        <w:t xml:space="preserve">7.20 Knowledge checkpoint</w:t>
      </w:r>
    </w:p>
    <w:p>
      <w:pPr>
        <w:numPr>
          <w:ilvl w:val="0"/>
          <w:numId w:val="1247"/>
        </w:numPr>
        <w:pStyle w:val="Compact"/>
      </w:pPr>
      <w:r>
        <w:t xml:space="preserve">Which headers does a router remove and rebuild at each hop, and which header fields does it modify?</w:t>
      </w:r>
    </w:p>
    <w:p>
      <w:pPr>
        <w:numPr>
          <w:ilvl w:val="0"/>
          <w:numId w:val="1247"/>
        </w:numPr>
        <w:pStyle w:val="Compact"/>
      </w:pPr>
      <w:r>
        <w:t xml:space="preserve">What are the network address, broadcast address and usable host range of</w:t>
      </w:r>
      <w:r>
        <w:t xml:space="preserve"> </w:t>
      </w:r>
      <w:r>
        <w:rPr>
          <w:rStyle w:val="VerbatimChar"/>
        </w:rPr>
        <w:t xml:space="preserve">172.20.14.200/22</w:t>
      </w:r>
      <w:r>
        <w:t xml:space="preserve">?</w:t>
      </w:r>
    </w:p>
    <w:p>
      <w:pPr>
        <w:numPr>
          <w:ilvl w:val="0"/>
          <w:numId w:val="1247"/>
        </w:numPr>
        <w:pStyle w:val="Compact"/>
      </w:pPr>
      <w:r>
        <w:t xml:space="preserve">A router has routes for</w:t>
      </w:r>
      <w:r>
        <w:t xml:space="preserve"> </w:t>
      </w:r>
      <w:r>
        <w:rPr>
          <w:rStyle w:val="VerbatimChar"/>
        </w:rPr>
        <w:t xml:space="preserve">10.0.0.0/8</w:t>
      </w:r>
      <w:r>
        <w:t xml:space="preserve">,</w:t>
      </w:r>
      <w:r>
        <w:t xml:space="preserve"> </w:t>
      </w:r>
      <w:r>
        <w:rPr>
          <w:rStyle w:val="VerbatimChar"/>
        </w:rPr>
        <w:t xml:space="preserve">10.4.0.0/14</w:t>
      </w:r>
      <w:r>
        <w:t xml:space="preserve"> </w:t>
      </w:r>
      <w:r>
        <w:t xml:space="preserve">and</w:t>
      </w:r>
      <w:r>
        <w:t xml:space="preserve"> </w:t>
      </w:r>
      <w:r>
        <w:rPr>
          <w:rStyle w:val="VerbatimChar"/>
        </w:rPr>
        <w:t xml:space="preserve">10.4.4.0/24</w:t>
      </w:r>
      <w:r>
        <w:t xml:space="preserve">. Which is used for</w:t>
      </w:r>
      <w:r>
        <w:t xml:space="preserve"> </w:t>
      </w:r>
      <w:r>
        <w:rPr>
          <w:rStyle w:val="VerbatimChar"/>
        </w:rPr>
        <w:t xml:space="preserve">10.5.1.1</w:t>
      </w:r>
      <w:r>
        <w:t xml:space="preserve">?</w:t>
      </w:r>
    </w:p>
    <w:p>
      <w:pPr>
        <w:numPr>
          <w:ilvl w:val="0"/>
          <w:numId w:val="1247"/>
        </w:numPr>
        <w:pStyle w:val="Compact"/>
      </w:pPr>
      <w:r>
        <w:t xml:space="preserve">Why can anycast break long-lived TCP connections, and why is it nevertheless ideal for DNS?</w:t>
      </w:r>
    </w:p>
    <w:p>
      <w:pPr>
        <w:numPr>
          <w:ilvl w:val="0"/>
          <w:numId w:val="1247"/>
        </w:numPr>
        <w:pStyle w:val="Compact"/>
      </w:pPr>
      <w:r>
        <w:t xml:space="preserve">Distinguish recursive and iterative DNS queries, and say which participants send each kind.</w:t>
      </w:r>
    </w:p>
    <w:p>
      <w:pPr>
        <w:numPr>
          <w:ilvl w:val="0"/>
          <w:numId w:val="1247"/>
        </w:numPr>
        <w:pStyle w:val="Compact"/>
      </w:pPr>
      <w:r>
        <w:t xml:space="preserve">Why can’t you place a CNAME at the zone apex?</w:t>
      </w:r>
    </w:p>
    <w:p>
      <w:pPr>
        <w:numPr>
          <w:ilvl w:val="0"/>
          <w:numId w:val="1247"/>
        </w:numPr>
        <w:pStyle w:val="Compact"/>
      </w:pPr>
      <w:r>
        <w:t xml:space="preserve">You need to move a service to new IP addresses; the A record’s TTL is 86,400 s. What must you do and when?</w:t>
      </w:r>
    </w:p>
    <w:p>
      <w:pPr>
        <w:numPr>
          <w:ilvl w:val="0"/>
          <w:numId w:val="1247"/>
        </w:numPr>
        <w:pStyle w:val="Compact"/>
      </w:pPr>
      <w:r>
        <w:t xml:space="preserve">What does an acknowledgment number of 5,001 mean?</w:t>
      </w:r>
    </w:p>
    <w:p>
      <w:pPr>
        <w:numPr>
          <w:ilvl w:val="0"/>
          <w:numId w:val="1247"/>
        </w:numPr>
        <w:pStyle w:val="Compact"/>
      </w:pPr>
      <w:r>
        <w:t xml:space="preserve">Why does the active closer of a TCP connection enter TIME_WAIT, and for how long on Linux?</w:t>
      </w:r>
    </w:p>
    <w:p>
      <w:pPr>
        <w:numPr>
          <w:ilvl w:val="0"/>
          <w:numId w:val="1247"/>
        </w:numPr>
        <w:pStyle w:val="Compact"/>
      </w:pPr>
      <w:r>
        <w:t xml:space="preserve">Explain the difference between flow control and congestion control, naming the window each uses.</w:t>
      </w:r>
    </w:p>
    <w:p>
      <w:pPr>
        <w:numPr>
          <w:ilvl w:val="0"/>
          <w:numId w:val="1247"/>
        </w:numPr>
        <w:pStyle w:val="Compact"/>
      </w:pPr>
      <w:r>
        <w:t xml:space="preserve">Starting from an initial window of 10 segments, how many RTTs of slow start are needed to send 300 segments with no loss?</w:t>
      </w:r>
    </w:p>
    <w:p>
      <w:pPr>
        <w:numPr>
          <w:ilvl w:val="0"/>
          <w:numId w:val="1247"/>
        </w:numPr>
        <w:pStyle w:val="Compact"/>
      </w:pPr>
      <w:r>
        <w:t xml:space="preserve">Explain how Nagle’s algorithm and delayed ACKs together add latency, and give the standard fix.</w:t>
      </w:r>
    </w:p>
    <w:p>
      <w:pPr>
        <w:numPr>
          <w:ilvl w:val="0"/>
          <w:numId w:val="1247"/>
        </w:numPr>
        <w:pStyle w:val="Compact"/>
      </w:pPr>
      <w:r>
        <w:t xml:space="preserve">HTTP/2 multiplexes streams over one connection. Why does it still suffer head-of-line blocking, and how does HTTP/3 avoid it?</w:t>
      </w:r>
    </w:p>
    <w:p>
      <w:pPr>
        <w:numPr>
          <w:ilvl w:val="0"/>
          <w:numId w:val="1247"/>
        </w:numPr>
        <w:pStyle w:val="Compact"/>
      </w:pPr>
      <w:r>
        <w:t xml:space="preserve">Why must 0-RTT early data be limited to idempotent requests?</w:t>
      </w:r>
    </w:p>
    <w:p>
      <w:pPr>
        <w:numPr>
          <w:ilvl w:val="0"/>
          <w:numId w:val="1247"/>
        </w:numPr>
        <w:pStyle w:val="Compact"/>
      </w:pPr>
      <w:r>
        <w:t xml:space="preserve">Compute the BDP of a 1 Gbps link with a 40 ms RTT, in megabytes.</w:t>
      </w:r>
    </w:p>
    <w:p>
      <w:pPr>
        <w:numPr>
          <w:ilvl w:val="0"/>
          <w:numId w:val="1247"/>
        </w:numPr>
        <w:pStyle w:val="Compact"/>
      </w:pPr>
      <w:r>
        <w:t xml:space="preserve">Using the Mathis formula, what is the maximum throughput with MSS 1,460 bytes, RTT 20 ms and 1% loss?</w:t>
      </w:r>
    </w:p>
    <w:p>
      <w:pPr>
        <w:numPr>
          <w:ilvl w:val="0"/>
          <w:numId w:val="1247"/>
        </w:numPr>
        <w:pStyle w:val="Compact"/>
      </w:pPr>
      <w:r>
        <w:t xml:space="preserve">Why are network ACLs a frequent cause of</w:t>
      </w:r>
      <w:r>
        <w:t xml:space="preserve"> </w:t>
      </w:r>
      <w:r>
        <w:t xml:space="preserve">“</w:t>
      </w:r>
      <w:r>
        <w:t xml:space="preserve">connection hangs</w:t>
      </w:r>
      <w:r>
        <w:t xml:space="preserve">”</w:t>
      </w:r>
      <w:r>
        <w:t xml:space="preserve"> </w:t>
      </w:r>
      <w:r>
        <w:t xml:space="preserve">while security groups are not?</w:t>
      </w:r>
    </w:p>
    <w:p>
      <w:pPr>
        <w:numPr>
          <w:ilvl w:val="0"/>
          <w:numId w:val="1247"/>
        </w:numPr>
        <w:pStyle w:val="Compact"/>
      </w:pPr>
      <w:r>
        <w:t xml:space="preserve">What is the oversubscription ratio of a leaf with 32 × 100 Gbps server ports and 8 × 400 Gbps uplinks?</w:t>
      </w:r>
    </w:p>
    <w:p>
      <w:pPr>
        <w:pStyle w:val="FirstParagraph"/>
      </w:pPr>
      <w:r>
        <w:t xml:space="preserve">Answers</w:t>
      </w:r>
    </w:p>
    <w:p>
      <w:pPr>
        <w:numPr>
          <w:ilvl w:val="0"/>
          <w:numId w:val="1248"/>
        </w:numPr>
        <w:pStyle w:val="Compact"/>
      </w:pPr>
      <w:r>
        <w:t xml:space="preserve">The router strips the incoming link-layer (Ethernet) header and trailer and builds a new frame with new source and destination MACs for the next link. In the IP header it decrements TTL (hop limit) and, for IPv4, recomputes the header checksum. NAT devices also rewrite addresses and ports.</w:t>
      </w:r>
    </w:p>
    <w:p>
      <w:pPr>
        <w:numPr>
          <w:ilvl w:val="0"/>
          <w:numId w:val="1248"/>
        </w:numPr>
        <w:pStyle w:val="Compact"/>
      </w:pPr>
      <w:r>
        <w:t xml:space="preserve">A</w:t>
      </w:r>
      <w:r>
        <w:t xml:space="preserve"> </w:t>
      </w:r>
      <w:r>
        <w:rPr>
          <w:rStyle w:val="VerbatimChar"/>
        </w:rPr>
        <w:t xml:space="preserve">/22</w:t>
      </w:r>
      <w:r>
        <w:t xml:space="preserve"> </w:t>
      </w:r>
      <w:r>
        <w:t xml:space="preserve">has</w:t>
      </w:r>
      <w:r>
        <w:t xml:space="preserve"> </w:t>
      </w:r>
      <m:oMath>
        <m:sSup>
          <m:e>
            <m:r>
              <m:t>2</m:t>
            </m:r>
          </m:e>
          <m:sup>
            <m:r>
              <m:t>10</m:t>
            </m:r>
          </m:sup>
        </m:sSup>
        <m:r>
          <m:rPr>
            <m:sty m:val="p"/>
          </m:rPr>
          <m:t>=</m:t>
        </m:r>
        <m:r>
          <m:t>1</m:t>
        </m:r>
        <m:r>
          <m:rPr>
            <m:sty m:val="p"/>
          </m:rPr>
          <m:t>,</m:t>
        </m:r>
        <m:r>
          <m:t>024</m:t>
        </m:r>
      </m:oMath>
      <w:r>
        <w:t xml:space="preserve"> </w:t>
      </w:r>
      <w:r>
        <w:t xml:space="preserve">addresses; the third octet advances in steps of 4. 14 lies in 12–15, so network</w:t>
      </w:r>
      <w:r>
        <w:t xml:space="preserve"> </w:t>
      </w:r>
      <w:r>
        <w:rPr>
          <w:rStyle w:val="VerbatimChar"/>
        </w:rPr>
        <w:t xml:space="preserve">172.20.12.0</w:t>
      </w:r>
      <w:r>
        <w:t xml:space="preserve">, broadcast</w:t>
      </w:r>
      <w:r>
        <w:t xml:space="preserve"> </w:t>
      </w:r>
      <w:r>
        <w:rPr>
          <w:rStyle w:val="VerbatimChar"/>
        </w:rPr>
        <w:t xml:space="preserve">172.20.15.255</w:t>
      </w:r>
      <w:r>
        <w:t xml:space="preserve">, usable</w:t>
      </w:r>
      <w:r>
        <w:t xml:space="preserve"> </w:t>
      </w:r>
      <w:r>
        <w:rPr>
          <w:rStyle w:val="VerbatimChar"/>
        </w:rPr>
        <w:t xml:space="preserve">172.20.12.1</w:t>
      </w:r>
      <w:r>
        <w:t xml:space="preserve">–</w:t>
      </w:r>
      <w:r>
        <w:rPr>
          <w:rStyle w:val="VerbatimChar"/>
        </w:rPr>
        <w:t xml:space="preserve">172.20.15.254</w:t>
      </w:r>
      <w:r>
        <w:t xml:space="preserve"> </w:t>
      </w:r>
      <w:r>
        <w:t xml:space="preserve">(1,022 hosts).</w:t>
      </w:r>
    </w:p>
    <w:p>
      <w:pPr>
        <w:numPr>
          <w:ilvl w:val="0"/>
          <w:numId w:val="1248"/>
        </w:numPr>
        <w:pStyle w:val="Compact"/>
      </w:pPr>
      <w:r>
        <w:rPr>
          <w:rStyle w:val="VerbatimChar"/>
        </w:rPr>
        <w:t xml:space="preserve">10.4.0.0/14</w:t>
      </w:r>
      <w:r>
        <w:t xml:space="preserve"> </w:t>
      </w:r>
      <w:r>
        <w:t xml:space="preserve">covers 10.4.0.0–10.7.255.255, which includes 10.5.1.1; the /24 does not. Longest match is the /14.</w:t>
      </w:r>
    </w:p>
    <w:p>
      <w:pPr>
        <w:numPr>
          <w:ilvl w:val="0"/>
          <w:numId w:val="1248"/>
        </w:numPr>
        <w:pStyle w:val="Compact"/>
      </w:pPr>
      <w:r>
        <w:t xml:space="preserve">A BGP route change can deliver a flow’s later packets to a different site that has no state for the connection, which resets it. DNS queries are typically single UDP request/response exchanges with no connection state, so a route change between queries is harmless.</w:t>
      </w:r>
    </w:p>
    <w:p>
      <w:pPr>
        <w:numPr>
          <w:ilvl w:val="0"/>
          <w:numId w:val="1248"/>
        </w:numPr>
        <w:pStyle w:val="Compact"/>
      </w:pPr>
      <w:r>
        <w:t xml:space="preserve">A recursive query asks the server for a final answer; the stub resolver sends it to the recursive resolver. An iterative query accepts referrals; the recursive resolver sends these to root, TLD and authoritative servers.</w:t>
      </w:r>
    </w:p>
    <w:p>
      <w:pPr>
        <w:numPr>
          <w:ilvl w:val="0"/>
          <w:numId w:val="1248"/>
        </w:numPr>
        <w:pStyle w:val="Compact"/>
      </w:pPr>
      <w:r>
        <w:t xml:space="preserve">A CNAME may not coexist with any other record at the same name, and the apex must hold SOA and NS records.</w:t>
      </w:r>
    </w:p>
    <w:p>
      <w:pPr>
        <w:numPr>
          <w:ilvl w:val="0"/>
          <w:numId w:val="1248"/>
        </w:numPr>
        <w:pStyle w:val="Compact"/>
      </w:pPr>
      <w:r>
        <w:t xml:space="preserve">Lower the TTL (for example to 60 s) at least 86,400 s before the change, so all caches have refreshed with the short TTL; make the change; keep the old addresses serving until at least the short TTL (plus margin for misbehaving caches) has passed; then raise the TTL again.</w:t>
      </w:r>
    </w:p>
    <w:p>
      <w:pPr>
        <w:numPr>
          <w:ilvl w:val="0"/>
          <w:numId w:val="1248"/>
        </w:numPr>
        <w:pStyle w:val="Compact"/>
      </w:pPr>
      <w:r>
        <w:t xml:space="preserve">The receiver has received every byte up to and including byte 5,000 (relative to the ISN) and expects byte 5,001 next.</w:t>
      </w:r>
    </w:p>
    <w:p>
      <w:pPr>
        <w:numPr>
          <w:ilvl w:val="0"/>
          <w:numId w:val="1248"/>
        </w:numPr>
        <w:pStyle w:val="Compact"/>
      </w:pPr>
      <w:r>
        <w:t xml:space="preserve">To retransmit the final ACK if the peer resends its FIN, and to let delayed segments of the old connection expire before the same 4-tuple can be reused. Linux uses 60 s (2 × MSL).</w:t>
      </w:r>
    </w:p>
    <w:p>
      <w:pPr>
        <w:numPr>
          <w:ilvl w:val="0"/>
          <w:numId w:val="1248"/>
        </w:numPr>
        <w:pStyle w:val="Compact"/>
      </w:pPr>
      <w:r>
        <w:t xml:space="preserve">Flow control protects the receiver’s buffer using the advertised receive window (rwnd). Congestion control protects the network using the sender’s congestion window (cwnd). The sender is limited by</w:t>
      </w:r>
      <w:r>
        <w:t xml:space="preserve"> </w:t>
      </w:r>
      <m:oMath>
        <m:r>
          <m:rPr>
            <m:sty m:val="p"/>
          </m:rPr>
          <m:t>min</m:t>
        </m:r>
        <m:d>
          <m:dPr>
            <m:begChr m:val="("/>
            <m:endChr m:val=")"/>
            <m:sepChr m:val=""/>
            <m:grow/>
          </m:dPr>
          <m:e>
            <m:r>
              <m:rPr>
                <m:nor/>
                <m:sty m:val="p"/>
              </m:rPr>
              <m:t>cwnd</m:t>
            </m:r>
            <m:r>
              <m:rPr>
                <m:sty m:val="p"/>
              </m:rPr>
              <m:t>,</m:t>
            </m:r>
            <m:r>
              <m:rPr>
                <m:nor/>
                <m:sty m:val="p"/>
              </m:rPr>
              <m:t>rwnd</m:t>
            </m:r>
          </m:e>
        </m:d>
      </m:oMath>
      <w:r>
        <w:t xml:space="preserve">.</w:t>
      </w:r>
    </w:p>
    <w:p>
      <w:pPr>
        <w:numPr>
          <w:ilvl w:val="0"/>
          <w:numId w:val="1248"/>
        </w:numPr>
        <w:pStyle w:val="Compact"/>
      </w:pPr>
      <w:r>
        <w:t xml:space="preserve">Cumulative segments: 10, 30, 70, 150, 310. 300 segments complete in the 5th RTT.</w:t>
      </w:r>
    </w:p>
    <w:p>
      <w:pPr>
        <w:numPr>
          <w:ilvl w:val="0"/>
          <w:numId w:val="1248"/>
        </w:numPr>
        <w:pStyle w:val="Compact"/>
      </w:pPr>
      <w:r>
        <w:t xml:space="preserve">With unacknowledged data in flight, Nagle holds a second small write; the receiver delays its ACK because it has no response ready until the full request arrives; both wait for the delayed-ACK timer. Fix: write whole messages at once and set</w:t>
      </w:r>
      <w:r>
        <w:t xml:space="preserve"> </w:t>
      </w:r>
      <w:r>
        <w:rPr>
          <w:rStyle w:val="VerbatimChar"/>
        </w:rPr>
        <w:t xml:space="preserve">TCP_NODELAY</w:t>
      </w:r>
      <w:r>
        <w:t xml:space="preserve">.</w:t>
      </w:r>
    </w:p>
    <w:p>
      <w:pPr>
        <w:numPr>
          <w:ilvl w:val="0"/>
          <w:numId w:val="1248"/>
        </w:numPr>
        <w:pStyle w:val="Compact"/>
      </w:pPr>
      <w:r>
        <w:t xml:space="preserve">All streams share one ordered TCP byte stream, so a lost segment blocks delivery of later bytes for every stream. QUIC orders data per stream, so loss stalls only the affected stream.</w:t>
      </w:r>
    </w:p>
    <w:p>
      <w:pPr>
        <w:numPr>
          <w:ilvl w:val="0"/>
          <w:numId w:val="1248"/>
        </w:numPr>
        <w:pStyle w:val="Compact"/>
      </w:pPr>
      <w:r>
        <w:t xml:space="preserve">An attacker can capture and replay the first flight, causing the server to process the early request again; idempotent requests are safe to repeat.</w:t>
      </w:r>
    </w:p>
    <w:p>
      <w:pPr>
        <w:numPr>
          <w:ilvl w:val="0"/>
          <w:numId w:val="1248"/>
        </w:numPr>
        <w:pStyle w:val="Compact"/>
      </w:pPr>
      <m:oMath>
        <m:sSup>
          <m:e>
            <m:r>
              <m:t>10</m:t>
            </m:r>
          </m:e>
          <m:sup>
            <m:r>
              <m:t>9</m:t>
            </m:r>
          </m:sup>
        </m:sSup>
        <m:r>
          <m:rPr>
            <m:sty m:val="p"/>
          </m:rPr>
          <m:t>×</m:t>
        </m:r>
        <m:r>
          <m:t>0.04</m:t>
        </m:r>
        <m:r>
          <m:rPr>
            <m:sty m:val="p"/>
          </m:rPr>
          <m:t>=</m:t>
        </m:r>
        <m:r>
          <m:t>4</m:t>
        </m:r>
        <m:r>
          <m:rPr>
            <m:sty m:val="p"/>
          </m:rPr>
          <m:t>×</m:t>
        </m:r>
        <m:sSup>
          <m:e>
            <m:r>
              <m:t>10</m:t>
            </m:r>
          </m:e>
          <m:sup>
            <m:r>
              <m:t>7</m:t>
            </m:r>
          </m:sup>
        </m:sSup>
      </m:oMath>
      <w:r>
        <w:t xml:space="preserve"> </w:t>
      </w:r>
      <w:r>
        <w:t xml:space="preserve">bits</w:t>
      </w:r>
      <w:r>
        <w:t xml:space="preserve"> </w:t>
      </w:r>
      <m:oMath>
        <m:r>
          <m:rPr>
            <m:sty m:val="p"/>
          </m:rPr>
          <m:t>=</m:t>
        </m:r>
        <m:r>
          <m:t>5</m:t>
        </m:r>
        <m:r>
          <m:rPr>
            <m:sty m:val="p"/>
          </m:rPr>
          <m:t>×</m:t>
        </m:r>
        <m:sSup>
          <m:e>
            <m:r>
              <m:t>10</m:t>
            </m:r>
          </m:e>
          <m:sup>
            <m:r>
              <m:t>6</m:t>
            </m:r>
          </m:sup>
        </m:sSup>
      </m:oMath>
      <w:r>
        <w:t xml:space="preserve"> </w:t>
      </w:r>
      <w:r>
        <w:t xml:space="preserve">bytes = 5 MB.</w:t>
      </w:r>
    </w:p>
    <w:p>
      <w:pPr>
        <w:numPr>
          <w:ilvl w:val="0"/>
          <w:numId w:val="1248"/>
        </w:numPr>
        <w:pStyle w:val="Compact"/>
      </w:pPr>
      <m:oMath>
        <m:r>
          <m:rPr>
            <m:nor/>
            <m:sty m:val="p"/>
          </m:rPr>
          <m:t>MSS</m:t>
        </m:r>
        <m:r>
          <m:rPr>
            <m:sty m:val="p"/>
          </m:rPr>
          <m:t>/</m:t>
        </m:r>
        <m:r>
          <m:rPr>
            <m:nor/>
            <m:sty m:val="p"/>
          </m:rPr>
          <m:t>RTT</m:t>
        </m:r>
        <m:r>
          <m:rPr>
            <m:sty m:val="p"/>
          </m:rPr>
          <m:t>=</m:t>
        </m:r>
        <m:r>
          <m:t>11</m:t>
        </m:r>
        <m:r>
          <m:rPr>
            <m:sty m:val="p"/>
          </m:rPr>
          <m:t>,</m:t>
        </m:r>
        <m:r>
          <m:t>680</m:t>
        </m:r>
        <m:r>
          <m:rPr>
            <m:sty m:val="p"/>
          </m:rPr>
          <m:t>/</m:t>
        </m:r>
        <m:r>
          <m:t>0.02</m:t>
        </m:r>
        <m:r>
          <m:rPr>
            <m:sty m:val="p"/>
          </m:rPr>
          <m:t>=</m:t>
        </m:r>
        <m:r>
          <m:t>584</m:t>
        </m:r>
        <m:r>
          <m:rPr>
            <m:sty m:val="p"/>
          </m:rPr>
          <m:t>,</m:t>
        </m:r>
        <m:r>
          <m:t>000</m:t>
        </m:r>
      </m:oMath>
      <w:r>
        <w:t xml:space="preserve"> </w:t>
      </w:r>
      <w:r>
        <w:t xml:space="preserve">bits/s;</w:t>
      </w:r>
      <w:r>
        <w:t xml:space="preserve"> </w:t>
      </w:r>
      <m:oMath>
        <m:r>
          <m:t>1.22</m:t>
        </m:r>
        <m:r>
          <m:rPr>
            <m:sty m:val="p"/>
          </m:rPr>
          <m:t>/</m:t>
        </m:r>
        <m:rad>
          <m:radPr>
            <m:degHide m:val="on"/>
          </m:radPr>
          <m:deg/>
          <m:e>
            <m:r>
              <m:t>0.01</m:t>
            </m:r>
          </m:e>
        </m:rad>
        <m:r>
          <m:rPr>
            <m:sty m:val="p"/>
          </m:rPr>
          <m:t>=</m:t>
        </m:r>
        <m:r>
          <m:t>12.2</m:t>
        </m:r>
      </m:oMath>
      <w:r>
        <w:t xml:space="preserve">; throughput ≤ about 7.1 Mbps.</w:t>
      </w:r>
    </w:p>
    <w:p>
      <w:pPr>
        <w:numPr>
          <w:ilvl w:val="0"/>
          <w:numId w:val="1248"/>
        </w:numPr>
        <w:pStyle w:val="Compact"/>
      </w:pPr>
      <w:r>
        <w:t xml:space="preserve">NACLs are stateless, so return traffic to the client’s ephemeral ports must be explicitly allowed; if it is not, SYN-ACKs or responses are silently dropped and clients wait for timeouts. Security groups are stateful and allow return traffic automatically.</w:t>
      </w:r>
    </w:p>
    <w:p>
      <w:pPr>
        <w:numPr>
          <w:ilvl w:val="0"/>
          <w:numId w:val="1248"/>
        </w:numPr>
        <w:pStyle w:val="Compact"/>
      </w:pPr>
      <w:r>
        <w:t xml:space="preserve">Downlink</w:t>
      </w:r>
      <w:r>
        <w:t xml:space="preserve"> </w:t>
      </w:r>
      <m:oMath>
        <m:r>
          <m:t>32</m:t>
        </m:r>
        <m:r>
          <m:rPr>
            <m:sty m:val="p"/>
          </m:rPr>
          <m:t>×</m:t>
        </m:r>
        <m:r>
          <m:t>100</m:t>
        </m:r>
        <m:r>
          <m:rPr>
            <m:sty m:val="p"/>
          </m:rPr>
          <m:t>=</m:t>
        </m:r>
        <m:r>
          <m:t>3</m:t>
        </m:r>
        <m:r>
          <m:rPr>
            <m:sty m:val="p"/>
          </m:rPr>
          <m:t>,</m:t>
        </m:r>
        <m:r>
          <m:t>200</m:t>
        </m:r>
      </m:oMath>
      <w:r>
        <w:t xml:space="preserve"> </w:t>
      </w:r>
      <w:r>
        <w:t xml:space="preserve">Gbps; uplink</w:t>
      </w:r>
      <w:r>
        <w:t xml:space="preserve"> </w:t>
      </w:r>
      <m:oMath>
        <m:r>
          <m:t>8</m:t>
        </m:r>
        <m:r>
          <m:rPr>
            <m:sty m:val="p"/>
          </m:rPr>
          <m:t>×</m:t>
        </m:r>
        <m:r>
          <m:t>400</m:t>
        </m:r>
        <m:r>
          <m:rPr>
            <m:sty m:val="p"/>
          </m:rPr>
          <m:t>=</m:t>
        </m:r>
        <m:r>
          <m:t>3</m:t>
        </m:r>
        <m:r>
          <m:rPr>
            <m:sty m:val="p"/>
          </m:rPr>
          <m:t>,</m:t>
        </m:r>
        <m:r>
          <m:t>200</m:t>
        </m:r>
      </m:oMath>
      <w:r>
        <w:t xml:space="preserve"> </w:t>
      </w:r>
      <w:r>
        <w:t xml:space="preserve">Gbps; ratio 1:1 (non-blocking).</w:t>
      </w:r>
    </w:p>
    <w:bookmarkEnd w:id="813"/>
    <w:bookmarkStart w:id="817" w:name="interview-questions-6"/>
    <w:p>
      <w:pPr>
        <w:pStyle w:val="Heading2"/>
      </w:pPr>
      <w:r>
        <w:t xml:space="preserve">7.21 Interview questions</w:t>
      </w:r>
    </w:p>
    <w:bookmarkStart w:id="814" w:name="basic-6"/>
    <w:p>
      <w:pPr>
        <w:pStyle w:val="Heading3"/>
      </w:pPr>
      <w:r>
        <w:t xml:space="preserve">Basic</w:t>
      </w:r>
    </w:p>
    <w:p>
      <w:pPr>
        <w:pStyle w:val="FirstParagraph"/>
      </w:pPr>
      <w:r>
        <w:rPr>
          <w:bCs/>
          <w:b/>
        </w:rPr>
        <w:t xml:space="preserve">Q1. What is the difference between TCP and UDP, and when would you choose UDP?</w:t>
      </w:r>
    </w:p>
    <w:p>
      <w:pPr>
        <w:pStyle w:val="BodyText"/>
      </w:pPr>
      <w:r>
        <w:rPr>
          <w:bCs/>
          <w:b/>
        </w:rPr>
        <w:t xml:space="preserve">Answer.</w:t>
      </w:r>
      <w:r>
        <w:t xml:space="preserve"> </w:t>
      </w:r>
      <w:r>
        <w:t xml:space="preserve">TCP provides a connection-oriented, reliable, ordered byte stream with flow and congestion control, at the cost of a 1-RTT handshake, head-of-line blocking and per-connection state. UDP provides unreliable, unordered datagrams with an 8-byte header and no setup. Choose UDP when timeliness matters more than completeness (voice, video, games), when exchanges are a single small request and response (DNS), or when you need a custom transport (QUIC). Mention the cost: the application must handle loss, ordering, message sizing to the MTU and, critically, congestion control.</w:t>
      </w:r>
    </w:p>
    <w:p>
      <w:pPr>
        <w:pStyle w:val="BodyText"/>
      </w:pPr>
      <w:r>
        <w:rPr>
          <w:bCs/>
          <w:b/>
        </w:rPr>
        <w:t xml:space="preserve">Q2. Walk me through what happens during a DNS lookup.</w:t>
      </w:r>
    </w:p>
    <w:p>
      <w:pPr>
        <w:pStyle w:val="BodyText"/>
      </w:pPr>
      <w:r>
        <w:rPr>
          <w:bCs/>
          <w:b/>
        </w:rPr>
        <w:t xml:space="preserve">Answer.</w:t>
      </w:r>
      <w:r>
        <w:t xml:space="preserve"> </w:t>
      </w:r>
      <w:r>
        <w:t xml:space="preserve">The application calls the OS stub resolver, which checks local caches and then sends a recursive query to a recursive resolver. If the resolver’s cache is cold, it queries a root server, which refers it to the TLD servers; the TLD server refers it to the domain’s authoritative servers; the authoritative server returns the record with a TTL. The resolver caches every record for its TTL and returns the answer. Mention UDP port 53 with TCP fallback, TTL trade-offs, and that DNS changes do not</w:t>
      </w:r>
      <w:r>
        <w:t xml:space="preserve"> </w:t>
      </w:r>
      <w:r>
        <w:t xml:space="preserve">“</w:t>
      </w:r>
      <w:r>
        <w:t xml:space="preserve">propagate</w:t>
      </w:r>
      <w:r>
        <w:t xml:space="preserve">”</w:t>
      </w:r>
      <w:r>
        <w:t xml:space="preserve">; caches expire.</w:t>
      </w:r>
    </w:p>
    <w:p>
      <w:pPr>
        <w:pStyle w:val="BodyText"/>
      </w:pPr>
      <w:r>
        <w:rPr>
          <w:bCs/>
          <w:b/>
        </w:rPr>
        <w:t xml:space="preserve">Q3. What happens during a TCP three-way handshake, and why three messages?</w:t>
      </w:r>
    </w:p>
    <w:p>
      <w:pPr>
        <w:pStyle w:val="BodyText"/>
      </w:pPr>
      <w:r>
        <w:rPr>
          <w:bCs/>
          <w:b/>
        </w:rPr>
        <w:t xml:space="preserve">Answer.</w:t>
      </w:r>
      <w:r>
        <w:t xml:space="preserve"> </w:t>
      </w:r>
      <w:r>
        <w:t xml:space="preserve">The client sends SYN with its random ISN; the server replies SYN-ACK with its own ISN and acknowledges the client’s; the client ACKs the server’s ISN. Three messages are the minimum for each side to announce its ISN and confirm the other’s has been received, in both directions. It costs the client one RTT before sending data. Strong answers mention option negotiation (MSS, window scaling, SACK), SYN floods and SYN cookies.</w:t>
      </w:r>
    </w:p>
    <w:bookmarkEnd w:id="814"/>
    <w:bookmarkStart w:id="815" w:name="intermediate-6"/>
    <w:p>
      <w:pPr>
        <w:pStyle w:val="Heading3"/>
      </w:pPr>
      <w:r>
        <w:t xml:space="preserve">Intermediate</w:t>
      </w:r>
    </w:p>
    <w:p>
      <w:pPr>
        <w:pStyle w:val="FirstParagraph"/>
      </w:pPr>
      <w:r>
        <w:rPr>
          <w:bCs/>
          <w:b/>
        </w:rPr>
        <w:t xml:space="preserve">Q4. Your service’s p99 latency to a dependency in another region is far higher than its p50. What network causes would you investigate?</w:t>
      </w:r>
    </w:p>
    <w:p>
      <w:pPr>
        <w:pStyle w:val="BodyText"/>
      </w:pPr>
      <w:r>
        <w:rPr>
          <w:bCs/>
          <w:b/>
        </w:rPr>
        <w:t xml:space="preserve">Answer.</w:t>
      </w:r>
      <w:r>
        <w:t xml:space="preserve"> </w:t>
      </w:r>
      <w:r>
        <w:t xml:space="preserve">First, connection setup: if connections are not reused, some requests pay DNS plus TCP plus TLS handshakes (3+ RTTs instead of 1); check pool hit rates and idle-timeout races that produce resets and retries. Second, packet loss: a single retransmission timeout costs at least 200 ms on Linux, and loss also shrinks cwnd; check retransmission counters (</w:t>
      </w:r>
      <w:r>
        <w:rPr>
          <w:rStyle w:val="VerbatimChar"/>
        </w:rPr>
        <w:t xml:space="preserve">nstat</w:t>
      </w:r>
      <w:r>
        <w:t xml:space="preserve">,</w:t>
      </w:r>
      <w:r>
        <w:t xml:space="preserve"> </w:t>
      </w:r>
      <w:r>
        <w:rPr>
          <w:rStyle w:val="VerbatimChar"/>
        </w:rPr>
        <w:t xml:space="preserve">ss -ti</w:t>
      </w:r>
      <w:r>
        <w:t xml:space="preserve">). Third, slow start after idle: large responses on cold or idle connections need several RTTs to ramp. Fourth, queuing (bufferbloat) on congested links, Nagle/delayed-ACK stalls on small writes, DNS resolution timeouts, and NAT port exhaustion. Measure with connection-phase timings (e.g.,</w:t>
      </w:r>
      <w:r>
        <w:t xml:space="preserve"> </w:t>
      </w:r>
      <w:r>
        <w:rPr>
          <w:rStyle w:val="VerbatimChar"/>
        </w:rPr>
        <w:t xml:space="preserve">curl -w</w:t>
      </w:r>
      <w:r>
        <w:t xml:space="preserve">) and distributed traces before changing anything.</w:t>
      </w:r>
    </w:p>
    <w:p>
      <w:pPr>
        <w:pStyle w:val="BodyText"/>
      </w:pPr>
      <w:r>
        <w:rPr>
          <w:bCs/>
          <w:b/>
        </w:rPr>
        <w:t xml:space="preserve">Q5. Compare HTTP/1.1, HTTP/2 and HTTP/3 for a mobile application.</w:t>
      </w:r>
    </w:p>
    <w:p>
      <w:pPr>
        <w:pStyle w:val="BodyText"/>
      </w:pPr>
      <w:r>
        <w:rPr>
          <w:bCs/>
          <w:b/>
        </w:rPr>
        <w:t xml:space="preserve">Answer.</w:t>
      </w:r>
      <w:r>
        <w:t xml:space="preserve"> </w:t>
      </w:r>
      <w:r>
        <w:t xml:space="preserve">HTTP/1.1 serializes requests per connection, so clients open several connections, each paying handshakes and slow start. HTTP/2 multiplexes streams on one connection with HPACK header compression, a big improvement, but a lost TCP segment stalls all streams, which hurts on lossy mobile links. HTTP/3 over QUIC gives per-stream reliability (no cross-stream HOL blocking), a 1-RTT combined transport and TLS handshake with 0-RTT resumption, and connection migration when the device switches networks. Costs: UDP may be blocked (keep HTTP/2 fallback), and QUIC uses more server CPU. For a mobile app, enable HTTP/3 at the CDN or edge with HTTP/2 fallback, and use 0-RTT only for idempotent requests.</w:t>
      </w:r>
    </w:p>
    <w:p>
      <w:pPr>
        <w:pStyle w:val="BodyText"/>
      </w:pPr>
      <w:r>
        <w:rPr>
          <w:bCs/>
          <w:b/>
        </w:rPr>
        <w:t xml:space="preserve">Q6. How would you use DNS for global traffic distribution, and what are its limitations?</w:t>
      </w:r>
    </w:p>
    <w:p>
      <w:pPr>
        <w:pStyle w:val="BodyText"/>
      </w:pPr>
      <w:r>
        <w:rPr>
          <w:bCs/>
          <w:b/>
        </w:rPr>
        <w:t xml:space="preserve">Answer.</w:t>
      </w:r>
      <w:r>
        <w:t xml:space="preserve"> </w:t>
      </w:r>
      <w:r>
        <w:t xml:space="preserve">Use latency-based or geo-DNS with health checks to return the nearest healthy region’s address, typically pointing at a regional load balancer or anycast address. Limitations: resolvers cache answers for the TTL, so control is coarse and failover takes the detection time plus up to one TTL (and longer for misbehaving caches); geo decisions see the resolver, not the client, unless EDNS Client Subnet is used; DNS has no knowledge of load; clients with open connections ignore DNS changes. So use DNS for region selection with moderate TTLs (30–300 s), anycast or load balancers for fast failover within and across sites, and client retries across regions for resilience.</w:t>
      </w:r>
    </w:p>
    <w:bookmarkEnd w:id="815"/>
    <w:bookmarkStart w:id="816" w:name="advanced-6"/>
    <w:p>
      <w:pPr>
        <w:pStyle w:val="Heading3"/>
      </w:pPr>
      <w:r>
        <w:t xml:space="preserve">Advanced</w:t>
      </w:r>
    </w:p>
    <w:p>
      <w:pPr>
        <w:pStyle w:val="FirstParagraph"/>
      </w:pPr>
      <w:r>
        <w:rPr>
          <w:bCs/>
          <w:b/>
        </w:rPr>
        <w:t xml:space="preserve">Q7. A nightly replication job copies data between regions 80 ms apart over a 10 Gbps link but achieves only about 200 Mbps. Diagnose and fix.</w:t>
      </w:r>
    </w:p>
    <w:p>
      <w:pPr>
        <w:pStyle w:val="BodyText"/>
      </w:pPr>
      <w:r>
        <w:rPr>
          <w:bCs/>
          <w:b/>
        </w:rPr>
        <w:t xml:space="preserve">Answer.</w:t>
      </w:r>
      <w:r>
        <w:t xml:space="preserve"> </w:t>
      </w:r>
      <w:r>
        <w:t xml:space="preserve">Compute the BDP:</w:t>
      </w:r>
      <w:r>
        <w:t xml:space="preserve"> </w:t>
      </w:r>
      <m:oMath>
        <m:r>
          <m:t>10</m:t>
        </m:r>
        <m:r>
          <m:rPr>
            <m:nor/>
            <m:sty m:val="p"/>
          </m:rPr>
          <m:t> Gbps</m:t>
        </m:r>
        <m:r>
          <m:rPr>
            <m:sty m:val="p"/>
          </m:rPr>
          <m:t>×</m:t>
        </m:r>
        <m:r>
          <m:t>80</m:t>
        </m:r>
        <m:r>
          <m:rPr>
            <m:nor/>
            <m:sty m:val="p"/>
          </m:rPr>
          <m:t> ms</m:t>
        </m:r>
        <m:r>
          <m:rPr>
            <m:sty m:val="p"/>
          </m:rPr>
          <m:t>=</m:t>
        </m:r>
        <m:r>
          <m:t>100</m:t>
        </m:r>
      </m:oMath>
      <w:r>
        <w:t xml:space="preserve"> </w:t>
      </w:r>
      <w:r>
        <w:t xml:space="preserve">MB must be in flight. Check whether the window is the limit: 200 Mbps × 0.08 s = 2 MB, so the effective window is about 2 MB, possibly because of</w:t>
      </w:r>
      <w:r>
        <w:t xml:space="preserve"> </w:t>
      </w:r>
      <w:r>
        <w:rPr>
          <w:rStyle w:val="VerbatimChar"/>
        </w:rPr>
        <w:t xml:space="preserve">tcp_rmem</w:t>
      </w:r>
      <w:r>
        <w:t xml:space="preserve">/</w:t>
      </w:r>
      <w:r>
        <w:rPr>
          <w:rStyle w:val="VerbatimChar"/>
        </w:rPr>
        <w:t xml:space="preserve">tcp_wmem</w:t>
      </w:r>
      <w:r>
        <w:t xml:space="preserve"> </w:t>
      </w:r>
      <w:r>
        <w:t xml:space="preserve">maximums or application socket buffer settings. Check loss: by Mathis, 200 Mbps at 80 ms RTT corresponds to</w:t>
      </w:r>
      <w:r>
        <w:t xml:space="preserve"> </w:t>
      </w:r>
      <m:oMath>
        <m:r>
          <m:t>p</m:t>
        </m:r>
        <m:r>
          <m:rPr>
            <m:sty m:val="p"/>
          </m:rPr>
          <m:t>≈</m:t>
        </m:r>
        <m:sSup>
          <m:e>
            <m:d>
              <m:dPr>
                <m:begChr m:val="("/>
                <m:endChr m:val=")"/>
                <m:sepChr m:val=""/>
                <m:grow/>
              </m:dPr>
              <m:e>
                <m:r>
                  <m:t>1.22</m:t>
                </m:r>
                <m:r>
                  <m:rPr>
                    <m:sty m:val="p"/>
                  </m:rPr>
                  <m:t>×</m:t>
                </m:r>
                <m:r>
                  <m:t>146</m:t>
                </m:r>
                <m:r>
                  <m:rPr>
                    <m:sty m:val="p"/>
                  </m:rPr>
                  <m:t>,</m:t>
                </m:r>
                <m:r>
                  <m:t>000</m:t>
                </m:r>
                <m:r>
                  <m:rPr>
                    <m:sty m:val="p"/>
                  </m:rPr>
                  <m:t>/</m:t>
                </m:r>
                <m:r>
                  <m:t>2</m:t>
                </m:r>
                <m:r>
                  <m:rPr>
                    <m:sty m:val="p"/>
                  </m:rPr>
                  <m:t>×</m:t>
                </m:r>
                <m:sSup>
                  <m:e>
                    <m:r>
                      <m:t>10</m:t>
                    </m:r>
                  </m:e>
                  <m:sup>
                    <m:r>
                      <m:t>8</m:t>
                    </m:r>
                  </m:sup>
                </m:sSup>
              </m:e>
            </m:d>
          </m:e>
          <m:sup>
            <m:r>
              <m:t>2</m:t>
            </m:r>
          </m:sup>
        </m:sSup>
        <m:r>
          <m:rPr>
            <m:sty m:val="p"/>
          </m:rPr>
          <m:t>≈</m:t>
        </m:r>
        <m:r>
          <m:t>8</m:t>
        </m:r>
        <m:r>
          <m:rPr>
            <m:sty m:val="p"/>
          </m:rPr>
          <m:t>×</m:t>
        </m:r>
        <m:sSup>
          <m:e>
            <m:r>
              <m:t>10</m:t>
            </m:r>
          </m:e>
          <m:sup>
            <m:r>
              <m:rPr>
                <m:sty m:val="p"/>
              </m:rPr>
              <m:t>−</m:t>
            </m:r>
            <m:r>
              <m:t>7</m:t>
            </m:r>
          </m:sup>
        </m:sSup>
      </m:oMath>
      <w:r>
        <w:t xml:space="preserve">, so even tiny loss could explain it with CUBIC. Fixes: raise buffer limits and ensure window scaling; use several parallel streams (each has its own cwnd); consider BBR for the bulk sender, since it does not treat random loss as congestion; fix lossy links; compress data. Verify with</w:t>
      </w:r>
      <w:r>
        <w:t xml:space="preserve"> </w:t>
      </w:r>
      <w:r>
        <w:rPr>
          <w:rStyle w:val="VerbatimChar"/>
        </w:rPr>
        <w:t xml:space="preserve">ss -ti</w:t>
      </w:r>
      <w:r>
        <w:t xml:space="preserve"> </w:t>
      </w:r>
      <w:r>
        <w:t xml:space="preserve">(cwnd, rtt, retransmits) and</w:t>
      </w:r>
      <w:r>
        <w:t xml:space="preserve"> </w:t>
      </w:r>
      <w:r>
        <w:rPr>
          <w:rStyle w:val="VerbatimChar"/>
        </w:rPr>
        <w:t xml:space="preserve">iperf3</w:t>
      </w:r>
      <w:r>
        <w:t xml:space="preserve">.</w:t>
      </w:r>
    </w:p>
    <w:p>
      <w:pPr>
        <w:pStyle w:val="BodyText"/>
      </w:pPr>
      <w:r>
        <w:rPr>
          <w:bCs/>
          <w:b/>
        </w:rPr>
        <w:t xml:space="preserve">Q8. Design the network path for a global API with low latency, high availability and DDoS resilience.</w:t>
      </w:r>
    </w:p>
    <w:p>
      <w:pPr>
        <w:pStyle w:val="BodyText"/>
      </w:pPr>
      <w:r>
        <w:rPr>
          <w:bCs/>
          <w:b/>
        </w:rPr>
        <w:t xml:space="preserve">Answer.</w:t>
      </w:r>
      <w:r>
        <w:t xml:space="preserve"> </w:t>
      </w:r>
      <w:r>
        <w:t xml:space="preserve">Publish the API hostname with DNS from two independent providers, pointing at an anycast address announced from many edge sites, so users reach a nearby edge and attacks spread across sites. At each edge, L4 load balancers using ECMP and consistent hashing feed L7 reverse proxies that terminate TLS 1.3 and HTTP/2/HTTP/3, apply WAF rules and rate limits, and cache what they can. Edges forward to the nearest healthy regional origin over pre-warmed, pooled, long-lived connections (mTLS), avoiding per-request handshakes on long paths. Regions are active–active behind health-checked routing, with DNS TTLs of about 60 s as a slower backstop. Inside regions, leaf–spine fabrics and security groups segment tiers. Discuss trade-offs: anycast and TCP stability, 0-RTT replay restrictions, certificate automation, and cost of egress.</w:t>
      </w:r>
    </w:p>
    <w:p>
      <w:pPr>
        <w:pStyle w:val="BodyText"/>
      </w:pPr>
      <w:r>
        <w:rPr>
          <w:bCs/>
          <w:b/>
        </w:rPr>
        <w:t xml:space="preserve">Q9. Explain BBR to someone who knows CUBIC, including when you would and would not deploy it.</w:t>
      </w:r>
    </w:p>
    <w:p>
      <w:pPr>
        <w:pStyle w:val="BodyText"/>
      </w:pPr>
      <w:r>
        <w:rPr>
          <w:bCs/>
          <w:b/>
        </w:rPr>
        <w:t xml:space="preserve">Answer.</w:t>
      </w:r>
      <w:r>
        <w:t xml:space="preserve"> </w:t>
      </w:r>
      <w:r>
        <w:t xml:space="preserve">CUBIC infers congestion from loss: it grows cwnd as a cubic function of time since the last loss and multiplies cwnd by 0.7 on loss, so it fills buffers until they overflow and reacts badly to random loss. BBR builds a model: it measures the bottleneck bandwidth (maximum delivery rate) and the minimum RTT, paces at the bandwidth estimate, and keeps about one BDP in flight, cycling its pacing gain to probe for more bandwidth and periodically draining queues to re-measure min RTT. Benefits: much higher throughput on lossy long paths (Google reported 2–25× on its B4 backbone) and lower queuing delay. Concerns: BBRv1 can be unfair to loss-based flows sharing a bottleneck and can cause high retransmission rates with shallow buffers; later versions address this. Deploy it on senders serving users over the WAN or doing bulk transfers on lossy paths; be cautious in shared, shallow-buffer datacenter fabrics, and A/B test.</w:t>
      </w:r>
    </w:p>
    <w:bookmarkEnd w:id="816"/>
    <w:bookmarkEnd w:id="817"/>
    <w:bookmarkStart w:id="818" w:name="practical-exercises-6"/>
    <w:p>
      <w:pPr>
        <w:pStyle w:val="Heading2"/>
      </w:pPr>
      <w:r>
        <w:t xml:space="preserve">7.22 Practical exercises</w:t>
      </w:r>
    </w:p>
    <w:p>
      <w:pPr>
        <w:numPr>
          <w:ilvl w:val="0"/>
          <w:numId w:val="1249"/>
        </w:numPr>
      </w:pPr>
      <w:r>
        <w:rPr>
          <w:bCs/>
          <w:b/>
        </w:rPr>
        <w:t xml:space="preserve">Trace DNS by hand.</w:t>
      </w:r>
      <w:r>
        <w:t xml:space="preserve"> </w:t>
      </w:r>
      <w:r>
        <w:t xml:space="preserve">Run</w:t>
      </w:r>
      <w:r>
        <w:t xml:space="preserve"> </w:t>
      </w:r>
      <w:r>
        <w:rPr>
          <w:rStyle w:val="VerbatimChar"/>
        </w:rPr>
        <w:t xml:space="preserve">dig +trace www.wikipedia.org</w:t>
      </w:r>
      <w:r>
        <w:t xml:space="preserve"> </w:t>
      </w:r>
      <w:r>
        <w:t xml:space="preserve">and identify the root, TLD and authoritative steps. Then run</w:t>
      </w:r>
      <w:r>
        <w:t xml:space="preserve"> </w:t>
      </w:r>
      <w:r>
        <w:rPr>
          <w:rStyle w:val="VerbatimChar"/>
        </w:rPr>
        <w:t xml:space="preserve">dig www.wikipedia.org</w:t>
      </w:r>
      <w:r>
        <w:t xml:space="preserve"> </w:t>
      </w:r>
      <w:r>
        <w:t xml:space="preserve">twice against your resolver and compare the TTL values in the two answers; explain the difference. Query</w:t>
      </w:r>
      <w:r>
        <w:t xml:space="preserve"> </w:t>
      </w:r>
      <w:r>
        <w:rPr>
          <w:rStyle w:val="VerbatimChar"/>
        </w:rPr>
        <w:t xml:space="preserve">dig example.com MX</w:t>
      </w:r>
      <w:r>
        <w:t xml:space="preserve">,</w:t>
      </w:r>
      <w:r>
        <w:t xml:space="preserve"> </w:t>
      </w:r>
      <w:r>
        <w:rPr>
          <w:rStyle w:val="VerbatimChar"/>
        </w:rPr>
        <w:t xml:space="preserve">dig example.com TXT</w:t>
      </w:r>
      <w:r>
        <w:t xml:space="preserve">, and</w:t>
      </w:r>
      <w:r>
        <w:t xml:space="preserve"> </w:t>
      </w:r>
      <w:r>
        <w:rPr>
          <w:rStyle w:val="VerbatimChar"/>
        </w:rPr>
        <w:t xml:space="preserve">dig _xmpp-server._tcp.jabber.org SRV</w:t>
      </w:r>
      <w:r>
        <w:t xml:space="preserve">, and read each record using Table 7.5.</w:t>
      </w:r>
    </w:p>
    <w:p>
      <w:pPr>
        <w:numPr>
          <w:ilvl w:val="0"/>
          <w:numId w:val="1249"/>
        </w:numPr>
      </w:pPr>
      <w:r>
        <w:rPr>
          <w:bCs/>
          <w:b/>
        </w:rPr>
        <w:t xml:space="preserve">Time a request phase by phase.</w:t>
      </w:r>
      <w:r>
        <w:t xml:space="preserve"> </w:t>
      </w:r>
      <w:r>
        <w:t xml:space="preserve">Run:</w:t>
      </w:r>
    </w:p>
    <w:p>
      <w:pPr>
        <w:numPr>
          <w:ilvl w:val="0"/>
          <w:numId w:val="1000"/>
        </w:numPr>
        <w:pStyle w:val="SourceCode"/>
      </w:pPr>
      <w:r>
        <w:rPr>
          <w:rStyle w:val="ExtensionTok"/>
        </w:rPr>
        <w:t xml:space="preserve">curl</w:t>
      </w:r>
      <w:r>
        <w:rPr>
          <w:rStyle w:val="NormalTok"/>
        </w:rPr>
        <w:t xml:space="preserve"> </w:t>
      </w:r>
      <w:r>
        <w:rPr>
          <w:rStyle w:val="AttributeTok"/>
        </w:rPr>
        <w:t xml:space="preserve">-o</w:t>
      </w:r>
      <w:r>
        <w:rPr>
          <w:rStyle w:val="NormalTok"/>
        </w:rPr>
        <w:t xml:space="preserve"> /dev/null </w:t>
      </w:r>
      <w:r>
        <w:rPr>
          <w:rStyle w:val="AttributeTok"/>
        </w:rPr>
        <w:t xml:space="preserve">-s</w:t>
      </w:r>
      <w:r>
        <w:rPr>
          <w:rStyle w:val="NormalTok"/>
        </w:rPr>
        <w:t xml:space="preserve"> </w:t>
      </w:r>
      <w:r>
        <w:rPr>
          <w:rStyle w:val="AttributeTok"/>
        </w:rPr>
        <w:t xml:space="preserve">-w</w:t>
      </w:r>
      <w:r>
        <w:rPr>
          <w:rStyle w:val="NormalTok"/>
        </w:rPr>
        <w:t xml:space="preserve"> </w:t>
      </w:r>
      <w:r>
        <w:rPr>
          <w:rStyle w:val="StringTok"/>
        </w:rPr>
        <w:t xml:space="preserve">'dns=%{time_namelookup} tcp=%{time_connect} tls=%{time_appconnect} ttfb=%{time_starttransfer} total=%{time_total}\n'</w:t>
      </w:r>
      <w:r>
        <w:rPr>
          <w:rStyle w:val="NormalTok"/>
        </w:rPr>
        <w:t xml:space="preserve"> https://www.example.com/</w:t>
      </w:r>
    </w:p>
    <w:p>
      <w:pPr>
        <w:numPr>
          <w:ilvl w:val="0"/>
          <w:numId w:val="1000"/>
        </w:numPr>
      </w:pPr>
      <w:r>
        <w:t xml:space="preserve">All values are cumulative seconds from the start. Compute the TCP handshake (</w:t>
      </w:r>
      <w:r>
        <w:rPr>
          <w:rStyle w:val="VerbatimChar"/>
        </w:rPr>
        <w:t xml:space="preserve">tcp − dns</w:t>
      </w:r>
      <w:r>
        <w:t xml:space="preserve">), TLS handshake (</w:t>
      </w:r>
      <w:r>
        <w:rPr>
          <w:rStyle w:val="VerbatimChar"/>
        </w:rPr>
        <w:t xml:space="preserve">tls − tcp</w:t>
      </w:r>
      <w:r>
        <w:t xml:space="preserve">) and server time (</w:t>
      </w:r>
      <w:r>
        <w:rPr>
          <w:rStyle w:val="VerbatimChar"/>
        </w:rPr>
        <w:t xml:space="preserve">ttfb − tls</w:t>
      </w:r>
      <w:r>
        <w:t xml:space="preserve">). Repeat with</w:t>
      </w:r>
      <w:r>
        <w:t xml:space="preserve"> </w:t>
      </w:r>
      <w:r>
        <w:rPr>
          <w:rStyle w:val="VerbatimChar"/>
        </w:rPr>
        <w:t xml:space="preserve">--http1.1</w:t>
      </w:r>
      <w:r>
        <w:t xml:space="preserve">,</w:t>
      </w:r>
      <w:r>
        <w:t xml:space="preserve"> </w:t>
      </w:r>
      <w:r>
        <w:rPr>
          <w:rStyle w:val="VerbatimChar"/>
        </w:rPr>
        <w:t xml:space="preserve">--http2</w:t>
      </w:r>
      <w:r>
        <w:t xml:space="preserve"> </w:t>
      </w:r>
      <w:r>
        <w:t xml:space="preserve">and (if your curl supports it)</w:t>
      </w:r>
      <w:r>
        <w:t xml:space="preserve"> </w:t>
      </w:r>
      <w:r>
        <w:rPr>
          <w:rStyle w:val="VerbatimChar"/>
        </w:rPr>
        <w:t xml:space="preserve">--http3</w:t>
      </w:r>
      <w:r>
        <w:t xml:space="preserve">, and against a nearby and a distant site. Estimate RTT from the TCP phase and check it against</w:t>
      </w:r>
      <w:r>
        <w:t xml:space="preserve"> </w:t>
      </w:r>
      <w:r>
        <w:rPr>
          <w:rStyle w:val="VerbatimChar"/>
        </w:rPr>
        <w:t xml:space="preserve">ping</w:t>
      </w:r>
      <w:r>
        <w:t xml:space="preserve">.</w:t>
      </w:r>
    </w:p>
    <w:p>
      <w:pPr>
        <w:numPr>
          <w:ilvl w:val="0"/>
          <w:numId w:val="1249"/>
        </w:numPr>
      </w:pPr>
      <w:r>
        <w:rPr>
          <w:bCs/>
          <w:b/>
        </w:rPr>
        <w:t xml:space="preserve">Watch a handshake.</w:t>
      </w:r>
      <w:r>
        <w:t xml:space="preserve"> </w:t>
      </w:r>
      <w:r>
        <w:t xml:space="preserve">Start the echo server from §7.7.10, then in another terminal run</w:t>
      </w:r>
      <w:r>
        <w:t xml:space="preserve"> </w:t>
      </w:r>
      <w:r>
        <w:rPr>
          <w:rStyle w:val="VerbatimChar"/>
        </w:rPr>
        <w:t xml:space="preserve">sudo tcpdump -i lo -nn 'tcp port 9000'</w:t>
      </w:r>
      <w:r>
        <w:t xml:space="preserve"> </w:t>
      </w:r>
      <w:r>
        <w:t xml:space="preserve">and run the client. Identify the SYN, SYN-ACK, ACK, data segments, FIN/ACK exchanges and their sequence and acknowledgment numbers. Run</w:t>
      </w:r>
      <w:r>
        <w:t xml:space="preserve"> </w:t>
      </w:r>
      <w:r>
        <w:rPr>
          <w:rStyle w:val="VerbatimChar"/>
        </w:rPr>
        <w:t xml:space="preserve">ss -tan state time-wait</w:t>
      </w:r>
      <w:r>
        <w:t xml:space="preserve"> </w:t>
      </w:r>
      <w:r>
        <w:t xml:space="preserve">afterward and find the TIME_WAIT socket on the client side. Repeat the capture in Wireshark and use</w:t>
      </w:r>
      <w:r>
        <w:t xml:space="preserve"> </w:t>
      </w:r>
      <w:r>
        <w:t xml:space="preserve">“</w:t>
      </w:r>
      <w:r>
        <w:t xml:space="preserve">Follow TCP Stream</w:t>
      </w:r>
      <w:r>
        <w:t xml:space="preserve">”</w:t>
      </w:r>
      <w:r>
        <w:t xml:space="preserve">.</w:t>
      </w:r>
    </w:p>
    <w:p>
      <w:pPr>
        <w:numPr>
          <w:ilvl w:val="0"/>
          <w:numId w:val="1249"/>
        </w:numPr>
      </w:pPr>
      <w:r>
        <w:rPr>
          <w:bCs/>
          <w:b/>
        </w:rPr>
        <w:t xml:space="preserve">Exhaust and fix.</w:t>
      </w:r>
      <w:r>
        <w:t xml:space="preserve"> </w:t>
      </w:r>
      <w:r>
        <w:t xml:space="preserve">Write a client that opens and closes a new connection to the echo server in a tight loop, and count TIME_WAIT sockets with</w:t>
      </w:r>
      <w:r>
        <w:t xml:space="preserve"> </w:t>
      </w:r>
      <w:r>
        <w:rPr>
          <w:rStyle w:val="VerbatimChar"/>
        </w:rPr>
        <w:t xml:space="preserve">ss -s</w:t>
      </w:r>
      <w:r>
        <w:t xml:space="preserve">. Then rewrite it to reuse one connection, and compare throughput.</w:t>
      </w:r>
    </w:p>
    <w:p>
      <w:pPr>
        <w:numPr>
          <w:ilvl w:val="0"/>
          <w:numId w:val="1249"/>
        </w:numPr>
      </w:pPr>
      <w:r>
        <w:rPr>
          <w:bCs/>
          <w:b/>
        </w:rPr>
        <w:t xml:space="preserve">Feel the Mathis formula.</w:t>
      </w:r>
      <w:r>
        <w:t xml:space="preserve"> </w:t>
      </w:r>
      <w:r>
        <w:t xml:space="preserve">On a Linux test machine, add delay and loss to loopback with</w:t>
      </w:r>
      <w:r>
        <w:t xml:space="preserve"> </w:t>
      </w:r>
      <w:r>
        <w:rPr>
          <w:rStyle w:val="VerbatimChar"/>
        </w:rPr>
        <w:t xml:space="preserve">sudo tc qdisc add dev lo root netem delay 40ms loss 0.1%</w:t>
      </w:r>
      <w:r>
        <w:t xml:space="preserve"> </w:t>
      </w:r>
      <w:r>
        <w:t xml:space="preserve">(giving roughly an 80 ms RTT), measure throughput with</w:t>
      </w:r>
      <w:r>
        <w:t xml:space="preserve"> </w:t>
      </w:r>
      <w:r>
        <w:rPr>
          <w:rStyle w:val="VerbatimChar"/>
        </w:rPr>
        <w:t xml:space="preserve">iperf3</w:t>
      </w:r>
      <w:r>
        <w:t xml:space="preserve">, then remove it with</w:t>
      </w:r>
      <w:r>
        <w:t xml:space="preserve"> </w:t>
      </w:r>
      <w:r>
        <w:rPr>
          <w:rStyle w:val="VerbatimChar"/>
        </w:rPr>
        <w:t xml:space="preserve">sudo tc qdisc del dev lo root</w:t>
      </w:r>
      <w:r>
        <w:t xml:space="preserve">. Compare your result with the formula, and repeat with</w:t>
      </w:r>
      <w:r>
        <w:t xml:space="preserve"> </w:t>
      </w:r>
      <w:r>
        <w:rPr>
          <w:rStyle w:val="VerbatimChar"/>
        </w:rPr>
        <w:t xml:space="preserve">-C bbr</w:t>
      </w:r>
      <w:r>
        <w:t xml:space="preserve"> </w:t>
      </w:r>
      <w:r>
        <w:t xml:space="preserve">if the BBR module is available.</w:t>
      </w:r>
    </w:p>
    <w:p>
      <w:pPr>
        <w:numPr>
          <w:ilvl w:val="0"/>
          <w:numId w:val="1249"/>
        </w:numPr>
      </w:pPr>
      <w:r>
        <w:rPr>
          <w:bCs/>
          <w:b/>
        </w:rPr>
        <w:t xml:space="preserve">Subnet calculator.</w:t>
      </w:r>
      <w:r>
        <w:t xml:space="preserve"> </w:t>
      </w:r>
      <w:r>
        <w:t xml:space="preserve">Verify the worked examples in §7.4 with Python’s standard library:</w:t>
      </w:r>
    </w:p>
    <w:p>
      <w:pPr>
        <w:numPr>
          <w:ilvl w:val="0"/>
          <w:numId w:val="1000"/>
        </w:numPr>
        <w:pStyle w:val="SourceCode"/>
      </w:pPr>
      <w:r>
        <w:rPr>
          <w:rStyle w:val="ImportTok"/>
        </w:rPr>
        <w:t xml:space="preserve">import</w:t>
      </w:r>
      <w:r>
        <w:rPr>
          <w:rStyle w:val="NormalTok"/>
        </w:rPr>
        <w:t xml:space="preserve"> ipaddress</w:t>
      </w:r>
      <w:r>
        <w:br/>
      </w:r>
      <w:r>
        <w:rPr>
          <w:rStyle w:val="NormalTok"/>
        </w:rPr>
        <w:t xml:space="preserve">n </w:t>
      </w:r>
      <w:r>
        <w:rPr>
          <w:rStyle w:val="OperatorTok"/>
        </w:rPr>
        <w:t xml:space="preserve">=</w:t>
      </w:r>
      <w:r>
        <w:rPr>
          <w:rStyle w:val="NormalTok"/>
        </w:rPr>
        <w:t xml:space="preserve"> ipaddress.ip_network(</w:t>
      </w:r>
      <w:r>
        <w:rPr>
          <w:rStyle w:val="StringTok"/>
        </w:rPr>
        <w:t xml:space="preserve">"192.168.10.77/26"</w:t>
      </w:r>
      <w:r>
        <w:rPr>
          <w:rStyle w:val="NormalTok"/>
        </w:rPr>
        <w:t xml:space="preserve">, strict</w:t>
      </w:r>
      <w:r>
        <w:rPr>
          <w:rStyle w:val="OperatorTok"/>
        </w:rPr>
        <w:t xml:space="preserve">=</w:t>
      </w:r>
      <w:r>
        <w:rPr>
          <w:rStyle w:val="VariableTok"/>
        </w:rPr>
        <w:t xml:space="preserve">False</w:t>
      </w:r>
      <w:r>
        <w:rPr>
          <w:rStyle w:val="NormalTok"/>
        </w:rPr>
        <w:t xml:space="preserve">)</w:t>
      </w:r>
      <w:r>
        <w:br/>
      </w:r>
      <w:r>
        <w:rPr>
          <w:rStyle w:val="BuiltInTok"/>
        </w:rPr>
        <w:t xml:space="preserve">print</w:t>
      </w:r>
      <w:r>
        <w:rPr>
          <w:rStyle w:val="NormalTok"/>
        </w:rPr>
        <w:t xml:space="preserve">(n, n.netmask, n.broadcast_address, n.num_addresses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192.168.10.64/26 255.255.255.192 192.168.10.127 62</w:t>
      </w:r>
      <w:r>
        <w:br/>
      </w:r>
      <w:r>
        <w:rPr>
          <w:rStyle w:val="BuiltInTok"/>
        </w:rPr>
        <w:t xml:space="preserve">print</w:t>
      </w:r>
      <w:r>
        <w:rPr>
          <w:rStyle w:val="NormalTok"/>
        </w:rPr>
        <w:t xml:space="preserve">(ipaddress.ip_address(</w:t>
      </w:r>
      <w:r>
        <w:rPr>
          <w:rStyle w:val="StringTok"/>
        </w:rPr>
        <w:t xml:space="preserve">"10.0.37.200"</w:t>
      </w:r>
      <w:r>
        <w:rPr>
          <w:rStyle w:val="NormalTok"/>
        </w:rPr>
        <w:t xml:space="preserve">) </w:t>
      </w:r>
      <w:r>
        <w:rPr>
          <w:rStyle w:val="KeywordTok"/>
        </w:rPr>
        <w:t xml:space="preserve">in</w:t>
      </w:r>
      <w:r>
        <w:rPr>
          <w:rStyle w:val="NormalTok"/>
        </w:rPr>
        <w:t xml:space="preserve"> ipaddress.ip_network(</w:t>
      </w:r>
      <w:r>
        <w:rPr>
          <w:rStyle w:val="StringTok"/>
        </w:rPr>
        <w:t xml:space="preserve">"10.0.32.0/20"</w:t>
      </w:r>
      <w:r>
        <w:rPr>
          <w:rStyle w:val="NormalTok"/>
        </w:rPr>
        <w:t xml:space="preserve">))  </w:t>
      </w:r>
      <w:r>
        <w:rPr>
          <w:rStyle w:val="CommentTok"/>
        </w:rPr>
        <w:t xml:space="preserve"># True</w:t>
      </w:r>
      <w:r>
        <w:br/>
      </w:r>
      <w:r>
        <w:rPr>
          <w:rStyle w:val="BuiltInTok"/>
        </w:rPr>
        <w:t xml:space="preserve">print</w:t>
      </w:r>
      <w:r>
        <w:rPr>
          <w:rStyle w:val="NormalTok"/>
        </w:rPr>
        <w:t xml:space="preserve">(</w:t>
      </w:r>
      <w:r>
        <w:rPr>
          <w:rStyle w:val="BuiltInTok"/>
        </w:rPr>
        <w:t xml:space="preserve">list</w:t>
      </w:r>
      <w:r>
        <w:rPr>
          <w:rStyle w:val="NormalTok"/>
        </w:rPr>
        <w:t xml:space="preserve">(ipaddress.ip_network(</w:t>
      </w:r>
      <w:r>
        <w:rPr>
          <w:rStyle w:val="StringTok"/>
        </w:rPr>
        <w:t xml:space="preserve">"10.0.0.0/16"</w:t>
      </w:r>
      <w:r>
        <w:rPr>
          <w:rStyle w:val="NormalTok"/>
        </w:rPr>
        <w:t xml:space="preserve">).subnets(new_prefix</w:t>
      </w:r>
      <w:r>
        <w:rPr>
          <w:rStyle w:val="OperatorTok"/>
        </w:rPr>
        <w:t xml:space="preserve">=</w:t>
      </w:r>
      <w:r>
        <w:rPr>
          <w:rStyle w:val="DecValTok"/>
        </w:rPr>
        <w:t xml:space="preserve">20</w:t>
      </w:r>
      <w:r>
        <w:rPr>
          <w:rStyle w:val="NormalTok"/>
        </w:rPr>
        <w:t xml:space="preserve">))[:</w:t>
      </w:r>
      <w:r>
        <w:rPr>
          <w:rStyle w:val="DecValTok"/>
        </w:rPr>
        <w:t xml:space="preserve">3</w:t>
      </w:r>
      <w:r>
        <w:rPr>
          <w:rStyle w:val="NormalTok"/>
        </w:rPr>
        <w:t xml:space="preserve">])</w:t>
      </w:r>
      <w:r>
        <w:br/>
      </w:r>
      <w:r>
        <w:rPr>
          <w:rStyle w:val="BuiltInTok"/>
        </w:rPr>
        <w:t xml:space="preserve">print</w:t>
      </w:r>
      <w:r>
        <w:rPr>
          <w:rStyle w:val="NormalTok"/>
        </w:rPr>
        <w:t xml:space="preserve">(ipaddress.ip_network(</w:t>
      </w:r>
      <w:r>
        <w:rPr>
          <w:rStyle w:val="StringTok"/>
        </w:rPr>
        <w:t xml:space="preserve">"10.0.0.0/16"</w:t>
      </w:r>
      <w:r>
        <w:rPr>
          <w:rStyle w:val="NormalTok"/>
        </w:rPr>
        <w:t xml:space="preserve">).overlaps(ipaddress.ip_network(</w:t>
      </w:r>
      <w:r>
        <w:rPr>
          <w:rStyle w:val="StringTok"/>
        </w:rPr>
        <w:t xml:space="preserve">"10.0.128.0/17"</w:t>
      </w:r>
      <w:r>
        <w:rPr>
          <w:rStyle w:val="NormalTok"/>
        </w:rPr>
        <w:t xml:space="preserve">)))  </w:t>
      </w:r>
      <w:r>
        <w:rPr>
          <w:rStyle w:val="CommentTok"/>
        </w:rPr>
        <w:t xml:space="preserve"># True</w:t>
      </w:r>
    </w:p>
    <w:p>
      <w:pPr>
        <w:numPr>
          <w:ilvl w:val="0"/>
          <w:numId w:val="1249"/>
        </w:numPr>
      </w:pPr>
      <w:r>
        <w:rPr>
          <w:bCs/>
          <w:b/>
        </w:rPr>
        <w:t xml:space="preserve">Inspect a certificate.</w:t>
      </w:r>
      <w:r>
        <w:t xml:space="preserve"> </w:t>
      </w:r>
      <w:r>
        <w:t xml:space="preserve">Run</w:t>
      </w:r>
      <w:r>
        <w:t xml:space="preserve"> </w:t>
      </w:r>
      <w:r>
        <w:rPr>
          <w:rStyle w:val="VerbatimChar"/>
        </w:rPr>
        <w:t xml:space="preserve">openssl s_client -connect www.example.com:443 -servername www.example.com -tls1_3 &lt;/dev/null</w:t>
      </w:r>
      <w:r>
        <w:t xml:space="preserve"> </w:t>
      </w:r>
      <w:r>
        <w:t xml:space="preserve">and identify the chain, the negotiated protocol and cipher, and the leaf’s validity period.</w:t>
      </w:r>
    </w:p>
    <w:bookmarkEnd w:id="818"/>
    <w:bookmarkStart w:id="819" w:name="design-challenges-6"/>
    <w:p>
      <w:pPr>
        <w:pStyle w:val="Heading2"/>
      </w:pPr>
      <w:r>
        <w:t xml:space="preserve">7.23 Design challenges</w:t>
      </w:r>
    </w:p>
    <w:p>
      <w:pPr>
        <w:numPr>
          <w:ilvl w:val="0"/>
          <w:numId w:val="1250"/>
        </w:numPr>
        <w:pStyle w:val="Compact"/>
      </w:pPr>
      <w:r>
        <w:rPr>
          <w:bCs/>
          <w:b/>
        </w:rPr>
        <w:t xml:space="preserve">Global login service.</w:t>
      </w:r>
      <w:r>
        <w:t xml:space="preserve"> </w:t>
      </w:r>
      <w:r>
        <w:t xml:space="preserve">Users on five continents must log in with p95 under 300 ms. The credential database must live in one region. Design the network path (DNS, anycast or regional endpoints, TLS termination location, connection reuse between edge and origin) and compute the round-trip budget for a user in Sydney with the database in Virginia (great-circle distance about 15,700 km). Which steps can 0-RTT safely accelerate, and which cannot?</w:t>
      </w:r>
    </w:p>
    <w:p>
      <w:pPr>
        <w:numPr>
          <w:ilvl w:val="0"/>
          <w:numId w:val="1250"/>
        </w:numPr>
        <w:pStyle w:val="Compact"/>
      </w:pPr>
      <w:r>
        <w:rPr>
          <w:bCs/>
          <w:b/>
        </w:rPr>
        <w:t xml:space="preserve">Egress at scale.</w:t>
      </w:r>
      <w:r>
        <w:t xml:space="preserve"> </w:t>
      </w:r>
      <w:r>
        <w:t xml:space="preserve">3,000 containers in private subnets call a single third-party payments API through cloud NAT. Calls take 300 ms, peak load is 20,000 requests per second, and each call currently opens a new TLS connection. Estimate concurrent connections with Little’s Law, identify the NAT and TIME_WAIT limits you will hit, and redesign (pooling, egress proxies, multiple NAT IPs, keep-alive settings).</w:t>
      </w:r>
    </w:p>
    <w:p>
      <w:pPr>
        <w:numPr>
          <w:ilvl w:val="0"/>
          <w:numId w:val="1250"/>
        </w:numPr>
        <w:pStyle w:val="Compact"/>
      </w:pPr>
      <w:r>
        <w:rPr>
          <w:bCs/>
          <w:b/>
        </w:rPr>
        <w:t xml:space="preserve">Datacenter fabric for an analytics cluster.</w:t>
      </w:r>
      <w:r>
        <w:t xml:space="preserve"> </w:t>
      </w:r>
      <w:r>
        <w:t xml:space="preserve">2,000 servers with 25 Gbps NICs run shuffle-heavy batch jobs. Choose leaf and spine port counts and an oversubscription ratio, compute the bisection bandwidth, and explain how you would detect and mitigate incast and ECMP hot spots.</w:t>
      </w:r>
    </w:p>
    <w:bookmarkEnd w:id="819"/>
    <w:bookmarkStart w:id="820" w:name="references-6"/>
    <w:p>
      <w:pPr>
        <w:pStyle w:val="Heading2"/>
      </w:pPr>
      <w:r>
        <w:t xml:space="preserve">7.24 References</w:t>
      </w:r>
    </w:p>
    <w:p>
      <w:pPr>
        <w:numPr>
          <w:ilvl w:val="0"/>
          <w:numId w:val="1251"/>
        </w:numPr>
        <w:pStyle w:val="Compact"/>
      </w:pPr>
      <w:r>
        <w:t xml:space="preserve">Postel, J.</w:t>
      </w:r>
      <w:r>
        <w:t xml:space="preserve"> </w:t>
      </w:r>
      <w:r>
        <w:rPr>
          <w:iCs/>
          <w:i/>
        </w:rPr>
        <w:t xml:space="preserve">RFC 791: Internet Protocol</w:t>
      </w:r>
      <w:r>
        <w:t xml:space="preserve">. IETF, 1981. https://www.rfc-editor.org/rfc/rfc791</w:t>
      </w:r>
    </w:p>
    <w:p>
      <w:pPr>
        <w:numPr>
          <w:ilvl w:val="0"/>
          <w:numId w:val="1251"/>
        </w:numPr>
        <w:pStyle w:val="Compact"/>
      </w:pPr>
      <w:r>
        <w:t xml:space="preserve">Deering, S., Hinden, R.</w:t>
      </w:r>
      <w:r>
        <w:t xml:space="preserve"> </w:t>
      </w:r>
      <w:r>
        <w:rPr>
          <w:iCs/>
          <w:i/>
        </w:rPr>
        <w:t xml:space="preserve">RFC 8200: Internet Protocol, Version 6 (IPv6) Specification</w:t>
      </w:r>
      <w:r>
        <w:t xml:space="preserve">. IETF, 2017. https://www.rfc-editor.org/rfc/rfc8200</w:t>
      </w:r>
    </w:p>
    <w:p>
      <w:pPr>
        <w:numPr>
          <w:ilvl w:val="0"/>
          <w:numId w:val="1251"/>
        </w:numPr>
        <w:pStyle w:val="Compact"/>
      </w:pPr>
      <w:r>
        <w:t xml:space="preserve">Mockapetris, P.</w:t>
      </w:r>
      <w:r>
        <w:t xml:space="preserve"> </w:t>
      </w:r>
      <w:r>
        <w:rPr>
          <w:iCs/>
          <w:i/>
        </w:rPr>
        <w:t xml:space="preserve">RFC 1034: Domain Names — Concepts and Facilities</w:t>
      </w:r>
      <w:r>
        <w:t xml:space="preserve">. IETF, 1987. https://www.rfc-editor.org/rfc/rfc1034</w:t>
      </w:r>
    </w:p>
    <w:p>
      <w:pPr>
        <w:numPr>
          <w:ilvl w:val="0"/>
          <w:numId w:val="1251"/>
        </w:numPr>
        <w:pStyle w:val="Compact"/>
      </w:pPr>
      <w:r>
        <w:t xml:space="preserve">Mockapetris, P.</w:t>
      </w:r>
      <w:r>
        <w:t xml:space="preserve"> </w:t>
      </w:r>
      <w:r>
        <w:rPr>
          <w:iCs/>
          <w:i/>
        </w:rPr>
        <w:t xml:space="preserve">RFC 1035: Domain Names — Implementation and Specification</w:t>
      </w:r>
      <w:r>
        <w:t xml:space="preserve">. IETF, 1987. https://www.rfc-editor.org/rfc/rfc1035</w:t>
      </w:r>
    </w:p>
    <w:p>
      <w:pPr>
        <w:numPr>
          <w:ilvl w:val="0"/>
          <w:numId w:val="1251"/>
        </w:numPr>
        <w:pStyle w:val="Compact"/>
      </w:pPr>
      <w:r>
        <w:t xml:space="preserve">Eddy, W. (Ed.).</w:t>
      </w:r>
      <w:r>
        <w:t xml:space="preserve"> </w:t>
      </w:r>
      <w:r>
        <w:rPr>
          <w:iCs/>
          <w:i/>
        </w:rPr>
        <w:t xml:space="preserve">RFC 9293: Transmission Control Protocol (TCP)</w:t>
      </w:r>
      <w:r>
        <w:t xml:space="preserve">. IETF, 2022. https://www.rfc-editor.org/rfc/rfc9293</w:t>
      </w:r>
    </w:p>
    <w:p>
      <w:pPr>
        <w:numPr>
          <w:ilvl w:val="0"/>
          <w:numId w:val="1251"/>
        </w:numPr>
        <w:pStyle w:val="Compact"/>
      </w:pPr>
      <w:r>
        <w:t xml:space="preserve">Postel, J.</w:t>
      </w:r>
      <w:r>
        <w:t xml:space="preserve"> </w:t>
      </w:r>
      <w:r>
        <w:rPr>
          <w:iCs/>
          <w:i/>
        </w:rPr>
        <w:t xml:space="preserve">RFC 768: User Datagram Protocol</w:t>
      </w:r>
      <w:r>
        <w:t xml:space="preserve">. IETF, 1980. https://www.rfc-editor.org/rfc/rfc768</w:t>
      </w:r>
    </w:p>
    <w:p>
      <w:pPr>
        <w:numPr>
          <w:ilvl w:val="0"/>
          <w:numId w:val="1251"/>
        </w:numPr>
        <w:pStyle w:val="Compact"/>
      </w:pPr>
      <w:r>
        <w:t xml:space="preserve">Fielding, R., Nottingham, M., Reschke, J. (Eds.).</w:t>
      </w:r>
      <w:r>
        <w:t xml:space="preserve"> </w:t>
      </w:r>
      <w:r>
        <w:rPr>
          <w:iCs/>
          <w:i/>
        </w:rPr>
        <w:t xml:space="preserve">RFC 9110: HTTP Semantics</w:t>
      </w:r>
      <w:r>
        <w:t xml:space="preserve">. IETF, 2022. https://www.rfc-editor.org/rfc/rfc9110</w:t>
      </w:r>
    </w:p>
    <w:p>
      <w:pPr>
        <w:numPr>
          <w:ilvl w:val="0"/>
          <w:numId w:val="1251"/>
        </w:numPr>
        <w:pStyle w:val="Compact"/>
      </w:pPr>
      <w:r>
        <w:t xml:space="preserve">Fielding, R., Nottingham, M., Reschke, J. (Eds.).</w:t>
      </w:r>
      <w:r>
        <w:t xml:space="preserve"> </w:t>
      </w:r>
      <w:r>
        <w:rPr>
          <w:iCs/>
          <w:i/>
        </w:rPr>
        <w:t xml:space="preserve">RFC 9112: HTTP/1.1</w:t>
      </w:r>
      <w:r>
        <w:t xml:space="preserve">. IETF, 2022. https://www.rfc-editor.org/rfc/rfc9112</w:t>
      </w:r>
    </w:p>
    <w:p>
      <w:pPr>
        <w:numPr>
          <w:ilvl w:val="0"/>
          <w:numId w:val="1251"/>
        </w:numPr>
        <w:pStyle w:val="Compact"/>
      </w:pPr>
      <w:r>
        <w:t xml:space="preserve">Thomson, M., Benfield, C. (Eds.).</w:t>
      </w:r>
      <w:r>
        <w:t xml:space="preserve"> </w:t>
      </w:r>
      <w:r>
        <w:rPr>
          <w:iCs/>
          <w:i/>
        </w:rPr>
        <w:t xml:space="preserve">RFC 9113: HTTP/2</w:t>
      </w:r>
      <w:r>
        <w:t xml:space="preserve">. IETF, 2022. https://www.rfc-editor.org/rfc/rfc9113</w:t>
      </w:r>
    </w:p>
    <w:p>
      <w:pPr>
        <w:numPr>
          <w:ilvl w:val="0"/>
          <w:numId w:val="1251"/>
        </w:numPr>
        <w:pStyle w:val="Compact"/>
      </w:pPr>
      <w:r>
        <w:t xml:space="preserve">Bishop, M. (Ed.).</w:t>
      </w:r>
      <w:r>
        <w:t xml:space="preserve"> </w:t>
      </w:r>
      <w:r>
        <w:rPr>
          <w:iCs/>
          <w:i/>
        </w:rPr>
        <w:t xml:space="preserve">RFC 9114: HTTP/3</w:t>
      </w:r>
      <w:r>
        <w:t xml:space="preserve">. IETF, 2022. https://www.rfc-editor.org/rfc/rfc9114</w:t>
      </w:r>
    </w:p>
    <w:p>
      <w:pPr>
        <w:numPr>
          <w:ilvl w:val="0"/>
          <w:numId w:val="1251"/>
        </w:numPr>
        <w:pStyle w:val="Compact"/>
      </w:pPr>
      <w:r>
        <w:t xml:space="preserve">Iyengar, J., Thomson, M. (Eds.).</w:t>
      </w:r>
      <w:r>
        <w:t xml:space="preserve"> </w:t>
      </w:r>
      <w:r>
        <w:rPr>
          <w:iCs/>
          <w:i/>
        </w:rPr>
        <w:t xml:space="preserve">RFC 9000: QUIC: A UDP-Based Multiplexed and Secure Transport</w:t>
      </w:r>
      <w:r>
        <w:t xml:space="preserve">. IETF, 2021. https://www.rfc-editor.org/rfc/rfc9000</w:t>
      </w:r>
    </w:p>
    <w:p>
      <w:pPr>
        <w:numPr>
          <w:ilvl w:val="0"/>
          <w:numId w:val="1251"/>
        </w:numPr>
        <w:pStyle w:val="Compact"/>
      </w:pPr>
      <w:r>
        <w:t xml:space="preserve">Rescorla, E.</w:t>
      </w:r>
      <w:r>
        <w:t xml:space="preserve"> </w:t>
      </w:r>
      <w:r>
        <w:rPr>
          <w:iCs/>
          <w:i/>
        </w:rPr>
        <w:t xml:space="preserve">RFC 8446: The Transport Layer Security (TLS) Protocol Version 1.3</w:t>
      </w:r>
      <w:r>
        <w:t xml:space="preserve">. IETF, 2018. https://www.rfc-editor.org/rfc/rfc8446</w:t>
      </w:r>
    </w:p>
    <w:p>
      <w:pPr>
        <w:numPr>
          <w:ilvl w:val="0"/>
          <w:numId w:val="1251"/>
        </w:numPr>
        <w:pStyle w:val="Compact"/>
      </w:pPr>
      <w:r>
        <w:t xml:space="preserve">Fette, I., Melnikov, A.</w:t>
      </w:r>
      <w:r>
        <w:t xml:space="preserve"> </w:t>
      </w:r>
      <w:r>
        <w:rPr>
          <w:iCs/>
          <w:i/>
        </w:rPr>
        <w:t xml:space="preserve">RFC 6455: The WebSocket Protocol</w:t>
      </w:r>
      <w:r>
        <w:t xml:space="preserve">. IETF, 2011. https://www.rfc-editor.org/rfc/rfc6455</w:t>
      </w:r>
    </w:p>
    <w:p>
      <w:pPr>
        <w:numPr>
          <w:ilvl w:val="0"/>
          <w:numId w:val="1251"/>
        </w:numPr>
        <w:pStyle w:val="Compact"/>
      </w:pPr>
      <w:r>
        <w:t xml:space="preserve">Allman, M., Paxson, V., Blanton, E.</w:t>
      </w:r>
      <w:r>
        <w:t xml:space="preserve"> </w:t>
      </w:r>
      <w:r>
        <w:rPr>
          <w:iCs/>
          <w:i/>
        </w:rPr>
        <w:t xml:space="preserve">RFC 5681: TCP Congestion Control</w:t>
      </w:r>
      <w:r>
        <w:t xml:space="preserve">. IETF, 2009. https://www.rfc-editor.org/rfc/rfc5681</w:t>
      </w:r>
    </w:p>
    <w:p>
      <w:pPr>
        <w:numPr>
          <w:ilvl w:val="0"/>
          <w:numId w:val="1251"/>
        </w:numPr>
        <w:pStyle w:val="Compact"/>
      </w:pPr>
      <w:r>
        <w:t xml:space="preserve">Other IETF RFCs cited by number in this chapter, each available at</w:t>
      </w:r>
      <w:r>
        <w:t xml:space="preserve"> </w:t>
      </w:r>
      <w:r>
        <w:rPr>
          <w:rStyle w:val="VerbatimChar"/>
        </w:rPr>
        <w:t xml:space="preserve">https://www.rfc-editor.org/rfc/rfcNNNN</w:t>
      </w:r>
      <w:r>
        <w:t xml:space="preserve">: 896 (Nagle’s algorithm), 1122 (host requirements), 1918 (private addresses), 2308 (negative caching), 2782 (SRV), 3021 (/31 links), 3022 (NAT), 3849 and 5737 (documentation prefixes), 4193 (IPv6 ULA), 4271 (BGP-4), 4632 (CIDR), 5246 (TLS 1.2), 6298 (RTO), 6598 (CGNAT space), 6891 (EDNS(0)), 6928 (initial window), 7239 (Forwarded), 7323 (window scaling), 7413 (TCP Fast Open), 7541 (HPACK), 7858 (DNS over TLS), 8085 (UDP guidelines), 8305 (Happy Eyeballs v2), 8441 and 9220 (WebSockets over HTTP/2 and HTTP/3), 8470 (early data in HTTP), 8484 (DNS over HTTPS), 9001 (QUIC-TLS), 9002 (QUIC loss recovery), 9204 (QPACK), 9218 (HTTP priorities), 9438 (CUBIC), 9460 (SVCB/HTTPS records).</w:t>
      </w:r>
    </w:p>
    <w:p>
      <w:pPr>
        <w:numPr>
          <w:ilvl w:val="0"/>
          <w:numId w:val="1251"/>
        </w:numPr>
        <w:pStyle w:val="Compact"/>
      </w:pPr>
      <w:r>
        <w:t xml:space="preserve">Kurose, J. F., Ross, K. W.</w:t>
      </w:r>
      <w:r>
        <w:t xml:space="preserve"> </w:t>
      </w:r>
      <w:r>
        <w:rPr>
          <w:iCs/>
          <w:i/>
        </w:rPr>
        <w:t xml:space="preserve">Computer Networking: A Top-Down Approach</w:t>
      </w:r>
      <w:r>
        <w:t xml:space="preserve">, 8th ed. Pearson, 2021.</w:t>
      </w:r>
    </w:p>
    <w:p>
      <w:pPr>
        <w:numPr>
          <w:ilvl w:val="0"/>
          <w:numId w:val="1251"/>
        </w:numPr>
        <w:pStyle w:val="Compact"/>
      </w:pPr>
      <w:r>
        <w:t xml:space="preserve">Grigorik, I.</w:t>
      </w:r>
      <w:r>
        <w:t xml:space="preserve"> </w:t>
      </w:r>
      <w:r>
        <w:rPr>
          <w:iCs/>
          <w:i/>
        </w:rPr>
        <w:t xml:space="preserve">High Performance Browser Networking</w:t>
      </w:r>
      <w:r>
        <w:t xml:space="preserve">. O’Reilly Media, 2013. https://hpbn.co</w:t>
      </w:r>
    </w:p>
    <w:p>
      <w:pPr>
        <w:numPr>
          <w:ilvl w:val="0"/>
          <w:numId w:val="1251"/>
        </w:numPr>
        <w:pStyle w:val="Compact"/>
      </w:pPr>
      <w:r>
        <w:t xml:space="preserve">Mathis, M., Semke, J., Mahdavi, J., Ott, T.</w:t>
      </w:r>
      <w:r>
        <w:t xml:space="preserve"> </w:t>
      </w:r>
      <w:r>
        <w:rPr>
          <w:iCs/>
          <w:i/>
        </w:rPr>
        <w:t xml:space="preserve">The Macroscopic Behavior of the TCP Congestion Avoidance Algorithm</w:t>
      </w:r>
      <w:r>
        <w:t xml:space="preserve">. ACM SIGCOMM Computer Communication Review 27(3), 1997.</w:t>
      </w:r>
    </w:p>
    <w:p>
      <w:pPr>
        <w:numPr>
          <w:ilvl w:val="0"/>
          <w:numId w:val="1251"/>
        </w:numPr>
        <w:pStyle w:val="Compact"/>
      </w:pPr>
      <w:r>
        <w:t xml:space="preserve">Cardwell, N., Cheng, Y., Gunn, C. S., Hassas Yeganeh, S., Jacobson, V.</w:t>
      </w:r>
      <w:r>
        <w:t xml:space="preserve"> </w:t>
      </w:r>
      <w:r>
        <w:rPr>
          <w:iCs/>
          <w:i/>
        </w:rPr>
        <w:t xml:space="preserve">BBR: Congestion-Based Congestion Control</w:t>
      </w:r>
      <w:r>
        <w:t xml:space="preserve">. ACM Queue 14(5), 2016. https://queue.acm.org/detail.cfm?id=3022184</w:t>
      </w:r>
    </w:p>
    <w:p>
      <w:pPr>
        <w:numPr>
          <w:ilvl w:val="0"/>
          <w:numId w:val="1251"/>
        </w:numPr>
        <w:pStyle w:val="Compact"/>
      </w:pPr>
      <w:r>
        <w:t xml:space="preserve">Singh, A., Ong, J., Agarwal, A., et al. </w:t>
      </w:r>
      <w:r>
        <w:rPr>
          <w:iCs/>
          <w:i/>
        </w:rPr>
        <w:t xml:space="preserve">Jupiter Rising: A Decade of Clos Topologies and Centralized Control in Google’s Datacenter Network</w:t>
      </w:r>
      <w:r>
        <w:t xml:space="preserve">. ACM SIGCOMM, 2015. https://research.google/pubs/pub43837/</w:t>
      </w:r>
    </w:p>
    <w:p>
      <w:pPr>
        <w:numPr>
          <w:ilvl w:val="0"/>
          <w:numId w:val="1251"/>
        </w:numPr>
        <w:pStyle w:val="Compact"/>
      </w:pPr>
      <w:r>
        <w:t xml:space="preserve">Jacobson, V.</w:t>
      </w:r>
      <w:r>
        <w:t xml:space="preserve"> </w:t>
      </w:r>
      <w:r>
        <w:rPr>
          <w:iCs/>
          <w:i/>
        </w:rPr>
        <w:t xml:space="preserve">Congestion Avoidance and Control</w:t>
      </w:r>
      <w:r>
        <w:t xml:space="preserve">. ACM SIGCOMM, 1988.</w:t>
      </w:r>
    </w:p>
    <w:p>
      <w:pPr>
        <w:numPr>
          <w:ilvl w:val="0"/>
          <w:numId w:val="1251"/>
        </w:numPr>
        <w:pStyle w:val="Compact"/>
      </w:pPr>
      <w:r>
        <w:t xml:space="preserve">Ha, S., Rhee, I., Xu, L.</w:t>
      </w:r>
      <w:r>
        <w:t xml:space="preserve"> </w:t>
      </w:r>
      <w:r>
        <w:rPr>
          <w:iCs/>
          <w:i/>
        </w:rPr>
        <w:t xml:space="preserve">CUBIC: A New TCP-Friendly High-Speed TCP Variant</w:t>
      </w:r>
      <w:r>
        <w:t xml:space="preserve">. ACM SIGOPS Operating Systems Review 42(5), 2008.</w:t>
      </w:r>
    </w:p>
    <w:p>
      <w:pPr>
        <w:numPr>
          <w:ilvl w:val="0"/>
          <w:numId w:val="1251"/>
        </w:numPr>
        <w:pStyle w:val="Compact"/>
      </w:pPr>
      <w:r>
        <w:t xml:space="preserve">Clos, C.</w:t>
      </w:r>
      <w:r>
        <w:t xml:space="preserve"> </w:t>
      </w:r>
      <w:r>
        <w:rPr>
          <w:iCs/>
          <w:i/>
        </w:rPr>
        <w:t xml:space="preserve">A Study of Non-Blocking Switching Networks</w:t>
      </w:r>
      <w:r>
        <w:t xml:space="preserve">. Bell System Technical Journal 32(2), 1953.</w:t>
      </w:r>
    </w:p>
    <w:p>
      <w:pPr>
        <w:numPr>
          <w:ilvl w:val="0"/>
          <w:numId w:val="1251"/>
        </w:numPr>
        <w:pStyle w:val="Compact"/>
      </w:pPr>
      <w:r>
        <w:t xml:space="preserve">Janardhan, S.</w:t>
      </w:r>
      <w:r>
        <w:t xml:space="preserve"> </w:t>
      </w:r>
      <w:r>
        <w:rPr>
          <w:iCs/>
          <w:i/>
        </w:rPr>
        <w:t xml:space="preserve">More details about the October 4 outage</w:t>
      </w:r>
      <w:r>
        <w:t xml:space="preserve">. Engineering at Meta, 2021. https://engineering.fb.com/2021/10/05/networking-traffic/outage-details/</w:t>
      </w:r>
    </w:p>
    <w:p>
      <w:pPr>
        <w:numPr>
          <w:ilvl w:val="0"/>
          <w:numId w:val="1251"/>
        </w:numPr>
        <w:pStyle w:val="Compact"/>
      </w:pPr>
      <w:r>
        <w:t xml:space="preserve">RIPE NCC.</w:t>
      </w:r>
      <w:r>
        <w:t xml:space="preserve"> </w:t>
      </w:r>
      <w:r>
        <w:rPr>
          <w:iCs/>
          <w:i/>
        </w:rPr>
        <w:t xml:space="preserve">YouTube Hijacking: A RIPE NCC RIS case study</w:t>
      </w:r>
      <w:r>
        <w:t xml:space="preserve">. RIPE NCC, 2008.</w:t>
      </w:r>
    </w:p>
    <w:p>
      <w:pPr>
        <w:numPr>
          <w:ilvl w:val="0"/>
          <w:numId w:val="1251"/>
        </w:numPr>
        <w:pStyle w:val="Compact"/>
      </w:pPr>
      <w:r>
        <w:t xml:space="preserve">Amazon Web Services.</w:t>
      </w:r>
      <w:r>
        <w:t xml:space="preserve"> </w:t>
      </w:r>
      <w:r>
        <w:rPr>
          <w:iCs/>
          <w:i/>
        </w:rPr>
        <w:t xml:space="preserve">NAT gateways</w:t>
      </w:r>
      <w:r>
        <w:t xml:space="preserve"> </w:t>
      </w:r>
      <w:r>
        <w:t xml:space="preserve">(Amazon VPC User Guide). AWS Documentation, accessed 2025. https://docs.aws.amazon.com/vpc/latest/userguide/nat-gateway-working-with.html</w:t>
      </w:r>
    </w:p>
    <w:p>
      <w:pPr>
        <w:numPr>
          <w:ilvl w:val="0"/>
          <w:numId w:val="1251"/>
        </w:numPr>
        <w:pStyle w:val="Compact"/>
      </w:pPr>
      <w:r>
        <w:t xml:space="preserve">Amazon Web Services.</w:t>
      </w:r>
      <w:r>
        <w:t xml:space="preserve"> </w:t>
      </w:r>
      <w:r>
        <w:rPr>
          <w:iCs/>
          <w:i/>
        </w:rPr>
        <w:t xml:space="preserve">Subnet CIDR blocks</w:t>
      </w:r>
      <w:r>
        <w:t xml:space="preserve"> </w:t>
      </w:r>
      <w:r>
        <w:t xml:space="preserve">(Amazon VPC User Guide). AWS Documentation, accessed 2025.</w:t>
      </w:r>
    </w:p>
    <w:bookmarkEnd w:id="820"/>
    <w:bookmarkStart w:id="821" w:name="open-verification-items-6"/>
    <w:p>
      <w:pPr>
        <w:pStyle w:val="Heading2"/>
      </w:pPr>
      <w:r>
        <w:t xml:space="preserve">7.25 Open verification items</w:t>
      </w:r>
    </w:p>
    <w:p>
      <w:pPr>
        <w:numPr>
          <w:ilvl w:val="0"/>
          <w:numId w:val="1252"/>
        </w:numPr>
        <w:pStyle w:val="Compact"/>
      </w:pPr>
      <w:r>
        <w:t xml:space="preserve">[RIPE NCC 2008]: confirm the exact title and URL of the YouTube hijacking case study and the</w:t>
      </w:r>
      <w:r>
        <w:t xml:space="preserve"> </w:t>
      </w:r>
      <w:r>
        <w:t xml:space="preserve">“</w:t>
      </w:r>
      <w:r>
        <w:t xml:space="preserve">about two hours</w:t>
      </w:r>
      <w:r>
        <w:t xml:space="preserve">”</w:t>
      </w:r>
      <w:r>
        <w:t xml:space="preserve"> </w:t>
      </w:r>
      <w:r>
        <w:t xml:space="preserve">duration.</w:t>
      </w:r>
    </w:p>
    <w:p>
      <w:pPr>
        <w:numPr>
          <w:ilvl w:val="0"/>
          <w:numId w:val="1252"/>
        </w:numPr>
        <w:pStyle w:val="Compact"/>
      </w:pPr>
      <w:r>
        <w:t xml:space="preserve">[AWS Docs: VPC subnets]: confirm the URL and that five addresses per subnet are still reserved (stated</w:t>
      </w:r>
      <w:r>
        <w:t xml:space="preserve"> </w:t>
      </w:r>
      <w:r>
        <w:t xml:space="preserve">“</w:t>
      </w:r>
      <w:r>
        <w:t xml:space="preserve">as of 2025</w:t>
      </w:r>
      <w:r>
        <w:t xml:space="preserve">”</w:t>
      </w:r>
      <w:r>
        <w:t xml:space="preserve">).</w:t>
      </w:r>
    </w:p>
    <w:p>
      <w:pPr>
        <w:numPr>
          <w:ilvl w:val="0"/>
          <w:numId w:val="1252"/>
        </w:numPr>
        <w:pStyle w:val="Compact"/>
      </w:pPr>
      <w:r>
        <w:t xml:space="preserve">The current CA/Browser Forum schedule for reducing maximum public certificate lifetime below 398 days (deliberately not quantified in §7.10.3).</w:t>
      </w:r>
    </w:p>
    <w:p>
      <w:pPr>
        <w:numPr>
          <w:ilvl w:val="0"/>
          <w:numId w:val="1252"/>
        </w:numPr>
        <w:pStyle w:val="Compact"/>
      </w:pPr>
      <w:r>
        <w:t xml:space="preserve">“</w:t>
      </w:r>
      <w:r>
        <w:t xml:space="preserve">Measured NY–London RTTs are often in the 70 ms range</w:t>
      </w:r>
      <w:r>
        <w:t xml:space="preserve">”</w:t>
      </w:r>
      <w:r>
        <w:t xml:space="preserve"> </w:t>
      </w:r>
      <w:r>
        <w:t xml:space="preserve">(§7.15.1) is an order-of-magnitude statement; replace with a dated measurement if one is wanted.</w:t>
      </w:r>
    </w:p>
    <w:p>
      <w:pPr>
        <w:numPr>
          <w:ilvl w:val="0"/>
          <w:numId w:val="1252"/>
        </w:numPr>
        <w:pStyle w:val="Compact"/>
      </w:pPr>
      <w:r>
        <w:t xml:space="preserve">Jacobson’s 1986 collapse figure (32 kbps to 40 bps) and Google’s BBR results (2–25× on B4) should be checked against the primary texts.</w:t>
      </w:r>
    </w:p>
    <w:p>
      <w:pPr>
        <w:numPr>
          <w:ilvl w:val="0"/>
          <w:numId w:val="1252"/>
        </w:numPr>
        <w:pStyle w:val="Compact"/>
      </w:pPr>
      <w:r>
        <w:t xml:space="preserve">Linux defaults quoted (TIME_WAIT 60 s, minimum RTO 200 ms, delayed-ACK minimum about 40 ms, ephemeral range 32,768–60,999, keep-alive after two hours) are version- and distribution-dependent.</w:t>
      </w:r>
    </w:p>
    <w:p>
      <w:pPr>
        <w:numPr>
          <w:ilvl w:val="0"/>
          <w:numId w:val="1252"/>
        </w:numPr>
        <w:pStyle w:val="Compact"/>
      </w:pPr>
      <w:r>
        <w:t xml:space="preserve">Runnable code is inline only; per style guide §8 it should also be copied to</w:t>
      </w:r>
      <w:r>
        <w:t xml:space="preserve"> </w:t>
      </w:r>
      <w:r>
        <w:rPr>
          <w:rStyle w:val="VerbatimChar"/>
        </w:rPr>
        <w:t xml:space="preserve">code/ch07/</w:t>
      </w:r>
      <w:r>
        <w:t xml:space="preserve"> </w:t>
      </w:r>
      <w:r>
        <w:t xml:space="preserve">(not done, since this task was limited to the chapter file).</w:t>
      </w:r>
    </w:p>
    <w:bookmarkEnd w:id="821"/>
    <w:bookmarkEnd w:id="822"/>
    <w:bookmarkStart w:id="953" w:name="chapter-8-web-application-fundamentals"/>
    <w:p>
      <w:pPr>
        <w:pStyle w:val="Heading1"/>
      </w:pPr>
      <w:r>
        <w:t xml:space="preserve">Chapter 8 — Web Application Fundamentals</w:t>
      </w:r>
    </w:p>
    <w:p>
      <w:pPr>
        <w:pStyle w:val="BlockText"/>
      </w:pPr>
      <w:r>
        <w:rPr>
          <w:bCs/>
          <w:b/>
        </w:rPr>
        <w:t xml:space="preserve">Level:</w:t>
      </w:r>
      <w:r>
        <w:t xml:space="preserve"> </w:t>
      </w:r>
      <w:r>
        <w:t xml:space="preserve">1–2 ·</w:t>
      </w:r>
      <w:r>
        <w:t xml:space="preserve"> </w:t>
      </w:r>
      <w:r>
        <w:rPr>
          <w:bCs/>
          <w:b/>
        </w:rPr>
        <w:t xml:space="preserve">Track:</w:t>
      </w:r>
      <w:r>
        <w:t xml:space="preserve"> </w:t>
      </w:r>
      <w:r>
        <w:t xml:space="preserve">A (Traditional) ·</w:t>
      </w:r>
      <w:r>
        <w:t xml:space="preserve"> </w:t>
      </w:r>
      <w:r>
        <w:rPr>
          <w:bCs/>
          <w:b/>
        </w:rPr>
        <w:t xml:space="preserve">Estimated reading time:</w:t>
      </w:r>
      <w:r>
        <w:t xml:space="preserve"> </w:t>
      </w:r>
      <w:r>
        <w:t xml:space="preserve">5 h</w:t>
      </w:r>
    </w:p>
    <w:bookmarkStart w:id="823" w:name="learning-objectives-7"/>
    <w:p>
      <w:pPr>
        <w:pStyle w:val="Heading2"/>
      </w:pPr>
      <w:r>
        <w:t xml:space="preserve">8.1 Learning objectives</w:t>
      </w:r>
    </w:p>
    <w:p>
      <w:pPr>
        <w:pStyle w:val="FirstParagraph"/>
      </w:pPr>
      <w:r>
        <w:t xml:space="preserve">After this chapter you should be able to:</w:t>
      </w:r>
    </w:p>
    <w:p>
      <w:pPr>
        <w:numPr>
          <w:ilvl w:val="0"/>
          <w:numId w:val="1253"/>
        </w:numPr>
        <w:pStyle w:val="Compact"/>
      </w:pPr>
      <w:r>
        <w:t xml:space="preserve">Explain the client–server model and why stateless application servers are the basis of horizontal scaling.</w:t>
      </w:r>
    </w:p>
    <w:p>
      <w:pPr>
        <w:numPr>
          <w:ilvl w:val="0"/>
          <w:numId w:val="1253"/>
        </w:numPr>
        <w:pStyle w:val="Compact"/>
      </w:pPr>
      <w:r>
        <w:t xml:space="preserve">Compare server-side rendering, single-page applications, static generation and native mobile clients, and say which constraints each puts on the backend.</w:t>
      </w:r>
    </w:p>
    <w:p>
      <w:pPr>
        <w:numPr>
          <w:ilvl w:val="0"/>
          <w:numId w:val="1253"/>
        </w:numPr>
        <w:pStyle w:val="Compact"/>
      </w:pPr>
      <w:r>
        <w:t xml:space="preserve">Trace one HTTPS request from a browser through DNS, the load balancer, the web server, the application and the database and back, and estimate its latency hop by hop.</w:t>
      </w:r>
    </w:p>
    <w:p>
      <w:pPr>
        <w:numPr>
          <w:ilvl w:val="0"/>
          <w:numId w:val="1253"/>
        </w:numPr>
        <w:pStyle w:val="Compact"/>
      </w:pPr>
      <w:r>
        <w:t xml:space="preserve">Design a resource-oriented REST API: choose URIs, methods, status codes, a pagination scheme (offset or cursor, with the SQL behind each), filtering, sorting and an RFC 9457 error format.</w:t>
      </w:r>
    </w:p>
    <w:p>
      <w:pPr>
        <w:numPr>
          <w:ilvl w:val="0"/>
          <w:numId w:val="1253"/>
        </w:numPr>
        <w:pStyle w:val="Compact"/>
      </w:pPr>
      <w:r>
        <w:t xml:space="preserve">Explain how GraphQL executes a query, why it suffers from the N+1 problem and how DataLoader fixes it.</w:t>
      </w:r>
    </w:p>
    <w:p>
      <w:pPr>
        <w:numPr>
          <w:ilvl w:val="0"/>
          <w:numId w:val="1253"/>
        </w:numPr>
        <w:pStyle w:val="Compact"/>
      </w:pPr>
      <w:r>
        <w:t xml:space="preserve">Define a gRPC service in Protocol Buffers, choose among its four streaming modes and propagate deadlines.</w:t>
      </w:r>
    </w:p>
    <w:p>
      <w:pPr>
        <w:numPr>
          <w:ilvl w:val="0"/>
          <w:numId w:val="1253"/>
        </w:numPr>
        <w:pStyle w:val="Compact"/>
      </w:pPr>
      <w:r>
        <w:t xml:space="preserve">Encode a Protocol Buffers message by hand, explain varints, and state the schema-evolution rules for Protobuf, Avro, Thrift and JSON.</w:t>
      </w:r>
    </w:p>
    <w:p>
      <w:pPr>
        <w:numPr>
          <w:ilvl w:val="0"/>
          <w:numId w:val="1253"/>
        </w:numPr>
        <w:pStyle w:val="Compact"/>
      </w:pPr>
      <w:r>
        <w:t xml:space="preserve">Configure cookies safely (</w:t>
      </w:r>
      <w:r>
        <w:rPr>
          <w:rStyle w:val="VerbatimChar"/>
        </w:rPr>
        <w:t xml:space="preserve">Secure</w:t>
      </w:r>
      <w:r>
        <w:t xml:space="preserve">,</w:t>
      </w:r>
      <w:r>
        <w:t xml:space="preserve"> </w:t>
      </w:r>
      <w:r>
        <w:rPr>
          <w:rStyle w:val="VerbatimChar"/>
        </w:rPr>
        <w:t xml:space="preserve">HttpOnly</w:t>
      </w:r>
      <w:r>
        <w:t xml:space="preserve">,</w:t>
      </w:r>
      <w:r>
        <w:t xml:space="preserve"> </w:t>
      </w:r>
      <w:r>
        <w:rPr>
          <w:rStyle w:val="VerbatimChar"/>
        </w:rPr>
        <w:t xml:space="preserve">SameSite</w:t>
      </w:r>
      <w:r>
        <w:t xml:space="preserve">) and choose between server-side sessions and signed cookies.</w:t>
      </w:r>
    </w:p>
    <w:p>
      <w:pPr>
        <w:numPr>
          <w:ilvl w:val="0"/>
          <w:numId w:val="1253"/>
        </w:numPr>
        <w:pStyle w:val="Compact"/>
      </w:pPr>
      <w:r>
        <w:t xml:space="preserve">Distinguish authentication from authorization; compare RBAC, ABAC and ReBAC, and describe Google’s Zanzibar.</w:t>
      </w:r>
    </w:p>
    <w:p>
      <w:pPr>
        <w:numPr>
          <w:ilvl w:val="0"/>
          <w:numId w:val="1253"/>
        </w:numPr>
        <w:pStyle w:val="Compact"/>
      </w:pPr>
      <w:r>
        <w:t xml:space="preserve">Build and validate a JWT, explain HS256 versus RS256, and describe the revocation problem and its mitigations.</w:t>
      </w:r>
    </w:p>
    <w:p>
      <w:pPr>
        <w:numPr>
          <w:ilvl w:val="0"/>
          <w:numId w:val="1253"/>
        </w:numPr>
        <w:pStyle w:val="Compact"/>
      </w:pPr>
      <w:r>
        <w:t xml:space="preserve">Draw the OAuth 2.0 authorization code flow with PKCE, and say what OpenID Connect adds.</w:t>
      </w:r>
    </w:p>
    <w:p>
      <w:pPr>
        <w:numPr>
          <w:ilvl w:val="0"/>
          <w:numId w:val="1253"/>
        </w:numPr>
        <w:pStyle w:val="Compact"/>
      </w:pPr>
      <w:r>
        <w:t xml:space="preserve">Version and deprecate an API without breaking clients, and describe it in OpenAPI.</w:t>
      </w:r>
    </w:p>
    <w:bookmarkEnd w:id="823"/>
    <w:bookmarkStart w:id="824" w:name="prerequisites-7"/>
    <w:p>
      <w:pPr>
        <w:pStyle w:val="Heading2"/>
      </w:pPr>
      <w:r>
        <w:t xml:space="preserve">8.2 Prerequisites</w:t>
      </w:r>
    </w:p>
    <w:p>
      <w:pPr>
        <w:numPr>
          <w:ilvl w:val="0"/>
          <w:numId w:val="1254"/>
        </w:numPr>
        <w:pStyle w:val="Compact"/>
      </w:pPr>
      <w:r>
        <w:t xml:space="preserve">DNS resolution and TTLs — §7.6 (the first hop of every web request is a DNS lookup).</w:t>
      </w:r>
    </w:p>
    <w:p>
      <w:pPr>
        <w:numPr>
          <w:ilvl w:val="0"/>
          <w:numId w:val="1254"/>
        </w:numPr>
        <w:pStyle w:val="Compact"/>
      </w:pPr>
      <w:r>
        <w:t xml:space="preserve">TCP handshake and connection reuse — §7.7, §7.16 (connection setup dominates the latency of short requests).</w:t>
      </w:r>
    </w:p>
    <w:p>
      <w:pPr>
        <w:numPr>
          <w:ilvl w:val="0"/>
          <w:numId w:val="1254"/>
        </w:numPr>
        <w:pStyle w:val="Compact"/>
      </w:pPr>
      <w:r>
        <w:t xml:space="preserve">HTTP/1.1, HTTP/2 and HTTP/3 — §7.9 (REST and gRPC are built on HTTP semantics and HTTP/2 framing).</w:t>
      </w:r>
    </w:p>
    <w:p>
      <w:pPr>
        <w:numPr>
          <w:ilvl w:val="0"/>
          <w:numId w:val="1254"/>
        </w:numPr>
        <w:pStyle w:val="Compact"/>
      </w:pPr>
      <w:r>
        <w:t xml:space="preserve">TLS 1.3 — §7.10 (cookies marked</w:t>
      </w:r>
      <w:r>
        <w:t xml:space="preserve"> </w:t>
      </w:r>
      <w:r>
        <w:rPr>
          <w:rStyle w:val="VerbatimChar"/>
        </w:rPr>
        <w:t xml:space="preserve">Secure</w:t>
      </w:r>
      <w:r>
        <w:t xml:space="preserve">, bearer tokens and OAuth all assume an encrypted channel).</w:t>
      </w:r>
    </w:p>
    <w:p>
      <w:pPr>
        <w:numPr>
          <w:ilvl w:val="0"/>
          <w:numId w:val="1254"/>
        </w:numPr>
        <w:pStyle w:val="Compact"/>
      </w:pPr>
      <w:r>
        <w:t xml:space="preserve">Reverse proxies — §7.12 (load balancers and web servers in front of the application are reverse proxies).</w:t>
      </w:r>
    </w:p>
    <w:p>
      <w:pPr>
        <w:numPr>
          <w:ilvl w:val="0"/>
          <w:numId w:val="1254"/>
        </w:numPr>
        <w:pStyle w:val="Compact"/>
      </w:pPr>
      <w:r>
        <w:t xml:space="preserve">Basic SQL</w:t>
      </w:r>
      <w:r>
        <w:t xml:space="preserve"> </w:t>
      </w:r>
      <w:r>
        <w:rPr>
          <w:rStyle w:val="VerbatimChar"/>
        </w:rPr>
        <w:t xml:space="preserve">SELECT … WHERE … ORDER BY … LIMIT</w:t>
      </w:r>
      <w:r>
        <w:t xml:space="preserve"> </w:t>
      </w:r>
      <w:r>
        <w:t xml:space="preserve">— §11.6 (needed for the pagination queries; you can read this chapter first and come back).</w:t>
      </w:r>
    </w:p>
    <w:p>
      <w:pPr>
        <w:numPr>
          <w:ilvl w:val="0"/>
          <w:numId w:val="1254"/>
        </w:numPr>
        <w:pStyle w:val="Compact"/>
      </w:pPr>
      <w:r>
        <w:t xml:space="preserve">Hashes, MACs and digital signatures at the level of</w:t>
      </w:r>
      <w:r>
        <w:t xml:space="preserve"> </w:t>
      </w:r>
      <w:r>
        <w:t xml:space="preserve">“</w:t>
      </w:r>
      <w:r>
        <w:t xml:space="preserve">a MAC proves a shared-key holder made this; a signature proves a private-key holder made this</w:t>
      </w:r>
      <w:r>
        <w:t xml:space="preserve">”</w:t>
      </w:r>
      <w:r>
        <w:t xml:space="preserve"> </w:t>
      </w:r>
      <w:r>
        <w:t xml:space="preserve">— §10.4 (needed for signed cookies, JWTs and OAuth).</w:t>
      </w:r>
    </w:p>
    <w:bookmarkEnd w:id="824"/>
    <w:bookmarkStart w:id="836" w:name="clientserver-architecture"/>
    <w:p>
      <w:pPr>
        <w:pStyle w:val="Heading2"/>
      </w:pPr>
      <w:r>
        <w:t xml:space="preserve">8.3 Client–server architecture</w:t>
      </w:r>
    </w:p>
    <w:bookmarkStart w:id="832" w:name="the-clientserver-model"/>
    <w:p>
      <w:pPr>
        <w:pStyle w:val="Heading3"/>
      </w:pPr>
      <w:r>
        <w:t xml:space="preserve">8.3.1 The client–server model</w:t>
      </w:r>
    </w:p>
    <w:p>
      <w:pPr>
        <w:pStyle w:val="CalloutDefinition"/>
      </w:pPr>
      <w:r>
        <w:rPr>
          <w:bCs/>
          <w:b/>
        </w:rPr>
        <w:t xml:space="preserve">DEFINITION</w:t>
      </w:r>
    </w:p>
    <w:p>
      <w:pPr>
        <w:pStyle w:val="CalloutDefinition"/>
      </w:pPr>
      <w:r>
        <w:rPr>
          <w:bCs/>
          <w:b/>
        </w:rPr>
        <w:t xml:space="preserve">Definition — Client–server architecture.</w:t>
      </w:r>
      <w:r>
        <w:t xml:space="preserve"> </w:t>
      </w:r>
      <w:r>
        <w:t xml:space="preserve">A way of dividing a system into two roles: a</w:t>
      </w:r>
      <w:r>
        <w:t xml:space="preserve"> </w:t>
      </w:r>
      <w:r>
        <w:rPr>
          <w:bCs/>
          <w:b/>
        </w:rPr>
        <w:t xml:space="preserve">client</w:t>
      </w:r>
      <w:r>
        <w:t xml:space="preserve">, which initiates requests on behalf of a user or another program, and a</w:t>
      </w:r>
      <w:r>
        <w:t xml:space="preserve"> </w:t>
      </w:r>
      <w:r>
        <w:rPr>
          <w:bCs/>
          <w:b/>
        </w:rPr>
        <w:t xml:space="preserve">server</w:t>
      </w:r>
      <w:r>
        <w:t xml:space="preserve">, which waits for requests, performs work on shared resources (data, computation) and returns responses. The two communicate over a network using an agreed</w:t>
      </w:r>
      <w:r>
        <w:t xml:space="preserve"> </w:t>
      </w:r>
      <w:r>
        <w:rPr>
          <w:bCs/>
          <w:b/>
        </w:rPr>
        <w:t xml:space="preserve">protocol</w:t>
      </w:r>
      <w:r>
        <w:t xml:space="preserve">.</w:t>
      </w:r>
    </w:p>
    <w:bookmarkStart w:id="825" w:name="first-principles-explanation-44"/>
    <w:p>
      <w:pPr>
        <w:pStyle w:val="Heading4"/>
      </w:pPr>
      <w:r>
        <w:t xml:space="preserve">First-principles explanation</w:t>
      </w:r>
    </w:p>
    <w:p>
      <w:pPr>
        <w:pStyle w:val="FirstParagraph"/>
      </w:pPr>
      <w:r>
        <w:t xml:space="preserve">Think of a restaurant. You, the diner, are the</w:t>
      </w:r>
      <w:r>
        <w:t xml:space="preserve"> </w:t>
      </w:r>
      <w:r>
        <w:rPr>
          <w:bCs/>
          <w:b/>
        </w:rPr>
        <w:t xml:space="preserve">client</w:t>
      </w:r>
      <w:r>
        <w:t xml:space="preserve">. You do not walk into the kitchen; you tell a waiter what you want, in a format the kitchen understands (the menu is the</w:t>
      </w:r>
      <w:r>
        <w:t xml:space="preserve"> </w:t>
      </w:r>
      <w:r>
        <w:rPr>
          <w:bCs/>
          <w:b/>
        </w:rPr>
        <w:t xml:space="preserve">protocol</w:t>
      </w:r>
      <w:r>
        <w:t xml:space="preserve">). The kitchen is the</w:t>
      </w:r>
      <w:r>
        <w:t xml:space="preserve"> </w:t>
      </w:r>
      <w:r>
        <w:rPr>
          <w:bCs/>
          <w:b/>
        </w:rPr>
        <w:t xml:space="preserve">server</w:t>
      </w:r>
      <w:r>
        <w:t xml:space="preserve">: it holds the shared, expensive resources (stoves, ingredients, the chef’s skill), serves many diners at once, and sends back a plate (the</w:t>
      </w:r>
      <w:r>
        <w:t xml:space="preserve"> </w:t>
      </w:r>
      <w:r>
        <w:rPr>
          <w:bCs/>
          <w:b/>
        </w:rPr>
        <w:t xml:space="preserve">response</w:t>
      </w:r>
      <w:r>
        <w:t xml:space="preserve">). Three properties of this arrangement carry directly into software:</w:t>
      </w:r>
    </w:p>
    <w:p>
      <w:pPr>
        <w:numPr>
          <w:ilvl w:val="0"/>
          <w:numId w:val="1255"/>
        </w:numPr>
        <w:pStyle w:val="Compact"/>
      </w:pPr>
      <w:r>
        <w:rPr>
          <w:bCs/>
          <w:b/>
        </w:rPr>
        <w:t xml:space="preserve">The client initiates.</w:t>
      </w:r>
      <w:r>
        <w:t xml:space="preserve"> </w:t>
      </w:r>
      <w:r>
        <w:t xml:space="preserve">The kitchen never comes to your table unasked. In classic HTTP the server cannot send anything until the client asks; Chapter 9 covers the techniques that work around this.</w:t>
      </w:r>
    </w:p>
    <w:p>
      <w:pPr>
        <w:numPr>
          <w:ilvl w:val="0"/>
          <w:numId w:val="1255"/>
        </w:numPr>
        <w:pStyle w:val="Compact"/>
      </w:pPr>
      <w:r>
        <w:rPr>
          <w:bCs/>
          <w:b/>
        </w:rPr>
        <w:t xml:space="preserve">The server is shared and centralized.</w:t>
      </w:r>
      <w:r>
        <w:t xml:space="preserve"> </w:t>
      </w:r>
      <w:r>
        <w:t xml:space="preserve">One kitchen serves hundreds of tables, so the restaurant can keep its ingredients (data) consistent in one place.</w:t>
      </w:r>
    </w:p>
    <w:p>
      <w:pPr>
        <w:numPr>
          <w:ilvl w:val="0"/>
          <w:numId w:val="1255"/>
        </w:numPr>
        <w:pStyle w:val="Compact"/>
      </w:pPr>
      <w:r>
        <w:rPr>
          <w:bCs/>
          <w:b/>
        </w:rPr>
        <w:t xml:space="preserve">The menu decouples the two.</w:t>
      </w:r>
      <w:r>
        <w:t xml:space="preserve"> </w:t>
      </w:r>
      <w:r>
        <w:t xml:space="preserve">You can change tables, or the kitchen can hire a new chef, without either side noticing, as long as the menu stays the same. In software, that contract is the</w:t>
      </w:r>
      <w:r>
        <w:t xml:space="preserve"> </w:t>
      </w:r>
      <w:r>
        <w:rPr>
          <w:bCs/>
          <w:b/>
        </w:rPr>
        <w:t xml:space="preserve">API (application programming interface)</w:t>
      </w:r>
      <w:r>
        <w:t xml:space="preserve">.</w:t>
      </w:r>
    </w:p>
    <w:bookmarkEnd w:id="825"/>
    <w:bookmarkStart w:id="826" w:name="why-does-this-exist-27"/>
    <w:p>
      <w:pPr>
        <w:pStyle w:val="Heading4"/>
      </w:pPr>
      <w:r>
        <w:t xml:space="preserve">Why does this exist?</w:t>
      </w:r>
    </w:p>
    <w:p>
      <w:pPr>
        <w:pStyle w:val="FirstParagraph"/>
      </w:pPr>
      <w:r>
        <w:t xml:space="preserve">Before networks, a program and its data lived on one computer. Once many people needed the</w:t>
      </w:r>
      <w:r>
        <w:t xml:space="preserve"> </w:t>
      </w:r>
      <w:r>
        <w:rPr>
          <w:iCs/>
          <w:i/>
        </w:rPr>
        <w:t xml:space="preserve">same</w:t>
      </w:r>
      <w:r>
        <w:t xml:space="preserve"> </w:t>
      </w:r>
      <w:r>
        <w:t xml:space="preserve">data — a bank’s balances, an airline’s seat map — something had to own the single authoritative copy and arbitrate concurrent changes. Putting that copy on a server, and letting many thin clients talk to it, solves three problems at once:</w:t>
      </w:r>
      <w:r>
        <w:t xml:space="preserve"> </w:t>
      </w:r>
      <w:r>
        <w:rPr>
          <w:bCs/>
          <w:b/>
        </w:rPr>
        <w:t xml:space="preserve">shared state</w:t>
      </w:r>
      <w:r>
        <w:t xml:space="preserve"> </w:t>
      </w:r>
      <w:r>
        <w:t xml:space="preserve">(one source of truth),</w:t>
      </w:r>
      <w:r>
        <w:t xml:space="preserve"> </w:t>
      </w:r>
      <w:r>
        <w:rPr>
          <w:bCs/>
          <w:b/>
        </w:rPr>
        <w:t xml:space="preserve">security</w:t>
      </w:r>
      <w:r>
        <w:t xml:space="preserve"> </w:t>
      </w:r>
      <w:r>
        <w:t xml:space="preserve">(clients never touch the database directly, so they cannot bypass business rules) and</w:t>
      </w:r>
      <w:r>
        <w:t xml:space="preserve"> </w:t>
      </w:r>
      <w:r>
        <w:rPr>
          <w:bCs/>
          <w:b/>
        </w:rPr>
        <w:t xml:space="preserve">independent evolution</w:t>
      </w:r>
      <w:r>
        <w:t xml:space="preserve"> </w:t>
      </w:r>
      <w:r>
        <w:t xml:space="preserve">(you can ship a new server without reinstalling every client, and vice versa, provided the contract holds).</w:t>
      </w:r>
    </w:p>
    <w:bookmarkEnd w:id="826"/>
    <w:bookmarkStart w:id="827" w:name="how-it-works-internally-23"/>
    <w:p>
      <w:pPr>
        <w:pStyle w:val="Heading4"/>
      </w:pPr>
      <w:r>
        <w:t xml:space="preserve">How it works internally</w:t>
      </w:r>
    </w:p>
    <w:p>
      <w:pPr>
        <w:pStyle w:val="FirstParagraph"/>
      </w:pPr>
      <w:r>
        <w:t xml:space="preserve">A modern web system usually has three</w:t>
      </w:r>
      <w:r>
        <w:t xml:space="preserve"> </w:t>
      </w:r>
      <w:r>
        <w:rPr>
          <w:bCs/>
          <w:b/>
        </w:rPr>
        <w:t xml:space="preserve">tiers</w:t>
      </w:r>
      <w:r>
        <w:t xml:space="preserve">:</w:t>
      </w:r>
    </w:p>
    <w:p>
      <w:pPr>
        <w:numPr>
          <w:ilvl w:val="0"/>
          <w:numId w:val="1256"/>
        </w:numPr>
        <w:pStyle w:val="Compact"/>
      </w:pPr>
      <w:r>
        <w:rPr>
          <w:bCs/>
          <w:b/>
        </w:rPr>
        <w:t xml:space="preserve">Presentation tier</w:t>
      </w:r>
      <w:r>
        <w:t xml:space="preserve"> </w:t>
      </w:r>
      <w:r>
        <w:t xml:space="preserve">— the client: a browser running HTML/JavaScript, or a native mobile app.</w:t>
      </w:r>
    </w:p>
    <w:p>
      <w:pPr>
        <w:numPr>
          <w:ilvl w:val="0"/>
          <w:numId w:val="1256"/>
        </w:numPr>
        <w:pStyle w:val="Compact"/>
      </w:pPr>
      <w:r>
        <w:rPr>
          <w:bCs/>
          <w:b/>
        </w:rPr>
        <w:t xml:space="preserve">Application tier</w:t>
      </w:r>
      <w:r>
        <w:t xml:space="preserve"> </w:t>
      </w:r>
      <w:r>
        <w:t xml:space="preserve">— one or more</w:t>
      </w:r>
      <w:r>
        <w:t xml:space="preserve"> </w:t>
      </w:r>
      <w:r>
        <w:rPr>
          <w:bCs/>
          <w:b/>
        </w:rPr>
        <w:t xml:space="preserve">services</w:t>
      </w:r>
      <w:r>
        <w:t xml:space="preserve"> </w:t>
      </w:r>
      <w:r>
        <w:t xml:space="preserve">that implement business logic. They are normally</w:t>
      </w:r>
      <w:r>
        <w:t xml:space="preserve"> </w:t>
      </w:r>
      <w:r>
        <w:rPr>
          <w:bCs/>
          <w:b/>
        </w:rPr>
        <w:t xml:space="preserve">stateless</w:t>
      </w:r>
      <w:r>
        <w:t xml:space="preserve">: they keep nothing about a user between requests in their own memory.</w:t>
      </w:r>
    </w:p>
    <w:p>
      <w:pPr>
        <w:numPr>
          <w:ilvl w:val="0"/>
          <w:numId w:val="1256"/>
        </w:numPr>
        <w:pStyle w:val="Compact"/>
      </w:pPr>
      <w:r>
        <w:rPr>
          <w:bCs/>
          <w:b/>
        </w:rPr>
        <w:t xml:space="preserve">Data tier</w:t>
      </w:r>
      <w:r>
        <w:t xml:space="preserve"> </w:t>
      </w:r>
      <w:r>
        <w:t xml:space="preserve">— databases, caches and object stores that hold durable state.</w:t>
      </w:r>
    </w:p>
    <w:p>
      <w:pPr>
        <w:pStyle w:val="FirstParagraph"/>
      </w:pPr>
      <w:r>
        <w:t xml:space="preserve">Each request flows inwards (client → application → data) and the response flows back out. Because the application tier is stateless, any copy of it can handle any request, which is what makes the tier easy to scale horizontally behind a load balancer (see §18.5 and Chapter 19).</w:t>
      </w:r>
    </w:p>
    <w:bookmarkEnd w:id="827"/>
    <w:bookmarkStart w:id="831" w:name="architecture-diagram-5"/>
    <w:p>
      <w:pPr>
        <w:pStyle w:val="Heading4"/>
      </w:pPr>
      <w:r>
        <w:t xml:space="preserve">Architecture diagram</w:t>
      </w:r>
    </w:p>
    <w:p>
      <w:pPr>
        <w:pStyle w:val="FirstParagraph"/>
      </w:pPr>
      <w:r>
        <w:rPr>
          <w:bCs/>
          <w:b/>
        </w:rPr>
        <w:t xml:space="preserve">Figure 8.1 — Three-tier client–server architecture.</w:t>
      </w:r>
    </w:p>
    <w:p>
      <w:pPr>
        <w:pStyle w:val="BodyText"/>
      </w:pPr>
      <w:r>
        <w:drawing>
          <wp:inline>
            <wp:extent cx="5334000" cy="1720120"/>
            <wp:effectExtent b="0" l="0" r="0" t="0"/>
            <wp:docPr descr="" title="" id="829" name="Picture"/>
            <a:graphic>
              <a:graphicData uri="http://schemas.openxmlformats.org/drawingml/2006/picture">
                <pic:pic>
                  <pic:nvPicPr>
                    <pic:cNvPr descr="/home/user/System-Design/build/.cache/diagrams/4cd04d70902f.png" id="830" name="Picture"/>
                    <pic:cNvPicPr>
                      <a:picLocks noChangeArrowheads="1" noChangeAspect="1"/>
                    </pic:cNvPicPr>
                  </pic:nvPicPr>
                  <pic:blipFill>
                    <a:blip r:embed="rId828"/>
                    <a:stretch>
                      <a:fillRect/>
                    </a:stretch>
                  </pic:blipFill>
                  <pic:spPr bwMode="auto">
                    <a:xfrm>
                      <a:off x="0" y="0"/>
                      <a:ext cx="5334000" cy="1720120"/>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Two kinds of client (stadium shapes) send HTTPS requests to a layer-7 load balancer, which terminates TLS and forwards plain HTTP (or re-encrypted HTTPS) inside the private network to one of three identical application servers. All arrows are synchronous request/response calls. The application servers are stateless, so the only storage boundary is the data-tier subgraph: the cache and the primary database. Failure points: the load balancer (mitigated by running a redundant pair, §19.8), any single app server (the load balancer’s health checks remove it, §19.5) and the database (the hardest to make redundant; Chapter 14). Scaling: add app servers freely; the data tier scales with caching (Chapter 20), replicas and partitioning (Chapter 14).</w:t>
      </w:r>
    </w:p>
    <w:bookmarkEnd w:id="831"/>
    <w:bookmarkEnd w:id="832"/>
    <w:bookmarkStart w:id="835" w:name="statelessness"/>
    <w:p>
      <w:pPr>
        <w:pStyle w:val="Heading3"/>
      </w:pPr>
      <w:r>
        <w:t xml:space="preserve">8.3.2 Statelessness</w:t>
      </w:r>
    </w:p>
    <w:p>
      <w:pPr>
        <w:pStyle w:val="CalloutDefinition"/>
      </w:pPr>
      <w:r>
        <w:rPr>
          <w:bCs/>
          <w:b/>
        </w:rPr>
        <w:t xml:space="preserve">DEFINITION</w:t>
      </w:r>
    </w:p>
    <w:p>
      <w:pPr>
        <w:pStyle w:val="CalloutDefinition"/>
      </w:pPr>
      <w:r>
        <w:rPr>
          <w:bCs/>
          <w:b/>
        </w:rPr>
        <w:t xml:space="preserve">Definition — Stateless service.</w:t>
      </w:r>
      <w:r>
        <w:t xml:space="preserve"> </w:t>
      </w:r>
      <w:r>
        <w:t xml:space="preserve">A service that keeps no client-specific data in its own memory between requests. Every request carries, or lets the service look up from a shared store, everything needed to process it.</w:t>
      </w:r>
    </w:p>
    <w:p>
      <w:pPr>
        <w:pStyle w:val="BodyText"/>
      </w:pPr>
      <w:r>
        <w:t xml:space="preserve">A waiter who memorizes your order is</w:t>
      </w:r>
      <w:r>
        <w:t xml:space="preserve"> </w:t>
      </w:r>
      <w:r>
        <w:rPr>
          <w:bCs/>
          <w:b/>
        </w:rPr>
        <w:t xml:space="preserve">stateful</w:t>
      </w:r>
      <w:r>
        <w:t xml:space="preserve">: if he goes home sick, your order is lost and only he can serve your table. A waiter who writes every order on a ticket and pins it to a shared board is</w:t>
      </w:r>
      <w:r>
        <w:t xml:space="preserve"> </w:t>
      </w:r>
      <w:r>
        <w:rPr>
          <w:bCs/>
          <w:b/>
        </w:rPr>
        <w:t xml:space="preserve">stateless</w:t>
      </w:r>
      <w:r>
        <w:t xml:space="preserve">: any waiter can pick up any table. Stateless servers can be added, removed, restarted and replaced without losing anything, which is why every scaling, deployment and fault-tolerance technique later in this book assumes them.</w:t>
      </w:r>
    </w:p>
    <w:p>
      <w:pPr>
        <w:pStyle w:val="BodyText"/>
      </w:pPr>
      <w:r>
        <w:t xml:space="preserve">State does not disappear; it moves. Login status moves into a cookie or token the client sends on every request (§8.10, §8.13), or into a shared session store (§8.10.2). Shopping carts move into a database. The price is an extra lookup per request (typically ~0.5–1 ms to an in-datacenter cache), which is almost always worth paying.</w:t>
      </w:r>
    </w:p>
    <w:bookmarkStart w:id="833" w:name="failure-scenarios-18"/>
    <w:p>
      <w:pPr>
        <w:pStyle w:val="Heading4"/>
      </w:pPr>
      <w:r>
        <w:t xml:space="preserve">Failure scenarios</w:t>
      </w:r>
    </w:p>
    <w:p>
      <w:pPr>
        <w:pStyle w:val="FirstParagraph"/>
      </w:pPr>
      <w:r>
        <w:rPr>
          <w:bCs/>
          <w:b/>
        </w:rPr>
        <w:t xml:space="preserve">Table 8.1 — Client–server 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Users logged out after a deploy</w:t>
            </w:r>
          </w:p>
        </w:tc>
        <w:tc>
          <w:tcPr/>
          <w:p>
            <w:pPr>
              <w:pStyle w:val="Compact"/>
              <w:jc w:val="left"/>
            </w:pPr>
            <w:r>
              <w:t xml:space="preserve">Sessions stored in app-server memory</w:t>
            </w:r>
          </w:p>
        </w:tc>
        <w:tc>
          <w:tcPr/>
          <w:p>
            <w:pPr>
              <w:pStyle w:val="Compact"/>
              <w:jc w:val="left"/>
            </w:pPr>
            <w:r>
              <w:t xml:space="preserve">Spike in 401s and login traffic after each rollout</w:t>
            </w:r>
          </w:p>
        </w:tc>
        <w:tc>
          <w:tcPr/>
          <w:p>
            <w:pPr>
              <w:pStyle w:val="Compact"/>
              <w:jc w:val="left"/>
            </w:pPr>
            <w:r>
              <w:t xml:space="preserve">Users log in again</w:t>
            </w:r>
          </w:p>
        </w:tc>
        <w:tc>
          <w:tcPr/>
          <w:p>
            <w:pPr>
              <w:pStyle w:val="Compact"/>
              <w:jc w:val="left"/>
            </w:pPr>
            <w:r>
              <w:t xml:space="preserve">Move sessions to a shared store or signed cookie</w:t>
            </w:r>
          </w:p>
        </w:tc>
      </w:tr>
      <w:tr>
        <w:tc>
          <w:tcPr/>
          <w:p>
            <w:pPr>
              <w:pStyle w:val="Compact"/>
              <w:jc w:val="left"/>
            </w:pPr>
            <w:r>
              <w:t xml:space="preserve">One server overloaded, others idle</w:t>
            </w:r>
          </w:p>
        </w:tc>
        <w:tc>
          <w:tcPr/>
          <w:p>
            <w:pPr>
              <w:pStyle w:val="Compact"/>
              <w:jc w:val="left"/>
            </w:pPr>
            <w:r>
              <w:t xml:space="preserve">Sticky sessions pin heavy users to one server</w:t>
            </w:r>
          </w:p>
        </w:tc>
        <w:tc>
          <w:tcPr/>
          <w:p>
            <w:pPr>
              <w:pStyle w:val="Compact"/>
              <w:jc w:val="left"/>
            </w:pPr>
            <w:r>
              <w:t xml:space="preserve">Uneven per-server CPU and p99</w:t>
            </w:r>
          </w:p>
        </w:tc>
        <w:tc>
          <w:tcPr/>
          <w:p>
            <w:pPr>
              <w:pStyle w:val="Compact"/>
              <w:jc w:val="left"/>
            </w:pPr>
            <w:r>
              <w:t xml:space="preserve">Drain and rebalance</w:t>
            </w:r>
          </w:p>
        </w:tc>
        <w:tc>
          <w:tcPr/>
          <w:p>
            <w:pPr>
              <w:pStyle w:val="Compact"/>
              <w:jc w:val="left"/>
            </w:pPr>
            <w:r>
              <w:t xml:space="preserve">Make servers stateless; avoid affinity (§19.6)</w:t>
            </w:r>
          </w:p>
        </w:tc>
      </w:tr>
      <w:tr>
        <w:tc>
          <w:tcPr/>
          <w:p>
            <w:pPr>
              <w:pStyle w:val="Compact"/>
              <w:jc w:val="left"/>
            </w:pPr>
            <w:r>
              <w:t xml:space="preserve">Old mobile clients break</w:t>
            </w:r>
          </w:p>
        </w:tc>
        <w:tc>
          <w:tcPr/>
          <w:p>
            <w:pPr>
              <w:pStyle w:val="Compact"/>
              <w:jc w:val="left"/>
            </w:pPr>
            <w:r>
              <w:t xml:space="preserve">Server changed the API contract</w:t>
            </w:r>
          </w:p>
        </w:tc>
        <w:tc>
          <w:tcPr/>
          <w:p>
            <w:pPr>
              <w:pStyle w:val="Compact"/>
              <w:jc w:val="left"/>
            </w:pPr>
            <w:r>
              <w:t xml:space="preserve">Error rate segmented by app version</w:t>
            </w:r>
          </w:p>
        </w:tc>
        <w:tc>
          <w:tcPr/>
          <w:p>
            <w:pPr>
              <w:pStyle w:val="Compact"/>
              <w:jc w:val="left"/>
            </w:pPr>
            <w:r>
              <w:t xml:space="preserve">Hotfix server to accept old format</w:t>
            </w:r>
          </w:p>
        </w:tc>
        <w:tc>
          <w:tcPr/>
          <w:p>
            <w:pPr>
              <w:pStyle w:val="Compact"/>
              <w:jc w:val="left"/>
            </w:pPr>
            <w:r>
              <w:t xml:space="preserve">Compatibility rules and versioning (§8.15)</w:t>
            </w:r>
          </w:p>
        </w:tc>
      </w:tr>
      <w:tr>
        <w:tc>
          <w:tcPr/>
          <w:p>
            <w:pPr>
              <w:pStyle w:val="Compact"/>
              <w:jc w:val="left"/>
            </w:pPr>
            <w:r>
              <w:t xml:space="preserve">Database saturated</w:t>
            </w:r>
          </w:p>
        </w:tc>
        <w:tc>
          <w:tcPr/>
          <w:p>
            <w:pPr>
              <w:pStyle w:val="Compact"/>
              <w:jc w:val="left"/>
            </w:pPr>
            <w:r>
              <w:t xml:space="preserve">Every tier’s requests ultimately land on one primary</w:t>
            </w:r>
          </w:p>
        </w:tc>
        <w:tc>
          <w:tcPr/>
          <w:p>
            <w:pPr>
              <w:pStyle w:val="Compact"/>
              <w:jc w:val="left"/>
            </w:pPr>
            <w:r>
              <w:t xml:space="preserve">DB CPU, connection count, lock waits</w:t>
            </w:r>
          </w:p>
        </w:tc>
        <w:tc>
          <w:tcPr/>
          <w:p>
            <w:pPr>
              <w:pStyle w:val="Compact"/>
              <w:jc w:val="left"/>
            </w:pPr>
            <w:r>
              <w:t xml:space="preserve">Shed load, add read replicas</w:t>
            </w:r>
          </w:p>
        </w:tc>
        <w:tc>
          <w:tcPr/>
          <w:p>
            <w:pPr>
              <w:pStyle w:val="Compact"/>
              <w:jc w:val="left"/>
            </w:pPr>
            <w:r>
              <w:t xml:space="preserve">Caching, connection pooling, partitioning</w:t>
            </w:r>
          </w:p>
        </w:tc>
      </w:tr>
    </w:tbl>
    <w:bookmarkEnd w:id="833"/>
    <w:bookmarkStart w:id="834" w:name="common-misconceptions-16"/>
    <w:p>
      <w:pPr>
        <w:pStyle w:val="Heading4"/>
      </w:pPr>
      <w:r>
        <w:t xml:space="preserve">Common misconceptions</w:t>
      </w:r>
    </w:p>
    <w:p>
      <w:pPr>
        <w:pStyle w:val="CalloutMistake"/>
      </w:pPr>
      <w:r>
        <w:rPr>
          <w:bCs/>
          <w:b/>
        </w:rPr>
        <w:t xml:space="preserve">COMMON MISTAKE</w:t>
      </w:r>
    </w:p>
    <w:p>
      <w:pPr>
        <w:pStyle w:val="CalloutMistake"/>
      </w:pPr>
      <w:r>
        <w:rPr>
          <w:bCs/>
          <w:b/>
        </w:rPr>
        <w:t xml:space="preserve">“</w:t>
      </w:r>
      <w:r>
        <w:rPr>
          <w:bCs/>
          <w:b/>
        </w:rPr>
        <w:t xml:space="preserve">Stateless means the system has no state.</w:t>
      </w:r>
      <w:r>
        <w:rPr>
          <w:bCs/>
          <w:b/>
        </w:rPr>
        <w:t xml:space="preserve">”</w:t>
      </w:r>
      <w:r>
        <w:t xml:space="preserve"> </w:t>
      </w:r>
      <w:r>
        <w:t xml:space="preserve">It means the</w:t>
      </w:r>
      <w:r>
        <w:t xml:space="preserve"> </w:t>
      </w:r>
      <w:r>
        <w:rPr>
          <w:iCs/>
          <w:i/>
        </w:rPr>
        <w:t xml:space="preserve">compute</w:t>
      </w:r>
      <w:r>
        <w:t xml:space="preserve"> </w:t>
      </w:r>
      <w:r>
        <w:t xml:space="preserve">tier holds no per-client state between requests. The state lives in databases, caches and the client. Designing a stateless tier is really deciding</w:t>
      </w:r>
      <w:r>
        <w:t xml:space="preserve"> </w:t>
      </w:r>
      <w:r>
        <w:rPr>
          <w:iCs/>
          <w:i/>
        </w:rPr>
        <w:t xml:space="preserve">where</w:t>
      </w:r>
      <w:r>
        <w:t xml:space="preserve"> </w:t>
      </w:r>
      <w:r>
        <w:t xml:space="preserve">state should live.</w:t>
      </w:r>
    </w:p>
    <w:p>
      <w:pPr>
        <w:pStyle w:val="CalloutMistake"/>
      </w:pPr>
      <w:r>
        <w:rPr>
          <w:bCs/>
          <w:b/>
        </w:rPr>
        <w:t xml:space="preserve">COMMON MISTAKE</w:t>
      </w:r>
    </w:p>
    <w:p>
      <w:pPr>
        <w:pStyle w:val="CalloutMistake"/>
      </w:pPr>
      <w:r>
        <w:rPr>
          <w:bCs/>
          <w:b/>
        </w:rPr>
        <w:t xml:space="preserve">“</w:t>
      </w:r>
      <w:r>
        <w:rPr>
          <w:bCs/>
          <w:b/>
        </w:rPr>
        <w:t xml:space="preserve">Client–server is the opposite of peer-to-peer, so it is obsolete.</w:t>
      </w:r>
      <w:r>
        <w:rPr>
          <w:bCs/>
          <w:b/>
        </w:rPr>
        <w:t xml:space="preserve">”</w:t>
      </w:r>
      <w:r>
        <w:t xml:space="preserve"> </w:t>
      </w:r>
      <w:r>
        <w:t xml:space="preserve">Almost every web, mobile and inter-service interaction today is client–server; even</w:t>
      </w:r>
      <w:r>
        <w:t xml:space="preserve"> </w:t>
      </w:r>
      <w:r>
        <w:t xml:space="preserve">“</w:t>
      </w:r>
      <w:r>
        <w:t xml:space="preserve">peer</w:t>
      </w:r>
      <w:r>
        <w:t xml:space="preserve">”</w:t>
      </w:r>
      <w:r>
        <w:t xml:space="preserve"> </w:t>
      </w:r>
      <w:r>
        <w:t xml:space="preserve">microservices act as client in one call and server in the next. Peer-to-peer appears in specific niches (WebRTC media, §9.7; BitTorrent-style distribution).</w:t>
      </w:r>
    </w:p>
    <w:bookmarkEnd w:id="834"/>
    <w:bookmarkEnd w:id="835"/>
    <w:bookmarkEnd w:id="836"/>
    <w:bookmarkStart w:id="843" w:name="Xea2a9fc08a835617383918ce7b482727ade22f9"/>
    <w:p>
      <w:pPr>
        <w:pStyle w:val="Heading2"/>
      </w:pPr>
      <w:r>
        <w:t xml:space="preserve">8.4 Frontend and backend; SPA, SSR and mobile clients</w:t>
      </w:r>
    </w:p>
    <w:bookmarkStart w:id="837" w:name="frontend-and-backend"/>
    <w:p>
      <w:pPr>
        <w:pStyle w:val="Heading3"/>
      </w:pPr>
      <w:r>
        <w:t xml:space="preserve">8.4.1 Frontend and backend</w:t>
      </w:r>
    </w:p>
    <w:p>
      <w:pPr>
        <w:pStyle w:val="FirstParagraph"/>
      </w:pPr>
      <w:r>
        <w:t xml:space="preserve">The</w:t>
      </w:r>
      <w:r>
        <w:t xml:space="preserve"> </w:t>
      </w:r>
      <w:r>
        <w:rPr>
          <w:bCs/>
          <w:b/>
        </w:rPr>
        <w:t xml:space="preserve">frontend</w:t>
      </w:r>
      <w:r>
        <w:t xml:space="preserve"> </w:t>
      </w:r>
      <w:r>
        <w:t xml:space="preserve">is the code that runs on the user’s device and draws the interface: HTML, CSS and JavaScript in a browser, or Swift/Kotlin in a mobile app. The</w:t>
      </w:r>
      <w:r>
        <w:t xml:space="preserve"> </w:t>
      </w:r>
      <w:r>
        <w:rPr>
          <w:bCs/>
          <w:b/>
        </w:rPr>
        <w:t xml:space="preserve">backend</w:t>
      </w:r>
      <w:r>
        <w:t xml:space="preserve"> </w:t>
      </w:r>
      <w:r>
        <w:t xml:space="preserve">is the code that runs on servers you control: APIs, business logic, databases, background jobs. The split matters for design because the two sides have opposite trust and update properties:</w:t>
      </w:r>
    </w:p>
    <w:p>
      <w:pPr>
        <w:numPr>
          <w:ilvl w:val="0"/>
          <w:numId w:val="1257"/>
        </w:numPr>
        <w:pStyle w:val="Compact"/>
      </w:pPr>
      <w:r>
        <w:rPr>
          <w:bCs/>
          <w:b/>
        </w:rPr>
        <w:t xml:space="preserve">Trust.</w:t>
      </w:r>
      <w:r>
        <w:t xml:space="preserve"> </w:t>
      </w:r>
      <w:r>
        <w:t xml:space="preserve">Anything on the client can be read and modified by the user. Validation in the frontend is a usability feature; validation and authorization in the backend are security features. Never trust a price, a user ID or a role sent by a client.</w:t>
      </w:r>
    </w:p>
    <w:p>
      <w:pPr>
        <w:numPr>
          <w:ilvl w:val="0"/>
          <w:numId w:val="1257"/>
        </w:numPr>
        <w:pStyle w:val="Compact"/>
      </w:pPr>
      <w:r>
        <w:rPr>
          <w:bCs/>
          <w:b/>
        </w:rPr>
        <w:t xml:space="preserve">Update speed.</w:t>
      </w:r>
      <w:r>
        <w:t xml:space="preserve"> </w:t>
      </w:r>
      <w:r>
        <w:t xml:space="preserve">You can redeploy the backend in minutes. A web frontend updates on the next page load. A mobile app updates only when users install the new version, so versions that are months or years old stay in use and your API must keep serving them (§8.15).</w:t>
      </w:r>
    </w:p>
    <w:bookmarkEnd w:id="837"/>
    <w:bookmarkStart w:id="838" w:name="rendering-strategies"/>
    <w:p>
      <w:pPr>
        <w:pStyle w:val="Heading3"/>
      </w:pPr>
      <w:r>
        <w:t xml:space="preserve">8.4.2 Rendering strategies</w:t>
      </w:r>
    </w:p>
    <w:p>
      <w:pPr>
        <w:pStyle w:val="FirstParagraph"/>
      </w:pPr>
      <w:r>
        <w:t xml:space="preserve">Where the HTML is produced determines how many round trips the user waits for, how much work the server does and how search engines see the page.</w:t>
      </w:r>
    </w:p>
    <w:p>
      <w:pPr>
        <w:pStyle w:val="CalloutDefinition"/>
      </w:pPr>
      <w:r>
        <w:rPr>
          <w:bCs/>
          <w:b/>
        </w:rPr>
        <w:t xml:space="preserve">DEFINITION</w:t>
      </w:r>
    </w:p>
    <w:p>
      <w:pPr>
        <w:pStyle w:val="CalloutDefinition"/>
      </w:pPr>
      <w:r>
        <w:rPr>
          <w:bCs/>
          <w:b/>
        </w:rPr>
        <w:t xml:space="preserve">Definition — Server-side rendering (SSR).</w:t>
      </w:r>
      <w:r>
        <w:t xml:space="preserve"> </w:t>
      </w:r>
      <w:r>
        <w:t xml:space="preserve">The server produces complete HTML for each request; the browser displays it immediately and then loads JavaScript to make it interactive (</w:t>
      </w:r>
      <w:r>
        <w:rPr>
          <w:bCs/>
          <w:b/>
        </w:rPr>
        <w:t xml:space="preserve">hydration</w:t>
      </w:r>
      <w:r>
        <w:t xml:space="preserve">).</w:t>
      </w:r>
    </w:p>
    <w:p>
      <w:pPr>
        <w:pStyle w:val="CalloutDefinition"/>
      </w:pPr>
      <w:r>
        <w:rPr>
          <w:bCs/>
          <w:b/>
        </w:rPr>
        <w:t xml:space="preserve">DEFINITION</w:t>
      </w:r>
    </w:p>
    <w:p>
      <w:pPr>
        <w:pStyle w:val="CalloutDefinition"/>
      </w:pPr>
      <w:r>
        <w:rPr>
          <w:bCs/>
          <w:b/>
        </w:rPr>
        <w:t xml:space="preserve">Definition — Single-page application (SPA) / client-side rendering (CSR).</w:t>
      </w:r>
      <w:r>
        <w:t xml:space="preserve"> </w:t>
      </w:r>
      <w:r>
        <w:t xml:space="preserve">The server sends a nearly empty HTML shell plus a JavaScript bundle; the JavaScript calls JSON APIs and builds the page in the browser. Navigation afterwards happens without full page loads.</w:t>
      </w:r>
    </w:p>
    <w:p>
      <w:pPr>
        <w:pStyle w:val="CalloutDefinition"/>
      </w:pPr>
      <w:r>
        <w:rPr>
          <w:bCs/>
          <w:b/>
        </w:rPr>
        <w:t xml:space="preserve">DEFINITION</w:t>
      </w:r>
    </w:p>
    <w:p>
      <w:pPr>
        <w:pStyle w:val="CalloutDefinition"/>
      </w:pPr>
      <w:r>
        <w:rPr>
          <w:bCs/>
          <w:b/>
        </w:rPr>
        <w:t xml:space="preserve">Definition — Static site generation (SSG).</w:t>
      </w:r>
      <w:r>
        <w:t xml:space="preserve"> </w:t>
      </w:r>
      <w:r>
        <w:t xml:space="preserve">HTML is produced at build time and served as static files, usually from a CDN (Chapter 21). Pages that change per user cannot be fully static.</w:t>
      </w:r>
    </w:p>
    <w:p>
      <w:pPr>
        <w:pStyle w:val="BodyText"/>
      </w:pPr>
      <w:r>
        <w:t xml:space="preserve">In restaurant terms: SSR is a plated dish (ready to eat, but the kitchen does all the work for every order); SPA is a meal kit (one trip to fetch the kit, then the diner assembles everything, quick to re-assemble but slow to the first bite); SSG is the pre-made sandwich in the display fridge (instant, but everyone gets the same sandwich).</w:t>
      </w:r>
    </w:p>
    <w:p>
      <w:pPr>
        <w:pStyle w:val="BodyText"/>
      </w:pPr>
      <w:r>
        <w:rPr>
          <w:bCs/>
          <w:b/>
        </w:rPr>
        <w:t xml:space="preserve">Table 8.2 — Rendering strategies compared.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Aspect</w:t>
            </w:r>
          </w:p>
        </w:tc>
        <w:tc>
          <w:tcPr/>
          <w:p>
            <w:pPr>
              <w:pStyle w:val="Compact"/>
              <w:jc w:val="left"/>
            </w:pPr>
            <w:r>
              <w:t xml:space="preserve">SSR</w:t>
            </w:r>
          </w:p>
        </w:tc>
        <w:tc>
          <w:tcPr/>
          <w:p>
            <w:pPr>
              <w:pStyle w:val="Compact"/>
              <w:jc w:val="left"/>
            </w:pPr>
            <w:r>
              <w:t xml:space="preserve">SPA (CSR)</w:t>
            </w:r>
          </w:p>
        </w:tc>
        <w:tc>
          <w:tcPr/>
          <w:p>
            <w:pPr>
              <w:pStyle w:val="Compact"/>
              <w:jc w:val="left"/>
            </w:pPr>
            <w:r>
              <w:t xml:space="preserve">SSG</w:t>
            </w:r>
          </w:p>
        </w:tc>
        <w:tc>
          <w:tcPr/>
          <w:p>
            <w:pPr>
              <w:pStyle w:val="Compact"/>
              <w:jc w:val="left"/>
            </w:pPr>
            <w:r>
              <w:t xml:space="preserve">Native mobile</w:t>
            </w:r>
          </w:p>
        </w:tc>
      </w:tr>
      <w:tr>
        <w:tc>
          <w:tcPr/>
          <w:p>
            <w:pPr>
              <w:pStyle w:val="Compact"/>
              <w:jc w:val="left"/>
            </w:pPr>
            <w:r>
              <w:t xml:space="preserve">Where HTML/UI is built</w:t>
            </w:r>
          </w:p>
        </w:tc>
        <w:tc>
          <w:tcPr/>
          <w:p>
            <w:pPr>
              <w:pStyle w:val="Compact"/>
              <w:jc w:val="left"/>
            </w:pPr>
            <w:r>
              <w:t xml:space="preserve">Server, per request</w:t>
            </w:r>
          </w:p>
        </w:tc>
        <w:tc>
          <w:tcPr/>
          <w:p>
            <w:pPr>
              <w:pStyle w:val="Compact"/>
              <w:jc w:val="left"/>
            </w:pPr>
            <w:r>
              <w:t xml:space="preserve">Browser</w:t>
            </w:r>
          </w:p>
        </w:tc>
        <w:tc>
          <w:tcPr/>
          <w:p>
            <w:pPr>
              <w:pStyle w:val="Compact"/>
              <w:jc w:val="left"/>
            </w:pPr>
            <w:r>
              <w:t xml:space="preserve">Build server, once</w:t>
            </w:r>
          </w:p>
        </w:tc>
        <w:tc>
          <w:tcPr/>
          <w:p>
            <w:pPr>
              <w:pStyle w:val="Compact"/>
              <w:jc w:val="left"/>
            </w:pPr>
            <w:r>
              <w:t xml:space="preserve">Device (compiled app)</w:t>
            </w:r>
          </w:p>
        </w:tc>
      </w:tr>
      <w:tr>
        <w:tc>
          <w:tcPr/>
          <w:p>
            <w:pPr>
              <w:pStyle w:val="Compact"/>
              <w:jc w:val="left"/>
            </w:pPr>
            <w:r>
              <w:t xml:space="preserve">Round trips before content</w:t>
            </w:r>
          </w:p>
        </w:tc>
        <w:tc>
          <w:tcPr/>
          <w:p>
            <w:pPr>
              <w:pStyle w:val="Compact"/>
              <w:jc w:val="left"/>
            </w:pPr>
            <w:r>
              <w:t xml:space="preserve">1 (HTML)</w:t>
            </w:r>
          </w:p>
        </w:tc>
        <w:tc>
          <w:tcPr/>
          <w:p>
            <w:pPr>
              <w:pStyle w:val="Compact"/>
              <w:jc w:val="left"/>
            </w:pPr>
            <w:r>
              <w:t xml:space="preserve">≥ 2–3 (shell, JS bundle, API)</w:t>
            </w:r>
          </w:p>
        </w:tc>
        <w:tc>
          <w:tcPr/>
          <w:p>
            <w:pPr>
              <w:pStyle w:val="Compact"/>
              <w:jc w:val="left"/>
            </w:pPr>
            <w:r>
              <w:t xml:space="preserve">1, from a CDN edge</w:t>
            </w:r>
          </w:p>
        </w:tc>
        <w:tc>
          <w:tcPr/>
          <w:p>
            <w:pPr>
              <w:pStyle w:val="Compact"/>
              <w:jc w:val="left"/>
            </w:pPr>
            <w:r>
              <w:t xml:space="preserve">API calls only; UI is installed</w:t>
            </w:r>
          </w:p>
        </w:tc>
      </w:tr>
      <w:tr>
        <w:tc>
          <w:tcPr/>
          <w:p>
            <w:pPr>
              <w:pStyle w:val="Compact"/>
              <w:jc w:val="left"/>
            </w:pPr>
            <w:r>
              <w:t xml:space="preserve">Server CPU per page view</w:t>
            </w:r>
          </w:p>
        </w:tc>
        <w:tc>
          <w:tcPr/>
          <w:p>
            <w:pPr>
              <w:pStyle w:val="Compact"/>
              <w:jc w:val="left"/>
            </w:pPr>
            <w:r>
              <w:t xml:space="preserve">High</w:t>
            </w:r>
          </w:p>
        </w:tc>
        <w:tc>
          <w:tcPr/>
          <w:p>
            <w:pPr>
              <w:pStyle w:val="Compact"/>
              <w:jc w:val="left"/>
            </w:pPr>
            <w:r>
              <w:t xml:space="preserve">Low (JSON APIs only)</w:t>
            </w:r>
          </w:p>
        </w:tc>
        <w:tc>
          <w:tcPr/>
          <w:p>
            <w:pPr>
              <w:pStyle w:val="Compact"/>
              <w:jc w:val="left"/>
            </w:pPr>
            <w:r>
              <w:t xml:space="preserve">~0</w:t>
            </w:r>
          </w:p>
        </w:tc>
        <w:tc>
          <w:tcPr/>
          <w:p>
            <w:pPr>
              <w:pStyle w:val="Compact"/>
              <w:jc w:val="left"/>
            </w:pPr>
            <w:r>
              <w:t xml:space="preserve">Low (JSON/Protobuf APIs only)</w:t>
            </w:r>
          </w:p>
        </w:tc>
      </w:tr>
      <w:tr>
        <w:tc>
          <w:tcPr/>
          <w:p>
            <w:pPr>
              <w:pStyle w:val="Compact"/>
              <w:jc w:val="left"/>
            </w:pPr>
            <w:r>
              <w:t xml:space="preserve">SEO (crawler sees content)</w:t>
            </w:r>
          </w:p>
        </w:tc>
        <w:tc>
          <w:tcPr/>
          <w:p>
            <w:pPr>
              <w:pStyle w:val="Compact"/>
              <w:jc w:val="left"/>
            </w:pPr>
            <w:r>
              <w:t xml:space="preserve">Good</w:t>
            </w:r>
          </w:p>
        </w:tc>
        <w:tc>
          <w:tcPr/>
          <w:p>
            <w:pPr>
              <w:pStyle w:val="Compact"/>
              <w:jc w:val="left"/>
            </w:pPr>
            <w:r>
              <w:t xml:space="preserve">Weaker; depends on crawler running JS</w:t>
            </w:r>
          </w:p>
        </w:tc>
        <w:tc>
          <w:tcPr/>
          <w:p>
            <w:pPr>
              <w:pStyle w:val="Compact"/>
              <w:jc w:val="left"/>
            </w:pPr>
            <w:r>
              <w:t xml:space="preserve">Good</w:t>
            </w:r>
          </w:p>
        </w:tc>
        <w:tc>
          <w:tcPr/>
          <w:p>
            <w:pPr>
              <w:pStyle w:val="Compact"/>
              <w:jc w:val="left"/>
            </w:pPr>
            <w:r>
              <w:t xml:space="preserve">N/A</w:t>
            </w:r>
          </w:p>
        </w:tc>
      </w:tr>
      <w:tr>
        <w:tc>
          <w:tcPr/>
          <w:p>
            <w:pPr>
              <w:pStyle w:val="Compact"/>
              <w:jc w:val="left"/>
            </w:pPr>
            <w:r>
              <w:t xml:space="preserve">Personalized content</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 (or via client-side calls)</w:t>
            </w:r>
          </w:p>
        </w:tc>
        <w:tc>
          <w:tcPr/>
          <w:p>
            <w:pPr>
              <w:pStyle w:val="Compact"/>
              <w:jc w:val="left"/>
            </w:pPr>
            <w:r>
              <w:t xml:space="preserve">Yes</w:t>
            </w:r>
          </w:p>
        </w:tc>
      </w:tr>
      <w:tr>
        <w:tc>
          <w:tcPr/>
          <w:p>
            <w:pPr>
              <w:pStyle w:val="Compact"/>
              <w:jc w:val="left"/>
            </w:pPr>
            <w:r>
              <w:t xml:space="preserve">Backend shape</w:t>
            </w:r>
          </w:p>
        </w:tc>
        <w:tc>
          <w:tcPr/>
          <w:p>
            <w:pPr>
              <w:pStyle w:val="Compact"/>
              <w:jc w:val="left"/>
            </w:pPr>
            <w:r>
              <w:t xml:space="preserve">Server renders templates and calls services</w:t>
            </w:r>
          </w:p>
        </w:tc>
        <w:tc>
          <w:tcPr/>
          <w:p>
            <w:pPr>
              <w:pStyle w:val="Compact"/>
              <w:jc w:val="left"/>
            </w:pPr>
            <w:r>
              <w:t xml:space="preserve">Pure API (REST/GraphQL)</w:t>
            </w:r>
          </w:p>
        </w:tc>
        <w:tc>
          <w:tcPr/>
          <w:p>
            <w:pPr>
              <w:pStyle w:val="Compact"/>
              <w:jc w:val="left"/>
            </w:pPr>
            <w:r>
              <w:t xml:space="preserve">Build pipeline + CDN</w:t>
            </w:r>
          </w:p>
        </w:tc>
        <w:tc>
          <w:tcPr/>
          <w:p>
            <w:pPr>
              <w:pStyle w:val="Compact"/>
              <w:jc w:val="left"/>
            </w:pPr>
            <w:r>
              <w:t xml:space="preserve">Pure API, must tolerate old versions</w:t>
            </w:r>
          </w:p>
        </w:tc>
      </w:tr>
      <w:tr>
        <w:tc>
          <w:tcPr/>
          <w:p>
            <w:pPr>
              <w:pStyle w:val="Compact"/>
              <w:jc w:val="left"/>
            </w:pPr>
            <w:r>
              <w:t xml:space="preserve">Typical use</w:t>
            </w:r>
          </w:p>
        </w:tc>
        <w:tc>
          <w:tcPr/>
          <w:p>
            <w:pPr>
              <w:pStyle w:val="Compact"/>
              <w:jc w:val="left"/>
            </w:pPr>
            <w:r>
              <w:t xml:space="preserve">Content and e-commerce pages</w:t>
            </w:r>
          </w:p>
        </w:tc>
        <w:tc>
          <w:tcPr/>
          <w:p>
            <w:pPr>
              <w:pStyle w:val="Compact"/>
              <w:jc w:val="left"/>
            </w:pPr>
            <w:r>
              <w:t xml:space="preserve">Dashboards, editors, apps behind login</w:t>
            </w:r>
          </w:p>
        </w:tc>
        <w:tc>
          <w:tcPr/>
          <w:p>
            <w:pPr>
              <w:pStyle w:val="Compact"/>
              <w:jc w:val="left"/>
            </w:pPr>
            <w:r>
              <w:t xml:space="preserve">Docs, marketing, blogs</w:t>
            </w:r>
          </w:p>
        </w:tc>
        <w:tc>
          <w:tcPr/>
          <w:p>
            <w:pPr>
              <w:pStyle w:val="Compact"/>
              <w:jc w:val="left"/>
            </w:pPr>
            <w:r>
              <w:t xml:space="preserve">Consumer apps</w:t>
            </w:r>
          </w:p>
        </w:tc>
      </w:tr>
    </w:tbl>
    <w:p>
      <w:pPr>
        <w:pStyle w:val="BodyText"/>
      </w:pPr>
      <w:r>
        <w:t xml:space="preserve">Modern frameworks blend these (SSR for the first page, SPA navigation afterwards; static pages with per-request</w:t>
      </w:r>
      <w:r>
        <w:t xml:space="preserve"> </w:t>
      </w:r>
      <w:r>
        <w:t xml:space="preserve">“</w:t>
      </w:r>
      <w:r>
        <w:t xml:space="preserve">islands</w:t>
      </w:r>
      <w:r>
        <w:t xml:space="preserve">”</w:t>
      </w:r>
      <w:r>
        <w:t xml:space="preserve">). For a system designer the key consequence is the</w:t>
      </w:r>
      <w:r>
        <w:t xml:space="preserve"> </w:t>
      </w:r>
      <w:r>
        <w:rPr>
          <w:bCs/>
          <w:b/>
        </w:rPr>
        <w:t xml:space="preserve">backend shape</w:t>
      </w:r>
      <w:r>
        <w:t xml:space="preserve">: an SPA or mobile app needs a well-designed JSON/Protobuf API, and SSR needs a rendering tier that itself is a client of your APIs.</w:t>
      </w:r>
    </w:p>
    <w:bookmarkEnd w:id="838"/>
    <w:bookmarkStart w:id="842" w:name="Xc17bc7c45cbdbb4558b8bccd6f2e3cd45914ae4"/>
    <w:p>
      <w:pPr>
        <w:pStyle w:val="Heading3"/>
      </w:pPr>
      <w:r>
        <w:t xml:space="preserve">8.4.3 Mobile clients and the backend for frontend</w:t>
      </w:r>
    </w:p>
    <w:p>
      <w:pPr>
        <w:pStyle w:val="FirstParagraph"/>
      </w:pPr>
      <w:r>
        <w:t xml:space="preserve">Mobile clients add three constraints:</w:t>
      </w:r>
    </w:p>
    <w:p>
      <w:pPr>
        <w:numPr>
          <w:ilvl w:val="0"/>
          <w:numId w:val="1258"/>
        </w:numPr>
        <w:pStyle w:val="Compact"/>
      </w:pPr>
      <w:r>
        <w:rPr>
          <w:bCs/>
          <w:b/>
        </w:rPr>
        <w:t xml:space="preserve">Old versions never die quickly.</w:t>
      </w:r>
      <w:r>
        <w:t xml:space="preserve"> </w:t>
      </w:r>
      <w:r>
        <w:t xml:space="preserve">Expect several app versions live at once; any field you remove from a response may crash an old build.</w:t>
      </w:r>
    </w:p>
    <w:p>
      <w:pPr>
        <w:numPr>
          <w:ilvl w:val="0"/>
          <w:numId w:val="1258"/>
        </w:numPr>
        <w:pStyle w:val="Compact"/>
      </w:pPr>
      <w:r>
        <w:rPr>
          <w:bCs/>
          <w:b/>
        </w:rPr>
        <w:t xml:space="preserve">Networks are slow and flaky.</w:t>
      </w:r>
      <w:r>
        <w:t xml:space="preserve"> </w:t>
      </w:r>
      <w:r>
        <w:t xml:space="preserve">Cellular round-trip times of 50–150 ms are common (as of 2026; varies widely by network). Chatty APIs that need ten sequential calls to draw one screen add up to a second or more of waiting. Mobile clients therefore favor fewer, coarser calls, compact encodings and offline caches.</w:t>
      </w:r>
    </w:p>
    <w:p>
      <w:pPr>
        <w:numPr>
          <w:ilvl w:val="0"/>
          <w:numId w:val="1258"/>
        </w:numPr>
        <w:pStyle w:val="Compact"/>
      </w:pPr>
      <w:r>
        <w:rPr>
          <w:bCs/>
          <w:b/>
        </w:rPr>
        <w:t xml:space="preserve">Different screens need different data.</w:t>
      </w:r>
      <w:r>
        <w:t xml:space="preserve"> </w:t>
      </w:r>
      <w:r>
        <w:t xml:space="preserve">A phone’s feed card shows 3 fields; the desktop card shows 12.</w:t>
      </w:r>
    </w:p>
    <w:p>
      <w:pPr>
        <w:pStyle w:val="FirstParagraph"/>
      </w:pPr>
      <w:r>
        <w:t xml:space="preserve">One common answer is the</w:t>
      </w:r>
      <w:r>
        <w:t xml:space="preserve"> </w:t>
      </w:r>
      <w:r>
        <w:rPr>
          <w:bCs/>
          <w:b/>
        </w:rPr>
        <w:t xml:space="preserve">backend for frontend (BFF)</w:t>
      </w:r>
      <w:r>
        <w:t xml:space="preserve"> </w:t>
      </w:r>
      <w:r>
        <w:t xml:space="preserve">pattern: a thin server per client type that aggregates downstream services into exactly the payload that client needs (covered in §34.6). GraphQL (§8.7) is another answer to the same problem.</w:t>
      </w:r>
    </w:p>
    <w:p>
      <w:pPr>
        <w:pStyle w:val="BodyText"/>
      </w:pPr>
      <w:r>
        <w:rPr>
          <w:bCs/>
          <w:b/>
        </w:rPr>
        <w:t xml:space="preserve">Figure 8.2 — Backend-for-frontend aggregation.</w:t>
      </w:r>
    </w:p>
    <w:p>
      <w:pPr>
        <w:pStyle w:val="BodyText"/>
      </w:pPr>
      <w:r>
        <w:drawing>
          <wp:inline>
            <wp:extent cx="5334000" cy="1801001"/>
            <wp:effectExtent b="0" l="0" r="0" t="0"/>
            <wp:docPr descr="" title="" id="840" name="Picture"/>
            <a:graphic>
              <a:graphicData uri="http://schemas.openxmlformats.org/drawingml/2006/picture">
                <pic:pic>
                  <pic:nvPicPr>
                    <pic:cNvPr descr="/home/user/System-Design/build/.cache/diagrams/91a43b356b04.png" id="841" name="Picture"/>
                    <pic:cNvPicPr>
                      <a:picLocks noChangeArrowheads="1" noChangeAspect="1"/>
                    </pic:cNvPicPr>
                  </pic:nvPicPr>
                  <pic:blipFill>
                    <a:blip r:embed="rId839"/>
                    <a:stretch>
                      <a:fillRect/>
                    </a:stretch>
                  </pic:blipFill>
                  <pic:spPr bwMode="auto">
                    <a:xfrm>
                      <a:off x="0" y="0"/>
                      <a:ext cx="5334000" cy="1801001"/>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Each client type talks only to its own BFF over HTTPS with JSON. The BFFs call internal services over gRPC (binary, HTTP/2; §8.8) and merge results, so a phone makes one round trip over the slow cellular link instead of three. All calls are synchronous. Each service owns its own database (storage boundaries at the cylinders). Failure points: a slow recommendation service delays the mobile screen unless the BFF uses a deadline and degrades gracefully (§8.8.4). Scaling: BFFs are stateless and scale horizontally; the cost is one more service per client type to own and deploy.</w:t>
      </w:r>
    </w:p>
    <w:bookmarkEnd w:id="842"/>
    <w:bookmarkEnd w:id="843"/>
    <w:bookmarkStart w:id="853" w:name="the-requestresponse-lifecycle-end-to-end"/>
    <w:p>
      <w:pPr>
        <w:pStyle w:val="Heading2"/>
      </w:pPr>
      <w:r>
        <w:t xml:space="preserve">8.5 The request–response lifecycle end to end</w:t>
      </w:r>
    </w:p>
    <w:bookmarkStart w:id="852" w:name="what-happens-when-you-press-enter"/>
    <w:p>
      <w:pPr>
        <w:pStyle w:val="Heading3"/>
      </w:pPr>
      <w:r>
        <w:t xml:space="preserve">8.5.1 What happens when you press Enter</w:t>
      </w:r>
    </w:p>
    <w:p>
      <w:pPr>
        <w:pStyle w:val="CalloutDefinition"/>
      </w:pPr>
      <w:r>
        <w:rPr>
          <w:bCs/>
          <w:b/>
        </w:rPr>
        <w:t xml:space="preserve">DEFINITION</w:t>
      </w:r>
    </w:p>
    <w:p>
      <w:pPr>
        <w:pStyle w:val="CalloutDefinition"/>
      </w:pPr>
      <w:r>
        <w:rPr>
          <w:bCs/>
          <w:b/>
        </w:rPr>
        <w:t xml:space="preserve">Definition — Request–response lifecycle.</w:t>
      </w:r>
      <w:r>
        <w:t xml:space="preserve"> </w:t>
      </w:r>
      <w:r>
        <w:t xml:space="preserve">The complete sequence of network and processing steps between a client issuing a request and receiving the full response, including name resolution, connection establishment, routing through intermediaries, application processing, data access and the return path.</w:t>
      </w:r>
    </w:p>
    <w:bookmarkStart w:id="844" w:name="first-principles-explanation-45"/>
    <w:p>
      <w:pPr>
        <w:pStyle w:val="Heading4"/>
      </w:pPr>
      <w:r>
        <w:t xml:space="preserve">First-principles explanation</w:t>
      </w:r>
    </w:p>
    <w:p>
      <w:pPr>
        <w:pStyle w:val="FirstParagraph"/>
      </w:pPr>
      <w:r>
        <w:t xml:space="preserve">Before your restaurant order is cooked, someone must find the restaurant’s address (DNS), drive there (TCP connection), show ID at the door (TLS handshake), be seated by a host who picks a free waiter (load balancer), have the waiter take the order to the kitchen (web server to application), and wait while the kitchen fetches ingredients from the pantry (database). Only the last two steps are</w:t>
      </w:r>
      <w:r>
        <w:t xml:space="preserve"> </w:t>
      </w:r>
      <w:r>
        <w:t xml:space="preserve">“</w:t>
      </w:r>
      <w:r>
        <w:t xml:space="preserve">real work</w:t>
      </w:r>
      <w:r>
        <w:t xml:space="preserve">”</w:t>
      </w:r>
      <w:r>
        <w:t xml:space="preserve">. The others are setup, and for short requests setup often dominates.</w:t>
      </w:r>
    </w:p>
    <w:bookmarkEnd w:id="844"/>
    <w:bookmarkStart w:id="845" w:name="how-it-works-internally-24"/>
    <w:p>
      <w:pPr>
        <w:pStyle w:val="Heading4"/>
      </w:pPr>
      <w:r>
        <w:t xml:space="preserve">How it works internally</w:t>
      </w:r>
    </w:p>
    <w:p>
      <w:pPr>
        <w:pStyle w:val="FirstParagraph"/>
      </w:pPr>
      <w:r>
        <w:t xml:space="preserve">Take</w:t>
      </w:r>
      <w:r>
        <w:t xml:space="preserve"> </w:t>
      </w:r>
      <w:r>
        <w:rPr>
          <w:rStyle w:val="VerbatimChar"/>
        </w:rPr>
        <w:t xml:space="preserve">GET https://shop.example.com/api/v1/orders/42</w:t>
      </w:r>
      <w:r>
        <w:t xml:space="preserve"> </w:t>
      </w:r>
      <w:r>
        <w:t xml:space="preserve">from a browser. (§7.18 follows a similar journey at the packet level; here the focus is the server side.)</w:t>
      </w:r>
    </w:p>
    <w:p>
      <w:pPr>
        <w:numPr>
          <w:ilvl w:val="0"/>
          <w:numId w:val="1259"/>
        </w:numPr>
        <w:pStyle w:val="Compact"/>
      </w:pPr>
      <w:r>
        <w:rPr>
          <w:bCs/>
          <w:b/>
        </w:rPr>
        <w:t xml:space="preserve">URL parsing and cache check.</w:t>
      </w:r>
      <w:r>
        <w:t xml:space="preserve"> </w:t>
      </w:r>
      <w:r>
        <w:t xml:space="preserve">The browser splits the URL into scheme (</w:t>
      </w:r>
      <w:r>
        <w:rPr>
          <w:rStyle w:val="VerbatimChar"/>
        </w:rPr>
        <w:t xml:space="preserve">https</w:t>
      </w:r>
      <w:r>
        <w:t xml:space="preserve">), host (</w:t>
      </w:r>
      <w:r>
        <w:rPr>
          <w:rStyle w:val="VerbatimChar"/>
        </w:rPr>
        <w:t xml:space="preserve">shop.example.com</w:t>
      </w:r>
      <w:r>
        <w:t xml:space="preserve">), path and query. If a fresh copy is in the HTTP cache (</w:t>
      </w:r>
      <w:r>
        <w:rPr>
          <w:rStyle w:val="VerbatimChar"/>
        </w:rPr>
        <w:t xml:space="preserve">Cache-Control: max-age</w:t>
      </w:r>
      <w:r>
        <w:t xml:space="preserve">), it stops here (§20.5).</w:t>
      </w:r>
    </w:p>
    <w:p>
      <w:pPr>
        <w:numPr>
          <w:ilvl w:val="0"/>
          <w:numId w:val="1259"/>
        </w:numPr>
        <w:pStyle w:val="Compact"/>
      </w:pPr>
      <w:r>
        <w:rPr>
          <w:bCs/>
          <w:b/>
        </w:rPr>
        <w:t xml:space="preserve">DNS resolution</w:t>
      </w:r>
      <w:r>
        <w:t xml:space="preserve"> </w:t>
      </w:r>
      <w:r>
        <w:t xml:space="preserve">(§7.6). The browser asks the OS stub resolver, which asks a recursive resolver, which (on a cache miss) walks root →</w:t>
      </w:r>
      <w:r>
        <w:t xml:space="preserve"> </w:t>
      </w:r>
      <w:r>
        <w:rPr>
          <w:rStyle w:val="VerbatimChar"/>
        </w:rPr>
        <w:t xml:space="preserve">.com</w:t>
      </w:r>
      <w:r>
        <w:t xml:space="preserve"> </w:t>
      </w:r>
      <w:r>
        <w:t xml:space="preserve">→</w:t>
      </w:r>
      <w:r>
        <w:t xml:space="preserve"> </w:t>
      </w:r>
      <w:r>
        <w:rPr>
          <w:rStyle w:val="VerbatimChar"/>
        </w:rPr>
        <w:t xml:space="preserve">example.com</w:t>
      </w:r>
      <w:r>
        <w:t xml:space="preserve"> </w:t>
      </w:r>
      <w:r>
        <w:t xml:space="preserve">authoritative servers. The answer is an IP address, often of a CDN edge or a regional load balancer, cached for its TTL.</w:t>
      </w:r>
    </w:p>
    <w:p>
      <w:pPr>
        <w:numPr>
          <w:ilvl w:val="0"/>
          <w:numId w:val="1259"/>
        </w:numPr>
        <w:pStyle w:val="Compact"/>
      </w:pPr>
      <w:r>
        <w:rPr>
          <w:bCs/>
          <w:b/>
        </w:rPr>
        <w:t xml:space="preserve">TCP handshake</w:t>
      </w:r>
      <w:r>
        <w:t xml:space="preserve"> </w:t>
      </w:r>
      <w:r>
        <w:t xml:space="preserve">(§7.7). SYN, SYN-ACK, ACK: one round trip (RTT) before data can flow. With HTTP/3 this is replaced by QUIC, which combines transport and TLS setup (§7.9).</w:t>
      </w:r>
    </w:p>
    <w:p>
      <w:pPr>
        <w:numPr>
          <w:ilvl w:val="0"/>
          <w:numId w:val="1259"/>
        </w:numPr>
        <w:pStyle w:val="Compact"/>
      </w:pPr>
      <w:r>
        <w:rPr>
          <w:bCs/>
          <w:b/>
        </w:rPr>
        <w:t xml:space="preserve">TLS 1.3 handshake</w:t>
      </w:r>
      <w:r>
        <w:t xml:space="preserve"> </w:t>
      </w:r>
      <w:r>
        <w:t xml:space="preserve">(§7.10). One more RTT to agree keys and verify the server certificate (zero RTT on resumption, with replay caveats).</w:t>
      </w:r>
    </w:p>
    <w:p>
      <w:pPr>
        <w:numPr>
          <w:ilvl w:val="0"/>
          <w:numId w:val="1259"/>
        </w:numPr>
        <w:pStyle w:val="Compact"/>
      </w:pPr>
      <w:r>
        <w:rPr>
          <w:bCs/>
          <w:b/>
        </w:rPr>
        <w:t xml:space="preserve">HTTP request sent.</w:t>
      </w:r>
      <w:r>
        <w:t xml:space="preserve"> </w:t>
      </w:r>
      <w:r>
        <w:t xml:space="preserve">Method, path, headers (</w:t>
      </w:r>
      <w:r>
        <w:rPr>
          <w:rStyle w:val="VerbatimChar"/>
        </w:rPr>
        <w:t xml:space="preserve">Host</w:t>
      </w:r>
      <w:r>
        <w:t xml:space="preserve">,</w:t>
      </w:r>
      <w:r>
        <w:t xml:space="preserve"> </w:t>
      </w:r>
      <w:r>
        <w:rPr>
          <w:rStyle w:val="VerbatimChar"/>
        </w:rPr>
        <w:t xml:space="preserve">Cookie</w:t>
      </w:r>
      <w:r>
        <w:t xml:space="preserve"> </w:t>
      </w:r>
      <w:r>
        <w:t xml:space="preserve">or</w:t>
      </w:r>
      <w:r>
        <w:t xml:space="preserve"> </w:t>
      </w:r>
      <w:r>
        <w:rPr>
          <w:rStyle w:val="VerbatimChar"/>
        </w:rPr>
        <w:t xml:space="preserve">Authorization</w:t>
      </w:r>
      <w:r>
        <w:t xml:space="preserve">,</w:t>
      </w:r>
      <w:r>
        <w:t xml:space="preserve"> </w:t>
      </w:r>
      <w:r>
        <w:rPr>
          <w:rStyle w:val="VerbatimChar"/>
        </w:rPr>
        <w:t xml:space="preserve">Accept</w:t>
      </w:r>
      <w:r>
        <w:t xml:space="preserve">), and possibly a body. Over HTTP/2 this is a set of compressed frames on a stream within the connection.</w:t>
      </w:r>
    </w:p>
    <w:p>
      <w:pPr>
        <w:numPr>
          <w:ilvl w:val="0"/>
          <w:numId w:val="1259"/>
        </w:numPr>
        <w:pStyle w:val="Compact"/>
      </w:pPr>
      <w:r>
        <w:rPr>
          <w:bCs/>
          <w:b/>
        </w:rPr>
        <w:t xml:space="preserve">Load balancer</w:t>
      </w:r>
      <w:r>
        <w:t xml:space="preserve"> </w:t>
      </w:r>
      <w:r>
        <w:t xml:space="preserve">(Chapter 19). A layer-7 load balancer terminates TLS, reads the HTTP request, applies routing rules (path</w:t>
      </w:r>
      <w:r>
        <w:t xml:space="preserve"> </w:t>
      </w:r>
      <w:r>
        <w:rPr>
          <w:rStyle w:val="VerbatimChar"/>
        </w:rPr>
        <w:t xml:space="preserve">/api/</w:t>
      </w:r>
      <w:r>
        <w:t xml:space="preserve"> </w:t>
      </w:r>
      <w:r>
        <w:t xml:space="preserve">→ API pool), picks a healthy backend and forwards the request, often over a pooled keep-alive connection. It adds headers such as</w:t>
      </w:r>
      <w:r>
        <w:t xml:space="preserve"> </w:t>
      </w:r>
      <w:r>
        <w:rPr>
          <w:rStyle w:val="VerbatimChar"/>
        </w:rPr>
        <w:t xml:space="preserve">X-Forwarded-For</w:t>
      </w:r>
      <w:r>
        <w:t xml:space="preserve"> </w:t>
      </w:r>
      <w:r>
        <w:t xml:space="preserve">so the backend knows the client IP.</w:t>
      </w:r>
    </w:p>
    <w:p>
      <w:pPr>
        <w:numPr>
          <w:ilvl w:val="0"/>
          <w:numId w:val="1259"/>
        </w:numPr>
        <w:pStyle w:val="Compact"/>
      </w:pPr>
      <w:r>
        <w:rPr>
          <w:bCs/>
          <w:b/>
        </w:rPr>
        <w:t xml:space="preserve">Web server / reverse proxy.</w:t>
      </w:r>
      <w:r>
        <w:t xml:space="preserve"> </w:t>
      </w:r>
      <w:r>
        <w:t xml:space="preserve">Something like Nginx or Envoy (or the application server’s own HTTP layer) parses the request, enforces limits (body size, timeouts), may serve static files, and passes the request to the application process via HTTP, a socket or an in-process call (for Python, via the ASGI or WSGI interface).</w:t>
      </w:r>
    </w:p>
    <w:p>
      <w:pPr>
        <w:numPr>
          <w:ilvl w:val="0"/>
          <w:numId w:val="1259"/>
        </w:numPr>
        <w:pStyle w:val="Compact"/>
      </w:pPr>
      <w:r>
        <w:rPr>
          <w:bCs/>
          <w:b/>
        </w:rPr>
        <w:t xml:space="preserve">Application framework.</w:t>
      </w:r>
      <w:r>
        <w:t xml:space="preserve"> </w:t>
      </w:r>
      <w:r>
        <w:t xml:space="preserve">Middleware runs in order: request ID and tracing, authentication (cookie or token → user identity, §8.10–§8.13), rate limiting (Chapter 22), then the</w:t>
      </w:r>
      <w:r>
        <w:t xml:space="preserve"> </w:t>
      </w:r>
      <w:r>
        <w:rPr>
          <w:bCs/>
          <w:b/>
        </w:rPr>
        <w:t xml:space="preserve">router</w:t>
      </w:r>
      <w:r>
        <w:t xml:space="preserve"> </w:t>
      </w:r>
      <w:r>
        <w:t xml:space="preserve">maps</w:t>
      </w:r>
      <w:r>
        <w:t xml:space="preserve"> </w:t>
      </w:r>
      <w:r>
        <w:rPr>
          <w:rStyle w:val="VerbatimChar"/>
        </w:rPr>
        <w:t xml:space="preserve">GET /api/v1/orders/{id}</w:t>
      </w:r>
      <w:r>
        <w:t xml:space="preserve"> </w:t>
      </w:r>
      <w:r>
        <w:t xml:space="preserve">to a handler function.</w:t>
      </w:r>
    </w:p>
    <w:p>
      <w:pPr>
        <w:numPr>
          <w:ilvl w:val="0"/>
          <w:numId w:val="1259"/>
        </w:numPr>
        <w:pStyle w:val="Compact"/>
      </w:pPr>
      <w:r>
        <w:rPr>
          <w:bCs/>
          <w:b/>
        </w:rPr>
        <w:t xml:space="preserve">Business logic and authorization.</w:t>
      </w:r>
      <w:r>
        <w:t xml:space="preserve"> </w:t>
      </w:r>
      <w:r>
        <w:t xml:space="preserve">The handler checks that this user may read order 42 (§8.12), then fetches data.</w:t>
      </w:r>
    </w:p>
    <w:p>
      <w:pPr>
        <w:numPr>
          <w:ilvl w:val="0"/>
          <w:numId w:val="1259"/>
        </w:numPr>
        <w:pStyle w:val="Compact"/>
      </w:pPr>
      <w:r>
        <w:rPr>
          <w:bCs/>
          <w:b/>
        </w:rPr>
        <w:t xml:space="preserve">Data access.</w:t>
      </w:r>
      <w:r>
        <w:t xml:space="preserve"> </w:t>
      </w:r>
      <w:r>
        <w:t xml:space="preserve">The handler borrows a connection from a pool (§7.16), sends SQL to the database (or reads the cache first), and waits. The database parses, plans, reads pages from its buffer pool or disk and returns rows (Chapter 11).</w:t>
      </w:r>
    </w:p>
    <w:p>
      <w:pPr>
        <w:numPr>
          <w:ilvl w:val="0"/>
          <w:numId w:val="1259"/>
        </w:numPr>
        <w:pStyle w:val="Compact"/>
      </w:pPr>
      <w:r>
        <w:rPr>
          <w:bCs/>
          <w:b/>
        </w:rPr>
        <w:t xml:space="preserve">Response built.</w:t>
      </w:r>
      <w:r>
        <w:t xml:space="preserve"> </w:t>
      </w:r>
      <w:r>
        <w:t xml:space="preserve">The handler serializes the result (JSON, §8.9), sets status (</w:t>
      </w:r>
      <w:r>
        <w:rPr>
          <w:rStyle w:val="VerbatimChar"/>
        </w:rPr>
        <w:t xml:space="preserve">200 OK</w:t>
      </w:r>
      <w:r>
        <w:t xml:space="preserve">), headers (</w:t>
      </w:r>
      <w:r>
        <w:rPr>
          <w:rStyle w:val="VerbatimChar"/>
        </w:rPr>
        <w:t xml:space="preserve">Content-Type</w:t>
      </w:r>
      <w:r>
        <w:t xml:space="preserve">,</w:t>
      </w:r>
      <w:r>
        <w:t xml:space="preserve"> </w:t>
      </w:r>
      <w:r>
        <w:rPr>
          <w:rStyle w:val="VerbatimChar"/>
        </w:rPr>
        <w:t xml:space="preserve">Cache-Control</w:t>
      </w:r>
      <w:r>
        <w:t xml:space="preserve">,</w:t>
      </w:r>
      <w:r>
        <w:t xml:space="preserve"> </w:t>
      </w:r>
      <w:r>
        <w:rPr>
          <w:rStyle w:val="VerbatimChar"/>
        </w:rPr>
        <w:t xml:space="preserve">ETag</w:t>
      </w:r>
      <w:r>
        <w:t xml:space="preserve">) and returns it through the middleware stack, web server and load balancer.</w:t>
      </w:r>
    </w:p>
    <w:p>
      <w:pPr>
        <w:numPr>
          <w:ilvl w:val="0"/>
          <w:numId w:val="1259"/>
        </w:numPr>
        <w:pStyle w:val="Compact"/>
      </w:pPr>
      <w:r>
        <w:rPr>
          <w:bCs/>
          <w:b/>
        </w:rPr>
        <w:t xml:space="preserve">Browser processes the response.</w:t>
      </w:r>
      <w:r>
        <w:t xml:space="preserve"> </w:t>
      </w:r>
      <w:r>
        <w:t xml:space="preserve">It decompresses, parses, updates its cache and cookie jar, and renders or hands the JSON to JavaScript. The TCP/TLS connection stays open (keep-alive) for later requests.</w:t>
      </w:r>
    </w:p>
    <w:bookmarkEnd w:id="845"/>
    <w:bookmarkStart w:id="849" w:name="architecture-diagram-6"/>
    <w:p>
      <w:pPr>
        <w:pStyle w:val="Heading4"/>
      </w:pPr>
      <w:r>
        <w:t xml:space="preserve">Architecture diagram</w:t>
      </w:r>
    </w:p>
    <w:p>
      <w:pPr>
        <w:pStyle w:val="FirstParagraph"/>
      </w:pPr>
      <w:r>
        <w:rPr>
          <w:bCs/>
          <w:b/>
        </w:rPr>
        <w:t xml:space="preserve">Figure 8.3 — End-to-end lifecycle of one HTTPS API request.</w:t>
      </w:r>
    </w:p>
    <w:p>
      <w:pPr>
        <w:pStyle w:val="BodyText"/>
      </w:pPr>
      <w:r>
        <w:drawing>
          <wp:inline>
            <wp:extent cx="5334000" cy="3019525"/>
            <wp:effectExtent b="0" l="0" r="0" t="0"/>
            <wp:docPr descr="" title="" id="847" name="Picture"/>
            <a:graphic>
              <a:graphicData uri="http://schemas.openxmlformats.org/drawingml/2006/picture">
                <pic:pic>
                  <pic:nvPicPr>
                    <pic:cNvPr descr="/home/user/System-Design/build/.cache/diagrams/d2f6210b7cc1.png" id="848" name="Picture"/>
                    <pic:cNvPicPr>
                      <a:picLocks noChangeArrowheads="1" noChangeAspect="1"/>
                    </pic:cNvPicPr>
                  </pic:nvPicPr>
                  <pic:blipFill>
                    <a:blip r:embed="rId846"/>
                    <a:stretch>
                      <a:fillRect/>
                    </a:stretch>
                  </pic:blipFill>
                  <pic:spPr bwMode="auto">
                    <a:xfrm>
                      <a:off x="0" y="0"/>
                      <a:ext cx="5334000" cy="3019525"/>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Time flows downward. Messages 1–2 are DNS over UDP (or DNS over HTTPS); 3–4 are the TCP handshake; 5–6 are the TLS 1.3 handshake. Message 7 is the actual HTTP request, carried over the encrypted connection. The load balancer forwards it (8) over a connection it already holds open to the web server, which hands it to the application process (9). The application runs middleware (10), tries the cache (11–12), falls through to the database (13–14) and populates the cache on the way out (15) in the cache-aside pattern (§20.7). Everything is synchronous: the browser waits for the whole chain. Storage boundaries are the cache and the database. Failure points: DNS (stale or failing resolvers), the load balancer, a slow database query that holds a pooled connection, and timeouts that are not aligned along the chain. Scaling options: CDN and HTTP caching remove steps 3–15 entirely for cacheable responses; connection reuse removes steps 3–6 for repeat requests; app servers scale horizontally; the database scales with replicas and partitions.</w:t>
      </w:r>
    </w:p>
    <w:bookmarkEnd w:id="849"/>
    <w:bookmarkStart w:id="850" w:name="mathematical-foundations-7"/>
    <w:p>
      <w:pPr>
        <w:pStyle w:val="Heading4"/>
      </w:pPr>
      <w:r>
        <w:t xml:space="preserve">Mathematical foundations</w:t>
      </w:r>
    </w:p>
    <w:p>
      <w:pPr>
        <w:pStyle w:val="CalloutFormula"/>
      </w:pPr>
      <w:r>
        <w:rPr>
          <w:bCs/>
          <w:b/>
        </w:rPr>
        <w:t xml:space="preserve">FORMULA</w:t>
      </w:r>
    </w:p>
    <w:p>
      <w:pPr>
        <w:pStyle w:val="CalloutFormula"/>
      </w:pPr>
      <w:r>
        <w:rPr>
          <w:bCs/>
          <w:b/>
        </w:rPr>
        <w:t xml:space="preserve">End-to-end latency of a request on a new connection</w:t>
      </w:r>
    </w:p>
    <w:p>
      <w:pPr>
        <w:pStyle w:val="CalloutFormula"/>
      </w:pPr>
      <m:oMathPara>
        <m:oMathParaPr>
          <m:jc m:val="center"/>
        </m:oMathParaPr>
        <m:oMath>
          <m:sSub>
            <m:e>
              <m:r>
                <m:t>T</m:t>
              </m:r>
            </m:e>
            <m:sub>
              <m:r>
                <m:rPr>
                  <m:nor/>
                  <m:sty m:val="p"/>
                </m:rPr>
                <m:t>total</m:t>
              </m:r>
            </m:sub>
          </m:sSub>
          <m:r>
            <m:rPr>
              <m:sty m:val="p"/>
            </m:rPr>
            <m:t>=</m:t>
          </m:r>
          <m:sSub>
            <m:e>
              <m:r>
                <m:t>T</m:t>
              </m:r>
            </m:e>
            <m:sub>
              <m:r>
                <m:rPr>
                  <m:nor/>
                  <m:sty m:val="p"/>
                </m:rPr>
                <m:t>DNS</m:t>
              </m:r>
            </m:sub>
          </m:sSub>
          <m:r>
            <m:rPr>
              <m:sty m:val="p"/>
            </m:rPr>
            <m:t>+</m:t>
          </m:r>
          <m:sSub>
            <m:e>
              <m:r>
                <m:t>T</m:t>
              </m:r>
            </m:e>
            <m:sub>
              <m:r>
                <m:rPr>
                  <m:nor/>
                  <m:sty m:val="p"/>
                </m:rPr>
                <m:t>TCP</m:t>
              </m:r>
            </m:sub>
          </m:sSub>
          <m:r>
            <m:rPr>
              <m:sty m:val="p"/>
            </m:rPr>
            <m:t>+</m:t>
          </m:r>
          <m:sSub>
            <m:e>
              <m:r>
                <m:t>T</m:t>
              </m:r>
            </m:e>
            <m:sub>
              <m:r>
                <m:rPr>
                  <m:nor/>
                  <m:sty m:val="p"/>
                </m:rPr>
                <m:t>TLS</m:t>
              </m:r>
            </m:sub>
          </m:sSub>
          <m:r>
            <m:rPr>
              <m:sty m:val="p"/>
            </m:rPr>
            <m:t>+</m:t>
          </m:r>
          <m:sSub>
            <m:e>
              <m:r>
                <m:t>T</m:t>
              </m:r>
            </m:e>
            <m:sub>
              <m:r>
                <m:rPr>
                  <m:nor/>
                  <m:sty m:val="p"/>
                </m:rPr>
                <m:t>req</m:t>
              </m:r>
            </m:sub>
          </m:sSub>
          <m:r>
            <m:rPr>
              <m:sty m:val="p"/>
            </m:rPr>
            <m:t>+</m:t>
          </m:r>
          <m:sSub>
            <m:e>
              <m:r>
                <m:t>T</m:t>
              </m:r>
            </m:e>
            <m:sub>
              <m:r>
                <m:rPr>
                  <m:nor/>
                  <m:sty m:val="p"/>
                </m:rPr>
                <m:t>server</m:t>
              </m:r>
            </m:sub>
          </m:sSub>
          <m:r>
            <m:rPr>
              <m:sty m:val="p"/>
            </m:rPr>
            <m:t>+</m:t>
          </m:r>
          <m:sSub>
            <m:e>
              <m:r>
                <m:t>T</m:t>
              </m:r>
            </m:e>
            <m:sub>
              <m:r>
                <m:rPr>
                  <m:nor/>
                  <m:sty m:val="p"/>
                </m:rPr>
                <m:t>transfer</m:t>
              </m:r>
            </m:sub>
          </m:sSub>
        </m:oMath>
      </m:oMathPara>
    </w:p>
    <w:p>
      <w:pPr>
        <w:pStyle w:val="CalloutFormula"/>
      </w:pPr>
      <w:r>
        <w:t xml:space="preserve">with</w:t>
      </w:r>
      <w:r>
        <w:t xml:space="preserve"> </w:t>
      </w:r>
      <m:oMath>
        <m:sSub>
          <m:e>
            <m:r>
              <m:t>T</m:t>
            </m:r>
          </m:e>
          <m:sub>
            <m:r>
              <m:rPr>
                <m:nor/>
                <m:sty m:val="p"/>
              </m:rPr>
              <m:t>TCP</m:t>
            </m:r>
          </m:sub>
        </m:sSub>
        <m:r>
          <m:rPr>
            <m:sty m:val="p"/>
          </m:rPr>
          <m:t>≈</m:t>
        </m:r>
        <m:r>
          <m:t>1</m:t>
        </m:r>
        <m:r>
          <m:rPr>
            <m:sty m:val="p"/>
          </m:rPr>
          <m:t>×</m:t>
        </m:r>
        <m:r>
          <m:t>R</m:t>
        </m:r>
        <m:r>
          <m:t>T</m:t>
        </m:r>
        <m:r>
          <m:t>T</m:t>
        </m:r>
      </m:oMath>
      <w:r>
        <w:t xml:space="preserve">,</w:t>
      </w:r>
      <w:r>
        <w:t xml:space="preserve"> </w:t>
      </w:r>
      <m:oMath>
        <m:sSub>
          <m:e>
            <m:r>
              <m:t>T</m:t>
            </m:r>
          </m:e>
          <m:sub>
            <m:r>
              <m:rPr>
                <m:nor/>
                <m:sty m:val="p"/>
              </m:rPr>
              <m:t>TLS 1.3</m:t>
            </m:r>
          </m:sub>
        </m:sSub>
        <m:r>
          <m:rPr>
            <m:sty m:val="p"/>
          </m:rPr>
          <m:t>≈</m:t>
        </m:r>
        <m:r>
          <m:t>1</m:t>
        </m:r>
        <m:r>
          <m:rPr>
            <m:sty m:val="p"/>
          </m:rPr>
          <m:t>×</m:t>
        </m:r>
        <m:r>
          <m:t>R</m:t>
        </m:r>
        <m:r>
          <m:t>T</m:t>
        </m:r>
        <m:r>
          <m:t>T</m:t>
        </m:r>
      </m:oMath>
      <w:r>
        <w:t xml:space="preserve">,</w:t>
      </w:r>
      <w:r>
        <w:t xml:space="preserve"> </w:t>
      </w:r>
      <m:oMath>
        <m:sSub>
          <m:e>
            <m:r>
              <m:t>T</m:t>
            </m:r>
          </m:e>
          <m:sub>
            <m:r>
              <m:rPr>
                <m:nor/>
                <m:sty m:val="p"/>
              </m:rPr>
              <m:t>req</m:t>
            </m:r>
          </m:sub>
        </m:sSub>
        <m:r>
          <m:rPr>
            <m:sty m:val="p"/>
          </m:rPr>
          <m:t>≈</m:t>
        </m:r>
        <m:r>
          <m:t>1</m:t>
        </m:r>
        <m:r>
          <m:rPr>
            <m:sty m:val="p"/>
          </m:rPr>
          <m:t>×</m:t>
        </m:r>
        <m:r>
          <m:t>R</m:t>
        </m:r>
        <m:r>
          <m:t>T</m:t>
        </m:r>
        <m:r>
          <m:t>T</m:t>
        </m:r>
      </m:oMath>
      <w:r>
        <w:t xml:space="preserve"> </w:t>
      </w:r>
      <w:r>
        <w:t xml:space="preserve">and</w:t>
      </w:r>
      <w:r>
        <w:t xml:space="preserve"> </w:t>
      </w:r>
      <m:oMath>
        <m:sSub>
          <m:e>
            <m:r>
              <m:t>T</m:t>
            </m:r>
          </m:e>
          <m:sub>
            <m:r>
              <m:rPr>
                <m:nor/>
                <m:sty m:val="p"/>
              </m:rPr>
              <m:t>transfer</m:t>
            </m:r>
          </m:sub>
        </m:sSub>
        <m:r>
          <m:rPr>
            <m:sty m:val="p"/>
          </m:rPr>
          <m:t>≈</m:t>
        </m:r>
        <m:f>
          <m:fPr>
            <m:type m:val="bar"/>
          </m:fPr>
          <m:num>
            <m:r>
              <m:t>S</m:t>
            </m:r>
          </m:num>
          <m:den>
            <m:r>
              <m:t>B</m:t>
            </m:r>
          </m:den>
        </m:f>
      </m:oMath>
      <w:r>
        <w:t xml:space="preserve"> </w:t>
      </w:r>
      <w:r>
        <w:t xml:space="preserve">for a response that fits in the congestion window.</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T</m:t>
                  </m:r>
                </m:e>
                <m:sub>
                  <m:r>
                    <m:rPr>
                      <m:nor/>
                      <m:sty m:val="p"/>
                    </m:rPr>
                    <m:t>DNS</m:t>
                  </m:r>
                </m:sub>
              </m:sSub>
            </m:oMath>
          </w:p>
        </w:tc>
        <w:tc>
          <w:tcPr/>
          <w:p>
            <w:pPr>
              <w:pStyle w:val="Compact"/>
              <w:jc w:val="left"/>
            </w:pPr>
            <w:r>
              <w:t xml:space="preserve">DNS lookup time (≈ 0 if cached)</w:t>
            </w:r>
          </w:p>
        </w:tc>
        <w:tc>
          <w:tcPr/>
          <w:p>
            <w:pPr>
              <w:pStyle w:val="Compact"/>
              <w:jc w:val="left"/>
            </w:pPr>
            <w:r>
              <w:t xml:space="preserve">ms</w:t>
            </w:r>
          </w:p>
        </w:tc>
      </w:tr>
      <w:tr>
        <w:tc>
          <w:tcPr/>
          <w:p>
            <w:pPr>
              <w:pStyle w:val="Compact"/>
              <w:jc w:val="left"/>
            </w:pPr>
            <m:oMath>
              <m:r>
                <m:t>R</m:t>
              </m:r>
              <m:r>
                <m:t>T</m:t>
              </m:r>
              <m:r>
                <m:t>T</m:t>
              </m:r>
            </m:oMath>
          </w:p>
        </w:tc>
        <w:tc>
          <w:tcPr/>
          <w:p>
            <w:pPr>
              <w:pStyle w:val="Compact"/>
              <w:jc w:val="left"/>
            </w:pPr>
            <w:r>
              <w:t xml:space="preserve">Client-to-load-balancer round-trip time</w:t>
            </w:r>
          </w:p>
        </w:tc>
        <w:tc>
          <w:tcPr/>
          <w:p>
            <w:pPr>
              <w:pStyle w:val="Compact"/>
              <w:jc w:val="left"/>
            </w:pPr>
            <w:r>
              <w:t xml:space="preserve">ms</w:t>
            </w:r>
          </w:p>
        </w:tc>
      </w:tr>
      <w:tr>
        <w:tc>
          <w:tcPr/>
          <w:p>
            <w:pPr>
              <w:pStyle w:val="Compact"/>
              <w:jc w:val="left"/>
            </w:pPr>
            <m:oMath>
              <m:sSub>
                <m:e>
                  <m:r>
                    <m:t>T</m:t>
                  </m:r>
                </m:e>
                <m:sub>
                  <m:r>
                    <m:rPr>
                      <m:nor/>
                      <m:sty m:val="p"/>
                    </m:rPr>
                    <m:t>server</m:t>
                  </m:r>
                </m:sub>
              </m:sSub>
            </m:oMath>
          </w:p>
        </w:tc>
        <w:tc>
          <w:tcPr/>
          <w:p>
            <w:pPr>
              <w:pStyle w:val="Compact"/>
              <w:jc w:val="left"/>
            </w:pPr>
            <w:r>
              <w:t xml:space="preserve">Time from the load balancer receiving the request to sending the response (app + DB)</w:t>
            </w:r>
          </w:p>
        </w:tc>
        <w:tc>
          <w:tcPr/>
          <w:p>
            <w:pPr>
              <w:pStyle w:val="Compact"/>
              <w:jc w:val="left"/>
            </w:pPr>
            <w:r>
              <w:t xml:space="preserve">ms</w:t>
            </w:r>
          </w:p>
        </w:tc>
      </w:tr>
      <w:tr>
        <w:tc>
          <w:tcPr/>
          <w:p>
            <w:pPr>
              <w:pStyle w:val="Compact"/>
              <w:jc w:val="left"/>
            </w:pPr>
            <m:oMath>
              <m:r>
                <m:t>S</m:t>
              </m:r>
            </m:oMath>
          </w:p>
        </w:tc>
        <w:tc>
          <w:tcPr/>
          <w:p>
            <w:pPr>
              <w:pStyle w:val="Compact"/>
              <w:jc w:val="left"/>
            </w:pPr>
            <w:r>
              <w:t xml:space="preserve">Response size</w:t>
            </w:r>
          </w:p>
        </w:tc>
        <w:tc>
          <w:tcPr/>
          <w:p>
            <w:pPr>
              <w:pStyle w:val="Compact"/>
              <w:jc w:val="left"/>
            </w:pPr>
            <w:r>
              <w:t xml:space="preserve">bytes</w:t>
            </w:r>
          </w:p>
        </w:tc>
      </w:tr>
      <w:tr>
        <w:tc>
          <w:tcPr/>
          <w:p>
            <w:pPr>
              <w:pStyle w:val="Compact"/>
              <w:jc w:val="left"/>
            </w:pPr>
            <m:oMath>
              <m:r>
                <m:t>B</m:t>
              </m:r>
            </m:oMath>
          </w:p>
        </w:tc>
        <w:tc>
          <w:tcPr/>
          <w:p>
            <w:pPr>
              <w:pStyle w:val="Compact"/>
              <w:jc w:val="left"/>
            </w:pPr>
            <w:r>
              <w:t xml:space="preserve">Bottleneck bandwidth</w:t>
            </w:r>
          </w:p>
        </w:tc>
        <w:tc>
          <w:tcPr/>
          <w:p>
            <w:pPr>
              <w:pStyle w:val="Compact"/>
              <w:jc w:val="left"/>
            </w:pPr>
            <w:r>
              <w:t xml:space="preserve">bytes/ms</w:t>
            </w:r>
          </w:p>
        </w:tc>
      </w:tr>
    </w:tbl>
    <w:p>
      <w:pPr>
        <w:pStyle w:val="CalloutExample"/>
      </w:pPr>
      <w:r>
        <w:rPr>
          <w:bCs/>
          <w:b/>
        </w:rPr>
        <w:t xml:space="preserve">WORKED EXAMPLE</w:t>
      </w:r>
    </w:p>
    <w:p>
      <w:pPr>
        <w:pStyle w:val="CalloutExample"/>
      </w:pPr>
      <w:r>
        <w:rPr>
          <w:bCs/>
          <w:b/>
        </w:rPr>
        <w:t xml:space="preserve">Worked example — Cold versus warm request.</w:t>
      </w:r>
      <w:r>
        <w:t xml:space="preserve"> </w:t>
      </w:r>
      <w:r>
        <w:t xml:space="preserve">A user is 40 ms RTT from the region. Uncached DNS takes 30 ms. The server spends 2 ms in the load balancer and web server, 8 ms in application code and one 3 ms database query:</w:t>
      </w:r>
      <w:r>
        <w:t xml:space="preserve"> </w:t>
      </w:r>
      <m:oMath>
        <m:sSub>
          <m:e>
            <m:r>
              <m:t>T</m:t>
            </m:r>
          </m:e>
          <m:sub>
            <m:r>
              <m:rPr>
                <m:nor/>
                <m:sty m:val="p"/>
              </m:rPr>
              <m:t>server</m:t>
            </m:r>
          </m:sub>
        </m:sSub>
        <m:r>
          <m:rPr>
            <m:sty m:val="p"/>
          </m:rPr>
          <m:t>=</m:t>
        </m:r>
        <m:r>
          <m:t>13</m:t>
        </m:r>
      </m:oMath>
      <w:r>
        <w:t xml:space="preserve"> </w:t>
      </w:r>
      <w:r>
        <w:t xml:space="preserve">ms. The 4 KB response transfers in well under 1 ms on a broadband link, so ignore it.</w:t>
      </w:r>
    </w:p>
    <w:p>
      <w:pPr>
        <w:numPr>
          <w:ilvl w:val="0"/>
          <w:numId w:val="1260"/>
        </w:numPr>
        <w:pStyle w:val="Compact"/>
      </w:pPr>
      <w:r>
        <w:t xml:space="preserve">Cold (new DNS, new connection):</w:t>
      </w:r>
      <w:r>
        <w:t xml:space="preserve"> </w:t>
      </w:r>
      <m:oMath>
        <m:r>
          <m:t>30</m:t>
        </m:r>
        <m:r>
          <m:rPr>
            <m:sty m:val="p"/>
          </m:rPr>
          <m:t>+</m:t>
        </m:r>
        <m:r>
          <m:t>40</m:t>
        </m:r>
        <m:r>
          <m:rPr>
            <m:sty m:val="p"/>
          </m:rPr>
          <m:t>+</m:t>
        </m:r>
        <m:r>
          <m:t>40</m:t>
        </m:r>
        <m:r>
          <m:rPr>
            <m:sty m:val="p"/>
          </m:rPr>
          <m:t>+</m:t>
        </m:r>
        <m:r>
          <m:t>40</m:t>
        </m:r>
        <m:r>
          <m:rPr>
            <m:sty m:val="p"/>
          </m:rPr>
          <m:t>+</m:t>
        </m:r>
        <m:r>
          <m:t>13</m:t>
        </m:r>
        <m:r>
          <m:rPr>
            <m:sty m:val="p"/>
          </m:rPr>
          <m:t>=</m:t>
        </m:r>
        <m:r>
          <m:t>163</m:t>
        </m:r>
      </m:oMath>
      <w:r>
        <w:t xml:space="preserve"> </w:t>
      </w:r>
      <w:r>
        <w:t xml:space="preserve">ms.</w:t>
      </w:r>
    </w:p>
    <w:p>
      <w:pPr>
        <w:numPr>
          <w:ilvl w:val="0"/>
          <w:numId w:val="1260"/>
        </w:numPr>
        <w:pStyle w:val="Compact"/>
      </w:pPr>
      <w:r>
        <w:t xml:space="preserve">Warm (DNS cached, connection reused):</w:t>
      </w:r>
      <w:r>
        <w:t xml:space="preserve"> </w:t>
      </w:r>
      <m:oMath>
        <m:r>
          <m:t>0</m:t>
        </m:r>
        <m:r>
          <m:rPr>
            <m:sty m:val="p"/>
          </m:rPr>
          <m:t>+</m:t>
        </m:r>
        <m:r>
          <m:t>0</m:t>
        </m:r>
        <m:r>
          <m:rPr>
            <m:sty m:val="p"/>
          </m:rPr>
          <m:t>+</m:t>
        </m:r>
        <m:r>
          <m:t>0</m:t>
        </m:r>
        <m:r>
          <m:rPr>
            <m:sty m:val="p"/>
          </m:rPr>
          <m:t>+</m:t>
        </m:r>
        <m:r>
          <m:t>40</m:t>
        </m:r>
        <m:r>
          <m:rPr>
            <m:sty m:val="p"/>
          </m:rPr>
          <m:t>+</m:t>
        </m:r>
        <m:r>
          <m:t>13</m:t>
        </m:r>
        <m:r>
          <m:rPr>
            <m:sty m:val="p"/>
          </m:rPr>
          <m:t>=</m:t>
        </m:r>
        <m:r>
          <m:t>53</m:t>
        </m:r>
      </m:oMath>
      <w:r>
        <w:t xml:space="preserve"> </w:t>
      </w:r>
      <w:r>
        <w:t xml:space="preserve">ms.</w:t>
      </w:r>
    </w:p>
    <w:p>
      <w:pPr>
        <w:numPr>
          <w:ilvl w:val="0"/>
          <w:numId w:val="1260"/>
        </w:numPr>
        <w:pStyle w:val="Compact"/>
      </w:pPr>
      <w:r>
        <w:t xml:space="preserve">Share of the cold request spent on actual server work:</w:t>
      </w:r>
      <w:r>
        <w:t xml:space="preserve"> </w:t>
      </w:r>
      <m:oMath>
        <m:r>
          <m:t>13</m:t>
        </m:r>
        <m:r>
          <m:rPr>
            <m:sty m:val="p"/>
          </m:rPr>
          <m:t>/</m:t>
        </m:r>
        <m:r>
          <m:t>163</m:t>
        </m:r>
        <m:r>
          <m:rPr>
            <m:sty m:val="p"/>
          </m:rPr>
          <m:t>≈</m:t>
        </m:r>
        <m:r>
          <m:t>8</m:t>
        </m:r>
        <m:r>
          <m:rPr>
            <m:sty m:val="p"/>
          </m:rPr>
          <m:t>%</m:t>
        </m:r>
      </m:oMath>
      <w:r>
        <w:t xml:space="preserve">.</w:t>
      </w:r>
    </w:p>
    <w:p>
      <w:pPr>
        <w:pStyle w:val="CalloutExample"/>
      </w:pPr>
      <w:r>
        <w:rPr>
          <w:bCs/>
          <w:b/>
        </w:rPr>
        <w:t xml:space="preserve">Interpretation.</w:t>
      </w:r>
      <w:r>
        <w:t xml:space="preserve"> </w:t>
      </w:r>
      <w:r>
        <w:t xml:space="preserve">For short API calls, the network setup costs about ten times as much as the work.</w:t>
      </w:r>
      <w:r>
        <w:t xml:space="preserve"> </w:t>
      </w:r>
      <w:r>
        <w:rPr>
          <w:bCs/>
          <w:b/>
        </w:rPr>
        <w:t xml:space="preserve">Engineering implication:</w:t>
      </w:r>
      <w:r>
        <w:t xml:space="preserve"> </w:t>
      </w:r>
      <w:r>
        <w:t xml:space="preserve">before optimizing a 3 ms query, make sure clients reuse connections (HTTP keep-alive, HTTP/2 multiplexing), keep DNS TTLs reasonable, terminate TLS close to users (CDN edges, §21.3) and avoid designs that need several</w:t>
      </w:r>
      <w:r>
        <w:t xml:space="preserve"> </w:t>
      </w:r>
      <w:r>
        <w:rPr>
          <w:iCs/>
          <w:i/>
        </w:rPr>
        <w:t xml:space="preserve">sequential</w:t>
      </w:r>
      <w:r>
        <w:t xml:space="preserve"> </w:t>
      </w:r>
      <w:r>
        <w:t xml:space="preserve">round trips per screen.</w:t>
      </w:r>
    </w:p>
    <w:p>
      <w:pPr>
        <w:pStyle w:val="BodyText"/>
      </w:pPr>
      <w:r>
        <w:rPr>
          <w:bCs/>
          <w:b/>
        </w:rPr>
        <w:t xml:space="preserve">Table 8.3 — Typical latency budget per hop (order-of-magnitude, as of 2026).</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Hop</w:t>
            </w:r>
          </w:p>
        </w:tc>
        <w:tc>
          <w:tcPr/>
          <w:p>
            <w:pPr>
              <w:pStyle w:val="Compact"/>
              <w:jc w:val="left"/>
            </w:pPr>
            <w:r>
              <w:t xml:space="preserve">Typical cost</w:t>
            </w:r>
          </w:p>
        </w:tc>
        <w:tc>
          <w:tcPr/>
          <w:p>
            <w:pPr>
              <w:pStyle w:val="Compact"/>
              <w:jc w:val="left"/>
            </w:pPr>
            <w:r>
              <w:t xml:space="preserve">Dominated by</w:t>
            </w:r>
          </w:p>
        </w:tc>
      </w:tr>
      <w:tr>
        <w:tc>
          <w:tcPr/>
          <w:p>
            <w:pPr>
              <w:pStyle w:val="Compact"/>
              <w:jc w:val="left"/>
            </w:pPr>
            <w:r>
              <w:t xml:space="preserve">DNS lookup (cached in OS/browser)</w:t>
            </w:r>
          </w:p>
        </w:tc>
        <w:tc>
          <w:tcPr/>
          <w:p>
            <w:pPr>
              <w:pStyle w:val="Compact"/>
              <w:jc w:val="left"/>
            </w:pPr>
            <w:r>
              <w:t xml:space="preserve">~0 ms</w:t>
            </w:r>
          </w:p>
        </w:tc>
        <w:tc>
          <w:tcPr/>
          <w:p>
            <w:pPr>
              <w:pStyle w:val="Compact"/>
              <w:jc w:val="left"/>
            </w:pPr>
            <w:r>
              <w:t xml:space="preserve">—</w:t>
            </w:r>
          </w:p>
        </w:tc>
      </w:tr>
      <w:tr>
        <w:tc>
          <w:tcPr/>
          <w:p>
            <w:pPr>
              <w:pStyle w:val="Compact"/>
              <w:jc w:val="left"/>
            </w:pPr>
            <w:r>
              <w:t xml:space="preserve">DNS lookup (recursive resolver cache miss)</w:t>
            </w:r>
          </w:p>
        </w:tc>
        <w:tc>
          <w:tcPr/>
          <w:p>
            <w:pPr>
              <w:pStyle w:val="Compact"/>
              <w:jc w:val="left"/>
            </w:pPr>
            <w:r>
              <w:t xml:space="preserve">10–100 ms</w:t>
            </w:r>
          </w:p>
        </w:tc>
        <w:tc>
          <w:tcPr/>
          <w:p>
            <w:pPr>
              <w:pStyle w:val="Compact"/>
              <w:jc w:val="left"/>
            </w:pPr>
            <w:r>
              <w:t xml:space="preserve">RTTs to authoritative servers</w:t>
            </w:r>
          </w:p>
        </w:tc>
      </w:tr>
      <w:tr>
        <w:tc>
          <w:tcPr/>
          <w:p>
            <w:pPr>
              <w:pStyle w:val="Compact"/>
              <w:jc w:val="left"/>
            </w:pPr>
            <w:r>
              <w:t xml:space="preserve">TCP + TLS 1.3 setup</w:t>
            </w:r>
          </w:p>
        </w:tc>
        <w:tc>
          <w:tcPr/>
          <w:p>
            <w:pPr>
              <w:pStyle w:val="Compact"/>
              <w:jc w:val="left"/>
            </w:pPr>
            <w:r>
              <w:t xml:space="preserve">2 × RTT (e.g. 20–200 ms on the public internet)</w:t>
            </w:r>
          </w:p>
        </w:tc>
        <w:tc>
          <w:tcPr/>
          <w:p>
            <w:pPr>
              <w:pStyle w:val="Compact"/>
              <w:jc w:val="left"/>
            </w:pPr>
            <w:r>
              <w:t xml:space="preserve">Distance to the TLS terminator</w:t>
            </w:r>
          </w:p>
        </w:tc>
      </w:tr>
      <w:tr>
        <w:tc>
          <w:tcPr/>
          <w:p>
            <w:pPr>
              <w:pStyle w:val="Compact"/>
              <w:jc w:val="left"/>
            </w:pPr>
            <w:r>
              <w:t xml:space="preserve">Load balancer and reverse proxy</w:t>
            </w:r>
          </w:p>
        </w:tc>
        <w:tc>
          <w:tcPr/>
          <w:p>
            <w:pPr>
              <w:pStyle w:val="Compact"/>
              <w:jc w:val="left"/>
            </w:pPr>
            <w:r>
              <w:t xml:space="preserve">~0.1–1 ms</w:t>
            </w:r>
          </w:p>
        </w:tc>
        <w:tc>
          <w:tcPr/>
          <w:p>
            <w:pPr>
              <w:pStyle w:val="Compact"/>
              <w:jc w:val="left"/>
            </w:pPr>
            <w:r>
              <w:t xml:space="preserve">Parsing, TLS termination CPU</w:t>
            </w:r>
          </w:p>
        </w:tc>
      </w:tr>
      <w:tr>
        <w:tc>
          <w:tcPr/>
          <w:p>
            <w:pPr>
              <w:pStyle w:val="Compact"/>
              <w:jc w:val="left"/>
            </w:pPr>
            <w:r>
              <w:t xml:space="preserve">Application code (simple handler)</w:t>
            </w:r>
          </w:p>
        </w:tc>
        <w:tc>
          <w:tcPr/>
          <w:p>
            <w:pPr>
              <w:pStyle w:val="Compact"/>
              <w:jc w:val="left"/>
            </w:pPr>
            <w:r>
              <w:t xml:space="preserve">1–20 ms</w:t>
            </w:r>
          </w:p>
        </w:tc>
        <w:tc>
          <w:tcPr/>
          <w:p>
            <w:pPr>
              <w:pStyle w:val="Compact"/>
              <w:jc w:val="left"/>
            </w:pPr>
            <w:r>
              <w:t xml:space="preserve">Serialization, framework overhead, language runtime</w:t>
            </w:r>
          </w:p>
        </w:tc>
      </w:tr>
      <w:tr>
        <w:tc>
          <w:tcPr/>
          <w:p>
            <w:pPr>
              <w:pStyle w:val="Compact"/>
              <w:jc w:val="left"/>
            </w:pPr>
            <w:r>
              <w:t xml:space="preserve">Cache read in the same datacenter</w:t>
            </w:r>
          </w:p>
        </w:tc>
        <w:tc>
          <w:tcPr/>
          <w:p>
            <w:pPr>
              <w:pStyle w:val="Compact"/>
              <w:jc w:val="left"/>
            </w:pPr>
            <w:r>
              <w:t xml:space="preserve">~0.2–1 ms</w:t>
            </w:r>
          </w:p>
        </w:tc>
        <w:tc>
          <w:tcPr/>
          <w:p>
            <w:pPr>
              <w:pStyle w:val="Compact"/>
              <w:jc w:val="left"/>
            </w:pPr>
            <w:r>
              <w:t xml:space="preserve">Network RTT inside the datacenter</w:t>
            </w:r>
          </w:p>
        </w:tc>
      </w:tr>
      <w:tr>
        <w:tc>
          <w:tcPr/>
          <w:p>
            <w:pPr>
              <w:pStyle w:val="Compact"/>
              <w:jc w:val="left"/>
            </w:pPr>
            <w:r>
              <w:t xml:space="preserve">Indexed database point read</w:t>
            </w:r>
          </w:p>
        </w:tc>
        <w:tc>
          <w:tcPr/>
          <w:p>
            <w:pPr>
              <w:pStyle w:val="Compact"/>
              <w:jc w:val="left"/>
            </w:pPr>
            <w:r>
              <w:t xml:space="preserve">~0.5–5 ms</w:t>
            </w:r>
          </w:p>
        </w:tc>
        <w:tc>
          <w:tcPr/>
          <w:p>
            <w:pPr>
              <w:pStyle w:val="Compact"/>
              <w:jc w:val="left"/>
            </w:pPr>
            <w:r>
              <w:t xml:space="preserve">Network RTT + buffer-pool hit or disk read</w:t>
            </w:r>
          </w:p>
        </w:tc>
      </w:tr>
      <w:tr>
        <w:tc>
          <w:tcPr/>
          <w:p>
            <w:pPr>
              <w:pStyle w:val="Compact"/>
              <w:jc w:val="left"/>
            </w:pPr>
            <w:r>
              <w:t xml:space="preserve">Unindexed scan of a large table</w:t>
            </w:r>
          </w:p>
        </w:tc>
        <w:tc>
          <w:tcPr/>
          <w:p>
            <w:pPr>
              <w:pStyle w:val="Compact"/>
              <w:jc w:val="left"/>
            </w:pPr>
            <w:r>
              <w:t xml:space="preserve">100 ms–seconds</w:t>
            </w:r>
          </w:p>
        </w:tc>
        <w:tc>
          <w:tcPr/>
          <w:p>
            <w:pPr>
              <w:pStyle w:val="Compact"/>
              <w:jc w:val="left"/>
            </w:pPr>
            <w:r>
              <w:t xml:space="preserve">Rows read from disk (Chapter 11)</w:t>
            </w:r>
          </w:p>
        </w:tc>
      </w:tr>
    </w:tbl>
    <w:p>
      <w:pPr>
        <w:pStyle w:val="BodyText"/>
      </w:pPr>
      <w:r>
        <w:t xml:space="preserve">These figures are illustrative ranges for estimation; measure your own system (Chapter 23). See §4.17 and Appendix F for dated reference numbers.</w:t>
      </w:r>
    </w:p>
    <w:bookmarkEnd w:id="850"/>
    <w:bookmarkStart w:id="851" w:name="failure-scenarios-19"/>
    <w:p>
      <w:pPr>
        <w:pStyle w:val="Heading4"/>
      </w:pPr>
      <w:r>
        <w:t xml:space="preserve">Failure scenarios</w:t>
      </w:r>
    </w:p>
    <w:p>
      <w:pPr>
        <w:pStyle w:val="FirstParagraph"/>
      </w:pPr>
      <w:r>
        <w:rPr>
          <w:bCs/>
          <w:b/>
        </w:rPr>
        <w:t xml:space="preserve">Table 8.4 — Lifecycle 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Users hit old servers after a migration</w:t>
            </w:r>
          </w:p>
        </w:tc>
        <w:tc>
          <w:tcPr/>
          <w:p>
            <w:pPr>
              <w:pStyle w:val="Compact"/>
              <w:jc w:val="left"/>
            </w:pPr>
            <w:r>
              <w:t xml:space="preserve">DNS answers cached for the old TTL</w:t>
            </w:r>
          </w:p>
        </w:tc>
        <w:tc>
          <w:tcPr/>
          <w:p>
            <w:pPr>
              <w:pStyle w:val="Compact"/>
              <w:jc w:val="left"/>
            </w:pPr>
            <w:r>
              <w:t xml:space="preserve">Traffic still arriving at old IPs</w:t>
            </w:r>
          </w:p>
        </w:tc>
        <w:tc>
          <w:tcPr/>
          <w:p>
            <w:pPr>
              <w:pStyle w:val="Compact"/>
              <w:jc w:val="left"/>
            </w:pPr>
            <w:r>
              <w:t xml:space="preserve">Keep old endpoints serving until TTL expires</w:t>
            </w:r>
          </w:p>
        </w:tc>
        <w:tc>
          <w:tcPr/>
          <w:p>
            <w:pPr>
              <w:pStyle w:val="Compact"/>
              <w:jc w:val="left"/>
            </w:pPr>
            <w:r>
              <w:t xml:space="preserve">Lower TTL days before a planned change</w:t>
            </w:r>
          </w:p>
        </w:tc>
      </w:tr>
      <w:tr>
        <w:tc>
          <w:tcPr/>
          <w:p>
            <w:pPr>
              <w:pStyle w:val="Compact"/>
              <w:jc w:val="left"/>
            </w:pPr>
            <w:r>
              <w:t xml:space="preserve">502/504 from the load balancer</w:t>
            </w:r>
          </w:p>
        </w:tc>
        <w:tc>
          <w:tcPr/>
          <w:p>
            <w:pPr>
              <w:pStyle w:val="Compact"/>
              <w:jc w:val="left"/>
            </w:pPr>
            <w:r>
              <w:t xml:space="preserve">Backend crashed or slower than the LB timeout</w:t>
            </w:r>
          </w:p>
        </w:tc>
        <w:tc>
          <w:tcPr/>
          <w:p>
            <w:pPr>
              <w:pStyle w:val="Compact"/>
              <w:jc w:val="left"/>
            </w:pPr>
            <w:r>
              <w:t xml:space="preserve">LB 5xx metrics by backend</w:t>
            </w:r>
          </w:p>
        </w:tc>
        <w:tc>
          <w:tcPr/>
          <w:p>
            <w:pPr>
              <w:pStyle w:val="Compact"/>
              <w:jc w:val="left"/>
            </w:pPr>
            <w:r>
              <w:t xml:space="preserve">Remove unhealthy backends</w:t>
            </w:r>
          </w:p>
        </w:tc>
        <w:tc>
          <w:tcPr/>
          <w:p>
            <w:pPr>
              <w:pStyle w:val="Compact"/>
              <w:jc w:val="left"/>
            </w:pPr>
            <w:r>
              <w:t xml:space="preserve">Health checks; timeouts that shrink inward along the chain</w:t>
            </w:r>
          </w:p>
        </w:tc>
      </w:tr>
      <w:tr>
        <w:tc>
          <w:tcPr/>
          <w:p>
            <w:pPr>
              <w:pStyle w:val="Compact"/>
              <w:jc w:val="left"/>
            </w:pPr>
            <w:r>
              <w:t xml:space="preserve">Requests pile up, then everything times out</w:t>
            </w:r>
          </w:p>
        </w:tc>
        <w:tc>
          <w:tcPr/>
          <w:p>
            <w:pPr>
              <w:pStyle w:val="Compact"/>
              <w:jc w:val="left"/>
            </w:pPr>
            <w:r>
              <w:t xml:space="preserve">DB connection pool exhausted by slow queries</w:t>
            </w:r>
          </w:p>
        </w:tc>
        <w:tc>
          <w:tcPr/>
          <w:p>
            <w:pPr>
              <w:pStyle w:val="Compact"/>
              <w:jc w:val="left"/>
            </w:pPr>
            <w:r>
              <w:t xml:space="preserve">Pool wait time, active connections</w:t>
            </w:r>
          </w:p>
        </w:tc>
        <w:tc>
          <w:tcPr/>
          <w:p>
            <w:pPr>
              <w:pStyle w:val="Compact"/>
              <w:jc w:val="left"/>
            </w:pPr>
            <w:r>
              <w:t xml:space="preserve">Kill slow queries, shed load</w:t>
            </w:r>
          </w:p>
        </w:tc>
        <w:tc>
          <w:tcPr/>
          <w:p>
            <w:pPr>
              <w:pStyle w:val="Compact"/>
              <w:jc w:val="left"/>
            </w:pPr>
            <w:r>
              <w:t xml:space="preserve">Query timeouts, indexes, pool sizing (§14.13)</w:t>
            </w:r>
          </w:p>
        </w:tc>
      </w:tr>
      <w:tr>
        <w:tc>
          <w:tcPr/>
          <w:p>
            <w:pPr>
              <w:pStyle w:val="Compact"/>
              <w:jc w:val="left"/>
            </w:pPr>
            <w:r>
              <w:t xml:space="preserve">Client retries make an outage worse</w:t>
            </w:r>
          </w:p>
        </w:tc>
        <w:tc>
          <w:tcPr/>
          <w:p>
            <w:pPr>
              <w:pStyle w:val="Compact"/>
              <w:jc w:val="left"/>
            </w:pPr>
            <w:r>
              <w:t xml:space="preserve">Timeouts plus immediate retries multiply load</w:t>
            </w:r>
          </w:p>
        </w:tc>
        <w:tc>
          <w:tcPr/>
          <w:p>
            <w:pPr>
              <w:pStyle w:val="Compact"/>
              <w:jc w:val="left"/>
            </w:pPr>
            <w:r>
              <w:t xml:space="preserve">Request rate rises while success rate falls</w:t>
            </w:r>
          </w:p>
        </w:tc>
        <w:tc>
          <w:tcPr/>
          <w:p>
            <w:pPr>
              <w:pStyle w:val="Compact"/>
              <w:jc w:val="left"/>
            </w:pPr>
            <w:r>
              <w:t xml:space="preserve">Shed load, open circuit breakers</w:t>
            </w:r>
          </w:p>
        </w:tc>
        <w:tc>
          <w:tcPr/>
          <w:p>
            <w:pPr>
              <w:pStyle w:val="Compact"/>
              <w:jc w:val="left"/>
            </w:pPr>
            <w:r>
              <w:t xml:space="preserve">Exponential backoff with jitter, retry budgets (§22.12)</w:t>
            </w:r>
          </w:p>
        </w:tc>
      </w:tr>
    </w:tbl>
    <w:p>
      <w:pPr>
        <w:pStyle w:val="CalloutMistake"/>
      </w:pPr>
      <w:r>
        <w:rPr>
          <w:bCs/>
          <w:b/>
        </w:rPr>
        <w:t xml:space="preserve">COMMON MISTAKE</w:t>
      </w:r>
    </w:p>
    <w:p>
      <w:pPr>
        <w:pStyle w:val="CalloutMistake"/>
      </w:pPr>
      <w:r>
        <w:rPr>
          <w:bCs/>
          <w:b/>
        </w:rPr>
        <w:t xml:space="preserve">“</w:t>
      </w:r>
      <w:r>
        <w:rPr>
          <w:bCs/>
          <w:b/>
        </w:rPr>
        <w:t xml:space="preserve">Latency is mostly the database.</w:t>
      </w:r>
      <w:r>
        <w:rPr>
          <w:bCs/>
          <w:b/>
        </w:rPr>
        <w:t xml:space="preserve">”</w:t>
      </w:r>
      <w:r>
        <w:t xml:space="preserve"> </w:t>
      </w:r>
      <w:r>
        <w:t xml:space="preserve">For a typical small API call, connection setup and round trips often cost more than the query. Count round trips first, then optimize server time.</w:t>
      </w:r>
    </w:p>
    <w:bookmarkEnd w:id="851"/>
    <w:bookmarkEnd w:id="852"/>
    <w:bookmarkEnd w:id="853"/>
    <w:bookmarkStart w:id="870" w:name="rest-api-design"/>
    <w:p>
      <w:pPr>
        <w:pStyle w:val="Heading2"/>
      </w:pPr>
      <w:r>
        <w:t xml:space="preserve">8.6 REST API design</w:t>
      </w:r>
    </w:p>
    <w:bookmarkStart w:id="856" w:name="what-rest-is-fieldings-constraints"/>
    <w:p>
      <w:pPr>
        <w:pStyle w:val="Heading3"/>
      </w:pPr>
      <w:r>
        <w:t xml:space="preserve">8.6.1 What REST is: Fielding’s constraints</w:t>
      </w:r>
    </w:p>
    <w:p>
      <w:pPr>
        <w:pStyle w:val="CalloutDefinition"/>
      </w:pPr>
      <w:r>
        <w:rPr>
          <w:bCs/>
          <w:b/>
        </w:rPr>
        <w:t xml:space="preserve">DEFINITION</w:t>
      </w:r>
    </w:p>
    <w:p>
      <w:pPr>
        <w:pStyle w:val="CalloutDefinition"/>
      </w:pPr>
      <w:r>
        <w:rPr>
          <w:bCs/>
          <w:b/>
        </w:rPr>
        <w:t xml:space="preserve">Definition — REST (Representational State Transfer).</w:t>
      </w:r>
      <w:r>
        <w:t xml:space="preserve"> </w:t>
      </w:r>
      <w:r>
        <w:t xml:space="preserve">An architectural style for distributed hypermedia systems, defined by Roy Fielding in his 2000 doctoral dissertation as a set of constraints on how components interact [Fielding 2000]. In everyday usage, a</w:t>
      </w:r>
      <w:r>
        <w:t xml:space="preserve"> </w:t>
      </w:r>
      <w:r>
        <w:t xml:space="preserve">“</w:t>
      </w:r>
      <w:r>
        <w:t xml:space="preserve">REST API</w:t>
      </w:r>
      <w:r>
        <w:t xml:space="preserve">”</w:t>
      </w:r>
      <w:r>
        <w:t xml:space="preserve"> </w:t>
      </w:r>
      <w:r>
        <w:t xml:space="preserve">is an HTTP API that models its domain as</w:t>
      </w:r>
      <w:r>
        <w:t xml:space="preserve"> </w:t>
      </w:r>
      <w:r>
        <w:rPr>
          <w:bCs/>
          <w:b/>
        </w:rPr>
        <w:t xml:space="preserve">resources</w:t>
      </w:r>
      <w:r>
        <w:t xml:space="preserve"> </w:t>
      </w:r>
      <w:r>
        <w:t xml:space="preserve">identified by URIs and manipulated with the standard HTTP methods.</w:t>
      </w:r>
    </w:p>
    <w:bookmarkStart w:id="854" w:name="first-principles-explanation-46"/>
    <w:p>
      <w:pPr>
        <w:pStyle w:val="Heading4"/>
      </w:pPr>
      <w:r>
        <w:t xml:space="preserve">First-principles explanation</w:t>
      </w:r>
    </w:p>
    <w:p>
      <w:pPr>
        <w:pStyle w:val="FirstParagraph"/>
      </w:pPr>
      <w:r>
        <w:t xml:space="preserve">A library does not give each patron a custom set of instructions. It has a uniform system: every book has a call number (a</w:t>
      </w:r>
      <w:r>
        <w:t xml:space="preserve"> </w:t>
      </w:r>
      <w:r>
        <w:rPr>
          <w:bCs/>
          <w:b/>
        </w:rPr>
        <w:t xml:space="preserve">resource identifier</w:t>
      </w:r>
      <w:r>
        <w:t xml:space="preserve">), and there are a few standard actions — look up, borrow, return — that work the same for every book. You can walk into any library and use it. REST applies the same idea to networked software: instead of inventing a new verb per operation (</w:t>
      </w:r>
      <w:r>
        <w:rPr>
          <w:rStyle w:val="VerbatimChar"/>
        </w:rPr>
        <w:t xml:space="preserve">getOrder</w:t>
      </w:r>
      <w:r>
        <w:t xml:space="preserve">,</w:t>
      </w:r>
      <w:r>
        <w:t xml:space="preserve"> </w:t>
      </w:r>
      <w:r>
        <w:rPr>
          <w:rStyle w:val="VerbatimChar"/>
        </w:rPr>
        <w:t xml:space="preserve">cancelOrderV2</w:t>
      </w:r>
      <w:r>
        <w:t xml:space="preserve">,</w:t>
      </w:r>
      <w:r>
        <w:t xml:space="preserve"> </w:t>
      </w:r>
      <w:r>
        <w:rPr>
          <w:rStyle w:val="VerbatimChar"/>
        </w:rPr>
        <w:t xml:space="preserve">listAllOrdersForUser</w:t>
      </w:r>
      <w:r>
        <w:t xml:space="preserve">), you name</w:t>
      </w:r>
      <w:r>
        <w:t xml:space="preserve"> </w:t>
      </w:r>
      <w:r>
        <w:rPr>
          <w:iCs/>
          <w:i/>
        </w:rPr>
        <w:t xml:space="preserve">things</w:t>
      </w:r>
      <w:r>
        <w:t xml:space="preserve"> </w:t>
      </w:r>
      <w:r>
        <w:t xml:space="preserve">(</w:t>
      </w:r>
      <w:r>
        <w:rPr>
          <w:rStyle w:val="VerbatimChar"/>
        </w:rPr>
        <w:t xml:space="preserve">/orders/42</w:t>
      </w:r>
      <w:r>
        <w:t xml:space="preserve">) and use a small, fixed set of verbs that every client, proxy and cache already understands.</w:t>
      </w:r>
    </w:p>
    <w:bookmarkEnd w:id="854"/>
    <w:bookmarkStart w:id="855" w:name="why-does-this-exist-28"/>
    <w:p>
      <w:pPr>
        <w:pStyle w:val="Heading4"/>
      </w:pPr>
      <w:r>
        <w:t xml:space="preserve">Why does this exist?</w:t>
      </w:r>
    </w:p>
    <w:p>
      <w:pPr>
        <w:pStyle w:val="FirstParagraph"/>
      </w:pPr>
      <w:r>
        <w:t xml:space="preserve">Fielding was describing why the web had scaled to millions of independently developed servers and clients. Its uniform interface lets intermediaries — caches, proxies, CDNs, load balancers — understand and optimize traffic without knowing anything about the application. A CDN can cache any</w:t>
      </w:r>
      <w:r>
        <w:t xml:space="preserve"> </w:t>
      </w:r>
      <w:r>
        <w:rPr>
          <w:rStyle w:val="VerbatimChar"/>
        </w:rPr>
        <w:t xml:space="preserve">GET</w:t>
      </w:r>
      <w:r>
        <w:t xml:space="preserve"> </w:t>
      </w:r>
      <w:r>
        <w:t xml:space="preserve">response marked cacheable; a proxy can retry any idempotent request. Custom RPC protocols of the 1990s could not offer that.</w:t>
      </w:r>
    </w:p>
    <w:p>
      <w:pPr>
        <w:pStyle w:val="BodyText"/>
      </w:pPr>
      <w:r>
        <w:rPr>
          <w:bCs/>
          <w:b/>
        </w:rPr>
        <w:t xml:space="preserve">Table 8.5 — Fielding’s REST constraints.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Constraint</w:t>
            </w:r>
          </w:p>
        </w:tc>
        <w:tc>
          <w:tcPr/>
          <w:p>
            <w:pPr>
              <w:pStyle w:val="Compact"/>
              <w:jc w:val="left"/>
            </w:pPr>
            <w:r>
              <w:t xml:space="preserve">Meaning</w:t>
            </w:r>
          </w:p>
        </w:tc>
        <w:tc>
          <w:tcPr/>
          <w:p>
            <w:pPr>
              <w:pStyle w:val="Compact"/>
              <w:jc w:val="left"/>
            </w:pPr>
            <w:r>
              <w:t xml:space="preserve">What it buys you</w:t>
            </w:r>
          </w:p>
        </w:tc>
      </w:tr>
      <w:tr>
        <w:tc>
          <w:tcPr/>
          <w:p>
            <w:pPr>
              <w:pStyle w:val="Compact"/>
              <w:jc w:val="left"/>
            </w:pPr>
            <w:r>
              <w:t xml:space="preserve">Client–server</w:t>
            </w:r>
          </w:p>
        </w:tc>
        <w:tc>
          <w:tcPr/>
          <w:p>
            <w:pPr>
              <w:pStyle w:val="Compact"/>
              <w:jc w:val="left"/>
            </w:pPr>
            <w:r>
              <w:t xml:space="preserve">Separate the user interface from data storage</w:t>
            </w:r>
          </w:p>
        </w:tc>
        <w:tc>
          <w:tcPr/>
          <w:p>
            <w:pPr>
              <w:pStyle w:val="Compact"/>
              <w:jc w:val="left"/>
            </w:pPr>
            <w:r>
              <w:t xml:space="preserve">Independent evolution of client and server</w:t>
            </w:r>
          </w:p>
        </w:tc>
      </w:tr>
      <w:tr>
        <w:tc>
          <w:tcPr/>
          <w:p>
            <w:pPr>
              <w:pStyle w:val="Compact"/>
              <w:jc w:val="left"/>
            </w:pPr>
            <w:r>
              <w:t xml:space="preserve">Stateless</w:t>
            </w:r>
          </w:p>
        </w:tc>
        <w:tc>
          <w:tcPr/>
          <w:p>
            <w:pPr>
              <w:pStyle w:val="Compact"/>
              <w:jc w:val="left"/>
            </w:pPr>
            <w:r>
              <w:t xml:space="preserve">Each request contains all information needed to understand it; no session state on the server</w:t>
            </w:r>
          </w:p>
        </w:tc>
        <w:tc>
          <w:tcPr/>
          <w:p>
            <w:pPr>
              <w:pStyle w:val="Compact"/>
              <w:jc w:val="left"/>
            </w:pPr>
            <w:r>
              <w:t xml:space="preserve">Visibility, reliability, horizontal scalability</w:t>
            </w:r>
          </w:p>
        </w:tc>
      </w:tr>
      <w:tr>
        <w:tc>
          <w:tcPr/>
          <w:p>
            <w:pPr>
              <w:pStyle w:val="Compact"/>
              <w:jc w:val="left"/>
            </w:pPr>
            <w:r>
              <w:t xml:space="preserve">Cache</w:t>
            </w:r>
          </w:p>
        </w:tc>
        <w:tc>
          <w:tcPr/>
          <w:p>
            <w:pPr>
              <w:pStyle w:val="Compact"/>
              <w:jc w:val="left"/>
            </w:pPr>
            <w:r>
              <w:t xml:space="preserve">Responses label themselves cacheable or not</w:t>
            </w:r>
          </w:p>
        </w:tc>
        <w:tc>
          <w:tcPr/>
          <w:p>
            <w:pPr>
              <w:pStyle w:val="Compact"/>
              <w:jc w:val="left"/>
            </w:pPr>
            <w:r>
              <w:t xml:space="preserve">Fewer interactions; lower latency</w:t>
            </w:r>
          </w:p>
        </w:tc>
      </w:tr>
      <w:tr>
        <w:tc>
          <w:tcPr/>
          <w:p>
            <w:pPr>
              <w:pStyle w:val="Compact"/>
              <w:jc w:val="left"/>
            </w:pPr>
            <w:r>
              <w:t xml:space="preserve">Uniform interface</w:t>
            </w:r>
          </w:p>
        </w:tc>
        <w:tc>
          <w:tcPr/>
          <w:p>
            <w:pPr>
              <w:pStyle w:val="Compact"/>
              <w:jc w:val="left"/>
            </w:pPr>
            <w:r>
              <w:t xml:space="preserve">Resource identification, manipulation through representations, self-descriptive messages, hypermedia as the engine of application state (HATEOAS)</w:t>
            </w:r>
          </w:p>
        </w:tc>
        <w:tc>
          <w:tcPr/>
          <w:p>
            <w:pPr>
              <w:pStyle w:val="Compact"/>
              <w:jc w:val="left"/>
            </w:pPr>
            <w:r>
              <w:t xml:space="preserve">Generic intermediaries and clients</w:t>
            </w:r>
          </w:p>
        </w:tc>
      </w:tr>
      <w:tr>
        <w:tc>
          <w:tcPr/>
          <w:p>
            <w:pPr>
              <w:pStyle w:val="Compact"/>
              <w:jc w:val="left"/>
            </w:pPr>
            <w:r>
              <w:t xml:space="preserve">Layered system</w:t>
            </w:r>
          </w:p>
        </w:tc>
        <w:tc>
          <w:tcPr/>
          <w:p>
            <w:pPr>
              <w:pStyle w:val="Compact"/>
              <w:jc w:val="left"/>
            </w:pPr>
            <w:r>
              <w:t xml:space="preserve">A client cannot tell whether it talks to the origin or an intermediary</w:t>
            </w:r>
          </w:p>
        </w:tc>
        <w:tc>
          <w:tcPr/>
          <w:p>
            <w:pPr>
              <w:pStyle w:val="Compact"/>
              <w:jc w:val="left"/>
            </w:pPr>
            <w:r>
              <w:t xml:space="preserve">Load balancers, caches, gateways can be inserted transparently</w:t>
            </w:r>
          </w:p>
        </w:tc>
      </w:tr>
      <w:tr>
        <w:tc>
          <w:tcPr/>
          <w:p>
            <w:pPr>
              <w:pStyle w:val="Compact"/>
              <w:jc w:val="left"/>
            </w:pPr>
            <w:r>
              <w:t xml:space="preserve">Code on demand (optional)</w:t>
            </w:r>
          </w:p>
        </w:tc>
        <w:tc>
          <w:tcPr/>
          <w:p>
            <w:pPr>
              <w:pStyle w:val="Compact"/>
              <w:jc w:val="left"/>
            </w:pPr>
            <w:r>
              <w:t xml:space="preserve">Servers may send executable code (e.g. JavaScript)</w:t>
            </w:r>
          </w:p>
        </w:tc>
        <w:tc>
          <w:tcPr/>
          <w:p>
            <w:pPr>
              <w:pStyle w:val="Compact"/>
              <w:jc w:val="left"/>
            </w:pPr>
            <w:r>
              <w:t xml:space="preserve">Extensible clients</w:t>
            </w:r>
          </w:p>
        </w:tc>
      </w:tr>
    </w:tbl>
    <w:p>
      <w:pPr>
        <w:pStyle w:val="CalloutNote"/>
      </w:pPr>
      <w:r>
        <w:rPr>
          <w:bCs/>
          <w:b/>
        </w:rPr>
        <w:t xml:space="preserve">NOTE</w:t>
      </w:r>
    </w:p>
    <w:p>
      <w:pPr>
        <w:pStyle w:val="CalloutNote"/>
      </w:pPr>
      <w:r>
        <w:rPr>
          <w:bCs/>
          <w:b/>
        </w:rPr>
        <w:t xml:space="preserve">Note —</w:t>
      </w:r>
      <w:r>
        <w:rPr>
          <w:bCs/>
          <w:b/>
        </w:rPr>
        <w:t xml:space="preserve"> </w:t>
      </w:r>
      <w:r>
        <w:rPr>
          <w:bCs/>
          <w:b/>
        </w:rPr>
        <w:t xml:space="preserve">“</w:t>
      </w:r>
      <w:r>
        <w:rPr>
          <w:bCs/>
          <w:b/>
        </w:rPr>
        <w:t xml:space="preserve">RESTful</w:t>
      </w:r>
      <w:r>
        <w:rPr>
          <w:bCs/>
          <w:b/>
        </w:rPr>
        <w:t xml:space="preserve">”</w:t>
      </w:r>
      <w:r>
        <w:rPr>
          <w:bCs/>
          <w:b/>
        </w:rPr>
        <w:t xml:space="preserve"> </w:t>
      </w:r>
      <w:r>
        <w:rPr>
          <w:bCs/>
          <w:b/>
        </w:rPr>
        <w:t xml:space="preserve">in practice.</w:t>
      </w:r>
      <w:r>
        <w:t xml:space="preserve"> </w:t>
      </w:r>
      <w:r>
        <w:t xml:space="preserve">Most public</w:t>
      </w:r>
      <w:r>
        <w:t xml:space="preserve"> </w:t>
      </w:r>
      <w:r>
        <w:t xml:space="preserve">“</w:t>
      </w:r>
      <w:r>
        <w:t xml:space="preserve">REST</w:t>
      </w:r>
      <w:r>
        <w:t xml:space="preserve">”</w:t>
      </w:r>
      <w:r>
        <w:t xml:space="preserve"> </w:t>
      </w:r>
      <w:r>
        <w:t xml:space="preserve">APIs implement the first five constraints partially and skip HATEOAS. Fielding has written that an API which is not hypertext-driven is not REST in his sense. This book uses</w:t>
      </w:r>
      <w:r>
        <w:t xml:space="preserve"> </w:t>
      </w:r>
      <w:r>
        <w:t xml:space="preserve">“</w:t>
      </w:r>
      <w:r>
        <w:t xml:space="preserve">REST API</w:t>
      </w:r>
      <w:r>
        <w:t xml:space="preserve">”</w:t>
      </w:r>
      <w:r>
        <w:t xml:space="preserve"> </w:t>
      </w:r>
      <w:r>
        <w:t xml:space="preserve">in the common, looser sense — resource-oriented HTTP + JSON — and flags HATEOAS separately (§8.6.8).</w:t>
      </w:r>
    </w:p>
    <w:bookmarkEnd w:id="855"/>
    <w:bookmarkEnd w:id="856"/>
    <w:bookmarkStart w:id="857" w:name="resources-and-uris"/>
    <w:p>
      <w:pPr>
        <w:pStyle w:val="Heading3"/>
      </w:pPr>
      <w:r>
        <w:t xml:space="preserve">8.6.2 Resources and URIs</w:t>
      </w:r>
    </w:p>
    <w:p>
      <w:pPr>
        <w:pStyle w:val="FirstParagraph"/>
      </w:pPr>
      <w:r>
        <w:t xml:space="preserve">A</w:t>
      </w:r>
      <w:r>
        <w:t xml:space="preserve"> </w:t>
      </w:r>
      <w:r>
        <w:rPr>
          <w:bCs/>
          <w:b/>
        </w:rPr>
        <w:t xml:space="preserve">resource</w:t>
      </w:r>
      <w:r>
        <w:t xml:space="preserve"> </w:t>
      </w:r>
      <w:r>
        <w:t xml:space="preserve">is any named thing the API exposes: a user, an order, a collection of orders, the current exchange rate. A</w:t>
      </w:r>
      <w:r>
        <w:t xml:space="preserve"> </w:t>
      </w:r>
      <w:r>
        <w:rPr>
          <w:bCs/>
          <w:b/>
        </w:rPr>
        <w:t xml:space="preserve">representation</w:t>
      </w:r>
      <w:r>
        <w:t xml:space="preserve"> </w:t>
      </w:r>
      <w:r>
        <w:t xml:space="preserve">is a serialized snapshot of it (JSON, usually). Design rules that hold up in practice:</w:t>
      </w:r>
    </w:p>
    <w:p>
      <w:pPr>
        <w:numPr>
          <w:ilvl w:val="0"/>
          <w:numId w:val="1261"/>
        </w:numPr>
        <w:pStyle w:val="Compact"/>
      </w:pPr>
      <w:r>
        <w:rPr>
          <w:bCs/>
          <w:b/>
        </w:rPr>
        <w:t xml:space="preserve">Nouns, not verbs, in paths.</w:t>
      </w:r>
      <w:r>
        <w:t xml:space="preserve"> </w:t>
      </w:r>
      <w:r>
        <w:rPr>
          <w:rStyle w:val="VerbatimChar"/>
        </w:rPr>
        <w:t xml:space="preserve">POST /orders</w:t>
      </w:r>
      <w:r>
        <w:t xml:space="preserve">, not</w:t>
      </w:r>
      <w:r>
        <w:t xml:space="preserve"> </w:t>
      </w:r>
      <w:r>
        <w:rPr>
          <w:rStyle w:val="VerbatimChar"/>
        </w:rPr>
        <w:t xml:space="preserve">POST /createOrder</w:t>
      </w:r>
      <w:r>
        <w:t xml:space="preserve">. The method is the verb.</w:t>
      </w:r>
    </w:p>
    <w:p>
      <w:pPr>
        <w:numPr>
          <w:ilvl w:val="0"/>
          <w:numId w:val="1261"/>
        </w:numPr>
        <w:pStyle w:val="Compact"/>
      </w:pPr>
      <w:r>
        <w:rPr>
          <w:bCs/>
          <w:b/>
        </w:rPr>
        <w:t xml:space="preserve">Plural collections, item by identifier.</w:t>
      </w:r>
      <w:r>
        <w:t xml:space="preserve"> </w:t>
      </w:r>
      <w:r>
        <w:rPr>
          <w:rStyle w:val="VerbatimChar"/>
        </w:rPr>
        <w:t xml:space="preserve">/orders</w:t>
      </w:r>
      <w:r>
        <w:t xml:space="preserve"> </w:t>
      </w:r>
      <w:r>
        <w:t xml:space="preserve">(collection) and</w:t>
      </w:r>
      <w:r>
        <w:t xml:space="preserve"> </w:t>
      </w:r>
      <w:r>
        <w:rPr>
          <w:rStyle w:val="VerbatimChar"/>
        </w:rPr>
        <w:t xml:space="preserve">/orders/42</w:t>
      </w:r>
      <w:r>
        <w:t xml:space="preserve"> </w:t>
      </w:r>
      <w:r>
        <w:t xml:space="preserve">(item).</w:t>
      </w:r>
    </w:p>
    <w:p>
      <w:pPr>
        <w:numPr>
          <w:ilvl w:val="0"/>
          <w:numId w:val="1261"/>
        </w:numPr>
        <w:pStyle w:val="Compact"/>
      </w:pPr>
      <w:r>
        <w:rPr>
          <w:bCs/>
          <w:b/>
        </w:rPr>
        <w:t xml:space="preserve">Nest only for true containment, at most one level.</w:t>
      </w:r>
      <w:r>
        <w:t xml:space="preserve"> </w:t>
      </w:r>
      <w:r>
        <w:rPr>
          <w:rStyle w:val="VerbatimChar"/>
        </w:rPr>
        <w:t xml:space="preserve">/orders/42/items</w:t>
      </w:r>
      <w:r>
        <w:t xml:space="preserve"> </w:t>
      </w:r>
      <w:r>
        <w:t xml:space="preserve">is clear;</w:t>
      </w:r>
      <w:r>
        <w:t xml:space="preserve"> </w:t>
      </w:r>
      <w:r>
        <w:rPr>
          <w:rStyle w:val="VerbatimChar"/>
        </w:rPr>
        <w:t xml:space="preserve">/users/7/orders/42/items/3/discounts</w:t>
      </w:r>
      <w:r>
        <w:t xml:space="preserve"> </w:t>
      </w:r>
      <w:r>
        <w:t xml:space="preserve">couples clients to your data model. Prefer</w:t>
      </w:r>
      <w:r>
        <w:t xml:space="preserve"> </w:t>
      </w:r>
      <w:r>
        <w:rPr>
          <w:rStyle w:val="VerbatimChar"/>
        </w:rPr>
        <w:t xml:space="preserve">/order-items/3</w:t>
      </w:r>
      <w:r>
        <w:t xml:space="preserve"> </w:t>
      </w:r>
      <w:r>
        <w:t xml:space="preserve">once items have their own identity.</w:t>
      </w:r>
    </w:p>
    <w:p>
      <w:pPr>
        <w:numPr>
          <w:ilvl w:val="0"/>
          <w:numId w:val="1261"/>
        </w:numPr>
        <w:pStyle w:val="Compact"/>
      </w:pPr>
      <w:r>
        <w:rPr>
          <w:bCs/>
          <w:b/>
        </w:rPr>
        <w:t xml:space="preserve">Opaque, stable identifiers.</w:t>
      </w:r>
      <w:r>
        <w:t xml:space="preserve"> </w:t>
      </w:r>
      <w:r>
        <w:t xml:space="preserve">Prefer IDs that do not leak row counts or allow enumeration (UUIDs or Snowflake-style IDs, §17.10).</w:t>
      </w:r>
    </w:p>
    <w:p>
      <w:pPr>
        <w:numPr>
          <w:ilvl w:val="0"/>
          <w:numId w:val="1261"/>
        </w:numPr>
        <w:pStyle w:val="Compact"/>
      </w:pPr>
      <w:r>
        <w:rPr>
          <w:bCs/>
          <w:b/>
        </w:rPr>
        <w:t xml:space="preserve">Actions that do not fit CRUD</w:t>
      </w:r>
      <w:r>
        <w:t xml:space="preserve"> </w:t>
      </w:r>
      <w:r>
        <w:t xml:space="preserve">become sub-resources or state changes:</w:t>
      </w:r>
      <w:r>
        <w:t xml:space="preserve"> </w:t>
      </w:r>
      <w:r>
        <w:rPr>
          <w:rStyle w:val="VerbatimChar"/>
        </w:rPr>
        <w:t xml:space="preserve">POST /orders/42/cancellation</w:t>
      </w:r>
      <w:r>
        <w:t xml:space="preserve"> </w:t>
      </w:r>
      <w:r>
        <w:t xml:space="preserve">or</w:t>
      </w:r>
      <w:r>
        <w:t xml:space="preserve"> </w:t>
      </w:r>
      <w:r>
        <w:rPr>
          <w:rStyle w:val="VerbatimChar"/>
        </w:rPr>
        <w:t xml:space="preserve">PATCH /orders/42 {"status":"cancelled"}</w:t>
      </w:r>
      <w:r>
        <w:t xml:space="preserve">, rather than</w:t>
      </w:r>
      <w:r>
        <w:t xml:space="preserve"> </w:t>
      </w:r>
      <w:r>
        <w:rPr>
          <w:rStyle w:val="VerbatimChar"/>
        </w:rPr>
        <w:t xml:space="preserve">POST /cancelOrder?id=42</w:t>
      </w:r>
      <w:r>
        <w:t xml:space="preserve">.</w:t>
      </w:r>
    </w:p>
    <w:p>
      <w:pPr>
        <w:numPr>
          <w:ilvl w:val="0"/>
          <w:numId w:val="1261"/>
        </w:numPr>
        <w:pStyle w:val="Compact"/>
      </w:pPr>
      <w:r>
        <w:rPr>
          <w:bCs/>
          <w:b/>
        </w:rPr>
        <w:t xml:space="preserve">Consistent casing</w:t>
      </w:r>
      <w:r>
        <w:t xml:space="preserve"> </w:t>
      </w:r>
      <w:r>
        <w:t xml:space="preserve">(</w:t>
      </w:r>
      <w:r>
        <w:rPr>
          <w:rStyle w:val="VerbatimChar"/>
        </w:rPr>
        <w:t xml:space="preserve">snake_case</w:t>
      </w:r>
      <w:r>
        <w:t xml:space="preserve"> </w:t>
      </w:r>
      <w:r>
        <w:t xml:space="preserve">or</w:t>
      </w:r>
      <w:r>
        <w:t xml:space="preserve"> </w:t>
      </w:r>
      <w:r>
        <w:rPr>
          <w:rStyle w:val="VerbatimChar"/>
        </w:rPr>
        <w:t xml:space="preserve">camelCase</w:t>
      </w:r>
      <w:r>
        <w:t xml:space="preserve"> </w:t>
      </w:r>
      <w:r>
        <w:t xml:space="preserve">in JSON, kebab-case in paths) across the whole API.</w:t>
      </w:r>
    </w:p>
    <w:bookmarkEnd w:id="857"/>
    <w:bookmarkStart w:id="858" w:name="http-methods-safety-and-idempotency"/>
    <w:p>
      <w:pPr>
        <w:pStyle w:val="Heading3"/>
      </w:pPr>
      <w:r>
        <w:t xml:space="preserve">8.6.3 HTTP methods: safety and idempotency</w:t>
      </w:r>
    </w:p>
    <w:p>
      <w:pPr>
        <w:pStyle w:val="FirstParagraph"/>
      </w:pPr>
      <w:r>
        <w:t xml:space="preserve">Two properties of methods matter enormously for distributed systems, because networks lose responses and clients retry.</w:t>
      </w:r>
    </w:p>
    <w:p>
      <w:pPr>
        <w:pStyle w:val="CalloutDefinition"/>
      </w:pPr>
      <w:r>
        <w:rPr>
          <w:bCs/>
          <w:b/>
        </w:rPr>
        <w:t xml:space="preserve">DEFINITION</w:t>
      </w:r>
    </w:p>
    <w:p>
      <w:pPr>
        <w:pStyle w:val="CalloutDefinition"/>
      </w:pPr>
      <w:r>
        <w:rPr>
          <w:bCs/>
          <w:b/>
        </w:rPr>
        <w:t xml:space="preserve">Definition — Safe method.</w:t>
      </w:r>
      <w:r>
        <w:t xml:space="preserve"> </w:t>
      </w:r>
      <w:r>
        <w:t xml:space="preserve">A method whose semantics are read-only: the client does not request, and does not expect, any state change on the server [RFC 9110 §9.2.1]. Logging or metrics side effects are allowed.</w:t>
      </w:r>
    </w:p>
    <w:p>
      <w:pPr>
        <w:pStyle w:val="CalloutDefinition"/>
      </w:pPr>
      <w:r>
        <w:rPr>
          <w:bCs/>
          <w:b/>
        </w:rPr>
        <w:t xml:space="preserve">DEFINITION</w:t>
      </w:r>
    </w:p>
    <w:p>
      <w:pPr>
        <w:pStyle w:val="CalloutDefinition"/>
      </w:pPr>
      <w:r>
        <w:rPr>
          <w:bCs/>
          <w:b/>
        </w:rPr>
        <w:t xml:space="preserve">Definition — Idempotent method.</w:t>
      </w:r>
      <w:r>
        <w:t xml:space="preserve"> </w:t>
      </w:r>
      <w:r>
        <w:t xml:space="preserve">A method for which the intended effect on the server of sending the same request</w:t>
      </w:r>
      <w:r>
        <w:t xml:space="preserve"> </w:t>
      </w:r>
      <m:oMath>
        <m:r>
          <m:t>N</m:t>
        </m:r>
        <m:r>
          <m:rPr>
            <m:sty m:val="p"/>
          </m:rPr>
          <m:t>&gt;</m:t>
        </m:r>
        <m:r>
          <m:t>0</m:t>
        </m:r>
      </m:oMath>
      <w:r>
        <w:t xml:space="preserve"> </w:t>
      </w:r>
      <w:r>
        <w:t xml:space="preserve">times is the same as sending it once [RFC 9110 §9.2.2]. The</w:t>
      </w:r>
      <w:r>
        <w:t xml:space="preserve"> </w:t>
      </w:r>
      <w:r>
        <w:rPr>
          <w:iCs/>
          <w:i/>
        </w:rPr>
        <w:t xml:space="preserve">response</w:t>
      </w:r>
      <w:r>
        <w:t xml:space="preserve"> </w:t>
      </w:r>
      <w:r>
        <w:t xml:space="preserve">may differ (a second</w:t>
      </w:r>
      <w:r>
        <w:t xml:space="preserve"> </w:t>
      </w:r>
      <w:r>
        <w:rPr>
          <w:rStyle w:val="VerbatimChar"/>
        </w:rPr>
        <w:t xml:space="preserve">DELETE</w:t>
      </w:r>
      <w:r>
        <w:t xml:space="preserve"> </w:t>
      </w:r>
      <w:r>
        <w:t xml:space="preserve">may return 404); the</w:t>
      </w:r>
      <w:r>
        <w:t xml:space="preserve"> </w:t>
      </w:r>
      <w:r>
        <w:rPr>
          <w:iCs/>
          <w:i/>
        </w:rPr>
        <w:t xml:space="preserve">state</w:t>
      </w:r>
      <w:r>
        <w:t xml:space="preserve"> </w:t>
      </w:r>
      <w:r>
        <w:t xml:space="preserve">does not.</w:t>
      </w:r>
    </w:p>
    <w:p>
      <w:pPr>
        <w:pStyle w:val="BodyText"/>
      </w:pPr>
      <w:r>
        <w:t xml:space="preserve">Analogy: pressing a lift’s call button is idempotent (pressing five times summons one lift); dropping a coin in a vending machine is not (five coins, five charges). If a client sends</w:t>
      </w:r>
      <w:r>
        <w:t xml:space="preserve"> </w:t>
      </w:r>
      <w:r>
        <w:rPr>
          <w:rStyle w:val="VerbatimChar"/>
        </w:rPr>
        <w:t xml:space="preserve">POST /payments</w:t>
      </w:r>
      <w:r>
        <w:t xml:space="preserve"> </w:t>
      </w:r>
      <w:r>
        <w:t xml:space="preserve">and the connection drops before the response arrives, it cannot know whether the payment happened. Retrying a non-idempotent request risks a double charge. Retrying an idempotent one is always safe.</w:t>
      </w:r>
    </w:p>
    <w:p>
      <w:pPr>
        <w:pStyle w:val="BodyText"/>
      </w:pPr>
      <w:r>
        <w:rPr>
          <w:bCs/>
          <w:b/>
        </w:rPr>
        <w:t xml:space="preserve">Table 8.6 — HTTP method properties [RFC 9110].</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Method</w:t>
            </w:r>
          </w:p>
        </w:tc>
        <w:tc>
          <w:tcPr/>
          <w:p>
            <w:pPr>
              <w:pStyle w:val="Compact"/>
              <w:jc w:val="left"/>
            </w:pPr>
            <w:r>
              <w:t xml:space="preserve">Typical use</w:t>
            </w:r>
          </w:p>
        </w:tc>
        <w:tc>
          <w:tcPr/>
          <w:p>
            <w:pPr>
              <w:pStyle w:val="Compact"/>
              <w:jc w:val="left"/>
            </w:pPr>
            <w:r>
              <w:t xml:space="preserve">Safe</w:t>
            </w:r>
          </w:p>
        </w:tc>
        <w:tc>
          <w:tcPr/>
          <w:p>
            <w:pPr>
              <w:pStyle w:val="Compact"/>
              <w:jc w:val="left"/>
            </w:pPr>
            <w:r>
              <w:t xml:space="preserve">Idempotent</w:t>
            </w:r>
          </w:p>
        </w:tc>
        <w:tc>
          <w:tcPr/>
          <w:p>
            <w:pPr>
              <w:pStyle w:val="Compact"/>
              <w:jc w:val="left"/>
            </w:pPr>
            <w:r>
              <w:t xml:space="preserve">Request body</w:t>
            </w:r>
          </w:p>
        </w:tc>
        <w:tc>
          <w:tcPr/>
          <w:p>
            <w:pPr>
              <w:pStyle w:val="Compact"/>
              <w:jc w:val="left"/>
            </w:pPr>
            <w:r>
              <w:t xml:space="preserve">Cacheable</w:t>
            </w:r>
          </w:p>
        </w:tc>
      </w:tr>
      <w:tr>
        <w:tc>
          <w:tcPr/>
          <w:p>
            <w:pPr>
              <w:pStyle w:val="Compact"/>
              <w:jc w:val="left"/>
            </w:pPr>
            <w:r>
              <w:rPr>
                <w:rStyle w:val="VerbatimChar"/>
              </w:rPr>
              <w:t xml:space="preserve">GET</w:t>
            </w:r>
          </w:p>
        </w:tc>
        <w:tc>
          <w:tcPr/>
          <w:p>
            <w:pPr>
              <w:pStyle w:val="Compact"/>
              <w:jc w:val="left"/>
            </w:pPr>
            <w:r>
              <w:t xml:space="preserve">Read a resource or collection</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 (no defined semantics)</w:t>
            </w:r>
          </w:p>
        </w:tc>
        <w:tc>
          <w:tcPr/>
          <w:p>
            <w:pPr>
              <w:pStyle w:val="Compact"/>
              <w:jc w:val="left"/>
            </w:pPr>
            <w:r>
              <w:t xml:space="preserve">Yes</w:t>
            </w:r>
          </w:p>
        </w:tc>
      </w:tr>
      <w:tr>
        <w:tc>
          <w:tcPr/>
          <w:p>
            <w:pPr>
              <w:pStyle w:val="Compact"/>
              <w:jc w:val="left"/>
            </w:pPr>
            <w:r>
              <w:rPr>
                <w:rStyle w:val="VerbatimChar"/>
              </w:rPr>
              <w:t xml:space="preserve">HEAD</w:t>
            </w:r>
          </w:p>
        </w:tc>
        <w:tc>
          <w:tcPr/>
          <w:p>
            <w:pPr>
              <w:pStyle w:val="Compact"/>
              <w:jc w:val="left"/>
            </w:pPr>
            <w:r>
              <w:rPr>
                <w:rStyle w:val="VerbatimChar"/>
              </w:rPr>
              <w:t xml:space="preserve">GET</w:t>
            </w:r>
            <w:r>
              <w:t xml:space="preserve"> </w:t>
            </w:r>
            <w:r>
              <w:t xml:space="preserve">without the body (check existence, size)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r>
      <w:tr>
        <w:tc>
          <w:tcPr/>
          <w:p>
            <w:pPr>
              <w:pStyle w:val="Compact"/>
              <w:jc w:val="left"/>
            </w:pPr>
            <w:r>
              <w:rPr>
                <w:rStyle w:val="VerbatimChar"/>
              </w:rPr>
              <w:t xml:space="preserve">OPTIONS</w:t>
            </w:r>
          </w:p>
        </w:tc>
        <w:tc>
          <w:tcPr/>
          <w:p>
            <w:pPr>
              <w:pStyle w:val="Compact"/>
              <w:jc w:val="left"/>
            </w:pPr>
            <w:r>
              <w:t xml:space="preserve">Discover allowed methods; CORS preflight</w:t>
            </w:r>
          </w:p>
        </w:tc>
        <w:tc>
          <w:tcPr/>
          <w:p>
            <w:pPr>
              <w:pStyle w:val="Compact"/>
              <w:jc w:val="left"/>
            </w:pPr>
            <w:r>
              <w:t xml:space="preserve">Yes</w:t>
            </w:r>
          </w:p>
        </w:tc>
        <w:tc>
          <w:tcPr/>
          <w:p>
            <w:pPr>
              <w:pStyle w:val="Compact"/>
              <w:jc w:val="left"/>
            </w:pPr>
            <w:r>
              <w:t xml:space="preserve">Yes</w:t>
            </w:r>
          </w:p>
        </w:tc>
        <w:tc>
          <w:tcPr/>
          <w:p>
            <w:pPr>
              <w:pStyle w:val="Compact"/>
              <w:jc w:val="left"/>
            </w:pPr>
            <w:r>
              <w:t xml:space="preserve">Optional</w:t>
            </w:r>
          </w:p>
        </w:tc>
        <w:tc>
          <w:tcPr/>
          <w:p>
            <w:pPr>
              <w:pStyle w:val="Compact"/>
              <w:jc w:val="left"/>
            </w:pPr>
            <w:r>
              <w:t xml:space="preserve">No</w:t>
            </w:r>
          </w:p>
        </w:tc>
      </w:tr>
      <w:tr>
        <w:tc>
          <w:tcPr/>
          <w:p>
            <w:pPr>
              <w:pStyle w:val="Compact"/>
              <w:jc w:val="left"/>
            </w:pPr>
            <w:r>
              <w:rPr>
                <w:rStyle w:val="VerbatimChar"/>
              </w:rPr>
              <w:t xml:space="preserve">POST</w:t>
            </w:r>
          </w:p>
        </w:tc>
        <w:tc>
          <w:tcPr/>
          <w:p>
            <w:pPr>
              <w:pStyle w:val="Compact"/>
              <w:jc w:val="left"/>
            </w:pPr>
            <w:r>
              <w:t xml:space="preserve">Create in a collection; any non-idempotent action</w:t>
            </w:r>
          </w:p>
        </w:tc>
        <w:tc>
          <w:tcPr/>
          <w:p>
            <w:pPr>
              <w:pStyle w:val="Compact"/>
              <w:jc w:val="left"/>
            </w:pPr>
            <w:r>
              <w:t xml:space="preserve">No</w:t>
            </w:r>
          </w:p>
        </w:tc>
        <w:tc>
          <w:tcPr/>
          <w:p>
            <w:pPr>
              <w:pStyle w:val="Compact"/>
              <w:jc w:val="left"/>
            </w:pPr>
            <w:r>
              <w:rPr>
                <w:bCs/>
                <w:b/>
              </w:rPr>
              <w:t xml:space="preserve">No</w:t>
            </w:r>
          </w:p>
        </w:tc>
        <w:tc>
          <w:tcPr/>
          <w:p>
            <w:pPr>
              <w:pStyle w:val="Compact"/>
              <w:jc w:val="left"/>
            </w:pPr>
            <w:r>
              <w:t xml:space="preserve">Yes</w:t>
            </w:r>
          </w:p>
        </w:tc>
        <w:tc>
          <w:tcPr/>
          <w:p>
            <w:pPr>
              <w:pStyle w:val="Compact"/>
              <w:jc w:val="left"/>
            </w:pPr>
            <w:r>
              <w:t xml:space="preserve">Only with explicit freshness; rare</w:t>
            </w:r>
          </w:p>
        </w:tc>
      </w:tr>
      <w:tr>
        <w:tc>
          <w:tcPr/>
          <w:p>
            <w:pPr>
              <w:pStyle w:val="Compact"/>
              <w:jc w:val="left"/>
            </w:pPr>
            <w:r>
              <w:rPr>
                <w:rStyle w:val="VerbatimChar"/>
              </w:rPr>
              <w:t xml:space="preserve">PUT</w:t>
            </w:r>
          </w:p>
        </w:tc>
        <w:tc>
          <w:tcPr/>
          <w:p>
            <w:pPr>
              <w:pStyle w:val="Compact"/>
              <w:jc w:val="left"/>
            </w:pPr>
            <w:r>
              <w:t xml:space="preserve">Create or fully replace at a known URI</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r>
      <w:tr>
        <w:tc>
          <w:tcPr/>
          <w:p>
            <w:pPr>
              <w:pStyle w:val="Compact"/>
              <w:jc w:val="left"/>
            </w:pPr>
            <w:r>
              <w:rPr>
                <w:rStyle w:val="VerbatimChar"/>
              </w:rPr>
              <w:t xml:space="preserve">PATCH</w:t>
            </w:r>
          </w:p>
        </w:tc>
        <w:tc>
          <w:tcPr/>
          <w:p>
            <w:pPr>
              <w:pStyle w:val="Compact"/>
              <w:jc w:val="left"/>
            </w:pPr>
            <w:r>
              <w:t xml:space="preserve">Partial update [RFC 5789]</w:t>
            </w:r>
          </w:p>
        </w:tc>
        <w:tc>
          <w:tcPr/>
          <w:p>
            <w:pPr>
              <w:pStyle w:val="Compact"/>
              <w:jc w:val="left"/>
            </w:pPr>
            <w:r>
              <w:t xml:space="preserve">No</w:t>
            </w:r>
          </w:p>
        </w:tc>
        <w:tc>
          <w:tcPr/>
          <w:p>
            <w:pPr>
              <w:pStyle w:val="Compact"/>
              <w:jc w:val="left"/>
            </w:pPr>
            <w:r>
              <w:t xml:space="preserve">Not guaranteed</w:t>
            </w:r>
          </w:p>
        </w:tc>
        <w:tc>
          <w:tcPr/>
          <w:p>
            <w:pPr>
              <w:pStyle w:val="Compact"/>
              <w:jc w:val="left"/>
            </w:pPr>
            <w:r>
              <w:t xml:space="preserve">Yes</w:t>
            </w:r>
          </w:p>
        </w:tc>
        <w:tc>
          <w:tcPr/>
          <w:p>
            <w:pPr>
              <w:pStyle w:val="Compact"/>
              <w:jc w:val="left"/>
            </w:pPr>
            <w:r>
              <w:t xml:space="preserve">No</w:t>
            </w:r>
          </w:p>
        </w:tc>
      </w:tr>
      <w:tr>
        <w:tc>
          <w:tcPr/>
          <w:p>
            <w:pPr>
              <w:pStyle w:val="Compact"/>
              <w:jc w:val="left"/>
            </w:pPr>
            <w:r>
              <w:rPr>
                <w:rStyle w:val="VerbatimChar"/>
              </w:rPr>
              <w:t xml:space="preserve">DELETE</w:t>
            </w:r>
          </w:p>
        </w:tc>
        <w:tc>
          <w:tcPr/>
          <w:p>
            <w:pPr>
              <w:pStyle w:val="Compact"/>
              <w:jc w:val="left"/>
            </w:pPr>
            <w:r>
              <w:t xml:space="preserve">Remove a resource</w:t>
            </w:r>
          </w:p>
        </w:tc>
        <w:tc>
          <w:tcPr/>
          <w:p>
            <w:pPr>
              <w:pStyle w:val="Compact"/>
              <w:jc w:val="left"/>
            </w:pPr>
            <w:r>
              <w:t xml:space="preserve">No</w:t>
            </w:r>
          </w:p>
        </w:tc>
        <w:tc>
          <w:tcPr/>
          <w:p>
            <w:pPr>
              <w:pStyle w:val="Compact"/>
              <w:jc w:val="left"/>
            </w:pPr>
            <w:r>
              <w:t xml:space="preserve">Yes</w:t>
            </w:r>
          </w:p>
        </w:tc>
        <w:tc>
          <w:tcPr/>
          <w:p>
            <w:pPr>
              <w:pStyle w:val="Compact"/>
              <w:jc w:val="left"/>
            </w:pPr>
            <w:r>
              <w:t xml:space="preserve">Rarely</w:t>
            </w:r>
          </w:p>
        </w:tc>
        <w:tc>
          <w:tcPr/>
          <w:p>
            <w:pPr>
              <w:pStyle w:val="Compact"/>
              <w:jc w:val="left"/>
            </w:pPr>
            <w:r>
              <w:t xml:space="preserve">No</w:t>
            </w:r>
          </w:p>
        </w:tc>
      </w:tr>
    </w:tbl>
    <w:p>
      <w:pPr>
        <w:pStyle w:val="BodyText"/>
      </w:pPr>
      <w:r>
        <w:t xml:space="preserve">What to notice:</w:t>
      </w:r>
    </w:p>
    <w:p>
      <w:pPr>
        <w:numPr>
          <w:ilvl w:val="0"/>
          <w:numId w:val="1262"/>
        </w:numPr>
        <w:pStyle w:val="Compact"/>
      </w:pPr>
      <w:r>
        <w:rPr>
          <w:rStyle w:val="VerbatimChar"/>
        </w:rPr>
        <w:t xml:space="preserve">PUT /users/7/avatar</w:t>
      </w:r>
      <w:r>
        <w:t xml:space="preserve"> </w:t>
      </w:r>
      <w:r>
        <w:t xml:space="preserve">with the full new representation is idempotent: sending it twice leaves the same avatar.</w:t>
      </w:r>
      <w:r>
        <w:t xml:space="preserve"> </w:t>
      </w:r>
      <w:r>
        <w:rPr>
          <w:rStyle w:val="VerbatimChar"/>
        </w:rPr>
        <w:t xml:space="preserve">PATCH {"op":"increment","path":"/balance"}</w:t>
      </w:r>
      <w:r>
        <w:t xml:space="preserve"> </w:t>
      </w:r>
      <w:r>
        <w:t xml:space="preserve">is not.</w:t>
      </w:r>
    </w:p>
    <w:p>
      <w:pPr>
        <w:numPr>
          <w:ilvl w:val="0"/>
          <w:numId w:val="1262"/>
        </w:numPr>
        <w:pStyle w:val="Compact"/>
      </w:pPr>
      <w:r>
        <w:t xml:space="preserve">To make</w:t>
      </w:r>
      <w:r>
        <w:t xml:space="preserve"> </w:t>
      </w:r>
      <w:r>
        <w:rPr>
          <w:rStyle w:val="VerbatimChar"/>
        </w:rPr>
        <w:t xml:space="preserve">POST</w:t>
      </w:r>
      <w:r>
        <w:t xml:space="preserve"> </w:t>
      </w:r>
      <w:r>
        <w:t xml:space="preserve">safe to retry, clients send an</w:t>
      </w:r>
      <w:r>
        <w:t xml:space="preserve"> </w:t>
      </w:r>
      <w:r>
        <w:rPr>
          <w:bCs/>
          <w:b/>
        </w:rPr>
        <w:t xml:space="preserve">idempotency key</w:t>
      </w:r>
      <w:r>
        <w:t xml:space="preserve"> </w:t>
      </w:r>
      <w:r>
        <w:t xml:space="preserve">header (for example a UUID per logical operation); the server stores the key with the result and returns the stored result for duplicates. Chapter 22 (§22.15) covers the full design.</w:t>
      </w:r>
    </w:p>
    <w:bookmarkEnd w:id="858"/>
    <w:bookmarkStart w:id="859" w:name="status-codes"/>
    <w:p>
      <w:pPr>
        <w:pStyle w:val="Heading3"/>
      </w:pPr>
      <w:r>
        <w:t xml:space="preserve">8.6.4 Status codes</w:t>
      </w:r>
    </w:p>
    <w:p>
      <w:pPr>
        <w:pStyle w:val="FirstParagraph"/>
      </w:pPr>
      <w:r>
        <w:t xml:space="preserve">Status codes are part of the uniform interface: a load balancer, a retry library or a monitoring system can act on</w:t>
      </w:r>
      <w:r>
        <w:t xml:space="preserve"> </w:t>
      </w:r>
      <w:r>
        <w:rPr>
          <w:rStyle w:val="VerbatimChar"/>
        </w:rPr>
        <w:t xml:space="preserve">503</w:t>
      </w:r>
      <w:r>
        <w:t xml:space="preserve"> </w:t>
      </w:r>
      <w:r>
        <w:t xml:space="preserve">without understanding your JSON.</w:t>
      </w:r>
    </w:p>
    <w:p>
      <w:pPr>
        <w:pStyle w:val="BodyText"/>
      </w:pPr>
      <w:r>
        <w:rPr>
          <w:bCs/>
          <w:b/>
        </w:rPr>
        <w:t xml:space="preserve">Table 8.7 — Status codes every API designer uses [RFC 9110 unless noted].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Code</w:t>
            </w:r>
          </w:p>
        </w:tc>
        <w:tc>
          <w:tcPr/>
          <w:p>
            <w:pPr>
              <w:pStyle w:val="Compact"/>
              <w:jc w:val="left"/>
            </w:pPr>
            <w:r>
              <w:t xml:space="preserve">Meaning</w:t>
            </w:r>
          </w:p>
        </w:tc>
        <w:tc>
          <w:tcPr/>
          <w:p>
            <w:pPr>
              <w:pStyle w:val="Compact"/>
              <w:jc w:val="left"/>
            </w:pPr>
            <w:r>
              <w:t xml:space="preserve">Use it when</w:t>
            </w:r>
          </w:p>
        </w:tc>
        <w:tc>
          <w:tcPr/>
          <w:p>
            <w:pPr>
              <w:pStyle w:val="Compact"/>
              <w:jc w:val="left"/>
            </w:pPr>
            <w:r>
              <w:t xml:space="preserve">Client should</w:t>
            </w:r>
          </w:p>
        </w:tc>
      </w:tr>
      <w:tr>
        <w:tc>
          <w:tcPr/>
          <w:p>
            <w:pPr>
              <w:pStyle w:val="Compact"/>
              <w:jc w:val="left"/>
            </w:pPr>
            <w:r>
              <w:t xml:space="preserve">200 OK</w:t>
            </w:r>
          </w:p>
        </w:tc>
        <w:tc>
          <w:tcPr/>
          <w:p>
            <w:pPr>
              <w:pStyle w:val="Compact"/>
              <w:jc w:val="left"/>
            </w:pPr>
            <w:r>
              <w:t xml:space="preserve">Success with body</w:t>
            </w:r>
          </w:p>
        </w:tc>
        <w:tc>
          <w:tcPr/>
          <w:p>
            <w:pPr>
              <w:pStyle w:val="Compact"/>
              <w:jc w:val="left"/>
            </w:pPr>
            <w:r>
              <w:t xml:space="preserve">Successful</w:t>
            </w:r>
            <w:r>
              <w:t xml:space="preserve"> </w:t>
            </w:r>
            <w:r>
              <w:rPr>
                <w:rStyle w:val="VerbatimChar"/>
              </w:rPr>
              <w:t xml:space="preserve">GET</w:t>
            </w:r>
            <w:r>
              <w:t xml:space="preserve">,</w:t>
            </w:r>
            <w:r>
              <w:t xml:space="preserve"> </w:t>
            </w:r>
            <w:r>
              <w:rPr>
                <w:rStyle w:val="VerbatimChar"/>
              </w:rPr>
              <w:t xml:space="preserve">PUT</w:t>
            </w:r>
            <w:r>
              <w:t xml:space="preserve">,</w:t>
            </w:r>
            <w:r>
              <w:t xml:space="preserve"> </w:t>
            </w:r>
            <w:r>
              <w:rPr>
                <w:rStyle w:val="VerbatimChar"/>
              </w:rPr>
              <w:t xml:space="preserve">PATCH</w:t>
            </w:r>
          </w:p>
        </w:tc>
        <w:tc>
          <w:tcPr/>
          <w:p>
            <w:pPr>
              <w:pStyle w:val="Compact"/>
              <w:jc w:val="left"/>
            </w:pPr>
            <w:r>
              <w:t xml:space="preserve">Use the body</w:t>
            </w:r>
          </w:p>
        </w:tc>
      </w:tr>
      <w:tr>
        <w:tc>
          <w:tcPr/>
          <w:p>
            <w:pPr>
              <w:pStyle w:val="Compact"/>
              <w:jc w:val="left"/>
            </w:pPr>
            <w:r>
              <w:t xml:space="preserve">201 Created</w:t>
            </w:r>
          </w:p>
        </w:tc>
        <w:tc>
          <w:tcPr/>
          <w:p>
            <w:pPr>
              <w:pStyle w:val="Compact"/>
              <w:jc w:val="left"/>
            </w:pPr>
            <w:r>
              <w:t xml:space="preserve">New resource created</w:t>
            </w:r>
          </w:p>
        </w:tc>
        <w:tc>
          <w:tcPr/>
          <w:p>
            <w:pPr>
              <w:pStyle w:val="Compact"/>
              <w:jc w:val="left"/>
            </w:pPr>
            <w:r>
              <w:rPr>
                <w:rStyle w:val="VerbatimChar"/>
              </w:rPr>
              <w:t xml:space="preserve">POST</w:t>
            </w:r>
            <w:r>
              <w:t xml:space="preserve"> </w:t>
            </w:r>
            <w:r>
              <w:t xml:space="preserve">created something; include</w:t>
            </w:r>
            <w:r>
              <w:t xml:space="preserve"> </w:t>
            </w:r>
            <w:r>
              <w:rPr>
                <w:rStyle w:val="VerbatimChar"/>
              </w:rPr>
              <w:t xml:space="preserve">Location</w:t>
            </w:r>
            <w:r>
              <w:t xml:space="preserve"> </w:t>
            </w:r>
            <w:r>
              <w:t xml:space="preserve">header</w:t>
            </w:r>
          </w:p>
        </w:tc>
        <w:tc>
          <w:tcPr/>
          <w:p>
            <w:pPr>
              <w:pStyle w:val="Compact"/>
              <w:jc w:val="left"/>
            </w:pPr>
            <w:r>
              <w:t xml:space="preserve">Follow</w:t>
            </w:r>
            <w:r>
              <w:t xml:space="preserve"> </w:t>
            </w:r>
            <w:r>
              <w:rPr>
                <w:rStyle w:val="VerbatimChar"/>
              </w:rPr>
              <w:t xml:space="preserve">Location</w:t>
            </w:r>
          </w:p>
        </w:tc>
      </w:tr>
      <w:tr>
        <w:tc>
          <w:tcPr/>
          <w:p>
            <w:pPr>
              <w:pStyle w:val="Compact"/>
              <w:jc w:val="left"/>
            </w:pPr>
            <w:r>
              <w:t xml:space="preserve">202 Accepted</w:t>
            </w:r>
          </w:p>
        </w:tc>
        <w:tc>
          <w:tcPr/>
          <w:p>
            <w:pPr>
              <w:pStyle w:val="Compact"/>
              <w:jc w:val="left"/>
            </w:pPr>
            <w:r>
              <w:t xml:space="preserve">Queued for asynchronous processing</w:t>
            </w:r>
          </w:p>
        </w:tc>
        <w:tc>
          <w:tcPr/>
          <w:p>
            <w:pPr>
              <w:pStyle w:val="Compact"/>
              <w:jc w:val="left"/>
            </w:pPr>
            <w:r>
              <w:t xml:space="preserve">Long jobs; return a status URL</w:t>
            </w:r>
          </w:p>
        </w:tc>
        <w:tc>
          <w:tcPr/>
          <w:p>
            <w:pPr>
              <w:pStyle w:val="Compact"/>
              <w:jc w:val="left"/>
            </w:pPr>
            <w:r>
              <w:t xml:space="preserve">Poll the status resource</w:t>
            </w:r>
          </w:p>
        </w:tc>
      </w:tr>
      <w:tr>
        <w:tc>
          <w:tcPr/>
          <w:p>
            <w:pPr>
              <w:pStyle w:val="Compact"/>
              <w:jc w:val="left"/>
            </w:pPr>
            <w:r>
              <w:t xml:space="preserve">204 No Content</w:t>
            </w:r>
          </w:p>
        </w:tc>
        <w:tc>
          <w:tcPr/>
          <w:p>
            <w:pPr>
              <w:pStyle w:val="Compact"/>
              <w:jc w:val="left"/>
            </w:pPr>
            <w:r>
              <w:t xml:space="preserve">Success, no body</w:t>
            </w:r>
          </w:p>
        </w:tc>
        <w:tc>
          <w:tcPr/>
          <w:p>
            <w:pPr>
              <w:pStyle w:val="Compact"/>
              <w:jc w:val="left"/>
            </w:pPr>
            <w:r>
              <w:rPr>
                <w:rStyle w:val="VerbatimChar"/>
              </w:rPr>
              <w:t xml:space="preserve">DELETE</w:t>
            </w:r>
            <w:r>
              <w:t xml:space="preserve">, or update returning nothing</w:t>
            </w:r>
          </w:p>
        </w:tc>
        <w:tc>
          <w:tcPr/>
          <w:p>
            <w:pPr>
              <w:pStyle w:val="Compact"/>
              <w:jc w:val="left"/>
            </w:pPr>
            <w:r>
              <w:t xml:space="preserve">Nothing</w:t>
            </w:r>
          </w:p>
        </w:tc>
      </w:tr>
      <w:tr>
        <w:tc>
          <w:tcPr/>
          <w:p>
            <w:pPr>
              <w:pStyle w:val="Compact"/>
              <w:jc w:val="left"/>
            </w:pPr>
            <w:r>
              <w:t xml:space="preserve">301 / 308</w:t>
            </w:r>
          </w:p>
        </w:tc>
        <w:tc>
          <w:tcPr/>
          <w:p>
            <w:pPr>
              <w:pStyle w:val="Compact"/>
              <w:jc w:val="left"/>
            </w:pPr>
            <w:r>
              <w:t xml:space="preserve">Moved permanently</w:t>
            </w:r>
          </w:p>
        </w:tc>
        <w:tc>
          <w:tcPr/>
          <w:p>
            <w:pPr>
              <w:pStyle w:val="Compact"/>
              <w:jc w:val="left"/>
            </w:pPr>
            <w:r>
              <w:t xml:space="preserve">Resource has a new URI (308 preserves the method)</w:t>
            </w:r>
          </w:p>
        </w:tc>
        <w:tc>
          <w:tcPr/>
          <w:p>
            <w:pPr>
              <w:pStyle w:val="Compact"/>
              <w:jc w:val="left"/>
            </w:pPr>
            <w:r>
              <w:t xml:space="preserve">Update bookmarks</w:t>
            </w:r>
          </w:p>
        </w:tc>
      </w:tr>
      <w:tr>
        <w:tc>
          <w:tcPr/>
          <w:p>
            <w:pPr>
              <w:pStyle w:val="Compact"/>
              <w:jc w:val="left"/>
            </w:pPr>
            <w:r>
              <w:t xml:space="preserve">304 Not Modified</w:t>
            </w:r>
          </w:p>
        </w:tc>
        <w:tc>
          <w:tcPr/>
          <w:p>
            <w:pPr>
              <w:pStyle w:val="Compact"/>
              <w:jc w:val="left"/>
            </w:pPr>
            <w:r>
              <w:t xml:space="preserve">Cached copy still valid</w:t>
            </w:r>
          </w:p>
        </w:tc>
        <w:tc>
          <w:tcPr/>
          <w:p>
            <w:pPr>
              <w:pStyle w:val="Compact"/>
              <w:jc w:val="left"/>
            </w:pPr>
            <w:r>
              <w:t xml:space="preserve">Conditional</w:t>
            </w:r>
            <w:r>
              <w:t xml:space="preserve"> </w:t>
            </w:r>
            <w:r>
              <w:rPr>
                <w:rStyle w:val="VerbatimChar"/>
              </w:rPr>
              <w:t xml:space="preserve">GET</w:t>
            </w:r>
            <w:r>
              <w:t xml:space="preserve"> </w:t>
            </w:r>
            <w:r>
              <w:t xml:space="preserve">with</w:t>
            </w:r>
            <w:r>
              <w:t xml:space="preserve"> </w:t>
            </w:r>
            <w:r>
              <w:rPr>
                <w:rStyle w:val="VerbatimChar"/>
              </w:rPr>
              <w:t xml:space="preserve">If-None-Match</w:t>
            </w:r>
            <w:r>
              <w:t xml:space="preserve"> </w:t>
            </w:r>
            <w:r>
              <w:t xml:space="preserve">matched the</w:t>
            </w:r>
            <w:r>
              <w:t xml:space="preserve"> </w:t>
            </w:r>
            <w:r>
              <w:rPr>
                <w:rStyle w:val="VerbatimChar"/>
              </w:rPr>
              <w:t xml:space="preserve">ETag</w:t>
            </w:r>
          </w:p>
        </w:tc>
        <w:tc>
          <w:tcPr/>
          <w:p>
            <w:pPr>
              <w:pStyle w:val="Compact"/>
              <w:jc w:val="left"/>
            </w:pPr>
            <w:r>
              <w:t xml:space="preserve">Use cached copy</w:t>
            </w:r>
          </w:p>
        </w:tc>
      </w:tr>
      <w:tr>
        <w:tc>
          <w:tcPr/>
          <w:p>
            <w:pPr>
              <w:pStyle w:val="Compact"/>
              <w:jc w:val="left"/>
            </w:pPr>
            <w:r>
              <w:t xml:space="preserve">400 Bad Request</w:t>
            </w:r>
          </w:p>
        </w:tc>
        <w:tc>
          <w:tcPr/>
          <w:p>
            <w:pPr>
              <w:pStyle w:val="Compact"/>
              <w:jc w:val="left"/>
            </w:pPr>
            <w:r>
              <w:t xml:space="preserve">Malformed request</w:t>
            </w:r>
          </w:p>
        </w:tc>
        <w:tc>
          <w:tcPr/>
          <w:p>
            <w:pPr>
              <w:pStyle w:val="Compact"/>
              <w:jc w:val="left"/>
            </w:pPr>
            <w:r>
              <w:t xml:space="preserve">Unparseable JSON, invalid parameter syntax</w:t>
            </w:r>
          </w:p>
        </w:tc>
        <w:tc>
          <w:tcPr/>
          <w:p>
            <w:pPr>
              <w:pStyle w:val="Compact"/>
              <w:jc w:val="left"/>
            </w:pPr>
            <w:r>
              <w:t xml:space="preserve">Fix the request; do not retry as is</w:t>
            </w:r>
          </w:p>
        </w:tc>
      </w:tr>
      <w:tr>
        <w:tc>
          <w:tcPr/>
          <w:p>
            <w:pPr>
              <w:pStyle w:val="Compact"/>
              <w:jc w:val="left"/>
            </w:pPr>
            <w:r>
              <w:t xml:space="preserve">401 Unauthorized</w:t>
            </w:r>
          </w:p>
        </w:tc>
        <w:tc>
          <w:tcPr/>
          <w:p>
            <w:pPr>
              <w:pStyle w:val="Compact"/>
              <w:jc w:val="left"/>
            </w:pPr>
            <w:r>
              <w:t xml:space="preserve">Not authenticated</w:t>
            </w:r>
          </w:p>
        </w:tc>
        <w:tc>
          <w:tcPr/>
          <w:p>
            <w:pPr>
              <w:pStyle w:val="Compact"/>
              <w:jc w:val="left"/>
            </w:pPr>
            <w:r>
              <w:t xml:space="preserve">Missing, expired or invalid credentials; send</w:t>
            </w:r>
            <w:r>
              <w:t xml:space="preserve"> </w:t>
            </w:r>
            <w:r>
              <w:rPr>
                <w:rStyle w:val="VerbatimChar"/>
              </w:rPr>
              <w:t xml:space="preserve">WWW-Authenticate</w:t>
            </w:r>
          </w:p>
        </w:tc>
        <w:tc>
          <w:tcPr/>
          <w:p>
            <w:pPr>
              <w:pStyle w:val="Compact"/>
              <w:jc w:val="left"/>
            </w:pPr>
            <w:r>
              <w:t xml:space="preserve">Authenticate, then retry</w:t>
            </w:r>
          </w:p>
        </w:tc>
      </w:tr>
      <w:tr>
        <w:tc>
          <w:tcPr/>
          <w:p>
            <w:pPr>
              <w:pStyle w:val="Compact"/>
              <w:jc w:val="left"/>
            </w:pPr>
            <w:r>
              <w:t xml:space="preserve">403 Forbidden</w:t>
            </w:r>
          </w:p>
        </w:tc>
        <w:tc>
          <w:tcPr/>
          <w:p>
            <w:pPr>
              <w:pStyle w:val="Compact"/>
              <w:jc w:val="left"/>
            </w:pPr>
            <w:r>
              <w:t xml:space="preserve">Authenticated but not allowed</w:t>
            </w:r>
          </w:p>
        </w:tc>
        <w:tc>
          <w:tcPr/>
          <w:p>
            <w:pPr>
              <w:pStyle w:val="Compact"/>
              <w:jc w:val="left"/>
            </w:pPr>
            <w:r>
              <w:t xml:space="preserve">Lacks permission or scope</w:t>
            </w:r>
          </w:p>
        </w:tc>
        <w:tc>
          <w:tcPr/>
          <w:p>
            <w:pPr>
              <w:pStyle w:val="Compact"/>
              <w:jc w:val="left"/>
            </w:pPr>
            <w:r>
              <w:t xml:space="preserve">Do not retry</w:t>
            </w:r>
          </w:p>
        </w:tc>
      </w:tr>
      <w:tr>
        <w:tc>
          <w:tcPr/>
          <w:p>
            <w:pPr>
              <w:pStyle w:val="Compact"/>
              <w:jc w:val="left"/>
            </w:pPr>
            <w:r>
              <w:t xml:space="preserve">404 Not Found</w:t>
            </w:r>
          </w:p>
        </w:tc>
        <w:tc>
          <w:tcPr/>
          <w:p>
            <w:pPr>
              <w:pStyle w:val="Compact"/>
              <w:jc w:val="left"/>
            </w:pPr>
            <w:r>
              <w:t xml:space="preserve">No such resource (or hidden from you)</w:t>
            </w:r>
          </w:p>
        </w:tc>
        <w:tc>
          <w:tcPr/>
          <w:p>
            <w:pPr>
              <w:pStyle w:val="Compact"/>
              <w:jc w:val="left"/>
            </w:pPr>
            <w:r>
              <w:t xml:space="preserve">Unknown ID; also to avoid revealing existence</w:t>
            </w:r>
          </w:p>
        </w:tc>
        <w:tc>
          <w:tcPr/>
          <w:p>
            <w:pPr>
              <w:pStyle w:val="Compact"/>
              <w:jc w:val="left"/>
            </w:pPr>
            <w:r>
              <w:t xml:space="preserve">Do not retry</w:t>
            </w:r>
          </w:p>
        </w:tc>
      </w:tr>
      <w:tr>
        <w:tc>
          <w:tcPr/>
          <w:p>
            <w:pPr>
              <w:pStyle w:val="Compact"/>
              <w:jc w:val="left"/>
            </w:pPr>
            <w:r>
              <w:t xml:space="preserve">409 Conflict</w:t>
            </w:r>
          </w:p>
        </w:tc>
        <w:tc>
          <w:tcPr/>
          <w:p>
            <w:pPr>
              <w:pStyle w:val="Compact"/>
              <w:jc w:val="left"/>
            </w:pPr>
            <w:r>
              <w:t xml:space="preserve">Conflicts with current state</w:t>
            </w:r>
          </w:p>
        </w:tc>
        <w:tc>
          <w:tcPr/>
          <w:p>
            <w:pPr>
              <w:pStyle w:val="Compact"/>
              <w:jc w:val="left"/>
            </w:pPr>
            <w:r>
              <w:t xml:space="preserve">Duplicate unique key; version conflict</w:t>
            </w:r>
          </w:p>
        </w:tc>
        <w:tc>
          <w:tcPr/>
          <w:p>
            <w:pPr>
              <w:pStyle w:val="Compact"/>
              <w:jc w:val="left"/>
            </w:pPr>
            <w:r>
              <w:t xml:space="preserve">Re-read, resolve, retry</w:t>
            </w:r>
          </w:p>
        </w:tc>
      </w:tr>
      <w:tr>
        <w:tc>
          <w:tcPr/>
          <w:p>
            <w:pPr>
              <w:pStyle w:val="Compact"/>
              <w:jc w:val="left"/>
            </w:pPr>
            <w:r>
              <w:t xml:space="preserve">412 Precondition Failed</w:t>
            </w:r>
          </w:p>
        </w:tc>
        <w:tc>
          <w:tcPr/>
          <w:p>
            <w:pPr>
              <w:pStyle w:val="Compact"/>
              <w:jc w:val="left"/>
            </w:pPr>
            <w:r>
              <w:rPr>
                <w:rStyle w:val="VerbatimChar"/>
              </w:rPr>
              <w:t xml:space="preserve">If-Match</w:t>
            </w:r>
            <w:r>
              <w:t xml:space="preserve"> </w:t>
            </w:r>
            <w:r>
              <w:t xml:space="preserve">ETag did not match</w:t>
            </w:r>
          </w:p>
        </w:tc>
        <w:tc>
          <w:tcPr/>
          <w:p>
            <w:pPr>
              <w:pStyle w:val="Compact"/>
              <w:jc w:val="left"/>
            </w:pPr>
            <w:r>
              <w:t xml:space="preserve">Optimistic concurrency failure</w:t>
            </w:r>
          </w:p>
        </w:tc>
        <w:tc>
          <w:tcPr/>
          <w:p>
            <w:pPr>
              <w:pStyle w:val="Compact"/>
              <w:jc w:val="left"/>
            </w:pPr>
            <w:r>
              <w:t xml:space="preserve">Re-read and retry</w:t>
            </w:r>
          </w:p>
        </w:tc>
      </w:tr>
      <w:tr>
        <w:tc>
          <w:tcPr/>
          <w:p>
            <w:pPr>
              <w:pStyle w:val="Compact"/>
              <w:jc w:val="left"/>
            </w:pPr>
            <w:r>
              <w:t xml:space="preserve">422 Unprocessable Content</w:t>
            </w:r>
          </w:p>
        </w:tc>
        <w:tc>
          <w:tcPr/>
          <w:p>
            <w:pPr>
              <w:pStyle w:val="Compact"/>
              <w:jc w:val="left"/>
            </w:pPr>
            <w:r>
              <w:t xml:space="preserve">Well-formed but semantically invalid</w:t>
            </w:r>
          </w:p>
        </w:tc>
        <w:tc>
          <w:tcPr/>
          <w:p>
            <w:pPr>
              <w:pStyle w:val="Compact"/>
              <w:jc w:val="left"/>
            </w:pPr>
            <w:r>
              <w:t xml:space="preserve">Validation errors (end date before start date)</w:t>
            </w:r>
          </w:p>
        </w:tc>
        <w:tc>
          <w:tcPr/>
          <w:p>
            <w:pPr>
              <w:pStyle w:val="Compact"/>
              <w:jc w:val="left"/>
            </w:pPr>
            <w:r>
              <w:t xml:space="preserve">Fix input</w:t>
            </w:r>
          </w:p>
        </w:tc>
      </w:tr>
      <w:tr>
        <w:tc>
          <w:tcPr/>
          <w:p>
            <w:pPr>
              <w:pStyle w:val="Compact"/>
              <w:jc w:val="left"/>
            </w:pPr>
            <w:r>
              <w:t xml:space="preserve">429 Too Many Requests [RFC 6585]</w:t>
            </w:r>
          </w:p>
        </w:tc>
        <w:tc>
          <w:tcPr/>
          <w:p>
            <w:pPr>
              <w:pStyle w:val="Compact"/>
              <w:jc w:val="left"/>
            </w:pPr>
            <w:r>
              <w:t xml:space="preserve">Rate limited</w:t>
            </w:r>
          </w:p>
        </w:tc>
        <w:tc>
          <w:tcPr/>
          <w:p>
            <w:pPr>
              <w:pStyle w:val="Compact"/>
              <w:jc w:val="left"/>
            </w:pPr>
            <w:r>
              <w:t xml:space="preserve">Client exceeded quota; send</w:t>
            </w:r>
            <w:r>
              <w:t xml:space="preserve"> </w:t>
            </w:r>
            <w:r>
              <w:rPr>
                <w:rStyle w:val="VerbatimChar"/>
              </w:rPr>
              <w:t xml:space="preserve">Retry-After</w:t>
            </w:r>
          </w:p>
        </w:tc>
        <w:tc>
          <w:tcPr/>
          <w:p>
            <w:pPr>
              <w:pStyle w:val="Compact"/>
              <w:jc w:val="left"/>
            </w:pPr>
            <w:r>
              <w:t xml:space="preserve">Back off</w:t>
            </w:r>
          </w:p>
        </w:tc>
      </w:tr>
      <w:tr>
        <w:tc>
          <w:tcPr/>
          <w:p>
            <w:pPr>
              <w:pStyle w:val="Compact"/>
              <w:jc w:val="left"/>
            </w:pPr>
            <w:r>
              <w:t xml:space="preserve">500 Internal Server Error</w:t>
            </w:r>
          </w:p>
        </w:tc>
        <w:tc>
          <w:tcPr/>
          <w:p>
            <w:pPr>
              <w:pStyle w:val="Compact"/>
              <w:jc w:val="left"/>
            </w:pPr>
            <w:r>
              <w:t xml:space="preserve">Unexpected server bug</w:t>
            </w:r>
          </w:p>
        </w:tc>
        <w:tc>
          <w:tcPr/>
          <w:p>
            <w:pPr>
              <w:pStyle w:val="Compact"/>
              <w:jc w:val="left"/>
            </w:pPr>
            <w:r>
              <w:t xml:space="preserve">Unhandled exception</w:t>
            </w:r>
          </w:p>
        </w:tc>
        <w:tc>
          <w:tcPr/>
          <w:p>
            <w:pPr>
              <w:pStyle w:val="Compact"/>
              <w:jc w:val="left"/>
            </w:pPr>
            <w:r>
              <w:t xml:space="preserve">Retry only if idempotent, with backoff</w:t>
            </w:r>
          </w:p>
        </w:tc>
      </w:tr>
      <w:tr>
        <w:tc>
          <w:tcPr/>
          <w:p>
            <w:pPr>
              <w:pStyle w:val="Compact"/>
              <w:jc w:val="left"/>
            </w:pPr>
            <w:r>
              <w:t xml:space="preserve">502 / 504</w:t>
            </w:r>
          </w:p>
        </w:tc>
        <w:tc>
          <w:tcPr/>
          <w:p>
            <w:pPr>
              <w:pStyle w:val="Compact"/>
              <w:jc w:val="left"/>
            </w:pPr>
            <w:r>
              <w:t xml:space="preserve">Bad gateway / gateway timeout</w:t>
            </w:r>
          </w:p>
        </w:tc>
        <w:tc>
          <w:tcPr/>
          <w:p>
            <w:pPr>
              <w:pStyle w:val="Compact"/>
              <w:jc w:val="left"/>
            </w:pPr>
            <w:r>
              <w:t xml:space="preserve">An upstream failed or timed out</w:t>
            </w:r>
          </w:p>
        </w:tc>
        <w:tc>
          <w:tcPr/>
          <w:p>
            <w:pPr>
              <w:pStyle w:val="Compact"/>
              <w:jc w:val="left"/>
            </w:pPr>
            <w:r>
              <w:t xml:space="preserve">Retry idempotent requests with backoff</w:t>
            </w:r>
          </w:p>
        </w:tc>
      </w:tr>
      <w:tr>
        <w:tc>
          <w:tcPr/>
          <w:p>
            <w:pPr>
              <w:pStyle w:val="Compact"/>
              <w:jc w:val="left"/>
            </w:pPr>
            <w:r>
              <w:t xml:space="preserve">503 Service Unavailable</w:t>
            </w:r>
          </w:p>
        </w:tc>
        <w:tc>
          <w:tcPr/>
          <w:p>
            <w:pPr>
              <w:pStyle w:val="Compact"/>
              <w:jc w:val="left"/>
            </w:pPr>
            <w:r>
              <w:t xml:space="preserve">Temporarily overloaded or in maintenance</w:t>
            </w:r>
          </w:p>
        </w:tc>
        <w:tc>
          <w:tcPr/>
          <w:p>
            <w:pPr>
              <w:pStyle w:val="Compact"/>
              <w:jc w:val="left"/>
            </w:pPr>
            <w:r>
              <w:t xml:space="preserve">Load shedding; send</w:t>
            </w:r>
            <w:r>
              <w:t xml:space="preserve"> </w:t>
            </w:r>
            <w:r>
              <w:rPr>
                <w:rStyle w:val="VerbatimChar"/>
              </w:rPr>
              <w:t xml:space="preserve">Retry-After</w:t>
            </w:r>
          </w:p>
        </w:tc>
        <w:tc>
          <w:tcPr/>
          <w:p>
            <w:pPr>
              <w:pStyle w:val="Compact"/>
              <w:jc w:val="left"/>
            </w:pPr>
            <w:r>
              <w:t xml:space="preserve">Back off and retry</w:t>
            </w:r>
          </w:p>
        </w:tc>
      </w:tr>
    </w:tbl>
    <w:p>
      <w:pPr>
        <w:pStyle w:val="CalloutMistake"/>
      </w:pPr>
      <w:r>
        <w:rPr>
          <w:bCs/>
          <w:b/>
        </w:rPr>
        <w:t xml:space="preserve">COMMON MISTAKE</w:t>
      </w:r>
    </w:p>
    <w:p>
      <w:pPr>
        <w:pStyle w:val="CalloutMistake"/>
      </w:pPr>
      <w:r>
        <w:rPr>
          <w:bCs/>
          <w:b/>
        </w:rPr>
        <w:t xml:space="preserve">Returning</w:t>
      </w:r>
      <w:r>
        <w:rPr>
          <w:bCs/>
          <w:b/>
        </w:rPr>
        <w:t xml:space="preserve"> </w:t>
      </w:r>
      <w:r>
        <w:rPr>
          <w:rStyle w:val="VerbatimChar"/>
          <w:bCs/>
          <w:b/>
        </w:rPr>
        <w:t xml:space="preserve">200 OK</w:t>
      </w:r>
      <w:r>
        <w:rPr>
          <w:bCs/>
          <w:b/>
        </w:rPr>
        <w:t xml:space="preserve"> </w:t>
      </w:r>
      <w:r>
        <w:rPr>
          <w:bCs/>
          <w:b/>
        </w:rPr>
        <w:t xml:space="preserve">with</w:t>
      </w:r>
      <w:r>
        <w:rPr>
          <w:bCs/>
          <w:b/>
        </w:rPr>
        <w:t xml:space="preserve"> </w:t>
      </w:r>
      <w:r>
        <w:rPr>
          <w:rStyle w:val="VerbatimChar"/>
          <w:bCs/>
          <w:b/>
        </w:rPr>
        <w:t xml:space="preserve">{"error": "..."}</w:t>
      </w:r>
      <w:r>
        <w:rPr>
          <w:bCs/>
          <w:b/>
        </w:rPr>
        <w:t xml:space="preserve"> </w:t>
      </w:r>
      <w:r>
        <w:rPr>
          <w:bCs/>
          <w:b/>
        </w:rPr>
        <w:t xml:space="preserve">in the body.</w:t>
      </w:r>
      <w:r>
        <w:t xml:space="preserve"> </w:t>
      </w:r>
      <w:r>
        <w:t xml:space="preserve">Every intermediary and monitoring tool then counts failures as successes, retries never happen, and error-rate SLOs (§39.6) silently read 100%. Use the status code for the class of outcome and the body for detail.</w:t>
      </w:r>
    </w:p>
    <w:bookmarkEnd w:id="859"/>
    <w:bookmarkStart w:id="863" w:name="pagination-offset-versus-cursor"/>
    <w:p>
      <w:pPr>
        <w:pStyle w:val="Heading3"/>
      </w:pPr>
      <w:r>
        <w:t xml:space="preserve">8.6.5 Pagination: offset versus cursor</w:t>
      </w:r>
    </w:p>
    <w:p>
      <w:pPr>
        <w:pStyle w:val="FirstParagraph"/>
      </w:pPr>
      <w:r>
        <w:t xml:space="preserve">A collection such as</w:t>
      </w:r>
      <w:r>
        <w:t xml:space="preserve"> </w:t>
      </w:r>
      <w:r>
        <w:rPr>
          <w:rStyle w:val="VerbatimChar"/>
        </w:rPr>
        <w:t xml:space="preserve">/orders</w:t>
      </w:r>
      <w:r>
        <w:t xml:space="preserve"> </w:t>
      </w:r>
      <w:r>
        <w:t xml:space="preserve">may hold millions of items. Returning all of them would take seconds, megabytes and a lot of database work, so APIs return</w:t>
      </w:r>
      <w:r>
        <w:t xml:space="preserve"> </w:t>
      </w:r>
      <w:r>
        <w:rPr>
          <w:bCs/>
          <w:b/>
        </w:rPr>
        <w:t xml:space="preserve">pages</w:t>
      </w:r>
      <w:r>
        <w:t xml:space="preserve">.</w:t>
      </w:r>
    </w:p>
    <w:bookmarkStart w:id="860" w:name="offset-pagination"/>
    <w:p>
      <w:pPr>
        <w:pStyle w:val="Heading4"/>
      </w:pPr>
      <w:r>
        <w:t xml:space="preserve">Offset pagination</w:t>
      </w:r>
    </w:p>
    <w:p>
      <w:pPr>
        <w:pStyle w:val="FirstParagraph"/>
      </w:pPr>
      <w:r>
        <w:t xml:space="preserve">The client asks for</w:t>
      </w:r>
      <w:r>
        <w:t xml:space="preserve"> </w:t>
      </w:r>
      <w:r>
        <w:rPr>
          <w:rStyle w:val="VerbatimChar"/>
        </w:rPr>
        <w:t xml:space="preserve">?limit=20&amp;offset=40</w:t>
      </w:r>
      <w:r>
        <w:t xml:space="preserve"> </w:t>
      </w:r>
      <w:r>
        <w:t xml:space="preserve">(or</w:t>
      </w:r>
      <w:r>
        <w:t xml:space="preserve"> </w:t>
      </w:r>
      <w:r>
        <w:rPr>
          <w:rStyle w:val="VerbatimChar"/>
        </w:rPr>
        <w:t xml:space="preserve">?page=3&amp;per_page=20</w:t>
      </w:r>
      <w:r>
        <w:t xml:space="preserve">). The SQL is straightforward:</w:t>
      </w:r>
    </w:p>
    <w:p>
      <w:pPr>
        <w:pStyle w:val="SourceCode"/>
      </w:pPr>
      <w:r>
        <w:rPr>
          <w:rStyle w:val="CommentTok"/>
        </w:rPr>
        <w:t xml:space="preserve">-- Page 3 of 20 items, newest first (PostgreSQL)</w:t>
      </w:r>
      <w:r>
        <w:br/>
      </w:r>
      <w:r>
        <w:rPr>
          <w:rStyle w:val="KeywordTok"/>
        </w:rPr>
        <w:t xml:space="preserve">SELECT</w:t>
      </w:r>
      <w:r>
        <w:rPr>
          <w:rStyle w:val="NormalTok"/>
        </w:rPr>
        <w:t xml:space="preserve"> </w:t>
      </w:r>
      <w:r>
        <w:rPr>
          <w:rStyle w:val="KeywordTok"/>
        </w:rPr>
        <w:t xml:space="preserve">id</w:t>
      </w:r>
      <w:r>
        <w:rPr>
          <w:rStyle w:val="NormalTok"/>
        </w:rPr>
        <w:t xml:space="preserve">, title, created_at</w:t>
      </w:r>
      <w:r>
        <w:br/>
      </w:r>
      <w:r>
        <w:rPr>
          <w:rStyle w:val="KeywordTok"/>
        </w:rPr>
        <w:t xml:space="preserve">FROM</w:t>
      </w:r>
      <w:r>
        <w:rPr>
          <w:rStyle w:val="NormalTok"/>
        </w:rPr>
        <w:t xml:space="preserve"> articles</w:t>
      </w:r>
      <w:r>
        <w:br/>
      </w:r>
      <w:r>
        <w:rPr>
          <w:rStyle w:val="KeywordTok"/>
        </w:rPr>
        <w:t xml:space="preserve">ORDER</w:t>
      </w:r>
      <w:r>
        <w:rPr>
          <w:rStyle w:val="NormalTok"/>
        </w:rPr>
        <w:t xml:space="preserve"> </w:t>
      </w:r>
      <w:r>
        <w:rPr>
          <w:rStyle w:val="KeywordTok"/>
        </w:rPr>
        <w:t xml:space="preserve">BY</w:t>
      </w:r>
      <w:r>
        <w:rPr>
          <w:rStyle w:val="NormalTok"/>
        </w:rPr>
        <w:t xml:space="preserve"> created_at </w:t>
      </w:r>
      <w:r>
        <w:rPr>
          <w:rStyle w:val="KeywordTok"/>
        </w:rPr>
        <w:t xml:space="preserve">DESC</w:t>
      </w:r>
      <w:r>
        <w:rPr>
          <w:rStyle w:val="NormalTok"/>
        </w:rPr>
        <w:t xml:space="preserve">, </w:t>
      </w:r>
      <w:r>
        <w:rPr>
          <w:rStyle w:val="KeywordTok"/>
        </w:rPr>
        <w:t xml:space="preserve">id</w:t>
      </w:r>
      <w:r>
        <w:rPr>
          <w:rStyle w:val="NormalTok"/>
        </w:rPr>
        <w:t xml:space="preserve"> </w:t>
      </w:r>
      <w:r>
        <w:rPr>
          <w:rStyle w:val="KeywordTok"/>
        </w:rPr>
        <w:t xml:space="preserve">DESC</w:t>
      </w:r>
      <w:r>
        <w:br/>
      </w:r>
      <w:r>
        <w:rPr>
          <w:rStyle w:val="KeywordTok"/>
        </w:rPr>
        <w:t xml:space="preserve">LIMIT</w:t>
      </w:r>
      <w:r>
        <w:rPr>
          <w:rStyle w:val="NormalTok"/>
        </w:rPr>
        <w:t xml:space="preserve"> </w:t>
      </w:r>
      <w:r>
        <w:rPr>
          <w:rStyle w:val="DecValTok"/>
        </w:rPr>
        <w:t xml:space="preserve">20</w:t>
      </w:r>
      <w:r>
        <w:rPr>
          <w:rStyle w:val="NormalTok"/>
        </w:rPr>
        <w:t xml:space="preserve"> OFFSET </w:t>
      </w:r>
      <w:r>
        <w:rPr>
          <w:rStyle w:val="DecValTok"/>
        </w:rPr>
        <w:t xml:space="preserve">40</w:t>
      </w:r>
      <w:r>
        <w:rPr>
          <w:rStyle w:val="NormalTok"/>
        </w:rPr>
        <w:t xml:space="preserve">;</w:t>
      </w:r>
    </w:p>
    <w:p>
      <w:pPr>
        <w:pStyle w:val="FirstParagraph"/>
      </w:pPr>
      <w:r>
        <w:t xml:space="preserve">It is simple and supports</w:t>
      </w:r>
      <w:r>
        <w:t xml:space="preserve"> </w:t>
      </w:r>
      <w:r>
        <w:t xml:space="preserve">“</w:t>
      </w:r>
      <w:r>
        <w:t xml:space="preserve">jump to page 37</w:t>
      </w:r>
      <w:r>
        <w:t xml:space="preserve">”</w:t>
      </w:r>
      <w:r>
        <w:t xml:space="preserve">. It has two serious problems:</w:t>
      </w:r>
    </w:p>
    <w:p>
      <w:pPr>
        <w:numPr>
          <w:ilvl w:val="0"/>
          <w:numId w:val="1263"/>
        </w:numPr>
        <w:pStyle w:val="Compact"/>
      </w:pPr>
      <w:r>
        <w:rPr>
          <w:bCs/>
          <w:b/>
        </w:rPr>
        <w:t xml:space="preserve">Cost grows with depth.</w:t>
      </w:r>
      <w:r>
        <w:t xml:space="preserve"> </w:t>
      </w:r>
      <w:r>
        <w:t xml:space="preserve">The database cannot jump to row 40; it must produce and discard the first 40 rows in sorted order, then return 20. Deep pages read</w:t>
      </w:r>
      <w:r>
        <w:t xml:space="preserve"> </w:t>
      </w:r>
      <m:oMath>
        <m:r>
          <m:rPr>
            <m:nor/>
            <m:sty m:val="p"/>
          </m:rPr>
          <m:t>offset</m:t>
        </m:r>
        <m:r>
          <m:rPr>
            <m:sty m:val="p"/>
          </m:rPr>
          <m:t>+</m:t>
        </m:r>
        <m:r>
          <m:rPr>
            <m:nor/>
            <m:sty m:val="p"/>
          </m:rPr>
          <m:t>limit</m:t>
        </m:r>
      </m:oMath>
      <w:r>
        <w:t xml:space="preserve"> </w:t>
      </w:r>
      <w:r>
        <w:t xml:space="preserve">rows.</w:t>
      </w:r>
    </w:p>
    <w:p>
      <w:pPr>
        <w:numPr>
          <w:ilvl w:val="0"/>
          <w:numId w:val="1263"/>
        </w:numPr>
        <w:pStyle w:val="Compact"/>
      </w:pPr>
      <w:r>
        <w:rPr>
          <w:bCs/>
          <w:b/>
        </w:rPr>
        <w:t xml:space="preserve">Results shift under concurrent writes.</w:t>
      </w:r>
      <w:r>
        <w:t xml:space="preserve"> </w:t>
      </w:r>
      <w:r>
        <w:t xml:space="preserve">If a new article is inserted while the user reads page 1, every item moves down one place: the last item of page 1 appears again at the top of page 2. Deletions cause items to be skipped silently.</w:t>
      </w:r>
    </w:p>
    <w:bookmarkEnd w:id="860"/>
    <w:bookmarkStart w:id="861" w:name="cursor-keyset-pagination"/>
    <w:p>
      <w:pPr>
        <w:pStyle w:val="Heading4"/>
      </w:pPr>
      <w:r>
        <w:t xml:space="preserve">Cursor (keyset) pagination</w:t>
      </w:r>
    </w:p>
    <w:p>
      <w:pPr>
        <w:pStyle w:val="FirstParagraph"/>
      </w:pPr>
      <w:r>
        <w:t xml:space="preserve">Instead of</w:t>
      </w:r>
      <w:r>
        <w:t xml:space="preserve"> </w:t>
      </w:r>
      <w:r>
        <w:t xml:space="preserve">“</w:t>
      </w:r>
      <w:r>
        <w:t xml:space="preserve">skip N rows</w:t>
      </w:r>
      <w:r>
        <w:t xml:space="preserve">”</w:t>
      </w:r>
      <w:r>
        <w:t xml:space="preserve">, the client says</w:t>
      </w:r>
      <w:r>
        <w:t xml:space="preserve"> </w:t>
      </w:r>
      <w:r>
        <w:t xml:space="preserve">“</w:t>
      </w:r>
      <w:r>
        <w:t xml:space="preserve">give me rows</w:t>
      </w:r>
      <w:r>
        <w:t xml:space="preserve"> </w:t>
      </w:r>
      <w:r>
        <w:rPr>
          <w:iCs/>
          <w:i/>
        </w:rPr>
        <w:t xml:space="preserve">after this one</w:t>
      </w:r>
      <w:r>
        <w:t xml:space="preserve">”</w:t>
      </w:r>
      <w:r>
        <w:t xml:space="preserve">. The server returns an opaque</w:t>
      </w:r>
      <w:r>
        <w:t xml:space="preserve"> </w:t>
      </w:r>
      <w:r>
        <w:rPr>
          <w:bCs/>
          <w:b/>
        </w:rPr>
        <w:t xml:space="preserve">cursor</w:t>
      </w:r>
      <w:r>
        <w:t xml:space="preserve"> </w:t>
      </w:r>
      <w:r>
        <w:t xml:space="preserve">encoding the sort key of the last row it sent; the next query uses it in a</w:t>
      </w:r>
      <w:r>
        <w:t xml:space="preserve"> </w:t>
      </w:r>
      <w:r>
        <w:rPr>
          <w:rStyle w:val="VerbatimChar"/>
        </w:rPr>
        <w:t xml:space="preserve">WHERE</w:t>
      </w:r>
      <w:r>
        <w:t xml:space="preserve"> </w:t>
      </w:r>
      <w:r>
        <w:t xml:space="preserve">clause that an index can seek to directly.</w:t>
      </w:r>
    </w:p>
    <w:p>
      <w:pPr>
        <w:pStyle w:val="SourceCode"/>
      </w:pPr>
      <w:r>
        <w:rPr>
          <w:rStyle w:val="CommentTok"/>
        </w:rPr>
        <w:t xml:space="preserve">-- Supporting index: the sort order, with id as a unique tie-breaker</w:t>
      </w:r>
      <w:r>
        <w:br/>
      </w:r>
      <w:r>
        <w:rPr>
          <w:rStyle w:val="KeywordTok"/>
        </w:rPr>
        <w:t xml:space="preserve">CREATE</w:t>
      </w:r>
      <w:r>
        <w:rPr>
          <w:rStyle w:val="NormalTok"/>
        </w:rPr>
        <w:t xml:space="preserve"> </w:t>
      </w:r>
      <w:r>
        <w:rPr>
          <w:rStyle w:val="KeywordTok"/>
        </w:rPr>
        <w:t xml:space="preserve">INDEX</w:t>
      </w:r>
      <w:r>
        <w:rPr>
          <w:rStyle w:val="NormalTok"/>
        </w:rPr>
        <w:t xml:space="preserve"> idx_articles_created_id </w:t>
      </w:r>
      <w:r>
        <w:rPr>
          <w:rStyle w:val="KeywordTok"/>
        </w:rPr>
        <w:t xml:space="preserve">ON</w:t>
      </w:r>
      <w:r>
        <w:rPr>
          <w:rStyle w:val="NormalTok"/>
        </w:rPr>
        <w:t xml:space="preserve"> articles (created_at </w:t>
      </w:r>
      <w:r>
        <w:rPr>
          <w:rStyle w:val="KeywordTok"/>
        </w:rPr>
        <w:t xml:space="preserve">DESC</w:t>
      </w:r>
      <w:r>
        <w:rPr>
          <w:rStyle w:val="NormalTok"/>
        </w:rPr>
        <w:t xml:space="preserve">, </w:t>
      </w:r>
      <w:r>
        <w:rPr>
          <w:rStyle w:val="KeywordTok"/>
        </w:rPr>
        <w:t xml:space="preserve">id</w:t>
      </w:r>
      <w:r>
        <w:rPr>
          <w:rStyle w:val="NormalTok"/>
        </w:rPr>
        <w:t xml:space="preserve"> </w:t>
      </w:r>
      <w:r>
        <w:rPr>
          <w:rStyle w:val="KeywordTok"/>
        </w:rPr>
        <w:t xml:space="preserve">DESC</w:t>
      </w:r>
      <w:r>
        <w:rPr>
          <w:rStyle w:val="NormalTok"/>
        </w:rPr>
        <w:t xml:space="preserve">);</w:t>
      </w:r>
      <w:r>
        <w:br/>
      </w:r>
      <w:r>
        <w:br/>
      </w:r>
      <w:r>
        <w:rPr>
          <w:rStyle w:val="CommentTok"/>
        </w:rPr>
        <w:t xml:space="preserve">-- First page</w:t>
      </w:r>
      <w:r>
        <w:br/>
      </w:r>
      <w:r>
        <w:rPr>
          <w:rStyle w:val="KeywordTok"/>
        </w:rPr>
        <w:t xml:space="preserve">SELECT</w:t>
      </w:r>
      <w:r>
        <w:rPr>
          <w:rStyle w:val="NormalTok"/>
        </w:rPr>
        <w:t xml:space="preserve"> </w:t>
      </w:r>
      <w:r>
        <w:rPr>
          <w:rStyle w:val="KeywordTok"/>
        </w:rPr>
        <w:t xml:space="preserve">id</w:t>
      </w:r>
      <w:r>
        <w:rPr>
          <w:rStyle w:val="NormalTok"/>
        </w:rPr>
        <w:t xml:space="preserve">, title, created_at</w:t>
      </w:r>
      <w:r>
        <w:br/>
      </w:r>
      <w:r>
        <w:rPr>
          <w:rStyle w:val="KeywordTok"/>
        </w:rPr>
        <w:t xml:space="preserve">FROM</w:t>
      </w:r>
      <w:r>
        <w:rPr>
          <w:rStyle w:val="NormalTok"/>
        </w:rPr>
        <w:t xml:space="preserve"> articles</w:t>
      </w:r>
      <w:r>
        <w:br/>
      </w:r>
      <w:r>
        <w:rPr>
          <w:rStyle w:val="KeywordTok"/>
        </w:rPr>
        <w:t xml:space="preserve">ORDER</w:t>
      </w:r>
      <w:r>
        <w:rPr>
          <w:rStyle w:val="NormalTok"/>
        </w:rPr>
        <w:t xml:space="preserve"> </w:t>
      </w:r>
      <w:r>
        <w:rPr>
          <w:rStyle w:val="KeywordTok"/>
        </w:rPr>
        <w:t xml:space="preserve">BY</w:t>
      </w:r>
      <w:r>
        <w:rPr>
          <w:rStyle w:val="NormalTok"/>
        </w:rPr>
        <w:t xml:space="preserve"> created_at </w:t>
      </w:r>
      <w:r>
        <w:rPr>
          <w:rStyle w:val="KeywordTok"/>
        </w:rPr>
        <w:t xml:space="preserve">DESC</w:t>
      </w:r>
      <w:r>
        <w:rPr>
          <w:rStyle w:val="NormalTok"/>
        </w:rPr>
        <w:t xml:space="preserve">, </w:t>
      </w:r>
      <w:r>
        <w:rPr>
          <w:rStyle w:val="KeywordTok"/>
        </w:rPr>
        <w:t xml:space="preserve">id</w:t>
      </w:r>
      <w:r>
        <w:rPr>
          <w:rStyle w:val="NormalTok"/>
        </w:rPr>
        <w:t xml:space="preserve"> </w:t>
      </w:r>
      <w:r>
        <w:rPr>
          <w:rStyle w:val="KeywordTok"/>
        </w:rPr>
        <w:t xml:space="preserve">DESC</w:t>
      </w:r>
      <w:r>
        <w:br/>
      </w:r>
      <w:r>
        <w:rPr>
          <w:rStyle w:val="KeywordTok"/>
        </w:rPr>
        <w:t xml:space="preserve">LIMIT</w:t>
      </w:r>
      <w:r>
        <w:rPr>
          <w:rStyle w:val="NormalTok"/>
        </w:rPr>
        <w:t xml:space="preserve"> </w:t>
      </w:r>
      <w:r>
        <w:rPr>
          <w:rStyle w:val="DecValTok"/>
        </w:rPr>
        <w:t xml:space="preserve">21</w:t>
      </w:r>
      <w:r>
        <w:rPr>
          <w:rStyle w:val="NormalTok"/>
        </w:rPr>
        <w:t xml:space="preserve">;                       </w:t>
      </w:r>
      <w:r>
        <w:rPr>
          <w:rStyle w:val="CommentTok"/>
        </w:rPr>
        <w:t xml:space="preserve">-- one extra row tells us whether a next page exists</w:t>
      </w:r>
      <w:r>
        <w:br/>
      </w:r>
      <w:r>
        <w:br/>
      </w:r>
      <w:r>
        <w:rPr>
          <w:rStyle w:val="CommentTok"/>
        </w:rPr>
        <w:t xml:space="preserve">-- Next page: $1, $2 = created_at and id of the last row of the previous page</w:t>
      </w:r>
      <w:r>
        <w:br/>
      </w:r>
      <w:r>
        <w:rPr>
          <w:rStyle w:val="KeywordTok"/>
        </w:rPr>
        <w:t xml:space="preserve">SELECT</w:t>
      </w:r>
      <w:r>
        <w:rPr>
          <w:rStyle w:val="NormalTok"/>
        </w:rPr>
        <w:t xml:space="preserve"> </w:t>
      </w:r>
      <w:r>
        <w:rPr>
          <w:rStyle w:val="KeywordTok"/>
        </w:rPr>
        <w:t xml:space="preserve">id</w:t>
      </w:r>
      <w:r>
        <w:rPr>
          <w:rStyle w:val="NormalTok"/>
        </w:rPr>
        <w:t xml:space="preserve">, title, created_at</w:t>
      </w:r>
      <w:r>
        <w:br/>
      </w:r>
      <w:r>
        <w:rPr>
          <w:rStyle w:val="KeywordTok"/>
        </w:rPr>
        <w:t xml:space="preserve">FROM</w:t>
      </w:r>
      <w:r>
        <w:rPr>
          <w:rStyle w:val="NormalTok"/>
        </w:rPr>
        <w:t xml:space="preserve"> articles</w:t>
      </w:r>
      <w:r>
        <w:br/>
      </w:r>
      <w:r>
        <w:rPr>
          <w:rStyle w:val="KeywordTok"/>
        </w:rPr>
        <w:t xml:space="preserve">WHERE</w:t>
      </w:r>
      <w:r>
        <w:rPr>
          <w:rStyle w:val="NormalTok"/>
        </w:rPr>
        <w:t xml:space="preserve"> (created_at, </w:t>
      </w:r>
      <w:r>
        <w:rPr>
          <w:rStyle w:val="KeywordTok"/>
        </w:rPr>
        <w:t xml:space="preserve">id</w:t>
      </w:r>
      <w:r>
        <w:rPr>
          <w:rStyle w:val="NormalTok"/>
        </w:rPr>
        <w:t xml:space="preserve">) </w:t>
      </w:r>
      <w:r>
        <w:rPr>
          <w:rStyle w:val="OperatorTok"/>
        </w:rPr>
        <w:t xml:space="preserve">&lt;</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CommentTok"/>
        </w:rPr>
        <w:t xml:space="preserve">-- row-value comparison: seek, don't skip</w:t>
      </w:r>
      <w:r>
        <w:br/>
      </w:r>
      <w:r>
        <w:rPr>
          <w:rStyle w:val="KeywordTok"/>
        </w:rPr>
        <w:t xml:space="preserve">ORDER</w:t>
      </w:r>
      <w:r>
        <w:rPr>
          <w:rStyle w:val="NormalTok"/>
        </w:rPr>
        <w:t xml:space="preserve"> </w:t>
      </w:r>
      <w:r>
        <w:rPr>
          <w:rStyle w:val="KeywordTok"/>
        </w:rPr>
        <w:t xml:space="preserve">BY</w:t>
      </w:r>
      <w:r>
        <w:rPr>
          <w:rStyle w:val="NormalTok"/>
        </w:rPr>
        <w:t xml:space="preserve"> created_at </w:t>
      </w:r>
      <w:r>
        <w:rPr>
          <w:rStyle w:val="KeywordTok"/>
        </w:rPr>
        <w:t xml:space="preserve">DESC</w:t>
      </w:r>
      <w:r>
        <w:rPr>
          <w:rStyle w:val="NormalTok"/>
        </w:rPr>
        <w:t xml:space="preserve">, </w:t>
      </w:r>
      <w:r>
        <w:rPr>
          <w:rStyle w:val="KeywordTok"/>
        </w:rPr>
        <w:t xml:space="preserve">id</w:t>
      </w:r>
      <w:r>
        <w:rPr>
          <w:rStyle w:val="NormalTok"/>
        </w:rPr>
        <w:t xml:space="preserve"> </w:t>
      </w:r>
      <w:r>
        <w:rPr>
          <w:rStyle w:val="KeywordTok"/>
        </w:rPr>
        <w:t xml:space="preserve">DESC</w:t>
      </w:r>
      <w:r>
        <w:br/>
      </w:r>
      <w:r>
        <w:rPr>
          <w:rStyle w:val="KeywordTok"/>
        </w:rPr>
        <w:t xml:space="preserve">LIMIT</w:t>
      </w:r>
      <w:r>
        <w:rPr>
          <w:rStyle w:val="NormalTok"/>
        </w:rPr>
        <w:t xml:space="preserve"> </w:t>
      </w:r>
      <w:r>
        <w:rPr>
          <w:rStyle w:val="DecValTok"/>
        </w:rPr>
        <w:t xml:space="preserve">21</w:t>
      </w:r>
      <w:r>
        <w:rPr>
          <w:rStyle w:val="NormalTok"/>
        </w:rPr>
        <w:t xml:space="preserve">;</w:t>
      </w:r>
    </w:p>
    <w:p>
      <w:pPr>
        <w:pStyle w:val="FirstParagraph"/>
      </w:pPr>
      <w:r>
        <w:t xml:space="preserve">What to notice:</w:t>
      </w:r>
    </w:p>
    <w:p>
      <w:pPr>
        <w:numPr>
          <w:ilvl w:val="0"/>
          <w:numId w:val="1264"/>
        </w:numPr>
        <w:pStyle w:val="Compact"/>
      </w:pPr>
      <w:r>
        <w:t xml:space="preserve">The</w:t>
      </w:r>
      <w:r>
        <w:t xml:space="preserve"> </w:t>
      </w:r>
      <w:r>
        <w:rPr>
          <w:rStyle w:val="VerbatimChar"/>
        </w:rPr>
        <w:t xml:space="preserve">id</w:t>
      </w:r>
      <w:r>
        <w:t xml:space="preserve"> </w:t>
      </w:r>
      <w:r>
        <w:t xml:space="preserve">tie-breaker makes the sort order</w:t>
      </w:r>
      <w:r>
        <w:t xml:space="preserve"> </w:t>
      </w:r>
      <w:r>
        <w:rPr>
          <w:bCs/>
          <w:b/>
        </w:rPr>
        <w:t xml:space="preserve">total</w:t>
      </w:r>
      <w:r>
        <w:t xml:space="preserve">. Without it, two rows with the same</w:t>
      </w:r>
      <w:r>
        <w:t xml:space="preserve"> </w:t>
      </w:r>
      <w:r>
        <w:rPr>
          <w:rStyle w:val="VerbatimChar"/>
        </w:rPr>
        <w:t xml:space="preserve">created_at</w:t>
      </w:r>
      <w:r>
        <w:t xml:space="preserve"> </w:t>
      </w:r>
      <w:r>
        <w:t xml:space="preserve">could be skipped or duplicated at a page boundary.</w:t>
      </w:r>
    </w:p>
    <w:p>
      <w:pPr>
        <w:numPr>
          <w:ilvl w:val="0"/>
          <w:numId w:val="1264"/>
        </w:numPr>
        <w:pStyle w:val="Compact"/>
      </w:pPr>
      <w:r>
        <w:t xml:space="preserve">The row-value comparison</w:t>
      </w:r>
      <w:r>
        <w:t xml:space="preserve"> </w:t>
      </w:r>
      <w:r>
        <w:rPr>
          <w:rStyle w:val="VerbatimChar"/>
        </w:rPr>
        <w:t xml:space="preserve">(created_at, id) &lt; ($1, $2)</w:t>
      </w:r>
      <w:r>
        <w:t xml:space="preserve"> </w:t>
      </w:r>
      <w:r>
        <w:t xml:space="preserve">means</w:t>
      </w:r>
      <w:r>
        <w:t xml:space="preserve"> </w:t>
      </w:r>
      <w:r>
        <w:t xml:space="preserve">“</w:t>
      </w:r>
      <w:r>
        <w:t xml:space="preserve">earlier timestamp, or same timestamp with smaller id</w:t>
      </w:r>
      <w:r>
        <w:t xml:space="preserve">”</w:t>
      </w:r>
      <w:r>
        <w:t xml:space="preserve">. PostgreSQL, MySQL 8 and SQLite support it; on databases that do not, expand it to</w:t>
      </w:r>
      <w:r>
        <w:t xml:space="preserve"> </w:t>
      </w:r>
      <w:r>
        <w:rPr>
          <w:rStyle w:val="VerbatimChar"/>
        </w:rPr>
        <w:t xml:space="preserve">created_at &lt; $1 OR (created_at = $1 AND id &lt; $2)</w:t>
      </w:r>
      <w:r>
        <w:t xml:space="preserve">.</w:t>
      </w:r>
    </w:p>
    <w:p>
      <w:pPr>
        <w:numPr>
          <w:ilvl w:val="0"/>
          <w:numId w:val="1264"/>
        </w:numPr>
        <w:pStyle w:val="Compact"/>
      </w:pPr>
      <w:r>
        <w:t xml:space="preserve">Fetching</w:t>
      </w:r>
      <w:r>
        <w:t xml:space="preserve"> </w:t>
      </w:r>
      <w:r>
        <w:rPr>
          <w:rStyle w:val="VerbatimChar"/>
        </w:rPr>
        <w:t xml:space="preserve">limit + 1</w:t>
      </w:r>
      <w:r>
        <w:t xml:space="preserve"> </w:t>
      </w:r>
      <w:r>
        <w:t xml:space="preserve">rows answers</w:t>
      </w:r>
      <w:r>
        <w:t xml:space="preserve"> </w:t>
      </w:r>
      <w:r>
        <w:t xml:space="preserve">“</w:t>
      </w:r>
      <w:r>
        <w:t xml:space="preserve">is there a next page?</w:t>
      </w:r>
      <w:r>
        <w:t xml:space="preserve">”</w:t>
      </w:r>
      <w:r>
        <w:t xml:space="preserve"> </w:t>
      </w:r>
      <w:r>
        <w:t xml:space="preserve">without a separate</w:t>
      </w:r>
      <w:r>
        <w:t xml:space="preserve"> </w:t>
      </w:r>
      <w:r>
        <w:rPr>
          <w:rStyle w:val="VerbatimChar"/>
        </w:rPr>
        <w:t xml:space="preserve">COUNT(*)</w:t>
      </w:r>
      <w:r>
        <w:t xml:space="preserve">, which is itself expensive on large tables.</w:t>
      </w:r>
    </w:p>
    <w:p>
      <w:pPr>
        <w:pStyle w:val="CalloutFormula"/>
      </w:pPr>
      <w:r>
        <w:rPr>
          <w:bCs/>
          <w:b/>
        </w:rPr>
        <w:t xml:space="preserve">FORMULA</w:t>
      </w:r>
    </w:p>
    <w:p>
      <w:pPr>
        <w:pStyle w:val="CalloutFormula"/>
      </w:pPr>
      <w:r>
        <w:rPr>
          <w:bCs/>
          <w:b/>
        </w:rPr>
        <w:t xml:space="preserve">Rows touched per page</w:t>
      </w:r>
    </w:p>
    <w:p>
      <w:pPr>
        <w:pStyle w:val="CalloutFormula"/>
      </w:pPr>
      <m:oMathPara>
        <m:oMathParaPr>
          <m:jc m:val="center"/>
        </m:oMathParaPr>
        <m:oMath>
          <m:sSub>
            <m:e>
              <m:r>
                <m:t>R</m:t>
              </m:r>
            </m:e>
            <m:sub>
              <m:r>
                <m:rPr>
                  <m:nor/>
                  <m:sty m:val="p"/>
                </m:rPr>
                <m:t>offset</m:t>
              </m:r>
            </m:sub>
          </m:sSub>
          <m:r>
            <m:rPr>
              <m:sty m:val="p"/>
            </m:rPr>
            <m:t>=</m:t>
          </m:r>
          <m:r>
            <m:t>o</m:t>
          </m:r>
          <m:r>
            <m:rPr>
              <m:sty m:val="p"/>
            </m:rPr>
            <m:t>+</m:t>
          </m:r>
          <m:r>
            <m:rPr>
              <m:sty m:val="p"/>
            </m:rPr>
            <m:t>ℓ</m:t>
          </m:r>
          <m:r>
            <m:t>  </m:t>
          </m:r>
          <m:sSub>
            <m:e>
              <m:r>
                <m:t>R</m:t>
              </m:r>
            </m:e>
            <m:sub>
              <m:r>
                <m:rPr>
                  <m:nor/>
                  <m:sty m:val="p"/>
                </m:rPr>
                <m:t>keyset</m:t>
              </m:r>
            </m:sub>
          </m:sSub>
          <m:r>
            <m:rPr>
              <m:sty m:val="p"/>
            </m:rPr>
            <m:t>≈</m:t>
          </m:r>
          <m:r>
            <m:rPr>
              <m:sty m:val="p"/>
            </m:rPr>
            <m:t>ℓ</m:t>
          </m:r>
          <m:r>
            <m:rPr>
              <m:sty m:val="p"/>
            </m:rPr>
            <m:t>+</m:t>
          </m:r>
          <m:sSub>
            <m:e>
              <m:r>
                <m:rPr>
                  <m:sty m:val="p"/>
                </m:rPr>
                <m:t>log</m:t>
              </m:r>
            </m:e>
            <m:sub>
              <m:r>
                <m:t>b</m:t>
              </m:r>
            </m:sub>
          </m:sSub>
          <m:r>
            <m:t>n</m:t>
          </m:r>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o</m:t>
              </m:r>
            </m:oMath>
          </w:p>
        </w:tc>
        <w:tc>
          <w:tcPr/>
          <w:p>
            <w:pPr>
              <w:pStyle w:val="Compact"/>
              <w:jc w:val="left"/>
            </w:pPr>
            <w:r>
              <w:t xml:space="preserve">Offset (rows skipped)</w:t>
            </w:r>
          </w:p>
        </w:tc>
        <w:tc>
          <w:tcPr/>
          <w:p>
            <w:pPr>
              <w:pStyle w:val="Compact"/>
              <w:jc w:val="left"/>
            </w:pPr>
            <w:r>
              <w:t xml:space="preserve">rows</w:t>
            </w:r>
          </w:p>
        </w:tc>
      </w:tr>
      <w:tr>
        <w:tc>
          <w:tcPr/>
          <w:p>
            <w:pPr>
              <w:pStyle w:val="Compact"/>
              <w:jc w:val="left"/>
            </w:pPr>
            <m:oMath>
              <m:r>
                <m:rPr>
                  <m:sty m:val="p"/>
                </m:rPr>
                <m:t>ℓ</m:t>
              </m:r>
            </m:oMath>
          </w:p>
        </w:tc>
        <w:tc>
          <w:tcPr/>
          <w:p>
            <w:pPr>
              <w:pStyle w:val="Compact"/>
              <w:jc w:val="left"/>
            </w:pPr>
            <w:r>
              <w:t xml:space="preserve">Page size (limit)</w:t>
            </w:r>
          </w:p>
        </w:tc>
        <w:tc>
          <w:tcPr/>
          <w:p>
            <w:pPr>
              <w:pStyle w:val="Compact"/>
              <w:jc w:val="left"/>
            </w:pPr>
            <w:r>
              <w:t xml:space="preserve">rows</w:t>
            </w:r>
          </w:p>
        </w:tc>
      </w:tr>
      <w:tr>
        <w:tc>
          <w:tcPr/>
          <w:p>
            <w:pPr>
              <w:pStyle w:val="Compact"/>
              <w:jc w:val="left"/>
            </w:pPr>
            <m:oMath>
              <m:r>
                <m:t>n</m:t>
              </m:r>
            </m:oMath>
          </w:p>
        </w:tc>
        <w:tc>
          <w:tcPr/>
          <w:p>
            <w:pPr>
              <w:pStyle w:val="Compact"/>
              <w:jc w:val="left"/>
            </w:pPr>
            <w:r>
              <w:t xml:space="preserve">Rows in the table or index</w:t>
            </w:r>
          </w:p>
        </w:tc>
        <w:tc>
          <w:tcPr/>
          <w:p>
            <w:pPr>
              <w:pStyle w:val="Compact"/>
              <w:jc w:val="left"/>
            </w:pPr>
            <w:r>
              <w:t xml:space="preserve">rows</w:t>
            </w:r>
          </w:p>
        </w:tc>
      </w:tr>
      <w:tr>
        <w:tc>
          <w:tcPr/>
          <w:p>
            <w:pPr>
              <w:pStyle w:val="Compact"/>
              <w:jc w:val="left"/>
            </w:pPr>
            <m:oMath>
              <m:r>
                <m:t>b</m:t>
              </m:r>
            </m:oMath>
          </w:p>
        </w:tc>
        <w:tc>
          <w:tcPr/>
          <w:p>
            <w:pPr>
              <w:pStyle w:val="Compact"/>
              <w:jc w:val="left"/>
            </w:pPr>
            <w:r>
              <w:t xml:space="preserve">B-tree fan-out (entries per index page, typically hundreds)</w:t>
            </w:r>
          </w:p>
        </w:tc>
        <w:tc>
          <w:tcPr/>
          <w:p>
            <w:pPr>
              <w:pStyle w:val="Compact"/>
              <w:jc w:val="left"/>
            </w:pPr>
            <w:r>
              <w:t xml:space="preserve">entries</w:t>
            </w:r>
          </w:p>
        </w:tc>
      </w:tr>
    </w:tbl>
    <w:p>
      <w:pPr>
        <w:pStyle w:val="CalloutExample"/>
      </w:pPr>
      <w:r>
        <w:rPr>
          <w:bCs/>
          <w:b/>
        </w:rPr>
        <w:t xml:space="preserve">WORKED EXAMPLE</w:t>
      </w:r>
    </w:p>
    <w:p>
      <w:pPr>
        <w:pStyle w:val="CalloutExample"/>
      </w:pPr>
      <w:r>
        <w:rPr>
          <w:bCs/>
          <w:b/>
        </w:rPr>
        <w:t xml:space="preserve">Worked example — Page 50,000 of an activity feed.</w:t>
      </w:r>
      <w:r>
        <w:t xml:space="preserve"> </w:t>
      </w:r>
      <w:r>
        <w:t xml:space="preserve">Table of</w:t>
      </w:r>
      <w:r>
        <w:t xml:space="preserve"> </w:t>
      </w:r>
      <m:oMath>
        <m:r>
          <m:t>n</m:t>
        </m:r>
        <m:r>
          <m:rPr>
            <m:sty m:val="p"/>
          </m:rPr>
          <m:t>=</m:t>
        </m:r>
        <m:sSup>
          <m:e>
            <m:r>
              <m:t>10</m:t>
            </m:r>
          </m:e>
          <m:sup>
            <m:r>
              <m:t>7</m:t>
            </m:r>
          </m:sup>
        </m:sSup>
      </m:oMath>
      <w:r>
        <w:t xml:space="preserve"> </w:t>
      </w:r>
      <w:r>
        <w:t xml:space="preserve">rows, page size</w:t>
      </w:r>
      <w:r>
        <w:t xml:space="preserve"> </w:t>
      </w:r>
      <m:oMath>
        <m:r>
          <m:rPr>
            <m:sty m:val="p"/>
          </m:rPr>
          <m:t>ℓ</m:t>
        </m:r>
        <m:r>
          <m:rPr>
            <m:sty m:val="p"/>
          </m:rPr>
          <m:t>=</m:t>
        </m:r>
        <m:r>
          <m:t>20</m:t>
        </m:r>
      </m:oMath>
      <w:r>
        <w:t xml:space="preserve">, user (or a scraper) requests page 50,000, so</w:t>
      </w:r>
      <w:r>
        <w:t xml:space="preserve"> </w:t>
      </w:r>
      <m:oMath>
        <m:r>
          <m:t>o</m:t>
        </m:r>
        <m:r>
          <m:rPr>
            <m:sty m:val="p"/>
          </m:rPr>
          <m:t>=</m:t>
        </m:r>
        <m:r>
          <m:t>49</m:t>
        </m:r>
        <m:r>
          <m:rPr>
            <m:sty m:val="p"/>
          </m:rPr>
          <m:t>,</m:t>
        </m:r>
        <m:r>
          <m:t>999</m:t>
        </m:r>
        <m:r>
          <m:rPr>
            <m:sty m:val="p"/>
          </m:rPr>
          <m:t>×</m:t>
        </m:r>
        <m:r>
          <m:t>20</m:t>
        </m:r>
        <m:r>
          <m:rPr>
            <m:sty m:val="p"/>
          </m:rPr>
          <m:t>=</m:t>
        </m:r>
        <m:r>
          <m:t>999</m:t>
        </m:r>
        <m:r>
          <m:rPr>
            <m:sty m:val="p"/>
          </m:rPr>
          <m:t>,</m:t>
        </m:r>
        <m:r>
          <m:t>980</m:t>
        </m:r>
      </m:oMath>
      <w:r>
        <w:t xml:space="preserve">.</w:t>
      </w:r>
    </w:p>
    <w:p>
      <w:pPr>
        <w:numPr>
          <w:ilvl w:val="0"/>
          <w:numId w:val="1265"/>
        </w:numPr>
        <w:pStyle w:val="Compact"/>
      </w:pPr>
      <w:r>
        <w:t xml:space="preserve">Offset:</w:t>
      </w:r>
      <w:r>
        <w:t xml:space="preserve"> </w:t>
      </w:r>
      <m:oMath>
        <m:r>
          <m:t>R</m:t>
        </m:r>
        <m:r>
          <m:rPr>
            <m:sty m:val="p"/>
          </m:rPr>
          <m:t>=</m:t>
        </m:r>
        <m:r>
          <m:t>999</m:t>
        </m:r>
        <m:r>
          <m:rPr>
            <m:sty m:val="p"/>
          </m:rPr>
          <m:t>,</m:t>
        </m:r>
        <m:r>
          <m:t>980</m:t>
        </m:r>
        <m:r>
          <m:rPr>
            <m:sty m:val="p"/>
          </m:rPr>
          <m:t>+</m:t>
        </m:r>
        <m:r>
          <m:t>20</m:t>
        </m:r>
        <m:r>
          <m:rPr>
            <m:sty m:val="p"/>
          </m:rPr>
          <m:t>=</m:t>
        </m:r>
        <m:r>
          <m:t>1</m:t>
        </m:r>
        <m:r>
          <m:rPr>
            <m:sty m:val="p"/>
          </m:rPr>
          <m:t>,</m:t>
        </m:r>
        <m:r>
          <m:t>000</m:t>
        </m:r>
        <m:r>
          <m:rPr>
            <m:sty m:val="p"/>
          </m:rPr>
          <m:t>,</m:t>
        </m:r>
        <m:r>
          <m:t>000</m:t>
        </m:r>
      </m:oMath>
      <w:r>
        <w:t xml:space="preserve"> </w:t>
      </w:r>
      <w:r>
        <w:t xml:space="preserve">index entries walked, 999,980 of them discarded.</w:t>
      </w:r>
    </w:p>
    <w:p>
      <w:pPr>
        <w:numPr>
          <w:ilvl w:val="0"/>
          <w:numId w:val="1265"/>
        </w:numPr>
        <w:pStyle w:val="Compact"/>
      </w:pPr>
      <w:r>
        <w:t xml:space="preserve">Keyset: one B-tree descent of</w:t>
      </w:r>
      <w:r>
        <w:t xml:space="preserve"> </w:t>
      </w:r>
      <m:oMath>
        <m:sSub>
          <m:e>
            <m:r>
              <m:rPr>
                <m:sty m:val="p"/>
              </m:rPr>
              <m:t>log</m:t>
            </m:r>
          </m:e>
          <m:sub>
            <m:r>
              <m:t>200</m:t>
            </m:r>
          </m:sub>
        </m:sSub>
        <m:sSup>
          <m:e>
            <m:r>
              <m:t>10</m:t>
            </m:r>
          </m:e>
          <m:sup>
            <m:r>
              <m:t>7</m:t>
            </m:r>
          </m:sup>
        </m:sSup>
        <m:r>
          <m:rPr>
            <m:sty m:val="p"/>
          </m:rPr>
          <m:t>≈</m:t>
        </m:r>
        <m:r>
          <m:t>3</m:t>
        </m:r>
      </m:oMath>
      <w:r>
        <w:t xml:space="preserve"> </w:t>
      </w:r>
      <w:r>
        <w:t xml:space="preserve">levels, then 21 entries: about 24 entries.</w:t>
      </w:r>
    </w:p>
    <w:p>
      <w:pPr>
        <w:numPr>
          <w:ilvl w:val="0"/>
          <w:numId w:val="1265"/>
        </w:numPr>
        <w:pStyle w:val="Compact"/>
      </w:pPr>
      <w:r>
        <w:t xml:space="preserve">Ratio:</w:t>
      </w:r>
      <w:r>
        <w:t xml:space="preserve"> </w:t>
      </w:r>
      <m:oMath>
        <m:sSup>
          <m:e>
            <m:r>
              <m:t>10</m:t>
            </m:r>
          </m:e>
          <m:sup>
            <m:r>
              <m:t>6</m:t>
            </m:r>
          </m:sup>
        </m:sSup>
        <m:r>
          <m:rPr>
            <m:sty m:val="p"/>
          </m:rPr>
          <m:t>/</m:t>
        </m:r>
        <m:r>
          <m:t>24</m:t>
        </m:r>
        <m:r>
          <m:rPr>
            <m:sty m:val="p"/>
          </m:rPr>
          <m:t>≈</m:t>
        </m:r>
        <m:r>
          <m:t>40</m:t>
        </m:r>
        <m:r>
          <m:rPr>
            <m:sty m:val="p"/>
          </m:rPr>
          <m:t>,</m:t>
        </m:r>
        <m:r>
          <m:t>000</m:t>
        </m:r>
        <m:r>
          <m:rPr>
            <m:sty m:val="p"/>
          </m:rPr>
          <m:t>×</m:t>
        </m:r>
      </m:oMath>
      <w:r>
        <w:t xml:space="preserve"> </w:t>
      </w:r>
      <w:r>
        <w:t xml:space="preserve">more work for the offset query.</w:t>
      </w:r>
    </w:p>
    <w:p>
      <w:pPr>
        <w:pStyle w:val="CalloutExample"/>
      </w:pPr>
      <w:r>
        <w:rPr>
          <w:bCs/>
          <w:b/>
        </w:rPr>
        <w:t xml:space="preserve">Interpretation.</w:t>
      </w:r>
      <w:r>
        <w:t xml:space="preserve"> </w:t>
      </w:r>
      <w:r>
        <w:t xml:space="preserve">Offset pagination is fine for shallow pages (an admin table with a few thousand rows) but degrades linearly with depth and is an easy denial-of-service vector.</w:t>
      </w:r>
      <w:r>
        <w:t xml:space="preserve"> </w:t>
      </w:r>
      <w:r>
        <w:rPr>
          <w:bCs/>
          <w:b/>
        </w:rPr>
        <w:t xml:space="preserve">Engineering implication:</w:t>
      </w:r>
      <w:r>
        <w:t xml:space="preserve"> </w:t>
      </w:r>
      <w:r>
        <w:t xml:space="preserve">use cursors for feeds, timelines, logs, sync and any public API; cap</w:t>
      </w:r>
      <w:r>
        <w:t xml:space="preserve"> </w:t>
      </w:r>
      <w:r>
        <w:rPr>
          <w:rStyle w:val="VerbatimChar"/>
        </w:rPr>
        <w:t xml:space="preserve">offset</w:t>
      </w:r>
      <w:r>
        <w:t xml:space="preserve"> </w:t>
      </w:r>
      <w:r>
        <w:t xml:space="preserve">if you must offer it.</w:t>
      </w:r>
    </w:p>
    <w:p>
      <w:pPr>
        <w:pStyle w:val="BodyText"/>
      </w:pPr>
      <w:r>
        <w:rPr>
          <w:bCs/>
          <w:b/>
        </w:rPr>
        <w:t xml:space="preserve">Table 8.8 — Offset versus cursor pagination.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Offset / page number</w:t>
            </w:r>
          </w:p>
        </w:tc>
        <w:tc>
          <w:tcPr/>
          <w:p>
            <w:pPr>
              <w:pStyle w:val="Compact"/>
              <w:jc w:val="left"/>
            </w:pPr>
            <w:r>
              <w:t xml:space="preserve">Cursor (keyset)</w:t>
            </w:r>
          </w:p>
        </w:tc>
      </w:tr>
      <w:tr>
        <w:tc>
          <w:tcPr/>
          <w:p>
            <w:pPr>
              <w:pStyle w:val="Compact"/>
              <w:jc w:val="left"/>
            </w:pPr>
            <w:r>
              <w:t xml:space="preserve">Request</w:t>
            </w:r>
          </w:p>
        </w:tc>
        <w:tc>
          <w:tcPr/>
          <w:p>
            <w:pPr>
              <w:pStyle w:val="Compact"/>
              <w:jc w:val="left"/>
            </w:pPr>
            <w:r>
              <w:rPr>
                <w:rStyle w:val="VerbatimChar"/>
              </w:rPr>
              <w:t xml:space="preserve">?limit=20&amp;offset=40</w:t>
            </w:r>
          </w:p>
        </w:tc>
        <w:tc>
          <w:tcPr/>
          <w:p>
            <w:pPr>
              <w:pStyle w:val="Compact"/>
              <w:jc w:val="left"/>
            </w:pPr>
            <w:r>
              <w:rPr>
                <w:rStyle w:val="VerbatimChar"/>
              </w:rPr>
              <w:t xml:space="preserve">?limit=20&amp;cursor=eyJ…</w:t>
            </w:r>
          </w:p>
        </w:tc>
      </w:tr>
      <w:tr>
        <w:tc>
          <w:tcPr/>
          <w:p>
            <w:pPr>
              <w:pStyle w:val="Compact"/>
              <w:jc w:val="left"/>
            </w:pPr>
            <w:r>
              <w:t xml:space="preserve">Cost of deep pages</w:t>
            </w:r>
          </w:p>
        </w:tc>
        <w:tc>
          <w:tcPr/>
          <w:p>
            <w:pPr>
              <w:pStyle w:val="Compact"/>
              <w:jc w:val="left"/>
            </w:pPr>
            <w:r>
              <w:t xml:space="preserve">Grows linearly with offset</w:t>
            </w:r>
          </w:p>
        </w:tc>
        <w:tc>
          <w:tcPr/>
          <w:p>
            <w:pPr>
              <w:pStyle w:val="Compact"/>
              <w:jc w:val="left"/>
            </w:pPr>
            <w:r>
              <w:t xml:space="preserve">Constant (index seek)</w:t>
            </w:r>
          </w:p>
        </w:tc>
      </w:tr>
      <w:tr>
        <w:tc>
          <w:tcPr/>
          <w:p>
            <w:pPr>
              <w:pStyle w:val="Compact"/>
              <w:jc w:val="left"/>
            </w:pPr>
            <w:r>
              <w:t xml:space="preserve">Stable under inserts/deletes</w:t>
            </w:r>
          </w:p>
        </w:tc>
        <w:tc>
          <w:tcPr/>
          <w:p>
            <w:pPr>
              <w:pStyle w:val="Compact"/>
              <w:jc w:val="left"/>
            </w:pPr>
            <w:r>
              <w:t xml:space="preserve">No: duplicates and skips</w:t>
            </w:r>
          </w:p>
        </w:tc>
        <w:tc>
          <w:tcPr/>
          <w:p>
            <w:pPr>
              <w:pStyle w:val="Compact"/>
              <w:jc w:val="left"/>
            </w:pPr>
            <w:r>
              <w:t xml:space="preserve">Yes, relative to the last seen key</w:t>
            </w:r>
          </w:p>
        </w:tc>
      </w:tr>
      <w:tr>
        <w:tc>
          <w:tcPr/>
          <w:p>
            <w:pPr>
              <w:pStyle w:val="Compact"/>
              <w:jc w:val="left"/>
            </w:pPr>
            <w:r>
              <w:t xml:space="preserve">Jump to arbitrary page</w:t>
            </w:r>
          </w:p>
        </w:tc>
        <w:tc>
          <w:tcPr/>
          <w:p>
            <w:pPr>
              <w:pStyle w:val="Compact"/>
              <w:jc w:val="left"/>
            </w:pPr>
            <w:r>
              <w:t xml:space="preserve">Yes</w:t>
            </w:r>
          </w:p>
        </w:tc>
        <w:tc>
          <w:tcPr/>
          <w:p>
            <w:pPr>
              <w:pStyle w:val="Compact"/>
              <w:jc w:val="left"/>
            </w:pPr>
            <w:r>
              <w:t xml:space="preserve">No (only next/previous)</w:t>
            </w:r>
          </w:p>
        </w:tc>
      </w:tr>
      <w:tr>
        <w:tc>
          <w:tcPr/>
          <w:p>
            <w:pPr>
              <w:pStyle w:val="Compact"/>
              <w:jc w:val="left"/>
            </w:pPr>
            <w:r>
              <w:t xml:space="preserve">Total count</w:t>
            </w:r>
          </w:p>
        </w:tc>
        <w:tc>
          <w:tcPr/>
          <w:p>
            <w:pPr>
              <w:pStyle w:val="Compact"/>
              <w:jc w:val="left"/>
            </w:pPr>
            <w:r>
              <w:t xml:space="preserve">Often shown (costly</w:t>
            </w:r>
            <w:r>
              <w:t xml:space="preserve"> </w:t>
            </w:r>
            <w:r>
              <w:rPr>
                <w:rStyle w:val="VerbatimChar"/>
              </w:rPr>
              <w:t xml:space="preserve">COUNT(*)</w:t>
            </w:r>
            <w:r>
              <w:t xml:space="preserve">)</w:t>
            </w:r>
          </w:p>
        </w:tc>
        <w:tc>
          <w:tcPr/>
          <w:p>
            <w:pPr>
              <w:pStyle w:val="Compact"/>
              <w:jc w:val="left"/>
            </w:pPr>
            <w:r>
              <w:t xml:space="preserve">Usually omitted</w:t>
            </w:r>
          </w:p>
        </w:tc>
      </w:tr>
      <w:tr>
        <w:tc>
          <w:tcPr/>
          <w:p>
            <w:pPr>
              <w:pStyle w:val="Compact"/>
              <w:jc w:val="left"/>
            </w:pPr>
            <w:r>
              <w:t xml:space="preserve">Sort flexibility</w:t>
            </w:r>
          </w:p>
        </w:tc>
        <w:tc>
          <w:tcPr/>
          <w:p>
            <w:pPr>
              <w:pStyle w:val="Compact"/>
              <w:jc w:val="left"/>
            </w:pPr>
            <w:r>
              <w:t xml:space="preserve">Any</w:t>
            </w:r>
            <w:r>
              <w:t xml:space="preserve"> </w:t>
            </w:r>
            <w:r>
              <w:rPr>
                <w:rStyle w:val="VerbatimChar"/>
              </w:rPr>
              <w:t xml:space="preserve">ORDER BY</w:t>
            </w:r>
          </w:p>
        </w:tc>
        <w:tc>
          <w:tcPr/>
          <w:p>
            <w:pPr>
              <w:pStyle w:val="Compact"/>
              <w:jc w:val="left"/>
            </w:pPr>
            <w:r>
              <w:t xml:space="preserve">Needs an index matching the sort key plus a unique tie-breaker</w:t>
            </w:r>
          </w:p>
        </w:tc>
      </w:tr>
      <w:tr>
        <w:tc>
          <w:tcPr/>
          <w:p>
            <w:pPr>
              <w:pStyle w:val="Compact"/>
              <w:jc w:val="left"/>
            </w:pPr>
            <w:r>
              <w:t xml:space="preserve">Choose when</w:t>
            </w:r>
          </w:p>
        </w:tc>
        <w:tc>
          <w:tcPr/>
          <w:p>
            <w:pPr>
              <w:pStyle w:val="Compact"/>
              <w:jc w:val="left"/>
            </w:pPr>
            <w:r>
              <w:t xml:space="preserve">Small, mostly static datasets; UI needs page numbers</w:t>
            </w:r>
          </w:p>
        </w:tc>
        <w:tc>
          <w:tcPr/>
          <w:p>
            <w:pPr>
              <w:pStyle w:val="Compact"/>
              <w:jc w:val="left"/>
            </w:pPr>
            <w:r>
              <w:t xml:space="preserve">Large or fast-changing collections; infinite scroll; API sync</w:t>
            </w:r>
          </w:p>
        </w:tc>
      </w:tr>
    </w:tbl>
    <w:bookmarkEnd w:id="861"/>
    <w:bookmarkStart w:id="862" w:name="code-example-5"/>
    <w:p>
      <w:pPr>
        <w:pStyle w:val="Heading4"/>
      </w:pPr>
      <w:r>
        <w:t xml:space="preserve">Code example</w:t>
      </w:r>
    </w:p>
    <w:p>
      <w:pPr>
        <w:pStyle w:val="FirstParagraph"/>
      </w:pPr>
      <w:r>
        <w:t xml:space="preserve">The following FastAPI service implements cursor pagination with an opaque, base64url-encoded cursor, optional filtering, and RFC 9457 error responses (§8.6.7). It runs as written with</w:t>
      </w:r>
      <w:r>
        <w:t xml:space="preserve"> </w:t>
      </w:r>
      <w:r>
        <w:rPr>
          <w:rStyle w:val="VerbatimChar"/>
        </w:rPr>
        <w:t xml:space="preserve">pip install fastapi uvicorn</w:t>
      </w:r>
      <w:r>
        <w:t xml:space="preserve"> </w:t>
      </w:r>
      <w:r>
        <w:t xml:space="preserve">and</w:t>
      </w:r>
      <w:r>
        <w:t xml:space="preserve"> </w:t>
      </w:r>
      <w:r>
        <w:rPr>
          <w:rStyle w:val="VerbatimChar"/>
        </w:rPr>
        <w:t xml:space="preserve">uvicorn articles_api:app</w:t>
      </w:r>
      <w:r>
        <w:t xml:space="preserve">.</w:t>
      </w:r>
    </w:p>
    <w:p>
      <w:pPr>
        <w:pStyle w:val="SourceCode"/>
      </w:pPr>
      <w:r>
        <w:rPr>
          <w:rStyle w:val="CommentTok"/>
        </w:rPr>
        <w:t xml:space="preserve"># articles_api.py — run with:  pip install fastapi uvicorn  &amp;&amp;  uvicorn articles_api:app</w:t>
      </w:r>
      <w:r>
        <w:br/>
      </w:r>
      <w:r>
        <w:rPr>
          <w:rStyle w:val="ImportTok"/>
        </w:rPr>
        <w:t xml:space="preserve">import</w:t>
      </w:r>
      <w:r>
        <w:rPr>
          <w:rStyle w:val="NormalTok"/>
        </w:rPr>
        <w:t xml:space="preserve"> base64</w:t>
      </w:r>
      <w:r>
        <w:br/>
      </w:r>
      <w:r>
        <w:rPr>
          <w:rStyle w:val="ImportTok"/>
        </w:rPr>
        <w:t xml:space="preserve">import</w:t>
      </w:r>
      <w:r>
        <w:rPr>
          <w:rStyle w:val="NormalTok"/>
        </w:rPr>
        <w:t xml:space="preserve"> json</w:t>
      </w:r>
      <w:r>
        <w:br/>
      </w:r>
      <w:r>
        <w:rPr>
          <w:rStyle w:val="ImportTok"/>
        </w:rPr>
        <w:t xml:space="preserve">import</w:t>
      </w:r>
      <w:r>
        <w:rPr>
          <w:rStyle w:val="NormalTok"/>
        </w:rPr>
        <w:t xml:space="preserve"> sqlite3</w:t>
      </w:r>
      <w:r>
        <w:br/>
      </w:r>
      <w:r>
        <w:br/>
      </w:r>
      <w:r>
        <w:rPr>
          <w:rStyle w:val="ImportTok"/>
        </w:rPr>
        <w:t xml:space="preserve">from</w:t>
      </w:r>
      <w:r>
        <w:rPr>
          <w:rStyle w:val="NormalTok"/>
        </w:rPr>
        <w:t xml:space="preserve"> fastapi </w:t>
      </w:r>
      <w:r>
        <w:rPr>
          <w:rStyle w:val="ImportTok"/>
        </w:rPr>
        <w:t xml:space="preserve">import</w:t>
      </w:r>
      <w:r>
        <w:rPr>
          <w:rStyle w:val="NormalTok"/>
        </w:rPr>
        <w:t xml:space="preserve"> FastAPI, Query, Request</w:t>
      </w:r>
      <w:r>
        <w:br/>
      </w:r>
      <w:r>
        <w:rPr>
          <w:rStyle w:val="ImportTok"/>
        </w:rPr>
        <w:t xml:space="preserve">from</w:t>
      </w:r>
      <w:r>
        <w:rPr>
          <w:rStyle w:val="NormalTok"/>
        </w:rPr>
        <w:t xml:space="preserve"> fastapi.responses </w:t>
      </w:r>
      <w:r>
        <w:rPr>
          <w:rStyle w:val="ImportTok"/>
        </w:rPr>
        <w:t xml:space="preserve">import</w:t>
      </w:r>
      <w:r>
        <w:rPr>
          <w:rStyle w:val="NormalTok"/>
        </w:rPr>
        <w:t xml:space="preserve"> JSONResponse</w:t>
      </w:r>
      <w:r>
        <w:br/>
      </w:r>
      <w:r>
        <w:br/>
      </w:r>
      <w:r>
        <w:rPr>
          <w:rStyle w:val="NormalTok"/>
        </w:rPr>
        <w:t xml:space="preserve">app </w:t>
      </w:r>
      <w:r>
        <w:rPr>
          <w:rStyle w:val="OperatorTok"/>
        </w:rPr>
        <w:t xml:space="preserve">=</w:t>
      </w:r>
      <w:r>
        <w:rPr>
          <w:rStyle w:val="NormalTok"/>
        </w:rPr>
        <w:t xml:space="preserve"> FastAPI(title</w:t>
      </w:r>
      <w:r>
        <w:rPr>
          <w:rStyle w:val="OperatorTok"/>
        </w:rPr>
        <w:t xml:space="preserve">=</w:t>
      </w:r>
      <w:r>
        <w:rPr>
          <w:rStyle w:val="StringTok"/>
        </w:rPr>
        <w:t xml:space="preserve">"Articles API"</w:t>
      </w:r>
      <w:r>
        <w:rPr>
          <w:rStyle w:val="NormalTok"/>
        </w:rPr>
        <w:t xml:space="preserve">, version</w:t>
      </w:r>
      <w:r>
        <w:rPr>
          <w:rStyle w:val="OperatorTok"/>
        </w:rPr>
        <w:t xml:space="preserve">=</w:t>
      </w:r>
      <w:r>
        <w:rPr>
          <w:rStyle w:val="StringTok"/>
        </w:rPr>
        <w:t xml:space="preserve">"1.0.0"</w:t>
      </w:r>
      <w:r>
        <w:rPr>
          <w:rStyle w:val="NormalTok"/>
        </w:rPr>
        <w:t xml:space="preserve">)</w:t>
      </w:r>
      <w:r>
        <w:br/>
      </w:r>
      <w:r>
        <w:br/>
      </w:r>
      <w:r>
        <w:rPr>
          <w:rStyle w:val="CommentTok"/>
        </w:rPr>
        <w:t xml:space="preserve"># In-memory database so the example is self-contained.</w:t>
      </w:r>
      <w:r>
        <w:br/>
      </w:r>
      <w:r>
        <w:rPr>
          <w:rStyle w:val="NormalTok"/>
        </w:rPr>
        <w:t xml:space="preserve">db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StringTok"/>
        </w:rPr>
        <w:t xml:space="preserve">":memory:"</w:t>
      </w:r>
      <w:r>
        <w:rPr>
          <w:rStyle w:val="NormalTok"/>
        </w:rPr>
        <w:t xml:space="preserve">, check_same_thread</w:t>
      </w:r>
      <w:r>
        <w:rPr>
          <w:rStyle w:val="OperatorTok"/>
        </w:rPr>
        <w:t xml:space="preserve">=</w:t>
      </w:r>
      <w:r>
        <w:rPr>
          <w:rStyle w:val="VariableTok"/>
        </w:rPr>
        <w:t xml:space="preserve">False</w:t>
      </w:r>
      <w:r>
        <w:rPr>
          <w:rStyle w:val="NormalTok"/>
        </w:rPr>
        <w:t xml:space="preserve">)</w:t>
      </w:r>
      <w:r>
        <w:br/>
      </w:r>
      <w:r>
        <w:rPr>
          <w:rStyle w:val="NormalTok"/>
        </w:rPr>
        <w:t xml:space="preserve">db.row_factory </w:t>
      </w:r>
      <w:r>
        <w:rPr>
          <w:rStyle w:val="OperatorTok"/>
        </w:rPr>
        <w:t xml:space="preserve">=</w:t>
      </w:r>
      <w:r>
        <w:rPr>
          <w:rStyle w:val="NormalTok"/>
        </w:rPr>
        <w:t xml:space="preserve"> sqlite3.Row</w:t>
      </w:r>
      <w:r>
        <w:br/>
      </w:r>
      <w:r>
        <w:rPr>
          <w:rStyle w:val="NormalTok"/>
        </w:rPr>
        <w:t xml:space="preserve">db.executescript(</w:t>
      </w:r>
      <w:r>
        <w:rPr>
          <w:rStyle w:val="StringTok"/>
        </w:rPr>
        <w:t xml:space="preserve">"""</w:t>
      </w:r>
      <w:r>
        <w:br/>
      </w:r>
      <w:r>
        <w:rPr>
          <w:rStyle w:val="StringTok"/>
        </w:rPr>
        <w:t xml:space="preserve">CREATE TABLE articles (</w:t>
      </w:r>
      <w:r>
        <w:br/>
      </w:r>
      <w:r>
        <w:rPr>
          <w:rStyle w:val="StringTok"/>
        </w:rPr>
        <w:t xml:space="preserve">    id         INTEGER PRIMARY KEY,</w:t>
      </w:r>
      <w:r>
        <w:br/>
      </w:r>
      <w:r>
        <w:rPr>
          <w:rStyle w:val="StringTok"/>
        </w:rPr>
        <w:t xml:space="preserve">    title      TEXT    NOT NULL,</w:t>
      </w:r>
      <w:r>
        <w:br/>
      </w:r>
      <w:r>
        <w:rPr>
          <w:rStyle w:val="StringTok"/>
        </w:rPr>
        <w:t xml:space="preserve">    status     TEXT    NOT NULL,</w:t>
      </w:r>
      <w:r>
        <w:br/>
      </w:r>
      <w:r>
        <w:rPr>
          <w:rStyle w:val="StringTok"/>
        </w:rPr>
        <w:t xml:space="preserve">    created_at TEXT    NOT NULL           -- ISO-8601 UTC timestamp</w:t>
      </w:r>
      <w:r>
        <w:br/>
      </w:r>
      <w:r>
        <w:rPr>
          <w:rStyle w:val="StringTok"/>
        </w:rPr>
        <w:t xml:space="preserve">);</w:t>
      </w:r>
      <w:r>
        <w:br/>
      </w:r>
      <w:r>
        <w:rPr>
          <w:rStyle w:val="StringTok"/>
        </w:rPr>
        <w:t xml:space="preserve">CREATE INDEX idx_articles_created_id ON articles (created_at DESC, id DESC);</w:t>
      </w:r>
      <w:r>
        <w:br/>
      </w:r>
      <w:r>
        <w:rPr>
          <w:rStyle w:val="StringTok"/>
        </w:rPr>
        <w:t xml:space="preserve">"""</w:t>
      </w:r>
      <w:r>
        <w:rPr>
          <w:rStyle w:val="NormalTok"/>
        </w:rPr>
        <w:t xml:space="preserve">)</w:t>
      </w:r>
      <w:r>
        <w:br/>
      </w:r>
      <w:r>
        <w:rPr>
          <w:rStyle w:val="NormalTok"/>
        </w:rPr>
        <w:t xml:space="preserve">db.executemany(</w:t>
      </w:r>
      <w:r>
        <w:br/>
      </w:r>
      <w:r>
        <w:rPr>
          <w:rStyle w:val="NormalTok"/>
        </w:rPr>
        <w:t xml:space="preserve">    </w:t>
      </w:r>
      <w:r>
        <w:rPr>
          <w:rStyle w:val="StringTok"/>
        </w:rPr>
        <w:t xml:space="preserve">"INSERT INTO articles (id, title, status, created_at) VALUES (?, ?, ?, ?)"</w:t>
      </w:r>
      <w:r>
        <w:rPr>
          <w:rStyle w:val="NormalTok"/>
        </w:rPr>
        <w:t xml:space="preserve">,</w:t>
      </w:r>
      <w:r>
        <w:br/>
      </w:r>
      <w:r>
        <w:rPr>
          <w:rStyle w:val="NormalTok"/>
        </w:rPr>
        <w:t xml:space="preserve">    [(i, </w:t>
      </w:r>
      <w:r>
        <w:rPr>
          <w:rStyle w:val="SpecialStringTok"/>
        </w:rPr>
        <w:t xml:space="preserve">f"Article </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StringTok"/>
        </w:rPr>
        <w:t xml:space="preserve">"draft"</w:t>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StringTok"/>
        </w:rPr>
        <w:t xml:space="preserve">"published"</w:t>
      </w:r>
      <w:r>
        <w:rPr>
          <w:rStyle w:val="NormalTok"/>
        </w:rPr>
        <w:t xml:space="preserve">,</w:t>
      </w:r>
      <w:r>
        <w:br/>
      </w:r>
      <w:r>
        <w:rPr>
          <w:rStyle w:val="NormalTok"/>
        </w:rPr>
        <w:t xml:space="preserve">      </w:t>
      </w:r>
      <w:r>
        <w:rPr>
          <w:rStyle w:val="SpecialStringTok"/>
        </w:rPr>
        <w:t xml:space="preserve">f"2026-01-</w:t>
      </w:r>
      <w:r>
        <w:rPr>
          <w:rStyle w:val="SpecialCharTok"/>
        </w:rPr>
        <w:t xml:space="preserve">{</w:t>
      </w:r>
      <w:r>
        <w:rPr>
          <w:rStyle w:val="NormalTok"/>
        </w:rPr>
        <w:t xml:space="preserve">i </w:t>
      </w:r>
      <w:r>
        <w:rPr>
          <w:rStyle w:val="OperatorTok"/>
        </w:rPr>
        <w:t xml:space="preserve">%</w:t>
      </w:r>
      <w:r>
        <w:rPr>
          <w:rStyle w:val="NormalTok"/>
        </w:rPr>
        <w:t xml:space="preserve"> </w:t>
      </w:r>
      <w:r>
        <w:rPr>
          <w:rStyle w:val="DecValTok"/>
        </w:rPr>
        <w:t xml:space="preserve">28</w:t>
      </w:r>
      <w:r>
        <w:rPr>
          <w:rStyle w:val="NormalTok"/>
        </w:rPr>
        <w:t xml:space="preserve"> </w:t>
      </w:r>
      <w:r>
        <w:rPr>
          <w:rStyle w:val="OperatorTok"/>
        </w:rPr>
        <w:t xml:space="preserve">+</w:t>
      </w:r>
      <w:r>
        <w:rPr>
          <w:rStyle w:val="NormalTok"/>
        </w:rPr>
        <w:t xml:space="preserve"> </w:t>
      </w:r>
      <w:r>
        <w:rPr>
          <w:rStyle w:val="DecValTok"/>
        </w:rPr>
        <w:t xml:space="preserve">1</w:t>
      </w:r>
      <w:r>
        <w:rPr>
          <w:rStyle w:val="SpecialCharTok"/>
        </w:rPr>
        <w:t xml:space="preserve">:02d}</w:t>
      </w:r>
      <w:r>
        <w:rPr>
          <w:rStyle w:val="SpecialStringTok"/>
        </w:rPr>
        <w:t xml:space="preserve">T10:00:00Z"</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101</w:t>
      </w:r>
      <w:r>
        <w:rPr>
          <w:rStyle w:val="NormalTok"/>
        </w:rPr>
        <w:t xml:space="preserve">)],</w:t>
      </w:r>
      <w:r>
        <w:br/>
      </w:r>
      <w:r>
        <w:rPr>
          <w:rStyle w:val="NormalTok"/>
        </w:rPr>
        <w:t xml:space="preserve">)</w:t>
      </w:r>
      <w:r>
        <w:br/>
      </w:r>
      <w:r>
        <w:br/>
      </w:r>
      <w:r>
        <w:br/>
      </w:r>
      <w:r>
        <w:rPr>
          <w:rStyle w:val="KeywordTok"/>
        </w:rPr>
        <w:t xml:space="preserve">class</w:t>
      </w:r>
      <w:r>
        <w:rPr>
          <w:rStyle w:val="NormalTok"/>
        </w:rPr>
        <w:t xml:space="preserve"> Problem(</w:t>
      </w:r>
      <w:r>
        <w:rPr>
          <w:rStyle w:val="PreprocessorTok"/>
        </w:rPr>
        <w:t xml:space="preserve">Exception</w:t>
      </w:r>
      <w:r>
        <w:rPr>
          <w:rStyle w:val="NormalTok"/>
        </w:rPr>
        <w:t xml:space="preserve">):</w:t>
      </w:r>
      <w:r>
        <w:br/>
      </w:r>
      <w:r>
        <w:rPr>
          <w:rStyle w:val="NormalTok"/>
        </w:rPr>
        <w:t xml:space="preserve">    </w:t>
      </w:r>
      <w:r>
        <w:rPr>
          <w:rStyle w:val="CommentTok"/>
        </w:rPr>
        <w:t xml:space="preserve">"""An error that is rendered as RFC 9457 problem details."""</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status: </w:t>
      </w:r>
      <w:r>
        <w:rPr>
          <w:rStyle w:val="BuiltInTok"/>
        </w:rPr>
        <w:t xml:space="preserve">int</w:t>
      </w:r>
      <w:r>
        <w:rPr>
          <w:rStyle w:val="NormalTok"/>
        </w:rPr>
        <w:t xml:space="preserve">, title: </w:t>
      </w:r>
      <w:r>
        <w:rPr>
          <w:rStyle w:val="BuiltInTok"/>
        </w:rPr>
        <w:t xml:space="preserve">str</w:t>
      </w:r>
      <w:r>
        <w:rPr>
          <w:rStyle w:val="NormalTok"/>
        </w:rPr>
        <w:t xml:space="preserve">, detail: </w:t>
      </w:r>
      <w:r>
        <w:rPr>
          <w:rStyle w:val="BuiltInTok"/>
        </w:rPr>
        <w:t xml:space="preserve">str</w:t>
      </w:r>
      <w:r>
        <w:rPr>
          <w:rStyle w:val="NormalTok"/>
        </w:rPr>
        <w:t xml:space="preserve">,</w:t>
      </w:r>
      <w:r>
        <w:br/>
      </w:r>
      <w:r>
        <w:rPr>
          <w:rStyle w:val="NormalTok"/>
        </w:rPr>
        <w:t xml:space="preserve">                 type_: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"about:blank"</w:t>
      </w:r>
      <w:r>
        <w:rPr>
          <w:rStyle w:val="NormalTok"/>
        </w:rPr>
        <w:t xml:space="preserve">):</w:t>
      </w:r>
      <w:r>
        <w:br/>
      </w:r>
      <w:r>
        <w:rPr>
          <w:rStyle w:val="NormalTok"/>
        </w:rPr>
        <w:t xml:space="preserve">        </w:t>
      </w:r>
      <w:r>
        <w:rPr>
          <w:rStyle w:val="VariableTok"/>
        </w:rPr>
        <w:t xml:space="preserve">self</w:t>
      </w:r>
      <w:r>
        <w:rPr>
          <w:rStyle w:val="NormalTok"/>
        </w:rPr>
        <w:t xml:space="preserve">.status, </w:t>
      </w:r>
      <w:r>
        <w:rPr>
          <w:rStyle w:val="VariableTok"/>
        </w:rPr>
        <w:t xml:space="preserve">self</w:t>
      </w:r>
      <w:r>
        <w:rPr>
          <w:rStyle w:val="NormalTok"/>
        </w:rPr>
        <w:t xml:space="preserve">.title, </w:t>
      </w:r>
      <w:r>
        <w:rPr>
          <w:rStyle w:val="VariableTok"/>
        </w:rPr>
        <w:t xml:space="preserve">self</w:t>
      </w:r>
      <w:r>
        <w:rPr>
          <w:rStyle w:val="NormalTok"/>
        </w:rPr>
        <w:t xml:space="preserve">.detail, </w:t>
      </w:r>
      <w:r>
        <w:rPr>
          <w:rStyle w:val="VariableTok"/>
        </w:rPr>
        <w:t xml:space="preserve">self</w:t>
      </w:r>
      <w:r>
        <w:rPr>
          <w:rStyle w:val="NormalTok"/>
        </w:rPr>
        <w:t xml:space="preserve">.type_ </w:t>
      </w:r>
      <w:r>
        <w:rPr>
          <w:rStyle w:val="OperatorTok"/>
        </w:rPr>
        <w:t xml:space="preserve">=</w:t>
      </w:r>
      <w:r>
        <w:rPr>
          <w:rStyle w:val="NormalTok"/>
        </w:rPr>
        <w:t xml:space="preserve"> status, title, detail, type_</w:t>
      </w:r>
      <w:r>
        <w:br/>
      </w:r>
      <w:r>
        <w:br/>
      </w:r>
      <w:r>
        <w:br/>
      </w:r>
      <w:r>
        <w:rPr>
          <w:rStyle w:val="AttributeTok"/>
        </w:rPr>
        <w:t xml:space="preserve">@app.exception_handler</w:t>
      </w:r>
      <w:r>
        <w:rPr>
          <w:rStyle w:val="NormalTok"/>
        </w:rPr>
        <w:t xml:space="preserve">(Problem)</w:t>
      </w:r>
      <w:r>
        <w:br/>
      </w:r>
      <w:r>
        <w:rPr>
          <w:rStyle w:val="ControlFlowTok"/>
        </w:rPr>
        <w:t xml:space="preserve">async</w:t>
      </w:r>
      <w:r>
        <w:rPr>
          <w:rStyle w:val="NormalTok"/>
        </w:rPr>
        <w:t xml:space="preserve"> </w:t>
      </w:r>
      <w:r>
        <w:rPr>
          <w:rStyle w:val="KeywordTok"/>
        </w:rPr>
        <w:t xml:space="preserve">def</w:t>
      </w:r>
      <w:r>
        <w:rPr>
          <w:rStyle w:val="NormalTok"/>
        </w:rPr>
        <w:t xml:space="preserve"> problem_handler(request: Request, exc: Problem) </w:t>
      </w:r>
      <w:r>
        <w:rPr>
          <w:rStyle w:val="OperatorTok"/>
        </w:rPr>
        <w:t xml:space="preserve">-&gt;</w:t>
      </w:r>
      <w:r>
        <w:rPr>
          <w:rStyle w:val="NormalTok"/>
        </w:rPr>
        <w:t xml:space="preserve"> JSONResponse:</w:t>
      </w:r>
      <w:r>
        <w:br/>
      </w:r>
      <w:r>
        <w:rPr>
          <w:rStyle w:val="NormalTok"/>
        </w:rPr>
        <w:t xml:space="preserve">    </w:t>
      </w:r>
      <w:r>
        <w:rPr>
          <w:rStyle w:val="ControlFlowTok"/>
        </w:rPr>
        <w:t xml:space="preserve">return</w:t>
      </w:r>
      <w:r>
        <w:rPr>
          <w:rStyle w:val="NormalTok"/>
        </w:rPr>
        <w:t xml:space="preserve"> JSONResponse(</w:t>
      </w:r>
      <w:r>
        <w:br/>
      </w:r>
      <w:r>
        <w:rPr>
          <w:rStyle w:val="NormalTok"/>
        </w:rPr>
        <w:t xml:space="preserve">        status_code</w:t>
      </w:r>
      <w:r>
        <w:rPr>
          <w:rStyle w:val="OperatorTok"/>
        </w:rPr>
        <w:t xml:space="preserve">=</w:t>
      </w:r>
      <w:r>
        <w:rPr>
          <w:rStyle w:val="NormalTok"/>
        </w:rPr>
        <w:t xml:space="preserve">exc.status,</w:t>
      </w:r>
      <w:r>
        <w:br/>
      </w:r>
      <w:r>
        <w:rPr>
          <w:rStyle w:val="NormalTok"/>
        </w:rPr>
        <w:t xml:space="preserve">        media_type</w:t>
      </w:r>
      <w:r>
        <w:rPr>
          <w:rStyle w:val="OperatorTok"/>
        </w:rPr>
        <w:t xml:space="preserve">=</w:t>
      </w:r>
      <w:r>
        <w:rPr>
          <w:rStyle w:val="StringTok"/>
        </w:rPr>
        <w:t xml:space="preserve">"application/problem+json"</w:t>
      </w:r>
      <w:r>
        <w:rPr>
          <w:rStyle w:val="NormalTok"/>
        </w:rPr>
        <w:t xml:space="preserve">,</w:t>
      </w:r>
      <w:r>
        <w:br/>
      </w:r>
      <w:r>
        <w:rPr>
          <w:rStyle w:val="NormalTok"/>
        </w:rPr>
        <w:t xml:space="preserve">        content</w:t>
      </w:r>
      <w:r>
        <w:rPr>
          <w:rStyle w:val="OperatorTok"/>
        </w:rPr>
        <w:t xml:space="preserve">=</w:t>
      </w:r>
      <w:r>
        <w:rPr>
          <w:rStyle w:val="NormalTok"/>
        </w:rPr>
        <w:t xml:space="preserve">{</w:t>
      </w:r>
      <w:r>
        <w:rPr>
          <w:rStyle w:val="StringTok"/>
        </w:rPr>
        <w:t xml:space="preserve">"type"</w:t>
      </w:r>
      <w:r>
        <w:rPr>
          <w:rStyle w:val="NormalTok"/>
        </w:rPr>
        <w:t xml:space="preserve">: exc.type_, </w:t>
      </w:r>
      <w:r>
        <w:rPr>
          <w:rStyle w:val="StringTok"/>
        </w:rPr>
        <w:t xml:space="preserve">"title"</w:t>
      </w:r>
      <w:r>
        <w:rPr>
          <w:rStyle w:val="NormalTok"/>
        </w:rPr>
        <w:t xml:space="preserve">: exc.title, </w:t>
      </w:r>
      <w:r>
        <w:rPr>
          <w:rStyle w:val="StringTok"/>
        </w:rPr>
        <w:t xml:space="preserve">"status"</w:t>
      </w:r>
      <w:r>
        <w:rPr>
          <w:rStyle w:val="NormalTok"/>
        </w:rPr>
        <w:t xml:space="preserve">: exc.status,</w:t>
      </w:r>
      <w:r>
        <w:br/>
      </w:r>
      <w:r>
        <w:rPr>
          <w:rStyle w:val="NormalTok"/>
        </w:rPr>
        <w:t xml:space="preserve">                 </w:t>
      </w:r>
      <w:r>
        <w:rPr>
          <w:rStyle w:val="StringTok"/>
        </w:rPr>
        <w:t xml:space="preserve">"detail"</w:t>
      </w:r>
      <w:r>
        <w:rPr>
          <w:rStyle w:val="NormalTok"/>
        </w:rPr>
        <w:t xml:space="preserve">: exc.detail, </w:t>
      </w:r>
      <w:r>
        <w:rPr>
          <w:rStyle w:val="StringTok"/>
        </w:rPr>
        <w:t xml:space="preserve">"instance"</w:t>
      </w:r>
      <w:r>
        <w:rPr>
          <w:rStyle w:val="NormalTok"/>
        </w:rPr>
        <w:t xml:space="preserve">: request.url.path},</w:t>
      </w:r>
      <w:r>
        <w:br/>
      </w:r>
      <w:r>
        <w:rPr>
          <w:rStyle w:val="NormalTok"/>
        </w:rPr>
        <w:t xml:space="preserve">    )</w:t>
      </w:r>
      <w:r>
        <w:br/>
      </w:r>
      <w:r>
        <w:br/>
      </w:r>
      <w:r>
        <w:br/>
      </w:r>
      <w:r>
        <w:rPr>
          <w:rStyle w:val="KeywordTok"/>
        </w:rPr>
        <w:t xml:space="preserve">def</w:t>
      </w:r>
      <w:r>
        <w:rPr>
          <w:rStyle w:val="NormalTok"/>
        </w:rPr>
        <w:t xml:space="preserve"> encode_cursor(created_at: </w:t>
      </w:r>
      <w:r>
        <w:rPr>
          <w:rStyle w:val="BuiltInTok"/>
        </w:rPr>
        <w:t xml:space="preserve">str</w:t>
      </w:r>
      <w:r>
        <w:rPr>
          <w:rStyle w:val="NormalTok"/>
        </w:rPr>
        <w:t xml:space="preserve">, row_id: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raw </w:t>
      </w:r>
      <w:r>
        <w:rPr>
          <w:rStyle w:val="OperatorTok"/>
        </w:rPr>
        <w:t xml:space="preserve">=</w:t>
      </w:r>
      <w:r>
        <w:rPr>
          <w:rStyle w:val="NormalTok"/>
        </w:rPr>
        <w:t xml:space="preserve"> json.dumps([created_at, row_id]).encode()</w:t>
      </w:r>
      <w:r>
        <w:br/>
      </w:r>
      <w:r>
        <w:rPr>
          <w:rStyle w:val="NormalTok"/>
        </w:rPr>
        <w:t xml:space="preserve">    </w:t>
      </w:r>
      <w:r>
        <w:rPr>
          <w:rStyle w:val="ControlFlowTok"/>
        </w:rPr>
        <w:t xml:space="preserve">return</w:t>
      </w:r>
      <w:r>
        <w:rPr>
          <w:rStyle w:val="NormalTok"/>
        </w:rPr>
        <w:t xml:space="preserve"> base64.urlsafe_b64encode(raw).decode().rstrip(</w:t>
      </w:r>
      <w:r>
        <w:rPr>
          <w:rStyle w:val="StringTok"/>
        </w:rPr>
        <w:t xml:space="preserve">"="</w:t>
      </w:r>
      <w:r>
        <w:rPr>
          <w:rStyle w:val="NormalTok"/>
        </w:rPr>
        <w:t xml:space="preserve">)</w:t>
      </w:r>
      <w:r>
        <w:br/>
      </w:r>
      <w:r>
        <w:br/>
      </w:r>
      <w:r>
        <w:br/>
      </w:r>
      <w:r>
        <w:rPr>
          <w:rStyle w:val="KeywordTok"/>
        </w:rPr>
        <w:t xml:space="preserve">def</w:t>
      </w:r>
      <w:r>
        <w:rPr>
          <w:rStyle w:val="NormalTok"/>
        </w:rPr>
        <w:t xml:space="preserve"> decode_cursor(cursor: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str</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padded </w:t>
      </w:r>
      <w:r>
        <w:rPr>
          <w:rStyle w:val="OperatorTok"/>
        </w:rPr>
        <w:t xml:space="preserve">=</w:t>
      </w:r>
      <w:r>
        <w:rPr>
          <w:rStyle w:val="NormalTok"/>
        </w:rPr>
        <w:t xml:space="preserve"> cursor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uiltInTok"/>
        </w:rPr>
        <w:t xml:space="preserve">len</w:t>
      </w:r>
      <w:r>
        <w:rPr>
          <w:rStyle w:val="NormalTok"/>
        </w:rPr>
        <w:t xml:space="preserve">(cursor)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created_at, row_id </w:t>
      </w:r>
      <w:r>
        <w:rPr>
          <w:rStyle w:val="OperatorTok"/>
        </w:rPr>
        <w:t xml:space="preserve">=</w:t>
      </w:r>
      <w:r>
        <w:rPr>
          <w:rStyle w:val="NormalTok"/>
        </w:rPr>
        <w:t xml:space="preserve"> json.loads(base64.urlsafe_b64decode(padded))</w:t>
      </w:r>
      <w:r>
        <w:br/>
      </w:r>
      <w:r>
        <w:rPr>
          <w:rStyle w:val="NormalTok"/>
        </w:rPr>
        <w:t xml:space="preserve">        </w:t>
      </w:r>
      <w:r>
        <w:rPr>
          <w:rStyle w:val="ControlFlowTok"/>
        </w:rPr>
        <w:t xml:space="preserve">return</w:t>
      </w:r>
      <w:r>
        <w:rPr>
          <w:rStyle w:val="NormalTok"/>
        </w:rPr>
        <w:t xml:space="preserve"> </w:t>
      </w:r>
      <w:r>
        <w:rPr>
          <w:rStyle w:val="BuiltInTok"/>
        </w:rPr>
        <w:t xml:space="preserve">str</w:t>
      </w:r>
      <w:r>
        <w:rPr>
          <w:rStyle w:val="NormalTok"/>
        </w:rPr>
        <w:t xml:space="preserve">(created_at), </w:t>
      </w:r>
      <w:r>
        <w:rPr>
          <w:rStyle w:val="BuiltInTok"/>
        </w:rPr>
        <w:t xml:space="preserve">int</w:t>
      </w:r>
      <w:r>
        <w:rPr>
          <w:rStyle w:val="NormalTok"/>
        </w:rPr>
        <w:t xml:space="preserve">(row_id)</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ControlFlowTok"/>
        </w:rPr>
        <w:t xml:space="preserve">raise</w:t>
      </w:r>
      <w:r>
        <w:rPr>
          <w:rStyle w:val="NormalTok"/>
        </w:rPr>
        <w:t xml:space="preserve"> Problem(</w:t>
      </w:r>
      <w:r>
        <w:rPr>
          <w:rStyle w:val="DecValTok"/>
        </w:rPr>
        <w:t xml:space="preserve">400</w:t>
      </w:r>
      <w:r>
        <w:rPr>
          <w:rStyle w:val="NormalTok"/>
        </w:rPr>
        <w:t xml:space="preserve">, </w:t>
      </w:r>
      <w:r>
        <w:rPr>
          <w:rStyle w:val="StringTok"/>
        </w:rPr>
        <w:t xml:space="preserve">"Invalid cursor"</w:t>
      </w:r>
      <w:r>
        <w:rPr>
          <w:rStyle w:val="NormalTok"/>
        </w:rPr>
        <w:t xml:space="preserve">,</w:t>
      </w:r>
      <w:r>
        <w:br/>
      </w:r>
      <w:r>
        <w:rPr>
          <w:rStyle w:val="NormalTok"/>
        </w:rPr>
        <w:t xml:space="preserve">                      </w:t>
      </w:r>
      <w:r>
        <w:rPr>
          <w:rStyle w:val="StringTok"/>
        </w:rPr>
        <w:t xml:space="preserve">"The cursor parameter is malformed or expired."</w:t>
      </w:r>
      <w:r>
        <w:rPr>
          <w:rStyle w:val="NormalTok"/>
        </w:rPr>
        <w:t xml:space="preserve">,</w:t>
      </w:r>
      <w:r>
        <w:br/>
      </w:r>
      <w:r>
        <w:rPr>
          <w:rStyle w:val="NormalTok"/>
        </w:rPr>
        <w:t xml:space="preserve">                      </w:t>
      </w:r>
      <w:r>
        <w:rPr>
          <w:rStyle w:val="StringTok"/>
        </w:rPr>
        <w:t xml:space="preserve">"https://api.example.com/problems/invalid-cursor"</w:t>
      </w:r>
      <w:r>
        <w:rPr>
          <w:rStyle w:val="NormalTok"/>
        </w:rPr>
        <w:t xml:space="preserve">)</w:t>
      </w:r>
      <w:r>
        <w:br/>
      </w:r>
      <w:r>
        <w:br/>
      </w:r>
      <w:r>
        <w:br/>
      </w:r>
      <w:r>
        <w:rPr>
          <w:rStyle w:val="AttributeTok"/>
        </w:rPr>
        <w:t xml:space="preserve">@app.get</w:t>
      </w:r>
      <w:r>
        <w:rPr>
          <w:rStyle w:val="NormalTok"/>
        </w:rPr>
        <w:t xml:space="preserve">(</w:t>
      </w:r>
      <w:r>
        <w:rPr>
          <w:rStyle w:val="StringTok"/>
        </w:rPr>
        <w:t xml:space="preserve">"/v1/articles"</w:t>
      </w:r>
      <w:r>
        <w:rPr>
          <w:rStyle w:val="NormalTok"/>
        </w:rPr>
        <w:t xml:space="preserve">)</w:t>
      </w:r>
      <w:r>
        <w:br/>
      </w:r>
      <w:r>
        <w:rPr>
          <w:rStyle w:val="KeywordTok"/>
        </w:rPr>
        <w:t xml:space="preserve">def</w:t>
      </w:r>
      <w:r>
        <w:rPr>
          <w:rStyle w:val="NormalTok"/>
        </w:rPr>
        <w:t xml:space="preserve"> list_articles(</w:t>
      </w:r>
      <w:r>
        <w:br/>
      </w:r>
      <w:r>
        <w:rPr>
          <w:rStyle w:val="NormalTok"/>
        </w:rPr>
        <w:t xml:space="preserve">    limit: </w:t>
      </w:r>
      <w:r>
        <w:rPr>
          <w:rStyle w:val="BuiltInTok"/>
        </w:rPr>
        <w:t xml:space="preserve">int</w:t>
      </w:r>
      <w:r>
        <w:rPr>
          <w:rStyle w:val="NormalTok"/>
        </w:rPr>
        <w:t xml:space="preserve"> </w:t>
      </w:r>
      <w:r>
        <w:rPr>
          <w:rStyle w:val="OperatorTok"/>
        </w:rPr>
        <w:t xml:space="preserve">=</w:t>
      </w:r>
      <w:r>
        <w:rPr>
          <w:rStyle w:val="NormalTok"/>
        </w:rPr>
        <w:t xml:space="preserve"> Query(</w:t>
      </w:r>
      <w:r>
        <w:rPr>
          <w:rStyle w:val="DecValTok"/>
        </w:rPr>
        <w:t xml:space="preserve">20</w:t>
      </w:r>
      <w:r>
        <w:rPr>
          <w:rStyle w:val="NormalTok"/>
        </w:rPr>
        <w:t xml:space="preserve">, ge</w:t>
      </w:r>
      <w:r>
        <w:rPr>
          <w:rStyle w:val="OperatorTok"/>
        </w:rPr>
        <w:t xml:space="preserve">=</w:t>
      </w:r>
      <w:r>
        <w:rPr>
          <w:rStyle w:val="DecValTok"/>
        </w:rPr>
        <w:t xml:space="preserve">1</w:t>
      </w:r>
      <w:r>
        <w:rPr>
          <w:rStyle w:val="NormalTok"/>
        </w:rPr>
        <w:t xml:space="preserve">, le</w:t>
      </w:r>
      <w:r>
        <w:rPr>
          <w:rStyle w:val="OperatorTok"/>
        </w:rPr>
        <w:t xml:space="preserve">=</w:t>
      </w:r>
      <w:r>
        <w:rPr>
          <w:rStyle w:val="DecValTok"/>
        </w:rPr>
        <w:t xml:space="preserve">100</w:t>
      </w:r>
      <w:r>
        <w:rPr>
          <w:rStyle w:val="NormalTok"/>
        </w:rPr>
        <w:t xml:space="preserve">),</w:t>
      </w:r>
      <w:r>
        <w:br/>
      </w:r>
      <w:r>
        <w:rPr>
          <w:rStyle w:val="NormalTok"/>
        </w:rPr>
        <w:t xml:space="preserve">    cursor: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status: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Query(</w:t>
      </w:r>
      <w:r>
        <w:rPr>
          <w:rStyle w:val="VariableTok"/>
        </w:rPr>
        <w:t xml:space="preserve">None</w:t>
      </w:r>
      <w:r>
        <w:rPr>
          <w:rStyle w:val="NormalTok"/>
        </w:rPr>
        <w:t xml:space="preserve">, pattern</w:t>
      </w:r>
      <w:r>
        <w:rPr>
          <w:rStyle w:val="OperatorTok"/>
        </w:rPr>
        <w:t xml:space="preserve">=</w:t>
      </w:r>
      <w:r>
        <w:rPr>
          <w:rStyle w:val="StringTok"/>
        </w:rPr>
        <w:t xml:space="preserve">"^(draft|published)$"</w:t>
      </w:r>
      <w:r>
        <w:rPr>
          <w:rStyle w:val="NormalTok"/>
        </w:rPr>
        <w:t xml:space="preserve">),</w:t>
      </w:r>
      <w:r>
        <w:br/>
      </w:r>
      <w:r>
        <w:rPr>
          <w:rStyle w:val="NormalTok"/>
        </w:rPr>
        <w:t xml:space="preserve">):</w:t>
      </w:r>
      <w:r>
        <w:br/>
      </w:r>
      <w:r>
        <w:rPr>
          <w:rStyle w:val="NormalTok"/>
        </w:rPr>
        <w:t xml:space="preserve">    where, params </w:t>
      </w:r>
      <w:r>
        <w:rPr>
          <w:rStyle w:val="OperatorTok"/>
        </w:rPr>
        <w:t xml:space="preserve">=</w:t>
      </w:r>
      <w:r>
        <w:rPr>
          <w:rStyle w:val="NormalTok"/>
        </w:rPr>
        <w:t xml:space="preserve"> [], []</w:t>
      </w:r>
      <w:r>
        <w:br/>
      </w:r>
      <w:r>
        <w:rPr>
          <w:rStyle w:val="NormalTok"/>
        </w:rPr>
        <w:t xml:space="preserve">    </w:t>
      </w:r>
      <w:r>
        <w:rPr>
          <w:rStyle w:val="ControlFlowTok"/>
        </w:rPr>
        <w:t xml:space="preserve">if</w:t>
      </w:r>
      <w:r>
        <w:rPr>
          <w:rStyle w:val="NormalTok"/>
        </w:rPr>
        <w:t xml:space="preserve"> status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where.append(</w:t>
      </w:r>
      <w:r>
        <w:rPr>
          <w:rStyle w:val="StringTok"/>
        </w:rPr>
        <w:t xml:space="preserve">"status = ?"</w:t>
      </w:r>
      <w:r>
        <w:rPr>
          <w:rStyle w:val="NormalTok"/>
        </w:rPr>
        <w:t xml:space="preserve">)</w:t>
      </w:r>
      <w:r>
        <w:br/>
      </w:r>
      <w:r>
        <w:rPr>
          <w:rStyle w:val="NormalTok"/>
        </w:rPr>
        <w:t xml:space="preserve">        params.append(status)</w:t>
      </w:r>
      <w:r>
        <w:br/>
      </w:r>
      <w:r>
        <w:rPr>
          <w:rStyle w:val="NormalTok"/>
        </w:rPr>
        <w:t xml:space="preserve">    </w:t>
      </w:r>
      <w:r>
        <w:rPr>
          <w:rStyle w:val="ControlFlowTok"/>
        </w:rPr>
        <w:t xml:space="preserve">if</w:t>
      </w:r>
      <w:r>
        <w:rPr>
          <w:rStyle w:val="NormalTok"/>
        </w:rPr>
        <w:t xml:space="preserve"> cursor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created_at, last_id </w:t>
      </w:r>
      <w:r>
        <w:rPr>
          <w:rStyle w:val="OperatorTok"/>
        </w:rPr>
        <w:t xml:space="preserve">=</w:t>
      </w:r>
      <w:r>
        <w:rPr>
          <w:rStyle w:val="NormalTok"/>
        </w:rPr>
        <w:t xml:space="preserve"> decode_cursor(cursor)</w:t>
      </w:r>
      <w:r>
        <w:br/>
      </w:r>
      <w:r>
        <w:rPr>
          <w:rStyle w:val="NormalTok"/>
        </w:rPr>
        <w:t xml:space="preserve">        where.append(</w:t>
      </w:r>
      <w:r>
        <w:rPr>
          <w:rStyle w:val="StringTok"/>
        </w:rPr>
        <w:t xml:space="preserve">"(created_at, id) &lt; (?, ?)"</w:t>
      </w:r>
      <w:r>
        <w:rPr>
          <w:rStyle w:val="NormalTok"/>
        </w:rPr>
        <w:t xml:space="preserve">)      </w:t>
      </w:r>
      <w:r>
        <w:rPr>
          <w:rStyle w:val="CommentTok"/>
        </w:rPr>
        <w:t xml:space="preserve"># keyset predicate</w:t>
      </w:r>
      <w:r>
        <w:br/>
      </w:r>
      <w:r>
        <w:rPr>
          <w:rStyle w:val="NormalTok"/>
        </w:rPr>
        <w:t xml:space="preserve">        params </w:t>
      </w:r>
      <w:r>
        <w:rPr>
          <w:rStyle w:val="OperatorTok"/>
        </w:rPr>
        <w:t xml:space="preserve">+=</w:t>
      </w:r>
      <w:r>
        <w:rPr>
          <w:rStyle w:val="NormalTok"/>
        </w:rPr>
        <w:t xml:space="preserve"> [created_at, last_id]</w:t>
      </w:r>
      <w:r>
        <w:br/>
      </w:r>
      <w:r>
        <w:br/>
      </w:r>
      <w:r>
        <w:rPr>
          <w:rStyle w:val="NormalTok"/>
        </w:rPr>
        <w:t xml:space="preserve">    sql </w:t>
      </w:r>
      <w:r>
        <w:rPr>
          <w:rStyle w:val="OperatorTok"/>
        </w:rPr>
        <w:t xml:space="preserve">=</w:t>
      </w:r>
      <w:r>
        <w:rPr>
          <w:rStyle w:val="NormalTok"/>
        </w:rPr>
        <w:t xml:space="preserve"> </w:t>
      </w:r>
      <w:r>
        <w:rPr>
          <w:rStyle w:val="StringTok"/>
        </w:rPr>
        <w:t xml:space="preserve">"SELECT id, title, status, created_at FROM articles"</w:t>
      </w:r>
      <w:r>
        <w:br/>
      </w:r>
      <w:r>
        <w:rPr>
          <w:rStyle w:val="NormalTok"/>
        </w:rPr>
        <w:t xml:space="preserve">    </w:t>
      </w:r>
      <w:r>
        <w:rPr>
          <w:rStyle w:val="ControlFlowTok"/>
        </w:rPr>
        <w:t xml:space="preserve">if</w:t>
      </w:r>
      <w:r>
        <w:rPr>
          <w:rStyle w:val="NormalTok"/>
        </w:rPr>
        <w:t xml:space="preserve"> where:</w:t>
      </w:r>
      <w:r>
        <w:br/>
      </w:r>
      <w:r>
        <w:rPr>
          <w:rStyle w:val="NormalTok"/>
        </w:rPr>
        <w:t xml:space="preserve">        sql </w:t>
      </w:r>
      <w:r>
        <w:rPr>
          <w:rStyle w:val="OperatorTok"/>
        </w:rPr>
        <w:t xml:space="preserve">+=</w:t>
      </w:r>
      <w:r>
        <w:rPr>
          <w:rStyle w:val="NormalTok"/>
        </w:rPr>
        <w:t xml:space="preserve"> </w:t>
      </w:r>
      <w:r>
        <w:rPr>
          <w:rStyle w:val="StringTok"/>
        </w:rPr>
        <w:t xml:space="preserve">" WHERE "</w:t>
      </w:r>
      <w:r>
        <w:rPr>
          <w:rStyle w:val="NormalTok"/>
        </w:rPr>
        <w:t xml:space="preserve"> </w:t>
      </w:r>
      <w:r>
        <w:rPr>
          <w:rStyle w:val="OperatorTok"/>
        </w:rPr>
        <w:t xml:space="preserve">+</w:t>
      </w:r>
      <w:r>
        <w:rPr>
          <w:rStyle w:val="NormalTok"/>
        </w:rPr>
        <w:t xml:space="preserve"> </w:t>
      </w:r>
      <w:r>
        <w:rPr>
          <w:rStyle w:val="StringTok"/>
        </w:rPr>
        <w:t xml:space="preserve">" AND "</w:t>
      </w:r>
      <w:r>
        <w:rPr>
          <w:rStyle w:val="NormalTok"/>
        </w:rPr>
        <w:t xml:space="preserve">.join(where)</w:t>
      </w:r>
      <w:r>
        <w:br/>
      </w:r>
      <w:r>
        <w:rPr>
          <w:rStyle w:val="NormalTok"/>
        </w:rPr>
        <w:t xml:space="preserve">    sql </w:t>
      </w:r>
      <w:r>
        <w:rPr>
          <w:rStyle w:val="OperatorTok"/>
        </w:rPr>
        <w:t xml:space="preserve">+=</w:t>
      </w:r>
      <w:r>
        <w:rPr>
          <w:rStyle w:val="NormalTok"/>
        </w:rPr>
        <w:t xml:space="preserve"> </w:t>
      </w:r>
      <w:r>
        <w:rPr>
          <w:rStyle w:val="StringTok"/>
        </w:rPr>
        <w:t xml:space="preserve">" ORDER BY created_at DESC, id DESC LIMIT ?"</w:t>
      </w:r>
      <w:r>
        <w:br/>
      </w:r>
      <w:r>
        <w:rPr>
          <w:rStyle w:val="NormalTok"/>
        </w:rPr>
        <w:t xml:space="preserve">    params.append(limit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fetch one extra row</w:t>
      </w:r>
      <w:r>
        <w:br/>
      </w:r>
      <w:r>
        <w:br/>
      </w:r>
      <w:r>
        <w:rPr>
          <w:rStyle w:val="NormalTok"/>
        </w:rPr>
        <w:t xml:space="preserve">    rows </w:t>
      </w:r>
      <w:r>
        <w:rPr>
          <w:rStyle w:val="OperatorTok"/>
        </w:rPr>
        <w:t xml:space="preserve">=</w:t>
      </w:r>
      <w:r>
        <w:rPr>
          <w:rStyle w:val="NormalTok"/>
        </w:rPr>
        <w:t xml:space="preserve"> db.execute(sql, params).fetchall()</w:t>
      </w:r>
      <w:r>
        <w:br/>
      </w:r>
      <w:r>
        <w:rPr>
          <w:rStyle w:val="NormalTok"/>
        </w:rPr>
        <w:t xml:space="preserve">    has_more </w:t>
      </w:r>
      <w:r>
        <w:rPr>
          <w:rStyle w:val="OperatorTok"/>
        </w:rPr>
        <w:t xml:space="preserve">=</w:t>
      </w:r>
      <w:r>
        <w:rPr>
          <w:rStyle w:val="NormalTok"/>
        </w:rPr>
        <w:t xml:space="preserve"> </w:t>
      </w:r>
      <w:r>
        <w:rPr>
          <w:rStyle w:val="BuiltInTok"/>
        </w:rPr>
        <w:t xml:space="preserve">len</w:t>
      </w:r>
      <w:r>
        <w:rPr>
          <w:rStyle w:val="NormalTok"/>
        </w:rPr>
        <w:t xml:space="preserve">(rows) </w:t>
      </w:r>
      <w:r>
        <w:rPr>
          <w:rStyle w:val="OperatorTok"/>
        </w:rPr>
        <w:t xml:space="preserve">&gt;</w:t>
      </w:r>
      <w:r>
        <w:rPr>
          <w:rStyle w:val="NormalTok"/>
        </w:rPr>
        <w:t xml:space="preserve"> limit</w:t>
      </w:r>
      <w:r>
        <w:br/>
      </w:r>
      <w:r>
        <w:rPr>
          <w:rStyle w:val="NormalTok"/>
        </w:rPr>
        <w:t xml:space="preserve">    rows </w:t>
      </w:r>
      <w:r>
        <w:rPr>
          <w:rStyle w:val="OperatorTok"/>
        </w:rPr>
        <w:t xml:space="preserve">=</w:t>
      </w:r>
      <w:r>
        <w:rPr>
          <w:rStyle w:val="NormalTok"/>
        </w:rPr>
        <w:t xml:space="preserve"> rows[:limit]</w:t>
      </w:r>
      <w:r>
        <w:br/>
      </w:r>
      <w:r>
        <w:rPr>
          <w:rStyle w:val="NormalTok"/>
        </w:rPr>
        <w:t xml:space="preserve">    next_cursor </w:t>
      </w:r>
      <w:r>
        <w:rPr>
          <w:rStyle w:val="OperatorTok"/>
        </w:rPr>
        <w:t xml:space="preserve">=</w:t>
      </w:r>
      <w:r>
        <w:rPr>
          <w:rStyle w:val="NormalTok"/>
        </w:rPr>
        <w:t xml:space="preserve"> (encode_cursor(rows[</w:t>
      </w:r>
      <w:r>
        <w:rPr>
          <w:rStyle w:val="OperatorTok"/>
        </w:rPr>
        <w:t xml:space="preserve">-</w:t>
      </w:r>
      <w:r>
        <w:rPr>
          <w:rStyle w:val="DecValTok"/>
        </w:rPr>
        <w:t xml:space="preserve">1</w:t>
      </w:r>
      <w:r>
        <w:rPr>
          <w:rStyle w:val="NormalTok"/>
        </w:rPr>
        <w:t xml:space="preserve">][</w:t>
      </w:r>
      <w:r>
        <w:rPr>
          <w:rStyle w:val="StringTok"/>
        </w:rPr>
        <w:t xml:space="preserve">"created_at"</w:t>
      </w:r>
      <w:r>
        <w:rPr>
          <w:rStyle w:val="NormalTok"/>
        </w:rPr>
        <w:t xml:space="preserve">], rows[</w:t>
      </w:r>
      <w:r>
        <w:rPr>
          <w:rStyle w:val="OperatorTok"/>
        </w:rPr>
        <w:t xml:space="preserve">-</w:t>
      </w:r>
      <w:r>
        <w:rPr>
          <w:rStyle w:val="DecValTok"/>
        </w:rPr>
        <w:t xml:space="preserve">1</w:t>
      </w:r>
      <w:r>
        <w:rPr>
          <w:rStyle w:val="NormalTok"/>
        </w:rPr>
        <w:t xml:space="preserve">][</w:t>
      </w:r>
      <w:r>
        <w:rPr>
          <w:rStyle w:val="StringTok"/>
        </w:rPr>
        <w:t xml:space="preserve">"id"</w:t>
      </w:r>
      <w:r>
        <w:rPr>
          <w:rStyle w:val="NormalTok"/>
        </w:rPr>
        <w:t xml:space="preserve">])</w:t>
      </w:r>
      <w:r>
        <w:br/>
      </w:r>
      <w:r>
        <w:rPr>
          <w:rStyle w:val="NormalTok"/>
        </w:rPr>
        <w:t xml:space="preserve">                   </w:t>
      </w:r>
      <w:r>
        <w:rPr>
          <w:rStyle w:val="ControlFlowTok"/>
        </w:rPr>
        <w:t xml:space="preserve">if</w:t>
      </w:r>
      <w:r>
        <w:rPr>
          <w:rStyle w:val="NormalTok"/>
        </w:rPr>
        <w:t xml:space="preserve"> has_more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"data"</w:t>
      </w:r>
      <w:r>
        <w:rPr>
          <w:rStyle w:val="NormalTok"/>
        </w:rPr>
        <w:t xml:space="preserve">: [</w:t>
      </w:r>
      <w:r>
        <w:rPr>
          <w:rStyle w:val="BuiltInTok"/>
        </w:rPr>
        <w:t xml:space="preserve">dict</w:t>
      </w:r>
      <w:r>
        <w:rPr>
          <w:rStyle w:val="NormalTok"/>
        </w:rPr>
        <w:t xml:space="preserve">(r) </w:t>
      </w:r>
      <w:r>
        <w:rPr>
          <w:rStyle w:val="ControlFlowTok"/>
        </w:rPr>
        <w:t xml:space="preserve">for</w:t>
      </w:r>
      <w:r>
        <w:rPr>
          <w:rStyle w:val="NormalTok"/>
        </w:rPr>
        <w:t xml:space="preserve"> r </w:t>
      </w:r>
      <w:r>
        <w:rPr>
          <w:rStyle w:val="KeywordTok"/>
        </w:rPr>
        <w:t xml:space="preserve">in</w:t>
      </w:r>
      <w:r>
        <w:rPr>
          <w:rStyle w:val="NormalTok"/>
        </w:rPr>
        <w:t xml:space="preserve"> rows], </w:t>
      </w:r>
      <w:r>
        <w:rPr>
          <w:rStyle w:val="StringTok"/>
        </w:rPr>
        <w:t xml:space="preserve">"next_cursor"</w:t>
      </w:r>
      <w:r>
        <w:rPr>
          <w:rStyle w:val="NormalTok"/>
        </w:rPr>
        <w:t xml:space="preserve">: next_cursor}</w:t>
      </w:r>
      <w:r>
        <w:br/>
      </w:r>
      <w:r>
        <w:br/>
      </w:r>
      <w:r>
        <w:br/>
      </w:r>
      <w:r>
        <w:rPr>
          <w:rStyle w:val="AttributeTok"/>
        </w:rPr>
        <w:t xml:space="preserve">@app.get</w:t>
      </w:r>
      <w:r>
        <w:rPr>
          <w:rStyle w:val="NormalTok"/>
        </w:rPr>
        <w:t xml:space="preserve">(</w:t>
      </w:r>
      <w:r>
        <w:rPr>
          <w:rStyle w:val="StringTok"/>
        </w:rPr>
        <w:t xml:space="preserve">"/v1/articles/</w:t>
      </w:r>
      <w:r>
        <w:rPr>
          <w:rStyle w:val="SpecialCharTok"/>
        </w:rPr>
        <w:t xml:space="preserve">{article_id}</w:t>
      </w:r>
      <w:r>
        <w:rPr>
          <w:rStyle w:val="StringTok"/>
        </w:rPr>
        <w:t xml:space="preserve">"</w:t>
      </w:r>
      <w:r>
        <w:rPr>
          <w:rStyle w:val="NormalTok"/>
        </w:rPr>
        <w:t xml:space="preserve">)</w:t>
      </w:r>
      <w:r>
        <w:br/>
      </w:r>
      <w:r>
        <w:rPr>
          <w:rStyle w:val="KeywordTok"/>
        </w:rPr>
        <w:t xml:space="preserve">def</w:t>
      </w:r>
      <w:r>
        <w:rPr>
          <w:rStyle w:val="NormalTok"/>
        </w:rPr>
        <w:t xml:space="preserve"> get_article(article_id: </w:t>
      </w:r>
      <w:r>
        <w:rPr>
          <w:rStyle w:val="BuiltInTok"/>
        </w:rPr>
        <w:t xml:space="preserve">int</w:t>
      </w:r>
      <w:r>
        <w:rPr>
          <w:rStyle w:val="NormalTok"/>
        </w:rPr>
        <w:t xml:space="preserve">):</w:t>
      </w:r>
      <w:r>
        <w:br/>
      </w:r>
      <w:r>
        <w:rPr>
          <w:rStyle w:val="NormalTok"/>
        </w:rPr>
        <w:t xml:space="preserve">    row </w:t>
      </w:r>
      <w:r>
        <w:rPr>
          <w:rStyle w:val="OperatorTok"/>
        </w:rPr>
        <w:t xml:space="preserve">=</w:t>
      </w:r>
      <w:r>
        <w:rPr>
          <w:rStyle w:val="NormalTok"/>
        </w:rPr>
        <w:t xml:space="preserve"> db.execute(</w:t>
      </w:r>
      <w:r>
        <w:rPr>
          <w:rStyle w:val="StringTok"/>
        </w:rPr>
        <w:t xml:space="preserve">"SELECT id, title, status, created_at FROM articles WHERE id = ?"</w:t>
      </w:r>
      <w:r>
        <w:rPr>
          <w:rStyle w:val="NormalTok"/>
        </w:rPr>
        <w:t xml:space="preserve">,</w:t>
      </w:r>
      <w:r>
        <w:br/>
      </w:r>
      <w:r>
        <w:rPr>
          <w:rStyle w:val="NormalTok"/>
        </w:rPr>
        <w:t xml:space="preserve">                     (article_id,)).fetchone()</w:t>
      </w:r>
      <w:r>
        <w:br/>
      </w:r>
      <w:r>
        <w:rPr>
          <w:rStyle w:val="NormalTok"/>
        </w:rPr>
        <w:t xml:space="preserve">    </w:t>
      </w:r>
      <w:r>
        <w:rPr>
          <w:rStyle w:val="ControlFlowTok"/>
        </w:rPr>
        <w:t xml:space="preserve">if</w:t>
      </w:r>
      <w:r>
        <w:rPr>
          <w:rStyle w:val="NormalTok"/>
        </w:rPr>
        <w:t xml:space="preserve"> row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Problem(</w:t>
      </w:r>
      <w:r>
        <w:rPr>
          <w:rStyle w:val="DecValTok"/>
        </w:rPr>
        <w:t xml:space="preserve">404</w:t>
      </w:r>
      <w:r>
        <w:rPr>
          <w:rStyle w:val="NormalTok"/>
        </w:rPr>
        <w:t xml:space="preserve">, </w:t>
      </w:r>
      <w:r>
        <w:rPr>
          <w:rStyle w:val="StringTok"/>
        </w:rPr>
        <w:t xml:space="preserve">"Not Found"</w:t>
      </w:r>
      <w:r>
        <w:rPr>
          <w:rStyle w:val="NormalTok"/>
        </w:rPr>
        <w:t xml:space="preserve">, </w:t>
      </w:r>
      <w:r>
        <w:rPr>
          <w:rStyle w:val="SpecialStringTok"/>
        </w:rPr>
        <w:t xml:space="preserve">f"No article with id </w:t>
      </w:r>
      <w:r>
        <w:rPr>
          <w:rStyle w:val="SpecialCharTok"/>
        </w:rPr>
        <w:t xml:space="preserve">{</w:t>
      </w:r>
      <w:r>
        <w:rPr>
          <w:rStyle w:val="NormalTok"/>
        </w:rPr>
        <w:t xml:space="preserve">article_id</w:t>
      </w:r>
      <w:r>
        <w:rPr>
          <w:rStyle w:val="SpecialCharTok"/>
        </w:rPr>
        <w:t xml:space="preserve">}</w:t>
      </w:r>
      <w:r>
        <w:rPr>
          <w:rStyle w:val="SpecialStringTok"/>
        </w:rPr>
        <w:t xml:space="preserve"> exists."</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dict</w:t>
      </w:r>
      <w:r>
        <w:rPr>
          <w:rStyle w:val="NormalTok"/>
        </w:rPr>
        <w:t xml:space="preserve">(row)</w:t>
      </w:r>
    </w:p>
    <w:p>
      <w:pPr>
        <w:pStyle w:val="FirstParagraph"/>
      </w:pPr>
      <w:r>
        <w:t xml:space="preserve">What to notice:</w:t>
      </w:r>
    </w:p>
    <w:p>
      <w:pPr>
        <w:numPr>
          <w:ilvl w:val="0"/>
          <w:numId w:val="1266"/>
        </w:numPr>
        <w:pStyle w:val="Compact"/>
      </w:pPr>
      <w:r>
        <w:rPr>
          <w:bCs/>
          <w:b/>
        </w:rPr>
        <w:t xml:space="preserve">The cursor is opaque.</w:t>
      </w:r>
      <w:r>
        <w:t xml:space="preserve"> </w:t>
      </w:r>
      <w:r>
        <w:t xml:space="preserve">Clients must treat it as a token, not parse it. That leaves you free to change its contents (add a sort field, sign or encrypt it, add an expiry) without a breaking change. In production, sign the cursor with an HMAC (as in §8.10.2) so clients cannot forge one that seeks to arbitrary positions.</w:t>
      </w:r>
    </w:p>
    <w:p>
      <w:pPr>
        <w:numPr>
          <w:ilvl w:val="0"/>
          <w:numId w:val="1266"/>
        </w:numPr>
        <w:pStyle w:val="Compact"/>
      </w:pPr>
      <w:r>
        <w:rPr>
          <w:rStyle w:val="VerbatimChar"/>
          <w:bCs/>
          <w:b/>
        </w:rPr>
        <w:t xml:space="preserve">limit</w:t>
      </w:r>
      <w:r>
        <w:rPr>
          <w:bCs/>
          <w:b/>
        </w:rPr>
        <w:t xml:space="preserve"> </w:t>
      </w:r>
      <w:r>
        <w:rPr>
          <w:bCs/>
          <w:b/>
        </w:rPr>
        <w:t xml:space="preserve">is bounded</w:t>
      </w:r>
      <w:r>
        <w:t xml:space="preserve"> </w:t>
      </w:r>
      <w:r>
        <w:t xml:space="preserve">(</w:t>
      </w:r>
      <w:r>
        <w:rPr>
          <w:rStyle w:val="VerbatimChar"/>
        </w:rPr>
        <w:t xml:space="preserve">le=100</w:t>
      </w:r>
      <w:r>
        <w:t xml:space="preserve">). An unbounded page size is a denial-of-service hole. FastAPI rejects</w:t>
      </w:r>
      <w:r>
        <w:t xml:space="preserve"> </w:t>
      </w:r>
      <w:r>
        <w:rPr>
          <w:rStyle w:val="VerbatimChar"/>
        </w:rPr>
        <w:t xml:space="preserve">limit=500</w:t>
      </w:r>
      <w:r>
        <w:t xml:space="preserve"> </w:t>
      </w:r>
      <w:r>
        <w:t xml:space="preserve">with</w:t>
      </w:r>
      <w:r>
        <w:t xml:space="preserve"> </w:t>
      </w:r>
      <w:r>
        <w:rPr>
          <w:rStyle w:val="VerbatimChar"/>
        </w:rPr>
        <w:t xml:space="preserve">422</w:t>
      </w:r>
      <w:r>
        <w:t xml:space="preserve"> </w:t>
      </w:r>
      <w:r>
        <w:t xml:space="preserve">automatically.</w:t>
      </w:r>
    </w:p>
    <w:p>
      <w:pPr>
        <w:numPr>
          <w:ilvl w:val="0"/>
          <w:numId w:val="1266"/>
        </w:numPr>
        <w:pStyle w:val="Compact"/>
      </w:pPr>
      <w:r>
        <w:rPr>
          <w:bCs/>
          <w:b/>
        </w:rPr>
        <w:t xml:space="preserve">SQL parameters are bound with</w:t>
      </w:r>
      <w:r>
        <w:rPr>
          <w:bCs/>
          <w:b/>
        </w:rPr>
        <w:t xml:space="preserve"> </w:t>
      </w:r>
      <w:r>
        <w:rPr>
          <w:rStyle w:val="VerbatimChar"/>
          <w:bCs/>
          <w:b/>
        </w:rPr>
        <w:t xml:space="preserve">?</w:t>
      </w:r>
      <w:r>
        <w:t xml:space="preserve">, never formatted into the string, which prevents SQL injection (§10.7).</w:t>
      </w:r>
    </w:p>
    <w:p>
      <w:pPr>
        <w:numPr>
          <w:ilvl w:val="0"/>
          <w:numId w:val="1266"/>
        </w:numPr>
        <w:pStyle w:val="Compact"/>
      </w:pPr>
      <w:r>
        <w:rPr>
          <w:bCs/>
          <w:b/>
        </w:rPr>
        <w:t xml:space="preserve">Filters and cursors compose</w:t>
      </w:r>
      <w:r>
        <w:t xml:space="preserve">: the</w:t>
      </w:r>
      <w:r>
        <w:t xml:space="preserve"> </w:t>
      </w:r>
      <w:r>
        <w:rPr>
          <w:rStyle w:val="VerbatimChar"/>
        </w:rPr>
        <w:t xml:space="preserve">status</w:t>
      </w:r>
      <w:r>
        <w:t xml:space="preserve"> </w:t>
      </w:r>
      <w:r>
        <w:t xml:space="preserve">predicate and the keyset predicate are both in the</w:t>
      </w:r>
      <w:r>
        <w:t xml:space="preserve"> </w:t>
      </w:r>
      <w:r>
        <w:rPr>
          <w:rStyle w:val="VerbatimChar"/>
        </w:rPr>
        <w:t xml:space="preserve">WHERE</w:t>
      </w:r>
      <w:r>
        <w:t xml:space="preserve"> </w:t>
      </w:r>
      <w:r>
        <w:t xml:space="preserve">clause. A production version would also bind the cursor to the filter that produced it, so a cursor from</w:t>
      </w:r>
      <w:r>
        <w:t xml:space="preserve"> </w:t>
      </w:r>
      <w:r>
        <w:rPr>
          <w:rStyle w:val="VerbatimChar"/>
        </w:rPr>
        <w:t xml:space="preserve">status=draft</w:t>
      </w:r>
      <w:r>
        <w:t xml:space="preserve"> </w:t>
      </w:r>
      <w:r>
        <w:t xml:space="preserve">cannot be replayed against</w:t>
      </w:r>
      <w:r>
        <w:t xml:space="preserve"> </w:t>
      </w:r>
      <w:r>
        <w:rPr>
          <w:rStyle w:val="VerbatimChar"/>
        </w:rPr>
        <w:t xml:space="preserve">status=published</w:t>
      </w:r>
      <w:r>
        <w:t xml:space="preserve">.</w:t>
      </w:r>
    </w:p>
    <w:p>
      <w:pPr>
        <w:pStyle w:val="FirstParagraph"/>
      </w:pPr>
      <w:r>
        <w:t xml:space="preserve">Exercising it with curl:</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w:t>
      </w:r>
      <w:r>
        <w:rPr>
          <w:rStyle w:val="StringTok"/>
        </w:rPr>
        <w:t xml:space="preserve">'http://localhost:8000/v1/articles?limit=2'</w:t>
      </w:r>
      <w:r>
        <w:br/>
      </w:r>
      <w:r>
        <w:rPr>
          <w:rStyle w:val="CommentTok"/>
        </w:rPr>
        <w:t xml:space="preserve"># {"data":[{"id":83,"title":"Article 83","status":"published","created_at":"2026-01-28T10:00:00Z"},</w:t>
      </w:r>
      <w:r>
        <w:br/>
      </w:r>
      <w:r>
        <w:rPr>
          <w:rStyle w:val="CommentTok"/>
        </w:rPr>
        <w:t xml:space="preserve">#          {"id":55,...}],"next_cursor":"WyIyMDI2LTAxLTI4VDEwOjAwOjAwWiIsIDU1XQ"}</w:t>
      </w:r>
      <w:r>
        <w:br/>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StringTok"/>
        </w:rPr>
        <w:t xml:space="preserve">'http://localhost:8000/v1/articles?limit=2&amp;cursor=WyIyMDI2LTAxLTI4VDEwOjAwOjAwWiIsIDU1XQ'</w:t>
      </w:r>
      <w:r>
        <w:br/>
      </w:r>
      <w:r>
        <w:br/>
      </w:r>
      <w:r>
        <w:rPr>
          <w:rStyle w:val="ExtensionTok"/>
        </w:rPr>
        <w:t xml:space="preserve">curl</w:t>
      </w:r>
      <w:r>
        <w:rPr>
          <w:rStyle w:val="NormalTok"/>
        </w:rPr>
        <w:t xml:space="preserve"> </w:t>
      </w:r>
      <w:r>
        <w:rPr>
          <w:rStyle w:val="AttributeTok"/>
        </w:rPr>
        <w:t xml:space="preserve">-si</w:t>
      </w:r>
      <w:r>
        <w:rPr>
          <w:rStyle w:val="NormalTok"/>
        </w:rPr>
        <w:t xml:space="preserve"> </w:t>
      </w:r>
      <w:r>
        <w:rPr>
          <w:rStyle w:val="StringTok"/>
        </w:rPr>
        <w:t xml:space="preserve">'http://localhost:8000/v1/articles/999'</w:t>
      </w:r>
      <w:r>
        <w:br/>
      </w:r>
      <w:r>
        <w:rPr>
          <w:rStyle w:val="CommentTok"/>
        </w:rPr>
        <w:t xml:space="preserve"># HTTP/1.1 404 Not Found</w:t>
      </w:r>
      <w:r>
        <w:br/>
      </w:r>
      <w:r>
        <w:rPr>
          <w:rStyle w:val="CommentTok"/>
        </w:rPr>
        <w:t xml:space="preserve"># content-type: application/problem+json</w:t>
      </w:r>
      <w:r>
        <w:br/>
      </w:r>
      <w:r>
        <w:rPr>
          <w:rStyle w:val="CommentTok"/>
        </w:rPr>
        <w:t xml:space="preserve"># {"type":"about:blank","title":"Not Found","status":404,</w:t>
      </w:r>
      <w:r>
        <w:br/>
      </w:r>
      <w:r>
        <w:rPr>
          <w:rStyle w:val="CommentTok"/>
        </w:rPr>
        <w:t xml:space="preserve">#  "detail":"No article with id 999 exists.","instance":"/v1/articles/999"}</w:t>
      </w:r>
    </w:p>
    <w:bookmarkEnd w:id="862"/>
    <w:bookmarkEnd w:id="863"/>
    <w:bookmarkStart w:id="864" w:name="filtering-and-sorting"/>
    <w:p>
      <w:pPr>
        <w:pStyle w:val="Heading3"/>
      </w:pPr>
      <w:r>
        <w:t xml:space="preserve">8.6.6 Filtering and sorting</w:t>
      </w:r>
    </w:p>
    <w:p>
      <w:pPr>
        <w:pStyle w:val="FirstParagraph"/>
      </w:pPr>
      <w:r>
        <w:t xml:space="preserve">Common conventions, any of which is fine if applied consistently:</w:t>
      </w:r>
    </w:p>
    <w:p>
      <w:pPr>
        <w:numPr>
          <w:ilvl w:val="0"/>
          <w:numId w:val="1267"/>
        </w:numPr>
        <w:pStyle w:val="Compact"/>
      </w:pPr>
      <w:r>
        <w:rPr>
          <w:bCs/>
          <w:b/>
        </w:rPr>
        <w:t xml:space="preserve">Filtering by field:</w:t>
      </w:r>
      <w:r>
        <w:t xml:space="preserve"> </w:t>
      </w:r>
      <w:r>
        <w:rPr>
          <w:rStyle w:val="VerbatimChar"/>
        </w:rPr>
        <w:t xml:space="preserve">GET /orders?status=shipped&amp;customer_id=c_17</w:t>
      </w:r>
      <w:r>
        <w:t xml:space="preserve">. For ranges:</w:t>
      </w:r>
      <w:r>
        <w:t xml:space="preserve"> </w:t>
      </w:r>
      <w:r>
        <w:rPr>
          <w:rStyle w:val="VerbatimChar"/>
        </w:rPr>
        <w:t xml:space="preserve">created_after=2026-01-01T00:00:00Z</w:t>
      </w:r>
      <w:r>
        <w:t xml:space="preserve"> </w:t>
      </w:r>
      <w:r>
        <w:t xml:space="preserve">or</w:t>
      </w:r>
      <w:r>
        <w:t xml:space="preserve"> </w:t>
      </w:r>
      <w:r>
        <w:rPr>
          <w:rStyle w:val="VerbatimChar"/>
        </w:rPr>
        <w:t xml:space="preserve">created_at[gte]=…</w:t>
      </w:r>
      <w:r>
        <w:t xml:space="preserve">.</w:t>
      </w:r>
    </w:p>
    <w:p>
      <w:pPr>
        <w:numPr>
          <w:ilvl w:val="0"/>
          <w:numId w:val="1267"/>
        </w:numPr>
        <w:pStyle w:val="Compact"/>
      </w:pPr>
      <w:r>
        <w:rPr>
          <w:bCs/>
          <w:b/>
        </w:rPr>
        <w:t xml:space="preserve">Sorting:</w:t>
      </w:r>
      <w:r>
        <w:t xml:space="preserve"> </w:t>
      </w:r>
      <w:r>
        <w:rPr>
          <w:rStyle w:val="VerbatimChar"/>
        </w:rPr>
        <w:t xml:space="preserve">?sort=-created_at,id</w:t>
      </w:r>
      <w:r>
        <w:t xml:space="preserve"> </w:t>
      </w:r>
      <w:r>
        <w:t xml:space="preserve">(minus for descending).</w:t>
      </w:r>
    </w:p>
    <w:p>
      <w:pPr>
        <w:numPr>
          <w:ilvl w:val="0"/>
          <w:numId w:val="1267"/>
        </w:numPr>
        <w:pStyle w:val="Compact"/>
      </w:pPr>
      <w:r>
        <w:rPr>
          <w:bCs/>
          <w:b/>
        </w:rPr>
        <w:t xml:space="preserve">Sparse fieldsets:</w:t>
      </w:r>
      <w:r>
        <w:t xml:space="preserve"> </w:t>
      </w:r>
      <w:r>
        <w:rPr>
          <w:rStyle w:val="VerbatimChar"/>
        </w:rPr>
        <w:t xml:space="preserve">?fields=id,title</w:t>
      </w:r>
      <w:r>
        <w:t xml:space="preserve"> </w:t>
      </w:r>
      <w:r>
        <w:t xml:space="preserve">to reduce payload size, a partial answer to the over-fetching that motivates GraphQL.</w:t>
      </w:r>
    </w:p>
    <w:p>
      <w:pPr>
        <w:numPr>
          <w:ilvl w:val="0"/>
          <w:numId w:val="1267"/>
        </w:numPr>
        <w:pStyle w:val="Compact"/>
      </w:pPr>
      <w:r>
        <w:rPr>
          <w:bCs/>
          <w:b/>
        </w:rPr>
        <w:t xml:space="preserve">Search</w:t>
      </w:r>
      <w:r>
        <w:t xml:space="preserve"> </w:t>
      </w:r>
      <w:r>
        <w:t xml:space="preserve">is a different operation from filtering. Free-text search belongs on a search endpoint backed by a search engine (Chapter 16), not on</w:t>
      </w:r>
      <w:r>
        <w:t xml:space="preserve"> </w:t>
      </w:r>
      <w:r>
        <w:rPr>
          <w:rStyle w:val="VerbatimChar"/>
        </w:rPr>
        <w:t xml:space="preserve">LIKE '%term%'</w:t>
      </w:r>
      <w:r>
        <w:t xml:space="preserve"> </w:t>
      </w:r>
      <w:r>
        <w:t xml:space="preserve">against the primary database.</w:t>
      </w:r>
    </w:p>
    <w:p>
      <w:pPr>
        <w:pStyle w:val="FirstParagraph"/>
      </w:pPr>
      <w:r>
        <w:t xml:space="preserve">Every filter and sort combination you allow is a query shape your database must serve efficiently. Allow-list the fields, and make sure each permitted combination has a supporting index; otherwise one creative client can trigger a full table scan per request. With cursor pagination, the cursor must encode the values of</w:t>
      </w:r>
      <w:r>
        <w:t xml:space="preserve"> </w:t>
      </w:r>
      <w:r>
        <w:rPr>
          <w:iCs/>
          <w:i/>
        </w:rPr>
        <w:t xml:space="preserve">every</w:t>
      </w:r>
      <w:r>
        <w:t xml:space="preserve"> </w:t>
      </w:r>
      <w:r>
        <w:t xml:space="preserve">sort column plus the tie-breaker.</w:t>
      </w:r>
    </w:p>
    <w:bookmarkEnd w:id="864"/>
    <w:bookmarkStart w:id="865" w:name="error-format-rfc-9457-problem-details"/>
    <w:p>
      <w:pPr>
        <w:pStyle w:val="Heading3"/>
      </w:pPr>
      <w:r>
        <w:t xml:space="preserve">8.6.7 Error format: RFC 9457 problem details</w:t>
      </w:r>
    </w:p>
    <w:p>
      <w:pPr>
        <w:pStyle w:val="FirstParagraph"/>
      </w:pPr>
      <w:r>
        <w:t xml:space="preserve">Ad-hoc error bodies (</w:t>
      </w:r>
      <w:r>
        <w:rPr>
          <w:rStyle w:val="VerbatimChar"/>
        </w:rPr>
        <w:t xml:space="preserve">{"err": 1}</w:t>
      </w:r>
      <w:r>
        <w:t xml:space="preserve">,</w:t>
      </w:r>
      <w:r>
        <w:t xml:space="preserve"> </w:t>
      </w:r>
      <w:r>
        <w:rPr>
          <w:rStyle w:val="VerbatimChar"/>
        </w:rPr>
        <w:t xml:space="preserve">{"message": "..."}</w:t>
      </w:r>
      <w:r>
        <w:t xml:space="preserve">,</w:t>
      </w:r>
      <w:r>
        <w:t xml:space="preserve"> </w:t>
      </w:r>
      <w:r>
        <w:rPr>
          <w:rStyle w:val="VerbatimChar"/>
        </w:rPr>
        <w:t xml:space="preserve">{"errors": [...]}</w:t>
      </w:r>
      <w:r>
        <w:t xml:space="preserve">) force every client to write custom parsing per API. RFC 9457 (which obsoletes RFC 7807) defines a standard JSON shape served with media type</w:t>
      </w:r>
      <w:r>
        <w:t xml:space="preserve"> </w:t>
      </w:r>
      <w:r>
        <w:rPr>
          <w:rStyle w:val="VerbatimChar"/>
        </w:rPr>
        <w:t xml:space="preserve">application/problem+json</w:t>
      </w:r>
      <w:r>
        <w:t xml:space="preserve"> </w:t>
      </w:r>
      <w:r>
        <w:t xml:space="preserve">[RFC 9457]:</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"https://api.example.com/problems/insufficient-funds"</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"Insufficient funds"</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DecValTok"/>
        </w:rPr>
        <w:t xml:space="preserve">403</w:t>
      </w:r>
      <w:r>
        <w:rPr>
          <w:rStyle w:val="FunctionTok"/>
        </w:rPr>
        <w:t xml:space="preserve">,</w:t>
      </w:r>
      <w:r>
        <w:br/>
      </w:r>
      <w:r>
        <w:rPr>
          <w:rStyle w:val="NormalTok"/>
        </w:rPr>
        <w:t xml:space="preserve">  </w:t>
      </w:r>
      <w:r>
        <w:rPr>
          <w:rStyle w:val="DataTypeTok"/>
        </w:rPr>
        <w:t xml:space="preserve">"detail"</w:t>
      </w:r>
      <w:r>
        <w:rPr>
          <w:rStyle w:val="FunctionTok"/>
        </w:rPr>
        <w:t xml:space="preserve">:</w:t>
      </w:r>
      <w:r>
        <w:rPr>
          <w:rStyle w:val="NormalTok"/>
        </w:rPr>
        <w:t xml:space="preserve"> </w:t>
      </w:r>
      <w:r>
        <w:rPr>
          <w:rStyle w:val="StringTok"/>
        </w:rPr>
        <w:t xml:space="preserve">"Your balance is 30.00 EUR; the transfer requires 50.00 EUR."</w:t>
      </w:r>
      <w:r>
        <w:rPr>
          <w:rStyle w:val="FunctionTok"/>
        </w:rPr>
        <w:t xml:space="preserve">,</w:t>
      </w:r>
      <w:r>
        <w:br/>
      </w:r>
      <w:r>
        <w:rPr>
          <w:rStyle w:val="NormalTok"/>
        </w:rPr>
        <w:t xml:space="preserve">  </w:t>
      </w:r>
      <w:r>
        <w:rPr>
          <w:rStyle w:val="DataTypeTok"/>
        </w:rPr>
        <w:t xml:space="preserve">"instance"</w:t>
      </w:r>
      <w:r>
        <w:rPr>
          <w:rStyle w:val="FunctionTok"/>
        </w:rPr>
        <w:t xml:space="preserve">:</w:t>
      </w:r>
      <w:r>
        <w:rPr>
          <w:rStyle w:val="NormalTok"/>
        </w:rPr>
        <w:t xml:space="preserve"> </w:t>
      </w:r>
      <w:r>
        <w:rPr>
          <w:rStyle w:val="StringTok"/>
        </w:rPr>
        <w:t xml:space="preserve">"/v1/transfers/7f9c2e"</w:t>
      </w:r>
      <w:r>
        <w:rPr>
          <w:rStyle w:val="FunctionTok"/>
        </w:rPr>
        <w:t xml:space="preserve">,</w:t>
      </w:r>
      <w:r>
        <w:br/>
      </w:r>
      <w:r>
        <w:rPr>
          <w:rStyle w:val="NormalTok"/>
        </w:rPr>
        <w:t xml:space="preserve">  </w:t>
      </w:r>
      <w:r>
        <w:rPr>
          <w:rStyle w:val="DataTypeTok"/>
        </w:rPr>
        <w:t xml:space="preserve">"balance_cents"</w:t>
      </w:r>
      <w:r>
        <w:rPr>
          <w:rStyle w:val="FunctionTok"/>
        </w:rPr>
        <w:t xml:space="preserve">:</w:t>
      </w:r>
      <w:r>
        <w:rPr>
          <w:rStyle w:val="NormalTok"/>
        </w:rPr>
        <w:t xml:space="preserve"> </w:t>
      </w:r>
      <w:r>
        <w:rPr>
          <w:rStyle w:val="DecValTok"/>
        </w:rPr>
        <w:t xml:space="preserve">3000</w:t>
      </w:r>
      <w:r>
        <w:rPr>
          <w:rStyle w:val="FunctionTok"/>
        </w:rPr>
        <w:t xml:space="preserve">,</w:t>
      </w:r>
      <w:r>
        <w:br/>
      </w:r>
      <w:r>
        <w:rPr>
          <w:rStyle w:val="NormalTok"/>
        </w:rPr>
        <w:t xml:space="preserve">  </w:t>
      </w:r>
      <w:r>
        <w:rPr>
          <w:rStyle w:val="DataTypeTok"/>
        </w:rPr>
        <w:t xml:space="preserve">"required_cents"</w:t>
      </w:r>
      <w:r>
        <w:rPr>
          <w:rStyle w:val="FunctionTok"/>
        </w:rPr>
        <w:t xml:space="preserve">:</w:t>
      </w:r>
      <w:r>
        <w:rPr>
          <w:rStyle w:val="NormalTok"/>
        </w:rPr>
        <w:t xml:space="preserve"> </w:t>
      </w:r>
      <w:r>
        <w:rPr>
          <w:rStyle w:val="DecValTok"/>
        </w:rPr>
        <w:t xml:space="preserve">5000</w:t>
      </w:r>
      <w:r>
        <w:br/>
      </w:r>
      <w:r>
        <w:rPr>
          <w:rStyle w:val="FunctionTok"/>
        </w:rPr>
        <w:t xml:space="preserve">}</w:t>
      </w:r>
    </w:p>
    <w:p>
      <w:pPr>
        <w:pStyle w:val="FirstParagraph"/>
      </w:pPr>
      <w:r>
        <w:t xml:space="preserve">What to notice:</w:t>
      </w:r>
    </w:p>
    <w:p>
      <w:pPr>
        <w:numPr>
          <w:ilvl w:val="0"/>
          <w:numId w:val="1268"/>
        </w:numPr>
        <w:pStyle w:val="Compact"/>
      </w:pPr>
      <w:r>
        <w:rPr>
          <w:rStyle w:val="VerbatimChar"/>
          <w:bCs/>
          <w:b/>
        </w:rPr>
        <w:t xml:space="preserve">type</w:t>
      </w:r>
      <w:r>
        <w:t xml:space="preserve"> </w:t>
      </w:r>
      <w:r>
        <w:t xml:space="preserve">is a URI that identifies the</w:t>
      </w:r>
      <w:r>
        <w:t xml:space="preserve"> </w:t>
      </w:r>
      <w:r>
        <w:rPr>
          <w:iCs/>
          <w:i/>
        </w:rPr>
        <w:t xml:space="preserve">kind</w:t>
      </w:r>
      <w:r>
        <w:t xml:space="preserve"> </w:t>
      </w:r>
      <w:r>
        <w:t xml:space="preserve">of problem; clients branch on it. It should ideally resolve to human-readable documentation. When omitted it defaults to</w:t>
      </w:r>
      <w:r>
        <w:t xml:space="preserve"> </w:t>
      </w:r>
      <w:r>
        <w:rPr>
          <w:rStyle w:val="VerbatimChar"/>
        </w:rPr>
        <w:t xml:space="preserve">about:blank</w:t>
      </w:r>
      <w:r>
        <w:t xml:space="preserve">, in which case</w:t>
      </w:r>
      <w:r>
        <w:t xml:space="preserve"> </w:t>
      </w:r>
      <w:r>
        <w:rPr>
          <w:rStyle w:val="VerbatimChar"/>
        </w:rPr>
        <w:t xml:space="preserve">title</w:t>
      </w:r>
      <w:r>
        <w:t xml:space="preserve"> </w:t>
      </w:r>
      <w:r>
        <w:t xml:space="preserve">should be the HTTP status phrase.</w:t>
      </w:r>
    </w:p>
    <w:p>
      <w:pPr>
        <w:numPr>
          <w:ilvl w:val="0"/>
          <w:numId w:val="1268"/>
        </w:numPr>
        <w:pStyle w:val="Compact"/>
      </w:pPr>
      <w:r>
        <w:rPr>
          <w:rStyle w:val="VerbatimChar"/>
          <w:bCs/>
          <w:b/>
        </w:rPr>
        <w:t xml:space="preserve">title</w:t>
      </w:r>
      <w:r>
        <w:t xml:space="preserve"> </w:t>
      </w:r>
      <w:r>
        <w:t xml:space="preserve">is a short, stable summary of the type;</w:t>
      </w:r>
      <w:r>
        <w:t xml:space="preserve"> </w:t>
      </w:r>
      <w:r>
        <w:rPr>
          <w:rStyle w:val="VerbatimChar"/>
          <w:bCs/>
          <w:b/>
        </w:rPr>
        <w:t xml:space="preserve">detail</w:t>
      </w:r>
      <w:r>
        <w:t xml:space="preserve"> </w:t>
      </w:r>
      <w:r>
        <w:t xml:space="preserve">explains</w:t>
      </w:r>
      <w:r>
        <w:t xml:space="preserve"> </w:t>
      </w:r>
      <w:r>
        <w:rPr>
          <w:iCs/>
          <w:i/>
        </w:rPr>
        <w:t xml:space="preserve">this</w:t>
      </w:r>
      <w:r>
        <w:t xml:space="preserve"> </w:t>
      </w:r>
      <w:r>
        <w:t xml:space="preserve">occurrence;</w:t>
      </w:r>
      <w:r>
        <w:t xml:space="preserve"> </w:t>
      </w:r>
      <w:r>
        <w:rPr>
          <w:rStyle w:val="VerbatimChar"/>
          <w:bCs/>
          <w:b/>
        </w:rPr>
        <w:t xml:space="preserve">instance</w:t>
      </w:r>
      <w:r>
        <w:t xml:space="preserve"> </w:t>
      </w:r>
      <w:r>
        <w:t xml:space="preserve">identifies this occurrence (a request path or an error ID you can grep logs for).</w:t>
      </w:r>
    </w:p>
    <w:p>
      <w:pPr>
        <w:numPr>
          <w:ilvl w:val="0"/>
          <w:numId w:val="1268"/>
        </w:numPr>
        <w:pStyle w:val="Compact"/>
      </w:pPr>
      <w:r>
        <w:rPr>
          <w:bCs/>
          <w:b/>
        </w:rPr>
        <w:t xml:space="preserve">Extension members</w:t>
      </w:r>
      <w:r>
        <w:t xml:space="preserve"> </w:t>
      </w:r>
      <w:r>
        <w:t xml:space="preserve">(</w:t>
      </w:r>
      <w:r>
        <w:rPr>
          <w:rStyle w:val="VerbatimChar"/>
        </w:rPr>
        <w:t xml:space="preserve">balance_cents</w:t>
      </w:r>
      <w:r>
        <w:t xml:space="preserve">) carry machine-readable specifics. Never put stack traces, SQL or internal hostnames in error bodies.</w:t>
      </w:r>
    </w:p>
    <w:bookmarkEnd w:id="865"/>
    <w:bookmarkStart w:id="869" w:name="hateoas-briefly"/>
    <w:p>
      <w:pPr>
        <w:pStyle w:val="Heading3"/>
      </w:pPr>
      <w:r>
        <w:t xml:space="preserve">8.6.8 HATEOAS, briefly</w:t>
      </w:r>
    </w:p>
    <w:p>
      <w:pPr>
        <w:pStyle w:val="FirstParagraph"/>
      </w:pPr>
      <w:r>
        <w:rPr>
          <w:bCs/>
          <w:b/>
        </w:rPr>
        <w:t xml:space="preserve">HATEOAS (Hypermedia as the Engine of Application State)</w:t>
      </w:r>
      <w:r>
        <w:t xml:space="preserve"> </w:t>
      </w:r>
      <w:r>
        <w:t xml:space="preserve">means responses include links telling the client what it can do next, so the client follows links instead of constructing URLs:</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"ord_42"</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"placed"</w:t>
      </w:r>
      <w:r>
        <w:rPr>
          <w:rStyle w:val="FunctionTok"/>
        </w:rPr>
        <w:t xml:space="preserve">,</w:t>
      </w:r>
      <w:r>
        <w:br/>
      </w:r>
      <w:r>
        <w:rPr>
          <w:rStyle w:val="NormalTok"/>
        </w:rPr>
        <w:t xml:space="preserve">  </w:t>
      </w:r>
      <w:r>
        <w:rPr>
          <w:rStyle w:val="DataTypeTok"/>
        </w:rPr>
        <w:t xml:space="preserve">"_links"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"self"</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"/v1/orders/ord_42"</w:t>
      </w:r>
      <w:r>
        <w:rPr>
          <w:rStyle w:val="NormalTok"/>
        </w:rPr>
        <w:t xml:space="preserve"> </w:t>
      </w:r>
      <w:r>
        <w:rPr>
          <w:rStyle w:val="FunctionTok"/>
        </w:rPr>
        <w:t xml:space="preserve">},</w:t>
      </w:r>
      <w:r>
        <w:br/>
      </w:r>
      <w:r>
        <w:rPr>
          <w:rStyle w:val="NormalTok"/>
        </w:rPr>
        <w:t xml:space="preserve">    </w:t>
      </w:r>
      <w:r>
        <w:rPr>
          <w:rStyle w:val="DataTypeTok"/>
        </w:rPr>
        <w:t xml:space="preserve">"cancel"</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"/v1/orders/ord_42/cancellation"</w:t>
      </w:r>
      <w:r>
        <w:rPr>
          <w:rStyle w:val="FunctionTok"/>
        </w:rPr>
        <w:t xml:space="preserve">,</w:t>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"POST"</w:t>
      </w:r>
      <w:r>
        <w:rPr>
          <w:rStyle w:val="NormalTok"/>
        </w:rPr>
        <w:t xml:space="preserve"> </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"/v1/orders/ord_42/items"</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The</w:t>
      </w:r>
      <w:r>
        <w:t xml:space="preserve"> </w:t>
      </w:r>
      <w:r>
        <w:rPr>
          <w:rStyle w:val="VerbatimChar"/>
        </w:rPr>
        <w:t xml:space="preserve">cancel</w:t>
      </w:r>
      <w:r>
        <w:t xml:space="preserve"> </w:t>
      </w:r>
      <w:r>
        <w:t xml:space="preserve">link disappears once the order ships, so the server, not the client, encodes the workflow rules. Full HATEOAS is rare in public JSON APIs because most clients are written against documentation and hard-code URL templates anyway. A lightweight and widely used piece of it is pagination links in the HTTP</w:t>
      </w:r>
      <w:r>
        <w:t xml:space="preserve"> </w:t>
      </w:r>
      <w:r>
        <w:rPr>
          <w:rStyle w:val="VerbatimChar"/>
        </w:rPr>
        <w:t xml:space="preserve">Link</w:t>
      </w:r>
      <w:r>
        <w:t xml:space="preserve"> </w:t>
      </w:r>
      <w:r>
        <w:t xml:space="preserve">header (</w:t>
      </w:r>
      <w:r>
        <w:rPr>
          <w:rStyle w:val="VerbatimChar"/>
        </w:rPr>
        <w:t xml:space="preserve">Link: &lt;…?cursor=abc&gt;; rel="next"</w:t>
      </w:r>
      <w:r>
        <w:t xml:space="preserve">).</w:t>
      </w:r>
    </w:p>
    <w:bookmarkStart w:id="866" w:name="real-world-industry-applications-16"/>
    <w:p>
      <w:pPr>
        <w:pStyle w:val="Heading4"/>
      </w:pPr>
      <w:r>
        <w:t xml:space="preserve">Real-world industry applications</w:t>
      </w:r>
    </w:p>
    <w:p>
      <w:pPr>
        <w:pStyle w:val="CalloutIndustry"/>
      </w:pPr>
      <w:r>
        <w:rPr>
          <w:bCs/>
          <w:b/>
        </w:rPr>
        <w:t xml:space="preserve">INDUSTRY EXAMPLE</w:t>
      </w:r>
    </w:p>
    <w:p>
      <w:pPr>
        <w:pStyle w:val="CalloutIndustry"/>
      </w:pPr>
      <w:r>
        <w:rPr>
          <w:bCs/>
          <w:b/>
        </w:rPr>
        <w:t xml:space="preserve">Stripe and GitHub list endpoints.</w:t>
      </w:r>
      <w:r>
        <w:t xml:space="preserve"> </w:t>
      </w:r>
      <w:r>
        <w:t xml:space="preserve">Stripe’s list endpoints use cursor-style pagination: the client passes the ID of the last object it saw in</w:t>
      </w:r>
      <w:r>
        <w:t xml:space="preserve"> </w:t>
      </w:r>
      <w:r>
        <w:rPr>
          <w:rStyle w:val="VerbatimChar"/>
        </w:rPr>
        <w:t xml:space="preserve">starting_after</w:t>
      </w:r>
      <w:r>
        <w:t xml:space="preserve"> </w:t>
      </w:r>
      <w:r>
        <w:t xml:space="preserve">(or</w:t>
      </w:r>
      <w:r>
        <w:t xml:space="preserve"> </w:t>
      </w:r>
      <w:r>
        <w:rPr>
          <w:rStyle w:val="VerbatimChar"/>
        </w:rPr>
        <w:t xml:space="preserve">ending_before</w:t>
      </w:r>
      <w:r>
        <w:t xml:space="preserve">) together with</w:t>
      </w:r>
      <w:r>
        <w:t xml:space="preserve"> </w:t>
      </w:r>
      <w:r>
        <w:rPr>
          <w:rStyle w:val="VerbatimChar"/>
        </w:rPr>
        <w:t xml:space="preserve">limit</w:t>
      </w:r>
      <w:r>
        <w:t xml:space="preserve">, and the response carries</w:t>
      </w:r>
      <w:r>
        <w:t xml:space="preserve"> </w:t>
      </w:r>
      <w:r>
        <w:rPr>
          <w:rStyle w:val="VerbatimChar"/>
        </w:rPr>
        <w:t xml:space="preserve">has_more</w:t>
      </w:r>
      <w:r>
        <w:t xml:space="preserve"> </w:t>
      </w:r>
      <w:r>
        <w:t xml:space="preserve">[Stripe API Docs: Pagination]. GitHub’s REST API returns pagination URLs in the HTTP</w:t>
      </w:r>
      <w:r>
        <w:t xml:space="preserve"> </w:t>
      </w:r>
      <w:r>
        <w:rPr>
          <w:rStyle w:val="VerbatimChar"/>
        </w:rPr>
        <w:t xml:space="preserve">Link</w:t>
      </w:r>
      <w:r>
        <w:t xml:space="preserve"> </w:t>
      </w:r>
      <w:r>
        <w:t xml:space="preserve">header with</w:t>
      </w:r>
      <w:r>
        <w:t xml:space="preserve"> </w:t>
      </w:r>
      <w:r>
        <w:rPr>
          <w:rStyle w:val="VerbatimChar"/>
        </w:rPr>
        <w:t xml:space="preserve">rel="next"</w:t>
      </w:r>
      <w:r>
        <w:t xml:space="preserve">,</w:t>
      </w:r>
      <w:r>
        <w:t xml:space="preserve"> </w:t>
      </w:r>
      <w:r>
        <w:rPr>
          <w:rStyle w:val="VerbatimChar"/>
        </w:rPr>
        <w:t xml:space="preserve">rel="last"</w:t>
      </w:r>
      <w:r>
        <w:t xml:space="preserve"> </w:t>
      </w:r>
      <w:r>
        <w:t xml:space="preserve">and similar relations, and some endpoints use cursor-based</w:t>
      </w:r>
      <w:r>
        <w:t xml:space="preserve"> </w:t>
      </w:r>
      <w:r>
        <w:rPr>
          <w:rStyle w:val="VerbatimChar"/>
        </w:rPr>
        <w:t xml:space="preserve">before</w:t>
      </w:r>
      <w:r>
        <w:t xml:space="preserve">/</w:t>
      </w:r>
      <w:r>
        <w:rPr>
          <w:rStyle w:val="VerbatimChar"/>
        </w:rPr>
        <w:t xml:space="preserve">after</w:t>
      </w:r>
      <w:r>
        <w:t xml:space="preserve"> </w:t>
      </w:r>
      <w:r>
        <w:t xml:space="preserve">parameters [GitHub Docs: Using pagination in the REST API]. Both choices follow from the same problem: collections that are large and constantly changing, accessed by automated clients that page to the end.</w:t>
      </w:r>
      <w:r>
        <w:t xml:space="preserve"> </w:t>
      </w:r>
      <w:r>
        <w:rPr>
          <w:iCs/>
          <w:i/>
        </w:rPr>
        <w:t xml:space="preserve">Evidence: Primary</w:t>
      </w:r>
      <w:r>
        <w:t xml:space="preserve"> </w:t>
      </w:r>
      <w:r>
        <w:t xml:space="preserve">— [Stripe API Docs: Pagination]; [GitHub Docs: Using pagination in the REST API]</w:t>
      </w:r>
    </w:p>
    <w:bookmarkEnd w:id="866"/>
    <w:bookmarkStart w:id="867" w:name="failure-scenarios-20"/>
    <w:p>
      <w:pPr>
        <w:pStyle w:val="Heading4"/>
      </w:pPr>
      <w:r>
        <w:t xml:space="preserve">Failure scenarios</w:t>
      </w:r>
    </w:p>
    <w:p>
      <w:pPr>
        <w:pStyle w:val="FirstParagraph"/>
      </w:pPr>
      <w:r>
        <w:rPr>
          <w:bCs/>
          <w:b/>
        </w:rPr>
        <w:t xml:space="preserve">Table 8.9 — REST API 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Duplicate orders or charges</w:t>
            </w:r>
          </w:p>
        </w:tc>
        <w:tc>
          <w:tcPr/>
          <w:p>
            <w:pPr>
              <w:pStyle w:val="Compact"/>
              <w:jc w:val="left"/>
            </w:pPr>
            <w:r>
              <w:t xml:space="preserve">Client retried a timed-out</w:t>
            </w:r>
            <w:r>
              <w:t xml:space="preserve"> </w:t>
            </w:r>
            <w:r>
              <w:rPr>
                <w:rStyle w:val="VerbatimChar"/>
              </w:rPr>
              <w:t xml:space="preserve">POST</w:t>
            </w:r>
          </w:p>
        </w:tc>
        <w:tc>
          <w:tcPr/>
          <w:p>
            <w:pPr>
              <w:pStyle w:val="Compact"/>
              <w:jc w:val="left"/>
            </w:pPr>
            <w:r>
              <w:t xml:space="preserve">Duplicate rows with the same payload seconds apart</w:t>
            </w:r>
          </w:p>
        </w:tc>
        <w:tc>
          <w:tcPr/>
          <w:p>
            <w:pPr>
              <w:pStyle w:val="Compact"/>
              <w:jc w:val="left"/>
            </w:pPr>
            <w:r>
              <w:t xml:space="preserve">Refund / merge duplicates</w:t>
            </w:r>
          </w:p>
        </w:tc>
        <w:tc>
          <w:tcPr/>
          <w:p>
            <w:pPr>
              <w:pStyle w:val="Compact"/>
              <w:jc w:val="left"/>
            </w:pPr>
            <w:r>
              <w:t xml:space="preserve">Idempotency keys on all non-idempotent writes (§22.15)</w:t>
            </w:r>
          </w:p>
        </w:tc>
      </w:tr>
      <w:tr>
        <w:tc>
          <w:tcPr/>
          <w:p>
            <w:pPr>
              <w:pStyle w:val="Compact"/>
              <w:jc w:val="left"/>
            </w:pPr>
            <w:r>
              <w:t xml:space="preserve">Database CPU pinned by one client</w:t>
            </w:r>
          </w:p>
        </w:tc>
        <w:tc>
          <w:tcPr/>
          <w:p>
            <w:pPr>
              <w:pStyle w:val="Compact"/>
              <w:jc w:val="left"/>
            </w:pPr>
            <w:r>
              <w:t xml:space="preserve">Deep</w:t>
            </w:r>
            <w:r>
              <w:t xml:space="preserve"> </w:t>
            </w:r>
            <w:r>
              <w:rPr>
                <w:rStyle w:val="VerbatimChar"/>
              </w:rPr>
              <w:t xml:space="preserve">offset</w:t>
            </w:r>
            <w:r>
              <w:t xml:space="preserve"> </w:t>
            </w:r>
            <w:r>
              <w:t xml:space="preserve">pages or unindexed sort</w:t>
            </w:r>
          </w:p>
        </w:tc>
        <w:tc>
          <w:tcPr/>
          <w:p>
            <w:pPr>
              <w:pStyle w:val="Compact"/>
              <w:jc w:val="left"/>
            </w:pPr>
            <w:r>
              <w:t xml:space="preserve">Slow-query log; per-client cost metrics</w:t>
            </w:r>
          </w:p>
        </w:tc>
        <w:tc>
          <w:tcPr/>
          <w:p>
            <w:pPr>
              <w:pStyle w:val="Compact"/>
              <w:jc w:val="left"/>
            </w:pPr>
            <w:r>
              <w:t xml:space="preserve">Rate-limit the client</w:t>
            </w:r>
          </w:p>
        </w:tc>
        <w:tc>
          <w:tcPr/>
          <w:p>
            <w:pPr>
              <w:pStyle w:val="Compact"/>
              <w:jc w:val="left"/>
            </w:pPr>
            <w:r>
              <w:t xml:space="preserve">Cursor pagination; allow-listed, indexed sorts</w:t>
            </w:r>
          </w:p>
        </w:tc>
      </w:tr>
      <w:tr>
        <w:tc>
          <w:tcPr/>
          <w:p>
            <w:pPr>
              <w:pStyle w:val="Compact"/>
              <w:jc w:val="left"/>
            </w:pPr>
            <w:r>
              <w:t xml:space="preserve">Lost update</w:t>
            </w:r>
          </w:p>
        </w:tc>
        <w:tc>
          <w:tcPr/>
          <w:p>
            <w:pPr>
              <w:pStyle w:val="Compact"/>
              <w:jc w:val="left"/>
            </w:pPr>
            <w:r>
              <w:t xml:space="preserve">Two clients</w:t>
            </w:r>
            <w:r>
              <w:t xml:space="preserve"> </w:t>
            </w:r>
            <w:r>
              <w:rPr>
                <w:rStyle w:val="VerbatimChar"/>
              </w:rPr>
              <w:t xml:space="preserve">PUT</w:t>
            </w:r>
            <w:r>
              <w:t xml:space="preserve"> </w:t>
            </w:r>
            <w:r>
              <w:t xml:space="preserve">the same resource concurrently</w:t>
            </w:r>
          </w:p>
        </w:tc>
        <w:tc>
          <w:tcPr/>
          <w:p>
            <w:pPr>
              <w:pStyle w:val="Compact"/>
              <w:jc w:val="left"/>
            </w:pPr>
            <w:r>
              <w:t xml:space="preserve">Users report reverted changes</w:t>
            </w:r>
          </w:p>
        </w:tc>
        <w:tc>
          <w:tcPr/>
          <w:p>
            <w:pPr>
              <w:pStyle w:val="Compact"/>
              <w:jc w:val="left"/>
            </w:pPr>
            <w:r>
              <w:t xml:space="preserve">Restore from audit log</w:t>
            </w:r>
          </w:p>
        </w:tc>
        <w:tc>
          <w:tcPr/>
          <w:p>
            <w:pPr>
              <w:pStyle w:val="Compact"/>
              <w:jc w:val="left"/>
            </w:pPr>
            <w:r>
              <w:rPr>
                <w:rStyle w:val="VerbatimChar"/>
              </w:rPr>
              <w:t xml:space="preserve">ETag</w:t>
            </w:r>
            <w:r>
              <w:t xml:space="preserve"> </w:t>
            </w:r>
            <w:r>
              <w:t xml:space="preserve">+</w:t>
            </w:r>
            <w:r>
              <w:t xml:space="preserve"> </w:t>
            </w:r>
            <w:r>
              <w:rPr>
                <w:rStyle w:val="VerbatimChar"/>
              </w:rPr>
              <w:t xml:space="preserve">If-Match</w:t>
            </w:r>
            <w:r>
              <w:t xml:space="preserve">, return</w:t>
            </w:r>
            <w:r>
              <w:t xml:space="preserve"> </w:t>
            </w:r>
            <w:r>
              <w:rPr>
                <w:rStyle w:val="VerbatimChar"/>
              </w:rPr>
              <w:t xml:space="preserve">412</w:t>
            </w:r>
            <w:r>
              <w:t xml:space="preserve"> </w:t>
            </w:r>
            <w:r>
              <w:t xml:space="preserve">on mismatch</w:t>
            </w:r>
          </w:p>
        </w:tc>
      </w:tr>
      <w:tr>
        <w:tc>
          <w:tcPr/>
          <w:p>
            <w:pPr>
              <w:pStyle w:val="Compact"/>
              <w:jc w:val="left"/>
            </w:pPr>
            <w:r>
              <w:t xml:space="preserve">Clients crash on new error</w:t>
            </w:r>
          </w:p>
        </w:tc>
        <w:tc>
          <w:tcPr/>
          <w:p>
            <w:pPr>
              <w:pStyle w:val="Compact"/>
              <w:jc w:val="left"/>
            </w:pPr>
            <w:r>
              <w:t xml:space="preserve">Error body shape changed</w:t>
            </w:r>
          </w:p>
        </w:tc>
        <w:tc>
          <w:tcPr/>
          <w:p>
            <w:pPr>
              <w:pStyle w:val="Compact"/>
              <w:jc w:val="left"/>
            </w:pPr>
            <w:r>
              <w:t xml:space="preserve">Client error reports by version</w:t>
            </w:r>
          </w:p>
        </w:tc>
        <w:tc>
          <w:tcPr/>
          <w:p>
            <w:pPr>
              <w:pStyle w:val="Compact"/>
              <w:jc w:val="left"/>
            </w:pPr>
            <w:r>
              <w:t xml:space="preserve">Roll back</w:t>
            </w:r>
          </w:p>
        </w:tc>
        <w:tc>
          <w:tcPr/>
          <w:p>
            <w:pPr>
              <w:pStyle w:val="Compact"/>
              <w:jc w:val="left"/>
            </w:pPr>
            <w:r>
              <w:t xml:space="preserve">One stable error format (RFC 9457) from day one</w:t>
            </w:r>
          </w:p>
        </w:tc>
      </w:tr>
    </w:tbl>
    <w:bookmarkEnd w:id="867"/>
    <w:bookmarkStart w:id="868" w:name="common-misconceptions-17"/>
    <w:p>
      <w:pPr>
        <w:pStyle w:val="Heading4"/>
      </w:pPr>
      <w:r>
        <w:t xml:space="preserve">Common misconceptions</w:t>
      </w:r>
    </w:p>
    <w:p>
      <w:pPr>
        <w:pStyle w:val="CalloutMistake"/>
      </w:pPr>
      <w:r>
        <w:rPr>
          <w:bCs/>
          <w:b/>
        </w:rPr>
        <w:t xml:space="preserve">COMMON MISTAKE</w:t>
      </w:r>
    </w:p>
    <w:p>
      <w:pPr>
        <w:pStyle w:val="CalloutMistake"/>
      </w:pPr>
      <w:r>
        <w:rPr>
          <w:bCs/>
          <w:b/>
        </w:rPr>
        <w:t xml:space="preserve">“</w:t>
      </w:r>
      <w:r>
        <w:rPr>
          <w:rStyle w:val="VerbatimChar"/>
          <w:bCs/>
          <w:b/>
        </w:rPr>
        <w:t xml:space="preserve">PUT</w:t>
      </w:r>
      <w:r>
        <w:rPr>
          <w:bCs/>
          <w:b/>
        </w:rPr>
        <w:t xml:space="preserve"> </w:t>
      </w:r>
      <w:r>
        <w:rPr>
          <w:bCs/>
          <w:b/>
        </w:rPr>
        <w:t xml:space="preserve">is for updates,</w:t>
      </w:r>
      <w:r>
        <w:rPr>
          <w:bCs/>
          <w:b/>
        </w:rPr>
        <w:t xml:space="preserve"> </w:t>
      </w:r>
      <w:r>
        <w:rPr>
          <w:rStyle w:val="VerbatimChar"/>
          <w:bCs/>
          <w:b/>
        </w:rPr>
        <w:t xml:space="preserve">POST</w:t>
      </w:r>
      <w:r>
        <w:rPr>
          <w:bCs/>
          <w:b/>
        </w:rPr>
        <w:t xml:space="preserve"> </w:t>
      </w:r>
      <w:r>
        <w:rPr>
          <w:bCs/>
          <w:b/>
        </w:rPr>
        <w:t xml:space="preserve">is for creates.</w:t>
      </w:r>
      <w:r>
        <w:rPr>
          <w:bCs/>
          <w:b/>
        </w:rPr>
        <w:t xml:space="preserve">”</w:t>
      </w:r>
      <w:r>
        <w:t xml:space="preserve"> </w:t>
      </w:r>
      <w:r>
        <w:t xml:space="preserve">The real distinction is idempotency and who chooses the URI.</w:t>
      </w:r>
      <w:r>
        <w:t xml:space="preserve"> </w:t>
      </w:r>
      <w:r>
        <w:rPr>
          <w:rStyle w:val="VerbatimChar"/>
        </w:rPr>
        <w:t xml:space="preserve">PUT /articles/my-slug</w:t>
      </w:r>
      <w:r>
        <w:t xml:space="preserve"> </w:t>
      </w:r>
      <w:r>
        <w:t xml:space="preserve">creates</w:t>
      </w:r>
      <w:r>
        <w:t xml:space="preserve"> </w:t>
      </w:r>
      <w:r>
        <w:rPr>
          <w:iCs/>
          <w:i/>
        </w:rPr>
        <w:t xml:space="preserve">or</w:t>
      </w:r>
      <w:r>
        <w:t xml:space="preserve"> </w:t>
      </w:r>
      <w:r>
        <w:t xml:space="preserve">replaces at a client-chosen URI, idempotently.</w:t>
      </w:r>
      <w:r>
        <w:t xml:space="preserve"> </w:t>
      </w:r>
      <w:r>
        <w:rPr>
          <w:rStyle w:val="VerbatimChar"/>
        </w:rPr>
        <w:t xml:space="preserve">POST /articles</w:t>
      </w:r>
      <w:r>
        <w:t xml:space="preserve"> </w:t>
      </w:r>
      <w:r>
        <w:t xml:space="preserve">lets the server choose the URI and is not idempotent. Partial updates are</w:t>
      </w:r>
      <w:r>
        <w:t xml:space="preserve"> </w:t>
      </w:r>
      <w:r>
        <w:rPr>
          <w:rStyle w:val="VerbatimChar"/>
        </w:rPr>
        <w:t xml:space="preserve">PATCH</w:t>
      </w:r>
      <w:r>
        <w:t xml:space="preserve">.</w:t>
      </w:r>
    </w:p>
    <w:p>
      <w:pPr>
        <w:pStyle w:val="CalloutMistake"/>
      </w:pPr>
      <w:r>
        <w:rPr>
          <w:bCs/>
          <w:b/>
        </w:rPr>
        <w:t xml:space="preserve">COMMON MISTAKE</w:t>
      </w:r>
    </w:p>
    <w:p>
      <w:pPr>
        <w:pStyle w:val="CalloutMistake"/>
      </w:pPr>
      <w:r>
        <w:rPr>
          <w:bCs/>
          <w:b/>
        </w:rPr>
        <w:t xml:space="preserve">“</w:t>
      </w:r>
      <w:r>
        <w:rPr>
          <w:rStyle w:val="VerbatimChar"/>
          <w:bCs/>
          <w:b/>
        </w:rPr>
        <w:t xml:space="preserve">401</w:t>
      </w:r>
      <w:r>
        <w:rPr>
          <w:bCs/>
          <w:b/>
        </w:rPr>
        <w:t xml:space="preserve"> </w:t>
      </w:r>
      <w:r>
        <w:rPr>
          <w:bCs/>
          <w:b/>
        </w:rPr>
        <w:t xml:space="preserve">means the user lacks permission.</w:t>
      </w:r>
      <w:r>
        <w:rPr>
          <w:bCs/>
          <w:b/>
        </w:rPr>
        <w:t xml:space="preserve">”</w:t>
      </w:r>
      <w:r>
        <w:t xml:space="preserve"> </w:t>
      </w:r>
      <w:r>
        <w:rPr>
          <w:rStyle w:val="VerbatimChar"/>
        </w:rPr>
        <w:t xml:space="preserve">401 Unauthorized</w:t>
      </w:r>
      <w:r>
        <w:t xml:space="preserve"> </w:t>
      </w:r>
      <w:r>
        <w:t xml:space="preserve">(misleadingly named) means</w:t>
      </w:r>
      <w:r>
        <w:t xml:space="preserve"> </w:t>
      </w:r>
      <w:r>
        <w:rPr>
          <w:iCs/>
          <w:i/>
        </w:rPr>
        <w:t xml:space="preserve">not authenticated</w:t>
      </w:r>
      <w:r>
        <w:t xml:space="preserve">. Lacking permission while authenticated is</w:t>
      </w:r>
      <w:r>
        <w:t xml:space="preserve"> </w:t>
      </w:r>
      <w:r>
        <w:rPr>
          <w:rStyle w:val="VerbatimChar"/>
        </w:rPr>
        <w:t xml:space="preserve">403 Forbidden</w:t>
      </w:r>
      <w:r>
        <w:t xml:space="preserve">. Many APIs return</w:t>
      </w:r>
      <w:r>
        <w:t xml:space="preserve"> </w:t>
      </w:r>
      <w:r>
        <w:rPr>
          <w:rStyle w:val="VerbatimChar"/>
        </w:rPr>
        <w:t xml:space="preserve">404</w:t>
      </w:r>
      <w:r>
        <w:t xml:space="preserve"> </w:t>
      </w:r>
      <w:r>
        <w:t xml:space="preserve">instead of</w:t>
      </w:r>
      <w:r>
        <w:t xml:space="preserve"> </w:t>
      </w:r>
      <w:r>
        <w:rPr>
          <w:rStyle w:val="VerbatimChar"/>
        </w:rPr>
        <w:t xml:space="preserve">403</w:t>
      </w:r>
      <w:r>
        <w:t xml:space="preserve"> </w:t>
      </w:r>
      <w:r>
        <w:t xml:space="preserve">for resources the caller should not even know exist.</w:t>
      </w:r>
    </w:p>
    <w:bookmarkEnd w:id="868"/>
    <w:bookmarkEnd w:id="869"/>
    <w:bookmarkEnd w:id="870"/>
    <w:bookmarkStart w:id="880" w:name="graphql"/>
    <w:p>
      <w:pPr>
        <w:pStyle w:val="Heading2"/>
      </w:pPr>
      <w:r>
        <w:t xml:space="preserve">8.7 GraphQL</w:t>
      </w:r>
    </w:p>
    <w:bookmarkStart w:id="874" w:name="schema-operations-and-resolvers"/>
    <w:p>
      <w:pPr>
        <w:pStyle w:val="Heading3"/>
      </w:pPr>
      <w:r>
        <w:t xml:space="preserve">8.7.1 Schema, operations and resolvers</w:t>
      </w:r>
    </w:p>
    <w:p>
      <w:pPr>
        <w:pStyle w:val="CalloutDefinition"/>
      </w:pPr>
      <w:r>
        <w:rPr>
          <w:bCs/>
          <w:b/>
        </w:rPr>
        <w:t xml:space="preserve">DEFINITION</w:t>
      </w:r>
    </w:p>
    <w:p>
      <w:pPr>
        <w:pStyle w:val="CalloutDefinition"/>
      </w:pPr>
      <w:r>
        <w:rPr>
          <w:bCs/>
          <w:b/>
        </w:rPr>
        <w:t xml:space="preserve">Definition — GraphQL.</w:t>
      </w:r>
      <w:r>
        <w:t xml:space="preserve"> </w:t>
      </w:r>
      <w:r>
        <w:t xml:space="preserve">A query language for APIs and a runtime for executing those queries against a strongly typed</w:t>
      </w:r>
      <w:r>
        <w:t xml:space="preserve"> </w:t>
      </w:r>
      <w:r>
        <w:rPr>
          <w:bCs/>
          <w:b/>
        </w:rPr>
        <w:t xml:space="preserve">schema</w:t>
      </w:r>
      <w:r>
        <w:t xml:space="preserve">. The client sends a document describing exactly the fields it wants; the server returns JSON of the same shape [GraphQL Spec].</w:t>
      </w:r>
    </w:p>
    <w:bookmarkStart w:id="871" w:name="first-principles-explanation-47"/>
    <w:p>
      <w:pPr>
        <w:pStyle w:val="Heading4"/>
      </w:pPr>
      <w:r>
        <w:t xml:space="preserve">First-principles explanation</w:t>
      </w:r>
    </w:p>
    <w:p>
      <w:pPr>
        <w:pStyle w:val="FirstParagraph"/>
      </w:pPr>
      <w:r>
        <w:t xml:space="preserve">A REST API is a set menu:</w:t>
      </w:r>
      <w:r>
        <w:t xml:space="preserve"> </w:t>
      </w:r>
      <w:r>
        <w:rPr>
          <w:rStyle w:val="VerbatimChar"/>
        </w:rPr>
        <w:t xml:space="preserve">/users/7</w:t>
      </w:r>
      <w:r>
        <w:t xml:space="preserve"> </w:t>
      </w:r>
      <w:r>
        <w:t xml:space="preserve">returns whatever the kitchen decided a</w:t>
      </w:r>
      <w:r>
        <w:t xml:space="preserve"> </w:t>
      </w:r>
      <w:r>
        <w:t xml:space="preserve">“</w:t>
      </w:r>
      <w:r>
        <w:t xml:space="preserve">user</w:t>
      </w:r>
      <w:r>
        <w:t xml:space="preserve">”</w:t>
      </w:r>
      <w:r>
        <w:t xml:space="preserve"> </w:t>
      </w:r>
      <w:r>
        <w:t xml:space="preserve">contains. If you need the user, their last five posts and each post’s comment count, you either order three dishes (three round trips —</w:t>
      </w:r>
      <w:r>
        <w:t xml:space="preserve"> </w:t>
      </w:r>
      <w:r>
        <w:rPr>
          <w:bCs/>
          <w:b/>
        </w:rPr>
        <w:t xml:space="preserve">under-fetching</w:t>
      </w:r>
      <w:r>
        <w:t xml:space="preserve">) or receive a platter of fields you never eat (</w:t>
      </w:r>
      <w:r>
        <w:rPr>
          <w:bCs/>
          <w:b/>
        </w:rPr>
        <w:t xml:space="preserve">over-fetching</w:t>
      </w:r>
      <w:r>
        <w:t xml:space="preserve">). GraphQL is ordering à la carte from one waiter: you write down precisely what you want, nested as deep as you like, and get exactly that back in one trip.</w:t>
      </w:r>
    </w:p>
    <w:bookmarkEnd w:id="871"/>
    <w:bookmarkStart w:id="872" w:name="why-does-this-exist-29"/>
    <w:p>
      <w:pPr>
        <w:pStyle w:val="Heading4"/>
      </w:pPr>
      <w:r>
        <w:t xml:space="preserve">Why does this exist?</w:t>
      </w:r>
    </w:p>
    <w:p>
      <w:pPr>
        <w:pStyle w:val="FirstParagraph"/>
      </w:pPr>
      <w:r>
        <w:t xml:space="preserve">Facebook built GraphQL in 2012 for its native mobile apps, where many REST round trips over cellular networks made news-feed screens slow and every new screen needed a new endpoint; it was open-sourced in 2015 and is now governed by the GraphQL Foundation [Byron 2015]. The specification’s most recent edition at the time of writing is September 2025 [GraphQL Spec].</w:t>
      </w:r>
    </w:p>
    <w:bookmarkEnd w:id="872"/>
    <w:bookmarkStart w:id="873" w:name="how-it-works-internally-25"/>
    <w:p>
      <w:pPr>
        <w:pStyle w:val="Heading4"/>
      </w:pPr>
      <w:r>
        <w:t xml:space="preserve">How it works internally</w:t>
      </w:r>
    </w:p>
    <w:p>
      <w:pPr>
        <w:numPr>
          <w:ilvl w:val="0"/>
          <w:numId w:val="1269"/>
        </w:numPr>
        <w:pStyle w:val="Compact"/>
      </w:pPr>
      <w:r>
        <w:rPr>
          <w:bCs/>
          <w:b/>
        </w:rPr>
        <w:t xml:space="preserve">Schema.</w:t>
      </w:r>
      <w:r>
        <w:t xml:space="preserve"> </w:t>
      </w:r>
      <w:r>
        <w:t xml:space="preserve">The server publishes types in the Schema Definition Language (SDL). Three root types are entry points:</w:t>
      </w:r>
      <w:r>
        <w:t xml:space="preserve"> </w:t>
      </w:r>
      <w:r>
        <w:rPr>
          <w:rStyle w:val="VerbatimChar"/>
        </w:rPr>
        <w:t xml:space="preserve">Query</w:t>
      </w:r>
      <w:r>
        <w:t xml:space="preserve"> </w:t>
      </w:r>
      <w:r>
        <w:t xml:space="preserve">(reads),</w:t>
      </w:r>
      <w:r>
        <w:t xml:space="preserve"> </w:t>
      </w:r>
      <w:r>
        <w:rPr>
          <w:rStyle w:val="VerbatimChar"/>
        </w:rPr>
        <w:t xml:space="preserve">Mutation</w:t>
      </w:r>
      <w:r>
        <w:t xml:space="preserve"> </w:t>
      </w:r>
      <w:r>
        <w:t xml:space="preserve">(writes) and</w:t>
      </w:r>
      <w:r>
        <w:t xml:space="preserve"> </w:t>
      </w:r>
      <w:r>
        <w:rPr>
          <w:rStyle w:val="VerbatimChar"/>
        </w:rPr>
        <w:t xml:space="preserve">Subscription</w:t>
      </w:r>
      <w:r>
        <w:t xml:space="preserve"> </w:t>
      </w:r>
      <w:r>
        <w:t xml:space="preserve">(event streams).</w:t>
      </w:r>
    </w:p>
    <w:p>
      <w:pPr>
        <w:numPr>
          <w:ilvl w:val="0"/>
          <w:numId w:val="1269"/>
        </w:numPr>
        <w:pStyle w:val="Compact"/>
      </w:pPr>
      <w:r>
        <w:rPr>
          <w:bCs/>
          <w:b/>
        </w:rPr>
        <w:t xml:space="preserve">Parse and validate.</w:t>
      </w:r>
      <w:r>
        <w:t xml:space="preserve"> </w:t>
      </w:r>
      <w:r>
        <w:t xml:space="preserve">The server parses the query document into an abstract syntax tree and validates every field and argument against the schema</w:t>
      </w:r>
      <w:r>
        <w:t xml:space="preserve"> </w:t>
      </w:r>
      <w:r>
        <w:rPr>
          <w:iCs/>
          <w:i/>
        </w:rPr>
        <w:t xml:space="preserve">before</w:t>
      </w:r>
      <w:r>
        <w:t xml:space="preserve"> </w:t>
      </w:r>
      <w:r>
        <w:t xml:space="preserve">running anything. Typos fail fast with a precise error.</w:t>
      </w:r>
    </w:p>
    <w:p>
      <w:pPr>
        <w:numPr>
          <w:ilvl w:val="0"/>
          <w:numId w:val="1269"/>
        </w:numPr>
        <w:pStyle w:val="Compact"/>
      </w:pPr>
      <w:r>
        <w:rPr>
          <w:bCs/>
          <w:b/>
        </w:rPr>
        <w:t xml:space="preserve">Execute.</w:t>
      </w:r>
      <w:r>
        <w:t xml:space="preserve"> </w:t>
      </w:r>
      <w:r>
        <w:t xml:space="preserve">The executor walks the query tree. For every field it calls a</w:t>
      </w:r>
      <w:r>
        <w:t xml:space="preserve"> </w:t>
      </w:r>
      <w:r>
        <w:rPr>
          <w:bCs/>
          <w:b/>
        </w:rPr>
        <w:t xml:space="preserve">resolver</w:t>
      </w:r>
      <w:r>
        <w:t xml:space="preserve">: a function</w:t>
      </w:r>
      <w:r>
        <w:t xml:space="preserve"> </w:t>
      </w:r>
      <w:r>
        <w:rPr>
          <w:rStyle w:val="VerbatimChar"/>
        </w:rPr>
        <w:t xml:space="preserve">(parent, args, context) → value</w:t>
      </w:r>
      <w:r>
        <w:t xml:space="preserve">. The resolver for</w:t>
      </w:r>
      <w:r>
        <w:t xml:space="preserve"> </w:t>
      </w:r>
      <w:r>
        <w:rPr>
          <w:rStyle w:val="VerbatimChar"/>
        </w:rPr>
        <w:t xml:space="preserve">Query.posts</w:t>
      </w:r>
      <w:r>
        <w:t xml:space="preserve"> </w:t>
      </w:r>
      <w:r>
        <w:t xml:space="preserve">returns a list of post objects; then, for</w:t>
      </w:r>
      <w:r>
        <w:t xml:space="preserve"> </w:t>
      </w:r>
      <w:r>
        <w:rPr>
          <w:iCs/>
          <w:i/>
        </w:rPr>
        <w:t xml:space="preserve">each</w:t>
      </w:r>
      <w:r>
        <w:t xml:space="preserve"> </w:t>
      </w:r>
      <w:r>
        <w:t xml:space="preserve">post, the resolver for</w:t>
      </w:r>
      <w:r>
        <w:t xml:space="preserve"> </w:t>
      </w:r>
      <w:r>
        <w:rPr>
          <w:rStyle w:val="VerbatimChar"/>
        </w:rPr>
        <w:t xml:space="preserve">Post.author</w:t>
      </w:r>
      <w:r>
        <w:t xml:space="preserve"> </w:t>
      </w:r>
      <w:r>
        <w:t xml:space="preserve">runs with that post as</w:t>
      </w:r>
      <w:r>
        <w:t xml:space="preserve"> </w:t>
      </w:r>
      <w:r>
        <w:rPr>
          <w:rStyle w:val="VerbatimChar"/>
        </w:rPr>
        <w:t xml:space="preserve">parent</w:t>
      </w:r>
      <w:r>
        <w:t xml:space="preserve">.</w:t>
      </w:r>
    </w:p>
    <w:p>
      <w:pPr>
        <w:numPr>
          <w:ilvl w:val="0"/>
          <w:numId w:val="1269"/>
        </w:numPr>
        <w:pStyle w:val="Compact"/>
      </w:pPr>
      <w:r>
        <w:rPr>
          <w:bCs/>
          <w:b/>
        </w:rPr>
        <w:t xml:space="preserve">Respond.</w:t>
      </w:r>
      <w:r>
        <w:t xml:space="preserve"> </w:t>
      </w:r>
      <w:r>
        <w:t xml:space="preserve">The result is JSON shaped like the query, plus an</w:t>
      </w:r>
      <w:r>
        <w:t xml:space="preserve"> </w:t>
      </w:r>
      <w:r>
        <w:rPr>
          <w:rStyle w:val="VerbatimChar"/>
        </w:rPr>
        <w:t xml:space="preserve">errors</w:t>
      </w:r>
      <w:r>
        <w:t xml:space="preserve"> </w:t>
      </w:r>
      <w:r>
        <w:t xml:space="preserve">array if some fields failed. Over HTTP, GraphQL servers usually expose one endpoint (</w:t>
      </w:r>
      <w:r>
        <w:rPr>
          <w:rStyle w:val="VerbatimChar"/>
        </w:rPr>
        <w:t xml:space="preserve">POST /graphql</w:t>
      </w:r>
      <w:r>
        <w:t xml:space="preserve">) and often return</w:t>
      </w:r>
      <w:r>
        <w:t xml:space="preserve"> </w:t>
      </w:r>
      <w:r>
        <w:rPr>
          <w:rStyle w:val="VerbatimChar"/>
        </w:rPr>
        <w:t xml:space="preserve">200 OK</w:t>
      </w:r>
      <w:r>
        <w:t xml:space="preserve"> </w:t>
      </w:r>
      <w:r>
        <w:t xml:space="preserve">even when</w:t>
      </w:r>
      <w:r>
        <w:t xml:space="preserve"> </w:t>
      </w:r>
      <w:r>
        <w:rPr>
          <w:rStyle w:val="VerbatimChar"/>
        </w:rPr>
        <w:t xml:space="preserve">errors</w:t>
      </w:r>
      <w:r>
        <w:t xml:space="preserve"> </w:t>
      </w:r>
      <w:r>
        <w:t xml:space="preserve">is non-empty, which matters for monitoring.</w:t>
      </w:r>
    </w:p>
    <w:p>
      <w:pPr>
        <w:pStyle w:val="SourceCode"/>
      </w:pPr>
      <w:r>
        <w:rPr>
          <w:rStyle w:val="StringTok"/>
        </w:rPr>
        <w:t xml:space="preserve">"""A blog: users write posts; posts have comments."""</w:t>
      </w:r>
      <w:r>
        <w:br/>
      </w:r>
      <w:r>
        <w:rPr>
          <w:rStyle w:val="KeywordTok"/>
        </w:rPr>
        <w:t xml:space="preserve">type</w:t>
      </w:r>
      <w:r>
        <w:rPr>
          <w:rStyle w:val="NormalTok"/>
        </w:rPr>
        <w:t xml:space="preserve"> Query {</w:t>
      </w:r>
      <w:r>
        <w:br/>
      </w:r>
      <w:r>
        <w:rPr>
          <w:rStyle w:val="NormalTok"/>
        </w:rPr>
        <w:t xml:space="preserve">  user(id: </w:t>
      </w:r>
      <w:r>
        <w:rPr>
          <w:rStyle w:val="DataTypeTok"/>
        </w:rPr>
        <w:t xml:space="preserve">ID</w:t>
      </w:r>
      <w:r>
        <w:rPr>
          <w:rStyle w:val="NormalTok"/>
        </w:rPr>
        <w:t xml:space="preserve">!): User</w:t>
      </w:r>
      <w:r>
        <w:br/>
      </w:r>
      <w:r>
        <w:rPr>
          <w:rStyle w:val="NormalTok"/>
        </w:rPr>
        <w:t xml:space="preserve">  posts(first: </w:t>
      </w:r>
      <w:r>
        <w:rPr>
          <w:rStyle w:val="DataTypeTok"/>
        </w:rPr>
        <w:t xml:space="preserve">Int</w:t>
      </w:r>
      <w:r>
        <w:rPr>
          <w:rStyle w:val="NormalTok"/>
        </w:rPr>
        <w:t xml:space="preserve"> = </w:t>
      </w:r>
      <w:r>
        <w:rPr>
          <w:rStyle w:val="DecValTok"/>
        </w:rPr>
        <w:t xml:space="preserve">10</w:t>
      </w:r>
      <w:r>
        <w:rPr>
          <w:rStyle w:val="NormalTok"/>
        </w:rPr>
        <w:t xml:space="preserve">, after: </w:t>
      </w:r>
      <w:r>
        <w:rPr>
          <w:rStyle w:val="DataTypeTok"/>
        </w:rPr>
        <w:t xml:space="preserve">String</w:t>
      </w:r>
      <w:r>
        <w:rPr>
          <w:rStyle w:val="NormalTok"/>
        </w:rPr>
        <w:t xml:space="preserve">): PostConnection!</w:t>
      </w:r>
      <w:r>
        <w:br/>
      </w:r>
      <w:r>
        <w:rPr>
          <w:rStyle w:val="NormalTok"/>
        </w:rPr>
        <w:t xml:space="preserve">}</w:t>
      </w:r>
      <w:r>
        <w:br/>
      </w:r>
      <w:r>
        <w:br/>
      </w:r>
      <w:r>
        <w:rPr>
          <w:rStyle w:val="KeywordTok"/>
        </w:rPr>
        <w:t xml:space="preserve">type</w:t>
      </w:r>
      <w:r>
        <w:rPr>
          <w:rStyle w:val="NormalTok"/>
        </w:rPr>
        <w:t xml:space="preserve"> Mutation {</w:t>
      </w:r>
      <w:r>
        <w:br/>
      </w:r>
      <w:r>
        <w:rPr>
          <w:rStyle w:val="NormalTok"/>
        </w:rPr>
        <w:t xml:space="preserve">  createPost(</w:t>
      </w:r>
      <w:r>
        <w:rPr>
          <w:rStyle w:val="KeywordTok"/>
        </w:rPr>
        <w:t xml:space="preserve">input</w:t>
      </w:r>
      <w:r>
        <w:rPr>
          <w:rStyle w:val="NormalTok"/>
        </w:rPr>
        <w:t xml:space="preserve">: CreatePostInput!): CreatePostPayload!</w:t>
      </w:r>
      <w:r>
        <w:br/>
      </w:r>
      <w:r>
        <w:rPr>
          <w:rStyle w:val="NormalTok"/>
        </w:rPr>
        <w:t xml:space="preserve">}</w:t>
      </w:r>
      <w:r>
        <w:br/>
      </w:r>
      <w:r>
        <w:br/>
      </w:r>
      <w:r>
        <w:rPr>
          <w:rStyle w:val="KeywordTok"/>
        </w:rPr>
        <w:t xml:space="preserve">type</w:t>
      </w:r>
      <w:r>
        <w:rPr>
          <w:rStyle w:val="NormalTok"/>
        </w:rPr>
        <w:t xml:space="preserve"> User {</w:t>
      </w:r>
      <w:r>
        <w:br/>
      </w:r>
      <w:r>
        <w:rPr>
          <w:rStyle w:val="NormalTok"/>
        </w:rPr>
        <w:t xml:space="preserve">  id: </w:t>
      </w:r>
      <w:r>
        <w:rPr>
          <w:rStyle w:val="DataTypeTok"/>
        </w:rPr>
        <w:t xml:space="preserve">ID</w:t>
      </w:r>
      <w:r>
        <w:rPr>
          <w:rStyle w:val="NormalTok"/>
        </w:rPr>
        <w:t xml:space="preserve">!</w:t>
      </w:r>
      <w:r>
        <w:br/>
      </w:r>
      <w:r>
        <w:rPr>
          <w:rStyle w:val="NormalTok"/>
        </w:rPr>
        <w:t xml:space="preserve">  name: </w:t>
      </w:r>
      <w:r>
        <w:rPr>
          <w:rStyle w:val="DataTypeTok"/>
        </w:rPr>
        <w:t xml:space="preserve">String</w:t>
      </w:r>
      <w:r>
        <w:rPr>
          <w:rStyle w:val="NormalTok"/>
        </w:rPr>
        <w:t xml:space="preserve">!</w:t>
      </w:r>
      <w:r>
        <w:br/>
      </w:r>
      <w:r>
        <w:rPr>
          <w:rStyle w:val="NormalTok"/>
        </w:rPr>
        <w:t xml:space="preserve">  posts(first: </w:t>
      </w:r>
      <w:r>
        <w:rPr>
          <w:rStyle w:val="DataTypeTok"/>
        </w:rPr>
        <w:t xml:space="preserve">Int</w:t>
      </w:r>
      <w:r>
        <w:rPr>
          <w:rStyle w:val="NormalTok"/>
        </w:rPr>
        <w:t xml:space="preserve"> = </w:t>
      </w:r>
      <w:r>
        <w:rPr>
          <w:rStyle w:val="DecValTok"/>
        </w:rPr>
        <w:t xml:space="preserve">10</w:t>
      </w:r>
      <w:r>
        <w:rPr>
          <w:rStyle w:val="NormalTok"/>
        </w:rPr>
        <w:t xml:space="preserve">): [Post!]!</w:t>
      </w:r>
      <w:r>
        <w:br/>
      </w:r>
      <w:r>
        <w:rPr>
          <w:rStyle w:val="NormalTok"/>
        </w:rPr>
        <w:t xml:space="preserve">}</w:t>
      </w:r>
      <w:r>
        <w:br/>
      </w:r>
      <w:r>
        <w:br/>
      </w:r>
      <w:r>
        <w:rPr>
          <w:rStyle w:val="KeywordTok"/>
        </w:rPr>
        <w:t xml:space="preserve">type</w:t>
      </w:r>
      <w:r>
        <w:rPr>
          <w:rStyle w:val="NormalTok"/>
        </w:rPr>
        <w:t xml:space="preserve"> Post {</w:t>
      </w:r>
      <w:r>
        <w:br/>
      </w:r>
      <w:r>
        <w:rPr>
          <w:rStyle w:val="NormalTok"/>
        </w:rPr>
        <w:t xml:space="preserve">  id: </w:t>
      </w:r>
      <w:r>
        <w:rPr>
          <w:rStyle w:val="DataTypeTok"/>
        </w:rPr>
        <w:t xml:space="preserve">ID</w:t>
      </w:r>
      <w:r>
        <w:rPr>
          <w:rStyle w:val="NormalTok"/>
        </w:rPr>
        <w:t xml:space="preserve">!</w:t>
      </w:r>
      <w:r>
        <w:br/>
      </w:r>
      <w:r>
        <w:rPr>
          <w:rStyle w:val="NormalTok"/>
        </w:rPr>
        <w:t xml:space="preserve">  title: </w:t>
      </w:r>
      <w:r>
        <w:rPr>
          <w:rStyle w:val="DataTypeTok"/>
        </w:rPr>
        <w:t xml:space="preserve">String</w:t>
      </w:r>
      <w:r>
        <w:rPr>
          <w:rStyle w:val="NormalTok"/>
        </w:rPr>
        <w:t xml:space="preserve">!</w:t>
      </w:r>
      <w:r>
        <w:br/>
      </w:r>
      <w:r>
        <w:rPr>
          <w:rStyle w:val="NormalTok"/>
        </w:rPr>
        <w:t xml:space="preserve">  body: </w:t>
      </w:r>
      <w:r>
        <w:rPr>
          <w:rStyle w:val="DataTypeTok"/>
        </w:rPr>
        <w:t xml:space="preserve">String</w:t>
      </w:r>
      <w:r>
        <w:rPr>
          <w:rStyle w:val="NormalTok"/>
        </w:rPr>
        <w:t xml:space="preserve">!</w:t>
      </w:r>
      <w:r>
        <w:br/>
      </w:r>
      <w:r>
        <w:rPr>
          <w:rStyle w:val="NormalTok"/>
        </w:rPr>
        <w:t xml:space="preserve">  author: User!</w:t>
      </w:r>
      <w:r>
        <w:br/>
      </w:r>
      <w:r>
        <w:rPr>
          <w:rStyle w:val="NormalTok"/>
        </w:rPr>
        <w:t xml:space="preserve">  comments(first: </w:t>
      </w:r>
      <w:r>
        <w:rPr>
          <w:rStyle w:val="DataTypeTok"/>
        </w:rPr>
        <w:t xml:space="preserve">Int</w:t>
      </w:r>
      <w:r>
        <w:rPr>
          <w:rStyle w:val="NormalTok"/>
        </w:rPr>
        <w:t xml:space="preserve"> = </w:t>
      </w:r>
      <w:r>
        <w:rPr>
          <w:rStyle w:val="DecValTok"/>
        </w:rPr>
        <w:t xml:space="preserve">10</w:t>
      </w:r>
      <w:r>
        <w:rPr>
          <w:rStyle w:val="NormalTok"/>
        </w:rPr>
        <w:t xml:space="preserve">): [Comment!]!</w:t>
      </w:r>
      <w:r>
        <w:br/>
      </w:r>
      <w:r>
        <w:rPr>
          <w:rStyle w:val="NormalTok"/>
        </w:rPr>
        <w:t xml:space="preserve">  publishedAt: </w:t>
      </w:r>
      <w:r>
        <w:rPr>
          <w:rStyle w:val="DataTypeTok"/>
        </w:rPr>
        <w:t xml:space="preserve">String</w:t>
      </w:r>
      <w:r>
        <w:br/>
      </w:r>
      <w:r>
        <w:rPr>
          <w:rStyle w:val="NormalTok"/>
        </w:rPr>
        <w:t xml:space="preserve">}</w:t>
      </w:r>
      <w:r>
        <w:br/>
      </w:r>
      <w:r>
        <w:br/>
      </w:r>
      <w:r>
        <w:rPr>
          <w:rStyle w:val="KeywordTok"/>
        </w:rPr>
        <w:t xml:space="preserve">type</w:t>
      </w:r>
      <w:r>
        <w:rPr>
          <w:rStyle w:val="NormalTok"/>
        </w:rPr>
        <w:t xml:space="preserve"> Comment {</w:t>
      </w:r>
      <w:r>
        <w:br/>
      </w:r>
      <w:r>
        <w:rPr>
          <w:rStyle w:val="NormalTok"/>
        </w:rPr>
        <w:t xml:space="preserve">  id: </w:t>
      </w:r>
      <w:r>
        <w:rPr>
          <w:rStyle w:val="DataTypeTok"/>
        </w:rPr>
        <w:t xml:space="preserve">ID</w:t>
      </w:r>
      <w:r>
        <w:rPr>
          <w:rStyle w:val="NormalTok"/>
        </w:rPr>
        <w:t xml:space="preserve">!</w:t>
      </w:r>
      <w:r>
        <w:br/>
      </w:r>
      <w:r>
        <w:rPr>
          <w:rStyle w:val="NormalTok"/>
        </w:rPr>
        <w:t xml:space="preserve">  text: </w:t>
      </w:r>
      <w:r>
        <w:rPr>
          <w:rStyle w:val="DataTypeTok"/>
        </w:rPr>
        <w:t xml:space="preserve">String</w:t>
      </w:r>
      <w:r>
        <w:rPr>
          <w:rStyle w:val="NormalTok"/>
        </w:rPr>
        <w:t xml:space="preserve">!</w:t>
      </w:r>
      <w:r>
        <w:br/>
      </w:r>
      <w:r>
        <w:rPr>
          <w:rStyle w:val="NormalTok"/>
        </w:rPr>
        <w:t xml:space="preserve">  author: User!</w:t>
      </w:r>
      <w:r>
        <w:br/>
      </w:r>
      <w:r>
        <w:rPr>
          <w:rStyle w:val="NormalTok"/>
        </w:rPr>
        <w:t xml:space="preserve">}</w:t>
      </w:r>
      <w:r>
        <w:br/>
      </w:r>
      <w:r>
        <w:br/>
      </w:r>
      <w:r>
        <w:rPr>
          <w:rStyle w:val="CommentTok"/>
        </w:rPr>
        <w:t xml:space="preserve"># Relay-style cursor pagination</w:t>
      </w:r>
      <w:r>
        <w:br/>
      </w:r>
      <w:r>
        <w:rPr>
          <w:rStyle w:val="KeywordTok"/>
        </w:rPr>
        <w:t xml:space="preserve">type</w:t>
      </w:r>
      <w:r>
        <w:rPr>
          <w:rStyle w:val="NormalTok"/>
        </w:rPr>
        <w:t xml:space="preserve"> PostConnection {</w:t>
      </w:r>
      <w:r>
        <w:br/>
      </w:r>
      <w:r>
        <w:rPr>
          <w:rStyle w:val="NormalTok"/>
        </w:rPr>
        <w:t xml:space="preserve">  edges: [PostEdge!]!</w:t>
      </w:r>
      <w:r>
        <w:br/>
      </w:r>
      <w:r>
        <w:rPr>
          <w:rStyle w:val="NormalTok"/>
        </w:rPr>
        <w:t xml:space="preserve">  pageInfo: PageInfo!</w:t>
      </w:r>
      <w:r>
        <w:br/>
      </w:r>
      <w:r>
        <w:rPr>
          <w:rStyle w:val="NormalTok"/>
        </w:rPr>
        <w:t xml:space="preserve">}</w:t>
      </w:r>
      <w:r>
        <w:br/>
      </w:r>
      <w:r>
        <w:br/>
      </w:r>
      <w:r>
        <w:rPr>
          <w:rStyle w:val="KeywordTok"/>
        </w:rPr>
        <w:t xml:space="preserve">type</w:t>
      </w:r>
      <w:r>
        <w:rPr>
          <w:rStyle w:val="NormalTok"/>
        </w:rPr>
        <w:t xml:space="preserve"> PostEdge {</w:t>
      </w:r>
      <w:r>
        <w:br/>
      </w:r>
      <w:r>
        <w:rPr>
          <w:rStyle w:val="NormalTok"/>
        </w:rPr>
        <w:t xml:space="preserve">  cursor: </w:t>
      </w:r>
      <w:r>
        <w:rPr>
          <w:rStyle w:val="DataTypeTok"/>
        </w:rPr>
        <w:t xml:space="preserve">String</w:t>
      </w:r>
      <w:r>
        <w:rPr>
          <w:rStyle w:val="NormalTok"/>
        </w:rPr>
        <w:t xml:space="preserve">!</w:t>
      </w:r>
      <w:r>
        <w:br/>
      </w:r>
      <w:r>
        <w:rPr>
          <w:rStyle w:val="NormalTok"/>
        </w:rPr>
        <w:t xml:space="preserve">  node: Post!</w:t>
      </w:r>
      <w:r>
        <w:br/>
      </w:r>
      <w:r>
        <w:rPr>
          <w:rStyle w:val="NormalTok"/>
        </w:rPr>
        <w:t xml:space="preserve">}</w:t>
      </w:r>
      <w:r>
        <w:br/>
      </w:r>
      <w:r>
        <w:br/>
      </w:r>
      <w:r>
        <w:rPr>
          <w:rStyle w:val="KeywordTok"/>
        </w:rPr>
        <w:t xml:space="preserve">type</w:t>
      </w:r>
      <w:r>
        <w:rPr>
          <w:rStyle w:val="NormalTok"/>
        </w:rPr>
        <w:t xml:space="preserve"> PageInfo {</w:t>
      </w:r>
      <w:r>
        <w:br/>
      </w:r>
      <w:r>
        <w:rPr>
          <w:rStyle w:val="NormalTok"/>
        </w:rPr>
        <w:t xml:space="preserve">  hasNextPage: </w:t>
      </w:r>
      <w:r>
        <w:rPr>
          <w:rStyle w:val="DataTypeTok"/>
        </w:rPr>
        <w:t xml:space="preserve">Boolean</w:t>
      </w:r>
      <w:r>
        <w:rPr>
          <w:rStyle w:val="NormalTok"/>
        </w:rPr>
        <w:t xml:space="preserve">!</w:t>
      </w:r>
      <w:r>
        <w:br/>
      </w:r>
      <w:r>
        <w:rPr>
          <w:rStyle w:val="NormalTok"/>
        </w:rPr>
        <w:t xml:space="preserve">  endCursor: </w:t>
      </w:r>
      <w:r>
        <w:rPr>
          <w:rStyle w:val="DataTypeTok"/>
        </w:rPr>
        <w:t xml:space="preserve">String</w:t>
      </w:r>
      <w:r>
        <w:br/>
      </w:r>
      <w:r>
        <w:rPr>
          <w:rStyle w:val="NormalTok"/>
        </w:rPr>
        <w:t xml:space="preserve">}</w:t>
      </w:r>
      <w:r>
        <w:br/>
      </w:r>
      <w:r>
        <w:br/>
      </w:r>
      <w:r>
        <w:rPr>
          <w:rStyle w:val="KeywordTok"/>
        </w:rPr>
        <w:t xml:space="preserve">input</w:t>
      </w:r>
      <w:r>
        <w:rPr>
          <w:rStyle w:val="NormalTok"/>
        </w:rPr>
        <w:t xml:space="preserve"> CreatePostInput {</w:t>
      </w:r>
      <w:r>
        <w:br/>
      </w:r>
      <w:r>
        <w:rPr>
          <w:rStyle w:val="NormalTok"/>
        </w:rPr>
        <w:t xml:space="preserve">  title: </w:t>
      </w:r>
      <w:r>
        <w:rPr>
          <w:rStyle w:val="DataTypeTok"/>
        </w:rPr>
        <w:t xml:space="preserve">String</w:t>
      </w:r>
      <w:r>
        <w:rPr>
          <w:rStyle w:val="NormalTok"/>
        </w:rPr>
        <w:t xml:space="preserve">!</w:t>
      </w:r>
      <w:r>
        <w:br/>
      </w:r>
      <w:r>
        <w:rPr>
          <w:rStyle w:val="NormalTok"/>
        </w:rPr>
        <w:t xml:space="preserve">  body: </w:t>
      </w:r>
      <w:r>
        <w:rPr>
          <w:rStyle w:val="DataTypeTok"/>
        </w:rPr>
        <w:t xml:space="preserve">String</w:t>
      </w:r>
      <w:r>
        <w:rPr>
          <w:rStyle w:val="NormalTok"/>
        </w:rPr>
        <w:t xml:space="preserve">!</w:t>
      </w:r>
      <w:r>
        <w:br/>
      </w:r>
      <w:r>
        <w:rPr>
          <w:rStyle w:val="NormalTok"/>
        </w:rPr>
        <w:t xml:space="preserve">}</w:t>
      </w:r>
      <w:r>
        <w:br/>
      </w:r>
      <w:r>
        <w:br/>
      </w:r>
      <w:r>
        <w:rPr>
          <w:rStyle w:val="KeywordTok"/>
        </w:rPr>
        <w:t xml:space="preserve">type</w:t>
      </w:r>
      <w:r>
        <w:rPr>
          <w:rStyle w:val="NormalTok"/>
        </w:rPr>
        <w:t xml:space="preserve"> CreatePostPayload {</w:t>
      </w:r>
      <w:r>
        <w:br/>
      </w:r>
      <w:r>
        <w:rPr>
          <w:rStyle w:val="NormalTok"/>
        </w:rPr>
        <w:t xml:space="preserve">  post: Post</w:t>
      </w:r>
      <w:r>
        <w:br/>
      </w:r>
      <w:r>
        <w:rPr>
          <w:rStyle w:val="NormalTok"/>
        </w:rPr>
        <w:t xml:space="preserve">  errors: [</w:t>
      </w:r>
      <w:r>
        <w:rPr>
          <w:rStyle w:val="DataTypeTok"/>
        </w:rPr>
        <w:t xml:space="preserve">String</w:t>
      </w:r>
      <w:r>
        <w:rPr>
          <w:rStyle w:val="NormalTok"/>
        </w:rPr>
        <w:t xml:space="preserve">!]!</w:t>
      </w:r>
      <w:r>
        <w:br/>
      </w:r>
      <w:r>
        <w:rPr>
          <w:rStyle w:val="NormalTok"/>
        </w:rPr>
        <w:t xml:space="preserve">}</w:t>
      </w:r>
    </w:p>
    <w:p>
      <w:pPr>
        <w:pStyle w:val="FirstParagraph"/>
      </w:pPr>
      <w:r>
        <w:t xml:space="preserve">A client query and the matching curl call:</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https://api.example.com/graphql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eyJhbGciOi...'</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'{"query":"query RecentPosts { posts(first: 5) { edges { node { title author { name } } } pageInfo { hasNextPage endCursor } } }"}'</w:t>
      </w:r>
    </w:p>
    <w:p>
      <w:pPr>
        <w:pStyle w:val="FirstParagraph"/>
      </w:pPr>
      <w:r>
        <w:t xml:space="preserve">What to notice:</w:t>
      </w:r>
    </w:p>
    <w:p>
      <w:pPr>
        <w:numPr>
          <w:ilvl w:val="0"/>
          <w:numId w:val="1270"/>
        </w:numPr>
        <w:pStyle w:val="Compact"/>
      </w:pPr>
      <w:r>
        <w:rPr>
          <w:rStyle w:val="VerbatimChar"/>
        </w:rPr>
        <w:t xml:space="preserve">!</w:t>
      </w:r>
      <w:r>
        <w:t xml:space="preserve"> </w:t>
      </w:r>
      <w:r>
        <w:t xml:space="preserve">means non-null;</w:t>
      </w:r>
      <w:r>
        <w:t xml:space="preserve"> </w:t>
      </w:r>
      <w:r>
        <w:rPr>
          <w:rStyle w:val="VerbatimChar"/>
        </w:rPr>
        <w:t xml:space="preserve">[Post!]!</w:t>
      </w:r>
      <w:r>
        <w:t xml:space="preserve"> </w:t>
      </w:r>
      <w:r>
        <w:t xml:space="preserve">is a non-null list of non-null posts. Nullability is part of the contract: making a nullable field non-null later is safe for clients, the reverse is not.</w:t>
      </w:r>
    </w:p>
    <w:p>
      <w:pPr>
        <w:numPr>
          <w:ilvl w:val="0"/>
          <w:numId w:val="1270"/>
        </w:numPr>
        <w:pStyle w:val="Compact"/>
      </w:pPr>
      <w:r>
        <w:t xml:space="preserve">Pagination uses the cursor model of §8.6.5 (</w:t>
      </w:r>
      <w:r>
        <w:rPr>
          <w:rStyle w:val="VerbatimChar"/>
        </w:rPr>
        <w:t xml:space="preserve">first</w:t>
      </w:r>
      <w:r>
        <w:t xml:space="preserve">,</w:t>
      </w:r>
      <w:r>
        <w:t xml:space="preserve"> </w:t>
      </w:r>
      <w:r>
        <w:rPr>
          <w:rStyle w:val="VerbatimChar"/>
        </w:rPr>
        <w:t xml:space="preserve">after</w:t>
      </w:r>
      <w:r>
        <w:t xml:space="preserve">,</w:t>
      </w:r>
      <w:r>
        <w:t xml:space="preserve"> </w:t>
      </w:r>
      <w:r>
        <w:rPr>
          <w:rStyle w:val="VerbatimChar"/>
        </w:rPr>
        <w:t xml:space="preserve">endCursor</w:t>
      </w:r>
      <w:r>
        <w:t xml:space="preserve">), in the</w:t>
      </w:r>
      <w:r>
        <w:t xml:space="preserve"> </w:t>
      </w:r>
      <w:r>
        <w:t xml:space="preserve">“</w:t>
      </w:r>
      <w:r>
        <w:t xml:space="preserve">connection</w:t>
      </w:r>
      <w:r>
        <w:t xml:space="preserve">”</w:t>
      </w:r>
      <w:r>
        <w:t xml:space="preserve"> </w:t>
      </w:r>
      <w:r>
        <w:t xml:space="preserve">shape popularized by Facebook’s Relay client.</w:t>
      </w:r>
    </w:p>
    <w:p>
      <w:pPr>
        <w:numPr>
          <w:ilvl w:val="0"/>
          <w:numId w:val="1270"/>
        </w:numPr>
        <w:pStyle w:val="Compact"/>
      </w:pPr>
      <w:r>
        <w:t xml:space="preserve">Mutations return a payload type with a domain</w:t>
      </w:r>
      <w:r>
        <w:t xml:space="preserve"> </w:t>
      </w:r>
      <w:r>
        <w:rPr>
          <w:rStyle w:val="VerbatimChar"/>
        </w:rPr>
        <w:t xml:space="preserve">errors</w:t>
      </w:r>
      <w:r>
        <w:t xml:space="preserve"> </w:t>
      </w:r>
      <w:r>
        <w:t xml:space="preserve">list, so business-rule failures are typed data rather than transport errors.</w:t>
      </w:r>
    </w:p>
    <w:bookmarkEnd w:id="873"/>
    <w:bookmarkEnd w:id="874"/>
    <w:bookmarkStart w:id="878" w:name="the-n1-problem-and-dataloader"/>
    <w:p>
      <w:pPr>
        <w:pStyle w:val="Heading3"/>
      </w:pPr>
      <w:r>
        <w:t xml:space="preserve">8.7.2 The N+1 problem and DataLoader</w:t>
      </w:r>
    </w:p>
    <w:p>
      <w:pPr>
        <w:pStyle w:val="FirstParagraph"/>
      </w:pPr>
      <w:r>
        <w:t xml:space="preserve">The resolver model is elegant but naive. For the query above,</w:t>
      </w:r>
      <w:r>
        <w:t xml:space="preserve"> </w:t>
      </w:r>
      <w:r>
        <w:rPr>
          <w:rStyle w:val="VerbatimChar"/>
        </w:rPr>
        <w:t xml:space="preserve">posts</w:t>
      </w:r>
      <w:r>
        <w:t xml:space="preserve"> </w:t>
      </w:r>
      <w:r>
        <w:t xml:space="preserve">runs one SQL query that returns 5 posts; then</w:t>
      </w:r>
      <w:r>
        <w:t xml:space="preserve"> </w:t>
      </w:r>
      <w:r>
        <w:rPr>
          <w:rStyle w:val="VerbatimChar"/>
        </w:rPr>
        <w:t xml:space="preserve">Post.author</w:t>
      </w:r>
      <w:r>
        <w:t xml:space="preserve"> </w:t>
      </w:r>
      <w:r>
        <w:t xml:space="preserve">runs</w:t>
      </w:r>
      <w:r>
        <w:t xml:space="preserve"> </w:t>
      </w:r>
      <w:r>
        <w:rPr>
          <w:bCs/>
          <w:b/>
        </w:rPr>
        <w:t xml:space="preserve">once per post</w:t>
      </w:r>
      <w:r>
        <w:t xml:space="preserve">, each issuing</w:t>
      </w:r>
      <w:r>
        <w:t xml:space="preserve"> </w:t>
      </w:r>
      <w:r>
        <w:rPr>
          <w:rStyle w:val="VerbatimChar"/>
        </w:rPr>
        <w:t xml:space="preserve">SELECT … FROM users WHERE id = ?</w:t>
      </w:r>
      <w:r>
        <w:t xml:space="preserve">. That is</w:t>
      </w:r>
      <w:r>
        <w:t xml:space="preserve"> </w:t>
      </w:r>
      <m:oMath>
        <m:r>
          <m:t>1</m:t>
        </m:r>
        <m:r>
          <m:rPr>
            <m:sty m:val="p"/>
          </m:rPr>
          <m:t>+</m:t>
        </m:r>
        <m:r>
          <m:t>N</m:t>
        </m:r>
      </m:oMath>
      <w:r>
        <w:t xml:space="preserve"> </w:t>
      </w:r>
      <w:r>
        <w:t xml:space="preserve">queries — the</w:t>
      </w:r>
      <w:r>
        <w:t xml:space="preserve"> </w:t>
      </w:r>
      <w:r>
        <w:rPr>
          <w:bCs/>
          <w:b/>
        </w:rPr>
        <w:t xml:space="preserve">N+1 problem</w:t>
      </w:r>
      <w:r>
        <w:t xml:space="preserve">. Nesting multiplies it.</w:t>
      </w:r>
    </w:p>
    <w:p>
      <w:pPr>
        <w:pStyle w:val="CalloutExample"/>
      </w:pPr>
      <w:r>
        <w:rPr>
          <w:bCs/>
          <w:b/>
        </w:rPr>
        <w:t xml:space="preserve">WORKED EXAMPLE</w:t>
      </w:r>
    </w:p>
    <w:p>
      <w:pPr>
        <w:pStyle w:val="CalloutExample"/>
      </w:pPr>
      <w:r>
        <w:rPr>
          <w:bCs/>
          <w:b/>
        </w:rPr>
        <w:t xml:space="preserve">Worked example — Query count for a nested feed.</w:t>
      </w:r>
      <w:r>
        <w:t xml:space="preserve"> </w:t>
      </w:r>
      <w:r>
        <w:t xml:space="preserve">A screen asks for 50 posts, the first 10 comments on each, and each comment’s author. Each database round trip costs 1 ms.</w:t>
      </w:r>
    </w:p>
    <w:p>
      <w:pPr>
        <w:numPr>
          <w:ilvl w:val="0"/>
          <w:numId w:val="1271"/>
        </w:numPr>
        <w:pStyle w:val="Compact"/>
      </w:pPr>
      <w:r>
        <w:t xml:space="preserve">Naive resolvers:</w:t>
      </w:r>
      <w:r>
        <w:t xml:space="preserve"> </w:t>
      </w:r>
      <m:oMath>
        <m:r>
          <m:t>1</m:t>
        </m:r>
      </m:oMath>
      <w:r>
        <w:t xml:space="preserve"> </w:t>
      </w:r>
      <w:r>
        <w:t xml:space="preserve">(posts)</w:t>
      </w:r>
      <w:r>
        <w:t xml:space="preserve"> </w:t>
      </w:r>
      <m:oMath>
        <m:r>
          <m:rPr>
            <m:sty m:val="p"/>
          </m:rPr>
          <m:t>+</m:t>
        </m:r>
        <m:r>
          <m:t>50</m:t>
        </m:r>
      </m:oMath>
      <w:r>
        <w:t xml:space="preserve"> </w:t>
      </w:r>
      <w:r>
        <w:t xml:space="preserve">(comments per post)</w:t>
      </w:r>
      <w:r>
        <w:t xml:space="preserve"> </w:t>
      </w:r>
      <m:oMath>
        <m:r>
          <m:rPr>
            <m:sty m:val="p"/>
          </m:rPr>
          <m:t>+</m:t>
        </m:r>
        <m:r>
          <m:t>50</m:t>
        </m:r>
        <m:r>
          <m:rPr>
            <m:sty m:val="p"/>
          </m:rPr>
          <m:t>×</m:t>
        </m:r>
        <m:r>
          <m:t>10</m:t>
        </m:r>
        <m:r>
          <m:rPr>
            <m:sty m:val="p"/>
          </m:rPr>
          <m:t>=</m:t>
        </m:r>
        <m:r>
          <m:t>500</m:t>
        </m:r>
      </m:oMath>
      <w:r>
        <w:t xml:space="preserve"> </w:t>
      </w:r>
      <w:r>
        <w:t xml:space="preserve">(comment authors)</w:t>
      </w:r>
      <w:r>
        <w:t xml:space="preserve"> </w:t>
      </w:r>
      <m:oMath>
        <m:r>
          <m:rPr>
            <m:sty m:val="p"/>
          </m:rPr>
          <m:t>=</m:t>
        </m:r>
        <m:r>
          <m:t>551</m:t>
        </m:r>
      </m:oMath>
      <w:r>
        <w:t xml:space="preserve"> </w:t>
      </w:r>
      <w:r>
        <w:t xml:space="preserve">queries, about 551 ms if executed one after another.</w:t>
      </w:r>
    </w:p>
    <w:p>
      <w:pPr>
        <w:numPr>
          <w:ilvl w:val="0"/>
          <w:numId w:val="1271"/>
        </w:numPr>
        <w:pStyle w:val="Compact"/>
      </w:pPr>
      <w:r>
        <w:t xml:space="preserve">With batching per tree level: 1 query for posts, 1 for all comments</w:t>
      </w:r>
      <w:r>
        <w:t xml:space="preserve"> </w:t>
      </w:r>
      <w:r>
        <w:rPr>
          <w:rStyle w:val="VerbatimChar"/>
        </w:rPr>
        <w:t xml:space="preserve">WHERE post_id IN (…50 ids…)</w:t>
      </w:r>
      <w:r>
        <w:t xml:space="preserve">, 1 for all authors</w:t>
      </w:r>
      <w:r>
        <w:t xml:space="preserve"> </w:t>
      </w:r>
      <w:r>
        <w:rPr>
          <w:rStyle w:val="VerbatimChar"/>
        </w:rPr>
        <w:t xml:space="preserve">WHERE id IN (…)</w:t>
      </w:r>
      <w:r>
        <w:t xml:space="preserve">: 3 queries, about 3 ms.</w:t>
      </w:r>
    </w:p>
    <w:p>
      <w:pPr>
        <w:pStyle w:val="CalloutExample"/>
      </w:pPr>
      <w:r>
        <w:rPr>
          <w:bCs/>
          <w:b/>
        </w:rPr>
        <w:t xml:space="preserve">Interpretation.</w:t>
      </w:r>
      <w:r>
        <w:t xml:space="preserve"> </w:t>
      </w:r>
      <w:r>
        <w:t xml:space="preserve">The difference is two orders of magnitude, and it grows with page size.</w:t>
      </w:r>
      <w:r>
        <w:t xml:space="preserve"> </w:t>
      </w:r>
      <w:r>
        <w:rPr>
          <w:bCs/>
          <w:b/>
        </w:rPr>
        <w:t xml:space="preserve">Engineering implication:</w:t>
      </w:r>
      <w:r>
        <w:t xml:space="preserve"> </w:t>
      </w:r>
      <w:r>
        <w:t xml:space="preserve">a GraphQL server without batching is a load generator pointed at your database.</w:t>
      </w:r>
    </w:p>
    <w:p>
      <w:pPr>
        <w:pStyle w:val="BodyText"/>
      </w:pPr>
      <w:r>
        <w:rPr>
          <w:bCs/>
          <w:b/>
        </w:rPr>
        <w:t xml:space="preserve">DataLoader</w:t>
      </w:r>
      <w:r>
        <w:t xml:space="preserve"> </w:t>
      </w:r>
      <w:r>
        <w:t xml:space="preserve">is the standard fix, published by Facebook as a small JavaScript library and re-implemented in every major language [DataLoader]. Resolvers do not query directly; they call</w:t>
      </w:r>
      <w:r>
        <w:t xml:space="preserve"> </w:t>
      </w:r>
      <w:r>
        <w:rPr>
          <w:rStyle w:val="VerbatimChar"/>
        </w:rPr>
        <w:t xml:space="preserve">loader.load(id)</w:t>
      </w:r>
      <w:r>
        <w:t xml:space="preserve">, which returns a promise. DataLoader collects every</w:t>
      </w:r>
      <w:r>
        <w:t xml:space="preserve"> </w:t>
      </w:r>
      <w:r>
        <w:rPr>
          <w:rStyle w:val="VerbatimChar"/>
        </w:rPr>
        <w:t xml:space="preserve">load</w:t>
      </w:r>
      <w:r>
        <w:t xml:space="preserve"> </w:t>
      </w:r>
      <w:r>
        <w:t xml:space="preserve">issued during one tick of the event loop, then calls a</w:t>
      </w:r>
      <w:r>
        <w:t xml:space="preserve"> </w:t>
      </w:r>
      <w:r>
        <w:rPr>
          <w:bCs/>
          <w:b/>
        </w:rPr>
        <w:t xml:space="preserve">batch function</w:t>
      </w:r>
      <w:r>
        <w:t xml:space="preserve"> </w:t>
      </w:r>
      <w:r>
        <w:t xml:space="preserve">once with all the keys, and resolves each promise from the result. It also memoizes keys for the duration of the request, so the same author requested 30 times is fetched once.</w:t>
      </w:r>
    </w:p>
    <w:p>
      <w:pPr>
        <w:pStyle w:val="BodyText"/>
      </w:pPr>
      <w:r>
        <w:rPr>
          <w:bCs/>
          <w:b/>
        </w:rPr>
        <w:t xml:space="preserve">Figure 8.4 — N+1 resolution versus DataLoader batching.</w:t>
      </w:r>
    </w:p>
    <w:p>
      <w:pPr>
        <w:pStyle w:val="BodyText"/>
      </w:pPr>
      <w:r>
        <w:drawing>
          <wp:inline>
            <wp:extent cx="5334000" cy="4755839"/>
            <wp:effectExtent b="0" l="0" r="0" t="0"/>
            <wp:docPr descr="" title="" id="876" name="Picture"/>
            <a:graphic>
              <a:graphicData uri="http://schemas.openxmlformats.org/drawingml/2006/picture">
                <pic:pic>
                  <pic:nvPicPr>
                    <pic:cNvPr descr="/home/user/System-Design/build/.cache/diagrams/ff24407698db.png" id="877" name="Picture"/>
                    <pic:cNvPicPr>
                      <a:picLocks noChangeArrowheads="1" noChangeAspect="1"/>
                    </pic:cNvPicPr>
                  </pic:nvPicPr>
                  <pic:blipFill>
                    <a:blip r:embed="rId875"/>
                    <a:stretch>
                      <a:fillRect/>
                    </a:stretch>
                  </pic:blipFill>
                  <pic:spPr bwMode="auto">
                    <a:xfrm>
                      <a:off x="0" y="0"/>
                      <a:ext cx="5334000" cy="4755839"/>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In the first half, the executor issues one database query per post for the author field: five synchronous round trips, one of them a duplicate. In the second half, the four author resolvers each call</w:t>
      </w:r>
      <w:r>
        <w:t xml:space="preserve"> </w:t>
      </w:r>
      <w:r>
        <w:rPr>
          <w:rStyle w:val="VerbatimChar"/>
        </w:rPr>
        <w:t xml:space="preserve">load</w:t>
      </w:r>
      <w:r>
        <w:t xml:space="preserve"> </w:t>
      </w:r>
      <w:r>
        <w:t xml:space="preserve">on a per-request DataLoader; it waits until the current tick ends, deduplicates the keys to</w:t>
      </w:r>
      <w:r>
        <w:t xml:space="preserve"> </w:t>
      </w:r>
      <w:r>
        <w:rPr>
          <w:rStyle w:val="VerbatimChar"/>
        </w:rPr>
        <w:t xml:space="preserve">{1, 2, 3}</w:t>
      </w:r>
      <w:r>
        <w:t xml:space="preserve">, makes one</w:t>
      </w:r>
      <w:r>
        <w:t xml:space="preserve"> </w:t>
      </w:r>
      <w:r>
        <w:rPr>
          <w:rStyle w:val="VerbatimChar"/>
        </w:rPr>
        <w:t xml:space="preserve">IN</w:t>
      </w:r>
      <w:r>
        <w:t xml:space="preserve"> </w:t>
      </w:r>
      <w:r>
        <w:t xml:space="preserve">query, and fans the rows back out to the four waiting resolvers. The storage boundary is the database. Failure point: if the batch query fails, every waiting resolver must receive the error. Scaling: batching turns</w:t>
      </w:r>
      <w:r>
        <w:t xml:space="preserve"> </w:t>
      </w:r>
      <m:oMath>
        <m:r>
          <m:t>O</m:t>
        </m:r>
        <m:d>
          <m:dPr>
            <m:begChr m:val="("/>
            <m:endChr m:val=")"/>
            <m:sepChr m:val=""/>
            <m:grow/>
          </m:dPr>
          <m:e>
            <m:r>
              <m:t>N</m:t>
            </m:r>
          </m:e>
        </m:d>
      </m:oMath>
      <w:r>
        <w:t xml:space="preserve"> </w:t>
      </w:r>
      <w:r>
        <w:t xml:space="preserve">round trips into</w:t>
      </w:r>
      <w:r>
        <w:t xml:space="preserve"> </w:t>
      </w:r>
      <m:oMath>
        <m:r>
          <m:t>O</m:t>
        </m:r>
        <m:d>
          <m:dPr>
            <m:begChr m:val="("/>
            <m:endChr m:val=")"/>
            <m:sepChr m:val=""/>
            <m:grow/>
          </m:dPr>
          <m:e>
            <m:r>
              <m:rPr>
                <m:nor/>
                <m:sty m:val="p"/>
              </m:rPr>
              <m:t>depth</m:t>
            </m:r>
          </m:e>
        </m:d>
      </m:oMath>
      <w:r>
        <w:t xml:space="preserve">.</w:t>
      </w:r>
    </w:p>
    <w:p>
      <w:pPr>
        <w:pStyle w:val="BodyText"/>
      </w:pPr>
      <w:r>
        <w:t xml:space="preserve">A minimal DataLoader in Python’s</w:t>
      </w:r>
      <w:r>
        <w:t xml:space="preserve"> </w:t>
      </w:r>
      <w:r>
        <w:rPr>
          <w:rStyle w:val="VerbatimChar"/>
        </w:rPr>
        <w:t xml:space="preserve">asyncio</w:t>
      </w:r>
      <w:r>
        <w:t xml:space="preserve"> </w:t>
      </w:r>
      <w:r>
        <w:t xml:space="preserve">shows the mechanism:</w:t>
      </w:r>
    </w:p>
    <w:p>
      <w:pPr>
        <w:pStyle w:val="SourceCode"/>
      </w:pPr>
      <w:r>
        <w:rPr>
          <w:rStyle w:val="ImportTok"/>
        </w:rPr>
        <w:t xml:space="preserve">import</w:t>
      </w:r>
      <w:r>
        <w:rPr>
          <w:rStyle w:val="NormalTok"/>
        </w:rPr>
        <w:t xml:space="preserve"> asyncio</w:t>
      </w:r>
      <w:r>
        <w:br/>
      </w:r>
      <w:r>
        <w:br/>
      </w:r>
      <w:r>
        <w:br/>
      </w:r>
      <w:r>
        <w:rPr>
          <w:rStyle w:val="KeywordTok"/>
        </w:rPr>
        <w:t xml:space="preserve">class</w:t>
      </w:r>
      <w:r>
        <w:rPr>
          <w:rStyle w:val="NormalTok"/>
        </w:rPr>
        <w:t xml:space="preserve"> DataLoader:</w:t>
      </w:r>
      <w:r>
        <w:br/>
      </w:r>
      <w:r>
        <w:rPr>
          <w:rStyle w:val="NormalTok"/>
        </w:rPr>
        <w:t xml:space="preserve">    </w:t>
      </w:r>
      <w:r>
        <w:rPr>
          <w:rStyle w:val="CommentTok"/>
        </w:rPr>
        <w:t xml:space="preserve">"""Coalesce every load(key) issued in the same event-loop tick into one batch call."""</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batch_fn):</w:t>
      </w:r>
      <w:r>
        <w:br/>
      </w:r>
      <w:r>
        <w:rPr>
          <w:rStyle w:val="NormalTok"/>
        </w:rPr>
        <w:t xml:space="preserve">        </w:t>
      </w:r>
      <w:r>
        <w:rPr>
          <w:rStyle w:val="VariableTok"/>
        </w:rPr>
        <w:t xml:space="preserve">self</w:t>
      </w:r>
      <w:r>
        <w:rPr>
          <w:rStyle w:val="NormalTok"/>
        </w:rPr>
        <w:t xml:space="preserve">.batch_fn </w:t>
      </w:r>
      <w:r>
        <w:rPr>
          <w:rStyle w:val="OperatorTok"/>
        </w:rPr>
        <w:t xml:space="preserve">=</w:t>
      </w:r>
      <w:r>
        <w:rPr>
          <w:rStyle w:val="NormalTok"/>
        </w:rPr>
        <w:t xml:space="preserve"> batch_fn          </w:t>
      </w:r>
      <w:r>
        <w:rPr>
          <w:rStyle w:val="CommentTok"/>
        </w:rPr>
        <w:t xml:space="preserve"># async fn: list[key] -&gt; list[value], same order</w:t>
      </w:r>
      <w:r>
        <w:br/>
      </w:r>
      <w:r>
        <w:rPr>
          <w:rStyle w:val="NormalTok"/>
        </w:rPr>
        <w:t xml:space="preserve">        </w:t>
      </w:r>
      <w:r>
        <w:rPr>
          <w:rStyle w:val="VariableTok"/>
        </w:rPr>
        <w:t xml:space="preserve">self</w:t>
      </w:r>
      <w:r>
        <w:rPr>
          <w:rStyle w:val="NormalTok"/>
        </w:rPr>
        <w:t xml:space="preserve">.cache </w:t>
      </w:r>
      <w:r>
        <w:rPr>
          <w:rStyle w:val="OperatorTok"/>
        </w:rPr>
        <w:t xml:space="preserve">=</w:t>
      </w:r>
      <w:r>
        <w:rPr>
          <w:rStyle w:val="NormalTok"/>
        </w:rPr>
        <w:t xml:space="preserve"> {}                   </w:t>
      </w:r>
      <w:r>
        <w:rPr>
          <w:rStyle w:val="CommentTok"/>
        </w:rPr>
        <w:t xml:space="preserve"># key -&gt; Future (per-request memoization)</w:t>
      </w:r>
      <w:r>
        <w:br/>
      </w:r>
      <w:r>
        <w:rPr>
          <w:rStyle w:val="NormalTok"/>
        </w:rPr>
        <w:t xml:space="preserve">        </w:t>
      </w:r>
      <w:r>
        <w:rPr>
          <w:rStyle w:val="VariableTok"/>
        </w:rPr>
        <w:t xml:space="preserve">self</w:t>
      </w:r>
      <w:r>
        <w:rPr>
          <w:rStyle w:val="NormalTok"/>
        </w:rPr>
        <w:t xml:space="preserve">.queue </w:t>
      </w:r>
      <w:r>
        <w:rPr>
          <w:rStyle w:val="OperatorTok"/>
        </w:rPr>
        <w:t xml:space="preserve">=</w:t>
      </w:r>
      <w:r>
        <w:rPr>
          <w:rStyle w:val="NormalTok"/>
        </w:rPr>
        <w:t xml:space="preserve"> []                   </w:t>
      </w:r>
      <w:r>
        <w:rPr>
          <w:rStyle w:val="CommentTok"/>
        </w:rPr>
        <w:t xml:space="preserve"># keys waiting for the next dispatch</w:t>
      </w:r>
      <w:r>
        <w:br/>
      </w:r>
      <w:r>
        <w:br/>
      </w:r>
      <w:r>
        <w:rPr>
          <w:rStyle w:val="NormalTok"/>
        </w:rPr>
        <w:t xml:space="preserve">    </w:t>
      </w:r>
      <w:r>
        <w:rPr>
          <w:rStyle w:val="KeywordTok"/>
        </w:rPr>
        <w:t xml:space="preserve">def</w:t>
      </w:r>
      <w:r>
        <w:rPr>
          <w:rStyle w:val="NormalTok"/>
        </w:rPr>
        <w:t xml:space="preserve"> load(</w:t>
      </w:r>
      <w:r>
        <w:rPr>
          <w:rStyle w:val="VariableTok"/>
        </w:rPr>
        <w:t xml:space="preserve">self</w:t>
      </w:r>
      <w:r>
        <w:rPr>
          <w:rStyle w:val="NormalTok"/>
        </w:rPr>
        <w:t xml:space="preserve">, key):</w:t>
      </w:r>
      <w:r>
        <w:br/>
      </w:r>
      <w:r>
        <w:rPr>
          <w:rStyle w:val="NormalTok"/>
        </w:rPr>
        <w:t xml:space="preserve">        </w:t>
      </w:r>
      <w:r>
        <w:rPr>
          <w:rStyle w:val="ControlFlowTok"/>
        </w:rPr>
        <w:t xml:space="preserve">if</w:t>
      </w:r>
      <w:r>
        <w:rPr>
          <w:rStyle w:val="NormalTok"/>
        </w:rPr>
        <w:t xml:space="preserve"> key </w:t>
      </w:r>
      <w:r>
        <w:rPr>
          <w:rStyle w:val="KeywordTok"/>
        </w:rPr>
        <w:t xml:space="preserve">in</w:t>
      </w:r>
      <w:r>
        <w:rPr>
          <w:rStyle w:val="NormalTok"/>
        </w:rPr>
        <w:t xml:space="preserve"> </w:t>
      </w:r>
      <w:r>
        <w:rPr>
          <w:rStyle w:val="VariableTok"/>
        </w:rPr>
        <w:t xml:space="preserve">self</w:t>
      </w:r>
      <w:r>
        <w:rPr>
          <w:rStyle w:val="NormalTok"/>
        </w:rPr>
        <w:t xml:space="preserve">.cache: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.cache[key]</w:t>
      </w:r>
      <w:r>
        <w:br/>
      </w:r>
      <w:r>
        <w:rPr>
          <w:rStyle w:val="NormalTok"/>
        </w:rPr>
        <w:t xml:space="preserve">        fut </w:t>
      </w:r>
      <w:r>
        <w:rPr>
          <w:rStyle w:val="OperatorTok"/>
        </w:rPr>
        <w:t xml:space="preserve">=</w:t>
      </w:r>
      <w:r>
        <w:rPr>
          <w:rStyle w:val="NormalTok"/>
        </w:rPr>
        <w:t xml:space="preserve"> asyncio.get_running_loop().create_future()</w:t>
      </w:r>
      <w:r>
        <w:br/>
      </w:r>
      <w:r>
        <w:rPr>
          <w:rStyle w:val="NormalTok"/>
        </w:rPr>
        <w:t xml:space="preserve">        </w:t>
      </w:r>
      <w:r>
        <w:rPr>
          <w:rStyle w:val="VariableTok"/>
        </w:rPr>
        <w:t xml:space="preserve">self</w:t>
      </w:r>
      <w:r>
        <w:rPr>
          <w:rStyle w:val="NormalTok"/>
        </w:rPr>
        <w:t xml:space="preserve">.cache[key] </w:t>
      </w:r>
      <w:r>
        <w:rPr>
          <w:rStyle w:val="OperatorTok"/>
        </w:rPr>
        <w:t xml:space="preserve">=</w:t>
      </w:r>
      <w:r>
        <w:rPr>
          <w:rStyle w:val="NormalTok"/>
        </w:rPr>
        <w:t xml:space="preserve"> fut</w:t>
      </w:r>
      <w:r>
        <w:br/>
      </w:r>
      <w:r>
        <w:rPr>
          <w:rStyle w:val="NormalTok"/>
        </w:rPr>
        <w:t xml:space="preserve">        </w:t>
      </w:r>
      <w:r>
        <w:rPr>
          <w:rStyle w:val="VariableTok"/>
        </w:rPr>
        <w:t xml:space="preserve">self</w:t>
      </w:r>
      <w:r>
        <w:rPr>
          <w:rStyle w:val="NormalTok"/>
        </w:rPr>
        <w:t xml:space="preserve">.queue.append(key)</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.queue)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first key in this tick: schedule a dispatch</w:t>
      </w:r>
      <w:r>
        <w:br/>
      </w:r>
      <w:r>
        <w:rPr>
          <w:rStyle w:val="NormalTok"/>
        </w:rPr>
        <w:t xml:space="preserve">            asyncio.get_running_loop().call_soon(</w:t>
      </w:r>
      <w:r>
        <w:br/>
      </w:r>
      <w:r>
        <w:rPr>
          <w:rStyle w:val="NormalTok"/>
        </w:rPr>
        <w:t xml:space="preserve">                </w:t>
      </w:r>
      <w:r>
        <w:rPr>
          <w:rStyle w:val="KeywordTok"/>
        </w:rPr>
        <w:t xml:space="preserve">lambda</w:t>
      </w:r>
      <w:r>
        <w:rPr>
          <w:rStyle w:val="NormalTok"/>
        </w:rPr>
        <w:t xml:space="preserve">: asyncio.ensure_future(</w:t>
      </w:r>
      <w:r>
        <w:rPr>
          <w:rStyle w:val="VariableTok"/>
        </w:rPr>
        <w:t xml:space="preserve">self</w:t>
      </w:r>
      <w:r>
        <w:rPr>
          <w:rStyle w:val="NormalTok"/>
        </w:rPr>
        <w:t xml:space="preserve">._dispatch()))</w:t>
      </w:r>
      <w:r>
        <w:br/>
      </w:r>
      <w:r>
        <w:rPr>
          <w:rStyle w:val="NormalTok"/>
        </w:rPr>
        <w:t xml:space="preserve">        </w:t>
      </w:r>
      <w:r>
        <w:rPr>
          <w:rStyle w:val="ControlFlowTok"/>
        </w:rPr>
        <w:t xml:space="preserve">return</w:t>
      </w:r>
      <w:r>
        <w:rPr>
          <w:rStyle w:val="NormalTok"/>
        </w:rPr>
        <w:t xml:space="preserve"> fut</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_dispatch(</w:t>
      </w:r>
      <w:r>
        <w:rPr>
          <w:rStyle w:val="VariableTok"/>
        </w:rPr>
        <w:t xml:space="preserve">self</w:t>
      </w:r>
      <w:r>
        <w:rPr>
          <w:rStyle w:val="NormalTok"/>
        </w:rPr>
        <w:t xml:space="preserve">):</w:t>
      </w:r>
      <w:r>
        <w:br/>
      </w:r>
      <w:r>
        <w:rPr>
          <w:rStyle w:val="NormalTok"/>
        </w:rPr>
        <w:t xml:space="preserve">        keys, </w:t>
      </w:r>
      <w:r>
        <w:rPr>
          <w:rStyle w:val="VariableTok"/>
        </w:rPr>
        <w:t xml:space="preserve">self</w:t>
      </w:r>
      <w:r>
        <w:rPr>
          <w:rStyle w:val="NormalTok"/>
        </w:rPr>
        <w:t xml:space="preserve">.queue </w:t>
      </w:r>
      <w:r>
        <w:rPr>
          <w:rStyle w:val="OperatorTok"/>
        </w:rPr>
        <w:t xml:space="preserve">=</w:t>
      </w:r>
      <w:r>
        <w:rPr>
          <w:rStyle w:val="NormalTok"/>
        </w:rPr>
        <w:t xml:space="preserve"> </w:t>
      </w:r>
      <w:r>
        <w:rPr>
          <w:rStyle w:val="VariableTok"/>
        </w:rPr>
        <w:t xml:space="preserve">self</w:t>
      </w:r>
      <w:r>
        <w:rPr>
          <w:rStyle w:val="NormalTok"/>
        </w:rPr>
        <w:t xml:space="preserve">.queue, []</w:t>
      </w:r>
      <w:r>
        <w:br/>
      </w:r>
      <w:r>
        <w:rPr>
          <w:rStyle w:val="NormalTok"/>
        </w:rPr>
        <w:t xml:space="preserve">        </w:t>
      </w:r>
      <w:r>
        <w:rPr>
          <w:rStyle w:val="ControlFlowTok"/>
        </w:rPr>
        <w:t xml:space="preserve">try</w:t>
      </w:r>
      <w:r>
        <w:rPr>
          <w:rStyle w:val="NormalTok"/>
        </w:rPr>
        <w:t xml:space="preserve">:</w:t>
      </w:r>
      <w:r>
        <w:br/>
      </w:r>
      <w:r>
        <w:rPr>
          <w:rStyle w:val="NormalTok"/>
        </w:rPr>
        <w:t xml:space="preserve">            values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.batch_fn(keys)</w:t>
      </w:r>
      <w:r>
        <w:br/>
      </w:r>
      <w:r>
        <w:rPr>
          <w:rStyle w:val="NormalTok"/>
        </w:rPr>
        <w:t xml:space="preserve">            </w:t>
      </w:r>
      <w:r>
        <w:rPr>
          <w:rStyle w:val="ControlFlowTok"/>
        </w:rPr>
        <w:t xml:space="preserve">for</w:t>
      </w:r>
      <w:r>
        <w:rPr>
          <w:rStyle w:val="NormalTok"/>
        </w:rPr>
        <w:t xml:space="preserve"> k, v </w:t>
      </w:r>
      <w:r>
        <w:rPr>
          <w:rStyle w:val="KeywordTok"/>
        </w:rPr>
        <w:t xml:space="preserve">in</w:t>
      </w:r>
      <w:r>
        <w:rPr>
          <w:rStyle w:val="NormalTok"/>
        </w:rPr>
        <w:t xml:space="preserve"> </w:t>
      </w:r>
      <w:r>
        <w:rPr>
          <w:rStyle w:val="BuiltInTok"/>
        </w:rPr>
        <w:t xml:space="preserve">zip</w:t>
      </w:r>
      <w:r>
        <w:rPr>
          <w:rStyle w:val="NormalTok"/>
        </w:rPr>
        <w:t xml:space="preserve">(keys, values):</w:t>
      </w:r>
      <w:r>
        <w:br/>
      </w:r>
      <w:r>
        <w:rPr>
          <w:rStyle w:val="NormalTok"/>
        </w:rPr>
        <w:t xml:space="preserve">                </w:t>
      </w:r>
      <w:r>
        <w:rPr>
          <w:rStyle w:val="VariableTok"/>
        </w:rPr>
        <w:t xml:space="preserve">self</w:t>
      </w:r>
      <w:r>
        <w:rPr>
          <w:rStyle w:val="NormalTok"/>
        </w:rPr>
        <w:t xml:space="preserve">.cache[k].set_result(v)</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exc:           </w:t>
      </w:r>
      <w:r>
        <w:rPr>
          <w:rStyle w:val="CommentTok"/>
        </w:rPr>
        <w:t xml:space="preserve"># fail every waiter, not just one</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keys:</w:t>
      </w:r>
      <w:r>
        <w:br/>
      </w:r>
      <w:r>
        <w:rPr>
          <w:rStyle w:val="NormalTok"/>
        </w:rPr>
        <w:t xml:space="preserve">                </w:t>
      </w:r>
      <w:r>
        <w:rPr>
          <w:rStyle w:val="VariableTok"/>
        </w:rPr>
        <w:t xml:space="preserve">self</w:t>
      </w:r>
      <w:r>
        <w:rPr>
          <w:rStyle w:val="NormalTok"/>
        </w:rPr>
        <w:t xml:space="preserve">.cache[k].set_exception(exc)</w:t>
      </w:r>
      <w:r>
        <w:br/>
      </w:r>
      <w:r>
        <w:br/>
      </w:r>
      <w:r>
        <w:br/>
      </w:r>
      <w:r>
        <w:rPr>
          <w:rStyle w:val="NormalTok"/>
        </w:rPr>
        <w:t xml:space="preserve">queries </w:t>
      </w:r>
      <w:r>
        <w:rPr>
          <w:rStyle w:val="OperatorTok"/>
        </w:rPr>
        <w:t xml:space="preserve">=</w:t>
      </w:r>
      <w:r>
        <w:rPr>
          <w:rStyle w:val="NormalTok"/>
        </w:rPr>
        <w:t xml:space="preserve"> []</w:t>
      </w:r>
      <w:r>
        <w:br/>
      </w:r>
      <w:r>
        <w:rPr>
          <w:rStyle w:val="NormalTok"/>
        </w:rPr>
        <w:t xml:space="preserve">AUTHORS </w:t>
      </w:r>
      <w:r>
        <w:rPr>
          <w:rStyle w:val="OperatorTok"/>
        </w:rPr>
        <w:t xml:space="preserve">=</w:t>
      </w:r>
      <w:r>
        <w:rPr>
          <w:rStyle w:val="NormalTok"/>
        </w:rPr>
        <w:t xml:space="preserve"> {</w:t>
      </w:r>
      <w:r>
        <w:rPr>
          <w:rStyle w:val="DecValTok"/>
        </w:rPr>
        <w:t xml:space="preserve">1</w:t>
      </w:r>
      <w:r>
        <w:rPr>
          <w:rStyle w:val="NormalTok"/>
        </w:rPr>
        <w:t xml:space="preserve">: </w:t>
      </w:r>
      <w:r>
        <w:rPr>
          <w:rStyle w:val="StringTok"/>
        </w:rPr>
        <w:t xml:space="preserve">"Ada"</w:t>
      </w:r>
      <w:r>
        <w:rPr>
          <w:rStyle w:val="NormalTok"/>
        </w:rPr>
        <w:t xml:space="preserve">, </w:t>
      </w:r>
      <w:r>
        <w:rPr>
          <w:rStyle w:val="DecValTok"/>
        </w:rPr>
        <w:t xml:space="preserve">2</w:t>
      </w:r>
      <w:r>
        <w:rPr>
          <w:rStyle w:val="NormalTok"/>
        </w:rPr>
        <w:t xml:space="preserve">: </w:t>
      </w:r>
      <w:r>
        <w:rPr>
          <w:rStyle w:val="StringTok"/>
        </w:rPr>
        <w:t xml:space="preserve">"Linus"</w:t>
      </w:r>
      <w:r>
        <w:rPr>
          <w:rStyle w:val="NormalTok"/>
        </w:rPr>
        <w:t xml:space="preserve">, </w:t>
      </w:r>
      <w:r>
        <w:rPr>
          <w:rStyle w:val="DecValTok"/>
        </w:rPr>
        <w:t xml:space="preserve">3</w:t>
      </w:r>
      <w:r>
        <w:rPr>
          <w:rStyle w:val="NormalTok"/>
        </w:rPr>
        <w:t xml:space="preserve">: </w:t>
      </w:r>
      <w:r>
        <w:rPr>
          <w:rStyle w:val="StringTok"/>
        </w:rPr>
        <w:t xml:space="preserve">"Grace"</w:t>
      </w:r>
      <w:r>
        <w:rPr>
          <w:rStyle w:val="NormalTok"/>
        </w:rPr>
        <w:t xml:space="preserve">}</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fetch_authors(ids):</w:t>
      </w:r>
      <w:r>
        <w:br/>
      </w:r>
      <w:r>
        <w:rPr>
          <w:rStyle w:val="NormalTok"/>
        </w:rPr>
        <w:t xml:space="preserve">    queries.append(</w:t>
      </w:r>
      <w:r>
        <w:rPr>
          <w:rStyle w:val="SpecialStringTok"/>
        </w:rPr>
        <w:t xml:space="preserve">f"SELECT id, name FROM authors WHERE id IN </w:t>
      </w:r>
      <w:r>
        <w:rPr>
          <w:rStyle w:val="SpecialCharTok"/>
        </w:rPr>
        <w:t xml:space="preserve">{</w:t>
      </w:r>
      <w:r>
        <w:rPr>
          <w:rStyle w:val="BuiltInTok"/>
        </w:rPr>
        <w:t xml:space="preserve">tuple</w:t>
      </w:r>
      <w:r>
        <w:rPr>
          <w:rStyle w:val="NormalTok"/>
        </w:rPr>
        <w:t xml:space="preserve">(ids)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[AUTHORS.get(i) </w:t>
      </w:r>
      <w:r>
        <w:rPr>
          <w:rStyle w:val="ControlFlowTok"/>
        </w:rPr>
        <w:t xml:space="preserve">for</w:t>
      </w:r>
      <w:r>
        <w:rPr>
          <w:rStyle w:val="NormalTok"/>
        </w:rPr>
        <w:t xml:space="preserve"> i </w:t>
      </w:r>
      <w:r>
        <w:rPr>
          <w:rStyle w:val="KeywordTok"/>
        </w:rPr>
        <w:t xml:space="preserve">in</w:t>
      </w:r>
      <w:r>
        <w:rPr>
          <w:rStyle w:val="NormalTok"/>
        </w:rPr>
        <w:t xml:space="preserve"> ids]</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main():</w:t>
      </w:r>
      <w:r>
        <w:br/>
      </w:r>
      <w:r>
        <w:rPr>
          <w:rStyle w:val="NormalTok"/>
        </w:rPr>
        <w:t xml:space="preserve">    loader </w:t>
      </w:r>
      <w:r>
        <w:rPr>
          <w:rStyle w:val="OperatorTok"/>
        </w:rPr>
        <w:t xml:space="preserve">=</w:t>
      </w:r>
      <w:r>
        <w:rPr>
          <w:rStyle w:val="NormalTok"/>
        </w:rPr>
        <w:t xml:space="preserve"> DataLoader(fetch_authors)    </w:t>
      </w:r>
      <w:r>
        <w:rPr>
          <w:rStyle w:val="CommentTok"/>
        </w:rPr>
        <w:t xml:space="preserve"># create one loader PER REQUEST</w:t>
      </w:r>
      <w:r>
        <w:br/>
      </w:r>
      <w:r>
        <w:rPr>
          <w:rStyle w:val="NormalTok"/>
        </w:rPr>
        <w:t xml:space="preserve">    posts </w:t>
      </w:r>
      <w:r>
        <w:rPr>
          <w:rStyle w:val="OperatorTok"/>
        </w:rPr>
        <w:t xml:space="preserve">=</w:t>
      </w:r>
      <w:r>
        <w:rPr>
          <w:rStyle w:val="NormalTok"/>
        </w:rPr>
        <w:t xml:space="preserve"> [{</w:t>
      </w:r>
      <w:r>
        <w:rPr>
          <w:rStyle w:val="StringTok"/>
        </w:rPr>
        <w:t xml:space="preserve">"id"</w:t>
      </w:r>
      <w:r>
        <w:rPr>
          <w:rStyle w:val="NormalTok"/>
        </w:rPr>
        <w:t xml:space="preserve">: </w:t>
      </w:r>
      <w:r>
        <w:rPr>
          <w:rStyle w:val="DecValTok"/>
        </w:rPr>
        <w:t xml:space="preserve">10</w:t>
      </w:r>
      <w:r>
        <w:rPr>
          <w:rStyle w:val="NormalTok"/>
        </w:rPr>
        <w:t xml:space="preserve">, </w:t>
      </w:r>
      <w:r>
        <w:rPr>
          <w:rStyle w:val="StringTok"/>
        </w:rPr>
        <w:t xml:space="preserve">"author_id"</w:t>
      </w:r>
      <w:r>
        <w:rPr>
          <w:rStyle w:val="NormalTok"/>
        </w:rPr>
        <w:t xml:space="preserve">: </w:t>
      </w:r>
      <w:r>
        <w:rPr>
          <w:rStyle w:val="DecValTok"/>
        </w:rPr>
        <w:t xml:space="preserve">1</w:t>
      </w:r>
      <w:r>
        <w:rPr>
          <w:rStyle w:val="NormalTok"/>
        </w:rPr>
        <w:t xml:space="preserve">}, {</w:t>
      </w:r>
      <w:r>
        <w:rPr>
          <w:rStyle w:val="StringTok"/>
        </w:rPr>
        <w:t xml:space="preserve">"id"</w:t>
      </w:r>
      <w:r>
        <w:rPr>
          <w:rStyle w:val="NormalTok"/>
        </w:rPr>
        <w:t xml:space="preserve">: </w:t>
      </w:r>
      <w:r>
        <w:rPr>
          <w:rStyle w:val="DecValTok"/>
        </w:rPr>
        <w:t xml:space="preserve">11</w:t>
      </w:r>
      <w:r>
        <w:rPr>
          <w:rStyle w:val="NormalTok"/>
        </w:rPr>
        <w:t xml:space="preserve">, </w:t>
      </w:r>
      <w:r>
        <w:rPr>
          <w:rStyle w:val="StringTok"/>
        </w:rPr>
        <w:t xml:space="preserve">"author_id"</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"id"</w:t>
      </w:r>
      <w:r>
        <w:rPr>
          <w:rStyle w:val="NormalTok"/>
        </w:rPr>
        <w:t xml:space="preserve">: </w:t>
      </w:r>
      <w:r>
        <w:rPr>
          <w:rStyle w:val="DecValTok"/>
        </w:rPr>
        <w:t xml:space="preserve">12</w:t>
      </w:r>
      <w:r>
        <w:rPr>
          <w:rStyle w:val="NormalTok"/>
        </w:rPr>
        <w:t xml:space="preserve">, </w:t>
      </w:r>
      <w:r>
        <w:rPr>
          <w:rStyle w:val="StringTok"/>
        </w:rPr>
        <w:t xml:space="preserve">"author_id"</w:t>
      </w:r>
      <w:r>
        <w:rPr>
          <w:rStyle w:val="NormalTok"/>
        </w:rPr>
        <w:t xml:space="preserve">: </w:t>
      </w:r>
      <w:r>
        <w:rPr>
          <w:rStyle w:val="DecValTok"/>
        </w:rPr>
        <w:t xml:space="preserve">1</w:t>
      </w:r>
      <w:r>
        <w:rPr>
          <w:rStyle w:val="NormalTok"/>
        </w:rPr>
        <w:t xml:space="preserve">}, {</w:t>
      </w:r>
      <w:r>
        <w:rPr>
          <w:rStyle w:val="StringTok"/>
        </w:rPr>
        <w:t xml:space="preserve">"id"</w:t>
      </w:r>
      <w:r>
        <w:rPr>
          <w:rStyle w:val="NormalTok"/>
        </w:rPr>
        <w:t xml:space="preserve">: </w:t>
      </w:r>
      <w:r>
        <w:rPr>
          <w:rStyle w:val="DecValTok"/>
        </w:rPr>
        <w:t xml:space="preserve">13</w:t>
      </w:r>
      <w:r>
        <w:rPr>
          <w:rStyle w:val="NormalTok"/>
        </w:rPr>
        <w:t xml:space="preserve">, </w:t>
      </w:r>
      <w:r>
        <w:rPr>
          <w:rStyle w:val="StringTok"/>
        </w:rPr>
        <w:t xml:space="preserve">"author_id"</w:t>
      </w:r>
      <w:r>
        <w:rPr>
          <w:rStyle w:val="NormalTok"/>
        </w:rPr>
        <w:t xml:space="preserve">: </w:t>
      </w:r>
      <w:r>
        <w:rPr>
          <w:rStyle w:val="DecValTok"/>
        </w:rPr>
        <w:t xml:space="preserve">3</w:t>
      </w:r>
      <w:r>
        <w:rPr>
          <w:rStyle w:val="NormalTok"/>
        </w:rPr>
        <w:t xml:space="preserve">}]</w:t>
      </w:r>
      <w:r>
        <w:br/>
      </w:r>
      <w:r>
        <w:rPr>
          <w:rStyle w:val="NormalTok"/>
        </w:rPr>
        <w:t xml:space="preserve">    names </w:t>
      </w:r>
      <w:r>
        <w:rPr>
          <w:rStyle w:val="OperatorTok"/>
        </w:rPr>
        <w:t xml:space="preserve">=</w:t>
      </w:r>
      <w:r>
        <w:rPr>
          <w:rStyle w:val="NormalTok"/>
        </w:rPr>
        <w:t xml:space="preserve"> </w:t>
      </w:r>
      <w:r>
        <w:rPr>
          <w:rStyle w:val="ControlFlowTok"/>
        </w:rPr>
        <w:t xml:space="preserve">await</w:t>
      </w:r>
      <w:r>
        <w:rPr>
          <w:rStyle w:val="NormalTok"/>
        </w:rPr>
        <w:t xml:space="preserve"> asyncio.gather(</w:t>
      </w:r>
      <w:r>
        <w:rPr>
          <w:rStyle w:val="OperatorTok"/>
        </w:rPr>
        <w:t xml:space="preserve">*</w:t>
      </w:r>
      <w:r>
        <w:rPr>
          <w:rStyle w:val="NormalTok"/>
        </w:rPr>
        <w:t xml:space="preserve">(loader.load(p[</w:t>
      </w:r>
      <w:r>
        <w:rPr>
          <w:rStyle w:val="StringTok"/>
        </w:rPr>
        <w:t xml:space="preserve">"author_id"</w:t>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posts))</w:t>
      </w:r>
      <w:r>
        <w:br/>
      </w:r>
      <w:r>
        <w:rPr>
          <w:rStyle w:val="NormalTok"/>
        </w:rPr>
        <w:t xml:space="preserve">    </w:t>
      </w:r>
      <w:r>
        <w:rPr>
          <w:rStyle w:val="BuiltInTok"/>
        </w:rPr>
        <w:t xml:space="preserve">print</w:t>
      </w:r>
      <w:r>
        <w:rPr>
          <w:rStyle w:val="NormalTok"/>
        </w:rPr>
        <w:t xml:space="preserve">(names)     </w:t>
      </w:r>
      <w:r>
        <w:rPr>
          <w:rStyle w:val="CommentTok"/>
        </w:rPr>
        <w:t xml:space="preserve"># ['Ada', 'Linus', 'Ada', 'Grace']</w:t>
      </w:r>
      <w:r>
        <w:br/>
      </w:r>
      <w:r>
        <w:rPr>
          <w:rStyle w:val="NormalTok"/>
        </w:rPr>
        <w:t xml:space="preserve">    </w:t>
      </w:r>
      <w:r>
        <w:rPr>
          <w:rStyle w:val="BuiltInTok"/>
        </w:rPr>
        <w:t xml:space="preserve">print</w:t>
      </w:r>
      <w:r>
        <w:rPr>
          <w:rStyle w:val="NormalTok"/>
        </w:rPr>
        <w:t xml:space="preserve">(queries)   </w:t>
      </w:r>
      <w:r>
        <w:rPr>
          <w:rStyle w:val="CommentTok"/>
        </w:rPr>
        <w:t xml:space="preserve"># ['SELECT id, name FROM authors WHERE id IN (1, 2, 3)']</w:t>
      </w:r>
      <w:r>
        <w:br/>
      </w:r>
      <w:r>
        <w:br/>
      </w:r>
      <w:r>
        <w:br/>
      </w:r>
      <w:r>
        <w:rPr>
          <w:rStyle w:val="NormalTok"/>
        </w:rPr>
        <w:t xml:space="preserve">asyncio.run(main())</w:t>
      </w:r>
    </w:p>
    <w:p>
      <w:pPr>
        <w:pStyle w:val="FirstParagraph"/>
      </w:pPr>
      <w:r>
        <w:t xml:space="preserve">What to notice:</w:t>
      </w:r>
    </w:p>
    <w:p>
      <w:pPr>
        <w:numPr>
          <w:ilvl w:val="0"/>
          <w:numId w:val="1272"/>
        </w:numPr>
        <w:pStyle w:val="Compact"/>
      </w:pPr>
      <w:r>
        <w:rPr>
          <w:rStyle w:val="VerbatimChar"/>
        </w:rPr>
        <w:t xml:space="preserve">call_soon</w:t>
      </w:r>
      <w:r>
        <w:t xml:space="preserve"> </w:t>
      </w:r>
      <w:r>
        <w:t xml:space="preserve">defers the dispatch until every resolver running in the current tick has called</w:t>
      </w:r>
      <w:r>
        <w:t xml:space="preserve"> </w:t>
      </w:r>
      <w:r>
        <w:rPr>
          <w:rStyle w:val="VerbatimChar"/>
        </w:rPr>
        <w:t xml:space="preserve">load</w:t>
      </w:r>
      <w:r>
        <w:t xml:space="preserve">; that is the whole trick.</w:t>
      </w:r>
    </w:p>
    <w:p>
      <w:pPr>
        <w:numPr>
          <w:ilvl w:val="0"/>
          <w:numId w:val="1272"/>
        </w:numPr>
        <w:pStyle w:val="Compact"/>
      </w:pPr>
      <w:r>
        <w:t xml:space="preserve">The batch function must return values</w:t>
      </w:r>
      <w:r>
        <w:t xml:space="preserve"> </w:t>
      </w:r>
      <w:r>
        <w:rPr>
          <w:bCs/>
          <w:b/>
        </w:rPr>
        <w:t xml:space="preserve">in the same order as the keys</w:t>
      </w:r>
      <w:r>
        <w:t xml:space="preserve">, with</w:t>
      </w:r>
      <w:r>
        <w:t xml:space="preserve"> </w:t>
      </w:r>
      <w:r>
        <w:rPr>
          <w:rStyle w:val="VerbatimChar"/>
        </w:rPr>
        <w:t xml:space="preserve">None</w:t>
      </w:r>
      <w:r>
        <w:t xml:space="preserve"> </w:t>
      </w:r>
      <w:r>
        <w:t xml:space="preserve">(or an error) for missing keys.</w:t>
      </w:r>
    </w:p>
    <w:p>
      <w:pPr>
        <w:numPr>
          <w:ilvl w:val="0"/>
          <w:numId w:val="1272"/>
        </w:numPr>
        <w:pStyle w:val="Compact"/>
      </w:pPr>
      <w:r>
        <w:t xml:space="preserve">The loader is created</w:t>
      </w:r>
      <w:r>
        <w:t xml:space="preserve"> </w:t>
      </w:r>
      <w:r>
        <w:rPr>
          <w:bCs/>
          <w:b/>
        </w:rPr>
        <w:t xml:space="preserve">per request</w:t>
      </w:r>
      <w:r>
        <w:t xml:space="preserve">. A process-wide loader would leak one user’s cached data to another user and would never notice updates.</w:t>
      </w:r>
    </w:p>
    <w:bookmarkEnd w:id="878"/>
    <w:bookmarkStart w:id="879" w:name="caching-and-security-challenges"/>
    <w:p>
      <w:pPr>
        <w:pStyle w:val="Heading3"/>
      </w:pPr>
      <w:r>
        <w:t xml:space="preserve">8.7.3 Caching and security challenges</w:t>
      </w:r>
    </w:p>
    <w:p>
      <w:pPr>
        <w:pStyle w:val="FirstParagraph"/>
      </w:pPr>
      <w:r>
        <w:t xml:space="preserve">REST gets HTTP caching almost for free:</w:t>
      </w:r>
      <w:r>
        <w:t xml:space="preserve"> </w:t>
      </w:r>
      <w:r>
        <w:rPr>
          <w:rStyle w:val="VerbatimChar"/>
        </w:rPr>
        <w:t xml:space="preserve">GET /posts/7</w:t>
      </w:r>
      <w:r>
        <w:t xml:space="preserve"> </w:t>
      </w:r>
      <w:r>
        <w:t xml:space="preserve">has a URL, so browsers and CDNs can cache it by URL with</w:t>
      </w:r>
      <w:r>
        <w:t xml:space="preserve"> </w:t>
      </w:r>
      <w:r>
        <w:rPr>
          <w:rStyle w:val="VerbatimChar"/>
        </w:rPr>
        <w:t xml:space="preserve">Cache-Control</w:t>
      </w:r>
      <w:r>
        <w:t xml:space="preserve"> </w:t>
      </w:r>
      <w:r>
        <w:t xml:space="preserve">and</w:t>
      </w:r>
      <w:r>
        <w:t xml:space="preserve"> </w:t>
      </w:r>
      <w:r>
        <w:rPr>
          <w:rStyle w:val="VerbatimChar"/>
        </w:rPr>
        <w:t xml:space="preserve">ETag</w:t>
      </w:r>
      <w:r>
        <w:t xml:space="preserve">. GraphQL makes this harder:</w:t>
      </w:r>
    </w:p>
    <w:p>
      <w:pPr>
        <w:numPr>
          <w:ilvl w:val="0"/>
          <w:numId w:val="1273"/>
        </w:numPr>
        <w:pStyle w:val="Compact"/>
      </w:pPr>
      <w:r>
        <w:rPr>
          <w:bCs/>
          <w:b/>
        </w:rPr>
        <w:t xml:space="preserve">One URL, usually</w:t>
      </w:r>
      <w:r>
        <w:rPr>
          <w:bCs/>
          <w:b/>
        </w:rPr>
        <w:t xml:space="preserve"> </w:t>
      </w:r>
      <w:r>
        <w:rPr>
          <w:rStyle w:val="VerbatimChar"/>
          <w:bCs/>
          <w:b/>
        </w:rPr>
        <w:t xml:space="preserve">POST</w:t>
      </w:r>
      <w:r>
        <w:rPr>
          <w:bCs/>
          <w:b/>
        </w:rPr>
        <w:t xml:space="preserve">.</w:t>
      </w:r>
      <w:r>
        <w:t xml:space="preserve"> </w:t>
      </w:r>
      <w:r>
        <w:t xml:space="preserve">CDNs and browsers do not cache</w:t>
      </w:r>
      <w:r>
        <w:t xml:space="preserve"> </w:t>
      </w:r>
      <w:r>
        <w:rPr>
          <w:rStyle w:val="VerbatimChar"/>
        </w:rPr>
        <w:t xml:space="preserve">POST</w:t>
      </w:r>
      <w:r>
        <w:t xml:space="preserve"> </w:t>
      </w:r>
      <w:r>
        <w:t xml:space="preserve">responses by default, and the cache key would have to include the query body.</w:t>
      </w:r>
    </w:p>
    <w:p>
      <w:pPr>
        <w:numPr>
          <w:ilvl w:val="0"/>
          <w:numId w:val="1273"/>
        </w:numPr>
        <w:pStyle w:val="Compact"/>
      </w:pPr>
      <w:r>
        <w:rPr>
          <w:bCs/>
          <w:b/>
        </w:rPr>
        <w:t xml:space="preserve">Every query is unique.</w:t>
      </w:r>
      <w:r>
        <w:t xml:space="preserve"> </w:t>
      </w:r>
      <w:r>
        <w:t xml:space="preserve">Two clients requesting slightly different fields produce different responses, so shared-cache hit ratios are low.</w:t>
      </w:r>
    </w:p>
    <w:p>
      <w:pPr>
        <w:numPr>
          <w:ilvl w:val="0"/>
          <w:numId w:val="1273"/>
        </w:numPr>
        <w:pStyle w:val="Compact"/>
      </w:pPr>
      <w:r>
        <w:rPr>
          <w:bCs/>
          <w:b/>
        </w:rPr>
        <w:t xml:space="preserve">Mixed freshness.</w:t>
      </w:r>
      <w:r>
        <w:t xml:space="preserve"> </w:t>
      </w:r>
      <w:r>
        <w:t xml:space="preserve">One response may combine a user’s name (cacheable for hours) and their unread count (seconds); the whole response gets the most restrictive policy.</w:t>
      </w:r>
    </w:p>
    <w:p>
      <w:pPr>
        <w:pStyle w:val="FirstParagraph"/>
      </w:pPr>
      <w:r>
        <w:t xml:space="preserve">Mitigations:</w:t>
      </w:r>
      <w:r>
        <w:t xml:space="preserve"> </w:t>
      </w:r>
      <w:r>
        <w:rPr>
          <w:bCs/>
          <w:b/>
        </w:rPr>
        <w:t xml:space="preserve">persisted queries</w:t>
      </w:r>
      <w:r>
        <w:t xml:space="preserve"> </w:t>
      </w:r>
      <w:r>
        <w:t xml:space="preserve">(clients send a hash of a pre-registered query via</w:t>
      </w:r>
      <w:r>
        <w:t xml:space="preserve"> </w:t>
      </w:r>
      <w:r>
        <w:rPr>
          <w:rStyle w:val="VerbatimChar"/>
        </w:rPr>
        <w:t xml:space="preserve">GET /graphql?id=&lt;sha256&gt;</w:t>
      </w:r>
      <w:r>
        <w:t xml:space="preserve">, which is cacheable by URL and also blocks arbitrary queries);</w:t>
      </w:r>
      <w:r>
        <w:t xml:space="preserve"> </w:t>
      </w:r>
      <w:r>
        <w:rPr>
          <w:bCs/>
          <w:b/>
        </w:rPr>
        <w:t xml:space="preserve">normalized client caches</w:t>
      </w:r>
      <w:r>
        <w:t xml:space="preserve"> </w:t>
      </w:r>
      <w:r>
        <w:t xml:space="preserve">(Apollo Client and Relay store objects by type and ID and reuse them across queries); and</w:t>
      </w:r>
      <w:r>
        <w:t xml:space="preserve"> </w:t>
      </w:r>
      <w:r>
        <w:rPr>
          <w:bCs/>
          <w:b/>
        </w:rPr>
        <w:t xml:space="preserve">server-side caching in resolvers or DataLoader batch functions</w:t>
      </w:r>
      <w:r>
        <w:t xml:space="preserve"> </w:t>
      </w:r>
      <w:r>
        <w:t xml:space="preserve">using the techniques of Chapter 20.</w:t>
      </w:r>
    </w:p>
    <w:p>
      <w:pPr>
        <w:pStyle w:val="BodyText"/>
      </w:pPr>
      <w:r>
        <w:t xml:space="preserve">The same flexibility creates a security problem: one small request can ask for an enormous result (</w:t>
      </w:r>
      <w:r>
        <w:rPr>
          <w:rStyle w:val="VerbatimChar"/>
        </w:rPr>
        <w:t xml:space="preserve">friends { friends { friends { … } } }</w:t>
      </w:r>
      <w:r>
        <w:t xml:space="preserve">). Production servers enforce</w:t>
      </w:r>
      <w:r>
        <w:t xml:space="preserve"> </w:t>
      </w:r>
      <w:r>
        <w:rPr>
          <w:bCs/>
          <w:b/>
        </w:rPr>
        <w:t xml:space="preserve">depth limits</w:t>
      </w:r>
      <w:r>
        <w:t xml:space="preserve">,</w:t>
      </w:r>
      <w:r>
        <w:t xml:space="preserve"> </w:t>
      </w:r>
      <w:r>
        <w:rPr>
          <w:bCs/>
          <w:b/>
        </w:rPr>
        <w:t xml:space="preserve">query cost analysis</w:t>
      </w:r>
      <w:r>
        <w:t xml:space="preserve"> </w:t>
      </w:r>
      <w:r>
        <w:t xml:space="preserve">(estimate cost from the schema and arguments before executing; reject or rate-limit by cost, not by request count), pagination maximums on every list field, and timeouts. GitHub’s public GraphQL API, for example, rate-limits by a computed per-query cost rather than by request count [GitHub Docs: GraphQL rate limits].</w:t>
      </w:r>
    </w:p>
    <w:p>
      <w:pPr>
        <w:pStyle w:val="CalloutMistake"/>
      </w:pPr>
      <w:r>
        <w:rPr>
          <w:bCs/>
          <w:b/>
        </w:rPr>
        <w:t xml:space="preserve">COMMON MISTAKE</w:t>
      </w:r>
    </w:p>
    <w:p>
      <w:pPr>
        <w:pStyle w:val="CalloutMistake"/>
      </w:pPr>
      <w:r>
        <w:rPr>
          <w:bCs/>
          <w:b/>
        </w:rPr>
        <w:t xml:space="preserve">“</w:t>
      </w:r>
      <w:r>
        <w:rPr>
          <w:bCs/>
          <w:b/>
        </w:rPr>
        <w:t xml:space="preserve">GraphQL is faster than REST.</w:t>
      </w:r>
      <w:r>
        <w:rPr>
          <w:bCs/>
          <w:b/>
        </w:rPr>
        <w:t xml:space="preserve">”</w:t>
      </w:r>
      <w:r>
        <w:t xml:space="preserve"> </w:t>
      </w:r>
      <w:r>
        <w:t xml:space="preserve">GraphQL removes client round trips and over-fetching; it does not make the server faster. Without batching and cost limits it is frequently slower and harder to protect. It moves complexity from the client to the server.</w:t>
      </w:r>
    </w:p>
    <w:bookmarkEnd w:id="879"/>
    <w:bookmarkEnd w:id="880"/>
    <w:bookmarkStart w:id="895" w:name="grpc-and-rpc"/>
    <w:p>
      <w:pPr>
        <w:pStyle w:val="Heading2"/>
      </w:pPr>
      <w:r>
        <w:t xml:space="preserve">8.8 gRPC and RPC</w:t>
      </w:r>
    </w:p>
    <w:bookmarkStart w:id="881" w:name="remote-procedure-calls"/>
    <w:p>
      <w:pPr>
        <w:pStyle w:val="Heading3"/>
      </w:pPr>
      <w:r>
        <w:t xml:space="preserve">8.8.1 Remote procedure calls</w:t>
      </w:r>
    </w:p>
    <w:p>
      <w:pPr>
        <w:pStyle w:val="CalloutDefinition"/>
      </w:pPr>
      <w:r>
        <w:rPr>
          <w:bCs/>
          <w:b/>
        </w:rPr>
        <w:t xml:space="preserve">DEFINITION</w:t>
      </w:r>
    </w:p>
    <w:p>
      <w:pPr>
        <w:pStyle w:val="CalloutDefinition"/>
      </w:pPr>
      <w:r>
        <w:rPr>
          <w:bCs/>
          <w:b/>
        </w:rPr>
        <w:t xml:space="preserve">Definition — Remote procedure call (RPC).</w:t>
      </w:r>
      <w:r>
        <w:t xml:space="preserve"> </w:t>
      </w:r>
      <w:r>
        <w:t xml:space="preserve">A mechanism that lets a program call a function in another process, usually on another machine, with syntax that resembles a local function call. Generated</w:t>
      </w:r>
      <w:r>
        <w:t xml:space="preserve"> </w:t>
      </w:r>
      <w:r>
        <w:rPr>
          <w:bCs/>
          <w:b/>
        </w:rPr>
        <w:t xml:space="preserve">stubs</w:t>
      </w:r>
      <w:r>
        <w:t xml:space="preserve"> </w:t>
      </w:r>
      <w:r>
        <w:t xml:space="preserve">serialize the arguments, send them over the network, and deserialize the result [Birrell and Nelson 1984].</w:t>
      </w:r>
    </w:p>
    <w:p>
      <w:pPr>
        <w:pStyle w:val="BodyText"/>
      </w:pPr>
      <w:r>
        <w:t xml:space="preserve">Instead of resources and verbs, RPC exposes</w:t>
      </w:r>
      <w:r>
        <w:t xml:space="preserve"> </w:t>
      </w:r>
      <w:r>
        <w:rPr>
          <w:bCs/>
          <w:b/>
        </w:rPr>
        <w:t xml:space="preserve">operations</w:t>
      </w:r>
      <w:r>
        <w:t xml:space="preserve">:</w:t>
      </w:r>
      <w:r>
        <w:t xml:space="preserve"> </w:t>
      </w:r>
      <w:r>
        <w:rPr>
          <w:rStyle w:val="VerbatimChar"/>
        </w:rPr>
        <w:t xml:space="preserve">GetOrder(order_id)</w:t>
      </w:r>
      <w:r>
        <w:t xml:space="preserve">,</w:t>
      </w:r>
      <w:r>
        <w:t xml:space="preserve"> </w:t>
      </w:r>
      <w:r>
        <w:rPr>
          <w:rStyle w:val="VerbatimChar"/>
        </w:rPr>
        <w:t xml:space="preserve">ReserveInventory(sku, qty)</w:t>
      </w:r>
      <w:r>
        <w:t xml:space="preserve">. That maps naturally to how programmers think inside one codebase, which is why internal service-to-service APIs often use RPC. The danger is the illusion of locality: a remote call can be a million times slower than a local one, can fail halfway, and can succeed on the server while the response is lost (see the fallacies of distributed computing, §24.5). Good RPC frameworks make these differences explicit through deadlines, status codes and retries.</w:t>
      </w:r>
    </w:p>
    <w:bookmarkEnd w:id="881"/>
    <w:bookmarkStart w:id="886" w:name="grpc-protocol-buffers-over-http2"/>
    <w:p>
      <w:pPr>
        <w:pStyle w:val="Heading3"/>
      </w:pPr>
      <w:r>
        <w:t xml:space="preserve">8.8.2 gRPC: Protocol Buffers over HTTP/2</w:t>
      </w:r>
    </w:p>
    <w:p>
      <w:pPr>
        <w:pStyle w:val="CalloutDefinition"/>
      </w:pPr>
      <w:r>
        <w:rPr>
          <w:bCs/>
          <w:b/>
        </w:rPr>
        <w:t xml:space="preserve">DEFINITION</w:t>
      </w:r>
    </w:p>
    <w:p>
      <w:pPr>
        <w:pStyle w:val="CalloutDefinition"/>
      </w:pPr>
      <w:r>
        <w:rPr>
          <w:bCs/>
          <w:b/>
        </w:rPr>
        <w:t xml:space="preserve">Definition — gRPC.</w:t>
      </w:r>
      <w:r>
        <w:t xml:space="preserve"> </w:t>
      </w:r>
      <w:r>
        <w:t xml:space="preserve">An open-source RPC framework, originally developed at Google and released in 2015, that uses Protocol Buffers as its interface definition language and message format and HTTP/2 as its transport [gRPC Docs].</w:t>
      </w:r>
    </w:p>
    <w:p>
      <w:pPr>
        <w:pStyle w:val="BodyText"/>
      </w:pPr>
      <w:r>
        <w:t xml:space="preserve">You describe the service once in a</w:t>
      </w:r>
      <w:r>
        <w:t xml:space="preserve"> </w:t>
      </w:r>
      <w:r>
        <w:rPr>
          <w:rStyle w:val="VerbatimChar"/>
        </w:rPr>
        <w:t xml:space="preserve">.proto</w:t>
      </w:r>
      <w:r>
        <w:t xml:space="preserve"> </w:t>
      </w:r>
      <w:r>
        <w:t xml:space="preserve">file; the</w:t>
      </w:r>
      <w:r>
        <w:t xml:space="preserve"> </w:t>
      </w:r>
      <w:r>
        <w:rPr>
          <w:rStyle w:val="VerbatimChar"/>
        </w:rPr>
        <w:t xml:space="preserve">protoc</w:t>
      </w:r>
      <w:r>
        <w:t xml:space="preserve"> </w:t>
      </w:r>
      <w:r>
        <w:t xml:space="preserve">compiler generates client stubs and server interfaces in a dozen or so languages.</w:t>
      </w:r>
    </w:p>
    <w:p>
      <w:pPr>
        <w:pStyle w:val="SourceCode"/>
      </w:pPr>
      <w:r>
        <w:rPr>
          <w:rStyle w:val="NormalTok"/>
        </w:rPr>
        <w:t xml:space="preserve">syntax = </w:t>
      </w:r>
      <w:r>
        <w:rPr>
          <w:rStyle w:val="StringTok"/>
        </w:rPr>
        <w:t xml:space="preserve">"proto3"</w:t>
      </w:r>
      <w:r>
        <w:rPr>
          <w:rStyle w:val="NormalTok"/>
        </w:rPr>
        <w:t xml:space="preserve">;</w:t>
      </w:r>
      <w:r>
        <w:br/>
      </w:r>
      <w:r>
        <w:br/>
      </w:r>
      <w:r>
        <w:rPr>
          <w:rStyle w:val="KeywordTok"/>
        </w:rPr>
        <w:t xml:space="preserve">package</w:t>
      </w:r>
      <w:r>
        <w:rPr>
          <w:rStyle w:val="NormalTok"/>
        </w:rPr>
        <w:t xml:space="preserve"> shop.v1;</w:t>
      </w:r>
      <w:r>
        <w:br/>
      </w:r>
      <w:r>
        <w:br/>
      </w:r>
      <w:r>
        <w:rPr>
          <w:rStyle w:val="KeywordTok"/>
        </w:rPr>
        <w:t xml:space="preserve">import</w:t>
      </w:r>
      <w:r>
        <w:rPr>
          <w:rStyle w:val="NormalTok"/>
        </w:rPr>
        <w:t xml:space="preserve"> </w:t>
      </w:r>
      <w:r>
        <w:rPr>
          <w:rStyle w:val="StringTok"/>
        </w:rPr>
        <w:t xml:space="preserve">"google/protobuf/timestamp.proto"</w:t>
      </w:r>
      <w:r>
        <w:rPr>
          <w:rStyle w:val="NormalTok"/>
        </w:rPr>
        <w:t xml:space="preserve">;</w:t>
      </w:r>
      <w:r>
        <w:br/>
      </w:r>
      <w:r>
        <w:br/>
      </w:r>
      <w:r>
        <w:rPr>
          <w:rStyle w:val="CommentTok"/>
        </w:rPr>
        <w:t xml:space="preserve">// The service contract: four methods, one per gRPC streaming mode.</w:t>
      </w:r>
      <w:r>
        <w:br/>
      </w:r>
      <w:r>
        <w:rPr>
          <w:rStyle w:val="NormalTok"/>
        </w:rPr>
        <w:t xml:space="preserve">service OrderService {</w:t>
      </w:r>
      <w:r>
        <w:br/>
      </w:r>
      <w:r>
        <w:rPr>
          <w:rStyle w:val="NormalTok"/>
        </w:rPr>
        <w:t xml:space="preserve">  </w:t>
      </w:r>
      <w:r>
        <w:rPr>
          <w:rStyle w:val="CommentTok"/>
        </w:rPr>
        <w:t xml:space="preserve">// Unary: one request, one response.</w:t>
      </w:r>
      <w:r>
        <w:br/>
      </w:r>
      <w:r>
        <w:rPr>
          <w:rStyle w:val="NormalTok"/>
        </w:rPr>
        <w:t xml:space="preserve">  rpc GetOrder(GetOrderRequest) returns (Order);</w:t>
      </w:r>
      <w:r>
        <w:br/>
      </w:r>
      <w:r>
        <w:rPr>
          <w:rStyle w:val="NormalTok"/>
        </w:rPr>
        <w:t xml:space="preserve">  </w:t>
      </w:r>
      <w:r>
        <w:rPr>
          <w:rStyle w:val="CommentTok"/>
        </w:rPr>
        <w:t xml:space="preserve">// Server streaming: one request, a stream of responses.</w:t>
      </w:r>
      <w:r>
        <w:br/>
      </w:r>
      <w:r>
        <w:rPr>
          <w:rStyle w:val="NormalTok"/>
        </w:rPr>
        <w:t xml:space="preserve">  rpc WatchOrderStatus(GetOrderRequest) returns (stream OrderStatusEvent);</w:t>
      </w:r>
      <w:r>
        <w:br/>
      </w:r>
      <w:r>
        <w:rPr>
          <w:rStyle w:val="NormalTok"/>
        </w:rPr>
        <w:t xml:space="preserve">  </w:t>
      </w:r>
      <w:r>
        <w:rPr>
          <w:rStyle w:val="CommentTok"/>
        </w:rPr>
        <w:t xml:space="preserve">// Client streaming: a stream of requests, one response.</w:t>
      </w:r>
      <w:r>
        <w:br/>
      </w:r>
      <w:r>
        <w:rPr>
          <w:rStyle w:val="NormalTok"/>
        </w:rPr>
        <w:t xml:space="preserve">  rpc UploadLineItems(stream LineItem) returns (UploadSummary);</w:t>
      </w:r>
      <w:r>
        <w:br/>
      </w:r>
      <w:r>
        <w:rPr>
          <w:rStyle w:val="NormalTok"/>
        </w:rPr>
        <w:t xml:space="preserve">  </w:t>
      </w:r>
      <w:r>
        <w:rPr>
          <w:rStyle w:val="CommentTok"/>
        </w:rPr>
        <w:t xml:space="preserve">// Bidirectional streaming: both sides stream independently.</w:t>
      </w:r>
      <w:r>
        <w:br/>
      </w:r>
      <w:r>
        <w:rPr>
          <w:rStyle w:val="NormalTok"/>
        </w:rPr>
        <w:t xml:space="preserve">  rpc Chat(stream ChatMessage) returns (stream ChatMessage);</w:t>
      </w:r>
      <w:r>
        <w:br/>
      </w:r>
      <w:r>
        <w:rPr>
          <w:rStyle w:val="NormalTok"/>
        </w:rPr>
        <w:t xml:space="preserve">}</w:t>
      </w:r>
      <w:r>
        <w:br/>
      </w:r>
      <w:r>
        <w:br/>
      </w:r>
      <w:r>
        <w:rPr>
          <w:rStyle w:val="KeywordTok"/>
        </w:rPr>
        <w:t xml:space="preserve">message</w:t>
      </w:r>
      <w:r>
        <w:rPr>
          <w:rStyle w:val="NormalTok"/>
        </w:rPr>
        <w:t xml:space="preserve"> GetOrderRequest {</w:t>
      </w:r>
      <w:r>
        <w:br/>
      </w:r>
      <w:r>
        <w:rPr>
          <w:rStyle w:val="NormalTok"/>
        </w:rPr>
        <w:t xml:space="preserve">  </w:t>
      </w:r>
      <w:r>
        <w:rPr>
          <w:rStyle w:val="DataTypeTok"/>
        </w:rPr>
        <w:t xml:space="preserve">string</w:t>
      </w:r>
      <w:r>
        <w:rPr>
          <w:rStyle w:val="NormalTok"/>
        </w:rPr>
        <w:t xml:space="preserve"> order_id = </w:t>
      </w:r>
      <w:r>
        <w:rPr>
          <w:rStyle w:val="DecValTok"/>
        </w:rPr>
        <w:t xml:space="preserve">1</w:t>
      </w:r>
      <w:r>
        <w:rPr>
          <w:rStyle w:val="NormalTok"/>
        </w:rPr>
        <w:t xml:space="preserve">;</w:t>
      </w:r>
      <w:r>
        <w:br/>
      </w:r>
      <w:r>
        <w:rPr>
          <w:rStyle w:val="NormalTok"/>
        </w:rPr>
        <w:t xml:space="preserve">}</w:t>
      </w:r>
      <w:r>
        <w:br/>
      </w:r>
      <w:r>
        <w:br/>
      </w:r>
      <w:r>
        <w:rPr>
          <w:rStyle w:val="KeywordTok"/>
        </w:rPr>
        <w:t xml:space="preserve">enum</w:t>
      </w:r>
      <w:r>
        <w:rPr>
          <w:rStyle w:val="NormalTok"/>
        </w:rPr>
        <w:t xml:space="preserve"> OrderStatus {</w:t>
      </w:r>
      <w:r>
        <w:br/>
      </w:r>
      <w:r>
        <w:rPr>
          <w:rStyle w:val="NormalTok"/>
        </w:rPr>
        <w:t xml:space="preserve">  ORDER_STATUS_UNSPECIFIED = </w:t>
      </w:r>
      <w:r>
        <w:rPr>
          <w:rStyle w:val="DecValTok"/>
        </w:rPr>
        <w:t xml:space="preserve">0</w:t>
      </w:r>
      <w:r>
        <w:rPr>
          <w:rStyle w:val="NormalTok"/>
        </w:rPr>
        <w:t xml:space="preserve">;   </w:t>
      </w:r>
      <w:r>
        <w:rPr>
          <w:rStyle w:val="CommentTok"/>
        </w:rPr>
        <w:t xml:space="preserve">// proto3 enums must start at zero</w:t>
      </w:r>
      <w:r>
        <w:br/>
      </w:r>
      <w:r>
        <w:rPr>
          <w:rStyle w:val="NormalTok"/>
        </w:rPr>
        <w:t xml:space="preserve">  ORDER_STATUS_PLACED = </w:t>
      </w:r>
      <w:r>
        <w:rPr>
          <w:rStyle w:val="DecValTok"/>
        </w:rPr>
        <w:t xml:space="preserve">1</w:t>
      </w:r>
      <w:r>
        <w:rPr>
          <w:rStyle w:val="NormalTok"/>
        </w:rPr>
        <w:t xml:space="preserve">;</w:t>
      </w:r>
      <w:r>
        <w:br/>
      </w:r>
      <w:r>
        <w:rPr>
          <w:rStyle w:val="NormalTok"/>
        </w:rPr>
        <w:t xml:space="preserve">  ORDER_STATUS_SHIPPED = </w:t>
      </w:r>
      <w:r>
        <w:rPr>
          <w:rStyle w:val="DecValTok"/>
        </w:rPr>
        <w:t xml:space="preserve">2</w:t>
      </w:r>
      <w:r>
        <w:rPr>
          <w:rStyle w:val="NormalTok"/>
        </w:rPr>
        <w:t xml:space="preserve">;</w:t>
      </w:r>
      <w:r>
        <w:br/>
      </w:r>
      <w:r>
        <w:rPr>
          <w:rStyle w:val="NormalTok"/>
        </w:rPr>
        <w:t xml:space="preserve">  ORDER_STATUS_DELIVERED = </w:t>
      </w:r>
      <w:r>
        <w:rPr>
          <w:rStyle w:val="DecValTok"/>
        </w:rPr>
        <w:t xml:space="preserve">3</w:t>
      </w:r>
      <w:r>
        <w:rPr>
          <w:rStyle w:val="NormalTok"/>
        </w:rPr>
        <w:t xml:space="preserve">;</w:t>
      </w:r>
      <w:r>
        <w:br/>
      </w:r>
      <w:r>
        <w:rPr>
          <w:rStyle w:val="NormalTok"/>
        </w:rPr>
        <w:t xml:space="preserve">}</w:t>
      </w:r>
      <w:r>
        <w:br/>
      </w:r>
      <w:r>
        <w:br/>
      </w:r>
      <w:r>
        <w:rPr>
          <w:rStyle w:val="KeywordTok"/>
        </w:rPr>
        <w:t xml:space="preserve">message</w:t>
      </w:r>
      <w:r>
        <w:rPr>
          <w:rStyle w:val="NormalTok"/>
        </w:rPr>
        <w:t xml:space="preserve"> Order {</w:t>
      </w:r>
      <w:r>
        <w:br/>
      </w:r>
      <w:r>
        <w:rPr>
          <w:rStyle w:val="NormalTok"/>
        </w:rPr>
        <w:t xml:space="preserve">  </w:t>
      </w:r>
      <w:r>
        <w:rPr>
          <w:rStyle w:val="DataTypeTok"/>
        </w:rPr>
        <w:t xml:space="preserve">string</w:t>
      </w:r>
      <w:r>
        <w:rPr>
          <w:rStyle w:val="NormalTok"/>
        </w:rPr>
        <w:t xml:space="preserve"> order_id = </w:t>
      </w:r>
      <w:r>
        <w:rPr>
          <w:rStyle w:val="DecValTok"/>
        </w:rPr>
        <w:t xml:space="preserve">1</w:t>
      </w:r>
      <w:r>
        <w:rPr>
          <w:rStyle w:val="NormalTok"/>
        </w:rPr>
        <w:t xml:space="preserve">;</w:t>
      </w:r>
      <w:r>
        <w:br/>
      </w:r>
      <w:r>
        <w:rPr>
          <w:rStyle w:val="NormalTok"/>
        </w:rPr>
        <w:t xml:space="preserve">  </w:t>
      </w:r>
      <w:r>
        <w:rPr>
          <w:rStyle w:val="DataTypeTok"/>
        </w:rPr>
        <w:t xml:space="preserve">string</w:t>
      </w:r>
      <w:r>
        <w:rPr>
          <w:rStyle w:val="NormalTok"/>
        </w:rPr>
        <w:t xml:space="preserve"> customer_id = </w:t>
      </w:r>
      <w:r>
        <w:rPr>
          <w:rStyle w:val="DecValTok"/>
        </w:rPr>
        <w:t xml:space="preserve">2</w:t>
      </w:r>
      <w:r>
        <w:rPr>
          <w:rStyle w:val="NormalTok"/>
        </w:rPr>
        <w:t xml:space="preserve">;</w:t>
      </w:r>
      <w:r>
        <w:br/>
      </w:r>
      <w:r>
        <w:rPr>
          <w:rStyle w:val="NormalTok"/>
        </w:rPr>
        <w:t xml:space="preserve">  </w:t>
      </w:r>
      <w:r>
        <w:rPr>
          <w:rStyle w:val="KeywordTok"/>
        </w:rPr>
        <w:t xml:space="preserve">repeated</w:t>
      </w:r>
      <w:r>
        <w:rPr>
          <w:rStyle w:val="NormalTok"/>
        </w:rPr>
        <w:t xml:space="preserve"> LineItem items = </w:t>
      </w:r>
      <w:r>
        <w:rPr>
          <w:rStyle w:val="DecValTok"/>
        </w:rPr>
        <w:t xml:space="preserve">3</w:t>
      </w:r>
      <w:r>
        <w:rPr>
          <w:rStyle w:val="NormalTok"/>
        </w:rPr>
        <w:t xml:space="preserve">;</w:t>
      </w:r>
      <w:r>
        <w:br/>
      </w:r>
      <w:r>
        <w:rPr>
          <w:rStyle w:val="NormalTok"/>
        </w:rPr>
        <w:t xml:space="preserve">  OrderStatus status = </w:t>
      </w:r>
      <w:r>
        <w:rPr>
          <w:rStyle w:val="DecValTok"/>
        </w:rPr>
        <w:t xml:space="preserve">4</w:t>
      </w:r>
      <w:r>
        <w:rPr>
          <w:rStyle w:val="NormalTok"/>
        </w:rPr>
        <w:t xml:space="preserve">;</w:t>
      </w:r>
      <w:r>
        <w:br/>
      </w:r>
      <w:r>
        <w:rPr>
          <w:rStyle w:val="NormalTok"/>
        </w:rPr>
        <w:t xml:space="preserve">  google.protobuf.Timestamp created_at = </w:t>
      </w:r>
      <w:r>
        <w:rPr>
          <w:rStyle w:val="DecValTok"/>
        </w:rPr>
        <w:t xml:space="preserve">5</w:t>
      </w:r>
      <w:r>
        <w:rPr>
          <w:rStyle w:val="NormalTok"/>
        </w:rPr>
        <w:t xml:space="preserve">;</w:t>
      </w:r>
      <w:r>
        <w:br/>
      </w:r>
      <w:r>
        <w:rPr>
          <w:rStyle w:val="NormalTok"/>
        </w:rPr>
        <w:t xml:space="preserve">  reserved </w:t>
      </w:r>
      <w:r>
        <w:rPr>
          <w:rStyle w:val="DecValTok"/>
        </w:rPr>
        <w:t xml:space="preserve">6</w:t>
      </w:r>
      <w:r>
        <w:rPr>
          <w:rStyle w:val="NormalTok"/>
        </w:rPr>
        <w:t xml:space="preserve">;                    </w:t>
      </w:r>
      <w:r>
        <w:rPr>
          <w:rStyle w:val="CommentTok"/>
        </w:rPr>
        <w:t xml:space="preserve">// field 6 was deleted; never reuse the number</w:t>
      </w:r>
      <w:r>
        <w:br/>
      </w:r>
      <w:r>
        <w:rPr>
          <w:rStyle w:val="NormalTok"/>
        </w:rPr>
        <w:t xml:space="preserve">  reserved </w:t>
      </w:r>
      <w:r>
        <w:rPr>
          <w:rStyle w:val="StringTok"/>
        </w:rPr>
        <w:t xml:space="preserve">"coupon_code"</w:t>
      </w:r>
      <w:r>
        <w:rPr>
          <w:rStyle w:val="NormalTok"/>
        </w:rPr>
        <w:t xml:space="preserve">;</w:t>
      </w:r>
      <w:r>
        <w:br/>
      </w:r>
      <w:r>
        <w:rPr>
          <w:rStyle w:val="NormalTok"/>
        </w:rPr>
        <w:t xml:space="preserve">}</w:t>
      </w:r>
      <w:r>
        <w:br/>
      </w:r>
      <w:r>
        <w:br/>
      </w:r>
      <w:r>
        <w:rPr>
          <w:rStyle w:val="KeywordTok"/>
        </w:rPr>
        <w:t xml:space="preserve">message</w:t>
      </w:r>
      <w:r>
        <w:rPr>
          <w:rStyle w:val="NormalTok"/>
        </w:rPr>
        <w:t xml:space="preserve"> LineItem {</w:t>
      </w:r>
      <w:r>
        <w:br/>
      </w:r>
      <w:r>
        <w:rPr>
          <w:rStyle w:val="NormalTok"/>
        </w:rPr>
        <w:t xml:space="preserve">  </w:t>
      </w:r>
      <w:r>
        <w:rPr>
          <w:rStyle w:val="DataTypeTok"/>
        </w:rPr>
        <w:t xml:space="preserve">string</w:t>
      </w:r>
      <w:r>
        <w:rPr>
          <w:rStyle w:val="NormalTok"/>
        </w:rPr>
        <w:t xml:space="preserve"> sku = </w:t>
      </w:r>
      <w:r>
        <w:rPr>
          <w:rStyle w:val="DecValTok"/>
        </w:rPr>
        <w:t xml:space="preserve">1</w:t>
      </w:r>
      <w:r>
        <w:rPr>
          <w:rStyle w:val="NormalTok"/>
        </w:rPr>
        <w:t xml:space="preserve">;</w:t>
      </w:r>
      <w:r>
        <w:br/>
      </w:r>
      <w:r>
        <w:rPr>
          <w:rStyle w:val="NormalTok"/>
        </w:rPr>
        <w:t xml:space="preserve">  </w:t>
      </w:r>
      <w:r>
        <w:rPr>
          <w:rStyle w:val="DataTypeTok"/>
        </w:rPr>
        <w:t xml:space="preserve">int32</w:t>
      </w:r>
      <w:r>
        <w:rPr>
          <w:rStyle w:val="NormalTok"/>
        </w:rPr>
        <w:t xml:space="preserve"> quantity = </w:t>
      </w:r>
      <w:r>
        <w:rPr>
          <w:rStyle w:val="DecValTok"/>
        </w:rPr>
        <w:t xml:space="preserve">2</w:t>
      </w:r>
      <w:r>
        <w:rPr>
          <w:rStyle w:val="NormalTok"/>
        </w:rPr>
        <w:t xml:space="preserve">;</w:t>
      </w:r>
      <w:r>
        <w:br/>
      </w:r>
      <w:r>
        <w:rPr>
          <w:rStyle w:val="NormalTok"/>
        </w:rPr>
        <w:t xml:space="preserve">  </w:t>
      </w:r>
      <w:r>
        <w:rPr>
          <w:rStyle w:val="DataTypeTok"/>
        </w:rPr>
        <w:t xml:space="preserve">int64</w:t>
      </w:r>
      <w:r>
        <w:rPr>
          <w:rStyle w:val="NormalTok"/>
        </w:rPr>
        <w:t xml:space="preserve"> unit_price_cents = </w:t>
      </w:r>
      <w:r>
        <w:rPr>
          <w:rStyle w:val="DecValTok"/>
        </w:rPr>
        <w:t xml:space="preserve">3</w:t>
      </w:r>
      <w:r>
        <w:rPr>
          <w:rStyle w:val="NormalTok"/>
        </w:rPr>
        <w:t xml:space="preserve">;    </w:t>
      </w:r>
      <w:r>
        <w:rPr>
          <w:rStyle w:val="CommentTok"/>
        </w:rPr>
        <w:t xml:space="preserve">// money as integer cents, never float</w:t>
      </w:r>
      <w:r>
        <w:br/>
      </w:r>
      <w:r>
        <w:rPr>
          <w:rStyle w:val="NormalTok"/>
        </w:rPr>
        <w:t xml:space="preserve">}</w:t>
      </w:r>
      <w:r>
        <w:br/>
      </w:r>
      <w:r>
        <w:br/>
      </w:r>
      <w:r>
        <w:rPr>
          <w:rStyle w:val="KeywordTok"/>
        </w:rPr>
        <w:t xml:space="preserve">message</w:t>
      </w:r>
      <w:r>
        <w:rPr>
          <w:rStyle w:val="NormalTok"/>
        </w:rPr>
        <w:t xml:space="preserve"> OrderStatusEvent {</w:t>
      </w:r>
      <w:r>
        <w:br/>
      </w:r>
      <w:r>
        <w:rPr>
          <w:rStyle w:val="NormalTok"/>
        </w:rPr>
        <w:t xml:space="preserve">  </w:t>
      </w:r>
      <w:r>
        <w:rPr>
          <w:rStyle w:val="DataTypeTok"/>
        </w:rPr>
        <w:t xml:space="preserve">string</w:t>
      </w:r>
      <w:r>
        <w:rPr>
          <w:rStyle w:val="NormalTok"/>
        </w:rPr>
        <w:t xml:space="preserve"> order_id = </w:t>
      </w:r>
      <w:r>
        <w:rPr>
          <w:rStyle w:val="DecValTok"/>
        </w:rPr>
        <w:t xml:space="preserve">1</w:t>
      </w:r>
      <w:r>
        <w:rPr>
          <w:rStyle w:val="NormalTok"/>
        </w:rPr>
        <w:t xml:space="preserve">;</w:t>
      </w:r>
      <w:r>
        <w:br/>
      </w:r>
      <w:r>
        <w:rPr>
          <w:rStyle w:val="NormalTok"/>
        </w:rPr>
        <w:t xml:space="preserve">  OrderStatus status = </w:t>
      </w:r>
      <w:r>
        <w:rPr>
          <w:rStyle w:val="DecValTok"/>
        </w:rPr>
        <w:t xml:space="preserve">2</w:t>
      </w:r>
      <w:r>
        <w:rPr>
          <w:rStyle w:val="NormalTok"/>
        </w:rPr>
        <w:t xml:space="preserve">;</w:t>
      </w:r>
      <w:r>
        <w:br/>
      </w:r>
      <w:r>
        <w:rPr>
          <w:rStyle w:val="NormalTok"/>
        </w:rPr>
        <w:t xml:space="preserve">}</w:t>
      </w:r>
      <w:r>
        <w:br/>
      </w:r>
      <w:r>
        <w:br/>
      </w:r>
      <w:r>
        <w:rPr>
          <w:rStyle w:val="KeywordTok"/>
        </w:rPr>
        <w:t xml:space="preserve">message</w:t>
      </w:r>
      <w:r>
        <w:rPr>
          <w:rStyle w:val="NormalTok"/>
        </w:rPr>
        <w:t xml:space="preserve"> UploadSummary {</w:t>
      </w:r>
      <w:r>
        <w:br/>
      </w:r>
      <w:r>
        <w:rPr>
          <w:rStyle w:val="NormalTok"/>
        </w:rPr>
        <w:t xml:space="preserve">  </w:t>
      </w:r>
      <w:r>
        <w:rPr>
          <w:rStyle w:val="DataTypeTok"/>
        </w:rPr>
        <w:t xml:space="preserve">int32</w:t>
      </w:r>
      <w:r>
        <w:rPr>
          <w:rStyle w:val="NormalTok"/>
        </w:rPr>
        <w:t xml:space="preserve"> items_received = </w:t>
      </w:r>
      <w:r>
        <w:rPr>
          <w:rStyle w:val="DecValTok"/>
        </w:rPr>
        <w:t xml:space="preserve">1</w:t>
      </w:r>
      <w:r>
        <w:rPr>
          <w:rStyle w:val="NormalTok"/>
        </w:rPr>
        <w:t xml:space="preserve">;</w:t>
      </w:r>
      <w:r>
        <w:br/>
      </w:r>
      <w:r>
        <w:rPr>
          <w:rStyle w:val="NormalTok"/>
        </w:rPr>
        <w:t xml:space="preserve">}</w:t>
      </w:r>
      <w:r>
        <w:br/>
      </w:r>
      <w:r>
        <w:br/>
      </w:r>
      <w:r>
        <w:rPr>
          <w:rStyle w:val="KeywordTok"/>
        </w:rPr>
        <w:t xml:space="preserve">message</w:t>
      </w:r>
      <w:r>
        <w:rPr>
          <w:rStyle w:val="NormalTok"/>
        </w:rPr>
        <w:t xml:space="preserve"> ChatMessage {</w:t>
      </w:r>
      <w:r>
        <w:br/>
      </w:r>
      <w:r>
        <w:rPr>
          <w:rStyle w:val="NormalTok"/>
        </w:rPr>
        <w:t xml:space="preserve">  </w:t>
      </w:r>
      <w:r>
        <w:rPr>
          <w:rStyle w:val="DataTypeTok"/>
        </w:rPr>
        <w:t xml:space="preserve">string</w:t>
      </w:r>
      <w:r>
        <w:rPr>
          <w:rStyle w:val="NormalTok"/>
        </w:rPr>
        <w:t xml:space="preserve"> text = </w:t>
      </w:r>
      <w:r>
        <w:rPr>
          <w:rStyle w:val="DecValTok"/>
        </w:rPr>
        <w:t xml:space="preserve">1</w:t>
      </w:r>
      <w:r>
        <w:rPr>
          <w:rStyle w:val="NormalTok"/>
        </w:rPr>
        <w:t xml:space="preserve">;</w:t>
      </w:r>
      <w:r>
        <w:br/>
      </w:r>
      <w:r>
        <w:rPr>
          <w:rStyle w:val="NormalTok"/>
        </w:rPr>
        <w:t xml:space="preserve">}</w:t>
      </w:r>
    </w:p>
    <w:p>
      <w:pPr>
        <w:pStyle w:val="FirstParagraph"/>
      </w:pPr>
      <w:r>
        <w:t xml:space="preserve">What to notice:</w:t>
      </w:r>
    </w:p>
    <w:p>
      <w:pPr>
        <w:numPr>
          <w:ilvl w:val="0"/>
          <w:numId w:val="1274"/>
        </w:numPr>
        <w:pStyle w:val="Compact"/>
      </w:pPr>
      <w:r>
        <w:t xml:space="preserve">The numbers (</w:t>
      </w:r>
      <w:r>
        <w:rPr>
          <w:rStyle w:val="VerbatimChar"/>
        </w:rPr>
        <w:t xml:space="preserve">= 1</w:t>
      </w:r>
      <w:r>
        <w:t xml:space="preserve">,</w:t>
      </w:r>
      <w:r>
        <w:t xml:space="preserve"> </w:t>
      </w:r>
      <w:r>
        <w:rPr>
          <w:rStyle w:val="VerbatimChar"/>
        </w:rPr>
        <w:t xml:space="preserve">= 2</w:t>
      </w:r>
      <w:r>
        <w:t xml:space="preserve">) are</w:t>
      </w:r>
      <w:r>
        <w:t xml:space="preserve"> </w:t>
      </w:r>
      <w:r>
        <w:rPr>
          <w:bCs/>
          <w:b/>
        </w:rPr>
        <w:t xml:space="preserve">field numbers</w:t>
      </w:r>
      <w:r>
        <w:t xml:space="preserve">, not default values. They, not the names, are written on the wire (§8.9.2), so they must never change or be reused;</w:t>
      </w:r>
      <w:r>
        <w:t xml:space="preserve"> </w:t>
      </w:r>
      <w:r>
        <w:rPr>
          <w:rStyle w:val="VerbatimChar"/>
        </w:rPr>
        <w:t xml:space="preserve">reserved</w:t>
      </w:r>
      <w:r>
        <w:t xml:space="preserve"> </w:t>
      </w:r>
      <w:r>
        <w:t xml:space="preserve">enforces that for deleted fields.</w:t>
      </w:r>
    </w:p>
    <w:p>
      <w:pPr>
        <w:numPr>
          <w:ilvl w:val="0"/>
          <w:numId w:val="1274"/>
        </w:numPr>
        <w:pStyle w:val="Compact"/>
      </w:pPr>
      <w:r>
        <w:t xml:space="preserve">The version lives in the package name (</w:t>
      </w:r>
      <w:r>
        <w:rPr>
          <w:rStyle w:val="VerbatimChar"/>
        </w:rPr>
        <w:t xml:space="preserve">shop.v1</w:t>
      </w:r>
      <w:r>
        <w:t xml:space="preserve">), so a breaking redesign becomes</w:t>
      </w:r>
      <w:r>
        <w:t xml:space="preserve"> </w:t>
      </w:r>
      <w:r>
        <w:rPr>
          <w:rStyle w:val="VerbatimChar"/>
        </w:rPr>
        <w:t xml:space="preserve">shop.v2</w:t>
      </w:r>
      <w:r>
        <w:t xml:space="preserve"> </w:t>
      </w:r>
      <w:r>
        <w:t xml:space="preserve">alongside it (§8.15).</w:t>
      </w:r>
    </w:p>
    <w:p>
      <w:pPr>
        <w:numPr>
          <w:ilvl w:val="0"/>
          <w:numId w:val="1274"/>
        </w:numPr>
        <w:pStyle w:val="Compact"/>
      </w:pPr>
      <w:r>
        <w:rPr>
          <w:rStyle w:val="VerbatimChar"/>
        </w:rPr>
        <w:t xml:space="preserve">stream</w:t>
      </w:r>
      <w:r>
        <w:t xml:space="preserve"> </w:t>
      </w:r>
      <w:r>
        <w:t xml:space="preserve">on the request, the response or both selects the streaming mode.</w:t>
      </w:r>
    </w:p>
    <w:bookmarkStart w:id="885" w:name="how-it-works-internally-26"/>
    <w:p>
      <w:pPr>
        <w:pStyle w:val="Heading4"/>
      </w:pPr>
      <w:r>
        <w:t xml:space="preserve">How it works internally</w:t>
      </w:r>
    </w:p>
    <w:p>
      <w:pPr>
        <w:pStyle w:val="FirstParagraph"/>
      </w:pPr>
      <w:r>
        <w:t xml:space="preserve">Each call maps onto HTTP/2 (§7.9):</w:t>
      </w:r>
    </w:p>
    <w:p>
      <w:pPr>
        <w:numPr>
          <w:ilvl w:val="0"/>
          <w:numId w:val="1275"/>
        </w:numPr>
        <w:pStyle w:val="Compact"/>
      </w:pPr>
      <w:r>
        <w:t xml:space="preserve">The client opens (or reuses) one long-lived HTTP/2 connection, called a</w:t>
      </w:r>
      <w:r>
        <w:t xml:space="preserve"> </w:t>
      </w:r>
      <w:r>
        <w:rPr>
          <w:bCs/>
          <w:b/>
        </w:rPr>
        <w:t xml:space="preserve">channel</w:t>
      </w:r>
      <w:r>
        <w:t xml:space="preserve">, to the server.</w:t>
      </w:r>
    </w:p>
    <w:p>
      <w:pPr>
        <w:numPr>
          <w:ilvl w:val="0"/>
          <w:numId w:val="1275"/>
        </w:numPr>
        <w:pStyle w:val="Compact"/>
      </w:pPr>
      <w:r>
        <w:t xml:space="preserve">Each RPC becomes an HTTP/2</w:t>
      </w:r>
      <w:r>
        <w:t xml:space="preserve"> </w:t>
      </w:r>
      <w:r>
        <w:rPr>
          <w:bCs/>
          <w:b/>
        </w:rPr>
        <w:t xml:space="preserve">stream</w:t>
      </w:r>
      <w:r>
        <w:t xml:space="preserve">: a</w:t>
      </w:r>
      <w:r>
        <w:t xml:space="preserve"> </w:t>
      </w:r>
      <w:r>
        <w:rPr>
          <w:rStyle w:val="VerbatimChar"/>
        </w:rPr>
        <w:t xml:space="preserve">POST</w:t>
      </w:r>
      <w:r>
        <w:t xml:space="preserve"> </w:t>
      </w:r>
      <w:r>
        <w:t xml:space="preserve">to the path</w:t>
      </w:r>
      <w:r>
        <w:t xml:space="preserve"> </w:t>
      </w:r>
      <w:r>
        <w:rPr>
          <w:rStyle w:val="VerbatimChar"/>
        </w:rPr>
        <w:t xml:space="preserve">/shop.v1.OrderService/GetOrder</w:t>
      </w:r>
      <w:r>
        <w:t xml:space="preserve"> </w:t>
      </w:r>
      <w:r>
        <w:t xml:space="preserve">with</w:t>
      </w:r>
      <w:r>
        <w:t xml:space="preserve"> </w:t>
      </w:r>
      <w:r>
        <w:rPr>
          <w:rStyle w:val="VerbatimChar"/>
        </w:rPr>
        <w:t xml:space="preserve">content-type: application/grpc</w:t>
      </w:r>
      <w:r>
        <w:t xml:space="preserve"> </w:t>
      </w:r>
      <w:r>
        <w:t xml:space="preserve">and, if the client set one, a</w:t>
      </w:r>
      <w:r>
        <w:t xml:space="preserve"> </w:t>
      </w:r>
      <w:r>
        <w:rPr>
          <w:rStyle w:val="VerbatimChar"/>
        </w:rPr>
        <w:t xml:space="preserve">grpc-timeout</w:t>
      </w:r>
      <w:r>
        <w:t xml:space="preserve"> </w:t>
      </w:r>
      <w:r>
        <w:t xml:space="preserve">header carrying the deadline.</w:t>
      </w:r>
    </w:p>
    <w:p>
      <w:pPr>
        <w:numPr>
          <w:ilvl w:val="0"/>
          <w:numId w:val="1275"/>
        </w:numPr>
        <w:pStyle w:val="Compact"/>
      </w:pPr>
      <w:r>
        <w:t xml:space="preserve">Each message is</w:t>
      </w:r>
      <w:r>
        <w:t xml:space="preserve"> </w:t>
      </w:r>
      <w:r>
        <w:rPr>
          <w:bCs/>
          <w:b/>
        </w:rPr>
        <w:t xml:space="preserve">length-prefixed</w:t>
      </w:r>
      <w:r>
        <w:t xml:space="preserve">: 1 byte compression flag + 4-byte big-endian length + the Protobuf bytes, carried in HTTP/2 DATA frames.</w:t>
      </w:r>
    </w:p>
    <w:p>
      <w:pPr>
        <w:numPr>
          <w:ilvl w:val="0"/>
          <w:numId w:val="1275"/>
        </w:numPr>
        <w:pStyle w:val="Compact"/>
      </w:pPr>
      <w:r>
        <w:t xml:space="preserve">The server replies with headers, zero or more length-prefixed messages, and</w:t>
      </w:r>
      <w:r>
        <w:t xml:space="preserve"> </w:t>
      </w:r>
      <w:r>
        <w:rPr>
          <w:bCs/>
          <w:b/>
        </w:rPr>
        <w:t xml:space="preserve">trailers</w:t>
      </w:r>
      <w:r>
        <w:t xml:space="preserve"> </w:t>
      </w:r>
      <w:r>
        <w:t xml:space="preserve">containing</w:t>
      </w:r>
      <w:r>
        <w:t xml:space="preserve"> </w:t>
      </w:r>
      <w:r>
        <w:rPr>
          <w:rStyle w:val="VerbatimChar"/>
        </w:rPr>
        <w:t xml:space="preserve">grpc-status</w:t>
      </w:r>
      <w:r>
        <w:t xml:space="preserve"> </w:t>
      </w:r>
      <w:r>
        <w:t xml:space="preserve">(0 = OK, 4 = DEADLINE_EXCEEDED, 14 = UNAVAILABLE, and so on) and an optional</w:t>
      </w:r>
      <w:r>
        <w:t xml:space="preserve"> </w:t>
      </w:r>
      <w:r>
        <w:rPr>
          <w:rStyle w:val="VerbatimChar"/>
        </w:rPr>
        <w:t xml:space="preserve">grpc-message</w:t>
      </w:r>
      <w:r>
        <w:t xml:space="preserve">.</w:t>
      </w:r>
    </w:p>
    <w:p>
      <w:pPr>
        <w:pStyle w:val="FirstParagraph"/>
      </w:pPr>
      <w:r>
        <w:t xml:space="preserve">Because HTTP/2 multiplexes many streams over one TCP connection, hundreds of concurrent RPCs share a connection without head-of-line blocking at the HTTP layer (TCP-level head-of-line blocking remains; §7.7).</w:t>
      </w:r>
    </w:p>
    <w:p>
      <w:pPr>
        <w:pStyle w:val="BodyText"/>
      </w:pPr>
      <w:r>
        <w:rPr>
          <w:bCs/>
          <w:b/>
        </w:rPr>
        <w:t xml:space="preserve">Figure 8.5 — gRPC call mapped onto an HTTP/2 connection.</w:t>
      </w:r>
    </w:p>
    <w:p>
      <w:pPr>
        <w:pStyle w:val="BodyText"/>
      </w:pPr>
      <w:r>
        <w:drawing>
          <wp:inline>
            <wp:extent cx="5334000" cy="906307"/>
            <wp:effectExtent b="0" l="0" r="0" t="0"/>
            <wp:docPr descr="" title="" id="883" name="Picture"/>
            <a:graphic>
              <a:graphicData uri="http://schemas.openxmlformats.org/drawingml/2006/picture">
                <pic:pic>
                  <pic:nvPicPr>
                    <pic:cNvPr descr="/home/user/System-Design/build/.cache/diagrams/bef42b6b04ee.png" id="884" name="Picture"/>
                    <pic:cNvPicPr>
                      <a:picLocks noChangeArrowheads="1" noChangeAspect="1"/>
                    </pic:cNvPicPr>
                  </pic:nvPicPr>
                  <pic:blipFill>
                    <a:blip r:embed="rId882"/>
                    <a:stretch>
                      <a:fillRect/>
                    </a:stretch>
                  </pic:blipFill>
                  <pic:spPr bwMode="auto">
                    <a:xfrm>
                      <a:off x="0" y="0"/>
                      <a:ext cx="5334000" cy="906307"/>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Application code calls a generated stub as if it were local. The stub serializes the request to Protobuf and sends it as HEADERS and DATA frames on a new stream of a single shared HTTP/2 connection; three concurrent calls occupy streams 1, 3 and 5 (client-initiated HTTP/2 streams use odd numbers). The server runtime reassembles each stream, deserializes the message, invokes the implementation and streams the response back with a trailing</w:t>
      </w:r>
      <w:r>
        <w:t xml:space="preserve"> </w:t>
      </w:r>
      <w:r>
        <w:rPr>
          <w:rStyle w:val="VerbatimChar"/>
        </w:rPr>
        <w:t xml:space="preserve">grpc-status</w:t>
      </w:r>
      <w:r>
        <w:t xml:space="preserve">. Unary calls are synchronous request/response; stream 3 stays open while the server pushes events. Storage boundary: the database behind the implementation. Failure points: a single connection pins all of a client’s traffic to one server, which defeats layer-4 load balancers; use layer-7 (HTTP/2-aware) proxies or client-side load balancing (§19.10). Scaling: add servers behind an L7 balancer that balances per stream, not per connection.</w:t>
      </w:r>
    </w:p>
    <w:bookmarkEnd w:id="885"/>
    <w:bookmarkEnd w:id="886"/>
    <w:bookmarkStart w:id="887" w:name="streaming-modes"/>
    <w:p>
      <w:pPr>
        <w:pStyle w:val="Heading3"/>
      </w:pPr>
      <w:r>
        <w:t xml:space="preserve">8.8.3 Streaming modes</w:t>
      </w:r>
    </w:p>
    <w:p>
      <w:pPr>
        <w:pStyle w:val="FirstParagraph"/>
      </w:pPr>
      <w:r>
        <w:rPr>
          <w:bCs/>
          <w:b/>
        </w:rPr>
        <w:t xml:space="preserve">Table 8.10 — The four gRPC call types.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Mode</w:t>
            </w:r>
          </w:p>
        </w:tc>
        <w:tc>
          <w:tcPr/>
          <w:p>
            <w:pPr>
              <w:pStyle w:val="Compact"/>
              <w:jc w:val="left"/>
            </w:pPr>
            <w:r>
              <w:t xml:space="preserve">Shape</w:t>
            </w:r>
          </w:p>
        </w:tc>
        <w:tc>
          <w:tcPr/>
          <w:p>
            <w:pPr>
              <w:pStyle w:val="Compact"/>
              <w:jc w:val="left"/>
            </w:pPr>
            <w:r>
              <w:t xml:space="preserve">Example use</w:t>
            </w:r>
          </w:p>
        </w:tc>
      </w:tr>
      <w:tr>
        <w:tc>
          <w:tcPr/>
          <w:p>
            <w:pPr>
              <w:pStyle w:val="Compact"/>
              <w:jc w:val="left"/>
            </w:pPr>
            <w:r>
              <w:t xml:space="preserve">Unary</w:t>
            </w:r>
          </w:p>
        </w:tc>
        <w:tc>
          <w:tcPr/>
          <w:p>
            <w:pPr>
              <w:pStyle w:val="Compact"/>
              <w:jc w:val="left"/>
            </w:pPr>
            <w:r>
              <w:t xml:space="preserve">1 request → 1 response</w:t>
            </w:r>
          </w:p>
        </w:tc>
        <w:tc>
          <w:tcPr/>
          <w:p>
            <w:pPr>
              <w:pStyle w:val="Compact"/>
              <w:jc w:val="left"/>
            </w:pPr>
            <w:r>
              <w:t xml:space="preserve">Fetch an order; most calls</w:t>
            </w:r>
          </w:p>
        </w:tc>
      </w:tr>
      <w:tr>
        <w:tc>
          <w:tcPr/>
          <w:p>
            <w:pPr>
              <w:pStyle w:val="Compact"/>
              <w:jc w:val="left"/>
            </w:pPr>
            <w:r>
              <w:t xml:space="preserve">Server streaming</w:t>
            </w:r>
          </w:p>
        </w:tc>
        <w:tc>
          <w:tcPr/>
          <w:p>
            <w:pPr>
              <w:pStyle w:val="Compact"/>
              <w:jc w:val="left"/>
            </w:pPr>
            <w:r>
              <w:t xml:space="preserve">1 request → stream of responses</w:t>
            </w:r>
          </w:p>
        </w:tc>
        <w:tc>
          <w:tcPr/>
          <w:p>
            <w:pPr>
              <w:pStyle w:val="Compact"/>
              <w:jc w:val="left"/>
            </w:pPr>
            <w:r>
              <w:t xml:space="preserve">Order status updates; large result sets in chunks; log tailing</w:t>
            </w:r>
          </w:p>
        </w:tc>
      </w:tr>
      <w:tr>
        <w:tc>
          <w:tcPr/>
          <w:p>
            <w:pPr>
              <w:pStyle w:val="Compact"/>
              <w:jc w:val="left"/>
            </w:pPr>
            <w:r>
              <w:t xml:space="preserve">Client streaming</w:t>
            </w:r>
          </w:p>
        </w:tc>
        <w:tc>
          <w:tcPr/>
          <w:p>
            <w:pPr>
              <w:pStyle w:val="Compact"/>
              <w:jc w:val="left"/>
            </w:pPr>
            <w:r>
              <w:t xml:space="preserve">Stream of requests → 1 response</w:t>
            </w:r>
          </w:p>
        </w:tc>
        <w:tc>
          <w:tcPr/>
          <w:p>
            <w:pPr>
              <w:pStyle w:val="Compact"/>
              <w:jc w:val="left"/>
            </w:pPr>
            <w:r>
              <w:t xml:space="preserve">Uploading telemetry or a file in chunks, then a summary</w:t>
            </w:r>
          </w:p>
        </w:tc>
      </w:tr>
      <w:tr>
        <w:tc>
          <w:tcPr/>
          <w:p>
            <w:pPr>
              <w:pStyle w:val="Compact"/>
              <w:jc w:val="left"/>
            </w:pPr>
            <w:r>
              <w:t xml:space="preserve">Bidirectional streaming</w:t>
            </w:r>
          </w:p>
        </w:tc>
        <w:tc>
          <w:tcPr/>
          <w:p>
            <w:pPr>
              <w:pStyle w:val="Compact"/>
              <w:jc w:val="left"/>
            </w:pPr>
            <w:r>
              <w:t xml:space="preserve">Two independent streams</w:t>
            </w:r>
          </w:p>
        </w:tc>
        <w:tc>
          <w:tcPr/>
          <w:p>
            <w:pPr>
              <w:pStyle w:val="Compact"/>
              <w:jc w:val="left"/>
            </w:pPr>
            <w:r>
              <w:t xml:space="preserve">Chat, collaborative editing, interactive speech recognition</w:t>
            </w:r>
          </w:p>
        </w:tc>
      </w:tr>
    </w:tbl>
    <w:p>
      <w:pPr>
        <w:pStyle w:val="BodyText"/>
      </w:pPr>
      <w:r>
        <w:t xml:space="preserve">Streams are flow-controlled by HTTP/2, so a slow receiver applies backpressure to a fast sender (§22.10) instead of buffering without bound.</w:t>
      </w:r>
    </w:p>
    <w:bookmarkEnd w:id="887"/>
    <w:bookmarkStart w:id="893" w:name="deadlines-and-their-propagation"/>
    <w:p>
      <w:pPr>
        <w:pStyle w:val="Heading3"/>
      </w:pPr>
      <w:r>
        <w:t xml:space="preserve">8.8.4 Deadlines and their propagation</w:t>
      </w:r>
    </w:p>
    <w:p>
      <w:pPr>
        <w:pStyle w:val="CalloutDefinition"/>
      </w:pPr>
      <w:r>
        <w:rPr>
          <w:bCs/>
          <w:b/>
        </w:rPr>
        <w:t xml:space="preserve">DEFINITION</w:t>
      </w:r>
    </w:p>
    <w:p>
      <w:pPr>
        <w:pStyle w:val="CalloutDefinition"/>
      </w:pPr>
      <w:r>
        <w:rPr>
          <w:bCs/>
          <w:b/>
        </w:rPr>
        <w:t xml:space="preserve">Definition — Deadline.</w:t>
      </w:r>
      <w:r>
        <w:t xml:space="preserve"> </w:t>
      </w:r>
      <w:r>
        <w:t xml:space="preserve">An absolute point in time by which a client needs an RPC to complete. gRPC transmits it as a remaining timeout; when it passes, the client stops waiting with</w:t>
      </w:r>
      <w:r>
        <w:t xml:space="preserve"> </w:t>
      </w:r>
      <w:r>
        <w:rPr>
          <w:rStyle w:val="VerbatimChar"/>
        </w:rPr>
        <w:t xml:space="preserve">DEADLINE_EXCEEDED</w:t>
      </w:r>
      <w:r>
        <w:t xml:space="preserve"> </w:t>
      </w:r>
      <w:r>
        <w:t xml:space="preserve">and the server can see that the call was canceled [gRPC Docs: Deadlines].</w:t>
      </w:r>
    </w:p>
    <w:p>
      <w:pPr>
        <w:pStyle w:val="BodyText"/>
      </w:pPr>
      <w:r>
        <w:t xml:space="preserve">Without deadlines, a slow dependency makes callers wait indefinitely, holding threads, memory and connections until the whole call graph is exhausted (Chapter 22). gRPC’s default is</w:t>
      </w:r>
      <w:r>
        <w:t xml:space="preserve"> </w:t>
      </w:r>
      <w:r>
        <w:rPr>
          <w:bCs/>
          <w:b/>
        </w:rPr>
        <w:t xml:space="preserve">no deadline</w:t>
      </w:r>
      <w:r>
        <w:t xml:space="preserve">, so you must set one on every call. A deadline, unlike a per-hop timeout, should be</w:t>
      </w:r>
      <w:r>
        <w:t xml:space="preserve"> </w:t>
      </w:r>
      <w:r>
        <w:rPr>
          <w:bCs/>
          <w:b/>
        </w:rPr>
        <w:t xml:space="preserve">propagated</w:t>
      </w:r>
      <w:r>
        <w:t xml:space="preserve">: if the front end has 300 ms left and has already spent 40 ms, it passes the remaining ~260 ms downstream, minus a margin for its own post-processing, so no service keeps working on an answer nobody is waiting for.</w:t>
      </w:r>
    </w:p>
    <w:p>
      <w:pPr>
        <w:pStyle w:val="BodyText"/>
      </w:pPr>
      <w:r>
        <w:rPr>
          <w:bCs/>
          <w:b/>
        </w:rPr>
        <w:t xml:space="preserve">Figure 8.6 — Deadline propagation through a call chain.</w:t>
      </w:r>
    </w:p>
    <w:p>
      <w:pPr>
        <w:pStyle w:val="BodyText"/>
      </w:pPr>
      <w:r>
        <w:drawing>
          <wp:inline>
            <wp:extent cx="5334000" cy="2220703"/>
            <wp:effectExtent b="0" l="0" r="0" t="0"/>
            <wp:docPr descr="" title="" id="889" name="Picture"/>
            <a:graphic>
              <a:graphicData uri="http://schemas.openxmlformats.org/drawingml/2006/picture">
                <pic:pic>
                  <pic:nvPicPr>
                    <pic:cNvPr descr="/home/user/System-Design/build/.cache/diagrams/ae962bf87c82.png" id="890" name="Picture"/>
                    <pic:cNvPicPr>
                      <a:picLocks noChangeArrowheads="1" noChangeAspect="1"/>
                    </pic:cNvPicPr>
                  </pic:nvPicPr>
                  <pic:blipFill>
                    <a:blip r:embed="rId888"/>
                    <a:stretch>
                      <a:fillRect/>
                    </a:stretch>
                  </pic:blipFill>
                  <pic:spPr bwMode="auto">
                    <a:xfrm>
                      <a:off x="0" y="0"/>
                      <a:ext cx="5334000" cy="2220703"/>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client sets an absolute deadline of 300 ms. The API service spends 40 ms, then calls the pricing service with the</w:t>
      </w:r>
      <w:r>
        <w:t xml:space="preserve"> </w:t>
      </w:r>
      <w:r>
        <w:rPr>
          <w:iCs/>
          <w:i/>
        </w:rPr>
        <w:t xml:space="preserve">remaining</w:t>
      </w:r>
      <w:r>
        <w:t xml:space="preserve"> </w:t>
      </w:r>
      <w:r>
        <w:t xml:space="preserve">budget minus a 10 ms reserve for building its own response. The pricing service in turn bounds its database query below its own remaining time. All calls are synchronous. Failure point: if any hop sets a longer timeout than its caller’s remaining budget, that hop does work whose result will be discarded. Scaling: deadlines plus cancellation free resources quickly under overload, which keeps a slow dependency from cascading.</w:t>
      </w:r>
    </w:p>
    <w:bookmarkStart w:id="891" w:name="code-example-6"/>
    <w:p>
      <w:pPr>
        <w:pStyle w:val="Heading4"/>
      </w:pPr>
      <w:r>
        <w:t xml:space="preserve">Code example</w:t>
      </w:r>
    </w:p>
    <w:p>
      <w:pPr>
        <w:pStyle w:val="SourceCode"/>
      </w:pPr>
      <w:r>
        <w:rPr>
          <w:rStyle w:val="CommentTok"/>
        </w:rPr>
        <w:t xml:space="preserve"># pip install grpcio grpcio-tools</w:t>
      </w:r>
      <w:r>
        <w:br/>
      </w:r>
      <w:r>
        <w:rPr>
          <w:rStyle w:val="CommentTok"/>
        </w:rPr>
        <w:t xml:space="preserve"># python -m grpc_tools.protoc -I. --python_out=. --grpc_python_out=. orders.proto</w:t>
      </w:r>
      <w:r>
        <w:br/>
      </w:r>
      <w:r>
        <w:rPr>
          <w:rStyle w:val="ImportTok"/>
        </w:rPr>
        <w:t xml:space="preserve">import</w:t>
      </w:r>
      <w:r>
        <w:rPr>
          <w:rStyle w:val="NormalTok"/>
        </w:rPr>
        <w:t xml:space="preserve"> grpc</w:t>
      </w:r>
      <w:r>
        <w:br/>
      </w:r>
      <w:r>
        <w:rPr>
          <w:rStyle w:val="ImportTok"/>
        </w:rPr>
        <w:t xml:space="preserve">import</w:t>
      </w:r>
      <w:r>
        <w:rPr>
          <w:rStyle w:val="NormalTok"/>
        </w:rPr>
        <w:t xml:space="preserve"> orders_pb2</w:t>
      </w:r>
      <w:r>
        <w:br/>
      </w:r>
      <w:r>
        <w:rPr>
          <w:rStyle w:val="ImportTok"/>
        </w:rPr>
        <w:t xml:space="preserve">import</w:t>
      </w:r>
      <w:r>
        <w:rPr>
          <w:rStyle w:val="NormalTok"/>
        </w:rPr>
        <w:t xml:space="preserve"> orders_pb2_grpc</w:t>
      </w:r>
      <w:r>
        <w:br/>
      </w:r>
      <w:r>
        <w:br/>
      </w:r>
      <w:r>
        <w:rPr>
          <w:rStyle w:val="ControlFlowTok"/>
        </w:rPr>
        <w:t xml:space="preserve">with</w:t>
      </w:r>
      <w:r>
        <w:rPr>
          <w:rStyle w:val="NormalTok"/>
        </w:rPr>
        <w:t xml:space="preserve"> grpc.insecure_channel(</w:t>
      </w:r>
      <w:r>
        <w:rPr>
          <w:rStyle w:val="StringTok"/>
        </w:rPr>
        <w:t xml:space="preserve">"localhost:50051"</w:t>
      </w:r>
      <w:r>
        <w:rPr>
          <w:rStyle w:val="NormalTok"/>
        </w:rPr>
        <w:t xml:space="preserve">) </w:t>
      </w:r>
      <w:r>
        <w:rPr>
          <w:rStyle w:val="ImportTok"/>
        </w:rPr>
        <w:t xml:space="preserve">as</w:t>
      </w:r>
      <w:r>
        <w:rPr>
          <w:rStyle w:val="NormalTok"/>
        </w:rPr>
        <w:t xml:space="preserve"> channel:   </w:t>
      </w:r>
      <w:r>
        <w:rPr>
          <w:rStyle w:val="CommentTok"/>
        </w:rPr>
        <w:t xml:space="preserve"># use TLS credentials in production</w:t>
      </w:r>
      <w:r>
        <w:br/>
      </w:r>
      <w:r>
        <w:rPr>
          <w:rStyle w:val="NormalTok"/>
        </w:rPr>
        <w:t xml:space="preserve">    stub </w:t>
      </w:r>
      <w:r>
        <w:rPr>
          <w:rStyle w:val="OperatorTok"/>
        </w:rPr>
        <w:t xml:space="preserve">=</w:t>
      </w:r>
      <w:r>
        <w:rPr>
          <w:rStyle w:val="NormalTok"/>
        </w:rPr>
        <w:t xml:space="preserve"> orders_pb2_grpc.OrderServiceStub(channel)</w:t>
      </w:r>
      <w:r>
        <w:br/>
      </w:r>
      <w:r>
        <w:br/>
      </w:r>
      <w:r>
        <w:rPr>
          <w:rStyle w:val="NormalTok"/>
        </w:rPr>
        <w:t xml:space="preserve">    </w:t>
      </w:r>
      <w:r>
        <w:rPr>
          <w:rStyle w:val="CommentTok"/>
        </w:rPr>
        <w:t xml:space="preserve"># Unary call with a 200 ms deadline.</w:t>
      </w:r>
      <w:r>
        <w:br/>
      </w:r>
      <w:r>
        <w:rPr>
          <w:rStyle w:val="NormalTok"/>
        </w:rPr>
        <w:t xml:space="preserve">    </w:t>
      </w:r>
      <w:r>
        <w:rPr>
          <w:rStyle w:val="ControlFlowTok"/>
        </w:rPr>
        <w:t xml:space="preserve">try</w:t>
      </w:r>
      <w:r>
        <w:rPr>
          <w:rStyle w:val="NormalTok"/>
        </w:rPr>
        <w:t xml:space="preserve">:</w:t>
      </w:r>
      <w:r>
        <w:br/>
      </w:r>
      <w:r>
        <w:rPr>
          <w:rStyle w:val="NormalTok"/>
        </w:rPr>
        <w:t xml:space="preserve">        order </w:t>
      </w:r>
      <w:r>
        <w:rPr>
          <w:rStyle w:val="OperatorTok"/>
        </w:rPr>
        <w:t xml:space="preserve">=</w:t>
      </w:r>
      <w:r>
        <w:rPr>
          <w:rStyle w:val="NormalTok"/>
        </w:rPr>
        <w:t xml:space="preserve"> stub.GetOrder(orders_pb2.GetOrderRequest(order_id</w:t>
      </w:r>
      <w:r>
        <w:rPr>
          <w:rStyle w:val="OperatorTok"/>
        </w:rPr>
        <w:t xml:space="preserve">=</w:t>
      </w:r>
      <w:r>
        <w:rPr>
          <w:rStyle w:val="StringTok"/>
        </w:rPr>
        <w:t xml:space="preserve">"o-42"</w:t>
      </w:r>
      <w:r>
        <w:rPr>
          <w:rStyle w:val="NormalTok"/>
        </w:rPr>
        <w:t xml:space="preserve">), timeout</w:t>
      </w:r>
      <w:r>
        <w:rPr>
          <w:rStyle w:val="OperatorTok"/>
        </w:rPr>
        <w:t xml:space="preserve">=</w:t>
      </w:r>
      <w:r>
        <w:rPr>
          <w:rStyle w:val="FloatTok"/>
        </w:rPr>
        <w:t xml:space="preserve">0.2</w:t>
      </w:r>
      <w:r>
        <w:rPr>
          <w:rStyle w:val="NormalTok"/>
        </w:rPr>
        <w:t xml:space="preserve">)</w:t>
      </w:r>
      <w:r>
        <w:br/>
      </w:r>
      <w:r>
        <w:rPr>
          <w:rStyle w:val="NormalTok"/>
        </w:rPr>
        <w:t xml:space="preserve">        </w:t>
      </w:r>
      <w:r>
        <w:rPr>
          <w:rStyle w:val="BuiltInTok"/>
        </w:rPr>
        <w:t xml:space="preserve">print</w:t>
      </w:r>
      <w:r>
        <w:rPr>
          <w:rStyle w:val="NormalTok"/>
        </w:rPr>
        <w:t xml:space="preserve">(order.order_id, orders_pb2.OrderStatus.Name(order.status))</w:t>
      </w:r>
      <w:r>
        <w:br/>
      </w:r>
      <w:r>
        <w:rPr>
          <w:rStyle w:val="NormalTok"/>
        </w:rPr>
        <w:t xml:space="preserve">    </w:t>
      </w:r>
      <w:r>
        <w:rPr>
          <w:rStyle w:val="ControlFlowTok"/>
        </w:rPr>
        <w:t xml:space="preserve">except</w:t>
      </w:r>
      <w:r>
        <w:rPr>
          <w:rStyle w:val="NormalTok"/>
        </w:rPr>
        <w:t xml:space="preserve"> grpc.RpcError </w:t>
      </w:r>
      <w:r>
        <w:rPr>
          <w:rStyle w:val="ImportTok"/>
        </w:rPr>
        <w:t xml:space="preserve">as</w:t>
      </w:r>
      <w:r>
        <w:rPr>
          <w:rStyle w:val="NormalTok"/>
        </w:rPr>
        <w:t xml:space="preserve"> err:</w:t>
      </w:r>
      <w:r>
        <w:br/>
      </w:r>
      <w:r>
        <w:rPr>
          <w:rStyle w:val="NormalTok"/>
        </w:rPr>
        <w:t xml:space="preserve">        </w:t>
      </w:r>
      <w:r>
        <w:rPr>
          <w:rStyle w:val="ControlFlowTok"/>
        </w:rPr>
        <w:t xml:space="preserve">if</w:t>
      </w:r>
      <w:r>
        <w:rPr>
          <w:rStyle w:val="NormalTok"/>
        </w:rPr>
        <w:t xml:space="preserve"> err.code() </w:t>
      </w:r>
      <w:r>
        <w:rPr>
          <w:rStyle w:val="OperatorTok"/>
        </w:rPr>
        <w:t xml:space="preserve">==</w:t>
      </w:r>
      <w:r>
        <w:rPr>
          <w:rStyle w:val="NormalTok"/>
        </w:rPr>
        <w:t xml:space="preserve"> grpc.StatusCode.DEADLINE_EXCEEDED:</w:t>
      </w:r>
      <w:r>
        <w:br/>
      </w:r>
      <w:r>
        <w:rPr>
          <w:rStyle w:val="NormalTok"/>
        </w:rPr>
        <w:t xml:space="preserve">            </w:t>
      </w:r>
      <w:r>
        <w:rPr>
          <w:rStyle w:val="BuiltInTok"/>
        </w:rPr>
        <w:t xml:space="preserve">print</w:t>
      </w:r>
      <w:r>
        <w:rPr>
          <w:rStyle w:val="NormalTok"/>
        </w:rPr>
        <w:t xml:space="preserve">(</w:t>
      </w:r>
      <w:r>
        <w:rPr>
          <w:rStyle w:val="StringTok"/>
        </w:rPr>
        <w:t xml:space="preserve">"gave up after 200 ms; serve a fallback"</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raise</w:t>
      </w:r>
      <w:r>
        <w:br/>
      </w:r>
      <w:r>
        <w:br/>
      </w:r>
      <w:r>
        <w:rPr>
          <w:rStyle w:val="NormalTok"/>
        </w:rPr>
        <w:t xml:space="preserve">    </w:t>
      </w:r>
      <w:r>
        <w:rPr>
          <w:rStyle w:val="CommentTok"/>
        </w:rPr>
        <w:t xml:space="preserve"># Server streaming: iterate over responses as they arrive.</w:t>
      </w:r>
      <w:r>
        <w:br/>
      </w:r>
      <w:r>
        <w:rPr>
          <w:rStyle w:val="NormalTok"/>
        </w:rPr>
        <w:t xml:space="preserve">    </w:t>
      </w:r>
      <w:r>
        <w:rPr>
          <w:rStyle w:val="ControlFlowTok"/>
        </w:rPr>
        <w:t xml:space="preserve">for</w:t>
      </w:r>
      <w:r>
        <w:rPr>
          <w:rStyle w:val="NormalTok"/>
        </w:rPr>
        <w:t xml:space="preserve"> event </w:t>
      </w:r>
      <w:r>
        <w:rPr>
          <w:rStyle w:val="KeywordTok"/>
        </w:rPr>
        <w:t xml:space="preserve">in</w:t>
      </w:r>
      <w:r>
        <w:rPr>
          <w:rStyle w:val="NormalTok"/>
        </w:rPr>
        <w:t xml:space="preserve"> stub.WatchOrderStatus(orders_pb2.GetOrderRequest(order_id</w:t>
      </w:r>
      <w:r>
        <w:rPr>
          <w:rStyle w:val="OperatorTok"/>
        </w:rPr>
        <w:t xml:space="preserve">=</w:t>
      </w:r>
      <w:r>
        <w:rPr>
          <w:rStyle w:val="StringTok"/>
        </w:rPr>
        <w:t xml:space="preserve">"o-42"</w:t>
      </w:r>
      <w:r>
        <w:rPr>
          <w:rStyle w:val="NormalTok"/>
        </w:rPr>
        <w:t xml:space="preserve">),</w:t>
      </w:r>
      <w:r>
        <w:br/>
      </w:r>
      <w:r>
        <w:rPr>
          <w:rStyle w:val="NormalTok"/>
        </w:rPr>
        <w:t xml:space="preserve">                                       timeout</w:t>
      </w:r>
      <w:r>
        <w:rPr>
          <w:rStyle w:val="OperatorTok"/>
        </w:rPr>
        <w:t xml:space="preserve">=</w:t>
      </w:r>
      <w:r>
        <w:rPr>
          <w:rStyle w:val="DecValTok"/>
        </w:rPr>
        <w:t xml:space="preserve">30</w:t>
      </w:r>
      <w:r>
        <w:rPr>
          <w:rStyle w:val="NormalTok"/>
        </w:rPr>
        <w:t xml:space="preserve">):</w:t>
      </w:r>
      <w:r>
        <w:br/>
      </w:r>
      <w:r>
        <w:rPr>
          <w:rStyle w:val="NormalTok"/>
        </w:rPr>
        <w:t xml:space="preserve">        </w:t>
      </w:r>
      <w:r>
        <w:rPr>
          <w:rStyle w:val="BuiltInTok"/>
        </w:rPr>
        <w:t xml:space="preserve">print</w:t>
      </w:r>
      <w:r>
        <w:rPr>
          <w:rStyle w:val="NormalTok"/>
        </w:rPr>
        <w:t xml:space="preserve">(orders_pb2.OrderStatus.Name(event.status))</w:t>
      </w:r>
    </w:p>
    <w:p>
      <w:pPr>
        <w:pStyle w:val="FirstParagraph"/>
      </w:pPr>
      <w:r>
        <w:t xml:space="preserve">What to notice:</w:t>
      </w:r>
    </w:p>
    <w:p>
      <w:pPr>
        <w:numPr>
          <w:ilvl w:val="0"/>
          <w:numId w:val="1276"/>
        </w:numPr>
        <w:pStyle w:val="Compact"/>
      </w:pPr>
      <w:r>
        <w:rPr>
          <w:rStyle w:val="VerbatimChar"/>
        </w:rPr>
        <w:t xml:space="preserve">timeout=0.2</w:t>
      </w:r>
      <w:r>
        <w:t xml:space="preserve"> </w:t>
      </w:r>
      <w:r>
        <w:t xml:space="preserve">is converted by the library into the</w:t>
      </w:r>
      <w:r>
        <w:t xml:space="preserve"> </w:t>
      </w:r>
      <w:r>
        <w:rPr>
          <w:rStyle w:val="VerbatimChar"/>
        </w:rPr>
        <w:t xml:space="preserve">grpc-timeout</w:t>
      </w:r>
      <w:r>
        <w:t xml:space="preserve"> </w:t>
      </w:r>
      <w:r>
        <w:t xml:space="preserve">header; the server can read the remaining time with</w:t>
      </w:r>
      <w:r>
        <w:t xml:space="preserve"> </w:t>
      </w:r>
      <w:r>
        <w:rPr>
          <w:rStyle w:val="VerbatimChar"/>
        </w:rPr>
        <w:t xml:space="preserve">context.time_remaining()</w:t>
      </w:r>
      <w:r>
        <w:t xml:space="preserve"> </w:t>
      </w:r>
      <w:r>
        <w:t xml:space="preserve">and pass it on.</w:t>
      </w:r>
    </w:p>
    <w:p>
      <w:pPr>
        <w:numPr>
          <w:ilvl w:val="0"/>
          <w:numId w:val="1276"/>
        </w:numPr>
        <w:pStyle w:val="Compact"/>
      </w:pPr>
      <w:r>
        <w:t xml:space="preserve">Errors are typed status codes, not free-text. Retry</w:t>
      </w:r>
      <w:r>
        <w:t xml:space="preserve"> </w:t>
      </w:r>
      <w:r>
        <w:rPr>
          <w:rStyle w:val="VerbatimChar"/>
        </w:rPr>
        <w:t xml:space="preserve">UNAVAILABLE</w:t>
      </w:r>
      <w:r>
        <w:t xml:space="preserve"> </w:t>
      </w:r>
      <w:r>
        <w:t xml:space="preserve">with backoff; do not retry</w:t>
      </w:r>
      <w:r>
        <w:t xml:space="preserve"> </w:t>
      </w:r>
      <w:r>
        <w:rPr>
          <w:rStyle w:val="VerbatimChar"/>
        </w:rPr>
        <w:t xml:space="preserve">INVALID_ARGUMENT</w:t>
      </w:r>
      <w:r>
        <w:t xml:space="preserve">; retry</w:t>
      </w:r>
      <w:r>
        <w:t xml:space="preserve"> </w:t>
      </w:r>
      <w:r>
        <w:rPr>
          <w:rStyle w:val="VerbatimChar"/>
        </w:rPr>
        <w:t xml:space="preserve">DEADLINE_EXCEEDED</w:t>
      </w:r>
      <w:r>
        <w:t xml:space="preserve"> </w:t>
      </w:r>
      <w:r>
        <w:t xml:space="preserve">only if the operation is idempotent and budget remains.</w:t>
      </w:r>
    </w:p>
    <w:p>
      <w:pPr>
        <w:numPr>
          <w:ilvl w:val="0"/>
          <w:numId w:val="1276"/>
        </w:numPr>
        <w:pStyle w:val="Compact"/>
      </w:pPr>
      <w:r>
        <w:t xml:space="preserve">Browsers cannot speak raw gRPC because they do not expose HTTP/2 trailers and framing to JavaScript;</w:t>
      </w:r>
      <w:r>
        <w:t xml:space="preserve"> </w:t>
      </w:r>
      <w:r>
        <w:rPr>
          <w:bCs/>
          <w:b/>
        </w:rPr>
        <w:t xml:space="preserve">gRPC-Web</w:t>
      </w:r>
      <w:r>
        <w:t xml:space="preserve"> </w:t>
      </w:r>
      <w:r>
        <w:t xml:space="preserve">with a translating proxy, or a REST/JSON gateway, is used for browser clients.</w:t>
      </w:r>
    </w:p>
    <w:bookmarkEnd w:id="891"/>
    <w:bookmarkStart w:id="892" w:name="industry-application"/>
    <w:p>
      <w:pPr>
        <w:pStyle w:val="Heading4"/>
      </w:pPr>
      <w:r>
        <w:t xml:space="preserve">Industry application</w:t>
      </w:r>
    </w:p>
    <w:p>
      <w:pPr>
        <w:pStyle w:val="CalloutIndustry"/>
      </w:pPr>
      <w:r>
        <w:rPr>
          <w:bCs/>
          <w:b/>
        </w:rPr>
        <w:t xml:space="preserve">INDUSTRY EXAMPLE</w:t>
      </w:r>
    </w:p>
    <w:p>
      <w:pPr>
        <w:pStyle w:val="CalloutIndustry"/>
      </w:pPr>
      <w:r>
        <w:rPr>
          <w:bCs/>
          <w:b/>
        </w:rPr>
        <w:t xml:space="preserve">Google Stubby → gRPC.</w:t>
      </w:r>
      <w:r>
        <w:t xml:space="preserve"> </w:t>
      </w:r>
      <w:r>
        <w:t xml:space="preserve">gRPC’s documentation describes it as the open-source successor to Stubby, the general-purpose RPC infrastructure Google used internally to connect its services, and it is now a Cloud Native Computing Foundation project [gRPC Docs]. The design goals that carried over — a compact binary IDL-based format, generated stubs in many languages, deadlines and cancellation as first-class concepts — come from operating very large internal call graphs where a slow or hung call would otherwise cascade.</w:t>
      </w:r>
      <w:r>
        <w:t xml:space="preserve"> </w:t>
      </w:r>
      <w:r>
        <w:rPr>
          <w:iCs/>
          <w:i/>
        </w:rPr>
        <w:t xml:space="preserve">Evidence: Primary</w:t>
      </w:r>
      <w:r>
        <w:t xml:space="preserve"> </w:t>
      </w:r>
      <w:r>
        <w:t xml:space="preserve">— [gRPC Docs]</w:t>
      </w:r>
    </w:p>
    <w:bookmarkEnd w:id="892"/>
    <w:bookmarkEnd w:id="893"/>
    <w:bookmarkStart w:id="894" w:name="choosing-rest-graphql-or-grpc"/>
    <w:p>
      <w:pPr>
        <w:pStyle w:val="Heading3"/>
      </w:pPr>
      <w:r>
        <w:t xml:space="preserve">8.8.5 Choosing REST, GraphQL or gRPC</w:t>
      </w:r>
    </w:p>
    <w:p>
      <w:pPr>
        <w:pStyle w:val="FirstParagraph"/>
      </w:pPr>
      <w:r>
        <w:rPr>
          <w:bCs/>
          <w:b/>
        </w:rPr>
        <w:t xml:space="preserve">Table 8.11 — REST versus GraphQL versus gRPC.</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Row</w:t>
            </w:r>
          </w:p>
        </w:tc>
        <w:tc>
          <w:tcPr/>
          <w:p>
            <w:pPr>
              <w:pStyle w:val="Compact"/>
              <w:jc w:val="left"/>
            </w:pPr>
            <w:r>
              <w:t xml:space="preserve">REST</w:t>
            </w:r>
          </w:p>
        </w:tc>
        <w:tc>
          <w:tcPr/>
          <w:p>
            <w:pPr>
              <w:pStyle w:val="Compact"/>
              <w:jc w:val="left"/>
            </w:pPr>
            <w:r>
              <w:t xml:space="preserve">GraphQL</w:t>
            </w:r>
          </w:p>
        </w:tc>
        <w:tc>
          <w:tcPr/>
          <w:p>
            <w:pPr>
              <w:pStyle w:val="Compact"/>
              <w:jc w:val="left"/>
            </w:pPr>
            <w:r>
              <w:t xml:space="preserve">gRPC</w:t>
            </w:r>
          </w:p>
        </w:tc>
      </w:tr>
      <w:tr>
        <w:tc>
          <w:tcPr/>
          <w:p>
            <w:pPr>
              <w:pStyle w:val="Compact"/>
              <w:jc w:val="left"/>
            </w:pPr>
            <w:r>
              <w:t xml:space="preserve">What it is</w:t>
            </w:r>
          </w:p>
        </w:tc>
        <w:tc>
          <w:tcPr/>
          <w:p>
            <w:pPr>
              <w:pStyle w:val="Compact"/>
              <w:jc w:val="left"/>
            </w:pPr>
            <w:r>
              <w:t xml:space="preserve">Resource-oriented HTTP API style</w:t>
            </w:r>
          </w:p>
        </w:tc>
        <w:tc>
          <w:tcPr/>
          <w:p>
            <w:pPr>
              <w:pStyle w:val="Compact"/>
              <w:jc w:val="left"/>
            </w:pPr>
            <w:r>
              <w:t xml:space="preserve">Typed query language + runtime over one endpoint</w:t>
            </w:r>
          </w:p>
        </w:tc>
        <w:tc>
          <w:tcPr/>
          <w:p>
            <w:pPr>
              <w:pStyle w:val="Compact"/>
              <w:jc w:val="left"/>
            </w:pPr>
            <w:r>
              <w:t xml:space="preserve">RPC framework: Protobuf IDL over HTTP/2</w:t>
            </w:r>
          </w:p>
        </w:tc>
      </w:tr>
      <w:tr>
        <w:tc>
          <w:tcPr/>
          <w:p>
            <w:pPr>
              <w:pStyle w:val="Compact"/>
              <w:jc w:val="left"/>
            </w:pPr>
            <w:r>
              <w:t xml:space="preserve">How it works</w:t>
            </w:r>
          </w:p>
        </w:tc>
        <w:tc>
          <w:tcPr/>
          <w:p>
            <w:pPr>
              <w:pStyle w:val="Compact"/>
              <w:jc w:val="left"/>
            </w:pPr>
            <w:r>
              <w:t xml:space="preserve">URIs + standard methods + status codes; usually JSON</w:t>
            </w:r>
          </w:p>
        </w:tc>
        <w:tc>
          <w:tcPr/>
          <w:p>
            <w:pPr>
              <w:pStyle w:val="Compact"/>
              <w:jc w:val="left"/>
            </w:pPr>
            <w:r>
              <w:t xml:space="preserve">Client sends a query; resolvers assemble the response tree</w:t>
            </w:r>
          </w:p>
        </w:tc>
        <w:tc>
          <w:tcPr/>
          <w:p>
            <w:pPr>
              <w:pStyle w:val="Compact"/>
              <w:jc w:val="left"/>
            </w:pPr>
            <w:r>
              <w:t xml:space="preserve">Generated stubs; length-prefixed binary messages on HTTP/2 streams</w:t>
            </w:r>
          </w:p>
        </w:tc>
      </w:tr>
      <w:tr>
        <w:tc>
          <w:tcPr/>
          <w:p>
            <w:pPr>
              <w:pStyle w:val="Compact"/>
              <w:jc w:val="left"/>
            </w:pPr>
            <w:r>
              <w:t xml:space="preserve">Advantages</w:t>
            </w:r>
          </w:p>
        </w:tc>
        <w:tc>
          <w:tcPr/>
          <w:p>
            <w:pPr>
              <w:pStyle w:val="Compact"/>
              <w:jc w:val="left"/>
            </w:pPr>
            <w:r>
              <w:t xml:space="preserve">Universal tooling; HTTP caching and CDNs; easy to debug with curl</w:t>
            </w:r>
          </w:p>
        </w:tc>
        <w:tc>
          <w:tcPr/>
          <w:p>
            <w:pPr>
              <w:pStyle w:val="Compact"/>
              <w:jc w:val="left"/>
            </w:pPr>
            <w:r>
              <w:t xml:space="preserve">Exactly the data a screen needs in one round trip; strong typing; introspection</w:t>
            </w:r>
          </w:p>
        </w:tc>
        <w:tc>
          <w:tcPr/>
          <w:p>
            <w:pPr>
              <w:pStyle w:val="Compact"/>
              <w:jc w:val="left"/>
            </w:pPr>
            <w:r>
              <w:t xml:space="preserve">Compact and fast; streaming; deadlines; strict contracts and codegen</w:t>
            </w:r>
          </w:p>
        </w:tc>
      </w:tr>
      <w:tr>
        <w:tc>
          <w:tcPr/>
          <w:p>
            <w:pPr>
              <w:pStyle w:val="Compact"/>
              <w:jc w:val="left"/>
            </w:pPr>
            <w:r>
              <w:t xml:space="preserve">Disadvantages</w:t>
            </w:r>
          </w:p>
        </w:tc>
        <w:tc>
          <w:tcPr/>
          <w:p>
            <w:pPr>
              <w:pStyle w:val="Compact"/>
              <w:jc w:val="left"/>
            </w:pPr>
            <w:r>
              <w:t xml:space="preserve">Over/under-fetching; many round trips for complex screens; loose contracts unless documented</w:t>
            </w:r>
          </w:p>
        </w:tc>
        <w:tc>
          <w:tcPr/>
          <w:p>
            <w:pPr>
              <w:pStyle w:val="Compact"/>
              <w:jc w:val="left"/>
            </w:pPr>
            <w:r>
              <w:t xml:space="preserve">Hard to cache; N+1 risk; query-cost security; errors hidden in 200s</w:t>
            </w:r>
          </w:p>
        </w:tc>
        <w:tc>
          <w:tcPr/>
          <w:p>
            <w:pPr>
              <w:pStyle w:val="Compact"/>
              <w:jc w:val="left"/>
            </w:pPr>
            <w:r>
              <w:t xml:space="preserve">Not native in browsers; binary is harder to inspect; needs L7-aware load balancing</w:t>
            </w:r>
          </w:p>
        </w:tc>
      </w:tr>
      <w:tr>
        <w:tc>
          <w:tcPr/>
          <w:p>
            <w:pPr>
              <w:pStyle w:val="Compact"/>
              <w:jc w:val="left"/>
            </w:pPr>
            <w:r>
              <w:t xml:space="preserve">Performance</w:t>
            </w:r>
          </w:p>
        </w:tc>
        <w:tc>
          <w:tcPr/>
          <w:p>
            <w:pPr>
              <w:pStyle w:val="Compact"/>
              <w:jc w:val="left"/>
            </w:pPr>
            <w:r>
              <w:t xml:space="preserve">Good; JSON parsing cost; benefits from HTTP caching</w:t>
            </w:r>
          </w:p>
        </w:tc>
        <w:tc>
          <w:tcPr/>
          <w:p>
            <w:pPr>
              <w:pStyle w:val="Compact"/>
              <w:jc w:val="left"/>
            </w:pPr>
            <w:r>
              <w:t xml:space="preserve">Fewer client round trips; server work per request is higher and variable</w:t>
            </w:r>
          </w:p>
        </w:tc>
        <w:tc>
          <w:tcPr/>
          <w:p>
            <w:pPr>
              <w:pStyle w:val="Compact"/>
              <w:jc w:val="left"/>
            </w:pPr>
            <w:r>
              <w:t xml:space="preserve">Smallest payloads and lowest serialization cost of the three</w:t>
            </w:r>
          </w:p>
        </w:tc>
      </w:tr>
      <w:tr>
        <w:tc>
          <w:tcPr/>
          <w:p>
            <w:pPr>
              <w:pStyle w:val="Compact"/>
              <w:jc w:val="left"/>
            </w:pPr>
            <w:r>
              <w:t xml:space="preserve">Operational complexity</w:t>
            </w:r>
          </w:p>
        </w:tc>
        <w:tc>
          <w:tcPr/>
          <w:p>
            <w:pPr>
              <w:pStyle w:val="Compact"/>
              <w:jc w:val="left"/>
            </w:pPr>
            <w:r>
              <w:t xml:space="preserve">Low</w:t>
            </w:r>
          </w:p>
        </w:tc>
        <w:tc>
          <w:tcPr/>
          <w:p>
            <w:pPr>
              <w:pStyle w:val="Compact"/>
              <w:jc w:val="left"/>
            </w:pPr>
            <w:r>
              <w:t xml:space="preserve">Medium–high (cost limits, batching, schema governance)</w:t>
            </w:r>
          </w:p>
        </w:tc>
        <w:tc>
          <w:tcPr/>
          <w:p>
            <w:pPr>
              <w:pStyle w:val="Compact"/>
              <w:jc w:val="left"/>
            </w:pPr>
            <w:r>
              <w:t xml:space="preserve">Medium (proto management, L7 proxies, gRPC-Web for browsers)</w:t>
            </w:r>
          </w:p>
        </w:tc>
      </w:tr>
      <w:tr>
        <w:tc>
          <w:tcPr/>
          <w:p>
            <w:pPr>
              <w:pStyle w:val="Compact"/>
              <w:jc w:val="left"/>
            </w:pPr>
            <w:r>
              <w:t xml:space="preserve">Cost</w:t>
            </w:r>
          </w:p>
        </w:tc>
        <w:tc>
          <w:tcPr/>
          <w:p>
            <w:pPr>
              <w:pStyle w:val="Compact"/>
              <w:jc w:val="left"/>
            </w:pPr>
            <w:r>
              <w:t xml:space="preserve">Low; bandwidth higher than binary</w:t>
            </w:r>
          </w:p>
        </w:tc>
        <w:tc>
          <w:tcPr/>
          <w:p>
            <w:pPr>
              <w:pStyle w:val="Compact"/>
              <w:jc w:val="left"/>
            </w:pPr>
            <w:r>
              <w:t xml:space="preserve">Server CPU for resolution; engineering time</w:t>
            </w:r>
          </w:p>
        </w:tc>
        <w:tc>
          <w:tcPr/>
          <w:p>
            <w:pPr>
              <w:pStyle w:val="Compact"/>
              <w:jc w:val="left"/>
            </w:pPr>
            <w:r>
              <w:t xml:space="preserve">Low bandwidth and CPU; tooling investment</w:t>
            </w:r>
          </w:p>
        </w:tc>
      </w:tr>
      <w:tr>
        <w:tc>
          <w:tcPr/>
          <w:p>
            <w:pPr>
              <w:pStyle w:val="Compact"/>
              <w:jc w:val="left"/>
            </w:pPr>
            <w:r>
              <w:t xml:space="preserve">Use cases</w:t>
            </w:r>
          </w:p>
        </w:tc>
        <w:tc>
          <w:tcPr/>
          <w:p>
            <w:pPr>
              <w:pStyle w:val="Compact"/>
              <w:jc w:val="left"/>
            </w:pPr>
            <w:r>
              <w:t xml:space="preserve">Public APIs, CRUD services, webhooks, cacheable content</w:t>
            </w:r>
          </w:p>
        </w:tc>
        <w:tc>
          <w:tcPr/>
          <w:p>
            <w:pPr>
              <w:pStyle w:val="Compact"/>
              <w:jc w:val="left"/>
            </w:pPr>
            <w:r>
              <w:t xml:space="preserve">Product frontends aggregating many entities; mobile apps with diverse screens</w:t>
            </w:r>
          </w:p>
        </w:tc>
        <w:tc>
          <w:tcPr/>
          <w:p>
            <w:pPr>
              <w:pStyle w:val="Compact"/>
              <w:jc w:val="left"/>
            </w:pPr>
            <w:r>
              <w:t xml:space="preserve">Internal service-to-service calls; low-latency or streaming backends; polyglot microservices</w:t>
            </w:r>
          </w:p>
        </w:tc>
      </w:tr>
      <w:tr>
        <w:tc>
          <w:tcPr/>
          <w:p>
            <w:pPr>
              <w:pStyle w:val="Compact"/>
              <w:jc w:val="left"/>
            </w:pPr>
            <w:r>
              <w:t xml:space="preserve">Choose when</w:t>
            </w:r>
          </w:p>
        </w:tc>
        <w:tc>
          <w:tcPr/>
          <w:p>
            <w:pPr>
              <w:pStyle w:val="Compact"/>
              <w:jc w:val="left"/>
            </w:pPr>
            <w:r>
              <w:t xml:space="preserve">Third parties consume your API or responses are cacheable</w:t>
            </w:r>
          </w:p>
        </w:tc>
        <w:tc>
          <w:tcPr/>
          <w:p>
            <w:pPr>
              <w:pStyle w:val="Compact"/>
              <w:jc w:val="left"/>
            </w:pPr>
            <w:r>
              <w:t xml:space="preserve">Many client types need different shapes of a rich graph of data</w:t>
            </w:r>
          </w:p>
        </w:tc>
        <w:tc>
          <w:tcPr/>
          <w:p>
            <w:pPr>
              <w:pStyle w:val="Compact"/>
              <w:jc w:val="left"/>
            </w:pPr>
            <w:r>
              <w:t xml:space="preserve">You control both ends and need efficiency, streaming or strict typing</w:t>
            </w:r>
          </w:p>
        </w:tc>
      </w:tr>
    </w:tbl>
    <w:p>
      <w:pPr>
        <w:pStyle w:val="BodyText"/>
      </w:pPr>
      <w:r>
        <w:t xml:space="preserve">A common production pattern uses all three: gRPC between internal services, GraphQL or a BFF for first-party frontends, and REST for public and partner APIs.</w:t>
      </w:r>
    </w:p>
    <w:bookmarkEnd w:id="894"/>
    <w:bookmarkEnd w:id="895"/>
    <w:bookmarkStart w:id="902" w:name="Xca21792d725547b2adcf37b9276f29b1c4a8f8a"/>
    <w:p>
      <w:pPr>
        <w:pStyle w:val="Heading2"/>
      </w:pPr>
      <w:r>
        <w:t xml:space="preserve">8.9 Serialization: JSON, Protocol Buffers, Avro and Thrift</w:t>
      </w:r>
    </w:p>
    <w:bookmarkStart w:id="896" w:name="why-encoding-matters"/>
    <w:p>
      <w:pPr>
        <w:pStyle w:val="Heading3"/>
      </w:pPr>
      <w:r>
        <w:t xml:space="preserve">8.9.1 Why encoding matters</w:t>
      </w:r>
    </w:p>
    <w:p>
      <w:pPr>
        <w:pStyle w:val="CalloutDefinition"/>
      </w:pPr>
      <w:r>
        <w:rPr>
          <w:bCs/>
          <w:b/>
        </w:rPr>
        <w:t xml:space="preserve">DEFINITION</w:t>
      </w:r>
    </w:p>
    <w:p>
      <w:pPr>
        <w:pStyle w:val="CalloutDefinition"/>
      </w:pPr>
      <w:r>
        <w:rPr>
          <w:bCs/>
          <w:b/>
        </w:rPr>
        <w:t xml:space="preserve">Definition — Serialization (encoding).</w:t>
      </w:r>
      <w:r>
        <w:t xml:space="preserve"> </w:t>
      </w:r>
      <w:r>
        <w:t xml:space="preserve">Translating an in-memory data structure into a sequence of bytes for storage or transmission;</w:t>
      </w:r>
      <w:r>
        <w:t xml:space="preserve"> </w:t>
      </w:r>
      <w:r>
        <w:rPr>
          <w:bCs/>
          <w:b/>
        </w:rPr>
        <w:t xml:space="preserve">deserialization (decoding)</w:t>
      </w:r>
      <w:r>
        <w:t xml:space="preserve"> </w:t>
      </w:r>
      <w:r>
        <w:t xml:space="preserve">is the reverse [Kleppmann 2017, ch. 4].</w:t>
      </w:r>
    </w:p>
    <w:p>
      <w:pPr>
        <w:pStyle w:val="BodyText"/>
      </w:pPr>
      <w:r>
        <w:t xml:space="preserve">Objects in memory are full of pointers that mean nothing to another process. To send an order across the network you must flatten it into bytes that the receiver, possibly written in another language and deployed at a different time, can rebuild. Three questions decide the format:</w:t>
      </w:r>
      <w:r>
        <w:t xml:space="preserve"> </w:t>
      </w:r>
      <w:r>
        <w:rPr>
          <w:bCs/>
          <w:b/>
        </w:rPr>
        <w:t xml:space="preserve">How big and how fast?</w:t>
      </w:r>
      <w:r>
        <w:t xml:space="preserve"> </w:t>
      </w:r>
      <w:r>
        <w:t xml:space="preserve">(bandwidth and CPU at millions of messages per second),</w:t>
      </w:r>
      <w:r>
        <w:t xml:space="preserve"> </w:t>
      </w:r>
      <w:r>
        <w:rPr>
          <w:bCs/>
          <w:b/>
        </w:rPr>
        <w:t xml:space="preserve">Is it self-describing or schema-driven?</w:t>
      </w:r>
      <w:r>
        <w:t xml:space="preserve">, and</w:t>
      </w:r>
      <w:r>
        <w:t xml:space="preserve"> </w:t>
      </w:r>
      <w:r>
        <w:rPr>
          <w:bCs/>
          <w:b/>
        </w:rPr>
        <w:t xml:space="preserve">How does it survive change?</w:t>
      </w:r>
      <w:r>
        <w:t xml:space="preserve"> </w:t>
      </w:r>
      <w:r>
        <w:t xml:space="preserve">— the last is the most important in practice, because in any system with rolling deployments, old and new code run side by side and read each other’s data.</w:t>
      </w:r>
    </w:p>
    <w:bookmarkEnd w:id="896"/>
    <w:bookmarkStart w:id="897" w:name="the-formats"/>
    <w:p>
      <w:pPr>
        <w:pStyle w:val="Heading3"/>
      </w:pPr>
      <w:r>
        <w:t xml:space="preserve">8.9.2 The formats</w:t>
      </w:r>
    </w:p>
    <w:p>
      <w:pPr>
        <w:pStyle w:val="FirstParagraph"/>
      </w:pPr>
      <w:r>
        <w:rPr>
          <w:bCs/>
          <w:b/>
        </w:rPr>
        <w:t xml:space="preserve">JSON</w:t>
      </w:r>
      <w:r>
        <w:t xml:space="preserve"> </w:t>
      </w:r>
      <w:r>
        <w:t xml:space="preserve">is text, human-readable, universally supported and self-describing: field names travel with every message. Its costs are size (names repeated in every record), parsing CPU, and a weak type system: no distinction between integers and floats, no binary type (bytes must be base64-encoded, +33%), and numbers above</w:t>
      </w:r>
      <w:r>
        <w:t xml:space="preserve"> </w:t>
      </w:r>
      <m:oMath>
        <m:sSup>
          <m:e>
            <m:r>
              <m:t>2</m:t>
            </m:r>
          </m:e>
          <m:sup>
            <m:r>
              <m:t>53</m:t>
            </m:r>
          </m:sup>
        </m:sSup>
      </m:oMath>
      <w:r>
        <w:t xml:space="preserve"> </w:t>
      </w:r>
      <w:r>
        <w:t xml:space="preserve">lose precision in JavaScript, which is why many APIs send 64-bit IDs as strings.</w:t>
      </w:r>
    </w:p>
    <w:p>
      <w:pPr>
        <w:pStyle w:val="BodyText"/>
      </w:pPr>
      <w:r>
        <w:rPr>
          <w:bCs/>
          <w:b/>
        </w:rPr>
        <w:t xml:space="preserve">Protocol Buffers (Protobuf)</w:t>
      </w:r>
      <w:r>
        <w:t xml:space="preserve"> </w:t>
      </w:r>
      <w:r>
        <w:t xml:space="preserve">is Google’s schema-driven binary format [Protocol Buffers Docs]. Each field is written as a</w:t>
      </w:r>
      <w:r>
        <w:t xml:space="preserve"> </w:t>
      </w:r>
      <w:r>
        <w:rPr>
          <w:bCs/>
          <w:b/>
        </w:rPr>
        <w:t xml:space="preserve">tag</w:t>
      </w:r>
      <w:r>
        <w:t xml:space="preserve"> </w:t>
      </w:r>
      <w:r>
        <w:t xml:space="preserve">followed by a value. The tag is a varint holding</w:t>
      </w:r>
      <w:r>
        <w:t xml:space="preserve"> </w:t>
      </w:r>
      <w:r>
        <w:rPr>
          <w:rStyle w:val="VerbatimChar"/>
        </w:rPr>
        <w:t xml:space="preserve">(field_number &lt;&lt; 3) | wire_type</w:t>
      </w:r>
      <w:r>
        <w:t xml:space="preserve">, where the wire type tells the reader how to find the end of the value even if it does not recognize the field: 0 = VARINT, 1 = I64 (8 fixed bytes), 2 = LEN (length-delimited: strings, bytes, embedded messages, packed repeated fields), 5 = I32 (4 fixed bytes); 3 and 4 are deprecated group markers.</w:t>
      </w:r>
    </w:p>
    <w:p>
      <w:pPr>
        <w:pStyle w:val="CalloutDefinition"/>
      </w:pPr>
      <w:r>
        <w:rPr>
          <w:bCs/>
          <w:b/>
        </w:rPr>
        <w:t xml:space="preserve">DEFINITION</w:t>
      </w:r>
    </w:p>
    <w:p>
      <w:pPr>
        <w:pStyle w:val="CalloutDefinition"/>
      </w:pPr>
      <w:r>
        <w:rPr>
          <w:bCs/>
          <w:b/>
        </w:rPr>
        <w:t xml:space="preserve">Definition — Varint.</w:t>
      </w:r>
      <w:r>
        <w:t xml:space="preserve"> </w:t>
      </w:r>
      <w:r>
        <w:t xml:space="preserve">A variable-length encoding of an unsigned integer in base 128: each byte carries 7 bits of the number, least-significant group first, and the most significant bit (MSB) of each byte is a continuation flag — 1 means</w:t>
      </w:r>
      <w:r>
        <w:t xml:space="preserve"> </w:t>
      </w:r>
      <w:r>
        <w:t xml:space="preserve">“</w:t>
      </w:r>
      <w:r>
        <w:t xml:space="preserve">another byte follows</w:t>
      </w:r>
      <w:r>
        <w:t xml:space="preserve">”</w:t>
      </w:r>
      <w:r>
        <w:t xml:space="preserve"> </w:t>
      </w:r>
      <w:r>
        <w:t xml:space="preserve">[Protocol Buffers Docs: Encoding].</w:t>
      </w:r>
    </w:p>
    <w:p>
      <w:pPr>
        <w:pStyle w:val="BodyText"/>
      </w:pPr>
      <w:r>
        <w:t xml:space="preserve">Small numbers, which dominate real data (counts, enum values, field tags), take one byte instead of four or eight. Negative numbers in an</w:t>
      </w:r>
      <w:r>
        <w:t xml:space="preserve"> </w:t>
      </w:r>
      <w:r>
        <w:rPr>
          <w:rStyle w:val="VerbatimChar"/>
        </w:rPr>
        <w:t xml:space="preserve">int32</w:t>
      </w:r>
      <w:r>
        <w:t xml:space="preserve">/</w:t>
      </w:r>
      <w:r>
        <w:rPr>
          <w:rStyle w:val="VerbatimChar"/>
        </w:rPr>
        <w:t xml:space="preserve">int64</w:t>
      </w:r>
      <w:r>
        <w:t xml:space="preserve"> </w:t>
      </w:r>
      <w:r>
        <w:t xml:space="preserve">field always take 10 bytes, so signed fields that are often negative use</w:t>
      </w:r>
      <w:r>
        <w:t xml:space="preserve"> </w:t>
      </w:r>
      <w:r>
        <w:rPr>
          <w:rStyle w:val="VerbatimChar"/>
        </w:rPr>
        <w:t xml:space="preserve">sint32</w:t>
      </w:r>
      <w:r>
        <w:t xml:space="preserve">/</w:t>
      </w:r>
      <w:r>
        <w:rPr>
          <w:rStyle w:val="VerbatimChar"/>
        </w:rPr>
        <w:t xml:space="preserve">sint64</w:t>
      </w:r>
      <w:r>
        <w:t xml:space="preserve">, which first apply</w:t>
      </w:r>
      <w:r>
        <w:t xml:space="preserve"> </w:t>
      </w:r>
      <w:r>
        <w:rPr>
          <w:bCs/>
          <w:b/>
        </w:rPr>
        <w:t xml:space="preserve">ZigZag</w:t>
      </w:r>
      <w:r>
        <w:t xml:space="preserve"> </w:t>
      </w:r>
      <w:r>
        <w:t xml:space="preserve">encoding, mapping</w:t>
      </w:r>
      <w:r>
        <w:t xml:space="preserve"> </w:t>
      </w:r>
      <m:oMath>
        <m:r>
          <m:t>0</m:t>
        </m:r>
        <m:r>
          <m:rPr>
            <m:sty m:val="p"/>
          </m:rPr>
          <m:t>,</m:t>
        </m:r>
        <m:r>
          <m:rPr>
            <m:sty m:val="p"/>
          </m:rPr>
          <m:t>−</m:t>
        </m:r>
        <m:r>
          <m:t>1</m:t>
        </m:r>
        <m:r>
          <m:rPr>
            <m:sty m:val="p"/>
          </m:rPr>
          <m:t>,</m:t>
        </m:r>
        <m:r>
          <m:t>1</m:t>
        </m:r>
        <m:r>
          <m:rPr>
            <m:sty m:val="p"/>
          </m:rPr>
          <m:t>,</m:t>
        </m:r>
        <m:r>
          <m:rPr>
            <m:sty m:val="p"/>
          </m:rPr>
          <m:t>−</m:t>
        </m:r>
        <m:r>
          <m:t>2</m:t>
        </m:r>
        <m:r>
          <m:rPr>
            <m:sty m:val="p"/>
          </m:rPr>
          <m:t>,</m:t>
        </m:r>
        <m:r>
          <m:rPr>
            <m:sty m:val="p"/>
          </m:rPr>
          <m:t>…</m:t>
        </m:r>
      </m:oMath>
      <w:r>
        <w:t xml:space="preserve"> </w:t>
      </w:r>
      <w:r>
        <w:t xml:space="preserve">to</w:t>
      </w:r>
      <w:r>
        <w:t xml:space="preserve"> </w:t>
      </w:r>
      <m:oMath>
        <m:r>
          <m:t>0</m:t>
        </m:r>
        <m:r>
          <m:rPr>
            <m:sty m:val="p"/>
          </m:rPr>
          <m:t>,</m:t>
        </m:r>
        <m:r>
          <m:t>1</m:t>
        </m:r>
        <m:r>
          <m:rPr>
            <m:sty m:val="p"/>
          </m:rPr>
          <m:t>,</m:t>
        </m:r>
        <m:r>
          <m:t>2</m:t>
        </m:r>
        <m:r>
          <m:rPr>
            <m:sty m:val="p"/>
          </m:rPr>
          <m:t>,</m:t>
        </m:r>
        <m:r>
          <m:t>3</m:t>
        </m:r>
        <m:r>
          <m:rPr>
            <m:sty m:val="p"/>
          </m:rPr>
          <m:t>,</m:t>
        </m:r>
        <m:r>
          <m:rPr>
            <m:sty m:val="p"/>
          </m:rPr>
          <m:t>…</m:t>
        </m:r>
      </m:oMath>
      <w:r>
        <w:t xml:space="preserve">.</w:t>
      </w:r>
    </w:p>
    <w:p>
      <w:pPr>
        <w:pStyle w:val="CalloutFormula"/>
      </w:pPr>
      <w:r>
        <w:rPr>
          <w:bCs/>
          <w:b/>
        </w:rPr>
        <w:t xml:space="preserve">FORMULA</w:t>
      </w:r>
    </w:p>
    <w:p>
      <w:pPr>
        <w:pStyle w:val="CalloutFormula"/>
      </w:pPr>
      <w:r>
        <w:rPr>
          <w:bCs/>
          <w:b/>
        </w:rPr>
        <w:t xml:space="preserve">Varint length</w:t>
      </w:r>
    </w:p>
    <w:p>
      <w:pPr>
        <w:pStyle w:val="CalloutFormula"/>
      </w:pPr>
      <m:oMathPara>
        <m:oMathParaPr>
          <m:jc m:val="center"/>
        </m:oMathParaPr>
        <m:oMath>
          <m:r>
            <m:rPr>
              <m:nor/>
              <m:sty m:val="p"/>
            </m:rPr>
            <m:t>bytes</m:t>
          </m:r>
          <m:d>
            <m:dPr>
              <m:begChr m:val="("/>
              <m:endChr m:val=")"/>
              <m:sepChr m:val=""/>
              <m:grow/>
            </m:dPr>
            <m:e>
              <m:r>
                <m:t>n</m:t>
              </m:r>
            </m:e>
          </m:d>
          <m:r>
            <m:rPr>
              <m:sty m:val="p"/>
            </m:rPr>
            <m:t>=</m:t>
          </m:r>
          <m:r>
            <m:rPr>
              <m:sty m:val="p"/>
            </m:rPr>
            <m:t>max</m:t>
          </m:r>
          <m:r>
            <m:t>​</m:t>
          </m:r>
          <m:d>
            <m:dPr>
              <m:begChr m:val="("/>
              <m:endChr m:val=")"/>
              <m:sepChr m:val=""/>
              <m:grow/>
            </m:dPr>
            <m:e>
              <m:r>
                <m:t>1</m:t>
              </m:r>
              <m:r>
                <m:rPr>
                  <m:sty m:val="p"/>
                </m:rPr>
                <m:t>,</m:t>
              </m:r>
              <m:d>
                <m:dPr>
                  <m:begChr m:val="⌈"/>
                  <m:endChr m:val="⌉"/>
                  <m:sepChr m:val=""/>
                  <m:grow/>
                </m:dPr>
                <m:e>
                  <m:f>
                    <m:fPr>
                      <m:type m:val="bar"/>
                    </m:fPr>
                    <m:num>
                      <m:r>
                        <m:rPr>
                          <m:sty m:val="p"/>
                        </m:rPr>
                        <m:t>⌊</m:t>
                      </m:r>
                      <m:sSub>
                        <m:e>
                          <m:r>
                            <m:rPr>
                              <m:sty m:val="p"/>
                            </m:rPr>
                            <m:t>log</m:t>
                          </m:r>
                        </m:e>
                        <m:sub>
                          <m:r>
                            <m:t>2</m:t>
                          </m:r>
                        </m:sub>
                      </m:sSub>
                      <m:r>
                        <m:t>n</m:t>
                      </m:r>
                      <m:r>
                        <m:rPr>
                          <m:sty m:val="p"/>
                        </m:rPr>
                        <m:t>⌋</m:t>
                      </m:r>
                      <m:r>
                        <m:rPr>
                          <m:sty m:val="p"/>
                        </m:rPr>
                        <m:t>+</m:t>
                      </m:r>
                      <m:r>
                        <m:t>1</m:t>
                      </m:r>
                    </m:num>
                    <m:den>
                      <m:r>
                        <m:t>7</m:t>
                      </m:r>
                    </m:den>
                  </m:f>
                </m:e>
              </m:d>
            </m:e>
          </m:d>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n</m:t>
              </m:r>
            </m:oMath>
          </w:p>
        </w:tc>
        <w:tc>
          <w:tcPr/>
          <w:p>
            <w:pPr>
              <w:pStyle w:val="Compact"/>
              <w:jc w:val="left"/>
            </w:pPr>
            <w:r>
              <w:t xml:space="preserve">Non-negative integer being encoded</w:t>
            </w:r>
          </w:p>
        </w:tc>
        <w:tc>
          <w:tcPr/>
          <w:p>
            <w:pPr>
              <w:pStyle w:val="Compact"/>
              <w:jc w:val="left"/>
            </w:pPr>
            <w:r>
              <w:t xml:space="preserve">—</w:t>
            </w:r>
          </w:p>
        </w:tc>
      </w:tr>
      <w:tr>
        <w:tc>
          <w:tcPr/>
          <w:p>
            <w:pPr>
              <w:pStyle w:val="Compact"/>
              <w:jc w:val="left"/>
            </w:pPr>
            <m:oMath>
              <m:r>
                <m:rPr>
                  <m:sty m:val="p"/>
                </m:rPr>
                <m:t>⌊</m:t>
              </m:r>
              <m:sSub>
                <m:e>
                  <m:r>
                    <m:rPr>
                      <m:sty m:val="p"/>
                    </m:rPr>
                    <m:t>log</m:t>
                  </m:r>
                </m:e>
                <m:sub>
                  <m:r>
                    <m:t>2</m:t>
                  </m:r>
                </m:sub>
              </m:sSub>
              <m:r>
                <m:t>n</m:t>
              </m:r>
              <m:r>
                <m:rPr>
                  <m:sty m:val="p"/>
                </m:rPr>
                <m:t>⌋</m:t>
              </m:r>
              <m:r>
                <m:rPr>
                  <m:sty m:val="p"/>
                </m:rPr>
                <m:t>+</m:t>
              </m:r>
              <m:r>
                <m:t>1</m:t>
              </m:r>
            </m:oMath>
          </w:p>
        </w:tc>
        <w:tc>
          <w:tcPr/>
          <w:p>
            <w:pPr>
              <w:pStyle w:val="Compact"/>
              <w:jc w:val="left"/>
            </w:pPr>
            <w:r>
              <w:t xml:space="preserve">Number of significant bits in</w:t>
            </w:r>
            <w:r>
              <w:t xml:space="preserve"> </w:t>
            </w:r>
            <m:oMath>
              <m:r>
                <m:t>n</m:t>
              </m:r>
            </m:oMath>
            <w:r>
              <w:t xml:space="preserve"> </w:t>
            </w:r>
            <w:r>
              <w:t xml:space="preserve">(for</w:t>
            </w:r>
            <w:r>
              <w:t xml:space="preserve"> </w:t>
            </w:r>
            <m:oMath>
              <m:r>
                <m:t>n</m:t>
              </m:r>
              <m:r>
                <m:rPr>
                  <m:sty m:val="p"/>
                </m:rPr>
                <m:t>≥</m:t>
              </m:r>
              <m:r>
                <m:t>1</m:t>
              </m:r>
            </m:oMath>
            <w:r>
              <w:t xml:space="preserve">)</w:t>
            </w:r>
          </w:p>
        </w:tc>
        <w:tc>
          <w:tcPr/>
          <w:p>
            <w:pPr>
              <w:pStyle w:val="Compact"/>
              <w:jc w:val="left"/>
            </w:pPr>
            <w:r>
              <w:t xml:space="preserve">bits</w:t>
            </w:r>
          </w:p>
        </w:tc>
      </w:tr>
      <w:tr>
        <w:tc>
          <w:tcPr/>
          <w:p>
            <w:pPr>
              <w:pStyle w:val="Compact"/>
              <w:jc w:val="left"/>
            </w:pPr>
            <w:r>
              <w:t xml:space="preserve">7</w:t>
            </w:r>
          </w:p>
        </w:tc>
        <w:tc>
          <w:tcPr/>
          <w:p>
            <w:pPr>
              <w:pStyle w:val="Compact"/>
              <w:jc w:val="left"/>
            </w:pPr>
            <w:r>
              <w:t xml:space="preserve">Payload bits per varint byte</w:t>
            </w:r>
          </w:p>
        </w:tc>
        <w:tc>
          <w:tcPr/>
          <w:p>
            <w:pPr>
              <w:pStyle w:val="Compact"/>
              <w:jc w:val="left"/>
            </w:pPr>
            <w:r>
              <w:t xml:space="preserve">bits/byte</w:t>
            </w:r>
          </w:p>
        </w:tc>
      </w:tr>
    </w:tbl>
    <w:p>
      <w:pPr>
        <w:pStyle w:val="CalloutExample"/>
      </w:pPr>
      <w:r>
        <w:rPr>
          <w:bCs/>
          <w:b/>
        </w:rPr>
        <w:t xml:space="preserve">WORKED EXAMPLE</w:t>
      </w:r>
    </w:p>
    <w:p>
      <w:pPr>
        <w:pStyle w:val="CalloutExample"/>
      </w:pPr>
      <w:r>
        <w:rPr>
          <w:bCs/>
          <w:b/>
        </w:rPr>
        <w:t xml:space="preserve">Worked example — Encoding a record by hand.</w:t>
      </w:r>
      <w:r>
        <w:t xml:space="preserve"> </w:t>
      </w:r>
      <w:r>
        <w:t xml:space="preserve">The record (the example used in [Kleppmann 2017, ch. 4]) is</w:t>
      </w:r>
      <w:r>
        <w:t xml:space="preserve"> </w:t>
      </w:r>
      <w:r>
        <w:rPr>
          <w:rStyle w:val="VerbatimChar"/>
        </w:rPr>
        <w:t xml:space="preserve">user_name = "Martin"</w:t>
      </w:r>
      <w:r>
        <w:t xml:space="preserve"> </w:t>
      </w:r>
      <w:r>
        <w:t xml:space="preserve">(field 1, string),</w:t>
      </w:r>
      <w:r>
        <w:t xml:space="preserve"> </w:t>
      </w:r>
      <w:r>
        <w:rPr>
          <w:rStyle w:val="VerbatimChar"/>
        </w:rPr>
        <w:t xml:space="preserve">favorite_number = 1337</w:t>
      </w:r>
      <w:r>
        <w:t xml:space="preserve"> </w:t>
      </w:r>
      <w:r>
        <w:t xml:space="preserve">(field 2, int64),</w:t>
      </w:r>
      <w:r>
        <w:t xml:space="preserve"> </w:t>
      </w:r>
      <w:r>
        <w:rPr>
          <w:rStyle w:val="VerbatimChar"/>
        </w:rPr>
        <w:t xml:space="preserve">interests = ["daydreaming", "hacking"]</w:t>
      </w:r>
      <w:r>
        <w:t xml:space="preserve"> </w:t>
      </w:r>
      <w:r>
        <w:t xml:space="preserve">(field 3, repeated string).</w:t>
      </w:r>
    </w:p>
    <w:p>
      <w:pPr>
        <w:numPr>
          <w:ilvl w:val="0"/>
          <w:numId w:val="1277"/>
        </w:numPr>
        <w:pStyle w:val="Compact"/>
      </w:pPr>
      <w:r>
        <w:t xml:space="preserve">Field 1: tag</w:t>
      </w:r>
      <w:r>
        <w:t xml:space="preserve"> </w:t>
      </w:r>
      <m:oMath>
        <m:d>
          <m:dPr>
            <m:begChr m:val="("/>
            <m:endChr m:val=")"/>
            <m:sepChr m:val=""/>
            <m:grow/>
          </m:dPr>
          <m:e>
            <m:r>
              <m:t>1</m:t>
            </m:r>
            <m:r>
              <m:rPr>
                <m:sty m:val="p"/>
              </m:rPr>
              <m:t>≪</m:t>
            </m:r>
            <m:r>
              <m:t>3</m:t>
            </m:r>
          </m:e>
        </m:d>
        <m:r>
          <m:rPr>
            <m:sty m:val="p"/>
          </m:rPr>
          <m:t>∣</m:t>
        </m:r>
        <m:r>
          <m:t>2</m:t>
        </m:r>
        <m:r>
          <m:rPr>
            <m:sty m:val="p"/>
          </m:rPr>
          <m:t>=</m:t>
        </m:r>
        <m:r>
          <m:t>10</m:t>
        </m:r>
      </m:oMath>
      <w:r>
        <w:t xml:space="preserve"> </w:t>
      </w:r>
      <w:r>
        <w:t xml:space="preserve">=</w:t>
      </w:r>
      <w:r>
        <w:t xml:space="preserve"> </w:t>
      </w:r>
      <w:r>
        <w:rPr>
          <w:rStyle w:val="VerbatimChar"/>
        </w:rPr>
        <w:t xml:space="preserve">0a</w:t>
      </w:r>
      <w:r>
        <w:t xml:space="preserve">; length 6 =</w:t>
      </w:r>
      <w:r>
        <w:t xml:space="preserve"> </w:t>
      </w:r>
      <w:r>
        <w:rPr>
          <w:rStyle w:val="VerbatimChar"/>
        </w:rPr>
        <w:t xml:space="preserve">06</w:t>
      </w:r>
      <w:r>
        <w:t xml:space="preserve">; then the 6 UTF-8 bytes</w:t>
      </w:r>
      <w:r>
        <w:t xml:space="preserve"> </w:t>
      </w:r>
      <w:r>
        <w:rPr>
          <w:rStyle w:val="VerbatimChar"/>
        </w:rPr>
        <w:t xml:space="preserve">4d 61 72 74 69 6e</w:t>
      </w:r>
      <w:r>
        <w:t xml:space="preserve">. Subtotal 8 bytes.</w:t>
      </w:r>
    </w:p>
    <w:p>
      <w:pPr>
        <w:numPr>
          <w:ilvl w:val="0"/>
          <w:numId w:val="1277"/>
        </w:numPr>
        <w:pStyle w:val="Compact"/>
      </w:pPr>
      <w:r>
        <w:t xml:space="preserve">Field 2: tag</w:t>
      </w:r>
      <w:r>
        <w:t xml:space="preserve"> </w:t>
      </w:r>
      <m:oMath>
        <m:d>
          <m:dPr>
            <m:begChr m:val="("/>
            <m:endChr m:val=")"/>
            <m:sepChr m:val=""/>
            <m:grow/>
          </m:dPr>
          <m:e>
            <m:r>
              <m:t>2</m:t>
            </m:r>
            <m:r>
              <m:rPr>
                <m:sty m:val="p"/>
              </m:rPr>
              <m:t>≪</m:t>
            </m:r>
            <m:r>
              <m:t>3</m:t>
            </m:r>
          </m:e>
        </m:d>
        <m:r>
          <m:rPr>
            <m:sty m:val="p"/>
          </m:rPr>
          <m:t>∣</m:t>
        </m:r>
        <m:r>
          <m:t>0</m:t>
        </m:r>
        <m:r>
          <m:rPr>
            <m:sty m:val="p"/>
          </m:rPr>
          <m:t>=</m:t>
        </m:r>
        <m:r>
          <m:t>16</m:t>
        </m:r>
      </m:oMath>
      <w:r>
        <w:t xml:space="preserve"> </w:t>
      </w:r>
      <w:r>
        <w:t xml:space="preserve">=</w:t>
      </w:r>
      <w:r>
        <w:t xml:space="preserve"> </w:t>
      </w:r>
      <w:r>
        <w:rPr>
          <w:rStyle w:val="VerbatimChar"/>
        </w:rPr>
        <w:t xml:space="preserve">10</w:t>
      </w:r>
      <w:r>
        <w:t xml:space="preserve">. Value 1337 = binary</w:t>
      </w:r>
      <w:r>
        <w:t xml:space="preserve"> </w:t>
      </w:r>
      <w:r>
        <w:rPr>
          <w:rStyle w:val="VerbatimChar"/>
        </w:rPr>
        <w:t xml:space="preserve">101 0011 1001</w:t>
      </w:r>
      <w:r>
        <w:t xml:space="preserve"> </w:t>
      </w:r>
      <w:r>
        <w:t xml:space="preserve">(11 bits → 2 bytes). Low 7 bits</w:t>
      </w:r>
      <w:r>
        <w:t xml:space="preserve"> </w:t>
      </w:r>
      <w:r>
        <w:rPr>
          <w:rStyle w:val="VerbatimChar"/>
        </w:rPr>
        <w:t xml:space="preserve">0111001</w:t>
      </w:r>
      <w:r>
        <w:t xml:space="preserve"> </w:t>
      </w:r>
      <w:r>
        <w:t xml:space="preserve">= 0x39, set the continuation bit →</w:t>
      </w:r>
      <w:r>
        <w:t xml:space="preserve"> </w:t>
      </w:r>
      <w:r>
        <w:rPr>
          <w:rStyle w:val="VerbatimChar"/>
        </w:rPr>
        <w:t xml:space="preserve">b9</w:t>
      </w:r>
      <w:r>
        <w:t xml:space="preserve">; remaining bits</w:t>
      </w:r>
      <w:r>
        <w:t xml:space="preserve"> </w:t>
      </w:r>
      <w:r>
        <w:rPr>
          <w:rStyle w:val="VerbatimChar"/>
        </w:rPr>
        <w:t xml:space="preserve">1010</w:t>
      </w:r>
      <w:r>
        <w:t xml:space="preserve"> </w:t>
      </w:r>
      <w:r>
        <w:t xml:space="preserve">=</w:t>
      </w:r>
      <w:r>
        <w:t xml:space="preserve"> </w:t>
      </w:r>
      <w:r>
        <w:rPr>
          <w:rStyle w:val="VerbatimChar"/>
        </w:rPr>
        <w:t xml:space="preserve">0a</w:t>
      </w:r>
      <w:r>
        <w:t xml:space="preserve">. Subtotal 3 bytes:</w:t>
      </w:r>
      <w:r>
        <w:t xml:space="preserve"> </w:t>
      </w:r>
      <w:r>
        <w:rPr>
          <w:rStyle w:val="VerbatimChar"/>
        </w:rPr>
        <w:t xml:space="preserve">10 b9 0a</w:t>
      </w:r>
      <w:r>
        <w:t xml:space="preserve">.</w:t>
      </w:r>
    </w:p>
    <w:p>
      <w:pPr>
        <w:numPr>
          <w:ilvl w:val="0"/>
          <w:numId w:val="1277"/>
        </w:numPr>
        <w:pStyle w:val="Compact"/>
      </w:pPr>
      <w:r>
        <w:t xml:space="preserve">Field 3, twice: tag</w:t>
      </w:r>
      <w:r>
        <w:t xml:space="preserve"> </w:t>
      </w:r>
      <m:oMath>
        <m:d>
          <m:dPr>
            <m:begChr m:val="("/>
            <m:endChr m:val=")"/>
            <m:sepChr m:val=""/>
            <m:grow/>
          </m:dPr>
          <m:e>
            <m:r>
              <m:t>3</m:t>
            </m:r>
            <m:r>
              <m:rPr>
                <m:sty m:val="p"/>
              </m:rPr>
              <m:t>≪</m:t>
            </m:r>
            <m:r>
              <m:t>3</m:t>
            </m:r>
          </m:e>
        </m:d>
        <m:r>
          <m:rPr>
            <m:sty m:val="p"/>
          </m:rPr>
          <m:t>∣</m:t>
        </m:r>
        <m:r>
          <m:t>2</m:t>
        </m:r>
        <m:r>
          <m:rPr>
            <m:sty m:val="p"/>
          </m:rPr>
          <m:t>=</m:t>
        </m:r>
        <m:r>
          <m:t>26</m:t>
        </m:r>
      </m:oMath>
      <w:r>
        <w:t xml:space="preserve"> </w:t>
      </w:r>
      <w:r>
        <w:t xml:space="preserve">=</w:t>
      </w:r>
      <w:r>
        <w:t xml:space="preserve"> </w:t>
      </w:r>
      <w:r>
        <w:rPr>
          <w:rStyle w:val="VerbatimChar"/>
        </w:rPr>
        <w:t xml:space="preserve">1a</w:t>
      </w:r>
      <w:r>
        <w:t xml:space="preserve">, length</w:t>
      </w:r>
      <w:r>
        <w:t xml:space="preserve"> </w:t>
      </w:r>
      <w:r>
        <w:rPr>
          <w:rStyle w:val="VerbatimChar"/>
        </w:rPr>
        <w:t xml:space="preserve">0b</w:t>
      </w:r>
      <w:r>
        <w:t xml:space="preserve">, 11 bytes of</w:t>
      </w:r>
      <w:r>
        <w:t xml:space="preserve"> </w:t>
      </w:r>
      <w:r>
        <w:t xml:space="preserve">“</w:t>
      </w:r>
      <w:r>
        <w:t xml:space="preserve">daydreaming</w:t>
      </w:r>
      <w:r>
        <w:t xml:space="preserve">”</w:t>
      </w:r>
      <w:r>
        <w:t xml:space="preserve"> </w:t>
      </w:r>
      <w:r>
        <w:t xml:space="preserve">(13 bytes); then</w:t>
      </w:r>
      <w:r>
        <w:t xml:space="preserve"> </w:t>
      </w:r>
      <w:r>
        <w:rPr>
          <w:rStyle w:val="VerbatimChar"/>
        </w:rPr>
        <w:t xml:space="preserve">1a 07</w:t>
      </w:r>
      <w:r>
        <w:t xml:space="preserve"> </w:t>
      </w:r>
      <w:r>
        <w:t xml:space="preserve">+ 7 bytes of</w:t>
      </w:r>
      <w:r>
        <w:t xml:space="preserve"> </w:t>
      </w:r>
      <w:r>
        <w:t xml:space="preserve">“</w:t>
      </w:r>
      <w:r>
        <w:t xml:space="preserve">hacking</w:t>
      </w:r>
      <w:r>
        <w:t xml:space="preserve">”</w:t>
      </w:r>
      <w:r>
        <w:t xml:space="preserve"> </w:t>
      </w:r>
      <w:r>
        <w:t xml:space="preserve">(9 bytes).</w:t>
      </w:r>
    </w:p>
    <w:p>
      <w:pPr>
        <w:numPr>
          <w:ilvl w:val="0"/>
          <w:numId w:val="1277"/>
        </w:numPr>
        <w:pStyle w:val="Compact"/>
      </w:pPr>
      <w:r>
        <w:t xml:space="preserve">Total:</w:t>
      </w:r>
      <w:r>
        <w:t xml:space="preserve"> </w:t>
      </w:r>
      <m:oMath>
        <m:r>
          <m:t>8</m:t>
        </m:r>
        <m:r>
          <m:rPr>
            <m:sty m:val="p"/>
          </m:rPr>
          <m:t>+</m:t>
        </m:r>
        <m:r>
          <m:t>3</m:t>
        </m:r>
        <m:r>
          <m:rPr>
            <m:sty m:val="p"/>
          </m:rPr>
          <m:t>+</m:t>
        </m:r>
        <m:r>
          <m:t>13</m:t>
        </m:r>
        <m:r>
          <m:rPr>
            <m:sty m:val="p"/>
          </m:rPr>
          <m:t>+</m:t>
        </m:r>
        <m:r>
          <m:t>9</m:t>
        </m:r>
        <m:r>
          <m:rPr>
            <m:sty m:val="p"/>
          </m:rPr>
          <m:t>=</m:t>
        </m:r>
        <m:r>
          <m:t>33</m:t>
        </m:r>
      </m:oMath>
      <w:r>
        <w:t xml:space="preserve"> </w:t>
      </w:r>
      <w:r>
        <w:t xml:space="preserve">bytes. The same record as compact JSON,</w:t>
      </w:r>
      <w:r>
        <w:t xml:space="preserve"> </w:t>
      </w:r>
      <w:r>
        <w:rPr>
          <w:rStyle w:val="VerbatimChar"/>
        </w:rPr>
        <w:t xml:space="preserve">{"userName":"Martin","favoriteNumber":1337,"interests":["daydreaming","hacking"]}</w:t>
      </w:r>
      <w:r>
        <w:t xml:space="preserve">, is 81 bytes.</w:t>
      </w:r>
    </w:p>
    <w:p>
      <w:pPr>
        <w:pStyle w:val="CalloutExample"/>
      </w:pPr>
      <w:r>
        <w:rPr>
          <w:bCs/>
          <w:b/>
        </w:rPr>
        <w:t xml:space="preserve">Interpretation.</w:t>
      </w:r>
      <w:r>
        <w:t xml:space="preserve"> </w:t>
      </w:r>
      <w:r>
        <w:t xml:space="preserve">Protobuf is 2.5× smaller here because field names are replaced by one-byte tags and the number by two bytes instead of four ASCII digits.</w:t>
      </w:r>
      <w:r>
        <w:t xml:space="preserve"> </w:t>
      </w:r>
      <w:r>
        <w:rPr>
          <w:bCs/>
          <w:b/>
        </w:rPr>
        <w:t xml:space="preserve">Engineering implication:</w:t>
      </w:r>
      <w:r>
        <w:t xml:space="preserve"> </w:t>
      </w:r>
      <w:r>
        <w:t xml:space="preserve">field numbers 1–15 fit in a one-byte tag; reserve them for the most frequent fields.</w:t>
      </w:r>
    </w:p>
    <w:p>
      <w:pPr>
        <w:pStyle w:val="SourceCode"/>
      </w:pPr>
      <w:r>
        <w:rPr>
          <w:rStyle w:val="KeywordTok"/>
        </w:rPr>
        <w:t xml:space="preserve">def</w:t>
      </w:r>
      <w:r>
        <w:rPr>
          <w:rStyle w:val="NormalTok"/>
        </w:rPr>
        <w:t xml:space="preserve"> encode_varint(n: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bytes</w:t>
      </w:r>
      <w:r>
        <w:rPr>
          <w:rStyle w:val="NormalTok"/>
        </w:rPr>
        <w:t xml:space="preserve">:</w:t>
      </w:r>
      <w:r>
        <w:br/>
      </w:r>
      <w:r>
        <w:rPr>
          <w:rStyle w:val="NormalTok"/>
        </w:rPr>
        <w:t xml:space="preserve">    </w:t>
      </w:r>
      <w:r>
        <w:rPr>
          <w:rStyle w:val="CommentTok"/>
        </w:rPr>
        <w:t xml:space="preserve">"""Protocol Buffers base-128 varint for a non-negative integer."""</w:t>
      </w:r>
      <w:r>
        <w:br/>
      </w:r>
      <w:r>
        <w:rPr>
          <w:rStyle w:val="NormalTok"/>
        </w:rPr>
        <w:t xml:space="preserve">    out </w:t>
      </w:r>
      <w:r>
        <w:rPr>
          <w:rStyle w:val="OperatorTok"/>
        </w:rPr>
        <w:t xml:space="preserve">=</w:t>
      </w:r>
      <w:r>
        <w:rPr>
          <w:rStyle w:val="NormalTok"/>
        </w:rPr>
        <w:t xml:space="preserve"> </w:t>
      </w:r>
      <w:r>
        <w:rPr>
          <w:rStyle w:val="BuiltInTok"/>
        </w:rPr>
        <w:t xml:space="preserve">bytearray</w:t>
      </w:r>
      <w:r>
        <w:rPr>
          <w:rStyle w:val="NormalTok"/>
        </w:rPr>
        <w:t xml:space="preserve">()</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byte </w:t>
      </w:r>
      <w:r>
        <w:rPr>
          <w:rStyle w:val="OperatorTok"/>
        </w:rPr>
        <w:t xml:space="preserve">=</w:t>
      </w:r>
      <w:r>
        <w:rPr>
          <w:rStyle w:val="NormalTok"/>
        </w:rPr>
        <w:t xml:space="preserve"> n </w:t>
      </w:r>
      <w:r>
        <w:rPr>
          <w:rStyle w:val="OperatorTok"/>
        </w:rPr>
        <w:t xml:space="preserve">&amp;</w:t>
      </w:r>
      <w:r>
        <w:rPr>
          <w:rStyle w:val="NormalTok"/>
        </w:rPr>
        <w:t xml:space="preserve"> </w:t>
      </w:r>
      <w:r>
        <w:rPr>
          <w:rStyle w:val="BaseNTok"/>
        </w:rPr>
        <w:t xml:space="preserve">0x7F</w:t>
      </w:r>
      <w:r>
        <w:rPr>
          <w:rStyle w:val="NormalTok"/>
        </w:rPr>
        <w:t xml:space="preserve">               </w:t>
      </w:r>
      <w:r>
        <w:rPr>
          <w:rStyle w:val="CommentTok"/>
        </w:rPr>
        <w:t xml:space="preserve"># take the low 7 bits</w:t>
      </w:r>
      <w:r>
        <w:br/>
      </w:r>
      <w:r>
        <w:rPr>
          <w:rStyle w:val="NormalTok"/>
        </w:rPr>
        <w:t xml:space="preserve">        n </w:t>
      </w:r>
      <w:r>
        <w:rPr>
          <w:rStyle w:val="OperatorTok"/>
        </w:rPr>
        <w:t xml:space="preserve">&gt;&gt;=</w:t>
      </w:r>
      <w:r>
        <w:rPr>
          <w:rStyle w:val="NormalTok"/>
        </w:rPr>
        <w:t xml:space="preserve"> </w:t>
      </w:r>
      <w:r>
        <w:rPr>
          <w:rStyle w:val="DecValTok"/>
        </w:rPr>
        <w:t xml:space="preserve">7</w:t>
      </w:r>
      <w:r>
        <w:br/>
      </w:r>
      <w:r>
        <w:rPr>
          <w:rStyle w:val="NormalTok"/>
        </w:rPr>
        <w:t xml:space="preserve">        </w:t>
      </w:r>
      <w:r>
        <w:rPr>
          <w:rStyle w:val="ControlFlowTok"/>
        </w:rPr>
        <w:t xml:space="preserve">if</w:t>
      </w:r>
      <w:r>
        <w:rPr>
          <w:rStyle w:val="NormalTok"/>
        </w:rPr>
        <w:t xml:space="preserve"> n:</w:t>
      </w:r>
      <w:r>
        <w:br/>
      </w:r>
      <w:r>
        <w:rPr>
          <w:rStyle w:val="NormalTok"/>
        </w:rPr>
        <w:t xml:space="preserve">            out.append(byte </w:t>
      </w:r>
      <w:r>
        <w:rPr>
          <w:rStyle w:val="OperatorTok"/>
        </w:rPr>
        <w:t xml:space="preserve">|</w:t>
      </w:r>
      <w:r>
        <w:rPr>
          <w:rStyle w:val="NormalTok"/>
        </w:rPr>
        <w:t xml:space="preserve"> </w:t>
      </w:r>
      <w:r>
        <w:rPr>
          <w:rStyle w:val="BaseNTok"/>
        </w:rPr>
        <w:t xml:space="preserve">0x80</w:t>
      </w:r>
      <w:r>
        <w:rPr>
          <w:rStyle w:val="NormalTok"/>
        </w:rPr>
        <w:t xml:space="preserve">)   </w:t>
      </w:r>
      <w:r>
        <w:rPr>
          <w:rStyle w:val="CommentTok"/>
        </w:rPr>
        <w:t xml:space="preserve"># more bytes follow: set the MSB</w:t>
      </w:r>
      <w:r>
        <w:br/>
      </w:r>
      <w:r>
        <w:rPr>
          <w:rStyle w:val="NormalTok"/>
        </w:rPr>
        <w:t xml:space="preserve">        </w:t>
      </w:r>
      <w:r>
        <w:rPr>
          <w:rStyle w:val="ControlFlowTok"/>
        </w:rPr>
        <w:t xml:space="preserve">else</w:t>
      </w:r>
      <w:r>
        <w:rPr>
          <w:rStyle w:val="NormalTok"/>
        </w:rPr>
        <w:t xml:space="preserve">:</w:t>
      </w:r>
      <w:r>
        <w:br/>
      </w:r>
      <w:r>
        <w:rPr>
          <w:rStyle w:val="NormalTok"/>
        </w:rPr>
        <w:t xml:space="preserve">            out.append(byte)          </w:t>
      </w:r>
      <w:r>
        <w:rPr>
          <w:rStyle w:val="CommentTok"/>
        </w:rPr>
        <w:t xml:space="preserve"># last byte: MSB clear</w:t>
      </w:r>
      <w:r>
        <w:br/>
      </w:r>
      <w:r>
        <w:rPr>
          <w:rStyle w:val="NormalTok"/>
        </w:rPr>
        <w:t xml:space="preserve">            </w:t>
      </w:r>
      <w:r>
        <w:rPr>
          <w:rStyle w:val="ControlFlowTok"/>
        </w:rPr>
        <w:t xml:space="preserve">return</w:t>
      </w:r>
      <w:r>
        <w:rPr>
          <w:rStyle w:val="NormalTok"/>
        </w:rPr>
        <w:t xml:space="preserve"> </w:t>
      </w:r>
      <w:r>
        <w:rPr>
          <w:rStyle w:val="BuiltInTok"/>
        </w:rPr>
        <w:t xml:space="preserve">bytes</w:t>
      </w:r>
      <w:r>
        <w:rPr>
          <w:rStyle w:val="NormalTok"/>
        </w:rPr>
        <w:t xml:space="preserve">(out)</w:t>
      </w:r>
      <w:r>
        <w:br/>
      </w:r>
      <w:r>
        <w:br/>
      </w:r>
      <w:r>
        <w:br/>
      </w:r>
      <w:r>
        <w:rPr>
          <w:rStyle w:val="KeywordTok"/>
        </w:rPr>
        <w:t xml:space="preserve">def</w:t>
      </w:r>
      <w:r>
        <w:rPr>
          <w:rStyle w:val="NormalTok"/>
        </w:rPr>
        <w:t xml:space="preserve"> encode_tag(field_number: </w:t>
      </w:r>
      <w:r>
        <w:rPr>
          <w:rStyle w:val="BuiltInTok"/>
        </w:rPr>
        <w:t xml:space="preserve">int</w:t>
      </w:r>
      <w:r>
        <w:rPr>
          <w:rStyle w:val="NormalTok"/>
        </w:rPr>
        <w:t xml:space="preserve">, wire_type: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bytes</w:t>
      </w:r>
      <w:r>
        <w:rPr>
          <w:rStyle w:val="NormalTok"/>
        </w:rPr>
        <w:t xml:space="preserve">:</w:t>
      </w:r>
      <w:r>
        <w:br/>
      </w:r>
      <w:r>
        <w:rPr>
          <w:rStyle w:val="NormalTok"/>
        </w:rPr>
        <w:t xml:space="preserve">    </w:t>
      </w:r>
      <w:r>
        <w:rPr>
          <w:rStyle w:val="ControlFlowTok"/>
        </w:rPr>
        <w:t xml:space="preserve">return</w:t>
      </w:r>
      <w:r>
        <w:rPr>
          <w:rStyle w:val="NormalTok"/>
        </w:rPr>
        <w:t xml:space="preserve"> encode_varint((field_number </w:t>
      </w:r>
      <w:r>
        <w:rPr>
          <w:rStyle w:val="OperatorTok"/>
        </w:rPr>
        <w:t xml:space="preserve">&lt;&lt;</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wire_type)</w:t>
      </w:r>
      <w:r>
        <w:br/>
      </w:r>
      <w:r>
        <w:br/>
      </w:r>
      <w:r>
        <w:br/>
      </w:r>
      <w:r>
        <w:rPr>
          <w:rStyle w:val="KeywordTok"/>
        </w:rPr>
        <w:t xml:space="preserve">def</w:t>
      </w:r>
      <w:r>
        <w:rPr>
          <w:rStyle w:val="NormalTok"/>
        </w:rPr>
        <w:t xml:space="preserve"> encode_string(field_number: </w:t>
      </w:r>
      <w:r>
        <w:rPr>
          <w:rStyle w:val="BuiltInTok"/>
        </w:rPr>
        <w:t xml:space="preserve">int</w:t>
      </w:r>
      <w:r>
        <w:rPr>
          <w:rStyle w:val="NormalTok"/>
        </w:rPr>
        <w:t xml:space="preserve">, s: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bytes</w:t>
      </w:r>
      <w:r>
        <w:rPr>
          <w:rStyle w:val="NormalTok"/>
        </w:rPr>
        <w:t xml:space="preserve">:</w:t>
      </w:r>
      <w:r>
        <w:br/>
      </w:r>
      <w:r>
        <w:rPr>
          <w:rStyle w:val="NormalTok"/>
        </w:rPr>
        <w:t xml:space="preserve">    data </w:t>
      </w:r>
      <w:r>
        <w:rPr>
          <w:rStyle w:val="OperatorTok"/>
        </w:rPr>
        <w:t xml:space="preserve">=</w:t>
      </w:r>
      <w:r>
        <w:rPr>
          <w:rStyle w:val="NormalTok"/>
        </w:rPr>
        <w:t xml:space="preserve"> s.encode(</w:t>
      </w:r>
      <w:r>
        <w:rPr>
          <w:rStyle w:val="StringTok"/>
        </w:rPr>
        <w:t xml:space="preserve">"utf-8"</w:t>
      </w:r>
      <w:r>
        <w:rPr>
          <w:rStyle w:val="NormalTok"/>
        </w:rPr>
        <w:t xml:space="preserve">)</w:t>
      </w:r>
      <w:r>
        <w:br/>
      </w:r>
      <w:r>
        <w:rPr>
          <w:rStyle w:val="NormalTok"/>
        </w:rPr>
        <w:t xml:space="preserve">    </w:t>
      </w:r>
      <w:r>
        <w:rPr>
          <w:rStyle w:val="ControlFlowTok"/>
        </w:rPr>
        <w:t xml:space="preserve">return</w:t>
      </w:r>
      <w:r>
        <w:rPr>
          <w:rStyle w:val="NormalTok"/>
        </w:rPr>
        <w:t xml:space="preserve"> encode_tag(field_number, </w:t>
      </w:r>
      <w:r>
        <w:rPr>
          <w:rStyle w:val="DecValTok"/>
        </w:rPr>
        <w:t xml:space="preserve">2</w:t>
      </w:r>
      <w:r>
        <w:rPr>
          <w:rStyle w:val="NormalTok"/>
        </w:rPr>
        <w:t xml:space="preserve">) </w:t>
      </w:r>
      <w:r>
        <w:rPr>
          <w:rStyle w:val="OperatorTok"/>
        </w:rPr>
        <w:t xml:space="preserve">+</w:t>
      </w:r>
      <w:r>
        <w:rPr>
          <w:rStyle w:val="NormalTok"/>
        </w:rPr>
        <w:t xml:space="preserve"> encode_varint(</w:t>
      </w:r>
      <w:r>
        <w:rPr>
          <w:rStyle w:val="BuiltInTok"/>
        </w:rPr>
        <w:t xml:space="preserve">len</w:t>
      </w:r>
      <w:r>
        <w:rPr>
          <w:rStyle w:val="NormalTok"/>
        </w:rPr>
        <w:t xml:space="preserve">(data)) </w:t>
      </w:r>
      <w:r>
        <w:rPr>
          <w:rStyle w:val="OperatorTok"/>
        </w:rPr>
        <w:t xml:space="preserve">+</w:t>
      </w:r>
      <w:r>
        <w:rPr>
          <w:rStyle w:val="NormalTok"/>
        </w:rPr>
        <w:t xml:space="preserve"> data</w:t>
      </w:r>
      <w:r>
        <w:br/>
      </w:r>
      <w:r>
        <w:br/>
      </w:r>
      <w:r>
        <w:br/>
      </w:r>
      <w:r>
        <w:rPr>
          <w:rStyle w:val="NormalTok"/>
        </w:rPr>
        <w:t xml:space="preserve">msg </w:t>
      </w:r>
      <w:r>
        <w:rPr>
          <w:rStyle w:val="OperatorTok"/>
        </w:rPr>
        <w:t xml:space="preserve">=</w:t>
      </w:r>
      <w:r>
        <w:rPr>
          <w:rStyle w:val="NormalTok"/>
        </w:rPr>
        <w:t xml:space="preserve"> (encode_string(</w:t>
      </w:r>
      <w:r>
        <w:rPr>
          <w:rStyle w:val="DecValTok"/>
        </w:rPr>
        <w:t xml:space="preserve">1</w:t>
      </w:r>
      <w:r>
        <w:rPr>
          <w:rStyle w:val="NormalTok"/>
        </w:rPr>
        <w:t xml:space="preserve">, </w:t>
      </w:r>
      <w:r>
        <w:rPr>
          <w:rStyle w:val="StringTok"/>
        </w:rPr>
        <w:t xml:space="preserve">"Martin"</w:t>
      </w:r>
      <w:r>
        <w:rPr>
          <w:rStyle w:val="NormalTok"/>
        </w:rPr>
        <w:t xml:space="preserve">)</w:t>
      </w:r>
      <w:r>
        <w:br/>
      </w:r>
      <w:r>
        <w:rPr>
          <w:rStyle w:val="NormalTok"/>
        </w:rPr>
        <w:t xml:space="preserve">       </w:t>
      </w:r>
      <w:r>
        <w:rPr>
          <w:rStyle w:val="OperatorTok"/>
        </w:rPr>
        <w:t xml:space="preserve">+</w:t>
      </w:r>
      <w:r>
        <w:rPr>
          <w:rStyle w:val="NormalTok"/>
        </w:rPr>
        <w:t xml:space="preserve"> encode_tag(</w:t>
      </w:r>
      <w:r>
        <w:rPr>
          <w:rStyle w:val="DecValTok"/>
        </w:rPr>
        <w:t xml:space="preserve">2</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encode_varint(</w:t>
      </w:r>
      <w:r>
        <w:rPr>
          <w:rStyle w:val="DecValTok"/>
        </w:rPr>
        <w:t xml:space="preserve">1337</w:t>
      </w:r>
      <w:r>
        <w:rPr>
          <w:rStyle w:val="NormalTok"/>
        </w:rPr>
        <w:t xml:space="preserve">)</w:t>
      </w:r>
      <w:r>
        <w:br/>
      </w:r>
      <w:r>
        <w:rPr>
          <w:rStyle w:val="NormalTok"/>
        </w:rPr>
        <w:t xml:space="preserve">       </w:t>
      </w:r>
      <w:r>
        <w:rPr>
          <w:rStyle w:val="OperatorTok"/>
        </w:rPr>
        <w:t xml:space="preserve">+</w:t>
      </w:r>
      <w:r>
        <w:rPr>
          <w:rStyle w:val="NormalTok"/>
        </w:rPr>
        <w:t xml:space="preserve"> encode_string(</w:t>
      </w:r>
      <w:r>
        <w:rPr>
          <w:rStyle w:val="DecValTok"/>
        </w:rPr>
        <w:t xml:space="preserve">3</w:t>
      </w:r>
      <w:r>
        <w:rPr>
          <w:rStyle w:val="NormalTok"/>
        </w:rPr>
        <w:t xml:space="preserve">, </w:t>
      </w:r>
      <w:r>
        <w:rPr>
          <w:rStyle w:val="StringTok"/>
        </w:rPr>
        <w:t xml:space="preserve">"daydreaming"</w:t>
      </w:r>
      <w:r>
        <w:rPr>
          <w:rStyle w:val="NormalTok"/>
        </w:rPr>
        <w:t xml:space="preserve">)</w:t>
      </w:r>
      <w:r>
        <w:br/>
      </w:r>
      <w:r>
        <w:rPr>
          <w:rStyle w:val="NormalTok"/>
        </w:rPr>
        <w:t xml:space="preserve">       </w:t>
      </w:r>
      <w:r>
        <w:rPr>
          <w:rStyle w:val="OperatorTok"/>
        </w:rPr>
        <w:t xml:space="preserve">+</w:t>
      </w:r>
      <w:r>
        <w:rPr>
          <w:rStyle w:val="NormalTok"/>
        </w:rPr>
        <w:t xml:space="preserve"> encode_string(</w:t>
      </w:r>
      <w:r>
        <w:rPr>
          <w:rStyle w:val="DecValTok"/>
        </w:rPr>
        <w:t xml:space="preserve">3</w:t>
      </w:r>
      <w:r>
        <w:rPr>
          <w:rStyle w:val="NormalTok"/>
        </w:rPr>
        <w:t xml:space="preserve">, </w:t>
      </w:r>
      <w:r>
        <w:rPr>
          <w:rStyle w:val="StringTok"/>
        </w:rPr>
        <w:t xml:space="preserve">"hacking"</w:t>
      </w:r>
      <w:r>
        <w:rPr>
          <w:rStyle w:val="NormalTok"/>
        </w:rPr>
        <w:t xml:space="preserve">))</w:t>
      </w:r>
      <w:r>
        <w:br/>
      </w:r>
      <w:r>
        <w:rPr>
          <w:rStyle w:val="BuiltInTok"/>
        </w:rPr>
        <w:t xml:space="preserve">print</w:t>
      </w:r>
      <w:r>
        <w:rPr>
          <w:rStyle w:val="NormalTok"/>
        </w:rPr>
        <w:t xml:space="preserve">(msg.</w:t>
      </w:r>
      <w:r>
        <w:rPr>
          <w:rStyle w:val="BuiltInTok"/>
        </w:rPr>
        <w:t xml:space="preserve">hex</w:t>
      </w:r>
      <w:r>
        <w:rPr>
          <w:rStyle w:val="NormalTok"/>
        </w:rPr>
        <w:t xml:space="preserve">(</w:t>
      </w:r>
      <w:r>
        <w:rPr>
          <w:rStyle w:val="StringTok"/>
        </w:rPr>
        <w:t xml:space="preserve">" "</w:t>
      </w:r>
      <w:r>
        <w:rPr>
          <w:rStyle w:val="NormalTok"/>
        </w:rPr>
        <w:t xml:space="preserve">), </w:t>
      </w:r>
      <w:r>
        <w:rPr>
          <w:rStyle w:val="BuiltInTok"/>
        </w:rPr>
        <w:t xml:space="preserve">len</w:t>
      </w:r>
      <w:r>
        <w:rPr>
          <w:rStyle w:val="NormalTok"/>
        </w:rPr>
        <w:t xml:space="preserve">(msg), </w:t>
      </w:r>
      <w:r>
        <w:rPr>
          <w:rStyle w:val="StringTok"/>
        </w:rPr>
        <w:t xml:space="preserve">"bytes"</w:t>
      </w:r>
      <w:r>
        <w:rPr>
          <w:rStyle w:val="NormalTok"/>
        </w:rPr>
        <w:t xml:space="preserve">)</w:t>
      </w:r>
      <w:r>
        <w:br/>
      </w:r>
      <w:r>
        <w:rPr>
          <w:rStyle w:val="CommentTok"/>
        </w:rPr>
        <w:t xml:space="preserve"># 0a 06 4d 61 72 74 69 6e 10 b9 0a 1a 0b 64 61 79 64 72 65 61 6d 69 6e 67 1a 07 68 61 63 6b 69 6e 67 33 bytes</w:t>
      </w:r>
    </w:p>
    <w:p>
      <w:pPr>
        <w:pStyle w:val="FirstParagraph"/>
      </w:pPr>
      <w:r>
        <w:t xml:space="preserve">What to notice: this output is byte-for-byte identical to what the official Protobuf library produces for the equivalent</w:t>
      </w:r>
      <w:r>
        <w:t xml:space="preserve"> </w:t>
      </w:r>
      <w:r>
        <w:rPr>
          <w:rStyle w:val="VerbatimChar"/>
        </w:rPr>
        <w:t xml:space="preserve">.proto</w:t>
      </w:r>
      <w:r>
        <w:t xml:space="preserve"> </w:t>
      </w:r>
      <w:r>
        <w:t xml:space="preserve">message; and because every field carries its own tag and wire type, a reader that does not know field 3 can still skip exactly the right number of bytes.</w:t>
      </w:r>
    </w:p>
    <w:p>
      <w:pPr>
        <w:pStyle w:val="BodyText"/>
      </w:pPr>
      <w:r>
        <w:rPr>
          <w:bCs/>
          <w:b/>
        </w:rPr>
        <w:t xml:space="preserve">Apache Avro</w:t>
      </w:r>
      <w:r>
        <w:t xml:space="preserve"> </w:t>
      </w:r>
      <w:r>
        <w:t xml:space="preserve">takes the opposite approach: the binary data contains</w:t>
      </w:r>
      <w:r>
        <w:t xml:space="preserve"> </w:t>
      </w:r>
      <w:r>
        <w:rPr>
          <w:bCs/>
          <w:b/>
        </w:rPr>
        <w:t xml:space="preserve">no field tags or names at all</w:t>
      </w:r>
      <w:r>
        <w:t xml:space="preserve">, just values concatenated in schema order (integers as ZigZag varints, strings as length + bytes). The same record encodes to 32 bytes [Kleppmann 2017, ch. 4]. The reader therefore needs the exact</w:t>
      </w:r>
      <w:r>
        <w:t xml:space="preserve"> </w:t>
      </w:r>
      <w:r>
        <w:rPr>
          <w:bCs/>
          <w:b/>
        </w:rPr>
        <w:t xml:space="preserve">writer’s schema</w:t>
      </w:r>
      <w:r>
        <w:t xml:space="preserve"> </w:t>
      </w:r>
      <w:r>
        <w:t xml:space="preserve">to parse the bytes; it then</w:t>
      </w:r>
      <w:r>
        <w:t xml:space="preserve"> </w:t>
      </w:r>
      <w:r>
        <w:rPr>
          <w:bCs/>
          <w:b/>
        </w:rPr>
        <w:t xml:space="preserve">resolves</w:t>
      </w:r>
      <w:r>
        <w:t xml:space="preserve"> </w:t>
      </w:r>
      <w:r>
        <w:t xml:space="preserve">that schema against its own</w:t>
      </w:r>
      <w:r>
        <w:t xml:space="preserve"> </w:t>
      </w:r>
      <w:r>
        <w:rPr>
          <w:bCs/>
          <w:b/>
        </w:rPr>
        <w:t xml:space="preserve">reader’s schema</w:t>
      </w:r>
      <w:r>
        <w:t xml:space="preserve"> </w:t>
      </w:r>
      <w:r>
        <w:t xml:space="preserve">by field</w:t>
      </w:r>
      <w:r>
        <w:t xml:space="preserve"> </w:t>
      </w:r>
      <w:r>
        <w:rPr>
          <w:iCs/>
          <w:i/>
        </w:rPr>
        <w:t xml:space="preserve">name</w:t>
      </w:r>
      <w:r>
        <w:t xml:space="preserve">, filling defaults for fields the writer lacked and ignoring fields the reader does not know [Apache Avro Spec]. The writer’s schema travels in the file header (Avro object container files), or a short schema ID is prefixed to each message and looked up in a</w:t>
      </w:r>
      <w:r>
        <w:t xml:space="preserve"> </w:t>
      </w:r>
      <w:r>
        <w:rPr>
          <w:bCs/>
          <w:b/>
        </w:rPr>
        <w:t xml:space="preserve">schema registry</w:t>
      </w:r>
      <w:r>
        <w:t xml:space="preserve">, the usual arrangement with Kafka (Chapter 31). Because Avro has no hand-assigned tags, schemas can be generated from database tables, which suits data pipelines (Chapter 61).</w:t>
      </w:r>
    </w:p>
    <w:p>
      <w:pPr>
        <w:pStyle w:val="BodyText"/>
      </w:pPr>
      <w:r>
        <w:rPr>
          <w:bCs/>
          <w:b/>
        </w:rPr>
        <w:t xml:space="preserve">Apache Thrift</w:t>
      </w:r>
      <w:r>
        <w:t xml:space="preserve">, created at Facebook [Slee et al. 2007], is an IDL plus RPC framework like gRPC. Fields carry numeric tags as in Protobuf; it offers several encodings, including BinaryProtocol (fixed-width numbers; 59 bytes for the example record) and CompactProtocol (varints and packed field headers; 34 bytes) [Kleppmann 2017, ch. 4].</w:t>
      </w:r>
    </w:p>
    <w:p>
      <w:pPr>
        <w:pStyle w:val="BodyText"/>
      </w:pPr>
      <w:r>
        <w:rPr>
          <w:bCs/>
          <w:b/>
        </w:rPr>
        <w:t xml:space="preserve">Table 8.12 — Serialization formats compared (sizes for the 3-field example record).</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Format</w:t>
            </w:r>
          </w:p>
        </w:tc>
        <w:tc>
          <w:tcPr/>
          <w:p>
            <w:pPr>
              <w:pStyle w:val="Compact"/>
              <w:jc w:val="left"/>
            </w:pPr>
            <w:r>
              <w:t xml:space="preserve">Schema</w:t>
            </w:r>
          </w:p>
        </w:tc>
        <w:tc>
          <w:tcPr/>
          <w:p>
            <w:pPr>
              <w:pStyle w:val="Compact"/>
              <w:jc w:val="left"/>
            </w:pPr>
            <w:r>
              <w:t xml:space="preserve">Field identity on wire</w:t>
            </w:r>
          </w:p>
        </w:tc>
        <w:tc>
          <w:tcPr/>
          <w:p>
            <w:pPr>
              <w:pStyle w:val="Compact"/>
              <w:jc w:val="left"/>
            </w:pPr>
            <w:r>
              <w:t xml:space="preserve">Example size</w:t>
            </w:r>
          </w:p>
        </w:tc>
        <w:tc>
          <w:tcPr/>
          <w:p>
            <w:pPr>
              <w:pStyle w:val="Compact"/>
              <w:jc w:val="left"/>
            </w:pPr>
            <w:r>
              <w:t xml:space="preserve">Human-readable</w:t>
            </w:r>
          </w:p>
        </w:tc>
        <w:tc>
          <w:tcPr/>
          <w:p>
            <w:pPr>
              <w:pStyle w:val="Compact"/>
              <w:jc w:val="left"/>
            </w:pPr>
            <w:r>
              <w:t xml:space="preserve">Typical use</w:t>
            </w:r>
          </w:p>
        </w:tc>
      </w:tr>
      <w:tr>
        <w:tc>
          <w:tcPr/>
          <w:p>
            <w:pPr>
              <w:pStyle w:val="Compact"/>
              <w:jc w:val="left"/>
            </w:pPr>
            <w:r>
              <w:t xml:space="preserve">JSON</w:t>
            </w:r>
          </w:p>
        </w:tc>
        <w:tc>
          <w:tcPr/>
          <w:p>
            <w:pPr>
              <w:pStyle w:val="Compact"/>
              <w:jc w:val="left"/>
            </w:pPr>
            <w:r>
              <w:t xml:space="preserve">Optional (JSON Schema)</w:t>
            </w:r>
          </w:p>
        </w:tc>
        <w:tc>
          <w:tcPr/>
          <w:p>
            <w:pPr>
              <w:pStyle w:val="Compact"/>
              <w:jc w:val="left"/>
            </w:pPr>
            <w:r>
              <w:t xml:space="preserve">Names, every record</w:t>
            </w:r>
          </w:p>
        </w:tc>
        <w:tc>
          <w:tcPr/>
          <w:p>
            <w:pPr>
              <w:pStyle w:val="Compact"/>
              <w:jc w:val="left"/>
            </w:pPr>
            <w:r>
              <w:t xml:space="preserve">81 B</w:t>
            </w:r>
          </w:p>
        </w:tc>
        <w:tc>
          <w:tcPr/>
          <w:p>
            <w:pPr>
              <w:pStyle w:val="Compact"/>
              <w:jc w:val="left"/>
            </w:pPr>
            <w:r>
              <w:t xml:space="preserve">Yes</w:t>
            </w:r>
          </w:p>
        </w:tc>
        <w:tc>
          <w:tcPr/>
          <w:p>
            <w:pPr>
              <w:pStyle w:val="Compact"/>
              <w:jc w:val="left"/>
            </w:pPr>
            <w:r>
              <w:t xml:space="preserve">Public APIs, browsers, config</w:t>
            </w:r>
          </w:p>
        </w:tc>
      </w:tr>
      <w:tr>
        <w:tc>
          <w:tcPr/>
          <w:p>
            <w:pPr>
              <w:pStyle w:val="Compact"/>
              <w:jc w:val="left"/>
            </w:pPr>
            <w:r>
              <w:t xml:space="preserve">Thrift Binary</w:t>
            </w:r>
          </w:p>
        </w:tc>
        <w:tc>
          <w:tcPr/>
          <w:p>
            <w:pPr>
              <w:pStyle w:val="Compact"/>
              <w:jc w:val="left"/>
            </w:pPr>
            <w:r>
              <w:t xml:space="preserve">Required (IDL)</w:t>
            </w:r>
          </w:p>
        </w:tc>
        <w:tc>
          <w:tcPr/>
          <w:p>
            <w:pPr>
              <w:pStyle w:val="Compact"/>
              <w:jc w:val="left"/>
            </w:pPr>
            <w:r>
              <w:t xml:space="preserve">Numeric tags</w:t>
            </w:r>
          </w:p>
        </w:tc>
        <w:tc>
          <w:tcPr/>
          <w:p>
            <w:pPr>
              <w:pStyle w:val="Compact"/>
              <w:jc w:val="left"/>
            </w:pPr>
            <w:r>
              <w:t xml:space="preserve">59 B</w:t>
            </w:r>
          </w:p>
        </w:tc>
        <w:tc>
          <w:tcPr/>
          <w:p>
            <w:pPr>
              <w:pStyle w:val="Compact"/>
              <w:jc w:val="left"/>
            </w:pPr>
            <w:r>
              <w:t xml:space="preserve">No</w:t>
            </w:r>
          </w:p>
        </w:tc>
        <w:tc>
          <w:tcPr/>
          <w:p>
            <w:pPr>
              <w:pStyle w:val="Compact"/>
              <w:jc w:val="left"/>
            </w:pPr>
            <w:r>
              <w:t xml:space="preserve">Thrift RPC</w:t>
            </w:r>
          </w:p>
        </w:tc>
      </w:tr>
      <w:tr>
        <w:tc>
          <w:tcPr/>
          <w:p>
            <w:pPr>
              <w:pStyle w:val="Compact"/>
              <w:jc w:val="left"/>
            </w:pPr>
            <w:r>
              <w:t xml:space="preserve">Thrift Compact</w:t>
            </w:r>
          </w:p>
        </w:tc>
        <w:tc>
          <w:tcPr/>
          <w:p>
            <w:pPr>
              <w:pStyle w:val="Compact"/>
              <w:jc w:val="left"/>
            </w:pPr>
            <w:r>
              <w:t xml:space="preserve">Required (IDL)</w:t>
            </w:r>
          </w:p>
        </w:tc>
        <w:tc>
          <w:tcPr/>
          <w:p>
            <w:pPr>
              <w:pStyle w:val="Compact"/>
              <w:jc w:val="left"/>
            </w:pPr>
            <w:r>
              <w:t xml:space="preserve">Numeric tags, packed</w:t>
            </w:r>
          </w:p>
        </w:tc>
        <w:tc>
          <w:tcPr/>
          <w:p>
            <w:pPr>
              <w:pStyle w:val="Compact"/>
              <w:jc w:val="left"/>
            </w:pPr>
            <w:r>
              <w:t xml:space="preserve">34 B</w:t>
            </w:r>
          </w:p>
        </w:tc>
        <w:tc>
          <w:tcPr/>
          <w:p>
            <w:pPr>
              <w:pStyle w:val="Compact"/>
              <w:jc w:val="left"/>
            </w:pPr>
            <w:r>
              <w:t xml:space="preserve">No</w:t>
            </w:r>
          </w:p>
        </w:tc>
        <w:tc>
          <w:tcPr/>
          <w:p>
            <w:pPr>
              <w:pStyle w:val="Compact"/>
              <w:jc w:val="left"/>
            </w:pPr>
            <w:r>
              <w:t xml:space="preserve">Thrift RPC, storage</w:t>
            </w:r>
          </w:p>
        </w:tc>
      </w:tr>
      <w:tr>
        <w:tc>
          <w:tcPr/>
          <w:p>
            <w:pPr>
              <w:pStyle w:val="Compact"/>
              <w:jc w:val="left"/>
            </w:pPr>
            <w:r>
              <w:t xml:space="preserve">Protobuf</w:t>
            </w:r>
          </w:p>
        </w:tc>
        <w:tc>
          <w:tcPr/>
          <w:p>
            <w:pPr>
              <w:pStyle w:val="Compact"/>
              <w:jc w:val="left"/>
            </w:pPr>
            <w:r>
              <w:t xml:space="preserve">Required (</w:t>
            </w:r>
            <w:r>
              <w:rPr>
                <w:rStyle w:val="VerbatimChar"/>
              </w:rPr>
              <w:t xml:space="preserve">.proto</w:t>
            </w:r>
            <w:r>
              <w:t xml:space="preserve">)</w:t>
            </w:r>
          </w:p>
        </w:tc>
        <w:tc>
          <w:tcPr/>
          <w:p>
            <w:pPr>
              <w:pStyle w:val="Compact"/>
              <w:jc w:val="left"/>
            </w:pPr>
            <w:r>
              <w:t xml:space="preserve">Numeric tags</w:t>
            </w:r>
          </w:p>
        </w:tc>
        <w:tc>
          <w:tcPr/>
          <w:p>
            <w:pPr>
              <w:pStyle w:val="Compact"/>
              <w:jc w:val="left"/>
            </w:pPr>
            <w:r>
              <w:t xml:space="preserve">33 B</w:t>
            </w:r>
          </w:p>
        </w:tc>
        <w:tc>
          <w:tcPr/>
          <w:p>
            <w:pPr>
              <w:pStyle w:val="Compact"/>
              <w:jc w:val="left"/>
            </w:pPr>
            <w:r>
              <w:t xml:space="preserve">No</w:t>
            </w:r>
          </w:p>
        </w:tc>
        <w:tc>
          <w:tcPr/>
          <w:p>
            <w:pPr>
              <w:pStyle w:val="Compact"/>
              <w:jc w:val="left"/>
            </w:pPr>
            <w:r>
              <w:t xml:space="preserve">gRPC, internal APIs, storage</w:t>
            </w:r>
          </w:p>
        </w:tc>
      </w:tr>
      <w:tr>
        <w:tc>
          <w:tcPr/>
          <w:p>
            <w:pPr>
              <w:pStyle w:val="Compact"/>
              <w:jc w:val="left"/>
            </w:pPr>
            <w:r>
              <w:t xml:space="preserve">Avro</w:t>
            </w:r>
          </w:p>
        </w:tc>
        <w:tc>
          <w:tcPr/>
          <w:p>
            <w:pPr>
              <w:pStyle w:val="Compact"/>
              <w:jc w:val="left"/>
            </w:pPr>
            <w:r>
              <w:t xml:space="preserve">Required, writer’s schema needed to read</w:t>
            </w:r>
          </w:p>
        </w:tc>
        <w:tc>
          <w:tcPr/>
          <w:p>
            <w:pPr>
              <w:pStyle w:val="Compact"/>
              <w:jc w:val="left"/>
            </w:pPr>
            <w:r>
              <w:t xml:space="preserve">None (schema order)</w:t>
            </w:r>
          </w:p>
        </w:tc>
        <w:tc>
          <w:tcPr/>
          <w:p>
            <w:pPr>
              <w:pStyle w:val="Compact"/>
              <w:jc w:val="left"/>
            </w:pPr>
            <w:r>
              <w:t xml:space="preserve">32 B</w:t>
            </w:r>
          </w:p>
        </w:tc>
        <w:tc>
          <w:tcPr/>
          <w:p>
            <w:pPr>
              <w:pStyle w:val="Compact"/>
              <w:jc w:val="left"/>
            </w:pPr>
            <w:r>
              <w:t xml:space="preserve">No</w:t>
            </w:r>
          </w:p>
        </w:tc>
        <w:tc>
          <w:tcPr/>
          <w:p>
            <w:pPr>
              <w:pStyle w:val="Compact"/>
              <w:jc w:val="left"/>
            </w:pPr>
            <w:r>
              <w:t xml:space="preserve">Kafka with schema registry, data lakes</w:t>
            </w:r>
          </w:p>
        </w:tc>
      </w:tr>
    </w:tbl>
    <w:bookmarkEnd w:id="897"/>
    <w:bookmarkStart w:id="901" w:name="schema-evolution-and-compatibility"/>
    <w:p>
      <w:pPr>
        <w:pStyle w:val="Heading3"/>
      </w:pPr>
      <w:r>
        <w:t xml:space="preserve">8.9.3 Schema evolution and compatibility</w:t>
      </w:r>
    </w:p>
    <w:p>
      <w:pPr>
        <w:pStyle w:val="CalloutDefinition"/>
      </w:pPr>
      <w:r>
        <w:rPr>
          <w:bCs/>
          <w:b/>
        </w:rPr>
        <w:t xml:space="preserve">DEFINITION</w:t>
      </w:r>
    </w:p>
    <w:p>
      <w:pPr>
        <w:pStyle w:val="CalloutDefinition"/>
      </w:pPr>
      <w:r>
        <w:rPr>
          <w:bCs/>
          <w:b/>
        </w:rPr>
        <w:t xml:space="preserve">Definition — Backward and forward compatibility.</w:t>
      </w:r>
      <w:r>
        <w:t xml:space="preserve"> </w:t>
      </w:r>
      <w:r>
        <w:rPr>
          <w:bCs/>
          <w:b/>
        </w:rPr>
        <w:t xml:space="preserve">Backward compatibility</w:t>
      </w:r>
      <w:r>
        <w:t xml:space="preserve">: newer code can read data written by older code.</w:t>
      </w:r>
      <w:r>
        <w:t xml:space="preserve"> </w:t>
      </w:r>
      <w:r>
        <w:rPr>
          <w:bCs/>
          <w:b/>
        </w:rPr>
        <w:t xml:space="preserve">Forward compatibility</w:t>
      </w:r>
      <w:r>
        <w:t xml:space="preserve">: older code can read data written by newer code [Kleppmann 2017, ch. 4].</w:t>
      </w:r>
    </w:p>
    <w:p>
      <w:pPr>
        <w:pStyle w:val="BodyText"/>
      </w:pPr>
      <w:r>
        <w:t xml:space="preserve">During a rolling deployment both hold at once: new servers read messages from old servers (backward) and old servers, not yet upgraded, read messages from new ones (forward). Mobile apps and long-lived data on disk or in Kafka stretch the window from minutes to years.</w:t>
      </w:r>
    </w:p>
    <w:p>
      <w:pPr>
        <w:pStyle w:val="BodyText"/>
      </w:pPr>
      <w:r>
        <w:rPr>
          <w:bCs/>
          <w:b/>
        </w:rPr>
        <w:t xml:space="preserve">Figure 8.7 — Mixed versions during a rolling deployment.</w:t>
      </w:r>
    </w:p>
    <w:p>
      <w:pPr>
        <w:pStyle w:val="BodyText"/>
      </w:pPr>
      <w:r>
        <w:drawing>
          <wp:inline>
            <wp:extent cx="5334000" cy="1535247"/>
            <wp:effectExtent b="0" l="0" r="0" t="0"/>
            <wp:docPr descr="" title="" id="899" name="Picture"/>
            <a:graphic>
              <a:graphicData uri="http://schemas.openxmlformats.org/drawingml/2006/picture">
                <pic:pic>
                  <pic:nvPicPr>
                    <pic:cNvPr descr="/home/user/System-Design/build/.cache/diagrams/8a050366b0e6.png" id="900" name="Picture"/>
                    <pic:cNvPicPr>
                      <a:picLocks noChangeArrowheads="1" noChangeAspect="1"/>
                    </pic:cNvPicPr>
                  </pic:nvPicPr>
                  <pic:blipFill>
                    <a:blip r:embed="rId898"/>
                    <a:stretch>
                      <a:fillRect/>
                    </a:stretch>
                  </pic:blipFill>
                  <pic:spPr bwMode="auto">
                    <a:xfrm>
                      <a:off x="0" y="0"/>
                      <a:ext cx="5334000" cy="1535247"/>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Two producer versions write to the same queue during a deployment, so the queue (the storage boundary) holds both message versions; arrows are dotted because the path is asynchronous. The old consumer must ignore field 4, which it has never heard of (forward compatibility); the new consumer must cope with messages lacking field 4 (backward compatibility). Failure point: if either assumption breaks, a deployment that looked fine in testing fails only when versions mix. Scaling: the same rules let independent teams deploy producers and consumers on separate schedules.</w:t>
      </w:r>
    </w:p>
    <w:p>
      <w:pPr>
        <w:pStyle w:val="BodyText"/>
      </w:pPr>
      <w:r>
        <w:rPr>
          <w:bCs/>
          <w:b/>
        </w:rPr>
        <w:t xml:space="preserve">Table 8.13 — Schema-evolution rules by format.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Change</w:t>
            </w:r>
          </w:p>
        </w:tc>
        <w:tc>
          <w:tcPr/>
          <w:p>
            <w:pPr>
              <w:pStyle w:val="Compact"/>
              <w:jc w:val="left"/>
            </w:pPr>
            <w:r>
              <w:t xml:space="preserve">Protobuf (proto3)</w:t>
            </w:r>
          </w:p>
        </w:tc>
        <w:tc>
          <w:tcPr/>
          <w:p>
            <w:pPr>
              <w:pStyle w:val="Compact"/>
              <w:jc w:val="left"/>
            </w:pPr>
            <w:r>
              <w:t xml:space="preserve">Avro</w:t>
            </w:r>
          </w:p>
        </w:tc>
        <w:tc>
          <w:tcPr/>
          <w:p>
            <w:pPr>
              <w:pStyle w:val="Compact"/>
              <w:jc w:val="left"/>
            </w:pPr>
            <w:r>
              <w:t xml:space="preserve">Thrift</w:t>
            </w:r>
          </w:p>
        </w:tc>
        <w:tc>
          <w:tcPr/>
          <w:p>
            <w:pPr>
              <w:pStyle w:val="Compact"/>
              <w:jc w:val="left"/>
            </w:pPr>
            <w:r>
              <w:t xml:space="preserve">JSON API</w:t>
            </w:r>
          </w:p>
        </w:tc>
      </w:tr>
      <w:tr>
        <w:tc>
          <w:tcPr/>
          <w:p>
            <w:pPr>
              <w:pStyle w:val="Compact"/>
              <w:jc w:val="left"/>
            </w:pPr>
            <w:r>
              <w:t xml:space="preserve">Add a field</w:t>
            </w:r>
          </w:p>
        </w:tc>
        <w:tc>
          <w:tcPr/>
          <w:p>
            <w:pPr>
              <w:pStyle w:val="Compact"/>
              <w:jc w:val="left"/>
            </w:pPr>
            <w:r>
              <w:t xml:space="preserve">Safe: old readers skip unknown tags; new readers see the default</w:t>
            </w:r>
          </w:p>
        </w:tc>
        <w:tc>
          <w:tcPr/>
          <w:p>
            <w:pPr>
              <w:pStyle w:val="Compact"/>
              <w:jc w:val="left"/>
            </w:pPr>
            <w:r>
              <w:t xml:space="preserve">Safe only if the new field has a default</w:t>
            </w:r>
          </w:p>
        </w:tc>
        <w:tc>
          <w:tcPr/>
          <w:p>
            <w:pPr>
              <w:pStyle w:val="Compact"/>
              <w:jc w:val="left"/>
            </w:pPr>
            <w:r>
              <w:t xml:space="preserve">Safe if</w:t>
            </w:r>
            <w:r>
              <w:t xml:space="preserve"> </w:t>
            </w:r>
            <w:r>
              <w:rPr>
                <w:rStyle w:val="VerbatimChar"/>
              </w:rPr>
              <w:t xml:space="preserve">optional</w:t>
            </w:r>
          </w:p>
        </w:tc>
        <w:tc>
          <w:tcPr/>
          <w:p>
            <w:pPr>
              <w:pStyle w:val="Compact"/>
              <w:jc w:val="left"/>
            </w:pPr>
            <w:r>
              <w:t xml:space="preserve">Safe if clients ignore unknown fields</w:t>
            </w:r>
          </w:p>
        </w:tc>
      </w:tr>
      <w:tr>
        <w:tc>
          <w:tcPr/>
          <w:p>
            <w:pPr>
              <w:pStyle w:val="Compact"/>
              <w:jc w:val="left"/>
            </w:pPr>
            <w:r>
              <w:t xml:space="preserve">Remove a field</w:t>
            </w:r>
          </w:p>
        </w:tc>
        <w:tc>
          <w:tcPr/>
          <w:p>
            <w:pPr>
              <w:pStyle w:val="Compact"/>
              <w:jc w:val="left"/>
            </w:pPr>
            <w:r>
              <w:t xml:space="preserve">Safe; mark its number and name</w:t>
            </w:r>
            <w:r>
              <w:t xml:space="preserve"> </w:t>
            </w:r>
            <w:r>
              <w:rPr>
                <w:rStyle w:val="VerbatimChar"/>
              </w:rPr>
              <w:t xml:space="preserve">reserved</w:t>
            </w:r>
          </w:p>
        </w:tc>
        <w:tc>
          <w:tcPr/>
          <w:p>
            <w:pPr>
              <w:pStyle w:val="Compact"/>
              <w:jc w:val="left"/>
            </w:pPr>
            <w:r>
              <w:t xml:space="preserve">Safe only if the field had a default</w:t>
            </w:r>
          </w:p>
        </w:tc>
        <w:tc>
          <w:tcPr/>
          <w:p>
            <w:pPr>
              <w:pStyle w:val="Compact"/>
              <w:jc w:val="left"/>
            </w:pPr>
            <w:r>
              <w:t xml:space="preserve">Safe for</w:t>
            </w:r>
            <w:r>
              <w:t xml:space="preserve"> </w:t>
            </w:r>
            <w:r>
              <w:rPr>
                <w:rStyle w:val="VerbatimChar"/>
              </w:rPr>
              <w:t xml:space="preserve">optional</w:t>
            </w:r>
            <w:r>
              <w:t xml:space="preserve">; never reuse the tag</w:t>
            </w:r>
          </w:p>
        </w:tc>
        <w:tc>
          <w:tcPr/>
          <w:p>
            <w:pPr>
              <w:pStyle w:val="Compact"/>
              <w:jc w:val="left"/>
            </w:pPr>
            <w:r>
              <w:t xml:space="preserve">Breaking for clients that read it</w:t>
            </w:r>
          </w:p>
        </w:tc>
      </w:tr>
      <w:tr>
        <w:tc>
          <w:tcPr/>
          <w:p>
            <w:pPr>
              <w:pStyle w:val="Compact"/>
              <w:jc w:val="left"/>
            </w:pPr>
            <w:r>
              <w:t xml:space="preserve">Rename a field</w:t>
            </w:r>
          </w:p>
        </w:tc>
        <w:tc>
          <w:tcPr/>
          <w:p>
            <w:pPr>
              <w:pStyle w:val="Compact"/>
              <w:jc w:val="left"/>
            </w:pPr>
            <w:r>
              <w:t xml:space="preserve">Wire-safe (names not encoded); breaks the JSON mapping and code</w:t>
            </w:r>
          </w:p>
        </w:tc>
        <w:tc>
          <w:tcPr/>
          <w:p>
            <w:pPr>
              <w:pStyle w:val="Compact"/>
              <w:jc w:val="left"/>
            </w:pPr>
            <w:r>
              <w:t xml:space="preserve">Use</w:t>
            </w:r>
            <w:r>
              <w:t xml:space="preserve"> </w:t>
            </w:r>
            <w:r>
              <w:rPr>
                <w:rStyle w:val="VerbatimChar"/>
              </w:rPr>
              <w:t xml:space="preserve">aliases</w:t>
            </w:r>
            <w:r>
              <w:t xml:space="preserve"> </w:t>
            </w:r>
            <w:r>
              <w:t xml:space="preserve">in the reader’s schema</w:t>
            </w:r>
          </w:p>
        </w:tc>
        <w:tc>
          <w:tcPr/>
          <w:p>
            <w:pPr>
              <w:pStyle w:val="Compact"/>
              <w:jc w:val="left"/>
            </w:pPr>
            <w:r>
              <w:t xml:space="preserve">Wire-safe</w:t>
            </w:r>
          </w:p>
        </w:tc>
        <w:tc>
          <w:tcPr/>
          <w:p>
            <w:pPr>
              <w:pStyle w:val="Compact"/>
              <w:jc w:val="left"/>
            </w:pPr>
            <w:r>
              <w:t xml:space="preserve">Breaking</w:t>
            </w:r>
          </w:p>
        </w:tc>
      </w:tr>
      <w:tr>
        <w:tc>
          <w:tcPr/>
          <w:p>
            <w:pPr>
              <w:pStyle w:val="Compact"/>
              <w:jc w:val="left"/>
            </w:pPr>
            <w:r>
              <w:t xml:space="preserve">Change a field number / tag</w:t>
            </w:r>
          </w:p>
        </w:tc>
        <w:tc>
          <w:tcPr/>
          <w:p>
            <w:pPr>
              <w:pStyle w:val="Compact"/>
              <w:jc w:val="left"/>
            </w:pPr>
            <w:r>
              <w:t xml:space="preserve">Breaking</w:t>
            </w:r>
          </w:p>
        </w:tc>
        <w:tc>
          <w:tcPr/>
          <w:p>
            <w:pPr>
              <w:pStyle w:val="Compact"/>
              <w:jc w:val="left"/>
            </w:pPr>
            <w:r>
              <w:t xml:space="preserve">n/a</w:t>
            </w:r>
          </w:p>
        </w:tc>
        <w:tc>
          <w:tcPr/>
          <w:p>
            <w:pPr>
              <w:pStyle w:val="Compact"/>
              <w:jc w:val="left"/>
            </w:pPr>
            <w:r>
              <w:t xml:space="preserve">Breaking</w:t>
            </w:r>
          </w:p>
        </w:tc>
        <w:tc>
          <w:tcPr/>
          <w:p>
            <w:pPr>
              <w:pStyle w:val="Compact"/>
              <w:jc w:val="left"/>
            </w:pPr>
            <w:r>
              <w:t xml:space="preserve">n/a</w:t>
            </w:r>
          </w:p>
        </w:tc>
      </w:tr>
      <w:tr>
        <w:tc>
          <w:tcPr/>
          <w:p>
            <w:pPr>
              <w:pStyle w:val="Compact"/>
              <w:jc w:val="left"/>
            </w:pPr>
            <w:r>
              <w:t xml:space="preserve">Change type</w:t>
            </w:r>
          </w:p>
        </w:tc>
        <w:tc>
          <w:tcPr/>
          <w:p>
            <w:pPr>
              <w:pStyle w:val="Compact"/>
              <w:jc w:val="left"/>
            </w:pPr>
            <w:r>
              <w:t xml:space="preserve">Only between compatible types (e.g. </w:t>
            </w:r>
            <w:r>
              <w:rPr>
                <w:rStyle w:val="VerbatimChar"/>
              </w:rPr>
              <w:t xml:space="preserve">int32</w:t>
            </w:r>
            <w:r>
              <w:t xml:space="preserve">↔</w:t>
            </w:r>
            <w:r>
              <w:rPr>
                <w:rStyle w:val="VerbatimChar"/>
              </w:rPr>
              <w:t xml:space="preserve">int64</w:t>
            </w:r>
            <w:r>
              <w:t xml:space="preserve">, with truncation risk)</w:t>
            </w:r>
          </w:p>
        </w:tc>
        <w:tc>
          <w:tcPr/>
          <w:p>
            <w:pPr>
              <w:pStyle w:val="Compact"/>
              <w:jc w:val="left"/>
            </w:pPr>
            <w:r>
              <w:t xml:space="preserve">Only defined promotions (</w:t>
            </w:r>
            <w:r>
              <w:rPr>
                <w:rStyle w:val="VerbatimChar"/>
              </w:rPr>
              <w:t xml:space="preserve">int</w:t>
            </w:r>
            <w:r>
              <w:t xml:space="preserve">→</w:t>
            </w:r>
            <w:r>
              <w:rPr>
                <w:rStyle w:val="VerbatimChar"/>
              </w:rPr>
              <w:t xml:space="preserve">long</w:t>
            </w:r>
            <w:r>
              <w:t xml:space="preserve">→</w:t>
            </w:r>
            <w:r>
              <w:rPr>
                <w:rStyle w:val="VerbatimChar"/>
              </w:rPr>
              <w:t xml:space="preserve">float</w:t>
            </w:r>
            <w:r>
              <w:t xml:space="preserve">→</w:t>
            </w:r>
            <w:r>
              <w:rPr>
                <w:rStyle w:val="VerbatimChar"/>
              </w:rPr>
              <w:t xml:space="preserve">double</w:t>
            </w:r>
            <w:r>
              <w:t xml:space="preserve">)</w:t>
            </w:r>
          </w:p>
        </w:tc>
        <w:tc>
          <w:tcPr/>
          <w:p>
            <w:pPr>
              <w:pStyle w:val="Compact"/>
              <w:jc w:val="left"/>
            </w:pPr>
            <w:r>
              <w:t xml:space="preserve">Limited</w:t>
            </w:r>
          </w:p>
        </w:tc>
        <w:tc>
          <w:tcPr/>
          <w:p>
            <w:pPr>
              <w:pStyle w:val="Compact"/>
              <w:jc w:val="left"/>
            </w:pPr>
            <w:r>
              <w:t xml:space="preserve">Usually breaking</w:t>
            </w:r>
          </w:p>
        </w:tc>
      </w:tr>
      <w:tr>
        <w:tc>
          <w:tcPr/>
          <w:p>
            <w:pPr>
              <w:pStyle w:val="Compact"/>
              <w:jc w:val="left"/>
            </w:pPr>
            <w:r>
              <w:t xml:space="preserve">Add a required field</w:t>
            </w:r>
          </w:p>
        </w:tc>
        <w:tc>
          <w:tcPr/>
          <w:p>
            <w:pPr>
              <w:pStyle w:val="Compact"/>
              <w:jc w:val="left"/>
            </w:pPr>
            <w:r>
              <w:t xml:space="preserve">Not possible in proto3 (no</w:t>
            </w:r>
            <w:r>
              <w:t xml:space="preserve"> </w:t>
            </w:r>
            <w:r>
              <w:rPr>
                <w:rStyle w:val="VerbatimChar"/>
              </w:rPr>
              <w:t xml:space="preserve">required</w:t>
            </w:r>
            <w:r>
              <w:t xml:space="preserve">)</w:t>
            </w:r>
          </w:p>
        </w:tc>
        <w:tc>
          <w:tcPr/>
          <w:p>
            <w:pPr>
              <w:pStyle w:val="Compact"/>
              <w:jc w:val="left"/>
            </w:pPr>
            <w:r>
              <w:t xml:space="preserve">Breaking unless defaulted</w:t>
            </w:r>
          </w:p>
        </w:tc>
        <w:tc>
          <w:tcPr/>
          <w:p>
            <w:pPr>
              <w:pStyle w:val="Compact"/>
              <w:jc w:val="left"/>
            </w:pPr>
            <w:r>
              <w:t xml:space="preserve">Breaking</w:t>
            </w:r>
          </w:p>
        </w:tc>
        <w:tc>
          <w:tcPr/>
          <w:p>
            <w:pPr>
              <w:pStyle w:val="Compact"/>
              <w:jc w:val="left"/>
            </w:pPr>
            <w:r>
              <w:t xml:space="preserve">Breaking for requests</w:t>
            </w:r>
          </w:p>
        </w:tc>
      </w:tr>
    </w:tbl>
    <w:p>
      <w:pPr>
        <w:pStyle w:val="CalloutRecommendation"/>
      </w:pPr>
      <w:r>
        <w:rPr>
          <w:bCs/>
          <w:b/>
        </w:rPr>
        <w:t xml:space="preserve">RECOMMENDATION</w:t>
      </w:r>
    </w:p>
    <w:p>
      <w:pPr>
        <w:pStyle w:val="CalloutRecommendation"/>
      </w:pPr>
      <w:r>
        <w:rPr>
          <w:bCs/>
          <w:b/>
        </w:rPr>
        <w:t xml:space="preserve">Practical rules.</w:t>
      </w:r>
      <w:r>
        <w:t xml:space="preserve"> </w:t>
      </w:r>
      <w:r>
        <w:t xml:space="preserve">Only add optional fields with sensible defaults. Never reuse a deleted field number or name. Never change a field’s meaning while keeping its name. Treat</w:t>
      </w:r>
      <w:r>
        <w:t xml:space="preserve"> </w:t>
      </w:r>
      <w:r>
        <w:rPr>
          <w:rStyle w:val="VerbatimChar"/>
        </w:rPr>
        <w:t xml:space="preserve">required</w:t>
      </w:r>
      <w:r>
        <w:t xml:space="preserve"> </w:t>
      </w:r>
      <w:r>
        <w:t xml:space="preserve">as permanent. Run an automated compatibility check (schema-registry compatibility modes,</w:t>
      </w:r>
      <w:r>
        <w:t xml:space="preserve"> </w:t>
      </w:r>
      <w:r>
        <w:rPr>
          <w:rStyle w:val="VerbatimChar"/>
        </w:rPr>
        <w:t xml:space="preserve">buf breaking</w:t>
      </w:r>
      <w:r>
        <w:t xml:space="preserve"> </w:t>
      </w:r>
      <w:r>
        <w:t xml:space="preserve">for Protobuf, OpenAPI diff tools) in CI, so incompatible changes fail the build instead of production.</w:t>
      </w:r>
    </w:p>
    <w:p>
      <w:pPr>
        <w:pStyle w:val="CalloutMistake"/>
      </w:pPr>
      <w:r>
        <w:rPr>
          <w:bCs/>
          <w:b/>
        </w:rPr>
        <w:t xml:space="preserve">COMMON MISTAKE</w:t>
      </w:r>
    </w:p>
    <w:p>
      <w:pPr>
        <w:pStyle w:val="CalloutMistake"/>
      </w:pPr>
      <w:r>
        <w:rPr>
          <w:bCs/>
          <w:b/>
        </w:rPr>
        <w:t xml:space="preserve">“</w:t>
      </w:r>
      <w:r>
        <w:rPr>
          <w:bCs/>
          <w:b/>
        </w:rPr>
        <w:t xml:space="preserve">Binary formats are always better.</w:t>
      </w:r>
      <w:r>
        <w:rPr>
          <w:bCs/>
          <w:b/>
        </w:rPr>
        <w:t xml:space="preserve">”</w:t>
      </w:r>
      <w:r>
        <w:t xml:space="preserve"> </w:t>
      </w:r>
      <w:r>
        <w:t xml:space="preserve">For a public API consumed by browsers and third parties, JSON’s readability, tooling and zero-setup debugging usually outweigh a 2–3× size difference, especially after HTTP compression (gzip/Brotli) shrinks repeated field names. Binary formats win for high-volume internal traffic and stored data.</w:t>
      </w:r>
    </w:p>
    <w:bookmarkEnd w:id="901"/>
    <w:bookmarkEnd w:id="902"/>
    <w:bookmarkStart w:id="908" w:name="cookies-and-sessions"/>
    <w:p>
      <w:pPr>
        <w:pStyle w:val="Heading2"/>
      </w:pPr>
      <w:r>
        <w:t xml:space="preserve">8.10 Cookies and sessions</w:t>
      </w:r>
    </w:p>
    <w:bookmarkStart w:id="903" w:name="cookies"/>
    <w:p>
      <w:pPr>
        <w:pStyle w:val="Heading3"/>
      </w:pPr>
      <w:r>
        <w:t xml:space="preserve">8.10.1 Cookies</w:t>
      </w:r>
    </w:p>
    <w:p>
      <w:pPr>
        <w:pStyle w:val="CalloutDefinition"/>
      </w:pPr>
      <w:r>
        <w:rPr>
          <w:bCs/>
          <w:b/>
        </w:rPr>
        <w:t xml:space="preserve">DEFINITION</w:t>
      </w:r>
    </w:p>
    <w:p>
      <w:pPr>
        <w:pStyle w:val="CalloutDefinition"/>
      </w:pPr>
      <w:r>
        <w:rPr>
          <w:bCs/>
          <w:b/>
        </w:rPr>
        <w:t xml:space="preserve">Definition — HTTP cookie.</w:t>
      </w:r>
      <w:r>
        <w:t xml:space="preserve"> </w:t>
      </w:r>
      <w:r>
        <w:t xml:space="preserve">A small name–value pair that a server asks the browser to store, via the</w:t>
      </w:r>
      <w:r>
        <w:t xml:space="preserve"> </w:t>
      </w:r>
      <w:r>
        <w:rPr>
          <w:rStyle w:val="VerbatimChar"/>
        </w:rPr>
        <w:t xml:space="preserve">Set-Cookie</w:t>
      </w:r>
      <w:r>
        <w:t xml:space="preserve"> </w:t>
      </w:r>
      <w:r>
        <w:t xml:space="preserve">response header, and that the browser automatically returns in the</w:t>
      </w:r>
      <w:r>
        <w:t xml:space="preserve"> </w:t>
      </w:r>
      <w:r>
        <w:rPr>
          <w:rStyle w:val="VerbatimChar"/>
        </w:rPr>
        <w:t xml:space="preserve">Cookie</w:t>
      </w:r>
      <w:r>
        <w:t xml:space="preserve"> </w:t>
      </w:r>
      <w:r>
        <w:t xml:space="preserve">request header on later requests to matching URLs [RFC 6265].</w:t>
      </w:r>
    </w:p>
    <w:p>
      <w:pPr>
        <w:pStyle w:val="BodyText"/>
      </w:pPr>
      <w:r>
        <w:t xml:space="preserve">HTTP is stateless: each request arrives without memory of the previous one. A cookie is the coat-check ticket: the server hands you a numbered ticket once, you show it every time you come back, and the cloakroom (the server) knows which coat is yours. Cookies power sessions, preferences and tracking. Because browsers attach them</w:t>
      </w:r>
      <w:r>
        <w:t xml:space="preserve"> </w:t>
      </w:r>
      <w:r>
        <w:rPr>
          <w:bCs/>
          <w:b/>
        </w:rPr>
        <w:t xml:space="preserve">automatically</w:t>
      </w:r>
      <w:r>
        <w:t xml:space="preserve">, including to requests triggered by other websites, their attributes are security-critical.</w:t>
      </w:r>
    </w:p>
    <w:p>
      <w:pPr>
        <w:pStyle w:val="SourceCode"/>
      </w:pPr>
      <w:r>
        <w:rPr>
          <w:rStyle w:val="VerbatimChar"/>
        </w:rPr>
        <w:t xml:space="preserve">Set-Cookie: __Host-sid=8f2c1e9a7b; Path=/; Secure; HttpOnly; SameSite=Lax; Max-Age=3600</w:t>
      </w:r>
    </w:p>
    <w:p>
      <w:pPr>
        <w:pStyle w:val="FirstParagraph"/>
      </w:pPr>
      <w:r>
        <w:rPr>
          <w:bCs/>
          <w:b/>
        </w:rPr>
        <w:t xml:space="preserve">Table 8.14 — Cookie attributes.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Attribute</w:t>
            </w:r>
          </w:p>
        </w:tc>
        <w:tc>
          <w:tcPr/>
          <w:p>
            <w:pPr>
              <w:pStyle w:val="Compact"/>
              <w:jc w:val="left"/>
            </w:pPr>
            <w:r>
              <w:t xml:space="preserve">Effect</w:t>
            </w:r>
          </w:p>
        </w:tc>
        <w:tc>
          <w:tcPr/>
          <w:p>
            <w:pPr>
              <w:pStyle w:val="Compact"/>
              <w:jc w:val="left"/>
            </w:pPr>
            <w:r>
              <w:t xml:space="preserve">Why it matters</w:t>
            </w:r>
          </w:p>
        </w:tc>
      </w:tr>
      <w:tr>
        <w:tc>
          <w:tcPr/>
          <w:p>
            <w:pPr>
              <w:pStyle w:val="Compact"/>
              <w:jc w:val="left"/>
            </w:pPr>
            <w:r>
              <w:rPr>
                <w:rStyle w:val="VerbatimChar"/>
              </w:rPr>
              <w:t xml:space="preserve">Expires</w:t>
            </w:r>
            <w:r>
              <w:t xml:space="preserve"> </w:t>
            </w:r>
            <w:r>
              <w:t xml:space="preserve">/</w:t>
            </w:r>
            <w:r>
              <w:t xml:space="preserve"> </w:t>
            </w:r>
            <w:r>
              <w:rPr>
                <w:rStyle w:val="VerbatimChar"/>
              </w:rPr>
              <w:t xml:space="preserve">Max-Age</w:t>
            </w:r>
          </w:p>
        </w:tc>
        <w:tc>
          <w:tcPr/>
          <w:p>
            <w:pPr>
              <w:pStyle w:val="Compact"/>
              <w:jc w:val="left"/>
            </w:pPr>
            <w:r>
              <w:t xml:space="preserve">When the browser deletes the cookie; absent → deleted when the browser session ends</w:t>
            </w:r>
          </w:p>
        </w:tc>
        <w:tc>
          <w:tcPr/>
          <w:p>
            <w:pPr>
              <w:pStyle w:val="Compact"/>
              <w:jc w:val="left"/>
            </w:pPr>
            <w:r>
              <w:t xml:space="preserve">Bounds the lifetime of a stolen cookie</w:t>
            </w:r>
          </w:p>
        </w:tc>
      </w:tr>
      <w:tr>
        <w:tc>
          <w:tcPr/>
          <w:p>
            <w:pPr>
              <w:pStyle w:val="Compact"/>
              <w:jc w:val="left"/>
            </w:pPr>
            <w:r>
              <w:rPr>
                <w:rStyle w:val="VerbatimChar"/>
              </w:rPr>
              <w:t xml:space="preserve">Domain</w:t>
            </w:r>
          </w:p>
        </w:tc>
        <w:tc>
          <w:tcPr/>
          <w:p>
            <w:pPr>
              <w:pStyle w:val="Compact"/>
              <w:jc w:val="left"/>
            </w:pPr>
            <w:r>
              <w:t xml:space="preserve">Send to this domain</w:t>
            </w:r>
            <w:r>
              <w:t xml:space="preserve"> </w:t>
            </w:r>
            <w:r>
              <w:rPr>
                <w:iCs/>
                <w:i/>
              </w:rPr>
              <w:t xml:space="preserve">and its subdomains</w:t>
            </w:r>
            <w:r>
              <w:t xml:space="preserve">; absent → exact host only</w:t>
            </w:r>
          </w:p>
        </w:tc>
        <w:tc>
          <w:tcPr/>
          <w:p>
            <w:pPr>
              <w:pStyle w:val="Compact"/>
              <w:jc w:val="left"/>
            </w:pPr>
            <w:r>
              <w:t xml:space="preserve">Setting</w:t>
            </w:r>
            <w:r>
              <w:t xml:space="preserve"> </w:t>
            </w:r>
            <w:r>
              <w:rPr>
                <w:rStyle w:val="VerbatimChar"/>
              </w:rPr>
              <w:t xml:space="preserve">Domain=example.com</w:t>
            </w:r>
            <w:r>
              <w:t xml:space="preserve"> </w:t>
            </w:r>
            <w:r>
              <w:t xml:space="preserve">exposes the cookie to every subdomain</w:t>
            </w:r>
          </w:p>
        </w:tc>
      </w:tr>
      <w:tr>
        <w:tc>
          <w:tcPr/>
          <w:p>
            <w:pPr>
              <w:pStyle w:val="Compact"/>
              <w:jc w:val="left"/>
            </w:pPr>
            <w:r>
              <w:rPr>
                <w:rStyle w:val="VerbatimChar"/>
              </w:rPr>
              <w:t xml:space="preserve">Path</w:t>
            </w:r>
          </w:p>
        </w:tc>
        <w:tc>
          <w:tcPr/>
          <w:p>
            <w:pPr>
              <w:pStyle w:val="Compact"/>
              <w:jc w:val="left"/>
            </w:pPr>
            <w:r>
              <w:t xml:space="preserve">Send only for URLs under this path</w:t>
            </w:r>
          </w:p>
        </w:tc>
        <w:tc>
          <w:tcPr/>
          <w:p>
            <w:pPr>
              <w:pStyle w:val="Compact"/>
              <w:jc w:val="left"/>
            </w:pPr>
            <w:r>
              <w:t xml:space="preserve">Organization, not a security boundary</w:t>
            </w:r>
          </w:p>
        </w:tc>
      </w:tr>
      <w:tr>
        <w:tc>
          <w:tcPr/>
          <w:p>
            <w:pPr>
              <w:pStyle w:val="Compact"/>
              <w:jc w:val="left"/>
            </w:pPr>
            <w:r>
              <w:rPr>
                <w:rStyle w:val="VerbatimChar"/>
              </w:rPr>
              <w:t xml:space="preserve">Secure</w:t>
            </w:r>
          </w:p>
        </w:tc>
        <w:tc>
          <w:tcPr/>
          <w:p>
            <w:pPr>
              <w:pStyle w:val="Compact"/>
              <w:jc w:val="left"/>
            </w:pPr>
            <w:r>
              <w:t xml:space="preserve">Send only over HTTPS</w:t>
            </w:r>
          </w:p>
        </w:tc>
        <w:tc>
          <w:tcPr/>
          <w:p>
            <w:pPr>
              <w:pStyle w:val="Compact"/>
              <w:jc w:val="left"/>
            </w:pPr>
            <w:r>
              <w:t xml:space="preserve">Prevents leakage over plaintext networks</w:t>
            </w:r>
          </w:p>
        </w:tc>
      </w:tr>
      <w:tr>
        <w:tc>
          <w:tcPr/>
          <w:p>
            <w:pPr>
              <w:pStyle w:val="Compact"/>
              <w:jc w:val="left"/>
            </w:pPr>
            <w:r>
              <w:rPr>
                <w:rStyle w:val="VerbatimChar"/>
              </w:rPr>
              <w:t xml:space="preserve">HttpOnly</w:t>
            </w:r>
          </w:p>
        </w:tc>
        <w:tc>
          <w:tcPr/>
          <w:p>
            <w:pPr>
              <w:pStyle w:val="Compact"/>
              <w:jc w:val="left"/>
            </w:pPr>
            <w:r>
              <w:t xml:space="preserve">Not readable by JavaScript (</w:t>
            </w:r>
            <w:r>
              <w:rPr>
                <w:rStyle w:val="VerbatimChar"/>
              </w:rPr>
              <w:t xml:space="preserve">document.cookie</w:t>
            </w:r>
            <w:r>
              <w:t xml:space="preserve">)</w:t>
            </w:r>
          </w:p>
        </w:tc>
        <w:tc>
          <w:tcPr/>
          <w:p>
            <w:pPr>
              <w:pStyle w:val="Compact"/>
              <w:jc w:val="left"/>
            </w:pPr>
            <w:r>
              <w:t xml:space="preserve">Limits theft via cross-site scripting (XSS)</w:t>
            </w:r>
          </w:p>
        </w:tc>
      </w:tr>
      <w:tr>
        <w:tc>
          <w:tcPr/>
          <w:p>
            <w:pPr>
              <w:pStyle w:val="Compact"/>
              <w:jc w:val="left"/>
            </w:pPr>
            <w:r>
              <w:rPr>
                <w:rStyle w:val="VerbatimChar"/>
              </w:rPr>
              <w:t xml:space="preserve">SameSite=Strict</w:t>
            </w:r>
          </w:p>
        </w:tc>
        <w:tc>
          <w:tcPr/>
          <w:p>
            <w:pPr>
              <w:pStyle w:val="Compact"/>
              <w:jc w:val="left"/>
            </w:pPr>
            <w:r>
              <w:t xml:space="preserve">Never sent on cross-site requests</w:t>
            </w:r>
          </w:p>
        </w:tc>
        <w:tc>
          <w:tcPr/>
          <w:p>
            <w:pPr>
              <w:pStyle w:val="Compact"/>
              <w:jc w:val="left"/>
            </w:pPr>
            <w:r>
              <w:t xml:space="preserve">Strongest CSRF protection; breaks inbound links that need login</w:t>
            </w:r>
          </w:p>
        </w:tc>
      </w:tr>
      <w:tr>
        <w:tc>
          <w:tcPr/>
          <w:p>
            <w:pPr>
              <w:pStyle w:val="Compact"/>
              <w:jc w:val="left"/>
            </w:pPr>
            <w:r>
              <w:rPr>
                <w:rStyle w:val="VerbatimChar"/>
              </w:rPr>
              <w:t xml:space="preserve">SameSite=Lax</w:t>
            </w:r>
          </w:p>
        </w:tc>
        <w:tc>
          <w:tcPr/>
          <w:p>
            <w:pPr>
              <w:pStyle w:val="Compact"/>
              <w:jc w:val="left"/>
            </w:pPr>
            <w:r>
              <w:t xml:space="preserve">Sent on top-level cross-site navigations using safe methods (</w:t>
            </w:r>
            <w:r>
              <w:rPr>
                <w:rStyle w:val="VerbatimChar"/>
              </w:rPr>
              <w:t xml:space="preserve">GET</w:t>
            </w:r>
            <w:r>
              <w:t xml:space="preserve">), not on cross-site</w:t>
            </w:r>
            <w:r>
              <w:t xml:space="preserve"> </w:t>
            </w:r>
            <w:r>
              <w:rPr>
                <w:rStyle w:val="VerbatimChar"/>
              </w:rPr>
              <w:t xml:space="preserve">POST</w:t>
            </w:r>
            <w:r>
              <w:t xml:space="preserve">, iframes or fetches</w:t>
            </w:r>
          </w:p>
        </w:tc>
        <w:tc>
          <w:tcPr/>
          <w:p>
            <w:pPr>
              <w:pStyle w:val="Compact"/>
              <w:jc w:val="left"/>
            </w:pPr>
            <w:r>
              <w:t xml:space="preserve">Good default for session cookies</w:t>
            </w:r>
          </w:p>
        </w:tc>
      </w:tr>
      <w:tr>
        <w:tc>
          <w:tcPr/>
          <w:p>
            <w:pPr>
              <w:pStyle w:val="Compact"/>
              <w:jc w:val="left"/>
            </w:pPr>
            <w:r>
              <w:rPr>
                <w:rStyle w:val="VerbatimChar"/>
              </w:rPr>
              <w:t xml:space="preserve">SameSite=None</w:t>
            </w:r>
          </w:p>
        </w:tc>
        <w:tc>
          <w:tcPr/>
          <w:p>
            <w:pPr>
              <w:pStyle w:val="Compact"/>
              <w:jc w:val="left"/>
            </w:pPr>
            <w:r>
              <w:t xml:space="preserve">Sent on all requests; must be combined with</w:t>
            </w:r>
            <w:r>
              <w:t xml:space="preserve"> </w:t>
            </w:r>
            <w:r>
              <w:rPr>
                <w:rStyle w:val="VerbatimChar"/>
              </w:rPr>
              <w:t xml:space="preserve">Secure</w:t>
            </w:r>
          </w:p>
        </w:tc>
        <w:tc>
          <w:tcPr/>
          <w:p>
            <w:pPr>
              <w:pStyle w:val="Compact"/>
              <w:jc w:val="left"/>
            </w:pPr>
            <w:r>
              <w:t xml:space="preserve">Needed only for genuine cross-site use (embedded widgets, some SSO)</w:t>
            </w:r>
          </w:p>
        </w:tc>
      </w:tr>
      <w:tr>
        <w:tc>
          <w:tcPr/>
          <w:p>
            <w:pPr>
              <w:pStyle w:val="Compact"/>
              <w:jc w:val="left"/>
            </w:pPr>
            <w:r>
              <w:rPr>
                <w:rStyle w:val="VerbatimChar"/>
              </w:rPr>
              <w:t xml:space="preserve">__Host-</w:t>
            </w:r>
            <w:r>
              <w:t xml:space="preserve"> </w:t>
            </w:r>
            <w:r>
              <w:t xml:space="preserve">name prefix</w:t>
            </w:r>
          </w:p>
        </w:tc>
        <w:tc>
          <w:tcPr/>
          <w:p>
            <w:pPr>
              <w:pStyle w:val="Compact"/>
              <w:jc w:val="left"/>
            </w:pPr>
            <w:r>
              <w:t xml:space="preserve">Browser enforces</w:t>
            </w:r>
            <w:r>
              <w:t xml:space="preserve"> </w:t>
            </w:r>
            <w:r>
              <w:rPr>
                <w:rStyle w:val="VerbatimChar"/>
              </w:rPr>
              <w:t xml:space="preserve">Secure</w:t>
            </w:r>
            <w:r>
              <w:t xml:space="preserve">,</w:t>
            </w:r>
            <w:r>
              <w:t xml:space="preserve"> </w:t>
            </w:r>
            <w:r>
              <w:rPr>
                <w:rStyle w:val="VerbatimChar"/>
              </w:rPr>
              <w:t xml:space="preserve">Path=/</w:t>
            </w:r>
            <w:r>
              <w:t xml:space="preserve"> </w:t>
            </w:r>
            <w:r>
              <w:t xml:space="preserve">and no</w:t>
            </w:r>
            <w:r>
              <w:t xml:space="preserve"> </w:t>
            </w:r>
            <w:r>
              <w:rPr>
                <w:rStyle w:val="VerbatimChar"/>
              </w:rPr>
              <w:t xml:space="preserve">Domain</w:t>
            </w:r>
          </w:p>
        </w:tc>
        <w:tc>
          <w:tcPr/>
          <w:p>
            <w:pPr>
              <w:pStyle w:val="Compact"/>
              <w:jc w:val="left"/>
            </w:pPr>
            <w:r>
              <w:t xml:space="preserve">Stops subdomains from overwriting the cookie</w:t>
            </w:r>
          </w:p>
        </w:tc>
      </w:tr>
    </w:tbl>
    <w:p>
      <w:pPr>
        <w:pStyle w:val="BodyText"/>
      </w:pPr>
      <w:r>
        <w:rPr>
          <w:bCs/>
          <w:b/>
        </w:rPr>
        <w:t xml:space="preserve">Cross-site request forgery (CSRF)</w:t>
      </w:r>
      <w:r>
        <w:t xml:space="preserve"> </w:t>
      </w:r>
      <w:r>
        <w:t xml:space="preserve">is the attack that</w:t>
      </w:r>
      <w:r>
        <w:t xml:space="preserve"> </w:t>
      </w:r>
      <w:r>
        <w:rPr>
          <w:rStyle w:val="VerbatimChar"/>
        </w:rPr>
        <w:t xml:space="preserve">SameSite</w:t>
      </w:r>
      <w:r>
        <w:t xml:space="preserve"> </w:t>
      </w:r>
      <w:r>
        <w:t xml:space="preserve">targets: a malicious page makes your browser submit</w:t>
      </w:r>
      <w:r>
        <w:t xml:space="preserve"> </w:t>
      </w:r>
      <w:r>
        <w:rPr>
          <w:rStyle w:val="VerbatimChar"/>
        </w:rPr>
        <w:t xml:space="preserve">POST https://bank.example/transfer</w:t>
      </w:r>
      <w:r>
        <w:t xml:space="preserve">, and the browser helpfully attaches your bank session cookie.</w:t>
      </w:r>
      <w:r>
        <w:t xml:space="preserve"> </w:t>
      </w:r>
      <w:r>
        <w:rPr>
          <w:rStyle w:val="VerbatimChar"/>
        </w:rPr>
        <w:t xml:space="preserve">SameSite=Lax</w:t>
      </w:r>
      <w:r>
        <w:t xml:space="preserve"> </w:t>
      </w:r>
      <w:r>
        <w:t xml:space="preserve">or</w:t>
      </w:r>
      <w:r>
        <w:t xml:space="preserve"> </w:t>
      </w:r>
      <w:r>
        <w:rPr>
          <w:rStyle w:val="VerbatimChar"/>
        </w:rPr>
        <w:t xml:space="preserve">Strict</w:t>
      </w:r>
      <w:r>
        <w:t xml:space="preserve"> </w:t>
      </w:r>
      <w:r>
        <w:t xml:space="preserve">stops the cookie being sent; anti-CSRF tokens (a per-session random value the server embeds in forms and checks on submission) are the traditional complement.</w:t>
      </w:r>
      <w:r>
        <w:t xml:space="preserve"> </w:t>
      </w:r>
      <w:r>
        <w:rPr>
          <w:rStyle w:val="VerbatimChar"/>
        </w:rPr>
        <w:t xml:space="preserve">SameSite</w:t>
      </w:r>
      <w:r>
        <w:t xml:space="preserve"> </w:t>
      </w:r>
      <w:r>
        <w:t xml:space="preserve">was specified after RFC 6265 and is defined in its revision draft (</w:t>
      </w:r>
      <w:r>
        <w:t xml:space="preserve">“</w:t>
      </w:r>
      <w:r>
        <w:t xml:space="preserve">RFC 6265bis</w:t>
      </w:r>
      <w:r>
        <w:t xml:space="preserve">”</w:t>
      </w:r>
      <w:r>
        <w:t xml:space="preserve">). As of 2026, Chromium-based browsers treat cookies without a</w:t>
      </w:r>
      <w:r>
        <w:t xml:space="preserve"> </w:t>
      </w:r>
      <w:r>
        <w:rPr>
          <w:rStyle w:val="VerbatimChar"/>
        </w:rPr>
        <w:t xml:space="preserve">SameSite</w:t>
      </w:r>
      <w:r>
        <w:t xml:space="preserve"> </w:t>
      </w:r>
      <w:r>
        <w:t xml:space="preserve">attribute as</w:t>
      </w:r>
      <w:r>
        <w:t xml:space="preserve"> </w:t>
      </w:r>
      <w:r>
        <w:rPr>
          <w:rStyle w:val="VerbatimChar"/>
        </w:rPr>
        <w:t xml:space="preserve">Lax</w:t>
      </w:r>
      <w:r>
        <w:t xml:space="preserve">, but not every browser does, so always set it explicitly.</w:t>
      </w:r>
    </w:p>
    <w:p>
      <w:pPr>
        <w:pStyle w:val="BodyText"/>
      </w:pPr>
      <w:r>
        <w:t xml:space="preserve">RFC 6265 requires browsers to support at least 4,096 bytes per cookie and 50 cookies per domain [RFC 6265 §6.1]. Every cookie is sent on every matching request, so 4 KB of cookies on a page with 80 asset requests to the same domain uploads 320 KB of headers. Serve static assets from a separate cookie-less domain or CDN.</w:t>
      </w:r>
    </w:p>
    <w:bookmarkEnd w:id="903"/>
    <w:bookmarkStart w:id="907" w:name="sessions"/>
    <w:p>
      <w:pPr>
        <w:pStyle w:val="Heading3"/>
      </w:pPr>
      <w:r>
        <w:t xml:space="preserve">8.10.2 Sessions</w:t>
      </w:r>
    </w:p>
    <w:p>
      <w:pPr>
        <w:pStyle w:val="CalloutDefinition"/>
      </w:pPr>
      <w:r>
        <w:rPr>
          <w:bCs/>
          <w:b/>
        </w:rPr>
        <w:t xml:space="preserve">DEFINITION</w:t>
      </w:r>
    </w:p>
    <w:p>
      <w:pPr>
        <w:pStyle w:val="CalloutDefinition"/>
      </w:pPr>
      <w:r>
        <w:rPr>
          <w:bCs/>
          <w:b/>
        </w:rPr>
        <w:t xml:space="preserve">Definition — Session.</w:t>
      </w:r>
      <w:r>
        <w:t xml:space="preserve"> </w:t>
      </w:r>
      <w:r>
        <w:t xml:space="preserve">Server-recognized state that links a series of requests to one authenticated user (or anonymous visitor) over time, typically identified by a cookie.</w:t>
      </w:r>
    </w:p>
    <w:p>
      <w:pPr>
        <w:pStyle w:val="BodyText"/>
      </w:pPr>
      <w:r>
        <w:t xml:space="preserve">There are two ways to store it.</w:t>
      </w:r>
    </w:p>
    <w:p>
      <w:pPr>
        <w:pStyle w:val="BodyText"/>
      </w:pPr>
      <w:r>
        <w:rPr>
          <w:bCs/>
          <w:b/>
        </w:rPr>
        <w:t xml:space="preserve">Server-side session store.</w:t>
      </w:r>
      <w:r>
        <w:t xml:space="preserve"> </w:t>
      </w:r>
      <w:r>
        <w:t xml:space="preserve">The cookie holds only a long random</w:t>
      </w:r>
      <w:r>
        <w:t xml:space="preserve"> </w:t>
      </w:r>
      <w:r>
        <w:rPr>
          <w:bCs/>
          <w:b/>
        </w:rPr>
        <w:t xml:space="preserve">session ID</w:t>
      </w:r>
      <w:r>
        <w:t xml:space="preserve"> </w:t>
      </w:r>
      <w:r>
        <w:t xml:space="preserve">(at least 128 bits of entropy). Session data — user ID, roles, CSRF token, cart — lives in a shared store such as Redis, keyed by that ID. Every request costs one lookup; logging out or revoking a session is a single</w:t>
      </w:r>
      <w:r>
        <w:t xml:space="preserve"> </w:t>
      </w:r>
      <w:r>
        <w:rPr>
          <w:rStyle w:val="VerbatimChar"/>
        </w:rPr>
        <w:t xml:space="preserve">DELETE</w:t>
      </w:r>
      <w:r>
        <w:t xml:space="preserve">.</w:t>
      </w:r>
    </w:p>
    <w:p>
      <w:pPr>
        <w:pStyle w:val="BodyText"/>
      </w:pPr>
      <w:r>
        <w:rPr>
          <w:bCs/>
          <w:b/>
        </w:rPr>
        <w:t xml:space="preserve">Figure 8.8 — Server-side session lookup.</w:t>
      </w:r>
    </w:p>
    <w:p>
      <w:pPr>
        <w:pStyle w:val="BodyText"/>
      </w:pPr>
      <w:r>
        <w:drawing>
          <wp:inline>
            <wp:extent cx="5334000" cy="2720554"/>
            <wp:effectExtent b="0" l="0" r="0" t="0"/>
            <wp:docPr descr="" title="" id="905" name="Picture"/>
            <a:graphic>
              <a:graphicData uri="http://schemas.openxmlformats.org/drawingml/2006/picture">
                <pic:pic>
                  <pic:nvPicPr>
                    <pic:cNvPr descr="/home/user/System-Design/build/.cache/diagrams/2da8e7698e80.png" id="906" name="Picture"/>
                    <pic:cNvPicPr>
                      <a:picLocks noChangeArrowheads="1" noChangeAspect="1"/>
                    </pic:cNvPicPr>
                  </pic:nvPicPr>
                  <pic:blipFill>
                    <a:blip r:embed="rId904"/>
                    <a:stretch>
                      <a:fillRect/>
                    </a:stretch>
                  </pic:blipFill>
                  <pic:spPr bwMode="auto">
                    <a:xfrm>
                      <a:off x="0" y="0"/>
                      <a:ext cx="5334000" cy="2720554"/>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Login verifies the password against the database, creates a session record in the store with a TTL, and sends only the opaque ID to the browser. Every later request costs one synchronous session-store read (about 0.5 ms in the same datacenter). Logout deletes the record, so a copied cookie stops working immediately. Storage boundaries: the user database and the session store. Failure point: the session store is on the critical path of every authenticated request, so it must be replicated (Chapter 20); if it fails, everyone is logged out. Scaling: 10 million active sessions × ~500 bytes ≈ 5 GB, which fits in a single replicated Redis primary; partition by session ID beyond that.</w:t>
      </w:r>
    </w:p>
    <w:p>
      <w:pPr>
        <w:pStyle w:val="BodyText"/>
      </w:pPr>
      <w:r>
        <w:rPr>
          <w:bCs/>
          <w:b/>
        </w:rPr>
        <w:t xml:space="preserve">Signed cookie (client-side session).</w:t>
      </w:r>
      <w:r>
        <w:t xml:space="preserve"> </w:t>
      </w:r>
      <w:r>
        <w:t xml:space="preserve">The session data itself is in the cookie, with a</w:t>
      </w:r>
      <w:r>
        <w:t xml:space="preserve"> </w:t>
      </w:r>
      <w:r>
        <w:rPr>
          <w:bCs/>
          <w:b/>
        </w:rPr>
        <w:t xml:space="preserve">MAC</w:t>
      </w:r>
      <w:r>
        <w:t xml:space="preserve"> </w:t>
      </w:r>
      <w:r>
        <w:t xml:space="preserve">(message authentication code) computed with a server-side secret key. The server needs no store: it recomputes the MAC and rejects any cookie whose contents were altered. The data is</w:t>
      </w:r>
      <w:r>
        <w:t xml:space="preserve"> </w:t>
      </w:r>
      <w:r>
        <w:rPr>
          <w:iCs/>
          <w:i/>
        </w:rPr>
        <w:t xml:space="preserve">not</w:t>
      </w:r>
      <w:r>
        <w:t xml:space="preserve"> </w:t>
      </w:r>
      <w:r>
        <w:t xml:space="preserve">encrypted — the user can read it — only protected against tampering.</w:t>
      </w:r>
    </w:p>
    <w:p>
      <w:pPr>
        <w:pStyle w:val="SourceCode"/>
      </w:pPr>
      <w:r>
        <w:rPr>
          <w:rStyle w:val="ImportTok"/>
        </w:rPr>
        <w:t xml:space="preserve">import</w:t>
      </w:r>
      <w:r>
        <w:rPr>
          <w:rStyle w:val="NormalTok"/>
        </w:rPr>
        <w:t xml:space="preserve"> base64, hashlib, hmac, json, time</w:t>
      </w:r>
      <w:r>
        <w:br/>
      </w:r>
      <w:r>
        <w:br/>
      </w:r>
      <w:r>
        <w:rPr>
          <w:rStyle w:val="NormalTok"/>
        </w:rPr>
        <w:t xml:space="preserve">SECRET_KEY </w:t>
      </w:r>
      <w:r>
        <w:rPr>
          <w:rStyle w:val="OperatorTok"/>
        </w:rPr>
        <w:t xml:space="preserve">=</w:t>
      </w:r>
      <w:r>
        <w:rPr>
          <w:rStyle w:val="NormalTok"/>
        </w:rPr>
        <w:t xml:space="preserve"> </w:t>
      </w:r>
      <w:r>
        <w:rPr>
          <w:rStyle w:val="StringTok"/>
        </w:rPr>
        <w:t xml:space="preserve">b"load-me-from-a-secrets-manager-32+bytes"</w:t>
      </w:r>
      <w:r>
        <w:rPr>
          <w:rStyle w:val="NormalTok"/>
        </w:rPr>
        <w:t xml:space="preserve">   </w:t>
      </w:r>
      <w:r>
        <w:rPr>
          <w:rStyle w:val="CommentTok"/>
        </w:rPr>
        <w:t xml:space="preserve"># never hard-code in production</w:t>
      </w:r>
      <w:r>
        <w:br/>
      </w:r>
      <w:r>
        <w:br/>
      </w:r>
      <w:r>
        <w:br/>
      </w:r>
      <w:r>
        <w:rPr>
          <w:rStyle w:val="KeywordTok"/>
        </w:rPr>
        <w:t xml:space="preserve">def</w:t>
      </w:r>
      <w:r>
        <w:rPr>
          <w:rStyle w:val="NormalTok"/>
        </w:rPr>
        <w:t xml:space="preserve"> _b64(data: </w:t>
      </w:r>
      <w:r>
        <w:rPr>
          <w:rStyle w:val="BuiltInTok"/>
        </w:rPr>
        <w:t xml:space="preserve">bytes</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base64.urlsafe_b64encode(data).rstrip(</w:t>
      </w:r>
      <w:r>
        <w:rPr>
          <w:rStyle w:val="StringTok"/>
        </w:rPr>
        <w:t xml:space="preserve">b"="</w:t>
      </w:r>
      <w:r>
        <w:rPr>
          <w:rStyle w:val="NormalTok"/>
        </w:rPr>
        <w:t xml:space="preserve">).decode()</w:t>
      </w:r>
      <w:r>
        <w:br/>
      </w:r>
      <w:r>
        <w:br/>
      </w:r>
      <w:r>
        <w:br/>
      </w:r>
      <w:r>
        <w:rPr>
          <w:rStyle w:val="KeywordTok"/>
        </w:rPr>
        <w:t xml:space="preserve">def</w:t>
      </w:r>
      <w:r>
        <w:rPr>
          <w:rStyle w:val="NormalTok"/>
        </w:rPr>
        <w:t xml:space="preserve"> _unb64(text: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bytes</w:t>
      </w:r>
      <w:r>
        <w:rPr>
          <w:rStyle w:val="NormalTok"/>
        </w:rPr>
        <w:t xml:space="preserve">:</w:t>
      </w:r>
      <w:r>
        <w:br/>
      </w:r>
      <w:r>
        <w:rPr>
          <w:rStyle w:val="NormalTok"/>
        </w:rPr>
        <w:t xml:space="preserve">    </w:t>
      </w:r>
      <w:r>
        <w:rPr>
          <w:rStyle w:val="ControlFlowTok"/>
        </w:rPr>
        <w:t xml:space="preserve">return</w:t>
      </w:r>
      <w:r>
        <w:rPr>
          <w:rStyle w:val="NormalTok"/>
        </w:rPr>
        <w:t xml:space="preserve"> base64.urlsafe_b64decode(text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uiltInTok"/>
        </w:rPr>
        <w:t xml:space="preserve">len</w:t>
      </w:r>
      <w:r>
        <w:rPr>
          <w:rStyle w:val="NormalTok"/>
        </w:rPr>
        <w:t xml:space="preserve">(text) </w:t>
      </w:r>
      <w:r>
        <w:rPr>
          <w:rStyle w:val="OperatorTok"/>
        </w:rPr>
        <w:t xml:space="preserve">%</w:t>
      </w:r>
      <w:r>
        <w:rPr>
          <w:rStyle w:val="NormalTok"/>
        </w:rPr>
        <w:t xml:space="preserve"> </w:t>
      </w:r>
      <w:r>
        <w:rPr>
          <w:rStyle w:val="DecValTok"/>
        </w:rPr>
        <w:t xml:space="preserve">4</w:t>
      </w:r>
      <w:r>
        <w:rPr>
          <w:rStyle w:val="NormalTok"/>
        </w:rPr>
        <w:t xml:space="preserve">))</w:t>
      </w:r>
      <w:r>
        <w:br/>
      </w:r>
      <w:r>
        <w:br/>
      </w:r>
      <w:r>
        <w:br/>
      </w:r>
      <w:r>
        <w:rPr>
          <w:rStyle w:val="KeywordTok"/>
        </w:rPr>
        <w:t xml:space="preserve">def</w:t>
      </w:r>
      <w:r>
        <w:rPr>
          <w:rStyle w:val="NormalTok"/>
        </w:rPr>
        <w:t xml:space="preserve"> sign_session(data: </w:t>
      </w:r>
      <w:r>
        <w:rPr>
          <w:rStyle w:val="BuiltInTok"/>
        </w:rPr>
        <w:t xml:space="preserve">dict</w:t>
      </w:r>
      <w:r>
        <w:rPr>
          <w:rStyle w:val="NormalTok"/>
        </w:rPr>
        <w:t xml:space="preserve">, ttl_s: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3600</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body </w:t>
      </w:r>
      <w:r>
        <w:rPr>
          <w:rStyle w:val="OperatorTok"/>
        </w:rPr>
        <w:t xml:space="preserve">=</w:t>
      </w:r>
      <w:r>
        <w:rPr>
          <w:rStyle w:val="NormalTok"/>
        </w:rPr>
        <w:t xml:space="preserve"> _b64(json.dumps({</w:t>
      </w:r>
      <w:r>
        <w:rPr>
          <w:rStyle w:val="OperatorTok"/>
        </w:rPr>
        <w:t xml:space="preserve">**</w:t>
      </w:r>
      <w:r>
        <w:rPr>
          <w:rStyle w:val="NormalTok"/>
        </w:rPr>
        <w:t xml:space="preserve">data, </w:t>
      </w:r>
      <w:r>
        <w:rPr>
          <w:rStyle w:val="StringTok"/>
        </w:rPr>
        <w:t xml:space="preserve">"exp"</w:t>
      </w:r>
      <w:r>
        <w:rPr>
          <w:rStyle w:val="NormalTok"/>
        </w:rPr>
        <w:t xml:space="preserve">: </w:t>
      </w:r>
      <w:r>
        <w:rPr>
          <w:rStyle w:val="BuiltInTok"/>
        </w:rPr>
        <w:t xml:space="preserve">int</w:t>
      </w:r>
      <w:r>
        <w:rPr>
          <w:rStyle w:val="NormalTok"/>
        </w:rPr>
        <w:t xml:space="preserve">(time.time()) </w:t>
      </w:r>
      <w:r>
        <w:rPr>
          <w:rStyle w:val="OperatorTok"/>
        </w:rPr>
        <w:t xml:space="preserve">+</w:t>
      </w:r>
      <w:r>
        <w:rPr>
          <w:rStyle w:val="NormalTok"/>
        </w:rPr>
        <w:t xml:space="preserve"> ttl_s}).encode())</w:t>
      </w:r>
      <w:r>
        <w:br/>
      </w:r>
      <w:r>
        <w:rPr>
          <w:rStyle w:val="NormalTok"/>
        </w:rPr>
        <w:t xml:space="preserve">    mac </w:t>
      </w:r>
      <w:r>
        <w:rPr>
          <w:rStyle w:val="OperatorTok"/>
        </w:rPr>
        <w:t xml:space="preserve">=</w:t>
      </w:r>
      <w:r>
        <w:rPr>
          <w:rStyle w:val="NormalTok"/>
        </w:rPr>
        <w:t xml:space="preserve"> hmac.new(SECRET_KEY, body.encode(), hashlib.sha256).digest()</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NormalTok"/>
        </w:rPr>
        <w:t xml:space="preserve">body</w:t>
      </w:r>
      <w:r>
        <w:rPr>
          <w:rStyle w:val="SpecialCharTok"/>
        </w:rPr>
        <w:t xml:space="preserve">}</w:t>
      </w:r>
      <w:r>
        <w:rPr>
          <w:rStyle w:val="SpecialStringTok"/>
        </w:rPr>
        <w:t xml:space="preserve">.</w:t>
      </w:r>
      <w:r>
        <w:rPr>
          <w:rStyle w:val="SpecialCharTok"/>
        </w:rPr>
        <w:t xml:space="preserve">{</w:t>
      </w:r>
      <w:r>
        <w:rPr>
          <w:rStyle w:val="NormalTok"/>
        </w:rPr>
        <w:t xml:space="preserve">_b64(mac)</w:t>
      </w:r>
      <w:r>
        <w:rPr>
          <w:rStyle w:val="SpecialCharTok"/>
        </w:rPr>
        <w:t xml:space="preserve">}</w:t>
      </w:r>
      <w:r>
        <w:rPr>
          <w:rStyle w:val="SpecialStringTok"/>
        </w:rPr>
        <w:t xml:space="preserve">"</w:t>
      </w:r>
      <w:r>
        <w:br/>
      </w:r>
      <w:r>
        <w:br/>
      </w:r>
      <w:r>
        <w:br/>
      </w:r>
      <w:r>
        <w:rPr>
          <w:rStyle w:val="KeywordTok"/>
        </w:rPr>
        <w:t xml:space="preserve">def</w:t>
      </w:r>
      <w:r>
        <w:rPr>
          <w:rStyle w:val="NormalTok"/>
        </w:rPr>
        <w:t xml:space="preserve"> verify_session(cookie: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body, mac </w:t>
      </w:r>
      <w:r>
        <w:rPr>
          <w:rStyle w:val="OperatorTok"/>
        </w:rPr>
        <w:t xml:space="preserve">=</w:t>
      </w:r>
      <w:r>
        <w:rPr>
          <w:rStyle w:val="NormalTok"/>
        </w:rPr>
        <w:t xml:space="preserve"> cookie.split(</w:t>
      </w:r>
      <w:r>
        <w:rPr>
          <w:rStyle w:val="StringTok"/>
        </w:rPr>
        <w:t xml:space="preserve">"."</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expected </w:t>
      </w:r>
      <w:r>
        <w:rPr>
          <w:rStyle w:val="OperatorTok"/>
        </w:rPr>
        <w:t xml:space="preserve">=</w:t>
      </w:r>
      <w:r>
        <w:rPr>
          <w:rStyle w:val="NormalTok"/>
        </w:rPr>
        <w:t xml:space="preserve"> hmac.new(SECRET_KEY, body.encode(), hashlib.sha256).digest()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hmac.compare_digest(expected, _unb64(mac)):    </w:t>
      </w:r>
      <w:r>
        <w:rPr>
          <w:rStyle w:val="CommentTok"/>
        </w:rPr>
        <w:t xml:space="preserve"># constant-time compare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data </w:t>
      </w:r>
      <w:r>
        <w:rPr>
          <w:rStyle w:val="OperatorTok"/>
        </w:rPr>
        <w:t xml:space="preserve">=</w:t>
      </w:r>
      <w:r>
        <w:rPr>
          <w:rStyle w:val="NormalTok"/>
        </w:rPr>
        <w:t xml:space="preserve"> json.loads(_unb64(body))</w:t>
      </w:r>
      <w:r>
        <w:br/>
      </w:r>
      <w:r>
        <w:rPr>
          <w:rStyle w:val="NormalTok"/>
        </w:rPr>
        <w:t xml:space="preserve">    </w:t>
      </w:r>
      <w:r>
        <w:rPr>
          <w:rStyle w:val="ControlFlowTok"/>
        </w:rPr>
        <w:t xml:space="preserve">return</w:t>
      </w:r>
      <w:r>
        <w:rPr>
          <w:rStyle w:val="NormalTok"/>
        </w:rPr>
        <w:t xml:space="preserve"> data </w:t>
      </w:r>
      <w:r>
        <w:rPr>
          <w:rStyle w:val="ControlFlowTok"/>
        </w:rPr>
        <w:t xml:space="preserve">if</w:t>
      </w:r>
      <w:r>
        <w:rPr>
          <w:rStyle w:val="NormalTok"/>
        </w:rPr>
        <w:t xml:space="preserve"> data[</w:t>
      </w:r>
      <w:r>
        <w:rPr>
          <w:rStyle w:val="StringTok"/>
        </w:rPr>
        <w:t xml:space="preserve">"exp"</w:t>
      </w:r>
      <w:r>
        <w:rPr>
          <w:rStyle w:val="NormalTok"/>
        </w:rPr>
        <w:t xml:space="preserve">] </w:t>
      </w:r>
      <w:r>
        <w:rPr>
          <w:rStyle w:val="OperatorTok"/>
        </w:rPr>
        <w:t xml:space="preserve">&gt;=</w:t>
      </w:r>
      <w:r>
        <w:rPr>
          <w:rStyle w:val="NormalTok"/>
        </w:rPr>
        <w:t xml:space="preserve"> time.time() </w:t>
      </w:r>
      <w:r>
        <w:rPr>
          <w:rStyle w:val="ControlFlowTok"/>
        </w:rPr>
        <w:t xml:space="preserve">else</w:t>
      </w:r>
      <w:r>
        <w:rPr>
          <w:rStyle w:val="NormalTok"/>
        </w:rPr>
        <w:t xml:space="preserve"> </w:t>
      </w:r>
      <w:r>
        <w:rPr>
          <w:rStyle w:val="VariableTok"/>
        </w:rPr>
        <w:t xml:space="preserve">None</w:t>
      </w:r>
    </w:p>
    <w:p>
      <w:pPr>
        <w:pStyle w:val="FirstParagraph"/>
      </w:pPr>
      <w:r>
        <w:t xml:space="preserve">What to notice:</w:t>
      </w:r>
      <w:r>
        <w:t xml:space="preserve"> </w:t>
      </w:r>
      <w:r>
        <w:rPr>
          <w:rStyle w:val="VerbatimChar"/>
        </w:rPr>
        <w:t xml:space="preserve">hmac.compare_digest</w:t>
      </w:r>
      <w:r>
        <w:t xml:space="preserve"> </w:t>
      </w:r>
      <w:r>
        <w:t xml:space="preserve">compares in constant time, so an attacker cannot learn the correct MAC byte by byte from response timing; the expiry is</w:t>
      </w:r>
      <w:r>
        <w:t xml:space="preserve"> </w:t>
      </w:r>
      <w:r>
        <w:rPr>
          <w:iCs/>
          <w:i/>
        </w:rPr>
        <w:t xml:space="preserve">inside</w:t>
      </w:r>
      <w:r>
        <w:t xml:space="preserve"> </w:t>
      </w:r>
      <w:r>
        <w:t xml:space="preserve">the signed body, so it cannot be extended by the client; and there is no way to revoke one cookie before</w:t>
      </w:r>
      <w:r>
        <w:t xml:space="preserve"> </w:t>
      </w:r>
      <w:r>
        <w:rPr>
          <w:rStyle w:val="VerbatimChar"/>
        </w:rPr>
        <w:t xml:space="preserve">exp</w:t>
      </w:r>
      <w:r>
        <w:t xml:space="preserve"> </w:t>
      </w:r>
      <w:r>
        <w:t xml:space="preserve">except rotating</w:t>
      </w:r>
      <w:r>
        <w:t xml:space="preserve"> </w:t>
      </w:r>
      <w:r>
        <w:rPr>
          <w:rStyle w:val="VerbatimChar"/>
        </w:rPr>
        <w:t xml:space="preserve">SECRET_KEY</w:t>
      </w:r>
      <w:r>
        <w:t xml:space="preserve">, which logs out everyone. Web frameworks implement exactly this; Flask’s default session is a signed cookie, configured as follows:</w:t>
      </w:r>
    </w:p>
    <w:p>
      <w:pPr>
        <w:pStyle w:val="SourceCode"/>
      </w:pPr>
      <w:r>
        <w:rPr>
          <w:rStyle w:val="ImportTok"/>
        </w:rPr>
        <w:t xml:space="preserve">from</w:t>
      </w:r>
      <w:r>
        <w:rPr>
          <w:rStyle w:val="NormalTok"/>
        </w:rPr>
        <w:t xml:space="preserve"> flask </w:t>
      </w:r>
      <w:r>
        <w:rPr>
          <w:rStyle w:val="ImportTok"/>
        </w:rPr>
        <w:t xml:space="preserve">import</w:t>
      </w:r>
      <w:r>
        <w:rPr>
          <w:rStyle w:val="NormalTok"/>
        </w:rPr>
        <w:t xml:space="preserve"> Flask</w:t>
      </w:r>
      <w:r>
        <w:br/>
      </w:r>
      <w:r>
        <w:rPr>
          <w:rStyle w:val="ImportTok"/>
        </w:rPr>
        <w:t xml:space="preserve">import</w:t>
      </w:r>
      <w:r>
        <w:rPr>
          <w:rStyle w:val="NormalTok"/>
        </w:rPr>
        <w:t xml:space="preserve"> os</w:t>
      </w:r>
      <w:r>
        <w:br/>
      </w:r>
      <w:r>
        <w:br/>
      </w:r>
      <w:r>
        <w:rPr>
          <w:rStyle w:val="NormalTok"/>
        </w:rPr>
        <w:t xml:space="preserve">app </w:t>
      </w:r>
      <w:r>
        <w:rPr>
          <w:rStyle w:val="OperatorTok"/>
        </w:rPr>
        <w:t xml:space="preserve">=</w:t>
      </w:r>
      <w:r>
        <w:rPr>
          <w:rStyle w:val="NormalTok"/>
        </w:rPr>
        <w:t xml:space="preserve"> Flask(</w:t>
      </w:r>
      <w:r>
        <w:rPr>
          <w:rStyle w:val="VariableTok"/>
        </w:rPr>
        <w:t xml:space="preserve">__name__</w:t>
      </w:r>
      <w:r>
        <w:rPr>
          <w:rStyle w:val="NormalTok"/>
        </w:rPr>
        <w:t xml:space="preserve">)</w:t>
      </w:r>
      <w:r>
        <w:br/>
      </w:r>
      <w:r>
        <w:rPr>
          <w:rStyle w:val="NormalTok"/>
        </w:rPr>
        <w:t xml:space="preserve">app.config.update(</w:t>
      </w:r>
      <w:r>
        <w:br/>
      </w:r>
      <w:r>
        <w:rPr>
          <w:rStyle w:val="NormalTok"/>
        </w:rPr>
        <w:t xml:space="preserve">    SECRET_KEY</w:t>
      </w:r>
      <w:r>
        <w:rPr>
          <w:rStyle w:val="OperatorTok"/>
        </w:rPr>
        <w:t xml:space="preserve">=</w:t>
      </w:r>
      <w:r>
        <w:rPr>
          <w:rStyle w:val="NormalTok"/>
        </w:rPr>
        <w:t xml:space="preserve">os.environ[</w:t>
      </w:r>
      <w:r>
        <w:rPr>
          <w:rStyle w:val="StringTok"/>
        </w:rPr>
        <w:t xml:space="preserve">"SECRET_KEY"</w:t>
      </w:r>
      <w:r>
        <w:rPr>
          <w:rStyle w:val="NormalTok"/>
        </w:rPr>
        <w:t xml:space="preserve">],</w:t>
      </w:r>
      <w:r>
        <w:br/>
      </w:r>
      <w:r>
        <w:rPr>
          <w:rStyle w:val="NormalTok"/>
        </w:rPr>
        <w:t xml:space="preserve">    SESSION_COOKIE_SECURE</w:t>
      </w:r>
      <w:r>
        <w:rPr>
          <w:rStyle w:val="OperatorTok"/>
        </w:rPr>
        <w:t xml:space="preserve">=</w:t>
      </w:r>
      <w:r>
        <w:rPr>
          <w:rStyle w:val="VariableTok"/>
        </w:rPr>
        <w:t xml:space="preserve">True</w:t>
      </w:r>
      <w:r>
        <w:rPr>
          <w:rStyle w:val="NormalTok"/>
        </w:rPr>
        <w:t xml:space="preserve">,      </w:t>
      </w:r>
      <w:r>
        <w:rPr>
          <w:rStyle w:val="CommentTok"/>
        </w:rPr>
        <w:t xml:space="preserve"># only sent over HTTPS</w:t>
      </w:r>
      <w:r>
        <w:br/>
      </w:r>
      <w:r>
        <w:rPr>
          <w:rStyle w:val="NormalTok"/>
        </w:rPr>
        <w:t xml:space="preserve">    SESSION_COOKIE_HTTPONLY</w:t>
      </w:r>
      <w:r>
        <w:rPr>
          <w:rStyle w:val="OperatorTok"/>
        </w:rPr>
        <w:t xml:space="preserve">=</w:t>
      </w:r>
      <w:r>
        <w:rPr>
          <w:rStyle w:val="VariableTok"/>
        </w:rPr>
        <w:t xml:space="preserve">True</w:t>
      </w:r>
      <w:r>
        <w:rPr>
          <w:rStyle w:val="NormalTok"/>
        </w:rPr>
        <w:t xml:space="preserve">,    </w:t>
      </w:r>
      <w:r>
        <w:rPr>
          <w:rStyle w:val="CommentTok"/>
        </w:rPr>
        <w:t xml:space="preserve"># invisible to JavaScript</w:t>
      </w:r>
      <w:r>
        <w:br/>
      </w:r>
      <w:r>
        <w:rPr>
          <w:rStyle w:val="NormalTok"/>
        </w:rPr>
        <w:t xml:space="preserve">    SESSION_COOKIE_SAMESITE</w:t>
      </w:r>
      <w:r>
        <w:rPr>
          <w:rStyle w:val="OperatorTok"/>
        </w:rPr>
        <w:t xml:space="preserve">=</w:t>
      </w:r>
      <w:r>
        <w:rPr>
          <w:rStyle w:val="StringTok"/>
        </w:rPr>
        <w:t xml:space="preserve">"Lax"</w:t>
      </w:r>
      <w:r>
        <w:rPr>
          <w:rStyle w:val="NormalTok"/>
        </w:rPr>
        <w:t xml:space="preserve">,   </w:t>
      </w:r>
      <w:r>
        <w:rPr>
          <w:rStyle w:val="CommentTok"/>
        </w:rPr>
        <w:t xml:space="preserve"># not sent on cross-site POSTs</w:t>
      </w:r>
      <w:r>
        <w:br/>
      </w:r>
      <w:r>
        <w:rPr>
          <w:rStyle w:val="NormalTok"/>
        </w:rPr>
        <w:t xml:space="preserve">    PERMANENT_SESSION_LIFETIME</w:t>
      </w:r>
      <w:r>
        <w:rPr>
          <w:rStyle w:val="OperatorTok"/>
        </w:rPr>
        <w:t xml:space="preserve">=</w:t>
      </w:r>
      <w:r>
        <w:rPr>
          <w:rStyle w:val="DecValTok"/>
        </w:rPr>
        <w:t xml:space="preserve">3600</w:t>
      </w:r>
      <w:r>
        <w:rPr>
          <w:rStyle w:val="NormalTok"/>
        </w:rPr>
        <w:t xml:space="preserve">, </w:t>
      </w:r>
      <w:r>
        <w:rPr>
          <w:rStyle w:val="CommentTok"/>
        </w:rPr>
        <w:t xml:space="preserve"># seconds</w:t>
      </w:r>
      <w:r>
        <w:br/>
      </w:r>
      <w:r>
        <w:rPr>
          <w:rStyle w:val="NormalTok"/>
        </w:rPr>
        <w:t xml:space="preserve">)</w:t>
      </w:r>
      <w:r>
        <w:br/>
      </w:r>
      <w:r>
        <w:rPr>
          <w:rStyle w:val="CommentTok"/>
        </w:rPr>
        <w:t xml:space="preserve"># After login, Flask emits for example:</w:t>
      </w:r>
      <w:r>
        <w:br/>
      </w:r>
      <w:r>
        <w:rPr>
          <w:rStyle w:val="CommentTok"/>
        </w:rPr>
        <w:t xml:space="preserve"># Set-Cookie: session=eyJ1aWQiOiJhZGEifQ.auQy5w.2G2C9...; Expires=...; Secure; HttpOnly; Path=/; SameSite=Lax</w:t>
      </w:r>
    </w:p>
    <w:p>
      <w:pPr>
        <w:pStyle w:val="FirstParagraph"/>
      </w:pPr>
      <w:r>
        <w:rPr>
          <w:bCs/>
          <w:b/>
        </w:rPr>
        <w:t xml:space="preserve">Table 8.15 — Server-side sessions versus signed cookies.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Server-side session store</w:t>
            </w:r>
          </w:p>
        </w:tc>
        <w:tc>
          <w:tcPr/>
          <w:p>
            <w:pPr>
              <w:pStyle w:val="Compact"/>
              <w:jc w:val="left"/>
            </w:pPr>
            <w:r>
              <w:t xml:space="preserve">Signed cookie</w:t>
            </w:r>
          </w:p>
        </w:tc>
      </w:tr>
      <w:tr>
        <w:tc>
          <w:tcPr/>
          <w:p>
            <w:pPr>
              <w:pStyle w:val="Compact"/>
              <w:jc w:val="left"/>
            </w:pPr>
            <w:r>
              <w:t xml:space="preserve">Cookie contents</w:t>
            </w:r>
          </w:p>
        </w:tc>
        <w:tc>
          <w:tcPr/>
          <w:p>
            <w:pPr>
              <w:pStyle w:val="Compact"/>
              <w:jc w:val="left"/>
            </w:pPr>
            <w:r>
              <w:t xml:space="preserve">Random ID only</w:t>
            </w:r>
          </w:p>
        </w:tc>
        <w:tc>
          <w:tcPr/>
          <w:p>
            <w:pPr>
              <w:pStyle w:val="Compact"/>
              <w:jc w:val="left"/>
            </w:pPr>
            <w:r>
              <w:t xml:space="preserve">Data + MAC (readable, tamper-evident)</w:t>
            </w:r>
          </w:p>
        </w:tc>
      </w:tr>
      <w:tr>
        <w:tc>
          <w:tcPr/>
          <w:p>
            <w:pPr>
              <w:pStyle w:val="Compact"/>
              <w:jc w:val="left"/>
            </w:pPr>
            <w:r>
              <w:t xml:space="preserve">Per-request cost</w:t>
            </w:r>
          </w:p>
        </w:tc>
        <w:tc>
          <w:tcPr/>
          <w:p>
            <w:pPr>
              <w:pStyle w:val="Compact"/>
              <w:jc w:val="left"/>
            </w:pPr>
            <w:r>
              <w:t xml:space="preserve">One store lookup (~0.5–1 ms)</w:t>
            </w:r>
          </w:p>
        </w:tc>
        <w:tc>
          <w:tcPr/>
          <w:p>
            <w:pPr>
              <w:pStyle w:val="Compact"/>
              <w:jc w:val="left"/>
            </w:pPr>
            <w:r>
              <w:t xml:space="preserve">One HMAC computation (microseconds)</w:t>
            </w:r>
          </w:p>
        </w:tc>
      </w:tr>
      <w:tr>
        <w:tc>
          <w:tcPr/>
          <w:p>
            <w:pPr>
              <w:pStyle w:val="Compact"/>
              <w:jc w:val="left"/>
            </w:pPr>
            <w:r>
              <w:t xml:space="preserve">Revocation / logout everywhere</w:t>
            </w:r>
          </w:p>
        </w:tc>
        <w:tc>
          <w:tcPr/>
          <w:p>
            <w:pPr>
              <w:pStyle w:val="Compact"/>
              <w:jc w:val="left"/>
            </w:pPr>
            <w:r>
              <w:t xml:space="preserve">Immediate (</w:t>
            </w:r>
            <w:r>
              <w:rPr>
                <w:rStyle w:val="VerbatimChar"/>
              </w:rPr>
              <w:t xml:space="preserve">DEL</w:t>
            </w:r>
            <w:r>
              <w:t xml:space="preserve">)</w:t>
            </w:r>
          </w:p>
        </w:tc>
        <w:tc>
          <w:tcPr/>
          <w:p>
            <w:pPr>
              <w:pStyle w:val="Compact"/>
              <w:jc w:val="left"/>
            </w:pPr>
            <w:r>
              <w:t xml:space="preserve">Not possible before expiry without key rotation or a deny-list</w:t>
            </w:r>
          </w:p>
        </w:tc>
      </w:tr>
      <w:tr>
        <w:tc>
          <w:tcPr/>
          <w:p>
            <w:pPr>
              <w:pStyle w:val="Compact"/>
              <w:jc w:val="left"/>
            </w:pPr>
            <w:r>
              <w:t xml:space="preserve">Size limit</w:t>
            </w:r>
          </w:p>
        </w:tc>
        <w:tc>
          <w:tcPr/>
          <w:p>
            <w:pPr>
              <w:pStyle w:val="Compact"/>
              <w:jc w:val="left"/>
            </w:pPr>
            <w:r>
              <w:t xml:space="preserve">Unlimited server-side</w:t>
            </w:r>
          </w:p>
        </w:tc>
        <w:tc>
          <w:tcPr/>
          <w:p>
            <w:pPr>
              <w:pStyle w:val="Compact"/>
              <w:jc w:val="left"/>
            </w:pPr>
            <w:r>
              <w:t xml:space="preserve">~4 KB, sent on every request</w:t>
            </w:r>
          </w:p>
        </w:tc>
      </w:tr>
      <w:tr>
        <w:tc>
          <w:tcPr/>
          <w:p>
            <w:pPr>
              <w:pStyle w:val="Compact"/>
              <w:jc w:val="left"/>
            </w:pPr>
            <w:r>
              <w:t xml:space="preserve">Infrastructure</w:t>
            </w:r>
          </w:p>
        </w:tc>
        <w:tc>
          <w:tcPr/>
          <w:p>
            <w:pPr>
              <w:pStyle w:val="Compact"/>
              <w:jc w:val="left"/>
            </w:pPr>
            <w:r>
              <w:t xml:space="preserve">Replicated store on the critical path</w:t>
            </w:r>
          </w:p>
        </w:tc>
        <w:tc>
          <w:tcPr/>
          <w:p>
            <w:pPr>
              <w:pStyle w:val="Compact"/>
              <w:jc w:val="left"/>
            </w:pPr>
            <w:r>
              <w:t xml:space="preserve">None beyond key management</w:t>
            </w:r>
          </w:p>
        </w:tc>
      </w:tr>
      <w:tr>
        <w:tc>
          <w:tcPr/>
          <w:p>
            <w:pPr>
              <w:pStyle w:val="Compact"/>
              <w:jc w:val="left"/>
            </w:pPr>
            <w:r>
              <w:t xml:space="preserve">Choose when</w:t>
            </w:r>
          </w:p>
        </w:tc>
        <w:tc>
          <w:tcPr/>
          <w:p>
            <w:pPr>
              <w:pStyle w:val="Compact"/>
              <w:jc w:val="left"/>
            </w:pPr>
            <w:r>
              <w:t xml:space="preserve">You need instant revocation, large session state, or admin</w:t>
            </w:r>
            <w:r>
              <w:t xml:space="preserve"> </w:t>
            </w:r>
            <w:r>
              <w:t xml:space="preserve">“</w:t>
            </w:r>
            <w:r>
              <w:t xml:space="preserve">log out this device</w:t>
            </w:r>
            <w:r>
              <w:t xml:space="preserve">”</w:t>
            </w:r>
          </w:p>
        </w:tc>
        <w:tc>
          <w:tcPr/>
          <w:p>
            <w:pPr>
              <w:pStyle w:val="Compact"/>
              <w:jc w:val="left"/>
            </w:pPr>
            <w:r>
              <w:t xml:space="preserve">Small, short-lived state; minimal infrastructure</w:t>
            </w:r>
          </w:p>
        </w:tc>
      </w:tr>
    </w:tbl>
    <w:p>
      <w:pPr>
        <w:pStyle w:val="CalloutMistake"/>
      </w:pPr>
      <w:r>
        <w:rPr>
          <w:bCs/>
          <w:b/>
        </w:rPr>
        <w:t xml:space="preserve">COMMON MISTAKE</w:t>
      </w:r>
    </w:p>
    <w:p>
      <w:pPr>
        <w:pStyle w:val="CalloutMistake"/>
      </w:pPr>
      <w:r>
        <w:rPr>
          <w:bCs/>
          <w:b/>
        </w:rPr>
        <w:t xml:space="preserve">Keeping the same session ID across login.</w:t>
      </w:r>
      <w:r>
        <w:t xml:space="preserve"> </w:t>
      </w:r>
      <w:r>
        <w:t xml:space="preserve">If an attacker can plant a known session ID in a victim’s browser before login and the server keeps it afterwards, the attacker shares the authenticated session (</w:t>
      </w:r>
      <w:r>
        <w:rPr>
          <w:bCs/>
          <w:b/>
        </w:rPr>
        <w:t xml:space="preserve">session fixation</w:t>
      </w:r>
      <w:r>
        <w:t xml:space="preserve">). Always issue a fresh session ID (or clear the signed session) at login and at privilege changes.</w:t>
      </w:r>
    </w:p>
    <w:bookmarkEnd w:id="907"/>
    <w:bookmarkEnd w:id="908"/>
    <w:bookmarkStart w:id="910" w:name="authentication"/>
    <w:p>
      <w:pPr>
        <w:pStyle w:val="Heading2"/>
      </w:pPr>
      <w:r>
        <w:t xml:space="preserve">8.11 Authentication</w:t>
      </w:r>
    </w:p>
    <w:p>
      <w:pPr>
        <w:pStyle w:val="CalloutDefinition"/>
      </w:pPr>
      <w:r>
        <w:rPr>
          <w:bCs/>
          <w:b/>
        </w:rPr>
        <w:t xml:space="preserve">DEFINITION</w:t>
      </w:r>
    </w:p>
    <w:p>
      <w:pPr>
        <w:pStyle w:val="CalloutDefinition"/>
      </w:pPr>
      <w:r>
        <w:rPr>
          <w:bCs/>
          <w:b/>
        </w:rPr>
        <w:t xml:space="preserve">Definition — Authentication (AuthN).</w:t>
      </w:r>
      <w:r>
        <w:t xml:space="preserve"> </w:t>
      </w:r>
      <w:r>
        <w:t xml:space="preserve">Verifying</w:t>
      </w:r>
      <w:r>
        <w:t xml:space="preserve"> </w:t>
      </w:r>
      <w:r>
        <w:rPr>
          <w:iCs/>
          <w:i/>
        </w:rPr>
        <w:t xml:space="preserve">who</w:t>
      </w:r>
      <w:r>
        <w:t xml:space="preserve"> </w:t>
      </w:r>
      <w:r>
        <w:t xml:space="preserve">a client is.</w:t>
      </w:r>
      <w:r>
        <w:t xml:space="preserve"> </w:t>
      </w:r>
      <w:r>
        <w:rPr>
          <w:bCs/>
          <w:b/>
        </w:rPr>
        <w:t xml:space="preserve">Authorization (AuthZ)</w:t>
      </w:r>
      <w:r>
        <w:t xml:space="preserve"> </w:t>
      </w:r>
      <w:r>
        <w:t xml:space="preserve">is deciding</w:t>
      </w:r>
      <w:r>
        <w:t xml:space="preserve"> </w:t>
      </w:r>
      <w:r>
        <w:rPr>
          <w:iCs/>
          <w:i/>
        </w:rPr>
        <w:t xml:space="preserve">what</w:t>
      </w:r>
      <w:r>
        <w:t xml:space="preserve"> </w:t>
      </w:r>
      <w:r>
        <w:t xml:space="preserve">that verified identity may do (§8.12). AuthN failures return</w:t>
      </w:r>
      <w:r>
        <w:t xml:space="preserve"> </w:t>
      </w:r>
      <w:r>
        <w:rPr>
          <w:rStyle w:val="VerbatimChar"/>
        </w:rPr>
        <w:t xml:space="preserve">401</w:t>
      </w:r>
      <w:r>
        <w:t xml:space="preserve">; AuthZ failures return</w:t>
      </w:r>
      <w:r>
        <w:t xml:space="preserve"> </w:t>
      </w:r>
      <w:r>
        <w:rPr>
          <w:rStyle w:val="VerbatimChar"/>
        </w:rPr>
        <w:t xml:space="preserve">403</w:t>
      </w:r>
      <w:r>
        <w:t xml:space="preserve">.</w:t>
      </w:r>
    </w:p>
    <w:p>
      <w:pPr>
        <w:pStyle w:val="BodyText"/>
      </w:pPr>
      <w:r>
        <w:t xml:space="preserve">At a hotel, the front desk checks your passport (authentication) and gives you a key card; the card then opens only your room and the gym (authorization). Keep the two separate in code too: authentication middleware turns credentials into an identity once per request; authorization checks run in every handler that touches a resource.</w:t>
      </w:r>
    </w:p>
    <w:p>
      <w:pPr>
        <w:pStyle w:val="BodyText"/>
      </w:pPr>
      <w:r>
        <w:rPr>
          <w:bCs/>
          <w:b/>
        </w:rPr>
        <w:t xml:space="preserve">Authentication factors</w:t>
      </w:r>
      <w:r>
        <w:t xml:space="preserve"> </w:t>
      </w:r>
      <w:r>
        <w:t xml:space="preserve">fall into three classes: something you</w:t>
      </w:r>
      <w:r>
        <w:t xml:space="preserve"> </w:t>
      </w:r>
      <w:r>
        <w:rPr>
          <w:bCs/>
          <w:b/>
        </w:rPr>
        <w:t xml:space="preserve">know</w:t>
      </w:r>
      <w:r>
        <w:t xml:space="preserve"> </w:t>
      </w:r>
      <w:r>
        <w:t xml:space="preserve">(password, PIN), something you</w:t>
      </w:r>
      <w:r>
        <w:t xml:space="preserve"> </w:t>
      </w:r>
      <w:r>
        <w:rPr>
          <w:bCs/>
          <w:b/>
        </w:rPr>
        <w:t xml:space="preserve">have</w:t>
      </w:r>
      <w:r>
        <w:t xml:space="preserve"> </w:t>
      </w:r>
      <w:r>
        <w:t xml:space="preserve">(phone, hardware security key), something you</w:t>
      </w:r>
      <w:r>
        <w:t xml:space="preserve"> </w:t>
      </w:r>
      <w:r>
        <w:rPr>
          <w:bCs/>
          <w:b/>
        </w:rPr>
        <w:t xml:space="preserve">are</w:t>
      </w:r>
      <w:r>
        <w:t xml:space="preserve"> </w:t>
      </w:r>
      <w:r>
        <w:t xml:space="preserve">(fingerprint, face).</w:t>
      </w:r>
      <w:r>
        <w:t xml:space="preserve"> </w:t>
      </w:r>
      <w:r>
        <w:rPr>
          <w:bCs/>
          <w:b/>
        </w:rPr>
        <w:t xml:space="preserve">Multi-factor authentication (MFA)</w:t>
      </w:r>
      <w:r>
        <w:t xml:space="preserve"> </w:t>
      </w:r>
      <w:r>
        <w:t xml:space="preserve">requires factors from at least two classes, so a phished or leaked password alone is not enough.</w:t>
      </w:r>
    </w:p>
    <w:p>
      <w:pPr>
        <w:pStyle w:val="BodyText"/>
      </w:pPr>
      <w:r>
        <w:rPr>
          <w:bCs/>
          <w:b/>
        </w:rPr>
        <w:t xml:space="preserve">Passwords.</w:t>
      </w:r>
      <w:r>
        <w:t xml:space="preserve"> </w:t>
      </w:r>
      <w:r>
        <w:t xml:space="preserve">Never store passwords, or fast hashes of them. Store the output of a deliberately slow, salted</w:t>
      </w:r>
      <w:r>
        <w:t xml:space="preserve"> </w:t>
      </w:r>
      <w:r>
        <w:rPr>
          <w:bCs/>
          <w:b/>
        </w:rPr>
        <w:t xml:space="preserve">password-hashing function</w:t>
      </w:r>
      <w:r>
        <w:t xml:space="preserve"> </w:t>
      </w:r>
      <w:r>
        <w:t xml:space="preserve">(Argon2id, scrypt, bcrypt or PBKDF2), tuned so one guess costs tens to hundreds of milliseconds; §10.6 covers parameters and the arithmetic of offline cracking. Compare in constant time, rate-limit login attempts per account and per IP, and check new passwords against lists of breached passwords, as NIST’s guidance recommends [NIST SP 800-63B-4].</w:t>
      </w:r>
    </w:p>
    <w:p>
      <w:pPr>
        <w:pStyle w:val="SourceCode"/>
      </w:pPr>
      <w:r>
        <w:rPr>
          <w:rStyle w:val="ImportTok"/>
        </w:rPr>
        <w:t xml:space="preserve">import</w:t>
      </w:r>
      <w:r>
        <w:rPr>
          <w:rStyle w:val="NormalTok"/>
        </w:rPr>
        <w:t xml:space="preserve"> hashlib, hmac, os</w:t>
      </w:r>
      <w:r>
        <w:br/>
      </w:r>
      <w:r>
        <w:br/>
      </w:r>
      <w:r>
        <w:rPr>
          <w:rStyle w:val="KeywordTok"/>
        </w:rPr>
        <w:t xml:space="preserve">def</w:t>
      </w:r>
      <w:r>
        <w:rPr>
          <w:rStyle w:val="NormalTok"/>
        </w:rPr>
        <w:t xml:space="preserve"> hash_password(password: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salt </w:t>
      </w:r>
      <w:r>
        <w:rPr>
          <w:rStyle w:val="OperatorTok"/>
        </w:rPr>
        <w:t xml:space="preserve">=</w:t>
      </w:r>
      <w:r>
        <w:rPr>
          <w:rStyle w:val="NormalTok"/>
        </w:rPr>
        <w:t xml:space="preserve"> os.urandom(</w:t>
      </w:r>
      <w:r>
        <w:rPr>
          <w:rStyle w:val="DecValTok"/>
        </w:rPr>
        <w:t xml:space="preserve">16</w:t>
      </w:r>
      <w:r>
        <w:rPr>
          <w:rStyle w:val="NormalTok"/>
        </w:rPr>
        <w:t xml:space="preserve">)                                    </w:t>
      </w:r>
      <w:r>
        <w:rPr>
          <w:rStyle w:val="CommentTok"/>
        </w:rPr>
        <w:t xml:space="preserve"># unique per user</w:t>
      </w:r>
      <w:r>
        <w:br/>
      </w:r>
      <w:r>
        <w:rPr>
          <w:rStyle w:val="NormalTok"/>
        </w:rPr>
        <w:t xml:space="preserve">    dk </w:t>
      </w:r>
      <w:r>
        <w:rPr>
          <w:rStyle w:val="OperatorTok"/>
        </w:rPr>
        <w:t xml:space="preserve">=</w:t>
      </w:r>
      <w:r>
        <w:rPr>
          <w:rStyle w:val="NormalTok"/>
        </w:rPr>
        <w:t xml:space="preserve"> hashlib.scrypt(password.encode(), salt</w:t>
      </w:r>
      <w:r>
        <w:rPr>
          <w:rStyle w:val="OperatorTok"/>
        </w:rPr>
        <w:t xml:space="preserve">=</w:t>
      </w:r>
      <w:r>
        <w:rPr>
          <w:rStyle w:val="NormalTok"/>
        </w:rPr>
        <w:t xml:space="preserve">salt, n</w:t>
      </w:r>
      <w:r>
        <w:rPr>
          <w:rStyle w:val="OperatorTok"/>
        </w:rPr>
        <w:t xml:space="preserve">=</w:t>
      </w:r>
      <w:r>
        <w:rPr>
          <w:rStyle w:val="DecValTok"/>
        </w:rPr>
        <w:t xml:space="preserve">2</w:t>
      </w:r>
      <w:r>
        <w:rPr>
          <w:rStyle w:val="OperatorTok"/>
        </w:rPr>
        <w:t xml:space="preserve">**</w:t>
      </w:r>
      <w:r>
        <w:rPr>
          <w:rStyle w:val="DecValTok"/>
        </w:rPr>
        <w:t xml:space="preserve">17</w:t>
      </w:r>
      <w:r>
        <w:rPr>
          <w:rStyle w:val="NormalTok"/>
        </w:rPr>
        <w:t xml:space="preserve">, r</w:t>
      </w:r>
      <w:r>
        <w:rPr>
          <w:rStyle w:val="OperatorTok"/>
        </w:rPr>
        <w:t xml:space="preserve">=</w:t>
      </w:r>
      <w:r>
        <w:rPr>
          <w:rStyle w:val="DecValTok"/>
        </w:rPr>
        <w:t xml:space="preserve">8</w:t>
      </w:r>
      <w:r>
        <w:rPr>
          <w:rStyle w:val="NormalTok"/>
        </w:rPr>
        <w:t xml:space="preserve">, p</w:t>
      </w:r>
      <w:r>
        <w:rPr>
          <w:rStyle w:val="OperatorTok"/>
        </w:rPr>
        <w:t xml:space="preserve">=</w:t>
      </w:r>
      <w:r>
        <w:rPr>
          <w:rStyle w:val="DecValTok"/>
        </w:rPr>
        <w:t xml:space="preserve">1</w:t>
      </w:r>
      <w:r>
        <w:rPr>
          <w:rStyle w:val="NormalTok"/>
        </w:rPr>
        <w:t xml:space="preserve">,</w:t>
      </w:r>
      <w:r>
        <w:br/>
      </w:r>
      <w:r>
        <w:rPr>
          <w:rStyle w:val="NormalTok"/>
        </w:rPr>
        <w:t xml:space="preserve">                        maxmem</w:t>
      </w:r>
      <w:r>
        <w:rPr>
          <w:rStyle w:val="OperatorTok"/>
        </w:rPr>
        <w:t xml:space="preserve">=</w:t>
      </w:r>
      <w:r>
        <w:rPr>
          <w:rStyle w:val="DecValTok"/>
        </w:rPr>
        <w:t xml:space="preserve">256</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CommentTok"/>
        </w:rPr>
        <w:t xml:space="preserve"># ~128 MiB of memory per guess</w:t>
      </w:r>
      <w:r>
        <w:br/>
      </w:r>
      <w:r>
        <w:rPr>
          <w:rStyle w:val="NormalTok"/>
        </w:rPr>
        <w:t xml:space="preserve">    </w:t>
      </w:r>
      <w:r>
        <w:rPr>
          <w:rStyle w:val="ControlFlowTok"/>
        </w:rPr>
        <w:t xml:space="preserve">return</w:t>
      </w:r>
      <w:r>
        <w:rPr>
          <w:rStyle w:val="NormalTok"/>
        </w:rPr>
        <w:t xml:space="preserve"> </w:t>
      </w:r>
      <w:r>
        <w:rPr>
          <w:rStyle w:val="SpecialStringTok"/>
        </w:rPr>
        <w:t xml:space="preserve">f"scrypt$131072$8$1$</w:t>
      </w:r>
      <w:r>
        <w:rPr>
          <w:rStyle w:val="SpecialCharTok"/>
        </w:rPr>
        <w:t xml:space="preserve">{</w:t>
      </w:r>
      <w:r>
        <w:rPr>
          <w:rStyle w:val="NormalTok"/>
        </w:rPr>
        <w:t xml:space="preserve">salt</w:t>
      </w:r>
      <w:r>
        <w:rPr>
          <w:rStyle w:val="SpecialCharTok"/>
        </w:rPr>
        <w:t xml:space="preserve">.</w:t>
      </w:r>
      <w:r>
        <w:rPr>
          <w:rStyle w:val="BuiltInTok"/>
        </w:rPr>
        <w:t xml:space="preserve">hex</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NormalTok"/>
        </w:rPr>
        <w:t xml:space="preserve">dk</w:t>
      </w:r>
      <w:r>
        <w:rPr>
          <w:rStyle w:val="SpecialCharTok"/>
        </w:rPr>
        <w:t xml:space="preserve">.</w:t>
      </w:r>
      <w:r>
        <w:rPr>
          <w:rStyle w:val="BuiltInTok"/>
        </w:rPr>
        <w:t xml:space="preserve">hex</w:t>
      </w:r>
      <w:r>
        <w:rPr>
          <w:rStyle w:val="NormalTok"/>
        </w:rPr>
        <w:t xml:space="preserve">()</w:t>
      </w:r>
      <w:r>
        <w:rPr>
          <w:rStyle w:val="SpecialCharTok"/>
        </w:rPr>
        <w:t xml:space="preserve">}</w:t>
      </w:r>
      <w:r>
        <w:rPr>
          <w:rStyle w:val="SpecialStringTok"/>
        </w:rPr>
        <w:t xml:space="preserve">"</w:t>
      </w:r>
      <w:r>
        <w:br/>
      </w:r>
      <w:r>
        <w:br/>
      </w:r>
      <w:r>
        <w:rPr>
          <w:rStyle w:val="KeywordTok"/>
        </w:rPr>
        <w:t xml:space="preserve">def</w:t>
      </w:r>
      <w:r>
        <w:rPr>
          <w:rStyle w:val="NormalTok"/>
        </w:rPr>
        <w:t xml:space="preserve"> verify_password(password: </w:t>
      </w:r>
      <w:r>
        <w:rPr>
          <w:rStyle w:val="BuiltInTok"/>
        </w:rPr>
        <w:t xml:space="preserve">str</w:t>
      </w:r>
      <w:r>
        <w:rPr>
          <w:rStyle w:val="NormalTok"/>
        </w:rPr>
        <w:t xml:space="preserve">, stored: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_, n, r, p, salt_hex, dk_hex </w:t>
      </w:r>
      <w:r>
        <w:rPr>
          <w:rStyle w:val="OperatorTok"/>
        </w:rPr>
        <w:t xml:space="preserve">=</w:t>
      </w:r>
      <w:r>
        <w:rPr>
          <w:rStyle w:val="NormalTok"/>
        </w:rPr>
        <w:t xml:space="preserve"> stored.split(</w:t>
      </w:r>
      <w:r>
        <w:rPr>
          <w:rStyle w:val="StringTok"/>
        </w:rPr>
        <w:t xml:space="preserve">"$"</w:t>
      </w:r>
      <w:r>
        <w:rPr>
          <w:rStyle w:val="NormalTok"/>
        </w:rPr>
        <w:t xml:space="preserve">)</w:t>
      </w:r>
      <w:r>
        <w:br/>
      </w:r>
      <w:r>
        <w:rPr>
          <w:rStyle w:val="NormalTok"/>
        </w:rPr>
        <w:t xml:space="preserve">    dk </w:t>
      </w:r>
      <w:r>
        <w:rPr>
          <w:rStyle w:val="OperatorTok"/>
        </w:rPr>
        <w:t xml:space="preserve">=</w:t>
      </w:r>
      <w:r>
        <w:rPr>
          <w:rStyle w:val="NormalTok"/>
        </w:rPr>
        <w:t xml:space="preserve"> hashlib.scrypt(password.encode(), salt</w:t>
      </w:r>
      <w:r>
        <w:rPr>
          <w:rStyle w:val="OperatorTok"/>
        </w:rPr>
        <w:t xml:space="preserve">=</w:t>
      </w:r>
      <w:r>
        <w:rPr>
          <w:rStyle w:val="BuiltInTok"/>
        </w:rPr>
        <w:t xml:space="preserve">bytes</w:t>
      </w:r>
      <w:r>
        <w:rPr>
          <w:rStyle w:val="NormalTok"/>
        </w:rPr>
        <w:t xml:space="preserve">.fromhex(salt_hex),</w:t>
      </w:r>
      <w:r>
        <w:br/>
      </w:r>
      <w:r>
        <w:rPr>
          <w:rStyle w:val="NormalTok"/>
        </w:rPr>
        <w:t xml:space="preserve">                        n</w:t>
      </w:r>
      <w:r>
        <w:rPr>
          <w:rStyle w:val="OperatorTok"/>
        </w:rPr>
        <w:t xml:space="preserve">=</w:t>
      </w:r>
      <w:r>
        <w:rPr>
          <w:rStyle w:val="BuiltInTok"/>
        </w:rPr>
        <w:t xml:space="preserve">int</w:t>
      </w:r>
      <w:r>
        <w:rPr>
          <w:rStyle w:val="NormalTok"/>
        </w:rPr>
        <w:t xml:space="preserve">(n), r</w:t>
      </w:r>
      <w:r>
        <w:rPr>
          <w:rStyle w:val="OperatorTok"/>
        </w:rPr>
        <w:t xml:space="preserve">=</w:t>
      </w:r>
      <w:r>
        <w:rPr>
          <w:rStyle w:val="BuiltInTok"/>
        </w:rPr>
        <w:t xml:space="preserve">int</w:t>
      </w:r>
      <w:r>
        <w:rPr>
          <w:rStyle w:val="NormalTok"/>
        </w:rPr>
        <w:t xml:space="preserve">(r), p</w:t>
      </w:r>
      <w:r>
        <w:rPr>
          <w:rStyle w:val="OperatorTok"/>
        </w:rPr>
        <w:t xml:space="preserve">=</w:t>
      </w:r>
      <w:r>
        <w:rPr>
          <w:rStyle w:val="BuiltInTok"/>
        </w:rPr>
        <w:t xml:space="preserve">int</w:t>
      </w:r>
      <w:r>
        <w:rPr>
          <w:rStyle w:val="NormalTok"/>
        </w:rPr>
        <w:t xml:space="preserve">(p), maxmem</w:t>
      </w:r>
      <w:r>
        <w:rPr>
          <w:rStyle w:val="OperatorTok"/>
        </w:rPr>
        <w:t xml:space="preserve">=</w:t>
      </w:r>
      <w:r>
        <w:rPr>
          <w:rStyle w:val="DecValTok"/>
        </w:rPr>
        <w:t xml:space="preserve">256</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w:t>
      </w:r>
      <w:r>
        <w:br/>
      </w:r>
      <w:r>
        <w:rPr>
          <w:rStyle w:val="NormalTok"/>
        </w:rPr>
        <w:t xml:space="preserve">    </w:t>
      </w:r>
      <w:r>
        <w:rPr>
          <w:rStyle w:val="ControlFlowTok"/>
        </w:rPr>
        <w:t xml:space="preserve">return</w:t>
      </w:r>
      <w:r>
        <w:rPr>
          <w:rStyle w:val="NormalTok"/>
        </w:rPr>
        <w:t xml:space="preserve"> hmac.compare_digest(dk, </w:t>
      </w:r>
      <w:r>
        <w:rPr>
          <w:rStyle w:val="BuiltInTok"/>
        </w:rPr>
        <w:t xml:space="preserve">bytes</w:t>
      </w:r>
      <w:r>
        <w:rPr>
          <w:rStyle w:val="NormalTok"/>
        </w:rPr>
        <w:t xml:space="preserve">.fromhex(dk_hex))</w:t>
      </w:r>
    </w:p>
    <w:p>
      <w:pPr>
        <w:pStyle w:val="FirstParagraph"/>
      </w:pPr>
      <w:r>
        <w:t xml:space="preserve">What to notice: the parameters (</w:t>
      </w:r>
      <m:oMath>
        <m:r>
          <m:t>N</m:t>
        </m:r>
        <m:r>
          <m:rPr>
            <m:sty m:val="p"/>
          </m:rPr>
          <m:t>=</m:t>
        </m:r>
        <m:sSup>
          <m:e>
            <m:r>
              <m:t>2</m:t>
            </m:r>
          </m:e>
          <m:sup>
            <m:r>
              <m:t>17</m:t>
            </m:r>
          </m:sup>
        </m:sSup>
      </m:oMath>
      <w:r>
        <w:t xml:space="preserve">,</w:t>
      </w:r>
      <w:r>
        <w:t xml:space="preserve"> </w:t>
      </w:r>
      <m:oMath>
        <m:r>
          <m:t>r</m:t>
        </m:r>
        <m:r>
          <m:rPr>
            <m:sty m:val="p"/>
          </m:rPr>
          <m:t>=</m:t>
        </m:r>
        <m:r>
          <m:t>8</m:t>
        </m:r>
      </m:oMath>
      <w:r>
        <w:t xml:space="preserve">,</w:t>
      </w:r>
      <w:r>
        <w:t xml:space="preserve"> </w:t>
      </w:r>
      <m:oMath>
        <m:r>
          <m:t>p</m:t>
        </m:r>
        <m:r>
          <m:rPr>
            <m:sty m:val="p"/>
          </m:rPr>
          <m:t>=</m:t>
        </m:r>
        <m:r>
          <m:t>1</m:t>
        </m:r>
      </m:oMath>
      <w:r>
        <w:t xml:space="preserve">, the OWASP minimum for scrypt listed in Table 10.8) are stored with the hash so they can be raised later; on a typical server core this takes a few hundred milliseconds per call, which is negligible for one login and crippling for an attacker trying billions of guesses.</w:t>
      </w:r>
    </w:p>
    <w:p>
      <w:pPr>
        <w:pStyle w:val="BodyText"/>
      </w:pPr>
      <w:r>
        <w:rPr>
          <w:bCs/>
          <w:b/>
        </w:rPr>
        <w:t xml:space="preserve">Second factors</w:t>
      </w:r>
      <w:r>
        <w:t xml:space="preserve">, from weakest to strongest:</w:t>
      </w:r>
    </w:p>
    <w:p>
      <w:pPr>
        <w:numPr>
          <w:ilvl w:val="0"/>
          <w:numId w:val="1278"/>
        </w:numPr>
        <w:pStyle w:val="Compact"/>
      </w:pPr>
      <w:r>
        <w:rPr>
          <w:bCs/>
          <w:b/>
        </w:rPr>
        <w:t xml:space="preserve">SMS or email one-time codes.</w:t>
      </w:r>
      <w:r>
        <w:t xml:space="preserve"> </w:t>
      </w:r>
      <w:r>
        <w:t xml:space="preserve">Better than nothing; vulnerable to SIM-swap, interception and phishing.</w:t>
      </w:r>
    </w:p>
    <w:p>
      <w:pPr>
        <w:numPr>
          <w:ilvl w:val="0"/>
          <w:numId w:val="1278"/>
        </w:numPr>
        <w:pStyle w:val="Compact"/>
      </w:pPr>
      <w:r>
        <w:rPr>
          <w:bCs/>
          <w:b/>
        </w:rPr>
        <w:t xml:space="preserve">TOTP</w:t>
      </w:r>
      <w:r>
        <w:t xml:space="preserve"> </w:t>
      </w:r>
      <w:r>
        <w:t xml:space="preserve">(time-based one-time passwords, RFC 6238): an authenticator app and the server share a secret and each compute a 6-digit code from the current 30-second time window. Not phishing-resistant: a fake site can relay the code within its window.</w:t>
      </w:r>
    </w:p>
    <w:p>
      <w:pPr>
        <w:numPr>
          <w:ilvl w:val="0"/>
          <w:numId w:val="1278"/>
        </w:numPr>
        <w:pStyle w:val="Compact"/>
      </w:pPr>
      <w:r>
        <w:rPr>
          <w:bCs/>
          <w:b/>
        </w:rPr>
        <w:t xml:space="preserve">WebAuthn / passkeys</w:t>
      </w:r>
      <w:r>
        <w:t xml:space="preserve"> </w:t>
      </w:r>
      <w:r>
        <w:t xml:space="preserve">(W3C WebAuthn with FIDO2): the device holds a private key per site and signs a server challenge; the browser binds the signature to the real site’s origin, so a look-alike domain cannot obtain a usable response. This is</w:t>
      </w:r>
      <w:r>
        <w:t xml:space="preserve"> </w:t>
      </w:r>
      <w:r>
        <w:rPr>
          <w:bCs/>
          <w:b/>
        </w:rPr>
        <w:t xml:space="preserve">phishing-resistant</w:t>
      </w:r>
      <w:r>
        <w:t xml:space="preserve"> </w:t>
      </w:r>
      <w:r>
        <w:t xml:space="preserve">and can replace passwords entirely.</w:t>
      </w:r>
    </w:p>
    <w:bookmarkStart w:id="909" w:name="sessions-versus-tokens"/>
    <w:p>
      <w:pPr>
        <w:pStyle w:val="Heading3"/>
      </w:pPr>
      <w:r>
        <w:t xml:space="preserve">8.11.1 Sessions versus tokens</w:t>
      </w:r>
    </w:p>
    <w:p>
      <w:pPr>
        <w:pStyle w:val="FirstParagraph"/>
      </w:pPr>
      <w:r>
        <w:t xml:space="preserve">After login, the client needs something to present on each request. There are two families:</w:t>
      </w:r>
    </w:p>
    <w:p>
      <w:pPr>
        <w:numPr>
          <w:ilvl w:val="0"/>
          <w:numId w:val="1279"/>
        </w:numPr>
        <w:pStyle w:val="Compact"/>
      </w:pPr>
      <w:r>
        <w:rPr>
          <w:bCs/>
          <w:b/>
        </w:rPr>
        <w:t xml:space="preserve">Session (reference) credentials:</w:t>
      </w:r>
      <w:r>
        <w:t xml:space="preserve"> </w:t>
      </w:r>
      <w:r>
        <w:t xml:space="preserve">an opaque random ID that means nothing by itself; the server looks it up (§8.10.2).</w:t>
      </w:r>
    </w:p>
    <w:p>
      <w:pPr>
        <w:numPr>
          <w:ilvl w:val="0"/>
          <w:numId w:val="1279"/>
        </w:numPr>
        <w:pStyle w:val="Compact"/>
      </w:pPr>
      <w:r>
        <w:rPr>
          <w:bCs/>
          <w:b/>
        </w:rPr>
        <w:t xml:space="preserve">Self-contained (value) tokens:</w:t>
      </w:r>
      <w:r>
        <w:t xml:space="preserve"> </w:t>
      </w:r>
      <w:r>
        <w:t xml:space="preserve">a signed token, typically a JWT (§8.13), carrying the identity and claims; any server with the key can verify it without a lookup.</w:t>
      </w:r>
    </w:p>
    <w:p>
      <w:pPr>
        <w:pStyle w:val="FirstParagraph"/>
      </w:pPr>
      <w:r>
        <w:rPr>
          <w:bCs/>
          <w:b/>
        </w:rPr>
        <w:t xml:space="preserve">Table 8.16 — Session IDs versus self-contained tokens.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Opaque session ID</w:t>
            </w:r>
          </w:p>
        </w:tc>
        <w:tc>
          <w:tcPr/>
          <w:p>
            <w:pPr>
              <w:pStyle w:val="Compact"/>
              <w:jc w:val="left"/>
            </w:pPr>
            <w:r>
              <w:t xml:space="preserve">Self-contained token (JWT)</w:t>
            </w:r>
          </w:p>
        </w:tc>
      </w:tr>
      <w:tr>
        <w:tc>
          <w:tcPr/>
          <w:p>
            <w:pPr>
              <w:pStyle w:val="Compact"/>
              <w:jc w:val="left"/>
            </w:pPr>
            <w:r>
              <w:t xml:space="preserve">Validation</w:t>
            </w:r>
          </w:p>
        </w:tc>
        <w:tc>
          <w:tcPr/>
          <w:p>
            <w:pPr>
              <w:pStyle w:val="Compact"/>
              <w:jc w:val="left"/>
            </w:pPr>
            <w:r>
              <w:t xml:space="preserve">Lookup in a shared store</w:t>
            </w:r>
          </w:p>
        </w:tc>
        <w:tc>
          <w:tcPr/>
          <w:p>
            <w:pPr>
              <w:pStyle w:val="Compact"/>
              <w:jc w:val="left"/>
            </w:pPr>
            <w:r>
              <w:t xml:space="preserve">Signature check, local, no network call</w:t>
            </w:r>
          </w:p>
        </w:tc>
      </w:tr>
      <w:tr>
        <w:tc>
          <w:tcPr/>
          <w:p>
            <w:pPr>
              <w:pStyle w:val="Compact"/>
              <w:jc w:val="left"/>
            </w:pPr>
            <w:r>
              <w:t xml:space="preserve">Revocation</w:t>
            </w:r>
          </w:p>
        </w:tc>
        <w:tc>
          <w:tcPr/>
          <w:p>
            <w:pPr>
              <w:pStyle w:val="Compact"/>
              <w:jc w:val="left"/>
            </w:pPr>
            <w:r>
              <w:t xml:space="preserve">Immediate</w:t>
            </w:r>
          </w:p>
        </w:tc>
        <w:tc>
          <w:tcPr/>
          <w:p>
            <w:pPr>
              <w:pStyle w:val="Compact"/>
              <w:jc w:val="left"/>
            </w:pPr>
            <w:r>
              <w:t xml:space="preserve">Hard: valid until</w:t>
            </w:r>
            <w:r>
              <w:t xml:space="preserve"> </w:t>
            </w:r>
            <w:r>
              <w:rPr>
                <w:rStyle w:val="VerbatimChar"/>
              </w:rPr>
              <w:t xml:space="preserve">exp</w:t>
            </w:r>
            <w:r>
              <w:t xml:space="preserve"> </w:t>
            </w:r>
            <w:r>
              <w:t xml:space="preserve">(§8.13.4)</w:t>
            </w:r>
          </w:p>
        </w:tc>
      </w:tr>
      <w:tr>
        <w:tc>
          <w:tcPr/>
          <w:p>
            <w:pPr>
              <w:pStyle w:val="Compact"/>
              <w:jc w:val="left"/>
            </w:pPr>
            <w:r>
              <w:t xml:space="preserve">Size on each request</w:t>
            </w:r>
          </w:p>
        </w:tc>
        <w:tc>
          <w:tcPr/>
          <w:p>
            <w:pPr>
              <w:pStyle w:val="Compact"/>
              <w:jc w:val="left"/>
            </w:pPr>
            <w:r>
              <w:t xml:space="preserve">~32–64 bytes</w:t>
            </w:r>
          </w:p>
        </w:tc>
        <w:tc>
          <w:tcPr/>
          <w:p>
            <w:pPr>
              <w:pStyle w:val="Compact"/>
              <w:jc w:val="left"/>
            </w:pPr>
            <w:r>
              <w:t xml:space="preserve">Hundreds of bytes to over 1 KB</w:t>
            </w:r>
          </w:p>
        </w:tc>
      </w:tr>
      <w:tr>
        <w:tc>
          <w:tcPr/>
          <w:p>
            <w:pPr>
              <w:pStyle w:val="Compact"/>
              <w:jc w:val="left"/>
            </w:pPr>
            <w:r>
              <w:t xml:space="preserve">Works across services and organizations</w:t>
            </w:r>
          </w:p>
        </w:tc>
        <w:tc>
          <w:tcPr/>
          <w:p>
            <w:pPr>
              <w:pStyle w:val="Compact"/>
              <w:jc w:val="left"/>
            </w:pPr>
            <w:r>
              <w:t xml:space="preserve">Only those that can reach the store</w:t>
            </w:r>
          </w:p>
        </w:tc>
        <w:tc>
          <w:tcPr/>
          <w:p>
            <w:pPr>
              <w:pStyle w:val="Compact"/>
              <w:jc w:val="left"/>
            </w:pPr>
            <w:r>
              <w:t xml:space="preserve">Any party with the verification key</w:t>
            </w:r>
          </w:p>
        </w:tc>
      </w:tr>
      <w:tr>
        <w:tc>
          <w:tcPr/>
          <w:p>
            <w:pPr>
              <w:pStyle w:val="Compact"/>
              <w:jc w:val="left"/>
            </w:pPr>
            <w:r>
              <w:t xml:space="preserve">Typical transport</w:t>
            </w:r>
          </w:p>
        </w:tc>
        <w:tc>
          <w:tcPr/>
          <w:p>
            <w:pPr>
              <w:pStyle w:val="Compact"/>
              <w:jc w:val="left"/>
            </w:pPr>
            <w:r>
              <w:rPr>
                <w:rStyle w:val="VerbatimChar"/>
              </w:rPr>
              <w:t xml:space="preserve">Cookie</w:t>
            </w:r>
            <w:r>
              <w:t xml:space="preserve"> </w:t>
            </w:r>
            <w:r>
              <w:t xml:space="preserve">header (browsers)</w:t>
            </w:r>
          </w:p>
        </w:tc>
        <w:tc>
          <w:tcPr/>
          <w:p>
            <w:pPr>
              <w:pStyle w:val="Compact"/>
              <w:jc w:val="left"/>
            </w:pPr>
            <w:r>
              <w:rPr>
                <w:rStyle w:val="VerbatimChar"/>
              </w:rPr>
              <w:t xml:space="preserve">Authorization: Bearer</w:t>
            </w:r>
            <w:r>
              <w:t xml:space="preserve"> </w:t>
            </w:r>
            <w:r>
              <w:t xml:space="preserve">header (APIs, mobile, service-to-service)</w:t>
            </w:r>
          </w:p>
        </w:tc>
      </w:tr>
      <w:tr>
        <w:tc>
          <w:tcPr/>
          <w:p>
            <w:pPr>
              <w:pStyle w:val="Compact"/>
              <w:jc w:val="left"/>
            </w:pPr>
            <w:r>
              <w:t xml:space="preserve">Choose when</w:t>
            </w:r>
          </w:p>
        </w:tc>
        <w:tc>
          <w:tcPr/>
          <w:p>
            <w:pPr>
              <w:pStyle w:val="Compact"/>
              <w:jc w:val="left"/>
            </w:pPr>
            <w:r>
              <w:t xml:space="preserve">First-party web apps, especially with server rendering</w:t>
            </w:r>
          </w:p>
        </w:tc>
        <w:tc>
          <w:tcPr/>
          <w:p>
            <w:pPr>
              <w:pStyle w:val="Compact"/>
              <w:jc w:val="left"/>
            </w:pPr>
            <w:r>
              <w:t xml:space="preserve">Distributed APIs, third-party access (OAuth), short-lived service credentials</w:t>
            </w:r>
          </w:p>
        </w:tc>
      </w:tr>
    </w:tbl>
    <w:p>
      <w:pPr>
        <w:pStyle w:val="BodyText"/>
      </w:pPr>
      <w:r>
        <w:t xml:space="preserve">A common hybrid: the browser holds an opaque session cookie with the BFF or web tier; behind it, services exchange short-lived JWT access tokens.</w:t>
      </w:r>
    </w:p>
    <w:bookmarkEnd w:id="909"/>
    <w:bookmarkEnd w:id="910"/>
    <w:bookmarkStart w:id="916" w:name="authorization-rbac-abac-and-rebac"/>
    <w:p>
      <w:pPr>
        <w:pStyle w:val="Heading2"/>
      </w:pPr>
      <w:r>
        <w:t xml:space="preserve">8.12 Authorization: RBAC, ABAC and ReBAC</w:t>
      </w:r>
    </w:p>
    <w:bookmarkStart w:id="911" w:name="three-models"/>
    <w:p>
      <w:pPr>
        <w:pStyle w:val="Heading3"/>
      </w:pPr>
      <w:r>
        <w:t xml:space="preserve">8.12.1 Three models</w:t>
      </w:r>
    </w:p>
    <w:p>
      <w:pPr>
        <w:pStyle w:val="CalloutDefinition"/>
      </w:pPr>
      <w:r>
        <w:rPr>
          <w:bCs/>
          <w:b/>
        </w:rPr>
        <w:t xml:space="preserve">DEFINITION</w:t>
      </w:r>
    </w:p>
    <w:p>
      <w:pPr>
        <w:pStyle w:val="CalloutDefinition"/>
      </w:pPr>
      <w:r>
        <w:rPr>
          <w:bCs/>
          <w:b/>
        </w:rPr>
        <w:t xml:space="preserve">Definition — Access-control model.</w:t>
      </w:r>
      <w:r>
        <w:t xml:space="preserve"> </w:t>
      </w:r>
      <w:r>
        <w:t xml:space="preserve">A rule system that answers</w:t>
      </w:r>
      <w:r>
        <w:t xml:space="preserve"> </w:t>
      </w:r>
      <w:r>
        <w:t xml:space="preserve">“</w:t>
      </w:r>
      <w:r>
        <w:t xml:space="preserve">may subject</w:t>
      </w:r>
      <w:r>
        <w:t xml:space="preserve"> </w:t>
      </w:r>
      <w:r>
        <w:rPr>
          <w:iCs/>
          <w:i/>
        </w:rPr>
        <w:t xml:space="preserve">S</w:t>
      </w:r>
      <w:r>
        <w:t xml:space="preserve"> </w:t>
      </w:r>
      <w:r>
        <w:t xml:space="preserve">perform action</w:t>
      </w:r>
      <w:r>
        <w:t xml:space="preserve"> </w:t>
      </w:r>
      <w:r>
        <w:rPr>
          <w:iCs/>
          <w:i/>
        </w:rPr>
        <w:t xml:space="preserve">A</w:t>
      </w:r>
      <w:r>
        <w:t xml:space="preserve"> </w:t>
      </w:r>
      <w:r>
        <w:t xml:space="preserve">on resource</w:t>
      </w:r>
      <w:r>
        <w:t xml:space="preserve"> </w:t>
      </w:r>
      <w:r>
        <w:rPr>
          <w:iCs/>
          <w:i/>
        </w:rPr>
        <w:t xml:space="preserve">R</w:t>
      </w:r>
      <w:r>
        <w:t xml:space="preserve"> </w:t>
      </w:r>
      <w:r>
        <w:t xml:space="preserve">(in context</w:t>
      </w:r>
      <w:r>
        <w:t xml:space="preserve"> </w:t>
      </w:r>
      <w:r>
        <w:rPr>
          <w:iCs/>
          <w:i/>
        </w:rPr>
        <w:t xml:space="preserve">C</w:t>
      </w:r>
      <w:r>
        <w:t xml:space="preserve">)?</w:t>
      </w:r>
      <w:r>
        <w:t xml:space="preserve">”</w:t>
      </w:r>
      <w:r>
        <w:t xml:space="preserve"> </w:t>
      </w:r>
      <w:r>
        <w:t xml:space="preserve">The three models in common use differ in what the rules are written in terms of:</w:t>
      </w:r>
      <w:r>
        <w:t xml:space="preserve"> </w:t>
      </w:r>
      <w:r>
        <w:rPr>
          <w:bCs/>
          <w:b/>
        </w:rPr>
        <w:t xml:space="preserve">roles</w:t>
      </w:r>
      <w:r>
        <w:t xml:space="preserve"> </w:t>
      </w:r>
      <w:r>
        <w:t xml:space="preserve">(RBAC),</w:t>
      </w:r>
      <w:r>
        <w:t xml:space="preserve"> </w:t>
      </w:r>
      <w:r>
        <w:rPr>
          <w:bCs/>
          <w:b/>
        </w:rPr>
        <w:t xml:space="preserve">attributes</w:t>
      </w:r>
      <w:r>
        <w:t xml:space="preserve"> </w:t>
      </w:r>
      <w:r>
        <w:t xml:space="preserve">(ABAC) or</w:t>
      </w:r>
      <w:r>
        <w:t xml:space="preserve"> </w:t>
      </w:r>
      <w:r>
        <w:rPr>
          <w:bCs/>
          <w:b/>
        </w:rPr>
        <w:t xml:space="preserve">relationships</w:t>
      </w:r>
      <w:r>
        <w:t xml:space="preserve"> </w:t>
      </w:r>
      <w:r>
        <w:t xml:space="preserve">(ReBAC).</w:t>
      </w:r>
    </w:p>
    <w:p>
      <w:pPr>
        <w:pStyle w:val="BodyText"/>
      </w:pPr>
      <w:r>
        <w:rPr>
          <w:bCs/>
          <w:b/>
        </w:rPr>
        <w:t xml:space="preserve">Role-based access control (RBAC).</w:t>
      </w:r>
      <w:r>
        <w:t xml:space="preserve"> </w:t>
      </w:r>
      <w:r>
        <w:t xml:space="preserve">Permissions attach to roles (</w:t>
      </w:r>
      <w:r>
        <w:rPr>
          <w:rStyle w:val="VerbatimChar"/>
        </w:rPr>
        <w:t xml:space="preserve">viewer</w:t>
      </w:r>
      <w:r>
        <w:t xml:space="preserve">,</w:t>
      </w:r>
      <w:r>
        <w:t xml:space="preserve"> </w:t>
      </w:r>
      <w:r>
        <w:rPr>
          <w:rStyle w:val="VerbatimChar"/>
        </w:rPr>
        <w:t xml:space="preserve">editor</w:t>
      </w:r>
      <w:r>
        <w:t xml:space="preserve">,</w:t>
      </w:r>
      <w:r>
        <w:t xml:space="preserve"> </w:t>
      </w:r>
      <w:r>
        <w:rPr>
          <w:rStyle w:val="VerbatimChar"/>
        </w:rPr>
        <w:t xml:space="preserve">admin</w:t>
      </w:r>
      <w:r>
        <w:t xml:space="preserve">); users are assigned roles. It is what most company org charts look like: anyone with the</w:t>
      </w:r>
      <w:r>
        <w:t xml:space="preserve"> </w:t>
      </w:r>
      <w:r>
        <w:t xml:space="preserve">“</w:t>
      </w:r>
      <w:r>
        <w:t xml:space="preserve">nurse</w:t>
      </w:r>
      <w:r>
        <w:t xml:space="preserve">”</w:t>
      </w:r>
      <w:r>
        <w:t xml:space="preserve"> </w:t>
      </w:r>
      <w:r>
        <w:t xml:space="preserve">badge can open the medicine cabinet. RBAC is simple to audit (</w:t>
      </w:r>
      <w:r>
        <w:t xml:space="preserve">“</w:t>
      </w:r>
      <w:r>
        <w:t xml:space="preserve">who has admin?</w:t>
      </w:r>
      <w:r>
        <w:t xml:space="preserve">”</w:t>
      </w:r>
      <w:r>
        <w:t xml:space="preserve">) but coarse:</w:t>
      </w:r>
      <w:r>
        <w:t xml:space="preserve"> </w:t>
      </w:r>
      <w:r>
        <w:t xml:space="preserve">“</w:t>
      </w:r>
      <w:r>
        <w:t xml:space="preserve">editor</w:t>
      </w:r>
      <w:r>
        <w:t xml:space="preserve">”</w:t>
      </w:r>
      <w:r>
        <w:t xml:space="preserve"> </w:t>
      </w:r>
      <w:r>
        <w:t xml:space="preserve">usually means editor of</w:t>
      </w:r>
      <w:r>
        <w:t xml:space="preserve"> </w:t>
      </w:r>
      <w:r>
        <w:rPr>
          <w:iCs/>
          <w:i/>
        </w:rPr>
        <w:t xml:space="preserve">everything</w:t>
      </w:r>
      <w:r>
        <w:t xml:space="preserve">. Scoping roles per tenant or per project (</w:t>
      </w:r>
      <w:r>
        <w:rPr>
          <w:rStyle w:val="VerbatimChar"/>
        </w:rPr>
        <w:t xml:space="preserve">editor@project-7</w:t>
      </w:r>
      <w:r>
        <w:t xml:space="preserve">) helps until the number of role assignments explodes.</w:t>
      </w:r>
    </w:p>
    <w:p>
      <w:pPr>
        <w:pStyle w:val="BodyText"/>
      </w:pPr>
      <w:r>
        <w:rPr>
          <w:bCs/>
          <w:b/>
        </w:rPr>
        <w:t xml:space="preserve">Attribute-based access control (ABAC).</w:t>
      </w:r>
      <w:r>
        <w:t xml:space="preserve"> </w:t>
      </w:r>
      <w:r>
        <w:t xml:space="preserve">A policy is a predicate over attributes of the subject, the resource, the action and the environment:</w:t>
      </w:r>
      <w:r>
        <w:t xml:space="preserve"> </w:t>
      </w:r>
      <w:r>
        <w:t xml:space="preserve">“</w:t>
      </w:r>
      <w:r>
        <w:t xml:space="preserve">a user may read a document if their department equals the document’s department, their clearance ≥ its classification, and it is business hours</w:t>
      </w:r>
      <w:r>
        <w:t xml:space="preserve">”</w:t>
      </w:r>
      <w:r>
        <w:t xml:space="preserve">. ABAC is expressive and handles context (time, location, device posture), but policies become hard to reason about and audit, and every check needs all the attributes at hand. Policy engines such as Open Policy Agent evaluate such rules outside application code.</w:t>
      </w:r>
    </w:p>
    <w:p>
      <w:pPr>
        <w:pStyle w:val="SourceCode"/>
      </w:pPr>
      <w:r>
        <w:rPr>
          <w:rStyle w:val="NormalTok"/>
        </w:rPr>
        <w:t xml:space="preserve">ROLE_PERMISSIONS </w:t>
      </w:r>
      <w:r>
        <w:rPr>
          <w:rStyle w:val="OperatorTok"/>
        </w:rPr>
        <w:t xml:space="preserve">=</w:t>
      </w:r>
      <w:r>
        <w:rPr>
          <w:rStyle w:val="NormalTok"/>
        </w:rPr>
        <w:t xml:space="preserve"> {</w:t>
      </w:r>
      <w:r>
        <w:br/>
      </w:r>
      <w:r>
        <w:rPr>
          <w:rStyle w:val="NormalTok"/>
        </w:rPr>
        <w:t xml:space="preserve">    </w:t>
      </w:r>
      <w:r>
        <w:rPr>
          <w:rStyle w:val="StringTok"/>
        </w:rPr>
        <w:t xml:space="preserve">"viewer"</w:t>
      </w:r>
      <w:r>
        <w:rPr>
          <w:rStyle w:val="NormalTok"/>
        </w:rPr>
        <w:t xml:space="preserve">: {</w:t>
      </w:r>
      <w:r>
        <w:rPr>
          <w:rStyle w:val="StringTok"/>
        </w:rPr>
        <w:t xml:space="preserve">"doc:read"</w:t>
      </w:r>
      <w:r>
        <w:rPr>
          <w:rStyle w:val="NormalTok"/>
        </w:rPr>
        <w:t xml:space="preserve">},</w:t>
      </w:r>
      <w:r>
        <w:br/>
      </w:r>
      <w:r>
        <w:rPr>
          <w:rStyle w:val="NormalTok"/>
        </w:rPr>
        <w:t xml:space="preserve">    </w:t>
      </w:r>
      <w:r>
        <w:rPr>
          <w:rStyle w:val="StringTok"/>
        </w:rPr>
        <w:t xml:space="preserve">"editor"</w:t>
      </w:r>
      <w:r>
        <w:rPr>
          <w:rStyle w:val="NormalTok"/>
        </w:rPr>
        <w:t xml:space="preserve">: {</w:t>
      </w:r>
      <w:r>
        <w:rPr>
          <w:rStyle w:val="StringTok"/>
        </w:rPr>
        <w:t xml:space="preserve">"doc:read"</w:t>
      </w:r>
      <w:r>
        <w:rPr>
          <w:rStyle w:val="NormalTok"/>
        </w:rPr>
        <w:t xml:space="preserve">, </w:t>
      </w:r>
      <w:r>
        <w:rPr>
          <w:rStyle w:val="StringTok"/>
        </w:rPr>
        <w:t xml:space="preserve">"doc:write"</w:t>
      </w:r>
      <w:r>
        <w:rPr>
          <w:rStyle w:val="NormalTok"/>
        </w:rPr>
        <w:t xml:space="preserve">},</w:t>
      </w:r>
      <w:r>
        <w:br/>
      </w:r>
      <w:r>
        <w:rPr>
          <w:rStyle w:val="NormalTok"/>
        </w:rPr>
        <w:t xml:space="preserve">    </w:t>
      </w:r>
      <w:r>
        <w:rPr>
          <w:rStyle w:val="StringTok"/>
        </w:rPr>
        <w:t xml:space="preserve">"admin"</w:t>
      </w:r>
      <w:r>
        <w:rPr>
          <w:rStyle w:val="NormalTok"/>
        </w:rPr>
        <w:t xml:space="preserve">:  {</w:t>
      </w:r>
      <w:r>
        <w:rPr>
          <w:rStyle w:val="StringTok"/>
        </w:rPr>
        <w:t xml:space="preserve">"doc:read"</w:t>
      </w:r>
      <w:r>
        <w:rPr>
          <w:rStyle w:val="NormalTok"/>
        </w:rPr>
        <w:t xml:space="preserve">, </w:t>
      </w:r>
      <w:r>
        <w:rPr>
          <w:rStyle w:val="StringTok"/>
        </w:rPr>
        <w:t xml:space="preserve">"doc:write"</w:t>
      </w:r>
      <w:r>
        <w:rPr>
          <w:rStyle w:val="NormalTok"/>
        </w:rPr>
        <w:t xml:space="preserve">, </w:t>
      </w:r>
      <w:r>
        <w:rPr>
          <w:rStyle w:val="StringTok"/>
        </w:rPr>
        <w:t xml:space="preserve">"doc:delete"</w:t>
      </w:r>
      <w:r>
        <w:rPr>
          <w:rStyle w:val="NormalTok"/>
        </w:rPr>
        <w:t xml:space="preserve">, </w:t>
      </w:r>
      <w:r>
        <w:rPr>
          <w:rStyle w:val="StringTok"/>
        </w:rPr>
        <w:t xml:space="preserve">"user:manage"</w:t>
      </w:r>
      <w:r>
        <w:rPr>
          <w:rStyle w:val="NormalTok"/>
        </w:rPr>
        <w:t xml:space="preserve">},</w:t>
      </w:r>
      <w:r>
        <w:br/>
      </w:r>
      <w:r>
        <w:rPr>
          <w:rStyle w:val="NormalTok"/>
        </w:rPr>
        <w:t xml:space="preserve">}</w:t>
      </w:r>
      <w:r>
        <w:br/>
      </w:r>
      <w:r>
        <w:br/>
      </w:r>
      <w:r>
        <w:rPr>
          <w:rStyle w:val="KeywordTok"/>
        </w:rPr>
        <w:t xml:space="preserve">def</w:t>
      </w:r>
      <w:r>
        <w:rPr>
          <w:rStyle w:val="NormalTok"/>
        </w:rPr>
        <w:t xml:space="preserve"> rbac_allows(user_roles: </w:t>
      </w:r>
      <w:r>
        <w:rPr>
          <w:rStyle w:val="BuiltInTok"/>
        </w:rPr>
        <w:t xml:space="preserve">set</w:t>
      </w:r>
      <w:r>
        <w:rPr>
          <w:rStyle w:val="NormalTok"/>
        </w:rPr>
        <w:t xml:space="preserve">[</w:t>
      </w:r>
      <w:r>
        <w:rPr>
          <w:rStyle w:val="BuiltInTok"/>
        </w:rPr>
        <w:t xml:space="preserve">str</w:t>
      </w:r>
      <w:r>
        <w:rPr>
          <w:rStyle w:val="NormalTok"/>
        </w:rPr>
        <w:t xml:space="preserve">], permission: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any</w:t>
      </w:r>
      <w:r>
        <w:rPr>
          <w:rStyle w:val="NormalTok"/>
        </w:rPr>
        <w:t xml:space="preserve">(permission </w:t>
      </w:r>
      <w:r>
        <w:rPr>
          <w:rStyle w:val="KeywordTok"/>
        </w:rPr>
        <w:t xml:space="preserve">in</w:t>
      </w:r>
      <w:r>
        <w:rPr>
          <w:rStyle w:val="NormalTok"/>
        </w:rPr>
        <w:t xml:space="preserve"> ROLE_PERMISSIONS.get(r, </w:t>
      </w:r>
      <w:r>
        <w:rPr>
          <w:rStyle w:val="BuiltInTok"/>
        </w:rPr>
        <w:t xml:space="preserve">set</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user_roles)</w:t>
      </w:r>
      <w:r>
        <w:br/>
      </w:r>
      <w:r>
        <w:br/>
      </w:r>
      <w:r>
        <w:rPr>
          <w:rStyle w:val="KeywordTok"/>
        </w:rPr>
        <w:t xml:space="preserve">def</w:t>
      </w:r>
      <w:r>
        <w:rPr>
          <w:rStyle w:val="NormalTok"/>
        </w:rPr>
        <w:t xml:space="preserve"> abac_allows(sub: </w:t>
      </w:r>
      <w:r>
        <w:rPr>
          <w:rStyle w:val="BuiltInTok"/>
        </w:rPr>
        <w:t xml:space="preserve">dict</w:t>
      </w:r>
      <w:r>
        <w:rPr>
          <w:rStyle w:val="NormalTok"/>
        </w:rPr>
        <w:t xml:space="preserve">, action: </w:t>
      </w:r>
      <w:r>
        <w:rPr>
          <w:rStyle w:val="BuiltInTok"/>
        </w:rPr>
        <w:t xml:space="preserve">str</w:t>
      </w:r>
      <w:r>
        <w:rPr>
          <w:rStyle w:val="NormalTok"/>
        </w:rPr>
        <w:t xml:space="preserve">, res: </w:t>
      </w:r>
      <w:r>
        <w:rPr>
          <w:rStyle w:val="BuiltInTok"/>
        </w:rPr>
        <w:t xml:space="preserve">dict</w:t>
      </w:r>
      <w:r>
        <w:rPr>
          <w:rStyle w:val="NormalTok"/>
        </w:rPr>
        <w:t xml:space="preserve">, ctx: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"read"</w:t>
      </w:r>
      <w:r>
        <w:rPr>
          <w:rStyle w:val="NormalTok"/>
        </w:rPr>
        <w:t xml:space="preserve">:</w:t>
      </w:r>
      <w:r>
        <w:br/>
      </w:r>
      <w:r>
        <w:rPr>
          <w:rStyle w:val="NormalTok"/>
        </w:rPr>
        <w:t xml:space="preserve">        </w:t>
      </w:r>
      <w:r>
        <w:rPr>
          <w:rStyle w:val="ControlFlowTok"/>
        </w:rPr>
        <w:t xml:space="preserve">return</w:t>
      </w:r>
      <w:r>
        <w:rPr>
          <w:rStyle w:val="NormalTok"/>
        </w:rPr>
        <w:t xml:space="preserve"> (sub[</w:t>
      </w:r>
      <w:r>
        <w:rPr>
          <w:rStyle w:val="StringTok"/>
        </w:rPr>
        <w:t xml:space="preserve">"department"</w:t>
      </w:r>
      <w:r>
        <w:rPr>
          <w:rStyle w:val="NormalTok"/>
        </w:rPr>
        <w:t xml:space="preserve">] </w:t>
      </w:r>
      <w:r>
        <w:rPr>
          <w:rStyle w:val="OperatorTok"/>
        </w:rPr>
        <w:t xml:space="preserve">==</w:t>
      </w:r>
      <w:r>
        <w:rPr>
          <w:rStyle w:val="NormalTok"/>
        </w:rPr>
        <w:t xml:space="preserve"> res[</w:t>
      </w:r>
      <w:r>
        <w:rPr>
          <w:rStyle w:val="StringTok"/>
        </w:rPr>
        <w:t xml:space="preserve">"department"</w:t>
      </w:r>
      <w:r>
        <w:rPr>
          <w:rStyle w:val="NormalTok"/>
        </w:rPr>
        <w:t xml:space="preserve">]</w:t>
      </w:r>
      <w:r>
        <w:br/>
      </w:r>
      <w:r>
        <w:rPr>
          <w:rStyle w:val="NormalTok"/>
        </w:rPr>
        <w:t xml:space="preserve">                </w:t>
      </w:r>
      <w:r>
        <w:rPr>
          <w:rStyle w:val="KeywordTok"/>
        </w:rPr>
        <w:t xml:space="preserve">and</w:t>
      </w:r>
      <w:r>
        <w:rPr>
          <w:rStyle w:val="NormalTok"/>
        </w:rPr>
        <w:t xml:space="preserve"> sub[</w:t>
      </w:r>
      <w:r>
        <w:rPr>
          <w:rStyle w:val="StringTok"/>
        </w:rPr>
        <w:t xml:space="preserve">"clearance"</w:t>
      </w:r>
      <w:r>
        <w:rPr>
          <w:rStyle w:val="NormalTok"/>
        </w:rPr>
        <w:t xml:space="preserve">] </w:t>
      </w:r>
      <w:r>
        <w:rPr>
          <w:rStyle w:val="OperatorTok"/>
        </w:rPr>
        <w:t xml:space="preserve">&gt;=</w:t>
      </w:r>
      <w:r>
        <w:rPr>
          <w:rStyle w:val="NormalTok"/>
        </w:rPr>
        <w:t xml:space="preserve"> res[</w:t>
      </w:r>
      <w:r>
        <w:rPr>
          <w:rStyle w:val="StringTok"/>
        </w:rPr>
        <w:t xml:space="preserve">"classification"</w:t>
      </w:r>
      <w:r>
        <w:rPr>
          <w:rStyle w:val="NormalTok"/>
        </w:rPr>
        <w:t xml:space="preserve">]</w:t>
      </w:r>
      <w:r>
        <w:br/>
      </w:r>
      <w:r>
        <w:rPr>
          <w:rStyle w:val="NormalTok"/>
        </w:rPr>
        <w:t xml:space="preserve">                </w:t>
      </w:r>
      <w:r>
        <w:rPr>
          <w:rStyle w:val="KeywordTok"/>
        </w:rPr>
        <w:t xml:space="preserve">and</w:t>
      </w:r>
      <w:r>
        <w:rPr>
          <w:rStyle w:val="NormalTok"/>
        </w:rPr>
        <w:t xml:space="preserve"> </w:t>
      </w:r>
      <w:r>
        <w:rPr>
          <w:rStyle w:val="DecValTok"/>
        </w:rPr>
        <w:t xml:space="preserve">8</w:t>
      </w:r>
      <w:r>
        <w:rPr>
          <w:rStyle w:val="NormalTok"/>
        </w:rPr>
        <w:t xml:space="preserve"> </w:t>
      </w:r>
      <w:r>
        <w:rPr>
          <w:rStyle w:val="OperatorTok"/>
        </w:rPr>
        <w:t xml:space="preserve">&lt;=</w:t>
      </w:r>
      <w:r>
        <w:rPr>
          <w:rStyle w:val="NormalTok"/>
        </w:rPr>
        <w:t xml:space="preserve"> ctx[</w:t>
      </w:r>
      <w:r>
        <w:rPr>
          <w:rStyle w:val="StringTok"/>
        </w:rPr>
        <w:t xml:space="preserve">"hour_utc"</w:t>
      </w:r>
      <w:r>
        <w:rPr>
          <w:rStyle w:val="NormalTok"/>
        </w:rPr>
        <w:t xml:space="preserve">] </w:t>
      </w:r>
      <w:r>
        <w:rPr>
          <w:rStyle w:val="OperatorTok"/>
        </w:rPr>
        <w:t xml:space="preserve">&lt;</w:t>
      </w:r>
      <w:r>
        <w:rPr>
          <w:rStyle w:val="NormalTok"/>
        </w:rPr>
        <w:t xml:space="preserve"> </w:t>
      </w:r>
      <w:r>
        <w:rPr>
          <w:rStyle w:val="DecValTok"/>
        </w:rPr>
        <w:t xml:space="preserve">20</w:t>
      </w:r>
      <w:r>
        <w:rPr>
          <w:rStyle w:val="NormalTok"/>
        </w:rPr>
        <w:t xml:space="preserve">)          </w:t>
      </w:r>
      <w:r>
        <w:rPr>
          <w:rStyle w:val="CommentTok"/>
        </w:rPr>
        <w:t xml:space="preserve"># business hours only</w:t>
      </w:r>
      <w:r>
        <w:br/>
      </w:r>
      <w:r>
        <w:rPr>
          <w:rStyle w:val="NormalTok"/>
        </w:rPr>
        <w:t xml:space="preserve">    </w:t>
      </w: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"write"</w:t>
      </w:r>
      <w:r>
        <w:rPr>
          <w:rStyle w:val="NormalTok"/>
        </w:rPr>
        <w:t xml:space="preserve">:</w:t>
      </w:r>
      <w:r>
        <w:br/>
      </w:r>
      <w:r>
        <w:rPr>
          <w:rStyle w:val="NormalTok"/>
        </w:rPr>
        <w:t xml:space="preserve">        </w:t>
      </w:r>
      <w:r>
        <w:rPr>
          <w:rStyle w:val="ControlFlowTok"/>
        </w:rPr>
        <w:t xml:space="preserve">return</w:t>
      </w:r>
      <w:r>
        <w:rPr>
          <w:rStyle w:val="NormalTok"/>
        </w:rPr>
        <w:t xml:space="preserve"> sub[</w:t>
      </w:r>
      <w:r>
        <w:rPr>
          <w:rStyle w:val="StringTok"/>
        </w:rPr>
        <w:t xml:space="preserve">"id"</w:t>
      </w:r>
      <w:r>
        <w:rPr>
          <w:rStyle w:val="NormalTok"/>
        </w:rPr>
        <w:t xml:space="preserve">] </w:t>
      </w:r>
      <w:r>
        <w:rPr>
          <w:rStyle w:val="OperatorTok"/>
        </w:rPr>
        <w:t xml:space="preserve">==</w:t>
      </w:r>
      <w:r>
        <w:rPr>
          <w:rStyle w:val="NormalTok"/>
        </w:rPr>
        <w:t xml:space="preserve"> res[</w:t>
      </w:r>
      <w:r>
        <w:rPr>
          <w:rStyle w:val="StringTok"/>
        </w:rPr>
        <w:t xml:space="preserve">"owner_id"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p>
    <w:p>
      <w:pPr>
        <w:pStyle w:val="FirstParagraph"/>
      </w:pPr>
      <w:r>
        <w:rPr>
          <w:bCs/>
          <w:b/>
        </w:rPr>
        <w:t xml:space="preserve">Relationship-based access control (ReBAC).</w:t>
      </w:r>
      <w:r>
        <w:t xml:space="preserve"> </w:t>
      </w:r>
      <w:r>
        <w:t xml:space="preserve">Permissions follow from a graph of relationships: Alice can view this document because she is a member of a group that is a viewer of the folder that contains it. This is how sharing works in collaboration products (</w:t>
      </w:r>
      <w:r>
        <w:t xml:space="preserve">“</w:t>
      </w:r>
      <w:r>
        <w:t xml:space="preserve">anyone in Engineering can comment</w:t>
      </w:r>
      <w:r>
        <w:t xml:space="preserve">”</w:t>
      </w:r>
      <w:r>
        <w:t xml:space="preserve">), and neither roles nor flat attributes express it naturally.</w:t>
      </w:r>
    </w:p>
    <w:bookmarkEnd w:id="911"/>
    <w:bookmarkStart w:id="915" w:name="google-zanzibar"/>
    <w:p>
      <w:pPr>
        <w:pStyle w:val="Heading3"/>
      </w:pPr>
      <w:r>
        <w:t xml:space="preserve">8.12.2 Google Zanzibar</w:t>
      </w:r>
    </w:p>
    <w:p>
      <w:pPr>
        <w:pStyle w:val="CalloutIndustry"/>
      </w:pPr>
      <w:r>
        <w:rPr>
          <w:bCs/>
          <w:b/>
        </w:rPr>
        <w:t xml:space="preserve">INDUSTRY EXAMPLE</w:t>
      </w:r>
    </w:p>
    <w:p>
      <w:pPr>
        <w:pStyle w:val="CalloutIndustry"/>
      </w:pPr>
      <w:r>
        <w:rPr>
          <w:bCs/>
          <w:b/>
        </w:rPr>
        <w:t xml:space="preserve">Zanzibar: Google’s consistent, global authorization system.</w:t>
      </w:r>
      <w:r>
        <w:t xml:space="preserve"> </w:t>
      </w:r>
      <w:r>
        <w:t xml:space="preserve">Google built one authorization service to serve the access-control checks of many products (the paper lists Calendar, Cloud, Drive, Maps, Photos and YouTube among its clients). It stores permissions as</w:t>
      </w:r>
      <w:r>
        <w:t xml:space="preserve"> </w:t>
      </w:r>
      <w:r>
        <w:rPr>
          <w:bCs/>
          <w:b/>
        </w:rPr>
        <w:t xml:space="preserve">relation tuples</w:t>
      </w:r>
      <w:r>
        <w:t xml:space="preserve"> </w:t>
      </w:r>
      <w:r>
        <w:t xml:space="preserve">of the form</w:t>
      </w:r>
      <w:r>
        <w:t xml:space="preserve"> </w:t>
      </w:r>
      <w:r>
        <w:rPr>
          <w:rStyle w:val="VerbatimChar"/>
        </w:rPr>
        <w:t xml:space="preserve">object#relation@user</w:t>
      </w:r>
      <w:r>
        <w:t xml:space="preserve">, where the user may itself be a set of users such as</w:t>
      </w:r>
      <w:r>
        <w:t xml:space="preserve"> </w:t>
      </w:r>
      <w:r>
        <w:rPr>
          <w:rStyle w:val="VerbatimChar"/>
        </w:rPr>
        <w:t xml:space="preserve">group:eng#member</w:t>
      </w:r>
      <w:r>
        <w:t xml:space="preserve">. A per-namespace configuration of</w:t>
      </w:r>
      <w:r>
        <w:t xml:space="preserve"> </w:t>
      </w:r>
      <w:r>
        <w:rPr>
          <w:bCs/>
          <w:b/>
        </w:rPr>
        <w:t xml:space="preserve">userset rewrite rules</w:t>
      </w:r>
      <w:r>
        <w:t xml:space="preserve"> </w:t>
      </w:r>
      <w:r>
        <w:t xml:space="preserve">derives relations from others — for example, every</w:t>
      </w:r>
      <w:r>
        <w:t xml:space="preserve"> </w:t>
      </w:r>
      <w:r>
        <w:rPr>
          <w:rStyle w:val="VerbatimChar"/>
        </w:rPr>
        <w:t xml:space="preserve">editor</w:t>
      </w:r>
      <w:r>
        <w:t xml:space="preserve"> </w:t>
      </w:r>
      <w:r>
        <w:t xml:space="preserve">is also a</w:t>
      </w:r>
      <w:r>
        <w:t xml:space="preserve"> </w:t>
      </w:r>
      <w:r>
        <w:rPr>
          <w:rStyle w:val="VerbatimChar"/>
        </w:rPr>
        <w:t xml:space="preserve">viewer</w:t>
      </w:r>
      <w:r>
        <w:t xml:space="preserve">, and a document’s viewers include the viewers of its parent folder. A</w:t>
      </w:r>
      <w:r>
        <w:t xml:space="preserve"> </w:t>
      </w:r>
      <w:r>
        <w:rPr>
          <w:bCs/>
          <w:b/>
        </w:rPr>
        <w:t xml:space="preserve">check</w:t>
      </w:r>
      <w:r>
        <w:t xml:space="preserve"> </w:t>
      </w:r>
      <w:r>
        <w:t xml:space="preserve">is a graph search over tuples and rewrites. The paper reports trillions of stored ACL tuples (more than two trillion), millions of authorization checks per second, 95th-percentile latency under 10 ms and availability above 99.999% over three years of production. Data is stored in Spanner; aggressive caching, request deduplication and a specialized index (Leopard) for deeply nested groups keep latency low. To avoid the</w:t>
      </w:r>
      <w:r>
        <w:t xml:space="preserve"> </w:t>
      </w:r>
      <w:r>
        <w:rPr>
          <w:bCs/>
          <w:b/>
        </w:rPr>
        <w:t xml:space="preserve">“</w:t>
      </w:r>
      <w:r>
        <w:rPr>
          <w:bCs/>
          <w:b/>
        </w:rPr>
        <w:t xml:space="preserve">new enemy</w:t>
      </w:r>
      <w:r>
        <w:rPr>
          <w:bCs/>
          <w:b/>
        </w:rPr>
        <w:t xml:space="preserve">”</w:t>
      </w:r>
      <w:r>
        <w:rPr>
          <w:bCs/>
          <w:b/>
        </w:rPr>
        <w:t xml:space="preserve"> </w:t>
      </w:r>
      <w:r>
        <w:rPr>
          <w:bCs/>
          <w:b/>
        </w:rPr>
        <w:t xml:space="preserve">problem</w:t>
      </w:r>
      <w:r>
        <w:t xml:space="preserve"> </w:t>
      </w:r>
      <w:r>
        <w:t xml:space="preserve">— checking an old ACL against new content, for example after removing a user and then adding sensitive content — clients store an opaque consistency token, the</w:t>
      </w:r>
      <w:r>
        <w:t xml:space="preserve"> </w:t>
      </w:r>
      <w:r>
        <w:rPr>
          <w:bCs/>
          <w:b/>
        </w:rPr>
        <w:t xml:space="preserve">zookie</w:t>
      </w:r>
      <w:r>
        <w:t xml:space="preserve">, with content updates, and later checks are evaluated at a snapshot at least as fresh as that zookie [Pang et al. 2019]. Open-source systems inspired by the paper, such as OpenFGA and SpiceDB, exist as of 2026.</w:t>
      </w:r>
      <w:r>
        <w:t xml:space="preserve"> </w:t>
      </w:r>
      <w:r>
        <w:rPr>
          <w:iCs/>
          <w:i/>
        </w:rPr>
        <w:t xml:space="preserve">Evidence: Primary</w:t>
      </w:r>
      <w:r>
        <w:t xml:space="preserve"> </w:t>
      </w:r>
      <w:r>
        <w:t xml:space="preserve">— [Pang et al. 2019]</w:t>
      </w:r>
    </w:p>
    <w:p>
      <w:pPr>
        <w:pStyle w:val="BodyText"/>
      </w:pPr>
      <w:r>
        <w:t xml:space="preserve">A toy check function shows the core idea of tuples plus rewrite rules:</w:t>
      </w:r>
    </w:p>
    <w:p>
      <w:pPr>
        <w:pStyle w:val="SourceCode"/>
      </w:pPr>
      <w:r>
        <w:rPr>
          <w:rStyle w:val="CommentTok"/>
        </w:rPr>
        <w:t xml:space="preserve"># Relation tuples: (object, relation, subject). A subject is a user or a userset "obj#rel".</w:t>
      </w:r>
      <w:r>
        <w:br/>
      </w:r>
      <w:r>
        <w:rPr>
          <w:rStyle w:val="NormalTok"/>
        </w:rPr>
        <w:t xml:space="preserve">TUPLES </w:t>
      </w:r>
      <w:r>
        <w:rPr>
          <w:rStyle w:val="OperatorTok"/>
        </w:rPr>
        <w:t xml:space="preserve">=</w:t>
      </w:r>
      <w:r>
        <w:rPr>
          <w:rStyle w:val="NormalTok"/>
        </w:rPr>
        <w:t xml:space="preserve"> {</w:t>
      </w:r>
      <w:r>
        <w:br/>
      </w:r>
      <w:r>
        <w:rPr>
          <w:rStyle w:val="NormalTok"/>
        </w:rPr>
        <w:t xml:space="preserve">    (</w:t>
      </w:r>
      <w:r>
        <w:rPr>
          <w:rStyle w:val="StringTok"/>
        </w:rPr>
        <w:t xml:space="preserve">"doc:readme"</w:t>
      </w:r>
      <w:r>
        <w:rPr>
          <w:rStyle w:val="NormalTok"/>
        </w:rPr>
        <w:t xml:space="preserve">, </w:t>
      </w:r>
      <w:r>
        <w:rPr>
          <w:rStyle w:val="StringTok"/>
        </w:rPr>
        <w:t xml:space="preserve">"owner"</w:t>
      </w:r>
      <w:r>
        <w:rPr>
          <w:rStyle w:val="NormalTok"/>
        </w:rPr>
        <w:t xml:space="preserve">,  </w:t>
      </w:r>
      <w:r>
        <w:rPr>
          <w:rStyle w:val="StringTok"/>
        </w:rPr>
        <w:t xml:space="preserve">"user:alice"</w:t>
      </w:r>
      <w:r>
        <w:rPr>
          <w:rStyle w:val="NormalTok"/>
        </w:rPr>
        <w:t xml:space="preserve">),</w:t>
      </w:r>
      <w:r>
        <w:br/>
      </w:r>
      <w:r>
        <w:rPr>
          <w:rStyle w:val="NormalTok"/>
        </w:rPr>
        <w:t xml:space="preserve">    (</w:t>
      </w:r>
      <w:r>
        <w:rPr>
          <w:rStyle w:val="StringTok"/>
        </w:rPr>
        <w:t xml:space="preserve">"doc:readme"</w:t>
      </w:r>
      <w:r>
        <w:rPr>
          <w:rStyle w:val="NormalTok"/>
        </w:rPr>
        <w:t xml:space="preserve">, </w:t>
      </w:r>
      <w:r>
        <w:rPr>
          <w:rStyle w:val="StringTok"/>
        </w:rPr>
        <w:t xml:space="preserve">"parent"</w:t>
      </w:r>
      <w:r>
        <w:rPr>
          <w:rStyle w:val="NormalTok"/>
        </w:rPr>
        <w:t xml:space="preserve">, </w:t>
      </w:r>
      <w:r>
        <w:rPr>
          <w:rStyle w:val="StringTok"/>
        </w:rPr>
        <w:t xml:space="preserve">"folder:eng"</w:t>
      </w:r>
      <w:r>
        <w:rPr>
          <w:rStyle w:val="NormalTok"/>
        </w:rPr>
        <w:t xml:space="preserve">),          </w:t>
      </w:r>
      <w:r>
        <w:rPr>
          <w:rStyle w:val="CommentTok"/>
        </w:rPr>
        <w:t xml:space="preserve"># doc lives in a folder</w:t>
      </w:r>
      <w:r>
        <w:br/>
      </w:r>
      <w:r>
        <w:rPr>
          <w:rStyle w:val="NormalTok"/>
        </w:rPr>
        <w:t xml:space="preserve">    (</w:t>
      </w:r>
      <w:r>
        <w:rPr>
          <w:rStyle w:val="StringTok"/>
        </w:rPr>
        <w:t xml:space="preserve">"folder:eng"</w:t>
      </w:r>
      <w:r>
        <w:rPr>
          <w:rStyle w:val="NormalTok"/>
        </w:rPr>
        <w:t xml:space="preserve">, </w:t>
      </w:r>
      <w:r>
        <w:rPr>
          <w:rStyle w:val="StringTok"/>
        </w:rPr>
        <w:t xml:space="preserve">"viewer"</w:t>
      </w:r>
      <w:r>
        <w:rPr>
          <w:rStyle w:val="NormalTok"/>
        </w:rPr>
        <w:t xml:space="preserve">, </w:t>
      </w:r>
      <w:r>
        <w:rPr>
          <w:rStyle w:val="StringTok"/>
        </w:rPr>
        <w:t xml:space="preserve">"group:eng#member"</w:t>
      </w:r>
      <w:r>
        <w:rPr>
          <w:rStyle w:val="NormalTok"/>
        </w:rPr>
        <w:t xml:space="preserve">),    </w:t>
      </w:r>
      <w:r>
        <w:rPr>
          <w:rStyle w:val="CommentTok"/>
        </w:rPr>
        <w:t xml:space="preserve"># eng members can view the folder</w:t>
      </w:r>
      <w:r>
        <w:br/>
      </w:r>
      <w:r>
        <w:rPr>
          <w:rStyle w:val="NormalTok"/>
        </w:rPr>
        <w:t xml:space="preserve">    (</w:t>
      </w:r>
      <w:r>
        <w:rPr>
          <w:rStyle w:val="StringTok"/>
        </w:rPr>
        <w:t xml:space="preserve">"group:eng"</w:t>
      </w:r>
      <w:r>
        <w:rPr>
          <w:rStyle w:val="NormalTok"/>
        </w:rPr>
        <w:t xml:space="preserve">,  </w:t>
      </w:r>
      <w:r>
        <w:rPr>
          <w:rStyle w:val="StringTok"/>
        </w:rPr>
        <w:t xml:space="preserve">"member"</w:t>
      </w:r>
      <w:r>
        <w:rPr>
          <w:rStyle w:val="NormalTok"/>
        </w:rPr>
        <w:t xml:space="preserve">, </w:t>
      </w:r>
      <w:r>
        <w:rPr>
          <w:rStyle w:val="StringTok"/>
        </w:rPr>
        <w:t xml:space="preserve">"user:bob"</w:t>
      </w:r>
      <w:r>
        <w:rPr>
          <w:rStyle w:val="NormalTok"/>
        </w:rPr>
        <w:t xml:space="preserve">),</w:t>
      </w:r>
      <w:r>
        <w:br/>
      </w:r>
      <w:r>
        <w:rPr>
          <w:rStyle w:val="NormalTok"/>
        </w:rPr>
        <w:t xml:space="preserve">    (</w:t>
      </w:r>
      <w:r>
        <w:rPr>
          <w:rStyle w:val="StringTok"/>
        </w:rPr>
        <w:t xml:space="preserve">"group:eng"</w:t>
      </w:r>
      <w:r>
        <w:rPr>
          <w:rStyle w:val="NormalTok"/>
        </w:rPr>
        <w:t xml:space="preserve">,  </w:t>
      </w:r>
      <w:r>
        <w:rPr>
          <w:rStyle w:val="StringTok"/>
        </w:rPr>
        <w:t xml:space="preserve">"member"</w:t>
      </w:r>
      <w:r>
        <w:rPr>
          <w:rStyle w:val="NormalTok"/>
        </w:rPr>
        <w:t xml:space="preserve">, </w:t>
      </w:r>
      <w:r>
        <w:rPr>
          <w:rStyle w:val="StringTok"/>
        </w:rPr>
        <w:t xml:space="preserve">"group:sre#member"</w:t>
      </w:r>
      <w:r>
        <w:rPr>
          <w:rStyle w:val="NormalTok"/>
        </w:rPr>
        <w:t xml:space="preserve">),    </w:t>
      </w:r>
      <w:r>
        <w:rPr>
          <w:rStyle w:val="CommentTok"/>
        </w:rPr>
        <w:t xml:space="preserve"># nested group</w:t>
      </w:r>
      <w:r>
        <w:br/>
      </w:r>
      <w:r>
        <w:rPr>
          <w:rStyle w:val="NormalTok"/>
        </w:rPr>
        <w:t xml:space="preserve">    (</w:t>
      </w:r>
      <w:r>
        <w:rPr>
          <w:rStyle w:val="StringTok"/>
        </w:rPr>
        <w:t xml:space="preserve">"group:sre"</w:t>
      </w:r>
      <w:r>
        <w:rPr>
          <w:rStyle w:val="NormalTok"/>
        </w:rPr>
        <w:t xml:space="preserve">,  </w:t>
      </w:r>
      <w:r>
        <w:rPr>
          <w:rStyle w:val="StringTok"/>
        </w:rPr>
        <w:t xml:space="preserve">"member"</w:t>
      </w:r>
      <w:r>
        <w:rPr>
          <w:rStyle w:val="NormalTok"/>
        </w:rPr>
        <w:t xml:space="preserve">, </w:t>
      </w:r>
      <w:r>
        <w:rPr>
          <w:rStyle w:val="StringTok"/>
        </w:rPr>
        <w:t xml:space="preserve">"user:carol"</w:t>
      </w:r>
      <w:r>
        <w:rPr>
          <w:rStyle w:val="NormalTok"/>
        </w:rPr>
        <w:t xml:space="preserve">),</w:t>
      </w:r>
      <w:r>
        <w:br/>
      </w:r>
      <w:r>
        <w:rPr>
          <w:rStyle w:val="NormalTok"/>
        </w:rPr>
        <w:t xml:space="preserve">}</w:t>
      </w:r>
      <w:r>
        <w:br/>
      </w:r>
      <w:r>
        <w:rPr>
          <w:rStyle w:val="CommentTok"/>
        </w:rPr>
        <w:t xml:space="preserve"># Rewrite rules: an editor is an owner or editor; a viewer is an editor,</w:t>
      </w:r>
      <w:r>
        <w:br/>
      </w:r>
      <w:r>
        <w:rPr>
          <w:rStyle w:val="CommentTok"/>
        </w:rPr>
        <w:t xml:space="preserve"># or a viewer of the parent folder.</w:t>
      </w:r>
      <w:r>
        <w:br/>
      </w:r>
      <w:r>
        <w:rPr>
          <w:rStyle w:val="NormalTok"/>
        </w:rPr>
        <w:t xml:space="preserve">REWRITES </w:t>
      </w:r>
      <w:r>
        <w:rPr>
          <w:rStyle w:val="OperatorTok"/>
        </w:rPr>
        <w:t xml:space="preserve">=</w:t>
      </w:r>
      <w:r>
        <w:rPr>
          <w:rStyle w:val="NormalTok"/>
        </w:rPr>
        <w:t xml:space="preserve"> {</w:t>
      </w:r>
      <w:r>
        <w:rPr>
          <w:rStyle w:val="StringTok"/>
        </w:rPr>
        <w:t xml:space="preserve">"editor"</w:t>
      </w:r>
      <w:r>
        <w:rPr>
          <w:rStyle w:val="NormalTok"/>
        </w:rPr>
        <w:t xml:space="preserve">: [</w:t>
      </w:r>
      <w:r>
        <w:rPr>
          <w:rStyle w:val="StringTok"/>
        </w:rPr>
        <w:t xml:space="preserve">"owner"</w:t>
      </w:r>
      <w:r>
        <w:rPr>
          <w:rStyle w:val="NormalTok"/>
        </w:rPr>
        <w:t xml:space="preserve">], </w:t>
      </w:r>
      <w:r>
        <w:rPr>
          <w:rStyle w:val="StringTok"/>
        </w:rPr>
        <w:t xml:space="preserve">"viewer"</w:t>
      </w:r>
      <w:r>
        <w:rPr>
          <w:rStyle w:val="NormalTok"/>
        </w:rPr>
        <w:t xml:space="preserve">: [</w:t>
      </w:r>
      <w:r>
        <w:rPr>
          <w:rStyle w:val="StringTok"/>
        </w:rPr>
        <w:t xml:space="preserve">"editor"</w:t>
      </w:r>
      <w:r>
        <w:rPr>
          <w:rStyle w:val="NormalTok"/>
        </w:rPr>
        <w:t xml:space="preserve">, (</w:t>
      </w:r>
      <w:r>
        <w:rPr>
          <w:rStyle w:val="StringTok"/>
        </w:rPr>
        <w:t xml:space="preserve">"parent"</w:t>
      </w:r>
      <w:r>
        <w:rPr>
          <w:rStyle w:val="NormalTok"/>
        </w:rPr>
        <w:t xml:space="preserve">, </w:t>
      </w:r>
      <w:r>
        <w:rPr>
          <w:rStyle w:val="StringTok"/>
        </w:rPr>
        <w:t xml:space="preserve">"viewer"</w:t>
      </w:r>
      <w:r>
        <w:rPr>
          <w:rStyle w:val="NormalTok"/>
        </w:rPr>
        <w:t xml:space="preserve">)]}</w:t>
      </w:r>
      <w:r>
        <w:br/>
      </w:r>
      <w:r>
        <w:br/>
      </w:r>
      <w:r>
        <w:br/>
      </w:r>
      <w:r>
        <w:rPr>
          <w:rStyle w:val="KeywordTok"/>
        </w:rPr>
        <w:t xml:space="preserve">def</w:t>
      </w:r>
      <w:r>
        <w:rPr>
          <w:rStyle w:val="NormalTok"/>
        </w:rPr>
        <w:t xml:space="preserve"> check(obj: </w:t>
      </w:r>
      <w:r>
        <w:rPr>
          <w:rStyle w:val="BuiltInTok"/>
        </w:rPr>
        <w:t xml:space="preserve">str</w:t>
      </w:r>
      <w:r>
        <w:rPr>
          <w:rStyle w:val="NormalTok"/>
        </w:rPr>
        <w:t xml:space="preserve">, relation: </w:t>
      </w:r>
      <w:r>
        <w:rPr>
          <w:rStyle w:val="BuiltInTok"/>
        </w:rPr>
        <w:t xml:space="preserve">str</w:t>
      </w:r>
      <w:r>
        <w:rPr>
          <w:rStyle w:val="NormalTok"/>
        </w:rPr>
        <w:t xml:space="preserve">, user: </w:t>
      </w:r>
      <w:r>
        <w:rPr>
          <w:rStyle w:val="BuiltInTok"/>
        </w:rPr>
        <w:t xml:space="preserve">str</w:t>
      </w:r>
      <w:r>
        <w:rPr>
          <w:rStyle w:val="NormalTok"/>
        </w:rPr>
        <w:t xml:space="preserve">, depth: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if</w:t>
      </w:r>
      <w:r>
        <w:rPr>
          <w:rStyle w:val="NormalTok"/>
        </w:rPr>
        <w:t xml:space="preserve"> depth </w:t>
      </w:r>
      <w:r>
        <w:rPr>
          <w:rStyle w:val="OperatorTok"/>
        </w:rPr>
        <w:t xml:space="preserve">&gt;</w:t>
      </w:r>
      <w:r>
        <w:rPr>
          <w:rStyle w:val="NormalTok"/>
        </w:rPr>
        <w:t xml:space="preserve"> </w:t>
      </w:r>
      <w:r>
        <w:rPr>
          <w:rStyle w:val="DecValTok"/>
        </w:rPr>
        <w:t xml:space="preserve">25</w:t>
      </w:r>
      <w:r>
        <w:rPr>
          <w:rStyle w:val="NormalTok"/>
        </w:rPr>
        <w:t xml:space="preserve">:                                    </w:t>
      </w:r>
      <w:r>
        <w:rPr>
          <w:rStyle w:val="CommentTok"/>
        </w:rPr>
        <w:t xml:space="preserve"># guard against cycles</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ntrolFlowTok"/>
        </w:rPr>
        <w:t xml:space="preserve">for</w:t>
      </w:r>
      <w:r>
        <w:rPr>
          <w:rStyle w:val="NormalTok"/>
        </w:rPr>
        <w:t xml:space="preserve"> (o, r, s) </w:t>
      </w:r>
      <w:r>
        <w:rPr>
          <w:rStyle w:val="KeywordTok"/>
        </w:rPr>
        <w:t xml:space="preserve">in</w:t>
      </w:r>
      <w:r>
        <w:rPr>
          <w:rStyle w:val="NormalTok"/>
        </w:rPr>
        <w:t xml:space="preserve"> TUPLES:</w:t>
      </w:r>
      <w:r>
        <w:br/>
      </w:r>
      <w:r>
        <w:rPr>
          <w:rStyle w:val="NormalTok"/>
        </w:rPr>
        <w:t xml:space="preserve">        </w:t>
      </w:r>
      <w:r>
        <w:rPr>
          <w:rStyle w:val="ControlFlowTok"/>
        </w:rPr>
        <w:t xml:space="preserve">if</w:t>
      </w:r>
      <w:r>
        <w:rPr>
          <w:rStyle w:val="NormalTok"/>
        </w:rPr>
        <w:t xml:space="preserve"> o </w:t>
      </w:r>
      <w:r>
        <w:rPr>
          <w:rStyle w:val="OperatorTok"/>
        </w:rPr>
        <w:t xml:space="preserve">==</w:t>
      </w:r>
      <w:r>
        <w:rPr>
          <w:rStyle w:val="NormalTok"/>
        </w:rPr>
        <w:t xml:space="preserve"> obj </w:t>
      </w:r>
      <w:r>
        <w:rPr>
          <w:rStyle w:val="KeywordTok"/>
        </w:rPr>
        <w:t xml:space="preserve">and</w:t>
      </w:r>
      <w:r>
        <w:rPr>
          <w:rStyle w:val="NormalTok"/>
        </w:rPr>
        <w:t xml:space="preserve"> r </w:t>
      </w:r>
      <w:r>
        <w:rPr>
          <w:rStyle w:val="OperatorTok"/>
        </w:rPr>
        <w:t xml:space="preserve">==</w:t>
      </w:r>
      <w:r>
        <w:rPr>
          <w:rStyle w:val="NormalTok"/>
        </w:rPr>
        <w:t xml:space="preserve"> relation:</w:t>
      </w:r>
      <w:r>
        <w:br/>
      </w:r>
      <w:r>
        <w:rPr>
          <w:rStyle w:val="NormalTok"/>
        </w:rPr>
        <w:t xml:space="preserve">            </w:t>
      </w:r>
      <w:r>
        <w:rPr>
          <w:rStyle w:val="ControlFlowTok"/>
        </w:rPr>
        <w:t xml:space="preserve">if</w:t>
      </w:r>
      <w:r>
        <w:rPr>
          <w:rStyle w:val="NormalTok"/>
        </w:rPr>
        <w:t xml:space="preserve"> s </w:t>
      </w:r>
      <w:r>
        <w:rPr>
          <w:rStyle w:val="OperatorTok"/>
        </w:rPr>
        <w:t xml:space="preserve">==</w:t>
      </w:r>
      <w:r>
        <w:rPr>
          <w:rStyle w:val="NormalTok"/>
        </w:rPr>
        <w:t xml:space="preserve"> user:                             </w:t>
      </w:r>
      <w:r>
        <w:rPr>
          <w:rStyle w:val="CommentTok"/>
        </w:rPr>
        <w:t xml:space="preserve"># direct tuple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if</w:t>
      </w:r>
      <w:r>
        <w:rPr>
          <w:rStyle w:val="NormalTok"/>
        </w:rPr>
        <w:t xml:space="preserve"> </w:t>
      </w:r>
      <w:r>
        <w:rPr>
          <w:rStyle w:val="StringTok"/>
        </w:rPr>
        <w:t xml:space="preserve">"#"</w:t>
      </w:r>
      <w:r>
        <w:rPr>
          <w:rStyle w:val="NormalTok"/>
        </w:rPr>
        <w:t xml:space="preserve"> </w:t>
      </w:r>
      <w:r>
        <w:rPr>
          <w:rStyle w:val="KeywordTok"/>
        </w:rPr>
        <w:t xml:space="preserve">in</w:t>
      </w:r>
      <w:r>
        <w:rPr>
          <w:rStyle w:val="NormalTok"/>
        </w:rPr>
        <w:t xml:space="preserve"> s </w:t>
      </w:r>
      <w:r>
        <w:rPr>
          <w:rStyle w:val="KeywordTok"/>
        </w:rPr>
        <w:t xml:space="preserve">and</w:t>
      </w:r>
      <w:r>
        <w:rPr>
          <w:rStyle w:val="NormalTok"/>
        </w:rPr>
        <w:t xml:space="preserve"> check(</w:t>
      </w:r>
      <w:r>
        <w:rPr>
          <w:rStyle w:val="OperatorTok"/>
        </w:rPr>
        <w:t xml:space="preserve">*</w:t>
      </w:r>
      <w:r>
        <w:rPr>
          <w:rStyle w:val="NormalTok"/>
        </w:rPr>
        <w:t xml:space="preserve">s.split(</w:t>
      </w:r>
      <w:r>
        <w:rPr>
          <w:rStyle w:val="StringTok"/>
        </w:rPr>
        <w:t xml:space="preserve">"#"</w:t>
      </w:r>
      <w:r>
        <w:rPr>
          <w:rStyle w:val="NormalTok"/>
        </w:rPr>
        <w:t xml:space="preserve">), user, depth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userset</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for</w:t>
      </w:r>
      <w:r>
        <w:rPr>
          <w:rStyle w:val="NormalTok"/>
        </w:rPr>
        <w:t xml:space="preserve"> rule </w:t>
      </w:r>
      <w:r>
        <w:rPr>
          <w:rStyle w:val="KeywordTok"/>
        </w:rPr>
        <w:t xml:space="preserve">in</w:t>
      </w:r>
      <w:r>
        <w:rPr>
          <w:rStyle w:val="NormalTok"/>
        </w:rPr>
        <w:t xml:space="preserve"> REWRITES.get(relation, []):</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(rule, </w:t>
      </w:r>
      <w:r>
        <w:rPr>
          <w:rStyle w:val="BuiltInTok"/>
        </w:rPr>
        <w:t xml:space="preserve">str</w:t>
      </w:r>
      <w:r>
        <w:rPr>
          <w:rStyle w:val="NormalTok"/>
        </w:rPr>
        <w:t xml:space="preserve">):                     </w:t>
      </w:r>
      <w:r>
        <w:rPr>
          <w:rStyle w:val="CommentTok"/>
        </w:rPr>
        <w:t xml:space="preserve"># same object, implied relation</w:t>
      </w:r>
      <w:r>
        <w:br/>
      </w:r>
      <w:r>
        <w:rPr>
          <w:rStyle w:val="NormalTok"/>
        </w:rPr>
        <w:t xml:space="preserve">            </w:t>
      </w:r>
      <w:r>
        <w:rPr>
          <w:rStyle w:val="ControlFlowTok"/>
        </w:rPr>
        <w:t xml:space="preserve">if</w:t>
      </w:r>
      <w:r>
        <w:rPr>
          <w:rStyle w:val="NormalTok"/>
        </w:rPr>
        <w:t xml:space="preserve"> check(obj, rule, user, depth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else</w:t>
      </w:r>
      <w:r>
        <w:rPr>
          <w:rStyle w:val="NormalTok"/>
        </w:rPr>
        <w:t xml:space="preserve">:                                         </w:t>
      </w:r>
      <w:r>
        <w:rPr>
          <w:rStyle w:val="CommentTok"/>
        </w:rPr>
        <w:t xml:space="preserve"># follow a pointer, e.g. parent</w:t>
      </w:r>
      <w:r>
        <w:br/>
      </w:r>
      <w:r>
        <w:rPr>
          <w:rStyle w:val="NormalTok"/>
        </w:rPr>
        <w:t xml:space="preserve">            via, target_rel </w:t>
      </w:r>
      <w:r>
        <w:rPr>
          <w:rStyle w:val="OperatorTok"/>
        </w:rPr>
        <w:t xml:space="preserve">=</w:t>
      </w:r>
      <w:r>
        <w:rPr>
          <w:rStyle w:val="NormalTok"/>
        </w:rPr>
        <w:t xml:space="preserve"> rule</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(o </w:t>
      </w:r>
      <w:r>
        <w:rPr>
          <w:rStyle w:val="OperatorTok"/>
        </w:rPr>
        <w:t xml:space="preserve">==</w:t>
      </w:r>
      <w:r>
        <w:rPr>
          <w:rStyle w:val="NormalTok"/>
        </w:rPr>
        <w:t xml:space="preserve"> obj </w:t>
      </w:r>
      <w:r>
        <w:rPr>
          <w:rStyle w:val="KeywordTok"/>
        </w:rPr>
        <w:t xml:space="preserve">and</w:t>
      </w:r>
      <w:r>
        <w:rPr>
          <w:rStyle w:val="NormalTok"/>
        </w:rPr>
        <w:t xml:space="preserve"> r </w:t>
      </w:r>
      <w:r>
        <w:rPr>
          <w:rStyle w:val="OperatorTok"/>
        </w:rPr>
        <w:t xml:space="preserve">==</w:t>
      </w:r>
      <w:r>
        <w:rPr>
          <w:rStyle w:val="NormalTok"/>
        </w:rPr>
        <w:t xml:space="preserve"> via </w:t>
      </w:r>
      <w:r>
        <w:rPr>
          <w:rStyle w:val="KeywordTok"/>
        </w:rPr>
        <w:t xml:space="preserve">and</w:t>
      </w:r>
      <w:r>
        <w:rPr>
          <w:rStyle w:val="NormalTok"/>
        </w:rPr>
        <w:t xml:space="preserve"> check(s, target_rel, user, depth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(o, r, s) </w:t>
      </w:r>
      <w:r>
        <w:rPr>
          <w:rStyle w:val="KeywordTok"/>
        </w:rPr>
        <w:t xml:space="preserve">in</w:t>
      </w:r>
      <w:r>
        <w:rPr>
          <w:rStyle w:val="NormalTok"/>
        </w:rPr>
        <w:t xml:space="preserve"> TUPLES):</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br/>
      </w:r>
      <w:r>
        <w:rPr>
          <w:rStyle w:val="BuiltInTok"/>
        </w:rPr>
        <w:t xml:space="preserve">print</w:t>
      </w:r>
      <w:r>
        <w:rPr>
          <w:rStyle w:val="NormalTok"/>
        </w:rPr>
        <w:t xml:space="preserve">(check(</w:t>
      </w:r>
      <w:r>
        <w:rPr>
          <w:rStyle w:val="StringTok"/>
        </w:rPr>
        <w:t xml:space="preserve">"doc:readme"</w:t>
      </w:r>
      <w:r>
        <w:rPr>
          <w:rStyle w:val="NormalTok"/>
        </w:rPr>
        <w:t xml:space="preserve">, </w:t>
      </w:r>
      <w:r>
        <w:rPr>
          <w:rStyle w:val="StringTok"/>
        </w:rPr>
        <w:t xml:space="preserve">"viewer"</w:t>
      </w:r>
      <w:r>
        <w:rPr>
          <w:rStyle w:val="NormalTok"/>
        </w:rPr>
        <w:t xml:space="preserve">, </w:t>
      </w:r>
      <w:r>
        <w:rPr>
          <w:rStyle w:val="StringTok"/>
        </w:rPr>
        <w:t xml:space="preserve">"user:alice"</w:t>
      </w:r>
      <w:r>
        <w:rPr>
          <w:rStyle w:val="NormalTok"/>
        </w:rPr>
        <w:t xml:space="preserve">))   </w:t>
      </w:r>
      <w:r>
        <w:rPr>
          <w:rStyle w:val="CommentTok"/>
        </w:rPr>
        <w:t xml:space="preserve"># True: owner -&gt; editor -&gt; viewer</w:t>
      </w:r>
      <w:r>
        <w:br/>
      </w:r>
      <w:r>
        <w:rPr>
          <w:rStyle w:val="BuiltInTok"/>
        </w:rPr>
        <w:t xml:space="preserve">print</w:t>
      </w:r>
      <w:r>
        <w:rPr>
          <w:rStyle w:val="NormalTok"/>
        </w:rPr>
        <w:t xml:space="preserve">(check(</w:t>
      </w:r>
      <w:r>
        <w:rPr>
          <w:rStyle w:val="StringTok"/>
        </w:rPr>
        <w:t xml:space="preserve">"doc:readme"</w:t>
      </w:r>
      <w:r>
        <w:rPr>
          <w:rStyle w:val="NormalTok"/>
        </w:rPr>
        <w:t xml:space="preserve">, </w:t>
      </w:r>
      <w:r>
        <w:rPr>
          <w:rStyle w:val="StringTok"/>
        </w:rPr>
        <w:t xml:space="preserve">"viewer"</w:t>
      </w:r>
      <w:r>
        <w:rPr>
          <w:rStyle w:val="NormalTok"/>
        </w:rPr>
        <w:t xml:space="preserve">, </w:t>
      </w:r>
      <w:r>
        <w:rPr>
          <w:rStyle w:val="StringTok"/>
        </w:rPr>
        <w:t xml:space="preserve">"user:carol"</w:t>
      </w:r>
      <w:r>
        <w:rPr>
          <w:rStyle w:val="NormalTok"/>
        </w:rPr>
        <w:t xml:space="preserve">))   </w:t>
      </w:r>
      <w:r>
        <w:rPr>
          <w:rStyle w:val="CommentTok"/>
        </w:rPr>
        <w:t xml:space="preserve"># True: sre in eng; eng views folder</w:t>
      </w:r>
      <w:r>
        <w:br/>
      </w:r>
      <w:r>
        <w:rPr>
          <w:rStyle w:val="BuiltInTok"/>
        </w:rPr>
        <w:t xml:space="preserve">print</w:t>
      </w:r>
      <w:r>
        <w:rPr>
          <w:rStyle w:val="NormalTok"/>
        </w:rPr>
        <w:t xml:space="preserve">(check(</w:t>
      </w:r>
      <w:r>
        <w:rPr>
          <w:rStyle w:val="StringTok"/>
        </w:rPr>
        <w:t xml:space="preserve">"doc:readme"</w:t>
      </w:r>
      <w:r>
        <w:rPr>
          <w:rStyle w:val="NormalTok"/>
        </w:rPr>
        <w:t xml:space="preserve">, </w:t>
      </w:r>
      <w:r>
        <w:rPr>
          <w:rStyle w:val="StringTok"/>
        </w:rPr>
        <w:t xml:space="preserve">"editor"</w:t>
      </w:r>
      <w:r>
        <w:rPr>
          <w:rStyle w:val="NormalTok"/>
        </w:rPr>
        <w:t xml:space="preserve">, </w:t>
      </w:r>
      <w:r>
        <w:rPr>
          <w:rStyle w:val="StringTok"/>
        </w:rPr>
        <w:t xml:space="preserve">"user:bob"</w:t>
      </w:r>
      <w:r>
        <w:rPr>
          <w:rStyle w:val="NormalTok"/>
        </w:rPr>
        <w:t xml:space="preserve">))     </w:t>
      </w:r>
      <w:r>
        <w:rPr>
          <w:rStyle w:val="CommentTok"/>
        </w:rPr>
        <w:t xml:space="preserve"># False: bob can only view</w:t>
      </w:r>
    </w:p>
    <w:p>
      <w:pPr>
        <w:pStyle w:val="FirstParagraph"/>
      </w:pPr>
      <w:r>
        <w:t xml:space="preserve">What to notice: the answer for Carol required walking five edges across three objects, which is why a real system needs indexing, caching and a depth limit; and sharing a folder with a group is one tuple write, not millions of per-document ACL updates.</w:t>
      </w:r>
    </w:p>
    <w:p>
      <w:pPr>
        <w:pStyle w:val="BodyText"/>
      </w:pPr>
      <w:r>
        <w:rPr>
          <w:bCs/>
          <w:b/>
        </w:rPr>
        <w:t xml:space="preserve">Figure 8.9 — Relationship graph for a Zanzibar-style check.</w:t>
      </w:r>
    </w:p>
    <w:p>
      <w:pPr>
        <w:pStyle w:val="BodyText"/>
      </w:pPr>
      <w:r>
        <w:drawing>
          <wp:inline>
            <wp:extent cx="5334000" cy="1159179"/>
            <wp:effectExtent b="0" l="0" r="0" t="0"/>
            <wp:docPr descr="" title="" id="913" name="Picture"/>
            <a:graphic>
              <a:graphicData uri="http://schemas.openxmlformats.org/drawingml/2006/picture">
                <pic:pic>
                  <pic:nvPicPr>
                    <pic:cNvPr descr="/home/user/System-Design/build/.cache/diagrams/0148bbd85ba0.png" id="914" name="Picture"/>
                    <pic:cNvPicPr>
                      <a:picLocks noChangeArrowheads="1" noChangeAspect="1"/>
                    </pic:cNvPicPr>
                  </pic:nvPicPr>
                  <pic:blipFill>
                    <a:blip r:embed="rId912"/>
                    <a:stretch>
                      <a:fillRect/>
                    </a:stretch>
                  </pic:blipFill>
                  <pic:spPr bwMode="auto">
                    <a:xfrm>
                      <a:off x="0" y="0"/>
                      <a:ext cx="5334000" cy="1159179"/>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Users (stadium shapes) are linked by</w:t>
      </w:r>
      <w:r>
        <w:t xml:space="preserve"> </w:t>
      </w:r>
      <w:r>
        <w:rPr>
          <w:rStyle w:val="VerbatimChar"/>
        </w:rPr>
        <w:t xml:space="preserve">member</w:t>
      </w:r>
      <w:r>
        <w:t xml:space="preserve"> </w:t>
      </w:r>
      <w:r>
        <w:t xml:space="preserve">edges to groups, groups to a folder by a</w:t>
      </w:r>
      <w:r>
        <w:t xml:space="preserve"> </w:t>
      </w:r>
      <w:r>
        <w:rPr>
          <w:rStyle w:val="VerbatimChar"/>
        </w:rPr>
        <w:t xml:space="preserve">viewer</w:t>
      </w:r>
      <w:r>
        <w:t xml:space="preserve"> </w:t>
      </w:r>
      <w:r>
        <w:t xml:space="preserve">edge, and the folder to the document by a</w:t>
      </w:r>
      <w:r>
        <w:t xml:space="preserve"> </w:t>
      </w:r>
      <w:r>
        <w:rPr>
          <w:rStyle w:val="VerbatimChar"/>
        </w:rPr>
        <w:t xml:space="preserve">parent</w:t>
      </w:r>
      <w:r>
        <w:t xml:space="preserve"> </w:t>
      </w:r>
      <w:r>
        <w:t xml:space="preserve">edge. Answering</w:t>
      </w:r>
      <w:r>
        <w:t xml:space="preserve"> </w:t>
      </w:r>
      <w:r>
        <w:t xml:space="preserve">“</w:t>
      </w:r>
      <w:r>
        <w:t xml:space="preserve">is Carol a viewer of the document?</w:t>
      </w:r>
      <w:r>
        <w:t xml:space="preserve">”</w:t>
      </w:r>
      <w:r>
        <w:t xml:space="preserve"> </w:t>
      </w:r>
      <w:r>
        <w:t xml:space="preserve">is a search from the document back to Carol: viewer of doc ⇐ viewer of parent folder ⇐ member of group eng ⇐ member of group sre ⇐ Carol. All edges are stored tuples in one logical database (the storage boundary). Failure points: very deep or wide group nesting makes checks slow, and stale caches can grant access that was just revoked (hence zookies). Scaling: partition tuples by object, cache sub-results, and precompute group membership closure for hot nested groups.</w:t>
      </w:r>
    </w:p>
    <w:p>
      <w:pPr>
        <w:pStyle w:val="BodyText"/>
      </w:pPr>
      <w:r>
        <w:rPr>
          <w:bCs/>
          <w:b/>
        </w:rPr>
        <w:t xml:space="preserve">Table 8.17 — RBAC, ABAC and ReBAC compared.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Aspect</w:t>
            </w:r>
          </w:p>
        </w:tc>
        <w:tc>
          <w:tcPr/>
          <w:p>
            <w:pPr>
              <w:pStyle w:val="Compact"/>
              <w:jc w:val="left"/>
            </w:pPr>
            <w:r>
              <w:t xml:space="preserve">RBAC</w:t>
            </w:r>
          </w:p>
        </w:tc>
        <w:tc>
          <w:tcPr/>
          <w:p>
            <w:pPr>
              <w:pStyle w:val="Compact"/>
              <w:jc w:val="left"/>
            </w:pPr>
            <w:r>
              <w:t xml:space="preserve">ABAC</w:t>
            </w:r>
          </w:p>
        </w:tc>
        <w:tc>
          <w:tcPr/>
          <w:p>
            <w:pPr>
              <w:pStyle w:val="Compact"/>
              <w:jc w:val="left"/>
            </w:pPr>
            <w:r>
              <w:t xml:space="preserve">ReBAC</w:t>
            </w:r>
          </w:p>
        </w:tc>
      </w:tr>
      <w:tr>
        <w:tc>
          <w:tcPr/>
          <w:p>
            <w:pPr>
              <w:pStyle w:val="Compact"/>
              <w:jc w:val="left"/>
            </w:pPr>
            <w:r>
              <w:t xml:space="preserve">Rules written in terms of</w:t>
            </w:r>
          </w:p>
        </w:tc>
        <w:tc>
          <w:tcPr/>
          <w:p>
            <w:pPr>
              <w:pStyle w:val="Compact"/>
              <w:jc w:val="left"/>
            </w:pPr>
            <w:r>
              <w:t xml:space="preserve">Roles</w:t>
            </w:r>
          </w:p>
        </w:tc>
        <w:tc>
          <w:tcPr/>
          <w:p>
            <w:pPr>
              <w:pStyle w:val="Compact"/>
              <w:jc w:val="left"/>
            </w:pPr>
            <w:r>
              <w:t xml:space="preserve">Attributes of subject, resource, environment</w:t>
            </w:r>
          </w:p>
        </w:tc>
        <w:tc>
          <w:tcPr/>
          <w:p>
            <w:pPr>
              <w:pStyle w:val="Compact"/>
              <w:jc w:val="left"/>
            </w:pPr>
            <w:r>
              <w:t xml:space="preserve">Relationships between objects and subjects</w:t>
            </w:r>
          </w:p>
        </w:tc>
      </w:tr>
      <w:tr>
        <w:tc>
          <w:tcPr/>
          <w:p>
            <w:pPr>
              <w:pStyle w:val="Compact"/>
              <w:jc w:val="left"/>
            </w:pPr>
            <w:r>
              <w:t xml:space="preserve">Example</w:t>
            </w:r>
          </w:p>
        </w:tc>
        <w:tc>
          <w:tcPr/>
          <w:p>
            <w:pPr>
              <w:pStyle w:val="Compact"/>
              <w:jc w:val="left"/>
            </w:pPr>
            <w:r>
              <w:t xml:space="preserve">“</w:t>
            </w:r>
            <w:r>
              <w:t xml:space="preserve">Editors can publish</w:t>
            </w:r>
            <w:r>
              <w:t xml:space="preserve">”</w:t>
            </w:r>
          </w:p>
        </w:tc>
        <w:tc>
          <w:tcPr/>
          <w:p>
            <w:pPr>
              <w:pStyle w:val="Compact"/>
              <w:jc w:val="left"/>
            </w:pPr>
            <w:r>
              <w:t xml:space="preserve">“</w:t>
            </w:r>
            <w:r>
              <w:t xml:space="preserve">Same department and business hours</w:t>
            </w:r>
            <w:r>
              <w:t xml:space="preserve">”</w:t>
            </w:r>
          </w:p>
        </w:tc>
        <w:tc>
          <w:tcPr/>
          <w:p>
            <w:pPr>
              <w:pStyle w:val="Compact"/>
              <w:jc w:val="left"/>
            </w:pPr>
            <w:r>
              <w:t xml:space="preserve">“</w:t>
            </w:r>
            <w:r>
              <w:t xml:space="preserve">Viewers of the parent folder can view</w:t>
            </w:r>
            <w:r>
              <w:t xml:space="preserve">”</w:t>
            </w:r>
          </w:p>
        </w:tc>
      </w:tr>
      <w:tr>
        <w:tc>
          <w:tcPr/>
          <w:p>
            <w:pPr>
              <w:pStyle w:val="Compact"/>
              <w:jc w:val="left"/>
            </w:pPr>
            <w:r>
              <w:t xml:space="preserve">Strength</w:t>
            </w:r>
          </w:p>
        </w:tc>
        <w:tc>
          <w:tcPr/>
          <w:p>
            <w:pPr>
              <w:pStyle w:val="Compact"/>
              <w:jc w:val="left"/>
            </w:pPr>
            <w:r>
              <w:t xml:space="preserve">Simple, auditable</w:t>
            </w:r>
          </w:p>
        </w:tc>
        <w:tc>
          <w:tcPr/>
          <w:p>
            <w:pPr>
              <w:pStyle w:val="Compact"/>
              <w:jc w:val="left"/>
            </w:pPr>
            <w:r>
              <w:t xml:space="preserve">Context-aware, fine-grained</w:t>
            </w:r>
          </w:p>
        </w:tc>
        <w:tc>
          <w:tcPr/>
          <w:p>
            <w:pPr>
              <w:pStyle w:val="Compact"/>
              <w:jc w:val="left"/>
            </w:pPr>
            <w:r>
              <w:t xml:space="preserve">Natural sharing and hierarchy; per-object</w:t>
            </w:r>
          </w:p>
        </w:tc>
      </w:tr>
      <w:tr>
        <w:tc>
          <w:tcPr/>
          <w:p>
            <w:pPr>
              <w:pStyle w:val="Compact"/>
              <w:jc w:val="left"/>
            </w:pPr>
            <w:r>
              <w:t xml:space="preserve">Weakness</w:t>
            </w:r>
          </w:p>
        </w:tc>
        <w:tc>
          <w:tcPr/>
          <w:p>
            <w:pPr>
              <w:pStyle w:val="Compact"/>
              <w:jc w:val="left"/>
            </w:pPr>
            <w:r>
              <w:t xml:space="preserve">Coarse; role explosion</w:t>
            </w:r>
          </w:p>
        </w:tc>
        <w:tc>
          <w:tcPr/>
          <w:p>
            <w:pPr>
              <w:pStyle w:val="Compact"/>
              <w:jc w:val="left"/>
            </w:pPr>
            <w:r>
              <w:t xml:space="preserve">Hard to audit; needs attributes at check time</w:t>
            </w:r>
          </w:p>
        </w:tc>
        <w:tc>
          <w:tcPr/>
          <w:p>
            <w:pPr>
              <w:pStyle w:val="Compact"/>
              <w:jc w:val="left"/>
            </w:pPr>
            <w:r>
              <w:t xml:space="preserve">Needs a graph store; check latency</w:t>
            </w:r>
          </w:p>
        </w:tc>
      </w:tr>
      <w:tr>
        <w:tc>
          <w:tcPr/>
          <w:p>
            <w:pPr>
              <w:pStyle w:val="Compact"/>
              <w:jc w:val="left"/>
            </w:pPr>
            <w:r>
              <w:t xml:space="preserve">Choose when</w:t>
            </w:r>
          </w:p>
        </w:tc>
        <w:tc>
          <w:tcPr/>
          <w:p>
            <w:pPr>
              <w:pStyle w:val="Compact"/>
              <w:jc w:val="left"/>
            </w:pPr>
            <w:r>
              <w:t xml:space="preserve">Internal tools, admin consoles, B2B tenants</w:t>
            </w:r>
          </w:p>
        </w:tc>
        <w:tc>
          <w:tcPr/>
          <w:p>
            <w:pPr>
              <w:pStyle w:val="Compact"/>
              <w:jc w:val="left"/>
            </w:pPr>
            <w:r>
              <w:t xml:space="preserve">Regulatory or contextual rules</w:t>
            </w:r>
          </w:p>
        </w:tc>
        <w:tc>
          <w:tcPr/>
          <w:p>
            <w:pPr>
              <w:pStyle w:val="Compact"/>
              <w:jc w:val="left"/>
            </w:pPr>
            <w:r>
              <w:t xml:space="preserve">Collaboration and sharing products</w:t>
            </w:r>
          </w:p>
        </w:tc>
      </w:tr>
    </w:tbl>
    <w:p>
      <w:pPr>
        <w:pStyle w:val="BodyText"/>
      </w:pPr>
      <w:r>
        <w:t xml:space="preserve">Real systems combine them: ReBAC for per-object sharing, RBAC for administrative roles, ABAC conditions (IP range, MFA freshness) on top.</w:t>
      </w:r>
    </w:p>
    <w:p>
      <w:pPr>
        <w:pStyle w:val="CalloutMistake"/>
      </w:pPr>
      <w:r>
        <w:rPr>
          <w:bCs/>
          <w:b/>
        </w:rPr>
        <w:t xml:space="preserve">COMMON MISTAKE</w:t>
      </w:r>
    </w:p>
    <w:p>
      <w:pPr>
        <w:pStyle w:val="CalloutMistake"/>
      </w:pPr>
      <w:r>
        <w:rPr>
          <w:bCs/>
          <w:b/>
        </w:rPr>
        <w:t xml:space="preserve">Checking authorization only in the frontend, or only on the list page.</w:t>
      </w:r>
      <w:r>
        <w:t xml:space="preserve"> </w:t>
      </w:r>
      <w:r>
        <w:t xml:space="preserve">Hiding a button does not stop a direct API call, and checking permission when listing orders does not protect</w:t>
      </w:r>
      <w:r>
        <w:t xml:space="preserve"> </w:t>
      </w:r>
      <w:r>
        <w:rPr>
          <w:rStyle w:val="VerbatimChar"/>
        </w:rPr>
        <w:t xml:space="preserve">GET /orders/43</w:t>
      </w:r>
      <w:r>
        <w:t xml:space="preserve">. Every handler that touches a resource must check it;</w:t>
      </w:r>
      <w:r>
        <w:t xml:space="preserve"> </w:t>
      </w:r>
      <w:r>
        <w:rPr>
          <w:bCs/>
          <w:b/>
        </w:rPr>
        <w:t xml:space="preserve">broken object-level authorization</w:t>
      </w:r>
      <w:r>
        <w:t xml:space="preserve"> </w:t>
      </w:r>
      <w:r>
        <w:t xml:space="preserve">— returning object 43 because the caller asked for it — is one of the most common API vulnerabilities (§10.7).</w:t>
      </w:r>
    </w:p>
    <w:bookmarkEnd w:id="915"/>
    <w:bookmarkEnd w:id="916"/>
    <w:bookmarkStart w:id="924" w:name="json-web-tokens-jwt"/>
    <w:p>
      <w:pPr>
        <w:pStyle w:val="Heading2"/>
      </w:pPr>
      <w:r>
        <w:t xml:space="preserve">8.13 JSON Web Tokens (JWT)</w:t>
      </w:r>
    </w:p>
    <w:bookmarkStart w:id="917" w:name="structure"/>
    <w:p>
      <w:pPr>
        <w:pStyle w:val="Heading3"/>
      </w:pPr>
      <w:r>
        <w:t xml:space="preserve">8.13.1 Structure</w:t>
      </w:r>
    </w:p>
    <w:p>
      <w:pPr>
        <w:pStyle w:val="CalloutDefinition"/>
      </w:pPr>
      <w:r>
        <w:rPr>
          <w:bCs/>
          <w:b/>
        </w:rPr>
        <w:t xml:space="preserve">DEFINITION</w:t>
      </w:r>
    </w:p>
    <w:p>
      <w:pPr>
        <w:pStyle w:val="CalloutDefinition"/>
      </w:pPr>
      <w:r>
        <w:rPr>
          <w:bCs/>
          <w:b/>
        </w:rPr>
        <w:t xml:space="preserve">Definition — JSON Web Token (JWT).</w:t>
      </w:r>
      <w:r>
        <w:t xml:space="preserve"> </w:t>
      </w:r>
      <w:r>
        <w:t xml:space="preserve">A compact, URL-safe string representing a set of</w:t>
      </w:r>
      <w:r>
        <w:t xml:space="preserve"> </w:t>
      </w:r>
      <w:r>
        <w:rPr>
          <w:bCs/>
          <w:b/>
        </w:rPr>
        <w:t xml:space="preserve">claims</w:t>
      </w:r>
      <w:r>
        <w:t xml:space="preserve"> </w:t>
      </w:r>
      <w:r>
        <w:t xml:space="preserve">(statements about a subject) as a JSON object, digitally signed (JWS) or encrypted (JWE) so its integrity can be verified [RFC 7519]. This section covers the signed form, which is by far the most common.</w:t>
      </w:r>
    </w:p>
    <w:p>
      <w:pPr>
        <w:pStyle w:val="BodyText"/>
      </w:pPr>
      <w:r>
        <w:t xml:space="preserve">A signed JWT is like a festival wristband: the organizer prints your ticket type and the dates on it and seals it with a tamper-evident clasp. Any steward can check it at any gate without phoning the box office. The flip side: if you are banned mid-festival, every steward will still honor the wristband until it expires.</w:t>
      </w:r>
    </w:p>
    <w:p>
      <w:pPr>
        <w:pStyle w:val="BodyText"/>
      </w:pPr>
      <w:r>
        <w:t xml:space="preserve">A JWT has three base64url-encoded parts separated by dots:</w:t>
      </w:r>
      <w:r>
        <w:t xml:space="preserve"> </w:t>
      </w:r>
      <w:r>
        <w:rPr>
          <w:rStyle w:val="VerbatimChar"/>
        </w:rPr>
        <w:t xml:space="preserve">header.payload.signature</w:t>
      </w:r>
      <w:r>
        <w:t xml:space="preserve">.</w:t>
      </w:r>
    </w:p>
    <w:p>
      <w:pPr>
        <w:pStyle w:val="SourceCode"/>
      </w:pPr>
      <w:r>
        <w:rPr>
          <w:rStyle w:val="FunctionTok"/>
        </w:rPr>
        <w:t xml:space="preserve">{</w:t>
      </w:r>
      <w:r>
        <w:rPr>
          <w:rStyle w:val="DataTypeTok"/>
        </w:rPr>
        <w:t xml:space="preserve">"alg"</w:t>
      </w:r>
      <w:r>
        <w:rPr>
          <w:rStyle w:val="FunctionTok"/>
        </w:rPr>
        <w:t xml:space="preserve">:</w:t>
      </w:r>
      <w:r>
        <w:rPr>
          <w:rStyle w:val="NormalTok"/>
        </w:rPr>
        <w:t xml:space="preserve"> </w:t>
      </w:r>
      <w:r>
        <w:rPr>
          <w:rStyle w:val="StringTok"/>
        </w:rPr>
        <w:t xml:space="preserve">"RS256"</w:t>
      </w:r>
      <w:r>
        <w:rPr>
          <w:rStyle w:val="FunctionTok"/>
        </w:rPr>
        <w:t xml:space="preserve">,</w:t>
      </w:r>
      <w:r>
        <w:rPr>
          <w:rStyle w:val="NormalTok"/>
        </w:rPr>
        <w:t xml:space="preserve"> </w:t>
      </w:r>
      <w:r>
        <w:rPr>
          <w:rStyle w:val="DataTypeTok"/>
        </w:rPr>
        <w:t xml:space="preserve">"typ"</w:t>
      </w:r>
      <w:r>
        <w:rPr>
          <w:rStyle w:val="FunctionTok"/>
        </w:rPr>
        <w:t xml:space="preserve">:</w:t>
      </w:r>
      <w:r>
        <w:rPr>
          <w:rStyle w:val="NormalTok"/>
        </w:rPr>
        <w:t xml:space="preserve"> </w:t>
      </w:r>
      <w:r>
        <w:rPr>
          <w:rStyle w:val="StringTok"/>
        </w:rPr>
        <w:t xml:space="preserve">"JWT"</w:t>
      </w:r>
      <w:r>
        <w:rPr>
          <w:rStyle w:val="FunctionTok"/>
        </w:rPr>
        <w:t xml:space="preserve">,</w:t>
      </w:r>
      <w:r>
        <w:rPr>
          <w:rStyle w:val="NormalTok"/>
        </w:rPr>
        <w:t xml:space="preserve"> </w:t>
      </w:r>
      <w:r>
        <w:rPr>
          <w:rStyle w:val="DataTypeTok"/>
        </w:rPr>
        <w:t xml:space="preserve">"kid"</w:t>
      </w:r>
      <w:r>
        <w:rPr>
          <w:rStyle w:val="FunctionTok"/>
        </w:rPr>
        <w:t xml:space="preserve">:</w:t>
      </w:r>
      <w:r>
        <w:rPr>
          <w:rStyle w:val="NormalTok"/>
        </w:rPr>
        <w:t xml:space="preserve"> </w:t>
      </w:r>
      <w:r>
        <w:rPr>
          <w:rStyle w:val="StringTok"/>
        </w:rPr>
        <w:t xml:space="preserve">"2026-10-key-1"</w:t>
      </w:r>
      <w:r>
        <w:rPr>
          <w:rStyle w:val="FunctionTok"/>
        </w:rPr>
        <w:t xml:space="preserve">}</w:t>
      </w:r>
    </w:p>
    <w:p>
      <w:pPr>
        <w:pStyle w:val="SourceCode"/>
      </w:pPr>
      <w:r>
        <w:rPr>
          <w:rStyle w:val="FunctionTok"/>
        </w:rPr>
        <w:t xml:space="preserve">{</w:t>
      </w:r>
      <w:r>
        <w:br/>
      </w:r>
      <w:r>
        <w:rPr>
          <w:rStyle w:val="NormalTok"/>
        </w:rPr>
        <w:t xml:space="preserve">  </w:t>
      </w:r>
      <w:r>
        <w:rPr>
          <w:rStyle w:val="DataTypeTok"/>
        </w:rPr>
        <w:t xml:space="preserve">"iss"</w:t>
      </w:r>
      <w:r>
        <w:rPr>
          <w:rStyle w:val="FunctionTok"/>
        </w:rPr>
        <w:t xml:space="preserve">:</w:t>
      </w:r>
      <w:r>
        <w:rPr>
          <w:rStyle w:val="NormalTok"/>
        </w:rPr>
        <w:t xml:space="preserve"> </w:t>
      </w:r>
      <w:r>
        <w:rPr>
          <w:rStyle w:val="StringTok"/>
        </w:rPr>
        <w:t xml:space="preserve">"https://auth.example.com"</w:t>
      </w:r>
      <w:r>
        <w:rPr>
          <w:rStyle w:val="FunctionTok"/>
        </w:rPr>
        <w:t xml:space="preserve">,</w:t>
      </w:r>
      <w:r>
        <w:br/>
      </w:r>
      <w:r>
        <w:rPr>
          <w:rStyle w:val="NormalTok"/>
        </w:rPr>
        <w:t xml:space="preserve">  </w:t>
      </w:r>
      <w:r>
        <w:rPr>
          <w:rStyle w:val="DataTypeTok"/>
        </w:rPr>
        <w:t xml:space="preserve">"sub"</w:t>
      </w:r>
      <w:r>
        <w:rPr>
          <w:rStyle w:val="FunctionTok"/>
        </w:rPr>
        <w:t xml:space="preserve">:</w:t>
      </w:r>
      <w:r>
        <w:rPr>
          <w:rStyle w:val="NormalTok"/>
        </w:rPr>
        <w:t xml:space="preserve"> </w:t>
      </w:r>
      <w:r>
        <w:rPr>
          <w:rStyle w:val="StringTok"/>
        </w:rPr>
        <w:t xml:space="preserve">"user-123"</w:t>
      </w:r>
      <w:r>
        <w:rPr>
          <w:rStyle w:val="FunctionTok"/>
        </w:rPr>
        <w:t xml:space="preserve">,</w:t>
      </w:r>
      <w:r>
        <w:br/>
      </w:r>
      <w:r>
        <w:rPr>
          <w:rStyle w:val="NormalTok"/>
        </w:rPr>
        <w:t xml:space="preserve">  </w:t>
      </w:r>
      <w:r>
        <w:rPr>
          <w:rStyle w:val="DataTypeTok"/>
        </w:rPr>
        <w:t xml:space="preserve">"aud"</w:t>
      </w:r>
      <w:r>
        <w:rPr>
          <w:rStyle w:val="FunctionTok"/>
        </w:rPr>
        <w:t xml:space="preserve">:</w:t>
      </w:r>
      <w:r>
        <w:rPr>
          <w:rStyle w:val="NormalTok"/>
        </w:rPr>
        <w:t xml:space="preserve"> </w:t>
      </w:r>
      <w:r>
        <w:rPr>
          <w:rStyle w:val="StringTok"/>
        </w:rPr>
        <w:t xml:space="preserve">"https://api.example.com"</w:t>
      </w:r>
      <w:r>
        <w:rPr>
          <w:rStyle w:val="FunctionTok"/>
        </w:rPr>
        <w:t xml:space="preserve">,</w:t>
      </w:r>
      <w:r>
        <w:br/>
      </w:r>
      <w:r>
        <w:rPr>
          <w:rStyle w:val="NormalTok"/>
        </w:rPr>
        <w:t xml:space="preserve">  </w:t>
      </w:r>
      <w:r>
        <w:rPr>
          <w:rStyle w:val="DataTypeTok"/>
        </w:rPr>
        <w:t xml:space="preserve">"iat"</w:t>
      </w:r>
      <w:r>
        <w:rPr>
          <w:rStyle w:val="FunctionTok"/>
        </w:rPr>
        <w:t xml:space="preserve">:</w:t>
      </w:r>
      <w:r>
        <w:rPr>
          <w:rStyle w:val="NormalTok"/>
        </w:rPr>
        <w:t xml:space="preserve"> </w:t>
      </w:r>
      <w:r>
        <w:rPr>
          <w:rStyle w:val="DecValTok"/>
        </w:rPr>
        <w:t xml:space="preserve">1793340000</w:t>
      </w:r>
      <w:r>
        <w:rPr>
          <w:rStyle w:val="FunctionTok"/>
        </w:rPr>
        <w:t xml:space="preserve">,</w:t>
      </w:r>
      <w:r>
        <w:br/>
      </w:r>
      <w:r>
        <w:rPr>
          <w:rStyle w:val="NormalTok"/>
        </w:rPr>
        <w:t xml:space="preserve">  </w:t>
      </w:r>
      <w:r>
        <w:rPr>
          <w:rStyle w:val="DataTypeTok"/>
        </w:rPr>
        <w:t xml:space="preserve">"nbf"</w:t>
      </w:r>
      <w:r>
        <w:rPr>
          <w:rStyle w:val="FunctionTok"/>
        </w:rPr>
        <w:t xml:space="preserve">:</w:t>
      </w:r>
      <w:r>
        <w:rPr>
          <w:rStyle w:val="NormalTok"/>
        </w:rPr>
        <w:t xml:space="preserve"> </w:t>
      </w:r>
      <w:r>
        <w:rPr>
          <w:rStyle w:val="DecValTok"/>
        </w:rPr>
        <w:t xml:space="preserve">1793340000</w:t>
      </w:r>
      <w:r>
        <w:rPr>
          <w:rStyle w:val="FunctionTok"/>
        </w:rPr>
        <w:t xml:space="preserve">,</w:t>
      </w:r>
      <w:r>
        <w:br/>
      </w:r>
      <w:r>
        <w:rPr>
          <w:rStyle w:val="NormalTok"/>
        </w:rPr>
        <w:t xml:space="preserve">  </w:t>
      </w:r>
      <w:r>
        <w:rPr>
          <w:rStyle w:val="DataTypeTok"/>
        </w:rPr>
        <w:t xml:space="preserve">"exp"</w:t>
      </w:r>
      <w:r>
        <w:rPr>
          <w:rStyle w:val="FunctionTok"/>
        </w:rPr>
        <w:t xml:space="preserve">:</w:t>
      </w:r>
      <w:r>
        <w:rPr>
          <w:rStyle w:val="NormalTok"/>
        </w:rPr>
        <w:t xml:space="preserve"> </w:t>
      </w:r>
      <w:r>
        <w:rPr>
          <w:rStyle w:val="DecValTok"/>
        </w:rPr>
        <w:t xml:space="preserve">1793340900</w:t>
      </w:r>
      <w:r>
        <w:rPr>
          <w:rStyle w:val="FunctionTok"/>
        </w:rPr>
        <w:t xml:space="preserve">,</w:t>
      </w:r>
      <w:r>
        <w:br/>
      </w:r>
      <w:r>
        <w:rPr>
          <w:rStyle w:val="NormalTok"/>
        </w:rPr>
        <w:t xml:space="preserve">  </w:t>
      </w:r>
      <w:r>
        <w:rPr>
          <w:rStyle w:val="DataTypeTok"/>
        </w:rPr>
        <w:t xml:space="preserve">"jti"</w:t>
      </w:r>
      <w:r>
        <w:rPr>
          <w:rStyle w:val="FunctionTok"/>
        </w:rPr>
        <w:t xml:space="preserve">:</w:t>
      </w:r>
      <w:r>
        <w:rPr>
          <w:rStyle w:val="NormalTok"/>
        </w:rPr>
        <w:t xml:space="preserve"> </w:t>
      </w:r>
      <w:r>
        <w:rPr>
          <w:rStyle w:val="StringTok"/>
        </w:rPr>
        <w:t xml:space="preserve">"7d1e4c1a-3b9e-4f0a-9b8e-2f6c0f1e5a77"</w:t>
      </w:r>
      <w:r>
        <w:rPr>
          <w:rStyle w:val="FunctionTok"/>
        </w:rPr>
        <w:t xml:space="preserve">,</w:t>
      </w:r>
      <w:r>
        <w:br/>
      </w:r>
      <w:r>
        <w:rPr>
          <w:rStyle w:val="NormalTok"/>
        </w:rPr>
        <w:t xml:space="preserve">  </w:t>
      </w:r>
      <w:r>
        <w:rPr>
          <w:rStyle w:val="DataTypeTok"/>
        </w:rPr>
        <w:t xml:space="preserve">"scope"</w:t>
      </w:r>
      <w:r>
        <w:rPr>
          <w:rStyle w:val="FunctionTok"/>
        </w:rPr>
        <w:t xml:space="preserve">:</w:t>
      </w:r>
      <w:r>
        <w:rPr>
          <w:rStyle w:val="NormalTok"/>
        </w:rPr>
        <w:t xml:space="preserve"> </w:t>
      </w:r>
      <w:r>
        <w:rPr>
          <w:rStyle w:val="StringTok"/>
        </w:rPr>
        <w:t xml:space="preserve">"articles:read articles:write"</w:t>
      </w:r>
      <w:r>
        <w:br/>
      </w:r>
      <w:r>
        <w:rPr>
          <w:rStyle w:val="FunctionTok"/>
        </w:rPr>
        <w:t xml:space="preserve">}</w:t>
      </w:r>
    </w:p>
    <w:p>
      <w:pPr>
        <w:pStyle w:val="FirstParagraph"/>
      </w:pPr>
      <w:r>
        <w:t xml:space="preserve">The registered claims are</w:t>
      </w:r>
      <w:r>
        <w:t xml:space="preserve"> </w:t>
      </w:r>
      <w:r>
        <w:rPr>
          <w:rStyle w:val="VerbatimChar"/>
          <w:bCs/>
          <w:b/>
        </w:rPr>
        <w:t xml:space="preserve">iss</w:t>
      </w:r>
      <w:r>
        <w:t xml:space="preserve"> </w:t>
      </w:r>
      <w:r>
        <w:t xml:space="preserve">(issuer),</w:t>
      </w:r>
      <w:r>
        <w:t xml:space="preserve"> </w:t>
      </w:r>
      <w:r>
        <w:rPr>
          <w:rStyle w:val="VerbatimChar"/>
          <w:bCs/>
          <w:b/>
        </w:rPr>
        <w:t xml:space="preserve">sub</w:t>
      </w:r>
      <w:r>
        <w:t xml:space="preserve"> </w:t>
      </w:r>
      <w:r>
        <w:t xml:space="preserve">(subject, the user or client),</w:t>
      </w:r>
      <w:r>
        <w:t xml:space="preserve"> </w:t>
      </w:r>
      <w:r>
        <w:rPr>
          <w:rStyle w:val="VerbatimChar"/>
          <w:bCs/>
          <w:b/>
        </w:rPr>
        <w:t xml:space="preserve">aud</w:t>
      </w:r>
      <w:r>
        <w:t xml:space="preserve"> </w:t>
      </w:r>
      <w:r>
        <w:t xml:space="preserve">(audience: which API the token is for),</w:t>
      </w:r>
      <w:r>
        <w:t xml:space="preserve"> </w:t>
      </w:r>
      <w:r>
        <w:rPr>
          <w:rStyle w:val="VerbatimChar"/>
          <w:bCs/>
          <w:b/>
        </w:rPr>
        <w:t xml:space="preserve">exp</w:t>
      </w:r>
      <w:r>
        <w:t xml:space="preserve"> </w:t>
      </w:r>
      <w:r>
        <w:t xml:space="preserve">(expiry, seconds since the Unix epoch),</w:t>
      </w:r>
      <w:r>
        <w:t xml:space="preserve"> </w:t>
      </w:r>
      <w:r>
        <w:rPr>
          <w:rStyle w:val="VerbatimChar"/>
          <w:bCs/>
          <w:b/>
        </w:rPr>
        <w:t xml:space="preserve">nbf</w:t>
      </w:r>
      <w:r>
        <w:t xml:space="preserve"> </w:t>
      </w:r>
      <w:r>
        <w:t xml:space="preserve">(not before),</w:t>
      </w:r>
      <w:r>
        <w:t xml:space="preserve"> </w:t>
      </w:r>
      <w:r>
        <w:rPr>
          <w:rStyle w:val="VerbatimChar"/>
          <w:bCs/>
          <w:b/>
        </w:rPr>
        <w:t xml:space="preserve">iat</w:t>
      </w:r>
      <w:r>
        <w:t xml:space="preserve"> </w:t>
      </w:r>
      <w:r>
        <w:t xml:space="preserve">(issued at) and</w:t>
      </w:r>
      <w:r>
        <w:t xml:space="preserve"> </w:t>
      </w:r>
      <w:r>
        <w:rPr>
          <w:rStyle w:val="VerbatimChar"/>
          <w:bCs/>
          <w:b/>
        </w:rPr>
        <w:t xml:space="preserve">jti</w:t>
      </w:r>
      <w:r>
        <w:t xml:space="preserve"> </w:t>
      </w:r>
      <w:r>
        <w:t xml:space="preserve">(unique token ID) [RFC 7519 §4.1]. The</w:t>
      </w:r>
      <w:r>
        <w:t xml:space="preserve"> </w:t>
      </w:r>
      <w:r>
        <w:rPr>
          <w:bCs/>
          <w:b/>
        </w:rPr>
        <w:t xml:space="preserve">signature</w:t>
      </w:r>
      <w:r>
        <w:t xml:space="preserve"> </w:t>
      </w:r>
      <w:r>
        <w:t xml:space="preserve">is computed over</w:t>
      </w:r>
      <w:r>
        <w:t xml:space="preserve"> </w:t>
      </w:r>
      <w:r>
        <w:rPr>
          <w:rStyle w:val="VerbatimChar"/>
        </w:rPr>
        <w:t xml:space="preserve">base64url(header) + "." + base64url(payload)</w:t>
      </w:r>
      <w:r>
        <w:t xml:space="preserve">.</w:t>
      </w:r>
    </w:p>
    <w:p>
      <w:pPr>
        <w:pStyle w:val="CalloutWarning"/>
      </w:pPr>
      <w:r>
        <w:rPr>
          <w:bCs/>
          <w:b/>
        </w:rPr>
        <w:t xml:space="preserve">WARNING / TRADE-OFF</w:t>
      </w:r>
    </w:p>
    <w:p>
      <w:pPr>
        <w:pStyle w:val="CalloutWarning"/>
      </w:pPr>
      <w:r>
        <w:rPr>
          <w:bCs/>
          <w:b/>
        </w:rPr>
        <w:t xml:space="preserve">A JWT is signed, not encrypted.</w:t>
      </w:r>
      <w:r>
        <w:t xml:space="preserve"> </w:t>
      </w:r>
      <w:r>
        <w:t xml:space="preserve">Anyone holding the token can base64-decode and read every claim. Never put secrets or sensitive personal data in a JWT payload.</w:t>
      </w:r>
    </w:p>
    <w:bookmarkEnd w:id="917"/>
    <w:bookmarkStart w:id="918" w:name="signing-hs256-versus-rs256"/>
    <w:p>
      <w:pPr>
        <w:pStyle w:val="Heading3"/>
      </w:pPr>
      <w:r>
        <w:t xml:space="preserve">8.13.2 Signing: HS256 versus RS256</w:t>
      </w:r>
    </w:p>
    <w:p>
      <w:pPr>
        <w:pStyle w:val="FirstParagraph"/>
      </w:pPr>
      <w:r>
        <w:rPr>
          <w:bCs/>
          <w:b/>
        </w:rPr>
        <w:t xml:space="preserve">Table 8.18 — HS256 versus RS256.</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HS256 (HMAC with SHA-256)</w:t>
            </w:r>
          </w:p>
        </w:tc>
        <w:tc>
          <w:tcPr/>
          <w:p>
            <w:pPr>
              <w:pStyle w:val="Compact"/>
              <w:jc w:val="left"/>
            </w:pPr>
            <w:r>
              <w:t xml:space="preserve">RS256 (RSA PKCS#1 v1.5 signature with SHA-256)</w:t>
            </w:r>
          </w:p>
        </w:tc>
      </w:tr>
      <w:tr>
        <w:tc>
          <w:tcPr/>
          <w:p>
            <w:pPr>
              <w:pStyle w:val="Compact"/>
              <w:jc w:val="left"/>
            </w:pPr>
            <w:r>
              <w:t xml:space="preserve">Key type</w:t>
            </w:r>
          </w:p>
        </w:tc>
        <w:tc>
          <w:tcPr/>
          <w:p>
            <w:pPr>
              <w:pStyle w:val="Compact"/>
              <w:jc w:val="left"/>
            </w:pPr>
            <w:r>
              <w:t xml:space="preserve">One shared secret</w:t>
            </w:r>
          </w:p>
        </w:tc>
        <w:tc>
          <w:tcPr/>
          <w:p>
            <w:pPr>
              <w:pStyle w:val="Compact"/>
              <w:jc w:val="left"/>
            </w:pPr>
            <w:r>
              <w:t xml:space="preserve">Private key signs; public key verifies</w:t>
            </w:r>
          </w:p>
        </w:tc>
      </w:tr>
      <w:tr>
        <w:tc>
          <w:tcPr/>
          <w:p>
            <w:pPr>
              <w:pStyle w:val="Compact"/>
              <w:jc w:val="left"/>
            </w:pPr>
            <w:r>
              <w:t xml:space="preserve">Who can create tokens</w:t>
            </w:r>
          </w:p>
        </w:tc>
        <w:tc>
          <w:tcPr/>
          <w:p>
            <w:pPr>
              <w:pStyle w:val="Compact"/>
              <w:jc w:val="left"/>
            </w:pPr>
            <w:r>
              <w:t xml:space="preserve">Anyone who can verify them</w:t>
            </w:r>
          </w:p>
        </w:tc>
        <w:tc>
          <w:tcPr/>
          <w:p>
            <w:pPr>
              <w:pStyle w:val="Compact"/>
              <w:jc w:val="left"/>
            </w:pPr>
            <w:r>
              <w:t xml:space="preserve">Only the private-key holder</w:t>
            </w:r>
          </w:p>
        </w:tc>
      </w:tr>
      <w:tr>
        <w:tc>
          <w:tcPr/>
          <w:p>
            <w:pPr>
              <w:pStyle w:val="Compact"/>
              <w:jc w:val="left"/>
            </w:pPr>
            <w:r>
              <w:t xml:space="preserve">Signature size</w:t>
            </w:r>
          </w:p>
        </w:tc>
        <w:tc>
          <w:tcPr/>
          <w:p>
            <w:pPr>
              <w:pStyle w:val="Compact"/>
              <w:jc w:val="left"/>
            </w:pPr>
            <w:r>
              <w:t xml:space="preserve">32 bytes (43 base64url chars)</w:t>
            </w:r>
          </w:p>
        </w:tc>
        <w:tc>
          <w:tcPr/>
          <w:p>
            <w:pPr>
              <w:pStyle w:val="Compact"/>
              <w:jc w:val="left"/>
            </w:pPr>
            <w:r>
              <w:t xml:space="preserve">256 bytes with a 2048-bit key (342 chars)</w:t>
            </w:r>
          </w:p>
        </w:tc>
      </w:tr>
      <w:tr>
        <w:tc>
          <w:tcPr/>
          <w:p>
            <w:pPr>
              <w:pStyle w:val="Compact"/>
              <w:jc w:val="left"/>
            </w:pPr>
            <w:r>
              <w:t xml:space="preserve">Speed</w:t>
            </w:r>
          </w:p>
        </w:tc>
        <w:tc>
          <w:tcPr/>
          <w:p>
            <w:pPr>
              <w:pStyle w:val="Compact"/>
              <w:jc w:val="left"/>
            </w:pPr>
            <w:r>
              <w:t xml:space="preserve">Very fast</w:t>
            </w:r>
          </w:p>
        </w:tc>
        <w:tc>
          <w:tcPr/>
          <w:p>
            <w:pPr>
              <w:pStyle w:val="Compact"/>
              <w:jc w:val="left"/>
            </w:pPr>
            <w:r>
              <w:t xml:space="preserve">Signing slower; verification fast</w:t>
            </w:r>
          </w:p>
        </w:tc>
      </w:tr>
      <w:tr>
        <w:tc>
          <w:tcPr/>
          <w:p>
            <w:pPr>
              <w:pStyle w:val="Compact"/>
              <w:jc w:val="left"/>
            </w:pPr>
            <w:r>
              <w:t xml:space="preserve">Key distribution</w:t>
            </w:r>
          </w:p>
        </w:tc>
        <w:tc>
          <w:tcPr/>
          <w:p>
            <w:pPr>
              <w:pStyle w:val="Compact"/>
              <w:jc w:val="left"/>
            </w:pPr>
            <w:r>
              <w:t xml:space="preserve">Secret must reach every verifier</w:t>
            </w:r>
          </w:p>
        </w:tc>
        <w:tc>
          <w:tcPr/>
          <w:p>
            <w:pPr>
              <w:pStyle w:val="Compact"/>
              <w:jc w:val="left"/>
            </w:pPr>
            <w:r>
              <w:t xml:space="preserve">Public keys published at a JWKS endpoint; rotated by</w:t>
            </w:r>
            <w:r>
              <w:t xml:space="preserve"> </w:t>
            </w:r>
            <w:r>
              <w:rPr>
                <w:rStyle w:val="VerbatimChar"/>
              </w:rPr>
              <w:t xml:space="preserve">kid</w:t>
            </w:r>
          </w:p>
        </w:tc>
      </w:tr>
      <w:tr>
        <w:tc>
          <w:tcPr/>
          <w:p>
            <w:pPr>
              <w:pStyle w:val="Compact"/>
              <w:jc w:val="left"/>
            </w:pPr>
            <w:r>
              <w:t xml:space="preserve">Choose when</w:t>
            </w:r>
          </w:p>
        </w:tc>
        <w:tc>
          <w:tcPr/>
          <w:p>
            <w:pPr>
              <w:pStyle w:val="Compact"/>
              <w:jc w:val="left"/>
            </w:pPr>
            <w:r>
              <w:t xml:space="preserve">One service issues and verifies its own tokens</w:t>
            </w:r>
          </w:p>
        </w:tc>
        <w:tc>
          <w:tcPr/>
          <w:p>
            <w:pPr>
              <w:pStyle w:val="Compact"/>
              <w:jc w:val="left"/>
            </w:pPr>
            <w:r>
              <w:t xml:space="preserve">An identity provider issues tokens many services verify</w:t>
            </w:r>
          </w:p>
        </w:tc>
      </w:tr>
    </w:tbl>
    <w:p>
      <w:pPr>
        <w:pStyle w:val="BodyText"/>
      </w:pPr>
      <w:r>
        <w:t xml:space="preserve">Elliptic-curve signatures (ES256, EdDSA) offer the asymmetric property of RS256 with much smaller keys and signatures; check that your libraries and partners support them.</w:t>
      </w:r>
    </w:p>
    <w:bookmarkEnd w:id="918"/>
    <w:bookmarkStart w:id="922" w:name="validation"/>
    <w:p>
      <w:pPr>
        <w:pStyle w:val="Heading3"/>
      </w:pPr>
      <w:r>
        <w:t xml:space="preserve">8.13.3 Validation</w:t>
      </w:r>
    </w:p>
    <w:p>
      <w:pPr>
        <w:pStyle w:val="FirstParagraph"/>
      </w:pPr>
      <w:r>
        <w:t xml:space="preserve">Validation must check, in order: the token is well-formed; the</w:t>
      </w:r>
      <w:r>
        <w:t xml:space="preserve"> </w:t>
      </w:r>
      <w:r>
        <w:rPr>
          <w:rStyle w:val="VerbatimChar"/>
        </w:rPr>
        <w:t xml:space="preserve">alg</w:t>
      </w:r>
      <w:r>
        <w:t xml:space="preserve"> </w:t>
      </w:r>
      <w:r>
        <w:t xml:space="preserve">is one you</w:t>
      </w:r>
      <w:r>
        <w:t xml:space="preserve"> </w:t>
      </w:r>
      <w:r>
        <w:rPr>
          <w:bCs/>
          <w:b/>
        </w:rPr>
        <w:t xml:space="preserve">expect</w:t>
      </w:r>
      <w:r>
        <w:t xml:space="preserve"> </w:t>
      </w:r>
      <w:r>
        <w:t xml:space="preserve">(taken from configuration, never from the token’s header); the signature verifies with the right key (selected by</w:t>
      </w:r>
      <w:r>
        <w:t xml:space="preserve"> </w:t>
      </w:r>
      <w:r>
        <w:rPr>
          <w:rStyle w:val="VerbatimChar"/>
        </w:rPr>
        <w:t xml:space="preserve">kid</w:t>
      </w:r>
      <w:r>
        <w:t xml:space="preserve"> </w:t>
      </w:r>
      <w:r>
        <w:t xml:space="preserve">from a trusted JWKS);</w:t>
      </w:r>
      <w:r>
        <w:t xml:space="preserve"> </w:t>
      </w:r>
      <w:r>
        <w:rPr>
          <w:rStyle w:val="VerbatimChar"/>
        </w:rPr>
        <w:t xml:space="preserve">exp</w:t>
      </w:r>
      <w:r>
        <w:t xml:space="preserve"> </w:t>
      </w:r>
      <w:r>
        <w:t xml:space="preserve">is in the future and</w:t>
      </w:r>
      <w:r>
        <w:t xml:space="preserve"> </w:t>
      </w:r>
      <w:r>
        <w:rPr>
          <w:rStyle w:val="VerbatimChar"/>
        </w:rPr>
        <w:t xml:space="preserve">nbf</w:t>
      </w:r>
      <w:r>
        <w:t xml:space="preserve"> </w:t>
      </w:r>
      <w:r>
        <w:t xml:space="preserve">is in the past, with a small clock-skew leeway;</w:t>
      </w:r>
      <w:r>
        <w:t xml:space="preserve"> </w:t>
      </w:r>
      <w:r>
        <w:rPr>
          <w:rStyle w:val="VerbatimChar"/>
        </w:rPr>
        <w:t xml:space="preserve">iss</w:t>
      </w:r>
      <w:r>
        <w:t xml:space="preserve"> </w:t>
      </w:r>
      <w:r>
        <w:t xml:space="preserve">is your trusted issuer;</w:t>
      </w:r>
      <w:r>
        <w:t xml:space="preserve"> </w:t>
      </w:r>
      <w:r>
        <w:rPr>
          <w:rStyle w:val="VerbatimChar"/>
        </w:rPr>
        <w:t xml:space="preserve">aud</w:t>
      </w:r>
      <w:r>
        <w:t xml:space="preserve"> </w:t>
      </w:r>
      <w:r>
        <w:t xml:space="preserve">contains</w:t>
      </w:r>
      <w:r>
        <w:t xml:space="preserve"> </w:t>
      </w:r>
      <w:r>
        <w:rPr>
          <w:iCs/>
          <w:i/>
        </w:rPr>
        <w:t xml:space="preserve">this</w:t>
      </w:r>
      <w:r>
        <w:t xml:space="preserve"> </w:t>
      </w:r>
      <w:r>
        <w:t xml:space="preserve">API; and only then do you read scopes and claims.</w:t>
      </w:r>
    </w:p>
    <w:p>
      <w:pPr>
        <w:pStyle w:val="BodyText"/>
      </w:pPr>
      <w:r>
        <w:rPr>
          <w:bCs/>
          <w:b/>
        </w:rPr>
        <w:t xml:space="preserve">Figure 8.10 — JWT validation pipeline.</w:t>
      </w:r>
    </w:p>
    <w:p>
      <w:pPr>
        <w:pStyle w:val="BodyText"/>
      </w:pPr>
      <w:r>
        <w:drawing>
          <wp:inline>
            <wp:extent cx="5334000" cy="16625766"/>
            <wp:effectExtent b="0" l="0" r="0" t="0"/>
            <wp:docPr descr="" title="" id="920" name="Picture"/>
            <a:graphic>
              <a:graphicData uri="http://schemas.openxmlformats.org/drawingml/2006/picture">
                <pic:pic>
                  <pic:nvPicPr>
                    <pic:cNvPr descr="/home/user/System-Design/build/.cache/diagrams/e5efeb2ce81a.png" id="921" name="Picture"/>
                    <pic:cNvPicPr>
                      <a:picLocks noChangeArrowheads="1" noChangeAspect="1"/>
                    </pic:cNvPicPr>
                  </pic:nvPicPr>
                  <pic:blipFill>
                    <a:blip r:embed="rId919"/>
                    <a:stretch>
                      <a:fillRect/>
                    </a:stretch>
                  </pic:blipFill>
                  <pic:spPr bwMode="auto">
                    <a:xfrm>
                      <a:off x="0" y="0"/>
                      <a:ext cx="5334000" cy="16625766"/>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A bearer token enters at the top and passes a series of local checks; only the JWKS refresh involves a network call (to the issuer’s key endpoint), and it happens only when an unknown</w:t>
      </w:r>
      <w:r>
        <w:t xml:space="preserve"> </w:t>
      </w:r>
      <w:r>
        <w:rPr>
          <w:rStyle w:val="VerbatimChar"/>
        </w:rPr>
        <w:t xml:space="preserve">kid</w:t>
      </w:r>
      <w:r>
        <w:t xml:space="preserve"> </w:t>
      </w:r>
      <w:r>
        <w:t xml:space="preserve">appears — typically just after the issuer rotates keys. Failures before the scope check produce</w:t>
      </w:r>
      <w:r>
        <w:t xml:space="preserve"> </w:t>
      </w:r>
      <w:r>
        <w:rPr>
          <w:rStyle w:val="VerbatimChar"/>
        </w:rPr>
        <w:t xml:space="preserve">401</w:t>
      </w:r>
      <w:r>
        <w:t xml:space="preserve"> </w:t>
      </w:r>
      <w:r>
        <w:t xml:space="preserve">with</w:t>
      </w:r>
      <w:r>
        <w:t xml:space="preserve"> </w:t>
      </w:r>
      <w:r>
        <w:rPr>
          <w:rStyle w:val="VerbatimChar"/>
        </w:rPr>
        <w:t xml:space="preserve">WWW-Authenticate: Bearer error="invalid_token"</w:t>
      </w:r>
      <w:r>
        <w:t xml:space="preserve">; a valid token lacking the scope produces</w:t>
      </w:r>
      <w:r>
        <w:t xml:space="preserve"> </w:t>
      </w:r>
      <w:r>
        <w:rPr>
          <w:rStyle w:val="VerbatimChar"/>
        </w:rPr>
        <w:t xml:space="preserve">403 insufficient_scope</w:t>
      </w:r>
      <w:r>
        <w:t xml:space="preserve"> </w:t>
      </w:r>
      <w:r>
        <w:t xml:space="preserve">[RFC 6750 §3.1]. Failure points: an attacker sending random</w:t>
      </w:r>
      <w:r>
        <w:t xml:space="preserve"> </w:t>
      </w:r>
      <w:r>
        <w:rPr>
          <w:rStyle w:val="VerbatimChar"/>
        </w:rPr>
        <w:t xml:space="preserve">kid</w:t>
      </w:r>
      <w:r>
        <w:t xml:space="preserve"> </w:t>
      </w:r>
      <w:r>
        <w:t xml:space="preserve">values can force repeated JWKS fetches, so rate-limit refreshes. Scaling: validation is CPU-only and stateless, which is the whole appeal.</w:t>
      </w:r>
    </w:p>
    <w:p>
      <w:pPr>
        <w:pStyle w:val="SourceCode"/>
      </w:pPr>
      <w:r>
        <w:rPr>
          <w:rStyle w:val="ImportTok"/>
        </w:rPr>
        <w:t xml:space="preserve">import</w:t>
      </w:r>
      <w:r>
        <w:rPr>
          <w:rStyle w:val="NormalTok"/>
        </w:rPr>
        <w:t xml:space="preserve"> time, uuid</w:t>
      </w:r>
      <w:r>
        <w:br/>
      </w:r>
      <w:r>
        <w:rPr>
          <w:rStyle w:val="ImportTok"/>
        </w:rPr>
        <w:t xml:space="preserve">import</w:t>
      </w:r>
      <w:r>
        <w:rPr>
          <w:rStyle w:val="NormalTok"/>
        </w:rPr>
        <w:t xml:space="preserve"> jwt                                   </w:t>
      </w:r>
      <w:r>
        <w:rPr>
          <w:rStyle w:val="CommentTok"/>
        </w:rPr>
        <w:t xml:space="preserve"># pip install "pyjwt[crypto]"</w:t>
      </w:r>
      <w:r>
        <w:br/>
      </w:r>
      <w:r>
        <w:rPr>
          <w:rStyle w:val="ImportTok"/>
        </w:rPr>
        <w:t xml:space="preserve">from</w:t>
      </w:r>
      <w:r>
        <w:rPr>
          <w:rStyle w:val="NormalTok"/>
        </w:rPr>
        <w:t xml:space="preserve"> cryptography.hazmat.primitives </w:t>
      </w:r>
      <w:r>
        <w:rPr>
          <w:rStyle w:val="ImportTok"/>
        </w:rPr>
        <w:t xml:space="preserve">import</w:t>
      </w:r>
      <w:r>
        <w:rPr>
          <w:rStyle w:val="NormalTok"/>
        </w:rPr>
        <w:t xml:space="preserve"> serialization</w:t>
      </w:r>
      <w:r>
        <w:br/>
      </w:r>
      <w:r>
        <w:rPr>
          <w:rStyle w:val="ImportTok"/>
        </w:rPr>
        <w:t xml:space="preserve">from</w:t>
      </w:r>
      <w:r>
        <w:rPr>
          <w:rStyle w:val="NormalTok"/>
        </w:rPr>
        <w:t xml:space="preserve"> cryptography.hazmat.primitives.asymmetric </w:t>
      </w:r>
      <w:r>
        <w:rPr>
          <w:rStyle w:val="ImportTok"/>
        </w:rPr>
        <w:t xml:space="preserve">import</w:t>
      </w:r>
      <w:r>
        <w:rPr>
          <w:rStyle w:val="NormalTok"/>
        </w:rPr>
        <w:t xml:space="preserve"> rsa</w:t>
      </w:r>
      <w:r>
        <w:br/>
      </w:r>
      <w:r>
        <w:br/>
      </w:r>
      <w:r>
        <w:rPr>
          <w:rStyle w:val="NormalTok"/>
        </w:rPr>
        <w:t xml:space="preserve">ISSUER, AUDIENCE </w:t>
      </w:r>
      <w:r>
        <w:rPr>
          <w:rStyle w:val="OperatorTok"/>
        </w:rPr>
        <w:t xml:space="preserve">=</w:t>
      </w:r>
      <w:r>
        <w:rPr>
          <w:rStyle w:val="NormalTok"/>
        </w:rPr>
        <w:t xml:space="preserve"> </w:t>
      </w:r>
      <w:r>
        <w:rPr>
          <w:rStyle w:val="StringTok"/>
        </w:rPr>
        <w:t xml:space="preserve">"https://auth.example.com"</w:t>
      </w:r>
      <w:r>
        <w:rPr>
          <w:rStyle w:val="NormalTok"/>
        </w:rPr>
        <w:t xml:space="preserve">, </w:t>
      </w:r>
      <w:r>
        <w:rPr>
          <w:rStyle w:val="StringTok"/>
        </w:rPr>
        <w:t xml:space="preserve">"https://api.example.com"</w:t>
      </w:r>
      <w:r>
        <w:br/>
      </w:r>
      <w:r>
        <w:br/>
      </w:r>
      <w:r>
        <w:rPr>
          <w:rStyle w:val="CommentTok"/>
        </w:rPr>
        <w:t xml:space="preserve"># Authorization server: holds the private key.</w:t>
      </w:r>
      <w:r>
        <w:br/>
      </w:r>
      <w:r>
        <w:rPr>
          <w:rStyle w:val="NormalTok"/>
        </w:rPr>
        <w:t xml:space="preserve">private_key </w:t>
      </w:r>
      <w:r>
        <w:rPr>
          <w:rStyle w:val="OperatorTok"/>
        </w:rPr>
        <w:t xml:space="preserve">=</w:t>
      </w:r>
      <w:r>
        <w:rPr>
          <w:rStyle w:val="NormalTok"/>
        </w:rPr>
        <w:t xml:space="preserve"> rsa.generate_private_key(public_exponent</w:t>
      </w:r>
      <w:r>
        <w:rPr>
          <w:rStyle w:val="OperatorTok"/>
        </w:rPr>
        <w:t xml:space="preserve">=</w:t>
      </w:r>
      <w:r>
        <w:rPr>
          <w:rStyle w:val="DecValTok"/>
        </w:rPr>
        <w:t xml:space="preserve">65537</w:t>
      </w:r>
      <w:r>
        <w:rPr>
          <w:rStyle w:val="NormalTok"/>
        </w:rPr>
        <w:t xml:space="preserve">, key_size</w:t>
      </w:r>
      <w:r>
        <w:rPr>
          <w:rStyle w:val="OperatorTok"/>
        </w:rPr>
        <w:t xml:space="preserve">=</w:t>
      </w:r>
      <w:r>
        <w:rPr>
          <w:rStyle w:val="DecValTok"/>
        </w:rPr>
        <w:t xml:space="preserve">2048</w:t>
      </w:r>
      <w:r>
        <w:rPr>
          <w:rStyle w:val="NormalTok"/>
        </w:rPr>
        <w:t xml:space="preserve">)</w:t>
      </w:r>
      <w:r>
        <w:br/>
      </w:r>
      <w:r>
        <w:rPr>
          <w:rStyle w:val="NormalTok"/>
        </w:rPr>
        <w:t xml:space="preserve">public_pem </w:t>
      </w:r>
      <w:r>
        <w:rPr>
          <w:rStyle w:val="OperatorTok"/>
        </w:rPr>
        <w:t xml:space="preserve">=</w:t>
      </w:r>
      <w:r>
        <w:rPr>
          <w:rStyle w:val="NormalTok"/>
        </w:rPr>
        <w:t xml:space="preserve"> private_key.public_key().public_bytes(</w:t>
      </w:r>
      <w:r>
        <w:br/>
      </w:r>
      <w:r>
        <w:rPr>
          <w:rStyle w:val="NormalTok"/>
        </w:rPr>
        <w:t xml:space="preserve">    serialization.Encoding.PEM, serialization.PublicFormat.SubjectPublicKeyInfo)</w:t>
      </w:r>
      <w:r>
        <w:br/>
      </w:r>
      <w:r>
        <w:br/>
      </w:r>
      <w:r>
        <w:rPr>
          <w:rStyle w:val="KeywordTok"/>
        </w:rPr>
        <w:t xml:space="preserve">def</w:t>
      </w:r>
      <w:r>
        <w:rPr>
          <w:rStyle w:val="NormalTok"/>
        </w:rPr>
        <w:t xml:space="preserve"> issue_access_token(user_id: </w:t>
      </w:r>
      <w:r>
        <w:rPr>
          <w:rStyle w:val="BuiltInTok"/>
        </w:rPr>
        <w:t xml:space="preserve">str</w:t>
      </w:r>
      <w:r>
        <w:rPr>
          <w:rStyle w:val="NormalTok"/>
        </w:rPr>
        <w:t xml:space="preserve">, scopes: </w:t>
      </w:r>
      <w:r>
        <w:rPr>
          <w:rStyle w:val="BuiltInTok"/>
        </w:rPr>
        <w:t xml:space="preserve">list</w:t>
      </w:r>
      <w:r>
        <w:rPr>
          <w:rStyle w:val="NormalTok"/>
        </w:rPr>
        <w:t xml:space="preserve">[</w:t>
      </w:r>
      <w:r>
        <w:rPr>
          <w:rStyle w:val="BuiltInTok"/>
        </w:rPr>
        <w:t xml:space="preserve">str</w:t>
      </w:r>
      <w:r>
        <w:rPr>
          <w:rStyle w:val="NormalTok"/>
        </w:rPr>
        <w:t xml:space="preserve">], ttl_s: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900</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now </w:t>
      </w:r>
      <w:r>
        <w:rPr>
          <w:rStyle w:val="OperatorTok"/>
        </w:rPr>
        <w:t xml:space="preserve">=</w:t>
      </w:r>
      <w:r>
        <w:rPr>
          <w:rStyle w:val="NormalTok"/>
        </w:rPr>
        <w:t xml:space="preserve"> </w:t>
      </w:r>
      <w:r>
        <w:rPr>
          <w:rStyle w:val="BuiltInTok"/>
        </w:rPr>
        <w:t xml:space="preserve">int</w:t>
      </w:r>
      <w:r>
        <w:rPr>
          <w:rStyle w:val="NormalTok"/>
        </w:rPr>
        <w:t xml:space="preserve">(time.time())</w:t>
      </w:r>
      <w:r>
        <w:br/>
      </w:r>
      <w:r>
        <w:rPr>
          <w:rStyle w:val="NormalTok"/>
        </w:rPr>
        <w:t xml:space="preserve">    claims </w:t>
      </w:r>
      <w:r>
        <w:rPr>
          <w:rStyle w:val="OperatorTok"/>
        </w:rPr>
        <w:t xml:space="preserve">=</w:t>
      </w:r>
      <w:r>
        <w:rPr>
          <w:rStyle w:val="NormalTok"/>
        </w:rPr>
        <w:t xml:space="preserve"> {</w:t>
      </w:r>
      <w:r>
        <w:rPr>
          <w:rStyle w:val="StringTok"/>
        </w:rPr>
        <w:t xml:space="preserve">"iss"</w:t>
      </w:r>
      <w:r>
        <w:rPr>
          <w:rStyle w:val="NormalTok"/>
        </w:rPr>
        <w:t xml:space="preserve">: ISSUER, </w:t>
      </w:r>
      <w:r>
        <w:rPr>
          <w:rStyle w:val="StringTok"/>
        </w:rPr>
        <w:t xml:space="preserve">"aud"</w:t>
      </w:r>
      <w:r>
        <w:rPr>
          <w:rStyle w:val="NormalTok"/>
        </w:rPr>
        <w:t xml:space="preserve">: AUDIENCE, </w:t>
      </w:r>
      <w:r>
        <w:rPr>
          <w:rStyle w:val="StringTok"/>
        </w:rPr>
        <w:t xml:space="preserve">"sub"</w:t>
      </w:r>
      <w:r>
        <w:rPr>
          <w:rStyle w:val="NormalTok"/>
        </w:rPr>
        <w:t xml:space="preserve">: user_id, </w:t>
      </w:r>
      <w:r>
        <w:rPr>
          <w:rStyle w:val="StringTok"/>
        </w:rPr>
        <w:t xml:space="preserve">"iat"</w:t>
      </w:r>
      <w:r>
        <w:rPr>
          <w:rStyle w:val="NormalTok"/>
        </w:rPr>
        <w:t xml:space="preserve">: now, </w:t>
      </w:r>
      <w:r>
        <w:rPr>
          <w:rStyle w:val="StringTok"/>
        </w:rPr>
        <w:t xml:space="preserve">"nbf"</w:t>
      </w:r>
      <w:r>
        <w:rPr>
          <w:rStyle w:val="NormalTok"/>
        </w:rPr>
        <w:t xml:space="preserve">: now,</w:t>
      </w:r>
      <w:r>
        <w:br/>
      </w:r>
      <w:r>
        <w:rPr>
          <w:rStyle w:val="NormalTok"/>
        </w:rPr>
        <w:t xml:space="preserve">              </w:t>
      </w:r>
      <w:r>
        <w:rPr>
          <w:rStyle w:val="StringTok"/>
        </w:rPr>
        <w:t xml:space="preserve">"exp"</w:t>
      </w:r>
      <w:r>
        <w:rPr>
          <w:rStyle w:val="NormalTok"/>
        </w:rPr>
        <w:t xml:space="preserve">: now </w:t>
      </w:r>
      <w:r>
        <w:rPr>
          <w:rStyle w:val="OperatorTok"/>
        </w:rPr>
        <w:t xml:space="preserve">+</w:t>
      </w:r>
      <w:r>
        <w:rPr>
          <w:rStyle w:val="NormalTok"/>
        </w:rPr>
        <w:t xml:space="preserve"> ttl_s, </w:t>
      </w:r>
      <w:r>
        <w:rPr>
          <w:rStyle w:val="StringTok"/>
        </w:rPr>
        <w:t xml:space="preserve">"jti"</w:t>
      </w:r>
      <w:r>
        <w:rPr>
          <w:rStyle w:val="NormalTok"/>
        </w:rPr>
        <w:t xml:space="preserve">: </w:t>
      </w:r>
      <w:r>
        <w:rPr>
          <w:rStyle w:val="BuiltInTok"/>
        </w:rPr>
        <w:t xml:space="preserve">str</w:t>
      </w:r>
      <w:r>
        <w:rPr>
          <w:rStyle w:val="NormalTok"/>
        </w:rPr>
        <w:t xml:space="preserve">(uuid.uuid4()), </w:t>
      </w:r>
      <w:r>
        <w:rPr>
          <w:rStyle w:val="StringTok"/>
        </w:rPr>
        <w:t xml:space="preserve">"scope"</w:t>
      </w:r>
      <w:r>
        <w:rPr>
          <w:rStyle w:val="NormalTok"/>
        </w:rPr>
        <w:t xml:space="preserve">: </w:t>
      </w:r>
      <w:r>
        <w:rPr>
          <w:rStyle w:val="StringTok"/>
        </w:rPr>
        <w:t xml:space="preserve">" "</w:t>
      </w:r>
      <w:r>
        <w:rPr>
          <w:rStyle w:val="NormalTok"/>
        </w:rPr>
        <w:t xml:space="preserve">.join(scopes)}</w:t>
      </w:r>
      <w:r>
        <w:br/>
      </w:r>
      <w:r>
        <w:rPr>
          <w:rStyle w:val="NormalTok"/>
        </w:rPr>
        <w:t xml:space="preserve">    </w:t>
      </w:r>
      <w:r>
        <w:rPr>
          <w:rStyle w:val="ControlFlowTok"/>
        </w:rPr>
        <w:t xml:space="preserve">return</w:t>
      </w:r>
      <w:r>
        <w:rPr>
          <w:rStyle w:val="NormalTok"/>
        </w:rPr>
        <w:t xml:space="preserve"> jwt.encode(claims, private_key, algorithm</w:t>
      </w:r>
      <w:r>
        <w:rPr>
          <w:rStyle w:val="OperatorTok"/>
        </w:rPr>
        <w:t xml:space="preserve">=</w:t>
      </w:r>
      <w:r>
        <w:rPr>
          <w:rStyle w:val="StringTok"/>
        </w:rPr>
        <w:t xml:space="preserve">"RS256"</w:t>
      </w:r>
      <w:r>
        <w:rPr>
          <w:rStyle w:val="NormalTok"/>
        </w:rPr>
        <w:t xml:space="preserve">,</w:t>
      </w:r>
      <w:r>
        <w:br/>
      </w:r>
      <w:r>
        <w:rPr>
          <w:rStyle w:val="NormalTok"/>
        </w:rPr>
        <w:t xml:space="preserve">                      headers</w:t>
      </w:r>
      <w:r>
        <w:rPr>
          <w:rStyle w:val="OperatorTok"/>
        </w:rPr>
        <w:t xml:space="preserve">=</w:t>
      </w:r>
      <w:r>
        <w:rPr>
          <w:rStyle w:val="NormalTok"/>
        </w:rPr>
        <w:t xml:space="preserve">{</w:t>
      </w:r>
      <w:r>
        <w:rPr>
          <w:rStyle w:val="StringTok"/>
        </w:rPr>
        <w:t xml:space="preserve">"kid"</w:t>
      </w:r>
      <w:r>
        <w:rPr>
          <w:rStyle w:val="NormalTok"/>
        </w:rPr>
        <w:t xml:space="preserve">: </w:t>
      </w:r>
      <w:r>
        <w:rPr>
          <w:rStyle w:val="StringTok"/>
        </w:rPr>
        <w:t xml:space="preserve">"2026-10-key-1"</w:t>
      </w:r>
      <w:r>
        <w:rPr>
          <w:rStyle w:val="NormalTok"/>
        </w:rPr>
        <w:t xml:space="preserve">})</w:t>
      </w:r>
      <w:r>
        <w:br/>
      </w:r>
      <w:r>
        <w:br/>
      </w:r>
      <w:r>
        <w:rPr>
          <w:rStyle w:val="CommentTok"/>
        </w:rPr>
        <w:t xml:space="preserve"># Resource server: holds only the public key.</w:t>
      </w:r>
      <w:r>
        <w:br/>
      </w:r>
      <w:r>
        <w:rPr>
          <w:rStyle w:val="KeywordTok"/>
        </w:rPr>
        <w:t xml:space="preserve">def</w:t>
      </w:r>
      <w:r>
        <w:rPr>
          <w:rStyle w:val="NormalTok"/>
        </w:rPr>
        <w:t xml:space="preserve"> validate_access_token(token: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ntrolFlowTok"/>
        </w:rPr>
        <w:t xml:space="preserve">return</w:t>
      </w:r>
      <w:r>
        <w:rPr>
          <w:rStyle w:val="NormalTok"/>
        </w:rPr>
        <w:t xml:space="preserve"> jwt.decode(</w:t>
      </w:r>
      <w:r>
        <w:br/>
      </w:r>
      <w:r>
        <w:rPr>
          <w:rStyle w:val="NormalTok"/>
        </w:rPr>
        <w:t xml:space="preserve">        token, public_pem,</w:t>
      </w:r>
      <w:r>
        <w:br/>
      </w:r>
      <w:r>
        <w:rPr>
          <w:rStyle w:val="NormalTok"/>
        </w:rPr>
        <w:t xml:space="preserve">        algorithms</w:t>
      </w:r>
      <w:r>
        <w:rPr>
          <w:rStyle w:val="OperatorTok"/>
        </w:rPr>
        <w:t xml:space="preserve">=</w:t>
      </w:r>
      <w:r>
        <w:rPr>
          <w:rStyle w:val="NormalTok"/>
        </w:rPr>
        <w:t xml:space="preserve">[</w:t>
      </w:r>
      <w:r>
        <w:rPr>
          <w:rStyle w:val="StringTok"/>
        </w:rPr>
        <w:t xml:space="preserve">"RS256"</w:t>
      </w:r>
      <w:r>
        <w:rPr>
          <w:rStyle w:val="NormalTok"/>
        </w:rPr>
        <w:t xml:space="preserve">],               </w:t>
      </w:r>
      <w:r>
        <w:rPr>
          <w:rStyle w:val="CommentTok"/>
        </w:rPr>
        <w:t xml:space="preserve"># pin the algorithm; never trust the header</w:t>
      </w:r>
      <w:r>
        <w:br/>
      </w:r>
      <w:r>
        <w:rPr>
          <w:rStyle w:val="NormalTok"/>
        </w:rPr>
        <w:t xml:space="preserve">        audience</w:t>
      </w:r>
      <w:r>
        <w:rPr>
          <w:rStyle w:val="OperatorTok"/>
        </w:rPr>
        <w:t xml:space="preserve">=</w:t>
      </w:r>
      <w:r>
        <w:rPr>
          <w:rStyle w:val="NormalTok"/>
        </w:rPr>
        <w:t xml:space="preserve">AUDIENCE, issuer</w:t>
      </w:r>
      <w:r>
        <w:rPr>
          <w:rStyle w:val="OperatorTok"/>
        </w:rPr>
        <w:t xml:space="preserve">=</w:t>
      </w:r>
      <w:r>
        <w:rPr>
          <w:rStyle w:val="NormalTok"/>
        </w:rPr>
        <w:t xml:space="preserve">ISSUER,</w:t>
      </w:r>
      <w:r>
        <w:br/>
      </w:r>
      <w:r>
        <w:rPr>
          <w:rStyle w:val="NormalTok"/>
        </w:rPr>
        <w:t xml:space="preserve">        leeway</w:t>
      </w:r>
      <w:r>
        <w:rPr>
          <w:rStyle w:val="OperatorTok"/>
        </w:rPr>
        <w:t xml:space="preserve">=</w:t>
      </w:r>
      <w:r>
        <w:rPr>
          <w:rStyle w:val="DecValTok"/>
        </w:rPr>
        <w:t xml:space="preserve">30</w:t>
      </w:r>
      <w:r>
        <w:rPr>
          <w:rStyle w:val="NormalTok"/>
        </w:rPr>
        <w:t xml:space="preserve">,                          </w:t>
      </w:r>
      <w:r>
        <w:rPr>
          <w:rStyle w:val="CommentTok"/>
        </w:rPr>
        <w:t xml:space="preserve"># tolerate 30 s of clock skew</w:t>
      </w:r>
      <w:r>
        <w:br/>
      </w:r>
      <w:r>
        <w:rPr>
          <w:rStyle w:val="NormalTok"/>
        </w:rPr>
        <w:t xml:space="preserve">        options</w:t>
      </w:r>
      <w:r>
        <w:rPr>
          <w:rStyle w:val="OperatorTok"/>
        </w:rPr>
        <w:t xml:space="preserve">=</w:t>
      </w:r>
      <w:r>
        <w:rPr>
          <w:rStyle w:val="NormalTok"/>
        </w:rPr>
        <w:t xml:space="preserve">{</w:t>
      </w:r>
      <w:r>
        <w:rPr>
          <w:rStyle w:val="StringTok"/>
        </w:rPr>
        <w:t xml:space="preserve">"require"</w:t>
      </w:r>
      <w:r>
        <w:rPr>
          <w:rStyle w:val="NormalTok"/>
        </w:rPr>
        <w:t xml:space="preserve">: [</w:t>
      </w:r>
      <w:r>
        <w:rPr>
          <w:rStyle w:val="StringTok"/>
        </w:rPr>
        <w:t xml:space="preserve">"exp"</w:t>
      </w:r>
      <w:r>
        <w:rPr>
          <w:rStyle w:val="NormalTok"/>
        </w:rPr>
        <w:t xml:space="preserve">, </w:t>
      </w:r>
      <w:r>
        <w:rPr>
          <w:rStyle w:val="StringTok"/>
        </w:rPr>
        <w:t xml:space="preserve">"iat"</w:t>
      </w:r>
      <w:r>
        <w:rPr>
          <w:rStyle w:val="NormalTok"/>
        </w:rPr>
        <w:t xml:space="preserve">, </w:t>
      </w:r>
      <w:r>
        <w:rPr>
          <w:rStyle w:val="StringTok"/>
        </w:rPr>
        <w:t xml:space="preserve">"sub"</w:t>
      </w:r>
      <w:r>
        <w:rPr>
          <w:rStyle w:val="NormalTok"/>
        </w:rPr>
        <w:t xml:space="preserve">, </w:t>
      </w:r>
      <w:r>
        <w:rPr>
          <w:rStyle w:val="StringTok"/>
        </w:rPr>
        <w:t xml:space="preserve">"aud"</w:t>
      </w:r>
      <w:r>
        <w:rPr>
          <w:rStyle w:val="NormalTok"/>
        </w:rPr>
        <w:t xml:space="preserve">, </w:t>
      </w:r>
      <w:r>
        <w:rPr>
          <w:rStyle w:val="StringTok"/>
        </w:rPr>
        <w:t xml:space="preserve">"iss"</w:t>
      </w:r>
      <w:r>
        <w:rPr>
          <w:rStyle w:val="NormalTok"/>
        </w:rPr>
        <w:t xml:space="preserve">]},</w:t>
      </w:r>
      <w:r>
        <w:br/>
      </w:r>
      <w:r>
        <w:rPr>
          <w:rStyle w:val="NormalTok"/>
        </w:rPr>
        <w:t xml:space="preserve">    )</w:t>
      </w:r>
      <w:r>
        <w:br/>
      </w:r>
      <w:r>
        <w:br/>
      </w:r>
      <w:r>
        <w:rPr>
          <w:rStyle w:val="NormalTok"/>
        </w:rPr>
        <w:t xml:space="preserve">token </w:t>
      </w:r>
      <w:r>
        <w:rPr>
          <w:rStyle w:val="OperatorTok"/>
        </w:rPr>
        <w:t xml:space="preserve">=</w:t>
      </w:r>
      <w:r>
        <w:rPr>
          <w:rStyle w:val="NormalTok"/>
        </w:rPr>
        <w:t xml:space="preserve"> issue_access_token(</w:t>
      </w:r>
      <w:r>
        <w:rPr>
          <w:rStyle w:val="StringTok"/>
        </w:rPr>
        <w:t xml:space="preserve">"user-123"</w:t>
      </w:r>
      <w:r>
        <w:rPr>
          <w:rStyle w:val="NormalTok"/>
        </w:rPr>
        <w:t xml:space="preserve">, [</w:t>
      </w:r>
      <w:r>
        <w:rPr>
          <w:rStyle w:val="StringTok"/>
        </w:rPr>
        <w:t xml:space="preserve">"articles:read"</w:t>
      </w:r>
      <w:r>
        <w:rPr>
          <w:rStyle w:val="NormalTok"/>
        </w:rPr>
        <w:t xml:space="preserve">, </w:t>
      </w:r>
      <w:r>
        <w:rPr>
          <w:rStyle w:val="StringTok"/>
        </w:rPr>
        <w:t xml:space="preserve">"articles:write"</w:t>
      </w:r>
      <w:r>
        <w:rPr>
          <w:rStyle w:val="NormalTok"/>
        </w:rPr>
        <w:t xml:space="preserve">])</w:t>
      </w:r>
      <w:r>
        <w:br/>
      </w:r>
      <w:r>
        <w:rPr>
          <w:rStyle w:val="BuiltInTok"/>
        </w:rPr>
        <w:t xml:space="preserve">print</w:t>
      </w:r>
      <w:r>
        <w:rPr>
          <w:rStyle w:val="NormalTok"/>
        </w:rPr>
        <w:t xml:space="preserve">(</w:t>
      </w:r>
      <w:r>
        <w:rPr>
          <w:rStyle w:val="BuiltInTok"/>
        </w:rPr>
        <w:t xml:space="preserve">len</w:t>
      </w:r>
      <w:r>
        <w:rPr>
          <w:rStyle w:val="NormalTok"/>
        </w:rPr>
        <w:t xml:space="preserve">(token), validate_access_token(token)[</w:t>
      </w:r>
      <w:r>
        <w:rPr>
          <w:rStyle w:val="StringTok"/>
        </w:rPr>
        <w:t xml:space="preserve">"scope"</w:t>
      </w:r>
      <w:r>
        <w:rPr>
          <w:rStyle w:val="NormalTok"/>
        </w:rPr>
        <w:t xml:space="preserve">])   </w:t>
      </w:r>
      <w:r>
        <w:rPr>
          <w:rStyle w:val="CommentTok"/>
        </w:rPr>
        <w:t xml:space="preserve"># ~700 articles:read articles:write</w:t>
      </w:r>
    </w:p>
    <w:p>
      <w:pPr>
        <w:pStyle w:val="FirstParagraph"/>
      </w:pPr>
      <w:r>
        <w:t xml:space="preserve">What to notice:</w:t>
      </w:r>
    </w:p>
    <w:p>
      <w:pPr>
        <w:numPr>
          <w:ilvl w:val="0"/>
          <w:numId w:val="1280"/>
        </w:numPr>
        <w:pStyle w:val="Compact"/>
      </w:pPr>
      <w:r>
        <w:rPr>
          <w:rStyle w:val="VerbatimChar"/>
        </w:rPr>
        <w:t xml:space="preserve">algorithms=["RS256"]</w:t>
      </w:r>
      <w:r>
        <w:t xml:space="preserve"> </w:t>
      </w:r>
      <w:r>
        <w:t xml:space="preserve">defends against two classic attacks: tokens with</w:t>
      </w:r>
      <w:r>
        <w:t xml:space="preserve"> </w:t>
      </w:r>
      <w:r>
        <w:rPr>
          <w:rStyle w:val="VerbatimChar"/>
        </w:rPr>
        <w:t xml:space="preserve">"alg": "none"</w:t>
      </w:r>
      <w:r>
        <w:t xml:space="preserve"> </w:t>
      </w:r>
      <w:r>
        <w:t xml:space="preserve">(no signature at all), and</w:t>
      </w:r>
      <w:r>
        <w:t xml:space="preserve"> </w:t>
      </w:r>
      <w:r>
        <w:rPr>
          <w:bCs/>
          <w:b/>
        </w:rPr>
        <w:t xml:space="preserve">algorithm confusion</w:t>
      </w:r>
      <w:r>
        <w:t xml:space="preserve">, where an attacker signs an HS256 token using the server’s</w:t>
      </w:r>
      <w:r>
        <w:t xml:space="preserve"> </w:t>
      </w:r>
      <w:r>
        <w:rPr>
          <w:iCs/>
          <w:i/>
        </w:rPr>
        <w:t xml:space="preserve">public</w:t>
      </w:r>
      <w:r>
        <w:t xml:space="preserve"> </w:t>
      </w:r>
      <w:r>
        <w:t xml:space="preserve">RSA key as the HMAC secret and a careless library verifies it [RFC 8725].</w:t>
      </w:r>
    </w:p>
    <w:p>
      <w:pPr>
        <w:numPr>
          <w:ilvl w:val="0"/>
          <w:numId w:val="1280"/>
        </w:numPr>
        <w:pStyle w:val="Compact"/>
      </w:pPr>
      <w:r>
        <w:t xml:space="preserve">The token is about 700 characters; at 10,000 requests per second that is about 7 MB/s of header bytes, which HTTP/2 header compression reduces on reused connections.</w:t>
      </w:r>
    </w:p>
    <w:p>
      <w:pPr>
        <w:numPr>
          <w:ilvl w:val="0"/>
          <w:numId w:val="1280"/>
        </w:numPr>
        <w:pStyle w:val="Compact"/>
      </w:pPr>
      <w:r>
        <w:t xml:space="preserve">In a FastAPI service, the same validation sits in a dependency that returns</w:t>
      </w:r>
      <w:r>
        <w:t xml:space="preserve"> </w:t>
      </w:r>
      <w:r>
        <w:rPr>
          <w:rStyle w:val="VerbatimChar"/>
        </w:rPr>
        <w:t xml:space="preserve">401</w:t>
      </w:r>
      <w:r>
        <w:t xml:space="preserve"> </w:t>
      </w:r>
      <w:r>
        <w:t xml:space="preserve">or</w:t>
      </w:r>
      <w:r>
        <w:t xml:space="preserve"> </w:t>
      </w:r>
      <w:r>
        <w:rPr>
          <w:rStyle w:val="VerbatimChar"/>
        </w:rPr>
        <w:t xml:space="preserve">403</w:t>
      </w:r>
      <w:r>
        <w:t xml:space="preserve"> </w:t>
      </w:r>
      <w:r>
        <w:t xml:space="preserve">with RFC 6750</w:t>
      </w:r>
      <w:r>
        <w:t xml:space="preserve"> </w:t>
      </w:r>
      <w:r>
        <w:rPr>
          <w:rStyle w:val="VerbatimChar"/>
        </w:rPr>
        <w:t xml:space="preserve">WWW-Authenticate</w:t>
      </w:r>
      <w:r>
        <w:t xml:space="preserve"> </w:t>
      </w:r>
      <w:r>
        <w:t xml:space="preserve">errors:</w:t>
      </w:r>
    </w:p>
    <w:p>
      <w:pPr>
        <w:pStyle w:val="SourceCode"/>
      </w:pPr>
      <w:r>
        <w:rPr>
          <w:rStyle w:val="ImportTok"/>
        </w:rPr>
        <w:t xml:space="preserve">from</w:t>
      </w:r>
      <w:r>
        <w:rPr>
          <w:rStyle w:val="NormalTok"/>
        </w:rPr>
        <w:t xml:space="preserve"> fastapi </w:t>
      </w:r>
      <w:r>
        <w:rPr>
          <w:rStyle w:val="ImportTok"/>
        </w:rPr>
        <w:t xml:space="preserve">import</w:t>
      </w:r>
      <w:r>
        <w:rPr>
          <w:rStyle w:val="NormalTok"/>
        </w:rPr>
        <w:t xml:space="preserve"> Depends, FastAPI, HTTPException</w:t>
      </w:r>
      <w:r>
        <w:br/>
      </w:r>
      <w:r>
        <w:rPr>
          <w:rStyle w:val="ImportTok"/>
        </w:rPr>
        <w:t xml:space="preserve">from</w:t>
      </w:r>
      <w:r>
        <w:rPr>
          <w:rStyle w:val="NormalTok"/>
        </w:rPr>
        <w:t xml:space="preserve"> fastapi.security </w:t>
      </w:r>
      <w:r>
        <w:rPr>
          <w:rStyle w:val="ImportTok"/>
        </w:rPr>
        <w:t xml:space="preserve">import</w:t>
      </w:r>
      <w:r>
        <w:rPr>
          <w:rStyle w:val="NormalTok"/>
        </w:rPr>
        <w:t xml:space="preserve"> HTTPAuthorizationCredentials, HTTPBearer</w:t>
      </w:r>
      <w:r>
        <w:br/>
      </w:r>
      <w:r>
        <w:br/>
      </w:r>
      <w:r>
        <w:rPr>
          <w:rStyle w:val="NormalTok"/>
        </w:rPr>
        <w:t xml:space="preserve">app </w:t>
      </w:r>
      <w:r>
        <w:rPr>
          <w:rStyle w:val="OperatorTok"/>
        </w:rPr>
        <w:t xml:space="preserve">=</w:t>
      </w:r>
      <w:r>
        <w:rPr>
          <w:rStyle w:val="NormalTok"/>
        </w:rPr>
        <w:t xml:space="preserve"> FastAPI()</w:t>
      </w:r>
      <w:r>
        <w:br/>
      </w:r>
      <w:r>
        <w:rPr>
          <w:rStyle w:val="NormalTok"/>
        </w:rPr>
        <w:t xml:space="preserve">bearer </w:t>
      </w:r>
      <w:r>
        <w:rPr>
          <w:rStyle w:val="OperatorTok"/>
        </w:rPr>
        <w:t xml:space="preserve">=</w:t>
      </w:r>
      <w:r>
        <w:rPr>
          <w:rStyle w:val="NormalTok"/>
        </w:rPr>
        <w:t xml:space="preserve"> HTTPBearer(auto_error</w:t>
      </w:r>
      <w:r>
        <w:rPr>
          <w:rStyle w:val="OperatorTok"/>
        </w:rPr>
        <w:t xml:space="preserve">=</w:t>
      </w:r>
      <w:r>
        <w:rPr>
          <w:rStyle w:val="VariableTok"/>
        </w:rPr>
        <w:t xml:space="preserve">False</w:t>
      </w:r>
      <w:r>
        <w:rPr>
          <w:rStyle w:val="NormalTok"/>
        </w:rPr>
        <w:t xml:space="preserve">)</w:t>
      </w:r>
      <w:r>
        <w:br/>
      </w:r>
      <w:r>
        <w:br/>
      </w:r>
      <w:r>
        <w:rPr>
          <w:rStyle w:val="KeywordTok"/>
        </w:rPr>
        <w:t xml:space="preserve">def</w:t>
      </w:r>
      <w:r>
        <w:rPr>
          <w:rStyle w:val="NormalTok"/>
        </w:rPr>
        <w:t xml:space="preserve"> current_claims(creds: HTTPAuthorizationCredentials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Depends(bearer))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ntrolFlowTok"/>
        </w:rPr>
        <w:t xml:space="preserve">if</w:t>
      </w:r>
      <w:r>
        <w:rPr>
          <w:rStyle w:val="NormalTok"/>
        </w:rPr>
        <w:t xml:space="preserve"> creds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HTTPException(</w:t>
      </w:r>
      <w:r>
        <w:rPr>
          <w:rStyle w:val="DecValTok"/>
        </w:rPr>
        <w:t xml:space="preserve">401</w:t>
      </w:r>
      <w:r>
        <w:rPr>
          <w:rStyle w:val="NormalTok"/>
        </w:rPr>
        <w:t xml:space="preserve">, </w:t>
      </w:r>
      <w:r>
        <w:rPr>
          <w:rStyle w:val="StringTok"/>
        </w:rPr>
        <w:t xml:space="preserve">"Missing bearer token"</w:t>
      </w:r>
      <w:r>
        <w:rPr>
          <w:rStyle w:val="NormalTok"/>
        </w:rPr>
        <w:t xml:space="preserve">,</w:t>
      </w:r>
      <w:r>
        <w:br/>
      </w:r>
      <w:r>
        <w:rPr>
          <w:rStyle w:val="NormalTok"/>
        </w:rPr>
        <w:t xml:space="preserve">                            headers</w:t>
      </w:r>
      <w:r>
        <w:rPr>
          <w:rStyle w:val="OperatorTok"/>
        </w:rPr>
        <w:t xml:space="preserve">=</w:t>
      </w:r>
      <w:r>
        <w:rPr>
          <w:rStyle w:val="NormalTok"/>
        </w:rPr>
        <w:t xml:space="preserve">{</w:t>
      </w:r>
      <w:r>
        <w:rPr>
          <w:rStyle w:val="StringTok"/>
        </w:rPr>
        <w:t xml:space="preserve">"WWW-Authenticate"</w:t>
      </w:r>
      <w:r>
        <w:rPr>
          <w:rStyle w:val="NormalTok"/>
        </w:rPr>
        <w:t xml:space="preserve">: </w:t>
      </w:r>
      <w:r>
        <w:rPr>
          <w:rStyle w:val="StringTok"/>
        </w:rPr>
        <w:t xml:space="preserve">'Bearer realm="api"'</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return</w:t>
      </w:r>
      <w:r>
        <w:rPr>
          <w:rStyle w:val="NormalTok"/>
        </w:rPr>
        <w:t xml:space="preserve"> validate_access_token(creds.credentials)</w:t>
      </w:r>
      <w:r>
        <w:br/>
      </w:r>
      <w:r>
        <w:rPr>
          <w:rStyle w:val="NormalTok"/>
        </w:rPr>
        <w:t xml:space="preserve">    </w:t>
      </w:r>
      <w:r>
        <w:rPr>
          <w:rStyle w:val="ControlFlowTok"/>
        </w:rPr>
        <w:t xml:space="preserve">except</w:t>
      </w:r>
      <w:r>
        <w:rPr>
          <w:rStyle w:val="NormalTok"/>
        </w:rPr>
        <w:t xml:space="preserve"> jwt.InvalidTokenError:</w:t>
      </w:r>
      <w:r>
        <w:br/>
      </w:r>
      <w:r>
        <w:rPr>
          <w:rStyle w:val="NormalTok"/>
        </w:rPr>
        <w:t xml:space="preserve">        </w:t>
      </w:r>
      <w:r>
        <w:rPr>
          <w:rStyle w:val="ControlFlowTok"/>
        </w:rPr>
        <w:t xml:space="preserve">raise</w:t>
      </w:r>
      <w:r>
        <w:rPr>
          <w:rStyle w:val="NormalTok"/>
        </w:rPr>
        <w:t xml:space="preserve"> HTTPException(</w:t>
      </w:r>
      <w:r>
        <w:rPr>
          <w:rStyle w:val="DecValTok"/>
        </w:rPr>
        <w:t xml:space="preserve">401</w:t>
      </w:r>
      <w:r>
        <w:rPr>
          <w:rStyle w:val="NormalTok"/>
        </w:rPr>
        <w:t xml:space="preserve">, </w:t>
      </w:r>
      <w:r>
        <w:rPr>
          <w:rStyle w:val="StringTok"/>
        </w:rPr>
        <w:t xml:space="preserve">"Invalid or expired token"</w:t>
      </w:r>
      <w:r>
        <w:rPr>
          <w:rStyle w:val="NormalTok"/>
        </w:rPr>
        <w:t xml:space="preserve">,</w:t>
      </w:r>
      <w:r>
        <w:br/>
      </w:r>
      <w:r>
        <w:rPr>
          <w:rStyle w:val="NormalTok"/>
        </w:rPr>
        <w:t xml:space="preserve">                            headers</w:t>
      </w:r>
      <w:r>
        <w:rPr>
          <w:rStyle w:val="OperatorTok"/>
        </w:rPr>
        <w:t xml:space="preserve">=</w:t>
      </w:r>
      <w:r>
        <w:rPr>
          <w:rStyle w:val="NormalTok"/>
        </w:rPr>
        <w:t xml:space="preserve">{</w:t>
      </w:r>
      <w:r>
        <w:rPr>
          <w:rStyle w:val="StringTok"/>
        </w:rPr>
        <w:t xml:space="preserve">"WWW-Authenticate"</w:t>
      </w:r>
      <w:r>
        <w:rPr>
          <w:rStyle w:val="NormalTok"/>
        </w:rPr>
        <w:t xml:space="preserve">: </w:t>
      </w:r>
      <w:r>
        <w:rPr>
          <w:rStyle w:val="StringTok"/>
        </w:rPr>
        <w:t xml:space="preserve">'Bearer error="invalid_token"'</w:t>
      </w:r>
      <w:r>
        <w:rPr>
          <w:rStyle w:val="NormalTok"/>
        </w:rPr>
        <w:t xml:space="preserve">})</w:t>
      </w:r>
      <w:r>
        <w:br/>
      </w:r>
      <w:r>
        <w:br/>
      </w:r>
      <w:r>
        <w:rPr>
          <w:rStyle w:val="KeywordTok"/>
        </w:rPr>
        <w:t xml:space="preserve">def</w:t>
      </w:r>
      <w:r>
        <w:rPr>
          <w:rStyle w:val="NormalTok"/>
        </w:rPr>
        <w:t xml:space="preserve"> require_scope(scope: </w:t>
      </w:r>
      <w:r>
        <w:rPr>
          <w:rStyle w:val="BuiltInTok"/>
        </w:rPr>
        <w:t xml:space="preserve">str</w:t>
      </w:r>
      <w:r>
        <w:rPr>
          <w:rStyle w:val="NormalTok"/>
        </w:rPr>
        <w:t xml:space="preserve">):</w:t>
      </w:r>
      <w:r>
        <w:br/>
      </w:r>
      <w:r>
        <w:rPr>
          <w:rStyle w:val="NormalTok"/>
        </w:rPr>
        <w:t xml:space="preserve">    </w:t>
      </w:r>
      <w:r>
        <w:rPr>
          <w:rStyle w:val="KeywordTok"/>
        </w:rPr>
        <w:t xml:space="preserve">def</w:t>
      </w:r>
      <w:r>
        <w:rPr>
          <w:rStyle w:val="NormalTok"/>
        </w:rPr>
        <w:t xml:space="preserve"> checker(claims: </w:t>
      </w:r>
      <w:r>
        <w:rPr>
          <w:rStyle w:val="BuiltInTok"/>
        </w:rPr>
        <w:t xml:space="preserve">dict</w:t>
      </w:r>
      <w:r>
        <w:rPr>
          <w:rStyle w:val="NormalTok"/>
        </w:rPr>
        <w:t xml:space="preserve"> </w:t>
      </w:r>
      <w:r>
        <w:rPr>
          <w:rStyle w:val="OperatorTok"/>
        </w:rPr>
        <w:t xml:space="preserve">=</w:t>
      </w:r>
      <w:r>
        <w:rPr>
          <w:rStyle w:val="NormalTok"/>
        </w:rPr>
        <w:t xml:space="preserve"> Depends(current_claims))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ntrolFlowTok"/>
        </w:rPr>
        <w:t xml:space="preserve">if</w:t>
      </w:r>
      <w:r>
        <w:rPr>
          <w:rStyle w:val="NormalTok"/>
        </w:rPr>
        <w:t xml:space="preserve"> scope </w:t>
      </w:r>
      <w:r>
        <w:rPr>
          <w:rStyle w:val="KeywordTok"/>
        </w:rPr>
        <w:t xml:space="preserve">not</w:t>
      </w:r>
      <w:r>
        <w:rPr>
          <w:rStyle w:val="NormalTok"/>
        </w:rPr>
        <w:t xml:space="preserve"> </w:t>
      </w:r>
      <w:r>
        <w:rPr>
          <w:rStyle w:val="KeywordTok"/>
        </w:rPr>
        <w:t xml:space="preserve">in</w:t>
      </w:r>
      <w:r>
        <w:rPr>
          <w:rStyle w:val="NormalTok"/>
        </w:rPr>
        <w:t xml:space="preserve"> claims.get(</w:t>
      </w:r>
      <w:r>
        <w:rPr>
          <w:rStyle w:val="StringTok"/>
        </w:rPr>
        <w:t xml:space="preserve">"scope"</w:t>
      </w:r>
      <w:r>
        <w:rPr>
          <w:rStyle w:val="NormalTok"/>
        </w:rPr>
        <w:t xml:space="preserve">, </w:t>
      </w:r>
      <w:r>
        <w:rPr>
          <w:rStyle w:val="StringTok"/>
        </w:rPr>
        <w:t xml:space="preserve">""</w:t>
      </w:r>
      <w:r>
        <w:rPr>
          <w:rStyle w:val="NormalTok"/>
        </w:rPr>
        <w:t xml:space="preserve">).split():</w:t>
      </w:r>
      <w:r>
        <w:br/>
      </w:r>
      <w:r>
        <w:rPr>
          <w:rStyle w:val="NormalTok"/>
        </w:rPr>
        <w:t xml:space="preserve">            </w:t>
      </w:r>
      <w:r>
        <w:rPr>
          <w:rStyle w:val="ControlFlowTok"/>
        </w:rPr>
        <w:t xml:space="preserve">raise</w:t>
      </w:r>
      <w:r>
        <w:rPr>
          <w:rStyle w:val="NormalTok"/>
        </w:rPr>
        <w:t xml:space="preserve"> HTTPException(</w:t>
      </w:r>
      <w:r>
        <w:rPr>
          <w:rStyle w:val="DecValTok"/>
        </w:rPr>
        <w:t xml:space="preserve">403</w:t>
      </w:r>
      <w:r>
        <w:rPr>
          <w:rStyle w:val="NormalTok"/>
        </w:rPr>
        <w:t xml:space="preserve">, </w:t>
      </w:r>
      <w:r>
        <w:rPr>
          <w:rStyle w:val="SpecialStringTok"/>
        </w:rPr>
        <w:t xml:space="preserve">f"Requires scope </w:t>
      </w:r>
      <w:r>
        <w:rPr>
          <w:rStyle w:val="SpecialCharTok"/>
        </w:rPr>
        <w:t xml:space="preserve">{</w:t>
      </w:r>
      <w:r>
        <w:rPr>
          <w:rStyle w:val="NormalTok"/>
        </w:rPr>
        <w:t xml:space="preserve">scope</w:t>
      </w:r>
      <w:r>
        <w:rPr>
          <w:rStyle w:val="SpecialCharTok"/>
        </w:rPr>
        <w:t xml:space="preserve">}</w:t>
      </w:r>
      <w:r>
        <w:rPr>
          <w:rStyle w:val="SpecialStringTok"/>
        </w:rPr>
        <w:t xml:space="preserve">"</w:t>
      </w:r>
      <w:r>
        <w:rPr>
          <w:rStyle w:val="NormalTok"/>
        </w:rPr>
        <w:t xml:space="preserve">, headers</w:t>
      </w:r>
      <w:r>
        <w:rPr>
          <w:rStyle w:val="OperatorTok"/>
        </w:rPr>
        <w:t xml:space="preserve">=</w:t>
      </w:r>
      <w:r>
        <w:rPr>
          <w:rStyle w:val="NormalTok"/>
        </w:rPr>
        <w:t xml:space="preserve">{</w:t>
      </w:r>
      <w:r>
        <w:br/>
      </w:r>
      <w:r>
        <w:rPr>
          <w:rStyle w:val="NormalTok"/>
        </w:rPr>
        <w:t xml:space="preserve">                </w:t>
      </w:r>
      <w:r>
        <w:rPr>
          <w:rStyle w:val="StringTok"/>
        </w:rPr>
        <w:t xml:space="preserve">"WWW-Authenticate"</w:t>
      </w:r>
      <w:r>
        <w:rPr>
          <w:rStyle w:val="NormalTok"/>
        </w:rPr>
        <w:t xml:space="preserve">: </w:t>
      </w:r>
      <w:r>
        <w:rPr>
          <w:rStyle w:val="SpecialStringTok"/>
        </w:rPr>
        <w:t xml:space="preserve">f'Bearer error="insufficient_scope", scope="</w:t>
      </w:r>
      <w:r>
        <w:rPr>
          <w:rStyle w:val="SpecialCharTok"/>
        </w:rPr>
        <w:t xml:space="preserve">{</w:t>
      </w:r>
      <w:r>
        <w:rPr>
          <w:rStyle w:val="NormalTok"/>
        </w:rPr>
        <w:t xml:space="preserve">scope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claims</w:t>
      </w:r>
      <w:r>
        <w:br/>
      </w:r>
      <w:r>
        <w:rPr>
          <w:rStyle w:val="NormalTok"/>
        </w:rPr>
        <w:t xml:space="preserve">    </w:t>
      </w:r>
      <w:r>
        <w:rPr>
          <w:rStyle w:val="ControlFlowTok"/>
        </w:rPr>
        <w:t xml:space="preserve">return</w:t>
      </w:r>
      <w:r>
        <w:rPr>
          <w:rStyle w:val="NormalTok"/>
        </w:rPr>
        <w:t xml:space="preserve"> checker</w:t>
      </w:r>
      <w:r>
        <w:br/>
      </w:r>
      <w:r>
        <w:br/>
      </w:r>
      <w:r>
        <w:rPr>
          <w:rStyle w:val="AttributeTok"/>
        </w:rPr>
        <w:t xml:space="preserve">@app.delete</w:t>
      </w:r>
      <w:r>
        <w:rPr>
          <w:rStyle w:val="NormalTok"/>
        </w:rPr>
        <w:t xml:space="preserve">(</w:t>
      </w:r>
      <w:r>
        <w:rPr>
          <w:rStyle w:val="StringTok"/>
        </w:rPr>
        <w:t xml:space="preserve">"/v1/articles/</w:t>
      </w:r>
      <w:r>
        <w:rPr>
          <w:rStyle w:val="SpecialCharTok"/>
        </w:rPr>
        <w:t xml:space="preserve">{article_id}</w:t>
      </w:r>
      <w:r>
        <w:rPr>
          <w:rStyle w:val="StringTok"/>
        </w:rPr>
        <w:t xml:space="preserve">"</w:t>
      </w:r>
      <w:r>
        <w:rPr>
          <w:rStyle w:val="NormalTok"/>
        </w:rPr>
        <w:t xml:space="preserve">, status_code</w:t>
      </w:r>
      <w:r>
        <w:rPr>
          <w:rStyle w:val="OperatorTok"/>
        </w:rPr>
        <w:t xml:space="preserve">=</w:t>
      </w:r>
      <w:r>
        <w:rPr>
          <w:rStyle w:val="DecValTok"/>
        </w:rPr>
        <w:t xml:space="preserve">204</w:t>
      </w:r>
      <w:r>
        <w:rPr>
          <w:rStyle w:val="NormalTok"/>
        </w:rPr>
        <w:t xml:space="preserve">)</w:t>
      </w:r>
      <w:r>
        <w:br/>
      </w:r>
      <w:r>
        <w:rPr>
          <w:rStyle w:val="KeywordTok"/>
        </w:rPr>
        <w:t xml:space="preserve">def</w:t>
      </w:r>
      <w:r>
        <w:rPr>
          <w:rStyle w:val="NormalTok"/>
        </w:rPr>
        <w:t xml:space="preserve"> delete_article(article_id: </w:t>
      </w:r>
      <w:r>
        <w:rPr>
          <w:rStyle w:val="BuiltInTok"/>
        </w:rPr>
        <w:t xml:space="preserve">int</w:t>
      </w:r>
      <w:r>
        <w:rPr>
          <w:rStyle w:val="NormalTok"/>
        </w:rPr>
        <w:t xml:space="preserve">, claims: </w:t>
      </w:r>
      <w:r>
        <w:rPr>
          <w:rStyle w:val="BuiltInTok"/>
        </w:rPr>
        <w:t xml:space="preserve">dict</w:t>
      </w:r>
      <w:r>
        <w:rPr>
          <w:rStyle w:val="NormalTok"/>
        </w:rPr>
        <w:t xml:space="preserve"> </w:t>
      </w:r>
      <w:r>
        <w:rPr>
          <w:rStyle w:val="OperatorTok"/>
        </w:rPr>
        <w:t xml:space="preserve">=</w:t>
      </w:r>
      <w:r>
        <w:rPr>
          <w:rStyle w:val="NormalTok"/>
        </w:rPr>
        <w:t xml:space="preserve"> Depends(require_scope(</w:t>
      </w:r>
      <w:r>
        <w:rPr>
          <w:rStyle w:val="StringTok"/>
        </w:rPr>
        <w:t xml:space="preserve">"articles:delete"</w:t>
      </w:r>
      <w:r>
        <w:rPr>
          <w:rStyle w:val="NormalTok"/>
        </w:rPr>
        <w:t xml:space="preserve">))):</w:t>
      </w:r>
      <w:r>
        <w:br/>
      </w:r>
      <w:r>
        <w:rPr>
          <w:rStyle w:val="NormalTok"/>
        </w:rPr>
        <w:t xml:space="preserve">    ...   </w:t>
      </w:r>
      <w:r>
        <w:rPr>
          <w:rStyle w:val="CommentTok"/>
        </w:rPr>
        <w:t xml:space="preserve"># delete, recording claims["sub"] in the audit log</w:t>
      </w:r>
    </w:p>
    <w:bookmarkEnd w:id="922"/>
    <w:bookmarkStart w:id="923" w:name="the-revocation-problem"/>
    <w:p>
      <w:pPr>
        <w:pStyle w:val="Heading3"/>
      </w:pPr>
      <w:r>
        <w:t xml:space="preserve">8.13.4 The revocation problem</w:t>
      </w:r>
    </w:p>
    <w:p>
      <w:pPr>
        <w:pStyle w:val="FirstParagraph"/>
      </w:pPr>
      <w:r>
        <w:t xml:space="preserve">Because verification is local, a server cannot know that a token was revoked — after logout, a password change, or a stolen laptop — until it expires. Mitigations, usually combined:</w:t>
      </w:r>
    </w:p>
    <w:p>
      <w:pPr>
        <w:numPr>
          <w:ilvl w:val="0"/>
          <w:numId w:val="1281"/>
        </w:numPr>
        <w:pStyle w:val="Compact"/>
      </w:pPr>
      <w:r>
        <w:rPr>
          <w:bCs/>
          <w:b/>
        </w:rPr>
        <w:t xml:space="preserve">Short access-token lifetimes</w:t>
      </w:r>
      <w:r>
        <w:t xml:space="preserve"> </w:t>
      </w:r>
      <w:r>
        <w:t xml:space="preserve">(5–15 minutes) plus refresh tokens (§8.14.4), which</w:t>
      </w:r>
      <w:r>
        <w:t xml:space="preserve"> </w:t>
      </w:r>
      <w:r>
        <w:rPr>
          <w:iCs/>
          <w:i/>
        </w:rPr>
        <w:t xml:space="preserve">are</w:t>
      </w:r>
      <w:r>
        <w:t xml:space="preserve"> </w:t>
      </w:r>
      <w:r>
        <w:t xml:space="preserve">checked against a server-side store on each refresh.</w:t>
      </w:r>
    </w:p>
    <w:p>
      <w:pPr>
        <w:numPr>
          <w:ilvl w:val="0"/>
          <w:numId w:val="1281"/>
        </w:numPr>
        <w:pStyle w:val="Compact"/>
      </w:pPr>
      <w:r>
        <w:rPr>
          <w:bCs/>
          <w:b/>
        </w:rPr>
        <w:t xml:space="preserve">Deny-list by</w:t>
      </w:r>
      <w:r>
        <w:rPr>
          <w:bCs/>
          <w:b/>
        </w:rPr>
        <w:t xml:space="preserve"> </w:t>
      </w:r>
      <w:r>
        <w:rPr>
          <w:rStyle w:val="VerbatimChar"/>
          <w:bCs/>
          <w:b/>
        </w:rPr>
        <w:t xml:space="preserve">jti</w:t>
      </w:r>
      <w:r>
        <w:t xml:space="preserve"> </w:t>
      </w:r>
      <w:r>
        <w:t xml:space="preserve">(or by</w:t>
      </w:r>
      <w:r>
        <w:t xml:space="preserve"> </w:t>
      </w:r>
      <w:r>
        <w:rPr>
          <w:rStyle w:val="VerbatimChar"/>
        </w:rPr>
        <w:t xml:space="preserve">sub</w:t>
      </w:r>
      <w:r>
        <w:t xml:space="preserve"> </w:t>
      </w:r>
      <w:r>
        <w:t xml:space="preserve">+</w:t>
      </w:r>
      <w:r>
        <w:t xml:space="preserve"> </w:t>
      </w:r>
      <w:r>
        <w:t xml:space="preserve">“</w:t>
      </w:r>
      <w:r>
        <w:t xml:space="preserve">tokens issued before time T</w:t>
      </w:r>
      <w:r>
        <w:t xml:space="preserve">”</w:t>
      </w:r>
      <w:r>
        <w:t xml:space="preserve">) in a fast replicated store, checked on each request. This reintroduces a lookup, but the list holds only revoked, not-yet-expired tokens.</w:t>
      </w:r>
    </w:p>
    <w:p>
      <w:pPr>
        <w:numPr>
          <w:ilvl w:val="0"/>
          <w:numId w:val="1281"/>
        </w:numPr>
        <w:pStyle w:val="Compact"/>
      </w:pPr>
      <w:r>
        <w:rPr>
          <w:bCs/>
          <w:b/>
        </w:rPr>
        <w:t xml:space="preserve">Token introspection</w:t>
      </w:r>
      <w:r>
        <w:t xml:space="preserve"> </w:t>
      </w:r>
      <w:r>
        <w:t xml:space="preserve">(RFC 7662): the resource server asks the authorization server whether a token is active, which trades the local-verification advantage for immediacy; often used only for high-risk operations.</w:t>
      </w:r>
    </w:p>
    <w:p>
      <w:pPr>
        <w:pStyle w:val="CalloutExample"/>
      </w:pPr>
      <w:r>
        <w:rPr>
          <w:bCs/>
          <w:b/>
        </w:rPr>
        <w:t xml:space="preserve">WORKED EXAMPLE</w:t>
      </w:r>
    </w:p>
    <w:p>
      <w:pPr>
        <w:pStyle w:val="CalloutExample"/>
      </w:pPr>
      <w:r>
        <w:rPr>
          <w:bCs/>
          <w:b/>
        </w:rPr>
        <w:t xml:space="preserve">Worked example — Revocation window and deny-list size.</w:t>
      </w:r>
      <w:r>
        <w:t xml:space="preserve"> </w:t>
      </w:r>
      <w:r>
        <w:t xml:space="preserve">Access tokens live</w:t>
      </w:r>
      <w:r>
        <w:t xml:space="preserve"> </w:t>
      </w:r>
      <m:oMath>
        <m:r>
          <m:t>T</m:t>
        </m:r>
        <m:r>
          <m:rPr>
            <m:sty m:val="p"/>
          </m:rPr>
          <m:t>=</m:t>
        </m:r>
        <m:r>
          <m:t>15</m:t>
        </m:r>
      </m:oMath>
      <w:r>
        <w:t xml:space="preserve"> </w:t>
      </w:r>
      <w:r>
        <w:t xml:space="preserve">min. Users revoke sessions at</w:t>
      </w:r>
      <w:r>
        <w:t xml:space="preserve"> </w:t>
      </w:r>
      <m:oMath>
        <m:r>
          <m:t>r</m:t>
        </m:r>
        <m:r>
          <m:rPr>
            <m:sty m:val="p"/>
          </m:rPr>
          <m:t>=</m:t>
        </m:r>
        <m:r>
          <m:t>100</m:t>
        </m:r>
      </m:oMath>
      <w:r>
        <w:t xml:space="preserve"> </w:t>
      </w:r>
      <w:r>
        <w:t xml:space="preserve">per minute.</w:t>
      </w:r>
    </w:p>
    <w:p>
      <w:pPr>
        <w:numPr>
          <w:ilvl w:val="0"/>
          <w:numId w:val="1282"/>
        </w:numPr>
        <w:pStyle w:val="Compact"/>
      </w:pPr>
      <w:r>
        <w:t xml:space="preserve">Worst-case exposure after revocation without a deny-list: up to 15 min; if revocation times are uniformly distributed relative to issuance, on average 7.5 min.</w:t>
      </w:r>
    </w:p>
    <w:p>
      <w:pPr>
        <w:numPr>
          <w:ilvl w:val="0"/>
          <w:numId w:val="1282"/>
        </w:numPr>
        <w:pStyle w:val="Compact"/>
      </w:pPr>
      <w:r>
        <w:t xml:space="preserve">Deny-list size: entries need be kept only until the token would have expired anyway, so</w:t>
      </w:r>
      <w:r>
        <w:t xml:space="preserve"> </w:t>
      </w:r>
      <m:oMath>
        <m:r>
          <m:t>N</m:t>
        </m:r>
        <m:r>
          <m:rPr>
            <m:sty m:val="p"/>
          </m:rPr>
          <m:t>=</m:t>
        </m:r>
        <m:r>
          <m:t>r</m:t>
        </m:r>
        <m:r>
          <m:rPr>
            <m:sty m:val="p"/>
          </m:rPr>
          <m:t>×</m:t>
        </m:r>
        <m:r>
          <m:t>T</m:t>
        </m:r>
        <m:r>
          <m:rPr>
            <m:sty m:val="p"/>
          </m:rPr>
          <m:t>=</m:t>
        </m:r>
        <m:r>
          <m:t>100</m:t>
        </m:r>
        <m:r>
          <m:rPr>
            <m:sty m:val="p"/>
          </m:rPr>
          <m:t>×</m:t>
        </m:r>
        <m:r>
          <m:t>15</m:t>
        </m:r>
        <m:r>
          <m:rPr>
            <m:sty m:val="p"/>
          </m:rPr>
          <m:t>=</m:t>
        </m:r>
        <m:r>
          <m:t>1</m:t>
        </m:r>
        <m:r>
          <m:rPr>
            <m:sty m:val="p"/>
          </m:rPr>
          <m:t>,</m:t>
        </m:r>
        <m:r>
          <m:t>500</m:t>
        </m:r>
      </m:oMath>
      <w:r>
        <w:t xml:space="preserve"> </w:t>
      </w:r>
      <w:r>
        <w:t xml:space="preserve">entries — about 1,500 × ~50 bytes ≈ 75 KB.</w:t>
      </w:r>
    </w:p>
    <w:p>
      <w:pPr>
        <w:pStyle w:val="CalloutExample"/>
      </w:pPr>
      <w:r>
        <w:rPr>
          <w:bCs/>
          <w:b/>
        </w:rPr>
        <w:t xml:space="preserve">Interpretation.</w:t>
      </w:r>
      <w:r>
        <w:t xml:space="preserve"> </w:t>
      </w:r>
      <w:r>
        <w:t xml:space="preserve">A deny-list is tiny and can be replicated into every service’s memory and refreshed every few seconds.</w:t>
      </w:r>
      <w:r>
        <w:t xml:space="preserve"> </w:t>
      </w:r>
      <w:r>
        <w:rPr>
          <w:bCs/>
          <w:b/>
        </w:rPr>
        <w:t xml:space="preserve">Engineering implication:</w:t>
      </w:r>
      <w:r>
        <w:t xml:space="preserve"> </w:t>
      </w:r>
      <w:r>
        <w:t xml:space="preserve">“</w:t>
      </w:r>
      <w:r>
        <w:t xml:space="preserve">JWTs cannot be revoked</w:t>
      </w:r>
      <w:r>
        <w:t xml:space="preserve">”</w:t>
      </w:r>
      <w:r>
        <w:t xml:space="preserve"> </w:t>
      </w:r>
      <w:r>
        <w:t xml:space="preserve">is false; the cost is a small, bounded amount of shared state.</w:t>
      </w:r>
    </w:p>
    <w:p>
      <w:pPr>
        <w:pStyle w:val="CalloutMistake"/>
      </w:pPr>
      <w:r>
        <w:rPr>
          <w:bCs/>
          <w:b/>
        </w:rPr>
        <w:t xml:space="preserve">COMMON MISTAKE</w:t>
      </w:r>
    </w:p>
    <w:p>
      <w:pPr>
        <w:pStyle w:val="CalloutMistake"/>
      </w:pPr>
      <w:r>
        <w:rPr>
          <w:bCs/>
          <w:b/>
        </w:rPr>
        <w:t xml:space="preserve">Storing JWTs in</w:t>
      </w:r>
      <w:r>
        <w:rPr>
          <w:bCs/>
          <w:b/>
        </w:rPr>
        <w:t xml:space="preserve"> </w:t>
      </w:r>
      <w:r>
        <w:rPr>
          <w:rStyle w:val="VerbatimChar"/>
          <w:bCs/>
          <w:b/>
        </w:rPr>
        <w:t xml:space="preserve">localStorage</w:t>
      </w:r>
      <w:r>
        <w:rPr>
          <w:bCs/>
          <w:b/>
        </w:rPr>
        <w:t xml:space="preserve"> </w:t>
      </w:r>
      <w:r>
        <w:rPr>
          <w:bCs/>
          <w:b/>
        </w:rPr>
        <w:t xml:space="preserve">because</w:t>
      </w:r>
      <w:r>
        <w:rPr>
          <w:bCs/>
          <w:b/>
        </w:rPr>
        <w:t xml:space="preserve"> </w:t>
      </w:r>
      <w:r>
        <w:rPr>
          <w:bCs/>
          <w:b/>
        </w:rPr>
        <w:t xml:space="preserve">“</w:t>
      </w:r>
      <w:r>
        <w:rPr>
          <w:bCs/>
          <w:b/>
        </w:rPr>
        <w:t xml:space="preserve">cookies are old-fashioned</w:t>
      </w:r>
      <w:r>
        <w:rPr>
          <w:bCs/>
          <w:b/>
        </w:rPr>
        <w:t xml:space="preserve">”</w:t>
      </w:r>
      <w:r>
        <w:rPr>
          <w:bCs/>
          <w:b/>
        </w:rPr>
        <w:t xml:space="preserve">.</w:t>
      </w:r>
      <w:r>
        <w:t xml:space="preserve"> </w:t>
      </w:r>
      <w:r>
        <w:t xml:space="preserve">Any XSS bug can read</w:t>
      </w:r>
      <w:r>
        <w:t xml:space="preserve"> </w:t>
      </w:r>
      <w:r>
        <w:rPr>
          <w:rStyle w:val="VerbatimChar"/>
        </w:rPr>
        <w:t xml:space="preserve">localStorage</w:t>
      </w:r>
      <w:r>
        <w:t xml:space="preserve"> </w:t>
      </w:r>
      <w:r>
        <w:t xml:space="preserve">and exfiltrate the token. For browser apps, an</w:t>
      </w:r>
      <w:r>
        <w:t xml:space="preserve"> </w:t>
      </w:r>
      <w:r>
        <w:rPr>
          <w:rStyle w:val="VerbatimChar"/>
        </w:rPr>
        <w:t xml:space="preserve">HttpOnly</w:t>
      </w:r>
      <w:r>
        <w:t xml:space="preserve">,</w:t>
      </w:r>
      <w:r>
        <w:t xml:space="preserve"> </w:t>
      </w:r>
      <w:r>
        <w:rPr>
          <w:rStyle w:val="VerbatimChar"/>
        </w:rPr>
        <w:t xml:space="preserve">Secure</w:t>
      </w:r>
      <w:r>
        <w:t xml:space="preserve">,</w:t>
      </w:r>
      <w:r>
        <w:t xml:space="preserve"> </w:t>
      </w:r>
      <w:r>
        <w:rPr>
          <w:rStyle w:val="VerbatimChar"/>
        </w:rPr>
        <w:t xml:space="preserve">SameSite</w:t>
      </w:r>
      <w:r>
        <w:t xml:space="preserve"> </w:t>
      </w:r>
      <w:r>
        <w:t xml:space="preserve">session cookie to your own backend (which holds the tokens server-side, the BFF pattern) is usually safer.</w:t>
      </w:r>
    </w:p>
    <w:bookmarkEnd w:id="923"/>
    <w:bookmarkEnd w:id="924"/>
    <w:bookmarkStart w:id="934" w:name="oauth-2.0-and-openid-connect"/>
    <w:p>
      <w:pPr>
        <w:pStyle w:val="Heading2"/>
      </w:pPr>
      <w:r>
        <w:t xml:space="preserve">8.14 OAuth 2.0 and OpenID Connect</w:t>
      </w:r>
    </w:p>
    <w:bookmarkStart w:id="925" w:name="the-delegation-problem"/>
    <w:p>
      <w:pPr>
        <w:pStyle w:val="Heading3"/>
      </w:pPr>
      <w:r>
        <w:t xml:space="preserve">8.14.1 The delegation problem</w:t>
      </w:r>
    </w:p>
    <w:p>
      <w:pPr>
        <w:pStyle w:val="CalloutDefinition"/>
      </w:pPr>
      <w:r>
        <w:rPr>
          <w:bCs/>
          <w:b/>
        </w:rPr>
        <w:t xml:space="preserve">DEFINITION</w:t>
      </w:r>
    </w:p>
    <w:p>
      <w:pPr>
        <w:pStyle w:val="CalloutDefinition"/>
      </w:pPr>
      <w:r>
        <w:rPr>
          <w:bCs/>
          <w:b/>
        </w:rPr>
        <w:t xml:space="preserve">Definition — OAuth 2.0.</w:t>
      </w:r>
      <w:r>
        <w:t xml:space="preserve"> </w:t>
      </w:r>
      <w:r>
        <w:t xml:space="preserve">An authorization framework that lets a third-party application obtain</w:t>
      </w:r>
      <w:r>
        <w:t xml:space="preserve"> </w:t>
      </w:r>
      <w:r>
        <w:rPr>
          <w:iCs/>
          <w:i/>
        </w:rPr>
        <w:t xml:space="preserve">limited</w:t>
      </w:r>
      <w:r>
        <w:t xml:space="preserve"> </w:t>
      </w:r>
      <w:r>
        <w:t xml:space="preserve">access to an HTTP service on behalf of a resource owner, by obtaining an</w:t>
      </w:r>
      <w:r>
        <w:t xml:space="preserve"> </w:t>
      </w:r>
      <w:r>
        <w:rPr>
          <w:bCs/>
          <w:b/>
        </w:rPr>
        <w:t xml:space="preserve">access token</w:t>
      </w:r>
      <w:r>
        <w:t xml:space="preserve"> </w:t>
      </w:r>
      <w:r>
        <w:t xml:space="preserve">from an authorization server instead of using the owner’s credentials [RFC 6749].</w:t>
      </w:r>
    </w:p>
    <w:p>
      <w:pPr>
        <w:pStyle w:val="BodyText"/>
      </w:pPr>
      <w:r>
        <w:t xml:space="preserve">Many cars come with a</w:t>
      </w:r>
      <w:r>
        <w:t xml:space="preserve"> </w:t>
      </w:r>
      <w:r>
        <w:rPr>
          <w:bCs/>
          <w:b/>
        </w:rPr>
        <w:t xml:space="preserve">valet key</w:t>
      </w:r>
      <w:r>
        <w:t xml:space="preserve">: it starts the engine but cannot open the boot or the glovebox. You hand the valet a limited key instead of your full key ring. Before OAuth, a photo-printing site that wanted your photos from another service asked for your password — your full key ring — and could then do anything, forever, until you changed it. OAuth gives the printing site a valet key: a token scoped to</w:t>
      </w:r>
      <w:r>
        <w:t xml:space="preserve"> </w:t>
      </w:r>
      <w:r>
        <w:t xml:space="preserve">“</w:t>
      </w:r>
      <w:r>
        <w:t xml:space="preserve">read photos</w:t>
      </w:r>
      <w:r>
        <w:t xml:space="preserve">”</w:t>
      </w:r>
      <w:r>
        <w:t xml:space="preserve">, time-limited, revocable, and issued without the site ever seeing your password.</w:t>
      </w:r>
    </w:p>
    <w:bookmarkEnd w:id="925"/>
    <w:bookmarkStart w:id="926" w:name="roles-and-grants"/>
    <w:p>
      <w:pPr>
        <w:pStyle w:val="Heading3"/>
      </w:pPr>
      <w:r>
        <w:t xml:space="preserve">8.14.2 Roles and grants</w:t>
      </w:r>
    </w:p>
    <w:p>
      <w:pPr>
        <w:pStyle w:val="FirstParagraph"/>
      </w:pPr>
      <w:r>
        <w:t xml:space="preserve">OAuth defines four roles [RFC 6749 §1.1]:</w:t>
      </w:r>
    </w:p>
    <w:p>
      <w:pPr>
        <w:numPr>
          <w:ilvl w:val="0"/>
          <w:numId w:val="1283"/>
        </w:numPr>
        <w:pStyle w:val="Compact"/>
      </w:pPr>
      <w:r>
        <w:rPr>
          <w:bCs/>
          <w:b/>
        </w:rPr>
        <w:t xml:space="preserve">Resource owner</w:t>
      </w:r>
      <w:r>
        <w:t xml:space="preserve"> </w:t>
      </w:r>
      <w:r>
        <w:t xml:space="preserve">— the user who owns the data.</w:t>
      </w:r>
    </w:p>
    <w:p>
      <w:pPr>
        <w:numPr>
          <w:ilvl w:val="0"/>
          <w:numId w:val="1283"/>
        </w:numPr>
        <w:pStyle w:val="Compact"/>
      </w:pPr>
      <w:r>
        <w:rPr>
          <w:bCs/>
          <w:b/>
        </w:rPr>
        <w:t xml:space="preserve">Client</w:t>
      </w:r>
      <w:r>
        <w:t xml:space="preserve"> </w:t>
      </w:r>
      <w:r>
        <w:t xml:space="preserve">— the application requesting access (the photo printer). A</w:t>
      </w:r>
      <w:r>
        <w:t xml:space="preserve"> </w:t>
      </w:r>
      <w:r>
        <w:rPr>
          <w:bCs/>
          <w:b/>
        </w:rPr>
        <w:t xml:space="preserve">confidential client</w:t>
      </w:r>
      <w:r>
        <w:t xml:space="preserve"> </w:t>
      </w:r>
      <w:r>
        <w:t xml:space="preserve">(a server-side app) can keep a client secret; a</w:t>
      </w:r>
      <w:r>
        <w:t xml:space="preserve"> </w:t>
      </w:r>
      <w:r>
        <w:rPr>
          <w:bCs/>
          <w:b/>
        </w:rPr>
        <w:t xml:space="preserve">public client</w:t>
      </w:r>
      <w:r>
        <w:t xml:space="preserve"> </w:t>
      </w:r>
      <w:r>
        <w:t xml:space="preserve">(SPA, mobile app) cannot, because its code is in users’ hands.</w:t>
      </w:r>
    </w:p>
    <w:p>
      <w:pPr>
        <w:numPr>
          <w:ilvl w:val="0"/>
          <w:numId w:val="1283"/>
        </w:numPr>
        <w:pStyle w:val="Compact"/>
      </w:pPr>
      <w:r>
        <w:rPr>
          <w:bCs/>
          <w:b/>
        </w:rPr>
        <w:t xml:space="preserve">Authorization server (AS)</w:t>
      </w:r>
      <w:r>
        <w:t xml:space="preserve"> </w:t>
      </w:r>
      <w:r>
        <w:t xml:space="preserve">— authenticates the owner, asks for consent and issues tokens.</w:t>
      </w:r>
    </w:p>
    <w:p>
      <w:pPr>
        <w:numPr>
          <w:ilvl w:val="0"/>
          <w:numId w:val="1283"/>
        </w:numPr>
        <w:pStyle w:val="Compact"/>
      </w:pPr>
      <w:r>
        <w:rPr>
          <w:bCs/>
          <w:b/>
        </w:rPr>
        <w:t xml:space="preserve">Resource server (RS)</w:t>
      </w:r>
      <w:r>
        <w:t xml:space="preserve"> </w:t>
      </w:r>
      <w:r>
        <w:t xml:space="preserve">— the API that accepts access tokens.</w:t>
      </w:r>
    </w:p>
    <w:p>
      <w:pPr>
        <w:pStyle w:val="FirstParagraph"/>
      </w:pPr>
      <w:r>
        <w:t xml:space="preserve">Tokens are presented as</w:t>
      </w:r>
      <w:r>
        <w:t xml:space="preserve"> </w:t>
      </w:r>
      <w:r>
        <w:rPr>
          <w:bCs/>
          <w:b/>
        </w:rPr>
        <w:t xml:space="preserve">bearer tokens</w:t>
      </w:r>
      <w:r>
        <w:t xml:space="preserve"> </w:t>
      </w:r>
      <w:r>
        <w:t xml:space="preserve">—</w:t>
      </w:r>
      <w:r>
        <w:t xml:space="preserve"> </w:t>
      </w:r>
      <w:r>
        <w:t xml:space="preserve">“</w:t>
      </w:r>
      <w:r>
        <w:t xml:space="preserve">whoever bears this token may use it</w:t>
      </w:r>
      <w:r>
        <w:t xml:space="preserve">”</w:t>
      </w:r>
      <w:r>
        <w:t xml:space="preserve"> </w:t>
      </w:r>
      <w:r>
        <w:t xml:space="preserve">— in the</w:t>
      </w:r>
      <w:r>
        <w:t xml:space="preserve"> </w:t>
      </w:r>
      <w:r>
        <w:rPr>
          <w:rStyle w:val="VerbatimChar"/>
        </w:rPr>
        <w:t xml:space="preserve">Authorization: Bearer &lt;token&gt;</w:t>
      </w:r>
      <w:r>
        <w:t xml:space="preserve"> </w:t>
      </w:r>
      <w:r>
        <w:t xml:space="preserve">header, so they must only travel over TLS [RFC 6750].</w:t>
      </w:r>
    </w:p>
    <w:p>
      <w:pPr>
        <w:pStyle w:val="BodyText"/>
      </w:pPr>
      <w:r>
        <w:rPr>
          <w:bCs/>
          <w:b/>
        </w:rPr>
        <w:t xml:space="preserve">Table 8.19 — OAuth 2.0 grant types and their status.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Grant</w:t>
            </w:r>
          </w:p>
        </w:tc>
        <w:tc>
          <w:tcPr/>
          <w:p>
            <w:pPr>
              <w:pStyle w:val="Compact"/>
              <w:jc w:val="left"/>
            </w:pPr>
            <w:r>
              <w:t xml:space="preserve">Who uses it</w:t>
            </w:r>
          </w:p>
        </w:tc>
        <w:tc>
          <w:tcPr/>
          <w:p>
            <w:pPr>
              <w:pStyle w:val="Compact"/>
              <w:jc w:val="left"/>
            </w:pPr>
            <w:r>
              <w:t xml:space="preserve">Status (as of 2026)</w:t>
            </w:r>
          </w:p>
        </w:tc>
      </w:tr>
      <w:tr>
        <w:tc>
          <w:tcPr/>
          <w:p>
            <w:pPr>
              <w:pStyle w:val="Compact"/>
              <w:jc w:val="left"/>
            </w:pPr>
            <w:r>
              <w:t xml:space="preserve">Authorization code + PKCE</w:t>
            </w:r>
          </w:p>
        </w:tc>
        <w:tc>
          <w:tcPr/>
          <w:p>
            <w:pPr>
              <w:pStyle w:val="Compact"/>
              <w:jc w:val="left"/>
            </w:pPr>
            <w:r>
              <w:t xml:space="preserve">Web apps, SPAs, mobile and desktop apps acting for a user</w:t>
            </w:r>
          </w:p>
        </w:tc>
        <w:tc>
          <w:tcPr/>
          <w:p>
            <w:pPr>
              <w:pStyle w:val="Compact"/>
              <w:jc w:val="left"/>
            </w:pPr>
            <w:r>
              <w:t xml:space="preserve">Recommended for all user-facing clients</w:t>
            </w:r>
          </w:p>
        </w:tc>
      </w:tr>
      <w:tr>
        <w:tc>
          <w:tcPr/>
          <w:p>
            <w:pPr>
              <w:pStyle w:val="Compact"/>
              <w:jc w:val="left"/>
            </w:pPr>
            <w:r>
              <w:t xml:space="preserve">Client credentials</w:t>
            </w:r>
          </w:p>
        </w:tc>
        <w:tc>
          <w:tcPr/>
          <w:p>
            <w:pPr>
              <w:pStyle w:val="Compact"/>
              <w:jc w:val="left"/>
            </w:pPr>
            <w:r>
              <w:t xml:space="preserve">A service acting for itself (machine-to-machine)</w:t>
            </w:r>
          </w:p>
        </w:tc>
        <w:tc>
          <w:tcPr/>
          <w:p>
            <w:pPr>
              <w:pStyle w:val="Compact"/>
              <w:jc w:val="left"/>
            </w:pPr>
            <w:r>
              <w:t xml:space="preserve">Recommended</w:t>
            </w:r>
          </w:p>
        </w:tc>
      </w:tr>
      <w:tr>
        <w:tc>
          <w:tcPr/>
          <w:p>
            <w:pPr>
              <w:pStyle w:val="Compact"/>
              <w:jc w:val="left"/>
            </w:pPr>
            <w:r>
              <w:t xml:space="preserve">Refresh token</w:t>
            </w:r>
          </w:p>
        </w:tc>
        <w:tc>
          <w:tcPr/>
          <w:p>
            <w:pPr>
              <w:pStyle w:val="Compact"/>
              <w:jc w:val="left"/>
            </w:pPr>
            <w:r>
              <w:t xml:space="preserve">Any client renewing an access token</w:t>
            </w:r>
          </w:p>
        </w:tc>
        <w:tc>
          <w:tcPr/>
          <w:p>
            <w:pPr>
              <w:pStyle w:val="Compact"/>
              <w:jc w:val="left"/>
            </w:pPr>
            <w:r>
              <w:t xml:space="preserve">Recommended, with rotation for public clients</w:t>
            </w:r>
          </w:p>
        </w:tc>
      </w:tr>
      <w:tr>
        <w:tc>
          <w:tcPr/>
          <w:p>
            <w:pPr>
              <w:pStyle w:val="Compact"/>
              <w:jc w:val="left"/>
            </w:pPr>
            <w:r>
              <w:t xml:space="preserve">Device authorization (RFC 8628)</w:t>
            </w:r>
          </w:p>
        </w:tc>
        <w:tc>
          <w:tcPr/>
          <w:p>
            <w:pPr>
              <w:pStyle w:val="Compact"/>
              <w:jc w:val="left"/>
            </w:pPr>
            <w:r>
              <w:t xml:space="preserve">TVs and CLIs without a convenient browser</w:t>
            </w:r>
          </w:p>
        </w:tc>
        <w:tc>
          <w:tcPr/>
          <w:p>
            <w:pPr>
              <w:pStyle w:val="Compact"/>
              <w:jc w:val="left"/>
            </w:pPr>
            <w:r>
              <w:t xml:space="preserve">Recommended for those devices</w:t>
            </w:r>
          </w:p>
        </w:tc>
      </w:tr>
      <w:tr>
        <w:tc>
          <w:tcPr/>
          <w:p>
            <w:pPr>
              <w:pStyle w:val="Compact"/>
              <w:jc w:val="left"/>
            </w:pPr>
            <w:r>
              <w:t xml:space="preserve">Implicit</w:t>
            </w:r>
          </w:p>
        </w:tc>
        <w:tc>
          <w:tcPr/>
          <w:p>
            <w:pPr>
              <w:pStyle w:val="Compact"/>
              <w:jc w:val="left"/>
            </w:pPr>
            <w:r>
              <w:t xml:space="preserve">Old SPAs (token returned in the URL fragment)</w:t>
            </w:r>
          </w:p>
        </w:tc>
        <w:tc>
          <w:tcPr/>
          <w:p>
            <w:pPr>
              <w:pStyle w:val="Compact"/>
              <w:jc w:val="left"/>
            </w:pPr>
            <w:r>
              <w:t xml:space="preserve">Deprecated; omitted from OAuth 2.1</w:t>
            </w:r>
          </w:p>
        </w:tc>
      </w:tr>
      <w:tr>
        <w:tc>
          <w:tcPr/>
          <w:p>
            <w:pPr>
              <w:pStyle w:val="Compact"/>
              <w:jc w:val="left"/>
            </w:pPr>
            <w:r>
              <w:t xml:space="preserve">Resource owner password credentials</w:t>
            </w:r>
          </w:p>
        </w:tc>
        <w:tc>
          <w:tcPr/>
          <w:p>
            <w:pPr>
              <w:pStyle w:val="Compact"/>
              <w:jc w:val="left"/>
            </w:pPr>
            <w:r>
              <w:t xml:space="preserve">Client collects the user’s password</w:t>
            </w:r>
          </w:p>
        </w:tc>
        <w:tc>
          <w:tcPr/>
          <w:p>
            <w:pPr>
              <w:pStyle w:val="Compact"/>
              <w:jc w:val="left"/>
            </w:pPr>
            <w:r>
              <w:t xml:space="preserve">Deprecated; omitted from OAuth 2.1</w:t>
            </w:r>
          </w:p>
        </w:tc>
      </w:tr>
    </w:tbl>
    <w:bookmarkEnd w:id="926"/>
    <w:bookmarkStart w:id="930" w:name="authorization-code-flow-with-pkce"/>
    <w:p>
      <w:pPr>
        <w:pStyle w:val="Heading3"/>
      </w:pPr>
      <w:r>
        <w:t xml:space="preserve">8.14.3 Authorization code flow with PKCE</w:t>
      </w:r>
    </w:p>
    <w:p>
      <w:pPr>
        <w:pStyle w:val="CalloutDefinition"/>
      </w:pPr>
      <w:r>
        <w:rPr>
          <w:bCs/>
          <w:b/>
        </w:rPr>
        <w:t xml:space="preserve">DEFINITION</w:t>
      </w:r>
    </w:p>
    <w:p>
      <w:pPr>
        <w:pStyle w:val="CalloutDefinition"/>
      </w:pPr>
      <w:r>
        <w:rPr>
          <w:bCs/>
          <w:b/>
        </w:rPr>
        <w:t xml:space="preserve">Definition — PKCE (Proof Key for Code Exchange,</w:t>
      </w:r>
      <w:r>
        <w:rPr>
          <w:bCs/>
          <w:b/>
        </w:rPr>
        <w:t xml:space="preserve"> </w:t>
      </w:r>
      <w:r>
        <w:rPr>
          <w:bCs/>
          <w:b/>
        </w:rPr>
        <w:t xml:space="preserve">“</w:t>
      </w:r>
      <w:r>
        <w:rPr>
          <w:bCs/>
          <w:b/>
        </w:rPr>
        <w:t xml:space="preserve">pixy</w:t>
      </w:r>
      <w:r>
        <w:rPr>
          <w:bCs/>
          <w:b/>
        </w:rPr>
        <w:t xml:space="preserve">”</w:t>
      </w:r>
      <w:r>
        <w:rPr>
          <w:bCs/>
          <w:b/>
        </w:rPr>
        <w:t xml:space="preserve">).</w:t>
      </w:r>
      <w:r>
        <w:t xml:space="preserve"> </w:t>
      </w:r>
      <w:r>
        <w:t xml:space="preserve">An extension in which the client creates a random secret, the</w:t>
      </w:r>
      <w:r>
        <w:t xml:space="preserve"> </w:t>
      </w:r>
      <w:r>
        <w:rPr>
          <w:bCs/>
          <w:b/>
        </w:rPr>
        <w:t xml:space="preserve">code verifier</w:t>
      </w:r>
      <w:r>
        <w:t xml:space="preserve">, sends only its SHA-256 hash, the</w:t>
      </w:r>
      <w:r>
        <w:t xml:space="preserve"> </w:t>
      </w:r>
      <w:r>
        <w:rPr>
          <w:bCs/>
          <w:b/>
        </w:rPr>
        <w:t xml:space="preserve">code challenge</w:t>
      </w:r>
      <w:r>
        <w:t xml:space="preserve">, with the authorization request, and must present the verifier when redeeming the authorization code. An attacker who intercepts the code cannot redeem it without the verifier [RFC 7636].</w:t>
      </w:r>
    </w:p>
    <w:p>
      <w:pPr>
        <w:pStyle w:val="BodyText"/>
      </w:pPr>
      <w:r>
        <w:rPr>
          <w:bCs/>
          <w:b/>
        </w:rPr>
        <w:t xml:space="preserve">Figure 8.11 — OAuth 2.0 authorization code flow with PKCE.</w:t>
      </w:r>
    </w:p>
    <w:p>
      <w:pPr>
        <w:pStyle w:val="BodyText"/>
      </w:pPr>
      <w:r>
        <w:drawing>
          <wp:inline>
            <wp:extent cx="5334000" cy="3060785"/>
            <wp:effectExtent b="0" l="0" r="0" t="0"/>
            <wp:docPr descr="" title="" id="928" name="Picture"/>
            <a:graphic>
              <a:graphicData uri="http://schemas.openxmlformats.org/drawingml/2006/picture">
                <pic:pic>
                  <pic:nvPicPr>
                    <pic:cNvPr descr="/home/user/System-Design/build/.cache/diagrams/fd7ea72853d3.png" id="929" name="Picture"/>
                    <pic:cNvPicPr>
                      <a:picLocks noChangeArrowheads="1" noChangeAspect="1"/>
                    </pic:cNvPicPr>
                  </pic:nvPicPr>
                  <pic:blipFill>
                    <a:blip r:embed="rId927"/>
                    <a:stretch>
                      <a:fillRect/>
                    </a:stretch>
                  </pic:blipFill>
                  <pic:spPr bwMode="auto">
                    <a:xfrm>
                      <a:off x="0" y="0"/>
                      <a:ext cx="5334000" cy="3060785"/>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Steps 3–6 happen through the user’s browser via redirects (the</w:t>
      </w:r>
      <w:r>
        <w:t xml:space="preserve"> </w:t>
      </w:r>
      <w:r>
        <w:rPr>
          <w:bCs/>
          <w:b/>
        </w:rPr>
        <w:t xml:space="preserve">front channel</w:t>
      </w:r>
      <w:r>
        <w:t xml:space="preserve">), where URLs can leak through history, logs and malicious apps registered for the same redirect scheme on mobile devices. The authorization server only ever sees the</w:t>
      </w:r>
      <w:r>
        <w:t xml:space="preserve"> </w:t>
      </w:r>
      <w:r>
        <w:rPr>
          <w:iCs/>
          <w:i/>
        </w:rPr>
        <w:t xml:space="preserve">hash</w:t>
      </w:r>
      <w:r>
        <w:t xml:space="preserve"> </w:t>
      </w:r>
      <w:r>
        <w:t xml:space="preserve">of the verifier there. Step 8 is a direct HTTPS call from client to authorization server (the</w:t>
      </w:r>
      <w:r>
        <w:t xml:space="preserve"> </w:t>
      </w:r>
      <w:r>
        <w:rPr>
          <w:bCs/>
          <w:b/>
        </w:rPr>
        <w:t xml:space="preserve">back channel</w:t>
      </w:r>
      <w:r>
        <w:t xml:space="preserve">), where the client proves possession of the verifier; an attacker who stole the code in step 6 lacks it. The</w:t>
      </w:r>
      <w:r>
        <w:t xml:space="preserve"> </w:t>
      </w:r>
      <w:r>
        <w:rPr>
          <w:rStyle w:val="VerbatimChar"/>
        </w:rPr>
        <w:t xml:space="preserve">state</w:t>
      </w:r>
      <w:r>
        <w:t xml:space="preserve"> </w:t>
      </w:r>
      <w:r>
        <w:t xml:space="preserve">value checked in step 7 stops an attacker from injecting their own authorization response into the user’s session (CSRF against the redirect endpoint). Steps 11–13 are ordinary API calls with a bearer token, validated as in §8.13.3 or by introspection. All calls are synchronous. Storage boundaries: the authorization server stores codes (single use, short-lived, typically under a minute), challenges, grants and refresh tokens. Failure points: the authorization server is on the login path for every user and must be highly available; resource servers that validate JWTs locally keep working during a brief AS outage until tokens expire. Scaling: token validation scales with the number of resource servers; the token endpoint scales like any stateless service backed by a replicated store.</w:t>
      </w:r>
    </w:p>
    <w:p>
      <w:pPr>
        <w:pStyle w:val="SourceCode"/>
      </w:pPr>
      <w:r>
        <w:rPr>
          <w:rStyle w:val="ImportTok"/>
        </w:rPr>
        <w:t xml:space="preserve">import</w:t>
      </w:r>
      <w:r>
        <w:rPr>
          <w:rStyle w:val="NormalTok"/>
        </w:rPr>
        <w:t xml:space="preserve"> base64, hashlib, secrets</w:t>
      </w:r>
      <w:r>
        <w:br/>
      </w:r>
      <w:r>
        <w:br/>
      </w:r>
      <w:r>
        <w:rPr>
          <w:rStyle w:val="KeywordTok"/>
        </w:rPr>
        <w:t xml:space="preserve">def</w:t>
      </w:r>
      <w:r>
        <w:rPr>
          <w:rStyle w:val="NormalTok"/>
        </w:rPr>
        <w:t xml:space="preserve"> make_pkce_pair()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 32 random bytes -&gt; 43-character base64url verifier (RFC 7636 allows 43-128 chars)</w:t>
      </w:r>
      <w:r>
        <w:br/>
      </w:r>
      <w:r>
        <w:rPr>
          <w:rStyle w:val="NormalTok"/>
        </w:rPr>
        <w:t xml:space="preserve">    verifier </w:t>
      </w:r>
      <w:r>
        <w:rPr>
          <w:rStyle w:val="OperatorTok"/>
        </w:rPr>
        <w:t xml:space="preserve">=</w:t>
      </w:r>
      <w:r>
        <w:rPr>
          <w:rStyle w:val="NormalTok"/>
        </w:rPr>
        <w:t xml:space="preserve"> base64.urlsafe_b64encode(secrets.token_bytes(</w:t>
      </w:r>
      <w:r>
        <w:rPr>
          <w:rStyle w:val="DecValTok"/>
        </w:rPr>
        <w:t xml:space="preserve">32</w:t>
      </w:r>
      <w:r>
        <w:rPr>
          <w:rStyle w:val="NormalTok"/>
        </w:rPr>
        <w:t xml:space="preserve">)).rstrip(</w:t>
      </w:r>
      <w:r>
        <w:rPr>
          <w:rStyle w:val="StringTok"/>
        </w:rPr>
        <w:t xml:space="preserve">b"="</w:t>
      </w:r>
      <w:r>
        <w:rPr>
          <w:rStyle w:val="NormalTok"/>
        </w:rPr>
        <w:t xml:space="preserve">).decode()</w:t>
      </w:r>
      <w:r>
        <w:br/>
      </w:r>
      <w:r>
        <w:rPr>
          <w:rStyle w:val="NormalTok"/>
        </w:rPr>
        <w:t xml:space="preserve">    </w:t>
      </w:r>
      <w:r>
        <w:rPr>
          <w:rStyle w:val="ControlFlowTok"/>
        </w:rPr>
        <w:t xml:space="preserve">return</w:t>
      </w:r>
      <w:r>
        <w:rPr>
          <w:rStyle w:val="NormalTok"/>
        </w:rPr>
        <w:t xml:space="preserve"> verifier, challenge_for(verifier)</w:t>
      </w:r>
      <w:r>
        <w:br/>
      </w:r>
      <w:r>
        <w:br/>
      </w:r>
      <w:r>
        <w:rPr>
          <w:rStyle w:val="KeywordTok"/>
        </w:rPr>
        <w:t xml:space="preserve">def</w:t>
      </w:r>
      <w:r>
        <w:rPr>
          <w:rStyle w:val="NormalTok"/>
        </w:rPr>
        <w:t xml:space="preserve"> challenge_for(verifier: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digest </w:t>
      </w:r>
      <w:r>
        <w:rPr>
          <w:rStyle w:val="OperatorTok"/>
        </w:rPr>
        <w:t xml:space="preserve">=</w:t>
      </w:r>
      <w:r>
        <w:rPr>
          <w:rStyle w:val="NormalTok"/>
        </w:rPr>
        <w:t xml:space="preserve"> hashlib.sha256(verifier.encode(</w:t>
      </w:r>
      <w:r>
        <w:rPr>
          <w:rStyle w:val="StringTok"/>
        </w:rPr>
        <w:t xml:space="preserve">"ascii"</w:t>
      </w:r>
      <w:r>
        <w:rPr>
          <w:rStyle w:val="NormalTok"/>
        </w:rPr>
        <w:t xml:space="preserve">)).digest()</w:t>
      </w:r>
      <w:r>
        <w:br/>
      </w:r>
      <w:r>
        <w:rPr>
          <w:rStyle w:val="NormalTok"/>
        </w:rPr>
        <w:t xml:space="preserve">    </w:t>
      </w:r>
      <w:r>
        <w:rPr>
          <w:rStyle w:val="ControlFlowTok"/>
        </w:rPr>
        <w:t xml:space="preserve">return</w:t>
      </w:r>
      <w:r>
        <w:rPr>
          <w:rStyle w:val="NormalTok"/>
        </w:rPr>
        <w:t xml:space="preserve"> base64.urlsafe_b64encode(digest).rstrip(</w:t>
      </w:r>
      <w:r>
        <w:rPr>
          <w:rStyle w:val="StringTok"/>
        </w:rPr>
        <w:t xml:space="preserve">b"="</w:t>
      </w:r>
      <w:r>
        <w:rPr>
          <w:rStyle w:val="NormalTok"/>
        </w:rPr>
        <w:t xml:space="preserve">).decode()</w:t>
      </w:r>
      <w:r>
        <w:br/>
      </w:r>
      <w:r>
        <w:br/>
      </w:r>
      <w:r>
        <w:rPr>
          <w:rStyle w:val="CommentTok"/>
        </w:rPr>
        <w:t xml:space="preserve"># Test vector from RFC 7636 Appendix B:</w:t>
      </w:r>
      <w:r>
        <w:br/>
      </w:r>
      <w:r>
        <w:rPr>
          <w:rStyle w:val="ControlFlowTok"/>
        </w:rPr>
        <w:t xml:space="preserve">assert</w:t>
      </w:r>
      <w:r>
        <w:rPr>
          <w:rStyle w:val="NormalTok"/>
        </w:rPr>
        <w:t xml:space="preserve"> challenge_for(</w:t>
      </w:r>
      <w:r>
        <w:rPr>
          <w:rStyle w:val="StringTok"/>
        </w:rPr>
        <w:t xml:space="preserve">"dBjftJeZ4CVP-mB92K27uhbUJU1p1r_wW1gFWFOEjXk"</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"E9Melhoa2OwvFrEMTJguCHaoeK1t8URWbuGJSstw-cM"</w:t>
      </w:r>
    </w:p>
    <w:p>
      <w:pPr>
        <w:pStyle w:val="FirstParagraph"/>
      </w:pPr>
      <w:r>
        <w:t xml:space="preserve">The token exchange (step 8) on the wire:</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https://auth.example.com/oauth/token </w:t>
      </w:r>
      <w:r>
        <w:rPr>
          <w:rStyle w:val="DataTypeTok"/>
        </w:rPr>
        <w:t xml:space="preserve">\</w:t>
      </w:r>
      <w:r>
        <w:br/>
      </w:r>
      <w:r>
        <w:rPr>
          <w:rStyle w:val="NormalTok"/>
        </w:rPr>
        <w:t xml:space="preserve">  </w:t>
      </w:r>
      <w:r>
        <w:rPr>
          <w:rStyle w:val="AttributeTok"/>
        </w:rPr>
        <w:t xml:space="preserve">-d</w:t>
      </w:r>
      <w:r>
        <w:rPr>
          <w:rStyle w:val="NormalTok"/>
        </w:rPr>
        <w:t xml:space="preserve"> grant_type=authorization_code </w:t>
      </w:r>
      <w:r>
        <w:rPr>
          <w:rStyle w:val="DataTypeTok"/>
        </w:rPr>
        <w:t xml:space="preserve">\</w:t>
      </w:r>
      <w:r>
        <w:br/>
      </w:r>
      <w:r>
        <w:rPr>
          <w:rStyle w:val="NormalTok"/>
        </w:rPr>
        <w:t xml:space="preserve">  </w:t>
      </w:r>
      <w:r>
        <w:rPr>
          <w:rStyle w:val="AttributeTok"/>
        </w:rPr>
        <w:t xml:space="preserve">-d</w:t>
      </w:r>
      <w:r>
        <w:rPr>
          <w:rStyle w:val="NormalTok"/>
        </w:rPr>
        <w:t xml:space="preserve"> code=SplxlOBeZQQYbYS6WxSbIA </w:t>
      </w:r>
      <w:r>
        <w:rPr>
          <w:rStyle w:val="DataTypeTok"/>
        </w:rPr>
        <w:t xml:space="preserve">\</w:t>
      </w:r>
      <w:r>
        <w:br/>
      </w:r>
      <w:r>
        <w:rPr>
          <w:rStyle w:val="NormalTok"/>
        </w:rPr>
        <w:t xml:space="preserve">  </w:t>
      </w:r>
      <w:r>
        <w:rPr>
          <w:rStyle w:val="AttributeTok"/>
        </w:rPr>
        <w:t xml:space="preserve">-d</w:t>
      </w:r>
      <w:r>
        <w:rPr>
          <w:rStyle w:val="NormalTok"/>
        </w:rPr>
        <w:t xml:space="preserve"> redirect_uri=https://app.example.com/callback </w:t>
      </w:r>
      <w:r>
        <w:rPr>
          <w:rStyle w:val="DataTypeTok"/>
        </w:rPr>
        <w:t xml:space="preserve">\</w:t>
      </w:r>
      <w:r>
        <w:br/>
      </w:r>
      <w:r>
        <w:rPr>
          <w:rStyle w:val="NormalTok"/>
        </w:rPr>
        <w:t xml:space="preserve">  </w:t>
      </w:r>
      <w:r>
        <w:rPr>
          <w:rStyle w:val="AttributeTok"/>
        </w:rPr>
        <w:t xml:space="preserve">-d</w:t>
      </w:r>
      <w:r>
        <w:rPr>
          <w:rStyle w:val="NormalTok"/>
        </w:rPr>
        <w:t xml:space="preserve"> client_id=photo-printer </w:t>
      </w:r>
      <w:r>
        <w:rPr>
          <w:rStyle w:val="DataTypeTok"/>
        </w:rPr>
        <w:t xml:space="preserve">\</w:t>
      </w:r>
      <w:r>
        <w:br/>
      </w:r>
      <w:r>
        <w:rPr>
          <w:rStyle w:val="NormalTok"/>
        </w:rPr>
        <w:t xml:space="preserve">  </w:t>
      </w:r>
      <w:r>
        <w:rPr>
          <w:rStyle w:val="AttributeTok"/>
        </w:rPr>
        <w:t xml:space="preserve">-d</w:t>
      </w:r>
      <w:r>
        <w:rPr>
          <w:rStyle w:val="NormalTok"/>
        </w:rPr>
        <w:t xml:space="preserve"> code_verifier=dBjftJeZ4CVP-mB92K27uhbUJU1p1r_wW1gFWFOEjXk</w:t>
      </w:r>
      <w:r>
        <w:br/>
      </w:r>
      <w:r>
        <w:rPr>
          <w:rStyle w:val="CommentTok"/>
        </w:rPr>
        <w:t xml:space="preserve"># {"access_token":"eyJhbGciOi...","token_type":"Bearer","expires_in":900,</w:t>
      </w:r>
      <w:r>
        <w:br/>
      </w:r>
      <w:r>
        <w:rPr>
          <w:rStyle w:val="CommentTok"/>
        </w:rPr>
        <w:t xml:space="preserve">#  "refresh_token":"8xLOxBtZp8...","scope":"photos.read"}</w:t>
      </w:r>
    </w:p>
    <w:p>
      <w:pPr>
        <w:pStyle w:val="FirstParagraph"/>
      </w:pPr>
      <w:r>
        <w:t xml:space="preserve">What to notice: PKCE was designed for public clients, which have no secret; current guidance recommends it for confidential clients too [RFC 9700]. Redirect URIs must be registered in advance and matched exactly, since a loose match lets an attacker redirect codes to their own site.</w:t>
      </w:r>
    </w:p>
    <w:bookmarkEnd w:id="930"/>
    <w:bookmarkStart w:id="931" w:name="client-credentials-and-refresh-tokens"/>
    <w:p>
      <w:pPr>
        <w:pStyle w:val="Heading3"/>
      </w:pPr>
      <w:r>
        <w:t xml:space="preserve">8.14.4 Client credentials and refresh tokens</w:t>
      </w:r>
    </w:p>
    <w:p>
      <w:pPr>
        <w:pStyle w:val="FirstParagraph"/>
      </w:pPr>
      <w:r>
        <w:rPr>
          <w:bCs/>
          <w:b/>
        </w:rPr>
        <w:t xml:space="preserve">Client credentials grant.</w:t>
      </w:r>
      <w:r>
        <w:t xml:space="preserve"> </w:t>
      </w:r>
      <w:r>
        <w:t xml:space="preserve">No user is involved: a backend service authenticates as itself (client ID plus secret, a signed JWT assertion, or mutual TLS) and receives a token scoped to the APIs it may call. This is the standard pattern for machine-to-machine calls between organizations or between internal services when not using mTLS identities (§10.10).</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-u</w:t>
      </w:r>
      <w:r>
        <w:rPr>
          <w:rStyle w:val="NormalTok"/>
        </w:rPr>
        <w:t xml:space="preserve"> billing-service:</w:t>
      </w:r>
      <w:r>
        <w:rPr>
          <w:rStyle w:val="VariableTok"/>
        </w:rPr>
        <w:t xml:space="preserve">$CLIENT_SECRET</w:t>
      </w:r>
      <w:r>
        <w:rPr>
          <w:rStyle w:val="NormalTok"/>
        </w:rPr>
        <w:t xml:space="preserve"> https://auth.example.com/oauth/token </w:t>
      </w:r>
      <w:r>
        <w:rPr>
          <w:rStyle w:val="DataTypeTok"/>
        </w:rPr>
        <w:t xml:space="preserve">\</w:t>
      </w:r>
      <w:r>
        <w:br/>
      </w:r>
      <w:r>
        <w:rPr>
          <w:rStyle w:val="NormalTok"/>
        </w:rPr>
        <w:t xml:space="preserve">  </w:t>
      </w:r>
      <w:r>
        <w:rPr>
          <w:rStyle w:val="AttributeTok"/>
        </w:rPr>
        <w:t xml:space="preserve">-d</w:t>
      </w:r>
      <w:r>
        <w:rPr>
          <w:rStyle w:val="NormalTok"/>
        </w:rPr>
        <w:t xml:space="preserve"> grant_type=client_credentials </w:t>
      </w:r>
      <w:r>
        <w:rPr>
          <w:rStyle w:val="AttributeTok"/>
        </w:rPr>
        <w:t xml:space="preserve">-d</w:t>
      </w:r>
      <w:r>
        <w:rPr>
          <w:rStyle w:val="NormalTok"/>
        </w:rPr>
        <w:t xml:space="preserve"> scope=invoices.write</w:t>
      </w:r>
    </w:p>
    <w:p>
      <w:pPr>
        <w:pStyle w:val="FirstParagraph"/>
      </w:pPr>
      <w:r>
        <w:rPr>
          <w:bCs/>
          <w:b/>
        </w:rPr>
        <w:t xml:space="preserve">Refresh tokens</w:t>
      </w:r>
      <w:r>
        <w:t xml:space="preserve"> </w:t>
      </w:r>
      <w:r>
        <w:t xml:space="preserve">let a client obtain new short-lived access tokens without user interaction. Because the refresh token is long-lived and is checked by the authorization server on each use, it is where revocation actually happens: revoke the refresh token and the client loses access within one access-token lifetime. For public clients,</w:t>
      </w:r>
      <w:r>
        <w:t xml:space="preserve"> </w:t>
      </w:r>
      <w:r>
        <w:rPr>
          <w:bCs/>
          <w:b/>
        </w:rPr>
        <w:t xml:space="preserve">refresh-token rotation</w:t>
      </w:r>
      <w:r>
        <w:t xml:space="preserve"> </w:t>
      </w:r>
      <w:r>
        <w:t xml:space="preserve">issues a new refresh token on every use and invalidates the old one; if an old one is ever presented again, the server assumes theft and revokes the whole token family [RFC 9700].</w:t>
      </w:r>
    </w:p>
    <w:bookmarkEnd w:id="931"/>
    <w:bookmarkStart w:id="932" w:name="oauth-2.1"/>
    <w:p>
      <w:pPr>
        <w:pStyle w:val="Heading3"/>
      </w:pPr>
      <w:r>
        <w:t xml:space="preserve">8.14.5 OAuth 2.1</w:t>
      </w:r>
    </w:p>
    <w:p>
      <w:pPr>
        <w:pStyle w:val="FirstParagraph"/>
      </w:pPr>
      <w:r>
        <w:t xml:space="preserve">OAuth 2.1 is an IETF Internet-Draft that consolidates RFC 6749, RFC 6750, PKCE and the security best current practice into one document: PKCE required for the authorization code grant, implicit and password grants removed, exact redirect-URI matching, and no bearer tokens in query strings. As of October 2026 it is still a draft (revision -16, September 2026), not an RFC [OAuth 2.1 draft]; in practice, following RFC 9700 gets you the same behavior today.</w:t>
      </w:r>
    </w:p>
    <w:bookmarkEnd w:id="932"/>
    <w:bookmarkStart w:id="933" w:name="openid-connect"/>
    <w:p>
      <w:pPr>
        <w:pStyle w:val="Heading3"/>
      </w:pPr>
      <w:r>
        <w:t xml:space="preserve">8.14.6 OpenID Connect</w:t>
      </w:r>
    </w:p>
    <w:p>
      <w:pPr>
        <w:pStyle w:val="FirstParagraph"/>
      </w:pPr>
      <w:r>
        <w:t xml:space="preserve">OAuth answers</w:t>
      </w:r>
      <w:r>
        <w:t xml:space="preserve"> </w:t>
      </w:r>
      <w:r>
        <w:t xml:space="preserve">“</w:t>
      </w:r>
      <w:r>
        <w:t xml:space="preserve">may this app access these photos?</w:t>
      </w:r>
      <w:r>
        <w:t xml:space="preserve">”</w:t>
      </w:r>
      <w:r>
        <w:t xml:space="preserve"> </w:t>
      </w:r>
      <w:r>
        <w:t xml:space="preserve">It deliberately says nothing about</w:t>
      </w:r>
      <w:r>
        <w:t xml:space="preserve"> </w:t>
      </w:r>
      <w:r>
        <w:rPr>
          <w:iCs/>
          <w:i/>
        </w:rPr>
        <w:t xml:space="preserve">who the user is</w:t>
      </w:r>
      <w:r>
        <w:t xml:space="preserve">; an access token is meant for the resource server and may be opaque to the client. Applications nonetheless abused OAuth for</w:t>
      </w:r>
      <w:r>
        <w:t xml:space="preserve"> </w:t>
      </w:r>
      <w:r>
        <w:t xml:space="preserve">“</w:t>
      </w:r>
      <w:r>
        <w:t xml:space="preserve">Sign in with …</w:t>
      </w:r>
      <w:r>
        <w:t xml:space="preserve">”</w:t>
      </w:r>
      <w:r>
        <w:t xml:space="preserve">, which caused vulnerabilities.</w:t>
      </w:r>
      <w:r>
        <w:t xml:space="preserve"> </w:t>
      </w:r>
      <w:r>
        <w:rPr>
          <w:bCs/>
          <w:b/>
        </w:rPr>
        <w:t xml:space="preserve">OpenID Connect (OIDC)</w:t>
      </w:r>
      <w:r>
        <w:t xml:space="preserve"> </w:t>
      </w:r>
      <w:r>
        <w:t xml:space="preserve">is a thin identity layer on top of OAuth 2.0 that standardizes login [OpenID Connect Core 1.0]:</w:t>
      </w:r>
    </w:p>
    <w:p>
      <w:pPr>
        <w:numPr>
          <w:ilvl w:val="0"/>
          <w:numId w:val="1284"/>
        </w:numPr>
        <w:pStyle w:val="Compact"/>
      </w:pPr>
      <w:r>
        <w:t xml:space="preserve">The client requests</w:t>
      </w:r>
      <w:r>
        <w:t xml:space="preserve"> </w:t>
      </w:r>
      <w:r>
        <w:rPr>
          <w:rStyle w:val="VerbatimChar"/>
        </w:rPr>
        <w:t xml:space="preserve">scope=openid</w:t>
      </w:r>
      <w:r>
        <w:t xml:space="preserve"> </w:t>
      </w:r>
      <w:r>
        <w:t xml:space="preserve">(plus</w:t>
      </w:r>
      <w:r>
        <w:t xml:space="preserve"> </w:t>
      </w:r>
      <w:r>
        <w:rPr>
          <w:rStyle w:val="VerbatimChar"/>
        </w:rPr>
        <w:t xml:space="preserve">profile</w:t>
      </w:r>
      <w:r>
        <w:t xml:space="preserve">,</w:t>
      </w:r>
      <w:r>
        <w:t xml:space="preserve"> </w:t>
      </w:r>
      <w:r>
        <w:rPr>
          <w:rStyle w:val="VerbatimChar"/>
        </w:rPr>
        <w:t xml:space="preserve">email</w:t>
      </w:r>
      <w:r>
        <w:t xml:space="preserve"> </w:t>
      </w:r>
      <w:r>
        <w:t xml:space="preserve">as needed).</w:t>
      </w:r>
    </w:p>
    <w:p>
      <w:pPr>
        <w:numPr>
          <w:ilvl w:val="0"/>
          <w:numId w:val="1284"/>
        </w:numPr>
        <w:pStyle w:val="Compact"/>
      </w:pPr>
      <w:r>
        <w:t xml:space="preserve">The token response additionally contains an</w:t>
      </w:r>
      <w:r>
        <w:t xml:space="preserve"> </w:t>
      </w:r>
      <w:r>
        <w:rPr>
          <w:bCs/>
          <w:b/>
        </w:rPr>
        <w:t xml:space="preserve">ID token</w:t>
      </w:r>
      <w:r>
        <w:t xml:space="preserve">: a JWT</w:t>
      </w:r>
      <w:r>
        <w:t xml:space="preserve"> </w:t>
      </w:r>
      <w:r>
        <w:rPr>
          <w:iCs/>
          <w:i/>
        </w:rPr>
        <w:t xml:space="preserve">for the client</w:t>
      </w:r>
      <w:r>
        <w:t xml:space="preserve"> </w:t>
      </w:r>
      <w:r>
        <w:t xml:space="preserve">(its</w:t>
      </w:r>
      <w:r>
        <w:t xml:space="preserve"> </w:t>
      </w:r>
      <w:r>
        <w:rPr>
          <w:rStyle w:val="VerbatimChar"/>
        </w:rPr>
        <w:t xml:space="preserve">aud</w:t>
      </w:r>
      <w:r>
        <w:t xml:space="preserve"> </w:t>
      </w:r>
      <w:r>
        <w:t xml:space="preserve">is the client ID) asserting who logged in —</w:t>
      </w:r>
      <w:r>
        <w:t xml:space="preserve"> </w:t>
      </w:r>
      <w:r>
        <w:rPr>
          <w:rStyle w:val="VerbatimChar"/>
        </w:rPr>
        <w:t xml:space="preserve">iss</w:t>
      </w:r>
      <w:r>
        <w:t xml:space="preserve">,</w:t>
      </w:r>
      <w:r>
        <w:t xml:space="preserve"> </w:t>
      </w:r>
      <w:r>
        <w:rPr>
          <w:rStyle w:val="VerbatimChar"/>
        </w:rPr>
        <w:t xml:space="preserve">sub</w:t>
      </w:r>
      <w:r>
        <w:t xml:space="preserve"> </w:t>
      </w:r>
      <w:r>
        <w:t xml:space="preserve">(stable user identifier at that issuer),</w:t>
      </w:r>
      <w:r>
        <w:t xml:space="preserve"> </w:t>
      </w:r>
      <w:r>
        <w:rPr>
          <w:rStyle w:val="VerbatimChar"/>
        </w:rPr>
        <w:t xml:space="preserve">aud</w:t>
      </w:r>
      <w:r>
        <w:t xml:space="preserve">,</w:t>
      </w:r>
      <w:r>
        <w:t xml:space="preserve"> </w:t>
      </w:r>
      <w:r>
        <w:rPr>
          <w:rStyle w:val="VerbatimChar"/>
        </w:rPr>
        <w:t xml:space="preserve">exp</w:t>
      </w:r>
      <w:r>
        <w:t xml:space="preserve">,</w:t>
      </w:r>
      <w:r>
        <w:t xml:space="preserve"> </w:t>
      </w:r>
      <w:r>
        <w:rPr>
          <w:rStyle w:val="VerbatimChar"/>
        </w:rPr>
        <w:t xml:space="preserve">iat</w:t>
      </w:r>
      <w:r>
        <w:t xml:space="preserve">,</w:t>
      </w:r>
      <w:r>
        <w:t xml:space="preserve"> </w:t>
      </w:r>
      <w:r>
        <w:rPr>
          <w:rStyle w:val="VerbatimChar"/>
        </w:rPr>
        <w:t xml:space="preserve">auth_time</w:t>
      </w:r>
      <w:r>
        <w:t xml:space="preserve">, and the</w:t>
      </w:r>
      <w:r>
        <w:t xml:space="preserve"> </w:t>
      </w:r>
      <w:r>
        <w:rPr>
          <w:rStyle w:val="VerbatimChar"/>
        </w:rPr>
        <w:t xml:space="preserve">nonce</w:t>
      </w:r>
      <w:r>
        <w:t xml:space="preserve"> </w:t>
      </w:r>
      <w:r>
        <w:t xml:space="preserve">the client sent, which prevents replay of an ID token into a different login.</w:t>
      </w:r>
    </w:p>
    <w:p>
      <w:pPr>
        <w:numPr>
          <w:ilvl w:val="0"/>
          <w:numId w:val="1284"/>
        </w:numPr>
        <w:pStyle w:val="Compact"/>
      </w:pPr>
      <w:r>
        <w:t xml:space="preserve">A</w:t>
      </w:r>
      <w:r>
        <w:t xml:space="preserve"> </w:t>
      </w:r>
      <w:r>
        <w:rPr>
          <w:bCs/>
          <w:b/>
        </w:rPr>
        <w:t xml:space="preserve">UserInfo endpoint</w:t>
      </w:r>
      <w:r>
        <w:t xml:space="preserve"> </w:t>
      </w:r>
      <w:r>
        <w:t xml:space="preserve">returns profile claims for the access token.</w:t>
      </w:r>
    </w:p>
    <w:p>
      <w:pPr>
        <w:numPr>
          <w:ilvl w:val="0"/>
          <w:numId w:val="1284"/>
        </w:numPr>
        <w:pStyle w:val="Compact"/>
      </w:pPr>
      <w:r>
        <w:rPr>
          <w:bCs/>
          <w:b/>
        </w:rPr>
        <w:t xml:space="preserve">Discovery</w:t>
      </w:r>
      <w:r>
        <w:t xml:space="preserve"> </w:t>
      </w:r>
      <w:r>
        <w:t xml:space="preserve">(</w:t>
      </w:r>
      <w:r>
        <w:rPr>
          <w:rStyle w:val="VerbatimChar"/>
        </w:rPr>
        <w:t xml:space="preserve">/.well-known/openid-configuration</w:t>
      </w:r>
      <w:r>
        <w:t xml:space="preserve">) publishes the issuer’s endpoints and its JWKS URL, so clients configure themselves from one URL.</w:t>
      </w:r>
    </w:p>
    <w:p>
      <w:pPr>
        <w:pStyle w:val="CalloutMistake"/>
      </w:pPr>
      <w:r>
        <w:rPr>
          <w:bCs/>
          <w:b/>
        </w:rPr>
        <w:t xml:space="preserve">COMMON MISTAKE</w:t>
      </w:r>
    </w:p>
    <w:p>
      <w:pPr>
        <w:pStyle w:val="CalloutMistake"/>
      </w:pPr>
      <w:r>
        <w:rPr>
          <w:bCs/>
          <w:b/>
        </w:rPr>
        <w:t xml:space="preserve">Sending the ID token to your API as an access token, or accepting any provider’s access token as proof of login.</w:t>
      </w:r>
      <w:r>
        <w:t xml:space="preserve"> </w:t>
      </w:r>
      <w:r>
        <w:t xml:space="preserve">The ID token’s audience is the</w:t>
      </w:r>
      <w:r>
        <w:t xml:space="preserve"> </w:t>
      </w:r>
      <w:r>
        <w:rPr>
          <w:iCs/>
          <w:i/>
        </w:rPr>
        <w:t xml:space="preserve">client</w:t>
      </w:r>
      <w:r>
        <w:t xml:space="preserve">; the access token’s audience is the</w:t>
      </w:r>
      <w:r>
        <w:t xml:space="preserve"> </w:t>
      </w:r>
      <w:r>
        <w:rPr>
          <w:iCs/>
          <w:i/>
        </w:rPr>
        <w:t xml:space="preserve">API</w:t>
      </w:r>
      <w:r>
        <w:t xml:space="preserve">. Validate each only for its intended audience. Identify users by the pair (</w:t>
      </w:r>
      <w:r>
        <w:rPr>
          <w:rStyle w:val="VerbatimChar"/>
        </w:rPr>
        <w:t xml:space="preserve">iss</w:t>
      </w:r>
      <w:r>
        <w:t xml:space="preserve">,</w:t>
      </w:r>
      <w:r>
        <w:t xml:space="preserve"> </w:t>
      </w:r>
      <w:r>
        <w:rPr>
          <w:rStyle w:val="VerbatimChar"/>
        </w:rPr>
        <w:t xml:space="preserve">sub</w:t>
      </w:r>
      <w:r>
        <w:t xml:space="preserve">), never by email address alone, which can change or be reassigned.</w:t>
      </w:r>
    </w:p>
    <w:bookmarkEnd w:id="933"/>
    <w:bookmarkEnd w:id="934"/>
    <w:bookmarkStart w:id="941" w:name="api-versioning-and-compatibility"/>
    <w:p>
      <w:pPr>
        <w:pStyle w:val="Heading2"/>
      </w:pPr>
      <w:r>
        <w:t xml:space="preserve">8.15 API versioning and compatibility</w:t>
      </w:r>
    </w:p>
    <w:bookmarkStart w:id="935" w:name="what-breaks-clients"/>
    <w:p>
      <w:pPr>
        <w:pStyle w:val="Heading3"/>
      </w:pPr>
      <w:r>
        <w:t xml:space="preserve">8.15.1 What breaks clients</w:t>
      </w:r>
    </w:p>
    <w:p>
      <w:pPr>
        <w:pStyle w:val="FirstParagraph"/>
      </w:pPr>
      <w:r>
        <w:t xml:space="preserve">An API is a promise to every client that ever integrated with it. You cannot redeploy those clients; you can only stop breaking them. Applying the rules of §8.9.3 to HTTP APIs:</w:t>
      </w:r>
    </w:p>
    <w:p>
      <w:pPr>
        <w:pStyle w:val="BodyText"/>
      </w:pPr>
      <w:r>
        <w:rPr>
          <w:bCs/>
          <w:b/>
        </w:rPr>
        <w:t xml:space="preserve">Table 8.20 — Breaking and non-breaking API changes.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Non-breaking (additive)</w:t>
            </w:r>
          </w:p>
        </w:tc>
        <w:tc>
          <w:tcPr/>
          <w:p>
            <w:pPr>
              <w:pStyle w:val="Compact"/>
              <w:jc w:val="left"/>
            </w:pPr>
            <w:r>
              <w:t xml:space="preserve">Breaking</w:t>
            </w:r>
          </w:p>
        </w:tc>
      </w:tr>
      <w:tr>
        <w:tc>
          <w:tcPr/>
          <w:p>
            <w:pPr>
              <w:pStyle w:val="Compact"/>
              <w:jc w:val="left"/>
            </w:pPr>
            <w:r>
              <w:t xml:space="preserve">Add a new endpoint</w:t>
            </w:r>
          </w:p>
        </w:tc>
        <w:tc>
          <w:tcPr/>
          <w:p>
            <w:pPr>
              <w:pStyle w:val="Compact"/>
              <w:jc w:val="left"/>
            </w:pPr>
            <w:r>
              <w:t xml:space="preserve">Remove or rename an endpoint or field</w:t>
            </w:r>
          </w:p>
        </w:tc>
      </w:tr>
      <w:tr>
        <w:tc>
          <w:tcPr/>
          <w:p>
            <w:pPr>
              <w:pStyle w:val="Compact"/>
              <w:jc w:val="left"/>
            </w:pPr>
            <w:r>
              <w:t xml:space="preserve">Add an optional request parameter</w:t>
            </w:r>
          </w:p>
        </w:tc>
        <w:tc>
          <w:tcPr/>
          <w:p>
            <w:pPr>
              <w:pStyle w:val="Compact"/>
              <w:jc w:val="left"/>
            </w:pPr>
            <w:r>
              <w:t xml:space="preserve">Add a required request parameter</w:t>
            </w:r>
          </w:p>
        </w:tc>
      </w:tr>
      <w:tr>
        <w:tc>
          <w:tcPr/>
          <w:p>
            <w:pPr>
              <w:pStyle w:val="Compact"/>
              <w:jc w:val="left"/>
            </w:pPr>
            <w:r>
              <w:t xml:space="preserve">Add a field to a response</w:t>
            </w:r>
          </w:p>
        </w:tc>
        <w:tc>
          <w:tcPr/>
          <w:p>
            <w:pPr>
              <w:pStyle w:val="Compact"/>
              <w:jc w:val="left"/>
            </w:pPr>
            <w:r>
              <w:t xml:space="preserve">Change a field’s type, format or meaning</w:t>
            </w:r>
          </w:p>
        </w:tc>
      </w:tr>
      <w:tr>
        <w:tc>
          <w:tcPr/>
          <w:p>
            <w:pPr>
              <w:pStyle w:val="Compact"/>
              <w:jc w:val="left"/>
            </w:pPr>
            <w:r>
              <w:t xml:space="preserve">Add a new enum value</w:t>
            </w:r>
            <w:r>
              <w:t xml:space="preserve"> </w:t>
            </w:r>
            <w:r>
              <w:rPr>
                <w:iCs/>
                <w:i/>
              </w:rPr>
              <w:t xml:space="preserve">if</w:t>
            </w:r>
            <w:r>
              <w:t xml:space="preserve"> </w:t>
            </w:r>
            <w:r>
              <w:t xml:space="preserve">clients were told to tolerate unknown values</w:t>
            </w:r>
          </w:p>
        </w:tc>
        <w:tc>
          <w:tcPr/>
          <w:p>
            <w:pPr>
              <w:pStyle w:val="Compact"/>
              <w:jc w:val="left"/>
            </w:pPr>
            <w:r>
              <w:t xml:space="preserve">Add an enum value clients switch on exhaustively</w:t>
            </w:r>
          </w:p>
        </w:tc>
      </w:tr>
      <w:tr>
        <w:tc>
          <w:tcPr/>
          <w:p>
            <w:pPr>
              <w:pStyle w:val="Compact"/>
              <w:jc w:val="left"/>
            </w:pPr>
            <w:r>
              <w:t xml:space="preserve">Relax a validation rule</w:t>
            </w:r>
          </w:p>
        </w:tc>
        <w:tc>
          <w:tcPr/>
          <w:p>
            <w:pPr>
              <w:pStyle w:val="Compact"/>
              <w:jc w:val="left"/>
            </w:pPr>
            <w:r>
              <w:t xml:space="preserve">Tighten validation; change defaults; change error codes</w:t>
            </w:r>
          </w:p>
        </w:tc>
      </w:tr>
      <w:tr>
        <w:tc>
          <w:tcPr/>
          <w:p>
            <w:pPr>
              <w:pStyle w:val="Compact"/>
              <w:jc w:val="left"/>
            </w:pPr>
            <w:r>
              <w:t xml:space="preserve">Add a new error</w:t>
            </w:r>
            <w:r>
              <w:t xml:space="preserve"> </w:t>
            </w:r>
            <w:r>
              <w:rPr>
                <w:rStyle w:val="VerbatimChar"/>
              </w:rPr>
              <w:t xml:space="preserve">type</w:t>
            </w:r>
            <w:r>
              <w:t xml:space="preserve"> </w:t>
            </w:r>
            <w:r>
              <w:t xml:space="preserve">within an existing status</w:t>
            </w:r>
          </w:p>
        </w:tc>
        <w:tc>
          <w:tcPr/>
          <w:p>
            <w:pPr>
              <w:pStyle w:val="Compact"/>
              <w:jc w:val="left"/>
            </w:pPr>
            <w:r>
              <w:t xml:space="preserve">Change pagination or authentication scheme</w:t>
            </w:r>
          </w:p>
        </w:tc>
      </w:tr>
    </w:tbl>
    <w:p>
      <w:pPr>
        <w:pStyle w:val="BodyText"/>
      </w:pPr>
      <w:r>
        <w:t xml:space="preserve">Clients share responsibility: a</w:t>
      </w:r>
      <w:r>
        <w:t xml:space="preserve"> </w:t>
      </w:r>
      <w:r>
        <w:rPr>
          <w:bCs/>
          <w:b/>
        </w:rPr>
        <w:t xml:space="preserve">tolerant reader</w:t>
      </w:r>
      <w:r>
        <w:t xml:space="preserve"> </w:t>
      </w:r>
      <w:r>
        <w:t xml:space="preserve">ignores unknown fields and unknown enum values instead of failing. Document that obligation explicitly.</w:t>
      </w:r>
    </w:p>
    <w:bookmarkEnd w:id="935"/>
    <w:bookmarkStart w:id="936" w:name="versioning-strategies"/>
    <w:p>
      <w:pPr>
        <w:pStyle w:val="Heading3"/>
      </w:pPr>
      <w:r>
        <w:t xml:space="preserve">8.15.2 Versioning strategies</w:t>
      </w:r>
    </w:p>
    <w:p>
      <w:pPr>
        <w:pStyle w:val="FirstParagraph"/>
      </w:pPr>
      <w:r>
        <w:rPr>
          <w:bCs/>
          <w:b/>
        </w:rPr>
        <w:t xml:space="preserve">Table 8.21 — API versioning strategies.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Strategy</w:t>
            </w:r>
          </w:p>
        </w:tc>
        <w:tc>
          <w:tcPr/>
          <w:p>
            <w:pPr>
              <w:pStyle w:val="Compact"/>
              <w:jc w:val="left"/>
            </w:pPr>
            <w:r>
              <w:t xml:space="preserve">Example</w:t>
            </w:r>
          </w:p>
        </w:tc>
        <w:tc>
          <w:tcPr/>
          <w:p>
            <w:pPr>
              <w:pStyle w:val="Compact"/>
              <w:jc w:val="left"/>
            </w:pPr>
            <w:r>
              <w:t xml:space="preserve">Advantages</w:t>
            </w:r>
          </w:p>
        </w:tc>
        <w:tc>
          <w:tcPr/>
          <w:p>
            <w:pPr>
              <w:pStyle w:val="Compact"/>
              <w:jc w:val="left"/>
            </w:pPr>
            <w:r>
              <w:t xml:space="preserve">Disadvantages</w:t>
            </w:r>
          </w:p>
        </w:tc>
      </w:tr>
      <w:tr>
        <w:tc>
          <w:tcPr/>
          <w:p>
            <w:pPr>
              <w:pStyle w:val="Compact"/>
              <w:jc w:val="left"/>
            </w:pPr>
            <w:r>
              <w:t xml:space="preserve">URI path</w:t>
            </w:r>
          </w:p>
        </w:tc>
        <w:tc>
          <w:tcPr/>
          <w:p>
            <w:pPr>
              <w:pStyle w:val="Compact"/>
              <w:jc w:val="left"/>
            </w:pPr>
            <w:r>
              <w:rPr>
                <w:rStyle w:val="VerbatimChar"/>
              </w:rPr>
              <w:t xml:space="preserve">GET /v2/orders/42</w:t>
            </w:r>
          </w:p>
        </w:tc>
        <w:tc>
          <w:tcPr/>
          <w:p>
            <w:pPr>
              <w:pStyle w:val="Compact"/>
              <w:jc w:val="left"/>
            </w:pPr>
            <w:r>
              <w:t xml:space="preserve">Obvious; easy to route, cache and test in a browser</w:t>
            </w:r>
          </w:p>
        </w:tc>
        <w:tc>
          <w:tcPr/>
          <w:p>
            <w:pPr>
              <w:pStyle w:val="Compact"/>
              <w:jc w:val="left"/>
            </w:pPr>
            <w:r>
              <w:t xml:space="preserve">A version is a whole parallel API; encourages big-bang versions</w:t>
            </w:r>
          </w:p>
        </w:tc>
      </w:tr>
      <w:tr>
        <w:tc>
          <w:tcPr/>
          <w:p>
            <w:pPr>
              <w:pStyle w:val="Compact"/>
              <w:jc w:val="left"/>
            </w:pPr>
            <w:r>
              <w:t xml:space="preserve">Custom header</w:t>
            </w:r>
          </w:p>
        </w:tc>
        <w:tc>
          <w:tcPr/>
          <w:p>
            <w:pPr>
              <w:pStyle w:val="Compact"/>
              <w:jc w:val="left"/>
            </w:pPr>
            <w:r>
              <w:rPr>
                <w:rStyle w:val="VerbatimChar"/>
              </w:rPr>
              <w:t xml:space="preserve">Api-Version: 2</w:t>
            </w:r>
          </w:p>
        </w:tc>
        <w:tc>
          <w:tcPr/>
          <w:p>
            <w:pPr>
              <w:pStyle w:val="Compact"/>
              <w:jc w:val="left"/>
            </w:pPr>
            <w:r>
              <w:t xml:space="preserve">Clean URIs</w:t>
            </w:r>
          </w:p>
        </w:tc>
        <w:tc>
          <w:tcPr/>
          <w:p>
            <w:pPr>
              <w:pStyle w:val="Compact"/>
              <w:jc w:val="left"/>
            </w:pPr>
            <w:r>
              <w:t xml:space="preserve">Invisible in logs and links; caches must</w:t>
            </w:r>
            <w:r>
              <w:t xml:space="preserve"> </w:t>
            </w:r>
            <w:r>
              <w:rPr>
                <w:rStyle w:val="VerbatimChar"/>
              </w:rPr>
              <w:t xml:space="preserve">Vary</w:t>
            </w:r>
            <w:r>
              <w:t xml:space="preserve"> </w:t>
            </w:r>
            <w:r>
              <w:t xml:space="preserve">on the header</w:t>
            </w:r>
          </w:p>
        </w:tc>
      </w:tr>
      <w:tr>
        <w:tc>
          <w:tcPr/>
          <w:p>
            <w:pPr>
              <w:pStyle w:val="Compact"/>
              <w:jc w:val="left"/>
            </w:pPr>
            <w:r>
              <w:t xml:space="preserve">Media type</w:t>
            </w:r>
          </w:p>
        </w:tc>
        <w:tc>
          <w:tcPr/>
          <w:p>
            <w:pPr>
              <w:pStyle w:val="Compact"/>
              <w:jc w:val="left"/>
            </w:pPr>
            <w:r>
              <w:rPr>
                <w:rStyle w:val="VerbatimChar"/>
              </w:rPr>
              <w:t xml:space="preserve">Accept: application/vnd.example.v2+json</w:t>
            </w:r>
          </w:p>
        </w:tc>
        <w:tc>
          <w:tcPr/>
          <w:p>
            <w:pPr>
              <w:pStyle w:val="Compact"/>
              <w:jc w:val="left"/>
            </w:pPr>
            <w:r>
              <w:t xml:space="preserve">Most aligned with HTTP content negotiation</w:t>
            </w:r>
          </w:p>
        </w:tc>
        <w:tc>
          <w:tcPr/>
          <w:p>
            <w:pPr>
              <w:pStyle w:val="Compact"/>
              <w:jc w:val="left"/>
            </w:pPr>
            <w:r>
              <w:t xml:space="preserve">Awkward tooling; rarely understood by clients</w:t>
            </w:r>
          </w:p>
        </w:tc>
      </w:tr>
      <w:tr>
        <w:tc>
          <w:tcPr/>
          <w:p>
            <w:pPr>
              <w:pStyle w:val="Compact"/>
              <w:jc w:val="left"/>
            </w:pPr>
            <w:r>
              <w:t xml:space="preserve">Date-based, pinned per client</w:t>
            </w:r>
          </w:p>
        </w:tc>
        <w:tc>
          <w:tcPr/>
          <w:p>
            <w:pPr>
              <w:pStyle w:val="Compact"/>
              <w:jc w:val="left"/>
            </w:pPr>
            <w:r>
              <w:rPr>
                <w:rStyle w:val="VerbatimChar"/>
              </w:rPr>
              <w:t xml:space="preserve">Stripe-Version: 2024-06-20</w:t>
            </w:r>
          </w:p>
        </w:tc>
        <w:tc>
          <w:tcPr/>
          <w:p>
            <w:pPr>
              <w:pStyle w:val="Compact"/>
              <w:jc w:val="left"/>
            </w:pPr>
            <w:r>
              <w:t xml:space="preserve">Small, frequent changes; each client upgrades on its own schedule</w:t>
            </w:r>
          </w:p>
        </w:tc>
        <w:tc>
          <w:tcPr/>
          <w:p>
            <w:pPr>
              <w:pStyle w:val="Compact"/>
              <w:jc w:val="left"/>
            </w:pPr>
            <w:r>
              <w:t xml:space="preserve">Server must maintain transformations for every live version</w:t>
            </w:r>
          </w:p>
        </w:tc>
      </w:tr>
    </w:tbl>
    <w:p>
      <w:pPr>
        <w:pStyle w:val="BodyText"/>
      </w:pPr>
      <w:r>
        <w:t xml:space="preserve">Two practices that work regardless of the mechanism: use</w:t>
      </w:r>
      <w:r>
        <w:t xml:space="preserve"> </w:t>
      </w:r>
      <w:r>
        <w:rPr>
          <w:bCs/>
          <w:b/>
        </w:rPr>
        <w:t xml:space="preserve">major versions only</w:t>
      </w:r>
      <w:r>
        <w:t xml:space="preserve"> </w:t>
      </w:r>
      <w:r>
        <w:t xml:space="preserve">for breaking changes (additive changes need no new version), and keep the number of live major versions small (one or two).</w:t>
      </w:r>
    </w:p>
    <w:p>
      <w:pPr>
        <w:pStyle w:val="CalloutIndustry"/>
      </w:pPr>
      <w:r>
        <w:rPr>
          <w:bCs/>
          <w:b/>
        </w:rPr>
        <w:t xml:space="preserve">INDUSTRY EXAMPLE</w:t>
      </w:r>
    </w:p>
    <w:p>
      <w:pPr>
        <w:pStyle w:val="CalloutIndustry"/>
      </w:pPr>
      <w:r>
        <w:rPr>
          <w:bCs/>
          <w:b/>
        </w:rPr>
        <w:t xml:space="preserve">Stripe’s date-based versions.</w:t>
      </w:r>
      <w:r>
        <w:t xml:space="preserve"> </w:t>
      </w:r>
      <w:r>
        <w:t xml:space="preserve">Stripe pins each account to the API version current when it first made a request, and lets requests override it with a</w:t>
      </w:r>
      <w:r>
        <w:t xml:space="preserve"> </w:t>
      </w:r>
      <w:r>
        <w:rPr>
          <w:rStyle w:val="VerbatimChar"/>
        </w:rPr>
        <w:t xml:space="preserve">Stripe-Version</w:t>
      </w:r>
      <w:r>
        <w:t xml:space="preserve"> </w:t>
      </w:r>
      <w:r>
        <w:t xml:space="preserve">header. Internally the latest code produces the latest response shape, and a chain of small</w:t>
      </w:r>
      <w:r>
        <w:t xml:space="preserve"> </w:t>
      </w:r>
      <w:r>
        <w:t xml:space="preserve">“</w:t>
      </w:r>
      <w:r>
        <w:t xml:space="preserve">version change</w:t>
      </w:r>
      <w:r>
        <w:t xml:space="preserve">”</w:t>
      </w:r>
      <w:r>
        <w:t xml:space="preserve"> </w:t>
      </w:r>
      <w:r>
        <w:t xml:space="preserve">modules transforms responses backwards, one step per version, to whatever version the client is pinned to. This lets Stripe ship breaking improvements frequently without forcing integrations to change [Leach 2017]. GitHub’s REST API similarly uses date-named versions selected by the</w:t>
      </w:r>
      <w:r>
        <w:t xml:space="preserve"> </w:t>
      </w:r>
      <w:r>
        <w:rPr>
          <w:rStyle w:val="VerbatimChar"/>
        </w:rPr>
        <w:t xml:space="preserve">X-GitHub-Api-Version</w:t>
      </w:r>
      <w:r>
        <w:t xml:space="preserve"> </w:t>
      </w:r>
      <w:r>
        <w:t xml:space="preserve">header [GitHub Docs: API versions].</w:t>
      </w:r>
      <w:r>
        <w:t xml:space="preserve"> </w:t>
      </w:r>
      <w:r>
        <w:rPr>
          <w:iCs/>
          <w:i/>
        </w:rPr>
        <w:t xml:space="preserve">Evidence: Primary</w:t>
      </w:r>
      <w:r>
        <w:t xml:space="preserve"> </w:t>
      </w:r>
      <w:r>
        <w:t xml:space="preserve">— [Leach 2017]; [GitHub Docs: API versions]</w:t>
      </w:r>
    </w:p>
    <w:bookmarkEnd w:id="936"/>
    <w:bookmarkStart w:id="940" w:name="deprecation"/>
    <w:p>
      <w:pPr>
        <w:pStyle w:val="Heading3"/>
      </w:pPr>
      <w:r>
        <w:t xml:space="preserve">8.15.3 Deprecation</w:t>
      </w:r>
    </w:p>
    <w:p>
      <w:pPr>
        <w:pStyle w:val="FirstParagraph"/>
      </w:pPr>
      <w:r>
        <w:t xml:space="preserve">Deprecation is a process, not an event:</w:t>
      </w:r>
    </w:p>
    <w:p>
      <w:pPr>
        <w:numPr>
          <w:ilvl w:val="0"/>
          <w:numId w:val="1285"/>
        </w:numPr>
        <w:pStyle w:val="Compact"/>
      </w:pPr>
      <w:r>
        <w:rPr>
          <w:bCs/>
          <w:b/>
        </w:rPr>
        <w:t xml:space="preserve">Announce</w:t>
      </w:r>
      <w:r>
        <w:t xml:space="preserve"> </w:t>
      </w:r>
      <w:r>
        <w:t xml:space="preserve">in the changelog and documentation, with a date.</w:t>
      </w:r>
    </w:p>
    <w:p>
      <w:pPr>
        <w:numPr>
          <w:ilvl w:val="0"/>
          <w:numId w:val="1285"/>
        </w:numPr>
        <w:pStyle w:val="Compact"/>
      </w:pPr>
      <w:r>
        <w:rPr>
          <w:bCs/>
          <w:b/>
        </w:rPr>
        <w:t xml:space="preserve">Signal in-band.</w:t>
      </w:r>
      <w:r>
        <w:t xml:space="preserve"> </w:t>
      </w:r>
      <w:r>
        <w:t xml:space="preserve">Send the</w:t>
      </w:r>
      <w:r>
        <w:t xml:space="preserve"> </w:t>
      </w:r>
      <w:r>
        <w:rPr>
          <w:rStyle w:val="VerbatimChar"/>
        </w:rPr>
        <w:t xml:space="preserve">Deprecation</w:t>
      </w:r>
      <w:r>
        <w:t xml:space="preserve"> </w:t>
      </w:r>
      <w:r>
        <w:t xml:space="preserve">response header [RFC 9745] on deprecated endpoints, a</w:t>
      </w:r>
      <w:r>
        <w:t xml:space="preserve"> </w:t>
      </w:r>
      <w:r>
        <w:rPr>
          <w:rStyle w:val="VerbatimChar"/>
        </w:rPr>
        <w:t xml:space="preserve">Link</w:t>
      </w:r>
      <w:r>
        <w:t xml:space="preserve"> </w:t>
      </w:r>
      <w:r>
        <w:t xml:space="preserve">with</w:t>
      </w:r>
      <w:r>
        <w:t xml:space="preserve"> </w:t>
      </w:r>
      <w:r>
        <w:rPr>
          <w:rStyle w:val="VerbatimChar"/>
        </w:rPr>
        <w:t xml:space="preserve">rel="deprecation"</w:t>
      </w:r>
      <w:r>
        <w:t xml:space="preserve"> </w:t>
      </w:r>
      <w:r>
        <w:t xml:space="preserve">pointing to migration docs, and the</w:t>
      </w:r>
      <w:r>
        <w:t xml:space="preserve"> </w:t>
      </w:r>
      <w:r>
        <w:rPr>
          <w:rStyle w:val="VerbatimChar"/>
        </w:rPr>
        <w:t xml:space="preserve">Sunset</w:t>
      </w:r>
      <w:r>
        <w:t xml:space="preserve"> </w:t>
      </w:r>
      <w:r>
        <w:t xml:space="preserve">header [RFC 8594] with the date the endpoint will stop working.</w:t>
      </w:r>
    </w:p>
    <w:p>
      <w:pPr>
        <w:numPr>
          <w:ilvl w:val="0"/>
          <w:numId w:val="1285"/>
        </w:numPr>
        <w:pStyle w:val="Compact"/>
      </w:pPr>
      <w:r>
        <w:rPr>
          <w:bCs/>
          <w:b/>
        </w:rPr>
        <w:t xml:space="preserve">Measure.</w:t>
      </w:r>
      <w:r>
        <w:t xml:space="preserve"> </w:t>
      </w:r>
      <w:r>
        <w:t xml:space="preserve">Log usage of deprecated endpoints per client ID; contact the remaining heavy users directly.</w:t>
      </w:r>
    </w:p>
    <w:p>
      <w:pPr>
        <w:numPr>
          <w:ilvl w:val="0"/>
          <w:numId w:val="1285"/>
        </w:numPr>
        <w:pStyle w:val="Compact"/>
      </w:pPr>
      <w:r>
        <w:rPr>
          <w:bCs/>
          <w:b/>
        </w:rPr>
        <w:t xml:space="preserve">Brown-outs.</w:t>
      </w:r>
      <w:r>
        <w:t xml:space="preserve"> </w:t>
      </w:r>
      <w:r>
        <w:t xml:space="preserve">Before the sunset date, fail a small, increasing fraction of calls for short scheduled windows, so forgotten integrations surface while there is time to fix them.</w:t>
      </w:r>
    </w:p>
    <w:p>
      <w:pPr>
        <w:numPr>
          <w:ilvl w:val="0"/>
          <w:numId w:val="1285"/>
        </w:numPr>
        <w:pStyle w:val="Compact"/>
      </w:pPr>
      <w:r>
        <w:rPr>
          <w:bCs/>
          <w:b/>
        </w:rPr>
        <w:t xml:space="preserve">Remove</w:t>
      </w:r>
      <w:r>
        <w:t xml:space="preserve">, returning</w:t>
      </w:r>
      <w:r>
        <w:t xml:space="preserve"> </w:t>
      </w:r>
      <w:r>
        <w:rPr>
          <w:rStyle w:val="VerbatimChar"/>
        </w:rPr>
        <w:t xml:space="preserve">410 Gone</w:t>
      </w:r>
      <w:r>
        <w:t xml:space="preserve"> </w:t>
      </w:r>
      <w:r>
        <w:t xml:space="preserve">with a problem-details body that links to the migration guide.</w:t>
      </w:r>
    </w:p>
    <w:p>
      <w:pPr>
        <w:pStyle w:val="FirstParagraph"/>
      </w:pPr>
      <w:r>
        <w:rPr>
          <w:bCs/>
          <w:b/>
        </w:rPr>
        <w:t xml:space="preserve">Figure 8.12 — Lifecycle of an API version.</w:t>
      </w:r>
    </w:p>
    <w:p>
      <w:pPr>
        <w:pStyle w:val="BodyText"/>
      </w:pPr>
      <w:r>
        <w:drawing>
          <wp:inline>
            <wp:extent cx="5334000" cy="5599593"/>
            <wp:effectExtent b="0" l="0" r="0" t="0"/>
            <wp:docPr descr="" title="" id="938" name="Picture"/>
            <a:graphic>
              <a:graphicData uri="http://schemas.openxmlformats.org/drawingml/2006/picture">
                <pic:pic>
                  <pic:nvPicPr>
                    <pic:cNvPr descr="/home/user/System-Design/build/.cache/diagrams/0f48702ca756.png" id="939" name="Picture"/>
                    <pic:cNvPicPr>
                      <a:picLocks noChangeArrowheads="1" noChangeAspect="1"/>
                    </pic:cNvPicPr>
                  </pic:nvPicPr>
                  <pic:blipFill>
                    <a:blip r:embed="rId937"/>
                    <a:stretch>
                      <a:fillRect/>
                    </a:stretch>
                  </pic:blipFill>
                  <pic:spPr bwMode="auto">
                    <a:xfrm>
                      <a:off x="0" y="0"/>
                      <a:ext cx="5334000" cy="5599593"/>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A version starts as a preview (no compatibility promise), becomes stable when its contract is frozen, and is deprecated once a successor is generally available; from then on responses carry</w:t>
      </w:r>
      <w:r>
        <w:t xml:space="preserve"> </w:t>
      </w:r>
      <w:r>
        <w:rPr>
          <w:rStyle w:val="VerbatimChar"/>
        </w:rPr>
        <w:t xml:space="preserve">Deprecation</w:t>
      </w:r>
      <w:r>
        <w:t xml:space="preserve"> </w:t>
      </w:r>
      <w:r>
        <w:t xml:space="preserve">and</w:t>
      </w:r>
      <w:r>
        <w:t xml:space="preserve"> </w:t>
      </w:r>
      <w:r>
        <w:rPr>
          <w:rStyle w:val="VerbatimChar"/>
        </w:rPr>
        <w:t xml:space="preserve">Sunset</w:t>
      </w:r>
      <w:r>
        <w:t xml:space="preserve"> </w:t>
      </w:r>
      <w:r>
        <w:t xml:space="preserve">headers. At the sunset date it is removed and answers</w:t>
      </w:r>
      <w:r>
        <w:t xml:space="preserve"> </w:t>
      </w:r>
      <w:r>
        <w:rPr>
          <w:rStyle w:val="VerbatimChar"/>
        </w:rPr>
        <w:t xml:space="preserve">410 Gone</w:t>
      </w:r>
      <w:r>
        <w:t xml:space="preserve">. The transitions are driven by policy and calendar, not by traffic. Failure point: removing a version that still carries significant traffic; usage metrics per client must gate the final transition.</w:t>
      </w:r>
    </w:p>
    <w:bookmarkEnd w:id="940"/>
    <w:bookmarkEnd w:id="941"/>
    <w:bookmarkStart w:id="942" w:name="api-documentation-openapi"/>
    <w:p>
      <w:pPr>
        <w:pStyle w:val="Heading2"/>
      </w:pPr>
      <w:r>
        <w:t xml:space="preserve">8.16 API documentation: OpenAPI</w:t>
      </w:r>
    </w:p>
    <w:p>
      <w:pPr>
        <w:pStyle w:val="CalloutDefinition"/>
      </w:pPr>
      <w:r>
        <w:rPr>
          <w:bCs/>
          <w:b/>
        </w:rPr>
        <w:t xml:space="preserve">DEFINITION</w:t>
      </w:r>
    </w:p>
    <w:p>
      <w:pPr>
        <w:pStyle w:val="CalloutDefinition"/>
      </w:pPr>
      <w:r>
        <w:rPr>
          <w:bCs/>
          <w:b/>
        </w:rPr>
        <w:t xml:space="preserve">Definition — OpenAPI Specification (OAS).</w:t>
      </w:r>
      <w:r>
        <w:t xml:space="preserve"> </w:t>
      </w:r>
      <w:r>
        <w:t xml:space="preserve">A vendor-neutral, machine-readable format (YAML or JSON) for describing HTTP APIs: paths, operations, parameters, request and response bodies (as JSON Schema), status codes and security schemes [OpenAPI Specification]. It grew out of Swagger and is maintained by the OpenAPI Initiative; version 3.1 aligned its schemas with JSON Schema, and version 3.2.0 was released in September 2025.</w:t>
      </w:r>
    </w:p>
    <w:p>
      <w:pPr>
        <w:pStyle w:val="BodyText"/>
      </w:pPr>
      <w:r>
        <w:t xml:space="preserve">An OpenAPI document is the API’s contract in a form that tools can use: generating interactive documentation, client SDKs and server stubs, mock servers, request validation at gateways, and</w:t>
      </w:r>
      <w:r>
        <w:t xml:space="preserve"> </w:t>
      </w:r>
      <w:r>
        <w:rPr>
          <w:bCs/>
          <w:b/>
        </w:rPr>
        <w:t xml:space="preserve">contract tests</w:t>
      </w:r>
      <w:r>
        <w:t xml:space="preserve"> </w:t>
      </w:r>
      <w:r>
        <w:t xml:space="preserve">and</w:t>
      </w:r>
      <w:r>
        <w:t xml:space="preserve"> </w:t>
      </w:r>
      <w:r>
        <w:rPr>
          <w:bCs/>
          <w:b/>
        </w:rPr>
        <w:t xml:space="preserve">breaking-change detection</w:t>
      </w:r>
      <w:r>
        <w:t xml:space="preserve"> </w:t>
      </w:r>
      <w:r>
        <w:t xml:space="preserve">in CI (diffing the spec against the previous release flags the changes in Table 8.20 automatically).</w:t>
      </w:r>
    </w:p>
    <w:p>
      <w:pPr>
        <w:pStyle w:val="SourceCode"/>
      </w:pPr>
      <w:r>
        <w:rPr>
          <w:rStyle w:val="FunctionTok"/>
        </w:rPr>
        <w:t xml:space="preserve">openapi</w:t>
      </w:r>
      <w:r>
        <w:rPr>
          <w:rStyle w:val="KeywordTok"/>
        </w:rPr>
        <w:t xml:space="preserve">:</w:t>
      </w:r>
      <w:r>
        <w:rPr>
          <w:rStyle w:val="AttributeTok"/>
        </w:rPr>
        <w:t xml:space="preserve"> </w:t>
      </w:r>
      <w:r>
        <w:rPr>
          <w:rStyle w:val="FloatTok"/>
        </w:rPr>
        <w:t xml:space="preserve">3.1.0</w:t>
      </w:r>
      <w:r>
        <w:br/>
      </w:r>
      <w:r>
        <w:rPr>
          <w:rStyle w:val="FunctionTok"/>
        </w:rPr>
        <w:t xml:space="preserve">info</w:t>
      </w:r>
      <w:r>
        <w:rPr>
          <w:rStyle w:val="KeywordTok"/>
        </w:rPr>
        <w:t xml:space="preserve">:</w:t>
      </w:r>
      <w:r>
        <w:br/>
      </w:r>
      <w:r>
        <w:rPr>
          <w:rStyle w:val="AttributeTok"/>
        </w:rPr>
        <w:t xml:space="preserve">  </w:t>
      </w:r>
      <w:r>
        <w:rPr>
          <w:rStyle w:val="FunctionTok"/>
        </w:rPr>
        <w:t xml:space="preserve">title</w:t>
      </w:r>
      <w:r>
        <w:rPr>
          <w:rStyle w:val="KeywordTok"/>
        </w:rPr>
        <w:t xml:space="preserve">:</w:t>
      </w:r>
      <w:r>
        <w:rPr>
          <w:rStyle w:val="AttributeTok"/>
        </w:rPr>
        <w:t xml:space="preserve"> Articles API</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FloatTok"/>
        </w:rPr>
        <w:t xml:space="preserve">1.0.0</w:t>
      </w:r>
      <w:r>
        <w:br/>
      </w:r>
      <w:r>
        <w:rPr>
          <w:rStyle w:val="FunctionTok"/>
        </w:rPr>
        <w:t xml:space="preserve">paths</w:t>
      </w:r>
      <w:r>
        <w:rPr>
          <w:rStyle w:val="KeywordTok"/>
        </w:rPr>
        <w:t xml:space="preserve">:</w:t>
      </w:r>
      <w:r>
        <w:br/>
      </w:r>
      <w:r>
        <w:rPr>
          <w:rStyle w:val="AttributeTok"/>
        </w:rPr>
        <w:t xml:space="preserve">  </w:t>
      </w:r>
      <w:r>
        <w:rPr>
          <w:rStyle w:val="FunctionTok"/>
        </w:rPr>
        <w:t xml:space="preserve">/v1/articles</w:t>
      </w:r>
      <w:r>
        <w:rPr>
          <w:rStyle w:val="KeywordTok"/>
        </w:rPr>
        <w:t xml:space="preserve">:</w:t>
      </w:r>
      <w:r>
        <w:br/>
      </w:r>
      <w:r>
        <w:rPr>
          <w:rStyle w:val="AttributeTok"/>
        </w:rPr>
        <w:t xml:space="preserve">    </w:t>
      </w:r>
      <w:r>
        <w:rPr>
          <w:rStyle w:val="FunctionTok"/>
        </w:rPr>
        <w:t xml:space="preserve">get</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List articles, newest first</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limit</w:t>
      </w:r>
      <w:r>
        <w:br/>
      </w:r>
      <w:r>
        <w:rPr>
          <w:rStyle w:val="AttributeTok"/>
        </w:rPr>
        <w:t xml:space="preserve">          </w:t>
      </w:r>
      <w:r>
        <w:rPr>
          <w:rStyle w:val="FunctionTok"/>
        </w:rPr>
        <w:t xml:space="preserve">in</w:t>
      </w:r>
      <w:r>
        <w:rPr>
          <w:rStyle w:val="KeywordTok"/>
        </w:rPr>
        <w:t xml:space="preserve">:</w:t>
      </w:r>
      <w:r>
        <w:rPr>
          <w:rStyle w:val="AttributeTok"/>
        </w:rPr>
        <w:t xml:space="preserve"> query</w:t>
      </w:r>
      <w:r>
        <w:br/>
      </w:r>
      <w:r>
        <w:rPr>
          <w:rStyle w:val="AttributeTok"/>
        </w:rPr>
        <w:t xml:space="preserve">          </w:t>
      </w:r>
      <w:r>
        <w:rPr>
          <w:rStyle w:val="FunctionTok"/>
        </w:rPr>
        <w:t xml:space="preserve">schema</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integer</w:t>
      </w:r>
      <w:r>
        <w:rPr>
          <w:rStyle w:val="KeywordTok"/>
        </w:rPr>
        <w:t xml:space="preserve">,</w:t>
      </w:r>
      <w:r>
        <w:rPr>
          <w:rStyle w:val="AttributeTok"/>
        </w:rPr>
        <w:t xml:space="preserve"> </w:t>
      </w:r>
      <w:r>
        <w:rPr>
          <w:rStyle w:val="FunctionTok"/>
        </w:rPr>
        <w:t xml:space="preserve">minimum</w:t>
      </w:r>
      <w:r>
        <w:rPr>
          <w:rStyle w:val="KeywordTok"/>
        </w:rPr>
        <w:t xml:space="preserve">:</w:t>
      </w:r>
      <w:r>
        <w:rPr>
          <w:rStyle w:val="AttributeTok"/>
        </w:rPr>
        <w:t xml:space="preserve"> </w:t>
      </w:r>
      <w:r>
        <w:rPr>
          <w:rStyle w:val="DecValTok"/>
        </w:rPr>
        <w:t xml:space="preserve">1</w:t>
      </w:r>
      <w:r>
        <w:rPr>
          <w:rStyle w:val="KeywordTok"/>
        </w:rPr>
        <w:t xml:space="preserve">,</w:t>
      </w:r>
      <w:r>
        <w:rPr>
          <w:rStyle w:val="AttributeTok"/>
        </w:rPr>
        <w:t xml:space="preserve"> </w:t>
      </w:r>
      <w:r>
        <w:rPr>
          <w:rStyle w:val="FunctionTok"/>
        </w:rPr>
        <w:t xml:space="preserve">maximum</w:t>
      </w:r>
      <w:r>
        <w:rPr>
          <w:rStyle w:val="KeywordTok"/>
        </w:rPr>
        <w:t xml:space="preserve">:</w:t>
      </w:r>
      <w:r>
        <w:rPr>
          <w:rStyle w:val="AttributeTok"/>
        </w:rPr>
        <w:t xml:space="preserve"> </w:t>
      </w:r>
      <w:r>
        <w:rPr>
          <w:rStyle w:val="DecValTok"/>
        </w:rPr>
        <w:t xml:space="preserve">100</w:t>
      </w:r>
      <w:r>
        <w:rPr>
          <w:rStyle w:val="KeywordTok"/>
        </w:rPr>
        <w:t xml:space="preserve">,</w:t>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DecValTok"/>
        </w:rPr>
        <w:t xml:space="preserve">20</w:t>
      </w:r>
      <w:r>
        <w:rPr>
          <w:rStyle w:val="AttributeTok"/>
        </w:rPr>
        <w:t xml:space="preserve">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cursor</w:t>
      </w:r>
      <w:r>
        <w:br/>
      </w:r>
      <w:r>
        <w:rPr>
          <w:rStyle w:val="AttributeTok"/>
        </w:rPr>
        <w:t xml:space="preserve">          </w:t>
      </w:r>
      <w:r>
        <w:rPr>
          <w:rStyle w:val="FunctionTok"/>
        </w:rPr>
        <w:t xml:space="preserve">in</w:t>
      </w:r>
      <w:r>
        <w:rPr>
          <w:rStyle w:val="KeywordTok"/>
        </w:rPr>
        <w:t xml:space="preserve">:</w:t>
      </w:r>
      <w:r>
        <w:rPr>
          <w:rStyle w:val="AttributeTok"/>
        </w:rPr>
        <w:t xml:space="preserve"> query</w:t>
      </w:r>
      <w:r>
        <w:br/>
      </w:r>
      <w:r>
        <w:rPr>
          <w:rStyle w:val="AttributeTok"/>
        </w:rPr>
        <w:t xml:space="preserve">          </w:t>
      </w:r>
      <w:r>
        <w:rPr>
          <w:rStyle w:val="FunctionTok"/>
        </w:rPr>
        <w:t xml:space="preserve">description</w:t>
      </w:r>
      <w:r>
        <w:rPr>
          <w:rStyle w:val="KeywordTok"/>
        </w:rPr>
        <w:t xml:space="preserve">:</w:t>
      </w:r>
      <w:r>
        <w:rPr>
          <w:rStyle w:val="AttributeTok"/>
        </w:rPr>
        <w:t xml:space="preserve"> Opaque cursor from a previous response's next_cursor.</w:t>
      </w:r>
      <w:r>
        <w:br/>
      </w:r>
      <w:r>
        <w:rPr>
          <w:rStyle w:val="AttributeTok"/>
        </w:rPr>
        <w:t xml:space="preserve">          </w:t>
      </w:r>
      <w:r>
        <w:rPr>
          <w:rStyle w:val="FunctionTok"/>
        </w:rPr>
        <w:t xml:space="preserve">schema</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 </w:t>
      </w:r>
      <w:r>
        <w:rPr>
          <w:rStyle w:val="KeywordTok"/>
        </w:rPr>
        <w:t xml:space="preserve">}</w:t>
      </w:r>
      <w:r>
        <w:br/>
      </w:r>
      <w:r>
        <w:rPr>
          <w:rStyle w:val="AttributeTok"/>
        </w:rPr>
        <w:t xml:space="preserve">      </w:t>
      </w:r>
      <w:r>
        <w:rPr>
          <w:rStyle w:val="FunctionTok"/>
        </w:rPr>
        <w:t xml:space="preserve">security</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bearerAuth</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"200"</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A page of articles.</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KeywordTok"/>
        </w:rPr>
        <w:t xml:space="preserve">[</w:t>
      </w:r>
      <w:r>
        <w:rPr>
          <w:rStyle w:val="AttributeTok"/>
        </w:rPr>
        <w:t xml:space="preserve">data</w:t>
      </w:r>
      <w:r>
        <w:rPr>
          <w:rStyle w:val="KeywordTok"/>
        </w:rPr>
        <w:t xml:space="preserve">,</w:t>
      </w:r>
      <w:r>
        <w:rPr>
          <w:rStyle w:val="AttributeTok"/>
        </w:rPr>
        <w:t xml:space="preserve"> next_cursor</w:t>
      </w:r>
      <w:r>
        <w:rPr>
          <w:rStyle w:val="KeywordTok"/>
        </w:rPr>
        <w:t xml:space="preserve">]</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data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array</w:t>
      </w:r>
      <w:r>
        <w:br/>
      </w:r>
      <w:r>
        <w:rPr>
          <w:rStyle w:val="AttributeTok"/>
        </w:rPr>
        <w:t xml:space="preserve">                    </w:t>
      </w:r>
      <w:r>
        <w:rPr>
          <w:rStyle w:val="FunctionTok"/>
        </w:rPr>
        <w:t xml:space="preserve">items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"#/components/schemas/Article"</w:t>
      </w:r>
      <w:r>
        <w:rPr>
          <w:rStyle w:val="AttributeTok"/>
        </w:rPr>
        <w:t xml:space="preserve"> </w:t>
      </w:r>
      <w:r>
        <w:rPr>
          <w:rStyle w:val="KeywordTok"/>
        </w:rPr>
        <w:t xml:space="preserve">}</w:t>
      </w:r>
      <w:r>
        <w:br/>
      </w:r>
      <w:r>
        <w:rPr>
          <w:rStyle w:val="AttributeTok"/>
        </w:rPr>
        <w:t xml:space="preserve">                  </w:t>
      </w:r>
      <w:r>
        <w:rPr>
          <w:rStyle w:val="FunctionTok"/>
        </w:rPr>
        <w:t xml:space="preserve">next_cursor</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w:t>
      </w:r>
      <w:r>
        <w:rPr>
          <w:rStyle w:val="KeywordTok"/>
        </w:rPr>
        <w:t xml:space="preserve">[</w:t>
      </w:r>
      <w:r>
        <w:rPr>
          <w:rStyle w:val="AttributeTok"/>
        </w:rPr>
        <w:t xml:space="preserve">string</w:t>
      </w:r>
      <w:r>
        <w:rPr>
          <w:rStyle w:val="KeywordTok"/>
        </w:rPr>
        <w:t xml:space="preserve">,</w:t>
      </w:r>
      <w:r>
        <w:rPr>
          <w:rStyle w:val="AttributeTok"/>
        </w:rPr>
        <w:t xml:space="preserve"> </w:t>
      </w:r>
      <w:r>
        <w:rPr>
          <w:rStyle w:val="StringTok"/>
        </w:rPr>
        <w:t xml:space="preserve">"null"</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"400"</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Invalid cursor.</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application/problem+json</w:t>
      </w:r>
      <w:r>
        <w:rPr>
          <w:rStyle w:val="KeywordTok"/>
        </w:rPr>
        <w:t xml:space="preserve">:</w:t>
      </w:r>
      <w:r>
        <w:br/>
      </w:r>
      <w:r>
        <w:rPr>
          <w:rStyle w:val="AttributeTok"/>
        </w:rPr>
        <w:t xml:space="preserve">              </w:t>
      </w:r>
      <w:r>
        <w:rPr>
          <w:rStyle w:val="FunctionTok"/>
        </w:rPr>
        <w:t xml:space="preserve">schema</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"#/components/schemas/Problem"</w:t>
      </w:r>
      <w:r>
        <w:rPr>
          <w:rStyle w:val="AttributeTok"/>
        </w:rPr>
        <w:t xml:space="preserve"> </w:t>
      </w:r>
      <w:r>
        <w:rPr>
          <w:rStyle w:val="KeywordTok"/>
        </w:rPr>
        <w:t xml:space="preserve">}</w:t>
      </w:r>
      <w:r>
        <w:br/>
      </w:r>
      <w:r>
        <w:rPr>
          <w:rStyle w:val="FunctionTok"/>
        </w:rPr>
        <w:t xml:space="preserve">components</w:t>
      </w:r>
      <w:r>
        <w:rPr>
          <w:rStyle w:val="KeywordTok"/>
        </w:rPr>
        <w:t xml:space="preserve">:</w:t>
      </w:r>
      <w:r>
        <w:br/>
      </w:r>
      <w:r>
        <w:rPr>
          <w:rStyle w:val="AttributeTok"/>
        </w:rPr>
        <w:t xml:space="preserve">  </w:t>
      </w:r>
      <w:r>
        <w:rPr>
          <w:rStyle w:val="FunctionTok"/>
        </w:rPr>
        <w:t xml:space="preserve">securitySchemes</w:t>
      </w:r>
      <w:r>
        <w:rPr>
          <w:rStyle w:val="KeywordTok"/>
        </w:rPr>
        <w:t xml:space="preserve">:</w:t>
      </w:r>
      <w:r>
        <w:br/>
      </w:r>
      <w:r>
        <w:rPr>
          <w:rStyle w:val="AttributeTok"/>
        </w:rPr>
        <w:t xml:space="preserve">    </w:t>
      </w:r>
      <w:r>
        <w:rPr>
          <w:rStyle w:val="FunctionTok"/>
        </w:rPr>
        <w:t xml:space="preserve">bearerAuth</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http</w:t>
      </w:r>
      <w:r>
        <w:rPr>
          <w:rStyle w:val="KeywordTok"/>
        </w:rPr>
        <w:t xml:space="preserve">,</w:t>
      </w:r>
      <w:r>
        <w:rPr>
          <w:rStyle w:val="AttributeTok"/>
        </w:rPr>
        <w:t xml:space="preserve"> </w:t>
      </w:r>
      <w:r>
        <w:rPr>
          <w:rStyle w:val="FunctionTok"/>
        </w:rPr>
        <w:t xml:space="preserve">scheme</w:t>
      </w:r>
      <w:r>
        <w:rPr>
          <w:rStyle w:val="KeywordTok"/>
        </w:rPr>
        <w:t xml:space="preserve">:</w:t>
      </w:r>
      <w:r>
        <w:rPr>
          <w:rStyle w:val="AttributeTok"/>
        </w:rPr>
        <w:t xml:space="preserve"> bearer</w:t>
      </w:r>
      <w:r>
        <w:rPr>
          <w:rStyle w:val="KeywordTok"/>
        </w:rPr>
        <w:t xml:space="preserve">,</w:t>
      </w:r>
      <w:r>
        <w:rPr>
          <w:rStyle w:val="AttributeTok"/>
        </w:rPr>
        <w:t xml:space="preserve"> </w:t>
      </w:r>
      <w:r>
        <w:rPr>
          <w:rStyle w:val="FunctionTok"/>
        </w:rPr>
        <w:t xml:space="preserve">bearerFormat</w:t>
      </w:r>
      <w:r>
        <w:rPr>
          <w:rStyle w:val="KeywordTok"/>
        </w:rPr>
        <w:t xml:space="preserve">:</w:t>
      </w:r>
      <w:r>
        <w:rPr>
          <w:rStyle w:val="AttributeTok"/>
        </w:rPr>
        <w:t xml:space="preserve"> JWT </w:t>
      </w:r>
      <w:r>
        <w:rPr>
          <w:rStyle w:val="KeywordTok"/>
        </w:rPr>
        <w:t xml:space="preserve">}</w:t>
      </w:r>
      <w:r>
        <w:br/>
      </w:r>
      <w:r>
        <w:rPr>
          <w:rStyle w:val="AttributeTok"/>
        </w:rPr>
        <w:t xml:space="preserve">  </w:t>
      </w:r>
      <w:r>
        <w:rPr>
          <w:rStyle w:val="FunctionTok"/>
        </w:rPr>
        <w:t xml:space="preserve">schemas</w:t>
      </w:r>
      <w:r>
        <w:rPr>
          <w:rStyle w:val="KeywordTok"/>
        </w:rPr>
        <w:t xml:space="preserve">:</w:t>
      </w:r>
      <w:r>
        <w:br/>
      </w:r>
      <w:r>
        <w:rPr>
          <w:rStyle w:val="AttributeTok"/>
        </w:rPr>
        <w:t xml:space="preserve">    </w:t>
      </w:r>
      <w:r>
        <w:rPr>
          <w:rStyle w:val="FunctionTok"/>
        </w:rPr>
        <w:t xml:space="preserve">Article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KeywordTok"/>
        </w:rPr>
        <w:t xml:space="preserve">[</w:t>
      </w:r>
      <w:r>
        <w:rPr>
          <w:rStyle w:val="AttributeTok"/>
        </w:rPr>
        <w:t xml:space="preserve">id</w:t>
      </w:r>
      <w:r>
        <w:rPr>
          <w:rStyle w:val="KeywordTok"/>
        </w:rPr>
        <w:t xml:space="preserve">,</w:t>
      </w:r>
      <w:r>
        <w:rPr>
          <w:rStyle w:val="AttributeTok"/>
        </w:rPr>
        <w:t xml:space="preserve"> title</w:t>
      </w:r>
      <w:r>
        <w:rPr>
          <w:rStyle w:val="KeywordTok"/>
        </w:rPr>
        <w:t xml:space="preserve">,</w:t>
      </w:r>
      <w:r>
        <w:rPr>
          <w:rStyle w:val="AttributeTok"/>
        </w:rPr>
        <w:t xml:space="preserve"> status</w:t>
      </w:r>
      <w:r>
        <w:rPr>
          <w:rStyle w:val="KeywordTok"/>
        </w:rPr>
        <w:t xml:space="preserve">,</w:t>
      </w:r>
      <w:r>
        <w:rPr>
          <w:rStyle w:val="AttributeTok"/>
        </w:rPr>
        <w:t xml:space="preserve"> created_at</w:t>
      </w:r>
      <w:r>
        <w:rPr>
          <w:rStyle w:val="KeywordTok"/>
        </w:rPr>
        <w:t xml:space="preserve">]</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id</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integer </w:t>
      </w:r>
      <w:r>
        <w:rPr>
          <w:rStyle w:val="KeywordTok"/>
        </w:rPr>
        <w:t xml:space="preserve">}</w:t>
      </w:r>
      <w:r>
        <w:br/>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 </w:t>
      </w:r>
      <w:r>
        <w:rPr>
          <w:rStyle w:val="KeywordTok"/>
        </w:rPr>
        <w:t xml:space="preserve">}</w:t>
      </w:r>
      <w:r>
        <w:br/>
      </w:r>
      <w:r>
        <w:rPr>
          <w:rStyle w:val="AttributeTok"/>
        </w:rPr>
        <w:t xml:space="preserve">        </w:t>
      </w:r>
      <w:r>
        <w:rPr>
          <w:rStyle w:val="FunctionTok"/>
        </w:rPr>
        <w:t xml:space="preserve">status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w:t>
      </w:r>
      <w:r>
        <w:rPr>
          <w:rStyle w:val="KeywordTok"/>
        </w:rPr>
        <w:t xml:space="preserve">,</w:t>
      </w:r>
      <w:r>
        <w:rPr>
          <w:rStyle w:val="AttributeTok"/>
        </w:rPr>
        <w:t xml:space="preserve"> </w:t>
      </w:r>
      <w:r>
        <w:rPr>
          <w:rStyle w:val="FunctionTok"/>
        </w:rPr>
        <w:t xml:space="preserve">enum</w:t>
      </w:r>
      <w:r>
        <w:rPr>
          <w:rStyle w:val="KeywordTok"/>
        </w:rPr>
        <w:t xml:space="preserve">:</w:t>
      </w:r>
      <w:r>
        <w:rPr>
          <w:rStyle w:val="AttributeTok"/>
        </w:rPr>
        <w:t xml:space="preserve"> </w:t>
      </w:r>
      <w:r>
        <w:rPr>
          <w:rStyle w:val="KeywordTok"/>
        </w:rPr>
        <w:t xml:space="preserve">[</w:t>
      </w:r>
      <w:r>
        <w:rPr>
          <w:rStyle w:val="AttributeTok"/>
        </w:rPr>
        <w:t xml:space="preserve">draft</w:t>
      </w:r>
      <w:r>
        <w:rPr>
          <w:rStyle w:val="KeywordTok"/>
        </w:rPr>
        <w:t xml:space="preserve">,</w:t>
      </w:r>
      <w:r>
        <w:rPr>
          <w:rStyle w:val="AttributeTok"/>
        </w:rPr>
        <w:t xml:space="preserve"> published</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created_at</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w:t>
      </w:r>
      <w:r>
        <w:rPr>
          <w:rStyle w:val="KeywordTok"/>
        </w:rPr>
        <w:t xml:space="preserve">,</w:t>
      </w:r>
      <w:r>
        <w:rPr>
          <w:rStyle w:val="AttributeTok"/>
        </w:rPr>
        <w:t xml:space="preserve"> </w:t>
      </w:r>
      <w:r>
        <w:rPr>
          <w:rStyle w:val="FunctionTok"/>
        </w:rPr>
        <w:t xml:space="preserve">format</w:t>
      </w:r>
      <w:r>
        <w:rPr>
          <w:rStyle w:val="KeywordTok"/>
        </w:rPr>
        <w:t xml:space="preserve">:</w:t>
      </w:r>
      <w:r>
        <w:rPr>
          <w:rStyle w:val="AttributeTok"/>
        </w:rPr>
        <w:t xml:space="preserve"> date-time </w:t>
      </w:r>
      <w:r>
        <w:rPr>
          <w:rStyle w:val="KeywordTok"/>
        </w:rPr>
        <w:t xml:space="preserve">}</w:t>
      </w:r>
      <w:r>
        <w:br/>
      </w:r>
      <w:r>
        <w:rPr>
          <w:rStyle w:val="AttributeTok"/>
        </w:rPr>
        <w:t xml:space="preserve">    </w:t>
      </w:r>
      <w:r>
        <w:rPr>
          <w:rStyle w:val="FunctionTok"/>
        </w:rPr>
        <w:t xml:space="preserve">Problem</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w:t>
      </w:r>
      <w:r>
        <w:rPr>
          <w:rStyle w:val="KeywordTok"/>
        </w:rPr>
        <w:t xml:space="preserve">,</w:t>
      </w:r>
      <w:r>
        <w:rPr>
          <w:rStyle w:val="AttributeTok"/>
        </w:rPr>
        <w:t xml:space="preserve"> </w:t>
      </w:r>
      <w:r>
        <w:rPr>
          <w:rStyle w:val="FunctionTok"/>
        </w:rPr>
        <w:t xml:space="preserve">format</w:t>
      </w:r>
      <w:r>
        <w:rPr>
          <w:rStyle w:val="KeywordTok"/>
        </w:rPr>
        <w:t xml:space="preserve">:</w:t>
      </w:r>
      <w:r>
        <w:rPr>
          <w:rStyle w:val="AttributeTok"/>
        </w:rPr>
        <w:t xml:space="preserve"> uri </w:t>
      </w:r>
      <w:r>
        <w:rPr>
          <w:rStyle w:val="KeywordTok"/>
        </w:rPr>
        <w:t xml:space="preserve">}</w:t>
      </w:r>
      <w:r>
        <w:br/>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 </w:t>
      </w:r>
      <w:r>
        <w:rPr>
          <w:rStyle w:val="KeywordTok"/>
        </w:rPr>
        <w:t xml:space="preserve">}</w:t>
      </w:r>
      <w:r>
        <w:br/>
      </w:r>
      <w:r>
        <w:rPr>
          <w:rStyle w:val="AttributeTok"/>
        </w:rPr>
        <w:t xml:space="preserve">        </w:t>
      </w:r>
      <w:r>
        <w:rPr>
          <w:rStyle w:val="FunctionTok"/>
        </w:rPr>
        <w:t xml:space="preserve">status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integer </w:t>
      </w:r>
      <w:r>
        <w:rPr>
          <w:rStyle w:val="KeywordTok"/>
        </w:rPr>
        <w:t xml:space="preserve">}</w:t>
      </w:r>
      <w:r>
        <w:br/>
      </w:r>
      <w:r>
        <w:rPr>
          <w:rStyle w:val="AttributeTok"/>
        </w:rPr>
        <w:t xml:space="preserve">        </w:t>
      </w:r>
      <w:r>
        <w:rPr>
          <w:rStyle w:val="FunctionTok"/>
        </w:rPr>
        <w:t xml:space="preserve">detail</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 </w:t>
      </w:r>
      <w:r>
        <w:rPr>
          <w:rStyle w:val="KeywordTok"/>
        </w:rPr>
        <w:t xml:space="preserve">}</w:t>
      </w:r>
      <w:r>
        <w:br/>
      </w:r>
      <w:r>
        <w:rPr>
          <w:rStyle w:val="AttributeTok"/>
        </w:rPr>
        <w:t xml:space="preserve">        </w:t>
      </w:r>
      <w:r>
        <w:rPr>
          <w:rStyle w:val="FunctionTok"/>
        </w:rPr>
        <w:t xml:space="preserve">instance</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 </w:t>
      </w:r>
      <w:r>
        <w:rPr>
          <w:rStyle w:val="KeywordTok"/>
        </w:rPr>
        <w:t xml:space="preserve">}</w:t>
      </w:r>
    </w:p>
    <w:p>
      <w:pPr>
        <w:pStyle w:val="FirstParagraph"/>
      </w:pPr>
      <w:r>
        <w:t xml:space="preserve">What to notice:</w:t>
      </w:r>
      <w:r>
        <w:t xml:space="preserve"> </w:t>
      </w:r>
      <w:r>
        <w:rPr>
          <w:rStyle w:val="VerbatimChar"/>
        </w:rPr>
        <w:t xml:space="preserve">next_cursor</w:t>
      </w:r>
      <w:r>
        <w:t xml:space="preserve"> </w:t>
      </w:r>
      <w:r>
        <w:t xml:space="preserve">is typed</w:t>
      </w:r>
      <w:r>
        <w:t xml:space="preserve"> </w:t>
      </w:r>
      <w:r>
        <w:rPr>
          <w:rStyle w:val="VerbatimChar"/>
        </w:rPr>
        <w:t xml:space="preserve">[string, "null"]</w:t>
      </w:r>
      <w:r>
        <w:t xml:space="preserve">, OpenAPI 3.1’s JSON Schema way of saying</w:t>
      </w:r>
      <w:r>
        <w:t xml:space="preserve"> </w:t>
      </w:r>
      <w:r>
        <w:t xml:space="preserve">“</w:t>
      </w:r>
      <w:r>
        <w:t xml:space="preserve">nullable</w:t>
      </w:r>
      <w:r>
        <w:t xml:space="preserve">”</w:t>
      </w:r>
      <w:r>
        <w:t xml:space="preserve">; errors are documented with the</w:t>
      </w:r>
      <w:r>
        <w:t xml:space="preserve"> </w:t>
      </w:r>
      <w:r>
        <w:rPr>
          <w:rStyle w:val="VerbatimChar"/>
        </w:rPr>
        <w:t xml:space="preserve">application/problem+json</w:t>
      </w:r>
      <w:r>
        <w:t xml:space="preserve"> </w:t>
      </w:r>
      <w:r>
        <w:t xml:space="preserve">media type of §8.6.7; and the bearer scheme declares that operations need a JWT.</w:t>
      </w:r>
    </w:p>
    <w:p>
      <w:pPr>
        <w:pStyle w:val="BodyText"/>
      </w:pPr>
      <w:r>
        <w:t xml:space="preserve">There are two workflows. In</w:t>
      </w:r>
      <w:r>
        <w:t xml:space="preserve"> </w:t>
      </w:r>
      <w:r>
        <w:rPr>
          <w:bCs/>
          <w:b/>
        </w:rPr>
        <w:t xml:space="preserve">design-first</w:t>
      </w:r>
      <w:r>
        <w:t xml:space="preserve">, teams write and review the OpenAPI document before code, then generate stubs; this suits public APIs where the contract matters most. In</w:t>
      </w:r>
      <w:r>
        <w:t xml:space="preserve"> </w:t>
      </w:r>
      <w:r>
        <w:rPr>
          <w:bCs/>
          <w:b/>
        </w:rPr>
        <w:t xml:space="preserve">code-first</w:t>
      </w:r>
      <w:r>
        <w:t xml:space="preserve">, the framework derives the document from code: FastAPI, for example, serves the document generated from the</w:t>
      </w:r>
      <w:r>
        <w:t xml:space="preserve"> </w:t>
      </w:r>
      <w:r>
        <w:rPr>
          <w:rStyle w:val="VerbatimChar"/>
        </w:rPr>
        <w:t xml:space="preserve">articles_api.py</w:t>
      </w:r>
      <w:r>
        <w:t xml:space="preserve"> </w:t>
      </w:r>
      <w:r>
        <w:t xml:space="preserve">example of §8.6.5 at</w:t>
      </w:r>
      <w:r>
        <w:t xml:space="preserve"> </w:t>
      </w:r>
      <w:r>
        <w:rPr>
          <w:rStyle w:val="VerbatimChar"/>
        </w:rPr>
        <w:t xml:space="preserve">/openapi.json</w:t>
      </w:r>
      <w:r>
        <w:t xml:space="preserve"> </w:t>
      </w:r>
      <w:r>
        <w:t xml:space="preserve">and interactive documentation at</w:t>
      </w:r>
      <w:r>
        <w:t xml:space="preserve"> </w:t>
      </w:r>
      <w:r>
        <w:rPr>
          <w:rStyle w:val="VerbatimChar"/>
        </w:rPr>
        <w:t xml:space="preserve">/docs</w:t>
      </w:r>
      <w:r>
        <w:t xml:space="preserve">, with no extra work. Either way, keep the spec in version control and treat changes to it as API changes that require review. GraphQL APIs are self-describing through</w:t>
      </w:r>
      <w:r>
        <w:t xml:space="preserve"> </w:t>
      </w:r>
      <w:r>
        <w:rPr>
          <w:bCs/>
          <w:b/>
        </w:rPr>
        <w:t xml:space="preserve">introspection</w:t>
      </w:r>
      <w:r>
        <w:t xml:space="preserve">, and gRPC APIs through their</w:t>
      </w:r>
      <w:r>
        <w:t xml:space="preserve"> </w:t>
      </w:r>
      <w:r>
        <w:rPr>
          <w:rStyle w:val="VerbatimChar"/>
        </w:rPr>
        <w:t xml:space="preserve">.proto</w:t>
      </w:r>
      <w:r>
        <w:t xml:space="preserve"> </w:t>
      </w:r>
      <w:r>
        <w:t xml:space="preserve">files, which play the same role.</w:t>
      </w:r>
    </w:p>
    <w:bookmarkEnd w:id="942"/>
    <w:bookmarkStart w:id="943" w:name="summary-and-revision-notes-7"/>
    <w:p>
      <w:pPr>
        <w:pStyle w:val="Heading2"/>
      </w:pPr>
      <w:r>
        <w:t xml:space="preserve">8.17 Summary and revision notes</w:t>
      </w:r>
    </w:p>
    <w:p>
      <w:pPr>
        <w:pStyle w:val="CalloutSummary"/>
      </w:pPr>
      <w:r>
        <w:rPr>
          <w:bCs/>
          <w:b/>
        </w:rPr>
        <w:t xml:space="preserve">SUMMARY</w:t>
      </w:r>
    </w:p>
    <w:p>
      <w:pPr>
        <w:numPr>
          <w:ilvl w:val="0"/>
          <w:numId w:val="1286"/>
        </w:numPr>
        <w:pStyle w:val="Compact"/>
      </w:pPr>
      <w:r>
        <w:rPr>
          <w:bCs/>
          <w:b/>
        </w:rPr>
        <w:t xml:space="preserve">Client–server</w:t>
      </w:r>
      <w:r>
        <w:t xml:space="preserve">: clients initiate, servers own shared state. Keep the application tier</w:t>
      </w:r>
      <w:r>
        <w:t xml:space="preserve"> </w:t>
      </w:r>
      <w:r>
        <w:rPr>
          <w:bCs/>
          <w:b/>
        </w:rPr>
        <w:t xml:space="preserve">stateless</w:t>
      </w:r>
      <w:r>
        <w:t xml:space="preserve">; state lives in databases, caches, cookies or tokens.</w:t>
      </w:r>
    </w:p>
    <w:p>
      <w:pPr>
        <w:numPr>
          <w:ilvl w:val="0"/>
          <w:numId w:val="1286"/>
        </w:numPr>
        <w:pStyle w:val="Compact"/>
      </w:pPr>
      <w:r>
        <w:rPr>
          <w:bCs/>
          <w:b/>
        </w:rPr>
        <w:t xml:space="preserve">Rendering</w:t>
      </w:r>
      <w:r>
        <w:t xml:space="preserve">: SSR (server builds HTML), SPA (browser builds UI from JSON APIs), SSG (built once, served from a CDN), native mobile (old versions live for years). SPAs and mobile apps need a well-designed API; BFFs tailor it per client.</w:t>
      </w:r>
    </w:p>
    <w:p>
      <w:pPr>
        <w:numPr>
          <w:ilvl w:val="0"/>
          <w:numId w:val="1286"/>
        </w:numPr>
        <w:pStyle w:val="Compact"/>
      </w:pPr>
      <w:r>
        <w:rPr>
          <w:bCs/>
          <w:b/>
        </w:rPr>
        <w:t xml:space="preserve">Lifecycle</w:t>
      </w:r>
      <w:r>
        <w:t xml:space="preserve">: DNS → TCP → TLS → load balancer → web server → app middleware → handler → cache/DB → response. On a cold connection, setup round trips often cost more than server work; reuse connections.</w:t>
      </w:r>
    </w:p>
    <w:p>
      <w:pPr>
        <w:numPr>
          <w:ilvl w:val="0"/>
          <w:numId w:val="1286"/>
        </w:numPr>
        <w:pStyle w:val="Compact"/>
      </w:pPr>
      <w:r>
        <w:rPr>
          <w:bCs/>
          <w:b/>
        </w:rPr>
        <w:t xml:space="preserve">REST</w:t>
      </w:r>
      <w:r>
        <w:t xml:space="preserve">: resources named by URIs, standard methods, status codes. Know which methods are</w:t>
      </w:r>
      <w:r>
        <w:t xml:space="preserve"> </w:t>
      </w:r>
      <w:r>
        <w:rPr>
          <w:bCs/>
          <w:b/>
        </w:rPr>
        <w:t xml:space="preserve">safe</w:t>
      </w:r>
      <w:r>
        <w:t xml:space="preserve"> </w:t>
      </w:r>
      <w:r>
        <w:t xml:space="preserve">(GET, HEAD, OPTIONS) and</w:t>
      </w:r>
      <w:r>
        <w:t xml:space="preserve"> </w:t>
      </w:r>
      <w:r>
        <w:rPr>
          <w:bCs/>
          <w:b/>
        </w:rPr>
        <w:t xml:space="preserve">idempotent</w:t>
      </w:r>
      <w:r>
        <w:t xml:space="preserve"> </w:t>
      </w:r>
      <w:r>
        <w:t xml:space="preserve">(those plus PUT, DELETE). Make POST retryable with idempotency keys.</w:t>
      </w:r>
    </w:p>
    <w:p>
      <w:pPr>
        <w:numPr>
          <w:ilvl w:val="0"/>
          <w:numId w:val="1286"/>
        </w:numPr>
        <w:pStyle w:val="Compact"/>
      </w:pPr>
      <w:r>
        <w:rPr>
          <w:bCs/>
          <w:b/>
        </w:rPr>
        <w:t xml:space="preserve">Pagination</w:t>
      </w:r>
      <w:r>
        <w:t xml:space="preserve">: offset costs</w:t>
      </w:r>
      <w:r>
        <w:t xml:space="preserve"> </w:t>
      </w:r>
      <m:oMath>
        <m:r>
          <m:t>O</m:t>
        </m:r>
        <m:d>
          <m:dPr>
            <m:begChr m:val="("/>
            <m:endChr m:val=")"/>
            <m:sepChr m:val=""/>
            <m:grow/>
          </m:dPr>
          <m:e>
            <m:r>
              <m:rPr>
                <m:nor/>
                <m:sty m:val="p"/>
              </m:rPr>
              <m:t>offset</m:t>
            </m:r>
            <m:r>
              <m:rPr>
                <m:sty m:val="p"/>
              </m:rPr>
              <m:t>+</m:t>
            </m:r>
            <m:r>
              <m:rPr>
                <m:nor/>
                <m:sty m:val="p"/>
              </m:rPr>
              <m:t>limit</m:t>
            </m:r>
          </m:e>
        </m:d>
      </m:oMath>
      <w:r>
        <w:t xml:space="preserve"> </w:t>
      </w:r>
      <w:r>
        <w:t xml:space="preserve">and shifts under writes;</w:t>
      </w:r>
      <w:r>
        <w:t xml:space="preserve"> </w:t>
      </w:r>
      <w:r>
        <w:rPr>
          <w:bCs/>
          <w:b/>
        </w:rPr>
        <w:t xml:space="preserve">cursor/keyset</w:t>
      </w:r>
      <w:r>
        <w:t xml:space="preserve"> </w:t>
      </w:r>
      <w:r>
        <w:t xml:space="preserve">pagination with</w:t>
      </w:r>
      <w:r>
        <w:t xml:space="preserve"> </w:t>
      </w:r>
      <w:r>
        <w:rPr>
          <w:rStyle w:val="VerbatimChar"/>
        </w:rPr>
        <w:t xml:space="preserve">WHERE (sort_key, id) &lt; (…)</w:t>
      </w:r>
      <w:r>
        <w:t xml:space="preserve"> </w:t>
      </w:r>
      <w:r>
        <w:t xml:space="preserve">and a matching index is constant-cost and stable.</w:t>
      </w:r>
    </w:p>
    <w:p>
      <w:pPr>
        <w:numPr>
          <w:ilvl w:val="0"/>
          <w:numId w:val="1286"/>
        </w:numPr>
        <w:pStyle w:val="Compact"/>
      </w:pPr>
      <w:r>
        <w:rPr>
          <w:bCs/>
          <w:b/>
        </w:rPr>
        <w:t xml:space="preserve">Errors</w:t>
      </w:r>
      <w:r>
        <w:t xml:space="preserve">: use status codes for the class of outcome and RFC 9457</w:t>
      </w:r>
      <w:r>
        <w:t xml:space="preserve"> </w:t>
      </w:r>
      <w:r>
        <w:rPr>
          <w:rStyle w:val="VerbatimChar"/>
        </w:rPr>
        <w:t xml:space="preserve">application/problem+json</w:t>
      </w:r>
      <w:r>
        <w:t xml:space="preserve"> </w:t>
      </w:r>
      <w:r>
        <w:t xml:space="preserve">for detail.</w:t>
      </w:r>
    </w:p>
    <w:p>
      <w:pPr>
        <w:numPr>
          <w:ilvl w:val="0"/>
          <w:numId w:val="1286"/>
        </w:numPr>
        <w:pStyle w:val="Compact"/>
      </w:pPr>
      <w:r>
        <w:rPr>
          <w:bCs/>
          <w:b/>
        </w:rPr>
        <w:t xml:space="preserve">GraphQL</w:t>
      </w:r>
      <w:r>
        <w:t xml:space="preserve">: typed schema, client-chosen fields, one round trip. Fix</w:t>
      </w:r>
      <w:r>
        <w:t xml:space="preserve"> </w:t>
      </w:r>
      <w:r>
        <w:rPr>
          <w:bCs/>
          <w:b/>
        </w:rPr>
        <w:t xml:space="preserve">N+1</w:t>
      </w:r>
      <w:r>
        <w:t xml:space="preserve"> </w:t>
      </w:r>
      <w:r>
        <w:t xml:space="preserve">with per-request</w:t>
      </w:r>
      <w:r>
        <w:t xml:space="preserve"> </w:t>
      </w:r>
      <w:r>
        <w:rPr>
          <w:bCs/>
          <w:b/>
        </w:rPr>
        <w:t xml:space="preserve">DataLoader</w:t>
      </w:r>
      <w:r>
        <w:t xml:space="preserve"> </w:t>
      </w:r>
      <w:r>
        <w:t xml:space="preserve">batching; HTTP caching is hard (use persisted queries); enforce depth and cost limits.</w:t>
      </w:r>
    </w:p>
    <w:p>
      <w:pPr>
        <w:numPr>
          <w:ilvl w:val="0"/>
          <w:numId w:val="1286"/>
        </w:numPr>
        <w:pStyle w:val="Compact"/>
      </w:pPr>
      <w:r>
        <w:rPr>
          <w:bCs/>
          <w:b/>
        </w:rPr>
        <w:t xml:space="preserve">gRPC</w:t>
      </w:r>
      <w:r>
        <w:t xml:space="preserve">: Protobuf IDL, generated stubs, HTTP/2 streams; unary, server-, client- and bidirectional streaming. Always set and propagate</w:t>
      </w:r>
      <w:r>
        <w:t xml:space="preserve"> </w:t>
      </w:r>
      <w:r>
        <w:rPr>
          <w:bCs/>
          <w:b/>
        </w:rPr>
        <w:t xml:space="preserve">deadlines</w:t>
      </w:r>
      <w:r>
        <w:t xml:space="preserve">; use L7 load balancing.</w:t>
      </w:r>
    </w:p>
    <w:p>
      <w:pPr>
        <w:numPr>
          <w:ilvl w:val="0"/>
          <w:numId w:val="1286"/>
        </w:numPr>
        <w:pStyle w:val="Compact"/>
      </w:pPr>
      <w:r>
        <w:rPr>
          <w:bCs/>
          <w:b/>
        </w:rPr>
        <w:t xml:space="preserve">Serialization</w:t>
      </w:r>
      <w:r>
        <w:t xml:space="preserve">: JSON is readable and universal; Protobuf and Thrift use numeric tags and varints; Avro has no tags and resolves writer’s against reader’s schema. Evolve by adding optional fields with defaults; never reuse field numbers.</w:t>
      </w:r>
    </w:p>
    <w:p>
      <w:pPr>
        <w:numPr>
          <w:ilvl w:val="0"/>
          <w:numId w:val="1286"/>
        </w:numPr>
        <w:pStyle w:val="Compact"/>
      </w:pPr>
      <w:r>
        <w:rPr>
          <w:bCs/>
          <w:b/>
        </w:rPr>
        <w:t xml:space="preserve">Cookies</w:t>
      </w:r>
      <w:r>
        <w:t xml:space="preserve">:</w:t>
      </w:r>
      <w:r>
        <w:t xml:space="preserve"> </w:t>
      </w:r>
      <w:r>
        <w:rPr>
          <w:rStyle w:val="VerbatimChar"/>
        </w:rPr>
        <w:t xml:space="preserve">Secure</w:t>
      </w:r>
      <w:r>
        <w:t xml:space="preserve">,</w:t>
      </w:r>
      <w:r>
        <w:t xml:space="preserve"> </w:t>
      </w:r>
      <w:r>
        <w:rPr>
          <w:rStyle w:val="VerbatimChar"/>
        </w:rPr>
        <w:t xml:space="preserve">HttpOnly</w:t>
      </w:r>
      <w:r>
        <w:t xml:space="preserve">,</w:t>
      </w:r>
      <w:r>
        <w:t xml:space="preserve"> </w:t>
      </w:r>
      <w:r>
        <w:rPr>
          <w:rStyle w:val="VerbatimChar"/>
        </w:rPr>
        <w:t xml:space="preserve">SameSite=Lax</w:t>
      </w:r>
      <w:r>
        <w:t xml:space="preserve"> </w:t>
      </w:r>
      <w:r>
        <w:t xml:space="preserve">(or Strict),</w:t>
      </w:r>
      <w:r>
        <w:t xml:space="preserve"> </w:t>
      </w:r>
      <w:r>
        <w:rPr>
          <w:rStyle w:val="VerbatimChar"/>
        </w:rPr>
        <w:t xml:space="preserve">__Host-</w:t>
      </w:r>
      <w:r>
        <w:t xml:space="preserve"> </w:t>
      </w:r>
      <w:r>
        <w:t xml:space="preserve">prefix. Sessions are server-side (instant revocation, one lookup) or signed cookies (no store, no early revocation).</w:t>
      </w:r>
    </w:p>
    <w:p>
      <w:pPr>
        <w:numPr>
          <w:ilvl w:val="0"/>
          <w:numId w:val="1286"/>
        </w:numPr>
        <w:pStyle w:val="Compact"/>
      </w:pPr>
      <w:r>
        <w:rPr>
          <w:bCs/>
          <w:b/>
        </w:rPr>
        <w:t xml:space="preserve">AuthN vs AuthZ</w:t>
      </w:r>
      <w:r>
        <w:t xml:space="preserve">: who you are (401) vs what you may do (403). Hash passwords with slow salted functions (§10.6); prefer phishing-resistant MFA (WebAuthn/passkeys).</w:t>
      </w:r>
    </w:p>
    <w:p>
      <w:pPr>
        <w:numPr>
          <w:ilvl w:val="0"/>
          <w:numId w:val="1286"/>
        </w:numPr>
        <w:pStyle w:val="Compact"/>
      </w:pPr>
      <w:r>
        <w:rPr>
          <w:bCs/>
          <w:b/>
        </w:rPr>
        <w:t xml:space="preserve">Authorization models</w:t>
      </w:r>
      <w:r>
        <w:t xml:space="preserve">: RBAC (roles), ABAC (attribute predicates), ReBAC (relationship graph; Zanzibar’s tuples, rewrites and zookies).</w:t>
      </w:r>
    </w:p>
    <w:p>
      <w:pPr>
        <w:numPr>
          <w:ilvl w:val="0"/>
          <w:numId w:val="1286"/>
        </w:numPr>
        <w:pStyle w:val="Compact"/>
      </w:pPr>
      <w:r>
        <w:rPr>
          <w:bCs/>
          <w:b/>
        </w:rPr>
        <w:t xml:space="preserve">JWT</w:t>
      </w:r>
      <w:r>
        <w:t xml:space="preserve">: header.payload.signature, signed not encrypted. Pin the algorithm; validate</w:t>
      </w:r>
      <w:r>
        <w:t xml:space="preserve"> </w:t>
      </w:r>
      <w:r>
        <w:rPr>
          <w:rStyle w:val="VerbatimChar"/>
        </w:rPr>
        <w:t xml:space="preserve">exp</w:t>
      </w:r>
      <w:r>
        <w:t xml:space="preserve">,</w:t>
      </w:r>
      <w:r>
        <w:t xml:space="preserve"> </w:t>
      </w:r>
      <w:r>
        <w:rPr>
          <w:rStyle w:val="VerbatimChar"/>
        </w:rPr>
        <w:t xml:space="preserve">iss</w:t>
      </w:r>
      <w:r>
        <w:t xml:space="preserve">,</w:t>
      </w:r>
      <w:r>
        <w:t xml:space="preserve"> </w:t>
      </w:r>
      <w:r>
        <w:rPr>
          <w:rStyle w:val="VerbatimChar"/>
        </w:rPr>
        <w:t xml:space="preserve">aud</w:t>
      </w:r>
      <w:r>
        <w:t xml:space="preserve">. HS256 = shared secret; RS256/ES256 = private signs, public verifies. Revocation needs short TTLs, refresh tokens and/or deny-lists.</w:t>
      </w:r>
    </w:p>
    <w:p>
      <w:pPr>
        <w:numPr>
          <w:ilvl w:val="0"/>
          <w:numId w:val="1286"/>
        </w:numPr>
        <w:pStyle w:val="Compact"/>
      </w:pPr>
      <w:r>
        <w:rPr>
          <w:bCs/>
          <w:b/>
        </w:rPr>
        <w:t xml:space="preserve">OAuth 2.0</w:t>
      </w:r>
      <w:r>
        <w:t xml:space="preserve">: delegated, scoped access via tokens. Use authorization code + PKCE for user-facing apps, client credentials for machines, rotating refresh tokens. OAuth 2.1 is still a draft (as of 2026).</w:t>
      </w:r>
      <w:r>
        <w:t xml:space="preserve"> </w:t>
      </w:r>
      <w:r>
        <w:rPr>
          <w:bCs/>
          <w:b/>
        </w:rPr>
        <w:t xml:space="preserve">OIDC</w:t>
      </w:r>
      <w:r>
        <w:t xml:space="preserve"> </w:t>
      </w:r>
      <w:r>
        <w:t xml:space="preserve">adds the ID token and standard login.</w:t>
      </w:r>
    </w:p>
    <w:p>
      <w:pPr>
        <w:numPr>
          <w:ilvl w:val="0"/>
          <w:numId w:val="1286"/>
        </w:numPr>
        <w:pStyle w:val="Compact"/>
      </w:pPr>
      <w:r>
        <w:rPr>
          <w:bCs/>
          <w:b/>
        </w:rPr>
        <w:t xml:space="preserve">Versioning</w:t>
      </w:r>
      <w:r>
        <w:t xml:space="preserve">: additive changes need no new version; breaking changes do. URI, header, media-type or date-based pinning; deprecate with</w:t>
      </w:r>
      <w:r>
        <w:t xml:space="preserve"> </w:t>
      </w:r>
      <w:r>
        <w:rPr>
          <w:rStyle w:val="VerbatimChar"/>
        </w:rPr>
        <w:t xml:space="preserve">Deprecation</w:t>
      </w:r>
      <w:r>
        <w:t xml:space="preserve">/</w:t>
      </w:r>
      <w:r>
        <w:rPr>
          <w:rStyle w:val="VerbatimChar"/>
        </w:rPr>
        <w:t xml:space="preserve">Sunset</w:t>
      </w:r>
      <w:r>
        <w:t xml:space="preserve"> </w:t>
      </w:r>
      <w:r>
        <w:t xml:space="preserve">headers, usage metrics and brown-outs.</w:t>
      </w:r>
    </w:p>
    <w:p>
      <w:pPr>
        <w:numPr>
          <w:ilvl w:val="0"/>
          <w:numId w:val="1286"/>
        </w:numPr>
        <w:pStyle w:val="Compact"/>
      </w:pPr>
      <w:r>
        <w:rPr>
          <w:bCs/>
          <w:b/>
        </w:rPr>
        <w:t xml:space="preserve">OpenAPI</w:t>
      </w:r>
      <w:r>
        <w:t xml:space="preserve"> </w:t>
      </w:r>
      <w:r>
        <w:t xml:space="preserve">is the machine-readable contract: docs, SDKs, validation and breaking-change detection in CI.</w:t>
      </w:r>
    </w:p>
    <w:bookmarkEnd w:id="943"/>
    <w:bookmarkStart w:id="944" w:name="knowledge-checkpoint-7"/>
    <w:p>
      <w:pPr>
        <w:pStyle w:val="Heading2"/>
      </w:pPr>
      <w:r>
        <w:t xml:space="preserve">8.18 Knowledge checkpoint</w:t>
      </w:r>
    </w:p>
    <w:p>
      <w:pPr>
        <w:numPr>
          <w:ilvl w:val="0"/>
          <w:numId w:val="1287"/>
        </w:numPr>
        <w:pStyle w:val="Compact"/>
      </w:pPr>
      <w:r>
        <w:t xml:space="preserve">Why does making the application tier stateless make horizontal scaling easy, and where does the state go?</w:t>
      </w:r>
    </w:p>
    <w:p>
      <w:pPr>
        <w:numPr>
          <w:ilvl w:val="0"/>
          <w:numId w:val="1287"/>
        </w:numPr>
        <w:pStyle w:val="Compact"/>
      </w:pPr>
      <w:r>
        <w:t xml:space="preserve">Name two backend consequences of supporting a native mobile client that an SSR website does not impose.</w:t>
      </w:r>
    </w:p>
    <w:p>
      <w:pPr>
        <w:numPr>
          <w:ilvl w:val="0"/>
          <w:numId w:val="1287"/>
        </w:numPr>
        <w:pStyle w:val="Compact"/>
      </w:pPr>
      <w:r>
        <w:t xml:space="preserve">A user 50 ms RTT away makes a first request needing an uncached DNS lookup (20 ms), TCP and TLS 1.3 setup, and 15 ms of server time. Estimate the latency, and the latency of the next request.</w:t>
      </w:r>
    </w:p>
    <w:p>
      <w:pPr>
        <w:numPr>
          <w:ilvl w:val="0"/>
          <w:numId w:val="1287"/>
        </w:numPr>
        <w:pStyle w:val="Compact"/>
      </w:pPr>
      <w:r>
        <w:t xml:space="preserve">Which HTTP methods are safe? Which are idempotent? Why does the distinction matter to a retry library?</w:t>
      </w:r>
    </w:p>
    <w:p>
      <w:pPr>
        <w:numPr>
          <w:ilvl w:val="0"/>
          <w:numId w:val="1287"/>
        </w:numPr>
        <w:pStyle w:val="Compact"/>
      </w:pPr>
      <w:r>
        <w:t xml:space="preserve">When should an API return 401, 403, 404, 409, 422 and 429?</w:t>
      </w:r>
    </w:p>
    <w:p>
      <w:pPr>
        <w:numPr>
          <w:ilvl w:val="0"/>
          <w:numId w:val="1287"/>
        </w:numPr>
        <w:pStyle w:val="Compact"/>
      </w:pPr>
      <w:r>
        <w:t xml:space="preserve">Write the keyset-pagination</w:t>
      </w:r>
      <w:r>
        <w:t xml:space="preserve"> </w:t>
      </w:r>
      <w:r>
        <w:rPr>
          <w:rStyle w:val="VerbatimChar"/>
        </w:rPr>
        <w:t xml:space="preserve">WHERE</w:t>
      </w:r>
      <w:r>
        <w:t xml:space="preserve"> </w:t>
      </w:r>
      <w:r>
        <w:t xml:space="preserve">clause for sorting by</w:t>
      </w:r>
      <w:r>
        <w:t xml:space="preserve"> </w:t>
      </w:r>
      <w:r>
        <w:rPr>
          <w:rStyle w:val="VerbatimChar"/>
        </w:rPr>
        <w:t xml:space="preserve">created_at DESC, id DESC</w:t>
      </w:r>
      <w:r>
        <w:t xml:space="preserve">, and explain why</w:t>
      </w:r>
      <w:r>
        <w:t xml:space="preserve"> </w:t>
      </w:r>
      <w:r>
        <w:rPr>
          <w:rStyle w:val="VerbatimChar"/>
        </w:rPr>
        <w:t xml:space="preserve">id</w:t>
      </w:r>
      <w:r>
        <w:t xml:space="preserve"> </w:t>
      </w:r>
      <w:r>
        <w:t xml:space="preserve">is included.</w:t>
      </w:r>
    </w:p>
    <w:p>
      <w:pPr>
        <w:numPr>
          <w:ilvl w:val="0"/>
          <w:numId w:val="1287"/>
        </w:numPr>
        <w:pStyle w:val="Compact"/>
      </w:pPr>
      <w:r>
        <w:t xml:space="preserve">Page size 50, page 10,001 with offset pagination: how many rows does the database walk? Roughly how many with keyset pagination?</w:t>
      </w:r>
    </w:p>
    <w:p>
      <w:pPr>
        <w:numPr>
          <w:ilvl w:val="0"/>
          <w:numId w:val="1287"/>
        </w:numPr>
        <w:pStyle w:val="Compact"/>
      </w:pPr>
      <w:r>
        <w:t xml:space="preserve">What are the five standard members of an RFC 9457 problem-details object?</w:t>
      </w:r>
    </w:p>
    <w:p>
      <w:pPr>
        <w:numPr>
          <w:ilvl w:val="0"/>
          <w:numId w:val="1287"/>
        </w:numPr>
        <w:pStyle w:val="Compact"/>
      </w:pPr>
      <w:r>
        <w:t xml:space="preserve">A GraphQL query fetches 20 posts and each post’s author. How many database queries run with naive resolvers and with DataLoader?</w:t>
      </w:r>
    </w:p>
    <w:p>
      <w:pPr>
        <w:numPr>
          <w:ilvl w:val="0"/>
          <w:numId w:val="1287"/>
        </w:numPr>
        <w:pStyle w:val="Compact"/>
      </w:pPr>
      <w:r>
        <w:t xml:space="preserve">Why must a DataLoader instance be created per request?</w:t>
      </w:r>
    </w:p>
    <w:p>
      <w:pPr>
        <w:numPr>
          <w:ilvl w:val="0"/>
          <w:numId w:val="1287"/>
        </w:numPr>
        <w:pStyle w:val="Compact"/>
      </w:pPr>
      <w:r>
        <w:t xml:space="preserve">What are the four gRPC call types? Give one use for each.</w:t>
      </w:r>
    </w:p>
    <w:p>
      <w:pPr>
        <w:numPr>
          <w:ilvl w:val="0"/>
          <w:numId w:val="1287"/>
        </w:numPr>
        <w:pStyle w:val="Compact"/>
      </w:pPr>
      <w:r>
        <w:t xml:space="preserve">What happens to a gRPC call with no deadline when the server hangs?</w:t>
      </w:r>
    </w:p>
    <w:p>
      <w:pPr>
        <w:numPr>
          <w:ilvl w:val="0"/>
          <w:numId w:val="1287"/>
        </w:numPr>
        <w:pStyle w:val="Compact"/>
      </w:pPr>
      <w:r>
        <w:t xml:space="preserve">Encode the integer 300 as a Protobuf varint in hex.</w:t>
      </w:r>
    </w:p>
    <w:p>
      <w:pPr>
        <w:numPr>
          <w:ilvl w:val="0"/>
          <w:numId w:val="1287"/>
        </w:numPr>
        <w:pStyle w:val="Compact"/>
      </w:pPr>
      <w:r>
        <w:t xml:space="preserve">In Protobuf, why must you never reuse a deleted field number? What does Avro need instead of field numbers?</w:t>
      </w:r>
    </w:p>
    <w:p>
      <w:pPr>
        <w:numPr>
          <w:ilvl w:val="0"/>
          <w:numId w:val="1287"/>
        </w:numPr>
        <w:pStyle w:val="Compact"/>
      </w:pPr>
      <w:r>
        <w:t xml:space="preserve">What does each of</w:t>
      </w:r>
      <w:r>
        <w:t xml:space="preserve"> </w:t>
      </w:r>
      <w:r>
        <w:rPr>
          <w:rStyle w:val="VerbatimChar"/>
        </w:rPr>
        <w:t xml:space="preserve">Secure</w:t>
      </w:r>
      <w:r>
        <w:t xml:space="preserve">,</w:t>
      </w:r>
      <w:r>
        <w:t xml:space="preserve"> </w:t>
      </w:r>
      <w:r>
        <w:rPr>
          <w:rStyle w:val="VerbatimChar"/>
        </w:rPr>
        <w:t xml:space="preserve">HttpOnly</w:t>
      </w:r>
      <w:r>
        <w:t xml:space="preserve"> </w:t>
      </w:r>
      <w:r>
        <w:t xml:space="preserve">and</w:t>
      </w:r>
      <w:r>
        <w:t xml:space="preserve"> </w:t>
      </w:r>
      <w:r>
        <w:rPr>
          <w:rStyle w:val="VerbatimChar"/>
        </w:rPr>
        <w:t xml:space="preserve">SameSite=Lax</w:t>
      </w:r>
      <w:r>
        <w:t xml:space="preserve"> </w:t>
      </w:r>
      <w:r>
        <w:t xml:space="preserve">protect against?</w:t>
      </w:r>
    </w:p>
    <w:p>
      <w:pPr>
        <w:numPr>
          <w:ilvl w:val="0"/>
          <w:numId w:val="1287"/>
        </w:numPr>
        <w:pStyle w:val="Compact"/>
      </w:pPr>
      <w:r>
        <w:t xml:space="preserve">Give one advantage and one disadvantage of a signed-cookie session versus a server-side session store.</w:t>
      </w:r>
    </w:p>
    <w:p>
      <w:pPr>
        <w:numPr>
          <w:ilvl w:val="0"/>
          <w:numId w:val="1287"/>
        </w:numPr>
        <w:pStyle w:val="Compact"/>
      </w:pPr>
      <w:r>
        <w:t xml:space="preserve">In a JWT, why must the server not use the</w:t>
      </w:r>
      <w:r>
        <w:t xml:space="preserve"> </w:t>
      </w:r>
      <w:r>
        <w:rPr>
          <w:rStyle w:val="VerbatimChar"/>
        </w:rPr>
        <w:t xml:space="preserve">alg</w:t>
      </w:r>
      <w:r>
        <w:t xml:space="preserve"> </w:t>
      </w:r>
      <w:r>
        <w:t xml:space="preserve">value from the token header to choose the verification algorithm?</w:t>
      </w:r>
    </w:p>
    <w:p>
      <w:pPr>
        <w:numPr>
          <w:ilvl w:val="0"/>
          <w:numId w:val="1287"/>
        </w:numPr>
        <w:pStyle w:val="Compact"/>
      </w:pPr>
      <w:r>
        <w:t xml:space="preserve">Why does PKCE stop an attacker who intercepts the authorization code?</w:t>
      </w:r>
    </w:p>
    <w:p>
      <w:pPr>
        <w:numPr>
          <w:ilvl w:val="0"/>
          <w:numId w:val="1287"/>
        </w:numPr>
        <w:pStyle w:val="Compact"/>
      </w:pPr>
      <w:r>
        <w:t xml:space="preserve">What does OpenID Connect add to OAuth 2.0?</w:t>
      </w:r>
    </w:p>
    <w:p>
      <w:pPr>
        <w:numPr>
          <w:ilvl w:val="0"/>
          <w:numId w:val="1287"/>
        </w:numPr>
        <w:pStyle w:val="Compact"/>
      </w:pPr>
      <w:r>
        <w:t xml:space="preserve">Classify as breaking or non-breaking: adding an optional query parameter; renaming a response field; adding a required request field.</w:t>
      </w:r>
    </w:p>
    <w:p>
      <w:pPr>
        <w:pStyle w:val="FirstParagraph"/>
      </w:pPr>
      <w:r>
        <w:t xml:space="preserve">Answers</w:t>
      </w:r>
    </w:p>
    <w:p>
      <w:pPr>
        <w:numPr>
          <w:ilvl w:val="0"/>
          <w:numId w:val="1288"/>
        </w:numPr>
        <w:pStyle w:val="Compact"/>
      </w:pPr>
      <w:r>
        <w:t xml:space="preserve">Any instance can serve any request, so instances can be added, removed or replaced behind a load balancer without losing anything. State moves to databases, caches, a session store, or the client (cookies, tokens).</w:t>
      </w:r>
    </w:p>
    <w:p>
      <w:pPr>
        <w:numPr>
          <w:ilvl w:val="0"/>
          <w:numId w:val="1288"/>
        </w:numPr>
        <w:pStyle w:val="Compact"/>
      </w:pPr>
      <w:r>
        <w:t xml:space="preserve">Old app versions remain in use for months or years, so the API must stay backward compatible; slow cellular links make round trips expensive, favoring coarse-grained or aggregated endpoints (BFF, GraphQL) and compact payloads.</w:t>
      </w:r>
    </w:p>
    <w:p>
      <w:pPr>
        <w:numPr>
          <w:ilvl w:val="0"/>
          <w:numId w:val="1288"/>
        </w:numPr>
        <w:pStyle w:val="Compact"/>
      </w:pPr>
      <w:r>
        <w:t xml:space="preserve">Cold:</w:t>
      </w:r>
      <w:r>
        <w:t xml:space="preserve"> </w:t>
      </w:r>
      <m:oMath>
        <m:r>
          <m:t>20</m:t>
        </m:r>
        <m:r>
          <m:rPr>
            <m:sty m:val="p"/>
          </m:rPr>
          <m:t>+</m:t>
        </m:r>
        <m:r>
          <m:t>50</m:t>
        </m:r>
        <m:r>
          <m:rPr>
            <m:sty m:val="p"/>
          </m:rPr>
          <m:t>+</m:t>
        </m:r>
        <m:r>
          <m:t>50</m:t>
        </m:r>
        <m:r>
          <m:rPr>
            <m:sty m:val="p"/>
          </m:rPr>
          <m:t>+</m:t>
        </m:r>
        <m:r>
          <m:t>50</m:t>
        </m:r>
        <m:r>
          <m:rPr>
            <m:sty m:val="p"/>
          </m:rPr>
          <m:t>+</m:t>
        </m:r>
        <m:r>
          <m:t>15</m:t>
        </m:r>
        <m:r>
          <m:rPr>
            <m:sty m:val="p"/>
          </m:rPr>
          <m:t>=</m:t>
        </m:r>
        <m:r>
          <m:t>185</m:t>
        </m:r>
      </m:oMath>
      <w:r>
        <w:t xml:space="preserve"> </w:t>
      </w:r>
      <w:r>
        <w:t xml:space="preserve">ms. Next request on the same connection with cached DNS:</w:t>
      </w:r>
      <w:r>
        <w:t xml:space="preserve"> </w:t>
      </w:r>
      <m:oMath>
        <m:r>
          <m:t>50</m:t>
        </m:r>
        <m:r>
          <m:rPr>
            <m:sty m:val="p"/>
          </m:rPr>
          <m:t>+</m:t>
        </m:r>
        <m:r>
          <m:t>15</m:t>
        </m:r>
        <m:r>
          <m:rPr>
            <m:sty m:val="p"/>
          </m:rPr>
          <m:t>=</m:t>
        </m:r>
        <m:r>
          <m:t>65</m:t>
        </m:r>
      </m:oMath>
      <w:r>
        <w:t xml:space="preserve"> </w:t>
      </w:r>
      <w:r>
        <w:t xml:space="preserve">ms.</w:t>
      </w:r>
    </w:p>
    <w:p>
      <w:pPr>
        <w:numPr>
          <w:ilvl w:val="0"/>
          <w:numId w:val="1288"/>
        </w:numPr>
        <w:pStyle w:val="Compact"/>
      </w:pPr>
      <w:r>
        <w:t xml:space="preserve">Safe: GET, HEAD, OPTIONS (and TRACE). Idempotent: the safe methods plus PUT and DELETE. A retry library can automatically retry idempotent requests after a timeout; retrying POST may duplicate effects unless an idempotency key is used.</w:t>
      </w:r>
    </w:p>
    <w:p>
      <w:pPr>
        <w:numPr>
          <w:ilvl w:val="0"/>
          <w:numId w:val="1288"/>
        </w:numPr>
        <w:pStyle w:val="Compact"/>
      </w:pPr>
      <w:r>
        <w:t xml:space="preserve">401: not authenticated. 403: authenticated but not permitted. 404: no such resource (or hidden). 409: conflicts with current state, such as a duplicate key. 422: well-formed but semantically invalid input. 429: rate limit exceeded, with</w:t>
      </w:r>
      <w:r>
        <w:t xml:space="preserve"> </w:t>
      </w:r>
      <w:r>
        <w:rPr>
          <w:rStyle w:val="VerbatimChar"/>
        </w:rPr>
        <w:t xml:space="preserve">Retry-After</w:t>
      </w:r>
      <w:r>
        <w:t xml:space="preserve">.</w:t>
      </w:r>
    </w:p>
    <w:p>
      <w:pPr>
        <w:numPr>
          <w:ilvl w:val="0"/>
          <w:numId w:val="1288"/>
        </w:numPr>
        <w:pStyle w:val="Compact"/>
      </w:pPr>
      <w:r>
        <w:rPr>
          <w:rStyle w:val="VerbatimChar"/>
        </w:rPr>
        <w:t xml:space="preserve">WHERE (created_at, id) &lt; (:last_created_at, :last_id) ORDER BY created_at DESC, id DESC LIMIT :n</w:t>
      </w:r>
      <w:r>
        <w:t xml:space="preserve">.</w:t>
      </w:r>
      <w:r>
        <w:t xml:space="preserve"> </w:t>
      </w:r>
      <w:r>
        <w:rPr>
          <w:rStyle w:val="VerbatimChar"/>
        </w:rPr>
        <w:t xml:space="preserve">id</w:t>
      </w:r>
      <w:r>
        <w:t xml:space="preserve"> </w:t>
      </w:r>
      <w:r>
        <w:t xml:space="preserve">makes the order total, so rows sharing a timestamp are neither skipped nor repeated across pages.</w:t>
      </w:r>
    </w:p>
    <w:p>
      <w:pPr>
        <w:numPr>
          <w:ilvl w:val="0"/>
          <w:numId w:val="1288"/>
        </w:numPr>
        <w:pStyle w:val="Compact"/>
      </w:pPr>
      <w:r>
        <w:t xml:space="preserve">Offset</w:t>
      </w:r>
      <w:r>
        <w:t xml:space="preserve"> </w:t>
      </w:r>
      <m:oMath>
        <m:r>
          <m:rPr>
            <m:sty m:val="p"/>
          </m:rPr>
          <m:t>=</m:t>
        </m:r>
        <m:r>
          <m:t>10</m:t>
        </m:r>
        <m:r>
          <m:rPr>
            <m:sty m:val="p"/>
          </m:rPr>
          <m:t>,</m:t>
        </m:r>
        <m:r>
          <m:t>000</m:t>
        </m:r>
        <m:r>
          <m:rPr>
            <m:sty m:val="p"/>
          </m:rPr>
          <m:t>×</m:t>
        </m:r>
        <m:r>
          <m:t>50</m:t>
        </m:r>
        <m:r>
          <m:rPr>
            <m:sty m:val="p"/>
          </m:rPr>
          <m:t>=</m:t>
        </m:r>
        <m:r>
          <m:t>500</m:t>
        </m:r>
        <m:r>
          <m:rPr>
            <m:sty m:val="p"/>
          </m:rPr>
          <m:t>,</m:t>
        </m:r>
        <m:r>
          <m:t>000</m:t>
        </m:r>
      </m:oMath>
      <w:r>
        <w:t xml:space="preserve">, so about 500,050 rows. Keyset: an index descent (~3–4 levels) plus 50–51 rows.</w:t>
      </w:r>
    </w:p>
    <w:p>
      <w:pPr>
        <w:numPr>
          <w:ilvl w:val="0"/>
          <w:numId w:val="1288"/>
        </w:numPr>
        <w:pStyle w:val="Compact"/>
      </w:pPr>
      <w:r>
        <w:rPr>
          <w:rStyle w:val="VerbatimChar"/>
        </w:rPr>
        <w:t xml:space="preserve">type</w:t>
      </w:r>
      <w:r>
        <w:t xml:space="preserve">,</w:t>
      </w:r>
      <w:r>
        <w:t xml:space="preserve"> </w:t>
      </w:r>
      <w:r>
        <w:rPr>
          <w:rStyle w:val="VerbatimChar"/>
        </w:rPr>
        <w:t xml:space="preserve">title</w:t>
      </w:r>
      <w:r>
        <w:t xml:space="preserve">,</w:t>
      </w:r>
      <w:r>
        <w:t xml:space="preserve"> </w:t>
      </w:r>
      <w:r>
        <w:rPr>
          <w:rStyle w:val="VerbatimChar"/>
        </w:rPr>
        <w:t xml:space="preserve">status</w:t>
      </w:r>
      <w:r>
        <w:t xml:space="preserve">,</w:t>
      </w:r>
      <w:r>
        <w:t xml:space="preserve"> </w:t>
      </w:r>
      <w:r>
        <w:rPr>
          <w:rStyle w:val="VerbatimChar"/>
        </w:rPr>
        <w:t xml:space="preserve">detail</w:t>
      </w:r>
      <w:r>
        <w:t xml:space="preserve">,</w:t>
      </w:r>
      <w:r>
        <w:t xml:space="preserve"> </w:t>
      </w:r>
      <w:r>
        <w:rPr>
          <w:rStyle w:val="VerbatimChar"/>
        </w:rPr>
        <w:t xml:space="preserve">instance</w:t>
      </w:r>
      <w:r>
        <w:t xml:space="preserve">.</w:t>
      </w:r>
    </w:p>
    <w:p>
      <w:pPr>
        <w:numPr>
          <w:ilvl w:val="0"/>
          <w:numId w:val="1288"/>
        </w:numPr>
        <w:pStyle w:val="Compact"/>
      </w:pPr>
      <w:r>
        <w:t xml:space="preserve">Naive:</w:t>
      </w:r>
      <w:r>
        <w:t xml:space="preserve"> </w:t>
      </w:r>
      <m:oMath>
        <m:r>
          <m:t>1</m:t>
        </m:r>
        <m:r>
          <m:rPr>
            <m:sty m:val="p"/>
          </m:rPr>
          <m:t>+</m:t>
        </m:r>
        <m:r>
          <m:t>20</m:t>
        </m:r>
        <m:r>
          <m:rPr>
            <m:sty m:val="p"/>
          </m:rPr>
          <m:t>=</m:t>
        </m:r>
        <m:r>
          <m:t>21</m:t>
        </m:r>
      </m:oMath>
      <w:r>
        <w:t xml:space="preserve">. DataLoader: 2 (one for posts, one batched</w:t>
      </w:r>
      <w:r>
        <w:t xml:space="preserve"> </w:t>
      </w:r>
      <w:r>
        <w:rPr>
          <w:rStyle w:val="VerbatimChar"/>
        </w:rPr>
        <w:t xml:space="preserve">IN</w:t>
      </w:r>
      <w:r>
        <w:t xml:space="preserve"> </w:t>
      </w:r>
      <w:r>
        <w:t xml:space="preserve">query for distinct authors).</w:t>
      </w:r>
    </w:p>
    <w:p>
      <w:pPr>
        <w:numPr>
          <w:ilvl w:val="0"/>
          <w:numId w:val="1288"/>
        </w:numPr>
        <w:pStyle w:val="Compact"/>
      </w:pPr>
      <w:r>
        <w:t xml:space="preserve">Its cache would otherwise serve one user’s data (possibly unauthorized) to another user and return stale data across requests.</w:t>
      </w:r>
    </w:p>
    <w:p>
      <w:pPr>
        <w:numPr>
          <w:ilvl w:val="0"/>
          <w:numId w:val="1288"/>
        </w:numPr>
        <w:pStyle w:val="Compact"/>
      </w:pPr>
      <w:r>
        <w:t xml:space="preserve">Unary (fetch an order); server streaming (status updates, tailing logs); client streaming (uploading telemetry in chunks); bidirectional (chat, live transcription).</w:t>
      </w:r>
    </w:p>
    <w:p>
      <w:pPr>
        <w:numPr>
          <w:ilvl w:val="0"/>
          <w:numId w:val="1288"/>
        </w:numPr>
        <w:pStyle w:val="Compact"/>
      </w:pPr>
      <w:r>
        <w:t xml:space="preserve">The client waits indefinitely, holding a thread or connection and memory; under load such calls accumulate and can exhaust the caller, cascading up the call chain.</w:t>
      </w:r>
    </w:p>
    <w:p>
      <w:pPr>
        <w:numPr>
          <w:ilvl w:val="0"/>
          <w:numId w:val="1288"/>
        </w:numPr>
        <w:pStyle w:val="Compact"/>
      </w:pPr>
      <w:r>
        <w:t xml:space="preserve">300 =</w:t>
      </w:r>
      <w:r>
        <w:t xml:space="preserve"> </w:t>
      </w:r>
      <w:r>
        <w:rPr>
          <w:rStyle w:val="VerbatimChar"/>
        </w:rPr>
        <w:t xml:space="preserve">1 0010 1100</w:t>
      </w:r>
      <w:r>
        <w:t xml:space="preserve">. Low 7 bits</w:t>
      </w:r>
      <w:r>
        <w:t xml:space="preserve"> </w:t>
      </w:r>
      <w:r>
        <w:rPr>
          <w:rStyle w:val="VerbatimChar"/>
        </w:rPr>
        <w:t xml:space="preserve">010 1100</w:t>
      </w:r>
      <w:r>
        <w:t xml:space="preserve"> </w:t>
      </w:r>
      <w:r>
        <w:t xml:space="preserve">= 0x2C, plus continuation bit →</w:t>
      </w:r>
      <w:r>
        <w:t xml:space="preserve"> </w:t>
      </w:r>
      <w:r>
        <w:rPr>
          <w:rStyle w:val="VerbatimChar"/>
        </w:rPr>
        <w:t xml:space="preserve">ac</w:t>
      </w:r>
      <w:r>
        <w:t xml:space="preserve">; remaining bits</w:t>
      </w:r>
      <w:r>
        <w:t xml:space="preserve"> </w:t>
      </w:r>
      <w:r>
        <w:rPr>
          <w:rStyle w:val="VerbatimChar"/>
        </w:rPr>
        <w:t xml:space="preserve">10</w:t>
      </w:r>
      <w:r>
        <w:t xml:space="preserve"> </w:t>
      </w:r>
      <w:r>
        <w:t xml:space="preserve">→</w:t>
      </w:r>
      <w:r>
        <w:t xml:space="preserve"> </w:t>
      </w:r>
      <w:r>
        <w:rPr>
          <w:rStyle w:val="VerbatimChar"/>
        </w:rPr>
        <w:t xml:space="preserve">02</w:t>
      </w:r>
      <w:r>
        <w:t xml:space="preserve">. Result:</w:t>
      </w:r>
      <w:r>
        <w:t xml:space="preserve"> </w:t>
      </w:r>
      <w:r>
        <w:rPr>
          <w:rStyle w:val="VerbatimChar"/>
        </w:rPr>
        <w:t xml:space="preserve">ac 02</w:t>
      </w:r>
      <w:r>
        <w:t xml:space="preserve">.</w:t>
      </w:r>
    </w:p>
    <w:p>
      <w:pPr>
        <w:numPr>
          <w:ilvl w:val="0"/>
          <w:numId w:val="1288"/>
        </w:numPr>
        <w:pStyle w:val="Compact"/>
      </w:pPr>
      <w:r>
        <w:t xml:space="preserve">Old data or old clients would interpret the new field’s bytes as the old field, causing silent corruption. Avro needs the writer’s schema (from a file header or schema registry) and resolves fields by name, using defaults.</w:t>
      </w:r>
    </w:p>
    <w:p>
      <w:pPr>
        <w:numPr>
          <w:ilvl w:val="0"/>
          <w:numId w:val="1288"/>
        </w:numPr>
        <w:pStyle w:val="Compact"/>
      </w:pPr>
      <w:r>
        <w:rPr>
          <w:rStyle w:val="VerbatimChar"/>
        </w:rPr>
        <w:t xml:space="preserve">Secure</w:t>
      </w:r>
      <w:r>
        <w:t xml:space="preserve">: leakage over unencrypted HTTP.</w:t>
      </w:r>
      <w:r>
        <w:t xml:space="preserve"> </w:t>
      </w:r>
      <w:r>
        <w:rPr>
          <w:rStyle w:val="VerbatimChar"/>
        </w:rPr>
        <w:t xml:space="preserve">HttpOnly</w:t>
      </w:r>
      <w:r>
        <w:t xml:space="preserve">: theft of the cookie by JavaScript injected through XSS.</w:t>
      </w:r>
      <w:r>
        <w:t xml:space="preserve"> </w:t>
      </w:r>
      <w:r>
        <w:rPr>
          <w:rStyle w:val="VerbatimChar"/>
        </w:rPr>
        <w:t xml:space="preserve">SameSite=Lax</w:t>
      </w:r>
      <w:r>
        <w:t xml:space="preserve">: the cookie being sent on cross-site POSTs and subresource requests, that is, CSRF.</w:t>
      </w:r>
    </w:p>
    <w:p>
      <w:pPr>
        <w:numPr>
          <w:ilvl w:val="0"/>
          <w:numId w:val="1288"/>
        </w:numPr>
        <w:pStyle w:val="Compact"/>
      </w:pPr>
      <w:r>
        <w:t xml:space="preserve">Advantage: no store lookup and no shared infrastructure. Disadvantage: cannot be revoked individually before expiry; limited to ~4 KB sent on every request; contents readable by the user.</w:t>
      </w:r>
    </w:p>
    <w:p>
      <w:pPr>
        <w:numPr>
          <w:ilvl w:val="0"/>
          <w:numId w:val="1288"/>
        </w:numPr>
        <w:pStyle w:val="Compact"/>
      </w:pPr>
      <w:r>
        <w:t xml:space="preserve">An attacker controls the header. They could set</w:t>
      </w:r>
      <w:r>
        <w:t xml:space="preserve"> </w:t>
      </w:r>
      <w:r>
        <w:rPr>
          <w:rStyle w:val="VerbatimChar"/>
        </w:rPr>
        <w:t xml:space="preserve">alg: none</w:t>
      </w:r>
      <w:r>
        <w:t xml:space="preserve">, or</w:t>
      </w:r>
      <w:r>
        <w:t xml:space="preserve"> </w:t>
      </w:r>
      <w:r>
        <w:rPr>
          <w:rStyle w:val="VerbatimChar"/>
        </w:rPr>
        <w:t xml:space="preserve">HS256</w:t>
      </w:r>
      <w:r>
        <w:t xml:space="preserve"> </w:t>
      </w:r>
      <w:r>
        <w:t xml:space="preserve">and sign with the server’s public RSA key as the HMAC secret (algorithm confusion). The server must use its configured algorithm allow-list.</w:t>
      </w:r>
    </w:p>
    <w:p>
      <w:pPr>
        <w:numPr>
          <w:ilvl w:val="0"/>
          <w:numId w:val="1288"/>
        </w:numPr>
        <w:pStyle w:val="Compact"/>
      </w:pPr>
      <w:r>
        <w:t xml:space="preserve">The code is useless without the code verifier, which never travels through the browser; only its SHA-256 hash does, and the hash cannot be inverted.</w:t>
      </w:r>
    </w:p>
    <w:p>
      <w:pPr>
        <w:numPr>
          <w:ilvl w:val="0"/>
          <w:numId w:val="1288"/>
        </w:numPr>
        <w:pStyle w:val="Compact"/>
      </w:pPr>
      <w:r>
        <w:t xml:space="preserve">A standard identity layer: the</w:t>
      </w:r>
      <w:r>
        <w:t xml:space="preserve"> </w:t>
      </w:r>
      <w:r>
        <w:rPr>
          <w:rStyle w:val="VerbatimChar"/>
        </w:rPr>
        <w:t xml:space="preserve">openid</w:t>
      </w:r>
      <w:r>
        <w:t xml:space="preserve"> </w:t>
      </w:r>
      <w:r>
        <w:t xml:space="preserve">scope, the ID token (a JWT about the authenticated user with audience = client), the UserInfo endpoint, standard claims, nonce-based replay protection and discovery metadata.</w:t>
      </w:r>
    </w:p>
    <w:p>
      <w:pPr>
        <w:numPr>
          <w:ilvl w:val="0"/>
          <w:numId w:val="1288"/>
        </w:numPr>
        <w:pStyle w:val="Compact"/>
      </w:pPr>
      <w:r>
        <w:t xml:space="preserve">Non-breaking; breaking; breaking.</w:t>
      </w:r>
    </w:p>
    <w:bookmarkEnd w:id="944"/>
    <w:bookmarkStart w:id="948" w:name="interview-questions-7"/>
    <w:p>
      <w:pPr>
        <w:pStyle w:val="Heading2"/>
      </w:pPr>
      <w:r>
        <w:t xml:space="preserve">8.19 Interview questions</w:t>
      </w:r>
    </w:p>
    <w:bookmarkStart w:id="945" w:name="basic-7"/>
    <w:p>
      <w:pPr>
        <w:pStyle w:val="Heading3"/>
      </w:pPr>
      <w:r>
        <w:t xml:space="preserve">Basic</w:t>
      </w:r>
    </w:p>
    <w:p>
      <w:pPr>
        <w:pStyle w:val="FirstParagraph"/>
      </w:pPr>
      <w:r>
        <w:rPr>
          <w:bCs/>
          <w:b/>
        </w:rPr>
        <w:t xml:space="preserve">Q1. Walk me through what happens when a user types a URL and presses Enter.</w:t>
      </w:r>
      <w:r>
        <w:t xml:space="preserve"> </w:t>
      </w:r>
      <w:r>
        <w:rPr>
          <w:bCs/>
          <w:b/>
        </w:rPr>
        <w:t xml:space="preserve">Answer.</w:t>
      </w:r>
      <w:r>
        <w:t xml:space="preserve"> </w:t>
      </w:r>
      <w:r>
        <w:t xml:space="preserve">The browser parses the URL and checks its HTTP cache. It resolves the host name through DNS (OS cache, then recursive resolver, then authoritative servers), opens a TCP connection (one RTT) and performs a TLS 1.3 handshake (one RTT), or a combined QUIC handshake on HTTP/3. It sends the HTTP request with headers and cookies. A load balancer terminates TLS, routes on host and path, and forwards to a healthy backend over a pooled connection. The web server passes it to the application, where middleware authenticates, rate-limits and routes to a handler; the handler authorizes, reads cache and database, serializes a response and returns it back through the chain. The browser parses and renders, fetching subresources, often over the same connection. Strong answers attach rough numbers to each hop and note which steps connection reuse and CDNs remove.</w:t>
      </w:r>
    </w:p>
    <w:p>
      <w:pPr>
        <w:pStyle w:val="BodyText"/>
      </w:pPr>
      <w:r>
        <w:rPr>
          <w:bCs/>
          <w:b/>
        </w:rPr>
        <w:t xml:space="preserve">Q2. What is the difference between PUT, PATCH and POST?</w:t>
      </w:r>
      <w:r>
        <w:t xml:space="preserve"> </w:t>
      </w:r>
      <w:r>
        <w:rPr>
          <w:bCs/>
          <w:b/>
        </w:rPr>
        <w:t xml:space="preserve">Answer.</w:t>
      </w:r>
      <w:r>
        <w:t xml:space="preserve"> </w:t>
      </w:r>
      <w:r>
        <w:t xml:space="preserve">POST asks the target collection or resource to process the body, commonly creating a resource whose URI the server chooses; it is not idempotent. PUT creates or completely replaces the resource at the URI the client names; it is idempotent. PATCH applies a partial modification; it is not guaranteed idempotent (an</w:t>
      </w:r>
      <w:r>
        <w:t xml:space="preserve"> </w:t>
      </w:r>
      <w:r>
        <w:t xml:space="preserve">“</w:t>
      </w:r>
      <w:r>
        <w:t xml:space="preserve">increment</w:t>
      </w:r>
      <w:r>
        <w:t xml:space="preserve">”</w:t>
      </w:r>
      <w:r>
        <w:t xml:space="preserve"> </w:t>
      </w:r>
      <w:r>
        <w:t xml:space="preserve">patch is not). Retries are therefore safe for PUT but need idempotency keys for POST.</w:t>
      </w:r>
    </w:p>
    <w:p>
      <w:pPr>
        <w:pStyle w:val="BodyText"/>
      </w:pPr>
      <w:r>
        <w:rPr>
          <w:bCs/>
          <w:b/>
        </w:rPr>
        <w:t xml:space="preserve">Q3. Cookies or tokens for authentication?</w:t>
      </w:r>
      <w:r>
        <w:t xml:space="preserve"> </w:t>
      </w:r>
      <w:r>
        <w:rPr>
          <w:bCs/>
          <w:b/>
        </w:rPr>
        <w:t xml:space="preserve">Answer.</w:t>
      </w:r>
      <w:r>
        <w:t xml:space="preserve"> </w:t>
      </w:r>
      <w:r>
        <w:t xml:space="preserve">For a first-party browser application, an opaque session ID in a</w:t>
      </w:r>
      <w:r>
        <w:t xml:space="preserve"> </w:t>
      </w:r>
      <w:r>
        <w:rPr>
          <w:rStyle w:val="VerbatimChar"/>
        </w:rPr>
        <w:t xml:space="preserve">Secure; HttpOnly; SameSite</w:t>
      </w:r>
      <w:r>
        <w:t xml:space="preserve"> </w:t>
      </w:r>
      <w:r>
        <w:t xml:space="preserve">cookie is simple and secure and allows instant logout. For APIs consumed by mobile apps, other services or third parties, short-lived bearer tokens (often JWTs) obtained through OAuth fit better, because any service can verify them without a shared store. Many systems combine them: the browser holds a session cookie with a BFF, which holds tokens and calls services with them.</w:t>
      </w:r>
    </w:p>
    <w:bookmarkEnd w:id="945"/>
    <w:bookmarkStart w:id="946" w:name="intermediate-7"/>
    <w:p>
      <w:pPr>
        <w:pStyle w:val="Heading3"/>
      </w:pPr>
      <w:r>
        <w:t xml:space="preserve">Intermediate</w:t>
      </w:r>
    </w:p>
    <w:p>
      <w:pPr>
        <w:pStyle w:val="FirstParagraph"/>
      </w:pPr>
      <w:r>
        <w:rPr>
          <w:bCs/>
          <w:b/>
        </w:rPr>
        <w:t xml:space="preserve">Q4. Design pagination for an activity feed API with 500 million rows and constant inserts.</w:t>
      </w:r>
      <w:r>
        <w:t xml:space="preserve"> </w:t>
      </w:r>
      <w:r>
        <w:rPr>
          <w:bCs/>
          <w:b/>
        </w:rPr>
        <w:t xml:space="preserve">Answer.</w:t>
      </w:r>
      <w:r>
        <w:t xml:space="preserve"> </w:t>
      </w:r>
      <w:r>
        <w:t xml:space="preserve">Use cursor (keyset) pagination ordered by</w:t>
      </w:r>
      <w:r>
        <w:t xml:space="preserve"> </w:t>
      </w:r>
      <w:r>
        <w:rPr>
          <w:rStyle w:val="VerbatimChar"/>
        </w:rPr>
        <w:t xml:space="preserve">(created_at DESC, id DESC)</w:t>
      </w:r>
      <w:r>
        <w:t xml:space="preserve">, backed by a composite index (per user, if the feed is per user:</w:t>
      </w:r>
      <w:r>
        <w:t xml:space="preserve"> </w:t>
      </w:r>
      <w:r>
        <w:rPr>
          <w:rStyle w:val="VerbatimChar"/>
        </w:rPr>
        <w:t xml:space="preserve">(user_id, created_at DESC, id DESC)</w:t>
      </w:r>
      <w:r>
        <w:t xml:space="preserve">). The response returns</w:t>
      </w:r>
      <w:r>
        <w:t xml:space="preserve"> </w:t>
      </w:r>
      <w:r>
        <w:rPr>
          <w:rStyle w:val="VerbatimChar"/>
        </w:rPr>
        <w:t xml:space="preserve">data</w:t>
      </w:r>
      <w:r>
        <w:t xml:space="preserve"> </w:t>
      </w:r>
      <w:r>
        <w:t xml:space="preserve">and an opaque</w:t>
      </w:r>
      <w:r>
        <w:t xml:space="preserve"> </w:t>
      </w:r>
      <w:r>
        <w:rPr>
          <w:rStyle w:val="VerbatimChar"/>
        </w:rPr>
        <w:t xml:space="preserve">next_cursor</w:t>
      </w:r>
      <w:r>
        <w:t xml:space="preserve"> </w:t>
      </w:r>
      <w:r>
        <w:t xml:space="preserve">encoding the last row’s sort key, base64url-encoded and HMAC-signed, optionally with an expiry and a hash of the filter parameters. Query with a row-value comparison and</w:t>
      </w:r>
      <w:r>
        <w:t xml:space="preserve"> </w:t>
      </w:r>
      <w:r>
        <w:rPr>
          <w:rStyle w:val="VerbatimChar"/>
        </w:rPr>
        <w:t xml:space="preserve">LIMIT n+1</w:t>
      </w:r>
      <w:r>
        <w:t xml:space="preserve"> </w:t>
      </w:r>
      <w:r>
        <w:t xml:space="preserve">to detect more pages. Cap</w:t>
      </w:r>
      <w:r>
        <w:t xml:space="preserve"> </w:t>
      </w:r>
      <w:r>
        <w:rPr>
          <w:rStyle w:val="VerbatimChar"/>
        </w:rPr>
        <w:t xml:space="preserve">limit</w:t>
      </w:r>
      <w:r>
        <w:t xml:space="preserve"> </w:t>
      </w:r>
      <w:r>
        <w:t xml:space="preserve">at, say, 100. Omit total counts or serve approximate ones. Explain why offset fails: cost grows linearly with depth (deep pages walk millions of rows) and inserts cause duplicates. Mention that cursors survive deletes of the boundary row because the comparison is on values, not on row existence.</w:t>
      </w:r>
    </w:p>
    <w:p>
      <w:pPr>
        <w:pStyle w:val="BodyText"/>
      </w:pPr>
      <w:r>
        <w:rPr>
          <w:bCs/>
          <w:b/>
        </w:rPr>
        <w:t xml:space="preserve">Q5. Your GraphQL API’s database load tripled after a new mobile screen launched. Diagnose and fix.</w:t>
      </w:r>
      <w:r>
        <w:t xml:space="preserve"> </w:t>
      </w:r>
      <w:r>
        <w:rPr>
          <w:bCs/>
          <w:b/>
        </w:rPr>
        <w:t xml:space="preserve">Answer.</w:t>
      </w:r>
      <w:r>
        <w:t xml:space="preserve"> </w:t>
      </w:r>
      <w:r>
        <w:t xml:space="preserve">Likely N+1 resolution on nested lists, possibly compounded by a query requesting large page sizes or deep nesting. Confirm with per-request query counts and resolver tracing. Fix with per-request DataLoaders for every relation field (batch by parent IDs, dedupe), enforce maximum</w:t>
      </w:r>
      <w:r>
        <w:t xml:space="preserve"> </w:t>
      </w:r>
      <w:r>
        <w:rPr>
          <w:rStyle w:val="VerbatimChar"/>
        </w:rPr>
        <w:t xml:space="preserve">first</w:t>
      </w:r>
      <w:r>
        <w:t xml:space="preserve"> </w:t>
      </w:r>
      <w:r>
        <w:t xml:space="preserve">values, add query-cost analysis with per-client budgets, and use persisted queries so the expensive query can be reviewed and cached. Consider caching hot entities in the batch functions.</w:t>
      </w:r>
    </w:p>
    <w:p>
      <w:pPr>
        <w:pStyle w:val="BodyText"/>
      </w:pPr>
      <w:r>
        <w:rPr>
          <w:bCs/>
          <w:b/>
        </w:rPr>
        <w:t xml:space="preserve">Q6. How do you revoke access for a user whose laptop was stolen, if your APIs use JWT access tokens?</w:t>
      </w:r>
      <w:r>
        <w:t xml:space="preserve"> </w:t>
      </w:r>
      <w:r>
        <w:rPr>
          <w:bCs/>
          <w:b/>
        </w:rPr>
        <w:t xml:space="preserve">Answer.</w:t>
      </w:r>
      <w:r>
        <w:t xml:space="preserve"> </w:t>
      </w:r>
      <w:r>
        <w:t xml:space="preserve">Revoke their refresh tokens at the authorization server (so no new access tokens are minted) and end their server-side sessions. For outstanding access tokens, either accept exposure until expiry (keep TTLs at 5–15 minutes) or push a deny-list entry — by</w:t>
      </w:r>
      <w:r>
        <w:t xml:space="preserve"> </w:t>
      </w:r>
      <w:r>
        <w:rPr>
          <w:rStyle w:val="VerbatimChar"/>
        </w:rPr>
        <w:t xml:space="preserve">jti</w:t>
      </w:r>
      <w:r>
        <w:t xml:space="preserve">, or</w:t>
      </w:r>
      <w:r>
        <w:t xml:space="preserve"> </w:t>
      </w:r>
      <w:r>
        <w:t xml:space="preserve">“</w:t>
      </w:r>
      <w:r>
        <w:t xml:space="preserve">all tokens for</w:t>
      </w:r>
      <w:r>
        <w:t xml:space="preserve"> </w:t>
      </w:r>
      <w:r>
        <w:rPr>
          <w:rStyle w:val="VerbatimChar"/>
        </w:rPr>
        <w:t xml:space="preserve">sub</w:t>
      </w:r>
      <w:r>
        <w:t xml:space="preserve"> </w:t>
      </w:r>
      <w:r>
        <w:t xml:space="preserve">issued before T</w:t>
      </w:r>
      <w:r>
        <w:t xml:space="preserve">”</w:t>
      </w:r>
      <w:r>
        <w:t xml:space="preserve"> </w:t>
      </w:r>
      <w:r>
        <w:t xml:space="preserve">— to a replicated store or in-memory cache in every resource server, checked during validation. Entries can expire with the tokens, so the list stays small. High-risk operations can additionally require introspection or step-up authentication.</w:t>
      </w:r>
    </w:p>
    <w:bookmarkEnd w:id="946"/>
    <w:bookmarkStart w:id="947" w:name="advanced-7"/>
    <w:p>
      <w:pPr>
        <w:pStyle w:val="Heading3"/>
      </w:pPr>
      <w:r>
        <w:t xml:space="preserve">Advanced</w:t>
      </w:r>
    </w:p>
    <w:p>
      <w:pPr>
        <w:pStyle w:val="FirstParagraph"/>
      </w:pPr>
      <w:r>
        <w:rPr>
          <w:bCs/>
          <w:b/>
        </w:rPr>
        <w:t xml:space="preserve">Q7. Design authorization for a document-collaboration product with folders, nested groups and link sharing, serving 100,000 checks per second at p99 under 20 ms.</w:t>
      </w:r>
      <w:r>
        <w:t xml:space="preserve"> </w:t>
      </w:r>
      <w:r>
        <w:rPr>
          <w:bCs/>
          <w:b/>
        </w:rPr>
        <w:t xml:space="preserve">Answer.</w:t>
      </w:r>
      <w:r>
        <w:t xml:space="preserve"> </w:t>
      </w:r>
      <w:r>
        <w:t xml:space="preserve">Use ReBAC in the Zanzibar style. Store tuples</w:t>
      </w:r>
      <w:r>
        <w:t xml:space="preserve"> </w:t>
      </w:r>
      <w:r>
        <w:rPr>
          <w:rStyle w:val="VerbatimChar"/>
        </w:rPr>
        <w:t xml:space="preserve">object#relation@subject</w:t>
      </w:r>
      <w:r>
        <w:t xml:space="preserve"> </w:t>
      </w:r>
      <w:r>
        <w:t xml:space="preserve">(subjects can be usersets like</w:t>
      </w:r>
      <w:r>
        <w:t xml:space="preserve"> </w:t>
      </w:r>
      <w:r>
        <w:rPr>
          <w:rStyle w:val="VerbatimChar"/>
        </w:rPr>
        <w:t xml:space="preserve">group:eng#member</w:t>
      </w:r>
      <w:r>
        <w:t xml:space="preserve">) in a partitioned, replicated store, partitioned by object ID. Define namespace rewrite rules: owner ⊂ editor ⊂ commenter ⊂ viewer, and viewer inherited from parent folder; link sharing is a tuple with a special subject such as</w:t>
      </w:r>
      <w:r>
        <w:t xml:space="preserve"> </w:t>
      </w:r>
      <w:r>
        <w:rPr>
          <w:rStyle w:val="VerbatimChar"/>
        </w:rPr>
        <w:t xml:space="preserve">anyone-with-link</w:t>
      </w:r>
      <w:r>
        <w:t xml:space="preserve">. A check service evaluates the rewrite graph with memoization of sub-results, request deduplication, depth limits and a precomputed membership index for large nested groups. For freshness, return a consistency token with each ACL or content write and evaluate later checks at a snapshot at least that recent, avoiding the new-enemy problem; otherwise allow slightly stale cached results for latency. Provide list/filter APIs (</w:t>
      </w:r>
      <w:r>
        <w:t xml:space="preserve">“</w:t>
      </w:r>
      <w:r>
        <w:t xml:space="preserve">which of these 50 docs can Alice see?</w:t>
      </w:r>
      <w:r>
        <w:t xml:space="preserve">”</w:t>
      </w:r>
      <w:r>
        <w:t xml:space="preserve">) as batched checks. Discuss failure modes: the authorization service on every read path must be multi-region and degrade by failing closed; audit logs of tuple changes; and the cost of deep nesting.</w:t>
      </w:r>
    </w:p>
    <w:p>
      <w:pPr>
        <w:pStyle w:val="BodyText"/>
      </w:pPr>
      <w:r>
        <w:rPr>
          <w:bCs/>
          <w:b/>
        </w:rPr>
        <w:t xml:space="preserve">Q8. Your company runs 300 microservices with a mix of REST/JSON and gRPC. Propose an inter-service API strategy, including versioning and schema evolution.</w:t>
      </w:r>
      <w:r>
        <w:t xml:space="preserve"> </w:t>
      </w:r>
      <w:r>
        <w:rPr>
          <w:bCs/>
          <w:b/>
        </w:rPr>
        <w:t xml:space="preserve">Answer.</w:t>
      </w:r>
      <w:r>
        <w:t xml:space="preserve"> </w:t>
      </w:r>
      <w:r>
        <w:t xml:space="preserve">Default to gRPC with Protobuf for internal synchronous calls: compact, typed, streaming, deadline propagation. Keep all</w:t>
      </w:r>
      <w:r>
        <w:t xml:space="preserve"> </w:t>
      </w:r>
      <w:r>
        <w:rPr>
          <w:rStyle w:val="VerbatimChar"/>
        </w:rPr>
        <w:t xml:space="preserve">.proto</w:t>
      </w:r>
      <w:r>
        <w:t xml:space="preserve"> </w:t>
      </w:r>
      <w:r>
        <w:t xml:space="preserve">files in a central schema repository with linting and breaking-change detection in CI; version by package (</w:t>
      </w:r>
      <w:r>
        <w:rPr>
          <w:rStyle w:val="VerbatimChar"/>
        </w:rPr>
        <w:t xml:space="preserve">orders.v1</w:t>
      </w:r>
      <w:r>
        <w:t xml:space="preserve">), additive changes only within a version. Expose public and partner APIs as REST/JSON with OpenAPI, generated or transcoded from the same definitions where possible, with RFC 9457 errors and date-based or major-version URIs. Mandate deadlines on every call, propagation of deadline and trace context, and status-code-based retry policies with budgets. Use L7 or client-side load balancing for HTTP/2. For asynchronous events, use Avro or Protobuf with a schema registry enforcing backward/forward compatibility. Measure the usage of every deprecated field and method before removal.</w:t>
      </w:r>
    </w:p>
    <w:p>
      <w:pPr>
        <w:pStyle w:val="BodyText"/>
      </w:pPr>
      <w:r>
        <w:rPr>
          <w:bCs/>
          <w:b/>
        </w:rPr>
        <w:t xml:space="preserve">Q9. Walk through the security of a SPA that signs users in with an external identity provider and calls your API.</w:t>
      </w:r>
      <w:r>
        <w:t xml:space="preserve"> </w:t>
      </w:r>
      <w:r>
        <w:rPr>
          <w:bCs/>
          <w:b/>
        </w:rPr>
        <w:t xml:space="preserve">Answer.</w:t>
      </w:r>
      <w:r>
        <w:t xml:space="preserve"> </w:t>
      </w:r>
      <w:r>
        <w:t xml:space="preserve">The SPA is a public client, so use the authorization code flow with PKCE (S256), a random</w:t>
      </w:r>
      <w:r>
        <w:t xml:space="preserve"> </w:t>
      </w:r>
      <w:r>
        <w:rPr>
          <w:rStyle w:val="VerbatimChar"/>
        </w:rPr>
        <w:t xml:space="preserve">state</w:t>
      </w:r>
      <w:r>
        <w:t xml:space="preserve">, and an OIDC</w:t>
      </w:r>
      <w:r>
        <w:t xml:space="preserve"> </w:t>
      </w:r>
      <w:r>
        <w:rPr>
          <w:rStyle w:val="VerbatimChar"/>
        </w:rPr>
        <w:t xml:space="preserve">nonce</w:t>
      </w:r>
      <w:r>
        <w:t xml:space="preserve">; register exact redirect URIs. Preferably run a BFF: the browser holds only an</w:t>
      </w:r>
      <w:r>
        <w:t xml:space="preserve"> </w:t>
      </w:r>
      <w:r>
        <w:rPr>
          <w:rStyle w:val="VerbatimChar"/>
        </w:rPr>
        <w:t xml:space="preserve">HttpOnly; Secure; SameSite=Lax</w:t>
      </w:r>
      <w:r>
        <w:t xml:space="preserve"> </w:t>
      </w:r>
      <w:r>
        <w:t xml:space="preserve">(or Strict),</w:t>
      </w:r>
      <w:r>
        <w:t xml:space="preserve"> </w:t>
      </w:r>
      <w:r>
        <w:rPr>
          <w:rStyle w:val="VerbatimChar"/>
        </w:rPr>
        <w:t xml:space="preserve">__Host-</w:t>
      </w:r>
      <w:r>
        <w:t xml:space="preserve"> </w:t>
      </w:r>
      <w:r>
        <w:t xml:space="preserve">session cookie with the BFF, which performs the code exchange as a confidential client and stores access and refresh tokens server-side, so XSS cannot steal tokens. Validate the ID token (signature via JWKS,</w:t>
      </w:r>
      <w:r>
        <w:t xml:space="preserve"> </w:t>
      </w:r>
      <w:r>
        <w:rPr>
          <w:rStyle w:val="VerbatimChar"/>
        </w:rPr>
        <w:t xml:space="preserve">iss</w:t>
      </w:r>
      <w:r>
        <w:t xml:space="preserve">,</w:t>
      </w:r>
      <w:r>
        <w:t xml:space="preserve"> </w:t>
      </w:r>
      <w:r>
        <w:rPr>
          <w:rStyle w:val="VerbatimChar"/>
        </w:rPr>
        <w:t xml:space="preserve">aud</w:t>
      </w:r>
      <w:r>
        <w:t xml:space="preserve"> </w:t>
      </w:r>
      <w:r>
        <w:t xml:space="preserve">= client ID,</w:t>
      </w:r>
      <w:r>
        <w:t xml:space="preserve"> </w:t>
      </w:r>
      <w:r>
        <w:rPr>
          <w:rStyle w:val="VerbatimChar"/>
        </w:rPr>
        <w:t xml:space="preserve">exp</w:t>
      </w:r>
      <w:r>
        <w:t xml:space="preserve">,</w:t>
      </w:r>
      <w:r>
        <w:t xml:space="preserve"> </w:t>
      </w:r>
      <w:r>
        <w:rPr>
          <w:rStyle w:val="VerbatimChar"/>
        </w:rPr>
        <w:t xml:space="preserve">nonce</w:t>
      </w:r>
      <w:r>
        <w:t xml:space="preserve">) and identify users by (</w:t>
      </w:r>
      <w:r>
        <w:rPr>
          <w:rStyle w:val="VerbatimChar"/>
        </w:rPr>
        <w:t xml:space="preserve">iss</w:t>
      </w:r>
      <w:r>
        <w:t xml:space="preserve">,</w:t>
      </w:r>
      <w:r>
        <w:t xml:space="preserve"> </w:t>
      </w:r>
      <w:r>
        <w:rPr>
          <w:rStyle w:val="VerbatimChar"/>
        </w:rPr>
        <w:t xml:space="preserve">sub</w:t>
      </w:r>
      <w:r>
        <w:t xml:space="preserve">). The API validates access tokens with pinned algorithms,</w:t>
      </w:r>
      <w:r>
        <w:t xml:space="preserve"> </w:t>
      </w:r>
      <w:r>
        <w:rPr>
          <w:rStyle w:val="VerbatimChar"/>
        </w:rPr>
        <w:t xml:space="preserve">aud</w:t>
      </w:r>
      <w:r>
        <w:t xml:space="preserve"> </w:t>
      </w:r>
      <w:r>
        <w:t xml:space="preserve">= API, scopes, and short TTLs; refresh tokens rotate with reuse detection. Add CSRF protection for state-changing BFF endpoints, a strict Content Security Policy, and an authorization check on every object access.</w:t>
      </w:r>
    </w:p>
    <w:bookmarkEnd w:id="947"/>
    <w:bookmarkEnd w:id="948"/>
    <w:bookmarkStart w:id="949" w:name="practical-exercises-7"/>
    <w:p>
      <w:pPr>
        <w:pStyle w:val="Heading2"/>
      </w:pPr>
      <w:r>
        <w:t xml:space="preserve">8.20 Practical exercises</w:t>
      </w:r>
    </w:p>
    <w:p>
      <w:pPr>
        <w:numPr>
          <w:ilvl w:val="0"/>
          <w:numId w:val="1289"/>
        </w:numPr>
        <w:pStyle w:val="Compact"/>
      </w:pPr>
      <w:r>
        <w:rPr>
          <w:bCs/>
          <w:b/>
        </w:rPr>
        <w:t xml:space="preserve">Build a small REST API (2–4 h).</w:t>
      </w:r>
      <w:r>
        <w:t xml:space="preserve"> </w:t>
      </w:r>
      <w:r>
        <w:t xml:space="preserve">Extend</w:t>
      </w:r>
      <w:r>
        <w:t xml:space="preserve"> </w:t>
      </w:r>
      <w:r>
        <w:rPr>
          <w:rStyle w:val="VerbatimChar"/>
        </w:rPr>
        <w:t xml:space="preserve">articles_api.py</w:t>
      </w:r>
      <w:r>
        <w:t xml:space="preserve"> </w:t>
      </w:r>
      <w:r>
        <w:t xml:space="preserve">(§8.6.5) into a FastAPI or Flask service backed by SQLite or PostgreSQL with</w:t>
      </w:r>
      <w:r>
        <w:t xml:space="preserve"> </w:t>
      </w:r>
      <w:r>
        <w:rPr>
          <w:rStyle w:val="VerbatimChar"/>
        </w:rPr>
        <w:t xml:space="preserve">POST /v1/articles</w:t>
      </w:r>
      <w:r>
        <w:t xml:space="preserve"> </w:t>
      </w:r>
      <w:r>
        <w:t xml:space="preserve">(201 +</w:t>
      </w:r>
      <w:r>
        <w:t xml:space="preserve"> </w:t>
      </w:r>
      <w:r>
        <w:rPr>
          <w:rStyle w:val="VerbatimChar"/>
        </w:rPr>
        <w:t xml:space="preserve">Location</w:t>
      </w:r>
      <w:r>
        <w:t xml:space="preserve">),</w:t>
      </w:r>
      <w:r>
        <w:t xml:space="preserve"> </w:t>
      </w:r>
      <w:r>
        <w:rPr>
          <w:rStyle w:val="VerbatimChar"/>
        </w:rPr>
        <w:t xml:space="preserve">GET</w:t>
      </w:r>
      <w:r>
        <w:t xml:space="preserve"> </w:t>
      </w:r>
      <w:r>
        <w:t xml:space="preserve">with cursor pagination and filtering by</w:t>
      </w:r>
      <w:r>
        <w:t xml:space="preserve"> </w:t>
      </w:r>
      <w:r>
        <w:rPr>
          <w:rStyle w:val="VerbatimChar"/>
        </w:rPr>
        <w:t xml:space="preserve">status</w:t>
      </w:r>
      <w:r>
        <w:t xml:space="preserve"> </w:t>
      </w:r>
      <w:r>
        <w:t xml:space="preserve">and</w:t>
      </w:r>
      <w:r>
        <w:t xml:space="preserve"> </w:t>
      </w:r>
      <w:r>
        <w:rPr>
          <w:rStyle w:val="VerbatimChar"/>
        </w:rPr>
        <w:t xml:space="preserve">author_id</w:t>
      </w:r>
      <w:r>
        <w:t xml:space="preserve">,</w:t>
      </w:r>
      <w:r>
        <w:t xml:space="preserve"> </w:t>
      </w:r>
      <w:r>
        <w:rPr>
          <w:rStyle w:val="VerbatimChar"/>
        </w:rPr>
        <w:t xml:space="preserve">PATCH</w:t>
      </w:r>
      <w:r>
        <w:t xml:space="preserve"> </w:t>
      </w:r>
      <w:r>
        <w:t xml:space="preserve">with</w:t>
      </w:r>
      <w:r>
        <w:t xml:space="preserve"> </w:t>
      </w:r>
      <w:r>
        <w:rPr>
          <w:rStyle w:val="VerbatimChar"/>
        </w:rPr>
        <w:t xml:space="preserve">If-Match</w:t>
      </w:r>
      <w:r>
        <w:t xml:space="preserve"> </w:t>
      </w:r>
      <w:r>
        <w:t xml:space="preserve">ETags (412 on mismatch), and</w:t>
      </w:r>
      <w:r>
        <w:t xml:space="preserve"> </w:t>
      </w:r>
      <w:r>
        <w:rPr>
          <w:rStyle w:val="VerbatimChar"/>
        </w:rPr>
        <w:t xml:space="preserve">DELETE</w:t>
      </w:r>
      <w:r>
        <w:t xml:space="preserve"> </w:t>
      </w:r>
      <w:r>
        <w:t xml:space="preserve">(204). Protect writes with the JWT dependency of §8.13.3 and scopes</w:t>
      </w:r>
      <w:r>
        <w:t xml:space="preserve"> </w:t>
      </w:r>
      <w:r>
        <w:rPr>
          <w:rStyle w:val="VerbatimChar"/>
        </w:rPr>
        <w:t xml:space="preserve">articles:write</w:t>
      </w:r>
      <w:r>
        <w:t xml:space="preserve"> </w:t>
      </w:r>
      <w:r>
        <w:t xml:space="preserve">and</w:t>
      </w:r>
      <w:r>
        <w:t xml:space="preserve"> </w:t>
      </w:r>
      <w:r>
        <w:rPr>
          <w:rStyle w:val="VerbatimChar"/>
        </w:rPr>
        <w:t xml:space="preserve">articles:delete</w:t>
      </w:r>
      <w:r>
        <w:t xml:space="preserve">. Return RFC 9457 errors throughout. Write tests that page through 1,000 rows while inserting new ones, and assert that no row is returned twice.</w:t>
      </w:r>
    </w:p>
    <w:p>
      <w:pPr>
        <w:numPr>
          <w:ilvl w:val="0"/>
          <w:numId w:val="1289"/>
        </w:numPr>
        <w:pStyle w:val="Compact"/>
      </w:pPr>
      <w:r>
        <w:rPr>
          <w:bCs/>
          <w:b/>
        </w:rPr>
        <w:t xml:space="preserve">Measure offset versus keyset.</w:t>
      </w:r>
      <w:r>
        <w:t xml:space="preserve"> </w:t>
      </w:r>
      <w:r>
        <w:t xml:space="preserve">Load 5 million rows into PostgreSQL. Time</w:t>
      </w:r>
      <w:r>
        <w:t xml:space="preserve"> </w:t>
      </w:r>
      <w:r>
        <w:rPr>
          <w:rStyle w:val="VerbatimChar"/>
        </w:rPr>
        <w:t xml:space="preserve">OFFSET</w:t>
      </w:r>
      <w:r>
        <w:t xml:space="preserve"> </w:t>
      </w:r>
      <w:r>
        <w:t xml:space="preserve">queries at offsets 0, 10⁴, 10⁵ and 10⁶, and the equivalent keyset queries, and read</w:t>
      </w:r>
      <w:r>
        <w:t xml:space="preserve"> </w:t>
      </w:r>
      <w:r>
        <w:rPr>
          <w:rStyle w:val="VerbatimChar"/>
        </w:rPr>
        <w:t xml:space="preserve">EXPLAIN (ANALYZE, BUFFERS)</w:t>
      </w:r>
      <w:r>
        <w:t xml:space="preserve"> </w:t>
      </w:r>
      <w:r>
        <w:t xml:space="preserve">for each. Plot latency against page depth.</w:t>
      </w:r>
    </w:p>
    <w:p>
      <w:pPr>
        <w:numPr>
          <w:ilvl w:val="0"/>
          <w:numId w:val="1289"/>
        </w:numPr>
        <w:pStyle w:val="Compact"/>
      </w:pPr>
      <w:r>
        <w:rPr>
          <w:bCs/>
          <w:b/>
        </w:rPr>
        <w:t xml:space="preserve">Encode by hand.</w:t>
      </w:r>
      <w:r>
        <w:t xml:space="preserve"> </w:t>
      </w:r>
      <w:r>
        <w:t xml:space="preserve">Write a decoder for the varint encoder of §8.9.2 that turns the 33-byte message back into fields, skipping unknown field numbers using the wire type. Add</w:t>
      </w:r>
      <w:r>
        <w:t xml:space="preserve"> </w:t>
      </w:r>
      <w:r>
        <w:rPr>
          <w:rStyle w:val="VerbatimChar"/>
        </w:rPr>
        <w:t xml:space="preserve">sint64</w:t>
      </w:r>
      <w:r>
        <w:t xml:space="preserve"> </w:t>
      </w:r>
      <w:r>
        <w:t xml:space="preserve">ZigZag support and verify against the official</w:t>
      </w:r>
      <w:r>
        <w:t xml:space="preserve"> </w:t>
      </w:r>
      <w:r>
        <w:rPr>
          <w:rStyle w:val="VerbatimChar"/>
        </w:rPr>
        <w:t xml:space="preserve">protobuf</w:t>
      </w:r>
      <w:r>
        <w:t xml:space="preserve"> </w:t>
      </w:r>
      <w:r>
        <w:t xml:space="preserve">library.</w:t>
      </w:r>
    </w:p>
    <w:p>
      <w:pPr>
        <w:numPr>
          <w:ilvl w:val="0"/>
          <w:numId w:val="1289"/>
        </w:numPr>
        <w:pStyle w:val="Compact"/>
      </w:pPr>
      <w:r>
        <w:rPr>
          <w:bCs/>
          <w:b/>
        </w:rPr>
        <w:t xml:space="preserve">Fix an N+1.</w:t>
      </w:r>
      <w:r>
        <w:t xml:space="preserve"> </w:t>
      </w:r>
      <w:r>
        <w:t xml:space="preserve">Implement the blog schema of §8.7.1 with Strawberry or Ariadne (Python) over SQLite, log every SQL statement, and count queries for a request of 50 posts with comments and authors. Add DataLoaders and compare.</w:t>
      </w:r>
    </w:p>
    <w:p>
      <w:pPr>
        <w:numPr>
          <w:ilvl w:val="0"/>
          <w:numId w:val="1289"/>
        </w:numPr>
        <w:pStyle w:val="Compact"/>
      </w:pPr>
      <w:r>
        <w:rPr>
          <w:bCs/>
          <w:b/>
        </w:rPr>
        <w:t xml:space="preserve">OAuth end to end.</w:t>
      </w:r>
      <w:r>
        <w:t xml:space="preserve"> </w:t>
      </w:r>
      <w:r>
        <w:t xml:space="preserve">Run an open-source identity provider (for example Keycloak) locally, register a public client, and implement the authorization code + PKCE flow from a small Python web app, including</w:t>
      </w:r>
      <w:r>
        <w:t xml:space="preserve"> </w:t>
      </w:r>
      <w:r>
        <w:rPr>
          <w:rStyle w:val="VerbatimChar"/>
        </w:rPr>
        <w:t xml:space="preserve">state</w:t>
      </w:r>
      <w:r>
        <w:t xml:space="preserve">,</w:t>
      </w:r>
      <w:r>
        <w:t xml:space="preserve"> </w:t>
      </w:r>
      <w:r>
        <w:rPr>
          <w:rStyle w:val="VerbatimChar"/>
        </w:rPr>
        <w:t xml:space="preserve">nonce</w:t>
      </w:r>
      <w:r>
        <w:t xml:space="preserve"> </w:t>
      </w:r>
      <w:r>
        <w:t xml:space="preserve">and ID-token validation. Then demonstrate that replaying a stolen code without the verifier fails.</w:t>
      </w:r>
    </w:p>
    <w:bookmarkEnd w:id="949"/>
    <w:bookmarkStart w:id="950" w:name="design-challenges-7"/>
    <w:p>
      <w:pPr>
        <w:pStyle w:val="Heading2"/>
      </w:pPr>
      <w:r>
        <w:t xml:space="preserve">8.21 Design challenges</w:t>
      </w:r>
    </w:p>
    <w:p>
      <w:pPr>
        <w:numPr>
          <w:ilvl w:val="0"/>
          <w:numId w:val="1290"/>
        </w:numPr>
        <w:pStyle w:val="Compact"/>
      </w:pPr>
      <w:r>
        <w:rPr>
          <w:bCs/>
          <w:b/>
        </w:rPr>
        <w:t xml:space="preserve">Public API for a payments startup.</w:t>
      </w:r>
      <w:r>
        <w:t xml:space="preserve"> </w:t>
      </w:r>
      <w:r>
        <w:t xml:space="preserve">Design the external API for creating charges, refunds and listing transactions: resource model, idempotency keys, pagination, error types, webhooks, authentication for merchants (API keys vs OAuth for platforms), versioning and deprecation policy. Justify every status code.</w:t>
      </w:r>
    </w:p>
    <w:p>
      <w:pPr>
        <w:numPr>
          <w:ilvl w:val="0"/>
          <w:numId w:val="1290"/>
        </w:numPr>
        <w:pStyle w:val="Compact"/>
      </w:pPr>
      <w:r>
        <w:rPr>
          <w:bCs/>
          <w:b/>
        </w:rPr>
        <w:t xml:space="preserve">One backend, three frontends.</w:t>
      </w:r>
      <w:r>
        <w:t xml:space="preserve"> </w:t>
      </w:r>
      <w:r>
        <w:t xml:space="preserve">A retailer has an SSR website, an iOS/Android app with five live versions, and partner integrations. Choose between REST, GraphQL, BFFs and gRPC for each layer, draw the architecture, and explain how a schema change to</w:t>
      </w:r>
      <w:r>
        <w:t xml:space="preserve"> </w:t>
      </w:r>
      <w:r>
        <w:t xml:space="preserve">“</w:t>
      </w:r>
      <w:r>
        <w:t xml:space="preserve">product price</w:t>
      </w:r>
      <w:r>
        <w:t xml:space="preserve">”</w:t>
      </w:r>
      <w:r>
        <w:t xml:space="preserve"> </w:t>
      </w:r>
      <w:r>
        <w:t xml:space="preserve">rolls out without breaking any client.</w:t>
      </w:r>
    </w:p>
    <w:p>
      <w:pPr>
        <w:numPr>
          <w:ilvl w:val="0"/>
          <w:numId w:val="1290"/>
        </w:numPr>
        <w:pStyle w:val="Compact"/>
      </w:pPr>
      <w:r>
        <w:rPr>
          <w:bCs/>
          <w:b/>
        </w:rPr>
        <w:t xml:space="preserve">Authorization at scale.</w:t>
      </w:r>
      <w:r>
        <w:t xml:space="preserve"> </w:t>
      </w:r>
      <w:r>
        <w:t xml:space="preserve">A B2B SaaS product needs per-tenant roles, per-project sharing and conditional rules (</w:t>
      </w:r>
      <w:r>
        <w:t xml:space="preserve">“</w:t>
      </w:r>
      <w:r>
        <w:t xml:space="preserve">contractors only from the corporate network</w:t>
      </w:r>
      <w:r>
        <w:t xml:space="preserve">”</w:t>
      </w:r>
      <w:r>
        <w:t xml:space="preserve">). Combine RBAC, ReBAC and ABAC; specify the data model, the check API, caching and consistency, and how you would audit</w:t>
      </w:r>
      <w:r>
        <w:t xml:space="preserve"> </w:t>
      </w:r>
      <w:r>
        <w:t xml:space="preserve">“</w:t>
      </w:r>
      <w:r>
        <w:t xml:space="preserve">who can see project X?</w:t>
      </w:r>
      <w:r>
        <w:t xml:space="preserve">”</w:t>
      </w:r>
      <w:r>
        <w:t xml:space="preserve">.</w:t>
      </w:r>
    </w:p>
    <w:bookmarkEnd w:id="950"/>
    <w:bookmarkStart w:id="951" w:name="references-7"/>
    <w:p>
      <w:pPr>
        <w:pStyle w:val="Heading2"/>
      </w:pPr>
      <w:r>
        <w:t xml:space="preserve">8.22 References</w:t>
      </w:r>
    </w:p>
    <w:p>
      <w:pPr>
        <w:numPr>
          <w:ilvl w:val="0"/>
          <w:numId w:val="1291"/>
        </w:numPr>
        <w:pStyle w:val="Compact"/>
      </w:pPr>
      <w:r>
        <w:t xml:space="preserve">Fielding, R. T.</w:t>
      </w:r>
      <w:r>
        <w:t xml:space="preserve"> </w:t>
      </w:r>
      <w:r>
        <w:rPr>
          <w:iCs/>
          <w:i/>
        </w:rPr>
        <w:t xml:space="preserve">Architectural Styles and the Design of Network-based Software Architectures</w:t>
      </w:r>
      <w:r>
        <w:t xml:space="preserve">. Doctoral dissertation, University of California, Irvine, 2000. https://ics.uci.edu/~fielding/pubs/dissertation/top.htm</w:t>
      </w:r>
    </w:p>
    <w:p>
      <w:pPr>
        <w:numPr>
          <w:ilvl w:val="0"/>
          <w:numId w:val="1291"/>
        </w:numPr>
        <w:pStyle w:val="Compact"/>
      </w:pPr>
      <w:r>
        <w:t xml:space="preserve">Fielding, R., Nottingham, M., Reschke, J. (Eds.).</w:t>
      </w:r>
      <w:r>
        <w:t xml:space="preserve"> </w:t>
      </w:r>
      <w:r>
        <w:rPr>
          <w:iCs/>
          <w:i/>
        </w:rPr>
        <w:t xml:space="preserve">HTTP Semantics</w:t>
      </w:r>
      <w:r>
        <w:t xml:space="preserve">. RFC 9110, IETF, 2022. https://www.rfc-editor.org/rfc/rfc9110</w:t>
      </w:r>
    </w:p>
    <w:p>
      <w:pPr>
        <w:numPr>
          <w:ilvl w:val="0"/>
          <w:numId w:val="1291"/>
        </w:numPr>
        <w:pStyle w:val="Compact"/>
      </w:pPr>
      <w:r>
        <w:t xml:space="preserve">Dusseault, L., Snell, J.</w:t>
      </w:r>
      <w:r>
        <w:t xml:space="preserve"> </w:t>
      </w:r>
      <w:r>
        <w:rPr>
          <w:iCs/>
          <w:i/>
        </w:rPr>
        <w:t xml:space="preserve">PATCH Method for HTTP</w:t>
      </w:r>
      <w:r>
        <w:t xml:space="preserve">. RFC 5789, IETF, 2010. https://www.rfc-editor.org/rfc/rfc5789</w:t>
      </w:r>
    </w:p>
    <w:p>
      <w:pPr>
        <w:numPr>
          <w:ilvl w:val="0"/>
          <w:numId w:val="1291"/>
        </w:numPr>
        <w:pStyle w:val="Compact"/>
      </w:pPr>
      <w:r>
        <w:t xml:space="preserve">Nottingham, M., Fielding, R.</w:t>
      </w:r>
      <w:r>
        <w:t xml:space="preserve"> </w:t>
      </w:r>
      <w:r>
        <w:rPr>
          <w:iCs/>
          <w:i/>
        </w:rPr>
        <w:t xml:space="preserve">Additional HTTP Status Codes</w:t>
      </w:r>
      <w:r>
        <w:t xml:space="preserve">. RFC 6585, IETF, 2012. https://www.rfc-editor.org/rfc/rfc6585</w:t>
      </w:r>
    </w:p>
    <w:p>
      <w:pPr>
        <w:numPr>
          <w:ilvl w:val="0"/>
          <w:numId w:val="1291"/>
        </w:numPr>
        <w:pStyle w:val="Compact"/>
      </w:pPr>
      <w:r>
        <w:t xml:space="preserve">Nottingham, M., Wilde, E., Dalal, S.</w:t>
      </w:r>
      <w:r>
        <w:t xml:space="preserve"> </w:t>
      </w:r>
      <w:r>
        <w:rPr>
          <w:iCs/>
          <w:i/>
        </w:rPr>
        <w:t xml:space="preserve">Problem Details for HTTP APIs</w:t>
      </w:r>
      <w:r>
        <w:t xml:space="preserve">. RFC 9457, IETF, 2023. https://www.rfc-editor.org/rfc/rfc9457</w:t>
      </w:r>
    </w:p>
    <w:p>
      <w:pPr>
        <w:numPr>
          <w:ilvl w:val="0"/>
          <w:numId w:val="1291"/>
        </w:numPr>
        <w:pStyle w:val="Compact"/>
      </w:pPr>
      <w:r>
        <w:t xml:space="preserve">Barth, A.</w:t>
      </w:r>
      <w:r>
        <w:t xml:space="preserve"> </w:t>
      </w:r>
      <w:r>
        <w:rPr>
          <w:iCs/>
          <w:i/>
        </w:rPr>
        <w:t xml:space="preserve">HTTP State Management Mechanism</w:t>
      </w:r>
      <w:r>
        <w:t xml:space="preserve">. RFC 6265, IETF, 2011. https://www.rfc-editor.org/rfc/rfc6265</w:t>
      </w:r>
    </w:p>
    <w:p>
      <w:pPr>
        <w:numPr>
          <w:ilvl w:val="0"/>
          <w:numId w:val="1291"/>
        </w:numPr>
        <w:pStyle w:val="Compact"/>
      </w:pPr>
      <w:r>
        <w:t xml:space="preserve">Hardt, D. (Ed.).</w:t>
      </w:r>
      <w:r>
        <w:t xml:space="preserve"> </w:t>
      </w:r>
      <w:r>
        <w:rPr>
          <w:iCs/>
          <w:i/>
        </w:rPr>
        <w:t xml:space="preserve">The OAuth 2.0 Authorization Framework</w:t>
      </w:r>
      <w:r>
        <w:t xml:space="preserve">. RFC 6749, IETF, 2012. https://www.rfc-editor.org/rfc/rfc6749</w:t>
      </w:r>
    </w:p>
    <w:p>
      <w:pPr>
        <w:numPr>
          <w:ilvl w:val="0"/>
          <w:numId w:val="1291"/>
        </w:numPr>
        <w:pStyle w:val="Compact"/>
      </w:pPr>
      <w:r>
        <w:t xml:space="preserve">Jones, M., Hardt, D.</w:t>
      </w:r>
      <w:r>
        <w:t xml:space="preserve"> </w:t>
      </w:r>
      <w:r>
        <w:rPr>
          <w:iCs/>
          <w:i/>
        </w:rPr>
        <w:t xml:space="preserve">The OAuth 2.0 Authorization Framework: Bearer Token Usage</w:t>
      </w:r>
      <w:r>
        <w:t xml:space="preserve">. RFC 6750, IETF, 2012. https://www.rfc-editor.org/rfc/rfc6750</w:t>
      </w:r>
    </w:p>
    <w:p>
      <w:pPr>
        <w:numPr>
          <w:ilvl w:val="0"/>
          <w:numId w:val="1291"/>
        </w:numPr>
        <w:pStyle w:val="Compact"/>
      </w:pPr>
      <w:r>
        <w:t xml:space="preserve">Jones, M., Bradley, J., Sakimura, N.</w:t>
      </w:r>
      <w:r>
        <w:t xml:space="preserve"> </w:t>
      </w:r>
      <w:r>
        <w:rPr>
          <w:iCs/>
          <w:i/>
        </w:rPr>
        <w:t xml:space="preserve">JSON Web Token (JWT)</w:t>
      </w:r>
      <w:r>
        <w:t xml:space="preserve">. RFC 7519, IETF, 2015. https://www.rfc-editor.org/rfc/rfc7519</w:t>
      </w:r>
    </w:p>
    <w:p>
      <w:pPr>
        <w:numPr>
          <w:ilvl w:val="0"/>
          <w:numId w:val="1291"/>
        </w:numPr>
        <w:pStyle w:val="Compact"/>
      </w:pPr>
      <w:r>
        <w:t xml:space="preserve">Sakimura, N., Bradley, J., Agarwal, N.</w:t>
      </w:r>
      <w:r>
        <w:t xml:space="preserve"> </w:t>
      </w:r>
      <w:r>
        <w:rPr>
          <w:iCs/>
          <w:i/>
        </w:rPr>
        <w:t xml:space="preserve">Proof Key for Code Exchange by OAuth Public Clients</w:t>
      </w:r>
      <w:r>
        <w:t xml:space="preserve">. RFC 7636, IETF, 2015. https://www.rfc-editor.org/rfc/rfc7636</w:t>
      </w:r>
    </w:p>
    <w:p>
      <w:pPr>
        <w:numPr>
          <w:ilvl w:val="0"/>
          <w:numId w:val="1291"/>
        </w:numPr>
        <w:pStyle w:val="Compact"/>
      </w:pPr>
      <w:r>
        <w:t xml:space="preserve">Richer, J. (Ed.).</w:t>
      </w:r>
      <w:r>
        <w:t xml:space="preserve"> </w:t>
      </w:r>
      <w:r>
        <w:rPr>
          <w:iCs/>
          <w:i/>
        </w:rPr>
        <w:t xml:space="preserve">OAuth 2.0 Token Introspection</w:t>
      </w:r>
      <w:r>
        <w:t xml:space="preserve">. RFC 7662, IETF, 2015. https://www.rfc-editor.org/rfc/rfc7662</w:t>
      </w:r>
    </w:p>
    <w:p>
      <w:pPr>
        <w:numPr>
          <w:ilvl w:val="0"/>
          <w:numId w:val="1291"/>
        </w:numPr>
        <w:pStyle w:val="Compact"/>
      </w:pPr>
      <w:r>
        <w:t xml:space="preserve">Sheffer, Y., Hardt, D., Jones, M.</w:t>
      </w:r>
      <w:r>
        <w:t xml:space="preserve"> </w:t>
      </w:r>
      <w:r>
        <w:rPr>
          <w:iCs/>
          <w:i/>
        </w:rPr>
        <w:t xml:space="preserve">JSON Web Token Best Current Practices</w:t>
      </w:r>
      <w:r>
        <w:t xml:space="preserve">. RFC 8725, IETF, 2020. https://www.rfc-editor.org/rfc/rfc8725</w:t>
      </w:r>
    </w:p>
    <w:p>
      <w:pPr>
        <w:numPr>
          <w:ilvl w:val="0"/>
          <w:numId w:val="1291"/>
        </w:numPr>
        <w:pStyle w:val="Compact"/>
      </w:pPr>
      <w:r>
        <w:t xml:space="preserve">Lodderstedt, T., Bradley, J., Labunets, A., Fett, D.</w:t>
      </w:r>
      <w:r>
        <w:t xml:space="preserve"> </w:t>
      </w:r>
      <w:r>
        <w:rPr>
          <w:iCs/>
          <w:i/>
        </w:rPr>
        <w:t xml:space="preserve">Best Current Practice for OAuth 2.0 Security</w:t>
      </w:r>
      <w:r>
        <w:t xml:space="preserve">. RFC 9700, IETF, 2025. https://www.rfc-editor.org/rfc/rfc9700</w:t>
      </w:r>
    </w:p>
    <w:p>
      <w:pPr>
        <w:numPr>
          <w:ilvl w:val="0"/>
          <w:numId w:val="1291"/>
        </w:numPr>
        <w:pStyle w:val="Compact"/>
      </w:pPr>
      <w:r>
        <w:t xml:space="preserve">Hardt, D., Parecki, A., Lodderstedt, T.</w:t>
      </w:r>
      <w:r>
        <w:t xml:space="preserve"> </w:t>
      </w:r>
      <w:r>
        <w:rPr>
          <w:iCs/>
          <w:i/>
        </w:rPr>
        <w:t xml:space="preserve">The OAuth 2.1 Authorization Framework</w:t>
      </w:r>
      <w:r>
        <w:t xml:space="preserve">. Internet-Draft draft-ietf-oauth-v2-1-16, IETF, 2026 (work in progress). https://datatracker.ietf.org/doc/draft-ietf-oauth-v2-1/</w:t>
      </w:r>
    </w:p>
    <w:p>
      <w:pPr>
        <w:numPr>
          <w:ilvl w:val="0"/>
          <w:numId w:val="1291"/>
        </w:numPr>
        <w:pStyle w:val="Compact"/>
      </w:pPr>
      <w:r>
        <w:t xml:space="preserve">Denniss, W., Bradley, J., Jones, M., Tschofenig, H.</w:t>
      </w:r>
      <w:r>
        <w:t xml:space="preserve"> </w:t>
      </w:r>
      <w:r>
        <w:rPr>
          <w:iCs/>
          <w:i/>
        </w:rPr>
        <w:t xml:space="preserve">OAuth 2.0 Device Authorization Grant</w:t>
      </w:r>
      <w:r>
        <w:t xml:space="preserve">. RFC 8628, IETF, 2019. https://www.rfc-editor.org/rfc/rfc8628</w:t>
      </w:r>
    </w:p>
    <w:p>
      <w:pPr>
        <w:numPr>
          <w:ilvl w:val="0"/>
          <w:numId w:val="1291"/>
        </w:numPr>
        <w:pStyle w:val="Compact"/>
      </w:pPr>
      <w:r>
        <w:t xml:space="preserve">Sakimura, N., Bradley, J., Jones, M., de Medeiros, B., Mortimore, C.</w:t>
      </w:r>
      <w:r>
        <w:t xml:space="preserve"> </w:t>
      </w:r>
      <w:r>
        <w:rPr>
          <w:iCs/>
          <w:i/>
        </w:rPr>
        <w:t xml:space="preserve">OpenID Connect Core 1.0</w:t>
      </w:r>
      <w:r>
        <w:t xml:space="preserve">. OpenID Foundation, 2014. https://openid.net/specs/openid-connect-core-1_0.html</w:t>
      </w:r>
    </w:p>
    <w:p>
      <w:pPr>
        <w:numPr>
          <w:ilvl w:val="0"/>
          <w:numId w:val="1291"/>
        </w:numPr>
        <w:pStyle w:val="Compact"/>
      </w:pPr>
      <w:r>
        <w:t xml:space="preserve">M’Raihi, D., Machani, S., Pei, M., Rydell, J.</w:t>
      </w:r>
      <w:r>
        <w:t xml:space="preserve"> </w:t>
      </w:r>
      <w:r>
        <w:rPr>
          <w:iCs/>
          <w:i/>
        </w:rPr>
        <w:t xml:space="preserve">TOTP: Time-Based One-Time Password Algorithm</w:t>
      </w:r>
      <w:r>
        <w:t xml:space="preserve">. RFC 6238, IETF, 2011. https://www.rfc-editor.org/rfc/rfc6238</w:t>
      </w:r>
    </w:p>
    <w:p>
      <w:pPr>
        <w:numPr>
          <w:ilvl w:val="0"/>
          <w:numId w:val="1291"/>
        </w:numPr>
        <w:pStyle w:val="Compact"/>
      </w:pPr>
      <w:r>
        <w:t xml:space="preserve">NIST.</w:t>
      </w:r>
      <w:r>
        <w:t xml:space="preserve"> </w:t>
      </w:r>
      <w:r>
        <w:rPr>
          <w:iCs/>
          <w:i/>
        </w:rPr>
        <w:t xml:space="preserve">SP 800-63B-4: Digital Identity Guidelines — Authentication and Authenticator Management</w:t>
      </w:r>
      <w:r>
        <w:t xml:space="preserve">. National Institute of Standards and Technology, 2025. https://pages.nist.gov/800-63-4/sp800-63b.html</w:t>
      </w:r>
    </w:p>
    <w:p>
      <w:pPr>
        <w:numPr>
          <w:ilvl w:val="0"/>
          <w:numId w:val="1291"/>
        </w:numPr>
        <w:pStyle w:val="Compact"/>
      </w:pPr>
      <w:r>
        <w:t xml:space="preserve">Wilde, E.</w:t>
      </w:r>
      <w:r>
        <w:t xml:space="preserve"> </w:t>
      </w:r>
      <w:r>
        <w:rPr>
          <w:iCs/>
          <w:i/>
        </w:rPr>
        <w:t xml:space="preserve">The Sunset HTTP Header Field</w:t>
      </w:r>
      <w:r>
        <w:t xml:space="preserve">. RFC 8594, IETF, 2019. https://www.rfc-editor.org/rfc/rfc8594</w:t>
      </w:r>
    </w:p>
    <w:p>
      <w:pPr>
        <w:numPr>
          <w:ilvl w:val="0"/>
          <w:numId w:val="1291"/>
        </w:numPr>
        <w:pStyle w:val="Compact"/>
      </w:pPr>
      <w:r>
        <w:t xml:space="preserve">Dalal, S., Wilde, E.</w:t>
      </w:r>
      <w:r>
        <w:t xml:space="preserve"> </w:t>
      </w:r>
      <w:r>
        <w:rPr>
          <w:iCs/>
          <w:i/>
        </w:rPr>
        <w:t xml:space="preserve">The Deprecation HTTP Response Header Field</w:t>
      </w:r>
      <w:r>
        <w:t xml:space="preserve">. RFC 9745, IETF, 2025. https://www.rfc-editor.org/rfc/rfc9745</w:t>
      </w:r>
    </w:p>
    <w:p>
      <w:pPr>
        <w:numPr>
          <w:ilvl w:val="0"/>
          <w:numId w:val="1291"/>
        </w:numPr>
        <w:pStyle w:val="Compact"/>
      </w:pPr>
      <w:r>
        <w:t xml:space="preserve">GraphQL Foundation.</w:t>
      </w:r>
      <w:r>
        <w:t xml:space="preserve"> </w:t>
      </w:r>
      <w:r>
        <w:rPr>
          <w:iCs/>
          <w:i/>
        </w:rPr>
        <w:t xml:space="preserve">GraphQL Specification</w:t>
      </w:r>
      <w:r>
        <w:t xml:space="preserve">, September 2025 Edition. 2025. https://spec.graphql.org/September2025/</w:t>
      </w:r>
    </w:p>
    <w:p>
      <w:pPr>
        <w:numPr>
          <w:ilvl w:val="0"/>
          <w:numId w:val="1291"/>
        </w:numPr>
        <w:pStyle w:val="Compact"/>
      </w:pPr>
      <w:r>
        <w:t xml:space="preserve">Byron, L.</w:t>
      </w:r>
      <w:r>
        <w:t xml:space="preserve"> </w:t>
      </w:r>
      <w:r>
        <w:rPr>
          <w:iCs/>
          <w:i/>
        </w:rPr>
        <w:t xml:space="preserve">GraphQL: A data query language</w:t>
      </w:r>
      <w:r>
        <w:t xml:space="preserve">. Facebook Engineering Blog, 2015.</w:t>
      </w:r>
    </w:p>
    <w:p>
      <w:pPr>
        <w:numPr>
          <w:ilvl w:val="0"/>
          <w:numId w:val="1291"/>
        </w:numPr>
        <w:pStyle w:val="Compact"/>
      </w:pPr>
      <w:r>
        <w:t xml:space="preserve">GraphQL Foundation.</w:t>
      </w:r>
      <w:r>
        <w:t xml:space="preserve"> </w:t>
      </w:r>
      <w:r>
        <w:rPr>
          <w:iCs/>
          <w:i/>
        </w:rPr>
        <w:t xml:space="preserve">DataLoader</w:t>
      </w:r>
      <w:r>
        <w:t xml:space="preserve"> </w:t>
      </w:r>
      <w:r>
        <w:t xml:space="preserve">(source repository and documentation). 2015. https://github.com/graphql/dataloader</w:t>
      </w:r>
    </w:p>
    <w:p>
      <w:pPr>
        <w:numPr>
          <w:ilvl w:val="0"/>
          <w:numId w:val="1291"/>
        </w:numPr>
        <w:pStyle w:val="Compact"/>
      </w:pPr>
      <w:r>
        <w:t xml:space="preserve">gRPC Authors.</w:t>
      </w:r>
      <w:r>
        <w:t xml:space="preserve"> </w:t>
      </w:r>
      <w:r>
        <w:rPr>
          <w:iCs/>
          <w:i/>
        </w:rPr>
        <w:t xml:space="preserve">gRPC Documentation</w:t>
      </w:r>
      <w:r>
        <w:t xml:space="preserve"> </w:t>
      </w:r>
      <w:r>
        <w:t xml:space="preserve">(Introduction, Core concepts, Deadlines). Accessed 2026. https://grpc.io/docs/</w:t>
      </w:r>
    </w:p>
    <w:p>
      <w:pPr>
        <w:numPr>
          <w:ilvl w:val="0"/>
          <w:numId w:val="1291"/>
        </w:numPr>
        <w:pStyle w:val="Compact"/>
      </w:pPr>
      <w:r>
        <w:t xml:space="preserve">Google.</w:t>
      </w:r>
      <w:r>
        <w:t xml:space="preserve"> </w:t>
      </w:r>
      <w:r>
        <w:rPr>
          <w:iCs/>
          <w:i/>
        </w:rPr>
        <w:t xml:space="preserve">Protocol Buffers Documentation: Encoding</w:t>
      </w:r>
      <w:r>
        <w:t xml:space="preserve">. Accessed 2026. https://protobuf.dev/programming-guides/encoding/</w:t>
      </w:r>
    </w:p>
    <w:p>
      <w:pPr>
        <w:numPr>
          <w:ilvl w:val="0"/>
          <w:numId w:val="1291"/>
        </w:numPr>
        <w:pStyle w:val="Compact"/>
      </w:pPr>
      <w:r>
        <w:t xml:space="preserve">Apache Software Foundation.</w:t>
      </w:r>
      <w:r>
        <w:t xml:space="preserve"> </w:t>
      </w:r>
      <w:r>
        <w:rPr>
          <w:iCs/>
          <w:i/>
        </w:rPr>
        <w:t xml:space="preserve">Apache Avro Specification</w:t>
      </w:r>
      <w:r>
        <w:t xml:space="preserve">. Accessed 2026. https://avro.apache.org/docs/</w:t>
      </w:r>
    </w:p>
    <w:p>
      <w:pPr>
        <w:numPr>
          <w:ilvl w:val="0"/>
          <w:numId w:val="1291"/>
        </w:numPr>
        <w:pStyle w:val="Compact"/>
      </w:pPr>
      <w:r>
        <w:t xml:space="preserve">Slee, M., Agarwal, A., Kwiatkowski, M.</w:t>
      </w:r>
      <w:r>
        <w:t xml:space="preserve"> </w:t>
      </w:r>
      <w:r>
        <w:rPr>
          <w:iCs/>
          <w:i/>
        </w:rPr>
        <w:t xml:space="preserve">Thrift: Scalable Cross-Language Services Implementation</w:t>
      </w:r>
      <w:r>
        <w:t xml:space="preserve">. Facebook white paper, 2007.</w:t>
      </w:r>
    </w:p>
    <w:p>
      <w:pPr>
        <w:numPr>
          <w:ilvl w:val="0"/>
          <w:numId w:val="1291"/>
        </w:numPr>
        <w:pStyle w:val="Compact"/>
      </w:pPr>
      <w:r>
        <w:t xml:space="preserve">Kleppmann, M.</w:t>
      </w:r>
      <w:r>
        <w:t xml:space="preserve"> </w:t>
      </w:r>
      <w:r>
        <w:rPr>
          <w:iCs/>
          <w:i/>
        </w:rPr>
        <w:t xml:space="preserve">Designing Data-Intensive Applications</w:t>
      </w:r>
      <w:r>
        <w:t xml:space="preserve">, Chapter 4: Encoding and Evolution. O’Reilly Media, 2017.</w:t>
      </w:r>
    </w:p>
    <w:p>
      <w:pPr>
        <w:numPr>
          <w:ilvl w:val="0"/>
          <w:numId w:val="1291"/>
        </w:numPr>
        <w:pStyle w:val="Compact"/>
      </w:pPr>
      <w:r>
        <w:t xml:space="preserve">Birrell, A. D., Nelson, B. J.</w:t>
      </w:r>
      <w:r>
        <w:t xml:space="preserve"> </w:t>
      </w:r>
      <w:r>
        <w:rPr>
          <w:iCs/>
          <w:i/>
        </w:rPr>
        <w:t xml:space="preserve">Implementing Remote Procedure Calls</w:t>
      </w:r>
      <w:r>
        <w:t xml:space="preserve">. ACM Transactions on Computer Systems 2(1), 1984.</w:t>
      </w:r>
    </w:p>
    <w:p>
      <w:pPr>
        <w:numPr>
          <w:ilvl w:val="0"/>
          <w:numId w:val="1291"/>
        </w:numPr>
        <w:pStyle w:val="Compact"/>
      </w:pPr>
      <w:r>
        <w:t xml:space="preserve">Pang, R., Cáceres, R., Burrows, M., Chen, Z., Dave, P., Germer, N., Golynski, A., Graney, K., Kang, N., Kissner, L., Korn, J. L., Parmar, A., Richards, C. D., Wang, M.</w:t>
      </w:r>
      <w:r>
        <w:t xml:space="preserve"> </w:t>
      </w:r>
      <w:r>
        <w:rPr>
          <w:iCs/>
          <w:i/>
        </w:rPr>
        <w:t xml:space="preserve">Zanzibar: Google’s Consistent, Global Authorization System</w:t>
      </w:r>
      <w:r>
        <w:t xml:space="preserve">. USENIX Annual Technical Conference (ATC), 2019. https://www.usenix.org/conference/atc19/presentation/pang</w:t>
      </w:r>
    </w:p>
    <w:p>
      <w:pPr>
        <w:numPr>
          <w:ilvl w:val="0"/>
          <w:numId w:val="1291"/>
        </w:numPr>
        <w:pStyle w:val="Compact"/>
      </w:pPr>
      <w:r>
        <w:t xml:space="preserve">OpenAPI Initiative.</w:t>
      </w:r>
      <w:r>
        <w:t xml:space="preserve"> </w:t>
      </w:r>
      <w:r>
        <w:rPr>
          <w:iCs/>
          <w:i/>
        </w:rPr>
        <w:t xml:space="preserve">OpenAPI Specification</w:t>
      </w:r>
      <w:r>
        <w:t xml:space="preserve"> </w:t>
      </w:r>
      <w:r>
        <w:t xml:space="preserve">(v3.1.0, 2021; v3.2.0, 2025). https://spec.openapis.org/oas/</w:t>
      </w:r>
    </w:p>
    <w:p>
      <w:pPr>
        <w:numPr>
          <w:ilvl w:val="0"/>
          <w:numId w:val="1291"/>
        </w:numPr>
        <w:pStyle w:val="Compact"/>
      </w:pPr>
      <w:r>
        <w:t xml:space="preserve">Leach, B.</w:t>
      </w:r>
      <w:r>
        <w:t xml:space="preserve"> </w:t>
      </w:r>
      <w:r>
        <w:rPr>
          <w:iCs/>
          <w:i/>
        </w:rPr>
        <w:t xml:space="preserve">APIs as infrastructure: future-proofing Stripe with versioning</w:t>
      </w:r>
      <w:r>
        <w:t xml:space="preserve">. Stripe Blog, 2017. https://stripe.com/blog/api-versioning</w:t>
      </w:r>
    </w:p>
    <w:p>
      <w:pPr>
        <w:numPr>
          <w:ilvl w:val="0"/>
          <w:numId w:val="1291"/>
        </w:numPr>
        <w:pStyle w:val="Compact"/>
      </w:pPr>
      <w:r>
        <w:t xml:space="preserve">Stripe.</w:t>
      </w:r>
      <w:r>
        <w:t xml:space="preserve"> </w:t>
      </w:r>
      <w:r>
        <w:rPr>
          <w:iCs/>
          <w:i/>
        </w:rPr>
        <w:t xml:space="preserve">API Reference: Pagination</w:t>
      </w:r>
      <w:r>
        <w:t xml:space="preserve">. Accessed 2026. https://docs.stripe.com/api/pagination</w:t>
      </w:r>
    </w:p>
    <w:p>
      <w:pPr>
        <w:numPr>
          <w:ilvl w:val="0"/>
          <w:numId w:val="1291"/>
        </w:numPr>
        <w:pStyle w:val="Compact"/>
      </w:pPr>
      <w:r>
        <w:t xml:space="preserve">GitHub.</w:t>
      </w:r>
      <w:r>
        <w:t xml:space="preserve"> </w:t>
      </w:r>
      <w:r>
        <w:rPr>
          <w:iCs/>
          <w:i/>
        </w:rPr>
        <w:t xml:space="preserve">Using pagination in the REST API</w:t>
      </w:r>
      <w:r>
        <w:t xml:space="preserve">. GitHub Docs, accessed 2026. https://docs.github.com/en/rest/using-the-rest-api/using-pagination-in-the-rest-api</w:t>
      </w:r>
    </w:p>
    <w:p>
      <w:pPr>
        <w:numPr>
          <w:ilvl w:val="0"/>
          <w:numId w:val="1291"/>
        </w:numPr>
        <w:pStyle w:val="Compact"/>
      </w:pPr>
      <w:r>
        <w:t xml:space="preserve">GitHub.</w:t>
      </w:r>
      <w:r>
        <w:t xml:space="preserve"> </w:t>
      </w:r>
      <w:r>
        <w:rPr>
          <w:iCs/>
          <w:i/>
        </w:rPr>
        <w:t xml:space="preserve">API Versions</w:t>
      </w:r>
      <w:r>
        <w:t xml:space="preserve">. GitHub Docs, accessed 2026. https://docs.github.com/en/rest/about-the-rest-api/api-versions</w:t>
      </w:r>
    </w:p>
    <w:p>
      <w:pPr>
        <w:numPr>
          <w:ilvl w:val="0"/>
          <w:numId w:val="1291"/>
        </w:numPr>
        <w:pStyle w:val="Compact"/>
      </w:pPr>
      <w:r>
        <w:t xml:space="preserve">GitHub.</w:t>
      </w:r>
      <w:r>
        <w:t xml:space="preserve"> </w:t>
      </w:r>
      <w:r>
        <w:rPr>
          <w:iCs/>
          <w:i/>
        </w:rPr>
        <w:t xml:space="preserve">Rate limits and query limits for the GraphQL API</w:t>
      </w:r>
      <w:r>
        <w:t xml:space="preserve">. GitHub Docs, accessed 2026. https://docs.github.com/en/graphql/overview/rate-limits-and-query-limits-for-the-graphql-api</w:t>
      </w:r>
    </w:p>
    <w:bookmarkEnd w:id="951"/>
    <w:bookmarkStart w:id="952" w:name="open-verification-items-7"/>
    <w:p>
      <w:pPr>
        <w:pStyle w:val="Heading2"/>
      </w:pPr>
      <w:r>
        <w:t xml:space="preserve">8.23 Open verification items</w:t>
      </w:r>
    </w:p>
    <w:p>
      <w:pPr>
        <w:numPr>
          <w:ilvl w:val="0"/>
          <w:numId w:val="1292"/>
        </w:numPr>
        <w:pStyle w:val="Compact"/>
      </w:pPr>
      <w:r>
        <w:t xml:space="preserve">Zanzibar throughput: the chapter says</w:t>
      </w:r>
      <w:r>
        <w:t xml:space="preserve"> </w:t>
      </w:r>
      <w:r>
        <w:t xml:space="preserve">“</w:t>
      </w:r>
      <w:r>
        <w:t xml:space="preserve">millions of authorization checks per second</w:t>
      </w:r>
      <w:r>
        <w:t xml:space="preserve">”</w:t>
      </w:r>
      <w:r>
        <w:t xml:space="preserve">; confirm the exact figure in the paper’s abstract (secondary sources quote</w:t>
      </w:r>
      <w:r>
        <w:t xml:space="preserve"> </w:t>
      </w:r>
      <w:r>
        <w:t xml:space="preserve">“</w:t>
      </w:r>
      <w:r>
        <w:t xml:space="preserve">more than 10 million client queries per second</w:t>
      </w:r>
      <w:r>
        <w:t xml:space="preserve">”</w:t>
      </w:r>
      <w:r>
        <w:t xml:space="preserve">).</w:t>
      </w:r>
    </w:p>
    <w:p>
      <w:pPr>
        <w:numPr>
          <w:ilvl w:val="0"/>
          <w:numId w:val="1292"/>
        </w:numPr>
        <w:pStyle w:val="Compact"/>
      </w:pPr>
      <w:r>
        <w:rPr>
          <w:rStyle w:val="VerbatimChar"/>
        </w:rPr>
        <w:t xml:space="preserve">SameSite</w:t>
      </w:r>
      <w:r>
        <w:t xml:space="preserve"> </w:t>
      </w:r>
      <w:r>
        <w:t xml:space="preserve">default: confirm current (2026) behavior of Chromium, Firefox and Safari for cookies without a</w:t>
      </w:r>
      <w:r>
        <w:t xml:space="preserve"> </w:t>
      </w:r>
      <w:r>
        <w:rPr>
          <w:rStyle w:val="VerbatimChar"/>
        </w:rPr>
        <w:t xml:space="preserve">SameSite</w:t>
      </w:r>
      <w:r>
        <w:t xml:space="preserve"> </w:t>
      </w:r>
      <w:r>
        <w:t xml:space="preserve">attribute, and the publication status of RFC 6265bis.</w:t>
      </w:r>
    </w:p>
    <w:p>
      <w:pPr>
        <w:numPr>
          <w:ilvl w:val="0"/>
          <w:numId w:val="1292"/>
        </w:numPr>
        <w:pStyle w:val="Compact"/>
      </w:pPr>
      <w:r>
        <w:t xml:space="preserve">OAuth 2.1: re-check the draft revision (or RFC number, if published) at the time of book publication; -16 was current in September 2026.</w:t>
      </w:r>
    </w:p>
    <w:p>
      <w:pPr>
        <w:numPr>
          <w:ilvl w:val="0"/>
          <w:numId w:val="1292"/>
        </w:numPr>
        <w:pStyle w:val="Compact"/>
      </w:pPr>
      <w:r>
        <w:t xml:space="preserve">NIST SP 800-63B-4: reference aligned with Chapter 10 (§10.6); confirm final wording at publication time.</w:t>
      </w:r>
    </w:p>
    <w:p>
      <w:pPr>
        <w:numPr>
          <w:ilvl w:val="0"/>
          <w:numId w:val="1292"/>
        </w:numPr>
        <w:pStyle w:val="Compact"/>
      </w:pPr>
      <w:r>
        <w:t xml:space="preserve">Exact URLs and titles of [Byron 2015], the GitHub GraphQL rate-limit page, and the Stripe pagination page.</w:t>
      </w:r>
    </w:p>
    <w:p>
      <w:pPr>
        <w:numPr>
          <w:ilvl w:val="0"/>
          <w:numId w:val="1292"/>
        </w:numPr>
        <w:pStyle w:val="Compact"/>
      </w:pPr>
      <w:r>
        <w:t xml:space="preserve">Table 8.3 latency ranges are illustrative estimation figures; cross-check against Appendix F when it is written.</w:t>
      </w:r>
    </w:p>
    <w:p>
      <w:pPr>
        <w:numPr>
          <w:ilvl w:val="0"/>
          <w:numId w:val="1292"/>
        </w:numPr>
        <w:pStyle w:val="Compact"/>
      </w:pPr>
      <w:r>
        <w:t xml:space="preserve">The</w:t>
      </w:r>
      <w:r>
        <w:t xml:space="preserve"> </w:t>
      </w:r>
      <w:r>
        <w:t xml:space="preserve">“</w:t>
      </w:r>
      <w:r>
        <w:t xml:space="preserve">few hundred milliseconds per scrypt hash</w:t>
      </w:r>
      <w:r>
        <w:t xml:space="preserve">”</w:t>
      </w:r>
      <w:r>
        <w:t xml:space="preserve"> </w:t>
      </w:r>
      <w:r>
        <w:t xml:space="preserve">figure was measured once (≈0.4 s at N = 2¹⁷, r = 8, p = 1) on a single cloud vCPU in 2026; Chapter 10 (§10.6.2) owns the authoritative parameter guidance.</w:t>
      </w:r>
    </w:p>
    <w:bookmarkEnd w:id="952"/>
    <w:bookmarkEnd w:id="953"/>
    <w:bookmarkStart w:id="1077" w:name="chapter-9-real-time-communication"/>
    <w:p>
      <w:pPr>
        <w:pStyle w:val="Heading1"/>
      </w:pPr>
      <w:r>
        <w:t xml:space="preserve">Chapter 9 — Real-Time Communication</w:t>
      </w:r>
    </w:p>
    <w:p>
      <w:pPr>
        <w:pStyle w:val="BlockText"/>
      </w:pPr>
      <w:r>
        <w:rPr>
          <w:bCs/>
          <w:b/>
        </w:rPr>
        <w:t xml:space="preserve">Level:</w:t>
      </w:r>
      <w:r>
        <w:t xml:space="preserve"> </w:t>
      </w:r>
      <w:r>
        <w:t xml:space="preserve">2 ·</w:t>
      </w:r>
      <w:r>
        <w:t xml:space="preserve"> </w:t>
      </w:r>
      <w:r>
        <w:rPr>
          <w:bCs/>
          <w:b/>
        </w:rPr>
        <w:t xml:space="preserve">Track:</w:t>
      </w:r>
      <w:r>
        <w:t xml:space="preserve"> </w:t>
      </w:r>
      <w:r>
        <w:t xml:space="preserve">A (Traditional) ·</w:t>
      </w:r>
      <w:r>
        <w:t xml:space="preserve"> </w:t>
      </w:r>
      <w:r>
        <w:rPr>
          <w:bCs/>
          <w:b/>
        </w:rPr>
        <w:t xml:space="preserve">Estimated reading time:</w:t>
      </w:r>
      <w:r>
        <w:t xml:space="preserve"> </w:t>
      </w:r>
      <w:r>
        <w:t xml:space="preserve">3 h</w:t>
      </w:r>
    </w:p>
    <w:p>
      <w:pPr>
        <w:pStyle w:val="FirstParagraph"/>
      </w:pPr>
      <w:r>
        <w:t xml:space="preserve">The web was built as a conversation in which only one side may speak first. A browser asks; a server answers; the exchange ends. That model, described in §8.5 (The request–response lifecycle), works well for loading a page or submitting a form. It works badly when the</w:t>
      </w:r>
      <w:r>
        <w:t xml:space="preserve"> </w:t>
      </w:r>
      <w:r>
        <w:rPr>
          <w:iCs/>
          <w:i/>
        </w:rPr>
        <w:t xml:space="preserve">server</w:t>
      </w:r>
      <w:r>
        <w:t xml:space="preserve"> </w:t>
      </w:r>
      <w:r>
        <w:t xml:space="preserve">is the first to know something: a new chat message has arrived, a stock price has moved, a driver is two minutes away, a colleague has started typing. This chapter is about the family of techniques that let a server tell a client about something</w:t>
      </w:r>
      <w:r>
        <w:t xml:space="preserve"> </w:t>
      </w:r>
      <w:r>
        <w:rPr>
          <w:iCs/>
          <w:i/>
        </w:rPr>
        <w:t xml:space="preserve">now</w:t>
      </w:r>
      <w:r>
        <w:t xml:space="preserve">, without waiting to be asked.</w:t>
      </w:r>
    </w:p>
    <w:p>
      <w:pPr>
        <w:pStyle w:val="BodyText"/>
      </w:pPr>
      <w:r>
        <w:t xml:space="preserve">Picture a restaurant kitchen and a diner.</w:t>
      </w:r>
      <w:r>
        <w:t xml:space="preserve"> </w:t>
      </w:r>
      <w:r>
        <w:rPr>
          <w:bCs/>
          <w:b/>
        </w:rPr>
        <w:t xml:space="preserve">Short polling</w:t>
      </w:r>
      <w:r>
        <w:t xml:space="preserve"> </w:t>
      </w:r>
      <w:r>
        <w:t xml:space="preserve">is the diner walking to the kitchen every five minutes to ask</w:t>
      </w:r>
      <w:r>
        <w:t xml:space="preserve"> </w:t>
      </w:r>
      <w:r>
        <w:t xml:space="preserve">“</w:t>
      </w:r>
      <w:r>
        <w:t xml:space="preserve">is my food ready?</w:t>
      </w:r>
      <w:r>
        <w:t xml:space="preserve">”</w:t>
      </w:r>
      <w:r>
        <w:t xml:space="preserve">.</w:t>
      </w:r>
      <w:r>
        <w:t xml:space="preserve"> </w:t>
      </w:r>
      <w:r>
        <w:rPr>
          <w:bCs/>
          <w:b/>
        </w:rPr>
        <w:t xml:space="preserve">Long polling</w:t>
      </w:r>
      <w:r>
        <w:t xml:space="preserve"> </w:t>
      </w:r>
      <w:r>
        <w:t xml:space="preserve">is the diner asking once and the chef saying</w:t>
      </w:r>
      <w:r>
        <w:t xml:space="preserve"> </w:t>
      </w:r>
      <w:r>
        <w:t xml:space="preserve">“</w:t>
      </w:r>
      <w:r>
        <w:t xml:space="preserve">wait here, I’ll tell you as soon as it is</w:t>
      </w:r>
      <w:r>
        <w:t xml:space="preserve">”</w:t>
      </w:r>
      <w:r>
        <w:t xml:space="preserve">.</w:t>
      </w:r>
      <w:r>
        <w:t xml:space="preserve"> </w:t>
      </w:r>
      <w:r>
        <w:rPr>
          <w:bCs/>
          <w:b/>
        </w:rPr>
        <w:t xml:space="preserve">Server-Sent Events</w:t>
      </w:r>
      <w:r>
        <w:t xml:space="preserve"> </w:t>
      </w:r>
      <w:r>
        <w:t xml:space="preserve">is a waiter assigned to the diner’s table who walks over every time a course is ready.</w:t>
      </w:r>
      <w:r>
        <w:t xml:space="preserve"> </w:t>
      </w:r>
      <w:r>
        <w:rPr>
          <w:bCs/>
          <w:b/>
        </w:rPr>
        <w:t xml:space="preserve">WebSockets</w:t>
      </w:r>
      <w:r>
        <w:t xml:space="preserve"> </w:t>
      </w:r>
      <w:r>
        <w:t xml:space="preserve">is a telephone line between table and kitchen that either side can talk into at any moment.</w:t>
      </w:r>
      <w:r>
        <w:t xml:space="preserve"> </w:t>
      </w:r>
      <w:r>
        <w:rPr>
          <w:bCs/>
          <w:b/>
        </w:rPr>
        <w:t xml:space="preserve">WebRTC</w:t>
      </w:r>
      <w:r>
        <w:t xml:space="preserve"> </w:t>
      </w:r>
      <w:r>
        <w:t xml:space="preserve">lets two diners talk to each other directly across the room instead of passing notes through the kitchen.</w:t>
      </w:r>
      <w:r>
        <w:t xml:space="preserve"> </w:t>
      </w:r>
      <w:r>
        <w:rPr>
          <w:bCs/>
          <w:b/>
        </w:rPr>
        <w:t xml:space="preserve">Mobile push</w:t>
      </w:r>
      <w:r>
        <w:t xml:space="preserve"> </w:t>
      </w:r>
      <w:r>
        <w:t xml:space="preserve">is the restaurant sending a text message to a diner who has gone home: the phone company decides when it arrives, and it might not arrive at all. Every technique in this chapter is a trade between how quickly the news arrives, how much it costs to keep the line open, and how much infrastructure must understand the line.</w:t>
      </w:r>
    </w:p>
    <w:bookmarkStart w:id="954" w:name="learning-objectives-8"/>
    <w:p>
      <w:pPr>
        <w:pStyle w:val="Heading2"/>
      </w:pPr>
      <w:r>
        <w:t xml:space="preserve">9.1 Learning objectives</w:t>
      </w:r>
    </w:p>
    <w:p>
      <w:pPr>
        <w:pStyle w:val="FirstParagraph"/>
      </w:pPr>
      <w:r>
        <w:t xml:space="preserve">After this chapter you should be able to:</w:t>
      </w:r>
    </w:p>
    <w:p>
      <w:pPr>
        <w:numPr>
          <w:ilvl w:val="0"/>
          <w:numId w:val="1293"/>
        </w:numPr>
        <w:pStyle w:val="Compact"/>
      </w:pPr>
      <w:r>
        <w:t xml:space="preserve">Explain the mechanism, wire format and failure modes of short polling, long polling, Server-Sent Events (SSE), WebSockets, WebRTC and mobile push.</w:t>
      </w:r>
    </w:p>
    <w:p>
      <w:pPr>
        <w:numPr>
          <w:ilvl w:val="0"/>
          <w:numId w:val="1293"/>
        </w:numPr>
        <w:pStyle w:val="Compact"/>
      </w:pPr>
      <w:r>
        <w:t xml:space="preserve">Calculate the request rate, wasted requests and added latency of a polling design from the number of clients and the polling interval.</w:t>
      </w:r>
    </w:p>
    <w:p>
      <w:pPr>
        <w:numPr>
          <w:ilvl w:val="0"/>
          <w:numId w:val="1293"/>
        </w:numPr>
        <w:pStyle w:val="Compact"/>
      </w:pPr>
      <w:r>
        <w:t xml:space="preserve">Walk through the RFC 6455 WebSocket opening handshake, compute</w:t>
      </w:r>
      <w:r>
        <w:t xml:space="preserve"> </w:t>
      </w:r>
      <w:r>
        <w:rPr>
          <w:rStyle w:val="VerbatimChar"/>
        </w:rPr>
        <w:t xml:space="preserve">Sec-WebSocket-Accept</w:t>
      </w:r>
      <w:r>
        <w:t xml:space="preserve">, and decode a WebSocket frame byte by byte, including masking.</w:t>
      </w:r>
    </w:p>
    <w:p>
      <w:pPr>
        <w:numPr>
          <w:ilvl w:val="0"/>
          <w:numId w:val="1293"/>
        </w:numPr>
        <w:pStyle w:val="Compact"/>
      </w:pPr>
      <w:r>
        <w:t xml:space="preserve">Describe how ICE, STUN and TURN establish a peer-to-peer WebRTC session, and choose between mesh, SFU and MCU topologies with bandwidth arithmetic.</w:t>
      </w:r>
    </w:p>
    <w:p>
      <w:pPr>
        <w:numPr>
          <w:ilvl w:val="0"/>
          <w:numId w:val="1293"/>
        </w:numPr>
        <w:pStyle w:val="Compact"/>
      </w:pPr>
      <w:r>
        <w:t xml:space="preserve">Design a mobile push pipeline using APNs and FCM that tolerates dropped notifications, stale device tokens and collapsed messages.</w:t>
      </w:r>
    </w:p>
    <w:p>
      <w:pPr>
        <w:numPr>
          <w:ilvl w:val="0"/>
          <w:numId w:val="1293"/>
        </w:numPr>
        <w:pStyle w:val="Compact"/>
      </w:pPr>
      <w:r>
        <w:t xml:space="preserve">Size a connection gateway fleet for 10 million concurrent connections, including memory, server count, heartbeat load and reconnect-storm behavior.</w:t>
      </w:r>
    </w:p>
    <w:p>
      <w:pPr>
        <w:numPr>
          <w:ilvl w:val="0"/>
          <w:numId w:val="1293"/>
        </w:numPr>
        <w:pStyle w:val="Compact"/>
      </w:pPr>
      <w:r>
        <w:t xml:space="preserve">Design a pub/sub backplane, a presence system and a graceful-drain deployment procedure for long-lived connections.</w:t>
      </w:r>
    </w:p>
    <w:p>
      <w:pPr>
        <w:numPr>
          <w:ilvl w:val="0"/>
          <w:numId w:val="1293"/>
        </w:numPr>
        <w:pStyle w:val="Compact"/>
      </w:pPr>
      <w:r>
        <w:t xml:space="preserve">Choose the right real-time technique for a given product requirement and defend the choice with a comparison of cost, latency and operational complexity.</w:t>
      </w:r>
    </w:p>
    <w:bookmarkEnd w:id="954"/>
    <w:bookmarkStart w:id="955" w:name="prerequisites-8"/>
    <w:p>
      <w:pPr>
        <w:pStyle w:val="Heading2"/>
      </w:pPr>
      <w:r>
        <w:t xml:space="preserve">9.2 Prerequisites</w:t>
      </w:r>
    </w:p>
    <w:p>
      <w:pPr>
        <w:numPr>
          <w:ilvl w:val="0"/>
          <w:numId w:val="1294"/>
        </w:numPr>
        <w:pStyle w:val="Compact"/>
      </w:pPr>
      <w:r>
        <w:t xml:space="preserve">TCP connections, the three-way handshake and head-of-line blocking — §7.7 (needed because every technique here rides on long-lived TCP or UDP flows).</w:t>
      </w:r>
    </w:p>
    <w:p>
      <w:pPr>
        <w:numPr>
          <w:ilvl w:val="0"/>
          <w:numId w:val="1294"/>
        </w:numPr>
        <w:pStyle w:val="Compact"/>
      </w:pPr>
      <w:r>
        <w:t xml:space="preserve">HTTP/1.1, HTTP/2, HTTP/3 and QUIC — §7.9 (SSE and WebSockets interact with HTTP versions in non-obvious ways).</w:t>
      </w:r>
    </w:p>
    <w:p>
      <w:pPr>
        <w:numPr>
          <w:ilvl w:val="0"/>
          <w:numId w:val="1294"/>
        </w:numPr>
        <w:pStyle w:val="Compact"/>
      </w:pPr>
      <w:r>
        <w:t xml:space="preserve">TLS 1.3 — §7.10 (handshake cost dominates reconnect storms).</w:t>
      </w:r>
    </w:p>
    <w:p>
      <w:pPr>
        <w:numPr>
          <w:ilvl w:val="0"/>
          <w:numId w:val="1294"/>
        </w:numPr>
        <w:pStyle w:val="Compact"/>
      </w:pPr>
      <w:r>
        <w:t xml:space="preserve">WebSockets introduction — §7.11 (this chapter is the deep dive).</w:t>
      </w:r>
    </w:p>
    <w:p>
      <w:pPr>
        <w:numPr>
          <w:ilvl w:val="0"/>
          <w:numId w:val="1294"/>
        </w:numPr>
        <w:pStyle w:val="Compact"/>
      </w:pPr>
      <w:r>
        <w:t xml:space="preserve">Proxies, reverse proxies and NAT — §7.12, §7.13 (they break long-lived connections and motivate STUN/TURN).</w:t>
      </w:r>
    </w:p>
    <w:p>
      <w:pPr>
        <w:numPr>
          <w:ilvl w:val="0"/>
          <w:numId w:val="1294"/>
        </w:numPr>
        <w:pStyle w:val="Compact"/>
      </w:pPr>
      <w:r>
        <w:t xml:space="preserve">I/O models and event loops (epoll, kqueue, async/await) — §6.13, §6.15 (how one server holds hundreds of thousands of idle connections).</w:t>
      </w:r>
    </w:p>
    <w:p>
      <w:pPr>
        <w:numPr>
          <w:ilvl w:val="0"/>
          <w:numId w:val="1294"/>
        </w:numPr>
        <w:pStyle w:val="Compact"/>
      </w:pPr>
      <w:r>
        <w:t xml:space="preserve">Little’s Law — §4.11 (concurrent connections = arrival rate × connection lifetime).</w:t>
      </w:r>
    </w:p>
    <w:p>
      <w:pPr>
        <w:numPr>
          <w:ilvl w:val="0"/>
          <w:numId w:val="1294"/>
        </w:numPr>
        <w:pStyle w:val="Compact"/>
      </w:pPr>
      <w:r>
        <w:t xml:space="preserve">Load balancing and session affinity — §19.3, §19.6 (sticky routing for connections).</w:t>
      </w:r>
    </w:p>
    <w:p>
      <w:pPr>
        <w:numPr>
          <w:ilvl w:val="0"/>
          <w:numId w:val="1294"/>
        </w:numPr>
        <w:pStyle w:val="Compact"/>
      </w:pPr>
      <w:r>
        <w:t xml:space="preserve">Retries with exponential backoff and jitter — §22.12 (reconnect storms).</w:t>
      </w:r>
    </w:p>
    <w:bookmarkEnd w:id="955"/>
    <w:bookmarkStart w:id="970" w:name="short-polling"/>
    <w:p>
      <w:pPr>
        <w:pStyle w:val="Heading2"/>
      </w:pPr>
      <w:r>
        <w:t xml:space="preserve">9.3 Short polling</w:t>
      </w:r>
    </w:p>
    <w:bookmarkStart w:id="969" w:name="what-short-polling-is"/>
    <w:p>
      <w:pPr>
        <w:pStyle w:val="Heading3"/>
      </w:pPr>
      <w:r>
        <w:t xml:space="preserve">9.3.1 What short polling is</w:t>
      </w:r>
    </w:p>
    <w:p>
      <w:pPr>
        <w:pStyle w:val="CalloutDefinition"/>
      </w:pPr>
      <w:r>
        <w:rPr>
          <w:bCs/>
          <w:b/>
        </w:rPr>
        <w:t xml:space="preserve">DEFINITION</w:t>
      </w:r>
    </w:p>
    <w:p>
      <w:pPr>
        <w:pStyle w:val="CalloutDefinition"/>
      </w:pPr>
      <w:r>
        <w:rPr>
          <w:bCs/>
          <w:b/>
        </w:rPr>
        <w:t xml:space="preserve">Definition — Short polling.</w:t>
      </w:r>
      <w:r>
        <w:t xml:space="preserve"> </w:t>
      </w:r>
      <w:r>
        <w:t xml:space="preserve">A technique in which the client sends an ordinary HTTP request at a fixed interval</w:t>
      </w:r>
      <w:r>
        <w:t xml:space="preserve"> </w:t>
      </w:r>
      <w:r>
        <w:rPr>
          <w:iCs/>
          <w:i/>
        </w:rPr>
        <w:t xml:space="preserve">T</w:t>
      </w:r>
      <w:r>
        <w:t xml:space="preserve"> </w:t>
      </w:r>
      <w:r>
        <w:t xml:space="preserve">to ask whether new data exists; the server answers immediately, either with the new data or with an empty response, and the connection’s request ends.</w:t>
      </w:r>
    </w:p>
    <w:bookmarkStart w:id="956" w:name="first-principles-explanation-48"/>
    <w:p>
      <w:pPr>
        <w:pStyle w:val="Heading4"/>
      </w:pPr>
      <w:r>
        <w:t xml:space="preserve">First-principles explanation</w:t>
      </w:r>
    </w:p>
    <w:p>
      <w:pPr>
        <w:pStyle w:val="FirstParagraph"/>
      </w:pPr>
      <w:r>
        <w:t xml:space="preserve">A child in the back seat asking</w:t>
      </w:r>
      <w:r>
        <w:t xml:space="preserve"> </w:t>
      </w:r>
      <w:r>
        <w:t xml:space="preserve">“</w:t>
      </w:r>
      <w:r>
        <w:t xml:space="preserve">are we there yet?</w:t>
      </w:r>
      <w:r>
        <w:t xml:space="preserve">”</w:t>
      </w:r>
      <w:r>
        <w:t xml:space="preserve"> </w:t>
      </w:r>
      <w:r>
        <w:t xml:space="preserve">every minute is short polling. The parent answers right away, almost always with</w:t>
      </w:r>
      <w:r>
        <w:t xml:space="preserve"> </w:t>
      </w:r>
      <w:r>
        <w:t xml:space="preserve">“</w:t>
      </w:r>
      <w:r>
        <w:t xml:space="preserve">no</w:t>
      </w:r>
      <w:r>
        <w:t xml:space="preserve">”</w:t>
      </w:r>
      <w:r>
        <w:t xml:space="preserve">. The child learns of arrival at most one minute late, and the parent spends most of the trip answering a question whose answer has not changed. Nothing about the car or the road had to change to support this protocol, which is precisely why it is popular.</w:t>
      </w:r>
    </w:p>
    <w:bookmarkEnd w:id="956"/>
    <w:bookmarkStart w:id="957" w:name="why-does-this-exist-30"/>
    <w:p>
      <w:pPr>
        <w:pStyle w:val="Heading4"/>
      </w:pPr>
      <w:r>
        <w:t xml:space="preserve">Why does this exist?</w:t>
      </w:r>
    </w:p>
    <w:p>
      <w:pPr>
        <w:pStyle w:val="FirstParagraph"/>
      </w:pPr>
      <w:r>
        <w:t xml:space="preserve">Short polling needs nothing beyond what every HTTP client, proxy, CDN, firewall and load balancer already supports. It was the first way web pages showed</w:t>
      </w:r>
      <w:r>
        <w:t xml:space="preserve"> </w:t>
      </w:r>
      <w:r>
        <w:t xml:space="preserve">“</w:t>
      </w:r>
      <w:r>
        <w:t xml:space="preserve">live</w:t>
      </w:r>
      <w:r>
        <w:t xml:space="preserve">”</w:t>
      </w:r>
      <w:r>
        <w:t xml:space="preserve"> </w:t>
      </w:r>
      <w:r>
        <w:t xml:space="preserve">data, and it remains the right answer when updates are infrequent, a few seconds of staleness is acceptable and clients are few — a build-status page polled every 30 seconds by a few hundred engineers, for example.</w:t>
      </w:r>
    </w:p>
    <w:bookmarkEnd w:id="957"/>
    <w:bookmarkStart w:id="958" w:name="how-it-works-internally-27"/>
    <w:p>
      <w:pPr>
        <w:pStyle w:val="Heading4"/>
      </w:pPr>
      <w:r>
        <w:t xml:space="preserve">How it works internally</w:t>
      </w:r>
    </w:p>
    <w:p>
      <w:pPr>
        <w:numPr>
          <w:ilvl w:val="0"/>
          <w:numId w:val="1295"/>
        </w:numPr>
        <w:pStyle w:val="Compact"/>
      </w:pPr>
      <w:r>
        <w:t xml:space="preserve">The client starts a timer with period</w:t>
      </w:r>
      <w:r>
        <w:t xml:space="preserve"> </w:t>
      </w:r>
      <w:r>
        <w:rPr>
          <w:iCs/>
          <w:i/>
        </w:rPr>
        <w:t xml:space="preserve">T</w:t>
      </w:r>
      <w:r>
        <w:t xml:space="preserve"> </w:t>
      </w:r>
      <w:r>
        <w:t xml:space="preserve">(for example, 5 seconds).</w:t>
      </w:r>
    </w:p>
    <w:p>
      <w:pPr>
        <w:numPr>
          <w:ilvl w:val="0"/>
          <w:numId w:val="1295"/>
        </w:numPr>
        <w:pStyle w:val="Compact"/>
      </w:pPr>
      <w:r>
        <w:t xml:space="preserve">When the timer fires, the client sends</w:t>
      </w:r>
      <w:r>
        <w:t xml:space="preserve"> </w:t>
      </w:r>
      <w:r>
        <w:rPr>
          <w:rStyle w:val="VerbatimChar"/>
        </w:rPr>
        <w:t xml:space="preserve">GET /updates?since=&lt;cursor&gt;</w:t>
      </w:r>
      <w:r>
        <w:t xml:space="preserve">. The</w:t>
      </w:r>
      <w:r>
        <w:t xml:space="preserve"> </w:t>
      </w:r>
      <w:r>
        <w:rPr>
          <w:bCs/>
          <w:b/>
        </w:rPr>
        <w:t xml:space="preserve">cursor</w:t>
      </w:r>
      <w:r>
        <w:t xml:space="preserve"> </w:t>
      </w:r>
      <w:r>
        <w:t xml:space="preserve">is an opaque value (a sequence number or timestamp) identifying the last item the client has seen.</w:t>
      </w:r>
    </w:p>
    <w:p>
      <w:pPr>
        <w:numPr>
          <w:ilvl w:val="0"/>
          <w:numId w:val="1295"/>
        </w:numPr>
        <w:pStyle w:val="Compact"/>
      </w:pPr>
      <w:r>
        <w:t xml:space="preserve">The server looks up anything newer than the cursor and responds immediately:</w:t>
      </w:r>
      <w:r>
        <w:t xml:space="preserve"> </w:t>
      </w:r>
      <w:r>
        <w:rPr>
          <w:rStyle w:val="VerbatimChar"/>
        </w:rPr>
        <w:t xml:space="preserve">200 OK</w:t>
      </w:r>
      <w:r>
        <w:t xml:space="preserve"> </w:t>
      </w:r>
      <w:r>
        <w:t xml:space="preserve">with items and a new cursor, or</w:t>
      </w:r>
      <w:r>
        <w:t xml:space="preserve"> </w:t>
      </w:r>
      <w:r>
        <w:rPr>
          <w:rStyle w:val="VerbatimChar"/>
        </w:rPr>
        <w:t xml:space="preserve">204 No Content</w:t>
      </w:r>
      <w:r>
        <w:t xml:space="preserve"> </w:t>
      </w:r>
      <w:r>
        <w:t xml:space="preserve">(or</w:t>
      </w:r>
      <w:r>
        <w:t xml:space="preserve"> </w:t>
      </w:r>
      <w:r>
        <w:rPr>
          <w:rStyle w:val="VerbatimChar"/>
        </w:rPr>
        <w:t xml:space="preserve">200</w:t>
      </w:r>
      <w:r>
        <w:t xml:space="preserve"> </w:t>
      </w:r>
      <w:r>
        <w:t xml:space="preserve">with an empty list, or</w:t>
      </w:r>
      <w:r>
        <w:t xml:space="preserve"> </w:t>
      </w:r>
      <w:r>
        <w:rPr>
          <w:rStyle w:val="VerbatimChar"/>
        </w:rPr>
        <w:t xml:space="preserve">304 Not Modified</w:t>
      </w:r>
      <w:r>
        <w:t xml:space="preserve"> </w:t>
      </w:r>
      <w:r>
        <w:t xml:space="preserve">with an</w:t>
      </w:r>
      <w:r>
        <w:t xml:space="preserve"> </w:t>
      </w:r>
      <w:r>
        <w:rPr>
          <w:rStyle w:val="VerbatimChar"/>
        </w:rPr>
        <w:t xml:space="preserve">ETag</w:t>
      </w:r>
      <w:r>
        <w:t xml:space="preserve">) when nothing changed.</w:t>
      </w:r>
    </w:p>
    <w:p>
      <w:pPr>
        <w:numPr>
          <w:ilvl w:val="0"/>
          <w:numId w:val="1295"/>
        </w:numPr>
        <w:pStyle w:val="Compact"/>
      </w:pPr>
      <w:r>
        <w:t xml:space="preserve">The client applies the items, stores the new cursor and waits for the next tick.</w:t>
      </w:r>
    </w:p>
    <w:p>
      <w:pPr>
        <w:numPr>
          <w:ilvl w:val="0"/>
          <w:numId w:val="1295"/>
        </w:numPr>
        <w:pStyle w:val="Compact"/>
      </w:pPr>
      <w:r>
        <w:t xml:space="preserve">With HTTP keep-alive (§7.16), the TCP and TLS connection is reused across polls, so each poll costs one request/response round trip rather than a full handshake.</w:t>
      </w:r>
    </w:p>
    <w:bookmarkEnd w:id="958"/>
    <w:bookmarkStart w:id="962" w:name="architecture-diagram-7"/>
    <w:p>
      <w:pPr>
        <w:pStyle w:val="Heading4"/>
      </w:pPr>
      <w:r>
        <w:t xml:space="preserve">Architecture diagram</w:t>
      </w:r>
    </w:p>
    <w:p>
      <w:pPr>
        <w:pStyle w:val="FirstParagraph"/>
      </w:pPr>
      <w:r>
        <w:rPr>
          <w:bCs/>
          <w:b/>
        </w:rPr>
        <w:t xml:space="preserve">Figure 9.1 — Short polling.</w:t>
      </w:r>
    </w:p>
    <w:p>
      <w:pPr>
        <w:pStyle w:val="BodyText"/>
      </w:pPr>
      <w:r>
        <w:drawing>
          <wp:inline>
            <wp:extent cx="5334000" cy="5829698"/>
            <wp:effectExtent b="0" l="0" r="0" t="0"/>
            <wp:docPr descr="" title="" id="960" name="Picture"/>
            <a:graphic>
              <a:graphicData uri="http://schemas.openxmlformats.org/drawingml/2006/picture">
                <pic:pic>
                  <pic:nvPicPr>
                    <pic:cNvPr descr="/home/user/System-Design/build/.cache/diagrams/e8437dcda20b.png" id="961" name="Picture"/>
                    <pic:cNvPicPr>
                      <a:picLocks noChangeArrowheads="1" noChangeAspect="1"/>
                    </pic:cNvPicPr>
                  </pic:nvPicPr>
                  <pic:blipFill>
                    <a:blip r:embed="rId959"/>
                    <a:stretch>
                      <a:fillRect/>
                    </a:stretch>
                  </pic:blipFill>
                  <pic:spPr bwMode="auto">
                    <a:xfrm>
                      <a:off x="0" y="0"/>
                      <a:ext cx="5334000" cy="5829698"/>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client, a stateless API server and the data store exchange only synchronous HTTP over a reused keep-alive connection (solid = request, dashed = response); the server never initiates. Event 42 is written between polls, so the client learns of it up to</w:t>
      </w:r>
      <w:r>
        <w:t xml:space="preserve"> </w:t>
      </w:r>
      <w:r>
        <w:rPr>
          <w:iCs/>
          <w:i/>
        </w:rPr>
        <w:t xml:space="preserve">T</w:t>
      </w:r>
      <w:r>
        <w:t xml:space="preserve"> </w:t>
      </w:r>
      <w:r>
        <w:t xml:space="preserve">seconds late — inherent, not a bug. The data store receives one read per poll whether or not anything changed, which is the failure point at scale. Scaling is easy: stateless servers behind a load balancer, with a cache in front of the</w:t>
      </w:r>
      <w:r>
        <w:t xml:space="preserve"> </w:t>
      </w:r>
      <w:r>
        <w:t xml:space="preserve">“</w:t>
      </w:r>
      <w:r>
        <w:t xml:space="preserve">anything new?</w:t>
      </w:r>
      <w:r>
        <w:t xml:space="preserve">”</w:t>
      </w:r>
      <w:r>
        <w:t xml:space="preserve"> </w:t>
      </w:r>
      <w:r>
        <w:t xml:space="preserve">query.</w:t>
      </w:r>
    </w:p>
    <w:bookmarkEnd w:id="962"/>
    <w:bookmarkStart w:id="963" w:name="mathematical-foundations-8"/>
    <w:p>
      <w:pPr>
        <w:pStyle w:val="Heading4"/>
      </w:pPr>
      <w:r>
        <w:t xml:space="preserve">Mathematical foundations</w:t>
      </w:r>
    </w:p>
    <w:p>
      <w:pPr>
        <w:pStyle w:val="CalloutFormula"/>
      </w:pPr>
      <w:r>
        <w:rPr>
          <w:bCs/>
          <w:b/>
        </w:rPr>
        <w:t xml:space="preserve">FORMULA</w:t>
      </w:r>
    </w:p>
    <w:p>
      <w:pPr>
        <w:pStyle w:val="CalloutFormula"/>
      </w:pPr>
      <w:r>
        <w:rPr>
          <w:bCs/>
          <w:b/>
        </w:rPr>
        <w:t xml:space="preserve">Short-polling request rate</w:t>
      </w:r>
    </w:p>
    <w:p>
      <w:pPr>
        <w:pStyle w:val="CalloutFormula"/>
      </w:pPr>
      <m:oMathPara>
        <m:oMathParaPr>
          <m:jc m:val="center"/>
        </m:oMathParaPr>
        <m:oMath>
          <m:r>
            <m:t>R</m:t>
          </m:r>
          <m:r>
            <m:rPr>
              <m:sty m:val="p"/>
            </m:rPr>
            <m:t>=</m:t>
          </m:r>
          <m:f>
            <m:fPr>
              <m:type m:val="bar"/>
            </m:fPr>
            <m:num>
              <m:r>
                <m:t>N</m:t>
              </m:r>
            </m:num>
            <m:den>
              <m:r>
                <m:t>T</m:t>
              </m:r>
            </m:den>
          </m:f>
        </m:oMath>
      </m:oMathPara>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R</m:t>
              </m:r>
            </m:oMath>
          </w:p>
        </w:tc>
        <w:tc>
          <w:tcPr/>
          <w:p>
            <w:pPr>
              <w:pStyle w:val="Compact"/>
              <w:jc w:val="left"/>
            </w:pPr>
            <w:r>
              <w:t xml:space="preserve">Request rate arriving at the servers</w:t>
            </w:r>
          </w:p>
        </w:tc>
        <w:tc>
          <w:tcPr/>
          <w:p>
            <w:pPr>
              <w:pStyle w:val="Compact"/>
              <w:jc w:val="left"/>
            </w:pPr>
            <w:r>
              <w:t xml:space="preserve">requests/second</w:t>
            </w:r>
          </w:p>
        </w:tc>
      </w:tr>
      <w:tr>
        <w:tc>
          <w:tcPr/>
          <w:p>
            <w:pPr>
              <w:pStyle w:val="Compact"/>
              <w:jc w:val="left"/>
            </w:pPr>
            <m:oMath>
              <m:r>
                <m:t>N</m:t>
              </m:r>
            </m:oMath>
          </w:p>
        </w:tc>
        <w:tc>
          <w:tcPr/>
          <w:p>
            <w:pPr>
              <w:pStyle w:val="Compact"/>
              <w:jc w:val="left"/>
            </w:pPr>
            <w:r>
              <w:t xml:space="preserve">Number of concurrently active (polling) clients</w:t>
            </w:r>
          </w:p>
        </w:tc>
        <w:tc>
          <w:tcPr/>
          <w:p>
            <w:pPr>
              <w:pStyle w:val="Compact"/>
              <w:jc w:val="left"/>
            </w:pPr>
            <w:r>
              <w:t xml:space="preserve">clients</w:t>
            </w:r>
          </w:p>
        </w:tc>
      </w:tr>
      <w:tr>
        <w:tc>
          <w:tcPr/>
          <w:p>
            <w:pPr>
              <w:pStyle w:val="Compact"/>
              <w:jc w:val="left"/>
            </w:pPr>
            <m:oMath>
              <m:r>
                <m:t>T</m:t>
              </m:r>
            </m:oMath>
          </w:p>
        </w:tc>
        <w:tc>
          <w:tcPr/>
          <w:p>
            <w:pPr>
              <w:pStyle w:val="Compact"/>
              <w:jc w:val="left"/>
            </w:pPr>
            <w:r>
              <w:t xml:space="preserve">Polling interval</w:t>
            </w:r>
          </w:p>
        </w:tc>
        <w:tc>
          <w:tcPr/>
          <w:p>
            <w:pPr>
              <w:pStyle w:val="Compact"/>
              <w:jc w:val="left"/>
            </w:pPr>
            <w:r>
              <w:t xml:space="preserve">seconds</w:t>
            </w:r>
          </w:p>
        </w:tc>
      </w:tr>
    </w:tbl>
    <w:p>
      <w:pPr>
        <w:pStyle w:val="CalloutFormula"/>
      </w:pPr>
      <w:r>
        <w:rPr>
          <w:bCs/>
          <w:b/>
        </w:rPr>
        <w:t xml:space="preserve">FORMULA</w:t>
      </w:r>
    </w:p>
    <w:p>
      <w:pPr>
        <w:pStyle w:val="CalloutFormula"/>
      </w:pPr>
      <w:r>
        <w:rPr>
          <w:bCs/>
          <w:b/>
        </w:rPr>
        <w:t xml:space="preserve">Fraction of wasted (empty) polls and added latency</w:t>
      </w:r>
    </w:p>
    <w:p>
      <w:pPr>
        <w:pStyle w:val="CalloutFormula"/>
      </w:pPr>
      <w:r>
        <w:t xml:space="preserve">If updates for a client arrive as a Poisson process with rate</w:t>
      </w:r>
      <w:r>
        <w:t xml:space="preserve"> </w:t>
      </w:r>
      <m:oMath>
        <m:r>
          <m:t>λ</m:t>
        </m:r>
      </m:oMath>
      <w:r>
        <w:t xml:space="preserve">, the probability that a given interval contains no update is</w:t>
      </w:r>
    </w:p>
    <w:p>
      <w:pPr>
        <w:pStyle w:val="CalloutFormula"/>
      </w:pPr>
      <m:oMathPara>
        <m:oMathParaPr>
          <m:jc m:val="center"/>
        </m:oMathParaPr>
        <m:oMath>
          <m:sSub>
            <m:e>
              <m:r>
                <m:t>P</m:t>
              </m:r>
            </m:e>
            <m:sub>
              <m:r>
                <m:rPr>
                  <m:nor/>
                  <m:sty m:val="p"/>
                </m:rPr>
                <m:t>empty</m:t>
              </m:r>
            </m:sub>
          </m:sSub>
          <m:r>
            <m:rPr>
              <m:sty m:val="p"/>
            </m:rPr>
            <m:t>=</m:t>
          </m:r>
          <m:sSup>
            <m:e>
              <m:r>
                <m:t>e</m:t>
              </m:r>
            </m:e>
            <m:sup>
              <m:r>
                <m:rPr>
                  <m:sty m:val="p"/>
                </m:rPr>
                <m:t>−</m:t>
              </m:r>
              <m:r>
                <m:t>λ</m:t>
              </m:r>
              <m:r>
                <m:t>T</m:t>
              </m:r>
            </m:sup>
          </m:sSup>
          <m:r>
            <m:rPr>
              <m:sty m:val="p"/>
            </m:rPr>
            <m:t>≈</m:t>
          </m:r>
          <m:r>
            <m:t>1</m:t>
          </m:r>
          <m:r>
            <m:rPr>
              <m:sty m:val="p"/>
            </m:rPr>
            <m:t>−</m:t>
          </m:r>
          <m:r>
            <m:t>λ</m:t>
          </m:r>
          <m:r>
            <m:t>T</m:t>
          </m:r>
          <m:r>
            <m:t> </m:t>
          </m:r>
          <m:d>
            <m:dPr>
              <m:begChr m:val="("/>
              <m:endChr m:val=")"/>
              <m:sepChr m:val=""/>
              <m:grow/>
            </m:dPr>
            <m:e>
              <m:r>
                <m:rPr>
                  <m:nor/>
                  <m:sty m:val="p"/>
                </m:rPr>
                <m:t>when </m:t>
              </m:r>
              <m:r>
                <m:t>λ</m:t>
              </m:r>
              <m:r>
                <m:t>T</m:t>
              </m:r>
              <m:r>
                <m:rPr>
                  <m:sty m:val="p"/>
                </m:rPr>
                <m:t>≪</m:t>
              </m:r>
              <m:r>
                <m:t>1</m:t>
              </m:r>
            </m:e>
          </m:d>
        </m:oMath>
      </m:oMathPara>
    </w:p>
    <w:p>
      <w:pPr>
        <w:pStyle w:val="CalloutFormula"/>
      </w:pPr>
      <w:r>
        <w:t xml:space="preserve">and the average delay between an event occurring and the client seeing it is</w:t>
      </w:r>
    </w:p>
    <w:p>
      <w:pPr>
        <w:pStyle w:val="CalloutFormula"/>
      </w:pPr>
      <m:oMathPara>
        <m:oMathParaPr>
          <m:jc m:val="center"/>
        </m:oMathParaPr>
        <m:oMath>
          <m:sSub>
            <m:e>
              <m:r>
                <m:t>D</m:t>
              </m:r>
            </m:e>
            <m:sub>
              <m:r>
                <m:rPr>
                  <m:nor/>
                  <m:sty m:val="p"/>
                </m:rPr>
                <m:t>avg</m:t>
              </m:r>
            </m:sub>
          </m:sSub>
          <m:r>
            <m:rPr>
              <m:sty m:val="p"/>
            </m:rPr>
            <m:t>=</m:t>
          </m:r>
          <m:f>
            <m:fPr>
              <m:type m:val="bar"/>
            </m:fPr>
            <m:num>
              <m:r>
                <m:t>T</m:t>
              </m:r>
            </m:num>
            <m:den>
              <m:r>
                <m:t>2</m:t>
              </m:r>
            </m:den>
          </m:f>
          <m:r>
            <m:rPr>
              <m:sty m:val="p"/>
            </m:rPr>
            <m:t>+</m:t>
          </m:r>
          <m:sSub>
            <m:e>
              <m:r>
                <m:t>t</m:t>
              </m:r>
            </m:e>
            <m:sub>
              <m:r>
                <m:rPr>
                  <m:nor/>
                  <m:sty m:val="p"/>
                </m:rPr>
                <m:t>rtt</m:t>
              </m:r>
            </m:sub>
          </m:sSub>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P</m:t>
                  </m:r>
                </m:e>
                <m:sub>
                  <m:r>
                    <m:rPr>
                      <m:nor/>
                      <m:sty m:val="p"/>
                    </m:rPr>
                    <m:t>empty</m:t>
                  </m:r>
                </m:sub>
              </m:sSub>
            </m:oMath>
          </w:p>
        </w:tc>
        <w:tc>
          <w:tcPr/>
          <w:p>
            <w:pPr>
              <w:pStyle w:val="Compact"/>
              <w:jc w:val="left"/>
            </w:pPr>
            <w:r>
              <w:t xml:space="preserve">Fraction of polls that return nothing</w:t>
            </w:r>
          </w:p>
        </w:tc>
        <w:tc>
          <w:tcPr/>
          <w:p>
            <w:pPr>
              <w:pStyle w:val="Compact"/>
              <w:jc w:val="left"/>
            </w:pPr>
            <w:r>
              <w:t xml:space="preserve">dimensionless (0–1)</w:t>
            </w:r>
          </w:p>
        </w:tc>
      </w:tr>
      <w:tr>
        <w:tc>
          <w:tcPr/>
          <w:p>
            <w:pPr>
              <w:pStyle w:val="Compact"/>
              <w:jc w:val="left"/>
            </w:pPr>
            <m:oMath>
              <m:r>
                <m:t>λ</m:t>
              </m:r>
            </m:oMath>
          </w:p>
        </w:tc>
        <w:tc>
          <w:tcPr/>
          <w:p>
            <w:pPr>
              <w:pStyle w:val="Compact"/>
              <w:jc w:val="left"/>
            </w:pPr>
            <w:r>
              <w:t xml:space="preserve">Average update rate per client</w:t>
            </w:r>
          </w:p>
        </w:tc>
        <w:tc>
          <w:tcPr/>
          <w:p>
            <w:pPr>
              <w:pStyle w:val="Compact"/>
              <w:jc w:val="left"/>
            </w:pPr>
            <w:r>
              <w:t xml:space="preserve">events/second</w:t>
            </w:r>
          </w:p>
        </w:tc>
      </w:tr>
      <w:tr>
        <w:tc>
          <w:tcPr/>
          <w:p>
            <w:pPr>
              <w:pStyle w:val="Compact"/>
              <w:jc w:val="left"/>
            </w:pPr>
            <m:oMath>
              <m:r>
                <m:t>T</m:t>
              </m:r>
            </m:oMath>
          </w:p>
        </w:tc>
        <w:tc>
          <w:tcPr/>
          <w:p>
            <w:pPr>
              <w:pStyle w:val="Compact"/>
              <w:jc w:val="left"/>
            </w:pPr>
            <w:r>
              <w:t xml:space="preserve">Polling interval</w:t>
            </w:r>
          </w:p>
        </w:tc>
        <w:tc>
          <w:tcPr/>
          <w:p>
            <w:pPr>
              <w:pStyle w:val="Compact"/>
              <w:jc w:val="left"/>
            </w:pPr>
            <w:r>
              <w:t xml:space="preserve">seconds</w:t>
            </w:r>
          </w:p>
        </w:tc>
      </w:tr>
      <w:tr>
        <w:tc>
          <w:tcPr/>
          <w:p>
            <w:pPr>
              <w:pStyle w:val="Compact"/>
              <w:jc w:val="left"/>
            </w:pPr>
            <m:oMath>
              <m:sSub>
                <m:e>
                  <m:r>
                    <m:t>D</m:t>
                  </m:r>
                </m:e>
                <m:sub>
                  <m:r>
                    <m:rPr>
                      <m:nor/>
                      <m:sty m:val="p"/>
                    </m:rPr>
                    <m:t>avg</m:t>
                  </m:r>
                </m:sub>
              </m:sSub>
            </m:oMath>
          </w:p>
        </w:tc>
        <w:tc>
          <w:tcPr/>
          <w:p>
            <w:pPr>
              <w:pStyle w:val="Compact"/>
              <w:jc w:val="left"/>
            </w:pPr>
            <w:r>
              <w:t xml:space="preserve">Average notification delay</w:t>
            </w:r>
          </w:p>
        </w:tc>
        <w:tc>
          <w:tcPr/>
          <w:p>
            <w:pPr>
              <w:pStyle w:val="Compact"/>
              <w:jc w:val="left"/>
            </w:pPr>
            <w:r>
              <w:t xml:space="preserve">seconds</w:t>
            </w:r>
          </w:p>
        </w:tc>
      </w:tr>
      <w:tr>
        <w:tc>
          <w:tcPr/>
          <w:p>
            <w:pPr>
              <w:pStyle w:val="Compact"/>
              <w:jc w:val="left"/>
            </w:pPr>
            <m:oMath>
              <m:sSub>
                <m:e>
                  <m:r>
                    <m:t>t</m:t>
                  </m:r>
                </m:e>
                <m:sub>
                  <m:r>
                    <m:rPr>
                      <m:nor/>
                      <m:sty m:val="p"/>
                    </m:rPr>
                    <m:t>rtt</m:t>
                  </m:r>
                </m:sub>
              </m:sSub>
            </m:oMath>
          </w:p>
        </w:tc>
        <w:tc>
          <w:tcPr/>
          <w:p>
            <w:pPr>
              <w:pStyle w:val="Compact"/>
              <w:jc w:val="left"/>
            </w:pPr>
            <w:r>
              <w:t xml:space="preserve">Network round-trip time for one poll</w:t>
            </w:r>
          </w:p>
        </w:tc>
        <w:tc>
          <w:tcPr/>
          <w:p>
            <w:pPr>
              <w:pStyle w:val="Compact"/>
              <w:jc w:val="left"/>
            </w:pPr>
            <w:r>
              <w:t xml:space="preserve">seconds</w:t>
            </w:r>
          </w:p>
        </w:tc>
      </w:tr>
    </w:tbl>
    <w:p>
      <w:pPr>
        <w:pStyle w:val="CalloutExample"/>
      </w:pPr>
      <w:r>
        <w:rPr>
          <w:bCs/>
          <w:b/>
        </w:rPr>
        <w:t xml:space="preserve">WORKED EXAMPLE</w:t>
      </w:r>
    </w:p>
    <w:p>
      <w:pPr>
        <w:pStyle w:val="CalloutExample"/>
      </w:pPr>
      <w:r>
        <w:rPr>
          <w:bCs/>
          <w:b/>
        </w:rPr>
        <w:t xml:space="preserve">Worked example — A notification badge polled every 5 seconds.</w:t>
      </w:r>
    </w:p>
    <w:p>
      <w:pPr>
        <w:pStyle w:val="CalloutExample"/>
      </w:pPr>
      <w:r>
        <w:t xml:space="preserve">A web app has</w:t>
      </w:r>
      <w:r>
        <w:t xml:space="preserve"> </w:t>
      </w:r>
      <m:oMath>
        <m:r>
          <m:t>N</m:t>
        </m:r>
        <m:r>
          <m:rPr>
            <m:sty m:val="p"/>
          </m:rPr>
          <m:t>=</m:t>
        </m:r>
        <m:r>
          <m:t>1</m:t>
        </m:r>
        <m:r>
          <m:rPr>
            <m:sty m:val="p"/>
          </m:rPr>
          <m:t>,</m:t>
        </m:r>
        <m:r>
          <m:t>000</m:t>
        </m:r>
        <m:r>
          <m:rPr>
            <m:sty m:val="p"/>
          </m:rPr>
          <m:t>,</m:t>
        </m:r>
        <m:r>
          <m:t>000</m:t>
        </m:r>
      </m:oMath>
      <w:r>
        <w:t xml:space="preserve"> </w:t>
      </w:r>
      <w:r>
        <w:t xml:space="preserve">users online at peak. Each tab polls</w:t>
      </w:r>
      <w:r>
        <w:t xml:space="preserve"> </w:t>
      </w:r>
      <w:r>
        <w:rPr>
          <w:rStyle w:val="VerbatimChar"/>
        </w:rPr>
        <w:t xml:space="preserve">/notifications</w:t>
      </w:r>
      <w:r>
        <w:t xml:space="preserve"> </w:t>
      </w:r>
      <w:r>
        <w:t xml:space="preserve">every</w:t>
      </w:r>
      <w:r>
        <w:t xml:space="preserve"> </w:t>
      </w:r>
      <m:oMath>
        <m:r>
          <m:t>T</m:t>
        </m:r>
        <m:r>
          <m:rPr>
            <m:sty m:val="p"/>
          </m:rPr>
          <m:t>=</m:t>
        </m:r>
        <m:r>
          <m:t>5</m:t>
        </m:r>
      </m:oMath>
      <w:r>
        <w:t xml:space="preserve"> </w:t>
      </w:r>
      <w:r>
        <w:t xml:space="preserve">s. A typical user receives one notification every 10 minutes, so</w:t>
      </w:r>
      <w:r>
        <w:t xml:space="preserve"> </w:t>
      </w:r>
      <m:oMath>
        <m:r>
          <m:t>λ</m:t>
        </m:r>
        <m:r>
          <m:rPr>
            <m:sty m:val="p"/>
          </m:rPr>
          <m:t>=</m:t>
        </m:r>
        <m:r>
          <m:t>1</m:t>
        </m:r>
        <m:r>
          <m:rPr>
            <m:sty m:val="p"/>
          </m:rPr>
          <m:t>/</m:t>
        </m:r>
        <m:r>
          <m:t>600</m:t>
        </m:r>
        <m:r>
          <m:rPr>
            <m:sty m:val="p"/>
          </m:rPr>
          <m:t>≈</m:t>
        </m:r>
        <m:r>
          <m:t>0.00167</m:t>
        </m:r>
      </m:oMath>
      <w:r>
        <w:t xml:space="preserve"> </w:t>
      </w:r>
      <w:r>
        <w:t xml:space="preserve">events/s.</w:t>
      </w:r>
    </w:p>
    <w:p>
      <w:pPr>
        <w:numPr>
          <w:ilvl w:val="0"/>
          <w:numId w:val="1296"/>
        </w:numPr>
        <w:pStyle w:val="Compact"/>
      </w:pPr>
      <w:r>
        <w:t xml:space="preserve">Request rate:</w:t>
      </w:r>
      <w:r>
        <w:t xml:space="preserve"> </w:t>
      </w:r>
      <m:oMath>
        <m:r>
          <m:t>R</m:t>
        </m:r>
        <m:r>
          <m:rPr>
            <m:sty m:val="p"/>
          </m:rPr>
          <m:t>=</m:t>
        </m:r>
        <m:r>
          <m:t>1</m:t>
        </m:r>
        <m:r>
          <m:rPr>
            <m:sty m:val="p"/>
          </m:rPr>
          <m:t>,</m:t>
        </m:r>
        <m:r>
          <m:t>000</m:t>
        </m:r>
        <m:r>
          <m:rPr>
            <m:sty m:val="p"/>
          </m:rPr>
          <m:t>,</m:t>
        </m:r>
        <m:r>
          <m:t>000</m:t>
        </m:r>
        <m:r>
          <m:rPr>
            <m:sty m:val="p"/>
          </m:rPr>
          <m:t>/</m:t>
        </m:r>
        <m:r>
          <m:t>5</m:t>
        </m:r>
        <m:r>
          <m:rPr>
            <m:sty m:val="p"/>
          </m:rPr>
          <m:t>=</m:t>
        </m:r>
        <m:r>
          <m:t>200</m:t>
        </m:r>
        <m:r>
          <m:rPr>
            <m:sty m:val="p"/>
          </m:rPr>
          <m:t>,</m:t>
        </m:r>
        <m:r>
          <m:t>000</m:t>
        </m:r>
      </m:oMath>
      <w:r>
        <w:t xml:space="preserve"> </w:t>
      </w:r>
      <w:r>
        <w:t xml:space="preserve">requests/s.</w:t>
      </w:r>
    </w:p>
    <w:p>
      <w:pPr>
        <w:numPr>
          <w:ilvl w:val="0"/>
          <w:numId w:val="1296"/>
        </w:numPr>
        <w:pStyle w:val="Compact"/>
      </w:pPr>
      <w:r>
        <w:t xml:space="preserve">Empty fraction:</w:t>
      </w:r>
      <w:r>
        <w:t xml:space="preserve"> </w:t>
      </w:r>
      <m:oMath>
        <m:r>
          <m:t>λ</m:t>
        </m:r>
        <m:r>
          <m:t>T</m:t>
        </m:r>
        <m:r>
          <m:rPr>
            <m:sty m:val="p"/>
          </m:rPr>
          <m:t>=</m:t>
        </m:r>
        <m:r>
          <m:t>5</m:t>
        </m:r>
        <m:r>
          <m:rPr>
            <m:sty m:val="p"/>
          </m:rPr>
          <m:t>/</m:t>
        </m:r>
        <m:r>
          <m:t>600</m:t>
        </m:r>
        <m:r>
          <m:rPr>
            <m:sty m:val="p"/>
          </m:rPr>
          <m:t>=</m:t>
        </m:r>
        <m:r>
          <m:t>0.00833</m:t>
        </m:r>
      </m:oMath>
      <w:r>
        <w:t xml:space="preserve">;</w:t>
      </w:r>
      <w:r>
        <w:t xml:space="preserve"> </w:t>
      </w:r>
      <m:oMath>
        <m:sSub>
          <m:e>
            <m:r>
              <m:t>P</m:t>
            </m:r>
          </m:e>
          <m:sub>
            <m:r>
              <m:rPr>
                <m:nor/>
                <m:sty m:val="p"/>
              </m:rPr>
              <m:t>empty</m:t>
            </m:r>
          </m:sub>
        </m:sSub>
        <m:r>
          <m:rPr>
            <m:sty m:val="p"/>
          </m:rPr>
          <m:t>=</m:t>
        </m:r>
        <m:sSup>
          <m:e>
            <m:r>
              <m:t>e</m:t>
            </m:r>
          </m:e>
          <m:sup>
            <m:r>
              <m:rPr>
                <m:sty m:val="p"/>
              </m:rPr>
              <m:t>−</m:t>
            </m:r>
            <m:r>
              <m:t>0.00833</m:t>
            </m:r>
          </m:sup>
        </m:sSup>
        <m:r>
          <m:rPr>
            <m:sty m:val="p"/>
          </m:rPr>
          <m:t>≈</m:t>
        </m:r>
        <m:r>
          <m:t>0.9917</m:t>
        </m:r>
      </m:oMath>
      <w:r>
        <w:t xml:space="preserve">. So</w:t>
      </w:r>
      <w:r>
        <w:t xml:space="preserve"> </w:t>
      </w:r>
      <w:r>
        <w:rPr>
          <w:bCs/>
          <w:b/>
        </w:rPr>
        <w:t xml:space="preserve">99.2 %</w:t>
      </w:r>
      <w:r>
        <w:t xml:space="preserve"> </w:t>
      </w:r>
      <w:r>
        <w:t xml:space="preserve">of requests — about 198,300 per second — return nothing.</w:t>
      </w:r>
    </w:p>
    <w:p>
      <w:pPr>
        <w:numPr>
          <w:ilvl w:val="0"/>
          <w:numId w:val="1296"/>
        </w:numPr>
        <w:pStyle w:val="Compact"/>
      </w:pPr>
      <w:r>
        <w:t xml:space="preserve">Useful requests:</w:t>
      </w:r>
      <w:r>
        <w:t xml:space="preserve"> </w:t>
      </w:r>
      <m:oMath>
        <m:r>
          <m:t>200</m:t>
        </m:r>
        <m:r>
          <m:rPr>
            <m:sty m:val="p"/>
          </m:rPr>
          <m:t>,</m:t>
        </m:r>
        <m:r>
          <m:t>000</m:t>
        </m:r>
        <m:r>
          <m:rPr>
            <m:sty m:val="p"/>
          </m:rPr>
          <m:t>×</m:t>
        </m:r>
        <m:r>
          <m:t>0.0083</m:t>
        </m:r>
        <m:r>
          <m:rPr>
            <m:sty m:val="p"/>
          </m:rPr>
          <m:t>≈</m:t>
        </m:r>
        <m:r>
          <m:t>1</m:t>
        </m:r>
        <m:r>
          <m:rPr>
            <m:sty m:val="p"/>
          </m:rPr>
          <m:t>,</m:t>
        </m:r>
        <m:r>
          <m:t>700</m:t>
        </m:r>
      </m:oMath>
      <w:r>
        <w:t xml:space="preserve"> </w:t>
      </w:r>
      <w:r>
        <w:t xml:space="preserve">per second actually carry a notification.</w:t>
      </w:r>
    </w:p>
    <w:p>
      <w:pPr>
        <w:numPr>
          <w:ilvl w:val="0"/>
          <w:numId w:val="1296"/>
        </w:numPr>
        <w:pStyle w:val="Compact"/>
      </w:pPr>
      <w:r>
        <w:t xml:space="preserve">Header overhead: assume about 800 bytes of request headers (cookies, user-agent, auth token) and 200 bytes of response headers on HTTP/1.1 — about 1 KB per poll (SI units, 1 KB = 1,000 bytes).</w:t>
      </w:r>
      <w:r>
        <w:t xml:space="preserve"> </w:t>
      </w:r>
      <m:oMath>
        <m:r>
          <m:t>200</m:t>
        </m:r>
        <m:r>
          <m:rPr>
            <m:sty m:val="p"/>
          </m:rPr>
          <m:t>,</m:t>
        </m:r>
        <m:r>
          <m:t>000</m:t>
        </m:r>
        <m:r>
          <m:rPr>
            <m:sty m:val="p"/>
          </m:rPr>
          <m:t>×</m:t>
        </m:r>
        <m:r>
          <m:t>1</m:t>
        </m:r>
        <m:r>
          <m:rPr>
            <m:nor/>
            <m:sty m:val="p"/>
          </m:rPr>
          <m:t> KB</m:t>
        </m:r>
        <m:r>
          <m:rPr>
            <m:sty m:val="p"/>
          </m:rPr>
          <m:t>=</m:t>
        </m:r>
        <m:r>
          <m:t>200</m:t>
        </m:r>
      </m:oMath>
      <w:r>
        <w:t xml:space="preserve"> </w:t>
      </w:r>
      <w:r>
        <w:t xml:space="preserve">MB/s ≈ 1.6 Gbit/s of traffic that mostly says</w:t>
      </w:r>
      <w:r>
        <w:t xml:space="preserve"> </w:t>
      </w:r>
      <w:r>
        <w:t xml:space="preserve">“</w:t>
      </w:r>
      <w:r>
        <w:t xml:space="preserve">nothing new</w:t>
      </w:r>
      <w:r>
        <w:t xml:space="preserve">”</w:t>
      </w:r>
      <w:r>
        <w:t xml:space="preserve">. HTTP/2 header compression (HPACK) shrinks repeated headers considerably, but the request count and server work remain.</w:t>
      </w:r>
    </w:p>
    <w:p>
      <w:pPr>
        <w:numPr>
          <w:ilvl w:val="0"/>
          <w:numId w:val="1296"/>
        </w:numPr>
        <w:pStyle w:val="Compact"/>
      </w:pPr>
      <w:r>
        <w:t xml:space="preserve">Average delay:</w:t>
      </w:r>
      <w:r>
        <w:t xml:space="preserve"> </w:t>
      </w:r>
      <m:oMath>
        <m:sSub>
          <m:e>
            <m:r>
              <m:t>D</m:t>
            </m:r>
          </m:e>
          <m:sub>
            <m:r>
              <m:rPr>
                <m:nor/>
                <m:sty m:val="p"/>
              </m:rPr>
              <m:t>avg</m:t>
            </m:r>
          </m:sub>
        </m:sSub>
        <m:r>
          <m:rPr>
            <m:sty m:val="p"/>
          </m:rPr>
          <m:t>≈</m:t>
        </m:r>
        <m:r>
          <m:t>2.5</m:t>
        </m:r>
      </m:oMath>
      <w:r>
        <w:t xml:space="preserve"> </w:t>
      </w:r>
      <w:r>
        <w:t xml:space="preserve">s plus one round trip.</w:t>
      </w:r>
    </w:p>
    <w:p>
      <w:pPr>
        <w:pStyle w:val="CalloutExample"/>
      </w:pPr>
      <w:r>
        <w:rPr>
          <w:bCs/>
          <w:b/>
        </w:rPr>
        <w:t xml:space="preserve">Interpretation.</w:t>
      </w:r>
      <w:r>
        <w:t xml:space="preserve"> </w:t>
      </w:r>
      <w:r>
        <w:t xml:space="preserve">You are paying for 200,000 requests per second of capacity — load balancers, TLS termination, application threads and a database or cache lookup each — to deliver about 1,700 useful updates per second. Halving the interval to 2.5 s to improve freshness</w:t>
      </w:r>
      <w:r>
        <w:t xml:space="preserve"> </w:t>
      </w:r>
      <w:r>
        <w:rPr>
          <w:iCs/>
          <w:i/>
        </w:rPr>
        <w:t xml:space="preserve">doubles</w:t>
      </w:r>
      <w:r>
        <w:t xml:space="preserve"> </w:t>
      </w:r>
      <w:r>
        <w:t xml:space="preserve">the bill.</w:t>
      </w:r>
    </w:p>
    <w:p>
      <w:pPr>
        <w:pStyle w:val="CalloutExample"/>
      </w:pPr>
      <w:r>
        <w:rPr>
          <w:bCs/>
          <w:b/>
        </w:rPr>
        <w:t xml:space="preserve">Engineering implication.</w:t>
      </w:r>
      <w:r>
        <w:t xml:space="preserve"> </w:t>
      </w:r>
      <w:r>
        <w:t xml:space="preserve">Short polling’s cost scales with</w:t>
      </w:r>
      <w:r>
        <w:t xml:space="preserve"> </w:t>
      </w:r>
      <m:oMath>
        <m:r>
          <m:t>N</m:t>
        </m:r>
        <m:r>
          <m:rPr>
            <m:sty m:val="p"/>
          </m:rPr>
          <m:t>/</m:t>
        </m:r>
        <m:r>
          <m:t>T</m:t>
        </m:r>
      </m:oMath>
      <w:r>
        <w:t xml:space="preserve">, not with the rate of real events. When</w:t>
      </w:r>
      <w:r>
        <w:t xml:space="preserve"> </w:t>
      </w:r>
      <m:oMath>
        <m:r>
          <m:t>λ</m:t>
        </m:r>
        <m:r>
          <m:t>T</m:t>
        </m:r>
      </m:oMath>
      <w:r>
        <w:t xml:space="preserve"> </w:t>
      </w:r>
      <w:r>
        <w:t xml:space="preserve">is small (rare events, short interval), switch to a push technique; when events are frequent relative to the interval (for example, a dashboard that changes every second and is polled every 10 s), polling’s waste is low and its simplicity wins.</w:t>
      </w:r>
    </w:p>
    <w:p>
      <w:pPr>
        <w:pStyle w:val="BodyText"/>
      </w:pPr>
      <w:r>
        <w:rPr>
          <w:bCs/>
          <w:b/>
        </w:rPr>
        <w:t xml:space="preserve">Table 9.1 — Short-polling cost for 1 million clients as the interval shrinks (λ = 1 event per 10 minutes per client).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Interval</w:t>
            </w:r>
            <w:r>
              <w:t xml:space="preserve"> </w:t>
            </w:r>
            <m:oMath>
              <m:r>
                <m:t>T</m:t>
              </m:r>
            </m:oMath>
          </w:p>
        </w:tc>
        <w:tc>
          <w:tcPr/>
          <w:p>
            <w:pPr>
              <w:pStyle w:val="Compact"/>
              <w:jc w:val="left"/>
            </w:pPr>
            <w:r>
              <w:t xml:space="preserve">Requests/s</w:t>
            </w:r>
          </w:p>
        </w:tc>
        <w:tc>
          <w:tcPr/>
          <w:p>
            <w:pPr>
              <w:pStyle w:val="Compact"/>
              <w:jc w:val="left"/>
            </w:pPr>
            <w:r>
              <w:t xml:space="preserve">Empty polls</w:t>
            </w:r>
          </w:p>
        </w:tc>
        <w:tc>
          <w:tcPr/>
          <w:p>
            <w:pPr>
              <w:pStyle w:val="Compact"/>
              <w:jc w:val="left"/>
            </w:pPr>
            <w:r>
              <w:t xml:space="preserve">Avg. delay</w:t>
            </w:r>
          </w:p>
        </w:tc>
        <w:tc>
          <w:tcPr/>
          <w:p>
            <w:pPr>
              <w:pStyle w:val="Compact"/>
              <w:jc w:val="left"/>
            </w:pPr>
            <w:r>
              <w:t xml:space="preserve">Header traffic (≈1 KB/poll)</w:t>
            </w:r>
          </w:p>
        </w:tc>
      </w:tr>
      <w:tr>
        <w:tc>
          <w:tcPr/>
          <w:p>
            <w:pPr>
              <w:pStyle w:val="Compact"/>
              <w:jc w:val="left"/>
            </w:pPr>
            <w:r>
              <w:t xml:space="preserve">60 s</w:t>
            </w:r>
          </w:p>
        </w:tc>
        <w:tc>
          <w:tcPr/>
          <w:p>
            <w:pPr>
              <w:pStyle w:val="Compact"/>
              <w:jc w:val="left"/>
            </w:pPr>
            <w:r>
              <w:t xml:space="preserve">16,667</w:t>
            </w:r>
          </w:p>
        </w:tc>
        <w:tc>
          <w:tcPr/>
          <w:p>
            <w:pPr>
              <w:pStyle w:val="Compact"/>
              <w:jc w:val="left"/>
            </w:pPr>
            <w:r>
              <w:t xml:space="preserve">90.5 %</w:t>
            </w:r>
          </w:p>
        </w:tc>
        <w:tc>
          <w:tcPr/>
          <w:p>
            <w:pPr>
              <w:pStyle w:val="Compact"/>
              <w:jc w:val="left"/>
            </w:pPr>
            <w:r>
              <w:t xml:space="preserve">30 s</w:t>
            </w:r>
          </w:p>
        </w:tc>
        <w:tc>
          <w:tcPr/>
          <w:p>
            <w:pPr>
              <w:pStyle w:val="Compact"/>
              <w:jc w:val="left"/>
            </w:pPr>
            <w:r>
              <w:t xml:space="preserve">16.7 MB/s</w:t>
            </w:r>
          </w:p>
        </w:tc>
      </w:tr>
      <w:tr>
        <w:tc>
          <w:tcPr/>
          <w:p>
            <w:pPr>
              <w:pStyle w:val="Compact"/>
              <w:jc w:val="left"/>
            </w:pPr>
            <w:r>
              <w:t xml:space="preserve">30 s</w:t>
            </w:r>
          </w:p>
        </w:tc>
        <w:tc>
          <w:tcPr/>
          <w:p>
            <w:pPr>
              <w:pStyle w:val="Compact"/>
              <w:jc w:val="left"/>
            </w:pPr>
            <w:r>
              <w:t xml:space="preserve">33,333</w:t>
            </w:r>
          </w:p>
        </w:tc>
        <w:tc>
          <w:tcPr/>
          <w:p>
            <w:pPr>
              <w:pStyle w:val="Compact"/>
              <w:jc w:val="left"/>
            </w:pPr>
            <w:r>
              <w:t xml:space="preserve">95.1 %</w:t>
            </w:r>
          </w:p>
        </w:tc>
        <w:tc>
          <w:tcPr/>
          <w:p>
            <w:pPr>
              <w:pStyle w:val="Compact"/>
              <w:jc w:val="left"/>
            </w:pPr>
            <w:r>
              <w:t xml:space="preserve">15 s</w:t>
            </w:r>
          </w:p>
        </w:tc>
        <w:tc>
          <w:tcPr/>
          <w:p>
            <w:pPr>
              <w:pStyle w:val="Compact"/>
              <w:jc w:val="left"/>
            </w:pPr>
            <w:r>
              <w:t xml:space="preserve">33.3 MB/s</w:t>
            </w:r>
          </w:p>
        </w:tc>
      </w:tr>
      <w:tr>
        <w:tc>
          <w:tcPr/>
          <w:p>
            <w:pPr>
              <w:pStyle w:val="Compact"/>
              <w:jc w:val="left"/>
            </w:pPr>
            <w:r>
              <w:t xml:space="preserve">10 s</w:t>
            </w:r>
          </w:p>
        </w:tc>
        <w:tc>
          <w:tcPr/>
          <w:p>
            <w:pPr>
              <w:pStyle w:val="Compact"/>
              <w:jc w:val="left"/>
            </w:pPr>
            <w:r>
              <w:t xml:space="preserve">100,000</w:t>
            </w:r>
          </w:p>
        </w:tc>
        <w:tc>
          <w:tcPr/>
          <w:p>
            <w:pPr>
              <w:pStyle w:val="Compact"/>
              <w:jc w:val="left"/>
            </w:pPr>
            <w:r>
              <w:t xml:space="preserve">98.3 %</w:t>
            </w:r>
          </w:p>
        </w:tc>
        <w:tc>
          <w:tcPr/>
          <w:p>
            <w:pPr>
              <w:pStyle w:val="Compact"/>
              <w:jc w:val="left"/>
            </w:pPr>
            <w:r>
              <w:t xml:space="preserve">5 s</w:t>
            </w:r>
          </w:p>
        </w:tc>
        <w:tc>
          <w:tcPr/>
          <w:p>
            <w:pPr>
              <w:pStyle w:val="Compact"/>
              <w:jc w:val="left"/>
            </w:pPr>
            <w:r>
              <w:t xml:space="preserve">100 MB/s</w:t>
            </w:r>
          </w:p>
        </w:tc>
      </w:tr>
      <w:tr>
        <w:tc>
          <w:tcPr/>
          <w:p>
            <w:pPr>
              <w:pStyle w:val="Compact"/>
              <w:jc w:val="left"/>
            </w:pPr>
            <w:r>
              <w:t xml:space="preserve">5 s</w:t>
            </w:r>
          </w:p>
        </w:tc>
        <w:tc>
          <w:tcPr/>
          <w:p>
            <w:pPr>
              <w:pStyle w:val="Compact"/>
              <w:jc w:val="left"/>
            </w:pPr>
            <w:r>
              <w:t xml:space="preserve">200,000</w:t>
            </w:r>
          </w:p>
        </w:tc>
        <w:tc>
          <w:tcPr/>
          <w:p>
            <w:pPr>
              <w:pStyle w:val="Compact"/>
              <w:jc w:val="left"/>
            </w:pPr>
            <w:r>
              <w:t xml:space="preserve">99.2 %</w:t>
            </w:r>
          </w:p>
        </w:tc>
        <w:tc>
          <w:tcPr/>
          <w:p>
            <w:pPr>
              <w:pStyle w:val="Compact"/>
              <w:jc w:val="left"/>
            </w:pPr>
            <w:r>
              <w:t xml:space="preserve">2.5 s</w:t>
            </w:r>
          </w:p>
        </w:tc>
        <w:tc>
          <w:tcPr/>
          <w:p>
            <w:pPr>
              <w:pStyle w:val="Compact"/>
              <w:jc w:val="left"/>
            </w:pPr>
            <w:r>
              <w:t xml:space="preserve">200 MB/s</w:t>
            </w:r>
          </w:p>
        </w:tc>
      </w:tr>
      <w:tr>
        <w:tc>
          <w:tcPr/>
          <w:p>
            <w:pPr>
              <w:pStyle w:val="Compact"/>
              <w:jc w:val="left"/>
            </w:pPr>
            <w:r>
              <w:t xml:space="preserve">1 s</w:t>
            </w:r>
          </w:p>
        </w:tc>
        <w:tc>
          <w:tcPr/>
          <w:p>
            <w:pPr>
              <w:pStyle w:val="Compact"/>
              <w:jc w:val="left"/>
            </w:pPr>
            <w:r>
              <w:t xml:space="preserve">1,000,000</w:t>
            </w:r>
          </w:p>
        </w:tc>
        <w:tc>
          <w:tcPr/>
          <w:p>
            <w:pPr>
              <w:pStyle w:val="Compact"/>
              <w:jc w:val="left"/>
            </w:pPr>
            <w:r>
              <w:t xml:space="preserve">99.8 %</w:t>
            </w:r>
          </w:p>
        </w:tc>
        <w:tc>
          <w:tcPr/>
          <w:p>
            <w:pPr>
              <w:pStyle w:val="Compact"/>
              <w:jc w:val="left"/>
            </w:pPr>
            <w:r>
              <w:t xml:space="preserve">0.5 s</w:t>
            </w:r>
          </w:p>
        </w:tc>
        <w:tc>
          <w:tcPr/>
          <w:p>
            <w:pPr>
              <w:pStyle w:val="Compact"/>
              <w:jc w:val="left"/>
            </w:pPr>
            <w:r>
              <w:t xml:space="preserve">1 GB/s</w:t>
            </w:r>
          </w:p>
        </w:tc>
      </w:tr>
    </w:tbl>
    <w:p>
      <w:pPr>
        <w:pStyle w:val="BodyText"/>
      </w:pPr>
      <w:r>
        <w:t xml:space="preserve">The table shows the central tension: every halving of delay doubles the cost, while the useful work stays constant at about 1,667 notifications per second.</w:t>
      </w:r>
    </w:p>
    <w:bookmarkEnd w:id="963"/>
    <w:bookmarkStart w:id="964" w:name="real-world-industry-applications-17"/>
    <w:p>
      <w:pPr>
        <w:pStyle w:val="Heading4"/>
      </w:pPr>
      <w:r>
        <w:t xml:space="preserve">Real-world industry applications</w:t>
      </w:r>
    </w:p>
    <w:p>
      <w:pPr>
        <w:pStyle w:val="CalloutIndustry"/>
      </w:pPr>
      <w:r>
        <w:rPr>
          <w:bCs/>
          <w:b/>
        </w:rPr>
        <w:t xml:space="preserve">INDUSTRY EXAMPLE</w:t>
      </w:r>
    </w:p>
    <w:p>
      <w:pPr>
        <w:pStyle w:val="CalloutIndustry"/>
      </w:pPr>
      <w:r>
        <w:rPr>
          <w:bCs/>
          <w:b/>
        </w:rPr>
        <w:t xml:space="preserve">Status dashboards and job progress pages.</w:t>
      </w:r>
      <w:r>
        <w:t xml:space="preserve"> </w:t>
      </w:r>
      <w:r>
        <w:t xml:space="preserve">A CI system’s build page or a cloud console’s</w:t>
      </w:r>
      <w:r>
        <w:t xml:space="preserve"> </w:t>
      </w:r>
      <w:r>
        <w:t xml:space="preserve">“</w:t>
      </w:r>
      <w:r>
        <w:t xml:space="preserve">creating instance…</w:t>
      </w:r>
      <w:r>
        <w:t xml:space="preserve">”</w:t>
      </w:r>
      <w:r>
        <w:t xml:space="preserve"> </w:t>
      </w:r>
      <w:r>
        <w:t xml:space="preserve">spinner typically polls a status endpoint every few seconds. The number of watchers is small, staleness of a few seconds is invisible to users, and the endpoint can be served from a cache, so the waste is cheap and the operational simplicity (no long-lived connections, works through every proxy) dominates.</w:t>
      </w:r>
      <w:r>
        <w:t xml:space="preserve"> </w:t>
      </w:r>
      <w:r>
        <w:rPr>
          <w:iCs/>
          <w:i/>
        </w:rPr>
        <w:t xml:space="preserve">Evidence: Illustrative</w:t>
      </w:r>
      <w:r>
        <w:t xml:space="preserve"> </w:t>
      </w:r>
      <w:r>
        <w:t xml:space="preserve">— a common pattern used for teaching; not a claim about any specific product.</w:t>
      </w:r>
    </w:p>
    <w:bookmarkEnd w:id="964"/>
    <w:bookmarkStart w:id="965" w:name="advantages-and-disadvantages-4"/>
    <w:p>
      <w:pPr>
        <w:pStyle w:val="Heading4"/>
      </w:pPr>
      <w:r>
        <w:t xml:space="preserve">Advantages and disadvantages</w:t>
      </w:r>
    </w:p>
    <w:p>
      <w:pPr>
        <w:numPr>
          <w:ilvl w:val="0"/>
          <w:numId w:val="1297"/>
        </w:numPr>
        <w:pStyle w:val="Compact"/>
      </w:pPr>
      <w:r>
        <w:rPr>
          <w:bCs/>
          <w:b/>
        </w:rPr>
        <w:t xml:space="preserve">Advantages:</w:t>
      </w:r>
      <w:r>
        <w:t xml:space="preserve"> </w:t>
      </w:r>
      <w:r>
        <w:t xml:space="preserve">works everywhere (every proxy, CDN, firewall, HTTP version); servers stay stateless; trivially cacheable (</w:t>
      </w:r>
      <w:r>
        <w:rPr>
          <w:rStyle w:val="VerbatimChar"/>
        </w:rPr>
        <w:t xml:space="preserve">ETag</w:t>
      </w:r>
      <w:r>
        <w:t xml:space="preserve">,</w:t>
      </w:r>
      <w:r>
        <w:t xml:space="preserve"> </w:t>
      </w:r>
      <w:r>
        <w:rPr>
          <w:rStyle w:val="VerbatimChar"/>
        </w:rPr>
        <w:t xml:space="preserve">Cache-Control: max-age</w:t>
      </w:r>
      <w:r>
        <w:t xml:space="preserve">); easy to rate-limit and to reason about; failures are self-healing because the next poll simply retries.</w:t>
      </w:r>
    </w:p>
    <w:p>
      <w:pPr>
        <w:numPr>
          <w:ilvl w:val="0"/>
          <w:numId w:val="1297"/>
        </w:numPr>
        <w:pStyle w:val="Compact"/>
      </w:pPr>
      <w:r>
        <w:rPr>
          <w:bCs/>
          <w:b/>
        </w:rPr>
        <w:t xml:space="preserve">Disadvantages:</w:t>
      </w:r>
      <w:r>
        <w:t xml:space="preserve"> </w:t>
      </w:r>
      <w:r>
        <w:t xml:space="preserve">latency is bounded below by</w:t>
      </w:r>
      <w:r>
        <w:t xml:space="preserve"> </w:t>
      </w:r>
      <m:oMath>
        <m:r>
          <m:t>T</m:t>
        </m:r>
        <m:r>
          <m:rPr>
            <m:sty m:val="p"/>
          </m:rPr>
          <m:t>/</m:t>
        </m:r>
        <m:r>
          <m:t>2</m:t>
        </m:r>
      </m:oMath>
      <w:r>
        <w:t xml:space="preserve"> </w:t>
      </w:r>
      <w:r>
        <w:t xml:space="preserve">on average; cost grows with clients and polling frequency rather than with real events; mobile radios are woken on every poll, draining battery; synchronized clients (for example, all tabs opened at 09:00) create load spikes unless the timer is jittered.</w:t>
      </w:r>
    </w:p>
    <w:bookmarkEnd w:id="965"/>
    <w:bookmarkStart w:id="966" w:name="alternatives-and-trade-offs-4"/>
    <w:p>
      <w:pPr>
        <w:pStyle w:val="Heading4"/>
      </w:pPr>
      <w:r>
        <w:t xml:space="preserve">Alternatives and trade-offs</w:t>
      </w:r>
    </w:p>
    <w:p>
      <w:pPr>
        <w:pStyle w:val="FirstParagraph"/>
      </w:pPr>
      <w:r>
        <w:t xml:space="preserve">Long polling (§9.4) removes empty responses and the</w:t>
      </w:r>
      <w:r>
        <w:t xml:space="preserve"> </w:t>
      </w:r>
      <m:oMath>
        <m:r>
          <m:t>T</m:t>
        </m:r>
        <m:r>
          <m:rPr>
            <m:sty m:val="p"/>
          </m:rPr>
          <m:t>/</m:t>
        </m:r>
        <m:r>
          <m:t>2</m:t>
        </m:r>
      </m:oMath>
      <w:r>
        <w:t xml:space="preserve"> </w:t>
      </w:r>
      <w:r>
        <w:t xml:space="preserve">delay; SSE (§9.5) and WebSockets (§9.6) remove per-update request overhead.</w:t>
      </w:r>
      <w:r>
        <w:t xml:space="preserve"> </w:t>
      </w:r>
      <w:r>
        <w:rPr>
          <w:bCs/>
          <w:b/>
        </w:rPr>
        <w:t xml:space="preserve">Adaptive polling</w:t>
      </w:r>
      <w:r>
        <w:t xml:space="preserve"> </w:t>
      </w:r>
      <w:r>
        <w:t xml:space="preserve">— lengthening</w:t>
      </w:r>
      <w:r>
        <w:t xml:space="preserve"> </w:t>
      </w:r>
      <m:oMath>
        <m:r>
          <m:t>T</m:t>
        </m:r>
      </m:oMath>
      <w:r>
        <w:t xml:space="preserve"> </w:t>
      </w:r>
      <w:r>
        <w:t xml:space="preserve">while nothing changes, or honoring a server-supplied</w:t>
      </w:r>
      <w:r>
        <w:t xml:space="preserve"> </w:t>
      </w:r>
      <w:r>
        <w:rPr>
          <w:rStyle w:val="VerbatimChar"/>
        </w:rPr>
        <w:t xml:space="preserve">Retry-After</w:t>
      </w:r>
      <w:r>
        <w:t xml:space="preserve"> </w:t>
      </w:r>
      <w:r>
        <w:t xml:space="preserve">hint — is a cheap middle ground.</w:t>
      </w:r>
    </w:p>
    <w:bookmarkEnd w:id="966"/>
    <w:bookmarkStart w:id="967" w:name="failure-scenarios-21"/>
    <w:p>
      <w:pPr>
        <w:pStyle w:val="Heading4"/>
      </w:pPr>
      <w:r>
        <w:t xml:space="preserve">Failure scenarios</w:t>
      </w:r>
    </w:p>
    <w:p>
      <w:pPr>
        <w:pStyle w:val="FirstParagraph"/>
      </w:pPr>
      <w:r>
        <w:rPr>
          <w:bCs/>
          <w:b/>
        </w:rPr>
        <w:t xml:space="preserve">Table 9.2 — Short-polling 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Synchronized poll spikes</w:t>
            </w:r>
          </w:p>
        </w:tc>
        <w:tc>
          <w:tcPr/>
          <w:p>
            <w:pPr>
              <w:pStyle w:val="Compact"/>
              <w:jc w:val="left"/>
            </w:pPr>
            <w:r>
              <w:t xml:space="preserve">Clients start timers at the same moment (deploy, page load at shift start)</w:t>
            </w:r>
          </w:p>
        </w:tc>
        <w:tc>
          <w:tcPr/>
          <w:p>
            <w:pPr>
              <w:pStyle w:val="Compact"/>
              <w:jc w:val="left"/>
            </w:pPr>
            <w:r>
              <w:t xml:space="preserve">Request-rate graph shows sawtooth at multiples of</w:t>
            </w:r>
            <w:r>
              <w:t xml:space="preserve"> </w:t>
            </w:r>
            <m:oMath>
              <m:r>
                <m:t>T</m:t>
              </m:r>
            </m:oMath>
          </w:p>
        </w:tc>
        <w:tc>
          <w:tcPr/>
          <w:p>
            <w:pPr>
              <w:pStyle w:val="Compact"/>
              <w:jc w:val="left"/>
            </w:pPr>
            <w:r>
              <w:t xml:space="preserve">Shed load with</w:t>
            </w:r>
            <w:r>
              <w:t xml:space="preserve"> </w:t>
            </w:r>
            <w:r>
              <w:rPr>
                <w:rStyle w:val="VerbatimChar"/>
              </w:rPr>
              <w:t xml:space="preserve">429</w:t>
            </w:r>
            <w:r>
              <w:t xml:space="preserve"> </w:t>
            </w:r>
            <w:r>
              <w:t xml:space="preserve">+</w:t>
            </w:r>
            <w:r>
              <w:t xml:space="preserve"> </w:t>
            </w:r>
            <w:r>
              <w:rPr>
                <w:rStyle w:val="VerbatimChar"/>
              </w:rPr>
              <w:t xml:space="preserve">Retry-After</w:t>
            </w:r>
          </w:p>
        </w:tc>
        <w:tc>
          <w:tcPr/>
          <w:p>
            <w:pPr>
              <w:pStyle w:val="Compact"/>
              <w:jc w:val="left"/>
            </w:pPr>
            <w:r>
              <w:t xml:space="preserve">Add ±20 % random jitter to every timer</w:t>
            </w:r>
          </w:p>
        </w:tc>
      </w:tr>
      <w:tr>
        <w:tc>
          <w:tcPr/>
          <w:p>
            <w:pPr>
              <w:pStyle w:val="Compact"/>
              <w:jc w:val="left"/>
            </w:pPr>
            <w:r>
              <w:t xml:space="preserve">Database overload</w:t>
            </w:r>
          </w:p>
        </w:tc>
        <w:tc>
          <w:tcPr/>
          <w:p>
            <w:pPr>
              <w:pStyle w:val="Compact"/>
              <w:jc w:val="left"/>
            </w:pPr>
            <w:r>
              <w:t xml:space="preserve">Every empty poll hits the database</w:t>
            </w:r>
          </w:p>
        </w:tc>
        <w:tc>
          <w:tcPr/>
          <w:p>
            <w:pPr>
              <w:pStyle w:val="Compact"/>
              <w:jc w:val="left"/>
            </w:pPr>
            <w:r>
              <w:t xml:space="preserve">DB CPU tracks request rate, not write rate</w:t>
            </w:r>
          </w:p>
        </w:tc>
        <w:tc>
          <w:tcPr/>
          <w:p>
            <w:pPr>
              <w:pStyle w:val="Compact"/>
              <w:jc w:val="left"/>
            </w:pPr>
            <w:r>
              <w:t xml:space="preserve">Cache</w:t>
            </w:r>
            <w:r>
              <w:t xml:space="preserve"> </w:t>
            </w:r>
            <w:r>
              <w:t xml:space="preserve">“</w:t>
            </w:r>
            <w:r>
              <w:t xml:space="preserve">latest cursor per user</w:t>
            </w:r>
            <w:r>
              <w:t xml:space="preserve">”</w:t>
            </w:r>
            <w:r>
              <w:t xml:space="preserve"> </w:t>
            </w:r>
            <w:r>
              <w:t xml:space="preserve">in memory</w:t>
            </w:r>
          </w:p>
        </w:tc>
        <w:tc>
          <w:tcPr/>
          <w:p>
            <w:pPr>
              <w:pStyle w:val="Compact"/>
              <w:jc w:val="left"/>
            </w:pPr>
            <w:r>
              <w:t xml:space="preserve">Serve</w:t>
            </w:r>
            <w:r>
              <w:t xml:space="preserve"> </w:t>
            </w:r>
            <w:r>
              <w:t xml:space="preserve">“</w:t>
            </w:r>
            <w:r>
              <w:t xml:space="preserve">anything new?</w:t>
            </w:r>
            <w:r>
              <w:t xml:space="preserve">”</w:t>
            </w:r>
            <w:r>
              <w:t xml:space="preserve"> </w:t>
            </w:r>
            <w:r>
              <w:t xml:space="preserve">from a cache or version counter</w:t>
            </w:r>
          </w:p>
        </w:tc>
      </w:tr>
      <w:tr>
        <w:tc>
          <w:tcPr/>
          <w:p>
            <w:pPr>
              <w:pStyle w:val="Compact"/>
              <w:jc w:val="left"/>
            </w:pPr>
            <w:r>
              <w:t xml:space="preserve">Missed updates</w:t>
            </w:r>
          </w:p>
        </w:tc>
        <w:tc>
          <w:tcPr/>
          <w:p>
            <w:pPr>
              <w:pStyle w:val="Compact"/>
              <w:jc w:val="left"/>
            </w:pPr>
            <w:r>
              <w:t xml:space="preserve">Client uses wall-clock timestamps as cursor; clock skew or same-millisecond writes</w:t>
            </w:r>
          </w:p>
        </w:tc>
        <w:tc>
          <w:tcPr/>
          <w:p>
            <w:pPr>
              <w:pStyle w:val="Compact"/>
              <w:jc w:val="left"/>
            </w:pPr>
            <w:r>
              <w:t xml:space="preserve">Users report gaps</w:t>
            </w:r>
          </w:p>
        </w:tc>
        <w:tc>
          <w:tcPr/>
          <w:p>
            <w:pPr>
              <w:pStyle w:val="Compact"/>
              <w:jc w:val="left"/>
            </w:pPr>
            <w:r>
              <w:t xml:space="preserve">Re-fetch from an earlier cursor</w:t>
            </w:r>
          </w:p>
        </w:tc>
        <w:tc>
          <w:tcPr/>
          <w:p>
            <w:pPr>
              <w:pStyle w:val="Compact"/>
              <w:jc w:val="left"/>
            </w:pPr>
            <w:r>
              <w:t xml:space="preserve">Use monotonically increasing sequence numbers</w:t>
            </w:r>
          </w:p>
        </w:tc>
      </w:tr>
    </w:tbl>
    <w:bookmarkEnd w:id="967"/>
    <w:bookmarkStart w:id="968" w:name="common-misconceptions-18"/>
    <w:p>
      <w:pPr>
        <w:pStyle w:val="Heading4"/>
      </w:pPr>
      <w:r>
        <w:t xml:space="preserve">Common misconceptions</w:t>
      </w:r>
    </w:p>
    <w:p>
      <w:pPr>
        <w:pStyle w:val="CalloutMistake"/>
      </w:pPr>
      <w:r>
        <w:rPr>
          <w:bCs/>
          <w:b/>
        </w:rPr>
        <w:t xml:space="preserve">COMMON MISTAKE</w:t>
      </w:r>
    </w:p>
    <w:p>
      <w:pPr>
        <w:pStyle w:val="CalloutMistake"/>
      </w:pPr>
      <w:r>
        <w:rPr>
          <w:bCs/>
          <w:b/>
        </w:rPr>
        <w:t xml:space="preserve">“</w:t>
      </w:r>
      <w:r>
        <w:rPr>
          <w:bCs/>
          <w:b/>
        </w:rPr>
        <w:t xml:space="preserve">Polling every second is fine; requests are cheap.</w:t>
      </w:r>
      <w:r>
        <w:rPr>
          <w:bCs/>
          <w:b/>
        </w:rPr>
        <w:t xml:space="preserve">”</w:t>
      </w:r>
      <w:r>
        <w:t xml:space="preserve"> </w:t>
      </w:r>
      <w:r>
        <w:t xml:space="preserve">A request that returns nothing still costs a TLS record, a load-balancer decision, an application thread slot, an authentication check and usually a cache or database lookup. Multiplied by</w:t>
      </w:r>
      <w:r>
        <w:t xml:space="preserve"> </w:t>
      </w:r>
      <m:oMath>
        <m:r>
          <m:t>N</m:t>
        </m:r>
        <m:r>
          <m:rPr>
            <m:sty m:val="p"/>
          </m:rPr>
          <m:t>/</m:t>
        </m:r>
        <m:r>
          <m:t>T</m:t>
        </m:r>
      </m:oMath>
      <w:r>
        <w:t xml:space="preserve">,</w:t>
      </w:r>
      <w:r>
        <w:t xml:space="preserve"> </w:t>
      </w:r>
      <w:r>
        <w:t xml:space="preserve">“</w:t>
      </w:r>
      <w:r>
        <w:t xml:space="preserve">cheap</w:t>
      </w:r>
      <w:r>
        <w:t xml:space="preserve">”</w:t>
      </w:r>
      <w:r>
        <w:t xml:space="preserve"> </w:t>
      </w:r>
      <w:r>
        <w:t xml:space="preserve">becomes the dominant load on the system. Always compute</w:t>
      </w:r>
      <w:r>
        <w:t xml:space="preserve"> </w:t>
      </w:r>
      <m:oMath>
        <m:r>
          <m:t>R</m:t>
        </m:r>
        <m:r>
          <m:rPr>
            <m:sty m:val="p"/>
          </m:rPr>
          <m:t>=</m:t>
        </m:r>
        <m:r>
          <m:t>N</m:t>
        </m:r>
        <m:r>
          <m:rPr>
            <m:sty m:val="p"/>
          </m:rPr>
          <m:t>/</m:t>
        </m:r>
        <m:r>
          <m:t>T</m:t>
        </m:r>
      </m:oMath>
      <w:r>
        <w:t xml:space="preserve"> </w:t>
      </w:r>
      <w:r>
        <w:t xml:space="preserve">before choosing an interval.</w:t>
      </w:r>
    </w:p>
    <w:bookmarkEnd w:id="968"/>
    <w:bookmarkEnd w:id="969"/>
    <w:bookmarkEnd w:id="970"/>
    <w:bookmarkStart w:id="985" w:name="long-polling"/>
    <w:p>
      <w:pPr>
        <w:pStyle w:val="Heading2"/>
      </w:pPr>
      <w:r>
        <w:t xml:space="preserve">9.4 Long polling</w:t>
      </w:r>
    </w:p>
    <w:bookmarkStart w:id="984" w:name="what-long-polling-is"/>
    <w:p>
      <w:pPr>
        <w:pStyle w:val="Heading3"/>
      </w:pPr>
      <w:r>
        <w:t xml:space="preserve">9.4.1 What long polling is</w:t>
      </w:r>
    </w:p>
    <w:p>
      <w:pPr>
        <w:pStyle w:val="CalloutDefinition"/>
      </w:pPr>
      <w:r>
        <w:rPr>
          <w:bCs/>
          <w:b/>
        </w:rPr>
        <w:t xml:space="preserve">DEFINITION</w:t>
      </w:r>
    </w:p>
    <w:p>
      <w:pPr>
        <w:pStyle w:val="CalloutDefinition"/>
      </w:pPr>
      <w:r>
        <w:rPr>
          <w:bCs/>
          <w:b/>
        </w:rPr>
        <w:t xml:space="preserve">Definition — Long polling.</w:t>
      </w:r>
      <w:r>
        <w:t xml:space="preserve"> </w:t>
      </w:r>
      <w:r>
        <w:t xml:space="preserve">A technique in which the client sends an HTTP request that the server deliberately does not answer until either new data is available or a server-side timeout</w:t>
      </w:r>
      <w:r>
        <w:t xml:space="preserve"> </w:t>
      </w:r>
      <w:r>
        <w:rPr>
          <w:iCs/>
          <w:i/>
        </w:rPr>
        <w:t xml:space="preserve">T</w:t>
      </w:r>
      <w:r>
        <w:t xml:space="preserve">hold</w:t>
      </w:r>
      <w:r>
        <w:t xml:space="preserve"> </w:t>
      </w:r>
      <w:r>
        <w:t xml:space="preserve">expires; on receiving any response, the client immediately sends the next request.</w:t>
      </w:r>
    </w:p>
    <w:bookmarkStart w:id="971" w:name="first-principles-explanation-49"/>
    <w:p>
      <w:pPr>
        <w:pStyle w:val="Heading4"/>
      </w:pPr>
      <w:r>
        <w:t xml:space="preserve">First-principles explanation</w:t>
      </w:r>
    </w:p>
    <w:p>
      <w:pPr>
        <w:pStyle w:val="FirstParagraph"/>
      </w:pPr>
      <w:r>
        <w:t xml:space="preserve">Now the child asks once and the parent says</w:t>
      </w:r>
      <w:r>
        <w:t xml:space="preserve"> </w:t>
      </w:r>
      <w:r>
        <w:t xml:space="preserve">“</w:t>
      </w:r>
      <w:r>
        <w:t xml:space="preserve">I’ll tell you when we arrive — and if nothing happens in half an hour I’ll say so anyway</w:t>
      </w:r>
      <w:r>
        <w:t xml:space="preserve">”</w:t>
      </w:r>
      <w:r>
        <w:t xml:space="preserve">. The news arrives the instant it happens, but the parent must</w:t>
      </w:r>
      <w:r>
        <w:t xml:space="preserve"> </w:t>
      </w:r>
      <w:r>
        <w:rPr>
          <w:iCs/>
          <w:i/>
        </w:rPr>
        <w:t xml:space="preserve">remember</w:t>
      </w:r>
      <w:r>
        <w:t xml:space="preserve"> </w:t>
      </w:r>
      <w:r>
        <w:t xml:space="preserve">that a question is pending — that memory is the new cost.</w:t>
      </w:r>
    </w:p>
    <w:bookmarkEnd w:id="971"/>
    <w:bookmarkStart w:id="972" w:name="why-does-this-exist-31"/>
    <w:p>
      <w:pPr>
        <w:pStyle w:val="Heading4"/>
      </w:pPr>
      <w:r>
        <w:t xml:space="preserve">Why does this exist?</w:t>
      </w:r>
    </w:p>
    <w:p>
      <w:pPr>
        <w:pStyle w:val="FirstParagraph"/>
      </w:pPr>
      <w:r>
        <w:t xml:space="preserve">Mid-2000s webmail and chat needed sub-second updates, but browsers could only make JavaScript-initiated HTTP requests. Nothing in HTTP forbids a server from answering slowly, so holding the request open approximates push using only standard HTTP. Alex Russell named this family of techniques</w:t>
      </w:r>
      <w:r>
        <w:t xml:space="preserve"> </w:t>
      </w:r>
      <w:r>
        <w:rPr>
          <w:bCs/>
          <w:b/>
        </w:rPr>
        <w:t xml:space="preserve">Comet</w:t>
      </w:r>
      <w:r>
        <w:t xml:space="preserve"> </w:t>
      </w:r>
      <w:r>
        <w:t xml:space="preserve">in 2006 [Russell 2006]; the CometD project’s</w:t>
      </w:r>
      <w:r>
        <w:t xml:space="preserve"> </w:t>
      </w:r>
      <w:r>
        <w:rPr>
          <w:bCs/>
          <w:b/>
        </w:rPr>
        <w:t xml:space="preserve">Bayeux</w:t>
      </w:r>
      <w:r>
        <w:t xml:space="preserve"> </w:t>
      </w:r>
      <w:r>
        <w:t xml:space="preserve">protocol standardized a message format, and RFC 6202 documented the pitfalls [Loreto et al. 2011]. Long polling survives as the universal fallback transport in libraries such as Socket.IO.</w:t>
      </w:r>
    </w:p>
    <w:bookmarkEnd w:id="972"/>
    <w:bookmarkStart w:id="973" w:name="how-it-works-internally-28"/>
    <w:p>
      <w:pPr>
        <w:pStyle w:val="Heading4"/>
      </w:pPr>
      <w:r>
        <w:t xml:space="preserve">How it works internally</w:t>
      </w:r>
    </w:p>
    <w:p>
      <w:pPr>
        <w:numPr>
          <w:ilvl w:val="0"/>
          <w:numId w:val="1298"/>
        </w:numPr>
        <w:pStyle w:val="Compact"/>
      </w:pPr>
      <w:r>
        <w:t xml:space="preserve">The client sends</w:t>
      </w:r>
      <w:r>
        <w:t xml:space="preserve"> </w:t>
      </w:r>
      <w:r>
        <w:rPr>
          <w:rStyle w:val="VerbatimChar"/>
        </w:rPr>
        <w:t xml:space="preserve">GET /poll?cursor=41</w:t>
      </w:r>
      <w:r>
        <w:t xml:space="preserve">.</w:t>
      </w:r>
    </w:p>
    <w:p>
      <w:pPr>
        <w:numPr>
          <w:ilvl w:val="0"/>
          <w:numId w:val="1298"/>
        </w:numPr>
        <w:pStyle w:val="Compact"/>
      </w:pPr>
      <w:r>
        <w:t xml:space="preserve">The server checks for items after cursor 41. If any exist, it responds immediately (this is exactly short polling’s fast path).</w:t>
      </w:r>
    </w:p>
    <w:p>
      <w:pPr>
        <w:numPr>
          <w:ilvl w:val="0"/>
          <w:numId w:val="1298"/>
        </w:numPr>
        <w:pStyle w:val="Compact"/>
      </w:pPr>
      <w:r>
        <w:t xml:space="preserve">If none exist, the server</w:t>
      </w:r>
      <w:r>
        <w:t xml:space="preserve"> </w:t>
      </w:r>
      <w:r>
        <w:rPr>
          <w:iCs/>
          <w:i/>
        </w:rPr>
        <w:t xml:space="preserve">parks</w:t>
      </w:r>
      <w:r>
        <w:t xml:space="preserve"> </w:t>
      </w:r>
      <w:r>
        <w:t xml:space="preserve">the request in an in-memory waiter list keyed by user or topic. On an event-loop server (§6.13) a parked request costs only memory, not a thread.</w:t>
      </w:r>
    </w:p>
    <w:p>
      <w:pPr>
        <w:numPr>
          <w:ilvl w:val="0"/>
          <w:numId w:val="1298"/>
        </w:numPr>
        <w:pStyle w:val="Compact"/>
      </w:pPr>
      <w:r>
        <w:t xml:space="preserve">When an event for that user arrives from a broker, the server wakes the waiter and responds with the new items and cursor.</w:t>
      </w:r>
    </w:p>
    <w:p>
      <w:pPr>
        <w:numPr>
          <w:ilvl w:val="0"/>
          <w:numId w:val="1298"/>
        </w:numPr>
        <w:pStyle w:val="Compact"/>
      </w:pPr>
      <w:r>
        <w:t xml:space="preserve">If no event arrives within</w:t>
      </w:r>
      <w:r>
        <w:t xml:space="preserve"> </w:t>
      </w:r>
      <w:r>
        <w:rPr>
          <w:iCs/>
          <w:i/>
        </w:rPr>
        <w:t xml:space="preserve">T</w:t>
      </w:r>
      <w:r>
        <w:t xml:space="preserve">hold</w:t>
      </w:r>
      <w:r>
        <w:t xml:space="preserve"> </w:t>
      </w:r>
      <w:r>
        <w:t xml:space="preserve">(commonly 20–55 seconds), the server responds</w:t>
      </w:r>
      <w:r>
        <w:t xml:space="preserve"> </w:t>
      </w:r>
      <w:r>
        <w:rPr>
          <w:rStyle w:val="VerbatimChar"/>
        </w:rPr>
        <w:t xml:space="preserve">204 No Content</w:t>
      </w:r>
      <w:r>
        <w:t xml:space="preserve"> </w:t>
      </w:r>
      <w:r>
        <w:t xml:space="preserve">or an empty list with the same cursor.</w:t>
      </w:r>
    </w:p>
    <w:p>
      <w:pPr>
        <w:numPr>
          <w:ilvl w:val="0"/>
          <w:numId w:val="1298"/>
        </w:numPr>
        <w:pStyle w:val="Compact"/>
      </w:pPr>
      <w:r>
        <w:t xml:space="preserve">On any response the client immediately re-polls with the latest cursor (after a backoff delay if the response was an error).</w:t>
      </w:r>
    </w:p>
    <w:p>
      <w:pPr>
        <w:pStyle w:val="FirstParagraph"/>
      </w:pPr>
      <w:r>
        <w:rPr>
          <w:bCs/>
          <w:b/>
        </w:rPr>
        <w:t xml:space="preserve">Timeouts.</w:t>
      </w:r>
      <w:r>
        <w:t xml:space="preserve"> </w:t>
      </w:r>
      <w:r>
        <w:rPr>
          <w:iCs/>
          <w:i/>
        </w:rPr>
        <w:t xml:space="preserve">T</w:t>
      </w:r>
      <w:r>
        <w:t xml:space="preserve">hold</w:t>
      </w:r>
      <w:r>
        <w:t xml:space="preserve"> </w:t>
      </w:r>
      <w:r>
        <w:t xml:space="preserve">must be shorter than every idle timeout on the path. The AWS Application Load Balancer’s default idle timeout is 60 s and NGINX’s</w:t>
      </w:r>
      <w:r>
        <w:t xml:space="preserve"> </w:t>
      </w:r>
      <w:r>
        <w:rPr>
          <w:rStyle w:val="VerbatimChar"/>
        </w:rPr>
        <w:t xml:space="preserve">proxy_read_timeout</w:t>
      </w:r>
      <w:r>
        <w:t xml:space="preserve"> </w:t>
      </w:r>
      <w:r>
        <w:t xml:space="preserve">defaults to 60 s (as of 2024); corporate proxies may be shorter, so 25–30 s is a common safe choice. If an intermediary cuts the request first, the client sees an error instead of a clean empty response — and if it retries without backoff, an error storm.</w:t>
      </w:r>
    </w:p>
    <w:p>
      <w:pPr>
        <w:pStyle w:val="BodyText"/>
      </w:pPr>
      <w:r>
        <w:rPr>
          <w:bCs/>
          <w:b/>
        </w:rPr>
        <w:t xml:space="preserve">Ordering and loss.</w:t>
      </w:r>
      <w:r>
        <w:t xml:space="preserve"> </w:t>
      </w:r>
      <w:r>
        <w:t xml:space="preserve">Between response</w:t>
      </w:r>
      <w:r>
        <w:t xml:space="preserve"> </w:t>
      </w:r>
      <w:r>
        <w:rPr>
          <w:iCs/>
          <w:i/>
        </w:rPr>
        <w:t xml:space="preserve">k</w:t>
      </w:r>
      <w:r>
        <w:t xml:space="preserve"> </w:t>
      </w:r>
      <w:r>
        <w:t xml:space="preserve">and request</w:t>
      </w:r>
      <w:r>
        <w:t xml:space="preserve"> </w:t>
      </w:r>
      <w:r>
        <w:rPr>
          <w:iCs/>
          <w:i/>
        </w:rPr>
        <w:t xml:space="preserve">k</w:t>
      </w:r>
      <w:r>
        <w:t xml:space="preserve">+1 there is a one-round-trip gap with no outstanding request. The cursor closes it: the server keeps a per-user buffer of recent events with monotonically increasing sequence numbers, and each request asks for</w:t>
      </w:r>
      <w:r>
        <w:t xml:space="preserve"> </w:t>
      </w:r>
      <w:r>
        <w:t xml:space="preserve">“</w:t>
      </w:r>
      <w:r>
        <w:t xml:space="preserve">everything after</w:t>
      </w:r>
      <w:r>
        <w:t xml:space="preserve"> </w:t>
      </w:r>
      <w:r>
        <w:rPr>
          <w:iCs/>
          <w:i/>
        </w:rPr>
        <w:t xml:space="preserve">c</w:t>
      </w:r>
      <w:r>
        <w:t xml:space="preserve">”</w:t>
      </w:r>
      <w:r>
        <w:t xml:space="preserve">. Clients apply items in sequence order and discard duplicates (an event racing a timeout may be sent twice). Never run two concurrent long polls per client: responses can arrive out of order. A parked request also occupies one of the browser’s roughly six HTTP/1.1 connections per origin [Loreto et al. 2011].</w:t>
      </w:r>
    </w:p>
    <w:bookmarkEnd w:id="973"/>
    <w:bookmarkStart w:id="977" w:name="architecture-diagram-8"/>
    <w:p>
      <w:pPr>
        <w:pStyle w:val="Heading4"/>
      </w:pPr>
      <w:r>
        <w:t xml:space="preserve">Architecture diagram</w:t>
      </w:r>
    </w:p>
    <w:p>
      <w:pPr>
        <w:pStyle w:val="FirstParagraph"/>
      </w:pPr>
      <w:r>
        <w:rPr>
          <w:bCs/>
          <w:b/>
        </w:rPr>
        <w:t xml:space="preserve">Figure 9.2 — Long polling with cursors and a hold timeout.</w:t>
      </w:r>
    </w:p>
    <w:p>
      <w:pPr>
        <w:pStyle w:val="BodyText"/>
      </w:pPr>
      <w:r>
        <w:drawing>
          <wp:inline>
            <wp:extent cx="5334000" cy="4125566"/>
            <wp:effectExtent b="0" l="0" r="0" t="0"/>
            <wp:docPr descr="" title="" id="975" name="Picture"/>
            <a:graphic>
              <a:graphicData uri="http://schemas.openxmlformats.org/drawingml/2006/picture">
                <pic:pic>
                  <pic:nvPicPr>
                    <pic:cNvPr descr="/home/user/System-Design/build/.cache/diagrams/0244189db914.png" id="976" name="Picture"/>
                    <pic:cNvPicPr>
                      <a:picLocks noChangeArrowheads="1" noChangeAspect="1"/>
                    </pic:cNvPicPr>
                  </pic:nvPicPr>
                  <pic:blipFill>
                    <a:blip r:embed="rId974"/>
                    <a:stretch>
                      <a:fillRect/>
                    </a:stretch>
                  </pic:blipFill>
                  <pic:spPr bwMode="auto">
                    <a:xfrm>
                      <a:off x="0" y="0"/>
                      <a:ext cx="5334000" cy="4125566"/>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poll server receives events asynchronously (open arrowheads) from a pub/sub broker. The first request parks and ends empty after the 30 s hold timeout; the second is answered the moment event 42 arrives — one network hop instead of</w:t>
      </w:r>
      <w:r>
        <w:t xml:space="preserve"> </w:t>
      </w:r>
      <m:oMath>
        <m:r>
          <m:t>T</m:t>
        </m:r>
        <m:r>
          <m:rPr>
            <m:sty m:val="p"/>
          </m:rPr>
          <m:t>/</m:t>
        </m:r>
        <m:r>
          <m:t>2</m:t>
        </m:r>
      </m:oMath>
      <w:r>
        <w:t xml:space="preserve">. Event 43 arrives while the client is re-polling; the cursor and the server-side buffer ensure nothing is lost. If the client reconnects to a</w:t>
      </w:r>
      <w:r>
        <w:t xml:space="preserve"> </w:t>
      </w:r>
      <w:r>
        <w:rPr>
          <w:iCs/>
          <w:i/>
        </w:rPr>
        <w:t xml:space="preserve">different</w:t>
      </w:r>
      <w:r>
        <w:t xml:space="preserve"> </w:t>
      </w:r>
      <w:r>
        <w:t xml:space="preserve">server, that server must answer</w:t>
      </w:r>
      <w:r>
        <w:t xml:space="preserve"> </w:t>
      </w:r>
      <w:r>
        <w:t xml:space="preserve">“</w:t>
      </w:r>
      <w:r>
        <w:t xml:space="preserve">after 42</w:t>
      </w:r>
      <w:r>
        <w:t xml:space="preserve">”</w:t>
      </w:r>
      <w:r>
        <w:t xml:space="preserve">, so the buffer must be shared or routing sticky (§9.9.4). Failure points: intermediaries that time out first, and in-memory buffers lost on restart. Capacity is planned in concurrent held connections.</w:t>
      </w:r>
    </w:p>
    <w:bookmarkEnd w:id="977"/>
    <w:bookmarkStart w:id="978" w:name="mathematical-foundations-9"/>
    <w:p>
      <w:pPr>
        <w:pStyle w:val="Heading4"/>
      </w:pPr>
      <w:r>
        <w:t xml:space="preserve">Mathematical foundations</w:t>
      </w:r>
    </w:p>
    <w:p>
      <w:pPr>
        <w:pStyle w:val="CalloutFormula"/>
      </w:pPr>
      <w:r>
        <w:rPr>
          <w:bCs/>
          <w:b/>
        </w:rPr>
        <w:t xml:space="preserve">FORMULA</w:t>
      </w:r>
    </w:p>
    <w:p>
      <w:pPr>
        <w:pStyle w:val="CalloutFormula"/>
      </w:pPr>
      <w:r>
        <w:rPr>
          <w:bCs/>
          <w:b/>
        </w:rPr>
        <w:t xml:space="preserve">Long-polling request rate</w:t>
      </w:r>
    </w:p>
    <w:p>
      <w:pPr>
        <w:pStyle w:val="CalloutFormula"/>
      </w:pPr>
      <w:r>
        <w:t xml:space="preserve">With Poisson events at rate</w:t>
      </w:r>
      <w:r>
        <w:t xml:space="preserve"> </w:t>
      </w:r>
      <m:oMath>
        <m:r>
          <m:t>λ</m:t>
        </m:r>
      </m:oMath>
      <w:r>
        <w:t xml:space="preserve"> </w:t>
      </w:r>
      <w:r>
        <w:t xml:space="preserve">per client and hold timeout</w:t>
      </w:r>
      <w:r>
        <w:t xml:space="preserve"> </w:t>
      </w:r>
      <m:oMath>
        <m:sSub>
          <m:e>
            <m:r>
              <m:t>T</m:t>
            </m:r>
          </m:e>
          <m:sub>
            <m:r>
              <m:t>h</m:t>
            </m:r>
          </m:sub>
        </m:sSub>
      </m:oMath>
      <w:r>
        <w:t xml:space="preserve">, each request lasts</w:t>
      </w:r>
      <w:r>
        <w:t xml:space="preserve"> </w:t>
      </w:r>
      <m:oMath>
        <m:r>
          <m:rPr>
            <m:sty m:val="p"/>
          </m:rPr>
          <m:t>min</m:t>
        </m:r>
        <m:d>
          <m:dPr>
            <m:begChr m:val="("/>
            <m:endChr m:val=")"/>
            <m:sepChr m:val=""/>
            <m:grow/>
          </m:dPr>
          <m:e>
            <m:sSub>
              <m:e>
                <m:r>
                  <m:t>T</m:t>
                </m:r>
              </m:e>
              <m:sub>
                <m:r>
                  <m:t>h</m:t>
                </m:r>
              </m:sub>
            </m:sSub>
            <m:r>
              <m:rPr>
                <m:sty m:val="p"/>
              </m:rPr>
              <m:t>,</m:t>
            </m:r>
            <m:r>
              <m:t>X</m:t>
            </m:r>
          </m:e>
        </m:d>
      </m:oMath>
      <w:r>
        <w:t xml:space="preserve"> </w:t>
      </w:r>
      <w:r>
        <w:t xml:space="preserve">where</w:t>
      </w:r>
      <w:r>
        <w:t xml:space="preserve"> </w:t>
      </w:r>
      <m:oMath>
        <m:r>
          <m:t>X</m:t>
        </m:r>
      </m:oMath>
      <w:r>
        <w:t xml:space="preserve"> </w:t>
      </w:r>
      <w:r>
        <w:t xml:space="preserve">is the time to the next event. Its mean is</w:t>
      </w:r>
    </w:p>
    <w:p>
      <w:pPr>
        <w:pStyle w:val="CalloutFormula"/>
      </w:pPr>
      <m:oMathPara>
        <m:oMathParaPr>
          <m:jc m:val="center"/>
        </m:oMathParaPr>
        <m:oMath>
          <m:r>
            <m:t>E</m:t>
          </m:r>
          <m:d>
            <m:dPr>
              <m:begChr m:val="["/>
              <m:endChr m:val="]"/>
              <m:sepChr m:val=""/>
              <m:grow/>
            </m:dPr>
            <m:e>
              <m:r>
                <m:rPr>
                  <m:nor/>
                  <m:sty m:val="p"/>
                </m:rPr>
                <m:t>duration</m:t>
              </m:r>
            </m:e>
          </m:d>
          <m:r>
            <m:rPr>
              <m:sty m:val="p"/>
            </m:rPr>
            <m:t>=</m:t>
          </m:r>
          <m:f>
            <m:fPr>
              <m:type m:val="bar"/>
            </m:fPr>
            <m:num>
              <m:r>
                <m:t>1</m:t>
              </m:r>
              <m:r>
                <m:rPr>
                  <m:sty m:val="p"/>
                </m:rPr>
                <m:t>−</m:t>
              </m:r>
              <m:sSup>
                <m:e>
                  <m:r>
                    <m:t>e</m:t>
                  </m:r>
                </m:e>
                <m:sup>
                  <m:r>
                    <m:rPr>
                      <m:sty m:val="p"/>
                    </m:rPr>
                    <m:t>−</m:t>
                  </m:r>
                  <m:r>
                    <m:t>λ</m:t>
                  </m:r>
                  <m:sSub>
                    <m:e>
                      <m:r>
                        <m:t>T</m:t>
                      </m:r>
                    </m:e>
                    <m:sub>
                      <m:r>
                        <m:t>h</m:t>
                      </m:r>
                    </m:sub>
                  </m:sSub>
                </m:sup>
              </m:sSup>
            </m:num>
            <m:den>
              <m:r>
                <m:t>λ</m:t>
              </m:r>
            </m:den>
          </m:f>
          <m:r>
            <m:rPr>
              <m:sty m:val="p"/>
            </m:rPr>
            <m:t>,</m:t>
          </m:r>
          <m:r>
            <m:t>  </m:t>
          </m:r>
          <m:r>
            <m:t>R</m:t>
          </m:r>
          <m:r>
            <m:rPr>
              <m:sty m:val="p"/>
            </m:rPr>
            <m:t>=</m:t>
          </m:r>
          <m:f>
            <m:fPr>
              <m:type m:val="bar"/>
            </m:fPr>
            <m:num>
              <m:r>
                <m:t>N</m:t>
              </m:r>
            </m:num>
            <m:den>
              <m:r>
                <m:t>E</m:t>
              </m:r>
              <m:d>
                <m:dPr>
                  <m:begChr m:val="["/>
                  <m:endChr m:val="]"/>
                  <m:sepChr m:val=""/>
                  <m:grow/>
                </m:dPr>
                <m:e>
                  <m:r>
                    <m:rPr>
                      <m:nor/>
                      <m:sty m:val="p"/>
                    </m:rPr>
                    <m:t>duration</m:t>
                  </m:r>
                </m:e>
              </m:d>
            </m:den>
          </m:f>
          <m:r>
            <m:rPr>
              <m:sty m:val="p"/>
            </m:rPr>
            <m:t>,</m:t>
          </m:r>
          <m:r>
            <m:t>  </m:t>
          </m:r>
          <m:sSub>
            <m:e>
              <m:r>
                <m:t>C</m:t>
              </m:r>
            </m:e>
            <m:sub>
              <m:r>
                <m:rPr>
                  <m:nor/>
                  <m:sty m:val="p"/>
                </m:rPr>
                <m:t>open</m:t>
              </m:r>
            </m:sub>
          </m:sSub>
          <m:r>
            <m:rPr>
              <m:sty m:val="p"/>
            </m:rPr>
            <m:t>≈</m:t>
          </m:r>
          <m:r>
            <m:t>N</m:t>
          </m:r>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λ</m:t>
              </m:r>
            </m:oMath>
          </w:p>
        </w:tc>
        <w:tc>
          <w:tcPr/>
          <w:p>
            <w:pPr>
              <w:pStyle w:val="Compact"/>
              <w:jc w:val="left"/>
            </w:pPr>
            <w:r>
              <w:t xml:space="preserve">Average update rate per client</w:t>
            </w:r>
          </w:p>
        </w:tc>
        <w:tc>
          <w:tcPr/>
          <w:p>
            <w:pPr>
              <w:pStyle w:val="Compact"/>
              <w:jc w:val="left"/>
            </w:pPr>
            <w:r>
              <w:t xml:space="preserve">events/second</w:t>
            </w:r>
          </w:p>
        </w:tc>
      </w:tr>
      <w:tr>
        <w:tc>
          <w:tcPr/>
          <w:p>
            <w:pPr>
              <w:pStyle w:val="Compact"/>
              <w:jc w:val="left"/>
            </w:pPr>
            <m:oMath>
              <m:sSub>
                <m:e>
                  <m:r>
                    <m:t>T</m:t>
                  </m:r>
                </m:e>
                <m:sub>
                  <m:r>
                    <m:t>h</m:t>
                  </m:r>
                </m:sub>
              </m:sSub>
            </m:oMath>
          </w:p>
        </w:tc>
        <w:tc>
          <w:tcPr/>
          <w:p>
            <w:pPr>
              <w:pStyle w:val="Compact"/>
              <w:jc w:val="left"/>
            </w:pPr>
            <w:r>
              <w:t xml:space="preserve">Server hold timeout</w:t>
            </w:r>
          </w:p>
        </w:tc>
        <w:tc>
          <w:tcPr/>
          <w:p>
            <w:pPr>
              <w:pStyle w:val="Compact"/>
              <w:jc w:val="left"/>
            </w:pPr>
            <w:r>
              <w:t xml:space="preserve">seconds</w:t>
            </w:r>
          </w:p>
        </w:tc>
      </w:tr>
      <w:tr>
        <w:tc>
          <w:tcPr/>
          <w:p>
            <w:pPr>
              <w:pStyle w:val="Compact"/>
              <w:jc w:val="left"/>
            </w:pPr>
            <m:oMath>
              <m:r>
                <m:t>E</m:t>
              </m:r>
              <m:d>
                <m:dPr>
                  <m:begChr m:val="["/>
                  <m:endChr m:val="]"/>
                  <m:sepChr m:val=""/>
                  <m:grow/>
                </m:dPr>
                <m:e>
                  <m:r>
                    <m:rPr>
                      <m:nor/>
                      <m:sty m:val="p"/>
                    </m:rPr>
                    <m:t>duration</m:t>
                  </m:r>
                </m:e>
              </m:d>
            </m:oMath>
          </w:p>
        </w:tc>
        <w:tc>
          <w:tcPr/>
          <w:p>
            <w:pPr>
              <w:pStyle w:val="Compact"/>
              <w:jc w:val="left"/>
            </w:pPr>
            <w:r>
              <w:t xml:space="preserve">Mean lifetime of one long-poll request</w:t>
            </w:r>
          </w:p>
        </w:tc>
        <w:tc>
          <w:tcPr/>
          <w:p>
            <w:pPr>
              <w:pStyle w:val="Compact"/>
              <w:jc w:val="left"/>
            </w:pPr>
            <w:r>
              <w:t xml:space="preserve">seconds</w:t>
            </w:r>
          </w:p>
        </w:tc>
      </w:tr>
      <w:tr>
        <w:tc>
          <w:tcPr/>
          <w:p>
            <w:pPr>
              <w:pStyle w:val="Compact"/>
              <w:jc w:val="left"/>
            </w:pPr>
            <m:oMath>
              <m:r>
                <m:t>N</m:t>
              </m:r>
            </m:oMath>
          </w:p>
        </w:tc>
        <w:tc>
          <w:tcPr/>
          <w:p>
            <w:pPr>
              <w:pStyle w:val="Compact"/>
              <w:jc w:val="left"/>
            </w:pPr>
            <w:r>
              <w:t xml:space="preserve">Number of connected clients</w:t>
            </w:r>
          </w:p>
        </w:tc>
        <w:tc>
          <w:tcPr/>
          <w:p>
            <w:pPr>
              <w:pStyle w:val="Compact"/>
              <w:jc w:val="left"/>
            </w:pPr>
            <w:r>
              <w:t xml:space="preserve">clients</w:t>
            </w:r>
          </w:p>
        </w:tc>
      </w:tr>
      <w:tr>
        <w:tc>
          <w:tcPr/>
          <w:p>
            <w:pPr>
              <w:pStyle w:val="Compact"/>
              <w:jc w:val="left"/>
            </w:pPr>
            <m:oMath>
              <m:r>
                <m:t>R</m:t>
              </m:r>
            </m:oMath>
          </w:p>
        </w:tc>
        <w:tc>
          <w:tcPr/>
          <w:p>
            <w:pPr>
              <w:pStyle w:val="Compact"/>
              <w:jc w:val="left"/>
            </w:pPr>
            <w:r>
              <w:t xml:space="preserve">Request rate at the servers</w:t>
            </w:r>
          </w:p>
        </w:tc>
        <w:tc>
          <w:tcPr/>
          <w:p>
            <w:pPr>
              <w:pStyle w:val="Compact"/>
              <w:jc w:val="left"/>
            </w:pPr>
            <w:r>
              <w:t xml:space="preserve">requests/second</w:t>
            </w:r>
          </w:p>
        </w:tc>
      </w:tr>
      <w:tr>
        <w:tc>
          <w:tcPr/>
          <w:p>
            <w:pPr>
              <w:pStyle w:val="Compact"/>
              <w:jc w:val="left"/>
            </w:pPr>
            <m:oMath>
              <m:sSub>
                <m:e>
                  <m:r>
                    <m:t>C</m:t>
                  </m:r>
                </m:e>
                <m:sub>
                  <m:r>
                    <m:rPr>
                      <m:nor/>
                      <m:sty m:val="p"/>
                    </m:rPr>
                    <m:t>open</m:t>
                  </m:r>
                </m:sub>
              </m:sSub>
            </m:oMath>
          </w:p>
        </w:tc>
        <w:tc>
          <w:tcPr/>
          <w:p>
            <w:pPr>
              <w:pStyle w:val="Compact"/>
              <w:jc w:val="left"/>
            </w:pPr>
            <w:r>
              <w:t xml:space="preserve">Concurrently open requests (Little’s Law:</w:t>
            </w:r>
            <w:r>
              <w:t xml:space="preserve"> </w:t>
            </w:r>
            <m:oMath>
              <m:r>
                <m:t>R</m:t>
              </m:r>
              <m:r>
                <m:rPr>
                  <m:sty m:val="p"/>
                </m:rPr>
                <m:t>×</m:t>
              </m:r>
              <m:r>
                <m:t>E</m:t>
              </m:r>
              <m:d>
                <m:dPr>
                  <m:begChr m:val="["/>
                  <m:endChr m:val="]"/>
                  <m:sepChr m:val=""/>
                  <m:grow/>
                </m:dPr>
                <m:e>
                  <m:r>
                    <m:rPr>
                      <m:nor/>
                      <m:sty m:val="p"/>
                    </m:rPr>
                    <m:t>duration</m:t>
                  </m:r>
                </m:e>
              </m:d>
            </m:oMath>
            <w:r>
              <w:t xml:space="preserve">)</w:t>
            </w:r>
          </w:p>
        </w:tc>
        <w:tc>
          <w:tcPr/>
          <w:p>
            <w:pPr>
              <w:pStyle w:val="Compact"/>
              <w:jc w:val="left"/>
            </w:pPr>
            <w:r>
              <w:t xml:space="preserve">requests</w:t>
            </w:r>
          </w:p>
        </w:tc>
      </w:tr>
    </w:tbl>
    <w:p>
      <w:pPr>
        <w:pStyle w:val="CalloutExample"/>
      </w:pPr>
      <w:r>
        <w:rPr>
          <w:bCs/>
          <w:b/>
        </w:rPr>
        <w:t xml:space="preserve">WORKED EXAMPLE</w:t>
      </w:r>
    </w:p>
    <w:p>
      <w:pPr>
        <w:pStyle w:val="CalloutExample"/>
      </w:pPr>
      <w:r>
        <w:rPr>
          <w:bCs/>
          <w:b/>
        </w:rPr>
        <w:t xml:space="preserve">Worked example — The same 1 million users, now with long polling.</w:t>
      </w:r>
    </w:p>
    <w:p>
      <w:pPr>
        <w:pStyle w:val="CalloutExample"/>
      </w:pPr>
      <w:r>
        <w:t xml:space="preserve">Use the numbers from §9.3:</w:t>
      </w:r>
      <w:r>
        <w:t xml:space="preserve"> </w:t>
      </w:r>
      <m:oMath>
        <m:r>
          <m:t>N</m:t>
        </m:r>
        <m:r>
          <m:rPr>
            <m:sty m:val="p"/>
          </m:rPr>
          <m:t>=</m:t>
        </m:r>
        <m:r>
          <m:t>1</m:t>
        </m:r>
        <m:r>
          <m:rPr>
            <m:sty m:val="p"/>
          </m:rPr>
          <m:t>,</m:t>
        </m:r>
        <m:r>
          <m:t>000</m:t>
        </m:r>
        <m:r>
          <m:rPr>
            <m:sty m:val="p"/>
          </m:rPr>
          <m:t>,</m:t>
        </m:r>
        <m:r>
          <m:t>000</m:t>
        </m:r>
      </m:oMath>
      <w:r>
        <w:t xml:space="preserve">,</w:t>
      </w:r>
      <w:r>
        <w:t xml:space="preserve"> </w:t>
      </w:r>
      <m:oMath>
        <m:r>
          <m:t>λ</m:t>
        </m:r>
        <m:r>
          <m:rPr>
            <m:sty m:val="p"/>
          </m:rPr>
          <m:t>=</m:t>
        </m:r>
        <m:r>
          <m:t>1</m:t>
        </m:r>
        <m:r>
          <m:rPr>
            <m:sty m:val="p"/>
          </m:rPr>
          <m:t>/</m:t>
        </m:r>
        <m:r>
          <m:t>600</m:t>
        </m:r>
      </m:oMath>
      <w:r>
        <w:t xml:space="preserve"> </w:t>
      </w:r>
      <w:r>
        <w:t xml:space="preserve">events/s, and a hold timeout</w:t>
      </w:r>
      <w:r>
        <w:t xml:space="preserve"> </w:t>
      </w:r>
      <m:oMath>
        <m:sSub>
          <m:e>
            <m:r>
              <m:t>T</m:t>
            </m:r>
          </m:e>
          <m:sub>
            <m:r>
              <m:t>h</m:t>
            </m:r>
          </m:sub>
        </m:sSub>
        <m:r>
          <m:rPr>
            <m:sty m:val="p"/>
          </m:rPr>
          <m:t>=</m:t>
        </m:r>
        <m:r>
          <m:t>30</m:t>
        </m:r>
      </m:oMath>
      <w:r>
        <w:t xml:space="preserve"> </w:t>
      </w:r>
      <w:r>
        <w:t xml:space="preserve">s.</w:t>
      </w:r>
    </w:p>
    <w:p>
      <w:pPr>
        <w:numPr>
          <w:ilvl w:val="0"/>
          <w:numId w:val="1299"/>
        </w:numPr>
        <w:pStyle w:val="Compact"/>
      </w:pPr>
      <m:oMath>
        <m:r>
          <m:t>λ</m:t>
        </m:r>
        <m:sSub>
          <m:e>
            <m:r>
              <m:t>T</m:t>
            </m:r>
          </m:e>
          <m:sub>
            <m:r>
              <m:t>h</m:t>
            </m:r>
          </m:sub>
        </m:sSub>
        <m:r>
          <m:rPr>
            <m:sty m:val="p"/>
          </m:rPr>
          <m:t>=</m:t>
        </m:r>
        <m:r>
          <m:t>30</m:t>
        </m:r>
        <m:r>
          <m:rPr>
            <m:sty m:val="p"/>
          </m:rPr>
          <m:t>/</m:t>
        </m:r>
        <m:r>
          <m:t>600</m:t>
        </m:r>
        <m:r>
          <m:rPr>
            <m:sty m:val="p"/>
          </m:rPr>
          <m:t>=</m:t>
        </m:r>
        <m:r>
          <m:t>0.05</m:t>
        </m:r>
      </m:oMath>
      <w:r>
        <w:t xml:space="preserve">;</w:t>
      </w:r>
      <w:r>
        <w:t xml:space="preserve"> </w:t>
      </w:r>
      <m:oMath>
        <m:sSup>
          <m:e>
            <m:r>
              <m:t>e</m:t>
            </m:r>
          </m:e>
          <m:sup>
            <m:r>
              <m:rPr>
                <m:sty m:val="p"/>
              </m:rPr>
              <m:t>−</m:t>
            </m:r>
            <m:r>
              <m:t>0.05</m:t>
            </m:r>
          </m:sup>
        </m:sSup>
        <m:r>
          <m:rPr>
            <m:sty m:val="p"/>
          </m:rPr>
          <m:t>=</m:t>
        </m:r>
        <m:r>
          <m:t>0.9512</m:t>
        </m:r>
      </m:oMath>
      <w:r>
        <w:t xml:space="preserve">.</w:t>
      </w:r>
    </w:p>
    <w:p>
      <w:pPr>
        <w:numPr>
          <w:ilvl w:val="0"/>
          <w:numId w:val="1299"/>
        </w:numPr>
        <w:pStyle w:val="Compact"/>
      </w:pPr>
      <m:oMath>
        <m:r>
          <m:t>E</m:t>
        </m:r>
        <m:d>
          <m:dPr>
            <m:begChr m:val="["/>
            <m:endChr m:val="]"/>
            <m:sepChr m:val=""/>
            <m:grow/>
          </m:dPr>
          <m:e>
            <m:r>
              <m:rPr>
                <m:nor/>
                <m:sty m:val="p"/>
              </m:rPr>
              <m:t>duration</m:t>
            </m:r>
          </m:e>
        </m:d>
        <m:r>
          <m:rPr>
            <m:sty m:val="p"/>
          </m:rPr>
          <m:t>=</m:t>
        </m:r>
        <m:d>
          <m:dPr>
            <m:begChr m:val="("/>
            <m:endChr m:val=")"/>
            <m:sepChr m:val=""/>
            <m:grow/>
          </m:dPr>
          <m:e>
            <m:r>
              <m:t>1</m:t>
            </m:r>
            <m:r>
              <m:rPr>
                <m:sty m:val="p"/>
              </m:rPr>
              <m:t>−</m:t>
            </m:r>
            <m:r>
              <m:t>0.9512</m:t>
            </m:r>
          </m:e>
        </m:d>
        <m:r>
          <m:rPr>
            <m:sty m:val="p"/>
          </m:rPr>
          <m:t>/</m:t>
        </m:r>
        <m:d>
          <m:dPr>
            <m:begChr m:val="("/>
            <m:endChr m:val=")"/>
            <m:sepChr m:val=""/>
            <m:grow/>
          </m:dPr>
          <m:e>
            <m:r>
              <m:t>1</m:t>
            </m:r>
            <m:r>
              <m:rPr>
                <m:sty m:val="p"/>
              </m:rPr>
              <m:t>/</m:t>
            </m:r>
            <m:r>
              <m:t>600</m:t>
            </m:r>
          </m:e>
        </m:d>
        <m:r>
          <m:rPr>
            <m:sty m:val="p"/>
          </m:rPr>
          <m:t>=</m:t>
        </m:r>
        <m:r>
          <m:t>0.0488</m:t>
        </m:r>
        <m:r>
          <m:rPr>
            <m:sty m:val="p"/>
          </m:rPr>
          <m:t>×</m:t>
        </m:r>
        <m:r>
          <m:t>600</m:t>
        </m:r>
        <m:r>
          <m:rPr>
            <m:sty m:val="p"/>
          </m:rPr>
          <m:t>≈</m:t>
        </m:r>
        <m:r>
          <m:t>29.3</m:t>
        </m:r>
      </m:oMath>
      <w:r>
        <w:t xml:space="preserve"> </w:t>
      </w:r>
      <w:r>
        <w:t xml:space="preserve">s.</w:t>
      </w:r>
    </w:p>
    <w:p>
      <w:pPr>
        <w:numPr>
          <w:ilvl w:val="0"/>
          <w:numId w:val="1299"/>
        </w:numPr>
        <w:pStyle w:val="Compact"/>
      </w:pPr>
      <m:oMath>
        <m:r>
          <m:t>R</m:t>
        </m:r>
        <m:r>
          <m:rPr>
            <m:sty m:val="p"/>
          </m:rPr>
          <m:t>=</m:t>
        </m:r>
        <m:r>
          <m:t>1</m:t>
        </m:r>
        <m:r>
          <m:rPr>
            <m:sty m:val="p"/>
          </m:rPr>
          <m:t>,</m:t>
        </m:r>
        <m:r>
          <m:t>000</m:t>
        </m:r>
        <m:r>
          <m:rPr>
            <m:sty m:val="p"/>
          </m:rPr>
          <m:t>,</m:t>
        </m:r>
        <m:r>
          <m:t>000</m:t>
        </m:r>
        <m:r>
          <m:rPr>
            <m:sty m:val="p"/>
          </m:rPr>
          <m:t>/</m:t>
        </m:r>
        <m:r>
          <m:t>29.3</m:t>
        </m:r>
        <m:r>
          <m:rPr>
            <m:sty m:val="p"/>
          </m:rPr>
          <m:t>≈</m:t>
        </m:r>
        <m:r>
          <m:t>34</m:t>
        </m:r>
        <m:r>
          <m:rPr>
            <m:sty m:val="p"/>
          </m:rPr>
          <m:t>,</m:t>
        </m:r>
        <m:r>
          <m:t>000</m:t>
        </m:r>
      </m:oMath>
      <w:r>
        <w:t xml:space="preserve"> </w:t>
      </w:r>
      <w:r>
        <w:t xml:space="preserve">requests/s, versus 200,000 requests/s for 5-second short polling — about</w:t>
      </w:r>
      <w:r>
        <w:t xml:space="preserve"> </w:t>
      </w:r>
      <w:r>
        <w:rPr>
          <w:bCs/>
          <w:b/>
        </w:rPr>
        <w:t xml:space="preserve">5.9× fewer</w:t>
      </w:r>
      <w:r>
        <w:t xml:space="preserve"> </w:t>
      </w:r>
      <w:r>
        <w:t xml:space="preserve">requests.</w:t>
      </w:r>
    </w:p>
    <w:p>
      <w:pPr>
        <w:numPr>
          <w:ilvl w:val="0"/>
          <w:numId w:val="1299"/>
        </w:numPr>
        <w:pStyle w:val="Compact"/>
      </w:pPr>
      <w:r>
        <w:t xml:space="preserve">Average notification delay: about one network round trip (tens of milliseconds) instead of 2.5 s.</w:t>
      </w:r>
    </w:p>
    <w:p>
      <w:pPr>
        <w:numPr>
          <w:ilvl w:val="0"/>
          <w:numId w:val="1299"/>
        </w:numPr>
        <w:pStyle w:val="Compact"/>
      </w:pPr>
      <w:r>
        <w:t xml:space="preserve">Concurrent open requests:</w:t>
      </w:r>
      <w:r>
        <w:t xml:space="preserve"> </w:t>
      </w:r>
      <m:oMath>
        <m:r>
          <m:t>34</m:t>
        </m:r>
        <m:r>
          <m:rPr>
            <m:sty m:val="p"/>
          </m:rPr>
          <m:t>,</m:t>
        </m:r>
        <m:r>
          <m:t>000</m:t>
        </m:r>
        <m:r>
          <m:rPr>
            <m:sty m:val="p"/>
          </m:rPr>
          <m:t>×</m:t>
        </m:r>
        <m:r>
          <m:t>29.3</m:t>
        </m:r>
        <m:r>
          <m:rPr>
            <m:sty m:val="p"/>
          </m:rPr>
          <m:t>≈</m:t>
        </m:r>
        <m:r>
          <m:t>1</m:t>
        </m:r>
        <m:r>
          <m:rPr>
            <m:sty m:val="p"/>
          </m:rPr>
          <m:t>,</m:t>
        </m:r>
        <m:r>
          <m:t>000</m:t>
        </m:r>
        <m:r>
          <m:rPr>
            <m:sty m:val="p"/>
          </m:rPr>
          <m:t>,</m:t>
        </m:r>
        <m:r>
          <m:t>000</m:t>
        </m:r>
      </m:oMath>
      <w:r>
        <w:t xml:space="preserve"> </w:t>
      </w:r>
      <w:r>
        <w:t xml:space="preserve">— every client holds one open request at all times.</w:t>
      </w:r>
    </w:p>
    <w:p>
      <w:pPr>
        <w:pStyle w:val="CalloutExample"/>
      </w:pPr>
      <w:r>
        <w:rPr>
          <w:bCs/>
          <w:b/>
        </w:rPr>
        <w:t xml:space="preserve">Interpretation.</w:t>
      </w:r>
      <w:r>
        <w:t xml:space="preserve"> </w:t>
      </w:r>
      <w:r>
        <w:t xml:space="preserve">Long polling improves both cost and latency, but it shifts the bottleneck from request throughput to</w:t>
      </w:r>
      <w:r>
        <w:t xml:space="preserve"> </w:t>
      </w:r>
      <w:r>
        <w:rPr>
          <w:iCs/>
          <w:i/>
        </w:rPr>
        <w:t xml:space="preserve">concurrent held connections</w:t>
      </w:r>
      <w:r>
        <w:t xml:space="preserve">. 95 % of responses are still empty timeouts (</w:t>
      </w:r>
      <m:oMath>
        <m:sSup>
          <m:e>
            <m:r>
              <m:t>e</m:t>
            </m:r>
          </m:e>
          <m:sup>
            <m:r>
              <m:rPr>
                <m:sty m:val="p"/>
              </m:rPr>
              <m:t>−</m:t>
            </m:r>
            <m:r>
              <m:t>0.05</m:t>
            </m:r>
          </m:sup>
        </m:sSup>
      </m:oMath>
      <w:r>
        <w:t xml:space="preserve">), each carrying full HTTP headers.</w:t>
      </w:r>
    </w:p>
    <w:p>
      <w:pPr>
        <w:pStyle w:val="CalloutExample"/>
      </w:pPr>
      <w:r>
        <w:rPr>
          <w:bCs/>
          <w:b/>
        </w:rPr>
        <w:t xml:space="preserve">Engineering implication.</w:t>
      </w:r>
      <w:r>
        <w:t xml:space="preserve"> </w:t>
      </w:r>
      <w:r>
        <w:t xml:space="preserve">Long polling needs an asynchronous server that can park a million requests and an event-routing layer that wakes the right one — the same infrastructure as a WebSocket gateway (§9.9). Once you have built that, SSE or WebSockets usually deliver more for the same effort.</w:t>
      </w:r>
    </w:p>
    <w:bookmarkEnd w:id="978"/>
    <w:bookmarkStart w:id="979" w:name="real-world-industry-applications-18"/>
    <w:p>
      <w:pPr>
        <w:pStyle w:val="Heading4"/>
      </w:pPr>
      <w:r>
        <w:t xml:space="preserve">Real-world industry applications</w:t>
      </w:r>
    </w:p>
    <w:p>
      <w:pPr>
        <w:pStyle w:val="CalloutIndustry"/>
      </w:pPr>
      <w:r>
        <w:rPr>
          <w:bCs/>
          <w:b/>
        </w:rPr>
        <w:t xml:space="preserve">INDUSTRY EXAMPLE</w:t>
      </w:r>
    </w:p>
    <w:p>
      <w:pPr>
        <w:pStyle w:val="CalloutIndustry"/>
      </w:pPr>
      <w:r>
        <w:rPr>
          <w:bCs/>
          <w:b/>
        </w:rPr>
        <w:t xml:space="preserve">Universal fallback transports.</w:t>
      </w:r>
      <w:r>
        <w:t xml:space="preserve"> </w:t>
      </w:r>
      <w:r>
        <w:t xml:space="preserve">Real-time libraries such as Socket.IO and SockJS offer long polling as a transport for networks where WebSockets are blocked by proxies or firewalls. Socket.IO’s documentation notes that when HTTP long-polling is enabled with several server nodes, the load balancer must use sticky sessions, because successive polls of one session must reach the node that holds its state.</w:t>
      </w:r>
      <w:r>
        <w:t xml:space="preserve"> </w:t>
      </w:r>
      <w:r>
        <w:rPr>
          <w:iCs/>
          <w:i/>
        </w:rPr>
        <w:t xml:space="preserve">Evidence: Primary</w:t>
      </w:r>
      <w:r>
        <w:t xml:space="preserve"> </w:t>
      </w:r>
      <w:r>
        <w:t xml:space="preserve">— Socket.IO documentation,</w:t>
      </w:r>
      <w:r>
        <w:t xml:space="preserve"> </w:t>
      </w:r>
      <w:r>
        <w:t xml:space="preserve">“</w:t>
      </w:r>
      <w:r>
        <w:t xml:space="preserve">Using multiple nodes</w:t>
      </w:r>
      <w:r>
        <w:t xml:space="preserve">”</w:t>
      </w:r>
      <w:r>
        <w:t xml:space="preserve"> </w:t>
      </w:r>
      <w:r>
        <w:t xml:space="preserve">[Socket.IO Docs].</w:t>
      </w:r>
    </w:p>
    <w:bookmarkEnd w:id="979"/>
    <w:bookmarkStart w:id="980" w:name="advantages-and-disadvantages-5"/>
    <w:p>
      <w:pPr>
        <w:pStyle w:val="Heading4"/>
      </w:pPr>
      <w:r>
        <w:t xml:space="preserve">Advantages and disadvantages</w:t>
      </w:r>
    </w:p>
    <w:p>
      <w:pPr>
        <w:numPr>
          <w:ilvl w:val="0"/>
          <w:numId w:val="1300"/>
        </w:numPr>
        <w:pStyle w:val="Compact"/>
      </w:pPr>
      <w:r>
        <w:rPr>
          <w:bCs/>
          <w:b/>
        </w:rPr>
        <w:t xml:space="preserve">Advantages:</w:t>
      </w:r>
      <w:r>
        <w:t xml:space="preserve"> </w:t>
      </w:r>
      <w:r>
        <w:t xml:space="preserve">near-instant delivery over plain HTTP; works through almost every proxy; client logic is simple; degrades to polling when events are frequent.</w:t>
      </w:r>
    </w:p>
    <w:p>
      <w:pPr>
        <w:numPr>
          <w:ilvl w:val="0"/>
          <w:numId w:val="1300"/>
        </w:numPr>
        <w:pStyle w:val="Compact"/>
      </w:pPr>
      <w:r>
        <w:rPr>
          <w:bCs/>
          <w:b/>
        </w:rPr>
        <w:t xml:space="preserve">Disadvantages:</w:t>
      </w:r>
      <w:r>
        <w:t xml:space="preserve"> </w:t>
      </w:r>
      <w:r>
        <w:t xml:space="preserve">every message still carries full HTTP headers and costs a new request; a round-trip gap after each response (mitigated by cursors); holds a connection per client, so servers must be asynchronous; intermediary timeouts must be understood; occupies one of the browser’s HTTP/1.1 connections per origin; strictly server-to-client (client-to-server messages need separate requests).</w:t>
      </w:r>
    </w:p>
    <w:bookmarkEnd w:id="980"/>
    <w:bookmarkStart w:id="981" w:name="alternatives-and-trade-offs-5"/>
    <w:p>
      <w:pPr>
        <w:pStyle w:val="Heading4"/>
      </w:pPr>
      <w:r>
        <w:t xml:space="preserve">Alternatives and trade-offs</w:t>
      </w:r>
    </w:p>
    <w:p>
      <w:pPr>
        <w:pStyle w:val="FirstParagraph"/>
      </w:pPr>
      <w:r>
        <w:t xml:space="preserve">SSE (§9.5) gives the same reach for server-to-client data with one request for many messages and built-in resumption; WebSockets (§9.6) remove per-message HTTP overhead for bidirectional traffic. Long polling wins where streaming responses are broken — some antivirus products and corporate proxies buffer responses until they complete, which ruins SSE but leaves long polling intact.</w:t>
      </w:r>
    </w:p>
    <w:bookmarkEnd w:id="981"/>
    <w:bookmarkStart w:id="982" w:name="failure-scenarios-22"/>
    <w:p>
      <w:pPr>
        <w:pStyle w:val="Heading4"/>
      </w:pPr>
      <w:r>
        <w:t xml:space="preserve">Failure scenarios</w:t>
      </w:r>
    </w:p>
    <w:p>
      <w:pPr>
        <w:pStyle w:val="FirstParagraph"/>
      </w:pPr>
      <w:r>
        <w:rPr>
          <w:bCs/>
          <w:b/>
        </w:rPr>
        <w:t xml:space="preserve">Table 9.3 — Long-polling 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Requests cut off at 60 s with 504</w:t>
            </w:r>
          </w:p>
        </w:tc>
        <w:tc>
          <w:tcPr/>
          <w:p>
            <w:pPr>
              <w:pStyle w:val="Compact"/>
              <w:jc w:val="left"/>
            </w:pPr>
            <w:r>
              <w:t xml:space="preserve">Hold timeout exceeds a proxy or LB idle timeout</w:t>
            </w:r>
          </w:p>
        </w:tc>
        <w:tc>
          <w:tcPr/>
          <w:p>
            <w:pPr>
              <w:pStyle w:val="Compact"/>
              <w:jc w:val="left"/>
            </w:pPr>
            <w:r>
              <w:t xml:space="preserve">Spike in 504/502 at exactly the intermediary’s timeout</w:t>
            </w:r>
          </w:p>
        </w:tc>
        <w:tc>
          <w:tcPr/>
          <w:p>
            <w:pPr>
              <w:pStyle w:val="Compact"/>
              <w:jc w:val="left"/>
            </w:pPr>
            <w:r>
              <w:t xml:space="preserve">Lower hold timeout</w:t>
            </w:r>
          </w:p>
        </w:tc>
        <w:tc>
          <w:tcPr/>
          <w:p>
            <w:pPr>
              <w:pStyle w:val="Compact"/>
              <w:jc w:val="left"/>
            </w:pPr>
            <w:r>
              <w:t xml:space="preserve">Keep hold timeout below the smallest idle timeout on the path</w:t>
            </w:r>
          </w:p>
        </w:tc>
      </w:tr>
      <w:tr>
        <w:tc>
          <w:tcPr/>
          <w:p>
            <w:pPr>
              <w:pStyle w:val="Compact"/>
              <w:jc w:val="left"/>
            </w:pPr>
            <w:r>
              <w:t xml:space="preserve">Lost events</w:t>
            </w:r>
          </w:p>
        </w:tc>
        <w:tc>
          <w:tcPr/>
          <w:p>
            <w:pPr>
              <w:pStyle w:val="Compact"/>
              <w:jc w:val="left"/>
            </w:pPr>
            <w:r>
              <w:t xml:space="preserve">Server buffers in memory and restarts; client lands on another node</w:t>
            </w:r>
          </w:p>
        </w:tc>
        <w:tc>
          <w:tcPr/>
          <w:p>
            <w:pPr>
              <w:pStyle w:val="Compact"/>
              <w:jc w:val="left"/>
            </w:pPr>
            <w:r>
              <w:t xml:space="preserve">Sequence gaps detected by client</w:t>
            </w:r>
          </w:p>
        </w:tc>
        <w:tc>
          <w:tcPr/>
          <w:p>
            <w:pPr>
              <w:pStyle w:val="Compact"/>
              <w:jc w:val="left"/>
            </w:pPr>
            <w:r>
              <w:t xml:space="preserve">Client resyncs with a full fetch</w:t>
            </w:r>
          </w:p>
        </w:tc>
        <w:tc>
          <w:tcPr/>
          <w:p>
            <w:pPr>
              <w:pStyle w:val="Compact"/>
              <w:jc w:val="left"/>
            </w:pPr>
            <w:r>
              <w:t xml:space="preserve">Shared event store or sticky routing plus resync-on-gap</w:t>
            </w:r>
          </w:p>
        </w:tc>
      </w:tr>
      <w:tr>
        <w:tc>
          <w:tcPr/>
          <w:p>
            <w:pPr>
              <w:pStyle w:val="Compact"/>
              <w:jc w:val="left"/>
            </w:pPr>
            <w:r>
              <w:t xml:space="preserve">Retry storm</w:t>
            </w:r>
          </w:p>
        </w:tc>
        <w:tc>
          <w:tcPr/>
          <w:p>
            <w:pPr>
              <w:pStyle w:val="Compact"/>
              <w:jc w:val="left"/>
            </w:pPr>
            <w:r>
              <w:t xml:space="preserve">Clients re-poll instantly after errors</w:t>
            </w:r>
          </w:p>
        </w:tc>
        <w:tc>
          <w:tcPr/>
          <w:p>
            <w:pPr>
              <w:pStyle w:val="Compact"/>
              <w:jc w:val="left"/>
            </w:pPr>
            <w:r>
              <w:t xml:space="preserve">Request rate jumps far above</w:t>
            </w:r>
            <w:r>
              <w:t xml:space="preserve"> </w:t>
            </w:r>
            <m:oMath>
              <m:r>
                <m:t>N</m:t>
              </m:r>
              <m:r>
                <m:rPr>
                  <m:sty m:val="p"/>
                </m:rPr>
                <m:t>/</m:t>
              </m:r>
              <m:sSub>
                <m:e>
                  <m:r>
                    <m:t>T</m:t>
                  </m:r>
                </m:e>
                <m:sub>
                  <m:r>
                    <m:t>h</m:t>
                  </m:r>
                </m:sub>
              </m:sSub>
            </m:oMath>
          </w:p>
        </w:tc>
        <w:tc>
          <w:tcPr/>
          <w:p>
            <w:pPr>
              <w:pStyle w:val="Compact"/>
              <w:jc w:val="left"/>
            </w:pPr>
            <w:r>
              <w:t xml:space="preserve">Shed with 503 +</w:t>
            </w:r>
            <w:r>
              <w:t xml:space="preserve"> </w:t>
            </w:r>
            <w:r>
              <w:rPr>
                <w:rStyle w:val="VerbatimChar"/>
              </w:rPr>
              <w:t xml:space="preserve">Retry-After</w:t>
            </w:r>
          </w:p>
        </w:tc>
        <w:tc>
          <w:tcPr/>
          <w:p>
            <w:pPr>
              <w:pStyle w:val="Compact"/>
              <w:jc w:val="left"/>
            </w:pPr>
            <w:r>
              <w:t xml:space="preserve">Exponential backoff with jitter on errors (§22.12)</w:t>
            </w:r>
          </w:p>
        </w:tc>
      </w:tr>
    </w:tbl>
    <w:bookmarkEnd w:id="982"/>
    <w:bookmarkStart w:id="983" w:name="common-misconceptions-19"/>
    <w:p>
      <w:pPr>
        <w:pStyle w:val="Heading4"/>
      </w:pPr>
      <w:r>
        <w:t xml:space="preserve">Common misconceptions</w:t>
      </w:r>
    </w:p>
    <w:p>
      <w:pPr>
        <w:pStyle w:val="CalloutMistake"/>
      </w:pPr>
      <w:r>
        <w:rPr>
          <w:bCs/>
          <w:b/>
        </w:rPr>
        <w:t xml:space="preserve">COMMON MISTAKE</w:t>
      </w:r>
    </w:p>
    <w:p>
      <w:pPr>
        <w:pStyle w:val="CalloutMistake"/>
      </w:pPr>
      <w:r>
        <w:rPr>
          <w:bCs/>
          <w:b/>
        </w:rPr>
        <w:t xml:space="preserve">“</w:t>
      </w:r>
      <w:r>
        <w:rPr>
          <w:bCs/>
          <w:b/>
        </w:rPr>
        <w:t xml:space="preserve">Long polling is just polling with a longer interval.</w:t>
      </w:r>
      <w:r>
        <w:rPr>
          <w:bCs/>
          <w:b/>
        </w:rPr>
        <w:t xml:space="preserve">”</w:t>
      </w:r>
      <w:r>
        <w:t xml:space="preserve"> </w:t>
      </w:r>
      <w:r>
        <w:t xml:space="preserve">No — the interval is not a client timer at all. The</w:t>
      </w:r>
      <w:r>
        <w:t xml:space="preserve"> </w:t>
      </w:r>
      <w:r>
        <w:rPr>
          <w:iCs/>
          <w:i/>
        </w:rPr>
        <w:t xml:space="preserve">server</w:t>
      </w:r>
      <w:r>
        <w:t xml:space="preserve"> </w:t>
      </w:r>
      <w:r>
        <w:t xml:space="preserve">decides when to answer, so delivery latency is one hop, not</w:t>
      </w:r>
      <w:r>
        <w:t xml:space="preserve"> </w:t>
      </w:r>
      <m:oMath>
        <m:r>
          <m:t>T</m:t>
        </m:r>
        <m:r>
          <m:rPr>
            <m:sty m:val="p"/>
          </m:rPr>
          <m:t>/</m:t>
        </m:r>
        <m:r>
          <m:t>2</m:t>
        </m:r>
      </m:oMath>
      <w:r>
        <w:t xml:space="preserve">. What it shares with polling is the per-message HTTP cost and the reconnect after every response.</w:t>
      </w:r>
    </w:p>
    <w:bookmarkEnd w:id="983"/>
    <w:bookmarkEnd w:id="984"/>
    <w:bookmarkEnd w:id="985"/>
    <w:bookmarkStart w:id="999" w:name="server-sent-events"/>
    <w:p>
      <w:pPr>
        <w:pStyle w:val="Heading2"/>
      </w:pPr>
      <w:r>
        <w:t xml:space="preserve">9.5 Server-Sent Events</w:t>
      </w:r>
    </w:p>
    <w:bookmarkStart w:id="998" w:name="what-sse-is"/>
    <w:p>
      <w:pPr>
        <w:pStyle w:val="Heading3"/>
      </w:pPr>
      <w:r>
        <w:t xml:space="preserve">9.5.1 What SSE is</w:t>
      </w:r>
    </w:p>
    <w:p>
      <w:pPr>
        <w:pStyle w:val="CalloutDefinition"/>
      </w:pPr>
      <w:r>
        <w:rPr>
          <w:bCs/>
          <w:b/>
        </w:rPr>
        <w:t xml:space="preserve">DEFINITION</w:t>
      </w:r>
    </w:p>
    <w:p>
      <w:pPr>
        <w:pStyle w:val="CalloutDefinition"/>
      </w:pPr>
      <w:r>
        <w:rPr>
          <w:bCs/>
          <w:b/>
        </w:rPr>
        <w:t xml:space="preserve">Definition — Server-Sent Events (SSE).</w:t>
      </w:r>
      <w:r>
        <w:t xml:space="preserve"> </w:t>
      </w:r>
      <w:r>
        <w:t xml:space="preserve">A W3C/WHATWG-standardized mechanism in which a client opens one long-lived HTTP request and the server streams a sequence of UTF-8 text events down the response body using the</w:t>
      </w:r>
      <w:r>
        <w:t xml:space="preserve"> </w:t>
      </w:r>
      <w:r>
        <w:rPr>
          <w:rStyle w:val="VerbatimChar"/>
        </w:rPr>
        <w:t xml:space="preserve">text/event-stream</w:t>
      </w:r>
      <w:r>
        <w:t xml:space="preserve"> </w:t>
      </w:r>
      <w:r>
        <w:t xml:space="preserve">format; browsers expose it through the</w:t>
      </w:r>
      <w:r>
        <w:t xml:space="preserve"> </w:t>
      </w:r>
      <w:r>
        <w:rPr>
          <w:rStyle w:val="VerbatimChar"/>
        </w:rPr>
        <w:t xml:space="preserve">EventSource</w:t>
      </w:r>
      <w:r>
        <w:t xml:space="preserve"> </w:t>
      </w:r>
      <w:r>
        <w:t xml:space="preserve">API, which parses events and reconnects automatically, resuming from the last received event ID [WHATWG HTML §9.2].</w:t>
      </w:r>
    </w:p>
    <w:bookmarkStart w:id="986" w:name="first-principles-explanation-50"/>
    <w:p>
      <w:pPr>
        <w:pStyle w:val="Heading4"/>
      </w:pPr>
      <w:r>
        <w:t xml:space="preserve">First-principles explanation</w:t>
      </w:r>
    </w:p>
    <w:p>
      <w:pPr>
        <w:pStyle w:val="FirstParagraph"/>
      </w:pPr>
      <w:r>
        <w:t xml:space="preserve">Long polling is like ordering a newspaper one issue at a time: each issue arrives, and then you must place the next order. SSE is a newspaper subscription: you sign up once and issues keep arriving at your door. If you move house (the connection drops), you tell the newspaper</w:t>
      </w:r>
      <w:r>
        <w:t xml:space="preserve"> </w:t>
      </w:r>
      <w:r>
        <w:t xml:space="preserve">“</w:t>
      </w:r>
      <w:r>
        <w:t xml:space="preserve">the last issue I received was number 1,042</w:t>
      </w:r>
      <w:r>
        <w:t xml:space="preserve">”</w:t>
      </w:r>
      <w:r>
        <w:t xml:space="preserve">, and they send you everything from 1,043 onward.</w:t>
      </w:r>
    </w:p>
    <w:bookmarkEnd w:id="986"/>
    <w:bookmarkStart w:id="987" w:name="why-does-this-exist-32"/>
    <w:p>
      <w:pPr>
        <w:pStyle w:val="Heading4"/>
      </w:pPr>
      <w:r>
        <w:t xml:space="preserve">Why does this exist?</w:t>
      </w:r>
    </w:p>
    <w:p>
      <w:pPr>
        <w:pStyle w:val="FirstParagraph"/>
      </w:pPr>
      <w:r>
        <w:t xml:space="preserve">Long polling wastes a full request per message. Many features need only server-to-client data: feeds, notifications, live scores, progress bars, and the token-by-token output of large language models (Chapter 73). SSE standardizes</w:t>
      </w:r>
      <w:r>
        <w:t xml:space="preserve"> </w:t>
      </w:r>
      <w:r>
        <w:t xml:space="preserve">“</w:t>
      </w:r>
      <w:r>
        <w:t xml:space="preserve">keep the response open and keep writing</w:t>
      </w:r>
      <w:r>
        <w:t xml:space="preserve">”</w:t>
      </w:r>
      <w:r>
        <w:t xml:space="preserve">, adds a tiny text framing, and builds reconnection and resumption into the browser.</w:t>
      </w:r>
    </w:p>
    <w:bookmarkEnd w:id="987"/>
    <w:bookmarkStart w:id="988" w:name="how-it-works-internally-29"/>
    <w:p>
      <w:pPr>
        <w:pStyle w:val="Heading4"/>
      </w:pPr>
      <w:r>
        <w:t xml:space="preserve">How it works internally</w:t>
      </w:r>
    </w:p>
    <w:p>
      <w:pPr>
        <w:numPr>
          <w:ilvl w:val="0"/>
          <w:numId w:val="1301"/>
        </w:numPr>
        <w:pStyle w:val="Compact"/>
      </w:pPr>
      <w:r>
        <w:t xml:space="preserve">The client creates</w:t>
      </w:r>
      <w:r>
        <w:t xml:space="preserve"> </w:t>
      </w:r>
      <w:r>
        <w:rPr>
          <w:rStyle w:val="VerbatimChar"/>
        </w:rPr>
        <w:t xml:space="preserve">new EventSource("/events")</w:t>
      </w:r>
      <w:r>
        <w:t xml:space="preserve"> </w:t>
      </w:r>
      <w:r>
        <w:t xml:space="preserve">(optionally</w:t>
      </w:r>
      <w:r>
        <w:t xml:space="preserve"> </w:t>
      </w:r>
      <w:r>
        <w:rPr>
          <w:rStyle w:val="VerbatimChar"/>
        </w:rPr>
        <w:t xml:space="preserve">{ withCredentials: true }</w:t>
      </w:r>
      <w:r>
        <w:t xml:space="preserve"> </w:t>
      </w:r>
      <w:r>
        <w:t xml:space="preserve">for cross-origin cookies). The browser sends</w:t>
      </w:r>
      <w:r>
        <w:t xml:space="preserve"> </w:t>
      </w:r>
      <w:r>
        <w:rPr>
          <w:rStyle w:val="VerbatimChar"/>
        </w:rPr>
        <w:t xml:space="preserve">GET /events</w:t>
      </w:r>
      <w:r>
        <w:t xml:space="preserve"> </w:t>
      </w:r>
      <w:r>
        <w:t xml:space="preserve">with</w:t>
      </w:r>
      <w:r>
        <w:t xml:space="preserve"> </w:t>
      </w:r>
      <w:r>
        <w:rPr>
          <w:rStyle w:val="VerbatimChar"/>
        </w:rPr>
        <w:t xml:space="preserve">Accept: text/event-stream</w:t>
      </w:r>
      <w:r>
        <w:t xml:space="preserve">.</w:t>
      </w:r>
    </w:p>
    <w:p>
      <w:pPr>
        <w:numPr>
          <w:ilvl w:val="0"/>
          <w:numId w:val="1301"/>
        </w:numPr>
        <w:pStyle w:val="Compact"/>
      </w:pPr>
      <w:r>
        <w:t xml:space="preserve">The server responds</w:t>
      </w:r>
      <w:r>
        <w:t xml:space="preserve"> </w:t>
      </w:r>
      <w:r>
        <w:rPr>
          <w:rStyle w:val="VerbatimChar"/>
        </w:rPr>
        <w:t xml:space="preserve">200 OK</w:t>
      </w:r>
      <w:r>
        <w:t xml:space="preserve"> </w:t>
      </w:r>
      <w:r>
        <w:t xml:space="preserve">with</w:t>
      </w:r>
      <w:r>
        <w:t xml:space="preserve"> </w:t>
      </w:r>
      <w:r>
        <w:rPr>
          <w:rStyle w:val="VerbatimChar"/>
        </w:rPr>
        <w:t xml:space="preserve">Content-Type: text/event-stream</w:t>
      </w:r>
      <w:r>
        <w:t xml:space="preserve"> </w:t>
      </w:r>
      <w:r>
        <w:t xml:space="preserve">and</w:t>
      </w:r>
      <w:r>
        <w:t xml:space="preserve"> </w:t>
      </w:r>
      <w:r>
        <w:rPr>
          <w:rStyle w:val="VerbatimChar"/>
        </w:rPr>
        <w:t xml:space="preserve">Cache-Control: no-cache</w:t>
      </w:r>
      <w:r>
        <w:t xml:space="preserve">, then</w:t>
      </w:r>
      <w:r>
        <w:t xml:space="preserve"> </w:t>
      </w:r>
      <w:r>
        <w:rPr>
          <w:bCs/>
          <w:b/>
        </w:rPr>
        <w:t xml:space="preserve">does not end the response</w:t>
      </w:r>
      <w:r>
        <w:t xml:space="preserve">. It writes events as they occur.</w:t>
      </w:r>
    </w:p>
    <w:p>
      <w:pPr>
        <w:numPr>
          <w:ilvl w:val="0"/>
          <w:numId w:val="1301"/>
        </w:numPr>
        <w:pStyle w:val="Compact"/>
      </w:pPr>
      <w:r>
        <w:t xml:space="preserve">Each event is a block of</w:t>
      </w:r>
      <w:r>
        <w:t xml:space="preserve"> </w:t>
      </w:r>
      <w:r>
        <w:rPr>
          <w:rStyle w:val="VerbatimChar"/>
        </w:rPr>
        <w:t xml:space="preserve">field: value</w:t>
      </w:r>
      <w:r>
        <w:t xml:space="preserve"> </w:t>
      </w:r>
      <w:r>
        <w:t xml:space="preserve">lines terminated by a blank line. The fields are:</w:t>
      </w:r>
    </w:p>
    <w:p>
      <w:pPr>
        <w:numPr>
          <w:ilvl w:val="1"/>
          <w:numId w:val="1302"/>
        </w:numPr>
        <w:pStyle w:val="Compact"/>
      </w:pPr>
      <w:r>
        <w:rPr>
          <w:rStyle w:val="VerbatimChar"/>
        </w:rPr>
        <w:t xml:space="preserve">data:</w:t>
      </w:r>
      <w:r>
        <w:t xml:space="preserve"> </w:t>
      </w:r>
      <w:r>
        <w:t xml:space="preserve">— the payload; several</w:t>
      </w:r>
      <w:r>
        <w:t xml:space="preserve"> </w:t>
      </w:r>
      <w:r>
        <w:rPr>
          <w:rStyle w:val="VerbatimChar"/>
        </w:rPr>
        <w:t xml:space="preserve">data:</w:t>
      </w:r>
      <w:r>
        <w:t xml:space="preserve"> </w:t>
      </w:r>
      <w:r>
        <w:t xml:space="preserve">lines are joined with newline characters.</w:t>
      </w:r>
    </w:p>
    <w:p>
      <w:pPr>
        <w:numPr>
          <w:ilvl w:val="1"/>
          <w:numId w:val="1302"/>
        </w:numPr>
        <w:pStyle w:val="Compact"/>
      </w:pPr>
      <w:r>
        <w:rPr>
          <w:rStyle w:val="VerbatimChar"/>
        </w:rPr>
        <w:t xml:space="preserve">event:</w:t>
      </w:r>
      <w:r>
        <w:t xml:space="preserve"> </w:t>
      </w:r>
      <w:r>
        <w:t xml:space="preserve">— an event type; the browser dispatches it to listeners registered with</w:t>
      </w:r>
      <w:r>
        <w:t xml:space="preserve"> </w:t>
      </w:r>
      <w:r>
        <w:rPr>
          <w:rStyle w:val="VerbatimChar"/>
        </w:rPr>
        <w:t xml:space="preserve">addEventListener("&lt;type&gt;", …)</w:t>
      </w:r>
      <w:r>
        <w:t xml:space="preserve">; without it the event fires</w:t>
      </w:r>
      <w:r>
        <w:t xml:space="preserve"> </w:t>
      </w:r>
      <w:r>
        <w:rPr>
          <w:rStyle w:val="VerbatimChar"/>
        </w:rPr>
        <w:t xml:space="preserve">onmessage</w:t>
      </w:r>
      <w:r>
        <w:t xml:space="preserve">.</w:t>
      </w:r>
    </w:p>
    <w:p>
      <w:pPr>
        <w:numPr>
          <w:ilvl w:val="1"/>
          <w:numId w:val="1302"/>
        </w:numPr>
        <w:pStyle w:val="Compact"/>
      </w:pPr>
      <w:r>
        <w:rPr>
          <w:rStyle w:val="VerbatimChar"/>
        </w:rPr>
        <w:t xml:space="preserve">id:</w:t>
      </w:r>
      <w:r>
        <w:t xml:space="preserve"> </w:t>
      </w:r>
      <w:r>
        <w:t xml:space="preserve">— sets the stream’s</w:t>
      </w:r>
      <w:r>
        <w:t xml:space="preserve"> </w:t>
      </w:r>
      <w:r>
        <w:rPr>
          <w:bCs/>
          <w:b/>
        </w:rPr>
        <w:t xml:space="preserve">last event ID</w:t>
      </w:r>
      <w:r>
        <w:t xml:space="preserve">.</w:t>
      </w:r>
    </w:p>
    <w:p>
      <w:pPr>
        <w:numPr>
          <w:ilvl w:val="1"/>
          <w:numId w:val="1302"/>
        </w:numPr>
        <w:pStyle w:val="Compact"/>
      </w:pPr>
      <w:r>
        <w:rPr>
          <w:rStyle w:val="VerbatimChar"/>
        </w:rPr>
        <w:t xml:space="preserve">retry:</w:t>
      </w:r>
      <w:r>
        <w:t xml:space="preserve"> </w:t>
      </w:r>
      <w:r>
        <w:t xml:space="preserve">— an integer in milliseconds; sets the reconnection delay.</w:t>
      </w:r>
    </w:p>
    <w:p>
      <w:pPr>
        <w:numPr>
          <w:ilvl w:val="1"/>
          <w:numId w:val="1302"/>
        </w:numPr>
        <w:pStyle w:val="Compact"/>
      </w:pPr>
      <w:r>
        <w:t xml:space="preserve">A line beginning with</w:t>
      </w:r>
      <w:r>
        <w:t xml:space="preserve"> </w:t>
      </w:r>
      <w:r>
        <w:rPr>
          <w:rStyle w:val="VerbatimChar"/>
        </w:rPr>
        <w:t xml:space="preserve">:</w:t>
      </w:r>
      <w:r>
        <w:t xml:space="preserve"> </w:t>
      </w:r>
      <w:r>
        <w:t xml:space="preserve">is a</w:t>
      </w:r>
      <w:r>
        <w:t xml:space="preserve"> </w:t>
      </w:r>
      <w:r>
        <w:rPr>
          <w:bCs/>
          <w:b/>
        </w:rPr>
        <w:t xml:space="preserve">comment</w:t>
      </w:r>
      <w:r>
        <w:t xml:space="preserve">, ignored by the parser — servers send one every 15–30 seconds as a heartbeat to stop intermediaries from closing an idle connection.</w:t>
      </w:r>
    </w:p>
    <w:p>
      <w:pPr>
        <w:numPr>
          <w:ilvl w:val="0"/>
          <w:numId w:val="1301"/>
        </w:numPr>
        <w:pStyle w:val="Compact"/>
      </w:pPr>
      <w:r>
        <w:t xml:space="preserve">If the connection drops because of a network error, the browser waits the reconnection time (initially an implementation-defined value of a few seconds, or whatever</w:t>
      </w:r>
      <w:r>
        <w:t xml:space="preserve"> </w:t>
      </w:r>
      <w:r>
        <w:rPr>
          <w:rStyle w:val="VerbatimChar"/>
        </w:rPr>
        <w:t xml:space="preserve">retry:</w:t>
      </w:r>
      <w:r>
        <w:t xml:space="preserve"> </w:t>
      </w:r>
      <w:r>
        <w:t xml:space="preserve">set) and re-sends the request with a</w:t>
      </w:r>
      <w:r>
        <w:t xml:space="preserve"> </w:t>
      </w:r>
      <w:r>
        <w:rPr>
          <w:rStyle w:val="VerbatimChar"/>
          <w:bCs/>
          <w:b/>
        </w:rPr>
        <w:t xml:space="preserve">Last-Event-ID</w:t>
      </w:r>
      <w:r>
        <w:t xml:space="preserve"> </w:t>
      </w:r>
      <w:r>
        <w:t xml:space="preserve">header containing the last</w:t>
      </w:r>
      <w:r>
        <w:t xml:space="preserve"> </w:t>
      </w:r>
      <w:r>
        <w:rPr>
          <w:rStyle w:val="VerbatimChar"/>
        </w:rPr>
        <w:t xml:space="preserve">id:</w:t>
      </w:r>
      <w:r>
        <w:t xml:space="preserve"> </w:t>
      </w:r>
      <w:r>
        <w:t xml:space="preserve">it received. The server replays events after that ID from a buffer and then continues live.</w:t>
      </w:r>
    </w:p>
    <w:p>
      <w:pPr>
        <w:numPr>
          <w:ilvl w:val="0"/>
          <w:numId w:val="1301"/>
        </w:numPr>
        <w:pStyle w:val="Compact"/>
      </w:pPr>
      <w:r>
        <w:t xml:space="preserve">The server can stop reconnection permanently by responding</w:t>
      </w:r>
      <w:r>
        <w:t xml:space="preserve"> </w:t>
      </w:r>
      <w:r>
        <w:rPr>
          <w:rStyle w:val="VerbatimChar"/>
        </w:rPr>
        <w:t xml:space="preserve">204 No Content</w:t>
      </w:r>
      <w:r>
        <w:t xml:space="preserve">. A response with a status other than 200, or a wrong</w:t>
      </w:r>
      <w:r>
        <w:t xml:space="preserve"> </w:t>
      </w:r>
      <w:r>
        <w:rPr>
          <w:rStyle w:val="VerbatimChar"/>
        </w:rPr>
        <w:t xml:space="preserve">Content-Type</w:t>
      </w:r>
      <w:r>
        <w:t xml:space="preserve">, makes the browser</w:t>
      </w:r>
      <w:r>
        <w:t xml:space="preserve"> </w:t>
      </w:r>
      <w:r>
        <w:rPr>
          <w:iCs/>
          <w:i/>
        </w:rPr>
        <w:t xml:space="preserve">fail</w:t>
      </w:r>
      <w:r>
        <w:t xml:space="preserve"> </w:t>
      </w:r>
      <w:r>
        <w:t xml:space="preserve">the connection rather than retry — so a load balancer returning</w:t>
      </w:r>
      <w:r>
        <w:t xml:space="preserve"> </w:t>
      </w:r>
      <w:r>
        <w:rPr>
          <w:rStyle w:val="VerbatimChar"/>
        </w:rPr>
        <w:t xml:space="preserve">503</w:t>
      </w:r>
      <w:r>
        <w:t xml:space="preserve"> </w:t>
      </w:r>
      <w:r>
        <w:t xml:space="preserve">during an outage silently turns off auto-reconnect, and your application code must notice (</w:t>
      </w:r>
      <w:r>
        <w:rPr>
          <w:rStyle w:val="VerbatimChar"/>
        </w:rPr>
        <w:t xml:space="preserve">readyState === EventSource.CLOSED</w:t>
      </w:r>
      <w:r>
        <w:t xml:space="preserve">) and recreate the</w:t>
      </w:r>
      <w:r>
        <w:t xml:space="preserve"> </w:t>
      </w:r>
      <w:r>
        <w:rPr>
          <w:rStyle w:val="VerbatimChar"/>
        </w:rPr>
        <w:t xml:space="preserve">EventSource</w:t>
      </w:r>
      <w:r>
        <w:t xml:space="preserve"> </w:t>
      </w:r>
      <w:r>
        <w:t xml:space="preserve">with backoff.</w:t>
      </w:r>
    </w:p>
    <w:p>
      <w:pPr>
        <w:pStyle w:val="FirstParagraph"/>
      </w:pPr>
      <w:r>
        <w:t xml:space="preserve">A stream on the wire looks like this:</w:t>
      </w:r>
    </w:p>
    <w:p>
      <w:pPr>
        <w:pStyle w:val="SourceCode"/>
      </w:pPr>
      <w:r>
        <w:rPr>
          <w:rStyle w:val="VerbatimChar"/>
        </w:rPr>
        <w:t xml:space="preserve">HTTP/1.1 200 OK</w:t>
      </w:r>
      <w:r>
        <w:br/>
      </w:r>
      <w:r>
        <w:rPr>
          <w:rStyle w:val="VerbatimChar"/>
        </w:rPr>
        <w:t xml:space="preserve">Content-Type: text/event-stream</w:t>
      </w:r>
      <w:r>
        <w:br/>
      </w:r>
      <w:r>
        <w:rPr>
          <w:rStyle w:val="VerbatimChar"/>
        </w:rPr>
        <w:t xml:space="preserve">Cache-Control: no-cache</w:t>
      </w:r>
      <w:r>
        <w:br/>
      </w:r>
      <w:r>
        <w:br/>
      </w:r>
      <w:r>
        <w:rPr>
          <w:rStyle w:val="VerbatimChar"/>
        </w:rPr>
        <w:t xml:space="preserve">retry: 5000</w:t>
      </w:r>
      <w:r>
        <w:br/>
      </w:r>
      <w:r>
        <w:br/>
      </w:r>
      <w:r>
        <w:rPr>
          <w:rStyle w:val="VerbatimChar"/>
        </w:rPr>
        <w:t xml:space="preserve">: heartbeat</w:t>
      </w:r>
      <w:r>
        <w:br/>
      </w:r>
      <w:r>
        <w:br/>
      </w:r>
      <w:r>
        <w:rPr>
          <w:rStyle w:val="VerbatimChar"/>
        </w:rPr>
        <w:t xml:space="preserve">id: 1042</w:t>
      </w:r>
      <w:r>
        <w:br/>
      </w:r>
      <w:r>
        <w:rPr>
          <w:rStyle w:val="VerbatimChar"/>
        </w:rPr>
        <w:t xml:space="preserve">event: price</w:t>
      </w:r>
      <w:r>
        <w:br/>
      </w:r>
      <w:r>
        <w:rPr>
          <w:rStyle w:val="VerbatimChar"/>
        </w:rPr>
        <w:t xml:space="preserve">data: {"symbol":"ACME","price":101.25}</w:t>
      </w:r>
      <w:r>
        <w:br/>
      </w:r>
      <w:r>
        <w:br/>
      </w:r>
      <w:r>
        <w:rPr>
          <w:rStyle w:val="VerbatimChar"/>
        </w:rPr>
        <w:t xml:space="preserve">id: 1043</w:t>
      </w:r>
      <w:r>
        <w:br/>
      </w:r>
      <w:r>
        <w:rPr>
          <w:rStyle w:val="VerbatimChar"/>
        </w:rPr>
        <w:t xml:space="preserve">event: price</w:t>
      </w:r>
      <w:r>
        <w:br/>
      </w:r>
      <w:r>
        <w:rPr>
          <w:rStyle w:val="VerbatimChar"/>
        </w:rPr>
        <w:t xml:space="preserve">data: {"symbol":"ACME","price":101.40}</w:t>
      </w:r>
    </w:p>
    <w:p>
      <w:pPr>
        <w:pStyle w:val="FirstParagraph"/>
      </w:pPr>
      <w:r>
        <w:rPr>
          <w:bCs/>
          <w:b/>
        </w:rPr>
        <w:t xml:space="preserve">Interaction with HTTP versions.</w:t>
      </w:r>
      <w:r>
        <w:t xml:space="preserve"> </w:t>
      </w:r>
      <w:r>
        <w:t xml:space="preserve">Over HTTP/1.1 each</w:t>
      </w:r>
      <w:r>
        <w:t xml:space="preserve"> </w:t>
      </w:r>
      <w:r>
        <w:rPr>
          <w:rStyle w:val="VerbatimChar"/>
        </w:rPr>
        <w:t xml:space="preserve">EventSource</w:t>
      </w:r>
      <w:r>
        <w:t xml:space="preserve"> </w:t>
      </w:r>
      <w:r>
        <w:t xml:space="preserve">holds a whole TCP connection, and browsers allow only about six HTTP/1.1 connections per origin</w:t>
      </w:r>
      <w:r>
        <w:t xml:space="preserve"> </w:t>
      </w:r>
      <w:r>
        <w:rPr>
          <w:iCs/>
          <w:i/>
        </w:rPr>
        <w:t xml:space="preserve">across all tabs</w:t>
      </w:r>
      <w:r>
        <w:t xml:space="preserve">, so a seventh tab can stall. Over HTTP/2 (§7.9) each stream is multiplexed on one shared connection, limited by the server’s</w:t>
      </w:r>
      <w:r>
        <w:t xml:space="preserve"> </w:t>
      </w:r>
      <w:r>
        <w:rPr>
          <w:rStyle w:val="VerbatimChar"/>
        </w:rPr>
        <w:t xml:space="preserve">SETTINGS_MAX_CONCURRENT_STREAMS</w:t>
      </w:r>
      <w:r>
        <w:t xml:space="preserve"> </w:t>
      </w:r>
      <w:r>
        <w:t xml:space="preserve">(commonly 100 or more), and a new stream needs no TCP or TLS handshake; the price is TCP head-of-line blocking across all streams, which HTTP/3 removes. Finally, reverse proxies that</w:t>
      </w:r>
      <w:r>
        <w:t xml:space="preserve"> </w:t>
      </w:r>
      <w:r>
        <w:rPr>
          <w:bCs/>
          <w:b/>
        </w:rPr>
        <w:t xml:space="preserve">buffer</w:t>
      </w:r>
      <w:r>
        <w:t xml:space="preserve"> </w:t>
      </w:r>
      <w:r>
        <w:t xml:space="preserve">responses (NGINX does by default) hold events back: disable buffering on stream routes (</w:t>
      </w:r>
      <w:r>
        <w:rPr>
          <w:rStyle w:val="VerbatimChar"/>
        </w:rPr>
        <w:t xml:space="preserve">proxy_buffering off;</w:t>
      </w:r>
      <w:r>
        <w:t xml:space="preserve"> </w:t>
      </w:r>
      <w:r>
        <w:t xml:space="preserve">or the header</w:t>
      </w:r>
      <w:r>
        <w:t xml:space="preserve"> </w:t>
      </w:r>
      <w:r>
        <w:rPr>
          <w:rStyle w:val="VerbatimChar"/>
        </w:rPr>
        <w:t xml:space="preserve">X-Accel-Buffering: no</w:t>
      </w:r>
      <w:r>
        <w:t xml:space="preserve">) and keep compression middleware off them.</w:t>
      </w:r>
    </w:p>
    <w:bookmarkEnd w:id="988"/>
    <w:bookmarkStart w:id="992" w:name="architecture-diagram-9"/>
    <w:p>
      <w:pPr>
        <w:pStyle w:val="Heading4"/>
      </w:pPr>
      <w:r>
        <w:t xml:space="preserve">Architecture diagram</w:t>
      </w:r>
    </w:p>
    <w:p>
      <w:pPr>
        <w:pStyle w:val="FirstParagraph"/>
      </w:pPr>
      <w:r>
        <w:rPr>
          <w:bCs/>
          <w:b/>
        </w:rPr>
        <w:t xml:space="preserve">Figure 9.3 — SSE streaming, disconnection and resumption with</w:t>
      </w:r>
      <w:r>
        <w:rPr>
          <w:bCs/>
          <w:b/>
        </w:rPr>
        <w:t xml:space="preserve"> </w:t>
      </w:r>
      <w:r>
        <w:rPr>
          <w:rStyle w:val="VerbatimChar"/>
          <w:bCs/>
          <w:b/>
        </w:rPr>
        <w:t xml:space="preserve">Last-Event-ID</w:t>
      </w:r>
      <w:r>
        <w:rPr>
          <w:bCs/>
          <w:b/>
        </w:rPr>
        <w:t xml:space="preserve">.</w:t>
      </w:r>
    </w:p>
    <w:p>
      <w:pPr>
        <w:pStyle w:val="BodyText"/>
      </w:pPr>
      <w:r>
        <w:drawing>
          <wp:inline>
            <wp:extent cx="5334000" cy="3022158"/>
            <wp:effectExtent b="0" l="0" r="0" t="0"/>
            <wp:docPr descr="" title="" id="990" name="Picture"/>
            <a:graphic>
              <a:graphicData uri="http://schemas.openxmlformats.org/drawingml/2006/picture">
                <pic:pic>
                  <pic:nvPicPr>
                    <pic:cNvPr descr="/home/user/System-Design/build/.cache/diagrams/d2cffca8f39f.png" id="991" name="Picture"/>
                    <pic:cNvPicPr>
                      <a:picLocks noChangeArrowheads="1" noChangeAspect="1"/>
                    </pic:cNvPicPr>
                  </pic:nvPicPr>
                  <pic:blipFill>
                    <a:blip r:embed="rId989"/>
                    <a:stretch>
                      <a:fillRect/>
                    </a:stretch>
                  </pic:blipFill>
                  <pic:spPr bwMode="auto">
                    <a:xfrm>
                      <a:off x="0" y="0"/>
                      <a:ext cx="5334000" cy="3022158"/>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Every dashed arrow from the server is a chunk of the</w:t>
      </w:r>
      <w:r>
        <w:t xml:space="preserve"> </w:t>
      </w:r>
      <w:r>
        <w:rPr>
          <w:iCs/>
          <w:i/>
        </w:rPr>
        <w:t xml:space="preserve">same</w:t>
      </w:r>
      <w:r>
        <w:t xml:space="preserve"> </w:t>
      </w:r>
      <w:r>
        <w:t xml:space="preserve">streamed response. After a network failure the browser reconnects by itself with</w:t>
      </w:r>
      <w:r>
        <w:t xml:space="preserve"> </w:t>
      </w:r>
      <w:r>
        <w:rPr>
          <w:rStyle w:val="VerbatimChar"/>
        </w:rPr>
        <w:t xml:space="preserve">Last-Event-ID</w:t>
      </w:r>
      <w:r>
        <w:t xml:space="preserve">; the load balancer may pick a different server, which is why the event buffer (Redis Streams, Kafka, a replicated ring) lives outside the SSE server. Data flows only server-to-client; client actions use ordinary HTTP requests. Failure points: buffering proxies, idle timeouts on silent streams (fixed by heartbeat comments), and a buffer that no longer reaches back to the client’s ID (force a full resync). SSE servers scale like the gateways in §9.9.</w:t>
      </w:r>
    </w:p>
    <w:bookmarkEnd w:id="992"/>
    <w:bookmarkStart w:id="993" w:name="code-example-7"/>
    <w:p>
      <w:pPr>
        <w:pStyle w:val="Heading4"/>
      </w:pPr>
      <w:r>
        <w:t xml:space="preserve">Code example</w:t>
      </w:r>
    </w:p>
    <w:p>
      <w:pPr>
        <w:pStyle w:val="FirstParagraph"/>
      </w:pPr>
      <w:r>
        <w:t xml:space="preserve">The following SSE endpoint uses only the Python standard library and has been run and tested with</w:t>
      </w:r>
      <w:r>
        <w:t xml:space="preserve"> </w:t>
      </w:r>
      <w:r>
        <w:rPr>
          <w:rStyle w:val="VerbatimChar"/>
        </w:rPr>
        <w:t xml:space="preserve">curl -N</w:t>
      </w:r>
      <w:r>
        <w:t xml:space="preserve">. It keeps a bounded history so that reconnecting clients resume from</w:t>
      </w:r>
      <w:r>
        <w:t xml:space="preserve"> </w:t>
      </w:r>
      <w:r>
        <w:rPr>
          <w:rStyle w:val="VerbatimChar"/>
        </w:rPr>
        <w:t xml:space="preserve">Last-Event-ID</w:t>
      </w:r>
      <w:r>
        <w:t xml:space="preserve">.</w:t>
      </w:r>
    </w:p>
    <w:p>
      <w:pPr>
        <w:pStyle w:val="SourceCode"/>
      </w:pPr>
      <w:r>
        <w:rPr>
          <w:rStyle w:val="CommentTok"/>
        </w:rPr>
        <w:t xml:space="preserve">"""Minimal Server-Sent Events endpoint using only the standard library.</w:t>
      </w:r>
      <w:r>
        <w:br/>
      </w:r>
      <w:r>
        <w:br/>
      </w:r>
      <w:r>
        <w:rPr>
          <w:rStyle w:val="CommentTok"/>
        </w:rPr>
        <w:t xml:space="preserve">Run:   python3 sse_server.py</w:t>
      </w:r>
      <w:r>
        <w:br/>
      </w:r>
      <w:r>
        <w:rPr>
          <w:rStyle w:val="CommentTok"/>
        </w:rPr>
        <w:t xml:space="preserve">Test:  curl -N http://127.0.0.1:8080/events</w:t>
      </w:r>
      <w:r>
        <w:br/>
      </w:r>
      <w:r>
        <w:rPr>
          <w:rStyle w:val="CommentTok"/>
        </w:rPr>
        <w:t xml:space="preserve">       curl -N -H "Last-Event-ID: 3" http://127.0.0.1:8080/events</w:t>
      </w:r>
      <w:r>
        <w:br/>
      </w:r>
      <w:r>
        <w:rPr>
          <w:rStyle w:val="CommentTok"/>
        </w:rPr>
        <w:t xml:space="preserve">"""</w:t>
      </w:r>
      <w:r>
        <w:br/>
      </w:r>
      <w:r>
        <w:rPr>
          <w:rStyle w:val="ImportTok"/>
        </w:rPr>
        <w:t xml:space="preserve">import</w:t>
      </w:r>
      <w:r>
        <w:rPr>
          <w:rStyle w:val="NormalTok"/>
        </w:rPr>
        <w:t xml:space="preserve"> asyncio</w:t>
      </w:r>
      <w:r>
        <w:br/>
      </w:r>
      <w:r>
        <w:rPr>
          <w:rStyle w:val="ImportTok"/>
        </w:rPr>
        <w:t xml:space="preserve">import</w:t>
      </w:r>
      <w:r>
        <w:rPr>
          <w:rStyle w:val="NormalTok"/>
        </w:rPr>
        <w:t xml:space="preserve"> json</w:t>
      </w:r>
      <w:r>
        <w:br/>
      </w:r>
      <w:r>
        <w:rPr>
          <w:rStyle w:val="ImportTok"/>
        </w:rPr>
        <w:t xml:space="preserve">import</w:t>
      </w:r>
      <w:r>
        <w:rPr>
          <w:rStyle w:val="NormalTok"/>
        </w:rPr>
        <w:t xml:space="preserve"> time</w:t>
      </w:r>
      <w:r>
        <w:br/>
      </w:r>
      <w:r>
        <w:br/>
      </w:r>
      <w:r>
        <w:rPr>
          <w:rStyle w:val="NormalTok"/>
        </w:rPr>
        <w:t xml:space="preserve">HISTORY: </w:t>
      </w:r>
      <w:r>
        <w:rPr>
          <w:rStyle w:val="BuiltInTok"/>
        </w:rPr>
        <w:t xml:space="preserve">list</w:t>
      </w:r>
      <w:r>
        <w:rPr>
          <w:rStyle w:val="NormalTok"/>
        </w:rPr>
        <w:t xml:space="preserve">[</w:t>
      </w:r>
      <w:r>
        <w:rPr>
          <w:rStyle w:val="BuiltInTok"/>
        </w:rPr>
        <w:t xml:space="preserve">tuple</w:t>
      </w:r>
      <w:r>
        <w:rPr>
          <w:rStyle w:val="NormalTok"/>
        </w:rPr>
        <w:t xml:space="preserve">[</w:t>
      </w:r>
      <w:r>
        <w:rPr>
          <w:rStyle w:val="BuiltInTok"/>
        </w:rPr>
        <w:t xml:space="preserve">int</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    </w:t>
      </w:r>
      <w:r>
        <w:rPr>
          <w:rStyle w:val="CommentTok"/>
        </w:rPr>
        <w:t xml:space="preserve"># (event id, JSON payload) ring buffer</w:t>
      </w:r>
      <w:r>
        <w:br/>
      </w:r>
      <w:r>
        <w:rPr>
          <w:rStyle w:val="NormalTok"/>
        </w:rPr>
        <w:t xml:space="preserve">HISTORY_LIMIT </w:t>
      </w:r>
      <w:r>
        <w:rPr>
          <w:rStyle w:val="OperatorTok"/>
        </w:rPr>
        <w:t xml:space="preserve">=</w:t>
      </w:r>
      <w:r>
        <w:rPr>
          <w:rStyle w:val="NormalTok"/>
        </w:rPr>
        <w:t xml:space="preserve"> </w:t>
      </w:r>
      <w:r>
        <w:rPr>
          <w:rStyle w:val="DecValTok"/>
        </w:rPr>
        <w:t xml:space="preserve">1000</w:t>
      </w:r>
      <w:r>
        <w:br/>
      </w:r>
      <w:r>
        <w:rPr>
          <w:rStyle w:val="NormalTok"/>
        </w:rPr>
        <w:t xml:space="preserve">new_event </w:t>
      </w:r>
      <w:r>
        <w:rPr>
          <w:rStyle w:val="OperatorTok"/>
        </w:rPr>
        <w:t xml:space="preserve">=</w:t>
      </w:r>
      <w:r>
        <w:rPr>
          <w:rStyle w:val="NormalTok"/>
        </w:rPr>
        <w:t xml:space="preserve"> asyncio.Condition()</w:t>
      </w:r>
      <w:r>
        <w:br/>
      </w:r>
      <w:r>
        <w:br/>
      </w:r>
      <w:r>
        <w:rPr>
          <w:rStyle w:val="ControlFlowTok"/>
        </w:rPr>
        <w:t xml:space="preserve">async</w:t>
      </w:r>
      <w:r>
        <w:rPr>
          <w:rStyle w:val="NormalTok"/>
        </w:rPr>
        <w:t xml:space="preserve"> </w:t>
      </w:r>
      <w:r>
        <w:rPr>
          <w:rStyle w:val="KeywordTok"/>
        </w:rPr>
        <w:t xml:space="preserve">def</w:t>
      </w:r>
      <w:r>
        <w:rPr>
          <w:rStyle w:val="NormalTok"/>
        </w:rPr>
        <w:t xml:space="preserve"> producer()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"""Pretend to be a business event source: one price tick per second."""</w:t>
      </w:r>
      <w:r>
        <w:br/>
      </w:r>
      <w:r>
        <w:rPr>
          <w:rStyle w:val="NormalTok"/>
        </w:rPr>
        <w:t xml:space="preserve">    event_id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ntrolFlowTok"/>
        </w:rPr>
        <w:t xml:space="preserve">await</w:t>
      </w:r>
      <w:r>
        <w:rPr>
          <w:rStyle w:val="NormalTok"/>
        </w:rPr>
        <w:t xml:space="preserve"> asyncio.sleep(</w:t>
      </w:r>
      <w:r>
        <w:rPr>
          <w:rStyle w:val="DecValTok"/>
        </w:rPr>
        <w:t xml:space="preserve">1</w:t>
      </w:r>
      <w:r>
        <w:rPr>
          <w:rStyle w:val="NormalTok"/>
        </w:rPr>
        <w:t xml:space="preserve">)</w:t>
      </w:r>
      <w:r>
        <w:br/>
      </w:r>
      <w:r>
        <w:rPr>
          <w:rStyle w:val="NormalTok"/>
        </w:rPr>
        <w:t xml:space="preserve">        event_id </w:t>
      </w:r>
      <w:r>
        <w:rPr>
          <w:rStyle w:val="OperatorTok"/>
        </w:rPr>
        <w:t xml:space="preserve">+=</w:t>
      </w:r>
      <w:r>
        <w:rPr>
          <w:rStyle w:val="NormalTok"/>
        </w:rPr>
        <w:t xml:space="preserve"> </w:t>
      </w:r>
      <w:r>
        <w:rPr>
          <w:rStyle w:val="DecValTok"/>
        </w:rPr>
        <w:t xml:space="preserve">1</w:t>
      </w:r>
      <w:r>
        <w:br/>
      </w:r>
      <w:r>
        <w:rPr>
          <w:rStyle w:val="NormalTok"/>
        </w:rPr>
        <w:t xml:space="preserve">        payload </w:t>
      </w:r>
      <w:r>
        <w:rPr>
          <w:rStyle w:val="OperatorTok"/>
        </w:rPr>
        <w:t xml:space="preserve">=</w:t>
      </w:r>
      <w:r>
        <w:rPr>
          <w:rStyle w:val="NormalTok"/>
        </w:rPr>
        <w:t xml:space="preserve"> json.dumps({</w:t>
      </w:r>
      <w:r>
        <w:rPr>
          <w:rStyle w:val="StringTok"/>
        </w:rPr>
        <w:t xml:space="preserve">"symbol"</w:t>
      </w:r>
      <w:r>
        <w:rPr>
          <w:rStyle w:val="NormalTok"/>
        </w:rPr>
        <w:t xml:space="preserve">: </w:t>
      </w:r>
      <w:r>
        <w:rPr>
          <w:rStyle w:val="StringTok"/>
        </w:rPr>
        <w:t xml:space="preserve">"ACME"</w:t>
      </w:r>
      <w:r>
        <w:rPr>
          <w:rStyle w:val="NormalTok"/>
        </w:rPr>
        <w:t xml:space="preserve">, </w:t>
      </w:r>
      <w:r>
        <w:rPr>
          <w:rStyle w:val="StringTok"/>
        </w:rPr>
        <w:t xml:space="preserve">"price"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event_id, </w:t>
      </w:r>
      <w:r>
        <w:rPr>
          <w:rStyle w:val="StringTok"/>
        </w:rPr>
        <w:t xml:space="preserve">"ts"</w:t>
      </w:r>
      <w:r>
        <w:rPr>
          <w:rStyle w:val="NormalTok"/>
        </w:rPr>
        <w:t xml:space="preserve">: time.time()})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new_event:</w:t>
      </w:r>
      <w:r>
        <w:br/>
      </w:r>
      <w:r>
        <w:rPr>
          <w:rStyle w:val="NormalTok"/>
        </w:rPr>
        <w:t xml:space="preserve">            HISTORY.append((event_id, payload))</w:t>
      </w:r>
      <w:r>
        <w:br/>
      </w:r>
      <w:r>
        <w:rPr>
          <w:rStyle w:val="NormalTok"/>
        </w:rPr>
        <w:t xml:space="preserve">            </w:t>
      </w:r>
      <w:r>
        <w:rPr>
          <w:rStyle w:val="KeywordTok"/>
        </w:rPr>
        <w:t xml:space="preserve">del</w:t>
      </w:r>
      <w:r>
        <w:rPr>
          <w:rStyle w:val="NormalTok"/>
        </w:rPr>
        <w:t xml:space="preserve"> HISTORY[:</w:t>
      </w:r>
      <w:r>
        <w:rPr>
          <w:rStyle w:val="OperatorTok"/>
        </w:rPr>
        <w:t xml:space="preserve">-</w:t>
      </w:r>
      <w:r>
        <w:rPr>
          <w:rStyle w:val="NormalTok"/>
        </w:rPr>
        <w:t xml:space="preserve">HISTORY_LIMIT]          </w:t>
      </w:r>
      <w:r>
        <w:rPr>
          <w:rStyle w:val="CommentTok"/>
        </w:rPr>
        <w:t xml:space="preserve"># keep the buffer bounded</w:t>
      </w:r>
      <w:r>
        <w:br/>
      </w:r>
      <w:r>
        <w:rPr>
          <w:rStyle w:val="NormalTok"/>
        </w:rPr>
        <w:t xml:space="preserve">            new_event.notify_all()</w:t>
      </w:r>
      <w:r>
        <w:br/>
      </w:r>
      <w:r>
        <w:br/>
      </w:r>
      <w:r>
        <w:rPr>
          <w:rStyle w:val="KeywordTok"/>
        </w:rPr>
        <w:t xml:space="preserve">def</w:t>
      </w:r>
      <w:r>
        <w:rPr>
          <w:rStyle w:val="NormalTok"/>
        </w:rPr>
        <w:t xml:space="preserve"> format_event(event_id: </w:t>
      </w:r>
      <w:r>
        <w:rPr>
          <w:rStyle w:val="BuiltInTok"/>
        </w:rPr>
        <w:t xml:space="preserve">int</w:t>
      </w:r>
      <w:r>
        <w:rPr>
          <w:rStyle w:val="NormalTok"/>
        </w:rPr>
        <w:t xml:space="preserve">, data: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bytes</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f"id: </w:t>
      </w:r>
      <w:r>
        <w:rPr>
          <w:rStyle w:val="SpecialCharTok"/>
        </w:rPr>
        <w:t xml:space="preserve">{</w:t>
      </w:r>
      <w:r>
        <w:rPr>
          <w:rStyle w:val="NormalTok"/>
        </w:rPr>
        <w:t xml:space="preserve">event_id</w:t>
      </w:r>
      <w:r>
        <w:rPr>
          <w:rStyle w:val="SpecialCharTok"/>
        </w:rPr>
        <w:t xml:space="preserve">}</w:t>
      </w:r>
      <w:r>
        <w:rPr>
          <w:rStyle w:val="CharTok"/>
        </w:rPr>
        <w:t xml:space="preserve">\n</w:t>
      </w:r>
      <w:r>
        <w:rPr>
          <w:rStyle w:val="SpecialStringTok"/>
        </w:rPr>
        <w:t xml:space="preserve">event: price</w:t>
      </w:r>
      <w:r>
        <w:rPr>
          <w:rStyle w:val="CharTok"/>
        </w:rPr>
        <w:t xml:space="preserve">\n</w:t>
      </w:r>
      <w:r>
        <w:rPr>
          <w:rStyle w:val="SpecialStringTok"/>
        </w:rPr>
        <w:t xml:space="preserve">data: </w:t>
      </w:r>
      <w:r>
        <w:rPr>
          <w:rStyle w:val="SpecialCharTok"/>
        </w:rPr>
        <w:t xml:space="preserve">{</w:t>
      </w:r>
      <w:r>
        <w:rPr>
          <w:rStyle w:val="NormalTok"/>
        </w:rPr>
        <w:t xml:space="preserve">data</w:t>
      </w:r>
      <w:r>
        <w:rPr>
          <w:rStyle w:val="SpecialCharTok"/>
        </w:rPr>
        <w:t xml:space="preserve">}</w:t>
      </w:r>
      <w:r>
        <w:rPr>
          <w:rStyle w:val="CharTok"/>
        </w:rPr>
        <w:t xml:space="preserve">\n\n</w:t>
      </w:r>
      <w:r>
        <w:rPr>
          <w:rStyle w:val="SpecialStringTok"/>
        </w:rPr>
        <w:t xml:space="preserve">"</w:t>
      </w:r>
      <w:r>
        <w:rPr>
          <w:rStyle w:val="NormalTok"/>
        </w:rPr>
        <w:t xml:space="preserve">.encode()</w:t>
      </w:r>
      <w:r>
        <w:br/>
      </w:r>
      <w:r>
        <w:br/>
      </w:r>
      <w:r>
        <w:rPr>
          <w:rStyle w:val="ControlFlowTok"/>
        </w:rPr>
        <w:t xml:space="preserve">async</w:t>
      </w:r>
      <w:r>
        <w:rPr>
          <w:rStyle w:val="NormalTok"/>
        </w:rPr>
        <w:t xml:space="preserve"> </w:t>
      </w:r>
      <w:r>
        <w:rPr>
          <w:rStyle w:val="KeywordTok"/>
        </w:rPr>
        <w:t xml:space="preserve">def</w:t>
      </w:r>
      <w:r>
        <w:rPr>
          <w:rStyle w:val="NormalTok"/>
        </w:rPr>
        <w:t xml:space="preserve"> handle(reader: asyncio.StreamReader, writer: asyncio.StreamWriter)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 1. Read the request line and headers (no body for GET).</w:t>
      </w:r>
      <w:r>
        <w:br/>
      </w:r>
      <w:r>
        <w:rPr>
          <w:rStyle w:val="NormalTok"/>
        </w:rPr>
        <w:t xml:space="preserve">    request_line </w:t>
      </w:r>
      <w:r>
        <w:rPr>
          <w:rStyle w:val="OperatorTok"/>
        </w:rPr>
        <w:t xml:space="preserve">=</w:t>
      </w:r>
      <w:r>
        <w:rPr>
          <w:rStyle w:val="NormalTok"/>
        </w:rPr>
        <w:t xml:space="preserve"> </w:t>
      </w:r>
      <w:r>
        <w:rPr>
          <w:rStyle w:val="ControlFlowTok"/>
        </w:rPr>
        <w:t xml:space="preserve">await</w:t>
      </w:r>
      <w:r>
        <w:rPr>
          <w:rStyle w:val="NormalTok"/>
        </w:rPr>
        <w:t xml:space="preserve"> reader.readline()</w:t>
      </w:r>
      <w:r>
        <w:br/>
      </w:r>
      <w:r>
        <w:rPr>
          <w:rStyle w:val="NormalTok"/>
        </w:rPr>
        <w:t xml:space="preserve">    headers </w:t>
      </w:r>
      <w:r>
        <w:rPr>
          <w:rStyle w:val="OperatorTok"/>
        </w:rPr>
        <w:t xml:space="preserve">=</w:t>
      </w:r>
      <w:r>
        <w:rPr>
          <w:rStyle w:val="NormalTok"/>
        </w:rPr>
        <w:t xml:space="preserve"> {}</w:t>
      </w:r>
      <w:r>
        <w:br/>
      </w:r>
      <w:r>
        <w:rPr>
          <w:rStyle w:val="NormalTok"/>
        </w:rPr>
        <w:t xml:space="preserve">    </w:t>
      </w:r>
      <w:r>
        <w:rPr>
          <w:rStyle w:val="ControlFlowTok"/>
        </w:rPr>
        <w:t xml:space="preserve">while</w:t>
      </w:r>
      <w:r>
        <w:rPr>
          <w:rStyle w:val="NormalTok"/>
        </w:rPr>
        <w:t xml:space="preserve"> (line </w:t>
      </w:r>
      <w:r>
        <w:rPr>
          <w:rStyle w:val="OperatorTok"/>
        </w:rPr>
        <w:t xml:space="preserve">:=</w:t>
      </w:r>
      <w:r>
        <w:rPr>
          <w:rStyle w:val="NormalTok"/>
        </w:rPr>
        <w:t xml:space="preserve"> </w:t>
      </w:r>
      <w:r>
        <w:rPr>
          <w:rStyle w:val="ControlFlowTok"/>
        </w:rPr>
        <w:t xml:space="preserve">await</w:t>
      </w:r>
      <w:r>
        <w:rPr>
          <w:rStyle w:val="NormalTok"/>
        </w:rPr>
        <w:t xml:space="preserve"> reader.readline())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b"</w:t>
      </w:r>
      <w:r>
        <w:rPr>
          <w:rStyle w:val="CharTok"/>
        </w:rPr>
        <w:t xml:space="preserve">\r\n</w:t>
      </w:r>
      <w:r>
        <w:rPr>
          <w:rStyle w:val="StringTok"/>
        </w:rPr>
        <w:t xml:space="preserve">"</w:t>
      </w:r>
      <w:r>
        <w:rPr>
          <w:rStyle w:val="NormalTok"/>
        </w:rPr>
        <w:t xml:space="preserve">, </w:t>
      </w:r>
      <w:r>
        <w:rPr>
          <w:rStyle w:val="StringTok"/>
        </w:rPr>
        <w:t xml:space="preserve">b"</w:t>
      </w:r>
      <w:r>
        <w:rPr>
          <w:rStyle w:val="CharTok"/>
        </w:rPr>
        <w:t xml:space="preserve">\n</w:t>
      </w:r>
      <w:r>
        <w:rPr>
          <w:rStyle w:val="StringTok"/>
        </w:rPr>
        <w:t xml:space="preserve">"</w:t>
      </w:r>
      <w:r>
        <w:rPr>
          <w:rStyle w:val="NormalTok"/>
        </w:rPr>
        <w:t xml:space="preserve">, </w:t>
      </w:r>
      <w:r>
        <w:rPr>
          <w:rStyle w:val="StringTok"/>
        </w:rPr>
        <w:t xml:space="preserve">b""</w:t>
      </w:r>
      <w:r>
        <w:rPr>
          <w:rStyle w:val="NormalTok"/>
        </w:rPr>
        <w:t xml:space="preserve">):</w:t>
      </w:r>
      <w:r>
        <w:br/>
      </w:r>
      <w:r>
        <w:rPr>
          <w:rStyle w:val="NormalTok"/>
        </w:rPr>
        <w:t xml:space="preserve">        name, _, value </w:t>
      </w:r>
      <w:r>
        <w:rPr>
          <w:rStyle w:val="OperatorTok"/>
        </w:rPr>
        <w:t xml:space="preserve">=</w:t>
      </w:r>
      <w:r>
        <w:rPr>
          <w:rStyle w:val="NormalTok"/>
        </w:rPr>
        <w:t xml:space="preserve"> line.decode().partition(</w:t>
      </w:r>
      <w:r>
        <w:rPr>
          <w:rStyle w:val="StringTok"/>
        </w:rPr>
        <w:t xml:space="preserve">":"</w:t>
      </w:r>
      <w:r>
        <w:rPr>
          <w:rStyle w:val="NormalTok"/>
        </w:rPr>
        <w:t xml:space="preserve">)</w:t>
      </w:r>
      <w:r>
        <w:br/>
      </w:r>
      <w:r>
        <w:rPr>
          <w:rStyle w:val="NormalTok"/>
        </w:rPr>
        <w:t xml:space="preserve">        headers[name.strip().lower()] </w:t>
      </w:r>
      <w:r>
        <w:rPr>
          <w:rStyle w:val="OperatorTok"/>
        </w:rPr>
        <w:t xml:space="preserve">=</w:t>
      </w:r>
      <w:r>
        <w:rPr>
          <w:rStyle w:val="NormalTok"/>
        </w:rPr>
        <w:t xml:space="preserve"> value.strip()</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request_line.startswith(</w:t>
      </w:r>
      <w:r>
        <w:rPr>
          <w:rStyle w:val="StringTok"/>
        </w:rPr>
        <w:t xml:space="preserve">b"GET /events"</w:t>
      </w:r>
      <w:r>
        <w:rPr>
          <w:rStyle w:val="NormalTok"/>
        </w:rPr>
        <w:t xml:space="preserve">):</w:t>
      </w:r>
      <w:r>
        <w:br/>
      </w:r>
      <w:r>
        <w:rPr>
          <w:rStyle w:val="NormalTok"/>
        </w:rPr>
        <w:t xml:space="preserve">        writer.write(</w:t>
      </w:r>
      <w:r>
        <w:rPr>
          <w:rStyle w:val="StringTok"/>
        </w:rPr>
        <w:t xml:space="preserve">b"HTTP/1.1 404 Not Found</w:t>
      </w:r>
      <w:r>
        <w:rPr>
          <w:rStyle w:val="CharTok"/>
        </w:rPr>
        <w:t xml:space="preserve">\r\n</w:t>
      </w:r>
      <w:r>
        <w:rPr>
          <w:rStyle w:val="StringTok"/>
        </w:rPr>
        <w:t xml:space="preserve">Content-Length: 0</w:t>
      </w:r>
      <w:r>
        <w:rPr>
          <w:rStyle w:val="CharTok"/>
        </w:rPr>
        <w:t xml:space="preserve">\r\n\r\n</w:t>
      </w:r>
      <w:r>
        <w:rPr>
          <w:rStyle w:val="StringTok"/>
        </w:rPr>
        <w:t xml:space="preserve">"</w:t>
      </w:r>
      <w:r>
        <w:rPr>
          <w:rStyle w:val="NormalTok"/>
        </w:rPr>
        <w:t xml:space="preserve">)</w:t>
      </w:r>
      <w:r>
        <w:br/>
      </w:r>
      <w:r>
        <w:rPr>
          <w:rStyle w:val="NormalTok"/>
        </w:rPr>
        <w:t xml:space="preserve">        </w:t>
      </w:r>
      <w:r>
        <w:rPr>
          <w:rStyle w:val="ControlFlowTok"/>
        </w:rPr>
        <w:t xml:space="preserve">await</w:t>
      </w:r>
      <w:r>
        <w:rPr>
          <w:rStyle w:val="NormalTok"/>
        </w:rPr>
        <w:t xml:space="preserve"> writer.drain()</w:t>
      </w:r>
      <w:r>
        <w:rPr>
          <w:rStyle w:val="OperatorTok"/>
        </w:rPr>
        <w:t xml:space="preserve">;</w:t>
      </w:r>
      <w:r>
        <w:rPr>
          <w:rStyle w:val="NormalTok"/>
        </w:rPr>
        <w:t xml:space="preserve"> writer.close()</w:t>
      </w:r>
      <w:r>
        <w:rPr>
          <w:rStyle w:val="OperatorTok"/>
        </w:rPr>
        <w:t xml:space="preserve">;</w:t>
      </w:r>
      <w:r>
        <w:rPr>
          <w:rStyle w:val="NormalTok"/>
        </w:rPr>
        <w:t xml:space="preserve"> </w:t>
      </w:r>
      <w:r>
        <w:rPr>
          <w:rStyle w:val="ControlFlowTok"/>
        </w:rPr>
        <w:t xml:space="preserve">return</w:t>
      </w:r>
      <w:r>
        <w:br/>
      </w:r>
      <w:r>
        <w:br/>
      </w:r>
      <w:r>
        <w:rPr>
          <w:rStyle w:val="NormalTok"/>
        </w:rPr>
        <w:t xml:space="preserve">    </w:t>
      </w:r>
      <w:r>
        <w:rPr>
          <w:rStyle w:val="CommentTok"/>
        </w:rPr>
        <w:t xml:space="preserve"># 2. Resume point: the browser sends Last-Event-ID automatically on reconnect.</w:t>
      </w:r>
      <w:r>
        <w:br/>
      </w:r>
      <w:r>
        <w:rPr>
          <w:rStyle w:val="NormalTok"/>
        </w:rPr>
        <w:t xml:space="preserve">    </w:t>
      </w:r>
      <w:r>
        <w:rPr>
          <w:rStyle w:val="ControlFlowTok"/>
        </w:rPr>
        <w:t xml:space="preserve">try</w:t>
      </w:r>
      <w:r>
        <w:rPr>
          <w:rStyle w:val="NormalTok"/>
        </w:rPr>
        <w:t xml:space="preserve">:</w:t>
      </w:r>
      <w:r>
        <w:br/>
      </w:r>
      <w:r>
        <w:rPr>
          <w:rStyle w:val="NormalTok"/>
        </w:rPr>
        <w:t xml:space="preserve">        last_seen </w:t>
      </w:r>
      <w:r>
        <w:rPr>
          <w:rStyle w:val="OperatorTok"/>
        </w:rPr>
        <w:t xml:space="preserve">=</w:t>
      </w:r>
      <w:r>
        <w:rPr>
          <w:rStyle w:val="NormalTok"/>
        </w:rPr>
        <w:t xml:space="preserve"> </w:t>
      </w:r>
      <w:r>
        <w:rPr>
          <w:rStyle w:val="BuiltInTok"/>
        </w:rPr>
        <w:t xml:space="preserve">int</w:t>
      </w:r>
      <w:r>
        <w:rPr>
          <w:rStyle w:val="NormalTok"/>
        </w:rPr>
        <w:t xml:space="preserve">(headers.get(</w:t>
      </w:r>
      <w:r>
        <w:rPr>
          <w:rStyle w:val="StringTok"/>
        </w:rPr>
        <w:t xml:space="preserve">"last-event-id"</w:t>
      </w:r>
      <w:r>
        <w:rPr>
          <w:rStyle w:val="NormalTok"/>
        </w:rPr>
        <w:t xml:space="preserve">, </w:t>
      </w:r>
      <w:r>
        <w:rPr>
          <w:rStyle w:val="StringTok"/>
        </w:rPr>
        <w:t xml:space="preserve">"0"</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w:t>
      </w:r>
      <w:r>
        <w:br/>
      </w:r>
      <w:r>
        <w:rPr>
          <w:rStyle w:val="NormalTok"/>
        </w:rPr>
        <w:t xml:space="preserve">        last_seen </w:t>
      </w:r>
      <w:r>
        <w:rPr>
          <w:rStyle w:val="OperatorTok"/>
        </w:rPr>
        <w:t xml:space="preserve">=</w:t>
      </w:r>
      <w:r>
        <w:rPr>
          <w:rStyle w:val="NormalTok"/>
        </w:rPr>
        <w:t xml:space="preserve"> </w:t>
      </w:r>
      <w:r>
        <w:rPr>
          <w:rStyle w:val="DecValTok"/>
        </w:rPr>
        <w:t xml:space="preserve">0</w:t>
      </w:r>
      <w:r>
        <w:br/>
      </w:r>
      <w:r>
        <w:br/>
      </w:r>
      <w:r>
        <w:rPr>
          <w:rStyle w:val="NormalTok"/>
        </w:rPr>
        <w:t xml:space="preserve">    writer.write(</w:t>
      </w:r>
      <w:r>
        <w:rPr>
          <w:rStyle w:val="StringTok"/>
        </w:rPr>
        <w:t xml:space="preserve">b"HTTP/1.1 200 OK</w:t>
      </w:r>
      <w:r>
        <w:rPr>
          <w:rStyle w:val="CharTok"/>
        </w:rPr>
        <w:t xml:space="preserve">\r\n</w:t>
      </w:r>
      <w:r>
        <w:rPr>
          <w:rStyle w:val="StringTok"/>
        </w:rPr>
        <w:t xml:space="preserve">"</w:t>
      </w:r>
      <w:r>
        <w:br/>
      </w:r>
      <w:r>
        <w:rPr>
          <w:rStyle w:val="NormalTok"/>
        </w:rPr>
        <w:t xml:space="preserve">                 </w:t>
      </w:r>
      <w:r>
        <w:rPr>
          <w:rStyle w:val="StringTok"/>
        </w:rPr>
        <w:t xml:space="preserve">b"Content-Type: text/event-stream</w:t>
      </w:r>
      <w:r>
        <w:rPr>
          <w:rStyle w:val="CharTok"/>
        </w:rPr>
        <w:t xml:space="preserve">\r\n</w:t>
      </w:r>
      <w:r>
        <w:rPr>
          <w:rStyle w:val="StringTok"/>
        </w:rPr>
        <w:t xml:space="preserve">"</w:t>
      </w:r>
      <w:r>
        <w:br/>
      </w:r>
      <w:r>
        <w:rPr>
          <w:rStyle w:val="NormalTok"/>
        </w:rPr>
        <w:t xml:space="preserve">                 </w:t>
      </w:r>
      <w:r>
        <w:rPr>
          <w:rStyle w:val="StringTok"/>
        </w:rPr>
        <w:t xml:space="preserve">b"Cache-Control: no-cache</w:t>
      </w:r>
      <w:r>
        <w:rPr>
          <w:rStyle w:val="CharTok"/>
        </w:rPr>
        <w:t xml:space="preserve">\r\n</w:t>
      </w:r>
      <w:r>
        <w:rPr>
          <w:rStyle w:val="StringTok"/>
        </w:rPr>
        <w:t xml:space="preserve">"</w:t>
      </w:r>
      <w:r>
        <w:br/>
      </w:r>
      <w:r>
        <w:rPr>
          <w:rStyle w:val="NormalTok"/>
        </w:rPr>
        <w:t xml:space="preserve">                 </w:t>
      </w:r>
      <w:r>
        <w:rPr>
          <w:rStyle w:val="StringTok"/>
        </w:rPr>
        <w:t xml:space="preserve">b"Connection: keep-alive</w:t>
      </w:r>
      <w:r>
        <w:rPr>
          <w:rStyle w:val="CharTok"/>
        </w:rPr>
        <w:t xml:space="preserve">\r\n\r\n</w:t>
      </w:r>
      <w:r>
        <w:rPr>
          <w:rStyle w:val="StringTok"/>
        </w:rPr>
        <w:t xml:space="preserve">"</w:t>
      </w:r>
      <w:r>
        <w:br/>
      </w:r>
      <w:r>
        <w:rPr>
          <w:rStyle w:val="NormalTok"/>
        </w:rPr>
        <w:t xml:space="preserve">                 </w:t>
      </w:r>
      <w:r>
        <w:rPr>
          <w:rStyle w:val="StringTok"/>
        </w:rPr>
        <w:t xml:space="preserve">b"retry: 5000</w:t>
      </w:r>
      <w:r>
        <w:rPr>
          <w:rStyle w:val="CharTok"/>
        </w:rPr>
        <w:t xml:space="preserve">\n\n</w:t>
      </w:r>
      <w:r>
        <w:rPr>
          <w:rStyle w:val="StringTok"/>
        </w:rPr>
        <w:t xml:space="preserve">"</w:t>
      </w:r>
      <w:r>
        <w:rPr>
          <w:rStyle w:val="NormalTok"/>
        </w:rPr>
        <w:t xml:space="preserve">)          </w:t>
      </w:r>
      <w:r>
        <w:rPr>
          <w:rStyle w:val="CommentTok"/>
        </w:rPr>
        <w:t xml:space="preserve"># ask client to wait 5 s before reconnecting</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mmentTok"/>
        </w:rPr>
        <w:t xml:space="preserve"># 3. Send everything newer than last_seen (replay, then live).</w:t>
      </w:r>
      <w:r>
        <w:br/>
      </w:r>
      <w:r>
        <w:rPr>
          <w:rStyle w:val="NormalTok"/>
        </w:rPr>
        <w:t xml:space="preserve">            pending </w:t>
      </w:r>
      <w:r>
        <w:rPr>
          <w:rStyle w:val="OperatorTok"/>
        </w:rPr>
        <w:t xml:space="preserve">=</w:t>
      </w:r>
      <w:r>
        <w:rPr>
          <w:rStyle w:val="NormalTok"/>
        </w:rPr>
        <w:t xml:space="preserve"> [(i, d) </w:t>
      </w:r>
      <w:r>
        <w:rPr>
          <w:rStyle w:val="ControlFlowTok"/>
        </w:rPr>
        <w:t xml:space="preserve">for</w:t>
      </w:r>
      <w:r>
        <w:rPr>
          <w:rStyle w:val="NormalTok"/>
        </w:rPr>
        <w:t xml:space="preserve"> i, d </w:t>
      </w:r>
      <w:r>
        <w:rPr>
          <w:rStyle w:val="KeywordTok"/>
        </w:rPr>
        <w:t xml:space="preserve">in</w:t>
      </w:r>
      <w:r>
        <w:rPr>
          <w:rStyle w:val="NormalTok"/>
        </w:rPr>
        <w:t xml:space="preserve"> HISTORY </w:t>
      </w:r>
      <w:r>
        <w:rPr>
          <w:rStyle w:val="ControlFlowTok"/>
        </w:rPr>
        <w:t xml:space="preserve">if</w:t>
      </w:r>
      <w:r>
        <w:rPr>
          <w:rStyle w:val="NormalTok"/>
        </w:rPr>
        <w:t xml:space="preserve"> i </w:t>
      </w:r>
      <w:r>
        <w:rPr>
          <w:rStyle w:val="OperatorTok"/>
        </w:rPr>
        <w:t xml:space="preserve">&gt;</w:t>
      </w:r>
      <w:r>
        <w:rPr>
          <w:rStyle w:val="NormalTok"/>
        </w:rPr>
        <w:t xml:space="preserve"> last_seen]</w:t>
      </w:r>
      <w:r>
        <w:br/>
      </w:r>
      <w:r>
        <w:rPr>
          <w:rStyle w:val="NormalTok"/>
        </w:rPr>
        <w:t xml:space="preserve">            </w:t>
      </w:r>
      <w:r>
        <w:rPr>
          <w:rStyle w:val="ControlFlowTok"/>
        </w:rPr>
        <w:t xml:space="preserve">for</w:t>
      </w:r>
      <w:r>
        <w:rPr>
          <w:rStyle w:val="NormalTok"/>
        </w:rPr>
        <w:t xml:space="preserve"> event_id, data </w:t>
      </w:r>
      <w:r>
        <w:rPr>
          <w:rStyle w:val="KeywordTok"/>
        </w:rPr>
        <w:t xml:space="preserve">in</w:t>
      </w:r>
      <w:r>
        <w:rPr>
          <w:rStyle w:val="NormalTok"/>
        </w:rPr>
        <w:t xml:space="preserve"> pending:</w:t>
      </w:r>
      <w:r>
        <w:br/>
      </w:r>
      <w:r>
        <w:rPr>
          <w:rStyle w:val="NormalTok"/>
        </w:rPr>
        <w:t xml:space="preserve">                writer.write(format_event(event_id, data))</w:t>
      </w:r>
      <w:r>
        <w:br/>
      </w:r>
      <w:r>
        <w:rPr>
          <w:rStyle w:val="NormalTok"/>
        </w:rPr>
        <w:t xml:space="preserve">                last_seen </w:t>
      </w:r>
      <w:r>
        <w:rPr>
          <w:rStyle w:val="OperatorTok"/>
        </w:rPr>
        <w:t xml:space="preserve">=</w:t>
      </w:r>
      <w:r>
        <w:rPr>
          <w:rStyle w:val="NormalTok"/>
        </w:rPr>
        <w:t xml:space="preserve"> event_id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pending:</w:t>
      </w:r>
      <w:r>
        <w:br/>
      </w:r>
      <w:r>
        <w:rPr>
          <w:rStyle w:val="NormalTok"/>
        </w:rPr>
        <w:t xml:space="preserve">                writer.write(</w:t>
      </w:r>
      <w:r>
        <w:rPr>
          <w:rStyle w:val="StringTok"/>
        </w:rPr>
        <w:t xml:space="preserve">b": keep-alive</w:t>
      </w:r>
      <w:r>
        <w:rPr>
          <w:rStyle w:val="CharTok"/>
        </w:rPr>
        <w:t xml:space="preserve">\n\n</w:t>
      </w:r>
      <w:r>
        <w:rPr>
          <w:rStyle w:val="StringTok"/>
        </w:rPr>
        <w:t xml:space="preserve">"</w:t>
      </w:r>
      <w:r>
        <w:rPr>
          <w:rStyle w:val="NormalTok"/>
        </w:rPr>
        <w:t xml:space="preserve">)   </w:t>
      </w:r>
      <w:r>
        <w:rPr>
          <w:rStyle w:val="CommentTok"/>
        </w:rPr>
        <w:t xml:space="preserve"># comment line; defeats idle timeouts</w:t>
      </w:r>
      <w:r>
        <w:br/>
      </w:r>
      <w:r>
        <w:rPr>
          <w:rStyle w:val="NormalTok"/>
        </w:rPr>
        <w:t xml:space="preserve">            </w:t>
      </w:r>
      <w:r>
        <w:rPr>
          <w:rStyle w:val="ControlFlowTok"/>
        </w:rPr>
        <w:t xml:space="preserve">await</w:t>
      </w:r>
      <w:r>
        <w:rPr>
          <w:rStyle w:val="NormalTok"/>
        </w:rPr>
        <w:t xml:space="preserve"> writer.drain()                    </w:t>
      </w:r>
      <w:r>
        <w:rPr>
          <w:rStyle w:val="CommentTok"/>
        </w:rPr>
        <w:t xml:space="preserve"># backpressure: wait if socket buffer full</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new_event:</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await</w:t>
      </w:r>
      <w:r>
        <w:rPr>
          <w:rStyle w:val="NormalTok"/>
        </w:rPr>
        <w:t xml:space="preserve"> asyncio.wait_for(new_event.wait(), timeout</w:t>
      </w:r>
      <w:r>
        <w:rPr>
          <w:rStyle w:val="OperatorTok"/>
        </w:rPr>
        <w:t xml:space="preserve">=</w:t>
      </w:r>
      <w:r>
        <w:rPr>
          <w:rStyle w:val="DecValTok"/>
        </w:rPr>
        <w:t xml:space="preserve">15</w:t>
      </w:r>
      <w:r>
        <w:rPr>
          <w:rStyle w:val="NormalTok"/>
        </w:rPr>
        <w:t xml:space="preserve">)</w:t>
      </w:r>
      <w:r>
        <w:br/>
      </w:r>
      <w:r>
        <w:rPr>
          <w:rStyle w:val="NormalTok"/>
        </w:rPr>
        <w:t xml:space="preserve">                </w:t>
      </w:r>
      <w:r>
        <w:rPr>
          <w:rStyle w:val="ControlFlowTok"/>
        </w:rPr>
        <w:t xml:space="preserve">except</w:t>
      </w:r>
      <w:r>
        <w:rPr>
          <w:rStyle w:val="NormalTok"/>
        </w:rPr>
        <w:t xml:space="preserve"> asyncio.</w:t>
      </w:r>
      <w:r>
        <w:rPr>
          <w:rStyle w:val="PreprocessorTok"/>
        </w:rPr>
        <w:t xml:space="preserve">TimeoutError</w:t>
      </w:r>
      <w:r>
        <w:rPr>
          <w:rStyle w:val="NormalTok"/>
        </w:rPr>
        <w:t xml:space="preserve">:</w:t>
      </w:r>
      <w:r>
        <w:br/>
      </w:r>
      <w:r>
        <w:rPr>
          <w:rStyle w:val="NormalTok"/>
        </w:rPr>
        <w:t xml:space="preserve">                    </w:t>
      </w:r>
      <w:r>
        <w:rPr>
          <w:rStyle w:val="ControlFlowTok"/>
        </w:rPr>
        <w:t xml:space="preserve">pass</w:t>
      </w:r>
      <w:r>
        <w:br/>
      </w:r>
      <w:r>
        <w:rPr>
          <w:rStyle w:val="NormalTok"/>
        </w:rPr>
        <w:t xml:space="preserve">    </w:t>
      </w:r>
      <w:r>
        <w:rPr>
          <w:rStyle w:val="ControlFlowTok"/>
        </w:rPr>
        <w:t xml:space="preserve">except</w:t>
      </w:r>
      <w:r>
        <w:rPr>
          <w:rStyle w:val="NormalTok"/>
        </w:rPr>
        <w:t xml:space="preserve"> (</w:t>
      </w:r>
      <w:r>
        <w:rPr>
          <w:rStyle w:val="PreprocessorTok"/>
        </w:rPr>
        <w:t xml:space="preserve">ConnectionResetError</w:t>
      </w:r>
      <w:r>
        <w:rPr>
          <w:rStyle w:val="NormalTok"/>
        </w:rPr>
        <w:t xml:space="preserve">, </w:t>
      </w:r>
      <w:r>
        <w:rPr>
          <w:rStyle w:val="PreprocessorTok"/>
        </w:rPr>
        <w:t xml:space="preserve">BrokenPipeError</w:t>
      </w:r>
      <w:r>
        <w:rPr>
          <w:rStyle w:val="NormalTok"/>
        </w:rPr>
        <w:t xml:space="preserve">):</w:t>
      </w:r>
      <w:r>
        <w:br/>
      </w:r>
      <w:r>
        <w:rPr>
          <w:rStyle w:val="NormalTok"/>
        </w:rPr>
        <w:t xml:space="preserve">        </w:t>
      </w:r>
      <w:r>
        <w:rPr>
          <w:rStyle w:val="ControlFlowTok"/>
        </w:rPr>
        <w:t xml:space="preserve">pass</w:t>
      </w:r>
      <w:r>
        <w:br/>
      </w:r>
      <w:r>
        <w:rPr>
          <w:rStyle w:val="NormalTok"/>
        </w:rPr>
        <w:t xml:space="preserve">    </w:t>
      </w:r>
      <w:r>
        <w:rPr>
          <w:rStyle w:val="ControlFlowTok"/>
        </w:rPr>
        <w:t xml:space="preserve">finally</w:t>
      </w:r>
      <w:r>
        <w:rPr>
          <w:rStyle w:val="NormalTok"/>
        </w:rPr>
        <w:t xml:space="preserve">:</w:t>
      </w:r>
      <w:r>
        <w:br/>
      </w:r>
      <w:r>
        <w:rPr>
          <w:rStyle w:val="NormalTok"/>
        </w:rPr>
        <w:t xml:space="preserve">        writer.close()</w:t>
      </w:r>
      <w:r>
        <w:br/>
      </w:r>
      <w:r>
        <w:br/>
      </w:r>
      <w:r>
        <w:rPr>
          <w:rStyle w:val="ControlFlowTok"/>
        </w:rPr>
        <w:t xml:space="preserve">async</w:t>
      </w:r>
      <w:r>
        <w:rPr>
          <w:rStyle w:val="NormalTok"/>
        </w:rPr>
        <w:t xml:space="preserve"> </w:t>
      </w:r>
      <w:r>
        <w:rPr>
          <w:rStyle w:val="KeywordTok"/>
        </w:rPr>
        <w:t xml:space="preserve">def</w:t>
      </w:r>
      <w:r>
        <w:rPr>
          <w:rStyle w:val="NormalTok"/>
        </w:rPr>
        <w:t xml:space="preserve"> main()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asyncio.create_task(producer())</w:t>
      </w:r>
      <w:r>
        <w:br/>
      </w:r>
      <w:r>
        <w:rPr>
          <w:rStyle w:val="NormalTok"/>
        </w:rPr>
        <w:t xml:space="preserve">    server </w:t>
      </w:r>
      <w:r>
        <w:rPr>
          <w:rStyle w:val="OperatorTok"/>
        </w:rPr>
        <w:t xml:space="preserve">=</w:t>
      </w:r>
      <w:r>
        <w:rPr>
          <w:rStyle w:val="NormalTok"/>
        </w:rPr>
        <w:t xml:space="preserve"> </w:t>
      </w:r>
      <w:r>
        <w:rPr>
          <w:rStyle w:val="ControlFlowTok"/>
        </w:rPr>
        <w:t xml:space="preserve">await</w:t>
      </w:r>
      <w:r>
        <w:rPr>
          <w:rStyle w:val="NormalTok"/>
        </w:rPr>
        <w:t xml:space="preserve"> asyncio.start_server(handle, </w:t>
      </w:r>
      <w:r>
        <w:rPr>
          <w:rStyle w:val="StringTok"/>
        </w:rPr>
        <w:t xml:space="preserve">"127.0.0.1"</w:t>
      </w:r>
      <w:r>
        <w:rPr>
          <w:rStyle w:val="NormalTok"/>
        </w:rPr>
        <w:t xml:space="preserve">, </w:t>
      </w:r>
      <w:r>
        <w:rPr>
          <w:rStyle w:val="DecValTok"/>
        </w:rPr>
        <w:t xml:space="preserve">8080</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server:</w:t>
      </w:r>
      <w:r>
        <w:br/>
      </w:r>
      <w:r>
        <w:rPr>
          <w:rStyle w:val="NormalTok"/>
        </w:rPr>
        <w:t xml:space="preserve">        </w:t>
      </w:r>
      <w:r>
        <w:rPr>
          <w:rStyle w:val="ControlFlowTok"/>
        </w:rPr>
        <w:t xml:space="preserve">await</w:t>
      </w:r>
      <w:r>
        <w:rPr>
          <w:rStyle w:val="NormalTok"/>
        </w:rPr>
        <w:t xml:space="preserve"> server.serve_forever()</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asyncio.run(main())</w:t>
      </w:r>
    </w:p>
    <w:p>
      <w:pPr>
        <w:pStyle w:val="FirstParagraph"/>
      </w:pPr>
      <w:r>
        <w:t xml:space="preserve">On the browser side, consuming this stream takes four lines:</w:t>
      </w:r>
    </w:p>
    <w:p>
      <w:pPr>
        <w:pStyle w:val="SourceCode"/>
      </w:pPr>
      <w:r>
        <w:rPr>
          <w:rStyle w:val="VerbatimChar"/>
        </w:rPr>
        <w:t xml:space="preserve">const es = new EventSource("/events");</w:t>
      </w:r>
      <w:r>
        <w:br/>
      </w:r>
      <w:r>
        <w:rPr>
          <w:rStyle w:val="VerbatimChar"/>
        </w:rPr>
        <w:t xml:space="preserve">es.addEventListener("price", (e) =&gt; render(JSON.parse(e.data)));</w:t>
      </w:r>
      <w:r>
        <w:br/>
      </w:r>
      <w:r>
        <w:rPr>
          <w:rStyle w:val="VerbatimChar"/>
        </w:rPr>
        <w:t xml:space="preserve">es.onerror = () =&gt; { if (es.readyState === EventSource.CLOSED) scheduleRecreate(); };</w:t>
      </w:r>
      <w:r>
        <w:br/>
      </w:r>
      <w:r>
        <w:rPr>
          <w:rStyle w:val="VerbatimChar"/>
        </w:rPr>
        <w:t xml:space="preserve">// the browser reconnects by itself after network errors and sends Last-Event-ID</w:t>
      </w:r>
    </w:p>
    <w:p>
      <w:pPr>
        <w:pStyle w:val="FirstParagraph"/>
      </w:pPr>
      <w:r>
        <w:t xml:space="preserve">What to notice:</w:t>
      </w:r>
    </w:p>
    <w:p>
      <w:pPr>
        <w:numPr>
          <w:ilvl w:val="0"/>
          <w:numId w:val="1303"/>
        </w:numPr>
        <w:pStyle w:val="Compact"/>
      </w:pPr>
      <w:r>
        <w:t xml:space="preserve">The response never ends; the server writes</w:t>
      </w:r>
      <w:r>
        <w:t xml:space="preserve"> </w:t>
      </w:r>
      <w:r>
        <w:rPr>
          <w:rStyle w:val="VerbatimChar"/>
        </w:rPr>
        <w:t xml:space="preserve">id:</w:t>
      </w:r>
      <w:r>
        <w:t xml:space="preserve">/</w:t>
      </w:r>
      <w:r>
        <w:rPr>
          <w:rStyle w:val="VerbatimChar"/>
        </w:rPr>
        <w:t xml:space="preserve">event:</w:t>
      </w:r>
      <w:r>
        <w:t xml:space="preserve">/</w:t>
      </w:r>
      <w:r>
        <w:rPr>
          <w:rStyle w:val="VerbatimChar"/>
        </w:rPr>
        <w:t xml:space="preserve">data:</w:t>
      </w:r>
      <w:r>
        <w:t xml:space="preserve"> </w:t>
      </w:r>
      <w:r>
        <w:t xml:space="preserve">blocks separated by blank lines. Curl started with</w:t>
      </w:r>
      <w:r>
        <w:t xml:space="preserve"> </w:t>
      </w:r>
      <w:r>
        <w:rPr>
          <w:rStyle w:val="VerbatimChar"/>
        </w:rPr>
        <w:t xml:space="preserve">-H "Last-Event-ID: 2"</w:t>
      </w:r>
      <w:r>
        <w:t xml:space="preserve"> </w:t>
      </w:r>
      <w:r>
        <w:t xml:space="preserve">received events 3, 4, 5… — the replay-then-live behavior the browser gets for free.</w:t>
      </w:r>
    </w:p>
    <w:p>
      <w:pPr>
        <w:numPr>
          <w:ilvl w:val="0"/>
          <w:numId w:val="1303"/>
        </w:numPr>
        <w:pStyle w:val="Compact"/>
      </w:pPr>
      <w:r>
        <w:rPr>
          <w:rStyle w:val="VerbatimChar"/>
        </w:rPr>
        <w:t xml:space="preserve">await writer.drain()</w:t>
      </w:r>
      <w:r>
        <w:t xml:space="preserve"> </w:t>
      </w:r>
      <w:r>
        <w:t xml:space="preserve">is the backpressure point: if a client reads slowly, the coroutine pauses instead of letting the process buffer unbounded data (§9.6.7).</w:t>
      </w:r>
    </w:p>
    <w:p>
      <w:pPr>
        <w:numPr>
          <w:ilvl w:val="0"/>
          <w:numId w:val="1303"/>
        </w:numPr>
        <w:pStyle w:val="Compact"/>
      </w:pPr>
      <w:r>
        <w:t xml:space="preserve">The</w:t>
      </w:r>
      <w:r>
        <w:t xml:space="preserve"> </w:t>
      </w:r>
      <w:r>
        <w:rPr>
          <w:rStyle w:val="VerbatimChar"/>
        </w:rPr>
        <w:t xml:space="preserve">: keep-alive</w:t>
      </w:r>
      <w:r>
        <w:t xml:space="preserve"> </w:t>
      </w:r>
      <w:r>
        <w:t xml:space="preserve">comment is invisible to</w:t>
      </w:r>
      <w:r>
        <w:t xml:space="preserve"> </w:t>
      </w:r>
      <w:r>
        <w:rPr>
          <w:rStyle w:val="VerbatimChar"/>
        </w:rPr>
        <w:t xml:space="preserve">EventSource</w:t>
      </w:r>
      <w:r>
        <w:t xml:space="preserve"> </w:t>
      </w:r>
      <w:r>
        <w:t xml:space="preserve">but keeps proxies and load balancers from closing an idle connection.</w:t>
      </w:r>
    </w:p>
    <w:p>
      <w:pPr>
        <w:numPr>
          <w:ilvl w:val="0"/>
          <w:numId w:val="1303"/>
        </w:numPr>
        <w:pStyle w:val="Compact"/>
      </w:pPr>
      <w:r>
        <w:t xml:space="preserve">The in-memory</w:t>
      </w:r>
      <w:r>
        <w:t xml:space="preserve"> </w:t>
      </w:r>
      <w:r>
        <w:rPr>
          <w:rStyle w:val="VerbatimChar"/>
        </w:rPr>
        <w:t xml:space="preserve">HISTORY</w:t>
      </w:r>
      <w:r>
        <w:t xml:space="preserve"> </w:t>
      </w:r>
      <w:r>
        <w:t xml:space="preserve">would be lost on restart and is not shared between servers; production systems put it in Redis Streams, Kafka or a database so any server can replay.</w:t>
      </w:r>
    </w:p>
    <w:bookmarkEnd w:id="993"/>
    <w:bookmarkStart w:id="994" w:name="real-world-industry-applications-19"/>
    <w:p>
      <w:pPr>
        <w:pStyle w:val="Heading4"/>
      </w:pPr>
      <w:r>
        <w:t xml:space="preserve">Real-world industry applications</w:t>
      </w:r>
    </w:p>
    <w:p>
      <w:pPr>
        <w:pStyle w:val="CalloutIndustry"/>
      </w:pPr>
      <w:r>
        <w:rPr>
          <w:bCs/>
          <w:b/>
        </w:rPr>
        <w:t xml:space="preserve">INDUSTRY EXAMPLE</w:t>
      </w:r>
    </w:p>
    <w:p>
      <w:pPr>
        <w:pStyle w:val="CalloutIndustry"/>
      </w:pPr>
      <w:r>
        <w:rPr>
          <w:bCs/>
          <w:b/>
        </w:rPr>
        <w:t xml:space="preserve">Streaming responses from large-language-model APIs.</w:t>
      </w:r>
      <w:r>
        <w:t xml:space="preserve"> </w:t>
      </w:r>
      <w:r>
        <w:t xml:space="preserve">Several widely used LLM HTTP APIs stream generated tokens to clients as</w:t>
      </w:r>
      <w:r>
        <w:t xml:space="preserve"> </w:t>
      </w:r>
      <w:r>
        <w:rPr>
          <w:rStyle w:val="VerbatimChar"/>
        </w:rPr>
        <w:t xml:space="preserve">text/event-stream</w:t>
      </w:r>
      <w:r>
        <w:t xml:space="preserve"> </w:t>
      </w:r>
      <w:r>
        <w:t xml:space="preserve">responses, because generation is strictly one-directional (server to client), each response is short-lived (seconds to minutes), and SSE passes through standard HTTP infrastructure, authentication and rate limiting unchanged. Chapter 73 discusses time to first token (TTFT) and inter-token latency (ITL), which is what this streaming exposes to users.</w:t>
      </w:r>
      <w:r>
        <w:t xml:space="preserve"> </w:t>
      </w:r>
      <w:r>
        <w:rPr>
          <w:iCs/>
          <w:i/>
        </w:rPr>
        <w:t xml:space="preserve">Evidence: Illustrative</w:t>
      </w:r>
      <w:r>
        <w:t xml:space="preserve"> </w:t>
      </w:r>
      <w:r>
        <w:t xml:space="preserve">— a widely observed pattern; consult each provider’s API documentation for specifics.</w:t>
      </w:r>
    </w:p>
    <w:bookmarkEnd w:id="994"/>
    <w:bookmarkStart w:id="995" w:name="advantages-and-disadvantages-6"/>
    <w:p>
      <w:pPr>
        <w:pStyle w:val="Heading4"/>
      </w:pPr>
      <w:r>
        <w:t xml:space="preserve">Advantages and disadvantages</w:t>
      </w:r>
    </w:p>
    <w:p>
      <w:pPr>
        <w:numPr>
          <w:ilvl w:val="0"/>
          <w:numId w:val="1304"/>
        </w:numPr>
        <w:pStyle w:val="Compact"/>
      </w:pPr>
      <w:r>
        <w:rPr>
          <w:bCs/>
          <w:b/>
        </w:rPr>
        <w:t xml:space="preserve">Advantages:</w:t>
      </w:r>
      <w:r>
        <w:t xml:space="preserve"> </w:t>
      </w:r>
      <w:r>
        <w:t xml:space="preserve">plain HTTP (works with existing auth, cookies, CORS, load balancers, HTTP/2 and HTTP/3); automatic reconnection and resumption built into browsers; tiny per-event framing (tens of bytes); simple to implement on any server that can flush a response; easy to debug with</w:t>
      </w:r>
      <w:r>
        <w:t xml:space="preserve"> </w:t>
      </w:r>
      <w:r>
        <w:rPr>
          <w:rStyle w:val="VerbatimChar"/>
        </w:rPr>
        <w:t xml:space="preserve">curl -N</w:t>
      </w:r>
      <w:r>
        <w:t xml:space="preserve">.</w:t>
      </w:r>
    </w:p>
    <w:p>
      <w:pPr>
        <w:numPr>
          <w:ilvl w:val="0"/>
          <w:numId w:val="1304"/>
        </w:numPr>
        <w:pStyle w:val="Compact"/>
      </w:pPr>
      <w:r>
        <w:rPr>
          <w:bCs/>
          <w:b/>
        </w:rPr>
        <w:t xml:space="preserve">Disadvantages:</w:t>
      </w:r>
      <w:r>
        <w:t xml:space="preserve"> </w:t>
      </w:r>
      <w:r>
        <w:t xml:space="preserve">server-to-client only; UTF-8 text only (binary must be base64-encoded, +33 %); the standard</w:t>
      </w:r>
      <w:r>
        <w:t xml:space="preserve"> </w:t>
      </w:r>
      <w:r>
        <w:rPr>
          <w:rStyle w:val="VerbatimChar"/>
        </w:rPr>
        <w:t xml:space="preserve">EventSource</w:t>
      </w:r>
      <w:r>
        <w:t xml:space="preserve"> </w:t>
      </w:r>
      <w:r>
        <w:t xml:space="preserve">cannot set custom request headers (use cookies, a short-lived token in the URL, or a</w:t>
      </w:r>
      <w:r>
        <w:t xml:space="preserve"> </w:t>
      </w:r>
      <w:r>
        <w:rPr>
          <w:rStyle w:val="VerbatimChar"/>
        </w:rPr>
        <w:t xml:space="preserve">fetch</w:t>
      </w:r>
      <w:r>
        <w:t xml:space="preserve">-based stream reader instead); HTTP/1.1 connection-per-origin limits; buffering proxies and compression can delay events; non-200 responses stop automatic reconnection.</w:t>
      </w:r>
    </w:p>
    <w:bookmarkEnd w:id="995"/>
    <w:bookmarkStart w:id="996" w:name="failure-scenarios-23"/>
    <w:p>
      <w:pPr>
        <w:pStyle w:val="Heading4"/>
      </w:pPr>
      <w:r>
        <w:t xml:space="preserve">Failure scenarios</w:t>
      </w:r>
    </w:p>
    <w:p>
      <w:pPr>
        <w:pStyle w:val="FirstParagraph"/>
      </w:pPr>
      <w:r>
        <w:rPr>
          <w:bCs/>
          <w:b/>
        </w:rPr>
        <w:t xml:space="preserve">Table 9.4 — SSE 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Events arrive in bursts minutes late</w:t>
            </w:r>
          </w:p>
        </w:tc>
        <w:tc>
          <w:tcPr/>
          <w:p>
            <w:pPr>
              <w:pStyle w:val="Compact"/>
              <w:jc w:val="left"/>
            </w:pPr>
            <w:r>
              <w:t xml:space="preserve">Reverse proxy or compression buffers the response</w:t>
            </w:r>
          </w:p>
        </w:tc>
        <w:tc>
          <w:tcPr/>
          <w:p>
            <w:pPr>
              <w:pStyle w:val="Compact"/>
              <w:jc w:val="left"/>
            </w:pPr>
            <w:r>
              <w:t xml:space="preserve">Server log timestamps vs. client receipt times diverge</w:t>
            </w:r>
          </w:p>
        </w:tc>
        <w:tc>
          <w:tcPr/>
          <w:p>
            <w:pPr>
              <w:pStyle w:val="Compact"/>
              <w:jc w:val="left"/>
            </w:pPr>
            <w:r>
              <w:t xml:space="preserve">Disable buffering on the route</w:t>
            </w:r>
          </w:p>
        </w:tc>
        <w:tc>
          <w:tcPr/>
          <w:p>
            <w:pPr>
              <w:pStyle w:val="Compact"/>
              <w:jc w:val="left"/>
            </w:pPr>
            <w:r>
              <w:rPr>
                <w:rStyle w:val="VerbatimChar"/>
              </w:rPr>
              <w:t xml:space="preserve">proxy_buffering off</w:t>
            </w:r>
            <w:r>
              <w:t xml:space="preserve"> </w:t>
            </w:r>
            <w:r>
              <w:t xml:space="preserve">/</w:t>
            </w:r>
            <w:r>
              <w:t xml:space="preserve"> </w:t>
            </w:r>
            <w:r>
              <w:rPr>
                <w:rStyle w:val="VerbatimChar"/>
              </w:rPr>
              <w:t xml:space="preserve">X-Accel-Buffering: no</w:t>
            </w:r>
            <w:r>
              <w:t xml:space="preserve">; no gzip on streams</w:t>
            </w:r>
          </w:p>
        </w:tc>
      </w:tr>
      <w:tr>
        <w:tc>
          <w:tcPr/>
          <w:p>
            <w:pPr>
              <w:pStyle w:val="Compact"/>
              <w:jc w:val="left"/>
            </w:pPr>
            <w:r>
              <w:t xml:space="preserve">Streams die every 60 s</w:t>
            </w:r>
          </w:p>
        </w:tc>
        <w:tc>
          <w:tcPr/>
          <w:p>
            <w:pPr>
              <w:pStyle w:val="Compact"/>
              <w:jc w:val="left"/>
            </w:pPr>
            <w:r>
              <w:t xml:space="preserve">Idle timeout on LB or proxy</w:t>
            </w:r>
          </w:p>
        </w:tc>
        <w:tc>
          <w:tcPr/>
          <w:p>
            <w:pPr>
              <w:pStyle w:val="Compact"/>
              <w:jc w:val="left"/>
            </w:pPr>
            <w:r>
              <w:t xml:space="preserve">Reconnect rate ≈ connections / 60 s</w:t>
            </w:r>
          </w:p>
        </w:tc>
        <w:tc>
          <w:tcPr/>
          <w:p>
            <w:pPr>
              <w:pStyle w:val="Compact"/>
              <w:jc w:val="left"/>
            </w:pPr>
            <w:r>
              <w:t xml:space="preserve">Send heartbeats</w:t>
            </w:r>
          </w:p>
        </w:tc>
        <w:tc>
          <w:tcPr/>
          <w:p>
            <w:pPr>
              <w:pStyle w:val="Compact"/>
              <w:jc w:val="left"/>
            </w:pPr>
            <w:r>
              <w:t xml:space="preserve">Comment line every 15–30 s, below every idle timeout</w:t>
            </w:r>
          </w:p>
        </w:tc>
      </w:tr>
      <w:tr>
        <w:tc>
          <w:tcPr/>
          <w:p>
            <w:pPr>
              <w:pStyle w:val="Compact"/>
              <w:jc w:val="left"/>
            </w:pPr>
            <w:r>
              <w:t xml:space="preserve">Clients never reconnect after outage</w:t>
            </w:r>
          </w:p>
        </w:tc>
        <w:tc>
          <w:tcPr/>
          <w:p>
            <w:pPr>
              <w:pStyle w:val="Compact"/>
              <w:jc w:val="left"/>
            </w:pPr>
            <w:r>
              <w:t xml:space="preserve">LB returned 502/503;</w:t>
            </w:r>
            <w:r>
              <w:t xml:space="preserve"> </w:t>
            </w:r>
            <w:r>
              <w:rPr>
                <w:rStyle w:val="VerbatimChar"/>
              </w:rPr>
              <w:t xml:space="preserve">EventSource</w:t>
            </w:r>
            <w:r>
              <w:t xml:space="preserve"> </w:t>
            </w:r>
            <w:r>
              <w:t xml:space="preserve">fails permanently on non-200</w:t>
            </w:r>
          </w:p>
        </w:tc>
        <w:tc>
          <w:tcPr/>
          <w:p>
            <w:pPr>
              <w:pStyle w:val="Compact"/>
              <w:jc w:val="left"/>
            </w:pPr>
            <w:r>
              <w:t xml:space="preserve">Connected-client gauge drops and stays low</w:t>
            </w:r>
          </w:p>
        </w:tc>
        <w:tc>
          <w:tcPr/>
          <w:p>
            <w:pPr>
              <w:pStyle w:val="Compact"/>
              <w:jc w:val="left"/>
            </w:pPr>
            <w:r>
              <w:t xml:space="preserve">Application recreates</w:t>
            </w:r>
            <w:r>
              <w:t xml:space="preserve"> </w:t>
            </w:r>
            <w:r>
              <w:rPr>
                <w:rStyle w:val="VerbatimChar"/>
              </w:rPr>
              <w:t xml:space="preserve">EventSource</w:t>
            </w:r>
            <w:r>
              <w:t xml:space="preserve"> </w:t>
            </w:r>
            <w:r>
              <w:t xml:space="preserve">with jittered backoff</w:t>
            </w:r>
          </w:p>
        </w:tc>
        <w:tc>
          <w:tcPr/>
          <w:p>
            <w:pPr>
              <w:pStyle w:val="Compact"/>
              <w:jc w:val="left"/>
            </w:pPr>
            <w:r>
              <w:t xml:space="preserve">Handle</w:t>
            </w:r>
            <w:r>
              <w:t xml:space="preserve"> </w:t>
            </w:r>
            <w:r>
              <w:rPr>
                <w:rStyle w:val="VerbatimChar"/>
              </w:rPr>
              <w:t xml:space="preserve">readyState === CLOSED</w:t>
            </w:r>
            <w:r>
              <w:t xml:space="preserve"> </w:t>
            </w:r>
            <w:r>
              <w:t xml:space="preserve">in</w:t>
            </w:r>
            <w:r>
              <w:t xml:space="preserve"> </w:t>
            </w:r>
            <w:r>
              <w:rPr>
                <w:rStyle w:val="VerbatimChar"/>
              </w:rPr>
              <w:t xml:space="preserve">onerror</w:t>
            </w:r>
          </w:p>
        </w:tc>
      </w:tr>
      <w:tr>
        <w:tc>
          <w:tcPr/>
          <w:p>
            <w:pPr>
              <w:pStyle w:val="Compact"/>
              <w:jc w:val="left"/>
            </w:pPr>
            <w:r>
              <w:t xml:space="preserve">Seventh tab hangs</w:t>
            </w:r>
          </w:p>
        </w:tc>
        <w:tc>
          <w:tcPr/>
          <w:p>
            <w:pPr>
              <w:pStyle w:val="Compact"/>
              <w:jc w:val="left"/>
            </w:pPr>
            <w:r>
              <w:t xml:space="preserve">HTTP/1.1 six-connection limit per origin</w:t>
            </w:r>
          </w:p>
        </w:tc>
        <w:tc>
          <w:tcPr/>
          <w:p>
            <w:pPr>
              <w:pStyle w:val="Compact"/>
              <w:jc w:val="left"/>
            </w:pPr>
            <w:r>
              <w:t xml:space="preserve">Requests pending in browser dev tools</w:t>
            </w:r>
          </w:p>
        </w:tc>
        <w:tc>
          <w:tcPr/>
          <w:p>
            <w:pPr>
              <w:pStyle w:val="Compact"/>
              <w:jc w:val="left"/>
            </w:pPr>
            <w:r>
              <w:t xml:space="preserve">Close tabs</w:t>
            </w:r>
          </w:p>
        </w:tc>
        <w:tc>
          <w:tcPr/>
          <w:p>
            <w:pPr>
              <w:pStyle w:val="Compact"/>
              <w:jc w:val="left"/>
            </w:pPr>
            <w:r>
              <w:t xml:space="preserve">Serve SSE over HTTP/2; share one stream across tabs (</w:t>
            </w:r>
            <w:r>
              <w:rPr>
                <w:rStyle w:val="VerbatimChar"/>
              </w:rPr>
              <w:t xml:space="preserve">BroadcastChannel</w:t>
            </w:r>
            <w:r>
              <w:t xml:space="preserve">,</w:t>
            </w:r>
            <w:r>
              <w:t xml:space="preserve"> </w:t>
            </w:r>
            <w:r>
              <w:rPr>
                <w:rStyle w:val="VerbatimChar"/>
              </w:rPr>
              <w:t xml:space="preserve">SharedWorker</w:t>
            </w:r>
            <w:r>
              <w:t xml:space="preserve">)</w:t>
            </w:r>
          </w:p>
        </w:tc>
      </w:tr>
    </w:tbl>
    <w:bookmarkEnd w:id="996"/>
    <w:bookmarkStart w:id="997" w:name="common-misconceptions-20"/>
    <w:p>
      <w:pPr>
        <w:pStyle w:val="Heading4"/>
      </w:pPr>
      <w:r>
        <w:t xml:space="preserve">Common misconceptions</w:t>
      </w:r>
    </w:p>
    <w:p>
      <w:pPr>
        <w:pStyle w:val="CalloutMistake"/>
      </w:pPr>
      <w:r>
        <w:rPr>
          <w:bCs/>
          <w:b/>
        </w:rPr>
        <w:t xml:space="preserve">COMMON MISTAKE</w:t>
      </w:r>
    </w:p>
    <w:p>
      <w:pPr>
        <w:pStyle w:val="CalloutMistake"/>
      </w:pPr>
      <w:r>
        <w:rPr>
          <w:bCs/>
          <w:b/>
        </w:rPr>
        <w:t xml:space="preserve">“</w:t>
      </w:r>
      <w:r>
        <w:rPr>
          <w:bCs/>
          <w:b/>
        </w:rPr>
        <w:t xml:space="preserve">SSE is obsolete because WebSockets exist.</w:t>
      </w:r>
      <w:r>
        <w:rPr>
          <w:bCs/>
          <w:b/>
        </w:rPr>
        <w:t xml:space="preserve">”</w:t>
      </w:r>
      <w:r>
        <w:t xml:space="preserve"> </w:t>
      </w:r>
      <w:r>
        <w:t xml:space="preserve">SSE is the better tool for one-directional streams: it rides on ordinary HTTP (so HTTP/2 multiplexing, standard authentication and observability all apply), it resumes automatically, and it needs no special proxy configuration. Choose WebSockets when the</w:t>
      </w:r>
      <w:r>
        <w:t xml:space="preserve"> </w:t>
      </w:r>
      <w:r>
        <w:rPr>
          <w:iCs/>
          <w:i/>
        </w:rPr>
        <w:t xml:space="preserve">client</w:t>
      </w:r>
      <w:r>
        <w:t xml:space="preserve"> </w:t>
      </w:r>
      <w:r>
        <w:t xml:space="preserve">also sends frequent low-latency messages, or when you need binary frames.</w:t>
      </w:r>
    </w:p>
    <w:bookmarkEnd w:id="997"/>
    <w:bookmarkEnd w:id="998"/>
    <w:bookmarkEnd w:id="999"/>
    <w:bookmarkStart w:id="1024" w:name="websockets-in-depth"/>
    <w:p>
      <w:pPr>
        <w:pStyle w:val="Heading2"/>
      </w:pPr>
      <w:r>
        <w:t xml:space="preserve">9.6 WebSockets in depth</w:t>
      </w:r>
    </w:p>
    <w:bookmarkStart w:id="1002" w:name="what-a-websocket-is"/>
    <w:p>
      <w:pPr>
        <w:pStyle w:val="Heading3"/>
      </w:pPr>
      <w:r>
        <w:t xml:space="preserve">9.6.1 What a WebSocket is</w:t>
      </w:r>
    </w:p>
    <w:p>
      <w:pPr>
        <w:pStyle w:val="CalloutDefinition"/>
      </w:pPr>
      <w:r>
        <w:rPr>
          <w:bCs/>
          <w:b/>
        </w:rPr>
        <w:t xml:space="preserve">DEFINITION</w:t>
      </w:r>
    </w:p>
    <w:p>
      <w:pPr>
        <w:pStyle w:val="CalloutDefinition"/>
      </w:pPr>
      <w:r>
        <w:rPr>
          <w:bCs/>
          <w:b/>
        </w:rPr>
        <w:t xml:space="preserve">Definition — WebSocket.</w:t>
      </w:r>
      <w:r>
        <w:t xml:space="preserve"> </w:t>
      </w:r>
      <w:r>
        <w:t xml:space="preserve">A protocol, standardized in RFC 6455 [Fette &amp; Melnikov 2011], that starts as an HTTP/1.1 request,</w:t>
      </w:r>
      <w:r>
        <w:t xml:space="preserve"> </w:t>
      </w:r>
      <w:r>
        <w:rPr>
          <w:iCs/>
          <w:i/>
        </w:rPr>
        <w:t xml:space="preserve">upgrades</w:t>
      </w:r>
      <w:r>
        <w:t xml:space="preserve"> </w:t>
      </w:r>
      <w:r>
        <w:t xml:space="preserve">the underlying TCP connection, and thereafter carries a full-duplex sequence of framed messages in both directions with 2–14 bytes of framing overhead per frame. URLs use the schemes</w:t>
      </w:r>
      <w:r>
        <w:t xml:space="preserve"> </w:t>
      </w:r>
      <w:r>
        <w:rPr>
          <w:rStyle w:val="VerbatimChar"/>
        </w:rPr>
        <w:t xml:space="preserve">ws://</w:t>
      </w:r>
      <w:r>
        <w:t xml:space="preserve"> </w:t>
      </w:r>
      <w:r>
        <w:t xml:space="preserve">(plain TCP, default port 80) and</w:t>
      </w:r>
      <w:r>
        <w:t xml:space="preserve"> </w:t>
      </w:r>
      <w:r>
        <w:rPr>
          <w:rStyle w:val="VerbatimChar"/>
        </w:rPr>
        <w:t xml:space="preserve">wss://</w:t>
      </w:r>
      <w:r>
        <w:t xml:space="preserve"> </w:t>
      </w:r>
      <w:r>
        <w:t xml:space="preserve">(over TLS, default port 443).</w:t>
      </w:r>
    </w:p>
    <w:bookmarkStart w:id="1000" w:name="first-principles-explanation-51"/>
    <w:p>
      <w:pPr>
        <w:pStyle w:val="Heading4"/>
      </w:pPr>
      <w:r>
        <w:t xml:space="preserve">First-principles explanation</w:t>
      </w:r>
    </w:p>
    <w:p>
      <w:pPr>
        <w:pStyle w:val="FirstParagraph"/>
      </w:pPr>
      <w:r>
        <w:t xml:space="preserve">HTTP is a postal system: every letter needs a full envelope, and the recipient can only reply, never write first. A WebSocket is a telephone call that begins with a short postal exchange —</w:t>
      </w:r>
      <w:r>
        <w:t xml:space="preserve"> </w:t>
      </w:r>
      <w:r>
        <w:t xml:space="preserve">“</w:t>
      </w:r>
      <w:r>
        <w:t xml:space="preserve">may we switch to the telephone?</w:t>
      </w:r>
      <w:r>
        <w:t xml:space="preserve">”</w:t>
      </w:r>
      <w:r>
        <w:t xml:space="preserve">,</w:t>
      </w:r>
      <w:r>
        <w:t xml:space="preserve"> </w:t>
      </w:r>
      <w:r>
        <w:t xml:space="preserve">“</w:t>
      </w:r>
      <w:r>
        <w:t xml:space="preserve">yes</w:t>
      </w:r>
      <w:r>
        <w:t xml:space="preserve">”</w:t>
      </w:r>
      <w:r>
        <w:t xml:space="preserve"> </w:t>
      </w:r>
      <w:r>
        <w:t xml:space="preserve">— after which either party speaks whenever it likes for a few bytes of overhead. Because the call starts as a letter, it passes through the same post offices (ports 80/443, HTTP proxies).</w:t>
      </w:r>
    </w:p>
    <w:bookmarkEnd w:id="1000"/>
    <w:bookmarkStart w:id="1001" w:name="why-does-this-exist-33"/>
    <w:p>
      <w:pPr>
        <w:pStyle w:val="Heading4"/>
      </w:pPr>
      <w:r>
        <w:t xml:space="preserve">Why does this exist?</w:t>
      </w:r>
    </w:p>
    <w:p>
      <w:pPr>
        <w:pStyle w:val="FirstParagraph"/>
      </w:pPr>
      <w:r>
        <w:t xml:space="preserve">Before RFC 6455 (2011), bidirectional browser communication meant gluing a long poll (downstream) to separate POSTs (upstream), each carrying hundreds of bytes of headers. Games, collaborative editors, trading screens and chat needed many small messages per second both ways. RFC 6455 reuses HTTP’s ports for the initial connection, keeps framing minimal, keeps the browser’s origin-based security model, and avoids giving web pages a raw TCP socket that could attack other protocols.</w:t>
      </w:r>
    </w:p>
    <w:bookmarkEnd w:id="1001"/>
    <w:bookmarkEnd w:id="1002"/>
    <w:bookmarkStart w:id="1008" w:name="the-opening-handshake"/>
    <w:p>
      <w:pPr>
        <w:pStyle w:val="Heading3"/>
      </w:pPr>
      <w:r>
        <w:t xml:space="preserve">9.6.2 The opening handshake</w:t>
      </w:r>
    </w:p>
    <w:bookmarkStart w:id="1006" w:name="how-it-works-internally-30"/>
    <w:p>
      <w:pPr>
        <w:pStyle w:val="Heading4"/>
      </w:pPr>
      <w:r>
        <w:t xml:space="preserve">How it works internally</w:t>
      </w:r>
    </w:p>
    <w:p>
      <w:pPr>
        <w:numPr>
          <w:ilvl w:val="0"/>
          <w:numId w:val="1305"/>
        </w:numPr>
        <w:pStyle w:val="Compact"/>
      </w:pPr>
      <w:r>
        <w:t xml:space="preserve">The client opens a TCP connection (and, for</w:t>
      </w:r>
      <w:r>
        <w:t xml:space="preserve"> </w:t>
      </w:r>
      <w:r>
        <w:rPr>
          <w:rStyle w:val="VerbatimChar"/>
        </w:rPr>
        <w:t xml:space="preserve">wss://</w:t>
      </w:r>
      <w:r>
        <w:t xml:space="preserve">, a TLS session) to the server.</w:t>
      </w:r>
    </w:p>
    <w:p>
      <w:pPr>
        <w:numPr>
          <w:ilvl w:val="0"/>
          <w:numId w:val="1305"/>
        </w:numPr>
        <w:pStyle w:val="Compact"/>
      </w:pPr>
      <w:r>
        <w:t xml:space="preserve">It sends an HTTP/1.1</w:t>
      </w:r>
      <w:r>
        <w:t xml:space="preserve"> </w:t>
      </w:r>
      <w:r>
        <w:rPr>
          <w:rStyle w:val="VerbatimChar"/>
        </w:rPr>
        <w:t xml:space="preserve">GET</w:t>
      </w:r>
      <w:r>
        <w:t xml:space="preserve"> </w:t>
      </w:r>
      <w:r>
        <w:t xml:space="preserve">with these headers:</w:t>
      </w:r>
    </w:p>
    <w:p>
      <w:pPr>
        <w:numPr>
          <w:ilvl w:val="1"/>
          <w:numId w:val="1306"/>
        </w:numPr>
        <w:pStyle w:val="Compact"/>
      </w:pPr>
      <w:r>
        <w:rPr>
          <w:rStyle w:val="VerbatimChar"/>
        </w:rPr>
        <w:t xml:space="preserve">Upgrade: websocket</w:t>
      </w:r>
      <w:r>
        <w:t xml:space="preserve"> </w:t>
      </w:r>
      <w:r>
        <w:t xml:space="preserve">and</w:t>
      </w:r>
      <w:r>
        <w:t xml:space="preserve"> </w:t>
      </w:r>
      <w:r>
        <w:rPr>
          <w:rStyle w:val="VerbatimChar"/>
        </w:rPr>
        <w:t xml:space="preserve">Connection: Upgrade</w:t>
      </w:r>
      <w:r>
        <w:t xml:space="preserve"> </w:t>
      </w:r>
      <w:r>
        <w:t xml:space="preserve">— ask to switch protocols.</w:t>
      </w:r>
    </w:p>
    <w:p>
      <w:pPr>
        <w:numPr>
          <w:ilvl w:val="1"/>
          <w:numId w:val="1306"/>
        </w:numPr>
        <w:pStyle w:val="Compact"/>
      </w:pPr>
      <w:r>
        <w:rPr>
          <w:rStyle w:val="VerbatimChar"/>
        </w:rPr>
        <w:t xml:space="preserve">Sec-WebSocket-Key:</w:t>
      </w:r>
      <w:r>
        <w:t xml:space="preserve"> </w:t>
      </w:r>
      <w:r>
        <w:t xml:space="preserve">— 16 random bytes, base64-encoded, fresh for each connection.</w:t>
      </w:r>
    </w:p>
    <w:p>
      <w:pPr>
        <w:numPr>
          <w:ilvl w:val="1"/>
          <w:numId w:val="1306"/>
        </w:numPr>
        <w:pStyle w:val="Compact"/>
      </w:pPr>
      <w:r>
        <w:rPr>
          <w:rStyle w:val="VerbatimChar"/>
        </w:rPr>
        <w:t xml:space="preserve">Sec-WebSocket-Version: 13</w:t>
      </w:r>
      <w:r>
        <w:t xml:space="preserve"> </w:t>
      </w:r>
      <w:r>
        <w:t xml:space="preserve">— the only version in RFC 6455.</w:t>
      </w:r>
    </w:p>
    <w:p>
      <w:pPr>
        <w:numPr>
          <w:ilvl w:val="1"/>
          <w:numId w:val="1306"/>
        </w:numPr>
        <w:pStyle w:val="Compact"/>
      </w:pPr>
      <w:r>
        <w:rPr>
          <w:rStyle w:val="VerbatimChar"/>
        </w:rPr>
        <w:t xml:space="preserve">Origin:</w:t>
      </w:r>
      <w:r>
        <w:t xml:space="preserve"> </w:t>
      </w:r>
      <w:r>
        <w:t xml:space="preserve">— set by browsers; the server must check it (see the security note below).</w:t>
      </w:r>
    </w:p>
    <w:p>
      <w:pPr>
        <w:numPr>
          <w:ilvl w:val="1"/>
          <w:numId w:val="1306"/>
        </w:numPr>
        <w:pStyle w:val="Compact"/>
      </w:pPr>
      <w:r>
        <w:t xml:space="preserve">Optionally</w:t>
      </w:r>
      <w:r>
        <w:t xml:space="preserve"> </w:t>
      </w:r>
      <w:r>
        <w:rPr>
          <w:rStyle w:val="VerbatimChar"/>
        </w:rPr>
        <w:t xml:space="preserve">Sec-WebSocket-Protocol:</w:t>
      </w:r>
      <w:r>
        <w:t xml:space="preserve"> </w:t>
      </w:r>
      <w:r>
        <w:t xml:space="preserve">(application subprotocols, for example</w:t>
      </w:r>
      <w:r>
        <w:t xml:space="preserve"> </w:t>
      </w:r>
      <w:r>
        <w:rPr>
          <w:rStyle w:val="VerbatimChar"/>
        </w:rPr>
        <w:t xml:space="preserve">graphql-transport-ws</w:t>
      </w:r>
      <w:r>
        <w:t xml:space="preserve"> </w:t>
      </w:r>
      <w:r>
        <w:t xml:space="preserve">or</w:t>
      </w:r>
      <w:r>
        <w:t xml:space="preserve"> </w:t>
      </w:r>
      <w:r>
        <w:rPr>
          <w:rStyle w:val="VerbatimChar"/>
        </w:rPr>
        <w:t xml:space="preserve">mqtt</w:t>
      </w:r>
      <w:r>
        <w:t xml:space="preserve">) and</w:t>
      </w:r>
      <w:r>
        <w:t xml:space="preserve"> </w:t>
      </w:r>
      <w:r>
        <w:rPr>
          <w:rStyle w:val="VerbatimChar"/>
        </w:rPr>
        <w:t xml:space="preserve">Sec-WebSocket-Extensions:</w:t>
      </w:r>
      <w:r>
        <w:t xml:space="preserve"> </w:t>
      </w:r>
      <w:r>
        <w:t xml:space="preserve">(for example</w:t>
      </w:r>
      <w:r>
        <w:t xml:space="preserve"> </w:t>
      </w:r>
      <w:r>
        <w:rPr>
          <w:rStyle w:val="VerbatimChar"/>
        </w:rPr>
        <w:t xml:space="preserve">permessage-deflate</w:t>
      </w:r>
      <w:r>
        <w:t xml:space="preserve">, RFC 7692).</w:t>
      </w:r>
    </w:p>
    <w:p>
      <w:pPr>
        <w:numPr>
          <w:ilvl w:val="0"/>
          <w:numId w:val="1305"/>
        </w:numPr>
        <w:pStyle w:val="Compact"/>
      </w:pPr>
      <w:r>
        <w:t xml:space="preserve">The server validates the request and responds</w:t>
      </w:r>
      <w:r>
        <w:t xml:space="preserve"> </w:t>
      </w:r>
      <w:r>
        <w:rPr>
          <w:rStyle w:val="VerbatimChar"/>
        </w:rPr>
        <w:t xml:space="preserve">HTTP/1.1 101 Switching Protocols</w:t>
      </w:r>
      <w:r>
        <w:t xml:space="preserve"> </w:t>
      </w:r>
      <w:r>
        <w:t xml:space="preserve">with</w:t>
      </w:r>
      <w:r>
        <w:t xml:space="preserve"> </w:t>
      </w:r>
      <w:r>
        <w:rPr>
          <w:rStyle w:val="VerbatimChar"/>
        </w:rPr>
        <w:t xml:space="preserve">Upgrade: websocket</w:t>
      </w:r>
      <w:r>
        <w:t xml:space="preserve">,</w:t>
      </w:r>
      <w:r>
        <w:t xml:space="preserve"> </w:t>
      </w:r>
      <w:r>
        <w:rPr>
          <w:rStyle w:val="VerbatimChar"/>
        </w:rPr>
        <w:t xml:space="preserve">Connection: Upgrade</w:t>
      </w:r>
      <w:r>
        <w:t xml:space="preserve"> </w:t>
      </w:r>
      <w:r>
        <w:t xml:space="preserve">and</w:t>
      </w:r>
      <w:r>
        <w:t xml:space="preserve"> </w:t>
      </w:r>
      <w:r>
        <w:rPr>
          <w:rStyle w:val="VerbatimChar"/>
          <w:bCs/>
          <w:b/>
        </w:rPr>
        <w:t xml:space="preserve">Sec-WebSocket-Accept</w:t>
      </w:r>
      <w:r>
        <w:t xml:space="preserve">, computed as base64(SHA-1(key +</w:t>
      </w:r>
      <w:r>
        <w:t xml:space="preserve"> </w:t>
      </w:r>
      <w:r>
        <w:rPr>
          <w:rStyle w:val="VerbatimChar"/>
        </w:rPr>
        <w:t xml:space="preserve">258EAFA5-E914-47DA-95CA-C5AB0DC85B11</w:t>
      </w:r>
      <w:r>
        <w:t xml:space="preserve">)). That fixed GUID appears in RFC 6455; the computation proves that the server actually understood a WebSocket handshake (and was not, say, an unsuspecting HTTP server or cache replaying a response). It is not an authentication mechanism.</w:t>
      </w:r>
    </w:p>
    <w:p>
      <w:pPr>
        <w:numPr>
          <w:ilvl w:val="0"/>
          <w:numId w:val="1305"/>
        </w:numPr>
        <w:pStyle w:val="Compact"/>
      </w:pPr>
      <w:r>
        <w:t xml:space="preserve">From the next byte onward, both sides speak the WebSocket framing protocol on the same TCP connection. HTTP is gone.</w:t>
      </w:r>
    </w:p>
    <w:p>
      <w:pPr>
        <w:pStyle w:val="SourceCode"/>
      </w:pPr>
      <w:r>
        <w:rPr>
          <w:rStyle w:val="VerbatimChar"/>
        </w:rPr>
        <w:t xml:space="preserve">GET /chat HTTP/1.1</w:t>
      </w:r>
      <w:r>
        <w:br/>
      </w:r>
      <w:r>
        <w:rPr>
          <w:rStyle w:val="VerbatimChar"/>
        </w:rPr>
        <w:t xml:space="preserve">Host: server.example.com</w:t>
      </w:r>
      <w:r>
        <w:br/>
      </w:r>
      <w:r>
        <w:rPr>
          <w:rStyle w:val="VerbatimChar"/>
        </w:rPr>
        <w:t xml:space="preserve">Upgrade: websocket</w:t>
      </w:r>
      <w:r>
        <w:br/>
      </w:r>
      <w:r>
        <w:rPr>
          <w:rStyle w:val="VerbatimChar"/>
        </w:rPr>
        <w:t xml:space="preserve">Connection: Upgrade</w:t>
      </w:r>
      <w:r>
        <w:br/>
      </w:r>
      <w:r>
        <w:rPr>
          <w:rStyle w:val="VerbatimChar"/>
        </w:rPr>
        <w:t xml:space="preserve">Sec-WebSocket-Key: dGhlIHNhbXBsZSBub25jZQ==</w:t>
      </w:r>
      <w:r>
        <w:br/>
      </w:r>
      <w:r>
        <w:rPr>
          <w:rStyle w:val="VerbatimChar"/>
        </w:rPr>
        <w:t xml:space="preserve">Origin: https://example.com</w:t>
      </w:r>
      <w:r>
        <w:br/>
      </w:r>
      <w:r>
        <w:rPr>
          <w:rStyle w:val="VerbatimChar"/>
        </w:rPr>
        <w:t xml:space="preserve">Sec-WebSocket-Version: 13</w:t>
      </w:r>
      <w:r>
        <w:br/>
      </w:r>
      <w:r>
        <w:br/>
      </w:r>
      <w:r>
        <w:rPr>
          <w:rStyle w:val="VerbatimChar"/>
        </w:rPr>
        <w:t xml:space="preserve">HTTP/1.1 101 Switching Protocols</w:t>
      </w:r>
      <w:r>
        <w:br/>
      </w:r>
      <w:r>
        <w:rPr>
          <w:rStyle w:val="VerbatimChar"/>
        </w:rPr>
        <w:t xml:space="preserve">Upgrade: websocket</w:t>
      </w:r>
      <w:r>
        <w:br/>
      </w:r>
      <w:r>
        <w:rPr>
          <w:rStyle w:val="VerbatimChar"/>
        </w:rPr>
        <w:t xml:space="preserve">Connection: Upgrade</w:t>
      </w:r>
      <w:r>
        <w:br/>
      </w:r>
      <w:r>
        <w:rPr>
          <w:rStyle w:val="VerbatimChar"/>
        </w:rPr>
        <w:t xml:space="preserve">Sec-WebSocket-Accept: s3pPLMBiTxaQ9kYGzzhZRbK+xOo=</w:t>
      </w:r>
    </w:p>
    <w:p>
      <w:pPr>
        <w:pStyle w:val="CalloutWarning"/>
      </w:pPr>
      <w:r>
        <w:rPr>
          <w:bCs/>
          <w:b/>
        </w:rPr>
        <w:t xml:space="preserve">WARNING / TRADE-OFF</w:t>
      </w:r>
    </w:p>
    <w:p>
      <w:pPr>
        <w:pStyle w:val="CalloutWarning"/>
      </w:pPr>
      <w:r>
        <w:rPr>
          <w:bCs/>
          <w:b/>
        </w:rPr>
        <w:t xml:space="preserve">Cross-Site WebSocket Hijacking.</w:t>
      </w:r>
      <w:r>
        <w:t xml:space="preserve"> </w:t>
      </w:r>
      <w:r>
        <w:t xml:space="preserve">Browsers attach cookies to the WebSocket handshake but WebSockets are not subject to CORS. If your server authenticates the handshake by cookie and does not check</w:t>
      </w:r>
      <w:r>
        <w:t xml:space="preserve"> </w:t>
      </w:r>
      <w:r>
        <w:rPr>
          <w:rStyle w:val="VerbatimChar"/>
        </w:rPr>
        <w:t xml:space="preserve">Origin</w:t>
      </w:r>
      <w:r>
        <w:t xml:space="preserve"> </w:t>
      </w:r>
      <w:r>
        <w:t xml:space="preserve">against an allow-list, any website the user visits can open an authenticated WebSocket to your service. Check</w:t>
      </w:r>
      <w:r>
        <w:t xml:space="preserve"> </w:t>
      </w:r>
      <w:r>
        <w:rPr>
          <w:rStyle w:val="VerbatimChar"/>
        </w:rPr>
        <w:t xml:space="preserve">Origin</w:t>
      </w:r>
      <w:r>
        <w:t xml:space="preserve">, or authenticate with a short-lived token sent in the first message or in the URL rather than relying on cookies alone.</w:t>
      </w:r>
    </w:p>
    <w:p>
      <w:pPr>
        <w:pStyle w:val="BodyText"/>
      </w:pPr>
      <w:r>
        <w:rPr>
          <w:bCs/>
          <w:b/>
        </w:rPr>
        <w:t xml:space="preserve">HTTP/2 and HTTP/3.</w:t>
      </w:r>
      <w:r>
        <w:t xml:space="preserve"> </w:t>
      </w:r>
      <w:r>
        <w:t xml:space="preserve">RFC 6455’s</w:t>
      </w:r>
      <w:r>
        <w:t xml:space="preserve"> </w:t>
      </w:r>
      <w:r>
        <w:rPr>
          <w:rStyle w:val="VerbatimChar"/>
        </w:rPr>
        <w:t xml:space="preserve">Upgrade</w:t>
      </w:r>
      <w:r>
        <w:t xml:space="preserve"> </w:t>
      </w:r>
      <w:r>
        <w:t xml:space="preserve">mechanism exists only in HTTP/1.1. RFC 8441 defines an</w:t>
      </w:r>
      <w:r>
        <w:t xml:space="preserve"> </w:t>
      </w:r>
      <w:r>
        <w:t xml:space="preserve">“</w:t>
      </w:r>
      <w:r>
        <w:t xml:space="preserve">extended CONNECT</w:t>
      </w:r>
      <w:r>
        <w:t xml:space="preserve">”</w:t>
      </w:r>
      <w:r>
        <w:t xml:space="preserve"> </w:t>
      </w:r>
      <w:r>
        <w:t xml:space="preserve">method that carries a WebSocket over a single HTTP/2 stream, and RFC 9220 does the same for HTTP/3; support across browsers, proxies and servers is uneven (as of 2024), so most deployments still run WebSockets over a dedicated HTTP/1.1-upgraded TCP connection.</w:t>
      </w:r>
    </w:p>
    <w:p>
      <w:pPr>
        <w:pStyle w:val="BodyText"/>
      </w:pPr>
      <w:r>
        <w:rPr>
          <w:bCs/>
          <w:b/>
        </w:rPr>
        <w:t xml:space="preserve">Figure 9.4 — WebSocket opening handshake, message exchange, heartbeat and closing handshake.</w:t>
      </w:r>
    </w:p>
    <w:p>
      <w:pPr>
        <w:pStyle w:val="BodyText"/>
      </w:pPr>
      <w:r>
        <w:drawing>
          <wp:inline>
            <wp:extent cx="5334000" cy="4763657"/>
            <wp:effectExtent b="0" l="0" r="0" t="0"/>
            <wp:docPr descr="" title="" id="1004" name="Picture"/>
            <a:graphic>
              <a:graphicData uri="http://schemas.openxmlformats.org/drawingml/2006/picture">
                <pic:pic>
                  <pic:nvPicPr>
                    <pic:cNvPr descr="/home/user/System-Design/build/.cache/diagrams/3f265556836c.png" id="1005" name="Picture"/>
                    <pic:cNvPicPr>
                      <a:picLocks noChangeArrowheads="1" noChangeAspect="1"/>
                    </pic:cNvPicPr>
                  </pic:nvPicPr>
                  <pic:blipFill>
                    <a:blip r:embed="rId1003"/>
                    <a:stretch>
                      <a:fillRect/>
                    </a:stretch>
                  </pic:blipFill>
                  <pic:spPr bwMode="auto">
                    <a:xfrm>
                      <a:off x="0" y="0"/>
                      <a:ext cx="5334000" cy="4763657"/>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One TCP connection carries the whole session. Only the upgrade request and the</w:t>
      </w:r>
      <w:r>
        <w:t xml:space="preserve"> </w:t>
      </w:r>
      <w:r>
        <w:rPr>
          <w:rStyle w:val="VerbatimChar"/>
        </w:rPr>
        <w:t xml:space="preserve">101</w:t>
      </w:r>
      <w:r>
        <w:t xml:space="preserve"> </w:t>
      </w:r>
      <w:r>
        <w:t xml:space="preserve">response are HTTP; afterward frames flow independently in both directions — the server pushes a chat message unasked, the client sends a typing indicator without waiting. Client frames are masked, server frames are not (§9.6.4). Ping/Pong is a protocol-level liveness check. In the closing handshake each side sends one Close frame and the server closes TCP first, so</w:t>
      </w:r>
      <w:r>
        <w:t xml:space="preserve"> </w:t>
      </w:r>
      <w:r>
        <w:rPr>
          <w:rStyle w:val="VerbatimChar"/>
        </w:rPr>
        <w:t xml:space="preserve">TIME_WAIT</w:t>
      </w:r>
      <w:r>
        <w:t xml:space="preserve"> </w:t>
      </w:r>
      <w:r>
        <w:t xml:space="preserve">(§7.7) accumulates on the server. Failure points: proxies that do not understand</w:t>
      </w:r>
      <w:r>
        <w:t xml:space="preserve"> </w:t>
      </w:r>
      <w:r>
        <w:rPr>
          <w:rStyle w:val="VerbatimChar"/>
        </w:rPr>
        <w:t xml:space="preserve">Upgrade</w:t>
      </w:r>
      <w:r>
        <w:t xml:space="preserve">, idle timeouts, and abrupt TCP loss with no Close frame (reported locally as 1006). The server is stateful for the connection’s lifetime, which drives §9.9.</w:t>
      </w:r>
    </w:p>
    <w:bookmarkEnd w:id="1006"/>
    <w:bookmarkStart w:id="1007" w:name="code-example-8"/>
    <w:p>
      <w:pPr>
        <w:pStyle w:val="Heading4"/>
      </w:pPr>
      <w:r>
        <w:t xml:space="preserve">Code example</w:t>
      </w:r>
    </w:p>
    <w:p>
      <w:pPr>
        <w:pStyle w:val="SourceCode"/>
      </w:pPr>
      <w:r>
        <w:rPr>
          <w:rStyle w:val="ImportTok"/>
        </w:rPr>
        <w:t xml:space="preserve">import</w:t>
      </w:r>
      <w:r>
        <w:rPr>
          <w:rStyle w:val="NormalTok"/>
        </w:rPr>
        <w:t xml:space="preserve"> base64</w:t>
      </w:r>
      <w:r>
        <w:br/>
      </w:r>
      <w:r>
        <w:rPr>
          <w:rStyle w:val="ImportTok"/>
        </w:rPr>
        <w:t xml:space="preserve">import</w:t>
      </w:r>
      <w:r>
        <w:rPr>
          <w:rStyle w:val="NormalTok"/>
        </w:rPr>
        <w:t xml:space="preserve"> hashlib</w:t>
      </w:r>
      <w:r>
        <w:br/>
      </w:r>
      <w:r>
        <w:br/>
      </w:r>
      <w:r>
        <w:rPr>
          <w:rStyle w:val="NormalTok"/>
        </w:rPr>
        <w:t xml:space="preserve">GUID </w:t>
      </w:r>
      <w:r>
        <w:rPr>
          <w:rStyle w:val="OperatorTok"/>
        </w:rPr>
        <w:t xml:space="preserve">=</w:t>
      </w:r>
      <w:r>
        <w:rPr>
          <w:rStyle w:val="NormalTok"/>
        </w:rPr>
        <w:t xml:space="preserve"> </w:t>
      </w:r>
      <w:r>
        <w:rPr>
          <w:rStyle w:val="StringTok"/>
        </w:rPr>
        <w:t xml:space="preserve">"258EAFA5-E914-47DA-95CA-C5AB0DC85B11"</w:t>
      </w:r>
      <w:r>
        <w:rPr>
          <w:rStyle w:val="NormalTok"/>
        </w:rPr>
        <w:t xml:space="preserve">  </w:t>
      </w:r>
      <w:r>
        <w:rPr>
          <w:rStyle w:val="CommentTok"/>
        </w:rPr>
        <w:t xml:space="preserve"># fixed by RFC 6455</w:t>
      </w:r>
      <w:r>
        <w:br/>
      </w:r>
      <w:r>
        <w:br/>
      </w:r>
      <w:r>
        <w:rPr>
          <w:rStyle w:val="KeywordTok"/>
        </w:rPr>
        <w:t xml:space="preserve">def</w:t>
      </w:r>
      <w:r>
        <w:rPr>
          <w:rStyle w:val="NormalTok"/>
        </w:rPr>
        <w:t xml:space="preserve"> accept_key(sec_websocket_key: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"""Compute Sec-WebSocket-Accept from the client's Sec-WebSocket-Key."""</w:t>
      </w:r>
      <w:r>
        <w:br/>
      </w:r>
      <w:r>
        <w:rPr>
          <w:rStyle w:val="NormalTok"/>
        </w:rPr>
        <w:t xml:space="preserve">    digest </w:t>
      </w:r>
      <w:r>
        <w:rPr>
          <w:rStyle w:val="OperatorTok"/>
        </w:rPr>
        <w:t xml:space="preserve">=</w:t>
      </w:r>
      <w:r>
        <w:rPr>
          <w:rStyle w:val="NormalTok"/>
        </w:rPr>
        <w:t xml:space="preserve"> hashlib.sha1((sec_websocket_key </w:t>
      </w:r>
      <w:r>
        <w:rPr>
          <w:rStyle w:val="OperatorTok"/>
        </w:rPr>
        <w:t xml:space="preserve">+</w:t>
      </w:r>
      <w:r>
        <w:rPr>
          <w:rStyle w:val="NormalTok"/>
        </w:rPr>
        <w:t xml:space="preserve"> GUID).encode(</w:t>
      </w:r>
      <w:r>
        <w:rPr>
          <w:rStyle w:val="StringTok"/>
        </w:rPr>
        <w:t xml:space="preserve">"ascii"</w:t>
      </w:r>
      <w:r>
        <w:rPr>
          <w:rStyle w:val="NormalTok"/>
        </w:rPr>
        <w:t xml:space="preserve">)).digest()</w:t>
      </w:r>
      <w:r>
        <w:br/>
      </w:r>
      <w:r>
        <w:rPr>
          <w:rStyle w:val="NormalTok"/>
        </w:rPr>
        <w:t xml:space="preserve">    </w:t>
      </w:r>
      <w:r>
        <w:rPr>
          <w:rStyle w:val="ControlFlowTok"/>
        </w:rPr>
        <w:t xml:space="preserve">return</w:t>
      </w:r>
      <w:r>
        <w:rPr>
          <w:rStyle w:val="NormalTok"/>
        </w:rPr>
        <w:t xml:space="preserve"> base64.b64encode(digest).decode(</w:t>
      </w:r>
      <w:r>
        <w:rPr>
          <w:rStyle w:val="StringTok"/>
        </w:rPr>
        <w:t xml:space="preserve">"ascii"</w:t>
      </w:r>
      <w:r>
        <w:rPr>
          <w:rStyle w:val="NormalTok"/>
        </w:rPr>
        <w:t xml:space="preserve">)</w:t>
      </w:r>
      <w:r>
        <w:br/>
      </w:r>
      <w:r>
        <w:br/>
      </w:r>
      <w:r>
        <w:rPr>
          <w:rStyle w:val="BuiltInTok"/>
        </w:rPr>
        <w:t xml:space="preserve">print</w:t>
      </w:r>
      <w:r>
        <w:rPr>
          <w:rStyle w:val="NormalTok"/>
        </w:rPr>
        <w:t xml:space="preserve">(accept_key(</w:t>
      </w:r>
      <w:r>
        <w:rPr>
          <w:rStyle w:val="StringTok"/>
        </w:rPr>
        <w:t xml:space="preserve">"dGhlIHNhbXBsZSBub25jZQ=="</w:t>
      </w:r>
      <w:r>
        <w:rPr>
          <w:rStyle w:val="NormalTok"/>
        </w:rPr>
        <w:t xml:space="preserve">))   </w:t>
      </w:r>
      <w:r>
        <w:rPr>
          <w:rStyle w:val="CommentTok"/>
        </w:rPr>
        <w:t xml:space="preserve"># s3pPLMBiTxaQ9kYGzzhZRbK+xOo=</w:t>
      </w:r>
    </w:p>
    <w:p>
      <w:pPr>
        <w:pStyle w:val="FirstParagraph"/>
      </w:pPr>
      <w:r>
        <w:t xml:space="preserve">What to notice: the output matches the example in RFC 6455 exactly. SHA-1’s known collision weaknesses do not matter here because the value is a protocol-confirmation nonce, not a security signature.</w:t>
      </w:r>
    </w:p>
    <w:bookmarkEnd w:id="1007"/>
    <w:bookmarkEnd w:id="1008"/>
    <w:bookmarkStart w:id="1012" w:name="frames"/>
    <w:p>
      <w:pPr>
        <w:pStyle w:val="Heading3"/>
      </w:pPr>
      <w:r>
        <w:t xml:space="preserve">9.6.3 Frames</w:t>
      </w:r>
    </w:p>
    <w:bookmarkStart w:id="1009" w:name="how-it-works-internally-31"/>
    <w:p>
      <w:pPr>
        <w:pStyle w:val="Heading4"/>
      </w:pPr>
      <w:r>
        <w:t xml:space="preserve">How it works internally</w:t>
      </w:r>
    </w:p>
    <w:p>
      <w:pPr>
        <w:pStyle w:val="FirstParagraph"/>
      </w:pPr>
      <w:r>
        <w:t xml:space="preserve">After the handshake, every message is sent as one or more</w:t>
      </w:r>
      <w:r>
        <w:t xml:space="preserve"> </w:t>
      </w:r>
      <w:r>
        <w:rPr>
          <w:bCs/>
          <w:b/>
        </w:rPr>
        <w:t xml:space="preserve">frames</w:t>
      </w:r>
      <w:r>
        <w:t xml:space="preserve">. The header is at least 2 bytes:</w:t>
      </w:r>
    </w:p>
    <w:p>
      <w:pPr>
        <w:pStyle w:val="BodyText"/>
      </w:pPr>
      <w:r>
        <w:rPr>
          <w:bCs/>
          <w:b/>
        </w:rPr>
        <w:t xml:space="preserve">Table 9.5 — WebSocket frame header fields (RFC 6455 §5.2).</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Size</w:t>
            </w:r>
          </w:p>
        </w:tc>
        <w:tc>
          <w:tcPr/>
          <w:p>
            <w:pPr>
              <w:pStyle w:val="Compact"/>
              <w:jc w:val="left"/>
            </w:pPr>
            <w:r>
              <w:t xml:space="preserve">Meaning</w:t>
            </w:r>
          </w:p>
        </w:tc>
      </w:tr>
      <w:tr>
        <w:tc>
          <w:tcPr/>
          <w:p>
            <w:pPr>
              <w:pStyle w:val="Compact"/>
              <w:jc w:val="left"/>
            </w:pPr>
            <w:r>
              <w:t xml:space="preserve">FIN</w:t>
            </w:r>
          </w:p>
        </w:tc>
        <w:tc>
          <w:tcPr/>
          <w:p>
            <w:pPr>
              <w:pStyle w:val="Compact"/>
              <w:jc w:val="left"/>
            </w:pPr>
            <w:r>
              <w:t xml:space="preserve">1 bit</w:t>
            </w:r>
          </w:p>
        </w:tc>
        <w:tc>
          <w:tcPr/>
          <w:p>
            <w:pPr>
              <w:pStyle w:val="Compact"/>
              <w:jc w:val="left"/>
            </w:pPr>
            <w:r>
              <w:t xml:space="preserve">1 = this is the final fragment of a message</w:t>
            </w:r>
          </w:p>
        </w:tc>
      </w:tr>
      <w:tr>
        <w:tc>
          <w:tcPr/>
          <w:p>
            <w:pPr>
              <w:pStyle w:val="Compact"/>
              <w:jc w:val="left"/>
            </w:pPr>
            <w:r>
              <w:t xml:space="preserve">RSV1–3</w:t>
            </w:r>
          </w:p>
        </w:tc>
        <w:tc>
          <w:tcPr/>
          <w:p>
            <w:pPr>
              <w:pStyle w:val="Compact"/>
              <w:jc w:val="left"/>
            </w:pPr>
            <w:r>
              <w:t xml:space="preserve">3 bits</w:t>
            </w:r>
          </w:p>
        </w:tc>
        <w:tc>
          <w:tcPr/>
          <w:p>
            <w:pPr>
              <w:pStyle w:val="Compact"/>
              <w:jc w:val="left"/>
            </w:pPr>
            <w:r>
              <w:t xml:space="preserve">Reserved for extensions (RSV1 marks a compressed message under</w:t>
            </w:r>
            <w:r>
              <w:t xml:space="preserve"> </w:t>
            </w:r>
            <w:r>
              <w:rPr>
                <w:rStyle w:val="VerbatimChar"/>
              </w:rPr>
              <w:t xml:space="preserve">permessage-deflate</w:t>
            </w:r>
            <w:r>
              <w:t xml:space="preserve">)</w:t>
            </w:r>
          </w:p>
        </w:tc>
      </w:tr>
      <w:tr>
        <w:tc>
          <w:tcPr/>
          <w:p>
            <w:pPr>
              <w:pStyle w:val="Compact"/>
              <w:jc w:val="left"/>
            </w:pPr>
            <w:r>
              <w:t xml:space="preserve">Opcode</w:t>
            </w:r>
          </w:p>
        </w:tc>
        <w:tc>
          <w:tcPr/>
          <w:p>
            <w:pPr>
              <w:pStyle w:val="Compact"/>
              <w:jc w:val="left"/>
            </w:pPr>
            <w:r>
              <w:t xml:space="preserve">4 bits</w:t>
            </w:r>
          </w:p>
        </w:tc>
        <w:tc>
          <w:tcPr/>
          <w:p>
            <w:pPr>
              <w:pStyle w:val="Compact"/>
              <w:jc w:val="left"/>
            </w:pPr>
            <w:r>
              <w:t xml:space="preserve">Frame type (Table 9.6)</w:t>
            </w:r>
          </w:p>
        </w:tc>
      </w:tr>
      <w:tr>
        <w:tc>
          <w:tcPr/>
          <w:p>
            <w:pPr>
              <w:pStyle w:val="Compact"/>
              <w:jc w:val="left"/>
            </w:pPr>
            <w:r>
              <w:t xml:space="preserve">MASK</w:t>
            </w:r>
          </w:p>
        </w:tc>
        <w:tc>
          <w:tcPr/>
          <w:p>
            <w:pPr>
              <w:pStyle w:val="Compact"/>
              <w:jc w:val="left"/>
            </w:pPr>
            <w:r>
              <w:t xml:space="preserve">1 bit</w:t>
            </w:r>
          </w:p>
        </w:tc>
        <w:tc>
          <w:tcPr/>
          <w:p>
            <w:pPr>
              <w:pStyle w:val="Compact"/>
              <w:jc w:val="left"/>
            </w:pPr>
            <w:r>
              <w:t xml:space="preserve">1 = payload is masked; must be 1 for client→server, 0 for server→client</w:t>
            </w:r>
          </w:p>
        </w:tc>
      </w:tr>
      <w:tr>
        <w:tc>
          <w:tcPr/>
          <w:p>
            <w:pPr>
              <w:pStyle w:val="Compact"/>
              <w:jc w:val="left"/>
            </w:pPr>
            <w:r>
              <w:t xml:space="preserve">Payload length</w:t>
            </w:r>
          </w:p>
        </w:tc>
        <w:tc>
          <w:tcPr/>
          <w:p>
            <w:pPr>
              <w:pStyle w:val="Compact"/>
              <w:jc w:val="left"/>
            </w:pPr>
            <w:r>
              <w:t xml:space="preserve">7 bits</w:t>
            </w:r>
          </w:p>
        </w:tc>
        <w:tc>
          <w:tcPr/>
          <w:p>
            <w:pPr>
              <w:pStyle w:val="Compact"/>
              <w:jc w:val="left"/>
            </w:pPr>
            <w:r>
              <w:t xml:space="preserve">0–125 = actual length; 126 = next 2 bytes hold length; 127 = next 8 bytes hold length</w:t>
            </w:r>
          </w:p>
        </w:tc>
      </w:tr>
      <w:tr>
        <w:tc>
          <w:tcPr/>
          <w:p>
            <w:pPr>
              <w:pStyle w:val="Compact"/>
              <w:jc w:val="left"/>
            </w:pPr>
            <w:r>
              <w:t xml:space="preserve">Extended length</w:t>
            </w:r>
          </w:p>
        </w:tc>
        <w:tc>
          <w:tcPr/>
          <w:p>
            <w:pPr>
              <w:pStyle w:val="Compact"/>
              <w:jc w:val="left"/>
            </w:pPr>
            <w:r>
              <w:t xml:space="preserve">0, 2 or 8 bytes</w:t>
            </w:r>
          </w:p>
        </w:tc>
        <w:tc>
          <w:tcPr/>
          <w:p>
            <w:pPr>
              <w:pStyle w:val="Compact"/>
              <w:jc w:val="left"/>
            </w:pPr>
            <w:r>
              <w:t xml:space="preserve">Present when length field is 126 or 127</w:t>
            </w:r>
          </w:p>
        </w:tc>
      </w:tr>
      <w:tr>
        <w:tc>
          <w:tcPr/>
          <w:p>
            <w:pPr>
              <w:pStyle w:val="Compact"/>
              <w:jc w:val="left"/>
            </w:pPr>
            <w:r>
              <w:t xml:space="preserve">Masking key</w:t>
            </w:r>
          </w:p>
        </w:tc>
        <w:tc>
          <w:tcPr/>
          <w:p>
            <w:pPr>
              <w:pStyle w:val="Compact"/>
              <w:jc w:val="left"/>
            </w:pPr>
            <w:r>
              <w:t xml:space="preserve">0 or 4 bytes</w:t>
            </w:r>
          </w:p>
        </w:tc>
        <w:tc>
          <w:tcPr/>
          <w:p>
            <w:pPr>
              <w:pStyle w:val="Compact"/>
              <w:jc w:val="left"/>
            </w:pPr>
            <w:r>
              <w:t xml:space="preserve">Present when MASK = 1</w:t>
            </w:r>
          </w:p>
        </w:tc>
      </w:tr>
      <w:tr>
        <w:tc>
          <w:tcPr/>
          <w:p>
            <w:pPr>
              <w:pStyle w:val="Compact"/>
              <w:jc w:val="left"/>
            </w:pPr>
            <w:r>
              <w:t xml:space="preserve">Payload</w:t>
            </w:r>
          </w:p>
        </w:tc>
        <w:tc>
          <w:tcPr/>
          <w:p>
            <w:pPr>
              <w:pStyle w:val="Compact"/>
              <w:jc w:val="left"/>
            </w:pPr>
            <w:r>
              <w:t xml:space="preserve">variable</w:t>
            </w:r>
          </w:p>
        </w:tc>
        <w:tc>
          <w:tcPr/>
          <w:p>
            <w:pPr>
              <w:pStyle w:val="Compact"/>
              <w:jc w:val="left"/>
            </w:pPr>
            <w:r>
              <w:t xml:space="preserve">Application data (after unmasking)</w:t>
            </w:r>
          </w:p>
        </w:tc>
      </w:tr>
    </w:tbl>
    <w:p>
      <w:pPr>
        <w:pStyle w:val="BodyText"/>
      </w:pPr>
      <w:r>
        <w:rPr>
          <w:bCs/>
          <w:b/>
        </w:rPr>
        <w:t xml:space="preserve">Table 9.6 — WebSocket opcodes.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Opcode</w:t>
            </w:r>
          </w:p>
        </w:tc>
        <w:tc>
          <w:tcPr/>
          <w:p>
            <w:pPr>
              <w:pStyle w:val="Compact"/>
              <w:jc w:val="left"/>
            </w:pPr>
            <w:r>
              <w:t xml:space="preserve">Type</w:t>
            </w:r>
          </w:p>
        </w:tc>
        <w:tc>
          <w:tcPr/>
          <w:p>
            <w:pPr>
              <w:pStyle w:val="Compact"/>
              <w:jc w:val="left"/>
            </w:pPr>
            <w:r>
              <w:t xml:space="preserve">Notes</w:t>
            </w:r>
          </w:p>
        </w:tc>
      </w:tr>
      <w:tr>
        <w:tc>
          <w:tcPr/>
          <w:p>
            <w:pPr>
              <w:pStyle w:val="Compact"/>
              <w:jc w:val="left"/>
            </w:pPr>
            <w:r>
              <w:t xml:space="preserve">0x0</w:t>
            </w:r>
          </w:p>
        </w:tc>
        <w:tc>
          <w:tcPr/>
          <w:p>
            <w:pPr>
              <w:pStyle w:val="Compact"/>
              <w:jc w:val="left"/>
            </w:pPr>
            <w:r>
              <w:t xml:space="preserve">Continuation</w:t>
            </w:r>
          </w:p>
        </w:tc>
        <w:tc>
          <w:tcPr/>
          <w:p>
            <w:pPr>
              <w:pStyle w:val="Compact"/>
              <w:jc w:val="left"/>
            </w:pPr>
            <w:r>
              <w:t xml:space="preserve">Subsequent fragment of a fragmented message</w:t>
            </w:r>
          </w:p>
        </w:tc>
      </w:tr>
      <w:tr>
        <w:tc>
          <w:tcPr/>
          <w:p>
            <w:pPr>
              <w:pStyle w:val="Compact"/>
              <w:jc w:val="left"/>
            </w:pPr>
            <w:r>
              <w:t xml:space="preserve">0x1</w:t>
            </w:r>
          </w:p>
        </w:tc>
        <w:tc>
          <w:tcPr/>
          <w:p>
            <w:pPr>
              <w:pStyle w:val="Compact"/>
              <w:jc w:val="left"/>
            </w:pPr>
            <w:r>
              <w:t xml:space="preserve">Text</w:t>
            </w:r>
          </w:p>
        </w:tc>
        <w:tc>
          <w:tcPr/>
          <w:p>
            <w:pPr>
              <w:pStyle w:val="Compact"/>
              <w:jc w:val="left"/>
            </w:pPr>
            <w:r>
              <w:t xml:space="preserve">Payload must be valid UTF-8</w:t>
            </w:r>
          </w:p>
        </w:tc>
      </w:tr>
      <w:tr>
        <w:tc>
          <w:tcPr/>
          <w:p>
            <w:pPr>
              <w:pStyle w:val="Compact"/>
              <w:jc w:val="left"/>
            </w:pPr>
            <w:r>
              <w:t xml:space="preserve">0x2</w:t>
            </w:r>
          </w:p>
        </w:tc>
        <w:tc>
          <w:tcPr/>
          <w:p>
            <w:pPr>
              <w:pStyle w:val="Compact"/>
              <w:jc w:val="left"/>
            </w:pPr>
            <w:r>
              <w:t xml:space="preserve">Binary</w:t>
            </w:r>
          </w:p>
        </w:tc>
        <w:tc>
          <w:tcPr/>
          <w:p>
            <w:pPr>
              <w:pStyle w:val="Compact"/>
              <w:jc w:val="left"/>
            </w:pPr>
            <w:r>
              <w:t xml:space="preserve">Arbitrary bytes (Protocol Buffers, MessagePack, media)</w:t>
            </w:r>
          </w:p>
        </w:tc>
      </w:tr>
      <w:tr>
        <w:tc>
          <w:tcPr/>
          <w:p>
            <w:pPr>
              <w:pStyle w:val="Compact"/>
              <w:jc w:val="left"/>
            </w:pPr>
            <w:r>
              <w:t xml:space="preserve">0x8</w:t>
            </w:r>
          </w:p>
        </w:tc>
        <w:tc>
          <w:tcPr/>
          <w:p>
            <w:pPr>
              <w:pStyle w:val="Compact"/>
              <w:jc w:val="left"/>
            </w:pPr>
            <w:r>
              <w:t xml:space="preserve">Close</w:t>
            </w:r>
          </w:p>
        </w:tc>
        <w:tc>
          <w:tcPr/>
          <w:p>
            <w:pPr>
              <w:pStyle w:val="Compact"/>
              <w:jc w:val="left"/>
            </w:pPr>
            <w:r>
              <w:t xml:space="preserve">Optional 2-byte status code + UTF-8 reason</w:t>
            </w:r>
          </w:p>
        </w:tc>
      </w:tr>
      <w:tr>
        <w:tc>
          <w:tcPr/>
          <w:p>
            <w:pPr>
              <w:pStyle w:val="Compact"/>
              <w:jc w:val="left"/>
            </w:pPr>
            <w:r>
              <w:t xml:space="preserve">0x9</w:t>
            </w:r>
          </w:p>
        </w:tc>
        <w:tc>
          <w:tcPr/>
          <w:p>
            <w:pPr>
              <w:pStyle w:val="Compact"/>
              <w:jc w:val="left"/>
            </w:pPr>
            <w:r>
              <w:t xml:space="preserve">Ping</w:t>
            </w:r>
          </w:p>
        </w:tc>
        <w:tc>
          <w:tcPr/>
          <w:p>
            <w:pPr>
              <w:pStyle w:val="Compact"/>
              <w:jc w:val="left"/>
            </w:pPr>
            <w:r>
              <w:t xml:space="preserve">Receiver must answer with a Pong carrying the same payload</w:t>
            </w:r>
          </w:p>
        </w:tc>
      </w:tr>
      <w:tr>
        <w:tc>
          <w:tcPr/>
          <w:p>
            <w:pPr>
              <w:pStyle w:val="Compact"/>
              <w:jc w:val="left"/>
            </w:pPr>
            <w:r>
              <w:t xml:space="preserve">0xA</w:t>
            </w:r>
          </w:p>
        </w:tc>
        <w:tc>
          <w:tcPr/>
          <w:p>
            <w:pPr>
              <w:pStyle w:val="Compact"/>
              <w:jc w:val="left"/>
            </w:pPr>
            <w:r>
              <w:t xml:space="preserve">Pong</w:t>
            </w:r>
          </w:p>
        </w:tc>
        <w:tc>
          <w:tcPr/>
          <w:p>
            <w:pPr>
              <w:pStyle w:val="Compact"/>
              <w:jc w:val="left"/>
            </w:pPr>
            <w:r>
              <w:t xml:space="preserve">Reply to Ping, or unsolicited one-way heartbeat</w:t>
            </w:r>
          </w:p>
        </w:tc>
      </w:tr>
    </w:tbl>
    <w:p>
      <w:pPr>
        <w:pStyle w:val="BodyText"/>
      </w:pPr>
      <w:r>
        <w:rPr>
          <w:bCs/>
          <w:b/>
        </w:rPr>
        <w:t xml:space="preserve">Control frames</w:t>
      </w:r>
      <w:r>
        <w:t xml:space="preserve"> </w:t>
      </w:r>
      <w:r>
        <w:t xml:space="preserve">(Close, Ping, Pong) carry at most 125 bytes of payload, must not be fragmented, and may be injected</w:t>
      </w:r>
      <w:r>
        <w:t xml:space="preserve"> </w:t>
      </w:r>
      <w:r>
        <w:rPr>
          <w:iCs/>
          <w:i/>
        </w:rPr>
        <w:t xml:space="preserve">between</w:t>
      </w:r>
      <w:r>
        <w:t xml:space="preserve"> </w:t>
      </w:r>
      <w:r>
        <w:t xml:space="preserve">the fragments of a large data message — so a 100 MB upload does not delay a heartbeat.</w:t>
      </w:r>
      <w:r>
        <w:t xml:space="preserve"> </w:t>
      </w:r>
      <w:r>
        <w:rPr>
          <w:bCs/>
          <w:b/>
        </w:rPr>
        <w:t xml:space="preserve">Fragmentation</w:t>
      </w:r>
      <w:r>
        <w:t xml:space="preserve"> </w:t>
      </w:r>
      <w:r>
        <w:t xml:space="preserve">lets a sender stream a message of unknown length: the first frame has opcode Text or Binary with FIN = 0, middle frames use opcode Continuation, and the last frame sets FIN = 1. Note that WebSocket gives you</w:t>
      </w:r>
      <w:r>
        <w:t xml:space="preserve"> </w:t>
      </w:r>
      <w:r>
        <w:rPr>
          <w:iCs/>
          <w:i/>
        </w:rPr>
        <w:t xml:space="preserve">messages</w:t>
      </w:r>
      <w:r>
        <w:t xml:space="preserve">, not a byte stream: the receiver’s API delivers whole messages, which is one of its key conveniences over raw TCP.</w:t>
      </w:r>
    </w:p>
    <w:bookmarkEnd w:id="1009"/>
    <w:bookmarkStart w:id="1010" w:name="mathematical-foundations-10"/>
    <w:p>
      <w:pPr>
        <w:pStyle w:val="Heading4"/>
      </w:pPr>
      <w:r>
        <w:t xml:space="preserve">Mathematical foundations</w:t>
      </w:r>
    </w:p>
    <w:p>
      <w:pPr>
        <w:pStyle w:val="CalloutFormula"/>
      </w:pPr>
      <w:r>
        <w:rPr>
          <w:bCs/>
          <w:b/>
        </w:rPr>
        <w:t xml:space="preserve">FORMULA</w:t>
      </w:r>
    </w:p>
    <w:p>
      <w:pPr>
        <w:pStyle w:val="CalloutFormula"/>
      </w:pPr>
      <w:r>
        <w:rPr>
          <w:bCs/>
          <w:b/>
        </w:rPr>
        <w:t xml:space="preserve">WebSocket framing overhead per frame</w:t>
      </w:r>
    </w:p>
    <w:p>
      <w:pPr>
        <w:pStyle w:val="CalloutFormula"/>
      </w:pPr>
      <m:oMathPara>
        <m:oMathParaPr>
          <m:jc m:val="center"/>
        </m:oMathParaPr>
        <m:oMath>
          <m:r>
            <m:t>H</m:t>
          </m:r>
          <m:r>
            <m:rPr>
              <m:sty m:val="p"/>
            </m:rPr>
            <m:t>=</m:t>
          </m:r>
          <m:r>
            <m:t>2</m:t>
          </m:r>
          <m:r>
            <m:rPr>
              <m:sty m:val="p"/>
            </m:rPr>
            <m:t>+</m:t>
          </m:r>
          <m:sSub>
            <m:e>
              <m:r>
                <m:t>L</m:t>
              </m:r>
            </m:e>
            <m:sub>
              <m:r>
                <m:rPr>
                  <m:nor/>
                  <m:sty m:val="p"/>
                </m:rPr>
                <m:t>ext</m:t>
              </m:r>
            </m:sub>
          </m:sSub>
          <m:r>
            <m:rPr>
              <m:sty m:val="p"/>
            </m:rPr>
            <m:t>+</m:t>
          </m:r>
          <m:r>
            <m:t>4</m:t>
          </m:r>
          <m:r>
            <m:t>m</m:t>
          </m:r>
          <m:r>
            <m:rPr>
              <m:sty m:val="p"/>
            </m:rPr>
            <m:t>,</m:t>
          </m:r>
          <m:r>
            <m:t>  </m:t>
          </m:r>
          <m:sSub>
            <m:e>
              <m:r>
                <m:t>L</m:t>
              </m:r>
            </m:e>
            <m:sub>
              <m:r>
                <m:rPr>
                  <m:nor/>
                  <m:sty m:val="p"/>
                </m:rPr>
                <m:t>ext</m:t>
              </m:r>
            </m:sub>
          </m:sSub>
          <m:r>
            <m:rPr>
              <m:sty m:val="p"/>
            </m:rPr>
            <m:t>=</m:t>
          </m:r>
          <m:d>
            <m:dPr>
              <m:begChr m:val="{"/>
              <m:endChr m:val=""/>
              <m:sepChr m:val=""/>
              <m:grow/>
            </m:dPr>
            <m:e>
              <m:m>
                <m:mPr>
                  <m:baseJc m:val="center"/>
                  <m:plcHide m:val="on"/>
                  <m:mcs>
                    <m:mc>
                      <m:mcPr>
                        <m:mcJc m:val="left"/>
                        <m:count m:val="1"/>
                      </m:mcPr>
                    </m:mc>
                    <m:mc>
                      <m:mcPr>
                        <m:mcJc m:val="left"/>
                        <m:count m:val="1"/>
                      </m:mcPr>
                    </m:mc>
                  </m:mcs>
                </m:mPr>
                <m:mr>
                  <m:e>
                    <m:r>
                      <m:t>0</m:t>
                    </m:r>
                  </m:e>
                  <m:e>
                    <m:r>
                      <m:t>n</m:t>
                    </m:r>
                    <m:r>
                      <m:rPr>
                        <m:sty m:val="p"/>
                      </m:rPr>
                      <m:t>≤</m:t>
                    </m:r>
                    <m:r>
                      <m:t>125</m:t>
                    </m:r>
                  </m:e>
                </m:mr>
                <m:mr>
                  <m:e>
                    <m:r>
                      <m:t>2</m:t>
                    </m:r>
                  </m:e>
                  <m:e>
                    <m:r>
                      <m:t>126</m:t>
                    </m:r>
                    <m:r>
                      <m:rPr>
                        <m:sty m:val="p"/>
                      </m:rPr>
                      <m:t>≤</m:t>
                    </m:r>
                    <m:r>
                      <m:t>n</m:t>
                    </m:r>
                    <m:r>
                      <m:rPr>
                        <m:sty m:val="p"/>
                      </m:rPr>
                      <m:t>≤</m:t>
                    </m:r>
                    <m:r>
                      <m:t>65</m:t>
                    </m:r>
                    <m:r>
                      <m:rPr>
                        <m:sty m:val="p"/>
                      </m:rPr>
                      <m:t>,</m:t>
                    </m:r>
                    <m:r>
                      <m:t>535</m:t>
                    </m:r>
                  </m:e>
                </m:mr>
                <m:mr>
                  <m:e>
                    <m:r>
                      <m:t>8</m:t>
                    </m:r>
                  </m:e>
                  <m:e>
                    <m:r>
                      <m:t>n</m:t>
                    </m:r>
                    <m:r>
                      <m:rPr>
                        <m:sty m:val="p"/>
                      </m:rPr>
                      <m:t>≥</m:t>
                    </m:r>
                    <m:r>
                      <m:t>65</m:t>
                    </m:r>
                    <m:r>
                      <m:rPr>
                        <m:sty m:val="p"/>
                      </m:rPr>
                      <m:t>,</m:t>
                    </m:r>
                    <m:r>
                      <m:t>536</m:t>
                    </m:r>
                  </m:e>
                </m:mr>
              </m:m>
            </m:e>
          </m:d>
        </m:oMath>
      </m:oMathPara>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H</m:t>
              </m:r>
            </m:oMath>
          </w:p>
        </w:tc>
        <w:tc>
          <w:tcPr/>
          <w:p>
            <w:pPr>
              <w:pStyle w:val="Compact"/>
              <w:jc w:val="left"/>
            </w:pPr>
            <w:r>
              <w:t xml:space="preserve">Header bytes per frame</w:t>
            </w:r>
          </w:p>
        </w:tc>
        <w:tc>
          <w:tcPr/>
          <w:p>
            <w:pPr>
              <w:pStyle w:val="Compact"/>
              <w:jc w:val="left"/>
            </w:pPr>
            <w:r>
              <w:t xml:space="preserve">bytes</w:t>
            </w:r>
          </w:p>
        </w:tc>
      </w:tr>
      <w:tr>
        <w:tc>
          <w:tcPr/>
          <w:p>
            <w:pPr>
              <w:pStyle w:val="Compact"/>
              <w:jc w:val="left"/>
            </w:pPr>
            <m:oMath>
              <m:r>
                <m:t>n</m:t>
              </m:r>
            </m:oMath>
          </w:p>
        </w:tc>
        <w:tc>
          <w:tcPr/>
          <w:p>
            <w:pPr>
              <w:pStyle w:val="Compact"/>
              <w:jc w:val="left"/>
            </w:pPr>
            <w:r>
              <w:t xml:space="preserve">Payload length</w:t>
            </w:r>
          </w:p>
        </w:tc>
        <w:tc>
          <w:tcPr/>
          <w:p>
            <w:pPr>
              <w:pStyle w:val="Compact"/>
              <w:jc w:val="left"/>
            </w:pPr>
            <w:r>
              <w:t xml:space="preserve">bytes</w:t>
            </w:r>
          </w:p>
        </w:tc>
      </w:tr>
      <w:tr>
        <w:tc>
          <w:tcPr/>
          <w:p>
            <w:pPr>
              <w:pStyle w:val="Compact"/>
              <w:jc w:val="left"/>
            </w:pPr>
            <m:oMath>
              <m:sSub>
                <m:e>
                  <m:r>
                    <m:t>L</m:t>
                  </m:r>
                </m:e>
                <m:sub>
                  <m:r>
                    <m:rPr>
                      <m:nor/>
                      <m:sty m:val="p"/>
                    </m:rPr>
                    <m:t>ext</m:t>
                  </m:r>
                </m:sub>
              </m:sSub>
            </m:oMath>
          </w:p>
        </w:tc>
        <w:tc>
          <w:tcPr/>
          <w:p>
            <w:pPr>
              <w:pStyle w:val="Compact"/>
              <w:jc w:val="left"/>
            </w:pPr>
            <w:r>
              <w:t xml:space="preserve">Extended-length bytes</w:t>
            </w:r>
          </w:p>
        </w:tc>
        <w:tc>
          <w:tcPr/>
          <w:p>
            <w:pPr>
              <w:pStyle w:val="Compact"/>
              <w:jc w:val="left"/>
            </w:pPr>
            <w:r>
              <w:t xml:space="preserve">bytes</w:t>
            </w:r>
          </w:p>
        </w:tc>
      </w:tr>
      <w:tr>
        <w:tc>
          <w:tcPr/>
          <w:p>
            <w:pPr>
              <w:pStyle w:val="Compact"/>
              <w:jc w:val="left"/>
            </w:pPr>
            <m:oMath>
              <m:r>
                <m:t>m</m:t>
              </m:r>
            </m:oMath>
          </w:p>
        </w:tc>
        <w:tc>
          <w:tcPr/>
          <w:p>
            <w:pPr>
              <w:pStyle w:val="Compact"/>
              <w:jc w:val="left"/>
            </w:pPr>
            <w:r>
              <w:t xml:space="preserve">1 if masked (client→server), 0 otherwise</w:t>
            </w:r>
          </w:p>
        </w:tc>
        <w:tc>
          <w:tcPr/>
          <w:p>
            <w:pPr>
              <w:pStyle w:val="Compact"/>
              <w:jc w:val="left"/>
            </w:pPr>
            <w:r>
              <w:t xml:space="preserve">dimensionless</w:t>
            </w:r>
          </w:p>
        </w:tc>
      </w:tr>
    </w:tbl>
    <w:p>
      <w:pPr>
        <w:pStyle w:val="CalloutExample"/>
      </w:pPr>
      <w:r>
        <w:rPr>
          <w:bCs/>
          <w:b/>
        </w:rPr>
        <w:t xml:space="preserve">WORKED EXAMPLE</w:t>
      </w:r>
    </w:p>
    <w:p>
      <w:pPr>
        <w:pStyle w:val="CalloutExample"/>
      </w:pPr>
      <w:r>
        <w:rPr>
          <w:bCs/>
          <w:b/>
        </w:rPr>
        <w:t xml:space="preserve">Worked example — Sending a 60-byte chat message.</w:t>
      </w:r>
    </w:p>
    <w:p>
      <w:pPr>
        <w:numPr>
          <w:ilvl w:val="0"/>
          <w:numId w:val="1307"/>
        </w:numPr>
        <w:pStyle w:val="Compact"/>
      </w:pPr>
      <w:r>
        <w:t xml:space="preserve">Server→client:</w:t>
      </w:r>
      <w:r>
        <w:t xml:space="preserve"> </w:t>
      </w:r>
      <m:oMath>
        <m:r>
          <m:t>n</m:t>
        </m:r>
        <m:r>
          <m:rPr>
            <m:sty m:val="p"/>
          </m:rPr>
          <m:t>=</m:t>
        </m:r>
        <m:r>
          <m:t>60</m:t>
        </m:r>
        <m:r>
          <m:rPr>
            <m:sty m:val="p"/>
          </m:rPr>
          <m:t>≤</m:t>
        </m:r>
        <m:r>
          <m:t>125</m:t>
        </m:r>
      </m:oMath>
      <w:r>
        <w:t xml:space="preserve">, unmasked →</w:t>
      </w:r>
      <w:r>
        <w:t xml:space="preserve"> </w:t>
      </w:r>
      <m:oMath>
        <m:r>
          <m:t>H</m:t>
        </m:r>
        <m:r>
          <m:rPr>
            <m:sty m:val="p"/>
          </m:rPr>
          <m:t>=</m:t>
        </m:r>
        <m:r>
          <m:t>2</m:t>
        </m:r>
      </m:oMath>
      <w:r>
        <w:t xml:space="preserve"> </w:t>
      </w:r>
      <w:r>
        <w:t xml:space="preserve">bytes. Total 62 bytes, 3 % overhead.</w:t>
      </w:r>
    </w:p>
    <w:p>
      <w:pPr>
        <w:numPr>
          <w:ilvl w:val="0"/>
          <w:numId w:val="1307"/>
        </w:numPr>
        <w:pStyle w:val="Compact"/>
      </w:pPr>
      <w:r>
        <w:t xml:space="preserve">Client→server: masked →</w:t>
      </w:r>
      <w:r>
        <w:t xml:space="preserve"> </w:t>
      </w:r>
      <m:oMath>
        <m:r>
          <m:t>H</m:t>
        </m:r>
        <m:r>
          <m:rPr>
            <m:sty m:val="p"/>
          </m:rPr>
          <m:t>=</m:t>
        </m:r>
        <m:r>
          <m:t>2</m:t>
        </m:r>
        <m:r>
          <m:rPr>
            <m:sty m:val="p"/>
          </m:rPr>
          <m:t>+</m:t>
        </m:r>
        <m:r>
          <m:t>4</m:t>
        </m:r>
        <m:r>
          <m:rPr>
            <m:sty m:val="p"/>
          </m:rPr>
          <m:t>=</m:t>
        </m:r>
        <m:r>
          <m:t>6</m:t>
        </m:r>
      </m:oMath>
      <w:r>
        <w:t xml:space="preserve"> </w:t>
      </w:r>
      <w:r>
        <w:t xml:space="preserve">bytes. Total 66 bytes.</w:t>
      </w:r>
    </w:p>
    <w:p>
      <w:pPr>
        <w:numPr>
          <w:ilvl w:val="0"/>
          <w:numId w:val="1307"/>
        </w:numPr>
        <w:pStyle w:val="Compact"/>
      </w:pPr>
      <w:r>
        <w:t xml:space="preserve">The same message as an HTTP/1.1 long-poll response would carry roughly 200–800 bytes of headers — 3× to 13× the payload.</w:t>
      </w:r>
    </w:p>
    <w:p>
      <w:pPr>
        <w:numPr>
          <w:ilvl w:val="0"/>
          <w:numId w:val="1307"/>
        </w:numPr>
        <w:pStyle w:val="Compact"/>
      </w:pPr>
      <w:r>
        <w:t xml:space="preserve">TLS 1.3 with AES-GCM adds about 22 bytes per record (5-byte record header, 1-byte inner content type, 16-byte authentication tag), and TCP/IP adds 40+ bytes per packet, so for tiny messages the transport, not WebSocket, dominates.</w:t>
      </w:r>
    </w:p>
    <w:p>
      <w:pPr>
        <w:pStyle w:val="CalloutExample"/>
      </w:pPr>
      <w:r>
        <w:rPr>
          <w:bCs/>
          <w:b/>
        </w:rPr>
        <w:t xml:space="preserve">Engineering implication.</w:t>
      </w:r>
      <w:r>
        <w:t xml:space="preserve"> </w:t>
      </w:r>
      <w:r>
        <w:t xml:space="preserve">For high-frequency small messages (cursor positions, game state, typing indicators) WebSocket framing is close to free, which is why chat and multiplayer systems prefer it. To save more, batch several small updates into one frame every 50–100 ms.</w:t>
      </w:r>
    </w:p>
    <w:bookmarkEnd w:id="1010"/>
    <w:bookmarkStart w:id="1011" w:name="code-example-9"/>
    <w:p>
      <w:pPr>
        <w:pStyle w:val="Heading4"/>
      </w:pPr>
      <w:r>
        <w:t xml:space="preserve">Code example</w:t>
      </w:r>
    </w:p>
    <w:p>
      <w:pPr>
        <w:pStyle w:val="FirstParagraph"/>
      </w:pPr>
      <w:r>
        <w:t xml:space="preserve">The following encoder/decoder is runnable with the standard library and reproduces the byte layout from Table 9.5.</w:t>
      </w:r>
    </w:p>
    <w:p>
      <w:pPr>
        <w:pStyle w:val="SourceCode"/>
      </w:pPr>
      <w:r>
        <w:rPr>
          <w:rStyle w:val="ImportTok"/>
        </w:rPr>
        <w:t xml:space="preserve">import</w:t>
      </w:r>
      <w:r>
        <w:rPr>
          <w:rStyle w:val="NormalTok"/>
        </w:rPr>
        <w:t xml:space="preserve"> os</w:t>
      </w:r>
      <w:r>
        <w:br/>
      </w:r>
      <w:r>
        <w:rPr>
          <w:rStyle w:val="ImportTok"/>
        </w:rPr>
        <w:t xml:space="preserve">import</w:t>
      </w:r>
      <w:r>
        <w:rPr>
          <w:rStyle w:val="NormalTok"/>
        </w:rPr>
        <w:t xml:space="preserve"> struct</w:t>
      </w:r>
      <w:r>
        <w:br/>
      </w:r>
      <w:r>
        <w:br/>
      </w:r>
      <w:r>
        <w:rPr>
          <w:rStyle w:val="KeywordTok"/>
        </w:rPr>
        <w:t xml:space="preserve">def</w:t>
      </w:r>
      <w:r>
        <w:rPr>
          <w:rStyle w:val="NormalTok"/>
        </w:rPr>
        <w:t xml:space="preserve"> encode_frame(payload: </w:t>
      </w:r>
      <w:r>
        <w:rPr>
          <w:rStyle w:val="BuiltInTok"/>
        </w:rPr>
        <w:t xml:space="preserve">bytes</w:t>
      </w:r>
      <w:r>
        <w:rPr>
          <w:rStyle w:val="NormalTok"/>
        </w:rPr>
        <w:t xml:space="preserve">, opcode: </w:t>
      </w:r>
      <w:r>
        <w:rPr>
          <w:rStyle w:val="BuiltInTok"/>
        </w:rPr>
        <w:t xml:space="preserve">int</w:t>
      </w:r>
      <w:r>
        <w:rPr>
          <w:rStyle w:val="NormalTok"/>
        </w:rPr>
        <w:t xml:space="preserve"> </w:t>
      </w:r>
      <w:r>
        <w:rPr>
          <w:rStyle w:val="OperatorTok"/>
        </w:rPr>
        <w:t xml:space="preserve">=</w:t>
      </w:r>
      <w:r>
        <w:rPr>
          <w:rStyle w:val="NormalTok"/>
        </w:rPr>
        <w:t xml:space="preserve"> </w:t>
      </w:r>
      <w:r>
        <w:rPr>
          <w:rStyle w:val="BaseNTok"/>
        </w:rPr>
        <w:t xml:space="preserve">0x1</w:t>
      </w:r>
      <w:r>
        <w:rPr>
          <w:rStyle w:val="NormalTok"/>
        </w:rPr>
        <w:t xml:space="preserve">, mask: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 </w:t>
      </w:r>
      <w:r>
        <w:rPr>
          <w:rStyle w:val="OperatorTok"/>
        </w:rPr>
        <w:t xml:space="preserve">-&gt;</w:t>
      </w:r>
      <w:r>
        <w:rPr>
          <w:rStyle w:val="NormalTok"/>
        </w:rPr>
        <w:t xml:space="preserve"> </w:t>
      </w:r>
      <w:r>
        <w:rPr>
          <w:rStyle w:val="BuiltInTok"/>
        </w:rPr>
        <w:t xml:space="preserve">bytes</w:t>
      </w:r>
      <w:r>
        <w:rPr>
          <w:rStyle w:val="NormalTok"/>
        </w:rPr>
        <w:t xml:space="preserve">:</w:t>
      </w:r>
      <w:r>
        <w:br/>
      </w:r>
      <w:r>
        <w:rPr>
          <w:rStyle w:val="NormalTok"/>
        </w:rPr>
        <w:t xml:space="preserve">    </w:t>
      </w:r>
      <w:r>
        <w:rPr>
          <w:rStyle w:val="CommentTok"/>
        </w:rPr>
        <w:t xml:space="preserve">"""Build a single, unfragmented frame (FIN=1)."""</w:t>
      </w:r>
      <w:r>
        <w:br/>
      </w:r>
      <w:r>
        <w:rPr>
          <w:rStyle w:val="NormalTok"/>
        </w:rPr>
        <w:t xml:space="preserve">    first </w:t>
      </w:r>
      <w:r>
        <w:rPr>
          <w:rStyle w:val="OperatorTok"/>
        </w:rPr>
        <w:t xml:space="preserve">=</w:t>
      </w:r>
      <w:r>
        <w:rPr>
          <w:rStyle w:val="NormalTok"/>
        </w:rPr>
        <w:t xml:space="preserve"> </w:t>
      </w:r>
      <w:r>
        <w:rPr>
          <w:rStyle w:val="BaseNTok"/>
        </w:rPr>
        <w:t xml:space="preserve">0x80</w:t>
      </w:r>
      <w:r>
        <w:rPr>
          <w:rStyle w:val="NormalTok"/>
        </w:rPr>
        <w:t xml:space="preserve"> </w:t>
      </w:r>
      <w:r>
        <w:rPr>
          <w:rStyle w:val="OperatorTok"/>
        </w:rPr>
        <w:t xml:space="preserve">|</w:t>
      </w:r>
      <w:r>
        <w:rPr>
          <w:rStyle w:val="NormalTok"/>
        </w:rPr>
        <w:t xml:space="preserve"> opcode                      </w:t>
      </w:r>
      <w:r>
        <w:rPr>
          <w:rStyle w:val="CommentTok"/>
        </w:rPr>
        <w:t xml:space="preserve"># FIN bit + opcode</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(payload)</w:t>
      </w:r>
      <w:r>
        <w:br/>
      </w:r>
      <w:r>
        <w:rPr>
          <w:rStyle w:val="NormalTok"/>
        </w:rPr>
        <w:t xml:space="preserve">    mask_bit </w:t>
      </w:r>
      <w:r>
        <w:rPr>
          <w:rStyle w:val="OperatorTok"/>
        </w:rPr>
        <w:t xml:space="preserve">=</w:t>
      </w:r>
      <w:r>
        <w:rPr>
          <w:rStyle w:val="NormalTok"/>
        </w:rPr>
        <w:t xml:space="preserve"> </w:t>
      </w:r>
      <w:r>
        <w:rPr>
          <w:rStyle w:val="BaseNTok"/>
        </w:rPr>
        <w:t xml:space="preserve">0x80</w:t>
      </w:r>
      <w:r>
        <w:rPr>
          <w:rStyle w:val="NormalTok"/>
        </w:rPr>
        <w:t xml:space="preserve"> </w:t>
      </w:r>
      <w:r>
        <w:rPr>
          <w:rStyle w:val="ControlFlowTok"/>
        </w:rPr>
        <w:t xml:space="preserve">if</w:t>
      </w:r>
      <w:r>
        <w:rPr>
          <w:rStyle w:val="NormalTok"/>
        </w:rPr>
        <w:t xml:space="preserve"> mask </w:t>
      </w:r>
      <w:r>
        <w:rPr>
          <w:rStyle w:val="ControlFlowTok"/>
        </w:rPr>
        <w:t xml:space="preserve">else</w:t>
      </w:r>
      <w:r>
        <w:rPr>
          <w:rStyle w:val="NormalTok"/>
        </w:rPr>
        <w:t xml:space="preserve"> </w:t>
      </w:r>
      <w:r>
        <w:rPr>
          <w:rStyle w:val="BaseNTok"/>
        </w:rPr>
        <w:t xml:space="preserve">0x00</w:t>
      </w:r>
      <w:r>
        <w:br/>
      </w:r>
      <w:r>
        <w:rPr>
          <w:rStyle w:val="NormalTok"/>
        </w:rPr>
        <w:t xml:space="preserve">    </w:t>
      </w:r>
      <w:r>
        <w:rPr>
          <w:rStyle w:val="ControlFlowTok"/>
        </w:rPr>
        <w:t xml:space="preserve">if</w:t>
      </w:r>
      <w:r>
        <w:rPr>
          <w:rStyle w:val="NormalTok"/>
        </w:rPr>
        <w:t xml:space="preserve"> n </w:t>
      </w:r>
      <w:r>
        <w:rPr>
          <w:rStyle w:val="OperatorTok"/>
        </w:rPr>
        <w:t xml:space="preserve">&lt;=</w:t>
      </w:r>
      <w:r>
        <w:rPr>
          <w:rStyle w:val="NormalTok"/>
        </w:rPr>
        <w:t xml:space="preserve"> </w:t>
      </w:r>
      <w:r>
        <w:rPr>
          <w:rStyle w:val="DecValTok"/>
        </w:rPr>
        <w:t xml:space="preserve">125</w:t>
      </w:r>
      <w:r>
        <w:rPr>
          <w:rStyle w:val="NormalTok"/>
        </w:rPr>
        <w:t xml:space="preserve">:</w:t>
      </w:r>
      <w:r>
        <w:br/>
      </w:r>
      <w:r>
        <w:rPr>
          <w:rStyle w:val="NormalTok"/>
        </w:rPr>
        <w:t xml:space="preserve">        header </w:t>
      </w:r>
      <w:r>
        <w:rPr>
          <w:rStyle w:val="OperatorTok"/>
        </w:rPr>
        <w:t xml:space="preserve">=</w:t>
      </w:r>
      <w:r>
        <w:rPr>
          <w:rStyle w:val="NormalTok"/>
        </w:rPr>
        <w:t xml:space="preserve"> struct.pack(</w:t>
      </w:r>
      <w:r>
        <w:rPr>
          <w:rStyle w:val="StringTok"/>
        </w:rPr>
        <w:t xml:space="preserve">"!BB"</w:t>
      </w:r>
      <w:r>
        <w:rPr>
          <w:rStyle w:val="NormalTok"/>
        </w:rPr>
        <w:t xml:space="preserve">, first, mask_bit </w:t>
      </w:r>
      <w:r>
        <w:rPr>
          <w:rStyle w:val="OperatorTok"/>
        </w:rPr>
        <w:t xml:space="preserve">|</w:t>
      </w:r>
      <w:r>
        <w:rPr>
          <w:rStyle w:val="NormalTok"/>
        </w:rPr>
        <w:t xml:space="preserve"> n)</w:t>
      </w:r>
      <w:r>
        <w:br/>
      </w:r>
      <w:r>
        <w:rPr>
          <w:rStyle w:val="NormalTok"/>
        </w:rPr>
        <w:t xml:space="preserve">    </w:t>
      </w:r>
      <w:r>
        <w:rPr>
          <w:rStyle w:val="ControlFlowTok"/>
        </w:rPr>
        <w:t xml:space="preserve">elif</w:t>
      </w:r>
      <w:r>
        <w:rPr>
          <w:rStyle w:val="NormalTok"/>
        </w:rPr>
        <w:t xml:space="preserve"> n </w:t>
      </w:r>
      <w:r>
        <w:rPr>
          <w:rStyle w:val="OperatorTok"/>
        </w:rPr>
        <w:t xml:space="preserve">&lt;=</w:t>
      </w:r>
      <w:r>
        <w:rPr>
          <w:rStyle w:val="NormalTok"/>
        </w:rPr>
        <w:t xml:space="preserve"> </w:t>
      </w:r>
      <w:r>
        <w:rPr>
          <w:rStyle w:val="BaseNTok"/>
        </w:rPr>
        <w:t xml:space="preserve">0xFFFF</w:t>
      </w:r>
      <w:r>
        <w:rPr>
          <w:rStyle w:val="NormalTok"/>
        </w:rPr>
        <w:t xml:space="preserve">:</w:t>
      </w:r>
      <w:r>
        <w:br/>
      </w:r>
      <w:r>
        <w:rPr>
          <w:rStyle w:val="NormalTok"/>
        </w:rPr>
        <w:t xml:space="preserve">        header </w:t>
      </w:r>
      <w:r>
        <w:rPr>
          <w:rStyle w:val="OperatorTok"/>
        </w:rPr>
        <w:t xml:space="preserve">=</w:t>
      </w:r>
      <w:r>
        <w:rPr>
          <w:rStyle w:val="NormalTok"/>
        </w:rPr>
        <w:t xml:space="preserve"> struct.pack(</w:t>
      </w:r>
      <w:r>
        <w:rPr>
          <w:rStyle w:val="StringTok"/>
        </w:rPr>
        <w:t xml:space="preserve">"!BBH"</w:t>
      </w:r>
      <w:r>
        <w:rPr>
          <w:rStyle w:val="NormalTok"/>
        </w:rPr>
        <w:t xml:space="preserve">, first, mask_bit </w:t>
      </w:r>
      <w:r>
        <w:rPr>
          <w:rStyle w:val="OperatorTok"/>
        </w:rPr>
        <w:t xml:space="preserve">|</w:t>
      </w:r>
      <w:r>
        <w:rPr>
          <w:rStyle w:val="NormalTok"/>
        </w:rPr>
        <w:t xml:space="preserve"> </w:t>
      </w:r>
      <w:r>
        <w:rPr>
          <w:rStyle w:val="DecValTok"/>
        </w:rPr>
        <w:t xml:space="preserve">126</w:t>
      </w:r>
      <w:r>
        <w:rPr>
          <w:rStyle w:val="NormalTok"/>
        </w:rPr>
        <w:t xml:space="preserve">, n)</w:t>
      </w:r>
      <w:r>
        <w:br/>
      </w:r>
      <w:r>
        <w:rPr>
          <w:rStyle w:val="NormalTok"/>
        </w:rPr>
        <w:t xml:space="preserve">    </w:t>
      </w:r>
      <w:r>
        <w:rPr>
          <w:rStyle w:val="ControlFlowTok"/>
        </w:rPr>
        <w:t xml:space="preserve">else</w:t>
      </w:r>
      <w:r>
        <w:rPr>
          <w:rStyle w:val="NormalTok"/>
        </w:rPr>
        <w:t xml:space="preserve">:</w:t>
      </w:r>
      <w:r>
        <w:br/>
      </w:r>
      <w:r>
        <w:rPr>
          <w:rStyle w:val="NormalTok"/>
        </w:rPr>
        <w:t xml:space="preserve">        header </w:t>
      </w:r>
      <w:r>
        <w:rPr>
          <w:rStyle w:val="OperatorTok"/>
        </w:rPr>
        <w:t xml:space="preserve">=</w:t>
      </w:r>
      <w:r>
        <w:rPr>
          <w:rStyle w:val="NormalTok"/>
        </w:rPr>
        <w:t xml:space="preserve"> struct.pack(</w:t>
      </w:r>
      <w:r>
        <w:rPr>
          <w:rStyle w:val="StringTok"/>
        </w:rPr>
        <w:t xml:space="preserve">"!BBQ"</w:t>
      </w:r>
      <w:r>
        <w:rPr>
          <w:rStyle w:val="NormalTok"/>
        </w:rPr>
        <w:t xml:space="preserve">, first, mask_bit </w:t>
      </w:r>
      <w:r>
        <w:rPr>
          <w:rStyle w:val="OperatorTok"/>
        </w:rPr>
        <w:t xml:space="preserve">|</w:t>
      </w:r>
      <w:r>
        <w:rPr>
          <w:rStyle w:val="NormalTok"/>
        </w:rPr>
        <w:t xml:space="preserve"> </w:t>
      </w:r>
      <w:r>
        <w:rPr>
          <w:rStyle w:val="DecValTok"/>
        </w:rPr>
        <w:t xml:space="preserve">127</w:t>
      </w:r>
      <w:r>
        <w:rPr>
          <w:rStyle w:val="NormalTok"/>
        </w:rPr>
        <w:t xml:space="preserve">, n)</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mask:</w:t>
      </w:r>
      <w:r>
        <w:br/>
      </w:r>
      <w:r>
        <w:rPr>
          <w:rStyle w:val="NormalTok"/>
        </w:rPr>
        <w:t xml:space="preserve">        </w:t>
      </w:r>
      <w:r>
        <w:rPr>
          <w:rStyle w:val="ControlFlowTok"/>
        </w:rPr>
        <w:t xml:space="preserve">return</w:t>
      </w:r>
      <w:r>
        <w:rPr>
          <w:rStyle w:val="NormalTok"/>
        </w:rPr>
        <w:t xml:space="preserve"> header </w:t>
      </w:r>
      <w:r>
        <w:rPr>
          <w:rStyle w:val="OperatorTok"/>
        </w:rPr>
        <w:t xml:space="preserve">+</w:t>
      </w:r>
      <w:r>
        <w:rPr>
          <w:rStyle w:val="NormalTok"/>
        </w:rPr>
        <w:t xml:space="preserve"> payload</w:t>
      </w:r>
      <w:r>
        <w:br/>
      </w:r>
      <w:r>
        <w:rPr>
          <w:rStyle w:val="NormalTok"/>
        </w:rPr>
        <w:t xml:space="preserve">    key </w:t>
      </w:r>
      <w:r>
        <w:rPr>
          <w:rStyle w:val="OperatorTok"/>
        </w:rPr>
        <w:t xml:space="preserve">=</w:t>
      </w:r>
      <w:r>
        <w:rPr>
          <w:rStyle w:val="NormalTok"/>
        </w:rPr>
        <w:t xml:space="preserve"> os.urandom(</w:t>
      </w:r>
      <w:r>
        <w:rPr>
          <w:rStyle w:val="DecValTok"/>
        </w:rPr>
        <w:t xml:space="preserve">4</w:t>
      </w:r>
      <w:r>
        <w:rPr>
          <w:rStyle w:val="NormalTok"/>
        </w:rPr>
        <w:t xml:space="preserve">)                        </w:t>
      </w:r>
      <w:r>
        <w:rPr>
          <w:rStyle w:val="CommentTok"/>
        </w:rPr>
        <w:t xml:space="preserve"># fresh masking key per frame</w:t>
      </w:r>
      <w:r>
        <w:br/>
      </w:r>
      <w:r>
        <w:rPr>
          <w:rStyle w:val="NormalTok"/>
        </w:rPr>
        <w:t xml:space="preserve">    masked </w:t>
      </w:r>
      <w:r>
        <w:rPr>
          <w:rStyle w:val="OperatorTok"/>
        </w:rPr>
        <w:t xml:space="preserve">=</w:t>
      </w:r>
      <w:r>
        <w:rPr>
          <w:rStyle w:val="NormalTok"/>
        </w:rPr>
        <w:t xml:space="preserve"> </w:t>
      </w:r>
      <w:r>
        <w:rPr>
          <w:rStyle w:val="BuiltInTok"/>
        </w:rPr>
        <w:t xml:space="preserve">bytes</w:t>
      </w:r>
      <w:r>
        <w:rPr>
          <w:rStyle w:val="NormalTok"/>
        </w:rPr>
        <w:t xml:space="preserve">(b </w:t>
      </w:r>
      <w:r>
        <w:rPr>
          <w:rStyle w:val="OperatorTok"/>
        </w:rPr>
        <w:t xml:space="preserve">^</w:t>
      </w:r>
      <w:r>
        <w:rPr>
          <w:rStyle w:val="NormalTok"/>
        </w:rPr>
        <w:t xml:space="preserve"> key[i </w:t>
      </w:r>
      <w:r>
        <w:rPr>
          <w:rStyle w:val="OperatorTok"/>
        </w:rPr>
        <w:t xml:space="preserve">%</w:t>
      </w:r>
      <w:r>
        <w:rPr>
          <w:rStyle w:val="NormalTok"/>
        </w:rPr>
        <w:t xml:space="preserve"> </w:t>
      </w:r>
      <w:r>
        <w:rPr>
          <w:rStyle w:val="DecValTok"/>
        </w:rPr>
        <w:t xml:space="preserve">4</w:t>
      </w:r>
      <w:r>
        <w:rPr>
          <w:rStyle w:val="NormalTok"/>
        </w:rPr>
        <w:t xml:space="preserve">] </w:t>
      </w:r>
      <w:r>
        <w:rPr>
          <w:rStyle w:val="ControlFlowTok"/>
        </w:rPr>
        <w:t xml:space="preserve">for</w:t>
      </w:r>
      <w:r>
        <w:rPr>
          <w:rStyle w:val="NormalTok"/>
        </w:rPr>
        <w:t xml:space="preserve"> i, b </w:t>
      </w:r>
      <w:r>
        <w:rPr>
          <w:rStyle w:val="KeywordTok"/>
        </w:rPr>
        <w:t xml:space="preserve">in</w:t>
      </w:r>
      <w:r>
        <w:rPr>
          <w:rStyle w:val="NormalTok"/>
        </w:rPr>
        <w:t xml:space="preserve"> </w:t>
      </w:r>
      <w:r>
        <w:rPr>
          <w:rStyle w:val="BuiltInTok"/>
        </w:rPr>
        <w:t xml:space="preserve">enumerate</w:t>
      </w:r>
      <w:r>
        <w:rPr>
          <w:rStyle w:val="NormalTok"/>
        </w:rPr>
        <w:t xml:space="preserve">(payload))</w:t>
      </w:r>
      <w:r>
        <w:br/>
      </w:r>
      <w:r>
        <w:rPr>
          <w:rStyle w:val="NormalTok"/>
        </w:rPr>
        <w:t xml:space="preserve">    </w:t>
      </w:r>
      <w:r>
        <w:rPr>
          <w:rStyle w:val="ControlFlowTok"/>
        </w:rPr>
        <w:t xml:space="preserve">return</w:t>
      </w:r>
      <w:r>
        <w:rPr>
          <w:rStyle w:val="NormalTok"/>
        </w:rPr>
        <w:t xml:space="preserve"> header </w:t>
      </w:r>
      <w:r>
        <w:rPr>
          <w:rStyle w:val="OperatorTok"/>
        </w:rPr>
        <w:t xml:space="preserve">+</w:t>
      </w:r>
      <w:r>
        <w:rPr>
          <w:rStyle w:val="NormalTok"/>
        </w:rPr>
        <w:t xml:space="preserve"> key </w:t>
      </w:r>
      <w:r>
        <w:rPr>
          <w:rStyle w:val="OperatorTok"/>
        </w:rPr>
        <w:t xml:space="preserve">+</w:t>
      </w:r>
      <w:r>
        <w:rPr>
          <w:rStyle w:val="NormalTok"/>
        </w:rPr>
        <w:t xml:space="preserve"> masked</w:t>
      </w:r>
      <w:r>
        <w:br/>
      </w:r>
      <w:r>
        <w:br/>
      </w:r>
      <w:r>
        <w:rPr>
          <w:rStyle w:val="KeywordTok"/>
        </w:rPr>
        <w:t xml:space="preserve">def</w:t>
      </w:r>
      <w:r>
        <w:rPr>
          <w:rStyle w:val="NormalTok"/>
        </w:rPr>
        <w:t xml:space="preserve"> decode_frame(frame: </w:t>
      </w:r>
      <w:r>
        <w:rPr>
          <w:rStyle w:val="BuiltInTok"/>
        </w:rPr>
        <w:t xml:space="preserve">bytes</w:t>
      </w:r>
      <w:r>
        <w:rPr>
          <w:rStyle w:val="NormalTok"/>
        </w:rPr>
        <w:t xml:space="preserve">):</w:t>
      </w:r>
      <w:r>
        <w:br/>
      </w:r>
      <w:r>
        <w:rPr>
          <w:rStyle w:val="NormalTok"/>
        </w:rPr>
        <w:t xml:space="preserve">    </w:t>
      </w:r>
      <w:r>
        <w:rPr>
          <w:rStyle w:val="CommentTok"/>
        </w:rPr>
        <w:t xml:space="preserve">"""Parse one complete frame; return (fin, opcode, payload)."""</w:t>
      </w:r>
      <w:r>
        <w:br/>
      </w:r>
      <w:r>
        <w:rPr>
          <w:rStyle w:val="NormalTok"/>
        </w:rPr>
        <w:t xml:space="preserve">    b0, b1 </w:t>
      </w:r>
      <w:r>
        <w:rPr>
          <w:rStyle w:val="OperatorTok"/>
        </w:rPr>
        <w:t xml:space="preserve">=</w:t>
      </w:r>
      <w:r>
        <w:rPr>
          <w:rStyle w:val="NormalTok"/>
        </w:rPr>
        <w:t xml:space="preserve"> frame[</w:t>
      </w:r>
      <w:r>
        <w:rPr>
          <w:rStyle w:val="DecValTok"/>
        </w:rPr>
        <w:t xml:space="preserve">0</w:t>
      </w:r>
      <w:r>
        <w:rPr>
          <w:rStyle w:val="NormalTok"/>
        </w:rPr>
        <w:t xml:space="preserve">], frame[</w:t>
      </w:r>
      <w:r>
        <w:rPr>
          <w:rStyle w:val="DecValTok"/>
        </w:rPr>
        <w:t xml:space="preserve">1</w:t>
      </w:r>
      <w:r>
        <w:rPr>
          <w:rStyle w:val="NormalTok"/>
        </w:rPr>
        <w:t xml:space="preserve">]</w:t>
      </w:r>
      <w:r>
        <w:br/>
      </w:r>
      <w:r>
        <w:rPr>
          <w:rStyle w:val="NormalTok"/>
        </w:rPr>
        <w:t xml:space="preserve">    fin, opcode </w:t>
      </w:r>
      <w:r>
        <w:rPr>
          <w:rStyle w:val="OperatorTok"/>
        </w:rPr>
        <w:t xml:space="preserve">=</w:t>
      </w:r>
      <w:r>
        <w:rPr>
          <w:rStyle w:val="NormalTok"/>
        </w:rPr>
        <w:t xml:space="preserve"> </w:t>
      </w:r>
      <w:r>
        <w:rPr>
          <w:rStyle w:val="BuiltInTok"/>
        </w:rPr>
        <w:t xml:space="preserve">bool</w:t>
      </w:r>
      <w:r>
        <w:rPr>
          <w:rStyle w:val="NormalTok"/>
        </w:rPr>
        <w:t xml:space="preserve">(b0 </w:t>
      </w:r>
      <w:r>
        <w:rPr>
          <w:rStyle w:val="OperatorTok"/>
        </w:rPr>
        <w:t xml:space="preserve">&amp;</w:t>
      </w:r>
      <w:r>
        <w:rPr>
          <w:rStyle w:val="NormalTok"/>
        </w:rPr>
        <w:t xml:space="preserve"> </w:t>
      </w:r>
      <w:r>
        <w:rPr>
          <w:rStyle w:val="BaseNTok"/>
        </w:rPr>
        <w:t xml:space="preserve">0x80</w:t>
      </w:r>
      <w:r>
        <w:rPr>
          <w:rStyle w:val="NormalTok"/>
        </w:rPr>
        <w:t xml:space="preserve">), b0 </w:t>
      </w:r>
      <w:r>
        <w:rPr>
          <w:rStyle w:val="OperatorTok"/>
        </w:rPr>
        <w:t xml:space="preserve">&amp;</w:t>
      </w:r>
      <w:r>
        <w:rPr>
          <w:rStyle w:val="NormalTok"/>
        </w:rPr>
        <w:t xml:space="preserve"> </w:t>
      </w:r>
      <w:r>
        <w:rPr>
          <w:rStyle w:val="BaseNTok"/>
        </w:rPr>
        <w:t xml:space="preserve">0x0F</w:t>
      </w:r>
      <w:r>
        <w:br/>
      </w:r>
      <w:r>
        <w:rPr>
          <w:rStyle w:val="NormalTok"/>
        </w:rPr>
        <w:t xml:space="preserve">    masked, n </w:t>
      </w:r>
      <w:r>
        <w:rPr>
          <w:rStyle w:val="OperatorTok"/>
        </w:rPr>
        <w:t xml:space="preserve">=</w:t>
      </w:r>
      <w:r>
        <w:rPr>
          <w:rStyle w:val="NormalTok"/>
        </w:rPr>
        <w:t xml:space="preserve"> </w:t>
      </w:r>
      <w:r>
        <w:rPr>
          <w:rStyle w:val="BuiltInTok"/>
        </w:rPr>
        <w:t xml:space="preserve">bool</w:t>
      </w:r>
      <w:r>
        <w:rPr>
          <w:rStyle w:val="NormalTok"/>
        </w:rPr>
        <w:t xml:space="preserve">(b1 </w:t>
      </w:r>
      <w:r>
        <w:rPr>
          <w:rStyle w:val="OperatorTok"/>
        </w:rPr>
        <w:t xml:space="preserve">&amp;</w:t>
      </w:r>
      <w:r>
        <w:rPr>
          <w:rStyle w:val="NormalTok"/>
        </w:rPr>
        <w:t xml:space="preserve"> </w:t>
      </w:r>
      <w:r>
        <w:rPr>
          <w:rStyle w:val="BaseNTok"/>
        </w:rPr>
        <w:t xml:space="preserve">0x80</w:t>
      </w:r>
      <w:r>
        <w:rPr>
          <w:rStyle w:val="NormalTok"/>
        </w:rPr>
        <w:t xml:space="preserve">), b1 </w:t>
      </w:r>
      <w:r>
        <w:rPr>
          <w:rStyle w:val="OperatorTok"/>
        </w:rPr>
        <w:t xml:space="preserve">&amp;</w:t>
      </w:r>
      <w:r>
        <w:rPr>
          <w:rStyle w:val="NormalTok"/>
        </w:rPr>
        <w:t xml:space="preserve"> </w:t>
      </w:r>
      <w:r>
        <w:rPr>
          <w:rStyle w:val="BaseNTok"/>
        </w:rPr>
        <w:t xml:space="preserve">0x7F</w:t>
      </w:r>
      <w:r>
        <w:br/>
      </w:r>
      <w:r>
        <w:rPr>
          <w:rStyle w:val="NormalTok"/>
        </w:rPr>
        <w:t xml:space="preserve">    pos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ntrolFlowTok"/>
        </w:rPr>
        <w:t xml:space="preserve">if</w:t>
      </w:r>
      <w:r>
        <w:rPr>
          <w:rStyle w:val="NormalTok"/>
        </w:rPr>
        <w:t xml:space="preserve"> n </w:t>
      </w:r>
      <w:r>
        <w:rPr>
          <w:rStyle w:val="OperatorTok"/>
        </w:rPr>
        <w:t xml:space="preserve">==</w:t>
      </w:r>
      <w:r>
        <w:rPr>
          <w:rStyle w:val="NormalTok"/>
        </w:rPr>
        <w:t xml:space="preserve"> </w:t>
      </w:r>
      <w:r>
        <w:rPr>
          <w:rStyle w:val="DecValTok"/>
        </w:rPr>
        <w:t xml:space="preserve">126</w:t>
      </w:r>
      <w:r>
        <w:rPr>
          <w:rStyle w:val="NormalTok"/>
        </w:rPr>
        <w:t xml:space="preserve">:</w:t>
      </w:r>
      <w:r>
        <w:br/>
      </w:r>
      <w:r>
        <w:rPr>
          <w:rStyle w:val="NormalTok"/>
        </w:rPr>
        <w:t xml:space="preserve">        (n,) </w:t>
      </w:r>
      <w:r>
        <w:rPr>
          <w:rStyle w:val="OperatorTok"/>
        </w:rPr>
        <w:t xml:space="preserve">=</w:t>
      </w:r>
      <w:r>
        <w:rPr>
          <w:rStyle w:val="NormalTok"/>
        </w:rPr>
        <w:t xml:space="preserve"> struct.unpack(</w:t>
      </w:r>
      <w:r>
        <w:rPr>
          <w:rStyle w:val="StringTok"/>
        </w:rPr>
        <w:t xml:space="preserve">"!H"</w:t>
      </w:r>
      <w:r>
        <w:rPr>
          <w:rStyle w:val="NormalTok"/>
        </w:rPr>
        <w:t xml:space="preserve">, frame[pos:pos </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rPr>
          <w:rStyle w:val="NormalTok"/>
        </w:rPr>
        <w:t xml:space="preserve"> pos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ntrolFlowTok"/>
        </w:rPr>
        <w:t xml:space="preserve">elif</w:t>
      </w:r>
      <w:r>
        <w:rPr>
          <w:rStyle w:val="NormalTok"/>
        </w:rPr>
        <w:t xml:space="preserve"> n </w:t>
      </w:r>
      <w:r>
        <w:rPr>
          <w:rStyle w:val="OperatorTok"/>
        </w:rPr>
        <w:t xml:space="preserve">==</w:t>
      </w:r>
      <w:r>
        <w:rPr>
          <w:rStyle w:val="NormalTok"/>
        </w:rPr>
        <w:t xml:space="preserve"> </w:t>
      </w:r>
      <w:r>
        <w:rPr>
          <w:rStyle w:val="DecValTok"/>
        </w:rPr>
        <w:t xml:space="preserve">127</w:t>
      </w:r>
      <w:r>
        <w:rPr>
          <w:rStyle w:val="NormalTok"/>
        </w:rPr>
        <w:t xml:space="preserve">:</w:t>
      </w:r>
      <w:r>
        <w:br/>
      </w:r>
      <w:r>
        <w:rPr>
          <w:rStyle w:val="NormalTok"/>
        </w:rPr>
        <w:t xml:space="preserve">        (n,) </w:t>
      </w:r>
      <w:r>
        <w:rPr>
          <w:rStyle w:val="OperatorTok"/>
        </w:rPr>
        <w:t xml:space="preserve">=</w:t>
      </w:r>
      <w:r>
        <w:rPr>
          <w:rStyle w:val="NormalTok"/>
        </w:rPr>
        <w:t xml:space="preserve"> struct.unpack(</w:t>
      </w:r>
      <w:r>
        <w:rPr>
          <w:rStyle w:val="StringTok"/>
        </w:rPr>
        <w:t xml:space="preserve">"!Q"</w:t>
      </w:r>
      <w:r>
        <w:rPr>
          <w:rStyle w:val="NormalTok"/>
        </w:rPr>
        <w:t xml:space="preserve">, frame[pos:pos </w:t>
      </w:r>
      <w:r>
        <w:rPr>
          <w:rStyle w:val="OperatorTok"/>
        </w:rPr>
        <w:t xml:space="preserve">+</w:t>
      </w:r>
      <w:r>
        <w:rPr>
          <w:rStyle w:val="NormalTok"/>
        </w:rPr>
        <w:t xml:space="preserve"> </w:t>
      </w:r>
      <w:r>
        <w:rPr>
          <w:rStyle w:val="DecValTok"/>
        </w:rPr>
        <w:t xml:space="preserve">8</w:t>
      </w:r>
      <w:r>
        <w:rPr>
          <w:rStyle w:val="NormalTok"/>
        </w:rPr>
        <w:t xml:space="preserve">])</w:t>
      </w:r>
      <w:r>
        <w:rPr>
          <w:rStyle w:val="OperatorTok"/>
        </w:rPr>
        <w:t xml:space="preserve">;</w:t>
      </w:r>
      <w:r>
        <w:rPr>
          <w:rStyle w:val="NormalTok"/>
        </w:rPr>
        <w:t xml:space="preserve"> pos </w:t>
      </w:r>
      <w:r>
        <w:rPr>
          <w:rStyle w:val="OperatorTok"/>
        </w:rPr>
        <w:t xml:space="preserve">+=</w:t>
      </w:r>
      <w:r>
        <w:rPr>
          <w:rStyle w:val="NormalTok"/>
        </w:rPr>
        <w:t xml:space="preserve"> </w:t>
      </w:r>
      <w:r>
        <w:rPr>
          <w:rStyle w:val="DecValTok"/>
        </w:rPr>
        <w:t xml:space="preserve">8</w:t>
      </w:r>
      <w:r>
        <w:br/>
      </w:r>
      <w:r>
        <w:rPr>
          <w:rStyle w:val="NormalTok"/>
        </w:rPr>
        <w:t xml:space="preserve">    key </w:t>
      </w:r>
      <w:r>
        <w:rPr>
          <w:rStyle w:val="OperatorTok"/>
        </w:rPr>
        <w:t xml:space="preserve">=</w:t>
      </w:r>
      <w:r>
        <w:rPr>
          <w:rStyle w:val="NormalTok"/>
        </w:rPr>
        <w:t xml:space="preserve"> </w:t>
      </w:r>
      <w:r>
        <w:rPr>
          <w:rStyle w:val="StringTok"/>
        </w:rPr>
        <w:t xml:space="preserve">b""</w:t>
      </w:r>
      <w:r>
        <w:br/>
      </w:r>
      <w:r>
        <w:rPr>
          <w:rStyle w:val="NormalTok"/>
        </w:rPr>
        <w:t xml:space="preserve">    </w:t>
      </w:r>
      <w:r>
        <w:rPr>
          <w:rStyle w:val="ControlFlowTok"/>
        </w:rPr>
        <w:t xml:space="preserve">if</w:t>
      </w:r>
      <w:r>
        <w:rPr>
          <w:rStyle w:val="NormalTok"/>
        </w:rPr>
        <w:t xml:space="preserve"> masked:</w:t>
      </w:r>
      <w:r>
        <w:br/>
      </w:r>
      <w:r>
        <w:rPr>
          <w:rStyle w:val="NormalTok"/>
        </w:rPr>
        <w:t xml:space="preserve">        key </w:t>
      </w:r>
      <w:r>
        <w:rPr>
          <w:rStyle w:val="OperatorTok"/>
        </w:rPr>
        <w:t xml:space="preserve">=</w:t>
      </w:r>
      <w:r>
        <w:rPr>
          <w:rStyle w:val="NormalTok"/>
        </w:rPr>
        <w:t xml:space="preserve"> frame[pos:pos </w:t>
      </w:r>
      <w:r>
        <w:rPr>
          <w:rStyle w:val="OperatorTok"/>
        </w:rPr>
        <w:t xml:space="preserve">+</w:t>
      </w:r>
      <w:r>
        <w:rPr>
          <w:rStyle w:val="NormalTok"/>
        </w:rPr>
        <w:t xml:space="preserve"> </w:t>
      </w:r>
      <w:r>
        <w:rPr>
          <w:rStyle w:val="DecValTok"/>
        </w:rPr>
        <w:t xml:space="preserve">4</w:t>
      </w:r>
      <w:r>
        <w:rPr>
          <w:rStyle w:val="NormalTok"/>
        </w:rPr>
        <w:t xml:space="preserve">]</w:t>
      </w:r>
      <w:r>
        <w:rPr>
          <w:rStyle w:val="OperatorTok"/>
        </w:rPr>
        <w:t xml:space="preserve">;</w:t>
      </w:r>
      <w:r>
        <w:rPr>
          <w:rStyle w:val="NormalTok"/>
        </w:rPr>
        <w:t xml:space="preserve"> pos </w:t>
      </w:r>
      <w:r>
        <w:rPr>
          <w:rStyle w:val="OperatorTok"/>
        </w:rPr>
        <w:t xml:space="preserve">+=</w:t>
      </w:r>
      <w:r>
        <w:rPr>
          <w:rStyle w:val="NormalTok"/>
        </w:rPr>
        <w:t xml:space="preserve"> </w:t>
      </w:r>
      <w:r>
        <w:rPr>
          <w:rStyle w:val="DecValTok"/>
        </w:rPr>
        <w:t xml:space="preserve">4</w:t>
      </w:r>
      <w:r>
        <w:br/>
      </w:r>
      <w:r>
        <w:rPr>
          <w:rStyle w:val="NormalTok"/>
        </w:rPr>
        <w:t xml:space="preserve">    data </w:t>
      </w:r>
      <w:r>
        <w:rPr>
          <w:rStyle w:val="OperatorTok"/>
        </w:rPr>
        <w:t xml:space="preserve">=</w:t>
      </w:r>
      <w:r>
        <w:rPr>
          <w:rStyle w:val="NormalTok"/>
        </w:rPr>
        <w:t xml:space="preserve"> frame[pos:pos </w:t>
      </w:r>
      <w:r>
        <w:rPr>
          <w:rStyle w:val="OperatorTok"/>
        </w:rPr>
        <w:t xml:space="preserve">+</w:t>
      </w:r>
      <w:r>
        <w:rPr>
          <w:rStyle w:val="NormalTok"/>
        </w:rPr>
        <w:t xml:space="preserve"> n]</w:t>
      </w:r>
      <w:r>
        <w:br/>
      </w:r>
      <w:r>
        <w:rPr>
          <w:rStyle w:val="NormalTok"/>
        </w:rPr>
        <w:t xml:space="preserve">    </w:t>
      </w:r>
      <w:r>
        <w:rPr>
          <w:rStyle w:val="ControlFlowTok"/>
        </w:rPr>
        <w:t xml:space="preserve">if</w:t>
      </w:r>
      <w:r>
        <w:rPr>
          <w:rStyle w:val="NormalTok"/>
        </w:rPr>
        <w:t xml:space="preserve"> masked:</w:t>
      </w:r>
      <w:r>
        <w:br/>
      </w:r>
      <w:r>
        <w:rPr>
          <w:rStyle w:val="NormalTok"/>
        </w:rPr>
        <w:t xml:space="preserve">        data </w:t>
      </w:r>
      <w:r>
        <w:rPr>
          <w:rStyle w:val="OperatorTok"/>
        </w:rPr>
        <w:t xml:space="preserve">=</w:t>
      </w:r>
      <w:r>
        <w:rPr>
          <w:rStyle w:val="NormalTok"/>
        </w:rPr>
        <w:t xml:space="preserve"> </w:t>
      </w:r>
      <w:r>
        <w:rPr>
          <w:rStyle w:val="BuiltInTok"/>
        </w:rPr>
        <w:t xml:space="preserve">bytes</w:t>
      </w:r>
      <w:r>
        <w:rPr>
          <w:rStyle w:val="NormalTok"/>
        </w:rPr>
        <w:t xml:space="preserve">(b </w:t>
      </w:r>
      <w:r>
        <w:rPr>
          <w:rStyle w:val="OperatorTok"/>
        </w:rPr>
        <w:t xml:space="preserve">^</w:t>
      </w:r>
      <w:r>
        <w:rPr>
          <w:rStyle w:val="NormalTok"/>
        </w:rPr>
        <w:t xml:space="preserve"> key[i </w:t>
      </w:r>
      <w:r>
        <w:rPr>
          <w:rStyle w:val="OperatorTok"/>
        </w:rPr>
        <w:t xml:space="preserve">%</w:t>
      </w:r>
      <w:r>
        <w:rPr>
          <w:rStyle w:val="NormalTok"/>
        </w:rPr>
        <w:t xml:space="preserve"> </w:t>
      </w:r>
      <w:r>
        <w:rPr>
          <w:rStyle w:val="DecValTok"/>
        </w:rPr>
        <w:t xml:space="preserve">4</w:t>
      </w:r>
      <w:r>
        <w:rPr>
          <w:rStyle w:val="NormalTok"/>
        </w:rPr>
        <w:t xml:space="preserve">] </w:t>
      </w:r>
      <w:r>
        <w:rPr>
          <w:rStyle w:val="ControlFlowTok"/>
        </w:rPr>
        <w:t xml:space="preserve">for</w:t>
      </w:r>
      <w:r>
        <w:rPr>
          <w:rStyle w:val="NormalTok"/>
        </w:rPr>
        <w:t xml:space="preserve"> i, b </w:t>
      </w:r>
      <w:r>
        <w:rPr>
          <w:rStyle w:val="KeywordTok"/>
        </w:rPr>
        <w:t xml:space="preserve">in</w:t>
      </w:r>
      <w:r>
        <w:rPr>
          <w:rStyle w:val="NormalTok"/>
        </w:rPr>
        <w:t xml:space="preserve"> </w:t>
      </w:r>
      <w:r>
        <w:rPr>
          <w:rStyle w:val="BuiltInTok"/>
        </w:rPr>
        <w:t xml:space="preserve">enumerate</w:t>
      </w:r>
      <w:r>
        <w:rPr>
          <w:rStyle w:val="NormalTok"/>
        </w:rPr>
        <w:t xml:space="preserve">(data))</w:t>
      </w:r>
      <w:r>
        <w:br/>
      </w:r>
      <w:r>
        <w:rPr>
          <w:rStyle w:val="NormalTok"/>
        </w:rPr>
        <w:t xml:space="preserve">    </w:t>
      </w:r>
      <w:r>
        <w:rPr>
          <w:rStyle w:val="ControlFlowTok"/>
        </w:rPr>
        <w:t xml:space="preserve">return</w:t>
      </w:r>
      <w:r>
        <w:rPr>
          <w:rStyle w:val="NormalTok"/>
        </w:rPr>
        <w:t xml:space="preserve"> fin, opcode, data</w:t>
      </w:r>
      <w:r>
        <w:br/>
      </w:r>
      <w:r>
        <w:br/>
      </w:r>
      <w:r>
        <w:rPr>
          <w:rStyle w:val="BuiltInTok"/>
        </w:rPr>
        <w:t xml:space="preserve">print</w:t>
      </w:r>
      <w:r>
        <w:rPr>
          <w:rStyle w:val="NormalTok"/>
        </w:rPr>
        <w:t xml:space="preserve">(encode_frame(</w:t>
      </w:r>
      <w:r>
        <w:rPr>
          <w:rStyle w:val="StringTok"/>
        </w:rPr>
        <w:t xml:space="preserve">b"Hello"</w:t>
      </w:r>
      <w:r>
        <w:rPr>
          <w:rStyle w:val="NormalTok"/>
        </w:rPr>
        <w:t xml:space="preserve">, mask</w:t>
      </w:r>
      <w:r>
        <w:rPr>
          <w:rStyle w:val="OperatorTok"/>
        </w:rPr>
        <w:t xml:space="preserve">=</w:t>
      </w:r>
      <w:r>
        <w:rPr>
          <w:rStyle w:val="VariableTok"/>
        </w:rPr>
        <w:t xml:space="preserve">False</w:t>
      </w:r>
      <w:r>
        <w:rPr>
          <w:rStyle w:val="NormalTok"/>
        </w:rPr>
        <w:t xml:space="preserve">).</w:t>
      </w:r>
      <w:r>
        <w:rPr>
          <w:rStyle w:val="BuiltInTok"/>
        </w:rPr>
        <w:t xml:space="preserve">hex</w:t>
      </w:r>
      <w:r>
        <w:rPr>
          <w:rStyle w:val="NormalTok"/>
        </w:rPr>
        <w:t xml:space="preserve">(</w:t>
      </w:r>
      <w:r>
        <w:rPr>
          <w:rStyle w:val="StringTok"/>
        </w:rPr>
        <w:t xml:space="preserve">" "</w:t>
      </w:r>
      <w:r>
        <w:rPr>
          <w:rStyle w:val="NormalTok"/>
        </w:rPr>
        <w:t xml:space="preserve">))  </w:t>
      </w:r>
      <w:r>
        <w:rPr>
          <w:rStyle w:val="CommentTok"/>
        </w:rPr>
        <w:t xml:space="preserve"># 81 05 48 65 6c 6c 6f</w:t>
      </w:r>
      <w:r>
        <w:br/>
      </w:r>
      <w:r>
        <w:rPr>
          <w:rStyle w:val="NormalTok"/>
        </w:rPr>
        <w:t xml:space="preserve">f </w:t>
      </w:r>
      <w:r>
        <w:rPr>
          <w:rStyle w:val="OperatorTok"/>
        </w:rPr>
        <w:t xml:space="preserve">=</w:t>
      </w:r>
      <w:r>
        <w:rPr>
          <w:rStyle w:val="NormalTok"/>
        </w:rPr>
        <w:t xml:space="preserve"> encode_frame(</w:t>
      </w:r>
      <w:r>
        <w:rPr>
          <w:rStyle w:val="StringTok"/>
        </w:rPr>
        <w:t xml:space="preserve">b"Hello"</w:t>
      </w:r>
      <w:r>
        <w:rPr>
          <w:rStyle w:val="NormalTok"/>
        </w:rPr>
        <w:t xml:space="preserve">)                           </w:t>
      </w:r>
      <w:r>
        <w:rPr>
          <w:rStyle w:val="CommentTok"/>
        </w:rPr>
        <w:t xml:space="preserve"># 11 bytes: 2 header + 4 key + 5</w:t>
      </w:r>
      <w:r>
        <w:br/>
      </w:r>
      <w:r>
        <w:rPr>
          <w:rStyle w:val="BuiltInTok"/>
        </w:rPr>
        <w:t xml:space="preserve">print</w:t>
      </w:r>
      <w:r>
        <w:rPr>
          <w:rStyle w:val="NormalTok"/>
        </w:rPr>
        <w:t xml:space="preserve">(</w:t>
      </w:r>
      <w:r>
        <w:rPr>
          <w:rStyle w:val="BuiltInTok"/>
        </w:rPr>
        <w:t xml:space="preserve">len</w:t>
      </w:r>
      <w:r>
        <w:rPr>
          <w:rStyle w:val="NormalTok"/>
        </w:rPr>
        <w:t xml:space="preserve">(f), decode_frame(f))                       </w:t>
      </w:r>
      <w:r>
        <w:rPr>
          <w:rStyle w:val="CommentTok"/>
        </w:rPr>
        <w:t xml:space="preserve"># 11 (True, 1, b'Hello')</w:t>
      </w:r>
    </w:p>
    <w:p>
      <w:pPr>
        <w:pStyle w:val="FirstParagraph"/>
      </w:pPr>
      <w:r>
        <w:t xml:space="preserve">What to notice:</w:t>
      </w:r>
    </w:p>
    <w:p>
      <w:pPr>
        <w:numPr>
          <w:ilvl w:val="0"/>
          <w:numId w:val="1308"/>
        </w:numPr>
        <w:pStyle w:val="Compact"/>
      </w:pPr>
      <w:r>
        <w:rPr>
          <w:rStyle w:val="VerbatimChar"/>
        </w:rPr>
        <w:t xml:space="preserve">0x81</w:t>
      </w:r>
      <w:r>
        <w:t xml:space="preserve"> </w:t>
      </w:r>
      <w:r>
        <w:t xml:space="preserve">= FIN (0x80) + Text opcode (0x1);</w:t>
      </w:r>
      <w:r>
        <w:t xml:space="preserve"> </w:t>
      </w:r>
      <w:r>
        <w:rPr>
          <w:rStyle w:val="VerbatimChar"/>
        </w:rPr>
        <w:t xml:space="preserve">0x05</w:t>
      </w:r>
      <w:r>
        <w:t xml:space="preserve"> </w:t>
      </w:r>
      <w:r>
        <w:t xml:space="preserve">= unmasked, length 5. This is the unmasked</w:t>
      </w:r>
      <w:r>
        <w:t xml:space="preserve"> </w:t>
      </w:r>
      <w:r>
        <w:t xml:space="preserve">“</w:t>
      </w:r>
      <w:r>
        <w:t xml:space="preserve">Hello</w:t>
      </w:r>
      <w:r>
        <w:t xml:space="preserve">”</w:t>
      </w:r>
      <w:r>
        <w:t xml:space="preserve"> </w:t>
      </w:r>
      <w:r>
        <w:t xml:space="preserve">example given in RFC 6455 §5.7.</w:t>
      </w:r>
    </w:p>
    <w:p>
      <w:pPr>
        <w:numPr>
          <w:ilvl w:val="0"/>
          <w:numId w:val="1308"/>
        </w:numPr>
        <w:pStyle w:val="Compact"/>
      </w:pPr>
      <w:r>
        <w:t xml:space="preserve">A masked frame is 4 bytes longer, and the masked payload bytes look random on the wire even though the plaintext is</w:t>
      </w:r>
      <w:r>
        <w:t xml:space="preserve"> </w:t>
      </w:r>
      <w:r>
        <w:t xml:space="preserve">“</w:t>
      </w:r>
      <w:r>
        <w:t xml:space="preserve">Hello</w:t>
      </w:r>
      <w:r>
        <w:t xml:space="preserve">”</w:t>
      </w:r>
      <w:r>
        <w:t xml:space="preserve">.</w:t>
      </w:r>
    </w:p>
    <w:p>
      <w:pPr>
        <w:numPr>
          <w:ilvl w:val="0"/>
          <w:numId w:val="1308"/>
        </w:numPr>
        <w:pStyle w:val="Compact"/>
      </w:pPr>
      <w:r>
        <w:t xml:space="preserve">A 70,000-byte binary frame uses the 8-byte extended length: 2 + 8 + 4 = 14 header bytes (the maximum).</w:t>
      </w:r>
    </w:p>
    <w:p>
      <w:pPr>
        <w:numPr>
          <w:ilvl w:val="0"/>
          <w:numId w:val="1308"/>
        </w:numPr>
        <w:pStyle w:val="Compact"/>
      </w:pPr>
      <w:r>
        <w:t xml:space="preserve">Production libraries also validate UTF-8 in text frames, enforce maximum message sizes, reassemble fragments and reject unmasked client frames — never hand-roll this in production.</w:t>
      </w:r>
    </w:p>
    <w:bookmarkEnd w:id="1011"/>
    <w:bookmarkEnd w:id="1012"/>
    <w:bookmarkStart w:id="1013" w:name="Xa1ac2242f0fde34a6d5753cab94405b8defb42f"/>
    <w:p>
      <w:pPr>
        <w:pStyle w:val="Heading3"/>
      </w:pPr>
      <w:r>
        <w:t xml:space="preserve">9.6.4 Masking: why the client scrambles its own data</w:t>
      </w:r>
    </w:p>
    <w:p>
      <w:pPr>
        <w:pStyle w:val="FirstParagraph"/>
      </w:pPr>
      <w:r>
        <w:t xml:space="preserve">Every client-to-server frame is XORed with a fresh, unpredictable 4-byte</w:t>
      </w:r>
      <w:r>
        <w:t xml:space="preserve"> </w:t>
      </w:r>
      <w:r>
        <w:rPr>
          <w:bCs/>
          <w:b/>
        </w:rPr>
        <w:t xml:space="preserve">masking key</w:t>
      </w:r>
      <w:r>
        <w:t xml:space="preserve"> </w:t>
      </w:r>
      <w:r>
        <w:t xml:space="preserve">chosen by the browser. Masking is</w:t>
      </w:r>
      <w:r>
        <w:t xml:space="preserve"> </w:t>
      </w:r>
      <w:r>
        <w:rPr>
          <w:iCs/>
          <w:i/>
        </w:rPr>
        <w:t xml:space="preserve">not</w:t>
      </w:r>
      <w:r>
        <w:t xml:space="preserve"> </w:t>
      </w:r>
      <w:r>
        <w:t xml:space="preserve">encryption — the key travels in the frame header in clear. It exists to protect</w:t>
      </w:r>
      <w:r>
        <w:t xml:space="preserve"> </w:t>
      </w:r>
      <w:r>
        <w:rPr>
          <w:bCs/>
          <w:b/>
        </w:rPr>
        <w:t xml:space="preserve">intermediaries</w:t>
      </w:r>
      <w:r>
        <w:t xml:space="preserve">. Researchers showed that if a malicious script could choose the exact bytes a browser puts on the wire, it could craft WebSocket payloads that a confused transparent proxy would parse as a separate HTTP request, poisoning that proxy’s cache for other users [Huang et al. 2011]. Because the script cannot predict the masking key, it cannot control the bytes that appear on the wire. RFC 6455 §10.3 explains this rationale. Server-to-client frames are not masked because the threat is script-controlled</w:t>
      </w:r>
      <w:r>
        <w:t xml:space="preserve"> </w:t>
      </w:r>
      <w:r>
        <w:rPr>
          <w:iCs/>
          <w:i/>
        </w:rPr>
        <w:t xml:space="preserve">upstream</w:t>
      </w:r>
      <w:r>
        <w:t xml:space="preserve"> </w:t>
      </w:r>
      <w:r>
        <w:t xml:space="preserve">bytes. Servers must close the connection (code 1002) if a client sends an unmasked frame.</w:t>
      </w:r>
    </w:p>
    <w:bookmarkEnd w:id="1013"/>
    <w:bookmarkStart w:id="1017" w:name="X04c355aec1da1345533cda5a2d194142adaf780"/>
    <w:p>
      <w:pPr>
        <w:pStyle w:val="Heading3"/>
      </w:pPr>
      <w:r>
        <w:t xml:space="preserve">9.6.5 Heartbeats (ping/pong) and the closing handshake</w:t>
      </w:r>
    </w:p>
    <w:p>
      <w:pPr>
        <w:pStyle w:val="FirstParagraph"/>
      </w:pPr>
      <w:r>
        <w:t xml:space="preserve">A TCP connection can die silently: a phone moves into a tunnel, a NAT device forgets its mapping after a few minutes of idleness, a load balancer reaps an idle flow. Neither endpoint is told.</w:t>
      </w:r>
      <w:r>
        <w:t xml:space="preserve"> </w:t>
      </w:r>
      <w:r>
        <w:rPr>
          <w:bCs/>
          <w:b/>
        </w:rPr>
        <w:t xml:space="preserve">Heartbeats</w:t>
      </w:r>
      <w:r>
        <w:t xml:space="preserve"> </w:t>
      </w:r>
      <w:r>
        <w:t xml:space="preserve">solve two problems at once: they</w:t>
      </w:r>
      <w:r>
        <w:t xml:space="preserve"> </w:t>
      </w:r>
      <w:r>
        <w:rPr>
          <w:iCs/>
          <w:i/>
        </w:rPr>
        <w:t xml:space="preserve">detect</w:t>
      </w:r>
      <w:r>
        <w:t xml:space="preserve"> </w:t>
      </w:r>
      <w:r>
        <w:t xml:space="preserve">dead peers (no pong within a deadline ⇒ close and clean up), and they</w:t>
      </w:r>
      <w:r>
        <w:t xml:space="preserve"> </w:t>
      </w:r>
      <w:r>
        <w:rPr>
          <w:iCs/>
          <w:i/>
        </w:rPr>
        <w:t xml:space="preserve">prevent</w:t>
      </w:r>
      <w:r>
        <w:t xml:space="preserve"> </w:t>
      </w:r>
      <w:r>
        <w:t xml:space="preserve">idle-timeout disconnections by keeping traffic flowing.</w:t>
      </w:r>
    </w:p>
    <w:p>
      <w:pPr>
        <w:numPr>
          <w:ilvl w:val="0"/>
          <w:numId w:val="1309"/>
        </w:numPr>
        <w:pStyle w:val="Compact"/>
      </w:pPr>
      <w:r>
        <w:t xml:space="preserve">The server sends a Ping every</w:t>
      </w:r>
      <w:r>
        <w:t xml:space="preserve"> </w:t>
      </w:r>
      <w:r>
        <w:rPr>
          <w:iCs/>
          <w:i/>
        </w:rPr>
        <w:t xml:space="preserve">H</w:t>
      </w:r>
      <w:r>
        <w:t xml:space="preserve"> </w:t>
      </w:r>
      <w:r>
        <w:t xml:space="preserve">seconds (commonly 20–30 s) and closes the connection if no Pong arrives within a timeout. Browsers answer Pings automatically.</w:t>
      </w:r>
    </w:p>
    <w:p>
      <w:pPr>
        <w:numPr>
          <w:ilvl w:val="0"/>
          <w:numId w:val="1309"/>
        </w:numPr>
        <w:pStyle w:val="Compact"/>
      </w:pPr>
      <w:r>
        <w:t xml:space="preserve">The browser</w:t>
      </w:r>
      <w:r>
        <w:t xml:space="preserve"> </w:t>
      </w:r>
      <w:r>
        <w:rPr>
          <w:rStyle w:val="VerbatimChar"/>
        </w:rPr>
        <w:t xml:space="preserve">WebSocket</w:t>
      </w:r>
      <w:r>
        <w:t xml:space="preserve"> </w:t>
      </w:r>
      <w:r>
        <w:t xml:space="preserve">API does</w:t>
      </w:r>
      <w:r>
        <w:t xml:space="preserve"> </w:t>
      </w:r>
      <w:r>
        <w:rPr>
          <w:bCs/>
          <w:b/>
        </w:rPr>
        <w:t xml:space="preserve">not</w:t>
      </w:r>
      <w:r>
        <w:t xml:space="preserve"> </w:t>
      </w:r>
      <w:r>
        <w:t xml:space="preserve">let JavaScript send Pings, so client-side liveness detection needs an application-level heartbeat (for example, a</w:t>
      </w:r>
      <w:r>
        <w:t xml:space="preserve"> </w:t>
      </w:r>
      <w:r>
        <w:rPr>
          <w:rStyle w:val="VerbatimChar"/>
        </w:rPr>
        <w:t xml:space="preserve">{"type":"ping"}</w:t>
      </w:r>
      <w:r>
        <w:t xml:space="preserve"> </w:t>
      </w:r>
      <w:r>
        <w:t xml:space="preserve">text message every 25 s and a</w:t>
      </w:r>
      <w:r>
        <w:t xml:space="preserve"> </w:t>
      </w:r>
      <w:r>
        <w:t xml:space="preserve">“</w:t>
      </w:r>
      <w:r>
        <w:t xml:space="preserve">reconnect if nothing received for 60 s</w:t>
      </w:r>
      <w:r>
        <w:t xml:space="preserve">”</w:t>
      </w:r>
      <w:r>
        <w:t xml:space="preserve"> </w:t>
      </w:r>
      <w:r>
        <w:t xml:space="preserve">rule).</w:t>
      </w:r>
    </w:p>
    <w:p>
      <w:pPr>
        <w:numPr>
          <w:ilvl w:val="0"/>
          <w:numId w:val="1309"/>
        </w:numPr>
        <w:pStyle w:val="Compact"/>
      </w:pPr>
      <w:r>
        <w:rPr>
          <w:iCs/>
          <w:i/>
        </w:rPr>
        <w:t xml:space="preserve">H</w:t>
      </w:r>
      <w:r>
        <w:t xml:space="preserve"> </w:t>
      </w:r>
      <w:r>
        <w:t xml:space="preserve">must be smaller than the smallest idle timeout on the path (NAT, mobile carrier, load balancer).</w:t>
      </w:r>
    </w:p>
    <w:p>
      <w:pPr>
        <w:pStyle w:val="FirstParagraph"/>
      </w:pPr>
      <w:r>
        <w:rPr>
          <w:bCs/>
          <w:b/>
        </w:rPr>
        <w:t xml:space="preserve">Closing.</w:t>
      </w:r>
      <w:r>
        <w:t xml:space="preserve"> </w:t>
      </w:r>
      <w:r>
        <w:t xml:space="preserve">Either side sends a Close frame with a status code; the other replies with a Close frame; then the TCP connection closes, ideally server first. The codes matter operationally because clients decide whether and how fast to reconnect based on them.</w:t>
      </w:r>
    </w:p>
    <w:p>
      <w:pPr>
        <w:pStyle w:val="BodyText"/>
      </w:pPr>
      <w:r>
        <w:rPr>
          <w:bCs/>
          <w:b/>
        </w:rPr>
        <w:t xml:space="preserve">Table 9.7 — WebSocket close codes you will meet in practice.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Name</w:t>
            </w:r>
          </w:p>
        </w:tc>
        <w:tc>
          <w:tcPr/>
          <w:p>
            <w:pPr>
              <w:pStyle w:val="Compact"/>
              <w:jc w:val="left"/>
            </w:pPr>
            <w:r>
              <w:t xml:space="preserve">Meaning and typical client reaction</w:t>
            </w:r>
          </w:p>
        </w:tc>
      </w:tr>
      <w:tr>
        <w:tc>
          <w:tcPr/>
          <w:p>
            <w:pPr>
              <w:pStyle w:val="Compact"/>
              <w:jc w:val="left"/>
            </w:pPr>
            <w:r>
              <w:t xml:space="preserve">1000</w:t>
            </w:r>
          </w:p>
        </w:tc>
        <w:tc>
          <w:tcPr/>
          <w:p>
            <w:pPr>
              <w:pStyle w:val="Compact"/>
              <w:jc w:val="left"/>
            </w:pPr>
            <w:r>
              <w:t xml:space="preserve">Normal closure</w:t>
            </w:r>
          </w:p>
        </w:tc>
        <w:tc>
          <w:tcPr/>
          <w:p>
            <w:pPr>
              <w:pStyle w:val="Compact"/>
              <w:jc w:val="left"/>
            </w:pPr>
            <w:r>
              <w:t xml:space="preserve">Purpose fulfilled; do not reconnect automatically</w:t>
            </w:r>
          </w:p>
        </w:tc>
      </w:tr>
      <w:tr>
        <w:tc>
          <w:tcPr/>
          <w:p>
            <w:pPr>
              <w:pStyle w:val="Compact"/>
              <w:jc w:val="left"/>
            </w:pPr>
            <w:r>
              <w:t xml:space="preserve">1001</w:t>
            </w:r>
          </w:p>
        </w:tc>
        <w:tc>
          <w:tcPr/>
          <w:p>
            <w:pPr>
              <w:pStyle w:val="Compact"/>
              <w:jc w:val="left"/>
            </w:pPr>
            <w:r>
              <w:t xml:space="preserve">Going away</w:t>
            </w:r>
          </w:p>
        </w:tc>
        <w:tc>
          <w:tcPr/>
          <w:p>
            <w:pPr>
              <w:pStyle w:val="Compact"/>
              <w:jc w:val="left"/>
            </w:pPr>
            <w:r>
              <w:t xml:space="preserve">Server shutting down or browser navigating away; reconnect with jitter</w:t>
            </w:r>
          </w:p>
        </w:tc>
      </w:tr>
      <w:tr>
        <w:tc>
          <w:tcPr/>
          <w:p>
            <w:pPr>
              <w:pStyle w:val="Compact"/>
              <w:jc w:val="left"/>
            </w:pPr>
            <w:r>
              <w:t xml:space="preserve">1002</w:t>
            </w:r>
          </w:p>
        </w:tc>
        <w:tc>
          <w:tcPr/>
          <w:p>
            <w:pPr>
              <w:pStyle w:val="Compact"/>
              <w:jc w:val="left"/>
            </w:pPr>
            <w:r>
              <w:t xml:space="preserve">Protocol error</w:t>
            </w:r>
          </w:p>
        </w:tc>
        <w:tc>
          <w:tcPr/>
          <w:p>
            <w:pPr>
              <w:pStyle w:val="Compact"/>
              <w:jc w:val="left"/>
            </w:pPr>
            <w:r>
              <w:t xml:space="preserve">Malformed frame; reconnect, report bug</w:t>
            </w:r>
          </w:p>
        </w:tc>
      </w:tr>
      <w:tr>
        <w:tc>
          <w:tcPr/>
          <w:p>
            <w:pPr>
              <w:pStyle w:val="Compact"/>
              <w:jc w:val="left"/>
            </w:pPr>
            <w:r>
              <w:t xml:space="preserve">1003</w:t>
            </w:r>
          </w:p>
        </w:tc>
        <w:tc>
          <w:tcPr/>
          <w:p>
            <w:pPr>
              <w:pStyle w:val="Compact"/>
              <w:jc w:val="left"/>
            </w:pPr>
            <w:r>
              <w:t xml:space="preserve">Unsupported data</w:t>
            </w:r>
          </w:p>
        </w:tc>
        <w:tc>
          <w:tcPr/>
          <w:p>
            <w:pPr>
              <w:pStyle w:val="Compact"/>
              <w:jc w:val="left"/>
            </w:pPr>
            <w:r>
              <w:t xml:space="preserve">For example binary sent to a text-only endpoint</w:t>
            </w:r>
          </w:p>
        </w:tc>
      </w:tr>
      <w:tr>
        <w:tc>
          <w:tcPr/>
          <w:p>
            <w:pPr>
              <w:pStyle w:val="Compact"/>
              <w:jc w:val="left"/>
            </w:pPr>
            <w:r>
              <w:t xml:space="preserve">1005</w:t>
            </w:r>
          </w:p>
        </w:tc>
        <w:tc>
          <w:tcPr/>
          <w:p>
            <w:pPr>
              <w:pStyle w:val="Compact"/>
              <w:jc w:val="left"/>
            </w:pPr>
            <w:r>
              <w:t xml:space="preserve">No status received</w:t>
            </w:r>
          </w:p>
        </w:tc>
        <w:tc>
          <w:tcPr/>
          <w:p>
            <w:pPr>
              <w:pStyle w:val="Compact"/>
              <w:jc w:val="left"/>
            </w:pPr>
            <w:r>
              <w:t xml:space="preserve">Reserved: reported locally when Close had no code; never sent</w:t>
            </w:r>
          </w:p>
        </w:tc>
      </w:tr>
      <w:tr>
        <w:tc>
          <w:tcPr/>
          <w:p>
            <w:pPr>
              <w:pStyle w:val="Compact"/>
              <w:jc w:val="left"/>
            </w:pPr>
            <w:r>
              <w:t xml:space="preserve">1006</w:t>
            </w:r>
          </w:p>
        </w:tc>
        <w:tc>
          <w:tcPr/>
          <w:p>
            <w:pPr>
              <w:pStyle w:val="Compact"/>
              <w:jc w:val="left"/>
            </w:pPr>
            <w:r>
              <w:t xml:space="preserve">Abnormal closure</w:t>
            </w:r>
          </w:p>
        </w:tc>
        <w:tc>
          <w:tcPr/>
          <w:p>
            <w:pPr>
              <w:pStyle w:val="Compact"/>
              <w:jc w:val="left"/>
            </w:pPr>
            <w:r>
              <w:t xml:space="preserve">Reserved: reported locally when TCP dropped without a Close frame; reconnect with backoff</w:t>
            </w:r>
          </w:p>
        </w:tc>
      </w:tr>
      <w:tr>
        <w:tc>
          <w:tcPr/>
          <w:p>
            <w:pPr>
              <w:pStyle w:val="Compact"/>
              <w:jc w:val="left"/>
            </w:pPr>
            <w:r>
              <w:t xml:space="preserve">1007</w:t>
            </w:r>
          </w:p>
        </w:tc>
        <w:tc>
          <w:tcPr/>
          <w:p>
            <w:pPr>
              <w:pStyle w:val="Compact"/>
              <w:jc w:val="left"/>
            </w:pPr>
            <w:r>
              <w:t xml:space="preserve">Invalid payload data</w:t>
            </w:r>
          </w:p>
        </w:tc>
        <w:tc>
          <w:tcPr/>
          <w:p>
            <w:pPr>
              <w:pStyle w:val="Compact"/>
              <w:jc w:val="left"/>
            </w:pPr>
            <w:r>
              <w:t xml:space="preserve">For example invalid UTF-8 in a text frame</w:t>
            </w:r>
          </w:p>
        </w:tc>
      </w:tr>
      <w:tr>
        <w:tc>
          <w:tcPr/>
          <w:p>
            <w:pPr>
              <w:pStyle w:val="Compact"/>
              <w:jc w:val="left"/>
            </w:pPr>
            <w:r>
              <w:t xml:space="preserve">1008</w:t>
            </w:r>
          </w:p>
        </w:tc>
        <w:tc>
          <w:tcPr/>
          <w:p>
            <w:pPr>
              <w:pStyle w:val="Compact"/>
              <w:jc w:val="left"/>
            </w:pPr>
            <w:r>
              <w:t xml:space="preserve">Policy violation</w:t>
            </w:r>
          </w:p>
        </w:tc>
        <w:tc>
          <w:tcPr/>
          <w:p>
            <w:pPr>
              <w:pStyle w:val="Compact"/>
              <w:jc w:val="left"/>
            </w:pPr>
            <w:r>
              <w:t xml:space="preserve">Generic rejection (auth failure, slow consumer); reconnect only after fixing cause</w:t>
            </w:r>
          </w:p>
        </w:tc>
      </w:tr>
      <w:tr>
        <w:tc>
          <w:tcPr/>
          <w:p>
            <w:pPr>
              <w:pStyle w:val="Compact"/>
              <w:jc w:val="left"/>
            </w:pPr>
            <w:r>
              <w:t xml:space="preserve">1009</w:t>
            </w:r>
          </w:p>
        </w:tc>
        <w:tc>
          <w:tcPr/>
          <w:p>
            <w:pPr>
              <w:pStyle w:val="Compact"/>
              <w:jc w:val="left"/>
            </w:pPr>
            <w:r>
              <w:t xml:space="preserve">Message too big</w:t>
            </w:r>
          </w:p>
        </w:tc>
        <w:tc>
          <w:tcPr/>
          <w:p>
            <w:pPr>
              <w:pStyle w:val="Compact"/>
              <w:jc w:val="left"/>
            </w:pPr>
            <w:r>
              <w:t xml:space="preserve">Exceeded server’s maximum message size</w:t>
            </w:r>
          </w:p>
        </w:tc>
      </w:tr>
      <w:tr>
        <w:tc>
          <w:tcPr/>
          <w:p>
            <w:pPr>
              <w:pStyle w:val="Compact"/>
              <w:jc w:val="left"/>
            </w:pPr>
            <w:r>
              <w:t xml:space="preserve">1011</w:t>
            </w:r>
          </w:p>
        </w:tc>
        <w:tc>
          <w:tcPr/>
          <w:p>
            <w:pPr>
              <w:pStyle w:val="Compact"/>
              <w:jc w:val="left"/>
            </w:pPr>
            <w:r>
              <w:t xml:space="preserve">Internal error</w:t>
            </w:r>
          </w:p>
        </w:tc>
        <w:tc>
          <w:tcPr/>
          <w:p>
            <w:pPr>
              <w:pStyle w:val="Compact"/>
              <w:jc w:val="left"/>
            </w:pPr>
            <w:r>
              <w:t xml:space="preserve">Server-side failure; reconnect with backoff</w:t>
            </w:r>
          </w:p>
        </w:tc>
      </w:tr>
      <w:tr>
        <w:tc>
          <w:tcPr/>
          <w:p>
            <w:pPr>
              <w:pStyle w:val="Compact"/>
              <w:jc w:val="left"/>
            </w:pPr>
            <w:r>
              <w:t xml:space="preserve">1012</w:t>
            </w:r>
          </w:p>
        </w:tc>
        <w:tc>
          <w:tcPr/>
          <w:p>
            <w:pPr>
              <w:pStyle w:val="Compact"/>
              <w:jc w:val="left"/>
            </w:pPr>
            <w:r>
              <w:t xml:space="preserve">Service restart</w:t>
            </w:r>
          </w:p>
        </w:tc>
        <w:tc>
          <w:tcPr/>
          <w:p>
            <w:pPr>
              <w:pStyle w:val="Compact"/>
              <w:jc w:val="left"/>
            </w:pPr>
            <w:r>
              <w:t xml:space="preserve">IANA-registered (not in RFC 6455 text); reconnect with jitter</w:t>
            </w:r>
          </w:p>
        </w:tc>
      </w:tr>
      <w:tr>
        <w:tc>
          <w:tcPr/>
          <w:p>
            <w:pPr>
              <w:pStyle w:val="Compact"/>
              <w:jc w:val="left"/>
            </w:pPr>
            <w:r>
              <w:t xml:space="preserve">1013</w:t>
            </w:r>
          </w:p>
        </w:tc>
        <w:tc>
          <w:tcPr/>
          <w:p>
            <w:pPr>
              <w:pStyle w:val="Compact"/>
              <w:jc w:val="left"/>
            </w:pPr>
            <w:r>
              <w:t xml:space="preserve">Try again later</w:t>
            </w:r>
          </w:p>
        </w:tc>
        <w:tc>
          <w:tcPr/>
          <w:p>
            <w:pPr>
              <w:pStyle w:val="Compact"/>
              <w:jc w:val="left"/>
            </w:pPr>
            <w:r>
              <w:t xml:space="preserve">IANA-registered; overload — reconnect with longer backoff</w:t>
            </w:r>
          </w:p>
        </w:tc>
      </w:tr>
      <w:tr>
        <w:tc>
          <w:tcPr/>
          <w:p>
            <w:pPr>
              <w:pStyle w:val="Compact"/>
              <w:jc w:val="left"/>
            </w:pPr>
            <w:r>
              <w:t xml:space="preserve">4000–4999</w:t>
            </w:r>
          </w:p>
        </w:tc>
        <w:tc>
          <w:tcPr/>
          <w:p>
            <w:pPr>
              <w:pStyle w:val="Compact"/>
              <w:jc w:val="left"/>
            </w:pPr>
            <w:r>
              <w:t xml:space="preserve">Private use</w:t>
            </w:r>
          </w:p>
        </w:tc>
        <w:tc>
          <w:tcPr/>
          <w:p>
            <w:pPr>
              <w:pStyle w:val="Compact"/>
              <w:jc w:val="left"/>
            </w:pPr>
            <w:r>
              <w:t xml:space="preserve">Application-defined, for example 4001</w:t>
            </w:r>
            <w:r>
              <w:t xml:space="preserve"> </w:t>
            </w:r>
            <w:r>
              <w:t xml:space="preserve">“</w:t>
            </w:r>
            <w:r>
              <w:t xml:space="preserve">token expired</w:t>
            </w:r>
            <w:r>
              <w:t xml:space="preserve">”</w:t>
            </w:r>
          </w:p>
        </w:tc>
      </w:tr>
    </w:tbl>
    <w:p>
      <w:pPr>
        <w:pStyle w:val="BodyText"/>
      </w:pPr>
      <w:r>
        <w:rPr>
          <w:bCs/>
          <w:b/>
        </w:rPr>
        <w:t xml:space="preserve">Figure 9.5 — Lifecycle of a WebSocket connection as seen by a gateway.</w:t>
      </w:r>
    </w:p>
    <w:p>
      <w:pPr>
        <w:pStyle w:val="BodyText"/>
      </w:pPr>
      <w:r>
        <w:drawing>
          <wp:inline>
            <wp:extent cx="5334000" cy="4281880"/>
            <wp:effectExtent b="0" l="0" r="0" t="0"/>
            <wp:docPr descr="" title="" id="1015" name="Picture"/>
            <a:graphic>
              <a:graphicData uri="http://schemas.openxmlformats.org/drawingml/2006/picture">
                <pic:pic>
                  <pic:nvPicPr>
                    <pic:cNvPr descr="/home/user/System-Design/build/.cache/diagrams/0a276277382e.png" id="1016" name="Picture"/>
                    <pic:cNvPicPr>
                      <a:picLocks noChangeArrowheads="1" noChangeAspect="1"/>
                    </pic:cNvPicPr>
                  </pic:nvPicPr>
                  <pic:blipFill>
                    <a:blip r:embed="rId1014"/>
                    <a:stretch>
                      <a:fillRect/>
                    </a:stretch>
                  </pic:blipFill>
                  <pic:spPr bwMode="auto">
                    <a:xfrm>
                      <a:off x="0" y="0"/>
                      <a:ext cx="5334000" cy="4281880"/>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Authentication and</w:t>
      </w:r>
      <w:r>
        <w:t xml:space="preserve"> </w:t>
      </w:r>
      <w:r>
        <w:rPr>
          <w:rStyle w:val="VerbatimChar"/>
        </w:rPr>
        <w:t xml:space="preserve">Origin</w:t>
      </w:r>
      <w:r>
        <w:t xml:space="preserve"> </w:t>
      </w:r>
      <w:r>
        <w:t xml:space="preserve">checks belong in</w:t>
      </w:r>
      <w:r>
        <w:t xml:space="preserve"> </w:t>
      </w:r>
      <w:r>
        <w:rPr>
          <w:iCs/>
          <w:i/>
        </w:rPr>
        <w:t xml:space="preserve">Connecting</w:t>
      </w:r>
      <w:r>
        <w:t xml:space="preserve">, before</w:t>
      </w:r>
      <w:r>
        <w:t xml:space="preserve"> </w:t>
      </w:r>
      <w:r>
        <w:rPr>
          <w:rStyle w:val="VerbatimChar"/>
        </w:rPr>
        <w:t xml:space="preserve">101</w:t>
      </w:r>
      <w:r>
        <w:t xml:space="preserve"> </w:t>
      </w:r>
      <w:r>
        <w:t xml:space="preserve">— rejecting there is cheapest.</w:t>
      </w:r>
      <w:r>
        <w:t xml:space="preserve"> </w:t>
      </w:r>
      <w:r>
        <w:rPr>
          <w:iCs/>
          <w:i/>
        </w:rPr>
        <w:t xml:space="preserve">Open</w:t>
      </w:r>
      <w:r>
        <w:t xml:space="preserve"> </w:t>
      </w:r>
      <w:r>
        <w:t xml:space="preserve">loops on data and heartbeat frames. The orderly exit passes through</w:t>
      </w:r>
      <w:r>
        <w:t xml:space="preserve"> </w:t>
      </w:r>
      <w:r>
        <w:rPr>
          <w:iCs/>
          <w:i/>
        </w:rPr>
        <w:t xml:space="preserve">Closing</w:t>
      </w:r>
      <w:r>
        <w:t xml:space="preserve">; heartbeat failure or TCP reset jumps straight to</w:t>
      </w:r>
      <w:r>
        <w:t xml:space="preserve"> </w:t>
      </w:r>
      <w:r>
        <w:rPr>
          <w:iCs/>
          <w:i/>
        </w:rPr>
        <w:t xml:space="preserve">Closed</w:t>
      </w:r>
      <w:r>
        <w:t xml:space="preserve">. The exit action from</w:t>
      </w:r>
      <w:r>
        <w:t xml:space="preserve"> </w:t>
      </w:r>
      <w:r>
        <w:rPr>
          <w:iCs/>
          <w:i/>
        </w:rPr>
        <w:t xml:space="preserve">Closed</w:t>
      </w:r>
      <w:r>
        <w:t xml:space="preserve"> </w:t>
      </w:r>
      <w:r>
        <w:t xml:space="preserve">— unsubscribe from the backplane, update presence (§9.9) — is where leaks and</w:t>
      </w:r>
      <w:r>
        <w:t xml:space="preserve"> </w:t>
      </w:r>
      <w:r>
        <w:t xml:space="preserve">“</w:t>
      </w:r>
      <w:r>
        <w:t xml:space="preserve">ghost online</w:t>
      </w:r>
      <w:r>
        <w:t xml:space="preserve">”</w:t>
      </w:r>
      <w:r>
        <w:t xml:space="preserve"> </w:t>
      </w:r>
      <w:r>
        <w:t xml:space="preserve">bugs live. A close timeout of a few seconds stops an unresponsive peer from holding resources.</w:t>
      </w:r>
    </w:p>
    <w:bookmarkEnd w:id="1017"/>
    <w:bookmarkStart w:id="1018" w:name="proxies-and-load-balancers"/>
    <w:p>
      <w:pPr>
        <w:pStyle w:val="Heading3"/>
      </w:pPr>
      <w:r>
        <w:t xml:space="preserve">9.6.6 Proxies and load balancers</w:t>
      </w:r>
    </w:p>
    <w:p>
      <w:pPr>
        <w:pStyle w:val="FirstParagraph"/>
      </w:pPr>
      <w:r>
        <w:t xml:space="preserve">Long-lived, upgraded connections stress infrastructure built for short HTTP exchanges:</w:t>
      </w:r>
    </w:p>
    <w:p>
      <w:pPr>
        <w:numPr>
          <w:ilvl w:val="0"/>
          <w:numId w:val="1310"/>
        </w:numPr>
        <w:pStyle w:val="Compact"/>
      </w:pPr>
      <w:r>
        <w:rPr>
          <w:bCs/>
          <w:b/>
        </w:rPr>
        <w:t xml:space="preserve">Hop-by-hop headers.</w:t>
      </w:r>
      <w:r>
        <w:t xml:space="preserve"> </w:t>
      </w:r>
      <w:r>
        <w:t xml:space="preserve">Proxies strip</w:t>
      </w:r>
      <w:r>
        <w:t xml:space="preserve"> </w:t>
      </w:r>
      <w:r>
        <w:rPr>
          <w:rStyle w:val="VerbatimChar"/>
        </w:rPr>
        <w:t xml:space="preserve">Upgrade</w:t>
      </w:r>
      <w:r>
        <w:t xml:space="preserve"> </w:t>
      </w:r>
      <w:r>
        <w:t xml:space="preserve">and</w:t>
      </w:r>
      <w:r>
        <w:t xml:space="preserve"> </w:t>
      </w:r>
      <w:r>
        <w:rPr>
          <w:rStyle w:val="VerbatimChar"/>
        </w:rPr>
        <w:t xml:space="preserve">Connection</w:t>
      </w:r>
      <w:r>
        <w:t xml:space="preserve"> </w:t>
      </w:r>
      <w:r>
        <w:t xml:space="preserve">unless configured otherwise; NGINX needs</w:t>
      </w:r>
      <w:r>
        <w:t xml:space="preserve"> </w:t>
      </w:r>
      <w:r>
        <w:rPr>
          <w:rStyle w:val="VerbatimChar"/>
        </w:rPr>
        <w:t xml:space="preserve">proxy_http_version 1.1;</w:t>
      </w:r>
      <w:r>
        <w:t xml:space="preserve">,</w:t>
      </w:r>
      <w:r>
        <w:t xml:space="preserve"> </w:t>
      </w:r>
      <w:r>
        <w:rPr>
          <w:rStyle w:val="VerbatimChar"/>
        </w:rPr>
        <w:t xml:space="preserve">proxy_set_header Upgrade $http_upgrade;</w:t>
      </w:r>
      <w:r>
        <w:t xml:space="preserve"> </w:t>
      </w:r>
      <w:r>
        <w:t xml:space="preserve">and</w:t>
      </w:r>
      <w:r>
        <w:t xml:space="preserve"> </w:t>
      </w:r>
      <w:r>
        <w:rPr>
          <w:rStyle w:val="VerbatimChar"/>
        </w:rPr>
        <w:t xml:space="preserve">proxy_set_header Connection "upgrade";</w:t>
      </w:r>
      <w:r>
        <w:t xml:space="preserve">. Managed L7 load balancers generally support WebSockets natively.</w:t>
      </w:r>
    </w:p>
    <w:p>
      <w:pPr>
        <w:numPr>
          <w:ilvl w:val="0"/>
          <w:numId w:val="1310"/>
        </w:numPr>
        <w:pStyle w:val="Compact"/>
      </w:pPr>
      <w:r>
        <w:rPr>
          <w:bCs/>
          <w:b/>
        </w:rPr>
        <w:t xml:space="preserve">Idle timeouts.</w:t>
      </w:r>
      <w:r>
        <w:t xml:space="preserve"> </w:t>
      </w:r>
      <w:r>
        <w:t xml:space="preserve">The 60 s defaults from §9.4 apply; keep heartbeats more frequent than the smallest timeout.</w:t>
      </w:r>
    </w:p>
    <w:p>
      <w:pPr>
        <w:numPr>
          <w:ilvl w:val="0"/>
          <w:numId w:val="1310"/>
        </w:numPr>
        <w:pStyle w:val="Compact"/>
      </w:pPr>
      <w:r>
        <w:rPr>
          <w:bCs/>
          <w:b/>
        </w:rPr>
        <w:t xml:space="preserve">Use</w:t>
      </w:r>
      <w:r>
        <w:rPr>
          <w:bCs/>
          <w:b/>
        </w:rPr>
        <w:t xml:space="preserve"> </w:t>
      </w:r>
      <w:r>
        <w:rPr>
          <w:rStyle w:val="VerbatimChar"/>
          <w:bCs/>
          <w:b/>
        </w:rPr>
        <w:t xml:space="preserve">wss://</w:t>
      </w:r>
      <w:r>
        <w:rPr>
          <w:bCs/>
          <w:b/>
        </w:rPr>
        <w:t xml:space="preserve">.</w:t>
      </w:r>
      <w:r>
        <w:t xml:space="preserve"> </w:t>
      </w:r>
      <w:r>
        <w:t xml:space="preserve">Old transparent proxies and carrier middleboxes mangle unrecognized traffic on port 80 but cannot see inside TLS [Grigorik 2013].</w:t>
      </w:r>
    </w:p>
    <w:p>
      <w:pPr>
        <w:numPr>
          <w:ilvl w:val="0"/>
          <w:numId w:val="1310"/>
        </w:numPr>
        <w:pStyle w:val="Compact"/>
      </w:pPr>
      <w:r>
        <w:rPr>
          <w:bCs/>
          <w:b/>
        </w:rPr>
        <w:t xml:space="preserve">L4 vs L7.</w:t>
      </w:r>
      <w:r>
        <w:t xml:space="preserve"> </w:t>
      </w:r>
      <w:r>
        <w:t xml:space="preserve">An L4 load balancer passes TCP through and scales to millions of flows; an L7 proxy terminates TLS and HTTP (path routing, central certificates) but holds two sockets per connection, and its upstream connections from one IP to one gateway IP:port are limited by the ephemeral port range (Linux default 32768–60999, about 28,000 ports) — add upstream IPs or ports beyond that.</w:t>
      </w:r>
    </w:p>
    <w:p>
      <w:pPr>
        <w:numPr>
          <w:ilvl w:val="0"/>
          <w:numId w:val="1310"/>
        </w:numPr>
        <w:pStyle w:val="Compact"/>
      </w:pPr>
      <w:r>
        <w:rPr>
          <w:bCs/>
          <w:b/>
        </w:rPr>
        <w:t xml:space="preserve">Balancing happens only at connect time.</w:t>
      </w:r>
      <w:r>
        <w:t xml:space="preserve"> </w:t>
      </w:r>
      <w:r>
        <w:t xml:space="preserve">A newly added gateway gets no load until clients reconnect, so least-connections beats round robin (§19.4); deploys need draining (§9.9.7).</w:t>
      </w:r>
    </w:p>
    <w:bookmarkEnd w:id="1018"/>
    <w:bookmarkStart w:id="1023" w:name="backpressure"/>
    <w:p>
      <w:pPr>
        <w:pStyle w:val="Heading3"/>
      </w:pPr>
      <w:r>
        <w:t xml:space="preserve">9.6.7 Backpressure</w:t>
      </w:r>
    </w:p>
    <w:p>
      <w:pPr>
        <w:pStyle w:val="FirstParagraph"/>
      </w:pPr>
      <w:r>
        <w:rPr>
          <w:bCs/>
          <w:b/>
        </w:rPr>
        <w:t xml:space="preserve">Backpressure</w:t>
      </w:r>
      <w:r>
        <w:t xml:space="preserve"> </w:t>
      </w:r>
      <w:r>
        <w:t xml:space="preserve">is a slow receiver pushing back on a fast sender (§22.10). TCP provides it at the transport layer: when a receiver stops reading, the sender’s kernel buffer fills and</w:t>
      </w:r>
      <w:r>
        <w:t xml:space="preserve"> </w:t>
      </w:r>
      <w:r>
        <w:rPr>
          <w:rStyle w:val="VerbatimChar"/>
        </w:rPr>
        <w:t xml:space="preserve">await send()</w:t>
      </w:r>
      <w:r>
        <w:t xml:space="preserve"> </w:t>
      </w:r>
      <w:r>
        <w:t xml:space="preserve">stops completing. The danger is the layer above: a gateway fanning a room message out to 10,000 connections must queue data for the one client on a congested mobile link. Unbounded, a few hundred slow clients can exhaust memory and kill every healthy connection on the gateway. Browsers have the mirror problem:</w:t>
      </w:r>
      <w:r>
        <w:t xml:space="preserve"> </w:t>
      </w:r>
      <w:r>
        <w:rPr>
          <w:rStyle w:val="VerbatimChar"/>
        </w:rPr>
        <w:t xml:space="preserve">WebSocket.send()</w:t>
      </w:r>
      <w:r>
        <w:t xml:space="preserve"> </w:t>
      </w:r>
      <w:r>
        <w:t xml:space="preserve">never blocks; it just grows</w:t>
      </w:r>
      <w:r>
        <w:t xml:space="preserve"> </w:t>
      </w:r>
      <w:r>
        <w:rPr>
          <w:rStyle w:val="VerbatimChar"/>
        </w:rPr>
        <w:t xml:space="preserve">bufferedAmount</w:t>
      </w:r>
      <w:r>
        <w:t xml:space="preserve">. Policies for a full per-connection queue:</w:t>
      </w:r>
    </w:p>
    <w:p>
      <w:pPr>
        <w:numPr>
          <w:ilvl w:val="0"/>
          <w:numId w:val="1311"/>
        </w:numPr>
        <w:pStyle w:val="Compact"/>
      </w:pPr>
      <w:r>
        <w:rPr>
          <w:bCs/>
          <w:b/>
        </w:rPr>
        <w:t xml:space="preserve">Disconnect the slow consumer</w:t>
      </w:r>
      <w:r>
        <w:t xml:space="preserve"> </w:t>
      </w:r>
      <w:r>
        <w:t xml:space="preserve">(close 1008 or an application code) and let it reconnect and resync from durable storage — simplest and safest; protects the gateway.</w:t>
      </w:r>
    </w:p>
    <w:p>
      <w:pPr>
        <w:numPr>
          <w:ilvl w:val="0"/>
          <w:numId w:val="1311"/>
        </w:numPr>
        <w:pStyle w:val="Compact"/>
      </w:pPr>
      <w:r>
        <w:rPr>
          <w:bCs/>
          <w:b/>
        </w:rPr>
        <w:t xml:space="preserve">Drop or coalesce</w:t>
      </w:r>
      <w:r>
        <w:t xml:space="preserve"> </w:t>
      </w:r>
      <w:r>
        <w:t xml:space="preserve">— for</w:t>
      </w:r>
      <w:r>
        <w:t xml:space="preserve"> </w:t>
      </w:r>
      <w:r>
        <w:t xml:space="preserve">“</w:t>
      </w:r>
      <w:r>
        <w:t xml:space="preserve">latest value wins</w:t>
      </w:r>
      <w:r>
        <w:t xml:space="preserve">”</w:t>
      </w:r>
      <w:r>
        <w:t xml:space="preserve"> </w:t>
      </w:r>
      <w:r>
        <w:t xml:space="preserve">data (prices, cursor positions, presence), keep only the newest value per key.</w:t>
      </w:r>
    </w:p>
    <w:p>
      <w:pPr>
        <w:numPr>
          <w:ilvl w:val="0"/>
          <w:numId w:val="1311"/>
        </w:numPr>
        <w:pStyle w:val="Compact"/>
      </w:pPr>
      <w:r>
        <w:rPr>
          <w:bCs/>
          <w:b/>
        </w:rPr>
        <w:t xml:space="preserve">Degrade</w:t>
      </w:r>
      <w:r>
        <w:t xml:space="preserve"> </w:t>
      </w:r>
      <w:r>
        <w:t xml:space="preserve">— switch the client to a lower update rate or a summary feed.</w:t>
      </w:r>
    </w:p>
    <w:p>
      <w:pPr>
        <w:pStyle w:val="FirstParagraph"/>
      </w:pPr>
      <w:r>
        <w:t xml:space="preserve">The chat server in Exercise 9.2 (§9.14) implements policy 1 with a bounded</w:t>
      </w:r>
      <w:r>
        <w:t xml:space="preserve"> </w:t>
      </w:r>
      <w:r>
        <w:rPr>
          <w:rStyle w:val="VerbatimChar"/>
        </w:rPr>
        <w:t xml:space="preserve">asyncio.Queue</w:t>
      </w:r>
      <w:r>
        <w:t xml:space="preserve"> </w:t>
      </w:r>
      <w:r>
        <w:t xml:space="preserve">per connection.</w:t>
      </w:r>
    </w:p>
    <w:bookmarkStart w:id="1019" w:name="real-world-industry-applications-20"/>
    <w:p>
      <w:pPr>
        <w:pStyle w:val="Heading4"/>
      </w:pPr>
      <w:r>
        <w:t xml:space="preserve">Real-world industry applications</w:t>
      </w:r>
    </w:p>
    <w:p>
      <w:pPr>
        <w:pStyle w:val="CalloutIndustry"/>
      </w:pPr>
      <w:r>
        <w:rPr>
          <w:bCs/>
          <w:b/>
        </w:rPr>
        <w:t xml:space="preserve">INDUSTRY EXAMPLE</w:t>
      </w:r>
    </w:p>
    <w:p>
      <w:pPr>
        <w:pStyle w:val="CalloutIndustry"/>
      </w:pPr>
      <w:r>
        <w:rPr>
          <w:bCs/>
          <w:b/>
        </w:rPr>
        <w:t xml:space="preserve">Slack’s real-time messaging.</w:t>
      </w:r>
      <w:r>
        <w:t xml:space="preserve"> </w:t>
      </w:r>
      <w:r>
        <w:t xml:space="preserve">Slack’s engineering blog describes clients holding WebSocket connections to stateful</w:t>
      </w:r>
      <w:r>
        <w:t xml:space="preserve"> </w:t>
      </w:r>
      <w:r>
        <w:rPr>
          <w:bCs/>
          <w:b/>
        </w:rPr>
        <w:t xml:space="preserve">Gateway Servers</w:t>
      </w:r>
      <w:r>
        <w:t xml:space="preserve"> </w:t>
      </w:r>
      <w:r>
        <w:t xml:space="preserve">(user information and channel subscriptions in memory), which subscribe to</w:t>
      </w:r>
      <w:r>
        <w:t xml:space="preserve"> </w:t>
      </w:r>
      <w:r>
        <w:rPr>
          <w:bCs/>
          <w:b/>
        </w:rPr>
        <w:t xml:space="preserve">Channel Servers</w:t>
      </w:r>
      <w:r>
        <w:t xml:space="preserve"> </w:t>
      </w:r>
      <w:r>
        <w:t xml:space="preserve">that own channels via consistent hashing; separate Presence Servers track who is online. A message goes to the owning Channel Server, which pushes it to every subscribed Gateway Server, which writes it to local sockets. A separate post describes migrating millions of concurrent WebSockets at the edge from HAProxy to Envoy, motivated largely by operational problems such as configuration reloads.</w:t>
      </w:r>
      <w:r>
        <w:t xml:space="preserve"> </w:t>
      </w:r>
      <w:r>
        <w:rPr>
          <w:iCs/>
          <w:i/>
        </w:rPr>
        <w:t xml:space="preserve">Evidence: Primary</w:t>
      </w:r>
      <w:r>
        <w:t xml:space="preserve"> </w:t>
      </w:r>
      <w:r>
        <w:t xml:space="preserve">— [Slack Engineering 2023]; [Slack Engineering 2021].</w:t>
      </w:r>
    </w:p>
    <w:bookmarkEnd w:id="1019"/>
    <w:bookmarkStart w:id="1020" w:name="advantages-and-disadvantages-7"/>
    <w:p>
      <w:pPr>
        <w:pStyle w:val="Heading4"/>
      </w:pPr>
      <w:r>
        <w:t xml:space="preserve">Advantages and disadvantages</w:t>
      </w:r>
    </w:p>
    <w:p>
      <w:pPr>
        <w:numPr>
          <w:ilvl w:val="0"/>
          <w:numId w:val="1312"/>
        </w:numPr>
        <w:pStyle w:val="Compact"/>
      </w:pPr>
      <w:r>
        <w:rPr>
          <w:bCs/>
          <w:b/>
        </w:rPr>
        <w:t xml:space="preserve">Advantages:</w:t>
      </w:r>
      <w:r>
        <w:t xml:space="preserve"> </w:t>
      </w:r>
      <w:r>
        <w:t xml:space="preserve">full duplex with minimal per-message overhead (2–14 bytes); binary and text messages; message boundaries preserved; universal browser support; passes through ports 80/443.</w:t>
      </w:r>
    </w:p>
    <w:p>
      <w:pPr>
        <w:numPr>
          <w:ilvl w:val="0"/>
          <w:numId w:val="1312"/>
        </w:numPr>
        <w:pStyle w:val="Compact"/>
      </w:pPr>
      <w:r>
        <w:rPr>
          <w:bCs/>
          <w:b/>
        </w:rPr>
        <w:t xml:space="preserve">Disadvantages:</w:t>
      </w:r>
      <w:r>
        <w:t xml:space="preserve"> </w:t>
      </w:r>
      <w:r>
        <w:t xml:space="preserve">stateful connections complicate load balancing, autoscaling and deploys; you must build heartbeats, reconnection, resumption, ordering and backpressure yourself (none are in the protocol); bypasses HTTP-level caching, compression defaults and much of the HTTP observability tooling; security is easy to get wrong (Origin checks, message-size limits, authentication refresh on long sessions).</w:t>
      </w:r>
    </w:p>
    <w:bookmarkEnd w:id="1020"/>
    <w:bookmarkStart w:id="1021" w:name="failure-scenarios-24"/>
    <w:p>
      <w:pPr>
        <w:pStyle w:val="Heading4"/>
      </w:pPr>
      <w:r>
        <w:t xml:space="preserve">Failure scenarios</w:t>
      </w:r>
    </w:p>
    <w:p>
      <w:pPr>
        <w:pStyle w:val="FirstParagraph"/>
      </w:pPr>
      <w:r>
        <w:rPr>
          <w:bCs/>
          <w:b/>
        </w:rPr>
        <w:t xml:space="preserve">Table 9.8 — WebSocket 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Handshake fails with 400/426 behind proxy</w:t>
            </w:r>
          </w:p>
        </w:tc>
        <w:tc>
          <w:tcPr/>
          <w:p>
            <w:pPr>
              <w:pStyle w:val="Compact"/>
              <w:jc w:val="left"/>
            </w:pPr>
            <w:r>
              <w:t xml:space="preserve">Proxy strips</w:t>
            </w:r>
            <w:r>
              <w:t xml:space="preserve"> </w:t>
            </w:r>
            <w:r>
              <w:rPr>
                <w:rStyle w:val="VerbatimChar"/>
              </w:rPr>
              <w:t xml:space="preserve">Upgrade</w:t>
            </w:r>
            <w:r>
              <w:t xml:space="preserve">/</w:t>
            </w:r>
            <w:r>
              <w:rPr>
                <w:rStyle w:val="VerbatimChar"/>
              </w:rPr>
              <w:t xml:space="preserve">Connection</w:t>
            </w:r>
          </w:p>
        </w:tc>
        <w:tc>
          <w:tcPr/>
          <w:p>
            <w:pPr>
              <w:pStyle w:val="Compact"/>
              <w:jc w:val="left"/>
            </w:pPr>
            <w:r>
              <w:t xml:space="preserve">101 rate ≈ 0 for one route</w:t>
            </w:r>
          </w:p>
        </w:tc>
        <w:tc>
          <w:tcPr/>
          <w:p>
            <w:pPr>
              <w:pStyle w:val="Compact"/>
              <w:jc w:val="left"/>
            </w:pPr>
            <w:r>
              <w:t xml:space="preserve">Fix proxy config</w:t>
            </w:r>
          </w:p>
        </w:tc>
        <w:tc>
          <w:tcPr/>
          <w:p>
            <w:pPr>
              <w:pStyle w:val="Compact"/>
              <w:jc w:val="left"/>
            </w:pPr>
            <w:r>
              <w:t xml:space="preserve">Configure WebSocket routes explicitly; integration test through the real proxy</w:t>
            </w:r>
          </w:p>
        </w:tc>
      </w:tr>
      <w:tr>
        <w:tc>
          <w:tcPr/>
          <w:p>
            <w:pPr>
              <w:pStyle w:val="Compact"/>
              <w:jc w:val="left"/>
            </w:pPr>
            <w:r>
              <w:t xml:space="preserve">“</w:t>
            </w:r>
            <w:r>
              <w:t xml:space="preserve">Ghost</w:t>
            </w:r>
            <w:r>
              <w:t xml:space="preserve">”</w:t>
            </w:r>
            <w:r>
              <w:t xml:space="preserve"> </w:t>
            </w:r>
            <w:r>
              <w:t xml:space="preserve">connections</w:t>
            </w:r>
          </w:p>
        </w:tc>
        <w:tc>
          <w:tcPr/>
          <w:p>
            <w:pPr>
              <w:pStyle w:val="Compact"/>
              <w:jc w:val="left"/>
            </w:pPr>
            <w:r>
              <w:t xml:space="preserve">TCP peer vanished; no FIN received</w:t>
            </w:r>
          </w:p>
        </w:tc>
        <w:tc>
          <w:tcPr/>
          <w:p>
            <w:pPr>
              <w:pStyle w:val="Compact"/>
              <w:jc w:val="left"/>
            </w:pPr>
            <w:r>
              <w:t xml:space="preserve">Connection gauge grows, traffic per connection falls</w:t>
            </w:r>
          </w:p>
        </w:tc>
        <w:tc>
          <w:tcPr/>
          <w:p>
            <w:pPr>
              <w:pStyle w:val="Compact"/>
              <w:jc w:val="left"/>
            </w:pPr>
            <w:r>
              <w:t xml:space="preserve">Close on pong timeout</w:t>
            </w:r>
          </w:p>
        </w:tc>
        <w:tc>
          <w:tcPr/>
          <w:p>
            <w:pPr>
              <w:pStyle w:val="Compact"/>
              <w:jc w:val="left"/>
            </w:pPr>
            <w:r>
              <w:t xml:space="preserve">Server pings every 20–30 s with timeout</w:t>
            </w:r>
          </w:p>
        </w:tc>
      </w:tr>
      <w:tr>
        <w:tc>
          <w:tcPr/>
          <w:p>
            <w:pPr>
              <w:pStyle w:val="Compact"/>
              <w:jc w:val="left"/>
            </w:pPr>
            <w:r>
              <w:t xml:space="preserve">Gateway OOM</w:t>
            </w:r>
          </w:p>
        </w:tc>
        <w:tc>
          <w:tcPr/>
          <w:p>
            <w:pPr>
              <w:pStyle w:val="Compact"/>
              <w:jc w:val="left"/>
            </w:pPr>
            <w:r>
              <w:t xml:space="preserve">Unbounded per-connection send queues to slow clients</w:t>
            </w:r>
          </w:p>
        </w:tc>
        <w:tc>
          <w:tcPr/>
          <w:p>
            <w:pPr>
              <w:pStyle w:val="Compact"/>
              <w:jc w:val="left"/>
            </w:pPr>
            <w:r>
              <w:t xml:space="preserve">Memory rises with fan-out volume</w:t>
            </w:r>
          </w:p>
        </w:tc>
        <w:tc>
          <w:tcPr/>
          <w:p>
            <w:pPr>
              <w:pStyle w:val="Compact"/>
              <w:jc w:val="left"/>
            </w:pPr>
            <w:r>
              <w:t xml:space="preserve">Kill slow consumers</w:t>
            </w:r>
          </w:p>
        </w:tc>
        <w:tc>
          <w:tcPr/>
          <w:p>
            <w:pPr>
              <w:pStyle w:val="Compact"/>
              <w:jc w:val="left"/>
            </w:pPr>
            <w:r>
              <w:t xml:space="preserve">Bounded queues + slow-consumer policy</w:t>
            </w:r>
          </w:p>
        </w:tc>
      </w:tr>
      <w:tr>
        <w:tc>
          <w:tcPr/>
          <w:p>
            <w:pPr>
              <w:pStyle w:val="Compact"/>
              <w:jc w:val="left"/>
            </w:pPr>
            <w:r>
              <w:t xml:space="preserve">Reconnect storm after deploy</w:t>
            </w:r>
          </w:p>
        </w:tc>
        <w:tc>
          <w:tcPr/>
          <w:p>
            <w:pPr>
              <w:pStyle w:val="Compact"/>
              <w:jc w:val="left"/>
            </w:pPr>
            <w:r>
              <w:t xml:space="preserve">All connections on a node closed at once; clients retry immediately</w:t>
            </w:r>
          </w:p>
        </w:tc>
        <w:tc>
          <w:tcPr/>
          <w:p>
            <w:pPr>
              <w:pStyle w:val="Compact"/>
              <w:jc w:val="left"/>
            </w:pPr>
            <w:r>
              <w:t xml:space="preserve">Spike of handshakes and TLS CPU</w:t>
            </w:r>
          </w:p>
        </w:tc>
        <w:tc>
          <w:tcPr/>
          <w:p>
            <w:pPr>
              <w:pStyle w:val="Compact"/>
              <w:jc w:val="left"/>
            </w:pPr>
            <w:r>
              <w:t xml:space="preserve">Shed with 1013</w:t>
            </w:r>
          </w:p>
        </w:tc>
        <w:tc>
          <w:tcPr/>
          <w:p>
            <w:pPr>
              <w:pStyle w:val="Compact"/>
              <w:jc w:val="left"/>
            </w:pPr>
            <w:r>
              <w:t xml:space="preserve">Gradual drain + jittered backoff (§9.9.6–9.9.7)</w:t>
            </w:r>
          </w:p>
        </w:tc>
      </w:tr>
    </w:tbl>
    <w:bookmarkEnd w:id="1021"/>
    <w:bookmarkStart w:id="1022" w:name="common-misconceptions-21"/>
    <w:p>
      <w:pPr>
        <w:pStyle w:val="Heading4"/>
      </w:pPr>
      <w:r>
        <w:t xml:space="preserve">Common misconceptions</w:t>
      </w:r>
    </w:p>
    <w:p>
      <w:pPr>
        <w:pStyle w:val="CalloutMistake"/>
      </w:pPr>
      <w:r>
        <w:rPr>
          <w:bCs/>
          <w:b/>
        </w:rPr>
        <w:t xml:space="preserve">COMMON MISTAKE</w:t>
      </w:r>
    </w:p>
    <w:p>
      <w:pPr>
        <w:pStyle w:val="CalloutMistake"/>
      </w:pPr>
      <w:r>
        <w:rPr>
          <w:bCs/>
          <w:b/>
        </w:rPr>
        <w:t xml:space="preserve">“</w:t>
      </w:r>
      <w:r>
        <w:rPr>
          <w:bCs/>
          <w:b/>
        </w:rPr>
        <w:t xml:space="preserve">TCP keepalive makes WebSocket heartbeats unnecessary.</w:t>
      </w:r>
      <w:r>
        <w:rPr>
          <w:bCs/>
          <w:b/>
        </w:rPr>
        <w:t xml:space="preserve">”</w:t>
      </w:r>
      <w:r>
        <w:t xml:space="preserve"> </w:t>
      </w:r>
      <w:r>
        <w:t xml:space="preserve">Linux TCP keepalive defaults to the first probe after 2 hours of idleness — far longer than NAT and load-balancer idle timeouts — and it is not visible to the application. Use WebSocket Ping/Pong (server side) and an application heartbeat (browser side).</w:t>
      </w:r>
    </w:p>
    <w:bookmarkEnd w:id="1022"/>
    <w:bookmarkEnd w:id="1023"/>
    <w:bookmarkEnd w:id="1024"/>
    <w:bookmarkStart w:id="1037" w:name="webrtc-basics"/>
    <w:p>
      <w:pPr>
        <w:pStyle w:val="Heading2"/>
      </w:pPr>
      <w:r>
        <w:t xml:space="preserve">9.7 WebRTC basics</w:t>
      </w:r>
    </w:p>
    <w:bookmarkStart w:id="1031" w:name="what-webrtc-is"/>
    <w:p>
      <w:pPr>
        <w:pStyle w:val="Heading3"/>
      </w:pPr>
      <w:r>
        <w:t xml:space="preserve">9.7.1 What WebRTC is</w:t>
      </w:r>
    </w:p>
    <w:p>
      <w:pPr>
        <w:pStyle w:val="CalloutDefinition"/>
      </w:pPr>
      <w:r>
        <w:rPr>
          <w:bCs/>
          <w:b/>
        </w:rPr>
        <w:t xml:space="preserve">DEFINITION</w:t>
      </w:r>
    </w:p>
    <w:p>
      <w:pPr>
        <w:pStyle w:val="CalloutDefinition"/>
      </w:pPr>
      <w:r>
        <w:rPr>
          <w:bCs/>
          <w:b/>
        </w:rPr>
        <w:t xml:space="preserve">Definition — WebRTC.</w:t>
      </w:r>
      <w:r>
        <w:t xml:space="preserve"> </w:t>
      </w:r>
      <w:r>
        <w:t xml:space="preserve">A set of IETF protocols (overview in RFC 8825 [Alvestrand 2021]) and a W3C browser API [W3C WebRTC] for real-time audio, video and arbitrary data directly between peers. Media travels over SRTP, data over SCTP data channels, both secured by DTLS, typically over UDP; peers discover a working network path using ICE with the help of STUN and TURN servers.</w:t>
      </w:r>
    </w:p>
    <w:bookmarkStart w:id="1025" w:name="first-principles-explanation-52"/>
    <w:p>
      <w:pPr>
        <w:pStyle w:val="Heading4"/>
      </w:pPr>
      <w:r>
        <w:t xml:space="preserve">First-principles explanation</w:t>
      </w:r>
    </w:p>
    <w:p>
      <w:pPr>
        <w:pStyle w:val="FirstParagraph"/>
      </w:pPr>
      <w:r>
        <w:t xml:space="preserve">Everything so far routes through your servers. For a video call that is wasteful: two people in one city would send video to a data center and back. WebRTC lets browsers talk directly — but most devices sit behind</w:t>
      </w:r>
      <w:r>
        <w:t xml:space="preserve"> </w:t>
      </w:r>
      <w:r>
        <w:rPr>
          <w:bCs/>
          <w:b/>
        </w:rPr>
        <w:t xml:space="preserve">NAT</w:t>
      </w:r>
      <w:r>
        <w:t xml:space="preserve"> </w:t>
      </w:r>
      <w:r>
        <w:t xml:space="preserve">(§7.13), which drops unsolicited inbound packets. Think of two employees in different buildings whose receptionists only admit callers they have already phoned. They need a mutual friend to pass numbers (</w:t>
      </w:r>
      <w:r>
        <w:rPr>
          <w:bCs/>
          <w:b/>
        </w:rPr>
        <w:t xml:space="preserve">signaling</w:t>
      </w:r>
      <w:r>
        <w:t xml:space="preserve">), a way to learn the number the outside world sees (</w:t>
      </w:r>
      <w:r>
        <w:rPr>
          <w:bCs/>
          <w:b/>
        </w:rPr>
        <w:t xml:space="preserve">STUN</w:t>
      </w:r>
      <w:r>
        <w:t xml:space="preserve">), a trick of both calling at once so each receptionist expects the call (</w:t>
      </w:r>
      <w:r>
        <w:rPr>
          <w:bCs/>
          <w:b/>
        </w:rPr>
        <w:t xml:space="preserve">ICE connectivity checks</w:t>
      </w:r>
      <w:r>
        <w:t xml:space="preserve">, or hole punching), and as a last resort a switchboard that relays the call (</w:t>
      </w:r>
      <w:r>
        <w:rPr>
          <w:bCs/>
          <w:b/>
        </w:rPr>
        <w:t xml:space="preserve">TURN</w:t>
      </w:r>
      <w:r>
        <w:t xml:space="preserve">).</w:t>
      </w:r>
    </w:p>
    <w:bookmarkEnd w:id="1025"/>
    <w:bookmarkStart w:id="1026" w:name="why-does-this-exist-34"/>
    <w:p>
      <w:pPr>
        <w:pStyle w:val="Heading4"/>
      </w:pPr>
      <w:r>
        <w:t xml:space="preserve">Why does this exist?</w:t>
      </w:r>
    </w:p>
    <w:p>
      <w:pPr>
        <w:pStyle w:val="FirstParagraph"/>
      </w:pPr>
      <w:r>
        <w:t xml:space="preserve">Conversation needs mouth-to-ear latency below roughly 150–200 ms and tolerates a little loss better than delay. TCP-based techniques retransmit lost packets and suffer head-of-line blocking — the wrong trade for live media. WebRTC gives browsers encrypted, congestion-controlled UDP media and data channels with NAT traversal built in.</w:t>
      </w:r>
    </w:p>
    <w:bookmarkEnd w:id="1026"/>
    <w:bookmarkStart w:id="1030" w:name="how-it-works-internally-32"/>
    <w:p>
      <w:pPr>
        <w:pStyle w:val="Heading4"/>
      </w:pPr>
      <w:r>
        <w:t xml:space="preserve">How it works internally</w:t>
      </w:r>
    </w:p>
    <w:p>
      <w:pPr>
        <w:numPr>
          <w:ilvl w:val="0"/>
          <w:numId w:val="1313"/>
        </w:numPr>
        <w:pStyle w:val="Compact"/>
      </w:pPr>
      <w:r>
        <w:rPr>
          <w:bCs/>
          <w:b/>
        </w:rPr>
        <w:t xml:space="preserve">Signaling (not specified by WebRTC).</w:t>
      </w:r>
      <w:r>
        <w:t xml:space="preserve"> </w:t>
      </w:r>
      <w:r>
        <w:t xml:space="preserve">Peers exchange session descriptions —</w:t>
      </w:r>
      <w:r>
        <w:t xml:space="preserve"> </w:t>
      </w:r>
      <w:r>
        <w:rPr>
          <w:bCs/>
          <w:b/>
        </w:rPr>
        <w:t xml:space="preserve">SDP offer</w:t>
      </w:r>
      <w:r>
        <w:t xml:space="preserve"> </w:t>
      </w:r>
      <w:r>
        <w:t xml:space="preserve">and</w:t>
      </w:r>
      <w:r>
        <w:t xml:space="preserve"> </w:t>
      </w:r>
      <w:r>
        <w:rPr>
          <w:bCs/>
          <w:b/>
        </w:rPr>
        <w:t xml:space="preserve">answer</w:t>
      </w:r>
      <w:r>
        <w:t xml:space="preserve"> </w:t>
      </w:r>
      <w:r>
        <w:t xml:space="preserve">listing codecs, encryption fingerprints and media streams — through any channel you choose, commonly a WebSocket to your signaling server. The browser API that produces offers and answers is defined by JSEP [RFC 8829].</w:t>
      </w:r>
    </w:p>
    <w:p>
      <w:pPr>
        <w:numPr>
          <w:ilvl w:val="0"/>
          <w:numId w:val="1313"/>
        </w:numPr>
        <w:pStyle w:val="Compact"/>
      </w:pPr>
      <w:r>
        <w:rPr>
          <w:bCs/>
          <w:b/>
        </w:rPr>
        <w:t xml:space="preserve">Candidate gathering.</w:t>
      </w:r>
      <w:r>
        <w:t xml:space="preserve"> </w:t>
      </w:r>
      <w:r>
        <w:t xml:space="preserve">Each peer’s ICE agent collects</w:t>
      </w:r>
      <w:r>
        <w:t xml:space="preserve"> </w:t>
      </w:r>
      <w:r>
        <w:rPr>
          <w:bCs/>
          <w:b/>
        </w:rPr>
        <w:t xml:space="preserve">candidates</w:t>
      </w:r>
      <w:r>
        <w:t xml:space="preserve"> </w:t>
      </w:r>
      <w:r>
        <w:t xml:space="preserve">(address:port pairs):</w:t>
      </w:r>
      <w:r>
        <w:t xml:space="preserve"> </w:t>
      </w:r>
      <w:r>
        <w:rPr>
          <w:iCs/>
          <w:i/>
        </w:rPr>
        <w:t xml:space="preserve">host</w:t>
      </w:r>
      <w:r>
        <w:t xml:space="preserve"> </w:t>
      </w:r>
      <w:r>
        <w:t xml:space="preserve">candidates (local interface addresses),</w:t>
      </w:r>
      <w:r>
        <w:t xml:space="preserve"> </w:t>
      </w:r>
      <w:r>
        <w:rPr>
          <w:iCs/>
          <w:i/>
        </w:rPr>
        <w:t xml:space="preserve">server-reflexive</w:t>
      </w:r>
      <w:r>
        <w:t xml:space="preserve"> </w:t>
      </w:r>
      <w:r>
        <w:t xml:space="preserve">candidates (the public address:port a</w:t>
      </w:r>
      <w:r>
        <w:t xml:space="preserve"> </w:t>
      </w:r>
      <w:r>
        <w:rPr>
          <w:bCs/>
          <w:b/>
        </w:rPr>
        <w:t xml:space="preserve">STUN</w:t>
      </w:r>
      <w:r>
        <w:t xml:space="preserve"> </w:t>
      </w:r>
      <w:r>
        <w:t xml:space="preserve">server reports seeing the request come from [RFC 8489]) and</w:t>
      </w:r>
      <w:r>
        <w:t xml:space="preserve"> </w:t>
      </w:r>
      <w:r>
        <w:rPr>
          <w:iCs/>
          <w:i/>
        </w:rPr>
        <w:t xml:space="preserve">relayed</w:t>
      </w:r>
      <w:r>
        <w:t xml:space="preserve"> </w:t>
      </w:r>
      <w:r>
        <w:t xml:space="preserve">candidates (an address allocated on a</w:t>
      </w:r>
      <w:r>
        <w:t xml:space="preserve"> </w:t>
      </w:r>
      <w:r>
        <w:rPr>
          <w:bCs/>
          <w:b/>
        </w:rPr>
        <w:t xml:space="preserve">TURN</w:t>
      </w:r>
      <w:r>
        <w:t xml:space="preserve"> </w:t>
      </w:r>
      <w:r>
        <w:t xml:space="preserve">relay server [RFC 8656]). Candidates are trickled to the other peer through signaling as they are found.</w:t>
      </w:r>
    </w:p>
    <w:p>
      <w:pPr>
        <w:numPr>
          <w:ilvl w:val="0"/>
          <w:numId w:val="1313"/>
        </w:numPr>
        <w:pStyle w:val="Compact"/>
      </w:pPr>
      <w:r>
        <w:rPr>
          <w:bCs/>
          <w:b/>
        </w:rPr>
        <w:t xml:space="preserve">Connectivity checks.</w:t>
      </w:r>
      <w:r>
        <w:t xml:space="preserve"> </w:t>
      </w:r>
      <w:r>
        <w:t xml:space="preserve">ICE [RFC 8445] pairs local and remote candidates, sends STUN binding requests on each pair simultaneously from both sides (punching holes through both NATs), and nominates the best pair that works, preferring direct paths over relayed ones.</w:t>
      </w:r>
    </w:p>
    <w:p>
      <w:pPr>
        <w:numPr>
          <w:ilvl w:val="0"/>
          <w:numId w:val="1313"/>
        </w:numPr>
        <w:pStyle w:val="Compact"/>
      </w:pPr>
      <w:r>
        <w:rPr>
          <w:bCs/>
          <w:b/>
        </w:rPr>
        <w:t xml:space="preserve">Security.</w:t>
      </w:r>
      <w:r>
        <w:t xml:space="preserve"> </w:t>
      </w:r>
      <w:r>
        <w:t xml:space="preserve">A DTLS handshake on the chosen path authenticates peers using the certificate fingerprints exchanged in SDP and derives keys for</w:t>
      </w:r>
      <w:r>
        <w:t xml:space="preserve"> </w:t>
      </w:r>
      <w:r>
        <w:rPr>
          <w:bCs/>
          <w:b/>
        </w:rPr>
        <w:t xml:space="preserve">SRTP</w:t>
      </w:r>
      <w:r>
        <w:t xml:space="preserve"> </w:t>
      </w:r>
      <w:r>
        <w:t xml:space="preserve">(media). Data channels run SCTP over DTLS. Encryption is mandatory.</w:t>
      </w:r>
    </w:p>
    <w:p>
      <w:pPr>
        <w:numPr>
          <w:ilvl w:val="0"/>
          <w:numId w:val="1313"/>
        </w:numPr>
        <w:pStyle w:val="Compact"/>
      </w:pPr>
      <w:r>
        <w:rPr>
          <w:bCs/>
          <w:b/>
        </w:rPr>
        <w:t xml:space="preserve">Media flow and adaptation.</w:t>
      </w:r>
      <w:r>
        <w:t xml:space="preserve"> </w:t>
      </w:r>
      <w:r>
        <w:t xml:space="preserve">Media flows peer to peer (or via TURN); congestion control and the codec adapt bitrate continuously; RTCP feedback reports loss and jitter.</w:t>
      </w:r>
    </w:p>
    <w:p>
      <w:pPr>
        <w:pStyle w:val="FirstParagraph"/>
      </w:pPr>
      <w:r>
        <w:t xml:space="preserve">When NATs allocate a new external port per destination (often called symmetric NAT) or firewalls block UDP, direct paths fail and traffic relays through TURN (over UDP, TCP or TLS on 443). TURN carries every media byte, so it is the most expensive component of a WebRTC deployment.</w:t>
      </w:r>
    </w:p>
    <w:p>
      <w:pPr>
        <w:pStyle w:val="BodyText"/>
      </w:pPr>
      <w:r>
        <w:rPr>
          <w:bCs/>
          <w:b/>
        </w:rPr>
        <w:t xml:space="preserve">Figure 9.6 — WebRTC session establishment: signaling, STUN, ICE and TURN fallback.</w:t>
      </w:r>
    </w:p>
    <w:p>
      <w:pPr>
        <w:pStyle w:val="BodyText"/>
      </w:pPr>
      <w:r>
        <w:drawing>
          <wp:inline>
            <wp:extent cx="5334000" cy="3498070"/>
            <wp:effectExtent b="0" l="0" r="0" t="0"/>
            <wp:docPr descr="" title="" id="1028" name="Picture"/>
            <a:graphic>
              <a:graphicData uri="http://schemas.openxmlformats.org/drawingml/2006/picture">
                <pic:pic>
                  <pic:nvPicPr>
                    <pic:cNvPr descr="/home/user/System-Design/build/.cache/diagrams/6d29367648ae.png" id="1029" name="Picture"/>
                    <pic:cNvPicPr>
                      <a:picLocks noChangeArrowheads="1" noChangeAspect="1"/>
                    </pic:cNvPicPr>
                  </pic:nvPicPr>
                  <pic:blipFill>
                    <a:blip r:embed="rId1027"/>
                    <a:stretch>
                      <a:fillRect/>
                    </a:stretch>
                  </pic:blipFill>
                  <pic:spPr bwMode="auto">
                    <a:xfrm>
                      <a:off x="0" y="0"/>
                      <a:ext cx="5334000" cy="3498070"/>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signaling server is</w:t>
      </w:r>
      <w:r>
        <w:t xml:space="preserve"> </w:t>
      </w:r>
      <w:r>
        <w:rPr>
          <w:iCs/>
          <w:i/>
        </w:rPr>
        <w:t xml:space="preserve">your</w:t>
      </w:r>
      <w:r>
        <w:t xml:space="preserve"> </w:t>
      </w:r>
      <w:r>
        <w:t xml:space="preserve">service (often a WebSocket gateway) and relays only offers, answers and candidates over TCP — never media. The STUN server answers</w:t>
      </w:r>
      <w:r>
        <w:t xml:space="preserve"> </w:t>
      </w:r>
      <w:r>
        <w:t xml:space="preserve">“</w:t>
      </w:r>
      <w:r>
        <w:t xml:space="preserve">what address do you appear to come from?</w:t>
      </w:r>
      <w:r>
        <w:t xml:space="preserve">”</w:t>
      </w:r>
      <w:r>
        <w:t xml:space="preserve"> </w:t>
      </w:r>
      <w:r>
        <w:t xml:space="preserve">with one small UDP exchange. The peers then run simultaneous connectivity checks; if any direct pair works, encrypted media flows peer to peer over UDP and your infrastructure carries nothing. Otherwise TURN relays every media packet — the fallback path and the main cost driver, best deployed in several regions close to users.</w:t>
      </w:r>
    </w:p>
    <w:bookmarkEnd w:id="1030"/>
    <w:bookmarkEnd w:id="1031"/>
    <w:bookmarkStart w:id="1036" w:name="group-calls-mesh-sfu-and-mcu"/>
    <w:p>
      <w:pPr>
        <w:pStyle w:val="Heading3"/>
      </w:pPr>
      <w:r>
        <w:t xml:space="preserve">9.7.2 Group calls: mesh, SFU and MCU</w:t>
      </w:r>
    </w:p>
    <w:p>
      <w:pPr>
        <w:pStyle w:val="FirstParagraph"/>
      </w:pPr>
      <w:r>
        <w:t xml:space="preserve">Peer-to-peer works for two people. For</w:t>
      </w:r>
      <w:r>
        <w:t xml:space="preserve"> </w:t>
      </w:r>
      <w:r>
        <w:rPr>
          <w:iCs/>
          <w:i/>
        </w:rPr>
        <w:t xml:space="preserve">N</w:t>
      </w:r>
      <w:r>
        <w:t xml:space="preserve"> </w:t>
      </w:r>
      <w:r>
        <w:t xml:space="preserve">participants there are three topologies:</w:t>
      </w:r>
    </w:p>
    <w:p>
      <w:pPr>
        <w:numPr>
          <w:ilvl w:val="0"/>
          <w:numId w:val="1314"/>
        </w:numPr>
        <w:pStyle w:val="Compact"/>
      </w:pPr>
      <w:r>
        <w:rPr>
          <w:bCs/>
          <w:b/>
        </w:rPr>
        <w:t xml:space="preserve">Mesh</w:t>
      </w:r>
      <w:r>
        <w:t xml:space="preserve"> </w:t>
      </w:r>
      <w:r>
        <w:t xml:space="preserve">— every participant sends its stream to every other participant directly.</w:t>
      </w:r>
    </w:p>
    <w:p>
      <w:pPr>
        <w:numPr>
          <w:ilvl w:val="0"/>
          <w:numId w:val="1314"/>
        </w:numPr>
        <w:pStyle w:val="Compact"/>
      </w:pPr>
      <w:r>
        <w:rPr>
          <w:bCs/>
          <w:b/>
        </w:rPr>
        <w:t xml:space="preserve">SFU (Selective Forwarding Unit)</w:t>
      </w:r>
      <w:r>
        <w:t xml:space="preserve"> </w:t>
      </w:r>
      <w:r>
        <w:t xml:space="preserve">— every participant sends one stream (often several resolutions at once, called</w:t>
      </w:r>
      <w:r>
        <w:t xml:space="preserve"> </w:t>
      </w:r>
      <w:r>
        <w:rPr>
          <w:bCs/>
          <w:b/>
        </w:rPr>
        <w:t xml:space="preserve">simulcast</w:t>
      </w:r>
      <w:r>
        <w:t xml:space="preserve">) to a server, which</w:t>
      </w:r>
      <w:r>
        <w:t xml:space="preserve"> </w:t>
      </w:r>
      <w:r>
        <w:rPr>
          <w:iCs/>
          <w:i/>
        </w:rPr>
        <w:t xml:space="preserve">forwards</w:t>
      </w:r>
      <w:r>
        <w:t xml:space="preserve"> </w:t>
      </w:r>
      <w:r>
        <w:t xml:space="preserve">packets to each receiver without decoding them, choosing a resolution per receiver.</w:t>
      </w:r>
    </w:p>
    <w:p>
      <w:pPr>
        <w:numPr>
          <w:ilvl w:val="0"/>
          <w:numId w:val="1314"/>
        </w:numPr>
        <w:pStyle w:val="Compact"/>
      </w:pPr>
      <w:r>
        <w:rPr>
          <w:bCs/>
          <w:b/>
        </w:rPr>
        <w:t xml:space="preserve">MCU (Multipoint Control Unit)</w:t>
      </w:r>
      <w:r>
        <w:t xml:space="preserve"> </w:t>
      </w:r>
      <w:r>
        <w:t xml:space="preserve">— the server</w:t>
      </w:r>
      <w:r>
        <w:t xml:space="preserve"> </w:t>
      </w:r>
      <w:r>
        <w:rPr>
          <w:iCs/>
          <w:i/>
        </w:rPr>
        <w:t xml:space="preserve">decodes</w:t>
      </w:r>
      <w:r>
        <w:t xml:space="preserve"> </w:t>
      </w:r>
      <w:r>
        <w:t xml:space="preserve">all streams, mixes them into one composite (a grid video, a mixed audio track), re-encodes and sends one stream to each participant.</w:t>
      </w:r>
    </w:p>
    <w:p>
      <w:pPr>
        <w:pStyle w:val="FirstParagraph"/>
      </w:pPr>
      <w:r>
        <w:rPr>
          <w:bCs/>
          <w:b/>
        </w:rPr>
        <w:t xml:space="preserve">Figure 9.7 — Mesh, SFU and MCU topologies for a four-person call.</w:t>
      </w:r>
    </w:p>
    <w:p>
      <w:pPr>
        <w:pStyle w:val="BodyText"/>
      </w:pPr>
      <w:r>
        <w:drawing>
          <wp:inline>
            <wp:extent cx="5334000" cy="10668000"/>
            <wp:effectExtent b="0" l="0" r="0" t="0"/>
            <wp:docPr descr="" title="" id="1033" name="Picture"/>
            <a:graphic>
              <a:graphicData uri="http://schemas.openxmlformats.org/drawingml/2006/picture">
                <pic:pic>
                  <pic:nvPicPr>
                    <pic:cNvPr descr="/home/user/System-Design/build/.cache/diagrams/4910c292fa8e.png" id="1034" name="Picture"/>
                    <pic:cNvPicPr>
                      <a:picLocks noChangeArrowheads="1" noChangeAspect="1"/>
                    </pic:cNvPicPr>
                  </pic:nvPicPr>
                  <pic:blipFill>
                    <a:blip r:embed="rId1032"/>
                    <a:stretch>
                      <a:fillRect/>
                    </a:stretch>
                  </pic:blipFill>
                  <pic:spPr bwMode="auto">
                    <a:xfrm>
                      <a:off x="0" y="0"/>
                      <a:ext cx="5334000" cy="10668000"/>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In the mesh, each participant uploads three copies of its video, so home upstream bandwidth is the bottleneck. With an SFU, each participant uploads once and downloads three streams; the server only copies packets (cheap CPU, high bandwidth). With an MCU, each participant uploads and downloads one stream, but the server decodes, mixes and re-encodes everything (expensive CPU, added latency, no end-to-end encryption). All arrows are asynchronous UDP media; signaling (not shown) runs through your WebSocket service.</w:t>
      </w:r>
    </w:p>
    <w:p>
      <w:pPr>
        <w:pStyle w:val="CalloutFormula"/>
      </w:pPr>
      <w:r>
        <w:rPr>
          <w:bCs/>
          <w:b/>
        </w:rPr>
        <w:t xml:space="preserve">FORMULA</w:t>
      </w:r>
    </w:p>
    <w:p>
      <w:pPr>
        <w:pStyle w:val="CalloutFormula"/>
      </w:pPr>
      <w:r>
        <w:rPr>
          <w:bCs/>
          <w:b/>
        </w:rPr>
        <w:t xml:space="preserve">Per-participant bandwidth by topology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Topology</w:t>
            </w:r>
          </w:p>
        </w:tc>
        <w:tc>
          <w:tcPr/>
          <w:p>
            <w:pPr>
              <w:pStyle w:val="Compact"/>
              <w:jc w:val="left"/>
            </w:pPr>
            <w:r>
              <w:t xml:space="preserve">Upload per participant</w:t>
            </w:r>
          </w:p>
        </w:tc>
        <w:tc>
          <w:tcPr/>
          <w:p>
            <w:pPr>
              <w:pStyle w:val="Compact"/>
              <w:jc w:val="left"/>
            </w:pPr>
            <w:r>
              <w:t xml:space="preserve">Download per participant</w:t>
            </w:r>
          </w:p>
        </w:tc>
        <w:tc>
          <w:tcPr/>
          <w:p>
            <w:pPr>
              <w:pStyle w:val="Compact"/>
              <w:jc w:val="left"/>
            </w:pPr>
            <w:r>
              <w:t xml:space="preserve">Server work</w:t>
            </w:r>
          </w:p>
        </w:tc>
      </w:tr>
      <w:tr>
        <w:tc>
          <w:tcPr/>
          <w:p>
            <w:pPr>
              <w:pStyle w:val="Compact"/>
              <w:jc w:val="left"/>
            </w:pPr>
            <w:r>
              <w:t xml:space="preserve">Mesh</w:t>
            </w:r>
          </w:p>
        </w:tc>
        <w:tc>
          <w:tcPr/>
          <w:p>
            <w:pPr>
              <w:pStyle w:val="Compact"/>
              <w:jc w:val="left"/>
            </w:pPr>
            <m:oMath>
              <m:d>
                <m:dPr>
                  <m:begChr m:val="("/>
                  <m:endChr m:val=")"/>
                  <m:sepChr m:val=""/>
                  <m:grow/>
                </m:dPr>
                <m:e>
                  <m:r>
                    <m:t>N</m:t>
                  </m:r>
                  <m:r>
                    <m:rPr>
                      <m:sty m:val="p"/>
                    </m:rPr>
                    <m:t>−</m:t>
                  </m:r>
                  <m:r>
                    <m:t>1</m:t>
                  </m:r>
                </m:e>
              </m:d>
              <m:r>
                <m:t> </m:t>
              </m:r>
              <m:r>
                <m:t>b</m:t>
              </m:r>
            </m:oMath>
          </w:p>
        </w:tc>
        <w:tc>
          <w:tcPr/>
          <w:p>
            <w:pPr>
              <w:pStyle w:val="Compact"/>
              <w:jc w:val="left"/>
            </w:pPr>
            <m:oMath>
              <m:d>
                <m:dPr>
                  <m:begChr m:val="("/>
                  <m:endChr m:val=")"/>
                  <m:sepChr m:val=""/>
                  <m:grow/>
                </m:dPr>
                <m:e>
                  <m:r>
                    <m:t>N</m:t>
                  </m:r>
                  <m:r>
                    <m:rPr>
                      <m:sty m:val="p"/>
                    </m:rPr>
                    <m:t>−</m:t>
                  </m:r>
                  <m:r>
                    <m:t>1</m:t>
                  </m:r>
                </m:e>
              </m:d>
              <m:r>
                <m:t> </m:t>
              </m:r>
              <m:r>
                <m:t>b</m:t>
              </m:r>
            </m:oMath>
          </w:p>
        </w:tc>
        <w:tc>
          <w:tcPr/>
          <w:p>
            <w:pPr>
              <w:pStyle w:val="Compact"/>
              <w:jc w:val="left"/>
            </w:pPr>
            <w:r>
              <w:t xml:space="preserve">none</w:t>
            </w:r>
          </w:p>
        </w:tc>
      </w:tr>
      <w:tr>
        <w:tc>
          <w:tcPr/>
          <w:p>
            <w:pPr>
              <w:pStyle w:val="Compact"/>
              <w:jc w:val="left"/>
            </w:pPr>
            <w:r>
              <w:t xml:space="preserve">SFU</w:t>
            </w:r>
          </w:p>
        </w:tc>
        <w:tc>
          <w:tcPr/>
          <w:p>
            <w:pPr>
              <w:pStyle w:val="Compact"/>
              <w:jc w:val="left"/>
            </w:pPr>
            <m:oMath>
              <m:r>
                <m:t>b</m:t>
              </m:r>
            </m:oMath>
            <w:r>
              <w:t xml:space="preserve"> </w:t>
            </w:r>
            <w:r>
              <w:t xml:space="preserve">(or</w:t>
            </w:r>
            <w:r>
              <w:t xml:space="preserve"> </w:t>
            </w:r>
            <m:oMath>
              <m:r>
                <m:rPr>
                  <m:sty m:val="p"/>
                </m:rPr>
                <m:t>≈</m:t>
              </m:r>
              <m:r>
                <m:t>1.5</m:t>
              </m:r>
              <m:r>
                <m:t>b</m:t>
              </m:r>
            </m:oMath>
            <w:r>
              <w:t xml:space="preserve">–</w:t>
            </w:r>
            <m:oMath>
              <m:r>
                <m:t>2</m:t>
              </m:r>
              <m:r>
                <m:t>b</m:t>
              </m:r>
            </m:oMath>
            <w:r>
              <w:t xml:space="preserve"> </w:t>
            </w:r>
            <w:r>
              <w:t xml:space="preserve">with simulcast)</w:t>
            </w:r>
          </w:p>
        </w:tc>
        <w:tc>
          <w:tcPr/>
          <w:p>
            <w:pPr>
              <w:pStyle w:val="Compact"/>
              <w:jc w:val="left"/>
            </w:pPr>
            <m:oMath>
              <m:d>
                <m:dPr>
                  <m:begChr m:val="("/>
                  <m:endChr m:val=")"/>
                  <m:sepChr m:val=""/>
                  <m:grow/>
                </m:dPr>
                <m:e>
                  <m:r>
                    <m:t>N</m:t>
                  </m:r>
                  <m:r>
                    <m:rPr>
                      <m:sty m:val="p"/>
                    </m:rPr>
                    <m:t>−</m:t>
                  </m:r>
                  <m:r>
                    <m:t>1</m:t>
                  </m:r>
                </m:e>
              </m:d>
              <m:r>
                <m:t> </m:t>
              </m:r>
              <m:r>
                <m:t>b</m:t>
              </m:r>
            </m:oMath>
            <w:r>
              <w:t xml:space="preserve"> </w:t>
            </w:r>
            <w:r>
              <w:t xml:space="preserve">(less if receivers get lower layers)</w:t>
            </w:r>
          </w:p>
        </w:tc>
        <w:tc>
          <w:tcPr/>
          <w:p>
            <w:pPr>
              <w:pStyle w:val="Compact"/>
              <w:jc w:val="left"/>
            </w:pPr>
            <w:r>
              <w:t xml:space="preserve">forward</w:t>
            </w:r>
            <w:r>
              <w:t xml:space="preserve"> </w:t>
            </w:r>
            <m:oMath>
              <m:r>
                <m:t>N</m:t>
              </m:r>
              <m:d>
                <m:dPr>
                  <m:begChr m:val="("/>
                  <m:endChr m:val=")"/>
                  <m:sepChr m:val=""/>
                  <m:grow/>
                </m:dPr>
                <m:e>
                  <m:r>
                    <m:t>N</m:t>
                  </m:r>
                  <m:r>
                    <m:rPr>
                      <m:sty m:val="p"/>
                    </m:rPr>
                    <m:t>−</m:t>
                  </m:r>
                  <m:r>
                    <m:t>1</m:t>
                  </m:r>
                </m:e>
              </m:d>
            </m:oMath>
            <w:r>
              <w:t xml:space="preserve"> </w:t>
            </w:r>
            <w:r>
              <w:t xml:space="preserve">streams</w:t>
            </w:r>
          </w:p>
        </w:tc>
      </w:tr>
      <w:tr>
        <w:tc>
          <w:tcPr/>
          <w:p>
            <w:pPr>
              <w:pStyle w:val="Compact"/>
              <w:jc w:val="left"/>
            </w:pPr>
            <w:r>
              <w:t xml:space="preserve">MCU</w:t>
            </w:r>
          </w:p>
        </w:tc>
        <w:tc>
          <w:tcPr/>
          <w:p>
            <w:pPr>
              <w:pStyle w:val="Compact"/>
              <w:jc w:val="left"/>
            </w:pPr>
            <m:oMath>
              <m:r>
                <m:t>b</m:t>
              </m:r>
            </m:oMath>
          </w:p>
        </w:tc>
        <w:tc>
          <w:tcPr/>
          <w:p>
            <w:pPr>
              <w:pStyle w:val="Compact"/>
              <w:jc w:val="left"/>
            </w:pPr>
            <m:oMath>
              <m:r>
                <m:t>b</m:t>
              </m:r>
            </m:oMath>
          </w:p>
        </w:tc>
        <w:tc>
          <w:tcPr/>
          <w:p>
            <w:pPr>
              <w:pStyle w:val="Compact"/>
              <w:jc w:val="left"/>
            </w:pPr>
            <w:r>
              <w:t xml:space="preserve">decode</w:t>
            </w:r>
            <w:r>
              <w:t xml:space="preserve"> </w:t>
            </w:r>
            <m:oMath>
              <m:r>
                <m:t>N</m:t>
              </m:r>
            </m:oMath>
            <w:r>
              <w:t xml:space="preserve">, mix, encode up to</w:t>
            </w:r>
            <w:r>
              <w:t xml:space="preserve"> </w:t>
            </w:r>
            <m:oMath>
              <m:r>
                <m:t>N</m:t>
              </m:r>
            </m:oMath>
          </w:p>
        </w:tc>
      </w:tr>
    </w:tbl>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N</m:t>
              </m:r>
            </m:oMath>
          </w:p>
        </w:tc>
        <w:tc>
          <w:tcPr/>
          <w:p>
            <w:pPr>
              <w:pStyle w:val="Compact"/>
              <w:jc w:val="left"/>
            </w:pPr>
            <w:r>
              <w:t xml:space="preserve">Participants in the call</w:t>
            </w:r>
          </w:p>
        </w:tc>
        <w:tc>
          <w:tcPr/>
          <w:p>
            <w:pPr>
              <w:pStyle w:val="Compact"/>
              <w:jc w:val="left"/>
            </w:pPr>
            <w:r>
              <w:t xml:space="preserve">participants</w:t>
            </w:r>
          </w:p>
        </w:tc>
      </w:tr>
      <w:tr>
        <w:tc>
          <w:tcPr/>
          <w:p>
            <w:pPr>
              <w:pStyle w:val="Compact"/>
              <w:jc w:val="left"/>
            </w:pPr>
            <m:oMath>
              <m:r>
                <m:t>b</m:t>
              </m:r>
            </m:oMath>
          </w:p>
        </w:tc>
        <w:tc>
          <w:tcPr/>
          <w:p>
            <w:pPr>
              <w:pStyle w:val="Compact"/>
              <w:jc w:val="left"/>
            </w:pPr>
            <w:r>
              <w:t xml:space="preserve">Bitrate of one participant’s stream</w:t>
            </w:r>
          </w:p>
        </w:tc>
        <w:tc>
          <w:tcPr/>
          <w:p>
            <w:pPr>
              <w:pStyle w:val="Compact"/>
              <w:jc w:val="left"/>
            </w:pPr>
            <w:r>
              <w:t xml:space="preserve">Mbit/s</w:t>
            </w:r>
          </w:p>
        </w:tc>
      </w:tr>
    </w:tbl>
    <w:p>
      <w:pPr>
        <w:pStyle w:val="CalloutExample"/>
      </w:pPr>
      <w:r>
        <w:rPr>
          <w:bCs/>
          <w:b/>
        </w:rPr>
        <w:t xml:space="preserve">WORKED EXAMPLE</w:t>
      </w:r>
    </w:p>
    <w:p>
      <w:pPr>
        <w:pStyle w:val="CalloutExample"/>
      </w:pPr>
      <w:r>
        <w:rPr>
          <w:bCs/>
          <w:b/>
        </w:rPr>
        <w:t xml:space="preserve">Worked example — Six-person video call at 1.5 Mbit/s per stream.</w:t>
      </w:r>
    </w:p>
    <w:p>
      <w:pPr>
        <w:numPr>
          <w:ilvl w:val="0"/>
          <w:numId w:val="1315"/>
        </w:numPr>
        <w:pStyle w:val="Compact"/>
      </w:pPr>
      <w:r>
        <w:t xml:space="preserve">Mesh upload per participant:</w:t>
      </w:r>
      <w:r>
        <w:t xml:space="preserve"> </w:t>
      </w:r>
      <m:oMath>
        <m:d>
          <m:dPr>
            <m:begChr m:val="("/>
            <m:endChr m:val=")"/>
            <m:sepChr m:val=""/>
            <m:grow/>
          </m:dPr>
          <m:e>
            <m:r>
              <m:t>6</m:t>
            </m:r>
            <m:r>
              <m:rPr>
                <m:sty m:val="p"/>
              </m:rPr>
              <m:t>−</m:t>
            </m:r>
            <m:r>
              <m:t>1</m:t>
            </m:r>
          </m:e>
        </m:d>
        <m:r>
          <m:rPr>
            <m:sty m:val="p"/>
          </m:rPr>
          <m:t>×</m:t>
        </m:r>
        <m:r>
          <m:t>1.5</m:t>
        </m:r>
        <m:r>
          <m:rPr>
            <m:sty m:val="p"/>
          </m:rPr>
          <m:t>=</m:t>
        </m:r>
        <m:r>
          <m:t>7.5</m:t>
        </m:r>
      </m:oMath>
      <w:r>
        <w:t xml:space="preserve"> </w:t>
      </w:r>
      <w:r>
        <w:t xml:space="preserve">Mbit/s. Many residential connections upload less than this, so the call degrades — mesh is practical for about 2–4 participants.</w:t>
      </w:r>
    </w:p>
    <w:p>
      <w:pPr>
        <w:numPr>
          <w:ilvl w:val="0"/>
          <w:numId w:val="1315"/>
        </w:numPr>
        <w:pStyle w:val="Compact"/>
      </w:pPr>
      <w:r>
        <w:t xml:space="preserve">SFU upload: 1.5 Mbit/s (say 2.5 Mbit/s with three simulcast layers). Download:</w:t>
      </w:r>
      <w:r>
        <w:t xml:space="preserve"> </w:t>
      </w:r>
      <m:oMath>
        <m:r>
          <m:t>5</m:t>
        </m:r>
        <m:r>
          <m:rPr>
            <m:sty m:val="p"/>
          </m:rPr>
          <m:t>×</m:t>
        </m:r>
        <m:r>
          <m:t>1.5</m:t>
        </m:r>
        <m:r>
          <m:rPr>
            <m:sty m:val="p"/>
          </m:rPr>
          <m:t>=</m:t>
        </m:r>
        <m:r>
          <m:t>7.5</m:t>
        </m:r>
      </m:oMath>
      <w:r>
        <w:t xml:space="preserve"> </w:t>
      </w:r>
      <w:r>
        <w:t xml:space="preserve">Mbit/s at full quality; with the SFU sending low layers for thumbnails and full quality only for the active speaker, perhaps</w:t>
      </w:r>
      <w:r>
        <w:t xml:space="preserve"> </w:t>
      </w:r>
      <m:oMath>
        <m:r>
          <m:t>1.5</m:t>
        </m:r>
        <m:r>
          <m:rPr>
            <m:sty m:val="p"/>
          </m:rPr>
          <m:t>+</m:t>
        </m:r>
        <m:r>
          <m:t>4</m:t>
        </m:r>
        <m:r>
          <m:rPr>
            <m:sty m:val="p"/>
          </m:rPr>
          <m:t>×</m:t>
        </m:r>
        <m:r>
          <m:t>0.3</m:t>
        </m:r>
        <m:r>
          <m:rPr>
            <m:sty m:val="p"/>
          </m:rPr>
          <m:t>=</m:t>
        </m:r>
        <m:r>
          <m:t>2.7</m:t>
        </m:r>
      </m:oMath>
      <w:r>
        <w:t xml:space="preserve"> </w:t>
      </w:r>
      <w:r>
        <w:t xml:space="preserve">Mbit/s.</w:t>
      </w:r>
    </w:p>
    <w:p>
      <w:pPr>
        <w:numPr>
          <w:ilvl w:val="0"/>
          <w:numId w:val="1315"/>
        </w:numPr>
        <w:pStyle w:val="Compact"/>
      </w:pPr>
      <w:r>
        <w:t xml:space="preserve">SFU server egress for this one call:</w:t>
      </w:r>
      <w:r>
        <w:t xml:space="preserve"> </w:t>
      </w:r>
      <m:oMath>
        <m:r>
          <m:t>6</m:t>
        </m:r>
        <m:r>
          <m:rPr>
            <m:sty m:val="p"/>
          </m:rPr>
          <m:t>×</m:t>
        </m:r>
        <m:r>
          <m:t>7.5</m:t>
        </m:r>
        <m:r>
          <m:rPr>
            <m:sty m:val="p"/>
          </m:rPr>
          <m:t>=</m:t>
        </m:r>
        <m:r>
          <m:t>45</m:t>
        </m:r>
      </m:oMath>
      <w:r>
        <w:t xml:space="preserve"> </w:t>
      </w:r>
      <w:r>
        <w:t xml:space="preserve">Mbit/s at full quality. A server with 10 Gbit/s of egress at 70 % target utilization carries about</w:t>
      </w:r>
      <w:r>
        <w:t xml:space="preserve"> </w:t>
      </w:r>
      <m:oMath>
        <m:r>
          <m:t>7</m:t>
        </m:r>
        <m:r>
          <m:rPr>
            <m:sty m:val="p"/>
          </m:rPr>
          <m:t>,</m:t>
        </m:r>
        <m:r>
          <m:t>000</m:t>
        </m:r>
        <m:r>
          <m:rPr>
            <m:sty m:val="p"/>
          </m:rPr>
          <m:t>/</m:t>
        </m:r>
        <m:r>
          <m:t>45</m:t>
        </m:r>
        <m:r>
          <m:rPr>
            <m:sty m:val="p"/>
          </m:rPr>
          <m:t>≈</m:t>
        </m:r>
        <m:r>
          <m:t>155</m:t>
        </m:r>
      </m:oMath>
      <w:r>
        <w:t xml:space="preserve"> </w:t>
      </w:r>
      <w:r>
        <w:t xml:space="preserve">such calls — bandwidth, not CPU, is the SFU’s limit.</w:t>
      </w:r>
    </w:p>
    <w:p>
      <w:pPr>
        <w:numPr>
          <w:ilvl w:val="0"/>
          <w:numId w:val="1315"/>
        </w:numPr>
        <w:pStyle w:val="Compact"/>
      </w:pPr>
      <w:r>
        <w:t xml:space="preserve">MCU: each participant sends and receives 1.5 Mbit/s, but the server must decode six and encode up to six video streams per call — CPU-bound, typically far fewer calls per server than an SFU.</w:t>
      </w:r>
    </w:p>
    <w:p>
      <w:pPr>
        <w:pStyle w:val="CalloutExample"/>
      </w:pPr>
      <w:r>
        <w:rPr>
          <w:bCs/>
          <w:b/>
        </w:rPr>
        <w:t xml:space="preserve">Engineering implication.</w:t>
      </w:r>
      <w:r>
        <w:t xml:space="preserve"> </w:t>
      </w:r>
      <w:r>
        <w:t xml:space="preserve">Most modern group-video services use SFUs (often cascaded across regions) because they scale better per dollar and preserve per-receiver adaptation; MCUs survive for interop with legacy room systems and very weak clients.</w:t>
      </w:r>
    </w:p>
    <w:p>
      <w:pPr>
        <w:pStyle w:val="BodyText"/>
      </w:pPr>
      <w:r>
        <w:rPr>
          <w:bCs/>
          <w:b/>
        </w:rPr>
        <w:t xml:space="preserve">Table 9.9 — Group-call topologies compared.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Aspect</w:t>
            </w:r>
          </w:p>
        </w:tc>
        <w:tc>
          <w:tcPr/>
          <w:p>
            <w:pPr>
              <w:pStyle w:val="Compact"/>
              <w:jc w:val="left"/>
            </w:pPr>
            <w:r>
              <w:t xml:space="preserve">Mesh</w:t>
            </w:r>
          </w:p>
        </w:tc>
        <w:tc>
          <w:tcPr/>
          <w:p>
            <w:pPr>
              <w:pStyle w:val="Compact"/>
              <w:jc w:val="left"/>
            </w:pPr>
            <w:r>
              <w:t xml:space="preserve">SFU</w:t>
            </w:r>
          </w:p>
        </w:tc>
        <w:tc>
          <w:tcPr/>
          <w:p>
            <w:pPr>
              <w:pStyle w:val="Compact"/>
              <w:jc w:val="left"/>
            </w:pPr>
            <w:r>
              <w:t xml:space="preserve">MCU</w:t>
            </w:r>
          </w:p>
        </w:tc>
      </w:tr>
      <w:tr>
        <w:tc>
          <w:tcPr/>
          <w:p>
            <w:pPr>
              <w:pStyle w:val="Compact"/>
              <w:jc w:val="left"/>
            </w:pPr>
            <w:r>
              <w:t xml:space="preserve">How it works</w:t>
            </w:r>
          </w:p>
        </w:tc>
        <w:tc>
          <w:tcPr/>
          <w:p>
            <w:pPr>
              <w:pStyle w:val="Compact"/>
              <w:jc w:val="left"/>
            </w:pPr>
            <w:r>
              <w:t xml:space="preserve">Every peer sends to every peer</w:t>
            </w:r>
          </w:p>
        </w:tc>
        <w:tc>
          <w:tcPr/>
          <w:p>
            <w:pPr>
              <w:pStyle w:val="Compact"/>
              <w:jc w:val="left"/>
            </w:pPr>
            <w:r>
              <w:t xml:space="preserve">Server forwards packets selectively</w:t>
            </w:r>
          </w:p>
        </w:tc>
        <w:tc>
          <w:tcPr/>
          <w:p>
            <w:pPr>
              <w:pStyle w:val="Compact"/>
              <w:jc w:val="left"/>
            </w:pPr>
            <w:r>
              <w:t xml:space="preserve">Server decodes, mixes, re-encodes</w:t>
            </w:r>
          </w:p>
        </w:tc>
      </w:tr>
      <w:tr>
        <w:tc>
          <w:tcPr/>
          <w:p>
            <w:pPr>
              <w:pStyle w:val="Compact"/>
              <w:jc w:val="left"/>
            </w:pPr>
            <w:r>
              <w:t xml:space="preserve">Advantages</w:t>
            </w:r>
          </w:p>
        </w:tc>
        <w:tc>
          <w:tcPr/>
          <w:p>
            <w:pPr>
              <w:pStyle w:val="Compact"/>
              <w:jc w:val="left"/>
            </w:pPr>
            <w:r>
              <w:t xml:space="preserve">No media servers; lowest latency for 2–3 people</w:t>
            </w:r>
          </w:p>
        </w:tc>
        <w:tc>
          <w:tcPr/>
          <w:p>
            <w:pPr>
              <w:pStyle w:val="Compact"/>
              <w:jc w:val="left"/>
            </w:pPr>
            <w:r>
              <w:t xml:space="preserve">Scales to large calls; per-receiver quality; cheap CPU</w:t>
            </w:r>
          </w:p>
        </w:tc>
        <w:tc>
          <w:tcPr/>
          <w:p>
            <w:pPr>
              <w:pStyle w:val="Compact"/>
              <w:jc w:val="left"/>
            </w:pPr>
            <w:r>
              <w:t xml:space="preserve">Minimal client bandwidth and CPU</w:t>
            </w:r>
          </w:p>
        </w:tc>
      </w:tr>
      <w:tr>
        <w:tc>
          <w:tcPr/>
          <w:p>
            <w:pPr>
              <w:pStyle w:val="Compact"/>
              <w:jc w:val="left"/>
            </w:pPr>
            <w:r>
              <w:t xml:space="preserve">Disadvantages</w:t>
            </w:r>
          </w:p>
        </w:tc>
        <w:tc>
          <w:tcPr/>
          <w:p>
            <w:pPr>
              <w:pStyle w:val="Compact"/>
              <w:jc w:val="left"/>
            </w:pPr>
            <w:r>
              <w:t xml:space="preserve">Upload grows with</w:t>
            </w:r>
            <w:r>
              <w:t xml:space="preserve"> </w:t>
            </w:r>
            <m:oMath>
              <m:r>
                <m:t>N</m:t>
              </m:r>
            </m:oMath>
          </w:p>
        </w:tc>
        <w:tc>
          <w:tcPr/>
          <w:p>
            <w:pPr>
              <w:pStyle w:val="Compact"/>
              <w:jc w:val="left"/>
            </w:pPr>
            <w:r>
              <w:t xml:space="preserve">Download grows with</w:t>
            </w:r>
            <w:r>
              <w:t xml:space="preserve"> </w:t>
            </w:r>
            <m:oMath>
              <m:r>
                <m:t>N</m:t>
              </m:r>
            </m:oMath>
            <w:r>
              <w:t xml:space="preserve">; server bandwidth heavy</w:t>
            </w:r>
          </w:p>
        </w:tc>
        <w:tc>
          <w:tcPr/>
          <w:p>
            <w:pPr>
              <w:pStyle w:val="Compact"/>
              <w:jc w:val="left"/>
            </w:pPr>
            <w:r>
              <w:t xml:space="preserve">Very high server CPU; extra latency; breaks end-to-end encryption</w:t>
            </w:r>
          </w:p>
        </w:tc>
      </w:tr>
      <w:tr>
        <w:tc>
          <w:tcPr/>
          <w:p>
            <w:pPr>
              <w:pStyle w:val="Compact"/>
              <w:jc w:val="left"/>
            </w:pPr>
            <w:r>
              <w:t xml:space="preserve">Choose when</w:t>
            </w:r>
          </w:p>
        </w:tc>
        <w:tc>
          <w:tcPr/>
          <w:p>
            <w:pPr>
              <w:pStyle w:val="Compact"/>
              <w:jc w:val="left"/>
            </w:pPr>
            <w:r>
              <w:t xml:space="preserve">1:1 or ≤ 4 people</w:t>
            </w:r>
          </w:p>
        </w:tc>
        <w:tc>
          <w:tcPr/>
          <w:p>
            <w:pPr>
              <w:pStyle w:val="Compact"/>
              <w:jc w:val="left"/>
            </w:pPr>
            <w:r>
              <w:t xml:space="preserve">Default for group calls and webinars</w:t>
            </w:r>
          </w:p>
        </w:tc>
        <w:tc>
          <w:tcPr/>
          <w:p>
            <w:pPr>
              <w:pStyle w:val="Compact"/>
              <w:jc w:val="left"/>
            </w:pPr>
            <w:r>
              <w:t xml:space="preserve">Legacy endpoints, recording composites, very weak clients</w:t>
            </w:r>
          </w:p>
        </w:tc>
      </w:tr>
    </w:tbl>
    <w:bookmarkStart w:id="1035" w:name="failure-scenarios-and-misconceptions-2"/>
    <w:p>
      <w:pPr>
        <w:pStyle w:val="Heading4"/>
      </w:pPr>
      <w:r>
        <w:t xml:space="preserve">Failure scenarios and misconceptions</w:t>
      </w:r>
    </w:p>
    <w:p>
      <w:pPr>
        <w:pStyle w:val="FirstParagraph"/>
      </w:pPr>
      <w:r>
        <w:rPr>
          <w:bCs/>
          <w:b/>
        </w:rPr>
        <w:t xml:space="preserve">Table 9.10 — WebRTC 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Call never connects for some users</w:t>
            </w:r>
          </w:p>
        </w:tc>
        <w:tc>
          <w:tcPr/>
          <w:p>
            <w:pPr>
              <w:pStyle w:val="Compact"/>
              <w:jc w:val="left"/>
            </w:pPr>
            <w:r>
              <w:t xml:space="preserve">Symmetric NAT or UDP-blocking firewall; no TURN configured</w:t>
            </w:r>
          </w:p>
        </w:tc>
        <w:tc>
          <w:tcPr/>
          <w:p>
            <w:pPr>
              <w:pStyle w:val="Compact"/>
              <w:jc w:val="left"/>
            </w:pPr>
            <w:r>
              <w:t xml:space="preserve">ICE state</w:t>
            </w:r>
            <w:r>
              <w:t xml:space="preserve"> </w:t>
            </w:r>
            <w:r>
              <w:rPr>
                <w:rStyle w:val="VerbatimChar"/>
              </w:rPr>
              <w:t xml:space="preserve">failed</w:t>
            </w:r>
            <w:r>
              <w:t xml:space="preserve">; failures cluster by network</w:t>
            </w:r>
          </w:p>
        </w:tc>
        <w:tc>
          <w:tcPr/>
          <w:p>
            <w:pPr>
              <w:pStyle w:val="Compact"/>
              <w:jc w:val="left"/>
            </w:pPr>
            <w:r>
              <w:t xml:space="preserve">Retry with TURN over TCP/TLS 443</w:t>
            </w:r>
          </w:p>
        </w:tc>
        <w:tc>
          <w:tcPr/>
          <w:p>
            <w:pPr>
              <w:pStyle w:val="Compact"/>
              <w:jc w:val="left"/>
            </w:pPr>
            <w:r>
              <w:t xml:space="preserve">Always deploy TURN with TCP/TLS fallback</w:t>
            </w:r>
          </w:p>
        </w:tc>
      </w:tr>
      <w:tr>
        <w:tc>
          <w:tcPr/>
          <w:p>
            <w:pPr>
              <w:pStyle w:val="Compact"/>
              <w:jc w:val="left"/>
            </w:pPr>
            <w:r>
              <w:t xml:space="preserve">TURN bill explodes</w:t>
            </w:r>
          </w:p>
        </w:tc>
        <w:tc>
          <w:tcPr/>
          <w:p>
            <w:pPr>
              <w:pStyle w:val="Compact"/>
              <w:jc w:val="left"/>
            </w:pPr>
            <w:r>
              <w:t xml:space="preserve">Many sessions relay media</w:t>
            </w:r>
          </w:p>
        </w:tc>
        <w:tc>
          <w:tcPr/>
          <w:p>
            <w:pPr>
              <w:pStyle w:val="Compact"/>
              <w:jc w:val="left"/>
            </w:pPr>
            <w:r>
              <w:t xml:space="preserve">Relay bandwidth per session metric</w:t>
            </w:r>
          </w:p>
        </w:tc>
        <w:tc>
          <w:tcPr/>
          <w:p>
            <w:pPr>
              <w:pStyle w:val="Compact"/>
              <w:jc w:val="left"/>
            </w:pPr>
            <w:r>
              <w:t xml:space="preserve">—</w:t>
            </w:r>
          </w:p>
        </w:tc>
        <w:tc>
          <w:tcPr/>
          <w:p>
            <w:pPr>
              <w:pStyle w:val="Compact"/>
              <w:jc w:val="left"/>
            </w:pPr>
            <w:r>
              <w:t xml:space="preserve">Regional TURN, short-lived credentials, monitor relay ratio</w:t>
            </w:r>
          </w:p>
        </w:tc>
      </w:tr>
      <w:tr>
        <w:tc>
          <w:tcPr/>
          <w:p>
            <w:pPr>
              <w:pStyle w:val="Compact"/>
              <w:jc w:val="left"/>
            </w:pPr>
            <w:r>
              <w:t xml:space="preserve">Media freezes on network change</w:t>
            </w:r>
          </w:p>
        </w:tc>
        <w:tc>
          <w:tcPr/>
          <w:p>
            <w:pPr>
              <w:pStyle w:val="Compact"/>
              <w:jc w:val="left"/>
            </w:pPr>
            <w:r>
              <w:t xml:space="preserve">Wi-Fi → cellular changes the address</w:t>
            </w:r>
          </w:p>
        </w:tc>
        <w:tc>
          <w:tcPr/>
          <w:p>
            <w:pPr>
              <w:pStyle w:val="Compact"/>
              <w:jc w:val="left"/>
            </w:pPr>
            <w:r>
              <w:t xml:space="preserve">ICE disconnected</w:t>
            </w:r>
          </w:p>
        </w:tc>
        <w:tc>
          <w:tcPr/>
          <w:p>
            <w:pPr>
              <w:pStyle w:val="Compact"/>
              <w:jc w:val="left"/>
            </w:pPr>
            <w:r>
              <w:t xml:space="preserve">ICE restart via signaling</w:t>
            </w:r>
          </w:p>
        </w:tc>
        <w:tc>
          <w:tcPr/>
          <w:p>
            <w:pPr>
              <w:pStyle w:val="Compact"/>
              <w:jc w:val="left"/>
            </w:pPr>
            <w:r>
              <w:t xml:space="preserve">Handle</w:t>
            </w:r>
            <w:r>
              <w:t xml:space="preserve"> </w:t>
            </w:r>
            <w:r>
              <w:rPr>
                <w:rStyle w:val="VerbatimChar"/>
              </w:rPr>
              <w:t xml:space="preserve">iceconnectionstatechange</w:t>
            </w:r>
            <w:r>
              <w:t xml:space="preserve">; trigger ICE restart</w:t>
            </w:r>
          </w:p>
        </w:tc>
      </w:tr>
      <w:tr>
        <w:tc>
          <w:tcPr/>
          <w:p>
            <w:pPr>
              <w:pStyle w:val="Compact"/>
              <w:jc w:val="left"/>
            </w:pPr>
            <w:r>
              <w:t xml:space="preserve">Open TURN relay abused</w:t>
            </w:r>
          </w:p>
        </w:tc>
        <w:tc>
          <w:tcPr/>
          <w:p>
            <w:pPr>
              <w:pStyle w:val="Compact"/>
              <w:jc w:val="left"/>
            </w:pPr>
            <w:r>
              <w:t xml:space="preserve">Static TURN credentials leaked</w:t>
            </w:r>
          </w:p>
        </w:tc>
        <w:tc>
          <w:tcPr/>
          <w:p>
            <w:pPr>
              <w:pStyle w:val="Compact"/>
              <w:jc w:val="left"/>
            </w:pPr>
            <w:r>
              <w:t xml:space="preserve">Unknown traffic on relays</w:t>
            </w:r>
          </w:p>
        </w:tc>
        <w:tc>
          <w:tcPr/>
          <w:p>
            <w:pPr>
              <w:pStyle w:val="Compact"/>
              <w:jc w:val="left"/>
            </w:pPr>
            <w:r>
              <w:t xml:space="preserve">Rotate credentials</w:t>
            </w:r>
          </w:p>
        </w:tc>
        <w:tc>
          <w:tcPr/>
          <w:p>
            <w:pPr>
              <w:pStyle w:val="Compact"/>
              <w:jc w:val="left"/>
            </w:pPr>
            <w:r>
              <w:t xml:space="preserve">Time-limited, HMAC-derived TURN credentials per session</w:t>
            </w:r>
          </w:p>
        </w:tc>
      </w:tr>
    </w:tbl>
    <w:p>
      <w:pPr>
        <w:pStyle w:val="CalloutMistake"/>
      </w:pPr>
      <w:r>
        <w:rPr>
          <w:bCs/>
          <w:b/>
        </w:rPr>
        <w:t xml:space="preserve">COMMON MISTAKE</w:t>
      </w:r>
    </w:p>
    <w:p>
      <w:pPr>
        <w:pStyle w:val="CalloutMistake"/>
      </w:pPr>
      <w:r>
        <w:rPr>
          <w:bCs/>
          <w:b/>
        </w:rPr>
        <w:t xml:space="preserve">“</w:t>
      </w:r>
      <w:r>
        <w:rPr>
          <w:bCs/>
          <w:b/>
        </w:rPr>
        <w:t xml:space="preserve">WebRTC means I don’t need servers.</w:t>
      </w:r>
      <w:r>
        <w:rPr>
          <w:bCs/>
          <w:b/>
        </w:rPr>
        <w:t xml:space="preserve">”</w:t>
      </w:r>
      <w:r>
        <w:t xml:space="preserve"> </w:t>
      </w:r>
      <w:r>
        <w:t xml:space="preserve">You always need a signaling service, STUN, and — for reliable connectivity — TURN; group calls need SFUs. WebRTC removes servers from the</w:t>
      </w:r>
      <w:r>
        <w:t xml:space="preserve"> </w:t>
      </w:r>
      <w:r>
        <w:rPr>
          <w:iCs/>
          <w:i/>
        </w:rPr>
        <w:t xml:space="preserve">media path</w:t>
      </w:r>
      <w:r>
        <w:t xml:space="preserve"> </w:t>
      </w:r>
      <w:r>
        <w:t xml:space="preserve">only in the best case.</w:t>
      </w:r>
    </w:p>
    <w:bookmarkEnd w:id="1035"/>
    <w:bookmarkEnd w:id="1036"/>
    <w:bookmarkEnd w:id="1037"/>
    <w:bookmarkStart w:id="1048" w:name="mobile-push-apns-and-fcm"/>
    <w:p>
      <w:pPr>
        <w:pStyle w:val="Heading2"/>
      </w:pPr>
      <w:r>
        <w:t xml:space="preserve">9.8 Mobile push: APNs and FCM</w:t>
      </w:r>
    </w:p>
    <w:bookmarkStart w:id="1043" w:name="what-mobile-push-is"/>
    <w:p>
      <w:pPr>
        <w:pStyle w:val="Heading3"/>
      </w:pPr>
      <w:r>
        <w:t xml:space="preserve">9.8.1 What mobile push is</w:t>
      </w:r>
    </w:p>
    <w:p>
      <w:pPr>
        <w:pStyle w:val="CalloutDefinition"/>
      </w:pPr>
      <w:r>
        <w:rPr>
          <w:bCs/>
          <w:b/>
        </w:rPr>
        <w:t xml:space="preserve">DEFINITION</w:t>
      </w:r>
    </w:p>
    <w:p>
      <w:pPr>
        <w:pStyle w:val="CalloutDefinition"/>
      </w:pPr>
      <w:r>
        <w:rPr>
          <w:bCs/>
          <w:b/>
        </w:rPr>
        <w:t xml:space="preserve">Definition — Mobile push notification.</w:t>
      </w:r>
      <w:r>
        <w:t xml:space="preserve"> </w:t>
      </w:r>
      <w:r>
        <w:t xml:space="preserve">A message sent by an application’s server to a platform-operated push service — Apple Push Notification service (</w:t>
      </w:r>
      <w:r>
        <w:rPr>
          <w:bCs/>
          <w:b/>
        </w:rPr>
        <w:t xml:space="preserve">APNs</w:t>
      </w:r>
      <w:r>
        <w:t xml:space="preserve">) for Apple platforms, Firebase Cloud Messaging (</w:t>
      </w:r>
      <w:r>
        <w:rPr>
          <w:bCs/>
          <w:b/>
        </w:rPr>
        <w:t xml:space="preserve">FCM</w:t>
      </w:r>
      <w:r>
        <w:t xml:space="preserve">) for Android (and optionally iOS and web) — which delivers it, on a best-effort basis, over a single persistent connection that the operating system maintains to that service on behalf of all apps.</w:t>
      </w:r>
    </w:p>
    <w:p>
      <w:pPr>
        <w:pStyle w:val="BodyText"/>
      </w:pPr>
      <w:r>
        <w:t xml:space="preserve">Browsers have an analogous, standardized mechanism, Web Push [Thomson et al. 2016], in which a service worker receives messages relayed by the browser vendor’s push service; the design principles below apply to it as well.</w:t>
      </w:r>
    </w:p>
    <w:bookmarkStart w:id="1038" w:name="first-principles-explanation-53"/>
    <w:p>
      <w:pPr>
        <w:pStyle w:val="Heading4"/>
      </w:pPr>
      <w:r>
        <w:t xml:space="preserve">First-principles explanation</w:t>
      </w:r>
    </w:p>
    <w:p>
      <w:pPr>
        <w:pStyle w:val="FirstParagraph"/>
      </w:pPr>
      <w:r>
        <w:t xml:space="preserve">If every app kept its own background WebSocket, heartbeats would wake the cellular radio constantly and drain the battery in hours. So mobile operating systems suspend background apps and keep</w:t>
      </w:r>
      <w:r>
        <w:t xml:space="preserve"> </w:t>
      </w:r>
      <w:r>
        <w:rPr>
          <w:bCs/>
          <w:b/>
        </w:rPr>
        <w:t xml:space="preserve">one</w:t>
      </w:r>
      <w:r>
        <w:t xml:space="preserve"> </w:t>
      </w:r>
      <w:r>
        <w:t xml:space="preserve">connection to the platform push service, multiplexing every app’s notifications over it — one mailroom for the whole apartment building. You hand your letter to the mailroom; it decides when to deliver, may combine or discard letters, and never sends a receipt.</w:t>
      </w:r>
    </w:p>
    <w:bookmarkEnd w:id="1038"/>
    <w:bookmarkStart w:id="1042" w:name="how-it-works-internally-33"/>
    <w:p>
      <w:pPr>
        <w:pStyle w:val="Heading4"/>
      </w:pPr>
      <w:r>
        <w:t xml:space="preserve">How it works internally</w:t>
      </w:r>
    </w:p>
    <w:p>
      <w:pPr>
        <w:numPr>
          <w:ilvl w:val="0"/>
          <w:numId w:val="1316"/>
        </w:numPr>
        <w:pStyle w:val="Compact"/>
      </w:pPr>
      <w:r>
        <w:rPr>
          <w:bCs/>
          <w:b/>
        </w:rPr>
        <w:t xml:space="preserve">Registration.</w:t>
      </w:r>
      <w:r>
        <w:t xml:space="preserve"> </w:t>
      </w:r>
      <w:r>
        <w:t xml:space="preserve">On launch, the app asks the OS for a push</w:t>
      </w:r>
      <w:r>
        <w:t xml:space="preserve"> </w:t>
      </w:r>
      <w:r>
        <w:rPr>
          <w:bCs/>
          <w:b/>
        </w:rPr>
        <w:t xml:space="preserve">token</w:t>
      </w:r>
      <w:r>
        <w:t xml:space="preserve"> </w:t>
      </w:r>
      <w:r>
        <w:t xml:space="preserve">(APNs device token, FCM registration token). The token identifies</w:t>
      </w:r>
      <w:r>
        <w:t xml:space="preserve"> </w:t>
      </w:r>
      <w:r>
        <w:rPr>
          <w:iCs/>
          <w:i/>
        </w:rPr>
        <w:t xml:space="preserve">this app on this device</w:t>
      </w:r>
      <w:r>
        <w:t xml:space="preserve"> </w:t>
      </w:r>
      <w:r>
        <w:t xml:space="preserve">to the push service.</w:t>
      </w:r>
    </w:p>
    <w:p>
      <w:pPr>
        <w:numPr>
          <w:ilvl w:val="0"/>
          <w:numId w:val="1316"/>
        </w:numPr>
        <w:pStyle w:val="Compact"/>
      </w:pPr>
      <w:r>
        <w:rPr>
          <w:bCs/>
          <w:b/>
        </w:rPr>
        <w:t xml:space="preserve">Token upload.</w:t>
      </w:r>
      <w:r>
        <w:t xml:space="preserve"> </w:t>
      </w:r>
      <w:r>
        <w:t xml:space="preserve">The app sends the token, with the user ID and a timestamp, to your backend, which stores it (a user typically has several tokens: phone, tablet, reinstalls).</w:t>
      </w:r>
    </w:p>
    <w:p>
      <w:pPr>
        <w:numPr>
          <w:ilvl w:val="0"/>
          <w:numId w:val="1316"/>
        </w:numPr>
        <w:pStyle w:val="Compact"/>
      </w:pPr>
      <w:r>
        <w:rPr>
          <w:bCs/>
          <w:b/>
        </w:rPr>
        <w:t xml:space="preserve">Send.</w:t>
      </w:r>
      <w:r>
        <w:t xml:space="preserve"> </w:t>
      </w:r>
      <w:r>
        <w:t xml:space="preserve">When an event occurs, your</w:t>
      </w:r>
      <w:r>
        <w:t xml:space="preserve"> </w:t>
      </w:r>
      <w:r>
        <w:rPr>
          <w:bCs/>
          <w:b/>
        </w:rPr>
        <w:t xml:space="preserve">notification service</w:t>
      </w:r>
      <w:r>
        <w:t xml:space="preserve"> </w:t>
      </w:r>
      <w:r>
        <w:t xml:space="preserve">(§52.4 designs one) looks up the user’s tokens and calls the provider:</w:t>
      </w:r>
    </w:p>
    <w:p>
      <w:pPr>
        <w:numPr>
          <w:ilvl w:val="1"/>
          <w:numId w:val="1317"/>
        </w:numPr>
        <w:pStyle w:val="Compact"/>
      </w:pPr>
      <w:r>
        <w:rPr>
          <w:bCs/>
          <w:b/>
        </w:rPr>
        <w:t xml:space="preserve">APNs:</w:t>
      </w:r>
      <w:r>
        <w:t xml:space="preserve"> </w:t>
      </w:r>
      <w:r>
        <w:t xml:space="preserve">an HTTP/2</w:t>
      </w:r>
      <w:r>
        <w:t xml:space="preserve"> </w:t>
      </w:r>
      <w:r>
        <w:rPr>
          <w:rStyle w:val="VerbatimChar"/>
        </w:rPr>
        <w:t xml:space="preserve">POST /3/device/&lt;token&gt;</w:t>
      </w:r>
      <w:r>
        <w:t xml:space="preserve"> </w:t>
      </w:r>
      <w:r>
        <w:t xml:space="preserve">to</w:t>
      </w:r>
      <w:r>
        <w:t xml:space="preserve"> </w:t>
      </w:r>
      <w:r>
        <w:rPr>
          <w:rStyle w:val="VerbatimChar"/>
        </w:rPr>
        <w:t xml:space="preserve">api.push.apple.com</w:t>
      </w:r>
      <w:r>
        <w:t xml:space="preserve"> </w:t>
      </w:r>
      <w:r>
        <w:t xml:space="preserve">(or</w:t>
      </w:r>
      <w:r>
        <w:t xml:space="preserve"> </w:t>
      </w:r>
      <w:r>
        <w:rPr>
          <w:rStyle w:val="VerbatimChar"/>
        </w:rPr>
        <w:t xml:space="preserve">api.sandbox.push.apple.com</w:t>
      </w:r>
      <w:r>
        <w:t xml:space="preserve"> </w:t>
      </w:r>
      <w:r>
        <w:t xml:space="preserve">for development), authenticated by a JWT signed with your</w:t>
      </w:r>
      <w:r>
        <w:t xml:space="preserve"> </w:t>
      </w:r>
      <w:r>
        <w:rPr>
          <w:rStyle w:val="VerbatimChar"/>
        </w:rPr>
        <w:t xml:space="preserve">.p8</w:t>
      </w:r>
      <w:r>
        <w:t xml:space="preserve"> </w:t>
      </w:r>
      <w:r>
        <w:t xml:space="preserve">key (token-based) or by a TLS client certificate. Headers include</w:t>
      </w:r>
      <w:r>
        <w:t xml:space="preserve"> </w:t>
      </w:r>
      <w:r>
        <w:rPr>
          <w:rStyle w:val="VerbatimChar"/>
        </w:rPr>
        <w:t xml:space="preserve">apns-topic</w:t>
      </w:r>
      <w:r>
        <w:t xml:space="preserve"> </w:t>
      </w:r>
      <w:r>
        <w:t xml:space="preserve">(the app bundle ID),</w:t>
      </w:r>
      <w:r>
        <w:t xml:space="preserve"> </w:t>
      </w:r>
      <w:r>
        <w:rPr>
          <w:rStyle w:val="VerbatimChar"/>
        </w:rPr>
        <w:t xml:space="preserve">apns-push-type</w:t>
      </w:r>
      <w:r>
        <w:t xml:space="preserve"> </w:t>
      </w:r>
      <w:r>
        <w:t xml:space="preserve">(</w:t>
      </w:r>
      <w:r>
        <w:rPr>
          <w:rStyle w:val="VerbatimChar"/>
        </w:rPr>
        <w:t xml:space="preserve">alert</w:t>
      </w:r>
      <w:r>
        <w:t xml:space="preserve">,</w:t>
      </w:r>
      <w:r>
        <w:t xml:space="preserve"> </w:t>
      </w:r>
      <w:r>
        <w:rPr>
          <w:rStyle w:val="VerbatimChar"/>
        </w:rPr>
        <w:t xml:space="preserve">background</w:t>
      </w:r>
      <w:r>
        <w:t xml:space="preserve">,</w:t>
      </w:r>
      <w:r>
        <w:t xml:space="preserve"> </w:t>
      </w:r>
      <w:r>
        <w:rPr>
          <w:rStyle w:val="VerbatimChar"/>
        </w:rPr>
        <w:t xml:space="preserve">voip</w:t>
      </w:r>
      <w:r>
        <w:t xml:space="preserve">, …),</w:t>
      </w:r>
      <w:r>
        <w:t xml:space="preserve"> </w:t>
      </w:r>
      <w:r>
        <w:rPr>
          <w:rStyle w:val="VerbatimChar"/>
        </w:rPr>
        <w:t xml:space="preserve">apns-priority</w:t>
      </w:r>
      <w:r>
        <w:t xml:space="preserve"> </w:t>
      </w:r>
      <w:r>
        <w:t xml:space="preserve">(10 = send immediately, 5 = send at a power-efficient time),</w:t>
      </w:r>
      <w:r>
        <w:t xml:space="preserve"> </w:t>
      </w:r>
      <w:r>
        <w:rPr>
          <w:rStyle w:val="VerbatimChar"/>
        </w:rPr>
        <w:t xml:space="preserve">apns-expiration</w:t>
      </w:r>
      <w:r>
        <w:t xml:space="preserve"> </w:t>
      </w:r>
      <w:r>
        <w:t xml:space="preserve">and</w:t>
      </w:r>
      <w:r>
        <w:t xml:space="preserve"> </w:t>
      </w:r>
      <w:r>
        <w:rPr>
          <w:rStyle w:val="VerbatimChar"/>
        </w:rPr>
        <w:t xml:space="preserve">apns-collapse-id</w:t>
      </w:r>
      <w:r>
        <w:t xml:space="preserve"> </w:t>
      </w:r>
      <w:r>
        <w:t xml:space="preserve">[Apple: Sending notification requests to APNs].</w:t>
      </w:r>
    </w:p>
    <w:p>
      <w:pPr>
        <w:numPr>
          <w:ilvl w:val="1"/>
          <w:numId w:val="1317"/>
        </w:numPr>
        <w:pStyle w:val="Compact"/>
      </w:pPr>
      <w:r>
        <w:rPr>
          <w:bCs/>
          <w:b/>
        </w:rPr>
        <w:t xml:space="preserve">FCM:</w:t>
      </w:r>
      <w:r>
        <w:t xml:space="preserve"> </w:t>
      </w:r>
      <w:r>
        <w:t xml:space="preserve">an HTTPS</w:t>
      </w:r>
      <w:r>
        <w:t xml:space="preserve"> </w:t>
      </w:r>
      <w:r>
        <w:rPr>
          <w:rStyle w:val="VerbatimChar"/>
        </w:rPr>
        <w:t xml:space="preserve">POST https://fcm.googleapis.com/v1/projects/&lt;project&gt;/messages:send</w:t>
      </w:r>
      <w:r>
        <w:t xml:space="preserve"> </w:t>
      </w:r>
      <w:r>
        <w:t xml:space="preserve">(the HTTP v1 API) with an OAuth 2.0 access token from a service account. The JSON body names the token (or a topic) and carries</w:t>
      </w:r>
      <w:r>
        <w:t xml:space="preserve"> </w:t>
      </w:r>
      <w:r>
        <w:rPr>
          <w:rStyle w:val="VerbatimChar"/>
        </w:rPr>
        <w:t xml:space="preserve">notification</w:t>
      </w:r>
      <w:r>
        <w:t xml:space="preserve"> </w:t>
      </w:r>
      <w:r>
        <w:t xml:space="preserve">and/or</w:t>
      </w:r>
      <w:r>
        <w:t xml:space="preserve"> </w:t>
      </w:r>
      <w:r>
        <w:rPr>
          <w:rStyle w:val="VerbatimChar"/>
        </w:rPr>
        <w:t xml:space="preserve">data</w:t>
      </w:r>
      <w:r>
        <w:t xml:space="preserve"> </w:t>
      </w:r>
      <w:r>
        <w:t xml:space="preserve">payloads plus platform options such as</w:t>
      </w:r>
      <w:r>
        <w:t xml:space="preserve"> </w:t>
      </w:r>
      <w:r>
        <w:rPr>
          <w:rStyle w:val="VerbatimChar"/>
        </w:rPr>
        <w:t xml:space="preserve">android.collapse_key</w:t>
      </w:r>
      <w:r>
        <w:t xml:space="preserve">,</w:t>
      </w:r>
      <w:r>
        <w:t xml:space="preserve"> </w:t>
      </w:r>
      <w:r>
        <w:rPr>
          <w:rStyle w:val="VerbatimChar"/>
        </w:rPr>
        <w:t xml:space="preserve">android.ttl</w:t>
      </w:r>
      <w:r>
        <w:t xml:space="preserve"> </w:t>
      </w:r>
      <w:r>
        <w:t xml:space="preserve">and</w:t>
      </w:r>
      <w:r>
        <w:t xml:space="preserve"> </w:t>
      </w:r>
      <w:r>
        <w:rPr>
          <w:rStyle w:val="VerbatimChar"/>
        </w:rPr>
        <w:t xml:space="preserve">android.priority</w:t>
      </w:r>
      <w:r>
        <w:t xml:space="preserve"> </w:t>
      </w:r>
      <w:r>
        <w:t xml:space="preserve">[FCM Docs].</w:t>
      </w:r>
    </w:p>
    <w:p>
      <w:pPr>
        <w:numPr>
          <w:ilvl w:val="0"/>
          <w:numId w:val="1316"/>
        </w:numPr>
        <w:pStyle w:val="Compact"/>
      </w:pPr>
      <w:r>
        <w:rPr>
          <w:bCs/>
          <w:b/>
        </w:rPr>
        <w:t xml:space="preserve">Store and forward.</w:t>
      </w:r>
      <w:r>
        <w:t xml:space="preserve"> </w:t>
      </w:r>
      <w:r>
        <w:t xml:space="preserve">If the device is offline, the provider stores the message for a limited time and delivers it when the device reconnects — with strict limits (below).</w:t>
      </w:r>
    </w:p>
    <w:p>
      <w:pPr>
        <w:numPr>
          <w:ilvl w:val="0"/>
          <w:numId w:val="1316"/>
        </w:numPr>
        <w:pStyle w:val="Compact"/>
      </w:pPr>
      <w:r>
        <w:rPr>
          <w:bCs/>
          <w:b/>
        </w:rPr>
        <w:t xml:space="preserve">Feedback.</w:t>
      </w:r>
      <w:r>
        <w:t xml:space="preserve"> </w:t>
      </w:r>
      <w:r>
        <w:t xml:space="preserve">The provider’s response tells you whether the token is still valid. APNs returns HTTP 410 (</w:t>
      </w:r>
      <w:r>
        <w:rPr>
          <w:rStyle w:val="VerbatimChar"/>
        </w:rPr>
        <w:t xml:space="preserve">Unregistered</w:t>
      </w:r>
      <w:r>
        <w:t xml:space="preserve">) for a token that is no longer active [Apple: Handling notification responses from APNs]; FCM returns</w:t>
      </w:r>
      <w:r>
        <w:t xml:space="preserve"> </w:t>
      </w:r>
      <w:r>
        <w:rPr>
          <w:rStyle w:val="VerbatimChar"/>
        </w:rPr>
        <w:t xml:space="preserve">UNREGISTERED</w:t>
      </w:r>
      <w:r>
        <w:t xml:space="preserve"> </w:t>
      </w:r>
      <w:r>
        <w:t xml:space="preserve">(HTTP 404) or</w:t>
      </w:r>
      <w:r>
        <w:t xml:space="preserve"> </w:t>
      </w:r>
      <w:r>
        <w:rPr>
          <w:rStyle w:val="VerbatimChar"/>
        </w:rPr>
        <w:t xml:space="preserve">INVALID_ARGUMENT</w:t>
      </w:r>
      <w:r>
        <w:t xml:space="preserve"> </w:t>
      </w:r>
      <w:r>
        <w:t xml:space="preserve">(HTTP 400). Delete or deactivate such tokens.</w:t>
      </w:r>
    </w:p>
    <w:p>
      <w:pPr>
        <w:pStyle w:val="FirstParagraph"/>
      </w:pPr>
      <w:r>
        <w:rPr>
          <w:bCs/>
          <w:b/>
        </w:rPr>
        <w:t xml:space="preserve">Figure 9.8 — Mobile push architecture.</w:t>
      </w:r>
    </w:p>
    <w:p>
      <w:pPr>
        <w:pStyle w:val="BodyText"/>
      </w:pPr>
      <w:r>
        <w:drawing>
          <wp:inline>
            <wp:extent cx="5334000" cy="648769"/>
            <wp:effectExtent b="0" l="0" r="0" t="0"/>
            <wp:docPr descr="" title="" id="1040" name="Picture"/>
            <a:graphic>
              <a:graphicData uri="http://schemas.openxmlformats.org/drawingml/2006/picture">
                <pic:pic>
                  <pic:nvPicPr>
                    <pic:cNvPr descr="/home/user/System-Design/build/.cache/diagrams/e2e7fb4a45e8.png" id="1041" name="Picture"/>
                    <pic:cNvPicPr>
                      <a:picLocks noChangeArrowheads="1" noChangeAspect="1"/>
                    </pic:cNvPicPr>
                  </pic:nvPicPr>
                  <pic:blipFill>
                    <a:blip r:embed="rId1039"/>
                    <a:stretch>
                      <a:fillRect/>
                    </a:stretch>
                  </pic:blipFill>
                  <pic:spPr bwMode="auto">
                    <a:xfrm>
                      <a:off x="0" y="0"/>
                      <a:ext cx="5334000" cy="648769"/>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OS push daemon owns the device’s single connection to the provider. Steps 1–3 obtain and upload the token over HTTPS into your token store. Events arrive asynchronously (dotted) at the notification service, which calls APNs or FCM synchronously. Provider-to-device delivery is asynchronous and best-effort — the dotted arrows mark where your guarantees end. Error responses (410/404) let the service prune dead tokens. Step 7 is the most important arrow: on open, the app syncs authoritative state with a cursor. Failure points: throttling, expired tokens, offline devices, OS suppression (Focus, battery saver). The notification service is a stateless worker pool scaled by send rate.</w:t>
      </w:r>
    </w:p>
    <w:bookmarkEnd w:id="1042"/>
    <w:bookmarkEnd w:id="1043"/>
    <w:bookmarkStart w:id="1047" w:name="delivery-is-not-guaranteed-design-for-it"/>
    <w:p>
      <w:pPr>
        <w:pStyle w:val="Heading3"/>
      </w:pPr>
      <w:r>
        <w:t xml:space="preserve">9.8.2 Delivery is not guaranteed — design for it</w:t>
      </w:r>
    </w:p>
    <w:p>
      <w:pPr>
        <w:pStyle w:val="FirstParagraph"/>
      </w:pPr>
      <w:r>
        <w:t xml:space="preserve">Push is a</w:t>
      </w:r>
      <w:r>
        <w:t xml:space="preserve"> </w:t>
      </w:r>
      <w:r>
        <w:rPr>
          <w:bCs/>
          <w:b/>
        </w:rPr>
        <w:t xml:space="preserve">hint</w:t>
      </w:r>
      <w:r>
        <w:t xml:space="preserve">, never the source of truth:</w:t>
      </w:r>
    </w:p>
    <w:p>
      <w:pPr>
        <w:numPr>
          <w:ilvl w:val="0"/>
          <w:numId w:val="1318"/>
        </w:numPr>
        <w:pStyle w:val="Compact"/>
      </w:pPr>
      <w:r>
        <w:rPr>
          <w:bCs/>
          <w:b/>
        </w:rPr>
        <w:t xml:space="preserve">Limited storage while offline.</w:t>
      </w:r>
      <w:r>
        <w:t xml:space="preserve"> </w:t>
      </w:r>
      <w:r>
        <w:t xml:space="preserve">APNs stores only the most recent notification per app for an offline device; sending a new one discards the stored one [Apple: Sending notification requests to APNs]. FCM stores up to 100 non-collapsible messages per device; past that it discards all of them and tells the app (on Android via a</w:t>
      </w:r>
      <w:r>
        <w:t xml:space="preserve"> </w:t>
      </w:r>
      <w:r>
        <w:t xml:space="preserve">“</w:t>
      </w:r>
      <w:r>
        <w:t xml:space="preserve">deleted messages</w:t>
      </w:r>
      <w:r>
        <w:t xml:space="preserve">”</w:t>
      </w:r>
      <w:r>
        <w:t xml:space="preserve"> </w:t>
      </w:r>
      <w:r>
        <w:t xml:space="preserve">callback) that it must sync with your server [FCM Docs: collapsible messages].</w:t>
      </w:r>
    </w:p>
    <w:p>
      <w:pPr>
        <w:numPr>
          <w:ilvl w:val="0"/>
          <w:numId w:val="1318"/>
        </w:numPr>
        <w:pStyle w:val="Compact"/>
      </w:pPr>
      <w:r>
        <w:rPr>
          <w:bCs/>
          <w:b/>
        </w:rPr>
        <w:t xml:space="preserve">Expiry.</w:t>
      </w:r>
      <w:r>
        <w:t xml:space="preserve"> </w:t>
      </w:r>
      <w:r>
        <w:t xml:space="preserve">Messages older than their TTL (</w:t>
      </w:r>
      <w:r>
        <w:rPr>
          <w:rStyle w:val="VerbatimChar"/>
        </w:rPr>
        <w:t xml:space="preserve">apns-expiration</w:t>
      </w:r>
      <w:r>
        <w:t xml:space="preserve">; FCM</w:t>
      </w:r>
      <w:r>
        <w:t xml:space="preserve"> </w:t>
      </w:r>
      <w:r>
        <w:rPr>
          <w:rStyle w:val="VerbatimChar"/>
        </w:rPr>
        <w:t xml:space="preserve">ttl</w:t>
      </w:r>
      <w:r>
        <w:t xml:space="preserve">, default and maximum 4 weeks) are dropped.</w:t>
      </w:r>
    </w:p>
    <w:p>
      <w:pPr>
        <w:numPr>
          <w:ilvl w:val="0"/>
          <w:numId w:val="1318"/>
        </w:numPr>
        <w:pStyle w:val="Compact"/>
      </w:pPr>
      <w:r>
        <w:rPr>
          <w:bCs/>
          <w:b/>
        </w:rPr>
        <w:t xml:space="preserve">OS policy.</w:t>
      </w:r>
      <w:r>
        <w:t xml:space="preserve"> </w:t>
      </w:r>
      <w:r>
        <w:t xml:space="preserve">Low-priority and background (</w:t>
      </w:r>
      <w:r>
        <w:t xml:space="preserve">“</w:t>
      </w:r>
      <w:r>
        <w:t xml:space="preserve">silent</w:t>
      </w:r>
      <w:r>
        <w:t xml:space="preserve">”</w:t>
      </w:r>
      <w:r>
        <w:t xml:space="preserve">) pushes may be delayed, batched or throttled by the OS to save power; Apple’s guidance is to treat background notifications as low priority and to avoid sending more than a few per hour (as of 2024). Users can disable notifications entirely.</w:t>
      </w:r>
    </w:p>
    <w:p>
      <w:pPr>
        <w:numPr>
          <w:ilvl w:val="0"/>
          <w:numId w:val="1318"/>
        </w:numPr>
        <w:pStyle w:val="Compact"/>
      </w:pPr>
      <w:r>
        <w:rPr>
          <w:bCs/>
          <w:b/>
        </w:rPr>
        <w:t xml:space="preserve">No delivery receipt.</w:t>
      </w:r>
      <w:r>
        <w:t xml:space="preserve"> </w:t>
      </w:r>
      <w:r>
        <w:t xml:space="preserve">A</w:t>
      </w:r>
      <w:r>
        <w:t xml:space="preserve"> </w:t>
      </w:r>
      <w:r>
        <w:rPr>
          <w:rStyle w:val="VerbatimChar"/>
        </w:rPr>
        <w:t xml:space="preserve">200</w:t>
      </w:r>
      <w:r>
        <w:t xml:space="preserve"> </w:t>
      </w:r>
      <w:r>
        <w:t xml:space="preserve">from APNs or FCM means</w:t>
      </w:r>
      <w:r>
        <w:t xml:space="preserve"> </w:t>
      </w:r>
      <w:r>
        <w:t xml:space="preserve">“</w:t>
      </w:r>
      <w:r>
        <w:t xml:space="preserve">accepted</w:t>
      </w:r>
      <w:r>
        <w:t xml:space="preserve">”</w:t>
      </w:r>
      <w:r>
        <w:t xml:space="preserve">, not</w:t>
      </w:r>
      <w:r>
        <w:t xml:space="preserve"> </w:t>
      </w:r>
      <w:r>
        <w:t xml:space="preserve">“</w:t>
      </w:r>
      <w:r>
        <w:t xml:space="preserve">displayed</w:t>
      </w:r>
      <w:r>
        <w:t xml:space="preserve">”</w:t>
      </w:r>
      <w:r>
        <w:t xml:space="preserve">.</w:t>
      </w:r>
    </w:p>
    <w:p>
      <w:pPr>
        <w:pStyle w:val="FirstParagraph"/>
      </w:pPr>
      <w:r>
        <w:t xml:space="preserve">The robust pattern is</w:t>
      </w:r>
      <w:r>
        <w:t xml:space="preserve"> </w:t>
      </w:r>
      <w:r>
        <w:rPr>
          <w:bCs/>
          <w:b/>
        </w:rPr>
        <w:t xml:space="preserve">tickle, then fetch</w:t>
      </w:r>
      <w:r>
        <w:t xml:space="preserve">: the push says</w:t>
      </w:r>
      <w:r>
        <w:t xml:space="preserve"> </w:t>
      </w:r>
      <w:r>
        <w:t xml:space="preserve">“</w:t>
      </w:r>
      <w:r>
        <w:t xml:space="preserve">something changed</w:t>
      </w:r>
      <w:r>
        <w:t xml:space="preserve">”</w:t>
      </w:r>
      <w:r>
        <w:t xml:space="preserve"> </w:t>
      </w:r>
      <w:r>
        <w:t xml:space="preserve">(optionally with display text), and the app, when opened or woken, fetches the authoritative state from your API since its last cursor — the same cursor idea as §9.4.</w:t>
      </w:r>
    </w:p>
    <w:bookmarkStart w:id="1044" w:name="collapse-keys"/>
    <w:p>
      <w:pPr>
        <w:pStyle w:val="Heading4"/>
      </w:pPr>
      <w:r>
        <w:t xml:space="preserve">Collapse keys</w:t>
      </w:r>
    </w:p>
    <w:p>
      <w:pPr>
        <w:pStyle w:val="FirstParagraph"/>
      </w:pPr>
      <w:r>
        <w:t xml:space="preserve">When notifications about the same thing pile up —</w:t>
      </w:r>
      <w:r>
        <w:t xml:space="preserve"> </w:t>
      </w:r>
      <w:r>
        <w:t xml:space="preserve">“</w:t>
      </w:r>
      <w:r>
        <w:t xml:space="preserve">3 new messages</w:t>
      </w:r>
      <w:r>
        <w:t xml:space="preserve">”</w:t>
      </w:r>
      <w:r>
        <w:t xml:space="preserve">,</w:t>
      </w:r>
      <w:r>
        <w:t xml:space="preserve"> </w:t>
      </w:r>
      <w:r>
        <w:t xml:space="preserve">“</w:t>
      </w:r>
      <w:r>
        <w:t xml:space="preserve">4 new messages</w:t>
      </w:r>
      <w:r>
        <w:t xml:space="preserve">”</w:t>
      </w:r>
      <w:r>
        <w:t xml:space="preserve"> </w:t>
      </w:r>
      <w:r>
        <w:t xml:space="preserve">— only the latest matters. A</w:t>
      </w:r>
      <w:r>
        <w:t xml:space="preserve"> </w:t>
      </w:r>
      <w:r>
        <w:rPr>
          <w:bCs/>
          <w:b/>
        </w:rPr>
        <w:t xml:space="preserve">collapse key</w:t>
      </w:r>
      <w:r>
        <w:t xml:space="preserve"> </w:t>
      </w:r>
      <w:r>
        <w:t xml:space="preserve">tells the provider that a newer message</w:t>
      </w:r>
      <w:r>
        <w:t xml:space="preserve"> </w:t>
      </w:r>
      <w:r>
        <w:rPr>
          <w:iCs/>
          <w:i/>
        </w:rPr>
        <w:t xml:space="preserve">replaces</w:t>
      </w:r>
      <w:r>
        <w:t xml:space="preserve"> </w:t>
      </w:r>
      <w:r>
        <w:t xml:space="preserve">an older pending one. APNs uses the</w:t>
      </w:r>
      <w:r>
        <w:t xml:space="preserve"> </w:t>
      </w:r>
      <w:r>
        <w:rPr>
          <w:rStyle w:val="VerbatimChar"/>
        </w:rPr>
        <w:t xml:space="preserve">apns-collapse-id</w:t>
      </w:r>
      <w:r>
        <w:t xml:space="preserve"> </w:t>
      </w:r>
      <w:r>
        <w:t xml:space="preserve">header (at most 64 bytes), and notifications sharing an ID are shown as one. FCM uses</w:t>
      </w:r>
      <w:r>
        <w:t xml:space="preserve"> </w:t>
      </w:r>
      <w:r>
        <w:rPr>
          <w:rStyle w:val="VerbatimChar"/>
        </w:rPr>
        <w:t xml:space="preserve">collapse_key</w:t>
      </w:r>
      <w:r>
        <w:t xml:space="preserve"> </w:t>
      </w:r>
      <w:r>
        <w:t xml:space="preserve">and keeps at most</w:t>
      </w:r>
      <w:r>
        <w:t xml:space="preserve"> </w:t>
      </w:r>
      <w:r>
        <w:rPr>
          <w:bCs/>
          <w:b/>
        </w:rPr>
        <w:t xml:space="preserve">four</w:t>
      </w:r>
      <w:r>
        <w:t xml:space="preserve"> </w:t>
      </w:r>
      <w:r>
        <w:t xml:space="preserve">distinct collapse keys per device, with no guarantee which four survive [FCM Docs: collapsible messages]. Use collapse keys for state (</w:t>
      </w:r>
      <w:r>
        <w:t xml:space="preserve">“</w:t>
      </w:r>
      <w:r>
        <w:t xml:space="preserve">order status: shipped</w:t>
      </w:r>
      <w:r>
        <w:t xml:space="preserve">”</w:t>
      </w:r>
      <w:r>
        <w:t xml:space="preserve">), not for messages that each carry unique content.</w:t>
      </w:r>
    </w:p>
    <w:bookmarkEnd w:id="1044"/>
    <w:bookmarkStart w:id="1045" w:name="token-lifecycle"/>
    <w:p>
      <w:pPr>
        <w:pStyle w:val="Heading4"/>
      </w:pPr>
      <w:r>
        <w:t xml:space="preserve">Token lifecycle</w:t>
      </w:r>
    </w:p>
    <w:p>
      <w:pPr>
        <w:pStyle w:val="FirstParagraph"/>
      </w:pPr>
      <w:r>
        <w:t xml:space="preserve">Tokens change when users reinstall, restore a backup to a new device, clear app data, or when the platform rotates them. Rules of thumb (as of 2024–2025):</w:t>
      </w:r>
    </w:p>
    <w:p>
      <w:pPr>
        <w:numPr>
          <w:ilvl w:val="0"/>
          <w:numId w:val="1319"/>
        </w:numPr>
        <w:pStyle w:val="Compact"/>
      </w:pPr>
      <w:r>
        <w:t xml:space="preserve">Fetch the token on every app start and upload it if changed, with a</w:t>
      </w:r>
      <w:r>
        <w:t xml:space="preserve"> </w:t>
      </w:r>
      <w:r>
        <w:rPr>
          <w:rStyle w:val="VerbatimChar"/>
        </w:rPr>
        <w:t xml:space="preserve">last_seen</w:t>
      </w:r>
      <w:r>
        <w:t xml:space="preserve"> </w:t>
      </w:r>
      <w:r>
        <w:t xml:space="preserve">timestamp.</w:t>
      </w:r>
    </w:p>
    <w:p>
      <w:pPr>
        <w:numPr>
          <w:ilvl w:val="0"/>
          <w:numId w:val="1319"/>
        </w:numPr>
        <w:pStyle w:val="Compact"/>
      </w:pPr>
      <w:r>
        <w:t xml:space="preserve">Delete tokens on</w:t>
      </w:r>
      <w:r>
        <w:t xml:space="preserve"> </w:t>
      </w:r>
      <w:r>
        <w:rPr>
          <w:rStyle w:val="VerbatimChar"/>
        </w:rPr>
        <w:t xml:space="preserve">410</w:t>
      </w:r>
      <w:r>
        <w:t xml:space="preserve">/</w:t>
      </w:r>
      <w:r>
        <w:rPr>
          <w:rStyle w:val="VerbatimChar"/>
        </w:rPr>
        <w:t xml:space="preserve">404 UNREGISTERED</w:t>
      </w:r>
      <w:r>
        <w:t xml:space="preserve"> </w:t>
      </w:r>
      <w:r>
        <w:t xml:space="preserve">responses immediately.</w:t>
      </w:r>
    </w:p>
    <w:p>
      <w:pPr>
        <w:numPr>
          <w:ilvl w:val="0"/>
          <w:numId w:val="1319"/>
        </w:numPr>
        <w:pStyle w:val="Compact"/>
      </w:pPr>
      <w:r>
        <w:t xml:space="preserve">Expire tokens not refreshed for a period you choose; Google recommends treating tokens older than about one month as stale, and FCM itself treats Android tokens inactive for 270 days as expired [FCM Docs: token management].</w:t>
      </w:r>
    </w:p>
    <w:p>
      <w:pPr>
        <w:numPr>
          <w:ilvl w:val="0"/>
          <w:numId w:val="1319"/>
        </w:numPr>
        <w:pStyle w:val="Compact"/>
      </w:pPr>
      <w:r>
        <w:t xml:space="preserve">Keep one row per (user, device, app) so that a user’s ten old reinstall tokens do not each receive a copy.</w:t>
      </w:r>
    </w:p>
    <w:p>
      <w:pPr>
        <w:numPr>
          <w:ilvl w:val="0"/>
          <w:numId w:val="1319"/>
        </w:numPr>
        <w:pStyle w:val="Compact"/>
      </w:pPr>
      <w:r>
        <w:t xml:space="preserve">Never put sensitive content in the payload when the lock screen could show it; payloads are limited to 4 KB (4,096 bytes) for regular notifications on both APNs and FCM.</w:t>
      </w:r>
    </w:p>
    <w:bookmarkEnd w:id="1045"/>
    <w:bookmarkStart w:id="1046" w:name="mathematical-foundations-11"/>
    <w:p>
      <w:pPr>
        <w:pStyle w:val="Heading4"/>
      </w:pPr>
      <w:r>
        <w:t xml:space="preserve">Mathematical foundations</w:t>
      </w:r>
    </w:p>
    <w:p>
      <w:pPr>
        <w:pStyle w:val="CalloutExample"/>
      </w:pPr>
      <w:r>
        <w:rPr>
          <w:bCs/>
          <w:b/>
        </w:rPr>
        <w:t xml:space="preserve">WORKED EXAMPLE</w:t>
      </w:r>
    </w:p>
    <w:p>
      <w:pPr>
        <w:pStyle w:val="CalloutExample"/>
      </w:pPr>
      <w:r>
        <w:rPr>
          <w:bCs/>
          <w:b/>
        </w:rPr>
        <w:t xml:space="preserve">Worked example — Breaking-news push to 50 million devices.</w:t>
      </w:r>
    </w:p>
    <w:p>
      <w:pPr>
        <w:pStyle w:val="CalloutExample"/>
      </w:pPr>
      <w:r>
        <w:t xml:space="preserve">Assume 50 million registered tokens, of which 8 % are stale (uninstalled apps), and you want delivery started within 5 minutes.</w:t>
      </w:r>
    </w:p>
    <w:p>
      <w:pPr>
        <w:numPr>
          <w:ilvl w:val="0"/>
          <w:numId w:val="1320"/>
        </w:numPr>
        <w:pStyle w:val="Compact"/>
      </w:pPr>
      <w:r>
        <w:t xml:space="preserve">Required send rate:</w:t>
      </w:r>
      <w:r>
        <w:t xml:space="preserve"> </w:t>
      </w:r>
      <m:oMath>
        <m:r>
          <m:t>50</m:t>
        </m:r>
        <m:r>
          <m:rPr>
            <m:sty m:val="p"/>
          </m:rPr>
          <m:t>,</m:t>
        </m:r>
        <m:r>
          <m:t>000</m:t>
        </m:r>
        <m:r>
          <m:rPr>
            <m:sty m:val="p"/>
          </m:rPr>
          <m:t>,</m:t>
        </m:r>
        <m:r>
          <m:t>000</m:t>
        </m:r>
        <m:r>
          <m:rPr>
            <m:sty m:val="p"/>
          </m:rPr>
          <m:t>/</m:t>
        </m:r>
        <m:r>
          <m:t>300</m:t>
        </m:r>
        <m:r>
          <m:rPr>
            <m:nor/>
            <m:sty m:val="p"/>
          </m:rPr>
          <m:t> s</m:t>
        </m:r>
        <m:r>
          <m:rPr>
            <m:sty m:val="p"/>
          </m:rPr>
          <m:t>≈</m:t>
        </m:r>
        <m:r>
          <m:t>167</m:t>
        </m:r>
        <m:r>
          <m:rPr>
            <m:sty m:val="p"/>
          </m:rPr>
          <m:t>,</m:t>
        </m:r>
        <m:r>
          <m:t>000</m:t>
        </m:r>
      </m:oMath>
      <w:r>
        <w:t xml:space="preserve"> </w:t>
      </w:r>
      <w:r>
        <w:t xml:space="preserve">requests/s to APNs and FCM combined.</w:t>
      </w:r>
    </w:p>
    <w:p>
      <w:pPr>
        <w:numPr>
          <w:ilvl w:val="0"/>
          <w:numId w:val="1320"/>
        </w:numPr>
        <w:pStyle w:val="Compact"/>
      </w:pPr>
      <w:r>
        <w:t xml:space="preserve">With HTTP/2 multiplexing, assume one worker connection sustains about 1,000 sends/s (an Illustrative figure; measure your own):</w:t>
      </w:r>
      <w:r>
        <w:t xml:space="preserve"> </w:t>
      </w:r>
      <m:oMath>
        <m:r>
          <m:t>167</m:t>
        </m:r>
        <m:r>
          <m:rPr>
            <m:sty m:val="p"/>
          </m:rPr>
          <m:t>,</m:t>
        </m:r>
        <m:r>
          <m:t>000</m:t>
        </m:r>
        <m:r>
          <m:rPr>
            <m:sty m:val="p"/>
          </m:rPr>
          <m:t>/</m:t>
        </m:r>
        <m:r>
          <m:t>1</m:t>
        </m:r>
        <m:r>
          <m:rPr>
            <m:sty m:val="p"/>
          </m:rPr>
          <m:t>,</m:t>
        </m:r>
        <m:r>
          <m:t>000</m:t>
        </m:r>
        <m:r>
          <m:rPr>
            <m:sty m:val="p"/>
          </m:rPr>
          <m:t>=</m:t>
        </m:r>
        <m:r>
          <m:t>167</m:t>
        </m:r>
      </m:oMath>
      <w:r>
        <w:t xml:space="preserve"> </w:t>
      </w:r>
      <w:r>
        <w:t xml:space="preserve">concurrent provider connections across the worker fleet.</w:t>
      </w:r>
    </w:p>
    <w:p>
      <w:pPr>
        <w:numPr>
          <w:ilvl w:val="0"/>
          <w:numId w:val="1320"/>
        </w:numPr>
        <w:pStyle w:val="Compact"/>
      </w:pPr>
      <w:r>
        <w:t xml:space="preserve">Wasted sends to stale tokens:</w:t>
      </w:r>
      <w:r>
        <w:t xml:space="preserve"> </w:t>
      </w:r>
      <m:oMath>
        <m:r>
          <m:t>0.08</m:t>
        </m:r>
        <m:r>
          <m:rPr>
            <m:sty m:val="p"/>
          </m:rPr>
          <m:t>×</m:t>
        </m:r>
        <m:r>
          <m:t>50</m:t>
        </m:r>
        <m:r>
          <m:rPr>
            <m:nor/>
            <m:sty m:val="p"/>
          </m:rPr>
          <m:t> M</m:t>
        </m:r>
        <m:r>
          <m:rPr>
            <m:sty m:val="p"/>
          </m:rPr>
          <m:t>=</m:t>
        </m:r>
        <m:r>
          <m:t>4</m:t>
        </m:r>
      </m:oMath>
      <w:r>
        <w:t xml:space="preserve"> </w:t>
      </w:r>
      <w:r>
        <w:t xml:space="preserve">million requests, each returning 410/404 — prune them so that the next campaign is 8 % cheaper.</w:t>
      </w:r>
    </w:p>
    <w:p>
      <w:pPr>
        <w:numPr>
          <w:ilvl w:val="0"/>
          <w:numId w:val="1320"/>
        </w:numPr>
        <w:pStyle w:val="Compact"/>
      </w:pPr>
      <w:r>
        <w:t xml:space="preserve">Return traffic: if 10 % of recipients open the app in the first minute and each open triggers a sync, your API sees</w:t>
      </w:r>
      <w:r>
        <w:t xml:space="preserve"> </w:t>
      </w:r>
      <m:oMath>
        <m:r>
          <m:t>5</m:t>
        </m:r>
        <m:r>
          <m:rPr>
            <m:sty m:val="p"/>
          </m:rPr>
          <m:t>,</m:t>
        </m:r>
        <m:r>
          <m:t>000</m:t>
        </m:r>
        <m:r>
          <m:rPr>
            <m:sty m:val="p"/>
          </m:rPr>
          <m:t>,</m:t>
        </m:r>
        <m:r>
          <m:t>000</m:t>
        </m:r>
        <m:r>
          <m:rPr>
            <m:sty m:val="p"/>
          </m:rPr>
          <m:t>/</m:t>
        </m:r>
        <m:r>
          <m:t>60</m:t>
        </m:r>
        <m:r>
          <m:rPr>
            <m:sty m:val="p"/>
          </m:rPr>
          <m:t>≈</m:t>
        </m:r>
        <m:r>
          <m:t>83</m:t>
        </m:r>
        <m:r>
          <m:rPr>
            <m:sty m:val="p"/>
          </m:rPr>
          <m:t>,</m:t>
        </m:r>
        <m:r>
          <m:t>000</m:t>
        </m:r>
      </m:oMath>
      <w:r>
        <w:t xml:space="preserve"> </w:t>
      </w:r>
      <w:r>
        <w:t xml:space="preserve">extra requests/s. Stagger large sends, or put enough content in the payload that opening needs no immediate fetch.</w:t>
      </w:r>
    </w:p>
    <w:p>
      <w:pPr>
        <w:pStyle w:val="CalloutExample"/>
      </w:pPr>
      <w:r>
        <w:rPr>
          <w:bCs/>
          <w:b/>
        </w:rPr>
        <w:t xml:space="preserve">Engineering implication.</w:t>
      </w:r>
      <w:r>
        <w:t xml:space="preserve"> </w:t>
      </w:r>
      <w:r>
        <w:t xml:space="preserve">The bottleneck of a mass push is often</w:t>
      </w:r>
      <w:r>
        <w:t xml:space="preserve"> </w:t>
      </w:r>
      <w:r>
        <w:rPr>
          <w:iCs/>
          <w:i/>
        </w:rPr>
        <w:t xml:space="preserve">your own API</w:t>
      </w:r>
      <w:r>
        <w:t xml:space="preserve"> </w:t>
      </w:r>
      <w:r>
        <w:t xml:space="preserve">absorbing the return traffic, not the push provider.</w:t>
      </w:r>
    </w:p>
    <w:p>
      <w:pPr>
        <w:pStyle w:val="BodyText"/>
      </w:pPr>
      <w:r>
        <w:rPr>
          <w:bCs/>
          <w:b/>
        </w:rPr>
        <w:t xml:space="preserve">Table 9.11 — APNs and FCM compared (as of 2024–2025).</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APNs</w:t>
            </w:r>
          </w:p>
        </w:tc>
        <w:tc>
          <w:tcPr/>
          <w:p>
            <w:pPr>
              <w:pStyle w:val="Compact"/>
              <w:jc w:val="left"/>
            </w:pPr>
            <w:r>
              <w:t xml:space="preserve">FCM</w:t>
            </w:r>
          </w:p>
        </w:tc>
      </w:tr>
      <w:tr>
        <w:tc>
          <w:tcPr/>
          <w:p>
            <w:pPr>
              <w:pStyle w:val="Compact"/>
              <w:jc w:val="left"/>
            </w:pPr>
            <w:r>
              <w:t xml:space="preserve">Platforms</w:t>
            </w:r>
          </w:p>
        </w:tc>
        <w:tc>
          <w:tcPr/>
          <w:p>
            <w:pPr>
              <w:pStyle w:val="Compact"/>
              <w:jc w:val="left"/>
            </w:pPr>
            <w:r>
              <w:t xml:space="preserve">iOS, iPadOS, macOS, watchOS, tvOS, Safari web push</w:t>
            </w:r>
          </w:p>
        </w:tc>
        <w:tc>
          <w:tcPr/>
          <w:p>
            <w:pPr>
              <w:pStyle w:val="Compact"/>
              <w:jc w:val="left"/>
            </w:pPr>
            <w:r>
              <w:t xml:space="preserve">Android; also iOS (via APNs) and web</w:t>
            </w:r>
          </w:p>
        </w:tc>
      </w:tr>
      <w:tr>
        <w:tc>
          <w:tcPr/>
          <w:p>
            <w:pPr>
              <w:pStyle w:val="Compact"/>
              <w:jc w:val="left"/>
            </w:pPr>
            <w:r>
              <w:t xml:space="preserve">Server API</w:t>
            </w:r>
          </w:p>
        </w:tc>
        <w:tc>
          <w:tcPr/>
          <w:p>
            <w:pPr>
              <w:pStyle w:val="Compact"/>
              <w:jc w:val="left"/>
            </w:pPr>
            <w:r>
              <w:t xml:space="preserve">HTTP/2,</w:t>
            </w:r>
            <w:r>
              <w:t xml:space="preserve"> </w:t>
            </w:r>
            <w:r>
              <w:rPr>
                <w:rStyle w:val="VerbatimChar"/>
              </w:rPr>
              <w:t xml:space="preserve">POST /3/device/&lt;token&gt;</w:t>
            </w:r>
          </w:p>
        </w:tc>
        <w:tc>
          <w:tcPr/>
          <w:p>
            <w:pPr>
              <w:pStyle w:val="Compact"/>
              <w:jc w:val="left"/>
            </w:pPr>
            <w:r>
              <w:t xml:space="preserve">HTTPS HTTP v1</w:t>
            </w:r>
            <w:r>
              <w:t xml:space="preserve"> </w:t>
            </w:r>
            <w:r>
              <w:rPr>
                <w:rStyle w:val="VerbatimChar"/>
              </w:rPr>
              <w:t xml:space="preserve">messages:send</w:t>
            </w:r>
          </w:p>
        </w:tc>
      </w:tr>
      <w:tr>
        <w:tc>
          <w:tcPr/>
          <w:p>
            <w:pPr>
              <w:pStyle w:val="Compact"/>
              <w:jc w:val="left"/>
            </w:pPr>
            <w:r>
              <w:t xml:space="preserve">Authentication</w:t>
            </w:r>
          </w:p>
        </w:tc>
        <w:tc>
          <w:tcPr/>
          <w:p>
            <w:pPr>
              <w:pStyle w:val="Compact"/>
              <w:jc w:val="left"/>
            </w:pPr>
            <w:r>
              <w:t xml:space="preserve">JWT from</w:t>
            </w:r>
            <w:r>
              <w:t xml:space="preserve"> </w:t>
            </w:r>
            <w:r>
              <w:rPr>
                <w:rStyle w:val="VerbatimChar"/>
              </w:rPr>
              <w:t xml:space="preserve">.p8</w:t>
            </w:r>
            <w:r>
              <w:t xml:space="preserve"> </w:t>
            </w:r>
            <w:r>
              <w:t xml:space="preserve">key, or TLS client certificate</w:t>
            </w:r>
          </w:p>
        </w:tc>
        <w:tc>
          <w:tcPr/>
          <w:p>
            <w:pPr>
              <w:pStyle w:val="Compact"/>
              <w:jc w:val="left"/>
            </w:pPr>
            <w:r>
              <w:t xml:space="preserve">OAuth 2.0 service-account access token</w:t>
            </w:r>
          </w:p>
        </w:tc>
      </w:tr>
      <w:tr>
        <w:tc>
          <w:tcPr/>
          <w:p>
            <w:pPr>
              <w:pStyle w:val="Compact"/>
              <w:jc w:val="left"/>
            </w:pPr>
            <w:r>
              <w:t xml:space="preserve">Max payload</w:t>
            </w:r>
          </w:p>
        </w:tc>
        <w:tc>
          <w:tcPr/>
          <w:p>
            <w:pPr>
              <w:pStyle w:val="Compact"/>
              <w:jc w:val="left"/>
            </w:pPr>
            <w:r>
              <w:t xml:space="preserve">4 KB (VoIP: 5 KB)</w:t>
            </w:r>
          </w:p>
        </w:tc>
        <w:tc>
          <w:tcPr/>
          <w:p>
            <w:pPr>
              <w:pStyle w:val="Compact"/>
              <w:jc w:val="left"/>
            </w:pPr>
            <w:r>
              <w:t xml:space="preserve">4 KB</w:t>
            </w:r>
          </w:p>
        </w:tc>
      </w:tr>
      <w:tr>
        <w:tc>
          <w:tcPr/>
          <w:p>
            <w:pPr>
              <w:pStyle w:val="Compact"/>
              <w:jc w:val="left"/>
            </w:pPr>
            <w:r>
              <w:t xml:space="preserve">Offline storage</w:t>
            </w:r>
          </w:p>
        </w:tc>
        <w:tc>
          <w:tcPr/>
          <w:p>
            <w:pPr>
              <w:pStyle w:val="Compact"/>
              <w:jc w:val="left"/>
            </w:pPr>
            <w:r>
              <w:t xml:space="preserve">Latest notification per app only</w:t>
            </w:r>
          </w:p>
        </w:tc>
        <w:tc>
          <w:tcPr/>
          <w:p>
            <w:pPr>
              <w:pStyle w:val="Compact"/>
              <w:jc w:val="left"/>
            </w:pPr>
            <w:r>
              <w:t xml:space="preserve">Up to 100 non-collapsible; 4 collapse keys</w:t>
            </w:r>
          </w:p>
        </w:tc>
      </w:tr>
      <w:tr>
        <w:tc>
          <w:tcPr/>
          <w:p>
            <w:pPr>
              <w:pStyle w:val="Compact"/>
              <w:jc w:val="left"/>
            </w:pPr>
            <w:r>
              <w:t xml:space="preserve">Collapse mechanism</w:t>
            </w:r>
          </w:p>
        </w:tc>
        <w:tc>
          <w:tcPr/>
          <w:p>
            <w:pPr>
              <w:pStyle w:val="Compact"/>
              <w:jc w:val="left"/>
            </w:pPr>
            <w:r>
              <w:rPr>
                <w:rStyle w:val="VerbatimChar"/>
              </w:rPr>
              <w:t xml:space="preserve">apns-collapse-id</w:t>
            </w:r>
            <w:r>
              <w:t xml:space="preserve"> </w:t>
            </w:r>
            <w:r>
              <w:t xml:space="preserve">(≤ 64 bytes)</w:t>
            </w:r>
          </w:p>
        </w:tc>
        <w:tc>
          <w:tcPr/>
          <w:p>
            <w:pPr>
              <w:pStyle w:val="Compact"/>
              <w:jc w:val="left"/>
            </w:pPr>
            <w:r>
              <w:rPr>
                <w:rStyle w:val="VerbatimChar"/>
              </w:rPr>
              <w:t xml:space="preserve">collapse_key</w:t>
            </w:r>
          </w:p>
        </w:tc>
      </w:tr>
      <w:tr>
        <w:tc>
          <w:tcPr/>
          <w:p>
            <w:pPr>
              <w:pStyle w:val="Compact"/>
              <w:jc w:val="left"/>
            </w:pPr>
            <w:r>
              <w:t xml:space="preserve">Invalid-token signal</w:t>
            </w:r>
          </w:p>
        </w:tc>
        <w:tc>
          <w:tcPr/>
          <w:p>
            <w:pPr>
              <w:pStyle w:val="Compact"/>
              <w:jc w:val="left"/>
            </w:pPr>
            <w:r>
              <w:t xml:space="preserve">HTTP 410</w:t>
            </w:r>
            <w:r>
              <w:t xml:space="preserve"> </w:t>
            </w:r>
            <w:r>
              <w:rPr>
                <w:rStyle w:val="VerbatimChar"/>
              </w:rPr>
              <w:t xml:space="preserve">Unregistered</w:t>
            </w:r>
          </w:p>
        </w:tc>
        <w:tc>
          <w:tcPr/>
          <w:p>
            <w:pPr>
              <w:pStyle w:val="Compact"/>
              <w:jc w:val="left"/>
            </w:pPr>
            <w:r>
              <w:rPr>
                <w:rStyle w:val="VerbatimChar"/>
              </w:rPr>
              <w:t xml:space="preserve">UNREGISTERED</w:t>
            </w:r>
            <w:r>
              <w:t xml:space="preserve"> </w:t>
            </w:r>
            <w:r>
              <w:t xml:space="preserve">(404)</w:t>
            </w:r>
          </w:p>
        </w:tc>
      </w:tr>
      <w:tr>
        <w:tc>
          <w:tcPr/>
          <w:p>
            <w:pPr>
              <w:pStyle w:val="Compact"/>
              <w:jc w:val="left"/>
            </w:pPr>
            <w:r>
              <w:t xml:space="preserve">Fan-out helpers</w:t>
            </w:r>
          </w:p>
        </w:tc>
        <w:tc>
          <w:tcPr/>
          <w:p>
            <w:pPr>
              <w:pStyle w:val="Compact"/>
              <w:jc w:val="left"/>
            </w:pPr>
            <w:r>
              <w:t xml:space="preserve">None (one request per token)</w:t>
            </w:r>
          </w:p>
        </w:tc>
        <w:tc>
          <w:tcPr/>
          <w:p>
            <w:pPr>
              <w:pStyle w:val="Compact"/>
              <w:jc w:val="left"/>
            </w:pPr>
            <w:r>
              <w:t xml:space="preserve">Topics and device groups</w:t>
            </w:r>
          </w:p>
        </w:tc>
      </w:tr>
    </w:tbl>
    <w:p>
      <w:pPr>
        <w:pStyle w:val="CalloutMistake"/>
      </w:pPr>
      <w:r>
        <w:rPr>
          <w:bCs/>
          <w:b/>
        </w:rPr>
        <w:t xml:space="preserve">COMMON MISTAKE</w:t>
      </w:r>
    </w:p>
    <w:p>
      <w:pPr>
        <w:pStyle w:val="CalloutMistake"/>
      </w:pPr>
      <w:r>
        <w:rPr>
          <w:bCs/>
          <w:b/>
        </w:rPr>
        <w:t xml:space="preserve">“</w:t>
      </w:r>
      <w:r>
        <w:rPr>
          <w:bCs/>
          <w:b/>
        </w:rPr>
        <w:t xml:space="preserve">A 200 OK from APNs means the user saw the notification.</w:t>
      </w:r>
      <w:r>
        <w:rPr>
          <w:bCs/>
          <w:b/>
        </w:rPr>
        <w:t xml:space="preserve">”</w:t>
      </w:r>
      <w:r>
        <w:t xml:space="preserve"> </w:t>
      </w:r>
      <w:r>
        <w:t xml:space="preserve">It means APNs accepted the request. The device may be offline beyond the expiration, the notification may be replaced by a newer one, or the user may have disabled alerts. Track engagement through the app itself (for example, an</w:t>
      </w:r>
      <w:r>
        <w:t xml:space="preserve"> </w:t>
      </w:r>
      <w:r>
        <w:t xml:space="preserve">“</w:t>
      </w:r>
      <w:r>
        <w:t xml:space="preserve">opened from notification</w:t>
      </w:r>
      <w:r>
        <w:t xml:space="preserve">”</w:t>
      </w:r>
      <w:r>
        <w:t xml:space="preserve"> </w:t>
      </w:r>
      <w:r>
        <w:t xml:space="preserve">event), not through provider responses.</w:t>
      </w:r>
    </w:p>
    <w:bookmarkEnd w:id="1046"/>
    <w:bookmarkEnd w:id="1047"/>
    <w:bookmarkEnd w:id="1048"/>
    <w:bookmarkStart w:id="1062" w:name="connection-management-at-scale"/>
    <w:p>
      <w:pPr>
        <w:pStyle w:val="Heading2"/>
      </w:pPr>
      <w:r>
        <w:t xml:space="preserve">9.9 Connection management at scale</w:t>
      </w:r>
    </w:p>
    <w:p>
      <w:pPr>
        <w:pStyle w:val="FirstParagraph"/>
      </w:pPr>
      <w:r>
        <w:t xml:space="preserve">Sections 9.4–9.6 each ended with the same observation: once a server holds long-lived connections, it becomes</w:t>
      </w:r>
      <w:r>
        <w:t xml:space="preserve"> </w:t>
      </w:r>
      <w:r>
        <w:rPr>
          <w:iCs/>
          <w:i/>
        </w:rPr>
        <w:t xml:space="preserve">stateful</w:t>
      </w:r>
      <w:r>
        <w:t xml:space="preserve">, and the problems shift from</w:t>
      </w:r>
      <w:r>
        <w:t xml:space="preserve"> </w:t>
      </w:r>
      <w:r>
        <w:t xml:space="preserve">“</w:t>
      </w:r>
      <w:r>
        <w:t xml:space="preserve">how many requests per second?</w:t>
      </w:r>
      <w:r>
        <w:t xml:space="preserve">”</w:t>
      </w:r>
      <w:r>
        <w:t xml:space="preserve"> </w:t>
      </w:r>
      <w:r>
        <w:t xml:space="preserve">to</w:t>
      </w:r>
      <w:r>
        <w:t xml:space="preserve"> </w:t>
      </w:r>
      <w:r>
        <w:t xml:space="preserve">“</w:t>
      </w:r>
      <w:r>
        <w:t xml:space="preserve">how many connections, where are they, and what happens when they all move at once?</w:t>
      </w:r>
      <w:r>
        <w:t xml:space="preserve">”</w:t>
      </w:r>
      <w:r>
        <w:t xml:space="preserve">. This section assembles the pieces into a production architecture.</w:t>
      </w:r>
    </w:p>
    <w:bookmarkStart w:id="1053" w:name="connection-gateways"/>
    <w:p>
      <w:pPr>
        <w:pStyle w:val="Heading3"/>
      </w:pPr>
      <w:r>
        <w:t xml:space="preserve">9.9.1 Connection gateways</w:t>
      </w:r>
    </w:p>
    <w:p>
      <w:pPr>
        <w:pStyle w:val="CalloutDefinition"/>
      </w:pPr>
      <w:r>
        <w:rPr>
          <w:bCs/>
          <w:b/>
        </w:rPr>
        <w:t xml:space="preserve">DEFINITION</w:t>
      </w:r>
    </w:p>
    <w:p>
      <w:pPr>
        <w:pStyle w:val="CalloutDefinition"/>
      </w:pPr>
      <w:r>
        <w:rPr>
          <w:bCs/>
          <w:b/>
        </w:rPr>
        <w:t xml:space="preserve">Definition — Connection gateway.</w:t>
      </w:r>
      <w:r>
        <w:t xml:space="preserve"> </w:t>
      </w:r>
      <w:r>
        <w:t xml:space="preserve">A dedicated, thin service tier whose only job is to terminate long-lived client connections (WebSocket, SSE, long polling), authenticate them, track which user and topics each connection belongs to, and move messages between those connections and back-end services through a messaging layer. It contains no business logic.</w:t>
      </w:r>
    </w:p>
    <w:bookmarkStart w:id="1052" w:name="why-does-this-exist-35"/>
    <w:p>
      <w:pPr>
        <w:pStyle w:val="Heading4"/>
      </w:pPr>
      <w:r>
        <w:t xml:space="preserve">Why does this exist?</w:t>
      </w:r>
    </w:p>
    <w:p>
      <w:pPr>
        <w:pStyle w:val="FirstParagraph"/>
      </w:pPr>
      <w:r>
        <w:t xml:space="preserve">Put chat logic, feed ranking and the WebSocket server in one service, and every deploy of chat logic disconnects every user, every memory leak kills millions of connections, and CPU-based autoscaling adds instances that receive no connections until clients reconnect. Separating a</w:t>
      </w:r>
      <w:r>
        <w:t xml:space="preserve"> </w:t>
      </w:r>
      <w:r>
        <w:rPr>
          <w:bCs/>
          <w:b/>
        </w:rPr>
        <w:t xml:space="preserve">gateway tier</w:t>
      </w:r>
      <w:r>
        <w:t xml:space="preserve"> </w:t>
      </w:r>
      <w:r>
        <w:t xml:space="preserve">(stateful, memory-bound, simple, rarely deployed) from</w:t>
      </w:r>
      <w:r>
        <w:t xml:space="preserve"> </w:t>
      </w:r>
      <w:r>
        <w:rPr>
          <w:bCs/>
          <w:b/>
        </w:rPr>
        <w:t xml:space="preserve">business services</w:t>
      </w:r>
      <w:r>
        <w:t xml:space="preserve"> </w:t>
      </w:r>
      <w:r>
        <w:t xml:space="preserve">(stateless, CPU-bound, deployed many times a day) is the central design move of large real-time systems — an airport terminal that airlines can reschedule around without rebuilding it.</w:t>
      </w:r>
    </w:p>
    <w:p>
      <w:pPr>
        <w:pStyle w:val="BodyText"/>
      </w:pPr>
      <w:r>
        <w:rPr>
          <w:bCs/>
          <w:b/>
        </w:rPr>
        <w:t xml:space="preserve">Figure 9.9 — Architecture of a connection gateway fleet.</w:t>
      </w:r>
    </w:p>
    <w:p>
      <w:pPr>
        <w:pStyle w:val="BodyText"/>
      </w:pPr>
      <w:r>
        <w:drawing>
          <wp:inline>
            <wp:extent cx="5334000" cy="1622246"/>
            <wp:effectExtent b="0" l="0" r="0" t="0"/>
            <wp:docPr descr="" title="" id="1050" name="Picture"/>
            <a:graphic>
              <a:graphicData uri="http://schemas.openxmlformats.org/drawingml/2006/picture">
                <pic:pic>
                  <pic:nvPicPr>
                    <pic:cNvPr descr="/home/user/System-Design/build/.cache/diagrams/2fc541630ed7.png" id="1051" name="Picture"/>
                    <pic:cNvPicPr>
                      <a:picLocks noChangeArrowheads="1" noChangeAspect="1"/>
                    </pic:cNvPicPr>
                  </pic:nvPicPr>
                  <pic:blipFill>
                    <a:blip r:embed="rId1049"/>
                    <a:stretch>
                      <a:fillRect/>
                    </a:stretch>
                  </pic:blipFill>
                  <pic:spPr bwMode="auto">
                    <a:xfrm>
                      <a:off x="0" y="0"/>
                      <a:ext cx="5334000" cy="1622246"/>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Clients connect over</w:t>
      </w:r>
      <w:r>
        <w:t xml:space="preserve"> </w:t>
      </w:r>
      <w:r>
        <w:rPr>
          <w:rStyle w:val="VerbatimChar"/>
        </w:rPr>
        <w:t xml:space="preserve">wss</w:t>
      </w:r>
      <w:r>
        <w:t xml:space="preserve"> </w:t>
      </w:r>
      <w:r>
        <w:t xml:space="preserve">through an L4 load balancer (least connections) and stay on the gateway they reach. On connect, the gateway validates the token and records</w:t>
      </w:r>
      <w:r>
        <w:t xml:space="preserve"> </w:t>
      </w:r>
      <w:r>
        <w:t xml:space="preserve">“</w:t>
      </w:r>
      <w:r>
        <w:t xml:space="preserve">user → gateway</w:t>
      </w:r>
      <w:r>
        <w:t xml:space="preserve">”</w:t>
      </w:r>
      <w:r>
        <w:t xml:space="preserve"> </w:t>
      </w:r>
      <w:r>
        <w:t xml:space="preserve">with a TTL in a Redis registry. Gateways subscribe to backplane topics for rooms with local members. A client message goes synchronously (gRPC) to the chat service, which persists it in the message store — the durable boundary — and</w:t>
      </w:r>
      <w:r>
        <w:t xml:space="preserve"> </w:t>
      </w:r>
      <w:r>
        <w:rPr>
          <w:iCs/>
          <w:i/>
        </w:rPr>
        <w:t xml:space="preserve">then</w:t>
      </w:r>
      <w:r>
        <w:t xml:space="preserve"> </w:t>
      </w:r>
      <w:r>
        <w:t xml:space="preserve">publishes it asynchronously (dotted); the backplane delivers only to subscribed gateways, which write to local sockets. Offline recipients go to the push service (§9.8). Failure points: a gateway crash drops its connections (clients reconnect and resync from the store); a backplane outage pauses live fan-out but loses no data; a registry outage breaks presence and targeted delivery. Gateways scale by connections, the chat service by request rate, the backplane by fan-out.</w:t>
      </w:r>
    </w:p>
    <w:bookmarkEnd w:id="1052"/>
    <w:bookmarkEnd w:id="1053"/>
    <w:bookmarkStart w:id="1055" w:name="X1c143af1919d22bdf9d9a0ab0a94e314077a0e4"/>
    <w:p>
      <w:pPr>
        <w:pStyle w:val="Heading3"/>
      </w:pPr>
      <w:r>
        <w:t xml:space="preserve">9.9.2 Memory per connection and capacity estimation</w:t>
      </w:r>
    </w:p>
    <w:p>
      <w:pPr>
        <w:pStyle w:val="FirstParagraph"/>
      </w:pPr>
      <w:r>
        <w:t xml:space="preserve">An idle connection consumes almost no CPU — on an event-loop server (§6.13), it is a file descriptor registered with</w:t>
      </w:r>
      <w:r>
        <w:t xml:space="preserve"> </w:t>
      </w:r>
      <w:r>
        <w:rPr>
          <w:rStyle w:val="VerbatimChar"/>
        </w:rPr>
        <w:t xml:space="preserve">epoll</w:t>
      </w:r>
      <w:r>
        <w:t xml:space="preserve"> </w:t>
      </w:r>
      <w:r>
        <w:t xml:space="preserve">— so gateways are usually</w:t>
      </w:r>
      <w:r>
        <w:t xml:space="preserve"> </w:t>
      </w:r>
      <w:r>
        <w:rPr>
          <w:bCs/>
          <w:b/>
        </w:rPr>
        <w:t xml:space="preserve">memory-bound</w:t>
      </w:r>
      <w:r>
        <w:t xml:space="preserve"> </w:t>
      </w:r>
      <w:r>
        <w:t xml:space="preserve">and</w:t>
      </w:r>
      <w:r>
        <w:t xml:space="preserve"> </w:t>
      </w:r>
      <w:r>
        <w:rPr>
          <w:bCs/>
          <w:b/>
        </w:rPr>
        <w:t xml:space="preserve">blast-radius-bound</w:t>
      </w:r>
      <w:r>
        <w:t xml:space="preserve"> </w:t>
      </w:r>
      <w:r>
        <w:t xml:space="preserve">rather than CPU-bound. The C10K problem of the late 1990s [Kegel 1999] asked how to hold 10,000 connections on one server; modern kernels and runtimes routinely hold hundreds of thousands to millions.</w:t>
      </w:r>
    </w:p>
    <w:p>
      <w:pPr>
        <w:pStyle w:val="BodyText"/>
      </w:pPr>
      <w:r>
        <w:rPr>
          <w:bCs/>
          <w:b/>
        </w:rPr>
        <w:t xml:space="preserve">Table 9.12 — Per-connection memory budget for a TLS WebSocket gateway (Illustrative assumptions; measure your own stack).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Typical range</w:t>
            </w:r>
          </w:p>
        </w:tc>
        <w:tc>
          <w:tcPr/>
          <w:p>
            <w:pPr>
              <w:pStyle w:val="Compact"/>
              <w:jc w:val="left"/>
            </w:pPr>
            <w:r>
              <w:t xml:space="preserve">Assumed</w:t>
            </w:r>
          </w:p>
        </w:tc>
      </w:tr>
      <w:tr>
        <w:tc>
          <w:tcPr/>
          <w:p>
            <w:pPr>
              <w:pStyle w:val="Compact"/>
              <w:jc w:val="left"/>
            </w:pPr>
            <w:r>
              <w:t xml:space="preserve">Kernel socket structures, idle (buffers grow only while data is in flight)</w:t>
            </w:r>
          </w:p>
        </w:tc>
        <w:tc>
          <w:tcPr/>
          <w:p>
            <w:pPr>
              <w:pStyle w:val="Compact"/>
              <w:jc w:val="left"/>
            </w:pPr>
            <w:r>
              <w:t xml:space="preserve">2–10 KB</w:t>
            </w:r>
          </w:p>
        </w:tc>
        <w:tc>
          <w:tcPr/>
          <w:p>
            <w:pPr>
              <w:pStyle w:val="Compact"/>
              <w:jc w:val="left"/>
            </w:pPr>
            <w:r>
              <w:t xml:space="preserve">4 KB</w:t>
            </w:r>
          </w:p>
        </w:tc>
      </w:tr>
      <w:tr>
        <w:tc>
          <w:tcPr/>
          <w:p>
            <w:pPr>
              <w:pStyle w:val="Compact"/>
              <w:jc w:val="left"/>
            </w:pPr>
            <w:r>
              <w:t xml:space="preserve">TLS session state and record buffers (depends heavily on library and buffer-release settings)</w:t>
            </w:r>
          </w:p>
        </w:tc>
        <w:tc>
          <w:tcPr/>
          <w:p>
            <w:pPr>
              <w:pStyle w:val="Compact"/>
              <w:jc w:val="left"/>
            </w:pPr>
            <w:r>
              <w:t xml:space="preserve">5–40 KB</w:t>
            </w:r>
          </w:p>
        </w:tc>
        <w:tc>
          <w:tcPr/>
          <w:p>
            <w:pPr>
              <w:pStyle w:val="Compact"/>
              <w:jc w:val="left"/>
            </w:pPr>
            <w:r>
              <w:t xml:space="preserve">16 KB</w:t>
            </w:r>
          </w:p>
        </w:tc>
      </w:tr>
      <w:tr>
        <w:tc>
          <w:tcPr/>
          <w:p>
            <w:pPr>
              <w:pStyle w:val="Compact"/>
              <w:jc w:val="left"/>
            </w:pPr>
            <w:r>
              <w:t xml:space="preserve">Runtime task (goroutine stack, Erlang process, async task)</w:t>
            </w:r>
          </w:p>
        </w:tc>
        <w:tc>
          <w:tcPr/>
          <w:p>
            <w:pPr>
              <w:pStyle w:val="Compact"/>
              <w:jc w:val="left"/>
            </w:pPr>
            <w:r>
              <w:t xml:space="preserve">2–8 KB</w:t>
            </w:r>
          </w:p>
        </w:tc>
        <w:tc>
          <w:tcPr/>
          <w:p>
            <w:pPr>
              <w:pStyle w:val="Compact"/>
              <w:jc w:val="left"/>
            </w:pPr>
            <w:r>
              <w:t xml:space="preserve">4 KB</w:t>
            </w:r>
          </w:p>
        </w:tc>
      </w:tr>
      <w:tr>
        <w:tc>
          <w:tcPr/>
          <w:p>
            <w:pPr>
              <w:pStyle w:val="Compact"/>
              <w:jc w:val="left"/>
            </w:pPr>
            <w:r>
              <w:t xml:space="preserve">Application read/write buffers</w:t>
            </w:r>
          </w:p>
        </w:tc>
        <w:tc>
          <w:tcPr/>
          <w:p>
            <w:pPr>
              <w:pStyle w:val="Compact"/>
              <w:jc w:val="left"/>
            </w:pPr>
            <w:r>
              <w:t xml:space="preserve">4–16 KB</w:t>
            </w:r>
          </w:p>
        </w:tc>
        <w:tc>
          <w:tcPr/>
          <w:p>
            <w:pPr>
              <w:pStyle w:val="Compact"/>
              <w:jc w:val="left"/>
            </w:pPr>
            <w:r>
              <w:t xml:space="preserve">8 KB</w:t>
            </w:r>
          </w:p>
        </w:tc>
      </w:tr>
      <w:tr>
        <w:tc>
          <w:tcPr/>
          <w:p>
            <w:pPr>
              <w:pStyle w:val="Compact"/>
              <w:jc w:val="left"/>
            </w:pPr>
            <w:r>
              <w:t xml:space="preserve">Session state: user, auth claims, subscriptions, outbound queue</w:t>
            </w:r>
          </w:p>
        </w:tc>
        <w:tc>
          <w:tcPr/>
          <w:p>
            <w:pPr>
              <w:pStyle w:val="Compact"/>
              <w:jc w:val="left"/>
            </w:pPr>
            <w:r>
              <w:t xml:space="preserve">1–20 KB</w:t>
            </w:r>
          </w:p>
        </w:tc>
        <w:tc>
          <w:tcPr/>
          <w:p>
            <w:pPr>
              <w:pStyle w:val="Compact"/>
              <w:jc w:val="left"/>
            </w:pPr>
            <w:r>
              <w:t xml:space="preserve">8 KB</w:t>
            </w:r>
          </w:p>
        </w:tc>
      </w:tr>
      <w:tr>
        <w:tc>
          <w:tcPr/>
          <w:p>
            <w:pPr>
              <w:pStyle w:val="Compact"/>
              <w:jc w:val="left"/>
            </w:pPr>
            <w:r>
              <w:rPr>
                <w:bCs/>
                <w:b/>
              </w:rPr>
              <w:t xml:space="preserve">Total</w:t>
            </w:r>
          </w:p>
        </w:tc>
        <w:tc>
          <w:tcPr/>
          <w:p>
            <w:pPr>
              <w:pStyle w:val="Compact"/>
              <w:jc w:val="left"/>
            </w:pPr>
            <w:r>
              <w:rPr>
                <w:bCs/>
                <w:b/>
              </w:rPr>
              <w:t xml:space="preserve">14–94 KB</w:t>
            </w:r>
          </w:p>
        </w:tc>
        <w:tc>
          <w:tcPr/>
          <w:p>
            <w:pPr>
              <w:pStyle w:val="Compact"/>
              <w:jc w:val="left"/>
            </w:pPr>
            <w:r>
              <w:rPr>
                <w:bCs/>
                <w:b/>
              </w:rPr>
              <w:t xml:space="preserve">40 KB</w:t>
            </w:r>
          </w:p>
        </w:tc>
      </w:tr>
    </w:tbl>
    <w:p>
      <w:pPr>
        <w:pStyle w:val="BodyText"/>
      </w:pPr>
      <w:r>
        <w:t xml:space="preserve">Note the caveat in the first row: Linux autotunes socket buffers up to</w:t>
      </w:r>
      <w:r>
        <w:t xml:space="preserve"> </w:t>
      </w:r>
      <w:r>
        <w:rPr>
          <w:rStyle w:val="VerbatimChar"/>
        </w:rPr>
        <w:t xml:space="preserve">tcp_rmem</w:t>
      </w:r>
      <w:r>
        <w:t xml:space="preserve">/</w:t>
      </w:r>
      <w:r>
        <w:rPr>
          <w:rStyle w:val="VerbatimChar"/>
        </w:rPr>
        <w:t xml:space="preserve">tcp_wmem</w:t>
      </w:r>
      <w:r>
        <w:t xml:space="preserve"> </w:t>
      </w:r>
      <w:r>
        <w:t xml:space="preserve">maximums of several megabytes per socket. A burst of traffic to many slow clients can multiply kernel memory far above the idle figure; cap buffer maximums with</w:t>
      </w:r>
      <w:r>
        <w:t xml:space="preserve"> </w:t>
      </w:r>
      <w:r>
        <w:rPr>
          <w:rStyle w:val="VerbatimChar"/>
        </w:rPr>
        <w:t xml:space="preserve">sysctl</w:t>
      </w:r>
      <w:r>
        <w:t xml:space="preserve"> </w:t>
      </w:r>
      <w:r>
        <w:t xml:space="preserve">and bound application queues (§9.6.7).</w:t>
      </w:r>
    </w:p>
    <w:p>
      <w:pPr>
        <w:pStyle w:val="CalloutFormula"/>
      </w:pPr>
      <w:r>
        <w:rPr>
          <w:bCs/>
          <w:b/>
        </w:rPr>
        <w:t xml:space="preserve">FORMULA</w:t>
      </w:r>
    </w:p>
    <w:p>
      <w:pPr>
        <w:pStyle w:val="CalloutFormula"/>
      </w:pPr>
      <w:r>
        <w:rPr>
          <w:bCs/>
          <w:b/>
        </w:rPr>
        <w:t xml:space="preserve">Gateway fleet sizing</w:t>
      </w:r>
    </w:p>
    <w:p>
      <w:pPr>
        <w:pStyle w:val="CalloutFormula"/>
      </w:pPr>
      <m:oMathPara>
        <m:oMathParaPr>
          <m:jc m:val="center"/>
        </m:oMathParaPr>
        <m:oMath>
          <m:sSub>
            <m:e>
              <m:r>
                <m:t>n</m:t>
              </m:r>
            </m:e>
            <m:sub>
              <m:r>
                <m:rPr>
                  <m:nor/>
                  <m:sty m:val="p"/>
                </m:rPr>
                <m:t>conn,max</m:t>
              </m:r>
            </m:sub>
          </m:sSub>
          <m:r>
            <m:rPr>
              <m:sty m:val="p"/>
            </m:rPr>
            <m:t>=</m:t>
          </m:r>
          <m:r>
            <m:rPr>
              <m:sty m:val="p"/>
            </m:rPr>
            <m:t>min</m:t>
          </m:r>
          <m:d>
            <m:dPr>
              <m:begChr m:val="("/>
              <m:endChr m:val=")"/>
              <m:sepChr m:val=""/>
              <m:grow/>
            </m:dPr>
            <m:e>
              <m:f>
                <m:fPr>
                  <m:type m:val="bar"/>
                </m:fPr>
                <m:num>
                  <m:r>
                    <m:t>f</m:t>
                  </m:r>
                  <m:r>
                    <m:rPr>
                      <m:sty m:val="p"/>
                    </m:rPr>
                    <m:t>⋅</m:t>
                  </m:r>
                  <m:r>
                    <m:t>M</m:t>
                  </m:r>
                </m:num>
                <m:den>
                  <m:r>
                    <m:t>m</m:t>
                  </m:r>
                </m:den>
              </m:f>
              <m:r>
                <m:rPr>
                  <m:sty m:val="p"/>
                </m:rPr>
                <m:t>,</m:t>
              </m:r>
              <m:r>
                <m:t> </m:t>
              </m:r>
              <m:sSub>
                <m:e>
                  <m:r>
                    <m:t>c</m:t>
                  </m:r>
                </m:e>
                <m:sub>
                  <m:r>
                    <m:rPr>
                      <m:nor/>
                      <m:sty m:val="p"/>
                    </m:rPr>
                    <m:t>blast</m:t>
                  </m:r>
                </m:sub>
              </m:sSub>
            </m:e>
          </m:d>
          <m:r>
            <m:t>  </m:t>
          </m:r>
          <m:r>
            <m:t>S</m:t>
          </m:r>
          <m:r>
            <m:rPr>
              <m:sty m:val="p"/>
            </m:rPr>
            <m:t>=</m:t>
          </m:r>
          <m:r>
            <m:t>Z</m:t>
          </m:r>
          <m:r>
            <m:rPr>
              <m:sty m:val="p"/>
            </m:rPr>
            <m:t>⋅</m:t>
          </m:r>
          <m:d>
            <m:dPr>
              <m:begChr m:val="⌈"/>
              <m:endChr m:val="⌉"/>
              <m:sepChr m:val=""/>
              <m:grow/>
            </m:dPr>
            <m:e>
              <m:f>
                <m:fPr>
                  <m:type m:val="bar"/>
                </m:fPr>
                <m:num>
                  <m:r>
                    <m:t>C</m:t>
                  </m:r>
                </m:num>
                <m:den>
                  <m:d>
                    <m:dPr>
                      <m:begChr m:val="("/>
                      <m:endChr m:val=")"/>
                      <m:sepChr m:val=""/>
                      <m:grow/>
                    </m:dPr>
                    <m:e>
                      <m:r>
                        <m:t>Z</m:t>
                      </m:r>
                      <m:r>
                        <m:rPr>
                          <m:sty m:val="p"/>
                        </m:rPr>
                        <m:t>−</m:t>
                      </m:r>
                      <m:r>
                        <m:t>1</m:t>
                      </m:r>
                    </m:e>
                  </m:d>
                  <m:r>
                    <m:t> </m:t>
                  </m:r>
                  <m:sSub>
                    <m:e>
                      <m:r>
                        <m:t>n</m:t>
                      </m:r>
                    </m:e>
                    <m:sub>
                      <m:r>
                        <m:rPr>
                          <m:nor/>
                          <m:sty m:val="p"/>
                        </m:rPr>
                        <m:t>conn,max</m:t>
                      </m:r>
                    </m:sub>
                  </m:sSub>
                </m:den>
              </m:f>
            </m:e>
          </m:d>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M</m:t>
              </m:r>
            </m:oMath>
          </w:p>
        </w:tc>
        <w:tc>
          <w:tcPr/>
          <w:p>
            <w:pPr>
              <w:pStyle w:val="Compact"/>
              <w:jc w:val="left"/>
            </w:pPr>
            <w:r>
              <w:t xml:space="preserve">RAM per gateway server</w:t>
            </w:r>
          </w:p>
        </w:tc>
        <w:tc>
          <w:tcPr/>
          <w:p>
            <w:pPr>
              <w:pStyle w:val="Compact"/>
              <w:jc w:val="left"/>
            </w:pPr>
            <w:r>
              <w:t xml:space="preserve">bytes</w:t>
            </w:r>
          </w:p>
        </w:tc>
      </w:tr>
      <w:tr>
        <w:tc>
          <w:tcPr/>
          <w:p>
            <w:pPr>
              <w:pStyle w:val="Compact"/>
              <w:jc w:val="left"/>
            </w:pPr>
            <m:oMath>
              <m:r>
                <m:t>f</m:t>
              </m:r>
            </m:oMath>
          </w:p>
        </w:tc>
        <w:tc>
          <w:tcPr/>
          <w:p>
            <w:pPr>
              <w:pStyle w:val="Compact"/>
              <w:jc w:val="left"/>
            </w:pPr>
            <w:r>
              <w:t xml:space="preserve">Fraction of RAM budgeted for connections</w:t>
            </w:r>
          </w:p>
        </w:tc>
        <w:tc>
          <w:tcPr/>
          <w:p>
            <w:pPr>
              <w:pStyle w:val="Compact"/>
              <w:jc w:val="left"/>
            </w:pPr>
            <w:r>
              <w:t xml:space="preserve">dimensionless</w:t>
            </w:r>
          </w:p>
        </w:tc>
      </w:tr>
      <w:tr>
        <w:tc>
          <w:tcPr/>
          <w:p>
            <w:pPr>
              <w:pStyle w:val="Compact"/>
              <w:jc w:val="left"/>
            </w:pPr>
            <m:oMath>
              <m:r>
                <m:t>m</m:t>
              </m:r>
            </m:oMath>
          </w:p>
        </w:tc>
        <w:tc>
          <w:tcPr/>
          <w:p>
            <w:pPr>
              <w:pStyle w:val="Compact"/>
              <w:jc w:val="left"/>
            </w:pPr>
            <w:r>
              <w:t xml:space="preserve">Memory per connection</w:t>
            </w:r>
          </w:p>
        </w:tc>
        <w:tc>
          <w:tcPr/>
          <w:p>
            <w:pPr>
              <w:pStyle w:val="Compact"/>
              <w:jc w:val="left"/>
            </w:pPr>
            <w:r>
              <w:t xml:space="preserve">bytes/connection</w:t>
            </w:r>
          </w:p>
        </w:tc>
      </w:tr>
      <w:tr>
        <w:tc>
          <w:tcPr/>
          <w:p>
            <w:pPr>
              <w:pStyle w:val="Compact"/>
              <w:jc w:val="left"/>
            </w:pPr>
            <m:oMath>
              <m:sSub>
                <m:e>
                  <m:r>
                    <m:t>c</m:t>
                  </m:r>
                </m:e>
                <m:sub>
                  <m:r>
                    <m:rPr>
                      <m:nor/>
                      <m:sty m:val="p"/>
                    </m:rPr>
                    <m:t>blast</m:t>
                  </m:r>
                </m:sub>
              </m:sSub>
            </m:oMath>
          </w:p>
        </w:tc>
        <w:tc>
          <w:tcPr/>
          <w:p>
            <w:pPr>
              <w:pStyle w:val="Compact"/>
              <w:jc w:val="left"/>
            </w:pPr>
            <w:r>
              <w:t xml:space="preserve">Maximum connections you accept losing in one server failure</w:t>
            </w:r>
          </w:p>
        </w:tc>
        <w:tc>
          <w:tcPr/>
          <w:p>
            <w:pPr>
              <w:pStyle w:val="Compact"/>
              <w:jc w:val="left"/>
            </w:pPr>
            <w:r>
              <w:t xml:space="preserve">connections</w:t>
            </w:r>
          </w:p>
        </w:tc>
      </w:tr>
      <w:tr>
        <w:tc>
          <w:tcPr/>
          <w:p>
            <w:pPr>
              <w:pStyle w:val="Compact"/>
              <w:jc w:val="left"/>
            </w:pPr>
            <m:oMath>
              <m:sSub>
                <m:e>
                  <m:r>
                    <m:t>n</m:t>
                  </m:r>
                </m:e>
                <m:sub>
                  <m:r>
                    <m:rPr>
                      <m:nor/>
                      <m:sty m:val="p"/>
                    </m:rPr>
                    <m:t>conn,max</m:t>
                  </m:r>
                </m:sub>
              </m:sSub>
            </m:oMath>
          </w:p>
        </w:tc>
        <w:tc>
          <w:tcPr/>
          <w:p>
            <w:pPr>
              <w:pStyle w:val="Compact"/>
              <w:jc w:val="left"/>
            </w:pPr>
            <w:r>
              <w:t xml:space="preserve">Design ceiling of connections per server</w:t>
            </w:r>
          </w:p>
        </w:tc>
        <w:tc>
          <w:tcPr/>
          <w:p>
            <w:pPr>
              <w:pStyle w:val="Compact"/>
              <w:jc w:val="left"/>
            </w:pPr>
            <w:r>
              <w:t xml:space="preserve">connections</w:t>
            </w:r>
          </w:p>
        </w:tc>
      </w:tr>
      <w:tr>
        <w:tc>
          <w:tcPr/>
          <w:p>
            <w:pPr>
              <w:pStyle w:val="Compact"/>
              <w:jc w:val="left"/>
            </w:pPr>
            <m:oMath>
              <m:r>
                <m:t>C</m:t>
              </m:r>
            </m:oMath>
          </w:p>
        </w:tc>
        <w:tc>
          <w:tcPr/>
          <w:p>
            <w:pPr>
              <w:pStyle w:val="Compact"/>
              <w:jc w:val="left"/>
            </w:pPr>
            <w:r>
              <w:t xml:space="preserve">Peak concurrent connections</w:t>
            </w:r>
          </w:p>
        </w:tc>
        <w:tc>
          <w:tcPr/>
          <w:p>
            <w:pPr>
              <w:pStyle w:val="Compact"/>
              <w:jc w:val="left"/>
            </w:pPr>
            <w:r>
              <w:t xml:space="preserve">connections</w:t>
            </w:r>
          </w:p>
        </w:tc>
      </w:tr>
      <w:tr>
        <w:tc>
          <w:tcPr/>
          <w:p>
            <w:pPr>
              <w:pStyle w:val="Compact"/>
              <w:jc w:val="left"/>
            </w:pPr>
            <m:oMath>
              <m:r>
                <m:t>Z</m:t>
              </m:r>
            </m:oMath>
          </w:p>
        </w:tc>
        <w:tc>
          <w:tcPr/>
          <w:p>
            <w:pPr>
              <w:pStyle w:val="Compact"/>
              <w:jc w:val="left"/>
            </w:pPr>
            <w:r>
              <w:t xml:space="preserve">Availability zones; the fleet must survive loss of one</w:t>
            </w:r>
          </w:p>
        </w:tc>
        <w:tc>
          <w:tcPr/>
          <w:p>
            <w:pPr>
              <w:pStyle w:val="Compact"/>
              <w:jc w:val="left"/>
            </w:pPr>
            <w:r>
              <w:t xml:space="preserve">zones</w:t>
            </w:r>
          </w:p>
        </w:tc>
      </w:tr>
      <w:tr>
        <w:tc>
          <w:tcPr/>
          <w:p>
            <w:pPr>
              <w:pStyle w:val="Compact"/>
              <w:jc w:val="left"/>
            </w:pPr>
            <m:oMath>
              <m:r>
                <m:t>S</m:t>
              </m:r>
            </m:oMath>
          </w:p>
        </w:tc>
        <w:tc>
          <w:tcPr/>
          <w:p>
            <w:pPr>
              <w:pStyle w:val="Compact"/>
              <w:jc w:val="left"/>
            </w:pPr>
            <w:r>
              <w:t xml:space="preserve">Total gateway servers</w:t>
            </w:r>
          </w:p>
        </w:tc>
        <w:tc>
          <w:tcPr/>
          <w:p>
            <w:pPr>
              <w:pStyle w:val="Compact"/>
              <w:jc w:val="left"/>
            </w:pPr>
            <w:r>
              <w:t xml:space="preserve">servers</w:t>
            </w:r>
          </w:p>
        </w:tc>
      </w:tr>
    </w:tbl>
    <w:p>
      <w:pPr>
        <w:pStyle w:val="CalloutExample"/>
      </w:pPr>
      <w:r>
        <w:rPr>
          <w:bCs/>
          <w:b/>
        </w:rPr>
        <w:t xml:space="preserve">WORKED EXAMPLE</w:t>
      </w:r>
    </w:p>
    <w:p>
      <w:pPr>
        <w:pStyle w:val="CalloutExample"/>
      </w:pPr>
      <w:r>
        <w:rPr>
          <w:bCs/>
          <w:b/>
        </w:rPr>
        <w:t xml:space="preserve">Worked example — 10 million concurrent connections.</w:t>
      </w:r>
    </w:p>
    <w:p>
      <w:pPr>
        <w:pStyle w:val="CalloutExample"/>
      </w:pPr>
      <w:r>
        <w:t xml:space="preserve">Requirements:</w:t>
      </w:r>
      <w:r>
        <w:t xml:space="preserve"> </w:t>
      </w:r>
      <m:oMath>
        <m:r>
          <m:t>C</m:t>
        </m:r>
        <m:r>
          <m:rPr>
            <m:sty m:val="p"/>
          </m:rPr>
          <m:t>=</m:t>
        </m:r>
        <m:r>
          <m:t>10</m:t>
        </m:r>
        <m:r>
          <m:rPr>
            <m:sty m:val="p"/>
          </m:rPr>
          <m:t>,</m:t>
        </m:r>
        <m:r>
          <m:t>000</m:t>
        </m:r>
        <m:r>
          <m:rPr>
            <m:sty m:val="p"/>
          </m:rPr>
          <m:t>,</m:t>
        </m:r>
        <m:r>
          <m:t>000</m:t>
        </m:r>
      </m:oMath>
      <w:r>
        <w:t xml:space="preserve"> </w:t>
      </w:r>
      <w:r>
        <w:t xml:space="preserve">concurrent WebSocket connections at peak; three availability zones (</w:t>
      </w:r>
      <m:oMath>
        <m:r>
          <m:t>Z</m:t>
        </m:r>
        <m:r>
          <m:rPr>
            <m:sty m:val="p"/>
          </m:rPr>
          <m:t>=</m:t>
        </m:r>
        <m:r>
          <m:t>3</m:t>
        </m:r>
      </m:oMath>
      <w:r>
        <w:t xml:space="preserve">); survive the loss of one zone; per-connection memory</w:t>
      </w:r>
      <w:r>
        <w:t xml:space="preserve"> </w:t>
      </w:r>
      <m:oMath>
        <m:r>
          <m:t>m</m:t>
        </m:r>
        <m:r>
          <m:rPr>
            <m:sty m:val="p"/>
          </m:rPr>
          <m:t>=</m:t>
        </m:r>
        <m:r>
          <m:t>40</m:t>
        </m:r>
      </m:oMath>
      <w:r>
        <w:t xml:space="preserve"> </w:t>
      </w:r>
      <w:r>
        <w:t xml:space="preserve">KB from Table 9.12 (SI units: 1 KB = 1,000 bytes); servers with</w:t>
      </w:r>
      <w:r>
        <w:t xml:space="preserve"> </w:t>
      </w:r>
      <m:oMath>
        <m:r>
          <m:t>M</m:t>
        </m:r>
        <m:r>
          <m:rPr>
            <m:sty m:val="p"/>
          </m:rPr>
          <m:t>=</m:t>
        </m:r>
        <m:r>
          <m:t>64</m:t>
        </m:r>
      </m:oMath>
      <w:r>
        <w:t xml:space="preserve"> </w:t>
      </w:r>
      <w:r>
        <w:t xml:space="preserve">GB RAM, of which</w:t>
      </w:r>
      <w:r>
        <w:t xml:space="preserve"> </w:t>
      </w:r>
      <m:oMath>
        <m:r>
          <m:t>f</m:t>
        </m:r>
        <m:r>
          <m:rPr>
            <m:sty m:val="p"/>
          </m:rPr>
          <m:t>=</m:t>
        </m:r>
        <m:r>
          <m:t>50</m:t>
        </m:r>
        <m:r>
          <m:t> </m:t>
        </m:r>
        <m:r>
          <m:rPr>
            <m:sty m:val="p"/>
          </m:rPr>
          <m:t>%</m:t>
        </m:r>
      </m:oMath>
      <w:r>
        <w:t xml:space="preserve"> </w:t>
      </w:r>
      <w:r>
        <w:t xml:space="preserve">is budgeted for connections (the rest for the OS, runtime heap, garbage-collection headroom and traffic bursts).</w:t>
      </w:r>
    </w:p>
    <w:p>
      <w:pPr>
        <w:numPr>
          <w:ilvl w:val="0"/>
          <w:numId w:val="1321"/>
        </w:numPr>
        <w:pStyle w:val="Compact"/>
      </w:pPr>
      <w:r>
        <w:rPr>
          <w:bCs/>
          <w:b/>
        </w:rPr>
        <w:t xml:space="preserve">Memory limit per server:</w:t>
      </w:r>
      <w:r>
        <w:t xml:space="preserve"> </w:t>
      </w:r>
      <m:oMath>
        <m:r>
          <m:t>0.5</m:t>
        </m:r>
        <m:r>
          <m:rPr>
            <m:sty m:val="p"/>
          </m:rPr>
          <m:t>×</m:t>
        </m:r>
        <m:r>
          <m:t>64</m:t>
        </m:r>
        <m:r>
          <m:rPr>
            <m:nor/>
            <m:sty m:val="p"/>
          </m:rPr>
          <m:t> GB</m:t>
        </m:r>
        <m:r>
          <m:rPr>
            <m:sty m:val="p"/>
          </m:rPr>
          <m:t>/</m:t>
        </m:r>
        <m:r>
          <m:t>40</m:t>
        </m:r>
        <m:r>
          <m:rPr>
            <m:nor/>
            <m:sty m:val="p"/>
          </m:rPr>
          <m:t> KB</m:t>
        </m:r>
        <m:r>
          <m:rPr>
            <m:sty m:val="p"/>
          </m:rPr>
          <m:t>=</m:t>
        </m:r>
        <m:r>
          <m:t>32</m:t>
        </m:r>
        <m:r>
          <m:rPr>
            <m:sty m:val="p"/>
          </m:rPr>
          <m:t>×</m:t>
        </m:r>
        <m:sSup>
          <m:e>
            <m:r>
              <m:t>10</m:t>
            </m:r>
          </m:e>
          <m:sup>
            <m:r>
              <m:t>9</m:t>
            </m:r>
          </m:sup>
        </m:sSup>
        <m:r>
          <m:rPr>
            <m:sty m:val="p"/>
          </m:rPr>
          <m:t>/</m:t>
        </m:r>
        <m:r>
          <m:t>40</m:t>
        </m:r>
        <m:r>
          <m:rPr>
            <m:sty m:val="p"/>
          </m:rPr>
          <m:t>×</m:t>
        </m:r>
        <m:sSup>
          <m:e>
            <m:r>
              <m:t>10</m:t>
            </m:r>
          </m:e>
          <m:sup>
            <m:r>
              <m:t>3</m:t>
            </m:r>
          </m:sup>
        </m:sSup>
        <m:r>
          <m:rPr>
            <m:sty m:val="p"/>
          </m:rPr>
          <m:t>=</m:t>
        </m:r>
        <m:r>
          <m:t>800</m:t>
        </m:r>
        <m:r>
          <m:rPr>
            <m:sty m:val="p"/>
          </m:rPr>
          <m:t>,</m:t>
        </m:r>
        <m:r>
          <m:t>000</m:t>
        </m:r>
      </m:oMath>
      <w:r>
        <w:t xml:space="preserve"> </w:t>
      </w:r>
      <w:r>
        <w:t xml:space="preserve">connections.</w:t>
      </w:r>
    </w:p>
    <w:p>
      <w:pPr>
        <w:numPr>
          <w:ilvl w:val="0"/>
          <w:numId w:val="1321"/>
        </w:numPr>
        <w:pStyle w:val="Compact"/>
      </w:pPr>
      <w:r>
        <w:rPr>
          <w:bCs/>
          <w:b/>
        </w:rPr>
        <w:t xml:space="preserve">Blast-radius limit:</w:t>
      </w:r>
      <w:r>
        <w:t xml:space="preserve"> </w:t>
      </w:r>
      <w:r>
        <w:t xml:space="preserve">losing one server should disconnect at most about 5 % of users and produce a reconnect wave the rest of the fleet can absorb. Choose</w:t>
      </w:r>
      <w:r>
        <w:t xml:space="preserve"> </w:t>
      </w:r>
      <m:oMath>
        <m:sSub>
          <m:e>
            <m:r>
              <m:t>c</m:t>
            </m:r>
          </m:e>
          <m:sub>
            <m:r>
              <m:rPr>
                <m:nor/>
                <m:sty m:val="p"/>
              </m:rPr>
              <m:t>blast</m:t>
            </m:r>
          </m:sub>
        </m:sSub>
        <m:r>
          <m:rPr>
            <m:sty m:val="p"/>
          </m:rPr>
          <m:t>=</m:t>
        </m:r>
        <m:r>
          <m:t>500</m:t>
        </m:r>
        <m:r>
          <m:rPr>
            <m:sty m:val="p"/>
          </m:rPr>
          <m:t>,</m:t>
        </m:r>
        <m:r>
          <m:t>000</m:t>
        </m:r>
      </m:oMath>
      <w:r>
        <w:t xml:space="preserve">. So</w:t>
      </w:r>
      <w:r>
        <w:t xml:space="preserve"> </w:t>
      </w:r>
      <m:oMath>
        <m:sSub>
          <m:e>
            <m:r>
              <m:t>n</m:t>
            </m:r>
          </m:e>
          <m:sub>
            <m:r>
              <m:rPr>
                <m:nor/>
                <m:sty m:val="p"/>
              </m:rPr>
              <m:t>conn,max</m:t>
            </m:r>
          </m:sub>
        </m:sSub>
        <m:r>
          <m:rPr>
            <m:sty m:val="p"/>
          </m:rPr>
          <m:t>=</m:t>
        </m:r>
        <m:r>
          <m:rPr>
            <m:sty m:val="p"/>
          </m:rPr>
          <m:t>min</m:t>
        </m:r>
        <m:d>
          <m:dPr>
            <m:begChr m:val="("/>
            <m:endChr m:val=")"/>
            <m:sepChr m:val=""/>
            <m:grow/>
          </m:dPr>
          <m:e>
            <m:r>
              <m:t>800</m:t>
            </m:r>
            <m:r>
              <m:rPr>
                <m:sty m:val="p"/>
              </m:rPr>
              <m:t>,</m:t>
            </m:r>
            <m:r>
              <m:t>000</m:t>
            </m:r>
            <m:r>
              <m:rPr>
                <m:sty m:val="p"/>
              </m:rPr>
              <m:t>,</m:t>
            </m:r>
            <m:r>
              <m:t>500</m:t>
            </m:r>
            <m:r>
              <m:rPr>
                <m:sty m:val="p"/>
              </m:rPr>
              <m:t>,</m:t>
            </m:r>
            <m:r>
              <m:t>000</m:t>
            </m:r>
          </m:e>
        </m:d>
        <m:r>
          <m:rPr>
            <m:sty m:val="p"/>
          </m:rPr>
          <m:t>=</m:t>
        </m:r>
        <m:r>
          <m:t>500</m:t>
        </m:r>
        <m:r>
          <m:rPr>
            <m:sty m:val="p"/>
          </m:rPr>
          <m:t>,</m:t>
        </m:r>
        <m:r>
          <m:t>000</m:t>
        </m:r>
      </m:oMath>
      <w:r>
        <w:t xml:space="preserve">.</w:t>
      </w:r>
    </w:p>
    <w:p>
      <w:pPr>
        <w:numPr>
          <w:ilvl w:val="0"/>
          <w:numId w:val="1321"/>
        </w:numPr>
        <w:pStyle w:val="Compact"/>
      </w:pPr>
      <w:r>
        <w:rPr>
          <w:bCs/>
          <w:b/>
        </w:rPr>
        <w:t xml:space="preserve">Zone-failure sizing:</w:t>
      </w:r>
      <w:r>
        <w:t xml:space="preserve"> </w:t>
      </w:r>
      <w:r>
        <w:t xml:space="preserve">after losing one zone, the remaining two must hold all 10 M: servers per zone</w:t>
      </w:r>
      <w:r>
        <w:t xml:space="preserve"> </w:t>
      </w:r>
      <m:oMath>
        <m:r>
          <m:rPr>
            <m:sty m:val="p"/>
          </m:rPr>
          <m:t>=</m:t>
        </m:r>
        <m:r>
          <m:rPr>
            <m:sty m:val="p"/>
          </m:rPr>
          <m:t>⌈</m:t>
        </m:r>
        <m:r>
          <m:t>10</m:t>
        </m:r>
        <m:r>
          <m:rPr>
            <m:sty m:val="p"/>
          </m:rPr>
          <m:t>,</m:t>
        </m:r>
        <m:r>
          <m:t>000</m:t>
        </m:r>
        <m:r>
          <m:rPr>
            <m:sty m:val="p"/>
          </m:rPr>
          <m:t>,</m:t>
        </m:r>
        <m:r>
          <m:t>000</m:t>
        </m:r>
        <m:r>
          <m:rPr>
            <m:sty m:val="p"/>
          </m:rPr>
          <m:t>/</m:t>
        </m:r>
        <m:d>
          <m:dPr>
            <m:begChr m:val="("/>
            <m:endChr m:val=")"/>
            <m:sepChr m:val=""/>
            <m:grow/>
          </m:dPr>
          <m:e>
            <m:r>
              <m:t>2</m:t>
            </m:r>
            <m:r>
              <m:rPr>
                <m:sty m:val="p"/>
              </m:rPr>
              <m:t>×</m:t>
            </m:r>
            <m:r>
              <m:t>500</m:t>
            </m:r>
            <m:r>
              <m:rPr>
                <m:sty m:val="p"/>
              </m:rPr>
              <m:t>,</m:t>
            </m:r>
            <m:r>
              <m:t>000</m:t>
            </m:r>
          </m:e>
        </m:d>
        <m:r>
          <m:rPr>
            <m:sty m:val="p"/>
          </m:rPr>
          <m:t>⌉</m:t>
        </m:r>
        <m:r>
          <m:rPr>
            <m:sty m:val="p"/>
          </m:rPr>
          <m:t>=</m:t>
        </m:r>
        <m:r>
          <m:t>10</m:t>
        </m:r>
      </m:oMath>
      <w:r>
        <w:t xml:space="preserve">. Total</w:t>
      </w:r>
      <w:r>
        <w:t xml:space="preserve"> </w:t>
      </w:r>
      <m:oMath>
        <m:r>
          <m:t>S</m:t>
        </m:r>
        <m:r>
          <m:rPr>
            <m:sty m:val="p"/>
          </m:rPr>
          <m:t>=</m:t>
        </m:r>
        <m:r>
          <m:t>3</m:t>
        </m:r>
        <m:r>
          <m:rPr>
            <m:sty m:val="p"/>
          </m:rPr>
          <m:t>×</m:t>
        </m:r>
        <m:r>
          <m:t>10</m:t>
        </m:r>
        <m:r>
          <m:rPr>
            <m:sty m:val="p"/>
          </m:rPr>
          <m:t>=</m:t>
        </m:r>
        <m:r>
          <m:t>30</m:t>
        </m:r>
      </m:oMath>
      <w:r>
        <w:t xml:space="preserve">.</w:t>
      </w:r>
    </w:p>
    <w:p>
      <w:pPr>
        <w:numPr>
          <w:ilvl w:val="0"/>
          <w:numId w:val="1321"/>
        </w:numPr>
        <w:pStyle w:val="Compact"/>
      </w:pPr>
      <w:r>
        <w:rPr>
          <w:bCs/>
          <w:b/>
        </w:rPr>
        <w:t xml:space="preserve">Deploy and surge headroom:</w:t>
      </w:r>
      <w:r>
        <w:t xml:space="preserve"> </w:t>
      </w:r>
      <w:r>
        <w:t xml:space="preserve">during a rolling deploy one server per zone is draining, and traffic may exceed forecast by 10–20 %. Add two servers per zone:</w:t>
      </w:r>
      <w:r>
        <w:t xml:space="preserve"> </w:t>
      </w:r>
      <w:r>
        <w:rPr>
          <w:bCs/>
          <w:b/>
        </w:rPr>
        <w:t xml:space="preserve">36 servers (12 per zone)</w:t>
      </w:r>
      <w:r>
        <w:t xml:space="preserve">.</w:t>
      </w:r>
    </w:p>
    <w:p>
      <w:pPr>
        <w:numPr>
          <w:ilvl w:val="0"/>
          <w:numId w:val="1321"/>
        </w:numPr>
        <w:pStyle w:val="Compact"/>
      </w:pPr>
      <w:r>
        <w:rPr>
          <w:bCs/>
          <w:b/>
        </w:rPr>
        <w:t xml:space="preserve">Normal load per server:</w:t>
      </w:r>
      <w:r>
        <w:t xml:space="preserve"> </w:t>
      </w:r>
      <m:oMath>
        <m:r>
          <m:t>10</m:t>
        </m:r>
        <m:r>
          <m:rPr>
            <m:sty m:val="p"/>
          </m:rPr>
          <m:t>,</m:t>
        </m:r>
        <m:r>
          <m:t>000</m:t>
        </m:r>
        <m:r>
          <m:rPr>
            <m:sty m:val="p"/>
          </m:rPr>
          <m:t>,</m:t>
        </m:r>
        <m:r>
          <m:t>000</m:t>
        </m:r>
        <m:r>
          <m:rPr>
            <m:sty m:val="p"/>
          </m:rPr>
          <m:t>/</m:t>
        </m:r>
        <m:r>
          <m:t>36</m:t>
        </m:r>
        <m:r>
          <m:rPr>
            <m:sty m:val="p"/>
          </m:rPr>
          <m:t>≈</m:t>
        </m:r>
        <m:r>
          <m:t>278</m:t>
        </m:r>
        <m:r>
          <m:rPr>
            <m:sty m:val="p"/>
          </m:rPr>
          <m:t>,</m:t>
        </m:r>
        <m:r>
          <m:t>000</m:t>
        </m:r>
      </m:oMath>
      <w:r>
        <w:t xml:space="preserve"> </w:t>
      </w:r>
      <w:r>
        <w:t xml:space="preserve">connections →</w:t>
      </w:r>
      <w:r>
        <w:t xml:space="preserve"> </w:t>
      </w:r>
      <m:oMath>
        <m:r>
          <m:t>278</m:t>
        </m:r>
        <m:r>
          <m:rPr>
            <m:sty m:val="p"/>
          </m:rPr>
          <m:t>,</m:t>
        </m:r>
        <m:r>
          <m:t>000</m:t>
        </m:r>
        <m:r>
          <m:rPr>
            <m:sty m:val="p"/>
          </m:rPr>
          <m:t>×</m:t>
        </m:r>
        <m:r>
          <m:t>40</m:t>
        </m:r>
        <m:r>
          <m:rPr>
            <m:nor/>
            <m:sty m:val="p"/>
          </m:rPr>
          <m:t> KB</m:t>
        </m:r>
        <m:r>
          <m:rPr>
            <m:sty m:val="p"/>
          </m:rPr>
          <m:t>≈</m:t>
        </m:r>
        <m:r>
          <m:t>11.1</m:t>
        </m:r>
      </m:oMath>
      <w:r>
        <w:t xml:space="preserve"> </w:t>
      </w:r>
      <w:r>
        <w:t xml:space="preserve">GB of connection memory.</w:t>
      </w:r>
    </w:p>
    <w:p>
      <w:pPr>
        <w:numPr>
          <w:ilvl w:val="0"/>
          <w:numId w:val="1321"/>
        </w:numPr>
        <w:pStyle w:val="Compact"/>
      </w:pPr>
      <w:r>
        <w:rPr>
          <w:bCs/>
          <w:b/>
        </w:rPr>
        <w:t xml:space="preserve">After losing a zone:</w:t>
      </w:r>
      <w:r>
        <w:t xml:space="preserve"> </w:t>
      </w:r>
      <m:oMath>
        <m:r>
          <m:t>10</m:t>
        </m:r>
        <m:r>
          <m:rPr>
            <m:sty m:val="p"/>
          </m:rPr>
          <m:t>,</m:t>
        </m:r>
        <m:r>
          <m:t>000</m:t>
        </m:r>
        <m:r>
          <m:rPr>
            <m:sty m:val="p"/>
          </m:rPr>
          <m:t>,</m:t>
        </m:r>
        <m:r>
          <m:t>000</m:t>
        </m:r>
        <m:r>
          <m:rPr>
            <m:sty m:val="p"/>
          </m:rPr>
          <m:t>/</m:t>
        </m:r>
        <m:r>
          <m:t>24</m:t>
        </m:r>
        <m:r>
          <m:rPr>
            <m:sty m:val="p"/>
          </m:rPr>
          <m:t>≈</m:t>
        </m:r>
        <m:r>
          <m:t>417</m:t>
        </m:r>
        <m:r>
          <m:rPr>
            <m:sty m:val="p"/>
          </m:rPr>
          <m:t>,</m:t>
        </m:r>
        <m:r>
          <m:t>000</m:t>
        </m:r>
      </m:oMath>
      <w:r>
        <w:t xml:space="preserve"> </w:t>
      </w:r>
      <w:r>
        <w:t xml:space="preserve">connections per server → 16.7 GB — inside the 32 GB budget.</w:t>
      </w:r>
    </w:p>
    <w:p>
      <w:pPr>
        <w:numPr>
          <w:ilvl w:val="0"/>
          <w:numId w:val="1321"/>
        </w:numPr>
        <w:pStyle w:val="Compact"/>
      </w:pPr>
      <w:r>
        <w:rPr>
          <w:bCs/>
          <w:b/>
        </w:rPr>
        <w:t xml:space="preserve">Total connection memory:</w:t>
      </w:r>
      <w:r>
        <w:t xml:space="preserve"> </w:t>
      </w:r>
      <m:oMath>
        <m:r>
          <m:t>10</m:t>
        </m:r>
        <m:r>
          <m:rPr>
            <m:sty m:val="p"/>
          </m:rPr>
          <m:t>,</m:t>
        </m:r>
        <m:r>
          <m:t>000</m:t>
        </m:r>
        <m:r>
          <m:rPr>
            <m:sty m:val="p"/>
          </m:rPr>
          <m:t>,</m:t>
        </m:r>
        <m:r>
          <m:t>000</m:t>
        </m:r>
        <m:r>
          <m:rPr>
            <m:sty m:val="p"/>
          </m:rPr>
          <m:t>×</m:t>
        </m:r>
        <m:r>
          <m:t>40</m:t>
        </m:r>
        <m:r>
          <m:rPr>
            <m:nor/>
            <m:sty m:val="p"/>
          </m:rPr>
          <m:t> KB</m:t>
        </m:r>
        <m:r>
          <m:rPr>
            <m:sty m:val="p"/>
          </m:rPr>
          <m:t>=</m:t>
        </m:r>
        <m:r>
          <m:t>400</m:t>
        </m:r>
      </m:oMath>
      <w:r>
        <w:t xml:space="preserve"> </w:t>
      </w:r>
      <w:r>
        <w:t xml:space="preserve">GB across the fleet.</w:t>
      </w:r>
    </w:p>
    <w:p>
      <w:pPr>
        <w:numPr>
          <w:ilvl w:val="0"/>
          <w:numId w:val="1321"/>
        </w:numPr>
        <w:pStyle w:val="Compact"/>
      </w:pPr>
      <w:r>
        <w:rPr>
          <w:bCs/>
          <w:b/>
        </w:rPr>
        <w:t xml:space="preserve">File descriptors:</w:t>
      </w:r>
      <w:r>
        <w:t xml:space="preserve"> </w:t>
      </w:r>
      <w:r>
        <w:t xml:space="preserve">each process needs more than 500,000 open files; set the</w:t>
      </w:r>
      <w:r>
        <w:t xml:space="preserve"> </w:t>
      </w:r>
      <w:r>
        <w:rPr>
          <w:rStyle w:val="VerbatimChar"/>
        </w:rPr>
        <w:t xml:space="preserve">nofile</w:t>
      </w:r>
      <w:r>
        <w:t xml:space="preserve"> </w:t>
      </w:r>
      <w:r>
        <w:t xml:space="preserve">limit to about 1,000,000.</w:t>
      </w:r>
    </w:p>
    <w:p>
      <w:pPr>
        <w:numPr>
          <w:ilvl w:val="0"/>
          <w:numId w:val="1321"/>
        </w:numPr>
        <w:pStyle w:val="Compact"/>
      </w:pPr>
      <w:r>
        <w:rPr>
          <w:bCs/>
          <w:b/>
        </w:rPr>
        <w:t xml:space="preserve">Heartbeats:</w:t>
      </w:r>
      <w:r>
        <w:t xml:space="preserve"> </w:t>
      </w:r>
      <w:r>
        <w:t xml:space="preserve">with a 25 s ping interval,</w:t>
      </w:r>
      <w:r>
        <w:t xml:space="preserve"> </w:t>
      </w:r>
      <m:oMath>
        <m:r>
          <m:t>10</m:t>
        </m:r>
        <m:r>
          <m:rPr>
            <m:sty m:val="p"/>
          </m:rPr>
          <m:t>,</m:t>
        </m:r>
        <m:r>
          <m:t>000</m:t>
        </m:r>
        <m:r>
          <m:rPr>
            <m:sty m:val="p"/>
          </m:rPr>
          <m:t>,</m:t>
        </m:r>
        <m:r>
          <m:t>000</m:t>
        </m:r>
        <m:r>
          <m:rPr>
            <m:sty m:val="p"/>
          </m:rPr>
          <m:t>/</m:t>
        </m:r>
        <m:r>
          <m:t>25</m:t>
        </m:r>
        <m:r>
          <m:rPr>
            <m:sty m:val="p"/>
          </m:rPr>
          <m:t>=</m:t>
        </m:r>
        <m:r>
          <m:t>400</m:t>
        </m:r>
        <m:r>
          <m:rPr>
            <m:sty m:val="p"/>
          </m:rPr>
          <m:t>,</m:t>
        </m:r>
        <m:r>
          <m:t>000</m:t>
        </m:r>
      </m:oMath>
      <w:r>
        <w:t xml:space="preserve"> </w:t>
      </w:r>
      <w:r>
        <w:t xml:space="preserve">pings/s fleet-wide, about 11,000 per server — trivial CPU, but visible in packet-rate and NAT-table metrics.</w:t>
      </w:r>
    </w:p>
    <w:p>
      <w:pPr>
        <w:numPr>
          <w:ilvl w:val="0"/>
          <w:numId w:val="1321"/>
        </w:numPr>
        <w:pStyle w:val="Compact"/>
      </w:pPr>
      <w:r>
        <w:rPr>
          <w:bCs/>
          <w:b/>
        </w:rPr>
        <w:t xml:space="preserve">Message CPU:</w:t>
      </w:r>
      <w:r>
        <w:t xml:space="preserve"> </w:t>
      </w:r>
      <w:r>
        <w:t xml:space="preserve">if each connection receives on average one message every 10 s, a server at 278,000 connections sends about 27,800 frames/s plus 11,000 pongs/s to process — well within one multi-core server (Illustrative; benchmark with your payload size and TLS library).</w:t>
      </w:r>
    </w:p>
    <w:p>
      <w:pPr>
        <w:pStyle w:val="CalloutExample"/>
      </w:pPr>
      <w:r>
        <w:rPr>
          <w:bCs/>
          <w:b/>
        </w:rPr>
        <w:t xml:space="preserve">Interpretation.</w:t>
      </w:r>
      <w:r>
        <w:t xml:space="preserve"> </w:t>
      </w:r>
      <w:r>
        <w:t xml:space="preserve">Memory alone would allow about 13 servers (</w:t>
      </w:r>
      <m:oMath>
        <m:r>
          <m:t>10</m:t>
        </m:r>
        <m:r>
          <m:rPr>
            <m:nor/>
            <m:sty m:val="p"/>
          </m:rPr>
          <m:t> M</m:t>
        </m:r>
        <m:r>
          <m:rPr>
            <m:sty m:val="p"/>
          </m:rPr>
          <m:t>/</m:t>
        </m:r>
        <m:r>
          <m:t>800</m:t>
        </m:r>
        <m:r>
          <m:rPr>
            <m:nor/>
            <m:sty m:val="p"/>
          </m:rPr>
          <m:t> k</m:t>
        </m:r>
      </m:oMath>
      <w:r>
        <w:t xml:space="preserve">); fault tolerance and blast radius nearly triple that. That is typical: connection fleets are sized by failure behavior, not by steady-state efficiency.</w:t>
      </w:r>
    </w:p>
    <w:p>
      <w:pPr>
        <w:pStyle w:val="CalloutExample"/>
      </w:pPr>
      <w:r>
        <w:rPr>
          <w:bCs/>
          <w:b/>
        </w:rPr>
        <w:t xml:space="preserve">Engineering implication.</w:t>
      </w:r>
      <w:r>
        <w:t xml:space="preserve"> </w:t>
      </w:r>
      <w:r>
        <w:t xml:space="preserve">Measure</w:t>
      </w:r>
      <w:r>
        <w:t xml:space="preserve"> </w:t>
      </w:r>
      <m:oMath>
        <m:r>
          <m:t>m</m:t>
        </m:r>
      </m:oMath>
      <w:r>
        <w:t xml:space="preserve"> </w:t>
      </w:r>
      <w:r>
        <w:t xml:space="preserve">on your real stack with a load generator holding idle TLS connections (resident memory ÷ connections), re-measure under message load, and state the blast-radius limit explicitly in the design document.</w:t>
      </w:r>
    </w:p>
    <w:bookmarkStart w:id="1054" w:name="real-world-industry-applications-21"/>
    <w:p>
      <w:pPr>
        <w:pStyle w:val="Heading4"/>
      </w:pPr>
      <w:r>
        <w:t xml:space="preserve">Real-world industry applications</w:t>
      </w:r>
    </w:p>
    <w:p>
      <w:pPr>
        <w:pStyle w:val="CalloutIndustry"/>
      </w:pPr>
      <w:r>
        <w:rPr>
          <w:bCs/>
          <w:b/>
        </w:rPr>
        <w:t xml:space="preserve">INDUSTRY EXAMPLE</w:t>
      </w:r>
    </w:p>
    <w:p>
      <w:pPr>
        <w:pStyle w:val="CalloutIndustry"/>
      </w:pPr>
      <w:r>
        <w:rPr>
          <w:bCs/>
          <w:b/>
        </w:rPr>
        <w:t xml:space="preserve">WhatsApp’s per-server connection counts.</w:t>
      </w:r>
      <w:r>
        <w:t xml:space="preserve"> </w:t>
      </w:r>
      <w:r>
        <w:t xml:space="preserve">In January 2012 WhatsApp’s blog reported pushing a single server past 2 million concurrent TCP connections, following an earlier 1 million milestone; a contemporaneous Erlang Factory talk by Rick Reed described the Erlang/FreeBSD stack and the kernel and VM tuning involved. These figures show what a tuned stack</w:t>
      </w:r>
      <w:r>
        <w:t xml:space="preserve"> </w:t>
      </w:r>
      <w:r>
        <w:rPr>
          <w:iCs/>
          <w:i/>
        </w:rPr>
        <w:t xml:space="preserve">can</w:t>
      </w:r>
      <w:r>
        <w:t xml:space="preserve"> </w:t>
      </w:r>
      <w:r>
        <w:t xml:space="preserve">hold; production fleets generally run below such peaks to keep headroom for failures and deploys.</w:t>
      </w:r>
      <w:r>
        <w:t xml:space="preserve"> </w:t>
      </w:r>
      <w:r>
        <w:rPr>
          <w:iCs/>
          <w:i/>
        </w:rPr>
        <w:t xml:space="preserve">Evidence: Primary</w:t>
      </w:r>
      <w:r>
        <w:t xml:space="preserve"> </w:t>
      </w:r>
      <w:r>
        <w:t xml:space="preserve">— [WhatsApp 2012]; [Reed 2012].</w:t>
      </w:r>
    </w:p>
    <w:p>
      <w:pPr>
        <w:pStyle w:val="CalloutIndustry"/>
      </w:pPr>
      <w:r>
        <w:rPr>
          <w:bCs/>
          <w:b/>
        </w:rPr>
        <w:t xml:space="preserve">INDUSTRY EXAMPLE</w:t>
      </w:r>
    </w:p>
    <w:p>
      <w:pPr>
        <w:pStyle w:val="CalloutIndustry"/>
      </w:pPr>
      <w:r>
        <w:rPr>
          <w:bCs/>
          <w:b/>
        </w:rPr>
        <w:t xml:space="preserve">Discord’s Elixir gateway.</w:t>
      </w:r>
      <w:r>
        <w:t xml:space="preserve"> </w:t>
      </w:r>
      <w:r>
        <w:t xml:space="preserve">Discord’s engineering blog describes scaling its Elixir/Erlang real-time system to nearly 5 million concurrent users, including fan-out problems in very large communities and bursts of reconnecting sessions overwhelming a few coordinating processes, plus libraries the team built in response (for example, Manifold to distribute message sending across nodes).</w:t>
      </w:r>
      <w:r>
        <w:t xml:space="preserve"> </w:t>
      </w:r>
      <w:r>
        <w:rPr>
          <w:iCs/>
          <w:i/>
        </w:rPr>
        <w:t xml:space="preserve">Evidence: Primary</w:t>
      </w:r>
      <w:r>
        <w:t xml:space="preserve"> </w:t>
      </w:r>
      <w:r>
        <w:t xml:space="preserve">— [Discord 2017].</w:t>
      </w:r>
    </w:p>
    <w:bookmarkEnd w:id="1054"/>
    <w:bookmarkEnd w:id="1055"/>
    <w:bookmarkStart w:id="1056" w:name="Xcd2cf91d891baad2848d459492d839fb0256f74"/>
    <w:p>
      <w:pPr>
        <w:pStyle w:val="Heading3"/>
      </w:pPr>
      <w:r>
        <w:t xml:space="preserve">9.9.3 Routing messages: registries and the pub/sub backplane</w:t>
      </w:r>
    </w:p>
    <w:p>
      <w:pPr>
        <w:pStyle w:val="FirstParagraph"/>
      </w:pPr>
      <w:r>
        <w:t xml:space="preserve">A message for room 7 is created by a chat service instance; its recipients’ connections are scattered across 36 gateways. Two routing designs exist, and large systems use both:</w:t>
      </w:r>
    </w:p>
    <w:p>
      <w:pPr>
        <w:numPr>
          <w:ilvl w:val="0"/>
          <w:numId w:val="1322"/>
        </w:numPr>
        <w:pStyle w:val="Compact"/>
      </w:pPr>
      <w:r>
        <w:rPr>
          <w:bCs/>
          <w:b/>
        </w:rPr>
        <w:t xml:space="preserve">Topic-based pub/sub backplane.</w:t>
      </w:r>
      <w:r>
        <w:t xml:space="preserve"> </w:t>
      </w:r>
      <w:r>
        <w:t xml:space="preserve">Each gateway subscribes to</w:t>
      </w:r>
      <w:r>
        <w:t xml:space="preserve"> </w:t>
      </w:r>
      <w:r>
        <w:rPr>
          <w:rStyle w:val="VerbatimChar"/>
        </w:rPr>
        <w:t xml:space="preserve">room:7</w:t>
      </w:r>
      <w:r>
        <w:t xml:space="preserve"> </w:t>
      </w:r>
      <w:r>
        <w:t xml:space="preserve">when its first local member of room 7 connects and unsubscribes when the last leaves; publishers send to</w:t>
      </w:r>
      <w:r>
        <w:t xml:space="preserve"> </w:t>
      </w:r>
      <w:r>
        <w:rPr>
          <w:rStyle w:val="VerbatimChar"/>
        </w:rPr>
        <w:t xml:space="preserve">room:7</w:t>
      </w:r>
      <w:r>
        <w:t xml:space="preserve"> </w:t>
      </w:r>
      <w:r>
        <w:t xml:space="preserve">without knowing which gateways care. Redis Pub/Sub is the usual starting point: simple and sub-millisecond, but</w:t>
      </w:r>
      <w:r>
        <w:t xml:space="preserve"> </w:t>
      </w:r>
      <w:r>
        <w:rPr>
          <w:bCs/>
          <w:b/>
        </w:rPr>
        <w:t xml:space="preserve">fire-and-forget (at-most-once)</w:t>
      </w:r>
      <w:r>
        <w:t xml:space="preserve"> </w:t>
      </w:r>
      <w:r>
        <w:t xml:space="preserve">— a gateway whose subscription blips misses messages. In Redis Cluster, classic</w:t>
      </w:r>
      <w:r>
        <w:t xml:space="preserve"> </w:t>
      </w:r>
      <w:r>
        <w:rPr>
          <w:rStyle w:val="VerbatimChar"/>
        </w:rPr>
        <w:t xml:space="preserve">PUBLISH</w:t>
      </w:r>
      <w:r>
        <w:t xml:space="preserve"> </w:t>
      </w:r>
      <w:r>
        <w:t xml:space="preserve">is broadcast to every node;</w:t>
      </w:r>
      <w:r>
        <w:t xml:space="preserve"> </w:t>
      </w:r>
      <w:r>
        <w:rPr>
          <w:bCs/>
          <w:b/>
        </w:rPr>
        <w:t xml:space="preserve">sharded pub/sub</w:t>
      </w:r>
      <w:r>
        <w:t xml:space="preserve"> </w:t>
      </w:r>
      <w:r>
        <w:t xml:space="preserve">(</w:t>
      </w:r>
      <w:r>
        <w:rPr>
          <w:rStyle w:val="VerbatimChar"/>
        </w:rPr>
        <w:t xml:space="preserve">SPUBLISH</w:t>
      </w:r>
      <w:r>
        <w:t xml:space="preserve">/</w:t>
      </w:r>
      <w:r>
        <w:rPr>
          <w:rStyle w:val="VerbatimChar"/>
        </w:rPr>
        <w:t xml:space="preserve">SSUBSCRIBE</w:t>
      </w:r>
      <w:r>
        <w:t xml:space="preserve">, Redis 7.0+) keeps a channel on the shard owning its hash slot [Redis Docs: Pub/Sub]. Kafka or NATS fit when you need replay or more throughput.</w:t>
      </w:r>
    </w:p>
    <w:p>
      <w:pPr>
        <w:numPr>
          <w:ilvl w:val="0"/>
          <w:numId w:val="1322"/>
        </w:numPr>
        <w:pStyle w:val="Compact"/>
      </w:pPr>
      <w:r>
        <w:rPr>
          <w:bCs/>
          <w:b/>
        </w:rPr>
        <w:t xml:space="preserve">Connection registry with direct routing.</w:t>
      </w:r>
      <w:r>
        <w:t xml:space="preserve"> </w:t>
      </w:r>
      <w:r>
        <w:t xml:space="preserve">A registry maps</w:t>
      </w:r>
      <w:r>
        <w:t xml:space="preserve"> </w:t>
      </w:r>
      <w:r>
        <w:rPr>
          <w:rStyle w:val="VerbatimChar"/>
        </w:rPr>
        <w:t xml:space="preserve">user → (gateway, connection ID)</w:t>
      </w:r>
      <w:r>
        <w:t xml:space="preserve">. For one-to-one messages the sender looks up the user’s gateway(s) and calls them directly (gRPC). This avoids creating millions of per-user topics but needs a registry that is kept accurate as connections churn.</w:t>
      </w:r>
    </w:p>
    <w:p>
      <w:pPr>
        <w:pStyle w:val="FirstParagraph"/>
      </w:pPr>
      <w:r>
        <w:t xml:space="preserve">Because the live path is lossy, correctness comes from the durable path: every message gets a per-conversation</w:t>
      </w:r>
      <w:r>
        <w:t xml:space="preserve"> </w:t>
      </w:r>
      <w:r>
        <w:rPr>
          <w:bCs/>
          <w:b/>
        </w:rPr>
        <w:t xml:space="preserve">sequence number</w:t>
      </w:r>
      <w:r>
        <w:t xml:space="preserve"> </w:t>
      </w:r>
      <w:r>
        <w:t xml:space="preserve">in the message store; clients track the last sequence they have seen; on reconnect, or when they notice a gap, they fetch the missing range over HTTPS. Live delivery is an optimization of latency; the store guarantees completeness. This is the same at-least-once-plus-deduplication pattern as §30.8.</w:t>
      </w:r>
    </w:p>
    <w:p>
      <w:pPr>
        <w:pStyle w:val="CalloutFormula"/>
      </w:pPr>
      <w:r>
        <w:rPr>
          <w:bCs/>
          <w:b/>
        </w:rPr>
        <w:t xml:space="preserve">FORMULA</w:t>
      </w:r>
    </w:p>
    <w:p>
      <w:pPr>
        <w:pStyle w:val="CalloutFormula"/>
      </w:pPr>
      <w:r>
        <w:rPr>
          <w:bCs/>
          <w:b/>
        </w:rPr>
        <w:t xml:space="preserve">Fan-out load</w:t>
      </w:r>
    </w:p>
    <w:p>
      <w:pPr>
        <w:pStyle w:val="CalloutFormula"/>
      </w:pPr>
      <m:oMathPara>
        <m:oMathParaPr>
          <m:jc m:val="center"/>
        </m:oMathParaPr>
        <m:oMath>
          <m:r>
            <m:t>D</m:t>
          </m:r>
          <m:r>
            <m:rPr>
              <m:sty m:val="p"/>
            </m:rPr>
            <m:t>=</m:t>
          </m:r>
          <m:r>
            <m:t>μ</m:t>
          </m:r>
          <m:r>
            <m:rPr>
              <m:sty m:val="p"/>
            </m:rPr>
            <m:t>×</m:t>
          </m:r>
          <m:acc>
            <m:accPr>
              <m:chr m:val="‾"/>
            </m:accPr>
            <m:e>
              <m:r>
                <m:t>r</m:t>
              </m:r>
            </m:e>
          </m:acc>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D</m:t>
              </m:r>
            </m:oMath>
          </w:p>
        </w:tc>
        <w:tc>
          <w:tcPr/>
          <w:p>
            <w:pPr>
              <w:pStyle w:val="Compact"/>
              <w:jc w:val="left"/>
            </w:pPr>
            <w:r>
              <w:t xml:space="preserve">Message deliveries written to sockets</w:t>
            </w:r>
          </w:p>
        </w:tc>
        <w:tc>
          <w:tcPr/>
          <w:p>
            <w:pPr>
              <w:pStyle w:val="Compact"/>
              <w:jc w:val="left"/>
            </w:pPr>
            <w:r>
              <w:t xml:space="preserve">deliveries/second</w:t>
            </w:r>
          </w:p>
        </w:tc>
      </w:tr>
      <w:tr>
        <w:tc>
          <w:tcPr/>
          <w:p>
            <w:pPr>
              <w:pStyle w:val="Compact"/>
              <w:jc w:val="left"/>
            </w:pPr>
            <m:oMath>
              <m:r>
                <m:t>μ</m:t>
              </m:r>
            </m:oMath>
          </w:p>
        </w:tc>
        <w:tc>
          <w:tcPr/>
          <w:p>
            <w:pPr>
              <w:pStyle w:val="Compact"/>
              <w:jc w:val="left"/>
            </w:pPr>
            <w:r>
              <w:t xml:space="preserve">Messages published</w:t>
            </w:r>
          </w:p>
        </w:tc>
        <w:tc>
          <w:tcPr/>
          <w:p>
            <w:pPr>
              <w:pStyle w:val="Compact"/>
              <w:jc w:val="left"/>
            </w:pPr>
            <w:r>
              <w:t xml:space="preserve">messages/second</w:t>
            </w:r>
          </w:p>
        </w:tc>
      </w:tr>
      <w:tr>
        <w:tc>
          <w:tcPr/>
          <w:p>
            <w:pPr>
              <w:pStyle w:val="Compact"/>
              <w:jc w:val="left"/>
            </w:pPr>
            <m:oMath>
              <m:acc>
                <m:accPr>
                  <m:chr m:val="‾"/>
                </m:accPr>
                <m:e>
                  <m:r>
                    <m:t>r</m:t>
                  </m:r>
                </m:e>
              </m:acc>
            </m:oMath>
          </w:p>
        </w:tc>
        <w:tc>
          <w:tcPr/>
          <w:p>
            <w:pPr>
              <w:pStyle w:val="Compact"/>
              <w:jc w:val="left"/>
            </w:pPr>
            <w:r>
              <w:t xml:space="preserve">Average number of</w:t>
            </w:r>
            <w:r>
              <w:t xml:space="preserve"> </w:t>
            </w:r>
            <w:r>
              <w:rPr>
                <w:iCs/>
                <w:i/>
              </w:rPr>
              <w:t xml:space="preserve">online</w:t>
            </w:r>
            <w:r>
              <w:t xml:space="preserve"> </w:t>
            </w:r>
            <w:r>
              <w:t xml:space="preserve">recipients per message</w:t>
            </w:r>
          </w:p>
        </w:tc>
        <w:tc>
          <w:tcPr/>
          <w:p>
            <w:pPr>
              <w:pStyle w:val="Compact"/>
              <w:jc w:val="left"/>
            </w:pPr>
            <w:r>
              <w:t xml:space="preserve">recipients/message</w:t>
            </w:r>
          </w:p>
        </w:tc>
      </w:tr>
    </w:tbl>
    <w:p>
      <w:pPr>
        <w:pStyle w:val="CalloutExample"/>
      </w:pPr>
      <w:r>
        <w:rPr>
          <w:bCs/>
          <w:b/>
        </w:rPr>
        <w:t xml:space="preserve">WORKED EXAMPLE</w:t>
      </w:r>
    </w:p>
    <w:p>
      <w:pPr>
        <w:pStyle w:val="CalloutExample"/>
      </w:pPr>
      <w:r>
        <w:rPr>
          <w:bCs/>
          <w:b/>
        </w:rPr>
        <w:t xml:space="preserve">Worked example — Fan-out for a team chat product.</w:t>
      </w:r>
    </w:p>
    <w:p>
      <w:pPr>
        <w:pStyle w:val="CalloutExample"/>
      </w:pPr>
      <w:r>
        <w:t xml:space="preserve">At peak, users send</w:t>
      </w:r>
      <w:r>
        <w:t xml:space="preserve"> </w:t>
      </w:r>
      <m:oMath>
        <m:r>
          <m:t>μ</m:t>
        </m:r>
        <m:r>
          <m:rPr>
            <m:sty m:val="p"/>
          </m:rPr>
          <m:t>=</m:t>
        </m:r>
        <m:r>
          <m:t>50</m:t>
        </m:r>
        <m:r>
          <m:rPr>
            <m:sty m:val="p"/>
          </m:rPr>
          <m:t>,</m:t>
        </m:r>
        <m:r>
          <m:t>000</m:t>
        </m:r>
      </m:oMath>
      <w:r>
        <w:t xml:space="preserve"> </w:t>
      </w:r>
      <w:r>
        <w:t xml:space="preserve">messages/s; the average channel has 40 members, 25 % online, so</w:t>
      </w:r>
      <w:r>
        <w:t xml:space="preserve"> </w:t>
      </w:r>
      <m:oMath>
        <m:acc>
          <m:accPr>
            <m:chr m:val="‾"/>
          </m:accPr>
          <m:e>
            <m:r>
              <m:t>r</m:t>
            </m:r>
          </m:e>
        </m:acc>
        <m:r>
          <m:rPr>
            <m:sty m:val="p"/>
          </m:rPr>
          <m:t>=</m:t>
        </m:r>
        <m:r>
          <m:t>10</m:t>
        </m:r>
      </m:oMath>
      <w:r>
        <w:t xml:space="preserve"> </w:t>
      </w:r>
      <w:r>
        <w:t xml:space="preserve">and</w:t>
      </w:r>
      <w:r>
        <w:t xml:space="preserve"> </w:t>
      </w:r>
      <m:oMath>
        <m:r>
          <m:t>D</m:t>
        </m:r>
        <m:r>
          <m:rPr>
            <m:sty m:val="p"/>
          </m:rPr>
          <m:t>=</m:t>
        </m:r>
        <m:r>
          <m:t>500</m:t>
        </m:r>
        <m:r>
          <m:rPr>
            <m:sty m:val="p"/>
          </m:rPr>
          <m:t>,</m:t>
        </m:r>
        <m:r>
          <m:t>000</m:t>
        </m:r>
      </m:oMath>
      <w:r>
        <w:t xml:space="preserve"> </w:t>
      </w:r>
      <w:r>
        <w:t xml:space="preserve">deliveries/s — about 13,900 socket writes/s per gateway across 36 gateways. But one announcement channel with 200,000 online members turns a single message into 200,000 deliveries. Large channels need posting rate limits and delivery once per</w:t>
      </w:r>
      <w:r>
        <w:t xml:space="preserve"> </w:t>
      </w:r>
      <w:r>
        <w:rPr>
          <w:iCs/>
          <w:i/>
        </w:rPr>
        <w:t xml:space="preserve">gateway</w:t>
      </w:r>
      <w:r>
        <w:t xml:space="preserve"> </w:t>
      </w:r>
      <w:r>
        <w:t xml:space="preserve">(each gateway then fans out locally), so the backplane carries 36 copies rather than 200,000.</w:t>
      </w:r>
    </w:p>
    <w:bookmarkEnd w:id="1056"/>
    <w:bookmarkStart w:id="1057" w:name="sticky-routing-and-session-resumption"/>
    <w:p>
      <w:pPr>
        <w:pStyle w:val="Heading3"/>
      </w:pPr>
      <w:r>
        <w:t xml:space="preserve">9.9.4 Sticky routing and session resumption</w:t>
      </w:r>
    </w:p>
    <w:p>
      <w:pPr>
        <w:pStyle w:val="FirstParagraph"/>
      </w:pPr>
      <w:r>
        <w:t xml:space="preserve">A WebSocket is sticky by construction for its lifetime. The question is what happens on</w:t>
      </w:r>
      <w:r>
        <w:t xml:space="preserve"> </w:t>
      </w:r>
      <w:r>
        <w:rPr>
          <w:iCs/>
          <w:i/>
        </w:rPr>
        <w:t xml:space="preserve">reconnect</w:t>
      </w:r>
      <w:r>
        <w:t xml:space="preserve">:</w:t>
      </w:r>
    </w:p>
    <w:p>
      <w:pPr>
        <w:numPr>
          <w:ilvl w:val="0"/>
          <w:numId w:val="1323"/>
        </w:numPr>
        <w:pStyle w:val="Compact"/>
      </w:pPr>
      <w:r>
        <w:rPr>
          <w:bCs/>
          <w:b/>
        </w:rPr>
        <w:t xml:space="preserve">Stateless reconnect (preferred).</w:t>
      </w:r>
      <w:r>
        <w:t xml:space="preserve"> </w:t>
      </w:r>
      <w:r>
        <w:t xml:space="preserve">Any gateway can accept any user; everything needed to resume — subscriptions, last-seen sequence numbers — is rebuilt from the client’s handshake and the shared registry. Load balancing is then simple least-connections.</w:t>
      </w:r>
    </w:p>
    <w:p>
      <w:pPr>
        <w:numPr>
          <w:ilvl w:val="0"/>
          <w:numId w:val="1323"/>
        </w:numPr>
        <w:pStyle w:val="Compact"/>
      </w:pPr>
      <w:r>
        <w:rPr>
          <w:bCs/>
          <w:b/>
        </w:rPr>
        <w:t xml:space="preserve">Sticky reconnect.</w:t>
      </w:r>
      <w:r>
        <w:t xml:space="preserve"> </w:t>
      </w:r>
      <w:r>
        <w:t xml:space="preserve">The load balancer returns a user to the same gateway (consistent hashing on user ID or an affinity cookie, §19.6) so a per-connection buffer can be resumed without a store query — cheaper in the common case, but it breaks whenever the fleet resizes and concentrates hot users.</w:t>
      </w:r>
    </w:p>
    <w:p>
      <w:pPr>
        <w:pStyle w:val="FirstParagraph"/>
      </w:pPr>
      <w:r>
        <w:t xml:space="preserve">Long-polling and SSE fallbacks</w:t>
      </w:r>
      <w:r>
        <w:t xml:space="preserve"> </w:t>
      </w:r>
      <w:r>
        <w:rPr>
          <w:iCs/>
          <w:i/>
        </w:rPr>
        <w:t xml:space="preserve">require</w:t>
      </w:r>
      <w:r>
        <w:t xml:space="preserve"> </w:t>
      </w:r>
      <w:r>
        <w:t xml:space="preserve">stickiness, or shared state, because consecutive HTTP requests of one logical session must find the same buffer (§9.4).</w:t>
      </w:r>
    </w:p>
    <w:bookmarkEnd w:id="1057"/>
    <w:bookmarkStart w:id="1058" w:name="presence-with-heartbeats"/>
    <w:p>
      <w:pPr>
        <w:pStyle w:val="Heading3"/>
      </w:pPr>
      <w:r>
        <w:t xml:space="preserve">9.9.5 Presence with heartbeats</w:t>
      </w:r>
    </w:p>
    <w:p>
      <w:pPr>
        <w:pStyle w:val="FirstParagraph"/>
      </w:pPr>
      <w:r>
        <w:rPr>
          <w:bCs/>
          <w:b/>
        </w:rPr>
        <w:t xml:space="preserve">Presence</w:t>
      </w:r>
      <w:r>
        <w:t xml:space="preserve"> </w:t>
      </w:r>
      <w:r>
        <w:t xml:space="preserve">— the green dot — answers</w:t>
      </w:r>
      <w:r>
        <w:t xml:space="preserve"> </w:t>
      </w:r>
      <w:r>
        <w:t xml:space="preserve">“</w:t>
      </w:r>
      <w:r>
        <w:t xml:space="preserve">is this user online right now?</w:t>
      </w:r>
      <w:r>
        <w:t xml:space="preserve">”</w:t>
      </w:r>
      <w:r>
        <w:t xml:space="preserve">. The naïve design writes</w:t>
      </w:r>
      <w:r>
        <w:t xml:space="preserve"> </w:t>
      </w:r>
      <w:r>
        <w:rPr>
          <w:rStyle w:val="VerbatimChar"/>
        </w:rPr>
        <w:t xml:space="preserve">online</w:t>
      </w:r>
      <w:r>
        <w:t xml:space="preserve"> </w:t>
      </w:r>
      <w:r>
        <w:t xml:space="preserve">on connect and</w:t>
      </w:r>
      <w:r>
        <w:t xml:space="preserve"> </w:t>
      </w:r>
      <w:r>
        <w:rPr>
          <w:rStyle w:val="VerbatimChar"/>
        </w:rPr>
        <w:t xml:space="preserve">offline</w:t>
      </w:r>
      <w:r>
        <w:t xml:space="preserve"> </w:t>
      </w:r>
      <w:r>
        <w:t xml:space="preserve">on disconnect; it fails because disconnections are often silent (§9.6.5) and gateways crash without cleaning up. Robust presence uses</w:t>
      </w:r>
      <w:r>
        <w:t xml:space="preserve"> </w:t>
      </w:r>
      <w:r>
        <w:rPr>
          <w:bCs/>
          <w:b/>
        </w:rPr>
        <w:t xml:space="preserve">leases</w:t>
      </w:r>
      <w:r>
        <w:t xml:space="preserve">:</w:t>
      </w:r>
    </w:p>
    <w:p>
      <w:pPr>
        <w:numPr>
          <w:ilvl w:val="0"/>
          <w:numId w:val="1324"/>
        </w:numPr>
        <w:pStyle w:val="Compact"/>
      </w:pPr>
      <w:r>
        <w:t xml:space="preserve">On connect and on each heartbeat (every</w:t>
      </w:r>
      <w:r>
        <w:t xml:space="preserve"> </w:t>
      </w:r>
      <m:oMath>
        <m:r>
          <m:t>h</m:t>
        </m:r>
      </m:oMath>
      <w:r>
        <w:t xml:space="preserve"> </w:t>
      </w:r>
      <w:r>
        <w:t xml:space="preserve">= 30 s), the gateway writes</w:t>
      </w:r>
      <w:r>
        <w:t xml:space="preserve"> </w:t>
      </w:r>
      <w:r>
        <w:rPr>
          <w:rStyle w:val="VerbatimChar"/>
        </w:rPr>
        <w:t xml:space="preserve">presence:user42 = gateway-7</w:t>
      </w:r>
      <w:r>
        <w:t xml:space="preserve"> </w:t>
      </w:r>
      <w:r>
        <w:t xml:space="preserve">with a TTL of about</w:t>
      </w:r>
      <w:r>
        <w:t xml:space="preserve"> </w:t>
      </w:r>
      <m:oMath>
        <m:r>
          <m:t>3</m:t>
        </m:r>
        <m:r>
          <m:t>h</m:t>
        </m:r>
      </m:oMath>
      <w:r>
        <w:t xml:space="preserve"> </w:t>
      </w:r>
      <w:r>
        <w:t xml:space="preserve">= 90 s.</w:t>
      </w:r>
    </w:p>
    <w:p>
      <w:pPr>
        <w:numPr>
          <w:ilvl w:val="0"/>
          <w:numId w:val="1324"/>
        </w:numPr>
        <w:pStyle w:val="Compact"/>
      </w:pPr>
      <w:r>
        <w:t xml:space="preserve">If heartbeats stop, the key expires and the user becomes offline within at most 90 s — no explicit cleanup needed after a crash.</w:t>
      </w:r>
    </w:p>
    <w:p>
      <w:pPr>
        <w:numPr>
          <w:ilvl w:val="0"/>
          <w:numId w:val="1324"/>
        </w:numPr>
        <w:pStyle w:val="Compact"/>
      </w:pPr>
      <w:r>
        <w:t xml:space="preserve">A user with several devices is online if any device’s lease is alive.</w:t>
      </w:r>
    </w:p>
    <w:p>
      <w:pPr>
        <w:numPr>
          <w:ilvl w:val="0"/>
          <w:numId w:val="1324"/>
        </w:numPr>
        <w:pStyle w:val="Compact"/>
      </w:pPr>
      <w:r>
        <w:t xml:space="preserve">Status changes (online → offline, active → idle) are published to interested watchers through the backplane.</w:t>
      </w:r>
    </w:p>
    <w:p>
      <w:pPr>
        <w:pStyle w:val="FirstParagraph"/>
      </w:pPr>
      <w:r>
        <w:t xml:space="preserve">To cut write load, gateways refresh</w:t>
      </w:r>
      <w:r>
        <w:t xml:space="preserve"> </w:t>
      </w:r>
      <w:r>
        <w:rPr>
          <w:iCs/>
          <w:i/>
        </w:rPr>
        <w:t xml:space="preserve">batched</w:t>
      </w:r>
      <w:r>
        <w:t xml:space="preserve"> </w:t>
      </w:r>
      <w:r>
        <w:t xml:space="preserve">leases (one pipeline per second per gateway) or refresh a per-gateway liveness key and record users per gateway, so a dead gateway expires all its users at once.</w:t>
      </w:r>
    </w:p>
    <w:p>
      <w:pPr>
        <w:pStyle w:val="CalloutExample"/>
      </w:pPr>
      <w:r>
        <w:rPr>
          <w:bCs/>
          <w:b/>
        </w:rPr>
        <w:t xml:space="preserve">WORKED EXAMPLE</w:t>
      </w:r>
    </w:p>
    <w:p>
      <w:pPr>
        <w:pStyle w:val="CalloutExample"/>
      </w:pPr>
      <w:r>
        <w:rPr>
          <w:bCs/>
          <w:b/>
        </w:rPr>
        <w:t xml:space="preserve">Worked example — Presence load for 10 million online users.</w:t>
      </w:r>
    </w:p>
    <w:p>
      <w:pPr>
        <w:numPr>
          <w:ilvl w:val="0"/>
          <w:numId w:val="1325"/>
        </w:numPr>
        <w:pStyle w:val="Compact"/>
      </w:pPr>
      <w:r>
        <w:t xml:space="preserve">Lease refresh writes with</w:t>
      </w:r>
      <w:r>
        <w:t xml:space="preserve"> </w:t>
      </w:r>
      <m:oMath>
        <m:r>
          <m:t>h</m:t>
        </m:r>
        <m:r>
          <m:rPr>
            <m:sty m:val="p"/>
          </m:rPr>
          <m:t>=</m:t>
        </m:r>
        <m:r>
          <m:t>30</m:t>
        </m:r>
      </m:oMath>
      <w:r>
        <w:t xml:space="preserve"> </w:t>
      </w:r>
      <w:r>
        <w:t xml:space="preserve">s:</w:t>
      </w:r>
      <w:r>
        <w:t xml:space="preserve"> </w:t>
      </w:r>
      <m:oMath>
        <m:r>
          <m:t>10</m:t>
        </m:r>
        <m:r>
          <m:rPr>
            <m:sty m:val="p"/>
          </m:rPr>
          <m:t>,</m:t>
        </m:r>
        <m:r>
          <m:t>000</m:t>
        </m:r>
        <m:r>
          <m:rPr>
            <m:sty m:val="p"/>
          </m:rPr>
          <m:t>,</m:t>
        </m:r>
        <m:r>
          <m:t>000</m:t>
        </m:r>
        <m:r>
          <m:rPr>
            <m:sty m:val="p"/>
          </m:rPr>
          <m:t>/</m:t>
        </m:r>
        <m:r>
          <m:t>30</m:t>
        </m:r>
        <m:r>
          <m:rPr>
            <m:sty m:val="p"/>
          </m:rPr>
          <m:t>≈</m:t>
        </m:r>
        <m:r>
          <m:t>333</m:t>
        </m:r>
        <m:r>
          <m:rPr>
            <m:sty m:val="p"/>
          </m:rPr>
          <m:t>,</m:t>
        </m:r>
        <m:r>
          <m:t>000</m:t>
        </m:r>
      </m:oMath>
      <w:r>
        <w:t xml:space="preserve"> </w:t>
      </w:r>
      <w:r>
        <w:t xml:space="preserve">writes/s — a sharded Redis cluster is required (several shards at an assumed 100,000+ simple operations/s each), or the per-gateway lease design above, which needs only 36 writes/s plus membership changes.</w:t>
      </w:r>
    </w:p>
    <w:p>
      <w:pPr>
        <w:numPr>
          <w:ilvl w:val="0"/>
          <w:numId w:val="1325"/>
        </w:numPr>
        <w:pStyle w:val="Compact"/>
      </w:pPr>
      <w:r>
        <w:t xml:space="preserve">Status-change fan-out: if each user changes status every 10 minutes on average and 50 online contacts watch each user,</w:t>
      </w:r>
      <w:r>
        <w:t xml:space="preserve"> </w:t>
      </w:r>
      <m:oMath>
        <m:r>
          <m:t>10</m:t>
        </m:r>
        <m:r>
          <m:rPr>
            <m:sty m:val="p"/>
          </m:rPr>
          <m:t>,</m:t>
        </m:r>
        <m:r>
          <m:t>000</m:t>
        </m:r>
        <m:r>
          <m:rPr>
            <m:sty m:val="p"/>
          </m:rPr>
          <m:t>,</m:t>
        </m:r>
        <m:r>
          <m:t>000</m:t>
        </m:r>
        <m:r>
          <m:rPr>
            <m:sty m:val="p"/>
          </m:rPr>
          <m:t>×</m:t>
        </m:r>
        <m:d>
          <m:dPr>
            <m:begChr m:val="("/>
            <m:endChr m:val=")"/>
            <m:sepChr m:val=""/>
            <m:grow/>
          </m:dPr>
          <m:e>
            <m:r>
              <m:t>1</m:t>
            </m:r>
            <m:r>
              <m:rPr>
                <m:sty m:val="p"/>
              </m:rPr>
              <m:t>/</m:t>
            </m:r>
            <m:r>
              <m:t>600</m:t>
            </m:r>
          </m:e>
        </m:d>
        <m:r>
          <m:rPr>
            <m:sty m:val="p"/>
          </m:rPr>
          <m:t>×</m:t>
        </m:r>
        <m:r>
          <m:t>50</m:t>
        </m:r>
        <m:r>
          <m:rPr>
            <m:sty m:val="p"/>
          </m:rPr>
          <m:t>≈</m:t>
        </m:r>
        <m:r>
          <m:t>833</m:t>
        </m:r>
        <m:r>
          <m:rPr>
            <m:sty m:val="p"/>
          </m:rPr>
          <m:t>,</m:t>
        </m:r>
        <m:r>
          <m:t>000</m:t>
        </m:r>
      </m:oMath>
      <w:r>
        <w:t xml:space="preserve"> </w:t>
      </w:r>
      <w:r>
        <w:t xml:space="preserve">presence deliveries/s — more than the chat messages themselves.</w:t>
      </w:r>
    </w:p>
    <w:p>
      <w:pPr>
        <w:pStyle w:val="CalloutExample"/>
      </w:pPr>
      <w:r>
        <w:rPr>
          <w:bCs/>
          <w:b/>
        </w:rPr>
        <w:t xml:space="preserve">Engineering implication.</w:t>
      </w:r>
      <w:r>
        <w:t xml:space="preserve"> </w:t>
      </w:r>
      <w:r>
        <w:t xml:space="preserve">Presence is often the most expensive real-time feature. Common mitigations: deliver presence only for users currently visible on the watcher’s screen (subscribe on view), coalesce rapid flaps (offline-then-online within a few seconds), and do not show live presence for very large groups.</w:t>
      </w:r>
    </w:p>
    <w:bookmarkEnd w:id="1058"/>
    <w:bookmarkStart w:id="1059" w:name="reconnect-storms-and-jittered-backoff"/>
    <w:p>
      <w:pPr>
        <w:pStyle w:val="Heading3"/>
      </w:pPr>
      <w:r>
        <w:t xml:space="preserve">9.9.6 Reconnect storms and jittered backoff</w:t>
      </w:r>
    </w:p>
    <w:p>
      <w:pPr>
        <w:pStyle w:val="FirstParagraph"/>
      </w:pPr>
      <w:r>
        <w:t xml:space="preserve">When a gateway dies, a load balancer fails over or a region recovers, hundreds of thousands of clients lose their connections at once. If all reconnect immediately, surviving gateways face a spike of TLS handshakes, the auth service a spike of token checks, and the message store a spike of resync queries; they time out, clients retry, and the storm sustains itself — the</w:t>
      </w:r>
      <w:r>
        <w:t xml:space="preserve"> </w:t>
      </w:r>
      <w:r>
        <w:rPr>
          <w:bCs/>
          <w:b/>
        </w:rPr>
        <w:t xml:space="preserve">thundering herd</w:t>
      </w:r>
      <w:r>
        <w:t xml:space="preserve">. The fix is exponential backoff with</w:t>
      </w:r>
      <w:r>
        <w:t xml:space="preserve"> </w:t>
      </w:r>
      <w:r>
        <w:rPr>
          <w:bCs/>
          <w:b/>
        </w:rPr>
        <w:t xml:space="preserve">jitter</w:t>
      </w:r>
      <w:r>
        <w:t xml:space="preserve"> </w:t>
      </w:r>
      <w:r>
        <w:t xml:space="preserve">(§22.12, [Brooker 2015]).</w:t>
      </w:r>
    </w:p>
    <w:p>
      <w:pPr>
        <w:pStyle w:val="CalloutFormula"/>
      </w:pPr>
      <w:r>
        <w:rPr>
          <w:bCs/>
          <w:b/>
        </w:rPr>
        <w:t xml:space="preserve">FORMULA</w:t>
      </w:r>
    </w:p>
    <w:p>
      <w:pPr>
        <w:pStyle w:val="CalloutFormula"/>
      </w:pPr>
      <w:r>
        <w:rPr>
          <w:bCs/>
          <w:b/>
        </w:rPr>
        <w:t xml:space="preserve">Reconnect arrival rate with uniform jitter</w:t>
      </w:r>
    </w:p>
    <w:p>
      <w:pPr>
        <w:pStyle w:val="CalloutFormula"/>
      </w:pPr>
      <m:oMathPara>
        <m:oMathParaPr>
          <m:jc m:val="center"/>
        </m:oMathParaPr>
        <m:oMath>
          <m:sSub>
            <m:e>
              <m:r>
                <m:t>λ</m:t>
              </m:r>
            </m:e>
            <m:sub>
              <m:r>
                <m:rPr>
                  <m:nor/>
                  <m:sty m:val="p"/>
                </m:rPr>
                <m:t>reconnect</m:t>
              </m:r>
            </m:sub>
          </m:sSub>
          <m:r>
            <m:rPr>
              <m:sty m:val="p"/>
            </m:rPr>
            <m:t>≈</m:t>
          </m:r>
          <m:f>
            <m:fPr>
              <m:type m:val="bar"/>
            </m:fPr>
            <m:num>
              <m:sSub>
                <m:e>
                  <m:r>
                    <m:t>n</m:t>
                  </m:r>
                </m:e>
                <m:sub>
                  <m:r>
                    <m:rPr>
                      <m:nor/>
                      <m:sty m:val="p"/>
                    </m:rPr>
                    <m:t>lost</m:t>
                  </m:r>
                </m:sub>
              </m:sSub>
            </m:num>
            <m:den>
              <m:r>
                <m:t>W</m:t>
              </m:r>
            </m:den>
          </m:f>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λ</m:t>
                  </m:r>
                </m:e>
                <m:sub>
                  <m:r>
                    <m:rPr>
                      <m:nor/>
                      <m:sty m:val="p"/>
                    </m:rPr>
                    <m:t>reconnect</m:t>
                  </m:r>
                </m:sub>
              </m:sSub>
            </m:oMath>
          </w:p>
        </w:tc>
        <w:tc>
          <w:tcPr/>
          <w:p>
            <w:pPr>
              <w:pStyle w:val="Compact"/>
              <w:jc w:val="left"/>
            </w:pPr>
            <w:r>
              <w:t xml:space="preserve">Peak reconnect (handshake) rate</w:t>
            </w:r>
          </w:p>
        </w:tc>
        <w:tc>
          <w:tcPr/>
          <w:p>
            <w:pPr>
              <w:pStyle w:val="Compact"/>
              <w:jc w:val="left"/>
            </w:pPr>
            <w:r>
              <w:t xml:space="preserve">connections/second</w:t>
            </w:r>
          </w:p>
        </w:tc>
      </w:tr>
      <w:tr>
        <w:tc>
          <w:tcPr/>
          <w:p>
            <w:pPr>
              <w:pStyle w:val="Compact"/>
              <w:jc w:val="left"/>
            </w:pPr>
            <m:oMath>
              <m:sSub>
                <m:e>
                  <m:r>
                    <m:t>n</m:t>
                  </m:r>
                </m:e>
                <m:sub>
                  <m:r>
                    <m:rPr>
                      <m:nor/>
                      <m:sty m:val="p"/>
                    </m:rPr>
                    <m:t>lost</m:t>
                  </m:r>
                </m:sub>
              </m:sSub>
            </m:oMath>
          </w:p>
        </w:tc>
        <w:tc>
          <w:tcPr/>
          <w:p>
            <w:pPr>
              <w:pStyle w:val="Compact"/>
              <w:jc w:val="left"/>
            </w:pPr>
            <w:r>
              <w:t xml:space="preserve">Connections dropped by the failure</w:t>
            </w:r>
          </w:p>
        </w:tc>
        <w:tc>
          <w:tcPr/>
          <w:p>
            <w:pPr>
              <w:pStyle w:val="Compact"/>
              <w:jc w:val="left"/>
            </w:pPr>
            <w:r>
              <w:t xml:space="preserve">connections</w:t>
            </w:r>
          </w:p>
        </w:tc>
      </w:tr>
      <w:tr>
        <w:tc>
          <w:tcPr/>
          <w:p>
            <w:pPr>
              <w:pStyle w:val="Compact"/>
              <w:jc w:val="left"/>
            </w:pPr>
            <m:oMath>
              <m:r>
                <m:t>W</m:t>
              </m:r>
            </m:oMath>
          </w:p>
        </w:tc>
        <w:tc>
          <w:tcPr/>
          <w:p>
            <w:pPr>
              <w:pStyle w:val="Compact"/>
              <w:jc w:val="left"/>
            </w:pPr>
            <w:r>
              <w:t xml:space="preserve">Width of the random delay window for the first reconnect attempt</w:t>
            </w:r>
          </w:p>
        </w:tc>
        <w:tc>
          <w:tcPr/>
          <w:p>
            <w:pPr>
              <w:pStyle w:val="Compact"/>
              <w:jc w:val="left"/>
            </w:pPr>
            <w:r>
              <w:t xml:space="preserve">seconds</w:t>
            </w:r>
          </w:p>
        </w:tc>
      </w:tr>
    </w:tbl>
    <w:p>
      <w:pPr>
        <w:pStyle w:val="CalloutExample"/>
      </w:pPr>
      <w:r>
        <w:rPr>
          <w:bCs/>
          <w:b/>
        </w:rPr>
        <w:t xml:space="preserve">WORKED EXAMPLE</w:t>
      </w:r>
    </w:p>
    <w:p>
      <w:pPr>
        <w:pStyle w:val="CalloutExample"/>
      </w:pPr>
      <w:r>
        <w:rPr>
          <w:bCs/>
          <w:b/>
        </w:rPr>
        <w:t xml:space="preserve">Worked example — One gateway of 36 fails.</w:t>
      </w:r>
    </w:p>
    <w:p>
      <w:pPr>
        <w:numPr>
          <w:ilvl w:val="0"/>
          <w:numId w:val="1326"/>
        </w:numPr>
        <w:pStyle w:val="Compact"/>
      </w:pPr>
      <m:oMath>
        <m:sSub>
          <m:e>
            <m:r>
              <m:t>n</m:t>
            </m:r>
          </m:e>
          <m:sub>
            <m:r>
              <m:rPr>
                <m:nor/>
                <m:sty m:val="p"/>
              </m:rPr>
              <m:t>lost</m:t>
            </m:r>
          </m:sub>
        </m:sSub>
        <m:r>
          <m:rPr>
            <m:sty m:val="p"/>
          </m:rPr>
          <m:t>=</m:t>
        </m:r>
        <m:r>
          <m:t>278</m:t>
        </m:r>
        <m:r>
          <m:rPr>
            <m:sty m:val="p"/>
          </m:rPr>
          <m:t>,</m:t>
        </m:r>
        <m:r>
          <m:t>000</m:t>
        </m:r>
      </m:oMath>
      <w:r>
        <w:t xml:space="preserve"> </w:t>
      </w:r>
      <w:r>
        <w:t xml:space="preserve">connections (from §9.9.2).</w:t>
      </w:r>
    </w:p>
    <w:p>
      <w:pPr>
        <w:numPr>
          <w:ilvl w:val="0"/>
          <w:numId w:val="1326"/>
        </w:numPr>
        <w:pStyle w:val="Compact"/>
      </w:pPr>
      <w:r>
        <w:t xml:space="preserve">No jitter, everyone retries within about 1 s:</w:t>
      </w:r>
      <w:r>
        <w:t xml:space="preserve"> </w:t>
      </w:r>
      <m:oMath>
        <m:r>
          <m:t>λ</m:t>
        </m:r>
        <m:r>
          <m:rPr>
            <m:sty m:val="p"/>
          </m:rPr>
          <m:t>≈</m:t>
        </m:r>
        <m:r>
          <m:t>278</m:t>
        </m:r>
        <m:r>
          <m:rPr>
            <m:sty m:val="p"/>
          </m:rPr>
          <m:t>,</m:t>
        </m:r>
        <m:r>
          <m:t>000</m:t>
        </m:r>
      </m:oMath>
      <w:r>
        <w:t xml:space="preserve"> </w:t>
      </w:r>
      <w:r>
        <w:t xml:space="preserve">handshakes/s, about 7,900 per surviving gateway, plus 278,000 auth checks/s and 278,000 resync queries/s — likely to overload auth and the store.</w:t>
      </w:r>
    </w:p>
    <w:p>
      <w:pPr>
        <w:numPr>
          <w:ilvl w:val="0"/>
          <w:numId w:val="1326"/>
        </w:numPr>
        <w:pStyle w:val="Compact"/>
      </w:pPr>
      <w:r>
        <w:t xml:space="preserve">Uniform jitter over</w:t>
      </w:r>
      <w:r>
        <w:t xml:space="preserve"> </w:t>
      </w:r>
      <m:oMath>
        <m:r>
          <m:t>W</m:t>
        </m:r>
        <m:r>
          <m:rPr>
            <m:sty m:val="p"/>
          </m:rPr>
          <m:t>=</m:t>
        </m:r>
        <m:r>
          <m:t>30</m:t>
        </m:r>
      </m:oMath>
      <w:r>
        <w:t xml:space="preserve"> </w:t>
      </w:r>
      <w:r>
        <w:t xml:space="preserve">s:</w:t>
      </w:r>
      <w:r>
        <w:t xml:space="preserve"> </w:t>
      </w:r>
      <m:oMath>
        <m:r>
          <m:t>λ</m:t>
        </m:r>
        <m:r>
          <m:rPr>
            <m:sty m:val="p"/>
          </m:rPr>
          <m:t>≈</m:t>
        </m:r>
        <m:r>
          <m:t>9</m:t>
        </m:r>
        <m:r>
          <m:rPr>
            <m:sty m:val="p"/>
          </m:rPr>
          <m:t>,</m:t>
        </m:r>
        <m:r>
          <m:t>300</m:t>
        </m:r>
      </m:oMath>
      <w:r>
        <w:t xml:space="preserve">/s fleet-wide, about 265 per gateway — comfortably absorbed.</w:t>
      </w:r>
    </w:p>
    <w:p>
      <w:pPr>
        <w:numPr>
          <w:ilvl w:val="0"/>
          <w:numId w:val="1326"/>
        </w:numPr>
        <w:pStyle w:val="Compact"/>
      </w:pPr>
      <w:r>
        <w:t xml:space="preserve">A simulation of 500,000 clients confirms the arithmetic: all in one second without jitter; a peak of about 16,900 per one-second bucket with a 30 s uniform window (expected</w:t>
      </w:r>
      <w:r>
        <w:t xml:space="preserve"> </w:t>
      </w:r>
      <m:oMath>
        <m:r>
          <m:t>500</m:t>
        </m:r>
        <m:r>
          <m:rPr>
            <m:sty m:val="p"/>
          </m:rPr>
          <m:t>,</m:t>
        </m:r>
        <m:r>
          <m:t>000</m:t>
        </m:r>
        <m:r>
          <m:rPr>
            <m:sty m:val="p"/>
          </m:rPr>
          <m:t>/</m:t>
        </m:r>
        <m:r>
          <m:t>30</m:t>
        </m:r>
        <m:r>
          <m:rPr>
            <m:sty m:val="p"/>
          </m:rPr>
          <m:t>≈</m:t>
        </m:r>
        <m:r>
          <m:t>16</m:t>
        </m:r>
        <m:r>
          <m:rPr>
            <m:sty m:val="p"/>
          </m:rPr>
          <m:t>,</m:t>
        </m:r>
        <m:r>
          <m:t>700</m:t>
        </m:r>
      </m:oMath>
      <w:r>
        <w:t xml:space="preserve">).</w:t>
      </w:r>
    </w:p>
    <w:p>
      <w:pPr>
        <w:pStyle w:val="CalloutExample"/>
      </w:pPr>
      <w:r>
        <w:rPr>
          <w:bCs/>
          <w:b/>
        </w:rPr>
        <w:t xml:space="preserve">Engineering implication.</w:t>
      </w:r>
      <w:r>
        <w:t xml:space="preserve"> </w:t>
      </w:r>
      <w:r>
        <w:t xml:space="preserve">Jitter turns a spike into a plateau. Add server-side protection too: a token-bucket admission limit on new handshakes per gateway, close code 1013 (</w:t>
      </w:r>
      <w:r>
        <w:t xml:space="preserve">“</w:t>
      </w:r>
      <w:r>
        <w:t xml:space="preserve">try again later</w:t>
      </w:r>
      <w:r>
        <w:t xml:space="preserve">”</w:t>
      </w:r>
      <w:r>
        <w:t xml:space="preserve">) with a server-suggested delay, and resumable sessions so a reconnect costs a delta fetch rather than a full resync.</w:t>
      </w:r>
    </w:p>
    <w:p>
      <w:pPr>
        <w:pStyle w:val="SourceCode"/>
      </w:pPr>
      <w:r>
        <w:rPr>
          <w:rStyle w:val="ImportTok"/>
        </w:rPr>
        <w:t xml:space="preserve">import</w:t>
      </w:r>
      <w:r>
        <w:rPr>
          <w:rStyle w:val="NormalTok"/>
        </w:rPr>
        <w:t xml:space="preserve"> random</w:t>
      </w:r>
      <w:r>
        <w:br/>
      </w:r>
      <w:r>
        <w:br/>
      </w:r>
      <w:r>
        <w:rPr>
          <w:rStyle w:val="KeywordTok"/>
        </w:rPr>
        <w:t xml:space="preserve">def</w:t>
      </w:r>
      <w:r>
        <w:rPr>
          <w:rStyle w:val="NormalTok"/>
        </w:rPr>
        <w:t xml:space="preserve"> full_jitter_delay(attempt: </w:t>
      </w:r>
      <w:r>
        <w:rPr>
          <w:rStyle w:val="BuiltInTok"/>
        </w:rPr>
        <w:t xml:space="preserve">int</w:t>
      </w:r>
      <w:r>
        <w:rPr>
          <w:rStyle w:val="NormalTok"/>
        </w:rPr>
        <w:t xml:space="preserve">, base: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cap: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60.0</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"""'Full jitter': uniform in [0, min(cap, base * 2**attempt)] seconds."""</w:t>
      </w:r>
      <w:r>
        <w:br/>
      </w:r>
      <w:r>
        <w:rPr>
          <w:rStyle w:val="NormalTok"/>
        </w:rPr>
        <w:t xml:space="preserve">    </w:t>
      </w:r>
      <w:r>
        <w:rPr>
          <w:rStyle w:val="ControlFlowTok"/>
        </w:rPr>
        <w:t xml:space="preserve">return</w:t>
      </w:r>
      <w:r>
        <w:rPr>
          <w:rStyle w:val="NormalTok"/>
        </w:rPr>
        <w:t xml:space="preserve"> random.uniform(</w:t>
      </w:r>
      <w:r>
        <w:rPr>
          <w:rStyle w:val="DecValTok"/>
        </w:rPr>
        <w:t xml:space="preserve">0</w:t>
      </w:r>
      <w:r>
        <w:rPr>
          <w:rStyle w:val="NormalTok"/>
        </w:rPr>
        <w:t xml:space="preserve">, </w:t>
      </w:r>
      <w:r>
        <w:rPr>
          <w:rStyle w:val="BuiltInTok"/>
        </w:rPr>
        <w:t xml:space="preserve">min</w:t>
      </w:r>
      <w:r>
        <w:rPr>
          <w:rStyle w:val="NormalTok"/>
        </w:rPr>
        <w:t xml:space="preserve">(cap, base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attempt)))</w:t>
      </w:r>
      <w:r>
        <w:br/>
      </w:r>
      <w:r>
        <w:br/>
      </w:r>
      <w:r>
        <w:rPr>
          <w:rStyle w:val="CommentTok"/>
        </w:rPr>
        <w:t xml:space="preserve"># illustrative client loop</w:t>
      </w:r>
      <w:r>
        <w:br/>
      </w:r>
      <w:r>
        <w:rPr>
          <w:rStyle w:val="CommentTok"/>
        </w:rPr>
        <w:t xml:space="preserve"># attempt = 0</w:t>
      </w:r>
      <w:r>
        <w:br/>
      </w:r>
      <w:r>
        <w:rPr>
          <w:rStyle w:val="CommentTok"/>
        </w:rPr>
        <w:t xml:space="preserve"># while not connected:</w:t>
      </w:r>
      <w:r>
        <w:br/>
      </w:r>
      <w:r>
        <w:rPr>
          <w:rStyle w:val="CommentTok"/>
        </w:rPr>
        <w:t xml:space="preserve">#     await asyncio.sleep(full_jitter_delay(attempt)); attempt += 1</w:t>
      </w:r>
      <w:r>
        <w:br/>
      </w:r>
      <w:r>
        <w:rPr>
          <w:rStyle w:val="CommentTok"/>
        </w:rPr>
        <w:t xml:space="preserve">#     connected = await try_connect()      # reset attempt = 0 after a stable minute</w:t>
      </w:r>
    </w:p>
    <w:p>
      <w:pPr>
        <w:pStyle w:val="FirstParagraph"/>
      </w:pPr>
      <w:r>
        <w:t xml:space="preserve">What to notice: clients that failed together spread out immediately and back off further if the outage persists;</w:t>
      </w:r>
      <w:r>
        <w:t xml:space="preserve"> </w:t>
      </w:r>
      <w:r>
        <w:rPr>
          <w:rStyle w:val="VerbatimChar"/>
        </w:rPr>
        <w:t xml:space="preserve">cap</w:t>
      </w:r>
      <w:r>
        <w:t xml:space="preserve"> </w:t>
      </w:r>
      <w:r>
        <w:t xml:space="preserve">bounds the wait; reset the attempt counter only after a connection has stayed healthy for a while, or a server that accepts and immediately drops connections causes a tight retry loop.</w:t>
      </w:r>
    </w:p>
    <w:bookmarkEnd w:id="1059"/>
    <w:bookmarkStart w:id="1061" w:name="graceful-drain-on-deploy"/>
    <w:p>
      <w:pPr>
        <w:pStyle w:val="Heading3"/>
      </w:pPr>
      <w:r>
        <w:t xml:space="preserve">9.9.7 Graceful drain on deploy</w:t>
      </w:r>
    </w:p>
    <w:p>
      <w:pPr>
        <w:pStyle w:val="FirstParagraph"/>
      </w:pPr>
      <w:r>
        <w:t xml:space="preserve">Deploying a gateway restarts the process that owns its connections. Doing it abruptly is a self-inflicted reconnect storm. A graceful</w:t>
      </w:r>
      <w:r>
        <w:t xml:space="preserve"> </w:t>
      </w:r>
      <w:r>
        <w:rPr>
          <w:bCs/>
          <w:b/>
        </w:rPr>
        <w:t xml:space="preserve">drain</w:t>
      </w:r>
      <w:r>
        <w:t xml:space="preserve">:</w:t>
      </w:r>
    </w:p>
    <w:p>
      <w:pPr>
        <w:numPr>
          <w:ilvl w:val="0"/>
          <w:numId w:val="1327"/>
        </w:numPr>
        <w:pStyle w:val="Compact"/>
      </w:pPr>
      <w:r>
        <w:rPr>
          <w:bCs/>
          <w:b/>
        </w:rPr>
        <w:t xml:space="preserve">Stop new connections.</w:t>
      </w:r>
      <w:r>
        <w:t xml:space="preserve"> </w:t>
      </w:r>
      <w:r>
        <w:t xml:space="preserve">Fail the gateway’s readiness check or deregister it from the load balancer; existing connections stay open.</w:t>
      </w:r>
    </w:p>
    <w:p>
      <w:pPr>
        <w:numPr>
          <w:ilvl w:val="0"/>
          <w:numId w:val="1327"/>
        </w:numPr>
        <w:pStyle w:val="Compact"/>
      </w:pPr>
      <w:r>
        <w:rPr>
          <w:bCs/>
          <w:b/>
        </w:rPr>
        <w:t xml:space="preserve">Close gradually.</w:t>
      </w:r>
      <w:r>
        <w:t xml:space="preserve"> </w:t>
      </w:r>
      <w:r>
        <w:t xml:space="preserve">Over a drain window</w:t>
      </w:r>
      <w:r>
        <w:t xml:space="preserve"> </w:t>
      </w:r>
      <m:oMath>
        <m:r>
          <m:t>D</m:t>
        </m:r>
      </m:oMath>
      <w:r>
        <w:t xml:space="preserve"> </w:t>
      </w:r>
      <w:r>
        <w:t xml:space="preserve">(for example, 5 minutes), close connections at a steady rate</w:t>
      </w:r>
      <w:r>
        <w:t xml:space="preserve"> </w:t>
      </w:r>
      <m:oMath>
        <m:r>
          <m:t>n</m:t>
        </m:r>
        <m:r>
          <m:rPr>
            <m:sty m:val="p"/>
          </m:rPr>
          <m:t>/</m:t>
        </m:r>
        <m:r>
          <m:t>D</m:t>
        </m:r>
      </m:oMath>
      <w:r>
        <w:t xml:space="preserve"> </w:t>
      </w:r>
      <w:r>
        <w:t xml:space="preserve">— 278,000 / 300 s ≈ 930 per second — using close code 1012 (service restart) or 1001 (going away), or send an application</w:t>
      </w:r>
      <w:r>
        <w:t xml:space="preserve"> </w:t>
      </w:r>
      <w:r>
        <w:t xml:space="preserve">“</w:t>
      </w:r>
      <w:r>
        <w:t xml:space="preserve">please reconnect</w:t>
      </w:r>
      <w:r>
        <w:t xml:space="preserve">”</w:t>
      </w:r>
      <w:r>
        <w:t xml:space="preserve"> </w:t>
      </w:r>
      <w:r>
        <w:t xml:space="preserve">message with a randomized delay hint.</w:t>
      </w:r>
    </w:p>
    <w:p>
      <w:pPr>
        <w:numPr>
          <w:ilvl w:val="0"/>
          <w:numId w:val="1327"/>
        </w:numPr>
        <w:pStyle w:val="Compact"/>
      </w:pPr>
      <w:r>
        <w:rPr>
          <w:bCs/>
          <w:b/>
        </w:rPr>
        <w:t xml:space="preserve">Clients reconnect with jitter</w:t>
      </w:r>
      <w:r>
        <w:t xml:space="preserve"> </w:t>
      </w:r>
      <w:r>
        <w:t xml:space="preserve">and land on other gateways, because the load balancer no longer routes to this one.</w:t>
      </w:r>
    </w:p>
    <w:p>
      <w:pPr>
        <w:numPr>
          <w:ilvl w:val="0"/>
          <w:numId w:val="1327"/>
        </w:numPr>
        <w:pStyle w:val="Compact"/>
      </w:pPr>
      <w:r>
        <w:rPr>
          <w:bCs/>
          <w:b/>
        </w:rPr>
        <w:t xml:space="preserve">Clean up and exit.</w:t>
      </w:r>
      <w:r>
        <w:t xml:space="preserve"> </w:t>
      </w:r>
      <w:r>
        <w:t xml:space="preserve">Unsubscribe from the backplane, release presence leases, flush metrics, exit.</w:t>
      </w:r>
    </w:p>
    <w:p>
      <w:pPr>
        <w:numPr>
          <w:ilvl w:val="0"/>
          <w:numId w:val="1327"/>
        </w:numPr>
        <w:pStyle w:val="Compact"/>
      </w:pPr>
      <w:r>
        <w:rPr>
          <w:bCs/>
          <w:b/>
        </w:rPr>
        <w:t xml:space="preserve">Orchestrator settings.</w:t>
      </w:r>
      <w:r>
        <w:t xml:space="preserve"> </w:t>
      </w:r>
      <w:r>
        <w:t xml:space="preserve">Kubernetes gives a pod 30 seconds by default (</w:t>
      </w:r>
      <w:r>
        <w:rPr>
          <w:rStyle w:val="VerbatimChar"/>
        </w:rPr>
        <w:t xml:space="preserve">terminationGracePeriodSeconds</w:t>
      </w:r>
      <w:r>
        <w:t xml:space="preserve">) between</w:t>
      </w:r>
      <w:r>
        <w:t xml:space="preserve"> </w:t>
      </w:r>
      <w:r>
        <w:rPr>
          <w:rStyle w:val="VerbatimChar"/>
        </w:rPr>
        <w:t xml:space="preserve">SIGTERM</w:t>
      </w:r>
      <w:r>
        <w:t xml:space="preserve"> </w:t>
      </w:r>
      <w:r>
        <w:t xml:space="preserve">and</w:t>
      </w:r>
      <w:r>
        <w:t xml:space="preserve"> </w:t>
      </w:r>
      <w:r>
        <w:rPr>
          <w:rStyle w:val="VerbatimChar"/>
        </w:rPr>
        <w:t xml:space="preserve">SIGKILL</w:t>
      </w:r>
      <w:r>
        <w:t xml:space="preserve">; gateways need this raised to cover</w:t>
      </w:r>
      <w:r>
        <w:t xml:space="preserve"> </w:t>
      </w:r>
      <m:oMath>
        <m:r>
          <m:t>D</m:t>
        </m:r>
      </m:oMath>
      <w:r>
        <w:t xml:space="preserve">, plus a</w:t>
      </w:r>
      <w:r>
        <w:t xml:space="preserve"> </w:t>
      </w:r>
      <w:r>
        <w:rPr>
          <w:rStyle w:val="VerbatimChar"/>
        </w:rPr>
        <w:t xml:space="preserve">preStop</w:t>
      </w:r>
      <w:r>
        <w:t xml:space="preserve"> </w:t>
      </w:r>
      <w:r>
        <w:t xml:space="preserve">hook that starts the drain (§42.7).</w:t>
      </w:r>
    </w:p>
    <w:p>
      <w:pPr>
        <w:pStyle w:val="FirstParagraph"/>
      </w:pPr>
      <w:r>
        <w:t xml:space="preserve">Rolling 36 servers in batches of three (one per zone) with a 5-minute drain takes</w:t>
      </w:r>
      <w:r>
        <w:t xml:space="preserve"> </w:t>
      </w:r>
      <m:oMath>
        <m:r>
          <m:t>12</m:t>
        </m:r>
        <m:r>
          <m:rPr>
            <m:sty m:val="p"/>
          </m:rPr>
          <m:t>×</m:t>
        </m:r>
        <m:r>
          <m:t>5</m:t>
        </m:r>
        <m:r>
          <m:rPr>
            <m:sty m:val="p"/>
          </m:rPr>
          <m:t>=</m:t>
        </m:r>
        <m:r>
          <m:t>60</m:t>
        </m:r>
      </m:oMath>
      <w:r>
        <w:t xml:space="preserve"> </w:t>
      </w:r>
      <w:r>
        <w:t xml:space="preserve">minutes — another reason to keep business logic out of the gateway and deploy it rarely.</w:t>
      </w:r>
    </w:p>
    <w:bookmarkStart w:id="1060" w:name="failure-scenarios-25"/>
    <w:p>
      <w:pPr>
        <w:pStyle w:val="Heading4"/>
      </w:pPr>
      <w:r>
        <w:t xml:space="preserve">Failure scenarios</w:t>
      </w:r>
    </w:p>
    <w:p>
      <w:pPr>
        <w:pStyle w:val="FirstParagraph"/>
      </w:pPr>
      <w:r>
        <w:rPr>
          <w:bCs/>
          <w:b/>
        </w:rPr>
        <w:t xml:space="preserve">Table 9.13 — Connection-fleet 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Reconnect storm takes down auth</w:t>
            </w:r>
          </w:p>
        </w:tc>
        <w:tc>
          <w:tcPr/>
          <w:p>
            <w:pPr>
              <w:pStyle w:val="Compact"/>
              <w:jc w:val="left"/>
            </w:pPr>
            <w:r>
              <w:t xml:space="preserve">Mass disconnect, synchronized retries</w:t>
            </w:r>
          </w:p>
        </w:tc>
        <w:tc>
          <w:tcPr/>
          <w:p>
            <w:pPr>
              <w:pStyle w:val="Compact"/>
              <w:jc w:val="left"/>
            </w:pPr>
            <w:r>
              <w:t xml:space="preserve">Handshake rate and auth latency spike together</w:t>
            </w:r>
          </w:p>
        </w:tc>
        <w:tc>
          <w:tcPr/>
          <w:p>
            <w:pPr>
              <w:pStyle w:val="Compact"/>
              <w:jc w:val="left"/>
            </w:pPr>
            <w:r>
              <w:t xml:space="preserve">Admission control, 1013 with delay</w:t>
            </w:r>
          </w:p>
        </w:tc>
        <w:tc>
          <w:tcPr/>
          <w:p>
            <w:pPr>
              <w:pStyle w:val="Compact"/>
              <w:jc w:val="left"/>
            </w:pPr>
            <w:r>
              <w:t xml:space="preserve">Jittered backoff; cached token validation at gateway</w:t>
            </w:r>
          </w:p>
        </w:tc>
      </w:tr>
      <w:tr>
        <w:tc>
          <w:tcPr/>
          <w:p>
            <w:pPr>
              <w:pStyle w:val="Compact"/>
              <w:jc w:val="left"/>
            </w:pPr>
            <w:r>
              <w:t xml:space="preserve">New gateways sit idle after scale-out</w:t>
            </w:r>
          </w:p>
        </w:tc>
        <w:tc>
          <w:tcPr/>
          <w:p>
            <w:pPr>
              <w:pStyle w:val="Compact"/>
              <w:jc w:val="left"/>
            </w:pPr>
            <w:r>
              <w:t xml:space="preserve">Connections only rebalance on reconnect</w:t>
            </w:r>
          </w:p>
        </w:tc>
        <w:tc>
          <w:tcPr/>
          <w:p>
            <w:pPr>
              <w:pStyle w:val="Compact"/>
              <w:jc w:val="left"/>
            </w:pPr>
            <w:r>
              <w:t xml:space="preserve">Connection-count skew across gateways</w:t>
            </w:r>
          </w:p>
        </w:tc>
        <w:tc>
          <w:tcPr/>
          <w:p>
            <w:pPr>
              <w:pStyle w:val="Compact"/>
              <w:jc w:val="left"/>
            </w:pPr>
            <w:r>
              <w:t xml:space="preserve">Shed a few % of connections from hot gateways</w:t>
            </w:r>
          </w:p>
        </w:tc>
        <w:tc>
          <w:tcPr/>
          <w:p>
            <w:pPr>
              <w:pStyle w:val="Compact"/>
              <w:jc w:val="left"/>
            </w:pPr>
            <w:r>
              <w:t xml:space="preserve">Least-connections LB; periodic gentle rebalancing</w:t>
            </w:r>
          </w:p>
        </w:tc>
      </w:tr>
      <w:tr>
        <w:tc>
          <w:tcPr/>
          <w:p>
            <w:pPr>
              <w:pStyle w:val="Compact"/>
              <w:jc w:val="left"/>
            </w:pPr>
            <w:r>
              <w:t xml:space="preserve">Messages lost during backplane blip</w:t>
            </w:r>
          </w:p>
        </w:tc>
        <w:tc>
          <w:tcPr/>
          <w:p>
            <w:pPr>
              <w:pStyle w:val="Compact"/>
              <w:jc w:val="left"/>
            </w:pPr>
            <w:r>
              <w:t xml:space="preserve">Redis Pub/Sub is at-most-once</w:t>
            </w:r>
          </w:p>
        </w:tc>
        <w:tc>
          <w:tcPr/>
          <w:p>
            <w:pPr>
              <w:pStyle w:val="Compact"/>
              <w:jc w:val="left"/>
            </w:pPr>
            <w:r>
              <w:t xml:space="preserve">Clients detect sequence gaps</w:t>
            </w:r>
          </w:p>
        </w:tc>
        <w:tc>
          <w:tcPr/>
          <w:p>
            <w:pPr>
              <w:pStyle w:val="Compact"/>
              <w:jc w:val="left"/>
            </w:pPr>
            <w:r>
              <w:t xml:space="preserve">Client fetches missing range</w:t>
            </w:r>
          </w:p>
        </w:tc>
        <w:tc>
          <w:tcPr/>
          <w:p>
            <w:pPr>
              <w:pStyle w:val="Compact"/>
              <w:jc w:val="left"/>
            </w:pPr>
            <w:r>
              <w:t xml:space="preserve">Sequence numbers + durable store as source of truth</w:t>
            </w:r>
          </w:p>
        </w:tc>
      </w:tr>
      <w:tr>
        <w:tc>
          <w:tcPr/>
          <w:p>
            <w:pPr>
              <w:pStyle w:val="Compact"/>
              <w:jc w:val="left"/>
            </w:pPr>
            <w:r>
              <w:t xml:space="preserve">Users shown online for hours</w:t>
            </w:r>
          </w:p>
        </w:tc>
        <w:tc>
          <w:tcPr/>
          <w:p>
            <w:pPr>
              <w:pStyle w:val="Compact"/>
              <w:jc w:val="left"/>
            </w:pPr>
            <w:r>
              <w:t xml:space="preserve">Presence written on connect, never expired</w:t>
            </w:r>
          </w:p>
        </w:tc>
        <w:tc>
          <w:tcPr/>
          <w:p>
            <w:pPr>
              <w:pStyle w:val="Compact"/>
              <w:jc w:val="left"/>
            </w:pPr>
            <w:r>
              <w:t xml:space="preserve">Online count exceeds connection count</w:t>
            </w:r>
          </w:p>
        </w:tc>
        <w:tc>
          <w:tcPr/>
          <w:p>
            <w:pPr>
              <w:pStyle w:val="Compact"/>
              <w:jc w:val="left"/>
            </w:pPr>
            <w:r>
              <w:t xml:space="preserve">Expire stale entries</w:t>
            </w:r>
          </w:p>
        </w:tc>
        <w:tc>
          <w:tcPr/>
          <w:p>
            <w:pPr>
              <w:pStyle w:val="Compact"/>
              <w:jc w:val="left"/>
            </w:pPr>
            <w:r>
              <w:t xml:space="preserve">Lease with TTL refreshed by heartbeat</w:t>
            </w:r>
          </w:p>
        </w:tc>
      </w:tr>
    </w:tbl>
    <w:bookmarkEnd w:id="1060"/>
    <w:bookmarkEnd w:id="1061"/>
    <w:bookmarkEnd w:id="1062"/>
    <w:bookmarkStart w:id="1066" w:name="choosing-a-real-time-technique"/>
    <w:p>
      <w:pPr>
        <w:pStyle w:val="Heading2"/>
      </w:pPr>
      <w:r>
        <w:t xml:space="preserve">9.10 Choosing a real-time technique</w:t>
      </w:r>
    </w:p>
    <w:p>
      <w:pPr>
        <w:pStyle w:val="FirstParagraph"/>
      </w:pPr>
      <w:r>
        <w:t xml:space="preserve">No technique is best; each answers a different question. Work through the requirements in this order:</w:t>
      </w:r>
      <w:r>
        <w:t xml:space="preserve"> </w:t>
      </w:r>
      <w:r>
        <w:rPr>
          <w:iCs/>
          <w:i/>
        </w:rPr>
        <w:t xml:space="preserve">Is the app even running? Which direction does data flow? How fresh must it be? Is it media? What does the network allow?</w:t>
      </w:r>
    </w:p>
    <w:p>
      <w:pPr>
        <w:pStyle w:val="BodyText"/>
      </w:pPr>
      <w:r>
        <w:rPr>
          <w:bCs/>
          <w:b/>
        </w:rPr>
        <w:t xml:space="preserve">Figure 9.10 — Decision flowchart for choosing a real-time technique.</w:t>
      </w:r>
    </w:p>
    <w:p>
      <w:pPr>
        <w:pStyle w:val="BodyText"/>
      </w:pPr>
      <w:r>
        <w:drawing>
          <wp:inline>
            <wp:extent cx="5334000" cy="9680455"/>
            <wp:effectExtent b="0" l="0" r="0" t="0"/>
            <wp:docPr descr="" title="" id="1064" name="Picture"/>
            <a:graphic>
              <a:graphicData uri="http://schemas.openxmlformats.org/drawingml/2006/picture">
                <pic:pic>
                  <pic:nvPicPr>
                    <pic:cNvPr descr="/home/user/System-Design/build/.cache/diagrams/548c4b39b289.png" id="1065" name="Picture"/>
                    <pic:cNvPicPr>
                      <a:picLocks noChangeArrowheads="1" noChangeAspect="1"/>
                    </pic:cNvPicPr>
                  </pic:nvPicPr>
                  <pic:blipFill>
                    <a:blip r:embed="rId1063"/>
                    <a:stretch>
                      <a:fillRect/>
                    </a:stretch>
                  </pic:blipFill>
                  <pic:spPr bwMode="auto">
                    <a:xfrm>
                      <a:off x="0" y="0"/>
                      <a:ext cx="5334000" cy="9680455"/>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Diamonds are requirement questions; rectangles are recommended techniques. Only platform push can reach a suspended mobile app, so that split comes first; media goes to WebRTC regardless. For ordinary data, the cheapest technique that meets the freshness requirement wins; long polling is the fallback for hostile networks. Real systems combine branches: a chat app uses WebSockets in the foreground, push in the background, HTTPS for history and WebRTC for calls.</w:t>
      </w:r>
    </w:p>
    <w:p>
      <w:pPr>
        <w:pStyle w:val="BodyText"/>
      </w:pPr>
      <w:r>
        <w:rPr>
          <w:bCs/>
          <w:b/>
        </w:rPr>
        <w:t xml:space="preserve">Table 9.14 — Real-time techniques compared.</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Aspect</w:t>
            </w:r>
          </w:p>
        </w:tc>
        <w:tc>
          <w:tcPr/>
          <w:p>
            <w:pPr>
              <w:pStyle w:val="Compact"/>
              <w:jc w:val="left"/>
            </w:pPr>
            <w:r>
              <w:t xml:space="preserve">Short polling</w:t>
            </w:r>
          </w:p>
        </w:tc>
        <w:tc>
          <w:tcPr/>
          <w:p>
            <w:pPr>
              <w:pStyle w:val="Compact"/>
              <w:jc w:val="left"/>
            </w:pPr>
            <w:r>
              <w:t xml:space="preserve">Long polling</w:t>
            </w:r>
          </w:p>
        </w:tc>
        <w:tc>
          <w:tcPr/>
          <w:p>
            <w:pPr>
              <w:pStyle w:val="Compact"/>
              <w:jc w:val="left"/>
            </w:pPr>
            <w:r>
              <w:t xml:space="preserve">SSE</w:t>
            </w:r>
          </w:p>
        </w:tc>
        <w:tc>
          <w:tcPr/>
          <w:p>
            <w:pPr>
              <w:pStyle w:val="Compact"/>
              <w:jc w:val="left"/>
            </w:pPr>
            <w:r>
              <w:t xml:space="preserve">WebSockets</w:t>
            </w:r>
          </w:p>
        </w:tc>
        <w:tc>
          <w:tcPr/>
          <w:p>
            <w:pPr>
              <w:pStyle w:val="Compact"/>
              <w:jc w:val="left"/>
            </w:pPr>
            <w:r>
              <w:t xml:space="preserve">WebRTC</w:t>
            </w:r>
          </w:p>
        </w:tc>
        <w:tc>
          <w:tcPr/>
          <w:p>
            <w:pPr>
              <w:pStyle w:val="Compact"/>
              <w:jc w:val="left"/>
            </w:pPr>
            <w:r>
              <w:t xml:space="preserve">Mobile push</w:t>
            </w:r>
          </w:p>
        </w:tc>
      </w:tr>
      <w:tr>
        <w:tc>
          <w:tcPr/>
          <w:p>
            <w:pPr>
              <w:pStyle w:val="Compact"/>
              <w:jc w:val="left"/>
            </w:pPr>
            <w:r>
              <w:t xml:space="preserve">What it is</w:t>
            </w:r>
          </w:p>
        </w:tc>
        <w:tc>
          <w:tcPr/>
          <w:p>
            <w:pPr>
              <w:pStyle w:val="Compact"/>
              <w:jc w:val="left"/>
            </w:pPr>
            <w:r>
              <w:t xml:space="preserve">Periodic HTTP requests</w:t>
            </w:r>
          </w:p>
        </w:tc>
        <w:tc>
          <w:tcPr/>
          <w:p>
            <w:pPr>
              <w:pStyle w:val="Compact"/>
              <w:jc w:val="left"/>
            </w:pPr>
            <w:r>
              <w:t xml:space="preserve">Held HTTP request</w:t>
            </w:r>
          </w:p>
        </w:tc>
        <w:tc>
          <w:tcPr/>
          <w:p>
            <w:pPr>
              <w:pStyle w:val="Compact"/>
              <w:jc w:val="left"/>
            </w:pPr>
            <w:r>
              <w:t xml:space="preserve">Streamed HTTP response</w:t>
            </w:r>
          </w:p>
        </w:tc>
        <w:tc>
          <w:tcPr/>
          <w:p>
            <w:pPr>
              <w:pStyle w:val="Compact"/>
              <w:jc w:val="left"/>
            </w:pPr>
            <w:r>
              <w:t xml:space="preserve">Upgraded full-duplex TCP</w:t>
            </w:r>
          </w:p>
        </w:tc>
        <w:tc>
          <w:tcPr/>
          <w:p>
            <w:pPr>
              <w:pStyle w:val="Compact"/>
              <w:jc w:val="left"/>
            </w:pPr>
            <w:r>
              <w:t xml:space="preserve">P2P UDP media/data</w:t>
            </w:r>
          </w:p>
        </w:tc>
        <w:tc>
          <w:tcPr/>
          <w:p>
            <w:pPr>
              <w:pStyle w:val="Compact"/>
              <w:jc w:val="left"/>
            </w:pPr>
            <w:r>
              <w:t xml:space="preserve">OS-level provider delivery</w:t>
            </w:r>
          </w:p>
        </w:tc>
      </w:tr>
      <w:tr>
        <w:tc>
          <w:tcPr/>
          <w:p>
            <w:pPr>
              <w:pStyle w:val="Compact"/>
              <w:jc w:val="left"/>
            </w:pPr>
            <w:r>
              <w:t xml:space="preserve">Direction</w:t>
            </w:r>
          </w:p>
        </w:tc>
        <w:tc>
          <w:tcPr/>
          <w:p>
            <w:pPr>
              <w:pStyle w:val="Compact"/>
              <w:jc w:val="left"/>
            </w:pPr>
            <w:r>
              <w:t xml:space="preserve">Client pulls</w:t>
            </w:r>
          </w:p>
        </w:tc>
        <w:tc>
          <w:tcPr/>
          <w:p>
            <w:pPr>
              <w:pStyle w:val="Compact"/>
              <w:jc w:val="left"/>
            </w:pPr>
            <w:r>
              <w:t xml:space="preserve">Server → client</w:t>
            </w:r>
          </w:p>
        </w:tc>
        <w:tc>
          <w:tcPr/>
          <w:p>
            <w:pPr>
              <w:pStyle w:val="Compact"/>
              <w:jc w:val="left"/>
            </w:pPr>
            <w:r>
              <w:t xml:space="preserve">Server → client</w:t>
            </w:r>
          </w:p>
        </w:tc>
        <w:tc>
          <w:tcPr/>
          <w:p>
            <w:pPr>
              <w:pStyle w:val="Compact"/>
              <w:jc w:val="left"/>
            </w:pPr>
            <w:r>
              <w:t xml:space="preserve">Both</w:t>
            </w:r>
          </w:p>
        </w:tc>
        <w:tc>
          <w:tcPr/>
          <w:p>
            <w:pPr>
              <w:pStyle w:val="Compact"/>
              <w:jc w:val="left"/>
            </w:pPr>
            <w:r>
              <w:t xml:space="preserve">Both, peer to peer</w:t>
            </w:r>
          </w:p>
        </w:tc>
        <w:tc>
          <w:tcPr/>
          <w:p>
            <w:pPr>
              <w:pStyle w:val="Compact"/>
              <w:jc w:val="left"/>
            </w:pPr>
            <w:r>
              <w:t xml:space="preserve">Server → device</w:t>
            </w:r>
          </w:p>
        </w:tc>
      </w:tr>
      <w:tr>
        <w:tc>
          <w:tcPr/>
          <w:p>
            <w:pPr>
              <w:pStyle w:val="Compact"/>
              <w:jc w:val="left"/>
            </w:pPr>
            <w:r>
              <w:t xml:space="preserve">Latency</w:t>
            </w:r>
          </w:p>
        </w:tc>
        <w:tc>
          <w:tcPr/>
          <w:p>
            <w:pPr>
              <w:pStyle w:val="Compact"/>
              <w:jc w:val="left"/>
            </w:pPr>
            <w:r>
              <w:t xml:space="preserve">≈ T/2</w:t>
            </w:r>
          </w:p>
        </w:tc>
        <w:tc>
          <w:tcPr/>
          <w:p>
            <w:pPr>
              <w:pStyle w:val="Compact"/>
              <w:jc w:val="left"/>
            </w:pPr>
            <w:r>
              <w:t xml:space="preserve">≈ 1 RTT</w:t>
            </w:r>
          </w:p>
        </w:tc>
        <w:tc>
          <w:tcPr/>
          <w:p>
            <w:pPr>
              <w:pStyle w:val="Compact"/>
              <w:jc w:val="left"/>
            </w:pPr>
            <w:r>
              <w:t xml:space="preserve">≈ ½ RTT</w:t>
            </w:r>
          </w:p>
        </w:tc>
        <w:tc>
          <w:tcPr/>
          <w:p>
            <w:pPr>
              <w:pStyle w:val="Compact"/>
              <w:jc w:val="left"/>
            </w:pPr>
            <w:r>
              <w:t xml:space="preserve">≈ ½ RTT</w:t>
            </w:r>
          </w:p>
        </w:tc>
        <w:tc>
          <w:tcPr/>
          <w:p>
            <w:pPr>
              <w:pStyle w:val="Compact"/>
              <w:jc w:val="left"/>
            </w:pPr>
            <w:r>
              <w:t xml:space="preserve">Lowest; UDP</w:t>
            </w:r>
          </w:p>
        </w:tc>
        <w:tc>
          <w:tcPr/>
          <w:p>
            <w:pPr>
              <w:pStyle w:val="Compact"/>
              <w:jc w:val="left"/>
            </w:pPr>
            <w:r>
              <w:t xml:space="preserve">Seconds to never</w:t>
            </w:r>
          </w:p>
        </w:tc>
      </w:tr>
      <w:tr>
        <w:tc>
          <w:tcPr/>
          <w:p>
            <w:pPr>
              <w:pStyle w:val="Compact"/>
              <w:jc w:val="left"/>
            </w:pPr>
            <w:r>
              <w:t xml:space="preserve">Overhead per message</w:t>
            </w:r>
          </w:p>
        </w:tc>
        <w:tc>
          <w:tcPr/>
          <w:p>
            <w:pPr>
              <w:pStyle w:val="Compact"/>
              <w:jc w:val="left"/>
            </w:pPr>
            <w:r>
              <w:t xml:space="preserve">Full HTTP request</w:t>
            </w:r>
          </w:p>
        </w:tc>
        <w:tc>
          <w:tcPr/>
          <w:p>
            <w:pPr>
              <w:pStyle w:val="Compact"/>
              <w:jc w:val="left"/>
            </w:pPr>
            <w:r>
              <w:t xml:space="preserve">Full HTTP request</w:t>
            </w:r>
          </w:p>
        </w:tc>
        <w:tc>
          <w:tcPr/>
          <w:p>
            <w:pPr>
              <w:pStyle w:val="Compact"/>
              <w:jc w:val="left"/>
            </w:pPr>
            <w:r>
              <w:t xml:space="preserve">~10–50 bytes</w:t>
            </w:r>
          </w:p>
        </w:tc>
        <w:tc>
          <w:tcPr/>
          <w:p>
            <w:pPr>
              <w:pStyle w:val="Compact"/>
              <w:jc w:val="left"/>
            </w:pPr>
            <w:r>
              <w:t xml:space="preserve">2–14 bytes</w:t>
            </w:r>
          </w:p>
        </w:tc>
        <w:tc>
          <w:tcPr/>
          <w:p>
            <w:pPr>
              <w:pStyle w:val="Compact"/>
              <w:jc w:val="left"/>
            </w:pPr>
            <w:r>
              <w:t xml:space="preserve">RTP/SRTP headers</w:t>
            </w:r>
          </w:p>
        </w:tc>
        <w:tc>
          <w:tcPr/>
          <w:p>
            <w:pPr>
              <w:pStyle w:val="Compact"/>
              <w:jc w:val="left"/>
            </w:pPr>
            <w:r>
              <w:t xml:space="preserve">Provider API call</w:t>
            </w:r>
          </w:p>
        </w:tc>
      </w:tr>
      <w:tr>
        <w:tc>
          <w:tcPr/>
          <w:p>
            <w:pPr>
              <w:pStyle w:val="Compact"/>
              <w:jc w:val="left"/>
            </w:pPr>
            <w:r>
              <w:t xml:space="preserve">Server state</w:t>
            </w:r>
          </w:p>
        </w:tc>
        <w:tc>
          <w:tcPr/>
          <w:p>
            <w:pPr>
              <w:pStyle w:val="Compact"/>
              <w:jc w:val="left"/>
            </w:pPr>
            <w:r>
              <w:t xml:space="preserve">None</w:t>
            </w:r>
          </w:p>
        </w:tc>
        <w:tc>
          <w:tcPr/>
          <w:p>
            <w:pPr>
              <w:pStyle w:val="Compact"/>
              <w:jc w:val="left"/>
            </w:pPr>
            <w:r>
              <w:t xml:space="preserve">Parked request</w:t>
            </w:r>
          </w:p>
        </w:tc>
        <w:tc>
          <w:tcPr/>
          <w:p>
            <w:pPr>
              <w:pStyle w:val="Compact"/>
              <w:jc w:val="left"/>
            </w:pPr>
            <w:r>
              <w:t xml:space="preserve">Open stream</w:t>
            </w:r>
          </w:p>
        </w:tc>
        <w:tc>
          <w:tcPr/>
          <w:p>
            <w:pPr>
              <w:pStyle w:val="Compact"/>
              <w:jc w:val="left"/>
            </w:pPr>
            <w:r>
              <w:t xml:space="preserve">Open connection</w:t>
            </w:r>
          </w:p>
        </w:tc>
        <w:tc>
          <w:tcPr/>
          <w:p>
            <w:pPr>
              <w:pStyle w:val="Compact"/>
              <w:jc w:val="left"/>
            </w:pPr>
            <w:r>
              <w:t xml:space="preserve">Signaling + TURN/SFU</w:t>
            </w:r>
          </w:p>
        </w:tc>
        <w:tc>
          <w:tcPr/>
          <w:p>
            <w:pPr>
              <w:pStyle w:val="Compact"/>
              <w:jc w:val="left"/>
            </w:pPr>
            <w:r>
              <w:t xml:space="preserve">Token store</w:t>
            </w:r>
          </w:p>
        </w:tc>
      </w:tr>
      <w:tr>
        <w:tc>
          <w:tcPr/>
          <w:p>
            <w:pPr>
              <w:pStyle w:val="Compact"/>
              <w:jc w:val="left"/>
            </w:pPr>
            <w:r>
              <w:t xml:space="preserve">Infrastructure friendliness</w:t>
            </w:r>
          </w:p>
        </w:tc>
        <w:tc>
          <w:tcPr/>
          <w:p>
            <w:pPr>
              <w:pStyle w:val="Compact"/>
              <w:jc w:val="left"/>
            </w:pPr>
            <w:r>
              <w:t xml:space="preserve">Excellent</w:t>
            </w:r>
          </w:p>
        </w:tc>
        <w:tc>
          <w:tcPr/>
          <w:p>
            <w:pPr>
              <w:pStyle w:val="Compact"/>
              <w:jc w:val="left"/>
            </w:pPr>
            <w:r>
              <w:t xml:space="preserve">Good (timeouts)</w:t>
            </w:r>
          </w:p>
        </w:tc>
        <w:tc>
          <w:tcPr/>
          <w:p>
            <w:pPr>
              <w:pStyle w:val="Compact"/>
              <w:jc w:val="left"/>
            </w:pPr>
            <w:r>
              <w:t xml:space="preserve">Good (buffering)</w:t>
            </w:r>
          </w:p>
        </w:tc>
        <w:tc>
          <w:tcPr/>
          <w:p>
            <w:pPr>
              <w:pStyle w:val="Compact"/>
              <w:jc w:val="left"/>
            </w:pPr>
            <w:r>
              <w:t xml:space="preserve">Needs Upgrade + timeouts</w:t>
            </w:r>
          </w:p>
        </w:tc>
        <w:tc>
          <w:tcPr/>
          <w:p>
            <w:pPr>
              <w:pStyle w:val="Compact"/>
              <w:jc w:val="left"/>
            </w:pPr>
            <w:r>
              <w:t xml:space="preserve">NAT traversal, TURN</w:t>
            </w:r>
          </w:p>
        </w:tc>
        <w:tc>
          <w:tcPr/>
          <w:p>
            <w:pPr>
              <w:pStyle w:val="Compact"/>
              <w:jc w:val="left"/>
            </w:pPr>
            <w:r>
              <w:t xml:space="preserve">Provider-dependent</w:t>
            </w:r>
          </w:p>
        </w:tc>
      </w:tr>
      <w:tr>
        <w:tc>
          <w:tcPr/>
          <w:p>
            <w:pPr>
              <w:pStyle w:val="Compact"/>
              <w:jc w:val="left"/>
            </w:pPr>
            <w:r>
              <w:t xml:space="preserve">Resumption</w:t>
            </w:r>
          </w:p>
        </w:tc>
        <w:tc>
          <w:tcPr/>
          <w:p>
            <w:pPr>
              <w:pStyle w:val="Compact"/>
              <w:jc w:val="left"/>
            </w:pPr>
            <w:r>
              <w:t xml:space="preserve">Cursor</w:t>
            </w:r>
          </w:p>
        </w:tc>
        <w:tc>
          <w:tcPr/>
          <w:p>
            <w:pPr>
              <w:pStyle w:val="Compact"/>
              <w:jc w:val="left"/>
            </w:pPr>
            <w:r>
              <w:t xml:space="preserve">Cursor</w:t>
            </w:r>
          </w:p>
        </w:tc>
        <w:tc>
          <w:tcPr/>
          <w:p>
            <w:pPr>
              <w:pStyle w:val="Compact"/>
              <w:jc w:val="left"/>
            </w:pPr>
            <w:r>
              <w:t xml:space="preserve">Built in (</w:t>
            </w:r>
            <w:r>
              <w:rPr>
                <w:rStyle w:val="VerbatimChar"/>
              </w:rPr>
              <w:t xml:space="preserve">Last-Event-ID</w:t>
            </w:r>
            <w:r>
              <w:t xml:space="preserve">)</w:t>
            </w:r>
          </w:p>
        </w:tc>
        <w:tc>
          <w:tcPr/>
          <w:p>
            <w:pPr>
              <w:pStyle w:val="Compact"/>
              <w:jc w:val="left"/>
            </w:pPr>
            <w:r>
              <w:t xml:space="preserve">Build your own</w:t>
            </w:r>
          </w:p>
        </w:tc>
        <w:tc>
          <w:tcPr/>
          <w:p>
            <w:pPr>
              <w:pStyle w:val="Compact"/>
              <w:jc w:val="left"/>
            </w:pPr>
            <w:r>
              <w:t xml:space="preserve">ICE restart</w:t>
            </w:r>
          </w:p>
        </w:tc>
        <w:tc>
          <w:tcPr/>
          <w:p>
            <w:pPr>
              <w:pStyle w:val="Compact"/>
              <w:jc w:val="left"/>
            </w:pPr>
            <w:r>
              <w:t xml:space="preserve">Collapse + sync</w:t>
            </w:r>
          </w:p>
        </w:tc>
      </w:tr>
      <w:tr>
        <w:tc>
          <w:tcPr/>
          <w:p>
            <w:pPr>
              <w:pStyle w:val="Compact"/>
              <w:jc w:val="left"/>
            </w:pPr>
            <w:r>
              <w:t xml:space="preserve">Operational complexity</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Very high</w:t>
            </w:r>
          </w:p>
        </w:tc>
        <w:tc>
          <w:tcPr/>
          <w:p>
            <w:pPr>
              <w:pStyle w:val="Compact"/>
              <w:jc w:val="left"/>
            </w:pPr>
            <w:r>
              <w:t xml:space="preserve">Medium</w:t>
            </w:r>
          </w:p>
        </w:tc>
      </w:tr>
      <w:tr>
        <w:tc>
          <w:tcPr/>
          <w:p>
            <w:pPr>
              <w:pStyle w:val="Compact"/>
              <w:jc w:val="left"/>
            </w:pPr>
            <w:r>
              <w:t xml:space="preserve">Cost driver</w:t>
            </w:r>
          </w:p>
        </w:tc>
        <w:tc>
          <w:tcPr/>
          <w:p>
            <w:pPr>
              <w:pStyle w:val="Compact"/>
              <w:jc w:val="left"/>
            </w:pPr>
            <m:oMath>
              <m:r>
                <m:t>N</m:t>
              </m:r>
              <m:r>
                <m:rPr>
                  <m:sty m:val="p"/>
                </m:rPr>
                <m:t>/</m:t>
              </m:r>
              <m:r>
                <m:t>T</m:t>
              </m:r>
            </m:oMath>
            <w:r>
              <w:t xml:space="preserve"> </w:t>
            </w:r>
            <w:r>
              <w:t xml:space="preserve">requests</w:t>
            </w:r>
          </w:p>
        </w:tc>
        <w:tc>
          <w:tcPr/>
          <w:p>
            <w:pPr>
              <w:pStyle w:val="Compact"/>
              <w:jc w:val="left"/>
            </w:pPr>
            <w:r>
              <w:t xml:space="preserve">Concurrent connections</w:t>
            </w:r>
          </w:p>
        </w:tc>
        <w:tc>
          <w:tcPr/>
          <w:p>
            <w:pPr>
              <w:pStyle w:val="Compact"/>
              <w:jc w:val="left"/>
            </w:pPr>
            <w:r>
              <w:t xml:space="preserve">Concurrent connections</w:t>
            </w:r>
          </w:p>
        </w:tc>
        <w:tc>
          <w:tcPr/>
          <w:p>
            <w:pPr>
              <w:pStyle w:val="Compact"/>
              <w:jc w:val="left"/>
            </w:pPr>
            <w:r>
              <w:t xml:space="preserve">Concurrent connections + fan-out</w:t>
            </w:r>
          </w:p>
        </w:tc>
        <w:tc>
          <w:tcPr/>
          <w:p>
            <w:pPr>
              <w:pStyle w:val="Compact"/>
              <w:jc w:val="left"/>
            </w:pPr>
            <w:r>
              <w:t xml:space="preserve">TURN/SFU bandwidth</w:t>
            </w:r>
          </w:p>
        </w:tc>
        <w:tc>
          <w:tcPr/>
          <w:p>
            <w:pPr>
              <w:pStyle w:val="Compact"/>
              <w:jc w:val="left"/>
            </w:pPr>
            <w:r>
              <w:t xml:space="preserve">Send volume + return traffic</w:t>
            </w:r>
          </w:p>
        </w:tc>
      </w:tr>
      <w:tr>
        <w:tc>
          <w:tcPr/>
          <w:p>
            <w:pPr>
              <w:pStyle w:val="Compact"/>
              <w:jc w:val="left"/>
            </w:pPr>
            <w:r>
              <w:t xml:space="preserve">Use cases</w:t>
            </w:r>
          </w:p>
        </w:tc>
        <w:tc>
          <w:tcPr/>
          <w:p>
            <w:pPr>
              <w:pStyle w:val="Compact"/>
              <w:jc w:val="left"/>
            </w:pPr>
            <w:r>
              <w:t xml:space="preserve">Dashboards, job status</w:t>
            </w:r>
          </w:p>
        </w:tc>
        <w:tc>
          <w:tcPr/>
          <w:p>
            <w:pPr>
              <w:pStyle w:val="Compact"/>
              <w:jc w:val="left"/>
            </w:pPr>
            <w:r>
              <w:t xml:space="preserve">Fallback transport</w:t>
            </w:r>
          </w:p>
        </w:tc>
        <w:tc>
          <w:tcPr/>
          <w:p>
            <w:pPr>
              <w:pStyle w:val="Compact"/>
              <w:jc w:val="left"/>
            </w:pPr>
            <w:r>
              <w:t xml:space="preserve">Feeds, notifications, LLM token streams</w:t>
            </w:r>
          </w:p>
        </w:tc>
        <w:tc>
          <w:tcPr/>
          <w:p>
            <w:pPr>
              <w:pStyle w:val="Compact"/>
              <w:jc w:val="left"/>
            </w:pPr>
            <w:r>
              <w:t xml:space="preserve">Chat, collaboration, games, trading</w:t>
            </w:r>
          </w:p>
        </w:tc>
        <w:tc>
          <w:tcPr/>
          <w:p>
            <w:pPr>
              <w:pStyle w:val="Compact"/>
              <w:jc w:val="left"/>
            </w:pPr>
            <w:r>
              <w:t xml:space="preserve">Calls, screen share, P2P files</w:t>
            </w:r>
          </w:p>
        </w:tc>
        <w:tc>
          <w:tcPr/>
          <w:p>
            <w:pPr>
              <w:pStyle w:val="Compact"/>
              <w:jc w:val="left"/>
            </w:pPr>
            <w:r>
              <w:t xml:space="preserve">Background alerts</w:t>
            </w:r>
          </w:p>
        </w:tc>
      </w:tr>
      <w:tr>
        <w:tc>
          <w:tcPr/>
          <w:p>
            <w:pPr>
              <w:pStyle w:val="Compact"/>
              <w:jc w:val="left"/>
            </w:pPr>
            <w:r>
              <w:t xml:space="preserve">Choose when</w:t>
            </w:r>
          </w:p>
        </w:tc>
        <w:tc>
          <w:tcPr/>
          <w:p>
            <w:pPr>
              <w:pStyle w:val="Compact"/>
              <w:jc w:val="left"/>
            </w:pPr>
            <w:r>
              <w:t xml:space="preserve">Rare updates, few clients</w:t>
            </w:r>
          </w:p>
        </w:tc>
        <w:tc>
          <w:tcPr/>
          <w:p>
            <w:pPr>
              <w:pStyle w:val="Compact"/>
              <w:jc w:val="left"/>
            </w:pPr>
            <w:r>
              <w:t xml:space="preserve">Streaming blocked</w:t>
            </w:r>
          </w:p>
        </w:tc>
        <w:tc>
          <w:tcPr/>
          <w:p>
            <w:pPr>
              <w:pStyle w:val="Compact"/>
              <w:jc w:val="left"/>
            </w:pPr>
            <w:r>
              <w:t xml:space="preserve">One-way, HTTP-native</w:t>
            </w:r>
          </w:p>
        </w:tc>
        <w:tc>
          <w:tcPr/>
          <w:p>
            <w:pPr>
              <w:pStyle w:val="Compact"/>
              <w:jc w:val="left"/>
            </w:pPr>
            <w:r>
              <w:t xml:space="preserve">Two-way, high frequency</w:t>
            </w:r>
          </w:p>
        </w:tc>
        <w:tc>
          <w:tcPr/>
          <w:p>
            <w:pPr>
              <w:pStyle w:val="Compact"/>
              <w:jc w:val="left"/>
            </w:pPr>
            <w:r>
              <w:t xml:space="preserve">Real-time media</w:t>
            </w:r>
          </w:p>
        </w:tc>
        <w:tc>
          <w:tcPr/>
          <w:p>
            <w:pPr>
              <w:pStyle w:val="Compact"/>
              <w:jc w:val="left"/>
            </w:pPr>
            <w:r>
              <w:t xml:space="preserve">App not running</w:t>
            </w:r>
          </w:p>
        </w:tc>
      </w:tr>
    </w:tbl>
    <w:p>
      <w:pPr>
        <w:pStyle w:val="CalloutRecommendation"/>
      </w:pPr>
      <w:r>
        <w:rPr>
          <w:bCs/>
          <w:b/>
        </w:rPr>
        <w:t xml:space="preserve">RECOMMENDATION</w:t>
      </w:r>
    </w:p>
    <w:p>
      <w:pPr>
        <w:pStyle w:val="CalloutRecommendation"/>
      </w:pPr>
      <w:r>
        <w:rPr>
          <w:bCs/>
          <w:b/>
        </w:rPr>
        <w:t xml:space="preserve">Default choices for common products.</w:t>
      </w:r>
      <w:r>
        <w:t xml:space="preserve"> </w:t>
      </w:r>
      <w:r>
        <w:t xml:space="preserve">Notifications badge on a website: SSE (or short polling at 30–60 s if traffic is small). Chat and collaborative editing: WebSockets in the foreground, mobile push in the background, HTTPS sync for history. Live sports scores or stock tickers for millions of viewers: SSE or WebSockets fed from a CDN or edge fan-out tier, with</w:t>
      </w:r>
      <w:r>
        <w:t xml:space="preserve"> </w:t>
      </w:r>
      <w:r>
        <w:t xml:space="preserve">“</w:t>
      </w:r>
      <w:r>
        <w:t xml:space="preserve">latest value wins</w:t>
      </w:r>
      <w:r>
        <w:t xml:space="preserve">”</w:t>
      </w:r>
      <w:r>
        <w:t xml:space="preserve"> </w:t>
      </w:r>
      <w:r>
        <w:t xml:space="preserve">coalescing. Video meetings: WebRTC with an SFU, WebSockets for signaling. Ride-hailing driver location to a rider: WebSockets or SSE while the app is open, push for</w:t>
      </w:r>
      <w:r>
        <w:t xml:space="preserve"> </w:t>
      </w:r>
      <w:r>
        <w:t xml:space="preserve">“</w:t>
      </w:r>
      <w:r>
        <w:t xml:space="preserve">driver arrived</w:t>
      </w:r>
      <w:r>
        <w:t xml:space="preserve">”</w:t>
      </w:r>
      <w:r>
        <w:t xml:space="preserve"> </w:t>
      </w:r>
      <w:r>
        <w:t xml:space="preserve">when it is not.</w:t>
      </w:r>
    </w:p>
    <w:p>
      <w:pPr>
        <w:pStyle w:val="CalloutTip"/>
      </w:pPr>
      <w:r>
        <w:rPr>
          <w:bCs/>
          <w:b/>
        </w:rPr>
        <w:t xml:space="preserve">INTERVIEW TIP</w:t>
      </w:r>
    </w:p>
    <w:p>
      <w:pPr>
        <w:pStyle w:val="CalloutTip"/>
      </w:pPr>
      <w:r>
        <w:rPr>
          <w:bCs/>
          <w:b/>
        </w:rPr>
        <w:t xml:space="preserve">In an interview,</w:t>
      </w:r>
      <w:r>
        <w:t xml:space="preserve"> </w:t>
      </w:r>
      <w:r>
        <w:t xml:space="preserve">state the requirement that drives the choice (</w:t>
      </w:r>
      <w:r>
        <w:t xml:space="preserve">“</w:t>
      </w:r>
      <w:r>
        <w:t xml:space="preserve">updates are server-to-client only and must survive reconnects, so SSE with</w:t>
      </w:r>
      <w:r>
        <w:t xml:space="preserve"> </w:t>
      </w:r>
      <w:r>
        <w:rPr>
          <w:rStyle w:val="VerbatimChar"/>
        </w:rPr>
        <w:t xml:space="preserve">Last-Event-ID</w:t>
      </w:r>
      <w:r>
        <w:t xml:space="preserve">”</w:t>
      </w:r>
      <w:r>
        <w:t xml:space="preserve">), then immediately address the scale consequence: how many concurrent connections, how many gateways, how messages reach the right gateway, and what happens on reconnect. Interviewers care far more about the connection-management design (§9.9) than about the name of the protocol.</w:t>
      </w:r>
    </w:p>
    <w:bookmarkEnd w:id="1066"/>
    <w:bookmarkStart w:id="1067" w:name="summary-and-revision-notes-8"/>
    <w:p>
      <w:pPr>
        <w:pStyle w:val="Heading2"/>
      </w:pPr>
      <w:r>
        <w:t xml:space="preserve">9.11 Summary and revision notes</w:t>
      </w:r>
    </w:p>
    <w:p>
      <w:pPr>
        <w:pStyle w:val="CalloutSummary"/>
      </w:pPr>
      <w:r>
        <w:rPr>
          <w:bCs/>
          <w:b/>
        </w:rPr>
        <w:t xml:space="preserve">SUMMARY</w:t>
      </w:r>
    </w:p>
    <w:p>
      <w:pPr>
        <w:numPr>
          <w:ilvl w:val="0"/>
          <w:numId w:val="1328"/>
        </w:numPr>
        <w:pStyle w:val="Compact"/>
      </w:pPr>
      <w:r>
        <w:t xml:space="preserve">HTTP is client-initiated; every technique in this chapter is a way for the server to speak first, trading freshness against connection cost and infrastructure complexity.</w:t>
      </w:r>
    </w:p>
    <w:p>
      <w:pPr>
        <w:numPr>
          <w:ilvl w:val="0"/>
          <w:numId w:val="1328"/>
        </w:numPr>
        <w:pStyle w:val="Compact"/>
      </w:pPr>
      <w:r>
        <w:rPr>
          <w:bCs/>
          <w:b/>
        </w:rPr>
        <w:t xml:space="preserve">Short polling:</w:t>
      </w:r>
      <w:r>
        <w:t xml:space="preserve"> </w:t>
      </w:r>
      <m:oMath>
        <m:r>
          <m:t>R</m:t>
        </m:r>
        <m:r>
          <m:rPr>
            <m:sty m:val="p"/>
          </m:rPr>
          <m:t>=</m:t>
        </m:r>
        <m:r>
          <m:t>N</m:t>
        </m:r>
        <m:r>
          <m:rPr>
            <m:sty m:val="p"/>
          </m:rPr>
          <m:t>/</m:t>
        </m:r>
        <m:r>
          <m:t>T</m:t>
        </m:r>
      </m:oMath>
      <w:r>
        <w:t xml:space="preserve">; average delay</w:t>
      </w:r>
      <w:r>
        <w:t xml:space="preserve"> </w:t>
      </w:r>
      <m:oMath>
        <m:r>
          <m:t>T</m:t>
        </m:r>
        <m:r>
          <m:rPr>
            <m:sty m:val="p"/>
          </m:rPr>
          <m:t>/</m:t>
        </m:r>
        <m:r>
          <m:t>2</m:t>
        </m:r>
      </m:oMath>
      <w:r>
        <w:t xml:space="preserve">; with rare events nearly every request is wasted (</w:t>
      </w:r>
      <m:oMath>
        <m:sSub>
          <m:e>
            <m:r>
              <m:t>P</m:t>
            </m:r>
          </m:e>
          <m:sub>
            <m:r>
              <m:rPr>
                <m:nor/>
                <m:sty m:val="p"/>
              </m:rPr>
              <m:t>empty</m:t>
            </m:r>
          </m:sub>
        </m:sSub>
        <m:r>
          <m:rPr>
            <m:sty m:val="p"/>
          </m:rPr>
          <m:t>=</m:t>
        </m:r>
        <m:sSup>
          <m:e>
            <m:r>
              <m:t>e</m:t>
            </m:r>
          </m:e>
          <m:sup>
            <m:r>
              <m:rPr>
                <m:sty m:val="p"/>
              </m:rPr>
              <m:t>−</m:t>
            </m:r>
            <m:r>
              <m:t>λ</m:t>
            </m:r>
            <m:r>
              <m:t>T</m:t>
            </m:r>
          </m:sup>
        </m:sSup>
      </m:oMath>
      <w:r>
        <w:t xml:space="preserve">). Fine for few clients or slow-changing data; jitter the timers.</w:t>
      </w:r>
    </w:p>
    <w:p>
      <w:pPr>
        <w:numPr>
          <w:ilvl w:val="0"/>
          <w:numId w:val="1328"/>
        </w:numPr>
        <w:pStyle w:val="Compact"/>
      </w:pPr>
      <w:r>
        <w:rPr>
          <w:bCs/>
          <w:b/>
        </w:rPr>
        <w:t xml:space="preserve">Long polling:</w:t>
      </w:r>
      <w:r>
        <w:t xml:space="preserve"> </w:t>
      </w:r>
      <w:r>
        <w:t xml:space="preserve">the server holds the request until data or a hold timeout (keep it below every intermediary’s idle timeout, e.g. 25–30 s); cursors prevent loss in the gap between polls; cost moves from requests to concurrent connections. Comet (2006) and RFC 6202 document it.</w:t>
      </w:r>
    </w:p>
    <w:p>
      <w:pPr>
        <w:numPr>
          <w:ilvl w:val="0"/>
          <w:numId w:val="1328"/>
        </w:numPr>
        <w:pStyle w:val="Compact"/>
      </w:pPr>
      <w:r>
        <w:rPr>
          <w:bCs/>
          <w:b/>
        </w:rPr>
        <w:t xml:space="preserve">SSE:</w:t>
      </w:r>
      <w:r>
        <w:t xml:space="preserve"> </w:t>
      </w:r>
      <w:r>
        <w:t xml:space="preserve">one streamed</w:t>
      </w:r>
      <w:r>
        <w:t xml:space="preserve"> </w:t>
      </w:r>
      <w:r>
        <w:rPr>
          <w:rStyle w:val="VerbatimChar"/>
        </w:rPr>
        <w:t xml:space="preserve">text/event-stream</w:t>
      </w:r>
      <w:r>
        <w:t xml:space="preserve"> </w:t>
      </w:r>
      <w:r>
        <w:t xml:space="preserve">response; fields</w:t>
      </w:r>
      <w:r>
        <w:t xml:space="preserve"> </w:t>
      </w:r>
      <w:r>
        <w:rPr>
          <w:rStyle w:val="VerbatimChar"/>
        </w:rPr>
        <w:t xml:space="preserve">data</w:t>
      </w:r>
      <w:r>
        <w:t xml:space="preserve">,</w:t>
      </w:r>
      <w:r>
        <w:t xml:space="preserve"> </w:t>
      </w:r>
      <w:r>
        <w:rPr>
          <w:rStyle w:val="VerbatimChar"/>
        </w:rPr>
        <w:t xml:space="preserve">event</w:t>
      </w:r>
      <w:r>
        <w:t xml:space="preserve">,</w:t>
      </w:r>
      <w:r>
        <w:t xml:space="preserve"> </w:t>
      </w:r>
      <w:r>
        <w:rPr>
          <w:rStyle w:val="VerbatimChar"/>
        </w:rPr>
        <w:t xml:space="preserve">id</w:t>
      </w:r>
      <w:r>
        <w:t xml:space="preserve">,</w:t>
      </w:r>
      <w:r>
        <w:t xml:space="preserve"> </w:t>
      </w:r>
      <w:r>
        <w:rPr>
          <w:rStyle w:val="VerbatimChar"/>
        </w:rPr>
        <w:t xml:space="preserve">retry</w:t>
      </w:r>
      <w:r>
        <w:t xml:space="preserve">, comments for heartbeats; browsers reconnect and send</w:t>
      </w:r>
      <w:r>
        <w:t xml:space="preserve"> </w:t>
      </w:r>
      <w:r>
        <w:rPr>
          <w:rStyle w:val="VerbatimChar"/>
        </w:rPr>
        <w:t xml:space="preserve">Last-Event-ID</w:t>
      </w:r>
      <w:r>
        <w:t xml:space="preserve">; server-to-client only; text only; prefer HTTP/2 to escape the ~6 connections-per-origin limit; disable proxy buffering.</w:t>
      </w:r>
    </w:p>
    <w:p>
      <w:pPr>
        <w:numPr>
          <w:ilvl w:val="0"/>
          <w:numId w:val="1328"/>
        </w:numPr>
        <w:pStyle w:val="Compact"/>
      </w:pPr>
      <w:r>
        <w:rPr>
          <w:bCs/>
          <w:b/>
        </w:rPr>
        <w:t xml:space="preserve">WebSockets (RFC 6455):</w:t>
      </w:r>
      <w:r>
        <w:t xml:space="preserve"> </w:t>
      </w:r>
      <w:r>
        <w:t xml:space="preserve">HTTP/1.1</w:t>
      </w:r>
      <w:r>
        <w:t xml:space="preserve"> </w:t>
      </w:r>
      <w:r>
        <w:rPr>
          <w:rStyle w:val="VerbatimChar"/>
        </w:rPr>
        <w:t xml:space="preserve">Upgrade</w:t>
      </w:r>
      <w:r>
        <w:t xml:space="preserve"> </w:t>
      </w:r>
      <w:r>
        <w:t xml:space="preserve">handshake with</w:t>
      </w:r>
      <w:r>
        <w:t xml:space="preserve"> </w:t>
      </w:r>
      <w:r>
        <w:rPr>
          <w:rStyle w:val="VerbatimChar"/>
        </w:rPr>
        <w:t xml:space="preserve">Sec-WebSocket-Accept</w:t>
      </w:r>
      <w:r>
        <w:t xml:space="preserve"> </w:t>
      </w:r>
      <w:r>
        <w:t xml:space="preserve">= base64(SHA-1(key + GUID)); frames with 2–14 byte headers; opcodes text, binary, continuation, close, ping, pong; client frames masked to protect intermediaries; heartbeats below idle timeouts; close codes guide reconnection; check</w:t>
      </w:r>
      <w:r>
        <w:t xml:space="preserve"> </w:t>
      </w:r>
      <w:r>
        <w:rPr>
          <w:rStyle w:val="VerbatimChar"/>
        </w:rPr>
        <w:t xml:space="preserve">Origin</w:t>
      </w:r>
      <w:r>
        <w:t xml:space="preserve">; bound send queues and disconnect slow consumers.</w:t>
      </w:r>
    </w:p>
    <w:p>
      <w:pPr>
        <w:numPr>
          <w:ilvl w:val="0"/>
          <w:numId w:val="1328"/>
        </w:numPr>
        <w:pStyle w:val="Compact"/>
      </w:pPr>
      <w:r>
        <w:rPr>
          <w:bCs/>
          <w:b/>
        </w:rPr>
        <w:t xml:space="preserve">WebRTC:</w:t>
      </w:r>
      <w:r>
        <w:t xml:space="preserve"> </w:t>
      </w:r>
      <w:r>
        <w:t xml:space="preserve">signaling (yours) + ICE with STUN (discover public address) and TURN (relay fallback) + DTLS-SRTP media; mesh for ≤ 4, SFU for most group calls, MCU for weak or legacy clients.</w:t>
      </w:r>
    </w:p>
    <w:p>
      <w:pPr>
        <w:numPr>
          <w:ilvl w:val="0"/>
          <w:numId w:val="1328"/>
        </w:numPr>
        <w:pStyle w:val="Compact"/>
      </w:pPr>
      <w:r>
        <w:rPr>
          <w:bCs/>
          <w:b/>
        </w:rPr>
        <w:t xml:space="preserve">Mobile push:</w:t>
      </w:r>
      <w:r>
        <w:t xml:space="preserve"> </w:t>
      </w:r>
      <w:r>
        <w:t xml:space="preserve">one OS-managed connection to APNs/FCM; best effort; APNs keeps only the latest notification per app when offline, FCM up to 100 messages and 4 collapse keys; 4 KB payloads; prune tokens on 410/404; push is a tickle — sync from your API with a cursor.</w:t>
      </w:r>
    </w:p>
    <w:p>
      <w:pPr>
        <w:numPr>
          <w:ilvl w:val="0"/>
          <w:numId w:val="1328"/>
        </w:numPr>
        <w:pStyle w:val="Compact"/>
      </w:pPr>
      <w:r>
        <w:rPr>
          <w:bCs/>
          <w:b/>
        </w:rPr>
        <w:t xml:space="preserve">At scale:</w:t>
      </w:r>
      <w:r>
        <w:t xml:space="preserve"> </w:t>
      </w:r>
      <w:r>
        <w:t xml:space="preserve">thin, rarely deployed connection gateways; size by memory</w:t>
      </w:r>
      <w:r>
        <w:t xml:space="preserve"> </w:t>
      </w:r>
      <w:r>
        <w:rPr>
          <w:iCs/>
          <w:i/>
        </w:rPr>
        <w:t xml:space="preserve">and</w:t>
      </w:r>
      <w:r>
        <w:t xml:space="preserve"> </w:t>
      </w:r>
      <w:r>
        <w:t xml:space="preserve">blast radius</w:t>
      </w:r>
      <w:r>
        <w:t xml:space="preserve"> </w:t>
      </w:r>
      <w:r>
        <w:rPr>
          <w:iCs/>
          <w:i/>
        </w:rPr>
        <w:t xml:space="preserve">and</w:t>
      </w:r>
      <w:r>
        <w:t xml:space="preserve"> </w:t>
      </w:r>
      <w:r>
        <w:t xml:space="preserve">zone failure (10 M connections × 40 KB ≈ 400 GB; 36 servers of 64 GB in the worked example); route through a pub/sub backplane or connection registry; make the durable store with sequence numbers the source of truth; presence as TTL leases refreshed by heartbeats; jittered reconnects (</w:t>
      </w:r>
      <m:oMath>
        <m:r>
          <m:t>λ</m:t>
        </m:r>
        <m:r>
          <m:rPr>
            <m:sty m:val="p"/>
          </m:rPr>
          <m:t>≈</m:t>
        </m:r>
        <m:r>
          <m:t>n</m:t>
        </m:r>
        <m:r>
          <m:rPr>
            <m:sty m:val="p"/>
          </m:rPr>
          <m:t>/</m:t>
        </m:r>
        <m:r>
          <m:t>W</m:t>
        </m:r>
      </m:oMath>
      <w:r>
        <w:t xml:space="preserve">); drain gradually on deploy.</w:t>
      </w:r>
    </w:p>
    <w:bookmarkEnd w:id="1067"/>
    <w:bookmarkStart w:id="1068" w:name="knowledge-checkpoint-8"/>
    <w:p>
      <w:pPr>
        <w:pStyle w:val="Heading2"/>
      </w:pPr>
      <w:r>
        <w:t xml:space="preserve">9.12 Knowledge checkpoint</w:t>
      </w:r>
    </w:p>
    <w:p>
      <w:pPr>
        <w:numPr>
          <w:ilvl w:val="0"/>
          <w:numId w:val="1329"/>
        </w:numPr>
        <w:pStyle w:val="Compact"/>
      </w:pPr>
      <w:r>
        <w:t xml:space="preserve">A site has 400,000 tabs open, each polling every 4 s. What request rate reaches the servers?</w:t>
      </w:r>
    </w:p>
    <w:p>
      <w:pPr>
        <w:numPr>
          <w:ilvl w:val="0"/>
          <w:numId w:val="1329"/>
        </w:numPr>
        <w:pStyle w:val="Compact"/>
      </w:pPr>
      <w:r>
        <w:t xml:space="preserve">Why does long polling need a cursor, and what goes wrong without one?</w:t>
      </w:r>
    </w:p>
    <w:p>
      <w:pPr>
        <w:numPr>
          <w:ilvl w:val="0"/>
          <w:numId w:val="1329"/>
        </w:numPr>
        <w:pStyle w:val="Compact"/>
      </w:pPr>
      <w:r>
        <w:t xml:space="preserve">Why should a long-poll hold timeout be 25–30 s rather than 120 s?</w:t>
      </w:r>
    </w:p>
    <w:p>
      <w:pPr>
        <w:numPr>
          <w:ilvl w:val="0"/>
          <w:numId w:val="1329"/>
        </w:numPr>
        <w:pStyle w:val="Compact"/>
      </w:pPr>
      <w:r>
        <w:t xml:space="preserve">Name the four SSE fields and the purpose of a line that starts with a colon.</w:t>
      </w:r>
    </w:p>
    <w:p>
      <w:pPr>
        <w:numPr>
          <w:ilvl w:val="0"/>
          <w:numId w:val="1329"/>
        </w:numPr>
        <w:pStyle w:val="Compact"/>
      </w:pPr>
      <w:r>
        <w:t xml:space="preserve">What header does a browser send when an</w:t>
      </w:r>
      <w:r>
        <w:t xml:space="preserve"> </w:t>
      </w:r>
      <w:r>
        <w:rPr>
          <w:rStyle w:val="VerbatimChar"/>
        </w:rPr>
        <w:t xml:space="preserve">EventSource</w:t>
      </w:r>
      <w:r>
        <w:t xml:space="preserve"> </w:t>
      </w:r>
      <w:r>
        <w:t xml:space="preserve">reconnects, and what must the server do with it?</w:t>
      </w:r>
    </w:p>
    <w:p>
      <w:pPr>
        <w:numPr>
          <w:ilvl w:val="0"/>
          <w:numId w:val="1329"/>
        </w:numPr>
        <w:pStyle w:val="Compact"/>
      </w:pPr>
      <w:r>
        <w:t xml:space="preserve">Why does SSE over HTTP/1.1 cause problems for users with many tabs, and how does HTTP/2 change this?</w:t>
      </w:r>
    </w:p>
    <w:p>
      <w:pPr>
        <w:numPr>
          <w:ilvl w:val="0"/>
          <w:numId w:val="1329"/>
        </w:numPr>
        <w:pStyle w:val="Compact"/>
      </w:pPr>
      <w:r>
        <w:t xml:space="preserve">Compute</w:t>
      </w:r>
      <w:r>
        <w:t xml:space="preserve"> </w:t>
      </w:r>
      <w:r>
        <w:rPr>
          <w:rStyle w:val="VerbatimChar"/>
        </w:rPr>
        <w:t xml:space="preserve">Sec-WebSocket-Accept</w:t>
      </w:r>
      <w:r>
        <w:t xml:space="preserve"> </w:t>
      </w:r>
      <w:r>
        <w:t xml:space="preserve">conceptually: what inputs and which functions?</w:t>
      </w:r>
    </w:p>
    <w:p>
      <w:pPr>
        <w:numPr>
          <w:ilvl w:val="0"/>
          <w:numId w:val="1329"/>
        </w:numPr>
        <w:pStyle w:val="Compact"/>
      </w:pPr>
      <w:r>
        <w:t xml:space="preserve">What are the header sizes of an unmasked 100-byte frame and a masked 1,000-byte frame?</w:t>
      </w:r>
    </w:p>
    <w:p>
      <w:pPr>
        <w:numPr>
          <w:ilvl w:val="0"/>
          <w:numId w:val="1329"/>
        </w:numPr>
        <w:pStyle w:val="Compact"/>
      </w:pPr>
      <w:r>
        <w:t xml:space="preserve">Why are client-to-server WebSocket frames masked and server-to-client frames not?</w:t>
      </w:r>
    </w:p>
    <w:p>
      <w:pPr>
        <w:numPr>
          <w:ilvl w:val="0"/>
          <w:numId w:val="1329"/>
        </w:numPr>
        <w:pStyle w:val="Compact"/>
      </w:pPr>
      <w:r>
        <w:t xml:space="preserve">What is the difference between close codes 1000, 1001, 1006 and 1008?</w:t>
      </w:r>
    </w:p>
    <w:p>
      <w:pPr>
        <w:numPr>
          <w:ilvl w:val="0"/>
          <w:numId w:val="1329"/>
        </w:numPr>
        <w:pStyle w:val="Compact"/>
      </w:pPr>
      <w:r>
        <w:t xml:space="preserve">Why can’t browser JavaScript rely on WebSocket Ping frames for its own liveness detection?</w:t>
      </w:r>
    </w:p>
    <w:p>
      <w:pPr>
        <w:numPr>
          <w:ilvl w:val="0"/>
          <w:numId w:val="1329"/>
        </w:numPr>
        <w:pStyle w:val="Compact"/>
      </w:pPr>
      <w:r>
        <w:t xml:space="preserve">What role do STUN and TURN each play in ICE, and which one carries media?</w:t>
      </w:r>
    </w:p>
    <w:p>
      <w:pPr>
        <w:numPr>
          <w:ilvl w:val="0"/>
          <w:numId w:val="1329"/>
        </w:numPr>
        <w:pStyle w:val="Compact"/>
      </w:pPr>
      <w:r>
        <w:t xml:space="preserve">In a 5-person SFU call at 2 Mbit/s per stream, what is each participant’s upload and full-quality download?</w:t>
      </w:r>
    </w:p>
    <w:p>
      <w:pPr>
        <w:numPr>
          <w:ilvl w:val="0"/>
          <w:numId w:val="1329"/>
        </w:numPr>
        <w:pStyle w:val="Compact"/>
      </w:pPr>
      <w:r>
        <w:t xml:space="preserve">What does APNs do with notifications sent while a device is offline? What does FCM do?</w:t>
      </w:r>
    </w:p>
    <w:p>
      <w:pPr>
        <w:numPr>
          <w:ilvl w:val="0"/>
          <w:numId w:val="1329"/>
        </w:numPr>
        <w:pStyle w:val="Compact"/>
      </w:pPr>
      <w:r>
        <w:t xml:space="preserve">Using the formula in §9.9.2, how many gateways are needed for 3 M connections with a 300 k per-server ceiling across 3 zones that must survive one zone failure?</w:t>
      </w:r>
    </w:p>
    <w:p>
      <w:pPr>
        <w:numPr>
          <w:ilvl w:val="0"/>
          <w:numId w:val="1329"/>
        </w:numPr>
        <w:pStyle w:val="Compact"/>
      </w:pPr>
      <w:r>
        <w:t xml:space="preserve">Why are presence systems built on TTL leases rather than explicit</w:t>
      </w:r>
      <w:r>
        <w:t xml:space="preserve"> </w:t>
      </w:r>
      <w:r>
        <w:t xml:space="preserve">“</w:t>
      </w:r>
      <w:r>
        <w:t xml:space="preserve">offline</w:t>
      </w:r>
      <w:r>
        <w:t xml:space="preserve">”</w:t>
      </w:r>
      <w:r>
        <w:t xml:space="preserve"> </w:t>
      </w:r>
      <w:r>
        <w:t xml:space="preserve">writes?</w:t>
      </w:r>
    </w:p>
    <w:p>
      <w:pPr>
        <w:pStyle w:val="FirstParagraph"/>
      </w:pPr>
      <w:r>
        <w:t xml:space="preserve">Answers</w:t>
      </w:r>
    </w:p>
    <w:p>
      <w:pPr>
        <w:numPr>
          <w:ilvl w:val="0"/>
          <w:numId w:val="1330"/>
        </w:numPr>
        <w:pStyle w:val="Compact"/>
      </w:pPr>
      <m:oMath>
        <m:r>
          <m:t>R</m:t>
        </m:r>
        <m:r>
          <m:rPr>
            <m:sty m:val="p"/>
          </m:rPr>
          <m:t>=</m:t>
        </m:r>
        <m:r>
          <m:t>400</m:t>
        </m:r>
        <m:r>
          <m:rPr>
            <m:sty m:val="p"/>
          </m:rPr>
          <m:t>,</m:t>
        </m:r>
        <m:r>
          <m:t>000</m:t>
        </m:r>
        <m:r>
          <m:rPr>
            <m:sty m:val="p"/>
          </m:rPr>
          <m:t>/</m:t>
        </m:r>
        <m:r>
          <m:t>4</m:t>
        </m:r>
        <m:r>
          <m:rPr>
            <m:sty m:val="p"/>
          </m:rPr>
          <m:t>=</m:t>
        </m:r>
        <m:r>
          <m:t>100</m:t>
        </m:r>
        <m:r>
          <m:rPr>
            <m:sty m:val="p"/>
          </m:rPr>
          <m:t>,</m:t>
        </m:r>
        <m:r>
          <m:t>000</m:t>
        </m:r>
      </m:oMath>
      <w:r>
        <w:t xml:space="preserve"> </w:t>
      </w:r>
      <w:r>
        <w:t xml:space="preserve">requests/s.</w:t>
      </w:r>
    </w:p>
    <w:p>
      <w:pPr>
        <w:numPr>
          <w:ilvl w:val="0"/>
          <w:numId w:val="1330"/>
        </w:numPr>
        <w:pStyle w:val="Compact"/>
      </w:pPr>
      <w:r>
        <w:t xml:space="preserve">After each response there is a gap of about one round trip with no outstanding request; events in that gap would be lost unless the next request asks for</w:t>
      </w:r>
      <w:r>
        <w:t xml:space="preserve"> </w:t>
      </w:r>
      <w:r>
        <w:t xml:space="preserve">“</w:t>
      </w:r>
      <w:r>
        <w:t xml:space="preserve">everything after cursor</w:t>
      </w:r>
      <w:r>
        <w:t xml:space="preserve"> </w:t>
      </w:r>
      <w:r>
        <w:rPr>
          <w:iCs/>
          <w:i/>
        </w:rPr>
        <w:t xml:space="preserve">c</w:t>
      </w:r>
      <w:r>
        <w:t xml:space="preserve">”</w:t>
      </w:r>
      <w:r>
        <w:t xml:space="preserve"> </w:t>
      </w:r>
      <w:r>
        <w:t xml:space="preserve">from a server-side buffer. The cursor also lets the client discard duplicates.</w:t>
      </w:r>
    </w:p>
    <w:p>
      <w:pPr>
        <w:numPr>
          <w:ilvl w:val="0"/>
          <w:numId w:val="1330"/>
        </w:numPr>
        <w:pStyle w:val="Compact"/>
      </w:pPr>
      <w:r>
        <w:t xml:space="preserve">Proxies and load balancers commonly close idle requests at 60 s (for example, ALB and NGINX defaults); a hold longer than the smallest idle timeout produces errors instead of clean empty responses.</w:t>
      </w:r>
    </w:p>
    <w:p>
      <w:pPr>
        <w:numPr>
          <w:ilvl w:val="0"/>
          <w:numId w:val="1330"/>
        </w:numPr>
        <w:pStyle w:val="Compact"/>
      </w:pPr>
      <w:r>
        <w:rPr>
          <w:rStyle w:val="VerbatimChar"/>
        </w:rPr>
        <w:t xml:space="preserve">data</w:t>
      </w:r>
      <w:r>
        <w:t xml:space="preserve">,</w:t>
      </w:r>
      <w:r>
        <w:t xml:space="preserve"> </w:t>
      </w:r>
      <w:r>
        <w:rPr>
          <w:rStyle w:val="VerbatimChar"/>
        </w:rPr>
        <w:t xml:space="preserve">event</w:t>
      </w:r>
      <w:r>
        <w:t xml:space="preserve">,</w:t>
      </w:r>
      <w:r>
        <w:t xml:space="preserve"> </w:t>
      </w:r>
      <w:r>
        <w:rPr>
          <w:rStyle w:val="VerbatimChar"/>
        </w:rPr>
        <w:t xml:space="preserve">id</w:t>
      </w:r>
      <w:r>
        <w:t xml:space="preserve">,</w:t>
      </w:r>
      <w:r>
        <w:t xml:space="preserve"> </w:t>
      </w:r>
      <w:r>
        <w:rPr>
          <w:rStyle w:val="VerbatimChar"/>
        </w:rPr>
        <w:t xml:space="preserve">retry</w:t>
      </w:r>
      <w:r>
        <w:t xml:space="preserve">. A line starting with</w:t>
      </w:r>
      <w:r>
        <w:t xml:space="preserve"> </w:t>
      </w:r>
      <w:r>
        <w:rPr>
          <w:rStyle w:val="VerbatimChar"/>
        </w:rPr>
        <w:t xml:space="preserve">:</w:t>
      </w:r>
      <w:r>
        <w:t xml:space="preserve"> </w:t>
      </w:r>
      <w:r>
        <w:t xml:space="preserve">is a comment, ignored by the client and used as a heartbeat to keep intermediaries from timing out the stream.</w:t>
      </w:r>
    </w:p>
    <w:p>
      <w:pPr>
        <w:numPr>
          <w:ilvl w:val="0"/>
          <w:numId w:val="1330"/>
        </w:numPr>
        <w:pStyle w:val="Compact"/>
      </w:pPr>
      <w:r>
        <w:rPr>
          <w:rStyle w:val="VerbatimChar"/>
        </w:rPr>
        <w:t xml:space="preserve">Last-Event-ID</w:t>
      </w:r>
      <w:r>
        <w:t xml:space="preserve">, containing the last</w:t>
      </w:r>
      <w:r>
        <w:t xml:space="preserve"> </w:t>
      </w:r>
      <w:r>
        <w:rPr>
          <w:rStyle w:val="VerbatimChar"/>
        </w:rPr>
        <w:t xml:space="preserve">id:</w:t>
      </w:r>
      <w:r>
        <w:t xml:space="preserve"> </w:t>
      </w:r>
      <w:r>
        <w:t xml:space="preserve">received; the server replays events after it from a buffer (or signals a full resync if the buffer no longer reaches back that far).</w:t>
      </w:r>
    </w:p>
    <w:p>
      <w:pPr>
        <w:numPr>
          <w:ilvl w:val="0"/>
          <w:numId w:val="1330"/>
        </w:numPr>
        <w:pStyle w:val="Compact"/>
      </w:pPr>
      <w:r>
        <w:t xml:space="preserve">Each SSE stream occupies one of roughly six HTTP/1.1 connections per origin shared across all tabs, so further tabs’ requests stall. Over HTTP/2 streams are multiplexed on one connection, limited only by the negotiated maximum concurrent streams (commonly 100+).</w:t>
      </w:r>
    </w:p>
    <w:p>
      <w:pPr>
        <w:numPr>
          <w:ilvl w:val="0"/>
          <w:numId w:val="1330"/>
        </w:numPr>
        <w:pStyle w:val="Compact"/>
      </w:pPr>
      <w:r>
        <w:t xml:space="preserve">Concatenate the client’s</w:t>
      </w:r>
      <w:r>
        <w:t xml:space="preserve"> </w:t>
      </w:r>
      <w:r>
        <w:rPr>
          <w:rStyle w:val="VerbatimChar"/>
        </w:rPr>
        <w:t xml:space="preserve">Sec-WebSocket-Key</w:t>
      </w:r>
      <w:r>
        <w:t xml:space="preserve"> </w:t>
      </w:r>
      <w:r>
        <w:t xml:space="preserve">with the fixed GUID</w:t>
      </w:r>
      <w:r>
        <w:t xml:space="preserve"> </w:t>
      </w:r>
      <w:r>
        <w:rPr>
          <w:rStyle w:val="VerbatimChar"/>
        </w:rPr>
        <w:t xml:space="preserve">258EAFA5-E914-47DA-95CA-C5AB0DC85B11</w:t>
      </w:r>
      <w:r>
        <w:t xml:space="preserve">, take SHA-1, base64-encode the 20-byte digest.</w:t>
      </w:r>
    </w:p>
    <w:p>
      <w:pPr>
        <w:numPr>
          <w:ilvl w:val="0"/>
          <w:numId w:val="1330"/>
        </w:numPr>
        <w:pStyle w:val="Compact"/>
      </w:pPr>
      <w:r>
        <w:t xml:space="preserve">Unmasked 100 bytes: 2-byte header. Masked 1,000 bytes: 2 + 2 (extended length) + 4 (key) = 8 bytes.</w:t>
      </w:r>
    </w:p>
    <w:p>
      <w:pPr>
        <w:numPr>
          <w:ilvl w:val="0"/>
          <w:numId w:val="1330"/>
        </w:numPr>
        <w:pStyle w:val="Compact"/>
      </w:pPr>
      <w:r>
        <w:t xml:space="preserve">Masking with an unpredictable key prevents a malicious script from choosing the exact bytes on the wire and thereby confusing intermediaries (cache poisoning). The attacker controls only browser (upstream) data, so only client frames are masked.</w:t>
      </w:r>
    </w:p>
    <w:p>
      <w:pPr>
        <w:numPr>
          <w:ilvl w:val="0"/>
          <w:numId w:val="1330"/>
        </w:numPr>
        <w:pStyle w:val="Compact"/>
      </w:pPr>
      <w:r>
        <w:t xml:space="preserve">1000 normal closure (done; do not auto-reconnect); 1001 going away (server shutdown or navigation; reconnect with jitter); 1006 abnormal closure, never sent, reported locally when TCP died without a Close frame; 1008 policy violation (for example auth failure or slow consumer).</w:t>
      </w:r>
    </w:p>
    <w:p>
      <w:pPr>
        <w:numPr>
          <w:ilvl w:val="0"/>
          <w:numId w:val="1330"/>
        </w:numPr>
        <w:pStyle w:val="Compact"/>
      </w:pPr>
      <w:r>
        <w:t xml:space="preserve">The browser</w:t>
      </w:r>
      <w:r>
        <w:t xml:space="preserve"> </w:t>
      </w:r>
      <w:r>
        <w:rPr>
          <w:rStyle w:val="VerbatimChar"/>
        </w:rPr>
        <w:t xml:space="preserve">WebSocket</w:t>
      </w:r>
      <w:r>
        <w:t xml:space="preserve"> </w:t>
      </w:r>
      <w:r>
        <w:t xml:space="preserve">API exposes no method to send Pings or observe Pongs; browsers answer server Pings automatically. Client-side liveness requires an application-level heartbeat message.</w:t>
      </w:r>
    </w:p>
    <w:p>
      <w:pPr>
        <w:numPr>
          <w:ilvl w:val="0"/>
          <w:numId w:val="1330"/>
        </w:numPr>
        <w:pStyle w:val="Compact"/>
      </w:pPr>
      <w:r>
        <w:t xml:space="preserve">STUN tells a peer the public address and port its NAT presents (server-reflexive candidate); TURN allocates a relay address and forwards traffic when no direct path works. Only TURN carries media.</w:t>
      </w:r>
    </w:p>
    <w:p>
      <w:pPr>
        <w:numPr>
          <w:ilvl w:val="0"/>
          <w:numId w:val="1330"/>
        </w:numPr>
        <w:pStyle w:val="Compact"/>
      </w:pPr>
      <w:r>
        <w:t xml:space="preserve">Upload 2 Mbit/s (more with simulcast); download</w:t>
      </w:r>
      <w:r>
        <w:t xml:space="preserve"> </w:t>
      </w:r>
      <m:oMath>
        <m:d>
          <m:dPr>
            <m:begChr m:val="("/>
            <m:endChr m:val=")"/>
            <m:sepChr m:val=""/>
            <m:grow/>
          </m:dPr>
          <m:e>
            <m:r>
              <m:t>5</m:t>
            </m:r>
            <m:r>
              <m:rPr>
                <m:sty m:val="p"/>
              </m:rPr>
              <m:t>−</m:t>
            </m:r>
            <m:r>
              <m:t>1</m:t>
            </m:r>
          </m:e>
        </m:d>
        <m:r>
          <m:rPr>
            <m:sty m:val="p"/>
          </m:rPr>
          <m:t>×</m:t>
        </m:r>
        <m:r>
          <m:t>2</m:t>
        </m:r>
        <m:r>
          <m:rPr>
            <m:sty m:val="p"/>
          </m:rPr>
          <m:t>=</m:t>
        </m:r>
        <m:r>
          <m:t>8</m:t>
        </m:r>
      </m:oMath>
      <w:r>
        <w:t xml:space="preserve"> </w:t>
      </w:r>
      <w:r>
        <w:t xml:space="preserve">Mbit/s.</w:t>
      </w:r>
    </w:p>
    <w:p>
      <w:pPr>
        <w:numPr>
          <w:ilvl w:val="0"/>
          <w:numId w:val="1330"/>
        </w:numPr>
        <w:pStyle w:val="Compact"/>
      </w:pPr>
      <w:r>
        <w:t xml:space="preserve">APNs stores only the most recent notification per app and discards older ones. FCM stores up to 100 non-collapsible messages (beyond that it drops them all and signals the app to sync) and at most four collapse keys; both drop messages past their expiry/TTL.</w:t>
      </w:r>
    </w:p>
    <w:p>
      <w:pPr>
        <w:numPr>
          <w:ilvl w:val="0"/>
          <w:numId w:val="1330"/>
        </w:numPr>
        <w:pStyle w:val="Compact"/>
      </w:pPr>
      <w:r>
        <w:t xml:space="preserve">Per zone</w:t>
      </w:r>
      <w:r>
        <w:t xml:space="preserve"> </w:t>
      </w:r>
      <m:oMath>
        <m:r>
          <m:rPr>
            <m:sty m:val="p"/>
          </m:rPr>
          <m:t>⌈</m:t>
        </m:r>
        <m:r>
          <m:t>3</m:t>
        </m:r>
        <m:r>
          <m:rPr>
            <m:sty m:val="p"/>
          </m:rPr>
          <m:t>,</m:t>
        </m:r>
        <m:r>
          <m:t>000</m:t>
        </m:r>
        <m:r>
          <m:rPr>
            <m:sty m:val="p"/>
          </m:rPr>
          <m:t>,</m:t>
        </m:r>
        <m:r>
          <m:t>000</m:t>
        </m:r>
        <m:r>
          <m:rPr>
            <m:sty m:val="p"/>
          </m:rPr>
          <m:t>/</m:t>
        </m:r>
        <m:d>
          <m:dPr>
            <m:begChr m:val="("/>
            <m:endChr m:val=")"/>
            <m:sepChr m:val=""/>
            <m:grow/>
          </m:dPr>
          <m:e>
            <m:r>
              <m:t>2</m:t>
            </m:r>
            <m:r>
              <m:rPr>
                <m:sty m:val="p"/>
              </m:rPr>
              <m:t>×</m:t>
            </m:r>
            <m:r>
              <m:t>300</m:t>
            </m:r>
            <m:r>
              <m:rPr>
                <m:sty m:val="p"/>
              </m:rPr>
              <m:t>,</m:t>
            </m:r>
            <m:r>
              <m:t>000</m:t>
            </m:r>
          </m:e>
        </m:d>
        <m:r>
          <m:rPr>
            <m:sty m:val="p"/>
          </m:rPr>
          <m:t>⌉</m:t>
        </m:r>
        <m:r>
          <m:rPr>
            <m:sty m:val="p"/>
          </m:rPr>
          <m:t>=</m:t>
        </m:r>
        <m:r>
          <m:t>5</m:t>
        </m:r>
      </m:oMath>
      <w:r>
        <w:t xml:space="preserve">; total</w:t>
      </w:r>
      <w:r>
        <w:t xml:space="preserve"> </w:t>
      </w:r>
      <m:oMath>
        <m:r>
          <m:t>3</m:t>
        </m:r>
        <m:r>
          <m:rPr>
            <m:sty m:val="p"/>
          </m:rPr>
          <m:t>×</m:t>
        </m:r>
        <m:r>
          <m:t>5</m:t>
        </m:r>
        <m:r>
          <m:rPr>
            <m:sty m:val="p"/>
          </m:rPr>
          <m:t>=</m:t>
        </m:r>
        <m:r>
          <m:t>15</m:t>
        </m:r>
      </m:oMath>
      <w:r>
        <w:t xml:space="preserve"> </w:t>
      </w:r>
      <w:r>
        <w:t xml:space="preserve">servers, plus deploy/surge headroom (for example 18).</w:t>
      </w:r>
    </w:p>
    <w:p>
      <w:pPr>
        <w:numPr>
          <w:ilvl w:val="0"/>
          <w:numId w:val="1330"/>
        </w:numPr>
        <w:pStyle w:val="Compact"/>
      </w:pPr>
      <w:r>
        <w:t xml:space="preserve">Disconnections are often silent and gateways can crash; a lease that must be refreshed by heartbeats expires automatically, so presence converges to correct without relying on cleanup code that may never run.</w:t>
      </w:r>
    </w:p>
    <w:bookmarkEnd w:id="1068"/>
    <w:bookmarkStart w:id="1072" w:name="interview-questions-8"/>
    <w:p>
      <w:pPr>
        <w:pStyle w:val="Heading2"/>
      </w:pPr>
      <w:r>
        <w:t xml:space="preserve">9.13 Interview questions</w:t>
      </w:r>
    </w:p>
    <w:bookmarkStart w:id="1069" w:name="basic-8"/>
    <w:p>
      <w:pPr>
        <w:pStyle w:val="Heading3"/>
      </w:pPr>
      <w:r>
        <w:t xml:space="preserve">Basic</w:t>
      </w:r>
    </w:p>
    <w:p>
      <w:pPr>
        <w:pStyle w:val="FirstParagraph"/>
      </w:pPr>
      <w:r>
        <w:rPr>
          <w:bCs/>
          <w:b/>
        </w:rPr>
        <w:t xml:space="preserve">Q1. What is the difference between short polling, long polling and WebSockets?</w:t>
      </w:r>
    </w:p>
    <w:p>
      <w:pPr>
        <w:pStyle w:val="BodyText"/>
      </w:pPr>
      <w:r>
        <w:rPr>
          <w:bCs/>
          <w:b/>
        </w:rPr>
        <w:t xml:space="preserve">Answer.</w:t>
      </w:r>
      <w:r>
        <w:t xml:space="preserve"> </w:t>
      </w:r>
      <w:r>
        <w:t xml:space="preserve">Short polling sends a request every</w:t>
      </w:r>
      <w:r>
        <w:t xml:space="preserve"> </w:t>
      </w:r>
      <w:r>
        <w:rPr>
          <w:iCs/>
          <w:i/>
        </w:rPr>
        <w:t xml:space="preserve">T</w:t>
      </w:r>
      <w:r>
        <w:t xml:space="preserve"> </w:t>
      </w:r>
      <w:r>
        <w:t xml:space="preserve">seconds and gets an immediate (often empty) answer: simple, stateless, average delay</w:t>
      </w:r>
      <w:r>
        <w:t xml:space="preserve"> </w:t>
      </w:r>
      <m:oMath>
        <m:r>
          <m:t>T</m:t>
        </m:r>
        <m:r>
          <m:rPr>
            <m:sty m:val="p"/>
          </m:rPr>
          <m:t>/</m:t>
        </m:r>
        <m:r>
          <m:t>2</m:t>
        </m:r>
      </m:oMath>
      <w:r>
        <w:t xml:space="preserve">, cost</w:t>
      </w:r>
      <w:r>
        <w:t xml:space="preserve"> </w:t>
      </w:r>
      <m:oMath>
        <m:r>
          <m:t>N</m:t>
        </m:r>
        <m:r>
          <m:rPr>
            <m:sty m:val="p"/>
          </m:rPr>
          <m:t>/</m:t>
        </m:r>
        <m:r>
          <m:t>T</m:t>
        </m:r>
      </m:oMath>
      <w:r>
        <w:t xml:space="preserve"> </w:t>
      </w:r>
      <w:r>
        <w:t xml:space="preserve">requests/s. Long polling sends a request that the server holds until data arrives or a timeout fires, then the client re-requests: near-instant delivery over plain HTTP, but a full HTTP exchange per message and one held connection per client. WebSockets upgrade one HTTP/1.1 connection into a persistent full-duplex channel with 2–14 bytes of framing per message: lowest overhead and bidirectional, but stateful, requiring heartbeats, reconnection logic and proxy/load-balancer configuration.</w:t>
      </w:r>
    </w:p>
    <w:p>
      <w:pPr>
        <w:pStyle w:val="BodyText"/>
      </w:pPr>
      <w:r>
        <w:rPr>
          <w:bCs/>
          <w:b/>
        </w:rPr>
        <w:t xml:space="preserve">Q2. When would you choose Server-Sent Events over WebSockets?</w:t>
      </w:r>
    </w:p>
    <w:p>
      <w:pPr>
        <w:pStyle w:val="BodyText"/>
      </w:pPr>
      <w:r>
        <w:rPr>
          <w:bCs/>
          <w:b/>
        </w:rPr>
        <w:t xml:space="preserve">Answer.</w:t>
      </w:r>
      <w:r>
        <w:t xml:space="preserve"> </w:t>
      </w:r>
      <w:r>
        <w:t xml:space="preserve">When data flows only from server to client (notifications, feeds, live scores, LLM token streams) and you want to stay on plain HTTP. SSE gets HTTP/2 multiplexing, standard authentication, cookies and observability for free; browsers reconnect automatically and resume with</w:t>
      </w:r>
      <w:r>
        <w:t xml:space="preserve"> </w:t>
      </w:r>
      <w:r>
        <w:rPr>
          <w:rStyle w:val="VerbatimChar"/>
        </w:rPr>
        <w:t xml:space="preserve">Last-Event-ID</w:t>
      </w:r>
      <w:r>
        <w:t xml:space="preserve">. Choose WebSockets when the client also sends frequent low-latency messages or when you need binary frames.</w:t>
      </w:r>
    </w:p>
    <w:bookmarkEnd w:id="1069"/>
    <w:bookmarkStart w:id="1070" w:name="intermediate-8"/>
    <w:p>
      <w:pPr>
        <w:pStyle w:val="Heading3"/>
      </w:pPr>
      <w:r>
        <w:t xml:space="preserve">Intermediate</w:t>
      </w:r>
    </w:p>
    <w:p>
      <w:pPr>
        <w:pStyle w:val="FirstParagraph"/>
      </w:pPr>
      <w:r>
        <w:rPr>
          <w:bCs/>
          <w:b/>
        </w:rPr>
        <w:t xml:space="preserve">Q3. Users report that WebSocket connections drop every 60 seconds in production but not locally. Diagnose.</w:t>
      </w:r>
    </w:p>
    <w:p>
      <w:pPr>
        <w:pStyle w:val="BodyText"/>
      </w:pPr>
      <w:r>
        <w:rPr>
          <w:bCs/>
          <w:b/>
        </w:rPr>
        <w:t xml:space="preserve">Answer.</w:t>
      </w:r>
      <w:r>
        <w:t xml:space="preserve"> </w:t>
      </w:r>
      <w:r>
        <w:t xml:space="preserve">Exactly-periodic drops point to an idle timeout on an intermediary — commonly a load balancer or reverse proxy with a 60 s default — closing connections that carried no traffic. Confirm by correlating close times with connection-open times and checking close codes (1006 on the client indicates TCP loss without a Close frame). Fix by sending server Pings (or application heartbeats) every 20–30 s, below the smallest idle timeout, and optionally raising the timeout on WebSocket routes. Also verify that the proxy forwards</w:t>
      </w:r>
      <w:r>
        <w:t xml:space="preserve"> </w:t>
      </w:r>
      <w:r>
        <w:rPr>
          <w:rStyle w:val="VerbatimChar"/>
        </w:rPr>
        <w:t xml:space="preserve">Upgrade</w:t>
      </w:r>
      <w:r>
        <w:t xml:space="preserve">/</w:t>
      </w:r>
      <w:r>
        <w:rPr>
          <w:rStyle w:val="VerbatimChar"/>
        </w:rPr>
        <w:t xml:space="preserve">Connection</w:t>
      </w:r>
      <w:r>
        <w:t xml:space="preserve"> </w:t>
      </w:r>
      <w:r>
        <w:t xml:space="preserve">correctly and that heartbeats are not suppressed by client backgrounding on mobile.</w:t>
      </w:r>
    </w:p>
    <w:p>
      <w:pPr>
        <w:pStyle w:val="BodyText"/>
      </w:pPr>
      <w:r>
        <w:rPr>
          <w:bCs/>
          <w:b/>
        </w:rPr>
        <w:t xml:space="preserve">Q4. Design delivery of a chat message to recipients connected to different gateway servers.</w:t>
      </w:r>
    </w:p>
    <w:p>
      <w:pPr>
        <w:pStyle w:val="BodyText"/>
      </w:pPr>
      <w:r>
        <w:rPr>
          <w:bCs/>
          <w:b/>
        </w:rPr>
        <w:t xml:space="preserve">Answer.</w:t>
      </w:r>
      <w:r>
        <w:t xml:space="preserve"> </w:t>
      </w:r>
      <w:r>
        <w:t xml:space="preserve">The sender’s gateway forwards the message to a chat service, which assigns a per-conversation sequence number and persists it (source of truth). The service then publishes to the conversation’s topic on a pub/sub backplane (for example, Redis sharded pub/sub); every gateway with at least one local member is subscribed and writes the message to its local sockets. Recipients without a live connection get an APNs/FCM push with a collapse key. Because the backplane is at-most-once, clients track the last sequence number seen and fetch missing ranges over HTTPS on reconnect or gap detection; deduplicate by sequence number. Discuss large-room fan-out (deliver once per gateway, rate limits) and backpressure (bounded per-connection queues).</w:t>
      </w:r>
    </w:p>
    <w:bookmarkEnd w:id="1070"/>
    <w:bookmarkStart w:id="1071" w:name="advanced-8"/>
    <w:p>
      <w:pPr>
        <w:pStyle w:val="Heading3"/>
      </w:pPr>
      <w:r>
        <w:t xml:space="preserve">Advanced</w:t>
      </w:r>
    </w:p>
    <w:p>
      <w:pPr>
        <w:pStyle w:val="FirstParagraph"/>
      </w:pPr>
      <w:r>
        <w:rPr>
          <w:bCs/>
          <w:b/>
        </w:rPr>
        <w:t xml:space="preserve">Q5. Size a gateway fleet for 10 million concurrent connections and explain how you would deploy it without disrupting users.</w:t>
      </w:r>
    </w:p>
    <w:p>
      <w:pPr>
        <w:pStyle w:val="BodyText"/>
      </w:pPr>
      <w:r>
        <w:rPr>
          <w:bCs/>
          <w:b/>
        </w:rPr>
        <w:t xml:space="preserve">Answer.</w:t>
      </w:r>
      <w:r>
        <w:t xml:space="preserve"> </w:t>
      </w:r>
      <w:r>
        <w:t xml:space="preserve">Measure memory per idle TLS WebSocket (assume 40 KB) → 400 GB total. On 64 GB servers with 50 % budgeted, memory allows 800 k per server, but cap at a blast-radius limit such as 500 k. To survive losing one of three zones, each zone needs</w:t>
      </w:r>
      <w:r>
        <w:t xml:space="preserve"> </w:t>
      </w:r>
      <m:oMath>
        <m:r>
          <m:rPr>
            <m:sty m:val="p"/>
          </m:rPr>
          <m:t>⌈</m:t>
        </m:r>
        <m:r>
          <m:t>10</m:t>
        </m:r>
        <m:r>
          <m:rPr>
            <m:nor/>
            <m:sty m:val="p"/>
          </m:rPr>
          <m:t>M</m:t>
        </m:r>
        <m:r>
          <m:rPr>
            <m:sty m:val="p"/>
          </m:rPr>
          <m:t>/</m:t>
        </m:r>
        <m:d>
          <m:dPr>
            <m:begChr m:val="("/>
            <m:endChr m:val=")"/>
            <m:sepChr m:val=""/>
            <m:grow/>
          </m:dPr>
          <m:e>
            <m:r>
              <m:t>2</m:t>
            </m:r>
            <m:r>
              <m:rPr>
                <m:sty m:val="p"/>
              </m:rPr>
              <m:t>×</m:t>
            </m:r>
            <m:r>
              <m:t>500</m:t>
            </m:r>
            <m:r>
              <m:rPr>
                <m:nor/>
                <m:sty m:val="p"/>
              </m:rPr>
              <m:t>k</m:t>
            </m:r>
          </m:e>
        </m:d>
        <m:r>
          <m:rPr>
            <m:sty m:val="p"/>
          </m:rPr>
          <m:t>⌉</m:t>
        </m:r>
        <m:r>
          <m:rPr>
            <m:sty m:val="p"/>
          </m:rPr>
          <m:t>=</m:t>
        </m:r>
        <m:r>
          <m:t>10</m:t>
        </m:r>
      </m:oMath>
      <w:r>
        <w:t xml:space="preserve"> </w:t>
      </w:r>
      <w:r>
        <w:t xml:space="preserve">servers → 30, plus deploy/surge headroom → 36 (≈ 278 k each, ≈ 11 GB). Raise file-descriptor limits to ~1 M. Heartbeats at 25 s → 400 k pings/s fleet-wide. For deploys: keep the gateway thin so it rarely changes; drain one server per zone at a time — remove from the load balancer, close connections gradually over ~5 minutes with code 1012, clients reconnect with full-jitter backoff, then exit; raise</w:t>
      </w:r>
      <w:r>
        <w:t xml:space="preserve"> </w:t>
      </w:r>
      <w:r>
        <w:rPr>
          <w:rStyle w:val="VerbatimChar"/>
        </w:rPr>
        <w:t xml:space="preserve">terminationGracePeriodSeconds</w:t>
      </w:r>
      <w:r>
        <w:t xml:space="preserve"> </w:t>
      </w:r>
      <w:r>
        <w:t xml:space="preserve">accordingly. Protect dependencies with admission control on handshakes and cached token validation.</w:t>
      </w:r>
    </w:p>
    <w:p>
      <w:pPr>
        <w:pStyle w:val="BodyText"/>
      </w:pPr>
      <w:r>
        <w:rPr>
          <w:bCs/>
          <w:b/>
        </w:rPr>
        <w:t xml:space="preserve">Q6. A gateway crash causes a cascading outage of your auth service. What happened and how do you prevent it?</w:t>
      </w:r>
    </w:p>
    <w:p>
      <w:pPr>
        <w:pStyle w:val="BodyText"/>
      </w:pPr>
      <w:r>
        <w:rPr>
          <w:bCs/>
          <w:b/>
        </w:rPr>
        <w:t xml:space="preserve">Answer.</w:t>
      </w:r>
      <w:r>
        <w:t xml:space="preserve"> </w:t>
      </w:r>
      <w:r>
        <w:t xml:space="preserve">A reconnect storm: hundreds of thousands of clients reconnected within a second, each requiring a TLS handshake and a token validation; the auth service saturated, handshakes timed out, clients retried immediately, and the load became self-sustaining — possibly spreading to other gateways and the message store via resync queries. Prevention: client-side exponential backoff with full jitter (spreading</w:t>
      </w:r>
      <w:r>
        <w:t xml:space="preserve"> </w:t>
      </w:r>
      <m:oMath>
        <m:r>
          <m:t>n</m:t>
        </m:r>
      </m:oMath>
      <w:r>
        <w:t xml:space="preserve"> </w:t>
      </w:r>
      <w:r>
        <w:t xml:space="preserve">reconnects over a window</w:t>
      </w:r>
      <w:r>
        <w:t xml:space="preserve"> </w:t>
      </w:r>
      <m:oMath>
        <m:r>
          <m:t>W</m:t>
        </m:r>
      </m:oMath>
      <w:r>
        <w:t xml:space="preserve"> </w:t>
      </w:r>
      <w:r>
        <w:t xml:space="preserve">gives</w:t>
      </w:r>
      <w:r>
        <w:t xml:space="preserve"> </w:t>
      </w:r>
      <m:oMath>
        <m:r>
          <m:t>λ</m:t>
        </m:r>
        <m:r>
          <m:rPr>
            <m:sty m:val="p"/>
          </m:rPr>
          <m:t>≈</m:t>
        </m:r>
        <m:r>
          <m:t>n</m:t>
        </m:r>
        <m:r>
          <m:rPr>
            <m:sty m:val="p"/>
          </m:rPr>
          <m:t>/</m:t>
        </m:r>
        <m:r>
          <m:t>W</m:t>
        </m:r>
      </m:oMath>
      <w:r>
        <w:t xml:space="preserve">); server-side admission control (token bucket on new handshakes, close 1013 with a retry hint); validate signed tokens locally at the gateway instead of calling auth on every connect; resumable sessions so a reconnect costs a small delta fetch; smaller per-gateway connection counts to limit blast radius; load-test failure of a gateway at peak.</w:t>
      </w:r>
    </w:p>
    <w:bookmarkEnd w:id="1071"/>
    <w:bookmarkEnd w:id="1072"/>
    <w:bookmarkStart w:id="1073" w:name="practical-exercises-8"/>
    <w:p>
      <w:pPr>
        <w:pStyle w:val="Heading2"/>
      </w:pPr>
      <w:r>
        <w:t xml:space="preserve">9.14 Practical exercises</w:t>
      </w:r>
    </w:p>
    <w:p>
      <w:pPr>
        <w:pStyle w:val="FirstParagraph"/>
      </w:pPr>
      <w:r>
        <w:rPr>
          <w:bCs/>
          <w:b/>
        </w:rPr>
        <w:t xml:space="preserve">Exercise 9.1 — SSE endpoint with resumption.</w:t>
      </w:r>
      <w:r>
        <w:t xml:space="preserve"> </w:t>
      </w:r>
      <w:r>
        <w:t xml:space="preserve">Run the standard-library SSE server from §9.5. (a) Connect with</w:t>
      </w:r>
      <w:r>
        <w:t xml:space="preserve"> </w:t>
      </w:r>
      <w:r>
        <w:rPr>
          <w:rStyle w:val="VerbatimChar"/>
        </w:rPr>
        <w:t xml:space="preserve">curl -N http://127.0.0.1:8080/events</w:t>
      </w:r>
      <w:r>
        <w:t xml:space="preserve">, disconnect after five events, and reconnect with</w:t>
      </w:r>
      <w:r>
        <w:t xml:space="preserve"> </w:t>
      </w:r>
      <w:r>
        <w:rPr>
          <w:rStyle w:val="VerbatimChar"/>
        </w:rPr>
        <w:t xml:space="preserve">-H "Last-Event-ID: 5"</w:t>
      </w:r>
      <w:r>
        <w:t xml:space="preserve">; confirm no events are lost or duplicated. (b) Write a small HTML page using</w:t>
      </w:r>
      <w:r>
        <w:t xml:space="preserve"> </w:t>
      </w:r>
      <w:r>
        <w:rPr>
          <w:rStyle w:val="VerbatimChar"/>
        </w:rPr>
        <w:t xml:space="preserve">EventSource</w:t>
      </w:r>
      <w:r>
        <w:t xml:space="preserve"> </w:t>
      </w:r>
      <w:r>
        <w:t xml:space="preserve">and watch the browser reconnect automatically when you restart the server. (c) Replace the in-memory</w:t>
      </w:r>
      <w:r>
        <w:t xml:space="preserve"> </w:t>
      </w:r>
      <w:r>
        <w:rPr>
          <w:rStyle w:val="VerbatimChar"/>
        </w:rPr>
        <w:t xml:space="preserve">HISTORY</w:t>
      </w:r>
      <w:r>
        <w:t xml:space="preserve"> </w:t>
      </w:r>
      <w:r>
        <w:t xml:space="preserve">with a Redis Stream (</w:t>
      </w:r>
      <w:r>
        <w:rPr>
          <w:rStyle w:val="VerbatimChar"/>
        </w:rPr>
        <w:t xml:space="preserve">XADD</w:t>
      </w:r>
      <w:r>
        <w:t xml:space="preserve">/</w:t>
      </w:r>
      <w:r>
        <w:rPr>
          <w:rStyle w:val="VerbatimChar"/>
        </w:rPr>
        <w:t xml:space="preserve">XRANGE</w:t>
      </w:r>
      <w:r>
        <w:t xml:space="preserve">) so two server processes behind a proxy can both resume a client. (d) Put NGINX in front with default settings and observe buffering; then fix it with</w:t>
      </w:r>
      <w:r>
        <w:t xml:space="preserve"> </w:t>
      </w:r>
      <w:r>
        <w:rPr>
          <w:rStyle w:val="VerbatimChar"/>
        </w:rPr>
        <w:t xml:space="preserve">proxy_buffering off</w:t>
      </w:r>
      <w:r>
        <w:t xml:space="preserve">.</w:t>
      </w:r>
    </w:p>
    <w:p>
      <w:pPr>
        <w:pStyle w:val="BodyText"/>
      </w:pPr>
      <w:r>
        <w:rPr>
          <w:bCs/>
          <w:b/>
        </w:rPr>
        <w:t xml:space="preserve">Exercise 9.2 — WebSocket chat server with heartbeats and backpressure.</w:t>
      </w:r>
      <w:r>
        <w:t xml:space="preserve"> </w:t>
      </w:r>
      <w:r>
        <w:t xml:space="preserve">The following server uses the</w:t>
      </w:r>
      <w:r>
        <w:t xml:space="preserve"> </w:t>
      </w:r>
      <w:r>
        <w:rPr>
          <w:rStyle w:val="VerbatimChar"/>
        </w:rPr>
        <w:t xml:space="preserve">websockets</w:t>
      </w:r>
      <w:r>
        <w:t xml:space="preserve"> </w:t>
      </w:r>
      <w:r>
        <w:t xml:space="preserve">library (</w:t>
      </w:r>
      <w:r>
        <w:rPr>
          <w:rStyle w:val="VerbatimChar"/>
        </w:rPr>
        <w:t xml:space="preserve">pip install "websockets&gt;=13"</w:t>
      </w:r>
      <w:r>
        <w:t xml:space="preserve">; tested with version 17.3 on Python 3.13). It supports rooms, server Pings every 20 s, a maximum message size, and a bounded outbox per client that disconnects slow consumers with close code 1008.</w:t>
      </w:r>
    </w:p>
    <w:p>
      <w:pPr>
        <w:pStyle w:val="SourceCode"/>
      </w:pPr>
      <w:r>
        <w:rPr>
          <w:rStyle w:val="CommentTok"/>
        </w:rPr>
        <w:t xml:space="preserve">"""Room-based WebSocket chat server with heartbeats and slow-consumer protection."""</w:t>
      </w:r>
      <w:r>
        <w:br/>
      </w:r>
      <w:r>
        <w:rPr>
          <w:rStyle w:val="ImportTok"/>
        </w:rPr>
        <w:t xml:space="preserve">import</w:t>
      </w:r>
      <w:r>
        <w:rPr>
          <w:rStyle w:val="NormalTok"/>
        </w:rPr>
        <w:t xml:space="preserve"> asyncio</w:t>
      </w:r>
      <w:r>
        <w:br/>
      </w:r>
      <w:r>
        <w:rPr>
          <w:rStyle w:val="ImportTok"/>
        </w:rPr>
        <w:t xml:space="preserve">import</w:t>
      </w:r>
      <w:r>
        <w:rPr>
          <w:rStyle w:val="NormalTok"/>
        </w:rPr>
        <w:t xml:space="preserve"> json</w:t>
      </w:r>
      <w:r>
        <w:br/>
      </w:r>
      <w:r>
        <w:br/>
      </w:r>
      <w:r>
        <w:rPr>
          <w:rStyle w:val="ImportTok"/>
        </w:rPr>
        <w:t xml:space="preserve">from</w:t>
      </w:r>
      <w:r>
        <w:rPr>
          <w:rStyle w:val="NormalTok"/>
        </w:rPr>
        <w:t xml:space="preserve"> websockets.asyncio.server </w:t>
      </w:r>
      <w:r>
        <w:rPr>
          <w:rStyle w:val="ImportTok"/>
        </w:rPr>
        <w:t xml:space="preserve">import</w:t>
      </w:r>
      <w:r>
        <w:rPr>
          <w:rStyle w:val="NormalTok"/>
        </w:rPr>
        <w:t xml:space="preserve"> serve, ServerConnection</w:t>
      </w:r>
      <w:r>
        <w:br/>
      </w:r>
      <w:r>
        <w:rPr>
          <w:rStyle w:val="ImportTok"/>
        </w:rPr>
        <w:t xml:space="preserve">from</w:t>
      </w:r>
      <w:r>
        <w:rPr>
          <w:rStyle w:val="NormalTok"/>
        </w:rPr>
        <w:t xml:space="preserve"> websockets.exceptions </w:t>
      </w:r>
      <w:r>
        <w:rPr>
          <w:rStyle w:val="ImportTok"/>
        </w:rPr>
        <w:t xml:space="preserve">import</w:t>
      </w:r>
      <w:r>
        <w:rPr>
          <w:rStyle w:val="NormalTok"/>
        </w:rPr>
        <w:t xml:space="preserve"> ConnectionClosed</w:t>
      </w:r>
      <w:r>
        <w:br/>
      </w:r>
      <w:r>
        <w:br/>
      </w:r>
      <w:r>
        <w:rPr>
          <w:rStyle w:val="NormalTok"/>
        </w:rPr>
        <w:t xml:space="preserve">OUTBOX_LIMIT </w:t>
      </w:r>
      <w:r>
        <w:rPr>
          <w:rStyle w:val="OperatorTok"/>
        </w:rPr>
        <w:t xml:space="preserve">=</w:t>
      </w:r>
      <w:r>
        <w:rPr>
          <w:rStyle w:val="NormalTok"/>
        </w:rPr>
        <w:t xml:space="preserve"> </w:t>
      </w:r>
      <w:r>
        <w:rPr>
          <w:rStyle w:val="DecValTok"/>
        </w:rPr>
        <w:t xml:space="preserve">100</w:t>
      </w:r>
      <w:r>
        <w:rPr>
          <w:rStyle w:val="NormalTok"/>
        </w:rPr>
        <w:t xml:space="preserve">                         </w:t>
      </w:r>
      <w:r>
        <w:rPr>
          <w:rStyle w:val="CommentTok"/>
        </w:rPr>
        <w:t xml:space="preserve"># max queued messages per client</w:t>
      </w:r>
      <w:r>
        <w:br/>
      </w:r>
      <w:r>
        <w:rPr>
          <w:rStyle w:val="NormalTok"/>
        </w:rPr>
        <w:t xml:space="preserve">rooms: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set</w:t>
      </w:r>
      <w:r>
        <w:rPr>
          <w:rStyle w:val="NormalTok"/>
        </w:rPr>
        <w:t xml:space="preserve">[</w:t>
      </w:r>
      <w:r>
        <w:rPr>
          <w:rStyle w:val="StringTok"/>
        </w:rPr>
        <w:t xml:space="preserve">"Client"</w:t>
      </w:r>
      <w:r>
        <w:rPr>
          <w:rStyle w:val="NormalTok"/>
        </w:rPr>
        <w:t xml:space="preserve">]] </w:t>
      </w:r>
      <w:r>
        <w:rPr>
          <w:rStyle w:val="OperatorTok"/>
        </w:rPr>
        <w:t xml:space="preserve">=</w:t>
      </w:r>
      <w:r>
        <w:rPr>
          <w:rStyle w:val="NormalTok"/>
        </w:rPr>
        <w:t xml:space="preserve"> {}</w:t>
      </w:r>
      <w:r>
        <w:br/>
      </w:r>
      <w:r>
        <w:br/>
      </w:r>
      <w:r>
        <w:rPr>
          <w:rStyle w:val="KeywordTok"/>
        </w:rPr>
        <w:t xml:space="preserve">class</w:t>
      </w:r>
      <w:r>
        <w:rPr>
          <w:rStyle w:val="NormalTok"/>
        </w:rPr>
        <w:t xml:space="preserve"> Client: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ws: ServerConnection, room: </w:t>
      </w:r>
      <w:r>
        <w:rPr>
          <w:rStyle w:val="BuiltInTok"/>
        </w:rPr>
        <w:t xml:space="preserve">str</w:t>
      </w:r>
      <w:r>
        <w:rPr>
          <w:rStyle w:val="NormalTok"/>
        </w:rPr>
        <w:t xml:space="preserve">, name: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.ws, </w:t>
      </w:r>
      <w:r>
        <w:rPr>
          <w:rStyle w:val="VariableTok"/>
        </w:rPr>
        <w:t xml:space="preserve">self</w:t>
      </w:r>
      <w:r>
        <w:rPr>
          <w:rStyle w:val="NormalTok"/>
        </w:rPr>
        <w:t xml:space="preserve">.room, </w:t>
      </w:r>
      <w:r>
        <w:rPr>
          <w:rStyle w:val="VariableTok"/>
        </w:rPr>
        <w:t xml:space="preserve">self</w:t>
      </w:r>
      <w:r>
        <w:rPr>
          <w:rStyle w:val="NormalTok"/>
        </w:rPr>
        <w:t xml:space="preserve">.name </w:t>
      </w:r>
      <w:r>
        <w:rPr>
          <w:rStyle w:val="OperatorTok"/>
        </w:rPr>
        <w:t xml:space="preserve">=</w:t>
      </w:r>
      <w:r>
        <w:rPr>
          <w:rStyle w:val="NormalTok"/>
        </w:rPr>
        <w:t xml:space="preserve"> ws, room, name</w:t>
      </w:r>
      <w:r>
        <w:br/>
      </w:r>
      <w:r>
        <w:rPr>
          <w:rStyle w:val="NormalTok"/>
        </w:rPr>
        <w:t xml:space="preserve">        </w:t>
      </w:r>
      <w:r>
        <w:rPr>
          <w:rStyle w:val="VariableTok"/>
        </w:rPr>
        <w:t xml:space="preserve">self</w:t>
      </w:r>
      <w:r>
        <w:rPr>
          <w:rStyle w:val="NormalTok"/>
        </w:rPr>
        <w:t xml:space="preserve">.outbox: asyncio.Queue[</w:t>
      </w:r>
      <w:r>
        <w:rPr>
          <w:rStyle w:val="BuiltInTok"/>
        </w:rPr>
        <w:t xml:space="preserve">str</w:t>
      </w:r>
      <w:r>
        <w:rPr>
          <w:rStyle w:val="NormalTok"/>
        </w:rPr>
        <w:t xml:space="preserve">] </w:t>
      </w:r>
      <w:r>
        <w:rPr>
          <w:rStyle w:val="OperatorTok"/>
        </w:rPr>
        <w:t xml:space="preserve">=</w:t>
      </w:r>
      <w:r>
        <w:rPr>
          <w:rStyle w:val="NormalTok"/>
        </w:rPr>
        <w:t xml:space="preserve"> asyncio.Queue(maxsize</w:t>
      </w:r>
      <w:r>
        <w:rPr>
          <w:rStyle w:val="OperatorTok"/>
        </w:rPr>
        <w:t xml:space="preserve">=</w:t>
      </w:r>
      <w:r>
        <w:rPr>
          <w:rStyle w:val="NormalTok"/>
        </w:rPr>
        <w:t xml:space="preserve">OUTBOX_LIMIT)</w:t>
      </w:r>
      <w:r>
        <w:br/>
      </w:r>
      <w:r>
        <w:br/>
      </w:r>
      <w:r>
        <w:rPr>
          <w:rStyle w:val="NormalTok"/>
        </w:rPr>
        <w:t xml:space="preserve">    </w:t>
      </w:r>
      <w:r>
        <w:rPr>
          <w:rStyle w:val="KeywordTok"/>
        </w:rPr>
        <w:t xml:space="preserve">def</w:t>
      </w:r>
      <w:r>
        <w:rPr>
          <w:rStyle w:val="NormalTok"/>
        </w:rPr>
        <w:t xml:space="preserve"> offer(</w:t>
      </w:r>
      <w:r>
        <w:rPr>
          <w:rStyle w:val="VariableTok"/>
        </w:rPr>
        <w:t xml:space="preserve">self</w:t>
      </w:r>
      <w:r>
        <w:rPr>
          <w:rStyle w:val="NormalTok"/>
        </w:rPr>
        <w:t xml:space="preserve">, message: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"""Non-blocking enqueue; a full outbox means a slow consumer."""</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VariableTok"/>
        </w:rPr>
        <w:t xml:space="preserve">self</w:t>
      </w:r>
      <w:r>
        <w:rPr>
          <w:rStyle w:val="NormalTok"/>
        </w:rPr>
        <w:t xml:space="preserve">.outbox.put_nowait(message)</w:t>
      </w:r>
      <w:r>
        <w:br/>
      </w:r>
      <w:r>
        <w:rPr>
          <w:rStyle w:val="NormalTok"/>
        </w:rPr>
        <w:t xml:space="preserve">        </w:t>
      </w:r>
      <w:r>
        <w:rPr>
          <w:rStyle w:val="ControlFlowTok"/>
        </w:rPr>
        <w:t xml:space="preserve">except</w:t>
      </w:r>
      <w:r>
        <w:rPr>
          <w:rStyle w:val="NormalTok"/>
        </w:rPr>
        <w:t xml:space="preserve"> asyncio.QueueFull:</w:t>
      </w:r>
      <w:r>
        <w:br/>
      </w:r>
      <w:r>
        <w:rPr>
          <w:rStyle w:val="NormalTok"/>
        </w:rPr>
        <w:t xml:space="preserve">            </w:t>
      </w:r>
      <w:r>
        <w:rPr>
          <w:rStyle w:val="CommentTok"/>
        </w:rPr>
        <w:t xml:space="preserve"># Policy: disconnect slow consumers rather than buffer without limit.</w:t>
      </w:r>
      <w:r>
        <w:br/>
      </w:r>
      <w:r>
        <w:rPr>
          <w:rStyle w:val="NormalTok"/>
        </w:rPr>
        <w:t xml:space="preserve">            asyncio.ensure_future(</w:t>
      </w:r>
      <w:r>
        <w:rPr>
          <w:rStyle w:val="VariableTok"/>
        </w:rPr>
        <w:t xml:space="preserve">self</w:t>
      </w:r>
      <w:r>
        <w:rPr>
          <w:rStyle w:val="NormalTok"/>
        </w:rPr>
        <w:t xml:space="preserve">.ws.close(code</w:t>
      </w:r>
      <w:r>
        <w:rPr>
          <w:rStyle w:val="OperatorTok"/>
        </w:rPr>
        <w:t xml:space="preserve">=</w:t>
      </w:r>
      <w:r>
        <w:rPr>
          <w:rStyle w:val="DecValTok"/>
        </w:rPr>
        <w:t xml:space="preserve">1008</w:t>
      </w:r>
      <w:r>
        <w:rPr>
          <w:rStyle w:val="NormalTok"/>
        </w:rPr>
        <w:t xml:space="preserve">, reason</w:t>
      </w:r>
      <w:r>
        <w:rPr>
          <w:rStyle w:val="OperatorTok"/>
        </w:rPr>
        <w:t xml:space="preserve">=</w:t>
      </w:r>
      <w:r>
        <w:rPr>
          <w:rStyle w:val="StringTok"/>
        </w:rPr>
        <w:t xml:space="preserve">"slow consumer"</w:t>
      </w:r>
      <w:r>
        <w:rPr>
          <w:rStyle w:val="NormalTok"/>
        </w:rPr>
        <w:t xml:space="preserv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writer(</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message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.outbox.get()</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.ws.send(message)    </w:t>
      </w:r>
      <w:r>
        <w:rPr>
          <w:rStyle w:val="CommentTok"/>
        </w:rPr>
        <w:t xml:space="preserve"># awaits if the TCP send buffer is full</w:t>
      </w:r>
      <w:r>
        <w:br/>
      </w:r>
      <w:r>
        <w:br/>
      </w:r>
      <w:r>
        <w:rPr>
          <w:rStyle w:val="KeywordTok"/>
        </w:rPr>
        <w:t xml:space="preserve">def</w:t>
      </w:r>
      <w:r>
        <w:rPr>
          <w:rStyle w:val="NormalTok"/>
        </w:rPr>
        <w:t xml:space="preserve"> publish(room: </w:t>
      </w:r>
      <w:r>
        <w:rPr>
          <w:rStyle w:val="BuiltInTok"/>
        </w:rPr>
        <w:t xml:space="preserve">str</w:t>
      </w:r>
      <w:r>
        <w:rPr>
          <w:rStyle w:val="NormalTok"/>
        </w:rPr>
        <w:t xml:space="preserve">, sender: </w:t>
      </w:r>
      <w:r>
        <w:rPr>
          <w:rStyle w:val="BuiltInTok"/>
        </w:rPr>
        <w:t xml:space="preserve">str</w:t>
      </w:r>
      <w:r>
        <w:rPr>
          <w:rStyle w:val="NormalTok"/>
        </w:rPr>
        <w:t xml:space="preserve">, 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message </w:t>
      </w:r>
      <w:r>
        <w:rPr>
          <w:rStyle w:val="OperatorTok"/>
        </w:rPr>
        <w:t xml:space="preserve">=</w:t>
      </w:r>
      <w:r>
        <w:rPr>
          <w:rStyle w:val="NormalTok"/>
        </w:rPr>
        <w:t xml:space="preserve"> json.dumps({</w:t>
      </w:r>
      <w:r>
        <w:rPr>
          <w:rStyle w:val="StringTok"/>
        </w:rPr>
        <w:t xml:space="preserve">"room"</w:t>
      </w:r>
      <w:r>
        <w:rPr>
          <w:rStyle w:val="NormalTok"/>
        </w:rPr>
        <w:t xml:space="preserve">: room, </w:t>
      </w:r>
      <w:r>
        <w:rPr>
          <w:rStyle w:val="StringTok"/>
        </w:rPr>
        <w:t xml:space="preserve">"from"</w:t>
      </w:r>
      <w:r>
        <w:rPr>
          <w:rStyle w:val="NormalTok"/>
        </w:rPr>
        <w:t xml:space="preserve">: sender, </w:t>
      </w:r>
      <w:r>
        <w:rPr>
          <w:rStyle w:val="StringTok"/>
        </w:rPr>
        <w:t xml:space="preserve">"text"</w:t>
      </w:r>
      <w:r>
        <w:rPr>
          <w:rStyle w:val="NormalTok"/>
        </w:rPr>
        <w:t xml:space="preserve">: text})</w:t>
      </w:r>
      <w:r>
        <w:br/>
      </w:r>
      <w:r>
        <w:rPr>
          <w:rStyle w:val="NormalTok"/>
        </w:rPr>
        <w:t xml:space="preserve">    </w:t>
      </w:r>
      <w:r>
        <w:rPr>
          <w:rStyle w:val="ControlFlowTok"/>
        </w:rPr>
        <w:t xml:space="preserve">for</w:t>
      </w:r>
      <w:r>
        <w:rPr>
          <w:rStyle w:val="NormalTok"/>
        </w:rPr>
        <w:t xml:space="preserve"> client </w:t>
      </w:r>
      <w:r>
        <w:rPr>
          <w:rStyle w:val="KeywordTok"/>
        </w:rPr>
        <w:t xml:space="preserve">in</w:t>
      </w:r>
      <w:r>
        <w:rPr>
          <w:rStyle w:val="NormalTok"/>
        </w:rPr>
        <w:t xml:space="preserve"> </w:t>
      </w:r>
      <w:r>
        <w:rPr>
          <w:rStyle w:val="BuiltInTok"/>
        </w:rPr>
        <w:t xml:space="preserve">list</w:t>
      </w:r>
      <w:r>
        <w:rPr>
          <w:rStyle w:val="NormalTok"/>
        </w:rPr>
        <w:t xml:space="preserve">(rooms.get(room, ())):</w:t>
      </w:r>
      <w:r>
        <w:br/>
      </w:r>
      <w:r>
        <w:rPr>
          <w:rStyle w:val="NormalTok"/>
        </w:rPr>
        <w:t xml:space="preserve">        client.offer(message)</w:t>
      </w:r>
      <w:r>
        <w:br/>
      </w:r>
      <w:r>
        <w:br/>
      </w:r>
      <w:r>
        <w:rPr>
          <w:rStyle w:val="ControlFlowTok"/>
        </w:rPr>
        <w:t xml:space="preserve">async</w:t>
      </w:r>
      <w:r>
        <w:rPr>
          <w:rStyle w:val="NormalTok"/>
        </w:rPr>
        <w:t xml:space="preserve"> </w:t>
      </w:r>
      <w:r>
        <w:rPr>
          <w:rStyle w:val="KeywordTok"/>
        </w:rPr>
        <w:t xml:space="preserve">def</w:t>
      </w:r>
      <w:r>
        <w:rPr>
          <w:rStyle w:val="NormalTok"/>
        </w:rPr>
        <w:t xml:space="preserve"> handler(ws: ServerConnection)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 First message must be a join: {"room": "...", "name": "..."}</w:t>
      </w:r>
      <w:r>
        <w:br/>
      </w:r>
      <w:r>
        <w:rPr>
          <w:rStyle w:val="NormalTok"/>
        </w:rPr>
        <w:t xml:space="preserve">    </w:t>
      </w:r>
      <w:r>
        <w:rPr>
          <w:rStyle w:val="ControlFlowTok"/>
        </w:rPr>
        <w:t xml:space="preserve">try</w:t>
      </w:r>
      <w:r>
        <w:rPr>
          <w:rStyle w:val="NormalTok"/>
        </w:rPr>
        <w:t xml:space="preserve">:</w:t>
      </w:r>
      <w:r>
        <w:br/>
      </w:r>
      <w:r>
        <w:rPr>
          <w:rStyle w:val="NormalTok"/>
        </w:rPr>
        <w:t xml:space="preserve">        hello </w:t>
      </w:r>
      <w:r>
        <w:rPr>
          <w:rStyle w:val="OperatorTok"/>
        </w:rPr>
        <w:t xml:space="preserve">=</w:t>
      </w:r>
      <w:r>
        <w:rPr>
          <w:rStyle w:val="NormalTok"/>
        </w:rPr>
        <w:t xml:space="preserve"> json.loads(</w:t>
      </w:r>
      <w:r>
        <w:rPr>
          <w:rStyle w:val="ControlFlowTok"/>
        </w:rPr>
        <w:t xml:space="preserve">await</w:t>
      </w:r>
      <w:r>
        <w:rPr>
          <w:rStyle w:val="NormalTok"/>
        </w:rPr>
        <w:t xml:space="preserve"> asyncio.wait_for(ws.recv(), timeout</w:t>
      </w:r>
      <w:r>
        <w:rPr>
          <w:rStyle w:val="OperatorTok"/>
        </w:rPr>
        <w:t xml:space="preserve">=</w:t>
      </w:r>
      <w:r>
        <w:rPr>
          <w:rStyle w:val="DecValTok"/>
        </w:rPr>
        <w:t xml:space="preserve">10</w:t>
      </w:r>
      <w:r>
        <w:rPr>
          <w:rStyle w:val="NormalTok"/>
        </w:rPr>
        <w:t xml:space="preserve">))</w:t>
      </w:r>
      <w:r>
        <w:br/>
      </w:r>
      <w:r>
        <w:rPr>
          <w:rStyle w:val="NormalTok"/>
        </w:rPr>
        <w:t xml:space="preserve">        room, name </w:t>
      </w:r>
      <w:r>
        <w:rPr>
          <w:rStyle w:val="OperatorTok"/>
        </w:rPr>
        <w:t xml:space="preserve">=</w:t>
      </w:r>
      <w:r>
        <w:rPr>
          <w:rStyle w:val="NormalTok"/>
        </w:rPr>
        <w:t xml:space="preserve"> </w:t>
      </w:r>
      <w:r>
        <w:rPr>
          <w:rStyle w:val="BuiltInTok"/>
        </w:rPr>
        <w:t xml:space="preserve">str</w:t>
      </w:r>
      <w:r>
        <w:rPr>
          <w:rStyle w:val="NormalTok"/>
        </w:rPr>
        <w:t xml:space="preserve">(hello[</w:t>
      </w:r>
      <w:r>
        <w:rPr>
          <w:rStyle w:val="StringTok"/>
        </w:rPr>
        <w:t xml:space="preserve">"room"</w:t>
      </w:r>
      <w:r>
        <w:rPr>
          <w:rStyle w:val="NormalTok"/>
        </w:rPr>
        <w:t xml:space="preserve">]), </w:t>
      </w:r>
      <w:r>
        <w:rPr>
          <w:rStyle w:val="BuiltInTok"/>
        </w:rPr>
        <w:t xml:space="preserve">str</w:t>
      </w:r>
      <w:r>
        <w:rPr>
          <w:rStyle w:val="NormalTok"/>
        </w:rPr>
        <w:t xml:space="preserve">(hello[</w:t>
      </w:r>
      <w:r>
        <w:rPr>
          <w:rStyle w:val="StringTok"/>
        </w:rPr>
        <w:t xml:space="preserve">"name"</w:t>
      </w:r>
      <w:r>
        <w:rPr>
          <w:rStyle w:val="NormalTok"/>
        </w:rPr>
        <w:t xml:space="preserve">])</w:t>
      </w:r>
      <w:r>
        <w:br/>
      </w:r>
      <w:r>
        <w:rPr>
          <w:rStyle w:val="NormalTok"/>
        </w:rPr>
        <w:t xml:space="preserve">    </w:t>
      </w:r>
      <w:r>
        <w:rPr>
          <w:rStyle w:val="ControlFlowTok"/>
        </w:rPr>
        <w:t xml:space="preserve">except</w:t>
      </w:r>
      <w:r>
        <w:rPr>
          <w:rStyle w:val="NormalTok"/>
        </w:rPr>
        <w:t xml:space="preserve"> (asyncio.</w:t>
      </w:r>
      <w:r>
        <w:rPr>
          <w:rStyle w:val="PreprocessorTok"/>
        </w:rPr>
        <w:t xml:space="preserve">TimeoutError</w:t>
      </w:r>
      <w:r>
        <w:rPr>
          <w:rStyle w:val="NormalTok"/>
        </w:rPr>
        <w:t xml:space="preserve">, </w:t>
      </w:r>
      <w:r>
        <w:rPr>
          <w:rStyle w:val="PreprocessorTok"/>
        </w:rPr>
        <w:t xml:space="preserve">ValueError</w:t>
      </w:r>
      <w:r>
        <w:rPr>
          <w:rStyle w:val="NormalTok"/>
        </w:rPr>
        <w:t xml:space="preserve">, </w:t>
      </w:r>
      <w:r>
        <w:rPr>
          <w:rStyle w:val="PreprocessorTok"/>
        </w:rPr>
        <w:t xml:space="preserve">KeyError</w:t>
      </w:r>
      <w:r>
        <w:rPr>
          <w:rStyle w:val="NormalTok"/>
        </w:rPr>
        <w:t xml:space="preserve">, </w:t>
      </w:r>
      <w:r>
        <w:rPr>
          <w:rStyle w:val="PreprocessorTok"/>
        </w:rPr>
        <w:t xml:space="preserve">TypeError</w:t>
      </w:r>
      <w:r>
        <w:rPr>
          <w:rStyle w:val="NormalTok"/>
        </w:rPr>
        <w:t xml:space="preserve">):</w:t>
      </w:r>
      <w:r>
        <w:br/>
      </w:r>
      <w:r>
        <w:rPr>
          <w:rStyle w:val="NormalTok"/>
        </w:rPr>
        <w:t xml:space="preserve">        </w:t>
      </w:r>
      <w:r>
        <w:rPr>
          <w:rStyle w:val="ControlFlowTok"/>
        </w:rPr>
        <w:t xml:space="preserve">await</w:t>
      </w:r>
      <w:r>
        <w:rPr>
          <w:rStyle w:val="NormalTok"/>
        </w:rPr>
        <w:t xml:space="preserve"> ws.close(code</w:t>
      </w:r>
      <w:r>
        <w:rPr>
          <w:rStyle w:val="OperatorTok"/>
        </w:rPr>
        <w:t xml:space="preserve">=</w:t>
      </w:r>
      <w:r>
        <w:rPr>
          <w:rStyle w:val="DecValTok"/>
        </w:rPr>
        <w:t xml:space="preserve">1008</w:t>
      </w:r>
      <w:r>
        <w:rPr>
          <w:rStyle w:val="NormalTok"/>
        </w:rPr>
        <w:t xml:space="preserve">, reason</w:t>
      </w:r>
      <w:r>
        <w:rPr>
          <w:rStyle w:val="OperatorTok"/>
        </w:rPr>
        <w:t xml:space="preserve">=</w:t>
      </w:r>
      <w:r>
        <w:rPr>
          <w:rStyle w:val="StringTok"/>
        </w:rPr>
        <w:t xml:space="preserve">"expected join message"</w:t>
      </w:r>
      <w:r>
        <w:rPr>
          <w:rStyle w:val="NormalTok"/>
        </w:rPr>
        <w:t xml:space="preserve">)</w:t>
      </w:r>
      <w:r>
        <w:br/>
      </w:r>
      <w:r>
        <w:rPr>
          <w:rStyle w:val="NormalTok"/>
        </w:rPr>
        <w:t xml:space="preserve">        </w:t>
      </w:r>
      <w:r>
        <w:rPr>
          <w:rStyle w:val="ControlFlowTok"/>
        </w:rPr>
        <w:t xml:space="preserve">return</w:t>
      </w:r>
      <w:r>
        <w:br/>
      </w:r>
      <w:r>
        <w:br/>
      </w:r>
      <w:r>
        <w:rPr>
          <w:rStyle w:val="NormalTok"/>
        </w:rPr>
        <w:t xml:space="preserve">    client </w:t>
      </w:r>
      <w:r>
        <w:rPr>
          <w:rStyle w:val="OperatorTok"/>
        </w:rPr>
        <w:t xml:space="preserve">=</w:t>
      </w:r>
      <w:r>
        <w:rPr>
          <w:rStyle w:val="NormalTok"/>
        </w:rPr>
        <w:t xml:space="preserve"> Client(ws, room, name)</w:t>
      </w:r>
      <w:r>
        <w:br/>
      </w:r>
      <w:r>
        <w:rPr>
          <w:rStyle w:val="NormalTok"/>
        </w:rPr>
        <w:t xml:space="preserve">    rooms.setdefault(room, </w:t>
      </w:r>
      <w:r>
        <w:rPr>
          <w:rStyle w:val="BuiltInTok"/>
        </w:rPr>
        <w:t xml:space="preserve">set</w:t>
      </w:r>
      <w:r>
        <w:rPr>
          <w:rStyle w:val="NormalTok"/>
        </w:rPr>
        <w:t xml:space="preserve">()).add(client)</w:t>
      </w:r>
      <w:r>
        <w:br/>
      </w:r>
      <w:r>
        <w:rPr>
          <w:rStyle w:val="NormalTok"/>
        </w:rPr>
        <w:t xml:space="preserve">    writer_task </w:t>
      </w:r>
      <w:r>
        <w:rPr>
          <w:rStyle w:val="OperatorTok"/>
        </w:rPr>
        <w:t xml:space="preserve">=</w:t>
      </w:r>
      <w:r>
        <w:rPr>
          <w:rStyle w:val="NormalTok"/>
        </w:rPr>
        <w:t xml:space="preserve"> asyncio.create_task(client.writer())</w:t>
      </w:r>
      <w:r>
        <w:br/>
      </w:r>
      <w:r>
        <w:rPr>
          <w:rStyle w:val="NormalTok"/>
        </w:rPr>
        <w:t xml:space="preserve">    publish(room, </w:t>
      </w:r>
      <w:r>
        <w:rPr>
          <w:rStyle w:val="StringTok"/>
        </w:rPr>
        <w:t xml:space="preserve">"system"</w:t>
      </w:r>
      <w:r>
        <w:rPr>
          <w:rStyle w:val="NormalTok"/>
        </w:rPr>
        <w:t xml:space="preserve">, </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joined"</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for</w:t>
      </w:r>
      <w:r>
        <w:rPr>
          <w:rStyle w:val="NormalTok"/>
        </w:rPr>
        <w:t xml:space="preserve"> raw </w:t>
      </w:r>
      <w:r>
        <w:rPr>
          <w:rStyle w:val="KeywordTok"/>
        </w:rPr>
        <w:t xml:space="preserve">in</w:t>
      </w:r>
      <w:r>
        <w:rPr>
          <w:rStyle w:val="NormalTok"/>
        </w:rPr>
        <w:t xml:space="preserve"> ws:                       </w:t>
      </w:r>
      <w:r>
        <w:rPr>
          <w:rStyle w:val="CommentTok"/>
        </w:rPr>
        <w:t xml:space="preserve"># reader loop</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(raw, </w:t>
      </w:r>
      <w:r>
        <w:rPr>
          <w:rStyle w:val="BuiltInTok"/>
        </w:rPr>
        <w:t xml:space="preserve">str</w:t>
      </w:r>
      <w:r>
        <w:rPr>
          <w:rStyle w:val="NormalTok"/>
        </w:rPr>
        <w:t xml:space="preserve">) </w:t>
      </w:r>
      <w:r>
        <w:rPr>
          <w:rStyle w:val="KeywordTok"/>
        </w:rPr>
        <w:t xml:space="preserve">and</w:t>
      </w:r>
      <w:r>
        <w:rPr>
          <w:rStyle w:val="NormalTok"/>
        </w:rPr>
        <w:t xml:space="preserve"> </w:t>
      </w:r>
      <w:r>
        <w:rPr>
          <w:rStyle w:val="BuiltInTok"/>
        </w:rPr>
        <w:t xml:space="preserve">len</w:t>
      </w:r>
      <w:r>
        <w:rPr>
          <w:rStyle w:val="NormalTok"/>
        </w:rPr>
        <w:t xml:space="preserve">(raw) </w:t>
      </w:r>
      <w:r>
        <w:rPr>
          <w:rStyle w:val="OperatorTok"/>
        </w:rPr>
        <w:t xml:space="preserve">&lt;=</w:t>
      </w:r>
      <w:r>
        <w:rPr>
          <w:rStyle w:val="NormalTok"/>
        </w:rPr>
        <w:t xml:space="preserve"> </w:t>
      </w:r>
      <w:r>
        <w:rPr>
          <w:rStyle w:val="DecValTok"/>
        </w:rPr>
        <w:t xml:space="preserve">4096</w:t>
      </w:r>
      <w:r>
        <w:rPr>
          <w:rStyle w:val="NormalTok"/>
        </w:rPr>
        <w:t xml:space="preserve">:</w:t>
      </w:r>
      <w:r>
        <w:br/>
      </w:r>
      <w:r>
        <w:rPr>
          <w:rStyle w:val="NormalTok"/>
        </w:rPr>
        <w:t xml:space="preserve">                publish(room, name, raw)</w:t>
      </w:r>
      <w:r>
        <w:br/>
      </w:r>
      <w:r>
        <w:rPr>
          <w:rStyle w:val="NormalTok"/>
        </w:rPr>
        <w:t xml:space="preserve">    </w:t>
      </w:r>
      <w:r>
        <w:rPr>
          <w:rStyle w:val="ControlFlowTok"/>
        </w:rPr>
        <w:t xml:space="preserve">except</w:t>
      </w:r>
      <w:r>
        <w:rPr>
          <w:rStyle w:val="NormalTok"/>
        </w:rPr>
        <w:t xml:space="preserve"> ConnectionClosed:</w:t>
      </w:r>
      <w:r>
        <w:br/>
      </w:r>
      <w:r>
        <w:rPr>
          <w:rStyle w:val="NormalTok"/>
        </w:rPr>
        <w:t xml:space="preserve">        </w:t>
      </w:r>
      <w:r>
        <w:rPr>
          <w:rStyle w:val="ControlFlowTok"/>
        </w:rPr>
        <w:t xml:space="preserve">pass</w:t>
      </w:r>
      <w:r>
        <w:br/>
      </w:r>
      <w:r>
        <w:rPr>
          <w:rStyle w:val="NormalTok"/>
        </w:rPr>
        <w:t xml:space="preserve">    </w:t>
      </w:r>
      <w:r>
        <w:rPr>
          <w:rStyle w:val="ControlFlowTok"/>
        </w:rPr>
        <w:t xml:space="preserve">finally</w:t>
      </w:r>
      <w:r>
        <w:rPr>
          <w:rStyle w:val="NormalTok"/>
        </w:rPr>
        <w:t xml:space="preserve">:</w:t>
      </w:r>
      <w:r>
        <w:br/>
      </w:r>
      <w:r>
        <w:rPr>
          <w:rStyle w:val="NormalTok"/>
        </w:rPr>
        <w:t xml:space="preserve">        writer_task.cancel()</w:t>
      </w:r>
      <w:r>
        <w:br/>
      </w:r>
      <w:r>
        <w:rPr>
          <w:rStyle w:val="NormalTok"/>
        </w:rPr>
        <w:t xml:space="preserve">        rooms[room].discard(client)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rooms[room]:</w:t>
      </w:r>
      <w:r>
        <w:br/>
      </w:r>
      <w:r>
        <w:rPr>
          <w:rStyle w:val="NormalTok"/>
        </w:rPr>
        <w:t xml:space="preserve">            </w:t>
      </w:r>
      <w:r>
        <w:rPr>
          <w:rStyle w:val="KeywordTok"/>
        </w:rPr>
        <w:t xml:space="preserve">del</w:t>
      </w:r>
      <w:r>
        <w:rPr>
          <w:rStyle w:val="NormalTok"/>
        </w:rPr>
        <w:t xml:space="preserve"> rooms[room]</w:t>
      </w:r>
      <w:r>
        <w:br/>
      </w:r>
      <w:r>
        <w:rPr>
          <w:rStyle w:val="NormalTok"/>
        </w:rPr>
        <w:t xml:space="preserve">        publish(room, </w:t>
      </w:r>
      <w:r>
        <w:rPr>
          <w:rStyle w:val="StringTok"/>
        </w:rPr>
        <w:t xml:space="preserve">"system"</w:t>
      </w:r>
      <w:r>
        <w:rPr>
          <w:rStyle w:val="NormalTok"/>
        </w:rPr>
        <w:t xml:space="preserve">, </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left"</w:t>
      </w:r>
      <w:r>
        <w:rPr>
          <w:rStyle w:val="NormalTok"/>
        </w:rPr>
        <w:t xml:space="preserve">)</w:t>
      </w:r>
      <w:r>
        <w:br/>
      </w:r>
      <w:r>
        <w:br/>
      </w:r>
      <w:r>
        <w:rPr>
          <w:rStyle w:val="ControlFlowTok"/>
        </w:rPr>
        <w:t xml:space="preserve">async</w:t>
      </w:r>
      <w:r>
        <w:rPr>
          <w:rStyle w:val="NormalTok"/>
        </w:rPr>
        <w:t xml:space="preserve"> </w:t>
      </w:r>
      <w:r>
        <w:rPr>
          <w:rStyle w:val="KeywordTok"/>
        </w:rPr>
        <w:t xml:space="preserve">def</w:t>
      </w:r>
      <w:r>
        <w:rPr>
          <w:rStyle w:val="NormalTok"/>
        </w:rPr>
        <w:t xml:space="preserve"> main()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 Ping every 20 s; close if no Pong within 20 s (detects dead TCP peers).</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serve(handler, </w:t>
      </w:r>
      <w:r>
        <w:rPr>
          <w:rStyle w:val="StringTok"/>
        </w:rPr>
        <w:t xml:space="preserve">"127.0.0.1"</w:t>
      </w:r>
      <w:r>
        <w:rPr>
          <w:rStyle w:val="NormalTok"/>
        </w:rPr>
        <w:t xml:space="preserve">, </w:t>
      </w:r>
      <w:r>
        <w:rPr>
          <w:rStyle w:val="DecValTok"/>
        </w:rPr>
        <w:t xml:space="preserve">8765</w:t>
      </w:r>
      <w:r>
        <w:rPr>
          <w:rStyle w:val="NormalTok"/>
        </w:rPr>
        <w:t xml:space="preserve">,</w:t>
      </w:r>
      <w:r>
        <w:br/>
      </w:r>
      <w:r>
        <w:rPr>
          <w:rStyle w:val="NormalTok"/>
        </w:rPr>
        <w:t xml:space="preserve">                     ping_interval</w:t>
      </w:r>
      <w:r>
        <w:rPr>
          <w:rStyle w:val="OperatorTok"/>
        </w:rPr>
        <w:t xml:space="preserve">=</w:t>
      </w:r>
      <w:r>
        <w:rPr>
          <w:rStyle w:val="DecValTok"/>
        </w:rPr>
        <w:t xml:space="preserve">20</w:t>
      </w:r>
      <w:r>
        <w:rPr>
          <w:rStyle w:val="NormalTok"/>
        </w:rPr>
        <w:t xml:space="preserve">, ping_timeout</w:t>
      </w:r>
      <w:r>
        <w:rPr>
          <w:rStyle w:val="OperatorTok"/>
        </w:rPr>
        <w:t xml:space="preserve">=</w:t>
      </w:r>
      <w:r>
        <w:rPr>
          <w:rStyle w:val="DecValTok"/>
        </w:rPr>
        <w:t xml:space="preserve">20</w:t>
      </w:r>
      <w:r>
        <w:rPr>
          <w:rStyle w:val="NormalTok"/>
        </w:rPr>
        <w:t xml:space="preserve">,</w:t>
      </w:r>
      <w:r>
        <w:br/>
      </w:r>
      <w:r>
        <w:rPr>
          <w:rStyle w:val="NormalTok"/>
        </w:rPr>
        <w:t xml:space="preserve">                     max_size</w:t>
      </w:r>
      <w:r>
        <w:rPr>
          <w:rStyle w:val="OperatorTok"/>
        </w:rPr>
        <w:t xml:space="preserve">=</w:t>
      </w:r>
      <w:r>
        <w:rPr>
          <w:rStyle w:val="DecValTok"/>
        </w:rPr>
        <w:t xml:space="preserve">64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ImportTok"/>
        </w:rPr>
        <w:t xml:space="preserve">as</w:t>
      </w:r>
      <w:r>
        <w:rPr>
          <w:rStyle w:val="NormalTok"/>
        </w:rPr>
        <w:t xml:space="preserve"> server:</w:t>
      </w:r>
      <w:r>
        <w:br/>
      </w:r>
      <w:r>
        <w:rPr>
          <w:rStyle w:val="NormalTok"/>
        </w:rPr>
        <w:t xml:space="preserve">        </w:t>
      </w:r>
      <w:r>
        <w:rPr>
          <w:rStyle w:val="ControlFlowTok"/>
        </w:rPr>
        <w:t xml:space="preserve">await</w:t>
      </w:r>
      <w:r>
        <w:rPr>
          <w:rStyle w:val="NormalTok"/>
        </w:rPr>
        <w:t xml:space="preserve"> server.serve_forever()</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asyncio.run(main())</w:t>
      </w:r>
    </w:p>
    <w:p>
      <w:pPr>
        <w:pStyle w:val="FirstParagraph"/>
      </w:pPr>
      <w:r>
        <w:t xml:space="preserve">What to notice:</w:t>
      </w:r>
    </w:p>
    <w:p>
      <w:pPr>
        <w:numPr>
          <w:ilvl w:val="0"/>
          <w:numId w:val="1331"/>
        </w:numPr>
        <w:pStyle w:val="Compact"/>
      </w:pPr>
      <w:r>
        <w:t xml:space="preserve">Each connection has two tasks: the handler’s reader loop and a writer draining a bounded queue. Fan-out (</w:t>
      </w:r>
      <w:r>
        <w:rPr>
          <w:rStyle w:val="VerbatimChar"/>
        </w:rPr>
        <w:t xml:space="preserve">publish</w:t>
      </w:r>
      <w:r>
        <w:t xml:space="preserve">) never awaits, so one slow socket cannot stall delivery to the rest of the room.</w:t>
      </w:r>
    </w:p>
    <w:p>
      <w:pPr>
        <w:numPr>
          <w:ilvl w:val="0"/>
          <w:numId w:val="1331"/>
        </w:numPr>
        <w:pStyle w:val="Compact"/>
      </w:pPr>
      <w:r>
        <w:t xml:space="preserve">When a client’s outbox fills, the server closes it with 1008; in testing, a client that stopped reading while another flooded the room was disconnected with</w:t>
      </w:r>
      <w:r>
        <w:t xml:space="preserve"> </w:t>
      </w:r>
      <w:r>
        <w:rPr>
          <w:rStyle w:val="VerbatimChar"/>
        </w:rPr>
        <w:t xml:space="preserve">1008 slow consumer</w:t>
      </w:r>
      <w:r>
        <w:t xml:space="preserve"> </w:t>
      </w:r>
      <w:r>
        <w:t xml:space="preserve">while the server stayed healthy.</w:t>
      </w:r>
    </w:p>
    <w:p>
      <w:pPr>
        <w:numPr>
          <w:ilvl w:val="0"/>
          <w:numId w:val="1331"/>
        </w:numPr>
        <w:pStyle w:val="Compact"/>
      </w:pPr>
      <w:r>
        <w:t xml:space="preserve">The</w:t>
      </w:r>
      <w:r>
        <w:t xml:space="preserve"> </w:t>
      </w:r>
      <w:r>
        <w:rPr>
          <w:rStyle w:val="VerbatimChar"/>
        </w:rPr>
        <w:t xml:space="preserve">finally</w:t>
      </w:r>
      <w:r>
        <w:t xml:space="preserve"> </w:t>
      </w:r>
      <w:r>
        <w:t xml:space="preserve">block is the cleanup path from Figure 9.5: unsubscribe and announce departure regardless of how the connection ended.</w:t>
      </w:r>
    </w:p>
    <w:p>
      <w:pPr>
        <w:numPr>
          <w:ilvl w:val="0"/>
          <w:numId w:val="1331"/>
        </w:numPr>
        <w:pStyle w:val="Compact"/>
      </w:pPr>
      <w:r>
        <w:rPr>
          <w:rStyle w:val="VerbatimChar"/>
        </w:rPr>
        <w:t xml:space="preserve">max_size</w:t>
      </w:r>
      <w:r>
        <w:t xml:space="preserve"> </w:t>
      </w:r>
      <w:r>
        <w:t xml:space="preserve">bounds memory per inbound message (oversized messages are closed with 1009).</w:t>
      </w:r>
    </w:p>
    <w:p>
      <w:pPr>
        <w:pStyle w:val="FirstParagraph"/>
      </w:pPr>
      <w:r>
        <w:t xml:space="preserve">Tasks: (a) write a client with</w:t>
      </w:r>
      <w:r>
        <w:t xml:space="preserve"> </w:t>
      </w:r>
      <w:r>
        <w:rPr>
          <w:rStyle w:val="VerbatimChar"/>
        </w:rPr>
        <w:t xml:space="preserve">websockets.asyncio.client.connect</w:t>
      </w:r>
      <w:r>
        <w:t xml:space="preserve"> </w:t>
      </w:r>
      <w:r>
        <w:t xml:space="preserve">that joins a room and prints messages; (b) add per-room sequence numbers and a</w:t>
      </w:r>
      <w:r>
        <w:t xml:space="preserve"> </w:t>
      </w:r>
      <w:r>
        <w:rPr>
          <w:rStyle w:val="VerbatimChar"/>
        </w:rPr>
        <w:t xml:space="preserve">{"type":"resume","after":N}</w:t>
      </w:r>
      <w:r>
        <w:t xml:space="preserve"> </w:t>
      </w:r>
      <w:r>
        <w:t xml:space="preserve">message backed by a bounded history; (c) run two server processes and connect them with Redis Pub/Sub so rooms span processes; (d) add a client reconnect loop using</w:t>
      </w:r>
      <w:r>
        <w:t xml:space="preserve"> </w:t>
      </w:r>
      <w:r>
        <w:rPr>
          <w:rStyle w:val="VerbatimChar"/>
        </w:rPr>
        <w:t xml:space="preserve">full_jitter_delay</w:t>
      </w:r>
      <w:r>
        <w:t xml:space="preserve"> </w:t>
      </w:r>
      <w:r>
        <w:t xml:space="preserve">from §9.9.6 and kill the server to watch the reconnect spread.</w:t>
      </w:r>
    </w:p>
    <w:p>
      <w:pPr>
        <w:pStyle w:val="BodyText"/>
      </w:pPr>
      <w:r>
        <w:rPr>
          <w:bCs/>
          <w:b/>
        </w:rPr>
        <w:t xml:space="preserve">Exercise 9.3 — Measure memory per connection.</w:t>
      </w:r>
      <w:r>
        <w:t xml:space="preserve"> </w:t>
      </w:r>
      <w:r>
        <w:t xml:space="preserve">Using Exercise 9.2’s server, open 10,000 idle connections from a load generator (raise</w:t>
      </w:r>
      <w:r>
        <w:t xml:space="preserve"> </w:t>
      </w:r>
      <w:r>
        <w:rPr>
          <w:rStyle w:val="VerbatimChar"/>
        </w:rPr>
        <w:t xml:space="preserve">ulimit -n</w:t>
      </w:r>
      <w:r>
        <w:t xml:space="preserve"> </w:t>
      </w:r>
      <w:r>
        <w:t xml:space="preserve">first), record the server’s resident memory before and after, and compute KB per connection. Repeat with</w:t>
      </w:r>
      <w:r>
        <w:t xml:space="preserve"> </w:t>
      </w:r>
      <w:r>
        <w:rPr>
          <w:rStyle w:val="VerbatimChar"/>
        </w:rPr>
        <w:t xml:space="preserve">wss://</w:t>
      </w:r>
      <w:r>
        <w:t xml:space="preserve"> </w:t>
      </w:r>
      <w:r>
        <w:t xml:space="preserve">(TLS) and compare against Table 9.12.</w:t>
      </w:r>
    </w:p>
    <w:p>
      <w:pPr>
        <w:pStyle w:val="BodyText"/>
      </w:pPr>
      <w:r>
        <w:rPr>
          <w:bCs/>
          <w:b/>
        </w:rPr>
        <w:t xml:space="preserve">Exercise 9.4 — Capacity spreadsheet.</w:t>
      </w:r>
      <w:r>
        <w:t xml:space="preserve"> </w:t>
      </w:r>
      <w:r>
        <w:t xml:space="preserve">Implement the formulas from §9.3, §9.4 and §9.9 in a script that takes</w:t>
      </w:r>
      <w:r>
        <w:t xml:space="preserve"> </w:t>
      </w:r>
      <m:oMath>
        <m:r>
          <m:t>N</m:t>
        </m:r>
      </m:oMath>
      <w:r>
        <w:t xml:space="preserve">,</w:t>
      </w:r>
      <w:r>
        <w:t xml:space="preserve"> </w:t>
      </w:r>
      <m:oMath>
        <m:r>
          <m:t>T</m:t>
        </m:r>
      </m:oMath>
      <w:r>
        <w:t xml:space="preserve">,</w:t>
      </w:r>
      <w:r>
        <w:t xml:space="preserve"> </w:t>
      </w:r>
      <m:oMath>
        <m:r>
          <m:t>λ</m:t>
        </m:r>
      </m:oMath>
      <w:r>
        <w:t xml:space="preserve">,</w:t>
      </w:r>
      <w:r>
        <w:t xml:space="preserve"> </w:t>
      </w:r>
      <m:oMath>
        <m:r>
          <m:t>m</m:t>
        </m:r>
      </m:oMath>
      <w:r>
        <w:t xml:space="preserve">,</w:t>
      </w:r>
      <w:r>
        <w:t xml:space="preserve"> </w:t>
      </w:r>
      <m:oMath>
        <m:r>
          <m:t>M</m:t>
        </m:r>
      </m:oMath>
      <w:r>
        <w:t xml:space="preserve">,</w:t>
      </w:r>
      <w:r>
        <w:t xml:space="preserve"> </w:t>
      </w:r>
      <m:oMath>
        <m:r>
          <m:t>f</m:t>
        </m:r>
      </m:oMath>
      <w:r>
        <w:t xml:space="preserve">,</w:t>
      </w:r>
      <w:r>
        <w:t xml:space="preserve"> </w:t>
      </w:r>
      <m:oMath>
        <m:r>
          <m:t>Z</m:t>
        </m:r>
      </m:oMath>
      <w:r>
        <w:t xml:space="preserve"> </w:t>
      </w:r>
      <w:r>
        <w:t xml:space="preserve">and</w:t>
      </w:r>
      <w:r>
        <w:t xml:space="preserve"> </w:t>
      </w:r>
      <m:oMath>
        <m:sSub>
          <m:e>
            <m:r>
              <m:t>c</m:t>
            </m:r>
          </m:e>
          <m:sub>
            <m:r>
              <m:rPr>
                <m:nor/>
                <m:sty m:val="p"/>
              </m:rPr>
              <m:t>blast</m:t>
            </m:r>
          </m:sub>
        </m:sSub>
      </m:oMath>
      <w:r>
        <w:t xml:space="preserve"> </w:t>
      </w:r>
      <w:r>
        <w:t xml:space="preserve">and prints request rates, gateway counts, memory, heartbeat rate and reconnect-storm peak for a given jitter window.</w:t>
      </w:r>
    </w:p>
    <w:bookmarkEnd w:id="1073"/>
    <w:bookmarkStart w:id="1074" w:name="design-challenges-8"/>
    <w:p>
      <w:pPr>
        <w:pStyle w:val="Heading2"/>
      </w:pPr>
      <w:r>
        <w:t xml:space="preserve">9.15 Design challenges</w:t>
      </w:r>
    </w:p>
    <w:p>
      <w:pPr>
        <w:numPr>
          <w:ilvl w:val="0"/>
          <w:numId w:val="1332"/>
        </w:numPr>
        <w:pStyle w:val="Compact"/>
      </w:pPr>
      <w:r>
        <w:rPr>
          <w:bCs/>
          <w:b/>
        </w:rPr>
        <w:t xml:space="preserve">Live sports scores for 20 million viewers.</w:t>
      </w:r>
      <w:r>
        <w:t xml:space="preserve"> </w:t>
      </w:r>
      <w:r>
        <w:t xml:space="preserve">Scores change a few times per minute; viewers must see updates within 2 seconds. Compare short polling through a CDN (cacheable responses,</w:t>
      </w:r>
      <w:r>
        <w:t xml:space="preserve"> </w:t>
      </w:r>
      <m:oMath>
        <m:r>
          <m:t>T</m:t>
        </m:r>
      </m:oMath>
      <w:r>
        <w:t xml:space="preserve"> </w:t>
      </w:r>
      <w:r>
        <w:t xml:space="preserve">= 2 s) with SSE through an edge fan-out tier. Estimate request rate, connection count and egress for each, and decide.</w:t>
      </w:r>
    </w:p>
    <w:p>
      <w:pPr>
        <w:numPr>
          <w:ilvl w:val="0"/>
          <w:numId w:val="1332"/>
        </w:numPr>
        <w:pStyle w:val="Compact"/>
      </w:pPr>
      <w:r>
        <w:rPr>
          <w:bCs/>
          <w:b/>
        </w:rPr>
        <w:t xml:space="preserve">Collaborative document editor.</w:t>
      </w:r>
      <w:r>
        <w:t xml:space="preserve"> </w:t>
      </w:r>
      <w:r>
        <w:t xml:space="preserve">Up to 50 concurrent editors per document, 10 keystroke operations per second per editor, cursors and presence shown live. Design the gateway routing (all editors of a document on one node, or a backplane?), ordering (per-document sequence numbers), backpressure for cursor updates (coalesce), and what happens when the node holding a document fails.</w:t>
      </w:r>
    </w:p>
    <w:p>
      <w:pPr>
        <w:numPr>
          <w:ilvl w:val="0"/>
          <w:numId w:val="1332"/>
        </w:numPr>
        <w:pStyle w:val="Compact"/>
      </w:pPr>
      <w:r>
        <w:rPr>
          <w:bCs/>
          <w:b/>
        </w:rPr>
        <w:t xml:space="preserve">Ride-hailing driver tracking.</w:t>
      </w:r>
      <w:r>
        <w:t xml:space="preserve"> </w:t>
      </w:r>
      <w:r>
        <w:t xml:space="preserve">1 million active drivers send GPS every 4 s; riders watch their assigned driver while the app is open and receive</w:t>
      </w:r>
      <w:r>
        <w:t xml:space="preserve"> </w:t>
      </w:r>
      <w:r>
        <w:t xml:space="preserve">“</w:t>
      </w:r>
      <w:r>
        <w:t xml:space="preserve">driver arrived</w:t>
      </w:r>
      <w:r>
        <w:t xml:space="preserve">”</w:t>
      </w:r>
      <w:r>
        <w:t xml:space="preserve"> </w:t>
      </w:r>
      <w:r>
        <w:t xml:space="preserve">when it is not. Choose techniques for each direction, size the ingest and fan-out, and design behavior when the rider’s phone loses connectivity for 30 s.</w:t>
      </w:r>
    </w:p>
    <w:bookmarkEnd w:id="1074"/>
    <w:bookmarkStart w:id="1075" w:name="references-8"/>
    <w:p>
      <w:pPr>
        <w:pStyle w:val="Heading2"/>
      </w:pPr>
      <w:r>
        <w:t xml:space="preserve">9.16 References</w:t>
      </w:r>
    </w:p>
    <w:p>
      <w:pPr>
        <w:numPr>
          <w:ilvl w:val="0"/>
          <w:numId w:val="1333"/>
        </w:numPr>
        <w:pStyle w:val="Compact"/>
      </w:pPr>
      <w:r>
        <w:t xml:space="preserve">Fette, I., Melnikov, A.</w:t>
      </w:r>
      <w:r>
        <w:t xml:space="preserve"> </w:t>
      </w:r>
      <w:r>
        <w:rPr>
          <w:iCs/>
          <w:i/>
        </w:rPr>
        <w:t xml:space="preserve">The WebSocket Protocol</w:t>
      </w:r>
      <w:r>
        <w:t xml:space="preserve"> </w:t>
      </w:r>
      <w:r>
        <w:t xml:space="preserve">(RFC 6455). IETF, 2011. https://www.rfc-editor.org/rfc/rfc6455</w:t>
      </w:r>
    </w:p>
    <w:p>
      <w:pPr>
        <w:numPr>
          <w:ilvl w:val="0"/>
          <w:numId w:val="1333"/>
        </w:numPr>
        <w:pStyle w:val="Compact"/>
      </w:pPr>
      <w:r>
        <w:t xml:space="preserve">WHATWG.</w:t>
      </w:r>
      <w:r>
        <w:t xml:space="preserve"> </w:t>
      </w:r>
      <w:r>
        <w:rPr>
          <w:iCs/>
          <w:i/>
        </w:rPr>
        <w:t xml:space="preserve">HTML Living Standard — §9.2 Server-sent events</w:t>
      </w:r>
      <w:r>
        <w:t xml:space="preserve">. WHATWG, living standard. https://html.spec.whatwg.org/multipage/server-sent-events.html</w:t>
      </w:r>
    </w:p>
    <w:p>
      <w:pPr>
        <w:numPr>
          <w:ilvl w:val="0"/>
          <w:numId w:val="1333"/>
        </w:numPr>
        <w:pStyle w:val="Compact"/>
      </w:pPr>
      <w:r>
        <w:t xml:space="preserve">Loreto, S., Saint-Andre, P., Salsano, S., Wilkins, G.</w:t>
      </w:r>
      <w:r>
        <w:t xml:space="preserve"> </w:t>
      </w:r>
      <w:r>
        <w:rPr>
          <w:iCs/>
          <w:i/>
        </w:rPr>
        <w:t xml:space="preserve">Known Issues and Best Practices for the Use of Long Polling and Streaming in Bidirectional HTTP</w:t>
      </w:r>
      <w:r>
        <w:t xml:space="preserve"> </w:t>
      </w:r>
      <w:r>
        <w:t xml:space="preserve">(RFC 6202). IETF, 2011. https://www.rfc-editor.org/rfc/rfc6202</w:t>
      </w:r>
    </w:p>
    <w:p>
      <w:pPr>
        <w:numPr>
          <w:ilvl w:val="0"/>
          <w:numId w:val="1333"/>
        </w:numPr>
        <w:pStyle w:val="Compact"/>
      </w:pPr>
      <w:r>
        <w:t xml:space="preserve">Russell, A.</w:t>
      </w:r>
      <w:r>
        <w:t xml:space="preserve"> </w:t>
      </w:r>
      <w:r>
        <w:rPr>
          <w:iCs/>
          <w:i/>
        </w:rPr>
        <w:t xml:space="preserve">Comet: Low Latency Data for the Browser</w:t>
      </w:r>
      <w:r>
        <w:t xml:space="preserve">. Infrequently Noted (blog), 2006. https://infrequently.org/2006/03/comet-low-latency-data-for-the-browser/</w:t>
      </w:r>
    </w:p>
    <w:p>
      <w:pPr>
        <w:numPr>
          <w:ilvl w:val="0"/>
          <w:numId w:val="1333"/>
        </w:numPr>
        <w:pStyle w:val="Compact"/>
      </w:pPr>
      <w:r>
        <w:t xml:space="preserve">Alvestrand, H.</w:t>
      </w:r>
      <w:r>
        <w:t xml:space="preserve"> </w:t>
      </w:r>
      <w:r>
        <w:rPr>
          <w:iCs/>
          <w:i/>
        </w:rPr>
        <w:t xml:space="preserve">Overview: Real-Time Protocols for Browser-Based Applications</w:t>
      </w:r>
      <w:r>
        <w:t xml:space="preserve"> </w:t>
      </w:r>
      <w:r>
        <w:t xml:space="preserve">(RFC 8825). IETF, 2021. https://www.rfc-editor.org/rfc/rfc8825</w:t>
      </w:r>
    </w:p>
    <w:p>
      <w:pPr>
        <w:numPr>
          <w:ilvl w:val="0"/>
          <w:numId w:val="1333"/>
        </w:numPr>
        <w:pStyle w:val="Compact"/>
      </w:pPr>
      <w:r>
        <w:t xml:space="preserve">W3C.</w:t>
      </w:r>
      <w:r>
        <w:t xml:space="preserve"> </w:t>
      </w:r>
      <w:r>
        <w:rPr>
          <w:iCs/>
          <w:i/>
        </w:rPr>
        <w:t xml:space="preserve">WebRTC: Real-Time Communication in Browsers</w:t>
      </w:r>
      <w:r>
        <w:t xml:space="preserve">. W3C Recommendation. https://www.w3.org/TR/webrtc/</w:t>
      </w:r>
    </w:p>
    <w:p>
      <w:pPr>
        <w:numPr>
          <w:ilvl w:val="0"/>
          <w:numId w:val="1333"/>
        </w:numPr>
        <w:pStyle w:val="Compact"/>
      </w:pPr>
      <w:r>
        <w:t xml:space="preserve">Uberti, J., Jennings, C., Rescorla, E.</w:t>
      </w:r>
      <w:r>
        <w:t xml:space="preserve"> </w:t>
      </w:r>
      <w:r>
        <w:rPr>
          <w:iCs/>
          <w:i/>
        </w:rPr>
        <w:t xml:space="preserve">JavaScript Session Establishment Protocol (JSEP)</w:t>
      </w:r>
      <w:r>
        <w:t xml:space="preserve"> </w:t>
      </w:r>
      <w:r>
        <w:t xml:space="preserve">(RFC 8829). IETF, 2021. https://www.rfc-editor.org/rfc/rfc8829</w:t>
      </w:r>
    </w:p>
    <w:p>
      <w:pPr>
        <w:numPr>
          <w:ilvl w:val="0"/>
          <w:numId w:val="1333"/>
        </w:numPr>
        <w:pStyle w:val="Compact"/>
      </w:pPr>
      <w:r>
        <w:t xml:space="preserve">Keränen, A., Holmberg, C., Rosenberg, J.</w:t>
      </w:r>
      <w:r>
        <w:t xml:space="preserve"> </w:t>
      </w:r>
      <w:r>
        <w:rPr>
          <w:iCs/>
          <w:i/>
        </w:rPr>
        <w:t xml:space="preserve">Interactive Connectivity Establishment (ICE)</w:t>
      </w:r>
      <w:r>
        <w:t xml:space="preserve"> </w:t>
      </w:r>
      <w:r>
        <w:t xml:space="preserve">(RFC 8445). IETF, 2018. https://www.rfc-editor.org/rfc/rfc8445</w:t>
      </w:r>
    </w:p>
    <w:p>
      <w:pPr>
        <w:numPr>
          <w:ilvl w:val="0"/>
          <w:numId w:val="1333"/>
        </w:numPr>
        <w:pStyle w:val="Compact"/>
      </w:pPr>
      <w:r>
        <w:t xml:space="preserve">Petit-Huguenin, M., Salgueiro, G., Rosenberg, J., Wing, D., Mahy, R., Matthews, P.</w:t>
      </w:r>
      <w:r>
        <w:t xml:space="preserve"> </w:t>
      </w:r>
      <w:r>
        <w:rPr>
          <w:iCs/>
          <w:i/>
        </w:rPr>
        <w:t xml:space="preserve">Session Traversal Utilities for NAT (STUN)</w:t>
      </w:r>
      <w:r>
        <w:t xml:space="preserve"> </w:t>
      </w:r>
      <w:r>
        <w:t xml:space="preserve">(RFC 8489). IETF, 2020. https://www.rfc-editor.org/rfc/rfc8489</w:t>
      </w:r>
    </w:p>
    <w:p>
      <w:pPr>
        <w:numPr>
          <w:ilvl w:val="0"/>
          <w:numId w:val="1333"/>
        </w:numPr>
        <w:pStyle w:val="Compact"/>
      </w:pPr>
      <w:r>
        <w:t xml:space="preserve">Reddy, T., Johnston, A., Matthews, P., Rosenberg, J.</w:t>
      </w:r>
      <w:r>
        <w:t xml:space="preserve"> </w:t>
      </w:r>
      <w:r>
        <w:rPr>
          <w:iCs/>
          <w:i/>
        </w:rPr>
        <w:t xml:space="preserve">Traversal Using Relays around NAT (TURN)</w:t>
      </w:r>
      <w:r>
        <w:t xml:space="preserve"> </w:t>
      </w:r>
      <w:r>
        <w:t xml:space="preserve">(RFC 8656). IETF, 2020. https://www.rfc-editor.org/rfc/rfc8656</w:t>
      </w:r>
    </w:p>
    <w:p>
      <w:pPr>
        <w:numPr>
          <w:ilvl w:val="0"/>
          <w:numId w:val="1333"/>
        </w:numPr>
        <w:pStyle w:val="Compact"/>
      </w:pPr>
      <w:r>
        <w:t xml:space="preserve">McManus, P.</w:t>
      </w:r>
      <w:r>
        <w:t xml:space="preserve"> </w:t>
      </w:r>
      <w:r>
        <w:rPr>
          <w:iCs/>
          <w:i/>
        </w:rPr>
        <w:t xml:space="preserve">Bootstrapping WebSockets with HTTP/2</w:t>
      </w:r>
      <w:r>
        <w:t xml:space="preserve"> </w:t>
      </w:r>
      <w:r>
        <w:t xml:space="preserve">(RFC 8441). IETF, 2018. https://www.rfc-editor.org/rfc/rfc8441</w:t>
      </w:r>
    </w:p>
    <w:p>
      <w:pPr>
        <w:numPr>
          <w:ilvl w:val="0"/>
          <w:numId w:val="1333"/>
        </w:numPr>
        <w:pStyle w:val="Compact"/>
      </w:pPr>
      <w:r>
        <w:t xml:space="preserve">Hamilton, R.</w:t>
      </w:r>
      <w:r>
        <w:t xml:space="preserve"> </w:t>
      </w:r>
      <w:r>
        <w:rPr>
          <w:iCs/>
          <w:i/>
        </w:rPr>
        <w:t xml:space="preserve">Bootstrapping WebSockets with HTTP/3</w:t>
      </w:r>
      <w:r>
        <w:t xml:space="preserve"> </w:t>
      </w:r>
      <w:r>
        <w:t xml:space="preserve">(RFC 9220). IETF, 2022. https://www.rfc-editor.org/rfc/rfc9220</w:t>
      </w:r>
    </w:p>
    <w:p>
      <w:pPr>
        <w:numPr>
          <w:ilvl w:val="0"/>
          <w:numId w:val="1333"/>
        </w:numPr>
        <w:pStyle w:val="Compact"/>
      </w:pPr>
      <w:r>
        <w:t xml:space="preserve">Yoshino, T.</w:t>
      </w:r>
      <w:r>
        <w:t xml:space="preserve"> </w:t>
      </w:r>
      <w:r>
        <w:rPr>
          <w:iCs/>
          <w:i/>
        </w:rPr>
        <w:t xml:space="preserve">Compression Extensions for WebSocket</w:t>
      </w:r>
      <w:r>
        <w:t xml:space="preserve"> </w:t>
      </w:r>
      <w:r>
        <w:t xml:space="preserve">(RFC 7692). IETF, 2015. https://www.rfc-editor.org/rfc/rfc7692</w:t>
      </w:r>
    </w:p>
    <w:p>
      <w:pPr>
        <w:numPr>
          <w:ilvl w:val="0"/>
          <w:numId w:val="1333"/>
        </w:numPr>
        <w:pStyle w:val="Compact"/>
      </w:pPr>
      <w:r>
        <w:t xml:space="preserve">Huang, L.-S., Chen, E. Y., Barth, A., Rescorla, E., Jackson, C.</w:t>
      </w:r>
      <w:r>
        <w:t xml:space="preserve"> </w:t>
      </w:r>
      <w:r>
        <w:rPr>
          <w:iCs/>
          <w:i/>
        </w:rPr>
        <w:t xml:space="preserve">Talking to Yourself for Fun and Profit</w:t>
      </w:r>
      <w:r>
        <w:t xml:space="preserve">. Web 2.0 Security and Privacy Workshop (W2SP), 2011.</w:t>
      </w:r>
    </w:p>
    <w:p>
      <w:pPr>
        <w:numPr>
          <w:ilvl w:val="0"/>
          <w:numId w:val="1333"/>
        </w:numPr>
        <w:pStyle w:val="Compact"/>
      </w:pPr>
      <w:r>
        <w:t xml:space="preserve">Grigorik, I.</w:t>
      </w:r>
      <w:r>
        <w:t xml:space="preserve"> </w:t>
      </w:r>
      <w:r>
        <w:rPr>
          <w:iCs/>
          <w:i/>
        </w:rPr>
        <w:t xml:space="preserve">High Performance Browser Networking</w:t>
      </w:r>
      <w:r>
        <w:t xml:space="preserve">. O’Reilly Media, 2013. https://hpbn.co/</w:t>
      </w:r>
    </w:p>
    <w:p>
      <w:pPr>
        <w:numPr>
          <w:ilvl w:val="0"/>
          <w:numId w:val="1333"/>
        </w:numPr>
        <w:pStyle w:val="Compact"/>
      </w:pPr>
      <w:r>
        <w:t xml:space="preserve">Apple.</w:t>
      </w:r>
      <w:r>
        <w:t xml:space="preserve"> </w:t>
      </w:r>
      <w:r>
        <w:rPr>
          <w:iCs/>
          <w:i/>
        </w:rPr>
        <w:t xml:space="preserve">Sending notification requests to APNs</w:t>
      </w:r>
      <w:r>
        <w:t xml:space="preserve">. Apple Developer Documentation. https://developer.apple.com/documentation/usernotifications/sending-notification-requests-to-apns</w:t>
      </w:r>
    </w:p>
    <w:p>
      <w:pPr>
        <w:numPr>
          <w:ilvl w:val="0"/>
          <w:numId w:val="1333"/>
        </w:numPr>
        <w:pStyle w:val="Compact"/>
      </w:pPr>
      <w:r>
        <w:t xml:space="preserve">Apple.</w:t>
      </w:r>
      <w:r>
        <w:t xml:space="preserve"> </w:t>
      </w:r>
      <w:r>
        <w:rPr>
          <w:iCs/>
          <w:i/>
        </w:rPr>
        <w:t xml:space="preserve">Handling notification responses from APNs</w:t>
      </w:r>
      <w:r>
        <w:t xml:space="preserve">. Apple Developer Documentation. https://developer.apple.com/documentation/usernotifications/handling-notification-responses-from-apns</w:t>
      </w:r>
    </w:p>
    <w:p>
      <w:pPr>
        <w:numPr>
          <w:ilvl w:val="0"/>
          <w:numId w:val="1333"/>
        </w:numPr>
        <w:pStyle w:val="Compact"/>
      </w:pPr>
      <w:r>
        <w:t xml:space="preserve">Google.</w:t>
      </w:r>
      <w:r>
        <w:t xml:space="preserve"> </w:t>
      </w:r>
      <w:r>
        <w:rPr>
          <w:iCs/>
          <w:i/>
        </w:rPr>
        <w:t xml:space="preserve">Non-collapsible and collapsible messages</w:t>
      </w:r>
      <w:r>
        <w:t xml:space="preserve">. Firebase Cloud Messaging documentation. https://firebase.google.com/docs/cloud-messaging/customize-messages/collapsible-message-types</w:t>
      </w:r>
    </w:p>
    <w:p>
      <w:pPr>
        <w:numPr>
          <w:ilvl w:val="0"/>
          <w:numId w:val="1333"/>
        </w:numPr>
        <w:pStyle w:val="Compact"/>
      </w:pPr>
      <w:r>
        <w:t xml:space="preserve">Google.</w:t>
      </w:r>
      <w:r>
        <w:t xml:space="preserve"> </w:t>
      </w:r>
      <w:r>
        <w:rPr>
          <w:iCs/>
          <w:i/>
        </w:rPr>
        <w:t xml:space="preserve">Best practices for FCM registration token management</w:t>
      </w:r>
      <w:r>
        <w:t xml:space="preserve">. Firebase Cloud Messaging documentation. https://firebase.google.com/docs/cloud-messaging/manage-tokens</w:t>
      </w:r>
    </w:p>
    <w:p>
      <w:pPr>
        <w:numPr>
          <w:ilvl w:val="0"/>
          <w:numId w:val="1333"/>
        </w:numPr>
        <w:pStyle w:val="Compact"/>
      </w:pPr>
      <w:r>
        <w:t xml:space="preserve">Google.</w:t>
      </w:r>
      <w:r>
        <w:t xml:space="preserve"> </w:t>
      </w:r>
      <w:r>
        <w:rPr>
          <w:iCs/>
          <w:i/>
        </w:rPr>
        <w:t xml:space="preserve">Firebase Cloud Messaging HTTP v1 API</w:t>
      </w:r>
      <w:r>
        <w:t xml:space="preserve">. Firebase documentation. https://firebase.google.com/docs/cloud-messaging</w:t>
      </w:r>
    </w:p>
    <w:p>
      <w:pPr>
        <w:numPr>
          <w:ilvl w:val="0"/>
          <w:numId w:val="1333"/>
        </w:numPr>
        <w:pStyle w:val="Compact"/>
      </w:pPr>
      <w:r>
        <w:t xml:space="preserve">Slack Engineering.</w:t>
      </w:r>
      <w:r>
        <w:t xml:space="preserve"> </w:t>
      </w:r>
      <w:r>
        <w:rPr>
          <w:iCs/>
          <w:i/>
        </w:rPr>
        <w:t xml:space="preserve">Real-time Messaging</w:t>
      </w:r>
      <w:r>
        <w:t xml:space="preserve">. Slack Engineering blog, 2023. https://slack.engineering/real-time-messaging/</w:t>
      </w:r>
    </w:p>
    <w:p>
      <w:pPr>
        <w:numPr>
          <w:ilvl w:val="0"/>
          <w:numId w:val="1333"/>
        </w:numPr>
        <w:pStyle w:val="Compact"/>
      </w:pPr>
      <w:r>
        <w:t xml:space="preserve">Slack Engineering.</w:t>
      </w:r>
      <w:r>
        <w:t xml:space="preserve"> </w:t>
      </w:r>
      <w:r>
        <w:rPr>
          <w:iCs/>
          <w:i/>
        </w:rPr>
        <w:t xml:space="preserve">Migrating Millions of Concurrent Websockets to Envoy</w:t>
      </w:r>
      <w:r>
        <w:t xml:space="preserve">. Slack Engineering blog, 2021. https://slack.engineering/migrating-millions-of-concurrent-websockets-to-envoy/</w:t>
      </w:r>
    </w:p>
    <w:p>
      <w:pPr>
        <w:numPr>
          <w:ilvl w:val="0"/>
          <w:numId w:val="1333"/>
        </w:numPr>
        <w:pStyle w:val="Compact"/>
      </w:pPr>
      <w:r>
        <w:t xml:space="preserve">Discord.</w:t>
      </w:r>
      <w:r>
        <w:t xml:space="preserve"> </w:t>
      </w:r>
      <w:r>
        <w:rPr>
          <w:iCs/>
          <w:i/>
        </w:rPr>
        <w:t xml:space="preserve">How Discord Scaled Elixir to 5,000,000 Concurrent Users</w:t>
      </w:r>
      <w:r>
        <w:t xml:space="preserve">. Discord blog, 2017. https://discord.com/blog/how-discord-scaled-elixir-to-5-000-000-concurrent-users</w:t>
      </w:r>
    </w:p>
    <w:p>
      <w:pPr>
        <w:numPr>
          <w:ilvl w:val="0"/>
          <w:numId w:val="1333"/>
        </w:numPr>
        <w:pStyle w:val="Compact"/>
      </w:pPr>
      <w:r>
        <w:t xml:space="preserve">WhatsApp.</w:t>
      </w:r>
      <w:r>
        <w:t xml:space="preserve"> </w:t>
      </w:r>
      <w:r>
        <w:rPr>
          <w:iCs/>
          <w:i/>
        </w:rPr>
        <w:t xml:space="preserve">1 million is so 2011</w:t>
      </w:r>
      <w:r>
        <w:t xml:space="preserve">. WhatsApp blog, 2012. https://blog.whatsapp.com/1-million-is-so-2011</w:t>
      </w:r>
    </w:p>
    <w:p>
      <w:pPr>
        <w:numPr>
          <w:ilvl w:val="0"/>
          <w:numId w:val="1333"/>
        </w:numPr>
        <w:pStyle w:val="Compact"/>
      </w:pPr>
      <w:r>
        <w:t xml:space="preserve">Reed, R.</w:t>
      </w:r>
      <w:r>
        <w:t xml:space="preserve"> </w:t>
      </w:r>
      <w:r>
        <w:rPr>
          <w:iCs/>
          <w:i/>
        </w:rPr>
        <w:t xml:space="preserve">Scaling to Millions of Simultaneous Connections</w:t>
      </w:r>
      <w:r>
        <w:t xml:space="preserve">. Erlang Factory SF Bay Area, 2012. https://www.erlang-factory.com/upload/presentations/558/efsf2012-whatsapp-scaling.pdf</w:t>
      </w:r>
    </w:p>
    <w:p>
      <w:pPr>
        <w:numPr>
          <w:ilvl w:val="0"/>
          <w:numId w:val="1333"/>
        </w:numPr>
        <w:pStyle w:val="Compact"/>
      </w:pPr>
      <w:r>
        <w:t xml:space="preserve">Brooker, M.</w:t>
      </w:r>
      <w:r>
        <w:t xml:space="preserve"> </w:t>
      </w:r>
      <w:r>
        <w:rPr>
          <w:iCs/>
          <w:i/>
        </w:rPr>
        <w:t xml:space="preserve">Exponential Backoff and Jitter</w:t>
      </w:r>
      <w:r>
        <w:t xml:space="preserve">. AWS Architecture Blog, 2015. https://aws.amazon.com/blogs/architecture/exponential-backoff-and-jitter/</w:t>
      </w:r>
    </w:p>
    <w:p>
      <w:pPr>
        <w:numPr>
          <w:ilvl w:val="0"/>
          <w:numId w:val="1333"/>
        </w:numPr>
        <w:pStyle w:val="Compact"/>
      </w:pPr>
      <w:r>
        <w:t xml:space="preserve">Redis.</w:t>
      </w:r>
      <w:r>
        <w:t xml:space="preserve"> </w:t>
      </w:r>
      <w:r>
        <w:rPr>
          <w:iCs/>
          <w:i/>
        </w:rPr>
        <w:t xml:space="preserve">Redis Pub/Sub</w:t>
      </w:r>
      <w:r>
        <w:t xml:space="preserve"> </w:t>
      </w:r>
      <w:r>
        <w:t xml:space="preserve">(including sharded Pub/Sub). Redis documentation. https://redis.io/docs/latest/develop/interact/pubsub/</w:t>
      </w:r>
    </w:p>
    <w:p>
      <w:pPr>
        <w:numPr>
          <w:ilvl w:val="0"/>
          <w:numId w:val="1333"/>
        </w:numPr>
        <w:pStyle w:val="Compact"/>
      </w:pPr>
      <w:r>
        <w:t xml:space="preserve">Socket.IO.</w:t>
      </w:r>
      <w:r>
        <w:t xml:space="preserve"> </w:t>
      </w:r>
      <w:r>
        <w:rPr>
          <w:iCs/>
          <w:i/>
        </w:rPr>
        <w:t xml:space="preserve">Using multiple nodes</w:t>
      </w:r>
      <w:r>
        <w:t xml:space="preserve">. Socket.IO documentation. https://socket.io/docs/v4/using-multiple-nodes/</w:t>
      </w:r>
    </w:p>
    <w:p>
      <w:pPr>
        <w:numPr>
          <w:ilvl w:val="0"/>
          <w:numId w:val="1333"/>
        </w:numPr>
        <w:pStyle w:val="Compact"/>
      </w:pPr>
      <w:r>
        <w:t xml:space="preserve">Kegel, D.</w:t>
      </w:r>
      <w:r>
        <w:t xml:space="preserve"> </w:t>
      </w:r>
      <w:r>
        <w:rPr>
          <w:iCs/>
          <w:i/>
        </w:rPr>
        <w:t xml:space="preserve">The C10K problem</w:t>
      </w:r>
      <w:r>
        <w:t xml:space="preserve">. 1999 (updated later). http://www.kegel.com/c10k.html</w:t>
      </w:r>
    </w:p>
    <w:p>
      <w:pPr>
        <w:numPr>
          <w:ilvl w:val="0"/>
          <w:numId w:val="1333"/>
        </w:numPr>
        <w:pStyle w:val="Compact"/>
      </w:pPr>
      <w:r>
        <w:t xml:space="preserve">Thomson, M., Damaggio, E., Raymor, B.</w:t>
      </w:r>
      <w:r>
        <w:t xml:space="preserve"> </w:t>
      </w:r>
      <w:r>
        <w:rPr>
          <w:iCs/>
          <w:i/>
        </w:rPr>
        <w:t xml:space="preserve">Generic Event Delivery Using HTTP Push</w:t>
      </w:r>
      <w:r>
        <w:t xml:space="preserve"> </w:t>
      </w:r>
      <w:r>
        <w:t xml:space="preserve">(RFC 8030). IETF, 2016. https://www.rfc-editor.org/rfc/rfc8030</w:t>
      </w:r>
    </w:p>
    <w:bookmarkEnd w:id="1075"/>
    <w:bookmarkStart w:id="1076" w:name="open-verification-items-8"/>
    <w:p>
      <w:pPr>
        <w:pStyle w:val="Heading2"/>
      </w:pPr>
      <w:r>
        <w:t xml:space="preserve">9.17 Open verification items</w:t>
      </w:r>
    </w:p>
    <w:p>
      <w:pPr>
        <w:numPr>
          <w:ilvl w:val="0"/>
          <w:numId w:val="1334"/>
        </w:numPr>
        <w:pStyle w:val="Compact"/>
      </w:pPr>
      <w:r>
        <w:t xml:space="preserve">APNs: exact current wording that only the latest notification per app is stored for offline devices;</w:t>
      </w:r>
      <w:r>
        <w:t xml:space="preserve"> </w:t>
      </w:r>
      <w:r>
        <w:rPr>
          <w:rStyle w:val="VerbatimChar"/>
        </w:rPr>
        <w:t xml:space="preserve">apns-collapse-id</w:t>
      </w:r>
      <w:r>
        <w:t xml:space="preserve"> </w:t>
      </w:r>
      <w:r>
        <w:t xml:space="preserve">64-byte limit; VoIP payload 5 KB; guidance of</w:t>
      </w:r>
      <w:r>
        <w:t xml:space="preserve"> </w:t>
      </w:r>
      <w:r>
        <w:t xml:space="preserve">“</w:t>
      </w:r>
      <w:r>
        <w:t xml:space="preserve">two or three</w:t>
      </w:r>
      <w:r>
        <w:t xml:space="preserve">”</w:t>
      </w:r>
      <w:r>
        <w:t xml:space="preserve"> </w:t>
      </w:r>
      <w:r>
        <w:t xml:space="preserve">background pushes per hour (Apple docs not fetched directly in this session).</w:t>
      </w:r>
    </w:p>
    <w:p>
      <w:pPr>
        <w:numPr>
          <w:ilvl w:val="0"/>
          <w:numId w:val="1334"/>
        </w:numPr>
        <w:pStyle w:val="Compact"/>
      </w:pPr>
      <w:r>
        <w:t xml:space="preserve">FCM: default/maximum TTL of 4 weeks (28 days) and 4 KB payload limit (firebase.google.com was unreachable from the authoring environment; limits on 100 stored messages, four collapse keys and 270-day token expiry were confirmed via search snippets of the official pages only).</w:t>
      </w:r>
    </w:p>
    <w:p>
      <w:pPr>
        <w:numPr>
          <w:ilvl w:val="0"/>
          <w:numId w:val="1334"/>
        </w:numPr>
        <w:pStyle w:val="Compact"/>
      </w:pPr>
      <w:r>
        <w:t xml:space="preserve">SSE: confirm current WHATWG text that non-200 responses</w:t>
      </w:r>
      <w:r>
        <w:t xml:space="preserve"> </w:t>
      </w:r>
      <w:r>
        <w:t xml:space="preserve">“</w:t>
      </w:r>
      <w:r>
        <w:t xml:space="preserve">fail the connection</w:t>
      </w:r>
      <w:r>
        <w:t xml:space="preserve">”</w:t>
      </w:r>
      <w:r>
        <w:t xml:space="preserve"> </w:t>
      </w:r>
      <w:r>
        <w:t xml:space="preserve">(no auto-reconnect) and the default reconnection time wording.</w:t>
      </w:r>
    </w:p>
    <w:p>
      <w:pPr>
        <w:numPr>
          <w:ilvl w:val="0"/>
          <w:numId w:val="1334"/>
        </w:numPr>
        <w:pStyle w:val="Compact"/>
      </w:pPr>
      <w:r>
        <w:t xml:space="preserve">Default idle timeouts (AWS ALB 60 s, NGINX</w:t>
      </w:r>
      <w:r>
        <w:t xml:space="preserve"> </w:t>
      </w:r>
      <w:r>
        <w:rPr>
          <w:rStyle w:val="VerbatimChar"/>
        </w:rPr>
        <w:t xml:space="preserve">proxy_read_timeout</w:t>
      </w:r>
      <w:r>
        <w:t xml:space="preserve"> </w:t>
      </w:r>
      <w:r>
        <w:t xml:space="preserve">60 s) and Kubernetes</w:t>
      </w:r>
      <w:r>
        <w:t xml:space="preserve"> </w:t>
      </w:r>
      <w:r>
        <w:rPr>
          <w:rStyle w:val="VerbatimChar"/>
        </w:rPr>
        <w:t xml:space="preserve">terminationGracePeriodSeconds</w:t>
      </w:r>
      <w:r>
        <w:t xml:space="preserve"> </w:t>
      </w:r>
      <w:r>
        <w:t xml:space="preserve">30 s — stable for years but flagged</w:t>
      </w:r>
      <w:r>
        <w:t xml:space="preserve"> </w:t>
      </w:r>
      <w:r>
        <w:t xml:space="preserve">“</w:t>
      </w:r>
      <w:r>
        <w:t xml:space="preserve">as of 2024</w:t>
      </w:r>
      <w:r>
        <w:t xml:space="preserve">”</w:t>
      </w:r>
      <w:r>
        <w:t xml:space="preserve">.</w:t>
      </w:r>
    </w:p>
    <w:p>
      <w:pPr>
        <w:numPr>
          <w:ilvl w:val="0"/>
          <w:numId w:val="1334"/>
        </w:numPr>
        <w:pStyle w:val="Compact"/>
      </w:pPr>
      <w:r>
        <w:t xml:space="preserve">Authors of RFC 8489 and RFC 8656 reference entries; exact URL of Russell 2006 post.</w:t>
      </w:r>
    </w:p>
    <w:p>
      <w:pPr>
        <w:numPr>
          <w:ilvl w:val="0"/>
          <w:numId w:val="1334"/>
        </w:numPr>
        <w:pStyle w:val="Compact"/>
      </w:pPr>
      <w:r>
        <w:t xml:space="preserve">Per-connection memory figures in Table 9.12 are Illustrative and should be replaced with measured values (Exercise 9.3).</w:t>
      </w:r>
    </w:p>
    <w:p>
      <w:pPr>
        <w:numPr>
          <w:ilvl w:val="0"/>
          <w:numId w:val="1334"/>
        </w:numPr>
        <w:pStyle w:val="Compact"/>
      </w:pPr>
      <w:r>
        <w:t xml:space="preserve">Runnable programs should also be copied to</w:t>
      </w:r>
      <w:r>
        <w:t xml:space="preserve"> </w:t>
      </w:r>
      <w:r>
        <w:rPr>
          <w:rStyle w:val="VerbatimChar"/>
        </w:rPr>
        <w:t xml:space="preserve">code/ch09/</w:t>
      </w:r>
      <w:r>
        <w:t xml:space="preserve"> </w:t>
      </w:r>
      <w:r>
        <w:t xml:space="preserve">per style guide §8 (not done; out of this author’s file scope).</w:t>
      </w:r>
    </w:p>
    <w:bookmarkEnd w:id="1076"/>
    <w:bookmarkEnd w:id="1077"/>
    <w:bookmarkStart w:id="1185" w:name="X9f37525d00c1dd653bb726f6d440f877e446a37"/>
    <w:p>
      <w:pPr>
        <w:pStyle w:val="Heading1"/>
      </w:pPr>
      <w:r>
        <w:t xml:space="preserve">Chapter 10 — Security Fundamentals for System Designers</w:t>
      </w:r>
    </w:p>
    <w:p>
      <w:pPr>
        <w:pStyle w:val="BlockText"/>
      </w:pPr>
      <w:r>
        <w:rPr>
          <w:bCs/>
          <w:b/>
        </w:rPr>
        <w:t xml:space="preserve">Level:</w:t>
      </w:r>
      <w:r>
        <w:t xml:space="preserve"> </w:t>
      </w:r>
      <w:r>
        <w:t xml:space="preserve">2 ·</w:t>
      </w:r>
      <w:r>
        <w:t xml:space="preserve"> </w:t>
      </w:r>
      <w:r>
        <w:rPr>
          <w:bCs/>
          <w:b/>
        </w:rPr>
        <w:t xml:space="preserve">Track:</w:t>
      </w:r>
      <w:r>
        <w:t xml:space="preserve"> </w:t>
      </w:r>
      <w:r>
        <w:t xml:space="preserve">Shared ·</w:t>
      </w:r>
      <w:r>
        <w:t xml:space="preserve"> </w:t>
      </w:r>
      <w:r>
        <w:rPr>
          <w:bCs/>
          <w:b/>
        </w:rPr>
        <w:t xml:space="preserve">Estimated reading time:</w:t>
      </w:r>
      <w:r>
        <w:t xml:space="preserve"> </w:t>
      </w:r>
      <w:r>
        <w:t xml:space="preserve">5 h</w:t>
      </w:r>
    </w:p>
    <w:p>
      <w:pPr>
        <w:pStyle w:val="FirstParagraph"/>
      </w:pPr>
      <w:r>
        <w:t xml:space="preserve">Every system you design will be attacked. Not</w:t>
      </w:r>
      <w:r>
        <w:t xml:space="preserve"> </w:t>
      </w:r>
      <w:r>
        <w:t xml:space="preserve">“</w:t>
      </w:r>
      <w:r>
        <w:t xml:space="preserve">might be</w:t>
      </w:r>
      <w:r>
        <w:t xml:space="preserve">”</w:t>
      </w:r>
      <w:r>
        <w:t xml:space="preserve">: a service with a public IP address receives automated scanning traffic within minutes of going online, and any system that stores money, personal data or compute capacity is worth an attacker’s time. Security is therefore not a feature you add at the end. It is a property of the architecture, in the same way that availability and latency are, and the cheapest time to get it right is when the boxes and arrows are still on the whiteboard.</w:t>
      </w:r>
    </w:p>
    <w:p>
      <w:pPr>
        <w:pStyle w:val="BodyText"/>
      </w:pPr>
      <w:r>
        <w:t xml:space="preserve">This chapter gives you the vocabulary and mental models a system designer needs: finding threats systematically, choosing cryptographic building blocks, storing passwords and secrets, encrypting data with managed keys, limiting the blast radius of a breach, surviving denial-of-service attacks and keeping records an intruder cannot quietly rewrite. The focus is defensive and architectural. Chapter 50 builds on it with identity architecture, supply-chain security and privacy engineering.</w:t>
      </w:r>
    </w:p>
    <w:bookmarkStart w:id="1078" w:name="learning-objectives-9"/>
    <w:p>
      <w:pPr>
        <w:pStyle w:val="Heading2"/>
      </w:pPr>
      <w:r>
        <w:t xml:space="preserve">10.1 Learning objectives</w:t>
      </w:r>
    </w:p>
    <w:p>
      <w:pPr>
        <w:pStyle w:val="FirstParagraph"/>
      </w:pPr>
      <w:r>
        <w:t xml:space="preserve">After this chapter you should be able to:</w:t>
      </w:r>
    </w:p>
    <w:p>
      <w:pPr>
        <w:numPr>
          <w:ilvl w:val="0"/>
          <w:numId w:val="1335"/>
        </w:numPr>
        <w:pStyle w:val="Compact"/>
      </w:pPr>
      <w:r>
        <w:t xml:space="preserve">Draw a data-flow diagram for a system, mark its trust boundaries and enumerate threats with STRIDE.</w:t>
      </w:r>
    </w:p>
    <w:p>
      <w:pPr>
        <w:numPr>
          <w:ilvl w:val="0"/>
          <w:numId w:val="1335"/>
        </w:numPr>
        <w:pStyle w:val="Compact"/>
      </w:pPr>
      <w:r>
        <w:t xml:space="preserve">Choose the correct cryptographic primitive (hash, MAC, symmetric encryption, asymmetric encryption, signature, key exchange) for a stated security goal and explain what it does</w:t>
      </w:r>
      <w:r>
        <w:t xml:space="preserve"> </w:t>
      </w:r>
      <w:r>
        <w:rPr>
          <w:iCs/>
          <w:i/>
        </w:rPr>
        <w:t xml:space="preserve">not</w:t>
      </w:r>
      <w:r>
        <w:t xml:space="preserve"> </w:t>
      </w:r>
      <w:r>
        <w:t xml:space="preserve">guarantee.</w:t>
      </w:r>
    </w:p>
    <w:p>
      <w:pPr>
        <w:numPr>
          <w:ilvl w:val="0"/>
          <w:numId w:val="1335"/>
        </w:numPr>
        <w:pStyle w:val="Compact"/>
      </w:pPr>
      <w:r>
        <w:t xml:space="preserve">Explain how a browser decides to trust a TLS certificate, and design certificate issuance and rotation for internal services.</w:t>
      </w:r>
    </w:p>
    <w:p>
      <w:pPr>
        <w:numPr>
          <w:ilvl w:val="0"/>
          <w:numId w:val="1335"/>
        </w:numPr>
        <w:pStyle w:val="Compact"/>
      </w:pPr>
      <w:r>
        <w:t xml:space="preserve">Store passwords with Argon2id, scrypt or bcrypt, choose cost parameters, and compute an attacker’s expected brute-force cost.</w:t>
      </w:r>
    </w:p>
    <w:p>
      <w:pPr>
        <w:numPr>
          <w:ilvl w:val="0"/>
          <w:numId w:val="1335"/>
        </w:numPr>
        <w:pStyle w:val="Compact"/>
      </w:pPr>
      <w:r>
        <w:t xml:space="preserve">Map each OWASP Top 10 (2021) category to an architectural control.</w:t>
      </w:r>
    </w:p>
    <w:p>
      <w:pPr>
        <w:numPr>
          <w:ilvl w:val="0"/>
          <w:numId w:val="1335"/>
        </w:numPr>
        <w:pStyle w:val="Compact"/>
      </w:pPr>
      <w:r>
        <w:t xml:space="preserve">Design secrets management with a vault, short-lived credentials and automated rotation.</w:t>
      </w:r>
    </w:p>
    <w:p>
      <w:pPr>
        <w:numPr>
          <w:ilvl w:val="0"/>
          <w:numId w:val="1335"/>
        </w:numPr>
        <w:pStyle w:val="Compact"/>
      </w:pPr>
      <w:r>
        <w:t xml:space="preserve">Explain envelope encryption with a key management service (KMS) and draw its sequence diagram.</w:t>
      </w:r>
    </w:p>
    <w:p>
      <w:pPr>
        <w:numPr>
          <w:ilvl w:val="0"/>
          <w:numId w:val="1335"/>
        </w:numPr>
        <w:pStyle w:val="Compact"/>
      </w:pPr>
      <w:r>
        <w:t xml:space="preserve">Contrast perimeter security with zero trust, and explain mTLS, least privilege and network segmentation.</w:t>
      </w:r>
    </w:p>
    <w:p>
      <w:pPr>
        <w:numPr>
          <w:ilvl w:val="0"/>
          <w:numId w:val="1335"/>
        </w:numPr>
        <w:pStyle w:val="Compact"/>
      </w:pPr>
      <w:r>
        <w:t xml:space="preserve">Classify DDoS attacks as volumetric, protocol or application-layer and place mitigations at the right layer.</w:t>
      </w:r>
    </w:p>
    <w:p>
      <w:pPr>
        <w:numPr>
          <w:ilvl w:val="0"/>
          <w:numId w:val="1335"/>
        </w:numPr>
        <w:pStyle w:val="Compact"/>
      </w:pPr>
      <w:r>
        <w:t xml:space="preserve">Design a tamper-evident audit log.</w:t>
      </w:r>
    </w:p>
    <w:p>
      <w:pPr>
        <w:numPr>
          <w:ilvl w:val="0"/>
          <w:numId w:val="1335"/>
        </w:numPr>
        <w:pStyle w:val="Compact"/>
      </w:pPr>
      <w:r>
        <w:t xml:space="preserve">Apply a security checklist to any system design.</w:t>
      </w:r>
    </w:p>
    <w:bookmarkEnd w:id="1078"/>
    <w:bookmarkStart w:id="1079" w:name="prerequisites-9"/>
    <w:p>
      <w:pPr>
        <w:pStyle w:val="Heading2"/>
      </w:pPr>
      <w:r>
        <w:t xml:space="preserve">10.2 Prerequisites</w:t>
      </w:r>
    </w:p>
    <w:p>
      <w:pPr>
        <w:numPr>
          <w:ilvl w:val="0"/>
          <w:numId w:val="1336"/>
        </w:numPr>
        <w:pStyle w:val="Compact"/>
      </w:pPr>
      <w:r>
        <w:t xml:space="preserve">TCP, UDP and the OSI layers — §7.3, §7.7, §7.8 (DDoS attacks target specific layers).</w:t>
      </w:r>
    </w:p>
    <w:p>
      <w:pPr>
        <w:numPr>
          <w:ilvl w:val="0"/>
          <w:numId w:val="1336"/>
        </w:numPr>
        <w:pStyle w:val="Compact"/>
      </w:pPr>
      <w:r>
        <w:t xml:space="preserve">TLS 1.3 and HTTPS — §7.10 (this chapter explains the cryptography and certificates underneath it).</w:t>
      </w:r>
    </w:p>
    <w:p>
      <w:pPr>
        <w:numPr>
          <w:ilvl w:val="0"/>
          <w:numId w:val="1336"/>
        </w:numPr>
        <w:pStyle w:val="Compact"/>
      </w:pPr>
      <w:r>
        <w:t xml:space="preserve">Firewalls and security groups — §7.14 (the starting point for network segmentation).</w:t>
      </w:r>
    </w:p>
    <w:p>
      <w:pPr>
        <w:numPr>
          <w:ilvl w:val="0"/>
          <w:numId w:val="1336"/>
        </w:numPr>
        <w:pStyle w:val="Compact"/>
      </w:pPr>
      <w:r>
        <w:t xml:space="preserve">Authentication, authorization, sessions, JWT and OAuth 2.0 — §8.10–§8.14 (we assume you know what a session token is).</w:t>
      </w:r>
    </w:p>
    <w:p>
      <w:pPr>
        <w:numPr>
          <w:ilvl w:val="0"/>
          <w:numId w:val="1336"/>
        </w:numPr>
        <w:pStyle w:val="Compact"/>
      </w:pPr>
      <w:r>
        <w:t xml:space="preserve">Powers of two and logarithms — §4.3, §4.4 (key sizes and brute-force estimates are exponential).</w:t>
      </w:r>
    </w:p>
    <w:p>
      <w:pPr>
        <w:numPr>
          <w:ilvl w:val="0"/>
          <w:numId w:val="1336"/>
        </w:numPr>
        <w:pStyle w:val="Compact"/>
      </w:pPr>
      <w:r>
        <w:t xml:space="preserve">Probability essentials — §4.6 (collision and risk estimates).</w:t>
      </w:r>
    </w:p>
    <w:bookmarkEnd w:id="1079"/>
    <w:bookmarkStart w:id="1095" w:name="threat-modeling"/>
    <w:p>
      <w:pPr>
        <w:pStyle w:val="Heading2"/>
      </w:pPr>
      <w:r>
        <w:t xml:space="preserve">10.3 Threat modeling</w:t>
      </w:r>
    </w:p>
    <w:bookmarkStart w:id="1081" w:name="what-secure-means-security-goals"/>
    <w:p>
      <w:pPr>
        <w:pStyle w:val="Heading3"/>
      </w:pPr>
      <w:r>
        <w:t xml:space="preserve">10.3.1 What</w:t>
      </w:r>
      <w:r>
        <w:t xml:space="preserve"> </w:t>
      </w:r>
      <w:r>
        <w:t xml:space="preserve">“</w:t>
      </w:r>
      <w:r>
        <w:t xml:space="preserve">secure</w:t>
      </w:r>
      <w:r>
        <w:t xml:space="preserve">”</w:t>
      </w:r>
      <w:r>
        <w:t xml:space="preserve"> </w:t>
      </w:r>
      <w:r>
        <w:t xml:space="preserve">means: security goals</w:t>
      </w:r>
    </w:p>
    <w:p>
      <w:pPr>
        <w:pStyle w:val="CalloutDefinition"/>
      </w:pPr>
      <w:r>
        <w:rPr>
          <w:bCs/>
          <w:b/>
        </w:rPr>
        <w:t xml:space="preserve">DEFINITION</w:t>
      </w:r>
    </w:p>
    <w:p>
      <w:pPr>
        <w:pStyle w:val="CalloutDefinition"/>
      </w:pPr>
      <w:r>
        <w:rPr>
          <w:bCs/>
          <w:b/>
        </w:rPr>
        <w:t xml:space="preserve">Definition — Security property.</w:t>
      </w:r>
      <w:r>
        <w:t xml:space="preserve"> </w:t>
      </w:r>
      <w:r>
        <w:t xml:space="preserve">A statement about what must remain true about a system even when an adversary is actively trying to violate it. The classic triad is</w:t>
      </w:r>
      <w:r>
        <w:t xml:space="preserve"> </w:t>
      </w:r>
      <w:r>
        <w:rPr>
          <w:bCs/>
          <w:b/>
        </w:rPr>
        <w:t xml:space="preserve">confidentiality</w:t>
      </w:r>
      <w:r>
        <w:t xml:space="preserve"> </w:t>
      </w:r>
      <w:r>
        <w:t xml:space="preserve">(only authorized parties can read data),</w:t>
      </w:r>
      <w:r>
        <w:t xml:space="preserve"> </w:t>
      </w:r>
      <w:r>
        <w:rPr>
          <w:bCs/>
          <w:b/>
        </w:rPr>
        <w:t xml:space="preserve">integrity</w:t>
      </w:r>
      <w:r>
        <w:t xml:space="preserve"> </w:t>
      </w:r>
      <w:r>
        <w:t xml:space="preserve">(data and behavior cannot be changed without detection) and</w:t>
      </w:r>
      <w:r>
        <w:t xml:space="preserve"> </w:t>
      </w:r>
      <w:r>
        <w:rPr>
          <w:bCs/>
          <w:b/>
        </w:rPr>
        <w:t xml:space="preserve">availability</w:t>
      </w:r>
      <w:r>
        <w:t xml:space="preserve"> </w:t>
      </w:r>
      <w:r>
        <w:t xml:space="preserve">(authorized parties can use the system when they need it), often abbreviated</w:t>
      </w:r>
      <w:r>
        <w:t xml:space="preserve"> </w:t>
      </w:r>
      <w:r>
        <w:rPr>
          <w:bCs/>
          <w:b/>
        </w:rPr>
        <w:t xml:space="preserve">CIA</w:t>
      </w:r>
      <w:r>
        <w:t xml:space="preserve">. System designers add</w:t>
      </w:r>
      <w:r>
        <w:t xml:space="preserve"> </w:t>
      </w:r>
      <w:r>
        <w:rPr>
          <w:bCs/>
          <w:b/>
        </w:rPr>
        <w:t xml:space="preserve">authentication</w:t>
      </w:r>
      <w:r>
        <w:t xml:space="preserve"> </w:t>
      </w:r>
      <w:r>
        <w:t xml:space="preserve">(knowing who is acting),</w:t>
      </w:r>
      <w:r>
        <w:t xml:space="preserve"> </w:t>
      </w:r>
      <w:r>
        <w:rPr>
          <w:bCs/>
          <w:b/>
        </w:rPr>
        <w:t xml:space="preserve">authorization</w:t>
      </w:r>
      <w:r>
        <w:t xml:space="preserve"> </w:t>
      </w:r>
      <w:r>
        <w:t xml:space="preserve">(deciding what that actor may do) and</w:t>
      </w:r>
      <w:r>
        <w:t xml:space="preserve"> </w:t>
      </w:r>
      <w:r>
        <w:rPr>
          <w:bCs/>
          <w:b/>
        </w:rPr>
        <w:t xml:space="preserve">non-repudiation</w:t>
      </w:r>
      <w:r>
        <w:t xml:space="preserve"> </w:t>
      </w:r>
      <w:r>
        <w:t xml:space="preserve">(an actor cannot credibly deny an action they took).</w:t>
      </w:r>
    </w:p>
    <w:bookmarkStart w:id="1080" w:name="first-principles-explanation-54"/>
    <w:p>
      <w:pPr>
        <w:pStyle w:val="Heading4"/>
      </w:pPr>
      <w:r>
        <w:t xml:space="preserve">First-principles explanation</w:t>
      </w:r>
    </w:p>
    <w:p>
      <w:pPr>
        <w:pStyle w:val="FirstParagraph"/>
      </w:pPr>
      <w:r>
        <w:t xml:space="preserve">Think about a house. Confidentiality is curtains: people outside cannot see your belongings. Integrity is a tamper seal on the medicine cabinet: you may not stop someone opening it, but you will know if they did. Availability is being able to get into your own home: a burglar who glues your lock shut has harmed you without stealing anything. Authentication is the doorman recognizing your face; authorization is the rule that your face opens the front door but not the neighbor’s flat. Non-repudiation is the signed visitor’s book: a visitor cannot later claim they were never there.</w:t>
      </w:r>
    </w:p>
    <w:p>
      <w:pPr>
        <w:pStyle w:val="BodyText"/>
      </w:pPr>
      <w:r>
        <w:t xml:space="preserve">“</w:t>
      </w:r>
      <w:r>
        <w:t xml:space="preserve">Is this system secure?</w:t>
      </w:r>
      <w:r>
        <w:t xml:space="preserve">”</w:t>
      </w:r>
      <w:r>
        <w:t xml:space="preserve"> </w:t>
      </w:r>
      <w:r>
        <w:t xml:space="preserve">has no answer on its own. The only answerable question is</w:t>
      </w:r>
      <w:r>
        <w:t xml:space="preserve"> </w:t>
      </w:r>
      <w:r>
        <w:t xml:space="preserve">“</w:t>
      </w:r>
      <w:r>
        <w:t xml:space="preserve">secure against</w:t>
      </w:r>
      <w:r>
        <w:t xml:space="preserve"> </w:t>
      </w:r>
      <w:r>
        <w:rPr>
          <w:iCs/>
          <w:i/>
        </w:rPr>
        <w:t xml:space="preserve">whom</w:t>
      </w:r>
      <w:r>
        <w:t xml:space="preserve">, protecting</w:t>
      </w:r>
      <w:r>
        <w:t xml:space="preserve"> </w:t>
      </w:r>
      <w:r>
        <w:rPr>
          <w:iCs/>
          <w:i/>
        </w:rPr>
        <w:t xml:space="preserve">what</w:t>
      </w:r>
      <w:r>
        <w:t xml:space="preserve">, with respect to</w:t>
      </w:r>
      <w:r>
        <w:t xml:space="preserve"> </w:t>
      </w:r>
      <w:r>
        <w:rPr>
          <w:iCs/>
          <w:i/>
        </w:rPr>
        <w:t xml:space="preserve">which</w:t>
      </w:r>
      <w:r>
        <w:t xml:space="preserve"> </w:t>
      </w:r>
      <w:r>
        <w:t xml:space="preserve">property?</w:t>
      </w:r>
      <w:r>
        <w:t xml:space="preserve">”</w:t>
      </w:r>
      <w:r>
        <w:t xml:space="preserve"> </w:t>
      </w:r>
      <w:r>
        <w:t xml:space="preserve">A public weather website needs integrity and availability but almost no confidentiality. A password database needs all three, and confidentiality failures there are catastrophic. Threat modeling is the discipline of asking these questions systematically instead of by intuition.</w:t>
      </w:r>
    </w:p>
    <w:bookmarkEnd w:id="1080"/>
    <w:bookmarkEnd w:id="1081"/>
    <w:bookmarkStart w:id="1082" w:name="assets-adversaries-and-trust-boundaries"/>
    <w:p>
      <w:pPr>
        <w:pStyle w:val="Heading3"/>
      </w:pPr>
      <w:r>
        <w:t xml:space="preserve">10.3.2 Assets, adversaries and trust boundaries</w:t>
      </w:r>
    </w:p>
    <w:p>
      <w:pPr>
        <w:pStyle w:val="CalloutDefinition"/>
      </w:pPr>
      <w:r>
        <w:rPr>
          <w:bCs/>
          <w:b/>
        </w:rPr>
        <w:t xml:space="preserve">DEFINITION</w:t>
      </w:r>
    </w:p>
    <w:p>
      <w:pPr>
        <w:pStyle w:val="CalloutDefinition"/>
      </w:pPr>
      <w:r>
        <w:rPr>
          <w:bCs/>
          <w:b/>
        </w:rPr>
        <w:t xml:space="preserve">Definition — Threat model.</w:t>
      </w:r>
      <w:r>
        <w:t xml:space="preserve"> </w:t>
      </w:r>
      <w:r>
        <w:t xml:space="preserve">A structured description of a system, the</w:t>
      </w:r>
      <w:r>
        <w:t xml:space="preserve"> </w:t>
      </w:r>
      <w:r>
        <w:rPr>
          <w:bCs/>
          <w:b/>
        </w:rPr>
        <w:t xml:space="preserve">assets</w:t>
      </w:r>
      <w:r>
        <w:t xml:space="preserve"> </w:t>
      </w:r>
      <w:r>
        <w:t xml:space="preserve">in it that are worth protecting, the</w:t>
      </w:r>
      <w:r>
        <w:t xml:space="preserve"> </w:t>
      </w:r>
      <w:r>
        <w:rPr>
          <w:bCs/>
          <w:b/>
        </w:rPr>
        <w:t xml:space="preserve">adversaries</w:t>
      </w:r>
      <w:r>
        <w:t xml:space="preserve"> </w:t>
      </w:r>
      <w:r>
        <w:t xml:space="preserve">who might attack it and their capabilities, the</w:t>
      </w:r>
      <w:r>
        <w:t xml:space="preserve"> </w:t>
      </w:r>
      <w:r>
        <w:rPr>
          <w:bCs/>
          <w:b/>
        </w:rPr>
        <w:t xml:space="preserve">threats</w:t>
      </w:r>
      <w:r>
        <w:t xml:space="preserve"> </w:t>
      </w:r>
      <w:r>
        <w:t xml:space="preserve">(ways a security property could be violated), and the</w:t>
      </w:r>
      <w:r>
        <w:t xml:space="preserve"> </w:t>
      </w:r>
      <w:r>
        <w:rPr>
          <w:bCs/>
          <w:b/>
        </w:rPr>
        <w:t xml:space="preserve">mitigations</w:t>
      </w:r>
      <w:r>
        <w:t xml:space="preserve"> </w:t>
      </w:r>
      <w:r>
        <w:t xml:space="preserve">chosen for each threat [Shostack 2014].</w:t>
      </w:r>
    </w:p>
    <w:p>
      <w:pPr>
        <w:pStyle w:val="CalloutDefinition"/>
      </w:pPr>
      <w:r>
        <w:rPr>
          <w:bCs/>
          <w:b/>
        </w:rPr>
        <w:t xml:space="preserve">DEFINITION</w:t>
      </w:r>
    </w:p>
    <w:p>
      <w:pPr>
        <w:pStyle w:val="CalloutDefinition"/>
      </w:pPr>
      <w:r>
        <w:rPr>
          <w:bCs/>
          <w:b/>
        </w:rPr>
        <w:t xml:space="preserve">Definition — Trust boundary.</w:t>
      </w:r>
      <w:r>
        <w:t xml:space="preserve"> </w:t>
      </w:r>
      <w:r>
        <w:t xml:space="preserve">A line in a system where the level of trust changes: data or requests crossing it come from a party that the receiving side does not fully control or trust. Examples: the internet-to-load-balancer edge, the browser-to-server connection, a service calling a third-party API, a tenant’s code running on shared infrastructure.</w:t>
      </w:r>
    </w:p>
    <w:p>
      <w:pPr>
        <w:pStyle w:val="BodyText"/>
      </w:pPr>
      <w:r>
        <w:rPr>
          <w:bCs/>
          <w:b/>
        </w:rPr>
        <w:t xml:space="preserve">Assets</w:t>
      </w:r>
      <w:r>
        <w:t xml:space="preserve"> </w:t>
      </w:r>
      <w:r>
        <w:t xml:space="preserve">are the things an attacker wants or the things you cannot afford to lose: user credentials, payment data, personal data, signing keys, the ability to send email from your domain, compute capacity (attackers mine cryptocurrency on stolen cloud accounts), and your reputation. Rank them: a leaked public product catalog is embarrassing; leaked password hashes or private keys are a crisis.</w:t>
      </w:r>
    </w:p>
    <w:p>
      <w:pPr>
        <w:pStyle w:val="BodyText"/>
      </w:pPr>
      <w:r>
        <w:rPr>
          <w:bCs/>
          <w:b/>
        </w:rPr>
        <w:t xml:space="preserve">Adversaries</w:t>
      </w:r>
      <w:r>
        <w:t xml:space="preserve"> </w:t>
      </w:r>
      <w:r>
        <w:t xml:space="preserve">range from automated opportunists (bots scanning the whole internet for default passwords and known vulnerabilities), through targeted external attackers who study</w:t>
      </w:r>
      <w:r>
        <w:t xml:space="preserve"> </w:t>
      </w:r>
      <w:r>
        <w:rPr>
          <w:iCs/>
          <w:i/>
        </w:rPr>
        <w:t xml:space="preserve">your</w:t>
      </w:r>
      <w:r>
        <w:t xml:space="preserve"> </w:t>
      </w:r>
      <w:r>
        <w:t xml:space="preserve">system and phish</w:t>
      </w:r>
      <w:r>
        <w:t xml:space="preserve"> </w:t>
      </w:r>
      <w:r>
        <w:rPr>
          <w:iCs/>
          <w:i/>
        </w:rPr>
        <w:t xml:space="preserve">your</w:t>
      </w:r>
      <w:r>
        <w:t xml:space="preserve"> </w:t>
      </w:r>
      <w:r>
        <w:t xml:space="preserve">employees, malicious or compromised</w:t>
      </w:r>
      <w:r>
        <w:t xml:space="preserve"> </w:t>
      </w:r>
      <w:r>
        <w:rPr>
          <w:bCs/>
          <w:b/>
        </w:rPr>
        <w:t xml:space="preserve">insiders</w:t>
      </w:r>
      <w:r>
        <w:t xml:space="preserve"> </w:t>
      </w:r>
      <w:r>
        <w:t xml:space="preserve">who already hold legitimate credentials, and supply-chain attackers who compromise a library or vendor you depend on, up to well-resourced state actors. Every internet-facing design must handle the first three. The insider is the one beginners forget, and the reason zero trust (§10.10) and audit logging (§10.12) exist.</w:t>
      </w:r>
    </w:p>
    <w:p>
      <w:pPr>
        <w:pStyle w:val="BodyText"/>
      </w:pPr>
      <w:r>
        <w:rPr>
          <w:bCs/>
          <w:b/>
        </w:rPr>
        <w:t xml:space="preserve">Trust boundaries</w:t>
      </w:r>
      <w:r>
        <w:t xml:space="preserve"> </w:t>
      </w:r>
      <w:r>
        <w:t xml:space="preserve">are where attacks happen. Inside a single process, data you created yourself can be trusted; the moment data crosses a boundary, it must be</w:t>
      </w:r>
      <w:r>
        <w:t xml:space="preserve"> </w:t>
      </w:r>
      <w:r>
        <w:rPr>
          <w:bCs/>
          <w:b/>
        </w:rPr>
        <w:t xml:space="preserve">authenticated</w:t>
      </w:r>
      <w:r>
        <w:t xml:space="preserve"> </w:t>
      </w:r>
      <w:r>
        <w:t xml:space="preserve">(who sent it?),</w:t>
      </w:r>
      <w:r>
        <w:t xml:space="preserve"> </w:t>
      </w:r>
      <w:r>
        <w:rPr>
          <w:bCs/>
          <w:b/>
        </w:rPr>
        <w:t xml:space="preserve">authorized</w:t>
      </w:r>
      <w:r>
        <w:t xml:space="preserve"> </w:t>
      </w:r>
      <w:r>
        <w:t xml:space="preserve">(are they allowed?) and</w:t>
      </w:r>
      <w:r>
        <w:t xml:space="preserve"> </w:t>
      </w:r>
      <w:r>
        <w:rPr>
          <w:bCs/>
          <w:b/>
        </w:rPr>
        <w:t xml:space="preserve">validated</w:t>
      </w:r>
      <w:r>
        <w:t xml:space="preserve"> </w:t>
      </w:r>
      <w:r>
        <w:t xml:space="preserve">(is it well-formed?). Almost every vulnerability class in §10.7 is a failure to do one of these three things at a boundary.</w:t>
      </w:r>
    </w:p>
    <w:bookmarkEnd w:id="1082"/>
    <w:bookmarkStart w:id="1088" w:name="data-flow-diagrams"/>
    <w:p>
      <w:pPr>
        <w:pStyle w:val="Heading3"/>
      </w:pPr>
      <w:r>
        <w:t xml:space="preserve">10.3.3 Data-flow diagrams</w:t>
      </w:r>
    </w:p>
    <w:bookmarkStart w:id="1083" w:name="how-it-works-internally-34"/>
    <w:p>
      <w:pPr>
        <w:pStyle w:val="Heading4"/>
      </w:pPr>
      <w:r>
        <w:t xml:space="preserve">How it works internally</w:t>
      </w:r>
    </w:p>
    <w:p>
      <w:pPr>
        <w:pStyle w:val="FirstParagraph"/>
      </w:pPr>
      <w:r>
        <w:t xml:space="preserve">A</w:t>
      </w:r>
      <w:r>
        <w:t xml:space="preserve"> </w:t>
      </w:r>
      <w:r>
        <w:rPr>
          <w:bCs/>
          <w:b/>
        </w:rPr>
        <w:t xml:space="preserve">data-flow diagram (DFD)</w:t>
      </w:r>
      <w:r>
        <w:t xml:space="preserve"> </w:t>
      </w:r>
      <w:r>
        <w:t xml:space="preserve">is the standard picture for threat modeling. It uses only four element types, plus boundaries:</w:t>
      </w:r>
    </w:p>
    <w:p>
      <w:pPr>
        <w:numPr>
          <w:ilvl w:val="0"/>
          <w:numId w:val="1337"/>
        </w:numPr>
        <w:pStyle w:val="Compact"/>
      </w:pPr>
      <w:r>
        <w:rPr>
          <w:bCs/>
          <w:b/>
        </w:rPr>
        <w:t xml:space="preserve">External entity</w:t>
      </w:r>
      <w:r>
        <w:t xml:space="preserve"> </w:t>
      </w:r>
      <w:r>
        <w:t xml:space="preserve">— something outside your control that sends or receives data (a user, a partner API).</w:t>
      </w:r>
    </w:p>
    <w:p>
      <w:pPr>
        <w:numPr>
          <w:ilvl w:val="0"/>
          <w:numId w:val="1337"/>
        </w:numPr>
        <w:pStyle w:val="Compact"/>
      </w:pPr>
      <w:r>
        <w:rPr>
          <w:bCs/>
          <w:b/>
        </w:rPr>
        <w:t xml:space="preserve">Process</w:t>
      </w:r>
      <w:r>
        <w:t xml:space="preserve"> </w:t>
      </w:r>
      <w:r>
        <w:t xml:space="preserve">— code that transforms data (a web server, a worker).</w:t>
      </w:r>
    </w:p>
    <w:p>
      <w:pPr>
        <w:numPr>
          <w:ilvl w:val="0"/>
          <w:numId w:val="1337"/>
        </w:numPr>
        <w:pStyle w:val="Compact"/>
      </w:pPr>
      <w:r>
        <w:rPr>
          <w:bCs/>
          <w:b/>
        </w:rPr>
        <w:t xml:space="preserve">Data store</w:t>
      </w:r>
      <w:r>
        <w:t xml:space="preserve"> </w:t>
      </w:r>
      <w:r>
        <w:t xml:space="preserve">— where data rests (a database, a bucket, a cache, a log).</w:t>
      </w:r>
    </w:p>
    <w:p>
      <w:pPr>
        <w:numPr>
          <w:ilvl w:val="0"/>
          <w:numId w:val="1337"/>
        </w:numPr>
        <w:pStyle w:val="Compact"/>
      </w:pPr>
      <w:r>
        <w:rPr>
          <w:bCs/>
          <w:b/>
        </w:rPr>
        <w:t xml:space="preserve">Data flow</w:t>
      </w:r>
      <w:r>
        <w:t xml:space="preserve"> </w:t>
      </w:r>
      <w:r>
        <w:t xml:space="preserve">— an arrow showing data moving between the above, labeled with what moves and over which protocol.</w:t>
      </w:r>
    </w:p>
    <w:p>
      <w:pPr>
        <w:numPr>
          <w:ilvl w:val="0"/>
          <w:numId w:val="1337"/>
        </w:numPr>
        <w:pStyle w:val="Compact"/>
      </w:pPr>
      <w:r>
        <w:rPr>
          <w:bCs/>
          <w:b/>
        </w:rPr>
        <w:t xml:space="preserve">Trust boundary</w:t>
      </w:r>
      <w:r>
        <w:t xml:space="preserve"> </w:t>
      </w:r>
      <w:r>
        <w:t xml:space="preserve">— a dashed box or line where trust changes.</w:t>
      </w:r>
    </w:p>
    <w:p>
      <w:pPr>
        <w:pStyle w:val="FirstParagraph"/>
      </w:pPr>
      <w:r>
        <w:t xml:space="preserve">The rules are deliberately simple so that every engineer on a team can draw one in ten minutes. The value is not the drawing; it is that each arrow crossing a boundary becomes a question:</w:t>
      </w:r>
      <w:r>
        <w:t xml:space="preserve"> </w:t>
      </w:r>
      <w:r>
        <w:rPr>
          <w:iCs/>
          <w:i/>
        </w:rPr>
        <w:t xml:space="preserve">how is this authenticated, authorized, validated and protected in transit?</w:t>
      </w:r>
    </w:p>
    <w:p>
      <w:pPr>
        <w:pStyle w:val="BodyText"/>
      </w:pPr>
      <w:r>
        <w:t xml:space="preserve">Shostack frames the whole exercise as four questions [Shostack 2014]:</w:t>
      </w:r>
      <w:r>
        <w:t xml:space="preserve"> </w:t>
      </w:r>
      <w:r>
        <w:rPr>
          <w:bCs/>
          <w:b/>
        </w:rPr>
        <w:t xml:space="preserve">What are we working on?</w:t>
      </w:r>
      <w:r>
        <w:t xml:space="preserve"> </w:t>
      </w:r>
      <w:r>
        <w:t xml:space="preserve">(draw the DFD) ·</w:t>
      </w:r>
      <w:r>
        <w:t xml:space="preserve"> </w:t>
      </w:r>
      <w:r>
        <w:rPr>
          <w:bCs/>
          <w:b/>
        </w:rPr>
        <w:t xml:space="preserve">What can go wrong?</w:t>
      </w:r>
      <w:r>
        <w:t xml:space="preserve"> </w:t>
      </w:r>
      <w:r>
        <w:t xml:space="preserve">(apply STRIDE) ·</w:t>
      </w:r>
      <w:r>
        <w:t xml:space="preserve"> </w:t>
      </w:r>
      <w:r>
        <w:rPr>
          <w:bCs/>
          <w:b/>
        </w:rPr>
        <w:t xml:space="preserve">What are we going to do about it?</w:t>
      </w:r>
      <w:r>
        <w:t xml:space="preserve"> </w:t>
      </w:r>
      <w:r>
        <w:t xml:space="preserve">(choose mitigations) ·</w:t>
      </w:r>
      <w:r>
        <w:t xml:space="preserve"> </w:t>
      </w:r>
      <w:r>
        <w:rPr>
          <w:bCs/>
          <w:b/>
        </w:rPr>
        <w:t xml:space="preserve">Did we do a good job?</w:t>
      </w:r>
      <w:r>
        <w:t xml:space="preserve"> </w:t>
      </w:r>
      <w:r>
        <w:t xml:space="preserve">(review and test).</w:t>
      </w:r>
    </w:p>
    <w:bookmarkEnd w:id="1083"/>
    <w:bookmarkStart w:id="1087" w:name="architecture-diagram-10"/>
    <w:p>
      <w:pPr>
        <w:pStyle w:val="Heading4"/>
      </w:pPr>
      <w:r>
        <w:t xml:space="preserve">Architecture diagram</w:t>
      </w:r>
    </w:p>
    <w:p>
      <w:pPr>
        <w:pStyle w:val="FirstParagraph"/>
      </w:pPr>
      <w:r>
        <w:rPr>
          <w:bCs/>
          <w:b/>
        </w:rPr>
        <w:t xml:space="preserve">Figure 10.1 — Data-flow diagram of a photo-sharing web application with trust boundaries.</w:t>
      </w:r>
    </w:p>
    <w:p>
      <w:pPr>
        <w:pStyle w:val="BodyText"/>
      </w:pPr>
      <w:r>
        <w:drawing>
          <wp:inline>
            <wp:extent cx="5334000" cy="954317"/>
            <wp:effectExtent b="0" l="0" r="0" t="0"/>
            <wp:docPr descr="" title="" id="1085" name="Picture"/>
            <a:graphic>
              <a:graphicData uri="http://schemas.openxmlformats.org/drawingml/2006/picture">
                <pic:pic>
                  <pic:nvPicPr>
                    <pic:cNvPr descr="/home/user/System-Design/build/.cache/diagrams/b57c074dc3b4.png" id="1086" name="Picture"/>
                    <pic:cNvPicPr>
                      <a:picLocks noChangeArrowheads="1" noChangeAspect="1"/>
                    </pic:cNvPicPr>
                  </pic:nvPicPr>
                  <pic:blipFill>
                    <a:blip r:embed="rId1084"/>
                    <a:stretch>
                      <a:fillRect/>
                    </a:stretch>
                  </pic:blipFill>
                  <pic:spPr bwMode="auto">
                    <a:xfrm>
                      <a:off x="0" y="0"/>
                      <a:ext cx="5334000" cy="954317"/>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Two external entities (the user’s browser and an administrator) and one external system (a payment provider, hexagon) sit outside every boundary. Trust boundary 1 is the internet edge: the CDN with a web application firewall (WAF) and the TLS-terminating load balancer are the first components that see untrusted traffic, so they carry rate limiting and coarse filtering. Trust boundary 2 is the application network: the web API is the only process that authenticates users and authorizes actions; it talks to the load balancer over mutual TLS. Solid arrows are synchronous request/response flows; the dotted arrows to and from the job queue are asynchronous — the thumbnail worker processes uploads later, so a failure there delays thumbnails but does not break uploads. Trust boundary 3 contains the storage: the database and object store accept connections only from the application subnet. Notice where the risky crossings are: every arrow from</w:t>
      </w:r>
      <w:r>
        <w:t xml:space="preserve"> </w:t>
      </w:r>
      <w:r>
        <w:rPr>
          <w:rStyle w:val="VerbatimChar"/>
        </w:rPr>
        <w:t xml:space="preserve">U</w:t>
      </w:r>
      <w:r>
        <w:t xml:space="preserve">,</w:t>
      </w:r>
      <w:r>
        <w:t xml:space="preserve"> </w:t>
      </w:r>
      <w:r>
        <w:rPr>
          <w:rStyle w:val="VerbatimChar"/>
        </w:rPr>
        <w:t xml:space="preserve">ADM</w:t>
      </w:r>
      <w:r>
        <w:t xml:space="preserve"> </w:t>
      </w:r>
      <w:r>
        <w:t xml:space="preserve">and</w:t>
      </w:r>
      <w:r>
        <w:t xml:space="preserve"> </w:t>
      </w:r>
      <w:r>
        <w:rPr>
          <w:rStyle w:val="VerbatimChar"/>
        </w:rPr>
        <w:t xml:space="preserve">PAY</w:t>
      </w:r>
      <w:r>
        <w:t xml:space="preserve"> </w:t>
      </w:r>
      <w:r>
        <w:t xml:space="preserve">crosses at least one boundary, and the worker parses user-uploaded image files, which is a classic place for parser vulnerabilities. Scaling options (more web replicas, more workers) do not change the boundaries, but each new data store or third-party integration adds a new arrow that must be modeled.</w:t>
      </w:r>
    </w:p>
    <w:bookmarkEnd w:id="1087"/>
    <w:bookmarkEnd w:id="1088"/>
    <w:bookmarkStart w:id="1089" w:name="stride"/>
    <w:p>
      <w:pPr>
        <w:pStyle w:val="Heading3"/>
      </w:pPr>
      <w:r>
        <w:t xml:space="preserve">10.3.4 STRIDE</w:t>
      </w:r>
    </w:p>
    <w:p>
      <w:pPr>
        <w:pStyle w:val="CalloutDefinition"/>
      </w:pPr>
      <w:r>
        <w:rPr>
          <w:bCs/>
          <w:b/>
        </w:rPr>
        <w:t xml:space="preserve">DEFINITION</w:t>
      </w:r>
    </w:p>
    <w:p>
      <w:pPr>
        <w:pStyle w:val="CalloutDefinition"/>
      </w:pPr>
      <w:r>
        <w:rPr>
          <w:bCs/>
          <w:b/>
        </w:rPr>
        <w:t xml:space="preserve">Definition — STRIDE.</w:t>
      </w:r>
      <w:r>
        <w:t xml:space="preserve"> </w:t>
      </w:r>
      <w:r>
        <w:t xml:space="preserve">A mnemonic for six threat categories, developed at Microsoft in 1999 by Loren Kohnfelder and Praerit Garg and popularized by Shostack [Shostack 2014]:</w:t>
      </w:r>
      <w:r>
        <w:t xml:space="preserve"> </w:t>
      </w:r>
      <w:r>
        <w:rPr>
          <w:bCs/>
          <w:b/>
        </w:rPr>
        <w:t xml:space="preserve">S</w:t>
      </w:r>
      <w:r>
        <w:t xml:space="preserve">poofing,</w:t>
      </w:r>
      <w:r>
        <w:t xml:space="preserve"> </w:t>
      </w:r>
      <w:r>
        <w:rPr>
          <w:bCs/>
          <w:b/>
        </w:rPr>
        <w:t xml:space="preserve">T</w:t>
      </w:r>
      <w:r>
        <w:t xml:space="preserve">ampering,</w:t>
      </w:r>
      <w:r>
        <w:t xml:space="preserve"> </w:t>
      </w:r>
      <w:r>
        <w:rPr>
          <w:bCs/>
          <w:b/>
        </w:rPr>
        <w:t xml:space="preserve">R</w:t>
      </w:r>
      <w:r>
        <w:t xml:space="preserve">epudiation,</w:t>
      </w:r>
      <w:r>
        <w:t xml:space="preserve"> </w:t>
      </w:r>
      <w:r>
        <w:rPr>
          <w:bCs/>
          <w:b/>
        </w:rPr>
        <w:t xml:space="preserve">I</w:t>
      </w:r>
      <w:r>
        <w:t xml:space="preserve">nformation disclosure,</w:t>
      </w:r>
      <w:r>
        <w:t xml:space="preserve"> </w:t>
      </w:r>
      <w:r>
        <w:rPr>
          <w:bCs/>
          <w:b/>
        </w:rPr>
        <w:t xml:space="preserve">D</w:t>
      </w:r>
      <w:r>
        <w:t xml:space="preserve">enial of service and</w:t>
      </w:r>
      <w:r>
        <w:t xml:space="preserve"> </w:t>
      </w:r>
      <w:r>
        <w:rPr>
          <w:bCs/>
          <w:b/>
        </w:rPr>
        <w:t xml:space="preserve">E</w:t>
      </w:r>
      <w:r>
        <w:t xml:space="preserve">levation of privilege. Each category is the violation of one security property.</w:t>
      </w:r>
    </w:p>
    <w:p>
      <w:pPr>
        <w:pStyle w:val="BodyText"/>
      </w:pPr>
      <w:r>
        <w:rPr>
          <w:bCs/>
          <w:b/>
        </w:rPr>
        <w:t xml:space="preserve">Table 10.1 — STRIDE categories, the property each violates, and typical mitigations.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Threat</w:t>
            </w:r>
          </w:p>
        </w:tc>
        <w:tc>
          <w:tcPr/>
          <w:p>
            <w:pPr>
              <w:pStyle w:val="Compact"/>
              <w:jc w:val="left"/>
            </w:pPr>
            <w:r>
              <w:t xml:space="preserve">Violates</w:t>
            </w:r>
          </w:p>
        </w:tc>
        <w:tc>
          <w:tcPr/>
          <w:p>
            <w:pPr>
              <w:pStyle w:val="Compact"/>
              <w:jc w:val="left"/>
            </w:pPr>
            <w:r>
              <w:t xml:space="preserve">Plain-language question</w:t>
            </w:r>
          </w:p>
        </w:tc>
        <w:tc>
          <w:tcPr/>
          <w:p>
            <w:pPr>
              <w:pStyle w:val="Compact"/>
              <w:jc w:val="left"/>
            </w:pPr>
            <w:r>
              <w:t xml:space="preserve">Typical mitigations</w:t>
            </w:r>
          </w:p>
        </w:tc>
      </w:tr>
      <w:tr>
        <w:tc>
          <w:tcPr/>
          <w:p>
            <w:pPr>
              <w:pStyle w:val="Compact"/>
              <w:jc w:val="left"/>
            </w:pPr>
            <w:r>
              <w:t xml:space="preserve">Spoofing</w:t>
            </w:r>
          </w:p>
        </w:tc>
        <w:tc>
          <w:tcPr/>
          <w:p>
            <w:pPr>
              <w:pStyle w:val="Compact"/>
              <w:jc w:val="left"/>
            </w:pPr>
            <w:r>
              <w:t xml:space="preserve">Authentication</w:t>
            </w:r>
          </w:p>
        </w:tc>
        <w:tc>
          <w:tcPr/>
          <w:p>
            <w:pPr>
              <w:pStyle w:val="Compact"/>
              <w:jc w:val="left"/>
            </w:pPr>
            <w:r>
              <w:t xml:space="preserve">Can someone pretend to be another user or service?</w:t>
            </w:r>
          </w:p>
        </w:tc>
        <w:tc>
          <w:tcPr/>
          <w:p>
            <w:pPr>
              <w:pStyle w:val="Compact"/>
              <w:jc w:val="left"/>
            </w:pPr>
            <w:r>
              <w:t xml:space="preserve">Strong authentication, MFA, mTLS, signed tokens</w:t>
            </w:r>
          </w:p>
        </w:tc>
      </w:tr>
      <w:tr>
        <w:tc>
          <w:tcPr/>
          <w:p>
            <w:pPr>
              <w:pStyle w:val="Compact"/>
              <w:jc w:val="left"/>
            </w:pPr>
            <w:r>
              <w:t xml:space="preserve">Tampering</w:t>
            </w:r>
          </w:p>
        </w:tc>
        <w:tc>
          <w:tcPr/>
          <w:p>
            <w:pPr>
              <w:pStyle w:val="Compact"/>
              <w:jc w:val="left"/>
            </w:pPr>
            <w:r>
              <w:t xml:space="preserve">Integrity</w:t>
            </w:r>
          </w:p>
        </w:tc>
        <w:tc>
          <w:tcPr/>
          <w:p>
            <w:pPr>
              <w:pStyle w:val="Compact"/>
              <w:jc w:val="left"/>
            </w:pPr>
            <w:r>
              <w:t xml:space="preserve">Can someone change data in transit or at rest?</w:t>
            </w:r>
          </w:p>
        </w:tc>
        <w:tc>
          <w:tcPr/>
          <w:p>
            <w:pPr>
              <w:pStyle w:val="Compact"/>
              <w:jc w:val="left"/>
            </w:pPr>
            <w:r>
              <w:t xml:space="preserve">TLS, MACs, signatures, AEAD encryption, DB permissions</w:t>
            </w:r>
          </w:p>
        </w:tc>
      </w:tr>
      <w:tr>
        <w:tc>
          <w:tcPr/>
          <w:p>
            <w:pPr>
              <w:pStyle w:val="Compact"/>
              <w:jc w:val="left"/>
            </w:pPr>
            <w:r>
              <w:t xml:space="preserve">Repudiation</w:t>
            </w:r>
          </w:p>
        </w:tc>
        <w:tc>
          <w:tcPr/>
          <w:p>
            <w:pPr>
              <w:pStyle w:val="Compact"/>
              <w:jc w:val="left"/>
            </w:pPr>
            <w:r>
              <w:t xml:space="preserve">Non-repudiation</w:t>
            </w:r>
          </w:p>
        </w:tc>
        <w:tc>
          <w:tcPr/>
          <w:p>
            <w:pPr>
              <w:pStyle w:val="Compact"/>
              <w:jc w:val="left"/>
            </w:pPr>
            <w:r>
              <w:t xml:space="preserve">Can someone deny doing something?</w:t>
            </w:r>
          </w:p>
        </w:tc>
        <w:tc>
          <w:tcPr/>
          <w:p>
            <w:pPr>
              <w:pStyle w:val="Compact"/>
              <w:jc w:val="left"/>
            </w:pPr>
            <w:r>
              <w:t xml:space="preserve">Audit logs, signatures, tamper-evident storage</w:t>
            </w:r>
          </w:p>
        </w:tc>
      </w:tr>
      <w:tr>
        <w:tc>
          <w:tcPr/>
          <w:p>
            <w:pPr>
              <w:pStyle w:val="Compact"/>
              <w:jc w:val="left"/>
            </w:pPr>
            <w:r>
              <w:t xml:space="preserve">Information disclosure</w:t>
            </w:r>
          </w:p>
        </w:tc>
        <w:tc>
          <w:tcPr/>
          <w:p>
            <w:pPr>
              <w:pStyle w:val="Compact"/>
              <w:jc w:val="left"/>
            </w:pPr>
            <w:r>
              <w:t xml:space="preserve">Confidentiality</w:t>
            </w:r>
          </w:p>
        </w:tc>
        <w:tc>
          <w:tcPr/>
          <w:p>
            <w:pPr>
              <w:pStyle w:val="Compact"/>
              <w:jc w:val="left"/>
            </w:pPr>
            <w:r>
              <w:t xml:space="preserve">Can someone read what they should not?</w:t>
            </w:r>
          </w:p>
        </w:tc>
        <w:tc>
          <w:tcPr/>
          <w:p>
            <w:pPr>
              <w:pStyle w:val="Compact"/>
              <w:jc w:val="left"/>
            </w:pPr>
            <w:r>
              <w:t xml:space="preserve">Encryption, access control, data minimization</w:t>
            </w:r>
          </w:p>
        </w:tc>
      </w:tr>
      <w:tr>
        <w:tc>
          <w:tcPr/>
          <w:p>
            <w:pPr>
              <w:pStyle w:val="Compact"/>
              <w:jc w:val="left"/>
            </w:pPr>
            <w:r>
              <w:t xml:space="preserve">Denial of service</w:t>
            </w:r>
          </w:p>
        </w:tc>
        <w:tc>
          <w:tcPr/>
          <w:p>
            <w:pPr>
              <w:pStyle w:val="Compact"/>
              <w:jc w:val="left"/>
            </w:pPr>
            <w:r>
              <w:t xml:space="preserve">Availability</w:t>
            </w:r>
          </w:p>
        </w:tc>
        <w:tc>
          <w:tcPr/>
          <w:p>
            <w:pPr>
              <w:pStyle w:val="Compact"/>
              <w:jc w:val="left"/>
            </w:pPr>
            <w:r>
              <w:t xml:space="preserve">Can someone stop legitimate use?</w:t>
            </w:r>
          </w:p>
        </w:tc>
        <w:tc>
          <w:tcPr/>
          <w:p>
            <w:pPr>
              <w:pStyle w:val="Compact"/>
              <w:jc w:val="left"/>
            </w:pPr>
            <w:r>
              <w:t xml:space="preserve">Rate limits, quotas, autoscaling, DDoS protection</w:t>
            </w:r>
          </w:p>
        </w:tc>
      </w:tr>
      <w:tr>
        <w:tc>
          <w:tcPr/>
          <w:p>
            <w:pPr>
              <w:pStyle w:val="Compact"/>
              <w:jc w:val="left"/>
            </w:pPr>
            <w:r>
              <w:t xml:space="preserve">Elevation of privilege</w:t>
            </w:r>
          </w:p>
        </w:tc>
        <w:tc>
          <w:tcPr/>
          <w:p>
            <w:pPr>
              <w:pStyle w:val="Compact"/>
              <w:jc w:val="left"/>
            </w:pPr>
            <w:r>
              <w:t xml:space="preserve">Authorization</w:t>
            </w:r>
          </w:p>
        </w:tc>
        <w:tc>
          <w:tcPr/>
          <w:p>
            <w:pPr>
              <w:pStyle w:val="Compact"/>
              <w:jc w:val="left"/>
            </w:pPr>
            <w:r>
              <w:t xml:space="preserve">Can someone gain rights they were not granted?</w:t>
            </w:r>
          </w:p>
        </w:tc>
        <w:tc>
          <w:tcPr/>
          <w:p>
            <w:pPr>
              <w:pStyle w:val="Compact"/>
              <w:jc w:val="left"/>
            </w:pPr>
            <w:r>
              <w:t xml:space="preserve">Least privilege, authorization checks on every request, sandboxing</w:t>
            </w:r>
          </w:p>
        </w:tc>
      </w:tr>
    </w:tbl>
    <w:p>
      <w:pPr>
        <w:pStyle w:val="BodyText"/>
      </w:pPr>
      <w:r>
        <w:t xml:space="preserve">You apply STRIDE</w:t>
      </w:r>
      <w:r>
        <w:t xml:space="preserve"> </w:t>
      </w:r>
      <w:r>
        <w:rPr>
          <w:bCs/>
          <w:b/>
        </w:rPr>
        <w:t xml:space="preserve">per element</w:t>
      </w:r>
      <w:r>
        <w:t xml:space="preserve"> </w:t>
      </w:r>
      <w:r>
        <w:t xml:space="preserve">of the DFD: for each process, data store and flow, walk through the six letters and ask whether the threat applies. Not every letter applies to every element type: an external entity can be spoofed but cannot be</w:t>
      </w:r>
      <w:r>
        <w:t xml:space="preserve"> </w:t>
      </w:r>
      <w:r>
        <w:t xml:space="preserve">“</w:t>
      </w:r>
      <w:r>
        <w:t xml:space="preserve">tampered with</w:t>
      </w:r>
      <w:r>
        <w:t xml:space="preserve">”</w:t>
      </w:r>
      <w:r>
        <w:t xml:space="preserve"> </w:t>
      </w:r>
      <w:r>
        <w:t xml:space="preserve">by you; a data flow can be tampered with, disclosed or flooded. This mechanical walk-through is what makes STRIDE useful — it stops you from fixating on the one threat you happened to think of first.</w:t>
      </w:r>
    </w:p>
    <w:bookmarkEnd w:id="1089"/>
    <w:bookmarkStart w:id="1094" w:name="X996645508458eae361b6917eba946fac9734473"/>
    <w:p>
      <w:pPr>
        <w:pStyle w:val="Heading3"/>
      </w:pPr>
      <w:r>
        <w:t xml:space="preserve">10.3.5 Worked example: STRIDE on the photo-sharing application</w:t>
      </w:r>
    </w:p>
    <w:p>
      <w:pPr>
        <w:pStyle w:val="CalloutExample"/>
      </w:pPr>
      <w:r>
        <w:rPr>
          <w:bCs/>
          <w:b/>
        </w:rPr>
        <w:t xml:space="preserve">WORKED EXAMPLE</w:t>
      </w:r>
    </w:p>
    <w:p>
      <w:pPr>
        <w:pStyle w:val="CalloutExample"/>
      </w:pPr>
      <w:r>
        <w:rPr>
          <w:bCs/>
          <w:b/>
        </w:rPr>
        <w:t xml:space="preserve">Worked example — STRIDE pass over Figure 10.1.</w:t>
      </w:r>
    </w:p>
    <w:p>
      <w:pPr>
        <w:pStyle w:val="CalloutExample"/>
      </w:pPr>
      <w:r>
        <w:rPr>
          <w:iCs/>
          <w:i/>
        </w:rPr>
        <w:t xml:space="preserve">Step 1 — Assets.</w:t>
      </w:r>
      <w:r>
        <w:t xml:space="preserve"> </w:t>
      </w:r>
      <w:r>
        <w:t xml:space="preserve">User credentials and session tokens; private photos; payment tokens returned by the provider; admin capabilities (delete any account); the database administrator credentials; the TLS private keys.</w:t>
      </w:r>
    </w:p>
    <w:p>
      <w:pPr>
        <w:pStyle w:val="CalloutExample"/>
      </w:pPr>
      <w:r>
        <w:rPr>
          <w:iCs/>
          <w:i/>
        </w:rPr>
        <w:t xml:space="preserve">Step 2 — Walk each boundary-crossing element.</w:t>
      </w:r>
      <w:r>
        <w:t xml:space="preserve"> </w:t>
      </w:r>
      <w:r>
        <w:t xml:space="preserve">The table below shows a representative (not exhaustive) result.</w:t>
      </w:r>
    </w:p>
    <w:p>
      <w:pPr>
        <w:pStyle w:val="CalloutExample"/>
      </w:pPr>
      <w:r>
        <w:rPr>
          <w:iCs/>
          <w:i/>
        </w:rPr>
        <w:t xml:space="preserve">Step 3 — Rank.</w:t>
      </w:r>
      <w:r>
        <w:t xml:space="preserve"> </w:t>
      </w:r>
      <w:r>
        <w:t xml:space="preserve">Score each threat for likelihood and impact on a 1–3 scale (see the risk-score formula below) and fix high scores first.</w:t>
      </w:r>
    </w:p>
    <w:p>
      <w:pPr>
        <w:pStyle w:val="CalloutExample"/>
      </w:pPr>
      <w:r>
        <w:rPr>
          <w:iCs/>
          <w:i/>
        </w:rPr>
        <w:t xml:space="preserve">Step 4 — Record.</w:t>
      </w:r>
      <w:r>
        <w:t xml:space="preserve"> </w:t>
      </w:r>
      <w:r>
        <w:t xml:space="preserve">The result is a short table in the design document, owned by the team, revisited whenever the DFD changes.</w:t>
      </w:r>
    </w:p>
    <w:p>
      <w:pPr>
        <w:pStyle w:val="BodyText"/>
      </w:pPr>
      <w:r>
        <w:rPr>
          <w:bCs/>
          <w:b/>
        </w:rPr>
        <w:t xml:space="preserve">Table 10.2 — STRIDE threats for the photo-sharing application (excerpt).</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Element</w:t>
            </w:r>
          </w:p>
        </w:tc>
        <w:tc>
          <w:tcPr/>
          <w:p>
            <w:pPr>
              <w:pStyle w:val="Compact"/>
              <w:jc w:val="left"/>
            </w:pPr>
            <w:r>
              <w:t xml:space="preserve">STRIDE</w:t>
            </w:r>
          </w:p>
        </w:tc>
        <w:tc>
          <w:tcPr/>
          <w:p>
            <w:pPr>
              <w:pStyle w:val="Compact"/>
              <w:jc w:val="left"/>
            </w:pPr>
            <w:r>
              <w:t xml:space="preserve">Threat</w:t>
            </w:r>
          </w:p>
        </w:tc>
        <w:tc>
          <w:tcPr/>
          <w:p>
            <w:pPr>
              <w:pStyle w:val="Compact"/>
              <w:jc w:val="left"/>
            </w:pPr>
            <w:r>
              <w:t xml:space="preserve">Mitigation</w:t>
            </w:r>
          </w:p>
        </w:tc>
        <w:tc>
          <w:tcPr/>
          <w:p>
            <w:pPr>
              <w:pStyle w:val="Compact"/>
              <w:jc w:val="left"/>
            </w:pPr>
            <w:r>
              <w:t xml:space="preserve">L × I</w:t>
            </w:r>
          </w:p>
        </w:tc>
      </w:tr>
      <w:tr>
        <w:tc>
          <w:tcPr/>
          <w:p>
            <w:pPr>
              <w:pStyle w:val="Compact"/>
              <w:jc w:val="left"/>
            </w:pPr>
            <w:r>
              <w:t xml:space="preserve">T1</w:t>
            </w:r>
          </w:p>
        </w:tc>
        <w:tc>
          <w:tcPr/>
          <w:p>
            <w:pPr>
              <w:pStyle w:val="Compact"/>
              <w:jc w:val="left"/>
            </w:pPr>
            <w:r>
              <w:t xml:space="preserve">User → Web API</w:t>
            </w:r>
          </w:p>
        </w:tc>
        <w:tc>
          <w:tcPr/>
          <w:p>
            <w:pPr>
              <w:pStyle w:val="Compact"/>
              <w:jc w:val="left"/>
            </w:pPr>
            <w:r>
              <w:t xml:space="preserve">S</w:t>
            </w:r>
          </w:p>
        </w:tc>
        <w:tc>
          <w:tcPr/>
          <w:p>
            <w:pPr>
              <w:pStyle w:val="Compact"/>
              <w:jc w:val="left"/>
            </w:pPr>
            <w:r>
              <w:t xml:space="preserve">Credential stuffing with passwords leaked from other sites</w:t>
            </w:r>
          </w:p>
        </w:tc>
        <w:tc>
          <w:tcPr/>
          <w:p>
            <w:pPr>
              <w:pStyle w:val="Compact"/>
              <w:jc w:val="left"/>
            </w:pPr>
            <w:r>
              <w:t xml:space="preserve">Rate limit per account and IP; breached-password check; MFA; Argon2id storage</w:t>
            </w:r>
          </w:p>
        </w:tc>
        <w:tc>
          <w:tcPr/>
          <w:p>
            <w:pPr>
              <w:pStyle w:val="Compact"/>
              <w:jc w:val="left"/>
            </w:pPr>
            <w:r>
              <w:t xml:space="preserve">3 × 3 = 9</w:t>
            </w:r>
          </w:p>
        </w:tc>
      </w:tr>
      <w:tr>
        <w:tc>
          <w:tcPr/>
          <w:p>
            <w:pPr>
              <w:pStyle w:val="Compact"/>
              <w:jc w:val="left"/>
            </w:pPr>
            <w:r>
              <w:t xml:space="preserve">T2</w:t>
            </w:r>
          </w:p>
        </w:tc>
        <w:tc>
          <w:tcPr/>
          <w:p>
            <w:pPr>
              <w:pStyle w:val="Compact"/>
              <w:jc w:val="left"/>
            </w:pPr>
            <w:r>
              <w:t xml:space="preserve">Web API</w:t>
            </w:r>
          </w:p>
        </w:tc>
        <w:tc>
          <w:tcPr/>
          <w:p>
            <w:pPr>
              <w:pStyle w:val="Compact"/>
              <w:jc w:val="left"/>
            </w:pPr>
            <w:r>
              <w:t xml:space="preserve">E</w:t>
            </w:r>
          </w:p>
        </w:tc>
        <w:tc>
          <w:tcPr/>
          <w:p>
            <w:pPr>
              <w:pStyle w:val="Compact"/>
              <w:jc w:val="left"/>
            </w:pPr>
            <w:r>
              <w:t xml:space="preserve">User changes</w:t>
            </w:r>
            <w:r>
              <w:t xml:space="preserve"> </w:t>
            </w:r>
            <w:r>
              <w:rPr>
                <w:rStyle w:val="VerbatimChar"/>
              </w:rPr>
              <w:t xml:space="preserve">photo_id</w:t>
            </w:r>
            <w:r>
              <w:t xml:space="preserve"> </w:t>
            </w:r>
            <w:r>
              <w:t xml:space="preserve">in URL and reads another user’s private photo (IDOR)</w:t>
            </w:r>
          </w:p>
        </w:tc>
        <w:tc>
          <w:tcPr/>
          <w:p>
            <w:pPr>
              <w:pStyle w:val="Compact"/>
              <w:jc w:val="left"/>
            </w:pPr>
            <w:r>
              <w:t xml:space="preserve">Object-level authorization check on every read, enforced in a shared data-access layer</w:t>
            </w:r>
          </w:p>
        </w:tc>
        <w:tc>
          <w:tcPr/>
          <w:p>
            <w:pPr>
              <w:pStyle w:val="Compact"/>
              <w:jc w:val="left"/>
            </w:pPr>
            <w:r>
              <w:t xml:space="preserve">3 × 3 = 9</w:t>
            </w:r>
          </w:p>
        </w:tc>
      </w:tr>
      <w:tr>
        <w:tc>
          <w:tcPr/>
          <w:p>
            <w:pPr>
              <w:pStyle w:val="Compact"/>
              <w:jc w:val="left"/>
            </w:pPr>
            <w:r>
              <w:t xml:space="preserve">T3</w:t>
            </w:r>
          </w:p>
        </w:tc>
        <w:tc>
          <w:tcPr/>
          <w:p>
            <w:pPr>
              <w:pStyle w:val="Compact"/>
              <w:jc w:val="left"/>
            </w:pPr>
            <w:r>
              <w:t xml:space="preserve">Web API → Object store</w:t>
            </w:r>
          </w:p>
        </w:tc>
        <w:tc>
          <w:tcPr/>
          <w:p>
            <w:pPr>
              <w:pStyle w:val="Compact"/>
              <w:jc w:val="left"/>
            </w:pPr>
            <w:r>
              <w:t xml:space="preserve">I</w:t>
            </w:r>
          </w:p>
        </w:tc>
        <w:tc>
          <w:tcPr/>
          <w:p>
            <w:pPr>
              <w:pStyle w:val="Compact"/>
              <w:jc w:val="left"/>
            </w:pPr>
            <w:r>
              <w:t xml:space="preserve">Bucket accidentally made public</w:t>
            </w:r>
          </w:p>
        </w:tc>
        <w:tc>
          <w:tcPr/>
          <w:p>
            <w:pPr>
              <w:pStyle w:val="Compact"/>
              <w:jc w:val="left"/>
            </w:pPr>
            <w:r>
              <w:t xml:space="preserve">Block public access at account level; serve via short-lived signed URLs</w:t>
            </w:r>
          </w:p>
        </w:tc>
        <w:tc>
          <w:tcPr/>
          <w:p>
            <w:pPr>
              <w:pStyle w:val="Compact"/>
              <w:jc w:val="left"/>
            </w:pPr>
            <w:r>
              <w:t xml:space="preserve">2 × 3 = 6</w:t>
            </w:r>
          </w:p>
        </w:tc>
      </w:tr>
      <w:tr>
        <w:tc>
          <w:tcPr/>
          <w:p>
            <w:pPr>
              <w:pStyle w:val="Compact"/>
              <w:jc w:val="left"/>
            </w:pPr>
            <w:r>
              <w:t xml:space="preserve">T4</w:t>
            </w:r>
          </w:p>
        </w:tc>
        <w:tc>
          <w:tcPr/>
          <w:p>
            <w:pPr>
              <w:pStyle w:val="Compact"/>
              <w:jc w:val="left"/>
            </w:pPr>
            <w:r>
              <w:t xml:space="preserve">Thumbnail worker</w:t>
            </w:r>
          </w:p>
        </w:tc>
        <w:tc>
          <w:tcPr/>
          <w:p>
            <w:pPr>
              <w:pStyle w:val="Compact"/>
              <w:jc w:val="left"/>
            </w:pPr>
            <w:r>
              <w:t xml:space="preserve">E</w:t>
            </w:r>
          </w:p>
        </w:tc>
        <w:tc>
          <w:tcPr/>
          <w:p>
            <w:pPr>
              <w:pStyle w:val="Compact"/>
              <w:jc w:val="left"/>
            </w:pPr>
            <w:r>
              <w:t xml:space="preserve">Malicious image exploits image-parsing library, attacker runs code in worker</w:t>
            </w:r>
          </w:p>
        </w:tc>
        <w:tc>
          <w:tcPr/>
          <w:p>
            <w:pPr>
              <w:pStyle w:val="Compact"/>
              <w:jc w:val="left"/>
            </w:pPr>
            <w:r>
              <w:t xml:space="preserve">Sandbox worker (no network, minimal IAM role), patch libraries, separate account</w:t>
            </w:r>
          </w:p>
        </w:tc>
        <w:tc>
          <w:tcPr/>
          <w:p>
            <w:pPr>
              <w:pStyle w:val="Compact"/>
              <w:jc w:val="left"/>
            </w:pPr>
            <w:r>
              <w:t xml:space="preserve">2 × 3 = 6</w:t>
            </w:r>
          </w:p>
        </w:tc>
      </w:tr>
      <w:tr>
        <w:tc>
          <w:tcPr/>
          <w:p>
            <w:pPr>
              <w:pStyle w:val="Compact"/>
              <w:jc w:val="left"/>
            </w:pPr>
            <w:r>
              <w:t xml:space="preserve">T5</w:t>
            </w:r>
          </w:p>
        </w:tc>
        <w:tc>
          <w:tcPr/>
          <w:p>
            <w:pPr>
              <w:pStyle w:val="Compact"/>
              <w:jc w:val="left"/>
            </w:pPr>
            <w:r>
              <w:t xml:space="preserve">Payment webhook</w:t>
            </w:r>
          </w:p>
        </w:tc>
        <w:tc>
          <w:tcPr/>
          <w:p>
            <w:pPr>
              <w:pStyle w:val="Compact"/>
              <w:jc w:val="left"/>
            </w:pPr>
            <w:r>
              <w:t xml:space="preserve">S</w:t>
            </w:r>
          </w:p>
        </w:tc>
        <w:tc>
          <w:tcPr/>
          <w:p>
            <w:pPr>
              <w:pStyle w:val="Compact"/>
              <w:jc w:val="left"/>
            </w:pPr>
            <w:r>
              <w:t xml:space="preserve">Attacker forges</w:t>
            </w:r>
            <w:r>
              <w:t xml:space="preserve"> </w:t>
            </w:r>
            <w:r>
              <w:t xml:space="preserve">“</w:t>
            </w:r>
            <w:r>
              <w:t xml:space="preserve">payment succeeded</w:t>
            </w:r>
            <w:r>
              <w:t xml:space="preserve">”</w:t>
            </w:r>
            <w:r>
              <w:t xml:space="preserve"> </w:t>
            </w:r>
            <w:r>
              <w:t xml:space="preserve">webhook</w:t>
            </w:r>
          </w:p>
        </w:tc>
        <w:tc>
          <w:tcPr/>
          <w:p>
            <w:pPr>
              <w:pStyle w:val="Compact"/>
              <w:jc w:val="left"/>
            </w:pPr>
            <w:r>
              <w:t xml:space="preserve">Verify provider’s HMAC signature and timestamp (§10.4.6)</w:t>
            </w:r>
          </w:p>
        </w:tc>
        <w:tc>
          <w:tcPr/>
          <w:p>
            <w:pPr>
              <w:pStyle w:val="Compact"/>
              <w:jc w:val="left"/>
            </w:pPr>
            <w:r>
              <w:t xml:space="preserve">2 × 3 = 6</w:t>
            </w:r>
          </w:p>
        </w:tc>
      </w:tr>
      <w:tr>
        <w:tc>
          <w:tcPr/>
          <w:p>
            <w:pPr>
              <w:pStyle w:val="Compact"/>
              <w:jc w:val="left"/>
            </w:pPr>
            <w:r>
              <w:t xml:space="preserve">T6</w:t>
            </w:r>
          </w:p>
        </w:tc>
        <w:tc>
          <w:tcPr/>
          <w:p>
            <w:pPr>
              <w:pStyle w:val="Compact"/>
              <w:jc w:val="left"/>
            </w:pPr>
            <w:r>
              <w:t xml:space="preserve">Admin → Web API</w:t>
            </w:r>
          </w:p>
        </w:tc>
        <w:tc>
          <w:tcPr/>
          <w:p>
            <w:pPr>
              <w:pStyle w:val="Compact"/>
              <w:jc w:val="left"/>
            </w:pPr>
            <w:r>
              <w:t xml:space="preserve">R</w:t>
            </w:r>
          </w:p>
        </w:tc>
        <w:tc>
          <w:tcPr/>
          <w:p>
            <w:pPr>
              <w:pStyle w:val="Compact"/>
              <w:jc w:val="left"/>
            </w:pPr>
            <w:r>
              <w:t xml:space="preserve">Admin deletes an account and later denies it</w:t>
            </w:r>
          </w:p>
        </w:tc>
        <w:tc>
          <w:tcPr/>
          <w:p>
            <w:pPr>
              <w:pStyle w:val="Compact"/>
              <w:jc w:val="left"/>
            </w:pPr>
            <w:r>
              <w:t xml:space="preserve">Append-only, tamper-evident audit log of admin actions (§10.12)</w:t>
            </w:r>
          </w:p>
        </w:tc>
        <w:tc>
          <w:tcPr/>
          <w:p>
            <w:pPr>
              <w:pStyle w:val="Compact"/>
              <w:jc w:val="left"/>
            </w:pPr>
            <w:r>
              <w:t xml:space="preserve">1 × 2 = 2</w:t>
            </w:r>
          </w:p>
        </w:tc>
      </w:tr>
      <w:tr>
        <w:tc>
          <w:tcPr/>
          <w:p>
            <w:pPr>
              <w:pStyle w:val="Compact"/>
              <w:jc w:val="left"/>
            </w:pPr>
            <w:r>
              <w:t xml:space="preserve">T7</w:t>
            </w:r>
          </w:p>
        </w:tc>
        <w:tc>
          <w:tcPr/>
          <w:p>
            <w:pPr>
              <w:pStyle w:val="Compact"/>
              <w:jc w:val="left"/>
            </w:pPr>
            <w:r>
              <w:t xml:space="preserve">Upload endpoint</w:t>
            </w:r>
          </w:p>
        </w:tc>
        <w:tc>
          <w:tcPr/>
          <w:p>
            <w:pPr>
              <w:pStyle w:val="Compact"/>
              <w:jc w:val="left"/>
            </w:pPr>
            <w:r>
              <w:t xml:space="preserve">D</w:t>
            </w:r>
          </w:p>
        </w:tc>
        <w:tc>
          <w:tcPr/>
          <w:p>
            <w:pPr>
              <w:pStyle w:val="Compact"/>
              <w:jc w:val="left"/>
            </w:pPr>
            <w:r>
              <w:t xml:space="preserve">Attacker uploads thousands of 1 GB files</w:t>
            </w:r>
          </w:p>
        </w:tc>
        <w:tc>
          <w:tcPr/>
          <w:p>
            <w:pPr>
              <w:pStyle w:val="Compact"/>
              <w:jc w:val="left"/>
            </w:pPr>
            <w:r>
              <w:t xml:space="preserve">Size limits, per-user quotas, rate limits</w:t>
            </w:r>
          </w:p>
        </w:tc>
        <w:tc>
          <w:tcPr/>
          <w:p>
            <w:pPr>
              <w:pStyle w:val="Compact"/>
              <w:jc w:val="left"/>
            </w:pPr>
            <w:r>
              <w:t xml:space="preserve">2 × 2 = 4</w:t>
            </w:r>
          </w:p>
        </w:tc>
      </w:tr>
      <w:tr>
        <w:tc>
          <w:tcPr/>
          <w:p>
            <w:pPr>
              <w:pStyle w:val="Compact"/>
              <w:jc w:val="left"/>
            </w:pPr>
            <w:r>
              <w:t xml:space="preserve">T8</w:t>
            </w:r>
          </w:p>
        </w:tc>
        <w:tc>
          <w:tcPr/>
          <w:p>
            <w:pPr>
              <w:pStyle w:val="Compact"/>
              <w:jc w:val="left"/>
            </w:pPr>
            <w:r>
              <w:t xml:space="preserve">Web API → DB</w:t>
            </w:r>
          </w:p>
        </w:tc>
        <w:tc>
          <w:tcPr/>
          <w:p>
            <w:pPr>
              <w:pStyle w:val="Compact"/>
              <w:jc w:val="left"/>
            </w:pPr>
            <w:r>
              <w:t xml:space="preserve">T</w:t>
            </w:r>
          </w:p>
        </w:tc>
        <w:tc>
          <w:tcPr/>
          <w:p>
            <w:pPr>
              <w:pStyle w:val="Compact"/>
              <w:jc w:val="left"/>
            </w:pPr>
            <w:r>
              <w:t xml:space="preserve">SQL injection modifies rows</w:t>
            </w:r>
          </w:p>
        </w:tc>
        <w:tc>
          <w:tcPr/>
          <w:p>
            <w:pPr>
              <w:pStyle w:val="Compact"/>
              <w:jc w:val="left"/>
            </w:pPr>
            <w:r>
              <w:t xml:space="preserve">Parameterized queries; DB user without DDL rights</w:t>
            </w:r>
          </w:p>
        </w:tc>
        <w:tc>
          <w:tcPr/>
          <w:p>
            <w:pPr>
              <w:pStyle w:val="Compact"/>
              <w:jc w:val="left"/>
            </w:pPr>
            <w:r>
              <w:t xml:space="preserve">2 × 3 = 6</w:t>
            </w:r>
          </w:p>
        </w:tc>
      </w:tr>
    </w:tbl>
    <w:p>
      <w:pPr>
        <w:pStyle w:val="BodyText"/>
      </w:pPr>
      <w:r>
        <w:t xml:space="preserve">Look at what the exercise produced: eight concrete, testable requirements, most of which are architectural (where the authorization check lives, which account the worker runs in, how the bucket is exposed) rather than</w:t>
      </w:r>
      <w:r>
        <w:t xml:space="preserve"> </w:t>
      </w:r>
      <w:r>
        <w:t xml:space="preserve">“</w:t>
      </w:r>
      <w:r>
        <w:t xml:space="preserve">write secure code</w:t>
      </w:r>
      <w:r>
        <w:t xml:space="preserve">”</w:t>
      </w:r>
      <w:r>
        <w:t xml:space="preserve">. That is the point of threat modeling for a system designer.</w:t>
      </w:r>
    </w:p>
    <w:bookmarkStart w:id="1090" w:name="mathematical-foundations-12"/>
    <w:p>
      <w:pPr>
        <w:pStyle w:val="Heading4"/>
      </w:pPr>
      <w:r>
        <w:t xml:space="preserve">Mathematical foundations</w:t>
      </w:r>
    </w:p>
    <w:p>
      <w:pPr>
        <w:pStyle w:val="CalloutFormula"/>
      </w:pPr>
      <w:r>
        <w:rPr>
          <w:bCs/>
          <w:b/>
        </w:rPr>
        <w:t xml:space="preserve">FORMULA</w:t>
      </w:r>
    </w:p>
    <w:p>
      <w:pPr>
        <w:pStyle w:val="CalloutFormula"/>
      </w:pPr>
      <w:r>
        <w:rPr>
          <w:bCs/>
          <w:b/>
        </w:rPr>
        <w:t xml:space="preserve">Qualitative risk score</w:t>
      </w:r>
    </w:p>
    <w:p>
      <w:pPr>
        <w:pStyle w:val="CalloutFormula"/>
      </w:pPr>
      <m:oMathPara>
        <m:oMathParaPr>
          <m:jc m:val="center"/>
        </m:oMathParaPr>
        <m:oMath>
          <m:r>
            <m:t>R</m:t>
          </m:r>
          <m:r>
            <m:rPr>
              <m:sty m:val="p"/>
            </m:rPr>
            <m:t>=</m:t>
          </m:r>
          <m:r>
            <m:t>L</m:t>
          </m:r>
          <m:r>
            <m:rPr>
              <m:sty m:val="p"/>
            </m:rPr>
            <m:t>×</m:t>
          </m:r>
          <m:r>
            <m:t>I</m:t>
          </m:r>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R</m:t>
              </m:r>
            </m:oMath>
          </w:p>
        </w:tc>
        <w:tc>
          <w:tcPr/>
          <w:p>
            <w:pPr>
              <w:pStyle w:val="Compact"/>
              <w:jc w:val="left"/>
            </w:pPr>
            <w:r>
              <w:t xml:space="preserve">Risk score used to rank threats</w:t>
            </w:r>
          </w:p>
        </w:tc>
        <w:tc>
          <w:tcPr/>
          <w:p>
            <w:pPr>
              <w:pStyle w:val="Compact"/>
              <w:jc w:val="left"/>
            </w:pPr>
            <w:r>
              <w:t xml:space="preserve">dimensionless (1–9 on a 3-point scale)</w:t>
            </w:r>
          </w:p>
        </w:tc>
      </w:tr>
      <w:tr>
        <w:tc>
          <w:tcPr/>
          <w:p>
            <w:pPr>
              <w:pStyle w:val="Compact"/>
              <w:jc w:val="left"/>
            </w:pPr>
            <m:oMath>
              <m:r>
                <m:t>L</m:t>
              </m:r>
            </m:oMath>
          </w:p>
        </w:tc>
        <w:tc>
          <w:tcPr/>
          <w:p>
            <w:pPr>
              <w:pStyle w:val="Compact"/>
              <w:jc w:val="left"/>
            </w:pPr>
            <w:r>
              <w:t xml:space="preserve">Likelihood that the threat is exploited within the planning horizon (1 = unlikely, 2 = plausible, 3 = expected)</w:t>
            </w:r>
          </w:p>
        </w:tc>
        <w:tc>
          <w:tcPr/>
          <w:p>
            <w:pPr>
              <w:pStyle w:val="Compact"/>
              <w:jc w:val="left"/>
            </w:pPr>
            <w:r>
              <w:t xml:space="preserve">ordinal score</w:t>
            </w:r>
          </w:p>
        </w:tc>
      </w:tr>
      <w:tr>
        <w:tc>
          <w:tcPr/>
          <w:p>
            <w:pPr>
              <w:pStyle w:val="Compact"/>
              <w:jc w:val="left"/>
            </w:pPr>
            <m:oMath>
              <m:r>
                <m:t>I</m:t>
              </m:r>
            </m:oMath>
          </w:p>
        </w:tc>
        <w:tc>
          <w:tcPr/>
          <w:p>
            <w:pPr>
              <w:pStyle w:val="Compact"/>
              <w:jc w:val="left"/>
            </w:pPr>
            <w:r>
              <w:t xml:space="preserve">Impact if exploited (1 = minor, 2 = serious, 3 = severe: data breach, financial loss, regulatory)</w:t>
            </w:r>
          </w:p>
        </w:tc>
        <w:tc>
          <w:tcPr/>
          <w:p>
            <w:pPr>
              <w:pStyle w:val="Compact"/>
              <w:jc w:val="left"/>
            </w:pPr>
            <w:r>
              <w:t xml:space="preserve">ordinal score</w:t>
            </w:r>
          </w:p>
        </w:tc>
      </w:tr>
    </w:tbl>
    <w:p>
      <w:pPr>
        <w:pStyle w:val="CalloutExample"/>
      </w:pPr>
      <w:r>
        <w:rPr>
          <w:bCs/>
          <w:b/>
        </w:rPr>
        <w:t xml:space="preserve">WORKED EXAMPLE</w:t>
      </w:r>
    </w:p>
    <w:p>
      <w:pPr>
        <w:pStyle w:val="CalloutExample"/>
      </w:pPr>
      <w:r>
        <w:rPr>
          <w:bCs/>
          <w:b/>
        </w:rPr>
        <w:t xml:space="preserve">Worked example — Ranking T1 against T6.</w:t>
      </w:r>
      <w:r>
        <w:t xml:space="preserve"> </w:t>
      </w:r>
      <w:r>
        <w:t xml:space="preserve">Credential stuffing (T1) is</w:t>
      </w:r>
      <w:r>
        <w:t xml:space="preserve"> </w:t>
      </w:r>
      <w:r>
        <w:rPr>
          <w:iCs/>
          <w:i/>
        </w:rPr>
        <w:t xml:space="preserve">expected</w:t>
      </w:r>
      <w:r>
        <w:t xml:space="preserve"> </w:t>
      </w:r>
      <w:r>
        <w:t xml:space="preserve">for any consumer login page, because attackers replay billions of leaked username–password pairs automatically:</w:t>
      </w:r>
      <w:r>
        <w:t xml:space="preserve"> </w:t>
      </w:r>
      <m:oMath>
        <m:r>
          <m:t>L</m:t>
        </m:r>
        <m:r>
          <m:rPr>
            <m:sty m:val="p"/>
          </m:rPr>
          <m:t>=</m:t>
        </m:r>
        <m:r>
          <m:t>3</m:t>
        </m:r>
      </m:oMath>
      <w:r>
        <w:t xml:space="preserve">. Its impact is account takeover and private-photo exposure:</w:t>
      </w:r>
      <w:r>
        <w:t xml:space="preserve"> </w:t>
      </w:r>
      <m:oMath>
        <m:r>
          <m:t>I</m:t>
        </m:r>
        <m:r>
          <m:rPr>
            <m:sty m:val="p"/>
          </m:rPr>
          <m:t>=</m:t>
        </m:r>
        <m:r>
          <m:t>3</m:t>
        </m:r>
      </m:oMath>
      <w:r>
        <w:t xml:space="preserve">. So</w:t>
      </w:r>
      <w:r>
        <w:t xml:space="preserve"> </w:t>
      </w:r>
      <m:oMath>
        <m:r>
          <m:t>R</m:t>
        </m:r>
        <m:r>
          <m:rPr>
            <m:sty m:val="p"/>
          </m:rPr>
          <m:t>=</m:t>
        </m:r>
        <m:r>
          <m:t>3</m:t>
        </m:r>
        <m:r>
          <m:rPr>
            <m:sty m:val="p"/>
          </m:rPr>
          <m:t>×</m:t>
        </m:r>
        <m:r>
          <m:t>3</m:t>
        </m:r>
        <m:r>
          <m:rPr>
            <m:sty m:val="p"/>
          </m:rPr>
          <m:t>=</m:t>
        </m:r>
        <m:r>
          <m:t>9</m:t>
        </m:r>
      </m:oMath>
      <w:r>
        <w:t xml:space="preserve">. Admin repudiation (T6) requires a malicious administrator (</w:t>
      </w:r>
      <m:oMath>
        <m:r>
          <m:t>L</m:t>
        </m:r>
        <m:r>
          <m:rPr>
            <m:sty m:val="p"/>
          </m:rPr>
          <m:t>=</m:t>
        </m:r>
        <m:r>
          <m:t>1</m:t>
        </m:r>
      </m:oMath>
      <w:r>
        <w:t xml:space="preserve">) and its impact is a dispute rather than a breach (</w:t>
      </w:r>
      <m:oMath>
        <m:r>
          <m:t>I</m:t>
        </m:r>
        <m:r>
          <m:rPr>
            <m:sty m:val="p"/>
          </m:rPr>
          <m:t>=</m:t>
        </m:r>
        <m:r>
          <m:t>2</m:t>
        </m:r>
      </m:oMath>
      <w:r>
        <w:t xml:space="preserve">):</w:t>
      </w:r>
      <w:r>
        <w:t xml:space="preserve"> </w:t>
      </w:r>
      <m:oMath>
        <m:r>
          <m:t>R</m:t>
        </m:r>
        <m:r>
          <m:rPr>
            <m:sty m:val="p"/>
          </m:rPr>
          <m:t>=</m:t>
        </m:r>
        <m:r>
          <m:t>2</m:t>
        </m:r>
      </m:oMath>
      <w:r>
        <w:t xml:space="preserve">.</w:t>
      </w:r>
      <w:r>
        <w:t xml:space="preserve"> </w:t>
      </w:r>
      <w:r>
        <w:rPr>
          <w:iCs/>
          <w:i/>
        </w:rPr>
        <w:t xml:space="preserve">Interpretation:</w:t>
      </w:r>
      <w:r>
        <w:t xml:space="preserve"> </w:t>
      </w:r>
      <w:r>
        <w:t xml:space="preserve">fix T1 in the first release; T6 can follow.</w:t>
      </w:r>
      <w:r>
        <w:t xml:space="preserve"> </w:t>
      </w:r>
      <w:r>
        <w:rPr>
          <w:iCs/>
          <w:i/>
        </w:rPr>
        <w:t xml:space="preserve">Engineering implication:</w:t>
      </w:r>
      <w:r>
        <w:t xml:space="preserve"> </w:t>
      </w:r>
      <w:r>
        <w:t xml:space="preserve">the score is ordinal, not a probability — do not multiply it by dollar figures or average it across threats. Its only job is to order the work and make the reasoning visible to reviewers.</w:t>
      </w:r>
    </w:p>
    <w:bookmarkEnd w:id="1090"/>
    <w:bookmarkStart w:id="1091" w:name="X4e7495c182ec8310a5ccc99839e2f129f7f977e"/>
    <w:p>
      <w:pPr>
        <w:pStyle w:val="Heading4"/>
      </w:pPr>
      <w:r>
        <w:t xml:space="preserve">Advantages, disadvantages and alternatives</w:t>
      </w:r>
    </w:p>
    <w:p>
      <w:pPr>
        <w:pStyle w:val="FirstParagraph"/>
      </w:pPr>
      <w:r>
        <w:t xml:space="preserve">STRIDE is easy to teach, systematic and tied to properties, which makes it ideal for design reviews. Its weaknesses: it can produce long lists of low-value threats, it does not rank risk by itself, and it focuses on technical threats more than abuse of legitimate features (spam, fraud, harassment). Alternatives include</w:t>
      </w:r>
      <w:r>
        <w:t xml:space="preserve"> </w:t>
      </w:r>
      <w:r>
        <w:rPr>
          <w:bCs/>
          <w:b/>
        </w:rPr>
        <w:t xml:space="preserve">attack trees</w:t>
      </w:r>
      <w:r>
        <w:t xml:space="preserve"> </w:t>
      </w:r>
      <w:r>
        <w:t xml:space="preserve">(a root goal such as</w:t>
      </w:r>
      <w:r>
        <w:t xml:space="preserve"> </w:t>
      </w:r>
      <w:r>
        <w:t xml:space="preserve">“</w:t>
      </w:r>
      <w:r>
        <w:t xml:space="preserve">read another user’s photo</w:t>
      </w:r>
      <w:r>
        <w:t xml:space="preserve">”</w:t>
      </w:r>
      <w:r>
        <w:t xml:space="preserve"> </w:t>
      </w:r>
      <w:r>
        <w:t xml:space="preserve">decomposed into AND/OR subgoals — good for deep analysis of one critical asset),</w:t>
      </w:r>
      <w:r>
        <w:t xml:space="preserve"> </w:t>
      </w:r>
      <w:r>
        <w:rPr>
          <w:bCs/>
          <w:b/>
        </w:rPr>
        <w:t xml:space="preserve">PASTA</w:t>
      </w:r>
      <w:r>
        <w:t xml:space="preserve"> </w:t>
      </w:r>
      <w:r>
        <w:t xml:space="preserve">(a seven-stage risk-centric process),</w:t>
      </w:r>
      <w:r>
        <w:t xml:space="preserve"> </w:t>
      </w:r>
      <w:r>
        <w:rPr>
          <w:bCs/>
          <w:b/>
        </w:rPr>
        <w:t xml:space="preserve">LINDDUN</w:t>
      </w:r>
      <w:r>
        <w:t xml:space="preserve"> </w:t>
      </w:r>
      <w:r>
        <w:t xml:space="preserve">(privacy threats) and</w:t>
      </w:r>
      <w:r>
        <w:t xml:space="preserve"> </w:t>
      </w:r>
      <w:r>
        <w:rPr>
          <w:bCs/>
          <w:b/>
        </w:rPr>
        <w:t xml:space="preserve">kill-chain</w:t>
      </w:r>
      <w:r>
        <w:t xml:space="preserve"> </w:t>
      </w:r>
      <w:r>
        <w:t xml:space="preserve">analysis (focused on detection and response). Many teams use STRIDE for breadth and attack trees for the top two or three risks.</w:t>
      </w:r>
    </w:p>
    <w:bookmarkEnd w:id="1091"/>
    <w:bookmarkStart w:id="1092" w:name="failure-scenarios-26"/>
    <w:p>
      <w:pPr>
        <w:pStyle w:val="Heading4"/>
      </w:pPr>
      <w:r>
        <w:t xml:space="preserve">Failure scenarios</w:t>
      </w:r>
    </w:p>
    <w:p>
      <w:pPr>
        <w:pStyle w:val="FirstParagraph"/>
      </w:pPr>
      <w:r>
        <w:rPr>
          <w:bCs/>
          <w:b/>
        </w:rPr>
        <w:t xml:space="preserve">Table 10.3 — Threat-modeling 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Threat model is stale</w:t>
            </w:r>
          </w:p>
        </w:tc>
        <w:tc>
          <w:tcPr/>
          <w:p>
            <w:pPr>
              <w:pStyle w:val="Compact"/>
              <w:jc w:val="left"/>
            </w:pPr>
            <w:r>
              <w:t xml:space="preserve">Architecture changed, DFD did not</w:t>
            </w:r>
          </w:p>
        </w:tc>
        <w:tc>
          <w:tcPr/>
          <w:p>
            <w:pPr>
              <w:pStyle w:val="Compact"/>
              <w:jc w:val="left"/>
            </w:pPr>
            <w:r>
              <w:t xml:space="preserve">New data store or vendor absent from DFD in review</w:t>
            </w:r>
          </w:p>
        </w:tc>
        <w:tc>
          <w:tcPr/>
          <w:p>
            <w:pPr>
              <w:pStyle w:val="Compact"/>
              <w:jc w:val="left"/>
            </w:pPr>
            <w:r>
              <w:t xml:space="preserve">Re-run STRIDE on changed elements</w:t>
            </w:r>
          </w:p>
        </w:tc>
        <w:tc>
          <w:tcPr/>
          <w:p>
            <w:pPr>
              <w:pStyle w:val="Compact"/>
              <w:jc w:val="left"/>
            </w:pPr>
            <w:r>
              <w:t xml:space="preserve">Make DFD update a checklist item for design changes</w:t>
            </w:r>
          </w:p>
        </w:tc>
      </w:tr>
      <w:tr>
        <w:tc>
          <w:tcPr/>
          <w:p>
            <w:pPr>
              <w:pStyle w:val="Compact"/>
              <w:jc w:val="left"/>
            </w:pPr>
            <w:r>
              <w:t xml:space="preserve">Threat model is a document nobody reads</w:t>
            </w:r>
          </w:p>
        </w:tc>
        <w:tc>
          <w:tcPr/>
          <w:p>
            <w:pPr>
              <w:pStyle w:val="Compact"/>
              <w:jc w:val="left"/>
            </w:pPr>
            <w:r>
              <w:t xml:space="preserve">Produced for compliance, not engineering</w:t>
            </w:r>
          </w:p>
        </w:tc>
        <w:tc>
          <w:tcPr/>
          <w:p>
            <w:pPr>
              <w:pStyle w:val="Compact"/>
              <w:jc w:val="left"/>
            </w:pPr>
            <w:r>
              <w:t xml:space="preserve">Mitigations not traced to tickets/tests</w:t>
            </w:r>
          </w:p>
        </w:tc>
        <w:tc>
          <w:tcPr/>
          <w:p>
            <w:pPr>
              <w:pStyle w:val="Compact"/>
              <w:jc w:val="left"/>
            </w:pPr>
            <w:r>
              <w:t xml:space="preserve">Convert each mitigation to a tracked task</w:t>
            </w:r>
          </w:p>
        </w:tc>
        <w:tc>
          <w:tcPr/>
          <w:p>
            <w:pPr>
              <w:pStyle w:val="Compact"/>
              <w:jc w:val="left"/>
            </w:pPr>
            <w:r>
              <w:t xml:space="preserve">Keep it short; review it in design review</w:t>
            </w:r>
          </w:p>
        </w:tc>
      </w:tr>
      <w:tr>
        <w:tc>
          <w:tcPr/>
          <w:p>
            <w:pPr>
              <w:pStyle w:val="Compact"/>
              <w:jc w:val="left"/>
            </w:pPr>
            <w:r>
              <w:t xml:space="preserve">Insider threats ignored</w:t>
            </w:r>
          </w:p>
        </w:tc>
        <w:tc>
          <w:tcPr/>
          <w:p>
            <w:pPr>
              <w:pStyle w:val="Compact"/>
              <w:jc w:val="left"/>
            </w:pPr>
            <w:r>
              <w:t xml:space="preserve">“</w:t>
            </w:r>
            <w:r>
              <w:t xml:space="preserve">Everything inside the VPC is trusted</w:t>
            </w:r>
            <w:r>
              <w:t xml:space="preserve">”</w:t>
            </w:r>
            <w:r>
              <w:t xml:space="preserve"> </w:t>
            </w:r>
            <w:r>
              <w:t xml:space="preserve">assumption</w:t>
            </w:r>
          </w:p>
        </w:tc>
        <w:tc>
          <w:tcPr/>
          <w:p>
            <w:pPr>
              <w:pStyle w:val="Compact"/>
              <w:jc w:val="left"/>
            </w:pPr>
            <w:r>
              <w:t xml:space="preserve">Red-team exercise with internal credentials</w:t>
            </w:r>
          </w:p>
        </w:tc>
        <w:tc>
          <w:tcPr/>
          <w:p>
            <w:pPr>
              <w:pStyle w:val="Compact"/>
              <w:jc w:val="left"/>
            </w:pPr>
            <w:r>
              <w:t xml:space="preserve">Add authorization and audit inside the network</w:t>
            </w:r>
          </w:p>
        </w:tc>
        <w:tc>
          <w:tcPr/>
          <w:p>
            <w:pPr>
              <w:pStyle w:val="Compact"/>
              <w:jc w:val="left"/>
            </w:pPr>
            <w:r>
              <w:t xml:space="preserve">Include insider row in adversary list</w:t>
            </w:r>
          </w:p>
        </w:tc>
      </w:tr>
    </w:tbl>
    <w:bookmarkEnd w:id="1092"/>
    <w:bookmarkStart w:id="1093" w:name="common-misconceptions-22"/>
    <w:p>
      <w:pPr>
        <w:pStyle w:val="Heading4"/>
      </w:pPr>
      <w:r>
        <w:t xml:space="preserve">Common misconceptions</w:t>
      </w:r>
    </w:p>
    <w:p>
      <w:pPr>
        <w:pStyle w:val="CalloutMistake"/>
      </w:pPr>
      <w:r>
        <w:rPr>
          <w:bCs/>
          <w:b/>
        </w:rPr>
        <w:t xml:space="preserve">COMMON MISTAKE</w:t>
      </w:r>
    </w:p>
    <w:p>
      <w:pPr>
        <w:pStyle w:val="CalloutMistake"/>
      </w:pPr>
      <w:r>
        <w:rPr>
          <w:bCs/>
          <w:b/>
        </w:rPr>
        <w:t xml:space="preserve">“</w:t>
      </w:r>
      <w:r>
        <w:rPr>
          <w:bCs/>
          <w:b/>
        </w:rPr>
        <w:t xml:space="preserve">We use HTTPS, so we are secure.</w:t>
      </w:r>
      <w:r>
        <w:rPr>
          <w:bCs/>
          <w:b/>
        </w:rPr>
        <w:t xml:space="preserve">”</w:t>
      </w:r>
      <w:r>
        <w:t xml:space="preserve"> </w:t>
      </w:r>
      <w:r>
        <w:t xml:space="preserve">TLS protects data</w:t>
      </w:r>
      <w:r>
        <w:t xml:space="preserve"> </w:t>
      </w:r>
      <w:r>
        <w:rPr>
          <w:iCs/>
          <w:i/>
        </w:rPr>
        <w:t xml:space="preserve">in transit</w:t>
      </w:r>
      <w:r>
        <w:t xml:space="preserve"> </w:t>
      </w:r>
      <w:r>
        <w:t xml:space="preserve">between two endpoints. It does nothing about a logged-in user requesting someone else’s data (T2), a forged webhook (T5) or SQL injection (T8). Most real breaches happen through authenticated, encrypted connections.</w:t>
      </w:r>
    </w:p>
    <w:bookmarkEnd w:id="1093"/>
    <w:bookmarkEnd w:id="1094"/>
    <w:bookmarkEnd w:id="1095"/>
    <w:bookmarkStart w:id="1121" w:name="cryptography-essentials"/>
    <w:p>
      <w:pPr>
        <w:pStyle w:val="Heading2"/>
      </w:pPr>
      <w:r>
        <w:t xml:space="preserve">10.4 Cryptography essentials</w:t>
      </w:r>
    </w:p>
    <w:p>
      <w:pPr>
        <w:pStyle w:val="FirstParagraph"/>
      </w:pPr>
      <w:r>
        <w:t xml:space="preserve">Cryptography is the toolbox that turns security goals into mathematics. As a system designer you will almost never implement a cryptographic algorithm, but you will constantly</w:t>
      </w:r>
      <w:r>
        <w:t xml:space="preserve"> </w:t>
      </w:r>
      <w:r>
        <w:rPr>
          <w:iCs/>
          <w:i/>
        </w:rPr>
        <w:t xml:space="preserve">choose</w:t>
      </w:r>
      <w:r>
        <w:t xml:space="preserve"> </w:t>
      </w:r>
      <w:r>
        <w:t xml:space="preserve">one, and choosing the wrong primitive for a goal (encrypting when you needed to authenticate, hashing when you needed a secret key) is one of the most common design errors. This section explains each primitive by analogy, then by mechanism, then with the numbers that tell you how strong it is.</w:t>
      </w:r>
    </w:p>
    <w:p>
      <w:pPr>
        <w:pStyle w:val="BodyText"/>
      </w:pPr>
      <w:r>
        <w:rPr>
          <w:bCs/>
          <w:b/>
        </w:rPr>
        <w:t xml:space="preserve">Table 10.4 — Which primitive achieves which goal.</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Goal</w:t>
            </w:r>
          </w:p>
        </w:tc>
        <w:tc>
          <w:tcPr/>
          <w:p>
            <w:pPr>
              <w:pStyle w:val="Compact"/>
              <w:jc w:val="left"/>
            </w:pPr>
            <w:r>
              <w:t xml:space="preserve">Primitive</w:t>
            </w:r>
          </w:p>
        </w:tc>
        <w:tc>
          <w:tcPr/>
          <w:p>
            <w:pPr>
              <w:pStyle w:val="Compact"/>
              <w:jc w:val="left"/>
            </w:pPr>
            <w:r>
              <w:t xml:space="preserve">Needs a key?</w:t>
            </w:r>
          </w:p>
        </w:tc>
        <w:tc>
          <w:tcPr/>
          <w:p>
            <w:pPr>
              <w:pStyle w:val="Compact"/>
              <w:jc w:val="left"/>
            </w:pPr>
            <w:r>
              <w:t xml:space="preserve">Typical algorithm (as of 2026)</w:t>
            </w:r>
          </w:p>
        </w:tc>
        <w:tc>
          <w:tcPr/>
          <w:p>
            <w:pPr>
              <w:pStyle w:val="Compact"/>
              <w:jc w:val="left"/>
            </w:pPr>
            <w:r>
              <w:t xml:space="preserve">Analogy</w:t>
            </w:r>
          </w:p>
        </w:tc>
      </w:tr>
      <w:tr>
        <w:tc>
          <w:tcPr/>
          <w:p>
            <w:pPr>
              <w:pStyle w:val="Compact"/>
              <w:jc w:val="left"/>
            </w:pPr>
            <w:r>
              <w:t xml:space="preserve">Detect accidental or malicious change, given a trusted reference value</w:t>
            </w:r>
          </w:p>
        </w:tc>
        <w:tc>
          <w:tcPr/>
          <w:p>
            <w:pPr>
              <w:pStyle w:val="Compact"/>
              <w:jc w:val="left"/>
            </w:pPr>
            <w:r>
              <w:t xml:space="preserve">Cryptographic hash</w:t>
            </w:r>
          </w:p>
        </w:tc>
        <w:tc>
          <w:tcPr/>
          <w:p>
            <w:pPr>
              <w:pStyle w:val="Compact"/>
              <w:jc w:val="left"/>
            </w:pPr>
            <w:r>
              <w:t xml:space="preserve">No</w:t>
            </w:r>
          </w:p>
        </w:tc>
        <w:tc>
          <w:tcPr/>
          <w:p>
            <w:pPr>
              <w:pStyle w:val="Compact"/>
              <w:jc w:val="left"/>
            </w:pPr>
            <w:r>
              <w:t xml:space="preserve">SHA-256, SHA-3, BLAKE2/3</w:t>
            </w:r>
          </w:p>
        </w:tc>
        <w:tc>
          <w:tcPr/>
          <w:p>
            <w:pPr>
              <w:pStyle w:val="Compact"/>
              <w:jc w:val="left"/>
            </w:pPr>
            <w:r>
              <w:t xml:space="preserve">Fingerprint</w:t>
            </w:r>
          </w:p>
        </w:tc>
      </w:tr>
      <w:tr>
        <w:tc>
          <w:tcPr/>
          <w:p>
            <w:pPr>
              <w:pStyle w:val="Compact"/>
              <w:jc w:val="left"/>
            </w:pPr>
            <w:r>
              <w:t xml:space="preserve">Prove a message came from someone holding a shared secret, unchanged</w:t>
            </w:r>
          </w:p>
        </w:tc>
        <w:tc>
          <w:tcPr/>
          <w:p>
            <w:pPr>
              <w:pStyle w:val="Compact"/>
              <w:jc w:val="left"/>
            </w:pPr>
            <w:r>
              <w:t xml:space="preserve">MAC</w:t>
            </w:r>
          </w:p>
        </w:tc>
        <w:tc>
          <w:tcPr/>
          <w:p>
            <w:pPr>
              <w:pStyle w:val="Compact"/>
              <w:jc w:val="left"/>
            </w:pPr>
            <w:r>
              <w:t xml:space="preserve">Shared secret</w:t>
            </w:r>
          </w:p>
        </w:tc>
        <w:tc>
          <w:tcPr/>
          <w:p>
            <w:pPr>
              <w:pStyle w:val="Compact"/>
              <w:jc w:val="left"/>
            </w:pPr>
            <w:r>
              <w:t xml:space="preserve">HMAC-SHA-256</w:t>
            </w:r>
          </w:p>
        </w:tc>
        <w:tc>
          <w:tcPr/>
          <w:p>
            <w:pPr>
              <w:pStyle w:val="Compact"/>
              <w:jc w:val="left"/>
            </w:pPr>
            <w:r>
              <w:t xml:space="preserve">Wax seal pressed with a ring both parties own</w:t>
            </w:r>
          </w:p>
        </w:tc>
      </w:tr>
      <w:tr>
        <w:tc>
          <w:tcPr/>
          <w:p>
            <w:pPr>
              <w:pStyle w:val="Compact"/>
              <w:jc w:val="left"/>
            </w:pPr>
            <w:r>
              <w:t xml:space="preserve">Keep data secret</w:t>
            </w:r>
            <w:r>
              <w:t xml:space="preserve"> </w:t>
            </w:r>
            <w:r>
              <w:rPr>
                <w:iCs/>
                <w:i/>
              </w:rPr>
              <w:t xml:space="preserve">and</w:t>
            </w:r>
            <w:r>
              <w:t xml:space="preserve"> </w:t>
            </w:r>
            <w:r>
              <w:t xml:space="preserve">detect tampering, between parties sharing a key</w:t>
            </w:r>
          </w:p>
        </w:tc>
        <w:tc>
          <w:tcPr/>
          <w:p>
            <w:pPr>
              <w:pStyle w:val="Compact"/>
              <w:jc w:val="left"/>
            </w:pPr>
            <w:r>
              <w:t xml:space="preserve">Authenticated (AEAD) symmetric encryption</w:t>
            </w:r>
          </w:p>
        </w:tc>
        <w:tc>
          <w:tcPr/>
          <w:p>
            <w:pPr>
              <w:pStyle w:val="Compact"/>
              <w:jc w:val="left"/>
            </w:pPr>
            <w:r>
              <w:t xml:space="preserve">Shared secret</w:t>
            </w:r>
          </w:p>
        </w:tc>
        <w:tc>
          <w:tcPr/>
          <w:p>
            <w:pPr>
              <w:pStyle w:val="Compact"/>
              <w:jc w:val="left"/>
            </w:pPr>
            <w:r>
              <w:t xml:space="preserve">AES-256-GCM, ChaCha20-Poly1305</w:t>
            </w:r>
          </w:p>
        </w:tc>
        <w:tc>
          <w:tcPr/>
          <w:p>
            <w:pPr>
              <w:pStyle w:val="Compact"/>
              <w:jc w:val="left"/>
            </w:pPr>
            <w:r>
              <w:t xml:space="preserve">Locked box with a tamper seal</w:t>
            </w:r>
          </w:p>
        </w:tc>
      </w:tr>
      <w:tr>
        <w:tc>
          <w:tcPr/>
          <w:p>
            <w:pPr>
              <w:pStyle w:val="Compact"/>
              <w:jc w:val="left"/>
            </w:pPr>
            <w:r>
              <w:t xml:space="preserve">Let anyone send you a secret without a pre-shared key</w:t>
            </w:r>
          </w:p>
        </w:tc>
        <w:tc>
          <w:tcPr/>
          <w:p>
            <w:pPr>
              <w:pStyle w:val="Compact"/>
              <w:jc w:val="left"/>
            </w:pPr>
            <w:r>
              <w:t xml:space="preserve">Asymmetric encryption / KEM</w:t>
            </w:r>
          </w:p>
        </w:tc>
        <w:tc>
          <w:tcPr/>
          <w:p>
            <w:pPr>
              <w:pStyle w:val="Compact"/>
              <w:jc w:val="left"/>
            </w:pPr>
            <w:r>
              <w:t xml:space="preserve">Public + private key</w:t>
            </w:r>
          </w:p>
        </w:tc>
        <w:tc>
          <w:tcPr/>
          <w:p>
            <w:pPr>
              <w:pStyle w:val="Compact"/>
              <w:jc w:val="left"/>
            </w:pPr>
            <w:r>
              <w:t xml:space="preserve">RSA-OAEP, ECIES, ML-KEM</w:t>
            </w:r>
          </w:p>
        </w:tc>
        <w:tc>
          <w:tcPr/>
          <w:p>
            <w:pPr>
              <w:pStyle w:val="Compact"/>
              <w:jc w:val="left"/>
            </w:pPr>
            <w:r>
              <w:t xml:space="preserve">Padlock you hand out open; only you hold its key</w:t>
            </w:r>
          </w:p>
        </w:tc>
      </w:tr>
      <w:tr>
        <w:tc>
          <w:tcPr/>
          <w:p>
            <w:pPr>
              <w:pStyle w:val="Compact"/>
              <w:jc w:val="left"/>
            </w:pPr>
            <w:r>
              <w:t xml:space="preserve">Agree on a shared secret over a public channel</w:t>
            </w:r>
          </w:p>
        </w:tc>
        <w:tc>
          <w:tcPr/>
          <w:p>
            <w:pPr>
              <w:pStyle w:val="Compact"/>
              <w:jc w:val="left"/>
            </w:pPr>
            <w:r>
              <w:t xml:space="preserve">Key exchange</w:t>
            </w:r>
          </w:p>
        </w:tc>
        <w:tc>
          <w:tcPr/>
          <w:p>
            <w:pPr>
              <w:pStyle w:val="Compact"/>
              <w:jc w:val="left"/>
            </w:pPr>
            <w:r>
              <w:t xml:space="preserve">Ephemeral key pairs</w:t>
            </w:r>
          </w:p>
        </w:tc>
        <w:tc>
          <w:tcPr/>
          <w:p>
            <w:pPr>
              <w:pStyle w:val="Compact"/>
              <w:jc w:val="left"/>
            </w:pPr>
            <w:r>
              <w:t xml:space="preserve">ECDHE (X25519, P-256)</w:t>
            </w:r>
          </w:p>
        </w:tc>
        <w:tc>
          <w:tcPr/>
          <w:p>
            <w:pPr>
              <w:pStyle w:val="Compact"/>
              <w:jc w:val="left"/>
            </w:pPr>
            <w:r>
              <w:t xml:space="preserve">Mixing paint colors (see §10.4.4)</w:t>
            </w:r>
          </w:p>
        </w:tc>
      </w:tr>
      <w:tr>
        <w:tc>
          <w:tcPr/>
          <w:p>
            <w:pPr>
              <w:pStyle w:val="Compact"/>
              <w:jc w:val="left"/>
            </w:pPr>
            <w:r>
              <w:t xml:space="preserve">Prove to</w:t>
            </w:r>
            <w:r>
              <w:t xml:space="preserve"> </w:t>
            </w:r>
            <w:r>
              <w:rPr>
                <w:iCs/>
                <w:i/>
              </w:rPr>
              <w:t xml:space="preserve">anyone</w:t>
            </w:r>
            <w:r>
              <w:t xml:space="preserve"> </w:t>
            </w:r>
            <w:r>
              <w:t xml:space="preserve">that a specific key holder approved a message</w:t>
            </w:r>
          </w:p>
        </w:tc>
        <w:tc>
          <w:tcPr/>
          <w:p>
            <w:pPr>
              <w:pStyle w:val="Compact"/>
              <w:jc w:val="left"/>
            </w:pPr>
            <w:r>
              <w:t xml:space="preserve">Digital signature</w:t>
            </w:r>
          </w:p>
        </w:tc>
        <w:tc>
          <w:tcPr/>
          <w:p>
            <w:pPr>
              <w:pStyle w:val="Compact"/>
              <w:jc w:val="left"/>
            </w:pPr>
            <w:r>
              <w:t xml:space="preserve">Private key signs, public key verifies</w:t>
            </w:r>
          </w:p>
        </w:tc>
        <w:tc>
          <w:tcPr/>
          <w:p>
            <w:pPr>
              <w:pStyle w:val="Compact"/>
              <w:jc w:val="left"/>
            </w:pPr>
            <w:r>
              <w:t xml:space="preserve">Ed25519, ECDSA P-256, RSA-PSS</w:t>
            </w:r>
          </w:p>
        </w:tc>
        <w:tc>
          <w:tcPr/>
          <w:p>
            <w:pPr>
              <w:pStyle w:val="Compact"/>
              <w:jc w:val="left"/>
            </w:pPr>
            <w:r>
              <w:t xml:space="preserve">Notarized handwritten signature</w:t>
            </w:r>
          </w:p>
        </w:tc>
      </w:tr>
      <w:tr>
        <w:tc>
          <w:tcPr/>
          <w:p>
            <w:pPr>
              <w:pStyle w:val="Compact"/>
              <w:jc w:val="left"/>
            </w:pPr>
            <w:r>
              <w:t xml:space="preserve">Produce unpredictable keys, nonces, tokens</w:t>
            </w:r>
          </w:p>
        </w:tc>
        <w:tc>
          <w:tcPr/>
          <w:p>
            <w:pPr>
              <w:pStyle w:val="Compact"/>
              <w:jc w:val="left"/>
            </w:pPr>
            <w:r>
              <w:t xml:space="preserve">CSPRNG</w:t>
            </w:r>
          </w:p>
        </w:tc>
        <w:tc>
          <w:tcPr/>
          <w:p>
            <w:pPr>
              <w:pStyle w:val="Compact"/>
              <w:jc w:val="left"/>
            </w:pPr>
            <w:r>
              <w:t xml:space="preserve">Seeded by OS</w:t>
            </w:r>
          </w:p>
        </w:tc>
        <w:tc>
          <w:tcPr/>
          <w:p>
            <w:pPr>
              <w:pStyle w:val="Compact"/>
              <w:jc w:val="left"/>
            </w:pPr>
            <w:r>
              <w:rPr>
                <w:rStyle w:val="VerbatimChar"/>
              </w:rPr>
              <w:t xml:space="preserve">/dev/urandom</w:t>
            </w:r>
            <w:r>
              <w:t xml:space="preserve">,</w:t>
            </w:r>
            <w:r>
              <w:t xml:space="preserve"> </w:t>
            </w:r>
            <w:r>
              <w:rPr>
                <w:rStyle w:val="VerbatimChar"/>
              </w:rPr>
              <w:t xml:space="preserve">getrandom()</w:t>
            </w:r>
            <w:r>
              <w:t xml:space="preserve">,</w:t>
            </w:r>
            <w:r>
              <w:t xml:space="preserve"> </w:t>
            </w:r>
            <w:r>
              <w:rPr>
                <w:rStyle w:val="VerbatimChar"/>
              </w:rPr>
              <w:t xml:space="preserve">secrets</w:t>
            </w:r>
          </w:p>
        </w:tc>
        <w:tc>
          <w:tcPr/>
          <w:p>
            <w:pPr>
              <w:pStyle w:val="Compact"/>
              <w:jc w:val="left"/>
            </w:pPr>
            <w:r>
              <w:t xml:space="preserve">Fair dice nobody can watch</w:t>
            </w:r>
          </w:p>
        </w:tc>
      </w:tr>
    </w:tbl>
    <w:bookmarkStart w:id="1099" w:name="hash-functions"/>
    <w:p>
      <w:pPr>
        <w:pStyle w:val="Heading3"/>
      </w:pPr>
      <w:r>
        <w:t xml:space="preserve">10.4.1 Hash functions</w:t>
      </w:r>
    </w:p>
    <w:p>
      <w:pPr>
        <w:pStyle w:val="CalloutDefinition"/>
      </w:pPr>
      <w:r>
        <w:rPr>
          <w:bCs/>
          <w:b/>
        </w:rPr>
        <w:t xml:space="preserve">DEFINITION</w:t>
      </w:r>
    </w:p>
    <w:p>
      <w:pPr>
        <w:pStyle w:val="CalloutDefinition"/>
      </w:pPr>
      <w:r>
        <w:rPr>
          <w:bCs/>
          <w:b/>
        </w:rPr>
        <w:t xml:space="preserve">Definition — Cryptographic hash function.</w:t>
      </w:r>
      <w:r>
        <w:t xml:space="preserve"> </w:t>
      </w:r>
      <w:r>
        <w:t xml:space="preserve">A deterministic function</w:t>
      </w:r>
      <w:r>
        <w:t xml:space="preserve"> </w:t>
      </w:r>
      <m:oMath>
        <m:r>
          <m:t>H</m:t>
        </m:r>
      </m:oMath>
      <w:r>
        <w:t xml:space="preserve"> </w:t>
      </w:r>
      <w:r>
        <w:t xml:space="preserve">that maps an input of any length to a fixed-length output (the</w:t>
      </w:r>
      <w:r>
        <w:t xml:space="preserve"> </w:t>
      </w:r>
      <w:r>
        <w:rPr>
          <w:bCs/>
          <w:b/>
        </w:rPr>
        <w:t xml:space="preserve">digest</w:t>
      </w:r>
      <w:r>
        <w:t xml:space="preserve">), such that it is computationally infeasible to (1) find an input that hashes to a given digest (</w:t>
      </w:r>
      <w:r>
        <w:rPr>
          <w:bCs/>
          <w:b/>
        </w:rPr>
        <w:t xml:space="preserve">preimage resistance</w:t>
      </w:r>
      <w:r>
        <w:t xml:space="preserve">), (2) given one input, find a different input with the same digest (</w:t>
      </w:r>
      <w:r>
        <w:rPr>
          <w:bCs/>
          <w:b/>
        </w:rPr>
        <w:t xml:space="preserve">second-preimage resistance</w:t>
      </w:r>
      <w:r>
        <w:t xml:space="preserve">), and (3) find any two distinct inputs with the same digest (</w:t>
      </w:r>
      <w:r>
        <w:rPr>
          <w:bCs/>
          <w:b/>
        </w:rPr>
        <w:t xml:space="preserve">collision resistance</w:t>
      </w:r>
      <w:r>
        <w:t xml:space="preserve">).</w:t>
      </w:r>
    </w:p>
    <w:bookmarkStart w:id="1096" w:name="first-principles-explanation-55"/>
    <w:p>
      <w:pPr>
        <w:pStyle w:val="Heading4"/>
      </w:pPr>
      <w:r>
        <w:t xml:space="preserve">First-principles explanation</w:t>
      </w:r>
    </w:p>
    <w:p>
      <w:pPr>
        <w:pStyle w:val="FirstParagraph"/>
      </w:pPr>
      <w:r>
        <w:t xml:space="preserve">A hash is a fingerprint. You cannot reconstruct a person from a fingerprint, two people practically never share one, and the tiniest change in the person (a cut on the finger) changes the print. SHA-256 takes a 4 GB disk image or the single letter</w:t>
      </w:r>
      <w:r>
        <w:t xml:space="preserve"> </w:t>
      </w:r>
      <w:r>
        <w:t xml:space="preserve">“</w:t>
      </w:r>
      <w:r>
        <w:t xml:space="preserve">a</w:t>
      </w:r>
      <w:r>
        <w:t xml:space="preserve">”</w:t>
      </w:r>
      <w:r>
        <w:t xml:space="preserve"> </w:t>
      </w:r>
      <w:r>
        <w:t xml:space="preserve">and produces 256 bits; flip one input bit and roughly half of the output bits flip (the</w:t>
      </w:r>
      <w:r>
        <w:t xml:space="preserve"> </w:t>
      </w:r>
      <w:r>
        <w:rPr>
          <w:bCs/>
          <w:b/>
        </w:rPr>
        <w:t xml:space="preserve">avalanche effect</w:t>
      </w:r>
      <w:r>
        <w:t xml:space="preserve">).</w:t>
      </w:r>
    </w:p>
    <w:p>
      <w:pPr>
        <w:pStyle w:val="BodyText"/>
      </w:pPr>
      <w:r>
        <w:t xml:space="preserve">Hashes give you integrity</w:t>
      </w:r>
      <w:r>
        <w:t xml:space="preserve"> </w:t>
      </w:r>
      <w:r>
        <w:rPr>
          <w:iCs/>
          <w:i/>
        </w:rPr>
        <w:t xml:space="preserve">only if the reference digest itself is trustworthy</w:t>
      </w:r>
      <w:r>
        <w:t xml:space="preserve">. If an attacker can change a download</w:t>
      </w:r>
      <w:r>
        <w:t xml:space="preserve"> </w:t>
      </w:r>
      <w:r>
        <w:rPr>
          <w:iCs/>
          <w:i/>
        </w:rPr>
        <w:t xml:space="preserve">and</w:t>
      </w:r>
      <w:r>
        <w:t xml:space="preserve"> </w:t>
      </w:r>
      <w:r>
        <w:t xml:space="preserve">the digest published next to it, the hash proves nothing. That is why hashes are combined with keys (MACs) or signatures, and why a plain hash is never a password-storage scheme on its own (§10.6).</w:t>
      </w:r>
    </w:p>
    <w:bookmarkEnd w:id="1096"/>
    <w:bookmarkStart w:id="1097" w:name="how-it-works-internally-35"/>
    <w:p>
      <w:pPr>
        <w:pStyle w:val="Heading4"/>
      </w:pPr>
      <w:r>
        <w:t xml:space="preserve">How it works internally</w:t>
      </w:r>
    </w:p>
    <w:p>
      <w:pPr>
        <w:pStyle w:val="FirstParagraph"/>
      </w:pPr>
      <w:r>
        <w:t xml:space="preserve">SHA-2 hashes pad the input, split it into 512-bit (SHA-256) blocks and mix each block into a running internal state with a</w:t>
      </w:r>
      <w:r>
        <w:t xml:space="preserve"> </w:t>
      </w:r>
      <w:r>
        <w:rPr>
          <w:bCs/>
          <w:b/>
        </w:rPr>
        <w:t xml:space="preserve">compression function</w:t>
      </w:r>
      <w:r>
        <w:t xml:space="preserve"> </w:t>
      </w:r>
      <w:r>
        <w:t xml:space="preserve">(the</w:t>
      </w:r>
      <w:r>
        <w:t xml:space="preserve"> </w:t>
      </w:r>
      <w:r>
        <w:rPr>
          <w:bCs/>
          <w:b/>
        </w:rPr>
        <w:t xml:space="preserve">Merkle–Damgård construction</w:t>
      </w:r>
      <w:r>
        <w:t xml:space="preserve">); the final state is the digest. A side effect is the</w:t>
      </w:r>
      <w:r>
        <w:t xml:space="preserve"> </w:t>
      </w:r>
      <w:r>
        <w:rPr>
          <w:bCs/>
          <w:b/>
        </w:rPr>
        <w:t xml:space="preserve">length-extension property</w:t>
      </w:r>
      <w:r>
        <w:t xml:space="preserve">: given</w:t>
      </w:r>
      <w:r>
        <w:t xml:space="preserve"> </w:t>
      </w:r>
      <m:oMath>
        <m:r>
          <m:t>H</m:t>
        </m:r>
        <m:d>
          <m:dPr>
            <m:begChr m:val="("/>
            <m:endChr m:val=")"/>
            <m:sepChr m:val=""/>
            <m:grow/>
          </m:dPr>
          <m:e>
            <m:r>
              <m:t>m</m:t>
            </m:r>
          </m:e>
        </m:d>
      </m:oMath>
      <w:r>
        <w:t xml:space="preserve"> </w:t>
      </w:r>
      <w:r>
        <w:t xml:space="preserve">and the length of</w:t>
      </w:r>
      <w:r>
        <w:t xml:space="preserve"> </w:t>
      </w:r>
      <m:oMath>
        <m:r>
          <m:t>m</m:t>
        </m:r>
      </m:oMath>
      <w:r>
        <w:t xml:space="preserve">, anyone can compute</w:t>
      </w:r>
      <w:r>
        <w:t xml:space="preserve"> </w:t>
      </w:r>
      <m:oMath>
        <m:r>
          <m:t>H</m:t>
        </m:r>
        <m:d>
          <m:dPr>
            <m:begChr m:val="("/>
            <m:endChr m:val=")"/>
            <m:sepChr m:val=""/>
            <m:grow/>
          </m:dPr>
          <m:e>
            <m:r>
              <m:t>m</m:t>
            </m:r>
            <m:r>
              <m:t> </m:t>
            </m:r>
            <m:r>
              <m:rPr>
                <m:sty m:val="p"/>
              </m:rPr>
              <m:t>∥</m:t>
            </m:r>
            <m:r>
              <m:t> </m:t>
            </m:r>
            <m:r>
              <m:rPr>
                <m:nor/>
                <m:sty m:val="p"/>
              </m:rPr>
              <m:t>padding</m:t>
            </m:r>
            <m:r>
              <m:t> </m:t>
            </m:r>
            <m:r>
              <m:rPr>
                <m:sty m:val="p"/>
              </m:rPr>
              <m:t>∥</m:t>
            </m:r>
            <m:r>
              <m:t> </m:t>
            </m:r>
            <m:r>
              <m:t>x</m:t>
            </m:r>
          </m:e>
        </m:d>
      </m:oMath>
      <w:r>
        <w:t xml:space="preserve"> </w:t>
      </w:r>
      <w:r>
        <w:t xml:space="preserve">without knowing</w:t>
      </w:r>
      <w:r>
        <w:t xml:space="preserve"> </w:t>
      </w:r>
      <m:oMath>
        <m:r>
          <m:t>m</m:t>
        </m:r>
      </m:oMath>
      <w:r>
        <w:t xml:space="preserve">. That is harmless for fingerprints but fatal if you build a MAC as</w:t>
      </w:r>
      <w:r>
        <w:t xml:space="preserve"> </w:t>
      </w:r>
      <m:oMath>
        <m:r>
          <m:t>H</m:t>
        </m:r>
        <m:d>
          <m:dPr>
            <m:begChr m:val="("/>
            <m:endChr m:val=")"/>
            <m:sepChr m:val=""/>
            <m:grow/>
          </m:dPr>
          <m:e>
            <m:r>
              <m:rPr>
                <m:nor/>
                <m:sty m:val="p"/>
              </m:rPr>
              <m:t>key</m:t>
            </m:r>
            <m:r>
              <m:t> </m:t>
            </m:r>
            <m:r>
              <m:rPr>
                <m:sty m:val="p"/>
              </m:rPr>
              <m:t>∥</m:t>
            </m:r>
            <m:r>
              <m:t> </m:t>
            </m:r>
            <m:r>
              <m:rPr>
                <m:nor/>
                <m:sty m:val="p"/>
              </m:rPr>
              <m:t>message</m:t>
            </m:r>
          </m:e>
        </m:d>
      </m:oMath>
      <w:r>
        <w:t xml:space="preserve"> </w:t>
      </w:r>
      <w:r>
        <w:t xml:space="preserve">— the reason HMAC exists (§10.4.6). SHA-3 uses a different</w:t>
      </w:r>
      <w:r>
        <w:t xml:space="preserve"> </w:t>
      </w:r>
      <w:r>
        <w:t xml:space="preserve">“</w:t>
      </w:r>
      <w:r>
        <w:t xml:space="preserve">sponge</w:t>
      </w:r>
      <w:r>
        <w:t xml:space="preserve">”</w:t>
      </w:r>
      <w:r>
        <w:t xml:space="preserve"> </w:t>
      </w:r>
      <w:r>
        <w:t xml:space="preserve">construction without this property.</w:t>
      </w:r>
    </w:p>
    <w:p>
      <w:pPr>
        <w:pStyle w:val="BodyText"/>
      </w:pPr>
      <w:r>
        <w:t xml:space="preserve">MD5 and SHA-1 are broken for collision resistance: practical collisions were published for MD5 in 2004 and for SHA-1 in 2017 (the</w:t>
      </w:r>
      <w:r>
        <w:t xml:space="preserve"> </w:t>
      </w:r>
      <w:r>
        <w:t xml:space="preserve">“</w:t>
      </w:r>
      <w:r>
        <w:t xml:space="preserve">SHAttered</w:t>
      </w:r>
      <w:r>
        <w:t xml:space="preserve">”</w:t>
      </w:r>
      <w:r>
        <w:t xml:space="preserve"> </w:t>
      </w:r>
      <w:r>
        <w:t xml:space="preserve">attack). Do not use them for any security purpose.</w:t>
      </w:r>
    </w:p>
    <w:bookmarkEnd w:id="1097"/>
    <w:bookmarkStart w:id="1098" w:name="mathematical-foundations-13"/>
    <w:p>
      <w:pPr>
        <w:pStyle w:val="Heading4"/>
      </w:pPr>
      <w:r>
        <w:t xml:space="preserve">Mathematical foundations</w:t>
      </w:r>
    </w:p>
    <w:p>
      <w:pPr>
        <w:pStyle w:val="CalloutFormula"/>
      </w:pPr>
      <w:r>
        <w:rPr>
          <w:bCs/>
          <w:b/>
        </w:rPr>
        <w:t xml:space="preserve">FORMULA</w:t>
      </w:r>
    </w:p>
    <w:p>
      <w:pPr>
        <w:pStyle w:val="CalloutFormula"/>
      </w:pPr>
      <w:r>
        <w:rPr>
          <w:bCs/>
          <w:b/>
        </w:rPr>
        <w:t xml:space="preserve">Birthday bound for hash collisions</w:t>
      </w:r>
    </w:p>
    <w:p>
      <w:pPr>
        <w:pStyle w:val="CalloutFormula"/>
      </w:pPr>
      <m:oMathPara>
        <m:oMathParaPr>
          <m:jc m:val="center"/>
        </m:oMathParaPr>
        <m:oMath>
          <m:sSub>
            <m:e>
              <m:r>
                <m:t>P</m:t>
              </m:r>
            </m:e>
            <m:sub>
              <m:r>
                <m:rPr>
                  <m:nor/>
                  <m:sty m:val="p"/>
                </m:rPr>
                <m:t>collision</m:t>
              </m:r>
            </m:sub>
          </m:sSub>
          <m:r>
            <m:rPr>
              <m:sty m:val="p"/>
            </m:rPr>
            <m:t>≈</m:t>
          </m:r>
          <m:f>
            <m:fPr>
              <m:type m:val="bar"/>
            </m:fPr>
            <m:num>
              <m:sSup>
                <m:e>
                  <m:r>
                    <m:t>k</m:t>
                  </m:r>
                </m:e>
                <m:sup>
                  <m:r>
                    <m:t>2</m:t>
                  </m:r>
                </m:sup>
              </m:sSup>
            </m:num>
            <m:den>
              <m:sSup>
                <m:e>
                  <m:r>
                    <m:t>2</m:t>
                  </m:r>
                </m:e>
                <m:sup>
                  <m:r>
                    <m:t> </m:t>
                  </m:r>
                  <m:r>
                    <m:t>n</m:t>
                  </m:r>
                  <m:r>
                    <m:rPr>
                      <m:sty m:val="p"/>
                    </m:rPr>
                    <m:t>+</m:t>
                  </m:r>
                  <m:r>
                    <m:t>1</m:t>
                  </m:r>
                </m:sup>
              </m:sSup>
            </m:den>
          </m:f>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k</m:t>
              </m:r>
            </m:oMath>
          </w:p>
        </w:tc>
        <w:tc>
          <w:tcPr/>
          <w:p>
            <w:pPr>
              <w:pStyle w:val="Compact"/>
              <w:jc w:val="left"/>
            </w:pPr>
            <w:r>
              <w:t xml:space="preserve">Number of distinct inputs hashed</w:t>
            </w:r>
          </w:p>
        </w:tc>
        <w:tc>
          <w:tcPr/>
          <w:p>
            <w:pPr>
              <w:pStyle w:val="Compact"/>
              <w:jc w:val="left"/>
            </w:pPr>
            <w:r>
              <w:t xml:space="preserve">count</w:t>
            </w:r>
          </w:p>
        </w:tc>
      </w:tr>
      <w:tr>
        <w:tc>
          <w:tcPr/>
          <w:p>
            <w:pPr>
              <w:pStyle w:val="Compact"/>
              <w:jc w:val="left"/>
            </w:pPr>
            <m:oMath>
              <m:r>
                <m:t>n</m:t>
              </m:r>
            </m:oMath>
          </w:p>
        </w:tc>
        <w:tc>
          <w:tcPr/>
          <w:p>
            <w:pPr>
              <w:pStyle w:val="Compact"/>
              <w:jc w:val="left"/>
            </w:pPr>
            <w:r>
              <w:t xml:space="preserve">Digest length</w:t>
            </w:r>
          </w:p>
        </w:tc>
        <w:tc>
          <w:tcPr/>
          <w:p>
            <w:pPr>
              <w:pStyle w:val="Compact"/>
              <w:jc w:val="left"/>
            </w:pPr>
            <w:r>
              <w:t xml:space="preserve">bits</w:t>
            </w:r>
          </w:p>
        </w:tc>
      </w:tr>
      <w:tr>
        <w:tc>
          <w:tcPr/>
          <w:p>
            <w:pPr>
              <w:pStyle w:val="Compact"/>
              <w:jc w:val="left"/>
            </w:pPr>
            <m:oMath>
              <m:sSub>
                <m:e>
                  <m:r>
                    <m:t>P</m:t>
                  </m:r>
                </m:e>
                <m:sub>
                  <m:r>
                    <m:rPr>
                      <m:nor/>
                      <m:sty m:val="p"/>
                    </m:rPr>
                    <m:t>collision</m:t>
                  </m:r>
                </m:sub>
              </m:sSub>
            </m:oMath>
          </w:p>
        </w:tc>
        <w:tc>
          <w:tcPr/>
          <w:p>
            <w:pPr>
              <w:pStyle w:val="Compact"/>
              <w:jc w:val="left"/>
            </w:pPr>
            <w:r>
              <w:t xml:space="preserve">Probability that at least two of the</w:t>
            </w:r>
            <w:r>
              <w:t xml:space="preserve"> </w:t>
            </w:r>
            <m:oMath>
              <m:r>
                <m:t>k</m:t>
              </m:r>
            </m:oMath>
            <w:r>
              <w:t xml:space="preserve"> </w:t>
            </w:r>
            <w:r>
              <w:t xml:space="preserve">digests are equal (valid while</w:t>
            </w:r>
            <w:r>
              <w:t xml:space="preserve"> </w:t>
            </w:r>
            <m:oMath>
              <m:r>
                <m:t>P</m:t>
              </m:r>
              <m:r>
                <m:rPr>
                  <m:sty m:val="p"/>
                </m:rPr>
                <m:t>≪</m:t>
              </m:r>
              <m:r>
                <m:t>1</m:t>
              </m:r>
            </m:oMath>
            <w:r>
              <w:t xml:space="preserve">)</w:t>
            </w:r>
          </w:p>
        </w:tc>
        <w:tc>
          <w:tcPr/>
          <w:p>
            <w:pPr>
              <w:pStyle w:val="Compact"/>
              <w:jc w:val="left"/>
            </w:pPr>
            <w:r>
              <w:t xml:space="preserve">probability</w:t>
            </w:r>
          </w:p>
        </w:tc>
      </w:tr>
    </w:tbl>
    <w:p>
      <w:pPr>
        <w:pStyle w:val="CalloutFormula"/>
      </w:pPr>
      <w:r>
        <w:t xml:space="preserve">Consequence: an</w:t>
      </w:r>
      <w:r>
        <w:t xml:space="preserve"> </w:t>
      </w:r>
      <m:oMath>
        <m:r>
          <m:t>n</m:t>
        </m:r>
      </m:oMath>
      <w:r>
        <w:t xml:space="preserve">-bit hash offers about</w:t>
      </w:r>
      <w:r>
        <w:t xml:space="preserve"> </w:t>
      </w:r>
      <m:oMath>
        <m:r>
          <m:t>n</m:t>
        </m:r>
        <m:r>
          <m:rPr>
            <m:sty m:val="p"/>
          </m:rPr>
          <m:t>/</m:t>
        </m:r>
        <m:r>
          <m:t>2</m:t>
        </m:r>
      </m:oMath>
      <w:r>
        <w:t xml:space="preserve"> </w:t>
      </w:r>
      <w:r>
        <w:t xml:space="preserve">bits of collision resistance, because</w:t>
      </w:r>
      <w:r>
        <w:t xml:space="preserve"> </w:t>
      </w:r>
      <m:oMath>
        <m:r>
          <m:t>P</m:t>
        </m:r>
      </m:oMath>
      <w:r>
        <w:t xml:space="preserve"> </w:t>
      </w:r>
      <w:r>
        <w:t xml:space="preserve">approaches</w:t>
      </w:r>
      <w:r>
        <w:t xml:space="preserve"> </w:t>
      </w:r>
      <m:oMath>
        <m:r>
          <m:t>1</m:t>
        </m:r>
        <m:r>
          <m:rPr>
            <m:sty m:val="p"/>
          </m:rPr>
          <m:t>/</m:t>
        </m:r>
        <m:r>
          <m:t>2</m:t>
        </m:r>
      </m:oMath>
      <w:r>
        <w:t xml:space="preserve"> </w:t>
      </w:r>
      <w:r>
        <w:t xml:space="preserve">when</w:t>
      </w:r>
      <w:r>
        <w:t xml:space="preserve"> </w:t>
      </w:r>
      <m:oMath>
        <m:r>
          <m:t>k</m:t>
        </m:r>
        <m:r>
          <m:rPr>
            <m:sty m:val="p"/>
          </m:rPr>
          <m:t>≈</m:t>
        </m:r>
        <m:sSup>
          <m:e>
            <m:r>
              <m:t>2</m:t>
            </m:r>
          </m:e>
          <m:sup>
            <m:r>
              <m:t>n</m:t>
            </m:r>
            <m:r>
              <m:rPr>
                <m:sty m:val="p"/>
              </m:rPr>
              <m:t>/</m:t>
            </m:r>
            <m:r>
              <m:t>2</m:t>
            </m:r>
          </m:sup>
        </m:sSup>
      </m:oMath>
      <w:r>
        <w:t xml:space="preserve">.</w:t>
      </w:r>
    </w:p>
    <w:p>
      <w:pPr>
        <w:pStyle w:val="CalloutExample"/>
      </w:pPr>
      <w:r>
        <w:rPr>
          <w:bCs/>
          <w:b/>
        </w:rPr>
        <w:t xml:space="preserve">WORKED EXAMPLE</w:t>
      </w:r>
    </w:p>
    <w:p>
      <w:pPr>
        <w:pStyle w:val="CalloutExample"/>
      </w:pPr>
      <w:r>
        <w:rPr>
          <w:bCs/>
          <w:b/>
        </w:rPr>
        <w:t xml:space="preserve">Worked example — Is a 64-bit truncated hash safe as a content ID?</w:t>
      </w:r>
      <w:r>
        <w:t xml:space="preserve"> </w:t>
      </w:r>
      <w:r>
        <w:t xml:space="preserve">Suppose a storage service names objects by the first 64 bits of their SHA-256 digest and stores</w:t>
      </w:r>
      <w:r>
        <w:t xml:space="preserve"> </w:t>
      </w:r>
      <m:oMath>
        <m:r>
          <m:t>k</m:t>
        </m:r>
        <m:r>
          <m:rPr>
            <m:sty m:val="p"/>
          </m:rPr>
          <m:t>=</m:t>
        </m:r>
        <m:sSup>
          <m:e>
            <m:r>
              <m:t>10</m:t>
            </m:r>
          </m:e>
          <m:sup>
            <m:r>
              <m:t>10</m:t>
            </m:r>
          </m:sup>
        </m:sSup>
      </m:oMath>
      <w:r>
        <w:t xml:space="preserve"> </w:t>
      </w:r>
      <w:r>
        <w:t xml:space="preserve">objects (ten billion).</w:t>
      </w:r>
    </w:p>
    <w:p>
      <w:pPr>
        <w:numPr>
          <w:ilvl w:val="0"/>
          <w:numId w:val="1338"/>
        </w:numPr>
        <w:pStyle w:val="Compact"/>
      </w:pPr>
      <m:oMath>
        <m:sSup>
          <m:e>
            <m:r>
              <m:t>k</m:t>
            </m:r>
          </m:e>
          <m:sup>
            <m:r>
              <m:t>2</m:t>
            </m:r>
          </m:sup>
        </m:sSup>
        <m:r>
          <m:rPr>
            <m:sty m:val="p"/>
          </m:rPr>
          <m:t>=</m:t>
        </m:r>
        <m:sSup>
          <m:e>
            <m:r>
              <m:t>10</m:t>
            </m:r>
          </m:e>
          <m:sup>
            <m:r>
              <m:t>20</m:t>
            </m:r>
          </m:sup>
        </m:sSup>
      </m:oMath>
      <w:r>
        <w:t xml:space="preserve">.</w:t>
      </w:r>
    </w:p>
    <w:p>
      <w:pPr>
        <w:numPr>
          <w:ilvl w:val="0"/>
          <w:numId w:val="1338"/>
        </w:numPr>
        <w:pStyle w:val="Compact"/>
      </w:pPr>
      <m:oMath>
        <m:sSup>
          <m:e>
            <m:r>
              <m:t>2</m:t>
            </m:r>
          </m:e>
          <m:sup>
            <m:r>
              <m:t>65</m:t>
            </m:r>
          </m:sup>
        </m:sSup>
        <m:r>
          <m:rPr>
            <m:sty m:val="p"/>
          </m:rPr>
          <m:t>≈</m:t>
        </m:r>
        <m:r>
          <m:t>3.69</m:t>
        </m:r>
        <m:r>
          <m:rPr>
            <m:sty m:val="p"/>
          </m:rPr>
          <m:t>×</m:t>
        </m:r>
        <m:sSup>
          <m:e>
            <m:r>
              <m:t>10</m:t>
            </m:r>
          </m:e>
          <m:sup>
            <m:r>
              <m:t>19</m:t>
            </m:r>
          </m:sup>
        </m:sSup>
      </m:oMath>
      <w:r>
        <w:t xml:space="preserve">.</w:t>
      </w:r>
    </w:p>
    <w:p>
      <w:pPr>
        <w:numPr>
          <w:ilvl w:val="0"/>
          <w:numId w:val="1338"/>
        </w:numPr>
        <w:pStyle w:val="Compact"/>
      </w:pPr>
      <m:oMath>
        <m:r>
          <m:t>P</m:t>
        </m:r>
        <m:r>
          <m:rPr>
            <m:sty m:val="p"/>
          </m:rPr>
          <m:t>≈</m:t>
        </m:r>
        <m:sSup>
          <m:e>
            <m:r>
              <m:t>10</m:t>
            </m:r>
          </m:e>
          <m:sup>
            <m:r>
              <m:t>20</m:t>
            </m:r>
          </m:sup>
        </m:sSup>
        <m:r>
          <m:rPr>
            <m:sty m:val="p"/>
          </m:rPr>
          <m:t>/</m:t>
        </m:r>
        <m:r>
          <m:t>3.69</m:t>
        </m:r>
        <m:r>
          <m:rPr>
            <m:sty m:val="p"/>
          </m:rPr>
          <m:t>×</m:t>
        </m:r>
        <m:sSup>
          <m:e>
            <m:r>
              <m:t>10</m:t>
            </m:r>
          </m:e>
          <m:sup>
            <m:r>
              <m:t>19</m:t>
            </m:r>
          </m:sup>
        </m:sSup>
        <m:r>
          <m:rPr>
            <m:sty m:val="p"/>
          </m:rPr>
          <m:t>≈</m:t>
        </m:r>
        <m:r>
          <m:t>2.7</m:t>
        </m:r>
      </m:oMath>
      <w:r>
        <w:t xml:space="preserve"> </w:t>
      </w:r>
      <w:r>
        <w:t xml:space="preserve">— the approximation has broken down because</w:t>
      </w:r>
      <w:r>
        <w:t xml:space="preserve"> </w:t>
      </w:r>
      <m:oMath>
        <m:r>
          <m:t>P</m:t>
        </m:r>
      </m:oMath>
      <w:r>
        <w:t xml:space="preserve"> </w:t>
      </w:r>
      <w:r>
        <w:t xml:space="preserve">is not small; in reality a collision is all but certain.</w:t>
      </w:r>
    </w:p>
    <w:p>
      <w:pPr>
        <w:pStyle w:val="CalloutExample"/>
      </w:pPr>
      <w:r>
        <w:t xml:space="preserve">With the full 256-bit digest:</w:t>
      </w:r>
      <w:r>
        <w:t xml:space="preserve"> </w:t>
      </w:r>
      <m:oMath>
        <m:r>
          <m:t>P</m:t>
        </m:r>
        <m:r>
          <m:rPr>
            <m:sty m:val="p"/>
          </m:rPr>
          <m:t>≈</m:t>
        </m:r>
        <m:sSup>
          <m:e>
            <m:r>
              <m:t>10</m:t>
            </m:r>
          </m:e>
          <m:sup>
            <m:r>
              <m:t>20</m:t>
            </m:r>
          </m:sup>
        </m:sSup>
        <m:r>
          <m:rPr>
            <m:sty m:val="p"/>
          </m:rPr>
          <m:t>/</m:t>
        </m:r>
        <m:sSup>
          <m:e>
            <m:r>
              <m:t>2</m:t>
            </m:r>
          </m:e>
          <m:sup>
            <m:r>
              <m:t>257</m:t>
            </m:r>
          </m:sup>
        </m:sSup>
        <m:r>
          <m:rPr>
            <m:sty m:val="p"/>
          </m:rPr>
          <m:t>≈</m:t>
        </m:r>
        <m:sSup>
          <m:e>
            <m:r>
              <m:t>10</m:t>
            </m:r>
          </m:e>
          <m:sup>
            <m:r>
              <m:t>20</m:t>
            </m:r>
          </m:sup>
        </m:sSup>
        <m:r>
          <m:rPr>
            <m:sty m:val="p"/>
          </m:rPr>
          <m:t>/</m:t>
        </m:r>
        <m:r>
          <m:t>2.3</m:t>
        </m:r>
        <m:r>
          <m:rPr>
            <m:sty m:val="p"/>
          </m:rPr>
          <m:t>×</m:t>
        </m:r>
        <m:sSup>
          <m:e>
            <m:r>
              <m:t>10</m:t>
            </m:r>
          </m:e>
          <m:sup>
            <m:r>
              <m:t>77</m:t>
            </m:r>
          </m:sup>
        </m:sSup>
        <m:r>
          <m:rPr>
            <m:sty m:val="p"/>
          </m:rPr>
          <m:t>≈</m:t>
        </m:r>
        <m:r>
          <m:t>4</m:t>
        </m:r>
        <m:r>
          <m:rPr>
            <m:sty m:val="p"/>
          </m:rPr>
          <m:t>×</m:t>
        </m:r>
        <m:sSup>
          <m:e>
            <m:r>
              <m:t>10</m:t>
            </m:r>
          </m:e>
          <m:sup>
            <m:r>
              <m:rPr>
                <m:sty m:val="p"/>
              </m:rPr>
              <m:t>−</m:t>
            </m:r>
            <m:r>
              <m:t>58</m:t>
            </m:r>
          </m:sup>
        </m:sSup>
      </m:oMath>
      <w:r>
        <w:t xml:space="preserve">.</w:t>
      </w:r>
    </w:p>
    <w:p>
      <w:pPr>
        <w:pStyle w:val="CalloutExample"/>
      </w:pPr>
      <w:r>
        <w:rPr>
          <w:iCs/>
          <w:i/>
        </w:rPr>
        <w:t xml:space="preserve">Interpretation:</w:t>
      </w:r>
      <w:r>
        <w:t xml:space="preserve"> </w:t>
      </w:r>
      <w:r>
        <w:t xml:space="preserve">64 bits feels large, but birthday collisions arrive at around</w:t>
      </w:r>
      <w:r>
        <w:t xml:space="preserve"> </w:t>
      </w:r>
      <m:oMath>
        <m:sSup>
          <m:e>
            <m:r>
              <m:t>2</m:t>
            </m:r>
          </m:e>
          <m:sup>
            <m:r>
              <m:t>32</m:t>
            </m:r>
          </m:sup>
        </m:sSup>
        <m:r>
          <m:rPr>
            <m:sty m:val="p"/>
          </m:rPr>
          <m:t>≈</m:t>
        </m:r>
        <m:r>
          <m:t>4.3</m:t>
        </m:r>
      </m:oMath>
      <w:r>
        <w:t xml:space="preserve"> </w:t>
      </w:r>
      <w:r>
        <w:t xml:space="preserve">billion items.</w:t>
      </w:r>
      <w:r>
        <w:t xml:space="preserve"> </w:t>
      </w:r>
      <w:r>
        <w:rPr>
          <w:iCs/>
          <w:i/>
        </w:rPr>
        <w:t xml:space="preserve">Engineering implication:</w:t>
      </w:r>
      <w:r>
        <w:t xml:space="preserve"> </w:t>
      </w:r>
      <w:r>
        <w:t xml:space="preserve">if an adversary benefits from a collision (deduplication, content addressing, signatures), use at least 256-bit digests; truncate only for non-adversarial uses such as cache sharding.</w:t>
      </w:r>
    </w:p>
    <w:bookmarkEnd w:id="1098"/>
    <w:bookmarkEnd w:id="1099"/>
    <w:bookmarkStart w:id="1102" w:name="symmetric-encryption-and-aes-gcm"/>
    <w:p>
      <w:pPr>
        <w:pStyle w:val="Heading3"/>
      </w:pPr>
      <w:r>
        <w:t xml:space="preserve">10.4.2 Symmetric encryption and AES-GCM</w:t>
      </w:r>
    </w:p>
    <w:p>
      <w:pPr>
        <w:pStyle w:val="CalloutDefinition"/>
      </w:pPr>
      <w:r>
        <w:rPr>
          <w:bCs/>
          <w:b/>
        </w:rPr>
        <w:t xml:space="preserve">DEFINITION</w:t>
      </w:r>
    </w:p>
    <w:p>
      <w:pPr>
        <w:pStyle w:val="CalloutDefinition"/>
      </w:pPr>
      <w:r>
        <w:rPr>
          <w:bCs/>
          <w:b/>
        </w:rPr>
        <w:t xml:space="preserve">Definition — Symmetric encryption.</w:t>
      </w:r>
      <w:r>
        <w:t xml:space="preserve"> </w:t>
      </w:r>
      <w:r>
        <w:t xml:space="preserve">Encryption in which the same secret key is used to encrypt and decrypt. A</w:t>
      </w:r>
      <w:r>
        <w:t xml:space="preserve"> </w:t>
      </w:r>
      <w:r>
        <w:rPr>
          <w:bCs/>
          <w:b/>
        </w:rPr>
        <w:t xml:space="preserve">block cipher</w:t>
      </w:r>
      <w:r>
        <w:t xml:space="preserve"> </w:t>
      </w:r>
      <w:r>
        <w:t xml:space="preserve">such as AES (Advanced Encryption Standard) encrypts fixed 128-bit blocks under a 128-, 192- or 256-bit key; a</w:t>
      </w:r>
      <w:r>
        <w:t xml:space="preserve"> </w:t>
      </w:r>
      <w:r>
        <w:rPr>
          <w:bCs/>
          <w:b/>
        </w:rPr>
        <w:t xml:space="preserve">mode of operation</w:t>
      </w:r>
      <w:r>
        <w:t xml:space="preserve"> </w:t>
      </w:r>
      <w:r>
        <w:t xml:space="preserve">turns the block cipher into a scheme for messages of any length.</w:t>
      </w:r>
    </w:p>
    <w:p>
      <w:pPr>
        <w:pStyle w:val="CalloutDefinition"/>
      </w:pPr>
      <w:r>
        <w:rPr>
          <w:bCs/>
          <w:b/>
        </w:rPr>
        <w:t xml:space="preserve">DEFINITION</w:t>
      </w:r>
    </w:p>
    <w:p>
      <w:pPr>
        <w:pStyle w:val="CalloutDefinition"/>
      </w:pPr>
      <w:r>
        <w:rPr>
          <w:bCs/>
          <w:b/>
        </w:rPr>
        <w:t xml:space="preserve">Definition — Authenticated encryption with associated data (AEAD).</w:t>
      </w:r>
      <w:r>
        <w:t xml:space="preserve"> </w:t>
      </w:r>
      <w:r>
        <w:t xml:space="preserve">A symmetric scheme that provides confidentiality for the plaintext</w:t>
      </w:r>
      <w:r>
        <w:t xml:space="preserve"> </w:t>
      </w:r>
      <w:r>
        <w:rPr>
          <w:iCs/>
          <w:i/>
        </w:rPr>
        <w:t xml:space="preserve">and</w:t>
      </w:r>
      <w:r>
        <w:t xml:space="preserve"> </w:t>
      </w:r>
      <w:r>
        <w:t xml:space="preserve">integrity for both the ciphertext and optional unencrypted</w:t>
      </w:r>
      <w:r>
        <w:t xml:space="preserve"> </w:t>
      </w:r>
      <w:r>
        <w:rPr>
          <w:bCs/>
          <w:b/>
        </w:rPr>
        <w:t xml:space="preserve">associated data</w:t>
      </w:r>
      <w:r>
        <w:t xml:space="preserve"> </w:t>
      </w:r>
      <w:r>
        <w:t xml:space="preserve">(AAD), producing an authentication</w:t>
      </w:r>
      <w:r>
        <w:t xml:space="preserve"> </w:t>
      </w:r>
      <w:r>
        <w:rPr>
          <w:bCs/>
          <w:b/>
        </w:rPr>
        <w:t xml:space="preserve">tag</w:t>
      </w:r>
      <w:r>
        <w:t xml:space="preserve"> </w:t>
      </w:r>
      <w:r>
        <w:t xml:space="preserve">that decryption checks before releasing any plaintext. AES-GCM and ChaCha20-Poly1305 are AEAD schemes.</w:t>
      </w:r>
    </w:p>
    <w:bookmarkStart w:id="1100" w:name="first-principles-explanation-56"/>
    <w:p>
      <w:pPr>
        <w:pStyle w:val="Heading4"/>
      </w:pPr>
      <w:r>
        <w:t xml:space="preserve">First-principles explanation</w:t>
      </w:r>
    </w:p>
    <w:p>
      <w:pPr>
        <w:pStyle w:val="FirstParagraph"/>
      </w:pPr>
      <w:r>
        <w:t xml:space="preserve">Symmetric encryption is a lockbox where sender and receiver hold copies of the same key. It is extremely fast: modern CPUs have AES instructions (AES-NI on x86, equivalent extensions on ARM) that encrypt at multiple gigabytes per second per core, which is why every bulk-data protocol — TLS records, disk encryption, database encryption — uses symmetric ciphers for the data itself. The hard part is not encrypting; it is getting the same key to both parties securely and keeping it secret, which the rest of this chapter addresses.</w:t>
      </w:r>
    </w:p>
    <w:p>
      <w:pPr>
        <w:pStyle w:val="BodyText"/>
      </w:pPr>
      <w:r>
        <w:t xml:space="preserve">An</w:t>
      </w:r>
      <w:r>
        <w:t xml:space="preserve"> </w:t>
      </w:r>
      <w:r>
        <w:rPr>
          <w:iCs/>
          <w:i/>
        </w:rPr>
        <w:t xml:space="preserve">unauthenticated</w:t>
      </w:r>
      <w:r>
        <w:t xml:space="preserve"> </w:t>
      </w:r>
      <w:r>
        <w:t xml:space="preserve">mode such as AES-CBC or AES-CTR hides the content but does not detect changes. An attacker who flips bit 7 of a CTR ciphertext flips bit 7 of the plaintext — turning</w:t>
      </w:r>
      <w:r>
        <w:t xml:space="preserve"> </w:t>
      </w:r>
      <w:r>
        <w:t xml:space="preserve">“</w:t>
      </w:r>
      <w:r>
        <w:t xml:space="preserve">pay $100</w:t>
      </w:r>
      <w:r>
        <w:t xml:space="preserve">”</w:t>
      </w:r>
      <w:r>
        <w:t xml:space="preserve"> </w:t>
      </w:r>
      <w:r>
        <w:t xml:space="preserve">into</w:t>
      </w:r>
      <w:r>
        <w:t xml:space="preserve"> </w:t>
      </w:r>
      <w:r>
        <w:t xml:space="preserve">“</w:t>
      </w:r>
      <w:r>
        <w:t xml:space="preserve">pay $900</w:t>
      </w:r>
      <w:r>
        <w:t xml:space="preserve">”</w:t>
      </w:r>
      <w:r>
        <w:t xml:space="preserve"> </w:t>
      </w:r>
      <w:r>
        <w:t xml:space="preserve">without knowing the key. AEAD adds the tamper seal: any change to ciphertext, tag, nonce or associated data makes decryption fail.</w:t>
      </w:r>
    </w:p>
    <w:bookmarkEnd w:id="1100"/>
    <w:bookmarkStart w:id="1101" w:name="how-it-works-internally-36"/>
    <w:p>
      <w:pPr>
        <w:pStyle w:val="Heading4"/>
      </w:pPr>
      <w:r>
        <w:t xml:space="preserve">How it works internally</w:t>
      </w:r>
    </w:p>
    <w:p>
      <w:pPr>
        <w:pStyle w:val="FirstParagraph"/>
      </w:pPr>
      <w:r>
        <w:t xml:space="preserve">AES-GCM (Galois/Counter Mode, NIST SP 800-38D):</w:t>
      </w:r>
    </w:p>
    <w:p>
      <w:pPr>
        <w:numPr>
          <w:ilvl w:val="0"/>
          <w:numId w:val="1339"/>
        </w:numPr>
        <w:pStyle w:val="Compact"/>
      </w:pPr>
      <w:r>
        <w:t xml:space="preserve">Take a key</w:t>
      </w:r>
      <w:r>
        <w:t xml:space="preserve"> </w:t>
      </w:r>
      <m:oMath>
        <m:r>
          <m:t>K</m:t>
        </m:r>
      </m:oMath>
      <w:r>
        <w:t xml:space="preserve"> </w:t>
      </w:r>
      <w:r>
        <w:t xml:space="preserve">and a 96-bit</w:t>
      </w:r>
      <w:r>
        <w:t xml:space="preserve"> </w:t>
      </w:r>
      <w:r>
        <w:rPr>
          <w:bCs/>
          <w:b/>
        </w:rPr>
        <w:t xml:space="preserve">nonce</w:t>
      </w:r>
      <w:r>
        <w:t xml:space="preserve"> </w:t>
      </w:r>
      <w:r>
        <w:t xml:space="preserve">(number used once)</w:t>
      </w:r>
      <w:r>
        <w:t xml:space="preserve"> </w:t>
      </w:r>
      <m:oMath>
        <m:r>
          <m:t>N</m:t>
        </m:r>
      </m:oMath>
      <w:r>
        <w:t xml:space="preserve">.</w:t>
      </w:r>
    </w:p>
    <w:p>
      <w:pPr>
        <w:numPr>
          <w:ilvl w:val="0"/>
          <w:numId w:val="1339"/>
        </w:numPr>
        <w:pStyle w:val="Compact"/>
      </w:pPr>
      <w:r>
        <w:t xml:space="preserve">Generate a keystream by encrypting the counter values</w:t>
      </w:r>
      <w:r>
        <w:t xml:space="preserve"> </w:t>
      </w:r>
      <m:oMath>
        <m:r>
          <m:t>N</m:t>
        </m:r>
        <m:r>
          <m:rPr>
            <m:sty m:val="p"/>
          </m:rPr>
          <m:t>∥</m:t>
        </m:r>
        <m:r>
          <m:t>2</m:t>
        </m:r>
        <m:r>
          <m:rPr>
            <m:sty m:val="p"/>
          </m:rPr>
          <m:t>,</m:t>
        </m:r>
        <m:r>
          <m:t>N</m:t>
        </m:r>
        <m:r>
          <m:rPr>
            <m:sty m:val="p"/>
          </m:rPr>
          <m:t>∥</m:t>
        </m:r>
        <m:r>
          <m:t>3</m:t>
        </m:r>
        <m:r>
          <m:rPr>
            <m:sty m:val="p"/>
          </m:rPr>
          <m:t>,</m:t>
        </m:r>
        <m:r>
          <m:rPr>
            <m:sty m:val="p"/>
          </m:rPr>
          <m:t>…</m:t>
        </m:r>
      </m:oMath>
      <w:r>
        <w:t xml:space="preserve"> </w:t>
      </w:r>
      <w:r>
        <w:t xml:space="preserve">with AES; XOR it with the plaintext to get ciphertext (counter mode).</w:t>
      </w:r>
    </w:p>
    <w:p>
      <w:pPr>
        <w:numPr>
          <w:ilvl w:val="0"/>
          <w:numId w:val="1339"/>
        </w:numPr>
        <w:pStyle w:val="Compact"/>
      </w:pPr>
      <w:r>
        <w:t xml:space="preserve">Compute a 128-bit tag over the AAD and ciphertext using GHASH, a polynomial hash keyed by a value derived from</w:t>
      </w:r>
      <w:r>
        <w:t xml:space="preserve"> </w:t>
      </w:r>
      <m:oMath>
        <m:r>
          <m:t>K</m:t>
        </m:r>
      </m:oMath>
      <w:r>
        <w:t xml:space="preserve">, and mask it with the encryption of</w:t>
      </w:r>
      <w:r>
        <w:t xml:space="preserve"> </w:t>
      </w:r>
      <m:oMath>
        <m:r>
          <m:t>N</m:t>
        </m:r>
        <m:r>
          <m:rPr>
            <m:sty m:val="p"/>
          </m:rPr>
          <m:t>∥</m:t>
        </m:r>
        <m:r>
          <m:t>1</m:t>
        </m:r>
      </m:oMath>
      <w:r>
        <w:t xml:space="preserve">.</w:t>
      </w:r>
    </w:p>
    <w:p>
      <w:pPr>
        <w:numPr>
          <w:ilvl w:val="0"/>
          <w:numId w:val="1339"/>
        </w:numPr>
        <w:pStyle w:val="Compact"/>
      </w:pPr>
      <w:r>
        <w:t xml:space="preserve">Output (nonce, ciphertext, tag). Decryption recomputes the tag and rejects mismatches before returning plaintext.</w:t>
      </w:r>
    </w:p>
    <w:p>
      <w:pPr>
        <w:pStyle w:val="FirstParagraph"/>
      </w:pPr>
      <w:r>
        <w:t xml:space="preserve">The single most important rule:</w:t>
      </w:r>
      <w:r>
        <w:t xml:space="preserve"> </w:t>
      </w:r>
      <w:r>
        <w:rPr>
          <w:bCs/>
          <w:b/>
        </w:rPr>
        <w:t xml:space="preserve">never reuse a nonce with the same key.</w:t>
      </w:r>
      <w:r>
        <w:t xml:space="preserve"> </w:t>
      </w:r>
      <w:r>
        <w:t xml:space="preserve">A repeated nonce produces the same keystream, so XOR of two ciphertexts reveals the XOR of the two plaintexts, and it also leaks enough to forge tags. Use a 96-bit random nonce per message, or a counter that is guaranteed never to repeat, and rotate keys before the nonce collision probability becomes meaningful.</w:t>
      </w:r>
    </w:p>
    <w:p>
      <w:pPr>
        <w:pStyle w:val="CalloutFormula"/>
      </w:pPr>
      <w:r>
        <w:rPr>
          <w:bCs/>
          <w:b/>
        </w:rPr>
        <w:t xml:space="preserve">FORMULA</w:t>
      </w:r>
    </w:p>
    <w:p>
      <w:pPr>
        <w:pStyle w:val="CalloutFormula"/>
      </w:pPr>
      <w:r>
        <w:rPr>
          <w:bCs/>
          <w:b/>
        </w:rPr>
        <w:t xml:space="preserve">Random-nonce collision probability for AES-GCM</w:t>
      </w:r>
    </w:p>
    <w:p>
      <w:pPr>
        <w:pStyle w:val="CalloutFormula"/>
      </w:pPr>
      <m:oMathPara>
        <m:oMathParaPr>
          <m:jc m:val="center"/>
        </m:oMathParaPr>
        <m:oMath>
          <m:sSub>
            <m:e>
              <m:r>
                <m:t>P</m:t>
              </m:r>
            </m:e>
            <m:sub>
              <m:r>
                <m:rPr>
                  <m:nor/>
                  <m:sty m:val="p"/>
                </m:rPr>
                <m:t>reuse</m:t>
              </m:r>
            </m:sub>
          </m:sSub>
          <m:r>
            <m:rPr>
              <m:sty m:val="p"/>
            </m:rPr>
            <m:t>≈</m:t>
          </m:r>
          <m:f>
            <m:fPr>
              <m:type m:val="bar"/>
            </m:fPr>
            <m:num>
              <m:sSup>
                <m:e>
                  <m:r>
                    <m:t>q</m:t>
                  </m:r>
                </m:e>
                <m:sup>
                  <m:r>
                    <m:t>2</m:t>
                  </m:r>
                </m:sup>
              </m:sSup>
            </m:num>
            <m:den>
              <m:sSup>
                <m:e>
                  <m:r>
                    <m:t>2</m:t>
                  </m:r>
                </m:e>
                <m:sup>
                  <m:r>
                    <m:t>97</m:t>
                  </m:r>
                </m:sup>
              </m:sSup>
            </m:den>
          </m:f>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q</m:t>
              </m:r>
            </m:oMath>
          </w:p>
        </w:tc>
        <w:tc>
          <w:tcPr/>
          <w:p>
            <w:pPr>
              <w:pStyle w:val="Compact"/>
              <w:jc w:val="left"/>
            </w:pPr>
            <w:r>
              <w:t xml:space="preserve">Number of messages encrypted under one key with random 96-bit nonces</w:t>
            </w:r>
          </w:p>
        </w:tc>
        <w:tc>
          <w:tcPr/>
          <w:p>
            <w:pPr>
              <w:pStyle w:val="Compact"/>
              <w:jc w:val="left"/>
            </w:pPr>
            <w:r>
              <w:t xml:space="preserve">messages</w:t>
            </w:r>
          </w:p>
        </w:tc>
      </w:tr>
      <w:tr>
        <w:tc>
          <w:tcPr/>
          <w:p>
            <w:pPr>
              <w:pStyle w:val="Compact"/>
              <w:jc w:val="left"/>
            </w:pPr>
            <m:oMath>
              <m:sSub>
                <m:e>
                  <m:r>
                    <m:t>P</m:t>
                  </m:r>
                </m:e>
                <m:sub>
                  <m:r>
                    <m:rPr>
                      <m:nor/>
                      <m:sty m:val="p"/>
                    </m:rPr>
                    <m:t>reuse</m:t>
                  </m:r>
                </m:sub>
              </m:sSub>
            </m:oMath>
          </w:p>
        </w:tc>
        <w:tc>
          <w:tcPr/>
          <w:p>
            <w:pPr>
              <w:pStyle w:val="Compact"/>
              <w:jc w:val="left"/>
            </w:pPr>
            <w:r>
              <w:t xml:space="preserve">Probability that any two of them share a nonce (birthday bound with</w:t>
            </w:r>
            <w:r>
              <w:t xml:space="preserve"> </w:t>
            </w:r>
            <m:oMath>
              <m:r>
                <m:t>n</m:t>
              </m:r>
              <m:r>
                <m:rPr>
                  <m:sty m:val="p"/>
                </m:rPr>
                <m:t>=</m:t>
              </m:r>
              <m:r>
                <m:t>96</m:t>
              </m:r>
            </m:oMath>
            <w:r>
              <w:t xml:space="preserve">)</w:t>
            </w:r>
          </w:p>
        </w:tc>
        <w:tc>
          <w:tcPr/>
          <w:p>
            <w:pPr>
              <w:pStyle w:val="Compact"/>
              <w:jc w:val="left"/>
            </w:pPr>
            <w:r>
              <w:t xml:space="preserve">probability</w:t>
            </w:r>
          </w:p>
        </w:tc>
      </w:tr>
    </w:tbl>
    <w:p>
      <w:pPr>
        <w:pStyle w:val="CalloutExample"/>
      </w:pPr>
      <w:r>
        <w:rPr>
          <w:bCs/>
          <w:b/>
        </w:rPr>
        <w:t xml:space="preserve">WORKED EXAMPLE</w:t>
      </w:r>
    </w:p>
    <w:p>
      <w:pPr>
        <w:pStyle w:val="CalloutExample"/>
      </w:pPr>
      <w:r>
        <w:rPr>
          <w:bCs/>
          <w:b/>
        </w:rPr>
        <w:t xml:space="preserve">Worked example — How many messages per key?</w:t>
      </w:r>
      <w:r>
        <w:t xml:space="preserve"> </w:t>
      </w:r>
      <w:r>
        <w:t xml:space="preserve">NIST SP 800-38D caps random-nonce GCM at</w:t>
      </w:r>
      <w:r>
        <w:t xml:space="preserve"> </w:t>
      </w:r>
      <m:oMath>
        <m:sSup>
          <m:e>
            <m:r>
              <m:t>2</m:t>
            </m:r>
          </m:e>
          <m:sup>
            <m:r>
              <m:t>32</m:t>
            </m:r>
          </m:sup>
        </m:sSup>
      </m:oMath>
      <w:r>
        <w:t xml:space="preserve"> </w:t>
      </w:r>
      <w:r>
        <w:t xml:space="preserve">invocations per key. Check the risk:</w:t>
      </w:r>
      <w:r>
        <w:t xml:space="preserve"> </w:t>
      </w:r>
      <m:oMath>
        <m:r>
          <m:t>q</m:t>
        </m:r>
        <m:r>
          <m:rPr>
            <m:sty m:val="p"/>
          </m:rPr>
          <m:t>=</m:t>
        </m:r>
        <m:sSup>
          <m:e>
            <m:r>
              <m:t>2</m:t>
            </m:r>
          </m:e>
          <m:sup>
            <m:r>
              <m:t>32</m:t>
            </m:r>
          </m:sup>
        </m:sSup>
      </m:oMath>
      <w:r>
        <w:t xml:space="preserve"> </w:t>
      </w:r>
      <w:r>
        <w:t xml:space="preserve">gives</w:t>
      </w:r>
      <w:r>
        <w:t xml:space="preserve"> </w:t>
      </w:r>
      <m:oMath>
        <m:sSup>
          <m:e>
            <m:r>
              <m:t>q</m:t>
            </m:r>
          </m:e>
          <m:sup>
            <m:r>
              <m:t>2</m:t>
            </m:r>
          </m:sup>
        </m:sSup>
        <m:r>
          <m:rPr>
            <m:sty m:val="p"/>
          </m:rPr>
          <m:t>=</m:t>
        </m:r>
        <m:sSup>
          <m:e>
            <m:r>
              <m:t>2</m:t>
            </m:r>
          </m:e>
          <m:sup>
            <m:r>
              <m:t>64</m:t>
            </m:r>
          </m:sup>
        </m:sSup>
      </m:oMath>
      <w:r>
        <w:t xml:space="preserve">, so</w:t>
      </w:r>
      <w:r>
        <w:t xml:space="preserve"> </w:t>
      </w:r>
      <m:oMath>
        <m:r>
          <m:t>P</m:t>
        </m:r>
        <m:r>
          <m:rPr>
            <m:sty m:val="p"/>
          </m:rPr>
          <m:t>≈</m:t>
        </m:r>
        <m:sSup>
          <m:e>
            <m:r>
              <m:t>2</m:t>
            </m:r>
          </m:e>
          <m:sup>
            <m:r>
              <m:t>64</m:t>
            </m:r>
          </m:sup>
        </m:sSup>
        <m:r>
          <m:rPr>
            <m:sty m:val="p"/>
          </m:rPr>
          <m:t>/</m:t>
        </m:r>
        <m:sSup>
          <m:e>
            <m:r>
              <m:t>2</m:t>
            </m:r>
          </m:e>
          <m:sup>
            <m:r>
              <m:t>97</m:t>
            </m:r>
          </m:sup>
        </m:sSup>
        <m:r>
          <m:rPr>
            <m:sty m:val="p"/>
          </m:rPr>
          <m:t>=</m:t>
        </m:r>
        <m:sSup>
          <m:e>
            <m:r>
              <m:t>2</m:t>
            </m:r>
          </m:e>
          <m:sup>
            <m:r>
              <m:rPr>
                <m:sty m:val="p"/>
              </m:rPr>
              <m:t>−</m:t>
            </m:r>
            <m:r>
              <m:t>33</m:t>
            </m:r>
          </m:sup>
        </m:sSup>
        <m:r>
          <m:rPr>
            <m:sty m:val="p"/>
          </m:rPr>
          <m:t>≈</m:t>
        </m:r>
        <m:r>
          <m:t>1.2</m:t>
        </m:r>
        <m:r>
          <m:rPr>
            <m:sty m:val="p"/>
          </m:rPr>
          <m:t>×</m:t>
        </m:r>
        <m:sSup>
          <m:e>
            <m:r>
              <m:t>10</m:t>
            </m:r>
          </m:e>
          <m:sup>
            <m:r>
              <m:rPr>
                <m:sty m:val="p"/>
              </m:rPr>
              <m:t>−</m:t>
            </m:r>
            <m:r>
              <m:t>10</m:t>
            </m:r>
          </m:sup>
        </m:sSup>
      </m:oMath>
      <w:r>
        <w:t xml:space="preserve">. A service encrypting 50,000 messages per second reaches</w:t>
      </w:r>
      <w:r>
        <w:t xml:space="preserve"> </w:t>
      </w:r>
      <m:oMath>
        <m:sSup>
          <m:e>
            <m:r>
              <m:t>2</m:t>
            </m:r>
          </m:e>
          <m:sup>
            <m:r>
              <m:t>32</m:t>
            </m:r>
          </m:sup>
        </m:sSup>
        <m:r>
          <m:rPr>
            <m:sty m:val="p"/>
          </m:rPr>
          <m:t>≈</m:t>
        </m:r>
        <m:r>
          <m:t>4.3</m:t>
        </m:r>
        <m:r>
          <m:rPr>
            <m:sty m:val="p"/>
          </m:rPr>
          <m:t>×</m:t>
        </m:r>
        <m:sSup>
          <m:e>
            <m:r>
              <m:t>10</m:t>
            </m:r>
          </m:e>
          <m:sup>
            <m:r>
              <m:t>9</m:t>
            </m:r>
          </m:sup>
        </m:sSup>
      </m:oMath>
      <w:r>
        <w:t xml:space="preserve"> </w:t>
      </w:r>
      <w:r>
        <w:t xml:space="preserve">messages in</w:t>
      </w:r>
      <w:r>
        <w:t xml:space="preserve"> </w:t>
      </w:r>
      <m:oMath>
        <m:r>
          <m:t>4.3</m:t>
        </m:r>
        <m:r>
          <m:rPr>
            <m:sty m:val="p"/>
          </m:rPr>
          <m:t>×</m:t>
        </m:r>
        <m:sSup>
          <m:e>
            <m:r>
              <m:t>10</m:t>
            </m:r>
          </m:e>
          <m:sup>
            <m:r>
              <m:t>9</m:t>
            </m:r>
          </m:sup>
        </m:sSup>
        <m:r>
          <m:rPr>
            <m:sty m:val="p"/>
          </m:rPr>
          <m:t>/</m:t>
        </m:r>
        <m:r>
          <m:t>5</m:t>
        </m:r>
        <m:r>
          <m:rPr>
            <m:sty m:val="p"/>
          </m:rPr>
          <m:t>×</m:t>
        </m:r>
        <m:sSup>
          <m:e>
            <m:r>
              <m:t>10</m:t>
            </m:r>
          </m:e>
          <m:sup>
            <m:r>
              <m:t>4</m:t>
            </m:r>
          </m:sup>
        </m:sSup>
        <m:r>
          <m:rPr>
            <m:sty m:val="p"/>
          </m:rPr>
          <m:t>≈</m:t>
        </m:r>
        <m:r>
          <m:t>86</m:t>
        </m:r>
        <m:r>
          <m:rPr>
            <m:sty m:val="p"/>
          </m:rPr>
          <m:t>,</m:t>
        </m:r>
        <m:r>
          <m:t>000</m:t>
        </m:r>
      </m:oMath>
      <w:r>
        <w:t xml:space="preserve"> </w:t>
      </w:r>
      <w:r>
        <w:t xml:space="preserve">s, about one day.</w:t>
      </w:r>
      <w:r>
        <w:t xml:space="preserve"> </w:t>
      </w:r>
      <w:r>
        <w:rPr>
          <w:iCs/>
          <w:i/>
        </w:rPr>
        <w:t xml:space="preserve">Engineering implication:</w:t>
      </w:r>
      <w:r>
        <w:t xml:space="preserve"> </w:t>
      </w:r>
      <w:r>
        <w:t xml:space="preserve">a high-throughput service must rotate data keys at least daily, or use per-object keys (envelope encryption, §10.9), or a nonce-misuse-resistant mode such as AES-GCM-SIV, or a scheme with larger nonces (XChaCha20-Poly1305 uses 192-bit nonces).</w:t>
      </w:r>
    </w:p>
    <w:p>
      <w:pPr>
        <w:pStyle w:val="BodyText"/>
      </w:pPr>
      <w:r>
        <w:t xml:space="preserve">The associated data is a powerful design tool. If you encrypt a user’s tax ID in row 42 of the</w:t>
      </w:r>
      <w:r>
        <w:t xml:space="preserve"> </w:t>
      </w:r>
      <w:r>
        <w:rPr>
          <w:rStyle w:val="VerbatimChar"/>
        </w:rPr>
        <w:t xml:space="preserve">users</w:t>
      </w:r>
      <w:r>
        <w:t xml:space="preserve"> </w:t>
      </w:r>
      <w:r>
        <w:t xml:space="preserve">table and put</w:t>
      </w:r>
      <w:r>
        <w:t xml:space="preserve"> </w:t>
      </w:r>
      <w:r>
        <w:rPr>
          <w:rStyle w:val="VerbatimChar"/>
        </w:rPr>
        <w:t xml:space="preserve">table=users;id=42</w:t>
      </w:r>
      <w:r>
        <w:t xml:space="preserve"> </w:t>
      </w:r>
      <w:r>
        <w:t xml:space="preserve">in the AAD, an attacker with database write access cannot copy that ciphertext into row 43 — decryption would fail because the context differs. The runnable example in §10.4.8 demonstrates exactly this.</w:t>
      </w:r>
    </w:p>
    <w:bookmarkEnd w:id="1101"/>
    <w:bookmarkEnd w:id="1102"/>
    <w:bookmarkStart w:id="1105" w:name="Xbca0a1e6bd9e2250dfc053e258c885ee3287bce"/>
    <w:p>
      <w:pPr>
        <w:pStyle w:val="Heading3"/>
      </w:pPr>
      <w:r>
        <w:t xml:space="preserve">10.4.3 Asymmetric cryptography: RSA and elliptic curves</w:t>
      </w:r>
    </w:p>
    <w:p>
      <w:pPr>
        <w:pStyle w:val="CalloutDefinition"/>
      </w:pPr>
      <w:r>
        <w:rPr>
          <w:bCs/>
          <w:b/>
        </w:rPr>
        <w:t xml:space="preserve">DEFINITION</w:t>
      </w:r>
    </w:p>
    <w:p>
      <w:pPr>
        <w:pStyle w:val="CalloutDefinition"/>
      </w:pPr>
      <w:r>
        <w:rPr>
          <w:bCs/>
          <w:b/>
        </w:rPr>
        <w:t xml:space="preserve">Definition — Asymmetric (public-key) cryptography.</w:t>
      </w:r>
      <w:r>
        <w:t xml:space="preserve"> </w:t>
      </w:r>
      <w:r>
        <w:t xml:space="preserve">Cryptography using a mathematically linked</w:t>
      </w:r>
      <w:r>
        <w:t xml:space="preserve"> </w:t>
      </w:r>
      <w:r>
        <w:rPr>
          <w:bCs/>
          <w:b/>
        </w:rPr>
        <w:t xml:space="preserve">key pair</w:t>
      </w:r>
      <w:r>
        <w:t xml:space="preserve">: a</w:t>
      </w:r>
      <w:r>
        <w:t xml:space="preserve"> </w:t>
      </w:r>
      <w:r>
        <w:rPr>
          <w:bCs/>
          <w:b/>
        </w:rPr>
        <w:t xml:space="preserve">public key</w:t>
      </w:r>
      <w:r>
        <w:t xml:space="preserve"> </w:t>
      </w:r>
      <w:r>
        <w:t xml:space="preserve">that can be shared with anyone and a</w:t>
      </w:r>
      <w:r>
        <w:t xml:space="preserve"> </w:t>
      </w:r>
      <w:r>
        <w:rPr>
          <w:bCs/>
          <w:b/>
        </w:rPr>
        <w:t xml:space="preserve">private key</w:t>
      </w:r>
      <w:r>
        <w:t xml:space="preserve"> </w:t>
      </w:r>
      <w:r>
        <w:t xml:space="preserve">kept secret by its owner. What one key does, only the other can undo or verify. Security rests on problems believed hard to invert: factoring large integers (RSA) or computing discrete logarithms on elliptic curves (ECC).</w:t>
      </w:r>
    </w:p>
    <w:bookmarkStart w:id="1103" w:name="first-principles-explanation-57"/>
    <w:p>
      <w:pPr>
        <w:pStyle w:val="Heading4"/>
      </w:pPr>
      <w:r>
        <w:t xml:space="preserve">First-principles explanation</w:t>
      </w:r>
    </w:p>
    <w:p>
      <w:pPr>
        <w:pStyle w:val="FirstParagraph"/>
      </w:pPr>
      <w:r>
        <w:t xml:space="preserve">Picture a padlock factory. You manufacture thousands of open padlocks, all of which only your key opens, and leave them in a bowl on the street. Anyone can put a message in a box, snap one of your padlocks shut, and mail it to you; nobody, including the sender, can reopen it — only you. The open padlocks are your public key; your key is the private key. Asymmetric cryptography solves the problem symmetric encryption cannot: two parties who have never met can communicate securely, provided the sender knows the padlock really is yours (that is what certificates in §10.5 establish).</w:t>
      </w:r>
    </w:p>
    <w:p>
      <w:pPr>
        <w:pStyle w:val="BodyText"/>
      </w:pPr>
      <w:r>
        <w:t xml:space="preserve">The price is speed and size. An RSA-2048 private-key operation costs on the order of a millisecond of CPU, thousands of times more than encrypting a short message with AES. So real systems use asymmetric cryptography only to establish or protect a symmetric key and to sign things, never for bulk data. This combination is called</w:t>
      </w:r>
      <w:r>
        <w:t xml:space="preserve"> </w:t>
      </w:r>
      <w:r>
        <w:rPr>
          <w:bCs/>
          <w:b/>
        </w:rPr>
        <w:t xml:space="preserve">hybrid encryption</w:t>
      </w:r>
      <w:r>
        <w:t xml:space="preserve">.</w:t>
      </w:r>
    </w:p>
    <w:bookmarkEnd w:id="1103"/>
    <w:bookmarkStart w:id="1104" w:name="how-it-works-internally-37"/>
    <w:p>
      <w:pPr>
        <w:pStyle w:val="Heading4"/>
      </w:pPr>
      <w:r>
        <w:t xml:space="preserve">How it works internally</w:t>
      </w:r>
    </w:p>
    <w:p>
      <w:pPr>
        <w:numPr>
          <w:ilvl w:val="0"/>
          <w:numId w:val="1340"/>
        </w:numPr>
        <w:pStyle w:val="Compact"/>
      </w:pPr>
      <w:r>
        <w:rPr>
          <w:bCs/>
          <w:b/>
        </w:rPr>
        <w:t xml:space="preserve">RSA</w:t>
      </w:r>
      <w:r>
        <w:t xml:space="preserve">: pick two large random primes</w:t>
      </w:r>
      <w:r>
        <w:t xml:space="preserve"> </w:t>
      </w:r>
      <m:oMath>
        <m:r>
          <m:t>p</m:t>
        </m:r>
      </m:oMath>
      <w:r>
        <w:t xml:space="preserve"> </w:t>
      </w:r>
      <w:r>
        <w:t xml:space="preserve">and</w:t>
      </w:r>
      <w:r>
        <w:t xml:space="preserve"> </w:t>
      </w:r>
      <m:oMath>
        <m:r>
          <m:t>q</m:t>
        </m:r>
      </m:oMath>
      <w:r>
        <w:t xml:space="preserve">; the public key is</w:t>
      </w:r>
      <w:r>
        <w:t xml:space="preserve"> </w:t>
      </w:r>
      <m:oMath>
        <m:d>
          <m:dPr>
            <m:begChr m:val="("/>
            <m:endChr m:val=")"/>
            <m:sepChr m:val=""/>
            <m:grow/>
          </m:dPr>
          <m:e>
            <m:r>
              <m:t>n</m:t>
            </m:r>
            <m:r>
              <m:rPr>
                <m:sty m:val="p"/>
              </m:rPr>
              <m:t>=</m:t>
            </m:r>
            <m:r>
              <m:t>p</m:t>
            </m:r>
            <m:r>
              <m:t>q</m:t>
            </m:r>
            <m:r>
              <m:rPr>
                <m:sty m:val="p"/>
              </m:rPr>
              <m:t>,</m:t>
            </m:r>
            <m:r>
              <m:t>e</m:t>
            </m:r>
          </m:e>
        </m:d>
      </m:oMath>
      <w:r>
        <w:t xml:space="preserve">, the private key is</w:t>
      </w:r>
      <w:r>
        <w:t xml:space="preserve"> </w:t>
      </w:r>
      <m:oMath>
        <m:r>
          <m:t>d</m:t>
        </m:r>
      </m:oMath>
      <w:r>
        <w:t xml:space="preserve"> </w:t>
      </w:r>
      <w:r>
        <w:t xml:space="preserve">with</w:t>
      </w:r>
      <w:r>
        <w:t xml:space="preserve"> </w:t>
      </w:r>
      <m:oMath>
        <m:r>
          <m:t>e</m:t>
        </m:r>
        <m:r>
          <m:t>d</m:t>
        </m:r>
        <m:r>
          <m:rPr>
            <m:sty m:val="p"/>
          </m:rPr>
          <m:t>≡</m:t>
        </m:r>
        <m:r>
          <m:t>1</m:t>
        </m:r>
        <m:r>
          <m:t> </m:t>
        </m:r>
        <m:r>
          <m:rPr>
            <m:sty m:val="p"/>
          </m:rPr>
          <m:t>(</m:t>
        </m:r>
        <m:r>
          <m:rPr>
            <m:sty m:val="p"/>
          </m:rPr>
          <m:t>mod</m:t>
        </m:r>
        <m:r>
          <m:t> </m:t>
        </m:r>
        <m:d>
          <m:dPr>
            <m:begChr m:val="("/>
            <m:endChr m:val=")"/>
            <m:sepChr m:val=""/>
            <m:grow/>
          </m:dPr>
          <m:e>
            <m:r>
              <m:t>p</m:t>
            </m:r>
            <m:r>
              <m:rPr>
                <m:sty m:val="p"/>
              </m:rPr>
              <m:t>−</m:t>
            </m:r>
            <m:r>
              <m:t>1</m:t>
            </m:r>
          </m:e>
        </m:d>
        <m:d>
          <m:dPr>
            <m:begChr m:val="("/>
            <m:endChr m:val=")"/>
            <m:sepChr m:val=""/>
            <m:grow/>
          </m:dPr>
          <m:e>
            <m:r>
              <m:t>q</m:t>
            </m:r>
            <m:r>
              <m:rPr>
                <m:sty m:val="p"/>
              </m:rPr>
              <m:t>−</m:t>
            </m:r>
            <m:r>
              <m:t>1</m:t>
            </m:r>
          </m:e>
        </m:d>
        <m:r>
          <m:rPr>
            <m:sty m:val="p"/>
          </m:rPr>
          <m:t>)</m:t>
        </m:r>
      </m:oMath>
      <w:r>
        <w:t xml:space="preserve">. Encryption is</w:t>
      </w:r>
      <w:r>
        <w:t xml:space="preserve"> </w:t>
      </w:r>
      <m:oMath>
        <m:r>
          <m:t>c</m:t>
        </m:r>
        <m:r>
          <m:rPr>
            <m:sty m:val="p"/>
          </m:rPr>
          <m:t>=</m:t>
        </m:r>
        <m:sSup>
          <m:e>
            <m:r>
              <m:t>m</m:t>
            </m:r>
          </m:e>
          <m:sup>
            <m:r>
              <m:t>e</m:t>
            </m:r>
          </m:sup>
        </m:sSup>
        <m:r>
          <m:t> </m:t>
        </m:r>
        <m:r>
          <m:rPr>
            <m:sty m:val="p"/>
          </m:rPr>
          <m:t>mod</m:t>
        </m:r>
        <m:r>
          <m:t> </m:t>
        </m:r>
        <m:r>
          <m:t>n</m:t>
        </m:r>
      </m:oMath>
      <w:r>
        <w:t xml:space="preserve">, decryption</w:t>
      </w:r>
      <w:r>
        <w:t xml:space="preserve"> </w:t>
      </w:r>
      <m:oMath>
        <m:r>
          <m:t>m</m:t>
        </m:r>
        <m:r>
          <m:rPr>
            <m:sty m:val="p"/>
          </m:rPr>
          <m:t>=</m:t>
        </m:r>
        <m:sSup>
          <m:e>
            <m:r>
              <m:t>c</m:t>
            </m:r>
          </m:e>
          <m:sup>
            <m:r>
              <m:t>d</m:t>
            </m:r>
          </m:sup>
        </m:sSup>
        <m:r>
          <m:t> </m:t>
        </m:r>
        <m:r>
          <m:rPr>
            <m:sty m:val="p"/>
          </m:rPr>
          <m:t>mod</m:t>
        </m:r>
        <m:r>
          <m:t> </m:t>
        </m:r>
        <m:r>
          <m:t>n</m:t>
        </m:r>
      </m:oMath>
      <w:r>
        <w:t xml:space="preserve">. Breaking it requires factoring</w:t>
      </w:r>
      <w:r>
        <w:t xml:space="preserve"> </w:t>
      </w:r>
      <m:oMath>
        <m:r>
          <m:t>n</m:t>
        </m:r>
      </m:oMath>
      <w:r>
        <w:t xml:space="preserve">. RSA must always be used with a padding scheme (OAEP for encryption, PSS for signatures);</w:t>
      </w:r>
      <w:r>
        <w:t xml:space="preserve"> </w:t>
      </w:r>
      <w:r>
        <w:t xml:space="preserve">“</w:t>
      </w:r>
      <w:r>
        <w:t xml:space="preserve">textbook RSA</w:t>
      </w:r>
      <w:r>
        <w:t xml:space="preserve">”</w:t>
      </w:r>
      <w:r>
        <w:t xml:space="preserve"> </w:t>
      </w:r>
      <w:r>
        <w:t xml:space="preserve">is insecure.</w:t>
      </w:r>
    </w:p>
    <w:p>
      <w:pPr>
        <w:numPr>
          <w:ilvl w:val="0"/>
          <w:numId w:val="1340"/>
        </w:numPr>
        <w:pStyle w:val="Compact"/>
      </w:pPr>
      <w:r>
        <w:rPr>
          <w:bCs/>
          <w:b/>
        </w:rPr>
        <w:t xml:space="preserve">Elliptic-curve cryptography (ECC)</w:t>
      </w:r>
      <w:r>
        <w:t xml:space="preserve">: the private key is a random integer</w:t>
      </w:r>
      <w:r>
        <w:t xml:space="preserve"> </w:t>
      </w:r>
      <m:oMath>
        <m:r>
          <m:t>a</m:t>
        </m:r>
      </m:oMath>
      <w:r>
        <w:t xml:space="preserve">; the public key is the point</w:t>
      </w:r>
      <w:r>
        <w:t xml:space="preserve"> </w:t>
      </w:r>
      <m:oMath>
        <m:r>
          <m:t>A</m:t>
        </m:r>
        <m:r>
          <m:rPr>
            <m:sty m:val="p"/>
          </m:rPr>
          <m:t>=</m:t>
        </m:r>
        <m:r>
          <m:t>a</m:t>
        </m:r>
        <m:r>
          <m:rPr>
            <m:sty m:val="p"/>
          </m:rPr>
          <m:t>⋅</m:t>
        </m:r>
        <m:r>
          <m:t>G</m:t>
        </m:r>
      </m:oMath>
      <w:r>
        <w:t xml:space="preserve"> </w:t>
      </w:r>
      <w:r>
        <w:t xml:space="preserve">obtained by</w:t>
      </w:r>
      <w:r>
        <w:t xml:space="preserve"> </w:t>
      </w:r>
      <w:r>
        <w:t xml:space="preserve">“</w:t>
      </w:r>
      <w:r>
        <w:t xml:space="preserve">adding</w:t>
      </w:r>
      <w:r>
        <w:t xml:space="preserve">”</w:t>
      </w:r>
      <w:r>
        <w:t xml:space="preserve"> </w:t>
      </w:r>
      <w:r>
        <w:t xml:space="preserve">a fixed base point</w:t>
      </w:r>
      <w:r>
        <w:t xml:space="preserve"> </w:t>
      </w:r>
      <m:oMath>
        <m:r>
          <m:t>G</m:t>
        </m:r>
      </m:oMath>
      <w:r>
        <w:t xml:space="preserve"> </w:t>
      </w:r>
      <w:r>
        <w:t xml:space="preserve">on a curve to itself</w:t>
      </w:r>
      <w:r>
        <w:t xml:space="preserve"> </w:t>
      </w:r>
      <m:oMath>
        <m:r>
          <m:t>a</m:t>
        </m:r>
      </m:oMath>
      <w:r>
        <w:t xml:space="preserve"> </w:t>
      </w:r>
      <w:r>
        <w:t xml:space="preserve">times. Recovering</w:t>
      </w:r>
      <w:r>
        <w:t xml:space="preserve"> </w:t>
      </w:r>
      <m:oMath>
        <m:r>
          <m:t>a</m:t>
        </m:r>
      </m:oMath>
      <w:r>
        <w:t xml:space="preserve"> </w:t>
      </w:r>
      <w:r>
        <w:t xml:space="preserve">from</w:t>
      </w:r>
      <w:r>
        <w:t xml:space="preserve"> </w:t>
      </w:r>
      <m:oMath>
        <m:r>
          <m:t>A</m:t>
        </m:r>
      </m:oMath>
      <w:r>
        <w:t xml:space="preserve"> </w:t>
      </w:r>
      <w:r>
        <w:t xml:space="preserve">(the elliptic-curve discrete logarithm problem) is believed to be infeasible. ECC achieves the same security as RSA with much smaller keys and faster operations, which is why TLS 1.3 deployments overwhelmingly use X25519 and P-256.</w:t>
      </w:r>
    </w:p>
    <w:p>
      <w:pPr>
        <w:pStyle w:val="FirstParagraph"/>
      </w:pPr>
      <w:r>
        <w:rPr>
          <w:bCs/>
          <w:b/>
        </w:rPr>
        <w:t xml:space="preserve">Table 10.5 — Approximate equivalent security strengths (NIST SP 800-57 Part 1).</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Security strength (bits)</w:t>
            </w:r>
          </w:p>
        </w:tc>
        <w:tc>
          <w:tcPr/>
          <w:p>
            <w:pPr>
              <w:pStyle w:val="Compact"/>
              <w:jc w:val="left"/>
            </w:pPr>
            <w:r>
              <w:t xml:space="preserve">Symmetric</w:t>
            </w:r>
          </w:p>
        </w:tc>
        <w:tc>
          <w:tcPr/>
          <w:p>
            <w:pPr>
              <w:pStyle w:val="Compact"/>
              <w:jc w:val="left"/>
            </w:pPr>
            <w:r>
              <w:t xml:space="preserve">RSA modulus</w:t>
            </w:r>
          </w:p>
        </w:tc>
        <w:tc>
          <w:tcPr/>
          <w:p>
            <w:pPr>
              <w:pStyle w:val="Compact"/>
              <w:jc w:val="left"/>
            </w:pPr>
            <w:r>
              <w:t xml:space="preserve">Elliptic curve key</w:t>
            </w:r>
          </w:p>
        </w:tc>
        <w:tc>
          <w:tcPr/>
          <w:p>
            <w:pPr>
              <w:pStyle w:val="Compact"/>
              <w:jc w:val="left"/>
            </w:pPr>
            <w:r>
              <w:t xml:space="preserve">Hash for collision resistance</w:t>
            </w:r>
          </w:p>
        </w:tc>
        <w:tc>
          <w:tcPr/>
          <w:p>
            <w:pPr>
              <w:pStyle w:val="Compact"/>
              <w:jc w:val="left"/>
            </w:pPr>
            <w:r>
              <w:t xml:space="preserve">Status</w:t>
            </w:r>
          </w:p>
        </w:tc>
      </w:tr>
      <w:tr>
        <w:tc>
          <w:tcPr/>
          <w:p>
            <w:pPr>
              <w:pStyle w:val="Compact"/>
              <w:jc w:val="left"/>
            </w:pPr>
            <w:r>
              <w:t xml:space="preserve">112</w:t>
            </w:r>
          </w:p>
        </w:tc>
        <w:tc>
          <w:tcPr/>
          <w:p>
            <w:pPr>
              <w:pStyle w:val="Compact"/>
              <w:jc w:val="left"/>
            </w:pPr>
            <w:r>
              <w:t xml:space="preserve">3-key 3DES (legacy)</w:t>
            </w:r>
          </w:p>
        </w:tc>
        <w:tc>
          <w:tcPr/>
          <w:p>
            <w:pPr>
              <w:pStyle w:val="Compact"/>
              <w:jc w:val="left"/>
            </w:pPr>
            <w:r>
              <w:t xml:space="preserve">2048</w:t>
            </w:r>
          </w:p>
        </w:tc>
        <w:tc>
          <w:tcPr/>
          <w:p>
            <w:pPr>
              <w:pStyle w:val="Compact"/>
              <w:jc w:val="left"/>
            </w:pPr>
            <w:r>
              <w:t xml:space="preserve">224</w:t>
            </w:r>
          </w:p>
        </w:tc>
        <w:tc>
          <w:tcPr/>
          <w:p>
            <w:pPr>
              <w:pStyle w:val="Compact"/>
              <w:jc w:val="left"/>
            </w:pPr>
            <w:r>
              <w:t xml:space="preserve">SHA-224</w:t>
            </w:r>
          </w:p>
        </w:tc>
        <w:tc>
          <w:tcPr/>
          <w:p>
            <w:pPr>
              <w:pStyle w:val="Compact"/>
              <w:jc w:val="left"/>
            </w:pPr>
            <w:r>
              <w:t xml:space="preserve">Minimum acceptable today</w:t>
            </w:r>
          </w:p>
        </w:tc>
      </w:tr>
      <w:tr>
        <w:tc>
          <w:tcPr/>
          <w:p>
            <w:pPr>
              <w:pStyle w:val="Compact"/>
              <w:jc w:val="left"/>
            </w:pPr>
            <w:r>
              <w:t xml:space="preserve">128</w:t>
            </w:r>
          </w:p>
        </w:tc>
        <w:tc>
          <w:tcPr/>
          <w:p>
            <w:pPr>
              <w:pStyle w:val="Compact"/>
              <w:jc w:val="left"/>
            </w:pPr>
            <w:r>
              <w:t xml:space="preserve">AES-128</w:t>
            </w:r>
          </w:p>
        </w:tc>
        <w:tc>
          <w:tcPr/>
          <w:p>
            <w:pPr>
              <w:pStyle w:val="Compact"/>
              <w:jc w:val="left"/>
            </w:pPr>
            <w:r>
              <w:t xml:space="preserve">3072</w:t>
            </w:r>
          </w:p>
        </w:tc>
        <w:tc>
          <w:tcPr/>
          <w:p>
            <w:pPr>
              <w:pStyle w:val="Compact"/>
              <w:jc w:val="left"/>
            </w:pPr>
            <w:r>
              <w:t xml:space="preserve">256 (P-256, X25519, Ed25519)</w:t>
            </w:r>
          </w:p>
        </w:tc>
        <w:tc>
          <w:tcPr/>
          <w:p>
            <w:pPr>
              <w:pStyle w:val="Compact"/>
              <w:jc w:val="left"/>
            </w:pPr>
            <w:r>
              <w:t xml:space="preserve">SHA-256</w:t>
            </w:r>
          </w:p>
        </w:tc>
        <w:tc>
          <w:tcPr/>
          <w:p>
            <w:pPr>
              <w:pStyle w:val="Compact"/>
              <w:jc w:val="left"/>
            </w:pPr>
            <w:r>
              <w:t xml:space="preserve">Recommended default</w:t>
            </w:r>
          </w:p>
        </w:tc>
      </w:tr>
      <w:tr>
        <w:tc>
          <w:tcPr/>
          <w:p>
            <w:pPr>
              <w:pStyle w:val="Compact"/>
              <w:jc w:val="left"/>
            </w:pPr>
            <w:r>
              <w:t xml:space="preserve">192</w:t>
            </w:r>
          </w:p>
        </w:tc>
        <w:tc>
          <w:tcPr/>
          <w:p>
            <w:pPr>
              <w:pStyle w:val="Compact"/>
              <w:jc w:val="left"/>
            </w:pPr>
            <w:r>
              <w:t xml:space="preserve">AES-192</w:t>
            </w:r>
          </w:p>
        </w:tc>
        <w:tc>
          <w:tcPr/>
          <w:p>
            <w:pPr>
              <w:pStyle w:val="Compact"/>
              <w:jc w:val="left"/>
            </w:pPr>
            <w:r>
              <w:t xml:space="preserve">7680</w:t>
            </w:r>
          </w:p>
        </w:tc>
        <w:tc>
          <w:tcPr/>
          <w:p>
            <w:pPr>
              <w:pStyle w:val="Compact"/>
              <w:jc w:val="left"/>
            </w:pPr>
            <w:r>
              <w:t xml:space="preserve">384 (P-384)</w:t>
            </w:r>
          </w:p>
        </w:tc>
        <w:tc>
          <w:tcPr/>
          <w:p>
            <w:pPr>
              <w:pStyle w:val="Compact"/>
              <w:jc w:val="left"/>
            </w:pPr>
            <w:r>
              <w:t xml:space="preserve">SHA-384</w:t>
            </w:r>
          </w:p>
        </w:tc>
        <w:tc>
          <w:tcPr/>
          <w:p>
            <w:pPr>
              <w:pStyle w:val="Compact"/>
              <w:jc w:val="left"/>
            </w:pPr>
            <w:r>
              <w:t xml:space="preserve">High assurance</w:t>
            </w:r>
          </w:p>
        </w:tc>
      </w:tr>
      <w:tr>
        <w:tc>
          <w:tcPr/>
          <w:p>
            <w:pPr>
              <w:pStyle w:val="Compact"/>
              <w:jc w:val="left"/>
            </w:pPr>
            <w:r>
              <w:t xml:space="preserve">256</w:t>
            </w:r>
          </w:p>
        </w:tc>
        <w:tc>
          <w:tcPr/>
          <w:p>
            <w:pPr>
              <w:pStyle w:val="Compact"/>
              <w:jc w:val="left"/>
            </w:pPr>
            <w:r>
              <w:t xml:space="preserve">AES-256</w:t>
            </w:r>
          </w:p>
        </w:tc>
        <w:tc>
          <w:tcPr/>
          <w:p>
            <w:pPr>
              <w:pStyle w:val="Compact"/>
              <w:jc w:val="left"/>
            </w:pPr>
            <w:r>
              <w:t xml:space="preserve">15360</w:t>
            </w:r>
          </w:p>
        </w:tc>
        <w:tc>
          <w:tcPr/>
          <w:p>
            <w:pPr>
              <w:pStyle w:val="Compact"/>
              <w:jc w:val="left"/>
            </w:pPr>
            <w:r>
              <w:t xml:space="preserve">512+ (P-521)</w:t>
            </w:r>
          </w:p>
        </w:tc>
        <w:tc>
          <w:tcPr/>
          <w:p>
            <w:pPr>
              <w:pStyle w:val="Compact"/>
              <w:jc w:val="left"/>
            </w:pPr>
            <w:r>
              <w:t xml:space="preserve">SHA-512</w:t>
            </w:r>
          </w:p>
        </w:tc>
        <w:tc>
          <w:tcPr/>
          <w:p>
            <w:pPr>
              <w:pStyle w:val="Compact"/>
              <w:jc w:val="left"/>
            </w:pPr>
            <w:r>
              <w:t xml:space="preserve">Long-term / post-quantum margin for symmetric</w:t>
            </w:r>
          </w:p>
        </w:tc>
      </w:tr>
    </w:tbl>
    <w:p>
      <w:pPr>
        <w:pStyle w:val="BodyText"/>
      </w:pPr>
      <w:r>
        <w:t xml:space="preserve">“</w:t>
      </w:r>
      <w:r>
        <w:t xml:space="preserve">128-bit security</w:t>
      </w:r>
      <w:r>
        <w:t xml:space="preserve">”</w:t>
      </w:r>
      <w:r>
        <w:t xml:space="preserve"> </w:t>
      </w:r>
      <w:r>
        <w:t xml:space="preserve">means the best known attack takes about</w:t>
      </w:r>
      <w:r>
        <w:t xml:space="preserve"> </w:t>
      </w:r>
      <m:oMath>
        <m:sSup>
          <m:e>
            <m:r>
              <m:t>2</m:t>
            </m:r>
          </m:e>
          <m:sup>
            <m:r>
              <m:t>128</m:t>
            </m:r>
          </m:sup>
        </m:sSup>
      </m:oMath>
      <w:r>
        <w:t xml:space="preserve"> </w:t>
      </w:r>
      <w:r>
        <w:t xml:space="preserve">operations. At</w:t>
      </w:r>
      <w:r>
        <w:t xml:space="preserve"> </w:t>
      </w:r>
      <m:oMath>
        <m:sSup>
          <m:e>
            <m:r>
              <m:t>10</m:t>
            </m:r>
          </m:e>
          <m:sup>
            <m:r>
              <m:t>18</m:t>
            </m:r>
          </m:sup>
        </m:sSup>
      </m:oMath>
      <w:r>
        <w:t xml:space="preserve"> </w:t>
      </w:r>
      <w:r>
        <w:t xml:space="preserve">operations per second (far beyond all computers on Earth combined) that is</w:t>
      </w:r>
      <w:r>
        <w:t xml:space="preserve"> </w:t>
      </w:r>
      <m:oMath>
        <m:r>
          <m:t>3.4</m:t>
        </m:r>
        <m:r>
          <m:rPr>
            <m:sty m:val="p"/>
          </m:rPr>
          <m:t>×</m:t>
        </m:r>
        <m:sSup>
          <m:e>
            <m:r>
              <m:t>10</m:t>
            </m:r>
          </m:e>
          <m:sup>
            <m:r>
              <m:t>38</m:t>
            </m:r>
          </m:sup>
        </m:sSup>
        <m:r>
          <m:rPr>
            <m:sty m:val="p"/>
          </m:rPr>
          <m:t>/</m:t>
        </m:r>
        <m:sSup>
          <m:e>
            <m:r>
              <m:t>10</m:t>
            </m:r>
          </m:e>
          <m:sup>
            <m:r>
              <m:t>18</m:t>
            </m:r>
          </m:sup>
        </m:sSup>
        <m:r>
          <m:rPr>
            <m:sty m:val="p"/>
          </m:rPr>
          <m:t>=</m:t>
        </m:r>
        <m:r>
          <m:t>3.4</m:t>
        </m:r>
        <m:r>
          <m:rPr>
            <m:sty m:val="p"/>
          </m:rPr>
          <m:t>×</m:t>
        </m:r>
        <m:sSup>
          <m:e>
            <m:r>
              <m:t>10</m:t>
            </m:r>
          </m:e>
          <m:sup>
            <m:r>
              <m:t>20</m:t>
            </m:r>
          </m:sup>
        </m:sSup>
      </m:oMath>
      <w:r>
        <w:t xml:space="preserve"> </w:t>
      </w:r>
      <w:r>
        <w:t xml:space="preserve">s, about</w:t>
      </w:r>
      <w:r>
        <w:t xml:space="preserve"> </w:t>
      </w:r>
      <m:oMath>
        <m:sSup>
          <m:e>
            <m:r>
              <m:t>10</m:t>
            </m:r>
          </m:e>
          <m:sup>
            <m:r>
              <m:t>13</m:t>
            </m:r>
          </m:sup>
        </m:sSup>
      </m:oMath>
      <w:r>
        <w:t xml:space="preserve"> </w:t>
      </w:r>
      <w:r>
        <w:t xml:space="preserve">years.</w:t>
      </w:r>
    </w:p>
    <w:p>
      <w:pPr>
        <w:pStyle w:val="CalloutWarning"/>
      </w:pPr>
      <w:r>
        <w:rPr>
          <w:bCs/>
          <w:b/>
        </w:rPr>
        <w:t xml:space="preserve">WARNING / TRADE-OFF</w:t>
      </w:r>
    </w:p>
    <w:p>
      <w:pPr>
        <w:pStyle w:val="CalloutWarning"/>
      </w:pPr>
      <w:r>
        <w:rPr>
          <w:bCs/>
          <w:b/>
        </w:rPr>
        <w:t xml:space="preserve">Quantum computers and</w:t>
      </w:r>
      <w:r>
        <w:rPr>
          <w:bCs/>
          <w:b/>
        </w:rPr>
        <w:t xml:space="preserve"> </w:t>
      </w:r>
      <w:r>
        <w:rPr>
          <w:bCs/>
          <w:b/>
        </w:rPr>
        <w:t xml:space="preserve">“</w:t>
      </w:r>
      <w:r>
        <w:rPr>
          <w:bCs/>
          <w:b/>
        </w:rPr>
        <w:t xml:space="preserve">harvest now, decrypt later.</w:t>
      </w:r>
      <w:r>
        <w:rPr>
          <w:bCs/>
          <w:b/>
        </w:rPr>
        <w:t xml:space="preserve">”</w:t>
      </w:r>
      <w:r>
        <w:t xml:space="preserve"> </w:t>
      </w:r>
      <w:r>
        <w:t xml:space="preserve">A large fault-tolerant quantum computer running Shor’s algorithm would break RSA and ECC; Grover’s algorithm only roughly halves symmetric strength, leaving AES-256 a large margin. No such machine exists as of 2026, but recorded traffic could be decrypted later. NIST published post-quantum standards in August 2024 — FIPS 203 (ML-KEM), FIPS 204 (ML-DSA) and FIPS 205 (SLH-DSA) — and TLS libraries have begun deploying hybrid X25519 + ML-KEM key exchange. Design for</w:t>
      </w:r>
      <w:r>
        <w:t xml:space="preserve"> </w:t>
      </w:r>
      <w:r>
        <w:rPr>
          <w:bCs/>
          <w:b/>
        </w:rPr>
        <w:t xml:space="preserve">crypto agility</w:t>
      </w:r>
      <w:r>
        <w:t xml:space="preserve"> </w:t>
      </w:r>
      <w:r>
        <w:t xml:space="preserve">(configurable algorithms) and prefer AES-256 for long-lived data.</w:t>
      </w:r>
    </w:p>
    <w:bookmarkEnd w:id="1104"/>
    <w:bookmarkEnd w:id="1105"/>
    <w:bookmarkStart w:id="1110" w:name="key-exchange-and-forward-secrecy"/>
    <w:p>
      <w:pPr>
        <w:pStyle w:val="Heading3"/>
      </w:pPr>
      <w:r>
        <w:t xml:space="preserve">10.4.4 Key exchange and forward secrecy</w:t>
      </w:r>
    </w:p>
    <w:bookmarkStart w:id="1109" w:name="first-principles-explanation-58"/>
    <w:p>
      <w:pPr>
        <w:pStyle w:val="Heading4"/>
      </w:pPr>
      <w:r>
        <w:t xml:space="preserve">First-principles explanation</w:t>
      </w:r>
    </w:p>
    <w:p>
      <w:pPr>
        <w:pStyle w:val="FirstParagraph"/>
      </w:pPr>
      <w:r>
        <w:t xml:space="preserve">The classic analogy for</w:t>
      </w:r>
      <w:r>
        <w:t xml:space="preserve"> </w:t>
      </w:r>
      <w:r>
        <w:rPr>
          <w:bCs/>
          <w:b/>
        </w:rPr>
        <w:t xml:space="preserve">Diffie–Hellman key exchange</w:t>
      </w:r>
      <w:r>
        <w:t xml:space="preserve"> </w:t>
      </w:r>
      <w:r>
        <w:t xml:space="preserve">uses paint. Alice and Bob publicly agree on a common color, yellow. Alice secretly picks red, Bob secretly picks blue. Alice mixes yellow + red and sends the result (orange) across the open channel; Bob mixes yellow + blue and sends green. Alice adds her secret red to Bob’s green; Bob adds his secret blue to Alice’s orange. Both end up with the same yellow + red + blue brown. An eavesdropper saw yellow, orange and green but cannot</w:t>
      </w:r>
      <w:r>
        <w:t xml:space="preserve"> </w:t>
      </w:r>
      <w:r>
        <w:t xml:space="preserve">“</w:t>
      </w:r>
      <w:r>
        <w:t xml:space="preserve">unmix</w:t>
      </w:r>
      <w:r>
        <w:t xml:space="preserve">”</w:t>
      </w:r>
      <w:r>
        <w:t xml:space="preserve"> </w:t>
      </w:r>
      <w:r>
        <w:t xml:space="preserve">paint to recover red or blue.</w:t>
      </w:r>
    </w:p>
    <w:p>
      <w:pPr>
        <w:pStyle w:val="BodyText"/>
      </w:pPr>
      <w:r>
        <w:t xml:space="preserve">In the elliptic-curve version (ECDH), Alice’s secret is</w:t>
      </w:r>
      <w:r>
        <w:t xml:space="preserve"> </w:t>
      </w:r>
      <m:oMath>
        <m:r>
          <m:t>a</m:t>
        </m:r>
      </m:oMath>
      <w:r>
        <w:t xml:space="preserve">, her public value</w:t>
      </w:r>
      <w:r>
        <w:t xml:space="preserve"> </w:t>
      </w:r>
      <m:oMath>
        <m:r>
          <m:t>a</m:t>
        </m:r>
        <m:r>
          <m:t>G</m:t>
        </m:r>
      </m:oMath>
      <w:r>
        <w:t xml:space="preserve">; Bob’s are</w:t>
      </w:r>
      <w:r>
        <w:t xml:space="preserve"> </w:t>
      </w:r>
      <m:oMath>
        <m:r>
          <m:t>b</m:t>
        </m:r>
      </m:oMath>
      <w:r>
        <w:t xml:space="preserve"> </w:t>
      </w:r>
      <w:r>
        <w:t xml:space="preserve">and</w:t>
      </w:r>
      <w:r>
        <w:t xml:space="preserve"> </w:t>
      </w:r>
      <m:oMath>
        <m:r>
          <m:t>b</m:t>
        </m:r>
        <m:r>
          <m:t>G</m:t>
        </m:r>
      </m:oMath>
      <w:r>
        <w:t xml:space="preserve">; both compute the shared point</w:t>
      </w:r>
      <w:r>
        <w:t xml:space="preserve"> </w:t>
      </w:r>
      <m:oMath>
        <m:r>
          <m:t>a</m:t>
        </m:r>
        <m:r>
          <m:t>b</m:t>
        </m:r>
        <m:r>
          <m:t>G</m:t>
        </m:r>
      </m:oMath>
      <w:r>
        <w:t xml:space="preserve">. The shared secret is then fed through a</w:t>
      </w:r>
      <w:r>
        <w:t xml:space="preserve"> </w:t>
      </w:r>
      <w:r>
        <w:rPr>
          <w:bCs/>
          <w:b/>
        </w:rPr>
        <w:t xml:space="preserve">key-derivation function</w:t>
      </w:r>
      <w:r>
        <w:t xml:space="preserve"> </w:t>
      </w:r>
      <w:r>
        <w:t xml:space="preserve">such as HKDF to produce symmetric session keys.</w:t>
      </w:r>
    </w:p>
    <w:p>
      <w:pPr>
        <w:pStyle w:val="CalloutDefinition"/>
      </w:pPr>
      <w:r>
        <w:rPr>
          <w:bCs/>
          <w:b/>
        </w:rPr>
        <w:t xml:space="preserve">DEFINITION</w:t>
      </w:r>
    </w:p>
    <w:p>
      <w:pPr>
        <w:pStyle w:val="CalloutDefinition"/>
      </w:pPr>
      <w:r>
        <w:rPr>
          <w:bCs/>
          <w:b/>
        </w:rPr>
        <w:t xml:space="preserve">Definition — Forward secrecy.</w:t>
      </w:r>
      <w:r>
        <w:t xml:space="preserve"> </w:t>
      </w:r>
      <w:r>
        <w:t xml:space="preserve">A property of a key-exchange protocol whereby compromise of a party’s long-term private key does not reveal session keys from past sessions. It is achieved by using fresh</w:t>
      </w:r>
      <w:r>
        <w:t xml:space="preserve"> </w:t>
      </w:r>
      <w:r>
        <w:rPr>
          <w:bCs/>
          <w:b/>
        </w:rPr>
        <w:t xml:space="preserve">ephemeral</w:t>
      </w:r>
      <w:r>
        <w:t xml:space="preserve"> </w:t>
      </w:r>
      <w:r>
        <w:t xml:space="preserve">key pairs for every session (the</w:t>
      </w:r>
      <w:r>
        <w:t xml:space="preserve"> </w:t>
      </w:r>
      <w:r>
        <w:t xml:space="preserve">“</w:t>
      </w:r>
      <w:r>
        <w:t xml:space="preserve">E</w:t>
      </w:r>
      <w:r>
        <w:t xml:space="preserve">”</w:t>
      </w:r>
      <w:r>
        <w:t xml:space="preserve"> </w:t>
      </w:r>
      <w:r>
        <w:t xml:space="preserve">in ECDHE) and deleting them afterward.</w:t>
      </w:r>
    </w:p>
    <w:p>
      <w:pPr>
        <w:pStyle w:val="BodyText"/>
      </w:pPr>
      <w:r>
        <w:t xml:space="preserve">Why it matters: before TLS 1.3, many servers used RSA key transport, where the client encrypted the session secret with the server’s long-term RSA public key. Anyone who recorded traffic and later stole that one private key could decrypt</w:t>
      </w:r>
      <w:r>
        <w:t xml:space="preserve"> </w:t>
      </w:r>
      <w:r>
        <w:rPr>
          <w:iCs/>
          <w:i/>
        </w:rPr>
        <w:t xml:space="preserve">years</w:t>
      </w:r>
      <w:r>
        <w:t xml:space="preserve"> </w:t>
      </w:r>
      <w:r>
        <w:t xml:space="preserve">of recorded sessions. TLS 1.3 removed RSA key transport entirely; every full handshake uses ephemeral (EC)DHE, and the server’s long-term key is used only to</w:t>
      </w:r>
      <w:r>
        <w:t xml:space="preserve"> </w:t>
      </w:r>
      <w:r>
        <w:rPr>
          <w:iCs/>
          <w:i/>
        </w:rPr>
        <w:t xml:space="preserve">sign</w:t>
      </w:r>
      <w:r>
        <w:t xml:space="preserve"> </w:t>
      </w:r>
      <w:r>
        <w:t xml:space="preserve">the handshake, proving its identity.</w:t>
      </w:r>
    </w:p>
    <w:p>
      <w:pPr>
        <w:pStyle w:val="BodyText"/>
      </w:pPr>
      <w:r>
        <w:rPr>
          <w:bCs/>
          <w:b/>
        </w:rPr>
        <w:t xml:space="preserve">Figure 10.2 — Simplified TLS 1.3 handshake: ephemeral key exchange plus signature.</w:t>
      </w:r>
    </w:p>
    <w:p>
      <w:pPr>
        <w:pStyle w:val="BodyText"/>
      </w:pPr>
      <w:r>
        <w:drawing>
          <wp:inline>
            <wp:extent cx="5334000" cy="3848927"/>
            <wp:effectExtent b="0" l="0" r="0" t="0"/>
            <wp:docPr descr="" title="" id="1107" name="Picture"/>
            <a:graphic>
              <a:graphicData uri="http://schemas.openxmlformats.org/drawingml/2006/picture">
                <pic:pic>
                  <pic:nvPicPr>
                    <pic:cNvPr descr="/home/user/System-Design/build/.cache/diagrams/cc7a68f2ea44.png" id="1108" name="Picture"/>
                    <pic:cNvPicPr>
                      <a:picLocks noChangeArrowheads="1" noChangeAspect="1"/>
                    </pic:cNvPicPr>
                  </pic:nvPicPr>
                  <pic:blipFill>
                    <a:blip r:embed="rId1106"/>
                    <a:stretch>
                      <a:fillRect/>
                    </a:stretch>
                  </pic:blipFill>
                  <pic:spPr bwMode="auto">
                    <a:xfrm>
                      <a:off x="0" y="0"/>
                      <a:ext cx="5334000" cy="3848927"/>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All messages flow synchronously over one TCP (or QUIC) connection, and the full handshake completes in one round trip before application data flows (round-trip costs and 0-RTT resumption are covered in §7.10). The ephemeral public values travel in the clear; the shared secret never crosses the network. From the ServerHello onward, everything is encrypted with keys derived from that secret, including the certificate (hiding which certificate the server uses from passive observers). The server proves it owns the certificate’s private key by</w:t>
      </w:r>
      <w:r>
        <w:t xml:space="preserve"> </w:t>
      </w:r>
      <w:r>
        <w:rPr>
          <w:bCs/>
          <w:b/>
        </w:rPr>
        <w:t xml:space="preserve">signing</w:t>
      </w:r>
      <w:r>
        <w:t xml:space="preserve"> </w:t>
      </w:r>
      <w:r>
        <w:t xml:space="preserve">the handshake transcript (CertificateVerify); the client validates the certificate chain (§10.5). The Finished messages are MACs over everything exchanged so far, so a man-in-the-middle who altered any earlier message is detected. Failure points: an expired or untrusted certificate (handshake aborts), a client and server with no common cipher suite, or clock skew on the client breaking validity checks.</w:t>
      </w:r>
    </w:p>
    <w:bookmarkEnd w:id="1109"/>
    <w:bookmarkEnd w:id="1110"/>
    <w:bookmarkStart w:id="1111" w:name="digital-signatures"/>
    <w:p>
      <w:pPr>
        <w:pStyle w:val="Heading3"/>
      </w:pPr>
      <w:r>
        <w:t xml:space="preserve">10.4.5 Digital signatures</w:t>
      </w:r>
    </w:p>
    <w:p>
      <w:pPr>
        <w:pStyle w:val="CalloutDefinition"/>
      </w:pPr>
      <w:r>
        <w:rPr>
          <w:bCs/>
          <w:b/>
        </w:rPr>
        <w:t xml:space="preserve">DEFINITION</w:t>
      </w:r>
    </w:p>
    <w:p>
      <w:pPr>
        <w:pStyle w:val="CalloutDefinition"/>
      </w:pPr>
      <w:r>
        <w:rPr>
          <w:bCs/>
          <w:b/>
        </w:rPr>
        <w:t xml:space="preserve">Definition — Digital signature.</w:t>
      </w:r>
      <w:r>
        <w:t xml:space="preserve"> </w:t>
      </w:r>
      <w:r>
        <w:t xml:space="preserve">A scheme with three algorithms: key generation,</w:t>
      </w:r>
      <w:r>
        <w:t xml:space="preserve"> </w:t>
      </w:r>
      <w:r>
        <w:rPr>
          <w:bCs/>
          <w:b/>
        </w:rPr>
        <w:t xml:space="preserve">sign</w:t>
      </w:r>
      <w:r>
        <w:t xml:space="preserve"> </w:t>
      </w:r>
      <w:r>
        <w:t xml:space="preserve">(using the private key, produces a signature over a message) and</w:t>
      </w:r>
      <w:r>
        <w:t xml:space="preserve"> </w:t>
      </w:r>
      <w:r>
        <w:rPr>
          <w:bCs/>
          <w:b/>
        </w:rPr>
        <w:t xml:space="preserve">verify</w:t>
      </w:r>
      <w:r>
        <w:t xml:space="preserve"> </w:t>
      </w:r>
      <w:r>
        <w:t xml:space="preserve">(using the public key, checks a signature against a message). A valid signature shows that the message was approved by the holder of the private key and has not changed since. Because verification needs only the public key,</w:t>
      </w:r>
      <w:r>
        <w:t xml:space="preserve"> </w:t>
      </w:r>
      <w:r>
        <w:rPr>
          <w:iCs/>
          <w:i/>
        </w:rPr>
        <w:t xml:space="preserve">anyone</w:t>
      </w:r>
      <w:r>
        <w:t xml:space="preserve"> </w:t>
      </w:r>
      <w:r>
        <w:t xml:space="preserve">can verify, which provides non-repudiation.</w:t>
      </w:r>
    </w:p>
    <w:p>
      <w:pPr>
        <w:pStyle w:val="BodyText"/>
      </w:pPr>
      <w:r>
        <w:t xml:space="preserve">Signatures are the notary of cryptography. They secure software updates (the update client holds the vendor’s public key and refuses unsigned binaries), container images, JWTs signed with RS256 or ES256 (§8.13), certificates themselves, Git commits and the TLS handshake. In practice you sign a</w:t>
      </w:r>
      <w:r>
        <w:t xml:space="preserve"> </w:t>
      </w:r>
      <w:r>
        <w:rPr>
          <w:iCs/>
          <w:i/>
        </w:rPr>
        <w:t xml:space="preserve">hash</w:t>
      </w:r>
      <w:r>
        <w:t xml:space="preserve"> </w:t>
      </w:r>
      <w:r>
        <w:t xml:space="preserve">of the message: the signing algorithm hashes internally, so signing a 2 GB file costs one SHA-256 pass plus one fast private-key operation.</w:t>
      </w:r>
    </w:p>
    <w:p>
      <w:pPr>
        <w:pStyle w:val="BodyText"/>
      </w:pPr>
      <w:r>
        <w:t xml:space="preserve">Prefer</w:t>
      </w:r>
      <w:r>
        <w:t xml:space="preserve"> </w:t>
      </w:r>
      <w:r>
        <w:rPr>
          <w:bCs/>
          <w:b/>
        </w:rPr>
        <w:t xml:space="preserve">Ed25519</w:t>
      </w:r>
      <w:r>
        <w:t xml:space="preserve"> </w:t>
      </w:r>
      <w:r>
        <w:t xml:space="preserve">(fast, deterministic, small 64-byte signatures, few ways to misuse) or</w:t>
      </w:r>
      <w:r>
        <w:t xml:space="preserve"> </w:t>
      </w:r>
      <w:r>
        <w:rPr>
          <w:bCs/>
          <w:b/>
        </w:rPr>
        <w:t xml:space="preserve">ECDSA P-256</w:t>
      </w:r>
      <w:r>
        <w:t xml:space="preserve"> </w:t>
      </w:r>
      <w:r>
        <w:t xml:space="preserve">where compliance requires NIST curves. ECDSA is fragile when the per-signature random value repeats or is biased: in 2010 researchers extracted Sony’s PlayStation 3 code-signing key because the same random value was reused for every signature. Ed25519 derives this value deterministically, eliminating the failure mode.</w:t>
      </w:r>
    </w:p>
    <w:bookmarkEnd w:id="1111"/>
    <w:bookmarkStart w:id="1116" w:name="message-authentication-codes-and-hmac"/>
    <w:p>
      <w:pPr>
        <w:pStyle w:val="Heading3"/>
      </w:pPr>
      <w:r>
        <w:t xml:space="preserve">10.4.6 Message authentication codes and HMAC</w:t>
      </w:r>
    </w:p>
    <w:p>
      <w:pPr>
        <w:pStyle w:val="CalloutDefinition"/>
      </w:pPr>
      <w:r>
        <w:rPr>
          <w:bCs/>
          <w:b/>
        </w:rPr>
        <w:t xml:space="preserve">DEFINITION</w:t>
      </w:r>
    </w:p>
    <w:p>
      <w:pPr>
        <w:pStyle w:val="CalloutDefinition"/>
      </w:pPr>
      <w:r>
        <w:rPr>
          <w:bCs/>
          <w:b/>
        </w:rPr>
        <w:t xml:space="preserve">Definition — Message authentication code (MAC).</w:t>
      </w:r>
      <w:r>
        <w:t xml:space="preserve"> </w:t>
      </w:r>
      <w:r>
        <w:t xml:space="preserve">A short tag computed from a message and a secret key,</w:t>
      </w:r>
      <w:r>
        <w:t xml:space="preserve"> </w:t>
      </w:r>
      <m:oMath>
        <m:r>
          <m:t>t</m:t>
        </m:r>
        <m:r>
          <m:rPr>
            <m:sty m:val="p"/>
          </m:rPr>
          <m:t>=</m:t>
        </m:r>
        <m:sSub>
          <m:e>
            <m:r>
              <m:rPr>
                <m:nor/>
                <m:sty m:val="p"/>
              </m:rPr>
              <m:t>MAC</m:t>
            </m:r>
          </m:e>
          <m:sub>
            <m:r>
              <m:t>K</m:t>
            </m:r>
          </m:sub>
        </m:sSub>
        <m:d>
          <m:dPr>
            <m:begChr m:val="("/>
            <m:endChr m:val=")"/>
            <m:sepChr m:val=""/>
            <m:grow/>
          </m:dPr>
          <m:e>
            <m:r>
              <m:t>m</m:t>
            </m:r>
          </m:e>
        </m:d>
      </m:oMath>
      <w:r>
        <w:t xml:space="preserve">, such that without</w:t>
      </w:r>
      <w:r>
        <w:t xml:space="preserve"> </w:t>
      </w:r>
      <m:oMath>
        <m:r>
          <m:t>K</m:t>
        </m:r>
      </m:oMath>
      <w:r>
        <w:t xml:space="preserve"> </w:t>
      </w:r>
      <w:r>
        <w:t xml:space="preserve">it is infeasible to produce a valid tag for any new message.</w:t>
      </w:r>
      <w:r>
        <w:t xml:space="preserve"> </w:t>
      </w:r>
      <w:r>
        <w:rPr>
          <w:bCs/>
          <w:b/>
        </w:rPr>
        <w:t xml:space="preserve">HMAC</w:t>
      </w:r>
      <w:r>
        <w:t xml:space="preserve"> </w:t>
      </w:r>
      <w:r>
        <w:t xml:space="preserve">is the standard construction from a hash function:</w:t>
      </w:r>
      <w:r>
        <w:t xml:space="preserve"> </w:t>
      </w:r>
      <m:oMath>
        <m:sSub>
          <m:e>
            <m:r>
              <m:rPr>
                <m:nor/>
                <m:sty m:val="p"/>
              </m:rPr>
              <m:t>HMAC</m:t>
            </m:r>
          </m:e>
          <m:sub>
            <m:r>
              <m:t>K</m:t>
            </m:r>
          </m:sub>
        </m:sSub>
        <m:d>
          <m:dPr>
            <m:begChr m:val="("/>
            <m:endChr m:val=")"/>
            <m:sepChr m:val=""/>
            <m:grow/>
          </m:dPr>
          <m:e>
            <m:r>
              <m:t>m</m:t>
            </m:r>
          </m:e>
        </m:d>
        <m:r>
          <m:rPr>
            <m:sty m:val="p"/>
          </m:rPr>
          <m:t>=</m:t>
        </m:r>
        <m:r>
          <m:t>H</m:t>
        </m:r>
        <m:d>
          <m:dPr>
            <m:begChr m:val="("/>
            <m:endChr m:val=")"/>
            <m:sepChr m:val=""/>
            <m:grow/>
          </m:dPr>
          <m:e>
            <m:d>
              <m:dPr>
                <m:begChr m:val="("/>
                <m:endChr m:val=")"/>
                <m:sepChr m:val=""/>
                <m:grow/>
              </m:dPr>
              <m:e>
                <m:r>
                  <m:t>K</m:t>
                </m:r>
                <m:r>
                  <m:rPr>
                    <m:sty m:val="p"/>
                  </m:rPr>
                  <m:t>⊕</m:t>
                </m:r>
                <m:r>
                  <m:rPr>
                    <m:nor/>
                    <m:sty m:val="p"/>
                  </m:rPr>
                  <m:t>opad</m:t>
                </m:r>
              </m:e>
            </m:d>
            <m:r>
              <m:t> </m:t>
            </m:r>
            <m:r>
              <m:rPr>
                <m:sty m:val="p"/>
              </m:rPr>
              <m:t>∥</m:t>
            </m:r>
            <m:r>
              <m:t> </m:t>
            </m:r>
            <m:r>
              <m:t>H</m:t>
            </m:r>
            <m:d>
              <m:dPr>
                <m:begChr m:val="("/>
                <m:endChr m:val=")"/>
                <m:sepChr m:val=""/>
                <m:grow/>
              </m:dPr>
              <m:e>
                <m:d>
                  <m:dPr>
                    <m:begChr m:val="("/>
                    <m:endChr m:val=")"/>
                    <m:sepChr m:val=""/>
                    <m:grow/>
                  </m:dPr>
                  <m:e>
                    <m:r>
                      <m:t>K</m:t>
                    </m:r>
                    <m:r>
                      <m:rPr>
                        <m:sty m:val="p"/>
                      </m:rPr>
                      <m:t>⊕</m:t>
                    </m:r>
                    <m:r>
                      <m:rPr>
                        <m:nor/>
                        <m:sty m:val="p"/>
                      </m:rPr>
                      <m:t>ipad</m:t>
                    </m:r>
                  </m:e>
                </m:d>
                <m:r>
                  <m:t> </m:t>
                </m:r>
                <m:r>
                  <m:rPr>
                    <m:sty m:val="p"/>
                  </m:rPr>
                  <m:t>∥</m:t>
                </m:r>
                <m:r>
                  <m:t> </m:t>
                </m:r>
                <m:r>
                  <m:t>m</m:t>
                </m:r>
              </m:e>
            </m:d>
          </m:e>
        </m:d>
      </m:oMath>
      <w:r>
        <w:t xml:space="preserve"> </w:t>
      </w:r>
      <w:r>
        <w:t xml:space="preserve">[Krawczyk et al. 1997].</w:t>
      </w:r>
    </w:p>
    <w:p>
      <w:pPr>
        <w:pStyle w:val="BodyText"/>
      </w:pPr>
      <w:r>
        <w:t xml:space="preserve">A MAC is a wax seal pressed with a ring that both parties own. The receiver, holding the same ring, can tell the letter is genuine and unopened. But because both own the ring, a third party cannot tell</w:t>
      </w:r>
      <w:r>
        <w:t xml:space="preserve"> </w:t>
      </w:r>
      <w:r>
        <w:rPr>
          <w:iCs/>
          <w:i/>
        </w:rPr>
        <w:t xml:space="preserve">which</w:t>
      </w:r>
      <w:r>
        <w:t xml:space="preserve"> </w:t>
      </w:r>
      <w:r>
        <w:t xml:space="preserve">of them sealed it — so MACs provide integrity and authenticity between the two key holders, but</w:t>
      </w:r>
      <w:r>
        <w:t xml:space="preserve"> </w:t>
      </w:r>
      <w:r>
        <w:rPr>
          <w:bCs/>
          <w:b/>
        </w:rPr>
        <w:t xml:space="preserve">not</w:t>
      </w:r>
      <w:r>
        <w:t xml:space="preserve"> </w:t>
      </w:r>
      <w:r>
        <w:t xml:space="preserve">non-repudiation. That is the essential difference from a signature, and the reason payment providers sign webhooks with an HMAC (they only need you to know it came from them) while software vendors sign releases with asymmetric signatures (millions of verifiers who must not be able to forge).</w:t>
      </w:r>
    </w:p>
    <w:p>
      <w:pPr>
        <w:pStyle w:val="BodyText"/>
      </w:pPr>
      <w:r>
        <w:t xml:space="preserve">HMAC’s nested structure defeats the length-extension attack described in §10.4.1. It is also fast (two hash computations) and needs only a shared key, which makes it the standard tool for</w:t>
      </w:r>
      <w:r>
        <w:t xml:space="preserve"> </w:t>
      </w:r>
      <w:r>
        <w:rPr>
          <w:bCs/>
          <w:b/>
        </w:rPr>
        <w:t xml:space="preserve">request signing</w:t>
      </w:r>
      <w:r>
        <w:t xml:space="preserve">: AWS Signature Version 4, Stripe and GitHub webhook signatures and many internal service-to-service schemes use HMAC-SHA-256.</w:t>
      </w:r>
    </w:p>
    <w:p>
      <w:pPr>
        <w:pStyle w:val="BodyText"/>
      </w:pPr>
      <w:r>
        <w:rPr>
          <w:bCs/>
          <w:b/>
        </w:rPr>
        <w:t xml:space="preserve">Figure 10.3 — HMAC request signing with replay protection.</w:t>
      </w:r>
    </w:p>
    <w:p>
      <w:pPr>
        <w:pStyle w:val="BodyText"/>
      </w:pPr>
      <w:r>
        <w:drawing>
          <wp:inline>
            <wp:extent cx="5334000" cy="2507435"/>
            <wp:effectExtent b="0" l="0" r="0" t="0"/>
            <wp:docPr descr="" title="" id="1113" name="Picture"/>
            <a:graphic>
              <a:graphicData uri="http://schemas.openxmlformats.org/drawingml/2006/picture">
                <pic:pic>
                  <pic:nvPicPr>
                    <pic:cNvPr descr="/home/user/System-Design/build/.cache/diagrams/0ef05a632549.png" id="1114" name="Picture"/>
                    <pic:cNvPicPr>
                      <a:picLocks noChangeArrowheads="1" noChangeAspect="1"/>
                    </pic:cNvPicPr>
                  </pic:nvPicPr>
                  <pic:blipFill>
                    <a:blip r:embed="rId1112"/>
                    <a:stretch>
                      <a:fillRect/>
                    </a:stretch>
                  </pic:blipFill>
                  <pic:spPr bwMode="auto">
                    <a:xfrm>
                      <a:off x="0" y="0"/>
                      <a:ext cx="5334000" cy="2507435"/>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client and API service share a secret key identified by a key ID (so keys can be rotated: during rotation the server accepts both the old and new key IDs). The client signs a</w:t>
      </w:r>
      <w:r>
        <w:t xml:space="preserve"> </w:t>
      </w:r>
      <w:r>
        <w:rPr>
          <w:bCs/>
          <w:b/>
        </w:rPr>
        <w:t xml:space="preserve">canonical</w:t>
      </w:r>
      <w:r>
        <w:t xml:space="preserve"> </w:t>
      </w:r>
      <w:r>
        <w:t xml:space="preserve">representation — a byte-exact serialization of every field the server will act on — because if a field is not covered (say, the HTTP method), an attacker can change it without invalidating the signature. The timestamp bounds how long a captured request remains useful; the nonce store (in production a shared cache such as Redis with a TTL slightly longer than twice the allowed skew) rejects exact replays inside that window. The signature comparison must be constant-time to avoid leaking, byte by byte, how much of a forged signature was correct. All calls are synchronous; the nonce store is the only shared state and a single point of failure — if it is unavailable, the service must choose between failing closed (reject requests) and failing open (accept possible replays), a decision that belongs in the design document.</w:t>
      </w:r>
    </w:p>
    <w:bookmarkStart w:id="1115" w:name="code-example-hmac-request-signing"/>
    <w:p>
      <w:pPr>
        <w:pStyle w:val="Heading4"/>
      </w:pPr>
      <w:r>
        <w:t xml:space="preserve">Code example: HMAC request signing</w:t>
      </w:r>
    </w:p>
    <w:p>
      <w:pPr>
        <w:pStyle w:val="SourceCode"/>
      </w:pPr>
      <w:r>
        <w:rPr>
          <w:rStyle w:val="CommentTok"/>
        </w:rPr>
        <w:t xml:space="preserve">"""HMAC-SHA256 request signing and verification with replay protection."""</w:t>
      </w:r>
      <w:r>
        <w:br/>
      </w:r>
      <w:r>
        <w:rPr>
          <w:rStyle w:val="ImportTok"/>
        </w:rPr>
        <w:t xml:space="preserve">import</w:t>
      </w:r>
      <w:r>
        <w:rPr>
          <w:rStyle w:val="NormalTok"/>
        </w:rPr>
        <w:t xml:space="preserve"> hashlib</w:t>
      </w:r>
      <w:r>
        <w:br/>
      </w:r>
      <w:r>
        <w:rPr>
          <w:rStyle w:val="ImportTok"/>
        </w:rPr>
        <w:t xml:space="preserve">import</w:t>
      </w:r>
      <w:r>
        <w:rPr>
          <w:rStyle w:val="NormalTok"/>
        </w:rPr>
        <w:t xml:space="preserve"> hmac</w:t>
      </w:r>
      <w:r>
        <w:br/>
      </w:r>
      <w:r>
        <w:rPr>
          <w:rStyle w:val="ImportTok"/>
        </w:rPr>
        <w:t xml:space="preserve">import</w:t>
      </w:r>
      <w:r>
        <w:rPr>
          <w:rStyle w:val="NormalTok"/>
        </w:rPr>
        <w:t xml:space="preserve"> secrets</w:t>
      </w:r>
      <w:r>
        <w:br/>
      </w:r>
      <w:r>
        <w:rPr>
          <w:rStyle w:val="ImportTok"/>
        </w:rPr>
        <w:t xml:space="preserve">import</w:t>
      </w:r>
      <w:r>
        <w:rPr>
          <w:rStyle w:val="NormalTok"/>
        </w:rPr>
        <w:t xml:space="preserve"> time</w:t>
      </w:r>
      <w:r>
        <w:br/>
      </w:r>
      <w:r>
        <w:br/>
      </w:r>
      <w:r>
        <w:rPr>
          <w:rStyle w:val="NormalTok"/>
        </w:rPr>
        <w:t xml:space="preserve">MAX_SKEW_SECONDS </w:t>
      </w:r>
      <w:r>
        <w:rPr>
          <w:rStyle w:val="OperatorTok"/>
        </w:rPr>
        <w:t xml:space="preserve">=</w:t>
      </w:r>
      <w:r>
        <w:rPr>
          <w:rStyle w:val="NormalTok"/>
        </w:rPr>
        <w:t xml:space="preserve"> </w:t>
      </w:r>
      <w:r>
        <w:rPr>
          <w:rStyle w:val="DecValTok"/>
        </w:rPr>
        <w:t xml:space="preserve">300</w:t>
      </w:r>
      <w:r>
        <w:rPr>
          <w:rStyle w:val="NormalTok"/>
        </w:rPr>
        <w:t xml:space="preserve">          </w:t>
      </w:r>
      <w:r>
        <w:rPr>
          <w:rStyle w:val="CommentTok"/>
        </w:rPr>
        <w:t xml:space="preserve"># accept requests at most 5 minutes old/new</w:t>
      </w:r>
      <w:r>
        <w:br/>
      </w:r>
      <w:r>
        <w:br/>
      </w:r>
      <w:r>
        <w:rPr>
          <w:rStyle w:val="KeywordTok"/>
        </w:rPr>
        <w:t xml:space="preserve">def</w:t>
      </w:r>
      <w:r>
        <w:rPr>
          <w:rStyle w:val="NormalTok"/>
        </w:rPr>
        <w:t xml:space="preserve"> canonical_request(method: </w:t>
      </w:r>
      <w:r>
        <w:rPr>
          <w:rStyle w:val="BuiltInTok"/>
        </w:rPr>
        <w:t xml:space="preserve">str</w:t>
      </w:r>
      <w:r>
        <w:rPr>
          <w:rStyle w:val="NormalTok"/>
        </w:rPr>
        <w:t xml:space="preserve">, path: </w:t>
      </w:r>
      <w:r>
        <w:rPr>
          <w:rStyle w:val="BuiltInTok"/>
        </w:rPr>
        <w:t xml:space="preserve">str</w:t>
      </w:r>
      <w:r>
        <w:rPr>
          <w:rStyle w:val="NormalTok"/>
        </w:rPr>
        <w:t xml:space="preserve">, timestamp: </w:t>
      </w:r>
      <w:r>
        <w:rPr>
          <w:rStyle w:val="BuiltInTok"/>
        </w:rPr>
        <w:t xml:space="preserve">str</w:t>
      </w:r>
      <w:r>
        <w:rPr>
          <w:rStyle w:val="NormalTok"/>
        </w:rPr>
        <w:t xml:space="preserve">,</w:t>
      </w:r>
      <w:r>
        <w:br/>
      </w:r>
      <w:r>
        <w:rPr>
          <w:rStyle w:val="NormalTok"/>
        </w:rPr>
        <w:t xml:space="preserve">                      nonce: </w:t>
      </w:r>
      <w:r>
        <w:rPr>
          <w:rStyle w:val="BuiltInTok"/>
        </w:rPr>
        <w:t xml:space="preserve">str</w:t>
      </w:r>
      <w:r>
        <w:rPr>
          <w:rStyle w:val="NormalTok"/>
        </w:rPr>
        <w:t xml:space="preserve">, body: </w:t>
      </w:r>
      <w:r>
        <w:rPr>
          <w:rStyle w:val="BuiltInTok"/>
        </w:rPr>
        <w:t xml:space="preserve">bytes</w:t>
      </w:r>
      <w:r>
        <w:rPr>
          <w:rStyle w:val="NormalTok"/>
        </w:rPr>
        <w:t xml:space="preserve">) </w:t>
      </w:r>
      <w:r>
        <w:rPr>
          <w:rStyle w:val="OperatorTok"/>
        </w:rPr>
        <w:t xml:space="preserve">-&gt;</w:t>
      </w:r>
      <w:r>
        <w:rPr>
          <w:rStyle w:val="NormalTok"/>
        </w:rPr>
        <w:t xml:space="preserve"> </w:t>
      </w:r>
      <w:r>
        <w:rPr>
          <w:rStyle w:val="BuiltInTok"/>
        </w:rPr>
        <w:t xml:space="preserve">bytes</w:t>
      </w:r>
      <w:r>
        <w:rPr>
          <w:rStyle w:val="NormalTok"/>
        </w:rPr>
        <w:t xml:space="preserve">:</w:t>
      </w:r>
      <w:r>
        <w:br/>
      </w:r>
      <w:r>
        <w:rPr>
          <w:rStyle w:val="NormalTok"/>
        </w:rPr>
        <w:t xml:space="preserve">    body_hash </w:t>
      </w:r>
      <w:r>
        <w:rPr>
          <w:rStyle w:val="OperatorTok"/>
        </w:rPr>
        <w:t xml:space="preserve">=</w:t>
      </w:r>
      <w:r>
        <w:rPr>
          <w:rStyle w:val="NormalTok"/>
        </w:rPr>
        <w:t xml:space="preserve"> hashlib.sha256(body).hexdigest()</w:t>
      </w:r>
      <w:r>
        <w:br/>
      </w:r>
      <w:r>
        <w:rPr>
          <w:rStyle w:val="NormalTok"/>
        </w:rPr>
        <w:t xml:space="preserve">    </w:t>
      </w:r>
      <w:r>
        <w:rPr>
          <w:rStyle w:val="CommentTok"/>
        </w:rPr>
        <w:t xml:space="preserve"># Every field the server relies on must be covered by the signature.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.join([method.upper(), path, timestamp, nonce, body_hash]).encode()</w:t>
      </w:r>
      <w:r>
        <w:br/>
      </w:r>
      <w:r>
        <w:br/>
      </w:r>
      <w:r>
        <w:rPr>
          <w:rStyle w:val="KeywordTok"/>
        </w:rPr>
        <w:t xml:space="preserve">def</w:t>
      </w:r>
      <w:r>
        <w:rPr>
          <w:rStyle w:val="NormalTok"/>
        </w:rPr>
        <w:t xml:space="preserve"> sign(key: </w:t>
      </w:r>
      <w:r>
        <w:rPr>
          <w:rStyle w:val="BuiltInTok"/>
        </w:rPr>
        <w:t xml:space="preserve">bytes</w:t>
      </w:r>
      <w:r>
        <w:rPr>
          <w:rStyle w:val="NormalTok"/>
        </w:rPr>
        <w:t xml:space="preserve">, method: </w:t>
      </w:r>
      <w:r>
        <w:rPr>
          <w:rStyle w:val="BuiltInTok"/>
        </w:rPr>
        <w:t xml:space="preserve">str</w:t>
      </w:r>
      <w:r>
        <w:rPr>
          <w:rStyle w:val="NormalTok"/>
        </w:rPr>
        <w:t xml:space="preserve">, path: </w:t>
      </w:r>
      <w:r>
        <w:rPr>
          <w:rStyle w:val="BuiltInTok"/>
        </w:rPr>
        <w:t xml:space="preserve">str</w:t>
      </w:r>
      <w:r>
        <w:rPr>
          <w:rStyle w:val="NormalTok"/>
        </w:rPr>
        <w:t xml:space="preserve">, body: </w:t>
      </w:r>
      <w:r>
        <w:rPr>
          <w:rStyle w:val="BuiltInTok"/>
        </w:rPr>
        <w:t xml:space="preserve">bytes</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ts </w:t>
      </w:r>
      <w:r>
        <w:rPr>
          <w:rStyle w:val="OperatorTok"/>
        </w:rPr>
        <w:t xml:space="preserve">=</w:t>
      </w:r>
      <w:r>
        <w:rPr>
          <w:rStyle w:val="NormalTok"/>
        </w:rPr>
        <w:t xml:space="preserve"> </w:t>
      </w:r>
      <w:r>
        <w:rPr>
          <w:rStyle w:val="BuiltInTok"/>
        </w:rPr>
        <w:t xml:space="preserve">str</w:t>
      </w:r>
      <w:r>
        <w:rPr>
          <w:rStyle w:val="NormalTok"/>
        </w:rPr>
        <w:t xml:space="preserve">(</w:t>
      </w:r>
      <w:r>
        <w:rPr>
          <w:rStyle w:val="BuiltInTok"/>
        </w:rPr>
        <w:t xml:space="preserve">int</w:t>
      </w:r>
      <w:r>
        <w:rPr>
          <w:rStyle w:val="NormalTok"/>
        </w:rPr>
        <w:t xml:space="preserve">(time.time()))</w:t>
      </w:r>
      <w:r>
        <w:br/>
      </w:r>
      <w:r>
        <w:rPr>
          <w:rStyle w:val="NormalTok"/>
        </w:rPr>
        <w:t xml:space="preserve">    nonce </w:t>
      </w:r>
      <w:r>
        <w:rPr>
          <w:rStyle w:val="OperatorTok"/>
        </w:rPr>
        <w:t xml:space="preserve">=</w:t>
      </w:r>
      <w:r>
        <w:rPr>
          <w:rStyle w:val="NormalTok"/>
        </w:rPr>
        <w:t xml:space="preserve"> secrets.token_hex(</w:t>
      </w:r>
      <w:r>
        <w:rPr>
          <w:rStyle w:val="DecValTok"/>
        </w:rPr>
        <w:t xml:space="preserve">16</w:t>
      </w:r>
      <w:r>
        <w:rPr>
          <w:rStyle w:val="NormalTok"/>
        </w:rPr>
        <w:t xml:space="preserve">)</w:t>
      </w:r>
      <w:r>
        <w:br/>
      </w:r>
      <w:r>
        <w:rPr>
          <w:rStyle w:val="NormalTok"/>
        </w:rPr>
        <w:t xml:space="preserve">    mac </w:t>
      </w:r>
      <w:r>
        <w:rPr>
          <w:rStyle w:val="OperatorTok"/>
        </w:rPr>
        <w:t xml:space="preserve">=</w:t>
      </w:r>
      <w:r>
        <w:rPr>
          <w:rStyle w:val="NormalTok"/>
        </w:rPr>
        <w:t xml:space="preserve"> hmac.new(key, canonical_request(method, path, ts, nonce, body),</w:t>
      </w:r>
      <w:r>
        <w:br/>
      </w:r>
      <w:r>
        <w:rPr>
          <w:rStyle w:val="NormalTok"/>
        </w:rPr>
        <w:t xml:space="preserve">                   hashlib.sha256).hexdigest()</w:t>
      </w:r>
      <w:r>
        <w:br/>
      </w:r>
      <w:r>
        <w:rPr>
          <w:rStyle w:val="NormalTok"/>
        </w:rPr>
        <w:t xml:space="preserve">    </w:t>
      </w:r>
      <w:r>
        <w:rPr>
          <w:rStyle w:val="ControlFlowTok"/>
        </w:rPr>
        <w:t xml:space="preserve">return</w:t>
      </w:r>
      <w:r>
        <w:rPr>
          <w:rStyle w:val="NormalTok"/>
        </w:rPr>
        <w:t xml:space="preserve"> {</w:t>
      </w:r>
      <w:r>
        <w:rPr>
          <w:rStyle w:val="StringTok"/>
        </w:rPr>
        <w:t xml:space="preserve">"X-Key-Id"</w:t>
      </w:r>
      <w:r>
        <w:rPr>
          <w:rStyle w:val="NormalTok"/>
        </w:rPr>
        <w:t xml:space="preserve">: </w:t>
      </w:r>
      <w:r>
        <w:rPr>
          <w:rStyle w:val="StringTok"/>
        </w:rPr>
        <w:t xml:space="preserve">"client-42"</w:t>
      </w:r>
      <w:r>
        <w:rPr>
          <w:rStyle w:val="NormalTok"/>
        </w:rPr>
        <w:t xml:space="preserve">, </w:t>
      </w:r>
      <w:r>
        <w:rPr>
          <w:rStyle w:val="StringTok"/>
        </w:rPr>
        <w:t xml:space="preserve">"X-Timestamp"</w:t>
      </w:r>
      <w:r>
        <w:rPr>
          <w:rStyle w:val="NormalTok"/>
        </w:rPr>
        <w:t xml:space="preserve">: ts,</w:t>
      </w:r>
      <w:r>
        <w:br/>
      </w:r>
      <w:r>
        <w:rPr>
          <w:rStyle w:val="NormalTok"/>
        </w:rPr>
        <w:t xml:space="preserve">            </w:t>
      </w:r>
      <w:r>
        <w:rPr>
          <w:rStyle w:val="StringTok"/>
        </w:rPr>
        <w:t xml:space="preserve">"X-Nonce"</w:t>
      </w:r>
      <w:r>
        <w:rPr>
          <w:rStyle w:val="NormalTok"/>
        </w:rPr>
        <w:t xml:space="preserve">: nonce, </w:t>
      </w:r>
      <w:r>
        <w:rPr>
          <w:rStyle w:val="StringTok"/>
        </w:rPr>
        <w:t xml:space="preserve">"X-Signature"</w:t>
      </w:r>
      <w:r>
        <w:rPr>
          <w:rStyle w:val="NormalTok"/>
        </w:rPr>
        <w:t xml:space="preserve">: mac}</w:t>
      </w:r>
      <w:r>
        <w:br/>
      </w:r>
      <w:r>
        <w:br/>
      </w:r>
      <w:r>
        <w:rPr>
          <w:rStyle w:val="KeywordTok"/>
        </w:rPr>
        <w:t xml:space="preserve">class</w:t>
      </w:r>
      <w:r>
        <w:rPr>
          <w:rStyle w:val="NormalTok"/>
        </w:rPr>
        <w:t xml:space="preserve"> Verifier: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keys: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bytes</w:t>
      </w:r>
      <w:r>
        <w:rPr>
          <w:rStyle w:val="NormalTok"/>
        </w:rPr>
        <w:t xml:space="preserve">]):</w:t>
      </w:r>
      <w:r>
        <w:br/>
      </w:r>
      <w:r>
        <w:rPr>
          <w:rStyle w:val="NormalTok"/>
        </w:rPr>
        <w:t xml:space="preserve">        </w:t>
      </w:r>
      <w:r>
        <w:rPr>
          <w:rStyle w:val="VariableTok"/>
        </w:rPr>
        <w:t xml:space="preserve">self</w:t>
      </w:r>
      <w:r>
        <w:rPr>
          <w:rStyle w:val="NormalTok"/>
        </w:rPr>
        <w:t xml:space="preserve">.keys </w:t>
      </w:r>
      <w:r>
        <w:rPr>
          <w:rStyle w:val="OperatorTok"/>
        </w:rPr>
        <w:t xml:space="preserve">=</w:t>
      </w:r>
      <w:r>
        <w:rPr>
          <w:rStyle w:val="NormalTok"/>
        </w:rPr>
        <w:t xml:space="preserve"> keys</w:t>
      </w:r>
      <w:r>
        <w:br/>
      </w:r>
      <w:r>
        <w:rPr>
          <w:rStyle w:val="NormalTok"/>
        </w:rPr>
        <w:t xml:space="preserve">        </w:t>
      </w:r>
      <w:r>
        <w:rPr>
          <w:rStyle w:val="VariableTok"/>
        </w:rPr>
        <w:t xml:space="preserve">self</w:t>
      </w:r>
      <w:r>
        <w:rPr>
          <w:rStyle w:val="NormalTok"/>
        </w:rPr>
        <w:t xml:space="preserve">.seen_nonces: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int</w:t>
      </w:r>
      <w:r>
        <w:rPr>
          <w:rStyle w:val="NormalTok"/>
        </w:rPr>
        <w:t xml:space="preserve">] </w:t>
      </w:r>
      <w:r>
        <w:rPr>
          <w:rStyle w:val="OperatorTok"/>
        </w:rPr>
        <w:t xml:space="preserve">=</w:t>
      </w:r>
      <w:r>
        <w:rPr>
          <w:rStyle w:val="NormalTok"/>
        </w:rPr>
        <w:t xml:space="preserve"> {}    </w:t>
      </w:r>
      <w:r>
        <w:rPr>
          <w:rStyle w:val="CommentTok"/>
        </w:rPr>
        <w:t xml:space="preserve"># production: shared store with TTL</w:t>
      </w:r>
      <w:r>
        <w:br/>
      </w:r>
      <w:r>
        <w:br/>
      </w:r>
      <w:r>
        <w:rPr>
          <w:rStyle w:val="NormalTok"/>
        </w:rPr>
        <w:t xml:space="preserve">    </w:t>
      </w:r>
      <w:r>
        <w:rPr>
          <w:rStyle w:val="KeywordTok"/>
        </w:rPr>
        <w:t xml:space="preserve">def</w:t>
      </w:r>
      <w:r>
        <w:rPr>
          <w:rStyle w:val="NormalTok"/>
        </w:rPr>
        <w:t xml:space="preserve"> verify(</w:t>
      </w:r>
      <w:r>
        <w:rPr>
          <w:rStyle w:val="VariableTok"/>
        </w:rPr>
        <w:t xml:space="preserve">self</w:t>
      </w:r>
      <w:r>
        <w:rPr>
          <w:rStyle w:val="NormalTok"/>
        </w:rPr>
        <w:t xml:space="preserve">, method: </w:t>
      </w:r>
      <w:r>
        <w:rPr>
          <w:rStyle w:val="BuiltInTok"/>
        </w:rPr>
        <w:t xml:space="preserve">str</w:t>
      </w:r>
      <w:r>
        <w:rPr>
          <w:rStyle w:val="NormalTok"/>
        </w:rPr>
        <w:t xml:space="preserve">, path: </w:t>
      </w:r>
      <w:r>
        <w:rPr>
          <w:rStyle w:val="BuiltInTok"/>
        </w:rPr>
        <w:t xml:space="preserve">str</w:t>
      </w:r>
      <w:r>
        <w:rPr>
          <w:rStyle w:val="NormalTok"/>
        </w:rPr>
        <w:t xml:space="preserve">, body: </w:t>
      </w:r>
      <w:r>
        <w:rPr>
          <w:rStyle w:val="BuiltInTok"/>
        </w:rPr>
        <w:t xml:space="preserve">bytes</w:t>
      </w:r>
      <w:r>
        <w:rPr>
          <w:rStyle w:val="NormalTok"/>
        </w:rPr>
        <w:t xml:space="preserve">, headers: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key </w:t>
      </w:r>
      <w:r>
        <w:rPr>
          <w:rStyle w:val="OperatorTok"/>
        </w:rPr>
        <w:t xml:space="preserve">=</w:t>
      </w:r>
      <w:r>
        <w:rPr>
          <w:rStyle w:val="NormalTok"/>
        </w:rPr>
        <w:t xml:space="preserve"> </w:t>
      </w:r>
      <w:r>
        <w:rPr>
          <w:rStyle w:val="VariableTok"/>
        </w:rPr>
        <w:t xml:space="preserve">self</w:t>
      </w:r>
      <w:r>
        <w:rPr>
          <w:rStyle w:val="NormalTok"/>
        </w:rPr>
        <w:t xml:space="preserve">.keys.get(headers.get(</w:t>
      </w:r>
      <w:r>
        <w:rPr>
          <w:rStyle w:val="StringTok"/>
        </w:rPr>
        <w:t xml:space="preserve">"X-Key-Id"</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key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ts </w:t>
      </w:r>
      <w:r>
        <w:rPr>
          <w:rStyle w:val="OperatorTok"/>
        </w:rPr>
        <w:t xml:space="preserve">=</w:t>
      </w:r>
      <w:r>
        <w:rPr>
          <w:rStyle w:val="NormalTok"/>
        </w:rPr>
        <w:t xml:space="preserve"> </w:t>
      </w:r>
      <w:r>
        <w:rPr>
          <w:rStyle w:val="BuiltInTok"/>
        </w:rPr>
        <w:t xml:space="preserve">int</w:t>
      </w:r>
      <w:r>
        <w:rPr>
          <w:rStyle w:val="NormalTok"/>
        </w:rPr>
        <w:t xml:space="preserve">(headers[</w:t>
      </w:r>
      <w:r>
        <w:rPr>
          <w:rStyle w:val="StringTok"/>
        </w:rPr>
        <w:t xml:space="preserve">"X-Timestamp"</w:t>
      </w:r>
      <w:r>
        <w:rPr>
          <w:rStyle w:val="NormalTok"/>
        </w:rPr>
        <w:t xml:space="preserve">])</w:t>
      </w:r>
      <w:r>
        <w:br/>
      </w:r>
      <w:r>
        <w:rPr>
          <w:rStyle w:val="NormalTok"/>
        </w:rPr>
        <w:t xml:space="preserve">        now </w:t>
      </w:r>
      <w:r>
        <w:rPr>
          <w:rStyle w:val="OperatorTok"/>
        </w:rPr>
        <w:t xml:space="preserve">=</w:t>
      </w:r>
      <w:r>
        <w:rPr>
          <w:rStyle w:val="NormalTok"/>
        </w:rPr>
        <w:t xml:space="preserve"> </w:t>
      </w:r>
      <w:r>
        <w:rPr>
          <w:rStyle w:val="BuiltInTok"/>
        </w:rPr>
        <w:t xml:space="preserve">int</w:t>
      </w:r>
      <w:r>
        <w:rPr>
          <w:rStyle w:val="NormalTok"/>
        </w:rPr>
        <w:t xml:space="preserve">(time.time())</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(now </w:t>
      </w:r>
      <w:r>
        <w:rPr>
          <w:rStyle w:val="OperatorTok"/>
        </w:rPr>
        <w:t xml:space="preserve">-</w:t>
      </w:r>
      <w:r>
        <w:rPr>
          <w:rStyle w:val="NormalTok"/>
        </w:rPr>
        <w:t xml:space="preserve"> ts) </w:t>
      </w:r>
      <w:r>
        <w:rPr>
          <w:rStyle w:val="OperatorTok"/>
        </w:rPr>
        <w:t xml:space="preserve">&gt;</w:t>
      </w:r>
      <w:r>
        <w:rPr>
          <w:rStyle w:val="NormalTok"/>
        </w:rPr>
        <w:t xml:space="preserve"> MAX_SKEW_SECONDS:</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CommentTok"/>
        </w:rPr>
        <w:t xml:space="preserve"># stale or future</w:t>
      </w:r>
      <w:r>
        <w:br/>
      </w:r>
      <w:r>
        <w:rPr>
          <w:rStyle w:val="NormalTok"/>
        </w:rPr>
        <w:t xml:space="preserve">        expected </w:t>
      </w:r>
      <w:r>
        <w:rPr>
          <w:rStyle w:val="OperatorTok"/>
        </w:rPr>
        <w:t xml:space="preserve">=</w:t>
      </w:r>
      <w:r>
        <w:rPr>
          <w:rStyle w:val="NormalTok"/>
        </w:rPr>
        <w:t xml:space="preserve"> hmac.new(key, canonical_request(method, path, headers[</w:t>
      </w:r>
      <w:r>
        <w:rPr>
          <w:rStyle w:val="StringTok"/>
        </w:rPr>
        <w:t xml:space="preserve">"X-Timestamp"</w:t>
      </w:r>
      <w:r>
        <w:rPr>
          <w:rStyle w:val="NormalTok"/>
        </w:rPr>
        <w:t xml:space="preserve">],</w:t>
      </w:r>
      <w:r>
        <w:br/>
      </w:r>
      <w:r>
        <w:rPr>
          <w:rStyle w:val="NormalTok"/>
        </w:rPr>
        <w:t xml:space="preserve">                                                   headers[</w:t>
      </w:r>
      <w:r>
        <w:rPr>
          <w:rStyle w:val="StringTok"/>
        </w:rPr>
        <w:t xml:space="preserve">"X-Nonce"</w:t>
      </w:r>
      <w:r>
        <w:rPr>
          <w:rStyle w:val="NormalTok"/>
        </w:rPr>
        <w:t xml:space="preserve">], body),</w:t>
      </w:r>
      <w:r>
        <w:br/>
      </w:r>
      <w:r>
        <w:rPr>
          <w:rStyle w:val="NormalTok"/>
        </w:rPr>
        <w:t xml:space="preserve">                            hashlib.sha256).hexdigest()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hmac.compare_digest(expected, headers[</w:t>
      </w:r>
      <w:r>
        <w:rPr>
          <w:rStyle w:val="StringTok"/>
        </w:rPr>
        <w:t xml:space="preserve">"X-Signature"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CommentTok"/>
        </w:rPr>
        <w:t xml:space="preserve"># forged or tampered</w:t>
      </w:r>
      <w:r>
        <w:br/>
      </w:r>
      <w:r>
        <w:rPr>
          <w:rStyle w:val="NormalTok"/>
        </w:rPr>
        <w:t xml:space="preserve">        </w:t>
      </w:r>
      <w:r>
        <w:rPr>
          <w:rStyle w:val="CommentTok"/>
        </w:rPr>
        <w:t xml:space="preserve"># Expire old nonces, then reject a nonce we have already seen (replay).</w:t>
      </w:r>
      <w:r>
        <w:br/>
      </w:r>
      <w:r>
        <w:rPr>
          <w:rStyle w:val="NormalTok"/>
        </w:rPr>
        <w:t xml:space="preserve">        </w:t>
      </w:r>
      <w:r>
        <w:rPr>
          <w:rStyle w:val="VariableTok"/>
        </w:rPr>
        <w:t xml:space="preserve">self</w:t>
      </w:r>
      <w:r>
        <w:rPr>
          <w:rStyle w:val="NormalTok"/>
        </w:rPr>
        <w:t xml:space="preserve">.seen_nonces </w:t>
      </w:r>
      <w:r>
        <w:rPr>
          <w:rStyle w:val="OperatorTok"/>
        </w:rPr>
        <w:t xml:space="preserve">=</w:t>
      </w:r>
      <w:r>
        <w:rPr>
          <w:rStyle w:val="NormalTok"/>
        </w:rPr>
        <w:t xml:space="preserve"> {n: t </w:t>
      </w:r>
      <w:r>
        <w:rPr>
          <w:rStyle w:val="ControlFlowTok"/>
        </w:rPr>
        <w:t xml:space="preserve">for</w:t>
      </w:r>
      <w:r>
        <w:rPr>
          <w:rStyle w:val="NormalTok"/>
        </w:rPr>
        <w:t xml:space="preserve"> n, t </w:t>
      </w:r>
      <w:r>
        <w:rPr>
          <w:rStyle w:val="KeywordTok"/>
        </w:rPr>
        <w:t xml:space="preserve">in</w:t>
      </w:r>
      <w:r>
        <w:rPr>
          <w:rStyle w:val="NormalTok"/>
        </w:rPr>
        <w:t xml:space="preserve"> </w:t>
      </w:r>
      <w:r>
        <w:rPr>
          <w:rStyle w:val="VariableTok"/>
        </w:rPr>
        <w:t xml:space="preserve">self</w:t>
      </w:r>
      <w:r>
        <w:rPr>
          <w:rStyle w:val="NormalTok"/>
        </w:rPr>
        <w:t xml:space="preserve">.seen_nonces.items()</w:t>
      </w:r>
      <w:r>
        <w:br/>
      </w:r>
      <w:r>
        <w:rPr>
          <w:rStyle w:val="NormalTok"/>
        </w:rPr>
        <w:t xml:space="preserve">                            </w:t>
      </w:r>
      <w:r>
        <w:rPr>
          <w:rStyle w:val="ControlFlowTok"/>
        </w:rPr>
        <w:t xml:space="preserve">if</w:t>
      </w:r>
      <w:r>
        <w:rPr>
          <w:rStyle w:val="NormalTok"/>
        </w:rPr>
        <w:t xml:space="preserve"> now </w:t>
      </w:r>
      <w:r>
        <w:rPr>
          <w:rStyle w:val="OperatorTok"/>
        </w:rPr>
        <w:t xml:space="preserve">-</w:t>
      </w:r>
      <w:r>
        <w:rPr>
          <w:rStyle w:val="NormalTok"/>
        </w:rPr>
        <w:t xml:space="preserve"> t </w:t>
      </w:r>
      <w:r>
        <w:rPr>
          <w:rStyle w:val="OperatorTok"/>
        </w:rPr>
        <w:t xml:space="preserve">&lt;=</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MAX_SKEW_SECONDS}</w:t>
      </w:r>
      <w:r>
        <w:br/>
      </w:r>
      <w:r>
        <w:rPr>
          <w:rStyle w:val="NormalTok"/>
        </w:rPr>
        <w:t xml:space="preserve">        </w:t>
      </w:r>
      <w:r>
        <w:rPr>
          <w:rStyle w:val="ControlFlowTok"/>
        </w:rPr>
        <w:t xml:space="preserve">if</w:t>
      </w:r>
      <w:r>
        <w:rPr>
          <w:rStyle w:val="NormalTok"/>
        </w:rPr>
        <w:t xml:space="preserve"> headers[</w:t>
      </w:r>
      <w:r>
        <w:rPr>
          <w:rStyle w:val="StringTok"/>
        </w:rPr>
        <w:t xml:space="preserve">"X-Nonce"</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.seen_nonces:</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VariableTok"/>
        </w:rPr>
        <w:t xml:space="preserve">self</w:t>
      </w:r>
      <w:r>
        <w:rPr>
          <w:rStyle w:val="NormalTok"/>
        </w:rPr>
        <w:t xml:space="preserve">.seen_nonces[headers[</w:t>
      </w:r>
      <w:r>
        <w:rPr>
          <w:rStyle w:val="StringTok"/>
        </w:rPr>
        <w:t xml:space="preserve">"X-Nonce"</w:t>
      </w:r>
      <w:r>
        <w:rPr>
          <w:rStyle w:val="NormalTok"/>
        </w:rPr>
        <w:t xml:space="preserve">]] </w:t>
      </w:r>
      <w:r>
        <w:rPr>
          <w:rStyle w:val="OperatorTok"/>
        </w:rPr>
        <w:t xml:space="preserve">=</w:t>
      </w:r>
      <w:r>
        <w:rPr>
          <w:rStyle w:val="NormalTok"/>
        </w:rPr>
        <w:t xml:space="preserve"> ts</w:t>
      </w:r>
      <w:r>
        <w:br/>
      </w:r>
      <w:r>
        <w:rPr>
          <w:rStyle w:val="NormalTok"/>
        </w:rPr>
        <w:t xml:space="preserve">        </w:t>
      </w:r>
      <w:r>
        <w:rPr>
          <w:rStyle w:val="ControlFlowTok"/>
        </w:rPr>
        <w:t xml:space="preserve">return</w:t>
      </w:r>
      <w:r>
        <w:rPr>
          <w:rStyle w:val="NormalTok"/>
        </w:rPr>
        <w:t xml:space="preserve"> </w:t>
      </w:r>
      <w:r>
        <w:rPr>
          <w:rStyle w:val="VariableTok"/>
        </w:rPr>
        <w:t xml:space="preserve">True</w:t>
      </w:r>
    </w:p>
    <w:p>
      <w:pPr>
        <w:pStyle w:val="FirstParagraph"/>
      </w:pPr>
      <w:r>
        <w:t xml:space="preserve">Tested with Python 3.13: a correctly signed request verifies; replaying it, altering one byte of the body, or signing with a different key all return</w:t>
      </w:r>
      <w:r>
        <w:t xml:space="preserve"> </w:t>
      </w:r>
      <w:r>
        <w:rPr>
          <w:rStyle w:val="VerbatimChar"/>
        </w:rPr>
        <w:t xml:space="preserve">False</w:t>
      </w:r>
      <w:r>
        <w:t xml:space="preserve">.</w:t>
      </w:r>
    </w:p>
    <w:p>
      <w:pPr>
        <w:pStyle w:val="BodyText"/>
      </w:pPr>
      <w:r>
        <w:t xml:space="preserve">What to notice:</w:t>
      </w:r>
    </w:p>
    <w:p>
      <w:pPr>
        <w:numPr>
          <w:ilvl w:val="0"/>
          <w:numId w:val="1341"/>
        </w:numPr>
        <w:pStyle w:val="Compact"/>
      </w:pPr>
      <w:r>
        <w:rPr>
          <w:rStyle w:val="VerbatimChar"/>
        </w:rPr>
        <w:t xml:space="preserve">hmac.compare_digest</w:t>
      </w:r>
      <w:r>
        <w:t xml:space="preserve"> </w:t>
      </w:r>
      <w:r>
        <w:t xml:space="preserve">compares in constant time;</w:t>
      </w:r>
      <w:r>
        <w:t xml:space="preserve"> </w:t>
      </w:r>
      <w:r>
        <w:rPr>
          <w:rStyle w:val="VerbatimChar"/>
        </w:rPr>
        <w:t xml:space="preserve">==</w:t>
      </w:r>
      <w:r>
        <w:t xml:space="preserve"> </w:t>
      </w:r>
      <w:r>
        <w:t xml:space="preserve">returns early at the first differing byte and can leak timing information.</w:t>
      </w:r>
    </w:p>
    <w:p>
      <w:pPr>
        <w:numPr>
          <w:ilvl w:val="0"/>
          <w:numId w:val="1341"/>
        </w:numPr>
        <w:pStyle w:val="Compact"/>
      </w:pPr>
      <w:r>
        <w:t xml:space="preserve">The body is covered via its SHA-256 hash, and the method and path are included, so neither can be swapped.</w:t>
      </w:r>
    </w:p>
    <w:p>
      <w:pPr>
        <w:numPr>
          <w:ilvl w:val="0"/>
          <w:numId w:val="1341"/>
        </w:numPr>
        <w:pStyle w:val="Compact"/>
      </w:pPr>
      <w:r>
        <w:t xml:space="preserve">The order of checks matters: the nonce is recorded only</w:t>
      </w:r>
      <w:r>
        <w:t xml:space="preserve"> </w:t>
      </w:r>
      <w:r>
        <w:rPr>
          <w:iCs/>
          <w:i/>
        </w:rPr>
        <w:t xml:space="preserve">after</w:t>
      </w:r>
      <w:r>
        <w:t xml:space="preserve"> </w:t>
      </w:r>
      <w:r>
        <w:t xml:space="preserve">the signature verifies, so an attacker cannot fill the nonce store with garbage that blocks legitimate nonces.</w:t>
      </w:r>
    </w:p>
    <w:p>
      <w:pPr>
        <w:numPr>
          <w:ilvl w:val="0"/>
          <w:numId w:val="1341"/>
        </w:numPr>
        <w:pStyle w:val="Compact"/>
      </w:pPr>
      <w:r>
        <w:t xml:space="preserve">The in-memory</w:t>
      </w:r>
      <w:r>
        <w:t xml:space="preserve"> </w:t>
      </w:r>
      <w:r>
        <w:rPr>
          <w:rStyle w:val="VerbatimChar"/>
        </w:rPr>
        <w:t xml:space="preserve">seen_nonces</w:t>
      </w:r>
      <w:r>
        <w:t xml:space="preserve"> </w:t>
      </w:r>
      <w:r>
        <w:t xml:space="preserve">dictionary works for one process only; with several API replicas, use a shared store with an atomic</w:t>
      </w:r>
      <w:r>
        <w:t xml:space="preserve"> </w:t>
      </w:r>
      <w:r>
        <w:t xml:space="preserve">“</w:t>
      </w:r>
      <w:r>
        <w:t xml:space="preserve">set if absent</w:t>
      </w:r>
      <w:r>
        <w:t xml:space="preserve">”</w:t>
      </w:r>
      <w:r>
        <w:t xml:space="preserve"> </w:t>
      </w:r>
      <w:r>
        <w:t xml:space="preserve">operation (for example Redis</w:t>
      </w:r>
      <w:r>
        <w:t xml:space="preserve"> </w:t>
      </w:r>
      <w:r>
        <w:rPr>
          <w:rStyle w:val="VerbatimChar"/>
        </w:rPr>
        <w:t xml:space="preserve">SET key value NX EX 600</w:t>
      </w:r>
      <w:r>
        <w:t xml:space="preserve">).</w:t>
      </w:r>
    </w:p>
    <w:bookmarkEnd w:id="1115"/>
    <w:bookmarkEnd w:id="1116"/>
    <w:bookmarkStart w:id="1117" w:name="randomness"/>
    <w:p>
      <w:pPr>
        <w:pStyle w:val="Heading3"/>
      </w:pPr>
      <w:r>
        <w:t xml:space="preserve">10.4.7 Randomness</w:t>
      </w:r>
    </w:p>
    <w:p>
      <w:pPr>
        <w:pStyle w:val="FirstParagraph"/>
      </w:pPr>
      <w:r>
        <w:t xml:space="preserve">Every key, nonce, salt, session token and password-reset link depends on unpredictable random numbers. General-purpose generators (</w:t>
      </w:r>
      <w:r>
        <w:rPr>
          <w:rStyle w:val="VerbatimChar"/>
        </w:rPr>
        <w:t xml:space="preserve">random</w:t>
      </w:r>
      <w:r>
        <w:t xml:space="preserve"> </w:t>
      </w:r>
      <w:r>
        <w:t xml:space="preserve">in Python,</w:t>
      </w:r>
      <w:r>
        <w:t xml:space="preserve"> </w:t>
      </w:r>
      <w:r>
        <w:rPr>
          <w:rStyle w:val="VerbatimChar"/>
        </w:rPr>
        <w:t xml:space="preserve">Math.random()</w:t>
      </w:r>
      <w:r>
        <w:t xml:space="preserve"> </w:t>
      </w:r>
      <w:r>
        <w:t xml:space="preserve">in JavaScript,</w:t>
      </w:r>
      <w:r>
        <w:t xml:space="preserve"> </w:t>
      </w:r>
      <w:r>
        <w:rPr>
          <w:rStyle w:val="VerbatimChar"/>
        </w:rPr>
        <w:t xml:space="preserve">rand()</w:t>
      </w:r>
      <w:r>
        <w:t xml:space="preserve"> </w:t>
      </w:r>
      <w:r>
        <w:t xml:space="preserve">in C) are designed for simulations: they are fast and statistically uniform but</w:t>
      </w:r>
      <w:r>
        <w:t xml:space="preserve"> </w:t>
      </w:r>
      <w:r>
        <w:rPr>
          <w:bCs/>
          <w:b/>
        </w:rPr>
        <w:t xml:space="preserve">predictable</w:t>
      </w:r>
      <w:r>
        <w:t xml:space="preserve"> </w:t>
      </w:r>
      <w:r>
        <w:t xml:space="preserve">— observing a few hundred outputs of Python’s Mersenne Twister lets an attacker compute all future outputs. Security code must use a</w:t>
      </w:r>
      <w:r>
        <w:t xml:space="preserve"> </w:t>
      </w:r>
      <w:r>
        <w:rPr>
          <w:bCs/>
          <w:b/>
        </w:rPr>
        <w:t xml:space="preserve">cryptographically secure pseudo-random number generator (CSPRNG)</w:t>
      </w:r>
      <w:r>
        <w:t xml:space="preserve"> </w:t>
      </w:r>
      <w:r>
        <w:t xml:space="preserve">seeded from the operating system’s entropy pool:</w:t>
      </w:r>
      <w:r>
        <w:t xml:space="preserve"> </w:t>
      </w:r>
      <w:r>
        <w:rPr>
          <w:rStyle w:val="VerbatimChar"/>
        </w:rPr>
        <w:t xml:space="preserve">secrets</w:t>
      </w:r>
      <w:r>
        <w:t xml:space="preserve"> </w:t>
      </w:r>
      <w:r>
        <w:t xml:space="preserve">or</w:t>
      </w:r>
      <w:r>
        <w:t xml:space="preserve"> </w:t>
      </w:r>
      <w:r>
        <w:rPr>
          <w:rStyle w:val="VerbatimChar"/>
        </w:rPr>
        <w:t xml:space="preserve">os.urandom</w:t>
      </w:r>
      <w:r>
        <w:t xml:space="preserve"> </w:t>
      </w:r>
      <w:r>
        <w:t xml:space="preserve">in Python,</w:t>
      </w:r>
      <w:r>
        <w:t xml:space="preserve"> </w:t>
      </w:r>
      <w:r>
        <w:rPr>
          <w:rStyle w:val="VerbatimChar"/>
        </w:rPr>
        <w:t xml:space="preserve">crypto.getRandomValues</w:t>
      </w:r>
      <w:r>
        <w:t xml:space="preserve"> </w:t>
      </w:r>
      <w:r>
        <w:t xml:space="preserve">in browsers,</w:t>
      </w:r>
      <w:r>
        <w:t xml:space="preserve"> </w:t>
      </w:r>
      <w:r>
        <w:rPr>
          <w:rStyle w:val="VerbatimChar"/>
        </w:rPr>
        <w:t xml:space="preserve">SecureRandom</w:t>
      </w:r>
      <w:r>
        <w:t xml:space="preserve"> </w:t>
      </w:r>
      <w:r>
        <w:t xml:space="preserve">in Java,</w:t>
      </w:r>
      <w:r>
        <w:t xml:space="preserve"> </w:t>
      </w:r>
      <w:r>
        <w:rPr>
          <w:rStyle w:val="VerbatimChar"/>
        </w:rPr>
        <w:t xml:space="preserve">crypto/rand</w:t>
      </w:r>
      <w:r>
        <w:t xml:space="preserve"> </w:t>
      </w:r>
      <w:r>
        <w:t xml:space="preserve">in Go.</w:t>
      </w:r>
    </w:p>
    <w:p>
      <w:pPr>
        <w:pStyle w:val="CalloutFormula"/>
      </w:pPr>
      <w:r>
        <w:rPr>
          <w:bCs/>
          <w:b/>
        </w:rPr>
        <w:t xml:space="preserve">FORMULA</w:t>
      </w:r>
    </w:p>
    <w:p>
      <w:pPr>
        <w:pStyle w:val="CalloutFormula"/>
      </w:pPr>
      <w:r>
        <w:rPr>
          <w:bCs/>
          <w:b/>
        </w:rPr>
        <w:t xml:space="preserve">Entropy of a uniformly random secret</w:t>
      </w:r>
    </w:p>
    <w:p>
      <w:pPr>
        <w:pStyle w:val="CalloutFormula"/>
      </w:pPr>
      <m:oMathPara>
        <m:oMathParaPr>
          <m:jc m:val="center"/>
        </m:oMathParaPr>
        <m:oMath>
          <m:r>
            <m:t>H</m:t>
          </m:r>
          <m:r>
            <m:rPr>
              <m:sty m:val="p"/>
            </m:rPr>
            <m:t>=</m:t>
          </m:r>
          <m:r>
            <m:t>L</m:t>
          </m:r>
          <m:r>
            <m:rPr>
              <m:sty m:val="p"/>
            </m:rPr>
            <m:t>⋅</m:t>
          </m:r>
          <m:sSub>
            <m:e>
              <m:r>
                <m:rPr>
                  <m:sty m:val="p"/>
                </m:rPr>
                <m:t>log</m:t>
              </m:r>
            </m:e>
            <m:sub>
              <m:r>
                <m:t>2</m:t>
              </m:r>
            </m:sub>
          </m:sSub>
          <m:r>
            <m:t>N</m:t>
          </m:r>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H</m:t>
              </m:r>
            </m:oMath>
          </w:p>
        </w:tc>
        <w:tc>
          <w:tcPr/>
          <w:p>
            <w:pPr>
              <w:pStyle w:val="Compact"/>
              <w:jc w:val="left"/>
            </w:pPr>
            <w:r>
              <w:t xml:space="preserve">Entropy: the number of bits an attacker must effectively guess</w:t>
            </w:r>
          </w:p>
        </w:tc>
        <w:tc>
          <w:tcPr/>
          <w:p>
            <w:pPr>
              <w:pStyle w:val="Compact"/>
              <w:jc w:val="left"/>
            </w:pPr>
            <w:r>
              <w:t xml:space="preserve">bits</w:t>
            </w:r>
          </w:p>
        </w:tc>
      </w:tr>
      <w:tr>
        <w:tc>
          <w:tcPr/>
          <w:p>
            <w:pPr>
              <w:pStyle w:val="Compact"/>
              <w:jc w:val="left"/>
            </w:pPr>
            <m:oMath>
              <m:r>
                <m:t>L</m:t>
              </m:r>
            </m:oMath>
          </w:p>
        </w:tc>
        <w:tc>
          <w:tcPr/>
          <w:p>
            <w:pPr>
              <w:pStyle w:val="Compact"/>
              <w:jc w:val="left"/>
            </w:pPr>
            <w:r>
              <w:t xml:space="preserve">Length of the secret</w:t>
            </w:r>
          </w:p>
        </w:tc>
        <w:tc>
          <w:tcPr/>
          <w:p>
            <w:pPr>
              <w:pStyle w:val="Compact"/>
              <w:jc w:val="left"/>
            </w:pPr>
            <w:r>
              <w:t xml:space="preserve">symbols</w:t>
            </w:r>
          </w:p>
        </w:tc>
      </w:tr>
      <w:tr>
        <w:tc>
          <w:tcPr/>
          <w:p>
            <w:pPr>
              <w:pStyle w:val="Compact"/>
              <w:jc w:val="left"/>
            </w:pPr>
            <m:oMath>
              <m:r>
                <m:t>N</m:t>
              </m:r>
            </m:oMath>
          </w:p>
        </w:tc>
        <w:tc>
          <w:tcPr/>
          <w:p>
            <w:pPr>
              <w:pStyle w:val="Compact"/>
              <w:jc w:val="left"/>
            </w:pPr>
            <w:r>
              <w:t xml:space="preserve">Number of equally likely choices per symbol</w:t>
            </w:r>
          </w:p>
        </w:tc>
        <w:tc>
          <w:tcPr/>
          <w:p>
            <w:pPr>
              <w:pStyle w:val="Compact"/>
              <w:jc w:val="left"/>
            </w:pPr>
            <w:r>
              <w:t xml:space="preserve">symbols</w:t>
            </w:r>
          </w:p>
        </w:tc>
      </w:tr>
    </w:tbl>
    <w:p>
      <w:pPr>
        <w:pStyle w:val="CalloutFormula"/>
      </w:pPr>
      <w:r>
        <w:t xml:space="preserve">Valid only when every symbol is chosen independently and uniformly at random — true for machine-generated tokens, false for human-chosen passwords.</w:t>
      </w:r>
    </w:p>
    <w:p>
      <w:pPr>
        <w:pStyle w:val="CalloutExample"/>
      </w:pPr>
      <w:r>
        <w:rPr>
          <w:bCs/>
          <w:b/>
        </w:rPr>
        <w:t xml:space="preserve">WORKED EXAMPLE</w:t>
      </w:r>
    </w:p>
    <w:p>
      <w:pPr>
        <w:pStyle w:val="CalloutExample"/>
      </w:pPr>
      <w:r>
        <w:rPr>
          <w:bCs/>
          <w:b/>
        </w:rPr>
        <w:t xml:space="preserve">Worked example — How long should a session token be?</w:t>
      </w:r>
      <w:r>
        <w:t xml:space="preserve"> </w:t>
      </w:r>
      <w:r>
        <w:rPr>
          <w:rStyle w:val="VerbatimChar"/>
        </w:rPr>
        <w:t xml:space="preserve">secrets.token_urlsafe(32)</w:t>
      </w:r>
      <w:r>
        <w:t xml:space="preserve"> </w:t>
      </w:r>
      <w:r>
        <w:t xml:space="preserve">draws 32 random bytes (</w:t>
      </w:r>
      <m:oMath>
        <m:r>
          <m:t>N</m:t>
        </m:r>
        <m:r>
          <m:rPr>
            <m:sty m:val="p"/>
          </m:rPr>
          <m:t>=</m:t>
        </m:r>
        <m:r>
          <m:t>256</m:t>
        </m:r>
      </m:oMath>
      <w:r>
        <w:t xml:space="preserve">,</w:t>
      </w:r>
      <w:r>
        <w:t xml:space="preserve"> </w:t>
      </w:r>
      <m:oMath>
        <m:r>
          <m:t>L</m:t>
        </m:r>
        <m:r>
          <m:rPr>
            <m:sty m:val="p"/>
          </m:rPr>
          <m:t>=</m:t>
        </m:r>
        <m:r>
          <m:t>32</m:t>
        </m:r>
      </m:oMath>
      <w:r>
        <w:t xml:space="preserve">):</w:t>
      </w:r>
      <w:r>
        <w:t xml:space="preserve"> </w:t>
      </w:r>
      <m:oMath>
        <m:r>
          <m:t>H</m:t>
        </m:r>
        <m:r>
          <m:rPr>
            <m:sty m:val="p"/>
          </m:rPr>
          <m:t>=</m:t>
        </m:r>
        <m:r>
          <m:t>32</m:t>
        </m:r>
        <m:r>
          <m:rPr>
            <m:sty m:val="p"/>
          </m:rPr>
          <m:t>×</m:t>
        </m:r>
        <m:r>
          <m:t>8</m:t>
        </m:r>
        <m:r>
          <m:rPr>
            <m:sty m:val="p"/>
          </m:rPr>
          <m:t>=</m:t>
        </m:r>
        <m:r>
          <m:t>256</m:t>
        </m:r>
      </m:oMath>
      <w:r>
        <w:t xml:space="preserve"> </w:t>
      </w:r>
      <w:r>
        <w:t xml:space="preserve">bits. An attacker making</w:t>
      </w:r>
      <w:r>
        <w:t xml:space="preserve"> </w:t>
      </w:r>
      <m:oMath>
        <m:sSup>
          <m:e>
            <m:r>
              <m:t>10</m:t>
            </m:r>
          </m:e>
          <m:sup>
            <m:r>
              <m:t>6</m:t>
            </m:r>
          </m:sup>
        </m:sSup>
      </m:oMath>
      <w:r>
        <w:t xml:space="preserve"> </w:t>
      </w:r>
      <w:r>
        <w:t xml:space="preserve">guesses per second for a year (</w:t>
      </w:r>
      <m:oMath>
        <m:r>
          <m:t>3.15</m:t>
        </m:r>
        <m:r>
          <m:rPr>
            <m:sty m:val="p"/>
          </m:rPr>
          <m:t>×</m:t>
        </m:r>
        <m:sSup>
          <m:e>
            <m:r>
              <m:t>10</m:t>
            </m:r>
          </m:e>
          <m:sup>
            <m:r>
              <m:t>13</m:t>
            </m:r>
          </m:sup>
        </m:sSup>
      </m:oMath>
      <w:r>
        <w:t xml:space="preserve"> </w:t>
      </w:r>
      <w:r>
        <w:t xml:space="preserve">guesses) against</w:t>
      </w:r>
      <w:r>
        <w:t xml:space="preserve"> </w:t>
      </w:r>
      <m:oMath>
        <m:sSup>
          <m:e>
            <m:r>
              <m:t>10</m:t>
            </m:r>
          </m:e>
          <m:sup>
            <m:r>
              <m:t>8</m:t>
            </m:r>
          </m:sup>
        </m:sSup>
      </m:oMath>
      <w:r>
        <w:t xml:space="preserve"> </w:t>
      </w:r>
      <w:r>
        <w:t xml:space="preserve">live sessions succeeds with probability about</w:t>
      </w:r>
      <w:r>
        <w:t xml:space="preserve"> </w:t>
      </w:r>
      <m:oMath>
        <m:r>
          <m:t>3.15</m:t>
        </m:r>
        <m:r>
          <m:rPr>
            <m:sty m:val="p"/>
          </m:rPr>
          <m:t>×</m:t>
        </m:r>
        <m:sSup>
          <m:e>
            <m:r>
              <m:t>10</m:t>
            </m:r>
          </m:e>
          <m:sup>
            <m:r>
              <m:t>13</m:t>
            </m:r>
          </m:sup>
        </m:sSup>
        <m:r>
          <m:rPr>
            <m:sty m:val="p"/>
          </m:rPr>
          <m:t>×</m:t>
        </m:r>
        <m:sSup>
          <m:e>
            <m:r>
              <m:t>10</m:t>
            </m:r>
          </m:e>
          <m:sup>
            <m:r>
              <m:t>8</m:t>
            </m:r>
          </m:sup>
        </m:sSup>
        <m:r>
          <m:rPr>
            <m:sty m:val="p"/>
          </m:rPr>
          <m:t>/</m:t>
        </m:r>
        <m:sSup>
          <m:e>
            <m:r>
              <m:t>2</m:t>
            </m:r>
          </m:e>
          <m:sup>
            <m:r>
              <m:t>256</m:t>
            </m:r>
          </m:sup>
        </m:sSup>
        <m:r>
          <m:rPr>
            <m:sty m:val="p"/>
          </m:rPr>
          <m:t>≈</m:t>
        </m:r>
        <m:r>
          <m:t>3</m:t>
        </m:r>
        <m:r>
          <m:rPr>
            <m:sty m:val="p"/>
          </m:rPr>
          <m:t>×</m:t>
        </m:r>
        <m:sSup>
          <m:e>
            <m:r>
              <m:t>10</m:t>
            </m:r>
          </m:e>
          <m:sup>
            <m:r>
              <m:rPr>
                <m:sty m:val="p"/>
              </m:rPr>
              <m:t>−</m:t>
            </m:r>
            <m:r>
              <m:t>56</m:t>
            </m:r>
          </m:sup>
        </m:sSup>
      </m:oMath>
      <w:r>
        <w:t xml:space="preserve">.</w:t>
      </w:r>
      <w:r>
        <w:t xml:space="preserve"> </w:t>
      </w:r>
      <w:r>
        <w:rPr>
          <w:iCs/>
          <w:i/>
        </w:rPr>
        <w:t xml:space="preserve">Engineering implication:</w:t>
      </w:r>
      <w:r>
        <w:t xml:space="preserve"> </w:t>
      </w:r>
      <w:r>
        <w:t xml:space="preserve">128 bits of CSPRNG output is already ample; the realistic risk is tokens leaking through logs, URLs and referrer headers, not guessing.</w:t>
      </w:r>
    </w:p>
    <w:bookmarkEnd w:id="1117"/>
    <w:bookmarkStart w:id="1120" w:name="dont-roll-your-own-crypto"/>
    <w:p>
      <w:pPr>
        <w:pStyle w:val="Heading3"/>
      </w:pPr>
      <w:r>
        <w:t xml:space="preserve">10.4.8 Don’t roll your own crypto</w:t>
      </w:r>
    </w:p>
    <w:p>
      <w:pPr>
        <w:pStyle w:val="FirstParagraph"/>
      </w:pPr>
      <w:r>
        <w:t xml:space="preserve">“</w:t>
      </w:r>
      <w:r>
        <w:t xml:space="preserve">Don’t roll your own crypto</w:t>
      </w:r>
      <w:r>
        <w:t xml:space="preserve">”</w:t>
      </w:r>
      <w:r>
        <w:t xml:space="preserve"> </w:t>
      </w:r>
      <w:r>
        <w:t xml:space="preserve">does not only mean</w:t>
      </w:r>
      <w:r>
        <w:t xml:space="preserve"> </w:t>
      </w:r>
      <w:r>
        <w:t xml:space="preserve">“</w:t>
      </w:r>
      <w:r>
        <w:t xml:space="preserve">don’t invent a cipher</w:t>
      </w:r>
      <w:r>
        <w:t xml:space="preserve">”</w:t>
      </w:r>
      <w:r>
        <w:t xml:space="preserve">. It means: do not assemble primitives into your own protocol or storage format when a vetted, high-level construction exists. The canonical failures are all compositions of</w:t>
      </w:r>
      <w:r>
        <w:t xml:space="preserve"> </w:t>
      </w:r>
      <w:r>
        <w:rPr>
          <w:iCs/>
          <w:i/>
        </w:rPr>
        <w:t xml:space="preserve">correct</w:t>
      </w:r>
      <w:r>
        <w:t xml:space="preserve"> </w:t>
      </w:r>
      <w:r>
        <w:t xml:space="preserve">primitives: encrypting without authenticating (bit-flipping attacks), MAC-then-encrypt with distinguishable padding errors (padding-oracle attacks against CBC),</w:t>
      </w:r>
      <w:r>
        <w:t xml:space="preserve"> </w:t>
      </w:r>
      <w:r>
        <w:rPr>
          <w:rStyle w:val="VerbatimChar"/>
        </w:rPr>
        <w:t xml:space="preserve">SHA256(key || msg)</w:t>
      </w:r>
      <w:r>
        <w:t xml:space="preserve"> </w:t>
      </w:r>
      <w:r>
        <w:t xml:space="preserve">as a MAC (length extension), reused GCM nonces, comparing MACs with</w:t>
      </w:r>
      <w:r>
        <w:t xml:space="preserve"> </w:t>
      </w:r>
      <w:r>
        <w:rPr>
          <w:rStyle w:val="VerbatimChar"/>
        </w:rPr>
        <w:t xml:space="preserve">==</w:t>
      </w:r>
      <w:r>
        <w:t xml:space="preserve"> </w:t>
      </w:r>
      <w:r>
        <w:t xml:space="preserve">(timing attacks), and ECB mode, which encrypts identical blocks to identical ciphertext so that patterns in an image remain visible. Ferguson, Schneier and Kohno make the case that most cryptographic failures in practice are engineering failures in how primitives are combined and keys are handled, not breaks of the primitives themselves [Ferguson et al. 2010].</w:t>
      </w:r>
    </w:p>
    <w:p>
      <w:pPr>
        <w:pStyle w:val="CalloutRecommendation"/>
      </w:pPr>
      <w:r>
        <w:rPr>
          <w:bCs/>
          <w:b/>
        </w:rPr>
        <w:t xml:space="preserve">RECOMMENDATION</w:t>
      </w:r>
    </w:p>
    <w:p>
      <w:pPr>
        <w:pStyle w:val="CalloutRecommendation"/>
      </w:pPr>
      <w:r>
        <w:rPr>
          <w:bCs/>
          <w:b/>
        </w:rPr>
        <w:t xml:space="preserve">Practical rule set.</w:t>
      </w:r>
      <w:r>
        <w:t xml:space="preserve"> </w:t>
      </w:r>
      <w:r>
        <w:t xml:space="preserve">(1) Use TLS 1.3 for data in transit — do not design a transport protocol. (2) Use a high-level library API (libsodium/NaCl</w:t>
      </w:r>
      <w:r>
        <w:t xml:space="preserve"> </w:t>
      </w:r>
      <w:r>
        <w:rPr>
          <w:rStyle w:val="VerbatimChar"/>
        </w:rPr>
        <w:t xml:space="preserve">secretbox</w:t>
      </w:r>
      <w:r>
        <w:t xml:space="preserve">, Google Tink, or the</w:t>
      </w:r>
      <w:r>
        <w:t xml:space="preserve"> </w:t>
      </w:r>
      <w:r>
        <w:rPr>
          <w:rStyle w:val="VerbatimChar"/>
        </w:rPr>
        <w:t xml:space="preserve">cryptography</w:t>
      </w:r>
      <w:r>
        <w:t xml:space="preserve"> </w:t>
      </w:r>
      <w:r>
        <w:t xml:space="preserve">package’s AEAD classes) that chooses nonces, modes and tag checks for you. (3) Use a managed KMS for key storage and envelope encryption (§10.9). (4) Use a password-hashing function, not a hash (§10.6). (5) Use your platform’s JWT/OAuth libraries, pinned to an explicit algorithm allow-list. (6) Have a cryptographer review any design where you still feel you need to combine primitives.</w:t>
      </w:r>
    </w:p>
    <w:bookmarkStart w:id="1118" w:name="Xaf42767051dd526aa0aec4031508a4a16403131"/>
    <w:p>
      <w:pPr>
        <w:pStyle w:val="Heading4"/>
      </w:pPr>
      <w:r>
        <w:t xml:space="preserve">Code example: AEAD, signatures and key agreement</w:t>
      </w:r>
    </w:p>
    <w:p>
      <w:pPr>
        <w:pStyle w:val="SourceCode"/>
      </w:pPr>
      <w:r>
        <w:rPr>
          <w:rStyle w:val="CommentTok"/>
        </w:rPr>
        <w:t xml:space="preserve">"""AES-256-GCM with associated data, Ed25519 signatures and X25519 key agreement."""</w:t>
      </w:r>
      <w:r>
        <w:br/>
      </w:r>
      <w:r>
        <w:rPr>
          <w:rStyle w:val="ImportTok"/>
        </w:rPr>
        <w:t xml:space="preserve">import</w:t>
      </w:r>
      <w:r>
        <w:rPr>
          <w:rStyle w:val="NormalTok"/>
        </w:rPr>
        <w:t xml:space="preserve"> os</w:t>
      </w:r>
      <w:r>
        <w:br/>
      </w:r>
      <w:r>
        <w:rPr>
          <w:rStyle w:val="ImportTok"/>
        </w:rPr>
        <w:t xml:space="preserve">from</w:t>
      </w:r>
      <w:r>
        <w:rPr>
          <w:rStyle w:val="NormalTok"/>
        </w:rPr>
        <w:t xml:space="preserve"> cryptography.exceptions </w:t>
      </w:r>
      <w:r>
        <w:rPr>
          <w:rStyle w:val="ImportTok"/>
        </w:rPr>
        <w:t xml:space="preserve">import</w:t>
      </w:r>
      <w:r>
        <w:rPr>
          <w:rStyle w:val="NormalTok"/>
        </w:rPr>
        <w:t xml:space="preserve"> InvalidSignature, InvalidTag</w:t>
      </w:r>
      <w:r>
        <w:br/>
      </w:r>
      <w:r>
        <w:rPr>
          <w:rStyle w:val="ImportTok"/>
        </w:rPr>
        <w:t xml:space="preserve">from</w:t>
      </w:r>
      <w:r>
        <w:rPr>
          <w:rStyle w:val="NormalTok"/>
        </w:rPr>
        <w:t xml:space="preserve"> cryptography.hazmat.primitives </w:t>
      </w:r>
      <w:r>
        <w:rPr>
          <w:rStyle w:val="ImportTok"/>
        </w:rPr>
        <w:t xml:space="preserve">import</w:t>
      </w:r>
      <w:r>
        <w:rPr>
          <w:rStyle w:val="NormalTok"/>
        </w:rPr>
        <w:t xml:space="preserve"> hashes</w:t>
      </w:r>
      <w:r>
        <w:br/>
      </w:r>
      <w:r>
        <w:rPr>
          <w:rStyle w:val="ImportTok"/>
        </w:rPr>
        <w:t xml:space="preserve">from</w:t>
      </w:r>
      <w:r>
        <w:rPr>
          <w:rStyle w:val="NormalTok"/>
        </w:rPr>
        <w:t xml:space="preserve"> cryptography.hazmat.primitives.asymmetric.ed25519 </w:t>
      </w:r>
      <w:r>
        <w:rPr>
          <w:rStyle w:val="ImportTok"/>
        </w:rPr>
        <w:t xml:space="preserve">import</w:t>
      </w:r>
      <w:r>
        <w:rPr>
          <w:rStyle w:val="NormalTok"/>
        </w:rPr>
        <w:t xml:space="preserve"> Ed25519PrivateKey</w:t>
      </w:r>
      <w:r>
        <w:br/>
      </w:r>
      <w:r>
        <w:rPr>
          <w:rStyle w:val="ImportTok"/>
        </w:rPr>
        <w:t xml:space="preserve">from</w:t>
      </w:r>
      <w:r>
        <w:rPr>
          <w:rStyle w:val="NormalTok"/>
        </w:rPr>
        <w:t xml:space="preserve"> cryptography.hazmat.primitives.asymmetric.x25519 </w:t>
      </w:r>
      <w:r>
        <w:rPr>
          <w:rStyle w:val="ImportTok"/>
        </w:rPr>
        <w:t xml:space="preserve">import</w:t>
      </w:r>
      <w:r>
        <w:rPr>
          <w:rStyle w:val="NormalTok"/>
        </w:rPr>
        <w:t xml:space="preserve"> X25519PrivateKey</w:t>
      </w:r>
      <w:r>
        <w:br/>
      </w:r>
      <w:r>
        <w:rPr>
          <w:rStyle w:val="ImportTok"/>
        </w:rPr>
        <w:t xml:space="preserve">from</w:t>
      </w:r>
      <w:r>
        <w:rPr>
          <w:rStyle w:val="NormalTok"/>
        </w:rPr>
        <w:t xml:space="preserve"> cryptography.hazmat.primitives.ciphers.aead </w:t>
      </w:r>
      <w:r>
        <w:rPr>
          <w:rStyle w:val="ImportTok"/>
        </w:rPr>
        <w:t xml:space="preserve">import</w:t>
      </w:r>
      <w:r>
        <w:rPr>
          <w:rStyle w:val="NormalTok"/>
        </w:rPr>
        <w:t xml:space="preserve"> AESGCM</w:t>
      </w:r>
      <w:r>
        <w:br/>
      </w:r>
      <w:r>
        <w:rPr>
          <w:rStyle w:val="ImportTok"/>
        </w:rPr>
        <w:t xml:space="preserve">from</w:t>
      </w:r>
      <w:r>
        <w:rPr>
          <w:rStyle w:val="NormalTok"/>
        </w:rPr>
        <w:t xml:space="preserve"> cryptography.hazmat.primitives.kdf.hkdf </w:t>
      </w:r>
      <w:r>
        <w:rPr>
          <w:rStyle w:val="ImportTok"/>
        </w:rPr>
        <w:t xml:space="preserve">import</w:t>
      </w:r>
      <w:r>
        <w:rPr>
          <w:rStyle w:val="NormalTok"/>
        </w:rPr>
        <w:t xml:space="preserve"> HKDF</w:t>
      </w:r>
      <w:r>
        <w:br/>
      </w:r>
      <w:r>
        <w:br/>
      </w:r>
      <w:r>
        <w:rPr>
          <w:rStyle w:val="CommentTok"/>
        </w:rPr>
        <w:t xml:space="preserve"># --- 1. Authenticated symmetric encryption: AES-256-GCM ---</w:t>
      </w:r>
      <w:r>
        <w:br/>
      </w:r>
      <w:r>
        <w:rPr>
          <w:rStyle w:val="NormalTok"/>
        </w:rPr>
        <w:t xml:space="preserve">key </w:t>
      </w:r>
      <w:r>
        <w:rPr>
          <w:rStyle w:val="OperatorTok"/>
        </w:rPr>
        <w:t xml:space="preserve">=</w:t>
      </w:r>
      <w:r>
        <w:rPr>
          <w:rStyle w:val="NormalTok"/>
        </w:rPr>
        <w:t xml:space="preserve"> AESGCM.generate_key(bit_length</w:t>
      </w:r>
      <w:r>
        <w:rPr>
          <w:rStyle w:val="OperatorTok"/>
        </w:rPr>
        <w:t xml:space="preserve">=</w:t>
      </w:r>
      <w:r>
        <w:rPr>
          <w:rStyle w:val="DecValTok"/>
        </w:rPr>
        <w:t xml:space="preserve">256</w:t>
      </w:r>
      <w:r>
        <w:rPr>
          <w:rStyle w:val="NormalTok"/>
        </w:rPr>
        <w:t xml:space="preserve">)</w:t>
      </w:r>
      <w:r>
        <w:br/>
      </w:r>
      <w:r>
        <w:rPr>
          <w:rStyle w:val="NormalTok"/>
        </w:rPr>
        <w:t xml:space="preserve">aead </w:t>
      </w:r>
      <w:r>
        <w:rPr>
          <w:rStyle w:val="OperatorTok"/>
        </w:rPr>
        <w:t xml:space="preserve">=</w:t>
      </w:r>
      <w:r>
        <w:rPr>
          <w:rStyle w:val="NormalTok"/>
        </w:rPr>
        <w:t xml:space="preserve"> AESGCM(key)</w:t>
      </w:r>
      <w:r>
        <w:br/>
      </w:r>
      <w:r>
        <w:rPr>
          <w:rStyle w:val="NormalTok"/>
        </w:rPr>
        <w:t xml:space="preserve">nonce </w:t>
      </w:r>
      <w:r>
        <w:rPr>
          <w:rStyle w:val="OperatorTok"/>
        </w:rPr>
        <w:t xml:space="preserve">=</w:t>
      </w:r>
      <w:r>
        <w:rPr>
          <w:rStyle w:val="NormalTok"/>
        </w:rPr>
        <w:t xml:space="preserve"> os.urandom(</w:t>
      </w:r>
      <w:r>
        <w:rPr>
          <w:rStyle w:val="DecValTok"/>
        </w:rPr>
        <w:t xml:space="preserve">12</w:t>
      </w:r>
      <w:r>
        <w:rPr>
          <w:rStyle w:val="NormalTok"/>
        </w:rPr>
        <w:t xml:space="preserve">)                       </w:t>
      </w:r>
      <w:r>
        <w:rPr>
          <w:rStyle w:val="CommentTok"/>
        </w:rPr>
        <w:t xml:space="preserve"># 96-bit nonce; NEVER reuse with same key</w:t>
      </w:r>
      <w:r>
        <w:br/>
      </w:r>
      <w:r>
        <w:rPr>
          <w:rStyle w:val="NormalTok"/>
        </w:rPr>
        <w:t xml:space="preserve">aad </w:t>
      </w:r>
      <w:r>
        <w:rPr>
          <w:rStyle w:val="OperatorTok"/>
        </w:rPr>
        <w:t xml:space="preserve">=</w:t>
      </w:r>
      <w:r>
        <w:rPr>
          <w:rStyle w:val="NormalTok"/>
        </w:rPr>
        <w:t xml:space="preserve"> </w:t>
      </w:r>
      <w:r>
        <w:rPr>
          <w:rStyle w:val="StringTok"/>
        </w:rPr>
        <w:t xml:space="preserve">b"user_id=42;table=payments"</w:t>
      </w:r>
      <w:r>
        <w:rPr>
          <w:rStyle w:val="NormalTok"/>
        </w:rPr>
        <w:t xml:space="preserve">           </w:t>
      </w:r>
      <w:r>
        <w:rPr>
          <w:rStyle w:val="CommentTok"/>
        </w:rPr>
        <w:t xml:space="preserve"># authenticated but not encrypted</w:t>
      </w:r>
      <w:r>
        <w:br/>
      </w:r>
      <w:r>
        <w:rPr>
          <w:rStyle w:val="NormalTok"/>
        </w:rPr>
        <w:t xml:space="preserve">ct </w:t>
      </w:r>
      <w:r>
        <w:rPr>
          <w:rStyle w:val="OperatorTok"/>
        </w:rPr>
        <w:t xml:space="preserve">=</w:t>
      </w:r>
      <w:r>
        <w:rPr>
          <w:rStyle w:val="NormalTok"/>
        </w:rPr>
        <w:t xml:space="preserve"> aead.encrypt(nonce, </w:t>
      </w:r>
      <w:r>
        <w:rPr>
          <w:rStyle w:val="StringTok"/>
        </w:rPr>
        <w:t xml:space="preserve">b"card ending 4242"</w:t>
      </w:r>
      <w:r>
        <w:rPr>
          <w:rStyle w:val="NormalTok"/>
        </w:rPr>
        <w:t xml:space="preserve">, aad)</w:t>
      </w:r>
      <w:r>
        <w:br/>
      </w:r>
      <w:r>
        <w:rPr>
          <w:rStyle w:val="BuiltInTok"/>
        </w:rPr>
        <w:t xml:space="preserve">print</w:t>
      </w:r>
      <w:r>
        <w:rPr>
          <w:rStyle w:val="NormalTok"/>
        </w:rPr>
        <w:t xml:space="preserve">(</w:t>
      </w:r>
      <w:r>
        <w:rPr>
          <w:rStyle w:val="StringTok"/>
        </w:rPr>
        <w:t xml:space="preserve">"ciphertext+tag bytes:"</w:t>
      </w:r>
      <w:r>
        <w:rPr>
          <w:rStyle w:val="NormalTok"/>
        </w:rPr>
        <w:t xml:space="preserve">, </w:t>
      </w:r>
      <w:r>
        <w:rPr>
          <w:rStyle w:val="BuiltInTok"/>
        </w:rPr>
        <w:t xml:space="preserve">len</w:t>
      </w:r>
      <w:r>
        <w:rPr>
          <w:rStyle w:val="NormalTok"/>
        </w:rPr>
        <w:t xml:space="preserve">(ct))      </w:t>
      </w:r>
      <w:r>
        <w:rPr>
          <w:rStyle w:val="CommentTok"/>
        </w:rPr>
        <w:t xml:space="preserve"># plaintext length + 16-byte tag</w:t>
      </w:r>
      <w:r>
        <w:br/>
      </w:r>
      <w:r>
        <w:rPr>
          <w:rStyle w:val="BuiltInTok"/>
        </w:rPr>
        <w:t xml:space="preserve">print</w:t>
      </w:r>
      <w:r>
        <w:rPr>
          <w:rStyle w:val="NormalTok"/>
        </w:rPr>
        <w:t xml:space="preserve">(</w:t>
      </w:r>
      <w:r>
        <w:rPr>
          <w:rStyle w:val="StringTok"/>
        </w:rPr>
        <w:t xml:space="preserve">"decrypted:"</w:t>
      </w:r>
      <w:r>
        <w:rPr>
          <w:rStyle w:val="NormalTok"/>
        </w:rPr>
        <w:t xml:space="preserve">, aead.decrypt(nonce, ct, aad))</w:t>
      </w:r>
      <w:r>
        <w:br/>
      </w:r>
      <w:r>
        <w:rPr>
          <w:rStyle w:val="ControlFlowTok"/>
        </w:rPr>
        <w:t xml:space="preserve">try</w:t>
      </w:r>
      <w:r>
        <w:rPr>
          <w:rStyle w:val="NormalTok"/>
        </w:rPr>
        <w:t xml:space="preserve">:</w:t>
      </w:r>
      <w:r>
        <w:br/>
      </w:r>
      <w:r>
        <w:rPr>
          <w:rStyle w:val="NormalTok"/>
        </w:rPr>
        <w:t xml:space="preserve">    aead.decrypt(nonce, ct, </w:t>
      </w:r>
      <w:r>
        <w:rPr>
          <w:rStyle w:val="StringTok"/>
        </w:rPr>
        <w:t xml:space="preserve">b"user_id=43;table=payments"</w:t>
      </w:r>
      <w:r>
        <w:rPr>
          <w:rStyle w:val="NormalTok"/>
        </w:rPr>
        <w:t xml:space="preserve">)   </w:t>
      </w:r>
      <w:r>
        <w:rPr>
          <w:rStyle w:val="CommentTok"/>
        </w:rPr>
        <w:t xml:space="preserve"># wrong context</w:t>
      </w:r>
      <w:r>
        <w:br/>
      </w:r>
      <w:r>
        <w:rPr>
          <w:rStyle w:val="ControlFlowTok"/>
        </w:rPr>
        <w:t xml:space="preserve">except</w:t>
      </w:r>
      <w:r>
        <w:rPr>
          <w:rStyle w:val="NormalTok"/>
        </w:rPr>
        <w:t xml:space="preserve"> InvalidTag:</w:t>
      </w:r>
      <w:r>
        <w:br/>
      </w:r>
      <w:r>
        <w:rPr>
          <w:rStyle w:val="NormalTok"/>
        </w:rPr>
        <w:t xml:space="preserve">    </w:t>
      </w:r>
      <w:r>
        <w:rPr>
          <w:rStyle w:val="BuiltInTok"/>
        </w:rPr>
        <w:t xml:space="preserve">print</w:t>
      </w:r>
      <w:r>
        <w:rPr>
          <w:rStyle w:val="NormalTok"/>
        </w:rPr>
        <w:t xml:space="preserve">(</w:t>
      </w:r>
      <w:r>
        <w:rPr>
          <w:rStyle w:val="StringTok"/>
        </w:rPr>
        <w:t xml:space="preserve">"AAD mismatch -&gt; InvalidTag (ciphertext cannot be moved to another row)"</w:t>
      </w:r>
      <w:r>
        <w:rPr>
          <w:rStyle w:val="NormalTok"/>
        </w:rPr>
        <w:t xml:space="preserve">)</w:t>
      </w:r>
      <w:r>
        <w:br/>
      </w:r>
      <w:r>
        <w:rPr>
          <w:rStyle w:val="NormalTok"/>
        </w:rPr>
        <w:t xml:space="preserve">tampered </w:t>
      </w:r>
      <w:r>
        <w:rPr>
          <w:rStyle w:val="OperatorTok"/>
        </w:rPr>
        <w:t xml:space="preserve">=</w:t>
      </w:r>
      <w:r>
        <w:rPr>
          <w:rStyle w:val="NormalTok"/>
        </w:rPr>
        <w:t xml:space="preserve"> </w:t>
      </w:r>
      <w:r>
        <w:rPr>
          <w:rStyle w:val="BuiltInTok"/>
        </w:rPr>
        <w:t xml:space="preserve">bytearray</w:t>
      </w:r>
      <w:r>
        <w:rPr>
          <w:rStyle w:val="NormalTok"/>
        </w:rPr>
        <w:t xml:space="preserve">(ct)</w:t>
      </w:r>
      <w:r>
        <w:rPr>
          <w:rStyle w:val="OperatorTok"/>
        </w:rPr>
        <w:t xml:space="preserve">;</w:t>
      </w:r>
      <w:r>
        <w:rPr>
          <w:rStyle w:val="NormalTok"/>
        </w:rPr>
        <w:t xml:space="preserve"> tampered[</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ControlFlowTok"/>
        </w:rPr>
        <w:t xml:space="preserve">try</w:t>
      </w:r>
      <w:r>
        <w:rPr>
          <w:rStyle w:val="NormalTok"/>
        </w:rPr>
        <w:t xml:space="preserve">:</w:t>
      </w:r>
      <w:r>
        <w:br/>
      </w:r>
      <w:r>
        <w:rPr>
          <w:rStyle w:val="NormalTok"/>
        </w:rPr>
        <w:t xml:space="preserve">    aead.decrypt(nonce, </w:t>
      </w:r>
      <w:r>
        <w:rPr>
          <w:rStyle w:val="BuiltInTok"/>
        </w:rPr>
        <w:t xml:space="preserve">bytes</w:t>
      </w:r>
      <w:r>
        <w:rPr>
          <w:rStyle w:val="NormalTok"/>
        </w:rPr>
        <w:t xml:space="preserve">(tampered), aad)</w:t>
      </w:r>
      <w:r>
        <w:br/>
      </w:r>
      <w:r>
        <w:rPr>
          <w:rStyle w:val="ControlFlowTok"/>
        </w:rPr>
        <w:t xml:space="preserve">except</w:t>
      </w:r>
      <w:r>
        <w:rPr>
          <w:rStyle w:val="NormalTok"/>
        </w:rPr>
        <w:t xml:space="preserve"> InvalidTag:</w:t>
      </w:r>
      <w:r>
        <w:br/>
      </w:r>
      <w:r>
        <w:rPr>
          <w:rStyle w:val="NormalTok"/>
        </w:rPr>
        <w:t xml:space="preserve">    </w:t>
      </w:r>
      <w:r>
        <w:rPr>
          <w:rStyle w:val="BuiltInTok"/>
        </w:rPr>
        <w:t xml:space="preserve">print</w:t>
      </w:r>
      <w:r>
        <w:rPr>
          <w:rStyle w:val="NormalTok"/>
        </w:rPr>
        <w:t xml:space="preserve">(</w:t>
      </w:r>
      <w:r>
        <w:rPr>
          <w:rStyle w:val="StringTok"/>
        </w:rPr>
        <w:t xml:space="preserve">"bit flip -&gt; InvalidTag"</w:t>
      </w:r>
      <w:r>
        <w:rPr>
          <w:rStyle w:val="NormalTok"/>
        </w:rPr>
        <w:t xml:space="preserve">)</w:t>
      </w:r>
      <w:r>
        <w:br/>
      </w:r>
      <w:r>
        <w:br/>
      </w:r>
      <w:r>
        <w:rPr>
          <w:rStyle w:val="CommentTok"/>
        </w:rPr>
        <w:t xml:space="preserve"># --- 2. Digital signatures: Ed25519 ---</w:t>
      </w:r>
      <w:r>
        <w:br/>
      </w:r>
      <w:r>
        <w:rPr>
          <w:rStyle w:val="NormalTok"/>
        </w:rPr>
        <w:t xml:space="preserve">signing_key </w:t>
      </w:r>
      <w:r>
        <w:rPr>
          <w:rStyle w:val="OperatorTok"/>
        </w:rPr>
        <w:t xml:space="preserve">=</w:t>
      </w:r>
      <w:r>
        <w:rPr>
          <w:rStyle w:val="NormalTok"/>
        </w:rPr>
        <w:t xml:space="preserve"> Ed25519PrivateKey.generate()</w:t>
      </w:r>
      <w:r>
        <w:br/>
      </w:r>
      <w:r>
        <w:rPr>
          <w:rStyle w:val="NormalTok"/>
        </w:rPr>
        <w:t xml:space="preserve">verify_key </w:t>
      </w:r>
      <w:r>
        <w:rPr>
          <w:rStyle w:val="OperatorTok"/>
        </w:rPr>
        <w:t xml:space="preserve">=</w:t>
      </w:r>
      <w:r>
        <w:rPr>
          <w:rStyle w:val="NormalTok"/>
        </w:rPr>
        <w:t xml:space="preserve"> signing_key.public_key()</w:t>
      </w:r>
      <w:r>
        <w:br/>
      </w:r>
      <w:r>
        <w:rPr>
          <w:rStyle w:val="NormalTok"/>
        </w:rPr>
        <w:t xml:space="preserve">release </w:t>
      </w:r>
      <w:r>
        <w:rPr>
          <w:rStyle w:val="OperatorTok"/>
        </w:rPr>
        <w:t xml:space="preserve">=</w:t>
      </w:r>
      <w:r>
        <w:rPr>
          <w:rStyle w:val="NormalTok"/>
        </w:rPr>
        <w:t xml:space="preserve"> </w:t>
      </w:r>
      <w:r>
        <w:rPr>
          <w:rStyle w:val="StringTok"/>
        </w:rPr>
        <w:t xml:space="preserve">b"release v2.4.1 sha256=9f86d08..."</w:t>
      </w:r>
      <w:r>
        <w:br/>
      </w:r>
      <w:r>
        <w:rPr>
          <w:rStyle w:val="NormalTok"/>
        </w:rPr>
        <w:t xml:space="preserve">sig </w:t>
      </w:r>
      <w:r>
        <w:rPr>
          <w:rStyle w:val="OperatorTok"/>
        </w:rPr>
        <w:t xml:space="preserve">=</w:t>
      </w:r>
      <w:r>
        <w:rPr>
          <w:rStyle w:val="NormalTok"/>
        </w:rPr>
        <w:t xml:space="preserve"> signing_key.sign(release)</w:t>
      </w:r>
      <w:r>
        <w:br/>
      </w:r>
      <w:r>
        <w:rPr>
          <w:rStyle w:val="BuiltInTok"/>
        </w:rPr>
        <w:t xml:space="preserve">print</w:t>
      </w:r>
      <w:r>
        <w:rPr>
          <w:rStyle w:val="NormalTok"/>
        </w:rPr>
        <w:t xml:space="preserve">(</w:t>
      </w:r>
      <w:r>
        <w:rPr>
          <w:rStyle w:val="StringTok"/>
        </w:rPr>
        <w:t xml:space="preserve">"signature bytes:"</w:t>
      </w:r>
      <w:r>
        <w:rPr>
          <w:rStyle w:val="NormalTok"/>
        </w:rPr>
        <w:t xml:space="preserve">, </w:t>
      </w:r>
      <w:r>
        <w:rPr>
          <w:rStyle w:val="BuiltInTok"/>
        </w:rPr>
        <w:t xml:space="preserve">len</w:t>
      </w:r>
      <w:r>
        <w:rPr>
          <w:rStyle w:val="NormalTok"/>
        </w:rPr>
        <w:t xml:space="preserve">(sig))</w:t>
      </w:r>
      <w:r>
        <w:br/>
      </w:r>
      <w:r>
        <w:rPr>
          <w:rStyle w:val="NormalTok"/>
        </w:rPr>
        <w:t xml:space="preserve">verify_key.verify(sig, release)              </w:t>
      </w:r>
      <w:r>
        <w:rPr>
          <w:rStyle w:val="CommentTok"/>
        </w:rPr>
        <w:t xml:space="preserve"># raises if invalid</w:t>
      </w:r>
      <w:r>
        <w:br/>
      </w:r>
      <w:r>
        <w:rPr>
          <w:rStyle w:val="ControlFlowTok"/>
        </w:rPr>
        <w:t xml:space="preserve">try</w:t>
      </w:r>
      <w:r>
        <w:rPr>
          <w:rStyle w:val="NormalTok"/>
        </w:rPr>
        <w:t xml:space="preserve">:</w:t>
      </w:r>
      <w:r>
        <w:br/>
      </w:r>
      <w:r>
        <w:rPr>
          <w:rStyle w:val="NormalTok"/>
        </w:rPr>
        <w:t xml:space="preserve">    verify_key.verify(sig, release </w:t>
      </w:r>
      <w:r>
        <w:rPr>
          <w:rStyle w:val="OperatorTok"/>
        </w:rPr>
        <w:t xml:space="preserve">+</w:t>
      </w:r>
      <w:r>
        <w:rPr>
          <w:rStyle w:val="NormalTok"/>
        </w:rPr>
        <w:t xml:space="preserve"> </w:t>
      </w:r>
      <w:r>
        <w:rPr>
          <w:rStyle w:val="StringTok"/>
        </w:rPr>
        <w:t xml:space="preserve">b"!"</w:t>
      </w:r>
      <w:r>
        <w:rPr>
          <w:rStyle w:val="NormalTok"/>
        </w:rPr>
        <w:t xml:space="preserve">)</w:t>
      </w:r>
      <w:r>
        <w:br/>
      </w:r>
      <w:r>
        <w:rPr>
          <w:rStyle w:val="ControlFlowTok"/>
        </w:rPr>
        <w:t xml:space="preserve">except</w:t>
      </w:r>
      <w:r>
        <w:rPr>
          <w:rStyle w:val="NormalTok"/>
        </w:rPr>
        <w:t xml:space="preserve"> InvalidSignature:</w:t>
      </w:r>
      <w:r>
        <w:br/>
      </w:r>
      <w:r>
        <w:rPr>
          <w:rStyle w:val="NormalTok"/>
        </w:rPr>
        <w:t xml:space="preserve">    </w:t>
      </w:r>
      <w:r>
        <w:rPr>
          <w:rStyle w:val="BuiltInTok"/>
        </w:rPr>
        <w:t xml:space="preserve">print</w:t>
      </w:r>
      <w:r>
        <w:rPr>
          <w:rStyle w:val="NormalTok"/>
        </w:rPr>
        <w:t xml:space="preserve">(</w:t>
      </w:r>
      <w:r>
        <w:rPr>
          <w:rStyle w:val="StringTok"/>
        </w:rPr>
        <w:t xml:space="preserve">"modified message -&gt; InvalidSignature"</w:t>
      </w:r>
      <w:r>
        <w:rPr>
          <w:rStyle w:val="NormalTok"/>
        </w:rPr>
        <w:t xml:space="preserve">)</w:t>
      </w:r>
      <w:r>
        <w:br/>
      </w:r>
      <w:r>
        <w:br/>
      </w:r>
      <w:r>
        <w:rPr>
          <w:rStyle w:val="CommentTok"/>
        </w:rPr>
        <w:t xml:space="preserve"># --- 3. Key agreement: X25519 + HKDF ---</w:t>
      </w:r>
      <w:r>
        <w:br/>
      </w:r>
      <w:r>
        <w:rPr>
          <w:rStyle w:val="NormalTok"/>
        </w:rPr>
        <w:t xml:space="preserve">alice, bob </w:t>
      </w:r>
      <w:r>
        <w:rPr>
          <w:rStyle w:val="OperatorTok"/>
        </w:rPr>
        <w:t xml:space="preserve">=</w:t>
      </w:r>
      <w:r>
        <w:rPr>
          <w:rStyle w:val="NormalTok"/>
        </w:rPr>
        <w:t xml:space="preserve"> X25519PrivateKey.generate(), X25519PrivateKey.generate()</w:t>
      </w:r>
      <w:r>
        <w:br/>
      </w:r>
      <w:r>
        <w:rPr>
          <w:rStyle w:val="NormalTok"/>
        </w:rPr>
        <w:t xml:space="preserve">shared_a </w:t>
      </w:r>
      <w:r>
        <w:rPr>
          <w:rStyle w:val="OperatorTok"/>
        </w:rPr>
        <w:t xml:space="preserve">=</w:t>
      </w:r>
      <w:r>
        <w:rPr>
          <w:rStyle w:val="NormalTok"/>
        </w:rPr>
        <w:t xml:space="preserve"> alice.exchange(bob.public_key())  </w:t>
      </w:r>
      <w:r>
        <w:rPr>
          <w:rStyle w:val="CommentTok"/>
        </w:rPr>
        <w:t xml:space="preserve"># only public keys cross the network</w:t>
      </w:r>
      <w:r>
        <w:br/>
      </w:r>
      <w:r>
        <w:rPr>
          <w:rStyle w:val="NormalTok"/>
        </w:rPr>
        <w:t xml:space="preserve">shared_b </w:t>
      </w:r>
      <w:r>
        <w:rPr>
          <w:rStyle w:val="OperatorTok"/>
        </w:rPr>
        <w:t xml:space="preserve">=</w:t>
      </w:r>
      <w:r>
        <w:rPr>
          <w:rStyle w:val="NormalTok"/>
        </w:rPr>
        <w:t xml:space="preserve"> bob.exchange(alice.public_key())</w:t>
      </w:r>
      <w:r>
        <w:br/>
      </w:r>
      <w:r>
        <w:rPr>
          <w:rStyle w:val="ControlFlowTok"/>
        </w:rPr>
        <w:t xml:space="preserve">assert</w:t>
      </w:r>
      <w:r>
        <w:rPr>
          <w:rStyle w:val="NormalTok"/>
        </w:rPr>
        <w:t xml:space="preserve"> shared_a </w:t>
      </w:r>
      <w:r>
        <w:rPr>
          <w:rStyle w:val="OperatorTok"/>
        </w:rPr>
        <w:t xml:space="preserve">==</w:t>
      </w:r>
      <w:r>
        <w:rPr>
          <w:rStyle w:val="NormalTok"/>
        </w:rPr>
        <w:t xml:space="preserve"> shared_b</w:t>
      </w:r>
      <w:r>
        <w:br/>
      </w:r>
      <w:r>
        <w:rPr>
          <w:rStyle w:val="NormalTok"/>
        </w:rPr>
        <w:t xml:space="preserve">session_key </w:t>
      </w:r>
      <w:r>
        <w:rPr>
          <w:rStyle w:val="OperatorTok"/>
        </w:rPr>
        <w:t xml:space="preserve">=</w:t>
      </w:r>
      <w:r>
        <w:rPr>
          <w:rStyle w:val="NormalTok"/>
        </w:rPr>
        <w:t xml:space="preserve"> HKDF(algorithm</w:t>
      </w:r>
      <w:r>
        <w:rPr>
          <w:rStyle w:val="OperatorTok"/>
        </w:rPr>
        <w:t xml:space="preserve">=</w:t>
      </w:r>
      <w:r>
        <w:rPr>
          <w:rStyle w:val="NormalTok"/>
        </w:rPr>
        <w:t xml:space="preserve">hashes.SHA256(), length</w:t>
      </w:r>
      <w:r>
        <w:rPr>
          <w:rStyle w:val="OperatorTok"/>
        </w:rPr>
        <w:t xml:space="preserve">=</w:t>
      </w:r>
      <w:r>
        <w:rPr>
          <w:rStyle w:val="DecValTok"/>
        </w:rPr>
        <w:t xml:space="preserve">32</w:t>
      </w:r>
      <w:r>
        <w:rPr>
          <w:rStyle w:val="NormalTok"/>
        </w:rPr>
        <w:t xml:space="preserve">, salt</w:t>
      </w:r>
      <w:r>
        <w:rPr>
          <w:rStyle w:val="OperatorTok"/>
        </w:rPr>
        <w:t xml:space="preserve">=</w:t>
      </w:r>
      <w:r>
        <w:rPr>
          <w:rStyle w:val="VariableTok"/>
        </w:rPr>
        <w:t xml:space="preserve">None</w:t>
      </w:r>
      <w:r>
        <w:rPr>
          <w:rStyle w:val="NormalTok"/>
        </w:rPr>
        <w:t xml:space="preserve">,</w:t>
      </w:r>
      <w:r>
        <w:br/>
      </w:r>
      <w:r>
        <w:rPr>
          <w:rStyle w:val="NormalTok"/>
        </w:rPr>
        <w:t xml:space="preserve">                   info</w:t>
      </w:r>
      <w:r>
        <w:rPr>
          <w:rStyle w:val="OperatorTok"/>
        </w:rPr>
        <w:t xml:space="preserve">=</w:t>
      </w:r>
      <w:r>
        <w:rPr>
          <w:rStyle w:val="StringTok"/>
        </w:rPr>
        <w:t xml:space="preserve">b"example-protocol v1 session key"</w:t>
      </w:r>
      <w:r>
        <w:rPr>
          <w:rStyle w:val="NormalTok"/>
        </w:rPr>
        <w:t xml:space="preserve">).derive(shared_a)</w:t>
      </w:r>
      <w:r>
        <w:br/>
      </w:r>
      <w:r>
        <w:rPr>
          <w:rStyle w:val="BuiltInTok"/>
        </w:rPr>
        <w:t xml:space="preserve">print</w:t>
      </w:r>
      <w:r>
        <w:rPr>
          <w:rStyle w:val="NormalTok"/>
        </w:rPr>
        <w:t xml:space="preserve">(</w:t>
      </w:r>
      <w:r>
        <w:rPr>
          <w:rStyle w:val="StringTok"/>
        </w:rPr>
        <w:t xml:space="preserve">"both sides derived the same 256-bit session key:"</w:t>
      </w:r>
      <w:r>
        <w:rPr>
          <w:rStyle w:val="NormalTok"/>
        </w:rPr>
        <w:t xml:space="preserve">, session_key.</w:t>
      </w:r>
      <w:r>
        <w:rPr>
          <w:rStyle w:val="BuiltInTok"/>
        </w:rPr>
        <w:t xml:space="preserve">hex</w:t>
      </w:r>
      <w:r>
        <w:rPr>
          <w:rStyle w:val="NormalTok"/>
        </w:rPr>
        <w:t xml:space="preserve">()[:</w:t>
      </w:r>
      <w:r>
        <w:rPr>
          <w:rStyle w:val="DecValTok"/>
        </w:rPr>
        <w:t xml:space="preserve">16</w:t>
      </w:r>
      <w:r>
        <w:rPr>
          <w:rStyle w:val="NormalTok"/>
        </w:rPr>
        <w:t xml:space="preserve">], </w:t>
      </w:r>
      <w:r>
        <w:rPr>
          <w:rStyle w:val="StringTok"/>
        </w:rPr>
        <w:t xml:space="preserve">"..."</w:t>
      </w:r>
      <w:r>
        <w:rPr>
          <w:rStyle w:val="NormalTok"/>
        </w:rPr>
        <w:t xml:space="preserve">)</w:t>
      </w:r>
    </w:p>
    <w:p>
      <w:pPr>
        <w:pStyle w:val="FirstParagraph"/>
      </w:pPr>
      <w:r>
        <w:t xml:space="preserve">Tested with</w:t>
      </w:r>
      <w:r>
        <w:t xml:space="preserve"> </w:t>
      </w:r>
      <w:r>
        <w:rPr>
          <w:rStyle w:val="VerbatimChar"/>
        </w:rPr>
        <w:t xml:space="preserve">cryptography</w:t>
      </w:r>
      <w:r>
        <w:t xml:space="preserve"> </w:t>
      </w:r>
      <w:r>
        <w:t xml:space="preserve">50.0.1: decryption succeeds with the right AAD; a changed AAD or a single flipped ciphertext bit raises</w:t>
      </w:r>
      <w:r>
        <w:t xml:space="preserve"> </w:t>
      </w:r>
      <w:r>
        <w:rPr>
          <w:rStyle w:val="VerbatimChar"/>
        </w:rPr>
        <w:t xml:space="preserve">InvalidTag</w:t>
      </w:r>
      <w:r>
        <w:t xml:space="preserve">; a modified release string raises</w:t>
      </w:r>
      <w:r>
        <w:t xml:space="preserve"> </w:t>
      </w:r>
      <w:r>
        <w:rPr>
          <w:rStyle w:val="VerbatimChar"/>
        </w:rPr>
        <w:t xml:space="preserve">InvalidSignature</w:t>
      </w:r>
      <w:r>
        <w:t xml:space="preserve">; both X25519 parties derive the same key.</w:t>
      </w:r>
    </w:p>
    <w:p>
      <w:pPr>
        <w:pStyle w:val="BodyText"/>
      </w:pPr>
      <w:r>
        <w:t xml:space="preserve">What to notice:</w:t>
      </w:r>
    </w:p>
    <w:p>
      <w:pPr>
        <w:numPr>
          <w:ilvl w:val="0"/>
          <w:numId w:val="1342"/>
        </w:numPr>
        <w:pStyle w:val="Compact"/>
      </w:pPr>
      <w:r>
        <w:t xml:space="preserve">The 16-byte plaintext became 32 bytes: GCM ciphertext is the same length as the plaintext plus a 16-byte tag. The 12-byte nonce must be stored alongside it (it is not secret).</w:t>
      </w:r>
    </w:p>
    <w:p>
      <w:pPr>
        <w:numPr>
          <w:ilvl w:val="0"/>
          <w:numId w:val="1342"/>
        </w:numPr>
        <w:pStyle w:val="Compact"/>
      </w:pPr>
      <w:r>
        <w:t xml:space="preserve">Decryption fails</w:t>
      </w:r>
      <w:r>
        <w:t xml:space="preserve"> </w:t>
      </w:r>
      <w:r>
        <w:rPr>
          <w:iCs/>
          <w:i/>
        </w:rPr>
        <w:t xml:space="preserve">loudly</w:t>
      </w:r>
      <w:r>
        <w:t xml:space="preserve"> </w:t>
      </w:r>
      <w:r>
        <w:t xml:space="preserve">on any tampering or context mismatch; there is no way to obtain partially decrypted garbage.</w:t>
      </w:r>
    </w:p>
    <w:p>
      <w:pPr>
        <w:numPr>
          <w:ilvl w:val="0"/>
          <w:numId w:val="1342"/>
        </w:numPr>
        <w:pStyle w:val="Compact"/>
      </w:pPr>
      <w:r>
        <w:t xml:space="preserve">The raw X25519 output is never used directly as a key; HKDF with a protocol-specific</w:t>
      </w:r>
      <w:r>
        <w:t xml:space="preserve"> </w:t>
      </w:r>
      <w:r>
        <w:rPr>
          <w:rStyle w:val="VerbatimChar"/>
        </w:rPr>
        <w:t xml:space="preserve">info</w:t>
      </w:r>
      <w:r>
        <w:t xml:space="preserve"> </w:t>
      </w:r>
      <w:r>
        <w:t xml:space="preserve">string turns it into a uniformly random key bound to its purpose.</w:t>
      </w:r>
    </w:p>
    <w:p>
      <w:pPr>
        <w:pStyle w:val="FirstParagraph"/>
      </w:pPr>
      <w:r>
        <w:rPr>
          <w:bCs/>
          <w:b/>
        </w:rPr>
        <w:t xml:space="preserve">Table 10.6 — Hash vs MAC vs signature vs encryption.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pPr>
          </w:p>
        </w:tc>
        <w:tc>
          <w:tcPr/>
          <w:p>
            <w:pPr>
              <w:pStyle w:val="Compact"/>
              <w:jc w:val="left"/>
            </w:pPr>
            <w:r>
              <w:t xml:space="preserve">Hash</w:t>
            </w:r>
          </w:p>
        </w:tc>
        <w:tc>
          <w:tcPr/>
          <w:p>
            <w:pPr>
              <w:pStyle w:val="Compact"/>
              <w:jc w:val="left"/>
            </w:pPr>
            <w:r>
              <w:t xml:space="preserve">MAC (HMAC)</w:t>
            </w:r>
          </w:p>
        </w:tc>
        <w:tc>
          <w:tcPr/>
          <w:p>
            <w:pPr>
              <w:pStyle w:val="Compact"/>
              <w:jc w:val="left"/>
            </w:pPr>
            <w:r>
              <w:t xml:space="preserve">Digital signature</w:t>
            </w:r>
          </w:p>
        </w:tc>
        <w:tc>
          <w:tcPr/>
          <w:p>
            <w:pPr>
              <w:pStyle w:val="Compact"/>
              <w:jc w:val="left"/>
            </w:pPr>
            <w:r>
              <w:t xml:space="preserve">AEAD encryption</w:t>
            </w:r>
          </w:p>
        </w:tc>
      </w:tr>
      <w:tr>
        <w:tc>
          <w:tcPr/>
          <w:p>
            <w:pPr>
              <w:pStyle w:val="Compact"/>
              <w:jc w:val="left"/>
            </w:pPr>
            <w:r>
              <w:t xml:space="preserve">Confidentiality</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Integrity</w:t>
            </w:r>
          </w:p>
        </w:tc>
        <w:tc>
          <w:tcPr/>
          <w:p>
            <w:pPr>
              <w:pStyle w:val="Compact"/>
              <w:jc w:val="left"/>
            </w:pPr>
            <w:r>
              <w:t xml:space="preserve">Only against a trusted digest</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Authenticity</w:t>
            </w:r>
          </w:p>
        </w:tc>
        <w:tc>
          <w:tcPr/>
          <w:p>
            <w:pPr>
              <w:pStyle w:val="Compact"/>
              <w:jc w:val="left"/>
            </w:pPr>
            <w:r>
              <w:t xml:space="preserve">No</w:t>
            </w:r>
          </w:p>
        </w:tc>
        <w:tc>
          <w:tcPr/>
          <w:p>
            <w:pPr>
              <w:pStyle w:val="Compact"/>
              <w:jc w:val="left"/>
            </w:pPr>
            <w:r>
              <w:t xml:space="preserve">Yes, among key holders</w:t>
            </w:r>
          </w:p>
        </w:tc>
        <w:tc>
          <w:tcPr/>
          <w:p>
            <w:pPr>
              <w:pStyle w:val="Compact"/>
              <w:jc w:val="left"/>
            </w:pPr>
            <w:r>
              <w:t xml:space="preserve">Yes, publicly verifiable</w:t>
            </w:r>
          </w:p>
        </w:tc>
        <w:tc>
          <w:tcPr/>
          <w:p>
            <w:pPr>
              <w:pStyle w:val="Compact"/>
              <w:jc w:val="left"/>
            </w:pPr>
            <w:r>
              <w:t xml:space="preserve">Yes, among key holders</w:t>
            </w:r>
          </w:p>
        </w:tc>
      </w:tr>
      <w:tr>
        <w:tc>
          <w:tcPr/>
          <w:p>
            <w:pPr>
              <w:pStyle w:val="Compact"/>
              <w:jc w:val="left"/>
            </w:pPr>
            <w:r>
              <w:t xml:space="preserve">Non-repudiation</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Key</w:t>
            </w:r>
          </w:p>
        </w:tc>
        <w:tc>
          <w:tcPr/>
          <w:p>
            <w:pPr>
              <w:pStyle w:val="Compact"/>
              <w:jc w:val="left"/>
            </w:pPr>
            <w:r>
              <w:t xml:space="preserve">None</w:t>
            </w:r>
          </w:p>
        </w:tc>
        <w:tc>
          <w:tcPr/>
          <w:p>
            <w:pPr>
              <w:pStyle w:val="Compact"/>
              <w:jc w:val="left"/>
            </w:pPr>
            <w:r>
              <w:t xml:space="preserve">Shared secret</w:t>
            </w:r>
          </w:p>
        </w:tc>
        <w:tc>
          <w:tcPr/>
          <w:p>
            <w:pPr>
              <w:pStyle w:val="Compact"/>
              <w:jc w:val="left"/>
            </w:pPr>
            <w:r>
              <w:t xml:space="preserve">Private / public pair</w:t>
            </w:r>
          </w:p>
        </w:tc>
        <w:tc>
          <w:tcPr/>
          <w:p>
            <w:pPr>
              <w:pStyle w:val="Compact"/>
              <w:jc w:val="left"/>
            </w:pPr>
            <w:r>
              <w:t xml:space="preserve">Shared secret</w:t>
            </w:r>
          </w:p>
        </w:tc>
      </w:tr>
      <w:tr>
        <w:tc>
          <w:tcPr/>
          <w:p>
            <w:pPr>
              <w:pStyle w:val="Compact"/>
              <w:jc w:val="left"/>
            </w:pPr>
            <w:r>
              <w:t xml:space="preserve">Speed</w:t>
            </w:r>
          </w:p>
        </w:tc>
        <w:tc>
          <w:tcPr/>
          <w:p>
            <w:pPr>
              <w:pStyle w:val="Compact"/>
              <w:jc w:val="left"/>
            </w:pPr>
            <w:r>
              <w:t xml:space="preserve">GB/s</w:t>
            </w:r>
          </w:p>
        </w:tc>
        <w:tc>
          <w:tcPr/>
          <w:p>
            <w:pPr>
              <w:pStyle w:val="Compact"/>
              <w:jc w:val="left"/>
            </w:pPr>
            <w:r>
              <w:t xml:space="preserve">GB/s</w:t>
            </w:r>
          </w:p>
        </w:tc>
        <w:tc>
          <w:tcPr/>
          <w:p>
            <w:pPr>
              <w:pStyle w:val="Compact"/>
              <w:jc w:val="left"/>
            </w:pPr>
            <w:r>
              <w:t xml:space="preserve">~10⁴–10⁵ signatures/s per core (Ed25519)</w:t>
            </w:r>
          </w:p>
        </w:tc>
        <w:tc>
          <w:tcPr/>
          <w:p>
            <w:pPr>
              <w:pStyle w:val="Compact"/>
              <w:jc w:val="left"/>
            </w:pPr>
            <w:r>
              <w:t xml:space="preserve">GB/s with AES-NI</w:t>
            </w:r>
          </w:p>
        </w:tc>
      </w:tr>
      <w:tr>
        <w:tc>
          <w:tcPr/>
          <w:p>
            <w:pPr>
              <w:pStyle w:val="Compact"/>
              <w:jc w:val="left"/>
            </w:pPr>
            <w:r>
              <w:t xml:space="preserve">Typical use</w:t>
            </w:r>
          </w:p>
        </w:tc>
        <w:tc>
          <w:tcPr/>
          <w:p>
            <w:pPr>
              <w:pStyle w:val="Compact"/>
              <w:jc w:val="left"/>
            </w:pPr>
            <w:r>
              <w:t xml:space="preserve">Checksums, content addressing, Merkle trees</w:t>
            </w:r>
          </w:p>
        </w:tc>
        <w:tc>
          <w:tcPr/>
          <w:p>
            <w:pPr>
              <w:pStyle w:val="Compact"/>
              <w:jc w:val="left"/>
            </w:pPr>
            <w:r>
              <w:t xml:space="preserve">Webhooks, API request signing, cookies</w:t>
            </w:r>
          </w:p>
        </w:tc>
        <w:tc>
          <w:tcPr/>
          <w:p>
            <w:pPr>
              <w:pStyle w:val="Compact"/>
              <w:jc w:val="left"/>
            </w:pPr>
            <w:r>
              <w:t xml:space="preserve">Software updates, certificates, JWT (RS/ES), audit anchors</w:t>
            </w:r>
          </w:p>
        </w:tc>
        <w:tc>
          <w:tcPr/>
          <w:p>
            <w:pPr>
              <w:pStyle w:val="Compact"/>
              <w:jc w:val="left"/>
            </w:pPr>
            <w:r>
              <w:t xml:space="preserve">Data at rest and in transit</w:t>
            </w:r>
          </w:p>
        </w:tc>
      </w:tr>
    </w:tbl>
    <w:bookmarkEnd w:id="1118"/>
    <w:bookmarkStart w:id="1119" w:name="common-misconceptions-23"/>
    <w:p>
      <w:pPr>
        <w:pStyle w:val="Heading4"/>
      </w:pPr>
      <w:r>
        <w:t xml:space="preserve">Common misconceptions</w:t>
      </w:r>
    </w:p>
    <w:p>
      <w:pPr>
        <w:pStyle w:val="CalloutMistake"/>
      </w:pPr>
      <w:r>
        <w:rPr>
          <w:bCs/>
          <w:b/>
        </w:rPr>
        <w:t xml:space="preserve">COMMON MISTAKE</w:t>
      </w:r>
    </w:p>
    <w:p>
      <w:pPr>
        <w:pStyle w:val="CalloutMistake"/>
      </w:pPr>
      <w:r>
        <w:rPr>
          <w:bCs/>
          <w:b/>
        </w:rPr>
        <w:t xml:space="preserve">“</w:t>
      </w:r>
      <w:r>
        <w:rPr>
          <w:bCs/>
          <w:b/>
        </w:rPr>
        <w:t xml:space="preserve">Encoding, hashing and encryption are interchangeable.</w:t>
      </w:r>
      <w:r>
        <w:rPr>
          <w:bCs/>
          <w:b/>
        </w:rPr>
        <w:t xml:space="preserve">”</w:t>
      </w:r>
      <w:r>
        <w:t xml:space="preserve"> </w:t>
      </w:r>
      <w:r>
        <w:t xml:space="preserve">Base64 is an</w:t>
      </w:r>
      <w:r>
        <w:t xml:space="preserve"> </w:t>
      </w:r>
      <w:r>
        <w:rPr>
          <w:iCs/>
          <w:i/>
        </w:rPr>
        <w:t xml:space="preserve">encoding</w:t>
      </w:r>
      <w:r>
        <w:t xml:space="preserve">: reversible by anyone, provides no security. A hash is one-way and keyless: anyone can compute it, so it cannot keep a low-entropy value (a phone number, a password) secret — an attacker hashes every candidate. Encryption is reversible</w:t>
      </w:r>
      <w:r>
        <w:t xml:space="preserve"> </w:t>
      </w:r>
      <w:r>
        <w:rPr>
          <w:iCs/>
          <w:i/>
        </w:rPr>
        <w:t xml:space="preserve">with the key</w:t>
      </w:r>
      <w:r>
        <w:t xml:space="preserve">. Kubernetes Secrets stored as base64 in etcd without encryption at rest are, from a security standpoint, plaintext.</w:t>
      </w:r>
    </w:p>
    <w:bookmarkEnd w:id="1119"/>
    <w:bookmarkEnd w:id="1120"/>
    <w:bookmarkEnd w:id="1121"/>
    <w:bookmarkStart w:id="1128" w:name="pki-and-certificates"/>
    <w:p>
      <w:pPr>
        <w:pStyle w:val="Heading2"/>
      </w:pPr>
      <w:r>
        <w:t xml:space="preserve">10.5 PKI and certificates</w:t>
      </w:r>
    </w:p>
    <w:p>
      <w:pPr>
        <w:pStyle w:val="CalloutDefinition"/>
      </w:pPr>
      <w:r>
        <w:rPr>
          <w:bCs/>
          <w:b/>
        </w:rPr>
        <w:t xml:space="preserve">DEFINITION</w:t>
      </w:r>
    </w:p>
    <w:p>
      <w:pPr>
        <w:pStyle w:val="CalloutDefinition"/>
      </w:pPr>
      <w:r>
        <w:rPr>
          <w:bCs/>
          <w:b/>
        </w:rPr>
        <w:t xml:space="preserve">Definition — Public key infrastructure (PKI).</w:t>
      </w:r>
      <w:r>
        <w:t xml:space="preserve"> </w:t>
      </w:r>
      <w:r>
        <w:t xml:space="preserve">The set of roles, policies and systems that bind public keys to identities. A</w:t>
      </w:r>
      <w:r>
        <w:t xml:space="preserve"> </w:t>
      </w:r>
      <w:r>
        <w:rPr>
          <w:bCs/>
          <w:b/>
        </w:rPr>
        <w:t xml:space="preserve">certificate</w:t>
      </w:r>
      <w:r>
        <w:t xml:space="preserve"> </w:t>
      </w:r>
      <w:r>
        <w:t xml:space="preserve">(X.509) is a document stating</w:t>
      </w:r>
      <w:r>
        <w:t xml:space="preserve"> </w:t>
      </w:r>
      <w:r>
        <w:t xml:space="preserve">“</w:t>
      </w:r>
      <w:r>
        <w:t xml:space="preserve">this public key belongs to this name (for example</w:t>
      </w:r>
      <w:r>
        <w:t xml:space="preserve"> </w:t>
      </w:r>
      <w:r>
        <w:rPr>
          <w:rStyle w:val="VerbatimChar"/>
        </w:rPr>
        <w:t xml:space="preserve">api.example.com</w:t>
      </w:r>
      <w:r>
        <w:t xml:space="preserve">), valid from date A to date B</w:t>
      </w:r>
      <w:r>
        <w:t xml:space="preserve">”</w:t>
      </w:r>
      <w:r>
        <w:t xml:space="preserve">, signed by a</w:t>
      </w:r>
      <w:r>
        <w:t xml:space="preserve"> </w:t>
      </w:r>
      <w:r>
        <w:rPr>
          <w:bCs/>
          <w:b/>
        </w:rPr>
        <w:t xml:space="preserve">certificate authority (CA)</w:t>
      </w:r>
      <w:r>
        <w:t xml:space="preserve">. A client trusts a certificate if it can build a</w:t>
      </w:r>
      <w:r>
        <w:t xml:space="preserve"> </w:t>
      </w:r>
      <w:r>
        <w:rPr>
          <w:bCs/>
          <w:b/>
        </w:rPr>
        <w:t xml:space="preserve">chain</w:t>
      </w:r>
      <w:r>
        <w:t xml:space="preserve"> </w:t>
      </w:r>
      <w:r>
        <w:t xml:space="preserve">of valid signatures from it to a</w:t>
      </w:r>
      <w:r>
        <w:t xml:space="preserve"> </w:t>
      </w:r>
      <w:r>
        <w:rPr>
          <w:bCs/>
          <w:b/>
        </w:rPr>
        <w:t xml:space="preserve">root CA</w:t>
      </w:r>
      <w:r>
        <w:t xml:space="preserve"> </w:t>
      </w:r>
      <w:r>
        <w:t xml:space="preserve">certificate in its local</w:t>
      </w:r>
      <w:r>
        <w:t xml:space="preserve"> </w:t>
      </w:r>
      <w:r>
        <w:rPr>
          <w:bCs/>
          <w:b/>
        </w:rPr>
        <w:t xml:space="preserve">trust store</w:t>
      </w:r>
      <w:r>
        <w:t xml:space="preserve">.</w:t>
      </w:r>
    </w:p>
    <w:bookmarkStart w:id="1122" w:name="first-principles-explanation-59"/>
    <w:p>
      <w:pPr>
        <w:pStyle w:val="Heading3"/>
      </w:pPr>
      <w:r>
        <w:t xml:space="preserve">First-principles explanation</w:t>
      </w:r>
    </w:p>
    <w:p>
      <w:pPr>
        <w:pStyle w:val="FirstParagraph"/>
      </w:pPr>
      <w:r>
        <w:t xml:space="preserve">Asymmetric cryptography lets anyone lock a box with your padlock — but how does a stranger know the padlock in the bowl is</w:t>
      </w:r>
      <w:r>
        <w:t xml:space="preserve"> </w:t>
      </w:r>
      <w:r>
        <w:rPr>
          <w:iCs/>
          <w:i/>
        </w:rPr>
        <w:t xml:space="preserve">yours</w:t>
      </w:r>
      <w:r>
        <w:t xml:space="preserve"> </w:t>
      </w:r>
      <w:r>
        <w:t xml:space="preserve">and not one an impostor swapped in? A passport solves the same problem for people: a government you already trust vouches for the link between a photo and a name. A CA is that government for public keys. Your browser or operating system ships with roughly a hundred-odd root CA certificates (the exact number varies by vendor), and it trusts any certificate that chains back to one of them.</w:t>
      </w:r>
    </w:p>
    <w:bookmarkEnd w:id="1122"/>
    <w:bookmarkStart w:id="1126" w:name="how-it-works-internally-38"/>
    <w:p>
      <w:pPr>
        <w:pStyle w:val="Heading3"/>
      </w:pPr>
      <w:r>
        <w:t xml:space="preserve">How it works internally</w:t>
      </w:r>
    </w:p>
    <w:p>
      <w:pPr>
        <w:numPr>
          <w:ilvl w:val="0"/>
          <w:numId w:val="1343"/>
        </w:numPr>
        <w:pStyle w:val="Compact"/>
      </w:pPr>
      <w:r>
        <w:t xml:space="preserve">The server operator generates a key pair and sends the CA a</w:t>
      </w:r>
      <w:r>
        <w:t xml:space="preserve"> </w:t>
      </w:r>
      <w:r>
        <w:rPr>
          <w:bCs/>
          <w:b/>
        </w:rPr>
        <w:t xml:space="preserve">certificate signing request</w:t>
      </w:r>
      <w:r>
        <w:t xml:space="preserve"> </w:t>
      </w:r>
      <w:r>
        <w:t xml:space="preserve">containing the public key and the domain name.</w:t>
      </w:r>
    </w:p>
    <w:p>
      <w:pPr>
        <w:numPr>
          <w:ilvl w:val="0"/>
          <w:numId w:val="1343"/>
        </w:numPr>
        <w:pStyle w:val="Compact"/>
      </w:pPr>
      <w:r>
        <w:t xml:space="preserve">The CA verifies control of the domain — for automated CAs, via the</w:t>
      </w:r>
      <w:r>
        <w:t xml:space="preserve"> </w:t>
      </w:r>
      <w:r>
        <w:rPr>
          <w:bCs/>
          <w:b/>
        </w:rPr>
        <w:t xml:space="preserve">ACME</w:t>
      </w:r>
      <w:r>
        <w:t xml:space="preserve"> </w:t>
      </w:r>
      <w:r>
        <w:t xml:space="preserve">protocol (RFC 8555): placing a token at a well-known HTTP path or in a DNS TXT record.</w:t>
      </w:r>
    </w:p>
    <w:p>
      <w:pPr>
        <w:numPr>
          <w:ilvl w:val="0"/>
          <w:numId w:val="1343"/>
        </w:numPr>
        <w:pStyle w:val="Compact"/>
      </w:pPr>
      <w:r>
        <w:t xml:space="preserve">The CA signs a certificate using an</w:t>
      </w:r>
      <w:r>
        <w:t xml:space="preserve"> </w:t>
      </w:r>
      <w:r>
        <w:rPr>
          <w:bCs/>
          <w:b/>
        </w:rPr>
        <w:t xml:space="preserve">intermediate CA</w:t>
      </w:r>
      <w:r>
        <w:t xml:space="preserve"> </w:t>
      </w:r>
      <w:r>
        <w:t xml:space="preserve">key. Root keys are kept offline in hardware security modules and only sign intermediates, so a root key is used a few times per decade.</w:t>
      </w:r>
    </w:p>
    <w:p>
      <w:pPr>
        <w:numPr>
          <w:ilvl w:val="0"/>
          <w:numId w:val="1343"/>
        </w:numPr>
        <w:pStyle w:val="Compact"/>
      </w:pPr>
      <w:r>
        <w:t xml:space="preserve">In the TLS handshake the server sends its</w:t>
      </w:r>
      <w:r>
        <w:t xml:space="preserve"> </w:t>
      </w:r>
      <w:r>
        <w:rPr>
          <w:bCs/>
          <w:b/>
        </w:rPr>
        <w:t xml:space="preserve">leaf</w:t>
      </w:r>
      <w:r>
        <w:t xml:space="preserve"> </w:t>
      </w:r>
      <w:r>
        <w:t xml:space="preserve">certificate plus intermediates. The client checks each signature up to a trusted root, the validity dates, the domain name, key-usage constraints and revocation status.</w:t>
      </w:r>
    </w:p>
    <w:p>
      <w:pPr>
        <w:pStyle w:val="FirstParagraph"/>
      </w:pPr>
      <w:r>
        <w:rPr>
          <w:bCs/>
          <w:b/>
        </w:rPr>
        <w:t xml:space="preserve">Figure 10.4 — Certificate chain of trust and Certificate Transparency.</w:t>
      </w:r>
    </w:p>
    <w:p>
      <w:pPr>
        <w:pStyle w:val="BodyText"/>
      </w:pPr>
      <w:r>
        <w:drawing>
          <wp:inline>
            <wp:extent cx="5334000" cy="5134672"/>
            <wp:effectExtent b="0" l="0" r="0" t="0"/>
            <wp:docPr descr="" title="" id="1124" name="Picture"/>
            <a:graphic>
              <a:graphicData uri="http://schemas.openxmlformats.org/drawingml/2006/picture">
                <pic:pic>
                  <pic:nvPicPr>
                    <pic:cNvPr descr="/home/user/System-Design/build/.cache/diagrams/7b0b0d925ee6.png" id="1125" name="Picture"/>
                    <pic:cNvPicPr>
                      <a:picLocks noChangeArrowheads="1" noChangeAspect="1"/>
                    </pic:cNvPicPr>
                  </pic:nvPicPr>
                  <pic:blipFill>
                    <a:blip r:embed="rId1123"/>
                    <a:stretch>
                      <a:fillRect/>
                    </a:stretch>
                  </pic:blipFill>
                  <pic:spPr bwMode="auto">
                    <a:xfrm>
                      <a:off x="0" y="0"/>
                      <a:ext cx="5334000" cy="5134672"/>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Solid arrows show the signing hierarchy and the synchronous TLS path: the root signs the intermediate, the intermediate signs the leaf, and the server presents leaf plus intermediate to the client, which already holds the root. Dotted arrows show the asynchronous transparency path: before issuance the CA submits a precertificate to public append-only logs and embeds the logs’ signed timestamps in the final certificate; browsers that enforce CT reject publicly trusted certificates without them. A domain owner’s monitor watches the logs and alerts on any certificate for its names it did not request. Failure points: an expired leaf or intermediate (the most common certificate outage), a server that forgets to send the intermediate (works in some clients, fails in others), and a compromised or misbehaving CA — the reason CT exists.</w:t>
      </w:r>
    </w:p>
    <w:p>
      <w:pPr>
        <w:pStyle w:val="BodyText"/>
      </w:pPr>
      <w:r>
        <w:rPr>
          <w:bCs/>
          <w:b/>
        </w:rPr>
        <w:t xml:space="preserve">Revocation</w:t>
      </w:r>
      <w:r>
        <w:t xml:space="preserve"> </w:t>
      </w:r>
      <w:r>
        <w:t xml:space="preserve">— withdrawing a certificate before expiry because its key leaked — works poorly in practice: revocation lists grow large, online status checks (OCSP) add latency and leak browsing history, and clients usually</w:t>
      </w:r>
      <w:r>
        <w:t xml:space="preserve"> </w:t>
      </w:r>
      <w:r>
        <w:t xml:space="preserve">“</w:t>
      </w:r>
      <w:r>
        <w:t xml:space="preserve">soft-fail</w:t>
      </w:r>
      <w:r>
        <w:t xml:space="preserve">”</w:t>
      </w:r>
      <w:r>
        <w:t xml:space="preserve"> </w:t>
      </w:r>
      <w:r>
        <w:t xml:space="preserve">when the responder is unreachable. The industry’s answer is shorter lifetimes. Let’s Encrypt has issued 90-day certificates since 2015 to force automation, and in 2025 the CA/Browser Forum voted to shrink the maximum lifetime of publicly trusted TLS certificates in stages, reaching 47 days by 2029 (as of 2026; check the current Baseline Requirements).</w:t>
      </w:r>
    </w:p>
    <w:p>
      <w:pPr>
        <w:pStyle w:val="CalloutDefinition"/>
      </w:pPr>
      <w:r>
        <w:rPr>
          <w:bCs/>
          <w:b/>
        </w:rPr>
        <w:t xml:space="preserve">DEFINITION</w:t>
      </w:r>
    </w:p>
    <w:p>
      <w:pPr>
        <w:pStyle w:val="CalloutDefinition"/>
      </w:pPr>
      <w:r>
        <w:rPr>
          <w:bCs/>
          <w:b/>
        </w:rPr>
        <w:t xml:space="preserve">Definition — Certificate Transparency (CT).</w:t>
      </w:r>
      <w:r>
        <w:t xml:space="preserve"> </w:t>
      </w:r>
      <w:r>
        <w:t xml:space="preserve">A system of public, append-only, Merkle-tree-based logs into which CAs record every certificate they issue, so that mis-issued certificates become publicly detectable [RFC 6962].</w:t>
      </w:r>
    </w:p>
    <w:p>
      <w:pPr>
        <w:pStyle w:val="CalloutIndustry"/>
      </w:pPr>
      <w:r>
        <w:rPr>
          <w:bCs/>
          <w:b/>
        </w:rPr>
        <w:t xml:space="preserve">INDUSTRY EXAMPLE</w:t>
      </w:r>
    </w:p>
    <w:p>
      <w:pPr>
        <w:pStyle w:val="CalloutIndustry"/>
      </w:pPr>
      <w:r>
        <w:rPr>
          <w:bCs/>
          <w:b/>
        </w:rPr>
        <w:t xml:space="preserve">DigiNotar (2011).</w:t>
      </w:r>
      <w:r>
        <w:t xml:space="preserve"> </w:t>
      </w:r>
      <w:r>
        <w:t xml:space="preserve">Attackers compromised the Dutch CA DigiNotar and issued hundreds of fraudulent certificates, including one for</w:t>
      </w:r>
      <w:r>
        <w:t xml:space="preserve"> </w:t>
      </w:r>
      <w:r>
        <w:rPr>
          <w:rStyle w:val="VerbatimChar"/>
        </w:rPr>
        <w:t xml:space="preserve">*.google.com</w:t>
      </w:r>
      <w:r>
        <w:t xml:space="preserve"> </w:t>
      </w:r>
      <w:r>
        <w:t xml:space="preserve">that was used to intercept traffic of users in Iran. Browsers removed DigiNotar from their trust stores and the company went bankrupt within weeks. The incident directly motivated Certificate Transparency: had CT existed, Google’s monitors would have seen the rogue certificate within hours of issuance.</w:t>
      </w:r>
      <w:r>
        <w:t xml:space="preserve"> </w:t>
      </w:r>
      <w:r>
        <w:rPr>
          <w:iCs/>
          <w:i/>
        </w:rPr>
        <w:t xml:space="preserve">Evidence: Secondary</w:t>
      </w:r>
      <w:r>
        <w:t xml:space="preserve"> </w:t>
      </w:r>
      <w:r>
        <w:t xml:space="preserve">— [Fox-IT 2012]</w:t>
      </w:r>
    </w:p>
    <w:bookmarkEnd w:id="1126"/>
    <w:bookmarkStart w:id="1127" w:name="X615e075135adf515178658501a5be4bef43db87"/>
    <w:p>
      <w:pPr>
        <w:pStyle w:val="Heading3"/>
      </w:pPr>
      <w:r>
        <w:t xml:space="preserve">Certificate rotation for internal services</w:t>
      </w:r>
    </w:p>
    <w:p>
      <w:pPr>
        <w:pStyle w:val="FirstParagraph"/>
      </w:pPr>
      <w:r>
        <w:t xml:space="preserve">For service-to-service mTLS (§10.10) you run a private CA (cloud private CA services, HashiCorp Vault’s PKI engine, or a service mesh’s built-in CA). The design rules: issue</w:t>
      </w:r>
      <w:r>
        <w:t xml:space="preserve"> </w:t>
      </w:r>
      <w:r>
        <w:rPr>
          <w:bCs/>
          <w:b/>
        </w:rPr>
        <w:t xml:space="preserve">short-lived</w:t>
      </w:r>
      <w:r>
        <w:t xml:space="preserve"> </w:t>
      </w:r>
      <w:r>
        <w:t xml:space="preserve">certificates (hours to days); rotate automatically well before expiry (renew at about two-thirds of lifetime); have services reload certificates without restarting; alert on any certificate with less than, say, 25% of its lifetime remaining; and treat the CA’s private key as the most sensitive key in the company (store it in an HSM or KMS).</w:t>
      </w:r>
    </w:p>
    <w:p>
      <w:pPr>
        <w:pStyle w:val="BodyText"/>
      </w:pPr>
      <w:r>
        <w:rPr>
          <w:bCs/>
          <w:b/>
        </w:rPr>
        <w:t xml:space="preserve">Table 10.7 — Certificate 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Expired certificate outage</w:t>
            </w:r>
          </w:p>
        </w:tc>
        <w:tc>
          <w:tcPr/>
          <w:p>
            <w:pPr>
              <w:pStyle w:val="Compact"/>
              <w:jc w:val="left"/>
            </w:pPr>
            <w:r>
              <w:t xml:space="preserve">Manual renewal forgotten; long lifetime meant the process was never exercised</w:t>
            </w:r>
          </w:p>
        </w:tc>
        <w:tc>
          <w:tcPr/>
          <w:p>
            <w:pPr>
              <w:pStyle w:val="Compact"/>
              <w:jc w:val="left"/>
            </w:pPr>
            <w:r>
              <w:t xml:space="preserve">Synthetic TLS probes; expiry metrics</w:t>
            </w:r>
          </w:p>
        </w:tc>
        <w:tc>
          <w:tcPr/>
          <w:p>
            <w:pPr>
              <w:pStyle w:val="Compact"/>
              <w:jc w:val="left"/>
            </w:pPr>
            <w:r>
              <w:t xml:space="preserve">Emergency renewal and deploy</w:t>
            </w:r>
          </w:p>
        </w:tc>
        <w:tc>
          <w:tcPr/>
          <w:p>
            <w:pPr>
              <w:pStyle w:val="Compact"/>
              <w:jc w:val="left"/>
            </w:pPr>
            <w:r>
              <w:t xml:space="preserve">Automated issuance (ACME), short lifetimes, expiry alerts</w:t>
            </w:r>
          </w:p>
        </w:tc>
      </w:tr>
      <w:tr>
        <w:tc>
          <w:tcPr/>
          <w:p>
            <w:pPr>
              <w:pStyle w:val="Compact"/>
              <w:jc w:val="left"/>
            </w:pPr>
            <w:r>
              <w:t xml:space="preserve">Private key leak</w:t>
            </w:r>
          </w:p>
        </w:tc>
        <w:tc>
          <w:tcPr/>
          <w:p>
            <w:pPr>
              <w:pStyle w:val="Compact"/>
              <w:jc w:val="left"/>
            </w:pPr>
            <w:r>
              <w:t xml:space="preserve">Key in a repo, image or backup</w:t>
            </w:r>
          </w:p>
        </w:tc>
        <w:tc>
          <w:tcPr/>
          <w:p>
            <w:pPr>
              <w:pStyle w:val="Compact"/>
              <w:jc w:val="left"/>
            </w:pPr>
            <w:r>
              <w:t xml:space="preserve">Secret scanning; CT monitor shows unexpected certs</w:t>
            </w:r>
          </w:p>
        </w:tc>
        <w:tc>
          <w:tcPr/>
          <w:p>
            <w:pPr>
              <w:pStyle w:val="Compact"/>
              <w:jc w:val="left"/>
            </w:pPr>
            <w:r>
              <w:t xml:space="preserve">Revoke, reissue, rotate</w:t>
            </w:r>
          </w:p>
        </w:tc>
        <w:tc>
          <w:tcPr/>
          <w:p>
            <w:pPr>
              <w:pStyle w:val="Compact"/>
              <w:jc w:val="left"/>
            </w:pPr>
            <w:r>
              <w:t xml:space="preserve">Keys generated on host or in KMS/HSM, never copied</w:t>
            </w:r>
          </w:p>
        </w:tc>
      </w:tr>
      <w:tr>
        <w:tc>
          <w:tcPr/>
          <w:p>
            <w:pPr>
              <w:pStyle w:val="Compact"/>
              <w:jc w:val="left"/>
            </w:pPr>
            <w:r>
              <w:t xml:space="preserve">Rogue certificate for your domain</w:t>
            </w:r>
          </w:p>
        </w:tc>
        <w:tc>
          <w:tcPr/>
          <w:p>
            <w:pPr>
              <w:pStyle w:val="Compact"/>
              <w:jc w:val="left"/>
            </w:pPr>
            <w:r>
              <w:t xml:space="preserve">Compromised or careless CA</w:t>
            </w:r>
          </w:p>
        </w:tc>
        <w:tc>
          <w:tcPr/>
          <w:p>
            <w:pPr>
              <w:pStyle w:val="Compact"/>
              <w:jc w:val="left"/>
            </w:pPr>
            <w:r>
              <w:t xml:space="preserve">CT log monitoring</w:t>
            </w:r>
          </w:p>
        </w:tc>
        <w:tc>
          <w:tcPr/>
          <w:p>
            <w:pPr>
              <w:pStyle w:val="Compact"/>
              <w:jc w:val="left"/>
            </w:pPr>
            <w:r>
              <w:t xml:space="preserve">Request revocation; report to browser vendors</w:t>
            </w:r>
          </w:p>
        </w:tc>
        <w:tc>
          <w:tcPr/>
          <w:p>
            <w:pPr>
              <w:pStyle w:val="Compact"/>
              <w:jc w:val="left"/>
            </w:pPr>
            <w:r>
              <w:t xml:space="preserve">CAA DNS records restricting which CAs may issue</w:t>
            </w:r>
          </w:p>
        </w:tc>
      </w:tr>
    </w:tbl>
    <w:bookmarkEnd w:id="1127"/>
    <w:bookmarkEnd w:id="1128"/>
    <w:bookmarkStart w:id="1138" w:name="password-storage"/>
    <w:p>
      <w:pPr>
        <w:pStyle w:val="Heading2"/>
      </w:pPr>
      <w:r>
        <w:t xml:space="preserve">10.6 Password storage</w:t>
      </w:r>
    </w:p>
    <w:bookmarkStart w:id="1130" w:name="why-passwords-need-special-treatment"/>
    <w:p>
      <w:pPr>
        <w:pStyle w:val="Heading3"/>
      </w:pPr>
      <w:r>
        <w:t xml:space="preserve">10.6.1 Why passwords need special treatment</w:t>
      </w:r>
    </w:p>
    <w:bookmarkStart w:id="1129" w:name="first-principles-explanation-60"/>
    <w:p>
      <w:pPr>
        <w:pStyle w:val="Heading4"/>
      </w:pPr>
      <w:r>
        <w:t xml:space="preserve">First-principles explanation</w:t>
      </w:r>
    </w:p>
    <w:p>
      <w:pPr>
        <w:pStyle w:val="FirstParagraph"/>
      </w:pPr>
      <w:r>
        <w:t xml:space="preserve">Suppose you run a coat check. You could keep each customer’s ticket number in a ledger, but if the ledger is stolen, the thief can claim every coat. Better: keep only a</w:t>
      </w:r>
      <w:r>
        <w:t xml:space="preserve"> </w:t>
      </w:r>
      <w:r>
        <w:t xml:space="preserve">“</w:t>
      </w:r>
      <w:r>
        <w:t xml:space="preserve">fingerprint</w:t>
      </w:r>
      <w:r>
        <w:t xml:space="preserve">”</w:t>
      </w:r>
      <w:r>
        <w:t xml:space="preserve"> </w:t>
      </w:r>
      <w:r>
        <w:t xml:space="preserve">of each ticket, so a stolen ledger is useless —</w:t>
      </w:r>
      <w:r>
        <w:t xml:space="preserve"> </w:t>
      </w:r>
      <w:r>
        <w:rPr>
          <w:iCs/>
          <w:i/>
        </w:rPr>
        <w:t xml:space="preserve">unless</w:t>
      </w:r>
      <w:r>
        <w:t xml:space="preserve"> </w:t>
      </w:r>
      <w:r>
        <w:t xml:space="preserve">the tickets are so predictable that the thief can fingerprint every possible ticket and match them. Human passwords are predictable tickets:</w:t>
      </w:r>
      <w:r>
        <w:t xml:space="preserve"> </w:t>
      </w:r>
      <w:r>
        <w:t xml:space="preserve">“</w:t>
      </w:r>
      <w:r>
        <w:t xml:space="preserve">Summer2024!</w:t>
      </w:r>
      <w:r>
        <w:t xml:space="preserve">”</w:t>
      </w:r>
      <w:r>
        <w:t xml:space="preserve"> </w:t>
      </w:r>
      <w:r>
        <w:t xml:space="preserve">and its millions of cousins appear in every attacker’s wordlist.</w:t>
      </w:r>
    </w:p>
    <w:p>
      <w:pPr>
        <w:pStyle w:val="BodyText"/>
      </w:pPr>
      <w:r>
        <w:t xml:space="preserve">The design goal therefore is:</w:t>
      </w:r>
      <w:r>
        <w:t xml:space="preserve"> </w:t>
      </w:r>
      <w:r>
        <w:rPr>
          <w:bCs/>
          <w:b/>
        </w:rPr>
        <w:t xml:space="preserve">assume the password database will one day be stolen</w:t>
      </w:r>
      <w:r>
        <w:t xml:space="preserve"> </w:t>
      </w:r>
      <w:r>
        <w:t xml:space="preserve">(via SQL injection, a leaked backup or an insider), and make each password as expensive as possible to recover from what was stolen. Three techniques combine to achieve this.</w:t>
      </w:r>
    </w:p>
    <w:p>
      <w:pPr>
        <w:numPr>
          <w:ilvl w:val="0"/>
          <w:numId w:val="1344"/>
        </w:numPr>
        <w:pStyle w:val="Compact"/>
      </w:pPr>
      <w:r>
        <w:rPr>
          <w:bCs/>
          <w:b/>
        </w:rPr>
        <w:t xml:space="preserve">Hash, don’t encrypt.</w:t>
      </w:r>
      <w:r>
        <w:t xml:space="preserve"> </w:t>
      </w:r>
      <w:r>
        <w:t xml:space="preserve">The server never needs the password back; it only needs to check a candidate. A one-way function means there is no decryption key to steal.</w:t>
      </w:r>
    </w:p>
    <w:p>
      <w:pPr>
        <w:numPr>
          <w:ilvl w:val="0"/>
          <w:numId w:val="1344"/>
        </w:numPr>
        <w:pStyle w:val="Compact"/>
      </w:pPr>
      <w:r>
        <w:rPr>
          <w:bCs/>
          <w:b/>
        </w:rPr>
        <w:t xml:space="preserve">Salt.</w:t>
      </w:r>
      <w:r>
        <w:t xml:space="preserve"> </w:t>
      </w:r>
      <w:r>
        <w:t xml:space="preserve">A</w:t>
      </w:r>
      <w:r>
        <w:t xml:space="preserve"> </w:t>
      </w:r>
      <w:r>
        <w:rPr>
          <w:bCs/>
          <w:b/>
        </w:rPr>
        <w:t xml:space="preserve">salt</w:t>
      </w:r>
      <w:r>
        <w:t xml:space="preserve"> </w:t>
      </w:r>
      <w:r>
        <w:t xml:space="preserve">is a unique random value (at least 16 bytes) stored next to each hash and mixed into it. Without salts, identical passwords produce identical hashes, so one computation cracks every user with</w:t>
      </w:r>
      <w:r>
        <w:t xml:space="preserve"> </w:t>
      </w:r>
      <w:r>
        <w:t xml:space="preserve">“</w:t>
      </w:r>
      <w:r>
        <w:t xml:space="preserve">123456</w:t>
      </w:r>
      <w:r>
        <w:t xml:space="preserve">”</w:t>
      </w:r>
      <w:r>
        <w:t xml:space="preserve">, and attackers can use precomputed</w:t>
      </w:r>
      <w:r>
        <w:t xml:space="preserve"> </w:t>
      </w:r>
      <w:r>
        <w:rPr>
          <w:bCs/>
          <w:b/>
        </w:rPr>
        <w:t xml:space="preserve">rainbow tables</w:t>
      </w:r>
      <w:r>
        <w:t xml:space="preserve">. With salts, every guess must be computed separately per user.</w:t>
      </w:r>
    </w:p>
    <w:p>
      <w:pPr>
        <w:numPr>
          <w:ilvl w:val="0"/>
          <w:numId w:val="1344"/>
        </w:numPr>
        <w:pStyle w:val="Compact"/>
      </w:pPr>
      <w:r>
        <w:rPr>
          <w:bCs/>
          <w:b/>
        </w:rPr>
        <w:t xml:space="preserve">Slow, memory-hard hashing.</w:t>
      </w:r>
      <w:r>
        <w:t xml:space="preserve"> </w:t>
      </w:r>
      <w:r>
        <w:t xml:space="preserve">SHA-256 is designed to be fast; a single high-end GPU computes on the order of</w:t>
      </w:r>
      <w:r>
        <w:t xml:space="preserve"> </w:t>
      </w:r>
      <m:oMath>
        <m:sSup>
          <m:e>
            <m:r>
              <m:t>10</m:t>
            </m:r>
          </m:e>
          <m:sup>
            <m:r>
              <m:t>10</m:t>
            </m:r>
          </m:sup>
        </m:sSup>
      </m:oMath>
      <w:r>
        <w:t xml:space="preserve"> </w:t>
      </w:r>
      <w:r>
        <w:t xml:space="preserve">SHA-256 hashes per second (order-of-magnitude figure as of 2024). A</w:t>
      </w:r>
      <w:r>
        <w:t xml:space="preserve"> </w:t>
      </w:r>
      <w:r>
        <w:rPr>
          <w:bCs/>
          <w:b/>
        </w:rPr>
        <w:t xml:space="preserve">password-hashing function</w:t>
      </w:r>
      <w:r>
        <w:t xml:space="preserve"> </w:t>
      </w:r>
      <w:r>
        <w:t xml:space="preserve">(bcrypt, scrypt, Argon2id) is deliberately slow and, for scrypt and Argon2,</w:t>
      </w:r>
      <w:r>
        <w:t xml:space="preserve"> </w:t>
      </w:r>
      <w:r>
        <w:rPr>
          <w:bCs/>
          <w:b/>
        </w:rPr>
        <w:t xml:space="preserve">memory-hard</w:t>
      </w:r>
      <w:r>
        <w:t xml:space="preserve">: each guess needs tens of megabytes of RAM, which defeats the massive parallelism of GPUs and custom chips.</w:t>
      </w:r>
    </w:p>
    <w:p>
      <w:pPr>
        <w:pStyle w:val="FirstParagraph"/>
      </w:pPr>
      <w:r>
        <w:t xml:space="preserve">Optionally add a</w:t>
      </w:r>
      <w:r>
        <w:t xml:space="preserve"> </w:t>
      </w:r>
      <w:r>
        <w:rPr>
          <w:bCs/>
          <w:b/>
        </w:rPr>
        <w:t xml:space="preserve">pepper</w:t>
      </w:r>
      <w:r>
        <w:t xml:space="preserve">: a secret key, stored outside the database (in a KMS or HSM), applied as an HMAC before or after hashing. A database-only leak then yields hashes that cannot be attacked at all without also stealing the pepper. NIST SP 800-63B recommends this additional keyed step.</w:t>
      </w:r>
    </w:p>
    <w:p>
      <w:pPr>
        <w:pStyle w:val="CalloutIndustry"/>
      </w:pPr>
      <w:r>
        <w:rPr>
          <w:bCs/>
          <w:b/>
        </w:rPr>
        <w:t xml:space="preserve">INDUSTRY EXAMPLE</w:t>
      </w:r>
    </w:p>
    <w:p>
      <w:pPr>
        <w:pStyle w:val="CalloutIndustry"/>
      </w:pPr>
      <w:r>
        <w:rPr>
          <w:bCs/>
          <w:b/>
        </w:rPr>
        <w:t xml:space="preserve">LinkedIn (2012).</w:t>
      </w:r>
      <w:r>
        <w:t xml:space="preserve"> </w:t>
      </w:r>
      <w:r>
        <w:t xml:space="preserve">About 6.5 million LinkedIn password hashes were posted publicly in 2012; they were unsalted SHA-1 hashes, and a large fraction were cracked within days. In 2016 a much larger dataset from the same breach (reported at over 100 million accounts) surfaced. The lesson is both technical (fast, unsalted hashes) and architectural (credential reuse turns one site’s breach into credential stuffing against every other site — threat T1 in Table 10.2).</w:t>
      </w:r>
      <w:r>
        <w:t xml:space="preserve"> </w:t>
      </w:r>
      <w:r>
        <w:rPr>
          <w:iCs/>
          <w:i/>
        </w:rPr>
        <w:t xml:space="preserve">Evidence: Secondary</w:t>
      </w:r>
      <w:r>
        <w:t xml:space="preserve"> </w:t>
      </w:r>
      <w:r>
        <w:t xml:space="preserve">— widely reported in the technology press, 2012 and 2016.</w:t>
      </w:r>
    </w:p>
    <w:bookmarkEnd w:id="1129"/>
    <w:bookmarkEnd w:id="1130"/>
    <w:bookmarkStart w:id="1137" w:name="algorithms-and-cost-parameters"/>
    <w:p>
      <w:pPr>
        <w:pStyle w:val="Heading3"/>
      </w:pPr>
      <w:r>
        <w:t xml:space="preserve">10.6.2 Algorithms and cost parameters</w:t>
      </w:r>
    </w:p>
    <w:p>
      <w:pPr>
        <w:pStyle w:val="FirstParagraph"/>
      </w:pPr>
      <w:r>
        <w:rPr>
          <w:bCs/>
          <w:b/>
        </w:rPr>
        <w:t xml:space="preserve">Table 10.8 — Password-hashing functions compared (parameters per [OWASP Password Storage Cheat Sheet], as of 2026).</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pPr>
          </w:p>
        </w:tc>
        <w:tc>
          <w:tcPr/>
          <w:p>
            <w:pPr>
              <w:pStyle w:val="Compact"/>
              <w:jc w:val="left"/>
            </w:pPr>
            <w:r>
              <w:t xml:space="preserve">Argon2id</w:t>
            </w:r>
          </w:p>
        </w:tc>
        <w:tc>
          <w:tcPr/>
          <w:p>
            <w:pPr>
              <w:pStyle w:val="Compact"/>
              <w:jc w:val="left"/>
            </w:pPr>
            <w:r>
              <w:t xml:space="preserve">scrypt</w:t>
            </w:r>
          </w:p>
        </w:tc>
        <w:tc>
          <w:tcPr/>
          <w:p>
            <w:pPr>
              <w:pStyle w:val="Compact"/>
              <w:jc w:val="left"/>
            </w:pPr>
            <w:r>
              <w:t xml:space="preserve">bcrypt</w:t>
            </w:r>
          </w:p>
        </w:tc>
        <w:tc>
          <w:tcPr/>
          <w:p>
            <w:pPr>
              <w:pStyle w:val="Compact"/>
              <w:jc w:val="left"/>
            </w:pPr>
            <w:r>
              <w:t xml:space="preserve">PBKDF2-HMAC-SHA-256</w:t>
            </w:r>
          </w:p>
        </w:tc>
      </w:tr>
      <w:tr>
        <w:tc>
          <w:tcPr/>
          <w:p>
            <w:pPr>
              <w:pStyle w:val="Compact"/>
              <w:jc w:val="left"/>
            </w:pPr>
            <w:r>
              <w:t xml:space="preserve">What it is</w:t>
            </w:r>
          </w:p>
        </w:tc>
        <w:tc>
          <w:tcPr/>
          <w:p>
            <w:pPr>
              <w:pStyle w:val="Compact"/>
              <w:jc w:val="left"/>
            </w:pPr>
            <w:r>
              <w:t xml:space="preserve">Winner of the 2015 Password Hashing Competition, RFC 9106</w:t>
            </w:r>
          </w:p>
        </w:tc>
        <w:tc>
          <w:tcPr/>
          <w:p>
            <w:pPr>
              <w:pStyle w:val="Compact"/>
              <w:jc w:val="left"/>
            </w:pPr>
            <w:r>
              <w:t xml:space="preserve">Memory-hard KDF, RFC 7914</w:t>
            </w:r>
          </w:p>
        </w:tc>
        <w:tc>
          <w:tcPr/>
          <w:p>
            <w:pPr>
              <w:pStyle w:val="Compact"/>
              <w:jc w:val="left"/>
            </w:pPr>
            <w:r>
              <w:t xml:space="preserve">Blowfish-based adaptive hash (1999)</w:t>
            </w:r>
          </w:p>
        </w:tc>
        <w:tc>
          <w:tcPr/>
          <w:p>
            <w:pPr>
              <w:pStyle w:val="Compact"/>
              <w:jc w:val="left"/>
            </w:pPr>
            <w:r>
              <w:t xml:space="preserve">Iterated HMAC, NIST-approved</w:t>
            </w:r>
          </w:p>
        </w:tc>
      </w:tr>
      <w:tr>
        <w:tc>
          <w:tcPr/>
          <w:p>
            <w:pPr>
              <w:pStyle w:val="Compact"/>
              <w:jc w:val="left"/>
            </w:pPr>
            <w:r>
              <w:t xml:space="preserve">Cost knobs</w:t>
            </w:r>
          </w:p>
        </w:tc>
        <w:tc>
          <w:tcPr/>
          <w:p>
            <w:pPr>
              <w:pStyle w:val="Compact"/>
              <w:jc w:val="left"/>
            </w:pPr>
            <w:r>
              <w:t xml:space="preserve">memory</w:t>
            </w:r>
            <w:r>
              <w:t xml:space="preserve"> </w:t>
            </w:r>
            <m:oMath>
              <m:r>
                <m:t>m</m:t>
              </m:r>
            </m:oMath>
            <w:r>
              <w:t xml:space="preserve">, iterations</w:t>
            </w:r>
            <w:r>
              <w:t xml:space="preserve"> </w:t>
            </w:r>
            <m:oMath>
              <m:r>
                <m:t>t</m:t>
              </m:r>
            </m:oMath>
            <w:r>
              <w:t xml:space="preserve">, parallelism</w:t>
            </w:r>
            <w:r>
              <w:t xml:space="preserve"> </w:t>
            </w:r>
            <m:oMath>
              <m:r>
                <m:t>p</m:t>
              </m:r>
            </m:oMath>
          </w:p>
        </w:tc>
        <w:tc>
          <w:tcPr/>
          <w:p>
            <w:pPr>
              <w:pStyle w:val="Compact"/>
              <w:jc w:val="left"/>
            </w:pPr>
            <m:oMath>
              <m:r>
                <m:t>N</m:t>
              </m:r>
            </m:oMath>
            <w:r>
              <w:t xml:space="preserve"> </w:t>
            </w:r>
            <w:r>
              <w:t xml:space="preserve">(CPU/memory),</w:t>
            </w:r>
            <w:r>
              <w:t xml:space="preserve"> </w:t>
            </w:r>
            <m:oMath>
              <m:r>
                <m:t>r</m:t>
              </m:r>
            </m:oMath>
            <w:r>
              <w:t xml:space="preserve"> </w:t>
            </w:r>
            <w:r>
              <w:t xml:space="preserve">(block size),</w:t>
            </w:r>
            <w:r>
              <w:t xml:space="preserve"> </w:t>
            </w:r>
            <m:oMath>
              <m:r>
                <m:t>p</m:t>
              </m:r>
            </m:oMath>
          </w:p>
        </w:tc>
        <w:tc>
          <w:tcPr/>
          <w:p>
            <w:pPr>
              <w:pStyle w:val="Compact"/>
              <w:jc w:val="left"/>
            </w:pPr>
            <w:r>
              <w:t xml:space="preserve">work factor (cost</w:t>
            </w:r>
            <w:r>
              <w:t xml:space="preserve"> </w:t>
            </w:r>
            <m:oMath>
              <m:r>
                <m:t>c</m:t>
              </m:r>
            </m:oMath>
            <w:r>
              <w:t xml:space="preserve"> </w:t>
            </w:r>
            <w:r>
              <w:t xml:space="preserve">⇒</w:t>
            </w:r>
            <w:r>
              <w:t xml:space="preserve"> </w:t>
            </w:r>
            <m:oMath>
              <m:sSup>
                <m:e>
                  <m:r>
                    <m:t>2</m:t>
                  </m:r>
                </m:e>
                <m:sup>
                  <m:r>
                    <m:t>c</m:t>
                  </m:r>
                </m:sup>
              </m:sSup>
            </m:oMath>
            <w:r>
              <w:t xml:space="preserve"> </w:t>
            </w:r>
            <w:r>
              <w:t xml:space="preserve">rounds)</w:t>
            </w:r>
          </w:p>
        </w:tc>
        <w:tc>
          <w:tcPr/>
          <w:p>
            <w:pPr>
              <w:pStyle w:val="Compact"/>
              <w:jc w:val="left"/>
            </w:pPr>
            <w:r>
              <w:t xml:space="preserve">iteration count</w:t>
            </w:r>
          </w:p>
        </w:tc>
      </w:tr>
      <w:tr>
        <w:tc>
          <w:tcPr/>
          <w:p>
            <w:pPr>
              <w:pStyle w:val="Compact"/>
              <w:jc w:val="left"/>
            </w:pPr>
            <w:r>
              <w:t xml:space="preserve">Memory-hard</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 (4 KiB)</w:t>
            </w:r>
          </w:p>
        </w:tc>
        <w:tc>
          <w:tcPr/>
          <w:p>
            <w:pPr>
              <w:pStyle w:val="Compact"/>
              <w:jc w:val="left"/>
            </w:pPr>
            <w:r>
              <w:t xml:space="preserve">No</w:t>
            </w:r>
          </w:p>
        </w:tc>
      </w:tr>
      <w:tr>
        <w:tc>
          <w:tcPr/>
          <w:p>
            <w:pPr>
              <w:pStyle w:val="Compact"/>
              <w:jc w:val="left"/>
            </w:pPr>
            <w:r>
              <w:t xml:space="preserve">OWASP minimum</w:t>
            </w:r>
          </w:p>
        </w:tc>
        <w:tc>
          <w:tcPr/>
          <w:p>
            <w:pPr>
              <w:pStyle w:val="Compact"/>
              <w:jc w:val="left"/>
            </w:pPr>
            <m:oMath>
              <m:r>
                <m:t>m</m:t>
              </m:r>
            </m:oMath>
            <w:r>
              <w:t xml:space="preserve"> </w:t>
            </w:r>
            <w:r>
              <w:t xml:space="preserve">= 19 MiB,</w:t>
            </w:r>
            <w:r>
              <w:t xml:space="preserve"> </w:t>
            </w:r>
            <m:oMath>
              <m:r>
                <m:t>t</m:t>
              </m:r>
            </m:oMath>
            <w:r>
              <w:t xml:space="preserve"> </w:t>
            </w:r>
            <w:r>
              <w:t xml:space="preserve">= 2,</w:t>
            </w:r>
            <w:r>
              <w:t xml:space="preserve"> </w:t>
            </w:r>
            <m:oMath>
              <m:r>
                <m:t>p</m:t>
              </m:r>
            </m:oMath>
            <w:r>
              <w:t xml:space="preserve"> </w:t>
            </w:r>
            <w:r>
              <w:t xml:space="preserve">= 1</w:t>
            </w:r>
          </w:p>
        </w:tc>
        <w:tc>
          <w:tcPr/>
          <w:p>
            <w:pPr>
              <w:pStyle w:val="Compact"/>
              <w:jc w:val="left"/>
            </w:pPr>
            <m:oMath>
              <m:r>
                <m:t>N</m:t>
              </m:r>
              <m:r>
                <m:rPr>
                  <m:sty m:val="p"/>
                </m:rPr>
                <m:t>=</m:t>
              </m:r>
              <m:sSup>
                <m:e>
                  <m:r>
                    <m:t>2</m:t>
                  </m:r>
                </m:e>
                <m:sup>
                  <m:r>
                    <m:t>17</m:t>
                  </m:r>
                </m:sup>
              </m:sSup>
            </m:oMath>
            <w:r>
              <w:t xml:space="preserve">,</w:t>
            </w:r>
            <w:r>
              <w:t xml:space="preserve"> </w:t>
            </w:r>
            <m:oMath>
              <m:r>
                <m:t>r</m:t>
              </m:r>
            </m:oMath>
            <w:r>
              <w:t xml:space="preserve"> </w:t>
            </w:r>
            <w:r>
              <w:t xml:space="preserve">= 8,</w:t>
            </w:r>
            <w:r>
              <w:t xml:space="preserve"> </w:t>
            </w:r>
            <m:oMath>
              <m:r>
                <m:t>p</m:t>
              </m:r>
            </m:oMath>
            <w:r>
              <w:t xml:space="preserve"> </w:t>
            </w:r>
            <w:r>
              <w:t xml:space="preserve">= 1</w:t>
            </w:r>
          </w:p>
        </w:tc>
        <w:tc>
          <w:tcPr/>
          <w:p>
            <w:pPr>
              <w:pStyle w:val="Compact"/>
              <w:jc w:val="left"/>
            </w:pPr>
            <w:r>
              <w:t xml:space="preserve">cost ≥ 10</w:t>
            </w:r>
          </w:p>
        </w:tc>
        <w:tc>
          <w:tcPr/>
          <w:p>
            <w:pPr>
              <w:pStyle w:val="Compact"/>
              <w:jc w:val="left"/>
            </w:pPr>
            <w:r>
              <w:t xml:space="preserve">≥ 600,000 iterations</w:t>
            </w:r>
          </w:p>
        </w:tc>
      </w:tr>
      <w:tr>
        <w:tc>
          <w:tcPr/>
          <w:p>
            <w:pPr>
              <w:pStyle w:val="Compact"/>
              <w:jc w:val="left"/>
            </w:pPr>
            <w:r>
              <w:t xml:space="preserve">Gotchas</w:t>
            </w:r>
          </w:p>
        </w:tc>
        <w:tc>
          <w:tcPr/>
          <w:p>
            <w:pPr>
              <w:pStyle w:val="Compact"/>
              <w:jc w:val="left"/>
            </w:pPr>
            <w:r>
              <w:t xml:space="preserve">Library support varies</w:t>
            </w:r>
          </w:p>
        </w:tc>
        <w:tc>
          <w:tcPr/>
          <w:p>
            <w:pPr>
              <w:pStyle w:val="Compact"/>
              <w:jc w:val="left"/>
            </w:pPr>
            <w:r>
              <w:t xml:space="preserve">Memory =</w:t>
            </w:r>
            <w:r>
              <w:t xml:space="preserve"> </w:t>
            </w:r>
            <m:oMath>
              <m:r>
                <m:t>128</m:t>
              </m:r>
              <m:r>
                <m:rPr>
                  <m:sty m:val="p"/>
                </m:rPr>
                <m:t>⋅</m:t>
              </m:r>
              <m:r>
                <m:t>N</m:t>
              </m:r>
              <m:r>
                <m:rPr>
                  <m:sty m:val="p"/>
                </m:rPr>
                <m:t>⋅</m:t>
              </m:r>
              <m:r>
                <m:t>r</m:t>
              </m:r>
            </m:oMath>
            <w:r>
              <w:t xml:space="preserve"> </w:t>
            </w:r>
            <w:r>
              <w:t xml:space="preserve">bytes (128 MiB at OWASP minimum)</w:t>
            </w:r>
          </w:p>
        </w:tc>
        <w:tc>
          <w:tcPr/>
          <w:p>
            <w:pPr>
              <w:pStyle w:val="Compact"/>
              <w:jc w:val="left"/>
            </w:pPr>
            <w:r>
              <w:t xml:space="preserve">Truncates input at 72 bytes</w:t>
            </w:r>
          </w:p>
        </w:tc>
        <w:tc>
          <w:tcPr/>
          <w:p>
            <w:pPr>
              <w:pStyle w:val="Compact"/>
              <w:jc w:val="left"/>
            </w:pPr>
            <w:r>
              <w:t xml:space="preserve">GPU-friendly; use only when FIPS-140 is required</w:t>
            </w:r>
          </w:p>
        </w:tc>
      </w:tr>
      <w:tr>
        <w:tc>
          <w:tcPr/>
          <w:p>
            <w:pPr>
              <w:pStyle w:val="Compact"/>
              <w:jc w:val="left"/>
            </w:pPr>
            <w:r>
              <w:t xml:space="preserve">Choose when</w:t>
            </w:r>
          </w:p>
        </w:tc>
        <w:tc>
          <w:tcPr/>
          <w:p>
            <w:pPr>
              <w:pStyle w:val="Compact"/>
              <w:jc w:val="left"/>
            </w:pPr>
            <w:r>
              <w:t xml:space="preserve">Default for new systems</w:t>
            </w:r>
          </w:p>
        </w:tc>
        <w:tc>
          <w:tcPr/>
          <w:p>
            <w:pPr>
              <w:pStyle w:val="Compact"/>
              <w:jc w:val="left"/>
            </w:pPr>
            <w:r>
              <w:t xml:space="preserve">Argon2id unavailable</w:t>
            </w:r>
          </w:p>
        </w:tc>
        <w:tc>
          <w:tcPr/>
          <w:p>
            <w:pPr>
              <w:pStyle w:val="Compact"/>
              <w:jc w:val="left"/>
            </w:pPr>
            <w:r>
              <w:t xml:space="preserve">Legacy systems, wide library support</w:t>
            </w:r>
          </w:p>
        </w:tc>
        <w:tc>
          <w:tcPr/>
          <w:p>
            <w:pPr>
              <w:pStyle w:val="Compact"/>
              <w:jc w:val="left"/>
            </w:pPr>
            <w:r>
              <w:t xml:space="preserve">Compliance mandates FIPS</w:t>
            </w:r>
          </w:p>
        </w:tc>
      </w:tr>
    </w:tbl>
    <w:p>
      <w:pPr>
        <w:pStyle w:val="BodyText"/>
      </w:pPr>
      <w:r>
        <w:t xml:space="preserve">RFC 9106 also gives two general-purpose Argon2id recommendations:</w:t>
      </w:r>
      <w:r>
        <w:t xml:space="preserve"> </w:t>
      </w:r>
      <m:oMath>
        <m:r>
          <m:t>t</m:t>
        </m:r>
        <m:r>
          <m:rPr>
            <m:sty m:val="p"/>
          </m:rPr>
          <m:t>=</m:t>
        </m:r>
        <m:r>
          <m:t>1</m:t>
        </m:r>
      </m:oMath>
      <w:r>
        <w:t xml:space="preserve">,</w:t>
      </w:r>
      <w:r>
        <w:t xml:space="preserve"> </w:t>
      </w:r>
      <m:oMath>
        <m:r>
          <m:t>p</m:t>
        </m:r>
        <m:r>
          <m:rPr>
            <m:sty m:val="p"/>
          </m:rPr>
          <m:t>=</m:t>
        </m:r>
        <m:r>
          <m:t>4</m:t>
        </m:r>
      </m:oMath>
      <w:r>
        <w:t xml:space="preserve">,</w:t>
      </w:r>
      <w:r>
        <w:t xml:space="preserve"> </w:t>
      </w:r>
      <m:oMath>
        <m:r>
          <m:t>m</m:t>
        </m:r>
        <m:r>
          <m:rPr>
            <m:sty m:val="p"/>
          </m:rPr>
          <m:t>=</m:t>
        </m:r>
        <m:r>
          <m:t>2</m:t>
        </m:r>
      </m:oMath>
      <w:r>
        <w:t xml:space="preserve"> </w:t>
      </w:r>
      <w:r>
        <w:t xml:space="preserve">GiB where memory allows, or</w:t>
      </w:r>
      <w:r>
        <w:t xml:space="preserve"> </w:t>
      </w:r>
      <m:oMath>
        <m:r>
          <m:t>t</m:t>
        </m:r>
        <m:r>
          <m:rPr>
            <m:sty m:val="p"/>
          </m:rPr>
          <m:t>=</m:t>
        </m:r>
        <m:r>
          <m:t>3</m:t>
        </m:r>
      </m:oMath>
      <w:r>
        <w:t xml:space="preserve">,</w:t>
      </w:r>
      <w:r>
        <w:t xml:space="preserve"> </w:t>
      </w:r>
      <m:oMath>
        <m:r>
          <m:t>p</m:t>
        </m:r>
        <m:r>
          <m:rPr>
            <m:sty m:val="p"/>
          </m:rPr>
          <m:t>=</m:t>
        </m:r>
        <m:r>
          <m:t>4</m:t>
        </m:r>
      </m:oMath>
      <w:r>
        <w:t xml:space="preserve">,</w:t>
      </w:r>
      <w:r>
        <w:t xml:space="preserve"> </w:t>
      </w:r>
      <m:oMath>
        <m:r>
          <m:t>m</m:t>
        </m:r>
        <m:r>
          <m:rPr>
            <m:sty m:val="p"/>
          </m:rPr>
          <m:t>=</m:t>
        </m:r>
        <m:r>
          <m:t>64</m:t>
        </m:r>
      </m:oMath>
      <w:r>
        <w:t xml:space="preserve"> </w:t>
      </w:r>
      <w:r>
        <w:t xml:space="preserve">MiB otherwise [RFC 9106]. The OWASP minimums are lower because login servers must handle many concurrent hashes.</w:t>
      </w:r>
    </w:p>
    <w:p>
      <w:pPr>
        <w:pStyle w:val="BodyText"/>
      </w:pPr>
      <w:r>
        <w:rPr>
          <w:bCs/>
          <w:b/>
        </w:rPr>
        <w:t xml:space="preserve">Choosing cost parameters</w:t>
      </w:r>
      <w:r>
        <w:t xml:space="preserve"> </w:t>
      </w:r>
      <w:r>
        <w:t xml:space="preserve">is a capacity-planning decision. Pick the most expensive setting that keeps a single hash at roughly 50–500 ms on your production hardware and that your login fleet can afford at peak. If peak login rate is 200 per second and one hash costs 100 ms of one core and 64 MiB, you need about</w:t>
      </w:r>
      <w:r>
        <w:t xml:space="preserve"> </w:t>
      </w:r>
      <m:oMath>
        <m:r>
          <m:t>200</m:t>
        </m:r>
        <m:r>
          <m:rPr>
            <m:sty m:val="p"/>
          </m:rPr>
          <m:t>×</m:t>
        </m:r>
        <m:r>
          <m:t>0.1</m:t>
        </m:r>
        <m:r>
          <m:rPr>
            <m:sty m:val="p"/>
          </m:rPr>
          <m:t>=</m:t>
        </m:r>
        <m:r>
          <m:t>20</m:t>
        </m:r>
      </m:oMath>
      <w:r>
        <w:t xml:space="preserve"> </w:t>
      </w:r>
      <w:r>
        <w:t xml:space="preserve">cores and</w:t>
      </w:r>
      <w:r>
        <w:t xml:space="preserve"> </w:t>
      </w:r>
      <m:oMath>
        <m:r>
          <m:t>20</m:t>
        </m:r>
        <m:r>
          <m:rPr>
            <m:sty m:val="p"/>
          </m:rPr>
          <m:t>×</m:t>
        </m:r>
        <m:r>
          <m:t>64</m:t>
        </m:r>
      </m:oMath>
      <w:r>
        <w:t xml:space="preserve"> </w:t>
      </w:r>
      <w:r>
        <w:t xml:space="preserve">MiB ≈ 1.3 GiB of RAM dedicated to hashing — plus headroom, because an attacker can make login attempts to burn your CPU (rate-limit the endpoint). Store the algorithm and parameters with each hash so you can raise them later and</w:t>
      </w:r>
      <w:r>
        <w:t xml:space="preserve"> </w:t>
      </w:r>
      <w:r>
        <w:rPr>
          <w:bCs/>
          <w:b/>
        </w:rPr>
        <w:t xml:space="preserve">rehash on next successful login</w:t>
      </w:r>
      <w:r>
        <w:t xml:space="preserve">.</w:t>
      </w:r>
    </w:p>
    <w:bookmarkStart w:id="1131" w:name="mathematical-foundations-14"/>
    <w:p>
      <w:pPr>
        <w:pStyle w:val="Heading4"/>
      </w:pPr>
      <w:r>
        <w:t xml:space="preserve">Mathematical foundations</w:t>
      </w:r>
    </w:p>
    <w:p>
      <w:pPr>
        <w:pStyle w:val="CalloutFormula"/>
      </w:pPr>
      <w:r>
        <w:rPr>
          <w:bCs/>
          <w:b/>
        </w:rPr>
        <w:t xml:space="preserve">FORMULA</w:t>
      </w:r>
    </w:p>
    <w:p>
      <w:pPr>
        <w:pStyle w:val="CalloutFormula"/>
      </w:pPr>
      <w:r>
        <w:rPr>
          <w:bCs/>
          <w:b/>
        </w:rPr>
        <w:t xml:space="preserve">Expected offline brute-force time</w:t>
      </w:r>
    </w:p>
    <w:p>
      <w:pPr>
        <w:pStyle w:val="CalloutFormula"/>
      </w:pPr>
      <m:oMathPara>
        <m:oMathParaPr>
          <m:jc m:val="center"/>
        </m:oMathParaPr>
        <m:oMath>
          <m:r>
            <m:t>T</m:t>
          </m:r>
          <m:r>
            <m:rPr>
              <m:sty m:val="p"/>
            </m:rPr>
            <m:t>=</m:t>
          </m:r>
          <m:f>
            <m:fPr>
              <m:type m:val="bar"/>
            </m:fPr>
            <m:num>
              <m:r>
                <m:t>S</m:t>
              </m:r>
            </m:num>
            <m:den>
              <m:r>
                <m:t>2</m:t>
              </m:r>
              <m:r>
                <m:rPr>
                  <m:sty m:val="p"/>
                </m:rPr>
                <m:t>⋅</m:t>
              </m:r>
              <m:r>
                <m:t>R</m:t>
              </m:r>
              <m:r>
                <m:rPr>
                  <m:sty m:val="p"/>
                </m:rPr>
                <m:t>⋅</m:t>
              </m:r>
              <m:r>
                <m:t>G</m:t>
              </m:r>
            </m:den>
          </m:f>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T</m:t>
              </m:r>
            </m:oMath>
          </w:p>
        </w:tc>
        <w:tc>
          <w:tcPr/>
          <w:p>
            <w:pPr>
              <w:pStyle w:val="Compact"/>
              <w:jc w:val="left"/>
            </w:pPr>
            <w:r>
              <w:t xml:space="preserve">Expected time to find one password (average: half the space)</w:t>
            </w:r>
          </w:p>
        </w:tc>
        <w:tc>
          <w:tcPr/>
          <w:p>
            <w:pPr>
              <w:pStyle w:val="Compact"/>
              <w:jc w:val="left"/>
            </w:pPr>
            <w:r>
              <w:t xml:space="preserve">seconds</w:t>
            </w:r>
          </w:p>
        </w:tc>
      </w:tr>
      <w:tr>
        <w:tc>
          <w:tcPr/>
          <w:p>
            <w:pPr>
              <w:pStyle w:val="Compact"/>
              <w:jc w:val="left"/>
            </w:pPr>
            <m:oMath>
              <m:r>
                <m:t>S</m:t>
              </m:r>
            </m:oMath>
          </w:p>
        </w:tc>
        <w:tc>
          <w:tcPr/>
          <w:p>
            <w:pPr>
              <w:pStyle w:val="Compact"/>
              <w:jc w:val="left"/>
            </w:pPr>
            <w:r>
              <w:t xml:space="preserve">Size of the search space:</w:t>
            </w:r>
            <w:r>
              <w:t xml:space="preserve"> </w:t>
            </w:r>
            <m:oMath>
              <m:sSup>
                <m:e>
                  <m:r>
                    <m:t>N</m:t>
                  </m:r>
                </m:e>
                <m:sup>
                  <m:r>
                    <m:t>L</m:t>
                  </m:r>
                </m:sup>
              </m:sSup>
            </m:oMath>
            <w:r>
              <w:t xml:space="preserve"> </w:t>
            </w:r>
            <w:r>
              <w:t xml:space="preserve">for random passwords, or the size of the attacker’s ranked wordlist up to the target</w:t>
            </w:r>
          </w:p>
        </w:tc>
        <w:tc>
          <w:tcPr/>
          <w:p>
            <w:pPr>
              <w:pStyle w:val="Compact"/>
              <w:jc w:val="left"/>
            </w:pPr>
            <w:r>
              <w:t xml:space="preserve">candidates</w:t>
            </w:r>
          </w:p>
        </w:tc>
      </w:tr>
      <w:tr>
        <w:tc>
          <w:tcPr/>
          <w:p>
            <w:pPr>
              <w:pStyle w:val="Compact"/>
              <w:jc w:val="left"/>
            </w:pPr>
            <m:oMath>
              <m:r>
                <m:t>R</m:t>
              </m:r>
            </m:oMath>
          </w:p>
        </w:tc>
        <w:tc>
          <w:tcPr/>
          <w:p>
            <w:pPr>
              <w:pStyle w:val="Compact"/>
              <w:jc w:val="left"/>
            </w:pPr>
            <w:r>
              <w:t xml:space="preserve">Guesses per second per attacking device for this hash function and cost</w:t>
            </w:r>
          </w:p>
        </w:tc>
        <w:tc>
          <w:tcPr/>
          <w:p>
            <w:pPr>
              <w:pStyle w:val="Compact"/>
              <w:jc w:val="left"/>
            </w:pPr>
            <w:r>
              <w:t xml:space="preserve">guesses/s/device</w:t>
            </w:r>
          </w:p>
        </w:tc>
      </w:tr>
      <w:tr>
        <w:tc>
          <w:tcPr/>
          <w:p>
            <w:pPr>
              <w:pStyle w:val="Compact"/>
              <w:jc w:val="left"/>
            </w:pPr>
            <m:oMath>
              <m:r>
                <m:t>G</m:t>
              </m:r>
            </m:oMath>
          </w:p>
        </w:tc>
        <w:tc>
          <w:tcPr/>
          <w:p>
            <w:pPr>
              <w:pStyle w:val="Compact"/>
              <w:jc w:val="left"/>
            </w:pPr>
            <w:r>
              <w:t xml:space="preserve">Number of attacking devices (GPUs)</w:t>
            </w:r>
          </w:p>
        </w:tc>
        <w:tc>
          <w:tcPr/>
          <w:p>
            <w:pPr>
              <w:pStyle w:val="Compact"/>
              <w:jc w:val="left"/>
            </w:pPr>
            <w:r>
              <w:t xml:space="preserve">devices</w:t>
            </w:r>
          </w:p>
        </w:tc>
      </w:tr>
    </w:tbl>
    <w:p>
      <w:pPr>
        <w:pStyle w:val="CalloutFormula"/>
      </w:pPr>
      <w:r>
        <w:t xml:space="preserve">Salting means</w:t>
      </w:r>
      <w:r>
        <w:t xml:space="preserve"> </w:t>
      </w:r>
      <m:oMath>
        <m:r>
          <m:t>T</m:t>
        </m:r>
      </m:oMath>
      <w:r>
        <w:t xml:space="preserve"> </w:t>
      </w:r>
      <w:r>
        <w:t xml:space="preserve">is paid</w:t>
      </w:r>
      <w:r>
        <w:t xml:space="preserve"> </w:t>
      </w:r>
      <w:r>
        <w:rPr>
          <w:bCs/>
          <w:b/>
        </w:rPr>
        <w:t xml:space="preserve">per user</w:t>
      </w:r>
      <w:r>
        <w:t xml:space="preserve">; without salts, one pass covers all users.</w:t>
      </w:r>
    </w:p>
    <w:p>
      <w:pPr>
        <w:pStyle w:val="CalloutExample"/>
      </w:pPr>
      <w:r>
        <w:rPr>
          <w:bCs/>
          <w:b/>
        </w:rPr>
        <w:t xml:space="preserve">WORKED EXAMPLE</w:t>
      </w:r>
    </w:p>
    <w:p>
      <w:pPr>
        <w:pStyle w:val="CalloutExample"/>
      </w:pPr>
      <w:r>
        <w:rPr>
          <w:bCs/>
          <w:b/>
        </w:rPr>
        <w:t xml:space="preserve">Worked example — Fast hash vs slow hash.</w:t>
      </w:r>
      <w:r>
        <w:t xml:space="preserve"> </w:t>
      </w:r>
      <w:r>
        <w:t xml:space="preserve">A user picks a random 8-character password from the 95 printable ASCII characters.</w:t>
      </w:r>
    </w:p>
    <w:p>
      <w:pPr>
        <w:numPr>
          <w:ilvl w:val="0"/>
          <w:numId w:val="1345"/>
        </w:numPr>
        <w:pStyle w:val="Compact"/>
      </w:pPr>
      <w:r>
        <w:t xml:space="preserve">Search space:</w:t>
      </w:r>
      <w:r>
        <w:t xml:space="preserve"> </w:t>
      </w:r>
      <m:oMath>
        <m:r>
          <m:t>S</m:t>
        </m:r>
        <m:r>
          <m:rPr>
            <m:sty m:val="p"/>
          </m:rPr>
          <m:t>=</m:t>
        </m:r>
        <m:sSup>
          <m:e>
            <m:r>
              <m:t>95</m:t>
            </m:r>
          </m:e>
          <m:sup>
            <m:r>
              <m:t>8</m:t>
            </m:r>
          </m:sup>
        </m:sSup>
        <m:r>
          <m:rPr>
            <m:sty m:val="p"/>
          </m:rPr>
          <m:t>≈</m:t>
        </m:r>
        <m:r>
          <m:t>6.63</m:t>
        </m:r>
        <m:r>
          <m:rPr>
            <m:sty m:val="p"/>
          </m:rPr>
          <m:t>×</m:t>
        </m:r>
        <m:sSup>
          <m:e>
            <m:r>
              <m:t>10</m:t>
            </m:r>
          </m:e>
          <m:sup>
            <m:r>
              <m:t>15</m:t>
            </m:r>
          </m:sup>
        </m:sSup>
      </m:oMath>
      <w:r>
        <w:t xml:space="preserve"> </w:t>
      </w:r>
      <w:r>
        <w:t xml:space="preserve">(entropy</w:t>
      </w:r>
      <w:r>
        <w:t xml:space="preserve"> </w:t>
      </w:r>
      <m:oMath>
        <m:r>
          <m:t>8</m:t>
        </m:r>
        <m:sSub>
          <m:e>
            <m:r>
              <m:rPr>
                <m:sty m:val="p"/>
              </m:rPr>
              <m:t>log</m:t>
            </m:r>
          </m:e>
          <m:sub>
            <m:r>
              <m:t>2</m:t>
            </m:r>
          </m:sub>
        </m:sSub>
        <m:r>
          <m:t>95</m:t>
        </m:r>
        <m:r>
          <m:rPr>
            <m:sty m:val="p"/>
          </m:rPr>
          <m:t>≈</m:t>
        </m:r>
        <m:r>
          <m:t>52.6</m:t>
        </m:r>
      </m:oMath>
      <w:r>
        <w:t xml:space="preserve"> </w:t>
      </w:r>
      <w:r>
        <w:t xml:space="preserve">bits).</w:t>
      </w:r>
    </w:p>
    <w:p>
      <w:pPr>
        <w:numPr>
          <w:ilvl w:val="0"/>
          <w:numId w:val="1345"/>
        </w:numPr>
        <w:pStyle w:val="Compact"/>
      </w:pPr>
      <w:r>
        <w:rPr>
          <w:iCs/>
          <w:i/>
        </w:rPr>
        <w:t xml:space="preserve">Salted SHA-256</w:t>
      </w:r>
      <w:r>
        <w:t xml:space="preserve">,</w:t>
      </w:r>
      <w:r>
        <w:t xml:space="preserve"> </w:t>
      </w:r>
      <m:oMath>
        <m:r>
          <m:t>R</m:t>
        </m:r>
        <m:r>
          <m:rPr>
            <m:sty m:val="p"/>
          </m:rPr>
          <m:t>≈</m:t>
        </m:r>
        <m:sSup>
          <m:e>
            <m:r>
              <m:t>10</m:t>
            </m:r>
          </m:e>
          <m:sup>
            <m:r>
              <m:t>10</m:t>
            </m:r>
          </m:sup>
        </m:sSup>
      </m:oMath>
      <w:r>
        <w:t xml:space="preserve"> </w:t>
      </w:r>
      <w:r>
        <w:t xml:space="preserve">/s,</w:t>
      </w:r>
      <w:r>
        <w:t xml:space="preserve"> </w:t>
      </w:r>
      <m:oMath>
        <m:r>
          <m:t>G</m:t>
        </m:r>
        <m:r>
          <m:rPr>
            <m:sty m:val="p"/>
          </m:rPr>
          <m:t>=</m:t>
        </m:r>
        <m:r>
          <m:t>10</m:t>
        </m:r>
      </m:oMath>
      <w:r>
        <w:t xml:space="preserve"> </w:t>
      </w:r>
      <w:r>
        <w:t xml:space="preserve">GPUs:</w:t>
      </w:r>
      <w:r>
        <w:t xml:space="preserve"> </w:t>
      </w:r>
      <m:oMath>
        <m:r>
          <m:t>T</m:t>
        </m:r>
        <m:r>
          <m:rPr>
            <m:sty m:val="p"/>
          </m:rPr>
          <m:t>=</m:t>
        </m:r>
        <m:r>
          <m:t>6.63</m:t>
        </m:r>
        <m:r>
          <m:rPr>
            <m:sty m:val="p"/>
          </m:rPr>
          <m:t>×</m:t>
        </m:r>
        <m:sSup>
          <m:e>
            <m:r>
              <m:t>10</m:t>
            </m:r>
          </m:e>
          <m:sup>
            <m:r>
              <m:t>15</m:t>
            </m:r>
          </m:sup>
        </m:sSup>
        <m:r>
          <m:rPr>
            <m:sty m:val="p"/>
          </m:rPr>
          <m:t>/</m:t>
        </m:r>
        <m:d>
          <m:dPr>
            <m:begChr m:val="("/>
            <m:endChr m:val=")"/>
            <m:sepChr m:val=""/>
            <m:grow/>
          </m:dPr>
          <m:e>
            <m:r>
              <m:t>2</m:t>
            </m:r>
            <m:r>
              <m:rPr>
                <m:sty m:val="p"/>
              </m:rPr>
              <m:t>×</m:t>
            </m:r>
            <m:sSup>
              <m:e>
                <m:r>
                  <m:t>10</m:t>
                </m:r>
              </m:e>
              <m:sup>
                <m:r>
                  <m:t>11</m:t>
                </m:r>
              </m:sup>
            </m:sSup>
          </m:e>
        </m:d>
        <m:r>
          <m:rPr>
            <m:sty m:val="p"/>
          </m:rPr>
          <m:t>≈</m:t>
        </m:r>
        <m:r>
          <m:t>3.3</m:t>
        </m:r>
        <m:r>
          <m:rPr>
            <m:sty m:val="p"/>
          </m:rPr>
          <m:t>×</m:t>
        </m:r>
        <m:sSup>
          <m:e>
            <m:r>
              <m:t>10</m:t>
            </m:r>
          </m:e>
          <m:sup>
            <m:r>
              <m:t>4</m:t>
            </m:r>
          </m:sup>
        </m:sSup>
      </m:oMath>
      <w:r>
        <w:t xml:space="preserve"> </w:t>
      </w:r>
      <w:r>
        <w:t xml:space="preserve">s ≈</w:t>
      </w:r>
      <w:r>
        <w:t xml:space="preserve"> </w:t>
      </w:r>
      <w:r>
        <w:rPr>
          <w:bCs/>
          <w:b/>
        </w:rPr>
        <w:t xml:space="preserve">9 hours</w:t>
      </w:r>
      <w:r>
        <w:t xml:space="preserve">.</w:t>
      </w:r>
    </w:p>
    <w:p>
      <w:pPr>
        <w:numPr>
          <w:ilvl w:val="0"/>
          <w:numId w:val="1345"/>
        </w:numPr>
        <w:pStyle w:val="Compact"/>
      </w:pPr>
      <w:r>
        <w:rPr>
          <w:iCs/>
          <w:i/>
        </w:rPr>
        <w:t xml:space="preserve">Argon2id or bcrypt tuned to ~100 ms on a server core</w:t>
      </w:r>
      <w:r>
        <w:t xml:space="preserve">. An attacker’s GPU is far less advantaged on memory-hard functions; assume an optimistic</w:t>
      </w:r>
      <w:r>
        <w:t xml:space="preserve"> </w:t>
      </w:r>
      <m:oMath>
        <m:r>
          <m:t>R</m:t>
        </m:r>
        <m:r>
          <m:rPr>
            <m:sty m:val="p"/>
          </m:rPr>
          <m:t>≈</m:t>
        </m:r>
        <m:sSup>
          <m:e>
            <m:r>
              <m:t>10</m:t>
            </m:r>
          </m:e>
          <m:sup>
            <m:r>
              <m:t>4</m:t>
            </m:r>
          </m:sup>
        </m:sSup>
      </m:oMath>
      <w:r>
        <w:t xml:space="preserve"> </w:t>
      </w:r>
      <w:r>
        <w:t xml:space="preserve">/s per device:</w:t>
      </w:r>
      <w:r>
        <w:t xml:space="preserve"> </w:t>
      </w:r>
      <m:oMath>
        <m:r>
          <m:t>T</m:t>
        </m:r>
        <m:r>
          <m:rPr>
            <m:sty m:val="p"/>
          </m:rPr>
          <m:t>=</m:t>
        </m:r>
        <m:r>
          <m:t>6.63</m:t>
        </m:r>
        <m:r>
          <m:rPr>
            <m:sty m:val="p"/>
          </m:rPr>
          <m:t>×</m:t>
        </m:r>
        <m:sSup>
          <m:e>
            <m:r>
              <m:t>10</m:t>
            </m:r>
          </m:e>
          <m:sup>
            <m:r>
              <m:t>15</m:t>
            </m:r>
          </m:sup>
        </m:sSup>
        <m:r>
          <m:rPr>
            <m:sty m:val="p"/>
          </m:rPr>
          <m:t>/</m:t>
        </m:r>
        <m:d>
          <m:dPr>
            <m:begChr m:val="("/>
            <m:endChr m:val=")"/>
            <m:sepChr m:val=""/>
            <m:grow/>
          </m:dPr>
          <m:e>
            <m:r>
              <m:t>2</m:t>
            </m:r>
            <m:r>
              <m:rPr>
                <m:sty m:val="p"/>
              </m:rPr>
              <m:t>×</m:t>
            </m:r>
            <m:sSup>
              <m:e>
                <m:r>
                  <m:t>10</m:t>
                </m:r>
              </m:e>
              <m:sup>
                <m:r>
                  <m:t>5</m:t>
                </m:r>
              </m:sup>
            </m:sSup>
          </m:e>
        </m:d>
        <m:r>
          <m:rPr>
            <m:sty m:val="p"/>
          </m:rPr>
          <m:t>≈</m:t>
        </m:r>
        <m:r>
          <m:t>3.3</m:t>
        </m:r>
        <m:r>
          <m:rPr>
            <m:sty m:val="p"/>
          </m:rPr>
          <m:t>×</m:t>
        </m:r>
        <m:sSup>
          <m:e>
            <m:r>
              <m:t>10</m:t>
            </m:r>
          </m:e>
          <m:sup>
            <m:r>
              <m:t>10</m:t>
            </m:r>
          </m:sup>
        </m:sSup>
      </m:oMath>
      <w:r>
        <w:t xml:space="preserve"> </w:t>
      </w:r>
      <w:r>
        <w:t xml:space="preserve">s ≈</w:t>
      </w:r>
      <w:r>
        <w:t xml:space="preserve"> </w:t>
      </w:r>
      <w:r>
        <w:rPr>
          <w:bCs/>
          <w:b/>
        </w:rPr>
        <w:t xml:space="preserve">1,050 years</w:t>
      </w:r>
      <w:r>
        <w:t xml:space="preserve"> </w:t>
      </w:r>
      <w:r>
        <w:t xml:space="preserve">per password.</w:t>
      </w:r>
    </w:p>
    <w:p>
      <w:pPr>
        <w:numPr>
          <w:ilvl w:val="0"/>
          <w:numId w:val="1345"/>
        </w:numPr>
        <w:pStyle w:val="Compact"/>
      </w:pPr>
      <w:r>
        <w:t xml:space="preserve">A 12-character random password (</w:t>
      </w:r>
      <m:oMath>
        <m:r>
          <m:t>S</m:t>
        </m:r>
        <m:r>
          <m:rPr>
            <m:sty m:val="p"/>
          </m:rPr>
          <m:t>=</m:t>
        </m:r>
        <m:sSup>
          <m:e>
            <m:r>
              <m:t>95</m:t>
            </m:r>
          </m:e>
          <m:sup>
            <m:r>
              <m:t>12</m:t>
            </m:r>
          </m:sup>
        </m:sSup>
        <m:r>
          <m:rPr>
            <m:sty m:val="p"/>
          </m:rPr>
          <m:t>≈</m:t>
        </m:r>
        <m:r>
          <m:t>5.4</m:t>
        </m:r>
        <m:r>
          <m:rPr>
            <m:sty m:val="p"/>
          </m:rPr>
          <m:t>×</m:t>
        </m:r>
        <m:sSup>
          <m:e>
            <m:r>
              <m:t>10</m:t>
            </m:r>
          </m:e>
          <m:sup>
            <m:r>
              <m:t>23</m:t>
            </m:r>
          </m:sup>
        </m:sSup>
      </m:oMath>
      <w:r>
        <w:t xml:space="preserve">) against the same slow hash:</w:t>
      </w:r>
      <w:r>
        <w:t xml:space="preserve"> </w:t>
      </w:r>
      <m:oMath>
        <m:r>
          <m:rPr>
            <m:sty m:val="p"/>
          </m:rPr>
          <m:t>≈</m:t>
        </m:r>
        <m:r>
          <m:t>2.7</m:t>
        </m:r>
        <m:r>
          <m:rPr>
            <m:sty m:val="p"/>
          </m:rPr>
          <m:t>×</m:t>
        </m:r>
        <m:sSup>
          <m:e>
            <m:r>
              <m:t>10</m:t>
            </m:r>
          </m:e>
          <m:sup>
            <m:r>
              <m:t>18</m:t>
            </m:r>
          </m:sup>
        </m:sSup>
      </m:oMath>
      <w:r>
        <w:t xml:space="preserve"> </w:t>
      </w:r>
      <w:r>
        <w:t xml:space="preserve">s, about</w:t>
      </w:r>
      <w:r>
        <w:t xml:space="preserve"> </w:t>
      </w:r>
      <m:oMath>
        <m:r>
          <m:t>8.6</m:t>
        </m:r>
        <m:r>
          <m:rPr>
            <m:sty m:val="p"/>
          </m:rPr>
          <m:t>×</m:t>
        </m:r>
        <m:sSup>
          <m:e>
            <m:r>
              <m:t>10</m:t>
            </m:r>
          </m:e>
          <m:sup>
            <m:r>
              <m:t>10</m:t>
            </m:r>
          </m:sup>
        </m:sSup>
      </m:oMath>
      <w:r>
        <w:t xml:space="preserve"> </w:t>
      </w:r>
      <w:r>
        <w:t xml:space="preserve">years.</w:t>
      </w:r>
    </w:p>
    <w:p>
      <w:pPr>
        <w:pStyle w:val="CalloutExample"/>
      </w:pPr>
      <w:r>
        <w:rPr>
          <w:iCs/>
          <w:i/>
        </w:rPr>
        <w:t xml:space="preserve">Interpretation:</w:t>
      </w:r>
      <w:r>
        <w:t xml:space="preserve"> </w:t>
      </w:r>
      <w:r>
        <w:t xml:space="preserve">the slow hash multiplies the attacker’s cost by</w:t>
      </w:r>
      <w:r>
        <w:t xml:space="preserve"> </w:t>
      </w:r>
      <m:oMath>
        <m:sSup>
          <m:e>
            <m:r>
              <m:t>10</m:t>
            </m:r>
          </m:e>
          <m:sup>
            <m:r>
              <m:t>6</m:t>
            </m:r>
          </m:sup>
        </m:sSup>
      </m:oMath>
      <w:r>
        <w:t xml:space="preserve">; length multiplies it exponentially.</w:t>
      </w:r>
      <w:r>
        <w:t xml:space="preserve"> </w:t>
      </w:r>
      <w:r>
        <w:rPr>
          <w:iCs/>
          <w:i/>
        </w:rPr>
        <w:t xml:space="preserve">But</w:t>
      </w:r>
      <w:r>
        <w:t xml:space="preserve"> </w:t>
      </w:r>
      <w:r>
        <w:t xml:space="preserve">human passwords are not random:</w:t>
      </w:r>
      <w:r>
        <w:t xml:space="preserve"> </w:t>
      </w:r>
      <w:r>
        <w:t xml:space="preserve">“</w:t>
      </w:r>
      <w:r>
        <w:t xml:space="preserve">Summer2024!</w:t>
      </w:r>
      <w:r>
        <w:t xml:space="preserve">”</w:t>
      </w:r>
      <w:r>
        <w:t xml:space="preserve"> </w:t>
      </w:r>
      <w:r>
        <w:t xml:space="preserve">appears near the top of real wordlists, so</w:t>
      </w:r>
      <w:r>
        <w:t xml:space="preserve"> </w:t>
      </w:r>
      <m:oMath>
        <m:r>
          <m:t>S</m:t>
        </m:r>
      </m:oMath>
      <w:r>
        <w:t xml:space="preserve"> </w:t>
      </w:r>
      <w:r>
        <w:t xml:space="preserve">for it is perhaps</w:t>
      </w:r>
      <w:r>
        <w:t xml:space="preserve"> </w:t>
      </w:r>
      <m:oMath>
        <m:sSup>
          <m:e>
            <m:r>
              <m:t>10</m:t>
            </m:r>
          </m:e>
          <m:sup>
            <m:r>
              <m:t>6</m:t>
            </m:r>
          </m:sup>
        </m:sSup>
      </m:oMath>
      <w:r>
        <w:t xml:space="preserve">, and even at</w:t>
      </w:r>
      <w:r>
        <w:t xml:space="preserve"> </w:t>
      </w:r>
      <m:oMath>
        <m:sSup>
          <m:e>
            <m:r>
              <m:t>10</m:t>
            </m:r>
          </m:e>
          <m:sup>
            <m:r>
              <m:t>4</m:t>
            </m:r>
          </m:sup>
        </m:sSup>
      </m:oMath>
      <w:r>
        <w:t xml:space="preserve"> </w:t>
      </w:r>
      <w:r>
        <w:t xml:space="preserve">guesses/s it falls in under a minute.</w:t>
      </w:r>
      <w:r>
        <w:t xml:space="preserve"> </w:t>
      </w:r>
      <w:r>
        <w:rPr>
          <w:iCs/>
          <w:i/>
        </w:rPr>
        <w:t xml:space="preserve">Engineering implication:</w:t>
      </w:r>
      <w:r>
        <w:t xml:space="preserve"> </w:t>
      </w:r>
      <w:r>
        <w:t xml:space="preserve">slow hashing protects the middle of the distribution; protecting the weakest passwords requires refusing them at registration (breached-password lists) and adding MFA.</w:t>
      </w:r>
    </w:p>
    <w:p>
      <w:pPr>
        <w:pStyle w:val="BodyText"/>
      </w:pPr>
      <w:r>
        <w:rPr>
          <w:bCs/>
          <w:b/>
        </w:rPr>
        <w:t xml:space="preserve">NIST guidance.</w:t>
      </w:r>
      <w:r>
        <w:t xml:space="preserve"> </w:t>
      </w:r>
      <w:r>
        <w:t xml:space="preserve">NIST SP 800-63B, revised as SP 800-63B-4 (final in 2025), reverses several folk rules: do</w:t>
      </w:r>
      <w:r>
        <w:t xml:space="preserve"> </w:t>
      </w:r>
      <w:r>
        <w:rPr>
          <w:bCs/>
          <w:b/>
        </w:rPr>
        <w:t xml:space="preserve">not</w:t>
      </w:r>
      <w:r>
        <w:t xml:space="preserve"> </w:t>
      </w:r>
      <w:r>
        <w:t xml:space="preserve">impose composition rules (</w:t>
      </w:r>
      <w:r>
        <w:t xml:space="preserve">“</w:t>
      </w:r>
      <w:r>
        <w:t xml:space="preserve">one uppercase, one symbol</w:t>
      </w:r>
      <w:r>
        <w:t xml:space="preserve">”</w:t>
      </w:r>
      <w:r>
        <w:t xml:space="preserve">), do</w:t>
      </w:r>
      <w:r>
        <w:t xml:space="preserve"> </w:t>
      </w:r>
      <w:r>
        <w:rPr>
          <w:bCs/>
          <w:b/>
        </w:rPr>
        <w:t xml:space="preserve">not</w:t>
      </w:r>
      <w:r>
        <w:t xml:space="preserve"> </w:t>
      </w:r>
      <w:r>
        <w:t xml:space="preserve">force periodic password changes without evidence of compromise,</w:t>
      </w:r>
      <w:r>
        <w:t xml:space="preserve"> </w:t>
      </w:r>
      <w:r>
        <w:rPr>
          <w:bCs/>
          <w:b/>
        </w:rPr>
        <w:t xml:space="preserve">do</w:t>
      </w:r>
      <w:r>
        <w:t xml:space="preserve"> </w:t>
      </w:r>
      <w:r>
        <w:t xml:space="preserve">check new passwords against lists of breached and commonly used passwords, allow at least 64 characters and all printable characters including spaces, and require a minimum length — 15 characters when the password is the only authentication factor, 8 when it is part of multi-factor authentication [NIST SP 800-63B-4].</w:t>
      </w:r>
    </w:p>
    <w:bookmarkEnd w:id="1131"/>
    <w:bookmarkStart w:id="1135" w:name="architecture-diagram-11"/>
    <w:p>
      <w:pPr>
        <w:pStyle w:val="Heading4"/>
      </w:pPr>
      <w:r>
        <w:t xml:space="preserve">Architecture diagram</w:t>
      </w:r>
    </w:p>
    <w:p>
      <w:pPr>
        <w:pStyle w:val="FirstParagraph"/>
      </w:pPr>
      <w:r>
        <w:rPr>
          <w:bCs/>
          <w:b/>
        </w:rPr>
        <w:t xml:space="preserve">Figure 10.5 — Registration and login with salted Argon2id and a pepper.</w:t>
      </w:r>
    </w:p>
    <w:p>
      <w:pPr>
        <w:pStyle w:val="BodyText"/>
      </w:pPr>
      <w:r>
        <w:drawing>
          <wp:inline>
            <wp:extent cx="5334000" cy="3385626"/>
            <wp:effectExtent b="0" l="0" r="0" t="0"/>
            <wp:docPr descr="" title="" id="1133" name="Picture"/>
            <a:graphic>
              <a:graphicData uri="http://schemas.openxmlformats.org/drawingml/2006/picture">
                <pic:pic>
                  <pic:nvPicPr>
                    <pic:cNvPr descr="/home/user/System-Design/build/.cache/diagrams/1a9d5f476001.png" id="1134" name="Picture"/>
                    <pic:cNvPicPr>
                      <a:picLocks noChangeArrowheads="1" noChangeAspect="1"/>
                    </pic:cNvPicPr>
                  </pic:nvPicPr>
                  <pic:blipFill>
                    <a:blip r:embed="rId1132"/>
                    <a:stretch>
                      <a:fillRect/>
                    </a:stretch>
                  </pic:blipFill>
                  <pic:spPr bwMode="auto">
                    <a:xfrm>
                      <a:off x="0" y="0"/>
                      <a:ext cx="5334000" cy="3385626"/>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All calls are synchronous. The password exists in plaintext only in memory of the auth service, briefly. The pepper key never leaves the KMS or HSM; the service sends it data to MAC (some designs instead load the pepper into service memory at startup, trading isolation for one fewer network call per login). The credential database stores only the self-describing record — for example</w:t>
      </w:r>
      <w:r>
        <w:t xml:space="preserve"> </w:t>
      </w:r>
      <w:r>
        <w:rPr>
          <w:rStyle w:val="VerbatimChar"/>
        </w:rPr>
        <w:t xml:space="preserve">argon2id$m=19456,t=2,p=1$&lt;salt&gt;$&lt;hash&gt;</w:t>
      </w:r>
      <w:r>
        <w:t xml:space="preserve"> </w:t>
      </w:r>
      <w:r>
        <w:t xml:space="preserve">— so a stolen database alone is not enough to start guessing. The failure response is deliberately generic (</w:t>
      </w:r>
      <w:r>
        <w:t xml:space="preserve">“</w:t>
      </w:r>
      <w:r>
        <w:t xml:space="preserve">invalid username or password</w:t>
      </w:r>
      <w:r>
        <w:t xml:space="preserve">”</w:t>
      </w:r>
      <w:r>
        <w:t xml:space="preserve">) and takes the same time for unknown users to avoid revealing which accounts exist. Scaling: the Argon2id step dominates CPU and memory, so login capacity scales with auth-service replicas; rate limiting per account and per IP sits in front of it.</w:t>
      </w:r>
    </w:p>
    <w:bookmarkEnd w:id="1135"/>
    <w:bookmarkStart w:id="1136" w:name="code-example-10"/>
    <w:p>
      <w:pPr>
        <w:pStyle w:val="Heading4"/>
      </w:pPr>
      <w:r>
        <w:t xml:space="preserve">Code example</w:t>
      </w:r>
    </w:p>
    <w:p>
      <w:pPr>
        <w:pStyle w:val="SourceCode"/>
      </w:pPr>
      <w:r>
        <w:rPr>
          <w:rStyle w:val="CommentTok"/>
        </w:rPr>
        <w:t xml:space="preserve">"""Password hashing with scrypt (standard library) and Argon2id (cryptography &gt;= 44)."""</w:t>
      </w:r>
      <w:r>
        <w:br/>
      </w:r>
      <w:r>
        <w:rPr>
          <w:rStyle w:val="ImportTok"/>
        </w:rPr>
        <w:t xml:space="preserve">import</w:t>
      </w:r>
      <w:r>
        <w:rPr>
          <w:rStyle w:val="NormalTok"/>
        </w:rPr>
        <w:t xml:space="preserve"> base64</w:t>
      </w:r>
      <w:r>
        <w:br/>
      </w:r>
      <w:r>
        <w:rPr>
          <w:rStyle w:val="ImportTok"/>
        </w:rPr>
        <w:t xml:space="preserve">import</w:t>
      </w:r>
      <w:r>
        <w:rPr>
          <w:rStyle w:val="NormalTok"/>
        </w:rPr>
        <w:t xml:space="preserve"> hashlib</w:t>
      </w:r>
      <w:r>
        <w:br/>
      </w:r>
      <w:r>
        <w:rPr>
          <w:rStyle w:val="ImportTok"/>
        </w:rPr>
        <w:t xml:space="preserve">import</w:t>
      </w:r>
      <w:r>
        <w:rPr>
          <w:rStyle w:val="NormalTok"/>
        </w:rPr>
        <w:t xml:space="preserve"> hmac</w:t>
      </w:r>
      <w:r>
        <w:br/>
      </w:r>
      <w:r>
        <w:rPr>
          <w:rStyle w:val="ImportTok"/>
        </w:rPr>
        <w:t xml:space="preserve">import</w:t>
      </w:r>
      <w:r>
        <w:rPr>
          <w:rStyle w:val="NormalTok"/>
        </w:rPr>
        <w:t xml:space="preserve"> os</w:t>
      </w:r>
      <w:r>
        <w:br/>
      </w:r>
      <w:r>
        <w:rPr>
          <w:rStyle w:val="ImportTok"/>
        </w:rPr>
        <w:t xml:space="preserve">import</w:t>
      </w:r>
      <w:r>
        <w:rPr>
          <w:rStyle w:val="NormalTok"/>
        </w:rPr>
        <w:t xml:space="preserve"> time</w:t>
      </w:r>
      <w:r>
        <w:br/>
      </w:r>
      <w:r>
        <w:br/>
      </w:r>
      <w:r>
        <w:rPr>
          <w:rStyle w:val="CommentTok"/>
        </w:rPr>
        <w:t xml:space="preserve"># ---------- scrypt (stdlib) ----------</w:t>
      </w:r>
      <w:r>
        <w:br/>
      </w:r>
      <w:r>
        <w:rPr>
          <w:rStyle w:val="NormalTok"/>
        </w:rPr>
        <w:t xml:space="preserve">SCRYPT_N, SCRYPT_R, SCRYPT_P </w:t>
      </w:r>
      <w:r>
        <w:rPr>
          <w:rStyle w:val="OperatorTok"/>
        </w:rPr>
        <w:t xml:space="preserve">=</w:t>
      </w:r>
      <w:r>
        <w:rPr>
          <w:rStyle w:val="NormalTok"/>
        </w:rPr>
        <w:t xml:space="preserve"> </w:t>
      </w:r>
      <w:r>
        <w:rPr>
          <w:rStyle w:val="DecValTok"/>
        </w:rPr>
        <w:t xml:space="preserve">2</w:t>
      </w:r>
      <w:r>
        <w:rPr>
          <w:rStyle w:val="OperatorTok"/>
        </w:rPr>
        <w:t xml:space="preserve">**</w:t>
      </w:r>
      <w:r>
        <w:rPr>
          <w:rStyle w:val="DecValTok"/>
        </w:rPr>
        <w:t xml:space="preserve">17</w:t>
      </w:r>
      <w:r>
        <w:rPr>
          <w:rStyle w:val="NormalTok"/>
        </w:rPr>
        <w:t xml:space="preserve">, </w:t>
      </w:r>
      <w:r>
        <w:rPr>
          <w:rStyle w:val="DecValTok"/>
        </w:rPr>
        <w:t xml:space="preserve">8</w:t>
      </w:r>
      <w:r>
        <w:rPr>
          <w:rStyle w:val="NormalTok"/>
        </w:rPr>
        <w:t xml:space="preserve">, </w:t>
      </w:r>
      <w:r>
        <w:rPr>
          <w:rStyle w:val="DecValTok"/>
        </w:rPr>
        <w:t xml:space="preserve">1</w:t>
      </w:r>
      <w:r>
        <w:rPr>
          <w:rStyle w:val="NormalTok"/>
        </w:rPr>
        <w:t xml:space="preserve">   </w:t>
      </w:r>
      <w:r>
        <w:rPr>
          <w:rStyle w:val="CommentTok"/>
        </w:rPr>
        <w:t xml:space="preserve"># OWASP minimum: N=2^17, r=8, p=1</w:t>
      </w:r>
      <w:r>
        <w:br/>
      </w:r>
      <w:r>
        <w:rPr>
          <w:rStyle w:val="NormalTok"/>
        </w:rPr>
        <w:t xml:space="preserve">SCRYPT_MAXMEM </w:t>
      </w:r>
      <w:r>
        <w:rPr>
          <w:rStyle w:val="OperatorTok"/>
        </w:rPr>
        <w:t xml:space="preserve">=</w:t>
      </w:r>
      <w:r>
        <w:rPr>
          <w:rStyle w:val="NormalTok"/>
        </w:rPr>
        <w:t xml:space="preserve"> </w:t>
      </w:r>
      <w:r>
        <w:rPr>
          <w:rStyle w:val="DecValTok"/>
        </w:rPr>
        <w:t xml:space="preserve">256</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CommentTok"/>
        </w:rPr>
        <w:t xml:space="preserve"># memory needed is ~128*N*r = 128 MiB</w:t>
      </w:r>
      <w:r>
        <w:br/>
      </w:r>
      <w:r>
        <w:br/>
      </w:r>
      <w:r>
        <w:rPr>
          <w:rStyle w:val="KeywordTok"/>
        </w:rPr>
        <w:t xml:space="preserve">def</w:t>
      </w:r>
      <w:r>
        <w:rPr>
          <w:rStyle w:val="NormalTok"/>
        </w:rPr>
        <w:t xml:space="preserve"> b64(b: </w:t>
      </w:r>
      <w:r>
        <w:rPr>
          <w:rStyle w:val="BuiltInTok"/>
        </w:rPr>
        <w:t xml:space="preserve">bytes</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base64.b64encode(b).decode().rstrip(</w:t>
      </w:r>
      <w:r>
        <w:rPr>
          <w:rStyle w:val="StringTok"/>
        </w:rPr>
        <w:t xml:space="preserve">"="</w:t>
      </w:r>
      <w:r>
        <w:rPr>
          <w:rStyle w:val="NormalTok"/>
        </w:rPr>
        <w:t xml:space="preserve">)</w:t>
      </w:r>
      <w:r>
        <w:br/>
      </w:r>
      <w:r>
        <w:br/>
      </w:r>
      <w:r>
        <w:rPr>
          <w:rStyle w:val="KeywordTok"/>
        </w:rPr>
        <w:t xml:space="preserve">def</w:t>
      </w:r>
      <w:r>
        <w:rPr>
          <w:rStyle w:val="NormalTok"/>
        </w:rPr>
        <w:t xml:space="preserve"> unb64(s: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bytes</w:t>
      </w:r>
      <w:r>
        <w:rPr>
          <w:rStyle w:val="NormalTok"/>
        </w:rPr>
        <w:t xml:space="preserve">:</w:t>
      </w:r>
      <w:r>
        <w:br/>
      </w:r>
      <w:r>
        <w:rPr>
          <w:rStyle w:val="NormalTok"/>
        </w:rPr>
        <w:t xml:space="preserve">    </w:t>
      </w:r>
      <w:r>
        <w:rPr>
          <w:rStyle w:val="ControlFlowTok"/>
        </w:rPr>
        <w:t xml:space="preserve">return</w:t>
      </w:r>
      <w:r>
        <w:rPr>
          <w:rStyle w:val="NormalTok"/>
        </w:rPr>
        <w:t xml:space="preserve"> base64.b64decode(s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uiltInTok"/>
        </w:rPr>
        <w:t xml:space="preserve">len</w:t>
      </w:r>
      <w:r>
        <w:rPr>
          <w:rStyle w:val="NormalTok"/>
        </w:rPr>
        <w:t xml:space="preserve">(s) </w:t>
      </w:r>
      <w:r>
        <w:rPr>
          <w:rStyle w:val="OperatorTok"/>
        </w:rPr>
        <w:t xml:space="preserve">%</w:t>
      </w:r>
      <w:r>
        <w:rPr>
          <w:rStyle w:val="NormalTok"/>
        </w:rPr>
        <w:t xml:space="preserve"> </w:t>
      </w:r>
      <w:r>
        <w:rPr>
          <w:rStyle w:val="DecValTok"/>
        </w:rPr>
        <w:t xml:space="preserve">4</w:t>
      </w:r>
      <w:r>
        <w:rPr>
          <w:rStyle w:val="NormalTok"/>
        </w:rPr>
        <w:t xml:space="preserve">))</w:t>
      </w:r>
      <w:r>
        <w:br/>
      </w:r>
      <w:r>
        <w:br/>
      </w:r>
      <w:r>
        <w:rPr>
          <w:rStyle w:val="KeywordTok"/>
        </w:rPr>
        <w:t xml:space="preserve">def</w:t>
      </w:r>
      <w:r>
        <w:rPr>
          <w:rStyle w:val="NormalTok"/>
        </w:rPr>
        <w:t xml:space="preserve"> scrypt_hash(password: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salt </w:t>
      </w:r>
      <w:r>
        <w:rPr>
          <w:rStyle w:val="OperatorTok"/>
        </w:rPr>
        <w:t xml:space="preserve">=</w:t>
      </w:r>
      <w:r>
        <w:rPr>
          <w:rStyle w:val="NormalTok"/>
        </w:rPr>
        <w:t xml:space="preserve"> os.urandom(</w:t>
      </w:r>
      <w:r>
        <w:rPr>
          <w:rStyle w:val="DecValTok"/>
        </w:rPr>
        <w:t xml:space="preserve">16</w:t>
      </w:r>
      <w:r>
        <w:rPr>
          <w:rStyle w:val="NormalTok"/>
        </w:rPr>
        <w:t xml:space="preserve">)                                   </w:t>
      </w:r>
      <w:r>
        <w:rPr>
          <w:rStyle w:val="CommentTok"/>
        </w:rPr>
        <w:t xml:space="preserve"># unique per password</w:t>
      </w:r>
      <w:r>
        <w:br/>
      </w:r>
      <w:r>
        <w:rPr>
          <w:rStyle w:val="NormalTok"/>
        </w:rPr>
        <w:t xml:space="preserve">    dk </w:t>
      </w:r>
      <w:r>
        <w:rPr>
          <w:rStyle w:val="OperatorTok"/>
        </w:rPr>
        <w:t xml:space="preserve">=</w:t>
      </w:r>
      <w:r>
        <w:rPr>
          <w:rStyle w:val="NormalTok"/>
        </w:rPr>
        <w:t xml:space="preserve"> hashlib.scrypt(password.encode(</w:t>
      </w:r>
      <w:r>
        <w:rPr>
          <w:rStyle w:val="StringTok"/>
        </w:rPr>
        <w:t xml:space="preserve">"utf-8"</w:t>
      </w:r>
      <w:r>
        <w:rPr>
          <w:rStyle w:val="NormalTok"/>
        </w:rPr>
        <w:t xml:space="preserve">), salt</w:t>
      </w:r>
      <w:r>
        <w:rPr>
          <w:rStyle w:val="OperatorTok"/>
        </w:rPr>
        <w:t xml:space="preserve">=</w:t>
      </w:r>
      <w:r>
        <w:rPr>
          <w:rStyle w:val="NormalTok"/>
        </w:rPr>
        <w:t xml:space="preserve">salt,</w:t>
      </w:r>
      <w:r>
        <w:br/>
      </w:r>
      <w:r>
        <w:rPr>
          <w:rStyle w:val="NormalTok"/>
        </w:rPr>
        <w:t xml:space="preserve">                        n</w:t>
      </w:r>
      <w:r>
        <w:rPr>
          <w:rStyle w:val="OperatorTok"/>
        </w:rPr>
        <w:t xml:space="preserve">=</w:t>
      </w:r>
      <w:r>
        <w:rPr>
          <w:rStyle w:val="NormalTok"/>
        </w:rPr>
        <w:t xml:space="preserve">SCRYPT_N, r</w:t>
      </w:r>
      <w:r>
        <w:rPr>
          <w:rStyle w:val="OperatorTok"/>
        </w:rPr>
        <w:t xml:space="preserve">=</w:t>
      </w:r>
      <w:r>
        <w:rPr>
          <w:rStyle w:val="NormalTok"/>
        </w:rPr>
        <w:t xml:space="preserve">SCRYPT_R, p</w:t>
      </w:r>
      <w:r>
        <w:rPr>
          <w:rStyle w:val="OperatorTok"/>
        </w:rPr>
        <w:t xml:space="preserve">=</w:t>
      </w:r>
      <w:r>
        <w:rPr>
          <w:rStyle w:val="NormalTok"/>
        </w:rPr>
        <w:t xml:space="preserve">SCRYPT_P,</w:t>
      </w:r>
      <w:r>
        <w:br/>
      </w:r>
      <w:r>
        <w:rPr>
          <w:rStyle w:val="NormalTok"/>
        </w:rPr>
        <w:t xml:space="preserve">                        maxmem</w:t>
      </w:r>
      <w:r>
        <w:rPr>
          <w:rStyle w:val="OperatorTok"/>
        </w:rPr>
        <w:t xml:space="preserve">=</w:t>
      </w:r>
      <w:r>
        <w:rPr>
          <w:rStyle w:val="NormalTok"/>
        </w:rPr>
        <w:t xml:space="preserve">SCRYPT_MAXMEM, dklen</w:t>
      </w:r>
      <w:r>
        <w:rPr>
          <w:rStyle w:val="OperatorTok"/>
        </w:rPr>
        <w:t xml:space="preserve">=</w:t>
      </w:r>
      <w:r>
        <w:rPr>
          <w:rStyle w:val="DecValTok"/>
        </w:rPr>
        <w:t xml:space="preserve">32</w:t>
      </w:r>
      <w:r>
        <w:rPr>
          <w:rStyle w:val="NormalTok"/>
        </w:rPr>
        <w:t xml:space="preserve">)</w:t>
      </w:r>
      <w:r>
        <w:br/>
      </w:r>
      <w:r>
        <w:rPr>
          <w:rStyle w:val="NormalTok"/>
        </w:rPr>
        <w:t xml:space="preserve">    </w:t>
      </w:r>
      <w:r>
        <w:rPr>
          <w:rStyle w:val="CommentTok"/>
        </w:rPr>
        <w:t xml:space="preserve"># Store algorithm, parameters, salt and hash together so they can evolve.</w:t>
      </w:r>
      <w:r>
        <w:br/>
      </w:r>
      <w:r>
        <w:rPr>
          <w:rStyle w:val="NormalTok"/>
        </w:rPr>
        <w:t xml:space="preserve">    </w:t>
      </w:r>
      <w:r>
        <w:rPr>
          <w:rStyle w:val="ControlFlowTok"/>
        </w:rPr>
        <w:t xml:space="preserve">return</w:t>
      </w:r>
      <w:r>
        <w:rPr>
          <w:rStyle w:val="NormalTok"/>
        </w:rPr>
        <w:t xml:space="preserve"> </w:t>
      </w:r>
      <w:r>
        <w:rPr>
          <w:rStyle w:val="SpecialStringTok"/>
        </w:rPr>
        <w:t xml:space="preserve">f"scrypt$</w:t>
      </w:r>
      <w:r>
        <w:rPr>
          <w:rStyle w:val="SpecialCharTok"/>
        </w:rPr>
        <w:t xml:space="preserve">{</w:t>
      </w:r>
      <w:r>
        <w:rPr>
          <w:rStyle w:val="NormalTok"/>
        </w:rPr>
        <w:t xml:space="preserve">SCRYPT_N</w:t>
      </w:r>
      <w:r>
        <w:rPr>
          <w:rStyle w:val="SpecialCharTok"/>
        </w:rPr>
        <w:t xml:space="preserve">}</w:t>
      </w:r>
      <w:r>
        <w:rPr>
          <w:rStyle w:val="SpecialStringTok"/>
        </w:rPr>
        <w:t xml:space="preserve">$</w:t>
      </w:r>
      <w:r>
        <w:rPr>
          <w:rStyle w:val="SpecialCharTok"/>
        </w:rPr>
        <w:t xml:space="preserve">{</w:t>
      </w:r>
      <w:r>
        <w:rPr>
          <w:rStyle w:val="NormalTok"/>
        </w:rPr>
        <w:t xml:space="preserve">SCRYPT_R</w:t>
      </w:r>
      <w:r>
        <w:rPr>
          <w:rStyle w:val="SpecialCharTok"/>
        </w:rPr>
        <w:t xml:space="preserve">}</w:t>
      </w:r>
      <w:r>
        <w:rPr>
          <w:rStyle w:val="SpecialStringTok"/>
        </w:rPr>
        <w:t xml:space="preserve">$</w:t>
      </w:r>
      <w:r>
        <w:rPr>
          <w:rStyle w:val="SpecialCharTok"/>
        </w:rPr>
        <w:t xml:space="preserve">{</w:t>
      </w:r>
      <w:r>
        <w:rPr>
          <w:rStyle w:val="NormalTok"/>
        </w:rPr>
        <w:t xml:space="preserve">SCRYPT_P</w:t>
      </w:r>
      <w:r>
        <w:rPr>
          <w:rStyle w:val="SpecialCharTok"/>
        </w:rPr>
        <w:t xml:space="preserve">}</w:t>
      </w:r>
      <w:r>
        <w:rPr>
          <w:rStyle w:val="SpecialStringTok"/>
        </w:rPr>
        <w:t xml:space="preserve">$</w:t>
      </w:r>
      <w:r>
        <w:rPr>
          <w:rStyle w:val="SpecialCharTok"/>
        </w:rPr>
        <w:t xml:space="preserve">{</w:t>
      </w:r>
      <w:r>
        <w:rPr>
          <w:rStyle w:val="NormalTok"/>
        </w:rPr>
        <w:t xml:space="preserve">b64(salt)</w:t>
      </w:r>
      <w:r>
        <w:rPr>
          <w:rStyle w:val="SpecialCharTok"/>
        </w:rPr>
        <w:t xml:space="preserve">}</w:t>
      </w:r>
      <w:r>
        <w:rPr>
          <w:rStyle w:val="SpecialStringTok"/>
        </w:rPr>
        <w:t xml:space="preserve">$</w:t>
      </w:r>
      <w:r>
        <w:rPr>
          <w:rStyle w:val="SpecialCharTok"/>
        </w:rPr>
        <w:t xml:space="preserve">{</w:t>
      </w:r>
      <w:r>
        <w:rPr>
          <w:rStyle w:val="NormalTok"/>
        </w:rPr>
        <w:t xml:space="preserve">b64(dk)</w:t>
      </w:r>
      <w:r>
        <w:rPr>
          <w:rStyle w:val="SpecialCharTok"/>
        </w:rPr>
        <w:t xml:space="preserve">}</w:t>
      </w:r>
      <w:r>
        <w:rPr>
          <w:rStyle w:val="SpecialStringTok"/>
        </w:rPr>
        <w:t xml:space="preserve">"</w:t>
      </w:r>
      <w:r>
        <w:br/>
      </w:r>
      <w:r>
        <w:br/>
      </w:r>
      <w:r>
        <w:rPr>
          <w:rStyle w:val="KeywordTok"/>
        </w:rPr>
        <w:t xml:space="preserve">def</w:t>
      </w:r>
      <w:r>
        <w:rPr>
          <w:rStyle w:val="NormalTok"/>
        </w:rPr>
        <w:t xml:space="preserve"> scrypt_verify(password: </w:t>
      </w:r>
      <w:r>
        <w:rPr>
          <w:rStyle w:val="BuiltInTok"/>
        </w:rPr>
        <w:t xml:space="preserve">str</w:t>
      </w:r>
      <w:r>
        <w:rPr>
          <w:rStyle w:val="NormalTok"/>
        </w:rPr>
        <w:t xml:space="preserve">, stored: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alg, n, r, p, salt_s, dk_s </w:t>
      </w:r>
      <w:r>
        <w:rPr>
          <w:rStyle w:val="OperatorTok"/>
        </w:rPr>
        <w:t xml:space="preserve">=</w:t>
      </w:r>
      <w:r>
        <w:rPr>
          <w:rStyle w:val="NormalTok"/>
        </w:rPr>
        <w:t xml:space="preserve"> stored.split(</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alg </w:t>
      </w:r>
      <w:r>
        <w:rPr>
          <w:rStyle w:val="OperatorTok"/>
        </w:rPr>
        <w:t xml:space="preserve">!=</w:t>
      </w:r>
      <w:r>
        <w:rPr>
          <w:rStyle w:val="NormalTok"/>
        </w:rPr>
        <w:t xml:space="preserve"> </w:t>
      </w:r>
      <w:r>
        <w:rPr>
          <w:rStyle w:val="StringTok"/>
        </w:rPr>
        <w:t xml:space="preserve">"scrypt"</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"unknown algorithm"</w:t>
      </w:r>
      <w:r>
        <w:rPr>
          <w:rStyle w:val="NormalTok"/>
        </w:rPr>
        <w:t xml:space="preserve">)</w:t>
      </w:r>
      <w:r>
        <w:br/>
      </w:r>
      <w:r>
        <w:rPr>
          <w:rStyle w:val="NormalTok"/>
        </w:rPr>
        <w:t xml:space="preserve">    n, r, p </w:t>
      </w:r>
      <w:r>
        <w:rPr>
          <w:rStyle w:val="OperatorTok"/>
        </w:rPr>
        <w:t xml:space="preserve">=</w:t>
      </w:r>
      <w:r>
        <w:rPr>
          <w:rStyle w:val="NormalTok"/>
        </w:rPr>
        <w:t xml:space="preserve"> </w:t>
      </w:r>
      <w:r>
        <w:rPr>
          <w:rStyle w:val="BuiltInTok"/>
        </w:rPr>
        <w:t xml:space="preserve">int</w:t>
      </w:r>
      <w:r>
        <w:rPr>
          <w:rStyle w:val="NormalTok"/>
        </w:rPr>
        <w:t xml:space="preserve">(n), </w:t>
      </w:r>
      <w:r>
        <w:rPr>
          <w:rStyle w:val="BuiltInTok"/>
        </w:rPr>
        <w:t xml:space="preserve">int</w:t>
      </w:r>
      <w:r>
        <w:rPr>
          <w:rStyle w:val="NormalTok"/>
        </w:rPr>
        <w:t xml:space="preserve">(r), </w:t>
      </w:r>
      <w:r>
        <w:rPr>
          <w:rStyle w:val="BuiltInTok"/>
        </w:rPr>
        <w:t xml:space="preserve">int</w:t>
      </w:r>
      <w:r>
        <w:rPr>
          <w:rStyle w:val="NormalTok"/>
        </w:rPr>
        <w:t xml:space="preserve">(p)</w:t>
      </w:r>
      <w:r>
        <w:br/>
      </w:r>
      <w:r>
        <w:rPr>
          <w:rStyle w:val="NormalTok"/>
        </w:rPr>
        <w:t xml:space="preserve">    candidate </w:t>
      </w:r>
      <w:r>
        <w:rPr>
          <w:rStyle w:val="OperatorTok"/>
        </w:rPr>
        <w:t xml:space="preserve">=</w:t>
      </w:r>
      <w:r>
        <w:rPr>
          <w:rStyle w:val="NormalTok"/>
        </w:rPr>
        <w:t xml:space="preserve"> hashlib.scrypt(password.encode(</w:t>
      </w:r>
      <w:r>
        <w:rPr>
          <w:rStyle w:val="StringTok"/>
        </w:rPr>
        <w:t xml:space="preserve">"utf-8"</w:t>
      </w:r>
      <w:r>
        <w:rPr>
          <w:rStyle w:val="NormalTok"/>
        </w:rPr>
        <w:t xml:space="preserve">), salt</w:t>
      </w:r>
      <w:r>
        <w:rPr>
          <w:rStyle w:val="OperatorTok"/>
        </w:rPr>
        <w:t xml:space="preserve">=</w:t>
      </w:r>
      <w:r>
        <w:rPr>
          <w:rStyle w:val="NormalTok"/>
        </w:rPr>
        <w:t xml:space="preserve">unb64(salt_s),</w:t>
      </w:r>
      <w:r>
        <w:br/>
      </w:r>
      <w:r>
        <w:rPr>
          <w:rStyle w:val="NormalTok"/>
        </w:rPr>
        <w:t xml:space="preserve">                               n</w:t>
      </w:r>
      <w:r>
        <w:rPr>
          <w:rStyle w:val="OperatorTok"/>
        </w:rPr>
        <w:t xml:space="preserve">=</w:t>
      </w:r>
      <w:r>
        <w:rPr>
          <w:rStyle w:val="NormalTok"/>
        </w:rPr>
        <w:t xml:space="preserve">n, r</w:t>
      </w:r>
      <w:r>
        <w:rPr>
          <w:rStyle w:val="OperatorTok"/>
        </w:rPr>
        <w:t xml:space="preserve">=</w:t>
      </w:r>
      <w:r>
        <w:rPr>
          <w:rStyle w:val="NormalTok"/>
        </w:rPr>
        <w:t xml:space="preserve">r, p</w:t>
      </w:r>
      <w:r>
        <w:rPr>
          <w:rStyle w:val="OperatorTok"/>
        </w:rPr>
        <w:t xml:space="preserve">=</w:t>
      </w:r>
      <w:r>
        <w:rPr>
          <w:rStyle w:val="NormalTok"/>
        </w:rPr>
        <w:t xml:space="preserve">p,</w:t>
      </w:r>
      <w:r>
        <w:br/>
      </w:r>
      <w:r>
        <w:rPr>
          <w:rStyle w:val="NormalTok"/>
        </w:rPr>
        <w:t xml:space="preserve">                               maxmem</w:t>
      </w:r>
      <w:r>
        <w:rPr>
          <w:rStyle w:val="OperatorTok"/>
        </w:rPr>
        <w:t xml:space="preserve">=</w:t>
      </w:r>
      <w:r>
        <w:rPr>
          <w:rStyle w:val="BuiltInTok"/>
        </w:rPr>
        <w:t xml:space="preserve">max</w:t>
      </w:r>
      <w:r>
        <w:rPr>
          <w:rStyle w:val="NormalTok"/>
        </w:rPr>
        <w:t xml:space="preserve">(SCRYPT_MAXMEM, </w:t>
      </w:r>
      <w:r>
        <w:rPr>
          <w:rStyle w:val="DecValTok"/>
        </w:rPr>
        <w:t xml:space="preserve">256</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r), dklen</w:t>
      </w:r>
      <w:r>
        <w:rPr>
          <w:rStyle w:val="OperatorTok"/>
        </w:rPr>
        <w:t xml:space="preserve">=</w:t>
      </w:r>
      <w:r>
        <w:rPr>
          <w:rStyle w:val="DecValTok"/>
        </w:rPr>
        <w:t xml:space="preserve">32</w:t>
      </w:r>
      <w:r>
        <w:rPr>
          <w:rStyle w:val="NormalTok"/>
        </w:rPr>
        <w:t xml:space="preserve">)</w:t>
      </w:r>
      <w:r>
        <w:br/>
      </w:r>
      <w:r>
        <w:rPr>
          <w:rStyle w:val="NormalTok"/>
        </w:rPr>
        <w:t xml:space="preserve">    </w:t>
      </w:r>
      <w:r>
        <w:rPr>
          <w:rStyle w:val="ControlFlowTok"/>
        </w:rPr>
        <w:t xml:space="preserve">return</w:t>
      </w:r>
      <w:r>
        <w:rPr>
          <w:rStyle w:val="NormalTok"/>
        </w:rPr>
        <w:t xml:space="preserve"> hmac.compare_digest(candidate, unb64(dk_s))      </w:t>
      </w:r>
      <w:r>
        <w:rPr>
          <w:rStyle w:val="CommentTok"/>
        </w:rPr>
        <w:t xml:space="preserve"># constant-time compare</w:t>
      </w:r>
      <w:r>
        <w:br/>
      </w:r>
      <w:r>
        <w:br/>
      </w:r>
      <w:r>
        <w:rPr>
          <w:rStyle w:val="KeywordTok"/>
        </w:rPr>
        <w:t xml:space="preserve">def</w:t>
      </w:r>
      <w:r>
        <w:rPr>
          <w:rStyle w:val="NormalTok"/>
        </w:rPr>
        <w:t xml:space="preserve"> needs_rehash(stored: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_, n, r, p, </w:t>
      </w:r>
      <w:r>
        <w:rPr>
          <w:rStyle w:val="OperatorTok"/>
        </w:rPr>
        <w:t xml:space="preserve">*</w:t>
      </w:r>
      <w:r>
        <w:rPr>
          <w:rStyle w:val="NormalTok"/>
        </w:rPr>
        <w:t xml:space="preserve">_ </w:t>
      </w:r>
      <w:r>
        <w:rPr>
          <w:rStyle w:val="OperatorTok"/>
        </w:rPr>
        <w:t xml:space="preserve">=</w:t>
      </w:r>
      <w:r>
        <w:rPr>
          <w:rStyle w:val="NormalTok"/>
        </w:rPr>
        <w:t xml:space="preserve"> stored.split(</w:t>
      </w:r>
      <w:r>
        <w:rPr>
          <w:rStyle w:v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int</w:t>
      </w:r>
      <w:r>
        <w:rPr>
          <w:rStyle w:val="NormalTok"/>
        </w:rPr>
        <w:t xml:space="preserve">(n), </w:t>
      </w:r>
      <w:r>
        <w:rPr>
          <w:rStyle w:val="BuiltInTok"/>
        </w:rPr>
        <w:t xml:space="preserve">int</w:t>
      </w:r>
      <w:r>
        <w:rPr>
          <w:rStyle w:val="NormalTok"/>
        </w:rPr>
        <w:t xml:space="preserve">(r), </w:t>
      </w:r>
      <w:r>
        <w:rPr>
          <w:rStyle w:val="BuiltInTok"/>
        </w:rPr>
        <w:t xml:space="preserve">int</w:t>
      </w:r>
      <w:r>
        <w:rPr>
          <w:rStyle w:val="NormalTok"/>
        </w:rPr>
        <w:t xml:space="preserve">(p)) </w:t>
      </w:r>
      <w:r>
        <w:rPr>
          <w:rStyle w:val="OperatorTok"/>
        </w:rPr>
        <w:t xml:space="preserve">!=</w:t>
      </w:r>
      <w:r>
        <w:rPr>
          <w:rStyle w:val="NormalTok"/>
        </w:rPr>
        <w:t xml:space="preserve"> (SCRYPT_N, SCRYPT_R, SCRYPT_P)</w:t>
      </w:r>
      <w:r>
        <w:br/>
      </w:r>
      <w:r>
        <w:br/>
      </w:r>
      <w:r>
        <w:rPr>
          <w:rStyle w:val="CommentTok"/>
        </w:rPr>
        <w:t xml:space="preserve"># ---------- Argon2id (cryptography library) ----------</w:t>
      </w:r>
      <w:r>
        <w:br/>
      </w:r>
      <w:r>
        <w:rPr>
          <w:rStyle w:val="ImportTok"/>
        </w:rPr>
        <w:t xml:space="preserve">from</w:t>
      </w:r>
      <w:r>
        <w:rPr>
          <w:rStyle w:val="NormalTok"/>
        </w:rPr>
        <w:t xml:space="preserve"> cryptography.hazmat.primitives.kdf.argon2 </w:t>
      </w:r>
      <w:r>
        <w:rPr>
          <w:rStyle w:val="ImportTok"/>
        </w:rPr>
        <w:t xml:space="preserve">import</w:t>
      </w:r>
      <w:r>
        <w:rPr>
          <w:rStyle w:val="NormalTok"/>
        </w:rPr>
        <w:t xml:space="preserve"> Argon2id</w:t>
      </w:r>
      <w:r>
        <w:br/>
      </w:r>
      <w:r>
        <w:rPr>
          <w:rStyle w:val="ImportTok"/>
        </w:rPr>
        <w:t xml:space="preserve">from</w:t>
      </w:r>
      <w:r>
        <w:rPr>
          <w:rStyle w:val="NormalTok"/>
        </w:rPr>
        <w:t xml:space="preserve"> cryptography.exceptions </w:t>
      </w:r>
      <w:r>
        <w:rPr>
          <w:rStyle w:val="ImportTok"/>
        </w:rPr>
        <w:t xml:space="preserve">import</w:t>
      </w:r>
      <w:r>
        <w:rPr>
          <w:rStyle w:val="NormalTok"/>
        </w:rPr>
        <w:t xml:space="preserve"> InvalidKey</w:t>
      </w:r>
      <w:r>
        <w:br/>
      </w:r>
      <w:r>
        <w:br/>
      </w:r>
      <w:r>
        <w:rPr>
          <w:rStyle w:val="NormalTok"/>
        </w:rPr>
        <w:t xml:space="preserve">ARGON_T, ARGON_M_KIB, ARGON_P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19</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DecValTok"/>
        </w:rPr>
        <w:t xml:space="preserve">1</w:t>
      </w:r>
      <w:r>
        <w:rPr>
          <w:rStyle w:val="NormalTok"/>
        </w:rPr>
        <w:t xml:space="preserve">   </w:t>
      </w:r>
      <w:r>
        <w:rPr>
          <w:rStyle w:val="CommentTok"/>
        </w:rPr>
        <w:t xml:space="preserve"># OWASP minimum: m=19 MiB, t=2, p=1</w:t>
      </w:r>
      <w:r>
        <w:br/>
      </w:r>
      <w:r>
        <w:br/>
      </w:r>
      <w:r>
        <w:rPr>
          <w:rStyle w:val="KeywordTok"/>
        </w:rPr>
        <w:t xml:space="preserve">def</w:t>
      </w:r>
      <w:r>
        <w:rPr>
          <w:rStyle w:val="NormalTok"/>
        </w:rPr>
        <w:t xml:space="preserve"> argon2id_hash(password: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salt </w:t>
      </w:r>
      <w:r>
        <w:rPr>
          <w:rStyle w:val="OperatorTok"/>
        </w:rPr>
        <w:t xml:space="preserve">=</w:t>
      </w:r>
      <w:r>
        <w:rPr>
          <w:rStyle w:val="NormalTok"/>
        </w:rPr>
        <w:t xml:space="preserve"> os.urandom(</w:t>
      </w:r>
      <w:r>
        <w:rPr>
          <w:rStyle w:val="DecValTok"/>
        </w:rPr>
        <w:t xml:space="preserve">16</w:t>
      </w:r>
      <w:r>
        <w:rPr>
          <w:rStyle w:val="NormalTok"/>
        </w:rPr>
        <w:t xml:space="preserve">)</w:t>
      </w:r>
      <w:r>
        <w:br/>
      </w:r>
      <w:r>
        <w:rPr>
          <w:rStyle w:val="NormalTok"/>
        </w:rPr>
        <w:t xml:space="preserve">    kdf </w:t>
      </w:r>
      <w:r>
        <w:rPr>
          <w:rStyle w:val="OperatorTok"/>
        </w:rPr>
        <w:t xml:space="preserve">=</w:t>
      </w:r>
      <w:r>
        <w:rPr>
          <w:rStyle w:val="NormalTok"/>
        </w:rPr>
        <w:t xml:space="preserve"> Argon2id(salt</w:t>
      </w:r>
      <w:r>
        <w:rPr>
          <w:rStyle w:val="OperatorTok"/>
        </w:rPr>
        <w:t xml:space="preserve">=</w:t>
      </w:r>
      <w:r>
        <w:rPr>
          <w:rStyle w:val="NormalTok"/>
        </w:rPr>
        <w:t xml:space="preserve">salt, length</w:t>
      </w:r>
      <w:r>
        <w:rPr>
          <w:rStyle w:val="OperatorTok"/>
        </w:rPr>
        <w:t xml:space="preserve">=</w:t>
      </w:r>
      <w:r>
        <w:rPr>
          <w:rStyle w:val="DecValTok"/>
        </w:rPr>
        <w:t xml:space="preserve">32</w:t>
      </w:r>
      <w:r>
        <w:rPr>
          <w:rStyle w:val="NormalTok"/>
        </w:rPr>
        <w:t xml:space="preserve">, iterations</w:t>
      </w:r>
      <w:r>
        <w:rPr>
          <w:rStyle w:val="OperatorTok"/>
        </w:rPr>
        <w:t xml:space="preserve">=</w:t>
      </w:r>
      <w:r>
        <w:rPr>
          <w:rStyle w:val="NormalTok"/>
        </w:rPr>
        <w:t xml:space="preserve">ARGON_T,</w:t>
      </w:r>
      <w:r>
        <w:br/>
      </w:r>
      <w:r>
        <w:rPr>
          <w:rStyle w:val="NormalTok"/>
        </w:rPr>
        <w:t xml:space="preserve">                   lanes</w:t>
      </w:r>
      <w:r>
        <w:rPr>
          <w:rStyle w:val="OperatorTok"/>
        </w:rPr>
        <w:t xml:space="preserve">=</w:t>
      </w:r>
      <w:r>
        <w:rPr>
          <w:rStyle w:val="NormalTok"/>
        </w:rPr>
        <w:t xml:space="preserve">ARGON_P, memory_cost</w:t>
      </w:r>
      <w:r>
        <w:rPr>
          <w:rStyle w:val="OperatorTok"/>
        </w:rPr>
        <w:t xml:space="preserve">=</w:t>
      </w:r>
      <w:r>
        <w:rPr>
          <w:rStyle w:val="NormalTok"/>
        </w:rPr>
        <w:t xml:space="preserve">ARGON_M_KIB)</w:t>
      </w:r>
      <w:r>
        <w:br/>
      </w:r>
      <w:r>
        <w:rPr>
          <w:rStyle w:val="NormalTok"/>
        </w:rPr>
        <w:t xml:space="preserve">    tag </w:t>
      </w:r>
      <w:r>
        <w:rPr>
          <w:rStyle w:val="OperatorTok"/>
        </w:rPr>
        <w:t xml:space="preserve">=</w:t>
      </w:r>
      <w:r>
        <w:rPr>
          <w:rStyle w:val="NormalTok"/>
        </w:rPr>
        <w:t xml:space="preserve"> kdf.derive(password.encode(</w:t>
      </w:r>
      <w:r>
        <w:rPr>
          <w:rStyle w:val="StringTok"/>
        </w:rPr>
        <w:t xml:space="preserve">"utf-8"</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f"argon2id$</w:t>
      </w:r>
      <w:r>
        <w:rPr>
          <w:rStyle w:val="SpecialCharTok"/>
        </w:rPr>
        <w:t xml:space="preserve">{</w:t>
      </w:r>
      <w:r>
        <w:rPr>
          <w:rStyle w:val="NormalTok"/>
        </w:rPr>
        <w:t xml:space="preserve">ARGON_M_KIB</w:t>
      </w:r>
      <w:r>
        <w:rPr>
          <w:rStyle w:val="SpecialCharTok"/>
        </w:rPr>
        <w:t xml:space="preserve">}</w:t>
      </w:r>
      <w:r>
        <w:rPr>
          <w:rStyle w:val="SpecialStringTok"/>
        </w:rPr>
        <w:t xml:space="preserve">$</w:t>
      </w:r>
      <w:r>
        <w:rPr>
          <w:rStyle w:val="SpecialCharTok"/>
        </w:rPr>
        <w:t xml:space="preserve">{</w:t>
      </w:r>
      <w:r>
        <w:rPr>
          <w:rStyle w:val="NormalTok"/>
        </w:rPr>
        <w:t xml:space="preserve">ARGON_T</w:t>
      </w:r>
      <w:r>
        <w:rPr>
          <w:rStyle w:val="SpecialCharTok"/>
        </w:rPr>
        <w:t xml:space="preserve">}</w:t>
      </w:r>
      <w:r>
        <w:rPr>
          <w:rStyle w:val="SpecialStringTok"/>
        </w:rPr>
        <w:t xml:space="preserve">$</w:t>
      </w:r>
      <w:r>
        <w:rPr>
          <w:rStyle w:val="SpecialCharTok"/>
        </w:rPr>
        <w:t xml:space="preserve">{</w:t>
      </w:r>
      <w:r>
        <w:rPr>
          <w:rStyle w:val="NormalTok"/>
        </w:rPr>
        <w:t xml:space="preserve">ARGON_P</w:t>
      </w:r>
      <w:r>
        <w:rPr>
          <w:rStyle w:val="SpecialCharTok"/>
        </w:rPr>
        <w:t xml:space="preserve">}</w:t>
      </w:r>
      <w:r>
        <w:rPr>
          <w:rStyle w:val="SpecialStringTok"/>
        </w:rPr>
        <w:t xml:space="preserve">$</w:t>
      </w:r>
      <w:r>
        <w:rPr>
          <w:rStyle w:val="SpecialCharTok"/>
        </w:rPr>
        <w:t xml:space="preserve">{</w:t>
      </w:r>
      <w:r>
        <w:rPr>
          <w:rStyle w:val="NormalTok"/>
        </w:rPr>
        <w:t xml:space="preserve">b64(salt)</w:t>
      </w:r>
      <w:r>
        <w:rPr>
          <w:rStyle w:val="SpecialCharTok"/>
        </w:rPr>
        <w:t xml:space="preserve">}</w:t>
      </w:r>
      <w:r>
        <w:rPr>
          <w:rStyle w:val="SpecialStringTok"/>
        </w:rPr>
        <w:t xml:space="preserve">$</w:t>
      </w:r>
      <w:r>
        <w:rPr>
          <w:rStyle w:val="SpecialCharTok"/>
        </w:rPr>
        <w:t xml:space="preserve">{</w:t>
      </w:r>
      <w:r>
        <w:rPr>
          <w:rStyle w:val="NormalTok"/>
        </w:rPr>
        <w:t xml:space="preserve">b64(tag)</w:t>
      </w:r>
      <w:r>
        <w:rPr>
          <w:rStyle w:val="SpecialCharTok"/>
        </w:rPr>
        <w:t xml:space="preserve">}</w:t>
      </w:r>
      <w:r>
        <w:rPr>
          <w:rStyle w:val="SpecialStringTok"/>
        </w:rPr>
        <w:t xml:space="preserve">"</w:t>
      </w:r>
      <w:r>
        <w:br/>
      </w:r>
      <w:r>
        <w:br/>
      </w:r>
      <w:r>
        <w:rPr>
          <w:rStyle w:val="KeywordTok"/>
        </w:rPr>
        <w:t xml:space="preserve">def</w:t>
      </w:r>
      <w:r>
        <w:rPr>
          <w:rStyle w:val="NormalTok"/>
        </w:rPr>
        <w:t xml:space="preserve"> argon2id_verify(password: </w:t>
      </w:r>
      <w:r>
        <w:rPr>
          <w:rStyle w:val="BuiltInTok"/>
        </w:rPr>
        <w:t xml:space="preserve">str</w:t>
      </w:r>
      <w:r>
        <w:rPr>
          <w:rStyle w:val="NormalTok"/>
        </w:rPr>
        <w:t xml:space="preserve">, stored: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alg, m, t, p, salt_s, tag_s </w:t>
      </w:r>
      <w:r>
        <w:rPr>
          <w:rStyle w:val="OperatorTok"/>
        </w:rPr>
        <w:t xml:space="preserve">=</w:t>
      </w:r>
      <w:r>
        <w:rPr>
          <w:rStyle w:val="NormalTok"/>
        </w:rPr>
        <w:t xml:space="preserve"> stored.split(</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alg </w:t>
      </w:r>
      <w:r>
        <w:rPr>
          <w:rStyle w:val="OperatorTok"/>
        </w:rPr>
        <w:t xml:space="preserve">!=</w:t>
      </w:r>
      <w:r>
        <w:rPr>
          <w:rStyle w:val="NormalTok"/>
        </w:rPr>
        <w:t xml:space="preserve"> </w:t>
      </w:r>
      <w:r>
        <w:rPr>
          <w:rStyle w:val="StringTok"/>
        </w:rPr>
        <w:t xml:space="preserve">"argon2id"</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"unknown algorithm"</w:t>
      </w:r>
      <w:r>
        <w:rPr>
          <w:rStyle w:val="NormalTok"/>
        </w:rPr>
        <w:t xml:space="preserve">)</w:t>
      </w:r>
      <w:r>
        <w:br/>
      </w:r>
      <w:r>
        <w:rPr>
          <w:rStyle w:val="NormalTok"/>
        </w:rPr>
        <w:t xml:space="preserve">    kdf </w:t>
      </w:r>
      <w:r>
        <w:rPr>
          <w:rStyle w:val="OperatorTok"/>
        </w:rPr>
        <w:t xml:space="preserve">=</w:t>
      </w:r>
      <w:r>
        <w:rPr>
          <w:rStyle w:val="NormalTok"/>
        </w:rPr>
        <w:t xml:space="preserve"> Argon2id(salt</w:t>
      </w:r>
      <w:r>
        <w:rPr>
          <w:rStyle w:val="OperatorTok"/>
        </w:rPr>
        <w:t xml:space="preserve">=</w:t>
      </w:r>
      <w:r>
        <w:rPr>
          <w:rStyle w:val="NormalTok"/>
        </w:rPr>
        <w:t xml:space="preserve">unb64(salt_s), length</w:t>
      </w:r>
      <w:r>
        <w:rPr>
          <w:rStyle w:val="OperatorTok"/>
        </w:rPr>
        <w:t xml:space="preserve">=</w:t>
      </w:r>
      <w:r>
        <w:rPr>
          <w:rStyle w:val="DecValTok"/>
        </w:rPr>
        <w:t xml:space="preserve">32</w:t>
      </w:r>
      <w:r>
        <w:rPr>
          <w:rStyle w:val="NormalTok"/>
        </w:rPr>
        <w:t xml:space="preserve">, iterations</w:t>
      </w:r>
      <w:r>
        <w:rPr>
          <w:rStyle w:val="OperatorTok"/>
        </w:rPr>
        <w:t xml:space="preserve">=</w:t>
      </w:r>
      <w:r>
        <w:rPr>
          <w:rStyle w:val="BuiltInTok"/>
        </w:rPr>
        <w:t xml:space="preserve">int</w:t>
      </w:r>
      <w:r>
        <w:rPr>
          <w:rStyle w:val="NormalTok"/>
        </w:rPr>
        <w:t xml:space="preserve">(t),</w:t>
      </w:r>
      <w:r>
        <w:br/>
      </w:r>
      <w:r>
        <w:rPr>
          <w:rStyle w:val="NormalTok"/>
        </w:rPr>
        <w:t xml:space="preserve">                   lanes</w:t>
      </w:r>
      <w:r>
        <w:rPr>
          <w:rStyle w:val="OperatorTok"/>
        </w:rPr>
        <w:t xml:space="preserve">=</w:t>
      </w:r>
      <w:r>
        <w:rPr>
          <w:rStyle w:val="BuiltInTok"/>
        </w:rPr>
        <w:t xml:space="preserve">int</w:t>
      </w:r>
      <w:r>
        <w:rPr>
          <w:rStyle w:val="NormalTok"/>
        </w:rPr>
        <w:t xml:space="preserve">(p), memory_cost</w:t>
      </w:r>
      <w:r>
        <w:rPr>
          <w:rStyle w:val="OperatorTok"/>
        </w:rPr>
        <w:t xml:space="preserve">=</w:t>
      </w:r>
      <w:r>
        <w:rPr>
          <w:rStyle w:val="BuiltInTok"/>
        </w:rPr>
        <w:t xml:space="preserve">int</w:t>
      </w:r>
      <w:r>
        <w:rPr>
          <w:rStyle w:val="NormalTok"/>
        </w:rPr>
        <w:t xml:space="preserve">(m))</w:t>
      </w:r>
      <w:r>
        <w:br/>
      </w:r>
      <w:r>
        <w:rPr>
          <w:rStyle w:val="NormalTok"/>
        </w:rPr>
        <w:t xml:space="preserve">    </w:t>
      </w:r>
      <w:r>
        <w:rPr>
          <w:rStyle w:val="ControlFlowTok"/>
        </w:rPr>
        <w:t xml:space="preserve">try</w:t>
      </w:r>
      <w:r>
        <w:rPr>
          <w:rStyle w:val="NormalTok"/>
        </w:rPr>
        <w:t xml:space="preserve">:</w:t>
      </w:r>
      <w:r>
        <w:br/>
      </w:r>
      <w:r>
        <w:rPr>
          <w:rStyle w:val="NormalTok"/>
        </w:rPr>
        <w:t xml:space="preserve">        kdf.verify(password.encode(</w:t>
      </w:r>
      <w:r>
        <w:rPr>
          <w:rStyle w:val="StringTok"/>
        </w:rPr>
        <w:t xml:space="preserve">"utf-8"</w:t>
      </w:r>
      <w:r>
        <w:rPr>
          <w:rStyle w:val="NormalTok"/>
        </w:rPr>
        <w:t xml:space="preserve">), unb64(tag_s))  </w:t>
      </w:r>
      <w:r>
        <w:rPr>
          <w:rStyle w:val="CommentTok"/>
        </w:rPr>
        <w:t xml:space="preserve"># constant-time inside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except</w:t>
      </w:r>
      <w:r>
        <w:rPr>
          <w:rStyle w:val="NormalTok"/>
        </w:rPr>
        <w:t xml:space="preserve"> InvalidKey:</w:t>
      </w:r>
      <w:r>
        <w:br/>
      </w:r>
      <w:r>
        <w:rPr>
          <w:rStyle w:val="NormalTok"/>
        </w:rPr>
        <w:t xml:space="preserve">        </w:t>
      </w:r>
      <w:r>
        <w:rPr>
          <w:rStyle w:val="ControlFlowTok"/>
        </w:rPr>
        <w:t xml:space="preserve">return</w:t>
      </w:r>
      <w:r>
        <w:rPr>
          <w:rStyle w:val="NormalTok"/>
        </w:rPr>
        <w:t xml:space="preserve"> </w:t>
      </w:r>
      <w:r>
        <w:rPr>
          <w:rStyle w:val="VariableTok"/>
        </w:rPr>
        <w:t xml:space="preserve">False</w:t>
      </w:r>
    </w:p>
    <w:p>
      <w:pPr>
        <w:pStyle w:val="FirstParagraph"/>
      </w:pPr>
      <w:r>
        <w:t xml:space="preserve">Tested with Python 3.13 and</w:t>
      </w:r>
      <w:r>
        <w:t xml:space="preserve"> </w:t>
      </w:r>
      <w:r>
        <w:rPr>
          <w:rStyle w:val="VerbatimChar"/>
        </w:rPr>
        <w:t xml:space="preserve">cryptography</w:t>
      </w:r>
      <w:r>
        <w:t xml:space="preserve"> </w:t>
      </w:r>
      <w:r>
        <w:t xml:space="preserve">50.0.1 on a cloud VM: one scrypt hash at OWASP-minimum settings took about 400 ms, one Argon2id hash about 33 ms; correct passwords verify, a one-letter change fails, and hashing the same password twice gives different strings.</w:t>
      </w:r>
    </w:p>
    <w:p>
      <w:pPr>
        <w:pStyle w:val="BodyText"/>
      </w:pPr>
      <w:r>
        <w:t xml:space="preserve">What to notice:</w:t>
      </w:r>
    </w:p>
    <w:p>
      <w:pPr>
        <w:numPr>
          <w:ilvl w:val="0"/>
          <w:numId w:val="1346"/>
        </w:numPr>
        <w:pStyle w:val="Compact"/>
      </w:pPr>
      <w:r>
        <w:rPr>
          <w:rStyle w:val="VerbatimChar"/>
        </w:rPr>
        <w:t xml:space="preserve">hashlib.scrypt</w:t>
      </w:r>
      <w:r>
        <w:t xml:space="preserve"> </w:t>
      </w:r>
      <w:r>
        <w:t xml:space="preserve">refuses to use more than 32 MiB by default;</w:t>
      </w:r>
      <w:r>
        <w:t xml:space="preserve"> </w:t>
      </w:r>
      <w:r>
        <w:rPr>
          <w:rStyle w:val="VerbatimChar"/>
        </w:rPr>
        <w:t xml:space="preserve">maxmem</w:t>
      </w:r>
      <w:r>
        <w:t xml:space="preserve"> </w:t>
      </w:r>
      <w:r>
        <w:t xml:space="preserve">must be raised for</w:t>
      </w:r>
      <w:r>
        <w:t xml:space="preserve"> </w:t>
      </w:r>
      <m:oMath>
        <m:r>
          <m:t>N</m:t>
        </m:r>
        <m:r>
          <m:rPr>
            <m:sty m:val="p"/>
          </m:rPr>
          <m:t>=</m:t>
        </m:r>
        <m:sSup>
          <m:e>
            <m:r>
              <m:t>2</m:t>
            </m:r>
          </m:e>
          <m:sup>
            <m:r>
              <m:t>17</m:t>
            </m:r>
          </m:sup>
        </m:sSup>
      </m:oMath>
      <w:r>
        <w:t xml:space="preserve">,</w:t>
      </w:r>
      <w:r>
        <w:t xml:space="preserve"> </w:t>
      </w:r>
      <m:oMath>
        <m:r>
          <m:t>r</m:t>
        </m:r>
        <m:r>
          <m:rPr>
            <m:sty m:val="p"/>
          </m:rPr>
          <m:t>=</m:t>
        </m:r>
        <m:r>
          <m:t>8</m:t>
        </m:r>
      </m:oMath>
      <w:r>
        <w:t xml:space="preserve"> </w:t>
      </w:r>
      <w:r>
        <w:t xml:space="preserve">(128 MiB).</w:t>
      </w:r>
    </w:p>
    <w:p>
      <w:pPr>
        <w:numPr>
          <w:ilvl w:val="0"/>
          <w:numId w:val="1346"/>
        </w:numPr>
        <w:pStyle w:val="Compact"/>
      </w:pPr>
      <w:r>
        <w:t xml:space="preserve">The stored string is self-describing (algorithm, parameters, salt, hash), which is what makes</w:t>
      </w:r>
      <w:r>
        <w:t xml:space="preserve"> </w:t>
      </w:r>
      <w:r>
        <w:rPr>
          <w:rStyle w:val="VerbatimChar"/>
        </w:rPr>
        <w:t xml:space="preserve">needs_rehash</w:t>
      </w:r>
      <w:r>
        <w:t xml:space="preserve"> </w:t>
      </w:r>
      <w:r>
        <w:t xml:space="preserve">and gradual parameter upgrades possible. Production code should prefer the standard PHC string format produced by maintained libraries such as</w:t>
      </w:r>
      <w:r>
        <w:t xml:space="preserve"> </w:t>
      </w:r>
      <w:r>
        <w:rPr>
          <w:rStyle w:val="VerbatimChar"/>
        </w:rPr>
        <w:t xml:space="preserve">argon2-cffi</w:t>
      </w:r>
      <w:r>
        <w:t xml:space="preserve">.</w:t>
      </w:r>
    </w:p>
    <w:p>
      <w:pPr>
        <w:numPr>
          <w:ilvl w:val="0"/>
          <w:numId w:val="1346"/>
        </w:numPr>
        <w:pStyle w:val="Compact"/>
      </w:pPr>
      <w:r>
        <w:t xml:space="preserve">~33 ms for Argon2id at OWASP-minimum settings is a floor; raise</w:t>
      </w:r>
      <w:r>
        <w:t xml:space="preserve"> </w:t>
      </w:r>
      <m:oMath>
        <m:r>
          <m:t>m</m:t>
        </m:r>
      </m:oMath>
      <w:r>
        <w:t xml:space="preserve"> </w:t>
      </w:r>
      <w:r>
        <w:t xml:space="preserve">or</w:t>
      </w:r>
      <w:r>
        <w:t xml:space="preserve"> </w:t>
      </w:r>
      <m:oMath>
        <m:r>
          <m:t>t</m:t>
        </m:r>
      </m:oMath>
      <w:r>
        <w:t xml:space="preserve"> </w:t>
      </w:r>
      <w:r>
        <w:t xml:space="preserve">until the cost reaches your latency and capacity budget.</w:t>
      </w:r>
    </w:p>
    <w:p>
      <w:pPr>
        <w:pStyle w:val="CalloutMistake"/>
      </w:pPr>
      <w:r>
        <w:rPr>
          <w:bCs/>
          <w:b/>
        </w:rPr>
        <w:t xml:space="preserve">COMMON MISTAKE</w:t>
      </w:r>
    </w:p>
    <w:p>
      <w:pPr>
        <w:pStyle w:val="CalloutMistake"/>
      </w:pPr>
      <w:r>
        <w:rPr>
          <w:bCs/>
          <w:b/>
        </w:rPr>
        <w:t xml:space="preserve">“</w:t>
      </w:r>
      <w:r>
        <w:rPr>
          <w:bCs/>
          <w:b/>
        </w:rPr>
        <w:t xml:space="preserve">Encrypting passwords is safer than hashing them.</w:t>
      </w:r>
      <w:r>
        <w:rPr>
          <w:bCs/>
          <w:b/>
        </w:rPr>
        <w:t xml:space="preserve">”</w:t>
      </w:r>
      <w:r>
        <w:t xml:space="preserve"> </w:t>
      </w:r>
      <w:r>
        <w:t xml:space="preserve">Encryption is reversible, so whoever obtains the key — an attacker with application-server access, a rogue administrator — recovers every password at once. Systems should never need to recover a user’s password; if a product requirement says</w:t>
      </w:r>
      <w:r>
        <w:t xml:space="preserve"> </w:t>
      </w:r>
      <w:r>
        <w:t xml:space="preserve">“</w:t>
      </w:r>
      <w:r>
        <w:t xml:space="preserve">email users their password</w:t>
      </w:r>
      <w:r>
        <w:t xml:space="preserve">”</w:t>
      </w:r>
      <w:r>
        <w:t xml:space="preserve">, the requirement is wrong.</w:t>
      </w:r>
    </w:p>
    <w:bookmarkEnd w:id="1136"/>
    <w:bookmarkEnd w:id="1137"/>
    <w:bookmarkEnd w:id="1138"/>
    <w:bookmarkStart w:id="1142" w:name="the-owasp-top-10-in-architectural-terms"/>
    <w:p>
      <w:pPr>
        <w:pStyle w:val="Heading2"/>
      </w:pPr>
      <w:r>
        <w:t xml:space="preserve">10.7 The OWASP Top 10 in architectural terms</w:t>
      </w:r>
    </w:p>
    <w:p>
      <w:pPr>
        <w:pStyle w:val="CalloutDefinition"/>
      </w:pPr>
      <w:r>
        <w:rPr>
          <w:bCs/>
          <w:b/>
        </w:rPr>
        <w:t xml:space="preserve">DEFINITION</w:t>
      </w:r>
    </w:p>
    <w:p>
      <w:pPr>
        <w:pStyle w:val="CalloutDefinition"/>
      </w:pPr>
      <w:r>
        <w:rPr>
          <w:bCs/>
          <w:b/>
        </w:rPr>
        <w:t xml:space="preserve">Definition — OWASP Top 10.</w:t>
      </w:r>
      <w:r>
        <w:t xml:space="preserve"> </w:t>
      </w:r>
      <w:r>
        <w:t xml:space="preserve">A consensus ranking of the most critical web application security risk categories, published by the Open Worldwide Application Security Project from vulnerability data contributed by testing organizations plus a community survey. This section uses the</w:t>
      </w:r>
      <w:r>
        <w:t xml:space="preserve"> </w:t>
      </w:r>
      <w:r>
        <w:rPr>
          <w:bCs/>
          <w:b/>
        </w:rPr>
        <w:t xml:space="preserve">2021 edition</w:t>
      </w:r>
      <w:r>
        <w:t xml:space="preserve"> </w:t>
      </w:r>
      <w:r>
        <w:t xml:space="preserve">[OWASP 2021]. A 2025 edition has since been published; it keeps broken access control at #1, folds SSRF into it, and adds categories for software supply-chain failures and mishandling of exceptional conditions, so the architectural controls below remain applicable.</w:t>
      </w:r>
    </w:p>
    <w:p>
      <w:pPr>
        <w:pStyle w:val="BodyText"/>
      </w:pPr>
      <w:r>
        <w:t xml:space="preserve">The Top 10 is often taught as a list of coding bugs. For a system designer, each category is better read as a</w:t>
      </w:r>
      <w:r>
        <w:t xml:space="preserve"> </w:t>
      </w:r>
      <w:r>
        <w:rPr>
          <w:iCs/>
          <w:i/>
        </w:rPr>
        <w:t xml:space="preserve">missing architectural control</w:t>
      </w:r>
      <w:r>
        <w:t xml:space="preserve">: something that should exist once, centrally, rather than being re-implemented correctly by every developer on every endpoint.</w:t>
      </w:r>
    </w:p>
    <w:p>
      <w:pPr>
        <w:pStyle w:val="BodyText"/>
      </w:pPr>
      <w:r>
        <w:rPr>
          <w:bCs/>
          <w:b/>
        </w:rPr>
        <w:t xml:space="preserve">Table 10.9 — OWASP Top 10 (2021) mapped to architectural controls.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Category</w:t>
            </w:r>
          </w:p>
        </w:tc>
        <w:tc>
          <w:tcPr/>
          <w:p>
            <w:pPr>
              <w:pStyle w:val="Compact"/>
              <w:jc w:val="left"/>
            </w:pPr>
            <w:r>
              <w:t xml:space="preserve">What goes wrong</w:t>
            </w:r>
          </w:p>
        </w:tc>
        <w:tc>
          <w:tcPr/>
          <w:p>
            <w:pPr>
              <w:pStyle w:val="Compact"/>
              <w:jc w:val="left"/>
            </w:pPr>
            <w:r>
              <w:t xml:space="preserve">Architectural control</w:t>
            </w:r>
          </w:p>
        </w:tc>
      </w:tr>
      <w:tr>
        <w:tc>
          <w:tcPr/>
          <w:p>
            <w:pPr>
              <w:pStyle w:val="Compact"/>
              <w:jc w:val="left"/>
            </w:pPr>
            <w:r>
              <w:t xml:space="preserve">A01</w:t>
            </w:r>
          </w:p>
        </w:tc>
        <w:tc>
          <w:tcPr/>
          <w:p>
            <w:pPr>
              <w:pStyle w:val="Compact"/>
              <w:jc w:val="left"/>
            </w:pPr>
            <w:r>
              <w:t xml:space="preserve">Broken Access Control</w:t>
            </w:r>
          </w:p>
        </w:tc>
        <w:tc>
          <w:tcPr/>
          <w:p>
            <w:pPr>
              <w:pStyle w:val="Compact"/>
              <w:jc w:val="left"/>
            </w:pPr>
            <w:r>
              <w:t xml:space="preserve">Users act outside their permissions: IDOR, missing function-level checks, CORS misconfiguration</w:t>
            </w:r>
          </w:p>
        </w:tc>
        <w:tc>
          <w:tcPr/>
          <w:p>
            <w:pPr>
              <w:pStyle w:val="Compact"/>
              <w:jc w:val="left"/>
            </w:pPr>
            <w:r>
              <w:t xml:space="preserve">Deny by default; central policy engine or authorization middleware; object-level checks in the data-access layer; tenant ID derived from the token, never from the request body</w:t>
            </w:r>
          </w:p>
        </w:tc>
      </w:tr>
      <w:tr>
        <w:tc>
          <w:tcPr/>
          <w:p>
            <w:pPr>
              <w:pStyle w:val="Compact"/>
              <w:jc w:val="left"/>
            </w:pPr>
            <w:r>
              <w:t xml:space="preserve">A02</w:t>
            </w:r>
          </w:p>
        </w:tc>
        <w:tc>
          <w:tcPr/>
          <w:p>
            <w:pPr>
              <w:pStyle w:val="Compact"/>
              <w:jc w:val="left"/>
            </w:pPr>
            <w:r>
              <w:t xml:space="preserve">Cryptographic Failures</w:t>
            </w:r>
          </w:p>
        </w:tc>
        <w:tc>
          <w:tcPr/>
          <w:p>
            <w:pPr>
              <w:pStyle w:val="Compact"/>
              <w:jc w:val="left"/>
            </w:pPr>
            <w:r>
              <w:t xml:space="preserve">Sensitive data unencrypted or protected with weak/misused crypto</w:t>
            </w:r>
          </w:p>
        </w:tc>
        <w:tc>
          <w:tcPr/>
          <w:p>
            <w:pPr>
              <w:pStyle w:val="Compact"/>
              <w:jc w:val="left"/>
            </w:pPr>
            <w:r>
              <w:t xml:space="preserve">TLS everywhere; KMS-managed keys; AEAD; data classification deciding what is encrypted (§10.9)</w:t>
            </w:r>
          </w:p>
        </w:tc>
      </w:tr>
      <w:tr>
        <w:tc>
          <w:tcPr/>
          <w:p>
            <w:pPr>
              <w:pStyle w:val="Compact"/>
              <w:jc w:val="left"/>
            </w:pPr>
            <w:r>
              <w:t xml:space="preserve">A03</w:t>
            </w:r>
          </w:p>
        </w:tc>
        <w:tc>
          <w:tcPr/>
          <w:p>
            <w:pPr>
              <w:pStyle w:val="Compact"/>
              <w:jc w:val="left"/>
            </w:pPr>
            <w:r>
              <w:t xml:space="preserve">Injection</w:t>
            </w:r>
          </w:p>
        </w:tc>
        <w:tc>
          <w:tcPr/>
          <w:p>
            <w:pPr>
              <w:pStyle w:val="Compact"/>
              <w:jc w:val="left"/>
            </w:pPr>
            <w:r>
              <w:t xml:space="preserve">Untrusted data interpreted as code: SQL, NoSQL, OS command, LDAP; cross-site scripting is included here in 2021</w:t>
            </w:r>
          </w:p>
        </w:tc>
        <w:tc>
          <w:tcPr/>
          <w:p>
            <w:pPr>
              <w:pStyle w:val="Compact"/>
              <w:jc w:val="left"/>
            </w:pPr>
            <w:r>
              <w:t xml:space="preserve">Parameterized queries/ORMs; no shell invocation with user input; context-aware output encoding; Content Security Policy</w:t>
            </w:r>
          </w:p>
        </w:tc>
      </w:tr>
      <w:tr>
        <w:tc>
          <w:tcPr/>
          <w:p>
            <w:pPr>
              <w:pStyle w:val="Compact"/>
              <w:jc w:val="left"/>
            </w:pPr>
            <w:r>
              <w:t xml:space="preserve">A04</w:t>
            </w:r>
          </w:p>
        </w:tc>
        <w:tc>
          <w:tcPr/>
          <w:p>
            <w:pPr>
              <w:pStyle w:val="Compact"/>
              <w:jc w:val="left"/>
            </w:pPr>
            <w:r>
              <w:t xml:space="preserve">Insecure Design</w:t>
            </w:r>
          </w:p>
        </w:tc>
        <w:tc>
          <w:tcPr/>
          <w:p>
            <w:pPr>
              <w:pStyle w:val="Compact"/>
              <w:jc w:val="left"/>
            </w:pPr>
            <w:r>
              <w:t xml:space="preserve">Missing or ineffective security controls by design, not by implementation</w:t>
            </w:r>
          </w:p>
        </w:tc>
        <w:tc>
          <w:tcPr/>
          <w:p>
            <w:pPr>
              <w:pStyle w:val="Compact"/>
              <w:jc w:val="left"/>
            </w:pPr>
            <w:r>
              <w:t xml:space="preserve">Threat modeling (§10.3); abuse-case requirements; rate limits and business-logic limits designed in</w:t>
            </w:r>
          </w:p>
        </w:tc>
      </w:tr>
      <w:tr>
        <w:tc>
          <w:tcPr/>
          <w:p>
            <w:pPr>
              <w:pStyle w:val="Compact"/>
              <w:jc w:val="left"/>
            </w:pPr>
            <w:r>
              <w:t xml:space="preserve">A05</w:t>
            </w:r>
          </w:p>
        </w:tc>
        <w:tc>
          <w:tcPr/>
          <w:p>
            <w:pPr>
              <w:pStyle w:val="Compact"/>
              <w:jc w:val="left"/>
            </w:pPr>
            <w:r>
              <w:t xml:space="preserve">Security Misconfiguration</w:t>
            </w:r>
          </w:p>
        </w:tc>
        <w:tc>
          <w:tcPr/>
          <w:p>
            <w:pPr>
              <w:pStyle w:val="Compact"/>
              <w:jc w:val="left"/>
            </w:pPr>
            <w:r>
              <w:t xml:space="preserve">Default credentials, verbose errors, open buckets, unnecessary features enabled</w:t>
            </w:r>
          </w:p>
        </w:tc>
        <w:tc>
          <w:tcPr/>
          <w:p>
            <w:pPr>
              <w:pStyle w:val="Compact"/>
              <w:jc w:val="left"/>
            </w:pPr>
            <w:r>
              <w:t xml:space="preserve">Infrastructure as code with policy checks; hardened base images; configuration drift detection</w:t>
            </w:r>
          </w:p>
        </w:tc>
      </w:tr>
      <w:tr>
        <w:tc>
          <w:tcPr/>
          <w:p>
            <w:pPr>
              <w:pStyle w:val="Compact"/>
              <w:jc w:val="left"/>
            </w:pPr>
            <w:r>
              <w:t xml:space="preserve">A06</w:t>
            </w:r>
          </w:p>
        </w:tc>
        <w:tc>
          <w:tcPr/>
          <w:p>
            <w:pPr>
              <w:pStyle w:val="Compact"/>
              <w:jc w:val="left"/>
            </w:pPr>
            <w:r>
              <w:t xml:space="preserve">Vulnerable and Outdated Components</w:t>
            </w:r>
          </w:p>
        </w:tc>
        <w:tc>
          <w:tcPr/>
          <w:p>
            <w:pPr>
              <w:pStyle w:val="Compact"/>
              <w:jc w:val="left"/>
            </w:pPr>
            <w:r>
              <w:t xml:space="preserve">Known-vulnerable libraries, frameworks, OS packages</w:t>
            </w:r>
          </w:p>
        </w:tc>
        <w:tc>
          <w:tcPr/>
          <w:p>
            <w:pPr>
              <w:pStyle w:val="Compact"/>
              <w:jc w:val="left"/>
            </w:pPr>
            <w:r>
              <w:t xml:space="preserve">Software bill of materials (SBOM); dependency scanning in CI; patch SLAs; automated update PRs</w:t>
            </w:r>
          </w:p>
        </w:tc>
      </w:tr>
      <w:tr>
        <w:tc>
          <w:tcPr/>
          <w:p>
            <w:pPr>
              <w:pStyle w:val="Compact"/>
              <w:jc w:val="left"/>
            </w:pPr>
            <w:r>
              <w:t xml:space="preserve">A07</w:t>
            </w:r>
          </w:p>
        </w:tc>
        <w:tc>
          <w:tcPr/>
          <w:p>
            <w:pPr>
              <w:pStyle w:val="Compact"/>
              <w:jc w:val="left"/>
            </w:pPr>
            <w:r>
              <w:t xml:space="preserve">Identification and Authentication Failures</w:t>
            </w:r>
          </w:p>
        </w:tc>
        <w:tc>
          <w:tcPr/>
          <w:p>
            <w:pPr>
              <w:pStyle w:val="Compact"/>
              <w:jc w:val="left"/>
            </w:pPr>
            <w:r>
              <w:t xml:space="preserve">Credential stuffing, weak session handling, missing MFA</w:t>
            </w:r>
          </w:p>
        </w:tc>
        <w:tc>
          <w:tcPr/>
          <w:p>
            <w:pPr>
              <w:pStyle w:val="Compact"/>
              <w:jc w:val="left"/>
            </w:pPr>
            <w:r>
              <w:t xml:space="preserve">Central identity provider; MFA; rate limiting; secure session tokens (§10.4.7)</w:t>
            </w:r>
          </w:p>
        </w:tc>
      </w:tr>
      <w:tr>
        <w:tc>
          <w:tcPr/>
          <w:p>
            <w:pPr>
              <w:pStyle w:val="Compact"/>
              <w:jc w:val="left"/>
            </w:pPr>
            <w:r>
              <w:t xml:space="preserve">A08</w:t>
            </w:r>
          </w:p>
        </w:tc>
        <w:tc>
          <w:tcPr/>
          <w:p>
            <w:pPr>
              <w:pStyle w:val="Compact"/>
              <w:jc w:val="left"/>
            </w:pPr>
            <w:r>
              <w:t xml:space="preserve">Software and Data Integrity Failures</w:t>
            </w:r>
          </w:p>
        </w:tc>
        <w:tc>
          <w:tcPr/>
          <w:p>
            <w:pPr>
              <w:pStyle w:val="Compact"/>
              <w:jc w:val="left"/>
            </w:pPr>
            <w:r>
              <w:t xml:space="preserve">Unsigned updates, compromised CI/CD, insecure deserialization</w:t>
            </w:r>
          </w:p>
        </w:tc>
        <w:tc>
          <w:tcPr/>
          <w:p>
            <w:pPr>
              <w:pStyle w:val="Compact"/>
              <w:jc w:val="left"/>
            </w:pPr>
            <w:r>
              <w:t xml:space="preserve">Signed artifacts and provenance; protected build pipeline; no deserialization of untrusted native objects</w:t>
            </w:r>
          </w:p>
        </w:tc>
      </w:tr>
      <w:tr>
        <w:tc>
          <w:tcPr/>
          <w:p>
            <w:pPr>
              <w:pStyle w:val="Compact"/>
              <w:jc w:val="left"/>
            </w:pPr>
            <w:r>
              <w:t xml:space="preserve">A09</w:t>
            </w:r>
          </w:p>
        </w:tc>
        <w:tc>
          <w:tcPr/>
          <w:p>
            <w:pPr>
              <w:pStyle w:val="Compact"/>
              <w:jc w:val="left"/>
            </w:pPr>
            <w:r>
              <w:t xml:space="preserve">Security Logging and Monitoring Failures</w:t>
            </w:r>
          </w:p>
        </w:tc>
        <w:tc>
          <w:tcPr/>
          <w:p>
            <w:pPr>
              <w:pStyle w:val="Compact"/>
              <w:jc w:val="left"/>
            </w:pPr>
            <w:r>
              <w:t xml:space="preserve">Breaches go undetected for months</w:t>
            </w:r>
          </w:p>
        </w:tc>
        <w:tc>
          <w:tcPr/>
          <w:p>
            <w:pPr>
              <w:pStyle w:val="Compact"/>
              <w:jc w:val="left"/>
            </w:pPr>
            <w:r>
              <w:t xml:space="preserve">Central, tamper-evident audit logs (§10.12); alerting on security events</w:t>
            </w:r>
          </w:p>
        </w:tc>
      </w:tr>
      <w:tr>
        <w:tc>
          <w:tcPr/>
          <w:p>
            <w:pPr>
              <w:pStyle w:val="Compact"/>
              <w:jc w:val="left"/>
            </w:pPr>
            <w:r>
              <w:t xml:space="preserve">A10</w:t>
            </w:r>
          </w:p>
        </w:tc>
        <w:tc>
          <w:tcPr/>
          <w:p>
            <w:pPr>
              <w:pStyle w:val="Compact"/>
              <w:jc w:val="left"/>
            </w:pPr>
            <w:r>
              <w:t xml:space="preserve">Server-Side Request Forgery (SSRF)</w:t>
            </w:r>
          </w:p>
        </w:tc>
        <w:tc>
          <w:tcPr/>
          <w:p>
            <w:pPr>
              <w:pStyle w:val="Compact"/>
              <w:jc w:val="left"/>
            </w:pPr>
            <w:r>
              <w:t xml:space="preserve">Server fetches an attacker-chosen URL, reaching internal services</w:t>
            </w:r>
          </w:p>
        </w:tc>
        <w:tc>
          <w:tcPr/>
          <w:p>
            <w:pPr>
              <w:pStyle w:val="Compact"/>
              <w:jc w:val="left"/>
            </w:pPr>
            <w:r>
              <w:t xml:space="preserve">Egress allow-lists via a dedicated fetch proxy; block metadata and private ranges; IMDSv2-style token-protected metadata</w:t>
            </w:r>
          </w:p>
        </w:tc>
      </w:tr>
    </w:tbl>
    <w:bookmarkStart w:id="1139" w:name="broken-access-control-a01"/>
    <w:p>
      <w:pPr>
        <w:pStyle w:val="Heading3"/>
      </w:pPr>
      <w:r>
        <w:t xml:space="preserve">10.7.1 Broken access control (A01)</w:t>
      </w:r>
    </w:p>
    <w:p>
      <w:pPr>
        <w:pStyle w:val="FirstParagraph"/>
      </w:pPr>
      <w:r>
        <w:t xml:space="preserve">Broken access control is #1 because authorization is the one control that cannot be bolted on by infrastructure: only the application knows that photo 9001 belongs to user 42. The classic form is the</w:t>
      </w:r>
      <w:r>
        <w:t xml:space="preserve"> </w:t>
      </w:r>
      <w:r>
        <w:rPr>
          <w:bCs/>
          <w:b/>
        </w:rPr>
        <w:t xml:space="preserve">insecure direct object reference (IDOR)</w:t>
      </w:r>
      <w:r>
        <w:t xml:space="preserve">:</w:t>
      </w:r>
      <w:r>
        <w:t xml:space="preserve"> </w:t>
      </w:r>
      <w:r>
        <w:rPr>
          <w:rStyle w:val="VerbatimChar"/>
        </w:rPr>
        <w:t xml:space="preserve">GET /api/photos/9001</w:t>
      </w:r>
      <w:r>
        <w:t xml:space="preserve"> </w:t>
      </w:r>
      <w:r>
        <w:t xml:space="preserve">returns the photo to anyone authenticated, because the handler checks</w:t>
      </w:r>
      <w:r>
        <w:t xml:space="preserve"> </w:t>
      </w:r>
      <w:r>
        <w:rPr>
          <w:iCs/>
          <w:i/>
        </w:rPr>
        <w:t xml:space="preserve">that</w:t>
      </w:r>
      <w:r>
        <w:t xml:space="preserve"> </w:t>
      </w:r>
      <w:r>
        <w:t xml:space="preserve">the user is logged in but not</w:t>
      </w:r>
      <w:r>
        <w:t xml:space="preserve"> </w:t>
      </w:r>
      <w:r>
        <w:rPr>
          <w:iCs/>
          <w:i/>
        </w:rPr>
        <w:t xml:space="preserve">whether</w:t>
      </w:r>
      <w:r>
        <w:t xml:space="preserve"> </w:t>
      </w:r>
      <w:r>
        <w:t xml:space="preserve">they own photo 9001.</w:t>
      </w:r>
    </w:p>
    <w:p>
      <w:pPr>
        <w:pStyle w:val="BodyText"/>
      </w:pPr>
      <w:r>
        <w:t xml:space="preserve">Architectural patterns that make the correct behavior the default:</w:t>
      </w:r>
    </w:p>
    <w:p>
      <w:pPr>
        <w:numPr>
          <w:ilvl w:val="0"/>
          <w:numId w:val="1347"/>
        </w:numPr>
        <w:pStyle w:val="Compact"/>
      </w:pPr>
      <w:r>
        <w:rPr>
          <w:bCs/>
          <w:b/>
        </w:rPr>
        <w:t xml:space="preserve">Deny by default.</w:t>
      </w:r>
      <w:r>
        <w:t xml:space="preserve"> </w:t>
      </w:r>
      <w:r>
        <w:t xml:space="preserve">A new endpoint without an explicit policy rejects all requests.</w:t>
      </w:r>
    </w:p>
    <w:p>
      <w:pPr>
        <w:numPr>
          <w:ilvl w:val="0"/>
          <w:numId w:val="1347"/>
        </w:numPr>
        <w:pStyle w:val="Compact"/>
      </w:pPr>
      <w:r>
        <w:rPr>
          <w:bCs/>
          <w:b/>
        </w:rPr>
        <w:t xml:space="preserve">Centralize decisions.</w:t>
      </w:r>
      <w:r>
        <w:t xml:space="preserve"> </w:t>
      </w:r>
      <w:r>
        <w:t xml:space="preserve">Route every authorization question through one library or service (a policy engine such as Open Policy Agent, or a relationship-based system modeled on Google’s Zanzibar — §8.12), so the rules are written and reviewed once.</w:t>
      </w:r>
    </w:p>
    <w:p>
      <w:pPr>
        <w:numPr>
          <w:ilvl w:val="0"/>
          <w:numId w:val="1347"/>
        </w:numPr>
        <w:pStyle w:val="Compact"/>
      </w:pPr>
      <w:r>
        <w:rPr>
          <w:bCs/>
          <w:b/>
        </w:rPr>
        <w:t xml:space="preserve">Push checks to the data layer.</w:t>
      </w:r>
      <w:r>
        <w:t xml:space="preserve"> </w:t>
      </w:r>
      <w:r>
        <w:t xml:space="preserve">Repository methods take the caller’s identity and add</w:t>
      </w:r>
      <w:r>
        <w:t xml:space="preserve"> </w:t>
      </w:r>
      <w:r>
        <w:rPr>
          <w:rStyle w:val="VerbatimChar"/>
        </w:rPr>
        <w:t xml:space="preserve">WHERE owner_id = :caller</w:t>
      </w:r>
      <w:r>
        <w:t xml:space="preserve"> </w:t>
      </w:r>
      <w:r>
        <w:t xml:space="preserve">(or tenant filters) automatically; database row-level security can enforce the same rule underneath.</w:t>
      </w:r>
    </w:p>
    <w:p>
      <w:pPr>
        <w:numPr>
          <w:ilvl w:val="0"/>
          <w:numId w:val="1347"/>
        </w:numPr>
        <w:pStyle w:val="Compact"/>
      </w:pPr>
      <w:r>
        <w:rPr>
          <w:bCs/>
          <w:b/>
        </w:rPr>
        <w:t xml:space="preserve">Use unguessable identifiers as defense in depth, not as the control.</w:t>
      </w:r>
      <w:r>
        <w:t xml:space="preserve"> </w:t>
      </w:r>
      <w:r>
        <w:t xml:space="preserve">Random UUIDs make enumeration harder but are not authorization; IDs leak through URLs, logs and shares.</w:t>
      </w:r>
    </w:p>
    <w:bookmarkEnd w:id="1139"/>
    <w:bookmarkStart w:id="1140" w:name="injection-a03"/>
    <w:p>
      <w:pPr>
        <w:pStyle w:val="Heading3"/>
      </w:pPr>
      <w:r>
        <w:t xml:space="preserve">10.7.2 Injection (A03)</w:t>
      </w:r>
    </w:p>
    <w:p>
      <w:pPr>
        <w:pStyle w:val="FirstParagraph"/>
      </w:pPr>
      <w:r>
        <w:t xml:space="preserve">Injection happens when data and code share a channel. A query built as</w:t>
      </w:r>
      <w:r>
        <w:t xml:space="preserve"> </w:t>
      </w:r>
      <w:r>
        <w:rPr>
          <w:rStyle w:val="VerbatimChar"/>
        </w:rPr>
        <w:t xml:space="preserve">"SELECT * FROM users WHERE name = '" + name + "'"</w:t>
      </w:r>
      <w:r>
        <w:t xml:space="preserve"> </w:t>
      </w:r>
      <w:r>
        <w:t xml:space="preserve">lets an attacker supply</w:t>
      </w:r>
      <w:r>
        <w:t xml:space="preserve"> </w:t>
      </w:r>
      <w:r>
        <w:rPr>
          <w:rStyle w:val="VerbatimChar"/>
        </w:rPr>
        <w:t xml:space="preserve">' OR '1'='1</w:t>
      </w:r>
      <w:r>
        <w:t xml:space="preserve"> </w:t>
      </w:r>
      <w:r>
        <w:t xml:space="preserve">and change the query’s</w:t>
      </w:r>
      <w:r>
        <w:t xml:space="preserve"> </w:t>
      </w:r>
      <w:r>
        <w:rPr>
          <w:iCs/>
          <w:i/>
        </w:rPr>
        <w:t xml:space="preserve">structure</w:t>
      </w:r>
      <w:r>
        <w:t xml:space="preserve">.</w:t>
      </w:r>
      <w:r>
        <w:t xml:space="preserve"> </w:t>
      </w:r>
      <w:r>
        <w:rPr>
          <w:bCs/>
          <w:b/>
        </w:rPr>
        <w:t xml:space="preserve">Parameterized queries</w:t>
      </w:r>
      <w:r>
        <w:t xml:space="preserve"> </w:t>
      </w:r>
      <w:r>
        <w:t xml:space="preserve">separate the channels: the query text is sent to the database with placeholders, and values are sent separately, so a value can never become syntax.</w:t>
      </w:r>
    </w:p>
    <w:p>
      <w:pPr>
        <w:pStyle w:val="SourceCode"/>
      </w:pPr>
      <w:r>
        <w:rPr>
          <w:rStyle w:val="ImportTok"/>
        </w:rPr>
        <w:t xml:space="preserve">import</w:t>
      </w:r>
      <w:r>
        <w:rPr>
          <w:rStyle w:val="NormalTok"/>
        </w:rPr>
        <w:t xml:space="preserve"> sqlite3</w:t>
      </w:r>
      <w:r>
        <w:br/>
      </w:r>
      <w:r>
        <w:rPr>
          <w:rStyle w:val="NormalTok"/>
        </w:rPr>
        <w:t xml:space="preserve">db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StringTok"/>
        </w:rPr>
        <w:t xml:space="preserve">":memory:"</w:t>
      </w:r>
      <w:r>
        <w:rPr>
          <w:rStyle w:val="NormalTok"/>
        </w:rPr>
        <w:t xml:space="preserve">)</w:t>
      </w:r>
      <w:r>
        <w:br/>
      </w:r>
      <w:r>
        <w:rPr>
          <w:rStyle w:val="NormalTok"/>
        </w:rPr>
        <w:t xml:space="preserve">db.execute(</w:t>
      </w:r>
      <w:r>
        <w:rPr>
          <w:rStyle w:val="StringTok"/>
        </w:rPr>
        <w:t xml:space="preserve">"CREATE TABLE users (name TEXT, email TEXT)"</w:t>
      </w:r>
      <w:r>
        <w:rPr>
          <w:rStyle w:val="NormalTok"/>
        </w:rPr>
        <w:t xml:space="preserve">)</w:t>
      </w:r>
      <w:r>
        <w:br/>
      </w:r>
      <w:r>
        <w:rPr>
          <w:rStyle w:val="NormalTok"/>
        </w:rPr>
        <w:t xml:space="preserve">db.execute(</w:t>
      </w:r>
      <w:r>
        <w:rPr>
          <w:rStyle w:val="StringTok"/>
        </w:rPr>
        <w:t xml:space="preserve">"INSERT INTO users VALUES ('alice', 'a@example.com')"</w:t>
      </w:r>
      <w:r>
        <w:rPr>
          <w:rStyle w:val="NormalTok"/>
        </w:rPr>
        <w:t xml:space="preserve">)</w:t>
      </w:r>
      <w:r>
        <w:br/>
      </w:r>
      <w:r>
        <w:rPr>
          <w:rStyle w:val="NormalTok"/>
        </w:rPr>
        <w:t xml:space="preserve">attacker_input </w:t>
      </w:r>
      <w:r>
        <w:rPr>
          <w:rStyle w:val="OperatorTok"/>
        </w:rPr>
        <w:t xml:space="preserve">=</w:t>
      </w:r>
      <w:r>
        <w:rPr>
          <w:rStyle w:val="NormalTok"/>
        </w:rPr>
        <w:t xml:space="preserve"> </w:t>
      </w:r>
      <w:r>
        <w:rPr>
          <w:rStyle w:val="StringTok"/>
        </w:rPr>
        <w:t xml:space="preserve">"x' OR '1'='1"</w:t>
      </w:r>
      <w:r>
        <w:br/>
      </w:r>
      <w:r>
        <w:rPr>
          <w:rStyle w:val="CommentTok"/>
        </w:rPr>
        <w:t xml:space="preserve"># Vulnerable (illustrative, never do this): f"... WHERE name = '{attacker_input}'"</w:t>
      </w:r>
      <w:r>
        <w:br/>
      </w:r>
      <w:r>
        <w:rPr>
          <w:rStyle w:val="NormalTok"/>
        </w:rPr>
        <w:t xml:space="preserve">rows </w:t>
      </w:r>
      <w:r>
        <w:rPr>
          <w:rStyle w:val="OperatorTok"/>
        </w:rPr>
        <w:t xml:space="preserve">=</w:t>
      </w:r>
      <w:r>
        <w:rPr>
          <w:rStyle w:val="NormalTok"/>
        </w:rPr>
        <w:t xml:space="preserve"> db.execute(</w:t>
      </w:r>
      <w:r>
        <w:rPr>
          <w:rStyle w:val="StringTok"/>
        </w:rPr>
        <w:t xml:space="preserve">"SELECT email FROM users WHERE name = ?"</w:t>
      </w:r>
      <w:r>
        <w:rPr>
          <w:rStyle w:val="NormalTok"/>
        </w:rPr>
        <w:t xml:space="preserve">, (attacker_input,)).fetchall()</w:t>
      </w:r>
      <w:r>
        <w:br/>
      </w:r>
      <w:r>
        <w:rPr>
          <w:rStyle w:val="BuiltInTok"/>
        </w:rPr>
        <w:t xml:space="preserve">print</w:t>
      </w:r>
      <w:r>
        <w:rPr>
          <w:rStyle w:val="NormalTok"/>
        </w:rPr>
        <w:t xml:space="preserve">(rows)   </w:t>
      </w:r>
      <w:r>
        <w:rPr>
          <w:rStyle w:val="CommentTok"/>
        </w:rPr>
        <w:t xml:space="preserve"># [] -- the input is treated purely as a value</w:t>
      </w:r>
    </w:p>
    <w:p>
      <w:pPr>
        <w:pStyle w:val="FirstParagraph"/>
      </w:pPr>
      <w:r>
        <w:t xml:space="preserve">What to notice: the</w:t>
      </w:r>
      <w:r>
        <w:t xml:space="preserve"> </w:t>
      </w:r>
      <w:r>
        <w:rPr>
          <w:rStyle w:val="VerbatimChar"/>
        </w:rPr>
        <w:t xml:space="preserve">?</w:t>
      </w:r>
      <w:r>
        <w:t xml:space="preserve"> </w:t>
      </w:r>
      <w:r>
        <w:t xml:space="preserve">placeholder is bound by the driver; no escaping function is needed or involved. The architectural layer of defense is to give the application’s database user only the rights it needs (no</w:t>
      </w:r>
      <w:r>
        <w:t xml:space="preserve"> </w:t>
      </w:r>
      <w:r>
        <w:rPr>
          <w:rStyle w:val="VerbatimChar"/>
        </w:rPr>
        <w:t xml:space="preserve">DROP</w:t>
      </w:r>
      <w:r>
        <w:t xml:space="preserve">, no access to other schemas), so a missed injection cannot become a full compromise.</w:t>
      </w:r>
    </w:p>
    <w:bookmarkEnd w:id="1140"/>
    <w:bookmarkStart w:id="1141" w:name="server-side-request-forgery-a10"/>
    <w:p>
      <w:pPr>
        <w:pStyle w:val="Heading3"/>
      </w:pPr>
      <w:r>
        <w:t xml:space="preserve">10.7.3 Server-side request forgery (A10)</w:t>
      </w:r>
    </w:p>
    <w:p>
      <w:pPr>
        <w:pStyle w:val="FirstParagraph"/>
      </w:pPr>
      <w:r>
        <w:t xml:space="preserve">Many features make the server fetch a URL the user supplied: link previews, webhooks,</w:t>
      </w:r>
      <w:r>
        <w:t xml:space="preserve"> </w:t>
      </w:r>
      <w:r>
        <w:t xml:space="preserve">“</w:t>
      </w:r>
      <w:r>
        <w:t xml:space="preserve">import from URL</w:t>
      </w:r>
      <w:r>
        <w:t xml:space="preserve">”</w:t>
      </w:r>
      <w:r>
        <w:t xml:space="preserve">, PDF rendering. If the server can reach internal addresses, the attacker can make it fetch</w:t>
      </w:r>
      <w:r>
        <w:t xml:space="preserve"> </w:t>
      </w:r>
      <w:r>
        <w:rPr>
          <w:rStyle w:val="VerbatimChar"/>
        </w:rPr>
        <w:t xml:space="preserve">http://169.254.169.254/</w:t>
      </w:r>
      <w:r>
        <w:t xml:space="preserve"> </w:t>
      </w:r>
      <w:r>
        <w:t xml:space="preserve">(the cloud instance-metadata endpoint that hands out the instance’s IAM credentials),</w:t>
      </w:r>
      <w:r>
        <w:t xml:space="preserve"> </w:t>
      </w:r>
      <w:r>
        <w:rPr>
          <w:rStyle w:val="VerbatimChar"/>
        </w:rPr>
        <w:t xml:space="preserve">http://localhost:8080/admin</w:t>
      </w:r>
      <w:r>
        <w:t xml:space="preserve"> </w:t>
      </w:r>
      <w:r>
        <w:t xml:space="preserve">or internal databases’ HTTP interfaces.</w:t>
      </w:r>
    </w:p>
    <w:p>
      <w:pPr>
        <w:pStyle w:val="CalloutIndustry"/>
      </w:pPr>
      <w:r>
        <w:rPr>
          <w:bCs/>
          <w:b/>
        </w:rPr>
        <w:t xml:space="preserve">INDUSTRY EXAMPLE</w:t>
      </w:r>
    </w:p>
    <w:p>
      <w:pPr>
        <w:pStyle w:val="CalloutIndustry"/>
      </w:pPr>
      <w:r>
        <w:rPr>
          <w:bCs/>
          <w:b/>
        </w:rPr>
        <w:t xml:space="preserve">Capital One (2019).</w:t>
      </w:r>
      <w:r>
        <w:t xml:space="preserve"> </w:t>
      </w:r>
      <w:r>
        <w:t xml:space="preserve">An attacker exploited a misconfigured web application firewall to make requests to the AWS instance-metadata service, obtained temporary credentials for the instance’s IAM role, and used that role’s overly broad permissions to copy data on roughly 100 million credit-card applicants from S3. Two architectural failures compounded: an SSRF path to metadata, and a role with far more S3 access than the WAF needed. Later that year AWS introduced IMDSv2, which requires a session token obtained via an HTTP</w:t>
      </w:r>
      <w:r>
        <w:t xml:space="preserve"> </w:t>
      </w:r>
      <w:r>
        <w:rPr>
          <w:rStyle w:val="VerbatimChar"/>
        </w:rPr>
        <w:t xml:space="preserve">PUT</w:t>
      </w:r>
      <w:r>
        <w:t xml:space="preserve">, defeating most simple SSRF requests.</w:t>
      </w:r>
      <w:r>
        <w:t xml:space="preserve"> </w:t>
      </w:r>
      <w:r>
        <w:rPr>
          <w:iCs/>
          <w:i/>
        </w:rPr>
        <w:t xml:space="preserve">Evidence: Secondary</w:t>
      </w:r>
      <w:r>
        <w:t xml:space="preserve"> </w:t>
      </w:r>
      <w:r>
        <w:t xml:space="preserve">— public court filings and widespread reporting; [AWS Docs: IMDSv2].</w:t>
      </w:r>
    </w:p>
    <w:p>
      <w:pPr>
        <w:pStyle w:val="BodyText"/>
      </w:pPr>
      <w:r>
        <w:t xml:space="preserve">Defense in depth for SSRF: (1) route all user-driven outbound fetches through a dedicated</w:t>
      </w:r>
      <w:r>
        <w:t xml:space="preserve"> </w:t>
      </w:r>
      <w:r>
        <w:rPr>
          <w:bCs/>
          <w:b/>
        </w:rPr>
        <w:t xml:space="preserve">egress proxy</w:t>
      </w:r>
      <w:r>
        <w:t xml:space="preserve"> </w:t>
      </w:r>
      <w:r>
        <w:t xml:space="preserve">in its own network segment with no route to internal ranges; (2) validate URLs (scheme, port, resolved IP) and</w:t>
      </w:r>
      <w:r>
        <w:t xml:space="preserve"> </w:t>
      </w:r>
      <w:r>
        <w:rPr>
          <w:bCs/>
          <w:b/>
        </w:rPr>
        <w:t xml:space="preserve">pin</w:t>
      </w:r>
      <w:r>
        <w:t xml:space="preserve"> </w:t>
      </w:r>
      <w:r>
        <w:t xml:space="preserve">the validated IP for the connection, otherwise</w:t>
      </w:r>
      <w:r>
        <w:t xml:space="preserve"> </w:t>
      </w:r>
      <w:r>
        <w:rPr>
          <w:bCs/>
          <w:b/>
        </w:rPr>
        <w:t xml:space="preserve">DNS rebinding</w:t>
      </w:r>
      <w:r>
        <w:t xml:space="preserve"> </w:t>
      </w:r>
      <w:r>
        <w:t xml:space="preserve">— a hostname that resolves to a public IP at check time and a private IP at fetch time — bypasses the check; (3) disable redirects or re-validate each hop; (4) require IMDSv2 and give instance roles least privilege.</w:t>
      </w:r>
    </w:p>
    <w:p>
      <w:pPr>
        <w:pStyle w:val="SourceCode"/>
      </w:pPr>
      <w:r>
        <w:rPr>
          <w:rStyle w:val="CommentTok"/>
        </w:rPr>
        <w:t xml:space="preserve">"""Defense-in-depth check for user-supplied URLs fetched by a server (SSRF)."""</w:t>
      </w:r>
      <w:r>
        <w:br/>
      </w:r>
      <w:r>
        <w:rPr>
          <w:rStyle w:val="ImportTok"/>
        </w:rPr>
        <w:t xml:space="preserve">import</w:t>
      </w:r>
      <w:r>
        <w:rPr>
          <w:rStyle w:val="NormalTok"/>
        </w:rPr>
        <w:t xml:space="preserve"> ipaddress</w:t>
      </w:r>
      <w:r>
        <w:br/>
      </w:r>
      <w:r>
        <w:rPr>
          <w:rStyle w:val="ImportTok"/>
        </w:rPr>
        <w:t xml:space="preserve">import</w:t>
      </w:r>
      <w:r>
        <w:rPr>
          <w:rStyle w:val="NormalTok"/>
        </w:rPr>
        <w:t xml:space="preserve"> socket</w:t>
      </w:r>
      <w:r>
        <w:br/>
      </w:r>
      <w:r>
        <w:rPr>
          <w:rStyle w:val="ImportTok"/>
        </w:rPr>
        <w:t xml:space="preserve">from</w:t>
      </w:r>
      <w:r>
        <w:rPr>
          <w:rStyle w:val="NormalTok"/>
        </w:rPr>
        <w:t xml:space="preserve"> urllib.parse </w:t>
      </w:r>
      <w:r>
        <w:rPr>
          <w:rStyle w:val="ImportTok"/>
        </w:rPr>
        <w:t xml:space="preserve">import</w:t>
      </w:r>
      <w:r>
        <w:rPr>
          <w:rStyle w:val="NormalTok"/>
        </w:rPr>
        <w:t xml:space="preserve"> urlsplit</w:t>
      </w:r>
      <w:r>
        <w:br/>
      </w:r>
      <w:r>
        <w:br/>
      </w:r>
      <w:r>
        <w:rPr>
          <w:rStyle w:val="NormalTok"/>
        </w:rPr>
        <w:t xml:space="preserve">ALLOWED_SCHEMES </w:t>
      </w:r>
      <w:r>
        <w:rPr>
          <w:rStyle w:val="OperatorTok"/>
        </w:rPr>
        <w:t xml:space="preserve">=</w:t>
      </w:r>
      <w:r>
        <w:rPr>
          <w:rStyle w:val="NormalTok"/>
        </w:rPr>
        <w:t xml:space="preserve"> {</w:t>
      </w:r>
      <w:r>
        <w:rPr>
          <w:rStyle w:val="StringTok"/>
        </w:rPr>
        <w:t xml:space="preserve">"https"</w:t>
      </w:r>
      <w:r>
        <w:rPr>
          <w:rStyle w:val="NormalTok"/>
        </w:rPr>
        <w:t xml:space="preserve">}</w:t>
      </w:r>
      <w:r>
        <w:br/>
      </w:r>
      <w:r>
        <w:rPr>
          <w:rStyle w:val="NormalTok"/>
        </w:rPr>
        <w:t xml:space="preserve">ALLOWED_PORTS </w:t>
      </w:r>
      <w:r>
        <w:rPr>
          <w:rStyle w:val="OperatorTok"/>
        </w:rPr>
        <w:t xml:space="preserve">=</w:t>
      </w:r>
      <w:r>
        <w:rPr>
          <w:rStyle w:val="NormalTok"/>
        </w:rPr>
        <w:t xml:space="preserve"> {</w:t>
      </w:r>
      <w:r>
        <w:rPr>
          <w:rStyle w:val="DecValTok"/>
        </w:rPr>
        <w:t xml:space="preserve">443</w:t>
      </w:r>
      <w:r>
        <w:rPr>
          <w:rStyle w:val="NormalTok"/>
        </w:rPr>
        <w:t xml:space="preserve">}</w:t>
      </w:r>
      <w:r>
        <w:br/>
      </w:r>
      <w:r>
        <w:br/>
      </w:r>
      <w:r>
        <w:rPr>
          <w:rStyle w:val="KeywordTok"/>
        </w:rPr>
        <w:t xml:space="preserve">def</w:t>
      </w:r>
      <w:r>
        <w:rPr>
          <w:rStyle w:val="NormalTok"/>
        </w:rPr>
        <w:t xml:space="preserve"> resolve_and_check(url: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parts </w:t>
      </w:r>
      <w:r>
        <w:rPr>
          <w:rStyle w:val="OperatorTok"/>
        </w:rPr>
        <w:t xml:space="preserve">=</w:t>
      </w:r>
      <w:r>
        <w:rPr>
          <w:rStyle w:val="NormalTok"/>
        </w:rPr>
        <w:t xml:space="preserve"> urlsplit(url)</w:t>
      </w:r>
      <w:r>
        <w:br/>
      </w:r>
      <w:r>
        <w:rPr>
          <w:rStyle w:val="NormalTok"/>
        </w:rPr>
        <w:t xml:space="preserve">    </w:t>
      </w:r>
      <w:r>
        <w:rPr>
          <w:rStyle w:val="ControlFlowTok"/>
        </w:rPr>
        <w:t xml:space="preserve">if</w:t>
      </w:r>
      <w:r>
        <w:rPr>
          <w:rStyle w:val="NormalTok"/>
        </w:rPr>
        <w:t xml:space="preserve"> parts.scheme </w:t>
      </w:r>
      <w:r>
        <w:rPr>
          <w:rStyle w:val="KeywordTok"/>
        </w:rPr>
        <w:t xml:space="preserve">not</w:t>
      </w:r>
      <w:r>
        <w:rPr>
          <w:rStyle w:val="NormalTok"/>
        </w:rPr>
        <w:t xml:space="preserve"> </w:t>
      </w:r>
      <w:r>
        <w:rPr>
          <w:rStyle w:val="KeywordTok"/>
        </w:rPr>
        <w:t xml:space="preserve">in</w:t>
      </w:r>
      <w:r>
        <w:rPr>
          <w:rStyle w:val="NormalTok"/>
        </w:rPr>
        <w:t xml:space="preserve"> ALLOWED_SCHEMES: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f"scheme </w:t>
      </w:r>
      <w:r>
        <w:rPr>
          <w:rStyle w:val="SpecialCharTok"/>
        </w:rPr>
        <w:t xml:space="preserve">{</w:t>
      </w:r>
      <w:r>
        <w:rPr>
          <w:rStyle w:val="NormalTok"/>
        </w:rPr>
        <w:t xml:space="preserve">parts</w:t>
      </w:r>
      <w:r>
        <w:rPr>
          <w:rStyle w:val="SpecialCharTok"/>
        </w:rPr>
        <w:t xml:space="preserve">.</w:t>
      </w:r>
      <w:r>
        <w:rPr>
          <w:rStyle w:val="NormalTok"/>
        </w:rPr>
        <w:t xml:space="preserve">scheme</w:t>
      </w:r>
      <w:r>
        <w:rPr>
          <w:rStyle w:val="SpecialCharTok"/>
        </w:rPr>
        <w:t xml:space="preserve">!r}</w:t>
      </w:r>
      <w:r>
        <w:rPr>
          <w:rStyle w:val="SpecialStringTok"/>
        </w:rPr>
        <w:t xml:space="preserve"> not allowed"</w:t>
      </w:r>
      <w:r>
        <w:rPr>
          <w:rStyle w:val="NormalTok"/>
        </w:rPr>
        <w:t xml:space="preserve">)</w:t>
      </w:r>
      <w:r>
        <w:br/>
      </w:r>
      <w:r>
        <w:rPr>
          <w:rStyle w:val="NormalTok"/>
        </w:rPr>
        <w:t xml:space="preserve">    port </w:t>
      </w:r>
      <w:r>
        <w:rPr>
          <w:rStyle w:val="OperatorTok"/>
        </w:rPr>
        <w:t xml:space="preserve">=</w:t>
      </w:r>
      <w:r>
        <w:rPr>
          <w:rStyle w:val="NormalTok"/>
        </w:rPr>
        <w:t xml:space="preserve"> parts.port </w:t>
      </w:r>
      <w:r>
        <w:rPr>
          <w:rStyle w:val="KeywordTok"/>
        </w:rPr>
        <w:t xml:space="preserve">or</w:t>
      </w:r>
      <w:r>
        <w:rPr>
          <w:rStyle w:val="NormalTok"/>
        </w:rPr>
        <w:t xml:space="preserve"> </w:t>
      </w:r>
      <w:r>
        <w:rPr>
          <w:rStyle w:val="DecValTok"/>
        </w:rPr>
        <w:t xml:space="preserve">443</w:t>
      </w:r>
      <w:r>
        <w:br/>
      </w:r>
      <w:r>
        <w:rPr>
          <w:rStyle w:val="NormalTok"/>
        </w:rPr>
        <w:t xml:space="preserve">    </w:t>
      </w:r>
      <w:r>
        <w:rPr>
          <w:rStyle w:val="ControlFlowTok"/>
        </w:rPr>
        <w:t xml:space="preserve">if</w:t>
      </w:r>
      <w:r>
        <w:rPr>
          <w:rStyle w:val="NormalTok"/>
        </w:rPr>
        <w:t xml:space="preserve"> port </w:t>
      </w:r>
      <w:r>
        <w:rPr>
          <w:rStyle w:val="KeywordTok"/>
        </w:rPr>
        <w:t xml:space="preserve">not</w:t>
      </w:r>
      <w:r>
        <w:rPr>
          <w:rStyle w:val="NormalTok"/>
        </w:rPr>
        <w:t xml:space="preserve"> </w:t>
      </w:r>
      <w:r>
        <w:rPr>
          <w:rStyle w:val="KeywordTok"/>
        </w:rPr>
        <w:t xml:space="preserve">in</w:t>
      </w:r>
      <w:r>
        <w:rPr>
          <w:rStyle w:val="NormalTok"/>
        </w:rPr>
        <w:t xml:space="preserve"> ALLOWED_PORTS </w:t>
      </w:r>
      <w:r>
        <w:rPr>
          <w:rStyle w:val="KeywordTok"/>
        </w:rPr>
        <w:t xml:space="preserve">or</w:t>
      </w:r>
      <w:r>
        <w:rPr>
          <w:rStyle w:val="NormalTok"/>
        </w:rPr>
        <w:t xml:space="preserve"> </w:t>
      </w:r>
      <w:r>
        <w:rPr>
          <w:rStyle w:val="KeywordTok"/>
        </w:rPr>
        <w:t xml:space="preserve">not</w:t>
      </w:r>
      <w:r>
        <w:rPr>
          <w:rStyle w:val="NormalTok"/>
        </w:rPr>
        <w:t xml:space="preserve"> parts.hostname: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"port or host not allowed"</w:t>
      </w:r>
      <w:r>
        <w:rPr>
          <w:rStyle w:val="NormalTok"/>
        </w:rPr>
        <w:t xml:space="preserve">)</w:t>
      </w:r>
      <w:r>
        <w:br/>
      </w:r>
      <w:r>
        <w:rPr>
          <w:rStyle w:val="NormalTok"/>
        </w:rPr>
        <w:t xml:space="preserve">    infos </w:t>
      </w:r>
      <w:r>
        <w:rPr>
          <w:rStyle w:val="OperatorTok"/>
        </w:rPr>
        <w:t xml:space="preserve">=</w:t>
      </w:r>
      <w:r>
        <w:rPr>
          <w:rStyle w:val="NormalTok"/>
        </w:rPr>
        <w:t xml:space="preserve"> socket.getaddrinfo(parts.hostname, port, proto</w:t>
      </w:r>
      <w:r>
        <w:rPr>
          <w:rStyle w:val="OperatorTok"/>
        </w:rPr>
        <w:t xml:space="preserve">=</w:t>
      </w:r>
      <w:r>
        <w:rPr>
          <w:rStyle w:val="NormalTok"/>
        </w:rPr>
        <w:t xml:space="preserve">socket.IPPROTO_TCP)</w:t>
      </w:r>
      <w:r>
        <w:br/>
      </w:r>
      <w:r>
        <w:rPr>
          <w:rStyle w:val="NormalTok"/>
        </w:rPr>
        <w:t xml:space="preserve">    addrs </w:t>
      </w:r>
      <w:r>
        <w:rPr>
          <w:rStyle w:val="OperatorTok"/>
        </w:rPr>
        <w:t xml:space="preserve">=</w:t>
      </w:r>
      <w:r>
        <w:rPr>
          <w:rStyle w:val="NormalTok"/>
        </w:rPr>
        <w:t xml:space="preserve"> </w:t>
      </w:r>
      <w:r>
        <w:rPr>
          <w:rStyle w:val="BuiltInTok"/>
        </w:rPr>
        <w:t xml:space="preserve">sorted</w:t>
      </w:r>
      <w:r>
        <w:rPr>
          <w:rStyle w:val="NormalTok"/>
        </w:rPr>
        <w:t xml:space="preserve">({info[</w:t>
      </w:r>
      <w:r>
        <w:rPr>
          <w:rStyle w:val="DecValTok"/>
        </w:rPr>
        <w:t xml:space="preserve">4</w:t>
      </w:r>
      <w:r>
        <w:rPr>
          <w:rStyle w:val="NormalTok"/>
        </w:rPr>
        <w:t xml:space="preserve">][</w:t>
      </w:r>
      <w:r>
        <w:rPr>
          <w:rStyle w:val="DecValTok"/>
        </w:rPr>
        <w:t xml:space="preserve">0</w:t>
      </w:r>
      <w:r>
        <w:rPr>
          <w:rStyle w:val="NormalTok"/>
        </w:rPr>
        <w:t xml:space="preserve">] </w:t>
      </w:r>
      <w:r>
        <w:rPr>
          <w:rStyle w:val="ControlFlowTok"/>
        </w:rPr>
        <w:t xml:space="preserve">for</w:t>
      </w:r>
      <w:r>
        <w:rPr>
          <w:rStyle w:val="NormalTok"/>
        </w:rPr>
        <w:t xml:space="preserve"> info </w:t>
      </w:r>
      <w:r>
        <w:rPr>
          <w:rStyle w:val="KeywordTok"/>
        </w:rPr>
        <w:t xml:space="preserve">in</w:t>
      </w:r>
      <w:r>
        <w:rPr>
          <w:rStyle w:val="NormalTok"/>
        </w:rPr>
        <w:t xml:space="preserve"> infos})</w:t>
      </w:r>
      <w:r>
        <w:br/>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addrs:</w:t>
      </w:r>
      <w:r>
        <w:br/>
      </w:r>
      <w:r>
        <w:rPr>
          <w:rStyle w:val="NormalTok"/>
        </w:rPr>
        <w:t xml:space="preserve">        ip </w:t>
      </w:r>
      <w:r>
        <w:rPr>
          <w:rStyle w:val="OperatorTok"/>
        </w:rPr>
        <w:t xml:space="preserve">=</w:t>
      </w:r>
      <w:r>
        <w:rPr>
          <w:rStyle w:val="NormalTok"/>
        </w:rPr>
        <w:t xml:space="preserve"> ipaddress.ip_address(a)</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ip.is_global:   </w:t>
      </w:r>
      <w:r>
        <w:rPr>
          <w:rStyle w:val="CommentTok"/>
        </w:rPr>
        <w:t xml:space="preserve"># rejects private, loopback, link-local (169.254.169.254), etc.</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w:t>
      </w:r>
      <w:r>
        <w:rPr>
          <w:rStyle w:val="SpecialCharTok"/>
        </w:rPr>
        <w:t xml:space="preserve">{</w:t>
      </w:r>
      <w:r>
        <w:rPr>
          <w:rStyle w:val="NormalTok"/>
        </w:rPr>
        <w:t xml:space="preserve">parts</w:t>
      </w:r>
      <w:r>
        <w:rPr>
          <w:rStyle w:val="SpecialCharTok"/>
        </w:rPr>
        <w:t xml:space="preserve">.</w:t>
      </w:r>
      <w:r>
        <w:rPr>
          <w:rStyle w:val="NormalTok"/>
        </w:rPr>
        <w:t xml:space="preserve">hostname</w:t>
      </w:r>
      <w:r>
        <w:rPr>
          <w:rStyle w:val="SpecialCharTok"/>
        </w:rPr>
        <w:t xml:space="preserve">}</w:t>
      </w:r>
      <w:r>
        <w:rPr>
          <w:rStyle w:val="SpecialStringTok"/>
        </w:rPr>
        <w:t xml:space="preserve"> resolves to non-public </w:t>
      </w:r>
      <w:r>
        <w:rPr>
          <w:rStyle w:val="SpecialCharTok"/>
        </w:rPr>
        <w:t xml:space="preserve">{</w:t>
      </w:r>
      <w:r>
        <w:rPr>
          <w:rStyle w:val="NormalTok"/>
        </w:rPr>
        <w:t xml:space="preserve">ip</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mmentTok"/>
        </w:rPr>
        <w:t xml:space="preserve"># Caller must connect to one of THESE addresses (pin them) to avoid DNS rebinding.</w:t>
      </w:r>
      <w:r>
        <w:br/>
      </w:r>
      <w:r>
        <w:rPr>
          <w:rStyle w:val="NormalTok"/>
        </w:rPr>
        <w:t xml:space="preserve">    </w:t>
      </w:r>
      <w:r>
        <w:rPr>
          <w:rStyle w:val="ControlFlowTok"/>
        </w:rPr>
        <w:t xml:space="preserve">return</w:t>
      </w:r>
      <w:r>
        <w:rPr>
          <w:rStyle w:val="NormalTok"/>
        </w:rPr>
        <w:t xml:space="preserve"> addrs</w:t>
      </w:r>
    </w:p>
    <w:p>
      <w:pPr>
        <w:pStyle w:val="FirstParagraph"/>
      </w:pPr>
      <w:r>
        <w:t xml:space="preserve">Tested results:</w:t>
      </w:r>
      <w:r>
        <w:t xml:space="preserve"> </w:t>
      </w:r>
      <w:r>
        <w:rPr>
          <w:rStyle w:val="VerbatimChar"/>
        </w:rPr>
        <w:t xml:space="preserve">http://example.com/</w:t>
      </w:r>
      <w:r>
        <w:t xml:space="preserve"> </w:t>
      </w:r>
      <w:r>
        <w:t xml:space="preserve">is denied (scheme),</w:t>
      </w:r>
      <w:r>
        <w:t xml:space="preserve"> </w:t>
      </w:r>
      <w:r>
        <w:rPr>
          <w:rStyle w:val="VerbatimChar"/>
        </w:rPr>
        <w:t xml:space="preserve">https://127.0.0.1/admin</w:t>
      </w:r>
      <w:r>
        <w:t xml:space="preserve">,</w:t>
      </w:r>
      <w:r>
        <w:t xml:space="preserve"> </w:t>
      </w:r>
      <w:r>
        <w:rPr>
          <w:rStyle w:val="VerbatimChar"/>
        </w:rPr>
        <w:t xml:space="preserve">https://169.254.169.254/latest/meta-data/</w:t>
      </w:r>
      <w:r>
        <w:t xml:space="preserve">,</w:t>
      </w:r>
      <w:r>
        <w:t xml:space="preserve"> </w:t>
      </w:r>
      <w:r>
        <w:rPr>
          <w:rStyle w:val="VerbatimChar"/>
        </w:rPr>
        <w:t xml:space="preserve">https://10.0.0.5:443/</w:t>
      </w:r>
      <w:r>
        <w:t xml:space="preserve"> </w:t>
      </w:r>
      <w:r>
        <w:t xml:space="preserve">and</w:t>
      </w:r>
      <w:r>
        <w:t xml:space="preserve"> </w:t>
      </w:r>
      <w:r>
        <w:rPr>
          <w:rStyle w:val="VerbatimChar"/>
        </w:rPr>
        <w:t xml:space="preserve">https://[::1]/</w:t>
      </w:r>
      <w:r>
        <w:t xml:space="preserve"> </w:t>
      </w:r>
      <w:r>
        <w:t xml:space="preserve">are denied (non-public address), and</w:t>
      </w:r>
      <w:r>
        <w:t xml:space="preserve"> </w:t>
      </w:r>
      <w:r>
        <w:rPr>
          <w:rStyle w:val="VerbatimChar"/>
        </w:rPr>
        <w:t xml:space="preserve">https://localhost:8443/</w:t>
      </w:r>
      <w:r>
        <w:t xml:space="preserve"> </w:t>
      </w:r>
      <w:r>
        <w:t xml:space="preserve">is denied (port). What to notice: the check uses</w:t>
      </w:r>
      <w:r>
        <w:t xml:space="preserve"> </w:t>
      </w:r>
      <w:r>
        <w:rPr>
          <w:iCs/>
          <w:i/>
        </w:rPr>
        <w:t xml:space="preserve">every</w:t>
      </w:r>
      <w:r>
        <w:t xml:space="preserve"> </w:t>
      </w:r>
      <w:r>
        <w:t xml:space="preserve">resolved address, not just the first, and</w:t>
      </w:r>
      <w:r>
        <w:t xml:space="preserve"> </w:t>
      </w:r>
      <w:r>
        <w:rPr>
          <w:rStyle w:val="VerbatimChar"/>
        </w:rPr>
        <w:t xml:space="preserve">ip.is_global</w:t>
      </w:r>
      <w:r>
        <w:t xml:space="preserve"> </w:t>
      </w:r>
      <w:r>
        <w:t xml:space="preserve">covers private, loopback, link-local and other reserved ranges for both IPv4 and IPv6. Application-level validation is the inner layer; the network-level egress proxy is the layer that still holds when a developer forgets to call this function.</w:t>
      </w:r>
    </w:p>
    <w:p>
      <w:pPr>
        <w:pStyle w:val="CalloutMistake"/>
      </w:pPr>
      <w:r>
        <w:rPr>
          <w:bCs/>
          <w:b/>
        </w:rPr>
        <w:t xml:space="preserve">COMMON MISTAKE</w:t>
      </w:r>
    </w:p>
    <w:p>
      <w:pPr>
        <w:pStyle w:val="CalloutMistake"/>
      </w:pPr>
      <w:r>
        <w:rPr>
          <w:bCs/>
          <w:b/>
        </w:rPr>
        <w:t xml:space="preserve">“</w:t>
      </w:r>
      <w:r>
        <w:rPr>
          <w:bCs/>
          <w:b/>
        </w:rPr>
        <w:t xml:space="preserve">A WAF fixes the OWASP Top 10.</w:t>
      </w:r>
      <w:r>
        <w:rPr>
          <w:bCs/>
          <w:b/>
        </w:rPr>
        <w:t xml:space="preserve">”</w:t>
      </w:r>
      <w:r>
        <w:t xml:space="preserve"> </w:t>
      </w:r>
      <w:r>
        <w:t xml:space="preserve">A web application firewall blocks known attack</w:t>
      </w:r>
      <w:r>
        <w:t xml:space="preserve"> </w:t>
      </w:r>
      <w:r>
        <w:rPr>
          <w:iCs/>
          <w:i/>
        </w:rPr>
        <w:t xml:space="preserve">patterns</w:t>
      </w:r>
      <w:r>
        <w:t xml:space="preserve"> </w:t>
      </w:r>
      <w:r>
        <w:t xml:space="preserve">at the edge and buys time for patching. It cannot know who owns photo 9001 (A01), cannot fix insecure design (A04), and can itself be a component with an SSRF flaw, as the Capital One case shows. Treat the WAF as one layer, not the control.</w:t>
      </w:r>
    </w:p>
    <w:bookmarkEnd w:id="1141"/>
    <w:bookmarkEnd w:id="1142"/>
    <w:bookmarkStart w:id="1147" w:name="secrets-management"/>
    <w:p>
      <w:pPr>
        <w:pStyle w:val="Heading2"/>
      </w:pPr>
      <w:r>
        <w:t xml:space="preserve">10.8 Secrets management</w:t>
      </w:r>
    </w:p>
    <w:p>
      <w:pPr>
        <w:pStyle w:val="CalloutDefinition"/>
      </w:pPr>
      <w:r>
        <w:rPr>
          <w:bCs/>
          <w:b/>
        </w:rPr>
        <w:t xml:space="preserve">DEFINITION</w:t>
      </w:r>
    </w:p>
    <w:p>
      <w:pPr>
        <w:pStyle w:val="CalloutDefinition"/>
      </w:pPr>
      <w:r>
        <w:rPr>
          <w:bCs/>
          <w:b/>
        </w:rPr>
        <w:t xml:space="preserve">Definition — Secret.</w:t>
      </w:r>
      <w:r>
        <w:t xml:space="preserve"> </w:t>
      </w:r>
      <w:r>
        <w:t xml:space="preserve">Any value that grants access and must be kept confidential: database passwords, API keys, OAuth client secrets, TLS and signing private keys, encryption keys, webhook HMAC keys.</w:t>
      </w:r>
      <w:r>
        <w:t xml:space="preserve"> </w:t>
      </w:r>
      <w:r>
        <w:rPr>
          <w:bCs/>
          <w:b/>
        </w:rPr>
        <w:t xml:space="preserve">Secrets management</w:t>
      </w:r>
      <w:r>
        <w:t xml:space="preserve"> </w:t>
      </w:r>
      <w:r>
        <w:t xml:space="preserve">is the practice of storing, distributing, rotating, auditing and revoking secrets so that they are available to the workloads that need them and to nobody else.</w:t>
      </w:r>
    </w:p>
    <w:bookmarkStart w:id="1146" w:name="first-principles-explanation-61"/>
    <w:p>
      <w:pPr>
        <w:pStyle w:val="Heading3"/>
      </w:pPr>
      <w:r>
        <w:t xml:space="preserve">First-principles explanation</w:t>
      </w:r>
    </w:p>
    <w:p>
      <w:pPr>
        <w:pStyle w:val="FirstParagraph"/>
      </w:pPr>
      <w:r>
        <w:t xml:space="preserve">In an office, physical keys drift: copies are cut for contractors, left in drawers, never returned. Eventually nobody knows who can open the server room. Software secrets drift the same way and faster: a database password gets pasted into a configuration file, committed to Git, baked into a container image, printed in a debug log, copied into a CI variable and a teammate’s laptop. Each copy is a place it can leak from, and a secret that has existed unchanged for three years has had three years to leak.</w:t>
      </w:r>
    </w:p>
    <w:p>
      <w:pPr>
        <w:pStyle w:val="BodyText"/>
      </w:pPr>
      <w:r>
        <w:t xml:space="preserve">The progression of maturity is:</w:t>
      </w:r>
    </w:p>
    <w:p>
      <w:pPr>
        <w:numPr>
          <w:ilvl w:val="0"/>
          <w:numId w:val="1348"/>
        </w:numPr>
        <w:pStyle w:val="Compact"/>
      </w:pPr>
      <w:r>
        <w:rPr>
          <w:bCs/>
          <w:b/>
        </w:rPr>
        <w:t xml:space="preserve">Hard-coded</w:t>
      </w:r>
      <w:r>
        <w:t xml:space="preserve"> </w:t>
      </w:r>
      <w:r>
        <w:t xml:space="preserve">in source — anyone with repository access has production access, forever (Git history keeps it).</w:t>
      </w:r>
    </w:p>
    <w:p>
      <w:pPr>
        <w:numPr>
          <w:ilvl w:val="0"/>
          <w:numId w:val="1348"/>
        </w:numPr>
        <w:pStyle w:val="Compact"/>
      </w:pPr>
      <w:r>
        <w:rPr>
          <w:bCs/>
          <w:b/>
        </w:rPr>
        <w:t xml:space="preserve">Environment variables / config files</w:t>
      </w:r>
      <w:r>
        <w:t xml:space="preserve"> </w:t>
      </w:r>
      <w:r>
        <w:t xml:space="preserve">injected at deploy time — out of source, but static, widely copied, visible in crash dumps.</w:t>
      </w:r>
    </w:p>
    <w:p>
      <w:pPr>
        <w:numPr>
          <w:ilvl w:val="0"/>
          <w:numId w:val="1348"/>
        </w:numPr>
        <w:pStyle w:val="Compact"/>
      </w:pPr>
      <w:r>
        <w:rPr>
          <w:bCs/>
          <w:b/>
        </w:rPr>
        <w:t xml:space="preserve">Central vault</w:t>
      </w:r>
      <w:r>
        <w:t xml:space="preserve"> </w:t>
      </w:r>
      <w:r>
        <w:t xml:space="preserve">— a secrets manager (HashiCorp Vault, AWS Secrets Manager, Google Secret Manager, Azure Key Vault) stores secrets encrypted, releases them only to authenticated workloads, logs every read and supports rotation.</w:t>
      </w:r>
    </w:p>
    <w:p>
      <w:pPr>
        <w:numPr>
          <w:ilvl w:val="0"/>
          <w:numId w:val="1348"/>
        </w:numPr>
        <w:pStyle w:val="Compact"/>
      </w:pPr>
      <w:r>
        <w:rPr>
          <w:bCs/>
          <w:b/>
        </w:rPr>
        <w:t xml:space="preserve">Dynamic, short-lived credentials</w:t>
      </w:r>
      <w:r>
        <w:t xml:space="preserve"> </w:t>
      </w:r>
      <w:r>
        <w:t xml:space="preserve">— the vault</w:t>
      </w:r>
      <w:r>
        <w:t xml:space="preserve"> </w:t>
      </w:r>
      <w:r>
        <w:rPr>
          <w:iCs/>
          <w:i/>
        </w:rPr>
        <w:t xml:space="preserve">creates</w:t>
      </w:r>
      <w:r>
        <w:t xml:space="preserve"> </w:t>
      </w:r>
      <w:r>
        <w:t xml:space="preserve">a unique credential per workload on demand with a lease (say one hour) and revokes it at expiry.</w:t>
      </w:r>
    </w:p>
    <w:p>
      <w:pPr>
        <w:numPr>
          <w:ilvl w:val="0"/>
          <w:numId w:val="1348"/>
        </w:numPr>
        <w:pStyle w:val="Compact"/>
      </w:pPr>
      <w:r>
        <w:rPr>
          <w:bCs/>
          <w:b/>
        </w:rPr>
        <w:t xml:space="preserve">Identity-based (</w:t>
      </w:r>
      <w:r>
        <w:rPr>
          <w:bCs/>
          <w:b/>
        </w:rPr>
        <w:t xml:space="preserve">“</w:t>
      </w:r>
      <w:r>
        <w:rPr>
          <w:bCs/>
          <w:b/>
        </w:rPr>
        <w:t xml:space="preserve">secretless</w:t>
      </w:r>
      <w:r>
        <w:rPr>
          <w:bCs/>
          <w:b/>
        </w:rPr>
        <w:t xml:space="preserve">”</w:t>
      </w:r>
      <w:r>
        <w:rPr>
          <w:bCs/>
          <w:b/>
        </w:rPr>
        <w:t xml:space="preserve">)</w:t>
      </w:r>
      <w:r>
        <w:t xml:space="preserve"> </w:t>
      </w:r>
      <w:r>
        <w:t xml:space="preserve">— workloads authenticate with a platform-attested identity (cloud IAM role, Kubernetes service-account token, SPIFFE ID) and receive short-lived tokens; there is no long-lived secret to leak.</w:t>
      </w:r>
    </w:p>
    <w:p>
      <w:pPr>
        <w:pStyle w:val="FirstParagraph"/>
      </w:pPr>
      <w:r>
        <w:rPr>
          <w:bCs/>
          <w:b/>
        </w:rPr>
        <w:t xml:space="preserve">Figure 10.6 — A workload obtaining dynamic database credentials from a vault.</w:t>
      </w:r>
    </w:p>
    <w:p>
      <w:pPr>
        <w:pStyle w:val="BodyText"/>
      </w:pPr>
      <w:r>
        <w:drawing>
          <wp:inline>
            <wp:extent cx="5334000" cy="1824940"/>
            <wp:effectExtent b="0" l="0" r="0" t="0"/>
            <wp:docPr descr="" title="" id="1144" name="Picture"/>
            <a:graphic>
              <a:graphicData uri="http://schemas.openxmlformats.org/drawingml/2006/picture">
                <pic:pic>
                  <pic:nvPicPr>
                    <pic:cNvPr descr="/home/user/System-Design/build/.cache/diagrams/357981702a13.png" id="1145" name="Picture"/>
                    <pic:cNvPicPr>
                      <a:picLocks noChangeArrowheads="1" noChangeAspect="1"/>
                    </pic:cNvPicPr>
                  </pic:nvPicPr>
                  <pic:blipFill>
                    <a:blip r:embed="rId1143"/>
                    <a:stretch>
                      <a:fillRect/>
                    </a:stretch>
                  </pic:blipFill>
                  <pic:spPr bwMode="auto">
                    <a:xfrm>
                      <a:off x="0" y="0"/>
                      <a:ext cx="5334000" cy="1824940"/>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pod starts with no secret at all: the platform (for example Kubernetes or a cloud provider) gives it a signed identity token describing which service it is. The vault verifies that token and maps the identity to a policy. Instead of returning a shared password, the vault connects to the database with its own administrative credential and creates a unique, time-limited database user. The workload receives credentials it alone holds; the vault records the issuance asynchronously in an audit log (dotted arrow). Leases are renewed while the pod lives; when the pod dies the lease expires and the vault drops the user. Failure points: the vault is now a critical dependency — if it is unavailable, new pods cannot get credentials, so vaults are run as replicated clusters (Vault uses Raft consensus, §26.7) and clients cache credentials for their lease. Scaling: one credential per pod means the database must tolerate many distinct users; for very large fleets, issue per-service rather than per-pod credentials.</w:t>
      </w:r>
    </w:p>
    <w:p>
      <w:pPr>
        <w:pStyle w:val="CalloutFormula"/>
      </w:pPr>
      <w:r>
        <w:rPr>
          <w:bCs/>
          <w:b/>
        </w:rPr>
        <w:t xml:space="preserve">FORMULA</w:t>
      </w:r>
    </w:p>
    <w:p>
      <w:pPr>
        <w:pStyle w:val="CalloutFormula"/>
      </w:pPr>
      <w:r>
        <w:rPr>
          <w:bCs/>
          <w:b/>
        </w:rPr>
        <w:t xml:space="preserve">Credential misuse window</w:t>
      </w:r>
    </w:p>
    <w:p>
      <w:pPr>
        <w:pStyle w:val="CalloutFormula"/>
      </w:pPr>
      <m:oMathPara>
        <m:oMathParaPr>
          <m:jc m:val="center"/>
        </m:oMathParaPr>
        <m:oMath>
          <m:r>
            <m:t>W</m:t>
          </m:r>
          <m:r>
            <m:rPr>
              <m:sty m:val="p"/>
            </m:rPr>
            <m:t>=</m:t>
          </m:r>
          <m:d>
            <m:dPr>
              <m:begChr m:val="{"/>
              <m:endChr m:val=""/>
              <m:sepChr m:val=""/>
              <m:grow/>
            </m:dPr>
            <m:e>
              <m:m>
                <m:mPr>
                  <m:baseJc m:val="center"/>
                  <m:plcHide m:val="on"/>
                  <m:mcs>
                    <m:mc>
                      <m:mcPr>
                        <m:mcJc m:val="left"/>
                        <m:count m:val="1"/>
                      </m:mcPr>
                    </m:mc>
                    <m:mc>
                      <m:mcPr>
                        <m:mcJc m:val="left"/>
                        <m:count m:val="1"/>
                      </m:mcPr>
                    </m:mc>
                  </m:mcs>
                </m:mPr>
                <m:mr>
                  <m:e>
                    <m:sSub>
                      <m:e>
                        <m:r>
                          <m:t>T</m:t>
                        </m:r>
                      </m:e>
                      <m:sub>
                        <m:r>
                          <m:rPr>
                            <m:nor/>
                            <m:sty m:val="p"/>
                          </m:rPr>
                          <m:t>detect</m:t>
                        </m:r>
                      </m:sub>
                    </m:sSub>
                    <m:r>
                      <m:rPr>
                        <m:sty m:val="p"/>
                      </m:rPr>
                      <m:t>+</m:t>
                    </m:r>
                    <m:sSub>
                      <m:e>
                        <m:r>
                          <m:t>T</m:t>
                        </m:r>
                      </m:e>
                      <m:sub>
                        <m:r>
                          <m:rPr>
                            <m:nor/>
                            <m:sty m:val="p"/>
                          </m:rPr>
                          <m:t>rotate</m:t>
                        </m:r>
                      </m:sub>
                    </m:sSub>
                  </m:e>
                  <m:e>
                    <m:r>
                      <m:rPr>
                        <m:nor/>
                        <m:sty m:val="p"/>
                      </m:rPr>
                      <m:t>long-lived credential</m:t>
                    </m:r>
                  </m:e>
                </m:mr>
                <m:mr>
                  <m:e>
                    <m:r>
                      <m:rPr>
                        <m:sty m:val="p"/>
                      </m:rPr>
                      <m:t>min</m:t>
                    </m:r>
                    <m:d>
                      <m:dPr>
                        <m:begChr m:val="("/>
                        <m:endChr m:val=")"/>
                        <m:sepChr m:val=""/>
                        <m:grow/>
                      </m:dPr>
                      <m:e>
                        <m:sSub>
                          <m:e>
                            <m:r>
                              <m:t>T</m:t>
                            </m:r>
                          </m:e>
                          <m:sub>
                            <m:r>
                              <m:rPr>
                                <m:nor/>
                                <m:sty m:val="p"/>
                              </m:rPr>
                              <m:t>TTL</m:t>
                            </m:r>
                          </m:sub>
                        </m:sSub>
                        <m:r>
                          <m:rPr>
                            <m:sty m:val="p"/>
                          </m:rPr>
                          <m:t>,</m:t>
                        </m:r>
                        <m:r>
                          <m:t> </m:t>
                        </m:r>
                        <m:sSub>
                          <m:e>
                            <m:r>
                              <m:t>T</m:t>
                            </m:r>
                          </m:e>
                          <m:sub>
                            <m:r>
                              <m:rPr>
                                <m:nor/>
                                <m:sty m:val="p"/>
                              </m:rPr>
                              <m:t>detect</m:t>
                            </m:r>
                          </m:sub>
                        </m:sSub>
                        <m:r>
                          <m:rPr>
                            <m:sty m:val="p"/>
                          </m:rPr>
                          <m:t>+</m:t>
                        </m:r>
                        <m:sSub>
                          <m:e>
                            <m:r>
                              <m:t>T</m:t>
                            </m:r>
                          </m:e>
                          <m:sub>
                            <m:r>
                              <m:rPr>
                                <m:nor/>
                                <m:sty m:val="p"/>
                              </m:rPr>
                              <m:t>revoke</m:t>
                            </m:r>
                          </m:sub>
                        </m:sSub>
                      </m:e>
                    </m:d>
                  </m:e>
                  <m:e>
                    <m:r>
                      <m:rPr>
                        <m:nor/>
                        <m:sty m:val="p"/>
                      </m:rPr>
                      <m:t>short-lived credential</m:t>
                    </m:r>
                  </m:e>
                </m:mr>
              </m:m>
            </m:e>
          </m:d>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W</m:t>
              </m:r>
            </m:oMath>
          </w:p>
        </w:tc>
        <w:tc>
          <w:tcPr/>
          <w:p>
            <w:pPr>
              <w:pStyle w:val="Compact"/>
              <w:jc w:val="left"/>
            </w:pPr>
            <w:r>
              <w:t xml:space="preserve">Time during which a leaked credential remains usable</w:t>
            </w:r>
          </w:p>
        </w:tc>
        <w:tc>
          <w:tcPr/>
          <w:p>
            <w:pPr>
              <w:pStyle w:val="Compact"/>
              <w:jc w:val="left"/>
            </w:pPr>
            <w:r>
              <w:t xml:space="preserve">hours</w:t>
            </w:r>
          </w:p>
        </w:tc>
      </w:tr>
      <w:tr>
        <w:tc>
          <w:tcPr/>
          <w:p>
            <w:pPr>
              <w:pStyle w:val="Compact"/>
              <w:jc w:val="left"/>
            </w:pPr>
            <m:oMath>
              <m:sSub>
                <m:e>
                  <m:r>
                    <m:t>T</m:t>
                  </m:r>
                </m:e>
                <m:sub>
                  <m:r>
                    <m:rPr>
                      <m:nor/>
                      <m:sty m:val="p"/>
                    </m:rPr>
                    <m:t>detect</m:t>
                  </m:r>
                </m:sub>
              </m:sSub>
            </m:oMath>
          </w:p>
        </w:tc>
        <w:tc>
          <w:tcPr/>
          <w:p>
            <w:pPr>
              <w:pStyle w:val="Compact"/>
              <w:jc w:val="left"/>
            </w:pPr>
            <w:r>
              <w:t xml:space="preserve">Time from leak to detection</w:t>
            </w:r>
          </w:p>
        </w:tc>
        <w:tc>
          <w:tcPr/>
          <w:p>
            <w:pPr>
              <w:pStyle w:val="Compact"/>
              <w:jc w:val="left"/>
            </w:pPr>
            <w:r>
              <w:t xml:space="preserve">hours</w:t>
            </w:r>
          </w:p>
        </w:tc>
      </w:tr>
      <w:tr>
        <w:tc>
          <w:tcPr/>
          <w:p>
            <w:pPr>
              <w:pStyle w:val="Compact"/>
              <w:jc w:val="left"/>
            </w:pPr>
            <m:oMath>
              <m:sSub>
                <m:e>
                  <m:r>
                    <m:t>T</m:t>
                  </m:r>
                </m:e>
                <m:sub>
                  <m:r>
                    <m:rPr>
                      <m:nor/>
                      <m:sty m:val="p"/>
                    </m:rPr>
                    <m:t>rotate</m:t>
                  </m:r>
                </m:sub>
              </m:sSub>
              <m:r>
                <m:rPr>
                  <m:sty m:val="p"/>
                </m:rPr>
                <m:t>,</m:t>
              </m:r>
              <m:sSub>
                <m:e>
                  <m:r>
                    <m:t>T</m:t>
                  </m:r>
                </m:e>
                <m:sub>
                  <m:r>
                    <m:rPr>
                      <m:nor/>
                      <m:sty m:val="p"/>
                    </m:rPr>
                    <m:t>revoke</m:t>
                  </m:r>
                </m:sub>
              </m:sSub>
            </m:oMath>
          </w:p>
        </w:tc>
        <w:tc>
          <w:tcPr/>
          <w:p>
            <w:pPr>
              <w:pStyle w:val="Compact"/>
              <w:jc w:val="left"/>
            </w:pPr>
            <w:r>
              <w:t xml:space="preserve">Time to rotate or revoke after detection</w:t>
            </w:r>
          </w:p>
        </w:tc>
        <w:tc>
          <w:tcPr/>
          <w:p>
            <w:pPr>
              <w:pStyle w:val="Compact"/>
              <w:jc w:val="left"/>
            </w:pPr>
            <w:r>
              <w:t xml:space="preserve">hours</w:t>
            </w:r>
          </w:p>
        </w:tc>
      </w:tr>
      <w:tr>
        <w:tc>
          <w:tcPr/>
          <w:p>
            <w:pPr>
              <w:pStyle w:val="Compact"/>
              <w:jc w:val="left"/>
            </w:pPr>
            <m:oMath>
              <m:sSub>
                <m:e>
                  <m:r>
                    <m:t>T</m:t>
                  </m:r>
                </m:e>
                <m:sub>
                  <m:r>
                    <m:rPr>
                      <m:nor/>
                      <m:sty m:val="p"/>
                    </m:rPr>
                    <m:t>TTL</m:t>
                  </m:r>
                </m:sub>
              </m:sSub>
            </m:oMath>
          </w:p>
        </w:tc>
        <w:tc>
          <w:tcPr/>
          <w:p>
            <w:pPr>
              <w:pStyle w:val="Compact"/>
              <w:jc w:val="left"/>
            </w:pPr>
            <w:r>
              <w:t xml:space="preserve">Lifetime of a short-lived credential</w:t>
            </w:r>
          </w:p>
        </w:tc>
        <w:tc>
          <w:tcPr/>
          <w:p>
            <w:pPr>
              <w:pStyle w:val="Compact"/>
              <w:jc w:val="left"/>
            </w:pPr>
            <w:r>
              <w:t xml:space="preserve">hours</w:t>
            </w:r>
          </w:p>
        </w:tc>
      </w:tr>
    </w:tbl>
    <w:p>
      <w:pPr>
        <w:pStyle w:val="CalloutExample"/>
      </w:pPr>
      <w:r>
        <w:rPr>
          <w:bCs/>
          <w:b/>
        </w:rPr>
        <w:t xml:space="preserve">WORKED EXAMPLE</w:t>
      </w:r>
    </w:p>
    <w:p>
      <w:pPr>
        <w:pStyle w:val="CalloutExample"/>
      </w:pPr>
      <w:r>
        <w:rPr>
          <w:bCs/>
          <w:b/>
        </w:rPr>
        <w:t xml:space="preserve">Worked example — Static key vs one-hour credential.</w:t>
      </w:r>
      <w:r>
        <w:t xml:space="preserve"> </w:t>
      </w:r>
      <w:r>
        <w:t xml:space="preserve">Industry breach studies commonly report detection times measured in months; assume</w:t>
      </w:r>
      <w:r>
        <w:t xml:space="preserve"> </w:t>
      </w:r>
      <m:oMath>
        <m:sSub>
          <m:e>
            <m:r>
              <m:t>T</m:t>
            </m:r>
          </m:e>
          <m:sub>
            <m:r>
              <m:rPr>
                <m:nor/>
                <m:sty m:val="p"/>
              </m:rPr>
              <m:t>detect</m:t>
            </m:r>
          </m:sub>
        </m:sSub>
        <m:r>
          <m:rPr>
            <m:sty m:val="p"/>
          </m:rPr>
          <m:t>=</m:t>
        </m:r>
        <m:r>
          <m:t>200</m:t>
        </m:r>
      </m:oMath>
      <w:r>
        <w:t xml:space="preserve"> </w:t>
      </w:r>
      <w:r>
        <w:t xml:space="preserve">days</w:t>
      </w:r>
      <w:r>
        <w:t xml:space="preserve"> </w:t>
      </w:r>
      <m:oMath>
        <m:r>
          <m:rPr>
            <m:sty m:val="p"/>
          </m:rPr>
          <m:t>=</m:t>
        </m:r>
        <m:r>
          <m:t>4</m:t>
        </m:r>
        <m:r>
          <m:rPr>
            <m:sty m:val="p"/>
          </m:rPr>
          <m:t>,</m:t>
        </m:r>
        <m:r>
          <m:t>800</m:t>
        </m:r>
      </m:oMath>
      <w:r>
        <w:t xml:space="preserve"> </w:t>
      </w:r>
      <w:r>
        <w:t xml:space="preserve">h and</w:t>
      </w:r>
      <w:r>
        <w:t xml:space="preserve"> </w:t>
      </w:r>
      <m:oMath>
        <m:sSub>
          <m:e>
            <m:r>
              <m:t>T</m:t>
            </m:r>
          </m:e>
          <m:sub>
            <m:r>
              <m:rPr>
                <m:nor/>
                <m:sty m:val="p"/>
              </m:rPr>
              <m:t>rotate</m:t>
            </m:r>
          </m:sub>
        </m:sSub>
        <m:r>
          <m:rPr>
            <m:sty m:val="p"/>
          </m:rPr>
          <m:t>=</m:t>
        </m:r>
        <m:r>
          <m:t>24</m:t>
        </m:r>
      </m:oMath>
      <w:r>
        <w:t xml:space="preserve"> </w:t>
      </w:r>
      <w:r>
        <w:t xml:space="preserve">h. A static API key leaked to a public repository is usable for</w:t>
      </w:r>
      <w:r>
        <w:t xml:space="preserve"> </w:t>
      </w:r>
      <m:oMath>
        <m:r>
          <m:t>W</m:t>
        </m:r>
        <m:r>
          <m:rPr>
            <m:sty m:val="p"/>
          </m:rPr>
          <m:t>=</m:t>
        </m:r>
        <m:r>
          <m:t>4</m:t>
        </m:r>
        <m:r>
          <m:rPr>
            <m:sty m:val="p"/>
          </m:rPr>
          <m:t>,</m:t>
        </m:r>
        <m:r>
          <m:t>824</m:t>
        </m:r>
      </m:oMath>
      <w:r>
        <w:t xml:space="preserve"> </w:t>
      </w:r>
      <w:r>
        <w:t xml:space="preserve">h. A one-hour dynamic credential leaked in the same way is usable for at most</w:t>
      </w:r>
      <w:r>
        <w:t xml:space="preserve"> </w:t>
      </w:r>
      <m:oMath>
        <m:r>
          <m:t>W</m:t>
        </m:r>
        <m:r>
          <m:rPr>
            <m:sty m:val="p"/>
          </m:rPr>
          <m:t>=</m:t>
        </m:r>
        <m:r>
          <m:rPr>
            <m:sty m:val="p"/>
          </m:rPr>
          <m:t>min</m:t>
        </m:r>
        <m:d>
          <m:dPr>
            <m:begChr m:val="("/>
            <m:endChr m:val=")"/>
            <m:sepChr m:val=""/>
            <m:grow/>
          </m:dPr>
          <m:e>
            <m:r>
              <m:t>1</m:t>
            </m:r>
            <m:r>
              <m:rPr>
                <m:sty m:val="p"/>
              </m:rPr>
              <m:t>,</m:t>
            </m:r>
            <m:r>
              <m:t>4</m:t>
            </m:r>
            <m:r>
              <m:rPr>
                <m:sty m:val="p"/>
              </m:rPr>
              <m:t>,</m:t>
            </m:r>
            <m:r>
              <m:t>824</m:t>
            </m:r>
          </m:e>
        </m:d>
        <m:r>
          <m:rPr>
            <m:sty m:val="p"/>
          </m:rPr>
          <m:t>=</m:t>
        </m:r>
        <m:r>
          <m:t>1</m:t>
        </m:r>
      </m:oMath>
      <w:r>
        <w:t xml:space="preserve"> </w:t>
      </w:r>
      <w:r>
        <w:t xml:space="preserve">h.</w:t>
      </w:r>
      <w:r>
        <w:t xml:space="preserve"> </w:t>
      </w:r>
      <w:r>
        <w:rPr>
          <w:iCs/>
          <w:i/>
        </w:rPr>
        <w:t xml:space="preserve">Interpretation:</w:t>
      </w:r>
      <w:r>
        <w:t xml:space="preserve"> </w:t>
      </w:r>
      <w:r>
        <w:t xml:space="preserve">short lifetimes shrink the window by more than three orders of magnitude</w:t>
      </w:r>
      <w:r>
        <w:t xml:space="preserve"> </w:t>
      </w:r>
      <w:r>
        <w:rPr>
          <w:iCs/>
          <w:i/>
        </w:rPr>
        <w:t xml:space="preserve">without</w:t>
      </w:r>
      <w:r>
        <w:t xml:space="preserve"> </w:t>
      </w:r>
      <w:r>
        <w:t xml:space="preserve">requiring detection to improve.</w:t>
      </w:r>
      <w:r>
        <w:t xml:space="preserve"> </w:t>
      </w:r>
      <w:r>
        <w:rPr>
          <w:iCs/>
          <w:i/>
        </w:rPr>
        <w:t xml:space="preserve">Engineering implication:</w:t>
      </w:r>
      <w:r>
        <w:t xml:space="preserve"> </w:t>
      </w:r>
      <w:r>
        <w:t xml:space="preserve">invest first in making credentials short-lived and automatically renewed; detection and response remain necessary for the vault and identity provider themselves.</w:t>
      </w:r>
    </w:p>
    <w:p>
      <w:pPr>
        <w:pStyle w:val="BodyText"/>
      </w:pPr>
      <w:r>
        <w:rPr>
          <w:bCs/>
          <w:b/>
        </w:rPr>
        <w:t xml:space="preserve">Rotation</w:t>
      </w:r>
      <w:r>
        <w:t xml:space="preserve"> </w:t>
      </w:r>
      <w:r>
        <w:t xml:space="preserve">must be designed, not improvised. A safe rotation for a static secret uses</w:t>
      </w:r>
      <w:r>
        <w:t xml:space="preserve"> </w:t>
      </w:r>
      <w:r>
        <w:rPr>
          <w:bCs/>
          <w:b/>
        </w:rPr>
        <w:t xml:space="preserve">two valid versions</w:t>
      </w:r>
      <w:r>
        <w:t xml:space="preserve">: (1) create the new secret and register it with the receiving side, which now accepts both; (2) roll out the new secret to all callers; (3) verify no traffic uses the old one (metrics per key ID); (4) revoke the old one. This is why key IDs appear in the HMAC design of Figure 10.3. Complement rotation with</w:t>
      </w:r>
      <w:r>
        <w:t xml:space="preserve"> </w:t>
      </w:r>
      <w:r>
        <w:rPr>
          <w:bCs/>
          <w:b/>
        </w:rPr>
        <w:t xml:space="preserve">secret scanning</w:t>
      </w:r>
      <w:r>
        <w:t xml:space="preserve"> </w:t>
      </w:r>
      <w:r>
        <w:t xml:space="preserve">in repositories and CI, pre-commit hooks, and an incident runbook that answers</w:t>
      </w:r>
      <w:r>
        <w:t xml:space="preserve"> </w:t>
      </w:r>
      <w:r>
        <w:t xml:space="preserve">“</w:t>
      </w:r>
      <w:r>
        <w:t xml:space="preserve">this key leaked — what do we do in the next 15 minutes?</w:t>
      </w:r>
      <w:r>
        <w:t xml:space="preserve">”</w:t>
      </w:r>
    </w:p>
    <w:p>
      <w:pPr>
        <w:pStyle w:val="CalloutWarning"/>
      </w:pPr>
      <w:r>
        <w:rPr>
          <w:bCs/>
          <w:b/>
        </w:rPr>
        <w:t xml:space="preserve">WARNING / TRADE-OFF</w:t>
      </w:r>
    </w:p>
    <w:p>
      <w:pPr>
        <w:pStyle w:val="CalloutWarning"/>
      </w:pPr>
      <w:r>
        <w:rPr>
          <w:bCs/>
          <w:b/>
        </w:rPr>
        <w:t xml:space="preserve">Kubernetes Secrets are not encrypted by default.</w:t>
      </w:r>
      <w:r>
        <w:t xml:space="preserve"> </w:t>
      </w:r>
      <w:r>
        <w:t xml:space="preserve">They are base64-encoded objects in etcd; anyone with etcd access or broad RBAC</w:t>
      </w:r>
      <w:r>
        <w:t xml:space="preserve"> </w:t>
      </w:r>
      <w:r>
        <w:rPr>
          <w:rStyle w:val="VerbatimChar"/>
        </w:rPr>
        <w:t xml:space="preserve">get secrets</w:t>
      </w:r>
      <w:r>
        <w:t xml:space="preserve"> </w:t>
      </w:r>
      <w:r>
        <w:t xml:space="preserve">permission can read them. Enable encryption at rest for etcd with a KMS provider, restrict RBAC, and prefer mounting secrets from an external vault (§42.11).</w:t>
      </w:r>
    </w:p>
    <w:bookmarkEnd w:id="1146"/>
    <w:bookmarkEnd w:id="1147"/>
    <w:bookmarkStart w:id="1156" w:name="X849911a88061054e36ad204b8869eb4c8dfb2c4"/>
    <w:p>
      <w:pPr>
        <w:pStyle w:val="Heading2"/>
      </w:pPr>
      <w:r>
        <w:t xml:space="preserve">10.9 Encryption at rest and in transit, KMS and envelope encryption</w:t>
      </w:r>
    </w:p>
    <w:bookmarkStart w:id="1148" w:name="in-transit-and-at-rest"/>
    <w:p>
      <w:pPr>
        <w:pStyle w:val="Heading3"/>
      </w:pPr>
      <w:r>
        <w:t xml:space="preserve">10.9.1 In transit and at rest</w:t>
      </w:r>
    </w:p>
    <w:p>
      <w:pPr>
        <w:pStyle w:val="FirstParagraph"/>
      </w:pPr>
      <w:r>
        <w:rPr>
          <w:bCs/>
          <w:b/>
        </w:rPr>
        <w:t xml:space="preserve">Encryption in transit</w:t>
      </w:r>
      <w:r>
        <w:t xml:space="preserve"> </w:t>
      </w:r>
      <w:r>
        <w:t xml:space="preserve">protects data moving over a network from eavesdropping and tampering. The rule is simple: TLS 1.2 or later (prefer 1.3) on</w:t>
      </w:r>
      <w:r>
        <w:t xml:space="preserve"> </w:t>
      </w:r>
      <w:r>
        <w:rPr>
          <w:iCs/>
          <w:i/>
        </w:rPr>
        <w:t xml:space="preserve">every</w:t>
      </w:r>
      <w:r>
        <w:t xml:space="preserve"> </w:t>
      </w:r>
      <w:r>
        <w:t xml:space="preserve">hop, including internal ones — between load balancer and service, service and database, service and cache.</w:t>
      </w:r>
      <w:r>
        <w:t xml:space="preserve"> </w:t>
      </w:r>
      <w:r>
        <w:t xml:space="preserve">“</w:t>
      </w:r>
      <w:r>
        <w:t xml:space="preserve">The internal network is trusted</w:t>
      </w:r>
      <w:r>
        <w:t xml:space="preserve">”</w:t>
      </w:r>
      <w:r>
        <w:t xml:space="preserve"> </w:t>
      </w:r>
      <w:r>
        <w:t xml:space="preserve">is exactly the perimeter assumption that zero trust (§10.10) rejects.</w:t>
      </w:r>
    </w:p>
    <w:p>
      <w:pPr>
        <w:pStyle w:val="BodyText"/>
      </w:pPr>
      <w:r>
        <w:rPr>
          <w:bCs/>
          <w:b/>
        </w:rPr>
        <w:t xml:space="preserve">Encryption at rest</w:t>
      </w:r>
      <w:r>
        <w:t xml:space="preserve"> </w:t>
      </w:r>
      <w:r>
        <w:t xml:space="preserve">protects stored data from someone who obtains the storage medium or a copy of it. It is applied at different layers, and the layer determines</w:t>
      </w:r>
      <w:r>
        <w:t xml:space="preserve"> </w:t>
      </w:r>
      <w:r>
        <w:rPr>
          <w:iCs/>
          <w:i/>
        </w:rPr>
        <w:t xml:space="preserve">which</w:t>
      </w:r>
      <w:r>
        <w:t xml:space="preserve"> </w:t>
      </w:r>
      <w:r>
        <w:t xml:space="preserve">attacker it stops.</w:t>
      </w:r>
    </w:p>
    <w:p>
      <w:pPr>
        <w:pStyle w:val="BodyText"/>
      </w:pPr>
      <w:r>
        <w:rPr>
          <w:bCs/>
          <w:b/>
        </w:rPr>
        <w:t xml:space="preserve">Table 10.10 — Layers of encryption at rest and what each protects against.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Layer</w:t>
            </w:r>
          </w:p>
        </w:tc>
        <w:tc>
          <w:tcPr/>
          <w:p>
            <w:pPr>
              <w:pStyle w:val="Compact"/>
              <w:jc w:val="left"/>
            </w:pPr>
            <w:r>
              <w:t xml:space="preserve">Example</w:t>
            </w:r>
          </w:p>
        </w:tc>
        <w:tc>
          <w:tcPr/>
          <w:p>
            <w:pPr>
              <w:pStyle w:val="Compact"/>
              <w:jc w:val="left"/>
            </w:pPr>
            <w:r>
              <w:t xml:space="preserve">Protects against</w:t>
            </w:r>
          </w:p>
        </w:tc>
        <w:tc>
          <w:tcPr/>
          <w:p>
            <w:pPr>
              <w:pStyle w:val="Compact"/>
              <w:jc w:val="left"/>
            </w:pPr>
            <w:r>
              <w:t xml:space="preserve">Does</w:t>
            </w:r>
            <w:r>
              <w:t xml:space="preserve"> </w:t>
            </w:r>
            <w:r>
              <w:rPr>
                <w:bCs/>
                <w:b/>
              </w:rPr>
              <w:t xml:space="preserve">not</w:t>
            </w:r>
            <w:r>
              <w:t xml:space="preserve"> </w:t>
            </w:r>
            <w:r>
              <w:t xml:space="preserve">protect against</w:t>
            </w:r>
          </w:p>
        </w:tc>
        <w:tc>
          <w:tcPr/>
          <w:p>
            <w:pPr>
              <w:pStyle w:val="Compact"/>
              <w:jc w:val="left"/>
            </w:pPr>
            <w:r>
              <w:t xml:space="preserve">Cost</w:t>
            </w:r>
          </w:p>
        </w:tc>
      </w:tr>
      <w:tr>
        <w:tc>
          <w:tcPr/>
          <w:p>
            <w:pPr>
              <w:pStyle w:val="Compact"/>
              <w:jc w:val="left"/>
            </w:pPr>
            <w:r>
              <w:t xml:space="preserve">Full-disk / volume</w:t>
            </w:r>
          </w:p>
        </w:tc>
        <w:tc>
          <w:tcPr/>
          <w:p>
            <w:pPr>
              <w:pStyle w:val="Compact"/>
              <w:jc w:val="left"/>
            </w:pPr>
            <w:r>
              <w:t xml:space="preserve">Cloud volume encryption, LUKS</w:t>
            </w:r>
          </w:p>
        </w:tc>
        <w:tc>
          <w:tcPr/>
          <w:p>
            <w:pPr>
              <w:pStyle w:val="Compact"/>
              <w:jc w:val="left"/>
            </w:pPr>
            <w:r>
              <w:t xml:space="preserve">Stolen disks, discarded hardware</w:t>
            </w:r>
          </w:p>
        </w:tc>
        <w:tc>
          <w:tcPr/>
          <w:p>
            <w:pPr>
              <w:pStyle w:val="Compact"/>
              <w:jc w:val="left"/>
            </w:pPr>
            <w:r>
              <w:t xml:space="preserve">Anyone who can query the running system</w:t>
            </w:r>
          </w:p>
        </w:tc>
        <w:tc>
          <w:tcPr/>
          <w:p>
            <w:pPr>
              <w:pStyle w:val="Compact"/>
              <w:jc w:val="left"/>
            </w:pPr>
            <w:r>
              <w:t xml:space="preserve">Near-zero; usually default</w:t>
            </w:r>
          </w:p>
        </w:tc>
      </w:tr>
      <w:tr>
        <w:tc>
          <w:tcPr/>
          <w:p>
            <w:pPr>
              <w:pStyle w:val="Compact"/>
              <w:jc w:val="left"/>
            </w:pPr>
            <w:r>
              <w:t xml:space="preserve">Storage service</w:t>
            </w:r>
          </w:p>
        </w:tc>
        <w:tc>
          <w:tcPr/>
          <w:p>
            <w:pPr>
              <w:pStyle w:val="Compact"/>
              <w:jc w:val="left"/>
            </w:pPr>
            <w:r>
              <w:t xml:space="preserve">S3 SSE-KMS, managed DB storage encryption</w:t>
            </w:r>
          </w:p>
        </w:tc>
        <w:tc>
          <w:tcPr/>
          <w:p>
            <w:pPr>
              <w:pStyle w:val="Compact"/>
              <w:jc w:val="left"/>
            </w:pPr>
            <w:r>
              <w:t xml:space="preserve">Above, plus snapshots/backups copied without key permission</w:t>
            </w:r>
          </w:p>
        </w:tc>
        <w:tc>
          <w:tcPr/>
          <w:p>
            <w:pPr>
              <w:pStyle w:val="Compact"/>
              <w:jc w:val="left"/>
            </w:pPr>
            <w:r>
              <w:t xml:space="preserve">Application or DB credentials compromise</w:t>
            </w:r>
          </w:p>
        </w:tc>
        <w:tc>
          <w:tcPr/>
          <w:p>
            <w:pPr>
              <w:pStyle w:val="Compact"/>
              <w:jc w:val="left"/>
            </w:pPr>
            <w:r>
              <w:t xml:space="preserve">Low; KMS call costs</w:t>
            </w:r>
          </w:p>
        </w:tc>
      </w:tr>
      <w:tr>
        <w:tc>
          <w:tcPr/>
          <w:p>
            <w:pPr>
              <w:pStyle w:val="Compact"/>
              <w:jc w:val="left"/>
            </w:pPr>
            <w:r>
              <w:t xml:space="preserve">Database (TDE)</w:t>
            </w:r>
          </w:p>
        </w:tc>
        <w:tc>
          <w:tcPr/>
          <w:p>
            <w:pPr>
              <w:pStyle w:val="Compact"/>
              <w:jc w:val="left"/>
            </w:pPr>
            <w:r>
              <w:t xml:space="preserve">Transparent data encryption</w:t>
            </w:r>
          </w:p>
        </w:tc>
        <w:tc>
          <w:tcPr/>
          <w:p>
            <w:pPr>
              <w:pStyle w:val="Compact"/>
              <w:jc w:val="left"/>
            </w:pPr>
            <w:r>
              <w:t xml:space="preserve">Stolen DB files and backups</w:t>
            </w:r>
          </w:p>
        </w:tc>
        <w:tc>
          <w:tcPr/>
          <w:p>
            <w:pPr>
              <w:pStyle w:val="Compact"/>
              <w:jc w:val="left"/>
            </w:pPr>
            <w:r>
              <w:t xml:space="preserve">SQL injection, compromised DB user</w:t>
            </w:r>
          </w:p>
        </w:tc>
        <w:tc>
          <w:tcPr/>
          <w:p>
            <w:pPr>
              <w:pStyle w:val="Compact"/>
              <w:jc w:val="left"/>
            </w:pPr>
            <w:r>
              <w:t xml:space="preserve">Low</w:t>
            </w:r>
          </w:p>
        </w:tc>
      </w:tr>
      <w:tr>
        <w:tc>
          <w:tcPr/>
          <w:p>
            <w:pPr>
              <w:pStyle w:val="Compact"/>
              <w:jc w:val="left"/>
            </w:pPr>
            <w:r>
              <w:t xml:space="preserve">Application / field-level</w:t>
            </w:r>
          </w:p>
        </w:tc>
        <w:tc>
          <w:tcPr/>
          <w:p>
            <w:pPr>
              <w:pStyle w:val="Compact"/>
              <w:jc w:val="left"/>
            </w:pPr>
            <w:r>
              <w:t xml:space="preserve">App encrypts SSN column with a KMS-managed key before writing</w:t>
            </w:r>
          </w:p>
        </w:tc>
        <w:tc>
          <w:tcPr/>
          <w:p>
            <w:pPr>
              <w:pStyle w:val="Compact"/>
              <w:jc w:val="left"/>
            </w:pPr>
            <w:r>
              <w:t xml:space="preserve">DB admins, SQL injection reading raw columns, backup leaks</w:t>
            </w:r>
          </w:p>
        </w:tc>
        <w:tc>
          <w:tcPr/>
          <w:p>
            <w:pPr>
              <w:pStyle w:val="Compact"/>
              <w:jc w:val="left"/>
            </w:pPr>
            <w:r>
              <w:t xml:space="preserve">Compromise of the application with decrypt permission</w:t>
            </w:r>
          </w:p>
        </w:tc>
        <w:tc>
          <w:tcPr/>
          <w:p>
            <w:pPr>
              <w:pStyle w:val="Compact"/>
              <w:jc w:val="left"/>
            </w:pPr>
            <w:r>
              <w:t xml:space="preserve">Higher: no querying on ciphertext, key plumbing</w:t>
            </w:r>
          </w:p>
        </w:tc>
      </w:tr>
      <w:tr>
        <w:tc>
          <w:tcPr/>
          <w:p>
            <w:pPr>
              <w:pStyle w:val="Compact"/>
              <w:jc w:val="left"/>
            </w:pPr>
            <w:r>
              <w:t xml:space="preserve">Client-side / end-to-end</w:t>
            </w:r>
          </w:p>
        </w:tc>
        <w:tc>
          <w:tcPr/>
          <w:p>
            <w:pPr>
              <w:pStyle w:val="Compact"/>
              <w:jc w:val="left"/>
            </w:pPr>
            <w:r>
              <w:t xml:space="preserve">Messaging apps, client-encrypted backups</w:t>
            </w:r>
          </w:p>
        </w:tc>
        <w:tc>
          <w:tcPr/>
          <w:p>
            <w:pPr>
              <w:pStyle w:val="Compact"/>
              <w:jc w:val="left"/>
            </w:pPr>
            <w:r>
              <w:t xml:space="preserve">The service operator itself</w:t>
            </w:r>
          </w:p>
        </w:tc>
        <w:tc>
          <w:tcPr/>
          <w:p>
            <w:pPr>
              <w:pStyle w:val="Compact"/>
              <w:jc w:val="left"/>
            </w:pPr>
            <w:r>
              <w:t xml:space="preserve">Compromised client device</w:t>
            </w:r>
          </w:p>
        </w:tc>
        <w:tc>
          <w:tcPr/>
          <w:p>
            <w:pPr>
              <w:pStyle w:val="Compact"/>
              <w:jc w:val="left"/>
            </w:pPr>
            <w:r>
              <w:t xml:space="preserve">Highest: server cannot read or index data</w:t>
            </w:r>
          </w:p>
        </w:tc>
      </w:tr>
    </w:tbl>
    <w:p>
      <w:pPr>
        <w:pStyle w:val="BodyText"/>
      </w:pPr>
      <w:r>
        <w:t xml:space="preserve">The key insight: lower layers are cheap and defeat</w:t>
      </w:r>
      <w:r>
        <w:t xml:space="preserve"> </w:t>
      </w:r>
      <w:r>
        <w:rPr>
          <w:iCs/>
          <w:i/>
        </w:rPr>
        <w:t xml:space="preserve">physical</w:t>
      </w:r>
      <w:r>
        <w:t xml:space="preserve"> </w:t>
      </w:r>
      <w:r>
        <w:t xml:space="preserve">and</w:t>
      </w:r>
      <w:r>
        <w:t xml:space="preserve"> </w:t>
      </w:r>
      <w:r>
        <w:rPr>
          <w:iCs/>
          <w:i/>
        </w:rPr>
        <w:t xml:space="preserve">backup</w:t>
      </w:r>
      <w:r>
        <w:t xml:space="preserve"> </w:t>
      </w:r>
      <w:r>
        <w:t xml:space="preserve">threats; higher layers are expensive and defeat</w:t>
      </w:r>
      <w:r>
        <w:t xml:space="preserve"> </w:t>
      </w:r>
      <w:r>
        <w:rPr>
          <w:iCs/>
          <w:i/>
        </w:rPr>
        <w:t xml:space="preserve">logical</w:t>
      </w:r>
      <w:r>
        <w:t xml:space="preserve"> </w:t>
      </w:r>
      <w:r>
        <w:t xml:space="preserve">threats from people and processes with access to the running system. Most designs use volume or service encryption everywhere, and field-level encryption for a small set of highly sensitive fields (government IDs, health data, payment details).</w:t>
      </w:r>
    </w:p>
    <w:bookmarkEnd w:id="1148"/>
    <w:bookmarkStart w:id="1155" w:name="X7a571465a1a32f9d16bd1a9456e712ad5d74c01"/>
    <w:p>
      <w:pPr>
        <w:pStyle w:val="Heading3"/>
      </w:pPr>
      <w:r>
        <w:t xml:space="preserve">10.9.2 Key management services and envelope encryption</w:t>
      </w:r>
    </w:p>
    <w:p>
      <w:pPr>
        <w:pStyle w:val="CalloutDefinition"/>
      </w:pPr>
      <w:r>
        <w:rPr>
          <w:bCs/>
          <w:b/>
        </w:rPr>
        <w:t xml:space="preserve">DEFINITION</w:t>
      </w:r>
    </w:p>
    <w:p>
      <w:pPr>
        <w:pStyle w:val="CalloutDefinition"/>
      </w:pPr>
      <w:r>
        <w:rPr>
          <w:bCs/>
          <w:b/>
        </w:rPr>
        <w:t xml:space="preserve">Definition — Key management service (KMS).</w:t>
      </w:r>
      <w:r>
        <w:t xml:space="preserve"> </w:t>
      </w:r>
      <w:r>
        <w:t xml:space="preserve">A managed service, backed by hardware security modules (HSMs), that generates and stores</w:t>
      </w:r>
      <w:r>
        <w:t xml:space="preserve"> </w:t>
      </w:r>
      <w:r>
        <w:rPr>
          <w:bCs/>
          <w:b/>
        </w:rPr>
        <w:t xml:space="preserve">key-encryption keys (KEKs)</w:t>
      </w:r>
      <w:r>
        <w:t xml:space="preserve"> </w:t>
      </w:r>
      <w:r>
        <w:t xml:space="preserve">that never leave it in plaintext, performs cryptographic operations with them on request, enforces access policies on every use and logs every call. Examples: AWS KMS, Google Cloud KMS, Azure Key Vault, HashiCorp Vault’s Transit engine.</w:t>
      </w:r>
    </w:p>
    <w:p>
      <w:pPr>
        <w:pStyle w:val="CalloutDefinition"/>
      </w:pPr>
      <w:r>
        <w:rPr>
          <w:bCs/>
          <w:b/>
        </w:rPr>
        <w:t xml:space="preserve">DEFINITION</w:t>
      </w:r>
    </w:p>
    <w:p>
      <w:pPr>
        <w:pStyle w:val="CalloutDefinition"/>
      </w:pPr>
      <w:r>
        <w:rPr>
          <w:bCs/>
          <w:b/>
        </w:rPr>
        <w:t xml:space="preserve">Definition — Envelope encryption.</w:t>
      </w:r>
      <w:r>
        <w:t xml:space="preserve"> </w:t>
      </w:r>
      <w:r>
        <w:t xml:space="preserve">Encrypting data with a</w:t>
      </w:r>
      <w:r>
        <w:t xml:space="preserve"> </w:t>
      </w:r>
      <w:r>
        <w:rPr>
          <w:bCs/>
          <w:b/>
        </w:rPr>
        <w:t xml:space="preserve">data-encryption key (DEK)</w:t>
      </w:r>
      <w:r>
        <w:t xml:space="preserve"> </w:t>
      </w:r>
      <w:r>
        <w:t xml:space="preserve">generated for that data, then encrypting (</w:t>
      </w:r>
      <w:r>
        <w:t xml:space="preserve">“</w:t>
      </w:r>
      <w:r>
        <w:t xml:space="preserve">wrapping</w:t>
      </w:r>
      <w:r>
        <w:t xml:space="preserve">”</w:t>
      </w:r>
      <w:r>
        <w:t xml:space="preserve">) the DEK with a KEK held in a KMS, and storing the wrapped DEK alongside the ciphertext [AWS Docs: KMS concepts].</w:t>
      </w:r>
    </w:p>
    <w:bookmarkStart w:id="1149" w:name="first-principles-explanation-62"/>
    <w:p>
      <w:pPr>
        <w:pStyle w:val="Heading4"/>
      </w:pPr>
      <w:r>
        <w:t xml:space="preserve">First-principles explanation</w:t>
      </w:r>
    </w:p>
    <w:p>
      <w:pPr>
        <w:pStyle w:val="FirstParagraph"/>
      </w:pPr>
      <w:r>
        <w:t xml:space="preserve">A hotel does not give each guest the master key. Each room has its own key (the DEK); the room keys are kept in a safe at the front desk, and only the manager has the key to the safe (the KEK in the KMS). Losing one room key affects one room; changing the safe’s lock does not require changing every room’s lock.</w:t>
      </w:r>
    </w:p>
    <w:bookmarkEnd w:id="1149"/>
    <w:bookmarkStart w:id="1153" w:name="why-does-this-exist-36"/>
    <w:p>
      <w:pPr>
        <w:pStyle w:val="Heading4"/>
      </w:pPr>
      <w:r>
        <w:t xml:space="preserve">Why does this exist?</w:t>
      </w:r>
    </w:p>
    <w:p>
      <w:pPr>
        <w:pStyle w:val="FirstParagraph"/>
      </w:pPr>
      <w:r>
        <w:t xml:space="preserve">Three problems with sending all data to the KMS directly: (1)</w:t>
      </w:r>
      <w:r>
        <w:t xml:space="preserve"> </w:t>
      </w:r>
      <w:r>
        <w:rPr>
          <w:bCs/>
          <w:b/>
        </w:rPr>
        <w:t xml:space="preserve">size</w:t>
      </w:r>
      <w:r>
        <w:t xml:space="preserve"> </w:t>
      </w:r>
      <w:r>
        <w:t xml:space="preserve">— KMS encrypt APIs accept only small payloads (AWS KMS</w:t>
      </w:r>
      <w:r>
        <w:t xml:space="preserve"> </w:t>
      </w:r>
      <w:r>
        <w:rPr>
          <w:rStyle w:val="VerbatimChar"/>
        </w:rPr>
        <w:t xml:space="preserve">Encrypt</w:t>
      </w:r>
      <w:r>
        <w:t xml:space="preserve"> </w:t>
      </w:r>
      <w:r>
        <w:t xml:space="preserve">takes at most 4,096 bytes of plaintext); (2)</w:t>
      </w:r>
      <w:r>
        <w:t xml:space="preserve"> </w:t>
      </w:r>
      <w:r>
        <w:rPr>
          <w:bCs/>
          <w:b/>
        </w:rPr>
        <w:t xml:space="preserve">latency and throughput</w:t>
      </w:r>
      <w:r>
        <w:t xml:space="preserve"> </w:t>
      </w:r>
      <w:r>
        <w:t xml:space="preserve">— every encryption would cost a network round trip and count against request quotas; (3)</w:t>
      </w:r>
      <w:r>
        <w:t xml:space="preserve"> </w:t>
      </w:r>
      <w:r>
        <w:rPr>
          <w:bCs/>
          <w:b/>
        </w:rPr>
        <w:t xml:space="preserve">blast radius</w:t>
      </w:r>
      <w:r>
        <w:t xml:space="preserve"> </w:t>
      </w:r>
      <w:r>
        <w:t xml:space="preserve">— one key encrypting everything means one leak exposes everything. Envelope encryption sends only 32-byte keys to the KMS and encrypts the bulk data locally at memory speed.</w:t>
      </w:r>
    </w:p>
    <w:p>
      <w:pPr>
        <w:pStyle w:val="BodyText"/>
      </w:pPr>
      <w:r>
        <w:rPr>
          <w:bCs/>
          <w:b/>
        </w:rPr>
        <w:t xml:space="preserve">Figure 10.7 — Envelope encryption: write and read paths.</w:t>
      </w:r>
    </w:p>
    <w:p>
      <w:pPr>
        <w:pStyle w:val="BodyText"/>
      </w:pPr>
      <w:r>
        <w:drawing>
          <wp:inline>
            <wp:extent cx="5334000" cy="4010718"/>
            <wp:effectExtent b="0" l="0" r="0" t="0"/>
            <wp:docPr descr="" title="" id="1151" name="Picture"/>
            <a:graphic>
              <a:graphicData uri="http://schemas.openxmlformats.org/drawingml/2006/picture">
                <pic:pic>
                  <pic:nvPicPr>
                    <pic:cNvPr descr="/home/user/System-Design/build/.cache/diagrams/204abd433f53.png" id="1152" name="Picture"/>
                    <pic:cNvPicPr>
                      <a:picLocks noChangeArrowheads="1" noChangeAspect="1"/>
                    </pic:cNvPicPr>
                  </pic:nvPicPr>
                  <pic:blipFill>
                    <a:blip r:embed="rId1150"/>
                    <a:stretch>
                      <a:fillRect/>
                    </a:stretch>
                  </pic:blipFill>
                  <pic:spPr bwMode="auto">
                    <a:xfrm>
                      <a:off x="0" y="0"/>
                      <a:ext cx="5334000" cy="4010718"/>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All calls are synchronous. On the write path the application asks the KMS for a fresh DEK; the KMS returns it twice — in plaintext for immediate use, and wrapped under the KEK for storage. The object is encrypted locally and stored with its wrapped DEK, so the storage system holds only ciphertext. On the read path the application sends the small wrapped DEK to the KMS; the KMS enforces the access policy</w:t>
      </w:r>
      <w:r>
        <w:t xml:space="preserve"> </w:t>
      </w:r>
      <w:r>
        <w:rPr>
          <w:iCs/>
          <w:i/>
        </w:rPr>
        <w:t xml:space="preserve">at decrypt time</w:t>
      </w:r>
      <w:r>
        <w:t xml:space="preserve"> </w:t>
      </w:r>
      <w:r>
        <w:t xml:space="preserve">and writes an audit record, which means</w:t>
      </w:r>
      <w:r>
        <w:t xml:space="preserve"> </w:t>
      </w:r>
      <w:r>
        <w:t xml:space="preserve">“</w:t>
      </w:r>
      <w:r>
        <w:t xml:space="preserve">who read this data</w:t>
      </w:r>
      <w:r>
        <w:t xml:space="preserve">”</w:t>
      </w:r>
      <w:r>
        <w:t xml:space="preserve"> </w:t>
      </w:r>
      <w:r>
        <w:t xml:space="preserve">becomes visible in KMS logs even if storage access logging is off. The</w:t>
      </w:r>
      <w:r>
        <w:t xml:space="preserve"> </w:t>
      </w:r>
      <w:r>
        <w:rPr>
          <w:bCs/>
          <w:b/>
        </w:rPr>
        <w:t xml:space="preserve">encryption context</w:t>
      </w:r>
      <w:r>
        <w:t xml:space="preserve"> </w:t>
      </w:r>
      <w:r>
        <w:t xml:space="preserve">(non-secret key–value pairs such as tenant and object name) is bound to the wrapped DEK as associated data; a wrapped DEK copied onto another tenant’s object fails to unwrap. Failure points: KMS unavailability blocks all reads and writes of new objects (mitigate with regional KMS keys, retries and, carefully, short-lived DEK caching); a deleted KEK makes all data under it unrecoverable (KMS services enforce deletion waiting periods for this reason). Scaling: KMS calls grow with the number of objects, not their size.</w:t>
      </w:r>
    </w:p>
    <w:bookmarkEnd w:id="1153"/>
    <w:bookmarkStart w:id="1154" w:name="X5c1646af30fb8f4ba2cffdab4dfc86db5302078"/>
    <w:p>
      <w:pPr>
        <w:pStyle w:val="Heading4"/>
      </w:pPr>
      <w:r>
        <w:t xml:space="preserve">Code example: envelope encryption with a simulated KMS</w:t>
      </w:r>
    </w:p>
    <w:p>
      <w:pPr>
        <w:pStyle w:val="SourceCode"/>
      </w:pPr>
      <w:r>
        <w:rPr>
          <w:rStyle w:val="CommentTok"/>
        </w:rPr>
        <w:t xml:space="preserve">"""Envelope encryption with a simulated KMS (the KEK never leaves the 'KMS')."""</w:t>
      </w:r>
      <w:r>
        <w:br/>
      </w:r>
      <w:r>
        <w:rPr>
          <w:rStyle w:val="ImportTok"/>
        </w:rPr>
        <w:t xml:space="preserve">import</w:t>
      </w:r>
      <w:r>
        <w:rPr>
          <w:rStyle w:val="NormalTok"/>
        </w:rPr>
        <w:t xml:space="preserve"> json</w:t>
      </w:r>
      <w:r>
        <w:br/>
      </w:r>
      <w:r>
        <w:rPr>
          <w:rStyle w:val="ImportTok"/>
        </w:rPr>
        <w:t xml:space="preserve">import</w:t>
      </w:r>
      <w:r>
        <w:rPr>
          <w:rStyle w:val="NormalTok"/>
        </w:rPr>
        <w:t xml:space="preserve"> os</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cryptography.hazmat.primitives.ciphers.aead </w:t>
      </w:r>
      <w:r>
        <w:rPr>
          <w:rStyle w:val="ImportTok"/>
        </w:rPr>
        <w:t xml:space="preserve">import</w:t>
      </w:r>
      <w:r>
        <w:rPr>
          <w:rStyle w:val="NormalTok"/>
        </w:rPr>
        <w:t xml:space="preserve"> AESGCM</w:t>
      </w:r>
      <w:r>
        <w:br/>
      </w:r>
      <w:r>
        <w:br/>
      </w:r>
      <w:r>
        <w:rPr>
          <w:rStyle w:val="KeywordTok"/>
        </w:rPr>
        <w:t xml:space="preserve">class</w:t>
      </w:r>
      <w:r>
        <w:rPr>
          <w:rStyle w:val="NormalTok"/>
        </w:rPr>
        <w:t xml:space="preserve"> FakeKMS:</w:t>
      </w:r>
      <w:r>
        <w:br/>
      </w:r>
      <w:r>
        <w:rPr>
          <w:rStyle w:val="NormalTok"/>
        </w:rPr>
        <w:t xml:space="preserve">    </w:t>
      </w:r>
      <w:r>
        <w:rPr>
          <w:rStyle w:val="CommentTok"/>
        </w:rPr>
        <w:t xml:space="preserve">"""Stands in for AWS KMS / Cloud KMS / Vault Transit. Holds KEKs internally."""</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._keks </w:t>
      </w:r>
      <w:r>
        <w:rPr>
          <w:rStyle w:val="OperatorTok"/>
        </w:rPr>
        <w:t xml:space="preserve">=</w:t>
      </w:r>
      <w:r>
        <w:rPr>
          <w:rStyle w:val="NormalTok"/>
        </w:rPr>
        <w:t xml:space="preserve"> {</w:t>
      </w:r>
      <w:r>
        <w:rPr>
          <w:rStyle w:val="StringTok"/>
        </w:rPr>
        <w:t xml:space="preserve">"kek-2026-10"</w:t>
      </w:r>
      <w:r>
        <w:rPr>
          <w:rStyle w:val="NormalTok"/>
        </w:rPr>
        <w:t xml:space="preserve">: AESGCM.generate_key(bit_length</w:t>
      </w:r>
      <w:r>
        <w:rPr>
          <w:rStyle w:val="OperatorTok"/>
        </w:rPr>
        <w:t xml:space="preserve">=</w:t>
      </w:r>
      <w:r>
        <w:rPr>
          <w:rStyle w:val="DecValTok"/>
        </w:rPr>
        <w:t xml:space="preserve">256</w:t>
      </w:r>
      <w:r>
        <w:rPr>
          <w:rStyle w:val="NormalTok"/>
        </w:rPr>
        <w:t xml:space="preserve">)}</w:t>
      </w:r>
      <w:r>
        <w:br/>
      </w:r>
      <w:r>
        <w:rPr>
          <w:rStyle w:val="NormalTok"/>
        </w:rPr>
        <w:t xml:space="preserve">        </w:t>
      </w:r>
      <w:r>
        <w:rPr>
          <w:rStyle w:val="VariableTok"/>
        </w:rPr>
        <w:t xml:space="preserve">self</w:t>
      </w:r>
      <w:r>
        <w:rPr>
          <w:rStyle w:val="NormalTok"/>
        </w:rPr>
        <w:t xml:space="preserve">.current </w:t>
      </w:r>
      <w:r>
        <w:rPr>
          <w:rStyle w:val="OperatorTok"/>
        </w:rPr>
        <w:t xml:space="preserve">=</w:t>
      </w:r>
      <w:r>
        <w:rPr>
          <w:rStyle w:val="NormalTok"/>
        </w:rPr>
        <w:t xml:space="preserve"> </w:t>
      </w:r>
      <w:r>
        <w:rPr>
          <w:rStyle w:val="StringTok"/>
        </w:rPr>
        <w:t xml:space="preserve">"kek-2026-10"</w:t>
      </w:r>
      <w:r>
        <w:br/>
      </w:r>
      <w:r>
        <w:br/>
      </w:r>
      <w:r>
        <w:rPr>
          <w:rStyle w:val="NormalTok"/>
        </w:rPr>
        <w:t xml:space="preserve">    </w:t>
      </w:r>
      <w:r>
        <w:rPr>
          <w:rStyle w:val="KeywordTok"/>
        </w:rPr>
        <w:t xml:space="preserve">def</w:t>
      </w:r>
      <w:r>
        <w:rPr>
          <w:rStyle w:val="NormalTok"/>
        </w:rPr>
        <w:t xml:space="preserve"> generate_data_key(</w:t>
      </w:r>
      <w:r>
        <w:rPr>
          <w:rStyle w:val="VariableTok"/>
        </w:rPr>
        <w:t xml:space="preserve">self</w:t>
      </w:r>
      <w:r>
        <w:rPr>
          <w:rStyle w:val="NormalTok"/>
        </w:rPr>
        <w:t xml:space="preserve">, context: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bytes</w:t>
      </w:r>
      <w:r>
        <w:rPr>
          <w:rStyle w:val="NormalTok"/>
        </w:rPr>
        <w:t xml:space="preserve">, </w:t>
      </w:r>
      <w:r>
        <w:rPr>
          <w:rStyle w:val="BuiltInTok"/>
        </w:rPr>
        <w:t xml:space="preserve">dict</w:t>
      </w:r>
      <w:r>
        <w:rPr>
          <w:rStyle w:val="NormalTok"/>
        </w:rPr>
        <w:t xml:space="preserve">]:</w:t>
      </w:r>
      <w:r>
        <w:br/>
      </w:r>
      <w:r>
        <w:rPr>
          <w:rStyle w:val="NormalTok"/>
        </w:rPr>
        <w:t xml:space="preserve">        dek </w:t>
      </w:r>
      <w:r>
        <w:rPr>
          <w:rStyle w:val="OperatorTok"/>
        </w:rPr>
        <w:t xml:space="preserve">=</w:t>
      </w:r>
      <w:r>
        <w:rPr>
          <w:rStyle w:val="NormalTok"/>
        </w:rPr>
        <w:t xml:space="preserve"> AESGCM.generate_key(bit_length</w:t>
      </w:r>
      <w:r>
        <w:rPr>
          <w:rStyle w:val="OperatorTok"/>
        </w:rPr>
        <w:t xml:space="preserve">=</w:t>
      </w:r>
      <w:r>
        <w:rPr>
          <w:rStyle w:val="DecValTok"/>
        </w:rPr>
        <w:t xml:space="preserve">256</w:t>
      </w:r>
      <w:r>
        <w:rPr>
          <w:rStyle w:val="NormalTok"/>
        </w:rPr>
        <w:t xml:space="preserve">)            </w:t>
      </w:r>
      <w:r>
        <w:rPr>
          <w:rStyle w:val="CommentTok"/>
        </w:rPr>
        <w:t xml:space="preserve"># fresh DEK per object</w:t>
      </w:r>
      <w:r>
        <w:br/>
      </w:r>
      <w:r>
        <w:rPr>
          <w:rStyle w:val="NormalTok"/>
        </w:rPr>
        <w:t xml:space="preserve">        nonce </w:t>
      </w:r>
      <w:r>
        <w:rPr>
          <w:rStyle w:val="OperatorTok"/>
        </w:rPr>
        <w:t xml:space="preserve">=</w:t>
      </w:r>
      <w:r>
        <w:rPr>
          <w:rStyle w:val="NormalTok"/>
        </w:rPr>
        <w:t xml:space="preserve"> os.urandom(</w:t>
      </w:r>
      <w:r>
        <w:rPr>
          <w:rStyle w:val="DecValTok"/>
        </w:rPr>
        <w:t xml:space="preserve">12</w:t>
      </w:r>
      <w:r>
        <w:rPr>
          <w:rStyle w:val="NormalTok"/>
        </w:rPr>
        <w:t xml:space="preserve">)</w:t>
      </w:r>
      <w:r>
        <w:br/>
      </w:r>
      <w:r>
        <w:rPr>
          <w:rStyle w:val="NormalTok"/>
        </w:rPr>
        <w:t xml:space="preserve">        aad </w:t>
      </w:r>
      <w:r>
        <w:rPr>
          <w:rStyle w:val="OperatorTok"/>
        </w:rPr>
        <w:t xml:space="preserve">=</w:t>
      </w:r>
      <w:r>
        <w:rPr>
          <w:rStyle w:val="NormalTok"/>
        </w:rPr>
        <w:t xml:space="preserve"> json.dumps(context, sort_keys</w:t>
      </w:r>
      <w:r>
        <w:rPr>
          <w:rStyle w:val="OperatorTok"/>
        </w:rPr>
        <w:t xml:space="preserve">=</w:t>
      </w:r>
      <w:r>
        <w:rPr>
          <w:rStyle w:val="VariableTok"/>
        </w:rPr>
        <w:t xml:space="preserve">True</w:t>
      </w:r>
      <w:r>
        <w:rPr>
          <w:rStyle w:val="NormalTok"/>
        </w:rPr>
        <w:t xml:space="preserve">).encode()   </w:t>
      </w:r>
      <w:r>
        <w:rPr>
          <w:rStyle w:val="CommentTok"/>
        </w:rPr>
        <w:t xml:space="preserve"># "encryption context"</w:t>
      </w:r>
      <w:r>
        <w:br/>
      </w:r>
      <w:r>
        <w:rPr>
          <w:rStyle w:val="NormalTok"/>
        </w:rPr>
        <w:t xml:space="preserve">        wrapped </w:t>
      </w:r>
      <w:r>
        <w:rPr>
          <w:rStyle w:val="OperatorTok"/>
        </w:rPr>
        <w:t xml:space="preserve">=</w:t>
      </w:r>
      <w:r>
        <w:rPr>
          <w:rStyle w:val="NormalTok"/>
        </w:rPr>
        <w:t xml:space="preserve"> AESGCM(</w:t>
      </w:r>
      <w:r>
        <w:rPr>
          <w:rStyle w:val="VariableTok"/>
        </w:rPr>
        <w:t xml:space="preserve">self</w:t>
      </w:r>
      <w:r>
        <w:rPr>
          <w:rStyle w:val="NormalTok"/>
        </w:rPr>
        <w:t xml:space="preserve">._keks[</w:t>
      </w:r>
      <w:r>
        <w:rPr>
          <w:rStyle w:val="VariableTok"/>
        </w:rPr>
        <w:t xml:space="preserve">self</w:t>
      </w:r>
      <w:r>
        <w:rPr>
          <w:rStyle w:val="NormalTok"/>
        </w:rPr>
        <w:t xml:space="preserve">.current]).encrypt(nonce, dek, aad)</w:t>
      </w:r>
      <w:r>
        <w:br/>
      </w:r>
      <w:r>
        <w:rPr>
          <w:rStyle w:val="NormalTok"/>
        </w:rPr>
        <w:t xml:space="preserve">        </w:t>
      </w:r>
      <w:r>
        <w:rPr>
          <w:rStyle w:val="ControlFlowTok"/>
        </w:rPr>
        <w:t xml:space="preserve">return</w:t>
      </w:r>
      <w:r>
        <w:rPr>
          <w:rStyle w:val="NormalTok"/>
        </w:rPr>
        <w:t xml:space="preserve"> dek, {</w:t>
      </w:r>
      <w:r>
        <w:rPr>
          <w:rStyle w:val="StringTok"/>
        </w:rPr>
        <w:t xml:space="preserve">"kek_id"</w:t>
      </w:r>
      <w:r>
        <w:rPr>
          <w:rStyle w:val="NormalTok"/>
        </w:rPr>
        <w:t xml:space="preserve">: </w:t>
      </w:r>
      <w:r>
        <w:rPr>
          <w:rStyle w:val="VariableTok"/>
        </w:rPr>
        <w:t xml:space="preserve">self</w:t>
      </w:r>
      <w:r>
        <w:rPr>
          <w:rStyle w:val="NormalTok"/>
        </w:rPr>
        <w:t xml:space="preserve">.current, </w:t>
      </w:r>
      <w:r>
        <w:rPr>
          <w:rStyle w:val="StringTok"/>
        </w:rPr>
        <w:t xml:space="preserve">"nonce"</w:t>
      </w:r>
      <w:r>
        <w:rPr>
          <w:rStyle w:val="NormalTok"/>
        </w:rPr>
        <w:t xml:space="preserve">: nonce.</w:t>
      </w:r>
      <w:r>
        <w:rPr>
          <w:rStyle w:val="BuiltInTok"/>
        </w:rPr>
        <w:t xml:space="preserve">hex</w:t>
      </w:r>
      <w:r>
        <w:rPr>
          <w:rStyle w:val="NormalTok"/>
        </w:rPr>
        <w:t xml:space="preserve">(), </w:t>
      </w:r>
      <w:r>
        <w:rPr>
          <w:rStyle w:val="StringTok"/>
        </w:rPr>
        <w:t xml:space="preserve">"wrapped"</w:t>
      </w:r>
      <w:r>
        <w:rPr>
          <w:rStyle w:val="NormalTok"/>
        </w:rPr>
        <w:t xml:space="preserve">: wrapped.</w:t>
      </w:r>
      <w:r>
        <w:rPr>
          <w:rStyle w:val="BuiltInTok"/>
        </w:rPr>
        <w:t xml:space="preserve">hex</w:t>
      </w:r>
      <w:r>
        <w:rPr>
          <w:rStyle w:val="NormalTok"/>
        </w:rPr>
        <w:t xml:space="preserve">()}</w:t>
      </w:r>
      <w:r>
        <w:br/>
      </w:r>
      <w:r>
        <w:br/>
      </w:r>
      <w:r>
        <w:rPr>
          <w:rStyle w:val="NormalTok"/>
        </w:rPr>
        <w:t xml:space="preserve">    </w:t>
      </w:r>
      <w:r>
        <w:rPr>
          <w:rStyle w:val="KeywordTok"/>
        </w:rPr>
        <w:t xml:space="preserve">def</w:t>
      </w:r>
      <w:r>
        <w:rPr>
          <w:rStyle w:val="NormalTok"/>
        </w:rPr>
        <w:t xml:space="preserve"> decrypt_data_key(</w:t>
      </w:r>
      <w:r>
        <w:rPr>
          <w:rStyle w:val="VariableTok"/>
        </w:rPr>
        <w:t xml:space="preserve">self</w:t>
      </w:r>
      <w:r>
        <w:rPr>
          <w:rStyle w:val="NormalTok"/>
        </w:rPr>
        <w:t xml:space="preserve">, blob: </w:t>
      </w:r>
      <w:r>
        <w:rPr>
          <w:rStyle w:val="BuiltInTok"/>
        </w:rPr>
        <w:t xml:space="preserve">dict</w:t>
      </w:r>
      <w:r>
        <w:rPr>
          <w:rStyle w:val="NormalTok"/>
        </w:rPr>
        <w:t xml:space="preserve">, context: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bytes</w:t>
      </w:r>
      <w:r>
        <w:rPr>
          <w:rStyle w:val="NormalTok"/>
        </w:rPr>
        <w:t xml:space="preserve">:</w:t>
      </w:r>
      <w:r>
        <w:br/>
      </w:r>
      <w:r>
        <w:rPr>
          <w:rStyle w:val="NormalTok"/>
        </w:rPr>
        <w:t xml:space="preserve">        aad </w:t>
      </w:r>
      <w:r>
        <w:rPr>
          <w:rStyle w:val="OperatorTok"/>
        </w:rPr>
        <w:t xml:space="preserve">=</w:t>
      </w:r>
      <w:r>
        <w:rPr>
          <w:rStyle w:val="NormalTok"/>
        </w:rPr>
        <w:t xml:space="preserve"> json.dumps(context, sort_keys</w:t>
      </w:r>
      <w:r>
        <w:rPr>
          <w:rStyle w:val="OperatorTok"/>
        </w:rPr>
        <w:t xml:space="preserve">=</w:t>
      </w:r>
      <w:r>
        <w:rPr>
          <w:rStyle w:val="VariableTok"/>
        </w:rPr>
        <w:t xml:space="preserve">True</w:t>
      </w:r>
      <w:r>
        <w:rPr>
          <w:rStyle w:val="NormalTok"/>
        </w:rPr>
        <w:t xml:space="preserve">).encode()</w:t>
      </w:r>
      <w:r>
        <w:br/>
      </w:r>
      <w:r>
        <w:rPr>
          <w:rStyle w:val="NormalTok"/>
        </w:rPr>
        <w:t xml:space="preserve">        </w:t>
      </w:r>
      <w:r>
        <w:rPr>
          <w:rStyle w:val="ControlFlowTok"/>
        </w:rPr>
        <w:t xml:space="preserve">return</w:t>
      </w:r>
      <w:r>
        <w:rPr>
          <w:rStyle w:val="NormalTok"/>
        </w:rPr>
        <w:t xml:space="preserve"> AESGCM(</w:t>
      </w:r>
      <w:r>
        <w:rPr>
          <w:rStyle w:val="VariableTok"/>
        </w:rPr>
        <w:t xml:space="preserve">self</w:t>
      </w:r>
      <w:r>
        <w:rPr>
          <w:rStyle w:val="NormalTok"/>
        </w:rPr>
        <w:t xml:space="preserve">._keks[blob[</w:t>
      </w:r>
      <w:r>
        <w:rPr>
          <w:rStyle w:val="StringTok"/>
        </w:rPr>
        <w:t xml:space="preserve">"kek_id"</w:t>
      </w:r>
      <w:r>
        <w:rPr>
          <w:rStyle w:val="NormalTok"/>
        </w:rPr>
        <w:t xml:space="preserve">]]).decrypt(</w:t>
      </w:r>
      <w:r>
        <w:br/>
      </w:r>
      <w:r>
        <w:rPr>
          <w:rStyle w:val="NormalTok"/>
        </w:rPr>
        <w:t xml:space="preserve">            </w:t>
      </w:r>
      <w:r>
        <w:rPr>
          <w:rStyle w:val="BuiltInTok"/>
        </w:rPr>
        <w:t xml:space="preserve">bytes</w:t>
      </w:r>
      <w:r>
        <w:rPr>
          <w:rStyle w:val="NormalTok"/>
        </w:rPr>
        <w:t xml:space="preserve">.fromhex(blob[</w:t>
      </w:r>
      <w:r>
        <w:rPr>
          <w:rStyle w:val="StringTok"/>
        </w:rPr>
        <w:t xml:space="preserve">"nonce"</w:t>
      </w:r>
      <w:r>
        <w:rPr>
          <w:rStyle w:val="NormalTok"/>
        </w:rPr>
        <w:t xml:space="preserve">]), </w:t>
      </w:r>
      <w:r>
        <w:rPr>
          <w:rStyle w:val="BuiltInTok"/>
        </w:rPr>
        <w:t xml:space="preserve">bytes</w:t>
      </w:r>
      <w:r>
        <w:rPr>
          <w:rStyle w:val="NormalTok"/>
        </w:rPr>
        <w:t xml:space="preserve">.fromhex(blob[</w:t>
      </w:r>
      <w:r>
        <w:rPr>
          <w:rStyle w:val="StringTok"/>
        </w:rPr>
        <w:t xml:space="preserve">"wrapped"</w:t>
      </w:r>
      <w:r>
        <w:rPr>
          <w:rStyle w:val="NormalTok"/>
        </w:rPr>
        <w:t xml:space="preserve">]), aad)</w:t>
      </w:r>
      <w:r>
        <w:br/>
      </w:r>
      <w:r>
        <w:br/>
      </w:r>
      <w:r>
        <w:rPr>
          <w:rStyle w:val="NormalTok"/>
        </w:rPr>
        <w:t xml:space="preserve">    </w:t>
      </w:r>
      <w:r>
        <w:rPr>
          <w:rStyle w:val="KeywordTok"/>
        </w:rPr>
        <w:t xml:space="preserve">def</w:t>
      </w:r>
      <w:r>
        <w:rPr>
          <w:rStyle w:val="NormalTok"/>
        </w:rPr>
        <w:t xml:space="preserve"> rotate(</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new_id </w:t>
      </w:r>
      <w:r>
        <w:rPr>
          <w:rStyle w:val="OperatorTok"/>
        </w:rPr>
        <w:t xml:space="preserve">=</w:t>
      </w:r>
      <w:r>
        <w:rPr>
          <w:rStyle w:val="NormalTok"/>
        </w:rPr>
        <w:t xml:space="preserve"> </w:t>
      </w:r>
      <w:r>
        <w:rPr>
          <w:rStyle w:val="SpecialStringTok"/>
        </w:rPr>
        <w:t xml:space="preserve">f"kek-</w:t>
      </w:r>
      <w:r>
        <w:rPr>
          <w:rStyle w:val="SpecialCharTok"/>
        </w:rPr>
        <w:t xml:space="preserve">{</w:t>
      </w:r>
      <w:r>
        <w:rPr>
          <w:rStyle w:val="BuiltInTok"/>
        </w:rPr>
        <w:t xml:space="preserve">len</w:t>
      </w:r>
      <w:r>
        <w:rPr>
          <w:rStyle w:val="NormalTok"/>
        </w:rPr>
        <w:t xml:space="preserve">(</w:t>
      </w:r>
      <w:r>
        <w:rPr>
          <w:rStyle w:val="VariableTok"/>
        </w:rPr>
        <w:t xml:space="preserve">self</w:t>
      </w:r>
      <w:r>
        <w:rPr>
          <w:rStyle w:val="NormalTok"/>
        </w:rPr>
        <w:t xml:space="preserve">._keks) </w:t>
      </w:r>
      <w:r>
        <w:rPr>
          <w:rStyle w:val="OperatorTok"/>
        </w:rPr>
        <w:t xml:space="preserve">+</w:t>
      </w:r>
      <w:r>
        <w:rPr>
          <w:rStyle w:val="NormalTok"/>
        </w:rPr>
        <w:t xml:space="preserve"> </w:t>
      </w:r>
      <w:r>
        <w:rPr>
          <w:rStyle w:val="DecValTok"/>
        </w:rPr>
        <w:t xml:space="preserve">1</w:t>
      </w:r>
      <w:r>
        <w:rPr>
          <w:rStyle w:val="SpecialCharTok"/>
        </w:rPr>
        <w:t xml:space="preserve">}</w:t>
      </w:r>
      <w:r>
        <w:rPr>
          <w:rStyle w:val="SpecialStringTok"/>
        </w:rPr>
        <w:t xml:space="preserve">"</w:t>
      </w:r>
      <w:r>
        <w:br/>
      </w:r>
      <w:r>
        <w:rPr>
          <w:rStyle w:val="NormalTok"/>
        </w:rPr>
        <w:t xml:space="preserve">        </w:t>
      </w:r>
      <w:r>
        <w:rPr>
          <w:rStyle w:val="VariableTok"/>
        </w:rPr>
        <w:t xml:space="preserve">self</w:t>
      </w:r>
      <w:r>
        <w:rPr>
          <w:rStyle w:val="NormalTok"/>
        </w:rPr>
        <w:t xml:space="preserve">._keks[new_id] </w:t>
      </w:r>
      <w:r>
        <w:rPr>
          <w:rStyle w:val="OperatorTok"/>
        </w:rPr>
        <w:t xml:space="preserve">=</w:t>
      </w:r>
      <w:r>
        <w:rPr>
          <w:rStyle w:val="NormalTok"/>
        </w:rPr>
        <w:t xml:space="preserve"> AESGCM.generate_key(bit_length</w:t>
      </w:r>
      <w:r>
        <w:rPr>
          <w:rStyle w:val="OperatorTok"/>
        </w:rPr>
        <w:t xml:space="preserve">=</w:t>
      </w:r>
      <w:r>
        <w:rPr>
          <w:rStyle w:val="DecValTok"/>
        </w:rPr>
        <w:t xml:space="preserve">256</w:t>
      </w:r>
      <w:r>
        <w:rPr>
          <w:rStyle w:val="NormalTok"/>
        </w:rPr>
        <w:t xml:space="preserve">)</w:t>
      </w:r>
      <w:r>
        <w:br/>
      </w:r>
      <w:r>
        <w:rPr>
          <w:rStyle w:val="NormalTok"/>
        </w:rPr>
        <w:t xml:space="preserve">        </w:t>
      </w:r>
      <w:r>
        <w:rPr>
          <w:rStyle w:val="VariableTok"/>
        </w:rPr>
        <w:t xml:space="preserve">self</w:t>
      </w:r>
      <w:r>
        <w:rPr>
          <w:rStyle w:val="NormalTok"/>
        </w:rPr>
        <w:t xml:space="preserve">.current </w:t>
      </w:r>
      <w:r>
        <w:rPr>
          <w:rStyle w:val="OperatorTok"/>
        </w:rPr>
        <w:t xml:space="preserve">=</w:t>
      </w:r>
      <w:r>
        <w:rPr>
          <w:rStyle w:val="NormalTok"/>
        </w:rPr>
        <w:t xml:space="preserve"> new_id                                 </w:t>
      </w:r>
      <w:r>
        <w:rPr>
          <w:rStyle w:val="CommentTok"/>
        </w:rPr>
        <w:t xml:space="preserve"># old KEKs kept for decrypt</w:t>
      </w:r>
      <w:r>
        <w:br/>
      </w:r>
      <w:r>
        <w:br/>
      </w:r>
      <w:r>
        <w:rPr>
          <w:rStyle w:val="NormalTok"/>
        </w:rPr>
        <w:t xml:space="preserve">    </w:t>
      </w:r>
      <w:r>
        <w:rPr>
          <w:rStyle w:val="KeywordTok"/>
        </w:rPr>
        <w:t xml:space="preserve">def</w:t>
      </w:r>
      <w:r>
        <w:rPr>
          <w:rStyle w:val="NormalTok"/>
        </w:rPr>
        <w:t xml:space="preserve"> rewrap(</w:t>
      </w:r>
      <w:r>
        <w:rPr>
          <w:rStyle w:val="VariableTok"/>
        </w:rPr>
        <w:t xml:space="preserve">self</w:t>
      </w:r>
      <w:r>
        <w:rPr>
          <w:rStyle w:val="NormalTok"/>
        </w:rPr>
        <w:t xml:space="preserve">, blob: </w:t>
      </w:r>
      <w:r>
        <w:rPr>
          <w:rStyle w:val="BuiltInTok"/>
        </w:rPr>
        <w:t xml:space="preserve">dict</w:t>
      </w:r>
      <w:r>
        <w:rPr>
          <w:rStyle w:val="NormalTok"/>
        </w:rPr>
        <w:t xml:space="preserve">, context: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"""Re-encrypt a DEK under the current KEK without touching the data."""</w:t>
      </w:r>
      <w:r>
        <w:br/>
      </w:r>
      <w:r>
        <w:rPr>
          <w:rStyle w:val="NormalTok"/>
        </w:rPr>
        <w:t xml:space="preserve">        dek </w:t>
      </w:r>
      <w:r>
        <w:rPr>
          <w:rStyle w:val="OperatorTok"/>
        </w:rPr>
        <w:t xml:space="preserve">=</w:t>
      </w:r>
      <w:r>
        <w:rPr>
          <w:rStyle w:val="NormalTok"/>
        </w:rPr>
        <w:t xml:space="preserve"> </w:t>
      </w:r>
      <w:r>
        <w:rPr>
          <w:rStyle w:val="VariableTok"/>
        </w:rPr>
        <w:t xml:space="preserve">self</w:t>
      </w:r>
      <w:r>
        <w:rPr>
          <w:rStyle w:val="NormalTok"/>
        </w:rPr>
        <w:t xml:space="preserve">.decrypt_data_key(blob, context)</w:t>
      </w:r>
      <w:r>
        <w:br/>
      </w:r>
      <w:r>
        <w:rPr>
          <w:rStyle w:val="NormalTok"/>
        </w:rPr>
        <w:t xml:space="preserve">        nonce </w:t>
      </w:r>
      <w:r>
        <w:rPr>
          <w:rStyle w:val="OperatorTok"/>
        </w:rPr>
        <w:t xml:space="preserve">=</w:t>
      </w:r>
      <w:r>
        <w:rPr>
          <w:rStyle w:val="NormalTok"/>
        </w:rPr>
        <w:t xml:space="preserve"> os.urandom(</w:t>
      </w:r>
      <w:r>
        <w:rPr>
          <w:rStyle w:val="DecValTok"/>
        </w:rPr>
        <w:t xml:space="preserve">12</w:t>
      </w:r>
      <w:r>
        <w:rPr>
          <w:rStyle w:val="NormalTok"/>
        </w:rPr>
        <w:t xml:space="preserve">)</w:t>
      </w:r>
      <w:r>
        <w:br/>
      </w:r>
      <w:r>
        <w:rPr>
          <w:rStyle w:val="NormalTok"/>
        </w:rPr>
        <w:t xml:space="preserve">        aad </w:t>
      </w:r>
      <w:r>
        <w:rPr>
          <w:rStyle w:val="OperatorTok"/>
        </w:rPr>
        <w:t xml:space="preserve">=</w:t>
      </w:r>
      <w:r>
        <w:rPr>
          <w:rStyle w:val="NormalTok"/>
        </w:rPr>
        <w:t xml:space="preserve"> json.dumps(context, sort_keys</w:t>
      </w:r>
      <w:r>
        <w:rPr>
          <w:rStyle w:val="OperatorTok"/>
        </w:rPr>
        <w:t xml:space="preserve">=</w:t>
      </w:r>
      <w:r>
        <w:rPr>
          <w:rStyle w:val="VariableTok"/>
        </w:rPr>
        <w:t xml:space="preserve">True</w:t>
      </w:r>
      <w:r>
        <w:rPr>
          <w:rStyle w:val="NormalTok"/>
        </w:rPr>
        <w:t xml:space="preserve">).encode()</w:t>
      </w:r>
      <w:r>
        <w:br/>
      </w:r>
      <w:r>
        <w:rPr>
          <w:rStyle w:val="NormalTok"/>
        </w:rPr>
        <w:t xml:space="preserve">        </w:t>
      </w:r>
      <w:r>
        <w:rPr>
          <w:rStyle w:val="ControlFlowTok"/>
        </w:rPr>
        <w:t xml:space="preserve">return</w:t>
      </w:r>
      <w:r>
        <w:rPr>
          <w:rStyle w:val="NormalTok"/>
        </w:rPr>
        <w:t xml:space="preserve"> {</w:t>
      </w:r>
      <w:r>
        <w:rPr>
          <w:rStyle w:val="StringTok"/>
        </w:rPr>
        <w:t xml:space="preserve">"kek_id"</w:t>
      </w:r>
      <w:r>
        <w:rPr>
          <w:rStyle w:val="NormalTok"/>
        </w:rPr>
        <w:t xml:space="preserve">: </w:t>
      </w:r>
      <w:r>
        <w:rPr>
          <w:rStyle w:val="VariableTok"/>
        </w:rPr>
        <w:t xml:space="preserve">self</w:t>
      </w:r>
      <w:r>
        <w:rPr>
          <w:rStyle w:val="NormalTok"/>
        </w:rPr>
        <w:t xml:space="preserve">.current, </w:t>
      </w:r>
      <w:r>
        <w:rPr>
          <w:rStyle w:val="StringTok"/>
        </w:rPr>
        <w:t xml:space="preserve">"nonce"</w:t>
      </w:r>
      <w:r>
        <w:rPr>
          <w:rStyle w:val="NormalTok"/>
        </w:rPr>
        <w:t xml:space="preserve">: nonce.</w:t>
      </w:r>
      <w:r>
        <w:rPr>
          <w:rStyle w:val="BuiltInTok"/>
        </w:rPr>
        <w:t xml:space="preserve">hex</w:t>
      </w:r>
      <w:r>
        <w:rPr>
          <w:rStyle w:val="NormalTok"/>
        </w:rPr>
        <w:t xml:space="preserve">(),</w:t>
      </w:r>
      <w:r>
        <w:br/>
      </w:r>
      <w:r>
        <w:rPr>
          <w:rStyle w:val="NormalTok"/>
        </w:rPr>
        <w:t xml:space="preserve">                </w:t>
      </w:r>
      <w:r>
        <w:rPr>
          <w:rStyle w:val="StringTok"/>
        </w:rPr>
        <w:t xml:space="preserve">"wrapped"</w:t>
      </w:r>
      <w:r>
        <w:rPr>
          <w:rStyle w:val="NormalTok"/>
        </w:rPr>
        <w:t xml:space="preserve">: AESGCM(</w:t>
      </w:r>
      <w:r>
        <w:rPr>
          <w:rStyle w:val="VariableTok"/>
        </w:rPr>
        <w:t xml:space="preserve">self</w:t>
      </w:r>
      <w:r>
        <w:rPr>
          <w:rStyle w:val="NormalTok"/>
        </w:rPr>
        <w:t xml:space="preserve">._keks[</w:t>
      </w:r>
      <w:r>
        <w:rPr>
          <w:rStyle w:val="VariableTok"/>
        </w:rPr>
        <w:t xml:space="preserve">self</w:t>
      </w:r>
      <w:r>
        <w:rPr>
          <w:rStyle w:val="NormalTok"/>
        </w:rPr>
        <w:t xml:space="preserve">.current]).encrypt(nonce, dek, aad).</w:t>
      </w:r>
      <w:r>
        <w:rPr>
          <w:rStyle w:val="BuiltInTok"/>
        </w:rPr>
        <w:t xml:space="preserve">hex</w:t>
      </w:r>
      <w:r>
        <w:rPr>
          <w:rStyle w:val="NormalTok"/>
        </w:rPr>
        <w:t xml:space="preserve">()}</w:t>
      </w:r>
      <w:r>
        <w:br/>
      </w:r>
      <w:r>
        <w:br/>
      </w:r>
      <w:r>
        <w:rPr>
          <w:rStyle w:val="AttributeTok"/>
        </w:rPr>
        <w:t xml:space="preserve">@dataclass</w:t>
      </w:r>
      <w:r>
        <w:br/>
      </w:r>
      <w:r>
        <w:rPr>
          <w:rStyle w:val="KeywordTok"/>
        </w:rPr>
        <w:t xml:space="preserve">class</w:t>
      </w:r>
      <w:r>
        <w:rPr>
          <w:rStyle w:val="NormalTok"/>
        </w:rPr>
        <w:t xml:space="preserve"> EncryptedObject:</w:t>
      </w:r>
      <w:r>
        <w:br/>
      </w:r>
      <w:r>
        <w:rPr>
          <w:rStyle w:val="NormalTok"/>
        </w:rPr>
        <w:t xml:space="preserve">    wrapped_dek: </w:t>
      </w:r>
      <w:r>
        <w:rPr>
          <w:rStyle w:val="BuiltInTok"/>
        </w:rPr>
        <w:t xml:space="preserve">dict</w:t>
      </w:r>
      <w:r>
        <w:br/>
      </w:r>
      <w:r>
        <w:rPr>
          <w:rStyle w:val="NormalTok"/>
        </w:rPr>
        <w:t xml:space="preserve">    nonce: </w:t>
      </w:r>
      <w:r>
        <w:rPr>
          <w:rStyle w:val="BuiltInTok"/>
        </w:rPr>
        <w:t xml:space="preserve">bytes</w:t>
      </w:r>
      <w:r>
        <w:br/>
      </w:r>
      <w:r>
        <w:rPr>
          <w:rStyle w:val="NormalTok"/>
        </w:rPr>
        <w:t xml:space="preserve">    ciphertext: </w:t>
      </w:r>
      <w:r>
        <w:rPr>
          <w:rStyle w:val="BuiltInTok"/>
        </w:rPr>
        <w:t xml:space="preserve">bytes</w:t>
      </w:r>
      <w:r>
        <w:br/>
      </w:r>
      <w:r>
        <w:br/>
      </w:r>
      <w:r>
        <w:rPr>
          <w:rStyle w:val="KeywordTok"/>
        </w:rPr>
        <w:t xml:space="preserve">def</w:t>
      </w:r>
      <w:r>
        <w:rPr>
          <w:rStyle w:val="NormalTok"/>
        </w:rPr>
        <w:t xml:space="preserve"> encrypt_object(kms: FakeKMS, plaintext: </w:t>
      </w:r>
      <w:r>
        <w:rPr>
          <w:rStyle w:val="BuiltInTok"/>
        </w:rPr>
        <w:t xml:space="preserve">bytes</w:t>
      </w:r>
      <w:r>
        <w:rPr>
          <w:rStyle w:val="NormalTok"/>
        </w:rPr>
        <w:t xml:space="preserve">, context: </w:t>
      </w:r>
      <w:r>
        <w:rPr>
          <w:rStyle w:val="BuiltInTok"/>
        </w:rPr>
        <w:t xml:space="preserve">dict</w:t>
      </w:r>
      <w:r>
        <w:rPr>
          <w:rStyle w:val="NormalTok"/>
        </w:rPr>
        <w:t xml:space="preserve">) </w:t>
      </w:r>
      <w:r>
        <w:rPr>
          <w:rStyle w:val="OperatorTok"/>
        </w:rPr>
        <w:t xml:space="preserve">-&gt;</w:t>
      </w:r>
      <w:r>
        <w:rPr>
          <w:rStyle w:val="NormalTok"/>
        </w:rPr>
        <w:t xml:space="preserve"> EncryptedObject:</w:t>
      </w:r>
      <w:r>
        <w:br/>
      </w:r>
      <w:r>
        <w:rPr>
          <w:rStyle w:val="NormalTok"/>
        </w:rPr>
        <w:t xml:space="preserve">    dek, wrapped </w:t>
      </w:r>
      <w:r>
        <w:rPr>
          <w:rStyle w:val="OperatorTok"/>
        </w:rPr>
        <w:t xml:space="preserve">=</w:t>
      </w:r>
      <w:r>
        <w:rPr>
          <w:rStyle w:val="NormalTok"/>
        </w:rPr>
        <w:t xml:space="preserve"> kms.generate_data_key(context)             </w:t>
      </w:r>
      <w:r>
        <w:rPr>
          <w:rStyle w:val="CommentTok"/>
        </w:rPr>
        <w:t xml:space="preserve"># 1 KMS call per object</w:t>
      </w:r>
      <w:r>
        <w:br/>
      </w:r>
      <w:r>
        <w:rPr>
          <w:rStyle w:val="NormalTok"/>
        </w:rPr>
        <w:t xml:space="preserve">    nonce </w:t>
      </w:r>
      <w:r>
        <w:rPr>
          <w:rStyle w:val="OperatorTok"/>
        </w:rPr>
        <w:t xml:space="preserve">=</w:t>
      </w:r>
      <w:r>
        <w:rPr>
          <w:rStyle w:val="NormalTok"/>
        </w:rPr>
        <w:t xml:space="preserve"> os.urandom(</w:t>
      </w:r>
      <w:r>
        <w:rPr>
          <w:rStyle w:val="DecValTok"/>
        </w:rPr>
        <w:t xml:space="preserve">12</w:t>
      </w:r>
      <w:r>
        <w:rPr>
          <w:rStyle w:val="NormalTok"/>
        </w:rPr>
        <w:t xml:space="preserve">)</w:t>
      </w:r>
      <w:r>
        <w:br/>
      </w:r>
      <w:r>
        <w:rPr>
          <w:rStyle w:val="NormalTok"/>
        </w:rPr>
        <w:t xml:space="preserve">    ct </w:t>
      </w:r>
      <w:r>
        <w:rPr>
          <w:rStyle w:val="OperatorTok"/>
        </w:rPr>
        <w:t xml:space="preserve">=</w:t>
      </w:r>
      <w:r>
        <w:rPr>
          <w:rStyle w:val="NormalTok"/>
        </w:rPr>
        <w:t xml:space="preserve"> AESGCM(dek).encrypt(nonce, plaintext, </w:t>
      </w:r>
      <w:r>
        <w:rPr>
          <w:rStyle w:val="VariableTok"/>
        </w:rPr>
        <w:t xml:space="preserve">None</w:t>
      </w:r>
      <w:r>
        <w:rPr>
          <w:rStyle w:val="NormalTok"/>
        </w:rPr>
        <w:t xml:space="preserve">)          </w:t>
      </w:r>
      <w:r>
        <w:rPr>
          <w:rStyle w:val="CommentTok"/>
        </w:rPr>
        <w:t xml:space="preserve"># bulk data encrypted locally</w:t>
      </w:r>
      <w:r>
        <w:br/>
      </w:r>
      <w:r>
        <w:rPr>
          <w:rStyle w:val="NormalTok"/>
        </w:rPr>
        <w:t xml:space="preserve">    </w:t>
      </w:r>
      <w:r>
        <w:rPr>
          <w:rStyle w:val="KeywordTok"/>
        </w:rPr>
        <w:t xml:space="preserve">del</w:t>
      </w:r>
      <w:r>
        <w:rPr>
          <w:rStyle w:val="NormalTok"/>
        </w:rPr>
        <w:t xml:space="preserve"> dek                                                   </w:t>
      </w:r>
      <w:r>
        <w:rPr>
          <w:rStyle w:val="CommentTok"/>
        </w:rPr>
        <w:t xml:space="preserve"># drop plaintext DEK ASAP</w:t>
      </w:r>
      <w:r>
        <w:br/>
      </w:r>
      <w:r>
        <w:rPr>
          <w:rStyle w:val="NormalTok"/>
        </w:rPr>
        <w:t xml:space="preserve">    </w:t>
      </w:r>
      <w:r>
        <w:rPr>
          <w:rStyle w:val="ControlFlowTok"/>
        </w:rPr>
        <w:t xml:space="preserve">return</w:t>
      </w:r>
      <w:r>
        <w:rPr>
          <w:rStyle w:val="NormalTok"/>
        </w:rPr>
        <w:t xml:space="preserve"> EncryptedObject(wrapped, nonce, ct)</w:t>
      </w:r>
      <w:r>
        <w:br/>
      </w:r>
      <w:r>
        <w:br/>
      </w:r>
      <w:r>
        <w:rPr>
          <w:rStyle w:val="KeywordTok"/>
        </w:rPr>
        <w:t xml:space="preserve">def</w:t>
      </w:r>
      <w:r>
        <w:rPr>
          <w:rStyle w:val="NormalTok"/>
        </w:rPr>
        <w:t xml:space="preserve"> decrypt_object(kms: FakeKMS, obj: EncryptedObject, context: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bytes</w:t>
      </w:r>
      <w:r>
        <w:rPr>
          <w:rStyle w:val="NormalTok"/>
        </w:rPr>
        <w:t xml:space="preserve">:</w:t>
      </w:r>
      <w:r>
        <w:br/>
      </w:r>
      <w:r>
        <w:rPr>
          <w:rStyle w:val="NormalTok"/>
        </w:rPr>
        <w:t xml:space="preserve">    dek </w:t>
      </w:r>
      <w:r>
        <w:rPr>
          <w:rStyle w:val="OperatorTok"/>
        </w:rPr>
        <w:t xml:space="preserve">=</w:t>
      </w:r>
      <w:r>
        <w:rPr>
          <w:rStyle w:val="NormalTok"/>
        </w:rPr>
        <w:t xml:space="preserve"> kms.decrypt_data_key(obj.wrapped_dek, context)</w:t>
      </w:r>
      <w:r>
        <w:br/>
      </w:r>
      <w:r>
        <w:rPr>
          <w:rStyle w:val="NormalTok"/>
        </w:rPr>
        <w:t xml:space="preserve">    </w:t>
      </w:r>
      <w:r>
        <w:rPr>
          <w:rStyle w:val="ControlFlowTok"/>
        </w:rPr>
        <w:t xml:space="preserve">return</w:t>
      </w:r>
      <w:r>
        <w:rPr>
          <w:rStyle w:val="NormalTok"/>
        </w:rPr>
        <w:t xml:space="preserve"> AESGCM(dek).decrypt(obj.nonce, obj.ciphertext, </w:t>
      </w:r>
      <w:r>
        <w:rPr>
          <w:rStyle w:val="VariableTok"/>
        </w:rPr>
        <w:t xml:space="preserve">None</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kms </w:t>
      </w:r>
      <w:r>
        <w:rPr>
          <w:rStyle w:val="OperatorTok"/>
        </w:rPr>
        <w:t xml:space="preserve">=</w:t>
      </w:r>
      <w:r>
        <w:rPr>
          <w:rStyle w:val="NormalTok"/>
        </w:rPr>
        <w:t xml:space="preserve"> FakeKMS()</w:t>
      </w:r>
      <w:r>
        <w:br/>
      </w:r>
      <w:r>
        <w:rPr>
          <w:rStyle w:val="NormalTok"/>
        </w:rPr>
        <w:t xml:space="preserve">    ctx </w:t>
      </w:r>
      <w:r>
        <w:rPr>
          <w:rStyle w:val="OperatorTok"/>
        </w:rPr>
        <w:t xml:space="preserve">=</w:t>
      </w:r>
      <w:r>
        <w:rPr>
          <w:rStyle w:val="NormalTok"/>
        </w:rPr>
        <w:t xml:space="preserve"> {</w:t>
      </w:r>
      <w:r>
        <w:rPr>
          <w:rStyle w:val="StringTok"/>
        </w:rPr>
        <w:t xml:space="preserve">"tenant"</w:t>
      </w:r>
      <w:r>
        <w:rPr>
          <w:rStyle w:val="NormalTok"/>
        </w:rPr>
        <w:t xml:space="preserve">: </w:t>
      </w:r>
      <w:r>
        <w:rPr>
          <w:rStyle w:val="StringTok"/>
        </w:rPr>
        <w:t xml:space="preserve">"acme"</w:t>
      </w:r>
      <w:r>
        <w:rPr>
          <w:rStyle w:val="NormalTok"/>
        </w:rPr>
        <w:t xml:space="preserve">, </w:t>
      </w:r>
      <w:r>
        <w:rPr>
          <w:rStyle w:val="StringTok"/>
        </w:rPr>
        <w:t xml:space="preserve">"object"</w:t>
      </w:r>
      <w:r>
        <w:rPr>
          <w:rStyle w:val="NormalTok"/>
        </w:rPr>
        <w:t xml:space="preserve">: </w:t>
      </w:r>
      <w:r>
        <w:rPr>
          <w:rStyle w:val="StringTok"/>
        </w:rPr>
        <w:t xml:space="preserve">"invoices/2026-10.pdf"</w:t>
      </w:r>
      <w:r>
        <w:rPr>
          <w:rStyle w:val="NormalTok"/>
        </w:rPr>
        <w:t xml:space="preserve">}</w:t>
      </w:r>
      <w:r>
        <w:br/>
      </w:r>
      <w:r>
        <w:rPr>
          <w:rStyle w:val="NormalTok"/>
        </w:rPr>
        <w:t xml:space="preserve">    data </w:t>
      </w:r>
      <w:r>
        <w:rPr>
          <w:rStyle w:val="OperatorTok"/>
        </w:rPr>
        <w:t xml:space="preserve">=</w:t>
      </w:r>
      <w:r>
        <w:rPr>
          <w:rStyle w:val="NormalTok"/>
        </w:rPr>
        <w:t xml:space="preserve"> os.urandom(</w:t>
      </w:r>
      <w:r>
        <w:rPr>
          <w:rStyle w:val="DecValTok"/>
        </w:rPr>
        <w:t xml:space="preserve">5_000_000</w:t>
      </w:r>
      <w:r>
        <w:rPr>
          <w:rStyle w:val="NormalTok"/>
        </w:rPr>
        <w:t xml:space="preserve">)                              </w:t>
      </w:r>
      <w:r>
        <w:rPr>
          <w:rStyle w:val="CommentTok"/>
        </w:rPr>
        <w:t xml:space="preserve"># 5 MB document</w:t>
      </w:r>
      <w:r>
        <w:br/>
      </w:r>
      <w:r>
        <w:rPr>
          <w:rStyle w:val="NormalTok"/>
        </w:rPr>
        <w:t xml:space="preserve">    obj </w:t>
      </w:r>
      <w:r>
        <w:rPr>
          <w:rStyle w:val="OperatorTok"/>
        </w:rPr>
        <w:t xml:space="preserve">=</w:t>
      </w:r>
      <w:r>
        <w:rPr>
          <w:rStyle w:val="NormalTok"/>
        </w:rPr>
        <w:t xml:space="preserve"> encrypt_object(kms, data, ctx)</w:t>
      </w:r>
      <w:r>
        <w:br/>
      </w:r>
      <w:r>
        <w:rPr>
          <w:rStyle w:val="NormalTok"/>
        </w:rPr>
        <w:t xml:space="preserve">    </w:t>
      </w:r>
      <w:r>
        <w:rPr>
          <w:rStyle w:val="ControlFlowTok"/>
        </w:rPr>
        <w:t xml:space="preserve">assert</w:t>
      </w:r>
      <w:r>
        <w:rPr>
          <w:rStyle w:val="NormalTok"/>
        </w:rPr>
        <w:t xml:space="preserve"> decrypt_object(kms, obj, ctx) </w:t>
      </w:r>
      <w:r>
        <w:rPr>
          <w:rStyle w:val="OperatorTok"/>
        </w:rPr>
        <w:t xml:space="preserve">==</w:t>
      </w:r>
      <w:r>
        <w:rPr>
          <w:rStyle w:val="NormalTok"/>
        </w:rPr>
        <w:t xml:space="preserve"> data</w:t>
      </w:r>
      <w:r>
        <w:br/>
      </w:r>
      <w:r>
        <w:rPr>
          <w:rStyle w:val="NormalTok"/>
        </w:rPr>
        <w:t xml:space="preserve">    </w:t>
      </w:r>
      <w:r>
        <w:rPr>
          <w:rStyle w:val="BuiltInTok"/>
        </w:rPr>
        <w:t xml:space="preserve">print</w:t>
      </w:r>
      <w:r>
        <w:rPr>
          <w:rStyle w:val="NormalTok"/>
        </w:rPr>
        <w:t xml:space="preserve">(</w:t>
      </w:r>
      <w:r>
        <w:rPr>
          <w:rStyle w:val="StringTok"/>
        </w:rPr>
        <w:t xml:space="preserve">"round trip OK; wrapped DEK is"</w:t>
      </w:r>
      <w:r>
        <w:rPr>
          <w:rStyle w:val="NormalTok"/>
        </w:rPr>
        <w:t xml:space="preserve">, </w:t>
      </w:r>
      <w:r>
        <w:rPr>
          <w:rStyle w:val="BuiltInTok"/>
        </w:rPr>
        <w:t xml:space="preserve">len</w:t>
      </w:r>
      <w:r>
        <w:rPr>
          <w:rStyle w:val="NormalTok"/>
        </w:rPr>
        <w:t xml:space="preserve">(</w:t>
      </w:r>
      <w:r>
        <w:rPr>
          <w:rStyle w:val="BuiltInTok"/>
        </w:rPr>
        <w:t xml:space="preserve">bytes</w:t>
      </w:r>
      <w:r>
        <w:rPr>
          <w:rStyle w:val="NormalTok"/>
        </w:rPr>
        <w:t xml:space="preserve">.fromhex(obj.wrapped_dek[</w:t>
      </w:r>
      <w:r>
        <w:rPr>
          <w:rStyle w:val="StringTok"/>
        </w:rPr>
        <w:t xml:space="preserve">"wrapped"</w:t>
      </w:r>
      <w:r>
        <w:rPr>
          <w:rStyle w:val="NormalTok"/>
        </w:rPr>
        <w:t xml:space="preserve">])), </w:t>
      </w:r>
      <w:r>
        <w:rPr>
          <w:rStyle w:val="StringTok"/>
        </w:rPr>
        <w:t xml:space="preserve">"bytes"</w:t>
      </w:r>
      <w:r>
        <w:rPr>
          <w:rStyle w:val="NormalTok"/>
        </w:rPr>
        <w:t xml:space="preserve">)</w:t>
      </w:r>
      <w:r>
        <w:br/>
      </w:r>
      <w:r>
        <w:br/>
      </w:r>
      <w:r>
        <w:rPr>
          <w:rStyle w:val="NormalTok"/>
        </w:rPr>
        <w:t xml:space="preserve">    kms.rotate()</w:t>
      </w:r>
      <w:r>
        <w:br/>
      </w:r>
      <w:r>
        <w:rPr>
          <w:rStyle w:val="NormalTok"/>
        </w:rPr>
        <w:t xml:space="preserve">    obj.wrapped_dek </w:t>
      </w:r>
      <w:r>
        <w:rPr>
          <w:rStyle w:val="OperatorTok"/>
        </w:rPr>
        <w:t xml:space="preserve">=</w:t>
      </w:r>
      <w:r>
        <w:rPr>
          <w:rStyle w:val="NormalTok"/>
        </w:rPr>
        <w:t xml:space="preserve"> kms.rewrap(obj.wrapped_dek, ctx)        </w:t>
      </w:r>
      <w:r>
        <w:rPr>
          <w:rStyle w:val="CommentTok"/>
        </w:rPr>
        <w:t xml:space="preserve"># rotate KEK: rewrap ~60 bytes,</w:t>
      </w:r>
      <w:r>
        <w:br/>
      </w:r>
      <w:r>
        <w:rPr>
          <w:rStyle w:val="NormalTok"/>
        </w:rPr>
        <w:t xml:space="preserve">    </w:t>
      </w:r>
      <w:r>
        <w:rPr>
          <w:rStyle w:val="ControlFlowTok"/>
        </w:rPr>
        <w:t xml:space="preserve">assert</w:t>
      </w:r>
      <w:r>
        <w:rPr>
          <w:rStyle w:val="NormalTok"/>
        </w:rPr>
        <w:t xml:space="preserve"> decrypt_object(kms, obj, ctx) </w:t>
      </w:r>
      <w:r>
        <w:rPr>
          <w:rStyle w:val="OperatorTok"/>
        </w:rPr>
        <w:t xml:space="preserve">==</w:t>
      </w:r>
      <w:r>
        <w:rPr>
          <w:rStyle w:val="NormalTok"/>
        </w:rPr>
        <w:t xml:space="preserve"> data              </w:t>
      </w:r>
      <w:r>
        <w:rPr>
          <w:rStyle w:val="CommentTok"/>
        </w:rPr>
        <w:t xml:space="preserve"># not re-encrypt 5 MB</w:t>
      </w:r>
      <w:r>
        <w:br/>
      </w:r>
      <w:r>
        <w:rPr>
          <w:rStyle w:val="NormalTok"/>
        </w:rPr>
        <w:t xml:space="preserve">    </w:t>
      </w:r>
      <w:r>
        <w:rPr>
          <w:rStyle w:val="BuiltInTok"/>
        </w:rPr>
        <w:t xml:space="preserve">print</w:t>
      </w:r>
      <w:r>
        <w:rPr>
          <w:rStyle w:val="NormalTok"/>
        </w:rPr>
        <w:t xml:space="preserve">(</w:t>
      </w:r>
      <w:r>
        <w:rPr>
          <w:rStyle w:val="StringTok"/>
        </w:rPr>
        <w:t xml:space="preserve">"after KEK rotation, DEK now wrapped by"</w:t>
      </w:r>
      <w:r>
        <w:rPr>
          <w:rStyle w:val="NormalTok"/>
        </w:rPr>
        <w:t xml:space="preserve">, obj.wrapped_dek[</w:t>
      </w:r>
      <w:r>
        <w:rPr>
          <w:rStyle w:val="StringTok"/>
        </w:rPr>
        <w:t xml:space="preserve">"kek_id"</w:t>
      </w:r>
      <w:r>
        <w:rPr>
          <w:rStyle w:val="NormalTok"/>
        </w:rPr>
        <w:t xml:space="preserve">])</w:t>
      </w:r>
      <w:r>
        <w:br/>
      </w:r>
      <w:r>
        <w:br/>
      </w:r>
      <w:r>
        <w:rPr>
          <w:rStyle w:val="NormalTok"/>
        </w:rPr>
        <w:t xml:space="preserve">    </w:t>
      </w:r>
      <w:r>
        <w:rPr>
          <w:rStyle w:val="ControlFlowTok"/>
        </w:rPr>
        <w:t xml:space="preserve">try</w:t>
      </w:r>
      <w:r>
        <w:rPr>
          <w:rStyle w:val="NormalTok"/>
        </w:rPr>
        <w:t xml:space="preserve">:</w:t>
      </w:r>
      <w:r>
        <w:br/>
      </w:r>
      <w:r>
        <w:rPr>
          <w:rStyle w:val="NormalTok"/>
        </w:rPr>
        <w:t xml:space="preserve">        decrypt_object(kms, obj, {</w:t>
      </w:r>
      <w:r>
        <w:rPr>
          <w:rStyle w:val="StringTok"/>
        </w:rPr>
        <w:t xml:space="preserve">"tenant"</w:t>
      </w:r>
      <w:r>
        <w:rPr>
          <w:rStyle w:val="NormalTok"/>
        </w:rPr>
        <w:t xml:space="preserve">: </w:t>
      </w:r>
      <w:r>
        <w:rPr>
          <w:rStyle w:val="StringTok"/>
        </w:rPr>
        <w:t xml:space="preserve">"evil"</w:t>
      </w:r>
      <w:r>
        <w:rPr>
          <w:rStyle w:val="NormalTok"/>
        </w:rPr>
        <w:t xml:space="preserve">, </w:t>
      </w:r>
      <w:r>
        <w:rPr>
          <w:rStyle w:val="StringTok"/>
        </w:rPr>
        <w:t xml:space="preserve">"object"</w:t>
      </w:r>
      <w:r>
        <w:rPr>
          <w:rStyle w:val="NormalTok"/>
        </w:rPr>
        <w:t xml:space="preserve">: </w:t>
      </w:r>
      <w:r>
        <w:rPr>
          <w:rStyle w:val="StringTok"/>
        </w:rPr>
        <w:t xml:space="preserve">"invoices/2026-10.pdf"</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tringTok"/>
        </w:rPr>
        <w:t xml:space="preserve">"wrong encryption context -&gt;"</w:t>
      </w:r>
      <w:r>
        <w:rPr>
          <w:rStyle w:val="NormalTok"/>
        </w:rPr>
        <w:t xml:space="preserve">, </w:t>
      </w:r>
      <w:r>
        <w:rPr>
          <w:rStyle w:val="BuiltInTok"/>
        </w:rPr>
        <w:t xml:space="preserve">type</w:t>
      </w:r>
      <w:r>
        <w:rPr>
          <w:rStyle w:val="NormalTok"/>
        </w:rPr>
        <w:t xml:space="preserve">(e).</w:t>
      </w:r>
      <w:r>
        <w:rPr>
          <w:rStyle w:val="VariableTok"/>
        </w:rPr>
        <w:t xml:space="preserve">__name__</w:t>
      </w:r>
      <w:r>
        <w:rPr>
          <w:rStyle w:val="NormalTok"/>
        </w:rPr>
        <w:t xml:space="preserve">)</w:t>
      </w:r>
    </w:p>
    <w:p>
      <w:pPr>
        <w:pStyle w:val="FirstParagraph"/>
      </w:pPr>
      <w:r>
        <w:t xml:space="preserve">Output (tested):</w:t>
      </w:r>
    </w:p>
    <w:p>
      <w:pPr>
        <w:pStyle w:val="SourceCode"/>
      </w:pPr>
      <w:r>
        <w:rPr>
          <w:rStyle w:val="VerbatimChar"/>
        </w:rPr>
        <w:t xml:space="preserve">round trip OK; wrapped DEK is 48 bytes</w:t>
      </w:r>
      <w:r>
        <w:br/>
      </w:r>
      <w:r>
        <w:rPr>
          <w:rStyle w:val="VerbatimChar"/>
        </w:rPr>
        <w:t xml:space="preserve">after KEK rotation, DEK now wrapped by kek-2</w:t>
      </w:r>
      <w:r>
        <w:br/>
      </w:r>
      <w:r>
        <w:rPr>
          <w:rStyle w:val="VerbatimChar"/>
        </w:rPr>
        <w:t xml:space="preserve">wrong encryption context -&gt; InvalidTag</w:t>
      </w:r>
    </w:p>
    <w:p>
      <w:pPr>
        <w:pStyle w:val="FirstParagraph"/>
      </w:pPr>
      <w:r>
        <w:t xml:space="preserve">What to notice:</w:t>
      </w:r>
    </w:p>
    <w:p>
      <w:pPr>
        <w:numPr>
          <w:ilvl w:val="0"/>
          <w:numId w:val="1349"/>
        </w:numPr>
        <w:pStyle w:val="Compact"/>
      </w:pPr>
      <w:r>
        <w:rPr>
          <w:bCs/>
          <w:b/>
        </w:rPr>
        <w:t xml:space="preserve">Rotation is cheap.</w:t>
      </w:r>
      <w:r>
        <w:t xml:space="preserve"> </w:t>
      </w:r>
      <w:r>
        <w:t xml:space="preserve">Rotating the KEK means rewrapping a 48-byte wrapped DEK per object, not re-encrypting 5 MB of data. Managed KMS services go further: automatic rotation keeps old key versions for decryption, so existing wrapped DEKs remain valid without any rewrap.</w:t>
      </w:r>
    </w:p>
    <w:p>
      <w:pPr>
        <w:numPr>
          <w:ilvl w:val="0"/>
          <w:numId w:val="1349"/>
        </w:numPr>
        <w:pStyle w:val="Compact"/>
      </w:pPr>
      <w:r>
        <w:rPr>
          <w:bCs/>
          <w:b/>
        </w:rPr>
        <w:t xml:space="preserve">Crypto-shredding.</w:t>
      </w:r>
      <w:r>
        <w:t xml:space="preserve"> </w:t>
      </w:r>
      <w:r>
        <w:t xml:space="preserve">Deleting a tenant’s KEK (or an object’s DEK) renders the data permanently unreadable, including every backup copy — a practical way to honor deletion requests in systems with immutable backups.</w:t>
      </w:r>
    </w:p>
    <w:p>
      <w:pPr>
        <w:numPr>
          <w:ilvl w:val="0"/>
          <w:numId w:val="1349"/>
        </w:numPr>
        <w:pStyle w:val="Compact"/>
      </w:pPr>
      <w:r>
        <w:rPr>
          <w:bCs/>
          <w:b/>
        </w:rPr>
        <w:t xml:space="preserve">Context binding.</w:t>
      </w:r>
      <w:r>
        <w:t xml:space="preserve"> </w:t>
      </w:r>
      <w:r>
        <w:t xml:space="preserve">The encryption context is authenticated, so a confused-deputy bug that passes the wrong tenant fails closed.</w:t>
      </w:r>
    </w:p>
    <w:p>
      <w:pPr>
        <w:numPr>
          <w:ilvl w:val="0"/>
          <w:numId w:val="1349"/>
        </w:numPr>
        <w:pStyle w:val="Compact"/>
      </w:pPr>
      <w:r>
        <w:rPr>
          <w:rStyle w:val="VerbatimChar"/>
        </w:rPr>
        <w:t xml:space="preserve">del dek</w:t>
      </w:r>
      <w:r>
        <w:t xml:space="preserve"> </w:t>
      </w:r>
      <w:r>
        <w:t xml:space="preserve">only removes the Python reference; Python cannot guarantee the bytes are wiped from memory. Production envelope encryption should use a maintained SDK (for example the AWS Encryption SDK or Google Tink), which also defines a standard on-disk message format.</w:t>
      </w:r>
    </w:p>
    <w:p>
      <w:pPr>
        <w:pStyle w:val="CalloutFormula"/>
      </w:pPr>
      <w:r>
        <w:rPr>
          <w:bCs/>
          <w:b/>
        </w:rPr>
        <w:t xml:space="preserve">FORMULA</w:t>
      </w:r>
    </w:p>
    <w:p>
      <w:pPr>
        <w:pStyle w:val="CalloutFormula"/>
      </w:pPr>
      <w:r>
        <w:rPr>
          <w:bCs/>
          <w:b/>
        </w:rPr>
        <w:t xml:space="preserve">KMS request rate under envelope encryption</w:t>
      </w:r>
    </w:p>
    <w:p>
      <w:pPr>
        <w:pStyle w:val="CalloutFormula"/>
      </w:pPr>
      <m:oMathPara>
        <m:oMathParaPr>
          <m:jc m:val="center"/>
        </m:oMathParaPr>
        <m:oMath>
          <m:sSub>
            <m:e>
              <m:r>
                <m:t>Q</m:t>
              </m:r>
            </m:e>
            <m:sub>
              <m:r>
                <m:rPr>
                  <m:nor/>
                  <m:sty m:val="p"/>
                </m:rPr>
                <m:t>KMS</m:t>
              </m:r>
            </m:sub>
          </m:sSub>
          <m:r>
            <m:rPr>
              <m:sty m:val="p"/>
            </m:rPr>
            <m:t>=</m:t>
          </m:r>
          <m:f>
            <m:fPr>
              <m:type m:val="bar"/>
            </m:fPr>
            <m:num>
              <m:sSub>
                <m:e>
                  <m:r>
                    <m:t>λ</m:t>
                  </m:r>
                </m:e>
                <m:sub>
                  <m:r>
                    <m:rPr>
                      <m:nor/>
                      <m:sty m:val="p"/>
                    </m:rPr>
                    <m:t>obj</m:t>
                  </m:r>
                </m:sub>
              </m:sSub>
            </m:num>
            <m:den>
              <m:r>
                <m:t>B</m:t>
              </m:r>
            </m:den>
          </m:f>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Q</m:t>
                  </m:r>
                </m:e>
                <m:sub>
                  <m:r>
                    <m:rPr>
                      <m:nor/>
                      <m:sty m:val="p"/>
                    </m:rPr>
                    <m:t>KMS</m:t>
                  </m:r>
                </m:sub>
              </m:sSub>
            </m:oMath>
          </w:p>
        </w:tc>
        <w:tc>
          <w:tcPr/>
          <w:p>
            <w:pPr>
              <w:pStyle w:val="Compact"/>
              <w:jc w:val="left"/>
            </w:pPr>
            <w:r>
              <w:t xml:space="preserve">KMS requests generated</w:t>
            </w:r>
          </w:p>
        </w:tc>
        <w:tc>
          <w:tcPr/>
          <w:p>
            <w:pPr>
              <w:pStyle w:val="Compact"/>
              <w:jc w:val="left"/>
            </w:pPr>
            <w:r>
              <w:t xml:space="preserve">requests/s</w:t>
            </w:r>
          </w:p>
        </w:tc>
      </w:tr>
      <w:tr>
        <w:tc>
          <w:tcPr/>
          <w:p>
            <w:pPr>
              <w:pStyle w:val="Compact"/>
              <w:jc w:val="left"/>
            </w:pPr>
            <m:oMath>
              <m:sSub>
                <m:e>
                  <m:r>
                    <m:t>λ</m:t>
                  </m:r>
                </m:e>
                <m:sub>
                  <m:r>
                    <m:rPr>
                      <m:nor/>
                      <m:sty m:val="p"/>
                    </m:rPr>
                    <m:t>obj</m:t>
                  </m:r>
                </m:sub>
              </m:sSub>
            </m:oMath>
          </w:p>
        </w:tc>
        <w:tc>
          <w:tcPr/>
          <w:p>
            <w:pPr>
              <w:pStyle w:val="Compact"/>
              <w:jc w:val="left"/>
            </w:pPr>
            <w:r>
              <w:t xml:space="preserve">Rate of objects (or records) encrypted or decrypted</w:t>
            </w:r>
          </w:p>
        </w:tc>
        <w:tc>
          <w:tcPr/>
          <w:p>
            <w:pPr>
              <w:pStyle w:val="Compact"/>
              <w:jc w:val="left"/>
            </w:pPr>
            <w:r>
              <w:t xml:space="preserve">objects/s</w:t>
            </w:r>
          </w:p>
        </w:tc>
      </w:tr>
      <w:tr>
        <w:tc>
          <w:tcPr/>
          <w:p>
            <w:pPr>
              <w:pStyle w:val="Compact"/>
              <w:jc w:val="left"/>
            </w:pPr>
            <m:oMath>
              <m:r>
                <m:t>B</m:t>
              </m:r>
            </m:oMath>
          </w:p>
        </w:tc>
        <w:tc>
          <w:tcPr/>
          <w:p>
            <w:pPr>
              <w:pStyle w:val="Compact"/>
              <w:jc w:val="left"/>
            </w:pPr>
            <w:r>
              <w:t xml:space="preserve">Objects protected per KMS call (1 for a DEK per object; larger with DEK caching or per-batch keys)</w:t>
            </w:r>
          </w:p>
        </w:tc>
        <w:tc>
          <w:tcPr/>
          <w:p>
            <w:pPr>
              <w:pStyle w:val="Compact"/>
              <w:jc w:val="left"/>
            </w:pPr>
            <w:r>
              <w:t xml:space="preserve">objects/request</w:t>
            </w:r>
          </w:p>
        </w:tc>
      </w:tr>
    </w:tbl>
    <w:p>
      <w:pPr>
        <w:pStyle w:val="CalloutExample"/>
      </w:pPr>
      <w:r>
        <w:rPr>
          <w:bCs/>
          <w:b/>
        </w:rPr>
        <w:t xml:space="preserve">WORKED EXAMPLE</w:t>
      </w:r>
    </w:p>
    <w:p>
      <w:pPr>
        <w:pStyle w:val="CalloutExample"/>
      </w:pPr>
      <w:r>
        <w:rPr>
          <w:bCs/>
          <w:b/>
        </w:rPr>
        <w:t xml:space="preserve">Worked example — Sizing KMS usage.</w:t>
      </w:r>
      <w:r>
        <w:t xml:space="preserve"> </w:t>
      </w:r>
      <w:r>
        <w:t xml:space="preserve">An ingestion service writes</w:t>
      </w:r>
      <w:r>
        <w:t xml:space="preserve"> </w:t>
      </w:r>
      <m:oMath>
        <m:r>
          <m:t>λ</m:t>
        </m:r>
        <m:r>
          <m:rPr>
            <m:sty m:val="p"/>
          </m:rPr>
          <m:t>=</m:t>
        </m:r>
        <m:r>
          <m:t>20</m:t>
        </m:r>
        <m:r>
          <m:rPr>
            <m:sty m:val="p"/>
          </m:rPr>
          <m:t>,</m:t>
        </m:r>
        <m:r>
          <m:t>000</m:t>
        </m:r>
      </m:oMath>
      <w:r>
        <w:t xml:space="preserve"> </w:t>
      </w:r>
      <w:r>
        <w:t xml:space="preserve">records per second. With one DEK per record (</w:t>
      </w:r>
      <m:oMath>
        <m:r>
          <m:t>B</m:t>
        </m:r>
        <m:r>
          <m:rPr>
            <m:sty m:val="p"/>
          </m:rPr>
          <m:t>=</m:t>
        </m:r>
        <m:r>
          <m:t>1</m:t>
        </m:r>
      </m:oMath>
      <w:r>
        <w:t xml:space="preserve">), it would send 20,000 KMS requests per second — likely above a default per-account quota (AWS KMS cryptographic-operation quotas are in the thousands to tens of thousands of requests per second depending on region and key type, as of 2026) and costly at roughly $0.03 per 10,000 requests:</w:t>
      </w:r>
      <w:r>
        <w:t xml:space="preserve"> </w:t>
      </w:r>
      <m:oMath>
        <m:r>
          <m:t>20</m:t>
        </m:r>
        <m:r>
          <m:rPr>
            <m:sty m:val="p"/>
          </m:rPr>
          <m:t>,</m:t>
        </m:r>
        <m:r>
          <m:t>000</m:t>
        </m:r>
        <m:r>
          <m:rPr>
            <m:sty m:val="p"/>
          </m:rPr>
          <m:t>×</m:t>
        </m:r>
        <m:r>
          <m:t>86</m:t>
        </m:r>
        <m:r>
          <m:rPr>
            <m:sty m:val="p"/>
          </m:rPr>
          <m:t>,</m:t>
        </m:r>
        <m:r>
          <m:t>400</m:t>
        </m:r>
        <m:r>
          <m:rPr>
            <m:sty m:val="p"/>
          </m:rPr>
          <m:t>/</m:t>
        </m:r>
        <m:r>
          <m:t>10</m:t>
        </m:r>
        <m:r>
          <m:rPr>
            <m:sty m:val="p"/>
          </m:rPr>
          <m:t>,</m:t>
        </m:r>
        <m:r>
          <m:t>000</m:t>
        </m:r>
        <m:r>
          <m:rPr>
            <m:sty m:val="p"/>
          </m:rPr>
          <m:t>×</m:t>
        </m:r>
        <m:r>
          <m:rPr>
            <m:sty m:val="p"/>
          </m:rPr>
          <m:t>$</m:t>
        </m:r>
        <m:r>
          <m:t>0.03</m:t>
        </m:r>
        <m:r>
          <m:rPr>
            <m:sty m:val="p"/>
          </m:rPr>
          <m:t>≈</m:t>
        </m:r>
        <m:r>
          <m:rPr>
            <m:sty m:val="p"/>
          </m:rPr>
          <m:t>$</m:t>
        </m:r>
        <m:r>
          <m:t>5</m:t>
        </m:r>
        <m:r>
          <m:rPr>
            <m:sty m:val="p"/>
          </m:rPr>
          <m:t>,</m:t>
        </m:r>
        <m:r>
          <m:t>184</m:t>
        </m:r>
      </m:oMath>
      <w:r>
        <w:t xml:space="preserve"> </w:t>
      </w:r>
      <w:r>
        <w:t xml:space="preserve">per day. If each of 40 ingestion nodes instead generates a DEK once per minute and uses it for a batch of records (storing the wrapped DEK once per batch), then</w:t>
      </w:r>
      <w:r>
        <w:t xml:space="preserve"> </w:t>
      </w:r>
      <m:oMath>
        <m:r>
          <m:t>Q</m:t>
        </m:r>
        <m:r>
          <m:rPr>
            <m:sty m:val="p"/>
          </m:rPr>
          <m:t>=</m:t>
        </m:r>
        <m:r>
          <m:t>40</m:t>
        </m:r>
        <m:r>
          <m:rPr>
            <m:sty m:val="p"/>
          </m:rPr>
          <m:t>/</m:t>
        </m:r>
        <m:r>
          <m:t>60</m:t>
        </m:r>
        <m:r>
          <m:rPr>
            <m:sty m:val="p"/>
          </m:rPr>
          <m:t>≈</m:t>
        </m:r>
        <m:r>
          <m:t>0.67</m:t>
        </m:r>
      </m:oMath>
      <w:r>
        <w:t xml:space="preserve"> </w:t>
      </w:r>
      <w:r>
        <w:t xml:space="preserve">requests per second, about $0.17 per day.</w:t>
      </w:r>
      <w:r>
        <w:t xml:space="preserve"> </w:t>
      </w:r>
      <w:r>
        <w:rPr>
          <w:iCs/>
          <w:i/>
        </w:rPr>
        <w:t xml:space="preserve">Interpretation:</w:t>
      </w:r>
      <w:r>
        <w:t xml:space="preserve"> </w:t>
      </w:r>
      <w:r>
        <w:t xml:space="preserve">DEK granularity is a trade-off between cost/throughput and blast radius: a per-minute DEK exposes at most one minute of one node’s records if leaked from memory.</w:t>
      </w:r>
      <w:r>
        <w:t xml:space="preserve"> </w:t>
      </w:r>
      <w:r>
        <w:rPr>
          <w:iCs/>
          <w:i/>
        </w:rPr>
        <w:t xml:space="preserve">Engineering implication:</w:t>
      </w:r>
      <w:r>
        <w:t xml:space="preserve"> </w:t>
      </w:r>
      <w:r>
        <w:t xml:space="preserve">choose per-object DEKs for large or individually deletable objects, and time- or count-bounded cached DEKs for high-rate small records — and keep under the GCM per-key message limit from §10.4.2.</w:t>
      </w:r>
    </w:p>
    <w:bookmarkEnd w:id="1154"/>
    <w:bookmarkEnd w:id="1155"/>
    <w:bookmarkEnd w:id="1156"/>
    <w:bookmarkStart w:id="1163" w:name="network-security-zero-trust-and-mtls"/>
    <w:p>
      <w:pPr>
        <w:pStyle w:val="Heading2"/>
      </w:pPr>
      <w:r>
        <w:t xml:space="preserve">10.10 Network security, zero trust and mTLS</w:t>
      </w:r>
    </w:p>
    <w:bookmarkStart w:id="1160" w:name="from-the-castle-to-zero-trust"/>
    <w:p>
      <w:pPr>
        <w:pStyle w:val="Heading3"/>
      </w:pPr>
      <w:r>
        <w:t xml:space="preserve">10.10.1 From the castle to zero trust</w:t>
      </w:r>
    </w:p>
    <w:p>
      <w:pPr>
        <w:pStyle w:val="FirstParagraph"/>
      </w:pPr>
      <w:r>
        <w:t xml:space="preserve">The traditional</w:t>
      </w:r>
      <w:r>
        <w:t xml:space="preserve"> </w:t>
      </w:r>
      <w:r>
        <w:rPr>
          <w:bCs/>
          <w:b/>
        </w:rPr>
        <w:t xml:space="preserve">perimeter model</w:t>
      </w:r>
      <w:r>
        <w:t xml:space="preserve"> </w:t>
      </w:r>
      <w:r>
        <w:t xml:space="preserve">is a castle with a moat: a firewall at the edge, a VPN for remote workers, and implicit trust for anything inside. Its failure mode is total. Once an attacker is inside — through a phished laptop, a vulnerable VPN appliance or a compromised internal service — they can reach everything, a technique called</w:t>
      </w:r>
      <w:r>
        <w:t xml:space="preserve"> </w:t>
      </w:r>
      <w:r>
        <w:rPr>
          <w:bCs/>
          <w:b/>
        </w:rPr>
        <w:t xml:space="preserve">lateral movement</w:t>
      </w:r>
      <w:r>
        <w:t xml:space="preserve">. Most large breaches are a small initial foothold followed by weeks of lateral movement.</w:t>
      </w:r>
    </w:p>
    <w:p>
      <w:pPr>
        <w:pStyle w:val="CalloutDefinition"/>
      </w:pPr>
      <w:r>
        <w:rPr>
          <w:bCs/>
          <w:b/>
        </w:rPr>
        <w:t xml:space="preserve">DEFINITION</w:t>
      </w:r>
    </w:p>
    <w:p>
      <w:pPr>
        <w:pStyle w:val="CalloutDefinition"/>
      </w:pPr>
      <w:r>
        <w:rPr>
          <w:bCs/>
          <w:b/>
        </w:rPr>
        <w:t xml:space="preserve">Definition — Zero trust.</w:t>
      </w:r>
      <w:r>
        <w:t xml:space="preserve"> </w:t>
      </w:r>
      <w:r>
        <w:t xml:space="preserve">A security model in which network location confers no trust: every request is authenticated, authorized and encrypted based on the identity of the user, the device and the workload, plus contextual signals, regardless of where it originates. NIST SP 800-207 describes it as moving defenses</w:t>
      </w:r>
      <w:r>
        <w:t xml:space="preserve"> </w:t>
      </w:r>
      <w:r>
        <w:t xml:space="preserve">“</w:t>
      </w:r>
      <w:r>
        <w:t xml:space="preserve">from static, network-based perimeters to focus on users, assets, and resources</w:t>
      </w:r>
      <w:r>
        <w:t xml:space="preserve">”</w:t>
      </w:r>
      <w:r>
        <w:t xml:space="preserve"> </w:t>
      </w:r>
      <w:r>
        <w:t xml:space="preserve">[NIST SP 800-207].</w:t>
      </w:r>
    </w:p>
    <w:p>
      <w:pPr>
        <w:pStyle w:val="CalloutIndustry"/>
      </w:pPr>
      <w:r>
        <w:rPr>
          <w:bCs/>
          <w:b/>
        </w:rPr>
        <w:t xml:space="preserve">INDUSTRY EXAMPLE</w:t>
      </w:r>
    </w:p>
    <w:p>
      <w:pPr>
        <w:pStyle w:val="CalloutIndustry"/>
      </w:pPr>
      <w:r>
        <w:rPr>
          <w:bCs/>
          <w:b/>
        </w:rPr>
        <w:t xml:space="preserve">Google BeyondCorp.</w:t>
      </w:r>
      <w:r>
        <w:t xml:space="preserve"> </w:t>
      </w:r>
      <w:r>
        <w:t xml:space="preserve">After the 2009</w:t>
      </w:r>
      <w:r>
        <w:t xml:space="preserve"> </w:t>
      </w:r>
      <w:r>
        <w:t xml:space="preserve">“</w:t>
      </w:r>
      <w:r>
        <w:t xml:space="preserve">Operation Aurora</w:t>
      </w:r>
      <w:r>
        <w:t xml:space="preserve">”</w:t>
      </w:r>
      <w:r>
        <w:t xml:space="preserve"> </w:t>
      </w:r>
      <w:r>
        <w:t xml:space="preserve">intrusions, Google began moving its corporate applications off the privileged internal network. In BeyondCorp, as described by Ward and Beyer, employee devices sit on an</w:t>
      </w:r>
      <w:r>
        <w:t xml:space="preserve"> </w:t>
      </w:r>
      <w:r>
        <w:rPr>
          <w:iCs/>
          <w:i/>
        </w:rPr>
        <w:t xml:space="preserve">unprivileged</w:t>
      </w:r>
      <w:r>
        <w:t xml:space="preserve"> </w:t>
      </w:r>
      <w:r>
        <w:t xml:space="preserve">network even inside Google offices; every request to an internal application goes through an internet-facing</w:t>
      </w:r>
      <w:r>
        <w:t xml:space="preserve"> </w:t>
      </w:r>
      <w:r>
        <w:rPr>
          <w:bCs/>
          <w:b/>
        </w:rPr>
        <w:t xml:space="preserve">access proxy</w:t>
      </w:r>
      <w:r>
        <w:t xml:space="preserve">; access decisions are made per request by an</w:t>
      </w:r>
      <w:r>
        <w:t xml:space="preserve"> </w:t>
      </w:r>
      <w:r>
        <w:rPr>
          <w:bCs/>
          <w:b/>
        </w:rPr>
        <w:t xml:space="preserve">access control engine</w:t>
      </w:r>
      <w:r>
        <w:t xml:space="preserve"> </w:t>
      </w:r>
      <w:r>
        <w:t xml:space="preserve">using the user’s identity and group membership, a</w:t>
      </w:r>
      <w:r>
        <w:t xml:space="preserve"> </w:t>
      </w:r>
      <w:r>
        <w:rPr>
          <w:bCs/>
          <w:b/>
        </w:rPr>
        <w:t xml:space="preserve">device inventory</w:t>
      </w:r>
      <w:r>
        <w:t xml:space="preserve"> </w:t>
      </w:r>
      <w:r>
        <w:t xml:space="preserve">with per-device certificates, and a computed</w:t>
      </w:r>
      <w:r>
        <w:t xml:space="preserve"> </w:t>
      </w:r>
      <w:r>
        <w:rPr>
          <w:bCs/>
          <w:b/>
        </w:rPr>
        <w:t xml:space="preserve">trust tier</w:t>
      </w:r>
      <w:r>
        <w:t xml:space="preserve"> </w:t>
      </w:r>
      <w:r>
        <w:t xml:space="preserve">for the device (patch level, management state). Remote and in-office access become identical, and the VPN is retired. Follow-up papers describe the multi-year migration and the access-proxy design.</w:t>
      </w:r>
      <w:r>
        <w:t xml:space="preserve"> </w:t>
      </w:r>
      <w:r>
        <w:rPr>
          <w:iCs/>
          <w:i/>
        </w:rPr>
        <w:t xml:space="preserve">Evidence: Primary</w:t>
      </w:r>
      <w:r>
        <w:t xml:space="preserve"> </w:t>
      </w:r>
      <w:r>
        <w:t xml:space="preserve">— [Ward &amp; Beyer 2014]; [Osborn et al. 2016]</w:t>
      </w:r>
    </w:p>
    <w:p>
      <w:pPr>
        <w:pStyle w:val="BodyText"/>
      </w:pPr>
      <w:r>
        <w:rPr>
          <w:bCs/>
          <w:b/>
        </w:rPr>
        <w:t xml:space="preserve">Figure 10.8 — Zero-trust access in the style of BeyondCorp.</w:t>
      </w:r>
    </w:p>
    <w:p>
      <w:pPr>
        <w:pStyle w:val="BodyText"/>
      </w:pPr>
      <w:r>
        <w:drawing>
          <wp:inline>
            <wp:extent cx="5334000" cy="1260763"/>
            <wp:effectExtent b="0" l="0" r="0" t="0"/>
            <wp:docPr descr="" title="" id="1158" name="Picture"/>
            <a:graphic>
              <a:graphicData uri="http://schemas.openxmlformats.org/drawingml/2006/picture">
                <pic:pic>
                  <pic:nvPicPr>
                    <pic:cNvPr descr="/home/user/System-Design/build/.cache/diagrams/d929c078d9c2.png" id="1159" name="Picture"/>
                    <pic:cNvPicPr>
                      <a:picLocks noChangeArrowheads="1" noChangeAspect="1"/>
                    </pic:cNvPicPr>
                  </pic:nvPicPr>
                  <pic:blipFill>
                    <a:blip r:embed="rId1157"/>
                    <a:stretch>
                      <a:fillRect/>
                    </a:stretch>
                  </pic:blipFill>
                  <pic:spPr bwMode="auto">
                    <a:xfrm>
                      <a:off x="0" y="0"/>
                      <a:ext cx="5334000" cy="1260763"/>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employee’s location is irrelevant: the office network has no special privileges. Every request reaches the access proxy over HTTPS, presenting a device certificate (identifying the machine) and a single-sign-on session (identifying the person). The proxy asks the identity provider to authenticate the user and the access control engine to authorize</w:t>
      </w:r>
      <w:r>
        <w:t xml:space="preserve"> </w:t>
      </w:r>
      <w:r>
        <w:rPr>
          <w:iCs/>
          <w:i/>
        </w:rPr>
        <w:t xml:space="preserve">this request to this application</w:t>
      </w:r>
      <w:r>
        <w:t xml:space="preserve">, using group membership and the device’s current trust tier from the inventory (fed asynchronously by device-management data). Only authorized requests are forwarded, over mTLS, to applications that accept connections from the proxy alone. Failure points: the proxy and access engine become critical, highly available infrastructure; an over-permissive policy reproduces the old flat network. Scaling: the proxy is a stateless, horizontally scaled L7 tier (§19.3).</w:t>
      </w:r>
    </w:p>
    <w:bookmarkEnd w:id="1160"/>
    <w:bookmarkStart w:id="1161" w:name="mutual-tls-and-workload-identity"/>
    <w:p>
      <w:pPr>
        <w:pStyle w:val="Heading3"/>
      </w:pPr>
      <w:r>
        <w:t xml:space="preserve">10.10.2 Mutual TLS and workload identity</w:t>
      </w:r>
    </w:p>
    <w:p>
      <w:pPr>
        <w:pStyle w:val="FirstParagraph"/>
      </w:pPr>
      <w:r>
        <w:t xml:space="preserve">Ordinary TLS authenticates only the server.</w:t>
      </w:r>
      <w:r>
        <w:t xml:space="preserve"> </w:t>
      </w:r>
      <w:r>
        <w:rPr>
          <w:bCs/>
          <w:b/>
        </w:rPr>
        <w:t xml:space="preserve">Mutual TLS (mTLS)</w:t>
      </w:r>
      <w:r>
        <w:t xml:space="preserve"> </w:t>
      </w:r>
      <w:r>
        <w:t xml:space="preserve">has</w:t>
      </w:r>
      <w:r>
        <w:t xml:space="preserve"> </w:t>
      </w:r>
      <w:r>
        <w:rPr>
          <w:iCs/>
          <w:i/>
        </w:rPr>
        <w:t xml:space="preserve">both</w:t>
      </w:r>
      <w:r>
        <w:t xml:space="preserve"> </w:t>
      </w:r>
      <w:r>
        <w:t xml:space="preserve">sides present certificates and prove possession of the private key, so a service knows cryptographically which workload is calling it — not merely which IP address, which can be spoofed or reused. In practice mTLS between services is provided by a</w:t>
      </w:r>
      <w:r>
        <w:t xml:space="preserve"> </w:t>
      </w:r>
      <w:r>
        <w:rPr>
          <w:bCs/>
          <w:b/>
        </w:rPr>
        <w:t xml:space="preserve">service mesh</w:t>
      </w:r>
      <w:r>
        <w:t xml:space="preserve"> </w:t>
      </w:r>
      <w:r>
        <w:t xml:space="preserve">sidecar or proxy (§34.10) that obtains short-lived certificates automatically. The</w:t>
      </w:r>
      <w:r>
        <w:t xml:space="preserve"> </w:t>
      </w:r>
      <w:r>
        <w:rPr>
          <w:bCs/>
          <w:b/>
        </w:rPr>
        <w:t xml:space="preserve">SPIFFE</w:t>
      </w:r>
      <w:r>
        <w:t xml:space="preserve"> </w:t>
      </w:r>
      <w:r>
        <w:t xml:space="preserve">standard defines a portable workload identity such as</w:t>
      </w:r>
      <w:r>
        <w:t xml:space="preserve"> </w:t>
      </w:r>
      <w:r>
        <w:rPr>
          <w:rStyle w:val="VerbatimChar"/>
        </w:rPr>
        <w:t xml:space="preserve">spiffe://example.org/ns/payments/sa/api</w:t>
      </w:r>
      <w:r>
        <w:t xml:space="preserve"> </w:t>
      </w:r>
      <w:r>
        <w:t xml:space="preserve">carried in an X.509 certificate (an SVID), so authorization policies can be written as</w:t>
      </w:r>
      <w:r>
        <w:t xml:space="preserve"> </w:t>
      </w:r>
      <w:r>
        <w:t xml:space="preserve">“</w:t>
      </w:r>
      <w:r>
        <w:t xml:space="preserve">only</w:t>
      </w:r>
      <w:r>
        <w:t xml:space="preserve"> </w:t>
      </w:r>
      <w:r>
        <w:rPr>
          <w:rStyle w:val="VerbatimChar"/>
        </w:rPr>
        <w:t xml:space="preserve">orders</w:t>
      </w:r>
      <w:r>
        <w:t xml:space="preserve"> </w:t>
      </w:r>
      <w:r>
        <w:t xml:space="preserve">may call</w:t>
      </w:r>
      <w:r>
        <w:t xml:space="preserve"> </w:t>
      </w:r>
      <w:r>
        <w:rPr>
          <w:rStyle w:val="VerbatimChar"/>
        </w:rPr>
        <w:t xml:space="preserve">payments</w:t>
      </w:r>
      <w:r>
        <w:t xml:space="preserve"> </w:t>
      </w:r>
      <w:r>
        <w:rPr>
          <w:rStyle w:val="VerbatimChar"/>
        </w:rPr>
        <w:t xml:space="preserve">POST /charge</w:t>
      </w:r>
      <w:r>
        <w:t xml:space="preserve">”</w:t>
      </w:r>
      <w:r>
        <w:t xml:space="preserve">, independent of IP addresses.</w:t>
      </w:r>
    </w:p>
    <w:bookmarkEnd w:id="1161"/>
    <w:bookmarkStart w:id="1162" w:name="least-privilege-and-segmentation"/>
    <w:p>
      <w:pPr>
        <w:pStyle w:val="Heading3"/>
      </w:pPr>
      <w:r>
        <w:t xml:space="preserve">10.10.3 Least privilege and segmentation</w:t>
      </w:r>
    </w:p>
    <w:p>
      <w:pPr>
        <w:pStyle w:val="FirstParagraph"/>
      </w:pPr>
      <w:r>
        <w:rPr>
          <w:bCs/>
          <w:b/>
        </w:rPr>
        <w:t xml:space="preserve">Least privilege</w:t>
      </w:r>
      <w:r>
        <w:t xml:space="preserve"> </w:t>
      </w:r>
      <w:r>
        <w:t xml:space="preserve">grants every user, service and credential the minimum permissions needed for its task, for the minimum time [Adkins et al. 2020]. In practice: one IAM role per service, not a shared</w:t>
      </w:r>
      <w:r>
        <w:t xml:space="preserve"> </w:t>
      </w:r>
      <w:r>
        <w:t xml:space="preserve">“</w:t>
      </w:r>
      <w:r>
        <w:t xml:space="preserve">app</w:t>
      </w:r>
      <w:r>
        <w:t xml:space="preserve">”</w:t>
      </w:r>
      <w:r>
        <w:t xml:space="preserve"> </w:t>
      </w:r>
      <w:r>
        <w:t xml:space="preserve">role; read-only database users for read-only services; no standing production admin access (engineers request time-boxed, approved, logged elevation —</w:t>
      </w:r>
      <w:r>
        <w:t xml:space="preserve"> </w:t>
      </w:r>
      <w:r>
        <w:t xml:space="preserve">“</w:t>
      </w:r>
      <w:r>
        <w:t xml:space="preserve">just-in-time access</w:t>
      </w:r>
      <w:r>
        <w:t xml:space="preserve">”</w:t>
      </w:r>
      <w:r>
        <w:t xml:space="preserve">); and periodic review that removes unused permissions (cloud providers report</w:t>
      </w:r>
      <w:r>
        <w:t xml:space="preserve"> </w:t>
      </w:r>
      <w:r>
        <w:t xml:space="preserve">“</w:t>
      </w:r>
      <w:r>
        <w:t xml:space="preserve">last used</w:t>
      </w:r>
      <w:r>
        <w:t xml:space="preserve">”</w:t>
      </w:r>
      <w:r>
        <w:t xml:space="preserve"> </w:t>
      </w:r>
      <w:r>
        <w:t xml:space="preserve">data for this).</w:t>
      </w:r>
    </w:p>
    <w:p>
      <w:pPr>
        <w:pStyle w:val="BodyText"/>
      </w:pPr>
      <w:r>
        <w:rPr>
          <w:bCs/>
          <w:b/>
        </w:rPr>
        <w:t xml:space="preserve">Segmentation</w:t>
      </w:r>
      <w:r>
        <w:t xml:space="preserve"> </w:t>
      </w:r>
      <w:r>
        <w:t xml:space="preserve">limits blast radius at the network layer: separate VPCs or accounts for production and non-production; subnets for edge, application and data tiers with security groups allowing only the required flows (the boundaries in Figure 10.1); Kubernetes NetworkPolicies that default-deny pod-to-pod traffic; and dedicated egress paths.</w:t>
      </w:r>
      <w:r>
        <w:t xml:space="preserve"> </w:t>
      </w:r>
      <w:r>
        <w:rPr>
          <w:bCs/>
          <w:b/>
        </w:rPr>
        <w:t xml:space="preserve">Microsegmentation</w:t>
      </w:r>
      <w:r>
        <w:t xml:space="preserve"> </w:t>
      </w:r>
      <w:r>
        <w:t xml:space="preserve">pushes this down to per-workload policies. Zero trust does not abolish network controls — it stops</w:t>
      </w:r>
      <w:r>
        <w:t xml:space="preserve"> </w:t>
      </w:r>
      <w:r>
        <w:rPr>
          <w:iCs/>
          <w:i/>
        </w:rPr>
        <w:t xml:space="preserve">relying</w:t>
      </w:r>
      <w:r>
        <w:t xml:space="preserve"> </w:t>
      </w:r>
      <w:r>
        <w:t xml:space="preserve">on them. Defense in depth means an attacker must defeat identity, authorization, network policy and monitoring, not just one.</w:t>
      </w:r>
    </w:p>
    <w:p>
      <w:pPr>
        <w:pStyle w:val="BodyText"/>
      </w:pPr>
      <w:r>
        <w:rPr>
          <w:bCs/>
          <w:b/>
        </w:rPr>
        <w:t xml:space="preserve">Table 10.11 — Perimeter model vs zero trust.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Perimeter (</w:t>
            </w:r>
            <w:r>
              <w:t xml:space="preserve">“</w:t>
            </w:r>
            <w:r>
              <w:t xml:space="preserve">castle and moat</w:t>
            </w:r>
            <w:r>
              <w:t xml:space="preserve">”</w:t>
            </w:r>
            <w:r>
              <w:t xml:space="preserve">)</w:t>
            </w:r>
          </w:p>
        </w:tc>
        <w:tc>
          <w:tcPr/>
          <w:p>
            <w:pPr>
              <w:pStyle w:val="Compact"/>
              <w:jc w:val="left"/>
            </w:pPr>
            <w:r>
              <w:t xml:space="preserve">Zero trust</w:t>
            </w:r>
          </w:p>
        </w:tc>
      </w:tr>
      <w:tr>
        <w:tc>
          <w:tcPr/>
          <w:p>
            <w:pPr>
              <w:pStyle w:val="Compact"/>
              <w:jc w:val="left"/>
            </w:pPr>
            <w:r>
              <w:t xml:space="preserve">What it is</w:t>
            </w:r>
          </w:p>
        </w:tc>
        <w:tc>
          <w:tcPr/>
          <w:p>
            <w:pPr>
              <w:pStyle w:val="Compact"/>
              <w:jc w:val="left"/>
            </w:pPr>
            <w:r>
              <w:t xml:space="preserve">Trust based on network location</w:t>
            </w:r>
          </w:p>
        </w:tc>
        <w:tc>
          <w:tcPr/>
          <w:p>
            <w:pPr>
              <w:pStyle w:val="Compact"/>
              <w:jc w:val="left"/>
            </w:pPr>
            <w:r>
              <w:t xml:space="preserve">Trust based on verified identity and context per request</w:t>
            </w:r>
          </w:p>
        </w:tc>
      </w:tr>
      <w:tr>
        <w:tc>
          <w:tcPr/>
          <w:p>
            <w:pPr>
              <w:pStyle w:val="Compact"/>
              <w:jc w:val="left"/>
            </w:pPr>
            <w:r>
              <w:t xml:space="preserve">How it works</w:t>
            </w:r>
          </w:p>
        </w:tc>
        <w:tc>
          <w:tcPr/>
          <w:p>
            <w:pPr>
              <w:pStyle w:val="Compact"/>
              <w:jc w:val="left"/>
            </w:pPr>
            <w:r>
              <w:t xml:space="preserve">Edge firewall, VPN, flat internal network</w:t>
            </w:r>
          </w:p>
        </w:tc>
        <w:tc>
          <w:tcPr/>
          <w:p>
            <w:pPr>
              <w:pStyle w:val="Compact"/>
              <w:jc w:val="left"/>
            </w:pPr>
            <w:r>
              <w:t xml:space="preserve">Identity-aware proxies, mTLS, per-request policy</w:t>
            </w:r>
          </w:p>
        </w:tc>
      </w:tr>
      <w:tr>
        <w:tc>
          <w:tcPr/>
          <w:p>
            <w:pPr>
              <w:pStyle w:val="Compact"/>
              <w:jc w:val="left"/>
            </w:pPr>
            <w:r>
              <w:t xml:space="preserve">Advantages</w:t>
            </w:r>
          </w:p>
        </w:tc>
        <w:tc>
          <w:tcPr/>
          <w:p>
            <w:pPr>
              <w:pStyle w:val="Compact"/>
              <w:jc w:val="left"/>
            </w:pPr>
            <w:r>
              <w:t xml:space="preserve">Simple; works with legacy apps</w:t>
            </w:r>
          </w:p>
        </w:tc>
        <w:tc>
          <w:tcPr/>
          <w:p>
            <w:pPr>
              <w:pStyle w:val="Compact"/>
              <w:jc w:val="left"/>
            </w:pPr>
            <w:r>
              <w:t xml:space="preserve">Limits lateral movement; uniform remote access</w:t>
            </w:r>
          </w:p>
        </w:tc>
      </w:tr>
      <w:tr>
        <w:tc>
          <w:tcPr/>
          <w:p>
            <w:pPr>
              <w:pStyle w:val="Compact"/>
              <w:jc w:val="left"/>
            </w:pPr>
            <w:r>
              <w:t xml:space="preserve">Disadvantages</w:t>
            </w:r>
          </w:p>
        </w:tc>
        <w:tc>
          <w:tcPr/>
          <w:p>
            <w:pPr>
              <w:pStyle w:val="Compact"/>
              <w:jc w:val="left"/>
            </w:pPr>
            <w:r>
              <w:t xml:space="preserve">One breach exposes everything</w:t>
            </w:r>
          </w:p>
        </w:tc>
        <w:tc>
          <w:tcPr/>
          <w:p>
            <w:pPr>
              <w:pStyle w:val="Compact"/>
              <w:jc w:val="left"/>
            </w:pPr>
            <w:r>
              <w:t xml:space="preserve">Requires strong identity, device inventory, mature tooling</w:t>
            </w:r>
          </w:p>
        </w:tc>
      </w:tr>
      <w:tr>
        <w:tc>
          <w:tcPr/>
          <w:p>
            <w:pPr>
              <w:pStyle w:val="Compact"/>
              <w:jc w:val="left"/>
            </w:pPr>
            <w:r>
              <w:t xml:space="preserve">Operational complexity</w:t>
            </w:r>
          </w:p>
        </w:tc>
        <w:tc>
          <w:tcPr/>
          <w:p>
            <w:pPr>
              <w:pStyle w:val="Compact"/>
              <w:jc w:val="left"/>
            </w:pPr>
            <w:r>
              <w:t xml:space="preserve">Low initially, high after incidents</w:t>
            </w:r>
          </w:p>
        </w:tc>
        <w:tc>
          <w:tcPr/>
          <w:p>
            <w:pPr>
              <w:pStyle w:val="Compact"/>
              <w:jc w:val="left"/>
            </w:pPr>
            <w:r>
              <w:t xml:space="preserve">High upfront; policy management is ongoing</w:t>
            </w:r>
          </w:p>
        </w:tc>
      </w:tr>
      <w:tr>
        <w:tc>
          <w:tcPr/>
          <w:p>
            <w:pPr>
              <w:pStyle w:val="Compact"/>
              <w:jc w:val="left"/>
            </w:pPr>
            <w:r>
              <w:t xml:space="preserve">Choose when</w:t>
            </w:r>
          </w:p>
        </w:tc>
        <w:tc>
          <w:tcPr/>
          <w:p>
            <w:pPr>
              <w:pStyle w:val="Compact"/>
              <w:jc w:val="left"/>
            </w:pPr>
            <w:r>
              <w:t xml:space="preserve">Never as the only control</w:t>
            </w:r>
          </w:p>
        </w:tc>
        <w:tc>
          <w:tcPr/>
          <w:p>
            <w:pPr>
              <w:pStyle w:val="Compact"/>
              <w:jc w:val="left"/>
            </w:pPr>
            <w:r>
              <w:t xml:space="preserve">Default target architecture for new systems</w:t>
            </w:r>
          </w:p>
        </w:tc>
      </w:tr>
    </w:tbl>
    <w:bookmarkEnd w:id="1162"/>
    <w:bookmarkEnd w:id="1163"/>
    <w:bookmarkStart w:id="1168" w:name="ddos-basics"/>
    <w:p>
      <w:pPr>
        <w:pStyle w:val="Heading2"/>
      </w:pPr>
      <w:r>
        <w:t xml:space="preserve">10.11 DDoS basics</w:t>
      </w:r>
    </w:p>
    <w:p>
      <w:pPr>
        <w:pStyle w:val="CalloutDefinition"/>
      </w:pPr>
      <w:r>
        <w:rPr>
          <w:bCs/>
          <w:b/>
        </w:rPr>
        <w:t xml:space="preserve">DEFINITION</w:t>
      </w:r>
    </w:p>
    <w:p>
      <w:pPr>
        <w:pStyle w:val="CalloutDefinition"/>
      </w:pPr>
      <w:r>
        <w:rPr>
          <w:bCs/>
          <w:b/>
        </w:rPr>
        <w:t xml:space="preserve">Definition — Distributed denial of service (DDoS).</w:t>
      </w:r>
      <w:r>
        <w:t xml:space="preserve"> </w:t>
      </w:r>
      <w:r>
        <w:t xml:space="preserve">An attack that makes a service unavailable by overwhelming some finite resource — network bandwidth, packet-processing capacity, connection-state tables, or application CPU, memory and database capacity — with traffic from many sources at once, typically a</w:t>
      </w:r>
      <w:r>
        <w:t xml:space="preserve"> </w:t>
      </w:r>
      <w:r>
        <w:rPr>
          <w:bCs/>
          <w:b/>
        </w:rPr>
        <w:t xml:space="preserve">botnet</w:t>
      </w:r>
      <w:r>
        <w:t xml:space="preserve"> </w:t>
      </w:r>
      <w:r>
        <w:t xml:space="preserve">of compromised devices or abused open servers.</w:t>
      </w:r>
    </w:p>
    <w:bookmarkStart w:id="1167" w:name="first-principles-explanation-63"/>
    <w:p>
      <w:pPr>
        <w:pStyle w:val="Heading3"/>
      </w:pPr>
      <w:r>
        <w:t xml:space="preserve">First-principles explanation</w:t>
      </w:r>
    </w:p>
    <w:p>
      <w:pPr>
        <w:pStyle w:val="FirstParagraph"/>
      </w:pPr>
      <w:r>
        <w:t xml:space="preserve">Imagine a restaurant. A volumetric attack is a crowd so large it blocks the street, so no customer reaches the door. A protocol attack is a crowd that walks in, occupies every table, and orders nothing. An application-layer attack is a crowd of well-dressed customers each ordering the single dish that takes the kitchen an hour to cook. Each needs a different defense, applied at a different place.</w:t>
      </w:r>
    </w:p>
    <w:p>
      <w:pPr>
        <w:pStyle w:val="BodyText"/>
      </w:pPr>
      <w:r>
        <w:rPr>
          <w:bCs/>
          <w:b/>
        </w:rPr>
        <w:t xml:space="preserve">Table 10.12 — DDoS attack classes.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Volumetric</w:t>
            </w:r>
          </w:p>
        </w:tc>
        <w:tc>
          <w:tcPr/>
          <w:p>
            <w:pPr>
              <w:pStyle w:val="Compact"/>
              <w:jc w:val="left"/>
            </w:pPr>
            <w:r>
              <w:t xml:space="preserve">Protocol (state exhaustion)</w:t>
            </w:r>
          </w:p>
        </w:tc>
        <w:tc>
          <w:tcPr/>
          <w:p>
            <w:pPr>
              <w:pStyle w:val="Compact"/>
              <w:jc w:val="left"/>
            </w:pPr>
            <w:r>
              <w:t xml:space="preserve">Application layer (L7)</w:t>
            </w:r>
          </w:p>
        </w:tc>
      </w:tr>
      <w:tr>
        <w:tc>
          <w:tcPr/>
          <w:p>
            <w:pPr>
              <w:pStyle w:val="Compact"/>
              <w:jc w:val="left"/>
            </w:pPr>
            <w:r>
              <w:t xml:space="preserve">Target resource</w:t>
            </w:r>
          </w:p>
        </w:tc>
        <w:tc>
          <w:tcPr/>
          <w:p>
            <w:pPr>
              <w:pStyle w:val="Compact"/>
              <w:jc w:val="left"/>
            </w:pPr>
            <w:r>
              <w:t xml:space="preserve">Link bandwidth</w:t>
            </w:r>
          </w:p>
        </w:tc>
        <w:tc>
          <w:tcPr/>
          <w:p>
            <w:pPr>
              <w:pStyle w:val="Compact"/>
              <w:jc w:val="left"/>
            </w:pPr>
            <w:r>
              <w:t xml:space="preserve">Connection tables in firewalls, load balancers, servers</w:t>
            </w:r>
          </w:p>
        </w:tc>
        <w:tc>
          <w:tcPr/>
          <w:p>
            <w:pPr>
              <w:pStyle w:val="Compact"/>
              <w:jc w:val="left"/>
            </w:pPr>
            <w:r>
              <w:t xml:space="preserve">Application CPU, DB, cache, downstream APIs</w:t>
            </w:r>
          </w:p>
        </w:tc>
      </w:tr>
      <w:tr>
        <w:tc>
          <w:tcPr/>
          <w:p>
            <w:pPr>
              <w:pStyle w:val="Compact"/>
              <w:jc w:val="left"/>
            </w:pPr>
            <w:r>
              <w:t xml:space="preserve">Examples</w:t>
            </w:r>
          </w:p>
        </w:tc>
        <w:tc>
          <w:tcPr/>
          <w:p>
            <w:pPr>
              <w:pStyle w:val="Compact"/>
              <w:jc w:val="left"/>
            </w:pPr>
            <w:r>
              <w:t xml:space="preserve">UDP floods; reflection/amplification via DNS, NTP, memcached</w:t>
            </w:r>
          </w:p>
        </w:tc>
        <w:tc>
          <w:tcPr/>
          <w:p>
            <w:pPr>
              <w:pStyle w:val="Compact"/>
              <w:jc w:val="left"/>
            </w:pPr>
            <w:r>
              <w:t xml:space="preserve">SYN floods, fragmented-packet floods</w:t>
            </w:r>
          </w:p>
        </w:tc>
        <w:tc>
          <w:tcPr/>
          <w:p>
            <w:pPr>
              <w:pStyle w:val="Compact"/>
              <w:jc w:val="left"/>
            </w:pPr>
            <w:r>
              <w:t xml:space="preserve">HTTP floods on expensive endpoints; HTTP/2 Rapid Reset</w:t>
            </w:r>
          </w:p>
        </w:tc>
      </w:tr>
      <w:tr>
        <w:tc>
          <w:tcPr/>
          <w:p>
            <w:pPr>
              <w:pStyle w:val="Compact"/>
              <w:jc w:val="left"/>
            </w:pPr>
            <w:r>
              <w:t xml:space="preserve">Measured in</w:t>
            </w:r>
          </w:p>
        </w:tc>
        <w:tc>
          <w:tcPr/>
          <w:p>
            <w:pPr>
              <w:pStyle w:val="Compact"/>
              <w:jc w:val="left"/>
            </w:pPr>
            <w:r>
              <w:t xml:space="preserve">Bits per second (Gbps–Tbps)</w:t>
            </w:r>
          </w:p>
        </w:tc>
        <w:tc>
          <w:tcPr/>
          <w:p>
            <w:pPr>
              <w:pStyle w:val="Compact"/>
              <w:jc w:val="left"/>
            </w:pPr>
            <w:r>
              <w:t xml:space="preserve">Packets per second</w:t>
            </w:r>
          </w:p>
        </w:tc>
        <w:tc>
          <w:tcPr/>
          <w:p>
            <w:pPr>
              <w:pStyle w:val="Compact"/>
              <w:jc w:val="left"/>
            </w:pPr>
            <w:r>
              <w:t xml:space="preserve">Requests per second</w:t>
            </w:r>
          </w:p>
        </w:tc>
      </w:tr>
      <w:tr>
        <w:tc>
          <w:tcPr/>
          <w:p>
            <w:pPr>
              <w:pStyle w:val="Compact"/>
              <w:jc w:val="left"/>
            </w:pPr>
            <w:r>
              <w:t xml:space="preserve">Looks like</w:t>
            </w:r>
          </w:p>
        </w:tc>
        <w:tc>
          <w:tcPr/>
          <w:p>
            <w:pPr>
              <w:pStyle w:val="Compact"/>
              <w:jc w:val="left"/>
            </w:pPr>
            <w:r>
              <w:t xml:space="preserve">Obviously abnormal traffic</w:t>
            </w:r>
          </w:p>
        </w:tc>
        <w:tc>
          <w:tcPr/>
          <w:p>
            <w:pPr>
              <w:pStyle w:val="Compact"/>
              <w:jc w:val="left"/>
            </w:pPr>
            <w:r>
              <w:t xml:space="preserve">Half-open connections</w:t>
            </w:r>
          </w:p>
        </w:tc>
        <w:tc>
          <w:tcPr/>
          <w:p>
            <w:pPr>
              <w:pStyle w:val="Compact"/>
              <w:jc w:val="left"/>
            </w:pPr>
            <w:r>
              <w:t xml:space="preserve">Legitimate-looking requests</w:t>
            </w:r>
          </w:p>
        </w:tc>
      </w:tr>
      <w:tr>
        <w:tc>
          <w:tcPr/>
          <w:p>
            <w:pPr>
              <w:pStyle w:val="Compact"/>
              <w:jc w:val="left"/>
            </w:pPr>
            <w:r>
              <w:t xml:space="preserve">Primary defense</w:t>
            </w:r>
          </w:p>
        </w:tc>
        <w:tc>
          <w:tcPr/>
          <w:p>
            <w:pPr>
              <w:pStyle w:val="Compact"/>
              <w:jc w:val="left"/>
            </w:pPr>
            <w:r>
              <w:t xml:space="preserve">Upstream capacity: anycast scrubbing networks, CDN</w:t>
            </w:r>
          </w:p>
        </w:tc>
        <w:tc>
          <w:tcPr/>
          <w:p>
            <w:pPr>
              <w:pStyle w:val="Compact"/>
              <w:jc w:val="left"/>
            </w:pPr>
            <w:r>
              <w:t xml:space="preserve">SYN cookies, stateless edge proxies, scrubbing</w:t>
            </w:r>
          </w:p>
        </w:tc>
        <w:tc>
          <w:tcPr/>
          <w:p>
            <w:pPr>
              <w:pStyle w:val="Compact"/>
              <w:jc w:val="left"/>
            </w:pPr>
            <w:r>
              <w:t xml:space="preserve">WAF rules, rate limits, bot detection, caching, autoscaling, load shedding</w:t>
            </w:r>
          </w:p>
        </w:tc>
      </w:tr>
    </w:tbl>
    <w:p>
      <w:pPr>
        <w:pStyle w:val="BodyText"/>
      </w:pPr>
      <w:r>
        <w:rPr>
          <w:bCs/>
          <w:b/>
        </w:rPr>
        <w:t xml:space="preserve">Reflection and amplification</w:t>
      </w:r>
      <w:r>
        <w:t xml:space="preserve"> </w:t>
      </w:r>
      <w:r>
        <w:t xml:space="preserve">are what make volumetric attacks cheap. The attacker sends small UDP requests to thousands of open servers with the</w:t>
      </w:r>
      <w:r>
        <w:t xml:space="preserve"> </w:t>
      </w:r>
      <w:r>
        <w:rPr>
          <w:iCs/>
          <w:i/>
        </w:rPr>
        <w:t xml:space="preserve">victim’s</w:t>
      </w:r>
      <w:r>
        <w:t xml:space="preserve"> </w:t>
      </w:r>
      <w:r>
        <w:t xml:space="preserve">IP address forged as the source; each server sends its (much larger) reply to the victim.</w:t>
      </w:r>
    </w:p>
    <w:p>
      <w:pPr>
        <w:pStyle w:val="CalloutFormula"/>
      </w:pPr>
      <w:r>
        <w:rPr>
          <w:bCs/>
          <w:b/>
        </w:rPr>
        <w:t xml:space="preserve">FORMULA</w:t>
      </w:r>
    </w:p>
    <w:p>
      <w:pPr>
        <w:pStyle w:val="CalloutFormula"/>
      </w:pPr>
      <w:r>
        <w:rPr>
          <w:bCs/>
          <w:b/>
        </w:rPr>
        <w:t xml:space="preserve">Amplified attack bandwidth</w:t>
      </w:r>
    </w:p>
    <w:p>
      <w:pPr>
        <w:pStyle w:val="CalloutFormula"/>
      </w:pPr>
      <m:oMathPara>
        <m:oMathParaPr>
          <m:jc m:val="center"/>
        </m:oMathParaPr>
        <m:oMath>
          <m:sSub>
            <m:e>
              <m:r>
                <m:t>B</m:t>
              </m:r>
            </m:e>
            <m:sub>
              <m:r>
                <m:rPr>
                  <m:nor/>
                  <m:sty m:val="p"/>
                </m:rPr>
                <m:t>victim</m:t>
              </m:r>
            </m:sub>
          </m:sSub>
          <m:r>
            <m:rPr>
              <m:sty m:val="p"/>
            </m:rPr>
            <m:t>=</m:t>
          </m:r>
          <m:sSub>
            <m:e>
              <m:r>
                <m:t>B</m:t>
              </m:r>
            </m:e>
            <m:sub>
              <m:r>
                <m:rPr>
                  <m:nor/>
                  <m:sty m:val="p"/>
                </m:rPr>
                <m:t>attacker</m:t>
              </m:r>
            </m:sub>
          </m:sSub>
          <m:r>
            <m:rPr>
              <m:sty m:val="p"/>
            </m:rPr>
            <m:t>×</m:t>
          </m:r>
          <m:r>
            <m:t>A</m:t>
          </m:r>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B</m:t>
                  </m:r>
                </m:e>
                <m:sub>
                  <m:r>
                    <m:rPr>
                      <m:nor/>
                      <m:sty m:val="p"/>
                    </m:rPr>
                    <m:t>victim</m:t>
                  </m:r>
                </m:sub>
              </m:sSub>
            </m:oMath>
          </w:p>
        </w:tc>
        <w:tc>
          <w:tcPr/>
          <w:p>
            <w:pPr>
              <w:pStyle w:val="Compact"/>
              <w:jc w:val="left"/>
            </w:pPr>
            <w:r>
              <w:t xml:space="preserve">Traffic arriving at the victim</w:t>
            </w:r>
          </w:p>
        </w:tc>
        <w:tc>
          <w:tcPr/>
          <w:p>
            <w:pPr>
              <w:pStyle w:val="Compact"/>
              <w:jc w:val="left"/>
            </w:pPr>
            <w:r>
              <w:t xml:space="preserve">bits/s</w:t>
            </w:r>
          </w:p>
        </w:tc>
      </w:tr>
      <w:tr>
        <w:tc>
          <w:tcPr/>
          <w:p>
            <w:pPr>
              <w:pStyle w:val="Compact"/>
              <w:jc w:val="left"/>
            </w:pPr>
            <m:oMath>
              <m:sSub>
                <m:e>
                  <m:r>
                    <m:t>B</m:t>
                  </m:r>
                </m:e>
                <m:sub>
                  <m:r>
                    <m:rPr>
                      <m:nor/>
                      <m:sty m:val="p"/>
                    </m:rPr>
                    <m:t>attacker</m:t>
                  </m:r>
                </m:sub>
              </m:sSub>
            </m:oMath>
          </w:p>
        </w:tc>
        <w:tc>
          <w:tcPr/>
          <w:p>
            <w:pPr>
              <w:pStyle w:val="Compact"/>
              <w:jc w:val="left"/>
            </w:pPr>
            <w:r>
              <w:t xml:space="preserve">Spoofed request traffic the attacker sends</w:t>
            </w:r>
          </w:p>
        </w:tc>
        <w:tc>
          <w:tcPr/>
          <w:p>
            <w:pPr>
              <w:pStyle w:val="Compact"/>
              <w:jc w:val="left"/>
            </w:pPr>
            <w:r>
              <w:t xml:space="preserve">bits/s</w:t>
            </w:r>
          </w:p>
        </w:tc>
      </w:tr>
      <w:tr>
        <w:tc>
          <w:tcPr/>
          <w:p>
            <w:pPr>
              <w:pStyle w:val="Compact"/>
              <w:jc w:val="left"/>
            </w:pPr>
            <m:oMath>
              <m:r>
                <m:t>A</m:t>
              </m:r>
            </m:oMath>
          </w:p>
        </w:tc>
        <w:tc>
          <w:tcPr/>
          <w:p>
            <w:pPr>
              <w:pStyle w:val="Compact"/>
              <w:jc w:val="left"/>
            </w:pPr>
            <w:r>
              <w:t xml:space="preserve">Bandwidth amplification factor of the abused protocol (response bytes / request bytes)</w:t>
            </w:r>
          </w:p>
        </w:tc>
        <w:tc>
          <w:tcPr/>
          <w:p>
            <w:pPr>
              <w:pStyle w:val="Compact"/>
              <w:jc w:val="left"/>
            </w:pPr>
            <w:r>
              <w:t xml:space="preserve">dimensionless</w:t>
            </w:r>
          </w:p>
        </w:tc>
      </w:tr>
    </w:tbl>
    <w:p>
      <w:pPr>
        <w:pStyle w:val="CalloutExample"/>
      </w:pPr>
      <w:r>
        <w:rPr>
          <w:bCs/>
          <w:b/>
        </w:rPr>
        <w:t xml:space="preserve">WORKED EXAMPLE</w:t>
      </w:r>
    </w:p>
    <w:p>
      <w:pPr>
        <w:pStyle w:val="CalloutExample"/>
      </w:pPr>
      <w:r>
        <w:rPr>
          <w:bCs/>
          <w:b/>
        </w:rPr>
        <w:t xml:space="preserve">Worked example — DNS amplification.</w:t>
      </w:r>
      <w:r>
        <w:t xml:space="preserve"> </w:t>
      </w:r>
      <w:r>
        <w:t xml:space="preserve">US-CERT lists DNS amplification factors of roughly 28–54 [US-CERT TA14-017A]. An attacker with 2 Gbps of spoofing capacity and</w:t>
      </w:r>
      <w:r>
        <w:t xml:space="preserve"> </w:t>
      </w:r>
      <m:oMath>
        <m:r>
          <m:t>A</m:t>
        </m:r>
        <m:r>
          <m:rPr>
            <m:sty m:val="p"/>
          </m:rPr>
          <m:t>=</m:t>
        </m:r>
        <m:r>
          <m:t>50</m:t>
        </m:r>
      </m:oMath>
      <w:r>
        <w:t xml:space="preserve"> </w:t>
      </w:r>
      <w:r>
        <w:t xml:space="preserve">produces</w:t>
      </w:r>
      <w:r>
        <w:t xml:space="preserve"> </w:t>
      </w:r>
      <m:oMath>
        <m:r>
          <m:t>B</m:t>
        </m:r>
        <m:r>
          <m:rPr>
            <m:sty m:val="p"/>
          </m:rPr>
          <m:t>=</m:t>
        </m:r>
        <m:r>
          <m:t>2</m:t>
        </m:r>
        <m:r>
          <m:rPr>
            <m:sty m:val="p"/>
          </m:rPr>
          <m:t>×</m:t>
        </m:r>
        <m:r>
          <m:t>50</m:t>
        </m:r>
        <m:r>
          <m:rPr>
            <m:sty m:val="p"/>
          </m:rPr>
          <m:t>=</m:t>
        </m:r>
        <m:r>
          <m:t>100</m:t>
        </m:r>
      </m:oMath>
      <w:r>
        <w:t xml:space="preserve"> </w:t>
      </w:r>
      <w:r>
        <w:t xml:space="preserve">Gbps at the victim. A single origin data center with a 10 Gbps uplink is saturated tenfold; nothing the origin does locally helps, because the link is full before packets reach any server.</w:t>
      </w:r>
      <w:r>
        <w:t xml:space="preserve"> </w:t>
      </w:r>
      <w:r>
        <w:rPr>
          <w:iCs/>
          <w:i/>
        </w:rPr>
        <w:t xml:space="preserve">Engineering implication:</w:t>
      </w:r>
      <w:r>
        <w:t xml:space="preserve"> </w:t>
      </w:r>
      <w:r>
        <w:t xml:space="preserve">volumetric defense must happen</w:t>
      </w:r>
      <w:r>
        <w:t xml:space="preserve"> </w:t>
      </w:r>
      <w:r>
        <w:rPr>
          <w:bCs/>
          <w:b/>
        </w:rPr>
        <w:t xml:space="preserve">upstream</w:t>
      </w:r>
      <w:r>
        <w:t xml:space="preserve">, in networks whose capacity exceeds the attack — anycast CDNs and scrubbing services that advertise your IP prefixes from many locations and absorb the flood across their global capacity.</w:t>
      </w:r>
    </w:p>
    <w:p>
      <w:pPr>
        <w:pStyle w:val="CalloutIndustry"/>
      </w:pPr>
      <w:r>
        <w:rPr>
          <w:bCs/>
          <w:b/>
        </w:rPr>
        <w:t xml:space="preserve">INDUSTRY EXAMPLE</w:t>
      </w:r>
    </w:p>
    <w:p>
      <w:pPr>
        <w:pStyle w:val="CalloutIndustry"/>
      </w:pPr>
      <w:r>
        <w:rPr>
          <w:bCs/>
          <w:b/>
        </w:rPr>
        <w:t xml:space="preserve">GitHub memcached attack (2018) and HTTP/2 Rapid Reset (2023).</w:t>
      </w:r>
      <w:r>
        <w:t xml:space="preserve"> </w:t>
      </w:r>
      <w:r>
        <w:t xml:space="preserve">On 28 February 2018 GitHub received a 1.35 Tbps memcached-reflection attack; memcached servers exposed on UDP can amplify requests by factors in the tens of thousands. GitHub routed traffic to its DDoS-mitigation provider and the attack was mitigated within about ten minutes. In 2023 the</w:t>
      </w:r>
      <w:r>
        <w:t xml:space="preserve"> </w:t>
      </w:r>
      <w:r>
        <w:t xml:space="preserve">“</w:t>
      </w:r>
      <w:r>
        <w:t xml:space="preserve">HTTP/2 Rapid Reset</w:t>
      </w:r>
      <w:r>
        <w:t xml:space="preserve">”</w:t>
      </w:r>
      <w:r>
        <w:t xml:space="preserve"> </w:t>
      </w:r>
      <w:r>
        <w:t xml:space="preserve">technique (CVE-2023-44487) — opening and immediately cancelling streams on a single connection — produced application-layer floods that Google reported peaking at about 398 million requests per second.</w:t>
      </w:r>
      <w:r>
        <w:t xml:space="preserve"> </w:t>
      </w:r>
      <w:r>
        <w:rPr>
          <w:iCs/>
          <w:i/>
        </w:rPr>
        <w:t xml:space="preserve">Evidence: Primary</w:t>
      </w:r>
      <w:r>
        <w:t xml:space="preserve"> </w:t>
      </w:r>
      <w:r>
        <w:t xml:space="preserve">— [GitHub 2018]; [Google Cloud 2023]</w:t>
      </w:r>
    </w:p>
    <w:p>
      <w:pPr>
        <w:pStyle w:val="BodyText"/>
      </w:pPr>
      <w:r>
        <w:rPr>
          <w:bCs/>
          <w:b/>
        </w:rPr>
        <w:t xml:space="preserve">Figure 10.9 — DDoS mitigation in layers.</w:t>
      </w:r>
    </w:p>
    <w:p>
      <w:pPr>
        <w:pStyle w:val="BodyText"/>
      </w:pPr>
      <w:r>
        <w:drawing>
          <wp:inline>
            <wp:extent cx="5334000" cy="551392"/>
            <wp:effectExtent b="0" l="0" r="0" t="0"/>
            <wp:docPr descr="" title="" id="1165" name="Picture"/>
            <a:graphic>
              <a:graphicData uri="http://schemas.openxmlformats.org/drawingml/2006/picture">
                <pic:pic>
                  <pic:nvPicPr>
                    <pic:cNvPr descr="/home/user/System-Design/build/.cache/diagrams/508b232239b6.png" id="1166" name="Picture"/>
                    <pic:cNvPicPr>
                      <a:picLocks noChangeArrowheads="1" noChangeAspect="1"/>
                    </pic:cNvPicPr>
                  </pic:nvPicPr>
                  <pic:blipFill>
                    <a:blip r:embed="rId1164"/>
                    <a:stretch>
                      <a:fillRect/>
                    </a:stretch>
                  </pic:blipFill>
                  <pic:spPr bwMode="auto">
                    <a:xfrm>
                      <a:off x="0" y="0"/>
                      <a:ext cx="5334000" cy="551392"/>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Traffic flows left to right through successively narrower and more expensive layers. The anycast edge, spread across many locations, absorbs volumetric and protocol floods (the scrubbing stage) because its aggregate capacity is far larger than any single origin’s. The CDN serves cacheable content without touching the origin and applies L7 controls: WAF rules, per-IP and per-session rate limits, and bot challenges. The origin should accept traffic only from the edge (allow-list the CDN’s ranges or use authenticated origin pulls), otherwise attackers bypass the edge by hitting the origin IP directly. Inside, the load balancer defends connection state, and the application enforces per-user quotas and sheds load (§22.9) so that the database — the scarcest resource — sees bounded concurrency. Scaling: autoscaling helps against L7 floods only up to your budget; an attacker’s marginal cost per request is usually lower than yours, so the main lever is making requests cheap (caching) or refusing them early.</w:t>
      </w:r>
    </w:p>
    <w:p>
      <w:pPr>
        <w:pStyle w:val="CalloutRecommendation"/>
      </w:pPr>
      <w:r>
        <w:rPr>
          <w:bCs/>
          <w:b/>
        </w:rPr>
        <w:t xml:space="preserve">RECOMMENDATION</w:t>
      </w:r>
    </w:p>
    <w:p>
      <w:pPr>
        <w:pStyle w:val="CalloutRecommendation"/>
      </w:pPr>
      <w:r>
        <w:rPr>
          <w:bCs/>
          <w:b/>
        </w:rPr>
        <w:t xml:space="preserve">Design rules.</w:t>
      </w:r>
      <w:r>
        <w:t xml:space="preserve"> </w:t>
      </w:r>
      <w:r>
        <w:t xml:space="preserve">Put every public endpoint behind an anycast CDN or DDoS-protection service; hide origin IPs; cache aggressively; make expensive endpoints (search, report generation, login) authenticated and rate-limited; set timeouts and bounded queues everywhere (§22.11); know in advance who you call and what you toggle during an attack (a runbook, rehearsed).</w:t>
      </w:r>
    </w:p>
    <w:bookmarkEnd w:id="1167"/>
    <w:bookmarkEnd w:id="1168"/>
    <w:bookmarkStart w:id="1173" w:name="audit-logging-and-tamper-evidence"/>
    <w:p>
      <w:pPr>
        <w:pStyle w:val="Heading2"/>
      </w:pPr>
      <w:r>
        <w:t xml:space="preserve">10.12 Audit logging and tamper evidence</w:t>
      </w:r>
    </w:p>
    <w:p>
      <w:pPr>
        <w:pStyle w:val="CalloutDefinition"/>
      </w:pPr>
      <w:r>
        <w:rPr>
          <w:bCs/>
          <w:b/>
        </w:rPr>
        <w:t xml:space="preserve">DEFINITION</w:t>
      </w:r>
    </w:p>
    <w:p>
      <w:pPr>
        <w:pStyle w:val="CalloutDefinition"/>
      </w:pPr>
      <w:r>
        <w:rPr>
          <w:bCs/>
          <w:b/>
        </w:rPr>
        <w:t xml:space="preserve">Definition — Audit log.</w:t>
      </w:r>
      <w:r>
        <w:t xml:space="preserve"> </w:t>
      </w:r>
      <w:r>
        <w:t xml:space="preserve">An append-only record of security-relevant events — who (actor), did what (action), to which resource, when, from where, and with what result — retained so that actions can be investigated and attributed. A log is</w:t>
      </w:r>
      <w:r>
        <w:t xml:space="preserve"> </w:t>
      </w:r>
      <w:r>
        <w:rPr>
          <w:bCs/>
          <w:b/>
        </w:rPr>
        <w:t xml:space="preserve">tamper-evident</w:t>
      </w:r>
      <w:r>
        <w:t xml:space="preserve"> </w:t>
      </w:r>
      <w:r>
        <w:t xml:space="preserve">if any modification, deletion or reordering of past entries can be detected.</w:t>
      </w:r>
    </w:p>
    <w:bookmarkStart w:id="1172" w:name="first-principles-explanation-64"/>
    <w:p>
      <w:pPr>
        <w:pStyle w:val="Heading3"/>
      </w:pPr>
      <w:r>
        <w:t xml:space="preserve">First-principles explanation</w:t>
      </w:r>
    </w:p>
    <w:p>
      <w:pPr>
        <w:pStyle w:val="FirstParagraph"/>
      </w:pPr>
      <w:r>
        <w:t xml:space="preserve">An audit log is a bank’s bound, page-numbered ledger written in ink: you can add lines but cannot tear out a page or erase a line without it being obvious. Application debug logs are the opposite — a whiteboard. Attackers who gain privileged access routinely delete or edit logs to hide their tracks, and malicious insiders are precisely the people with access to logs. So audit logs must be designed so that the people being audited cannot rewrite them.</w:t>
      </w:r>
    </w:p>
    <w:p>
      <w:pPr>
        <w:pStyle w:val="BodyText"/>
      </w:pPr>
      <w:r>
        <w:rPr>
          <w:bCs/>
          <w:b/>
        </w:rPr>
        <w:t xml:space="preserve">What to log.</w:t>
      </w:r>
      <w:r>
        <w:t xml:space="preserve"> </w:t>
      </w:r>
      <w:r>
        <w:t xml:space="preserve">Authentication events (success, failure, MFA changes), authorization failures, privilege and role changes, access to sensitive data (reads, exports), administrative and configuration changes, key and secret usage (KMS logs this for you), and security-control changes (disabling logging is itself an event). Each entry: timestamp (UTC, synchronized clock), actor identity (user and workload), source (IP, device), action, resource, result, and a request or trace ID.</w:t>
      </w:r>
      <w:r>
        <w:t xml:space="preserve"> </w:t>
      </w:r>
      <w:r>
        <w:rPr>
          <w:bCs/>
          <w:b/>
        </w:rPr>
        <w:t xml:space="preserve">What not to log:</w:t>
      </w:r>
      <w:r>
        <w:t xml:space="preserve"> </w:t>
      </w:r>
      <w:r>
        <w:t xml:space="preserve">passwords, session tokens, full card numbers, secret values, or more personal data than necessary — the log becomes a sensitive data store itself.</w:t>
      </w:r>
    </w:p>
    <w:p>
      <w:pPr>
        <w:pStyle w:val="BodyText"/>
      </w:pPr>
      <w:r>
        <w:rPr>
          <w:bCs/>
          <w:b/>
        </w:rPr>
        <w:t xml:space="preserve">How tamper evidence works.</w:t>
      </w:r>
      <w:r>
        <w:t xml:space="preserve"> </w:t>
      </w:r>
      <w:r>
        <w:t xml:space="preserve">Each entry includes the hash of the previous entry, forming a</w:t>
      </w:r>
      <w:r>
        <w:t xml:space="preserve"> </w:t>
      </w:r>
      <w:r>
        <w:rPr>
          <w:bCs/>
          <w:b/>
        </w:rPr>
        <w:t xml:space="preserve">hash chain</w:t>
      </w:r>
      <w:r>
        <w:t xml:space="preserve">:</w:t>
      </w:r>
      <w:r>
        <w:t xml:space="preserve"> </w:t>
      </w:r>
      <m:oMath>
        <m:sSub>
          <m:e>
            <m:r>
              <m:t>h</m:t>
            </m:r>
          </m:e>
          <m:sub>
            <m:r>
              <m:t>i</m:t>
            </m:r>
          </m:sub>
        </m:sSub>
        <m:r>
          <m:rPr>
            <m:sty m:val="p"/>
          </m:rPr>
          <m:t>=</m:t>
        </m:r>
        <m:r>
          <m:t>H</m:t>
        </m:r>
        <m:d>
          <m:dPr>
            <m:begChr m:val="("/>
            <m:endChr m:val=")"/>
            <m:sepChr m:val=""/>
            <m:grow/>
          </m:dPr>
          <m:e>
            <m:sSub>
              <m:e>
                <m:r>
                  <m:t>h</m:t>
                </m:r>
              </m:e>
              <m:sub>
                <m:r>
                  <m:t>i</m:t>
                </m:r>
                <m:r>
                  <m:rPr>
                    <m:sty m:val="p"/>
                  </m:rPr>
                  <m:t>−</m:t>
                </m:r>
                <m:r>
                  <m:t>1</m:t>
                </m:r>
              </m:sub>
            </m:sSub>
            <m:r>
              <m:t> </m:t>
            </m:r>
            <m:r>
              <m:rPr>
                <m:sty m:val="p"/>
              </m:rPr>
              <m:t>∥</m:t>
            </m:r>
            <m:r>
              <m:t> </m:t>
            </m:r>
            <m:sSub>
              <m:e>
                <m:r>
                  <m:t>e</m:t>
                </m:r>
              </m:e>
              <m:sub>
                <m:r>
                  <m:t>i</m:t>
                </m:r>
              </m:sub>
            </m:sSub>
          </m:e>
        </m:d>
      </m:oMath>
      <w:r>
        <w:t xml:space="preserve">. Changing any past entry changes its hash and breaks every link after it. A chain alone is not enough — whoever can write the log can recompute the whole chain — so the latest hash (the</w:t>
      </w:r>
      <w:r>
        <w:t xml:space="preserve"> </w:t>
      </w:r>
      <w:r>
        <w:rPr>
          <w:bCs/>
          <w:b/>
        </w:rPr>
        <w:t xml:space="preserve">head</w:t>
      </w:r>
      <w:r>
        <w:t xml:space="preserve">) is periodically</w:t>
      </w:r>
      <w:r>
        <w:t xml:space="preserve"> </w:t>
      </w:r>
      <w:r>
        <w:rPr>
          <w:bCs/>
          <w:b/>
        </w:rPr>
        <w:t xml:space="preserve">anchored</w:t>
      </w:r>
      <w:r>
        <w:t xml:space="preserve"> </w:t>
      </w:r>
      <w:r>
        <w:t xml:space="preserve">somewhere the writer cannot alter: signed by a key in a KMS, written to a separate account’s write-once (WORM) storage, or published to an external transparency log. Schneier and Kelsey described keyed hash-chain audit logs in 1999; Crosby and Wallach later showed how Merkle-tree structures make such logs efficiently verifiable — the same idea behind Certificate Transparency (§10.5) [Schneier &amp; Kelsey 1999; Crosby &amp; Wallach 2009].</w:t>
      </w:r>
    </w:p>
    <w:p>
      <w:pPr>
        <w:pStyle w:val="BodyText"/>
      </w:pPr>
      <w:r>
        <w:rPr>
          <w:bCs/>
          <w:b/>
        </w:rPr>
        <w:t xml:space="preserve">Figure 10.10 — Tamper-evident audit logging pipeline.</w:t>
      </w:r>
    </w:p>
    <w:p>
      <w:pPr>
        <w:pStyle w:val="BodyText"/>
      </w:pPr>
      <w:r>
        <w:drawing>
          <wp:inline>
            <wp:extent cx="5334000" cy="1428122"/>
            <wp:effectExtent b="0" l="0" r="0" t="0"/>
            <wp:docPr descr="" title="" id="1170" name="Picture"/>
            <a:graphic>
              <a:graphicData uri="http://schemas.openxmlformats.org/drawingml/2006/picture">
                <pic:pic>
                  <pic:nvPicPr>
                    <pic:cNvPr descr="/home/user/System-Design/build/.cache/diagrams/3443839cc4ed.png" id="1171" name="Picture"/>
                    <pic:cNvPicPr>
                      <a:picLocks noChangeArrowheads="1" noChangeAspect="1"/>
                    </pic:cNvPicPr>
                  </pic:nvPicPr>
                  <pic:blipFill>
                    <a:blip r:embed="rId1169"/>
                    <a:stretch>
                      <a:fillRect/>
                    </a:stretch>
                  </pic:blipFill>
                  <pic:spPr bwMode="auto">
                    <a:xfrm>
                      <a:off x="0" y="0"/>
                      <a:ext cx="5334000" cy="1428122"/>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Services emit events asynchronously to a stream (dotted arrows), so logging never blocks user requests — at the cost that events can be delayed; the stream must be durable so events are not lost. A single writer appends each event with the previous entry’s hash. Every hour it asks the KMS to sign the current head (the signing key is usable only by the writer’s role and never leaves the KMS) and stores signed heads and log replicas in a WORM bucket in a separate account with object lock, so even production administrators cannot delete them before retention expires. An independent verifier recomputes the chain and compares it with the signed heads, alerting the security team on any mismatch. Failure points: the writer is a bottleneck and single point of ordering (partition the chain per service or per tenant to scale); clock skew complicates ordering (use the chain order, not timestamps, as the authority).</w:t>
      </w:r>
    </w:p>
    <w:p>
      <w:pPr>
        <w:pStyle w:val="SourceCode"/>
      </w:pPr>
      <w:r>
        <w:rPr>
          <w:rStyle w:val="CommentTok"/>
        </w:rPr>
        <w:t xml:space="preserve">"""Tamper-evident audit log: each entry commits to the previous one (hash chain)."""</w:t>
      </w:r>
      <w:r>
        <w:br/>
      </w:r>
      <w:r>
        <w:rPr>
          <w:rStyle w:val="ImportTok"/>
        </w:rPr>
        <w:t xml:space="preserve">import</w:t>
      </w:r>
      <w:r>
        <w:rPr>
          <w:rStyle w:val="NormalTok"/>
        </w:rPr>
        <w:t xml:space="preserve"> hashlib</w:t>
      </w:r>
      <w:r>
        <w:br/>
      </w:r>
      <w:r>
        <w:rPr>
          <w:rStyle w:val="ImportTok"/>
        </w:rPr>
        <w:t xml:space="preserve">import</w:t>
      </w:r>
      <w:r>
        <w:rPr>
          <w:rStyle w:val="NormalTok"/>
        </w:rPr>
        <w:t xml:space="preserve"> hmac</w:t>
      </w:r>
      <w:r>
        <w:br/>
      </w:r>
      <w:r>
        <w:rPr>
          <w:rStyle w:val="ImportTok"/>
        </w:rPr>
        <w:t xml:space="preserve">import</w:t>
      </w:r>
      <w:r>
        <w:rPr>
          <w:rStyle w:val="NormalTok"/>
        </w:rPr>
        <w:t xml:space="preserve"> json</w:t>
      </w:r>
      <w:r>
        <w:br/>
      </w:r>
      <w:r>
        <w:br/>
      </w:r>
      <w:r>
        <w:rPr>
          <w:rStyle w:val="NormalTok"/>
        </w:rPr>
        <w:t xml:space="preserve">GENESIS </w:t>
      </w:r>
      <w:r>
        <w:rPr>
          <w:rStyle w:val="OperatorTok"/>
        </w:rPr>
        <w:t xml:space="preserve">=</w:t>
      </w:r>
      <w:r>
        <w:rPr>
          <w:rStyle w:val="NormalTok"/>
        </w:rPr>
        <w:t xml:space="preserve"> </w:t>
      </w:r>
      <w:r>
        <w:rPr>
          <w:rStyle w:val="StringTok"/>
        </w:rPr>
        <w:t xml:space="preserve">"0"</w:t>
      </w:r>
      <w:r>
        <w:rPr>
          <w:rStyle w:val="NormalTok"/>
        </w:rPr>
        <w:t xml:space="preserve"> </w:t>
      </w:r>
      <w:r>
        <w:rPr>
          <w:rStyle w:val="OperatorTok"/>
        </w:rPr>
        <w:t xml:space="preserve">*</w:t>
      </w:r>
      <w:r>
        <w:rPr>
          <w:rStyle w:val="NormalTok"/>
        </w:rPr>
        <w:t xml:space="preserve"> </w:t>
      </w:r>
      <w:r>
        <w:rPr>
          <w:rStyle w:val="DecValTok"/>
        </w:rPr>
        <w:t xml:space="preserve">64</w:t>
      </w:r>
      <w:r>
        <w:br/>
      </w:r>
      <w:r>
        <w:br/>
      </w:r>
      <w:r>
        <w:rPr>
          <w:rStyle w:val="KeywordTok"/>
        </w:rPr>
        <w:t xml:space="preserve">def</w:t>
      </w:r>
      <w:r>
        <w:rPr>
          <w:rStyle w:val="NormalTok"/>
        </w:rPr>
        <w:t xml:space="preserve"> entry_hash(prev_hash: </w:t>
      </w:r>
      <w:r>
        <w:rPr>
          <w:rStyle w:val="BuiltInTok"/>
        </w:rPr>
        <w:t xml:space="preserve">str</w:t>
      </w:r>
      <w:r>
        <w:rPr>
          <w:rStyle w:val="NormalTok"/>
        </w:rPr>
        <w:t xml:space="preserve">, event: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payload </w:t>
      </w:r>
      <w:r>
        <w:rPr>
          <w:rStyle w:val="OperatorTok"/>
        </w:rPr>
        <w:t xml:space="preserve">=</w:t>
      </w:r>
      <w:r>
        <w:rPr>
          <w:rStyle w:val="NormalTok"/>
        </w:rPr>
        <w:t xml:space="preserve"> json.dumps(event, sort_keys</w:t>
      </w:r>
      <w:r>
        <w:rPr>
          <w:rStyle w:val="OperatorTok"/>
        </w:rPr>
        <w:t xml:space="preserve">=</w:t>
      </w:r>
      <w:r>
        <w:rPr>
          <w:rStyle w:val="VariableTok"/>
        </w:rPr>
        <w:t xml:space="preserve">True</w:t>
      </w:r>
      <w:r>
        <w:rPr>
          <w:rStyle w:val="NormalTok"/>
        </w:rPr>
        <w:t xml:space="preserve">, separators</w:t>
      </w:r>
      <w:r>
        <w:rPr>
          <w:rStyle w:val="OperatorTok"/>
        </w:rPr>
        <w:t xml:space="preserve">=</w:t>
      </w:r>
      <w:r>
        <w:rPr>
          <w:rStyle w:val="NormalTok"/>
        </w:rPr>
        <w:t xml:space="preserve">(</w:t>
      </w:r>
      <w:r>
        <w:rPr>
          <w:rStyle w:val="StringTok"/>
        </w:rPr>
        <w:t xml:space="preserve">","</w:t>
      </w:r>
      <w:r>
        <w:rPr>
          <w:rStyle w:val="NormalTok"/>
        </w:rPr>
        <w:t xml:space="preserve">, </w:t>
      </w:r>
      <w:r>
        <w:rPr>
          <w:rStyle w:val="StringTok"/>
        </w:rPr>
        <w:t xml:space="preserve">":"</w:t>
      </w:r>
      <w:r>
        <w:rPr>
          <w:rStyle w:val="NormalTok"/>
        </w:rPr>
        <w:t xml:space="preserve">)).encode()</w:t>
      </w:r>
      <w:r>
        <w:br/>
      </w:r>
      <w:r>
        <w:rPr>
          <w:rStyle w:val="NormalTok"/>
        </w:rPr>
        <w:t xml:space="preserve">    </w:t>
      </w:r>
      <w:r>
        <w:rPr>
          <w:rStyle w:val="ControlFlowTok"/>
        </w:rPr>
        <w:t xml:space="preserve">return</w:t>
      </w:r>
      <w:r>
        <w:rPr>
          <w:rStyle w:val="NormalTok"/>
        </w:rPr>
        <w:t xml:space="preserve"> hashlib.sha256(prev_hash.encode() </w:t>
      </w:r>
      <w:r>
        <w:rPr>
          <w:rStyle w:val="OperatorTok"/>
        </w:rPr>
        <w:t xml:space="preserve">+</w:t>
      </w:r>
      <w:r>
        <w:rPr>
          <w:rStyle w:val="NormalTok"/>
        </w:rPr>
        <w:t xml:space="preserve"> payload).hexdigest()</w:t>
      </w:r>
      <w:r>
        <w:br/>
      </w:r>
      <w:r>
        <w:br/>
      </w:r>
      <w:r>
        <w:rPr>
          <w:rStyle w:val="KeywordTok"/>
        </w:rPr>
        <w:t xml:space="preserve">class</w:t>
      </w:r>
      <w:r>
        <w:rPr>
          <w:rStyle w:val="NormalTok"/>
        </w:rPr>
        <w:t xml:space="preserve"> AuditLog:</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.entries: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append(</w:t>
      </w:r>
      <w:r>
        <w:rPr>
          <w:rStyle w:val="VariableTok"/>
        </w:rPr>
        <w:t xml:space="preserve">self</w:t>
      </w:r>
      <w:r>
        <w:rPr>
          <w:rStyle w:val="NormalTok"/>
        </w:rPr>
        <w:t xml:space="preserve">, event: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prev </w:t>
      </w:r>
      <w:r>
        <w:rPr>
          <w:rStyle w:val="OperatorTok"/>
        </w:rPr>
        <w:t xml:space="preserve">=</w:t>
      </w:r>
      <w:r>
        <w:rPr>
          <w:rStyle w:val="NormalTok"/>
        </w:rPr>
        <w:t xml:space="preserve"> </w:t>
      </w:r>
      <w:r>
        <w:rPr>
          <w:rStyle w:val="VariableTok"/>
        </w:rPr>
        <w:t xml:space="preserve">self</w:t>
      </w:r>
      <w:r>
        <w:rPr>
          <w:rStyle w:val="NormalTok"/>
        </w:rPr>
        <w:t xml:space="preserve">.entries[</w:t>
      </w:r>
      <w:r>
        <w:rPr>
          <w:rStyle w:val="OperatorTok"/>
        </w:rPr>
        <w:t xml:space="preserve">-</w:t>
      </w:r>
      <w:r>
        <w:rPr>
          <w:rStyle w:val="DecValTok"/>
        </w:rPr>
        <w:t xml:space="preserve">1</w:t>
      </w:r>
      <w:r>
        <w:rPr>
          <w:rStyle w:val="NormalTok"/>
        </w:rPr>
        <w:t xml:space="preserve">][</w:t>
      </w:r>
      <w:r>
        <w:rPr>
          <w:rStyle w:val="StringTok"/>
        </w:rPr>
        <w:t xml:space="preserve">"hash"</w:t>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.entries </w:t>
      </w:r>
      <w:r>
        <w:rPr>
          <w:rStyle w:val="ControlFlowTok"/>
        </w:rPr>
        <w:t xml:space="preserve">else</w:t>
      </w:r>
      <w:r>
        <w:rPr>
          <w:rStyle w:val="NormalTok"/>
        </w:rPr>
        <w:t xml:space="preserve"> GENESIS</w:t>
      </w:r>
      <w:r>
        <w:br/>
      </w:r>
      <w:r>
        <w:rPr>
          <w:rStyle w:val="NormalTok"/>
        </w:rPr>
        <w:t xml:space="preserve">        h </w:t>
      </w:r>
      <w:r>
        <w:rPr>
          <w:rStyle w:val="OperatorTok"/>
        </w:rPr>
        <w:t xml:space="preserve">=</w:t>
      </w:r>
      <w:r>
        <w:rPr>
          <w:rStyle w:val="NormalTok"/>
        </w:rPr>
        <w:t xml:space="preserve"> entry_hash(prev, event)</w:t>
      </w:r>
      <w:r>
        <w:br/>
      </w:r>
      <w:r>
        <w:rPr>
          <w:rStyle w:val="NormalTok"/>
        </w:rPr>
        <w:t xml:space="preserve">        </w:t>
      </w:r>
      <w:r>
        <w:rPr>
          <w:rStyle w:val="VariableTok"/>
        </w:rPr>
        <w:t xml:space="preserve">self</w:t>
      </w:r>
      <w:r>
        <w:rPr>
          <w:rStyle w:val="NormalTok"/>
        </w:rPr>
        <w:t xml:space="preserve">.entries.append({</w:t>
      </w:r>
      <w:r>
        <w:rPr>
          <w:rStyle w:val="StringTok"/>
        </w:rPr>
        <w:t xml:space="preserve">"event"</w:t>
      </w:r>
      <w:r>
        <w:rPr>
          <w:rStyle w:val="NormalTok"/>
        </w:rPr>
        <w:t xml:space="preserve">: event, </w:t>
      </w:r>
      <w:r>
        <w:rPr>
          <w:rStyle w:val="StringTok"/>
        </w:rPr>
        <w:t xml:space="preserve">"prev"</w:t>
      </w:r>
      <w:r>
        <w:rPr>
          <w:rStyle w:val="NormalTok"/>
        </w:rPr>
        <w:t xml:space="preserve">: prev, </w:t>
      </w:r>
      <w:r>
        <w:rPr>
          <w:rStyle w:val="StringTok"/>
        </w:rPr>
        <w:t xml:space="preserve">"hash"</w:t>
      </w:r>
      <w:r>
        <w:rPr>
          <w:rStyle w:val="NormalTok"/>
        </w:rPr>
        <w:t xml:space="preserve">: h})</w:t>
      </w:r>
      <w:r>
        <w:br/>
      </w:r>
      <w:r>
        <w:rPr>
          <w:rStyle w:val="NormalTok"/>
        </w:rPr>
        <w:t xml:space="preserve">        </w:t>
      </w:r>
      <w:r>
        <w:rPr>
          <w:rStyle w:val="ControlFlowTok"/>
        </w:rPr>
        <w:t xml:space="preserve">return</w:t>
      </w:r>
      <w:r>
        <w:rPr>
          <w:rStyle w:val="NormalTok"/>
        </w:rPr>
        <w:t xml:space="preserve"> h                       </w:t>
      </w:r>
      <w:r>
        <w:rPr>
          <w:rStyle w:val="CommentTok"/>
        </w:rPr>
        <w:t xml:space="preserve"># publish/anchor this "head" externally</w:t>
      </w:r>
      <w:r>
        <w:br/>
      </w:r>
      <w:r>
        <w:br/>
      </w:r>
      <w:r>
        <w:rPr>
          <w:rStyle w:val="NormalTok"/>
        </w:rPr>
        <w:t xml:space="preserve">    </w:t>
      </w:r>
      <w:r>
        <w:rPr>
          <w:rStyle w:val="KeywordTok"/>
        </w:rPr>
        <w:t xml:space="preserve">def</w:t>
      </w:r>
      <w:r>
        <w:rPr>
          <w:rStyle w:val="NormalTok"/>
        </w:rPr>
        <w:t xml:space="preserve"> verify(</w:t>
      </w:r>
      <w:r>
        <w:rPr>
          <w:rStyle w:val="VariableTok"/>
        </w:rPr>
        <w:t xml:space="preserve">self</w:t>
      </w:r>
      <w:r>
        <w:rPr>
          <w:rStyle w:val="NormalTok"/>
        </w:rPr>
        <w:t xml:space="preserve">, anchored_head: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"""Return index of first bad entry, or None if the chain is intact."""</w:t>
      </w:r>
      <w:r>
        <w:br/>
      </w:r>
      <w:r>
        <w:rPr>
          <w:rStyle w:val="NormalTok"/>
        </w:rPr>
        <w:t xml:space="preserve">        prev </w:t>
      </w:r>
      <w:r>
        <w:rPr>
          <w:rStyle w:val="OperatorTok"/>
        </w:rPr>
        <w:t xml:space="preserve">=</w:t>
      </w:r>
      <w:r>
        <w:rPr>
          <w:rStyle w:val="NormalTok"/>
        </w:rPr>
        <w:t xml:space="preserve"> GENESIS</w:t>
      </w:r>
      <w:r>
        <w:br/>
      </w:r>
      <w:r>
        <w:rPr>
          <w:rStyle w:val="NormalTok"/>
        </w:rPr>
        <w:t xml:space="preserve">        </w:t>
      </w:r>
      <w:r>
        <w:rPr>
          <w:rStyle w:val="ControlFlowTok"/>
        </w:rPr>
        <w:t xml:space="preserve">for</w:t>
      </w:r>
      <w:r>
        <w:rPr>
          <w:rStyle w:val="NormalTok"/>
        </w:rPr>
        <w:t xml:space="preserve"> i, e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VariableTok"/>
        </w:rPr>
        <w:t xml:space="preserve">self</w:t>
      </w:r>
      <w:r>
        <w:rPr>
          <w:rStyle w:val="NormalTok"/>
        </w:rPr>
        <w:t xml:space="preserve">.entries):</w:t>
      </w:r>
      <w:r>
        <w:br/>
      </w:r>
      <w:r>
        <w:rPr>
          <w:rStyle w:val="NormalTok"/>
        </w:rPr>
        <w:t xml:space="preserve">            </w:t>
      </w:r>
      <w:r>
        <w:rPr>
          <w:rStyle w:val="ControlFlowTok"/>
        </w:rPr>
        <w:t xml:space="preserve">if</w:t>
      </w:r>
      <w:r>
        <w:rPr>
          <w:rStyle w:val="NormalTok"/>
        </w:rPr>
        <w:t xml:space="preserve"> e[</w:t>
      </w:r>
      <w:r>
        <w:rPr>
          <w:rStyle w:val="StringTok"/>
        </w:rPr>
        <w:t xml:space="preserve">"prev"</w:t>
      </w:r>
      <w:r>
        <w:rPr>
          <w:rStyle w:val="NormalTok"/>
        </w:rPr>
        <w:t xml:space="preserve">] </w:t>
      </w:r>
      <w:r>
        <w:rPr>
          <w:rStyle w:val="OperatorTok"/>
        </w:rPr>
        <w:t xml:space="preserve">!=</w:t>
      </w:r>
      <w:r>
        <w:rPr>
          <w:rStyle w:val="NormalTok"/>
        </w:rPr>
        <w:t xml:space="preserve"> prev </w:t>
      </w:r>
      <w:r>
        <w:rPr>
          <w:rStyle w:val="KeywordTok"/>
        </w:rPr>
        <w:t xml:space="preserve">or</w:t>
      </w:r>
      <w:r>
        <w:rPr>
          <w:rStyle w:val="NormalTok"/>
        </w:rPr>
        <w:t xml:space="preserve"> </w:t>
      </w:r>
      <w:r>
        <w:rPr>
          <w:rStyle w:val="KeywordTok"/>
        </w:rPr>
        <w:t xml:space="preserve">not</w:t>
      </w:r>
      <w:r>
        <w:rPr>
          <w:rStyle w:val="NormalTok"/>
        </w:rPr>
        <w:t xml:space="preserve"> hmac.compare_digest(e[</w:t>
      </w:r>
      <w:r>
        <w:rPr>
          <w:rStyle w:val="StringTok"/>
        </w:rPr>
        <w:t xml:space="preserve">"hash"</w:t>
      </w:r>
      <w:r>
        <w:rPr>
          <w:rStyle w:val="NormalTok"/>
        </w:rPr>
        <w:t xml:space="preserve">], entry_hash(prev, e[</w:t>
      </w:r>
      <w:r>
        <w:rPr>
          <w:rStyle w:val="StringTok"/>
        </w:rPr>
        <w:t xml:space="preserve">"event"</w:t>
      </w:r>
      <w:r>
        <w:rPr>
          <w:rStyle w:val="NormalTok"/>
        </w:rPr>
        <w:t xml:space="preserve">])):</w:t>
      </w:r>
      <w:r>
        <w:br/>
      </w:r>
      <w:r>
        <w:rPr>
          <w:rStyle w:val="NormalTok"/>
        </w:rPr>
        <w:t xml:space="preserve">                </w:t>
      </w:r>
      <w:r>
        <w:rPr>
          <w:rStyle w:val="ControlFlowTok"/>
        </w:rPr>
        <w:t xml:space="preserve">return</w:t>
      </w:r>
      <w:r>
        <w:rPr>
          <w:rStyle w:val="NormalTok"/>
        </w:rPr>
        <w:t xml:space="preserve"> i</w:t>
      </w:r>
      <w:r>
        <w:br/>
      </w:r>
      <w:r>
        <w:rPr>
          <w:rStyle w:val="NormalTok"/>
        </w:rPr>
        <w:t xml:space="preserve">            prev </w:t>
      </w:r>
      <w:r>
        <w:rPr>
          <w:rStyle w:val="OperatorTok"/>
        </w:rPr>
        <w:t xml:space="preserve">=</w:t>
      </w:r>
      <w:r>
        <w:rPr>
          <w:rStyle w:val="NormalTok"/>
        </w:rPr>
        <w:t xml:space="preserve"> e[</w:t>
      </w:r>
      <w:r>
        <w:rPr>
          <w:rStyle w:val="StringTok"/>
        </w:rPr>
        <w:t xml:space="preserve">"hash"</w:t>
      </w:r>
      <w:r>
        <w:rPr>
          <w:rStyle w:val="NormalTok"/>
        </w:rPr>
        <w:t xml:space="preserve">]</w:t>
      </w:r>
      <w:r>
        <w:br/>
      </w:r>
      <w:r>
        <w:rPr>
          <w:rStyle w:val="NormalTok"/>
        </w:rPr>
        <w:t xml:space="preserve">        </w:t>
      </w:r>
      <w:r>
        <w:rPr>
          <w:rStyle w:val="ControlFlowTok"/>
        </w:rPr>
        <w:t xml:space="preserve">if</w:t>
      </w:r>
      <w:r>
        <w:rPr>
          <w:rStyle w:val="NormalTok"/>
        </w:rPr>
        <w:t xml:space="preserve"> anchored_head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prev </w:t>
      </w:r>
      <w:r>
        <w:rPr>
          <w:rStyle w:val="OperatorTok"/>
        </w:rPr>
        <w:t xml:space="preserve">!=</w:t>
      </w:r>
      <w:r>
        <w:rPr>
          <w:rStyle w:val="NormalTok"/>
        </w:rPr>
        <w:t xml:space="preserve"> anchored_head:</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.entries)   </w:t>
      </w:r>
      <w:r>
        <w:rPr>
          <w:rStyle w:val="CommentTok"/>
        </w:rPr>
        <w:t xml:space="preserve"># tail truncated or rewritten</w:t>
      </w:r>
      <w:r>
        <w:br/>
      </w:r>
      <w:r>
        <w:rPr>
          <w:rStyle w:val="NormalTok"/>
        </w:rPr>
        <w:t xml:space="preserve">        </w:t>
      </w:r>
      <w:r>
        <w:rPr>
          <w:rStyle w:val="ControlFlowTok"/>
        </w:rPr>
        <w:t xml:space="preserve">return</w:t>
      </w:r>
      <w:r>
        <w:rPr>
          <w:rStyle w:val="NormalTok"/>
        </w:rPr>
        <w:t xml:space="preserve"> </w:t>
      </w:r>
      <w:r>
        <w:rPr>
          <w:rStyle w:val="VariableTok"/>
        </w:rPr>
        <w:t xml:space="preserve">None</w:t>
      </w:r>
    </w:p>
    <w:p>
      <w:pPr>
        <w:pStyle w:val="FirstParagraph"/>
      </w:pPr>
      <w:r>
        <w:t xml:space="preserve">Tested: an intact chain verifies; editing the</w:t>
      </w:r>
      <w:r>
        <w:t xml:space="preserve"> </w:t>
      </w:r>
      <w:r>
        <w:rPr>
          <w:rStyle w:val="VerbatimChar"/>
        </w:rPr>
        <w:t xml:space="preserve">resource</w:t>
      </w:r>
      <w:r>
        <w:t xml:space="preserve"> </w:t>
      </w:r>
      <w:r>
        <w:t xml:space="preserve">field of entry 1 makes</w:t>
      </w:r>
      <w:r>
        <w:t xml:space="preserve"> </w:t>
      </w:r>
      <w:r>
        <w:rPr>
          <w:rStyle w:val="VerbatimChar"/>
        </w:rPr>
        <w:t xml:space="preserve">verify</w:t>
      </w:r>
      <w:r>
        <w:t xml:space="preserve"> </w:t>
      </w:r>
      <w:r>
        <w:t xml:space="preserve">return index 1; deleting the last entry is caught only when the verifier is given the previously anchored head.</w:t>
      </w:r>
    </w:p>
    <w:p>
      <w:pPr>
        <w:pStyle w:val="BodyText"/>
      </w:pPr>
      <w:r>
        <w:t xml:space="preserve">What to notice: canonical JSON (</w:t>
      </w:r>
      <w:r>
        <w:rPr>
          <w:rStyle w:val="VerbatimChar"/>
        </w:rPr>
        <w:t xml:space="preserve">sort_keys</w:t>
      </w:r>
      <w:r>
        <w:t xml:space="preserve">, fixed separators) makes the hash reproducible; truncation is detectable</w:t>
      </w:r>
      <w:r>
        <w:t xml:space="preserve"> </w:t>
      </w:r>
      <w:r>
        <w:rPr>
          <w:iCs/>
          <w:i/>
        </w:rPr>
        <w:t xml:space="preserve">only</w:t>
      </w:r>
      <w:r>
        <w:t xml:space="preserve"> </w:t>
      </w:r>
      <w:r>
        <w:t xml:space="preserve">because the verifier holds an anchored head from outside the log; and in production the anchor is signed and stored where the writer cannot overwrite it.</w:t>
      </w:r>
    </w:p>
    <w:p>
      <w:pPr>
        <w:pStyle w:val="CalloutIndustry"/>
      </w:pPr>
      <w:r>
        <w:rPr>
          <w:bCs/>
          <w:b/>
        </w:rPr>
        <w:t xml:space="preserve">INDUSTRY EXAMPLE</w:t>
      </w:r>
    </w:p>
    <w:p>
      <w:pPr>
        <w:pStyle w:val="CalloutIndustry"/>
      </w:pPr>
      <w:r>
        <w:rPr>
          <w:bCs/>
          <w:b/>
        </w:rPr>
        <w:t xml:space="preserve">AWS CloudTrail log file integrity validation.</w:t>
      </w:r>
      <w:r>
        <w:t xml:space="preserve"> </w:t>
      </w:r>
      <w:r>
        <w:t xml:space="preserve">CloudTrail delivers hourly digest files that contain the SHA-256 hashes of the log files delivered in that hour, are signed with an RSA key held by AWS, and include the signature of the previous digest — a signed hash chain. Customers verify with a CLI command and are advised to store logs in a separate account with S3 Object Lock.</w:t>
      </w:r>
      <w:r>
        <w:t xml:space="preserve"> </w:t>
      </w:r>
      <w:r>
        <w:rPr>
          <w:iCs/>
          <w:i/>
        </w:rPr>
        <w:t xml:space="preserve">Evidence: Primary</w:t>
      </w:r>
      <w:r>
        <w:t xml:space="preserve"> </w:t>
      </w:r>
      <w:r>
        <w:t xml:space="preserve">— [AWS Docs: CloudTrail log file integrity validation]</w:t>
      </w:r>
    </w:p>
    <w:bookmarkEnd w:id="1172"/>
    <w:bookmarkEnd w:id="1173"/>
    <w:bookmarkStart w:id="1174" w:name="a-security-checklist-for-every-design"/>
    <w:p>
      <w:pPr>
        <w:pStyle w:val="Heading2"/>
      </w:pPr>
      <w:r>
        <w:t xml:space="preserve">10.13 A security checklist for every design</w:t>
      </w:r>
    </w:p>
    <w:p>
      <w:pPr>
        <w:pStyle w:val="FirstParagraph"/>
      </w:pPr>
      <w:r>
        <w:t xml:space="preserve">Use this table in every design document and design review — and in interviews, where spending two minutes on it distinguishes senior candidates.</w:t>
      </w:r>
    </w:p>
    <w:p>
      <w:pPr>
        <w:pStyle w:val="BodyText"/>
      </w:pPr>
      <w:r>
        <w:rPr>
          <w:bCs/>
          <w:b/>
        </w:rPr>
        <w:t xml:space="preserve">Table 10.13 — Security checklist for every design.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Area</w:t>
            </w:r>
          </w:p>
        </w:tc>
        <w:tc>
          <w:tcPr/>
          <w:p>
            <w:pPr>
              <w:pStyle w:val="Compact"/>
              <w:jc w:val="left"/>
            </w:pPr>
            <w:r>
              <w:t xml:space="preserve">Question to answer in the design</w:t>
            </w:r>
          </w:p>
        </w:tc>
        <w:tc>
          <w:tcPr/>
          <w:p>
            <w:pPr>
              <w:pStyle w:val="Compact"/>
              <w:jc w:val="left"/>
            </w:pPr>
            <w:r>
              <w:t xml:space="preserve">Default good answer</w:t>
            </w:r>
          </w:p>
        </w:tc>
        <w:tc>
          <w:tcPr/>
          <w:p>
            <w:pPr>
              <w:pStyle w:val="Compact"/>
              <w:jc w:val="left"/>
            </w:pPr>
            <w:r>
              <w:t xml:space="preserve">Section</w:t>
            </w:r>
          </w:p>
        </w:tc>
      </w:tr>
      <w:tr>
        <w:tc>
          <w:tcPr/>
          <w:p>
            <w:pPr>
              <w:pStyle w:val="Compact"/>
              <w:jc w:val="left"/>
            </w:pPr>
            <w:r>
              <w:t xml:space="preserve">Threat model</w:t>
            </w:r>
          </w:p>
        </w:tc>
        <w:tc>
          <w:tcPr/>
          <w:p>
            <w:pPr>
              <w:pStyle w:val="Compact"/>
              <w:jc w:val="left"/>
            </w:pPr>
            <w:r>
              <w:t xml:space="preserve">What are the assets, adversaries and trust boundaries? Top 3 threats?</w:t>
            </w:r>
          </w:p>
        </w:tc>
        <w:tc>
          <w:tcPr/>
          <w:p>
            <w:pPr>
              <w:pStyle w:val="Compact"/>
              <w:jc w:val="left"/>
            </w:pPr>
            <w:r>
              <w:t xml:space="preserve">DFD with boundaries; STRIDE table; owners for mitigations</w:t>
            </w:r>
          </w:p>
        </w:tc>
        <w:tc>
          <w:tcPr/>
          <w:p>
            <w:pPr>
              <w:pStyle w:val="Compact"/>
              <w:jc w:val="left"/>
            </w:pPr>
            <w:r>
              <w:t xml:space="preserve">§10.3</w:t>
            </w:r>
          </w:p>
        </w:tc>
      </w:tr>
      <w:tr>
        <w:tc>
          <w:tcPr/>
          <w:p>
            <w:pPr>
              <w:pStyle w:val="Compact"/>
              <w:jc w:val="left"/>
            </w:pPr>
            <w:r>
              <w:t xml:space="preserve">Authentication</w:t>
            </w:r>
          </w:p>
        </w:tc>
        <w:tc>
          <w:tcPr/>
          <w:p>
            <w:pPr>
              <w:pStyle w:val="Compact"/>
              <w:jc w:val="left"/>
            </w:pPr>
            <w:r>
              <w:t xml:space="preserve">How is every user and every service identified?</w:t>
            </w:r>
          </w:p>
        </w:tc>
        <w:tc>
          <w:tcPr/>
          <w:p>
            <w:pPr>
              <w:pStyle w:val="Compact"/>
              <w:jc w:val="left"/>
            </w:pPr>
            <w:r>
              <w:t xml:space="preserve">Central IdP, MFA for humans; mTLS or signed tokens for services</w:t>
            </w:r>
          </w:p>
        </w:tc>
        <w:tc>
          <w:tcPr/>
          <w:p>
            <w:pPr>
              <w:pStyle w:val="Compact"/>
              <w:jc w:val="left"/>
            </w:pPr>
            <w:r>
              <w:t xml:space="preserve">§10.10, §8.11</w:t>
            </w:r>
          </w:p>
        </w:tc>
      </w:tr>
      <w:tr>
        <w:tc>
          <w:tcPr/>
          <w:p>
            <w:pPr>
              <w:pStyle w:val="Compact"/>
              <w:jc w:val="left"/>
            </w:pPr>
            <w:r>
              <w:t xml:space="preserve">Authorization</w:t>
            </w:r>
          </w:p>
        </w:tc>
        <w:tc>
          <w:tcPr/>
          <w:p>
            <w:pPr>
              <w:pStyle w:val="Compact"/>
              <w:jc w:val="left"/>
            </w:pPr>
            <w:r>
              <w:t xml:space="preserve">Where is each access decision made? Default?</w:t>
            </w:r>
          </w:p>
        </w:tc>
        <w:tc>
          <w:tcPr/>
          <w:p>
            <w:pPr>
              <w:pStyle w:val="Compact"/>
              <w:jc w:val="left"/>
            </w:pPr>
            <w:r>
              <w:t xml:space="preserve">Deny by default; central policy; object-level checks in data layer</w:t>
            </w:r>
          </w:p>
        </w:tc>
        <w:tc>
          <w:tcPr/>
          <w:p>
            <w:pPr>
              <w:pStyle w:val="Compact"/>
              <w:jc w:val="left"/>
            </w:pPr>
            <w:r>
              <w:t xml:space="preserve">§10.7.1</w:t>
            </w:r>
          </w:p>
        </w:tc>
      </w:tr>
      <w:tr>
        <w:tc>
          <w:tcPr/>
          <w:p>
            <w:pPr>
              <w:pStyle w:val="Compact"/>
              <w:jc w:val="left"/>
            </w:pPr>
            <w:r>
              <w:t xml:space="preserve">Input handling</w:t>
            </w:r>
          </w:p>
        </w:tc>
        <w:tc>
          <w:tcPr/>
          <w:p>
            <w:pPr>
              <w:pStyle w:val="Compact"/>
              <w:jc w:val="left"/>
            </w:pPr>
            <w:r>
              <w:t xml:space="preserve">What untrusted input crosses boundaries, and how is it validated?</w:t>
            </w:r>
          </w:p>
        </w:tc>
        <w:tc>
          <w:tcPr/>
          <w:p>
            <w:pPr>
              <w:pStyle w:val="Compact"/>
              <w:jc w:val="left"/>
            </w:pPr>
            <w:r>
              <w:t xml:space="preserve">Schema validation; parameterized queries; output encoding; SSRF egress proxy</w:t>
            </w:r>
          </w:p>
        </w:tc>
        <w:tc>
          <w:tcPr/>
          <w:p>
            <w:pPr>
              <w:pStyle w:val="Compact"/>
              <w:jc w:val="left"/>
            </w:pPr>
            <w:r>
              <w:t xml:space="preserve">§10.7</w:t>
            </w:r>
          </w:p>
        </w:tc>
      </w:tr>
      <w:tr>
        <w:tc>
          <w:tcPr/>
          <w:p>
            <w:pPr>
              <w:pStyle w:val="Compact"/>
              <w:jc w:val="left"/>
            </w:pPr>
            <w:r>
              <w:t xml:space="preserve">Data in transit</w:t>
            </w:r>
          </w:p>
        </w:tc>
        <w:tc>
          <w:tcPr/>
          <w:p>
            <w:pPr>
              <w:pStyle w:val="Compact"/>
              <w:jc w:val="left"/>
            </w:pPr>
            <w:r>
              <w:t xml:space="preserve">Is every hop encrypted, including internal ones?</w:t>
            </w:r>
          </w:p>
        </w:tc>
        <w:tc>
          <w:tcPr/>
          <w:p>
            <w:pPr>
              <w:pStyle w:val="Compact"/>
              <w:jc w:val="left"/>
            </w:pPr>
            <w:r>
              <w:t xml:space="preserve">TLS 1.3 everywhere; mTLS between services</w:t>
            </w:r>
          </w:p>
        </w:tc>
        <w:tc>
          <w:tcPr/>
          <w:p>
            <w:pPr>
              <w:pStyle w:val="Compact"/>
              <w:jc w:val="left"/>
            </w:pPr>
            <w:r>
              <w:t xml:space="preserve">§10.4.4, §10.10</w:t>
            </w:r>
          </w:p>
        </w:tc>
      </w:tr>
      <w:tr>
        <w:tc>
          <w:tcPr/>
          <w:p>
            <w:pPr>
              <w:pStyle w:val="Compact"/>
              <w:jc w:val="left"/>
            </w:pPr>
            <w:r>
              <w:t xml:space="preserve">Data at rest</w:t>
            </w:r>
          </w:p>
        </w:tc>
        <w:tc>
          <w:tcPr/>
          <w:p>
            <w:pPr>
              <w:pStyle w:val="Compact"/>
              <w:jc w:val="left"/>
            </w:pPr>
            <w:r>
              <w:t xml:space="preserve">What is sensitive? At which layer is it encrypted? Who can decrypt?</w:t>
            </w:r>
          </w:p>
        </w:tc>
        <w:tc>
          <w:tcPr/>
          <w:p>
            <w:pPr>
              <w:pStyle w:val="Compact"/>
              <w:jc w:val="left"/>
            </w:pPr>
            <w:r>
              <w:t xml:space="preserve">Volume encryption everywhere; KMS envelope/field encryption for sensitive fields</w:t>
            </w:r>
          </w:p>
        </w:tc>
        <w:tc>
          <w:tcPr/>
          <w:p>
            <w:pPr>
              <w:pStyle w:val="Compact"/>
              <w:jc w:val="left"/>
            </w:pPr>
            <w:r>
              <w:t xml:space="preserve">§10.9</w:t>
            </w:r>
          </w:p>
        </w:tc>
      </w:tr>
      <w:tr>
        <w:tc>
          <w:tcPr/>
          <w:p>
            <w:pPr>
              <w:pStyle w:val="Compact"/>
              <w:jc w:val="left"/>
            </w:pPr>
            <w:r>
              <w:t xml:space="preserve">Keys and secrets</w:t>
            </w:r>
          </w:p>
        </w:tc>
        <w:tc>
          <w:tcPr/>
          <w:p>
            <w:pPr>
              <w:pStyle w:val="Compact"/>
              <w:jc w:val="left"/>
            </w:pPr>
            <w:r>
              <w:t xml:space="preserve">Where do secrets live? Lifetime? Rotation?</w:t>
            </w:r>
          </w:p>
        </w:tc>
        <w:tc>
          <w:tcPr/>
          <w:p>
            <w:pPr>
              <w:pStyle w:val="Compact"/>
              <w:jc w:val="left"/>
            </w:pPr>
            <w:r>
              <w:t xml:space="preserve">Vault or KMS; short-lived dynamic credentials; no secrets in code or images</w:t>
            </w:r>
          </w:p>
        </w:tc>
        <w:tc>
          <w:tcPr/>
          <w:p>
            <w:pPr>
              <w:pStyle w:val="Compact"/>
              <w:jc w:val="left"/>
            </w:pPr>
            <w:r>
              <w:t xml:space="preserve">§10.8</w:t>
            </w:r>
          </w:p>
        </w:tc>
      </w:tr>
      <w:tr>
        <w:tc>
          <w:tcPr/>
          <w:p>
            <w:pPr>
              <w:pStyle w:val="Compact"/>
              <w:jc w:val="left"/>
            </w:pPr>
            <w:r>
              <w:t xml:space="preserve">Passwords</w:t>
            </w:r>
          </w:p>
        </w:tc>
        <w:tc>
          <w:tcPr/>
          <w:p>
            <w:pPr>
              <w:pStyle w:val="Compact"/>
              <w:jc w:val="left"/>
            </w:pPr>
            <w:r>
              <w:t xml:space="preserve">If you store them, how?</w:t>
            </w:r>
          </w:p>
        </w:tc>
        <w:tc>
          <w:tcPr/>
          <w:p>
            <w:pPr>
              <w:pStyle w:val="Compact"/>
              <w:jc w:val="left"/>
            </w:pPr>
            <w:r>
              <w:t xml:space="preserve">Argon2id (or scrypt/bcrypt), unique salt, optional pepper, breached-list check</w:t>
            </w:r>
          </w:p>
        </w:tc>
        <w:tc>
          <w:tcPr/>
          <w:p>
            <w:pPr>
              <w:pStyle w:val="Compact"/>
              <w:jc w:val="left"/>
            </w:pPr>
            <w:r>
              <w:t xml:space="preserve">§10.6</w:t>
            </w:r>
          </w:p>
        </w:tc>
      </w:tr>
      <w:tr>
        <w:tc>
          <w:tcPr/>
          <w:p>
            <w:pPr>
              <w:pStyle w:val="Compact"/>
              <w:jc w:val="left"/>
            </w:pPr>
            <w:r>
              <w:t xml:space="preserve">Least privilege</w:t>
            </w:r>
          </w:p>
        </w:tc>
        <w:tc>
          <w:tcPr/>
          <w:p>
            <w:pPr>
              <w:pStyle w:val="Compact"/>
              <w:jc w:val="left"/>
            </w:pPr>
            <w:r>
              <w:t xml:space="preserve">What is the minimum each component can do? Blast radius if compromised?</w:t>
            </w:r>
          </w:p>
        </w:tc>
        <w:tc>
          <w:tcPr/>
          <w:p>
            <w:pPr>
              <w:pStyle w:val="Compact"/>
              <w:jc w:val="left"/>
            </w:pPr>
            <w:r>
              <w:t xml:space="preserve">Per-service roles; segmented networks; no standing admin access</w:t>
            </w:r>
          </w:p>
        </w:tc>
        <w:tc>
          <w:tcPr/>
          <w:p>
            <w:pPr>
              <w:pStyle w:val="Compact"/>
              <w:jc w:val="left"/>
            </w:pPr>
            <w:r>
              <w:t xml:space="preserve">§10.10.3</w:t>
            </w:r>
          </w:p>
        </w:tc>
      </w:tr>
      <w:tr>
        <w:tc>
          <w:tcPr/>
          <w:p>
            <w:pPr>
              <w:pStyle w:val="Compact"/>
              <w:jc w:val="left"/>
            </w:pPr>
            <w:r>
              <w:t xml:space="preserve">Availability under attack</w:t>
            </w:r>
          </w:p>
        </w:tc>
        <w:tc>
          <w:tcPr/>
          <w:p>
            <w:pPr>
              <w:pStyle w:val="Compact"/>
              <w:jc w:val="left"/>
            </w:pPr>
            <w:r>
              <w:t xml:space="preserve">What happens under a 100× traffic flood?</w:t>
            </w:r>
          </w:p>
        </w:tc>
        <w:tc>
          <w:tcPr/>
          <w:p>
            <w:pPr>
              <w:pStyle w:val="Compact"/>
              <w:jc w:val="left"/>
            </w:pPr>
            <w:r>
              <w:t xml:space="preserve">CDN/anycast, rate limits, quotas, load shedding, hidden origin</w:t>
            </w:r>
          </w:p>
        </w:tc>
        <w:tc>
          <w:tcPr/>
          <w:p>
            <w:pPr>
              <w:pStyle w:val="Compact"/>
              <w:jc w:val="left"/>
            </w:pPr>
            <w:r>
              <w:t xml:space="preserve">§10.11</w:t>
            </w:r>
          </w:p>
        </w:tc>
      </w:tr>
      <w:tr>
        <w:tc>
          <w:tcPr/>
          <w:p>
            <w:pPr>
              <w:pStyle w:val="Compact"/>
              <w:jc w:val="left"/>
            </w:pPr>
            <w:r>
              <w:t xml:space="preserve">Logging and detection</w:t>
            </w:r>
          </w:p>
        </w:tc>
        <w:tc>
          <w:tcPr/>
          <w:p>
            <w:pPr>
              <w:pStyle w:val="Compact"/>
              <w:jc w:val="left"/>
            </w:pPr>
            <w:r>
              <w:t xml:space="preserve">Can you reconstruct who did what? Can logs be altered?</w:t>
            </w:r>
          </w:p>
        </w:tc>
        <w:tc>
          <w:tcPr/>
          <w:p>
            <w:pPr>
              <w:pStyle w:val="Compact"/>
              <w:jc w:val="left"/>
            </w:pPr>
            <w:r>
              <w:t xml:space="preserve">Structured audit log; tamper-evident; separate account; alerts</w:t>
            </w:r>
          </w:p>
        </w:tc>
        <w:tc>
          <w:tcPr/>
          <w:p>
            <w:pPr>
              <w:pStyle w:val="Compact"/>
              <w:jc w:val="left"/>
            </w:pPr>
            <w:r>
              <w:t xml:space="preserve">§10.12</w:t>
            </w:r>
          </w:p>
        </w:tc>
      </w:tr>
      <w:tr>
        <w:tc>
          <w:tcPr/>
          <w:p>
            <w:pPr>
              <w:pStyle w:val="Compact"/>
              <w:jc w:val="left"/>
            </w:pPr>
            <w:r>
              <w:t xml:space="preserve">Supply chain</w:t>
            </w:r>
          </w:p>
        </w:tc>
        <w:tc>
          <w:tcPr/>
          <w:p>
            <w:pPr>
              <w:pStyle w:val="Compact"/>
              <w:jc w:val="left"/>
            </w:pPr>
            <w:r>
              <w:t xml:space="preserve">How do dependencies and builds stay trustworthy?</w:t>
            </w:r>
          </w:p>
        </w:tc>
        <w:tc>
          <w:tcPr/>
          <w:p>
            <w:pPr>
              <w:pStyle w:val="Compact"/>
              <w:jc w:val="left"/>
            </w:pPr>
            <w:r>
              <w:t xml:space="preserve">Pinned dependencies, scanning, signed artifacts, protected CI</w:t>
            </w:r>
          </w:p>
        </w:tc>
        <w:tc>
          <w:tcPr/>
          <w:p>
            <w:pPr>
              <w:pStyle w:val="Compact"/>
              <w:jc w:val="left"/>
            </w:pPr>
            <w:r>
              <w:t xml:space="preserve">§10.7, Ch 50</w:t>
            </w:r>
          </w:p>
        </w:tc>
      </w:tr>
      <w:tr>
        <w:tc>
          <w:tcPr/>
          <w:p>
            <w:pPr>
              <w:pStyle w:val="Compact"/>
              <w:jc w:val="left"/>
            </w:pPr>
            <w:r>
              <w:t xml:space="preserve">Incident response</w:t>
            </w:r>
          </w:p>
        </w:tc>
        <w:tc>
          <w:tcPr/>
          <w:p>
            <w:pPr>
              <w:pStyle w:val="Compact"/>
              <w:jc w:val="left"/>
            </w:pPr>
            <w:r>
              <w:t xml:space="preserve">Who is paged, what is revoked, how do you rotate everything?</w:t>
            </w:r>
          </w:p>
        </w:tc>
        <w:tc>
          <w:tcPr/>
          <w:p>
            <w:pPr>
              <w:pStyle w:val="Compact"/>
              <w:jc w:val="left"/>
            </w:pPr>
            <w:r>
              <w:t xml:space="preserve">Runbooks; tested key rotation; backups that attackers cannot delete</w:t>
            </w:r>
          </w:p>
        </w:tc>
        <w:tc>
          <w:tcPr/>
          <w:p>
            <w:pPr>
              <w:pStyle w:val="Compact"/>
              <w:jc w:val="left"/>
            </w:pPr>
            <w:r>
              <w:t xml:space="preserve">§39.12</w:t>
            </w:r>
          </w:p>
        </w:tc>
      </w:tr>
      <w:tr>
        <w:tc>
          <w:tcPr/>
          <w:p>
            <w:pPr>
              <w:pStyle w:val="Compact"/>
              <w:jc w:val="left"/>
            </w:pPr>
            <w:r>
              <w:t xml:space="preserve">Privacy and retention</w:t>
            </w:r>
          </w:p>
        </w:tc>
        <w:tc>
          <w:tcPr/>
          <w:p>
            <w:pPr>
              <w:pStyle w:val="Compact"/>
              <w:jc w:val="left"/>
            </w:pPr>
            <w:r>
              <w:t xml:space="preserve">Do you need this data? For how long?</w:t>
            </w:r>
          </w:p>
        </w:tc>
        <w:tc>
          <w:tcPr/>
          <w:p>
            <w:pPr>
              <w:pStyle w:val="Compact"/>
              <w:jc w:val="left"/>
            </w:pPr>
            <w:r>
              <w:t xml:space="preserve">Collect minimum; retention limits; crypto-shredding for deletion</w:t>
            </w:r>
          </w:p>
        </w:tc>
        <w:tc>
          <w:tcPr/>
          <w:p>
            <w:pPr>
              <w:pStyle w:val="Compact"/>
              <w:jc w:val="left"/>
            </w:pPr>
            <w:r>
              <w:t xml:space="preserve">§10.9, Ch 50</w:t>
            </w:r>
          </w:p>
        </w:tc>
      </w:tr>
    </w:tbl>
    <w:bookmarkEnd w:id="1174"/>
    <w:bookmarkStart w:id="1175" w:name="summary-and-revision-notes-9"/>
    <w:p>
      <w:pPr>
        <w:pStyle w:val="Heading2"/>
      </w:pPr>
      <w:r>
        <w:t xml:space="preserve">10.14 Summary and revision notes</w:t>
      </w:r>
    </w:p>
    <w:p>
      <w:pPr>
        <w:pStyle w:val="CalloutSummary"/>
      </w:pPr>
      <w:r>
        <w:rPr>
          <w:bCs/>
          <w:b/>
        </w:rPr>
        <w:t xml:space="preserve">SUMMARY</w:t>
      </w:r>
    </w:p>
    <w:p>
      <w:pPr>
        <w:numPr>
          <w:ilvl w:val="0"/>
          <w:numId w:val="1350"/>
        </w:numPr>
        <w:pStyle w:val="Compact"/>
      </w:pPr>
      <w:r>
        <w:t xml:space="preserve">Security is a property of the architecture. Ask</w:t>
      </w:r>
      <w:r>
        <w:t xml:space="preserve"> </w:t>
      </w:r>
      <w:r>
        <w:t xml:space="preserve">“</w:t>
      </w:r>
      <w:r>
        <w:t xml:space="preserve">against whom, protecting what, for which property (CIA, authentication, authorization, non-repudiation)?</w:t>
      </w:r>
      <w:r>
        <w:t xml:space="preserve">”</w:t>
      </w:r>
    </w:p>
    <w:p>
      <w:pPr>
        <w:numPr>
          <w:ilvl w:val="0"/>
          <w:numId w:val="1350"/>
        </w:numPr>
        <w:pStyle w:val="Compact"/>
      </w:pPr>
      <w:r>
        <w:t xml:space="preserve">Threat modeling: draw a DFD, mark trust boundaries, walk STRIDE per element, rank with likelihood × impact, and turn mitigations into tracked requirements. Most mitigations are architectural.</w:t>
      </w:r>
    </w:p>
    <w:p>
      <w:pPr>
        <w:numPr>
          <w:ilvl w:val="0"/>
          <w:numId w:val="1350"/>
        </w:numPr>
        <w:pStyle w:val="Compact"/>
      </w:pPr>
      <w:r>
        <w:t xml:space="preserve">Pick primitives by goal: hash (fingerprint, no key), MAC (shared-key authenticity), AEAD such as AES-GCM (secrecy + integrity), asymmetric encryption/KEM (no pre-shared key), signatures (publicly verifiable, non-repudiation), ECDHE (key agreement with forward secrecy), CSPRNG (all randomness).</w:t>
      </w:r>
    </w:p>
    <w:p>
      <w:pPr>
        <w:numPr>
          <w:ilvl w:val="0"/>
          <w:numId w:val="1350"/>
        </w:numPr>
        <w:pStyle w:val="Compact"/>
      </w:pPr>
      <w:r>
        <w:t xml:space="preserve">Never reuse a GCM nonce with the same key; never use</w:t>
      </w:r>
      <w:r>
        <w:t xml:space="preserve"> </w:t>
      </w:r>
      <w:r>
        <w:rPr>
          <w:rStyle w:val="VerbatimChar"/>
        </w:rPr>
        <w:t xml:space="preserve">H(key‖msg)</w:t>
      </w:r>
      <w:r>
        <w:t xml:space="preserve"> </w:t>
      </w:r>
      <w:r>
        <w:t xml:space="preserve">as a MAC; never compare MACs with</w:t>
      </w:r>
      <w:r>
        <w:t xml:space="preserve"> </w:t>
      </w:r>
      <w:r>
        <w:rPr>
          <w:rStyle w:val="VerbatimChar"/>
        </w:rPr>
        <w:t xml:space="preserve">==</w:t>
      </w:r>
      <w:r>
        <w:t xml:space="preserve">; never use MD5/SHA-1 for security; use high-level libraries.</w:t>
      </w:r>
    </w:p>
    <w:p>
      <w:pPr>
        <w:numPr>
          <w:ilvl w:val="0"/>
          <w:numId w:val="1350"/>
        </w:numPr>
        <w:pStyle w:val="Compact"/>
      </w:pPr>
      <w:r>
        <w:t xml:space="preserve">PKI binds keys to names through CA signatures; Certificate Transparency makes mis-issuance detectable; short-lived, automatically rotated certificates beat revocation.</w:t>
      </w:r>
    </w:p>
    <w:p>
      <w:pPr>
        <w:numPr>
          <w:ilvl w:val="0"/>
          <w:numId w:val="1350"/>
        </w:numPr>
        <w:pStyle w:val="Compact"/>
      </w:pPr>
      <w:r>
        <w:t xml:space="preserve">Passwords: Argon2id (OWASP minimum m = 19 MiB, t = 2, p = 1), scrypt or bcrypt; unique salt; optional pepper in a KMS; store parameters; rehash on login; check breached lists; MFA. Expected cracking time</w:t>
      </w:r>
      <w:r>
        <w:t xml:space="preserve"> </w:t>
      </w:r>
      <m:oMath>
        <m:r>
          <m:t>T</m:t>
        </m:r>
        <m:r>
          <m:rPr>
            <m:sty m:val="p"/>
          </m:rPr>
          <m:t>=</m:t>
        </m:r>
        <m:r>
          <m:t>S</m:t>
        </m:r>
        <m:r>
          <m:rPr>
            <m:sty m:val="p"/>
          </m:rPr>
          <m:t>/</m:t>
        </m:r>
        <m:d>
          <m:dPr>
            <m:begChr m:val="("/>
            <m:endChr m:val=")"/>
            <m:sepChr m:val=""/>
            <m:grow/>
          </m:dPr>
          <m:e>
            <m:r>
              <m:t>2</m:t>
            </m:r>
            <m:r>
              <m:t>R</m:t>
            </m:r>
            <m:r>
              <m:t>G</m:t>
            </m:r>
          </m:e>
        </m:d>
      </m:oMath>
      <w:r>
        <w:t xml:space="preserve">.</w:t>
      </w:r>
    </w:p>
    <w:p>
      <w:pPr>
        <w:numPr>
          <w:ilvl w:val="0"/>
          <w:numId w:val="1350"/>
        </w:numPr>
        <w:pStyle w:val="Compact"/>
      </w:pPr>
      <w:r>
        <w:t xml:space="preserve">OWASP Top 10 categories are missing central controls: deny-by-default authorization, parameterized queries, egress proxies against SSRF, signed artifacts, audit logging.</w:t>
      </w:r>
    </w:p>
    <w:p>
      <w:pPr>
        <w:numPr>
          <w:ilvl w:val="0"/>
          <w:numId w:val="1350"/>
        </w:numPr>
        <w:pStyle w:val="Compact"/>
      </w:pPr>
      <w:r>
        <w:t xml:space="preserve">Secrets: vault, short-lived dynamic credentials, workload identity, two-version rotation, secret scanning. Misuse window shrinks from months to the TTL.</w:t>
      </w:r>
    </w:p>
    <w:p>
      <w:pPr>
        <w:numPr>
          <w:ilvl w:val="0"/>
          <w:numId w:val="1350"/>
        </w:numPr>
        <w:pStyle w:val="Compact"/>
      </w:pPr>
      <w:r>
        <w:t xml:space="preserve">Encrypt in transit everywhere (TLS 1.3, mTLS). At rest, the layer decides which attacker you stop. Envelope encryption: DEK encrypts data locally, KMS-held KEK wraps the DEK; cheap rotation, auditable decrypts, crypto-shredding.</w:t>
      </w:r>
    </w:p>
    <w:p>
      <w:pPr>
        <w:numPr>
          <w:ilvl w:val="0"/>
          <w:numId w:val="1350"/>
        </w:numPr>
        <w:pStyle w:val="Compact"/>
      </w:pPr>
      <w:r>
        <w:t xml:space="preserve">Zero trust: no trust from network location; per-request authentication and authorization of user, device and workload (BeyondCorp, NIST SP 800-207), plus least privilege and segmentation for defense in depth.</w:t>
      </w:r>
    </w:p>
    <w:p>
      <w:pPr>
        <w:numPr>
          <w:ilvl w:val="0"/>
          <w:numId w:val="1350"/>
        </w:numPr>
        <w:pStyle w:val="Compact"/>
      </w:pPr>
      <w:r>
        <w:t xml:space="preserve">DDoS: volumetric (bandwidth, absorb upstream), protocol (state, SYN cookies/stateless edge), application (requests, rate limits, caching, shedding). Amplification</w:t>
      </w:r>
      <w:r>
        <w:t xml:space="preserve"> </w:t>
      </w:r>
      <m:oMath>
        <m:sSub>
          <m:e>
            <m:r>
              <m:t>B</m:t>
            </m:r>
          </m:e>
          <m:sub>
            <m:r>
              <m:rPr>
                <m:nor/>
                <m:sty m:val="p"/>
              </m:rPr>
              <m:t>victim</m:t>
            </m:r>
          </m:sub>
        </m:sSub>
        <m:r>
          <m:rPr>
            <m:sty m:val="p"/>
          </m:rPr>
          <m:t>=</m:t>
        </m:r>
        <m:sSub>
          <m:e>
            <m:r>
              <m:t>B</m:t>
            </m:r>
          </m:e>
          <m:sub>
            <m:r>
              <m:rPr>
                <m:nor/>
                <m:sty m:val="p"/>
              </m:rPr>
              <m:t>attacker</m:t>
            </m:r>
          </m:sub>
        </m:sSub>
        <m:r>
          <m:rPr>
            <m:sty m:val="p"/>
          </m:rPr>
          <m:t>×</m:t>
        </m:r>
        <m:r>
          <m:t>A</m:t>
        </m:r>
      </m:oMath>
      <w:r>
        <w:t xml:space="preserve">.</w:t>
      </w:r>
    </w:p>
    <w:p>
      <w:pPr>
        <w:numPr>
          <w:ilvl w:val="0"/>
          <w:numId w:val="1350"/>
        </w:numPr>
        <w:pStyle w:val="Compact"/>
      </w:pPr>
      <w:r>
        <w:t xml:space="preserve">Audit logs: who/what/which/when/where/result, no secrets; hash-chained, anchored heads signed and stored in WORM storage outside the writer’s control.</w:t>
      </w:r>
    </w:p>
    <w:bookmarkEnd w:id="1175"/>
    <w:bookmarkStart w:id="1176" w:name="knowledge-checkpoint-9"/>
    <w:p>
      <w:pPr>
        <w:pStyle w:val="Heading2"/>
      </w:pPr>
      <w:r>
        <w:t xml:space="preserve">10.15 Knowledge checkpoint</w:t>
      </w:r>
    </w:p>
    <w:p>
      <w:pPr>
        <w:numPr>
          <w:ilvl w:val="0"/>
          <w:numId w:val="1351"/>
        </w:numPr>
        <w:pStyle w:val="Compact"/>
      </w:pPr>
      <w:r>
        <w:t xml:space="preserve">Which STRIDE category does each of the following violate: (a) a forged webhook, (b) an admin denying a deletion, (c) reading another user’s invoice by changing an ID?</w:t>
      </w:r>
    </w:p>
    <w:p>
      <w:pPr>
        <w:numPr>
          <w:ilvl w:val="0"/>
          <w:numId w:val="1351"/>
        </w:numPr>
        <w:pStyle w:val="Compact"/>
      </w:pPr>
      <w:r>
        <w:t xml:space="preserve">Why is</w:t>
      </w:r>
      <w:r>
        <w:t xml:space="preserve"> </w:t>
      </w:r>
      <m:oMath>
        <m:r>
          <m:rPr>
            <m:nor/>
            <m:sty m:val="p"/>
          </m:rPr>
          <m:t>SHA-256</m:t>
        </m:r>
        <m:d>
          <m:dPr>
            <m:begChr m:val="("/>
            <m:endChr m:val=")"/>
            <m:sepChr m:val=""/>
            <m:grow/>
          </m:dPr>
          <m:e>
            <m:r>
              <m:rPr>
                <m:nor/>
                <m:sty m:val="p"/>
              </m:rPr>
              <m:t>key</m:t>
            </m:r>
            <m:r>
              <m:t> </m:t>
            </m:r>
            <m:r>
              <m:rPr>
                <m:sty m:val="p"/>
              </m:rPr>
              <m:t>∥</m:t>
            </m:r>
            <m:r>
              <m:t> </m:t>
            </m:r>
            <m:r>
              <m:rPr>
                <m:nor/>
                <m:sty m:val="p"/>
              </m:rPr>
              <m:t>message</m:t>
            </m:r>
          </m:e>
        </m:d>
      </m:oMath>
      <w:r>
        <w:t xml:space="preserve"> </w:t>
      </w:r>
      <w:r>
        <w:t xml:space="preserve">not a safe MAC, and what does HMAC change?</w:t>
      </w:r>
    </w:p>
    <w:p>
      <w:pPr>
        <w:numPr>
          <w:ilvl w:val="0"/>
          <w:numId w:val="1351"/>
        </w:numPr>
        <w:pStyle w:val="Compact"/>
      </w:pPr>
      <w:r>
        <w:t xml:space="preserve">What happens if AES-GCM encrypts two messages with the same key and nonce?</w:t>
      </w:r>
    </w:p>
    <w:p>
      <w:pPr>
        <w:numPr>
          <w:ilvl w:val="0"/>
          <w:numId w:val="1351"/>
        </w:numPr>
        <w:pStyle w:val="Compact"/>
      </w:pPr>
      <w:r>
        <w:t xml:space="preserve">What is the purpose of associated data (AAD) in an AEAD scheme? Give a database example.</w:t>
      </w:r>
    </w:p>
    <w:p>
      <w:pPr>
        <w:numPr>
          <w:ilvl w:val="0"/>
          <w:numId w:val="1351"/>
        </w:numPr>
        <w:pStyle w:val="Compact"/>
      </w:pPr>
      <w:r>
        <w:t xml:space="preserve">Why does TLS 1.3 use ephemeral Diffie–Hellman rather than RSA key transport?</w:t>
      </w:r>
    </w:p>
    <w:p>
      <w:pPr>
        <w:numPr>
          <w:ilvl w:val="0"/>
          <w:numId w:val="1351"/>
        </w:numPr>
        <w:pStyle w:val="Compact"/>
      </w:pPr>
      <w:r>
        <w:t xml:space="preserve">A MAC and a signature both detect tampering. Which one provides non-repudiation, and why?</w:t>
      </w:r>
    </w:p>
    <w:p>
      <w:pPr>
        <w:numPr>
          <w:ilvl w:val="0"/>
          <w:numId w:val="1351"/>
        </w:numPr>
        <w:pStyle w:val="Compact"/>
      </w:pPr>
      <w:r>
        <w:t xml:space="preserve">What problem does Certificate Transparency solve that the CA chain alone does not?</w:t>
      </w:r>
    </w:p>
    <w:p>
      <w:pPr>
        <w:numPr>
          <w:ilvl w:val="0"/>
          <w:numId w:val="1351"/>
        </w:numPr>
        <w:pStyle w:val="Compact"/>
      </w:pPr>
      <w:r>
        <w:t xml:space="preserve">Name three reasons salts are required in password storage.</w:t>
      </w:r>
    </w:p>
    <w:p>
      <w:pPr>
        <w:numPr>
          <w:ilvl w:val="0"/>
          <w:numId w:val="1351"/>
        </w:numPr>
        <w:pStyle w:val="Compact"/>
      </w:pPr>
      <w:r>
        <w:t xml:space="preserve">Compute the entropy of a 10-character password chosen uniformly from 62 alphanumeric characters.</w:t>
      </w:r>
    </w:p>
    <w:p>
      <w:pPr>
        <w:numPr>
          <w:ilvl w:val="0"/>
          <w:numId w:val="1351"/>
        </w:numPr>
        <w:pStyle w:val="Compact"/>
      </w:pPr>
      <w:r>
        <w:t xml:space="preserve">Give two architectural controls for SSRF beyond URL validation.</w:t>
      </w:r>
    </w:p>
    <w:p>
      <w:pPr>
        <w:numPr>
          <w:ilvl w:val="0"/>
          <w:numId w:val="1351"/>
        </w:numPr>
        <w:pStyle w:val="Compact"/>
      </w:pPr>
      <w:r>
        <w:t xml:space="preserve">Classify: SYN flood, DNS amplification, HTTP flood on</w:t>
      </w:r>
      <w:r>
        <w:t xml:space="preserve"> </w:t>
      </w:r>
      <w:r>
        <w:rPr>
          <w:rStyle w:val="VerbatimChar"/>
        </w:rPr>
        <w:t xml:space="preserve">/search</w:t>
      </w:r>
      <w:r>
        <w:t xml:space="preserve">.</w:t>
      </w:r>
    </w:p>
    <w:p>
      <w:pPr>
        <w:numPr>
          <w:ilvl w:val="0"/>
          <w:numId w:val="1351"/>
        </w:numPr>
        <w:pStyle w:val="Compact"/>
      </w:pPr>
      <w:r>
        <w:t xml:space="preserve">Why must the head of a hash-chained audit log be anchored outside the log?</w:t>
      </w:r>
    </w:p>
    <w:p>
      <w:pPr>
        <w:pStyle w:val="FirstParagraph"/>
      </w:pPr>
      <w:r>
        <w:t xml:space="preserve">Answers</w:t>
      </w:r>
    </w:p>
    <w:p>
      <w:pPr>
        <w:numPr>
          <w:ilvl w:val="0"/>
          <w:numId w:val="1352"/>
        </w:numPr>
        <w:pStyle w:val="Compact"/>
      </w:pPr>
    </w:p>
    <w:p>
      <w:pPr>
        <w:numPr>
          <w:ilvl w:val="1"/>
          <w:numId w:val="1353"/>
        </w:numPr>
        <w:pStyle w:val="Compact"/>
      </w:pPr>
      <w:r>
        <w:t xml:space="preserve">Spoofing; (b) Repudiation; (c) Elevation of privilege (an authorization failure — an IDOR; it also causes information disclosure).</w:t>
      </w:r>
    </w:p>
    <w:p>
      <w:pPr>
        <w:numPr>
          <w:ilvl w:val="0"/>
          <w:numId w:val="1352"/>
        </w:numPr>
        <w:pStyle w:val="Compact"/>
      </w:pPr>
      <w:r>
        <w:t xml:space="preserve">SHA-256 is vulnerable to length extension: from the tag of</w:t>
      </w:r>
      <w:r>
        <w:t xml:space="preserve"> </w:t>
      </w:r>
      <w:r>
        <w:rPr>
          <w:rStyle w:val="VerbatimChar"/>
        </w:rPr>
        <w:t xml:space="preserve">key‖m</w:t>
      </w:r>
      <w:r>
        <w:t xml:space="preserve">, an attacker can compute a valid tag for</w:t>
      </w:r>
      <w:r>
        <w:t xml:space="preserve"> </w:t>
      </w:r>
      <w:r>
        <w:rPr>
          <w:rStyle w:val="VerbatimChar"/>
        </w:rPr>
        <w:t xml:space="preserve">key‖m‖padding‖x</w:t>
      </w:r>
      <w:r>
        <w:t xml:space="preserve"> </w:t>
      </w:r>
      <w:r>
        <w:t xml:space="preserve">without the key. HMAC’s nested two-pass construction with inner and outer padded keys prevents this.</w:t>
      </w:r>
    </w:p>
    <w:p>
      <w:pPr>
        <w:numPr>
          <w:ilvl w:val="0"/>
          <w:numId w:val="1352"/>
        </w:numPr>
        <w:pStyle w:val="Compact"/>
      </w:pPr>
      <w:r>
        <w:t xml:space="preserve">The same keystream is used twice, so XORing the ciphertexts reveals the XOR of the plaintexts, and the authentication key can be recovered, enabling forgeries. Confidentiality and integrity both fail.</w:t>
      </w:r>
    </w:p>
    <w:p>
      <w:pPr>
        <w:numPr>
          <w:ilvl w:val="0"/>
          <w:numId w:val="1352"/>
        </w:numPr>
        <w:pStyle w:val="Compact"/>
      </w:pPr>
      <w:r>
        <w:t xml:space="preserve">AAD is authenticated but not encrypted; it binds ciphertext to its context. Putting</w:t>
      </w:r>
      <w:r>
        <w:t xml:space="preserve"> </w:t>
      </w:r>
      <w:r>
        <w:rPr>
          <w:rStyle w:val="VerbatimChar"/>
        </w:rPr>
        <w:t xml:space="preserve">table=users;id=42</w:t>
      </w:r>
      <w:r>
        <w:t xml:space="preserve"> </w:t>
      </w:r>
      <w:r>
        <w:t xml:space="preserve">in the AAD prevents an attacker with DB write access from moving that ciphertext to row 43.</w:t>
      </w:r>
    </w:p>
    <w:p>
      <w:pPr>
        <w:numPr>
          <w:ilvl w:val="0"/>
          <w:numId w:val="1352"/>
        </w:numPr>
        <w:pStyle w:val="Compact"/>
      </w:pPr>
      <w:r>
        <w:t xml:space="preserve">Forward secrecy: ephemeral keys are discarded after each session, so stealing the server’s long-term key later does not decrypt recorded traffic. The long-term key only signs.</w:t>
      </w:r>
    </w:p>
    <w:p>
      <w:pPr>
        <w:numPr>
          <w:ilvl w:val="0"/>
          <w:numId w:val="1352"/>
        </w:numPr>
        <w:pStyle w:val="Compact"/>
      </w:pPr>
      <w:r>
        <w:t xml:space="preserve">The signature. A MAC key is shared by both parties, so either could have produced the tag; only the private-key holder can produce a signature, and anyone can verify it.</w:t>
      </w:r>
    </w:p>
    <w:p>
      <w:pPr>
        <w:numPr>
          <w:ilvl w:val="0"/>
          <w:numId w:val="1352"/>
        </w:numPr>
        <w:pStyle w:val="Compact"/>
      </w:pPr>
      <w:r>
        <w:t xml:space="preserve">It detects a trusted CA issuing a certificate for your domain to someone else (compromise or error). The chain only shows</w:t>
      </w:r>
      <w:r>
        <w:t xml:space="preserve"> </w:t>
      </w:r>
      <w:r>
        <w:rPr>
          <w:iCs/>
          <w:i/>
        </w:rPr>
        <w:t xml:space="preserve">some</w:t>
      </w:r>
      <w:r>
        <w:t xml:space="preserve"> </w:t>
      </w:r>
      <w:r>
        <w:t xml:space="preserve">trusted CA signed it; CT logs make every issuance public so domain owners can notice.</w:t>
      </w:r>
    </w:p>
    <w:p>
      <w:pPr>
        <w:numPr>
          <w:ilvl w:val="0"/>
          <w:numId w:val="1352"/>
        </w:numPr>
        <w:pStyle w:val="Compact"/>
      </w:pPr>
      <w:r>
        <w:t xml:space="preserve">Identical passwords no longer have identical hashes; precomputed (rainbow) tables become useless; attackers must attack each user separately, multiplying cost by the number of users.</w:t>
      </w:r>
    </w:p>
    <w:p>
      <w:pPr>
        <w:numPr>
          <w:ilvl w:val="0"/>
          <w:numId w:val="1352"/>
        </w:numPr>
        <w:pStyle w:val="Compact"/>
      </w:pPr>
      <m:oMath>
        <m:r>
          <m:t>H</m:t>
        </m:r>
        <m:r>
          <m:rPr>
            <m:sty m:val="p"/>
          </m:rPr>
          <m:t>=</m:t>
        </m:r>
        <m:r>
          <m:t>10</m:t>
        </m:r>
        <m:r>
          <m:rPr>
            <m:sty m:val="p"/>
          </m:rPr>
          <m:t>×</m:t>
        </m:r>
        <m:sSub>
          <m:e>
            <m:r>
              <m:rPr>
                <m:sty m:val="p"/>
              </m:rPr>
              <m:t>log</m:t>
            </m:r>
          </m:e>
          <m:sub>
            <m:r>
              <m:t>2</m:t>
            </m:r>
          </m:sub>
        </m:sSub>
        <m:r>
          <m:t>62</m:t>
        </m:r>
        <m:r>
          <m:rPr>
            <m:sty m:val="p"/>
          </m:rPr>
          <m:t>≈</m:t>
        </m:r>
        <m:r>
          <m:t>10</m:t>
        </m:r>
        <m:r>
          <m:rPr>
            <m:sty m:val="p"/>
          </m:rPr>
          <m:t>×</m:t>
        </m:r>
        <m:r>
          <m:t>5.954</m:t>
        </m:r>
        <m:r>
          <m:rPr>
            <m:sty m:val="p"/>
          </m:rPr>
          <m:t>=</m:t>
        </m:r>
        <m:r>
          <m:t>59.5</m:t>
        </m:r>
      </m:oMath>
      <w:r>
        <w:t xml:space="preserve"> </w:t>
      </w:r>
      <w:r>
        <w:t xml:space="preserve">bits.</w:t>
      </w:r>
    </w:p>
    <w:p>
      <w:pPr>
        <w:numPr>
          <w:ilvl w:val="0"/>
          <w:numId w:val="1352"/>
        </w:numPr>
        <w:pStyle w:val="Compact"/>
      </w:pPr>
      <w:r>
        <w:t xml:space="preserve">A dedicated egress proxy in a network segment without routes to internal ranges; blocking or token-protecting the metadata service (IMDSv2); least-privilege instance roles; pinning resolved IPs and disabling redirects.</w:t>
      </w:r>
    </w:p>
    <w:p>
      <w:pPr>
        <w:numPr>
          <w:ilvl w:val="0"/>
          <w:numId w:val="1352"/>
        </w:numPr>
        <w:pStyle w:val="Compact"/>
      </w:pPr>
      <w:r>
        <w:t xml:space="preserve">SYN flood: protocol (state exhaustion). DNS amplification: volumetric. HTTP flood on</w:t>
      </w:r>
      <w:r>
        <w:t xml:space="preserve"> </w:t>
      </w:r>
      <w:r>
        <w:rPr>
          <w:rStyle w:val="VerbatimChar"/>
        </w:rPr>
        <w:t xml:space="preserve">/search</w:t>
      </w:r>
      <w:r>
        <w:t xml:space="preserve">: application layer.</w:t>
      </w:r>
    </w:p>
    <w:p>
      <w:pPr>
        <w:numPr>
          <w:ilvl w:val="0"/>
          <w:numId w:val="1352"/>
        </w:numPr>
        <w:pStyle w:val="Compact"/>
      </w:pPr>
      <w:r>
        <w:t xml:space="preserve">Anyone who can write the log can recompute the entire chain after editing it. A head signed by a separate key and stored in WORM storage the writer cannot modify fixes a point the rewritten chain will not match.</w:t>
      </w:r>
    </w:p>
    <w:bookmarkEnd w:id="1176"/>
    <w:bookmarkStart w:id="1180" w:name="interview-questions-9"/>
    <w:p>
      <w:pPr>
        <w:pStyle w:val="Heading2"/>
      </w:pPr>
      <w:r>
        <w:t xml:space="preserve">10.16 Interview questions</w:t>
      </w:r>
    </w:p>
    <w:bookmarkStart w:id="1177" w:name="basic-9"/>
    <w:p>
      <w:pPr>
        <w:pStyle w:val="Heading3"/>
      </w:pPr>
      <w:r>
        <w:t xml:space="preserve">Basic</w:t>
      </w:r>
    </w:p>
    <w:p>
      <w:pPr>
        <w:pStyle w:val="FirstParagraph"/>
      </w:pPr>
      <w:r>
        <w:rPr>
          <w:bCs/>
          <w:b/>
        </w:rPr>
        <w:t xml:space="preserve">Q1. How should a web application store user passwords?</w:t>
      </w:r>
      <w:r>
        <w:t xml:space="preserve"> </w:t>
      </w:r>
      <w:r>
        <w:rPr>
          <w:bCs/>
          <w:b/>
        </w:rPr>
        <w:t xml:space="preserve">Answer.</w:t>
      </w:r>
      <w:r>
        <w:t xml:space="preserve"> </w:t>
      </w:r>
      <w:r>
        <w:t xml:space="preserve">Never in plaintext or reversibly encrypted. Hash each password with a slow, memory-hard password-hashing function — Argon2id by default (at least m = 19 MiB, t = 2, p = 1 per OWASP), otherwise scrypt or bcrypt — with a unique random salt of at least 16 bytes. Store algorithm and parameters with the hash so you can raise cost later and rehash on next login. Optionally apply a pepper (a secret key in a KMS/HSM) so a database-only leak is not attackable. Compare in constant time, rate-limit login, check new passwords against breached lists, and offer MFA. Size the login fleet for the hashing cost.</w:t>
      </w:r>
    </w:p>
    <w:p>
      <w:pPr>
        <w:pStyle w:val="BodyText"/>
      </w:pPr>
      <w:r>
        <w:rPr>
          <w:bCs/>
          <w:b/>
        </w:rPr>
        <w:t xml:space="preserve">Q2. What is the difference between encryption, hashing and signing?</w:t>
      </w:r>
      <w:r>
        <w:t xml:space="preserve"> </w:t>
      </w:r>
      <w:r>
        <w:rPr>
          <w:bCs/>
          <w:b/>
        </w:rPr>
        <w:t xml:space="preserve">Answer.</w:t>
      </w:r>
      <w:r>
        <w:t xml:space="preserve"> </w:t>
      </w:r>
      <w:r>
        <w:t xml:space="preserve">Encryption provides confidentiality and is reversible with a key. Hashing is a keyless one-way fingerprint for integrity against a trusted reference. Signing uses a private key to produce a tag anyone can verify with the public key, providing integrity, authenticity and non-repudiation. A MAC is the shared-key analog of a signature without non-repudiation. AEAD encryption combines confidentiality with integrity.</w:t>
      </w:r>
    </w:p>
    <w:bookmarkEnd w:id="1177"/>
    <w:bookmarkStart w:id="1178" w:name="intermediate-9"/>
    <w:p>
      <w:pPr>
        <w:pStyle w:val="Heading3"/>
      </w:pPr>
      <w:r>
        <w:t xml:space="preserve">Intermediate</w:t>
      </w:r>
    </w:p>
    <w:p>
      <w:pPr>
        <w:pStyle w:val="FirstParagraph"/>
      </w:pPr>
      <w:r>
        <w:rPr>
          <w:bCs/>
          <w:b/>
        </w:rPr>
        <w:t xml:space="preserve">Q3. Design encryption for a multi-tenant document store where each tenant’s data must be deletable on request, including from backups.</w:t>
      </w:r>
      <w:r>
        <w:t xml:space="preserve"> </w:t>
      </w:r>
      <w:r>
        <w:rPr>
          <w:bCs/>
          <w:b/>
        </w:rPr>
        <w:t xml:space="preserve">Answer.</w:t>
      </w:r>
      <w:r>
        <w:t xml:space="preserve"> </w:t>
      </w:r>
      <w:r>
        <w:t xml:space="preserve">Use envelope encryption with a per-tenant KEK in a KMS and a per-document DEK. Each document is encrypted locally with AES-256-GCM under its DEK; the wrapped DEK and KEK ID are stored with it, and the encryption context includes tenant ID and document ID. IAM policy on each KEK allows decrypt only by the service’s role, and KMS logs every decrypt for audit. To delete a tenant, schedule deletion of its KEK: all its DEKs, and therefore all copies of its documents including immutable backups, become unreadable (crypto-shredding). Discuss KMS quotas (DEK per document is fine for large documents; batch keys for tiny records), KMS availability as a dependency, regional keys for residency, and the waiting period that protects against accidental KEK deletion.</w:t>
      </w:r>
    </w:p>
    <w:p>
      <w:pPr>
        <w:pStyle w:val="BodyText"/>
      </w:pPr>
      <w:r>
        <w:rPr>
          <w:bCs/>
          <w:b/>
        </w:rPr>
        <w:t xml:space="preserve">Q4. A partner sends you webhooks. How do you make sure they are genuine and not replayed?</w:t>
      </w:r>
      <w:r>
        <w:t xml:space="preserve"> </w:t>
      </w:r>
      <w:r>
        <w:rPr>
          <w:bCs/>
          <w:b/>
        </w:rPr>
        <w:t xml:space="preserve">Answer.</w:t>
      </w:r>
      <w:r>
        <w:t xml:space="preserve"> </w:t>
      </w:r>
      <w:r>
        <w:t xml:space="preserve">Share a high-entropy secret per partner (with a key ID for rotation). The partner computes HMAC-SHA-256 over a canonical string of timestamp, a unique event ID or nonce, and the raw body. You verify by recomputing over the raw bytes, comparing in constant time, rejecting timestamps outside a ±5-minute window and rejecting event IDs already seen (a shared store with TTL just longer than the window). Process idempotently by event ID (§22.15), since retries are legitimate. Support two active keys during rotation. Use TLS for confidentiality; HMAC provides authenticity.</w:t>
      </w:r>
    </w:p>
    <w:bookmarkEnd w:id="1178"/>
    <w:bookmarkStart w:id="1179" w:name="advanced-9"/>
    <w:p>
      <w:pPr>
        <w:pStyle w:val="Heading3"/>
      </w:pPr>
      <w:r>
        <w:t xml:space="preserve">Advanced</w:t>
      </w:r>
    </w:p>
    <w:p>
      <w:pPr>
        <w:pStyle w:val="FirstParagraph"/>
      </w:pPr>
      <w:r>
        <w:rPr>
          <w:bCs/>
          <w:b/>
        </w:rPr>
        <w:t xml:space="preserve">Q5. Your company runs 400 microservices on a flat internal network with shared database passwords in environment variables. Propose a two-year security roadmap.</w:t>
      </w:r>
      <w:r>
        <w:t xml:space="preserve"> </w:t>
      </w:r>
      <w:r>
        <w:rPr>
          <w:bCs/>
          <w:b/>
        </w:rPr>
        <w:t xml:space="preserve">Answer.</w:t>
      </w:r>
      <w:r>
        <w:t xml:space="preserve"> </w:t>
      </w:r>
      <w:r>
        <w:t xml:space="preserve">Start with visibility: inventory services and data flows, threat-model the most sensitive data stores, centralize tamper-evident audit logging. Phase 1 (0–6 months): move secrets into a vault and rotate all of them (assume compromise); add secret scanning; one IAM role and one database user per service. Phase 2 (6–12 months): issue short-lived SPIFFE-style workload certificates via a mesh or library; enable mTLS in permissive then strict mode; move databases to dynamic credentials. Phase 3 (12–24 months): default-deny network policies, per-service authorization policies, an identity-aware proxy for internal tools, just-in-time admin access. Measure progress (share of traffic on mTLS, secrets older than 30 days, wildcard permissions), roll out with dashboards and per-phase rollback switches. Trade-offs: mesh latency and operational load, database connection limits with per-workload users, and the need for owned, reviewed policies.</w:t>
      </w:r>
    </w:p>
    <w:p>
      <w:pPr>
        <w:pStyle w:val="BodyText"/>
      </w:pPr>
      <w:r>
        <w:rPr>
          <w:bCs/>
          <w:b/>
        </w:rPr>
        <w:t xml:space="preserve">Q6. How would you design an audit logging system for a bank that regulators and internal investigators must be able to trust, even against a malicious administrator?</w:t>
      </w:r>
      <w:r>
        <w:t xml:space="preserve"> </w:t>
      </w:r>
      <w:r>
        <w:rPr>
          <w:bCs/>
          <w:b/>
        </w:rPr>
        <w:t xml:space="preserve">Answer.</w:t>
      </w:r>
      <w:r>
        <w:t xml:space="preserve"> </w:t>
      </w:r>
      <w:r>
        <w:t xml:space="preserve">Define the event schema (actor, workload, action, resource, result, source, trace ID) and emit from every service through a durable stream so logging does not block requests. A writer service builds per-partition hash chains; hourly it signs each chain head using a KMS key restricted to the writer role and writes signed heads plus log segments to WORM storage (object lock in compliance mode) in a separate account administered by a different team. An independent verifier recomputes chains and compares with signed heads; mismatches alert security operations. Separate duties: no single administrator controls the production account, the log account and the KMS key policy. Index a copy in a SIEM for search, treating the SIEM as derived and untrusted. Address clock sync, retention (years, per regulation), personal data minimization, and Merkle-tree structures if third parties need efficient inclusion proofs.</w:t>
      </w:r>
    </w:p>
    <w:bookmarkEnd w:id="1179"/>
    <w:bookmarkEnd w:id="1180"/>
    <w:bookmarkStart w:id="1181" w:name="practical-exercises-9"/>
    <w:p>
      <w:pPr>
        <w:pStyle w:val="Heading2"/>
      </w:pPr>
      <w:r>
        <w:t xml:space="preserve">10.17 Practical exercises</w:t>
      </w:r>
    </w:p>
    <w:p>
      <w:pPr>
        <w:numPr>
          <w:ilvl w:val="0"/>
          <w:numId w:val="1354"/>
        </w:numPr>
        <w:pStyle w:val="Compact"/>
      </w:pPr>
      <w:r>
        <w:rPr>
          <w:bCs/>
          <w:b/>
        </w:rPr>
        <w:t xml:space="preserve">Password hashing benchmark.</w:t>
      </w:r>
      <w:r>
        <w:t xml:space="preserve"> </w:t>
      </w:r>
      <w:r>
        <w:t xml:space="preserve">Run the code in §10.6.2. Increase Argon2id memory to 64 MiB and</w:t>
      </w:r>
      <w:r>
        <w:t xml:space="preserve"> </w:t>
      </w:r>
      <m:oMath>
        <m:r>
          <m:t>t</m:t>
        </m:r>
      </m:oMath>
      <w:r>
        <w:t xml:space="preserve"> </w:t>
      </w:r>
      <w:r>
        <w:t xml:space="preserve">to 3 and measure latency. Compute how many cores you would need for 500 logins per second at peak with 50% headroom.</w:t>
      </w:r>
    </w:p>
    <w:p>
      <w:pPr>
        <w:numPr>
          <w:ilvl w:val="0"/>
          <w:numId w:val="1354"/>
        </w:numPr>
        <w:pStyle w:val="Compact"/>
      </w:pPr>
      <w:r>
        <w:rPr>
          <w:bCs/>
          <w:b/>
        </w:rPr>
        <w:t xml:space="preserve">HMAC request signing.</w:t>
      </w:r>
      <w:r>
        <w:t xml:space="preserve"> </w:t>
      </w:r>
      <w:r>
        <w:t xml:space="preserve">Extend the code in §10.4.6 to support two active keys per client, and write a test proving that removing the HTTP method from the canonical string lets an attacker turn a signed</w:t>
      </w:r>
      <w:r>
        <w:t xml:space="preserve"> </w:t>
      </w:r>
      <w:r>
        <w:rPr>
          <w:rStyle w:val="VerbatimChar"/>
        </w:rPr>
        <w:t xml:space="preserve">GET</w:t>
      </w:r>
      <w:r>
        <w:t xml:space="preserve"> </w:t>
      </w:r>
      <w:r>
        <w:t xml:space="preserve">into a</w:t>
      </w:r>
      <w:r>
        <w:t xml:space="preserve"> </w:t>
      </w:r>
      <w:r>
        <w:rPr>
          <w:rStyle w:val="VerbatimChar"/>
        </w:rPr>
        <w:t xml:space="preserve">DELETE</w:t>
      </w:r>
      <w:r>
        <w:t xml:space="preserve">.</w:t>
      </w:r>
    </w:p>
    <w:p>
      <w:pPr>
        <w:numPr>
          <w:ilvl w:val="0"/>
          <w:numId w:val="1354"/>
        </w:numPr>
        <w:pStyle w:val="Compact"/>
      </w:pPr>
      <w:r>
        <w:rPr>
          <w:bCs/>
          <w:b/>
        </w:rPr>
        <w:t xml:space="preserve">Envelope encryption.</w:t>
      </w:r>
      <w:r>
        <w:t xml:space="preserve"> </w:t>
      </w:r>
      <w:r>
        <w:t xml:space="preserve">Extend the</w:t>
      </w:r>
      <w:r>
        <w:t xml:space="preserve"> </w:t>
      </w:r>
      <w:r>
        <w:rPr>
          <w:rStyle w:val="VerbatimChar"/>
        </w:rPr>
        <w:t xml:space="preserve">FakeKMS</w:t>
      </w:r>
      <w:r>
        <w:t xml:space="preserve"> </w:t>
      </w:r>
      <w:r>
        <w:t xml:space="preserve">example in §10.9.2 with a per-tenant KEK and a</w:t>
      </w:r>
      <w:r>
        <w:t xml:space="preserve"> </w:t>
      </w:r>
      <w:r>
        <w:rPr>
          <w:rStyle w:val="VerbatimChar"/>
        </w:rPr>
        <w:t xml:space="preserve">delete_tenant</w:t>
      </w:r>
      <w:r>
        <w:t xml:space="preserve"> </w:t>
      </w:r>
      <w:r>
        <w:t xml:space="preserve">operation. Show that encrypted objects for a deleted tenant can no longer be decrypted while other tenants are unaffected. Then replace</w:t>
      </w:r>
      <w:r>
        <w:t xml:space="preserve"> </w:t>
      </w:r>
      <w:r>
        <w:rPr>
          <w:rStyle w:val="VerbatimChar"/>
        </w:rPr>
        <w:t xml:space="preserve">FakeKMS</w:t>
      </w:r>
      <w:r>
        <w:t xml:space="preserve"> </w:t>
      </w:r>
      <w:r>
        <w:t xml:space="preserve">with a real KMS client in a sandbox account if you have one.</w:t>
      </w:r>
    </w:p>
    <w:p>
      <w:pPr>
        <w:numPr>
          <w:ilvl w:val="0"/>
          <w:numId w:val="1354"/>
        </w:numPr>
        <w:pStyle w:val="Compact"/>
      </w:pPr>
      <w:r>
        <w:rPr>
          <w:bCs/>
          <w:b/>
        </w:rPr>
        <w:t xml:space="preserve">Brute-force calculator.</w:t>
      </w:r>
      <w:r>
        <w:t xml:space="preserve"> </w:t>
      </w:r>
      <w:r>
        <w:t xml:space="preserve">Write a function that takes alphabet size, length, guesses per second and number of GPUs and prints expected time. Use it to compare a 4-word and a 6-word Diceware passphrase (7,776 words) against bcrypt and against unsalted SHA-256.</w:t>
      </w:r>
    </w:p>
    <w:p>
      <w:pPr>
        <w:numPr>
          <w:ilvl w:val="0"/>
          <w:numId w:val="1354"/>
        </w:numPr>
        <w:pStyle w:val="Compact"/>
      </w:pPr>
      <w:r>
        <w:rPr>
          <w:bCs/>
          <w:b/>
        </w:rPr>
        <w:t xml:space="preserve">Tamper-evident log.</w:t>
      </w:r>
      <w:r>
        <w:t xml:space="preserve"> </w:t>
      </w:r>
      <w:r>
        <w:t xml:space="preserve">Modify the audit log in §10.12 so that every 100 entries the head is signed with an Ed25519 key (§10.4.8). Write a verifier that accepts only chains whose signed heads verify.</w:t>
      </w:r>
    </w:p>
    <w:p>
      <w:pPr>
        <w:numPr>
          <w:ilvl w:val="0"/>
          <w:numId w:val="1354"/>
        </w:numPr>
        <w:pStyle w:val="Compact"/>
      </w:pPr>
      <w:r>
        <w:rPr>
          <w:bCs/>
          <w:b/>
        </w:rPr>
        <w:t xml:space="preserve">Threat model.</w:t>
      </w:r>
      <w:r>
        <w:t xml:space="preserve"> </w:t>
      </w:r>
      <w:r>
        <w:t xml:space="preserve">Draw a DFD for a URL shortener (§52.1) with trust boundaries and produce a STRIDE table with at least eight threats ranked by</w:t>
      </w:r>
      <w:r>
        <w:t xml:space="preserve"> </w:t>
      </w:r>
      <m:oMath>
        <m:r>
          <m:t>L</m:t>
        </m:r>
        <m:r>
          <m:rPr>
            <m:sty m:val="p"/>
          </m:rPr>
          <m:t>×</m:t>
        </m:r>
        <m:r>
          <m:t>I</m:t>
        </m:r>
      </m:oMath>
      <w:r>
        <w:t xml:space="preserve">.</w:t>
      </w:r>
    </w:p>
    <w:bookmarkEnd w:id="1181"/>
    <w:bookmarkStart w:id="1182" w:name="design-challenges-9"/>
    <w:p>
      <w:pPr>
        <w:pStyle w:val="Heading2"/>
      </w:pPr>
      <w:r>
        <w:t xml:space="preserve">10.18 Design challenges</w:t>
      </w:r>
    </w:p>
    <w:p>
      <w:pPr>
        <w:numPr>
          <w:ilvl w:val="0"/>
          <w:numId w:val="1355"/>
        </w:numPr>
        <w:pStyle w:val="Compact"/>
      </w:pPr>
      <w:r>
        <w:rPr>
          <w:bCs/>
          <w:b/>
        </w:rPr>
        <w:t xml:space="preserve">Secure file-sharing link service.</w:t>
      </w:r>
      <w:r>
        <w:t xml:space="preserve"> </w:t>
      </w:r>
      <w:r>
        <w:t xml:space="preserve">Users share files by link; links can expire and be revoked; recipients may be anonymous. Design storage encryption, link-token generation (entropy and length), revocation, download rate limiting and audit logging. Identify where signed URLs, HMAC and envelope encryption each fit.</w:t>
      </w:r>
    </w:p>
    <w:p>
      <w:pPr>
        <w:numPr>
          <w:ilvl w:val="0"/>
          <w:numId w:val="1355"/>
        </w:numPr>
        <w:pStyle w:val="Compact"/>
      </w:pPr>
      <w:r>
        <w:rPr>
          <w:bCs/>
          <w:b/>
        </w:rPr>
        <w:t xml:space="preserve">Zero-trust migration for an admin console.</w:t>
      </w:r>
      <w:r>
        <w:t xml:space="preserve"> </w:t>
      </w:r>
      <w:r>
        <w:t xml:space="preserve">A company’s internal admin console is reachable over VPN by 300 support agents and offers</w:t>
      </w:r>
      <w:r>
        <w:t xml:space="preserve"> </w:t>
      </w:r>
      <w:r>
        <w:t xml:space="preserve">“</w:t>
      </w:r>
      <w:r>
        <w:t xml:space="preserve">view any customer</w:t>
      </w:r>
      <w:r>
        <w:t xml:space="preserve">”</w:t>
      </w:r>
      <w:r>
        <w:t xml:space="preserve"> </w:t>
      </w:r>
      <w:r>
        <w:t xml:space="preserve">functionality. Redesign access with an identity-aware proxy, device posture, just-in-time elevation for sensitive actions and an audit trail that customers can be shown. State the failure mode if the identity provider is down.</w:t>
      </w:r>
    </w:p>
    <w:p>
      <w:pPr>
        <w:numPr>
          <w:ilvl w:val="0"/>
          <w:numId w:val="1355"/>
        </w:numPr>
        <w:pStyle w:val="Compact"/>
      </w:pPr>
      <w:r>
        <w:rPr>
          <w:bCs/>
          <w:b/>
        </w:rPr>
        <w:t xml:space="preserve">DDoS-resilient public API.</w:t>
      </w:r>
      <w:r>
        <w:t xml:space="preserve"> </w:t>
      </w:r>
      <w:r>
        <w:t xml:space="preserve">A public API serves 20,000 RPS normally, with an expensive search endpoint costing 50 ms of database time per request. Design layered defenses for a 1 Tbps volumetric attack and for a 2 million RPS application-layer flood from residential IPs. Quantify how much the cache hit ratio and per-key rate limits reduce database load.</w:t>
      </w:r>
    </w:p>
    <w:bookmarkEnd w:id="1182"/>
    <w:bookmarkStart w:id="1183" w:name="references-9"/>
    <w:p>
      <w:pPr>
        <w:pStyle w:val="Heading2"/>
      </w:pPr>
      <w:r>
        <w:t xml:space="preserve">10.19 References</w:t>
      </w:r>
    </w:p>
    <w:p>
      <w:pPr>
        <w:numPr>
          <w:ilvl w:val="0"/>
          <w:numId w:val="1356"/>
        </w:numPr>
        <w:pStyle w:val="Compact"/>
      </w:pPr>
      <w:r>
        <w:t xml:space="preserve">Shostack, A.</w:t>
      </w:r>
      <w:r>
        <w:t xml:space="preserve"> </w:t>
      </w:r>
      <w:r>
        <w:rPr>
          <w:iCs/>
          <w:i/>
        </w:rPr>
        <w:t xml:space="preserve">Threat Modeling: Designing for Security</w:t>
      </w:r>
      <w:r>
        <w:t xml:space="preserve">. Wiley, 2014.</w:t>
      </w:r>
    </w:p>
    <w:p>
      <w:pPr>
        <w:numPr>
          <w:ilvl w:val="0"/>
          <w:numId w:val="1356"/>
        </w:numPr>
        <w:pStyle w:val="Compact"/>
      </w:pPr>
      <w:r>
        <w:t xml:space="preserve">Kohnfelder, L., Garg, P.</w:t>
      </w:r>
      <w:r>
        <w:t xml:space="preserve"> </w:t>
      </w:r>
      <w:r>
        <w:rPr>
          <w:iCs/>
          <w:i/>
        </w:rPr>
        <w:t xml:space="preserve">The Threats to Our Products</w:t>
      </w:r>
      <w:r>
        <w:t xml:space="preserve">. Microsoft internal paper, 1999.</w:t>
      </w:r>
    </w:p>
    <w:p>
      <w:pPr>
        <w:numPr>
          <w:ilvl w:val="0"/>
          <w:numId w:val="1356"/>
        </w:numPr>
        <w:pStyle w:val="Compact"/>
      </w:pPr>
      <w:r>
        <w:t xml:space="preserve">OWASP Foundation.</w:t>
      </w:r>
      <w:r>
        <w:t xml:space="preserve"> </w:t>
      </w:r>
      <w:r>
        <w:rPr>
          <w:iCs/>
          <w:i/>
        </w:rPr>
        <w:t xml:space="preserve">OWASP Top 10:2021</w:t>
      </w:r>
      <w:r>
        <w:t xml:space="preserve">. 2021. https://owasp.org/Top10/</w:t>
      </w:r>
    </w:p>
    <w:p>
      <w:pPr>
        <w:numPr>
          <w:ilvl w:val="0"/>
          <w:numId w:val="1356"/>
        </w:numPr>
        <w:pStyle w:val="Compact"/>
      </w:pPr>
      <w:r>
        <w:t xml:space="preserve">OWASP Foundation.</w:t>
      </w:r>
      <w:r>
        <w:t xml:space="preserve"> </w:t>
      </w:r>
      <w:r>
        <w:rPr>
          <w:iCs/>
          <w:i/>
        </w:rPr>
        <w:t xml:space="preserve">OWASP Top 10:2025</w:t>
      </w:r>
      <w:r>
        <w:t xml:space="preserve">. 2025–2026. https://owasp.org/Top10/2025/</w:t>
      </w:r>
    </w:p>
    <w:p>
      <w:pPr>
        <w:numPr>
          <w:ilvl w:val="0"/>
          <w:numId w:val="1356"/>
        </w:numPr>
        <w:pStyle w:val="Compact"/>
      </w:pPr>
      <w:r>
        <w:t xml:space="preserve">OWASP Cheat Sheet Series.</w:t>
      </w:r>
      <w:r>
        <w:t xml:space="preserve"> </w:t>
      </w:r>
      <w:r>
        <w:rPr>
          <w:iCs/>
          <w:i/>
        </w:rPr>
        <w:t xml:space="preserve">Password Storage Cheat Sheet</w:t>
      </w:r>
      <w:r>
        <w:t xml:space="preserve">. https://cheatsheetseries.owasp.org/cheatsheets/Password_Storage_Cheat_Sheet.html</w:t>
      </w:r>
    </w:p>
    <w:p>
      <w:pPr>
        <w:numPr>
          <w:ilvl w:val="0"/>
          <w:numId w:val="1356"/>
        </w:numPr>
        <w:pStyle w:val="Compact"/>
      </w:pPr>
      <w:r>
        <w:t xml:space="preserve">NIST.</w:t>
      </w:r>
      <w:r>
        <w:t xml:space="preserve"> </w:t>
      </w:r>
      <w:r>
        <w:rPr>
          <w:iCs/>
          <w:i/>
        </w:rPr>
        <w:t xml:space="preserve">SP 800-63B-4: Digital Identity Guidelines — Authentication and Authenticator Management</w:t>
      </w:r>
      <w:r>
        <w:t xml:space="preserve">. National Institute of Standards and Technology, 2025. https://pages.nist.gov/800-63-4/sp800-63b.html</w:t>
      </w:r>
    </w:p>
    <w:p>
      <w:pPr>
        <w:numPr>
          <w:ilvl w:val="0"/>
          <w:numId w:val="1356"/>
        </w:numPr>
        <w:pStyle w:val="Compact"/>
      </w:pPr>
      <w:r>
        <w:t xml:space="preserve">Biryukov, A., Dinu, D., Khovratovich, D., Josefsson, S.</w:t>
      </w:r>
      <w:r>
        <w:t xml:space="preserve"> </w:t>
      </w:r>
      <w:r>
        <w:rPr>
          <w:iCs/>
          <w:i/>
        </w:rPr>
        <w:t xml:space="preserve">Argon2 Memory-Hard Function for Password Hashing and Proof-of-Work Applications</w:t>
      </w:r>
      <w:r>
        <w:t xml:space="preserve">. RFC 9106, IETF, 2021. https://www.rfc-editor.org/rfc/rfc9106</w:t>
      </w:r>
    </w:p>
    <w:p>
      <w:pPr>
        <w:numPr>
          <w:ilvl w:val="0"/>
          <w:numId w:val="1356"/>
        </w:numPr>
        <w:pStyle w:val="Compact"/>
      </w:pPr>
      <w:r>
        <w:t xml:space="preserve">Percival, C., Josefsson, S.</w:t>
      </w:r>
      <w:r>
        <w:t xml:space="preserve"> </w:t>
      </w:r>
      <w:r>
        <w:rPr>
          <w:iCs/>
          <w:i/>
        </w:rPr>
        <w:t xml:space="preserve">The scrypt Password-Based Key Derivation Function</w:t>
      </w:r>
      <w:r>
        <w:t xml:space="preserve">. RFC 7914, IETF, 2016. https://www.rfc-editor.org/rfc/rfc7914</w:t>
      </w:r>
    </w:p>
    <w:p>
      <w:pPr>
        <w:numPr>
          <w:ilvl w:val="0"/>
          <w:numId w:val="1356"/>
        </w:numPr>
        <w:pStyle w:val="Compact"/>
      </w:pPr>
      <w:r>
        <w:t xml:space="preserve">Ward, R., Beyer, B.</w:t>
      </w:r>
      <w:r>
        <w:t xml:space="preserve"> </w:t>
      </w:r>
      <w:r>
        <w:t xml:space="preserve">“</w:t>
      </w:r>
      <w:r>
        <w:t xml:space="preserve">BeyondCorp: A New Approach to Enterprise Security.</w:t>
      </w:r>
      <w:r>
        <w:t xml:space="preserve">”</w:t>
      </w:r>
      <w:r>
        <w:t xml:space="preserve"> </w:t>
      </w:r>
      <w:r>
        <w:rPr>
          <w:iCs/>
          <w:i/>
        </w:rPr>
        <w:t xml:space="preserve">;login:</w:t>
      </w:r>
      <w:r>
        <w:t xml:space="preserve"> </w:t>
      </w:r>
      <w:r>
        <w:t xml:space="preserve">39(6), USENIX, 2014.</w:t>
      </w:r>
    </w:p>
    <w:p>
      <w:pPr>
        <w:numPr>
          <w:ilvl w:val="0"/>
          <w:numId w:val="1356"/>
        </w:numPr>
        <w:pStyle w:val="Compact"/>
      </w:pPr>
      <w:r>
        <w:t xml:space="preserve">Osborn, B., McWilliams, J., Beyer, B., Saltonstall, M.</w:t>
      </w:r>
      <w:r>
        <w:t xml:space="preserve"> </w:t>
      </w:r>
      <w:r>
        <w:t xml:space="preserve">“</w:t>
      </w:r>
      <w:r>
        <w:t xml:space="preserve">BeyondCorp: Design to Deployment at Google.</w:t>
      </w:r>
      <w:r>
        <w:t xml:space="preserve">”</w:t>
      </w:r>
      <w:r>
        <w:t xml:space="preserve"> </w:t>
      </w:r>
      <w:r>
        <w:rPr>
          <w:iCs/>
          <w:i/>
        </w:rPr>
        <w:t xml:space="preserve">;login:</w:t>
      </w:r>
      <w:r>
        <w:t xml:space="preserve"> </w:t>
      </w:r>
      <w:r>
        <w:t xml:space="preserve">41(1), USENIX, 2016.</w:t>
      </w:r>
    </w:p>
    <w:p>
      <w:pPr>
        <w:numPr>
          <w:ilvl w:val="0"/>
          <w:numId w:val="1356"/>
        </w:numPr>
        <w:pStyle w:val="Compact"/>
      </w:pPr>
      <w:r>
        <w:t xml:space="preserve">Rose, S., Borchert, O., Mitchell, S., Connelly, S.</w:t>
      </w:r>
      <w:r>
        <w:t xml:space="preserve"> </w:t>
      </w:r>
      <w:r>
        <w:rPr>
          <w:iCs/>
          <w:i/>
        </w:rPr>
        <w:t xml:space="preserve">Zero Trust Architecture</w:t>
      </w:r>
      <w:r>
        <w:t xml:space="preserve">. NIST SP 800-207, 2020. https://doi.org/10.6028/NIST.SP.800-207</w:t>
      </w:r>
    </w:p>
    <w:p>
      <w:pPr>
        <w:numPr>
          <w:ilvl w:val="0"/>
          <w:numId w:val="1356"/>
        </w:numPr>
        <w:pStyle w:val="Compact"/>
      </w:pPr>
      <w:r>
        <w:t xml:space="preserve">Ferguson, N., Schneier, B., Kohno, T.</w:t>
      </w:r>
      <w:r>
        <w:t xml:space="preserve"> </w:t>
      </w:r>
      <w:r>
        <w:rPr>
          <w:iCs/>
          <w:i/>
        </w:rPr>
        <w:t xml:space="preserve">Cryptography Engineering: Design Principles and Practical Applications</w:t>
      </w:r>
      <w:r>
        <w:t xml:space="preserve">. Wiley, 2010.</w:t>
      </w:r>
    </w:p>
    <w:p>
      <w:pPr>
        <w:numPr>
          <w:ilvl w:val="0"/>
          <w:numId w:val="1356"/>
        </w:numPr>
        <w:pStyle w:val="Compact"/>
      </w:pPr>
      <w:r>
        <w:t xml:space="preserve">Adkins, H., Beyer, B., Blankinship, P., Lewandowski, P., Oprea, A., Stubblefield, A.</w:t>
      </w:r>
      <w:r>
        <w:t xml:space="preserve"> </w:t>
      </w:r>
      <w:r>
        <w:rPr>
          <w:iCs/>
          <w:i/>
        </w:rPr>
        <w:t xml:space="preserve">Building Secure and Reliable Systems</w:t>
      </w:r>
      <w:r>
        <w:t xml:space="preserve">. O’Reilly, 2020.</w:t>
      </w:r>
    </w:p>
    <w:p>
      <w:pPr>
        <w:numPr>
          <w:ilvl w:val="0"/>
          <w:numId w:val="1356"/>
        </w:numPr>
        <w:pStyle w:val="Compact"/>
      </w:pPr>
      <w:r>
        <w:t xml:space="preserve">Amazon Web Services.</w:t>
      </w:r>
      <w:r>
        <w:t xml:space="preserve"> </w:t>
      </w:r>
      <w:r>
        <w:rPr>
          <w:iCs/>
          <w:i/>
        </w:rPr>
        <w:t xml:space="preserve">AWS Key Management Service Developer Guide — AWS KMS concepts (envelope encryption, data keys, encryption context)</w:t>
      </w:r>
      <w:r>
        <w:t xml:space="preserve">. https://docs.aws.amazon.com/kms/latest/developerguide/concepts.html</w:t>
      </w:r>
    </w:p>
    <w:p>
      <w:pPr>
        <w:numPr>
          <w:ilvl w:val="0"/>
          <w:numId w:val="1356"/>
        </w:numPr>
        <w:pStyle w:val="Compact"/>
      </w:pPr>
      <w:r>
        <w:t xml:space="preserve">Amazon Web Services.</w:t>
      </w:r>
      <w:r>
        <w:t xml:space="preserve"> </w:t>
      </w:r>
      <w:r>
        <w:rPr>
          <w:iCs/>
          <w:i/>
        </w:rPr>
        <w:t xml:space="preserve">Amazon EC2 User Guide — Use the Instance Metadata Service Version 2 (IMDSv2)</w:t>
      </w:r>
      <w:r>
        <w:t xml:space="preserve">. https://docs.aws.amazon.com/AWSEC2/latest/UserGuide/configuring-instance-metadata-service.html</w:t>
      </w:r>
    </w:p>
    <w:p>
      <w:pPr>
        <w:numPr>
          <w:ilvl w:val="0"/>
          <w:numId w:val="1356"/>
        </w:numPr>
        <w:pStyle w:val="Compact"/>
      </w:pPr>
      <w:r>
        <w:t xml:space="preserve">Amazon Web Services.</w:t>
      </w:r>
      <w:r>
        <w:t xml:space="preserve"> </w:t>
      </w:r>
      <w:r>
        <w:rPr>
          <w:iCs/>
          <w:i/>
        </w:rPr>
        <w:t xml:space="preserve">AWS CloudTrail User Guide — Validating CloudTrail log file integrity</w:t>
      </w:r>
      <w:r>
        <w:t xml:space="preserve">. https://docs.aws.amazon.com/awscloudtrail/latest/userguide/cloudtrail-log-file-validation-intro.html</w:t>
      </w:r>
    </w:p>
    <w:p>
      <w:pPr>
        <w:numPr>
          <w:ilvl w:val="0"/>
          <w:numId w:val="1356"/>
        </w:numPr>
        <w:pStyle w:val="Compact"/>
      </w:pPr>
      <w:r>
        <w:t xml:space="preserve">Krawczyk, H., Bellare, M., Canetti, R.</w:t>
      </w:r>
      <w:r>
        <w:t xml:space="preserve"> </w:t>
      </w:r>
      <w:r>
        <w:rPr>
          <w:iCs/>
          <w:i/>
        </w:rPr>
        <w:t xml:space="preserve">HMAC: Keyed-Hashing for Message Authentication</w:t>
      </w:r>
      <w:r>
        <w:t xml:space="preserve">. RFC 2104, IETF, 1997. https://www.rfc-editor.org/rfc/rfc2104</w:t>
      </w:r>
    </w:p>
    <w:p>
      <w:pPr>
        <w:numPr>
          <w:ilvl w:val="0"/>
          <w:numId w:val="1356"/>
        </w:numPr>
        <w:pStyle w:val="Compact"/>
      </w:pPr>
      <w:r>
        <w:t xml:space="preserve">Rescorla, E.</w:t>
      </w:r>
      <w:r>
        <w:t xml:space="preserve"> </w:t>
      </w:r>
      <w:r>
        <w:rPr>
          <w:iCs/>
          <w:i/>
        </w:rPr>
        <w:t xml:space="preserve">The Transport Layer Security (TLS) Protocol Version 1.3</w:t>
      </w:r>
      <w:r>
        <w:t xml:space="preserve">. RFC 8446, IETF, 2018. https://www.rfc-editor.org/rfc/rfc8446</w:t>
      </w:r>
    </w:p>
    <w:p>
      <w:pPr>
        <w:numPr>
          <w:ilvl w:val="0"/>
          <w:numId w:val="1356"/>
        </w:numPr>
        <w:pStyle w:val="Compact"/>
      </w:pPr>
      <w:r>
        <w:t xml:space="preserve">Laurie, B., Langley, A., Kasper, E.</w:t>
      </w:r>
      <w:r>
        <w:t xml:space="preserve"> </w:t>
      </w:r>
      <w:r>
        <w:rPr>
          <w:iCs/>
          <w:i/>
        </w:rPr>
        <w:t xml:space="preserve">Certificate Transparency</w:t>
      </w:r>
      <w:r>
        <w:t xml:space="preserve">. RFC 6962, IETF, 2013. https://www.rfc-editor.org/rfc/rfc6962</w:t>
      </w:r>
    </w:p>
    <w:p>
      <w:pPr>
        <w:numPr>
          <w:ilvl w:val="0"/>
          <w:numId w:val="1356"/>
        </w:numPr>
        <w:pStyle w:val="Compact"/>
      </w:pPr>
      <w:r>
        <w:t xml:space="preserve">Barnes, R., Hoffman-Andrews, J., McCarney, D., Kasten, J.</w:t>
      </w:r>
      <w:r>
        <w:t xml:space="preserve"> </w:t>
      </w:r>
      <w:r>
        <w:rPr>
          <w:iCs/>
          <w:i/>
        </w:rPr>
        <w:t xml:space="preserve">Automatic Certificate Management Environment (ACME)</w:t>
      </w:r>
      <w:r>
        <w:t xml:space="preserve">. RFC 8555, IETF, 2019. https://www.rfc-editor.org/rfc/rfc8555</w:t>
      </w:r>
    </w:p>
    <w:p>
      <w:pPr>
        <w:numPr>
          <w:ilvl w:val="0"/>
          <w:numId w:val="1356"/>
        </w:numPr>
        <w:pStyle w:val="Compact"/>
      </w:pPr>
      <w:r>
        <w:t xml:space="preserve">Dworkin, M.</w:t>
      </w:r>
      <w:r>
        <w:t xml:space="preserve"> </w:t>
      </w:r>
      <w:r>
        <w:rPr>
          <w:iCs/>
          <w:i/>
        </w:rPr>
        <w:t xml:space="preserve">Recommendation for Block Cipher Modes of Operation: Galois/Counter Mode (GCM) and GMAC</w:t>
      </w:r>
      <w:r>
        <w:t xml:space="preserve">. NIST SP 800-38D, 2007.</w:t>
      </w:r>
    </w:p>
    <w:p>
      <w:pPr>
        <w:numPr>
          <w:ilvl w:val="0"/>
          <w:numId w:val="1356"/>
        </w:numPr>
        <w:pStyle w:val="Compact"/>
      </w:pPr>
      <w:r>
        <w:t xml:space="preserve">Barker, E.</w:t>
      </w:r>
      <w:r>
        <w:t xml:space="preserve"> </w:t>
      </w:r>
      <w:r>
        <w:rPr>
          <w:iCs/>
          <w:i/>
        </w:rPr>
        <w:t xml:space="preserve">Recommendation for Key Management: Part 1 — General</w:t>
      </w:r>
      <w:r>
        <w:t xml:space="preserve">. NIST SP 800-57 Part 1 Rev. 5, 2020.</w:t>
      </w:r>
    </w:p>
    <w:p>
      <w:pPr>
        <w:numPr>
          <w:ilvl w:val="0"/>
          <w:numId w:val="1356"/>
        </w:numPr>
        <w:pStyle w:val="Compact"/>
      </w:pPr>
      <w:r>
        <w:t xml:space="preserve">NIST.</w:t>
      </w:r>
      <w:r>
        <w:t xml:space="preserve"> </w:t>
      </w:r>
      <w:r>
        <w:rPr>
          <w:iCs/>
          <w:i/>
        </w:rPr>
        <w:t xml:space="preserve">FIPS 203 (ML-KEM), FIPS 204 (ML-DSA), FIPS 205 (SLH-DSA)</w:t>
      </w:r>
      <w:r>
        <w:t xml:space="preserve">. August 2024.</w:t>
      </w:r>
    </w:p>
    <w:p>
      <w:pPr>
        <w:numPr>
          <w:ilvl w:val="0"/>
          <w:numId w:val="1356"/>
        </w:numPr>
        <w:pStyle w:val="Compact"/>
      </w:pPr>
      <w:r>
        <w:t xml:space="preserve">US-CERT (CISA).</w:t>
      </w:r>
      <w:r>
        <w:t xml:space="preserve"> </w:t>
      </w:r>
      <w:r>
        <w:rPr>
          <w:iCs/>
          <w:i/>
        </w:rPr>
        <w:t xml:space="preserve">Alert TA14-017A: UDP-Based Amplification Attacks</w:t>
      </w:r>
      <w:r>
        <w:t xml:space="preserve">. 2014 (updated).</w:t>
      </w:r>
    </w:p>
    <w:p>
      <w:pPr>
        <w:numPr>
          <w:ilvl w:val="0"/>
          <w:numId w:val="1356"/>
        </w:numPr>
        <w:pStyle w:val="Compact"/>
      </w:pPr>
      <w:r>
        <w:t xml:space="preserve">GitHub Engineering.</w:t>
      </w:r>
      <w:r>
        <w:t xml:space="preserve"> </w:t>
      </w:r>
      <w:r>
        <w:t xml:space="preserve">“</w:t>
      </w:r>
      <w:r>
        <w:t xml:space="preserve">February 28th DDoS Incident Report.</w:t>
      </w:r>
      <w:r>
        <w:t xml:space="preserve">”</w:t>
      </w:r>
      <w:r>
        <w:t xml:space="preserve"> </w:t>
      </w:r>
      <w:r>
        <w:t xml:space="preserve">GitHub Blog, 2018.</w:t>
      </w:r>
    </w:p>
    <w:p>
      <w:pPr>
        <w:numPr>
          <w:ilvl w:val="0"/>
          <w:numId w:val="1356"/>
        </w:numPr>
        <w:pStyle w:val="Compact"/>
      </w:pPr>
      <w:r>
        <w:t xml:space="preserve">Google Cloud.</w:t>
      </w:r>
      <w:r>
        <w:t xml:space="preserve"> </w:t>
      </w:r>
      <w:r>
        <w:t xml:space="preserve">“</w:t>
      </w:r>
      <w:r>
        <w:t xml:space="preserve">How it works: The novel HTTP/2</w:t>
      </w:r>
      <w:r>
        <w:t xml:space="preserve"> </w:t>
      </w:r>
      <w:r>
        <w:t xml:space="preserve">‘</w:t>
      </w:r>
      <w:r>
        <w:t xml:space="preserve">Rapid Reset</w:t>
      </w:r>
      <w:r>
        <w:t xml:space="preserve">’</w:t>
      </w:r>
      <w:r>
        <w:t xml:space="preserve"> </w:t>
      </w:r>
      <w:r>
        <w:t xml:space="preserve">DDoS attack.</w:t>
      </w:r>
      <w:r>
        <w:t xml:space="preserve">”</w:t>
      </w:r>
      <w:r>
        <w:t xml:space="preserve"> </w:t>
      </w:r>
      <w:r>
        <w:t xml:space="preserve">Google Cloud Blog, 2023.</w:t>
      </w:r>
    </w:p>
    <w:p>
      <w:pPr>
        <w:numPr>
          <w:ilvl w:val="0"/>
          <w:numId w:val="1356"/>
        </w:numPr>
        <w:pStyle w:val="Compact"/>
      </w:pPr>
      <w:r>
        <w:t xml:space="preserve">Fox-IT.</w:t>
      </w:r>
      <w:r>
        <w:t xml:space="preserve"> </w:t>
      </w:r>
      <w:r>
        <w:rPr>
          <w:iCs/>
          <w:i/>
        </w:rPr>
        <w:t xml:space="preserve">Black Tulip: Report of the Investigation into the DigiNotar Certificate Authority Breach</w:t>
      </w:r>
      <w:r>
        <w:t xml:space="preserve">. 2012.</w:t>
      </w:r>
    </w:p>
    <w:p>
      <w:pPr>
        <w:numPr>
          <w:ilvl w:val="0"/>
          <w:numId w:val="1356"/>
        </w:numPr>
        <w:pStyle w:val="Compact"/>
      </w:pPr>
      <w:r>
        <w:t xml:space="preserve">Schneier, B., Kelsey, J.</w:t>
      </w:r>
      <w:r>
        <w:t xml:space="preserve"> </w:t>
      </w:r>
      <w:r>
        <w:t xml:space="preserve">“</w:t>
      </w:r>
      <w:r>
        <w:t xml:space="preserve">Secure Audit Logs to Support Computer Forensics.</w:t>
      </w:r>
      <w:r>
        <w:t xml:space="preserve">”</w:t>
      </w:r>
      <w:r>
        <w:t xml:space="preserve"> </w:t>
      </w:r>
      <w:r>
        <w:rPr>
          <w:iCs/>
          <w:i/>
        </w:rPr>
        <w:t xml:space="preserve">ACM Transactions on Information and System Security</w:t>
      </w:r>
      <w:r>
        <w:t xml:space="preserve"> </w:t>
      </w:r>
      <w:r>
        <w:t xml:space="preserve">2(2), 1999.</w:t>
      </w:r>
    </w:p>
    <w:p>
      <w:pPr>
        <w:numPr>
          <w:ilvl w:val="0"/>
          <w:numId w:val="1356"/>
        </w:numPr>
        <w:pStyle w:val="Compact"/>
      </w:pPr>
      <w:r>
        <w:t xml:space="preserve">Crosby, S. A., Wallach, D. S.</w:t>
      </w:r>
      <w:r>
        <w:t xml:space="preserve"> </w:t>
      </w:r>
      <w:r>
        <w:t xml:space="preserve">“</w:t>
      </w:r>
      <w:r>
        <w:t xml:space="preserve">Efficient Data Structures for Tamper-Evident Logging.</w:t>
      </w:r>
      <w:r>
        <w:t xml:space="preserve">”</w:t>
      </w:r>
      <w:r>
        <w:t xml:space="preserve"> </w:t>
      </w:r>
      <w:r>
        <w:rPr>
          <w:iCs/>
          <w:i/>
        </w:rPr>
        <w:t xml:space="preserve">USENIX Security Symposium</w:t>
      </w:r>
      <w:r>
        <w:t xml:space="preserve">, 2009.</w:t>
      </w:r>
    </w:p>
    <w:bookmarkEnd w:id="1183"/>
    <w:bookmarkStart w:id="1184" w:name="open-verification-items-9"/>
    <w:p>
      <w:pPr>
        <w:pStyle w:val="Heading2"/>
      </w:pPr>
      <w:r>
        <w:t xml:space="preserve">10.20 Open verification items</w:t>
      </w:r>
    </w:p>
    <w:p>
      <w:pPr>
        <w:numPr>
          <w:ilvl w:val="0"/>
          <w:numId w:val="1357"/>
        </w:numPr>
        <w:pStyle w:val="Compact"/>
      </w:pPr>
      <w:r>
        <w:t xml:space="preserve">OWASP Top 10:2025 final category names, numbering and release status (reported as unveiled November 2025, finalized early 2026); owasp.org was not reachable from the authoring environment.</w:t>
      </w:r>
    </w:p>
    <w:p>
      <w:pPr>
        <w:numPr>
          <w:ilvl w:val="0"/>
          <w:numId w:val="1357"/>
        </w:numPr>
        <w:pStyle w:val="Compact"/>
      </w:pPr>
      <w:r>
        <w:t xml:space="preserve">NIST SP 800-63B-4 exact final wording on 15-character single-factor minimum and on peppers/keyed hashing (confirmed only through secondary sources).</w:t>
      </w:r>
    </w:p>
    <w:p>
      <w:pPr>
        <w:numPr>
          <w:ilvl w:val="0"/>
          <w:numId w:val="1357"/>
        </w:numPr>
        <w:pStyle w:val="Compact"/>
      </w:pPr>
      <w:r>
        <w:t xml:space="preserve">CA/Browser Forum ballot SC-081 lifetime schedule (200 → 100 → 47 days, 2026–2029).</w:t>
      </w:r>
    </w:p>
    <w:p>
      <w:pPr>
        <w:numPr>
          <w:ilvl w:val="0"/>
          <w:numId w:val="1357"/>
        </w:numPr>
        <w:pStyle w:val="Compact"/>
      </w:pPr>
      <w:r>
        <w:t xml:space="preserve">GPU guessing rates (~10¹⁰ SHA-256/s per GPU; ~10⁴/s for tuned memory-hard hashes) are order-of-magnitude estimates.</w:t>
      </w:r>
    </w:p>
    <w:p>
      <w:pPr>
        <w:numPr>
          <w:ilvl w:val="0"/>
          <w:numId w:val="1357"/>
        </w:numPr>
        <w:pStyle w:val="Compact"/>
      </w:pPr>
      <w:r>
        <w:t xml:space="preserve">AWS KMS request quotas and pricing ($0.03 per 10,000 requests) as of 2026.</w:t>
      </w:r>
    </w:p>
    <w:p>
      <w:pPr>
        <w:numPr>
          <w:ilvl w:val="0"/>
          <w:numId w:val="1357"/>
        </w:numPr>
        <w:pStyle w:val="Compact"/>
      </w:pPr>
      <w:r>
        <w:t xml:space="preserve">LinkedIn 2012/2016 and Capital One 2019 figures (secondary reporting).</w:t>
      </w:r>
    </w:p>
    <w:p>
      <w:pPr>
        <w:numPr>
          <w:ilvl w:val="0"/>
          <w:numId w:val="1357"/>
        </w:numPr>
        <w:pStyle w:val="Compact"/>
      </w:pPr>
      <w:r>
        <w:t xml:space="preserve">Exact URLs for BeyondCorp ;login: papers and the AWS KMS envelope-encryption page anchor.</w:t>
      </w:r>
    </w:p>
    <w:bookmarkEnd w:id="1184"/>
    <w:bookmarkEnd w:id="1185"/>
    <w:bookmarkStart w:id="1186" w:name="part-iii-data-systems"/>
    <w:p>
      <w:pPr>
        <w:pStyle w:val="Heading1"/>
      </w:pPr>
      <w:r>
        <w:t xml:space="preserve">Part III — Data Systems</w:t>
      </w:r>
    </w:p>
    <w:bookmarkEnd w:id="1186"/>
    <w:bookmarkStart w:id="1306" w:name="chapter-11-relational-databases"/>
    <w:p>
      <w:pPr>
        <w:pStyle w:val="Heading1"/>
      </w:pPr>
      <w:r>
        <w:t xml:space="preserve">Chapter 11 — Relational Databases</w:t>
      </w:r>
    </w:p>
    <w:p>
      <w:pPr>
        <w:pStyle w:val="BlockText"/>
      </w:pPr>
      <w:r>
        <w:rPr>
          <w:bCs/>
          <w:b/>
        </w:rPr>
        <w:t xml:space="preserve">Level:</w:t>
      </w:r>
      <w:r>
        <w:t xml:space="preserve"> </w:t>
      </w:r>
      <w:r>
        <w:t xml:space="preserve">1–2 ·</w:t>
      </w:r>
      <w:r>
        <w:t xml:space="preserve"> </w:t>
      </w:r>
      <w:r>
        <w:rPr>
          <w:bCs/>
          <w:b/>
        </w:rPr>
        <w:t xml:space="preserve">Track:</w:t>
      </w:r>
      <w:r>
        <w:t xml:space="preserve"> </w:t>
      </w:r>
      <w:r>
        <w:t xml:space="preserve">A (Traditional) ·</w:t>
      </w:r>
      <w:r>
        <w:t xml:space="preserve"> </w:t>
      </w:r>
      <w:r>
        <w:rPr>
          <w:bCs/>
          <w:b/>
        </w:rPr>
        <w:t xml:space="preserve">Estimated reading time:</w:t>
      </w:r>
      <w:r>
        <w:t xml:space="preserve"> </w:t>
      </w:r>
      <w:r>
        <w:t xml:space="preserve">5 h</w:t>
      </w:r>
    </w:p>
    <w:p>
      <w:pPr>
        <w:pStyle w:val="FirstParagraph"/>
      </w:pPr>
      <w:r>
        <w:t xml:space="preserve">Almost every system you will design has a relational database somewhere in it. The orders in a shop, the balances in a bank, the users of a social network and the configuration of a cloud platform usually live in PostgreSQL, MySQL or a database that speaks their SQL dialect. Relational databases have been the default for fifty years because they solve three hard problems at once: they let you describe</w:t>
      </w:r>
      <w:r>
        <w:t xml:space="preserve"> </w:t>
      </w:r>
      <w:r>
        <w:rPr>
          <w:iCs/>
          <w:i/>
        </w:rPr>
        <w:t xml:space="preserve">what</w:t>
      </w:r>
      <w:r>
        <w:t xml:space="preserve"> </w:t>
      </w:r>
      <w:r>
        <w:t xml:space="preserve">data you want without saying</w:t>
      </w:r>
      <w:r>
        <w:t xml:space="preserve"> </w:t>
      </w:r>
      <w:r>
        <w:rPr>
          <w:iCs/>
          <w:i/>
        </w:rPr>
        <w:t xml:space="preserve">how</w:t>
      </w:r>
      <w:r>
        <w:t xml:space="preserve"> </w:t>
      </w:r>
      <w:r>
        <w:t xml:space="preserve">to fetch it, they keep data correct while thousands of clients change it concurrently, and they keep committed data safe through crashes.</w:t>
      </w:r>
    </w:p>
    <w:p>
      <w:pPr>
        <w:pStyle w:val="BodyText"/>
      </w:pPr>
      <w:r>
        <w:t xml:space="preserve">This chapter explains how they do it, using one running example: the order system of an online shop. You will learn to model its data, index it, read query plans, choose isolation levels and avoid costly concurrency bugs. On-disk internals (write-ahead logging, buffer pools, LSM trees) are covered in Chapter 13, replication and sharding in Chapter 14, and distributed transactions in Chapter 28.</w:t>
      </w:r>
    </w:p>
    <w:bookmarkStart w:id="1187" w:name="learning-objectives-10"/>
    <w:p>
      <w:pPr>
        <w:pStyle w:val="Heading2"/>
      </w:pPr>
      <w:r>
        <w:t xml:space="preserve">11.1 Learning objectives</w:t>
      </w:r>
    </w:p>
    <w:p>
      <w:pPr>
        <w:pStyle w:val="FirstParagraph"/>
      </w:pPr>
      <w:r>
        <w:t xml:space="preserve">After this chapter you should be able to:</w:t>
      </w:r>
    </w:p>
    <w:p>
      <w:pPr>
        <w:numPr>
          <w:ilvl w:val="0"/>
          <w:numId w:val="1358"/>
        </w:numPr>
        <w:pStyle w:val="Compact"/>
      </w:pPr>
      <w:r>
        <w:t xml:space="preserve">Explain the relational model and choose primary keys (natural or surrogate) and foreign keys.</w:t>
      </w:r>
    </w:p>
    <w:p>
      <w:pPr>
        <w:numPr>
          <w:ilvl w:val="0"/>
          <w:numId w:val="1358"/>
        </w:numPr>
        <w:pStyle w:val="Compact"/>
      </w:pPr>
      <w:r>
        <w:t xml:space="preserve">Normalize a schema to BCNF using functional dependencies, and justify each deliberate denormalization.</w:t>
      </w:r>
    </w:p>
    <w:p>
      <w:pPr>
        <w:numPr>
          <w:ilvl w:val="0"/>
          <w:numId w:val="1358"/>
        </w:numPr>
        <w:pStyle w:val="Compact"/>
      </w:pPr>
      <w:r>
        <w:t xml:space="preserve">Write inner, outer, semi- and anti-joins, and estimate the I/O cost of nested-loop, hash and sort-merge joins.</w:t>
      </w:r>
    </w:p>
    <w:p>
      <w:pPr>
        <w:numPr>
          <w:ilvl w:val="0"/>
          <w:numId w:val="1358"/>
        </w:numPr>
        <w:pStyle w:val="Compact"/>
      </w:pPr>
      <w:r>
        <w:t xml:space="preserve">Design clustered, secondary, composite, covering and partial indexes for a stated query workload.</w:t>
      </w:r>
    </w:p>
    <w:p>
      <w:pPr>
        <w:numPr>
          <w:ilvl w:val="0"/>
          <w:numId w:val="1358"/>
        </w:numPr>
        <w:pStyle w:val="Compact"/>
      </w:pPr>
      <w:r>
        <w:t xml:space="preserve">Compute B+ tree height and I/Os per lookup from page size, key size and row count.</w:t>
      </w:r>
    </w:p>
    <w:p>
      <w:pPr>
        <w:numPr>
          <w:ilvl w:val="0"/>
          <w:numId w:val="1358"/>
        </w:numPr>
        <w:pStyle w:val="Compact"/>
      </w:pPr>
      <w:r>
        <w:t xml:space="preserve">Read a PostgreSQL</w:t>
      </w:r>
      <w:r>
        <w:t xml:space="preserve"> </w:t>
      </w:r>
      <w:r>
        <w:rPr>
          <w:rStyle w:val="VerbatimChar"/>
        </w:rPr>
        <w:t xml:space="preserve">EXPLAIN (ANALYZE, BUFFERS)</w:t>
      </w:r>
      <w:r>
        <w:t xml:space="preserve"> </w:t>
      </w:r>
      <w:r>
        <w:t xml:space="preserve">plan and diagnose a cardinality misestimate.</w:t>
      </w:r>
    </w:p>
    <w:p>
      <w:pPr>
        <w:numPr>
          <w:ilvl w:val="0"/>
          <w:numId w:val="1358"/>
        </w:numPr>
        <w:pStyle w:val="Compact"/>
      </w:pPr>
      <w:r>
        <w:t xml:space="preserve">Define ACID precisely and distinguish ACID consistency from consistency in distributed systems.</w:t>
      </w:r>
    </w:p>
    <w:p>
      <w:pPr>
        <w:numPr>
          <w:ilvl w:val="0"/>
          <w:numId w:val="1358"/>
        </w:numPr>
        <w:pStyle w:val="Compact"/>
      </w:pPr>
      <w:r>
        <w:t xml:space="preserve">Reproduce dirty reads, non-repeatable reads, phantoms, lost updates and write skew, and state which isolation level prevents each in PostgreSQL and MySQL.</w:t>
      </w:r>
    </w:p>
    <w:p>
      <w:pPr>
        <w:numPr>
          <w:ilvl w:val="0"/>
          <w:numId w:val="1358"/>
        </w:numPr>
        <w:pStyle w:val="Compact"/>
      </w:pPr>
      <w:r>
        <w:t xml:space="preserve">Explain MVCC in PostgreSQL (tuple versions,</w:t>
      </w:r>
      <w:r>
        <w:t xml:space="preserve"> </w:t>
      </w:r>
      <w:r>
        <w:rPr>
          <w:rStyle w:val="VerbatimChar"/>
        </w:rPr>
        <w:t xml:space="preserve">xmin</w:t>
      </w:r>
      <w:r>
        <w:t xml:space="preserve">/</w:t>
      </w:r>
      <w:r>
        <w:rPr>
          <w:rStyle w:val="VerbatimChar"/>
        </w:rPr>
        <w:t xml:space="preserve">xmax</w:t>
      </w:r>
      <w:r>
        <w:t xml:space="preserve">, VACUUM) and InnoDB (undo logs, purge).</w:t>
      </w:r>
    </w:p>
    <w:p>
      <w:pPr>
        <w:numPr>
          <w:ilvl w:val="0"/>
          <w:numId w:val="1358"/>
        </w:numPr>
        <w:pStyle w:val="Compact"/>
      </w:pPr>
      <w:r>
        <w:t xml:space="preserve">Explain two-phase locking, gap locks and deadlock detection, and avoid deadlocks and hot-row contention.</w:t>
      </w:r>
    </w:p>
    <w:p>
      <w:pPr>
        <w:numPr>
          <w:ilvl w:val="0"/>
          <w:numId w:val="1358"/>
        </w:numPr>
        <w:pStyle w:val="Compact"/>
      </w:pPr>
      <w:r>
        <w:t xml:space="preserve">Produce an end-to-end schema, DDL and queries for an e-commerce order system.</w:t>
      </w:r>
    </w:p>
    <w:bookmarkEnd w:id="1187"/>
    <w:bookmarkStart w:id="1188" w:name="prerequisites-10"/>
    <w:p>
      <w:pPr>
        <w:pStyle w:val="Heading2"/>
      </w:pPr>
      <w:r>
        <w:t xml:space="preserve">11.2 Prerequisites</w:t>
      </w:r>
    </w:p>
    <w:p>
      <w:pPr>
        <w:numPr>
          <w:ilvl w:val="0"/>
          <w:numId w:val="1359"/>
        </w:numPr>
        <w:pStyle w:val="Compact"/>
      </w:pPr>
      <w:r>
        <w:t xml:space="preserve">Logarithms and B-tree fan-out — §4.4 (index height is a logarithm with a large base).</w:t>
      </w:r>
    </w:p>
    <w:p>
      <w:pPr>
        <w:numPr>
          <w:ilvl w:val="0"/>
          <w:numId w:val="1359"/>
        </w:numPr>
        <w:pStyle w:val="Compact"/>
      </w:pPr>
      <w:r>
        <w:t xml:space="preserve">Storage devices and latency numbers — §5.6, §4.17 (a random SSD read costs ~100 µs; RAM ~100 ns).</w:t>
      </w:r>
    </w:p>
    <w:p>
      <w:pPr>
        <w:numPr>
          <w:ilvl w:val="0"/>
          <w:numId w:val="1359"/>
        </w:numPr>
        <w:pStyle w:val="Compact"/>
      </w:pPr>
      <w:r>
        <w:t xml:space="preserve">Page cache and</w:t>
      </w:r>
      <w:r>
        <w:t xml:space="preserve"> </w:t>
      </w:r>
      <w:r>
        <w:rPr>
          <w:rStyle w:val="VerbatimChar"/>
        </w:rPr>
        <w:t xml:space="preserve">fsync</w:t>
      </w:r>
      <w:r>
        <w:t xml:space="preserve"> </w:t>
      </w:r>
      <w:r>
        <w:t xml:space="preserve">— §6.6, §6.14 (durability depends on forcing the log to disk).</w:t>
      </w:r>
    </w:p>
    <w:p>
      <w:pPr>
        <w:numPr>
          <w:ilvl w:val="0"/>
          <w:numId w:val="1359"/>
        </w:numPr>
        <w:pStyle w:val="Compact"/>
      </w:pPr>
      <w:r>
        <w:t xml:space="preserve">Race conditions, mutexes and deadlock — §6.9–§6.11 (database locking applies the same ideas to rows).</w:t>
      </w:r>
    </w:p>
    <w:p>
      <w:pPr>
        <w:numPr>
          <w:ilvl w:val="0"/>
          <w:numId w:val="1359"/>
        </w:numPr>
        <w:pStyle w:val="Compact"/>
      </w:pPr>
      <w:r>
        <w:t xml:space="preserve">Keyset pagination — §8.6.5 (we reuse it in the order-history query).</w:t>
      </w:r>
    </w:p>
    <w:p>
      <w:pPr>
        <w:numPr>
          <w:ilvl w:val="0"/>
          <w:numId w:val="1359"/>
        </w:numPr>
        <w:pStyle w:val="Compact"/>
      </w:pPr>
      <w:r>
        <w:t xml:space="preserve">Idempotency keys — §8.6.3 and §22.15 (the order API must be safe to retry).</w:t>
      </w:r>
    </w:p>
    <w:bookmarkEnd w:id="1188"/>
    <w:bookmarkStart w:id="1194" w:name="X884cc846fe0a2fbc389b74419d0a68cc33d7b6a"/>
    <w:p>
      <w:pPr>
        <w:pStyle w:val="Heading2"/>
      </w:pPr>
      <w:r>
        <w:t xml:space="preserve">11.3 The relational model: tables, rows and columns</w:t>
      </w:r>
    </w:p>
    <w:bookmarkStart w:id="1193" w:name="relations-tuples-and-attributes"/>
    <w:p>
      <w:pPr>
        <w:pStyle w:val="Heading3"/>
      </w:pPr>
      <w:r>
        <w:t xml:space="preserve">11.3.1 Relations, tuples and attributes</w:t>
      </w:r>
    </w:p>
    <w:p>
      <w:pPr>
        <w:pStyle w:val="CalloutDefinition"/>
      </w:pPr>
      <w:r>
        <w:rPr>
          <w:bCs/>
          <w:b/>
        </w:rPr>
        <w:t xml:space="preserve">DEFINITION</w:t>
      </w:r>
    </w:p>
    <w:p>
      <w:pPr>
        <w:pStyle w:val="CalloutDefinition"/>
      </w:pPr>
      <w:r>
        <w:rPr>
          <w:bCs/>
          <w:b/>
        </w:rPr>
        <w:t xml:space="preserve">Definition — Relation.</w:t>
      </w:r>
      <w:r>
        <w:t xml:space="preserve"> </w:t>
      </w:r>
      <w:r>
        <w:t xml:space="preserve">A</w:t>
      </w:r>
      <w:r>
        <w:t xml:space="preserve"> </w:t>
      </w:r>
      <w:r>
        <w:rPr>
          <w:bCs/>
          <w:b/>
        </w:rPr>
        <w:t xml:space="preserve">relation</w:t>
      </w:r>
      <w:r>
        <w:t xml:space="preserve"> </w:t>
      </w:r>
      <w:r>
        <w:t xml:space="preserve">is a named set of</w:t>
      </w:r>
      <w:r>
        <w:t xml:space="preserve"> </w:t>
      </w:r>
      <w:r>
        <w:rPr>
          <w:bCs/>
          <w:b/>
        </w:rPr>
        <w:t xml:space="preserve">tuples</w:t>
      </w:r>
      <w:r>
        <w:t xml:space="preserve"> </w:t>
      </w:r>
      <w:r>
        <w:t xml:space="preserve">that share the same</w:t>
      </w:r>
      <w:r>
        <w:t xml:space="preserve"> </w:t>
      </w:r>
      <w:r>
        <w:rPr>
          <w:bCs/>
          <w:b/>
        </w:rPr>
        <w:t xml:space="preserve">attributes</w:t>
      </w:r>
      <w:r>
        <w:t xml:space="preserve">. Each attribute has a name and a</w:t>
      </w:r>
      <w:r>
        <w:t xml:space="preserve"> </w:t>
      </w:r>
      <w:r>
        <w:rPr>
          <w:bCs/>
          <w:b/>
        </w:rPr>
        <w:t xml:space="preserve">domain</w:t>
      </w:r>
      <w:r>
        <w:t xml:space="preserve"> </w:t>
      </w:r>
      <w:r>
        <w:t xml:space="preserve">(the set of allowed values, such as 64-bit integers). In SQL a relation is a</w:t>
      </w:r>
      <w:r>
        <w:t xml:space="preserve"> </w:t>
      </w:r>
      <w:r>
        <w:rPr>
          <w:bCs/>
          <w:b/>
        </w:rPr>
        <w:t xml:space="preserve">table</w:t>
      </w:r>
      <w:r>
        <w:t xml:space="preserve">, a tuple is a</w:t>
      </w:r>
      <w:r>
        <w:t xml:space="preserve"> </w:t>
      </w:r>
      <w:r>
        <w:rPr>
          <w:bCs/>
          <w:b/>
        </w:rPr>
        <w:t xml:space="preserve">row</w:t>
      </w:r>
      <w:r>
        <w:t xml:space="preserve"> </w:t>
      </w:r>
      <w:r>
        <w:t xml:space="preserve">and an attribute is a</w:t>
      </w:r>
      <w:r>
        <w:t xml:space="preserve"> </w:t>
      </w:r>
      <w:r>
        <w:rPr>
          <w:bCs/>
          <w:b/>
        </w:rPr>
        <w:t xml:space="preserve">column</w:t>
      </w:r>
      <w:r>
        <w:t xml:space="preserve">. The relation’s name and attributes together form its</w:t>
      </w:r>
      <w:r>
        <w:t xml:space="preserve"> </w:t>
      </w:r>
      <w:r>
        <w:rPr>
          <w:bCs/>
          <w:b/>
        </w:rPr>
        <w:t xml:space="preserve">schema</w:t>
      </w:r>
      <w:r>
        <w:t xml:space="preserve">; the set of rows at a moment is its</w:t>
      </w:r>
      <w:r>
        <w:t xml:space="preserve"> </w:t>
      </w:r>
      <w:r>
        <w:rPr>
          <w:bCs/>
          <w:b/>
        </w:rPr>
        <w:t xml:space="preserve">instance</w:t>
      </w:r>
      <w:r>
        <w:t xml:space="preserve">.</w:t>
      </w:r>
    </w:p>
    <w:bookmarkStart w:id="1189" w:name="first-principles-explanation-65"/>
    <w:p>
      <w:pPr>
        <w:pStyle w:val="Heading4"/>
      </w:pPr>
      <w:r>
        <w:t xml:space="preserve">First-principles explanation</w:t>
      </w:r>
    </w:p>
    <w:p>
      <w:pPr>
        <w:pStyle w:val="FirstParagraph"/>
      </w:pPr>
      <w:r>
        <w:t xml:space="preserve">A table looks like a spreadsheet, but three differences matter. A relation is a</w:t>
      </w:r>
      <w:r>
        <w:t xml:space="preserve"> </w:t>
      </w:r>
      <w:r>
        <w:rPr>
          <w:iCs/>
          <w:i/>
        </w:rPr>
        <w:t xml:space="preserve">set</w:t>
      </w:r>
      <w:r>
        <w:t xml:space="preserve">: rows have no inherent order and are identified by their values (a key), never by</w:t>
      </w:r>
      <w:r>
        <w:t xml:space="preserve"> </w:t>
      </w:r>
      <w:r>
        <w:t xml:space="preserve">“</w:t>
      </w:r>
      <w:r>
        <w:t xml:space="preserve">row 17</w:t>
      </w:r>
      <w:r>
        <w:t xml:space="preserve">”</w:t>
      </w:r>
      <w:r>
        <w:t xml:space="preserve">. Every column has a fixed type, enforced on every write. And relationships are expressed by</w:t>
      </w:r>
      <w:r>
        <w:t xml:space="preserve"> </w:t>
      </w:r>
      <w:r>
        <w:rPr>
          <w:iCs/>
          <w:i/>
        </w:rPr>
        <w:t xml:space="preserve">values</w:t>
      </w:r>
      <w:r>
        <w:t xml:space="preserve">: an order row stores the customer’s ID, not a pointer. These properties let the query optimizer rearrange</w:t>
      </w:r>
      <w:r>
        <w:t xml:space="preserve"> </w:t>
      </w:r>
      <w:r>
        <w:rPr>
          <w:iCs/>
          <w:i/>
        </w:rPr>
        <w:t xml:space="preserve">how</w:t>
      </w:r>
      <w:r>
        <w:t xml:space="preserve"> </w:t>
      </w:r>
      <w:r>
        <w:t xml:space="preserve">a question is answered without changing the answer.</w:t>
      </w:r>
    </w:p>
    <w:bookmarkEnd w:id="1189"/>
    <w:bookmarkStart w:id="1190" w:name="why-does-this-exist-37"/>
    <w:p>
      <w:pPr>
        <w:pStyle w:val="Heading4"/>
      </w:pPr>
      <w:r>
        <w:t xml:space="preserve">Why does this exist?</w:t>
      </w:r>
    </w:p>
    <w:p>
      <w:pPr>
        <w:pStyle w:val="FirstParagraph"/>
      </w:pPr>
      <w:r>
        <w:t xml:space="preserve">Before 1970, hierarchical (IBM IMS) and network (CODASYL) databases linked records by physical pointers, and programs</w:t>
      </w:r>
      <w:r>
        <w:t xml:space="preserve"> </w:t>
      </w:r>
      <w:r>
        <w:rPr>
          <w:iCs/>
          <w:i/>
        </w:rPr>
        <w:t xml:space="preserve">navigated</w:t>
      </w:r>
      <w:r>
        <w:t xml:space="preserve"> </w:t>
      </w:r>
      <w:r>
        <w:t xml:space="preserve">them:</w:t>
      </w:r>
      <w:r>
        <w:t xml:space="preserve"> </w:t>
      </w:r>
      <w:r>
        <w:t xml:space="preserve">“</w:t>
      </w:r>
      <w:r>
        <w:t xml:space="preserve">go to customer 42, follow the first-order pointer…</w:t>
      </w:r>
      <w:r>
        <w:t xml:space="preserve">”</w:t>
      </w:r>
      <w:r>
        <w:t xml:space="preserve">. Reorganizing storage broke the programs. Codd’s paper</w:t>
      </w:r>
      <w:r>
        <w:t xml:space="preserve"> </w:t>
      </w:r>
      <w:r>
        <w:t xml:space="preserve">“</w:t>
      </w:r>
      <w:r>
        <w:t xml:space="preserve">A Relational Model of Data for Large Shared Data Banks</w:t>
      </w:r>
      <w:r>
        <w:t xml:space="preserve">”</w:t>
      </w:r>
      <w:r>
        <w:t xml:space="preserve"> </w:t>
      </w:r>
      <w:r>
        <w:t xml:space="preserve">proposed that users should see only relations, and that access paths should be the database’s private business [Codd 1970]. This</w:t>
      </w:r>
      <w:r>
        <w:t xml:space="preserve"> </w:t>
      </w:r>
      <w:r>
        <w:rPr>
          <w:bCs/>
          <w:b/>
        </w:rPr>
        <w:t xml:space="preserve">physical data independence</w:t>
      </w:r>
      <w:r>
        <w:t xml:space="preserve"> </w:t>
      </w:r>
      <w:r>
        <w:t xml:space="preserve">is why you can add an index to a production table today and every existing query keeps working, only faster.</w:t>
      </w:r>
    </w:p>
    <w:bookmarkEnd w:id="1190"/>
    <w:bookmarkStart w:id="1191" w:name="how-it-works-internally-39"/>
    <w:p>
      <w:pPr>
        <w:pStyle w:val="Heading4"/>
      </w:pPr>
      <w:r>
        <w:t xml:space="preserve">How it works internally</w:t>
      </w:r>
    </w:p>
    <w:p>
      <w:pPr>
        <w:numPr>
          <w:ilvl w:val="0"/>
          <w:numId w:val="1360"/>
        </w:numPr>
        <w:pStyle w:val="Compact"/>
      </w:pPr>
      <w:r>
        <w:t xml:space="preserve">You state</w:t>
      </w:r>
      <w:r>
        <w:t xml:space="preserve"> </w:t>
      </w:r>
      <w:r>
        <w:rPr>
          <w:iCs/>
          <w:i/>
        </w:rPr>
        <w:t xml:space="preserve">what</w:t>
      </w:r>
      <w:r>
        <w:t xml:space="preserve"> </w:t>
      </w:r>
      <w:r>
        <w:t xml:space="preserve">you want in SQL, a declarative language first built at IBM for System R.</w:t>
      </w:r>
    </w:p>
    <w:p>
      <w:pPr>
        <w:numPr>
          <w:ilvl w:val="0"/>
          <w:numId w:val="1360"/>
        </w:numPr>
        <w:pStyle w:val="Compact"/>
      </w:pPr>
      <w:r>
        <w:t xml:space="preserve">The database translates it into</w:t>
      </w:r>
      <w:r>
        <w:t xml:space="preserve"> </w:t>
      </w:r>
      <w:r>
        <w:rPr>
          <w:bCs/>
          <w:b/>
        </w:rPr>
        <w:t xml:space="preserve">relational algebra</w:t>
      </w:r>
      <w:r>
        <w:t xml:space="preserve">: selection σ (filter rows), projection π (choose columns), join ⋈, union, difference and aggregation.</w:t>
      </w:r>
    </w:p>
    <w:p>
      <w:pPr>
        <w:numPr>
          <w:ilvl w:val="0"/>
          <w:numId w:val="1360"/>
        </w:numPr>
        <w:pStyle w:val="Compact"/>
      </w:pPr>
      <w:r>
        <w:t xml:space="preserve">Algebraic equivalences (</w:t>
      </w:r>
      <w:r>
        <w:t xml:space="preserve">“</w:t>
      </w:r>
      <w:r>
        <w:t xml:space="preserve">filter before joining</w:t>
      </w:r>
      <w:r>
        <w:t xml:space="preserve">”</w:t>
      </w:r>
      <w:r>
        <w:t xml:space="preserve">,</w:t>
      </w:r>
      <w:r>
        <w:t xml:space="preserve"> </w:t>
      </w:r>
      <w:r>
        <w:t xml:space="preserve">“</w:t>
      </w:r>
      <w:r>
        <w:t xml:space="preserve">join A with B before C</w:t>
      </w:r>
      <w:r>
        <w:t xml:space="preserve">”</w:t>
      </w:r>
      <w:r>
        <w:t xml:space="preserve">) let the optimizer generate equivalent plans and pick the cheapest (§11.10).</w:t>
      </w:r>
    </w:p>
    <w:p>
      <w:pPr>
        <w:numPr>
          <w:ilvl w:val="0"/>
          <w:numId w:val="1360"/>
        </w:numPr>
        <w:pStyle w:val="Compact"/>
      </w:pPr>
      <w:r>
        <w:t xml:space="preserve">The executor runs that plan against physical structures (heap files, B+ trees) that the query never mentions (§11.9).</w:t>
      </w:r>
    </w:p>
    <w:bookmarkEnd w:id="1191"/>
    <w:bookmarkStart w:id="1192" w:name="null-and-three-valued-logic"/>
    <w:p>
      <w:pPr>
        <w:pStyle w:val="Heading4"/>
      </w:pPr>
      <w:r>
        <w:t xml:space="preserve">NULL and three-valued logic</w:t>
      </w:r>
    </w:p>
    <w:p>
      <w:pPr>
        <w:pStyle w:val="FirstParagraph"/>
      </w:pPr>
      <w:r>
        <w:t xml:space="preserve">SQL adds</w:t>
      </w:r>
      <w:r>
        <w:t xml:space="preserve"> </w:t>
      </w:r>
      <w:r>
        <w:rPr>
          <w:bCs/>
          <w:b/>
        </w:rPr>
        <w:t xml:space="preserve">NULL</w:t>
      </w:r>
      <w:r>
        <w:t xml:space="preserve">, meaning</w:t>
      </w:r>
      <w:r>
        <w:t xml:space="preserve"> </w:t>
      </w:r>
      <w:r>
        <w:t xml:space="preserve">“</w:t>
      </w:r>
      <w:r>
        <w:t xml:space="preserve">unknown or not applicable</w:t>
      </w:r>
      <w:r>
        <w:t xml:space="preserve">”</w:t>
      </w:r>
      <w:r>
        <w:t xml:space="preserve">. Any comparison with NULL yields UNKNOWN, not TRUE or FALSE, and</w:t>
      </w:r>
      <w:r>
        <w:t xml:space="preserve"> </w:t>
      </w:r>
      <w:r>
        <w:rPr>
          <w:rStyle w:val="VerbatimChar"/>
        </w:rPr>
        <w:t xml:space="preserve">WHERE</w:t>
      </w:r>
      <w:r>
        <w:t xml:space="preserve"> </w:t>
      </w:r>
      <w:r>
        <w:t xml:space="preserve">keeps only rows whose condition is TRUE.</w:t>
      </w:r>
    </w:p>
    <w:p>
      <w:pPr>
        <w:pStyle w:val="CalloutMistake"/>
      </w:pPr>
      <w:r>
        <w:rPr>
          <w:bCs/>
          <w:b/>
        </w:rPr>
        <w:t xml:space="preserve">COMMON MISTAKE</w:t>
      </w:r>
    </w:p>
    <w:p>
      <w:pPr>
        <w:pStyle w:val="CalloutMistake"/>
      </w:pPr>
      <w:r>
        <w:rPr>
          <w:bCs/>
          <w:b/>
        </w:rPr>
        <w:t xml:space="preserve">Mistake —</w:t>
      </w:r>
      <w:r>
        <w:rPr>
          <w:bCs/>
          <w:b/>
        </w:rPr>
        <w:t xml:space="preserve"> </w:t>
      </w:r>
      <w:r>
        <w:rPr>
          <w:rStyle w:val="VerbatimChar"/>
          <w:bCs/>
          <w:b/>
        </w:rPr>
        <w:t xml:space="preserve">WHERE coupon_code &lt;&gt; 'SPRING'</w:t>
      </w:r>
      <w:r>
        <w:rPr>
          <w:bCs/>
          <w:b/>
        </w:rPr>
        <w:t xml:space="preserve"> </w:t>
      </w:r>
      <w:r>
        <w:rPr>
          <w:bCs/>
          <w:b/>
        </w:rPr>
        <w:t xml:space="preserve">returns orders without a coupon.</w:t>
      </w:r>
      <w:r>
        <w:t xml:space="preserve"> </w:t>
      </w:r>
      <w:r>
        <w:t xml:space="preserve">It does not: for rows where</w:t>
      </w:r>
      <w:r>
        <w:t xml:space="preserve"> </w:t>
      </w:r>
      <w:r>
        <w:rPr>
          <w:rStyle w:val="VerbatimChar"/>
        </w:rPr>
        <w:t xml:space="preserve">coupon_code</w:t>
      </w:r>
      <w:r>
        <w:t xml:space="preserve"> </w:t>
      </w:r>
      <w:r>
        <w:t xml:space="preserve">is NULL, the comparison is UNKNOWN and the row is dropped. Write</w:t>
      </w:r>
      <w:r>
        <w:t xml:space="preserve"> </w:t>
      </w:r>
      <w:r>
        <w:rPr>
          <w:rStyle w:val="VerbatimChar"/>
        </w:rPr>
        <w:t xml:space="preserve">WHERE coupon_code IS DISTINCT FROM 'SPRING'</w:t>
      </w:r>
      <w:r>
        <w:t xml:space="preserve"> </w:t>
      </w:r>
      <w:r>
        <w:t xml:space="preserve">(PostgreSQL, SQLite) or add</w:t>
      </w:r>
      <w:r>
        <w:t xml:space="preserve"> </w:t>
      </w:r>
      <w:r>
        <w:rPr>
          <w:rStyle w:val="VerbatimChar"/>
        </w:rPr>
        <w:t xml:space="preserve">OR coupon_code IS NULL</w:t>
      </w:r>
      <w:r>
        <w:t xml:space="preserve">. Likewise</w:t>
      </w:r>
      <w:r>
        <w:t xml:space="preserve"> </w:t>
      </w:r>
      <w:r>
        <w:rPr>
          <w:rStyle w:val="VerbatimChar"/>
        </w:rPr>
        <w:t xml:space="preserve">NOT IN (subquery)</w:t>
      </w:r>
      <w:r>
        <w:t xml:space="preserve"> </w:t>
      </w:r>
      <w:r>
        <w:t xml:space="preserve">returns no rows if the subquery yields a single NULL; prefer</w:t>
      </w:r>
      <w:r>
        <w:t xml:space="preserve"> </w:t>
      </w:r>
      <w:r>
        <w:rPr>
          <w:rStyle w:val="VerbatimChar"/>
        </w:rPr>
        <w:t xml:space="preserve">NOT EXISTS</w:t>
      </w:r>
      <w:r>
        <w:t xml:space="preserve">.</w:t>
      </w:r>
    </w:p>
    <w:bookmarkEnd w:id="1192"/>
    <w:bookmarkEnd w:id="1193"/>
    <w:bookmarkEnd w:id="1194"/>
    <w:bookmarkStart w:id="1198" w:name="X22a2f95ed0db77268f48f47fce74c9804b45e78"/>
    <w:p>
      <w:pPr>
        <w:pStyle w:val="Heading2"/>
      </w:pPr>
      <w:r>
        <w:t xml:space="preserve">11.4 Keys: primary, foreign, natural and surrogate</w:t>
      </w:r>
    </w:p>
    <w:bookmarkStart w:id="1196" w:name="Xe124ad64585cd14789179220604eb451b203d52"/>
    <w:p>
      <w:pPr>
        <w:pStyle w:val="Heading3"/>
      </w:pPr>
      <w:r>
        <w:t xml:space="preserve">11.4.1 Superkeys, candidate keys and primary keys</w:t>
      </w:r>
    </w:p>
    <w:p>
      <w:pPr>
        <w:pStyle w:val="CalloutDefinition"/>
      </w:pPr>
      <w:r>
        <w:rPr>
          <w:bCs/>
          <w:b/>
        </w:rPr>
        <w:t xml:space="preserve">DEFINITION</w:t>
      </w:r>
    </w:p>
    <w:p>
      <w:pPr>
        <w:pStyle w:val="CalloutDefinition"/>
      </w:pPr>
      <w:r>
        <w:rPr>
          <w:bCs/>
          <w:b/>
        </w:rPr>
        <w:t xml:space="preserve">Definition — Keys.</w:t>
      </w:r>
      <w:r>
        <w:t xml:space="preserve"> </w:t>
      </w:r>
      <w:r>
        <w:t xml:space="preserve">A</w:t>
      </w:r>
      <w:r>
        <w:t xml:space="preserve"> </w:t>
      </w:r>
      <w:r>
        <w:rPr>
          <w:bCs/>
          <w:b/>
        </w:rPr>
        <w:t xml:space="preserve">superkey</w:t>
      </w:r>
      <w:r>
        <w:t xml:space="preserve"> </w:t>
      </w:r>
      <w:r>
        <w:t xml:space="preserve">is a set of columns whose values are unique across all rows. A</w:t>
      </w:r>
      <w:r>
        <w:t xml:space="preserve"> </w:t>
      </w:r>
      <w:r>
        <w:rPr>
          <w:bCs/>
          <w:b/>
        </w:rPr>
        <w:t xml:space="preserve">candidate key</w:t>
      </w:r>
      <w:r>
        <w:t xml:space="preserve"> </w:t>
      </w:r>
      <w:r>
        <w:t xml:space="preserve">is a minimal superkey: remove any column and it stops being unique. The</w:t>
      </w:r>
      <w:r>
        <w:t xml:space="preserve"> </w:t>
      </w:r>
      <w:r>
        <w:rPr>
          <w:bCs/>
          <w:b/>
        </w:rPr>
        <w:t xml:space="preserve">primary key</w:t>
      </w:r>
      <w:r>
        <w:t xml:space="preserve"> </w:t>
      </w:r>
      <w:r>
        <w:t xml:space="preserve">is the candidate key chosen as the row’s main identifier; it must be unique and NOT NULL. Other candidate keys are enforced with</w:t>
      </w:r>
      <w:r>
        <w:t xml:space="preserve"> </w:t>
      </w:r>
      <w:r>
        <w:rPr>
          <w:rStyle w:val="VerbatimChar"/>
        </w:rPr>
        <w:t xml:space="preserve">UNIQUE</w:t>
      </w:r>
      <w:r>
        <w:t xml:space="preserve"> </w:t>
      </w:r>
      <w:r>
        <w:t xml:space="preserve">constraints. A</w:t>
      </w:r>
      <w:r>
        <w:t xml:space="preserve"> </w:t>
      </w:r>
      <w:r>
        <w:rPr>
          <w:bCs/>
          <w:b/>
        </w:rPr>
        <w:t xml:space="preserve">foreign key</w:t>
      </w:r>
      <w:r>
        <w:t xml:space="preserve"> </w:t>
      </w:r>
      <w:r>
        <w:t xml:space="preserve">is a column (or set) in one table whose values must match a key of another table, a rule called</w:t>
      </w:r>
      <w:r>
        <w:t xml:space="preserve"> </w:t>
      </w:r>
      <w:r>
        <w:rPr>
          <w:bCs/>
          <w:b/>
        </w:rPr>
        <w:t xml:space="preserve">referential integrity</w:t>
      </w:r>
      <w:r>
        <w:t xml:space="preserve">.</w:t>
      </w:r>
    </w:p>
    <w:p>
      <w:pPr>
        <w:pStyle w:val="BodyText"/>
      </w:pPr>
      <w:r>
        <w:t xml:space="preserve">In the shop,</w:t>
      </w:r>
      <w:r>
        <w:t xml:space="preserve"> </w:t>
      </w:r>
      <w:r>
        <w:rPr>
          <w:rStyle w:val="VerbatimChar"/>
        </w:rPr>
        <w:t xml:space="preserve">customers</w:t>
      </w:r>
      <w:r>
        <w:t xml:space="preserve"> </w:t>
      </w:r>
      <w:r>
        <w:t xml:space="preserve">has two candidate keys:</w:t>
      </w:r>
      <w:r>
        <w:t xml:space="preserve"> </w:t>
      </w:r>
      <w:r>
        <w:rPr>
          <w:rStyle w:val="VerbatimChar"/>
        </w:rPr>
        <w:t xml:space="preserve">customer_id</w:t>
      </w:r>
      <w:r>
        <w:t xml:space="preserve"> </w:t>
      </w:r>
      <w:r>
        <w:t xml:space="preserve">and</w:t>
      </w:r>
      <w:r>
        <w:t xml:space="preserve"> </w:t>
      </w:r>
      <w:r>
        <w:rPr>
          <w:rStyle w:val="VerbatimChar"/>
        </w:rPr>
        <w:t xml:space="preserve">email</w:t>
      </w:r>
      <w:r>
        <w:t xml:space="preserve">. We choose</w:t>
      </w:r>
      <w:r>
        <w:t xml:space="preserve"> </w:t>
      </w:r>
      <w:r>
        <w:rPr>
          <w:rStyle w:val="VerbatimChar"/>
        </w:rPr>
        <w:t xml:space="preserve">customer_id</w:t>
      </w:r>
      <w:r>
        <w:t xml:space="preserve"> </w:t>
      </w:r>
      <w:r>
        <w:t xml:space="preserve">as the primary key and declare</w:t>
      </w:r>
      <w:r>
        <w:t xml:space="preserve"> </w:t>
      </w:r>
      <w:r>
        <w:rPr>
          <w:rStyle w:val="VerbatimChar"/>
        </w:rPr>
        <w:t xml:space="preserve">email</w:t>
      </w:r>
      <w:r>
        <w:t xml:space="preserve"> </w:t>
      </w:r>
      <w:r>
        <w:rPr>
          <w:rStyle w:val="VerbatimChar"/>
        </w:rPr>
        <w:t xml:space="preserve">UNIQUE</w:t>
      </w:r>
      <w:r>
        <w:t xml:space="preserve">.</w:t>
      </w:r>
      <w:r>
        <w:t xml:space="preserve"> </w:t>
      </w:r>
      <w:r>
        <w:rPr>
          <w:rStyle w:val="VerbatimChar"/>
        </w:rPr>
        <w:t xml:space="preserve">orders.customer_id</w:t>
      </w:r>
      <w:r>
        <w:t xml:space="preserve"> </w:t>
      </w:r>
      <w:r>
        <w:t xml:space="preserve">is a foreign key to</w:t>
      </w:r>
      <w:r>
        <w:t xml:space="preserve"> </w:t>
      </w:r>
      <w:r>
        <w:rPr>
          <w:rStyle w:val="VerbatimChar"/>
        </w:rPr>
        <w:t xml:space="preserve">customers.customer_id</w:t>
      </w:r>
      <w:r>
        <w:t xml:space="preserve">: the database rejects an order for a customer that does not exist, and rejects deleting a customer who still has orders unless you specify otherwise.</w:t>
      </w:r>
    </w:p>
    <w:p>
      <w:pPr>
        <w:pStyle w:val="BodyText"/>
      </w:pPr>
      <w:r>
        <w:t xml:space="preserve">The</w:t>
      </w:r>
      <w:r>
        <w:t xml:space="preserve"> </w:t>
      </w:r>
      <w:r>
        <w:rPr>
          <w:bCs/>
          <w:b/>
        </w:rPr>
        <w:t xml:space="preserve">referential action</w:t>
      </w:r>
      <w:r>
        <w:t xml:space="preserve"> </w:t>
      </w:r>
      <w:r>
        <w:t xml:space="preserve">says what happens to child rows when a parent is deleted:</w:t>
      </w:r>
      <w:r>
        <w:t xml:space="preserve"> </w:t>
      </w:r>
      <w:r>
        <w:rPr>
          <w:rStyle w:val="VerbatimChar"/>
        </w:rPr>
        <w:t xml:space="preserve">NO ACTION</w:t>
      </w:r>
      <w:r>
        <w:t xml:space="preserve">/</w:t>
      </w:r>
      <w:r>
        <w:rPr>
          <w:rStyle w:val="VerbatimChar"/>
        </w:rPr>
        <w:t xml:space="preserve">RESTRICT</w:t>
      </w:r>
      <w:r>
        <w:t xml:space="preserve"> </w:t>
      </w:r>
      <w:r>
        <w:t xml:space="preserve">(reject; the default),</w:t>
      </w:r>
      <w:r>
        <w:t xml:space="preserve"> </w:t>
      </w:r>
      <w:r>
        <w:rPr>
          <w:rStyle w:val="VerbatimChar"/>
        </w:rPr>
        <w:t xml:space="preserve">CASCADE</w:t>
      </w:r>
      <w:r>
        <w:t xml:space="preserve">,</w:t>
      </w:r>
      <w:r>
        <w:t xml:space="preserve"> </w:t>
      </w:r>
      <w:r>
        <w:rPr>
          <w:rStyle w:val="VerbatimChar"/>
        </w:rPr>
        <w:t xml:space="preserve">SET NULL</w:t>
      </w:r>
      <w:r>
        <w:t xml:space="preserve"> </w:t>
      </w:r>
      <w:r>
        <w:t xml:space="preserve">or</w:t>
      </w:r>
      <w:r>
        <w:t xml:space="preserve"> </w:t>
      </w:r>
      <w:r>
        <w:rPr>
          <w:rStyle w:val="VerbatimChar"/>
        </w:rPr>
        <w:t xml:space="preserve">SET DEFAULT</w:t>
      </w:r>
      <w:r>
        <w:t xml:space="preserve">. Use</w:t>
      </w:r>
      <w:r>
        <w:t xml:space="preserve"> </w:t>
      </w:r>
      <w:r>
        <w:rPr>
          <w:rStyle w:val="VerbatimChar"/>
        </w:rPr>
        <w:t xml:space="preserve">CASCADE</w:t>
      </w:r>
      <w:r>
        <w:t xml:space="preserve"> </w:t>
      </w:r>
      <w:r>
        <w:t xml:space="preserve">for true ownership (an order owns its items) and the default for independent entities (deactivate products rather than delete them).</w:t>
      </w:r>
    </w:p>
    <w:bookmarkStart w:id="1195" w:name="code-example-11"/>
    <w:p>
      <w:pPr>
        <w:pStyle w:val="Heading4"/>
      </w:pPr>
      <w:r>
        <w:t xml:space="preserve">Code example</w:t>
      </w:r>
    </w:p>
    <w:p>
      <w:pPr>
        <w:pStyle w:val="SourceCode"/>
      </w:pPr>
      <w:r>
        <w:rPr>
          <w:rStyle w:val="ImportTok"/>
        </w:rPr>
        <w:t xml:space="preserve">import</w:t>
      </w:r>
      <w:r>
        <w:rPr>
          <w:rStyle w:val="NormalTok"/>
        </w:rPr>
        <w:t xml:space="preserve"> sqlite3</w:t>
      </w:r>
      <w:r>
        <w:br/>
      </w:r>
      <w:r>
        <w:br/>
      </w:r>
      <w:r>
        <w:rPr>
          <w:rStyle w:val="NormalTok"/>
        </w:rPr>
        <w:t xml:space="preserve">db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StringTok"/>
        </w:rPr>
        <w:t xml:space="preserve">":memory:"</w:t>
      </w:r>
      <w:r>
        <w:rPr>
          <w:rStyle w:val="NormalTok"/>
        </w:rPr>
        <w:t xml:space="preserve">)</w:t>
      </w:r>
      <w:r>
        <w:br/>
      </w:r>
      <w:r>
        <w:rPr>
          <w:rStyle w:val="NormalTok"/>
        </w:rPr>
        <w:t xml:space="preserve">db.executescript(</w:t>
      </w:r>
      <w:r>
        <w:rPr>
          <w:rStyle w:val="StringTok"/>
        </w:rPr>
        <w:t xml:space="preserve">"""</w:t>
      </w:r>
      <w:r>
        <w:br/>
      </w:r>
      <w:r>
        <w:rPr>
          <w:rStyle w:val="StringTok"/>
        </w:rPr>
        <w:t xml:space="preserve">PRAGMA foreign_keys = ON;            -- SQLite enforces FKs only when this is set</w:t>
      </w:r>
      <w:r>
        <w:br/>
      </w:r>
      <w:r>
        <w:rPr>
          <w:rStyle w:val="StringTok"/>
        </w:rPr>
        <w:t xml:space="preserve">CREATE TABLE customers (customer_id INTEGER PRIMARY KEY, email TEXT NOT NULL UNIQUE);</w:t>
      </w:r>
      <w:r>
        <w:br/>
      </w:r>
      <w:r>
        <w:rPr>
          <w:rStyle w:val="StringTok"/>
        </w:rPr>
        <w:t xml:space="preserve">CREATE TABLE orders (</w:t>
      </w:r>
      <w:r>
        <w:br/>
      </w:r>
      <w:r>
        <w:rPr>
          <w:rStyle w:val="StringTok"/>
        </w:rPr>
        <w:t xml:space="preserve">  order_id    INTEGER PRIMARY KEY,</w:t>
      </w:r>
      <w:r>
        <w:br/>
      </w:r>
      <w:r>
        <w:rPr>
          <w:rStyle w:val="StringTok"/>
        </w:rPr>
        <w:t xml:space="preserve">  customer_id INTEGER NOT NULL REFERENCES customers (customer_id)</w:t>
      </w:r>
      <w:r>
        <w:br/>
      </w:r>
      <w:r>
        <w:rPr>
          <w:rStyle w:val="StringTok"/>
        </w:rPr>
        <w:t xml:space="preserve">);</w:t>
      </w:r>
      <w:r>
        <w:br/>
      </w:r>
      <w:r>
        <w:rPr>
          <w:rStyle w:val="StringTok"/>
        </w:rPr>
        <w:t xml:space="preserve">INSERT INTO customers VALUES (1, 'ana@example.com');</w:t>
      </w:r>
      <w:r>
        <w:br/>
      </w:r>
      <w:r>
        <w:rPr>
          <w:rStyle w:val="StringTok"/>
        </w:rPr>
        <w:t xml:space="preserve">INSERT INTO orders VALUES (100, 1);</w:t>
      </w:r>
      <w:r>
        <w:br/>
      </w:r>
      <w:r>
        <w:rPr>
          <w:rStyle w:val="StringTok"/>
        </w:rPr>
        <w:t xml:space="preserve">"""</w:t>
      </w:r>
      <w:r>
        <w:rPr>
          <w:rStyle w:val="NormalTok"/>
        </w:rPr>
        <w:t xml:space="preserve">)</w:t>
      </w:r>
      <w:r>
        <w:br/>
      </w:r>
      <w:r>
        <w:rPr>
          <w:rStyle w:val="ControlFlowTok"/>
        </w:rPr>
        <w:t xml:space="preserve">for</w:t>
      </w:r>
      <w:r>
        <w:rPr>
          <w:rStyle w:val="NormalTok"/>
        </w:rPr>
        <w:t xml:space="preserve"> sql </w:t>
      </w:r>
      <w:r>
        <w:rPr>
          <w:rStyle w:val="KeywordTok"/>
        </w:rPr>
        <w:t xml:space="preserve">in</w:t>
      </w:r>
      <w:r>
        <w:rPr>
          <w:rStyle w:val="NormalTok"/>
        </w:rPr>
        <w:t xml:space="preserve"> [</w:t>
      </w:r>
      <w:r>
        <w:rPr>
          <w:rStyle w:val="StringTok"/>
        </w:rPr>
        <w:t xml:space="preserve">"INSERT INTO orders VALUES (101, 99)"</w:t>
      </w:r>
      <w:r>
        <w:rPr>
          <w:rStyle w:val="NormalTok"/>
        </w:rPr>
        <w:t xml:space="preserve">,                    </w:t>
      </w:r>
      <w:r>
        <w:rPr>
          <w:rStyle w:val="CommentTok"/>
        </w:rPr>
        <w:t xml:space="preserve"># no customer 99</w:t>
      </w:r>
      <w:r>
        <w:br/>
      </w:r>
      <w:r>
        <w:rPr>
          <w:rStyle w:val="NormalTok"/>
        </w:rPr>
        <w:t xml:space="preserve">            </w:t>
      </w:r>
      <w:r>
        <w:rPr>
          <w:rStyle w:val="StringTok"/>
        </w:rPr>
        <w:t xml:space="preserve">"INSERT INTO customers VALUES (2, 'ana@example.com')"</w:t>
      </w:r>
      <w:r>
        <w:rPr>
          <w:rStyle w:val="NormalTok"/>
        </w:rPr>
        <w:t xml:space="preserve">,   </w:t>
      </w:r>
      <w:r>
        <w:rPr>
          <w:rStyle w:val="CommentTok"/>
        </w:rPr>
        <w:t xml:space="preserve"># duplicate candidate key</w:t>
      </w:r>
      <w:r>
        <w:br/>
      </w:r>
      <w:r>
        <w:rPr>
          <w:rStyle w:val="NormalTok"/>
        </w:rPr>
        <w:t xml:space="preserve">            </w:t>
      </w:r>
      <w:r>
        <w:rPr>
          <w:rStyle w:val="StringTok"/>
        </w:rPr>
        <w:t xml:space="preserve">"DELETE FROM customers WHERE customer_id = 1"</w:t>
      </w:r>
      <w:r>
        <w:rPr>
          <w:rStyle w:val="NormalTok"/>
        </w:rPr>
        <w:t xml:space="preserve">]:          </w:t>
      </w:r>
      <w:r>
        <w:rPr>
          <w:rStyle w:val="CommentTok"/>
        </w:rPr>
        <w:t xml:space="preserve"># still has an order</w:t>
      </w:r>
      <w:r>
        <w:br/>
      </w:r>
      <w:r>
        <w:rPr>
          <w:rStyle w:val="NormalTok"/>
        </w:rPr>
        <w:t xml:space="preserve">    </w:t>
      </w:r>
      <w:r>
        <w:rPr>
          <w:rStyle w:val="ControlFlowTok"/>
        </w:rPr>
        <w:t xml:space="preserve">try</w:t>
      </w:r>
      <w:r>
        <w:rPr>
          <w:rStyle w:val="NormalTok"/>
        </w:rPr>
        <w:t xml:space="preserve">:</w:t>
      </w:r>
      <w:r>
        <w:br/>
      </w:r>
      <w:r>
        <w:rPr>
          <w:rStyle w:val="NormalTok"/>
        </w:rPr>
        <w:t xml:space="preserve">        db.execute(sql)</w:t>
      </w:r>
      <w:r>
        <w:br/>
      </w:r>
      <w:r>
        <w:rPr>
          <w:rStyle w:val="NormalTok"/>
        </w:rPr>
        <w:t xml:space="preserve">    </w:t>
      </w:r>
      <w:r>
        <w:rPr>
          <w:rStyle w:val="ControlFlowTok"/>
        </w:rPr>
        <w:t xml:space="preserve">except</w:t>
      </w:r>
      <w:r>
        <w:rPr>
          <w:rStyle w:val="NormalTok"/>
        </w:rPr>
        <w:t xml:space="preserve"> sqlite3.IntegrityError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sql[:</w:t>
      </w:r>
      <w:r>
        <w:rPr>
          <w:rStyle w:val="DecValTok"/>
        </w:rPr>
        <w:t xml:space="preserve">40</w:t>
      </w:r>
      <w:r>
        <w:rPr>
          <w:rStyle w:val="NormalTok"/>
        </w:rPr>
        <w:t xml:space="preserve">]</w:t>
      </w:r>
      <w:r>
        <w:rPr>
          <w:rStyle w:val="SpecialCharTok"/>
        </w:rPr>
        <w:t xml:space="preserve">:&lt;42}</w:t>
      </w:r>
      <w:r>
        <w:rPr>
          <w:rStyle w:val="SpecialStringTok"/>
        </w:rPr>
        <w:t xml:space="preserve"> -&gt;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p>
    <w:p>
      <w:pPr>
        <w:pStyle w:val="FirstParagraph"/>
      </w:pPr>
      <w:r>
        <w:t xml:space="preserve">What to notice:</w:t>
      </w:r>
    </w:p>
    <w:p>
      <w:pPr>
        <w:numPr>
          <w:ilvl w:val="0"/>
          <w:numId w:val="1361"/>
        </w:numPr>
        <w:pStyle w:val="Compact"/>
      </w:pPr>
      <w:r>
        <w:t xml:space="preserve">All three statements fail with</w:t>
      </w:r>
      <w:r>
        <w:t xml:space="preserve"> </w:t>
      </w:r>
      <w:r>
        <w:rPr>
          <w:rStyle w:val="VerbatimChar"/>
        </w:rPr>
        <w:t xml:space="preserve">IntegrityError</w:t>
      </w:r>
      <w:r>
        <w:t xml:space="preserve">: the database, not application code, guards the invariants. Output:</w:t>
      </w:r>
      <w:r>
        <w:t xml:space="preserve"> </w:t>
      </w:r>
      <w:r>
        <w:rPr>
          <w:rStyle w:val="VerbatimChar"/>
        </w:rPr>
        <w:t xml:space="preserve">FOREIGN KEY constraint failed</w:t>
      </w:r>
      <w:r>
        <w:t xml:space="preserve">,</w:t>
      </w:r>
      <w:r>
        <w:t xml:space="preserve"> </w:t>
      </w:r>
      <w:r>
        <w:rPr>
          <w:rStyle w:val="VerbatimChar"/>
        </w:rPr>
        <w:t xml:space="preserve">UNIQUE constraint failed: customers.email</w:t>
      </w:r>
      <w:r>
        <w:t xml:space="preserve">,</w:t>
      </w:r>
      <w:r>
        <w:t xml:space="preserve"> </w:t>
      </w:r>
      <w:r>
        <w:rPr>
          <w:rStyle w:val="VerbatimChar"/>
        </w:rPr>
        <w:t xml:space="preserve">FOREIGN KEY constraint failed</w:t>
      </w:r>
      <w:r>
        <w:t xml:space="preserve">.</w:t>
      </w:r>
    </w:p>
    <w:p>
      <w:pPr>
        <w:numPr>
          <w:ilvl w:val="0"/>
          <w:numId w:val="1361"/>
        </w:numPr>
        <w:pStyle w:val="Compact"/>
      </w:pPr>
      <w:r>
        <w:t xml:space="preserve">SQLite enforces foreign keys only after</w:t>
      </w:r>
      <w:r>
        <w:t xml:space="preserve"> </w:t>
      </w:r>
      <w:r>
        <w:rPr>
          <w:rStyle w:val="VerbatimChar"/>
        </w:rPr>
        <w:t xml:space="preserve">PRAGMA foreign_keys = ON</w:t>
      </w:r>
      <w:r>
        <w:t xml:space="preserve">, per connection. PostgreSQL and MySQL (InnoDB) always enforce them.</w:t>
      </w:r>
    </w:p>
    <w:p>
      <w:pPr>
        <w:numPr>
          <w:ilvl w:val="0"/>
          <w:numId w:val="1361"/>
        </w:numPr>
        <w:pStyle w:val="Compact"/>
      </w:pPr>
      <w:r>
        <w:t xml:space="preserve">Foreign-key checks cost an index lookup on the parent for every child insert. PostgreSQL does</w:t>
      </w:r>
      <w:r>
        <w:t xml:space="preserve"> </w:t>
      </w:r>
      <w:r>
        <w:rPr>
          <w:bCs/>
          <w:b/>
        </w:rPr>
        <w:t xml:space="preserve">not</w:t>
      </w:r>
      <w:r>
        <w:t xml:space="preserve"> </w:t>
      </w:r>
      <w:r>
        <w:t xml:space="preserve">automatically index the</w:t>
      </w:r>
      <w:r>
        <w:t xml:space="preserve"> </w:t>
      </w:r>
      <w:r>
        <w:rPr>
          <w:iCs/>
          <w:i/>
        </w:rPr>
        <w:t xml:space="preserve">child</w:t>
      </w:r>
      <w:r>
        <w:t xml:space="preserve"> </w:t>
      </w:r>
      <w:r>
        <w:t xml:space="preserve">column (</w:t>
      </w:r>
      <w:r>
        <w:rPr>
          <w:rStyle w:val="VerbatimChar"/>
        </w:rPr>
        <w:t xml:space="preserve">orders.customer_id</w:t>
      </w:r>
      <w:r>
        <w:t xml:space="preserve">); without that index, deleting a customer scans the whole</w:t>
      </w:r>
      <w:r>
        <w:t xml:space="preserve"> </w:t>
      </w:r>
      <w:r>
        <w:rPr>
          <w:rStyle w:val="VerbatimChar"/>
        </w:rPr>
        <w:t xml:space="preserve">orders</w:t>
      </w:r>
      <w:r>
        <w:t xml:space="preserve"> </w:t>
      </w:r>
      <w:r>
        <w:t xml:space="preserve">table. Index foreign-key columns you join or delete through.</w:t>
      </w:r>
    </w:p>
    <w:bookmarkEnd w:id="1195"/>
    <w:bookmarkEnd w:id="1196"/>
    <w:bookmarkStart w:id="1197" w:name="natural-versus-surrogate-keys"/>
    <w:p>
      <w:pPr>
        <w:pStyle w:val="Heading3"/>
      </w:pPr>
      <w:r>
        <w:t xml:space="preserve">11.4.2 Natural versus surrogate keys</w:t>
      </w:r>
    </w:p>
    <w:p>
      <w:pPr>
        <w:pStyle w:val="CalloutDefinition"/>
      </w:pPr>
      <w:r>
        <w:rPr>
          <w:bCs/>
          <w:b/>
        </w:rPr>
        <w:t xml:space="preserve">DEFINITION</w:t>
      </w:r>
    </w:p>
    <w:p>
      <w:pPr>
        <w:pStyle w:val="CalloutDefinition"/>
      </w:pPr>
      <w:r>
        <w:rPr>
          <w:bCs/>
          <w:b/>
        </w:rPr>
        <w:t xml:space="preserve">Definition — Natural and surrogate keys.</w:t>
      </w:r>
      <w:r>
        <w:t xml:space="preserve"> </w:t>
      </w:r>
      <w:r>
        <w:t xml:space="preserve">A</w:t>
      </w:r>
      <w:r>
        <w:t xml:space="preserve"> </w:t>
      </w:r>
      <w:r>
        <w:rPr>
          <w:bCs/>
          <w:b/>
        </w:rPr>
        <w:t xml:space="preserve">natural key</w:t>
      </w:r>
      <w:r>
        <w:t xml:space="preserve"> </w:t>
      </w:r>
      <w:r>
        <w:t xml:space="preserve">is a candidate key with business meaning (email address, ISBN, country code). A</w:t>
      </w:r>
      <w:r>
        <w:t xml:space="preserve"> </w:t>
      </w:r>
      <w:r>
        <w:rPr>
          <w:bCs/>
          <w:b/>
        </w:rPr>
        <w:t xml:space="preserve">surrogate key</w:t>
      </w:r>
      <w:r>
        <w:t xml:space="preserve"> </w:t>
      </w:r>
      <w:r>
        <w:t xml:space="preserve">is a meaningless value generated by the system (an auto-increment integer, a UUID) whose only job is identification.</w:t>
      </w:r>
    </w:p>
    <w:p>
      <w:pPr>
        <w:pStyle w:val="BodyText"/>
      </w:pPr>
      <w:r>
        <w:t xml:space="preserve">Business identifiers change (people change email addresses; product codes are reissued), and every foreign key that copied the old value must change too. Surrogate keys never change, are compact and make joins cheap. The common rule: a surrogate primary key, plus a</w:t>
      </w:r>
      <w:r>
        <w:t xml:space="preserve"> </w:t>
      </w:r>
      <w:r>
        <w:rPr>
          <w:rStyle w:val="VerbatimChar"/>
        </w:rPr>
        <w:t xml:space="preserve">UNIQUE</w:t>
      </w:r>
      <w:r>
        <w:t xml:space="preserve"> </w:t>
      </w:r>
      <w:r>
        <w:t xml:space="preserve">constraint on the natural key. Natural keys suit small, stable code tables (ISO country or currency codes).</w:t>
      </w:r>
    </w:p>
    <w:p>
      <w:pPr>
        <w:pStyle w:val="BodyText"/>
      </w:pPr>
      <w:r>
        <w:t xml:space="preserve">The</w:t>
      </w:r>
      <w:r>
        <w:t xml:space="preserve"> </w:t>
      </w:r>
      <w:r>
        <w:rPr>
          <w:iCs/>
          <w:i/>
        </w:rPr>
        <w:t xml:space="preserve">kind</w:t>
      </w:r>
      <w:r>
        <w:t xml:space="preserve"> </w:t>
      </w:r>
      <w:r>
        <w:t xml:space="preserve">of surrogate matters for B+ tree indexes (§11.8). Sequential integers always insert at the right-most leaf, so pages fill completely and stay hot in cache. Random UUIDv4 values insert into a random leaf, causing page splits, half-empty pages and a working set as large as the whole index. Time-ordered identifiers (UUIDv7, Snowflake-style IDs; §17.10) keep the insert locality of integers while being globally unique without a central counter.</w:t>
      </w:r>
    </w:p>
    <w:p>
      <w:pPr>
        <w:pStyle w:val="BodyText"/>
      </w:pPr>
      <w:r>
        <w:rPr>
          <w:bCs/>
          <w:b/>
        </w:rPr>
        <w:t xml:space="preserve">Table 11.1 — Choosing a primary key.</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Key type</w:t>
            </w:r>
          </w:p>
        </w:tc>
        <w:tc>
          <w:tcPr/>
          <w:p>
            <w:pPr>
              <w:pStyle w:val="Compact"/>
              <w:jc w:val="left"/>
            </w:pPr>
            <w:r>
              <w:t xml:space="preserve">Size</w:t>
            </w:r>
          </w:p>
        </w:tc>
        <w:tc>
          <w:tcPr/>
          <w:p>
            <w:pPr>
              <w:pStyle w:val="Compact"/>
              <w:jc w:val="left"/>
            </w:pPr>
            <w:r>
              <w:t xml:space="preserve">Insert locality in B+ tree</w:t>
            </w:r>
          </w:p>
        </w:tc>
        <w:tc>
          <w:tcPr/>
          <w:p>
            <w:pPr>
              <w:pStyle w:val="Compact"/>
              <w:jc w:val="left"/>
            </w:pPr>
            <w:r>
              <w:t xml:space="preserve">Globally unique</w:t>
            </w:r>
          </w:p>
        </w:tc>
        <w:tc>
          <w:tcPr/>
          <w:p>
            <w:pPr>
              <w:pStyle w:val="Compact"/>
              <w:jc w:val="left"/>
            </w:pPr>
            <w:r>
              <w:t xml:space="preserve">Leaks information</w:t>
            </w:r>
          </w:p>
        </w:tc>
        <w:tc>
          <w:tcPr/>
          <w:p>
            <w:pPr>
              <w:pStyle w:val="Compact"/>
              <w:jc w:val="left"/>
            </w:pPr>
            <w:r>
              <w:t xml:space="preserve">Choose when</w:t>
            </w:r>
          </w:p>
        </w:tc>
      </w:tr>
      <w:tr>
        <w:tc>
          <w:tcPr/>
          <w:p>
            <w:pPr>
              <w:pStyle w:val="Compact"/>
              <w:jc w:val="left"/>
            </w:pPr>
            <w:r>
              <w:t xml:space="preserve">Natural key (email, SKU)</w:t>
            </w:r>
          </w:p>
        </w:tc>
        <w:tc>
          <w:tcPr/>
          <w:p>
            <w:pPr>
              <w:pStyle w:val="Compact"/>
              <w:jc w:val="left"/>
            </w:pPr>
            <w:r>
              <w:t xml:space="preserve">Variable</w:t>
            </w:r>
          </w:p>
        </w:tc>
        <w:tc>
          <w:tcPr/>
          <w:p>
            <w:pPr>
              <w:pStyle w:val="Compact"/>
              <w:jc w:val="left"/>
            </w:pPr>
            <w:r>
              <w:t xml:space="preserve">Random</w:t>
            </w:r>
          </w:p>
        </w:tc>
        <w:tc>
          <w:tcPr/>
          <w:p>
            <w:pPr>
              <w:pStyle w:val="Compact"/>
              <w:jc w:val="left"/>
            </w:pPr>
            <w:r>
              <w:t xml:space="preserve">Within domain</w:t>
            </w:r>
          </w:p>
        </w:tc>
        <w:tc>
          <w:tcPr/>
          <w:p>
            <w:pPr>
              <w:pStyle w:val="Compact"/>
              <w:jc w:val="left"/>
            </w:pPr>
            <w:r>
              <w:t xml:space="preserve">Yes (it is data)</w:t>
            </w:r>
          </w:p>
        </w:tc>
        <w:tc>
          <w:tcPr/>
          <w:p>
            <w:pPr>
              <w:pStyle w:val="Compact"/>
              <w:jc w:val="left"/>
            </w:pPr>
            <w:r>
              <w:t xml:space="preserve">Small stable code tables</w:t>
            </w:r>
          </w:p>
        </w:tc>
      </w:tr>
      <w:tr>
        <w:tc>
          <w:tcPr/>
          <w:p>
            <w:pPr>
              <w:pStyle w:val="Compact"/>
              <w:jc w:val="left"/>
            </w:pPr>
            <w:r>
              <w:rPr>
                <w:rStyle w:val="VerbatimChar"/>
              </w:rPr>
              <w:t xml:space="preserve">bigint</w:t>
            </w:r>
            <w:r>
              <w:t xml:space="preserve"> </w:t>
            </w:r>
            <w:r>
              <w:t xml:space="preserve">identity / auto-increment</w:t>
            </w:r>
          </w:p>
        </w:tc>
        <w:tc>
          <w:tcPr/>
          <w:p>
            <w:pPr>
              <w:pStyle w:val="Compact"/>
              <w:jc w:val="left"/>
            </w:pPr>
            <w:r>
              <w:t xml:space="preserve">8 bytes</w:t>
            </w:r>
          </w:p>
        </w:tc>
        <w:tc>
          <w:tcPr/>
          <w:p>
            <w:pPr>
              <w:pStyle w:val="Compact"/>
              <w:jc w:val="left"/>
            </w:pPr>
            <w:r>
              <w:t xml:space="preserve">Sequential (excellent)</w:t>
            </w:r>
          </w:p>
        </w:tc>
        <w:tc>
          <w:tcPr/>
          <w:p>
            <w:pPr>
              <w:pStyle w:val="Compact"/>
              <w:jc w:val="left"/>
            </w:pPr>
            <w:r>
              <w:t xml:space="preserve">Per table only</w:t>
            </w:r>
          </w:p>
        </w:tc>
        <w:tc>
          <w:tcPr/>
          <w:p>
            <w:pPr>
              <w:pStyle w:val="Compact"/>
              <w:jc w:val="left"/>
            </w:pPr>
            <w:r>
              <w:t xml:space="preserve">Row count, growth rate</w:t>
            </w:r>
          </w:p>
        </w:tc>
        <w:tc>
          <w:tcPr/>
          <w:p>
            <w:pPr>
              <w:pStyle w:val="Compact"/>
              <w:jc w:val="left"/>
            </w:pPr>
            <w:r>
              <w:t xml:space="preserve">Single database, default choice</w:t>
            </w:r>
          </w:p>
        </w:tc>
      </w:tr>
      <w:tr>
        <w:tc>
          <w:tcPr/>
          <w:p>
            <w:pPr>
              <w:pStyle w:val="Compact"/>
              <w:jc w:val="left"/>
            </w:pPr>
            <w:r>
              <w:t xml:space="preserve">UUIDv4</w:t>
            </w:r>
          </w:p>
        </w:tc>
        <w:tc>
          <w:tcPr/>
          <w:p>
            <w:pPr>
              <w:pStyle w:val="Compact"/>
              <w:jc w:val="left"/>
            </w:pPr>
            <w:r>
              <w:t xml:space="preserve">16 bytes</w:t>
            </w:r>
          </w:p>
        </w:tc>
        <w:tc>
          <w:tcPr/>
          <w:p>
            <w:pPr>
              <w:pStyle w:val="Compact"/>
              <w:jc w:val="left"/>
            </w:pPr>
            <w:r>
              <w:t xml:space="preserve">Random (poor)</w:t>
            </w:r>
          </w:p>
        </w:tc>
        <w:tc>
          <w:tcPr/>
          <w:p>
            <w:pPr>
              <w:pStyle w:val="Compact"/>
              <w:jc w:val="left"/>
            </w:pPr>
            <w:r>
              <w:t xml:space="preserve">Yes</w:t>
            </w:r>
          </w:p>
        </w:tc>
        <w:tc>
          <w:tcPr/>
          <w:p>
            <w:pPr>
              <w:pStyle w:val="Compact"/>
              <w:jc w:val="left"/>
            </w:pPr>
            <w:r>
              <w:t xml:space="preserve">No</w:t>
            </w:r>
          </w:p>
        </w:tc>
        <w:tc>
          <w:tcPr/>
          <w:p>
            <w:pPr>
              <w:pStyle w:val="Compact"/>
              <w:jc w:val="left"/>
            </w:pPr>
            <w:r>
              <w:t xml:space="preserve">IDs generated offline by clients; small tables</w:t>
            </w:r>
          </w:p>
        </w:tc>
      </w:tr>
      <w:tr>
        <w:tc>
          <w:tcPr/>
          <w:p>
            <w:pPr>
              <w:pStyle w:val="Compact"/>
              <w:jc w:val="left"/>
            </w:pPr>
            <w:r>
              <w:t xml:space="preserve">UUIDv7 / Snowflake-style</w:t>
            </w:r>
          </w:p>
        </w:tc>
        <w:tc>
          <w:tcPr/>
          <w:p>
            <w:pPr>
              <w:pStyle w:val="Compact"/>
              <w:jc w:val="left"/>
            </w:pPr>
            <w:r>
              <w:t xml:space="preserve">16 / 8 bytes</w:t>
            </w:r>
          </w:p>
        </w:tc>
        <w:tc>
          <w:tcPr/>
          <w:p>
            <w:pPr>
              <w:pStyle w:val="Compact"/>
              <w:jc w:val="left"/>
            </w:pPr>
            <w:r>
              <w:t xml:space="preserve">Roughly sequential</w:t>
            </w:r>
          </w:p>
        </w:tc>
        <w:tc>
          <w:tcPr/>
          <w:p>
            <w:pPr>
              <w:pStyle w:val="Compact"/>
              <w:jc w:val="left"/>
            </w:pPr>
            <w:r>
              <w:t xml:space="preserve">Yes</w:t>
            </w:r>
          </w:p>
        </w:tc>
        <w:tc>
          <w:tcPr/>
          <w:p>
            <w:pPr>
              <w:pStyle w:val="Compact"/>
              <w:jc w:val="left"/>
            </w:pPr>
            <w:r>
              <w:t xml:space="preserve">Creation time</w:t>
            </w:r>
          </w:p>
        </w:tc>
        <w:tc>
          <w:tcPr/>
          <w:p>
            <w:pPr>
              <w:pStyle w:val="Compact"/>
              <w:jc w:val="left"/>
            </w:pPr>
            <w:r>
              <w:t xml:space="preserve">Many writers or shards (§17.10)</w:t>
            </w:r>
          </w:p>
        </w:tc>
      </w:tr>
    </w:tbl>
    <w:p>
      <w:pPr>
        <w:pStyle w:val="CalloutIndustry"/>
      </w:pPr>
      <w:r>
        <w:rPr>
          <w:bCs/>
          <w:b/>
        </w:rPr>
        <w:t xml:space="preserve">INDUSTRY EXAMPLE</w:t>
      </w:r>
    </w:p>
    <w:p>
      <w:pPr>
        <w:pStyle w:val="CalloutIndustry"/>
      </w:pPr>
      <w:r>
        <w:rPr>
          <w:bCs/>
          <w:b/>
        </w:rPr>
        <w:t xml:space="preserve">Instagram — sharded PostgreSQL with time-ordered 64-bit IDs.</w:t>
      </w:r>
      <w:r>
        <w:t xml:space="preserve"> </w:t>
      </w:r>
      <w:r>
        <w:t xml:space="preserve">Instagram described generating primary keys inside PostgreSQL with a function that packs 41 bits of milliseconds since a custom epoch, 13 bits of logical shard ID and 10 bits of a per-shard sequence. IDs sort by time (good B+ tree locality, cheap</w:t>
      </w:r>
      <w:r>
        <w:t xml:space="preserve"> </w:t>
      </w:r>
      <w:r>
        <w:t xml:space="preserve">“</w:t>
      </w:r>
      <w:r>
        <w:t xml:space="preserve">newest first</w:t>
      </w:r>
      <w:r>
        <w:t xml:space="preserve">”</w:t>
      </w:r>
      <w:r>
        <w:t xml:space="preserve"> </w:t>
      </w:r>
      <w:r>
        <w:t xml:space="preserve">queries), fit in a</w:t>
      </w:r>
      <w:r>
        <w:t xml:space="preserve"> </w:t>
      </w:r>
      <w:r>
        <w:rPr>
          <w:rStyle w:val="VerbatimChar"/>
        </w:rPr>
        <w:t xml:space="preserve">bigint</w:t>
      </w:r>
      <w:r>
        <w:t xml:space="preserve">, and need no central ID service. The trade-off is that IDs reveal creation time and that the bit budget caps per-shard throughput at 1,024 IDs per millisecond.</w:t>
      </w:r>
      <w:r>
        <w:t xml:space="preserve"> </w:t>
      </w:r>
      <w:r>
        <w:rPr>
          <w:iCs/>
          <w:i/>
        </w:rPr>
        <w:t xml:space="preserve">Evidence: Primary</w:t>
      </w:r>
      <w:r>
        <w:t xml:space="preserve"> </w:t>
      </w:r>
      <w:r>
        <w:t xml:space="preserve">— [Instagram Engineering 2012]</w:t>
      </w:r>
    </w:p>
    <w:p>
      <w:pPr>
        <w:pStyle w:val="CalloutMistake"/>
      </w:pPr>
      <w:r>
        <w:rPr>
          <w:bCs/>
          <w:b/>
        </w:rPr>
        <w:t xml:space="preserve">COMMON MISTAKE</w:t>
      </w:r>
    </w:p>
    <w:p>
      <w:pPr>
        <w:pStyle w:val="CalloutMistake"/>
      </w:pPr>
      <w:r>
        <w:rPr>
          <w:bCs/>
          <w:b/>
        </w:rPr>
        <w:t xml:space="preserve">Mistake —</w:t>
      </w:r>
      <w:r>
        <w:rPr>
          <w:bCs/>
          <w:b/>
        </w:rPr>
        <w:t xml:space="preserve"> </w:t>
      </w:r>
      <w:r>
        <w:rPr>
          <w:bCs/>
          <w:b/>
        </w:rPr>
        <w:t xml:space="preserve">“</w:t>
      </w:r>
      <w:r>
        <w:rPr>
          <w:bCs/>
          <w:b/>
        </w:rPr>
        <w:t xml:space="preserve">UUIDs are slow, never use them.</w:t>
      </w:r>
      <w:r>
        <w:rPr>
          <w:bCs/>
          <w:b/>
        </w:rPr>
        <w:t xml:space="preserve">”</w:t>
      </w:r>
      <w:r>
        <w:t xml:space="preserve"> </w:t>
      </w:r>
      <w:r>
        <w:t xml:space="preserve">The cost is randomness, not size. A UUIDv4 primary key in InnoDB, where the primary key</w:t>
      </w:r>
      <w:r>
        <w:t xml:space="preserve"> </w:t>
      </w:r>
      <w:r>
        <w:rPr>
          <w:iCs/>
          <w:i/>
        </w:rPr>
        <w:t xml:space="preserve">is</w:t>
      </w:r>
      <w:r>
        <w:t xml:space="preserve"> </w:t>
      </w:r>
      <w:r>
        <w:t xml:space="preserve">the storage order (§11.7), scatters inserts across the whole table; a UUIDv7 key does not.</w:t>
      </w:r>
    </w:p>
    <w:bookmarkEnd w:id="1197"/>
    <w:bookmarkEnd w:id="1198"/>
    <w:bookmarkStart w:id="1208" w:name="normalization-and-denormalization"/>
    <w:p>
      <w:pPr>
        <w:pStyle w:val="Heading2"/>
      </w:pPr>
      <w:r>
        <w:t xml:space="preserve">11.5 Normalization and denormalization</w:t>
      </w:r>
    </w:p>
    <w:bookmarkStart w:id="1200" w:name="redundancy-and-the-three-anomalies"/>
    <w:p>
      <w:pPr>
        <w:pStyle w:val="Heading3"/>
      </w:pPr>
      <w:r>
        <w:t xml:space="preserve">11.5.1 Redundancy and the three anomalies</w:t>
      </w:r>
    </w:p>
    <w:bookmarkStart w:id="1199" w:name="first-principles-explanation-66"/>
    <w:p>
      <w:pPr>
        <w:pStyle w:val="Heading4"/>
      </w:pPr>
      <w:r>
        <w:t xml:space="preserve">First-principles explanation</w:t>
      </w:r>
    </w:p>
    <w:p>
      <w:pPr>
        <w:pStyle w:val="FirstParagraph"/>
      </w:pPr>
      <w:r>
        <w:t xml:space="preserve">Imagine the shop’s first version kept one spreadsheet row per order line, with the customer’s email and the product’s name copied into every row. When Ana changes her email, 40 rows must change; miss one and the database holds two</w:t>
      </w:r>
      <w:r>
        <w:t xml:space="preserve"> </w:t>
      </w:r>
      <w:r>
        <w:t xml:space="preserve">“</w:t>
      </w:r>
      <w:r>
        <w:t xml:space="preserve">truths</w:t>
      </w:r>
      <w:r>
        <w:t xml:space="preserve">”</w:t>
      </w:r>
      <w:r>
        <w:t xml:space="preserve">. Normalization’s goal is that</w:t>
      </w:r>
      <w:r>
        <w:t xml:space="preserve"> </w:t>
      </w:r>
      <w:r>
        <w:rPr>
          <w:bCs/>
          <w:b/>
        </w:rPr>
        <w:t xml:space="preserve">every fact is stored exactly once</w:t>
      </w:r>
      <w:r>
        <w:t xml:space="preserve">.</w:t>
      </w:r>
    </w:p>
    <w:p>
      <w:pPr>
        <w:pStyle w:val="BodyText"/>
      </w:pPr>
      <w:r>
        <w:t xml:space="preserve">Redundant designs suffer three</w:t>
      </w:r>
      <w:r>
        <w:t xml:space="preserve"> </w:t>
      </w:r>
      <w:r>
        <w:rPr>
          <w:bCs/>
          <w:b/>
        </w:rPr>
        <w:t xml:space="preserve">anomalies</w:t>
      </w:r>
      <w:r>
        <w:t xml:space="preserve">:</w:t>
      </w:r>
    </w:p>
    <w:p>
      <w:pPr>
        <w:numPr>
          <w:ilvl w:val="0"/>
          <w:numId w:val="1362"/>
        </w:numPr>
        <w:pStyle w:val="Compact"/>
      </w:pPr>
      <w:r>
        <w:rPr>
          <w:bCs/>
          <w:b/>
        </w:rPr>
        <w:t xml:space="preserve">Update anomaly</w:t>
      </w:r>
      <w:r>
        <w:t xml:space="preserve"> </w:t>
      </w:r>
      <w:r>
        <w:t xml:space="preserve">— changing one fact requires changing many rows; a partial update leaves contradictions.</w:t>
      </w:r>
    </w:p>
    <w:p>
      <w:pPr>
        <w:numPr>
          <w:ilvl w:val="0"/>
          <w:numId w:val="1362"/>
        </w:numPr>
        <w:pStyle w:val="Compact"/>
      </w:pPr>
      <w:r>
        <w:rPr>
          <w:bCs/>
          <w:b/>
        </w:rPr>
        <w:t xml:space="preserve">Insert anomaly</w:t>
      </w:r>
      <w:r>
        <w:t xml:space="preserve"> </w:t>
      </w:r>
      <w:r>
        <w:t xml:space="preserve">— you cannot record a fact without an unrelated one: a new product cannot be stored until somebody orders it.</w:t>
      </w:r>
    </w:p>
    <w:p>
      <w:pPr>
        <w:numPr>
          <w:ilvl w:val="0"/>
          <w:numId w:val="1362"/>
        </w:numPr>
        <w:pStyle w:val="Compact"/>
      </w:pPr>
      <w:r>
        <w:rPr>
          <w:bCs/>
          <w:b/>
        </w:rPr>
        <w:t xml:space="preserve">Delete anomaly</w:t>
      </w:r>
      <w:r>
        <w:t xml:space="preserve"> </w:t>
      </w:r>
      <w:r>
        <w:t xml:space="preserve">— deleting one fact destroys another: canceling and purging the only order of a product loses the product’s name and price.</w:t>
      </w:r>
    </w:p>
    <w:p>
      <w:pPr>
        <w:pStyle w:val="CalloutDefinition"/>
      </w:pPr>
      <w:r>
        <w:rPr>
          <w:bCs/>
          <w:b/>
        </w:rPr>
        <w:t xml:space="preserve">DEFINITION</w:t>
      </w:r>
    </w:p>
    <w:p>
      <w:pPr>
        <w:pStyle w:val="CalloutDefinition"/>
      </w:pPr>
      <w:r>
        <w:rPr>
          <w:bCs/>
          <w:b/>
        </w:rPr>
        <w:t xml:space="preserve">Definition — Functional dependency.</w:t>
      </w:r>
      <w:r>
        <w:t xml:space="preserve"> </w:t>
      </w:r>
      <w:r>
        <w:t xml:space="preserve">In a relation</w:t>
      </w:r>
      <w:r>
        <w:t xml:space="preserve"> </w:t>
      </w:r>
      <m:oMath>
        <m:r>
          <m:t>R</m:t>
        </m:r>
      </m:oMath>
      <w:r>
        <w:t xml:space="preserve">, the functional dependency</w:t>
      </w:r>
      <w:r>
        <w:t xml:space="preserve"> </w:t>
      </w:r>
      <m:oMath>
        <m:r>
          <m:t>X</m:t>
        </m:r>
        <m:r>
          <m:rPr>
            <m:sty m:val="p"/>
          </m:rPr>
          <m:t>→</m:t>
        </m:r>
        <m:r>
          <m:t>Y</m:t>
        </m:r>
      </m:oMath>
      <w:r>
        <w:t xml:space="preserve"> </w:t>
      </w:r>
      <w:r>
        <w:t xml:space="preserve">holds if any two rows that agree on the columns</w:t>
      </w:r>
      <w:r>
        <w:t xml:space="preserve"> </w:t>
      </w:r>
      <m:oMath>
        <m:r>
          <m:t>X</m:t>
        </m:r>
      </m:oMath>
      <w:r>
        <w:t xml:space="preserve"> </w:t>
      </w:r>
      <w:r>
        <w:t xml:space="preserve">also agree on the columns</w:t>
      </w:r>
      <w:r>
        <w:t xml:space="preserve"> </w:t>
      </w:r>
      <m:oMath>
        <m:r>
          <m:t>Y</m:t>
        </m:r>
      </m:oMath>
      <w:r>
        <w:t xml:space="preserve">.</w:t>
      </w:r>
      <w:r>
        <w:t xml:space="preserve"> </w:t>
      </w:r>
      <m:oMath>
        <m:r>
          <m:t>X</m:t>
        </m:r>
      </m:oMath>
      <w:r>
        <w:t xml:space="preserve"> </w:t>
      </w:r>
      <w:r>
        <w:t xml:space="preserve">is the</w:t>
      </w:r>
      <w:r>
        <w:t xml:space="preserve"> </w:t>
      </w:r>
      <w:r>
        <w:rPr>
          <w:bCs/>
          <w:b/>
        </w:rPr>
        <w:t xml:space="preserve">determinant</w:t>
      </w:r>
      <w:r>
        <w:t xml:space="preserve">. Example:</w:t>
      </w:r>
      <w:r>
        <w:t xml:space="preserve"> </w:t>
      </w:r>
      <w:r>
        <w:rPr>
          <w:rStyle w:val="VerbatimChar"/>
        </w:rPr>
        <w:t xml:space="preserve">product_id → product_name</w:t>
      </w:r>
      <w:r>
        <w:t xml:space="preserve"> </w:t>
      </w:r>
      <w:r>
        <w:t xml:space="preserve">because one product ID always has one name.</w:t>
      </w:r>
    </w:p>
    <w:bookmarkEnd w:id="1199"/>
    <w:bookmarkEnd w:id="1200"/>
    <w:bookmarkStart w:id="1201" w:name="the-normal-forms"/>
    <w:p>
      <w:pPr>
        <w:pStyle w:val="Heading3"/>
      </w:pPr>
      <w:r>
        <w:t xml:space="preserve">11.5.2 The normal forms</w:t>
      </w:r>
    </w:p>
    <w:p>
      <w:pPr>
        <w:pStyle w:val="CalloutDefinition"/>
      </w:pPr>
      <w:r>
        <w:rPr>
          <w:bCs/>
          <w:b/>
        </w:rPr>
        <w:t xml:space="preserve">DEFINITION</w:t>
      </w:r>
    </w:p>
    <w:p>
      <w:pPr>
        <w:pStyle w:val="CalloutDefinition"/>
      </w:pPr>
      <w:r>
        <w:rPr>
          <w:bCs/>
          <w:b/>
        </w:rPr>
        <w:t xml:space="preserve">Definition — Normal forms (1NF to BCNF).</w:t>
      </w:r>
      <w:r>
        <w:t xml:space="preserve"> </w:t>
      </w:r>
      <w:r>
        <w:rPr>
          <w:bCs/>
          <w:b/>
        </w:rPr>
        <w:t xml:space="preserve">1NF:</w:t>
      </w:r>
      <w:r>
        <w:t xml:space="preserve"> </w:t>
      </w:r>
      <w:r>
        <w:t xml:space="preserve">every column holds a single atomic value (no lists or repeating groups).</w:t>
      </w:r>
      <w:r>
        <w:t xml:space="preserve"> </w:t>
      </w:r>
      <w:r>
        <w:rPr>
          <w:bCs/>
          <w:b/>
        </w:rPr>
        <w:t xml:space="preserve">2NF:</w:t>
      </w:r>
      <w:r>
        <w:t xml:space="preserve"> </w:t>
      </w:r>
      <w:r>
        <w:t xml:space="preserve">1NF, and no non-key column depends on only</w:t>
      </w:r>
      <w:r>
        <w:t xml:space="preserve"> </w:t>
      </w:r>
      <w:r>
        <w:rPr>
          <w:iCs/>
          <w:i/>
        </w:rPr>
        <w:t xml:space="preserve">part</w:t>
      </w:r>
      <w:r>
        <w:t xml:space="preserve"> </w:t>
      </w:r>
      <w:r>
        <w:t xml:space="preserve">of a composite candidate key.</w:t>
      </w:r>
      <w:r>
        <w:t xml:space="preserve"> </w:t>
      </w:r>
      <w:r>
        <w:rPr>
          <w:bCs/>
          <w:b/>
        </w:rPr>
        <w:t xml:space="preserve">3NF:</w:t>
      </w:r>
      <w:r>
        <w:t xml:space="preserve"> </w:t>
      </w:r>
      <w:r>
        <w:t xml:space="preserve">2NF, and no non-key column depends on another non-key column (no transitive dependency); formally, for every non-trivial</w:t>
      </w:r>
      <w:r>
        <w:t xml:space="preserve"> </w:t>
      </w:r>
      <m:oMath>
        <m:r>
          <m:t>X</m:t>
        </m:r>
        <m:r>
          <m:rPr>
            <m:sty m:val="p"/>
          </m:rPr>
          <m:t>→</m:t>
        </m:r>
        <m:r>
          <m:t>A</m:t>
        </m:r>
      </m:oMath>
      <w:r>
        <w:t xml:space="preserve">, either</w:t>
      </w:r>
      <w:r>
        <w:t xml:space="preserve"> </w:t>
      </w:r>
      <m:oMath>
        <m:r>
          <m:t>X</m:t>
        </m:r>
      </m:oMath>
      <w:r>
        <w:t xml:space="preserve"> </w:t>
      </w:r>
      <w:r>
        <w:t xml:space="preserve">is a superkey or</w:t>
      </w:r>
      <w:r>
        <w:t xml:space="preserve"> </w:t>
      </w:r>
      <m:oMath>
        <m:r>
          <m:t>A</m:t>
        </m:r>
      </m:oMath>
      <w:r>
        <w:t xml:space="preserve"> </w:t>
      </w:r>
      <w:r>
        <w:t xml:space="preserve">is part of some candidate key.</w:t>
      </w:r>
      <w:r>
        <w:t xml:space="preserve"> </w:t>
      </w:r>
      <w:r>
        <w:rPr>
          <w:bCs/>
          <w:b/>
        </w:rPr>
        <w:t xml:space="preserve">BCNF (Boyce–Codd normal form):</w:t>
      </w:r>
      <w:r>
        <w:t xml:space="preserve"> </w:t>
      </w:r>
      <w:r>
        <w:t xml:space="preserve">for every non-trivial</w:t>
      </w:r>
      <w:r>
        <w:t xml:space="preserve"> </w:t>
      </w:r>
      <m:oMath>
        <m:r>
          <m:t>X</m:t>
        </m:r>
        <m:r>
          <m:rPr>
            <m:sty m:val="p"/>
          </m:rPr>
          <m:t>→</m:t>
        </m:r>
        <m:r>
          <m:t>A</m:t>
        </m:r>
      </m:oMath>
      <w:r>
        <w:t xml:space="preserve">,</w:t>
      </w:r>
      <w:r>
        <w:t xml:space="preserve"> </w:t>
      </w:r>
      <m:oMath>
        <m:r>
          <m:t>X</m:t>
        </m:r>
      </m:oMath>
      <w:r>
        <w:t xml:space="preserve"> </w:t>
      </w:r>
      <w:r>
        <w:t xml:space="preserve">is a superkey. BCNF removes 3NF’s exception for key columns.</w:t>
      </w:r>
    </w:p>
    <w:p>
      <w:pPr>
        <w:pStyle w:val="BodyText"/>
      </w:pPr>
      <w:r>
        <w:t xml:space="preserve">Kent’s one-line summary of 2NF and 3NF is that every non-key column must provide a fact about</w:t>
      </w:r>
      <w:r>
        <w:t xml:space="preserve"> </w:t>
      </w:r>
      <w:r>
        <w:t xml:space="preserve">“</w:t>
      </w:r>
      <w:r>
        <w:t xml:space="preserve">the key, the whole key, and nothing but the key</w:t>
      </w:r>
      <w:r>
        <w:t xml:space="preserve">”</w:t>
      </w:r>
      <w:r>
        <w:t xml:space="preserve"> </w:t>
      </w:r>
      <w:r>
        <w:t xml:space="preserve">[Kent 1983]. Higher forms (4NF, 5NF) deal with multi-valued and join dependencies and rarely matter in application design.</w:t>
      </w:r>
    </w:p>
    <w:p>
      <w:pPr>
        <w:pStyle w:val="BodyText"/>
      </w:pPr>
      <w:r>
        <w:rPr>
          <w:bCs/>
          <w:b/>
        </w:rPr>
        <w:t xml:space="preserve">Table 11.2 — Normal forms at a glance.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Form</w:t>
            </w:r>
          </w:p>
        </w:tc>
        <w:tc>
          <w:tcPr/>
          <w:p>
            <w:pPr>
              <w:pStyle w:val="Compact"/>
              <w:jc w:val="left"/>
            </w:pPr>
            <w:r>
              <w:t xml:space="preserve">Forbids</w:t>
            </w:r>
          </w:p>
        </w:tc>
        <w:tc>
          <w:tcPr/>
          <w:p>
            <w:pPr>
              <w:pStyle w:val="Compact"/>
              <w:jc w:val="left"/>
            </w:pPr>
            <w:r>
              <w:t xml:space="preserve">Typical symptom</w:t>
            </w:r>
          </w:p>
        </w:tc>
        <w:tc>
          <w:tcPr/>
          <w:p>
            <w:pPr>
              <w:pStyle w:val="Compact"/>
              <w:jc w:val="left"/>
            </w:pPr>
            <w:r>
              <w:t xml:space="preserve">Fix</w:t>
            </w:r>
          </w:p>
        </w:tc>
      </w:tr>
      <w:tr>
        <w:tc>
          <w:tcPr/>
          <w:p>
            <w:pPr>
              <w:pStyle w:val="Compact"/>
              <w:jc w:val="left"/>
            </w:pPr>
            <w:r>
              <w:t xml:space="preserve">1NF</w:t>
            </w:r>
          </w:p>
        </w:tc>
        <w:tc>
          <w:tcPr/>
          <w:p>
            <w:pPr>
              <w:pStyle w:val="Compact"/>
              <w:jc w:val="left"/>
            </w:pPr>
            <w:r>
              <w:t xml:space="preserve">Lists or repeating groups in a column</w:t>
            </w:r>
          </w:p>
        </w:tc>
        <w:tc>
          <w:tcPr/>
          <w:p>
            <w:pPr>
              <w:pStyle w:val="Compact"/>
              <w:jc w:val="left"/>
            </w:pPr>
            <w:r>
              <w:rPr>
                <w:rStyle w:val="VerbatimChar"/>
              </w:rPr>
              <w:t xml:space="preserve">items = 'MUG-1x2; TEE-1x1'</w:t>
            </w:r>
          </w:p>
        </w:tc>
        <w:tc>
          <w:tcPr/>
          <w:p>
            <w:pPr>
              <w:pStyle w:val="Compact"/>
              <w:jc w:val="left"/>
            </w:pPr>
            <w:r>
              <w:t xml:space="preserve">One row per item</w:t>
            </w:r>
          </w:p>
        </w:tc>
      </w:tr>
      <w:tr>
        <w:tc>
          <w:tcPr/>
          <w:p>
            <w:pPr>
              <w:pStyle w:val="Compact"/>
              <w:jc w:val="left"/>
            </w:pPr>
            <w:r>
              <w:t xml:space="preserve">2NF</w:t>
            </w:r>
          </w:p>
        </w:tc>
        <w:tc>
          <w:tcPr/>
          <w:p>
            <w:pPr>
              <w:pStyle w:val="Compact"/>
              <w:jc w:val="left"/>
            </w:pPr>
            <w:r>
              <w:t xml:space="preserve">Dependency on part of a composite key</w:t>
            </w:r>
          </w:p>
        </w:tc>
        <w:tc>
          <w:tcPr/>
          <w:p>
            <w:pPr>
              <w:pStyle w:val="Compact"/>
              <w:jc w:val="left"/>
            </w:pPr>
            <w:r>
              <w:t xml:space="preserve">Product name repeated on every order line</w:t>
            </w:r>
          </w:p>
        </w:tc>
        <w:tc>
          <w:tcPr/>
          <w:p>
            <w:pPr>
              <w:pStyle w:val="Compact"/>
              <w:jc w:val="left"/>
            </w:pPr>
            <w:r>
              <w:t xml:space="preserve">Move to a table keyed by the part</w:t>
            </w:r>
          </w:p>
        </w:tc>
      </w:tr>
      <w:tr>
        <w:tc>
          <w:tcPr/>
          <w:p>
            <w:pPr>
              <w:pStyle w:val="Compact"/>
              <w:jc w:val="left"/>
            </w:pPr>
            <w:r>
              <w:t xml:space="preserve">3NF</w:t>
            </w:r>
          </w:p>
        </w:tc>
        <w:tc>
          <w:tcPr/>
          <w:p>
            <w:pPr>
              <w:pStyle w:val="Compact"/>
              <w:jc w:val="left"/>
            </w:pPr>
            <w:r>
              <w:t xml:space="preserve">Non-key → non-key dependency</w:t>
            </w:r>
          </w:p>
        </w:tc>
        <w:tc>
          <w:tcPr/>
          <w:p>
            <w:pPr>
              <w:pStyle w:val="Compact"/>
              <w:jc w:val="left"/>
            </w:pPr>
            <w:r>
              <w:t xml:space="preserve">Customer email repeated on every order</w:t>
            </w:r>
          </w:p>
        </w:tc>
        <w:tc>
          <w:tcPr/>
          <w:p>
            <w:pPr>
              <w:pStyle w:val="Compact"/>
              <w:jc w:val="left"/>
            </w:pPr>
            <w:r>
              <w:t xml:space="preserve">Move to a table keyed by the determinant</w:t>
            </w:r>
          </w:p>
        </w:tc>
      </w:tr>
      <w:tr>
        <w:tc>
          <w:tcPr/>
          <w:p>
            <w:pPr>
              <w:pStyle w:val="Compact"/>
              <w:jc w:val="left"/>
            </w:pPr>
            <w:r>
              <w:t xml:space="preserve">BCNF</w:t>
            </w:r>
          </w:p>
        </w:tc>
        <w:tc>
          <w:tcPr/>
          <w:p>
            <w:pPr>
              <w:pStyle w:val="Compact"/>
              <w:jc w:val="left"/>
            </w:pPr>
            <w:r>
              <w:t xml:space="preserve">Any determinant that is not a superkey</w:t>
            </w:r>
          </w:p>
        </w:tc>
        <w:tc>
          <w:tcPr/>
          <w:p>
            <w:pPr>
              <w:pStyle w:val="Compact"/>
              <w:jc w:val="left"/>
            </w:pPr>
            <w:r>
              <w:t xml:space="preserve">Overlapping candidate keys (see below)</w:t>
            </w:r>
          </w:p>
        </w:tc>
        <w:tc>
          <w:tcPr/>
          <w:p>
            <w:pPr>
              <w:pStyle w:val="Compact"/>
              <w:jc w:val="left"/>
            </w:pPr>
            <w:r>
              <w:t xml:space="preserve">Split on the offending dependency</w:t>
            </w:r>
          </w:p>
        </w:tc>
      </w:tr>
    </w:tbl>
    <w:bookmarkEnd w:id="1201"/>
    <w:bookmarkStart w:id="1205" w:name="X0ab0f5e3951879111c5a1038436b48ce1b5643d"/>
    <w:p>
      <w:pPr>
        <w:pStyle w:val="Heading3"/>
      </w:pPr>
      <w:r>
        <w:t xml:space="preserve">11.5.3 Worked decomposition: from a flat export to BCNF</w:t>
      </w:r>
    </w:p>
    <w:p>
      <w:pPr>
        <w:pStyle w:val="CalloutExample"/>
      </w:pPr>
      <w:r>
        <w:rPr>
          <w:bCs/>
          <w:b/>
        </w:rPr>
        <w:t xml:space="preserve">WORKED EXAMPLE</w:t>
      </w:r>
    </w:p>
    <w:p>
      <w:pPr>
        <w:pStyle w:val="CalloutExample"/>
      </w:pPr>
      <w:r>
        <w:rPr>
          <w:bCs/>
          <w:b/>
        </w:rPr>
        <w:t xml:space="preserve">Worked example — Normalizing the shop’s order export.</w:t>
      </w:r>
      <w:r>
        <w:t xml:space="preserve"> </w:t>
      </w:r>
      <w:r>
        <w:t xml:space="preserve">The legacy export has one row per order line:</w:t>
      </w:r>
    </w:p>
    <w:p>
      <w:pPr>
        <w:pStyle w:val="CalloutExample"/>
      </w:pPr>
      <w:r>
        <w:rPr>
          <w:rStyle w:val="VerbatimChar"/>
        </w:rPr>
        <w:t xml:space="preserve">order_lines_flat(order_id, order_date, customer_id, customer_email, customer_city, product_id, product_name, list_price_cents, quantity, unit_price_cents)</w:t>
      </w:r>
    </w:p>
    <w:p>
      <w:pPr>
        <w:pStyle w:val="CalloutExample"/>
      </w:pPr>
      <w:r>
        <w:rPr>
          <w:iCs/>
          <w:i/>
        </w:rPr>
        <w:t xml:space="preserve">Step 1 — 1NF.</w:t>
      </w:r>
      <w:r>
        <w:t xml:space="preserve"> </w:t>
      </w:r>
      <w:r>
        <w:t xml:space="preserve">An even older format stored all items of an order in one text cell. Splitting that cell into one row per product makes every value atomic, giving the table above.</w:t>
      </w:r>
    </w:p>
    <w:p>
      <w:pPr>
        <w:pStyle w:val="CalloutExample"/>
      </w:pPr>
      <w:r>
        <w:rPr>
          <w:iCs/>
          <w:i/>
        </w:rPr>
        <w:t xml:space="preserve">Step 2 — List the functional dependencies.</w:t>
      </w:r>
      <w:r>
        <w:t xml:space="preserve"> </w:t>
      </w:r>
      <w:r>
        <w:t xml:space="preserve">From the business rules:</w:t>
      </w:r>
      <w:r>
        <w:t xml:space="preserve"> </w:t>
      </w:r>
      <w:r>
        <w:t xml:space="preserve">- FD1:</w:t>
      </w:r>
      <w:r>
        <w:t xml:space="preserve"> </w:t>
      </w:r>
      <w:r>
        <w:rPr>
          <w:rStyle w:val="VerbatimChar"/>
        </w:rPr>
        <w:t xml:space="preserve">order_id → order_date, customer_id</w:t>
      </w:r>
      <w:r>
        <w:t xml:space="preserve"> </w:t>
      </w:r>
      <w:r>
        <w:t xml:space="preserve">- FD2:</w:t>
      </w:r>
      <w:r>
        <w:t xml:space="preserve"> </w:t>
      </w:r>
      <w:r>
        <w:rPr>
          <w:rStyle w:val="VerbatimChar"/>
        </w:rPr>
        <w:t xml:space="preserve">customer_id → customer_email, customer_city</w:t>
      </w:r>
      <w:r>
        <w:t xml:space="preserve"> </w:t>
      </w:r>
      <w:r>
        <w:t xml:space="preserve">- FD3:</w:t>
      </w:r>
      <w:r>
        <w:t xml:space="preserve"> </w:t>
      </w:r>
      <w:r>
        <w:rPr>
          <w:rStyle w:val="VerbatimChar"/>
        </w:rPr>
        <w:t xml:space="preserve">customer_email → customer_id</w:t>
      </w:r>
      <w:r>
        <w:t xml:space="preserve"> </w:t>
      </w:r>
      <w:r>
        <w:t xml:space="preserve">(emails are unique)</w:t>
      </w:r>
      <w:r>
        <w:t xml:space="preserve"> </w:t>
      </w:r>
      <w:r>
        <w:t xml:space="preserve">- FD4:</w:t>
      </w:r>
      <w:r>
        <w:t xml:space="preserve"> </w:t>
      </w:r>
      <w:r>
        <w:rPr>
          <w:rStyle w:val="VerbatimChar"/>
        </w:rPr>
        <w:t xml:space="preserve">product_id → product_name, list_price_cents</w:t>
      </w:r>
      <w:r>
        <w:t xml:space="preserve"> </w:t>
      </w:r>
      <w:r>
        <w:t xml:space="preserve">- FD5:</w:t>
      </w:r>
      <w:r>
        <w:t xml:space="preserve"> </w:t>
      </w:r>
      <w:r>
        <w:rPr>
          <w:rStyle w:val="VerbatimChar"/>
        </w:rPr>
        <w:t xml:space="preserve">order_id, product_id → quantity, unit_price_cents</w:t>
      </w:r>
      <w:r>
        <w:t xml:space="preserve"> </w:t>
      </w:r>
      <w:r>
        <w:t xml:space="preserve">(one line per product per order)</w:t>
      </w:r>
    </w:p>
    <w:p>
      <w:pPr>
        <w:pStyle w:val="CalloutExample"/>
      </w:pPr>
      <w:r>
        <w:t xml:space="preserve">The only candidate key is</w:t>
      </w:r>
      <w:r>
        <w:t xml:space="preserve"> </w:t>
      </w:r>
      <w:r>
        <w:rPr>
          <w:rStyle w:val="VerbatimChar"/>
        </w:rPr>
        <w:t xml:space="preserve">{order_id, product_id}</w:t>
      </w:r>
      <w:r>
        <w:t xml:space="preserve">: together they determine every column, and neither does alone.</w:t>
      </w:r>
    </w:p>
    <w:p>
      <w:pPr>
        <w:pStyle w:val="CalloutExample"/>
      </w:pPr>
      <w:r>
        <w:rPr>
          <w:iCs/>
          <w:i/>
        </w:rPr>
        <w:t xml:space="preserve">Step 3 — 2NF.</w:t>
      </w:r>
      <w:r>
        <w:t xml:space="preserve"> </w:t>
      </w:r>
      <w:r>
        <w:t xml:space="preserve">FD1 and FD4 have determinants that are</w:t>
      </w:r>
      <w:r>
        <w:t xml:space="preserve"> </w:t>
      </w:r>
      <w:r>
        <w:rPr>
          <w:iCs/>
          <w:i/>
        </w:rPr>
        <w:t xml:space="preserve">part</w:t>
      </w:r>
      <w:r>
        <w:t xml:space="preserve"> </w:t>
      </w:r>
      <w:r>
        <w:t xml:space="preserve">of the key, so</w:t>
      </w:r>
      <w:r>
        <w:t xml:space="preserve"> </w:t>
      </w:r>
      <w:r>
        <w:rPr>
          <w:rStyle w:val="VerbatimChar"/>
        </w:rPr>
        <w:t xml:space="preserve">order_date</w:t>
      </w:r>
      <w:r>
        <w:t xml:space="preserve">, the customer columns and the product columns depend on part of the key. Split each partial dependency into its own table:</w:t>
      </w:r>
      <w:r>
        <w:t xml:space="preserve"> </w:t>
      </w:r>
      <w:r>
        <w:t xml:space="preserve">-</w:t>
      </w:r>
      <w:r>
        <w:t xml:space="preserve"> </w:t>
      </w:r>
      <w:r>
        <w:rPr>
          <w:rStyle w:val="VerbatimChar"/>
        </w:rPr>
        <w:t xml:space="preserve">orders_wide(order_id, order_date, customer_id, customer_email, customer_city)</w:t>
      </w:r>
      <w:r>
        <w:t xml:space="preserve"> </w:t>
      </w:r>
      <w:r>
        <w:t xml:space="preserve">-</w:t>
      </w:r>
      <w:r>
        <w:t xml:space="preserve"> </w:t>
      </w:r>
      <w:r>
        <w:rPr>
          <w:rStyle w:val="VerbatimChar"/>
        </w:rPr>
        <w:t xml:space="preserve">products(product_id, product_name, list_price_cents)</w:t>
      </w:r>
      <w:r>
        <w:t xml:space="preserve"> </w:t>
      </w:r>
      <w:r>
        <w:t xml:space="preserve">-</w:t>
      </w:r>
      <w:r>
        <w:t xml:space="preserve"> </w:t>
      </w:r>
      <w:r>
        <w:rPr>
          <w:rStyle w:val="VerbatimChar"/>
        </w:rPr>
        <w:t xml:space="preserve">order_lines(order_id, product_id, quantity, unit_price_cents)</w:t>
      </w:r>
    </w:p>
    <w:p>
      <w:pPr>
        <w:pStyle w:val="CalloutExample"/>
      </w:pPr>
      <w:r>
        <w:rPr>
          <w:iCs/>
          <w:i/>
        </w:rPr>
        <w:t xml:space="preserve">Step 4 — 3NF.</w:t>
      </w:r>
      <w:r>
        <w:t xml:space="preserve"> </w:t>
      </w:r>
      <w:r>
        <w:t xml:space="preserve">In</w:t>
      </w:r>
      <w:r>
        <w:t xml:space="preserve"> </w:t>
      </w:r>
      <w:r>
        <w:rPr>
          <w:rStyle w:val="VerbatimChar"/>
        </w:rPr>
        <w:t xml:space="preserve">orders_wide</w:t>
      </w:r>
      <w:r>
        <w:t xml:space="preserve">,</w:t>
      </w:r>
      <w:r>
        <w:t xml:space="preserve"> </w:t>
      </w:r>
      <w:r>
        <w:rPr>
          <w:rStyle w:val="VerbatimChar"/>
        </w:rPr>
        <w:t xml:space="preserve">order_id → customer_id → customer_email, customer_city</w:t>
      </w:r>
      <w:r>
        <w:t xml:space="preserve"> </w:t>
      </w:r>
      <w:r>
        <w:t xml:space="preserve">is a transitive dependency. Split on FD2:</w:t>
      </w:r>
      <w:r>
        <w:t xml:space="preserve"> </w:t>
      </w:r>
      <w:r>
        <w:t xml:space="preserve">-</w:t>
      </w:r>
      <w:r>
        <w:t xml:space="preserve"> </w:t>
      </w:r>
      <w:r>
        <w:rPr>
          <w:rStyle w:val="VerbatimChar"/>
        </w:rPr>
        <w:t xml:space="preserve">orders(order_id, order_date, customer_id)</w:t>
      </w:r>
      <w:r>
        <w:t xml:space="preserve"> </w:t>
      </w:r>
      <w:r>
        <w:t xml:space="preserve">-</w:t>
      </w:r>
      <w:r>
        <w:t xml:space="preserve"> </w:t>
      </w:r>
      <w:r>
        <w:rPr>
          <w:rStyle w:val="VerbatimChar"/>
        </w:rPr>
        <w:t xml:space="preserve">customers(customer_id, customer_email, customer_city)</w:t>
      </w:r>
    </w:p>
    <w:p>
      <w:pPr>
        <w:pStyle w:val="CalloutExample"/>
      </w:pPr>
      <w:r>
        <w:rPr>
          <w:iCs/>
          <w:i/>
        </w:rPr>
        <w:t xml:space="preserve">Step 5 — BCNF check.</w:t>
      </w:r>
      <w:r>
        <w:t xml:space="preserve"> </w:t>
      </w:r>
      <w:r>
        <w:t xml:space="preserve">In</w:t>
      </w:r>
      <w:r>
        <w:t xml:space="preserve"> </w:t>
      </w:r>
      <w:r>
        <w:rPr>
          <w:rStyle w:val="VerbatimChar"/>
        </w:rPr>
        <w:t xml:space="preserve">customers</w:t>
      </w:r>
      <w:r>
        <w:t xml:space="preserve">, the determinants are</w:t>
      </w:r>
      <w:r>
        <w:t xml:space="preserve"> </w:t>
      </w:r>
      <w:r>
        <w:rPr>
          <w:rStyle w:val="VerbatimChar"/>
        </w:rPr>
        <w:t xml:space="preserve">customer_id</w:t>
      </w:r>
      <w:r>
        <w:t xml:space="preserve"> </w:t>
      </w:r>
      <w:r>
        <w:t xml:space="preserve">and</w:t>
      </w:r>
      <w:r>
        <w:t xml:space="preserve"> </w:t>
      </w:r>
      <w:r>
        <w:rPr>
          <w:rStyle w:val="VerbatimChar"/>
        </w:rPr>
        <w:t xml:space="preserve">customer_email</w:t>
      </w:r>
      <w:r>
        <w:t xml:space="preserve">, both candidate keys. In every other table the only determinant is the primary key. All five tables are in BCNF.</w:t>
      </w:r>
    </w:p>
    <w:p>
      <w:pPr>
        <w:pStyle w:val="CalloutExample"/>
      </w:pPr>
      <w:r>
        <w:rPr>
          <w:iCs/>
          <w:i/>
        </w:rPr>
        <w:t xml:space="preserve">Step 6 — Lossless-join check.</w:t>
      </w:r>
      <w:r>
        <w:t xml:space="preserve"> </w:t>
      </w:r>
      <w:r>
        <w:t xml:space="preserve">A split of</w:t>
      </w:r>
      <w:r>
        <w:t xml:space="preserve"> </w:t>
      </w:r>
      <m:oMath>
        <m:r>
          <m:t>R</m:t>
        </m:r>
      </m:oMath>
      <w:r>
        <w:t xml:space="preserve"> </w:t>
      </w:r>
      <w:r>
        <w:t xml:space="preserve">into</w:t>
      </w:r>
      <w:r>
        <w:t xml:space="preserve"> </w:t>
      </w:r>
      <m:oMath>
        <m:sSub>
          <m:e>
            <m:r>
              <m:t>R</m:t>
            </m:r>
          </m:e>
          <m:sub>
            <m:r>
              <m:t>1</m:t>
            </m:r>
          </m:sub>
        </m:sSub>
      </m:oMath>
      <w:r>
        <w:t xml:space="preserve"> </w:t>
      </w:r>
      <w:r>
        <w:t xml:space="preserve">and</w:t>
      </w:r>
      <w:r>
        <w:t xml:space="preserve"> </w:t>
      </w:r>
      <m:oMath>
        <m:sSub>
          <m:e>
            <m:r>
              <m:t>R</m:t>
            </m:r>
          </m:e>
          <m:sub>
            <m:r>
              <m:t>2</m:t>
            </m:r>
          </m:sub>
        </m:sSub>
      </m:oMath>
      <w:r>
        <w:t xml:space="preserve"> </w:t>
      </w:r>
      <w:r>
        <w:t xml:space="preserve">is</w:t>
      </w:r>
      <w:r>
        <w:t xml:space="preserve"> </w:t>
      </w:r>
      <w:r>
        <w:rPr>
          <w:bCs/>
          <w:b/>
        </w:rPr>
        <w:t xml:space="preserve">lossless</w:t>
      </w:r>
      <w:r>
        <w:t xml:space="preserve"> </w:t>
      </w:r>
      <w:r>
        <w:t xml:space="preserve">(joining them back reproduces exactly the original rows, no more, no fewer) if the shared columns form a key of at least one side. Each split above shares a column that is a key of one side (</w:t>
      </w:r>
      <w:r>
        <w:rPr>
          <w:rStyle w:val="VerbatimChar"/>
        </w:rPr>
        <w:t xml:space="preserve">order_id</w:t>
      </w:r>
      <w:r>
        <w:t xml:space="preserve">,</w:t>
      </w:r>
      <w:r>
        <w:t xml:space="preserve"> </w:t>
      </w:r>
      <w:r>
        <w:rPr>
          <w:rStyle w:val="VerbatimChar"/>
        </w:rPr>
        <w:t xml:space="preserve">product_id</w:t>
      </w:r>
      <w:r>
        <w:t xml:space="preserve">,</w:t>
      </w:r>
      <w:r>
        <w:t xml:space="preserve"> </w:t>
      </w:r>
      <w:r>
        <w:rPr>
          <w:rStyle w:val="VerbatimChar"/>
        </w:rPr>
        <w:t xml:space="preserve">customer_id</w:t>
      </w:r>
      <w:r>
        <w:t xml:space="preserve">), so joining the five tables reproduces the export exactly.</w:t>
      </w:r>
    </w:p>
    <w:p>
      <w:pPr>
        <w:pStyle w:val="CalloutExample"/>
      </w:pPr>
      <w:r>
        <w:rPr>
          <w:bCs/>
          <w:b/>
        </w:rPr>
        <w:t xml:space="preserve">Interpretation.</w:t>
      </w:r>
      <w:r>
        <w:t xml:space="preserve"> </w:t>
      </w:r>
      <w:r>
        <w:t xml:space="preserve">Ana’s email is now stored once, products exist without orders, and deleting an order never loses product data.</w:t>
      </w:r>
      <w:r>
        <w:t xml:space="preserve"> </w:t>
      </w:r>
      <w:r>
        <w:rPr>
          <w:bCs/>
          <w:b/>
        </w:rPr>
        <w:t xml:space="preserve">Engineering implication.</w:t>
      </w:r>
      <w:r>
        <w:t xml:space="preserve"> </w:t>
      </w:r>
      <w:r>
        <w:t xml:space="preserve">Notice that</w:t>
      </w:r>
      <w:r>
        <w:t xml:space="preserve"> </w:t>
      </w:r>
      <w:r>
        <w:rPr>
          <w:rStyle w:val="VerbatimChar"/>
        </w:rPr>
        <w:t xml:space="preserve">unit_price_cents</w:t>
      </w:r>
      <w:r>
        <w:t xml:space="preserve"> </w:t>
      </w:r>
      <w:r>
        <w:t xml:space="preserve">stayed in</w:t>
      </w:r>
      <w:r>
        <w:t xml:space="preserve"> </w:t>
      </w:r>
      <w:r>
        <w:rPr>
          <w:rStyle w:val="VerbatimChar"/>
        </w:rPr>
        <w:t xml:space="preserve">order_lines</w:t>
      </w:r>
      <w:r>
        <w:t xml:space="preserve"> </w:t>
      </w:r>
      <w:r>
        <w:t xml:space="preserve">while</w:t>
      </w:r>
      <w:r>
        <w:t xml:space="preserve"> </w:t>
      </w:r>
      <w:r>
        <w:rPr>
          <w:rStyle w:val="VerbatimChar"/>
        </w:rPr>
        <w:t xml:space="preserve">list_price_cents</w:t>
      </w:r>
      <w:r>
        <w:t xml:space="preserve"> </w:t>
      </w:r>
      <w:r>
        <w:t xml:space="preserve">moved to</w:t>
      </w:r>
      <w:r>
        <w:t xml:space="preserve"> </w:t>
      </w:r>
      <w:r>
        <w:rPr>
          <w:rStyle w:val="VerbatimChar"/>
        </w:rPr>
        <w:t xml:space="preserve">products</w:t>
      </w:r>
      <w:r>
        <w:t xml:space="preserve">. They are different facts: the price</w:t>
      </w:r>
      <w:r>
        <w:t xml:space="preserve"> </w:t>
      </w:r>
      <w:r>
        <w:rPr>
          <w:iCs/>
          <w:i/>
        </w:rPr>
        <w:t xml:space="preserve">charged</w:t>
      </w:r>
      <w:r>
        <w:t xml:space="preserve"> </w:t>
      </w:r>
      <w:r>
        <w:t xml:space="preserve">on that day versus the price</w:t>
      </w:r>
      <w:r>
        <w:t xml:space="preserve"> </w:t>
      </w:r>
      <w:r>
        <w:rPr>
          <w:iCs/>
          <w:i/>
        </w:rPr>
        <w:t xml:space="preserve">today</w:t>
      </w:r>
      <w:r>
        <w:t xml:space="preserve">. Copying the price into the order line is not redundancy; it is history, and dropping it would make every past invoice change whenever marketing changes a price.</w:t>
      </w:r>
    </w:p>
    <w:p>
      <w:pPr>
        <w:pStyle w:val="BodyText"/>
      </w:pPr>
      <w:r>
        <w:rPr>
          <w:bCs/>
          <w:b/>
        </w:rPr>
        <w:t xml:space="preserve">Figure 11.1 — Decomposing the flat order export into BCNF tables.</w:t>
      </w:r>
    </w:p>
    <w:p>
      <w:pPr>
        <w:pStyle w:val="BodyText"/>
      </w:pPr>
      <w:r>
        <w:drawing>
          <wp:inline>
            <wp:extent cx="5334000" cy="1520637"/>
            <wp:effectExtent b="0" l="0" r="0" t="0"/>
            <wp:docPr descr="" title="" id="1203" name="Picture"/>
            <a:graphic>
              <a:graphicData uri="http://schemas.openxmlformats.org/drawingml/2006/picture">
                <pic:pic>
                  <pic:nvPicPr>
                    <pic:cNvPr descr="/home/user/System-Design/build/.cache/diagrams/713effccfa37.png" id="1204" name="Picture"/>
                    <pic:cNvPicPr>
                      <a:picLocks noChangeArrowheads="1" noChangeAspect="1"/>
                    </pic:cNvPicPr>
                  </pic:nvPicPr>
                  <pic:blipFill>
                    <a:blip r:embed="rId1202"/>
                    <a:stretch>
                      <a:fillRect/>
                    </a:stretch>
                  </pic:blipFill>
                  <pic:spPr bwMode="auto">
                    <a:xfrm>
                      <a:off x="0" y="0"/>
                      <a:ext cx="5334000" cy="1520637"/>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rectangle on the left is the unnormalized input, middle rectangles are intermediate tables and cylinders are the final BCNF tables. Solid arrows are decomposition steps labeled with the dependency that justified them; dotted arrows are the foreign keys that make the decomposition lossless. These are join paths, not runtime flows, so there is no synchronous or asynchronous traffic here. The risk a decomposition introduces is a lost dependency (§11.5.4); the scaling cost is one more join per extra table, which denormalization later buys back.</w:t>
      </w:r>
    </w:p>
    <w:bookmarkEnd w:id="1205"/>
    <w:bookmarkStart w:id="1206" w:name="when-bcnf-and-3nf-disagree"/>
    <w:p>
      <w:pPr>
        <w:pStyle w:val="Heading3"/>
      </w:pPr>
      <w:r>
        <w:t xml:space="preserve">11.5.4 When BCNF and 3NF disagree</w:t>
      </w:r>
    </w:p>
    <w:p>
      <w:pPr>
        <w:pStyle w:val="FirstParagraph"/>
      </w:pPr>
      <w:r>
        <w:t xml:space="preserve">Most 3NF schemas are already in BCNF; the exception needs overlapping candidate keys. Suppose each delivery depot is run by one carrier (</w:t>
      </w:r>
      <w:r>
        <w:rPr>
          <w:rStyle w:val="VerbatimChar"/>
        </w:rPr>
        <w:t xml:space="preserve">depot → carrier</w:t>
      </w:r>
      <w:r>
        <w:t xml:space="preserve">) and each carrier serves a postal code from one depot (</w:t>
      </w:r>
      <w:r>
        <w:rPr>
          <w:rStyle w:val="VerbatimChar"/>
        </w:rPr>
        <w:t xml:space="preserve">postal_code, carrier → depot</w:t>
      </w:r>
      <w:r>
        <w:t xml:space="preserve">). In</w:t>
      </w:r>
      <w:r>
        <w:t xml:space="preserve"> </w:t>
      </w:r>
      <w:r>
        <w:rPr>
          <w:rStyle w:val="VerbatimChar"/>
        </w:rPr>
        <w:t xml:space="preserve">coverage(postal_code, carrier, depot)</w:t>
      </w:r>
      <w:r>
        <w:t xml:space="preserve"> </w:t>
      </w:r>
      <w:r>
        <w:t xml:space="preserve">the candidate keys are</w:t>
      </w:r>
      <w:r>
        <w:t xml:space="preserve"> </w:t>
      </w:r>
      <w:r>
        <w:rPr>
          <w:rStyle w:val="VerbatimChar"/>
        </w:rPr>
        <w:t xml:space="preserve">{postal_code, carrier}</w:t>
      </w:r>
      <w:r>
        <w:t xml:space="preserve"> </w:t>
      </w:r>
      <w:r>
        <w:t xml:space="preserve">and</w:t>
      </w:r>
      <w:r>
        <w:t xml:space="preserve"> </w:t>
      </w:r>
      <w:r>
        <w:rPr>
          <w:rStyle w:val="VerbatimChar"/>
        </w:rPr>
        <w:t xml:space="preserve">{postal_code, depot}</w:t>
      </w:r>
      <w:r>
        <w:t xml:space="preserve">, so</w:t>
      </w:r>
      <w:r>
        <w:t xml:space="preserve"> </w:t>
      </w:r>
      <w:r>
        <w:rPr>
          <w:rStyle w:val="VerbatimChar"/>
        </w:rPr>
        <w:t xml:space="preserve">depot → carrier</w:t>
      </w:r>
      <w:r>
        <w:t xml:space="preserve"> </w:t>
      </w:r>
      <w:r>
        <w:t xml:space="preserve">violates BCNF but not 3NF (</w:t>
      </w:r>
      <w:r>
        <w:rPr>
          <w:rStyle w:val="VerbatimChar"/>
        </w:rPr>
        <w:t xml:space="preserve">carrier</w:t>
      </w:r>
      <w:r>
        <w:t xml:space="preserve"> </w:t>
      </w:r>
      <w:r>
        <w:t xml:space="preserve">is part of a key). Splitting into</w:t>
      </w:r>
      <w:r>
        <w:t xml:space="preserve"> </w:t>
      </w:r>
      <w:r>
        <w:rPr>
          <w:rStyle w:val="VerbatimChar"/>
        </w:rPr>
        <w:t xml:space="preserve">depots(depot, carrier)</w:t>
      </w:r>
      <w:r>
        <w:t xml:space="preserve"> </w:t>
      </w:r>
      <w:r>
        <w:t xml:space="preserve">and</w:t>
      </w:r>
      <w:r>
        <w:t xml:space="preserve"> </w:t>
      </w:r>
      <w:r>
        <w:rPr>
          <w:rStyle w:val="VerbatimChar"/>
        </w:rPr>
        <w:t xml:space="preserve">coverage(postal_code, depot)</w:t>
      </w:r>
      <w:r>
        <w:t xml:space="preserve"> </w:t>
      </w:r>
      <w:r>
        <w:t xml:space="preserve">reaches BCNF but</w:t>
      </w:r>
      <w:r>
        <w:t xml:space="preserve"> </w:t>
      </w:r>
      <w:r>
        <w:rPr>
          <w:rStyle w:val="VerbatimChar"/>
        </w:rPr>
        <w:t xml:space="preserve">postal_code, carrier → depot</w:t>
      </w:r>
      <w:r>
        <w:t xml:space="preserve"> </w:t>
      </w:r>
      <w:r>
        <w:t xml:space="preserve">can no longer be enforced by a unique constraint. BCNF decomposition is always lossless but not always</w:t>
      </w:r>
      <w:r>
        <w:t xml:space="preserve"> </w:t>
      </w:r>
      <w:r>
        <w:rPr>
          <w:bCs/>
          <w:b/>
        </w:rPr>
        <w:t xml:space="preserve">dependency-preserving</w:t>
      </w:r>
      <w:r>
        <w:t xml:space="preserve">; 3NF can always achieve both [Ramakrishnan and Gehrke 2003].</w:t>
      </w:r>
    </w:p>
    <w:bookmarkEnd w:id="1206"/>
    <w:bookmarkStart w:id="1207" w:name="denormalization"/>
    <w:p>
      <w:pPr>
        <w:pStyle w:val="Heading3"/>
      </w:pPr>
      <w:r>
        <w:t xml:space="preserve">11.5.5 Denormalization</w:t>
      </w:r>
    </w:p>
    <w:p>
      <w:pPr>
        <w:pStyle w:val="CalloutDefinition"/>
      </w:pPr>
      <w:r>
        <w:rPr>
          <w:bCs/>
          <w:b/>
        </w:rPr>
        <w:t xml:space="preserve">DEFINITION</w:t>
      </w:r>
    </w:p>
    <w:p>
      <w:pPr>
        <w:pStyle w:val="CalloutDefinition"/>
      </w:pPr>
      <w:r>
        <w:rPr>
          <w:bCs/>
          <w:b/>
        </w:rPr>
        <w:t xml:space="preserve">Definition — Denormalization.</w:t>
      </w:r>
      <w:r>
        <w:t xml:space="preserve"> </w:t>
      </w:r>
      <w:r>
        <w:t xml:space="preserve">Deliberately storing a fact more than once, or storing a derived value, to make important reads cheaper, while accepting the cost of keeping the copies consistent.</w:t>
      </w:r>
    </w:p>
    <w:p>
      <w:pPr>
        <w:pStyle w:val="BodyText"/>
      </w:pPr>
      <w:r>
        <w:t xml:space="preserve">Normalization optimizes for correct, cheap writes; some read paths (a product page with its review count, a revenue dashboard) would then need large joins or aggregations on every request. Common forms of denormalization:</w:t>
      </w:r>
    </w:p>
    <w:p>
      <w:pPr>
        <w:numPr>
          <w:ilvl w:val="0"/>
          <w:numId w:val="1363"/>
        </w:numPr>
        <w:pStyle w:val="Compact"/>
      </w:pPr>
      <w:r>
        <w:rPr>
          <w:bCs/>
          <w:b/>
        </w:rPr>
        <w:t xml:space="preserve">Stored aggregates</w:t>
      </w:r>
      <w:r>
        <w:t xml:space="preserve"> </w:t>
      </w:r>
      <w:r>
        <w:t xml:space="preserve">—</w:t>
      </w:r>
      <w:r>
        <w:t xml:space="preserve"> </w:t>
      </w:r>
      <w:r>
        <w:rPr>
          <w:rStyle w:val="VerbatimChar"/>
        </w:rPr>
        <w:t xml:space="preserve">orders.total_cents</w:t>
      </w:r>
      <w:r>
        <w:t xml:space="preserve">,</w:t>
      </w:r>
      <w:r>
        <w:t xml:space="preserve"> </w:t>
      </w:r>
      <w:r>
        <w:rPr>
          <w:rStyle w:val="VerbatimChar"/>
        </w:rPr>
        <w:t xml:space="preserve">products.review_count</w:t>
      </w:r>
      <w:r>
        <w:t xml:space="preserve">, updated in the same transaction as the rows they summarize.</w:t>
      </w:r>
    </w:p>
    <w:p>
      <w:pPr>
        <w:numPr>
          <w:ilvl w:val="0"/>
          <w:numId w:val="1363"/>
        </w:numPr>
        <w:pStyle w:val="Compact"/>
      </w:pPr>
      <w:r>
        <w:rPr>
          <w:bCs/>
          <w:b/>
        </w:rPr>
        <w:t xml:space="preserve">Copied columns</w:t>
      </w:r>
      <w:r>
        <w:t xml:space="preserve"> </w:t>
      </w:r>
      <w:r>
        <w:t xml:space="preserve">—</w:t>
      </w:r>
      <w:r>
        <w:t xml:space="preserve"> </w:t>
      </w:r>
      <w:r>
        <w:rPr>
          <w:rStyle w:val="VerbatimChar"/>
        </w:rPr>
        <w:t xml:space="preserve">order_lines.product_name</w:t>
      </w:r>
      <w:r>
        <w:t xml:space="preserve"> </w:t>
      </w:r>
      <w:r>
        <w:t xml:space="preserve">kept so invoices render without a join (and, like the unit price, it is also a historical fact).</w:t>
      </w:r>
    </w:p>
    <w:p>
      <w:pPr>
        <w:numPr>
          <w:ilvl w:val="0"/>
          <w:numId w:val="1363"/>
        </w:numPr>
        <w:pStyle w:val="Compact"/>
      </w:pPr>
      <w:r>
        <w:rPr>
          <w:bCs/>
          <w:b/>
        </w:rPr>
        <w:t xml:space="preserve">Materialized views</w:t>
      </w:r>
      <w:r>
        <w:t xml:space="preserve"> </w:t>
      </w:r>
      <w:r>
        <w:t xml:space="preserve">— a stored query result, refreshed periodically (</w:t>
      </w:r>
      <w:r>
        <w:rPr>
          <w:rStyle w:val="VerbatimChar"/>
        </w:rPr>
        <w:t xml:space="preserve">REFRESH MATERIALIZED VIEW CONCURRENTLY</w:t>
      </w:r>
      <w:r>
        <w:t xml:space="preserve"> </w:t>
      </w:r>
      <w:r>
        <w:t xml:space="preserve">in PostgreSQL).</w:t>
      </w:r>
    </w:p>
    <w:p>
      <w:pPr>
        <w:numPr>
          <w:ilvl w:val="0"/>
          <w:numId w:val="1363"/>
        </w:numPr>
        <w:pStyle w:val="Compact"/>
      </w:pPr>
      <w:r>
        <w:rPr>
          <w:bCs/>
          <w:b/>
        </w:rPr>
        <w:t xml:space="preserve">Read models outside the database</w:t>
      </w:r>
      <w:r>
        <w:t xml:space="preserve"> </w:t>
      </w:r>
      <w:r>
        <w:t xml:space="preserve">— caches (Chapter 20), search indexes (Chapter 16) or CQRS projections fed by change data capture (§32.4, §32.6). These are updated asynchronously and are therefore eventually consistent.</w:t>
      </w:r>
    </w:p>
    <w:p>
      <w:pPr>
        <w:pStyle w:val="CalloutRecommendation"/>
      </w:pPr>
      <w:r>
        <w:rPr>
          <w:bCs/>
          <w:b/>
        </w:rPr>
        <w:t xml:space="preserve">RECOMMENDATION</w:t>
      </w:r>
    </w:p>
    <w:p>
      <w:pPr>
        <w:pStyle w:val="CalloutRecommendation"/>
      </w:pPr>
      <w:r>
        <w:rPr>
          <w:bCs/>
          <w:b/>
        </w:rPr>
        <w:t xml:space="preserve">Recommendation — Normalize the source of truth; denormalize with an owner.</w:t>
      </w:r>
      <w:r>
        <w:t xml:space="preserve"> </w:t>
      </w:r>
      <w:r>
        <w:t xml:space="preserve">Add a redundant copy only for a measured read problem, and name what keeps it consistent: the same transaction, a trigger, or an asynchronous pipeline (eventually consistent, needs a reconciliation job). A copy with no owner will drift.</w:t>
      </w:r>
    </w:p>
    <w:p>
      <w:pPr>
        <w:pStyle w:val="BodyText"/>
      </w:pPr>
      <w:r>
        <w:rPr>
          <w:bCs/>
          <w:b/>
        </w:rPr>
        <w:t xml:space="preserve">Table 11.3 — Failure scenarios in schema design.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Two customers rows with the same email</w:t>
            </w:r>
          </w:p>
        </w:tc>
        <w:tc>
          <w:tcPr/>
          <w:p>
            <w:pPr>
              <w:pStyle w:val="Compact"/>
              <w:jc w:val="left"/>
            </w:pPr>
            <w:r>
              <w:t xml:space="preserve">Natural key not declared</w:t>
            </w:r>
            <w:r>
              <w:t xml:space="preserve"> </w:t>
            </w:r>
            <w:r>
              <w:rPr>
                <w:rStyle w:val="VerbatimChar"/>
              </w:rPr>
              <w:t xml:space="preserve">UNIQUE</w:t>
            </w:r>
          </w:p>
        </w:tc>
        <w:tc>
          <w:tcPr/>
          <w:p>
            <w:pPr>
              <w:pStyle w:val="Compact"/>
              <w:jc w:val="left"/>
            </w:pPr>
            <w:r>
              <w:t xml:space="preserve">Duplicate-detection query; login bugs</w:t>
            </w:r>
          </w:p>
        </w:tc>
        <w:tc>
          <w:tcPr/>
          <w:p>
            <w:pPr>
              <w:pStyle w:val="Compact"/>
              <w:jc w:val="left"/>
            </w:pPr>
            <w:r>
              <w:t xml:space="preserve">Merge rows, repoint FKs</w:t>
            </w:r>
          </w:p>
        </w:tc>
        <w:tc>
          <w:tcPr/>
          <w:p>
            <w:pPr>
              <w:pStyle w:val="Compact"/>
              <w:jc w:val="left"/>
            </w:pPr>
            <w:r>
              <w:rPr>
                <w:rStyle w:val="VerbatimChar"/>
              </w:rPr>
              <w:t xml:space="preserve">UNIQUE</w:t>
            </w:r>
            <w:r>
              <w:t xml:space="preserve"> </w:t>
            </w:r>
            <w:r>
              <w:t xml:space="preserve">on every candidate key</w:t>
            </w:r>
          </w:p>
        </w:tc>
      </w:tr>
      <w:tr>
        <w:tc>
          <w:tcPr/>
          <w:p>
            <w:pPr>
              <w:pStyle w:val="Compact"/>
              <w:jc w:val="left"/>
            </w:pPr>
            <w:r>
              <w:t xml:space="preserve">Denormalized total disagrees with items</w:t>
            </w:r>
          </w:p>
        </w:tc>
        <w:tc>
          <w:tcPr/>
          <w:p>
            <w:pPr>
              <w:pStyle w:val="Compact"/>
              <w:jc w:val="left"/>
            </w:pPr>
            <w:r>
              <w:t xml:space="preserve">Update path forgot the aggregate</w:t>
            </w:r>
          </w:p>
        </w:tc>
        <w:tc>
          <w:tcPr/>
          <w:p>
            <w:pPr>
              <w:pStyle w:val="Compact"/>
              <w:jc w:val="left"/>
            </w:pPr>
            <w:r>
              <w:t xml:space="preserve">Nightly reconciliation query</w:t>
            </w:r>
          </w:p>
        </w:tc>
        <w:tc>
          <w:tcPr/>
          <w:p>
            <w:pPr>
              <w:pStyle w:val="Compact"/>
              <w:jc w:val="left"/>
            </w:pPr>
            <w:r>
              <w:t xml:space="preserve">Recompute from source rows</w:t>
            </w:r>
          </w:p>
        </w:tc>
        <w:tc>
          <w:tcPr/>
          <w:p>
            <w:pPr>
              <w:pStyle w:val="Compact"/>
              <w:jc w:val="left"/>
            </w:pPr>
            <w:r>
              <w:t xml:space="preserve">Update in the same transaction; reconciliation job</w:t>
            </w:r>
          </w:p>
        </w:tc>
      </w:tr>
      <w:tr>
        <w:tc>
          <w:tcPr/>
          <w:p>
            <w:pPr>
              <w:pStyle w:val="Compact"/>
              <w:jc w:val="left"/>
            </w:pPr>
            <w:r>
              <w:t xml:space="preserve">Old invoices change when prices change</w:t>
            </w:r>
          </w:p>
        </w:tc>
        <w:tc>
          <w:tcPr/>
          <w:p>
            <w:pPr>
              <w:pStyle w:val="Compact"/>
              <w:jc w:val="left"/>
            </w:pPr>
            <w:r>
              <w:t xml:space="preserve">Price stored only in</w:t>
            </w:r>
            <w:r>
              <w:t xml:space="preserve"> </w:t>
            </w:r>
            <w:r>
              <w:rPr>
                <w:rStyle w:val="VerbatimChar"/>
              </w:rPr>
              <w:t xml:space="preserve">products</w:t>
            </w:r>
          </w:p>
        </w:tc>
        <w:tc>
          <w:tcPr/>
          <w:p>
            <w:pPr>
              <w:pStyle w:val="Compact"/>
              <w:jc w:val="left"/>
            </w:pPr>
            <w:r>
              <w:t xml:space="preserve">Customer complaints, audit</w:t>
            </w:r>
          </w:p>
        </w:tc>
        <w:tc>
          <w:tcPr/>
          <w:p>
            <w:pPr>
              <w:pStyle w:val="Compact"/>
              <w:jc w:val="left"/>
            </w:pPr>
            <w:r>
              <w:t xml:space="preserve">Restore from backups or logs</w:t>
            </w:r>
          </w:p>
        </w:tc>
        <w:tc>
          <w:tcPr/>
          <w:p>
            <w:pPr>
              <w:pStyle w:val="Compact"/>
              <w:jc w:val="left"/>
            </w:pPr>
            <w:r>
              <w:t xml:space="preserve">Store price-at-purchase in</w:t>
            </w:r>
            <w:r>
              <w:t xml:space="preserve"> </w:t>
            </w:r>
            <w:r>
              <w:rPr>
                <w:rStyle w:val="VerbatimChar"/>
              </w:rPr>
              <w:t xml:space="preserve">order_lines</w:t>
            </w:r>
          </w:p>
        </w:tc>
      </w:tr>
      <w:tr>
        <w:tc>
          <w:tcPr/>
          <w:p>
            <w:pPr>
              <w:pStyle w:val="Compact"/>
              <w:jc w:val="left"/>
            </w:pPr>
            <w:r>
              <w:t xml:space="preserve">Orphaned order lines</w:t>
            </w:r>
          </w:p>
        </w:tc>
        <w:tc>
          <w:tcPr/>
          <w:p>
            <w:pPr>
              <w:pStyle w:val="Compact"/>
              <w:jc w:val="left"/>
            </w:pPr>
            <w:r>
              <w:t xml:space="preserve">No FK constraint</w:t>
            </w:r>
          </w:p>
        </w:tc>
        <w:tc>
          <w:tcPr/>
          <w:p>
            <w:pPr>
              <w:pStyle w:val="Compact"/>
              <w:jc w:val="left"/>
            </w:pPr>
            <w:r>
              <w:t xml:space="preserve">Anti-join</w:t>
            </w:r>
            <w:r>
              <w:t xml:space="preserve"> </w:t>
            </w:r>
            <w:r>
              <w:rPr>
                <w:rStyle w:val="VerbatimChar"/>
              </w:rPr>
              <w:t xml:space="preserve">NOT EXISTS</w:t>
            </w:r>
            <w:r>
              <w:t xml:space="preserve"> </w:t>
            </w:r>
            <w:r>
              <w:t xml:space="preserve">check</w:t>
            </w:r>
          </w:p>
        </w:tc>
        <w:tc>
          <w:tcPr/>
          <w:p>
            <w:pPr>
              <w:pStyle w:val="Compact"/>
              <w:jc w:val="left"/>
            </w:pPr>
            <w:r>
              <w:t xml:space="preserve">Delete or repair orphans</w:t>
            </w:r>
          </w:p>
        </w:tc>
        <w:tc>
          <w:tcPr/>
          <w:p>
            <w:pPr>
              <w:pStyle w:val="Compact"/>
              <w:jc w:val="left"/>
            </w:pPr>
            <w:r>
              <w:t xml:space="preserve">Declare FKs;</w:t>
            </w:r>
            <w:r>
              <w:t xml:space="preserve"> </w:t>
            </w:r>
            <w:r>
              <w:rPr>
                <w:rStyle w:val="VerbatimChar"/>
              </w:rPr>
              <w:t xml:space="preserve">ON DELETE CASCADE</w:t>
            </w:r>
            <w:r>
              <w:t xml:space="preserve"> </w:t>
            </w:r>
            <w:r>
              <w:t xml:space="preserve">for owned rows</w:t>
            </w:r>
          </w:p>
        </w:tc>
      </w:tr>
    </w:tbl>
    <w:bookmarkEnd w:id="1207"/>
    <w:bookmarkEnd w:id="1208"/>
    <w:bookmarkStart w:id="1218" w:name="sql-and-joins"/>
    <w:p>
      <w:pPr>
        <w:pStyle w:val="Heading2"/>
      </w:pPr>
      <w:r>
        <w:t xml:space="preserve">11.6 SQL and joins</w:t>
      </w:r>
    </w:p>
    <w:bookmarkStart w:id="1209" w:name="sql-as-a-declarative-language"/>
    <w:p>
      <w:pPr>
        <w:pStyle w:val="Heading3"/>
      </w:pPr>
      <w:r>
        <w:t xml:space="preserve">11.6.1 SQL as a declarative language</w:t>
      </w:r>
    </w:p>
    <w:p>
      <w:pPr>
        <w:pStyle w:val="CalloutDefinition"/>
      </w:pPr>
      <w:r>
        <w:rPr>
          <w:bCs/>
          <w:b/>
        </w:rPr>
        <w:t xml:space="preserve">DEFINITION</w:t>
      </w:r>
    </w:p>
    <w:p>
      <w:pPr>
        <w:pStyle w:val="CalloutDefinition"/>
      </w:pPr>
      <w:r>
        <w:rPr>
          <w:bCs/>
          <w:b/>
        </w:rPr>
        <w:t xml:space="preserve">Definition — SQL.</w:t>
      </w:r>
      <w:r>
        <w:t xml:space="preserve"> </w:t>
      </w:r>
      <w:r>
        <w:t xml:space="preserve">The Structured Query Language, standardized by ANSI/ISO, with sublanguages for defining schema (DDL:</w:t>
      </w:r>
      <w:r>
        <w:t xml:space="preserve"> </w:t>
      </w:r>
      <w:r>
        <w:rPr>
          <w:rStyle w:val="VerbatimChar"/>
        </w:rPr>
        <w:t xml:space="preserve">CREATE</w:t>
      </w:r>
      <w:r>
        <w:t xml:space="preserve">,</w:t>
      </w:r>
      <w:r>
        <w:t xml:space="preserve"> </w:t>
      </w:r>
      <w:r>
        <w:rPr>
          <w:rStyle w:val="VerbatimChar"/>
        </w:rPr>
        <w:t xml:space="preserve">ALTER</w:t>
      </w:r>
      <w:r>
        <w:t xml:space="preserve">,</w:t>
      </w:r>
      <w:r>
        <w:t xml:space="preserve"> </w:t>
      </w:r>
      <w:r>
        <w:rPr>
          <w:rStyle w:val="VerbatimChar"/>
        </w:rPr>
        <w:t xml:space="preserve">DROP</w:t>
      </w:r>
      <w:r>
        <w:t xml:space="preserve">), manipulating data (DML:</w:t>
      </w:r>
      <w:r>
        <w:t xml:space="preserve"> </w:t>
      </w:r>
      <w:r>
        <w:rPr>
          <w:rStyle w:val="VerbatimChar"/>
        </w:rPr>
        <w:t xml:space="preserve">SELECT</w:t>
      </w:r>
      <w:r>
        <w:t xml:space="preserve">,</w:t>
      </w:r>
      <w:r>
        <w:t xml:space="preserve"> </w:t>
      </w:r>
      <w:r>
        <w:rPr>
          <w:rStyle w:val="VerbatimChar"/>
        </w:rPr>
        <w:t xml:space="preserve">INSERT</w:t>
      </w:r>
      <w:r>
        <w:t xml:space="preserve">,</w:t>
      </w:r>
      <w:r>
        <w:t xml:space="preserve"> </w:t>
      </w:r>
      <w:r>
        <w:rPr>
          <w:rStyle w:val="VerbatimChar"/>
        </w:rPr>
        <w:t xml:space="preserve">UPDATE</w:t>
      </w:r>
      <w:r>
        <w:t xml:space="preserve">,</w:t>
      </w:r>
      <w:r>
        <w:t xml:space="preserve"> </w:t>
      </w:r>
      <w:r>
        <w:rPr>
          <w:rStyle w:val="VerbatimChar"/>
        </w:rPr>
        <w:t xml:space="preserve">DELETE</w:t>
      </w:r>
      <w:r>
        <w:t xml:space="preserve">) and controlling transactions (</w:t>
      </w:r>
      <w:r>
        <w:rPr>
          <w:rStyle w:val="VerbatimChar"/>
        </w:rPr>
        <w:t xml:space="preserve">BEGIN</w:t>
      </w:r>
      <w:r>
        <w:t xml:space="preserve">,</w:t>
      </w:r>
      <w:r>
        <w:t xml:space="preserve"> </w:t>
      </w:r>
      <w:r>
        <w:rPr>
          <w:rStyle w:val="VerbatimChar"/>
        </w:rPr>
        <w:t xml:space="preserve">COMMIT</w:t>
      </w:r>
      <w:r>
        <w:t xml:space="preserve">,</w:t>
      </w:r>
      <w:r>
        <w:t xml:space="preserve"> </w:t>
      </w:r>
      <w:r>
        <w:rPr>
          <w:rStyle w:val="VerbatimChar"/>
        </w:rPr>
        <w:t xml:space="preserve">ROLLBACK</w:t>
      </w:r>
      <w:r>
        <w:t xml:space="preserve">). Every major database implements the core standard plus its own dialect.</w:t>
      </w:r>
    </w:p>
    <w:p>
      <w:pPr>
        <w:pStyle w:val="BodyText"/>
      </w:pPr>
      <w:r>
        <w:t xml:space="preserve">A</w:t>
      </w:r>
      <w:r>
        <w:t xml:space="preserve"> </w:t>
      </w:r>
      <w:r>
        <w:rPr>
          <w:rStyle w:val="VerbatimChar"/>
        </w:rPr>
        <w:t xml:space="preserve">SELECT</w:t>
      </w:r>
      <w:r>
        <w:t xml:space="preserve"> </w:t>
      </w:r>
      <w:r>
        <w:t xml:space="preserve">is evaluated, logically, in the order</w:t>
      </w:r>
      <w:r>
        <w:t xml:space="preserve"> </w:t>
      </w:r>
      <w:r>
        <w:rPr>
          <w:rStyle w:val="VerbatimChar"/>
        </w:rPr>
        <w:t xml:space="preserve">FROM</w:t>
      </w:r>
      <w:r>
        <w:t xml:space="preserve">/</w:t>
      </w:r>
      <w:r>
        <w:rPr>
          <w:rStyle w:val="VerbatimChar"/>
        </w:rPr>
        <w:t xml:space="preserve">JOIN</w:t>
      </w:r>
      <w:r>
        <w:t xml:space="preserve"> </w:t>
      </w:r>
      <w:r>
        <w:t xml:space="preserve">→</w:t>
      </w:r>
      <w:r>
        <w:t xml:space="preserve"> </w:t>
      </w:r>
      <w:r>
        <w:rPr>
          <w:rStyle w:val="VerbatimChar"/>
        </w:rPr>
        <w:t xml:space="preserve">WHERE</w:t>
      </w:r>
      <w:r>
        <w:t xml:space="preserve"> </w:t>
      </w:r>
      <w:r>
        <w:t xml:space="preserve">→</w:t>
      </w:r>
      <w:r>
        <w:t xml:space="preserve"> </w:t>
      </w:r>
      <w:r>
        <w:rPr>
          <w:rStyle w:val="VerbatimChar"/>
        </w:rPr>
        <w:t xml:space="preserve">GROUP BY</w:t>
      </w:r>
      <w:r>
        <w:t xml:space="preserve"> </w:t>
      </w:r>
      <w:r>
        <w:t xml:space="preserve">→</w:t>
      </w:r>
      <w:r>
        <w:t xml:space="preserve"> </w:t>
      </w:r>
      <w:r>
        <w:rPr>
          <w:rStyle w:val="VerbatimChar"/>
        </w:rPr>
        <w:t xml:space="preserve">HAVING</w:t>
      </w:r>
      <w:r>
        <w:t xml:space="preserve"> </w:t>
      </w:r>
      <w:r>
        <w:t xml:space="preserve">→</w:t>
      </w:r>
      <w:r>
        <w:t xml:space="preserve"> </w:t>
      </w:r>
      <w:r>
        <w:rPr>
          <w:rStyle w:val="VerbatimChar"/>
        </w:rPr>
        <w:t xml:space="preserve">SELECT</w:t>
      </w:r>
      <w:r>
        <w:t xml:space="preserve"> </w:t>
      </w:r>
      <w:r>
        <w:t xml:space="preserve">→</w:t>
      </w:r>
      <w:r>
        <w:t xml:space="preserve"> </w:t>
      </w:r>
      <w:r>
        <w:rPr>
          <w:rStyle w:val="VerbatimChar"/>
        </w:rPr>
        <w:t xml:space="preserve">ORDER BY</w:t>
      </w:r>
      <w:r>
        <w:t xml:space="preserve"> </w:t>
      </w:r>
      <w:r>
        <w:t xml:space="preserve">→</w:t>
      </w:r>
      <w:r>
        <w:t xml:space="preserve"> </w:t>
      </w:r>
      <w:r>
        <w:rPr>
          <w:rStyle w:val="VerbatimChar"/>
        </w:rPr>
        <w:t xml:space="preserve">LIMIT</w:t>
      </w:r>
      <w:r>
        <w:t xml:space="preserve">, which is why a</w:t>
      </w:r>
      <w:r>
        <w:t xml:space="preserve"> </w:t>
      </w:r>
      <w:r>
        <w:rPr>
          <w:rStyle w:val="VerbatimChar"/>
        </w:rPr>
        <w:t xml:space="preserve">SELECT</w:t>
      </w:r>
      <w:r>
        <w:t xml:space="preserve"> </w:t>
      </w:r>
      <w:r>
        <w:t xml:space="preserve">alias cannot be used in</w:t>
      </w:r>
      <w:r>
        <w:t xml:space="preserve"> </w:t>
      </w:r>
      <w:r>
        <w:rPr>
          <w:rStyle w:val="VerbatimChar"/>
        </w:rPr>
        <w:t xml:space="preserve">WHERE</w:t>
      </w:r>
      <w:r>
        <w:t xml:space="preserve">. The physical execution order may differ (a filter pushed below a join) as long as the result is identical.</w:t>
      </w:r>
    </w:p>
    <w:bookmarkEnd w:id="1209"/>
    <w:bookmarkStart w:id="1210" w:name="join-types"/>
    <w:p>
      <w:pPr>
        <w:pStyle w:val="Heading3"/>
      </w:pPr>
      <w:r>
        <w:t xml:space="preserve">11.6.2 Join types</w:t>
      </w:r>
    </w:p>
    <w:p>
      <w:pPr>
        <w:pStyle w:val="FirstParagraph"/>
      </w:pPr>
      <w:r>
        <w:t xml:space="preserve">A</w:t>
      </w:r>
      <w:r>
        <w:t xml:space="preserve"> </w:t>
      </w:r>
      <w:r>
        <w:rPr>
          <w:bCs/>
          <w:b/>
        </w:rPr>
        <w:t xml:space="preserve">join</w:t>
      </w:r>
      <w:r>
        <w:t xml:space="preserve"> </w:t>
      </w:r>
      <w:r>
        <w:t xml:space="preserve">combines rows from two tables that satisfy a condition. Using the shop tables:</w:t>
      </w:r>
    </w:p>
    <w:p>
      <w:pPr>
        <w:pStyle w:val="SourceCode"/>
      </w:pPr>
      <w:r>
        <w:rPr>
          <w:rStyle w:val="CommentTok"/>
        </w:rPr>
        <w:t xml:space="preserve">-- Inner join: orders with their customer (orders without a customer cannot exist: FK)</w:t>
      </w:r>
      <w:r>
        <w:br/>
      </w:r>
      <w:r>
        <w:rPr>
          <w:rStyle w:val="KeywordTok"/>
        </w:rPr>
        <w:t xml:space="preserve">SELECT</w:t>
      </w:r>
      <w:r>
        <w:rPr>
          <w:rStyle w:val="NormalTok"/>
        </w:rPr>
        <w:t xml:space="preserve"> o.order_id, c.email, o.total_cents</w:t>
      </w:r>
      <w:r>
        <w:br/>
      </w:r>
      <w:r>
        <w:rPr>
          <w:rStyle w:val="KeywordTok"/>
        </w:rPr>
        <w:t xml:space="preserve">FROM</w:t>
      </w:r>
      <w:r>
        <w:rPr>
          <w:rStyle w:val="NormalTok"/>
        </w:rPr>
        <w:t xml:space="preserve"> orders o</w:t>
      </w:r>
      <w:r>
        <w:br/>
      </w:r>
      <w:r>
        <w:rPr>
          <w:rStyle w:val="KeywordTok"/>
        </w:rPr>
        <w:t xml:space="preserve">JOIN</w:t>
      </w:r>
      <w:r>
        <w:rPr>
          <w:rStyle w:val="NormalTok"/>
        </w:rPr>
        <w:t xml:space="preserve"> customers c </w:t>
      </w:r>
      <w:r>
        <w:rPr>
          <w:rStyle w:val="KeywordTok"/>
        </w:rPr>
        <w:t xml:space="preserve">ON</w:t>
      </w:r>
      <w:r>
        <w:rPr>
          <w:rStyle w:val="NormalTok"/>
        </w:rPr>
        <w:t xml:space="preserve"> c.customer_id </w:t>
      </w:r>
      <w:r>
        <w:rPr>
          <w:rStyle w:val="OperatorTok"/>
        </w:rPr>
        <w:t xml:space="preserve">=</w:t>
      </w:r>
      <w:r>
        <w:rPr>
          <w:rStyle w:val="NormalTok"/>
        </w:rPr>
        <w:t xml:space="preserve"> o.customer_id;</w:t>
      </w:r>
      <w:r>
        <w:br/>
      </w:r>
      <w:r>
        <w:br/>
      </w:r>
      <w:r>
        <w:rPr>
          <w:rStyle w:val="CommentTok"/>
        </w:rPr>
        <w:t xml:space="preserve">-- Left outer join: every customer, with order count (0 for customers who never ordered)</w:t>
      </w:r>
      <w:r>
        <w:br/>
      </w:r>
      <w:r>
        <w:rPr>
          <w:rStyle w:val="KeywordTok"/>
        </w:rPr>
        <w:t xml:space="preserve">SELECT</w:t>
      </w:r>
      <w:r>
        <w:rPr>
          <w:rStyle w:val="NormalTok"/>
        </w:rPr>
        <w:t xml:space="preserve"> c.customer_id, c.email, </w:t>
      </w:r>
      <w:r>
        <w:rPr>
          <w:rStyle w:val="FunctionTok"/>
        </w:rPr>
        <w:t xml:space="preserve">COUNT</w:t>
      </w:r>
      <w:r>
        <w:rPr>
          <w:rStyle w:val="NormalTok"/>
        </w:rPr>
        <w:t xml:space="preserve">(o.order_id) </w:t>
      </w:r>
      <w:r>
        <w:rPr>
          <w:rStyle w:val="KeywordTok"/>
        </w:rPr>
        <w:t xml:space="preserve">AS</w:t>
      </w:r>
      <w:r>
        <w:rPr>
          <w:rStyle w:val="NormalTok"/>
        </w:rPr>
        <w:t xml:space="preserve"> orders</w:t>
      </w:r>
      <w:r>
        <w:br/>
      </w:r>
      <w:r>
        <w:rPr>
          <w:rStyle w:val="KeywordTok"/>
        </w:rPr>
        <w:t xml:space="preserve">FROM</w:t>
      </w:r>
      <w:r>
        <w:rPr>
          <w:rStyle w:val="NormalTok"/>
        </w:rPr>
        <w:t xml:space="preserve"> customers c</w:t>
      </w:r>
      <w:r>
        <w:br/>
      </w:r>
      <w:r>
        <w:rPr>
          <w:rStyle w:val="KeywordTok"/>
        </w:rPr>
        <w:t xml:space="preserve">LEFT</w:t>
      </w:r>
      <w:r>
        <w:rPr>
          <w:rStyle w:val="NormalTok"/>
        </w:rPr>
        <w:t xml:space="preserve"> </w:t>
      </w:r>
      <w:r>
        <w:rPr>
          <w:rStyle w:val="KeywordTok"/>
        </w:rPr>
        <w:t xml:space="preserve">JOIN</w:t>
      </w:r>
      <w:r>
        <w:rPr>
          <w:rStyle w:val="NormalTok"/>
        </w:rPr>
        <w:t xml:space="preserve"> orders o </w:t>
      </w:r>
      <w:r>
        <w:rPr>
          <w:rStyle w:val="KeywordTok"/>
        </w:rPr>
        <w:t xml:space="preserve">ON</w:t>
      </w:r>
      <w:r>
        <w:rPr>
          <w:rStyle w:val="NormalTok"/>
        </w:rPr>
        <w:t xml:space="preserve"> o.customer_id </w:t>
      </w:r>
      <w:r>
        <w:rPr>
          <w:rStyle w:val="OperatorTok"/>
        </w:rPr>
        <w:t xml:space="preserve">=</w:t>
      </w:r>
      <w:r>
        <w:rPr>
          <w:rStyle w:val="NormalTok"/>
        </w:rPr>
        <w:t xml:space="preserve"> c.customer_id</w:t>
      </w:r>
      <w:r>
        <w:br/>
      </w:r>
      <w:r>
        <w:rPr>
          <w:rStyle w:val="KeywordTok"/>
        </w:rPr>
        <w:t xml:space="preserve">GROUP</w:t>
      </w:r>
      <w:r>
        <w:rPr>
          <w:rStyle w:val="NormalTok"/>
        </w:rPr>
        <w:t xml:space="preserve"> </w:t>
      </w:r>
      <w:r>
        <w:rPr>
          <w:rStyle w:val="KeywordTok"/>
        </w:rPr>
        <w:t xml:space="preserve">BY</w:t>
      </w:r>
      <w:r>
        <w:rPr>
          <w:rStyle w:val="NormalTok"/>
        </w:rPr>
        <w:t xml:space="preserve"> c.customer_id, c.email;</w:t>
      </w:r>
      <w:r>
        <w:br/>
      </w:r>
      <w:r>
        <w:br/>
      </w:r>
      <w:r>
        <w:rPr>
          <w:rStyle w:val="CommentTok"/>
        </w:rPr>
        <w:t xml:space="preserve">-- Semi-join: customers who bought product 42 (each customer once, however many orders)</w:t>
      </w:r>
      <w:r>
        <w:br/>
      </w:r>
      <w:r>
        <w:rPr>
          <w:rStyle w:val="KeywordTok"/>
        </w:rPr>
        <w:t xml:space="preserve">SELECT</w:t>
      </w:r>
      <w:r>
        <w:rPr>
          <w:rStyle w:val="NormalTok"/>
        </w:rPr>
        <w:t xml:space="preserve"> c.email </w:t>
      </w:r>
      <w:r>
        <w:rPr>
          <w:rStyle w:val="KeywordTok"/>
        </w:rPr>
        <w:t xml:space="preserve">FROM</w:t>
      </w:r>
      <w:r>
        <w:rPr>
          <w:rStyle w:val="NormalTok"/>
        </w:rPr>
        <w:t xml:space="preserve"> customers c</w:t>
      </w:r>
      <w:r>
        <w:br/>
      </w:r>
      <w:r>
        <w:rPr>
          <w:rStyle w:val="KeywordTok"/>
        </w:rPr>
        <w:t xml:space="preserve">WHERE</w:t>
      </w:r>
      <w:r>
        <w:rPr>
          <w:rStyle w:val="NormalTok"/>
        </w:rPr>
        <w:t xml:space="preserve"> </w:t>
      </w:r>
      <w:r>
        <w:rPr>
          <w:rStyle w:val="KeywordTok"/>
        </w:rPr>
        <w:t xml:space="preserve">EXISTS</w:t>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orders o </w:t>
      </w:r>
      <w:r>
        <w:rPr>
          <w:rStyle w:val="KeywordTok"/>
        </w:rPr>
        <w:t xml:space="preserve">JOIN</w:t>
      </w:r>
      <w:r>
        <w:rPr>
          <w:rStyle w:val="NormalTok"/>
        </w:rPr>
        <w:t xml:space="preserve"> order_items i </w:t>
      </w:r>
      <w:r>
        <w:rPr>
          <w:rStyle w:val="KeywordTok"/>
        </w:rPr>
        <w:t xml:space="preserve">ON</w:t>
      </w:r>
      <w:r>
        <w:rPr>
          <w:rStyle w:val="NormalTok"/>
        </w:rPr>
        <w:t xml:space="preserve"> i.order_id </w:t>
      </w:r>
      <w:r>
        <w:rPr>
          <w:rStyle w:val="OperatorTok"/>
        </w:rPr>
        <w:t xml:space="preserve">=</w:t>
      </w:r>
      <w:r>
        <w:rPr>
          <w:rStyle w:val="NormalTok"/>
        </w:rPr>
        <w:t xml:space="preserve"> o.order_id</w:t>
      </w:r>
      <w:r>
        <w:br/>
      </w:r>
      <w:r>
        <w:rPr>
          <w:rStyle w:val="NormalTok"/>
        </w:rPr>
        <w:t xml:space="preserve">              </w:t>
      </w:r>
      <w:r>
        <w:rPr>
          <w:rStyle w:val="KeywordTok"/>
        </w:rPr>
        <w:t xml:space="preserve">WHERE</w:t>
      </w:r>
      <w:r>
        <w:rPr>
          <w:rStyle w:val="NormalTok"/>
        </w:rPr>
        <w:t xml:space="preserve"> o.customer_id </w:t>
      </w:r>
      <w:r>
        <w:rPr>
          <w:rStyle w:val="OperatorTok"/>
        </w:rPr>
        <w:t xml:space="preserve">=</w:t>
      </w:r>
      <w:r>
        <w:rPr>
          <w:rStyle w:val="NormalTok"/>
        </w:rPr>
        <w:t xml:space="preserve"> c.customer_id </w:t>
      </w:r>
      <w:r>
        <w:rPr>
          <w:rStyle w:val="KeywordTok"/>
        </w:rPr>
        <w:t xml:space="preserve">AND</w:t>
      </w:r>
      <w:r>
        <w:rPr>
          <w:rStyle w:val="NormalTok"/>
        </w:rPr>
        <w:t xml:space="preserve"> i.product_id </w:t>
      </w:r>
      <w:r>
        <w:rPr>
          <w:rStyle w:val="OperatorTok"/>
        </w:rPr>
        <w:t xml:space="preserve">=</w:t>
      </w:r>
      <w:r>
        <w:rPr>
          <w:rStyle w:val="NormalTok"/>
        </w:rPr>
        <w:t xml:space="preserve"> </w:t>
      </w:r>
      <w:r>
        <w:rPr>
          <w:rStyle w:val="DecValTok"/>
        </w:rPr>
        <w:t xml:space="preserve">42</w:t>
      </w:r>
      <w:r>
        <w:rPr>
          <w:rStyle w:val="NormalTok"/>
        </w:rPr>
        <w:t xml:space="preserve">);</w:t>
      </w:r>
      <w:r>
        <w:br/>
      </w:r>
      <w:r>
        <w:br/>
      </w:r>
      <w:r>
        <w:rPr>
          <w:rStyle w:val="CommentTok"/>
        </w:rPr>
        <w:t xml:space="preserve">-- Anti-join: customers with no orders at all</w:t>
      </w:r>
      <w:r>
        <w:br/>
      </w:r>
      <w:r>
        <w:rPr>
          <w:rStyle w:val="KeywordTok"/>
        </w:rPr>
        <w:t xml:space="preserve">SELECT</w:t>
      </w:r>
      <w:r>
        <w:rPr>
          <w:rStyle w:val="NormalTok"/>
        </w:rPr>
        <w:t xml:space="preserve"> c.email </w:t>
      </w:r>
      <w:r>
        <w:rPr>
          <w:rStyle w:val="KeywordTok"/>
        </w:rPr>
        <w:t xml:space="preserve">FROM</w:t>
      </w:r>
      <w:r>
        <w:rPr>
          <w:rStyle w:val="NormalTok"/>
        </w:rPr>
        <w:t xml:space="preserve"> customers c</w:t>
      </w:r>
      <w:r>
        <w:br/>
      </w:r>
      <w:r>
        <w:rPr>
          <w:rStyle w:val="KeywordTok"/>
        </w:rPr>
        <w:t xml:space="preserve">WHERE</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orders o </w:t>
      </w:r>
      <w:r>
        <w:rPr>
          <w:rStyle w:val="KeywordTok"/>
        </w:rPr>
        <w:t xml:space="preserve">WHERE</w:t>
      </w:r>
      <w:r>
        <w:rPr>
          <w:rStyle w:val="NormalTok"/>
        </w:rPr>
        <w:t xml:space="preserve"> o.customer_id </w:t>
      </w:r>
      <w:r>
        <w:rPr>
          <w:rStyle w:val="OperatorTok"/>
        </w:rPr>
        <w:t xml:space="preserve">=</w:t>
      </w:r>
      <w:r>
        <w:rPr>
          <w:rStyle w:val="NormalTok"/>
        </w:rPr>
        <w:t xml:space="preserve"> c.customer_id);</w:t>
      </w:r>
    </w:p>
    <w:p>
      <w:pPr>
        <w:pStyle w:val="FirstParagraph"/>
      </w:pPr>
      <w:r>
        <w:t xml:space="preserve">What to notice:</w:t>
      </w:r>
    </w:p>
    <w:p>
      <w:pPr>
        <w:numPr>
          <w:ilvl w:val="0"/>
          <w:numId w:val="1364"/>
        </w:numPr>
        <w:pStyle w:val="Compact"/>
      </w:pPr>
      <w:r>
        <w:rPr>
          <w:rStyle w:val="VerbatimChar"/>
        </w:rPr>
        <w:t xml:space="preserve">COUNT(o.order_id)</w:t>
      </w:r>
      <w:r>
        <w:t xml:space="preserve"> </w:t>
      </w:r>
      <w:r>
        <w:t xml:space="preserve">counts non-NULL values, so customers with no orders get 0;</w:t>
      </w:r>
      <w:r>
        <w:t xml:space="preserve"> </w:t>
      </w:r>
      <w:r>
        <w:rPr>
          <w:rStyle w:val="VerbatimChar"/>
        </w:rPr>
        <w:t xml:space="preserve">COUNT(*)</w:t>
      </w:r>
      <w:r>
        <w:t xml:space="preserve"> </w:t>
      </w:r>
      <w:r>
        <w:t xml:space="preserve">would wrongly give 1, because the outer join produces one row padded with NULLs.</w:t>
      </w:r>
    </w:p>
    <w:p>
      <w:pPr>
        <w:numPr>
          <w:ilvl w:val="0"/>
          <w:numId w:val="1364"/>
        </w:numPr>
        <w:pStyle w:val="Compact"/>
      </w:pPr>
      <w:r>
        <w:rPr>
          <w:rStyle w:val="VerbatimChar"/>
        </w:rPr>
        <w:t xml:space="preserve">EXISTS</w:t>
      </w:r>
      <w:r>
        <w:t xml:space="preserve"> </w:t>
      </w:r>
      <w:r>
        <w:t xml:space="preserve">expresses</w:t>
      </w:r>
      <w:r>
        <w:t xml:space="preserve"> </w:t>
      </w:r>
      <w:r>
        <w:t xml:space="preserve">“</w:t>
      </w:r>
      <w:r>
        <w:t xml:space="preserve">at least one match</w:t>
      </w:r>
      <w:r>
        <w:t xml:space="preserve">”</w:t>
      </w:r>
      <w:r>
        <w:t xml:space="preserve"> </w:t>
      </w:r>
      <w:r>
        <w:t xml:space="preserve">without duplicating the customer per matching row; a plain join followed by</w:t>
      </w:r>
      <w:r>
        <w:t xml:space="preserve"> </w:t>
      </w:r>
      <w:r>
        <w:rPr>
          <w:rStyle w:val="VerbatimChar"/>
        </w:rPr>
        <w:t xml:space="preserve">DISTINCT</w:t>
      </w:r>
      <w:r>
        <w:t xml:space="preserve"> </w:t>
      </w:r>
      <w:r>
        <w:t xml:space="preserve">gives the same answer with more work.</w:t>
      </w:r>
    </w:p>
    <w:p>
      <w:pPr>
        <w:numPr>
          <w:ilvl w:val="0"/>
          <w:numId w:val="1364"/>
        </w:numPr>
        <w:pStyle w:val="Compact"/>
      </w:pPr>
      <w:r>
        <w:t xml:space="preserve">A</w:t>
      </w:r>
      <w:r>
        <w:t xml:space="preserve"> </w:t>
      </w:r>
      <w:r>
        <w:rPr>
          <w:rStyle w:val="VerbatimChar"/>
        </w:rPr>
        <w:t xml:space="preserve">RIGHT JOIN</w:t>
      </w:r>
      <w:r>
        <w:t xml:space="preserve"> </w:t>
      </w:r>
      <w:r>
        <w:t xml:space="preserve">is a left join with the tables swapped; a</w:t>
      </w:r>
      <w:r>
        <w:t xml:space="preserve"> </w:t>
      </w:r>
      <w:r>
        <w:rPr>
          <w:rStyle w:val="VerbatimChar"/>
        </w:rPr>
        <w:t xml:space="preserve">FULL OUTER JOIN</w:t>
      </w:r>
      <w:r>
        <w:t xml:space="preserve"> </w:t>
      </w:r>
      <w:r>
        <w:t xml:space="preserve">keeps unmatched rows from both sides. All four statements run unchanged in SQLite and PostgreSQL.</w:t>
      </w:r>
    </w:p>
    <w:bookmarkEnd w:id="1210"/>
    <w:bookmarkStart w:id="1217" w:name="join-algorithms"/>
    <w:p>
      <w:pPr>
        <w:pStyle w:val="Heading3"/>
      </w:pPr>
      <w:r>
        <w:t xml:space="preserve">11.6.3 Join algorithms</w:t>
      </w:r>
    </w:p>
    <w:p>
      <w:pPr>
        <w:pStyle w:val="FirstParagraph"/>
      </w:pPr>
      <w:r>
        <w:t xml:space="preserve">The SQL says</w:t>
      </w:r>
      <w:r>
        <w:t xml:space="preserve"> </w:t>
      </w:r>
      <w:r>
        <w:rPr>
          <w:iCs/>
          <w:i/>
        </w:rPr>
        <w:t xml:space="preserve">what</w:t>
      </w:r>
      <w:r>
        <w:t xml:space="preserve"> </w:t>
      </w:r>
      <w:r>
        <w:t xml:space="preserve">to join; the database picks</w:t>
      </w:r>
      <w:r>
        <w:t xml:space="preserve"> </w:t>
      </w:r>
      <w:r>
        <w:rPr>
          <w:iCs/>
          <w:i/>
        </w:rPr>
        <w:t xml:space="preserve">how</w:t>
      </w:r>
      <w:r>
        <w:t xml:space="preserve">. There are three families, and every relational engine uses some of them [Ramakrishnan and Gehrke 2003; Graefe 1993].</w:t>
      </w:r>
    </w:p>
    <w:bookmarkStart w:id="1211" w:name="first-principles-explanation-67"/>
    <w:p>
      <w:pPr>
        <w:pStyle w:val="Heading4"/>
      </w:pPr>
      <w:r>
        <w:t xml:space="preserve">First-principles explanation</w:t>
      </w:r>
    </w:p>
    <w:p>
      <w:pPr>
        <w:pStyle w:val="FirstParagraph"/>
      </w:pPr>
      <w:r>
        <w:t xml:space="preserve">To match 1,000 wedding guests to their table assignments, you could read the whole assignment list once per guest (</w:t>
      </w:r>
      <w:r>
        <w:rPr>
          <w:bCs/>
          <w:b/>
        </w:rPr>
        <w:t xml:space="preserve">nested loop</w:t>
      </w:r>
      <w:r>
        <w:t xml:space="preserve">), file the assignments on cards by surname and look each guest up (</w:t>
      </w:r>
      <w:r>
        <w:rPr>
          <w:bCs/>
          <w:b/>
        </w:rPr>
        <w:t xml:space="preserve">hash join</w:t>
      </w:r>
      <w:r>
        <w:t xml:space="preserve">), or sort both lists and walk them together (</w:t>
      </w:r>
      <w:r>
        <w:rPr>
          <w:bCs/>
          <w:b/>
        </w:rPr>
        <w:t xml:space="preserve">sort-merge join</w:t>
      </w:r>
      <w:r>
        <w:t xml:space="preserve">). The fastest choice depends on list sizes, existing order and desk space (memory).</w:t>
      </w:r>
    </w:p>
    <w:bookmarkEnd w:id="1211"/>
    <w:bookmarkStart w:id="1215" w:name="how-it-works-internally-40"/>
    <w:p>
      <w:pPr>
        <w:pStyle w:val="Heading4"/>
      </w:pPr>
      <w:r>
        <w:t xml:space="preserve">How it works internally</w:t>
      </w:r>
    </w:p>
    <w:p>
      <w:pPr>
        <w:numPr>
          <w:ilvl w:val="0"/>
          <w:numId w:val="1365"/>
        </w:numPr>
        <w:pStyle w:val="Compact"/>
      </w:pPr>
      <w:r>
        <w:rPr>
          <w:bCs/>
          <w:b/>
        </w:rPr>
        <w:t xml:space="preserve">Nested-loop join (NLJ).</w:t>
      </w:r>
      <w:r>
        <w:t xml:space="preserve"> </w:t>
      </w:r>
      <w:r>
        <w:t xml:space="preserve">For each row of the</w:t>
      </w:r>
      <w:r>
        <w:t xml:space="preserve"> </w:t>
      </w:r>
      <w:r>
        <w:rPr>
          <w:iCs/>
          <w:i/>
        </w:rPr>
        <w:t xml:space="preserve">outer</w:t>
      </w:r>
      <w:r>
        <w:t xml:space="preserve"> </w:t>
      </w:r>
      <w:r>
        <w:t xml:space="preserve">input, scan the</w:t>
      </w:r>
      <w:r>
        <w:t xml:space="preserve"> </w:t>
      </w:r>
      <w:r>
        <w:rPr>
          <w:iCs/>
          <w:i/>
        </w:rPr>
        <w:t xml:space="preserve">inner</w:t>
      </w:r>
      <w:r>
        <w:t xml:space="preserve"> </w:t>
      </w:r>
      <w:r>
        <w:t xml:space="preserve">input and emit matching pairs.</w:t>
      </w:r>
      <w:r>
        <w:t xml:space="preserve"> </w:t>
      </w:r>
      <w:r>
        <w:rPr>
          <w:bCs/>
          <w:b/>
        </w:rPr>
        <w:t xml:space="preserve">Block NLJ</w:t>
      </w:r>
      <w:r>
        <w:t xml:space="preserve"> </w:t>
      </w:r>
      <w:r>
        <w:t xml:space="preserve">reads the outer side in memory-sized chunks so the inner side is scanned once per chunk instead of once per row.</w:t>
      </w:r>
      <w:r>
        <w:t xml:space="preserve"> </w:t>
      </w:r>
      <w:r>
        <w:rPr>
          <w:bCs/>
          <w:b/>
        </w:rPr>
        <w:t xml:space="preserve">Index NLJ</w:t>
      </w:r>
      <w:r>
        <w:t xml:space="preserve"> </w:t>
      </w:r>
      <w:r>
        <w:t xml:space="preserve">replaces the inner scan with an index lookup: for each outer row, descend the inner table’s B+ tree on the join column. Index NLJ is the best algorithm when the outer side is small, which is the case for most OLTP queries (</w:t>
      </w:r>
      <w:r>
        <w:t xml:space="preserve">“</w:t>
      </w:r>
      <w:r>
        <w:t xml:space="preserve">this customer’s orders</w:t>
      </w:r>
      <w:r>
        <w:t xml:space="preserve">”</w:t>
      </w:r>
      <w:r>
        <w:t xml:space="preserve">).</w:t>
      </w:r>
    </w:p>
    <w:p>
      <w:pPr>
        <w:numPr>
          <w:ilvl w:val="0"/>
          <w:numId w:val="1365"/>
        </w:numPr>
        <w:pStyle w:val="Compact"/>
      </w:pPr>
      <w:r>
        <w:rPr>
          <w:bCs/>
          <w:b/>
        </w:rPr>
        <w:t xml:space="preserve">Hash join.</w:t>
      </w:r>
      <w:r>
        <w:t xml:space="preserve"> </w:t>
      </w:r>
      <w:r>
        <w:rPr>
          <w:iCs/>
          <w:i/>
        </w:rPr>
        <w:t xml:space="preserve">Build</w:t>
      </w:r>
      <w:r>
        <w:t xml:space="preserve"> </w:t>
      </w:r>
      <w:r>
        <w:t xml:space="preserve">phase: read the smaller input and insert each row into an in-memory hash table keyed on the join column.</w:t>
      </w:r>
      <w:r>
        <w:t xml:space="preserve"> </w:t>
      </w:r>
      <w:r>
        <w:rPr>
          <w:iCs/>
          <w:i/>
        </w:rPr>
        <w:t xml:space="preserve">Probe</w:t>
      </w:r>
      <w:r>
        <w:t xml:space="preserve"> </w:t>
      </w:r>
      <w:r>
        <w:t xml:space="preserve">phase: stream the larger input and look up each row’s key. It needs an equality condition. If the build side does not fit in memory, both inputs are first</w:t>
      </w:r>
      <w:r>
        <w:t xml:space="preserve"> </w:t>
      </w:r>
      <w:r>
        <w:rPr>
          <w:bCs/>
          <w:b/>
        </w:rPr>
        <w:t xml:space="preserve">partitioned</w:t>
      </w:r>
      <w:r>
        <w:t xml:space="preserve"> </w:t>
      </w:r>
      <w:r>
        <w:t xml:space="preserve">by a hash of the key into spill files on disk so that each partition pair fits (the</w:t>
      </w:r>
      <w:r>
        <w:t xml:space="preserve"> </w:t>
      </w:r>
      <w:r>
        <w:rPr>
          <w:bCs/>
          <w:b/>
        </w:rPr>
        <w:t xml:space="preserve">Grace hash join</w:t>
      </w:r>
      <w:r>
        <w:t xml:space="preserve">).</w:t>
      </w:r>
    </w:p>
    <w:p>
      <w:pPr>
        <w:numPr>
          <w:ilvl w:val="0"/>
          <w:numId w:val="1365"/>
        </w:numPr>
        <w:pStyle w:val="Compact"/>
      </w:pPr>
      <w:r>
        <w:rPr>
          <w:bCs/>
          <w:b/>
        </w:rPr>
        <w:t xml:space="preserve">Sort-merge join.</w:t>
      </w:r>
      <w:r>
        <w:t xml:space="preserve"> </w:t>
      </w:r>
      <w:r>
        <w:t xml:space="preserve">Sort both inputs on the join key (or read them in order from an index), then advance two cursors in step, emitting matches. It handles equality and also benefits range conditions; it is attractive when inputs are already sorted or when the output must be sorted anyway.</w:t>
      </w:r>
    </w:p>
    <w:p>
      <w:pPr>
        <w:pStyle w:val="SourceCode"/>
      </w:pPr>
      <w:r>
        <w:rPr>
          <w:rStyle w:val="ImportTok"/>
        </w:rPr>
        <w:t xml:space="preserve">from</w:t>
      </w:r>
      <w:r>
        <w:rPr>
          <w:rStyle w:val="NormalTok"/>
        </w:rPr>
        <w:t xml:space="preserve"> collections </w:t>
      </w:r>
      <w:r>
        <w:rPr>
          <w:rStyle w:val="ImportTok"/>
        </w:rPr>
        <w:t xml:space="preserve">import</w:t>
      </w:r>
      <w:r>
        <w:rPr>
          <w:rStyle w:val="NormalTok"/>
        </w:rPr>
        <w:t xml:space="preserve"> defaultdict</w:t>
      </w:r>
      <w:r>
        <w:br/>
      </w:r>
      <w:r>
        <w:br/>
      </w:r>
      <w:r>
        <w:rPr>
          <w:rStyle w:val="NormalTok"/>
        </w:rPr>
        <w:t xml:space="preserve">customers </w:t>
      </w:r>
      <w:r>
        <w:rPr>
          <w:rStyle w:val="OperatorTok"/>
        </w:rPr>
        <w:t xml:space="preserve">=</w:t>
      </w:r>
      <w:r>
        <w:rPr>
          <w:rStyle w:val="NormalTok"/>
        </w:rPr>
        <w:t xml:space="preserve"> [(</w:t>
      </w:r>
      <w:r>
        <w:rPr>
          <w:rStyle w:val="DecValTok"/>
        </w:rPr>
        <w:t xml:space="preserve">1</w:t>
      </w:r>
      <w:r>
        <w:rPr>
          <w:rStyle w:val="NormalTok"/>
        </w:rPr>
        <w:t xml:space="preserve">, </w:t>
      </w:r>
      <w:r>
        <w:rPr>
          <w:rStyle w:val="StringTok"/>
        </w:rPr>
        <w:t xml:space="preserve">"Berlin"</w:t>
      </w:r>
      <w:r>
        <w:rPr>
          <w:rStyle w:val="NormalTok"/>
        </w:rPr>
        <w:t xml:space="preserve">), (</w:t>
      </w:r>
      <w:r>
        <w:rPr>
          <w:rStyle w:val="DecValTok"/>
        </w:rPr>
        <w:t xml:space="preserve">2</w:t>
      </w:r>
      <w:r>
        <w:rPr>
          <w:rStyle w:val="NormalTok"/>
        </w:rPr>
        <w:t xml:space="preserve">, </w:t>
      </w:r>
      <w:r>
        <w:rPr>
          <w:rStyle w:val="StringTok"/>
        </w:rPr>
        <w:t xml:space="preserve">"Austin"</w:t>
      </w:r>
      <w:r>
        <w:rPr>
          <w:rStyle w:val="NormalTok"/>
        </w:rPr>
        <w:t xml:space="preserve">), (</w:t>
      </w:r>
      <w:r>
        <w:rPr>
          <w:rStyle w:val="DecValTok"/>
        </w:rPr>
        <w:t xml:space="preserve">3</w:t>
      </w:r>
      <w:r>
        <w:rPr>
          <w:rStyle w:val="NormalTok"/>
        </w:rPr>
        <w:t xml:space="preserve">, </w:t>
      </w:r>
      <w:r>
        <w:rPr>
          <w:rStyle w:val="StringTok"/>
        </w:rPr>
        <w:t xml:space="preserve">"Pune"</w:t>
      </w:r>
      <w:r>
        <w:rPr>
          <w:rStyle w:val="NormalTok"/>
        </w:rPr>
        <w:t xml:space="preserve">)]           </w:t>
      </w:r>
      <w:r>
        <w:rPr>
          <w:rStyle w:val="CommentTok"/>
        </w:rPr>
        <w:t xml:space="preserve"># (customer_id, city)</w:t>
      </w:r>
      <w:r>
        <w:br/>
      </w:r>
      <w:r>
        <w:rPr>
          <w:rStyle w:val="NormalTok"/>
        </w:rPr>
        <w:t xml:space="preserve">orders </w:t>
      </w:r>
      <w:r>
        <w:rPr>
          <w:rStyle w:val="OperatorTok"/>
        </w:rPr>
        <w:t xml:space="preserve">=</w:t>
      </w:r>
      <w:r>
        <w:rPr>
          <w:rStyle w:val="NormalTok"/>
        </w:rPr>
        <w:t xml:space="preserve"> [(</w:t>
      </w:r>
      <w:r>
        <w:rPr>
          <w:rStyle w:val="DecValTok"/>
        </w:rPr>
        <w:t xml:space="preserve">10</w:t>
      </w:r>
      <w:r>
        <w:rPr>
          <w:rStyle w:val="NormalTok"/>
        </w:rPr>
        <w:t xml:space="preserve">, </w:t>
      </w:r>
      <w:r>
        <w:rPr>
          <w:rStyle w:val="DecValTok"/>
        </w:rPr>
        <w:t xml:space="preserve">1</w:t>
      </w:r>
      <w:r>
        <w:rPr>
          <w:rStyle w:val="NormalTok"/>
        </w:rPr>
        <w:t xml:space="preserve">, </w:t>
      </w:r>
      <w:r>
        <w:rPr>
          <w:rStyle w:val="DecValTok"/>
        </w:rPr>
        <w:t xml:space="preserve">2500</w:t>
      </w:r>
      <w:r>
        <w:rPr>
          <w:rStyle w:val="NormalTok"/>
        </w:rPr>
        <w:t xml:space="preserve">), (</w:t>
      </w:r>
      <w:r>
        <w:rPr>
          <w:rStyle w:val="DecValTok"/>
        </w:rPr>
        <w:t xml:space="preserve">11</w:t>
      </w:r>
      <w:r>
        <w:rPr>
          <w:rStyle w:val="NormalTok"/>
        </w:rPr>
        <w:t xml:space="preserve">, </w:t>
      </w:r>
      <w:r>
        <w:rPr>
          <w:rStyle w:val="DecValTok"/>
        </w:rPr>
        <w:t xml:space="preserve">3</w:t>
      </w:r>
      <w:r>
        <w:rPr>
          <w:rStyle w:val="NormalTok"/>
        </w:rPr>
        <w:t xml:space="preserve">, </w:t>
      </w:r>
      <w:r>
        <w:rPr>
          <w:rStyle w:val="DecValTok"/>
        </w:rPr>
        <w:t xml:space="preserve">900</w:t>
      </w:r>
      <w:r>
        <w:rPr>
          <w:rStyle w:val="NormalTok"/>
        </w:rPr>
        <w:t xml:space="preserve">), (</w:t>
      </w:r>
      <w:r>
        <w:rPr>
          <w:rStyle w:val="DecValTok"/>
        </w:rPr>
        <w:t xml:space="preserve">12</w:t>
      </w:r>
      <w:r>
        <w:rPr>
          <w:rStyle w:val="NormalTok"/>
        </w:rPr>
        <w:t xml:space="preserve">, </w:t>
      </w:r>
      <w:r>
        <w:rPr>
          <w:rStyle w:val="DecValTok"/>
        </w:rPr>
        <w:t xml:space="preserve">1</w:t>
      </w:r>
      <w:r>
        <w:rPr>
          <w:rStyle w:val="NormalTok"/>
        </w:rPr>
        <w:t xml:space="preserve">, </w:t>
      </w:r>
      <w:r>
        <w:rPr>
          <w:rStyle w:val="DecValTok"/>
        </w:rPr>
        <w:t xml:space="preserve">4100</w:t>
      </w:r>
      <w:r>
        <w:rPr>
          <w:rStyle w:val="NormalTok"/>
        </w:rPr>
        <w:t xml:space="preserve">), (</w:t>
      </w:r>
      <w:r>
        <w:rPr>
          <w:rStyle w:val="DecValTok"/>
        </w:rPr>
        <w:t xml:space="preserve">13</w:t>
      </w:r>
      <w:r>
        <w:rPr>
          <w:rStyle w:val="NormalTok"/>
        </w:rPr>
        <w:t xml:space="preserve">, </w:t>
      </w:r>
      <w:r>
        <w:rPr>
          <w:rStyle w:val="DecValTok"/>
        </w:rPr>
        <w:t xml:space="preserve">4</w:t>
      </w:r>
      <w:r>
        <w:rPr>
          <w:rStyle w:val="NormalTok"/>
        </w:rPr>
        <w:t xml:space="preserve">, </w:t>
      </w:r>
      <w:r>
        <w:rPr>
          <w:rStyle w:val="DecValTok"/>
        </w:rPr>
        <w:t xml:space="preserve">50</w:t>
      </w:r>
      <w:r>
        <w:rPr>
          <w:rStyle w:val="NormalTok"/>
        </w:rPr>
        <w:t xml:space="preserve">)]  </w:t>
      </w:r>
      <w:r>
        <w:rPr>
          <w:rStyle w:val="CommentTok"/>
        </w:rPr>
        <w:t xml:space="preserve"># (order_id, customer_id, total)</w:t>
      </w:r>
      <w:r>
        <w:br/>
      </w:r>
      <w:r>
        <w:br/>
      </w:r>
      <w:r>
        <w:rPr>
          <w:rStyle w:val="KeywordTok"/>
        </w:rPr>
        <w:t xml:space="preserve">def</w:t>
      </w:r>
      <w:r>
        <w:rPr>
          <w:rStyle w:val="NormalTok"/>
        </w:rPr>
        <w:t xml:space="preserve"> nested_loop_join(outer, inner, okey, ikey):</w:t>
      </w:r>
      <w:r>
        <w:br/>
      </w:r>
      <w:r>
        <w:rPr>
          <w:rStyle w:val="NormalTok"/>
        </w:rPr>
        <w:t xml:space="preserve">    </w:t>
      </w:r>
      <w:r>
        <w:rPr>
          <w:rStyle w:val="ControlFlowTok"/>
        </w:rPr>
        <w:t xml:space="preserve">for</w:t>
      </w:r>
      <w:r>
        <w:rPr>
          <w:rStyle w:val="NormalTok"/>
        </w:rPr>
        <w:t xml:space="preserve"> o </w:t>
      </w:r>
      <w:r>
        <w:rPr>
          <w:rStyle w:val="KeywordTok"/>
        </w:rPr>
        <w:t xml:space="preserve">in</w:t>
      </w:r>
      <w:r>
        <w:rPr>
          <w:rStyle w:val="NormalTok"/>
        </w:rPr>
        <w:t xml:space="preserve"> outer:                      </w:t>
      </w:r>
      <w:r>
        <w:rPr>
          <w:rStyle w:val="CommentTok"/>
        </w:rPr>
        <w:t xml:space="preserve"># for every outer row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inner:                  </w:t>
      </w:r>
      <w:r>
        <w:rPr>
          <w:rStyle w:val="CommentTok"/>
        </w:rPr>
        <w:t xml:space="preserve"># ... scan the whole inner input</w:t>
      </w:r>
      <w:r>
        <w:br/>
      </w:r>
      <w:r>
        <w:rPr>
          <w:rStyle w:val="NormalTok"/>
        </w:rPr>
        <w:t xml:space="preserve">            </w:t>
      </w:r>
      <w:r>
        <w:rPr>
          <w:rStyle w:val="ControlFlowTok"/>
        </w:rPr>
        <w:t xml:space="preserve">if</w:t>
      </w:r>
      <w:r>
        <w:rPr>
          <w:rStyle w:val="NormalTok"/>
        </w:rPr>
        <w:t xml:space="preserve"> o[okey] </w:t>
      </w:r>
      <w:r>
        <w:rPr>
          <w:rStyle w:val="OperatorTok"/>
        </w:rPr>
        <w:t xml:space="preserve">==</w:t>
      </w:r>
      <w:r>
        <w:rPr>
          <w:rStyle w:val="NormalTok"/>
        </w:rPr>
        <w:t xml:space="preserve"> i[ikey]:</w:t>
      </w:r>
      <w:r>
        <w:br/>
      </w:r>
      <w:r>
        <w:rPr>
          <w:rStyle w:val="NormalTok"/>
        </w:rPr>
        <w:t xml:space="preserve">                </w:t>
      </w:r>
      <w:r>
        <w:rPr>
          <w:rStyle w:val="ControlFlowTok"/>
        </w:rPr>
        <w:t xml:space="preserve">yield</w:t>
      </w:r>
      <w:r>
        <w:rPr>
          <w:rStyle w:val="NormalTok"/>
        </w:rPr>
        <w:t xml:space="preserve"> o </w:t>
      </w:r>
      <w:r>
        <w:rPr>
          <w:rStyle w:val="OperatorTok"/>
        </w:rPr>
        <w:t xml:space="preserve">+</w:t>
      </w:r>
      <w:r>
        <w:rPr>
          <w:rStyle w:val="NormalTok"/>
        </w:rPr>
        <w:t xml:space="preserve"> i</w:t>
      </w:r>
      <w:r>
        <w:br/>
      </w:r>
      <w:r>
        <w:br/>
      </w:r>
      <w:r>
        <w:rPr>
          <w:rStyle w:val="KeywordTok"/>
        </w:rPr>
        <w:t xml:space="preserve">def</w:t>
      </w:r>
      <w:r>
        <w:rPr>
          <w:rStyle w:val="NormalTok"/>
        </w:rPr>
        <w:t xml:space="preserve"> hash_join(build, probe, bkey, pkey):</w:t>
      </w:r>
      <w:r>
        <w:br/>
      </w:r>
      <w:r>
        <w:rPr>
          <w:rStyle w:val="NormalTok"/>
        </w:rPr>
        <w:t xml:space="preserve">    table </w:t>
      </w:r>
      <w:r>
        <w:rPr>
          <w:rStyle w:val="OperatorTok"/>
        </w:rPr>
        <w:t xml:space="preserve">=</w:t>
      </w:r>
      <w:r>
        <w:rPr>
          <w:rStyle w:val="NormalTok"/>
        </w:rPr>
        <w:t xml:space="preserve"> defaultdict(</w:t>
      </w:r>
      <w:r>
        <w:rPr>
          <w:rStyle w:val="BuiltInTok"/>
        </w:rPr>
        <w:t xml:space="preserve">list</w:t>
      </w:r>
      <w:r>
        <w:rPr>
          <w:rStyle w:val="NormalTok"/>
        </w:rPr>
        <w:t xml:space="preserve">)</w:t>
      </w:r>
      <w:r>
        <w:br/>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build:                      </w:t>
      </w:r>
      <w:r>
        <w:rPr>
          <w:rStyle w:val="CommentTok"/>
        </w:rPr>
        <w:t xml:space="preserve"># build phase: hash the smaller input</w:t>
      </w:r>
      <w:r>
        <w:br/>
      </w:r>
      <w:r>
        <w:rPr>
          <w:rStyle w:val="NormalTok"/>
        </w:rPr>
        <w:t xml:space="preserve">        table[b[bkey]].append(b)</w:t>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probe:                      </w:t>
      </w:r>
      <w:r>
        <w:rPr>
          <w:rStyle w:val="CommentTok"/>
        </w:rPr>
        <w:t xml:space="preserve"># probe phase: one lookup per probe row</w:t>
      </w:r>
      <w:r>
        <w:br/>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table.get(p[pkey], ()):</w:t>
      </w:r>
      <w:r>
        <w:br/>
      </w:r>
      <w:r>
        <w:rPr>
          <w:rStyle w:val="NormalTok"/>
        </w:rPr>
        <w:t xml:space="preserve">            </w:t>
      </w:r>
      <w:r>
        <w:rPr>
          <w:rStyle w:val="ControlFlowTok"/>
        </w:rPr>
        <w:t xml:space="preserve">yield</w:t>
      </w:r>
      <w:r>
        <w:rPr>
          <w:rStyle w:val="NormalTok"/>
        </w:rPr>
        <w:t xml:space="preserve"> b </w:t>
      </w:r>
      <w:r>
        <w:rPr>
          <w:rStyle w:val="OperatorTok"/>
        </w:rPr>
        <w:t xml:space="preserve">+</w:t>
      </w:r>
      <w:r>
        <w:rPr>
          <w:rStyle w:val="NormalTok"/>
        </w:rPr>
        <w:t xml:space="preserve"> p</w:t>
      </w:r>
      <w:r>
        <w:br/>
      </w:r>
      <w:r>
        <w:br/>
      </w:r>
      <w:r>
        <w:rPr>
          <w:rStyle w:val="KeywordTok"/>
        </w:rPr>
        <w:t xml:space="preserve">def</w:t>
      </w:r>
      <w:r>
        <w:rPr>
          <w:rStyle w:val="NormalTok"/>
        </w:rPr>
        <w:t xml:space="preserve"> sort_merge_join(left, right, lkey, rkey):</w:t>
      </w:r>
      <w:r>
        <w:br/>
      </w:r>
      <w:r>
        <w:rPr>
          <w:rStyle w:val="NormalTok"/>
        </w:rPr>
        <w:t xml:space="preserve">    left, right </w:t>
      </w:r>
      <w:r>
        <w:rPr>
          <w:rStyle w:val="OperatorTok"/>
        </w:rPr>
        <w:t xml:space="preserve">=</w:t>
      </w:r>
      <w:r>
        <w:rPr>
          <w:rStyle w:val="NormalTok"/>
        </w:rPr>
        <w:t xml:space="preserve"> </w:t>
      </w:r>
      <w:r>
        <w:rPr>
          <w:rStyle w:val="BuiltInTok"/>
        </w:rPr>
        <w:t xml:space="preserve">sorted</w:t>
      </w:r>
      <w:r>
        <w:rPr>
          <w:rStyle w:val="NormalTok"/>
        </w:rPr>
        <w:t xml:space="preserve">(left, key</w:t>
      </w:r>
      <w:r>
        <w:rPr>
          <w:rStyle w:val="OperatorTok"/>
        </w:rPr>
        <w:t xml:space="preserve">=</w:t>
      </w:r>
      <w:r>
        <w:rPr>
          <w:rStyle w:val="KeywordTok"/>
        </w:rPr>
        <w:t xml:space="preserve">lambda</w:t>
      </w:r>
      <w:r>
        <w:rPr>
          <w:rStyle w:val="NormalTok"/>
        </w:rPr>
        <w:t xml:space="preserve"> r: r[lkey]), </w:t>
      </w:r>
      <w:r>
        <w:rPr>
          <w:rStyle w:val="BuiltInTok"/>
        </w:rPr>
        <w:t xml:space="preserve">sorted</w:t>
      </w:r>
      <w:r>
        <w:rPr>
          <w:rStyle w:val="NormalTok"/>
        </w:rPr>
        <w:t xml:space="preserve">(right, key</w:t>
      </w:r>
      <w:r>
        <w:rPr>
          <w:rStyle w:val="OperatorTok"/>
        </w:rPr>
        <w:t xml:space="preserve">=</w:t>
      </w:r>
      <w:r>
        <w:rPr>
          <w:rStyle w:val="KeywordTok"/>
        </w:rPr>
        <w:t xml:space="preserve">lambda</w:t>
      </w:r>
      <w:r>
        <w:rPr>
          <w:rStyle w:val="NormalTok"/>
        </w:rPr>
        <w:t xml:space="preserve"> r: r[rkey])</w:t>
      </w:r>
      <w:r>
        <w:br/>
      </w:r>
      <w:r>
        <w:rPr>
          <w:rStyle w:val="NormalTok"/>
        </w:rPr>
        <w:t xml:space="preserve">    i </w:t>
      </w:r>
      <w:r>
        <w:rPr>
          <w:rStyle w:val="OperatorTok"/>
        </w:rPr>
        <w:t xml:space="preserve">=</w:t>
      </w:r>
      <w:r>
        <w:rPr>
          <w:rStyle w:val="NormalTok"/>
        </w:rPr>
        <w:t xml:space="preserve"> j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while</w:t>
      </w:r>
      <w:r>
        <w:rPr>
          <w:rStyle w:val="NormalTok"/>
        </w:rPr>
        <w:t xml:space="preserve"> i </w:t>
      </w:r>
      <w:r>
        <w:rPr>
          <w:rStyle w:val="OperatorTok"/>
        </w:rPr>
        <w:t xml:space="preserve">&lt;</w:t>
      </w:r>
      <w:r>
        <w:rPr>
          <w:rStyle w:val="NormalTok"/>
        </w:rPr>
        <w:t xml:space="preserve"> </w:t>
      </w:r>
      <w:r>
        <w:rPr>
          <w:rStyle w:val="BuiltInTok"/>
        </w:rPr>
        <w:t xml:space="preserve">len</w:t>
      </w:r>
      <w:r>
        <w:rPr>
          <w:rStyle w:val="NormalTok"/>
        </w:rPr>
        <w:t xml:space="preserve">(left) </w:t>
      </w:r>
      <w:r>
        <w:rPr>
          <w:rStyle w:val="KeywordTok"/>
        </w:rPr>
        <w:t xml:space="preserve">and</w:t>
      </w:r>
      <w:r>
        <w:rPr>
          <w:rStyle w:val="NormalTok"/>
        </w:rPr>
        <w:t xml:space="preserve"> j </w:t>
      </w:r>
      <w:r>
        <w:rPr>
          <w:rStyle w:val="OperatorTok"/>
        </w:rPr>
        <w:t xml:space="preserve">&lt;</w:t>
      </w:r>
      <w:r>
        <w:rPr>
          <w:rStyle w:val="NormalTok"/>
        </w:rPr>
        <w:t xml:space="preserve"> </w:t>
      </w:r>
      <w:r>
        <w:rPr>
          <w:rStyle w:val="BuiltInTok"/>
        </w:rPr>
        <w:t xml:space="preserve">len</w:t>
      </w:r>
      <w:r>
        <w:rPr>
          <w:rStyle w:val="NormalTok"/>
        </w:rPr>
        <w:t xml:space="preserve">(right):</w:t>
      </w:r>
      <w:r>
        <w:br/>
      </w:r>
      <w:r>
        <w:rPr>
          <w:rStyle w:val="NormalTok"/>
        </w:rPr>
        <w:t xml:space="preserve">        lv, rv </w:t>
      </w:r>
      <w:r>
        <w:rPr>
          <w:rStyle w:val="OperatorTok"/>
        </w:rPr>
        <w:t xml:space="preserve">=</w:t>
      </w:r>
      <w:r>
        <w:rPr>
          <w:rStyle w:val="NormalTok"/>
        </w:rPr>
        <w:t xml:space="preserve"> left[i][lkey], right[j][rkey]</w:t>
      </w:r>
      <w:r>
        <w:br/>
      </w:r>
      <w:r>
        <w:rPr>
          <w:rStyle w:val="NormalTok"/>
        </w:rPr>
        <w:t xml:space="preserve">        </w:t>
      </w:r>
      <w:r>
        <w:rPr>
          <w:rStyle w:val="ControlFlowTok"/>
        </w:rPr>
        <w:t xml:space="preserve">if</w:t>
      </w:r>
      <w:r>
        <w:rPr>
          <w:rStyle w:val="NormalTok"/>
        </w:rPr>
        <w:t xml:space="preserve"> lv </w:t>
      </w:r>
      <w:r>
        <w:rPr>
          <w:rStyle w:val="OperatorTok"/>
        </w:rPr>
        <w:t xml:space="preserve">&lt;</w:t>
      </w:r>
      <w:r>
        <w:rPr>
          <w:rStyle w:val="NormalTok"/>
        </w:rPr>
        <w:t xml:space="preserve"> rv:</w:t>
      </w:r>
      <w:r>
        <w:br/>
      </w:r>
      <w:r>
        <w:rPr>
          <w:rStyle w:val="NormalTok"/>
        </w:rPr>
        <w:t xml:space="preserve">            i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elif</w:t>
      </w:r>
      <w:r>
        <w:rPr>
          <w:rStyle w:val="NormalTok"/>
        </w:rPr>
        <w:t xml:space="preserve"> lv </w:t>
      </w:r>
      <w:r>
        <w:rPr>
          <w:rStyle w:val="OperatorTok"/>
        </w:rPr>
        <w:t xml:space="preserve">&gt;</w:t>
      </w:r>
      <w:r>
        <w:rPr>
          <w:rStyle w:val="NormalTok"/>
        </w:rPr>
        <w:t xml:space="preserve"> rv:</w:t>
      </w:r>
      <w:r>
        <w:br/>
      </w:r>
      <w:r>
        <w:rPr>
          <w:rStyle w:val="NormalTok"/>
        </w:rPr>
        <w:t xml:space="preserve">            j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else</w:t>
      </w:r>
      <w:r>
        <w:rPr>
          <w:rStyle w:val="NormalTok"/>
        </w:rPr>
        <w:t xml:space="preserve">:                            </w:t>
      </w:r>
      <w:r>
        <w:rPr>
          <w:rStyle w:val="CommentTok"/>
        </w:rPr>
        <w:t xml:space="preserve"># emit every pair in the matching groups</w:t>
      </w:r>
      <w:r>
        <w:br/>
      </w:r>
      <w:r>
        <w:rPr>
          <w:rStyle w:val="NormalTok"/>
        </w:rPr>
        <w:t xml:space="preserve">            j_end </w:t>
      </w:r>
      <w:r>
        <w:rPr>
          <w:rStyle w:val="OperatorTok"/>
        </w:rPr>
        <w:t xml:space="preserve">=</w:t>
      </w:r>
      <w:r>
        <w:rPr>
          <w:rStyle w:val="NormalTok"/>
        </w:rPr>
        <w:t xml:space="preserve"> j</w:t>
      </w:r>
      <w:r>
        <w:br/>
      </w:r>
      <w:r>
        <w:rPr>
          <w:rStyle w:val="NormalTok"/>
        </w:rPr>
        <w:t xml:space="preserve">            </w:t>
      </w:r>
      <w:r>
        <w:rPr>
          <w:rStyle w:val="ControlFlowTok"/>
        </w:rPr>
        <w:t xml:space="preserve">while</w:t>
      </w:r>
      <w:r>
        <w:rPr>
          <w:rStyle w:val="NormalTok"/>
        </w:rPr>
        <w:t xml:space="preserve"> j_end </w:t>
      </w:r>
      <w:r>
        <w:rPr>
          <w:rStyle w:val="OperatorTok"/>
        </w:rPr>
        <w:t xml:space="preserve">&lt;</w:t>
      </w:r>
      <w:r>
        <w:rPr>
          <w:rStyle w:val="NormalTok"/>
        </w:rPr>
        <w:t xml:space="preserve"> </w:t>
      </w:r>
      <w:r>
        <w:rPr>
          <w:rStyle w:val="BuiltInTok"/>
        </w:rPr>
        <w:t xml:space="preserve">len</w:t>
      </w:r>
      <w:r>
        <w:rPr>
          <w:rStyle w:val="NormalTok"/>
        </w:rPr>
        <w:t xml:space="preserve">(right) </w:t>
      </w:r>
      <w:r>
        <w:rPr>
          <w:rStyle w:val="KeywordTok"/>
        </w:rPr>
        <w:t xml:space="preserve">and</w:t>
      </w:r>
      <w:r>
        <w:rPr>
          <w:rStyle w:val="NormalTok"/>
        </w:rPr>
        <w:t xml:space="preserve"> right[j_end][rkey] </w:t>
      </w:r>
      <w:r>
        <w:rPr>
          <w:rStyle w:val="OperatorTok"/>
        </w:rPr>
        <w:t xml:space="preserve">==</w:t>
      </w:r>
      <w:r>
        <w:rPr>
          <w:rStyle w:val="NormalTok"/>
        </w:rPr>
        <w:t xml:space="preserve"> lv:</w:t>
      </w:r>
      <w:r>
        <w:br/>
      </w:r>
      <w:r>
        <w:rPr>
          <w:rStyle w:val="NormalTok"/>
        </w:rPr>
        <w:t xml:space="preserve">                j_end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while</w:t>
      </w:r>
      <w:r>
        <w:rPr>
          <w:rStyle w:val="NormalTok"/>
        </w:rPr>
        <w:t xml:space="preserve"> i </w:t>
      </w:r>
      <w:r>
        <w:rPr>
          <w:rStyle w:val="OperatorTok"/>
        </w:rPr>
        <w:t xml:space="preserve">&lt;</w:t>
      </w:r>
      <w:r>
        <w:rPr>
          <w:rStyle w:val="NormalTok"/>
        </w:rPr>
        <w:t xml:space="preserve"> </w:t>
      </w:r>
      <w:r>
        <w:rPr>
          <w:rStyle w:val="BuiltInTok"/>
        </w:rPr>
        <w:t xml:space="preserve">len</w:t>
      </w:r>
      <w:r>
        <w:rPr>
          <w:rStyle w:val="NormalTok"/>
        </w:rPr>
        <w:t xml:space="preserve">(left) </w:t>
      </w:r>
      <w:r>
        <w:rPr>
          <w:rStyle w:val="KeywordTok"/>
        </w:rPr>
        <w:t xml:space="preserve">and</w:t>
      </w:r>
      <w:r>
        <w:rPr>
          <w:rStyle w:val="NormalTok"/>
        </w:rPr>
        <w:t xml:space="preserve"> left[i][lkey] </w:t>
      </w:r>
      <w:r>
        <w:rPr>
          <w:rStyle w:val="OperatorTok"/>
        </w:rPr>
        <w:t xml:space="preserve">==</w:t>
      </w:r>
      <w:r>
        <w:rPr>
          <w:rStyle w:val="NormalTok"/>
        </w:rPr>
        <w:t xml:space="preserve"> lv:</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right[j:j_end]:</w:t>
      </w:r>
      <w:r>
        <w:br/>
      </w:r>
      <w:r>
        <w:rPr>
          <w:rStyle w:val="NormalTok"/>
        </w:rPr>
        <w:t xml:space="preserve">                    </w:t>
      </w:r>
      <w:r>
        <w:rPr>
          <w:rStyle w:val="ControlFlowTok"/>
        </w:rPr>
        <w:t xml:space="preserve">yield</w:t>
      </w:r>
      <w:r>
        <w:rPr>
          <w:rStyle w:val="NormalTok"/>
        </w:rPr>
        <w:t xml:space="preserve"> left[i] </w:t>
      </w:r>
      <w:r>
        <w:rPr>
          <w:rStyle w:val="OperatorTok"/>
        </w:rPr>
        <w:t xml:space="preserve">+</w:t>
      </w:r>
      <w:r>
        <w:rPr>
          <w:rStyle w:val="NormalTok"/>
        </w:rPr>
        <w:t xml:space="preserve"> r</w:t>
      </w:r>
      <w:r>
        <w:br/>
      </w:r>
      <w:r>
        <w:rPr>
          <w:rStyle w:val="NormalTok"/>
        </w:rPr>
        <w:t xml:space="preserve">                i </w:t>
      </w:r>
      <w:r>
        <w:rPr>
          <w:rStyle w:val="OperatorTok"/>
        </w:rPr>
        <w:t xml:space="preserve">+=</w:t>
      </w:r>
      <w:r>
        <w:rPr>
          <w:rStyle w:val="NormalTok"/>
        </w:rPr>
        <w:t xml:space="preserve"> </w:t>
      </w:r>
      <w:r>
        <w:rPr>
          <w:rStyle w:val="DecValTok"/>
        </w:rPr>
        <w:t xml:space="preserve">1</w:t>
      </w:r>
      <w:r>
        <w:br/>
      </w:r>
      <w:r>
        <w:rPr>
          <w:rStyle w:val="NormalTok"/>
        </w:rPr>
        <w:t xml:space="preserve">            j </w:t>
      </w:r>
      <w:r>
        <w:rPr>
          <w:rStyle w:val="OperatorTok"/>
        </w:rPr>
        <w:t xml:space="preserve">=</w:t>
      </w:r>
      <w:r>
        <w:rPr>
          <w:rStyle w:val="NormalTok"/>
        </w:rPr>
        <w:t xml:space="preserve"> j_end</w:t>
      </w:r>
      <w:r>
        <w:br/>
      </w:r>
      <w:r>
        <w:br/>
      </w:r>
      <w:r>
        <w:rPr>
          <w:rStyle w:val="ControlFlowTok"/>
        </w:rPr>
        <w:t xml:space="preserve">for</w:t>
      </w:r>
      <w:r>
        <w:rPr>
          <w:rStyle w:val="NormalTok"/>
        </w:rPr>
        <w:t xml:space="preserve"> name, rows </w:t>
      </w:r>
      <w:r>
        <w:rPr>
          <w:rStyle w:val="KeywordTok"/>
        </w:rPr>
        <w:t xml:space="preserve">in</w:t>
      </w:r>
      <w:r>
        <w:rPr>
          <w:rStyle w:val="NormalTok"/>
        </w:rPr>
        <w:t xml:space="preserve"> [(</w:t>
      </w:r>
      <w:r>
        <w:rPr>
          <w:rStyle w:val="StringTok"/>
        </w:rPr>
        <w:t xml:space="preserve">"nested loop"</w:t>
      </w:r>
      <w:r>
        <w:rPr>
          <w:rStyle w:val="NormalTok"/>
        </w:rPr>
        <w:t xml:space="preserve">, nested_loop_join(customers, orders,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"hash"</w:t>
      </w:r>
      <w:r>
        <w:rPr>
          <w:rStyle w:val="NormalTok"/>
        </w:rPr>
        <w:t xml:space="preserve">, hash_join(customers, orders,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"sort-merge"</w:t>
      </w:r>
      <w:r>
        <w:rPr>
          <w:rStyle w:val="NormalTok"/>
        </w:rPr>
        <w:t xml:space="preserve">, sort_merge_join(customers, orders,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:&lt;12}</w:t>
      </w:r>
      <w:r>
        <w:rPr>
          <w:rStyle w:val="SpecialStringTok"/>
        </w:rPr>
        <w:t xml:space="preserve">"</w:t>
      </w:r>
      <w:r>
        <w:rPr>
          <w:rStyle w:val="NormalTok"/>
        </w:rPr>
        <w:t xml:space="preserve">, </w:t>
      </w:r>
      <w:r>
        <w:rPr>
          <w:rStyle w:val="BuiltInTok"/>
        </w:rPr>
        <w:t xml:space="preserve">sorted</w:t>
      </w:r>
      <w:r>
        <w:rPr>
          <w:rStyle w:val="NormalTok"/>
        </w:rPr>
        <w:t xml:space="preserve">(rows, key</w:t>
      </w:r>
      <w:r>
        <w:rPr>
          <w:rStyle w:val="OperatorTok"/>
        </w:rPr>
        <w:t xml:space="preserve">=</w:t>
      </w:r>
      <w:r>
        <w:rPr>
          <w:rStyle w:val="KeywordTok"/>
        </w:rPr>
        <w:t xml:space="preserve">lambda</w:t>
      </w:r>
      <w:r>
        <w:rPr>
          <w:rStyle w:val="NormalTok"/>
        </w:rPr>
        <w:t xml:space="preserve"> r: r[</w:t>
      </w:r>
      <w:r>
        <w:rPr>
          <w:rStyle w:val="DecValTok"/>
        </w:rPr>
        <w:t xml:space="preserve">2</w:t>
      </w:r>
      <w:r>
        <w:rPr>
          <w:rStyle w:val="NormalTok"/>
        </w:rPr>
        <w:t xml:space="preserve">]))</w:t>
      </w:r>
    </w:p>
    <w:p>
      <w:pPr>
        <w:pStyle w:val="FirstParagraph"/>
      </w:pPr>
      <w:r>
        <w:t xml:space="preserve">What to notice:</w:t>
      </w:r>
    </w:p>
    <w:p>
      <w:pPr>
        <w:numPr>
          <w:ilvl w:val="0"/>
          <w:numId w:val="1366"/>
        </w:numPr>
        <w:pStyle w:val="Compact"/>
      </w:pPr>
      <w:r>
        <w:t xml:space="preserve">All three print the same three rows: Berlin with orders 10 and 12, Pune with order 11. Order 13 (customer 4) has no match and disappears, as an inner join requires.</w:t>
      </w:r>
    </w:p>
    <w:p>
      <w:pPr>
        <w:numPr>
          <w:ilvl w:val="0"/>
          <w:numId w:val="1366"/>
        </w:numPr>
        <w:pStyle w:val="Compact"/>
      </w:pPr>
      <w:r>
        <w:t xml:space="preserve">The nested loop performs</w:t>
      </w:r>
      <w:r>
        <w:t xml:space="preserve"> </w:t>
      </w:r>
      <m:oMath>
        <m:r>
          <m:t>3</m:t>
        </m:r>
        <m:r>
          <m:rPr>
            <m:sty m:val="p"/>
          </m:rPr>
          <m:t>×</m:t>
        </m:r>
        <m:r>
          <m:t>4</m:t>
        </m:r>
        <m:r>
          <m:rPr>
            <m:sty m:val="p"/>
          </m:rPr>
          <m:t>=</m:t>
        </m:r>
        <m:r>
          <m:t>12</m:t>
        </m:r>
      </m:oMath>
      <w:r>
        <w:t xml:space="preserve"> </w:t>
      </w:r>
      <w:r>
        <w:t xml:space="preserve">comparisons; the hash join performs 3 inserts and 4 probes. With a million rows on each side, that difference is</w:t>
      </w:r>
      <w:r>
        <w:t xml:space="preserve"> </w:t>
      </w:r>
      <m:oMath>
        <m:sSup>
          <m:e>
            <m:r>
              <m:t>10</m:t>
            </m:r>
          </m:e>
          <m:sup>
            <m:r>
              <m:t>12</m:t>
            </m:r>
          </m:sup>
        </m:sSup>
      </m:oMath>
      <w:r>
        <w:t xml:space="preserve"> </w:t>
      </w:r>
      <w:r>
        <w:t xml:space="preserve">versus</w:t>
      </w:r>
      <w:r>
        <w:t xml:space="preserve"> </w:t>
      </w:r>
      <m:oMath>
        <m:r>
          <m:t>2</m:t>
        </m:r>
        <m:r>
          <m:rPr>
            <m:sty m:val="p"/>
          </m:rPr>
          <m:t>×</m:t>
        </m:r>
        <m:sSup>
          <m:e>
            <m:r>
              <m:t>10</m:t>
            </m:r>
          </m:e>
          <m:sup>
            <m:r>
              <m:t>6</m:t>
            </m:r>
          </m:sup>
        </m:sSup>
      </m:oMath>
      <w:r>
        <w:t xml:space="preserve"> </w:t>
      </w:r>
      <w:r>
        <w:t xml:space="preserve">operations.</w:t>
      </w:r>
    </w:p>
    <w:p>
      <w:pPr>
        <w:pStyle w:val="FirstParagraph"/>
      </w:pPr>
      <w:r>
        <w:rPr>
          <w:bCs/>
          <w:b/>
        </w:rPr>
        <w:t xml:space="preserve">Figure 11.2 — Hash join: build on the smaller input, probe with the larger.</w:t>
      </w:r>
    </w:p>
    <w:p>
      <w:pPr>
        <w:pStyle w:val="BodyText"/>
      </w:pPr>
      <w:r>
        <w:drawing>
          <wp:inline>
            <wp:extent cx="5334000" cy="1464561"/>
            <wp:effectExtent b="0" l="0" r="0" t="0"/>
            <wp:docPr descr="" title="" id="1213" name="Picture"/>
            <a:graphic>
              <a:graphicData uri="http://schemas.openxmlformats.org/drawingml/2006/picture">
                <pic:pic>
                  <pic:nvPicPr>
                    <pic:cNvPr descr="/home/user/System-Design/build/.cache/diagrams/e8876514f279.png" id="1214" name="Picture"/>
                    <pic:cNvPicPr>
                      <a:picLocks noChangeArrowheads="1" noChangeAspect="1"/>
                    </pic:cNvPicPr>
                  </pic:nvPicPr>
                  <pic:blipFill>
                    <a:blip r:embed="rId1212"/>
                    <a:stretch>
                      <a:fillRect/>
                    </a:stretch>
                  </pic:blipFill>
                  <pic:spPr bwMode="auto">
                    <a:xfrm>
                      <a:off x="0" y="0"/>
                      <a:ext cx="5334000" cy="1464561"/>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Cylinders are tables or temporary files; rectangles are in-memory operator state; every solid arrow is a synchronous in-process data flow. The build phase must finish before probing starts (blocking), while the probe phase passes each</w:t>
      </w:r>
      <w:r>
        <w:t xml:space="preserve"> </w:t>
      </w:r>
      <w:r>
        <w:rPr>
          <w:rStyle w:val="VerbatimChar"/>
        </w:rPr>
        <w:t xml:space="preserve">orders</w:t>
      </w:r>
      <w:r>
        <w:t xml:space="preserve"> </w:t>
      </w:r>
      <w:r>
        <w:t xml:space="preserve">row upward immediately (pipelined). The dotted arrow is the degradation path: if the hash table exceeds the memory budget (</w:t>
      </w:r>
      <w:r>
        <w:rPr>
          <w:rStyle w:val="VerbatimChar"/>
        </w:rPr>
        <w:t xml:space="preserve">work_mem</w:t>
      </w:r>
      <w:r>
        <w:t xml:space="preserve"> </w:t>
      </w:r>
      <w:r>
        <w:t xml:space="preserve">in PostgreSQL), both inputs are partitioned to disk and re-read. Sizes come from the real plan in §11.10. Scaling: more memory, an earlier filter on the build side, or parallel probe workers.</w:t>
      </w:r>
    </w:p>
    <w:bookmarkEnd w:id="1215"/>
    <w:bookmarkStart w:id="1216" w:name="mathematical-foundations-15"/>
    <w:p>
      <w:pPr>
        <w:pStyle w:val="Heading4"/>
      </w:pPr>
      <w:r>
        <w:t xml:space="preserve">Mathematical foundations</w:t>
      </w:r>
    </w:p>
    <w:p>
      <w:pPr>
        <w:pStyle w:val="FirstParagraph"/>
      </w:pPr>
      <w:r>
        <w:t xml:space="preserve">The classic way to compare join algorithms counts</w:t>
      </w:r>
      <w:r>
        <w:t xml:space="preserve"> </w:t>
      </w:r>
      <w:r>
        <w:rPr>
          <w:bCs/>
          <w:b/>
        </w:rPr>
        <w:t xml:space="preserve">page I/Os</w:t>
      </w:r>
      <w:r>
        <w:t xml:space="preserve">, because on a disk-resident database they dominate [Ramakrishnan and Gehrke 2003]. Let the outer relation</w:t>
      </w:r>
      <w:r>
        <w:t xml:space="preserve"> </w:t>
      </w:r>
      <m:oMath>
        <m:r>
          <m:t>R</m:t>
        </m:r>
      </m:oMath>
      <w:r>
        <w:t xml:space="preserve"> </w:t>
      </w:r>
      <w:r>
        <w:t xml:space="preserve">have</w:t>
      </w:r>
      <w:r>
        <w:t xml:space="preserve"> </w:t>
      </w:r>
      <m:oMath>
        <m:r>
          <m:t>M</m:t>
        </m:r>
      </m:oMath>
      <w:r>
        <w:t xml:space="preserve"> </w:t>
      </w:r>
      <w:r>
        <w:t xml:space="preserve">pages and the inner relation</w:t>
      </w:r>
      <w:r>
        <w:t xml:space="preserve"> </w:t>
      </w:r>
      <m:oMath>
        <m:r>
          <m:t>S</m:t>
        </m:r>
      </m:oMath>
      <w:r>
        <w:t xml:space="preserve"> </w:t>
      </w:r>
      <w:r>
        <w:t xml:space="preserve">have</w:t>
      </w:r>
      <w:r>
        <w:t xml:space="preserve"> </w:t>
      </w:r>
      <m:oMath>
        <m:r>
          <m:t>N</m:t>
        </m:r>
      </m:oMath>
      <w:r>
        <w:t xml:space="preserve"> </w:t>
      </w:r>
      <w:r>
        <w:t xml:space="preserve">pages.</w:t>
      </w:r>
    </w:p>
    <w:p>
      <w:pPr>
        <w:pStyle w:val="CalloutFormula"/>
      </w:pPr>
      <w:r>
        <w:rPr>
          <w:bCs/>
          <w:b/>
        </w:rPr>
        <w:t xml:space="preserve">FORMULA</w:t>
      </w:r>
    </w:p>
    <w:p>
      <w:pPr>
        <w:pStyle w:val="CalloutFormula"/>
      </w:pPr>
      <w:r>
        <w:rPr>
          <w:bCs/>
          <w:b/>
        </w:rPr>
        <w:t xml:space="preserve">I/O cost of join algorithms</w:t>
      </w:r>
    </w:p>
    <w:p>
      <w:pPr>
        <w:pStyle w:val="CalloutFormula"/>
      </w:pPr>
      <m:oMathPara>
        <m:oMathParaPr>
          <m:jc m:val="center"/>
        </m:oMathParaPr>
        <m:oMath>
          <m:sSub>
            <m:e>
              <m:r>
                <m:t>C</m:t>
              </m:r>
            </m:e>
            <m:sub>
              <m:r>
                <m:rPr>
                  <m:nor/>
                  <m:sty m:val="p"/>
                </m:rPr>
                <m:t>tuple NLJ</m:t>
              </m:r>
            </m:sub>
          </m:sSub>
          <m:r>
            <m:rPr>
              <m:sty m:val="p"/>
            </m:rPr>
            <m:t>=</m:t>
          </m:r>
          <m:r>
            <m:t>M</m:t>
          </m:r>
          <m:r>
            <m:rPr>
              <m:sty m:val="p"/>
            </m:rPr>
            <m:t>+</m:t>
          </m:r>
          <m:sSub>
            <m:e>
              <m:r>
                <m:t>p</m:t>
              </m:r>
            </m:e>
            <m:sub>
              <m:r>
                <m:t>R</m:t>
              </m:r>
            </m:sub>
          </m:sSub>
          <m:r>
            <m:rPr>
              <m:sty m:val="p"/>
            </m:rPr>
            <m:t>⋅</m:t>
          </m:r>
          <m:r>
            <m:t>M</m:t>
          </m:r>
          <m:r>
            <m:rPr>
              <m:sty m:val="p"/>
            </m:rPr>
            <m:t>⋅</m:t>
          </m:r>
          <m:r>
            <m:t>N</m:t>
          </m:r>
          <m:r>
            <m:t>  </m:t>
          </m:r>
          <m:sSub>
            <m:e>
              <m:r>
                <m:t>C</m:t>
              </m:r>
            </m:e>
            <m:sub>
              <m:r>
                <m:rPr>
                  <m:nor/>
                  <m:sty m:val="p"/>
                </m:rPr>
                <m:t>block NLJ</m:t>
              </m:r>
            </m:sub>
          </m:sSub>
          <m:r>
            <m:rPr>
              <m:sty m:val="p"/>
            </m:rPr>
            <m:t>=</m:t>
          </m:r>
          <m:r>
            <m:t>M</m:t>
          </m:r>
          <m:r>
            <m:rPr>
              <m:sty m:val="p"/>
            </m:rPr>
            <m:t>+</m:t>
          </m:r>
          <m:d>
            <m:dPr>
              <m:begChr m:val="⌈"/>
              <m:endChr m:val="⌉"/>
              <m:sepChr m:val=""/>
              <m:grow/>
            </m:dPr>
            <m:e>
              <m:f>
                <m:fPr>
                  <m:type m:val="bar"/>
                </m:fPr>
                <m:num>
                  <m:r>
                    <m:t>M</m:t>
                  </m:r>
                </m:num>
                <m:den>
                  <m:r>
                    <m:t>B</m:t>
                  </m:r>
                  <m:r>
                    <m:rPr>
                      <m:sty m:val="p"/>
                    </m:rPr>
                    <m:t>−</m:t>
                  </m:r>
                  <m:r>
                    <m:t>2</m:t>
                  </m:r>
                </m:den>
              </m:f>
            </m:e>
          </m:d>
          <m:r>
            <m:t>N</m:t>
          </m:r>
        </m:oMath>
      </m:oMathPara>
    </w:p>
    <w:p>
      <w:pPr>
        <w:pStyle w:val="CalloutFormula"/>
      </w:pPr>
      <m:oMathPara>
        <m:oMathParaPr>
          <m:jc m:val="center"/>
        </m:oMathParaPr>
        <m:oMath>
          <m:sSub>
            <m:e>
              <m:r>
                <m:t>C</m:t>
              </m:r>
            </m:e>
            <m:sub>
              <m:r>
                <m:rPr>
                  <m:nor/>
                  <m:sty m:val="p"/>
                </m:rPr>
                <m:t>index NLJ</m:t>
              </m:r>
            </m:sub>
          </m:sSub>
          <m:r>
            <m:rPr>
              <m:sty m:val="p"/>
            </m:rPr>
            <m:t>=</m:t>
          </m:r>
          <m:r>
            <m:t>M</m:t>
          </m:r>
          <m:r>
            <m:rPr>
              <m:sty m:val="p"/>
            </m:rPr>
            <m:t>+</m:t>
          </m:r>
          <m:sSub>
            <m:e>
              <m:r>
                <m:t>p</m:t>
              </m:r>
            </m:e>
            <m:sub>
              <m:r>
                <m:t>R</m:t>
              </m:r>
            </m:sub>
          </m:sSub>
          <m:r>
            <m:rPr>
              <m:sty m:val="p"/>
            </m:rPr>
            <m:t>⋅</m:t>
          </m:r>
          <m:r>
            <m:t>M</m:t>
          </m:r>
          <m:r>
            <m:rPr>
              <m:sty m:val="p"/>
            </m:rPr>
            <m:t>⋅</m:t>
          </m:r>
          <m:sSub>
            <m:e>
              <m:r>
                <m:t>c</m:t>
              </m:r>
            </m:e>
            <m:sub>
              <m:r>
                <m:rPr>
                  <m:nor/>
                  <m:sty m:val="p"/>
                </m:rPr>
                <m:t>idx</m:t>
              </m:r>
            </m:sub>
          </m:sSub>
          <m:r>
            <m:t>  </m:t>
          </m:r>
          <m:sSub>
            <m:e>
              <m:r>
                <m:t>C</m:t>
              </m:r>
            </m:e>
            <m:sub>
              <m:r>
                <m:rPr>
                  <m:nor/>
                  <m:sty m:val="p"/>
                </m:rPr>
                <m:t>Grace hash</m:t>
              </m:r>
            </m:sub>
          </m:sSub>
          <m:r>
            <m:rPr>
              <m:sty m:val="p"/>
            </m:rPr>
            <m:t>≈</m:t>
          </m:r>
          <m:r>
            <m:t>3</m:t>
          </m:r>
          <m:d>
            <m:dPr>
              <m:begChr m:val="("/>
              <m:endChr m:val=")"/>
              <m:sepChr m:val=""/>
              <m:grow/>
            </m:dPr>
            <m:e>
              <m:r>
                <m:t>M</m:t>
              </m:r>
              <m:r>
                <m:rPr>
                  <m:sty m:val="p"/>
                </m:rPr>
                <m:t>+</m:t>
              </m:r>
              <m:r>
                <m:t>N</m:t>
              </m:r>
            </m:e>
          </m:d>
          <m:r>
            <m:t>  </m:t>
          </m:r>
          <m:sSub>
            <m:e>
              <m:r>
                <m:t>C</m:t>
              </m:r>
            </m:e>
            <m:sub>
              <m:r>
                <m:rPr>
                  <m:nor/>
                  <m:sty m:val="p"/>
                </m:rPr>
                <m:t>sort-merge</m:t>
              </m:r>
            </m:sub>
          </m:sSub>
          <m:r>
            <m:rPr>
              <m:sty m:val="p"/>
            </m:rPr>
            <m:t>≈</m:t>
          </m:r>
          <m:r>
            <m:t>3</m:t>
          </m:r>
          <m:d>
            <m:dPr>
              <m:begChr m:val="("/>
              <m:endChr m:val=")"/>
              <m:sepChr m:val=""/>
              <m:grow/>
            </m:dPr>
            <m:e>
              <m:r>
                <m:t>M</m:t>
              </m:r>
              <m:r>
                <m:rPr>
                  <m:sty m:val="p"/>
                </m:rPr>
                <m:t>+</m:t>
              </m:r>
              <m:r>
                <m:t>N</m:t>
              </m:r>
            </m:e>
          </m:d>
          <m:r>
            <m:rPr>
              <m:nor/>
              <m:sty m:val="p"/>
            </m:rPr>
            <m:t> to </m:t>
          </m:r>
          <m:r>
            <m:t>5</m:t>
          </m:r>
          <m:d>
            <m:dPr>
              <m:begChr m:val="("/>
              <m:endChr m:val=")"/>
              <m:sepChr m:val=""/>
              <m:grow/>
            </m:dPr>
            <m:e>
              <m:r>
                <m:t>M</m:t>
              </m:r>
              <m:r>
                <m:rPr>
                  <m:sty m:val="p"/>
                </m:rPr>
                <m:t>+</m:t>
              </m:r>
              <m:r>
                <m:t>N</m:t>
              </m:r>
            </m:e>
          </m:d>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M</m:t>
              </m:r>
            </m:oMath>
            <w:r>
              <w:t xml:space="preserve">,</w:t>
            </w:r>
            <w:r>
              <w:t xml:space="preserve"> </w:t>
            </w:r>
            <m:oMath>
              <m:r>
                <m:t>N</m:t>
              </m:r>
            </m:oMath>
          </w:p>
        </w:tc>
        <w:tc>
          <w:tcPr/>
          <w:p>
            <w:pPr>
              <w:pStyle w:val="Compact"/>
              <w:jc w:val="left"/>
            </w:pPr>
            <w:r>
              <w:t xml:space="preserve">Pages in the outer relation</w:t>
            </w:r>
            <w:r>
              <w:t xml:space="preserve"> </w:t>
            </w:r>
            <m:oMath>
              <m:r>
                <m:t>R</m:t>
              </m:r>
            </m:oMath>
            <w:r>
              <w:t xml:space="preserve"> </w:t>
            </w:r>
            <w:r>
              <w:t xml:space="preserve">and inner relation</w:t>
            </w:r>
            <w:r>
              <w:t xml:space="preserve"> </w:t>
            </w:r>
            <m:oMath>
              <m:r>
                <m:t>S</m:t>
              </m:r>
            </m:oMath>
          </w:p>
        </w:tc>
        <w:tc>
          <w:tcPr/>
          <w:p>
            <w:pPr>
              <w:pStyle w:val="Compact"/>
              <w:jc w:val="left"/>
            </w:pPr>
            <w:r>
              <w:t xml:space="preserve">pages</w:t>
            </w:r>
          </w:p>
        </w:tc>
      </w:tr>
      <w:tr>
        <w:tc>
          <w:tcPr/>
          <w:p>
            <w:pPr>
              <w:pStyle w:val="Compact"/>
              <w:jc w:val="left"/>
            </w:pPr>
            <m:oMath>
              <m:sSub>
                <m:e>
                  <m:r>
                    <m:t>p</m:t>
                  </m:r>
                </m:e>
                <m:sub>
                  <m:r>
                    <m:t>R</m:t>
                  </m:r>
                </m:sub>
              </m:sSub>
            </m:oMath>
          </w:p>
        </w:tc>
        <w:tc>
          <w:tcPr/>
          <w:p>
            <w:pPr>
              <w:pStyle w:val="Compact"/>
              <w:jc w:val="left"/>
            </w:pPr>
            <w:r>
              <w:t xml:space="preserve">Rows per page of</w:t>
            </w:r>
            <w:r>
              <w:t xml:space="preserve"> </w:t>
            </w:r>
            <m:oMath>
              <m:r>
                <m:t>R</m:t>
              </m:r>
            </m:oMath>
          </w:p>
        </w:tc>
        <w:tc>
          <w:tcPr/>
          <w:p>
            <w:pPr>
              <w:pStyle w:val="Compact"/>
              <w:jc w:val="left"/>
            </w:pPr>
            <w:r>
              <w:t xml:space="preserve">rows/page</w:t>
            </w:r>
          </w:p>
        </w:tc>
      </w:tr>
      <w:tr>
        <w:tc>
          <w:tcPr/>
          <w:p>
            <w:pPr>
              <w:pStyle w:val="Compact"/>
              <w:jc w:val="left"/>
            </w:pPr>
            <m:oMath>
              <m:r>
                <m:t>B</m:t>
              </m:r>
            </m:oMath>
          </w:p>
        </w:tc>
        <w:tc>
          <w:tcPr/>
          <w:p>
            <w:pPr>
              <w:pStyle w:val="Compact"/>
              <w:jc w:val="left"/>
            </w:pPr>
            <w:r>
              <w:t xml:space="preserve">Buffer pages available to the join (one for output, one for the inner scan)</w:t>
            </w:r>
          </w:p>
        </w:tc>
        <w:tc>
          <w:tcPr/>
          <w:p>
            <w:pPr>
              <w:pStyle w:val="Compact"/>
              <w:jc w:val="left"/>
            </w:pPr>
            <w:r>
              <w:t xml:space="preserve">pages</w:t>
            </w:r>
          </w:p>
        </w:tc>
      </w:tr>
      <w:tr>
        <w:tc>
          <w:tcPr/>
          <w:p>
            <w:pPr>
              <w:pStyle w:val="Compact"/>
              <w:jc w:val="left"/>
            </w:pPr>
            <m:oMath>
              <m:sSub>
                <m:e>
                  <m:r>
                    <m:t>c</m:t>
                  </m:r>
                </m:e>
                <m:sub>
                  <m:r>
                    <m:rPr>
                      <m:nor/>
                      <m:sty m:val="p"/>
                    </m:rPr>
                    <m:t>idx</m:t>
                  </m:r>
                </m:sub>
              </m:sSub>
            </m:oMath>
          </w:p>
        </w:tc>
        <w:tc>
          <w:tcPr/>
          <w:p>
            <w:pPr>
              <w:pStyle w:val="Compact"/>
              <w:jc w:val="left"/>
            </w:pPr>
            <w:r>
              <w:t xml:space="preserve">Page reads to find matching inner rows through an index (descent plus row fetch)</w:t>
            </w:r>
          </w:p>
        </w:tc>
        <w:tc>
          <w:tcPr/>
          <w:p>
            <w:pPr>
              <w:pStyle w:val="Compact"/>
              <w:jc w:val="left"/>
            </w:pPr>
            <w:r>
              <w:t xml:space="preserve">pages/row</w:t>
            </w:r>
          </w:p>
        </w:tc>
      </w:tr>
      <w:tr>
        <w:tc>
          <w:tcPr/>
          <w:p>
            <w:pPr>
              <w:pStyle w:val="Compact"/>
              <w:jc w:val="left"/>
            </w:pPr>
            <m:oMath>
              <m:r>
                <m:t>C</m:t>
              </m:r>
            </m:oMath>
          </w:p>
        </w:tc>
        <w:tc>
          <w:tcPr/>
          <w:p>
            <w:pPr>
              <w:pStyle w:val="Compact"/>
              <w:jc w:val="left"/>
            </w:pPr>
            <w:r>
              <w:t xml:space="preserve">Total page reads and writes</w:t>
            </w:r>
          </w:p>
        </w:tc>
        <w:tc>
          <w:tcPr/>
          <w:p>
            <w:pPr>
              <w:pStyle w:val="Compact"/>
              <w:jc w:val="left"/>
            </w:pPr>
            <w:r>
              <w:t xml:space="preserve">page I/Os</w:t>
            </w:r>
          </w:p>
        </w:tc>
      </w:tr>
    </w:tbl>
    <w:p>
      <w:pPr>
        <w:pStyle w:val="BodyText"/>
      </w:pPr>
      <w:r>
        <w:t xml:space="preserve">The hash and sort-merge figures assume enough memory to finish in two passes (roughly</w:t>
      </w:r>
      <w:r>
        <w:t xml:space="preserve"> </w:t>
      </w:r>
      <m:oMath>
        <m:r>
          <m:t>B</m:t>
        </m:r>
        <m:r>
          <m:rPr>
            <m:sty m:val="p"/>
          </m:rPr>
          <m:t>&gt;</m:t>
        </m:r>
        <m:rad>
          <m:radPr>
            <m:degHide m:val="on"/>
          </m:radPr>
          <m:deg/>
          <m:e>
            <m:r>
              <m:rPr>
                <m:sty m:val="p"/>
              </m:rPr>
              <m:t>min</m:t>
            </m:r>
            <m:d>
              <m:dPr>
                <m:begChr m:val="("/>
                <m:endChr m:val=")"/>
                <m:sepChr m:val=""/>
                <m:grow/>
              </m:dPr>
              <m:e>
                <m:r>
                  <m:t>M</m:t>
                </m:r>
                <m:r>
                  <m:rPr>
                    <m:sty m:val="p"/>
                  </m:rPr>
                  <m:t>,</m:t>
                </m:r>
                <m:r>
                  <m:t>N</m:t>
                </m:r>
              </m:e>
            </m:d>
          </m:e>
        </m:rad>
      </m:oMath>
      <w:r>
        <w:t xml:space="preserve"> </w:t>
      </w:r>
      <w:r>
        <w:t xml:space="preserve">for hash,</w:t>
      </w:r>
      <w:r>
        <w:t xml:space="preserve"> </w:t>
      </w:r>
      <m:oMath>
        <m:r>
          <m:t>B</m:t>
        </m:r>
        <m:r>
          <m:rPr>
            <m:sty m:val="p"/>
          </m:rPr>
          <m:t>&gt;</m:t>
        </m:r>
        <m:rad>
          <m:radPr>
            <m:degHide m:val="on"/>
          </m:radPr>
          <m:deg/>
          <m:e>
            <m:r>
              <m:rPr>
                <m:sty m:val="p"/>
              </m:rPr>
              <m:t>max</m:t>
            </m:r>
            <m:d>
              <m:dPr>
                <m:begChr m:val="("/>
                <m:endChr m:val=")"/>
                <m:sepChr m:val=""/>
                <m:grow/>
              </m:dPr>
              <m:e>
                <m:r>
                  <m:t>M</m:t>
                </m:r>
                <m:r>
                  <m:rPr>
                    <m:sty m:val="p"/>
                  </m:rPr>
                  <m:t>,</m:t>
                </m:r>
                <m:r>
                  <m:t>N</m:t>
                </m:r>
              </m:e>
            </m:d>
          </m:e>
        </m:rad>
      </m:oMath>
      <w:r>
        <w:t xml:space="preserve"> </w:t>
      </w:r>
      <w:r>
        <w:t xml:space="preserve">for sort); with fewer buffers, more passes are needed. If the build side fits entirely in memory, a hash join reads each input once:</w:t>
      </w:r>
      <w:r>
        <w:t xml:space="preserve"> </w:t>
      </w:r>
      <m:oMath>
        <m:r>
          <m:t>M</m:t>
        </m:r>
        <m:r>
          <m:rPr>
            <m:sty m:val="p"/>
          </m:rPr>
          <m:t>+</m:t>
        </m:r>
        <m:r>
          <m:t>N</m:t>
        </m:r>
      </m:oMath>
      <w:r>
        <w:t xml:space="preserve">.</w:t>
      </w:r>
    </w:p>
    <w:p>
      <w:pPr>
        <w:pStyle w:val="CalloutExample"/>
      </w:pPr>
      <w:r>
        <w:rPr>
          <w:bCs/>
          <w:b/>
        </w:rPr>
        <w:t xml:space="preserve">WORKED EXAMPLE</w:t>
      </w:r>
    </w:p>
    <w:p>
      <w:pPr>
        <w:pStyle w:val="CalloutExample"/>
      </w:pPr>
      <w:r>
        <w:rPr>
          <w:bCs/>
          <w:b/>
        </w:rPr>
        <w:t xml:space="preserve">Worked example — Joining</w:t>
      </w:r>
      <w:r>
        <w:rPr>
          <w:bCs/>
          <w:b/>
        </w:rPr>
        <w:t xml:space="preserve"> </w:t>
      </w:r>
      <w:r>
        <w:rPr>
          <w:rStyle w:val="VerbatimChar"/>
          <w:bCs/>
          <w:b/>
        </w:rPr>
        <w:t xml:space="preserve">orders</w:t>
      </w:r>
      <w:r>
        <w:rPr>
          <w:bCs/>
          <w:b/>
        </w:rPr>
        <w:t xml:space="preserve"> </w:t>
      </w:r>
      <w:r>
        <w:rPr>
          <w:bCs/>
          <w:b/>
        </w:rPr>
        <w:t xml:space="preserve">with</w:t>
      </w:r>
      <w:r>
        <w:rPr>
          <w:bCs/>
          <w:b/>
        </w:rPr>
        <w:t xml:space="preserve"> </w:t>
      </w:r>
      <w:r>
        <w:rPr>
          <w:rStyle w:val="VerbatimChar"/>
          <w:bCs/>
          <w:b/>
        </w:rPr>
        <w:t xml:space="preserve">order_items</w:t>
      </w:r>
      <w:r>
        <w:rPr>
          <w:bCs/>
          <w:b/>
        </w:rPr>
        <w:t xml:space="preserve">.</w:t>
      </w:r>
      <w:r>
        <w:t xml:space="preserve"> </w:t>
      </w:r>
      <w:r>
        <w:t xml:space="preserve">The PostgreSQL tables of §11.10 have</w:t>
      </w:r>
      <w:r>
        <w:t xml:space="preserve"> </w:t>
      </w:r>
      <m:oMath>
        <m:r>
          <m:t>M</m:t>
        </m:r>
        <m:r>
          <m:rPr>
            <m:sty m:val="p"/>
          </m:rPr>
          <m:t>=</m:t>
        </m:r>
        <m:r>
          <m:t>15</m:t>
        </m:r>
        <m:r>
          <m:rPr>
            <m:sty m:val="p"/>
          </m:rPr>
          <m:t>,</m:t>
        </m:r>
        <m:r>
          <m:t>385</m:t>
        </m:r>
      </m:oMath>
      <w:r>
        <w:t xml:space="preserve"> </w:t>
      </w:r>
      <w:r>
        <w:t xml:space="preserve">pages for</w:t>
      </w:r>
      <w:r>
        <w:t xml:space="preserve"> </w:t>
      </w:r>
      <w:r>
        <w:rPr>
          <w:rStyle w:val="VerbatimChar"/>
        </w:rPr>
        <w:t xml:space="preserve">orders</w:t>
      </w:r>
      <w:r>
        <w:t xml:space="preserve"> </w:t>
      </w:r>
      <w:r>
        <w:t xml:space="preserve">(1,000,000 rows, so</w:t>
      </w:r>
      <w:r>
        <w:t xml:space="preserve"> </w:t>
      </w:r>
      <m:oMath>
        <m:sSub>
          <m:e>
            <m:r>
              <m:t>p</m:t>
            </m:r>
          </m:e>
          <m:sub>
            <m:r>
              <m:t>R</m:t>
            </m:r>
          </m:sub>
        </m:sSub>
        <m:r>
          <m:rPr>
            <m:sty m:val="p"/>
          </m:rPr>
          <m:t>=</m:t>
        </m:r>
        <m:r>
          <m:t>65</m:t>
        </m:r>
      </m:oMath>
      <w:r>
        <w:t xml:space="preserve">) and</w:t>
      </w:r>
      <w:r>
        <w:t xml:space="preserve"> </w:t>
      </w:r>
      <m:oMath>
        <m:r>
          <m:t>N</m:t>
        </m:r>
        <m:r>
          <m:rPr>
            <m:sty m:val="p"/>
          </m:rPr>
          <m:t>=</m:t>
        </m:r>
        <m:r>
          <m:t>18</m:t>
        </m:r>
        <m:r>
          <m:rPr>
            <m:sty m:val="p"/>
          </m:rPr>
          <m:t>,</m:t>
        </m:r>
        <m:r>
          <m:t>383</m:t>
        </m:r>
      </m:oMath>
      <w:r>
        <w:t xml:space="preserve"> </w:t>
      </w:r>
      <w:r>
        <w:t xml:space="preserve">pages for</w:t>
      </w:r>
      <w:r>
        <w:t xml:space="preserve"> </w:t>
      </w:r>
      <w:r>
        <w:rPr>
          <w:rStyle w:val="VerbatimChar"/>
        </w:rPr>
        <w:t xml:space="preserve">order_items</w:t>
      </w:r>
      <w:r>
        <w:t xml:space="preserve"> </w:t>
      </w:r>
      <w:r>
        <w:t xml:space="preserve">(2,500,000 rows), with 8 KiB pages. Assume</w:t>
      </w:r>
      <w:r>
        <w:t xml:space="preserve"> </w:t>
      </w:r>
      <m:oMath>
        <m:r>
          <m:t>B</m:t>
        </m:r>
        <m:r>
          <m:rPr>
            <m:sty m:val="p"/>
          </m:rPr>
          <m:t>=</m:t>
        </m:r>
        <m:r>
          <m:t>1</m:t>
        </m:r>
        <m:r>
          <m:rPr>
            <m:sty m:val="p"/>
          </m:rPr>
          <m:t>,</m:t>
        </m:r>
        <m:r>
          <m:t>002</m:t>
        </m:r>
      </m:oMath>
      <w:r>
        <w:t xml:space="preserve"> </w:t>
      </w:r>
      <w:r>
        <w:t xml:space="preserve">buffer pages (about 8 MiB).</w:t>
      </w:r>
    </w:p>
    <w:p>
      <w:pPr>
        <w:numPr>
          <w:ilvl w:val="0"/>
          <w:numId w:val="1367"/>
        </w:numPr>
        <w:pStyle w:val="Compact"/>
      </w:pPr>
      <w:r>
        <w:t xml:space="preserve">Tuple NLJ:</w:t>
      </w:r>
      <w:r>
        <w:t xml:space="preserve"> </w:t>
      </w:r>
      <m:oMath>
        <m:r>
          <m:t>15</m:t>
        </m:r>
        <m:r>
          <m:rPr>
            <m:sty m:val="p"/>
          </m:rPr>
          <m:t>,</m:t>
        </m:r>
        <m:r>
          <m:t>385</m:t>
        </m:r>
        <m:r>
          <m:rPr>
            <m:sty m:val="p"/>
          </m:rPr>
          <m:t>+</m:t>
        </m:r>
        <m:r>
          <m:t>65</m:t>
        </m:r>
        <m:r>
          <m:rPr>
            <m:sty m:val="p"/>
          </m:rPr>
          <m:t>×</m:t>
        </m:r>
        <m:r>
          <m:t>15</m:t>
        </m:r>
        <m:r>
          <m:rPr>
            <m:sty m:val="p"/>
          </m:rPr>
          <m:t>,</m:t>
        </m:r>
        <m:r>
          <m:t>385</m:t>
        </m:r>
        <m:r>
          <m:rPr>
            <m:sty m:val="p"/>
          </m:rPr>
          <m:t>×</m:t>
        </m:r>
        <m:r>
          <m:t>18</m:t>
        </m:r>
        <m:r>
          <m:rPr>
            <m:sty m:val="p"/>
          </m:rPr>
          <m:t>,</m:t>
        </m:r>
        <m:r>
          <m:t>383</m:t>
        </m:r>
        <m:r>
          <m:rPr>
            <m:sty m:val="p"/>
          </m:rPr>
          <m:t>=</m:t>
        </m:r>
        <m:r>
          <m:t>15</m:t>
        </m:r>
        <m:r>
          <m:rPr>
            <m:sty m:val="p"/>
          </m:rPr>
          <m:t>,</m:t>
        </m:r>
        <m:r>
          <m:t>385</m:t>
        </m:r>
        <m:r>
          <m:rPr>
            <m:sty m:val="p"/>
          </m:rPr>
          <m:t>+</m:t>
        </m:r>
        <m:r>
          <m:t>1.84</m:t>
        </m:r>
        <m:r>
          <m:rPr>
            <m:sty m:val="p"/>
          </m:rPr>
          <m:t>×</m:t>
        </m:r>
        <m:sSup>
          <m:e>
            <m:r>
              <m:t>10</m:t>
            </m:r>
          </m:e>
          <m:sup>
            <m:r>
              <m:t>10</m:t>
            </m:r>
          </m:sup>
        </m:sSup>
        <m:r>
          <m:rPr>
            <m:sty m:val="p"/>
          </m:rPr>
          <m:t>≈</m:t>
        </m:r>
        <m:r>
          <m:t>1.8</m:t>
        </m:r>
        <m:r>
          <m:rPr>
            <m:sty m:val="p"/>
          </m:rPr>
          <m:t>×</m:t>
        </m:r>
        <m:sSup>
          <m:e>
            <m:r>
              <m:t>10</m:t>
            </m:r>
          </m:e>
          <m:sup>
            <m:r>
              <m:t>10</m:t>
            </m:r>
          </m:sup>
        </m:sSup>
      </m:oMath>
      <w:r>
        <w:t xml:space="preserve"> </w:t>
      </w:r>
      <w:r>
        <w:t xml:space="preserve">I/Os. At 100 µs per random read that is</w:t>
      </w:r>
      <w:r>
        <w:t xml:space="preserve"> </w:t>
      </w:r>
      <m:oMath>
        <m:r>
          <m:t>1.8</m:t>
        </m:r>
        <m:r>
          <m:rPr>
            <m:sty m:val="p"/>
          </m:rPr>
          <m:t>×</m:t>
        </m:r>
        <m:sSup>
          <m:e>
            <m:r>
              <m:t>10</m:t>
            </m:r>
          </m:e>
          <m:sup>
            <m:r>
              <m:t>6</m:t>
            </m:r>
          </m:sup>
        </m:sSup>
      </m:oMath>
      <w:r>
        <w:t xml:space="preserve"> </w:t>
      </w:r>
      <w:r>
        <w:t xml:space="preserve">s, about 21 days.</w:t>
      </w:r>
    </w:p>
    <w:p>
      <w:pPr>
        <w:numPr>
          <w:ilvl w:val="0"/>
          <w:numId w:val="1367"/>
        </w:numPr>
        <w:pStyle w:val="Compact"/>
      </w:pPr>
      <w:r>
        <w:t xml:space="preserve">Block NLJ:</w:t>
      </w:r>
      <w:r>
        <w:t xml:space="preserve"> </w:t>
      </w:r>
      <m:oMath>
        <m:r>
          <m:rPr>
            <m:sty m:val="p"/>
          </m:rPr>
          <m:t>⌈</m:t>
        </m:r>
        <m:r>
          <m:t>15</m:t>
        </m:r>
        <m:r>
          <m:rPr>
            <m:sty m:val="p"/>
          </m:rPr>
          <m:t>,</m:t>
        </m:r>
        <m:r>
          <m:t>385</m:t>
        </m:r>
        <m:r>
          <m:rPr>
            <m:sty m:val="p"/>
          </m:rPr>
          <m:t>/</m:t>
        </m:r>
        <m:r>
          <m:t>1</m:t>
        </m:r>
        <m:r>
          <m:rPr>
            <m:sty m:val="p"/>
          </m:rPr>
          <m:t>,</m:t>
        </m:r>
        <m:r>
          <m:t>000</m:t>
        </m:r>
        <m:r>
          <m:rPr>
            <m:sty m:val="p"/>
          </m:rPr>
          <m:t>⌉</m:t>
        </m:r>
        <m:r>
          <m:rPr>
            <m:sty m:val="p"/>
          </m:rPr>
          <m:t>=</m:t>
        </m:r>
        <m:r>
          <m:t>16</m:t>
        </m:r>
      </m:oMath>
      <w:r>
        <w:t xml:space="preserve"> </w:t>
      </w:r>
      <w:r>
        <w:t xml:space="preserve">chunks;</w:t>
      </w:r>
      <w:r>
        <w:t xml:space="preserve"> </w:t>
      </w:r>
      <m:oMath>
        <m:r>
          <m:t>15</m:t>
        </m:r>
        <m:r>
          <m:rPr>
            <m:sty m:val="p"/>
          </m:rPr>
          <m:t>,</m:t>
        </m:r>
        <m:r>
          <m:t>385</m:t>
        </m:r>
        <m:r>
          <m:rPr>
            <m:sty m:val="p"/>
          </m:rPr>
          <m:t>+</m:t>
        </m:r>
        <m:r>
          <m:t>16</m:t>
        </m:r>
        <m:r>
          <m:rPr>
            <m:sty m:val="p"/>
          </m:rPr>
          <m:t>×</m:t>
        </m:r>
        <m:r>
          <m:t>18</m:t>
        </m:r>
        <m:r>
          <m:rPr>
            <m:sty m:val="p"/>
          </m:rPr>
          <m:t>,</m:t>
        </m:r>
        <m:r>
          <m:t>383</m:t>
        </m:r>
        <m:r>
          <m:rPr>
            <m:sty m:val="p"/>
          </m:rPr>
          <m:t>=</m:t>
        </m:r>
        <m:r>
          <m:t>309</m:t>
        </m:r>
        <m:r>
          <m:rPr>
            <m:sty m:val="p"/>
          </m:rPr>
          <m:t>,</m:t>
        </m:r>
        <m:r>
          <m:t>513</m:t>
        </m:r>
      </m:oMath>
      <w:r>
        <w:t xml:space="preserve"> </w:t>
      </w:r>
      <w:r>
        <w:t xml:space="preserve">I/Os, about 31 s at 100 µs each (much less with sequential reads).</w:t>
      </w:r>
    </w:p>
    <w:p>
      <w:pPr>
        <w:numPr>
          <w:ilvl w:val="0"/>
          <w:numId w:val="1367"/>
        </w:numPr>
        <w:pStyle w:val="Compact"/>
      </w:pPr>
      <w:r>
        <w:t xml:space="preserve">Grace hash join:</w:t>
      </w:r>
      <w:r>
        <w:t xml:space="preserve"> </w:t>
      </w:r>
      <m:oMath>
        <m:r>
          <m:t>3</m:t>
        </m:r>
        <m:r>
          <m:rPr>
            <m:sty m:val="p"/>
          </m:rPr>
          <m:t>×</m:t>
        </m:r>
        <m:d>
          <m:dPr>
            <m:begChr m:val="("/>
            <m:endChr m:val=")"/>
            <m:sepChr m:val=""/>
            <m:grow/>
          </m:dPr>
          <m:e>
            <m:r>
              <m:t>15</m:t>
            </m:r>
            <m:r>
              <m:rPr>
                <m:sty m:val="p"/>
              </m:rPr>
              <m:t>,</m:t>
            </m:r>
            <m:r>
              <m:t>385</m:t>
            </m:r>
            <m:r>
              <m:rPr>
                <m:sty m:val="p"/>
              </m:rPr>
              <m:t>+</m:t>
            </m:r>
            <m:r>
              <m:t>18</m:t>
            </m:r>
            <m:r>
              <m:rPr>
                <m:sty m:val="p"/>
              </m:rPr>
              <m:t>,</m:t>
            </m:r>
            <m:r>
              <m:t>383</m:t>
            </m:r>
          </m:e>
        </m:d>
        <m:r>
          <m:rPr>
            <m:sty m:val="p"/>
          </m:rPr>
          <m:t>=</m:t>
        </m:r>
        <m:r>
          <m:t>101</m:t>
        </m:r>
        <m:r>
          <m:rPr>
            <m:sty m:val="p"/>
          </m:rPr>
          <m:t>,</m:t>
        </m:r>
        <m:r>
          <m:t>304</m:t>
        </m:r>
      </m:oMath>
      <w:r>
        <w:t xml:space="preserve"> </w:t>
      </w:r>
      <w:r>
        <w:t xml:space="preserve">I/Os, about 10 s; if</w:t>
      </w:r>
      <w:r>
        <w:t xml:space="preserve"> </w:t>
      </w:r>
      <w:r>
        <w:rPr>
          <w:rStyle w:val="VerbatimChar"/>
        </w:rPr>
        <w:t xml:space="preserve">orders</w:t>
      </w:r>
      <w:r>
        <w:t xml:space="preserve"> </w:t>
      </w:r>
      <w:r>
        <w:t xml:space="preserve">fits in memory,</w:t>
      </w:r>
      <w:r>
        <w:t xml:space="preserve"> </w:t>
      </w:r>
      <m:oMath>
        <m:r>
          <m:t>33</m:t>
        </m:r>
        <m:r>
          <m:rPr>
            <m:sty m:val="p"/>
          </m:rPr>
          <m:t>,</m:t>
        </m:r>
        <m:r>
          <m:t>768</m:t>
        </m:r>
      </m:oMath>
      <w:r>
        <w:t xml:space="preserve"> </w:t>
      </w:r>
      <w:r>
        <w:t xml:space="preserve">I/Os.</w:t>
      </w:r>
    </w:p>
    <w:p>
      <w:pPr>
        <w:numPr>
          <w:ilvl w:val="0"/>
          <w:numId w:val="1367"/>
        </w:numPr>
        <w:pStyle w:val="Compact"/>
      </w:pPr>
      <w:r>
        <w:t xml:space="preserve">Index NLJ for</w:t>
      </w:r>
      <w:r>
        <w:t xml:space="preserve"> </w:t>
      </w:r>
      <w:r>
        <w:rPr>
          <w:bCs/>
          <w:b/>
        </w:rPr>
        <w:t xml:space="preserve">one customer’s</w:t>
      </w:r>
      <w:r>
        <w:t xml:space="preserve"> </w:t>
      </w:r>
      <w:r>
        <w:t xml:space="preserve">10 orders: the outer side is 10 rows; each needs about 4 page reads in the</w:t>
      </w:r>
      <w:r>
        <w:t xml:space="preserve"> </w:t>
      </w:r>
      <w:r>
        <w:rPr>
          <w:rStyle w:val="VerbatimChar"/>
        </w:rPr>
        <w:t xml:space="preserve">order_items</w:t>
      </w:r>
      <w:r>
        <w:t xml:space="preserve"> </w:t>
      </w:r>
      <w:r>
        <w:t xml:space="preserve">primary-key index plus heap: roughly</w:t>
      </w:r>
      <w:r>
        <w:t xml:space="preserve"> </w:t>
      </w:r>
      <m:oMath>
        <m:r>
          <m:t>10</m:t>
        </m:r>
        <m:r>
          <m:rPr>
            <m:sty m:val="p"/>
          </m:rPr>
          <m:t>×</m:t>
        </m:r>
        <m:r>
          <m:t>4</m:t>
        </m:r>
        <m:r>
          <m:rPr>
            <m:sty m:val="p"/>
          </m:rPr>
          <m:t>=</m:t>
        </m:r>
        <m:r>
          <m:t>40</m:t>
        </m:r>
      </m:oMath>
      <w:r>
        <w:t xml:space="preserve"> </w:t>
      </w:r>
      <w:r>
        <w:t xml:space="preserve">I/Os, about 4 ms cold and well under 1 ms when cached (the real plan in §11.10 took 0.43 ms).</w:t>
      </w:r>
    </w:p>
    <w:p>
      <w:pPr>
        <w:pStyle w:val="CalloutExample"/>
      </w:pPr>
      <w:r>
        <w:rPr>
          <w:bCs/>
          <w:b/>
        </w:rPr>
        <w:t xml:space="preserve">Interpretation.</w:t>
      </w:r>
      <w:r>
        <w:t xml:space="preserve"> </w:t>
      </w:r>
      <w:r>
        <w:t xml:space="preserve">For a whole-table join, the naive nested loop is impossible, block NLJ is tolerable and the hash join wins. For a selective OLTP query, the index nested loop wins by four orders of magnitude, because it touches only the rows it needs.</w:t>
      </w:r>
      <w:r>
        <w:t xml:space="preserve"> </w:t>
      </w:r>
      <w:r>
        <w:rPr>
          <w:bCs/>
          <w:b/>
        </w:rPr>
        <w:t xml:space="preserve">Engineering implication.</w:t>
      </w:r>
      <w:r>
        <w:t xml:space="preserve"> </w:t>
      </w:r>
      <w:r>
        <w:t xml:space="preserve">There is no universally best join algorithm; the optimizer must know</w:t>
      </w:r>
      <w:r>
        <w:t xml:space="preserve"> </w:t>
      </w:r>
      <w:r>
        <w:rPr>
          <w:iCs/>
          <w:i/>
        </w:rPr>
        <w:t xml:space="preserve">how many rows</w:t>
      </w:r>
      <w:r>
        <w:t xml:space="preserve"> </w:t>
      </w:r>
      <w:r>
        <w:t xml:space="preserve">each side produces, which is why cardinality estimation (§11.10) decides performance.</w:t>
      </w:r>
    </w:p>
    <w:p>
      <w:pPr>
        <w:pStyle w:val="BodyText"/>
      </w:pPr>
      <w:r>
        <w:rPr>
          <w:bCs/>
          <w:b/>
        </w:rPr>
        <w:t xml:space="preserve">Table 11.4 — Join algorithms compared.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Algorithm</w:t>
            </w:r>
          </w:p>
        </w:tc>
        <w:tc>
          <w:tcPr/>
          <w:p>
            <w:pPr>
              <w:pStyle w:val="Compact"/>
              <w:jc w:val="left"/>
            </w:pPr>
            <w:r>
              <w:t xml:space="preserve">Join conditions</w:t>
            </w:r>
          </w:p>
        </w:tc>
        <w:tc>
          <w:tcPr/>
          <w:p>
            <w:pPr>
              <w:pStyle w:val="Compact"/>
              <w:jc w:val="left"/>
            </w:pPr>
            <w:r>
              <w:t xml:space="preserve">Memory</w:t>
            </w:r>
          </w:p>
        </w:tc>
        <w:tc>
          <w:tcPr/>
          <w:p>
            <w:pPr>
              <w:pStyle w:val="Compact"/>
              <w:jc w:val="left"/>
            </w:pPr>
            <w:r>
              <w:t xml:space="preserve">Best when</w:t>
            </w:r>
          </w:p>
        </w:tc>
        <w:tc>
          <w:tcPr/>
          <w:p>
            <w:pPr>
              <w:pStyle w:val="Compact"/>
              <w:jc w:val="left"/>
            </w:pPr>
            <w:r>
              <w:t xml:space="preserve">Weakness</w:t>
            </w:r>
          </w:p>
        </w:tc>
      </w:tr>
      <w:tr>
        <w:tc>
          <w:tcPr/>
          <w:p>
            <w:pPr>
              <w:pStyle w:val="Compact"/>
              <w:jc w:val="left"/>
            </w:pPr>
            <w:r>
              <w:t xml:space="preserve">Nested loop (block)</w:t>
            </w:r>
          </w:p>
        </w:tc>
        <w:tc>
          <w:tcPr/>
          <w:p>
            <w:pPr>
              <w:pStyle w:val="Compact"/>
              <w:jc w:val="left"/>
            </w:pPr>
            <w:r>
              <w:t xml:space="preserve">Any</w:t>
            </w:r>
          </w:p>
        </w:tc>
        <w:tc>
          <w:tcPr/>
          <w:p>
            <w:pPr>
              <w:pStyle w:val="Compact"/>
              <w:jc w:val="left"/>
            </w:pPr>
            <w:r>
              <w:t xml:space="preserve">Small</w:t>
            </w:r>
          </w:p>
        </w:tc>
        <w:tc>
          <w:tcPr/>
          <w:p>
            <w:pPr>
              <w:pStyle w:val="Compact"/>
              <w:jc w:val="left"/>
            </w:pPr>
            <w:r>
              <w:t xml:space="preserve">Tiny inputs; non-equality conditions</w:t>
            </w:r>
          </w:p>
        </w:tc>
        <w:tc>
          <w:tcPr/>
          <w:p>
            <w:pPr>
              <w:pStyle w:val="Compact"/>
              <w:jc w:val="left"/>
            </w:pPr>
            <w:r>
              <w:t xml:space="preserve">Quadratic on large inputs</w:t>
            </w:r>
          </w:p>
        </w:tc>
      </w:tr>
      <w:tr>
        <w:tc>
          <w:tcPr/>
          <w:p>
            <w:pPr>
              <w:pStyle w:val="Compact"/>
              <w:jc w:val="left"/>
            </w:pPr>
            <w:r>
              <w:t xml:space="preserve">Index nested loop</w:t>
            </w:r>
          </w:p>
        </w:tc>
        <w:tc>
          <w:tcPr/>
          <w:p>
            <w:pPr>
              <w:pStyle w:val="Compact"/>
              <w:jc w:val="left"/>
            </w:pPr>
            <w:r>
              <w:t xml:space="preserve">Equality or range on indexed inner column</w:t>
            </w:r>
          </w:p>
        </w:tc>
        <w:tc>
          <w:tcPr/>
          <w:p>
            <w:pPr>
              <w:pStyle w:val="Compact"/>
              <w:jc w:val="left"/>
            </w:pPr>
            <w:r>
              <w:t xml:space="preserve">Small</w:t>
            </w:r>
          </w:p>
        </w:tc>
        <w:tc>
          <w:tcPr/>
          <w:p>
            <w:pPr>
              <w:pStyle w:val="Compact"/>
              <w:jc w:val="left"/>
            </w:pPr>
            <w:r>
              <w:t xml:space="preserve">Small outer side, indexed inner (OLTP)</w:t>
            </w:r>
          </w:p>
        </w:tc>
        <w:tc>
          <w:tcPr/>
          <w:p>
            <w:pPr>
              <w:pStyle w:val="Compact"/>
              <w:jc w:val="left"/>
            </w:pPr>
            <w:r>
              <w:t xml:space="preserve">Random I/O per outer row if outer is large</w:t>
            </w:r>
          </w:p>
        </w:tc>
      </w:tr>
      <w:tr>
        <w:tc>
          <w:tcPr/>
          <w:p>
            <w:pPr>
              <w:pStyle w:val="Compact"/>
              <w:jc w:val="left"/>
            </w:pPr>
            <w:r>
              <w:t xml:space="preserve">Hash join</w:t>
            </w:r>
          </w:p>
        </w:tc>
        <w:tc>
          <w:tcPr/>
          <w:p>
            <w:pPr>
              <w:pStyle w:val="Compact"/>
              <w:jc w:val="left"/>
            </w:pPr>
            <w:r>
              <w:t xml:space="preserve">Equality only</w:t>
            </w:r>
          </w:p>
        </w:tc>
        <w:tc>
          <w:tcPr/>
          <w:p>
            <w:pPr>
              <w:pStyle w:val="Compact"/>
              <w:jc w:val="left"/>
            </w:pPr>
            <w:r>
              <w:t xml:space="preserve">Build side (spills if needed)</w:t>
            </w:r>
          </w:p>
        </w:tc>
        <w:tc>
          <w:tcPr/>
          <w:p>
            <w:pPr>
              <w:pStyle w:val="Compact"/>
              <w:jc w:val="left"/>
            </w:pPr>
            <w:r>
              <w:t xml:space="preserve">Large unsorted inputs, analytics</w:t>
            </w:r>
          </w:p>
        </w:tc>
        <w:tc>
          <w:tcPr/>
          <w:p>
            <w:pPr>
              <w:pStyle w:val="Compact"/>
              <w:jc w:val="left"/>
            </w:pPr>
            <w:r>
              <w:t xml:space="preserve">Blocking build; spills when memory is short</w:t>
            </w:r>
          </w:p>
        </w:tc>
      </w:tr>
      <w:tr>
        <w:tc>
          <w:tcPr/>
          <w:p>
            <w:pPr>
              <w:pStyle w:val="Compact"/>
              <w:jc w:val="left"/>
            </w:pPr>
            <w:r>
              <w:t xml:space="preserve">Sort-merge join</w:t>
            </w:r>
          </w:p>
        </w:tc>
        <w:tc>
          <w:tcPr/>
          <w:p>
            <w:pPr>
              <w:pStyle w:val="Compact"/>
              <w:jc w:val="left"/>
            </w:pPr>
            <w:r>
              <w:t xml:space="preserve">Equality (and some ranges)</w:t>
            </w:r>
          </w:p>
        </w:tc>
        <w:tc>
          <w:tcPr/>
          <w:p>
            <w:pPr>
              <w:pStyle w:val="Compact"/>
              <w:jc w:val="left"/>
            </w:pPr>
            <w:r>
              <w:t xml:space="preserve">Sort buffers</w:t>
            </w:r>
          </w:p>
        </w:tc>
        <w:tc>
          <w:tcPr/>
          <w:p>
            <w:pPr>
              <w:pStyle w:val="Compact"/>
              <w:jc w:val="left"/>
            </w:pPr>
            <w:r>
              <w:t xml:space="preserve">Inputs already sorted or output needs sorting</w:t>
            </w:r>
          </w:p>
        </w:tc>
        <w:tc>
          <w:tcPr/>
          <w:p>
            <w:pPr>
              <w:pStyle w:val="Compact"/>
              <w:jc w:val="left"/>
            </w:pPr>
            <w:r>
              <w:t xml:space="preserve">Sorting cost if inputs are unsorted</w:t>
            </w:r>
          </w:p>
        </w:tc>
      </w:tr>
    </w:tbl>
    <w:p>
      <w:pPr>
        <w:pStyle w:val="BodyText"/>
      </w:pPr>
      <w:r>
        <w:t xml:space="preserve">As of 2026, PostgreSQL implements all three. MySQL implements nested-loop variants (including batched key access) and, since 8.0.18, hash joins; it has no sort-merge join [MySQL Docs: Hash Join].</w:t>
      </w:r>
    </w:p>
    <w:bookmarkEnd w:id="1216"/>
    <w:bookmarkEnd w:id="1217"/>
    <w:bookmarkEnd w:id="1218"/>
    <w:bookmarkStart w:id="1230" w:name="indexes"/>
    <w:p>
      <w:pPr>
        <w:pStyle w:val="Heading2"/>
      </w:pPr>
      <w:r>
        <w:t xml:space="preserve">11.7 Indexes</w:t>
      </w:r>
    </w:p>
    <w:bookmarkStart w:id="1221" w:name="what-an-index-is"/>
    <w:p>
      <w:pPr>
        <w:pStyle w:val="Heading3"/>
      </w:pPr>
      <w:r>
        <w:t xml:space="preserve">11.7.1 What an index is</w:t>
      </w:r>
    </w:p>
    <w:p>
      <w:pPr>
        <w:pStyle w:val="CalloutDefinition"/>
      </w:pPr>
      <w:r>
        <w:rPr>
          <w:bCs/>
          <w:b/>
        </w:rPr>
        <w:t xml:space="preserve">DEFINITION</w:t>
      </w:r>
    </w:p>
    <w:p>
      <w:pPr>
        <w:pStyle w:val="CalloutDefinition"/>
      </w:pPr>
      <w:r>
        <w:rPr>
          <w:bCs/>
          <w:b/>
        </w:rPr>
        <w:t xml:space="preserve">Definition — Index.</w:t>
      </w:r>
      <w:r>
        <w:t xml:space="preserve"> </w:t>
      </w:r>
      <w:r>
        <w:t xml:space="preserve">A secondary data structure, kept in sync with a table by the database, that maps values of one or more</w:t>
      </w:r>
      <w:r>
        <w:t xml:space="preserve"> </w:t>
      </w:r>
      <w:r>
        <w:rPr>
          <w:bCs/>
          <w:b/>
        </w:rPr>
        <w:t xml:space="preserve">key columns</w:t>
      </w:r>
      <w:r>
        <w:t xml:space="preserve"> </w:t>
      </w:r>
      <w:r>
        <w:t xml:space="preserve">to the locations of the rows holding them, so that rows can be found without scanning the whole table. Most relational indexes are B+ trees (§11.8); others include hash, GiST, GIN and BRIN indexes in PostgreSQL and full-text and spatial indexes in MySQL.</w:t>
      </w:r>
    </w:p>
    <w:bookmarkStart w:id="1219" w:name="first-principles-explanation-68"/>
    <w:p>
      <w:pPr>
        <w:pStyle w:val="Heading4"/>
      </w:pPr>
      <w:r>
        <w:t xml:space="preserve">First-principles explanation</w:t>
      </w:r>
    </w:p>
    <w:p>
      <w:pPr>
        <w:pStyle w:val="FirstParagraph"/>
      </w:pPr>
      <w:r>
        <w:t xml:space="preserve">A book’s index finds</w:t>
      </w:r>
      <w:r>
        <w:t xml:space="preserve"> </w:t>
      </w:r>
      <w:r>
        <w:t xml:space="preserve">“</w:t>
      </w:r>
      <w:r>
        <w:t xml:space="preserve">isolation levels</w:t>
      </w:r>
      <w:r>
        <w:t xml:space="preserve">”</w:t>
      </w:r>
      <w:r>
        <w:t xml:space="preserve"> </w:t>
      </w:r>
      <w:r>
        <w:t xml:space="preserve">without reading 900 pages because it is sorted, small and points to page numbers. It must be updated when the book changes, takes paper, and is useless for a word on every page (</w:t>
      </w:r>
      <w:r>
        <w:t xml:space="preserve">“</w:t>
      </w:r>
      <w:r>
        <w:t xml:space="preserve">the</w:t>
      </w:r>
      <w:r>
        <w:t xml:space="preserve">”</w:t>
      </w:r>
      <w:r>
        <w:t xml:space="preserve">). Database indexes behave the same way: fast for selective conditions, extra work on every write, extra storage, no help when a query needs much of the table.</w:t>
      </w:r>
    </w:p>
    <w:bookmarkEnd w:id="1219"/>
    <w:bookmarkStart w:id="1220" w:name="why-does-this-exist-38"/>
    <w:p>
      <w:pPr>
        <w:pStyle w:val="Heading4"/>
      </w:pPr>
      <w:r>
        <w:t xml:space="preserve">Why does this exist?</w:t>
      </w:r>
    </w:p>
    <w:p>
      <w:pPr>
        <w:pStyle w:val="FirstParagraph"/>
      </w:pPr>
      <w:r>
        <w:t xml:space="preserve">Without an index,</w:t>
      </w:r>
      <w:r>
        <w:t xml:space="preserve"> </w:t>
      </w:r>
      <w:r>
        <w:rPr>
          <w:rStyle w:val="VerbatimChar"/>
        </w:rPr>
        <w:t xml:space="preserve">SELECT * FROM orders WHERE customer_id = 4242</w:t>
      </w:r>
      <w:r>
        <w:t xml:space="preserve"> </w:t>
      </w:r>
      <w:r>
        <w:t xml:space="preserve">read all 15,385 pages of the table and took 70 ms to find 10 rows (§11.10). With an index it read 16 pages and took 0.14 ms.</w:t>
      </w:r>
    </w:p>
    <w:bookmarkEnd w:id="1220"/>
    <w:bookmarkEnd w:id="1221"/>
    <w:bookmarkStart w:id="1225" w:name="clustered-and-secondary-indexes"/>
    <w:p>
      <w:pPr>
        <w:pStyle w:val="Heading3"/>
      </w:pPr>
      <w:r>
        <w:t xml:space="preserve">11.7.2 Clustered and secondary indexes</w:t>
      </w:r>
    </w:p>
    <w:p>
      <w:pPr>
        <w:pStyle w:val="CalloutDefinition"/>
      </w:pPr>
      <w:r>
        <w:rPr>
          <w:bCs/>
          <w:b/>
        </w:rPr>
        <w:t xml:space="preserve">DEFINITION</w:t>
      </w:r>
    </w:p>
    <w:p>
      <w:pPr>
        <w:pStyle w:val="CalloutDefinition"/>
      </w:pPr>
      <w:r>
        <w:rPr>
          <w:bCs/>
          <w:b/>
        </w:rPr>
        <w:t xml:space="preserve">Definition — Clustered and secondary index.</w:t>
      </w:r>
      <w:r>
        <w:t xml:space="preserve"> </w:t>
      </w:r>
      <w:r>
        <w:t xml:space="preserve">In a</w:t>
      </w:r>
      <w:r>
        <w:t xml:space="preserve"> </w:t>
      </w:r>
      <w:r>
        <w:rPr>
          <w:bCs/>
          <w:b/>
        </w:rPr>
        <w:t xml:space="preserve">clustered index</w:t>
      </w:r>
      <w:r>
        <w:t xml:space="preserve"> </w:t>
      </w:r>
      <w:r>
        <w:t xml:space="preserve">(an index-organized table), the leaf level of the index</w:t>
      </w:r>
      <w:r>
        <w:t xml:space="preserve"> </w:t>
      </w:r>
      <w:r>
        <w:rPr>
          <w:iCs/>
          <w:i/>
        </w:rPr>
        <w:t xml:space="preserve">is</w:t>
      </w:r>
      <w:r>
        <w:t xml:space="preserve"> </w:t>
      </w:r>
      <w:r>
        <w:t xml:space="preserve">the table: rows are stored in key order inside the index’s leaf pages. A table can have at most one. A</w:t>
      </w:r>
      <w:r>
        <w:t xml:space="preserve"> </w:t>
      </w:r>
      <w:r>
        <w:rPr>
          <w:bCs/>
          <w:b/>
        </w:rPr>
        <w:t xml:space="preserve">secondary index</w:t>
      </w:r>
      <w:r>
        <w:t xml:space="preserve"> </w:t>
      </w:r>
      <w:r>
        <w:t xml:space="preserve">stores, for each key, a pointer to the row; the table can have many.</w:t>
      </w:r>
    </w:p>
    <w:p>
      <w:pPr>
        <w:pStyle w:val="BodyText"/>
      </w:pPr>
      <w:r>
        <w:t xml:space="preserve">The two most popular open-source databases make opposite choices:</w:t>
      </w:r>
    </w:p>
    <w:p>
      <w:pPr>
        <w:numPr>
          <w:ilvl w:val="0"/>
          <w:numId w:val="1368"/>
        </w:numPr>
        <w:pStyle w:val="Compact"/>
      </w:pPr>
      <w:r>
        <w:rPr>
          <w:bCs/>
          <w:b/>
        </w:rPr>
        <w:t xml:space="preserve">InnoDB (MySQL)</w:t>
      </w:r>
      <w:r>
        <w:t xml:space="preserve"> </w:t>
      </w:r>
      <w:r>
        <w:t xml:space="preserve">stores every table as a B+ tree clustered on the primary key. If you declare none, it uses the first</w:t>
      </w:r>
      <w:r>
        <w:t xml:space="preserve"> </w:t>
      </w:r>
      <w:r>
        <w:rPr>
          <w:rStyle w:val="VerbatimChar"/>
        </w:rPr>
        <w:t xml:space="preserve">UNIQUE NOT NULL</w:t>
      </w:r>
      <w:r>
        <w:t xml:space="preserve"> </w:t>
      </w:r>
      <w:r>
        <w:t xml:space="preserve">index, or else generates a hidden 6-byte row ID. Secondary index leaves store the indexed columns plus the</w:t>
      </w:r>
      <w:r>
        <w:t xml:space="preserve"> </w:t>
      </w:r>
      <w:r>
        <w:rPr>
          <w:iCs/>
          <w:i/>
        </w:rPr>
        <w:t xml:space="preserve">primary-key value</w:t>
      </w:r>
      <w:r>
        <w:t xml:space="preserve">. A secondary lookup therefore descends two trees: the secondary index to find the primary key, then the clustered index to find the row [MySQL Docs: Clustered and Secondary Indexes].</w:t>
      </w:r>
    </w:p>
    <w:p>
      <w:pPr>
        <w:numPr>
          <w:ilvl w:val="0"/>
          <w:numId w:val="1368"/>
        </w:numPr>
        <w:pStyle w:val="Compact"/>
      </w:pPr>
      <w:r>
        <w:rPr>
          <w:bCs/>
          <w:b/>
        </w:rPr>
        <w:t xml:space="preserve">PostgreSQL</w:t>
      </w:r>
      <w:r>
        <w:t xml:space="preserve"> </w:t>
      </w:r>
      <w:r>
        <w:t xml:space="preserve">stores rows in an unordered</w:t>
      </w:r>
      <w:r>
        <w:t xml:space="preserve"> </w:t>
      </w:r>
      <w:r>
        <w:rPr>
          <w:bCs/>
          <w:b/>
        </w:rPr>
        <w:t xml:space="preserve">heap</w:t>
      </w:r>
      <w:r>
        <w:t xml:space="preserve"> </w:t>
      </w:r>
      <w:r>
        <w:t xml:space="preserve">file. Every index, including the primary key, is secondary; its leaves store a</w:t>
      </w:r>
      <w:r>
        <w:t xml:space="preserve"> </w:t>
      </w:r>
      <w:r>
        <w:rPr>
          <w:bCs/>
          <w:b/>
        </w:rPr>
        <w:t xml:space="preserve">TID</w:t>
      </w:r>
      <w:r>
        <w:t xml:space="preserve"> </w:t>
      </w:r>
      <w:r>
        <w:t xml:space="preserve">(tuple identifier: page number and slot), so a lookup descends one tree and then reads one heap page. The</w:t>
      </w:r>
      <w:r>
        <w:t xml:space="preserve"> </w:t>
      </w:r>
      <w:r>
        <w:rPr>
          <w:rStyle w:val="VerbatimChar"/>
        </w:rPr>
        <w:t xml:space="preserve">CLUSTER</w:t>
      </w:r>
      <w:r>
        <w:t xml:space="preserve"> </w:t>
      </w:r>
      <w:r>
        <w:t xml:space="preserve">command reorders the heap once, but later inserts are not kept in order.</w:t>
      </w:r>
    </w:p>
    <w:p>
      <w:pPr>
        <w:pStyle w:val="FirstParagraph"/>
      </w:pPr>
      <w:r>
        <w:rPr>
          <w:bCs/>
          <w:b/>
        </w:rPr>
        <w:t xml:space="preserve">Figure 11.3 — Secondary-index lookup paths in InnoDB and PostgreSQL.</w:t>
      </w:r>
    </w:p>
    <w:p>
      <w:pPr>
        <w:pStyle w:val="BodyText"/>
      </w:pPr>
      <w:r>
        <w:drawing>
          <wp:inline>
            <wp:extent cx="5334000" cy="2152735"/>
            <wp:effectExtent b="0" l="0" r="0" t="0"/>
            <wp:docPr descr="" title="" id="1223" name="Picture"/>
            <a:graphic>
              <a:graphicData uri="http://schemas.openxmlformats.org/drawingml/2006/picture">
                <pic:pic>
                  <pic:nvPicPr>
                    <pic:cNvPr descr="/home/user/System-Design/build/.cache/diagrams/21511f9c25ea.png" id="1224" name="Picture"/>
                    <pic:cNvPicPr>
                      <a:picLocks noChangeArrowheads="1" noChangeAspect="1"/>
                    </pic:cNvPicPr>
                  </pic:nvPicPr>
                  <pic:blipFill>
                    <a:blip r:embed="rId1222"/>
                    <a:stretch>
                      <a:fillRect/>
                    </a:stretch>
                  </pic:blipFill>
                  <pic:spPr bwMode="auto">
                    <a:xfrm>
                      <a:off x="0" y="0"/>
                      <a:ext cx="5334000" cy="2152735"/>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same query descends two storage designs; all arrows are synchronous reads inside one database process. InnoDB’s secondary index yields a primary-key</w:t>
      </w:r>
      <w:r>
        <w:t xml:space="preserve"> </w:t>
      </w:r>
      <w:r>
        <w:rPr>
          <w:iCs/>
          <w:i/>
        </w:rPr>
        <w:t xml:space="preserve">value</w:t>
      </w:r>
      <w:r>
        <w:t xml:space="preserve">, which drives a second descent of the clustered index; PostgreSQL’s index yields a physical TID, followed by one heap-page read. The logical pointer survives row moves, so clustered-index splits never touch secondary indexes; the physical pointer is cheaper to follow but must be updated in every index when an update moves a row (§11.14). Failure point: a long InnoDB primary key is copied into every secondary index. Scaling: keep InnoDB keys short and monotonic; leave free space in PostgreSQL heap pages (</w:t>
      </w:r>
      <w:r>
        <w:rPr>
          <w:rStyle w:val="VerbatimChar"/>
        </w:rPr>
        <w:t xml:space="preserve">fillfactor</w:t>
      </w:r>
      <w:r>
        <w:t xml:space="preserve">).</w:t>
      </w:r>
    </w:p>
    <w:bookmarkEnd w:id="1225"/>
    <w:bookmarkStart w:id="1226" w:name="Xfaae7ffcb1a97e3985c41acb1ce7ae35c196b41"/>
    <w:p>
      <w:pPr>
        <w:pStyle w:val="Heading3"/>
      </w:pPr>
      <w:r>
        <w:t xml:space="preserve">11.7.3 Composite indexes and the leftmost-prefix rule</w:t>
      </w:r>
    </w:p>
    <w:p>
      <w:pPr>
        <w:pStyle w:val="FirstParagraph"/>
      </w:pPr>
      <w:r>
        <w:t xml:space="preserve">A</w:t>
      </w:r>
      <w:r>
        <w:t xml:space="preserve"> </w:t>
      </w:r>
      <w:r>
        <w:rPr>
          <w:bCs/>
          <w:b/>
        </w:rPr>
        <w:t xml:space="preserve">composite index</w:t>
      </w:r>
      <w:r>
        <w:t xml:space="preserve"> </w:t>
      </w:r>
      <w:r>
        <w:t xml:space="preserve">on</w:t>
      </w:r>
      <w:r>
        <w:t xml:space="preserve"> </w:t>
      </w:r>
      <w:r>
        <w:rPr>
          <w:rStyle w:val="VerbatimChar"/>
        </w:rPr>
        <w:t xml:space="preserve">(customer_id, created_at)</w:t>
      </w:r>
      <w:r>
        <w:t xml:space="preserve"> </w:t>
      </w:r>
      <w:r>
        <w:t xml:space="preserve">sorts entries by</w:t>
      </w:r>
      <w:r>
        <w:t xml:space="preserve"> </w:t>
      </w:r>
      <w:r>
        <w:rPr>
          <w:rStyle w:val="VerbatimChar"/>
        </w:rPr>
        <w:t xml:space="preserve">customer_id</w:t>
      </w:r>
      <w:r>
        <w:t xml:space="preserve">, and within equal</w:t>
      </w:r>
      <w:r>
        <w:t xml:space="preserve"> </w:t>
      </w:r>
      <w:r>
        <w:rPr>
          <w:rStyle w:val="VerbatimChar"/>
        </w:rPr>
        <w:t xml:space="preserve">customer_id</w:t>
      </w:r>
      <w:r>
        <w:t xml:space="preserve"> </w:t>
      </w:r>
      <w:r>
        <w:t xml:space="preserve">by</w:t>
      </w:r>
      <w:r>
        <w:t xml:space="preserve"> </w:t>
      </w:r>
      <w:r>
        <w:rPr>
          <w:rStyle w:val="VerbatimChar"/>
        </w:rPr>
        <w:t xml:space="preserve">created_at</w:t>
      </w:r>
      <w:r>
        <w:t xml:space="preserve">, like a phone book sorted by surname and then first name. You can use it to find everyone named</w:t>
      </w:r>
      <w:r>
        <w:t xml:space="preserve"> </w:t>
      </w:r>
      <w:r>
        <w:t xml:space="preserve">“</w:t>
      </w:r>
      <w:r>
        <w:t xml:space="preserve">Rao</w:t>
      </w:r>
      <w:r>
        <w:t xml:space="preserve">”</w:t>
      </w:r>
      <w:r>
        <w:t xml:space="preserve"> </w:t>
      </w:r>
      <w:r>
        <w:t xml:space="preserve">(leftmost column), or</w:t>
      </w:r>
      <w:r>
        <w:t xml:space="preserve"> </w:t>
      </w:r>
      <w:r>
        <w:t xml:space="preserve">“</w:t>
      </w:r>
      <w:r>
        <w:t xml:space="preserve">Rao, Priya</w:t>
      </w:r>
      <w:r>
        <w:t xml:space="preserve">”</w:t>
      </w:r>
      <w:r>
        <w:t xml:space="preserve"> </w:t>
      </w:r>
      <w:r>
        <w:t xml:space="preserve">(both columns), but not everyone named</w:t>
      </w:r>
      <w:r>
        <w:t xml:space="preserve"> </w:t>
      </w:r>
      <w:r>
        <w:t xml:space="preserve">“</w:t>
      </w:r>
      <w:r>
        <w:t xml:space="preserve">Priya</w:t>
      </w:r>
      <w:r>
        <w:t xml:space="preserve">”</w:t>
      </w:r>
      <w:r>
        <w:t xml:space="preserve">: those entries are scattered across the whole book. This is the</w:t>
      </w:r>
      <w:r>
        <w:t xml:space="preserve"> </w:t>
      </w:r>
      <w:r>
        <w:rPr>
          <w:bCs/>
          <w:b/>
        </w:rPr>
        <w:t xml:space="preserve">leftmost-prefix rule</w:t>
      </w:r>
      <w:r>
        <w:t xml:space="preserve">: a B+ tree index can seek on a prefix of its columns, with equality on all but possibly the last column used, which may be a range.</w:t>
      </w:r>
    </w:p>
    <w:p>
      <w:pPr>
        <w:pStyle w:val="BodyText"/>
      </w:pPr>
      <w:r>
        <w:t xml:space="preserve">The index on</w:t>
      </w:r>
      <w:r>
        <w:t xml:space="preserve"> </w:t>
      </w:r>
      <w:r>
        <w:rPr>
          <w:rStyle w:val="VerbatimChar"/>
        </w:rPr>
        <w:t xml:space="preserve">(customer_id, created_at)</w:t>
      </w:r>
      <w:r>
        <w:t xml:space="preserve"> </w:t>
      </w:r>
      <w:r>
        <w:t xml:space="preserve">serves:</w:t>
      </w:r>
    </w:p>
    <w:p>
      <w:pPr>
        <w:numPr>
          <w:ilvl w:val="0"/>
          <w:numId w:val="1369"/>
        </w:numPr>
        <w:pStyle w:val="Compact"/>
      </w:pPr>
      <w:r>
        <w:rPr>
          <w:rStyle w:val="VerbatimChar"/>
        </w:rPr>
        <w:t xml:space="preserve">WHERE customer_id = ?</w:t>
      </w:r>
    </w:p>
    <w:p>
      <w:pPr>
        <w:numPr>
          <w:ilvl w:val="0"/>
          <w:numId w:val="1369"/>
        </w:numPr>
        <w:pStyle w:val="Compact"/>
      </w:pPr>
      <w:r>
        <w:rPr>
          <w:rStyle w:val="VerbatimChar"/>
        </w:rPr>
        <w:t xml:space="preserve">WHERE customer_id = ? AND created_at &gt;= ?</w:t>
      </w:r>
    </w:p>
    <w:p>
      <w:pPr>
        <w:numPr>
          <w:ilvl w:val="0"/>
          <w:numId w:val="1369"/>
        </w:numPr>
        <w:pStyle w:val="Compact"/>
      </w:pPr>
      <w:r>
        <w:rPr>
          <w:rStyle w:val="VerbatimChar"/>
        </w:rPr>
        <w:t xml:space="preserve">WHERE customer_id = ? ORDER BY created_at DESC LIMIT 20</w:t>
      </w:r>
      <w:r>
        <w:t xml:space="preserve"> </w:t>
      </w:r>
      <w:r>
        <w:t xml:space="preserve">(no sort needed: entries are already in order)</w:t>
      </w:r>
    </w:p>
    <w:p>
      <w:pPr>
        <w:pStyle w:val="FirstParagraph"/>
      </w:pPr>
      <w:r>
        <w:t xml:space="preserve">and does</w:t>
      </w:r>
      <w:r>
        <w:t xml:space="preserve"> </w:t>
      </w:r>
      <w:r>
        <w:rPr>
          <w:iCs/>
          <w:i/>
        </w:rPr>
        <w:t xml:space="preserve">not</w:t>
      </w:r>
      <w:r>
        <w:t xml:space="preserve"> </w:t>
      </w:r>
      <w:r>
        <w:t xml:space="preserve">efficiently serve</w:t>
      </w:r>
      <w:r>
        <w:t xml:space="preserve"> </w:t>
      </w:r>
      <w:r>
        <w:rPr>
          <w:rStyle w:val="VerbatimChar"/>
        </w:rPr>
        <w:t xml:space="preserve">WHERE created_at &gt;= ?</w:t>
      </w:r>
      <w:r>
        <w:t xml:space="preserve">. Some engines can</w:t>
      </w:r>
      <w:r>
        <w:t xml:space="preserve"> </w:t>
      </w:r>
      <w:r>
        <w:rPr>
          <w:bCs/>
          <w:b/>
        </w:rPr>
        <w:t xml:space="preserve">skip-scan</w:t>
      </w:r>
      <w:r>
        <w:t xml:space="preserve"> </w:t>
      </w:r>
      <w:r>
        <w:t xml:space="preserve">(seek once per distinct leading value), which helps only when the leading column has few distinct values: MySQL since 8.0.13, and PostgreSQL from version 18 (as of 2026).</w:t>
      </w:r>
    </w:p>
    <w:p>
      <w:pPr>
        <w:pStyle w:val="CalloutRecommendation"/>
      </w:pPr>
      <w:r>
        <w:rPr>
          <w:bCs/>
          <w:b/>
        </w:rPr>
        <w:t xml:space="preserve">RECOMMENDATION</w:t>
      </w:r>
    </w:p>
    <w:p>
      <w:pPr>
        <w:pStyle w:val="CalloutRecommendation"/>
      </w:pPr>
      <w:r>
        <w:rPr>
          <w:bCs/>
          <w:b/>
        </w:rPr>
        <w:t xml:space="preserve">Recommendation — Column order in composite indexes.</w:t>
      </w:r>
      <w:r>
        <w:t xml:space="preserve"> </w:t>
      </w:r>
      <w:r>
        <w:t xml:space="preserve">Put columns compared with equality first, then the column used for a range or</w:t>
      </w:r>
      <w:r>
        <w:t xml:space="preserve"> </w:t>
      </w:r>
      <w:r>
        <w:rPr>
          <w:rStyle w:val="VerbatimChar"/>
        </w:rPr>
        <w:t xml:space="preserve">ORDER BY</w:t>
      </w:r>
      <w:r>
        <w:t xml:space="preserve">. Selectivity of the leading column matters less than whether queries can use the prefix at all. One well-ordered composite index often replaces two or three single-column indexes.</w:t>
      </w:r>
    </w:p>
    <w:bookmarkEnd w:id="1226"/>
    <w:bookmarkStart w:id="1227" w:name="covering-partial-and-expression-indexes"/>
    <w:p>
      <w:pPr>
        <w:pStyle w:val="Heading3"/>
      </w:pPr>
      <w:r>
        <w:t xml:space="preserve">11.7.4 Covering, partial and expression indexes</w:t>
      </w:r>
    </w:p>
    <w:p>
      <w:pPr>
        <w:numPr>
          <w:ilvl w:val="0"/>
          <w:numId w:val="1370"/>
        </w:numPr>
        <w:pStyle w:val="Compact"/>
      </w:pPr>
      <w:r>
        <w:t xml:space="preserve">A</w:t>
      </w:r>
      <w:r>
        <w:t xml:space="preserve"> </w:t>
      </w:r>
      <w:r>
        <w:rPr>
          <w:bCs/>
          <w:b/>
        </w:rPr>
        <w:t xml:space="preserve">covering index</w:t>
      </w:r>
      <w:r>
        <w:t xml:space="preserve"> </w:t>
      </w:r>
      <w:r>
        <w:t xml:space="preserve">contains every column a query needs, so it can be answered from the index alone (an</w:t>
      </w:r>
      <w:r>
        <w:t xml:space="preserve"> </w:t>
      </w:r>
      <w:r>
        <w:rPr>
          <w:bCs/>
          <w:b/>
        </w:rPr>
        <w:t xml:space="preserve">index-only scan</w:t>
      </w:r>
      <w:r>
        <w:t xml:space="preserve">). PostgreSQL 11+ adds payload columns with</w:t>
      </w:r>
      <w:r>
        <w:t xml:space="preserve"> </w:t>
      </w:r>
      <w:r>
        <w:rPr>
          <w:rStyle w:val="VerbatimChar"/>
        </w:rPr>
        <w:t xml:space="preserve">INCLUDE</w:t>
      </w:r>
      <w:r>
        <w:t xml:space="preserve">; InnoDB secondary indexes always cover the primary key. PostgreSQL still visits heap pages not marked all-visible in the</w:t>
      </w:r>
      <w:r>
        <w:t xml:space="preserve"> </w:t>
      </w:r>
      <w:r>
        <w:rPr>
          <w:bCs/>
          <w:b/>
        </w:rPr>
        <w:t xml:space="preserve">visibility map</w:t>
      </w:r>
      <w:r>
        <w:t xml:space="preserve">, which VACUUM maintains (§11.14).</w:t>
      </w:r>
    </w:p>
    <w:p>
      <w:pPr>
        <w:numPr>
          <w:ilvl w:val="0"/>
          <w:numId w:val="1370"/>
        </w:numPr>
        <w:pStyle w:val="Compact"/>
      </w:pPr>
      <w:r>
        <w:t xml:space="preserve">A</w:t>
      </w:r>
      <w:r>
        <w:t xml:space="preserve"> </w:t>
      </w:r>
      <w:r>
        <w:rPr>
          <w:bCs/>
          <w:b/>
        </w:rPr>
        <w:t xml:space="preserve">partial index</w:t>
      </w:r>
      <w:r>
        <w:t xml:space="preserve"> </w:t>
      </w:r>
      <w:r>
        <w:t xml:space="preserve">indexes only rows matching a predicate:</w:t>
      </w:r>
      <w:r>
        <w:t xml:space="preserve"> </w:t>
      </w:r>
      <w:r>
        <w:rPr>
          <w:rStyle w:val="VerbatimChar"/>
        </w:rPr>
        <w:t xml:space="preserve">CREATE INDEX ... ON orders (created_at) WHERE status = 'pending'</w:t>
      </w:r>
      <w:r>
        <w:t xml:space="preserve">. If 1% of orders are pending, the index is 1% of the size. PostgreSQL and SQLite support partial indexes; MySQL does not (as of 8.4).</w:t>
      </w:r>
    </w:p>
    <w:p>
      <w:pPr>
        <w:numPr>
          <w:ilvl w:val="0"/>
          <w:numId w:val="1370"/>
        </w:numPr>
        <w:pStyle w:val="Compact"/>
      </w:pPr>
      <w:r>
        <w:t xml:space="preserve">An</w:t>
      </w:r>
      <w:r>
        <w:t xml:space="preserve"> </w:t>
      </w:r>
      <w:r>
        <w:rPr>
          <w:bCs/>
          <w:b/>
        </w:rPr>
        <w:t xml:space="preserve">expression index</w:t>
      </w:r>
      <w:r>
        <w:t xml:space="preserve"> </w:t>
      </w:r>
      <w:r>
        <w:t xml:space="preserve">indexes a computed value such as</w:t>
      </w:r>
      <w:r>
        <w:t xml:space="preserve"> </w:t>
      </w:r>
      <w:r>
        <w:rPr>
          <w:rStyle w:val="VerbatimChar"/>
        </w:rPr>
        <w:t xml:space="preserve">lower(email)</w:t>
      </w:r>
      <w:r>
        <w:t xml:space="preserve"> </w:t>
      </w:r>
      <w:r>
        <w:t xml:space="preserve">(MySQL 8.0.13+: functional key parts).</w:t>
      </w:r>
    </w:p>
    <w:p>
      <w:pPr>
        <w:pStyle w:val="SourceCode"/>
      </w:pPr>
      <w:r>
        <w:rPr>
          <w:rStyle w:val="ImportTok"/>
        </w:rPr>
        <w:t xml:space="preserve">import</w:t>
      </w:r>
      <w:r>
        <w:rPr>
          <w:rStyle w:val="NormalTok"/>
        </w:rPr>
        <w:t xml:space="preserve"> sqlite3</w:t>
      </w:r>
      <w:r>
        <w:br/>
      </w:r>
      <w:r>
        <w:br/>
      </w:r>
      <w:r>
        <w:rPr>
          <w:rStyle w:val="NormalTok"/>
        </w:rPr>
        <w:t xml:space="preserve">db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StringTok"/>
        </w:rPr>
        <w:t xml:space="preserve">":memory:"</w:t>
      </w:r>
      <w:r>
        <w:rPr>
          <w:rStyle w:val="NormalTok"/>
        </w:rPr>
        <w:t xml:space="preserve">)</w:t>
      </w:r>
      <w:r>
        <w:br/>
      </w:r>
      <w:r>
        <w:rPr>
          <w:rStyle w:val="NormalTok"/>
        </w:rPr>
        <w:t xml:space="preserve">db.executescript(</w:t>
      </w:r>
      <w:r>
        <w:rPr>
          <w:rStyle w:val="StringTok"/>
        </w:rPr>
        <w:t xml:space="preserve">"""</w:t>
      </w:r>
      <w:r>
        <w:br/>
      </w:r>
      <w:r>
        <w:rPr>
          <w:rStyle w:val="StringTok"/>
        </w:rPr>
        <w:t xml:space="preserve">CREATE TABLE orders (</w:t>
      </w:r>
      <w:r>
        <w:br/>
      </w:r>
      <w:r>
        <w:rPr>
          <w:rStyle w:val="StringTok"/>
        </w:rPr>
        <w:t xml:space="preserve">  order_id    INTEGER PRIMARY KEY,          -- rowid alias: the table's clustered key</w:t>
      </w:r>
      <w:r>
        <w:br/>
      </w:r>
      <w:r>
        <w:rPr>
          <w:rStyle w:val="StringTok"/>
        </w:rPr>
        <w:t xml:space="preserve">  customer_id INTEGER NOT NULL,</w:t>
      </w:r>
      <w:r>
        <w:br/>
      </w:r>
      <w:r>
        <w:rPr>
          <w:rStyle w:val="StringTok"/>
        </w:rPr>
        <w:t xml:space="preserve">  status      TEXT    NOT NULL,</w:t>
      </w:r>
      <w:r>
        <w:br/>
      </w:r>
      <w:r>
        <w:rPr>
          <w:rStyle w:val="StringTok"/>
        </w:rPr>
        <w:t xml:space="preserve">  total_cents INTEGER NOT NULL,</w:t>
      </w:r>
      <w:r>
        <w:br/>
      </w:r>
      <w:r>
        <w:rPr>
          <w:rStyle w:val="StringTok"/>
        </w:rPr>
        <w:t xml:space="preserve">  created_at  TEXT    NOT NULL</w:t>
      </w:r>
      <w:r>
        <w:br/>
      </w:r>
      <w:r>
        <w:rPr>
          <w:rStyle w:val="StringTok"/>
        </w:rPr>
        <w:t xml:space="preserve">);</w:t>
      </w:r>
      <w:r>
        <w:br/>
      </w:r>
      <w:r>
        <w:rPr>
          <w:rStyle w:val="StringTok"/>
        </w:rPr>
        <w:t xml:space="preserve">CREATE INDEX orders_cust_created ON orders (customer_id, created_at);</w:t>
      </w:r>
      <w:r>
        <w:br/>
      </w:r>
      <w:r>
        <w:rPr>
          <w:rStyle w:val="StringTok"/>
        </w:rPr>
        <w:t xml:space="preserve">CREATE INDEX orders_pending ON orders (created_at) WHERE status = 'pending';</w:t>
      </w:r>
      <w:r>
        <w:br/>
      </w:r>
      <w:r>
        <w:rPr>
          <w:rStyle w:val="StringTok"/>
        </w:rPr>
        <w:t xml:space="preserve">"""</w:t>
      </w:r>
      <w:r>
        <w:rPr>
          <w:rStyle w:val="NormalTok"/>
        </w:rPr>
        <w:t xml:space="preserve">)</w:t>
      </w:r>
      <w:r>
        <w:br/>
      </w:r>
      <w:r>
        <w:rPr>
          <w:rStyle w:val="NormalTok"/>
        </w:rPr>
        <w:t xml:space="preserve">db.executemany(</w:t>
      </w:r>
      <w:r>
        <w:br/>
      </w:r>
      <w:r>
        <w:rPr>
          <w:rStyle w:val="NormalTok"/>
        </w:rPr>
        <w:t xml:space="preserve">    </w:t>
      </w:r>
      <w:r>
        <w:rPr>
          <w:rStyle w:val="StringTok"/>
        </w:rPr>
        <w:t xml:space="preserve">"INSERT INTO orders (customer_id, status, total_cents, created_at) VALUES (?,?,?,?)"</w:t>
      </w:r>
      <w:r>
        <w:rPr>
          <w:rStyle w:val="NormalTok"/>
        </w:rPr>
        <w:t xml:space="preserve">,</w:t>
      </w:r>
      <w:r>
        <w:br/>
      </w:r>
      <w:r>
        <w:rPr>
          <w:rStyle w:val="NormalTok"/>
        </w:rPr>
        <w:t xml:space="preserve">    [(i </w:t>
      </w:r>
      <w:r>
        <w:rPr>
          <w:rStyle w:val="OperatorTok"/>
        </w:rPr>
        <w:t xml:space="preserve">%</w:t>
      </w:r>
      <w:r>
        <w:rPr>
          <w:rStyle w:val="NormalTok"/>
        </w:rPr>
        <w:t xml:space="preserve"> </w:t>
      </w:r>
      <w:r>
        <w:rPr>
          <w:rStyle w:val="DecValTok"/>
        </w:rPr>
        <w:t xml:space="preserve">1000</w:t>
      </w:r>
      <w:r>
        <w:rPr>
          <w:rStyle w:val="NormalTok"/>
        </w:rPr>
        <w:t xml:space="preserve">, </w:t>
      </w:r>
      <w:r>
        <w:rPr>
          <w:rStyle w:val="StringTok"/>
        </w:rPr>
        <w:t xml:space="preserve">"pending"</w:t>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StringTok"/>
        </w:rPr>
        <w:t xml:space="preserve">"shipped"</w:t>
      </w:r>
      <w:r>
        <w:rPr>
          <w:rStyle w:val="NormalTok"/>
        </w:rPr>
        <w:t xml:space="preserve">, i, </w:t>
      </w:r>
      <w:r>
        <w:rPr>
          <w:rStyle w:val="SpecialStringTok"/>
        </w:rPr>
        <w:t xml:space="preserve">f"2026-10-</w:t>
      </w:r>
      <w:r>
        <w:rPr>
          <w:rStyle w:val="SpecialCharTok"/>
        </w:rPr>
        <w:t xml:space="preserve">{</w:t>
      </w:r>
      <w:r>
        <w:rPr>
          <w:rStyle w:val="DecValTok"/>
        </w:rPr>
        <w:t xml:space="preserve">1</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28</w:t>
      </w:r>
      <w:r>
        <w:rPr>
          <w:rStyle w:val="SpecialCharTok"/>
        </w:rPr>
        <w:t xml:space="preserve">:02d}</w:t>
      </w:r>
      <w:r>
        <w:rPr>
          <w:rStyle w:val="Speci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50_000</w:t>
      </w:r>
      <w:r>
        <w:rPr>
          <w:rStyle w:val="NormalTok"/>
        </w:rPr>
        <w:t xml:space="preserve">)])</w:t>
      </w:r>
      <w:r>
        <w:br/>
      </w:r>
      <w:r>
        <w:br/>
      </w:r>
      <w:r>
        <w:rPr>
          <w:rStyle w:val="NormalTok"/>
        </w:rPr>
        <w:t xml:space="preserve">queries </w:t>
      </w:r>
      <w:r>
        <w:rPr>
          <w:rStyle w:val="OperatorTok"/>
        </w:rPr>
        <w:t xml:space="preserve">=</w:t>
      </w:r>
      <w:r>
        <w:rPr>
          <w:rStyle w:val="NormalTok"/>
        </w:rPr>
        <w:t xml:space="preserve"> {</w:t>
      </w:r>
      <w:r>
        <w:br/>
      </w:r>
      <w:r>
        <w:rPr>
          <w:rStyle w:val="NormalTok"/>
        </w:rPr>
        <w:t xml:space="preserve">    </w:t>
      </w:r>
      <w:r>
        <w:rPr>
          <w:rStyle w:val="StringTok"/>
        </w:rPr>
        <w:t xml:space="preserve">"both columns"</w:t>
      </w:r>
      <w:r>
        <w:rPr>
          <w:rStyle w:val="NormalTok"/>
        </w:rPr>
        <w:t xml:space="preserve">:        </w:t>
      </w:r>
      <w:r>
        <w:rPr>
          <w:rStyle w:val="StringTok"/>
        </w:rPr>
        <w:t xml:space="preserve">"SELECT * FROM orders WHERE customer_id = 7 AND created_at &gt;= '2026-10-15'"</w:t>
      </w:r>
      <w:r>
        <w:rPr>
          <w:rStyle w:val="NormalTok"/>
        </w:rPr>
        <w:t xml:space="preserve">,</w:t>
      </w:r>
      <w:r>
        <w:br/>
      </w:r>
      <w:r>
        <w:rPr>
          <w:rStyle w:val="NormalTok"/>
        </w:rPr>
        <w:t xml:space="preserve">    </w:t>
      </w:r>
      <w:r>
        <w:rPr>
          <w:rStyle w:val="StringTok"/>
        </w:rPr>
        <w:t xml:space="preserve">"leftmost column only"</w:t>
      </w:r>
      <w:r>
        <w:rPr>
          <w:rStyle w:val="NormalTok"/>
        </w:rPr>
        <w:t xml:space="preserve">: </w:t>
      </w:r>
      <w:r>
        <w:rPr>
          <w:rStyle w:val="StringTok"/>
        </w:rPr>
        <w:t xml:space="preserve">"SELECT * FROM orders WHERE customer_id = 7"</w:t>
      </w:r>
      <w:r>
        <w:rPr>
          <w:rStyle w:val="NormalTok"/>
        </w:rPr>
        <w:t xml:space="preserve">,</w:t>
      </w:r>
      <w:r>
        <w:br/>
      </w:r>
      <w:r>
        <w:rPr>
          <w:rStyle w:val="NormalTok"/>
        </w:rPr>
        <w:t xml:space="preserve">    </w:t>
      </w:r>
      <w:r>
        <w:rPr>
          <w:rStyle w:val="StringTok"/>
        </w:rPr>
        <w:t xml:space="preserve">"second column only"</w:t>
      </w:r>
      <w:r>
        <w:rPr>
          <w:rStyle w:val="NormalTok"/>
        </w:rPr>
        <w:t xml:space="preserve">:  </w:t>
      </w:r>
      <w:r>
        <w:rPr>
          <w:rStyle w:val="StringTok"/>
        </w:rPr>
        <w:t xml:space="preserve">"SELECT * FROM orders WHERE created_at &gt;= '2026-10-15'"</w:t>
      </w:r>
      <w:r>
        <w:rPr>
          <w:rStyle w:val="NormalTok"/>
        </w:rPr>
        <w:t xml:space="preserve">,</w:t>
      </w:r>
      <w:r>
        <w:br/>
      </w:r>
      <w:r>
        <w:rPr>
          <w:rStyle w:val="NormalTok"/>
        </w:rPr>
        <w:t xml:space="preserve">    </w:t>
      </w:r>
      <w:r>
        <w:rPr>
          <w:rStyle w:val="StringTok"/>
        </w:rPr>
        <w:t xml:space="preserve">"covering"</w:t>
      </w:r>
      <w:r>
        <w:rPr>
          <w:rStyle w:val="NormalTok"/>
        </w:rPr>
        <w:t xml:space="preserve">:            </w:t>
      </w:r>
      <w:r>
        <w:rPr>
          <w:rStyle w:val="StringTok"/>
        </w:rPr>
        <w:t xml:space="preserve">"SELECT created_at FROM orders WHERE customer_id = 7"</w:t>
      </w:r>
      <w:r>
        <w:rPr>
          <w:rStyle w:val="NormalTok"/>
        </w:rPr>
        <w:t xml:space="preserve">,</w:t>
      </w:r>
      <w:r>
        <w:br/>
      </w:r>
      <w:r>
        <w:rPr>
          <w:rStyle w:val="NormalTok"/>
        </w:rPr>
        <w:t xml:space="preserve">    </w:t>
      </w:r>
      <w:r>
        <w:rPr>
          <w:rStyle w:val="StringTok"/>
        </w:rPr>
        <w:t xml:space="preserve">"partial index"</w:t>
      </w:r>
      <w:r>
        <w:rPr>
          <w:rStyle w:val="NormalTok"/>
        </w:rPr>
        <w:t xml:space="preserve">:       </w:t>
      </w:r>
      <w:r>
        <w:rPr>
          <w:rStyle w:val="StringTok"/>
        </w:rPr>
        <w:t xml:space="preserve">"SELECT order_id FROM orders WHERE status = 'pending' AND created_at &lt; '2026-10-03'"</w:t>
      </w:r>
      <w:r>
        <w:rPr>
          <w:rStyle w:val="NormalTok"/>
        </w:rPr>
        <w:t xml:space="preserve">,</w:t>
      </w:r>
      <w:r>
        <w:br/>
      </w:r>
      <w:r>
        <w:rPr>
          <w:rStyle w:val="NormalTok"/>
        </w:rPr>
        <w:t xml:space="preserve">}</w:t>
      </w:r>
      <w:r>
        <w:br/>
      </w:r>
      <w:r>
        <w:rPr>
          <w:rStyle w:val="ControlFlowTok"/>
        </w:rPr>
        <w:t xml:space="preserve">for</w:t>
      </w:r>
      <w:r>
        <w:rPr>
          <w:rStyle w:val="NormalTok"/>
        </w:rPr>
        <w:t xml:space="preserve"> label, sql </w:t>
      </w:r>
      <w:r>
        <w:rPr>
          <w:rStyle w:val="KeywordTok"/>
        </w:rPr>
        <w:t xml:space="preserve">in</w:t>
      </w:r>
      <w:r>
        <w:rPr>
          <w:rStyle w:val="NormalTok"/>
        </w:rPr>
        <w:t xml:space="preserve"> queries.items():</w:t>
      </w:r>
      <w:r>
        <w:br/>
      </w:r>
      <w:r>
        <w:rPr>
          <w:rStyle w:val="NormalTok"/>
        </w:rPr>
        <w:t xml:space="preserve">    plan </w:t>
      </w:r>
      <w:r>
        <w:rPr>
          <w:rStyle w:val="OperatorTok"/>
        </w:rPr>
        <w:t xml:space="preserve">=</w:t>
      </w:r>
      <w:r>
        <w:rPr>
          <w:rStyle w:val="NormalTok"/>
        </w:rPr>
        <w:t xml:space="preserve"> db.execute(</w:t>
      </w:r>
      <w:r>
        <w:rPr>
          <w:rStyle w:val="StringTok"/>
        </w:rPr>
        <w:t xml:space="preserve">"EXPLAIN QUERY PLAN "</w:t>
      </w:r>
      <w:r>
        <w:rPr>
          <w:rStyle w:val="NormalTok"/>
        </w:rPr>
        <w:t xml:space="preserve"> </w:t>
      </w:r>
      <w:r>
        <w:rPr>
          <w:rStyle w:val="OperatorTok"/>
        </w:rPr>
        <w:t xml:space="preserve">+</w:t>
      </w:r>
      <w:r>
        <w:rPr>
          <w:rStyle w:val="NormalTok"/>
        </w:rPr>
        <w:t xml:space="preserve"> sql).fetchall()</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label</w:t>
      </w:r>
      <w:r>
        <w:rPr>
          <w:rStyle w:val="SpecialCharTok"/>
        </w:rPr>
        <w:t xml:space="preserve">:&lt;21}</w:t>
      </w:r>
      <w:r>
        <w:rPr>
          <w:rStyle w:val="SpecialStringTok"/>
        </w:rPr>
        <w:t xml:space="preserve"> -&gt; </w:t>
      </w:r>
      <w:r>
        <w:rPr>
          <w:rStyle w:val="SpecialCharTok"/>
        </w:rPr>
        <w:t xml:space="preserve">{</w:t>
      </w:r>
      <w:r>
        <w:rPr>
          <w:rStyle w:val="NormalTok"/>
        </w:rPr>
        <w:t xml:space="preserve">plan[</w:t>
      </w:r>
      <w:r>
        <w:rPr>
          <w:rStyle w:val="DecValTok"/>
        </w:rPr>
        <w:t xml:space="preserve">0</w:t>
      </w:r>
      <w:r>
        <w:rPr>
          <w:rStyle w:val="NormalTok"/>
        </w:rPr>
        <w:t xml:space="preserve">][</w:t>
      </w:r>
      <w:r>
        <w:rPr>
          <w:rStyle w:val="DecValTok"/>
        </w:rPr>
        <w:t xml:space="preserve">3</w:t>
      </w:r>
      <w:r>
        <w:rPr>
          <w:rStyle w:val="NormalTok"/>
        </w:rPr>
        <w:t xml:space="preserve">]</w:t>
      </w:r>
      <w:r>
        <w:rPr>
          <w:rStyle w:val="SpecialCharTok"/>
        </w:rPr>
        <w:t xml:space="preserve">}</w:t>
      </w:r>
      <w:r>
        <w:rPr>
          <w:rStyle w:val="SpecialStringTok"/>
        </w:rPr>
        <w:t xml:space="preserve">"</w:t>
      </w:r>
      <w:r>
        <w:rPr>
          <w:rStyle w:val="NormalTok"/>
        </w:rPr>
        <w:t xml:space="preserve">)</w:t>
      </w:r>
    </w:p>
    <w:p>
      <w:pPr>
        <w:pStyle w:val="FirstParagraph"/>
      </w:pPr>
      <w:r>
        <w:t xml:space="preserve">Output (SQLite 3.45):</w:t>
      </w:r>
    </w:p>
    <w:p>
      <w:pPr>
        <w:pStyle w:val="SourceCode"/>
      </w:pPr>
      <w:r>
        <w:rPr>
          <w:rStyle w:val="VerbatimChar"/>
        </w:rPr>
        <w:t xml:space="preserve">both columns          -&gt; SEARCH orders USING INDEX orders_cust_created (customer_id=? AND created_at&gt;?)</w:t>
      </w:r>
      <w:r>
        <w:br/>
      </w:r>
      <w:r>
        <w:rPr>
          <w:rStyle w:val="VerbatimChar"/>
        </w:rPr>
        <w:t xml:space="preserve">leftmost column only  -&gt; SEARCH orders USING INDEX orders_cust_created (customer_id=?)</w:t>
      </w:r>
      <w:r>
        <w:br/>
      </w:r>
      <w:r>
        <w:rPr>
          <w:rStyle w:val="VerbatimChar"/>
        </w:rPr>
        <w:t xml:space="preserve">second column only    -&gt; SCAN orders</w:t>
      </w:r>
      <w:r>
        <w:br/>
      </w:r>
      <w:r>
        <w:rPr>
          <w:rStyle w:val="VerbatimChar"/>
        </w:rPr>
        <w:t xml:space="preserve">covering              -&gt; SEARCH orders USING COVERING INDEX orders_cust_created (customer_id=?)</w:t>
      </w:r>
      <w:r>
        <w:br/>
      </w:r>
      <w:r>
        <w:rPr>
          <w:rStyle w:val="VerbatimChar"/>
        </w:rPr>
        <w:t xml:space="preserve">partial index         -&gt; SEARCH orders USING COVERING INDEX orders_pending (created_at&lt;?)</w:t>
      </w:r>
    </w:p>
    <w:p>
      <w:pPr>
        <w:pStyle w:val="FirstParagraph"/>
      </w:pPr>
      <w:r>
        <w:t xml:space="preserve">What to notice:</w:t>
      </w:r>
    </w:p>
    <w:p>
      <w:pPr>
        <w:numPr>
          <w:ilvl w:val="0"/>
          <w:numId w:val="1371"/>
        </w:numPr>
        <w:pStyle w:val="Compact"/>
      </w:pPr>
      <w:r>
        <w:rPr>
          <w:rStyle w:val="VerbatimChar"/>
        </w:rPr>
        <w:t xml:space="preserve">SEARCH</w:t>
      </w:r>
      <w:r>
        <w:t xml:space="preserve"> </w:t>
      </w:r>
      <w:r>
        <w:t xml:space="preserve">means an index seek;</w:t>
      </w:r>
      <w:r>
        <w:t xml:space="preserve"> </w:t>
      </w:r>
      <w:r>
        <w:rPr>
          <w:rStyle w:val="VerbatimChar"/>
        </w:rPr>
        <w:t xml:space="preserve">SCAN</w:t>
      </w:r>
      <w:r>
        <w:t xml:space="preserve"> </w:t>
      </w:r>
      <w:r>
        <w:t xml:space="preserve">means reading the whole table. Filtering on the second column alone falls back to a scan: the leftmost-prefix rule in action.</w:t>
      </w:r>
    </w:p>
    <w:p>
      <w:pPr>
        <w:numPr>
          <w:ilvl w:val="0"/>
          <w:numId w:val="1371"/>
        </w:numPr>
        <w:pStyle w:val="Compact"/>
      </w:pPr>
      <w:r>
        <w:t xml:space="preserve">The covering query asks only for</w:t>
      </w:r>
      <w:r>
        <w:t xml:space="preserve"> </w:t>
      </w:r>
      <w:r>
        <w:rPr>
          <w:rStyle w:val="VerbatimChar"/>
        </w:rPr>
        <w:t xml:space="preserve">created_at</w:t>
      </w:r>
      <w:r>
        <w:t xml:space="preserve">, which is in the index, so the table is never read.</w:t>
      </w:r>
    </w:p>
    <w:p>
      <w:pPr>
        <w:numPr>
          <w:ilvl w:val="0"/>
          <w:numId w:val="1371"/>
        </w:numPr>
        <w:pStyle w:val="Compact"/>
      </w:pPr>
      <w:r>
        <w:t xml:space="preserve">The partial-index query is covering too, because SQLite stores the rowid (</w:t>
      </w:r>
      <w:r>
        <w:rPr>
          <w:rStyle w:val="VerbatimChar"/>
        </w:rPr>
        <w:t xml:space="preserve">order_id</w:t>
      </w:r>
      <w:r>
        <w:t xml:space="preserve">) in every index entry, just as InnoDB stores the primary key.</w:t>
      </w:r>
    </w:p>
    <w:bookmarkEnd w:id="1227"/>
    <w:bookmarkStart w:id="1229" w:name="when-an-index-does-not-help"/>
    <w:p>
      <w:pPr>
        <w:pStyle w:val="Heading3"/>
      </w:pPr>
      <w:r>
        <w:t xml:space="preserve">11.7.5 When an index does not help</w:t>
      </w:r>
    </w:p>
    <w:bookmarkStart w:id="1228" w:name="mathematical-foundations-16"/>
    <w:p>
      <w:pPr>
        <w:pStyle w:val="Heading4"/>
      </w:pPr>
      <w:r>
        <w:t xml:space="preserve">Mathematical foundations</w:t>
      </w:r>
    </w:p>
    <w:p>
      <w:pPr>
        <w:pStyle w:val="FirstParagraph"/>
      </w:pPr>
      <w:r>
        <w:t xml:space="preserve">An index lookup through a secondary index costs roughly one</w:t>
      </w:r>
      <w:r>
        <w:t xml:space="preserve"> </w:t>
      </w:r>
      <w:r>
        <w:rPr>
          <w:iCs/>
          <w:i/>
        </w:rPr>
        <w:t xml:space="preserve">random</w:t>
      </w:r>
      <w:r>
        <w:t xml:space="preserve"> </w:t>
      </w:r>
      <w:r>
        <w:t xml:space="preserve">page read per matching row (when the rows are scattered across the table), while a full scan costs one</w:t>
      </w:r>
      <w:r>
        <w:t xml:space="preserve"> </w:t>
      </w:r>
      <w:r>
        <w:rPr>
          <w:iCs/>
          <w:i/>
        </w:rPr>
        <w:t xml:space="preserve">sequential</w:t>
      </w:r>
      <w:r>
        <w:t xml:space="preserve"> </w:t>
      </w:r>
      <w:r>
        <w:t xml:space="preserve">page read per table page. Above some fraction of matching rows, the scan wins.</w:t>
      </w:r>
    </w:p>
    <w:p>
      <w:pPr>
        <w:pStyle w:val="CalloutFormula"/>
      </w:pPr>
      <w:r>
        <w:rPr>
          <w:bCs/>
          <w:b/>
        </w:rPr>
        <w:t xml:space="preserve">FORMULA</w:t>
      </w:r>
    </w:p>
    <w:p>
      <w:pPr>
        <w:pStyle w:val="CalloutFormula"/>
      </w:pPr>
      <w:r>
        <w:rPr>
          <w:bCs/>
          <w:b/>
        </w:rPr>
        <w:t xml:space="preserve">Break-even selectivity for a secondary-index scan</w:t>
      </w:r>
    </w:p>
    <w:p>
      <w:pPr>
        <w:pStyle w:val="CalloutFormula"/>
      </w:pPr>
      <m:oMathPara>
        <m:oMathParaPr>
          <m:jc m:val="center"/>
        </m:oMathParaPr>
        <m:oMath>
          <m:sSup>
            <m:e>
              <m:r>
                <m:t>s</m:t>
              </m:r>
            </m:e>
            <m:sup>
              <m:r>
                <m:rPr>
                  <m:sty m:val="p"/>
                </m:rPr>
                <m:t>*</m:t>
              </m:r>
            </m:sup>
          </m:sSup>
          <m:r>
            <m:rPr>
              <m:sty m:val="p"/>
            </m:rPr>
            <m:t>=</m:t>
          </m:r>
          <m:f>
            <m:fPr>
              <m:type m:val="bar"/>
            </m:fPr>
            <m:num>
              <m:r>
                <m:t>P</m:t>
              </m:r>
              <m:r>
                <m:rPr>
                  <m:sty m:val="p"/>
                </m:rPr>
                <m:t>⋅</m:t>
              </m:r>
              <m:sSub>
                <m:e>
                  <m:r>
                    <m:t>c</m:t>
                  </m:r>
                </m:e>
                <m:sub>
                  <m:r>
                    <m:rPr>
                      <m:nor/>
                      <m:sty m:val="p"/>
                    </m:rPr>
                    <m:t>seq</m:t>
                  </m:r>
                </m:sub>
              </m:sSub>
            </m:num>
            <m:den>
              <m:r>
                <m:t>n</m:t>
              </m:r>
              <m:r>
                <m:rPr>
                  <m:sty m:val="p"/>
                </m:rPr>
                <m:t>⋅</m:t>
              </m:r>
              <m:sSub>
                <m:e>
                  <m:r>
                    <m:t>c</m:t>
                  </m:r>
                </m:e>
                <m:sub>
                  <m:r>
                    <m:rPr>
                      <m:nor/>
                      <m:sty m:val="p"/>
                    </m:rPr>
                    <m:t>rand</m:t>
                  </m:r>
                </m:sub>
              </m:sSub>
            </m:den>
          </m:f>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p>
                <m:e>
                  <m:r>
                    <m:t>s</m:t>
                  </m:r>
                </m:e>
                <m:sup>
                  <m:r>
                    <m:rPr>
                      <m:sty m:val="p"/>
                    </m:rPr>
                    <m:t>*</m:t>
                  </m:r>
                </m:sup>
              </m:sSup>
            </m:oMath>
          </w:p>
        </w:tc>
        <w:tc>
          <w:tcPr/>
          <w:p>
            <w:pPr>
              <w:pStyle w:val="Compact"/>
              <w:jc w:val="left"/>
            </w:pPr>
            <w:r>
              <w:t xml:space="preserve">Fraction of rows matched above which a full scan is cheaper</w:t>
            </w:r>
          </w:p>
        </w:tc>
        <w:tc>
          <w:tcPr/>
          <w:p>
            <w:pPr>
              <w:pStyle w:val="Compact"/>
              <w:jc w:val="left"/>
            </w:pPr>
            <w:r>
              <w:t xml:space="preserve">dimensionless</w:t>
            </w:r>
          </w:p>
        </w:tc>
      </w:tr>
      <w:tr>
        <w:tc>
          <w:tcPr/>
          <w:p>
            <w:pPr>
              <w:pStyle w:val="Compact"/>
              <w:jc w:val="left"/>
            </w:pPr>
            <m:oMath>
              <m:r>
                <m:t>P</m:t>
              </m:r>
            </m:oMath>
          </w:p>
        </w:tc>
        <w:tc>
          <w:tcPr/>
          <w:p>
            <w:pPr>
              <w:pStyle w:val="Compact"/>
              <w:jc w:val="left"/>
            </w:pPr>
            <w:r>
              <w:t xml:space="preserve">Pages in the table</w:t>
            </w:r>
          </w:p>
        </w:tc>
        <w:tc>
          <w:tcPr/>
          <w:p>
            <w:pPr>
              <w:pStyle w:val="Compact"/>
              <w:jc w:val="left"/>
            </w:pPr>
            <w:r>
              <w:t xml:space="preserve">pages</w:t>
            </w:r>
          </w:p>
        </w:tc>
      </w:tr>
      <w:tr>
        <w:tc>
          <w:tcPr/>
          <w:p>
            <w:pPr>
              <w:pStyle w:val="Compact"/>
              <w:jc w:val="left"/>
            </w:pPr>
            <m:oMath>
              <m:r>
                <m:t>n</m:t>
              </m:r>
            </m:oMath>
          </w:p>
        </w:tc>
        <w:tc>
          <w:tcPr/>
          <w:p>
            <w:pPr>
              <w:pStyle w:val="Compact"/>
              <w:jc w:val="left"/>
            </w:pPr>
            <w:r>
              <w:t xml:space="preserve">Rows in the table</w:t>
            </w:r>
          </w:p>
        </w:tc>
        <w:tc>
          <w:tcPr/>
          <w:p>
            <w:pPr>
              <w:pStyle w:val="Compact"/>
              <w:jc w:val="left"/>
            </w:pPr>
            <w:r>
              <w:t xml:space="preserve">rows</w:t>
            </w:r>
          </w:p>
        </w:tc>
      </w:tr>
      <w:tr>
        <w:tc>
          <w:tcPr/>
          <w:p>
            <w:pPr>
              <w:pStyle w:val="Compact"/>
              <w:jc w:val="left"/>
            </w:pPr>
            <m:oMath>
              <m:sSub>
                <m:e>
                  <m:r>
                    <m:t>c</m:t>
                  </m:r>
                </m:e>
                <m:sub>
                  <m:r>
                    <m:rPr>
                      <m:nor/>
                      <m:sty m:val="p"/>
                    </m:rPr>
                    <m:t>seq</m:t>
                  </m:r>
                </m:sub>
              </m:sSub>
            </m:oMath>
          </w:p>
        </w:tc>
        <w:tc>
          <w:tcPr/>
          <w:p>
            <w:pPr>
              <w:pStyle w:val="Compact"/>
              <w:jc w:val="left"/>
            </w:pPr>
            <w:r>
              <w:t xml:space="preserve">Cost of a sequential page read</w:t>
            </w:r>
          </w:p>
        </w:tc>
        <w:tc>
          <w:tcPr/>
          <w:p>
            <w:pPr>
              <w:pStyle w:val="Compact"/>
              <w:jc w:val="left"/>
            </w:pPr>
            <w:r>
              <w:t xml:space="preserve">cost units/page</w:t>
            </w:r>
          </w:p>
        </w:tc>
      </w:tr>
      <w:tr>
        <w:tc>
          <w:tcPr/>
          <w:p>
            <w:pPr>
              <w:pStyle w:val="Compact"/>
              <w:jc w:val="left"/>
            </w:pPr>
            <m:oMath>
              <m:sSub>
                <m:e>
                  <m:r>
                    <m:t>c</m:t>
                  </m:r>
                </m:e>
                <m:sub>
                  <m:r>
                    <m:rPr>
                      <m:nor/>
                      <m:sty m:val="p"/>
                    </m:rPr>
                    <m:t>rand</m:t>
                  </m:r>
                </m:sub>
              </m:sSub>
            </m:oMath>
          </w:p>
        </w:tc>
        <w:tc>
          <w:tcPr/>
          <w:p>
            <w:pPr>
              <w:pStyle w:val="Compact"/>
              <w:jc w:val="left"/>
            </w:pPr>
            <w:r>
              <w:t xml:space="preserve">Cost of a random page read</w:t>
            </w:r>
          </w:p>
        </w:tc>
        <w:tc>
          <w:tcPr/>
          <w:p>
            <w:pPr>
              <w:pStyle w:val="Compact"/>
              <w:jc w:val="left"/>
            </w:pPr>
            <w:r>
              <w:t xml:space="preserve">cost units/page</w:t>
            </w:r>
          </w:p>
        </w:tc>
      </w:tr>
    </w:tbl>
    <w:p>
      <w:pPr>
        <w:pStyle w:val="CalloutExample"/>
      </w:pPr>
      <w:r>
        <w:rPr>
          <w:bCs/>
          <w:b/>
        </w:rPr>
        <w:t xml:space="preserve">WORKED EXAMPLE</w:t>
      </w:r>
    </w:p>
    <w:p>
      <w:pPr>
        <w:pStyle w:val="CalloutExample"/>
      </w:pPr>
      <w:r>
        <w:rPr>
          <w:bCs/>
          <w:b/>
        </w:rPr>
        <w:t xml:space="preserve">Worked example — When does PostgreSQL stop using the index on</w:t>
      </w:r>
      <w:r>
        <w:rPr>
          <w:bCs/>
          <w:b/>
        </w:rPr>
        <w:t xml:space="preserve"> </w:t>
      </w:r>
      <w:r>
        <w:rPr>
          <w:rStyle w:val="VerbatimChar"/>
          <w:bCs/>
          <w:b/>
        </w:rPr>
        <w:t xml:space="preserve">orders</w:t>
      </w:r>
      <w:r>
        <w:rPr>
          <w:bCs/>
          <w:b/>
        </w:rPr>
        <w:t xml:space="preserve">?</w:t>
      </w:r>
      <w:r>
        <w:t xml:space="preserve"> </w:t>
      </w:r>
      <m:oMath>
        <m:r>
          <m:t>P</m:t>
        </m:r>
        <m:r>
          <m:rPr>
            <m:sty m:val="p"/>
          </m:rPr>
          <m:t>=</m:t>
        </m:r>
        <m:r>
          <m:t>15</m:t>
        </m:r>
        <m:r>
          <m:rPr>
            <m:sty m:val="p"/>
          </m:rPr>
          <m:t>,</m:t>
        </m:r>
        <m:r>
          <m:t>385</m:t>
        </m:r>
      </m:oMath>
      <w:r>
        <w:t xml:space="preserve"> </w:t>
      </w:r>
      <w:r>
        <w:t xml:space="preserve">pages,</w:t>
      </w:r>
      <w:r>
        <w:t xml:space="preserve"> </w:t>
      </w:r>
      <m:oMath>
        <m:r>
          <m:t>n</m:t>
        </m:r>
        <m:r>
          <m:rPr>
            <m:sty m:val="p"/>
          </m:rPr>
          <m:t>=</m:t>
        </m:r>
        <m:r>
          <m:t>1</m:t>
        </m:r>
        <m:r>
          <m:rPr>
            <m:sty m:val="p"/>
          </m:rPr>
          <m:t>,</m:t>
        </m:r>
        <m:r>
          <m:t>000</m:t>
        </m:r>
        <m:r>
          <m:rPr>
            <m:sty m:val="p"/>
          </m:rPr>
          <m:t>,</m:t>
        </m:r>
        <m:r>
          <m:t>000</m:t>
        </m:r>
      </m:oMath>
      <w:r>
        <w:t xml:space="preserve"> </w:t>
      </w:r>
      <w:r>
        <w:t xml:space="preserve">rows, and PostgreSQL’s default cost parameters are</w:t>
      </w:r>
      <w:r>
        <w:t xml:space="preserve"> </w:t>
      </w:r>
      <w:r>
        <w:rPr>
          <w:rStyle w:val="VerbatimChar"/>
        </w:rPr>
        <w:t xml:space="preserve">seq_page_cost</w:t>
      </w:r>
      <w:r>
        <w:t xml:space="preserve"> </w:t>
      </w:r>
      <w:r>
        <w:t xml:space="preserve">= 1 and</w:t>
      </w:r>
      <w:r>
        <w:t xml:space="preserve"> </w:t>
      </w:r>
      <w:r>
        <w:rPr>
          <w:rStyle w:val="VerbatimChar"/>
        </w:rPr>
        <w:t xml:space="preserve">random_page_cost</w:t>
      </w:r>
      <w:r>
        <w:t xml:space="preserve"> </w:t>
      </w:r>
      <w:r>
        <w:t xml:space="preserve">= 4.</w:t>
      </w:r>
    </w:p>
    <w:p>
      <w:pPr>
        <w:numPr>
          <w:ilvl w:val="0"/>
          <w:numId w:val="1372"/>
        </w:numPr>
        <w:pStyle w:val="Compact"/>
      </w:pPr>
      <w:r>
        <w:t xml:space="preserve">Full scan cost:</w:t>
      </w:r>
      <w:r>
        <w:t xml:space="preserve"> </w:t>
      </w:r>
      <m:oMath>
        <m:r>
          <m:t>15</m:t>
        </m:r>
        <m:r>
          <m:rPr>
            <m:sty m:val="p"/>
          </m:rPr>
          <m:t>,</m:t>
        </m:r>
        <m:r>
          <m:t>385</m:t>
        </m:r>
        <m:r>
          <m:rPr>
            <m:sty m:val="p"/>
          </m:rPr>
          <m:t>×</m:t>
        </m:r>
        <m:r>
          <m:t>1</m:t>
        </m:r>
        <m:r>
          <m:rPr>
            <m:sty m:val="p"/>
          </m:rPr>
          <m:t>=</m:t>
        </m:r>
        <m:r>
          <m:t>15</m:t>
        </m:r>
        <m:r>
          <m:rPr>
            <m:sty m:val="p"/>
          </m:rPr>
          <m:t>,</m:t>
        </m:r>
        <m:r>
          <m:t>385</m:t>
        </m:r>
      </m:oMath>
      <w:r>
        <w:t xml:space="preserve"> </w:t>
      </w:r>
      <w:r>
        <w:t xml:space="preserve">units.</w:t>
      </w:r>
    </w:p>
    <w:p>
      <w:pPr>
        <w:numPr>
          <w:ilvl w:val="0"/>
          <w:numId w:val="1372"/>
        </w:numPr>
        <w:pStyle w:val="Compact"/>
      </w:pPr>
      <w:r>
        <w:t xml:space="preserve">Index cost for fraction</w:t>
      </w:r>
      <w:r>
        <w:t xml:space="preserve"> </w:t>
      </w:r>
      <m:oMath>
        <m:r>
          <m:t>s</m:t>
        </m:r>
      </m:oMath>
      <w:r>
        <w:t xml:space="preserve">:</w:t>
      </w:r>
      <w:r>
        <w:t xml:space="preserve"> </w:t>
      </w:r>
      <m:oMath>
        <m:r>
          <m:t>s</m:t>
        </m:r>
        <m:r>
          <m:rPr>
            <m:sty m:val="p"/>
          </m:rPr>
          <m:t>×</m:t>
        </m:r>
        <m:sSup>
          <m:e>
            <m:r>
              <m:t>10</m:t>
            </m:r>
          </m:e>
          <m:sup>
            <m:r>
              <m:t>6</m:t>
            </m:r>
          </m:sup>
        </m:sSup>
        <m:r>
          <m:rPr>
            <m:sty m:val="p"/>
          </m:rPr>
          <m:t>×</m:t>
        </m:r>
        <m:r>
          <m:t>4</m:t>
        </m:r>
      </m:oMath>
      <w:r>
        <w:t xml:space="preserve"> </w:t>
      </w:r>
      <w:r>
        <w:t xml:space="preserve">units (ignoring the small index-page cost).</w:t>
      </w:r>
    </w:p>
    <w:p>
      <w:pPr>
        <w:numPr>
          <w:ilvl w:val="0"/>
          <w:numId w:val="1372"/>
        </w:numPr>
        <w:pStyle w:val="Compact"/>
      </w:pPr>
      <w:r>
        <w:t xml:space="preserve">Break-even:</w:t>
      </w:r>
      <w:r>
        <w:t xml:space="preserve"> </w:t>
      </w:r>
      <m:oMath>
        <m:sSup>
          <m:e>
            <m:r>
              <m:t>s</m:t>
            </m:r>
          </m:e>
          <m:sup>
            <m:r>
              <m:rPr>
                <m:sty m:val="p"/>
              </m:rPr>
              <m:t>*</m:t>
            </m:r>
          </m:sup>
        </m:sSup>
        <m:r>
          <m:rPr>
            <m:sty m:val="p"/>
          </m:rPr>
          <m:t>=</m:t>
        </m:r>
        <m:r>
          <m:t>15</m:t>
        </m:r>
        <m:r>
          <m:rPr>
            <m:sty m:val="p"/>
          </m:rPr>
          <m:t>,</m:t>
        </m:r>
        <m:r>
          <m:t>385</m:t>
        </m:r>
        <m:r>
          <m:rPr>
            <m:sty m:val="p"/>
          </m:rPr>
          <m:t>/</m:t>
        </m:r>
        <m:d>
          <m:dPr>
            <m:begChr m:val="("/>
            <m:endChr m:val=")"/>
            <m:sepChr m:val=""/>
            <m:grow/>
          </m:dPr>
          <m:e>
            <m:r>
              <m:t>4</m:t>
            </m:r>
            <m:r>
              <m:rPr>
                <m:sty m:val="p"/>
              </m:rPr>
              <m:t>×</m:t>
            </m:r>
            <m:sSup>
              <m:e>
                <m:r>
                  <m:t>10</m:t>
                </m:r>
              </m:e>
              <m:sup>
                <m:r>
                  <m:t>6</m:t>
                </m:r>
              </m:sup>
            </m:sSup>
          </m:e>
        </m:d>
        <m:r>
          <m:rPr>
            <m:sty m:val="p"/>
          </m:rPr>
          <m:t>=</m:t>
        </m:r>
        <m:r>
          <m:t>0.0038</m:t>
        </m:r>
      </m:oMath>
      <w:r>
        <w:t xml:space="preserve">, about 0.4% of rows, or 3,800 rows.</w:t>
      </w:r>
    </w:p>
    <w:p>
      <w:pPr>
        <w:pStyle w:val="CalloutExample"/>
      </w:pPr>
      <w:r>
        <w:rPr>
          <w:bCs/>
          <w:b/>
        </w:rPr>
        <w:t xml:space="preserve">Interpretation.</w:t>
      </w:r>
      <w:r>
        <w:t xml:space="preserve"> </w:t>
      </w:r>
      <w:r>
        <w:t xml:space="preserve">A query matching 10 rows uses the index; one matching 50% of rows (</w:t>
      </w:r>
      <w:r>
        <w:rPr>
          <w:rStyle w:val="VerbatimChar"/>
        </w:rPr>
        <w:t xml:space="preserve">customer_id &gt; 50000</w:t>
      </w:r>
      <w:r>
        <w:t xml:space="preserve"> </w:t>
      </w:r>
      <w:r>
        <w:t xml:space="preserve">in §11.10) is planned as a sequential scan, which is exactly what PostgreSQL chose.</w:t>
      </w:r>
      <w:r>
        <w:t xml:space="preserve"> </w:t>
      </w:r>
      <w:r>
        <w:rPr>
          <w:bCs/>
          <w:b/>
        </w:rPr>
        <w:t xml:space="preserve">Engineering implication.</w:t>
      </w:r>
      <w:r>
        <w:t xml:space="preserve"> </w:t>
      </w:r>
      <w:r>
        <w:t xml:space="preserve">Indexes serve</w:t>
      </w:r>
      <w:r>
        <w:t xml:space="preserve"> </w:t>
      </w:r>
      <w:r>
        <w:rPr>
          <w:iCs/>
          <w:i/>
        </w:rPr>
        <w:t xml:space="preserve">selective</w:t>
      </w:r>
      <w:r>
        <w:t xml:space="preserve"> </w:t>
      </w:r>
      <w:r>
        <w:t xml:space="preserve">predicates. PostgreSQL softens the cliff with</w:t>
      </w:r>
      <w:r>
        <w:t xml:space="preserve"> </w:t>
      </w:r>
      <w:r>
        <w:rPr>
          <w:bCs/>
          <w:b/>
        </w:rPr>
        <w:t xml:space="preserve">bitmap scans</w:t>
      </w:r>
      <w:r>
        <w:t xml:space="preserve">, which collect matching TIDs, sort them by page and read each heap page once; and correlation statistics lower the estimated cost when the table is physically ordered by the indexed column. On SSDs, many teams lower</w:t>
      </w:r>
      <w:r>
        <w:t xml:space="preserve"> </w:t>
      </w:r>
      <w:r>
        <w:rPr>
          <w:rStyle w:val="VerbatimChar"/>
        </w:rPr>
        <w:t xml:space="preserve">random_page_cost</w:t>
      </w:r>
      <w:r>
        <w:t xml:space="preserve"> </w:t>
      </w:r>
      <w:r>
        <w:t xml:space="preserve">to about 1.1–2 because random and sequential reads cost nearly the same.</w:t>
      </w:r>
    </w:p>
    <w:p>
      <w:pPr>
        <w:pStyle w:val="BodyText"/>
      </w:pPr>
      <w:r>
        <w:rPr>
          <w:bCs/>
          <w:b/>
        </w:rPr>
        <w:t xml:space="preserve">Table 11.5 — Index variants.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Variant</w:t>
            </w:r>
          </w:p>
        </w:tc>
        <w:tc>
          <w:tcPr/>
          <w:p>
            <w:pPr>
              <w:pStyle w:val="Compact"/>
              <w:jc w:val="left"/>
            </w:pPr>
            <w:r>
              <w:t xml:space="preserve">What it stores</w:t>
            </w:r>
          </w:p>
        </w:tc>
        <w:tc>
          <w:tcPr/>
          <w:p>
            <w:pPr>
              <w:pStyle w:val="Compact"/>
              <w:jc w:val="left"/>
            </w:pPr>
            <w:r>
              <w:t xml:space="preserve">Speeds up</w:t>
            </w:r>
          </w:p>
        </w:tc>
        <w:tc>
          <w:tcPr/>
          <w:p>
            <w:pPr>
              <w:pStyle w:val="Compact"/>
              <w:jc w:val="left"/>
            </w:pPr>
            <w:r>
              <w:t xml:space="preserve">Costs</w:t>
            </w:r>
          </w:p>
        </w:tc>
        <w:tc>
          <w:tcPr/>
          <w:p>
            <w:pPr>
              <w:pStyle w:val="Compact"/>
              <w:jc w:val="left"/>
            </w:pPr>
            <w:r>
              <w:t xml:space="preserve">Engine support</w:t>
            </w:r>
          </w:p>
        </w:tc>
      </w:tr>
      <w:tr>
        <w:tc>
          <w:tcPr/>
          <w:p>
            <w:pPr>
              <w:pStyle w:val="Compact"/>
              <w:jc w:val="left"/>
            </w:pPr>
            <w:r>
              <w:t xml:space="preserve">Clustered (primary)</w:t>
            </w:r>
          </w:p>
        </w:tc>
        <w:tc>
          <w:tcPr/>
          <w:p>
            <w:pPr>
              <w:pStyle w:val="Compact"/>
              <w:jc w:val="left"/>
            </w:pPr>
            <w:r>
              <w:t xml:space="preserve">Full rows in key order</w:t>
            </w:r>
          </w:p>
        </w:tc>
        <w:tc>
          <w:tcPr/>
          <w:p>
            <w:pPr>
              <w:pStyle w:val="Compact"/>
              <w:jc w:val="left"/>
            </w:pPr>
            <w:r>
              <w:t xml:space="preserve">PK lookups and PK range scans</w:t>
            </w:r>
          </w:p>
        </w:tc>
        <w:tc>
          <w:tcPr/>
          <w:p>
            <w:pPr>
              <w:pStyle w:val="Compact"/>
              <w:jc w:val="left"/>
            </w:pPr>
            <w:r>
              <w:t xml:space="preserve">Wide secondary indexes (InnoDB)</w:t>
            </w:r>
          </w:p>
        </w:tc>
        <w:tc>
          <w:tcPr/>
          <w:p>
            <w:pPr>
              <w:pStyle w:val="Compact"/>
              <w:jc w:val="left"/>
            </w:pPr>
            <w:r>
              <w:t xml:space="preserve">InnoDB, SQL Server, SQLite rowid tables</w:t>
            </w:r>
          </w:p>
        </w:tc>
      </w:tr>
      <w:tr>
        <w:tc>
          <w:tcPr/>
          <w:p>
            <w:pPr>
              <w:pStyle w:val="Compact"/>
              <w:jc w:val="left"/>
            </w:pPr>
            <w:r>
              <w:t xml:space="preserve">Secondary</w:t>
            </w:r>
          </w:p>
        </w:tc>
        <w:tc>
          <w:tcPr/>
          <w:p>
            <w:pPr>
              <w:pStyle w:val="Compact"/>
              <w:jc w:val="left"/>
            </w:pPr>
            <w:r>
              <w:t xml:space="preserve">Key + row pointer (TID or PK)</w:t>
            </w:r>
          </w:p>
        </w:tc>
        <w:tc>
          <w:tcPr/>
          <w:p>
            <w:pPr>
              <w:pStyle w:val="Compact"/>
              <w:jc w:val="left"/>
            </w:pPr>
            <w:r>
              <w:t xml:space="preserve">Selective lookups on other columns</w:t>
            </w:r>
          </w:p>
        </w:tc>
        <w:tc>
          <w:tcPr/>
          <w:p>
            <w:pPr>
              <w:pStyle w:val="Compact"/>
              <w:jc w:val="left"/>
            </w:pPr>
            <w:r>
              <w:t xml:space="preserve">One extra structure to update per write</w:t>
            </w:r>
          </w:p>
        </w:tc>
        <w:tc>
          <w:tcPr/>
          <w:p>
            <w:pPr>
              <w:pStyle w:val="Compact"/>
              <w:jc w:val="left"/>
            </w:pPr>
            <w:r>
              <w:t xml:space="preserve">All</w:t>
            </w:r>
          </w:p>
        </w:tc>
      </w:tr>
      <w:tr>
        <w:tc>
          <w:tcPr/>
          <w:p>
            <w:pPr>
              <w:pStyle w:val="Compact"/>
              <w:jc w:val="left"/>
            </w:pPr>
            <w:r>
              <w:t xml:space="preserve">Composite</w:t>
            </w:r>
          </w:p>
        </w:tc>
        <w:tc>
          <w:tcPr/>
          <w:p>
            <w:pPr>
              <w:pStyle w:val="Compact"/>
              <w:jc w:val="left"/>
            </w:pPr>
            <w:r>
              <w:t xml:space="preserve">Several columns, lexicographic order</w:t>
            </w:r>
          </w:p>
        </w:tc>
        <w:tc>
          <w:tcPr/>
          <w:p>
            <w:pPr>
              <w:pStyle w:val="Compact"/>
              <w:jc w:val="left"/>
            </w:pPr>
            <w:r>
              <w:t xml:space="preserve">Prefix equality + range/sort</w:t>
            </w:r>
          </w:p>
        </w:tc>
        <w:tc>
          <w:tcPr/>
          <w:p>
            <w:pPr>
              <w:pStyle w:val="Compact"/>
              <w:jc w:val="left"/>
            </w:pPr>
            <w:r>
              <w:t xml:space="preserve">Useless without the leading column</w:t>
            </w:r>
          </w:p>
        </w:tc>
        <w:tc>
          <w:tcPr/>
          <w:p>
            <w:pPr>
              <w:pStyle w:val="Compact"/>
              <w:jc w:val="left"/>
            </w:pPr>
            <w:r>
              <w:t xml:space="preserve">All</w:t>
            </w:r>
          </w:p>
        </w:tc>
      </w:tr>
      <w:tr>
        <w:tc>
          <w:tcPr/>
          <w:p>
            <w:pPr>
              <w:pStyle w:val="Compact"/>
              <w:jc w:val="left"/>
            </w:pPr>
            <w:r>
              <w:t xml:space="preserve">Covering /</w:t>
            </w:r>
            <w:r>
              <w:t xml:space="preserve"> </w:t>
            </w:r>
            <w:r>
              <w:rPr>
                <w:rStyle w:val="VerbatimChar"/>
              </w:rPr>
              <w:t xml:space="preserve">INCLUDE</w:t>
            </w:r>
          </w:p>
        </w:tc>
        <w:tc>
          <w:tcPr/>
          <w:p>
            <w:pPr>
              <w:pStyle w:val="Compact"/>
              <w:jc w:val="left"/>
            </w:pPr>
            <w:r>
              <w:t xml:space="preserve">Extra payload columns</w:t>
            </w:r>
          </w:p>
        </w:tc>
        <w:tc>
          <w:tcPr/>
          <w:p>
            <w:pPr>
              <w:pStyle w:val="Compact"/>
              <w:jc w:val="left"/>
            </w:pPr>
            <w:r>
              <w:t xml:space="preserve">Index-only scans</w:t>
            </w:r>
          </w:p>
        </w:tc>
        <w:tc>
          <w:tcPr/>
          <w:p>
            <w:pPr>
              <w:pStyle w:val="Compact"/>
              <w:jc w:val="left"/>
            </w:pPr>
            <w:r>
              <w:t xml:space="preserve">Larger index</w:t>
            </w:r>
          </w:p>
        </w:tc>
        <w:tc>
          <w:tcPr/>
          <w:p>
            <w:pPr>
              <w:pStyle w:val="Compact"/>
              <w:jc w:val="left"/>
            </w:pPr>
            <w:r>
              <w:t xml:space="preserve">PostgreSQL 11+, SQL Server; InnoDB via PK</w:t>
            </w:r>
          </w:p>
        </w:tc>
      </w:tr>
      <w:tr>
        <w:tc>
          <w:tcPr/>
          <w:p>
            <w:pPr>
              <w:pStyle w:val="Compact"/>
              <w:jc w:val="left"/>
            </w:pPr>
            <w:r>
              <w:t xml:space="preserve">Partial</w:t>
            </w:r>
          </w:p>
        </w:tc>
        <w:tc>
          <w:tcPr/>
          <w:p>
            <w:pPr>
              <w:pStyle w:val="Compact"/>
              <w:jc w:val="left"/>
            </w:pPr>
            <w:r>
              <w:t xml:space="preserve">Only rows matching a predicate</w:t>
            </w:r>
          </w:p>
        </w:tc>
        <w:tc>
          <w:tcPr/>
          <w:p>
            <w:pPr>
              <w:pStyle w:val="Compact"/>
              <w:jc w:val="left"/>
            </w:pPr>
            <w:r>
              <w:t xml:space="preserve">Queries on a small, hot subset</w:t>
            </w:r>
          </w:p>
        </w:tc>
        <w:tc>
          <w:tcPr/>
          <w:p>
            <w:pPr>
              <w:pStyle w:val="Compact"/>
              <w:jc w:val="left"/>
            </w:pPr>
            <w:r>
              <w:t xml:space="preserve">Query must imply the predicate</w:t>
            </w:r>
          </w:p>
        </w:tc>
        <w:tc>
          <w:tcPr/>
          <w:p>
            <w:pPr>
              <w:pStyle w:val="Compact"/>
              <w:jc w:val="left"/>
            </w:pPr>
            <w:r>
              <w:t xml:space="preserve">PostgreSQL, SQLite (not MySQL)</w:t>
            </w:r>
          </w:p>
        </w:tc>
      </w:tr>
      <w:tr>
        <w:tc>
          <w:tcPr/>
          <w:p>
            <w:pPr>
              <w:pStyle w:val="Compact"/>
              <w:jc w:val="left"/>
            </w:pPr>
            <w:r>
              <w:t xml:space="preserve">Expression / functional</w:t>
            </w:r>
          </w:p>
        </w:tc>
        <w:tc>
          <w:tcPr/>
          <w:p>
            <w:pPr>
              <w:pStyle w:val="Compact"/>
              <w:jc w:val="left"/>
            </w:pPr>
            <w:r>
              <w:t xml:space="preserve">Computed values</w:t>
            </w:r>
          </w:p>
        </w:tc>
        <w:tc>
          <w:tcPr/>
          <w:p>
            <w:pPr>
              <w:pStyle w:val="Compact"/>
              <w:jc w:val="left"/>
            </w:pPr>
            <w:r>
              <w:t xml:space="preserve">Queries on the same expression</w:t>
            </w:r>
          </w:p>
        </w:tc>
        <w:tc>
          <w:tcPr/>
          <w:p>
            <w:pPr>
              <w:pStyle w:val="Compact"/>
              <w:jc w:val="left"/>
            </w:pPr>
            <w:r>
              <w:t xml:space="preserve">Expression evaluated on write</w:t>
            </w:r>
          </w:p>
        </w:tc>
        <w:tc>
          <w:tcPr/>
          <w:p>
            <w:pPr>
              <w:pStyle w:val="Compact"/>
              <w:jc w:val="left"/>
            </w:pPr>
            <w:r>
              <w:t xml:space="preserve">PostgreSQL, MySQL 8.0.13+, SQLite</w:t>
            </w:r>
          </w:p>
        </w:tc>
      </w:tr>
    </w:tbl>
    <w:p>
      <w:pPr>
        <w:pStyle w:val="CalloutMistake"/>
      </w:pPr>
      <w:r>
        <w:rPr>
          <w:bCs/>
          <w:b/>
        </w:rPr>
        <w:t xml:space="preserve">COMMON MISTAKE</w:t>
      </w:r>
    </w:p>
    <w:p>
      <w:pPr>
        <w:pStyle w:val="CalloutMistake"/>
      </w:pPr>
      <w:r>
        <w:rPr>
          <w:bCs/>
          <w:b/>
        </w:rPr>
        <w:t xml:space="preserve">Mistake —</w:t>
      </w:r>
      <w:r>
        <w:rPr>
          <w:bCs/>
          <w:b/>
        </w:rPr>
        <w:t xml:space="preserve"> </w:t>
      </w:r>
      <w:r>
        <w:rPr>
          <w:bCs/>
          <w:b/>
        </w:rPr>
        <w:t xml:space="preserve">“</w:t>
      </w:r>
      <w:r>
        <w:rPr>
          <w:bCs/>
          <w:b/>
        </w:rPr>
        <w:t xml:space="preserve">Add an index on every column to be safe.</w:t>
      </w:r>
      <w:r>
        <w:rPr>
          <w:bCs/>
          <w:b/>
        </w:rPr>
        <w:t xml:space="preserve">”</w:t>
      </w:r>
      <w:r>
        <w:t xml:space="preserve"> </w:t>
      </w:r>
      <w:r>
        <w:t xml:space="preserve">A table with eight indexes turns one row insert into nine B+ tree insertions, inflates storage and the buffer pool’s working set, and in PostgreSQL prevents heap-only-tuple updates of indexed columns (§11.14). Index the queries you run; drop indexes whose</w:t>
      </w:r>
      <w:r>
        <w:t xml:space="preserve"> </w:t>
      </w:r>
      <w:r>
        <w:rPr>
          <w:rStyle w:val="VerbatimChar"/>
        </w:rPr>
        <w:t xml:space="preserve">pg_stat_user_indexes.idx_scan</w:t>
      </w:r>
      <w:r>
        <w:t xml:space="preserve"> </w:t>
      </w:r>
      <w:r>
        <w:t xml:space="preserve">stays at zero.</w:t>
      </w:r>
    </w:p>
    <w:p>
      <w:pPr>
        <w:pStyle w:val="CalloutMistake"/>
      </w:pPr>
      <w:r>
        <w:rPr>
          <w:bCs/>
          <w:b/>
        </w:rPr>
        <w:t xml:space="preserve">COMMON MISTAKE</w:t>
      </w:r>
    </w:p>
    <w:p>
      <w:pPr>
        <w:pStyle w:val="CalloutMistake"/>
      </w:pPr>
      <w:r>
        <w:rPr>
          <w:bCs/>
          <w:b/>
        </w:rPr>
        <w:t xml:space="preserve">Mistake — Wrapping the indexed column in a function.</w:t>
      </w:r>
      <w:r>
        <w:t xml:space="preserve"> </w:t>
      </w:r>
      <w:r>
        <w:rPr>
          <w:rStyle w:val="VerbatimChar"/>
        </w:rPr>
        <w:t xml:space="preserve">WHERE date(created_at) = '2026-10-30'</w:t>
      </w:r>
      <w:r>
        <w:t xml:space="preserve"> </w:t>
      </w:r>
      <w:r>
        <w:t xml:space="preserve">cannot use an index on</w:t>
      </w:r>
      <w:r>
        <w:t xml:space="preserve"> </w:t>
      </w:r>
      <w:r>
        <w:rPr>
          <w:rStyle w:val="VerbatimChar"/>
        </w:rPr>
        <w:t xml:space="preserve">created_at</w:t>
      </w:r>
      <w:r>
        <w:t xml:space="preserve">, because the index is sorted by</w:t>
      </w:r>
      <w:r>
        <w:t xml:space="preserve"> </w:t>
      </w:r>
      <w:r>
        <w:rPr>
          <w:rStyle w:val="VerbatimChar"/>
        </w:rPr>
        <w:t xml:space="preserve">created_at</w:t>
      </w:r>
      <w:r>
        <w:t xml:space="preserve">, not by</w:t>
      </w:r>
      <w:r>
        <w:t xml:space="preserve"> </w:t>
      </w:r>
      <w:r>
        <w:rPr>
          <w:rStyle w:val="VerbatimChar"/>
        </w:rPr>
        <w:t xml:space="preserve">date(created_at)</w:t>
      </w:r>
      <w:r>
        <w:t xml:space="preserve">. Rewrite as a range:</w:t>
      </w:r>
      <w:r>
        <w:t xml:space="preserve"> </w:t>
      </w:r>
      <w:r>
        <w:rPr>
          <w:rStyle w:val="VerbatimChar"/>
        </w:rPr>
        <w:t xml:space="preserve">WHERE created_at &gt;= '2026-10-30' AND created_at &lt; '2026-10-31'</w:t>
      </w:r>
      <w:r>
        <w:t xml:space="preserve">. The same applies to implicit type casts, such as comparing a text column with a number in MySQL.</w:t>
      </w:r>
    </w:p>
    <w:bookmarkEnd w:id="1228"/>
    <w:bookmarkEnd w:id="1229"/>
    <w:bookmarkEnd w:id="1230"/>
    <w:bookmarkStart w:id="1238" w:name="b-trees-and-b-trees"/>
    <w:p>
      <w:pPr>
        <w:pStyle w:val="Heading2"/>
      </w:pPr>
      <w:r>
        <w:t xml:space="preserve">11.8 B-trees and B+ trees</w:t>
      </w:r>
    </w:p>
    <w:bookmarkStart w:id="1236" w:name="structure-and-operations"/>
    <w:p>
      <w:pPr>
        <w:pStyle w:val="Heading3"/>
      </w:pPr>
      <w:r>
        <w:t xml:space="preserve">11.8.1 Structure and operations</w:t>
      </w:r>
    </w:p>
    <w:p>
      <w:pPr>
        <w:pStyle w:val="CalloutDefinition"/>
      </w:pPr>
      <w:r>
        <w:rPr>
          <w:bCs/>
          <w:b/>
        </w:rPr>
        <w:t xml:space="preserve">DEFINITION</w:t>
      </w:r>
    </w:p>
    <w:p>
      <w:pPr>
        <w:pStyle w:val="CalloutDefinition"/>
      </w:pPr>
      <w:r>
        <w:rPr>
          <w:bCs/>
          <w:b/>
        </w:rPr>
        <w:t xml:space="preserve">Definition — B-tree and B+ tree.</w:t>
      </w:r>
      <w:r>
        <w:t xml:space="preserve"> </w:t>
      </w:r>
      <w:r>
        <w:t xml:space="preserve">A</w:t>
      </w:r>
      <w:r>
        <w:t xml:space="preserve"> </w:t>
      </w:r>
      <w:r>
        <w:rPr>
          <w:bCs/>
          <w:b/>
        </w:rPr>
        <w:t xml:space="preserve">B-tree</w:t>
      </w:r>
      <w:r>
        <w:t xml:space="preserve"> </w:t>
      </w:r>
      <w:r>
        <w:t xml:space="preserve">is a balanced search tree whose nodes are disk pages holding many sorted keys; every leaf is at the same depth, and nodes split and merge to stay between half-full and full [Bayer and McCreight 1972]. A</w:t>
      </w:r>
      <w:r>
        <w:t xml:space="preserve"> </w:t>
      </w:r>
      <w:r>
        <w:rPr>
          <w:bCs/>
          <w:b/>
        </w:rPr>
        <w:t xml:space="preserve">B+ tree</w:t>
      </w:r>
      <w:r>
        <w:t xml:space="preserve"> </w:t>
      </w:r>
      <w:r>
        <w:t xml:space="preserve">is the variant used by almost every relational database: internal nodes hold only separator keys and child pointers, all keys and values (or row pointers) live in the leaves, and leaves are linked to their siblings so range scans can walk sideways [Comer 1979; Petrov 2019].</w:t>
      </w:r>
    </w:p>
    <w:bookmarkStart w:id="1231" w:name="why-does-this-exist-39"/>
    <w:p>
      <w:pPr>
        <w:pStyle w:val="Heading4"/>
      </w:pPr>
      <w:r>
        <w:t xml:space="preserve">Why does this exist?</w:t>
      </w:r>
    </w:p>
    <w:p>
      <w:pPr>
        <w:pStyle w:val="FirstParagraph"/>
      </w:pPr>
      <w:r>
        <w:t xml:space="preserve">A binary search tree needs about 30 levels for a billion keys (§4.4.2): 30 dependent disk reads. The B-tree makes each node one page holding hundreds of keys, so the tree is wide and shallow. Keeping values only in leaves (the B+ variant) makes internal nodes denser, so more of the tree fits in memory, and sibling links turn range predicates into a sequential walk.</w:t>
      </w:r>
    </w:p>
    <w:bookmarkEnd w:id="1231"/>
    <w:bookmarkStart w:id="1235" w:name="how-it-works-internally-41"/>
    <w:p>
      <w:pPr>
        <w:pStyle w:val="Heading4"/>
      </w:pPr>
      <w:r>
        <w:t xml:space="preserve">How it works internally</w:t>
      </w:r>
    </w:p>
    <w:p>
      <w:pPr>
        <w:numPr>
          <w:ilvl w:val="0"/>
          <w:numId w:val="1373"/>
        </w:numPr>
        <w:pStyle w:val="Compact"/>
      </w:pPr>
      <w:r>
        <w:rPr>
          <w:bCs/>
          <w:b/>
        </w:rPr>
        <w:t xml:space="preserve">Search.</w:t>
      </w:r>
      <w:r>
        <w:t xml:space="preserve"> </w:t>
      </w:r>
      <w:r>
        <w:t xml:space="preserve">Start at the root page. Binary-search its separator keys in memory to choose a child pointer. Repeat until a leaf; binary-search the leaf.</w:t>
      </w:r>
    </w:p>
    <w:p>
      <w:pPr>
        <w:numPr>
          <w:ilvl w:val="0"/>
          <w:numId w:val="1373"/>
        </w:numPr>
        <w:pStyle w:val="Compact"/>
      </w:pPr>
      <w:r>
        <w:rPr>
          <w:bCs/>
          <w:b/>
        </w:rPr>
        <w:t xml:space="preserve">Range scan.</w:t>
      </w:r>
      <w:r>
        <w:t xml:space="preserve"> </w:t>
      </w:r>
      <w:r>
        <w:t xml:space="preserve">Search for the lower bound, then follow leaf sibling links until the upper bound.</w:t>
      </w:r>
    </w:p>
    <w:p>
      <w:pPr>
        <w:numPr>
          <w:ilvl w:val="0"/>
          <w:numId w:val="1373"/>
        </w:numPr>
        <w:pStyle w:val="Compact"/>
      </w:pPr>
      <w:r>
        <w:rPr>
          <w:bCs/>
          <w:b/>
        </w:rPr>
        <w:t xml:space="preserve">Insert.</w:t>
      </w:r>
      <w:r>
        <w:t xml:space="preserve"> </w:t>
      </w:r>
      <w:r>
        <w:t xml:space="preserve">Search for the target leaf and insert the key in order. If the leaf overflows,</w:t>
      </w:r>
      <w:r>
        <w:t xml:space="preserve"> </w:t>
      </w:r>
      <w:r>
        <w:rPr>
          <w:bCs/>
          <w:b/>
        </w:rPr>
        <w:t xml:space="preserve">split</w:t>
      </w:r>
      <w:r>
        <w:t xml:space="preserve"> </w:t>
      </w:r>
      <w:r>
        <w:t xml:space="preserve">it into two half-full leaves and insert a separator key into the parent; if the parent overflows, split it too. A split of the root creates a new root, which is the only way the tree grows taller, so all leaves stay at the same depth.</w:t>
      </w:r>
    </w:p>
    <w:p>
      <w:pPr>
        <w:numPr>
          <w:ilvl w:val="0"/>
          <w:numId w:val="1373"/>
        </w:numPr>
        <w:pStyle w:val="Compact"/>
      </w:pPr>
      <w:r>
        <w:rPr>
          <w:bCs/>
          <w:b/>
        </w:rPr>
        <w:t xml:space="preserve">Delete.</w:t>
      </w:r>
      <w:r>
        <w:t xml:space="preserve"> </w:t>
      </w:r>
      <w:r>
        <w:t xml:space="preserve">Remove the key; if a node becomes too empty, borrow from or merge with a sibling (many engines merge lazily or not at all, leaving reclaimable space).</w:t>
      </w:r>
    </w:p>
    <w:p>
      <w:pPr>
        <w:numPr>
          <w:ilvl w:val="0"/>
          <w:numId w:val="1373"/>
        </w:numPr>
        <w:pStyle w:val="Compact"/>
      </w:pPr>
      <w:r>
        <w:rPr>
          <w:bCs/>
          <w:b/>
        </w:rPr>
        <w:t xml:space="preserve">Concurrency and crash safety.</w:t>
      </w:r>
      <w:r>
        <w:t xml:space="preserve"> </w:t>
      </w:r>
      <w:r>
        <w:t xml:space="preserve">Splits modify several pages, so engines latch pages briefly and log every change in the write-ahead log; PostgreSQL uses Lehman and Yao’s right-links so readers never block on a concurrent split [Lehman and Yao 1981]. Details are in §13.5–§13.6.</w:t>
      </w:r>
    </w:p>
    <w:p>
      <w:pPr>
        <w:pStyle w:val="FirstParagraph"/>
      </w:pPr>
      <w:r>
        <w:rPr>
          <w:bCs/>
          <w:b/>
        </w:rPr>
        <w:t xml:space="preserve">Figure 11.4 — A B+ tree on</w:t>
      </w:r>
      <w:r>
        <w:rPr>
          <w:bCs/>
          <w:b/>
        </w:rPr>
        <w:t xml:space="preserve"> </w:t>
      </w:r>
      <w:r>
        <w:rPr>
          <w:rStyle w:val="VerbatimChar"/>
          <w:bCs/>
          <w:b/>
        </w:rPr>
        <w:t xml:space="preserve">order_id</w:t>
      </w:r>
      <w:r>
        <w:rPr>
          <w:bCs/>
          <w:b/>
        </w:rPr>
        <w:t xml:space="preserve"> </w:t>
      </w:r>
      <w:r>
        <w:rPr>
          <w:bCs/>
          <w:b/>
        </w:rPr>
        <w:t xml:space="preserve">with three levels.</w:t>
      </w:r>
    </w:p>
    <w:p>
      <w:pPr>
        <w:pStyle w:val="BodyText"/>
      </w:pPr>
      <w:r>
        <w:drawing>
          <wp:inline>
            <wp:extent cx="5334000" cy="6500481"/>
            <wp:effectExtent b="0" l="0" r="0" t="0"/>
            <wp:docPr descr="" title="" id="1233" name="Picture"/>
            <a:graphic>
              <a:graphicData uri="http://schemas.openxmlformats.org/drawingml/2006/picture">
                <pic:pic>
                  <pic:nvPicPr>
                    <pic:cNvPr descr="/home/user/System-Design/build/.cache/diagrams/2d2f29b248fd.png" id="1234" name="Picture"/>
                    <pic:cNvPicPr>
                      <a:picLocks noChangeArrowheads="1" noChangeAspect="1"/>
                    </pic:cNvPicPr>
                  </pic:nvPicPr>
                  <pic:blipFill>
                    <a:blip r:embed="rId1232"/>
                    <a:stretch>
                      <a:fillRect/>
                    </a:stretch>
                  </pic:blipFill>
                  <pic:spPr bwMode="auto">
                    <a:xfrm>
                      <a:off x="0" y="0"/>
                      <a:ext cx="5334000" cy="6500481"/>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Each rectangle is one fixed-size page (8 KiB in PostgreSQL, 16 KiB in InnoDB). A search follows child pointers synchronously, one page per level: for</w:t>
      </w:r>
      <w:r>
        <w:t xml:space="preserve"> </w:t>
      </w:r>
      <w:r>
        <w:rPr>
          <w:rStyle w:val="VerbatimChar"/>
        </w:rPr>
        <w:t xml:space="preserve">order_id</w:t>
      </w:r>
      <w:r>
        <w:t xml:space="preserve"> </w:t>
      </w:r>
      <w:r>
        <w:t xml:space="preserve">180 the root goes left (180 &lt; 400) and the internal page picks the second leaf. The</w:t>
      </w:r>
      <w:r>
        <w:t xml:space="preserve"> </w:t>
      </w:r>
      <w:r>
        <w:t xml:space="preserve">“</w:t>
      </w:r>
      <w:r>
        <w:t xml:space="preserve">next leaf</w:t>
      </w:r>
      <w:r>
        <w:t xml:space="preserve">”</w:t>
      </w:r>
      <w:r>
        <w:t xml:space="preserve"> </w:t>
      </w:r>
      <w:r>
        <w:t xml:space="preserve">arrows are sibling links that range scans walk. The cylinder is the storage boundary below the leaves: a heap row (PostgreSQL) or the row itself (InnoDB clustered index). Failure points: a split changes several pages atomically, hence WAL logging (§13.5), and a cold cache makes every level an I/O. Scaling: multiplying the data by the fan-out adds one level.</w:t>
      </w:r>
    </w:p>
    <w:bookmarkEnd w:id="1235"/>
    <w:bookmarkEnd w:id="1236"/>
    <w:bookmarkStart w:id="1237" w:name="fan-out-height-and-ios-per-lookup"/>
    <w:p>
      <w:pPr>
        <w:pStyle w:val="Heading3"/>
      </w:pPr>
      <w:r>
        <w:t xml:space="preserve">11.8.2 Fan-out, height and I/Os per lookup</w:t>
      </w:r>
    </w:p>
    <w:p>
      <w:pPr>
        <w:pStyle w:val="FirstParagraph"/>
      </w:pPr>
      <w:r>
        <w:t xml:space="preserve">§4.4.3 derived</w:t>
      </w:r>
      <w:r>
        <w:t xml:space="preserve"> </w:t>
      </w:r>
      <m:oMath>
        <m:r>
          <m:t>h</m:t>
        </m:r>
        <m:r>
          <m:rPr>
            <m:sty m:val="p"/>
          </m:rPr>
          <m:t>=</m:t>
        </m:r>
        <m:r>
          <m:rPr>
            <m:sty m:val="p"/>
          </m:rPr>
          <m:t>⌈</m:t>
        </m:r>
        <m:sSub>
          <m:e>
            <m:r>
              <m:rPr>
                <m:sty m:val="p"/>
              </m:rPr>
              <m:t>log</m:t>
            </m:r>
          </m:e>
          <m:sub>
            <m:r>
              <m:t>f</m:t>
            </m:r>
          </m:sub>
        </m:sSub>
        <m:r>
          <m:t>n</m:t>
        </m:r>
        <m:r>
          <m:rPr>
            <m:sty m:val="p"/>
          </m:rPr>
          <m:t>⌉</m:t>
        </m:r>
      </m:oMath>
      <w:r>
        <w:t xml:space="preserve"> </w:t>
      </w:r>
      <w:r>
        <w:t xml:space="preserve">for a tree whose leaves hold one key each. In a real B+ tree each leaf holds</w:t>
      </w:r>
      <w:r>
        <w:t xml:space="preserve"> </w:t>
      </w:r>
      <m:oMath>
        <m:r>
          <m:t>L</m:t>
        </m:r>
      </m:oMath>
      <w:r>
        <w:t xml:space="preserve"> </w:t>
      </w:r>
      <w:r>
        <w:t xml:space="preserve">entries, so only the internal levels need the logarithm.</w:t>
      </w:r>
    </w:p>
    <w:p>
      <w:pPr>
        <w:pStyle w:val="CalloutFormula"/>
      </w:pPr>
      <w:r>
        <w:rPr>
          <w:bCs/>
          <w:b/>
        </w:rPr>
        <w:t xml:space="preserve">FORMULA</w:t>
      </w:r>
    </w:p>
    <w:p>
      <w:pPr>
        <w:pStyle w:val="CalloutFormula"/>
      </w:pPr>
      <w:r>
        <w:rPr>
          <w:bCs/>
          <w:b/>
        </w:rPr>
        <w:t xml:space="preserve">Height of a B+ tree with</w:t>
      </w:r>
      <w:r>
        <w:rPr>
          <w:bCs/>
          <w:b/>
        </w:rPr>
        <w:t xml:space="preserve"> </w:t>
      </w:r>
      <m:oMath>
        <m:r>
          <m:t>L</m:t>
        </m:r>
      </m:oMath>
      <w:r>
        <w:rPr>
          <w:bCs/>
          <w:b/>
        </w:rPr>
        <w:t xml:space="preserve"> </w:t>
      </w:r>
      <w:r>
        <w:rPr>
          <w:bCs/>
          <w:b/>
        </w:rPr>
        <w:t xml:space="preserve">entries per leaf</w:t>
      </w:r>
    </w:p>
    <w:p>
      <w:pPr>
        <w:pStyle w:val="CalloutFormula"/>
      </w:pPr>
      <m:oMathPara>
        <m:oMathParaPr>
          <m:jc m:val="center"/>
        </m:oMathParaPr>
        <m:oMath>
          <m:r>
            <m:t>h</m:t>
          </m:r>
          <m:r>
            <m:rPr>
              <m:sty m:val="p"/>
            </m:rPr>
            <m:t>=</m:t>
          </m:r>
          <m:r>
            <m:t>1</m:t>
          </m:r>
          <m:r>
            <m:rPr>
              <m:sty m:val="p"/>
            </m:rPr>
            <m:t>+</m:t>
          </m:r>
          <m:d>
            <m:dPr>
              <m:begChr m:val="⌈"/>
              <m:endChr m:val="⌉"/>
              <m:sepChr m:val=""/>
              <m:grow/>
            </m:dPr>
            <m:e>
              <m:sSub>
                <m:e>
                  <m:r>
                    <m:rPr>
                      <m:sty m:val="p"/>
                    </m:rPr>
                    <m:t>log</m:t>
                  </m:r>
                </m:e>
                <m:sub>
                  <m:r>
                    <m:t>f</m:t>
                  </m:r>
                </m:sub>
              </m:sSub>
              <m:d>
                <m:dPr>
                  <m:begChr m:val="⌈"/>
                  <m:endChr m:val="⌉"/>
                  <m:sepChr m:val=""/>
                  <m:grow/>
                </m:dPr>
                <m:e>
                  <m:f>
                    <m:fPr>
                      <m:type m:val="bar"/>
                    </m:fPr>
                    <m:num>
                      <m:r>
                        <m:t>n</m:t>
                      </m:r>
                    </m:num>
                    <m:den>
                      <m:r>
                        <m:t>L</m:t>
                      </m:r>
                    </m:den>
                  </m:f>
                </m:e>
              </m:d>
            </m:e>
          </m:d>
          <m:r>
            <m:rPr>
              <m:sty m:val="p"/>
            </m:rPr>
            <m:t>,</m:t>
          </m:r>
          <m:r>
            <m:t>  </m:t>
          </m:r>
          <m:r>
            <m:t>f</m:t>
          </m:r>
          <m:r>
            <m:rPr>
              <m:sty m:val="p"/>
            </m:rPr>
            <m:t>=</m:t>
          </m:r>
          <m:d>
            <m:dPr>
              <m:begChr m:val="⌊"/>
              <m:endChr m:val="⌋"/>
              <m:sepChr m:val=""/>
              <m:grow/>
            </m:dPr>
            <m:e>
              <m:f>
                <m:fPr>
                  <m:type m:val="bar"/>
                </m:fPr>
                <m:num>
                  <m:r>
                    <m:t>u</m:t>
                  </m:r>
                  <m:r>
                    <m:rPr>
                      <m:sty m:val="p"/>
                    </m:rPr>
                    <m:t>⋅</m:t>
                  </m:r>
                  <m:r>
                    <m:t>P</m:t>
                  </m:r>
                </m:num>
                <m:den>
                  <m:sSub>
                    <m:e>
                      <m:r>
                        <m:t>e</m:t>
                      </m:r>
                    </m:e>
                    <m:sub>
                      <m:r>
                        <m:rPr>
                          <m:nor/>
                          <m:sty m:val="p"/>
                        </m:rPr>
                        <m:t>int</m:t>
                      </m:r>
                    </m:sub>
                  </m:sSub>
                </m:den>
              </m:f>
            </m:e>
          </m:d>
          <m:r>
            <m:rPr>
              <m:sty m:val="p"/>
            </m:rPr>
            <m:t>,</m:t>
          </m:r>
          <m:r>
            <m:t>  </m:t>
          </m:r>
          <m:r>
            <m:t>L</m:t>
          </m:r>
          <m:r>
            <m:rPr>
              <m:sty m:val="p"/>
            </m:rPr>
            <m:t>=</m:t>
          </m:r>
          <m:d>
            <m:dPr>
              <m:begChr m:val="⌊"/>
              <m:endChr m:val="⌋"/>
              <m:sepChr m:val=""/>
              <m:grow/>
            </m:dPr>
            <m:e>
              <m:f>
                <m:fPr>
                  <m:type m:val="bar"/>
                </m:fPr>
                <m:num>
                  <m:r>
                    <m:t>u</m:t>
                  </m:r>
                  <m:r>
                    <m:rPr>
                      <m:sty m:val="p"/>
                    </m:rPr>
                    <m:t>⋅</m:t>
                  </m:r>
                  <m:r>
                    <m:t>P</m:t>
                  </m:r>
                </m:num>
                <m:den>
                  <m:sSub>
                    <m:e>
                      <m:r>
                        <m:t>e</m:t>
                      </m:r>
                    </m:e>
                    <m:sub>
                      <m:r>
                        <m:rPr>
                          <m:nor/>
                          <m:sty m:val="p"/>
                        </m:rPr>
                        <m:t>leaf</m:t>
                      </m:r>
                    </m:sub>
                  </m:sSub>
                </m:den>
              </m:f>
            </m:e>
          </m:d>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h</m:t>
              </m:r>
            </m:oMath>
          </w:p>
        </w:tc>
        <w:tc>
          <w:tcPr/>
          <w:p>
            <w:pPr>
              <w:pStyle w:val="Compact"/>
              <w:jc w:val="left"/>
            </w:pPr>
            <w:r>
              <w:t xml:space="preserve">Levels from root to leaf (page reads per lookup with a cold cache)</w:t>
            </w:r>
          </w:p>
        </w:tc>
        <w:tc>
          <w:tcPr/>
          <w:p>
            <w:pPr>
              <w:pStyle w:val="Compact"/>
              <w:jc w:val="left"/>
            </w:pPr>
            <w:r>
              <w:t xml:space="preserve">levels</w:t>
            </w:r>
          </w:p>
        </w:tc>
      </w:tr>
      <w:tr>
        <w:tc>
          <w:tcPr/>
          <w:p>
            <w:pPr>
              <w:pStyle w:val="Compact"/>
              <w:jc w:val="left"/>
            </w:pPr>
            <m:oMath>
              <m:r>
                <m:t>n</m:t>
              </m:r>
            </m:oMath>
          </w:p>
        </w:tc>
        <w:tc>
          <w:tcPr/>
          <w:p>
            <w:pPr>
              <w:pStyle w:val="Compact"/>
              <w:jc w:val="left"/>
            </w:pPr>
            <w:r>
              <w:t xml:space="preserve">Entries (rows) indexed</w:t>
            </w:r>
          </w:p>
        </w:tc>
        <w:tc>
          <w:tcPr/>
          <w:p>
            <w:pPr>
              <w:pStyle w:val="Compact"/>
              <w:jc w:val="left"/>
            </w:pPr>
            <w:r>
              <w:t xml:space="preserve">rows</w:t>
            </w:r>
          </w:p>
        </w:tc>
      </w:tr>
      <w:tr>
        <w:tc>
          <w:tcPr/>
          <w:p>
            <w:pPr>
              <w:pStyle w:val="Compact"/>
              <w:jc w:val="left"/>
            </w:pPr>
            <m:oMath>
              <m:r>
                <m:t>P</m:t>
              </m:r>
            </m:oMath>
          </w:p>
        </w:tc>
        <w:tc>
          <w:tcPr/>
          <w:p>
            <w:pPr>
              <w:pStyle w:val="Compact"/>
              <w:jc w:val="left"/>
            </w:pPr>
            <w:r>
              <w:t xml:space="preserve">Page size</w:t>
            </w:r>
          </w:p>
        </w:tc>
        <w:tc>
          <w:tcPr/>
          <w:p>
            <w:pPr>
              <w:pStyle w:val="Compact"/>
              <w:jc w:val="left"/>
            </w:pPr>
            <w:r>
              <w:t xml:space="preserve">bytes</w:t>
            </w:r>
          </w:p>
        </w:tc>
      </w:tr>
      <w:tr>
        <w:tc>
          <w:tcPr/>
          <w:p>
            <w:pPr>
              <w:pStyle w:val="Compact"/>
              <w:jc w:val="left"/>
            </w:pPr>
            <m:oMath>
              <m:r>
                <m:t>u</m:t>
              </m:r>
            </m:oMath>
          </w:p>
        </w:tc>
        <w:tc>
          <w:tcPr/>
          <w:p>
            <w:pPr>
              <w:pStyle w:val="Compact"/>
              <w:jc w:val="left"/>
            </w:pPr>
            <w:r>
              <w:t xml:space="preserve">Average fraction of each page holding entries (fill factor minus headers)</w:t>
            </w:r>
          </w:p>
        </w:tc>
        <w:tc>
          <w:tcPr/>
          <w:p>
            <w:pPr>
              <w:pStyle w:val="Compact"/>
              <w:jc w:val="left"/>
            </w:pPr>
            <w:r>
              <w:t xml:space="preserve">dimensionless</w:t>
            </w:r>
          </w:p>
        </w:tc>
      </w:tr>
      <w:tr>
        <w:tc>
          <w:tcPr/>
          <w:p>
            <w:pPr>
              <w:pStyle w:val="Compact"/>
              <w:jc w:val="left"/>
            </w:pPr>
            <m:oMath>
              <m:sSub>
                <m:e>
                  <m:r>
                    <m:t>e</m:t>
                  </m:r>
                </m:e>
                <m:sub>
                  <m:r>
                    <m:rPr>
                      <m:nor/>
                      <m:sty m:val="p"/>
                    </m:rPr>
                    <m:t>int</m:t>
                  </m:r>
                </m:sub>
              </m:sSub>
            </m:oMath>
          </w:p>
        </w:tc>
        <w:tc>
          <w:tcPr/>
          <w:p>
            <w:pPr>
              <w:pStyle w:val="Compact"/>
              <w:jc w:val="left"/>
            </w:pPr>
            <w:r>
              <w:t xml:space="preserve">Bytes per internal entry (separator key + child pointer + overhead)</w:t>
            </w:r>
          </w:p>
        </w:tc>
        <w:tc>
          <w:tcPr/>
          <w:p>
            <w:pPr>
              <w:pStyle w:val="Compact"/>
              <w:jc w:val="left"/>
            </w:pPr>
            <w:r>
              <w:t xml:space="preserve">bytes</w:t>
            </w:r>
          </w:p>
        </w:tc>
      </w:tr>
      <w:tr>
        <w:tc>
          <w:tcPr/>
          <w:p>
            <w:pPr>
              <w:pStyle w:val="Compact"/>
              <w:jc w:val="left"/>
            </w:pPr>
            <m:oMath>
              <m:sSub>
                <m:e>
                  <m:r>
                    <m:t>e</m:t>
                  </m:r>
                </m:e>
                <m:sub>
                  <m:r>
                    <m:rPr>
                      <m:nor/>
                      <m:sty m:val="p"/>
                    </m:rPr>
                    <m:t>leaf</m:t>
                  </m:r>
                </m:sub>
              </m:sSub>
            </m:oMath>
          </w:p>
        </w:tc>
        <w:tc>
          <w:tcPr/>
          <w:p>
            <w:pPr>
              <w:pStyle w:val="Compact"/>
              <w:jc w:val="left"/>
            </w:pPr>
            <w:r>
              <w:t xml:space="preserve">Bytes per leaf entry (full row for a clustered index; key + pointer for a secondary index)</w:t>
            </w:r>
          </w:p>
        </w:tc>
        <w:tc>
          <w:tcPr/>
          <w:p>
            <w:pPr>
              <w:pStyle w:val="Compact"/>
              <w:jc w:val="left"/>
            </w:pPr>
            <w:r>
              <w:t xml:space="preserve">bytes</w:t>
            </w:r>
          </w:p>
        </w:tc>
      </w:tr>
      <w:tr>
        <w:tc>
          <w:tcPr/>
          <w:p>
            <w:pPr>
              <w:pStyle w:val="Compact"/>
              <w:jc w:val="left"/>
            </w:pPr>
            <m:oMath>
              <m:r>
                <m:t>f</m:t>
              </m:r>
            </m:oMath>
          </w:p>
        </w:tc>
        <w:tc>
          <w:tcPr/>
          <w:p>
            <w:pPr>
              <w:pStyle w:val="Compact"/>
              <w:jc w:val="left"/>
            </w:pPr>
            <w:r>
              <w:t xml:space="preserve">Fan-out of internal pages</w:t>
            </w:r>
          </w:p>
        </w:tc>
        <w:tc>
          <w:tcPr/>
          <w:p>
            <w:pPr>
              <w:pStyle w:val="Compact"/>
              <w:jc w:val="left"/>
            </w:pPr>
            <w:r>
              <w:t xml:space="preserve">children/page</w:t>
            </w:r>
          </w:p>
        </w:tc>
      </w:tr>
      <w:tr>
        <w:tc>
          <w:tcPr/>
          <w:p>
            <w:pPr>
              <w:pStyle w:val="Compact"/>
              <w:jc w:val="left"/>
            </w:pPr>
            <m:oMath>
              <m:r>
                <m:t>L</m:t>
              </m:r>
            </m:oMath>
          </w:p>
        </w:tc>
        <w:tc>
          <w:tcPr/>
          <w:p>
            <w:pPr>
              <w:pStyle w:val="Compact"/>
              <w:jc w:val="left"/>
            </w:pPr>
            <w:r>
              <w:t xml:space="preserve">Entries per leaf page</w:t>
            </w:r>
          </w:p>
        </w:tc>
        <w:tc>
          <w:tcPr/>
          <w:p>
            <w:pPr>
              <w:pStyle w:val="Compact"/>
              <w:jc w:val="left"/>
            </w:pPr>
            <w:r>
              <w:t xml:space="preserve">entries/page</w:t>
            </w:r>
          </w:p>
        </w:tc>
      </w:tr>
    </w:tbl>
    <w:p>
      <w:pPr>
        <w:pStyle w:val="CalloutExample"/>
      </w:pPr>
      <w:r>
        <w:rPr>
          <w:bCs/>
          <w:b/>
        </w:rPr>
        <w:t xml:space="preserve">WORKED EXAMPLE</w:t>
      </w:r>
    </w:p>
    <w:p>
      <w:pPr>
        <w:pStyle w:val="CalloutExample"/>
      </w:pPr>
      <w:r>
        <w:rPr>
          <w:bCs/>
          <w:b/>
        </w:rPr>
        <w:t xml:space="preserve">Worked example — A billion-row</w:t>
      </w:r>
      <w:r>
        <w:rPr>
          <w:bCs/>
          <w:b/>
        </w:rPr>
        <w:t xml:space="preserve"> </w:t>
      </w:r>
      <w:r>
        <w:rPr>
          <w:rStyle w:val="VerbatimChar"/>
          <w:bCs/>
          <w:b/>
        </w:rPr>
        <w:t xml:space="preserve">orders</w:t>
      </w:r>
      <w:r>
        <w:rPr>
          <w:bCs/>
          <w:b/>
        </w:rPr>
        <w:t xml:space="preserve"> </w:t>
      </w:r>
      <w:r>
        <w:rPr>
          <w:bCs/>
          <w:b/>
        </w:rPr>
        <w:t xml:space="preserve">table in InnoDB with 16 KiB pages.</w:t>
      </w:r>
      <w:r>
        <w:t xml:space="preserve"> </w:t>
      </w:r>
      <w:r>
        <w:t xml:space="preserve">Assume</w:t>
      </w:r>
      <w:r>
        <w:t xml:space="preserve"> </w:t>
      </w:r>
      <m:oMath>
        <m:r>
          <m:t>u</m:t>
        </m:r>
        <m:r>
          <m:rPr>
            <m:sty m:val="p"/>
          </m:rPr>
          <m:t>=</m:t>
        </m:r>
        <m:r>
          <m:t>0.8</m:t>
        </m:r>
      </m:oMath>
      <w:r>
        <w:t xml:space="preserve">, a</w:t>
      </w:r>
      <w:r>
        <w:t xml:space="preserve"> </w:t>
      </w:r>
      <w:r>
        <w:rPr>
          <w:rStyle w:val="VerbatimChar"/>
        </w:rPr>
        <w:t xml:space="preserve">bigint</w:t>
      </w:r>
      <w:r>
        <w:t xml:space="preserve"> </w:t>
      </w:r>
      <w:r>
        <w:t xml:space="preserve">primary key with 16-byte internal entries (as in §4.4.3), and 200-byte rows.</w:t>
      </w:r>
    </w:p>
    <w:p>
      <w:pPr>
        <w:numPr>
          <w:ilvl w:val="0"/>
          <w:numId w:val="1374"/>
        </w:numPr>
        <w:pStyle w:val="Compact"/>
      </w:pPr>
      <w:r>
        <w:t xml:space="preserve">Usable bytes per page:</w:t>
      </w:r>
      <w:r>
        <w:t xml:space="preserve"> </w:t>
      </w:r>
      <m:oMath>
        <m:r>
          <m:t>0.8</m:t>
        </m:r>
        <m:r>
          <m:rPr>
            <m:sty m:val="p"/>
          </m:rPr>
          <m:t>×</m:t>
        </m:r>
        <m:r>
          <m:t>16</m:t>
        </m:r>
        <m:r>
          <m:rPr>
            <m:sty m:val="p"/>
          </m:rPr>
          <m:t>,</m:t>
        </m:r>
        <m:r>
          <m:t>384</m:t>
        </m:r>
        <m:r>
          <m:rPr>
            <m:sty m:val="p"/>
          </m:rPr>
          <m:t>=</m:t>
        </m:r>
        <m:r>
          <m:t>13</m:t>
        </m:r>
        <m:r>
          <m:rPr>
            <m:sty m:val="p"/>
          </m:rPr>
          <m:t>,</m:t>
        </m:r>
        <m:r>
          <m:t>107</m:t>
        </m:r>
      </m:oMath>
      <w:r>
        <w:t xml:space="preserve"> </w:t>
      </w:r>
      <w:r>
        <w:t xml:space="preserve">bytes.</w:t>
      </w:r>
    </w:p>
    <w:p>
      <w:pPr>
        <w:numPr>
          <w:ilvl w:val="0"/>
          <w:numId w:val="1374"/>
        </w:numPr>
        <w:pStyle w:val="Compact"/>
      </w:pPr>
      <w:r>
        <w:t xml:space="preserve">Fan-out:</w:t>
      </w:r>
      <w:r>
        <w:t xml:space="preserve"> </w:t>
      </w:r>
      <m:oMath>
        <m:r>
          <m:t>f</m:t>
        </m:r>
        <m:r>
          <m:rPr>
            <m:sty m:val="p"/>
          </m:rPr>
          <m:t>=</m:t>
        </m:r>
        <m:r>
          <m:rPr>
            <m:sty m:val="p"/>
          </m:rPr>
          <m:t>⌊</m:t>
        </m:r>
        <m:r>
          <m:t>13</m:t>
        </m:r>
        <m:r>
          <m:rPr>
            <m:sty m:val="p"/>
          </m:rPr>
          <m:t>,</m:t>
        </m:r>
        <m:r>
          <m:t>107</m:t>
        </m:r>
        <m:r>
          <m:rPr>
            <m:sty m:val="p"/>
          </m:rPr>
          <m:t>/</m:t>
        </m:r>
        <m:r>
          <m:t>16</m:t>
        </m:r>
        <m:r>
          <m:rPr>
            <m:sty m:val="p"/>
          </m:rPr>
          <m:t>⌋</m:t>
        </m:r>
        <m:r>
          <m:rPr>
            <m:sty m:val="p"/>
          </m:rPr>
          <m:t>=</m:t>
        </m:r>
        <m:r>
          <m:t>819</m:t>
        </m:r>
      </m:oMath>
      <w:r>
        <w:t xml:space="preserve">. Rows per leaf:</w:t>
      </w:r>
      <w:r>
        <w:t xml:space="preserve"> </w:t>
      </w:r>
      <m:oMath>
        <m:r>
          <m:t>L</m:t>
        </m:r>
        <m:r>
          <m:rPr>
            <m:sty m:val="p"/>
          </m:rPr>
          <m:t>=</m:t>
        </m:r>
        <m:r>
          <m:rPr>
            <m:sty m:val="p"/>
          </m:rPr>
          <m:t>⌊</m:t>
        </m:r>
        <m:r>
          <m:t>13</m:t>
        </m:r>
        <m:r>
          <m:rPr>
            <m:sty m:val="p"/>
          </m:rPr>
          <m:t>,</m:t>
        </m:r>
        <m:r>
          <m:t>107</m:t>
        </m:r>
        <m:r>
          <m:rPr>
            <m:sty m:val="p"/>
          </m:rPr>
          <m:t>/</m:t>
        </m:r>
        <m:r>
          <m:t>200</m:t>
        </m:r>
        <m:r>
          <m:rPr>
            <m:sty m:val="p"/>
          </m:rPr>
          <m:t>⌋</m:t>
        </m:r>
        <m:r>
          <m:rPr>
            <m:sty m:val="p"/>
          </m:rPr>
          <m:t>=</m:t>
        </m:r>
        <m:r>
          <m:t>65</m:t>
        </m:r>
      </m:oMath>
      <w:r>
        <w:t xml:space="preserve">.</w:t>
      </w:r>
    </w:p>
    <w:p>
      <w:pPr>
        <w:numPr>
          <w:ilvl w:val="0"/>
          <w:numId w:val="1374"/>
        </w:numPr>
        <w:pStyle w:val="Compact"/>
      </w:pPr>
      <w:r>
        <w:t xml:space="preserve">Leaf pages:</w:t>
      </w:r>
      <w:r>
        <w:t xml:space="preserve"> </w:t>
      </w:r>
      <m:oMath>
        <m:r>
          <m:rPr>
            <m:sty m:val="p"/>
          </m:rPr>
          <m:t>⌈</m:t>
        </m:r>
        <m:sSup>
          <m:e>
            <m:r>
              <m:t>10</m:t>
            </m:r>
          </m:e>
          <m:sup>
            <m:r>
              <m:t>9</m:t>
            </m:r>
          </m:sup>
        </m:sSup>
        <m:r>
          <m:rPr>
            <m:sty m:val="p"/>
          </m:rPr>
          <m:t>/</m:t>
        </m:r>
        <m:r>
          <m:t>65</m:t>
        </m:r>
        <m:r>
          <m:rPr>
            <m:sty m:val="p"/>
          </m:rPr>
          <m:t>⌉</m:t>
        </m:r>
        <m:r>
          <m:rPr>
            <m:sty m:val="p"/>
          </m:rPr>
          <m:t>=</m:t>
        </m:r>
        <m:r>
          <m:t>15</m:t>
        </m:r>
        <m:r>
          <m:rPr>
            <m:sty m:val="p"/>
          </m:rPr>
          <m:t>,</m:t>
        </m:r>
        <m:r>
          <m:t>384</m:t>
        </m:r>
        <m:r>
          <m:rPr>
            <m:sty m:val="p"/>
          </m:rPr>
          <m:t>,</m:t>
        </m:r>
        <m:r>
          <m:t>616</m:t>
        </m:r>
      </m:oMath>
      <w:r>
        <w:t xml:space="preserve"> </w:t>
      </w:r>
      <w:r>
        <w:t xml:space="preserve">(about 235 GiB of row data).</w:t>
      </w:r>
    </w:p>
    <w:p>
      <w:pPr>
        <w:numPr>
          <w:ilvl w:val="0"/>
          <w:numId w:val="1374"/>
        </w:numPr>
        <w:pStyle w:val="Compact"/>
      </w:pPr>
      <w:r>
        <w:t xml:space="preserve">Internal levels:</w:t>
      </w:r>
      <w:r>
        <w:t xml:space="preserve"> </w:t>
      </w:r>
      <m:oMath>
        <m:r>
          <m:rPr>
            <m:sty m:val="p"/>
          </m:rPr>
          <m:t>⌈</m:t>
        </m:r>
        <m:r>
          <m:t>15</m:t>
        </m:r>
        <m:r>
          <m:rPr>
            <m:sty m:val="p"/>
          </m:rPr>
          <m:t>,</m:t>
        </m:r>
        <m:r>
          <m:t>384</m:t>
        </m:r>
        <m:r>
          <m:rPr>
            <m:sty m:val="p"/>
          </m:rPr>
          <m:t>,</m:t>
        </m:r>
        <m:r>
          <m:t>616</m:t>
        </m:r>
        <m:r>
          <m:rPr>
            <m:sty m:val="p"/>
          </m:rPr>
          <m:t>/</m:t>
        </m:r>
        <m:r>
          <m:t>819</m:t>
        </m:r>
        <m:r>
          <m:rPr>
            <m:sty m:val="p"/>
          </m:rPr>
          <m:t>⌉</m:t>
        </m:r>
        <m:r>
          <m:rPr>
            <m:sty m:val="p"/>
          </m:rPr>
          <m:t>=</m:t>
        </m:r>
        <m:r>
          <m:t>18</m:t>
        </m:r>
        <m:r>
          <m:rPr>
            <m:sty m:val="p"/>
          </m:rPr>
          <m:t>,</m:t>
        </m:r>
        <m:r>
          <m:t>785</m:t>
        </m:r>
      </m:oMath>
      <w:r>
        <w:t xml:space="preserve"> </w:t>
      </w:r>
      <w:r>
        <w:t xml:space="preserve">pages, then</w:t>
      </w:r>
      <w:r>
        <w:t xml:space="preserve"> </w:t>
      </w:r>
      <m:oMath>
        <m:r>
          <m:rPr>
            <m:sty m:val="p"/>
          </m:rPr>
          <m:t>⌈</m:t>
        </m:r>
        <m:r>
          <m:t>18</m:t>
        </m:r>
        <m:r>
          <m:rPr>
            <m:sty m:val="p"/>
          </m:rPr>
          <m:t>,</m:t>
        </m:r>
        <m:r>
          <m:t>785</m:t>
        </m:r>
        <m:r>
          <m:rPr>
            <m:sty m:val="p"/>
          </m:rPr>
          <m:t>/</m:t>
        </m:r>
        <m:r>
          <m:t>819</m:t>
        </m:r>
        <m:r>
          <m:rPr>
            <m:sty m:val="p"/>
          </m:rPr>
          <m:t>⌉</m:t>
        </m:r>
        <m:r>
          <m:rPr>
            <m:sty m:val="p"/>
          </m:rPr>
          <m:t>=</m:t>
        </m:r>
        <m:r>
          <m:t>23</m:t>
        </m:r>
      </m:oMath>
      <w:r>
        <w:t xml:space="preserve">, then 1 root. Check with the formula:</w:t>
      </w:r>
      <w:r>
        <w:t xml:space="preserve"> </w:t>
      </w:r>
      <m:oMath>
        <m:sSub>
          <m:e>
            <m:r>
              <m:rPr>
                <m:sty m:val="p"/>
              </m:rPr>
              <m:t>log</m:t>
            </m:r>
          </m:e>
          <m:sub>
            <m:r>
              <m:t>819</m:t>
            </m:r>
          </m:sub>
        </m:sSub>
        <m:d>
          <m:dPr>
            <m:begChr m:val="("/>
            <m:endChr m:val=")"/>
            <m:sepChr m:val=""/>
            <m:grow/>
          </m:dPr>
          <m:e>
            <m:r>
              <m:t>15</m:t>
            </m:r>
            <m:r>
              <m:rPr>
                <m:sty m:val="p"/>
              </m:rPr>
              <m:t>,</m:t>
            </m:r>
            <m:r>
              <m:t>384</m:t>
            </m:r>
            <m:r>
              <m:rPr>
                <m:sty m:val="p"/>
              </m:rPr>
              <m:t>,</m:t>
            </m:r>
            <m:r>
              <m:t>616</m:t>
            </m:r>
          </m:e>
        </m:d>
        <m:r>
          <m:rPr>
            <m:sty m:val="p"/>
          </m:rPr>
          <m:t>=</m:t>
        </m:r>
        <m:r>
          <m:t>16.55</m:t>
        </m:r>
        <m:r>
          <m:rPr>
            <m:sty m:val="p"/>
          </m:rPr>
          <m:t>/</m:t>
        </m:r>
        <m:r>
          <m:t>6.71</m:t>
        </m:r>
        <m:r>
          <m:rPr>
            <m:sty m:val="p"/>
          </m:rPr>
          <m:t>=</m:t>
        </m:r>
        <m:r>
          <m:t>2.47</m:t>
        </m:r>
      </m:oMath>
      <w:r>
        <w:t xml:space="preserve">, rounded up to 3, plus the leaf level:</w:t>
      </w:r>
      <w:r>
        <w:t xml:space="preserve"> </w:t>
      </w:r>
      <m:oMath>
        <m:r>
          <m:t>h</m:t>
        </m:r>
        <m:r>
          <m:rPr>
            <m:sty m:val="p"/>
          </m:rPr>
          <m:t>=</m:t>
        </m:r>
        <m:r>
          <m:t>4</m:t>
        </m:r>
      </m:oMath>
      <w:r>
        <w:t xml:space="preserve">.</w:t>
      </w:r>
    </w:p>
    <w:p>
      <w:pPr>
        <w:numPr>
          <w:ilvl w:val="0"/>
          <w:numId w:val="1374"/>
        </w:numPr>
        <w:pStyle w:val="Compact"/>
      </w:pPr>
      <w:r>
        <w:t xml:space="preserve">Memory for all internal pages:</w:t>
      </w:r>
      <w:r>
        <w:t xml:space="preserve"> </w:t>
      </w:r>
      <m:oMath>
        <m:d>
          <m:dPr>
            <m:begChr m:val="("/>
            <m:endChr m:val=")"/>
            <m:sepChr m:val=""/>
            <m:grow/>
          </m:dPr>
          <m:e>
            <m:r>
              <m:t>1</m:t>
            </m:r>
            <m:r>
              <m:rPr>
                <m:sty m:val="p"/>
              </m:rPr>
              <m:t>+</m:t>
            </m:r>
            <m:r>
              <m:t>23</m:t>
            </m:r>
            <m:r>
              <m:rPr>
                <m:sty m:val="p"/>
              </m:rPr>
              <m:t>+</m:t>
            </m:r>
            <m:r>
              <m:t>18</m:t>
            </m:r>
            <m:r>
              <m:rPr>
                <m:sty m:val="p"/>
              </m:rPr>
              <m:t>,</m:t>
            </m:r>
            <m:r>
              <m:t>785</m:t>
            </m:r>
          </m:e>
        </m:d>
        <m:r>
          <m:rPr>
            <m:sty m:val="p"/>
          </m:rPr>
          <m:t>×</m:t>
        </m:r>
        <m:r>
          <m:t>16</m:t>
        </m:r>
      </m:oMath>
      <w:r>
        <w:t xml:space="preserve"> </w:t>
      </w:r>
      <w:r>
        <w:t xml:space="preserve">KiB</w:t>
      </w:r>
      <w:r>
        <w:t xml:space="preserve"> </w:t>
      </w:r>
      <m:oMath>
        <m:r>
          <m:rPr>
            <m:sty m:val="p"/>
          </m:rPr>
          <m:t>=</m:t>
        </m:r>
        <m:r>
          <m:t>18</m:t>
        </m:r>
        <m:r>
          <m:rPr>
            <m:sty m:val="p"/>
          </m:rPr>
          <m:t>,</m:t>
        </m:r>
        <m:r>
          <m:t>809</m:t>
        </m:r>
        <m:r>
          <m:rPr>
            <m:sty m:val="p"/>
          </m:rPr>
          <m:t>×</m:t>
        </m:r>
        <m:r>
          <m:t>16</m:t>
        </m:r>
      </m:oMath>
      <w:r>
        <w:t xml:space="preserve"> </w:t>
      </w:r>
      <w:r>
        <w:t xml:space="preserve">KiB</w:t>
      </w:r>
      <w:r>
        <w:t xml:space="preserve"> </w:t>
      </w:r>
      <m:oMath>
        <m:r>
          <m:rPr>
            <m:sty m:val="p"/>
          </m:rPr>
          <m:t>≈</m:t>
        </m:r>
        <m:r>
          <m:t>294</m:t>
        </m:r>
      </m:oMath>
      <w:r>
        <w:t xml:space="preserve"> </w:t>
      </w:r>
      <w:r>
        <w:t xml:space="preserve">MiB.</w:t>
      </w:r>
    </w:p>
    <w:p>
      <w:pPr>
        <w:numPr>
          <w:ilvl w:val="0"/>
          <w:numId w:val="1374"/>
        </w:numPr>
        <w:pStyle w:val="Compact"/>
      </w:pPr>
      <w:r>
        <w:t xml:space="preserve">A secondary index on</w:t>
      </w:r>
      <w:r>
        <w:t xml:space="preserve"> </w:t>
      </w:r>
      <w:r>
        <w:rPr>
          <w:rStyle w:val="VerbatimChar"/>
        </w:rPr>
        <w:t xml:space="preserve">customer_id</w:t>
      </w:r>
      <w:r>
        <w:t xml:space="preserve"> </w:t>
      </w:r>
      <w:r>
        <w:t xml:space="preserve">(8-byte key + 8-byte primary key per leaf entry,</w:t>
      </w:r>
      <w:r>
        <w:t xml:space="preserve"> </w:t>
      </w:r>
      <m:oMath>
        <m:r>
          <m:t>L</m:t>
        </m:r>
        <m:r>
          <m:rPr>
            <m:sty m:val="p"/>
          </m:rPr>
          <m:t>=</m:t>
        </m:r>
        <m:r>
          <m:t>819</m:t>
        </m:r>
      </m:oMath>
      <w:r>
        <w:t xml:space="preserve">) has</w:t>
      </w:r>
      <w:r>
        <w:t xml:space="preserve"> </w:t>
      </w:r>
      <m:oMath>
        <m:r>
          <m:rPr>
            <m:sty m:val="p"/>
          </m:rPr>
          <m:t>⌈</m:t>
        </m:r>
        <m:sSup>
          <m:e>
            <m:r>
              <m:t>10</m:t>
            </m:r>
          </m:e>
          <m:sup>
            <m:r>
              <m:t>9</m:t>
            </m:r>
          </m:sup>
        </m:sSup>
        <m:r>
          <m:rPr>
            <m:sty m:val="p"/>
          </m:rPr>
          <m:t>/</m:t>
        </m:r>
        <m:r>
          <m:t>819</m:t>
        </m:r>
        <m:r>
          <m:rPr>
            <m:sty m:val="p"/>
          </m:rPr>
          <m:t>⌉</m:t>
        </m:r>
        <m:r>
          <m:rPr>
            <m:sty m:val="p"/>
          </m:rPr>
          <m:t>=</m:t>
        </m:r>
        <m:r>
          <m:t>1</m:t>
        </m:r>
        <m:r>
          <m:rPr>
            <m:sty m:val="p"/>
          </m:rPr>
          <m:t>,</m:t>
        </m:r>
        <m:r>
          <m:t>221</m:t>
        </m:r>
        <m:r>
          <m:rPr>
            <m:sty m:val="p"/>
          </m:rPr>
          <m:t>,</m:t>
        </m:r>
        <m:r>
          <m:t>002</m:t>
        </m:r>
      </m:oMath>
      <w:r>
        <w:t xml:space="preserve"> </w:t>
      </w:r>
      <w:r>
        <w:t xml:space="preserve">leaves (about 18.6 GiB), then 1,491, 2 and 1 pages: also 4 levels, with only 23 MiB of internal pages.</w:t>
      </w:r>
    </w:p>
    <w:p>
      <w:pPr>
        <w:pStyle w:val="CalloutExample"/>
      </w:pPr>
      <w:r>
        <w:t xml:space="preserve">I/Os per lookup:</w:t>
      </w:r>
    </w:p>
    <w:p>
      <w:pPr>
        <w:numPr>
          <w:ilvl w:val="0"/>
          <w:numId w:val="1375"/>
        </w:numPr>
        <w:pStyle w:val="Compact"/>
      </w:pPr>
      <w:r>
        <w:t xml:space="preserve">Cold cache: 4 page reads for a primary-key lookup.</w:t>
      </w:r>
    </w:p>
    <w:p>
      <w:pPr>
        <w:numPr>
          <w:ilvl w:val="0"/>
          <w:numId w:val="1375"/>
        </w:numPr>
        <w:pStyle w:val="Compact"/>
      </w:pPr>
      <w:r>
        <w:t xml:space="preserve">Internal pages cached (294 MiB is trivial for a database server):</w:t>
      </w:r>
      <w:r>
        <w:t xml:space="preserve"> </w:t>
      </w:r>
      <w:r>
        <w:rPr>
          <w:bCs/>
          <w:b/>
        </w:rPr>
        <w:t xml:space="preserve">1 random read</w:t>
      </w:r>
      <w:r>
        <w:t xml:space="preserve"> </w:t>
      </w:r>
      <w:r>
        <w:t xml:space="preserve">per primary-key lookup, about 0.1 ms on NVMe (§4.17).</w:t>
      </w:r>
    </w:p>
    <w:p>
      <w:pPr>
        <w:numPr>
          <w:ilvl w:val="0"/>
          <w:numId w:val="1375"/>
        </w:numPr>
        <w:pStyle w:val="Compact"/>
      </w:pPr>
      <w:r>
        <w:t xml:space="preserve">Secondary-index lookup in InnoDB: 1 read for the secondary leaf + 1 for the clustered leaf =</w:t>
      </w:r>
      <w:r>
        <w:t xml:space="preserve"> </w:t>
      </w:r>
      <w:r>
        <w:rPr>
          <w:bCs/>
          <w:b/>
        </w:rPr>
        <w:t xml:space="preserve">2 reads</w:t>
      </w:r>
      <w:r>
        <w:t xml:space="preserve">. In PostgreSQL: index leaf + heap page = 2 reads, similarly.</w:t>
      </w:r>
    </w:p>
    <w:p>
      <w:pPr>
        <w:pStyle w:val="CalloutExample"/>
      </w:pPr>
      <w:r>
        <w:rPr>
          <w:bCs/>
          <w:b/>
        </w:rPr>
        <w:t xml:space="preserve">Interpretation.</w:t>
      </w:r>
      <w:r>
        <w:t xml:space="preserve"> </w:t>
      </w:r>
      <w:r>
        <w:t xml:space="preserve">A billion rows cost only one more level than a million rows (a million rows needs</w:t>
      </w:r>
      <w:r>
        <w:t xml:space="preserve"> </w:t>
      </w:r>
      <m:oMath>
        <m:r>
          <m:t>1</m:t>
        </m:r>
        <m:r>
          <m:rPr>
            <m:sty m:val="p"/>
          </m:rPr>
          <m:t>+</m:t>
        </m:r>
        <m:r>
          <m:rPr>
            <m:sty m:val="p"/>
          </m:rPr>
          <m:t>⌈</m:t>
        </m:r>
        <m:sSub>
          <m:e>
            <m:r>
              <m:rPr>
                <m:sty m:val="p"/>
              </m:rPr>
              <m:t>log</m:t>
            </m:r>
          </m:e>
          <m:sub>
            <m:r>
              <m:t>819</m:t>
            </m:r>
          </m:sub>
        </m:sSub>
        <m:r>
          <m:t>15</m:t>
        </m:r>
        <m:r>
          <m:rPr>
            <m:sty m:val="p"/>
          </m:rPr>
          <m:t>,</m:t>
        </m:r>
        <m:r>
          <m:t>385</m:t>
        </m:r>
        <m:r>
          <m:rPr>
            <m:sty m:val="p"/>
          </m:rPr>
          <m:t>⌉</m:t>
        </m:r>
        <m:r>
          <m:rPr>
            <m:sty m:val="p"/>
          </m:rPr>
          <m:t>=</m:t>
        </m:r>
        <m:r>
          <m:t>3</m:t>
        </m:r>
      </m:oMath>
      <w:r>
        <w:t xml:space="preserve"> </w:t>
      </w:r>
      <w:r>
        <w:t xml:space="preserve">levels).</w:t>
      </w:r>
      <w:r>
        <w:t xml:space="preserve"> </w:t>
      </w:r>
      <w:r>
        <w:rPr>
          <w:bCs/>
          <w:b/>
        </w:rPr>
        <w:t xml:space="preserve">Engineering implication.</w:t>
      </w:r>
      <w:r>
        <w:t xml:space="preserve"> </w:t>
      </w:r>
      <w:r>
        <w:t xml:space="preserve">Index lookups stay fast at any table size you will meet in one database; what grows is the</w:t>
      </w:r>
      <w:r>
        <w:t xml:space="preserve"> </w:t>
      </w:r>
      <w:r>
        <w:rPr>
          <w:iCs/>
          <w:i/>
        </w:rPr>
        <w:t xml:space="preserve">leaf</w:t>
      </w:r>
      <w:r>
        <w:t xml:space="preserve"> </w:t>
      </w:r>
      <w:r>
        <w:t xml:space="preserve">working set. If the hot rows’ leaves (here up to 235 GiB) do not fit in the buffer pool, every lookup pays a real I/O, and that, not tree height, is the scaling limit. Wide keys shrink</w:t>
      </w:r>
      <w:r>
        <w:t xml:space="preserve"> </w:t>
      </w:r>
      <m:oMath>
        <m:r>
          <m:t>f</m:t>
        </m:r>
      </m:oMath>
      <w:r>
        <w:t xml:space="preserve"> </w:t>
      </w:r>
      <w:r>
        <w:t xml:space="preserve">and</w:t>
      </w:r>
      <w:r>
        <w:t xml:space="preserve"> </w:t>
      </w:r>
      <m:oMath>
        <m:r>
          <m:t>L</m:t>
        </m:r>
      </m:oMath>
      <w:r>
        <w:t xml:space="preserve">; random keys spread the hot set across all leaves.</w:t>
      </w:r>
    </w:p>
    <w:p>
      <w:pPr>
        <w:pStyle w:val="SourceCode"/>
      </w:pPr>
      <w:r>
        <w:rPr>
          <w:rStyle w:val="ImportTok"/>
        </w:rPr>
        <w:t xml:space="preserve">import</w:t>
      </w:r>
      <w:r>
        <w:rPr>
          <w:rStyle w:val="NormalTok"/>
        </w:rPr>
        <w:t xml:space="preserve"> math</w:t>
      </w:r>
      <w:r>
        <w:br/>
      </w:r>
      <w:r>
        <w:br/>
      </w:r>
      <w:r>
        <w:rPr>
          <w:rStyle w:val="KeywordTok"/>
        </w:rPr>
        <w:t xml:space="preserve">def</w:t>
      </w:r>
      <w:r>
        <w:rPr>
          <w:rStyle w:val="NormalTok"/>
        </w:rPr>
        <w:t xml:space="preserve"> bplus_tree(n_rows, page_bytes</w:t>
      </w:r>
      <w:r>
        <w:rPr>
          <w:rStyle w:val="OperatorTok"/>
        </w:rPr>
        <w:t xml:space="preserve">=</w:t>
      </w:r>
      <w:r>
        <w:rPr>
          <w:rStyle w:val="DecValTok"/>
        </w:rPr>
        <w:t xml:space="preserve">16</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fill</w:t>
      </w:r>
      <w:r>
        <w:rPr>
          <w:rStyle w:val="OperatorTok"/>
        </w:rPr>
        <w:t xml:space="preserve">=</w:t>
      </w:r>
      <w:r>
        <w:rPr>
          <w:rStyle w:val="FloatTok"/>
        </w:rPr>
        <w:t xml:space="preserve">0.8</w:t>
      </w:r>
      <w:r>
        <w:rPr>
          <w:rStyle w:val="NormalTok"/>
        </w:rPr>
        <w:t xml:space="preserve">, internal_entry</w:t>
      </w:r>
      <w:r>
        <w:rPr>
          <w:rStyle w:val="OperatorTok"/>
        </w:rPr>
        <w:t xml:space="preserve">=</w:t>
      </w:r>
      <w:r>
        <w:rPr>
          <w:rStyle w:val="DecValTok"/>
        </w:rPr>
        <w:t xml:space="preserve">16</w:t>
      </w:r>
      <w:r>
        <w:rPr>
          <w:rStyle w:val="NormalTok"/>
        </w:rPr>
        <w:t xml:space="preserve">, leaf_entry</w:t>
      </w:r>
      <w:r>
        <w:rPr>
          <w:rStyle w:val="OperatorTok"/>
        </w:rPr>
        <w:t xml:space="preserve">=</w:t>
      </w:r>
      <w:r>
        <w:rPr>
          <w:rStyle w:val="DecValTok"/>
        </w:rPr>
        <w:t xml:space="preserve">200</w:t>
      </w:r>
      <w:r>
        <w:rPr>
          <w:rStyle w:val="NormalTok"/>
        </w:rPr>
        <w:t xml:space="preserve">):</w:t>
      </w:r>
      <w:r>
        <w:br/>
      </w:r>
      <w:r>
        <w:rPr>
          <w:rStyle w:val="NormalTok"/>
        </w:rPr>
        <w:t xml:space="preserve">    </w:t>
      </w:r>
      <w:r>
        <w:rPr>
          <w:rStyle w:val="CommentTok"/>
        </w:rPr>
        <w:t xml:space="preserve">"""Return (fan-out, entries per leaf, pages per level from root to leaves)."""</w:t>
      </w:r>
      <w:r>
        <w:br/>
      </w:r>
      <w:r>
        <w:rPr>
          <w:rStyle w:val="NormalTok"/>
        </w:rPr>
        <w:t xml:space="preserve">    usable </w:t>
      </w:r>
      <w:r>
        <w:rPr>
          <w:rStyle w:val="OperatorTok"/>
        </w:rPr>
        <w:t xml:space="preserve">=</w:t>
      </w:r>
      <w:r>
        <w:rPr>
          <w:rStyle w:val="NormalTok"/>
        </w:rPr>
        <w:t xml:space="preserve"> page_bytes </w:t>
      </w:r>
      <w:r>
        <w:rPr>
          <w:rStyle w:val="OperatorTok"/>
        </w:rPr>
        <w:t xml:space="preserve">*</w:t>
      </w:r>
      <w:r>
        <w:rPr>
          <w:rStyle w:val="NormalTok"/>
        </w:rPr>
        <w:t xml:space="preserve"> fill</w:t>
      </w:r>
      <w:r>
        <w:br/>
      </w:r>
      <w:r>
        <w:rPr>
          <w:rStyle w:val="NormalTok"/>
        </w:rPr>
        <w:t xml:space="preserve">    fanout </w:t>
      </w:r>
      <w:r>
        <w:rPr>
          <w:rStyle w:val="OperatorTok"/>
        </w:rPr>
        <w:t xml:space="preserve">=</w:t>
      </w:r>
      <w:r>
        <w:rPr>
          <w:rStyle w:val="NormalTok"/>
        </w:rPr>
        <w:t xml:space="preserve"> </w:t>
      </w:r>
      <w:r>
        <w:rPr>
          <w:rStyle w:val="BuiltInTok"/>
        </w:rPr>
        <w:t xml:space="preserve">int</w:t>
      </w:r>
      <w:r>
        <w:rPr>
          <w:rStyle w:val="NormalTok"/>
        </w:rPr>
        <w:t xml:space="preserve">(usable </w:t>
      </w:r>
      <w:r>
        <w:rPr>
          <w:rStyle w:val="OperatorTok"/>
        </w:rPr>
        <w:t xml:space="preserve">//</w:t>
      </w:r>
      <w:r>
        <w:rPr>
          <w:rStyle w:val="NormalTok"/>
        </w:rPr>
        <w:t xml:space="preserve"> internal_entry)          </w:t>
      </w:r>
      <w:r>
        <w:rPr>
          <w:rStyle w:val="CommentTok"/>
        </w:rPr>
        <w:t xml:space="preserve"># child pointers per internal page</w:t>
      </w:r>
      <w:r>
        <w:br/>
      </w:r>
      <w:r>
        <w:rPr>
          <w:rStyle w:val="NormalTok"/>
        </w:rPr>
        <w:t xml:space="preserve">    per_leaf </w:t>
      </w:r>
      <w:r>
        <w:rPr>
          <w:rStyle w:val="OperatorTok"/>
        </w:rPr>
        <w:t xml:space="preserve">=</w:t>
      </w:r>
      <w:r>
        <w:rPr>
          <w:rStyle w:val="NormalTok"/>
        </w:rPr>
        <w:t xml:space="preserve"> </w:t>
      </w:r>
      <w:r>
        <w:rPr>
          <w:rStyle w:val="BuiltInTok"/>
        </w:rPr>
        <w:t xml:space="preserve">int</w:t>
      </w:r>
      <w:r>
        <w:rPr>
          <w:rStyle w:val="NormalTok"/>
        </w:rPr>
        <w:t xml:space="preserve">(usable </w:t>
      </w:r>
      <w:r>
        <w:rPr>
          <w:rStyle w:val="OperatorTok"/>
        </w:rPr>
        <w:t xml:space="preserve">//</w:t>
      </w:r>
      <w:r>
        <w:rPr>
          <w:rStyle w:val="NormalTok"/>
        </w:rPr>
        <w:t xml:space="preserve"> leaf_entry)            </w:t>
      </w:r>
      <w:r>
        <w:rPr>
          <w:rStyle w:val="CommentTok"/>
        </w:rPr>
        <w:t xml:space="preserve"># entries per leaf page</w:t>
      </w:r>
      <w:r>
        <w:br/>
      </w:r>
      <w:r>
        <w:rPr>
          <w:rStyle w:val="NormalTok"/>
        </w:rPr>
        <w:t xml:space="preserve">    levels </w:t>
      </w:r>
      <w:r>
        <w:rPr>
          <w:rStyle w:val="OperatorTok"/>
        </w:rPr>
        <w:t xml:space="preserve">=</w:t>
      </w:r>
      <w:r>
        <w:rPr>
          <w:rStyle w:val="NormalTok"/>
        </w:rPr>
        <w:t xml:space="preserve"> [math.ceil(n_rows </w:t>
      </w:r>
      <w:r>
        <w:rPr>
          <w:rStyle w:val="OperatorTok"/>
        </w:rPr>
        <w:t xml:space="preserve">/</w:t>
      </w:r>
      <w:r>
        <w:rPr>
          <w:rStyle w:val="NormalTok"/>
        </w:rPr>
        <w:t xml:space="preserve"> per_leaf)]         </w:t>
      </w:r>
      <w:r>
        <w:rPr>
          <w:rStyle w:val="CommentTok"/>
        </w:rPr>
        <w:t xml:space="preserve"># leaf level first</w:t>
      </w:r>
      <w:r>
        <w:br/>
      </w:r>
      <w:r>
        <w:rPr>
          <w:rStyle w:val="NormalTok"/>
        </w:rPr>
        <w:t xml:space="preserve">    </w:t>
      </w:r>
      <w:r>
        <w:rPr>
          <w:rStyle w:val="ControlFlowTok"/>
        </w:rPr>
        <w:t xml:space="preserve">while</w:t>
      </w:r>
      <w:r>
        <w:rPr>
          <w:rStyle w:val="NormalTok"/>
        </w:rPr>
        <w:t xml:space="preserve"> levels[</w:t>
      </w:r>
      <w:r>
        <w:rPr>
          <w:rStyle w:val="OperatorTok"/>
        </w:rPr>
        <w:t xml:space="preserve">-</w:t>
      </w:r>
      <w:r>
        <w:rPr>
          <w:rStyle w:val="DecValTok"/>
        </w:rPr>
        <w:t xml:space="preserve">1</w:t>
      </w:r>
      <w:r>
        <w:rPr>
          <w:rStyle w:val="NormalTok"/>
        </w:rPr>
        <w:t xml:space="preserve">]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levels.append(math.ceil(levels[</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fanout))</w:t>
      </w:r>
      <w:r>
        <w:br/>
      </w:r>
      <w:r>
        <w:rPr>
          <w:rStyle w:val="NormalTok"/>
        </w:rPr>
        <w:t xml:space="preserve">    </w:t>
      </w:r>
      <w:r>
        <w:rPr>
          <w:rStyle w:val="ControlFlowTok"/>
        </w:rPr>
        <w:t xml:space="preserve">return</w:t>
      </w:r>
      <w:r>
        <w:rPr>
          <w:rStyle w:val="NormalTok"/>
        </w:rPr>
        <w:t xml:space="preserve"> fanout, per_leaf, levels[::</w:t>
      </w:r>
      <w:r>
        <w:rPr>
          <w:rStyle w:val="OperatorTok"/>
        </w:rPr>
        <w:t xml:space="preserve">-</w:t>
      </w:r>
      <w:r>
        <w:rPr>
          <w:rStyle w:val="DecValTok"/>
        </w:rPr>
        <w:t xml:space="preserve">1</w:t>
      </w:r>
      <w:r>
        <w:rPr>
          <w:rStyle w:val="NormalTok"/>
        </w:rPr>
        <w:t xml:space="preserve">]</w:t>
      </w:r>
      <w:r>
        <w:br/>
      </w:r>
      <w:r>
        <w:br/>
      </w:r>
      <w:r>
        <w:rPr>
          <w:rStyle w:val="ControlFlowTok"/>
        </w:rPr>
        <w:t xml:space="preserve">for</w:t>
      </w:r>
      <w:r>
        <w:rPr>
          <w:rStyle w:val="NormalTok"/>
        </w:rPr>
        <w:t xml:space="preserve"> label, leaf_entry </w:t>
      </w:r>
      <w:r>
        <w:rPr>
          <w:rStyle w:val="KeywordTok"/>
        </w:rPr>
        <w:t xml:space="preserve">in</w:t>
      </w:r>
      <w:r>
        <w:rPr>
          <w:rStyle w:val="NormalTok"/>
        </w:rPr>
        <w:t xml:space="preserve"> [(</w:t>
      </w:r>
      <w:r>
        <w:rPr>
          <w:rStyle w:val="StringTok"/>
        </w:rPr>
        <w:t xml:space="preserve">"clustered, 200-byte rows"</w:t>
      </w:r>
      <w:r>
        <w:rPr>
          <w:rStyle w:val="NormalTok"/>
        </w:rPr>
        <w:t xml:space="preserve">, </w:t>
      </w:r>
      <w:r>
        <w:rPr>
          <w:rStyle w:val="DecValTok"/>
        </w:rPr>
        <w:t xml:space="preserve">200</w:t>
      </w:r>
      <w:r>
        <w:rPr>
          <w:rStyle w:val="NormalTok"/>
        </w:rPr>
        <w:t xml:space="preserve">), (</w:t>
      </w:r>
      <w:r>
        <w:rPr>
          <w:rStyle w:val="StringTok"/>
        </w:rPr>
        <w:t xml:space="preserve">"secondary, 8-byte key + 8-byte PK"</w:t>
      </w:r>
      <w:r>
        <w:rPr>
          <w:rStyle w:val="NormalTok"/>
        </w:rPr>
        <w:t xml:space="preserve">, </w:t>
      </w:r>
      <w:r>
        <w:rPr>
          <w:rStyle w:val="DecValTok"/>
        </w:rPr>
        <w:t xml:space="preserve">16</w:t>
      </w:r>
      <w:r>
        <w:rPr>
          <w:rStyle w:val="NormalTok"/>
        </w:rPr>
        <w:t xml:space="preserve">)]:</w:t>
      </w:r>
      <w:r>
        <w:br/>
      </w:r>
      <w:r>
        <w:rPr>
          <w:rStyle w:val="NormalTok"/>
        </w:rPr>
        <w:t xml:space="preserve">    f, L, pages </w:t>
      </w:r>
      <w:r>
        <w:rPr>
          <w:rStyle w:val="OperatorTok"/>
        </w:rPr>
        <w:t xml:space="preserve">=</w:t>
      </w:r>
      <w:r>
        <w:rPr>
          <w:rStyle w:val="NormalTok"/>
        </w:rPr>
        <w:t xml:space="preserve"> bplus_tree(</w:t>
      </w:r>
      <w:r>
        <w:rPr>
          <w:rStyle w:val="DecValTok"/>
        </w:rPr>
        <w:t xml:space="preserve">10</w:t>
      </w:r>
      <w:r>
        <w:rPr>
          <w:rStyle w:val="OperatorTok"/>
        </w:rPr>
        <w:t xml:space="preserve">**</w:t>
      </w:r>
      <w:r>
        <w:rPr>
          <w:rStyle w:val="DecValTok"/>
        </w:rPr>
        <w:t xml:space="preserve">9</w:t>
      </w:r>
      <w:r>
        <w:rPr>
          <w:rStyle w:val="NormalTok"/>
        </w:rPr>
        <w:t xml:space="preserve">, leaf_entry</w:t>
      </w:r>
      <w:r>
        <w:rPr>
          <w:rStyle w:val="OperatorTok"/>
        </w:rPr>
        <w:t xml:space="preserve">=</w:t>
      </w:r>
      <w:r>
        <w:rPr>
          <w:rStyle w:val="NormalTok"/>
        </w:rPr>
        <w:t xml:space="preserve">leaf_entry)</w:t>
      </w:r>
      <w:r>
        <w:br/>
      </w:r>
      <w:r>
        <w:rPr>
          <w:rStyle w:val="NormalTok"/>
        </w:rPr>
        <w:t xml:space="preserve">    internal_mib </w:t>
      </w:r>
      <w:r>
        <w:rPr>
          <w:rStyle w:val="OperatorTok"/>
        </w:rPr>
        <w:t xml:space="preserve">=</w:t>
      </w:r>
      <w:r>
        <w:rPr>
          <w:rStyle w:val="NormalTok"/>
        </w:rPr>
        <w:t xml:space="preserve"> </w:t>
      </w:r>
      <w:r>
        <w:rPr>
          <w:rStyle w:val="BuiltInTok"/>
        </w:rPr>
        <w:t xml:space="preserve">sum</w:t>
      </w:r>
      <w:r>
        <w:rPr>
          <w:rStyle w:val="NormalTok"/>
        </w:rPr>
        <w:t xml:space="preserve">(pages[:</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16</w:t>
      </w:r>
      <w:r>
        <w:rPr>
          <w:rStyle w:val="NormalTok"/>
        </w:rPr>
        <w:t xml:space="preserve"> </w:t>
      </w:r>
      <w:r>
        <w:rPr>
          <w:rStyle w:val="OperatorTok"/>
        </w:rPr>
        <w:t xml:space="preserve">/</w:t>
      </w:r>
      <w:r>
        <w:rPr>
          <w:rStyle w:val="NormalTok"/>
        </w:rPr>
        <w:t xml:space="preserve"> </w:t>
      </w:r>
      <w:r>
        <w:rPr>
          <w:rStyle w:val="DecValTok"/>
        </w:rPr>
        <w:t xml:space="preserve">1024</w:t>
      </w:r>
      <w:r>
        <w:br/>
      </w:r>
      <w:r>
        <w:rPr>
          <w:rStyle w:val="NormalTok"/>
        </w:rPr>
        <w:t xml:space="preserve">    leaf_gib </w:t>
      </w:r>
      <w:r>
        <w:rPr>
          <w:rStyle w:val="OperatorTok"/>
        </w:rPr>
        <w:t xml:space="preserve">=</w:t>
      </w:r>
      <w:r>
        <w:rPr>
          <w:rStyle w:val="NormalTok"/>
        </w:rPr>
        <w:t xml:space="preserve"> pages[</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16</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rPr>
          <w:rStyle w:val="DecValTok"/>
        </w:rPr>
        <w:t xml:space="preserve">2</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label</w:t>
      </w:r>
      <w:r>
        <w:rPr>
          <w:rStyle w:val="SpecialCharTok"/>
        </w:rPr>
        <w:t xml:space="preserve">}</w:t>
      </w:r>
      <w:r>
        <w:rPr>
          <w:rStyle w:val="SpecialStringTok"/>
        </w:rPr>
        <w:t xml:space="preserve">: fan-out=</w:t>
      </w:r>
      <w:r>
        <w:rPr>
          <w:rStyle w:val="SpecialCharTok"/>
        </w:rPr>
        <w:t xml:space="preserve">{</w:t>
      </w:r>
      <w:r>
        <w:rPr>
          <w:rStyle w:val="NormalTok"/>
        </w:rPr>
        <w:t xml:space="preserve">f</w:t>
      </w:r>
      <w:r>
        <w:rPr>
          <w:rStyle w:val="SpecialCharTok"/>
        </w:rPr>
        <w:t xml:space="preserve">}</w:t>
      </w:r>
      <w:r>
        <w:rPr>
          <w:rStyle w:val="SpecialStringTok"/>
        </w:rPr>
        <w:t xml:space="preserve">, entries/leaf=</w:t>
      </w:r>
      <w:r>
        <w:rPr>
          <w:rStyle w:val="SpecialCharTok"/>
        </w:rPr>
        <w:t xml:space="preserve">{</w:t>
      </w:r>
      <w:r>
        <w:rPr>
          <w:rStyle w:val="NormalTok"/>
        </w:rPr>
        <w:t xml:space="preserve">L</w:t>
      </w:r>
      <w:r>
        <w:rPr>
          <w:rStyle w:val="SpecialCharTok"/>
        </w:rPr>
        <w:t xml:space="preserve">}</w:t>
      </w:r>
      <w:r>
        <w:rPr>
          <w:rStyle w:val="SpecialStringTok"/>
        </w:rPr>
        <w:t xml:space="preserve">, height=</w:t>
      </w:r>
      <w:r>
        <w:rPr>
          <w:rStyle w:val="SpecialCharTok"/>
        </w:rPr>
        <w:t xml:space="preserve">{</w:t>
      </w:r>
      <w:r>
        <w:rPr>
          <w:rStyle w:val="BuiltInTok"/>
        </w:rPr>
        <w:t xml:space="preserve">len</w:t>
      </w:r>
      <w:r>
        <w:rPr>
          <w:rStyle w:val="NormalTok"/>
        </w:rPr>
        <w:t xml:space="preserve">(pages)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pages per level (root..leaf) = </w:t>
      </w:r>
      <w:r>
        <w:rPr>
          <w:rStyle w:val="SpecialCharTok"/>
        </w:rPr>
        <w:t xml:space="preserve">{</w:t>
      </w:r>
      <w:r>
        <w:rPr>
          <w:rStyle w:val="NormalTok"/>
        </w:rPr>
        <w:t xml:space="preserve">pages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internal levels = </w:t>
      </w:r>
      <w:r>
        <w:rPr>
          <w:rStyle w:val="SpecialCharTok"/>
        </w:rPr>
        <w:t xml:space="preserve">{</w:t>
      </w:r>
      <w:r>
        <w:rPr>
          <w:rStyle w:val="NormalTok"/>
        </w:rPr>
        <w:t xml:space="preserve">internal_mib</w:t>
      </w:r>
      <w:r>
        <w:rPr>
          <w:rStyle w:val="SpecialCharTok"/>
        </w:rPr>
        <w:t xml:space="preserve">:,.0f}</w:t>
      </w:r>
      <w:r>
        <w:rPr>
          <w:rStyle w:val="SpecialStringTok"/>
        </w:rPr>
        <w:t xml:space="preserve"> MiB, leaf level = </w:t>
      </w:r>
      <w:r>
        <w:rPr>
          <w:rStyle w:val="SpecialCharTok"/>
        </w:rPr>
        <w:t xml:space="preserve">{</w:t>
      </w:r>
      <w:r>
        <w:rPr>
          <w:rStyle w:val="NormalTok"/>
        </w:rPr>
        <w:t xml:space="preserve">leaf_gib</w:t>
      </w:r>
      <w:r>
        <w:rPr>
          <w:rStyle w:val="SpecialCharTok"/>
        </w:rPr>
        <w:t xml:space="preserve">:,.1f}</w:t>
      </w:r>
      <w:r>
        <w:rPr>
          <w:rStyle w:val="SpecialStringTok"/>
        </w:rPr>
        <w:t xml:space="preserve"> GiB"</w:t>
      </w:r>
      <w:r>
        <w:rPr>
          <w:rStyle w:val="NormalTok"/>
        </w:rPr>
        <w:t xml:space="preserve">)</w:t>
      </w:r>
    </w:p>
    <w:p>
      <w:pPr>
        <w:pStyle w:val="FirstParagraph"/>
      </w:pPr>
      <w:r>
        <w:t xml:space="preserve">What to notice:</w:t>
      </w:r>
    </w:p>
    <w:p>
      <w:pPr>
        <w:numPr>
          <w:ilvl w:val="0"/>
          <w:numId w:val="1376"/>
        </w:numPr>
        <w:pStyle w:val="Compact"/>
      </w:pPr>
      <w:r>
        <w:t xml:space="preserve">Output: the clustered tree has pages per level</w:t>
      </w:r>
      <w:r>
        <w:t xml:space="preserve"> </w:t>
      </w:r>
      <w:r>
        <w:rPr>
          <w:rStyle w:val="VerbatimChar"/>
        </w:rPr>
        <w:t xml:space="preserve">[1, 23, 18785, 15384616]</w:t>
      </w:r>
      <w:r>
        <w:t xml:space="preserve"> </w:t>
      </w:r>
      <w:r>
        <w:t xml:space="preserve">and the secondary tree</w:t>
      </w:r>
      <w:r>
        <w:t xml:space="preserve"> </w:t>
      </w:r>
      <w:r>
        <w:rPr>
          <w:rStyle w:val="VerbatimChar"/>
        </w:rPr>
        <w:t xml:space="preserve">[1, 2, 1491, 1221002]</w:t>
      </w:r>
      <w:r>
        <w:t xml:space="preserve">; both have height 4, matching the hand calculation.</w:t>
      </w:r>
    </w:p>
    <w:p>
      <w:pPr>
        <w:numPr>
          <w:ilvl w:val="0"/>
          <w:numId w:val="1376"/>
        </w:numPr>
        <w:pStyle w:val="Compact"/>
      </w:pPr>
      <w:r>
        <w:t xml:space="preserve">Change</w:t>
      </w:r>
      <w:r>
        <w:t xml:space="preserve"> </w:t>
      </w:r>
      <w:r>
        <w:rPr>
          <w:rStyle w:val="VerbatimChar"/>
        </w:rPr>
        <w:t xml:space="preserve">leaf_entry</w:t>
      </w:r>
      <w:r>
        <w:t xml:space="preserve"> </w:t>
      </w:r>
      <w:r>
        <w:t xml:space="preserve">to 1,000 (wide rows) and the leaf level grows fivefold while the height stays 4: width costs memory before it costs levels.</w:t>
      </w:r>
    </w:p>
    <w:p>
      <w:pPr>
        <w:pStyle w:val="CalloutMistake"/>
      </w:pPr>
      <w:r>
        <w:rPr>
          <w:bCs/>
          <w:b/>
        </w:rPr>
        <w:t xml:space="preserve">COMMON MISTAKE</w:t>
      </w:r>
    </w:p>
    <w:p>
      <w:pPr>
        <w:pStyle w:val="CalloutMistake"/>
      </w:pPr>
      <w:r>
        <w:rPr>
          <w:bCs/>
          <w:b/>
        </w:rPr>
        <w:t xml:space="preserve">Mistake —</w:t>
      </w:r>
      <w:r>
        <w:rPr>
          <w:bCs/>
          <w:b/>
        </w:rPr>
        <w:t xml:space="preserve"> </w:t>
      </w:r>
      <w:r>
        <w:rPr>
          <w:bCs/>
          <w:b/>
        </w:rPr>
        <w:t xml:space="preserve">“</w:t>
      </w:r>
      <w:r>
        <w:rPr>
          <w:bCs/>
          <w:b/>
        </w:rPr>
        <w:t xml:space="preserve">B-tree and B+ tree are the same thing.</w:t>
      </w:r>
      <w:r>
        <w:rPr>
          <w:bCs/>
          <w:b/>
        </w:rPr>
        <w:t xml:space="preserve">”</w:t>
      </w:r>
      <w:r>
        <w:t xml:space="preserve"> </w:t>
      </w:r>
      <w:r>
        <w:t xml:space="preserve">In a classic B-tree, values can live in internal nodes, so a range scan must move up and down the tree. Database</w:t>
      </w:r>
      <w:r>
        <w:t xml:space="preserve"> </w:t>
      </w:r>
      <w:r>
        <w:t xml:space="preserve">“</w:t>
      </w:r>
      <w:r>
        <w:t xml:space="preserve">B-tree</w:t>
      </w:r>
      <w:r>
        <w:t xml:space="preserve">”</w:t>
      </w:r>
      <w:r>
        <w:t xml:space="preserve"> </w:t>
      </w:r>
      <w:r>
        <w:t xml:space="preserve">indexes are B+ trees (PostgreSQL’s</w:t>
      </w:r>
      <w:r>
        <w:t xml:space="preserve"> </w:t>
      </w:r>
      <w:r>
        <w:rPr>
          <w:rStyle w:val="VerbatimChar"/>
        </w:rPr>
        <w:t xml:space="preserve">btree</w:t>
      </w:r>
      <w:r>
        <w:t xml:space="preserve">, InnoDB’s indexes): values only in leaves, leaves linked. In interviews, say</w:t>
      </w:r>
      <w:r>
        <w:t xml:space="preserve"> </w:t>
      </w:r>
      <w:r>
        <w:t xml:space="preserve">“</w:t>
      </w:r>
      <w:r>
        <w:t xml:space="preserve">B+ tree</w:t>
      </w:r>
      <w:r>
        <w:t xml:space="preserve">”</w:t>
      </w:r>
      <w:r>
        <w:t xml:space="preserve"> </w:t>
      </w:r>
      <w:r>
        <w:t xml:space="preserve">and explain the leaf links.</w:t>
      </w:r>
    </w:p>
    <w:bookmarkEnd w:id="1237"/>
    <w:bookmarkEnd w:id="1238"/>
    <w:bookmarkStart w:id="1245" w:name="query-execution-and-plans"/>
    <w:p>
      <w:pPr>
        <w:pStyle w:val="Heading2"/>
      </w:pPr>
      <w:r>
        <w:t xml:space="preserve">11.9 Query execution and plans</w:t>
      </w:r>
    </w:p>
    <w:bookmarkStart w:id="1239" w:name="from-sql-text-to-rows"/>
    <w:p>
      <w:pPr>
        <w:pStyle w:val="Heading3"/>
      </w:pPr>
      <w:r>
        <w:t xml:space="preserve">11.9.1 From SQL text to rows</w:t>
      </w:r>
    </w:p>
    <w:p>
      <w:pPr>
        <w:pStyle w:val="FirstParagraph"/>
      </w:pPr>
      <w:r>
        <w:t xml:space="preserve">Every statement passes through the same pipeline:</w:t>
      </w:r>
    </w:p>
    <w:p>
      <w:pPr>
        <w:numPr>
          <w:ilvl w:val="0"/>
          <w:numId w:val="1377"/>
        </w:numPr>
        <w:pStyle w:val="Compact"/>
      </w:pPr>
      <w:r>
        <w:rPr>
          <w:bCs/>
          <w:b/>
        </w:rPr>
        <w:t xml:space="preserve">Parse</w:t>
      </w:r>
      <w:r>
        <w:t xml:space="preserve"> </w:t>
      </w:r>
      <w:r>
        <w:t xml:space="preserve">— check syntax and build a parse tree.</w:t>
      </w:r>
    </w:p>
    <w:p>
      <w:pPr>
        <w:numPr>
          <w:ilvl w:val="0"/>
          <w:numId w:val="1377"/>
        </w:numPr>
        <w:pStyle w:val="Compact"/>
      </w:pPr>
      <w:r>
        <w:rPr>
          <w:bCs/>
          <w:b/>
        </w:rPr>
        <w:t xml:space="preserve">Analyze and rewrite</w:t>
      </w:r>
      <w:r>
        <w:t xml:space="preserve"> </w:t>
      </w:r>
      <w:r>
        <w:t xml:space="preserve">— resolve table and column names against the catalog, check permissions, expand views, and apply rewrite rules (for example, flattening a subquery into a join).</w:t>
      </w:r>
    </w:p>
    <w:p>
      <w:pPr>
        <w:numPr>
          <w:ilvl w:val="0"/>
          <w:numId w:val="1377"/>
        </w:numPr>
        <w:pStyle w:val="Compact"/>
      </w:pPr>
      <w:r>
        <w:rPr>
          <w:bCs/>
          <w:b/>
        </w:rPr>
        <w:t xml:space="preserve">Plan (optimize)</w:t>
      </w:r>
      <w:r>
        <w:t xml:space="preserve"> </w:t>
      </w:r>
      <w:r>
        <w:t xml:space="preserve">— enumerate alternative physical plans, estimate the cost of each using table statistics, and choose the cheapest (§11.10).</w:t>
      </w:r>
    </w:p>
    <w:p>
      <w:pPr>
        <w:numPr>
          <w:ilvl w:val="0"/>
          <w:numId w:val="1377"/>
        </w:numPr>
        <w:pStyle w:val="Compact"/>
      </w:pPr>
      <w:r>
        <w:rPr>
          <w:bCs/>
          <w:b/>
        </w:rPr>
        <w:t xml:space="preserve">Execute</w:t>
      </w:r>
      <w:r>
        <w:t xml:space="preserve"> </w:t>
      </w:r>
      <w:r>
        <w:t xml:space="preserve">— run the plan’s operators against the storage engine, which reads pages through the buffer pool (§13.4).</w:t>
      </w:r>
    </w:p>
    <w:bookmarkEnd w:id="1239"/>
    <w:bookmarkStart w:id="1244" w:name="the-volcano-iterator-model"/>
    <w:p>
      <w:pPr>
        <w:pStyle w:val="Heading3"/>
      </w:pPr>
      <w:r>
        <w:t xml:space="preserve">11.9.2 The Volcano (iterator) model</w:t>
      </w:r>
    </w:p>
    <w:p>
      <w:pPr>
        <w:pStyle w:val="CalloutDefinition"/>
      </w:pPr>
      <w:r>
        <w:rPr>
          <w:bCs/>
          <w:b/>
        </w:rPr>
        <w:t xml:space="preserve">DEFINITION</w:t>
      </w:r>
    </w:p>
    <w:p>
      <w:pPr>
        <w:pStyle w:val="CalloutDefinition"/>
      </w:pPr>
      <w:r>
        <w:rPr>
          <w:bCs/>
          <w:b/>
        </w:rPr>
        <w:t xml:space="preserve">Definition — Volcano (iterator) model.</w:t>
      </w:r>
      <w:r>
        <w:t xml:space="preserve"> </w:t>
      </w:r>
      <w:r>
        <w:t xml:space="preserve">An execution model in which a query plan is a tree of operators, each implementing the same interface —</w:t>
      </w:r>
      <w:r>
        <w:t xml:space="preserve"> </w:t>
      </w:r>
      <w:r>
        <w:rPr>
          <w:rStyle w:val="VerbatimChar"/>
        </w:rPr>
        <w:t xml:space="preserve">open()</w:t>
      </w:r>
      <w:r>
        <w:t xml:space="preserve">,</w:t>
      </w:r>
      <w:r>
        <w:t xml:space="preserve"> </w:t>
      </w:r>
      <w:r>
        <w:rPr>
          <w:rStyle w:val="VerbatimChar"/>
        </w:rPr>
        <w:t xml:space="preserve">next()</w:t>
      </w:r>
      <w:r>
        <w:t xml:space="preserve"> </w:t>
      </w:r>
      <w:r>
        <w:t xml:space="preserve">and</w:t>
      </w:r>
      <w:r>
        <w:t xml:space="preserve"> </w:t>
      </w:r>
      <w:r>
        <w:rPr>
          <w:rStyle w:val="VerbatimChar"/>
        </w:rPr>
        <w:t xml:space="preserve">close()</w:t>
      </w:r>
      <w:r>
        <w:t xml:space="preserve"> </w:t>
      </w:r>
      <w:r>
        <w:t xml:space="preserve">— and each</w:t>
      </w:r>
      <w:r>
        <w:t xml:space="preserve"> </w:t>
      </w:r>
      <w:r>
        <w:rPr>
          <w:rStyle w:val="VerbatimChar"/>
        </w:rPr>
        <w:t xml:space="preserve">next()</w:t>
      </w:r>
      <w:r>
        <w:t xml:space="preserve"> </w:t>
      </w:r>
      <w:r>
        <w:t xml:space="preserve">call pulls one row from the operator’s children on demand [Graefe 1994].</w:t>
      </w:r>
    </w:p>
    <w:bookmarkStart w:id="1243" w:name="first-principles-explanation-69"/>
    <w:p>
      <w:pPr>
        <w:pStyle w:val="Heading4"/>
      </w:pPr>
      <w:r>
        <w:t xml:space="preserve">First-principles explanation</w:t>
      </w:r>
    </w:p>
    <w:p>
      <w:pPr>
        <w:pStyle w:val="FirstParagraph"/>
      </w:pPr>
      <w:r>
        <w:t xml:space="preserve">In a kitchen line, the waiter asks plating for the next dish, plating asks the grill, the grill asks the fridge; nobody cooks a thousand steaks in advance. This</w:t>
      </w:r>
      <w:r>
        <w:t xml:space="preserve"> </w:t>
      </w:r>
      <w:r>
        <w:rPr>
          <w:bCs/>
          <w:b/>
        </w:rPr>
        <w:t xml:space="preserve">pull model</w:t>
      </w:r>
      <w:r>
        <w:t xml:space="preserve"> </w:t>
      </w:r>
      <w:r>
        <w:t xml:space="preserve">lets operators compose freely, keeps memory small for streaming operators, and lets a</w:t>
      </w:r>
      <w:r>
        <w:t xml:space="preserve"> </w:t>
      </w:r>
      <w:r>
        <w:rPr>
          <w:rStyle w:val="VerbatimChar"/>
        </w:rPr>
        <w:t xml:space="preserve">LIMIT 20</w:t>
      </w:r>
      <w:r>
        <w:t xml:space="preserve"> </w:t>
      </w:r>
      <w:r>
        <w:t xml:space="preserve">stop the scans below after 20 rows.</w:t>
      </w:r>
    </w:p>
    <w:p>
      <w:pPr>
        <w:pStyle w:val="BodyText"/>
      </w:pPr>
      <w:r>
        <w:t xml:space="preserve">Sort, hash aggregation and the build side of a hash join cannot emit a row until they have consumed all input. These</w:t>
      </w:r>
      <w:r>
        <w:t xml:space="preserve"> </w:t>
      </w:r>
      <w:r>
        <w:rPr>
          <w:bCs/>
          <w:b/>
        </w:rPr>
        <w:t xml:space="preserve">blocking</w:t>
      </w:r>
      <w:r>
        <w:t xml:space="preserve"> </w:t>
      </w:r>
      <w:r>
        <w:t xml:space="preserve">operators need memory proportional to their input and spill to disk when it runs out; in</w:t>
      </w:r>
      <w:r>
        <w:t xml:space="preserve"> </w:t>
      </w:r>
      <w:r>
        <w:rPr>
          <w:rStyle w:val="VerbatimChar"/>
        </w:rPr>
        <w:t xml:space="preserve">EXPLAIN</w:t>
      </w:r>
      <w:r>
        <w:t xml:space="preserve">, their startup cost is close to their total cost.</w:t>
      </w:r>
    </w:p>
    <w:p>
      <w:pPr>
        <w:pStyle w:val="SourceCode"/>
      </w:pPr>
      <w:r>
        <w:rPr>
          <w:rStyle w:val="KeywordTok"/>
        </w:rPr>
        <w:t xml:space="preserve">class</w:t>
      </w:r>
      <w:r>
        <w:rPr>
          <w:rStyle w:val="NormalTok"/>
        </w:rPr>
        <w:t xml:space="preserve"> Operator:</w:t>
      </w:r>
      <w:r>
        <w:br/>
      </w:r>
      <w:r>
        <w:rPr>
          <w:rStyle w:val="NormalTok"/>
        </w:rPr>
        <w:t xml:space="preserve">    </w:t>
      </w:r>
      <w:r>
        <w:rPr>
          <w:rStyle w:val="CommentTok"/>
        </w:rPr>
        <w:t xml:space="preserve">"""Volcano iterator: every operator exposes open(), next() and close()."""</w:t>
      </w:r>
      <w:r>
        <w:br/>
      </w:r>
      <w:r>
        <w:rPr>
          <w:rStyle w:val="NormalTok"/>
        </w:rPr>
        <w:t xml:space="preserve">    </w:t>
      </w:r>
      <w:r>
        <w:rPr>
          <w:rStyle w:val="KeywordTok"/>
        </w:rPr>
        <w:t xml:space="preserve">def</w:t>
      </w:r>
      <w:r>
        <w:rPr>
          <w:rStyle w:val="NormalTok"/>
        </w:rPr>
        <w:t xml:space="preserve"> </w:t>
      </w:r>
      <w:r>
        <w:rPr>
          <w:rStyle w:val="BuiltInTok"/>
        </w:rPr>
        <w:t xml:space="preserve">open</w:t>
      </w:r>
      <w:r>
        <w:rPr>
          <w:rStyle w:val="NormalTok"/>
        </w:rPr>
        <w:t xml:space="preserve">(</w:t>
      </w:r>
      <w:r>
        <w:rPr>
          <w:rStyle w:val="VariableTok"/>
        </w:rPr>
        <w:t xml:space="preserve">self</w:t>
      </w:r>
      <w:r>
        <w:rPr>
          <w:rStyle w:val="NormalTok"/>
        </w:rPr>
        <w:t xml:space="preserve">): </w:t>
      </w:r>
      <w:r>
        <w:rPr>
          <w:rStyle w:val="ControlFlowTok"/>
        </w:rPr>
        <w:t xml:space="preserve">pass</w:t>
      </w:r>
      <w:r>
        <w:br/>
      </w:r>
      <w:r>
        <w:rPr>
          <w:rStyle w:val="NormalTok"/>
        </w:rPr>
        <w:t xml:space="preserve">    </w:t>
      </w:r>
      <w:r>
        <w:rPr>
          <w:rStyle w:val="KeywordTok"/>
        </w:rPr>
        <w:t xml:space="preserve">def</w:t>
      </w:r>
      <w:r>
        <w:rPr>
          <w:rStyle w:val="NormalTok"/>
        </w:rPr>
        <w:t xml:space="preserve"> </w:t>
      </w:r>
      <w:r>
        <w:rPr>
          <w:rStyle w:val="BuiltInTok"/>
        </w:rPr>
        <w:t xml:space="preserve">next</w:t>
      </w:r>
      <w:r>
        <w:rPr>
          <w:rStyle w:val="NormalTok"/>
        </w:rPr>
        <w:t xml:space="preserve">(</w:t>
      </w:r>
      <w:r>
        <w:rPr>
          <w:rStyle w:val="VariableTok"/>
        </w:rPr>
        <w:t xml:space="preserve">self</w:t>
      </w:r>
      <w:r>
        <w:rPr>
          <w:rStyle w:val="NormalTok"/>
        </w:rPr>
        <w:t xml:space="preserve">): </w:t>
      </w:r>
      <w:r>
        <w:rPr>
          <w:rStyle w:val="ControlFlowTok"/>
        </w:rPr>
        <w:t xml:space="preserve">raise</w:t>
      </w:r>
      <w:r>
        <w:rPr>
          <w:rStyle w:val="NormalTok"/>
        </w:rPr>
        <w:t xml:space="preserve"> </w:t>
      </w:r>
      <w:r>
        <w:rPr>
          <w:rStyle w:val="PreprocessorTok"/>
        </w:rPr>
        <w:t xml:space="preserve">NotImplementedError</w:t>
      </w:r>
      <w:r>
        <w:rPr>
          <w:rStyle w:val="NormalTok"/>
        </w:rPr>
        <w:t xml:space="preserve">   </w:t>
      </w:r>
      <w:r>
        <w:rPr>
          <w:rStyle w:val="CommentTok"/>
        </w:rPr>
        <w:t xml:space="preserve"># returns one row, or None when exhausted</w:t>
      </w:r>
      <w:r>
        <w:br/>
      </w:r>
      <w:r>
        <w:rPr>
          <w:rStyle w:val="NormalTok"/>
        </w:rPr>
        <w:t xml:space="preserve">    </w:t>
      </w:r>
      <w:r>
        <w:rPr>
          <w:rStyle w:val="KeywordTok"/>
        </w:rPr>
        <w:t xml:space="preserve">def</w:t>
      </w:r>
      <w:r>
        <w:rPr>
          <w:rStyle w:val="NormalTok"/>
        </w:rPr>
        <w:t xml:space="preserve"> close(</w:t>
      </w:r>
      <w:r>
        <w:rPr>
          <w:rStyle w:val="VariableTok"/>
        </w:rPr>
        <w:t xml:space="preserve">self</w:t>
      </w:r>
      <w:r>
        <w:rPr>
          <w:rStyle w:val="NormalTok"/>
        </w:rPr>
        <w:t xml:space="preserve">): </w:t>
      </w:r>
      <w:r>
        <w:rPr>
          <w:rStyle w:val="ControlFlowTok"/>
        </w:rPr>
        <w:t xml:space="preserve">pass</w:t>
      </w:r>
      <w:r>
        <w:br/>
      </w:r>
      <w:r>
        <w:br/>
      </w:r>
      <w:r>
        <w:rPr>
          <w:rStyle w:val="KeywordTok"/>
        </w:rPr>
        <w:t xml:space="preserve">class</w:t>
      </w:r>
      <w:r>
        <w:rPr>
          <w:rStyle w:val="NormalTok"/>
        </w:rPr>
        <w:t xml:space="preserve"> SeqScan(Operator):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rows): </w:t>
      </w:r>
      <w:r>
        <w:rPr>
          <w:rStyle w:val="VariableTok"/>
        </w:rPr>
        <w:t xml:space="preserve">self</w:t>
      </w:r>
      <w:r>
        <w:rPr>
          <w:rStyle w:val="NormalTok"/>
        </w:rPr>
        <w:t xml:space="preserve">.rows </w:t>
      </w:r>
      <w:r>
        <w:rPr>
          <w:rStyle w:val="OperatorTok"/>
        </w:rPr>
        <w:t xml:space="preserve">=</w:t>
      </w:r>
      <w:r>
        <w:rPr>
          <w:rStyle w:val="NormalTok"/>
        </w:rPr>
        <w:t xml:space="preserve"> rows</w:t>
      </w:r>
      <w:r>
        <w:br/>
      </w:r>
      <w:r>
        <w:rPr>
          <w:rStyle w:val="NormalTok"/>
        </w:rPr>
        <w:t xml:space="preserve">    </w:t>
      </w:r>
      <w:r>
        <w:rPr>
          <w:rStyle w:val="KeywordTok"/>
        </w:rPr>
        <w:t xml:space="preserve">def</w:t>
      </w:r>
      <w:r>
        <w:rPr>
          <w:rStyle w:val="NormalTok"/>
        </w:rPr>
        <w:t xml:space="preserve"> </w:t>
      </w:r>
      <w:r>
        <w:rPr>
          <w:rStyle w:val="BuiltInTok"/>
        </w:rPr>
        <w:t xml:space="preserve">open</w:t>
      </w:r>
      <w:r>
        <w:rPr>
          <w:rStyle w:val="NormalTok"/>
        </w:rPr>
        <w:t xml:space="preserve">(</w:t>
      </w:r>
      <w:r>
        <w:rPr>
          <w:rStyle w:val="VariableTok"/>
        </w:rPr>
        <w:t xml:space="preserve">self</w:t>
      </w:r>
      <w:r>
        <w:rPr>
          <w:rStyle w:val="NormalTok"/>
        </w:rPr>
        <w:t xml:space="preserve">): </w:t>
      </w:r>
      <w:r>
        <w:rPr>
          <w:rStyle w:val="VariableTok"/>
        </w:rPr>
        <w:t xml:space="preserve">self</w:t>
      </w:r>
      <w:r>
        <w:rPr>
          <w:rStyle w:val="NormalTok"/>
        </w:rPr>
        <w:t xml:space="preserve">.pos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KeywordTok"/>
        </w:rPr>
        <w:t xml:space="preserve">def</w:t>
      </w:r>
      <w:r>
        <w:rPr>
          <w:rStyle w:val="NormalTok"/>
        </w:rPr>
        <w:t xml:space="preserve"> </w:t>
      </w:r>
      <w:r>
        <w:rPr>
          <w:rStyle w:val="BuiltInTok"/>
        </w:rPr>
        <w:t xml:space="preserve">next</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.pos </w:t>
      </w:r>
      <w:r>
        <w:rPr>
          <w:rStyle w:val="OperatorTok"/>
        </w:rPr>
        <w:t xml:space="preserve">==</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.rows):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.pos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.rows[</w:t>
      </w:r>
      <w:r>
        <w:rPr>
          <w:rStyle w:val="VariableTok"/>
        </w:rPr>
        <w:t xml:space="preserve">self</w:t>
      </w:r>
      <w:r>
        <w:rPr>
          <w:rStyle w:val="NormalTok"/>
        </w:rPr>
        <w:t xml:space="preserve">.pos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KeywordTok"/>
        </w:rPr>
        <w:t xml:space="preserve">class</w:t>
      </w:r>
      <w:r>
        <w:rPr>
          <w:rStyle w:val="NormalTok"/>
        </w:rPr>
        <w:t xml:space="preserve"> Filter(Operator):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child, pred): </w:t>
      </w:r>
      <w:r>
        <w:rPr>
          <w:rStyle w:val="VariableTok"/>
        </w:rPr>
        <w:t xml:space="preserve">self</w:t>
      </w:r>
      <w:r>
        <w:rPr>
          <w:rStyle w:val="NormalTok"/>
        </w:rPr>
        <w:t xml:space="preserve">.child, </w:t>
      </w:r>
      <w:r>
        <w:rPr>
          <w:rStyle w:val="VariableTok"/>
        </w:rPr>
        <w:t xml:space="preserve">self</w:t>
      </w:r>
      <w:r>
        <w:rPr>
          <w:rStyle w:val="NormalTok"/>
        </w:rPr>
        <w:t xml:space="preserve">.pred </w:t>
      </w:r>
      <w:r>
        <w:rPr>
          <w:rStyle w:val="OperatorTok"/>
        </w:rPr>
        <w:t xml:space="preserve">=</w:t>
      </w:r>
      <w:r>
        <w:rPr>
          <w:rStyle w:val="NormalTok"/>
        </w:rPr>
        <w:t xml:space="preserve"> child, pred</w:t>
      </w:r>
      <w:r>
        <w:br/>
      </w:r>
      <w:r>
        <w:rPr>
          <w:rStyle w:val="NormalTok"/>
        </w:rPr>
        <w:t xml:space="preserve">    </w:t>
      </w:r>
      <w:r>
        <w:rPr>
          <w:rStyle w:val="KeywordTok"/>
        </w:rPr>
        <w:t xml:space="preserve">def</w:t>
      </w:r>
      <w:r>
        <w:rPr>
          <w:rStyle w:val="NormalTok"/>
        </w:rPr>
        <w:t xml:space="preserve"> </w:t>
      </w:r>
      <w:r>
        <w:rPr>
          <w:rStyle w:val="BuiltInTok"/>
        </w:rPr>
        <w:t xml:space="preserve">open</w:t>
      </w:r>
      <w:r>
        <w:rPr>
          <w:rStyle w:val="NormalTok"/>
        </w:rPr>
        <w:t xml:space="preserve">(</w:t>
      </w:r>
      <w:r>
        <w:rPr>
          <w:rStyle w:val="VariableTok"/>
        </w:rPr>
        <w:t xml:space="preserve">self</w:t>
      </w:r>
      <w:r>
        <w:rPr>
          <w:rStyle w:val="NormalTok"/>
        </w:rPr>
        <w:t xml:space="preserve">): </w:t>
      </w:r>
      <w:r>
        <w:rPr>
          <w:rStyle w:val="VariableTok"/>
        </w:rPr>
        <w:t xml:space="preserve">self</w:t>
      </w:r>
      <w:r>
        <w:rPr>
          <w:rStyle w:val="NormalTok"/>
        </w:rPr>
        <w:t xml:space="preserve">.child.</w:t>
      </w:r>
      <w:r>
        <w:rPr>
          <w:rStyle w:val="BuiltInTok"/>
        </w:rPr>
        <w:t xml:space="preserve">open</w:t>
      </w:r>
      <w:r>
        <w:rPr>
          <w:rStyle w:val="NormalTok"/>
        </w:rPr>
        <w:t xml:space="preserve">()</w:t>
      </w:r>
      <w:r>
        <w:br/>
      </w:r>
      <w:r>
        <w:rPr>
          <w:rStyle w:val="NormalTok"/>
        </w:rPr>
        <w:t xml:space="preserve">    </w:t>
      </w:r>
      <w:r>
        <w:rPr>
          <w:rStyle w:val="KeywordTok"/>
        </w:rPr>
        <w:t xml:space="preserve">def</w:t>
      </w:r>
      <w:r>
        <w:rPr>
          <w:rStyle w:val="NormalTok"/>
        </w:rPr>
        <w:t xml:space="preserve"> </w:t>
      </w:r>
      <w:r>
        <w:rPr>
          <w:rStyle w:val="BuiltInTok"/>
        </w:rPr>
        <w:t xml:space="preserve">next</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while</w:t>
      </w:r>
      <w:r>
        <w:rPr>
          <w:rStyle w:val="NormalTok"/>
        </w:rPr>
        <w:t xml:space="preserve"> (row </w:t>
      </w:r>
      <w:r>
        <w:rPr>
          <w:rStyle w:val="OperatorTok"/>
        </w:rPr>
        <w:t xml:space="preserve">:=</w:t>
      </w:r>
      <w:r>
        <w:rPr>
          <w:rStyle w:val="NormalTok"/>
        </w:rPr>
        <w:t xml:space="preserve"> </w:t>
      </w:r>
      <w:r>
        <w:rPr>
          <w:rStyle w:val="VariableTok"/>
        </w:rPr>
        <w:t xml:space="preserve">self</w:t>
      </w:r>
      <w:r>
        <w:rPr>
          <w:rStyle w:val="NormalTok"/>
        </w:rPr>
        <w:t xml:space="preserve">.child.</w:t>
      </w:r>
      <w:r>
        <w:rPr>
          <w:rStyle w:val="BuiltInTok"/>
        </w:rPr>
        <w:t xml:space="preserve">next</w:t>
      </w:r>
      <w:r>
        <w:rPr>
          <w:rStyle w:val="NormalTok"/>
        </w:rPr>
        <w:t xml:space="preserv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.pred(row): </w:t>
      </w:r>
      <w:r>
        <w:rPr>
          <w:rStyle w:val="ControlFlowTok"/>
        </w:rPr>
        <w:t xml:space="preserve">return</w:t>
      </w:r>
      <w:r>
        <w:rPr>
          <w:rStyle w:val="NormalTok"/>
        </w:rPr>
        <w:t xml:space="preserve"> row</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rPr>
          <w:rStyle w:val="KeywordTok"/>
        </w:rPr>
        <w:t xml:space="preserve">def</w:t>
      </w:r>
      <w:r>
        <w:rPr>
          <w:rStyle w:val="NormalTok"/>
        </w:rPr>
        <w:t xml:space="preserve"> close(</w:t>
      </w:r>
      <w:r>
        <w:rPr>
          <w:rStyle w:val="VariableTok"/>
        </w:rPr>
        <w:t xml:space="preserve">self</w:t>
      </w:r>
      <w:r>
        <w:rPr>
          <w:rStyle w:val="NormalTok"/>
        </w:rPr>
        <w:t xml:space="preserve">): </w:t>
      </w:r>
      <w:r>
        <w:rPr>
          <w:rStyle w:val="VariableTok"/>
        </w:rPr>
        <w:t xml:space="preserve">self</w:t>
      </w:r>
      <w:r>
        <w:rPr>
          <w:rStyle w:val="NormalTok"/>
        </w:rPr>
        <w:t xml:space="preserve">.child.close()</w:t>
      </w:r>
      <w:r>
        <w:br/>
      </w:r>
      <w:r>
        <w:br/>
      </w:r>
      <w:r>
        <w:rPr>
          <w:rStyle w:val="KeywordTok"/>
        </w:rPr>
        <w:t xml:space="preserve">class</w:t>
      </w:r>
      <w:r>
        <w:rPr>
          <w:rStyle w:val="NormalTok"/>
        </w:rPr>
        <w:t xml:space="preserve"> HashJoin(Operator):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build, probe, bkey, pkey):</w:t>
      </w:r>
      <w:r>
        <w:br/>
      </w:r>
      <w:r>
        <w:rPr>
          <w:rStyle w:val="NormalTok"/>
        </w:rPr>
        <w:t xml:space="preserve">        </w:t>
      </w:r>
      <w:r>
        <w:rPr>
          <w:rStyle w:val="VariableTok"/>
        </w:rPr>
        <w:t xml:space="preserve">self</w:t>
      </w:r>
      <w:r>
        <w:rPr>
          <w:rStyle w:val="NormalTok"/>
        </w:rPr>
        <w:t xml:space="preserve">.build, </w:t>
      </w:r>
      <w:r>
        <w:rPr>
          <w:rStyle w:val="VariableTok"/>
        </w:rPr>
        <w:t xml:space="preserve">self</w:t>
      </w:r>
      <w:r>
        <w:rPr>
          <w:rStyle w:val="NormalTok"/>
        </w:rPr>
        <w:t xml:space="preserve">.probe, </w:t>
      </w:r>
      <w:r>
        <w:rPr>
          <w:rStyle w:val="VariableTok"/>
        </w:rPr>
        <w:t xml:space="preserve">self</w:t>
      </w:r>
      <w:r>
        <w:rPr>
          <w:rStyle w:val="NormalTok"/>
        </w:rPr>
        <w:t xml:space="preserve">.bkey, </w:t>
      </w:r>
      <w:r>
        <w:rPr>
          <w:rStyle w:val="VariableTok"/>
        </w:rPr>
        <w:t xml:space="preserve">self</w:t>
      </w:r>
      <w:r>
        <w:rPr>
          <w:rStyle w:val="NormalTok"/>
        </w:rPr>
        <w:t xml:space="preserve">.pkey </w:t>
      </w:r>
      <w:r>
        <w:rPr>
          <w:rStyle w:val="OperatorTok"/>
        </w:rPr>
        <w:t xml:space="preserve">=</w:t>
      </w:r>
      <w:r>
        <w:rPr>
          <w:rStyle w:val="NormalTok"/>
        </w:rPr>
        <w:t xml:space="preserve"> build, probe, bkey, pkey</w:t>
      </w:r>
      <w:r>
        <w:br/>
      </w:r>
      <w:r>
        <w:rPr>
          <w:rStyle w:val="NormalTok"/>
        </w:rPr>
        <w:t xml:space="preserve">    </w:t>
      </w:r>
      <w:r>
        <w:rPr>
          <w:rStyle w:val="KeywordTok"/>
        </w:rPr>
        <w:t xml:space="preserve">def</w:t>
      </w:r>
      <w:r>
        <w:rPr>
          <w:rStyle w:val="NormalTok"/>
        </w:rPr>
        <w:t xml:space="preserve"> </w:t>
      </w:r>
      <w:r>
        <w:rPr>
          <w:rStyle w:val="BuiltInTok"/>
        </w:rPr>
        <w:t xml:space="preserve">open</w:t>
      </w:r>
      <w:r>
        <w:rPr>
          <w:rStyle w:val="NormalTok"/>
        </w:rPr>
        <w:t xml:space="preserve">(</w:t>
      </w:r>
      <w:r>
        <w:rPr>
          <w:rStyle w:val="VariableTok"/>
        </w:rPr>
        <w:t xml:space="preserve">self</w:t>
      </w:r>
      <w:r>
        <w:rPr>
          <w:rStyle w:val="NormalTok"/>
        </w:rPr>
        <w:t xml:space="preserve">):                       </w:t>
      </w:r>
      <w:r>
        <w:rPr>
          <w:rStyle w:val="CommentTok"/>
        </w:rPr>
        <w:t xml:space="preserve"># blocking: consumes the whole build side</w:t>
      </w:r>
      <w:r>
        <w:br/>
      </w:r>
      <w:r>
        <w:rPr>
          <w:rStyle w:val="NormalTok"/>
        </w:rPr>
        <w:t xml:space="preserve">        </w:t>
      </w:r>
      <w:r>
        <w:rPr>
          <w:rStyle w:val="VariableTok"/>
        </w:rPr>
        <w:t xml:space="preserve">self</w:t>
      </w:r>
      <w:r>
        <w:rPr>
          <w:rStyle w:val="NormalTok"/>
        </w:rPr>
        <w:t xml:space="preserve">.table, </w:t>
      </w:r>
      <w:r>
        <w:rPr>
          <w:rStyle w:val="VariableTok"/>
        </w:rPr>
        <w:t xml:space="preserve">self</w:t>
      </w:r>
      <w:r>
        <w:rPr>
          <w:rStyle w:val="NormalTok"/>
        </w:rPr>
        <w:t xml:space="preserve">.pending </w:t>
      </w:r>
      <w:r>
        <w:rPr>
          <w:rStyle w:val="OperatorTok"/>
        </w:rPr>
        <w:t xml:space="preserve">=</w:t>
      </w:r>
      <w:r>
        <w:rPr>
          <w:rStyle w:val="NormalTok"/>
        </w:rPr>
        <w:t xml:space="preserve"> {}, []</w:t>
      </w:r>
      <w:r>
        <w:br/>
      </w:r>
      <w:r>
        <w:rPr>
          <w:rStyle w:val="NormalTok"/>
        </w:rPr>
        <w:t xml:space="preserve">        </w:t>
      </w:r>
      <w:r>
        <w:rPr>
          <w:rStyle w:val="VariableTok"/>
        </w:rPr>
        <w:t xml:space="preserve">self</w:t>
      </w:r>
      <w:r>
        <w:rPr>
          <w:rStyle w:val="NormalTok"/>
        </w:rPr>
        <w:t xml:space="preserve">.build.</w:t>
      </w:r>
      <w:r>
        <w:rPr>
          <w:rStyle w:val="BuiltInTok"/>
        </w:rPr>
        <w:t xml:space="preserve">open</w:t>
      </w:r>
      <w:r>
        <w:rPr>
          <w:rStyle w:val="NormalTok"/>
        </w:rPr>
        <w:t xml:space="preserve">()</w:t>
      </w:r>
      <w:r>
        <w:br/>
      </w:r>
      <w:r>
        <w:rPr>
          <w:rStyle w:val="NormalTok"/>
        </w:rPr>
        <w:t xml:space="preserve">        </w:t>
      </w:r>
      <w:r>
        <w:rPr>
          <w:rStyle w:val="ControlFlowTok"/>
        </w:rPr>
        <w:t xml:space="preserve">while</w:t>
      </w:r>
      <w:r>
        <w:rPr>
          <w:rStyle w:val="NormalTok"/>
        </w:rPr>
        <w:t xml:space="preserve"> (b </w:t>
      </w:r>
      <w:r>
        <w:rPr>
          <w:rStyle w:val="OperatorTok"/>
        </w:rPr>
        <w:t xml:space="preserve">:=</w:t>
      </w:r>
      <w:r>
        <w:rPr>
          <w:rStyle w:val="NormalTok"/>
        </w:rPr>
        <w:t xml:space="preserve"> </w:t>
      </w:r>
      <w:r>
        <w:rPr>
          <w:rStyle w:val="VariableTok"/>
        </w:rPr>
        <w:t xml:space="preserve">self</w:t>
      </w:r>
      <w:r>
        <w:rPr>
          <w:rStyle w:val="NormalTok"/>
        </w:rPr>
        <w:t xml:space="preserve">.build.</w:t>
      </w:r>
      <w:r>
        <w:rPr>
          <w:rStyle w:val="BuiltInTok"/>
        </w:rPr>
        <w:t xml:space="preserve">next</w:t>
      </w:r>
      <w:r>
        <w:rPr>
          <w:rStyle w:val="NormalTok"/>
        </w:rPr>
        <w:t xml:space="preserv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.table.setdefault(b[</w:t>
      </w:r>
      <w:r>
        <w:rPr>
          <w:rStyle w:val="VariableTok"/>
        </w:rPr>
        <w:t xml:space="preserve">self</w:t>
      </w:r>
      <w:r>
        <w:rPr>
          <w:rStyle w:val="NormalTok"/>
        </w:rPr>
        <w:t xml:space="preserve">.bkey], []).append(b)</w:t>
      </w:r>
      <w:r>
        <w:br/>
      </w:r>
      <w:r>
        <w:rPr>
          <w:rStyle w:val="NormalTok"/>
        </w:rPr>
        <w:t xml:space="preserve">        </w:t>
      </w:r>
      <w:r>
        <w:rPr>
          <w:rStyle w:val="VariableTok"/>
        </w:rPr>
        <w:t xml:space="preserve">self</w:t>
      </w:r>
      <w:r>
        <w:rPr>
          <w:rStyle w:val="NormalTok"/>
        </w:rPr>
        <w:t xml:space="preserve">.build.close()</w:t>
      </w:r>
      <w:r>
        <w:br/>
      </w:r>
      <w:r>
        <w:rPr>
          <w:rStyle w:val="NormalTok"/>
        </w:rPr>
        <w:t xml:space="preserve">        </w:t>
      </w:r>
      <w:r>
        <w:rPr>
          <w:rStyle w:val="VariableTok"/>
        </w:rPr>
        <w:t xml:space="preserve">self</w:t>
      </w:r>
      <w:r>
        <w:rPr>
          <w:rStyle w:val="NormalTok"/>
        </w:rPr>
        <w:t xml:space="preserve">.probe.</w:t>
      </w:r>
      <w:r>
        <w:rPr>
          <w:rStyle w:val="BuiltInTok"/>
        </w:rPr>
        <w:t xml:space="preserve">open</w:t>
      </w:r>
      <w:r>
        <w:rPr>
          <w:rStyle w:val="NormalTok"/>
        </w:rPr>
        <w:t xml:space="preserve">()</w:t>
      </w:r>
      <w:r>
        <w:br/>
      </w:r>
      <w:r>
        <w:rPr>
          <w:rStyle w:val="NormalTok"/>
        </w:rPr>
        <w:t xml:space="preserve">    </w:t>
      </w:r>
      <w:r>
        <w:rPr>
          <w:rStyle w:val="KeywordTok"/>
        </w:rPr>
        <w:t xml:space="preserve">def</w:t>
      </w:r>
      <w:r>
        <w:rPr>
          <w:rStyle w:val="NormalTok"/>
        </w:rPr>
        <w:t xml:space="preserve"> </w:t>
      </w:r>
      <w:r>
        <w:rPr>
          <w:rStyle w:val="BuiltInTok"/>
        </w:rPr>
        <w:t xml:space="preserve">next</w:t>
      </w:r>
      <w:r>
        <w:rPr>
          <w:rStyle w:val="NormalTok"/>
        </w:rPr>
        <w:t xml:space="preserve">(</w:t>
      </w:r>
      <w:r>
        <w:rPr>
          <w:rStyle w:val="VariableTok"/>
        </w:rPr>
        <w:t xml:space="preserve">self</w:t>
      </w:r>
      <w:r>
        <w:rPr>
          <w:rStyle w:val="NormalTok"/>
        </w:rPr>
        <w:t xml:space="preserve">):                       </w:t>
      </w:r>
      <w:r>
        <w:rPr>
          <w:rStyle w:val="CommentTok"/>
        </w:rPr>
        <w:t xml:space="preserve"># pipelined: one probe row at a time</w:t>
      </w:r>
      <w:r>
        <w:br/>
      </w:r>
      <w:r>
        <w:rPr>
          <w:rStyle w:val="NormalTok"/>
        </w:rPr>
        <w:t xml:space="preserve">        </w:t>
      </w:r>
      <w:r>
        <w:rPr>
          <w:rStyle w:val="ControlFlowTok"/>
        </w:rPr>
        <w:t xml:space="preserve">while</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.pending:</w:t>
      </w:r>
      <w:r>
        <w:br/>
      </w:r>
      <w:r>
        <w:rPr>
          <w:rStyle w:val="NormalTok"/>
        </w:rPr>
        <w:t xml:space="preserve">            p </w:t>
      </w:r>
      <w:r>
        <w:rPr>
          <w:rStyle w:val="OperatorTok"/>
        </w:rPr>
        <w:t xml:space="preserve">=</w:t>
      </w:r>
      <w:r>
        <w:rPr>
          <w:rStyle w:val="NormalTok"/>
        </w:rPr>
        <w:t xml:space="preserve"> </w:t>
      </w:r>
      <w:r>
        <w:rPr>
          <w:rStyle w:val="VariableTok"/>
        </w:rPr>
        <w:t xml:space="preserve">self</w:t>
      </w:r>
      <w:r>
        <w:rPr>
          <w:rStyle w:val="NormalTok"/>
        </w:rPr>
        <w:t xml:space="preserve">.probe.</w:t>
      </w:r>
      <w:r>
        <w:rPr>
          <w:rStyle w:val="BuiltInTok"/>
        </w:rPr>
        <w:t xml:space="preserve">next</w:t>
      </w:r>
      <w:r>
        <w:rPr>
          <w:rStyle w:val="NormalTok"/>
        </w:rPr>
        <w:t xml:space="preserve">()</w:t>
      </w:r>
      <w:r>
        <w:br/>
      </w:r>
      <w:r>
        <w:rPr>
          <w:rStyle w:val="NormalTok"/>
        </w:rPr>
        <w:t xml:space="preserve">            </w:t>
      </w:r>
      <w:r>
        <w:rPr>
          <w:rStyle w:val="ControlFlowTok"/>
        </w:rPr>
        <w:t xml:space="preserve">if</w:t>
      </w:r>
      <w:r>
        <w:rPr>
          <w:rStyle w:val="NormalTok"/>
        </w:rPr>
        <w:t xml:space="preserve"> p </w:t>
      </w:r>
      <w:r>
        <w:rPr>
          <w:rStyle w:val="KeywordTok"/>
        </w:rPr>
        <w:t xml:space="preserve">is</w:t>
      </w:r>
      <w:r>
        <w:rPr>
          <w:rStyle w:val="NormalTok"/>
        </w:rPr>
        <w:t xml:space="preserve"> </w:t>
      </w:r>
      <w:r>
        <w:rPr>
          <w:rStyle w:val="VariableTok"/>
        </w:rPr>
        <w:t xml:space="preserve">None</w:t>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.pending </w:t>
      </w:r>
      <w:r>
        <w:rPr>
          <w:rStyle w:val="OperatorTok"/>
        </w:rPr>
        <w:t xml:space="preserve">=</w:t>
      </w:r>
      <w:r>
        <w:rPr>
          <w:rStyle w:val="NormalTok"/>
        </w:rPr>
        <w:t xml:space="preserve"> [b </w:t>
      </w:r>
      <w:r>
        <w:rPr>
          <w:rStyle w:val="OperatorTok"/>
        </w:rPr>
        <w:t xml:space="preserve">+</w:t>
      </w:r>
      <w:r>
        <w:rPr>
          <w:rStyle w:val="NormalTok"/>
        </w:rPr>
        <w:t xml:space="preserve"> p </w:t>
      </w:r>
      <w:r>
        <w:rPr>
          <w:rStyle w:val="ControlFlowTok"/>
        </w:rPr>
        <w:t xml:space="preserve">for</w:t>
      </w:r>
      <w:r>
        <w:rPr>
          <w:rStyle w:val="NormalTok"/>
        </w:rPr>
        <w:t xml:space="preserve"> b </w:t>
      </w:r>
      <w:r>
        <w:rPr>
          <w:rStyle w:val="KeywordTok"/>
        </w:rPr>
        <w:t xml:space="preserve">in</w:t>
      </w:r>
      <w:r>
        <w:rPr>
          <w:rStyle w:val="NormalTok"/>
        </w:rPr>
        <w:t xml:space="preserve"> </w:t>
      </w:r>
      <w:r>
        <w:rPr>
          <w:rStyle w:val="VariableTok"/>
        </w:rPr>
        <w:t xml:space="preserve">self</w:t>
      </w:r>
      <w:r>
        <w:rPr>
          <w:rStyle w:val="NormalTok"/>
        </w:rPr>
        <w:t xml:space="preserve">.table.get(p[</w:t>
      </w:r>
      <w:r>
        <w:rPr>
          <w:rStyle w:val="VariableTok"/>
        </w:rPr>
        <w:t xml:space="preserve">self</w:t>
      </w:r>
      <w:r>
        <w:rPr>
          <w:rStyle w:val="NormalTok"/>
        </w:rPr>
        <w:t xml:space="preserve">.pkey],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.pending.pop()</w:t>
      </w:r>
      <w:r>
        <w:br/>
      </w:r>
      <w:r>
        <w:rPr>
          <w:rStyle w:val="NormalTok"/>
        </w:rPr>
        <w:t xml:space="preserve">    </w:t>
      </w:r>
      <w:r>
        <w:rPr>
          <w:rStyle w:val="KeywordTok"/>
        </w:rPr>
        <w:t xml:space="preserve">def</w:t>
      </w:r>
      <w:r>
        <w:rPr>
          <w:rStyle w:val="NormalTok"/>
        </w:rPr>
        <w:t xml:space="preserve"> close(</w:t>
      </w:r>
      <w:r>
        <w:rPr>
          <w:rStyle w:val="VariableTok"/>
        </w:rPr>
        <w:t xml:space="preserve">self</w:t>
      </w:r>
      <w:r>
        <w:rPr>
          <w:rStyle w:val="NormalTok"/>
        </w:rPr>
        <w:t xml:space="preserve">): </w:t>
      </w:r>
      <w:r>
        <w:rPr>
          <w:rStyle w:val="VariableTok"/>
        </w:rPr>
        <w:t xml:space="preserve">self</w:t>
      </w:r>
      <w:r>
        <w:rPr>
          <w:rStyle w:val="NormalTok"/>
        </w:rPr>
        <w:t xml:space="preserve">.probe.close()</w:t>
      </w:r>
      <w:r>
        <w:br/>
      </w:r>
      <w:r>
        <w:br/>
      </w:r>
      <w:r>
        <w:rPr>
          <w:rStyle w:val="KeywordTok"/>
        </w:rPr>
        <w:t xml:space="preserve">class</w:t>
      </w:r>
      <w:r>
        <w:rPr>
          <w:rStyle w:val="NormalTok"/>
        </w:rPr>
        <w:t xml:space="preserve"> Project(Operator):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child, cols): </w:t>
      </w:r>
      <w:r>
        <w:rPr>
          <w:rStyle w:val="VariableTok"/>
        </w:rPr>
        <w:t xml:space="preserve">self</w:t>
      </w:r>
      <w:r>
        <w:rPr>
          <w:rStyle w:val="NormalTok"/>
        </w:rPr>
        <w:t xml:space="preserve">.child, </w:t>
      </w:r>
      <w:r>
        <w:rPr>
          <w:rStyle w:val="VariableTok"/>
        </w:rPr>
        <w:t xml:space="preserve">self</w:t>
      </w:r>
      <w:r>
        <w:rPr>
          <w:rStyle w:val="NormalTok"/>
        </w:rPr>
        <w:t xml:space="preserve">.cols </w:t>
      </w:r>
      <w:r>
        <w:rPr>
          <w:rStyle w:val="OperatorTok"/>
        </w:rPr>
        <w:t xml:space="preserve">=</w:t>
      </w:r>
      <w:r>
        <w:rPr>
          <w:rStyle w:val="NormalTok"/>
        </w:rPr>
        <w:t xml:space="preserve"> child, cols</w:t>
      </w:r>
      <w:r>
        <w:br/>
      </w:r>
      <w:r>
        <w:rPr>
          <w:rStyle w:val="NormalTok"/>
        </w:rPr>
        <w:t xml:space="preserve">    </w:t>
      </w:r>
      <w:r>
        <w:rPr>
          <w:rStyle w:val="KeywordTok"/>
        </w:rPr>
        <w:t xml:space="preserve">def</w:t>
      </w:r>
      <w:r>
        <w:rPr>
          <w:rStyle w:val="NormalTok"/>
        </w:rPr>
        <w:t xml:space="preserve"> </w:t>
      </w:r>
      <w:r>
        <w:rPr>
          <w:rStyle w:val="BuiltInTok"/>
        </w:rPr>
        <w:t xml:space="preserve">open</w:t>
      </w:r>
      <w:r>
        <w:rPr>
          <w:rStyle w:val="NormalTok"/>
        </w:rPr>
        <w:t xml:space="preserve">(</w:t>
      </w:r>
      <w:r>
        <w:rPr>
          <w:rStyle w:val="VariableTok"/>
        </w:rPr>
        <w:t xml:space="preserve">self</w:t>
      </w:r>
      <w:r>
        <w:rPr>
          <w:rStyle w:val="NormalTok"/>
        </w:rPr>
        <w:t xml:space="preserve">): </w:t>
      </w:r>
      <w:r>
        <w:rPr>
          <w:rStyle w:val="VariableTok"/>
        </w:rPr>
        <w:t xml:space="preserve">self</w:t>
      </w:r>
      <w:r>
        <w:rPr>
          <w:rStyle w:val="NormalTok"/>
        </w:rPr>
        <w:t xml:space="preserve">.child.</w:t>
      </w:r>
      <w:r>
        <w:rPr>
          <w:rStyle w:val="BuiltInTok"/>
        </w:rPr>
        <w:t xml:space="preserve">open</w:t>
      </w:r>
      <w:r>
        <w:rPr>
          <w:rStyle w:val="NormalTok"/>
        </w:rPr>
        <w:t xml:space="preserve">()</w:t>
      </w:r>
      <w:r>
        <w:br/>
      </w:r>
      <w:r>
        <w:rPr>
          <w:rStyle w:val="NormalTok"/>
        </w:rPr>
        <w:t xml:space="preserve">    </w:t>
      </w:r>
      <w:r>
        <w:rPr>
          <w:rStyle w:val="KeywordTok"/>
        </w:rPr>
        <w:t xml:space="preserve">def</w:t>
      </w:r>
      <w:r>
        <w:rPr>
          <w:rStyle w:val="NormalTok"/>
        </w:rPr>
        <w:t xml:space="preserve"> </w:t>
      </w:r>
      <w:r>
        <w:rPr>
          <w:rStyle w:val="BuiltInTok"/>
        </w:rPr>
        <w:t xml:space="preserve">next</w:t>
      </w:r>
      <w:r>
        <w:rPr>
          <w:rStyle w:val="NormalTok"/>
        </w:rPr>
        <w:t xml:space="preserve">(</w:t>
      </w:r>
      <w:r>
        <w:rPr>
          <w:rStyle w:val="VariableTok"/>
        </w:rPr>
        <w:t xml:space="preserve">self</w:t>
      </w:r>
      <w:r>
        <w:rPr>
          <w:rStyle w:val="NormalTok"/>
        </w:rPr>
        <w:t xml:space="preserve">):</w:t>
      </w:r>
      <w:r>
        <w:br/>
      </w:r>
      <w:r>
        <w:rPr>
          <w:rStyle w:val="NormalTok"/>
        </w:rPr>
        <w:t xml:space="preserve">        row </w:t>
      </w:r>
      <w:r>
        <w:rPr>
          <w:rStyle w:val="OperatorTok"/>
        </w:rPr>
        <w:t xml:space="preserve">=</w:t>
      </w:r>
      <w:r>
        <w:rPr>
          <w:rStyle w:val="NormalTok"/>
        </w:rPr>
        <w:t xml:space="preserve"> </w:t>
      </w:r>
      <w:r>
        <w:rPr>
          <w:rStyle w:val="VariableTok"/>
        </w:rPr>
        <w:t xml:space="preserve">self</w:t>
      </w:r>
      <w:r>
        <w:rPr>
          <w:rStyle w:val="NormalTok"/>
        </w:rPr>
        <w:t xml:space="preserve">.child.</w:t>
      </w:r>
      <w:r>
        <w:rPr>
          <w:rStyle w:val="BuiltInTok"/>
        </w:rPr>
        <w:t xml:space="preserve">next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rPr>
          <w:rStyle w:val="NormalTok"/>
        </w:rPr>
        <w:t xml:space="preserve"> </w:t>
      </w:r>
      <w:r>
        <w:rPr>
          <w:rStyle w:val="ControlFlowTok"/>
        </w:rPr>
        <w:t xml:space="preserve">if</w:t>
      </w:r>
      <w:r>
        <w:rPr>
          <w:rStyle w:val="NormalTok"/>
        </w:rPr>
        <w:t xml:space="preserve"> row </w:t>
      </w:r>
      <w:r>
        <w:rPr>
          <w:rStyle w:val="KeywordTok"/>
        </w:rPr>
        <w:t xml:space="preserve">is</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w:t>
      </w:r>
      <w:r>
        <w:rPr>
          <w:rStyle w:val="BuiltInTok"/>
        </w:rPr>
        <w:t xml:space="preserve">tuple</w:t>
      </w:r>
      <w:r>
        <w:rPr>
          <w:rStyle w:val="NormalTok"/>
        </w:rPr>
        <w:t xml:space="preserve">(row[c]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VariableTok"/>
        </w:rPr>
        <w:t xml:space="preserve">self</w:t>
      </w:r>
      <w:r>
        <w:rPr>
          <w:rStyle w:val="NormalTok"/>
        </w:rPr>
        <w:t xml:space="preserve">.cols)</w:t>
      </w:r>
      <w:r>
        <w:br/>
      </w:r>
      <w:r>
        <w:rPr>
          <w:rStyle w:val="NormalTok"/>
        </w:rPr>
        <w:t xml:space="preserve">    </w:t>
      </w:r>
      <w:r>
        <w:rPr>
          <w:rStyle w:val="KeywordTok"/>
        </w:rPr>
        <w:t xml:space="preserve">def</w:t>
      </w:r>
      <w:r>
        <w:rPr>
          <w:rStyle w:val="NormalTok"/>
        </w:rPr>
        <w:t xml:space="preserve"> close(</w:t>
      </w:r>
      <w:r>
        <w:rPr>
          <w:rStyle w:val="VariableTok"/>
        </w:rPr>
        <w:t xml:space="preserve">self</w:t>
      </w:r>
      <w:r>
        <w:rPr>
          <w:rStyle w:val="NormalTok"/>
        </w:rPr>
        <w:t xml:space="preserve">): </w:t>
      </w:r>
      <w:r>
        <w:rPr>
          <w:rStyle w:val="VariableTok"/>
        </w:rPr>
        <w:t xml:space="preserve">self</w:t>
      </w:r>
      <w:r>
        <w:rPr>
          <w:rStyle w:val="NormalTok"/>
        </w:rPr>
        <w:t xml:space="preserve">.child.close()</w:t>
      </w:r>
      <w:r>
        <w:br/>
      </w:r>
      <w:r>
        <w:br/>
      </w:r>
      <w:r>
        <w:rPr>
          <w:rStyle w:val="KeywordTok"/>
        </w:rPr>
        <w:t xml:space="preserve">class</w:t>
      </w:r>
      <w:r>
        <w:rPr>
          <w:rStyle w:val="NormalTok"/>
        </w:rPr>
        <w:t xml:space="preserve"> Limit(Operator):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child, n): </w:t>
      </w:r>
      <w:r>
        <w:rPr>
          <w:rStyle w:val="VariableTok"/>
        </w:rPr>
        <w:t xml:space="preserve">self</w:t>
      </w:r>
      <w:r>
        <w:rPr>
          <w:rStyle w:val="NormalTok"/>
        </w:rPr>
        <w:t xml:space="preserve">.child, </w:t>
      </w:r>
      <w:r>
        <w:rPr>
          <w:rStyle w:val="VariableTok"/>
        </w:rPr>
        <w:t xml:space="preserve">self</w:t>
      </w:r>
      <w:r>
        <w:rPr>
          <w:rStyle w:val="NormalTok"/>
        </w:rPr>
        <w:t xml:space="preserve">.n </w:t>
      </w:r>
      <w:r>
        <w:rPr>
          <w:rStyle w:val="OperatorTok"/>
        </w:rPr>
        <w:t xml:space="preserve">=</w:t>
      </w:r>
      <w:r>
        <w:rPr>
          <w:rStyle w:val="NormalTok"/>
        </w:rPr>
        <w:t xml:space="preserve"> child, n</w:t>
      </w:r>
      <w:r>
        <w:br/>
      </w:r>
      <w:r>
        <w:rPr>
          <w:rStyle w:val="NormalTok"/>
        </w:rPr>
        <w:t xml:space="preserve">    </w:t>
      </w:r>
      <w:r>
        <w:rPr>
          <w:rStyle w:val="KeywordTok"/>
        </w:rPr>
        <w:t xml:space="preserve">def</w:t>
      </w:r>
      <w:r>
        <w:rPr>
          <w:rStyle w:val="NormalTok"/>
        </w:rPr>
        <w:t xml:space="preserve"> </w:t>
      </w:r>
      <w:r>
        <w:rPr>
          <w:rStyle w:val="BuiltInTok"/>
        </w:rPr>
        <w:t xml:space="preserve">open</w:t>
      </w:r>
      <w:r>
        <w:rPr>
          <w:rStyle w:val="NormalTok"/>
        </w:rPr>
        <w:t xml:space="preserve">(</w:t>
      </w:r>
      <w:r>
        <w:rPr>
          <w:rStyle w:val="VariableTok"/>
        </w:rPr>
        <w:t xml:space="preserve">self</w:t>
      </w:r>
      <w:r>
        <w:rPr>
          <w:rStyle w:val="NormalTok"/>
        </w:rPr>
        <w:t xml:space="preserve">): </w:t>
      </w:r>
      <w:r>
        <w:rPr>
          <w:rStyle w:val="VariableTok"/>
        </w:rPr>
        <w:t xml:space="preserve">self</w:t>
      </w:r>
      <w:r>
        <w:rPr>
          <w:rStyle w:val="NormalTok"/>
        </w:rPr>
        <w:t xml:space="preserve">.child.</w:t>
      </w:r>
      <w:r>
        <w:rPr>
          <w:rStyle w:val="BuiltInTok"/>
        </w:rPr>
        <w:t xml:space="preserve">open</w:t>
      </w:r>
      <w:r>
        <w:rPr>
          <w:rStyle w:val="NormalTok"/>
        </w:rPr>
        <w:t xml:space="preserve">()</w:t>
      </w:r>
      <w:r>
        <w:rPr>
          <w:rStyle w:val="OperatorTok"/>
        </w:rPr>
        <w:t xml:space="preserve">;</w:t>
      </w:r>
      <w:r>
        <w:rPr>
          <w:rStyle w:val="NormalTok"/>
        </w:rPr>
        <w:t xml:space="preserve"> </w:t>
      </w:r>
      <w:r>
        <w:rPr>
          <w:rStyle w:val="VariableTok"/>
        </w:rPr>
        <w:t xml:space="preserve">self</w:t>
      </w:r>
      <w:r>
        <w:rPr>
          <w:rStyle w:val="NormalTok"/>
        </w:rPr>
        <w:t xml:space="preserve">.seen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KeywordTok"/>
        </w:rPr>
        <w:t xml:space="preserve">def</w:t>
      </w:r>
      <w:r>
        <w:rPr>
          <w:rStyle w:val="NormalTok"/>
        </w:rPr>
        <w:t xml:space="preserve"> </w:t>
      </w:r>
      <w:r>
        <w:rPr>
          <w:rStyle w:val="BuiltInTok"/>
        </w:rPr>
        <w:t xml:space="preserve">next</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.seen </w:t>
      </w:r>
      <w:r>
        <w:rPr>
          <w:rStyle w:val="OperatorTok"/>
        </w:rPr>
        <w:t xml:space="preserve">==</w:t>
      </w:r>
      <w:r>
        <w:rPr>
          <w:rStyle w:val="NormalTok"/>
        </w:rPr>
        <w:t xml:space="preserve"> </w:t>
      </w:r>
      <w:r>
        <w:rPr>
          <w:rStyle w:val="VariableTok"/>
        </w:rPr>
        <w:t xml:space="preserve">self</w:t>
      </w:r>
      <w:r>
        <w:rPr>
          <w:rStyle w:val="NormalTok"/>
        </w:rPr>
        <w:t xml:space="preserve">.n: </w:t>
      </w:r>
      <w:r>
        <w:rPr>
          <w:rStyle w:val="ControlFlowTok"/>
        </w:rPr>
        <w:t xml:space="preserve">return</w:t>
      </w:r>
      <w:r>
        <w:rPr>
          <w:rStyle w:val="NormalTok"/>
        </w:rPr>
        <w:t xml:space="preserve"> </w:t>
      </w:r>
      <w:r>
        <w:rPr>
          <w:rStyle w:val="VariableTok"/>
        </w:rPr>
        <w:t xml:space="preserve">None</w:t>
      </w:r>
      <w:r>
        <w:rPr>
          <w:rStyle w:val="NormalTok"/>
        </w:rPr>
        <w:t xml:space="preserve">   </w:t>
      </w:r>
      <w:r>
        <w:rPr>
          <w:rStyle w:val="CommentTok"/>
        </w:rPr>
        <w:t xml:space="preserve"># stop pulling: the scan below never finishes</w:t>
      </w:r>
      <w:r>
        <w:br/>
      </w:r>
      <w:r>
        <w:rPr>
          <w:rStyle w:val="NormalTok"/>
        </w:rPr>
        <w:t xml:space="preserve">        </w:t>
      </w:r>
      <w:r>
        <w:rPr>
          <w:rStyle w:val="VariableTok"/>
        </w:rPr>
        <w:t xml:space="preserve">self</w:t>
      </w:r>
      <w:r>
        <w:rPr>
          <w:rStyle w:val="NormalTok"/>
        </w:rPr>
        <w:t xml:space="preserve">.seen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.child.</w:t>
      </w:r>
      <w:r>
        <w:rPr>
          <w:rStyle w:val="BuiltInTok"/>
        </w:rPr>
        <w:t xml:space="preserve">next</w:t>
      </w:r>
      <w:r>
        <w:rPr>
          <w:rStyle w:val="NormalTok"/>
        </w:rPr>
        <w:t xml:space="preserve">()</w:t>
      </w:r>
      <w:r>
        <w:br/>
      </w:r>
      <w:r>
        <w:rPr>
          <w:rStyle w:val="NormalTok"/>
        </w:rPr>
        <w:t xml:space="preserve">    </w:t>
      </w:r>
      <w:r>
        <w:rPr>
          <w:rStyle w:val="KeywordTok"/>
        </w:rPr>
        <w:t xml:space="preserve">def</w:t>
      </w:r>
      <w:r>
        <w:rPr>
          <w:rStyle w:val="NormalTok"/>
        </w:rPr>
        <w:t xml:space="preserve"> close(</w:t>
      </w:r>
      <w:r>
        <w:rPr>
          <w:rStyle w:val="VariableTok"/>
        </w:rPr>
        <w:t xml:space="preserve">self</w:t>
      </w:r>
      <w:r>
        <w:rPr>
          <w:rStyle w:val="NormalTok"/>
        </w:rPr>
        <w:t xml:space="preserve">): </w:t>
      </w:r>
      <w:r>
        <w:rPr>
          <w:rStyle w:val="VariableTok"/>
        </w:rPr>
        <w:t xml:space="preserve">self</w:t>
      </w:r>
      <w:r>
        <w:rPr>
          <w:rStyle w:val="NormalTok"/>
        </w:rPr>
        <w:t xml:space="preserve">.child.close()</w:t>
      </w:r>
      <w:r>
        <w:br/>
      </w:r>
      <w:r>
        <w:br/>
      </w:r>
      <w:r>
        <w:rPr>
          <w:rStyle w:val="CommentTok"/>
        </w:rPr>
        <w:t xml:space="preserve"># SELECT c.city, o.total FROM customers c JOIN orders o ON c.id = o.customer_id</w:t>
      </w:r>
      <w:r>
        <w:br/>
      </w:r>
      <w:r>
        <w:rPr>
          <w:rStyle w:val="CommentTok"/>
        </w:rPr>
        <w:t xml:space="preserve"># WHERE o.total &gt; 1000 LIMIT 2</w:t>
      </w:r>
      <w:r>
        <w:br/>
      </w:r>
      <w:r>
        <w:rPr>
          <w:rStyle w:val="NormalTok"/>
        </w:rPr>
        <w:t xml:space="preserve">customers </w:t>
      </w:r>
      <w:r>
        <w:rPr>
          <w:rStyle w:val="OperatorTok"/>
        </w:rPr>
        <w:t xml:space="preserve">=</w:t>
      </w:r>
      <w:r>
        <w:rPr>
          <w:rStyle w:val="NormalTok"/>
        </w:rPr>
        <w:t xml:space="preserve"> [(</w:t>
      </w:r>
      <w:r>
        <w:rPr>
          <w:rStyle w:val="DecValTok"/>
        </w:rPr>
        <w:t xml:space="preserve">1</w:t>
      </w:r>
      <w:r>
        <w:rPr>
          <w:rStyle w:val="NormalTok"/>
        </w:rPr>
        <w:t xml:space="preserve">, </w:t>
      </w:r>
      <w:r>
        <w:rPr>
          <w:rStyle w:val="StringTok"/>
        </w:rPr>
        <w:t xml:space="preserve">"Berlin"</w:t>
      </w:r>
      <w:r>
        <w:rPr>
          <w:rStyle w:val="NormalTok"/>
        </w:rPr>
        <w:t xml:space="preserve">), (</w:t>
      </w:r>
      <w:r>
        <w:rPr>
          <w:rStyle w:val="DecValTok"/>
        </w:rPr>
        <w:t xml:space="preserve">2</w:t>
      </w:r>
      <w:r>
        <w:rPr>
          <w:rStyle w:val="NormalTok"/>
        </w:rPr>
        <w:t xml:space="preserve">, </w:t>
      </w:r>
      <w:r>
        <w:rPr>
          <w:rStyle w:val="StringTok"/>
        </w:rPr>
        <w:t xml:space="preserve">"Austin"</w:t>
      </w:r>
      <w:r>
        <w:rPr>
          <w:rStyle w:val="NormalTok"/>
        </w:rPr>
        <w:t xml:space="preserve">), (</w:t>
      </w:r>
      <w:r>
        <w:rPr>
          <w:rStyle w:val="DecValTok"/>
        </w:rPr>
        <w:t xml:space="preserve">3</w:t>
      </w:r>
      <w:r>
        <w:rPr>
          <w:rStyle w:val="NormalTok"/>
        </w:rPr>
        <w:t xml:space="preserve">, </w:t>
      </w:r>
      <w:r>
        <w:rPr>
          <w:rStyle w:val="StringTok"/>
        </w:rPr>
        <w:t xml:space="preserve">"Pune"</w:t>
      </w:r>
      <w:r>
        <w:rPr>
          <w:rStyle w:val="NormalTok"/>
        </w:rPr>
        <w:t xml:space="preserve">)]</w:t>
      </w:r>
      <w:r>
        <w:br/>
      </w:r>
      <w:r>
        <w:rPr>
          <w:rStyle w:val="NormalTok"/>
        </w:rPr>
        <w:t xml:space="preserve">orders </w:t>
      </w:r>
      <w:r>
        <w:rPr>
          <w:rStyle w:val="OperatorTok"/>
        </w:rPr>
        <w:t xml:space="preserve">=</w:t>
      </w:r>
      <w:r>
        <w:rPr>
          <w:rStyle w:val="NormalTok"/>
        </w:rPr>
        <w:t xml:space="preserve"> [(</w:t>
      </w:r>
      <w:r>
        <w:rPr>
          <w:rStyle w:val="DecValTok"/>
        </w:rPr>
        <w:t xml:space="preserve">10</w:t>
      </w:r>
      <w:r>
        <w:rPr>
          <w:rStyle w:val="NormalTok"/>
        </w:rPr>
        <w:t xml:space="preserve">, </w:t>
      </w:r>
      <w:r>
        <w:rPr>
          <w:rStyle w:val="DecValTok"/>
        </w:rPr>
        <w:t xml:space="preserve">1</w:t>
      </w:r>
      <w:r>
        <w:rPr>
          <w:rStyle w:val="NormalTok"/>
        </w:rPr>
        <w:t xml:space="preserve">, </w:t>
      </w:r>
      <w:r>
        <w:rPr>
          <w:rStyle w:val="DecValTok"/>
        </w:rPr>
        <w:t xml:space="preserve">2500</w:t>
      </w:r>
      <w:r>
        <w:rPr>
          <w:rStyle w:val="NormalTok"/>
        </w:rPr>
        <w:t xml:space="preserve">), (</w:t>
      </w:r>
      <w:r>
        <w:rPr>
          <w:rStyle w:val="DecValTok"/>
        </w:rPr>
        <w:t xml:space="preserve">11</w:t>
      </w:r>
      <w:r>
        <w:rPr>
          <w:rStyle w:val="NormalTok"/>
        </w:rPr>
        <w:t xml:space="preserve">, </w:t>
      </w:r>
      <w:r>
        <w:rPr>
          <w:rStyle w:val="DecValTok"/>
        </w:rPr>
        <w:t xml:space="preserve">3</w:t>
      </w:r>
      <w:r>
        <w:rPr>
          <w:rStyle w:val="NormalTok"/>
        </w:rPr>
        <w:t xml:space="preserve">, </w:t>
      </w:r>
      <w:r>
        <w:rPr>
          <w:rStyle w:val="DecValTok"/>
        </w:rPr>
        <w:t xml:space="preserve">900</w:t>
      </w:r>
      <w:r>
        <w:rPr>
          <w:rStyle w:val="NormalTok"/>
        </w:rPr>
        <w:t xml:space="preserve">), (</w:t>
      </w:r>
      <w:r>
        <w:rPr>
          <w:rStyle w:val="DecValTok"/>
        </w:rPr>
        <w:t xml:space="preserve">12</w:t>
      </w:r>
      <w:r>
        <w:rPr>
          <w:rStyle w:val="NormalTok"/>
        </w:rPr>
        <w:t xml:space="preserve">, </w:t>
      </w:r>
      <w:r>
        <w:rPr>
          <w:rStyle w:val="DecValTok"/>
        </w:rPr>
        <w:t xml:space="preserve">1</w:t>
      </w:r>
      <w:r>
        <w:rPr>
          <w:rStyle w:val="NormalTok"/>
        </w:rPr>
        <w:t xml:space="preserve">, </w:t>
      </w:r>
      <w:r>
        <w:rPr>
          <w:rStyle w:val="DecValTok"/>
        </w:rPr>
        <w:t xml:space="preserve">4100</w:t>
      </w:r>
      <w:r>
        <w:rPr>
          <w:rStyle w:val="NormalTok"/>
        </w:rPr>
        <w:t xml:space="preserve">), (</w:t>
      </w:r>
      <w:r>
        <w:rPr>
          <w:rStyle w:val="DecValTok"/>
        </w:rPr>
        <w:t xml:space="preserve">13</w:t>
      </w:r>
      <w:r>
        <w:rPr>
          <w:rStyle w:val="NormalTok"/>
        </w:rPr>
        <w:t xml:space="preserve">, </w:t>
      </w:r>
      <w:r>
        <w:rPr>
          <w:rStyle w:val="DecValTok"/>
        </w:rPr>
        <w:t xml:space="preserve">2</w:t>
      </w:r>
      <w:r>
        <w:rPr>
          <w:rStyle w:val="NormalTok"/>
        </w:rPr>
        <w:t xml:space="preserve">, </w:t>
      </w:r>
      <w:r>
        <w:rPr>
          <w:rStyle w:val="DecValTok"/>
        </w:rPr>
        <w:t xml:space="preserve">1800</w:t>
      </w:r>
      <w:r>
        <w:rPr>
          <w:rStyle w:val="NormalTok"/>
        </w:rPr>
        <w:t xml:space="preserve">)]</w:t>
      </w:r>
      <w:r>
        <w:br/>
      </w:r>
      <w:r>
        <w:rPr>
          <w:rStyle w:val="NormalTok"/>
        </w:rPr>
        <w:t xml:space="preserve">plan </w:t>
      </w:r>
      <w:r>
        <w:rPr>
          <w:rStyle w:val="OperatorTok"/>
        </w:rPr>
        <w:t xml:space="preserve">=</w:t>
      </w:r>
      <w:r>
        <w:rPr>
          <w:rStyle w:val="NormalTok"/>
        </w:rPr>
        <w:t xml:space="preserve"> Limit(Project(HashJoin(SeqScan(customers),</w:t>
      </w:r>
      <w:r>
        <w:br/>
      </w:r>
      <w:r>
        <w:rPr>
          <w:rStyle w:val="NormalTok"/>
        </w:rPr>
        <w:t xml:space="preserve">                              Filter(SeqScan(orders), </w:t>
      </w:r>
      <w:r>
        <w:rPr>
          <w:rStyle w:val="KeywordTok"/>
        </w:rPr>
        <w:t xml:space="preserve">lambda</w:t>
      </w:r>
      <w:r>
        <w:rPr>
          <w:rStyle w:val="NormalTok"/>
        </w:rPr>
        <w:t xml:space="preserve"> r: r[</w:t>
      </w:r>
      <w:r>
        <w:rPr>
          <w:rStyle w:val="DecValTok"/>
        </w:rPr>
        <w:t xml:space="preserve">2</w:t>
      </w:r>
      <w:r>
        <w:rPr>
          <w:rStyle w:val="NormalTok"/>
        </w:rPr>
        <w:t xml:space="preserve">] </w:t>
      </w:r>
      <w:r>
        <w:rPr>
          <w:rStyle w:val="OperatorTok"/>
        </w:rPr>
        <w:t xml:space="preserve">&gt;</w:t>
      </w:r>
      <w:r>
        <w:rPr>
          <w:rStyle w:val="NormalTok"/>
        </w:rPr>
        <w:t xml:space="preserve"> </w:t>
      </w:r>
      <w:r>
        <w:rPr>
          <w:rStyle w:val="DecValTok"/>
        </w:rPr>
        <w:t xml:space="preserve">1000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cols</w:t>
      </w:r>
      <w:r>
        <w:rPr>
          <w:rStyle w:val="OperatorTok"/>
        </w:rPr>
        <w:t xml:space="preserve">=</w:t>
      </w:r>
      <w:r>
        <w:rPr>
          <w:rStyle w:val="NormalTok"/>
        </w:rPr>
        <w:t xml:space="preserve">[</w:t>
      </w:r>
      <w:r>
        <w:rPr>
          <w:rStyle w:val="DecValTok"/>
        </w:rPr>
        <w:t xml:space="preserve">1</w:t>
      </w:r>
      <w:r>
        <w:rPr>
          <w:rStyle w:val="NormalTok"/>
        </w:rPr>
        <w:t xml:space="preserve">, </w:t>
      </w:r>
      <w:r>
        <w:rPr>
          <w:rStyle w:val="DecValTok"/>
        </w:rPr>
        <w:t xml:space="preserve">4</w:t>
      </w:r>
      <w:r>
        <w:rPr>
          <w:rStyle w:val="NormalTok"/>
        </w:rPr>
        <w:t xml:space="preserve">]), </w:t>
      </w:r>
      <w:r>
        <w:rPr>
          <w:rStyle w:val="DecValTok"/>
        </w:rPr>
        <w:t xml:space="preserve">2</w:t>
      </w:r>
      <w:r>
        <w:rPr>
          <w:rStyle w:val="NormalTok"/>
        </w:rPr>
        <w:t xml:space="preserve">)</w:t>
      </w:r>
      <w:r>
        <w:br/>
      </w:r>
      <w:r>
        <w:rPr>
          <w:rStyle w:val="NormalTok"/>
        </w:rPr>
        <w:t xml:space="preserve">plan.</w:t>
      </w:r>
      <w:r>
        <w:rPr>
          <w:rStyle w:val="BuiltInTok"/>
        </w:rPr>
        <w:t xml:space="preserve">open</w:t>
      </w:r>
      <w:r>
        <w:rPr>
          <w:rStyle w:val="NormalTok"/>
        </w:rPr>
        <w:t xml:space="preserve">()</w:t>
      </w:r>
      <w:r>
        <w:br/>
      </w:r>
      <w:r>
        <w:rPr>
          <w:rStyle w:val="ControlFlowTok"/>
        </w:rPr>
        <w:t xml:space="preserve">while</w:t>
      </w:r>
      <w:r>
        <w:rPr>
          <w:rStyle w:val="NormalTok"/>
        </w:rPr>
        <w:t xml:space="preserve"> (row </w:t>
      </w:r>
      <w:r>
        <w:rPr>
          <w:rStyle w:val="OperatorTok"/>
        </w:rPr>
        <w:t xml:space="preserve">:=</w:t>
      </w:r>
      <w:r>
        <w:rPr>
          <w:rStyle w:val="NormalTok"/>
        </w:rPr>
        <w:t xml:space="preserve"> plan.</w:t>
      </w:r>
      <w:r>
        <w:rPr>
          <w:rStyle w:val="BuiltInTok"/>
        </w:rPr>
        <w:t xml:space="preserve">next</w:t>
      </w:r>
      <w:r>
        <w:rPr>
          <w:rStyle w:val="NormalTok"/>
        </w:rPr>
        <w:t xml:space="preserv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BuiltInTok"/>
        </w:rPr>
        <w:t xml:space="preserve">print</w:t>
      </w:r>
      <w:r>
        <w:rPr>
          <w:rStyle w:val="NormalTok"/>
        </w:rPr>
        <w:t xml:space="preserve">(row)</w:t>
      </w:r>
      <w:r>
        <w:br/>
      </w:r>
      <w:r>
        <w:rPr>
          <w:rStyle w:val="NormalTok"/>
        </w:rPr>
        <w:t xml:space="preserve">plan.close()</w:t>
      </w:r>
    </w:p>
    <w:p>
      <w:pPr>
        <w:pStyle w:val="FirstParagraph"/>
      </w:pPr>
      <w:r>
        <w:t xml:space="preserve">What to notice:</w:t>
      </w:r>
    </w:p>
    <w:p>
      <w:pPr>
        <w:numPr>
          <w:ilvl w:val="0"/>
          <w:numId w:val="1378"/>
        </w:numPr>
        <w:pStyle w:val="Compact"/>
      </w:pPr>
      <w:r>
        <w:t xml:space="preserve">The output is</w:t>
      </w:r>
      <w:r>
        <w:t xml:space="preserve"> </w:t>
      </w:r>
      <w:r>
        <w:rPr>
          <w:rStyle w:val="VerbatimChar"/>
        </w:rPr>
        <w:t xml:space="preserve">('Berlin', 2500)</w:t>
      </w:r>
      <w:r>
        <w:t xml:space="preserve"> </w:t>
      </w:r>
      <w:r>
        <w:t xml:space="preserve">and</w:t>
      </w:r>
      <w:r>
        <w:t xml:space="preserve"> </w:t>
      </w:r>
      <w:r>
        <w:rPr>
          <w:rStyle w:val="VerbatimChar"/>
        </w:rPr>
        <w:t xml:space="preserve">('Berlin', 4100)</w:t>
      </w:r>
      <w:r>
        <w:t xml:space="preserve">. Order 13 (Austin, 1800) also qualifies but is never produced:</w:t>
      </w:r>
      <w:r>
        <w:t xml:space="preserve"> </w:t>
      </w:r>
      <w:r>
        <w:rPr>
          <w:rStyle w:val="VerbatimChar"/>
        </w:rPr>
        <w:t xml:space="preserve">Limit</w:t>
      </w:r>
      <w:r>
        <w:t xml:space="preserve"> </w:t>
      </w:r>
      <w:r>
        <w:t xml:space="preserve">stopped pulling after two rows, so the orders scan stopped early.</w:t>
      </w:r>
    </w:p>
    <w:p>
      <w:pPr>
        <w:numPr>
          <w:ilvl w:val="0"/>
          <w:numId w:val="1378"/>
        </w:numPr>
        <w:pStyle w:val="Compact"/>
      </w:pPr>
      <w:r>
        <w:rPr>
          <w:rStyle w:val="VerbatimChar"/>
        </w:rPr>
        <w:t xml:space="preserve">HashJoin.open()</w:t>
      </w:r>
      <w:r>
        <w:t xml:space="preserve"> </w:t>
      </w:r>
      <w:r>
        <w:t xml:space="preserve">drains its build child completely (blocking);</w:t>
      </w:r>
      <w:r>
        <w:t xml:space="preserve"> </w:t>
      </w:r>
      <w:r>
        <w:rPr>
          <w:rStyle w:val="VerbatimChar"/>
        </w:rPr>
        <w:t xml:space="preserve">next()</w:t>
      </w:r>
      <w:r>
        <w:t xml:space="preserve"> </w:t>
      </w:r>
      <w:r>
        <w:t xml:space="preserve">handles one probe row at a time (pipelined).</w:t>
      </w:r>
    </w:p>
    <w:p>
      <w:pPr>
        <w:numPr>
          <w:ilvl w:val="0"/>
          <w:numId w:val="1378"/>
        </w:numPr>
        <w:pStyle w:val="Compact"/>
      </w:pPr>
      <w:r>
        <w:t xml:space="preserve">Every row costs several virtual function calls. Modern analytic engines reduce that overhead with</w:t>
      </w:r>
      <w:r>
        <w:t xml:space="preserve"> </w:t>
      </w:r>
      <w:r>
        <w:rPr>
          <w:bCs/>
          <w:b/>
        </w:rPr>
        <w:t xml:space="preserve">vectorized</w:t>
      </w:r>
      <w:r>
        <w:t xml:space="preserve"> </w:t>
      </w:r>
      <w:r>
        <w:t xml:space="preserve">execution (each</w:t>
      </w:r>
      <w:r>
        <w:t xml:space="preserve"> </w:t>
      </w:r>
      <w:r>
        <w:rPr>
          <w:rStyle w:val="VerbatimChar"/>
        </w:rPr>
        <w:t xml:space="preserve">next()</w:t>
      </w:r>
      <w:r>
        <w:t xml:space="preserve"> </w:t>
      </w:r>
      <w:r>
        <w:t xml:space="preserve">returns a batch of about a thousand values) [Boncz et al. 2005] or by</w:t>
      </w:r>
      <w:r>
        <w:t xml:space="preserve"> </w:t>
      </w:r>
      <w:r>
        <w:rPr>
          <w:bCs/>
          <w:b/>
        </w:rPr>
        <w:t xml:space="preserve">compiling</w:t>
      </w:r>
      <w:r>
        <w:t xml:space="preserve"> </w:t>
      </w:r>
      <w:r>
        <w:t xml:space="preserve">the plan into machine code [Neumann 2011]. PostgreSQL remains a Volcano-style executor, with optional JIT compilation of expressions.</w:t>
      </w:r>
    </w:p>
    <w:p>
      <w:pPr>
        <w:pStyle w:val="FirstParagraph"/>
      </w:pPr>
      <w:r>
        <w:rPr>
          <w:bCs/>
          <w:b/>
        </w:rPr>
        <w:t xml:space="preserve">Figure 11.5 — The executed plan tree for</w:t>
      </w:r>
      <w:r>
        <w:rPr>
          <w:bCs/>
          <w:b/>
        </w:rPr>
        <w:t xml:space="preserve"> </w:t>
      </w:r>
      <w:r>
        <w:rPr>
          <w:bCs/>
          <w:b/>
        </w:rPr>
        <w:t xml:space="preserve">“</w:t>
      </w:r>
      <w:r>
        <w:rPr>
          <w:bCs/>
          <w:b/>
        </w:rPr>
        <w:t xml:space="preserve">revenue by city over the last day</w:t>
      </w:r>
      <w:r>
        <w:rPr>
          <w:bCs/>
          <w:b/>
        </w:rPr>
        <w:t xml:space="preserve">”</w:t>
      </w:r>
      <w:r>
        <w:rPr>
          <w:bCs/>
          <w:b/>
        </w:rPr>
        <w:t xml:space="preserve">.</w:t>
      </w:r>
    </w:p>
    <w:p>
      <w:pPr>
        <w:pStyle w:val="BodyText"/>
      </w:pPr>
      <w:r>
        <w:drawing>
          <wp:inline>
            <wp:extent cx="5334000" cy="8201338"/>
            <wp:effectExtent b="0" l="0" r="0" t="0"/>
            <wp:docPr descr="" title="" id="1241" name="Picture"/>
            <a:graphic>
              <a:graphicData uri="http://schemas.openxmlformats.org/drawingml/2006/picture">
                <pic:pic>
                  <pic:nvPicPr>
                    <pic:cNvPr descr="/home/user/System-Design/build/.cache/diagrams/c0a6c9ff057d.png" id="1242" name="Picture"/>
                    <pic:cNvPicPr>
                      <a:picLocks noChangeArrowheads="1" noChangeAspect="1"/>
                    </pic:cNvPicPr>
                  </pic:nvPicPr>
                  <pic:blipFill>
                    <a:blip r:embed="rId1240"/>
                    <a:stretch>
                      <a:fillRect/>
                    </a:stretch>
                  </pic:blipFill>
                  <pic:spPr bwMode="auto">
                    <a:xfrm>
                      <a:off x="0" y="0"/>
                      <a:ext cx="5334000" cy="8201338"/>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This is the real plan PostgreSQL 16 chose for the revenue query of §11.10, drawn bottom-up: rows flow upward while</w:t>
      </w:r>
      <w:r>
        <w:t xml:space="preserve"> </w:t>
      </w:r>
      <w:r>
        <w:rPr>
          <w:rStyle w:val="VerbatimChar"/>
        </w:rPr>
        <w:t xml:space="preserve">next()</w:t>
      </w:r>
      <w:r>
        <w:t xml:space="preserve"> </w:t>
      </w:r>
      <w:r>
        <w:t xml:space="preserve">calls flow down, all synchronously inside one backend process. The scans are the storage boundary;</w:t>
      </w:r>
      <w:r>
        <w:t xml:space="preserve"> </w:t>
      </w:r>
      <w:r>
        <w:rPr>
          <w:rStyle w:val="VerbatimChar"/>
        </w:rPr>
        <w:t xml:space="preserve">Hash</w:t>
      </w:r>
      <w:r>
        <w:t xml:space="preserve">,</w:t>
      </w:r>
      <w:r>
        <w:t xml:space="preserve"> </w:t>
      </w:r>
      <w:r>
        <w:rPr>
          <w:rStyle w:val="VerbatimChar"/>
        </w:rPr>
        <w:t xml:space="preserve">HashAggregate</w:t>
      </w:r>
      <w:r>
        <w:t xml:space="preserve"> </w:t>
      </w:r>
      <w:r>
        <w:t xml:space="preserve">and</w:t>
      </w:r>
      <w:r>
        <w:t xml:space="preserve"> </w:t>
      </w:r>
      <w:r>
        <w:rPr>
          <w:rStyle w:val="VerbatimChar"/>
        </w:rPr>
        <w:t xml:space="preserve">Sort</w:t>
      </w:r>
      <w:r>
        <w:t xml:space="preserve"> </w:t>
      </w:r>
      <w:r>
        <w:t xml:space="preserve">are blocking and spill to temporary files if they exceed</w:t>
      </w:r>
      <w:r>
        <w:t xml:space="preserve"> </w:t>
      </w:r>
      <w:r>
        <w:rPr>
          <w:rStyle w:val="VerbatimChar"/>
        </w:rPr>
        <w:t xml:space="preserve">work_mem</w:t>
      </w:r>
      <w:r>
        <w:t xml:space="preserve">. The main failure point is a misestimated row count, which can make this plan win when an index-driven plan would be better. Scaling: an index on</w:t>
      </w:r>
      <w:r>
        <w:t xml:space="preserve"> </w:t>
      </w:r>
      <w:r>
        <w:rPr>
          <w:rStyle w:val="VerbatimChar"/>
        </w:rPr>
        <w:t xml:space="preserve">orders(created_at)</w:t>
      </w:r>
      <w:r>
        <w:t xml:space="preserve"> </w:t>
      </w:r>
      <w:r>
        <w:t xml:space="preserve">would replace the million-row scan, and parallel workers could split it.</w:t>
      </w:r>
    </w:p>
    <w:bookmarkEnd w:id="1243"/>
    <w:bookmarkEnd w:id="1244"/>
    <w:bookmarkEnd w:id="1245"/>
    <w:bookmarkStart w:id="1250" w:name="query-optimization"/>
    <w:p>
      <w:pPr>
        <w:pStyle w:val="Heading2"/>
      </w:pPr>
      <w:r>
        <w:t xml:space="preserve">11.10 Query optimization</w:t>
      </w:r>
    </w:p>
    <w:bookmarkStart w:id="1247" w:name="the-cost-based-optimizer"/>
    <w:p>
      <w:pPr>
        <w:pStyle w:val="Heading3"/>
      </w:pPr>
      <w:r>
        <w:t xml:space="preserve">11.10.1 The cost-based optimizer</w:t>
      </w:r>
    </w:p>
    <w:p>
      <w:pPr>
        <w:pStyle w:val="CalloutDefinition"/>
      </w:pPr>
      <w:r>
        <w:rPr>
          <w:bCs/>
          <w:b/>
        </w:rPr>
        <w:t xml:space="preserve">DEFINITION</w:t>
      </w:r>
    </w:p>
    <w:p>
      <w:pPr>
        <w:pStyle w:val="CalloutDefinition"/>
      </w:pPr>
      <w:r>
        <w:rPr>
          <w:bCs/>
          <w:b/>
        </w:rPr>
        <w:t xml:space="preserve">Definition — Cost-based optimizer.</w:t>
      </w:r>
      <w:r>
        <w:t xml:space="preserve"> </w:t>
      </w:r>
      <w:r>
        <w:t xml:space="preserve">The component that enumerates equivalent physical plans for a query (access paths, join orders, join algorithms), estimates each plan’s cost from</w:t>
      </w:r>
      <w:r>
        <w:t xml:space="preserve"> </w:t>
      </w:r>
      <w:r>
        <w:rPr>
          <w:bCs/>
          <w:b/>
        </w:rPr>
        <w:t xml:space="preserve">statistics</w:t>
      </w:r>
      <w:r>
        <w:t xml:space="preserve"> </w:t>
      </w:r>
      <w:r>
        <w:t xml:space="preserve">about the data using a</w:t>
      </w:r>
      <w:r>
        <w:t xml:space="preserve"> </w:t>
      </w:r>
      <w:r>
        <w:rPr>
          <w:bCs/>
          <w:b/>
        </w:rPr>
        <w:t xml:space="preserve">cost model</w:t>
      </w:r>
      <w:r>
        <w:t xml:space="preserve">, and returns the plan with the lowest estimated cost.</w:t>
      </w:r>
    </w:p>
    <w:p>
      <w:pPr>
        <w:pStyle w:val="BodyText"/>
      </w:pPr>
      <w:r>
        <w:t xml:space="preserve">The design dates from IBM’s System R. Selinger and colleagues introduced the three ideas every optimizer still uses: estimate the</w:t>
      </w:r>
      <w:r>
        <w:t xml:space="preserve"> </w:t>
      </w:r>
      <w:r>
        <w:rPr>
          <w:bCs/>
          <w:b/>
        </w:rPr>
        <w:t xml:space="preserve">selectivity</w:t>
      </w:r>
      <w:r>
        <w:t xml:space="preserve"> </w:t>
      </w:r>
      <w:r>
        <w:t xml:space="preserve">of each predicate from catalog statistics; cost plans in a weighted mix of page I/O and CPU; and find the best join order by</w:t>
      </w:r>
      <w:r>
        <w:t xml:space="preserve"> </w:t>
      </w:r>
      <w:r>
        <w:rPr>
          <w:bCs/>
          <w:b/>
        </w:rPr>
        <w:t xml:space="preserve">dynamic programming</w:t>
      </w:r>
      <w:r>
        <w:t xml:space="preserve">, building the best plan for every subset of tables from the best plans of smaller subsets, while remembering plans that produce</w:t>
      </w:r>
      <w:r>
        <w:t xml:space="preserve"> </w:t>
      </w:r>
      <w:r>
        <w:rPr>
          <w:bCs/>
          <w:b/>
        </w:rPr>
        <w:t xml:space="preserve">interesting orders</w:t>
      </w:r>
      <w:r>
        <w:t xml:space="preserve"> </w:t>
      </w:r>
      <w:r>
        <w:t xml:space="preserve">(sorted output that a later merge join or</w:t>
      </w:r>
      <w:r>
        <w:t xml:space="preserve"> </w:t>
      </w:r>
      <w:r>
        <w:rPr>
          <w:rStyle w:val="VerbatimChar"/>
        </w:rPr>
        <w:t xml:space="preserve">ORDER BY</w:t>
      </w:r>
      <w:r>
        <w:t xml:space="preserve"> </w:t>
      </w:r>
      <w:r>
        <w:t xml:space="preserve">can reuse) [Selinger et al. 1979].</w:t>
      </w:r>
    </w:p>
    <w:bookmarkStart w:id="1246" w:name="mathematical-foundations-17"/>
    <w:p>
      <w:pPr>
        <w:pStyle w:val="Heading4"/>
      </w:pPr>
      <w:r>
        <w:t xml:space="preserve">Mathematical foundations</w:t>
      </w:r>
    </w:p>
    <w:p>
      <w:pPr>
        <w:pStyle w:val="CalloutFormula"/>
      </w:pPr>
      <w:r>
        <w:rPr>
          <w:bCs/>
          <w:b/>
        </w:rPr>
        <w:t xml:space="preserve">FORMULA</w:t>
      </w:r>
    </w:p>
    <w:p>
      <w:pPr>
        <w:pStyle w:val="CalloutFormula"/>
      </w:pPr>
      <w:r>
        <w:rPr>
          <w:bCs/>
          <w:b/>
        </w:rPr>
        <w:t xml:space="preserve">Size of the join-order search space</w:t>
      </w:r>
    </w:p>
    <w:p>
      <w:pPr>
        <w:pStyle w:val="CalloutFormula"/>
      </w:pPr>
      <m:oMathPara>
        <m:oMathParaPr>
          <m:jc m:val="center"/>
        </m:oMathParaPr>
        <m:oMath>
          <m:sSub>
            <m:e>
              <m:r>
                <m:t>N</m:t>
              </m:r>
            </m:e>
            <m:sub>
              <m:r>
                <m:rPr>
                  <m:nor/>
                  <m:sty m:val="p"/>
                </m:rPr>
                <m:t>left-deep</m:t>
              </m:r>
            </m:sub>
          </m:sSub>
          <m:r>
            <m:rPr>
              <m:sty m:val="p"/>
            </m:rPr>
            <m:t>=</m:t>
          </m:r>
          <m:r>
            <m:t>n</m:t>
          </m:r>
          <m:r>
            <m:rPr>
              <m:sty m:val="p"/>
            </m:rPr>
            <m:t>!</m:t>
          </m:r>
          <m:r>
            <m:t>  </m:t>
          </m:r>
          <m:sSub>
            <m:e>
              <m:r>
                <m:t>N</m:t>
              </m:r>
            </m:e>
            <m:sub>
              <m:r>
                <m:rPr>
                  <m:nor/>
                  <m:sty m:val="p"/>
                </m:rPr>
                <m:t>bushy</m:t>
              </m:r>
            </m:sub>
          </m:sSub>
          <m:r>
            <m:rPr>
              <m:sty m:val="p"/>
            </m:rPr>
            <m:t>=</m:t>
          </m:r>
          <m:f>
            <m:fPr>
              <m:type m:val="bar"/>
            </m:fPr>
            <m:num>
              <m:d>
                <m:dPr>
                  <m:begChr m:val="("/>
                  <m:endChr m:val=")"/>
                  <m:sepChr m:val=""/>
                  <m:grow/>
                </m:dPr>
                <m:e>
                  <m:r>
                    <m:t>2</m:t>
                  </m:r>
                  <m:d>
                    <m:dPr>
                      <m:begChr m:val="("/>
                      <m:endChr m:val=")"/>
                      <m:sepChr m:val=""/>
                      <m:grow/>
                    </m:dPr>
                    <m:e>
                      <m:r>
                        <m:t>n</m:t>
                      </m:r>
                      <m:r>
                        <m:rPr>
                          <m:sty m:val="p"/>
                        </m:rPr>
                        <m:t>−</m:t>
                      </m:r>
                      <m:r>
                        <m:t>1</m:t>
                      </m:r>
                    </m:e>
                  </m:d>
                </m:e>
              </m:d>
              <m:r>
                <m:rPr>
                  <m:sty m:val="p"/>
                </m:rPr>
                <m:t>!</m:t>
              </m:r>
            </m:num>
            <m:den>
              <m:d>
                <m:dPr>
                  <m:begChr m:val="("/>
                  <m:endChr m:val=")"/>
                  <m:sepChr m:val=""/>
                  <m:grow/>
                </m:dPr>
                <m:e>
                  <m:r>
                    <m:t>n</m:t>
                  </m:r>
                  <m:r>
                    <m:rPr>
                      <m:sty m:val="p"/>
                    </m:rPr>
                    <m:t>−</m:t>
                  </m:r>
                  <m:r>
                    <m:t>1</m:t>
                  </m:r>
                </m:e>
              </m:d>
              <m:r>
                <m:rPr>
                  <m:sty m:val="p"/>
                </m:rPr>
                <m:t>!</m:t>
              </m:r>
            </m:den>
          </m:f>
          <m:r>
            <m:t>  </m:t>
          </m:r>
          <m:sSub>
            <m:e>
              <m:r>
                <m:t>W</m:t>
              </m:r>
            </m:e>
            <m:sub>
              <m:r>
                <m:rPr>
                  <m:nor/>
                  <m:sty m:val="p"/>
                </m:rPr>
                <m:t>DP</m:t>
              </m:r>
            </m:sub>
          </m:sSub>
          <m:r>
            <m:rPr>
              <m:sty m:val="p"/>
            </m:rPr>
            <m:t>≈</m:t>
          </m:r>
          <m:r>
            <m:t>n</m:t>
          </m:r>
          <m:r>
            <m:rPr>
              <m:sty m:val="p"/>
            </m:rPr>
            <m:t>⋅</m:t>
          </m:r>
          <m:sSup>
            <m:e>
              <m:r>
                <m:t>2</m:t>
              </m:r>
            </m:e>
            <m:sup>
              <m:r>
                <m:t> </m:t>
              </m:r>
              <m:r>
                <m:t>n</m:t>
              </m:r>
              <m:r>
                <m:rPr>
                  <m:sty m:val="p"/>
                </m:rPr>
                <m:t>−</m:t>
              </m:r>
              <m:r>
                <m:t>1</m:t>
              </m:r>
            </m:sup>
          </m:sSup>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n</m:t>
              </m:r>
            </m:oMath>
          </w:p>
        </w:tc>
        <w:tc>
          <w:tcPr/>
          <w:p>
            <w:pPr>
              <w:pStyle w:val="Compact"/>
              <w:jc w:val="left"/>
            </w:pPr>
            <w:r>
              <w:t xml:space="preserve">Number of tables joined</w:t>
            </w:r>
          </w:p>
        </w:tc>
        <w:tc>
          <w:tcPr/>
          <w:p>
            <w:pPr>
              <w:pStyle w:val="Compact"/>
              <w:jc w:val="left"/>
            </w:pPr>
            <w:r>
              <w:t xml:space="preserve">tables</w:t>
            </w:r>
          </w:p>
        </w:tc>
      </w:tr>
      <w:tr>
        <w:tc>
          <w:tcPr/>
          <w:p>
            <w:pPr>
              <w:pStyle w:val="Compact"/>
              <w:jc w:val="left"/>
            </w:pPr>
            <m:oMath>
              <m:sSub>
                <m:e>
                  <m:r>
                    <m:t>N</m:t>
                  </m:r>
                </m:e>
                <m:sub>
                  <m:r>
                    <m:rPr>
                      <m:nor/>
                      <m:sty m:val="p"/>
                    </m:rPr>
                    <m:t>left-deep</m:t>
                  </m:r>
                </m:sub>
              </m:sSub>
            </m:oMath>
          </w:p>
        </w:tc>
        <w:tc>
          <w:tcPr/>
          <w:p>
            <w:pPr>
              <w:pStyle w:val="Compact"/>
              <w:jc w:val="left"/>
            </w:pPr>
            <w:r>
              <w:t xml:space="preserve">Join orders where every join’s inner input is a base table</w:t>
            </w:r>
          </w:p>
        </w:tc>
        <w:tc>
          <w:tcPr/>
          <w:p>
            <w:pPr>
              <w:pStyle w:val="Compact"/>
              <w:jc w:val="left"/>
            </w:pPr>
            <w:r>
              <w:t xml:space="preserve">plans</w:t>
            </w:r>
          </w:p>
        </w:tc>
      </w:tr>
      <w:tr>
        <w:tc>
          <w:tcPr/>
          <w:p>
            <w:pPr>
              <w:pStyle w:val="Compact"/>
              <w:jc w:val="left"/>
            </w:pPr>
            <m:oMath>
              <m:sSub>
                <m:e>
                  <m:r>
                    <m:t>N</m:t>
                  </m:r>
                </m:e>
                <m:sub>
                  <m:r>
                    <m:rPr>
                      <m:nor/>
                      <m:sty m:val="p"/>
                    </m:rPr>
                    <m:t>bushy</m:t>
                  </m:r>
                </m:sub>
              </m:sSub>
            </m:oMath>
          </w:p>
        </w:tc>
        <w:tc>
          <w:tcPr/>
          <w:p>
            <w:pPr>
              <w:pStyle w:val="Compact"/>
              <w:jc w:val="left"/>
            </w:pPr>
            <w:r>
              <w:t xml:space="preserve">All binary join trees, including joins of two intermediate results</w:t>
            </w:r>
          </w:p>
        </w:tc>
        <w:tc>
          <w:tcPr/>
          <w:p>
            <w:pPr>
              <w:pStyle w:val="Compact"/>
              <w:jc w:val="left"/>
            </w:pPr>
            <w:r>
              <w:t xml:space="preserve">plans</w:t>
            </w:r>
          </w:p>
        </w:tc>
      </w:tr>
      <w:tr>
        <w:tc>
          <w:tcPr/>
          <w:p>
            <w:pPr>
              <w:pStyle w:val="Compact"/>
              <w:jc w:val="left"/>
            </w:pPr>
            <m:oMath>
              <m:sSub>
                <m:e>
                  <m:r>
                    <m:t>W</m:t>
                  </m:r>
                </m:e>
                <m:sub>
                  <m:r>
                    <m:rPr>
                      <m:nor/>
                      <m:sty m:val="p"/>
                    </m:rPr>
                    <m:t>DP</m:t>
                  </m:r>
                </m:sub>
              </m:sSub>
            </m:oMath>
          </w:p>
        </w:tc>
        <w:tc>
          <w:tcPr/>
          <w:p>
            <w:pPr>
              <w:pStyle w:val="Compact"/>
              <w:jc w:val="left"/>
            </w:pPr>
            <w:r>
              <w:t xml:space="preserve">Approximate subproblems examined by Selinger-style dynamic programming over left-deep plans</w:t>
            </w:r>
          </w:p>
        </w:tc>
        <w:tc>
          <w:tcPr/>
          <w:p>
            <w:pPr>
              <w:pStyle w:val="Compact"/>
              <w:jc w:val="left"/>
            </w:pPr>
            <w:r>
              <w:t xml:space="preserve">subproblems</w:t>
            </w:r>
          </w:p>
        </w:tc>
      </w:tr>
    </w:tbl>
    <w:p>
      <w:pPr>
        <w:pStyle w:val="CalloutExample"/>
      </w:pPr>
      <w:r>
        <w:rPr>
          <w:bCs/>
          <w:b/>
        </w:rPr>
        <w:t xml:space="preserve">WORKED EXAMPLE</w:t>
      </w:r>
    </w:p>
    <w:p>
      <w:pPr>
        <w:pStyle w:val="CalloutExample"/>
      </w:pPr>
      <w:r>
        <w:rPr>
          <w:bCs/>
          <w:b/>
        </w:rPr>
        <w:t xml:space="preserve">Worked example — Ten tables.</w:t>
      </w:r>
      <w:r>
        <w:t xml:space="preserve"> </w:t>
      </w:r>
      <w:r>
        <w:t xml:space="preserve">For</w:t>
      </w:r>
      <w:r>
        <w:t xml:space="preserve"> </w:t>
      </w:r>
      <m:oMath>
        <m:r>
          <m:t>n</m:t>
        </m:r>
        <m:r>
          <m:rPr>
            <m:sty m:val="p"/>
          </m:rPr>
          <m:t>=</m:t>
        </m:r>
        <m:r>
          <m:t>10</m:t>
        </m:r>
      </m:oMath>
      <w:r>
        <w:t xml:space="preserve">: left-deep orders</w:t>
      </w:r>
      <w:r>
        <w:t xml:space="preserve"> </w:t>
      </w:r>
      <m:oMath>
        <m:r>
          <m:t>10</m:t>
        </m:r>
        <m:r>
          <m:rPr>
            <m:sty m:val="p"/>
          </m:rPr>
          <m:t>!</m:t>
        </m:r>
        <m:r>
          <m:rPr>
            <m:sty m:val="p"/>
          </m:rPr>
          <m:t>=</m:t>
        </m:r>
        <m:r>
          <m:t>3</m:t>
        </m:r>
        <m:r>
          <m:rPr>
            <m:sty m:val="p"/>
          </m:rPr>
          <m:t>,</m:t>
        </m:r>
        <m:r>
          <m:t>628</m:t>
        </m:r>
        <m:r>
          <m:rPr>
            <m:sty m:val="p"/>
          </m:rPr>
          <m:t>,</m:t>
        </m:r>
        <m:r>
          <m:t>800</m:t>
        </m:r>
      </m:oMath>
      <w:r>
        <w:t xml:space="preserve">; bushy trees</w:t>
      </w:r>
      <w:r>
        <w:t xml:space="preserve"> </w:t>
      </w:r>
      <m:oMath>
        <m:r>
          <m:t>18</m:t>
        </m:r>
        <m:r>
          <m:rPr>
            <m:sty m:val="p"/>
          </m:rPr>
          <m:t>!</m:t>
        </m:r>
        <m:r>
          <m:rPr>
            <m:sty m:val="p"/>
          </m:rPr>
          <m:t>/</m:t>
        </m:r>
        <m:r>
          <m:t>9</m:t>
        </m:r>
        <m:r>
          <m:rPr>
            <m:sty m:val="p"/>
          </m:rPr>
          <m:t>!</m:t>
        </m:r>
        <m:r>
          <m:rPr>
            <m:sty m:val="p"/>
          </m:rPr>
          <m:t>≈</m:t>
        </m:r>
        <m:r>
          <m:t>1.76</m:t>
        </m:r>
        <m:r>
          <m:rPr>
            <m:sty m:val="p"/>
          </m:rPr>
          <m:t>×</m:t>
        </m:r>
        <m:sSup>
          <m:e>
            <m:r>
              <m:t>10</m:t>
            </m:r>
          </m:e>
          <m:sup>
            <m:r>
              <m:t>10</m:t>
            </m:r>
          </m:sup>
        </m:sSup>
      </m:oMath>
      <w:r>
        <w:t xml:space="preserve">; dynamic programming examines about</w:t>
      </w:r>
      <w:r>
        <w:t xml:space="preserve"> </w:t>
      </w:r>
      <m:oMath>
        <m:r>
          <m:t>10</m:t>
        </m:r>
        <m:r>
          <m:rPr>
            <m:sty m:val="p"/>
          </m:rPr>
          <m:t>×</m:t>
        </m:r>
        <m:sSup>
          <m:e>
            <m:r>
              <m:t>2</m:t>
            </m:r>
          </m:e>
          <m:sup>
            <m:r>
              <m:t>9</m:t>
            </m:r>
          </m:sup>
        </m:sSup>
        <m:r>
          <m:rPr>
            <m:sty m:val="p"/>
          </m:rPr>
          <m:t>=</m:t>
        </m:r>
        <m:r>
          <m:t>5</m:t>
        </m:r>
        <m:r>
          <m:rPr>
            <m:sty m:val="p"/>
          </m:rPr>
          <m:t>,</m:t>
        </m:r>
        <m:r>
          <m:t>120</m:t>
        </m:r>
      </m:oMath>
      <w:r>
        <w:t xml:space="preserve"> </w:t>
      </w:r>
      <w:r>
        <w:t xml:space="preserve">subset extensions.</w:t>
      </w:r>
      <w:r>
        <w:t xml:space="preserve"> </w:t>
      </w:r>
      <w:r>
        <w:rPr>
          <w:bCs/>
          <w:b/>
        </w:rPr>
        <w:t xml:space="preserve">Interpretation.</w:t>
      </w:r>
      <w:r>
        <w:t xml:space="preserve"> </w:t>
      </w:r>
      <w:r>
        <w:t xml:space="preserve">Dynamic programming makes ten-way joins tractable, but</w:t>
      </w:r>
      <w:r>
        <w:t xml:space="preserve"> </w:t>
      </w:r>
      <m:oMath>
        <m:sSup>
          <m:e>
            <m:r>
              <m:t>2</m:t>
            </m:r>
          </m:e>
          <m:sup>
            <m:r>
              <m:t>n</m:t>
            </m:r>
          </m:sup>
        </m:sSup>
      </m:oMath>
      <w:r>
        <w:t xml:space="preserve"> </w:t>
      </w:r>
      <w:r>
        <w:t xml:space="preserve">still explodes: at</w:t>
      </w:r>
      <w:r>
        <w:t xml:space="preserve"> </w:t>
      </w:r>
      <m:oMath>
        <m:r>
          <m:t>n</m:t>
        </m:r>
        <m:r>
          <m:rPr>
            <m:sty m:val="p"/>
          </m:rPr>
          <m:t>=</m:t>
        </m:r>
        <m:r>
          <m:t>20</m:t>
        </m:r>
      </m:oMath>
      <w:r>
        <w:t xml:space="preserve"> </w:t>
      </w:r>
      <w:r>
        <w:t xml:space="preserve">it is about 10 million.</w:t>
      </w:r>
      <w:r>
        <w:t xml:space="preserve"> </w:t>
      </w:r>
      <w:r>
        <w:rPr>
          <w:bCs/>
          <w:b/>
        </w:rPr>
        <w:t xml:space="preserve">Engineering implication.</w:t>
      </w:r>
      <w:r>
        <w:t xml:space="preserve"> </w:t>
      </w:r>
      <w:r>
        <w:t xml:space="preserve">PostgreSQL switches to a genetic (randomized) search at 12</w:t>
      </w:r>
      <w:r>
        <w:t xml:space="preserve"> </w:t>
      </w:r>
      <w:r>
        <w:rPr>
          <w:rStyle w:val="VerbatimChar"/>
        </w:rPr>
        <w:t xml:space="preserve">FROM</w:t>
      </w:r>
      <w:r>
        <w:t xml:space="preserve"> </w:t>
      </w:r>
      <w:r>
        <w:t xml:space="preserve">items by default (</w:t>
      </w:r>
      <w:r>
        <w:rPr>
          <w:rStyle w:val="VerbatimChar"/>
        </w:rPr>
        <w:t xml:space="preserve">geqo_threshold</w:t>
      </w:r>
      <w:r>
        <w:t xml:space="preserve">), and stops reordering explicit joins beyond 8 (</w:t>
      </w:r>
      <w:r>
        <w:rPr>
          <w:rStyle w:val="VerbatimChar"/>
        </w:rPr>
        <w:t xml:space="preserve">join_collapse_limit</w:t>
      </w:r>
      <w:r>
        <w:t xml:space="preserve">); very wide joins generated by ORMs or reporting tools can therefore get poor plans.</w:t>
      </w:r>
    </w:p>
    <w:bookmarkEnd w:id="1246"/>
    <w:bookmarkEnd w:id="1247"/>
    <w:bookmarkStart w:id="1248" w:name="cost-model-and-statistics-in-postgresql"/>
    <w:p>
      <w:pPr>
        <w:pStyle w:val="Heading3"/>
      </w:pPr>
      <w:r>
        <w:t xml:space="preserve">11.10.2 Cost model and statistics in PostgreSQL</w:t>
      </w:r>
    </w:p>
    <w:p>
      <w:pPr>
        <w:pStyle w:val="FirstParagraph"/>
      </w:pPr>
      <w:r>
        <w:t xml:space="preserve">PostgreSQL’s costs are in arbitrary units anchored on one sequential page read. The defaults (verified on PostgreSQL 16) are</w:t>
      </w:r>
      <w:r>
        <w:t xml:space="preserve"> </w:t>
      </w:r>
      <w:r>
        <w:rPr>
          <w:rStyle w:val="VerbatimChar"/>
        </w:rPr>
        <w:t xml:space="preserve">seq_page_cost</w:t>
      </w:r>
      <w:r>
        <w:t xml:space="preserve"> </w:t>
      </w:r>
      <w:r>
        <w:t xml:space="preserve">= 1,</w:t>
      </w:r>
      <w:r>
        <w:t xml:space="preserve"> </w:t>
      </w:r>
      <w:r>
        <w:rPr>
          <w:rStyle w:val="VerbatimChar"/>
        </w:rPr>
        <w:t xml:space="preserve">random_page_cost</w:t>
      </w:r>
      <w:r>
        <w:t xml:space="preserve"> </w:t>
      </w:r>
      <w:r>
        <w:t xml:space="preserve">= 4,</w:t>
      </w:r>
      <w:r>
        <w:t xml:space="preserve"> </w:t>
      </w:r>
      <w:r>
        <w:rPr>
          <w:rStyle w:val="VerbatimChar"/>
        </w:rPr>
        <w:t xml:space="preserve">cpu_tuple_cost</w:t>
      </w:r>
      <w:r>
        <w:t xml:space="preserve"> </w:t>
      </w:r>
      <w:r>
        <w:t xml:space="preserve">= 0.01,</w:t>
      </w:r>
      <w:r>
        <w:t xml:space="preserve"> </w:t>
      </w:r>
      <w:r>
        <w:rPr>
          <w:rStyle w:val="VerbatimChar"/>
        </w:rPr>
        <w:t xml:space="preserve">cpu_index_tuple_cost</w:t>
      </w:r>
      <w:r>
        <w:t xml:space="preserve"> </w:t>
      </w:r>
      <w:r>
        <w:t xml:space="preserve">= 0.005 and</w:t>
      </w:r>
      <w:r>
        <w:t xml:space="preserve"> </w:t>
      </w:r>
      <w:r>
        <w:rPr>
          <w:rStyle w:val="VerbatimChar"/>
        </w:rPr>
        <w:t xml:space="preserve">cpu_operator_cost</w:t>
      </w:r>
      <w:r>
        <w:t xml:space="preserve"> </w:t>
      </w:r>
      <w:r>
        <w:t xml:space="preserve">= 0.0025 [PostgreSQL Docs: Using EXPLAIN].</w:t>
      </w:r>
    </w:p>
    <w:p>
      <w:pPr>
        <w:pStyle w:val="CalloutFormula"/>
      </w:pPr>
      <w:r>
        <w:rPr>
          <w:bCs/>
          <w:b/>
        </w:rPr>
        <w:t xml:space="preserve">FORMULA</w:t>
      </w:r>
    </w:p>
    <w:p>
      <w:pPr>
        <w:pStyle w:val="CalloutFormula"/>
      </w:pPr>
      <w:r>
        <w:rPr>
          <w:bCs/>
          <w:b/>
        </w:rPr>
        <w:t xml:space="preserve">Cost of a sequential scan with one filter (PostgreSQL)</w:t>
      </w:r>
    </w:p>
    <w:p>
      <w:pPr>
        <w:pStyle w:val="CalloutFormula"/>
      </w:pPr>
      <m:oMathPara>
        <m:oMathParaPr>
          <m:jc m:val="center"/>
        </m:oMathParaPr>
        <m:oMath>
          <m:sSub>
            <m:e>
              <m:r>
                <m:t>C</m:t>
              </m:r>
            </m:e>
            <m:sub>
              <m:r>
                <m:rPr>
                  <m:nor/>
                  <m:sty m:val="p"/>
                </m:rPr>
                <m:t>seq</m:t>
              </m:r>
            </m:sub>
          </m:sSub>
          <m:r>
            <m:rPr>
              <m:sty m:val="p"/>
            </m:rPr>
            <m:t>=</m:t>
          </m:r>
          <m:r>
            <m:t>P</m:t>
          </m:r>
          <m:r>
            <m:rPr>
              <m:sty m:val="p"/>
            </m:rPr>
            <m:t>⋅</m:t>
          </m:r>
          <m:sSub>
            <m:e>
              <m:r>
                <m:t>c</m:t>
              </m:r>
            </m:e>
            <m:sub>
              <m:r>
                <m:rPr>
                  <m:nor/>
                  <m:sty m:val="p"/>
                </m:rPr>
                <m:t>seq</m:t>
              </m:r>
            </m:sub>
          </m:sSub>
          <m:r>
            <m:rPr>
              <m:sty m:val="p"/>
            </m:rPr>
            <m:t>+</m:t>
          </m:r>
          <m:r>
            <m:t>n</m:t>
          </m:r>
          <m:r>
            <m:rPr>
              <m:sty m:val="p"/>
            </m:rPr>
            <m:t>⋅</m:t>
          </m:r>
          <m:sSub>
            <m:e>
              <m:r>
                <m:t>c</m:t>
              </m:r>
            </m:e>
            <m:sub>
              <m:r>
                <m:rPr>
                  <m:nor/>
                  <m:sty m:val="p"/>
                </m:rPr>
                <m:t>tuple</m:t>
              </m:r>
            </m:sub>
          </m:sSub>
          <m:r>
            <m:rPr>
              <m:sty m:val="p"/>
            </m:rPr>
            <m:t>+</m:t>
          </m:r>
          <m:r>
            <m:t>n</m:t>
          </m:r>
          <m:r>
            <m:rPr>
              <m:sty m:val="p"/>
            </m:rPr>
            <m:t>⋅</m:t>
          </m:r>
          <m:r>
            <m:t>k</m:t>
          </m:r>
          <m:r>
            <m:rPr>
              <m:sty m:val="p"/>
            </m:rPr>
            <m:t>⋅</m:t>
          </m:r>
          <m:sSub>
            <m:e>
              <m:r>
                <m:t>c</m:t>
              </m:r>
            </m:e>
            <m:sub>
              <m:r>
                <m:rPr>
                  <m:nor/>
                  <m:sty m:val="p"/>
                </m:rPr>
                <m:t>op</m:t>
              </m:r>
            </m:sub>
          </m:sSub>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P</m:t>
              </m:r>
            </m:oMath>
          </w:p>
        </w:tc>
        <w:tc>
          <w:tcPr/>
          <w:p>
            <w:pPr>
              <w:pStyle w:val="Compact"/>
              <w:jc w:val="left"/>
            </w:pPr>
            <w:r>
              <w:t xml:space="preserve">Heap pages (</w:t>
            </w:r>
            <w:r>
              <w:rPr>
                <w:rStyle w:val="VerbatimChar"/>
              </w:rPr>
              <w:t xml:space="preserve">pg_class.relpages</w:t>
            </w:r>
            <w:r>
              <w:t xml:space="preserve">)</w:t>
            </w:r>
          </w:p>
        </w:tc>
        <w:tc>
          <w:tcPr/>
          <w:p>
            <w:pPr>
              <w:pStyle w:val="Compact"/>
              <w:jc w:val="left"/>
            </w:pPr>
            <w:r>
              <w:t xml:space="preserve">pages</w:t>
            </w:r>
          </w:p>
        </w:tc>
      </w:tr>
      <w:tr>
        <w:tc>
          <w:tcPr/>
          <w:p>
            <w:pPr>
              <w:pStyle w:val="Compact"/>
              <w:jc w:val="left"/>
            </w:pPr>
            <m:oMath>
              <m:r>
                <m:t>n</m:t>
              </m:r>
            </m:oMath>
          </w:p>
        </w:tc>
        <w:tc>
          <w:tcPr/>
          <w:p>
            <w:pPr>
              <w:pStyle w:val="Compact"/>
              <w:jc w:val="left"/>
            </w:pPr>
            <w:r>
              <w:t xml:space="preserve">Rows (</w:t>
            </w:r>
            <w:r>
              <w:rPr>
                <w:rStyle w:val="VerbatimChar"/>
              </w:rPr>
              <w:t xml:space="preserve">pg_class.reltuples</w:t>
            </w:r>
            <w:r>
              <w:t xml:space="preserve">)</w:t>
            </w:r>
          </w:p>
        </w:tc>
        <w:tc>
          <w:tcPr/>
          <w:p>
            <w:pPr>
              <w:pStyle w:val="Compact"/>
              <w:jc w:val="left"/>
            </w:pPr>
            <w:r>
              <w:t xml:space="preserve">rows</w:t>
            </w:r>
          </w:p>
        </w:tc>
      </w:tr>
      <w:tr>
        <w:tc>
          <w:tcPr/>
          <w:p>
            <w:pPr>
              <w:pStyle w:val="Compact"/>
              <w:jc w:val="left"/>
            </w:pPr>
            <m:oMath>
              <m:r>
                <m:t>k</m:t>
              </m:r>
            </m:oMath>
          </w:p>
        </w:tc>
        <w:tc>
          <w:tcPr/>
          <w:p>
            <w:pPr>
              <w:pStyle w:val="Compact"/>
              <w:jc w:val="left"/>
            </w:pPr>
            <w:r>
              <w:t xml:space="preserve">Operators evaluated per row in the filter</w:t>
            </w:r>
          </w:p>
        </w:tc>
        <w:tc>
          <w:tcPr/>
          <w:p>
            <w:pPr>
              <w:pStyle w:val="Compact"/>
              <w:jc w:val="left"/>
            </w:pPr>
            <w:r>
              <w:t xml:space="preserve">operators</w:t>
            </w:r>
          </w:p>
        </w:tc>
      </w:tr>
      <w:tr>
        <w:tc>
          <w:tcPr/>
          <w:p>
            <w:pPr>
              <w:pStyle w:val="Compact"/>
              <w:jc w:val="left"/>
            </w:pPr>
            <m:oMath>
              <m:sSub>
                <m:e>
                  <m:r>
                    <m:t>c</m:t>
                  </m:r>
                </m:e>
                <m:sub>
                  <m:r>
                    <m:rPr>
                      <m:nor/>
                      <m:sty m:val="p"/>
                    </m:rPr>
                    <m:t>seq</m:t>
                  </m:r>
                </m:sub>
              </m:sSub>
            </m:oMath>
            <w:r>
              <w:t xml:space="preserve">,</w:t>
            </w:r>
            <w:r>
              <w:t xml:space="preserve"> </w:t>
            </w:r>
            <m:oMath>
              <m:sSub>
                <m:e>
                  <m:r>
                    <m:t>c</m:t>
                  </m:r>
                </m:e>
                <m:sub>
                  <m:r>
                    <m:rPr>
                      <m:nor/>
                      <m:sty m:val="p"/>
                    </m:rPr>
                    <m:t>tuple</m:t>
                  </m:r>
                </m:sub>
              </m:sSub>
            </m:oMath>
            <w:r>
              <w:t xml:space="preserve">,</w:t>
            </w:r>
            <w:r>
              <w:t xml:space="preserve"> </w:t>
            </w:r>
            <m:oMath>
              <m:sSub>
                <m:e>
                  <m:r>
                    <m:t>c</m:t>
                  </m:r>
                </m:e>
                <m:sub>
                  <m:r>
                    <m:rPr>
                      <m:nor/>
                      <m:sty m:val="p"/>
                    </m:rPr>
                    <m:t>op</m:t>
                  </m:r>
                </m:sub>
              </m:sSub>
            </m:oMath>
          </w:p>
        </w:tc>
        <w:tc>
          <w:tcPr/>
          <w:p>
            <w:pPr>
              <w:pStyle w:val="Compact"/>
              <w:jc w:val="left"/>
            </w:pPr>
            <w:r>
              <w:rPr>
                <w:rStyle w:val="VerbatimChar"/>
              </w:rPr>
              <w:t xml:space="preserve">seq_page_cost</w:t>
            </w:r>
            <w:r>
              <w:t xml:space="preserve">,</w:t>
            </w:r>
            <w:r>
              <w:t xml:space="preserve"> </w:t>
            </w:r>
            <w:r>
              <w:rPr>
                <w:rStyle w:val="VerbatimChar"/>
              </w:rPr>
              <w:t xml:space="preserve">cpu_tuple_cost</w:t>
            </w:r>
            <w:r>
              <w:t xml:space="preserve">,</w:t>
            </w:r>
            <w:r>
              <w:t xml:space="preserve"> </w:t>
            </w:r>
            <w:r>
              <w:rPr>
                <w:rStyle w:val="VerbatimChar"/>
              </w:rPr>
              <w:t xml:space="preserve">cpu_operator_cost</w:t>
            </w:r>
          </w:p>
        </w:tc>
        <w:tc>
          <w:tcPr/>
          <w:p>
            <w:pPr>
              <w:pStyle w:val="Compact"/>
              <w:jc w:val="left"/>
            </w:pPr>
            <w:r>
              <w:t xml:space="preserve">cost units</w:t>
            </w:r>
          </w:p>
        </w:tc>
      </w:tr>
    </w:tbl>
    <w:p>
      <w:pPr>
        <w:pStyle w:val="BodyText"/>
      </w:pPr>
      <w:r>
        <w:t xml:space="preserve">To estimate how many rows survive a filter, the planner uses per-column statistics collected by</w:t>
      </w:r>
      <w:r>
        <w:t xml:space="preserve"> </w:t>
      </w:r>
      <w:r>
        <w:rPr>
          <w:rStyle w:val="VerbatimChar"/>
        </w:rPr>
        <w:t xml:space="preserve">ANALYZE</w:t>
      </w:r>
      <w:r>
        <w:t xml:space="preserve"> </w:t>
      </w:r>
      <w:r>
        <w:t xml:space="preserve">from a random sample (visible in</w:t>
      </w:r>
      <w:r>
        <w:t xml:space="preserve"> </w:t>
      </w:r>
      <w:r>
        <w:rPr>
          <w:rStyle w:val="VerbatimChar"/>
        </w:rPr>
        <w:t xml:space="preserve">pg_stats</w:t>
      </w:r>
      <w:r>
        <w:t xml:space="preserve">): the number of distinct values, the</w:t>
      </w:r>
      <w:r>
        <w:t xml:space="preserve"> </w:t>
      </w:r>
      <w:r>
        <w:rPr>
          <w:bCs/>
          <w:b/>
        </w:rPr>
        <w:t xml:space="preserve">most common values</w:t>
      </w:r>
      <w:r>
        <w:t xml:space="preserve"> </w:t>
      </w:r>
      <w:r>
        <w:t xml:space="preserve">with their frequencies, a histogram of the rest, the null fraction and the physical</w:t>
      </w:r>
      <w:r>
        <w:t xml:space="preserve"> </w:t>
      </w:r>
      <w:r>
        <w:rPr>
          <w:bCs/>
          <w:b/>
        </w:rPr>
        <w:t xml:space="preserve">correlation</w:t>
      </w:r>
      <w:r>
        <w:t xml:space="preserve"> </w:t>
      </w:r>
      <w:r>
        <w:t xml:space="preserve">between column order and heap order.</w:t>
      </w:r>
    </w:p>
    <w:p>
      <w:pPr>
        <w:pStyle w:val="CalloutFormula"/>
      </w:pPr>
      <w:r>
        <w:rPr>
          <w:bCs/>
          <w:b/>
        </w:rPr>
        <w:t xml:space="preserve">FORMULA</w:t>
      </w:r>
    </w:p>
    <w:p>
      <w:pPr>
        <w:pStyle w:val="CalloutFormula"/>
      </w:pPr>
      <w:r>
        <w:rPr>
          <w:bCs/>
          <w:b/>
        </w:rPr>
        <w:t xml:space="preserve">Cardinality estimate under the independence assumption</w:t>
      </w:r>
    </w:p>
    <w:p>
      <w:pPr>
        <w:pStyle w:val="CalloutFormula"/>
      </w:pPr>
      <m:oMathPara>
        <m:oMathParaPr>
          <m:jc m:val="center"/>
        </m:oMathParaPr>
        <m:oMath>
          <m:acc>
            <m:accPr>
              <m:chr m:val="̂"/>
            </m:accPr>
            <m:e>
              <m:r>
                <m:t>r</m:t>
              </m:r>
            </m:e>
          </m:acc>
          <m:r>
            <m:rPr>
              <m:sty m:val="p"/>
            </m:rPr>
            <m:t>=</m:t>
          </m:r>
          <m:r>
            <m:t>n</m:t>
          </m:r>
          <m:r>
            <m:rPr>
              <m:sty m:val="p"/>
            </m:rPr>
            <m:t>⋅</m:t>
          </m:r>
          <m:nary>
            <m:naryPr>
              <m:chr m:val="∏"/>
              <m:limLoc m:val="undOvr"/>
              <m:subHide m:val="off"/>
              <m:supHide m:val="off"/>
            </m:naryPr>
            <m:sub>
              <m:r>
                <m:t>i</m:t>
              </m:r>
              <m:r>
                <m:rPr>
                  <m:sty m:val="p"/>
                </m:rPr>
                <m:t>=</m:t>
              </m:r>
              <m:r>
                <m:t>1</m:t>
              </m:r>
            </m:sub>
            <m:sup>
              <m:r>
                <m:t>k</m:t>
              </m:r>
            </m:sup>
            <m:e>
              <m:sSub>
                <m:e>
                  <m:r>
                    <m:t>s</m:t>
                  </m:r>
                </m:e>
                <m:sub>
                  <m:r>
                    <m:t>i</m:t>
                  </m:r>
                </m:sub>
              </m:sSub>
            </m:e>
          </m:nary>
          <m:r>
            <m:rPr>
              <m:sty m:val="p"/>
            </m:rPr>
            <m:t>,</m:t>
          </m:r>
          <m:r>
            <m:t>  </m:t>
          </m:r>
          <m:sSub>
            <m:e>
              <m:r>
                <m:t>s</m:t>
              </m:r>
            </m:e>
            <m:sub>
              <m:r>
                <m:t>i</m:t>
              </m:r>
            </m:sub>
          </m:sSub>
          <m:r>
            <m:rPr>
              <m:sty m:val="p"/>
            </m:rPr>
            <m:t>≈</m:t>
          </m:r>
          <m:r>
            <m:rPr>
              <m:nor/>
              <m:sty m:val="p"/>
            </m:rPr>
            <m:t>freq</m:t>
          </m:r>
          <m:d>
            <m:dPr>
              <m:begChr m:val="("/>
              <m:endChr m:val=")"/>
              <m:sepChr m:val=""/>
              <m:grow/>
            </m:dPr>
            <m:e>
              <m:sSub>
                <m:e>
                  <m:r>
                    <m:t>v</m:t>
                  </m:r>
                </m:e>
                <m:sub>
                  <m:r>
                    <m:t>i</m:t>
                  </m:r>
                </m:sub>
              </m:sSub>
            </m:e>
          </m:d>
          <m:r>
            <m:rPr>
              <m:nor/>
              <m:sty m:val="p"/>
            </m:rPr>
            <m:t> or </m:t>
          </m:r>
          <m:f>
            <m:fPr>
              <m:type m:val="bar"/>
            </m:fPr>
            <m:num>
              <m:r>
                <m:t>1</m:t>
              </m:r>
            </m:num>
            <m:den>
              <m:sSub>
                <m:e>
                  <m:r>
                    <m:t>d</m:t>
                  </m:r>
                </m:e>
                <m:sub>
                  <m:r>
                    <m:t>i</m:t>
                  </m:r>
                </m:sub>
              </m:sSub>
            </m:den>
          </m:f>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acc>
                <m:accPr>
                  <m:chr m:val="̂"/>
                </m:accPr>
                <m:e>
                  <m:r>
                    <m:t>r</m:t>
                  </m:r>
                </m:e>
              </m:acc>
            </m:oMath>
          </w:p>
        </w:tc>
        <w:tc>
          <w:tcPr/>
          <w:p>
            <w:pPr>
              <w:pStyle w:val="Compact"/>
              <w:jc w:val="left"/>
            </w:pPr>
            <w:r>
              <w:t xml:space="preserve">Estimated rows satisfying all</w:t>
            </w:r>
            <w:r>
              <w:t xml:space="preserve"> </w:t>
            </w:r>
            <m:oMath>
              <m:r>
                <m:t>k</m:t>
              </m:r>
            </m:oMath>
            <w:r>
              <w:t xml:space="preserve"> </w:t>
            </w:r>
            <w:r>
              <w:t xml:space="preserve">predicates</w:t>
            </w:r>
          </w:p>
        </w:tc>
        <w:tc>
          <w:tcPr/>
          <w:p>
            <w:pPr>
              <w:pStyle w:val="Compact"/>
              <w:jc w:val="left"/>
            </w:pPr>
            <w:r>
              <w:t xml:space="preserve">rows</w:t>
            </w:r>
          </w:p>
        </w:tc>
      </w:tr>
      <w:tr>
        <w:tc>
          <w:tcPr/>
          <w:p>
            <w:pPr>
              <w:pStyle w:val="Compact"/>
              <w:jc w:val="left"/>
            </w:pPr>
            <m:oMath>
              <m:r>
                <m:t>n</m:t>
              </m:r>
            </m:oMath>
          </w:p>
        </w:tc>
        <w:tc>
          <w:tcPr/>
          <w:p>
            <w:pPr>
              <w:pStyle w:val="Compact"/>
              <w:jc w:val="left"/>
            </w:pPr>
            <w:r>
              <w:t xml:space="preserve">Rows in the table</w:t>
            </w:r>
          </w:p>
        </w:tc>
        <w:tc>
          <w:tcPr/>
          <w:p>
            <w:pPr>
              <w:pStyle w:val="Compact"/>
              <w:jc w:val="left"/>
            </w:pPr>
            <w:r>
              <w:t xml:space="preserve">rows</w:t>
            </w:r>
          </w:p>
        </w:tc>
      </w:tr>
      <w:tr>
        <w:tc>
          <w:tcPr/>
          <w:p>
            <w:pPr>
              <w:pStyle w:val="Compact"/>
              <w:jc w:val="left"/>
            </w:pPr>
            <m:oMath>
              <m:sSub>
                <m:e>
                  <m:r>
                    <m:t>s</m:t>
                  </m:r>
                </m:e>
                <m:sub>
                  <m:r>
                    <m:t>i</m:t>
                  </m:r>
                </m:sub>
              </m:sSub>
            </m:oMath>
          </w:p>
        </w:tc>
        <w:tc>
          <w:tcPr/>
          <w:p>
            <w:pPr>
              <w:pStyle w:val="Compact"/>
              <w:jc w:val="left"/>
            </w:pPr>
            <w:r>
              <w:t xml:space="preserve">Selectivity of predicate</w:t>
            </w:r>
            <w:r>
              <w:t xml:space="preserve"> </w:t>
            </w:r>
            <m:oMath>
              <m:r>
                <m:t>i</m:t>
              </m:r>
            </m:oMath>
            <w:r>
              <w:t xml:space="preserve"> </w:t>
            </w:r>
            <w:r>
              <w:t xml:space="preserve">(fraction of rows passing it)</w:t>
            </w:r>
          </w:p>
        </w:tc>
        <w:tc>
          <w:tcPr/>
          <w:p>
            <w:pPr>
              <w:pStyle w:val="Compact"/>
              <w:jc w:val="left"/>
            </w:pPr>
            <w:r>
              <w:t xml:space="preserve">dimensionless</w:t>
            </w:r>
          </w:p>
        </w:tc>
      </w:tr>
      <w:tr>
        <w:tc>
          <w:tcPr/>
          <w:p>
            <w:pPr>
              <w:pStyle w:val="Compact"/>
              <w:jc w:val="left"/>
            </w:pPr>
            <m:oMath>
              <m:r>
                <m:rPr>
                  <m:nor/>
                  <m:sty m:val="p"/>
                </m:rPr>
                <m:t>freq</m:t>
              </m:r>
              <m:d>
                <m:dPr>
                  <m:begChr m:val="("/>
                  <m:endChr m:val=")"/>
                  <m:sepChr m:val=""/>
                  <m:grow/>
                </m:dPr>
                <m:e>
                  <m:sSub>
                    <m:e>
                      <m:r>
                        <m:t>v</m:t>
                      </m:r>
                    </m:e>
                    <m:sub>
                      <m:r>
                        <m:t>i</m:t>
                      </m:r>
                    </m:sub>
                  </m:sSub>
                </m:e>
              </m:d>
            </m:oMath>
          </w:p>
        </w:tc>
        <w:tc>
          <w:tcPr/>
          <w:p>
            <w:pPr>
              <w:pStyle w:val="Compact"/>
              <w:jc w:val="left"/>
            </w:pPr>
            <w:r>
              <w:t xml:space="preserve">Sampled frequency of value</w:t>
            </w:r>
            <w:r>
              <w:t xml:space="preserve"> </w:t>
            </w:r>
            <m:oMath>
              <m:sSub>
                <m:e>
                  <m:r>
                    <m:t>v</m:t>
                  </m:r>
                </m:e>
                <m:sub>
                  <m:r>
                    <m:t>i</m:t>
                  </m:r>
                </m:sub>
              </m:sSub>
            </m:oMath>
            <w:r>
              <w:t xml:space="preserve"> </w:t>
            </w:r>
            <w:r>
              <w:t xml:space="preserve">if it is a most-common value</w:t>
            </w:r>
          </w:p>
        </w:tc>
        <w:tc>
          <w:tcPr/>
          <w:p>
            <w:pPr>
              <w:pStyle w:val="Compact"/>
              <w:jc w:val="left"/>
            </w:pPr>
            <w:r>
              <w:t xml:space="preserve">dimensionless</w:t>
            </w:r>
          </w:p>
        </w:tc>
      </w:tr>
      <w:tr>
        <w:tc>
          <w:tcPr/>
          <w:p>
            <w:pPr>
              <w:pStyle w:val="Compact"/>
              <w:jc w:val="left"/>
            </w:pPr>
            <m:oMath>
              <m:sSub>
                <m:e>
                  <m:r>
                    <m:t>d</m:t>
                  </m:r>
                </m:e>
                <m:sub>
                  <m:r>
                    <m:t>i</m:t>
                  </m:r>
                </m:sub>
              </m:sSub>
            </m:oMath>
          </w:p>
        </w:tc>
        <w:tc>
          <w:tcPr/>
          <w:p>
            <w:pPr>
              <w:pStyle w:val="Compact"/>
              <w:jc w:val="left"/>
            </w:pPr>
            <w:r>
              <w:t xml:space="preserve">Number of distinct values in the column</w:t>
            </w:r>
          </w:p>
        </w:tc>
        <w:tc>
          <w:tcPr/>
          <w:p>
            <w:pPr>
              <w:pStyle w:val="Compact"/>
              <w:jc w:val="left"/>
            </w:pPr>
            <w:r>
              <w:t xml:space="preserve">values</w:t>
            </w:r>
          </w:p>
        </w:tc>
      </w:tr>
    </w:tbl>
    <w:p>
      <w:pPr>
        <w:pStyle w:val="CalloutExample"/>
      </w:pPr>
      <w:r>
        <w:rPr>
          <w:bCs/>
          <w:b/>
        </w:rPr>
        <w:t xml:space="preserve">WORKED EXAMPLE</w:t>
      </w:r>
    </w:p>
    <w:p>
      <w:pPr>
        <w:pStyle w:val="CalloutExample"/>
      </w:pPr>
      <w:r>
        <w:rPr>
          <w:bCs/>
          <w:b/>
        </w:rPr>
        <w:t xml:space="preserve">Worked example — Checking the planner’s arithmetic on real plans.</w:t>
      </w:r>
      <w:r>
        <w:t xml:space="preserve"> </w:t>
      </w:r>
      <w:r>
        <w:t xml:space="preserve">On the 1,000,000-row</w:t>
      </w:r>
      <w:r>
        <w:t xml:space="preserve"> </w:t>
      </w:r>
      <w:r>
        <w:rPr>
          <w:rStyle w:val="VerbatimChar"/>
        </w:rPr>
        <w:t xml:space="preserve">orders</w:t>
      </w:r>
      <w:r>
        <w:t xml:space="preserve"> </w:t>
      </w:r>
      <w:r>
        <w:t xml:space="preserve">table (15,385 pages):</w:t>
      </w:r>
    </w:p>
    <w:p>
      <w:pPr>
        <w:numPr>
          <w:ilvl w:val="0"/>
          <w:numId w:val="1379"/>
        </w:numPr>
        <w:pStyle w:val="Compact"/>
      </w:pPr>
      <w:r>
        <w:rPr>
          <w:rStyle w:val="VerbatimChar"/>
        </w:rPr>
        <w:t xml:space="preserve">EXPLAIN SELECT * FROM orders WHERE customer_id = 4242</w:t>
      </w:r>
      <w:r>
        <w:t xml:space="preserve"> </w:t>
      </w:r>
      <w:r>
        <w:t xml:space="preserve">reported</w:t>
      </w:r>
      <w:r>
        <w:t xml:space="preserve"> </w:t>
      </w:r>
      <w:r>
        <w:rPr>
          <w:rStyle w:val="VerbatimChar"/>
        </w:rPr>
        <w:t xml:space="preserve">cost=0.00..27885.00</w:t>
      </w:r>
      <w:r>
        <w:t xml:space="preserve">. By the formula:</w:t>
      </w:r>
      <w:r>
        <w:t xml:space="preserve"> </w:t>
      </w:r>
      <m:oMath>
        <m:r>
          <m:t>15</m:t>
        </m:r>
        <m:r>
          <m:rPr>
            <m:sty m:val="p"/>
          </m:rPr>
          <m:t>,</m:t>
        </m:r>
        <m:r>
          <m:t>385</m:t>
        </m:r>
        <m:r>
          <m:rPr>
            <m:sty m:val="p"/>
          </m:rPr>
          <m:t>×</m:t>
        </m:r>
        <m:r>
          <m:t>1</m:t>
        </m:r>
        <m:r>
          <m:rPr>
            <m:sty m:val="p"/>
          </m:rPr>
          <m:t>+</m:t>
        </m:r>
        <m:sSup>
          <m:e>
            <m:r>
              <m:t>10</m:t>
            </m:r>
          </m:e>
          <m:sup>
            <m:r>
              <m:t>6</m:t>
            </m:r>
          </m:sup>
        </m:sSup>
        <m:r>
          <m:rPr>
            <m:sty m:val="p"/>
          </m:rPr>
          <m:t>×</m:t>
        </m:r>
        <m:r>
          <m:t>0.01</m:t>
        </m:r>
        <m:r>
          <m:rPr>
            <m:sty m:val="p"/>
          </m:rPr>
          <m:t>+</m:t>
        </m:r>
        <m:sSup>
          <m:e>
            <m:r>
              <m:t>10</m:t>
            </m:r>
          </m:e>
          <m:sup>
            <m:r>
              <m:t>6</m:t>
            </m:r>
          </m:sup>
        </m:sSup>
        <m:r>
          <m:rPr>
            <m:sty m:val="p"/>
          </m:rPr>
          <m:t>×</m:t>
        </m:r>
        <m:r>
          <m:t>1</m:t>
        </m:r>
        <m:r>
          <m:rPr>
            <m:sty m:val="p"/>
          </m:rPr>
          <m:t>×</m:t>
        </m:r>
        <m:r>
          <m:t>0.0025</m:t>
        </m:r>
        <m:r>
          <m:rPr>
            <m:sty m:val="p"/>
          </m:rPr>
          <m:t>=</m:t>
        </m:r>
        <m:r>
          <m:t>15</m:t>
        </m:r>
        <m:r>
          <m:rPr>
            <m:sty m:val="p"/>
          </m:rPr>
          <m:t>,</m:t>
        </m:r>
        <m:r>
          <m:t>385</m:t>
        </m:r>
        <m:r>
          <m:rPr>
            <m:sty m:val="p"/>
          </m:rPr>
          <m:t>+</m:t>
        </m:r>
        <m:r>
          <m:t>10</m:t>
        </m:r>
        <m:r>
          <m:rPr>
            <m:sty m:val="p"/>
          </m:rPr>
          <m:t>,</m:t>
        </m:r>
        <m:r>
          <m:t>000</m:t>
        </m:r>
        <m:r>
          <m:rPr>
            <m:sty m:val="p"/>
          </m:rPr>
          <m:t>+</m:t>
        </m:r>
        <m:r>
          <m:t>2</m:t>
        </m:r>
        <m:r>
          <m:rPr>
            <m:sty m:val="p"/>
          </m:rPr>
          <m:t>,</m:t>
        </m:r>
        <m:r>
          <m:t>500</m:t>
        </m:r>
        <m:r>
          <m:rPr>
            <m:sty m:val="p"/>
          </m:rPr>
          <m:t>=</m:t>
        </m:r>
        <m:r>
          <m:t>27</m:t>
        </m:r>
        <m:r>
          <m:rPr>
            <m:sty m:val="p"/>
          </m:rPr>
          <m:t>,</m:t>
        </m:r>
        <m:r>
          <m:t>885</m:t>
        </m:r>
      </m:oMath>
      <w:r>
        <w:t xml:space="preserve">. Exact match.</w:t>
      </w:r>
    </w:p>
    <w:p>
      <w:pPr>
        <w:numPr>
          <w:ilvl w:val="0"/>
          <w:numId w:val="1379"/>
        </w:numPr>
        <w:pStyle w:val="Compact"/>
      </w:pPr>
      <w:r>
        <w:t xml:space="preserve">Its row estimate was 10: with 100,000 distinct customers,</w:t>
      </w:r>
      <w:r>
        <w:t xml:space="preserve"> </w:t>
      </w:r>
      <m:oMath>
        <m:r>
          <m:t>s</m:t>
        </m:r>
        <m:r>
          <m:rPr>
            <m:sty m:val="p"/>
          </m:rPr>
          <m:t>=</m:t>
        </m:r>
        <m:r>
          <m:t>1</m:t>
        </m:r>
        <m:r>
          <m:rPr>
            <m:sty m:val="p"/>
          </m:rPr>
          <m:t>/</m:t>
        </m:r>
        <m:r>
          <m:t>100</m:t>
        </m:r>
        <m:r>
          <m:rPr>
            <m:sty m:val="p"/>
          </m:rPr>
          <m:t>,</m:t>
        </m:r>
        <m:r>
          <m:t>000</m:t>
        </m:r>
      </m:oMath>
      <w:r>
        <w:t xml:space="preserve"> </w:t>
      </w:r>
      <w:r>
        <w:t xml:space="preserve">and</w:t>
      </w:r>
      <w:r>
        <w:t xml:space="preserve"> </w:t>
      </w:r>
      <m:oMath>
        <m:acc>
          <m:accPr>
            <m:chr m:val="̂"/>
          </m:accPr>
          <m:e>
            <m:r>
              <m:t>r</m:t>
            </m:r>
          </m:e>
        </m:acc>
        <m:r>
          <m:rPr>
            <m:sty m:val="p"/>
          </m:rPr>
          <m:t>=</m:t>
        </m:r>
        <m:sSup>
          <m:e>
            <m:r>
              <m:t>10</m:t>
            </m:r>
          </m:e>
          <m:sup>
            <m:r>
              <m:t>6</m:t>
            </m:r>
          </m:sup>
        </m:sSup>
        <m:r>
          <m:rPr>
            <m:sty m:val="p"/>
          </m:rPr>
          <m:t>/</m:t>
        </m:r>
        <m:sSup>
          <m:e>
            <m:r>
              <m:t>10</m:t>
            </m:r>
          </m:e>
          <m:sup>
            <m:r>
              <m:t>5</m:t>
            </m:r>
          </m:sup>
        </m:sSup>
        <m:r>
          <m:rPr>
            <m:sty m:val="p"/>
          </m:rPr>
          <m:t>=</m:t>
        </m:r>
        <m:r>
          <m:t>10</m:t>
        </m:r>
      </m:oMath>
      <w:r>
        <w:t xml:space="preserve">. Actual: 10.</w:t>
      </w:r>
    </w:p>
    <w:p>
      <w:pPr>
        <w:numPr>
          <w:ilvl w:val="0"/>
          <w:numId w:val="1379"/>
        </w:numPr>
        <w:pStyle w:val="Compact"/>
      </w:pPr>
      <w:r>
        <w:t xml:space="preserve">Now a table</w:t>
      </w:r>
      <w:r>
        <w:t xml:space="preserve"> </w:t>
      </w:r>
      <w:r>
        <w:rPr>
          <w:rStyle w:val="VerbatimChar"/>
        </w:rPr>
        <w:t xml:space="preserve">addr</w:t>
      </w:r>
      <w:r>
        <w:t xml:space="preserve"> </w:t>
      </w:r>
      <w:r>
        <w:t xml:space="preserve">of 1,000,000 rows where</w:t>
      </w:r>
      <w:r>
        <w:t xml:space="preserve"> </w:t>
      </w:r>
      <w:r>
        <w:rPr>
          <w:rStyle w:val="VerbatimChar"/>
        </w:rPr>
        <w:t xml:space="preserve">city</w:t>
      </w:r>
      <w:r>
        <w:t xml:space="preserve"> </w:t>
      </w:r>
      <w:r>
        <w:t xml:space="preserve">determines</w:t>
      </w:r>
      <w:r>
        <w:t xml:space="preserve"> </w:t>
      </w:r>
      <w:r>
        <w:rPr>
          <w:rStyle w:val="VerbatimChar"/>
        </w:rPr>
        <w:t xml:space="preserve">country</w:t>
      </w:r>
      <w:r>
        <w:t xml:space="preserve"> </w:t>
      </w:r>
      <w:r>
        <w:t xml:space="preserve">(every Pune row is in India). Each column has 5 values at about 20% each. For</w:t>
      </w:r>
      <w:r>
        <w:t xml:space="preserve"> </w:t>
      </w:r>
      <w:r>
        <w:rPr>
          <w:rStyle w:val="VerbatimChar"/>
        </w:rPr>
        <w:t xml:space="preserve">WHERE city = 'Pune' AND country = 'IN'</w:t>
      </w:r>
      <w:r>
        <w:t xml:space="preserve"> </w:t>
      </w:r>
      <w:r>
        <w:t xml:space="preserve">the independence assumption gives</w:t>
      </w:r>
      <w:r>
        <w:t xml:space="preserve"> </w:t>
      </w:r>
      <m:oMath>
        <m:acc>
          <m:accPr>
            <m:chr m:val="̂"/>
          </m:accPr>
          <m:e>
            <m:r>
              <m:t>r</m:t>
            </m:r>
          </m:e>
        </m:acc>
        <m:r>
          <m:rPr>
            <m:sty m:val="p"/>
          </m:rPr>
          <m:t>=</m:t>
        </m:r>
        <m:sSup>
          <m:e>
            <m:r>
              <m:t>10</m:t>
            </m:r>
          </m:e>
          <m:sup>
            <m:r>
              <m:t>6</m:t>
            </m:r>
          </m:sup>
        </m:sSup>
        <m:r>
          <m:rPr>
            <m:sty m:val="p"/>
          </m:rPr>
          <m:t>×</m:t>
        </m:r>
        <m:r>
          <m:t>0.2</m:t>
        </m:r>
        <m:r>
          <m:rPr>
            <m:sty m:val="p"/>
          </m:rPr>
          <m:t>×</m:t>
        </m:r>
        <m:r>
          <m:t>0.2</m:t>
        </m:r>
        <m:r>
          <m:rPr>
            <m:sty m:val="p"/>
          </m:rPr>
          <m:t>=</m:t>
        </m:r>
        <m:r>
          <m:t>40</m:t>
        </m:r>
        <m:r>
          <m:rPr>
            <m:sty m:val="p"/>
          </m:rPr>
          <m:t>,</m:t>
        </m:r>
        <m:r>
          <m:t>000</m:t>
        </m:r>
      </m:oMath>
      <w:r>
        <w:t xml:space="preserve">. PostgreSQL estimated 39,960; the actual count was 200,000, an underestimate of 5×.</w:t>
      </w:r>
    </w:p>
    <w:p>
      <w:pPr>
        <w:pStyle w:val="CalloutExample"/>
      </w:pPr>
      <w:r>
        <w:rPr>
          <w:bCs/>
          <w:b/>
        </w:rPr>
        <w:t xml:space="preserve">Interpretation.</w:t>
      </w:r>
      <w:r>
        <w:t xml:space="preserve"> </w:t>
      </w:r>
      <w:r>
        <w:t xml:space="preserve">The formulas are simple and exact for single predicates on well-sampled columns; the error comes from</w:t>
      </w:r>
      <w:r>
        <w:t xml:space="preserve"> </w:t>
      </w:r>
      <w:r>
        <w:rPr>
          <w:iCs/>
          <w:i/>
        </w:rPr>
        <w:t xml:space="preserve">correlation</w:t>
      </w:r>
      <w:r>
        <w:t xml:space="preserve">, which the independence assumption ignores.</w:t>
      </w:r>
      <w:r>
        <w:t xml:space="preserve"> </w:t>
      </w:r>
      <w:r>
        <w:rPr>
          <w:bCs/>
          <w:b/>
        </w:rPr>
        <w:t xml:space="preserve">Engineering implication.</w:t>
      </w:r>
      <w:r>
        <w:t xml:space="preserve"> </w:t>
      </w:r>
      <w:r>
        <w:t xml:space="preserve">Errors multiply through joins: an estimate that is 5× too low feeding a join whose own estimate is 5× too low is 25× off, which is enough to choose a nested loop over a million rows. For correlated columns, PostgreSQL 10+ supports extended statistics: after</w:t>
      </w:r>
      <w:r>
        <w:t xml:space="preserve"> </w:t>
      </w:r>
      <w:r>
        <w:rPr>
          <w:rStyle w:val="VerbatimChar"/>
        </w:rPr>
        <w:t xml:space="preserve">CREATE STATISTICS addr_city_country (dependencies) ON city, country FROM addr; ANALYZE addr;</w:t>
      </w:r>
      <w:r>
        <w:t xml:space="preserve"> </w:t>
      </w:r>
      <w:r>
        <w:t xml:space="preserve">the estimate became 198,500.</w:t>
      </w:r>
    </w:p>
    <w:p>
      <w:pPr>
        <w:pStyle w:val="CalloutIndustry"/>
      </w:pPr>
      <w:r>
        <w:rPr>
          <w:bCs/>
          <w:b/>
        </w:rPr>
        <w:t xml:space="preserve">INDUSTRY EXAMPLE</w:t>
      </w:r>
    </w:p>
    <w:p>
      <w:pPr>
        <w:pStyle w:val="CalloutIndustry"/>
      </w:pPr>
      <w:r>
        <w:rPr>
          <w:bCs/>
          <w:b/>
        </w:rPr>
        <w:t xml:space="preserve">Research evidence — How good are query optimizers?</w:t>
      </w:r>
      <w:r>
        <w:t xml:space="preserve"> </w:t>
      </w:r>
      <w:r>
        <w:t xml:space="preserve">Leis and colleagues built the Join Order Benchmark on the real IMDB dataset (queries with many joins over correlated data) and measured PostgreSQL and several commercial systems. Cardinality estimates were routinely wrong by orders of magnitude, errors grew with the number of joins, and estimation errors mattered far more for plan quality than the cost model did [Leis et al. 2015].</w:t>
      </w:r>
      <w:r>
        <w:t xml:space="preserve"> </w:t>
      </w:r>
      <w:r>
        <w:rPr>
          <w:iCs/>
          <w:i/>
        </w:rPr>
        <w:t xml:space="preserve">Evidence: Primary</w:t>
      </w:r>
      <w:r>
        <w:t xml:space="preserve"> </w:t>
      </w:r>
      <w:r>
        <w:t xml:space="preserve">— [Leis et al. 2015]</w:t>
      </w:r>
    </w:p>
    <w:bookmarkEnd w:id="1248"/>
    <w:bookmarkStart w:id="1249" w:name="reading-explain-and-explain-analyze"/>
    <w:p>
      <w:pPr>
        <w:pStyle w:val="Heading3"/>
      </w:pPr>
      <w:r>
        <w:t xml:space="preserve">11.10.3 Reading EXPLAIN and EXPLAIN ANALYZE</w:t>
      </w:r>
    </w:p>
    <w:p>
      <w:pPr>
        <w:pStyle w:val="FirstParagraph"/>
      </w:pPr>
      <w:r>
        <w:rPr>
          <w:rStyle w:val="VerbatimChar"/>
        </w:rPr>
        <w:t xml:space="preserve">EXPLAIN</w:t>
      </w:r>
      <w:r>
        <w:t xml:space="preserve"> </w:t>
      </w:r>
      <w:r>
        <w:t xml:space="preserve">shows the chosen plan with estimates;</w:t>
      </w:r>
      <w:r>
        <w:t xml:space="preserve"> </w:t>
      </w:r>
      <w:r>
        <w:rPr>
          <w:rStyle w:val="VerbatimChar"/>
        </w:rPr>
        <w:t xml:space="preserve">EXPLAIN ANALYZE</w:t>
      </w:r>
      <w:r>
        <w:t xml:space="preserve"> </w:t>
      </w:r>
      <w:r>
        <w:t xml:space="preserve">actually runs the query and adds measured times and row counts;</w:t>
      </w:r>
      <w:r>
        <w:t xml:space="preserve"> </w:t>
      </w:r>
      <w:r>
        <w:rPr>
          <w:rStyle w:val="VerbatimChar"/>
        </w:rPr>
        <w:t xml:space="preserve">BUFFERS</w:t>
      </w:r>
      <w:r>
        <w:t xml:space="preserve"> </w:t>
      </w:r>
      <w:r>
        <w:t xml:space="preserve">adds page counts. (MySQL 8.0.18+ has</w:t>
      </w:r>
      <w:r>
        <w:t xml:space="preserve"> </w:t>
      </w:r>
      <w:r>
        <w:rPr>
          <w:rStyle w:val="VerbatimChar"/>
        </w:rPr>
        <w:t xml:space="preserve">EXPLAIN ANALYZE</w:t>
      </w:r>
      <w:r>
        <w:t xml:space="preserve"> </w:t>
      </w:r>
      <w:r>
        <w:t xml:space="preserve">with a different format.) The following is real PostgreSQL 16 output for the order-history query after creating an index on</w:t>
      </w:r>
      <w:r>
        <w:t xml:space="preserve"> </w:t>
      </w:r>
      <w:r>
        <w:rPr>
          <w:rStyle w:val="VerbatimChar"/>
        </w:rPr>
        <w:t xml:space="preserve">orders (customer_id, created_at DESC)</w:t>
      </w:r>
      <w:r>
        <w:t xml:space="preserve">, with parallel query disabled for readability:</w:t>
      </w:r>
    </w:p>
    <w:p>
      <w:pPr>
        <w:pStyle w:val="SourceCode"/>
      </w:pPr>
      <w:r>
        <w:rPr>
          <w:rStyle w:val="VerbatimChar"/>
        </w:rPr>
        <w:t xml:space="preserve">Limit  (cost=44.03..44.05 rows=10 width=32) (actual time=0.110..0.112 rows=10 loops=1)</w:t>
      </w:r>
      <w:r>
        <w:br/>
      </w:r>
      <w:r>
        <w:rPr>
          <w:rStyle w:val="VerbatimChar"/>
        </w:rPr>
        <w:t xml:space="preserve">  Buffers: shared hit=3 read=13</w:t>
      </w:r>
      <w:r>
        <w:br/>
      </w:r>
      <w:r>
        <w:rPr>
          <w:rStyle w:val="VerbatimChar"/>
        </w:rPr>
        <w:t xml:space="preserve">  -&gt;  Sort  (cost=44.03..44.05 rows=10 width=32) (actual time=0.109..0.110 rows=10 loops=1)</w:t>
      </w:r>
      <w:r>
        <w:br/>
      </w:r>
      <w:r>
        <w:rPr>
          <w:rStyle w:val="VerbatimChar"/>
        </w:rPr>
        <w:t xml:space="preserve">        Sort Key: created_at DESC</w:t>
      </w:r>
      <w:r>
        <w:br/>
      </w:r>
      <w:r>
        <w:rPr>
          <w:rStyle w:val="VerbatimChar"/>
        </w:rPr>
        <w:t xml:space="preserve">        Sort Method: quicksort  Memory: 25kB</w:t>
      </w:r>
      <w:r>
        <w:br/>
      </w:r>
      <w:r>
        <w:rPr>
          <w:rStyle w:val="VerbatimChar"/>
        </w:rPr>
        <w:t xml:space="preserve">        -&gt;  Bitmap Heap Scan on orders  (cost=4.50..43.86 rows=10 width=32) (actual time=0.042..0.099 rows=10 loops=1)</w:t>
      </w:r>
      <w:r>
        <w:br/>
      </w:r>
      <w:r>
        <w:rPr>
          <w:rStyle w:val="VerbatimChar"/>
        </w:rPr>
        <w:t xml:space="preserve">              Recheck Cond: (customer_id = 4242)</w:t>
      </w:r>
      <w:r>
        <w:br/>
      </w:r>
      <w:r>
        <w:rPr>
          <w:rStyle w:val="VerbatimChar"/>
        </w:rPr>
        <w:t xml:space="preserve">              Heap Blocks: exact=10</w:t>
      </w:r>
      <w:r>
        <w:br/>
      </w:r>
      <w:r>
        <w:rPr>
          <w:rStyle w:val="VerbatimChar"/>
        </w:rPr>
        <w:t xml:space="preserve">              -&gt;  Bitmap Index Scan on orders_customer_created_idx  (cost=0.00..4.50 rows=10 width=0) (actual time=0.028..0.028 rows=10 loops=1)</w:t>
      </w:r>
      <w:r>
        <w:br/>
      </w:r>
      <w:r>
        <w:rPr>
          <w:rStyle w:val="VerbatimChar"/>
        </w:rPr>
        <w:t xml:space="preserve">                    Index Cond: (customer_id = 4242)</w:t>
      </w:r>
      <w:r>
        <w:br/>
      </w:r>
      <w:r>
        <w:rPr>
          <w:rStyle w:val="VerbatimChar"/>
        </w:rPr>
        <w:t xml:space="preserve">Planning Time: 0.219 ms</w:t>
      </w:r>
      <w:r>
        <w:br/>
      </w:r>
      <w:r>
        <w:rPr>
          <w:rStyle w:val="VerbatimChar"/>
        </w:rPr>
        <w:t xml:space="preserve">Execution Time: 0.135 ms</w:t>
      </w:r>
    </w:p>
    <w:p>
      <w:pPr>
        <w:pStyle w:val="FirstParagraph"/>
      </w:pPr>
      <w:r>
        <w:t xml:space="preserve">How to read it:</w:t>
      </w:r>
    </w:p>
    <w:p>
      <w:pPr>
        <w:numPr>
          <w:ilvl w:val="0"/>
          <w:numId w:val="1380"/>
        </w:numPr>
        <w:pStyle w:val="Compact"/>
      </w:pPr>
      <w:r>
        <w:t xml:space="preserve">Read from the most indented node outward: the bitmap index scan finds 10 TIDs, the heap scan fetches 10 pages, the sort orders them, the limit returns them.</w:t>
      </w:r>
    </w:p>
    <w:p>
      <w:pPr>
        <w:numPr>
          <w:ilvl w:val="0"/>
          <w:numId w:val="1380"/>
        </w:numPr>
        <w:pStyle w:val="Compact"/>
      </w:pPr>
      <w:r>
        <w:rPr>
          <w:rStyle w:val="VerbatimChar"/>
        </w:rPr>
        <w:t xml:space="preserve">cost=startup..total</w:t>
      </w:r>
      <w:r>
        <w:t xml:space="preserve"> </w:t>
      </w:r>
      <w:r>
        <w:t xml:space="preserve">and</w:t>
      </w:r>
      <w:r>
        <w:t xml:space="preserve"> </w:t>
      </w:r>
      <w:r>
        <w:rPr>
          <w:rStyle w:val="VerbatimChar"/>
        </w:rPr>
        <w:t xml:space="preserve">rows</w:t>
      </w:r>
      <w:r>
        <w:t xml:space="preserve"> </w:t>
      </w:r>
      <w:r>
        <w:t xml:space="preserve">are estimates;</w:t>
      </w:r>
      <w:r>
        <w:t xml:space="preserve"> </w:t>
      </w:r>
      <w:r>
        <w:rPr>
          <w:rStyle w:val="VerbatimChar"/>
        </w:rPr>
        <w:t xml:space="preserve">actual time=first..last</w:t>
      </w:r>
      <w:r>
        <w:t xml:space="preserve"> </w:t>
      </w:r>
      <w:r>
        <w:t xml:space="preserve">is in milliseconds</w:t>
      </w:r>
      <w:r>
        <w:t xml:space="preserve"> </w:t>
      </w:r>
      <w:r>
        <w:rPr>
          <w:iCs/>
          <w:i/>
        </w:rPr>
        <w:t xml:space="preserve">per loop</w:t>
      </w:r>
      <w:r>
        <w:t xml:space="preserve"> </w:t>
      </w:r>
      <w:r>
        <w:t xml:space="preserve">(multiply by</w:t>
      </w:r>
      <w:r>
        <w:t xml:space="preserve"> </w:t>
      </w:r>
      <w:r>
        <w:rPr>
          <w:rStyle w:val="VerbatimChar"/>
        </w:rPr>
        <w:t xml:space="preserve">loops</w:t>
      </w:r>
      <w:r>
        <w:t xml:space="preserve">).</w:t>
      </w:r>
    </w:p>
    <w:p>
      <w:pPr>
        <w:numPr>
          <w:ilvl w:val="0"/>
          <w:numId w:val="1380"/>
        </w:numPr>
        <w:pStyle w:val="Compact"/>
      </w:pPr>
      <w:r>
        <w:rPr>
          <w:bCs/>
          <w:b/>
        </w:rPr>
        <w:t xml:space="preserve">Compare estimated and actual</w:t>
      </w:r>
      <w:r>
        <w:rPr>
          <w:bCs/>
          <w:b/>
        </w:rPr>
        <w:t xml:space="preserve"> </w:t>
      </w:r>
      <w:r>
        <w:rPr>
          <w:rStyle w:val="VerbatimChar"/>
          <w:bCs/>
          <w:b/>
        </w:rPr>
        <w:t xml:space="preserve">rows</w:t>
      </w:r>
      <w:r>
        <w:rPr>
          <w:bCs/>
          <w:b/>
        </w:rPr>
        <w:t xml:space="preserve"> </w:t>
      </w:r>
      <w:r>
        <w:rPr>
          <w:bCs/>
          <w:b/>
        </w:rPr>
        <w:t xml:space="preserve">at every node.</w:t>
      </w:r>
      <w:r>
        <w:t xml:space="preserve"> </w:t>
      </w:r>
      <w:r>
        <w:t xml:space="preserve">A gap above about 10× points to stale statistics (</w:t>
      </w:r>
      <w:r>
        <w:rPr>
          <w:rStyle w:val="VerbatimChar"/>
        </w:rPr>
        <w:t xml:space="preserve">ANALYZE</w:t>
      </w:r>
      <w:r>
        <w:t xml:space="preserve">), correlated columns (</w:t>
      </w:r>
      <w:r>
        <w:rPr>
          <w:rStyle w:val="VerbatimChar"/>
        </w:rPr>
        <w:t xml:space="preserve">CREATE STATISTICS</w:t>
      </w:r>
      <w:r>
        <w:t xml:space="preserve">) or an unestimatable predicate (functions, casts).</w:t>
      </w:r>
    </w:p>
    <w:p>
      <w:pPr>
        <w:numPr>
          <w:ilvl w:val="0"/>
          <w:numId w:val="1380"/>
        </w:numPr>
        <w:pStyle w:val="Compact"/>
      </w:pPr>
      <w:r>
        <w:rPr>
          <w:rStyle w:val="VerbatimChar"/>
        </w:rPr>
        <w:t xml:space="preserve">Buffers: shared hit=3 read=13</w:t>
      </w:r>
      <w:r>
        <w:t xml:space="preserve">: 3 pages from the buffer pool, 13 from the OS or disk.</w:t>
      </w:r>
    </w:p>
    <w:p>
      <w:pPr>
        <w:pStyle w:val="FirstParagraph"/>
      </w:pPr>
      <w:r>
        <w:t xml:space="preserve">With only 10 orders per customer, sorting 10 rows was estimated cheaper than walking the index in</w:t>
      </w:r>
      <w:r>
        <w:t xml:space="preserve"> </w:t>
      </w:r>
      <w:r>
        <w:rPr>
          <w:rStyle w:val="VerbatimChar"/>
        </w:rPr>
        <w:t xml:space="preserve">created_at</w:t>
      </w:r>
      <w:r>
        <w:t xml:space="preserve"> </w:t>
      </w:r>
      <w:r>
        <w:t xml:space="preserve">order; for a customer with thousands of orders the plan switches to an index scan that needs no sort.</w:t>
      </w:r>
    </w:p>
    <w:p>
      <w:pPr>
        <w:pStyle w:val="CalloutWarning"/>
      </w:pPr>
      <w:r>
        <w:rPr>
          <w:bCs/>
          <w:b/>
        </w:rPr>
        <w:t xml:space="preserve">WARNING / TRADE-OFF</w:t>
      </w:r>
    </w:p>
    <w:p>
      <w:pPr>
        <w:pStyle w:val="CalloutWarning"/>
      </w:pPr>
      <w:r>
        <w:rPr>
          <w:bCs/>
          <w:b/>
        </w:rPr>
        <w:t xml:space="preserve">Warning —</w:t>
      </w:r>
      <w:r>
        <w:rPr>
          <w:bCs/>
          <w:b/>
        </w:rPr>
        <w:t xml:space="preserve"> </w:t>
      </w:r>
      <w:r>
        <w:rPr>
          <w:rStyle w:val="VerbatimChar"/>
          <w:bCs/>
          <w:b/>
        </w:rPr>
        <w:t xml:space="preserve">EXPLAIN ANALYZE</w:t>
      </w:r>
      <w:r>
        <w:rPr>
          <w:bCs/>
          <w:b/>
        </w:rPr>
        <w:t xml:space="preserve"> </w:t>
      </w:r>
      <w:r>
        <w:rPr>
          <w:bCs/>
          <w:b/>
        </w:rPr>
        <w:t xml:space="preserve">executes the statement.</w:t>
      </w:r>
      <w:r>
        <w:t xml:space="preserve"> </w:t>
      </w:r>
      <w:r>
        <w:t xml:space="preserve">For</w:t>
      </w:r>
      <w:r>
        <w:t xml:space="preserve"> </w:t>
      </w:r>
      <w:r>
        <w:rPr>
          <w:rStyle w:val="VerbatimChar"/>
        </w:rPr>
        <w:t xml:space="preserve">INSERT</w:t>
      </w:r>
      <w:r>
        <w:t xml:space="preserve">,</w:t>
      </w:r>
      <w:r>
        <w:t xml:space="preserve"> </w:t>
      </w:r>
      <w:r>
        <w:rPr>
          <w:rStyle w:val="VerbatimChar"/>
        </w:rPr>
        <w:t xml:space="preserve">UPDATE</w:t>
      </w:r>
      <w:r>
        <w:t xml:space="preserve"> </w:t>
      </w:r>
      <w:r>
        <w:t xml:space="preserve">or</w:t>
      </w:r>
      <w:r>
        <w:t xml:space="preserve"> </w:t>
      </w:r>
      <w:r>
        <w:rPr>
          <w:rStyle w:val="VerbatimChar"/>
        </w:rPr>
        <w:t xml:space="preserve">DELETE</w:t>
      </w:r>
      <w:r>
        <w:t xml:space="preserve">, wrap it:</w:t>
      </w:r>
      <w:r>
        <w:t xml:space="preserve"> </w:t>
      </w:r>
      <w:r>
        <w:rPr>
          <w:rStyle w:val="VerbatimChar"/>
        </w:rPr>
        <w:t xml:space="preserve">BEGIN; EXPLAIN ANALYZE UPDATE ...; ROLLBACK;</w:t>
      </w:r>
      <w:r>
        <w:t xml:space="preserve">. Also remember that the first run may read from disk and the second from cache; compare</w:t>
      </w:r>
      <w:r>
        <w:t xml:space="preserve"> </w:t>
      </w:r>
      <w:r>
        <w:rPr>
          <w:rStyle w:val="VerbatimChar"/>
        </w:rPr>
        <w:t xml:space="preserve">Buffers</w:t>
      </w:r>
      <w:r>
        <w:t xml:space="preserve"> </w:t>
      </w:r>
      <w:r>
        <w:t xml:space="preserve">before comparing times.</w:t>
      </w:r>
    </w:p>
    <w:p>
      <w:pPr>
        <w:pStyle w:val="BodyText"/>
      </w:pPr>
      <w:r>
        <w:rPr>
          <w:bCs/>
          <w:b/>
        </w:rPr>
        <w:t xml:space="preserve">Table 11.6 — Failure scenarios in query planning.</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Query suddenly 100× slower after a data load</w:t>
            </w:r>
          </w:p>
        </w:tc>
        <w:tc>
          <w:tcPr/>
          <w:p>
            <w:pPr>
              <w:pStyle w:val="Compact"/>
              <w:jc w:val="left"/>
            </w:pPr>
            <w:r>
              <w:t xml:space="preserve">Stale statistics; plan flipped</w:t>
            </w:r>
          </w:p>
        </w:tc>
        <w:tc>
          <w:tcPr/>
          <w:p>
            <w:pPr>
              <w:pStyle w:val="Compact"/>
              <w:jc w:val="left"/>
            </w:pPr>
            <w:r>
              <w:rPr>
                <w:rStyle w:val="VerbatimChar"/>
              </w:rPr>
              <w:t xml:space="preserve">pg_stat_statements</w:t>
            </w:r>
            <w:r>
              <w:t xml:space="preserve"> </w:t>
            </w:r>
            <w:r>
              <w:t xml:space="preserve">latency jump; estimate vs actual gap</w:t>
            </w:r>
          </w:p>
        </w:tc>
        <w:tc>
          <w:tcPr/>
          <w:p>
            <w:pPr>
              <w:pStyle w:val="Compact"/>
              <w:jc w:val="left"/>
            </w:pPr>
            <w:r>
              <w:rPr>
                <w:rStyle w:val="VerbatimChar"/>
              </w:rPr>
              <w:t xml:space="preserve">ANALYZE</w:t>
            </w:r>
            <w:r>
              <w:t xml:space="preserve"> </w:t>
            </w:r>
            <w:r>
              <w:t xml:space="preserve">the table</w:t>
            </w:r>
          </w:p>
        </w:tc>
        <w:tc>
          <w:tcPr/>
          <w:p>
            <w:pPr>
              <w:pStyle w:val="Compact"/>
              <w:jc w:val="left"/>
            </w:pPr>
            <w:r>
              <w:t xml:space="preserve">Autovacuum/analyze tuning; analyze after bulk loads</w:t>
            </w:r>
          </w:p>
        </w:tc>
      </w:tr>
      <w:tr>
        <w:tc>
          <w:tcPr/>
          <w:p>
            <w:pPr>
              <w:pStyle w:val="Compact"/>
              <w:jc w:val="left"/>
            </w:pPr>
            <w:r>
              <w:t xml:space="preserve">Nested loop over millions of rows</w:t>
            </w:r>
          </w:p>
        </w:tc>
        <w:tc>
          <w:tcPr/>
          <w:p>
            <w:pPr>
              <w:pStyle w:val="Compact"/>
              <w:jc w:val="left"/>
            </w:pPr>
            <w:r>
              <w:t xml:space="preserve">Underestimated cardinality from correlated predicates</w:t>
            </w:r>
          </w:p>
        </w:tc>
        <w:tc>
          <w:tcPr/>
          <w:p>
            <w:pPr>
              <w:pStyle w:val="Compact"/>
              <w:jc w:val="left"/>
            </w:pPr>
            <w:r>
              <w:rPr>
                <w:rStyle w:val="VerbatimChar"/>
              </w:rPr>
              <w:t xml:space="preserve">rows=</w:t>
            </w:r>
            <w:r>
              <w:t xml:space="preserve"> </w:t>
            </w:r>
            <w:r>
              <w:t xml:space="preserve">estimate far below actual</w:t>
            </w:r>
          </w:p>
        </w:tc>
        <w:tc>
          <w:tcPr/>
          <w:p>
            <w:pPr>
              <w:pStyle w:val="Compact"/>
              <w:jc w:val="left"/>
            </w:pPr>
            <w:r>
              <w:t xml:space="preserve">Extended statistics; rewrite query</w:t>
            </w:r>
          </w:p>
        </w:tc>
        <w:tc>
          <w:tcPr/>
          <w:p>
            <w:pPr>
              <w:pStyle w:val="Compact"/>
              <w:jc w:val="left"/>
            </w:pPr>
            <w:r>
              <w:rPr>
                <w:rStyle w:val="VerbatimChar"/>
              </w:rPr>
              <w:t xml:space="preserve">CREATE STATISTICS</w:t>
            </w:r>
            <w:r>
              <w:t xml:space="preserve"> </w:t>
            </w:r>
            <w:r>
              <w:t xml:space="preserve">on correlated columns</w:t>
            </w:r>
          </w:p>
        </w:tc>
      </w:tr>
      <w:tr>
        <w:tc>
          <w:tcPr/>
          <w:p>
            <w:pPr>
              <w:pStyle w:val="Compact"/>
              <w:jc w:val="left"/>
            </w:pPr>
            <w:r>
              <w:t xml:space="preserve">Index ignored</w:t>
            </w:r>
          </w:p>
        </w:tc>
        <w:tc>
          <w:tcPr/>
          <w:p>
            <w:pPr>
              <w:pStyle w:val="Compact"/>
              <w:jc w:val="left"/>
            </w:pPr>
            <w:r>
              <w:t xml:space="preserve">Function or cast on column; low selectivity</w:t>
            </w:r>
          </w:p>
        </w:tc>
        <w:tc>
          <w:tcPr/>
          <w:p>
            <w:pPr>
              <w:pStyle w:val="Compact"/>
              <w:jc w:val="left"/>
            </w:pPr>
            <w:r>
              <w:rPr>
                <w:rStyle w:val="VerbatimChar"/>
              </w:rPr>
              <w:t xml:space="preserve">Seq Scan</w:t>
            </w:r>
            <w:r>
              <w:t xml:space="preserve"> </w:t>
            </w:r>
            <w:r>
              <w:t xml:space="preserve">with selective filter</w:t>
            </w:r>
          </w:p>
        </w:tc>
        <w:tc>
          <w:tcPr/>
          <w:p>
            <w:pPr>
              <w:pStyle w:val="Compact"/>
              <w:jc w:val="left"/>
            </w:pPr>
            <w:r>
              <w:t xml:space="preserve">Expression index or rewritten predicate</w:t>
            </w:r>
          </w:p>
        </w:tc>
        <w:tc>
          <w:tcPr/>
          <w:p>
            <w:pPr>
              <w:pStyle w:val="Compact"/>
              <w:jc w:val="left"/>
            </w:pPr>
            <w:r>
              <w:t xml:space="preserve">Code review of predicates</w:t>
            </w:r>
          </w:p>
        </w:tc>
      </w:tr>
      <w:tr>
        <w:tc>
          <w:tcPr/>
          <w:p>
            <w:pPr>
              <w:pStyle w:val="Compact"/>
              <w:jc w:val="left"/>
            </w:pPr>
            <w:r>
              <w:t xml:space="preserve">Hash join or sort spills to disk</w:t>
            </w:r>
          </w:p>
        </w:tc>
        <w:tc>
          <w:tcPr/>
          <w:p>
            <w:pPr>
              <w:pStyle w:val="Compact"/>
              <w:jc w:val="left"/>
            </w:pPr>
            <w:r>
              <w:t xml:space="preserve">Memory budget too small for build side</w:t>
            </w:r>
          </w:p>
        </w:tc>
        <w:tc>
          <w:tcPr/>
          <w:p>
            <w:pPr>
              <w:pStyle w:val="Compact"/>
              <w:jc w:val="left"/>
            </w:pPr>
            <w:r>
              <w:rPr>
                <w:rStyle w:val="VerbatimChar"/>
              </w:rPr>
              <w:t xml:space="preserve">Batches: &gt;1</w:t>
            </w:r>
            <w:r>
              <w:t xml:space="preserve">,</w:t>
            </w:r>
            <w:r>
              <w:t xml:space="preserve"> </w:t>
            </w:r>
            <w:r>
              <w:rPr>
                <w:rStyle w:val="VerbatimChar"/>
              </w:rPr>
              <w:t xml:space="preserve">Sort Method: external merge</w:t>
            </w:r>
          </w:p>
        </w:tc>
        <w:tc>
          <w:tcPr/>
          <w:p>
            <w:pPr>
              <w:pStyle w:val="Compact"/>
              <w:jc w:val="left"/>
            </w:pPr>
            <w:r>
              <w:t xml:space="preserve">Raise</w:t>
            </w:r>
            <w:r>
              <w:t xml:space="preserve"> </w:t>
            </w:r>
            <w:r>
              <w:rPr>
                <w:rStyle w:val="VerbatimChar"/>
              </w:rPr>
              <w:t xml:space="preserve">work_mem</w:t>
            </w:r>
            <w:r>
              <w:t xml:space="preserve"> </w:t>
            </w:r>
            <w:r>
              <w:t xml:space="preserve">for that session</w:t>
            </w:r>
          </w:p>
        </w:tc>
        <w:tc>
          <w:tcPr/>
          <w:p>
            <w:pPr>
              <w:pStyle w:val="Compact"/>
              <w:jc w:val="left"/>
            </w:pPr>
            <w:r>
              <w:t xml:space="preserve">Filter earlier; size memory per query</w:t>
            </w:r>
          </w:p>
        </w:tc>
      </w:tr>
    </w:tbl>
    <w:bookmarkEnd w:id="1249"/>
    <w:bookmarkEnd w:id="1250"/>
    <w:bookmarkStart w:id="1254" w:name="transactions"/>
    <w:p>
      <w:pPr>
        <w:pStyle w:val="Heading2"/>
      </w:pPr>
      <w:r>
        <w:t xml:space="preserve">11.11 Transactions</w:t>
      </w:r>
    </w:p>
    <w:bookmarkStart w:id="1253" w:name="commit-rollback-and-savepoints"/>
    <w:p>
      <w:pPr>
        <w:pStyle w:val="Heading3"/>
      </w:pPr>
      <w:r>
        <w:t xml:space="preserve">11.11.1 Commit, rollback and savepoints</w:t>
      </w:r>
    </w:p>
    <w:p>
      <w:pPr>
        <w:pStyle w:val="CalloutDefinition"/>
      </w:pPr>
      <w:r>
        <w:rPr>
          <w:bCs/>
          <w:b/>
        </w:rPr>
        <w:t xml:space="preserve">DEFINITION</w:t>
      </w:r>
    </w:p>
    <w:p>
      <w:pPr>
        <w:pStyle w:val="CalloutDefinition"/>
      </w:pPr>
      <w:r>
        <w:rPr>
          <w:bCs/>
          <w:b/>
        </w:rPr>
        <w:t xml:space="preserve">Definition — Transaction.</w:t>
      </w:r>
      <w:r>
        <w:t xml:space="preserve"> </w:t>
      </w:r>
      <w:r>
        <w:t xml:space="preserve">A sequence of reads and writes that the database treats as one logical unit: either all of its effects become permanent together (</w:t>
      </w:r>
      <w:r>
        <w:rPr>
          <w:bCs/>
          <w:b/>
        </w:rPr>
        <w:t xml:space="preserve">commit</w:t>
      </w:r>
      <w:r>
        <w:t xml:space="preserve">) or none of them do (</w:t>
      </w:r>
      <w:r>
        <w:rPr>
          <w:bCs/>
          <w:b/>
        </w:rPr>
        <w:t xml:space="preserve">abort</w:t>
      </w:r>
      <w:r>
        <w:t xml:space="preserve"> </w:t>
      </w:r>
      <w:r>
        <w:t xml:space="preserve">or</w:t>
      </w:r>
      <w:r>
        <w:t xml:space="preserve"> </w:t>
      </w:r>
      <w:r>
        <w:rPr>
          <w:bCs/>
          <w:b/>
        </w:rPr>
        <w:t xml:space="preserve">rollback</w:t>
      </w:r>
      <w:r>
        <w:t xml:space="preserve">), and concurrently running transactions are isolated from each other’s intermediate states.</w:t>
      </w:r>
    </w:p>
    <w:bookmarkStart w:id="1251" w:name="first-principles-explanation-70"/>
    <w:p>
      <w:pPr>
        <w:pStyle w:val="Heading4"/>
      </w:pPr>
      <w:r>
        <w:t xml:space="preserve">First-principles explanation</w:t>
      </w:r>
    </w:p>
    <w:p>
      <w:pPr>
        <w:pStyle w:val="FirstParagraph"/>
      </w:pPr>
      <w:r>
        <w:t xml:space="preserve">Moving money between two accounts is two writes: debit one, credit the other. If the server crashes between them, or a constraint fails on the second, money is created or destroyed. Without transactions, every application would need its own crash-recovery and concurrency logic for every multi-step operation, and most would get it wrong. A transaction lets you write the steps as if nothing else were happening and nothing could fail, and makes the database responsible for the rest [Gray and Reuter 1993].</w:t>
      </w:r>
    </w:p>
    <w:bookmarkEnd w:id="1251"/>
    <w:bookmarkStart w:id="1252" w:name="how-it-works-internally-42"/>
    <w:p>
      <w:pPr>
        <w:pStyle w:val="Heading4"/>
      </w:pPr>
      <w:r>
        <w:t xml:space="preserve">How it works internally</w:t>
      </w:r>
    </w:p>
    <w:p>
      <w:pPr>
        <w:numPr>
          <w:ilvl w:val="0"/>
          <w:numId w:val="1381"/>
        </w:numPr>
        <w:pStyle w:val="Compact"/>
      </w:pPr>
      <w:r>
        <w:rPr>
          <w:rStyle w:val="VerbatimChar"/>
        </w:rPr>
        <w:t xml:space="preserve">BEGIN</w:t>
      </w:r>
      <w:r>
        <w:t xml:space="preserve"> </w:t>
      </w:r>
      <w:r>
        <w:t xml:space="preserve">starts a transaction (many drivers start one implicitly; with</w:t>
      </w:r>
      <w:r>
        <w:t xml:space="preserve"> </w:t>
      </w:r>
      <w:r>
        <w:rPr>
          <w:bCs/>
          <w:b/>
        </w:rPr>
        <w:t xml:space="preserve">autocommit</w:t>
      </w:r>
      <w:r>
        <w:t xml:space="preserve">, every statement is its own transaction).</w:t>
      </w:r>
    </w:p>
    <w:p>
      <w:pPr>
        <w:numPr>
          <w:ilvl w:val="0"/>
          <w:numId w:val="1381"/>
        </w:numPr>
        <w:pStyle w:val="Compact"/>
      </w:pPr>
      <w:r>
        <w:t xml:space="preserve">Each write is recorded in the write-ahead log and applied to pages in memory; concurrency control (MVCC and locks, §11.14–§11.15) decides what other transactions may see and do.</w:t>
      </w:r>
    </w:p>
    <w:p>
      <w:pPr>
        <w:numPr>
          <w:ilvl w:val="0"/>
          <w:numId w:val="1381"/>
        </w:numPr>
        <w:pStyle w:val="Compact"/>
      </w:pPr>
      <w:r>
        <w:rPr>
          <w:rStyle w:val="VerbatimChar"/>
        </w:rPr>
        <w:t xml:space="preserve">COMMIT</w:t>
      </w:r>
      <w:r>
        <w:t xml:space="preserve"> </w:t>
      </w:r>
      <w:r>
        <w:t xml:space="preserve">forces the log records to durable storage, then makes the changes visible.</w:t>
      </w:r>
      <w:r>
        <w:t xml:space="preserve"> </w:t>
      </w:r>
      <w:r>
        <w:rPr>
          <w:rStyle w:val="VerbatimChar"/>
        </w:rPr>
        <w:t xml:space="preserve">ROLLBACK</w:t>
      </w:r>
      <w:r>
        <w:t xml:space="preserve">, an error or a crash before the commit record is durable undoes them.</w:t>
      </w:r>
    </w:p>
    <w:p>
      <w:pPr>
        <w:numPr>
          <w:ilvl w:val="0"/>
          <w:numId w:val="1381"/>
        </w:numPr>
        <w:pStyle w:val="Compact"/>
      </w:pPr>
      <w:r>
        <w:rPr>
          <w:rStyle w:val="VerbatimChar"/>
        </w:rPr>
        <w:t xml:space="preserve">SAVEPOINT name</w:t>
      </w:r>
      <w:r>
        <w:t xml:space="preserve"> </w:t>
      </w:r>
      <w:r>
        <w:t xml:space="preserve">/</w:t>
      </w:r>
      <w:r>
        <w:t xml:space="preserve"> </w:t>
      </w:r>
      <w:r>
        <w:rPr>
          <w:rStyle w:val="VerbatimChar"/>
        </w:rPr>
        <w:t xml:space="preserve">ROLLBACK TO name</w:t>
      </w:r>
      <w:r>
        <w:t xml:space="preserve"> </w:t>
      </w:r>
      <w:r>
        <w:t xml:space="preserve">undo part of a transaction without abandoning it.</w:t>
      </w:r>
    </w:p>
    <w:p>
      <w:pPr>
        <w:pStyle w:val="SourceCode"/>
      </w:pPr>
      <w:r>
        <w:rPr>
          <w:rStyle w:val="ImportTok"/>
        </w:rPr>
        <w:t xml:space="preserve">import</w:t>
      </w:r>
      <w:r>
        <w:rPr>
          <w:rStyle w:val="NormalTok"/>
        </w:rPr>
        <w:t xml:space="preserve"> sqlite3</w:t>
      </w:r>
      <w:r>
        <w:br/>
      </w:r>
      <w:r>
        <w:br/>
      </w:r>
      <w:r>
        <w:rPr>
          <w:rStyle w:val="NormalTok"/>
        </w:rPr>
        <w:t xml:space="preserve">db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StringTok"/>
        </w:rPr>
        <w:t xml:space="preserve">":memory:"</w:t>
      </w:r>
      <w:r>
        <w:rPr>
          <w:rStyle w:val="NormalTok"/>
        </w:rPr>
        <w:t xml:space="preserve">)</w:t>
      </w:r>
      <w:r>
        <w:br/>
      </w:r>
      <w:r>
        <w:rPr>
          <w:rStyle w:val="NormalTok"/>
        </w:rPr>
        <w:t xml:space="preserve">db.executescript(</w:t>
      </w:r>
      <w:r>
        <w:rPr>
          <w:rStyle w:val="StringTok"/>
        </w:rPr>
        <w:t xml:space="preserve">"""</w:t>
      </w:r>
      <w:r>
        <w:br/>
      </w:r>
      <w:r>
        <w:rPr>
          <w:rStyle w:val="StringTok"/>
        </w:rPr>
        <w:t xml:space="preserve">CREATE TABLE accounts (</w:t>
      </w:r>
      <w:r>
        <w:br/>
      </w:r>
      <w:r>
        <w:rPr>
          <w:rStyle w:val="StringTok"/>
        </w:rPr>
        <w:t xml:space="preserve">  account_id    INTEGER PRIMARY KEY,</w:t>
      </w:r>
      <w:r>
        <w:br/>
      </w:r>
      <w:r>
        <w:rPr>
          <w:rStyle w:val="StringTok"/>
        </w:rPr>
        <w:t xml:space="preserve">  balance_cents INTEGER NOT NULL CHECK (balance_cents &gt;= 0)   -- invariant: no overdraft</w:t>
      </w:r>
      <w:r>
        <w:br/>
      </w:r>
      <w:r>
        <w:rPr>
          <w:rStyle w:val="StringTok"/>
        </w:rPr>
        <w:t xml:space="preserve">);</w:t>
      </w:r>
      <w:r>
        <w:br/>
      </w:r>
      <w:r>
        <w:rPr>
          <w:rStyle w:val="StringTok"/>
        </w:rPr>
        <w:t xml:space="preserve">INSERT INTO accounts VALUES (1, 10000), (2, 0);</w:t>
      </w:r>
      <w:r>
        <w:br/>
      </w:r>
      <w:r>
        <w:rPr>
          <w:rStyle w:val="StringTok"/>
        </w:rPr>
        <w:t xml:space="preserve">"""</w:t>
      </w:r>
      <w:r>
        <w:rPr>
          <w:rStyle w:val="NormalTok"/>
        </w:rPr>
        <w:t xml:space="preserve">)</w:t>
      </w:r>
      <w:r>
        <w:br/>
      </w:r>
      <w:r>
        <w:br/>
      </w:r>
      <w:r>
        <w:rPr>
          <w:rStyle w:val="KeywordTok"/>
        </w:rPr>
        <w:t xml:space="preserve">def</w:t>
      </w:r>
      <w:r>
        <w:rPr>
          <w:rStyle w:val="NormalTok"/>
        </w:rPr>
        <w:t xml:space="preserve"> transfer(src, dst, cents):</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db:                                   </w:t>
      </w:r>
      <w:r>
        <w:rPr>
          <w:rStyle w:val="CommentTok"/>
        </w:rPr>
        <w:t xml:space="preserve"># </w:t>
      </w:r>
      <w:r>
        <w:rPr>
          <w:rStyle w:val="RegionMarkerTok"/>
        </w:rPr>
        <w:t xml:space="preserve">BEGIN</w:t>
      </w:r>
      <w:r>
        <w:rPr>
          <w:rStyle w:val="CommentTok"/>
        </w:rPr>
        <w:t xml:space="preserve">; ... COMMIT (or ROLLBACK on error)</w:t>
      </w:r>
      <w:r>
        <w:br/>
      </w:r>
      <w:r>
        <w:rPr>
          <w:rStyle w:val="NormalTok"/>
        </w:rPr>
        <w:t xml:space="preserve">            db.execute(</w:t>
      </w:r>
      <w:r>
        <w:rPr>
          <w:rStyle w:val="StringTok"/>
        </w:rPr>
        <w:t xml:space="preserve">"UPDATE accounts SET balance_cents = balance_cents + ? "</w:t>
      </w:r>
      <w:r>
        <w:br/>
      </w:r>
      <w:r>
        <w:rPr>
          <w:rStyle w:val="NormalTok"/>
        </w:rPr>
        <w:t xml:space="preserve">                       </w:t>
      </w:r>
      <w:r>
        <w:rPr>
          <w:rStyle w:val="StringTok"/>
        </w:rPr>
        <w:t xml:space="preserve">"WHERE account_id = ?"</w:t>
      </w:r>
      <w:r>
        <w:rPr>
          <w:rStyle w:val="NormalTok"/>
        </w:rPr>
        <w:t xml:space="preserve">, (cents, dst))          </w:t>
      </w:r>
      <w:r>
        <w:rPr>
          <w:rStyle w:val="CommentTok"/>
        </w:rPr>
        <w:t xml:space="preserve"># credit first, on purpose</w:t>
      </w:r>
      <w:r>
        <w:br/>
      </w:r>
      <w:r>
        <w:rPr>
          <w:rStyle w:val="NormalTok"/>
        </w:rPr>
        <w:t xml:space="preserve">            db.execute(</w:t>
      </w:r>
      <w:r>
        <w:rPr>
          <w:rStyle w:val="StringTok"/>
        </w:rPr>
        <w:t xml:space="preserve">"UPDATE accounts SET balance_cents = balance_cents - ? "</w:t>
      </w:r>
      <w:r>
        <w:br/>
      </w:r>
      <w:r>
        <w:rPr>
          <w:rStyle w:val="NormalTok"/>
        </w:rPr>
        <w:t xml:space="preserve">                       </w:t>
      </w:r>
      <w:r>
        <w:rPr>
          <w:rStyle w:val="StringTok"/>
        </w:rPr>
        <w:t xml:space="preserve">"WHERE account_id = ?"</w:t>
      </w:r>
      <w:r>
        <w:rPr>
          <w:rStyle w:val="NormalTok"/>
        </w:rPr>
        <w:t xml:space="preserve">, (cents, src))          </w:t>
      </w:r>
      <w:r>
        <w:rPr>
          <w:rStyle w:val="CommentTok"/>
        </w:rPr>
        <w:t xml:space="preserve"># may violate the CHECK</w:t>
      </w:r>
      <w:r>
        <w:br/>
      </w:r>
      <w:r>
        <w:rPr>
          <w:rStyle w:val="NormalTok"/>
        </w:rPr>
        <w:t xml:space="preserve">        </w:t>
      </w:r>
      <w:r>
        <w:rPr>
          <w:rStyle w:val="ControlFlowTok"/>
        </w:rPr>
        <w:t xml:space="preserve">return</w:t>
      </w:r>
      <w:r>
        <w:rPr>
          <w:rStyle w:val="NormalTok"/>
        </w:rPr>
        <w:t xml:space="preserve"> </w:t>
      </w:r>
      <w:r>
        <w:rPr>
          <w:rStyle w:val="StringTok"/>
        </w:rPr>
        <w:t xml:space="preserve">"committed"</w:t>
      </w:r>
      <w:r>
        <w:br/>
      </w:r>
      <w:r>
        <w:rPr>
          <w:rStyle w:val="NormalTok"/>
        </w:rPr>
        <w:t xml:space="preserve">    </w:t>
      </w:r>
      <w:r>
        <w:rPr>
          <w:rStyle w:val="ControlFlowTok"/>
        </w:rPr>
        <w:t xml:space="preserve">except</w:t>
      </w:r>
      <w:r>
        <w:rPr>
          <w:rStyle w:val="NormalTok"/>
        </w:rPr>
        <w:t xml:space="preserve"> sqlite3.IntegrityError </w:t>
      </w:r>
      <w:r>
        <w:rPr>
          <w:rStyle w:val="ImportTok"/>
        </w:rPr>
        <w:t xml:space="preserve">as</w:t>
      </w:r>
      <w:r>
        <w:rPr>
          <w:rStyle w:val="NormalTok"/>
        </w:rPr>
        <w:t xml:space="preserve"> e:</w:t>
      </w:r>
      <w:r>
        <w:br/>
      </w:r>
      <w:r>
        <w:rPr>
          <w:rStyle w:val="NormalTok"/>
        </w:rPr>
        <w:t xml:space="preserve">        </w:t>
      </w:r>
      <w:r>
        <w:rPr>
          <w:rStyle w:val="ControlFlowTok"/>
        </w:rPr>
        <w:t xml:space="preserve">return</w:t>
      </w:r>
      <w:r>
        <w:rPr>
          <w:rStyle w:val="NormalTok"/>
        </w:rPr>
        <w:t xml:space="preserve"> </w:t>
      </w:r>
      <w:r>
        <w:rPr>
          <w:rStyle w:val="SpecialStringTok"/>
        </w:rPr>
        <w:t xml:space="preserve">f"rolled back (</w:t>
      </w:r>
      <w:r>
        <w:rPr>
          <w:rStyle w:val="SpecialCharTok"/>
        </w:rPr>
        <w:t xml:space="preserve">{</w:t>
      </w:r>
      <w:r>
        <w:rPr>
          <w:rStyle w:val="NormalTok"/>
        </w:rPr>
        <w:t xml:space="preserve">e</w:t>
      </w:r>
      <w:r>
        <w:rPr>
          <w:rStyle w:val="SpecialCharTok"/>
        </w:rPr>
        <w:t xml:space="preserve">}</w:t>
      </w:r>
      <w:r>
        <w:rPr>
          <w:rStyle w:val="SpecialStringTok"/>
        </w:rPr>
        <w:t xml:space="preserve">)"</w:t>
      </w:r>
      <w:r>
        <w:br/>
      </w:r>
      <w:r>
        <w:br/>
      </w:r>
      <w:r>
        <w:rPr>
          <w:rStyle w:val="BuiltInTok"/>
        </w:rPr>
        <w:t xml:space="preserve">print</w:t>
      </w:r>
      <w:r>
        <w:rPr>
          <w:rStyle w:val="NormalTok"/>
        </w:rPr>
        <w:t xml:space="preserve">(transfer(</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7000</w:t>
      </w:r>
      <w:r>
        <w:rPr>
          <w:rStyle w:val="NormalTok"/>
        </w:rPr>
        <w:t xml:space="preserve">), db.execute(</w:t>
      </w:r>
      <w:r>
        <w:rPr>
          <w:rStyle w:val="StringTok"/>
        </w:rPr>
        <w:t xml:space="preserve">"SELECT * FROM accounts"</w:t>
      </w:r>
      <w:r>
        <w:rPr>
          <w:rStyle w:val="NormalTok"/>
        </w:rPr>
        <w:t xml:space="preserve">).fetchall())</w:t>
      </w:r>
      <w:r>
        <w:br/>
      </w:r>
      <w:r>
        <w:rPr>
          <w:rStyle w:val="BuiltInTok"/>
        </w:rPr>
        <w:t xml:space="preserve">print</w:t>
      </w:r>
      <w:r>
        <w:rPr>
          <w:rStyle w:val="NormalTok"/>
        </w:rPr>
        <w:t xml:space="preserve">(transfer(</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7000</w:t>
      </w:r>
      <w:r>
        <w:rPr>
          <w:rStyle w:val="NormalTok"/>
        </w:rPr>
        <w:t xml:space="preserve">), db.execute(</w:t>
      </w:r>
      <w:r>
        <w:rPr>
          <w:rStyle w:val="StringTok"/>
        </w:rPr>
        <w:t xml:space="preserve">"SELECT * FROM accounts"</w:t>
      </w:r>
      <w:r>
        <w:rPr>
          <w:rStyle w:val="NormalTok"/>
        </w:rPr>
        <w:t xml:space="preserve">).fetchall())</w:t>
      </w:r>
    </w:p>
    <w:p>
      <w:pPr>
        <w:pStyle w:val="FirstParagraph"/>
      </w:pPr>
      <w:r>
        <w:t xml:space="preserve">What to notice:</w:t>
      </w:r>
    </w:p>
    <w:p>
      <w:pPr>
        <w:numPr>
          <w:ilvl w:val="0"/>
          <w:numId w:val="1382"/>
        </w:numPr>
        <w:pStyle w:val="Compact"/>
      </w:pPr>
      <w:r>
        <w:t xml:space="preserve">Output:</w:t>
      </w:r>
      <w:r>
        <w:t xml:space="preserve"> </w:t>
      </w:r>
      <w:r>
        <w:rPr>
          <w:rStyle w:val="VerbatimChar"/>
        </w:rPr>
        <w:t xml:space="preserve">committed [(1, 3000), (2, 7000)]</w:t>
      </w:r>
      <w:r>
        <w:t xml:space="preserve">, then</w:t>
      </w:r>
      <w:r>
        <w:t xml:space="preserve"> </w:t>
      </w:r>
      <w:r>
        <w:rPr>
          <w:rStyle w:val="VerbatimChar"/>
        </w:rPr>
        <w:t xml:space="preserve">rolled back (CHECK constraint failed: balance_cents &gt;= 0) [(1, 3000), (2, 7000)]</w:t>
      </w:r>
      <w:r>
        <w:t xml:space="preserve">. The second transfer’s credit had already been applied when the debit failed, yet it vanished: atomicity.</w:t>
      </w:r>
    </w:p>
    <w:p>
      <w:pPr>
        <w:numPr>
          <w:ilvl w:val="0"/>
          <w:numId w:val="1382"/>
        </w:numPr>
        <w:pStyle w:val="Compact"/>
      </w:pPr>
      <w:r>
        <w:t xml:space="preserve">The invariant lives in the schema (</w:t>
      </w:r>
      <w:r>
        <w:rPr>
          <w:rStyle w:val="VerbatimChar"/>
        </w:rPr>
        <w:t xml:space="preserve">CHECK</w:t>
      </w:r>
      <w:r>
        <w:t xml:space="preserve">), so no code path can violate it, including ones written next year.</w:t>
      </w:r>
    </w:p>
    <w:p>
      <w:pPr>
        <w:pStyle w:val="CalloutWarning"/>
      </w:pPr>
      <w:r>
        <w:rPr>
          <w:bCs/>
          <w:b/>
        </w:rPr>
        <w:t xml:space="preserve">WARNING / TRADE-OFF</w:t>
      </w:r>
    </w:p>
    <w:p>
      <w:pPr>
        <w:pStyle w:val="CalloutWarning"/>
      </w:pPr>
      <w:r>
        <w:rPr>
          <w:bCs/>
          <w:b/>
        </w:rPr>
        <w:t xml:space="preserve">Warning — Keep transactions short, and never wait on the network inside one.</w:t>
      </w:r>
      <w:r>
        <w:t xml:space="preserve"> </w:t>
      </w:r>
      <w:r>
        <w:t xml:space="preserve">An open transaction holds row locks and pins old row versions (§11.14). Do slow external work, such as payment calls, before or after the transaction, and make it idempotent (§22.15).</w:t>
      </w:r>
    </w:p>
    <w:bookmarkEnd w:id="1252"/>
    <w:bookmarkEnd w:id="1253"/>
    <w:bookmarkEnd w:id="1254"/>
    <w:bookmarkStart w:id="1256" w:name="acid"/>
    <w:p>
      <w:pPr>
        <w:pStyle w:val="Heading2"/>
      </w:pPr>
      <w:r>
        <w:t xml:space="preserve">11.12 ACID</w:t>
      </w:r>
    </w:p>
    <w:p>
      <w:pPr>
        <w:pStyle w:val="CalloutDefinition"/>
      </w:pPr>
      <w:r>
        <w:rPr>
          <w:bCs/>
          <w:b/>
        </w:rPr>
        <w:t xml:space="preserve">DEFINITION</w:t>
      </w:r>
    </w:p>
    <w:p>
      <w:pPr>
        <w:pStyle w:val="CalloutDefinition"/>
      </w:pPr>
      <w:r>
        <w:rPr>
          <w:bCs/>
          <w:b/>
        </w:rPr>
        <w:t xml:space="preserve">Definition — ACID.</w:t>
      </w:r>
      <w:r>
        <w:t xml:space="preserve"> </w:t>
      </w:r>
      <w:r>
        <w:t xml:space="preserve">The four guarantees of a database transaction, named by Härder and Reuter [Härder and Reuter 1983]:</w:t>
      </w:r>
      <w:r>
        <w:t xml:space="preserve"> </w:t>
      </w:r>
      <w:r>
        <w:rPr>
          <w:bCs/>
          <w:b/>
        </w:rPr>
        <w:t xml:space="preserve">Atomicity</w:t>
      </w:r>
      <w:r>
        <w:t xml:space="preserve"> </w:t>
      </w:r>
      <w:r>
        <w:t xml:space="preserve">— all of a transaction’s writes take effect, or none do.</w:t>
      </w:r>
      <w:r>
        <w:t xml:space="preserve"> </w:t>
      </w:r>
      <w:r>
        <w:rPr>
          <w:bCs/>
          <w:b/>
        </w:rPr>
        <w:t xml:space="preserve">Consistency</w:t>
      </w:r>
      <w:r>
        <w:t xml:space="preserve"> </w:t>
      </w:r>
      <w:r>
        <w:t xml:space="preserve">— a transaction takes the database from one state satisfying all declared invariants (constraints) to another.</w:t>
      </w:r>
      <w:r>
        <w:t xml:space="preserve"> </w:t>
      </w:r>
      <w:r>
        <w:rPr>
          <w:bCs/>
          <w:b/>
        </w:rPr>
        <w:t xml:space="preserve">Isolation</w:t>
      </w:r>
      <w:r>
        <w:t xml:space="preserve"> </w:t>
      </w:r>
      <w:r>
        <w:t xml:space="preserve">— concurrently executing transactions do not see each other’s partial effects; at the strongest level, the outcome equals some serial execution.</w:t>
      </w:r>
      <w:r>
        <w:t xml:space="preserve"> </w:t>
      </w:r>
      <w:r>
        <w:rPr>
          <w:bCs/>
          <w:b/>
        </w:rPr>
        <w:t xml:space="preserve">Durability</w:t>
      </w:r>
      <w:r>
        <w:t xml:space="preserve"> </w:t>
      </w:r>
      <w:r>
        <w:t xml:space="preserve">— once a commit is acknowledged, its effects survive crashes.</w:t>
      </w:r>
    </w:p>
    <w:p>
      <w:pPr>
        <w:pStyle w:val="BodyText"/>
      </w:pPr>
      <w:r>
        <w:t xml:space="preserve">How each is implemented:</w:t>
      </w:r>
    </w:p>
    <w:p>
      <w:pPr>
        <w:numPr>
          <w:ilvl w:val="0"/>
          <w:numId w:val="1383"/>
        </w:numPr>
        <w:pStyle w:val="Compact"/>
      </w:pPr>
      <w:r>
        <w:rPr>
          <w:bCs/>
          <w:b/>
        </w:rPr>
        <w:t xml:space="preserve">Atomicity</w:t>
      </w:r>
      <w:r>
        <w:t xml:space="preserve"> </w:t>
      </w:r>
      <w:r>
        <w:t xml:space="preserve">— undo information (InnoDB undo records; in PostgreSQL, uncommitted versions are never marked visible).</w:t>
      </w:r>
    </w:p>
    <w:p>
      <w:pPr>
        <w:numPr>
          <w:ilvl w:val="0"/>
          <w:numId w:val="1383"/>
        </w:numPr>
        <w:pStyle w:val="Compact"/>
      </w:pPr>
      <w:r>
        <w:rPr>
          <w:bCs/>
          <w:b/>
        </w:rPr>
        <w:t xml:space="preserve">Consistency</w:t>
      </w:r>
      <w:r>
        <w:t xml:space="preserve"> </w:t>
      </w:r>
      <w:r>
        <w:t xml:space="preserve">— constraints (</w:t>
      </w:r>
      <w:r>
        <w:rPr>
          <w:rStyle w:val="VerbatimChar"/>
        </w:rPr>
        <w:t xml:space="preserve">PRIMARY KEY</w:t>
      </w:r>
      <w:r>
        <w:t xml:space="preserve">,</w:t>
      </w:r>
      <w:r>
        <w:t xml:space="preserve"> </w:t>
      </w:r>
      <w:r>
        <w:rPr>
          <w:rStyle w:val="VerbatimChar"/>
        </w:rPr>
        <w:t xml:space="preserve">UNIQUE</w:t>
      </w:r>
      <w:r>
        <w:t xml:space="preserve">,</w:t>
      </w:r>
      <w:r>
        <w:t xml:space="preserve"> </w:t>
      </w:r>
      <w:r>
        <w:rPr>
          <w:rStyle w:val="VerbatimChar"/>
        </w:rPr>
        <w:t xml:space="preserve">FOREIGN KEY</w:t>
      </w:r>
      <w:r>
        <w:t xml:space="preserve">,</w:t>
      </w:r>
      <w:r>
        <w:t xml:space="preserve"> </w:t>
      </w:r>
      <w:r>
        <w:rPr>
          <w:rStyle w:val="VerbatimChar"/>
        </w:rPr>
        <w:t xml:space="preserve">CHECK</w:t>
      </w:r>
      <w:r>
        <w:t xml:space="preserve">,</w:t>
      </w:r>
      <w:r>
        <w:t xml:space="preserve"> </w:t>
      </w:r>
      <w:r>
        <w:rPr>
          <w:rStyle w:val="VerbatimChar"/>
        </w:rPr>
        <w:t xml:space="preserve">NOT NULL</w:t>
      </w:r>
      <w:r>
        <w:t xml:space="preserve">). Invariants the schema cannot express (</w:t>
      </w:r>
      <w:r>
        <w:t xml:space="preserve">“</w:t>
      </w:r>
      <w:r>
        <w:t xml:space="preserve">at least one doctor on call</w:t>
      </w:r>
      <w:r>
        <w:t xml:space="preserve">”</w:t>
      </w:r>
      <w:r>
        <w:t xml:space="preserve">) are the application’s job, helped by isolation.</w:t>
      </w:r>
    </w:p>
    <w:p>
      <w:pPr>
        <w:numPr>
          <w:ilvl w:val="0"/>
          <w:numId w:val="1383"/>
        </w:numPr>
        <w:pStyle w:val="Compact"/>
      </w:pPr>
      <w:r>
        <w:rPr>
          <w:bCs/>
          <w:b/>
        </w:rPr>
        <w:t xml:space="preserve">Isolation</w:t>
      </w:r>
      <w:r>
        <w:t xml:space="preserve"> </w:t>
      </w:r>
      <w:r>
        <w:t xml:space="preserve">— MVCC and locking (§11.13–§11.15).</w:t>
      </w:r>
    </w:p>
    <w:p>
      <w:pPr>
        <w:numPr>
          <w:ilvl w:val="0"/>
          <w:numId w:val="1383"/>
        </w:numPr>
        <w:pStyle w:val="Compact"/>
      </w:pPr>
      <w:r>
        <w:rPr>
          <w:bCs/>
          <w:b/>
        </w:rPr>
        <w:t xml:space="preserve">Durability</w:t>
      </w:r>
      <w:r>
        <w:t xml:space="preserve"> </w:t>
      </w:r>
      <w:r>
        <w:t xml:space="preserve">—</w:t>
      </w:r>
      <w:r>
        <w:t xml:space="preserve"> </w:t>
      </w:r>
      <w:r>
        <w:rPr>
          <w:bCs/>
          <w:b/>
        </w:rPr>
        <w:t xml:space="preserve">write-ahead logging</w:t>
      </w:r>
      <w:r>
        <w:t xml:space="preserve">: the commit record is flushed with</w:t>
      </w:r>
      <w:r>
        <w:t xml:space="preserve"> </w:t>
      </w:r>
      <w:r>
        <w:rPr>
          <w:rStyle w:val="VerbatimChar"/>
        </w:rPr>
        <w:t xml:space="preserve">fsync</w:t>
      </w:r>
      <w:r>
        <w:t xml:space="preserve"> </w:t>
      </w:r>
      <w:r>
        <w:t xml:space="preserve">before</w:t>
      </w:r>
      <w:r>
        <w:t xml:space="preserve"> </w:t>
      </w:r>
      <w:r>
        <w:t xml:space="preserve">“</w:t>
      </w:r>
      <w:r>
        <w:t xml:space="preserve">committed</w:t>
      </w:r>
      <w:r>
        <w:t xml:space="preserve">”</w:t>
      </w:r>
      <w:r>
        <w:t xml:space="preserve"> </w:t>
      </w:r>
      <w:r>
        <w:t xml:space="preserve">is returned, with many commits sharing one flush (</w:t>
      </w:r>
      <w:r>
        <w:rPr>
          <w:bCs/>
          <w:b/>
        </w:rPr>
        <w:t xml:space="preserve">group commit</w:t>
      </w:r>
      <w:r>
        <w:t xml:space="preserve">).</w:t>
      </w:r>
      <w:r>
        <w:t xml:space="preserve"> </w:t>
      </w:r>
      <w:r>
        <w:rPr>
          <w:rStyle w:val="VerbatimChar"/>
        </w:rPr>
        <w:t xml:space="preserve">synchronous_commit = off</w:t>
      </w:r>
      <w:r>
        <w:t xml:space="preserve"> </w:t>
      </w:r>
      <w:r>
        <w:t xml:space="preserve">(PostgreSQL) or</w:t>
      </w:r>
      <w:r>
        <w:t xml:space="preserve"> </w:t>
      </w:r>
      <w:r>
        <w:rPr>
          <w:rStyle w:val="VerbatimChar"/>
        </w:rPr>
        <w:t xml:space="preserve">innodb_flush_log_at_trx_commit = 2</w:t>
      </w:r>
      <w:r>
        <w:t xml:space="preserve"> </w:t>
      </w:r>
      <w:r>
        <w:t xml:space="preserve">trade recent commits for throughput (§13.5). Surviving machine loss needs replication (Chapter 14).</w:t>
      </w:r>
    </w:p>
    <w:bookmarkStart w:id="1255" w:name="the-c-in-acid-is-not-the-c-in-cap"/>
    <w:p>
      <w:pPr>
        <w:pStyle w:val="Heading3"/>
      </w:pPr>
      <w:r>
        <w:t xml:space="preserve">11.12.1 The</w:t>
      </w:r>
      <w:r>
        <w:t xml:space="preserve"> </w:t>
      </w:r>
      <w:r>
        <w:t xml:space="preserve">“</w:t>
      </w:r>
      <w:r>
        <w:t xml:space="preserve">C</w:t>
      </w:r>
      <w:r>
        <w:t xml:space="preserve">”</w:t>
      </w:r>
      <w:r>
        <w:t xml:space="preserve"> </w:t>
      </w:r>
      <w:r>
        <w:t xml:space="preserve">in ACID is not the</w:t>
      </w:r>
      <w:r>
        <w:t xml:space="preserve"> </w:t>
      </w:r>
      <w:r>
        <w:t xml:space="preserve">“</w:t>
      </w:r>
      <w:r>
        <w:t xml:space="preserve">C</w:t>
      </w:r>
      <w:r>
        <w:t xml:space="preserve">”</w:t>
      </w:r>
      <w:r>
        <w:t xml:space="preserve"> </w:t>
      </w:r>
      <w:r>
        <w:t xml:space="preserve">in CAP</w:t>
      </w:r>
    </w:p>
    <w:p>
      <w:pPr>
        <w:pStyle w:val="FirstParagraph"/>
      </w:pPr>
      <w:r>
        <w:t xml:space="preserve">The word</w:t>
      </w:r>
      <w:r>
        <w:t xml:space="preserve"> </w:t>
      </w:r>
      <w:r>
        <w:rPr>
          <w:iCs/>
          <w:i/>
        </w:rPr>
        <w:t xml:space="preserve">consistency</w:t>
      </w:r>
      <w:r>
        <w:t xml:space="preserve"> </w:t>
      </w:r>
      <w:r>
        <w:t xml:space="preserve">is used for at least three unrelated ideas. Mixing them up is a classic interview mistake.</w:t>
      </w:r>
    </w:p>
    <w:p>
      <w:pPr>
        <w:pStyle w:val="BodyText"/>
      </w:pPr>
      <w:r>
        <w:rPr>
          <w:bCs/>
          <w:b/>
        </w:rPr>
        <w:t xml:space="preserve">Table 11.7 — Three meanings of</w:t>
      </w:r>
      <w:r>
        <w:rPr>
          <w:bCs/>
          <w:b/>
        </w:rPr>
        <w:t xml:space="preserve"> </w:t>
      </w:r>
      <w:r>
        <w:rPr>
          <w:bCs/>
          <w:b/>
        </w:rPr>
        <w:t xml:space="preserve">“</w:t>
      </w:r>
      <w:r>
        <w:rPr>
          <w:bCs/>
          <w:b/>
        </w:rPr>
        <w:t xml:space="preserve">consistency</w:t>
      </w:r>
      <w:r>
        <w:rPr>
          <w:bCs/>
          <w:b/>
        </w:rPr>
        <w:t xml:space="preserve">”</w:t>
      </w:r>
      <w:r>
        <w:rPr>
          <w:bCs/>
          <w:b/>
        </w:rP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Term</w:t>
            </w:r>
          </w:p>
        </w:tc>
        <w:tc>
          <w:tcPr/>
          <w:p>
            <w:pPr>
              <w:pStyle w:val="Compact"/>
              <w:jc w:val="left"/>
            </w:pPr>
            <w:r>
              <w:t xml:space="preserve">Question it answers</w:t>
            </w:r>
          </w:p>
        </w:tc>
        <w:tc>
          <w:tcPr/>
          <w:p>
            <w:pPr>
              <w:pStyle w:val="Compact"/>
              <w:jc w:val="left"/>
            </w:pPr>
            <w:r>
              <w:t xml:space="preserve">Scope</w:t>
            </w:r>
          </w:p>
        </w:tc>
        <w:tc>
          <w:tcPr/>
          <w:p>
            <w:pPr>
              <w:pStyle w:val="Compact"/>
              <w:jc w:val="left"/>
            </w:pPr>
            <w:r>
              <w:t xml:space="preserve">Where in this book</w:t>
            </w:r>
          </w:p>
        </w:tc>
      </w:tr>
      <w:tr>
        <w:tc>
          <w:tcPr/>
          <w:p>
            <w:pPr>
              <w:pStyle w:val="Compact"/>
              <w:jc w:val="left"/>
            </w:pPr>
            <w:r>
              <w:t xml:space="preserve">ACID consistency</w:t>
            </w:r>
          </w:p>
        </w:tc>
        <w:tc>
          <w:tcPr/>
          <w:p>
            <w:pPr>
              <w:pStyle w:val="Compact"/>
              <w:jc w:val="left"/>
            </w:pPr>
            <w:r>
              <w:t xml:space="preserve">Do committed states satisfy the declared invariants?</w:t>
            </w:r>
          </w:p>
        </w:tc>
        <w:tc>
          <w:tcPr/>
          <w:p>
            <w:pPr>
              <w:pStyle w:val="Compact"/>
              <w:jc w:val="left"/>
            </w:pPr>
            <w:r>
              <w:t xml:space="preserve">One database, constraints</w:t>
            </w:r>
          </w:p>
        </w:tc>
        <w:tc>
          <w:tcPr/>
          <w:p>
            <w:pPr>
              <w:pStyle w:val="Compact"/>
              <w:jc w:val="left"/>
            </w:pPr>
            <w:r>
              <w:t xml:space="preserve">§11.12</w:t>
            </w:r>
          </w:p>
        </w:tc>
      </w:tr>
      <w:tr>
        <w:tc>
          <w:tcPr/>
          <w:p>
            <w:pPr>
              <w:pStyle w:val="Compact"/>
              <w:jc w:val="left"/>
            </w:pPr>
            <w:r>
              <w:t xml:space="preserve">Strong consistency (linearizability), the</w:t>
            </w:r>
            <w:r>
              <w:t xml:space="preserve"> </w:t>
            </w:r>
            <w:r>
              <w:t xml:space="preserve">“</w:t>
            </w:r>
            <w:r>
              <w:t xml:space="preserve">C</w:t>
            </w:r>
            <w:r>
              <w:t xml:space="preserve">”</w:t>
            </w:r>
            <w:r>
              <w:t xml:space="preserve"> </w:t>
            </w:r>
            <w:r>
              <w:t xml:space="preserve">in CAP</w:t>
            </w:r>
          </w:p>
        </w:tc>
        <w:tc>
          <w:tcPr/>
          <w:p>
            <w:pPr>
              <w:pStyle w:val="Compact"/>
              <w:jc w:val="left"/>
            </w:pPr>
            <w:r>
              <w:t xml:space="preserve">Does every read see the latest completed write, as if there were one copy?</w:t>
            </w:r>
          </w:p>
        </w:tc>
        <w:tc>
          <w:tcPr/>
          <w:p>
            <w:pPr>
              <w:pStyle w:val="Compact"/>
              <w:jc w:val="left"/>
            </w:pPr>
            <w:r>
              <w:t xml:space="preserve">Replicated data</w:t>
            </w:r>
          </w:p>
        </w:tc>
        <w:tc>
          <w:tcPr/>
          <w:p>
            <w:pPr>
              <w:pStyle w:val="Compact"/>
              <w:jc w:val="left"/>
            </w:pPr>
            <w:r>
              <w:t xml:space="preserve">§25.3, §25.8</w:t>
            </w:r>
          </w:p>
        </w:tc>
      </w:tr>
      <w:tr>
        <w:tc>
          <w:tcPr/>
          <w:p>
            <w:pPr>
              <w:pStyle w:val="Compact"/>
              <w:jc w:val="left"/>
            </w:pPr>
            <w:r>
              <w:t xml:space="preserve">Eventual consistency</w:t>
            </w:r>
          </w:p>
        </w:tc>
        <w:tc>
          <w:tcPr/>
          <w:p>
            <w:pPr>
              <w:pStyle w:val="Compact"/>
              <w:jc w:val="left"/>
            </w:pPr>
            <w:r>
              <w:t xml:space="preserve">Will replicas converge if writes stop?</w:t>
            </w:r>
          </w:p>
        </w:tc>
        <w:tc>
          <w:tcPr/>
          <w:p>
            <w:pPr>
              <w:pStyle w:val="Compact"/>
              <w:jc w:val="left"/>
            </w:pPr>
            <w:r>
              <w:t xml:space="preserve">Replicated data</w:t>
            </w:r>
          </w:p>
        </w:tc>
        <w:tc>
          <w:tcPr/>
          <w:p>
            <w:pPr>
              <w:pStyle w:val="Compact"/>
              <w:jc w:val="left"/>
            </w:pPr>
            <w:r>
              <w:t xml:space="preserve">§25.7</w:t>
            </w:r>
          </w:p>
        </w:tc>
      </w:tr>
    </w:tbl>
    <w:p>
      <w:pPr>
        <w:pStyle w:val="BodyText"/>
      </w:pPr>
      <w:r>
        <w:t xml:space="preserve">A single PostgreSQL server is ACID-consistent and, for reads on that server, linearizable. Add an asynchronous read replica and a client can commit a write on the primary and then read the old value from the replica: the system is still ACID at the primary, but reads are no longer linearizable (§14.4). Kleppmann notes that the C in ACID is really a property of the application’s use of transactions, not something the database provides by itself [Kleppmann 2017].</w:t>
      </w:r>
    </w:p>
    <w:bookmarkEnd w:id="1255"/>
    <w:bookmarkEnd w:id="1256"/>
    <w:bookmarkStart w:id="1268" w:name="isolation-levels-and-anomalies"/>
    <w:p>
      <w:pPr>
        <w:pStyle w:val="Heading2"/>
      </w:pPr>
      <w:r>
        <w:t xml:space="preserve">11.13 Isolation levels and anomalies</w:t>
      </w:r>
    </w:p>
    <w:bookmarkStart w:id="1266" w:name="the-anomalies"/>
    <w:p>
      <w:pPr>
        <w:pStyle w:val="Heading3"/>
      </w:pPr>
      <w:r>
        <w:t xml:space="preserve">11.13.1 The anomalies</w:t>
      </w:r>
    </w:p>
    <w:p>
      <w:pPr>
        <w:pStyle w:val="FirstParagraph"/>
      </w:pPr>
      <w:r>
        <w:t xml:space="preserve">Perfect isolation, called</w:t>
      </w:r>
      <w:r>
        <w:t xml:space="preserve"> </w:t>
      </w:r>
      <w:r>
        <w:rPr>
          <w:bCs/>
          <w:b/>
        </w:rPr>
        <w:t xml:space="preserve">serializability</w:t>
      </w:r>
      <w:r>
        <w:t xml:space="preserve">, means the result of running transactions concurrently equals the result of running them one at a time in</w:t>
      </w:r>
      <w:r>
        <w:t xml:space="preserve"> </w:t>
      </w:r>
      <w:r>
        <w:rPr>
          <w:iCs/>
          <w:i/>
        </w:rPr>
        <w:t xml:space="preserve">some</w:t>
      </w:r>
      <w:r>
        <w:t xml:space="preserve"> </w:t>
      </w:r>
      <w:r>
        <w:t xml:space="preserve">order. It costs throughput, so databases offer weaker</w:t>
      </w:r>
      <w:r>
        <w:t xml:space="preserve"> </w:t>
      </w:r>
      <w:r>
        <w:rPr>
          <w:bCs/>
          <w:b/>
        </w:rPr>
        <w:t xml:space="preserve">isolation levels</w:t>
      </w:r>
      <w:r>
        <w:t xml:space="preserve"> </w:t>
      </w:r>
      <w:r>
        <w:t xml:space="preserve">that permit specific</w:t>
      </w:r>
      <w:r>
        <w:t xml:space="preserve"> </w:t>
      </w:r>
      <w:r>
        <w:rPr>
          <w:bCs/>
          <w:b/>
        </w:rPr>
        <w:t xml:space="preserve">anomalies</w:t>
      </w:r>
      <w:r>
        <w:t xml:space="preserve">. Berenson and colleagues showed that the SQL standard’s definitions were ambiguous and cataloged the anomalies precisely [Berenson et al. 1995]:</w:t>
      </w:r>
    </w:p>
    <w:p>
      <w:pPr>
        <w:pStyle w:val="CalloutDefinition"/>
      </w:pPr>
      <w:r>
        <w:rPr>
          <w:bCs/>
          <w:b/>
        </w:rPr>
        <w:t xml:space="preserve">DEFINITION</w:t>
      </w:r>
    </w:p>
    <w:p>
      <w:pPr>
        <w:pStyle w:val="CalloutDefinition"/>
      </w:pPr>
      <w:r>
        <w:rPr>
          <w:bCs/>
          <w:b/>
        </w:rPr>
        <w:t xml:space="preserve">Definition — Isolation anomalies.</w:t>
      </w:r>
      <w:r>
        <w:t xml:space="preserve"> </w:t>
      </w:r>
      <w:r>
        <w:rPr>
          <w:bCs/>
          <w:b/>
        </w:rPr>
        <w:t xml:space="preserve">Dirty write:</w:t>
      </w:r>
      <w:r>
        <w:t xml:space="preserve"> </w:t>
      </w:r>
      <w:r>
        <w:t xml:space="preserve">a transaction overwrites another’s uncommitted write.</w:t>
      </w:r>
      <w:r>
        <w:t xml:space="preserve"> </w:t>
      </w:r>
      <w:r>
        <w:rPr>
          <w:bCs/>
          <w:b/>
        </w:rPr>
        <w:t xml:space="preserve">Dirty read:</w:t>
      </w:r>
      <w:r>
        <w:t xml:space="preserve"> </w:t>
      </w:r>
      <w:r>
        <w:t xml:space="preserve">a transaction reads another’s uncommitted write (which may later roll back).</w:t>
      </w:r>
      <w:r>
        <w:t xml:space="preserve"> </w:t>
      </w:r>
      <w:r>
        <w:rPr>
          <w:bCs/>
          <w:b/>
        </w:rPr>
        <w:t xml:space="preserve">Non-repeatable (fuzzy) read:</w:t>
      </w:r>
      <w:r>
        <w:t xml:space="preserve"> </w:t>
      </w:r>
      <w:r>
        <w:t xml:space="preserve">a transaction reads a row twice and sees different committed values because another transaction updated it in between.</w:t>
      </w:r>
      <w:r>
        <w:t xml:space="preserve"> </w:t>
      </w:r>
      <w:r>
        <w:rPr>
          <w:bCs/>
          <w:b/>
        </w:rPr>
        <w:t xml:space="preserve">Phantom:</w:t>
      </w:r>
      <w:r>
        <w:t xml:space="preserve"> </w:t>
      </w:r>
      <w:r>
        <w:t xml:space="preserve">a transaction runs the same</w:t>
      </w:r>
      <w:r>
        <w:t xml:space="preserve"> </w:t>
      </w:r>
      <w:r>
        <w:rPr>
          <w:iCs/>
          <w:i/>
        </w:rPr>
        <w:t xml:space="preserve">predicate</w:t>
      </w:r>
      <w:r>
        <w:t xml:space="preserve"> </w:t>
      </w:r>
      <w:r>
        <w:t xml:space="preserve">query twice (</w:t>
      </w:r>
      <w:r>
        <w:rPr>
          <w:rStyle w:val="VerbatimChar"/>
        </w:rPr>
        <w:t xml:space="preserve">WHERE status = 'pending'</w:t>
      </w:r>
      <w:r>
        <w:t xml:space="preserve">) and gets a different set of rows because another transaction inserted or deleted matching rows.</w:t>
      </w:r>
      <w:r>
        <w:t xml:space="preserve"> </w:t>
      </w:r>
      <w:r>
        <w:rPr>
          <w:bCs/>
          <w:b/>
        </w:rPr>
        <w:t xml:space="preserve">Lost update:</w:t>
      </w:r>
      <w:r>
        <w:t xml:space="preserve"> </w:t>
      </w:r>
      <w:r>
        <w:t xml:space="preserve">two transactions read the same value, both compute a new value from it and write; the second write silently overwrites the first.</w:t>
      </w:r>
      <w:r>
        <w:t xml:space="preserve"> </w:t>
      </w:r>
      <w:r>
        <w:rPr>
          <w:bCs/>
          <w:b/>
        </w:rPr>
        <w:t xml:space="preserve">Read skew:</w:t>
      </w:r>
      <w:r>
        <w:t xml:space="preserve"> </w:t>
      </w:r>
      <w:r>
        <w:t xml:space="preserve">a transaction sees part of another transaction’s effects (reads account A before a transfer commits and account B after it).</w:t>
      </w:r>
      <w:r>
        <w:t xml:space="preserve"> </w:t>
      </w:r>
      <w:r>
        <w:rPr>
          <w:bCs/>
          <w:b/>
        </w:rPr>
        <w:t xml:space="preserve">Write skew:</w:t>
      </w:r>
      <w:r>
        <w:t xml:space="preserve"> </w:t>
      </w:r>
      <w:r>
        <w:t xml:space="preserve">two transactions read an overlapping set of rows, each checks an invariant, then each writes a</w:t>
      </w:r>
      <w:r>
        <w:t xml:space="preserve"> </w:t>
      </w:r>
      <w:r>
        <w:rPr>
          <w:iCs/>
          <w:i/>
        </w:rPr>
        <w:t xml:space="preserve">different</w:t>
      </w:r>
      <w:r>
        <w:t xml:space="preserve"> </w:t>
      </w:r>
      <w:r>
        <w:t xml:space="preserve">row; each write is valid alone but together they violate the invariant.</w:t>
      </w:r>
    </w:p>
    <w:p>
      <w:pPr>
        <w:pStyle w:val="BodyText"/>
      </w:pPr>
      <w:r>
        <w:rPr>
          <w:bCs/>
          <w:b/>
        </w:rPr>
        <w:t xml:space="preserve">Figure 11.6 — Non-repeatable read under READ COMMITTED.</w:t>
      </w:r>
    </w:p>
    <w:p>
      <w:pPr>
        <w:pStyle w:val="BodyText"/>
      </w:pPr>
      <w:r>
        <w:drawing>
          <wp:inline>
            <wp:extent cx="5334000" cy="2546970"/>
            <wp:effectExtent b="0" l="0" r="0" t="0"/>
            <wp:docPr descr="" title="" id="1258" name="Picture"/>
            <a:graphic>
              <a:graphicData uri="http://schemas.openxmlformats.org/drawingml/2006/picture">
                <pic:pic>
                  <pic:nvPicPr>
                    <pic:cNvPr descr="/home/user/System-Design/build/.cache/diagrams/2924de3dbb28.png" id="1259" name="Picture"/>
                    <pic:cNvPicPr>
                      <a:picLocks noChangeArrowheads="1" noChangeAspect="1"/>
                    </pic:cNvPicPr>
                  </pic:nvPicPr>
                  <pic:blipFill>
                    <a:blip r:embed="rId1257"/>
                    <a:stretch>
                      <a:fillRect/>
                    </a:stretch>
                  </pic:blipFill>
                  <pic:spPr bwMode="auto">
                    <a:xfrm>
                      <a:off x="0" y="0"/>
                      <a:ext cx="5334000" cy="2546970"/>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Two clients on separate connections send synchronous SQL; time runs downward. Under READ COMMITTED each</w:t>
      </w:r>
      <w:r>
        <w:t xml:space="preserve"> </w:t>
      </w:r>
      <w:r>
        <w:rPr>
          <w:iCs/>
          <w:i/>
        </w:rPr>
        <w:t xml:space="preserve">statement</w:t>
      </w:r>
      <w:r>
        <w:t xml:space="preserve"> </w:t>
      </w:r>
      <w:r>
        <w:t xml:space="preserve">takes a new snapshot, so A’s second read sees B’s committed change; under PostgreSQL REPEATABLE READ the</w:t>
      </w:r>
      <w:r>
        <w:t xml:space="preserve"> </w:t>
      </w:r>
      <w:r>
        <w:rPr>
          <w:iCs/>
          <w:i/>
        </w:rPr>
        <w:t xml:space="preserve">transaction</w:t>
      </w:r>
      <w:r>
        <w:t xml:space="preserve"> </w:t>
      </w:r>
      <w:r>
        <w:t xml:space="preserve">keeps its first snapshot and sees 10 twice. Both outcomes were reproduced on PostgreSQL 16. Both row versions exist inside the database at once (§11.14); the failure is any logic in A that combines the two reads, such as a report whose totals do not add up.</w:t>
      </w:r>
    </w:p>
    <w:p>
      <w:pPr>
        <w:pStyle w:val="BodyText"/>
      </w:pPr>
      <w:r>
        <w:rPr>
          <w:bCs/>
          <w:b/>
        </w:rPr>
        <w:t xml:space="preserve">Figure 11.7 — Lost update from an application-side read-modify-write.</w:t>
      </w:r>
    </w:p>
    <w:p>
      <w:pPr>
        <w:pStyle w:val="BodyText"/>
      </w:pPr>
      <w:r>
        <w:drawing>
          <wp:inline>
            <wp:extent cx="5334000" cy="3065154"/>
            <wp:effectExtent b="0" l="0" r="0" t="0"/>
            <wp:docPr descr="" title="" id="1261" name="Picture"/>
            <a:graphic>
              <a:graphicData uri="http://schemas.openxmlformats.org/drawingml/2006/picture">
                <pic:pic>
                  <pic:nvPicPr>
                    <pic:cNvPr descr="/home/user/System-Design/build/.cache/diagrams/6fef0a46b650.png" id="1262" name="Picture"/>
                    <pic:cNvPicPr>
                      <a:picLocks noChangeArrowheads="1" noChangeAspect="1"/>
                    </pic:cNvPicPr>
                  </pic:nvPicPr>
                  <pic:blipFill>
                    <a:blip r:embed="rId1260"/>
                    <a:stretch>
                      <a:fillRect/>
                    </a:stretch>
                  </pic:blipFill>
                  <pic:spPr bwMode="auto">
                    <a:xfrm>
                      <a:off x="0" y="0"/>
                      <a:ext cx="5334000" cy="3065154"/>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Each checkout reads 10 and writes the literal 9 computed</w:t>
      </w:r>
      <w:r>
        <w:t xml:space="preserve"> </w:t>
      </w:r>
      <w:r>
        <w:rPr>
          <w:iCs/>
          <w:i/>
        </w:rPr>
        <w:t xml:space="preserve">in the application</w:t>
      </w:r>
      <w:r>
        <w:t xml:space="preserve">. Under READ COMMITTED (and MySQL REPEATABLE READ) B silently overwrites A: two units sold, one decremented. Under PostgreSQL REPEATABLE READ, B’s</w:t>
      </w:r>
      <w:r>
        <w:t xml:space="preserve"> </w:t>
      </w:r>
      <w:r>
        <w:rPr>
          <w:rStyle w:val="VerbatimChar"/>
        </w:rPr>
        <w:t xml:space="preserve">UPDATE</w:t>
      </w:r>
      <w:r>
        <w:t xml:space="preserve"> </w:t>
      </w:r>
      <w:r>
        <w:t xml:space="preserve">fails with</w:t>
      </w:r>
      <w:r>
        <w:t xml:space="preserve"> </w:t>
      </w:r>
      <w:r>
        <w:rPr>
          <w:rStyle w:val="VerbatimChar"/>
        </w:rPr>
        <w:t xml:space="preserve">could not serialize access due to concurrent update</w:t>
      </w:r>
      <w:r>
        <w:t xml:space="preserve"> </w:t>
      </w:r>
      <w:r>
        <w:t xml:space="preserve">and B must retry. The fix at any level is to let the database do the arithmetic,</w:t>
      </w:r>
      <w:r>
        <w:t xml:space="preserve"> </w:t>
      </w:r>
      <w:r>
        <w:rPr>
          <w:rStyle w:val="VerbatimChar"/>
        </w:rPr>
        <w:t xml:space="preserve">UPDATE inventory SET on_hand = on_hand - 1 WHERE product_id = 42 AND on_hand &gt;= 1</w:t>
      </w:r>
      <w:r>
        <w:t xml:space="preserve">, or to lock first with</w:t>
      </w:r>
      <w:r>
        <w:t xml:space="preserve"> </w:t>
      </w:r>
      <w:r>
        <w:rPr>
          <w:rStyle w:val="VerbatimChar"/>
        </w:rPr>
        <w:t xml:space="preserve">SELECT ... FOR UPDATE</w:t>
      </w:r>
      <w:r>
        <w:t xml:space="preserve">, or to check a version (§11.15.3).</w:t>
      </w:r>
    </w:p>
    <w:p>
      <w:pPr>
        <w:pStyle w:val="BodyText"/>
      </w:pPr>
      <w:r>
        <w:rPr>
          <w:bCs/>
          <w:b/>
        </w:rPr>
        <w:t xml:space="preserve">Figure 11.8 — Write skew: both doctors go off call.</w:t>
      </w:r>
    </w:p>
    <w:p>
      <w:pPr>
        <w:pStyle w:val="BodyText"/>
      </w:pPr>
      <w:r>
        <w:drawing>
          <wp:inline>
            <wp:extent cx="5334000" cy="2556314"/>
            <wp:effectExtent b="0" l="0" r="0" t="0"/>
            <wp:docPr descr="" title="" id="1264" name="Picture"/>
            <a:graphic>
              <a:graphicData uri="http://schemas.openxmlformats.org/drawingml/2006/picture">
                <pic:pic>
                  <pic:nvPicPr>
                    <pic:cNvPr descr="/home/user/System-Design/build/.cache/diagrams/86607d6f5d51.png" id="1265" name="Picture"/>
                    <pic:cNvPicPr>
                      <a:picLocks noChangeArrowheads="1" noChangeAspect="1"/>
                    </pic:cNvPicPr>
                  </pic:nvPicPr>
                  <pic:blipFill>
                    <a:blip r:embed="rId1263"/>
                    <a:stretch>
                      <a:fillRect/>
                    </a:stretch>
                  </pic:blipFill>
                  <pic:spPr bwMode="auto">
                    <a:xfrm>
                      <a:off x="0" y="0"/>
                      <a:ext cx="5334000" cy="2556314"/>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invariant</w:t>
      </w:r>
      <w:r>
        <w:t xml:space="preserve"> </w:t>
      </w:r>
      <w:r>
        <w:t xml:space="preserve">“</w:t>
      </w:r>
      <w:r>
        <w:t xml:space="preserve">at least one doctor on call</w:t>
      </w:r>
      <w:r>
        <w:t xml:space="preserve">”</w:t>
      </w:r>
      <w:r>
        <w:t xml:space="preserve"> </w:t>
      </w:r>
      <w:r>
        <w:t xml:space="preserve">is checked by a read and protected by nothing: the transactions write</w:t>
      </w:r>
      <w:r>
        <w:t xml:space="preserve"> </w:t>
      </w:r>
      <w:r>
        <w:rPr>
          <w:iCs/>
          <w:i/>
        </w:rPr>
        <w:t xml:space="preserve">different</w:t>
      </w:r>
      <w:r>
        <w:t xml:space="preserve"> </w:t>
      </w:r>
      <w:r>
        <w:t xml:space="preserve">rows, so neither snapshot isolation nor row locks see a conflict, and both commit at REPEATABLE READ. PostgreSQL SERIALIZABLE tracks what each transaction</w:t>
      </w:r>
      <w:r>
        <w:t xml:space="preserve"> </w:t>
      </w:r>
      <w:r>
        <w:rPr>
          <w:iCs/>
          <w:i/>
        </w:rPr>
        <w:t xml:space="preserve">read</w:t>
      </w:r>
      <w:r>
        <w:t xml:space="preserve">, detects the dangerous dependency pattern and aborts one with</w:t>
      </w:r>
      <w:r>
        <w:t xml:space="preserve"> </w:t>
      </w:r>
      <w:r>
        <w:rPr>
          <w:rStyle w:val="VerbatimChar"/>
        </w:rPr>
        <w:t xml:space="preserve">could not serialize access due to read/write dependencies among transactions</w:t>
      </w:r>
      <w:r>
        <w:t xml:space="preserve">; its retry sees one doctor on call. In the shop the same pattern double-redeems a limited coupon. Below SERIALIZABLE, materialize the conflict by locking a shared row with</w:t>
      </w:r>
      <w:r>
        <w:t xml:space="preserve"> </w:t>
      </w:r>
      <w:r>
        <w:rPr>
          <w:rStyle w:val="VerbatimChar"/>
        </w:rPr>
        <w:t xml:space="preserve">FOR UPDATE</w:t>
      </w:r>
      <w:r>
        <w:t xml:space="preserve">.</w:t>
      </w:r>
    </w:p>
    <w:bookmarkEnd w:id="1266"/>
    <w:bookmarkStart w:id="1267" w:name="X3ff4eaca1eb1e5ea2f6fed6ce7269733777aabb"/>
    <w:p>
      <w:pPr>
        <w:pStyle w:val="Heading3"/>
      </w:pPr>
      <w:r>
        <w:t xml:space="preserve">11.13.2 The standard levels and what databases actually do</w:t>
      </w:r>
    </w:p>
    <w:p>
      <w:pPr>
        <w:pStyle w:val="FirstParagraph"/>
      </w:pPr>
      <w:r>
        <w:rPr>
          <w:bCs/>
          <w:b/>
        </w:rPr>
        <w:t xml:space="preserve">Table 11.8 — ANSI SQL isolation levels as defined by the three phenomena.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Level</w:t>
            </w:r>
          </w:p>
        </w:tc>
        <w:tc>
          <w:tcPr/>
          <w:p>
            <w:pPr>
              <w:pStyle w:val="Compact"/>
              <w:jc w:val="left"/>
            </w:pPr>
            <w:r>
              <w:t xml:space="preserve">Dirty read</w:t>
            </w:r>
          </w:p>
        </w:tc>
        <w:tc>
          <w:tcPr/>
          <w:p>
            <w:pPr>
              <w:pStyle w:val="Compact"/>
              <w:jc w:val="left"/>
            </w:pPr>
            <w:r>
              <w:t xml:space="preserve">Non-repeatable read</w:t>
            </w:r>
          </w:p>
        </w:tc>
        <w:tc>
          <w:tcPr/>
          <w:p>
            <w:pPr>
              <w:pStyle w:val="Compact"/>
              <w:jc w:val="left"/>
            </w:pPr>
            <w:r>
              <w:t xml:space="preserve">Phantom</w:t>
            </w:r>
          </w:p>
        </w:tc>
      </w:tr>
      <w:tr>
        <w:tc>
          <w:tcPr/>
          <w:p>
            <w:pPr>
              <w:pStyle w:val="Compact"/>
              <w:jc w:val="left"/>
            </w:pPr>
            <w:r>
              <w:t xml:space="preserve">READ UNCOMMITTED</w:t>
            </w:r>
          </w:p>
        </w:tc>
        <w:tc>
          <w:tcPr/>
          <w:p>
            <w:pPr>
              <w:pStyle w:val="Compact"/>
              <w:jc w:val="left"/>
            </w:pPr>
            <w:r>
              <w:t xml:space="preserve">Possible</w:t>
            </w:r>
          </w:p>
        </w:tc>
        <w:tc>
          <w:tcPr/>
          <w:p>
            <w:pPr>
              <w:pStyle w:val="Compact"/>
              <w:jc w:val="left"/>
            </w:pPr>
            <w:r>
              <w:t xml:space="preserve">Possible</w:t>
            </w:r>
          </w:p>
        </w:tc>
        <w:tc>
          <w:tcPr/>
          <w:p>
            <w:pPr>
              <w:pStyle w:val="Compact"/>
              <w:jc w:val="left"/>
            </w:pPr>
            <w:r>
              <w:t xml:space="preserve">Possible</w:t>
            </w:r>
          </w:p>
        </w:tc>
      </w:tr>
      <w:tr>
        <w:tc>
          <w:tcPr/>
          <w:p>
            <w:pPr>
              <w:pStyle w:val="Compact"/>
              <w:jc w:val="left"/>
            </w:pPr>
            <w:r>
              <w:t xml:space="preserve">READ COMMITTED</w:t>
            </w:r>
          </w:p>
        </w:tc>
        <w:tc>
          <w:tcPr/>
          <w:p>
            <w:pPr>
              <w:pStyle w:val="Compact"/>
              <w:jc w:val="left"/>
            </w:pPr>
            <w:r>
              <w:t xml:space="preserve">Prevented</w:t>
            </w:r>
          </w:p>
        </w:tc>
        <w:tc>
          <w:tcPr/>
          <w:p>
            <w:pPr>
              <w:pStyle w:val="Compact"/>
              <w:jc w:val="left"/>
            </w:pPr>
            <w:r>
              <w:t xml:space="preserve">Possible</w:t>
            </w:r>
          </w:p>
        </w:tc>
        <w:tc>
          <w:tcPr/>
          <w:p>
            <w:pPr>
              <w:pStyle w:val="Compact"/>
              <w:jc w:val="left"/>
            </w:pPr>
            <w:r>
              <w:t xml:space="preserve">Possible</w:t>
            </w:r>
          </w:p>
        </w:tc>
      </w:tr>
      <w:tr>
        <w:tc>
          <w:tcPr/>
          <w:p>
            <w:pPr>
              <w:pStyle w:val="Compact"/>
              <w:jc w:val="left"/>
            </w:pPr>
            <w:r>
              <w:t xml:space="preserve">REPEATABLE READ</w:t>
            </w:r>
          </w:p>
        </w:tc>
        <w:tc>
          <w:tcPr/>
          <w:p>
            <w:pPr>
              <w:pStyle w:val="Compact"/>
              <w:jc w:val="left"/>
            </w:pPr>
            <w:r>
              <w:t xml:space="preserve">Prevented</w:t>
            </w:r>
          </w:p>
        </w:tc>
        <w:tc>
          <w:tcPr/>
          <w:p>
            <w:pPr>
              <w:pStyle w:val="Compact"/>
              <w:jc w:val="left"/>
            </w:pPr>
            <w:r>
              <w:t xml:space="preserve">Prevented</w:t>
            </w:r>
          </w:p>
        </w:tc>
        <w:tc>
          <w:tcPr/>
          <w:p>
            <w:pPr>
              <w:pStyle w:val="Compact"/>
              <w:jc w:val="left"/>
            </w:pPr>
            <w:r>
              <w:t xml:space="preserve">Possible</w:t>
            </w:r>
          </w:p>
        </w:tc>
      </w:tr>
      <w:tr>
        <w:tc>
          <w:tcPr/>
          <w:p>
            <w:pPr>
              <w:pStyle w:val="Compact"/>
              <w:jc w:val="left"/>
            </w:pPr>
            <w:r>
              <w:t xml:space="preserve">SERIALIZABLE</w:t>
            </w:r>
          </w:p>
        </w:tc>
        <w:tc>
          <w:tcPr/>
          <w:p>
            <w:pPr>
              <w:pStyle w:val="Compact"/>
              <w:jc w:val="left"/>
            </w:pPr>
            <w:r>
              <w:t xml:space="preserve">Prevented</w:t>
            </w:r>
          </w:p>
        </w:tc>
        <w:tc>
          <w:tcPr/>
          <w:p>
            <w:pPr>
              <w:pStyle w:val="Compact"/>
              <w:jc w:val="left"/>
            </w:pPr>
            <w:r>
              <w:t xml:space="preserve">Prevented</w:t>
            </w:r>
          </w:p>
        </w:tc>
        <w:tc>
          <w:tcPr/>
          <w:p>
            <w:pPr>
              <w:pStyle w:val="Compact"/>
              <w:jc w:val="left"/>
            </w:pPr>
            <w:r>
              <w:t xml:space="preserve">Prevented</w:t>
            </w:r>
          </w:p>
        </w:tc>
      </w:tr>
    </w:tbl>
    <w:p>
      <w:pPr>
        <w:pStyle w:val="BodyText"/>
      </w:pPr>
      <w:r>
        <w:t xml:space="preserve">Berenson and colleagues pointed out that this table misses lost update, read skew and write skew, and that</w:t>
      </w:r>
      <w:r>
        <w:t xml:space="preserve"> </w:t>
      </w:r>
      <w:r>
        <w:rPr>
          <w:bCs/>
          <w:b/>
        </w:rPr>
        <w:t xml:space="preserve">snapshot isolation</w:t>
      </w:r>
      <w:r>
        <w:t xml:space="preserve"> </w:t>
      </w:r>
      <w:r>
        <w:t xml:space="preserve">(each transaction reads from a consistent snapshot taken at its start, and a transaction aborts if it tries to write a row that another transaction changed after its snapshot) fits nowhere: it prevents all three standard phenomena yet permits write skew, so it is not serializable [Berenson et al. 1995]. Real databases implement the levels differently, so the level</w:t>
      </w:r>
      <w:r>
        <w:t xml:space="preserve"> </w:t>
      </w:r>
      <w:r>
        <w:rPr>
          <w:iCs/>
          <w:i/>
        </w:rPr>
        <w:t xml:space="preserve">name</w:t>
      </w:r>
      <w:r>
        <w:t xml:space="preserve"> </w:t>
      </w:r>
      <w:r>
        <w:t xml:space="preserve">tells you little; check the behavior.</w:t>
      </w:r>
    </w:p>
    <w:p>
      <w:pPr>
        <w:pStyle w:val="BodyText"/>
      </w:pPr>
      <w:r>
        <w:rPr>
          <w:bCs/>
          <w:b/>
        </w:rPr>
        <w:t xml:space="preserve">Table 11.9 — Anomalies permitted in practice (PostgreSQL 16, MySQL 8.0 InnoDB).</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Anomaly</w:t>
            </w:r>
          </w:p>
        </w:tc>
        <w:tc>
          <w:tcPr/>
          <w:p>
            <w:pPr>
              <w:pStyle w:val="Compact"/>
              <w:jc w:val="left"/>
            </w:pPr>
            <w:r>
              <w:t xml:space="preserve">PG READ COMMITTED (default)</w:t>
            </w:r>
          </w:p>
        </w:tc>
        <w:tc>
          <w:tcPr/>
          <w:p>
            <w:pPr>
              <w:pStyle w:val="Compact"/>
              <w:jc w:val="left"/>
            </w:pPr>
            <w:r>
              <w:t xml:space="preserve">PG REPEATABLE READ (snapshot isolation)</w:t>
            </w:r>
          </w:p>
        </w:tc>
        <w:tc>
          <w:tcPr/>
          <w:p>
            <w:pPr>
              <w:pStyle w:val="Compact"/>
              <w:jc w:val="left"/>
            </w:pPr>
            <w:r>
              <w:t xml:space="preserve">PG SERIALIZABLE (SSI)</w:t>
            </w:r>
          </w:p>
        </w:tc>
        <w:tc>
          <w:tcPr/>
          <w:p>
            <w:pPr>
              <w:pStyle w:val="Compact"/>
              <w:jc w:val="left"/>
            </w:pPr>
            <w:r>
              <w:t xml:space="preserve">MySQL READ COMMITTED</w:t>
            </w:r>
          </w:p>
        </w:tc>
        <w:tc>
          <w:tcPr/>
          <w:p>
            <w:pPr>
              <w:pStyle w:val="Compact"/>
              <w:jc w:val="left"/>
            </w:pPr>
            <w:r>
              <w:t xml:space="preserve">MySQL REPEATABLE READ (default)</w:t>
            </w:r>
          </w:p>
        </w:tc>
        <w:tc>
          <w:tcPr/>
          <w:p>
            <w:pPr>
              <w:pStyle w:val="Compact"/>
              <w:jc w:val="left"/>
            </w:pPr>
            <w:r>
              <w:t xml:space="preserve">MySQL SERIALIZABLE</w:t>
            </w:r>
          </w:p>
        </w:tc>
      </w:tr>
      <w:tr>
        <w:tc>
          <w:tcPr/>
          <w:p>
            <w:pPr>
              <w:pStyle w:val="Compact"/>
              <w:jc w:val="left"/>
            </w:pPr>
            <w:r>
              <w:t xml:space="preserve">Dirty read</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Non-repeatable read</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Phantom</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 for plain reads</w:t>
            </w:r>
          </w:p>
        </w:tc>
        <w:tc>
          <w:tcPr/>
          <w:p>
            <w:pPr>
              <w:pStyle w:val="Compact"/>
              <w:jc w:val="left"/>
            </w:pPr>
            <w:r>
              <w:t xml:space="preserve">No</w:t>
            </w:r>
          </w:p>
        </w:tc>
      </w:tr>
      <w:tr>
        <w:tc>
          <w:tcPr/>
          <w:p>
            <w:pPr>
              <w:pStyle w:val="Compact"/>
              <w:jc w:val="left"/>
            </w:pPr>
            <w:r>
              <w:t xml:space="preserve">Lost update</w:t>
            </w:r>
          </w:p>
        </w:tc>
        <w:tc>
          <w:tcPr/>
          <w:p>
            <w:pPr>
              <w:pStyle w:val="Compact"/>
              <w:jc w:val="left"/>
            </w:pPr>
            <w:r>
              <w:t xml:space="preserve">Yes</w:t>
            </w:r>
          </w:p>
        </w:tc>
        <w:tc>
          <w:tcPr/>
          <w:p>
            <w:pPr>
              <w:pStyle w:val="Compact"/>
              <w:jc w:val="left"/>
            </w:pPr>
            <w:r>
              <w:t xml:space="preserve">No (error)</w:t>
            </w:r>
          </w:p>
        </w:tc>
        <w:tc>
          <w:tcPr/>
          <w:p>
            <w:pPr>
              <w:pStyle w:val="Compact"/>
              <w:jc w:val="left"/>
            </w:pPr>
            <w:r>
              <w:t xml:space="preserve">No</w:t>
            </w:r>
          </w:p>
        </w:tc>
        <w:tc>
          <w:tcPr/>
          <w:p>
            <w:pPr>
              <w:pStyle w:val="Compact"/>
              <w:jc w:val="left"/>
            </w:pPr>
            <w:r>
              <w:t xml:space="preserve">Yes</w:t>
            </w:r>
          </w:p>
        </w:tc>
        <w:tc>
          <w:tcPr/>
          <w:p>
            <w:pPr>
              <w:pStyle w:val="Compact"/>
              <w:jc w:val="left"/>
            </w:pPr>
            <w:r>
              <w:rPr>
                <w:bCs/>
                <w:b/>
              </w:rPr>
              <w:t xml:space="preserve">Yes</w:t>
            </w:r>
          </w:p>
        </w:tc>
        <w:tc>
          <w:tcPr/>
          <w:p>
            <w:pPr>
              <w:pStyle w:val="Compact"/>
              <w:jc w:val="left"/>
            </w:pPr>
            <w:r>
              <w:t xml:space="preserve">No</w:t>
            </w:r>
          </w:p>
        </w:tc>
      </w:tr>
      <w:tr>
        <w:tc>
          <w:tcPr/>
          <w:p>
            <w:pPr>
              <w:pStyle w:val="Compact"/>
              <w:jc w:val="left"/>
            </w:pPr>
            <w:r>
              <w:t xml:space="preserve">Read skew</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Write skew</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r>
    </w:tbl>
    <w:p>
      <w:pPr>
        <w:pStyle w:val="BodyText"/>
      </w:pPr>
      <w:r>
        <w:t xml:space="preserve">Key facts behind the table:</w:t>
      </w:r>
    </w:p>
    <w:p>
      <w:pPr>
        <w:numPr>
          <w:ilvl w:val="0"/>
          <w:numId w:val="1384"/>
        </w:numPr>
        <w:pStyle w:val="Compact"/>
      </w:pPr>
      <w:r>
        <w:rPr>
          <w:bCs/>
          <w:b/>
        </w:rPr>
        <w:t xml:space="preserve">PostgreSQL</w:t>
      </w:r>
      <w:r>
        <w:t xml:space="preserve"> </w:t>
      </w:r>
      <w:r>
        <w:t xml:space="preserve">accepts</w:t>
      </w:r>
      <w:r>
        <w:t xml:space="preserve"> </w:t>
      </w:r>
      <w:r>
        <w:rPr>
          <w:rStyle w:val="VerbatimChar"/>
        </w:rPr>
        <w:t xml:space="preserve">READ UNCOMMITTED</w:t>
      </w:r>
      <w:r>
        <w:t xml:space="preserve"> </w:t>
      </w:r>
      <w:r>
        <w:t xml:space="preserve">but runs it as READ COMMITTED. REPEATABLE READ is snapshot isolation. SERIALIZABLE (since 9.1) is</w:t>
      </w:r>
      <w:r>
        <w:t xml:space="preserve"> </w:t>
      </w:r>
      <w:r>
        <w:rPr>
          <w:bCs/>
          <w:b/>
        </w:rPr>
        <w:t xml:space="preserve">Serializable Snapshot Isolation (SSI)</w:t>
      </w:r>
      <w:r>
        <w:t xml:space="preserve">: snapshot isolation plus tracking of read–write dependencies, aborting a transaction when a cycle is possible [Cahill et al. 2008; Ports and Grittner 2012]. It takes no extra blocking locks, but applications must retry on serialization failures (SQLSTATE</w:t>
      </w:r>
      <w:r>
        <w:t xml:space="preserve"> </w:t>
      </w:r>
      <w:r>
        <w:rPr>
          <w:rStyle w:val="VerbatimChar"/>
        </w:rPr>
        <w:t xml:space="preserve">40001</w:t>
      </w:r>
      <w:r>
        <w:t xml:space="preserve">).</w:t>
      </w:r>
    </w:p>
    <w:p>
      <w:pPr>
        <w:numPr>
          <w:ilvl w:val="0"/>
          <w:numId w:val="1384"/>
        </w:numPr>
        <w:pStyle w:val="Compact"/>
      </w:pPr>
      <w:r>
        <w:rPr>
          <w:bCs/>
          <w:b/>
        </w:rPr>
        <w:t xml:space="preserve">MySQL InnoDB</w:t>
      </w:r>
      <w:r>
        <w:t xml:space="preserve"> </w:t>
      </w:r>
      <w:r>
        <w:t xml:space="preserve">defaults to REPEATABLE READ. Plain</w:t>
      </w:r>
      <w:r>
        <w:t xml:space="preserve"> </w:t>
      </w:r>
      <w:r>
        <w:rPr>
          <w:rStyle w:val="VerbatimChar"/>
        </w:rPr>
        <w:t xml:space="preserve">SELECT</w:t>
      </w:r>
      <w:r>
        <w:t xml:space="preserve">s read a snapshot, but</w:t>
      </w:r>
      <w:r>
        <w:t xml:space="preserve"> </w:t>
      </w:r>
      <w:r>
        <w:rPr>
          <w:rStyle w:val="VerbatimChar"/>
        </w:rPr>
        <w:t xml:space="preserve">UPDATE</w:t>
      </w:r>
      <w:r>
        <w:t xml:space="preserve">,</w:t>
      </w:r>
      <w:r>
        <w:t xml:space="preserve"> </w:t>
      </w:r>
      <w:r>
        <w:rPr>
          <w:rStyle w:val="VerbatimChar"/>
        </w:rPr>
        <w:t xml:space="preserve">DELETE</w:t>
      </w:r>
      <w:r>
        <w:t xml:space="preserve"> </w:t>
      </w:r>
      <w:r>
        <w:t xml:space="preserve">and locking reads (</w:t>
      </w:r>
      <w:r>
        <w:rPr>
          <w:rStyle w:val="VerbatimChar"/>
        </w:rPr>
        <w:t xml:space="preserve">SELECT ... FOR UPDATE</w:t>
      </w:r>
      <w:r>
        <w:t xml:space="preserve">) read the</w:t>
      </w:r>
      <w:r>
        <w:t xml:space="preserve"> </w:t>
      </w:r>
      <w:r>
        <w:rPr>
          <w:iCs/>
          <w:i/>
        </w:rPr>
        <w:t xml:space="preserve">latest committed</w:t>
      </w:r>
      <w:r>
        <w:t xml:space="preserve"> </w:t>
      </w:r>
      <w:r>
        <w:t xml:space="preserve">row and do not check whether it changed since the snapshot, which is why lost updates and write skew get through. Locking reads take next-key locks that block phantom inserts (§11.15). SERIALIZABLE converts plain</w:t>
      </w:r>
      <w:r>
        <w:t xml:space="preserve"> </w:t>
      </w:r>
      <w:r>
        <w:rPr>
          <w:rStyle w:val="VerbatimChar"/>
        </w:rPr>
        <w:t xml:space="preserve">SELECT</w:t>
      </w:r>
      <w:r>
        <w:t xml:space="preserve">s into</w:t>
      </w:r>
      <w:r>
        <w:t xml:space="preserve"> </w:t>
      </w:r>
      <w:r>
        <w:rPr>
          <w:rStyle w:val="VerbatimChar"/>
        </w:rPr>
        <w:t xml:space="preserve">SELECT ... FOR SHARE</w:t>
      </w:r>
      <w:r>
        <w:t xml:space="preserve"> </w:t>
      </w:r>
      <w:r>
        <w:t xml:space="preserve">when autocommit is off, i.e., two-phase locking [MySQL Docs: Transaction Isolation Levels].</w:t>
      </w:r>
    </w:p>
    <w:p>
      <w:pPr>
        <w:numPr>
          <w:ilvl w:val="0"/>
          <w:numId w:val="1384"/>
        </w:numPr>
        <w:pStyle w:val="Compact"/>
      </w:pPr>
      <w:r>
        <w:t xml:space="preserve">Kleppmann’s Hermitage project collects independent tests of these behaviors [Kleppmann 2014].</w:t>
      </w:r>
    </w:p>
    <w:p>
      <w:pPr>
        <w:pStyle w:val="FirstParagraph"/>
      </w:pPr>
      <w:r>
        <w:t xml:space="preserve">The following program reproduced two rows of Table 11.9 against PostgreSQL 16:</w:t>
      </w:r>
    </w:p>
    <w:p>
      <w:pPr>
        <w:pStyle w:val="SourceCode"/>
      </w:pPr>
      <w:r>
        <w:rPr>
          <w:rStyle w:val="CommentTok"/>
        </w:rPr>
        <w:t xml:space="preserve"># PostgreSQL-specific: needs a running PostgreSQL and `pip install psycopg2-binary`.</w:t>
      </w:r>
      <w:r>
        <w:br/>
      </w:r>
      <w:r>
        <w:rPr>
          <w:rStyle w:val="ImportTok"/>
        </w:rPr>
        <w:t xml:space="preserve">import</w:t>
      </w:r>
      <w:r>
        <w:rPr>
          <w:rStyle w:val="NormalTok"/>
        </w:rPr>
        <w:t xml:space="preserve"> psycopg2</w:t>
      </w:r>
      <w:r>
        <w:br/>
      </w:r>
      <w:r>
        <w:br/>
      </w:r>
      <w:r>
        <w:rPr>
          <w:rStyle w:val="NormalTok"/>
        </w:rPr>
        <w:t xml:space="preserve">DSN </w:t>
      </w:r>
      <w:r>
        <w:rPr>
          <w:rStyle w:val="OperatorTok"/>
        </w:rPr>
        <w:t xml:space="preserve">=</w:t>
      </w:r>
      <w:r>
        <w:rPr>
          <w:rStyle w:val="NormalTok"/>
        </w:rPr>
        <w:t xml:space="preserve"> </w:t>
      </w:r>
      <w:r>
        <w:rPr>
          <w:rStyle w:val="StringTok"/>
        </w:rPr>
        <w:t xml:space="preserve">"dbname=shop user=postgres host=localhost"</w:t>
      </w:r>
      <w:r>
        <w:rPr>
          <w:rStyle w:val="NormalTok"/>
        </w:rPr>
        <w:t xml:space="preserve">   </w:t>
      </w:r>
      <w:r>
        <w:rPr>
          <w:rStyle w:val="CommentTok"/>
        </w:rPr>
        <w:t xml:space="preserve"># adjust to your server</w:t>
      </w:r>
      <w:r>
        <w:br/>
      </w:r>
      <w:r>
        <w:br/>
      </w:r>
      <w:r>
        <w:rPr>
          <w:rStyle w:val="KeywordTok"/>
        </w:rPr>
        <w:t xml:space="preserve">def</w:t>
      </w:r>
      <w:r>
        <w:rPr>
          <w:rStyle w:val="NormalTok"/>
        </w:rPr>
        <w:t xml:space="preserve"> session(level):</w:t>
      </w:r>
      <w:r>
        <w:br/>
      </w:r>
      <w:r>
        <w:rPr>
          <w:rStyle w:val="NormalTok"/>
        </w:rPr>
        <w:t xml:space="preserve">    conn </w:t>
      </w:r>
      <w:r>
        <w:rPr>
          <w:rStyle w:val="OperatorTok"/>
        </w:rPr>
        <w:t xml:space="preserve">=</w:t>
      </w:r>
      <w:r>
        <w:rPr>
          <w:rStyle w:val="NormalTok"/>
        </w:rPr>
        <w:t xml:space="preserve"> psycopg2.</w:t>
      </w:r>
      <w:r>
        <w:rPr>
          <w:rStyle w:val="ExtensionTok"/>
        </w:rPr>
        <w:t xml:space="preserve">connect</w:t>
      </w:r>
      <w:r>
        <w:rPr>
          <w:rStyle w:val="NormalTok"/>
        </w:rPr>
        <w:t xml:space="preserve">(DSN)</w:t>
      </w:r>
      <w:r>
        <w:br/>
      </w:r>
      <w:r>
        <w:rPr>
          <w:rStyle w:val="NormalTok"/>
        </w:rPr>
        <w:t xml:space="preserve">    conn.set_session(isolation_level</w:t>
      </w:r>
      <w:r>
        <w:rPr>
          <w:rStyle w:val="OperatorTok"/>
        </w:rPr>
        <w:t xml:space="preserve">=</w:t>
      </w:r>
      <w:r>
        <w:rPr>
          <w:rStyle w:val="NormalTok"/>
        </w:rPr>
        <w:t xml:space="preserve">level)</w:t>
      </w:r>
      <w:r>
        <w:br/>
      </w:r>
      <w:r>
        <w:rPr>
          <w:rStyle w:val="NormalTok"/>
        </w:rPr>
        <w:t xml:space="preserve">    </w:t>
      </w:r>
      <w:r>
        <w:rPr>
          <w:rStyle w:val="ControlFlowTok"/>
        </w:rPr>
        <w:t xml:space="preserve">return</w:t>
      </w:r>
      <w:r>
        <w:rPr>
          <w:rStyle w:val="NormalTok"/>
        </w:rPr>
        <w:t xml:space="preserve"> conn, conn.cursor()</w:t>
      </w:r>
      <w:r>
        <w:br/>
      </w:r>
      <w:r>
        <w:br/>
      </w:r>
      <w:r>
        <w:rPr>
          <w:rStyle w:val="KeywordTok"/>
        </w:rPr>
        <w:t xml:space="preserve">def</w:t>
      </w:r>
      <w:r>
        <w:rPr>
          <w:rStyle w:val="NormalTok"/>
        </w:rPr>
        <w:t xml:space="preserve"> reset():</w:t>
      </w:r>
      <w:r>
        <w:br/>
      </w:r>
      <w:r>
        <w:rPr>
          <w:rStyle w:val="NormalTok"/>
        </w:rPr>
        <w:t xml:space="preserve">    conn </w:t>
      </w:r>
      <w:r>
        <w:rPr>
          <w:rStyle w:val="OperatorTok"/>
        </w:rPr>
        <w:t xml:space="preserve">=</w:t>
      </w:r>
      <w:r>
        <w:rPr>
          <w:rStyle w:val="NormalTok"/>
        </w:rPr>
        <w:t xml:space="preserve"> psycopg2.</w:t>
      </w:r>
      <w:r>
        <w:rPr>
          <w:rStyle w:val="ExtensionTok"/>
        </w:rPr>
        <w:t xml:space="preserve">connect</w:t>
      </w:r>
      <w:r>
        <w:rPr>
          <w:rStyle w:val="NormalTok"/>
        </w:rPr>
        <w:t xml:space="preserve">(DSN)</w:t>
      </w:r>
      <w:r>
        <w:rPr>
          <w:rStyle w:val="OperatorTok"/>
        </w:rPr>
        <w:t xml:space="preserve">;</w:t>
      </w:r>
      <w:r>
        <w:rPr>
          <w:rStyle w:val="NormalTok"/>
        </w:rPr>
        <w:t xml:space="preserve"> conn.autocommit </w:t>
      </w:r>
      <w:r>
        <w:rPr>
          <w:rStyle w:val="OperatorTok"/>
        </w:rPr>
        <w:t xml:space="preserve">=</w:t>
      </w:r>
      <w:r>
        <w:rPr>
          <w:rStyle w:val="NormalTok"/>
        </w:rPr>
        <w:t xml:space="preserve"> </w:t>
      </w:r>
      <w:r>
        <w:rPr>
          <w:rStyle w:val="VariableTok"/>
        </w:rPr>
        <w:t xml:space="preserve">True</w:t>
      </w:r>
      <w:r>
        <w:br/>
      </w:r>
      <w:r>
        <w:rPr>
          <w:rStyle w:val="NormalTok"/>
        </w:rPr>
        <w:t xml:space="preserve">    conn.cursor().execute(</w:t>
      </w:r>
      <w:r>
        <w:rPr>
          <w:rStyle w:val="StringTok"/>
        </w:rPr>
        <w:t xml:space="preserve">"""</w:t>
      </w:r>
      <w:r>
        <w:br/>
      </w:r>
      <w:r>
        <w:rPr>
          <w:rStyle w:val="StringTok"/>
        </w:rPr>
        <w:t xml:space="preserve">        DROP TABLE IF EXISTS stock, doctors;</w:t>
      </w:r>
      <w:r>
        <w:br/>
      </w:r>
      <w:r>
        <w:rPr>
          <w:rStyle w:val="StringTok"/>
        </w:rPr>
        <w:t xml:space="preserve">        CREATE TABLE stock (product_id int PRIMARY KEY, on_hand int NOT NULL);</w:t>
      </w:r>
      <w:r>
        <w:br/>
      </w:r>
      <w:r>
        <w:rPr>
          <w:rStyle w:val="StringTok"/>
        </w:rPr>
        <w:t xml:space="preserve">        INSERT INTO stock VALUES (42, 10);</w:t>
      </w:r>
      <w:r>
        <w:br/>
      </w:r>
      <w:r>
        <w:rPr>
          <w:rStyle w:val="StringTok"/>
        </w:rPr>
        <w:t xml:space="preserve">        CREATE TABLE doctors (name text PRIMARY KEY, on_call bool NOT NULL);</w:t>
      </w:r>
      <w:r>
        <w:br/>
      </w:r>
      <w:r>
        <w:rPr>
          <w:rStyle w:val="StringTok"/>
        </w:rPr>
        <w:t xml:space="preserve">        INSERT INTO doctors VALUES ('alice', true), ('bob', true);"""</w:t>
      </w:r>
      <w:r>
        <w:rPr>
          <w:rStyle w:val="NormalTok"/>
        </w:rPr>
        <w:t xml:space="preserve">)</w:t>
      </w:r>
      <w:r>
        <w:br/>
      </w:r>
      <w:r>
        <w:rPr>
          <w:rStyle w:val="NormalTok"/>
        </w:rPr>
        <w:t xml:space="preserve">    conn.close()</w:t>
      </w:r>
      <w:r>
        <w:br/>
      </w:r>
      <w:r>
        <w:br/>
      </w:r>
      <w:r>
        <w:rPr>
          <w:rStyle w:val="KeywordTok"/>
        </w:rPr>
        <w:t xml:space="preserve">def</w:t>
      </w:r>
      <w:r>
        <w:rPr>
          <w:rStyle w:val="NormalTok"/>
        </w:rPr>
        <w:t xml:space="preserve"> try_commit(conn):</w:t>
      </w:r>
      <w:r>
        <w:br/>
      </w:r>
      <w:r>
        <w:rPr>
          <w:rStyle w:val="NormalTok"/>
        </w:rPr>
        <w:t xml:space="preserve">    </w:t>
      </w:r>
      <w:r>
        <w:rPr>
          <w:rStyle w:val="ControlFlowTok"/>
        </w:rPr>
        <w:t xml:space="preserve">try</w:t>
      </w:r>
      <w:r>
        <w:rPr>
          <w:rStyle w:val="NormalTok"/>
        </w:rPr>
        <w:t xml:space="preserve">:</w:t>
      </w:r>
      <w:r>
        <w:br/>
      </w:r>
      <w:r>
        <w:rPr>
          <w:rStyle w:val="NormalTok"/>
        </w:rPr>
        <w:t xml:space="preserve">        conn.commit()</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"commit"</w:t>
      </w:r>
      <w:r>
        <w:br/>
      </w:r>
      <w:r>
        <w:rPr>
          <w:rStyle w:val="NormalTok"/>
        </w:rPr>
        <w:t xml:space="preserve">    </w:t>
      </w:r>
      <w:r>
        <w:rPr>
          <w:rStyle w:val="ControlFlowTok"/>
        </w:rPr>
        <w:t xml:space="preserve">except</w:t>
      </w:r>
      <w:r>
        <w:rPr>
          <w:rStyle w:val="NormalTok"/>
        </w:rPr>
        <w:t xml:space="preserve"> psycopg2.Error </w:t>
      </w:r>
      <w:r>
        <w:rPr>
          <w:rStyle w:val="ImportTok"/>
        </w:rPr>
        <w:t xml:space="preserve">as</w:t>
      </w:r>
      <w:r>
        <w:rPr>
          <w:rStyle w:val="NormalTok"/>
        </w:rPr>
        <w:t xml:space="preserve"> e:</w:t>
      </w:r>
      <w:r>
        <w:br/>
      </w:r>
      <w:r>
        <w:rPr>
          <w:rStyle w:val="NormalTok"/>
        </w:rPr>
        <w:t xml:space="preserve">        conn.rollback()</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"abort: "</w:t>
      </w:r>
      <w:r>
        <w:rPr>
          <w:rStyle w:val="NormalTok"/>
        </w:rPr>
        <w:t xml:space="preserve"> </w:t>
      </w:r>
      <w:r>
        <w:rPr>
          <w:rStyle w:val="OperatorTok"/>
        </w:rPr>
        <w:t xml:space="preserve">+</w:t>
      </w:r>
      <w:r>
        <w:rPr>
          <w:rStyle w:val="NormalTok"/>
        </w:rPr>
        <w:t xml:space="preserve"> e.pgerror.splitlines()[</w:t>
      </w:r>
      <w:r>
        <w:rPr>
          <w:rStyle w:val="DecValTok"/>
        </w:rPr>
        <w:t xml:space="preserve">0</w:t>
      </w:r>
      <w:r>
        <w:rPr>
          <w:rStyle w:val="NormalTok"/>
        </w:rPr>
        <w:t xml:space="preserve">]</w:t>
      </w:r>
      <w:r>
        <w:br/>
      </w:r>
      <w:r>
        <w:br/>
      </w:r>
      <w:r>
        <w:rPr>
          <w:rStyle w:val="KeywordTok"/>
        </w:rPr>
        <w:t xml:space="preserve">def</w:t>
      </w:r>
      <w:r>
        <w:rPr>
          <w:rStyle w:val="NormalTok"/>
        </w:rPr>
        <w:t xml:space="preserve"> lost_update(level):           </w:t>
      </w:r>
      <w:r>
        <w:rPr>
          <w:rStyle w:val="CommentTok"/>
        </w:rPr>
        <w:t xml:space="preserve"># read-modify-write computed in the application</w:t>
      </w:r>
      <w:r>
        <w:br/>
      </w:r>
      <w:r>
        <w:rPr>
          <w:rStyle w:val="NormalTok"/>
        </w:rPr>
        <w:t xml:space="preserve">    reset()</w:t>
      </w:r>
      <w:r>
        <w:rPr>
          <w:rStyle w:val="OperatorTok"/>
        </w:rPr>
        <w:t xml:space="preserve">;</w:t>
      </w:r>
      <w:r>
        <w:rPr>
          <w:rStyle w:val="NormalTok"/>
        </w:rPr>
        <w:t xml:space="preserve"> (a, ca), (b, cb) </w:t>
      </w:r>
      <w:r>
        <w:rPr>
          <w:rStyle w:val="OperatorTok"/>
        </w:rPr>
        <w:t xml:space="preserve">=</w:t>
      </w:r>
      <w:r>
        <w:rPr>
          <w:rStyle w:val="NormalTok"/>
        </w:rPr>
        <w:t xml:space="preserve"> session(level), session(level)</w:t>
      </w:r>
      <w:r>
        <w:br/>
      </w:r>
      <w:r>
        <w:rPr>
          <w:rStyle w:val="NormalTok"/>
        </w:rPr>
        <w:t xml:space="preserve">    ca.execute(</w:t>
      </w:r>
      <w:r>
        <w:rPr>
          <w:rStyle w:val="StringTok"/>
        </w:rPr>
        <w:t xml:space="preserve">"SELECT on_hand FROM stock WHERE product_id = 42"</w:t>
      </w:r>
      <w:r>
        <w:rPr>
          <w:rStyle w:val="NormalTok"/>
        </w:rPr>
        <w:t xml:space="preserve">)</w:t>
      </w:r>
      <w:r>
        <w:rPr>
          <w:rStyle w:val="OperatorTok"/>
        </w:rPr>
        <w:t xml:space="preserve">;</w:t>
      </w:r>
      <w:r>
        <w:rPr>
          <w:rStyle w:val="NormalTok"/>
        </w:rPr>
        <w:t xml:space="preserve"> va </w:t>
      </w:r>
      <w:r>
        <w:rPr>
          <w:rStyle w:val="OperatorTok"/>
        </w:rPr>
        <w:t xml:space="preserve">=</w:t>
      </w:r>
      <w:r>
        <w:rPr>
          <w:rStyle w:val="NormalTok"/>
        </w:rPr>
        <w:t xml:space="preserve"> ca.fetchone()[</w:t>
      </w:r>
      <w:r>
        <w:rPr>
          <w:rStyle w:val="DecValTok"/>
        </w:rPr>
        <w:t xml:space="preserve">0</w:t>
      </w:r>
      <w:r>
        <w:rPr>
          <w:rStyle w:val="NormalTok"/>
        </w:rPr>
        <w:t xml:space="preserve">]</w:t>
      </w:r>
      <w:r>
        <w:br/>
      </w:r>
      <w:r>
        <w:rPr>
          <w:rStyle w:val="NormalTok"/>
        </w:rPr>
        <w:t xml:space="preserve">    cb.execute(</w:t>
      </w:r>
      <w:r>
        <w:rPr>
          <w:rStyle w:val="StringTok"/>
        </w:rPr>
        <w:t xml:space="preserve">"SELECT on_hand FROM stock WHERE product_id = 42"</w:t>
      </w:r>
      <w:r>
        <w:rPr>
          <w:rStyle w:val="NormalTok"/>
        </w:rPr>
        <w:t xml:space="preserve">)</w:t>
      </w:r>
      <w:r>
        <w:rPr>
          <w:rStyle w:val="OperatorTok"/>
        </w:rPr>
        <w:t xml:space="preserve">;</w:t>
      </w:r>
      <w:r>
        <w:rPr>
          <w:rStyle w:val="NormalTok"/>
        </w:rPr>
        <w:t xml:space="preserve"> vb </w:t>
      </w:r>
      <w:r>
        <w:rPr>
          <w:rStyle w:val="OperatorTok"/>
        </w:rPr>
        <w:t xml:space="preserve">=</w:t>
      </w:r>
      <w:r>
        <w:rPr>
          <w:rStyle w:val="NormalTok"/>
        </w:rPr>
        <w:t xml:space="preserve"> cb.fetchone()[</w:t>
      </w:r>
      <w:r>
        <w:rPr>
          <w:rStyle w:val="DecValTok"/>
        </w:rPr>
        <w:t xml:space="preserve">0</w:t>
      </w:r>
      <w:r>
        <w:rPr>
          <w:rStyle w:val="NormalTok"/>
        </w:rPr>
        <w:t xml:space="preserve">]</w:t>
      </w:r>
      <w:r>
        <w:br/>
      </w:r>
      <w:r>
        <w:rPr>
          <w:rStyle w:val="NormalTok"/>
        </w:rPr>
        <w:t xml:space="preserve">    ca.execute(</w:t>
      </w:r>
      <w:r>
        <w:rPr>
          <w:rStyle w:val="StringTok"/>
        </w:rPr>
        <w:t xml:space="preserve">"UPDATE stock SET on_hand = </w:t>
      </w:r>
      <w:r>
        <w:rPr>
          <w:rStyle w:val="SpecialCharTok"/>
        </w:rPr>
        <w:t xml:space="preserve">%s</w:t>
      </w:r>
      <w:r>
        <w:rPr>
          <w:rStyle w:val="StringTok"/>
        </w:rPr>
        <w:t xml:space="preserve"> WHERE product_id = 42"</w:t>
      </w:r>
      <w:r>
        <w:rPr>
          <w:rStyle w:val="NormalTok"/>
        </w:rPr>
        <w:t xml:space="preserve">, (va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NormalTok"/>
        </w:rPr>
        <w:t xml:space="preserve"> a.commit()</w:t>
      </w:r>
      <w:r>
        <w:br/>
      </w:r>
      <w:r>
        <w:rPr>
          <w:rStyle w:val="NormalTok"/>
        </w:rPr>
        <w:t xml:space="preserve">    </w:t>
      </w:r>
      <w:r>
        <w:rPr>
          <w:rStyle w:val="ControlFlowTok"/>
        </w:rPr>
        <w:t xml:space="preserve">try</w:t>
      </w:r>
      <w:r>
        <w:rPr>
          <w:rStyle w:val="NormalTok"/>
        </w:rPr>
        <w:t xml:space="preserve">:</w:t>
      </w:r>
      <w:r>
        <w:br/>
      </w:r>
      <w:r>
        <w:rPr>
          <w:rStyle w:val="NormalTok"/>
        </w:rPr>
        <w:t xml:space="preserve">        cb.execute(</w:t>
      </w:r>
      <w:r>
        <w:rPr>
          <w:rStyle w:val="StringTok"/>
        </w:rPr>
        <w:t xml:space="preserve">"UPDATE stock SET on_hand = </w:t>
      </w:r>
      <w:r>
        <w:rPr>
          <w:rStyle w:val="SpecialCharTok"/>
        </w:rPr>
        <w:t xml:space="preserve">%s</w:t>
      </w:r>
      <w:r>
        <w:rPr>
          <w:rStyle w:val="StringTok"/>
        </w:rPr>
        <w:t xml:space="preserve"> WHERE product_id = 42"</w:t>
      </w:r>
      <w:r>
        <w:rPr>
          <w:rStyle w:val="NormalTok"/>
        </w:rPr>
        <w:t xml:space="preserve">, (vb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result </w:t>
      </w:r>
      <w:r>
        <w:rPr>
          <w:rStyle w:val="OperatorTok"/>
        </w:rPr>
        <w:t xml:space="preserve">=</w:t>
      </w:r>
      <w:r>
        <w:rPr>
          <w:rStyle w:val="NormalTok"/>
        </w:rPr>
        <w:t xml:space="preserve"> try_commit(b)</w:t>
      </w:r>
      <w:r>
        <w:br/>
      </w:r>
      <w:r>
        <w:rPr>
          <w:rStyle w:val="NormalTok"/>
        </w:rPr>
        <w:t xml:space="preserve">    </w:t>
      </w:r>
      <w:r>
        <w:rPr>
          <w:rStyle w:val="ControlFlowTok"/>
        </w:rPr>
        <w:t xml:space="preserve">except</w:t>
      </w:r>
      <w:r>
        <w:rPr>
          <w:rStyle w:val="NormalTok"/>
        </w:rPr>
        <w:t xml:space="preserve"> psycopg2.Error </w:t>
      </w:r>
      <w:r>
        <w:rPr>
          <w:rStyle w:val="ImportTok"/>
        </w:rPr>
        <w:t xml:space="preserve">as</w:t>
      </w:r>
      <w:r>
        <w:rPr>
          <w:rStyle w:val="NormalTok"/>
        </w:rPr>
        <w:t xml:space="preserve"> e:</w:t>
      </w:r>
      <w:r>
        <w:br/>
      </w:r>
      <w:r>
        <w:rPr>
          <w:rStyle w:val="NormalTok"/>
        </w:rPr>
        <w:t xml:space="preserve">        b.rollback()</w:t>
      </w:r>
      <w:r>
        <w:rPr>
          <w:rStyle w:val="OperatorTok"/>
        </w:rPr>
        <w:t xml:space="preserve">;</w:t>
      </w:r>
      <w:r>
        <w:rPr>
          <w:rStyle w:val="NormalTok"/>
        </w:rPr>
        <w:t xml:space="preserve"> result </w:t>
      </w:r>
      <w:r>
        <w:rPr>
          <w:rStyle w:val="OperatorTok"/>
        </w:rPr>
        <w:t xml:space="preserve">=</w:t>
      </w:r>
      <w:r>
        <w:rPr>
          <w:rStyle w:val="NormalTok"/>
        </w:rPr>
        <w:t xml:space="preserve"> </w:t>
      </w:r>
      <w:r>
        <w:rPr>
          <w:rStyle w:val="StringTok"/>
        </w:rPr>
        <w:t xml:space="preserve">"abort: "</w:t>
      </w:r>
      <w:r>
        <w:rPr>
          <w:rStyle w:val="NormalTok"/>
        </w:rPr>
        <w:t xml:space="preserve"> </w:t>
      </w:r>
      <w:r>
        <w:rPr>
          <w:rStyle w:val="OperatorTok"/>
        </w:rPr>
        <w:t xml:space="preserve">+</w:t>
      </w:r>
      <w:r>
        <w:rPr>
          <w:rStyle w:val="NormalTok"/>
        </w:rPr>
        <w:t xml:space="preserve"> e.pgerror.splitlines()[</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f"lost update, </w:t>
      </w:r>
      <w:r>
        <w:rPr>
          <w:rStyle w:val="SpecialCharTok"/>
        </w:rPr>
        <w:t xml:space="preserve">{</w:t>
      </w:r>
      <w:r>
        <w:rPr>
          <w:rStyle w:val="NormalTok"/>
        </w:rPr>
        <w:t xml:space="preserve">level</w:t>
      </w:r>
      <w:r>
        <w:rPr>
          <w:rStyle w:val="SpecialCharTok"/>
        </w:rPr>
        <w:t xml:space="preserve">}</w:t>
      </w:r>
      <w:r>
        <w:rPr>
          <w:rStyle w:val="SpecialStringTok"/>
        </w:rPr>
        <w:t xml:space="preserve">: B </w:t>
      </w:r>
      <w:r>
        <w:rPr>
          <w:rStyle w:val="SpecialCharTok"/>
        </w:rPr>
        <w:t xml:space="preserve">{</w:t>
      </w:r>
      <w:r>
        <w:rPr>
          <w:rStyle w:val="NormalTok"/>
        </w:rPr>
        <w:t xml:space="preserve">result</w:t>
      </w:r>
      <w:r>
        <w:rPr>
          <w:rStyle w:val="SpecialCharTok"/>
        </w:rPr>
        <w:t xml:space="preserve">}</w:t>
      </w:r>
      <w:r>
        <w:rPr>
          <w:rStyle w:val="SpecialStringTok"/>
        </w:rPr>
        <w:t xml:space="preserve">"</w:t>
      </w:r>
      <w:r>
        <w:rPr>
          <w:rStyle w:val="NormalTok"/>
        </w:rPr>
        <w:t xml:space="preserve">)</w:t>
      </w:r>
      <w:r>
        <w:br/>
      </w:r>
      <w:r>
        <w:br/>
      </w:r>
      <w:r>
        <w:rPr>
          <w:rStyle w:val="KeywordTok"/>
        </w:rPr>
        <w:t xml:space="preserve">def</w:t>
      </w:r>
      <w:r>
        <w:rPr>
          <w:rStyle w:val="NormalTok"/>
        </w:rPr>
        <w:t xml:space="preserve"> write_skew(level):            </w:t>
      </w:r>
      <w:r>
        <w:rPr>
          <w:rStyle w:val="CommentTok"/>
        </w:rPr>
        <w:t xml:space="preserve"># invariant: at least one doctor on call</w:t>
      </w:r>
      <w:r>
        <w:br/>
      </w:r>
      <w:r>
        <w:rPr>
          <w:rStyle w:val="NormalTok"/>
        </w:rPr>
        <w:t xml:space="preserve">    reset()</w:t>
      </w:r>
      <w:r>
        <w:rPr>
          <w:rStyle w:val="OperatorTok"/>
        </w:rPr>
        <w:t xml:space="preserve">;</w:t>
      </w:r>
      <w:r>
        <w:rPr>
          <w:rStyle w:val="NormalTok"/>
        </w:rPr>
        <w:t xml:space="preserve"> (a, ca), (b, cb) </w:t>
      </w:r>
      <w:r>
        <w:rPr>
          <w:rStyle w:val="OperatorTok"/>
        </w:rPr>
        <w:t xml:space="preserve">=</w:t>
      </w:r>
      <w:r>
        <w:rPr>
          <w:rStyle w:val="NormalTok"/>
        </w:rPr>
        <w:t xml:space="preserve"> session(level), session(level)</w:t>
      </w:r>
      <w:r>
        <w:br/>
      </w:r>
      <w:r>
        <w:rPr>
          <w:rStyle w:val="NormalTok"/>
        </w:rPr>
        <w:t xml:space="preserve">    </w:t>
      </w:r>
      <w:r>
        <w:rPr>
          <w:rStyle w:val="ControlFlowTok"/>
        </w:rPr>
        <w:t xml:space="preserve">for</w:t>
      </w:r>
      <w:r>
        <w:rPr>
          <w:rStyle w:val="NormalTok"/>
        </w:rPr>
        <w:t xml:space="preserve"> cur, me </w:t>
      </w:r>
      <w:r>
        <w:rPr>
          <w:rStyle w:val="KeywordTok"/>
        </w:rPr>
        <w:t xml:space="preserve">in</w:t>
      </w:r>
      <w:r>
        <w:rPr>
          <w:rStyle w:val="NormalTok"/>
        </w:rPr>
        <w:t xml:space="preserve"> ((ca, </w:t>
      </w:r>
      <w:r>
        <w:rPr>
          <w:rStyle w:val="StringTok"/>
        </w:rPr>
        <w:t xml:space="preserve">"alice"</w:t>
      </w:r>
      <w:r>
        <w:rPr>
          <w:rStyle w:val="NormalTok"/>
        </w:rPr>
        <w:t xml:space="preserve">), (cb, </w:t>
      </w:r>
      <w:r>
        <w:rPr>
          <w:rStyle w:val="StringTok"/>
        </w:rPr>
        <w:t xml:space="preserve">"bob"</w:t>
      </w:r>
      <w:r>
        <w:rPr>
          <w:rStyle w:val="NormalTok"/>
        </w:rPr>
        <w:t xml:space="preserve">)):</w:t>
      </w:r>
      <w:r>
        <w:br/>
      </w:r>
      <w:r>
        <w:rPr>
          <w:rStyle w:val="NormalTok"/>
        </w:rPr>
        <w:t xml:space="preserve">        cur.execute(</w:t>
      </w:r>
      <w:r>
        <w:rPr>
          <w:rStyle w:val="StringTok"/>
        </w:rPr>
        <w:t xml:space="preserve">"SELECT count(*) FROM doctors WHERE on_call"</w:t>
      </w:r>
      <w:r>
        <w:rPr>
          <w:rStyle w:val="NormalTok"/>
        </w:rPr>
        <w:t xml:space="preserve">)</w:t>
      </w:r>
      <w:r>
        <w:br/>
      </w:r>
      <w:r>
        <w:rPr>
          <w:rStyle w:val="NormalTok"/>
        </w:rPr>
        <w:t xml:space="preserve">        </w:t>
      </w:r>
      <w:r>
        <w:rPr>
          <w:rStyle w:val="ControlFlowTok"/>
        </w:rPr>
        <w:t xml:space="preserve">if</w:t>
      </w:r>
      <w:r>
        <w:rPr>
          <w:rStyle w:val="NormalTok"/>
        </w:rPr>
        <w:t xml:space="preserve"> cur.fetchone()[</w:t>
      </w:r>
      <w:r>
        <w:rPr>
          <w:rStyle w:val="DecValTok"/>
        </w:rPr>
        <w:t xml:space="preserve">0</w:t>
      </w:r>
      <w:r>
        <w:rPr>
          <w:rStyle w:val="NormalTok"/>
        </w:rPr>
        <w:t xml:space="preserve">] </w:t>
      </w:r>
      <w:r>
        <w:rPr>
          <w:rStyle w:val="OperatorTok"/>
        </w:rPr>
        <w:t xml:space="preserve">&gt;=</w:t>
      </w:r>
      <w:r>
        <w:rPr>
          <w:rStyle w:val="NormalTok"/>
        </w:rPr>
        <w:t xml:space="preserve"> </w:t>
      </w:r>
      <w:r>
        <w:rPr>
          <w:rStyle w:val="DecValTok"/>
        </w:rPr>
        <w:t xml:space="preserve">2</w:t>
      </w:r>
      <w:r>
        <w:rPr>
          <w:rStyle w:val="NormalTok"/>
        </w:rPr>
        <w:t xml:space="preserve">:</w:t>
      </w:r>
      <w:r>
        <w:br/>
      </w:r>
      <w:r>
        <w:rPr>
          <w:rStyle w:val="NormalTok"/>
        </w:rPr>
        <w:t xml:space="preserve">            cur.execute(</w:t>
      </w:r>
      <w:r>
        <w:rPr>
          <w:rStyle w:val="StringTok"/>
        </w:rPr>
        <w:t xml:space="preserve">"UPDATE doctors SET on_call = false WHERE name = </w:t>
      </w:r>
      <w:r>
        <w:rPr>
          <w:rStyle w:val="SpecialCharTok"/>
        </w:rPr>
        <w:t xml:space="preserve">%s</w:t>
      </w:r>
      <w:r>
        <w:rPr>
          <w:rStyle w:val="StringTok"/>
        </w:rPr>
        <w:t xml:space="preserve">"</w:t>
      </w:r>
      <w:r>
        <w:rPr>
          <w:rStyle w:val="NormalTok"/>
        </w:rPr>
        <w:t xml:space="preserve">, (me,))</w:t>
      </w:r>
      <w:r>
        <w:br/>
      </w:r>
      <w:r>
        <w:rPr>
          <w:rStyle w:val="NormalTok"/>
        </w:rPr>
        <w:t xml:space="preserve">    </w:t>
      </w:r>
      <w:r>
        <w:rPr>
          <w:rStyle w:val="BuiltInTok"/>
        </w:rPr>
        <w:t xml:space="preserve">print</w:t>
      </w:r>
      <w:r>
        <w:rPr>
          <w:rStyle w:val="NormalTok"/>
        </w:rPr>
        <w:t xml:space="preserve">(</w:t>
      </w:r>
      <w:r>
        <w:rPr>
          <w:rStyle w:val="SpecialStringTok"/>
        </w:rPr>
        <w:t xml:space="preserve">f"write skew, </w:t>
      </w:r>
      <w:r>
        <w:rPr>
          <w:rStyle w:val="SpecialCharTok"/>
        </w:rPr>
        <w:t xml:space="preserve">{</w:t>
      </w:r>
      <w:r>
        <w:rPr>
          <w:rStyle w:val="NormalTok"/>
        </w:rPr>
        <w:t xml:space="preserve">level</w:t>
      </w:r>
      <w:r>
        <w:rPr>
          <w:rStyle w:val="SpecialCharTok"/>
        </w:rPr>
        <w:t xml:space="preserve">}</w:t>
      </w:r>
      <w:r>
        <w:rPr>
          <w:rStyle w:val="SpecialStringTok"/>
        </w:rPr>
        <w:t xml:space="preserve">: A </w:t>
      </w:r>
      <w:r>
        <w:rPr>
          <w:rStyle w:val="SpecialCharTok"/>
        </w:rPr>
        <w:t xml:space="preserve">{</w:t>
      </w:r>
      <w:r>
        <w:rPr>
          <w:rStyle w:val="NormalTok"/>
        </w:rPr>
        <w:t xml:space="preserve">try_commit(a)</w:t>
      </w:r>
      <w:r>
        <w:rPr>
          <w:rStyle w:val="SpecialCharTok"/>
        </w:rPr>
        <w:t xml:space="preserve">}</w:t>
      </w:r>
      <w:r>
        <w:rPr>
          <w:rStyle w:val="SpecialStringTok"/>
        </w:rPr>
        <w:t xml:space="preserve">; B </w:t>
      </w:r>
      <w:r>
        <w:rPr>
          <w:rStyle w:val="SpecialCharTok"/>
        </w:rPr>
        <w:t xml:space="preserve">{</w:t>
      </w:r>
      <w:r>
        <w:rPr>
          <w:rStyle w:val="NormalTok"/>
        </w:rPr>
        <w:t xml:space="preserve">try_commit(b)</w:t>
      </w:r>
      <w:r>
        <w:rPr>
          <w:rStyle w:val="SpecialCharTok"/>
        </w:rPr>
        <w:t xml:space="preserve">}</w:t>
      </w:r>
      <w:r>
        <w:rPr>
          <w:rStyle w:val="SpecialStringTok"/>
        </w:rPr>
        <w:t xml:space="preserve">"</w:t>
      </w:r>
      <w:r>
        <w:rPr>
          <w:rStyle w:val="NormalTok"/>
        </w:rPr>
        <w:t xml:space="preserve">)</w:t>
      </w:r>
      <w:r>
        <w:br/>
      </w:r>
      <w:r>
        <w:br/>
      </w:r>
      <w:r>
        <w:rPr>
          <w:rStyle w:val="ControlFlowTok"/>
        </w:rPr>
        <w:t xml:space="preserve">for</w:t>
      </w:r>
      <w:r>
        <w:rPr>
          <w:rStyle w:val="NormalTok"/>
        </w:rPr>
        <w:t xml:space="preserve"> level </w:t>
      </w:r>
      <w:r>
        <w:rPr>
          <w:rStyle w:val="KeywordTok"/>
        </w:rPr>
        <w:t xml:space="preserve">in</w:t>
      </w:r>
      <w:r>
        <w:rPr>
          <w:rStyle w:val="NormalTok"/>
        </w:rPr>
        <w:t xml:space="preserve"> (</w:t>
      </w:r>
      <w:r>
        <w:rPr>
          <w:rStyle w:val="StringTok"/>
        </w:rPr>
        <w:t xml:space="preserve">"READ COMMITTED"</w:t>
      </w:r>
      <w:r>
        <w:rPr>
          <w:rStyle w:val="NormalTok"/>
        </w:rPr>
        <w:t xml:space="preserve">, </w:t>
      </w:r>
      <w:r>
        <w:rPr>
          <w:rStyle w:val="StringTok"/>
        </w:rPr>
        <w:t xml:space="preserve">"REPEATABLE READ"</w:t>
      </w:r>
      <w:r>
        <w:rPr>
          <w:rStyle w:val="NormalTok"/>
        </w:rPr>
        <w:t xml:space="preserve">):</w:t>
      </w:r>
      <w:r>
        <w:br/>
      </w:r>
      <w:r>
        <w:rPr>
          <w:rStyle w:val="NormalTok"/>
        </w:rPr>
        <w:t xml:space="preserve">    lost_update(level)</w:t>
      </w:r>
      <w:r>
        <w:br/>
      </w:r>
      <w:r>
        <w:rPr>
          <w:rStyle w:val="ControlFlowTok"/>
        </w:rPr>
        <w:t xml:space="preserve">for</w:t>
      </w:r>
      <w:r>
        <w:rPr>
          <w:rStyle w:val="NormalTok"/>
        </w:rPr>
        <w:t xml:space="preserve"> level </w:t>
      </w:r>
      <w:r>
        <w:rPr>
          <w:rStyle w:val="KeywordTok"/>
        </w:rPr>
        <w:t xml:space="preserve">in</w:t>
      </w:r>
      <w:r>
        <w:rPr>
          <w:rStyle w:val="NormalTok"/>
        </w:rPr>
        <w:t xml:space="preserve"> (</w:t>
      </w:r>
      <w:r>
        <w:rPr>
          <w:rStyle w:val="StringTok"/>
        </w:rPr>
        <w:t xml:space="preserve">"REPEATABLE READ"</w:t>
      </w:r>
      <w:r>
        <w:rPr>
          <w:rStyle w:val="NormalTok"/>
        </w:rPr>
        <w:t xml:space="preserve">, </w:t>
      </w:r>
      <w:r>
        <w:rPr>
          <w:rStyle w:val="StringTok"/>
        </w:rPr>
        <w:t xml:space="preserve">"SERIALIZABLE"</w:t>
      </w:r>
      <w:r>
        <w:rPr>
          <w:rStyle w:val="NormalTok"/>
        </w:rPr>
        <w:t xml:space="preserve">):</w:t>
      </w:r>
      <w:r>
        <w:br/>
      </w:r>
      <w:r>
        <w:rPr>
          <w:rStyle w:val="NormalTok"/>
        </w:rPr>
        <w:t xml:space="preserve">    write_skew(level)</w:t>
      </w:r>
    </w:p>
    <w:p>
      <w:pPr>
        <w:pStyle w:val="FirstParagraph"/>
      </w:pPr>
      <w:r>
        <w:t xml:space="preserve">Output on PostgreSQL 16.15:</w:t>
      </w:r>
    </w:p>
    <w:p>
      <w:pPr>
        <w:pStyle w:val="SourceCode"/>
      </w:pPr>
      <w:r>
        <w:rPr>
          <w:rStyle w:val="VerbatimChar"/>
        </w:rPr>
        <w:t xml:space="preserve">lost update, READ COMMITTED: B commit</w:t>
      </w:r>
      <w:r>
        <w:br/>
      </w:r>
      <w:r>
        <w:rPr>
          <w:rStyle w:val="VerbatimChar"/>
        </w:rPr>
        <w:t xml:space="preserve">lost update, REPEATABLE READ: B abort: ERROR:  could not serialize access due to concurrent update</w:t>
      </w:r>
      <w:r>
        <w:br/>
      </w:r>
      <w:r>
        <w:rPr>
          <w:rStyle w:val="VerbatimChar"/>
        </w:rPr>
        <w:t xml:space="preserve">write skew, REPEATABLE READ: A commit; B commit</w:t>
      </w:r>
      <w:r>
        <w:br/>
      </w:r>
      <w:r>
        <w:rPr>
          <w:rStyle w:val="VerbatimChar"/>
        </w:rPr>
        <w:t xml:space="preserve">write skew, SERIALIZABLE: A commit; B abort: ERROR:  could not serialize access due to read/write dependencies among transactions</w:t>
      </w:r>
    </w:p>
    <w:p>
      <w:pPr>
        <w:pStyle w:val="FirstParagraph"/>
      </w:pPr>
      <w:r>
        <w:t xml:space="preserve">What to notice:</w:t>
      </w:r>
    </w:p>
    <w:p>
      <w:pPr>
        <w:numPr>
          <w:ilvl w:val="0"/>
          <w:numId w:val="1385"/>
        </w:numPr>
        <w:pStyle w:val="Compact"/>
      </w:pPr>
      <w:r>
        <w:t xml:space="preserve">Two sessions are interleaved by hand in one thread; nothing blocks, because PostgreSQL readers never wait for writers.</w:t>
      </w:r>
    </w:p>
    <w:p>
      <w:pPr>
        <w:numPr>
          <w:ilvl w:val="0"/>
          <w:numId w:val="1385"/>
        </w:numPr>
        <w:pStyle w:val="Compact"/>
      </w:pPr>
      <w:r>
        <w:t xml:space="preserve">At REPEATABLE READ and SERIALIZABLE, an abort is</w:t>
      </w:r>
      <w:r>
        <w:t xml:space="preserve"> </w:t>
      </w:r>
      <w:r>
        <w:rPr>
          <w:iCs/>
          <w:i/>
        </w:rPr>
        <w:t xml:space="preserve">normal</w:t>
      </w:r>
      <w:r>
        <w:t xml:space="preserve"> </w:t>
      </w:r>
      <w:r>
        <w:t xml:space="preserve">behavior, not a bug. Production code wraps such transactions in a retry loop with a bounded number of attempts.</w:t>
      </w:r>
    </w:p>
    <w:p>
      <w:pPr>
        <w:pStyle w:val="CalloutRecommendation"/>
      </w:pPr>
      <w:r>
        <w:rPr>
          <w:bCs/>
          <w:b/>
        </w:rPr>
        <w:t xml:space="preserve">RECOMMENDATION</w:t>
      </w:r>
    </w:p>
    <w:p>
      <w:pPr>
        <w:pStyle w:val="CalloutRecommendation"/>
      </w:pPr>
      <w:r>
        <w:rPr>
          <w:bCs/>
          <w:b/>
        </w:rPr>
        <w:t xml:space="preserve">Recommendation — Choosing an isolation level.</w:t>
      </w:r>
      <w:r>
        <w:t xml:space="preserve"> </w:t>
      </w:r>
      <w:r>
        <w:t xml:space="preserve">Default to READ COMMITTED (PostgreSQL) and make every read-modify-write atomic in SQL (</w:t>
      </w:r>
      <w:r>
        <w:rPr>
          <w:rStyle w:val="VerbatimChar"/>
        </w:rPr>
        <w:t xml:space="preserve">SET x = x - 1 WHERE ... AND x &gt;= 1</w:t>
      </w:r>
      <w:r>
        <w:t xml:space="preserve">) or explicitly locked (</w:t>
      </w:r>
      <w:r>
        <w:rPr>
          <w:rStyle w:val="VerbatimChar"/>
        </w:rPr>
        <w:t xml:space="preserve">FOR UPDATE</w:t>
      </w:r>
      <w:r>
        <w:t xml:space="preserve">). Use SERIALIZABLE, with retries, for transactions that check an invariant across several rows and then write. In MySQL, do not assume REPEATABLE READ protects read-modify-write cycles; use locking reads.</w:t>
      </w:r>
    </w:p>
    <w:bookmarkEnd w:id="1267"/>
    <w:bookmarkEnd w:id="1268"/>
    <w:bookmarkStart w:id="1279" w:name="multi-version-concurrency-control-mvcc"/>
    <w:p>
      <w:pPr>
        <w:pStyle w:val="Heading2"/>
      </w:pPr>
      <w:r>
        <w:t xml:space="preserve">11.14 Multi-version concurrency control (MVCC)</w:t>
      </w:r>
    </w:p>
    <w:bookmarkStart w:id="1270" w:name="the-idea"/>
    <w:p>
      <w:pPr>
        <w:pStyle w:val="Heading3"/>
      </w:pPr>
      <w:r>
        <w:t xml:space="preserve">11.14.1 The idea</w:t>
      </w:r>
    </w:p>
    <w:p>
      <w:pPr>
        <w:pStyle w:val="CalloutDefinition"/>
      </w:pPr>
      <w:r>
        <w:rPr>
          <w:bCs/>
          <w:b/>
        </w:rPr>
        <w:t xml:space="preserve">DEFINITION</w:t>
      </w:r>
    </w:p>
    <w:p>
      <w:pPr>
        <w:pStyle w:val="CalloutDefinition"/>
      </w:pPr>
      <w:r>
        <w:rPr>
          <w:bCs/>
          <w:b/>
        </w:rPr>
        <w:t xml:space="preserve">Definition — MVCC.</w:t>
      </w:r>
      <w:r>
        <w:t xml:space="preserve"> </w:t>
      </w:r>
      <w:r>
        <w:t xml:space="preserve">A concurrency-control technique in which a write creates a new</w:t>
      </w:r>
      <w:r>
        <w:t xml:space="preserve"> </w:t>
      </w:r>
      <w:r>
        <w:rPr>
          <w:bCs/>
          <w:b/>
        </w:rPr>
        <w:t xml:space="preserve">version</w:t>
      </w:r>
      <w:r>
        <w:t xml:space="preserve"> </w:t>
      </w:r>
      <w:r>
        <w:t xml:space="preserve">of a row instead of overwriting it in place, and each transaction reads the versions visible in its</w:t>
      </w:r>
      <w:r>
        <w:t xml:space="preserve"> </w:t>
      </w:r>
      <w:r>
        <w:rPr>
          <w:bCs/>
          <w:b/>
        </w:rPr>
        <w:t xml:space="preserve">snapshot</w:t>
      </w:r>
      <w:r>
        <w:t xml:space="preserve">: the set of transactions that had committed when the snapshot was taken. Readers therefore never block writers and writers never block readers; only writers of the same row wait for each other.</w:t>
      </w:r>
    </w:p>
    <w:bookmarkStart w:id="1269" w:name="first-principles-explanation-71"/>
    <w:p>
      <w:pPr>
        <w:pStyle w:val="Heading4"/>
      </w:pPr>
      <w:r>
        <w:t xml:space="preserve">First-principles explanation</w:t>
      </w:r>
    </w:p>
    <w:p>
      <w:pPr>
        <w:pStyle w:val="FirstParagraph"/>
      </w:pPr>
      <w:r>
        <w:t xml:space="preserve">A library keeps every edition of a reference book; a reader arriving at 10:00 gets the edition current at 10:00, even if a new one is shelved at 10:05. Editors never wait for readers. The costs are shelf space and a librarian who discards editions nobody can still be reading. PostgreSQL and InnoDB differ in</w:t>
      </w:r>
      <w:r>
        <w:t xml:space="preserve"> </w:t>
      </w:r>
      <w:r>
        <w:rPr>
          <w:iCs/>
          <w:i/>
        </w:rPr>
        <w:t xml:space="preserve">where</w:t>
      </w:r>
      <w:r>
        <w:t xml:space="preserve"> </w:t>
      </w:r>
      <w:r>
        <w:t xml:space="preserve">they keep old editions and</w:t>
      </w:r>
      <w:r>
        <w:t xml:space="preserve"> </w:t>
      </w:r>
      <w:r>
        <w:rPr>
          <w:iCs/>
          <w:i/>
        </w:rPr>
        <w:t xml:space="preserve">who</w:t>
      </w:r>
      <w:r>
        <w:t xml:space="preserve"> </w:t>
      </w:r>
      <w:r>
        <w:t xml:space="preserve">discards them.</w:t>
      </w:r>
    </w:p>
    <w:bookmarkEnd w:id="1269"/>
    <w:bookmarkEnd w:id="1270"/>
    <w:bookmarkStart w:id="1274" w:name="X85e77a86d288ac025d3794ff59f7cf1f182a7e1"/>
    <w:p>
      <w:pPr>
        <w:pStyle w:val="Heading3"/>
      </w:pPr>
      <w:r>
        <w:t xml:space="preserve">11.14.2 PostgreSQL: versions in the heap, cleaned by VACUUM</w:t>
      </w:r>
    </w:p>
    <w:p>
      <w:pPr>
        <w:pStyle w:val="FirstParagraph"/>
      </w:pPr>
      <w:r>
        <w:t xml:space="preserve">Each heap tuple carries a header with</w:t>
      </w:r>
      <w:r>
        <w:t xml:space="preserve"> </w:t>
      </w:r>
      <w:r>
        <w:rPr>
          <w:rStyle w:val="VerbatimChar"/>
          <w:bCs/>
          <w:b/>
        </w:rPr>
        <w:t xml:space="preserve">xmin</w:t>
      </w:r>
      <w:r>
        <w:t xml:space="preserve"> </w:t>
      </w:r>
      <w:r>
        <w:t xml:space="preserve">(the ID of the transaction that created this version),</w:t>
      </w:r>
      <w:r>
        <w:t xml:space="preserve"> </w:t>
      </w:r>
      <w:r>
        <w:rPr>
          <w:rStyle w:val="VerbatimChar"/>
          <w:bCs/>
          <w:b/>
        </w:rPr>
        <w:t xml:space="preserve">xmax</w:t>
      </w:r>
      <w:r>
        <w:t xml:space="preserve"> </w:t>
      </w:r>
      <w:r>
        <w:t xml:space="preserve">(the ID of the transaction that deleted or replaced it, or 0) and</w:t>
      </w:r>
      <w:r>
        <w:t xml:space="preserve"> </w:t>
      </w:r>
      <w:r>
        <w:rPr>
          <w:rStyle w:val="VerbatimChar"/>
          <w:bCs/>
          <w:b/>
        </w:rPr>
        <w:t xml:space="preserve">ctid</w:t>
      </w:r>
      <w:r>
        <w:t xml:space="preserve"> </w:t>
      </w:r>
      <w:r>
        <w:t xml:space="preserve">(the location of this version, or of its successor). An</w:t>
      </w:r>
      <w:r>
        <w:t xml:space="preserve"> </w:t>
      </w:r>
      <w:r>
        <w:rPr>
          <w:rStyle w:val="VerbatimChar"/>
        </w:rPr>
        <w:t xml:space="preserve">UPDATE</w:t>
      </w:r>
      <w:r>
        <w:t xml:space="preserve"> </w:t>
      </w:r>
      <w:r>
        <w:t xml:space="preserve">sets</w:t>
      </w:r>
      <w:r>
        <w:t xml:space="preserve"> </w:t>
      </w:r>
      <w:r>
        <w:rPr>
          <w:rStyle w:val="VerbatimChar"/>
        </w:rPr>
        <w:t xml:space="preserve">xmax</w:t>
      </w:r>
      <w:r>
        <w:t xml:space="preserve"> </w:t>
      </w:r>
      <w:r>
        <w:t xml:space="preserve">on the old version and inserts a complete new version. A snapshot records the oldest still-running transaction ID, the next unassigned ID and the list of IDs in progress; a version is visible if its</w:t>
      </w:r>
      <w:r>
        <w:t xml:space="preserve"> </w:t>
      </w:r>
      <w:r>
        <w:rPr>
          <w:rStyle w:val="VerbatimChar"/>
        </w:rPr>
        <w:t xml:space="preserve">xmin</w:t>
      </w:r>
      <w:r>
        <w:t xml:space="preserve"> </w:t>
      </w:r>
      <w:r>
        <w:t xml:space="preserve">committed before the snapshot and its</w:t>
      </w:r>
      <w:r>
        <w:t xml:space="preserve"> </w:t>
      </w:r>
      <w:r>
        <w:rPr>
          <w:rStyle w:val="VerbatimChar"/>
        </w:rPr>
        <w:t xml:space="preserve">xmax</w:t>
      </w:r>
      <w:r>
        <w:t xml:space="preserve"> </w:t>
      </w:r>
      <w:r>
        <w:t xml:space="preserve">is empty, aborted or not yet visible to the snapshot [PostgreSQL Docs: Concurrency Control].</w:t>
      </w:r>
    </w:p>
    <w:p>
      <w:pPr>
        <w:pStyle w:val="BodyText"/>
      </w:pPr>
      <w:r>
        <w:t xml:space="preserve">Real output from PostgreSQL 16 after inserting a stock row and updating it twice (the</w:t>
      </w:r>
      <w:r>
        <w:t xml:space="preserve"> </w:t>
      </w:r>
      <w:r>
        <w:rPr>
          <w:rStyle w:val="VerbatimChar"/>
        </w:rPr>
        <w:t xml:space="preserve">pageinspect</w:t>
      </w:r>
      <w:r>
        <w:t xml:space="preserve"> </w:t>
      </w:r>
      <w:r>
        <w:t xml:space="preserve">extension shows raw page contents):</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stock </w:t>
      </w:r>
      <w:r>
        <w:rPr>
          <w:rStyle w:val="KeywordTok"/>
        </w:rPr>
        <w:t xml:space="preserve">VALUES</w:t>
      </w:r>
      <w:r>
        <w:rPr>
          <w:rStyle w:val="NormalTok"/>
        </w:rPr>
        <w:t xml:space="preserve"> (</w:t>
      </w:r>
      <w:r>
        <w:rPr>
          <w:rStyle w:val="DecValTok"/>
        </w:rPr>
        <w:t xml:space="preserve">42</w:t>
      </w:r>
      <w:r>
        <w:rPr>
          <w:rStyle w:val="NormalTok"/>
        </w:rPr>
        <w:t xml:space="preserve">, </w:t>
      </w:r>
      <w:r>
        <w:rPr>
          <w:rStyle w:val="DecValTok"/>
        </w:rPr>
        <w:t xml:space="preserve">10</w:t>
      </w:r>
      <w:r>
        <w:rPr>
          <w:rStyle w:val="NormalTok"/>
        </w:rPr>
        <w:t xml:space="preserve">);                          </w:t>
      </w:r>
      <w:r>
        <w:rPr>
          <w:rStyle w:val="CommentTok"/>
        </w:rPr>
        <w:t xml:space="preserve">-- transaction 993</w:t>
      </w:r>
      <w:r>
        <w:br/>
      </w:r>
      <w:r>
        <w:rPr>
          <w:rStyle w:val="KeywordTok"/>
        </w:rPr>
        <w:t xml:space="preserve">UPDATE</w:t>
      </w:r>
      <w:r>
        <w:rPr>
          <w:rStyle w:val="NormalTok"/>
        </w:rPr>
        <w:t xml:space="preserve"> stock </w:t>
      </w:r>
      <w:r>
        <w:rPr>
          <w:rStyle w:val="KeywordTok"/>
        </w:rPr>
        <w:t xml:space="preserve">SET</w:t>
      </w:r>
      <w:r>
        <w:rPr>
          <w:rStyle w:val="NormalTok"/>
        </w:rPr>
        <w:t xml:space="preserve"> on_hand </w:t>
      </w:r>
      <w:r>
        <w:rPr>
          <w:rStyle w:val="OperatorTok"/>
        </w:rPr>
        <w:t xml:space="preserve">=</w:t>
      </w:r>
      <w:r>
        <w:rPr>
          <w:rStyle w:val="NormalTok"/>
        </w:rPr>
        <w:t xml:space="preserve"> </w:t>
      </w:r>
      <w:r>
        <w:rPr>
          <w:rStyle w:val="DecValTok"/>
        </w:rPr>
        <w:t xml:space="preserve">9</w:t>
      </w:r>
      <w:r>
        <w:rPr>
          <w:rStyle w:val="NormalTok"/>
        </w:rPr>
        <w:t xml:space="preserve"> </w:t>
      </w:r>
      <w:r>
        <w:rPr>
          <w:rStyle w:val="KeywordTok"/>
        </w:rPr>
        <w:t xml:space="preserve">WHERE</w:t>
      </w:r>
      <w:r>
        <w:rPr>
          <w:rStyle w:val="NormalTok"/>
        </w:rPr>
        <w:t xml:space="preserve"> product_id </w:t>
      </w:r>
      <w:r>
        <w:rPr>
          <w:rStyle w:val="OperatorTok"/>
        </w:rPr>
        <w:t xml:space="preserve">=</w:t>
      </w:r>
      <w:r>
        <w:rPr>
          <w:rStyle w:val="NormalTok"/>
        </w:rPr>
        <w:t xml:space="preserve"> </w:t>
      </w:r>
      <w:r>
        <w:rPr>
          <w:rStyle w:val="DecValTok"/>
        </w:rPr>
        <w:t xml:space="preserve">42</w:t>
      </w:r>
      <w:r>
        <w:rPr>
          <w:rStyle w:val="NormalTok"/>
        </w:rPr>
        <w:t xml:space="preserve">;         </w:t>
      </w:r>
      <w:r>
        <w:rPr>
          <w:rStyle w:val="CommentTok"/>
        </w:rPr>
        <w:t xml:space="preserve">-- transaction 994</w:t>
      </w:r>
      <w:r>
        <w:br/>
      </w:r>
      <w:r>
        <w:rPr>
          <w:rStyle w:val="KeywordTok"/>
        </w:rPr>
        <w:t xml:space="preserve">UPDATE</w:t>
      </w:r>
      <w:r>
        <w:rPr>
          <w:rStyle w:val="NormalTok"/>
        </w:rPr>
        <w:t xml:space="preserve"> stock </w:t>
      </w:r>
      <w:r>
        <w:rPr>
          <w:rStyle w:val="KeywordTok"/>
        </w:rPr>
        <w:t xml:space="preserve">SET</w:t>
      </w:r>
      <w:r>
        <w:rPr>
          <w:rStyle w:val="NormalTok"/>
        </w:rPr>
        <w:t xml:space="preserve"> on_hand </w:t>
      </w:r>
      <w:r>
        <w:rPr>
          <w:rStyle w:val="OperatorTok"/>
        </w:rPr>
        <w:t xml:space="preserve">=</w:t>
      </w:r>
      <w:r>
        <w:rPr>
          <w:rStyle w:val="NormalTok"/>
        </w:rPr>
        <w:t xml:space="preserve"> </w:t>
      </w:r>
      <w:r>
        <w:rPr>
          <w:rStyle w:val="DecValTok"/>
        </w:rPr>
        <w:t xml:space="preserve">8</w:t>
      </w:r>
      <w:r>
        <w:rPr>
          <w:rStyle w:val="NormalTok"/>
        </w:rPr>
        <w:t xml:space="preserve"> </w:t>
      </w:r>
      <w:r>
        <w:rPr>
          <w:rStyle w:val="KeywordTok"/>
        </w:rPr>
        <w:t xml:space="preserve">WHERE</w:t>
      </w:r>
      <w:r>
        <w:rPr>
          <w:rStyle w:val="NormalTok"/>
        </w:rPr>
        <w:t xml:space="preserve"> product_id </w:t>
      </w:r>
      <w:r>
        <w:rPr>
          <w:rStyle w:val="OperatorTok"/>
        </w:rPr>
        <w:t xml:space="preserve">=</w:t>
      </w:r>
      <w:r>
        <w:rPr>
          <w:rStyle w:val="NormalTok"/>
        </w:rPr>
        <w:t xml:space="preserve"> </w:t>
      </w:r>
      <w:r>
        <w:rPr>
          <w:rStyle w:val="DecValTok"/>
        </w:rPr>
        <w:t xml:space="preserve">42</w:t>
      </w:r>
      <w:r>
        <w:rPr>
          <w:rStyle w:val="NormalTok"/>
        </w:rPr>
        <w:t xml:space="preserve">;         </w:t>
      </w:r>
      <w:r>
        <w:rPr>
          <w:rStyle w:val="CommentTok"/>
        </w:rPr>
        <w:t xml:space="preserve">-- transaction 995</w:t>
      </w:r>
      <w:r>
        <w:br/>
      </w:r>
      <w:r>
        <w:rPr>
          <w:rStyle w:val="KeywordTok"/>
        </w:rPr>
        <w:t xml:space="preserve">SELECT</w:t>
      </w:r>
      <w:r>
        <w:rPr>
          <w:rStyle w:val="NormalTok"/>
        </w:rPr>
        <w:t xml:space="preserve"> xmin, xmax, ctid, </w:t>
      </w:r>
      <w:r>
        <w:rPr>
          <w:rStyle w:val="OperatorTok"/>
        </w:rPr>
        <w:t xml:space="preserve">*</w:t>
      </w:r>
      <w:r>
        <w:rPr>
          <w:rStyle w:val="NormalTok"/>
        </w:rPr>
        <w:t xml:space="preserve"> </w:t>
      </w:r>
      <w:r>
        <w:rPr>
          <w:rStyle w:val="KeywordTok"/>
        </w:rPr>
        <w:t xml:space="preserve">FROM</w:t>
      </w:r>
      <w:r>
        <w:rPr>
          <w:rStyle w:val="NormalTok"/>
        </w:rPr>
        <w:t xml:space="preserve"> stock;                      </w:t>
      </w:r>
      <w:r>
        <w:rPr>
          <w:rStyle w:val="CommentTok"/>
        </w:rPr>
        <w:t xml:space="preserve">-- only the visible version</w:t>
      </w:r>
      <w:r>
        <w:br/>
      </w:r>
      <w:r>
        <w:rPr>
          <w:rStyle w:val="CommentTok"/>
        </w:rPr>
        <w:t xml:space="preserve">--  xmin | xmax | ctid  | product_id | on_hand</w:t>
      </w:r>
      <w:r>
        <w:br/>
      </w:r>
      <w:r>
        <w:rPr>
          <w:rStyle w:val="CommentTok"/>
        </w:rPr>
        <w:t xml:space="preserve">--   995 |    0 | (0,3) |         42 |       8</w:t>
      </w:r>
      <w:r>
        <w:br/>
      </w:r>
      <w:r>
        <w:rPr>
          <w:rStyle w:val="KeywordTok"/>
        </w:rPr>
        <w:t xml:space="preserve">SELECT</w:t>
      </w:r>
      <w:r>
        <w:rPr>
          <w:rStyle w:val="NormalTok"/>
        </w:rPr>
        <w:t xml:space="preserve"> lp, t_xmin, t_xmax, t_ctid </w:t>
      </w:r>
      <w:r>
        <w:rPr>
          <w:rStyle w:val="KeywordTok"/>
        </w:rPr>
        <w:t xml:space="preserve">FROM</w:t>
      </w:r>
      <w:r>
        <w:rPr>
          <w:rStyle w:val="NormalTok"/>
        </w:rPr>
        <w:t xml:space="preserve"> heap_page_items(get_raw_page(</w:t>
      </w:r>
      <w:r>
        <w:rPr>
          <w:rStyle w:val="StringTok"/>
        </w:rPr>
        <w:t xml:space="preserve">'stock'</w:t>
      </w:r>
      <w:r>
        <w:rPr>
          <w:rStyle w:val="NormalTok"/>
        </w:rPr>
        <w:t xml:space="preserve">, </w:t>
      </w:r>
      <w:r>
        <w:rPr>
          <w:rStyle w:val="DecValTok"/>
        </w:rPr>
        <w:t xml:space="preserve">0</w:t>
      </w:r>
      <w:r>
        <w:rPr>
          <w:rStyle w:val="NormalTok"/>
        </w:rPr>
        <w:t xml:space="preserve">));</w:t>
      </w:r>
      <w:r>
        <w:br/>
      </w:r>
      <w:r>
        <w:rPr>
          <w:rStyle w:val="CommentTok"/>
        </w:rPr>
        <w:t xml:space="preserve">--  lp | t_xmin | t_xmax | t_ctid</w:t>
      </w:r>
      <w:r>
        <w:br/>
      </w:r>
      <w:r>
        <w:rPr>
          <w:rStyle w:val="CommentTok"/>
        </w:rPr>
        <w:t xml:space="preserve">--   1 |    993 |    994 | (0,2)</w:t>
      </w:r>
      <w:r>
        <w:br/>
      </w:r>
      <w:r>
        <w:rPr>
          <w:rStyle w:val="CommentTok"/>
        </w:rPr>
        <w:t xml:space="preserve">--   2 |    994 |    995 | (0,3)</w:t>
      </w:r>
      <w:r>
        <w:br/>
      </w:r>
      <w:r>
        <w:rPr>
          <w:rStyle w:val="CommentTok"/>
        </w:rPr>
        <w:t xml:space="preserve">--   3 |    995 |      0 | (0,3)</w:t>
      </w:r>
    </w:p>
    <w:p>
      <w:pPr>
        <w:pStyle w:val="FirstParagraph"/>
      </w:pPr>
      <w:r>
        <w:rPr>
          <w:bCs/>
          <w:b/>
        </w:rPr>
        <w:t xml:space="preserve">Figure 11.9 — PostgreSQL version chain for product 42.</w:t>
      </w:r>
    </w:p>
    <w:p>
      <w:pPr>
        <w:pStyle w:val="BodyText"/>
      </w:pPr>
      <w:r>
        <w:drawing>
          <wp:inline>
            <wp:extent cx="5334000" cy="1029444"/>
            <wp:effectExtent b="0" l="0" r="0" t="0"/>
            <wp:docPr descr="" title="" id="1272" name="Picture"/>
            <a:graphic>
              <a:graphicData uri="http://schemas.openxmlformats.org/drawingml/2006/picture">
                <pic:pic>
                  <pic:nvPicPr>
                    <pic:cNvPr descr="/home/user/System-Design/build/.cache/diagrams/ebb5d6901e3a.png" id="1273" name="Picture"/>
                    <pic:cNvPicPr>
                      <a:picLocks noChangeArrowheads="1" noChangeAspect="1"/>
                    </pic:cNvPicPr>
                  </pic:nvPicPr>
                  <pic:blipFill>
                    <a:blip r:embed="rId1271"/>
                    <a:stretch>
                      <a:fillRect/>
                    </a:stretch>
                  </pic:blipFill>
                  <pic:spPr bwMode="auto">
                    <a:xfrm>
                      <a:off x="0" y="0"/>
                      <a:ext cx="5334000" cy="1029444"/>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All three versions sit in heap page 0. The updates changed no indexed column and the page had room, so they were</w:t>
      </w:r>
      <w:r>
        <w:t xml:space="preserve"> </w:t>
      </w:r>
      <w:r>
        <w:rPr>
          <w:bCs/>
          <w:b/>
        </w:rPr>
        <w:t xml:space="preserve">heap-only tuple (HOT)</w:t>
      </w:r>
      <w:r>
        <w:t xml:space="preserve"> </w:t>
      </w:r>
      <w:r>
        <w:t xml:space="preserve">updates: the index still points to line pointer 1 and readers follow</w:t>
      </w:r>
      <w:r>
        <w:t xml:space="preserve"> </w:t>
      </w:r>
      <w:r>
        <w:rPr>
          <w:rStyle w:val="VerbatimChar"/>
        </w:rPr>
        <w:t xml:space="preserve">t_ctid</w:t>
      </w:r>
      <w:r>
        <w:t xml:space="preserve"> </w:t>
      </w:r>
      <w:r>
        <w:t xml:space="preserve">links to the version their snapshot can see (dotted arrows show visibility, not messages). On the real page, VACUUM turned line pointer 1 into a redirect to 3 and freed 2. Failure point: a long-running transaction pins an old snapshot, so VACUUM cannot clean dead versions in any table and tables bloat. Scaling: an update that changes an indexed column or finds the page full is not HOT, and every index gets a new entry.</w:t>
      </w:r>
    </w:p>
    <w:p>
      <w:pPr>
        <w:pStyle w:val="BodyText"/>
      </w:pPr>
      <w:r>
        <w:rPr>
          <w:bCs/>
          <w:b/>
        </w:rPr>
        <w:t xml:space="preserve">VACUUM</w:t>
      </w:r>
      <w:r>
        <w:t xml:space="preserve"> </w:t>
      </w:r>
      <w:r>
        <w:t xml:space="preserve">(run automatically by</w:t>
      </w:r>
      <w:r>
        <w:t xml:space="preserve"> </w:t>
      </w:r>
      <w:r>
        <w:rPr>
          <w:bCs/>
          <w:b/>
        </w:rPr>
        <w:t xml:space="preserve">autovacuum</w:t>
      </w:r>
      <w:r>
        <w:t xml:space="preserve">) removes dead versions, records free space for reuse, updates the</w:t>
      </w:r>
      <w:r>
        <w:t xml:space="preserve"> </w:t>
      </w:r>
      <w:r>
        <w:rPr>
          <w:bCs/>
          <w:b/>
        </w:rPr>
        <w:t xml:space="preserve">visibility map</w:t>
      </w:r>
      <w:r>
        <w:t xml:space="preserve"> </w:t>
      </w:r>
      <w:r>
        <w:t xml:space="preserve">that index-only scans rely on (§11.7.4), and</w:t>
      </w:r>
      <w:r>
        <w:t xml:space="preserve"> </w:t>
      </w:r>
      <w:r>
        <w:rPr>
          <w:bCs/>
          <w:b/>
        </w:rPr>
        <w:t xml:space="preserve">freezes</w:t>
      </w:r>
      <w:r>
        <w:t xml:space="preserve"> </w:t>
      </w:r>
      <w:r>
        <w:t xml:space="preserve">old tuples. Freezing matters because transaction IDs are 32-bit counters compared with wrap-around arithmetic: only about</w:t>
      </w:r>
      <w:r>
        <w:t xml:space="preserve"> </w:t>
      </w:r>
      <m:oMath>
        <m:sSup>
          <m:e>
            <m:r>
              <m:t>2</m:t>
            </m:r>
          </m:e>
          <m:sup>
            <m:r>
              <m:t>31</m:t>
            </m:r>
          </m:sup>
        </m:sSup>
      </m:oMath>
      <w:r>
        <w:t xml:space="preserve"> </w:t>
      </w:r>
      <w:r>
        <w:t xml:space="preserve">IDs are</w:t>
      </w:r>
      <w:r>
        <w:t xml:space="preserve"> </w:t>
      </w:r>
      <w:r>
        <w:t xml:space="preserve">“</w:t>
      </w:r>
      <w:r>
        <w:t xml:space="preserve">in the past</w:t>
      </w:r>
      <w:r>
        <w:t xml:space="preserve">”</w:t>
      </w:r>
      <w:r>
        <w:t xml:space="preserve"> </w:t>
      </w:r>
      <w:r>
        <w:t xml:space="preserve">at any moment. A tuple must be frozen (marked as visible to everyone) before its</w:t>
      </w:r>
      <w:r>
        <w:t xml:space="preserve"> </w:t>
      </w:r>
      <w:r>
        <w:rPr>
          <w:rStyle w:val="VerbatimChar"/>
        </w:rPr>
        <w:t xml:space="preserve">xmin</w:t>
      </w:r>
      <w:r>
        <w:t xml:space="preserve"> </w:t>
      </w:r>
      <w:r>
        <w:t xml:space="preserve">becomes 2 billion transactions old, or it would appear to be in the future [PostgreSQL Docs: Routine Vacuuming].</w:t>
      </w:r>
    </w:p>
    <w:p>
      <w:pPr>
        <w:pStyle w:val="CalloutFormula"/>
      </w:pPr>
      <w:r>
        <w:rPr>
          <w:bCs/>
          <w:b/>
        </w:rPr>
        <w:t xml:space="preserve">FORMULA</w:t>
      </w:r>
    </w:p>
    <w:p>
      <w:pPr>
        <w:pStyle w:val="CalloutFormula"/>
      </w:pPr>
      <w:r>
        <w:rPr>
          <w:bCs/>
          <w:b/>
        </w:rPr>
        <w:t xml:space="preserve">Time until transaction-ID wraparound</w:t>
      </w:r>
    </w:p>
    <w:p>
      <w:pPr>
        <w:pStyle w:val="CalloutFormula"/>
      </w:pPr>
      <m:oMathPara>
        <m:oMathParaPr>
          <m:jc m:val="center"/>
        </m:oMathParaPr>
        <m:oMath>
          <m:sSub>
            <m:e>
              <m:r>
                <m:t>T</m:t>
              </m:r>
            </m:e>
            <m:sub>
              <m:r>
                <m:rPr>
                  <m:nor/>
                  <m:sty m:val="p"/>
                </m:rPr>
                <m:t>wrap</m:t>
              </m:r>
            </m:sub>
          </m:sSub>
          <m:r>
            <m:rPr>
              <m:sty m:val="p"/>
            </m:rPr>
            <m:t>=</m:t>
          </m:r>
          <m:f>
            <m:fPr>
              <m:type m:val="bar"/>
            </m:fPr>
            <m:num>
              <m:sSup>
                <m:e>
                  <m:r>
                    <m:t>2</m:t>
                  </m:r>
                </m:e>
                <m:sup>
                  <m:r>
                    <m:t>31</m:t>
                  </m:r>
                </m:sup>
              </m:sSup>
              <m:r>
                <m:rPr>
                  <m:sty m:val="p"/>
                </m:rPr>
                <m:t>−</m:t>
              </m:r>
              <m:r>
                <m:t>A</m:t>
              </m:r>
            </m:num>
            <m:den>
              <m:sSub>
                <m:e>
                  <m:r>
                    <m:t>λ</m:t>
                  </m:r>
                </m:e>
                <m:sub>
                  <m:r>
                    <m:rPr>
                      <m:nor/>
                      <m:sty m:val="p"/>
                    </m:rPr>
                    <m:t>xid</m:t>
                  </m:r>
                </m:sub>
              </m:sSub>
            </m:den>
          </m:f>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T</m:t>
                  </m:r>
                </m:e>
                <m:sub>
                  <m:r>
                    <m:rPr>
                      <m:nor/>
                      <m:sty m:val="p"/>
                    </m:rPr>
                    <m:t>wrap</m:t>
                  </m:r>
                </m:sub>
              </m:sSub>
            </m:oMath>
          </w:p>
        </w:tc>
        <w:tc>
          <w:tcPr/>
          <w:p>
            <w:pPr>
              <w:pStyle w:val="Compact"/>
              <w:jc w:val="left"/>
            </w:pPr>
            <w:r>
              <w:t xml:space="preserve">Time until PostgreSQL must stop assigning transaction IDs</w:t>
            </w:r>
          </w:p>
        </w:tc>
        <w:tc>
          <w:tcPr/>
          <w:p>
            <w:pPr>
              <w:pStyle w:val="Compact"/>
              <w:jc w:val="left"/>
            </w:pPr>
            <w:r>
              <w:t xml:space="preserve">seconds</w:t>
            </w:r>
          </w:p>
        </w:tc>
      </w:tr>
      <w:tr>
        <w:tc>
          <w:tcPr/>
          <w:p>
            <w:pPr>
              <w:pStyle w:val="Compact"/>
              <w:jc w:val="left"/>
            </w:pPr>
            <m:oMath>
              <m:r>
                <m:t>A</m:t>
              </m:r>
            </m:oMath>
          </w:p>
        </w:tc>
        <w:tc>
          <w:tcPr/>
          <w:p>
            <w:pPr>
              <w:pStyle w:val="Compact"/>
              <w:jc w:val="left"/>
            </w:pPr>
            <w:r>
              <w:t xml:space="preserve">Current age of the oldest unfrozen transaction ID in the database</w:t>
            </w:r>
          </w:p>
        </w:tc>
        <w:tc>
          <w:tcPr/>
          <w:p>
            <w:pPr>
              <w:pStyle w:val="Compact"/>
              <w:jc w:val="left"/>
            </w:pPr>
            <w:r>
              <w:t xml:space="preserve">transactions</w:t>
            </w:r>
          </w:p>
        </w:tc>
      </w:tr>
      <w:tr>
        <w:tc>
          <w:tcPr/>
          <w:p>
            <w:pPr>
              <w:pStyle w:val="Compact"/>
              <w:jc w:val="left"/>
            </w:pPr>
            <m:oMath>
              <m:sSub>
                <m:e>
                  <m:r>
                    <m:t>λ</m:t>
                  </m:r>
                </m:e>
                <m:sub>
                  <m:r>
                    <m:rPr>
                      <m:nor/>
                      <m:sty m:val="p"/>
                    </m:rPr>
                    <m:t>xid</m:t>
                  </m:r>
                </m:sub>
              </m:sSub>
            </m:oMath>
          </w:p>
        </w:tc>
        <w:tc>
          <w:tcPr/>
          <w:p>
            <w:pPr>
              <w:pStyle w:val="Compact"/>
              <w:jc w:val="left"/>
            </w:pPr>
            <w:r>
              <w:t xml:space="preserve">Rate of transactions that write (read-only transactions consume no ID)</w:t>
            </w:r>
          </w:p>
        </w:tc>
        <w:tc>
          <w:tcPr/>
          <w:p>
            <w:pPr>
              <w:pStyle w:val="Compact"/>
              <w:jc w:val="left"/>
            </w:pPr>
            <w:r>
              <w:t xml:space="preserve">transactions/second</w:t>
            </w:r>
          </w:p>
        </w:tc>
      </w:tr>
    </w:tbl>
    <w:p>
      <w:pPr>
        <w:pStyle w:val="CalloutExample"/>
      </w:pPr>
      <w:r>
        <w:rPr>
          <w:bCs/>
          <w:b/>
        </w:rPr>
        <w:t xml:space="preserve">WORKED EXAMPLE</w:t>
      </w:r>
    </w:p>
    <w:p>
      <w:pPr>
        <w:pStyle w:val="CalloutExample"/>
      </w:pPr>
      <w:r>
        <w:rPr>
          <w:bCs/>
          <w:b/>
        </w:rPr>
        <w:t xml:space="preserve">Worked example — How long can freezing be blocked?</w:t>
      </w:r>
      <w:r>
        <w:t xml:space="preserve"> </w:t>
      </w:r>
      <w:r>
        <w:t xml:space="preserve">A shop database commits</w:t>
      </w:r>
      <w:r>
        <w:t xml:space="preserve"> </w:t>
      </w:r>
      <m:oMath>
        <m:sSub>
          <m:e>
            <m:r>
              <m:t>λ</m:t>
            </m:r>
          </m:e>
          <m:sub>
            <m:r>
              <m:rPr>
                <m:nor/>
                <m:sty m:val="p"/>
              </m:rPr>
              <m:t>xid</m:t>
            </m:r>
          </m:sub>
        </m:sSub>
        <m:r>
          <m:rPr>
            <m:sty m:val="p"/>
          </m:rPr>
          <m:t>=</m:t>
        </m:r>
        <m:r>
          <m:t>5</m:t>
        </m:r>
        <m:r>
          <m:rPr>
            <m:sty m:val="p"/>
          </m:rPr>
          <m:t>,</m:t>
        </m:r>
        <m:r>
          <m:t>000</m:t>
        </m:r>
      </m:oMath>
      <w:r>
        <w:t xml:space="preserve"> </w:t>
      </w:r>
      <w:r>
        <w:t xml:space="preserve">writing transactions per second. Autovacuum normally forces an anti-wraparound vacuum once a table’s oldest ID reaches</w:t>
      </w:r>
      <w:r>
        <w:t xml:space="preserve"> </w:t>
      </w:r>
      <w:r>
        <w:rPr>
          <w:rStyle w:val="VerbatimChar"/>
        </w:rPr>
        <w:t xml:space="preserve">autovacuum_freeze_max_age</w:t>
      </w:r>
      <w:r>
        <w:t xml:space="preserve"> </w:t>
      </w:r>
      <w:r>
        <w:t xml:space="preserve">= 200 million (the default).</w:t>
      </w:r>
    </w:p>
    <w:p>
      <w:pPr>
        <w:numPr>
          <w:ilvl w:val="0"/>
          <w:numId w:val="1386"/>
        </w:numPr>
        <w:pStyle w:val="Compact"/>
      </w:pPr>
      <w:r>
        <w:t xml:space="preserve">Time to reach the forced-vacuum threshold from zero:</w:t>
      </w:r>
      <w:r>
        <w:t xml:space="preserve"> </w:t>
      </w:r>
      <m:oMath>
        <m:r>
          <m:t>2</m:t>
        </m:r>
        <m:r>
          <m:rPr>
            <m:sty m:val="p"/>
          </m:rPr>
          <m:t>×</m:t>
        </m:r>
        <m:sSup>
          <m:e>
            <m:r>
              <m:t>10</m:t>
            </m:r>
          </m:e>
          <m:sup>
            <m:r>
              <m:t>8</m:t>
            </m:r>
          </m:sup>
        </m:sSup>
        <m:r>
          <m:rPr>
            <m:sty m:val="p"/>
          </m:rPr>
          <m:t>/</m:t>
        </m:r>
        <m:r>
          <m:t>5</m:t>
        </m:r>
        <m:r>
          <m:rPr>
            <m:sty m:val="p"/>
          </m:rPr>
          <m:t>,</m:t>
        </m:r>
        <m:r>
          <m:t>000</m:t>
        </m:r>
        <m:r>
          <m:rPr>
            <m:sty m:val="p"/>
          </m:rPr>
          <m:t>=</m:t>
        </m:r>
        <m:r>
          <m:t>40</m:t>
        </m:r>
        <m:r>
          <m:rPr>
            <m:sty m:val="p"/>
          </m:rPr>
          <m:t>,</m:t>
        </m:r>
        <m:r>
          <m:t>000</m:t>
        </m:r>
      </m:oMath>
      <w:r>
        <w:t xml:space="preserve"> </w:t>
      </w:r>
      <w:r>
        <w:t xml:space="preserve">s, about 11 hours.</w:t>
      </w:r>
    </w:p>
    <w:p>
      <w:pPr>
        <w:numPr>
          <w:ilvl w:val="0"/>
          <w:numId w:val="1386"/>
        </w:numPr>
        <w:pStyle w:val="Compact"/>
      </w:pPr>
      <w:r>
        <w:t xml:space="preserve">Suppose a forgotten idle transaction blocks freezing at age</w:t>
      </w:r>
      <w:r>
        <w:t xml:space="preserve"> </w:t>
      </w:r>
      <m:oMath>
        <m:r>
          <m:t>A</m:t>
        </m:r>
        <m:r>
          <m:rPr>
            <m:sty m:val="p"/>
          </m:rPr>
          <m:t>=</m:t>
        </m:r>
        <m:r>
          <m:t>2</m:t>
        </m:r>
        <m:r>
          <m:rPr>
            <m:sty m:val="p"/>
          </m:rPr>
          <m:t>×</m:t>
        </m:r>
        <m:sSup>
          <m:e>
            <m:r>
              <m:t>10</m:t>
            </m:r>
          </m:e>
          <m:sup>
            <m:r>
              <m:t>8</m:t>
            </m:r>
          </m:sup>
        </m:sSup>
      </m:oMath>
      <w:r>
        <w:t xml:space="preserve">. Remaining headroom:</w:t>
      </w:r>
      <w:r>
        <w:t xml:space="preserve"> </w:t>
      </w:r>
      <m:oMath>
        <m:sSup>
          <m:e>
            <m:r>
              <m:t>2</m:t>
            </m:r>
          </m:e>
          <m:sup>
            <m:r>
              <m:t>31</m:t>
            </m:r>
          </m:sup>
        </m:sSup>
        <m:r>
          <m:rPr>
            <m:sty m:val="p"/>
          </m:rPr>
          <m:t>−</m:t>
        </m:r>
        <m:r>
          <m:t>2</m:t>
        </m:r>
        <m:r>
          <m:rPr>
            <m:sty m:val="p"/>
          </m:rPr>
          <m:t>×</m:t>
        </m:r>
        <m:sSup>
          <m:e>
            <m:r>
              <m:t>10</m:t>
            </m:r>
          </m:e>
          <m:sup>
            <m:r>
              <m:t>8</m:t>
            </m:r>
          </m:sup>
        </m:sSup>
        <m:r>
          <m:rPr>
            <m:sty m:val="p"/>
          </m:rPr>
          <m:t>=</m:t>
        </m:r>
        <m:r>
          <m:t>2</m:t>
        </m:r>
        <m:r>
          <m:rPr>
            <m:sty m:val="p"/>
          </m:rPr>
          <m:t>,</m:t>
        </m:r>
        <m:r>
          <m:t>147</m:t>
        </m:r>
        <m:r>
          <m:rPr>
            <m:sty m:val="p"/>
          </m:rPr>
          <m:t>,</m:t>
        </m:r>
        <m:r>
          <m:t>483</m:t>
        </m:r>
        <m:r>
          <m:rPr>
            <m:sty m:val="p"/>
          </m:rPr>
          <m:t>,</m:t>
        </m:r>
        <m:r>
          <m:t>648</m:t>
        </m:r>
        <m:r>
          <m:rPr>
            <m:sty m:val="p"/>
          </m:rPr>
          <m:t>−</m:t>
        </m:r>
        <m:r>
          <m:t>200</m:t>
        </m:r>
        <m:r>
          <m:rPr>
            <m:sty m:val="p"/>
          </m:rPr>
          <m:t>,</m:t>
        </m:r>
        <m:r>
          <m:t>000</m:t>
        </m:r>
        <m:r>
          <m:rPr>
            <m:sty m:val="p"/>
          </m:rPr>
          <m:t>,</m:t>
        </m:r>
        <m:r>
          <m:t>000</m:t>
        </m:r>
        <m:r>
          <m:rPr>
            <m:sty m:val="p"/>
          </m:rPr>
          <m:t>≈</m:t>
        </m:r>
        <m:r>
          <m:t>1.95</m:t>
        </m:r>
        <m:r>
          <m:rPr>
            <m:sty m:val="p"/>
          </m:rPr>
          <m:t>×</m:t>
        </m:r>
        <m:sSup>
          <m:e>
            <m:r>
              <m:t>10</m:t>
            </m:r>
          </m:e>
          <m:sup>
            <m:r>
              <m:t>9</m:t>
            </m:r>
          </m:sup>
        </m:sSup>
      </m:oMath>
      <w:r>
        <w:t xml:space="preserve">.</w:t>
      </w:r>
    </w:p>
    <w:p>
      <w:pPr>
        <w:numPr>
          <w:ilvl w:val="0"/>
          <w:numId w:val="1386"/>
        </w:numPr>
        <w:pStyle w:val="Compact"/>
      </w:pPr>
      <m:oMath>
        <m:sSub>
          <m:e>
            <m:r>
              <m:t>T</m:t>
            </m:r>
          </m:e>
          <m:sub>
            <m:r>
              <m:rPr>
                <m:nor/>
                <m:sty m:val="p"/>
              </m:rPr>
              <m:t>wrap</m:t>
            </m:r>
          </m:sub>
        </m:sSub>
        <m:r>
          <m:rPr>
            <m:sty m:val="p"/>
          </m:rPr>
          <m:t>=</m:t>
        </m:r>
        <m:r>
          <m:t>1.95</m:t>
        </m:r>
        <m:r>
          <m:rPr>
            <m:sty m:val="p"/>
          </m:rPr>
          <m:t>×</m:t>
        </m:r>
        <m:sSup>
          <m:e>
            <m:r>
              <m:t>10</m:t>
            </m:r>
          </m:e>
          <m:sup>
            <m:r>
              <m:t>9</m:t>
            </m:r>
          </m:sup>
        </m:sSup>
        <m:r>
          <m:rPr>
            <m:sty m:val="p"/>
          </m:rPr>
          <m:t>/</m:t>
        </m:r>
        <m:r>
          <m:t>5</m:t>
        </m:r>
        <m:r>
          <m:rPr>
            <m:sty m:val="p"/>
          </m:rPr>
          <m:t>,</m:t>
        </m:r>
        <m:r>
          <m:t>000</m:t>
        </m:r>
        <m:r>
          <m:rPr>
            <m:sty m:val="p"/>
          </m:rPr>
          <m:t>=</m:t>
        </m:r>
        <m:r>
          <m:t>389</m:t>
        </m:r>
        <m:r>
          <m:rPr>
            <m:sty m:val="p"/>
          </m:rPr>
          <m:t>,</m:t>
        </m:r>
        <m:r>
          <m:t>497</m:t>
        </m:r>
      </m:oMath>
      <w:r>
        <w:t xml:space="preserve"> </w:t>
      </w:r>
      <w:r>
        <w:t xml:space="preserve">s, about 4.5 days.</w:t>
      </w:r>
    </w:p>
    <w:p>
      <w:pPr>
        <w:pStyle w:val="CalloutExample"/>
      </w:pPr>
      <w:r>
        <w:rPr>
          <w:bCs/>
          <w:b/>
        </w:rPr>
        <w:t xml:space="preserve">Interpretation.</w:t>
      </w:r>
      <w:r>
        <w:t xml:space="preserve"> </w:t>
      </w:r>
      <w:r>
        <w:t xml:space="preserve">A busy database burns through its safety margin in days, not years. As it approaches the limit PostgreSQL emits warnings and eventually refuses new writing transactions until a vacuum completes.</w:t>
      </w:r>
      <w:r>
        <w:t xml:space="preserve"> </w:t>
      </w:r>
      <w:r>
        <w:rPr>
          <w:bCs/>
          <w:b/>
        </w:rPr>
        <w:t xml:space="preserve">Engineering implication.</w:t>
      </w:r>
      <w:r>
        <w:t xml:space="preserve"> </w:t>
      </w:r>
      <w:r>
        <w:t xml:space="preserve">Alert on</w:t>
      </w:r>
      <w:r>
        <w:t xml:space="preserve"> </w:t>
      </w:r>
      <w:r>
        <w:rPr>
          <w:rStyle w:val="VerbatimChar"/>
        </w:rPr>
        <w:t xml:space="preserve">age(datfrozenxid)</w:t>
      </w:r>
      <w:r>
        <w:t xml:space="preserve"> </w:t>
      </w:r>
      <w:r>
        <w:t xml:space="preserve">and on transactions open longer than a few minutes (</w:t>
      </w:r>
      <w:r>
        <w:rPr>
          <w:rStyle w:val="VerbatimChar"/>
        </w:rPr>
        <w:t xml:space="preserve">pg_stat_activity.xact_start</w:t>
      </w:r>
      <w:r>
        <w:t xml:space="preserve">), and never leave sessions</w:t>
      </w:r>
      <w:r>
        <w:t xml:space="preserve"> </w:t>
      </w:r>
      <w:r>
        <w:t xml:space="preserve">“</w:t>
      </w:r>
      <w:r>
        <w:t xml:space="preserve">idle in transaction</w:t>
      </w:r>
      <w:r>
        <w:t xml:space="preserve">”</w:t>
      </w:r>
      <w:r>
        <w:t xml:space="preserve"> </w:t>
      </w:r>
      <w:r>
        <w:t xml:space="preserve">(</w:t>
      </w:r>
      <w:r>
        <w:rPr>
          <w:rStyle w:val="VerbatimChar"/>
        </w:rPr>
        <w:t xml:space="preserve">idle_in_transaction_session_timeout</w:t>
      </w:r>
      <w:r>
        <w:t xml:space="preserve">).</w:t>
      </w:r>
    </w:p>
    <w:p>
      <w:pPr>
        <w:pStyle w:val="CalloutIndustry"/>
      </w:pPr>
      <w:r>
        <w:rPr>
          <w:bCs/>
          <w:b/>
        </w:rPr>
        <w:t xml:space="preserve">INDUSTRY EXAMPLE</w:t>
      </w:r>
    </w:p>
    <w:p>
      <w:pPr>
        <w:pStyle w:val="CalloutIndustry"/>
      </w:pPr>
      <w:r>
        <w:rPr>
          <w:bCs/>
          <w:b/>
        </w:rPr>
        <w:t xml:space="preserve">Sentry — transaction ID wraparound outage.</w:t>
      </w:r>
      <w:r>
        <w:t xml:space="preserve"> </w:t>
      </w:r>
      <w:r>
        <w:t xml:space="preserve">Sentry published a postmortem of an outage in which its PostgreSQL database stopped accepting writes to prevent transaction ID wraparound, and service returned only after vacuuming. The lesson: in PostgreSQL, vacuum is part of the write path’s capacity budget, not optional maintenance.</w:t>
      </w:r>
      <w:r>
        <w:t xml:space="preserve"> </w:t>
      </w:r>
      <w:r>
        <w:rPr>
          <w:iCs/>
          <w:i/>
        </w:rPr>
        <w:t xml:space="preserve">Evidence: Primary</w:t>
      </w:r>
      <w:r>
        <w:t xml:space="preserve"> </w:t>
      </w:r>
      <w:r>
        <w:t xml:space="preserve">— [Sentry 2015]</w:t>
      </w:r>
    </w:p>
    <w:bookmarkEnd w:id="1274"/>
    <w:bookmarkStart w:id="1278" w:name="X922cf896b9aef861051e834eea8067adc8cab33"/>
    <w:p>
      <w:pPr>
        <w:pStyle w:val="Heading3"/>
      </w:pPr>
      <w:r>
        <w:t xml:space="preserve">11.14.3 InnoDB: update in place, old versions in the undo log</w:t>
      </w:r>
    </w:p>
    <w:p>
      <w:pPr>
        <w:pStyle w:val="FirstParagraph"/>
      </w:pPr>
      <w:r>
        <w:t xml:space="preserve">InnoDB updates the row</w:t>
      </w:r>
      <w:r>
        <w:t xml:space="preserve"> </w:t>
      </w:r>
      <w:r>
        <w:rPr>
          <w:iCs/>
          <w:i/>
        </w:rPr>
        <w:t xml:space="preserve">in place</w:t>
      </w:r>
      <w:r>
        <w:t xml:space="preserve"> </w:t>
      </w:r>
      <w:r>
        <w:t xml:space="preserve">in the clustered index and writes the</w:t>
      </w:r>
      <w:r>
        <w:t xml:space="preserve"> </w:t>
      </w:r>
      <w:r>
        <w:rPr>
          <w:iCs/>
          <w:i/>
        </w:rPr>
        <w:t xml:space="preserve">previous</w:t>
      </w:r>
      <w:r>
        <w:t xml:space="preserve"> </w:t>
      </w:r>
      <w:r>
        <w:t xml:space="preserve">values to an</w:t>
      </w:r>
      <w:r>
        <w:t xml:space="preserve"> </w:t>
      </w:r>
      <w:r>
        <w:rPr>
          <w:bCs/>
          <w:b/>
        </w:rPr>
        <w:t xml:space="preserve">undo log</w:t>
      </w:r>
      <w:r>
        <w:t xml:space="preserve"> </w:t>
      </w:r>
      <w:r>
        <w:t xml:space="preserve">record. Each clustered-index record has hidden columns</w:t>
      </w:r>
      <w:r>
        <w:t xml:space="preserve"> </w:t>
      </w:r>
      <w:r>
        <w:rPr>
          <w:rStyle w:val="VerbatimChar"/>
        </w:rPr>
        <w:t xml:space="preserve">DB_TRX_ID</w:t>
      </w:r>
      <w:r>
        <w:t xml:space="preserve"> </w:t>
      </w:r>
      <w:r>
        <w:t xml:space="preserve">(the last transaction to modify it, 6 bytes) and</w:t>
      </w:r>
      <w:r>
        <w:t xml:space="preserve"> </w:t>
      </w:r>
      <w:r>
        <w:rPr>
          <w:rStyle w:val="VerbatimChar"/>
        </w:rPr>
        <w:t xml:space="preserve">DB_ROLL_PTR</w:t>
      </w:r>
      <w:r>
        <w:t xml:space="preserve"> </w:t>
      </w:r>
      <w:r>
        <w:t xml:space="preserve">(a pointer to the undo record holding the previous version, 7 bytes). A consistent read creates a</w:t>
      </w:r>
      <w:r>
        <w:t xml:space="preserve"> </w:t>
      </w:r>
      <w:r>
        <w:rPr>
          <w:bCs/>
          <w:b/>
        </w:rPr>
        <w:t xml:space="preserve">read view</w:t>
      </w:r>
      <w:r>
        <w:t xml:space="preserve"> </w:t>
      </w:r>
      <w:r>
        <w:t xml:space="preserve">(the set of transactions it must not see); if the current row is too new, InnoDB follows the roll pointers backwards, reconstructing older versions until it reaches a visible one. A background</w:t>
      </w:r>
      <w:r>
        <w:t xml:space="preserve"> </w:t>
      </w:r>
      <w:r>
        <w:rPr>
          <w:bCs/>
          <w:b/>
        </w:rPr>
        <w:t xml:space="preserve">purge</w:t>
      </w:r>
      <w:r>
        <w:t xml:space="preserve"> </w:t>
      </w:r>
      <w:r>
        <w:t xml:space="preserve">thread discards undo records no read view needs; the backlog appears as the</w:t>
      </w:r>
      <w:r>
        <w:t xml:space="preserve"> </w:t>
      </w:r>
      <w:r>
        <w:rPr>
          <w:bCs/>
          <w:b/>
        </w:rPr>
        <w:t xml:space="preserve">history list length</w:t>
      </w:r>
      <w:r>
        <w:t xml:space="preserve"> </w:t>
      </w:r>
      <w:r>
        <w:t xml:space="preserve">in</w:t>
      </w:r>
      <w:r>
        <w:t xml:space="preserve"> </w:t>
      </w:r>
      <w:r>
        <w:rPr>
          <w:rStyle w:val="VerbatimChar"/>
        </w:rPr>
        <w:t xml:space="preserve">SHOW ENGINE INNODB STATUS</w:t>
      </w:r>
      <w:r>
        <w:t xml:space="preserve"> </w:t>
      </w:r>
      <w:r>
        <w:t xml:space="preserve">[MySQL Docs: InnoDB Multi-Versioning].</w:t>
      </w:r>
    </w:p>
    <w:p>
      <w:pPr>
        <w:pStyle w:val="BodyText"/>
      </w:pPr>
      <w:r>
        <w:rPr>
          <w:bCs/>
          <w:b/>
        </w:rPr>
        <w:t xml:space="preserve">Figure 11.10 — InnoDB current row and undo chain for product 42.</w:t>
      </w:r>
    </w:p>
    <w:p>
      <w:pPr>
        <w:pStyle w:val="BodyText"/>
      </w:pPr>
      <w:r>
        <w:drawing>
          <wp:inline>
            <wp:extent cx="5334000" cy="1176241"/>
            <wp:effectExtent b="0" l="0" r="0" t="0"/>
            <wp:docPr descr="" title="" id="1276" name="Picture"/>
            <a:graphic>
              <a:graphicData uri="http://schemas.openxmlformats.org/drawingml/2006/picture">
                <pic:pic>
                  <pic:nvPicPr>
                    <pic:cNvPr descr="/home/user/System-Design/build/.cache/diagrams/d8c55d78b7fc.png" id="1277" name="Picture"/>
                    <pic:cNvPicPr>
                      <a:picLocks noChangeArrowheads="1" noChangeAspect="1"/>
                    </pic:cNvPicPr>
                  </pic:nvPicPr>
                  <pic:blipFill>
                    <a:blip r:embed="rId1275"/>
                    <a:stretch>
                      <a:fillRect/>
                    </a:stretch>
                  </pic:blipFill>
                  <pic:spPr bwMode="auto">
                    <a:xfrm>
                      <a:off x="0" y="0"/>
                      <a:ext cx="5334000" cy="1176241"/>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cylinder is the one current version in the clustered index; the subroutine shapes are undo records, linked newest to oldest. A reader whose read view excludes transaction 995 applies undo backwards until it reaches a visible version (dotted arrow: a visibility decision). Purge is asynchronous background work. Failure point: a long transaction blocks purge, the history list grows and hot-row reads walk ever-longer chains. Scaling benefit: updates do not bloat the table, and secondary indexes change only when their columns change.</w:t>
      </w:r>
    </w:p>
    <w:p>
      <w:pPr>
        <w:pStyle w:val="BodyText"/>
      </w:pPr>
      <w:r>
        <w:rPr>
          <w:bCs/>
          <w:b/>
        </w:rPr>
        <w:t xml:space="preserve">Table 11.10 — MVCC in PostgreSQL and InnoDB.</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PostgreSQL</w:t>
            </w:r>
          </w:p>
        </w:tc>
        <w:tc>
          <w:tcPr/>
          <w:p>
            <w:pPr>
              <w:pStyle w:val="Compact"/>
              <w:jc w:val="left"/>
            </w:pPr>
            <w:r>
              <w:t xml:space="preserve">MySQL InnoDB</w:t>
            </w:r>
          </w:p>
        </w:tc>
      </w:tr>
      <w:tr>
        <w:tc>
          <w:tcPr/>
          <w:p>
            <w:pPr>
              <w:pStyle w:val="Compact"/>
              <w:jc w:val="left"/>
            </w:pPr>
            <w:r>
              <w:t xml:space="preserve">Where old versions live</w:t>
            </w:r>
          </w:p>
        </w:tc>
        <w:tc>
          <w:tcPr/>
          <w:p>
            <w:pPr>
              <w:pStyle w:val="Compact"/>
              <w:jc w:val="left"/>
            </w:pPr>
            <w:r>
              <w:t xml:space="preserve">In the table heap, next to current ones</w:t>
            </w:r>
          </w:p>
        </w:tc>
        <w:tc>
          <w:tcPr/>
          <w:p>
            <w:pPr>
              <w:pStyle w:val="Compact"/>
              <w:jc w:val="left"/>
            </w:pPr>
            <w:r>
              <w:t xml:space="preserve">In undo logs, outside the table</w:t>
            </w:r>
          </w:p>
        </w:tc>
      </w:tr>
      <w:tr>
        <w:tc>
          <w:tcPr/>
          <w:p>
            <w:pPr>
              <w:pStyle w:val="Compact"/>
              <w:jc w:val="left"/>
            </w:pPr>
            <w:r>
              <w:t xml:space="preserve">What an update writes</w:t>
            </w:r>
          </w:p>
        </w:tc>
        <w:tc>
          <w:tcPr/>
          <w:p>
            <w:pPr>
              <w:pStyle w:val="Compact"/>
              <w:jc w:val="left"/>
            </w:pPr>
            <w:r>
              <w:t xml:space="preserve">A complete new tuple (and index entries unless HOT)</w:t>
            </w:r>
          </w:p>
        </w:tc>
        <w:tc>
          <w:tcPr/>
          <w:p>
            <w:pPr>
              <w:pStyle w:val="Compact"/>
              <w:jc w:val="left"/>
            </w:pPr>
            <w:r>
              <w:t xml:space="preserve">In-place change plus an undo record</w:t>
            </w:r>
          </w:p>
        </w:tc>
      </w:tr>
      <w:tr>
        <w:tc>
          <w:tcPr/>
          <w:p>
            <w:pPr>
              <w:pStyle w:val="Compact"/>
              <w:jc w:val="left"/>
            </w:pPr>
            <w:r>
              <w:t xml:space="preserve">Version metadata</w:t>
            </w:r>
          </w:p>
        </w:tc>
        <w:tc>
          <w:tcPr/>
          <w:p>
            <w:pPr>
              <w:pStyle w:val="Compact"/>
              <w:jc w:val="left"/>
            </w:pPr>
            <w:r>
              <w:rPr>
                <w:rStyle w:val="VerbatimChar"/>
              </w:rPr>
              <w:t xml:space="preserve">xmin</w:t>
            </w:r>
            <w:r>
              <w:t xml:space="preserve">,</w:t>
            </w:r>
            <w:r>
              <w:t xml:space="preserve"> </w:t>
            </w:r>
            <w:r>
              <w:rPr>
                <w:rStyle w:val="VerbatimChar"/>
              </w:rPr>
              <w:t xml:space="preserve">xmax</w:t>
            </w:r>
            <w:r>
              <w:t xml:space="preserve">,</w:t>
            </w:r>
            <w:r>
              <w:t xml:space="preserve"> </w:t>
            </w:r>
            <w:r>
              <w:rPr>
                <w:rStyle w:val="VerbatimChar"/>
              </w:rPr>
              <w:t xml:space="preserve">ctid</w:t>
            </w:r>
            <w:r>
              <w:t xml:space="preserve"> </w:t>
            </w:r>
            <w:r>
              <w:t xml:space="preserve">in each tuple header</w:t>
            </w:r>
          </w:p>
        </w:tc>
        <w:tc>
          <w:tcPr/>
          <w:p>
            <w:pPr>
              <w:pStyle w:val="Compact"/>
              <w:jc w:val="left"/>
            </w:pPr>
            <w:r>
              <w:rPr>
                <w:rStyle w:val="VerbatimChar"/>
              </w:rPr>
              <w:t xml:space="preserve">DB_TRX_ID</w:t>
            </w:r>
            <w:r>
              <w:t xml:space="preserve">,</w:t>
            </w:r>
            <w:r>
              <w:t xml:space="preserve"> </w:t>
            </w:r>
            <w:r>
              <w:rPr>
                <w:rStyle w:val="VerbatimChar"/>
              </w:rPr>
              <w:t xml:space="preserve">DB_ROLL_PTR</w:t>
            </w:r>
            <w:r>
              <w:t xml:space="preserve"> </w:t>
            </w:r>
            <w:r>
              <w:t xml:space="preserve">hidden columns</w:t>
            </w:r>
          </w:p>
        </w:tc>
      </w:tr>
      <w:tr>
        <w:tc>
          <w:tcPr/>
          <w:p>
            <w:pPr>
              <w:pStyle w:val="Compact"/>
              <w:jc w:val="left"/>
            </w:pPr>
            <w:r>
              <w:t xml:space="preserve">Reading an old version</w:t>
            </w:r>
          </w:p>
        </w:tc>
        <w:tc>
          <w:tcPr/>
          <w:p>
            <w:pPr>
              <w:pStyle w:val="Compact"/>
              <w:jc w:val="left"/>
            </w:pPr>
            <w:r>
              <w:t xml:space="preserve">Scan to the visible tuple; cheap</w:t>
            </w:r>
          </w:p>
        </w:tc>
        <w:tc>
          <w:tcPr/>
          <w:p>
            <w:pPr>
              <w:pStyle w:val="Compact"/>
              <w:jc w:val="left"/>
            </w:pPr>
            <w:r>
              <w:t xml:space="preserve">Reconstruct by applying undo; cost grows with chain length</w:t>
            </w:r>
          </w:p>
        </w:tc>
      </w:tr>
      <w:tr>
        <w:tc>
          <w:tcPr/>
          <w:p>
            <w:pPr>
              <w:pStyle w:val="Compact"/>
              <w:jc w:val="left"/>
            </w:pPr>
            <w:r>
              <w:t xml:space="preserve">Garbage collection</w:t>
            </w:r>
          </w:p>
        </w:tc>
        <w:tc>
          <w:tcPr/>
          <w:p>
            <w:pPr>
              <w:pStyle w:val="Compact"/>
              <w:jc w:val="left"/>
            </w:pPr>
            <w:r>
              <w:t xml:space="preserve">VACUUM / autovacuum; must also freeze XIDs</w:t>
            </w:r>
          </w:p>
        </w:tc>
        <w:tc>
          <w:tcPr/>
          <w:p>
            <w:pPr>
              <w:pStyle w:val="Compact"/>
              <w:jc w:val="left"/>
            </w:pPr>
            <w:r>
              <w:t xml:space="preserve">Purge threads</w:t>
            </w:r>
          </w:p>
        </w:tc>
      </w:tr>
      <w:tr>
        <w:tc>
          <w:tcPr/>
          <w:p>
            <w:pPr>
              <w:pStyle w:val="Compact"/>
              <w:jc w:val="left"/>
            </w:pPr>
            <w:r>
              <w:t xml:space="preserve">Rollback cost</w:t>
            </w:r>
          </w:p>
        </w:tc>
        <w:tc>
          <w:tcPr/>
          <w:p>
            <w:pPr>
              <w:pStyle w:val="Compact"/>
              <w:jc w:val="left"/>
            </w:pPr>
            <w:r>
              <w:t xml:space="preserve">Nearly free (versions never become visible)</w:t>
            </w:r>
          </w:p>
        </w:tc>
        <w:tc>
          <w:tcPr/>
          <w:p>
            <w:pPr>
              <w:pStyle w:val="Compact"/>
              <w:jc w:val="left"/>
            </w:pPr>
            <w:r>
              <w:t xml:space="preserve">Must apply undo to restore rows</w:t>
            </w:r>
          </w:p>
        </w:tc>
      </w:tr>
      <w:tr>
        <w:tc>
          <w:tcPr/>
          <w:p>
            <w:pPr>
              <w:pStyle w:val="Compact"/>
              <w:jc w:val="left"/>
            </w:pPr>
            <w:r>
              <w:t xml:space="preserve">Symptom of a long transaction</w:t>
            </w:r>
          </w:p>
        </w:tc>
        <w:tc>
          <w:tcPr/>
          <w:p>
            <w:pPr>
              <w:pStyle w:val="Compact"/>
              <w:jc w:val="left"/>
            </w:pPr>
            <w:r>
              <w:t xml:space="preserve">Table and index bloat; wraparound risk</w:t>
            </w:r>
          </w:p>
        </w:tc>
        <w:tc>
          <w:tcPr/>
          <w:p>
            <w:pPr>
              <w:pStyle w:val="Compact"/>
              <w:jc w:val="left"/>
            </w:pPr>
            <w:r>
              <w:t xml:space="preserve">Growing history list; slower reads</w:t>
            </w:r>
          </w:p>
        </w:tc>
      </w:tr>
    </w:tbl>
    <w:bookmarkEnd w:id="1278"/>
    <w:bookmarkEnd w:id="1279"/>
    <w:bookmarkStart w:id="1286" w:name="locking"/>
    <w:p>
      <w:pPr>
        <w:pStyle w:val="Heading2"/>
      </w:pPr>
      <w:r>
        <w:t xml:space="preserve">11.15 Locking</w:t>
      </w:r>
    </w:p>
    <w:bookmarkStart w:id="1280" w:name="two-phase-locking-and-lock-granularity"/>
    <w:p>
      <w:pPr>
        <w:pStyle w:val="Heading3"/>
      </w:pPr>
      <w:r>
        <w:t xml:space="preserve">11.15.1 Two-phase locking and lock granularity</w:t>
      </w:r>
    </w:p>
    <w:p>
      <w:pPr>
        <w:pStyle w:val="CalloutDefinition"/>
      </w:pPr>
      <w:r>
        <w:rPr>
          <w:bCs/>
          <w:b/>
        </w:rPr>
        <w:t xml:space="preserve">DEFINITION</w:t>
      </w:r>
    </w:p>
    <w:p>
      <w:pPr>
        <w:pStyle w:val="CalloutDefinition"/>
      </w:pPr>
      <w:r>
        <w:rPr>
          <w:bCs/>
          <w:b/>
        </w:rPr>
        <w:t xml:space="preserve">Definition — Two-phase locking (2PL).</w:t>
      </w:r>
      <w:r>
        <w:t xml:space="preserve"> </w:t>
      </w:r>
      <w:r>
        <w:t xml:space="preserve">A protocol in which each transaction acquires locks (shared</w:t>
      </w:r>
      <w:r>
        <w:t xml:space="preserve"> </w:t>
      </w:r>
      <w:r>
        <w:rPr>
          <w:bCs/>
          <w:b/>
        </w:rPr>
        <w:t xml:space="preserve">S</w:t>
      </w:r>
      <w:r>
        <w:t xml:space="preserve"> </w:t>
      </w:r>
      <w:r>
        <w:t xml:space="preserve">for reading, exclusive</w:t>
      </w:r>
      <w:r>
        <w:t xml:space="preserve"> </w:t>
      </w:r>
      <w:r>
        <w:rPr>
          <w:bCs/>
          <w:b/>
        </w:rPr>
        <w:t xml:space="preserve">X</w:t>
      </w:r>
      <w:r>
        <w:t xml:space="preserve"> </w:t>
      </w:r>
      <w:r>
        <w:t xml:space="preserve">for writing) before accessing data and, once it releases any lock, acquires no new ones: a</w:t>
      </w:r>
      <w:r>
        <w:t xml:space="preserve"> </w:t>
      </w:r>
      <w:r>
        <w:rPr>
          <w:iCs/>
          <w:i/>
        </w:rPr>
        <w:t xml:space="preserve">growing</w:t>
      </w:r>
      <w:r>
        <w:t xml:space="preserve"> </w:t>
      </w:r>
      <w:r>
        <w:t xml:space="preserve">phase followed by a</w:t>
      </w:r>
      <w:r>
        <w:t xml:space="preserve"> </w:t>
      </w:r>
      <w:r>
        <w:rPr>
          <w:iCs/>
          <w:i/>
        </w:rPr>
        <w:t xml:space="preserve">shrinking</w:t>
      </w:r>
      <w:r>
        <w:t xml:space="preserve"> </w:t>
      </w:r>
      <w:r>
        <w:t xml:space="preserve">phase.</w:t>
      </w:r>
      <w:r>
        <w:t xml:space="preserve"> </w:t>
      </w:r>
      <w:r>
        <w:rPr>
          <w:bCs/>
          <w:b/>
        </w:rPr>
        <w:t xml:space="preserve">Strict 2PL</w:t>
      </w:r>
      <w:r>
        <w:t xml:space="preserve"> </w:t>
      </w:r>
      <w:r>
        <w:t xml:space="preserve">holds all X locks until commit or abort. Any schedule produced by 2PL is serializable [Eswaran et al. 1976].</w:t>
      </w:r>
    </w:p>
    <w:p>
      <w:pPr>
        <w:pStyle w:val="BodyText"/>
      </w:pPr>
      <w:r>
        <w:t xml:space="preserve">S locks are compatible with each other; X locks conflict with everything. MVCC databases lock mainly for</w:t>
      </w:r>
      <w:r>
        <w:t xml:space="preserve"> </w:t>
      </w:r>
      <w:r>
        <w:rPr>
          <w:iCs/>
          <w:i/>
        </w:rPr>
        <w:t xml:space="preserve">writes</w:t>
      </w:r>
      <w:r>
        <w:t xml:space="preserve">: two updates of one row serialize on its row lock, while plain reads take no row locks. Granularities:</w:t>
      </w:r>
    </w:p>
    <w:p>
      <w:pPr>
        <w:numPr>
          <w:ilvl w:val="0"/>
          <w:numId w:val="1387"/>
        </w:numPr>
        <w:pStyle w:val="Compact"/>
      </w:pPr>
      <w:r>
        <w:rPr>
          <w:bCs/>
          <w:b/>
        </w:rPr>
        <w:t xml:space="preserve">Row locks</w:t>
      </w:r>
      <w:r>
        <w:t xml:space="preserve"> </w:t>
      </w:r>
      <w:r>
        <w:t xml:space="preserve">— taken by</w:t>
      </w:r>
      <w:r>
        <w:t xml:space="preserve"> </w:t>
      </w:r>
      <w:r>
        <w:rPr>
          <w:rStyle w:val="VerbatimChar"/>
        </w:rPr>
        <w:t xml:space="preserve">UPDATE</w:t>
      </w:r>
      <w:r>
        <w:t xml:space="preserve">,</w:t>
      </w:r>
      <w:r>
        <w:t xml:space="preserve"> </w:t>
      </w:r>
      <w:r>
        <w:rPr>
          <w:rStyle w:val="VerbatimChar"/>
        </w:rPr>
        <w:t xml:space="preserve">DELETE</w:t>
      </w:r>
      <w:r>
        <w:t xml:space="preserve"> </w:t>
      </w:r>
      <w:r>
        <w:t xml:space="preserve">and explicit</w:t>
      </w:r>
      <w:r>
        <w:t xml:space="preserve"> </w:t>
      </w:r>
      <w:r>
        <w:rPr>
          <w:rStyle w:val="VerbatimChar"/>
        </w:rPr>
        <w:t xml:space="preserve">SELECT ... FOR UPDATE</w:t>
      </w:r>
      <w:r>
        <w:t xml:space="preserve"> </w:t>
      </w:r>
      <w:r>
        <w:t xml:space="preserve">/</w:t>
      </w:r>
      <w:r>
        <w:t xml:space="preserve"> </w:t>
      </w:r>
      <w:r>
        <w:rPr>
          <w:rStyle w:val="VerbatimChar"/>
        </w:rPr>
        <w:t xml:space="preserve">FOR SHARE</w:t>
      </w:r>
      <w:r>
        <w:t xml:space="preserve">. PostgreSQL also has weaker</w:t>
      </w:r>
      <w:r>
        <w:t xml:space="preserve"> </w:t>
      </w:r>
      <w:r>
        <w:rPr>
          <w:rStyle w:val="VerbatimChar"/>
        </w:rPr>
        <w:t xml:space="preserve">FOR NO KEY UPDATE</w:t>
      </w:r>
      <w:r>
        <w:t xml:space="preserve"> </w:t>
      </w:r>
      <w:r>
        <w:t xml:space="preserve">and</w:t>
      </w:r>
      <w:r>
        <w:t xml:space="preserve"> </w:t>
      </w:r>
      <w:r>
        <w:rPr>
          <w:rStyle w:val="VerbatimChar"/>
        </w:rPr>
        <w:t xml:space="preserve">FOR KEY SHARE</w:t>
      </w:r>
      <w:r>
        <w:t xml:space="preserve"> </w:t>
      </w:r>
      <w:r>
        <w:t xml:space="preserve">modes so that foreign-key checks do not block updates of non-key columns.</w:t>
      </w:r>
    </w:p>
    <w:p>
      <w:pPr>
        <w:numPr>
          <w:ilvl w:val="0"/>
          <w:numId w:val="1387"/>
        </w:numPr>
        <w:pStyle w:val="Compact"/>
      </w:pPr>
      <w:r>
        <w:rPr>
          <w:bCs/>
          <w:b/>
        </w:rPr>
        <w:t xml:space="preserve">Table locks</w:t>
      </w:r>
      <w:r>
        <w:t xml:space="preserve"> </w:t>
      </w:r>
      <w:r>
        <w:t xml:space="preserve">— PostgreSQL has eight table-lock modes from</w:t>
      </w:r>
      <w:r>
        <w:t xml:space="preserve"> </w:t>
      </w:r>
      <w:r>
        <w:rPr>
          <w:rStyle w:val="VerbatimChar"/>
        </w:rPr>
        <w:t xml:space="preserve">ACCESS SHARE</w:t>
      </w:r>
      <w:r>
        <w:t xml:space="preserve"> </w:t>
      </w:r>
      <w:r>
        <w:t xml:space="preserve">(taken by every</w:t>
      </w:r>
      <w:r>
        <w:t xml:space="preserve"> </w:t>
      </w:r>
      <w:r>
        <w:rPr>
          <w:rStyle w:val="VerbatimChar"/>
        </w:rPr>
        <w:t xml:space="preserve">SELECT</w:t>
      </w:r>
      <w:r>
        <w:t xml:space="preserve">) to</w:t>
      </w:r>
      <w:r>
        <w:t xml:space="preserve"> </w:t>
      </w:r>
      <w:r>
        <w:rPr>
          <w:rStyle w:val="VerbatimChar"/>
        </w:rPr>
        <w:t xml:space="preserve">ACCESS EXCLUSIVE</w:t>
      </w:r>
      <w:r>
        <w:t xml:space="preserve"> </w:t>
      </w:r>
      <w:r>
        <w:t xml:space="preserve">(taken by most</w:t>
      </w:r>
      <w:r>
        <w:t xml:space="preserve"> </w:t>
      </w:r>
      <w:r>
        <w:rPr>
          <w:rStyle w:val="VerbatimChar"/>
        </w:rPr>
        <w:t xml:space="preserve">ALTER TABLE</w:t>
      </w:r>
      <w:r>
        <w:t xml:space="preserve"> </w:t>
      </w:r>
      <w:r>
        <w:t xml:space="preserve">forms) [PostgreSQL Docs: Explicit Locking]. InnoDB uses</w:t>
      </w:r>
      <w:r>
        <w:t xml:space="preserve"> </w:t>
      </w:r>
      <w:r>
        <w:rPr>
          <w:bCs/>
          <w:b/>
        </w:rPr>
        <w:t xml:space="preserve">intention locks</w:t>
      </w:r>
      <w:r>
        <w:t xml:space="preserve"> </w:t>
      </w:r>
      <w:r>
        <w:t xml:space="preserve">(IS, IX) on the table to signal row locks below.</w:t>
      </w:r>
    </w:p>
    <w:p>
      <w:pPr>
        <w:numPr>
          <w:ilvl w:val="0"/>
          <w:numId w:val="1387"/>
        </w:numPr>
        <w:pStyle w:val="Compact"/>
      </w:pPr>
      <w:r>
        <w:rPr>
          <w:bCs/>
          <w:b/>
        </w:rPr>
        <w:t xml:space="preserve">Gap and next-key locks (InnoDB)</w:t>
      </w:r>
      <w:r>
        <w:t xml:space="preserve"> </w:t>
      </w:r>
      <w:r>
        <w:t xml:space="preserve">— at REPEATABLE READ, a locking read or update over a range locks the index records it scans</w:t>
      </w:r>
      <w:r>
        <w:t xml:space="preserve"> </w:t>
      </w:r>
      <w:r>
        <w:rPr>
          <w:iCs/>
          <w:i/>
        </w:rPr>
        <w:t xml:space="preserve">and the gaps between them</w:t>
      </w:r>
      <w:r>
        <w:t xml:space="preserve"> </w:t>
      </w:r>
      <w:r>
        <w:t xml:space="preserve">(a</w:t>
      </w:r>
      <w:r>
        <w:t xml:space="preserve"> </w:t>
      </w:r>
      <w:r>
        <w:rPr>
          <w:bCs/>
          <w:b/>
        </w:rPr>
        <w:t xml:space="preserve">next-key lock</w:t>
      </w:r>
      <w:r>
        <w:t xml:space="preserve"> </w:t>
      </w:r>
      <w:r>
        <w:t xml:space="preserve">is a record lock plus the gap before it). This blocks inserts into the range, preventing phantoms, at the price of extra blocking [MySQL Docs: InnoDB Locking]. READ COMMITTED disables most gap locking.</w:t>
      </w:r>
    </w:p>
    <w:p>
      <w:pPr>
        <w:pStyle w:val="FirstParagraph"/>
      </w:pPr>
      <w:r>
        <w:rPr>
          <w:rStyle w:val="VerbatimChar"/>
        </w:rPr>
        <w:t xml:space="preserve">SELECT ... FOR UPDATE SKIP LOCKED</w:t>
      </w:r>
      <w:r>
        <w:t xml:space="preserve"> </w:t>
      </w:r>
      <w:r>
        <w:t xml:space="preserve">(PostgreSQL 9.5+, MySQL 8.0+) lets many workers pull different rows from a job table without blocking on each other, a common way to build a simple, transactional work queue.</w:t>
      </w:r>
    </w:p>
    <w:p>
      <w:pPr>
        <w:pStyle w:val="CalloutWarning"/>
      </w:pPr>
      <w:r>
        <w:rPr>
          <w:bCs/>
          <w:b/>
        </w:rPr>
        <w:t xml:space="preserve">WARNING / TRADE-OFF</w:t>
      </w:r>
    </w:p>
    <w:p>
      <w:pPr>
        <w:pStyle w:val="CalloutWarning"/>
      </w:pPr>
      <w:r>
        <w:rPr>
          <w:bCs/>
          <w:b/>
        </w:rPr>
        <w:t xml:space="preserve">Warning — A schema change can stop all traffic.</w:t>
      </w:r>
      <w:r>
        <w:t xml:space="preserve"> </w:t>
      </w:r>
      <w:r>
        <w:rPr>
          <w:rStyle w:val="VerbatimChar"/>
        </w:rPr>
        <w:t xml:space="preserve">ALTER TABLE orders ADD COLUMN ...</w:t>
      </w:r>
      <w:r>
        <w:t xml:space="preserve"> </w:t>
      </w:r>
      <w:r>
        <w:t xml:space="preserve">needs PostgreSQL’s</w:t>
      </w:r>
      <w:r>
        <w:t xml:space="preserve"> </w:t>
      </w:r>
      <w:r>
        <w:rPr>
          <w:rStyle w:val="VerbatimChar"/>
        </w:rPr>
        <w:t xml:space="preserve">ACCESS EXCLUSIVE</w:t>
      </w:r>
      <w:r>
        <w:t xml:space="preserve"> </w:t>
      </w:r>
      <w:r>
        <w:t xml:space="preserve">lock for at least a moment. If a long report query holds</w:t>
      </w:r>
      <w:r>
        <w:t xml:space="preserve"> </w:t>
      </w:r>
      <w:r>
        <w:rPr>
          <w:rStyle w:val="VerbatimChar"/>
        </w:rPr>
        <w:t xml:space="preserve">ACCESS SHARE</w:t>
      </w:r>
      <w:r>
        <w:t xml:space="preserve">, the</w:t>
      </w:r>
      <w:r>
        <w:t xml:space="preserve"> </w:t>
      </w:r>
      <w:r>
        <w:rPr>
          <w:rStyle w:val="VerbatimChar"/>
        </w:rPr>
        <w:t xml:space="preserve">ALTER</w:t>
      </w:r>
      <w:r>
        <w:t xml:space="preserve"> </w:t>
      </w:r>
      <w:r>
        <w:t xml:space="preserve">waits, and every new query on</w:t>
      </w:r>
      <w:r>
        <w:t xml:space="preserve"> </w:t>
      </w:r>
      <w:r>
        <w:rPr>
          <w:rStyle w:val="VerbatimChar"/>
        </w:rPr>
        <w:t xml:space="preserve">orders</w:t>
      </w:r>
      <w:r>
        <w:t xml:space="preserve"> </w:t>
      </w:r>
      <w:r>
        <w:t xml:space="preserve">queues</w:t>
      </w:r>
      <w:r>
        <w:t xml:space="preserve"> </w:t>
      </w:r>
      <w:r>
        <w:rPr>
          <w:iCs/>
          <w:i/>
        </w:rPr>
        <w:t xml:space="preserve">behind the waiting</w:t>
      </w:r>
      <w:r>
        <w:rPr>
          <w:iCs/>
          <w:i/>
        </w:rPr>
        <w:t xml:space="preserve"> </w:t>
      </w:r>
      <w:r>
        <w:rPr>
          <w:rStyle w:val="VerbatimChar"/>
          <w:iCs/>
          <w:i/>
        </w:rPr>
        <w:t xml:space="preserve">ALTER</w:t>
      </w:r>
      <w:r>
        <w:t xml:space="preserve">. Set</w:t>
      </w:r>
      <w:r>
        <w:t xml:space="preserve"> </w:t>
      </w:r>
      <w:r>
        <w:rPr>
          <w:rStyle w:val="VerbatimChar"/>
        </w:rPr>
        <w:t xml:space="preserve">lock_timeout</w:t>
      </w:r>
      <w:r>
        <w:t xml:space="preserve"> </w:t>
      </w:r>
      <w:r>
        <w:t xml:space="preserve">(for example 2 s) on migrations and retry; use online schema-change tools for MySQL (such as GitHub’s gh-ost [GitHub gh-ost]).</w:t>
      </w:r>
    </w:p>
    <w:bookmarkEnd w:id="1280"/>
    <w:bookmarkStart w:id="1284" w:name="deadlocks"/>
    <w:p>
      <w:pPr>
        <w:pStyle w:val="Heading3"/>
      </w:pPr>
      <w:r>
        <w:t xml:space="preserve">11.15.2 Deadlocks</w:t>
      </w:r>
    </w:p>
    <w:p>
      <w:pPr>
        <w:pStyle w:val="FirstParagraph"/>
      </w:pPr>
      <w:r>
        <w:t xml:space="preserve">A</w:t>
      </w:r>
      <w:r>
        <w:t xml:space="preserve"> </w:t>
      </w:r>
      <w:r>
        <w:rPr>
          <w:bCs/>
          <w:b/>
        </w:rPr>
        <w:t xml:space="preserve">deadlock</w:t>
      </w:r>
      <w:r>
        <w:t xml:space="preserve"> </w:t>
      </w:r>
      <w:r>
        <w:t xml:space="preserve">occurs when transactions wait for each other’s locks in a cycle (§6.11). Databases detect cycles in the</w:t>
      </w:r>
      <w:r>
        <w:t xml:space="preserve"> </w:t>
      </w:r>
      <w:r>
        <w:rPr>
          <w:bCs/>
          <w:b/>
        </w:rPr>
        <w:t xml:space="preserve">wait-for graph</w:t>
      </w:r>
      <w:r>
        <w:t xml:space="preserve"> </w:t>
      </w:r>
      <w:r>
        <w:t xml:space="preserve">and abort one transaction, the</w:t>
      </w:r>
      <w:r>
        <w:t xml:space="preserve"> </w:t>
      </w:r>
      <w:r>
        <w:rPr>
          <w:bCs/>
          <w:b/>
        </w:rPr>
        <w:t xml:space="preserve">victim</w:t>
      </w:r>
      <w:r>
        <w:t xml:space="preserve">. PostgreSQL checks for a cycle after a waiter has been blocked for</w:t>
      </w:r>
      <w:r>
        <w:t xml:space="preserve"> </w:t>
      </w:r>
      <w:r>
        <w:rPr>
          <w:rStyle w:val="VerbatimChar"/>
        </w:rPr>
        <w:t xml:space="preserve">deadlock_timeout</w:t>
      </w:r>
      <w:r>
        <w:t xml:space="preserve"> </w:t>
      </w:r>
      <w:r>
        <w:t xml:space="preserve">(default 1 s); InnoDB detects them immediately by default (</w:t>
      </w:r>
      <w:r>
        <w:rPr>
          <w:rStyle w:val="VerbatimChar"/>
        </w:rPr>
        <w:t xml:space="preserve">innodb_deadlock_detect</w:t>
      </w:r>
      <w:r>
        <w:t xml:space="preserve">), and otherwise relies on</w:t>
      </w:r>
      <w:r>
        <w:t xml:space="preserve"> </w:t>
      </w:r>
      <w:r>
        <w:rPr>
          <w:rStyle w:val="VerbatimChar"/>
        </w:rPr>
        <w:t xml:space="preserve">innodb_lock_wait_timeout</w:t>
      </w:r>
      <w:r>
        <w:t xml:space="preserve"> </w:t>
      </w:r>
      <w:r>
        <w:t xml:space="preserve">(default 50 s) [MySQL Docs: Deadlock Detection].</w:t>
      </w:r>
    </w:p>
    <w:p>
      <w:pPr>
        <w:pStyle w:val="BodyText"/>
      </w:pPr>
      <w:r>
        <w:rPr>
          <w:bCs/>
          <w:b/>
        </w:rPr>
        <w:t xml:space="preserve">Figure 11.11 — A deadlock between two checkouts, as reproduced on PostgreSQL 16.</w:t>
      </w:r>
    </w:p>
    <w:p>
      <w:pPr>
        <w:pStyle w:val="BodyText"/>
      </w:pPr>
      <w:r>
        <w:drawing>
          <wp:inline>
            <wp:extent cx="5334000" cy="2556314"/>
            <wp:effectExtent b="0" l="0" r="0" t="0"/>
            <wp:docPr descr="" title="" id="1282" name="Picture"/>
            <a:graphic>
              <a:graphicData uri="http://schemas.openxmlformats.org/drawingml/2006/picture">
                <pic:pic>
                  <pic:nvPicPr>
                    <pic:cNvPr descr="/home/user/System-Design/build/.cache/diagrams/ca8c1115a0ed.png" id="1283" name="Picture"/>
                    <pic:cNvPicPr>
                      <a:picLocks noChangeArrowheads="1" noChangeAspect="1"/>
                    </pic:cNvPicPr>
                  </pic:nvPicPr>
                  <pic:blipFill>
                    <a:blip r:embed="rId1281"/>
                    <a:stretch>
                      <a:fillRect/>
                    </a:stretch>
                  </pic:blipFill>
                  <pic:spPr bwMode="auto">
                    <a:xfrm>
                      <a:off x="0" y="0"/>
                      <a:ext cx="5334000" cy="2556314"/>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Each checkout updates inventory rows in cart order with synchronous, blocking statements. A holds 42 and waits for 43; B holds 43 and waits for 42: a cycle in the wait-for graph. After A had waited</w:t>
      </w:r>
      <w:r>
        <w:t xml:space="preserve"> </w:t>
      </w:r>
      <w:r>
        <w:rPr>
          <w:rStyle w:val="VerbatimChar"/>
        </w:rPr>
        <w:t xml:space="preserve">deadlock_timeout</w:t>
      </w:r>
      <w:r>
        <w:t xml:space="preserve">, PostgreSQL aborted it with</w:t>
      </w:r>
      <w:r>
        <w:t xml:space="preserve"> </w:t>
      </w:r>
      <w:r>
        <w:rPr>
          <w:rStyle w:val="VerbatimChar"/>
        </w:rPr>
        <w:t xml:space="preserve">deadlock detected</w:t>
      </w:r>
      <w:r>
        <w:t xml:space="preserve"> </w:t>
      </w:r>
      <w:r>
        <w:t xml:space="preserve">(SQLSTATE</w:t>
      </w:r>
      <w:r>
        <w:t xml:space="preserve"> </w:t>
      </w:r>
      <w:r>
        <w:rPr>
          <w:rStyle w:val="VerbatimChar"/>
        </w:rPr>
        <w:t xml:space="preserve">40P01</w:t>
      </w:r>
      <w:r>
        <w:t xml:space="preserve">) and B’s update proceeded. The cost is a retried transaction and up to a second of latency, and deadlocks become more frequent as concurrency grows.</w:t>
      </w:r>
      <w:r>
        <w:t xml:space="preserve"> </w:t>
      </w:r>
      <w:r>
        <w:rPr>
          <w:bCs/>
          <w:b/>
        </w:rPr>
        <w:t xml:space="preserve">Prevention:</w:t>
      </w:r>
      <w:r>
        <w:t xml:space="preserve"> </w:t>
      </w:r>
      <w:r>
        <w:t xml:space="preserve">acquire locks in a canonical order, for example by sorting cart lines by</w:t>
      </w:r>
      <w:r>
        <w:t xml:space="preserve"> </w:t>
      </w:r>
      <w:r>
        <w:rPr>
          <w:rStyle w:val="VerbatimChar"/>
        </w:rPr>
        <w:t xml:space="preserve">product_id</w:t>
      </w:r>
      <w:r>
        <w:t xml:space="preserve">, as the code in §11.17 does.</w:t>
      </w:r>
    </w:p>
    <w:bookmarkEnd w:id="1284"/>
    <w:bookmarkStart w:id="1285" w:name="hot-rows-and-optimistic-concurrency"/>
    <w:p>
      <w:pPr>
        <w:pStyle w:val="Heading3"/>
      </w:pPr>
      <w:r>
        <w:t xml:space="preserve">11.15.3 Hot rows and optimistic concurrency</w:t>
      </w:r>
    </w:p>
    <w:p>
      <w:pPr>
        <w:pStyle w:val="CalloutFormula"/>
      </w:pPr>
      <w:r>
        <w:rPr>
          <w:bCs/>
          <w:b/>
        </w:rPr>
        <w:t xml:space="preserve">FORMULA</w:t>
      </w:r>
    </w:p>
    <w:p>
      <w:pPr>
        <w:pStyle w:val="CalloutFormula"/>
      </w:pPr>
      <w:r>
        <w:rPr>
          <w:bCs/>
          <w:b/>
        </w:rPr>
        <w:t xml:space="preserve">Throughput ceiling of a single hot row</w:t>
      </w:r>
    </w:p>
    <w:p>
      <w:pPr>
        <w:pStyle w:val="CalloutFormula"/>
      </w:pPr>
      <m:oMathPara>
        <m:oMathParaPr>
          <m:jc m:val="center"/>
        </m:oMathParaPr>
        <m:oMath>
          <m:sSub>
            <m:e>
              <m:r>
                <m:t>X</m:t>
              </m:r>
            </m:e>
            <m:sub>
              <m:r>
                <m:rPr>
                  <m:sty m:val="p"/>
                </m:rPr>
                <m:t>max</m:t>
              </m:r>
            </m:sub>
          </m:sSub>
          <m:r>
            <m:rPr>
              <m:sty m:val="p"/>
            </m:rPr>
            <m:t>=</m:t>
          </m:r>
          <m:f>
            <m:fPr>
              <m:type m:val="bar"/>
            </m:fPr>
            <m:num>
              <m:r>
                <m:t>1</m:t>
              </m:r>
            </m:num>
            <m:den>
              <m:sSub>
                <m:e>
                  <m:r>
                    <m:t>t</m:t>
                  </m:r>
                </m:e>
                <m:sub>
                  <m:r>
                    <m:rPr>
                      <m:nor/>
                      <m:sty m:val="p"/>
                    </m:rPr>
                    <m:t>hold</m:t>
                  </m:r>
                </m:sub>
              </m:sSub>
            </m:den>
          </m:f>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X</m:t>
                  </m:r>
                </m:e>
                <m:sub>
                  <m:r>
                    <m:rPr>
                      <m:sty m:val="p"/>
                    </m:rPr>
                    <m:t>max</m:t>
                  </m:r>
                </m:sub>
              </m:sSub>
            </m:oMath>
          </w:p>
        </w:tc>
        <w:tc>
          <w:tcPr/>
          <w:p>
            <w:pPr>
              <w:pStyle w:val="Compact"/>
              <w:jc w:val="left"/>
            </w:pPr>
            <w:r>
              <w:t xml:space="preserve">Maximum transactions per second that can update the same row</w:t>
            </w:r>
          </w:p>
        </w:tc>
        <w:tc>
          <w:tcPr/>
          <w:p>
            <w:pPr>
              <w:pStyle w:val="Compact"/>
              <w:jc w:val="left"/>
            </w:pPr>
            <w:r>
              <w:t xml:space="preserve">transactions/second</w:t>
            </w:r>
          </w:p>
        </w:tc>
      </w:tr>
      <w:tr>
        <w:tc>
          <w:tcPr/>
          <w:p>
            <w:pPr>
              <w:pStyle w:val="Compact"/>
              <w:jc w:val="left"/>
            </w:pPr>
            <m:oMath>
              <m:sSub>
                <m:e>
                  <m:r>
                    <m:t>t</m:t>
                  </m:r>
                </m:e>
                <m:sub>
                  <m:r>
                    <m:rPr>
                      <m:nor/>
                      <m:sty m:val="p"/>
                    </m:rPr>
                    <m:t>hold</m:t>
                  </m:r>
                </m:sub>
              </m:sSub>
            </m:oMath>
          </w:p>
        </w:tc>
        <w:tc>
          <w:tcPr/>
          <w:p>
            <w:pPr>
              <w:pStyle w:val="Compact"/>
              <w:jc w:val="left"/>
            </w:pPr>
            <w:r>
              <w:t xml:space="preserve">Time each transaction holds the row’s X lock (from its update to commit)</w:t>
            </w:r>
          </w:p>
        </w:tc>
        <w:tc>
          <w:tcPr/>
          <w:p>
            <w:pPr>
              <w:pStyle w:val="Compact"/>
              <w:jc w:val="left"/>
            </w:pPr>
            <w:r>
              <w:t xml:space="preserve">seconds</w:t>
            </w:r>
          </w:p>
        </w:tc>
      </w:tr>
    </w:tbl>
    <w:p>
      <w:pPr>
        <w:pStyle w:val="CalloutExample"/>
      </w:pPr>
      <w:r>
        <w:rPr>
          <w:bCs/>
          <w:b/>
        </w:rPr>
        <w:t xml:space="preserve">WORKED EXAMPLE</w:t>
      </w:r>
    </w:p>
    <w:p>
      <w:pPr>
        <w:pStyle w:val="CalloutExample"/>
      </w:pPr>
      <w:r>
        <w:rPr>
          <w:bCs/>
          <w:b/>
        </w:rPr>
        <w:t xml:space="preserve">Worked example — A flash sale on one product.</w:t>
      </w:r>
      <w:r>
        <w:t xml:space="preserve"> </w:t>
      </w:r>
      <w:r>
        <w:t xml:space="preserve">Each checkout updates the product’s</w:t>
      </w:r>
      <w:r>
        <w:t xml:space="preserve"> </w:t>
      </w:r>
      <w:r>
        <w:rPr>
          <w:rStyle w:val="VerbatimChar"/>
        </w:rPr>
        <w:t xml:space="preserve">inventory</w:t>
      </w:r>
      <w:r>
        <w:t xml:space="preserve"> </w:t>
      </w:r>
      <w:r>
        <w:t xml:space="preserve">row, then (wrongly) calls a payment provider inside the transaction before committing.</w:t>
      </w:r>
    </w:p>
    <w:p>
      <w:pPr>
        <w:numPr>
          <w:ilvl w:val="0"/>
          <w:numId w:val="1388"/>
        </w:numPr>
        <w:pStyle w:val="Compact"/>
      </w:pPr>
      <w:r>
        <w:t xml:space="preserve">With a 200 ms payment call inside the transaction:</w:t>
      </w:r>
      <w:r>
        <w:t xml:space="preserve"> </w:t>
      </w:r>
      <m:oMath>
        <m:sSub>
          <m:e>
            <m:r>
              <m:t>X</m:t>
            </m:r>
          </m:e>
          <m:sub>
            <m:r>
              <m:rPr>
                <m:sty m:val="p"/>
              </m:rPr>
              <m:t>max</m:t>
            </m:r>
          </m:sub>
        </m:sSub>
        <m:r>
          <m:rPr>
            <m:sty m:val="p"/>
          </m:rPr>
          <m:t>=</m:t>
        </m:r>
        <m:r>
          <m:t>1</m:t>
        </m:r>
        <m:r>
          <m:rPr>
            <m:sty m:val="p"/>
          </m:rPr>
          <m:t>/</m:t>
        </m:r>
        <m:r>
          <m:t>0.2</m:t>
        </m:r>
        <m:r>
          <m:rPr>
            <m:sty m:val="p"/>
          </m:rPr>
          <m:t>=</m:t>
        </m:r>
        <m:r>
          <m:t>5</m:t>
        </m:r>
      </m:oMath>
      <w:r>
        <w:t xml:space="preserve"> </w:t>
      </w:r>
      <w:r>
        <w:t xml:space="preserve">checkouts per second, however many servers you add.</w:t>
      </w:r>
    </w:p>
    <w:p>
      <w:pPr>
        <w:numPr>
          <w:ilvl w:val="0"/>
          <w:numId w:val="1388"/>
        </w:numPr>
        <w:pStyle w:val="Compact"/>
      </w:pPr>
      <w:r>
        <w:t xml:space="preserve">Payment moved outside the transaction; update and commit take 2 ms including a commit flush and one network round trip:</w:t>
      </w:r>
      <w:r>
        <w:t xml:space="preserve"> </w:t>
      </w:r>
      <m:oMath>
        <m:sSub>
          <m:e>
            <m:r>
              <m:t>X</m:t>
            </m:r>
          </m:e>
          <m:sub>
            <m:r>
              <m:rPr>
                <m:sty m:val="p"/>
              </m:rPr>
              <m:t>max</m:t>
            </m:r>
          </m:sub>
        </m:sSub>
        <m:r>
          <m:rPr>
            <m:sty m:val="p"/>
          </m:rPr>
          <m:t>=</m:t>
        </m:r>
        <m:r>
          <m:t>1</m:t>
        </m:r>
        <m:r>
          <m:rPr>
            <m:sty m:val="p"/>
          </m:rPr>
          <m:t>/</m:t>
        </m:r>
        <m:r>
          <m:t>0.002</m:t>
        </m:r>
        <m:r>
          <m:rPr>
            <m:sty m:val="p"/>
          </m:rPr>
          <m:t>=</m:t>
        </m:r>
        <m:r>
          <m:t>500</m:t>
        </m:r>
      </m:oMath>
      <w:r>
        <w:t xml:space="preserve"> </w:t>
      </w:r>
      <w:r>
        <w:t xml:space="preserve">per second.</w:t>
      </w:r>
    </w:p>
    <w:p>
      <w:pPr>
        <w:numPr>
          <w:ilvl w:val="0"/>
          <w:numId w:val="1388"/>
        </w:numPr>
        <w:pStyle w:val="Compact"/>
      </w:pPr>
      <w:r>
        <w:t xml:space="preserve">Stock split into 10 bucket rows (each holding a tenth of the units, chosen at random per checkout): about</w:t>
      </w:r>
      <w:r>
        <w:t xml:space="preserve"> </w:t>
      </w:r>
      <m:oMath>
        <m:r>
          <m:t>10</m:t>
        </m:r>
        <m:r>
          <m:rPr>
            <m:sty m:val="p"/>
          </m:rPr>
          <m:t>×</m:t>
        </m:r>
        <m:r>
          <m:t>500</m:t>
        </m:r>
        <m:r>
          <m:rPr>
            <m:sty m:val="p"/>
          </m:rPr>
          <m:t>=</m:t>
        </m:r>
        <m:r>
          <m:t>5</m:t>
        </m:r>
        <m:r>
          <m:rPr>
            <m:sty m:val="p"/>
          </m:rPr>
          <m:t>,</m:t>
        </m:r>
        <m:r>
          <m:t>000</m:t>
        </m:r>
      </m:oMath>
      <w:r>
        <w:t xml:space="preserve"> </w:t>
      </w:r>
      <w:r>
        <w:t xml:space="preserve">per second.</w:t>
      </w:r>
    </w:p>
    <w:p>
      <w:pPr>
        <w:pStyle w:val="CalloutExample"/>
      </w:pPr>
      <w:r>
        <w:rPr>
          <w:bCs/>
          <w:b/>
        </w:rPr>
        <w:t xml:space="preserve">Interpretation.</w:t>
      </w:r>
      <w:r>
        <w:t xml:space="preserve"> </w:t>
      </w:r>
      <w:r>
        <w:t xml:space="preserve">Lock hold time, not CPU, bounds a hot row: this is Little’s Law (§4.11) applied to a lock with capacity one.</w:t>
      </w:r>
      <w:r>
        <w:t xml:space="preserve"> </w:t>
      </w:r>
      <w:r>
        <w:rPr>
          <w:bCs/>
          <w:b/>
        </w:rPr>
        <w:t xml:space="preserve">Engineering implication.</w:t>
      </w:r>
      <w:r>
        <w:t xml:space="preserve"> </w:t>
      </w:r>
      <w:r>
        <w:t xml:space="preserve">Keep slow work out of transactions, update hot rows last (just before commit) so the lock is held briefly, and split hot counters when one row cannot keep up.</w:t>
      </w:r>
    </w:p>
    <w:p>
      <w:pPr>
        <w:pStyle w:val="BodyText"/>
      </w:pPr>
      <w:r>
        <w:t xml:space="preserve">When conflicts are rare,</w:t>
      </w:r>
      <w:r>
        <w:t xml:space="preserve"> </w:t>
      </w:r>
      <w:r>
        <w:rPr>
          <w:bCs/>
          <w:b/>
        </w:rPr>
        <w:t xml:space="preserve">optimistic concurrency control</w:t>
      </w:r>
      <w:r>
        <w:t xml:space="preserve"> </w:t>
      </w:r>
      <w:r>
        <w:t xml:space="preserve">avoids holding locks across user think time: write only if the row’s version is unchanged since you read it.</w:t>
      </w:r>
    </w:p>
    <w:p>
      <w:pPr>
        <w:pStyle w:val="SourceCode"/>
      </w:pPr>
      <w:r>
        <w:rPr>
          <w:rStyle w:val="ImportTok"/>
        </w:rPr>
        <w:t xml:space="preserve">import</w:t>
      </w:r>
      <w:r>
        <w:rPr>
          <w:rStyle w:val="NormalTok"/>
        </w:rPr>
        <w:t xml:space="preserve"> sqlite3</w:t>
      </w:r>
      <w:r>
        <w:br/>
      </w:r>
      <w:r>
        <w:br/>
      </w:r>
      <w:r>
        <w:rPr>
          <w:rStyle w:val="NormalTok"/>
        </w:rPr>
        <w:t xml:space="preserve">db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StringTok"/>
        </w:rPr>
        <w:t xml:space="preserve">":memory:"</w:t>
      </w:r>
      <w:r>
        <w:rPr>
          <w:rStyle w:val="NormalTok"/>
        </w:rPr>
        <w:t xml:space="preserve">)</w:t>
      </w:r>
      <w:r>
        <w:br/>
      </w:r>
      <w:r>
        <w:rPr>
          <w:rStyle w:val="NormalTok"/>
        </w:rPr>
        <w:t xml:space="preserve">db.executescript(</w:t>
      </w:r>
      <w:r>
        <w:rPr>
          <w:rStyle w:val="StringTok"/>
        </w:rPr>
        <w:t xml:space="preserve">"""</w:t>
      </w:r>
      <w:r>
        <w:br/>
      </w:r>
      <w:r>
        <w:rPr>
          <w:rStyle w:val="StringTok"/>
        </w:rPr>
        <w:t xml:space="preserve">CREATE TABLE products (</w:t>
      </w:r>
      <w:r>
        <w:br/>
      </w:r>
      <w:r>
        <w:rPr>
          <w:rStyle w:val="StringTok"/>
        </w:rPr>
        <w:t xml:space="preserve">  product_id  INTEGER PRIMARY KEY,</w:t>
      </w:r>
      <w:r>
        <w:br/>
      </w:r>
      <w:r>
        <w:rPr>
          <w:rStyle w:val="StringTok"/>
        </w:rPr>
        <w:t xml:space="preserve">  description TEXT    NOT NULL,</w:t>
      </w:r>
      <w:r>
        <w:br/>
      </w:r>
      <w:r>
        <w:rPr>
          <w:rStyle w:val="StringTok"/>
        </w:rPr>
        <w:t xml:space="preserve">  version     INTEGER NOT NULL DEFAULT 1</w:t>
      </w:r>
      <w:r>
        <w:br/>
      </w:r>
      <w:r>
        <w:rPr>
          <w:rStyle w:val="StringTok"/>
        </w:rPr>
        <w:t xml:space="preserve">);</w:t>
      </w:r>
      <w:r>
        <w:br/>
      </w:r>
      <w:r>
        <w:rPr>
          <w:rStyle w:val="StringTok"/>
        </w:rPr>
        <w:t xml:space="preserve">INSERT INTO products (product_id, description) VALUES (7, 'Blue mug');</w:t>
      </w:r>
      <w:r>
        <w:br/>
      </w:r>
      <w:r>
        <w:rPr>
          <w:rStyle w:val="StringTok"/>
        </w:rPr>
        <w:t xml:space="preserve">"""</w:t>
      </w:r>
      <w:r>
        <w:rPr>
          <w:rStyle w:val="NormalTok"/>
        </w:rPr>
        <w:t xml:space="preserve">)</w:t>
      </w:r>
      <w:r>
        <w:br/>
      </w:r>
      <w:r>
        <w:br/>
      </w:r>
      <w:r>
        <w:rPr>
          <w:rStyle w:val="KeywordTok"/>
        </w:rPr>
        <w:t xml:space="preserve">def</w:t>
      </w:r>
      <w:r>
        <w:rPr>
          <w:rStyle w:val="NormalTok"/>
        </w:rPr>
        <w:t xml:space="preserve"> save(product_id, new_description, version_read):</w:t>
      </w:r>
      <w:r>
        <w:br/>
      </w:r>
      <w:r>
        <w:rPr>
          <w:rStyle w:val="NormalTok"/>
        </w:rPr>
        <w:t xml:space="preserve">    </w:t>
      </w:r>
      <w:r>
        <w:rPr>
          <w:rStyle w:val="CommentTok"/>
        </w:rPr>
        <w:t xml:space="preserve">"""Optimistic concurrency control: the write succeeds only if nobody wrote since we read."""</w:t>
      </w:r>
      <w:r>
        <w:br/>
      </w:r>
      <w:r>
        <w:rPr>
          <w:rStyle w:val="NormalTok"/>
        </w:rPr>
        <w:t xml:space="preserve">    </w:t>
      </w:r>
      <w:r>
        <w:rPr>
          <w:rStyle w:val="ControlFlowTok"/>
        </w:rPr>
        <w:t xml:space="preserve">with</w:t>
      </w:r>
      <w:r>
        <w:rPr>
          <w:rStyle w:val="NormalTok"/>
        </w:rPr>
        <w:t xml:space="preserve"> db:</w:t>
      </w:r>
      <w:r>
        <w:br/>
      </w:r>
      <w:r>
        <w:rPr>
          <w:rStyle w:val="NormalTok"/>
        </w:rPr>
        <w:t xml:space="preserve">        cur </w:t>
      </w:r>
      <w:r>
        <w:rPr>
          <w:rStyle w:val="OperatorTok"/>
        </w:rPr>
        <w:t xml:space="preserve">=</w:t>
      </w:r>
      <w:r>
        <w:rPr>
          <w:rStyle w:val="NormalTok"/>
        </w:rPr>
        <w:t xml:space="preserve"> db.execute(</w:t>
      </w:r>
      <w:r>
        <w:br/>
      </w:r>
      <w:r>
        <w:rPr>
          <w:rStyle w:val="NormalTok"/>
        </w:rPr>
        <w:t xml:space="preserve">            </w:t>
      </w:r>
      <w:r>
        <w:rPr>
          <w:rStyle w:val="StringTok"/>
        </w:rPr>
        <w:t xml:space="preserve">"UPDATE products SET description = ?, version = version + 1 "</w:t>
      </w:r>
      <w:r>
        <w:br/>
      </w:r>
      <w:r>
        <w:rPr>
          <w:rStyle w:val="NormalTok"/>
        </w:rPr>
        <w:t xml:space="preserve">            </w:t>
      </w:r>
      <w:r>
        <w:rPr>
          <w:rStyle w:val="StringTok"/>
        </w:rPr>
        <w:t xml:space="preserve">"WHERE product_id = ? AND version = ?"</w:t>
      </w:r>
      <w:r>
        <w:rPr>
          <w:rStyle w:val="NormalTok"/>
        </w:rPr>
        <w:t xml:space="preserve">,</w:t>
      </w:r>
      <w:r>
        <w:br/>
      </w:r>
      <w:r>
        <w:rPr>
          <w:rStyle w:val="NormalTok"/>
        </w:rPr>
        <w:t xml:space="preserve">            (new_description, product_id, version_read))</w:t>
      </w:r>
      <w:r>
        <w:br/>
      </w:r>
      <w:r>
        <w:rPr>
          <w:rStyle w:val="NormalTok"/>
        </w:rPr>
        <w:t xml:space="preserve">    </w:t>
      </w:r>
      <w:r>
        <w:rPr>
          <w:rStyle w:val="ControlFlowTok"/>
        </w:rPr>
        <w:t xml:space="preserve">return</w:t>
      </w:r>
      <w:r>
        <w:rPr>
          <w:rStyle w:val="NormalTok"/>
        </w:rPr>
        <w:t xml:space="preserve"> cur.rowcount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0 rows updated means a concurrent edit won</w:t>
      </w:r>
      <w:r>
        <w:br/>
      </w:r>
      <w:r>
        <w:br/>
      </w:r>
      <w:r>
        <w:rPr>
          <w:rStyle w:val="CommentTok"/>
        </w:rPr>
        <w:t xml:space="preserve"># Two editors load the same row (version 1), then both try to save.</w:t>
      </w:r>
      <w:r>
        <w:br/>
      </w:r>
      <w:r>
        <w:rPr>
          <w:rStyle w:val="NormalTok"/>
        </w:rPr>
        <w:t xml:space="preserve">_, _, v_alice </w:t>
      </w:r>
      <w:r>
        <w:rPr>
          <w:rStyle w:val="OperatorTok"/>
        </w:rPr>
        <w:t xml:space="preserve">=</w:t>
      </w:r>
      <w:r>
        <w:rPr>
          <w:rStyle w:val="NormalTok"/>
        </w:rPr>
        <w:t xml:space="preserve"> db.execute(</w:t>
      </w:r>
      <w:r>
        <w:rPr>
          <w:rStyle w:val="StringTok"/>
        </w:rPr>
        <w:t xml:space="preserve">"SELECT * FROM products WHERE product_id = 7"</w:t>
      </w:r>
      <w:r>
        <w:rPr>
          <w:rStyle w:val="NormalTok"/>
        </w:rPr>
        <w:t xml:space="preserve">).fetchone()</w:t>
      </w:r>
      <w:r>
        <w:br/>
      </w:r>
      <w:r>
        <w:rPr>
          <w:rStyle w:val="NormalTok"/>
        </w:rPr>
        <w:t xml:space="preserve">_, _, v_bob </w:t>
      </w:r>
      <w:r>
        <w:rPr>
          <w:rStyle w:val="OperatorTok"/>
        </w:rPr>
        <w:t xml:space="preserve">=</w:t>
      </w:r>
      <w:r>
        <w:rPr>
          <w:rStyle w:val="NormalTok"/>
        </w:rPr>
        <w:t xml:space="preserve"> db.execute(</w:t>
      </w:r>
      <w:r>
        <w:rPr>
          <w:rStyle w:val="StringTok"/>
        </w:rPr>
        <w:t xml:space="preserve">"SELECT * FROM products WHERE product_id = 7"</w:t>
      </w:r>
      <w:r>
        <w:rPr>
          <w:rStyle w:val="NormalTok"/>
        </w:rPr>
        <w:t xml:space="preserve">).fetchone()</w:t>
      </w:r>
      <w:r>
        <w:br/>
      </w:r>
      <w:r>
        <w:rPr>
          <w:rStyle w:val="BuiltInTok"/>
        </w:rPr>
        <w:t xml:space="preserve">print</w:t>
      </w:r>
      <w:r>
        <w:rPr>
          <w:rStyle w:val="NormalTok"/>
        </w:rPr>
        <w:t xml:space="preserve">(</w:t>
      </w:r>
      <w:r>
        <w:rPr>
          <w:rStyle w:val="StringTok"/>
        </w:rPr>
        <w:t xml:space="preserve">"alice saved:"</w:t>
      </w:r>
      <w:r>
        <w:rPr>
          <w:rStyle w:val="NormalTok"/>
        </w:rPr>
        <w:t xml:space="preserve">, save(</w:t>
      </w:r>
      <w:r>
        <w:rPr>
          <w:rStyle w:val="DecValTok"/>
        </w:rPr>
        <w:t xml:space="preserve">7</w:t>
      </w:r>
      <w:r>
        <w:rPr>
          <w:rStyle w:val="NormalTok"/>
        </w:rPr>
        <w:t xml:space="preserve">, </w:t>
      </w:r>
      <w:r>
        <w:rPr>
          <w:rStyle w:val="StringTok"/>
        </w:rPr>
        <w:t xml:space="preserve">"Blue ceramic mug"</w:t>
      </w:r>
      <w:r>
        <w:rPr>
          <w:rStyle w:val="NormalTok"/>
        </w:rPr>
        <w:t xml:space="preserve">, v_alice))</w:t>
      </w:r>
      <w:r>
        <w:br/>
      </w:r>
      <w:r>
        <w:rPr>
          <w:rStyle w:val="BuiltInTok"/>
        </w:rPr>
        <w:t xml:space="preserve">print</w:t>
      </w:r>
      <w:r>
        <w:rPr>
          <w:rStyle w:val="NormalTok"/>
        </w:rPr>
        <w:t xml:space="preserve">(</w:t>
      </w:r>
      <w:r>
        <w:rPr>
          <w:rStyle w:val="StringTok"/>
        </w:rPr>
        <w:t xml:space="preserve">"bob saved:  "</w:t>
      </w:r>
      <w:r>
        <w:rPr>
          <w:rStyle w:val="NormalTok"/>
        </w:rPr>
        <w:t xml:space="preserve">, save(</w:t>
      </w:r>
      <w:r>
        <w:rPr>
          <w:rStyle w:val="DecValTok"/>
        </w:rPr>
        <w:t xml:space="preserve">7</w:t>
      </w:r>
      <w:r>
        <w:rPr>
          <w:rStyle w:val="NormalTok"/>
        </w:rPr>
        <w:t xml:space="preserve">, </w:t>
      </w:r>
      <w:r>
        <w:rPr>
          <w:rStyle w:val="StringTok"/>
        </w:rPr>
        <w:t xml:space="preserve">"Navy mug"</w:t>
      </w:r>
      <w:r>
        <w:rPr>
          <w:rStyle w:val="NormalTok"/>
        </w:rPr>
        <w:t xml:space="preserve">, v_bob))       </w:t>
      </w:r>
      <w:r>
        <w:rPr>
          <w:rStyle w:val="CommentTok"/>
        </w:rPr>
        <w:t xml:space="preserve"># rejected: must re-read and retry</w:t>
      </w:r>
      <w:r>
        <w:br/>
      </w:r>
      <w:r>
        <w:rPr>
          <w:rStyle w:val="BuiltInTok"/>
        </w:rPr>
        <w:t xml:space="preserve">print</w:t>
      </w:r>
      <w:r>
        <w:rPr>
          <w:rStyle w:val="NormalTok"/>
        </w:rPr>
        <w:t xml:space="preserve">(db.execute(</w:t>
      </w:r>
      <w:r>
        <w:rPr>
          <w:rStyle w:val="StringTok"/>
        </w:rPr>
        <w:t xml:space="preserve">"SELECT * FROM products"</w:t>
      </w:r>
      <w:r>
        <w:rPr>
          <w:rStyle w:val="NormalTok"/>
        </w:rPr>
        <w:t xml:space="preserve">).fetchall())</w:t>
      </w:r>
    </w:p>
    <w:p>
      <w:pPr>
        <w:pStyle w:val="FirstParagraph"/>
      </w:pPr>
      <w:r>
        <w:t xml:space="preserve">What to notice:</w:t>
      </w:r>
    </w:p>
    <w:p>
      <w:pPr>
        <w:numPr>
          <w:ilvl w:val="0"/>
          <w:numId w:val="1389"/>
        </w:numPr>
        <w:pStyle w:val="Compact"/>
      </w:pPr>
      <w:r>
        <w:t xml:space="preserve">Output: Alice’s save returns</w:t>
      </w:r>
      <w:r>
        <w:t xml:space="preserve"> </w:t>
      </w:r>
      <w:r>
        <w:rPr>
          <w:rStyle w:val="VerbatimChar"/>
        </w:rPr>
        <w:t xml:space="preserve">True</w:t>
      </w:r>
      <w:r>
        <w:t xml:space="preserve">, Bob’s</w:t>
      </w:r>
      <w:r>
        <w:t xml:space="preserve"> </w:t>
      </w:r>
      <w:r>
        <w:rPr>
          <w:rStyle w:val="VerbatimChar"/>
        </w:rPr>
        <w:t xml:space="preserve">False</w:t>
      </w:r>
      <w:r>
        <w:t xml:space="preserve">, and the row is</w:t>
      </w:r>
      <w:r>
        <w:t xml:space="preserve"> </w:t>
      </w:r>
      <w:r>
        <w:rPr>
          <w:rStyle w:val="VerbatimChar"/>
        </w:rPr>
        <w:t xml:space="preserve">(7, 'Blue ceramic mug', 2)</w:t>
      </w:r>
      <w:r>
        <w:t xml:space="preserve">: Bob’s stale edit is rejected instead of silently overwriting Alice’s (a lost update prevented without locks).</w:t>
      </w:r>
    </w:p>
    <w:p>
      <w:pPr>
        <w:numPr>
          <w:ilvl w:val="0"/>
          <w:numId w:val="1389"/>
        </w:numPr>
        <w:pStyle w:val="Compact"/>
      </w:pPr>
      <w:r>
        <w:t xml:space="preserve">The check-and-write is one atomic</w:t>
      </w:r>
      <w:r>
        <w:t xml:space="preserve"> </w:t>
      </w:r>
      <w:r>
        <w:rPr>
          <w:rStyle w:val="VerbatimChar"/>
        </w:rPr>
        <w:t xml:space="preserve">UPDATE</w:t>
      </w:r>
      <w:r>
        <w:t xml:space="preserve">; HTTP APIs expose the same idea with</w:t>
      </w:r>
      <w:r>
        <w:t xml:space="preserve"> </w:t>
      </w:r>
      <w:r>
        <w:rPr>
          <w:rStyle w:val="VerbatimChar"/>
        </w:rPr>
        <w:t xml:space="preserve">ETag</w:t>
      </w:r>
      <w:r>
        <w:t xml:space="preserve"> </w:t>
      </w:r>
      <w:r>
        <w:t xml:space="preserve">and</w:t>
      </w:r>
      <w:r>
        <w:t xml:space="preserve"> </w:t>
      </w:r>
      <w:r>
        <w:rPr>
          <w:rStyle w:val="VerbatimChar"/>
        </w:rPr>
        <w:t xml:space="preserve">If-Match</w:t>
      </w:r>
      <w:r>
        <w:t xml:space="preserve"> </w:t>
      </w:r>
      <w:r>
        <w:t xml:space="preserve">headers.</w:t>
      </w:r>
    </w:p>
    <w:bookmarkEnd w:id="1285"/>
    <w:bookmarkEnd w:id="1286"/>
    <w:bookmarkStart w:id="1288" w:name="postgresql-versus-mysql"/>
    <w:p>
      <w:pPr>
        <w:pStyle w:val="Heading2"/>
      </w:pPr>
      <w:r>
        <w:t xml:space="preserve">11.16 PostgreSQL versus MySQL</w:t>
      </w:r>
    </w:p>
    <w:bookmarkStart w:id="1287" w:name="comparison"/>
    <w:p>
      <w:pPr>
        <w:pStyle w:val="Heading3"/>
      </w:pPr>
      <w:r>
        <w:t xml:space="preserve">11.16.1 Comparison</w:t>
      </w:r>
    </w:p>
    <w:p>
      <w:pPr>
        <w:pStyle w:val="FirstParagraph"/>
      </w:pPr>
      <w:r>
        <w:t xml:space="preserve">Both are mature, open-source ACID databases that handle most transactional workloads well; the differences decide edge cases, operations and ecosystem fit.</w:t>
      </w:r>
    </w:p>
    <w:p>
      <w:pPr>
        <w:pStyle w:val="BodyText"/>
      </w:pPr>
      <w:r>
        <w:rPr>
          <w:bCs/>
          <w:b/>
        </w:rPr>
        <w:t xml:space="preserve">Table 11.11 — PostgreSQL and MySQL (InnoDB) compared, as of PostgreSQL 16–18 and MySQL 8.0–8.4.</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Row</w:t>
            </w:r>
          </w:p>
        </w:tc>
        <w:tc>
          <w:tcPr/>
          <w:p>
            <w:pPr>
              <w:pStyle w:val="Compact"/>
              <w:jc w:val="left"/>
            </w:pPr>
            <w:r>
              <w:t xml:space="preserve">PostgreSQL</w:t>
            </w:r>
          </w:p>
        </w:tc>
        <w:tc>
          <w:tcPr/>
          <w:p>
            <w:pPr>
              <w:pStyle w:val="Compact"/>
              <w:jc w:val="left"/>
            </w:pPr>
            <w:r>
              <w:t xml:space="preserve">MySQL (InnoDB)</w:t>
            </w:r>
          </w:p>
        </w:tc>
      </w:tr>
      <w:tr>
        <w:tc>
          <w:tcPr/>
          <w:p>
            <w:pPr>
              <w:pStyle w:val="Compact"/>
              <w:jc w:val="left"/>
            </w:pPr>
            <w:r>
              <w:t xml:space="preserve">What it is</w:t>
            </w:r>
          </w:p>
        </w:tc>
        <w:tc>
          <w:tcPr/>
          <w:p>
            <w:pPr>
              <w:pStyle w:val="Compact"/>
              <w:jc w:val="left"/>
            </w:pPr>
            <w:r>
              <w:t xml:space="preserve">Extensible object-relational database; PostgreSQL License</w:t>
            </w:r>
          </w:p>
        </w:tc>
        <w:tc>
          <w:tcPr/>
          <w:p>
            <w:pPr>
              <w:pStyle w:val="Compact"/>
              <w:jc w:val="left"/>
            </w:pPr>
            <w:r>
              <w:t xml:space="preserve">Relational database; GPLv2 community edition plus commercial editions (Oracle)</w:t>
            </w:r>
          </w:p>
        </w:tc>
      </w:tr>
      <w:tr>
        <w:tc>
          <w:tcPr/>
          <w:p>
            <w:pPr>
              <w:pStyle w:val="Compact"/>
              <w:jc w:val="left"/>
            </w:pPr>
            <w:r>
              <w:t xml:space="preserve">How it works</w:t>
            </w:r>
          </w:p>
        </w:tc>
        <w:tc>
          <w:tcPr/>
          <w:p>
            <w:pPr>
              <w:pStyle w:val="Compact"/>
              <w:jc w:val="left"/>
            </w:pPr>
            <w:r>
              <w:t xml:space="preserve">Heap tables, all indexes secondary (TID pointers); MVCC versions in heap; VACUUM; process per connection; 8 KiB pages</w:t>
            </w:r>
          </w:p>
        </w:tc>
        <w:tc>
          <w:tcPr/>
          <w:p>
            <w:pPr>
              <w:pStyle w:val="Compact"/>
              <w:jc w:val="left"/>
            </w:pPr>
            <w:r>
              <w:t xml:space="preserve">Index-organized tables clustered on PK; secondary indexes store PK; MVCC via undo logs; purge; thread per connection; 16 KiB pages</w:t>
            </w:r>
          </w:p>
        </w:tc>
      </w:tr>
      <w:tr>
        <w:tc>
          <w:tcPr/>
          <w:p>
            <w:pPr>
              <w:pStyle w:val="Compact"/>
              <w:jc w:val="left"/>
            </w:pPr>
            <w:r>
              <w:t xml:space="preserve">Advantages</w:t>
            </w:r>
          </w:p>
        </w:tc>
        <w:tc>
          <w:tcPr/>
          <w:p>
            <w:pPr>
              <w:pStyle w:val="Compact"/>
              <w:jc w:val="left"/>
            </w:pPr>
            <w:r>
              <w:t xml:space="preserve">Rich SQL (CTEs, window functions,</w:t>
            </w:r>
            <w:r>
              <w:t xml:space="preserve"> </w:t>
            </w:r>
            <w:r>
              <w:rPr>
                <w:rStyle w:val="VerbatimChar"/>
              </w:rPr>
              <w:t xml:space="preserve">JSONB</w:t>
            </w:r>
            <w:r>
              <w:t xml:space="preserve">, partial/expression indexes, GIN/GiST/BRIN), transactional DDL, SSI serializable, extensions (PostGIS, pgvector)</w:t>
            </w:r>
          </w:p>
        </w:tc>
        <w:tc>
          <w:tcPr/>
          <w:p>
            <w:pPr>
              <w:pStyle w:val="Compact"/>
              <w:jc w:val="left"/>
            </w:pPr>
            <w:r>
              <w:t xml:space="preserve">Fast PK lookups and PK range scans, compact secondary-index updates, mature replication tooling, very wide hosting and operator familiarity</w:t>
            </w:r>
          </w:p>
        </w:tc>
      </w:tr>
      <w:tr>
        <w:tc>
          <w:tcPr/>
          <w:p>
            <w:pPr>
              <w:pStyle w:val="Compact"/>
              <w:jc w:val="left"/>
            </w:pPr>
            <w:r>
              <w:t xml:space="preserve">Disadvantages</w:t>
            </w:r>
          </w:p>
        </w:tc>
        <w:tc>
          <w:tcPr/>
          <w:p>
            <w:pPr>
              <w:pStyle w:val="Compact"/>
              <w:jc w:val="left"/>
            </w:pPr>
            <w:r>
              <w:t xml:space="preserve">Vacuum tuning and XID wraparound; non-HOT updates touch every index; connections are costly (needs a pooler, §14.13)</w:t>
            </w:r>
          </w:p>
        </w:tc>
        <w:tc>
          <w:tcPr/>
          <w:p>
            <w:pPr>
              <w:pStyle w:val="Compact"/>
              <w:jc w:val="left"/>
            </w:pPr>
            <w:r>
              <w:t xml:space="preserve">No partial indexes; DDL not transactional (atomic since 8.0, but commits implicitly); REPEATABLE READ allows lost updates; gap-lock surprises</w:t>
            </w:r>
          </w:p>
        </w:tc>
      </w:tr>
      <w:tr>
        <w:tc>
          <w:tcPr/>
          <w:p>
            <w:pPr>
              <w:pStyle w:val="Compact"/>
              <w:jc w:val="left"/>
            </w:pPr>
            <w:r>
              <w:t xml:space="preserve">Performance</w:t>
            </w:r>
          </w:p>
        </w:tc>
        <w:tc>
          <w:tcPr/>
          <w:p>
            <w:pPr>
              <w:pStyle w:val="Compact"/>
              <w:jc w:val="left"/>
            </w:pPr>
            <w:r>
              <w:t xml:space="preserve">Strong on complex queries, joins and analytics-style SQL; good write throughput when HOT applies</w:t>
            </w:r>
          </w:p>
        </w:tc>
        <w:tc>
          <w:tcPr/>
          <w:p>
            <w:pPr>
              <w:pStyle w:val="Compact"/>
              <w:jc w:val="left"/>
            </w:pPr>
            <w:r>
              <w:t xml:space="preserve">Strong on simple PK-centric OLTP and high connection counts; secondary lookups cost two tree descents</w:t>
            </w:r>
          </w:p>
        </w:tc>
      </w:tr>
      <w:tr>
        <w:tc>
          <w:tcPr/>
          <w:p>
            <w:pPr>
              <w:pStyle w:val="Compact"/>
              <w:jc w:val="left"/>
            </w:pPr>
            <w:r>
              <w:t xml:space="preserve">Operational complexity</w:t>
            </w:r>
          </w:p>
        </w:tc>
        <w:tc>
          <w:tcPr/>
          <w:p>
            <w:pPr>
              <w:pStyle w:val="Compact"/>
              <w:jc w:val="left"/>
            </w:pPr>
            <w:r>
              <w:t xml:space="preserve">Autovacuum, bloat and freeze monitoring; major-version upgrades via</w:t>
            </w:r>
            <w:r>
              <w:t xml:space="preserve"> </w:t>
            </w:r>
            <w:r>
              <w:rPr>
                <w:rStyle w:val="VerbatimChar"/>
              </w:rPr>
              <w:t xml:space="preserve">pg_upgrade</w:t>
            </w:r>
            <w:r>
              <w:t xml:space="preserve"> </w:t>
            </w:r>
            <w:r>
              <w:t xml:space="preserve">or logical replication</w:t>
            </w:r>
          </w:p>
        </w:tc>
        <w:tc>
          <w:tcPr/>
          <w:p>
            <w:pPr>
              <w:pStyle w:val="Compact"/>
              <w:jc w:val="left"/>
            </w:pPr>
            <w:r>
              <w:t xml:space="preserve">Purge lag and undo growth; online schema change tools for large tables</w:t>
            </w:r>
          </w:p>
        </w:tc>
      </w:tr>
      <w:tr>
        <w:tc>
          <w:tcPr/>
          <w:p>
            <w:pPr>
              <w:pStyle w:val="Compact"/>
              <w:jc w:val="left"/>
            </w:pPr>
            <w:r>
              <w:t xml:space="preserve">Cost</w:t>
            </w:r>
          </w:p>
        </w:tc>
        <w:tc>
          <w:tcPr/>
          <w:p>
            <w:pPr>
              <w:pStyle w:val="Compact"/>
              <w:jc w:val="left"/>
            </w:pPr>
            <w:r>
              <w:t xml:space="preserve">Free; managed offerings on all major clouds</w:t>
            </w:r>
          </w:p>
        </w:tc>
        <w:tc>
          <w:tcPr/>
          <w:p>
            <w:pPr>
              <w:pStyle w:val="Compact"/>
              <w:jc w:val="left"/>
            </w:pPr>
            <w:r>
              <w:t xml:space="preserve">Free community edition; managed offerings on all major clouds; commercial support from Oracle</w:t>
            </w:r>
          </w:p>
        </w:tc>
      </w:tr>
      <w:tr>
        <w:tc>
          <w:tcPr/>
          <w:p>
            <w:pPr>
              <w:pStyle w:val="Compact"/>
              <w:jc w:val="left"/>
            </w:pPr>
            <w:r>
              <w:t xml:space="preserve">Use cases</w:t>
            </w:r>
          </w:p>
        </w:tc>
        <w:tc>
          <w:tcPr/>
          <w:p>
            <w:pPr>
              <w:pStyle w:val="Compact"/>
              <w:jc w:val="left"/>
            </w:pPr>
            <w:r>
              <w:t xml:space="preserve">Complex domains, geospatial, JSON-heavy data, mixed OLTP and reporting</w:t>
            </w:r>
          </w:p>
        </w:tc>
        <w:tc>
          <w:tcPr/>
          <w:p>
            <w:pPr>
              <w:pStyle w:val="Compact"/>
              <w:jc w:val="left"/>
            </w:pPr>
            <w:r>
              <w:t xml:space="preserve">High-volume web OLTP with simple access patterns; large existing MySQL ecosystems</w:t>
            </w:r>
          </w:p>
        </w:tc>
      </w:tr>
      <w:tr>
        <w:tc>
          <w:tcPr/>
          <w:p>
            <w:pPr>
              <w:pStyle w:val="Compact"/>
              <w:jc w:val="left"/>
            </w:pPr>
            <w:r>
              <w:t xml:space="preserve">Choose when</w:t>
            </w:r>
          </w:p>
        </w:tc>
        <w:tc>
          <w:tcPr/>
          <w:p>
            <w:pPr>
              <w:pStyle w:val="Compact"/>
              <w:jc w:val="left"/>
            </w:pPr>
            <w:r>
              <w:t xml:space="preserve">You need advanced SQL, data types, extensions or serializable isolation</w:t>
            </w:r>
          </w:p>
        </w:tc>
        <w:tc>
          <w:tcPr/>
          <w:p>
            <w:pPr>
              <w:pStyle w:val="Compact"/>
              <w:jc w:val="left"/>
            </w:pPr>
            <w:r>
              <w:t xml:space="preserve">Your team and tooling know MySQL, or the workload is dominated by PK access and you rely on its replication ecosystem</w:t>
            </w:r>
          </w:p>
        </w:tc>
      </w:tr>
    </w:tbl>
    <w:p>
      <w:pPr>
        <w:pStyle w:val="BodyText"/>
      </w:pPr>
      <w:r>
        <w:rPr>
          <w:bCs/>
          <w:b/>
        </w:rPr>
        <w:t xml:space="preserve">Table 11.12 — Defaults and behaviors that change application code.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Behavior</w:t>
            </w:r>
          </w:p>
        </w:tc>
        <w:tc>
          <w:tcPr/>
          <w:p>
            <w:pPr>
              <w:pStyle w:val="Compact"/>
              <w:jc w:val="left"/>
            </w:pPr>
            <w:r>
              <w:t xml:space="preserve">PostgreSQL</w:t>
            </w:r>
          </w:p>
        </w:tc>
        <w:tc>
          <w:tcPr/>
          <w:p>
            <w:pPr>
              <w:pStyle w:val="Compact"/>
              <w:jc w:val="left"/>
            </w:pPr>
            <w:r>
              <w:t xml:space="preserve">MySQL InnoDB</w:t>
            </w:r>
          </w:p>
        </w:tc>
      </w:tr>
      <w:tr>
        <w:tc>
          <w:tcPr/>
          <w:p>
            <w:pPr>
              <w:pStyle w:val="Compact"/>
              <w:jc w:val="left"/>
            </w:pPr>
            <w:r>
              <w:t xml:space="preserve">Default isolation level</w:t>
            </w:r>
          </w:p>
        </w:tc>
        <w:tc>
          <w:tcPr/>
          <w:p>
            <w:pPr>
              <w:pStyle w:val="Compact"/>
              <w:jc w:val="left"/>
            </w:pPr>
            <w:r>
              <w:t xml:space="preserve">READ COMMITTED</w:t>
            </w:r>
          </w:p>
        </w:tc>
        <w:tc>
          <w:tcPr/>
          <w:p>
            <w:pPr>
              <w:pStyle w:val="Compact"/>
              <w:jc w:val="left"/>
            </w:pPr>
            <w:r>
              <w:t xml:space="preserve">REPEATABLE READ</w:t>
            </w:r>
          </w:p>
        </w:tc>
      </w:tr>
      <w:tr>
        <w:tc>
          <w:tcPr/>
          <w:p>
            <w:pPr>
              <w:pStyle w:val="Compact"/>
              <w:jc w:val="left"/>
            </w:pPr>
            <w:r>
              <w:t xml:space="preserve">Serializable implementation</w:t>
            </w:r>
          </w:p>
        </w:tc>
        <w:tc>
          <w:tcPr/>
          <w:p>
            <w:pPr>
              <w:pStyle w:val="Compact"/>
              <w:jc w:val="left"/>
            </w:pPr>
            <w:r>
              <w:t xml:space="preserve">SSI (optimistic, aborts)</w:t>
            </w:r>
          </w:p>
        </w:tc>
        <w:tc>
          <w:tcPr/>
          <w:p>
            <w:pPr>
              <w:pStyle w:val="Compact"/>
              <w:jc w:val="left"/>
            </w:pPr>
            <w:r>
              <w:t xml:space="preserve">2PL with shared locks (blocking)</w:t>
            </w:r>
          </w:p>
        </w:tc>
      </w:tr>
      <w:tr>
        <w:tc>
          <w:tcPr/>
          <w:p>
            <w:pPr>
              <w:pStyle w:val="Compact"/>
              <w:jc w:val="left"/>
            </w:pPr>
            <w:r>
              <w:t xml:space="preserve">Phantom protection at REPEATABLE READ</w:t>
            </w:r>
          </w:p>
        </w:tc>
        <w:tc>
          <w:tcPr/>
          <w:p>
            <w:pPr>
              <w:pStyle w:val="Compact"/>
              <w:jc w:val="left"/>
            </w:pPr>
            <w:r>
              <w:t xml:space="preserve">Snapshot</w:t>
            </w:r>
          </w:p>
        </w:tc>
        <w:tc>
          <w:tcPr/>
          <w:p>
            <w:pPr>
              <w:pStyle w:val="Compact"/>
              <w:jc w:val="left"/>
            </w:pPr>
            <w:r>
              <w:t xml:space="preserve">Snapshot for reads; next-key locks for locking reads</w:t>
            </w:r>
          </w:p>
        </w:tc>
      </w:tr>
      <w:tr>
        <w:tc>
          <w:tcPr/>
          <w:p>
            <w:pPr>
              <w:pStyle w:val="Compact"/>
              <w:jc w:val="left"/>
            </w:pPr>
            <w:r>
              <w:t xml:space="preserve">Join algorithms</w:t>
            </w:r>
          </w:p>
        </w:tc>
        <w:tc>
          <w:tcPr/>
          <w:p>
            <w:pPr>
              <w:pStyle w:val="Compact"/>
              <w:jc w:val="left"/>
            </w:pPr>
            <w:r>
              <w:t xml:space="preserve">Nested loop, hash, merge</w:t>
            </w:r>
          </w:p>
        </w:tc>
        <w:tc>
          <w:tcPr/>
          <w:p>
            <w:pPr>
              <w:pStyle w:val="Compact"/>
              <w:jc w:val="left"/>
            </w:pPr>
            <w:r>
              <w:t xml:space="preserve">Nested loop, hash (8.0.18+)</w:t>
            </w:r>
          </w:p>
        </w:tc>
      </w:tr>
      <w:tr>
        <w:tc>
          <w:tcPr/>
          <w:p>
            <w:pPr>
              <w:pStyle w:val="Compact"/>
              <w:jc w:val="left"/>
            </w:pPr>
            <w:r>
              <w:t xml:space="preserve">Partial indexes</w:t>
            </w:r>
          </w:p>
        </w:tc>
        <w:tc>
          <w:tcPr/>
          <w:p>
            <w:pPr>
              <w:pStyle w:val="Compact"/>
              <w:jc w:val="left"/>
            </w:pPr>
            <w:r>
              <w:t xml:space="preserve">Yes</w:t>
            </w:r>
          </w:p>
        </w:tc>
        <w:tc>
          <w:tcPr/>
          <w:p>
            <w:pPr>
              <w:pStyle w:val="Compact"/>
              <w:jc w:val="left"/>
            </w:pPr>
            <w:r>
              <w:t xml:space="preserve">No</w:t>
            </w:r>
          </w:p>
        </w:tc>
      </w:tr>
      <w:tr>
        <w:tc>
          <w:tcPr/>
          <w:p>
            <w:pPr>
              <w:pStyle w:val="Compact"/>
              <w:jc w:val="left"/>
            </w:pPr>
            <w:r>
              <w:rPr>
                <w:rStyle w:val="VerbatimChar"/>
              </w:rPr>
              <w:t xml:space="preserve">INCLUDE</w:t>
            </w:r>
            <w:r>
              <w:t xml:space="preserve"> </w:t>
            </w:r>
            <w:r>
              <w:t xml:space="preserve">covering columns</w:t>
            </w:r>
          </w:p>
        </w:tc>
        <w:tc>
          <w:tcPr/>
          <w:p>
            <w:pPr>
              <w:pStyle w:val="Compact"/>
              <w:jc w:val="left"/>
            </w:pPr>
            <w:r>
              <w:t xml:space="preserve">Yes (11+)</w:t>
            </w:r>
          </w:p>
        </w:tc>
        <w:tc>
          <w:tcPr/>
          <w:p>
            <w:pPr>
              <w:pStyle w:val="Compact"/>
              <w:jc w:val="left"/>
            </w:pPr>
            <w:r>
              <w:t xml:space="preserve">Implicit PK only</w:t>
            </w:r>
          </w:p>
        </w:tc>
      </w:tr>
      <w:tr>
        <w:tc>
          <w:tcPr/>
          <w:p>
            <w:pPr>
              <w:pStyle w:val="Compact"/>
              <w:jc w:val="left"/>
            </w:pPr>
            <w:r>
              <w:t xml:space="preserve">Deadlock detection</w:t>
            </w:r>
          </w:p>
        </w:tc>
        <w:tc>
          <w:tcPr/>
          <w:p>
            <w:pPr>
              <w:pStyle w:val="Compact"/>
              <w:jc w:val="left"/>
            </w:pPr>
            <w:r>
              <w:t xml:space="preserve">After</w:t>
            </w:r>
            <w:r>
              <w:t xml:space="preserve"> </w:t>
            </w:r>
            <w:r>
              <w:rPr>
                <w:rStyle w:val="VerbatimChar"/>
              </w:rPr>
              <w:t xml:space="preserve">deadlock_timeout</w:t>
            </w:r>
            <w:r>
              <w:t xml:space="preserve"> </w:t>
            </w:r>
            <w:r>
              <w:t xml:space="preserve">(1 s)</w:t>
            </w:r>
          </w:p>
        </w:tc>
        <w:tc>
          <w:tcPr/>
          <w:p>
            <w:pPr>
              <w:pStyle w:val="Compact"/>
              <w:jc w:val="left"/>
            </w:pPr>
            <w:r>
              <w:t xml:space="preserve">Immediate by default</w:t>
            </w:r>
          </w:p>
        </w:tc>
      </w:tr>
    </w:tbl>
    <w:p>
      <w:pPr>
        <w:pStyle w:val="CalloutIndustry"/>
      </w:pPr>
      <w:r>
        <w:rPr>
          <w:bCs/>
          <w:b/>
        </w:rPr>
        <w:t xml:space="preserve">INDUSTRY EXAMPLE</w:t>
      </w:r>
    </w:p>
    <w:p>
      <w:pPr>
        <w:pStyle w:val="CalloutIndustry"/>
      </w:pPr>
      <w:r>
        <w:rPr>
          <w:bCs/>
          <w:b/>
        </w:rPr>
        <w:t xml:space="preserve">Uber — moving a core datastore from PostgreSQL to MySQL (2016).</w:t>
      </w:r>
      <w:r>
        <w:t xml:space="preserve"> </w:t>
      </w:r>
      <w:r>
        <w:t xml:space="preserve">Uber’s engineering blog attributed the move to PostgreSQL’s physical design at its scale: non-HOT updates write new entries in every index (write amplification), physical WAL replication shipped those amplified changes across data centers, and MVCC on replicas interacted badly with long queries. InnoDB’s PK-pointer secondary indexes and row-based replication fit its write pattern better. PostgreSQL practitioners responded with mitigations (HOT-friendly schemas,</w:t>
      </w:r>
      <w:r>
        <w:t xml:space="preserve"> </w:t>
      </w:r>
      <w:r>
        <w:rPr>
          <w:rStyle w:val="VerbatimChar"/>
        </w:rPr>
        <w:t xml:space="preserve">fillfactor</w:t>
      </w:r>
      <w:r>
        <w:t xml:space="preserve">, logical replication). The lesson is to match storage design to workload.</w:t>
      </w:r>
      <w:r>
        <w:t xml:space="preserve"> </w:t>
      </w:r>
      <w:r>
        <w:rPr>
          <w:iCs/>
          <w:i/>
        </w:rPr>
        <w:t xml:space="preserve">Evidence: Primary</w:t>
      </w:r>
      <w:r>
        <w:t xml:space="preserve"> </w:t>
      </w:r>
      <w:r>
        <w:t xml:space="preserve">— [Klitzke 2016]</w:t>
      </w:r>
    </w:p>
    <w:bookmarkEnd w:id="1287"/>
    <w:bookmarkEnd w:id="1288"/>
    <w:bookmarkStart w:id="1295" w:name="data-modeling-for-a-real-application"/>
    <w:p>
      <w:pPr>
        <w:pStyle w:val="Heading2"/>
      </w:pPr>
      <w:r>
        <w:t xml:space="preserve">11.17 Data modeling for a real application</w:t>
      </w:r>
    </w:p>
    <w:bookmarkStart w:id="1292" w:name="requirements-to-schema"/>
    <w:p>
      <w:pPr>
        <w:pStyle w:val="Heading3"/>
      </w:pPr>
      <w:r>
        <w:t xml:space="preserve">11.17.1 Requirements to schema</w:t>
      </w:r>
    </w:p>
    <w:p>
      <w:pPr>
        <w:pStyle w:val="FirstParagraph"/>
      </w:pPr>
      <w:r>
        <w:t xml:space="preserve">The order service must reserve stock and create an order atomically, never oversell, accept retries without duplicates, record payments, show order history newest first and report best sellers. We model it in five steps:</w:t>
      </w:r>
    </w:p>
    <w:p>
      <w:pPr>
        <w:numPr>
          <w:ilvl w:val="0"/>
          <w:numId w:val="1390"/>
        </w:numPr>
        <w:pStyle w:val="Compact"/>
      </w:pPr>
      <w:r>
        <w:rPr>
          <w:bCs/>
          <w:b/>
        </w:rPr>
        <w:t xml:space="preserve">Entities and relationships</w:t>
      </w:r>
      <w:r>
        <w:t xml:space="preserve"> </w:t>
      </w:r>
      <w:r>
        <w:t xml:space="preserve">from nouns and verbs: customers</w:t>
      </w:r>
      <w:r>
        <w:t xml:space="preserve"> </w:t>
      </w:r>
      <w:r>
        <w:rPr>
          <w:iCs/>
          <w:i/>
        </w:rPr>
        <w:t xml:space="preserve">place</w:t>
      </w:r>
      <w:r>
        <w:t xml:space="preserve"> </w:t>
      </w:r>
      <w:r>
        <w:t xml:space="preserve">orders; orders</w:t>
      </w:r>
      <w:r>
        <w:t xml:space="preserve"> </w:t>
      </w:r>
      <w:r>
        <w:rPr>
          <w:iCs/>
          <w:i/>
        </w:rPr>
        <w:t xml:space="preserve">contain</w:t>
      </w:r>
      <w:r>
        <w:t xml:space="preserve"> </w:t>
      </w:r>
      <w:r>
        <w:t xml:space="preserve">items; items</w:t>
      </w:r>
      <w:r>
        <w:t xml:space="preserve"> </w:t>
      </w:r>
      <w:r>
        <w:rPr>
          <w:iCs/>
          <w:i/>
        </w:rPr>
        <w:t xml:space="preserve">reference</w:t>
      </w:r>
      <w:r>
        <w:t xml:space="preserve"> </w:t>
      </w:r>
      <w:r>
        <w:t xml:space="preserve">products; products</w:t>
      </w:r>
      <w:r>
        <w:t xml:space="preserve"> </w:t>
      </w:r>
      <w:r>
        <w:rPr>
          <w:iCs/>
          <w:i/>
        </w:rPr>
        <w:t xml:space="preserve">have</w:t>
      </w:r>
      <w:r>
        <w:t xml:space="preserve"> </w:t>
      </w:r>
      <w:r>
        <w:t xml:space="preserve">inventory; orders are</w:t>
      </w:r>
      <w:r>
        <w:t xml:space="preserve"> </w:t>
      </w:r>
      <w:r>
        <w:rPr>
          <w:iCs/>
          <w:i/>
        </w:rPr>
        <w:t xml:space="preserve">paid by</w:t>
      </w:r>
      <w:r>
        <w:t xml:space="preserve"> </w:t>
      </w:r>
      <w:r>
        <w:t xml:space="preserve">payments.</w:t>
      </w:r>
    </w:p>
    <w:p>
      <w:pPr>
        <w:numPr>
          <w:ilvl w:val="0"/>
          <w:numId w:val="1390"/>
        </w:numPr>
        <w:pStyle w:val="Compact"/>
      </w:pPr>
      <w:r>
        <w:rPr>
          <w:bCs/>
          <w:b/>
        </w:rPr>
        <w:t xml:space="preserve">Keys</w:t>
      </w:r>
      <w:r>
        <w:t xml:space="preserve">:</w:t>
      </w:r>
      <w:r>
        <w:t xml:space="preserve"> </w:t>
      </w:r>
      <w:r>
        <w:rPr>
          <w:rStyle w:val="VerbatimChar"/>
        </w:rPr>
        <w:t xml:space="preserve">bigint</w:t>
      </w:r>
      <w:r>
        <w:t xml:space="preserve"> </w:t>
      </w:r>
      <w:r>
        <w:t xml:space="preserve">identity surrogates; natural keys (</w:t>
      </w:r>
      <w:r>
        <w:rPr>
          <w:rStyle w:val="VerbatimChar"/>
        </w:rPr>
        <w:t xml:space="preserve">email</w:t>
      </w:r>
      <w:r>
        <w:t xml:space="preserve">,</w:t>
      </w:r>
      <w:r>
        <w:t xml:space="preserve"> </w:t>
      </w:r>
      <w:r>
        <w:rPr>
          <w:rStyle w:val="VerbatimChar"/>
        </w:rPr>
        <w:t xml:space="preserve">sku</w:t>
      </w:r>
      <w:r>
        <w:t xml:space="preserve">,</w:t>
      </w:r>
      <w:r>
        <w:t xml:space="preserve"> </w:t>
      </w:r>
      <w:r>
        <w:rPr>
          <w:rStyle w:val="VerbatimChar"/>
        </w:rPr>
        <w:t xml:space="preserve">provider_ref</w:t>
      </w:r>
      <w:r>
        <w:t xml:space="preserve">,</w:t>
      </w:r>
      <w:r>
        <w:t xml:space="preserve"> </w:t>
      </w:r>
      <w:r>
        <w:rPr>
          <w:rStyle w:val="VerbatimChar"/>
        </w:rPr>
        <w:t xml:space="preserve">idempotency_key</w:t>
      </w:r>
      <w:r>
        <w:t xml:space="preserve">) as</w:t>
      </w:r>
      <w:r>
        <w:t xml:space="preserve"> </w:t>
      </w:r>
      <w:r>
        <w:rPr>
          <w:rStyle w:val="VerbatimChar"/>
        </w:rPr>
        <w:t xml:space="preserve">UNIQUE</w:t>
      </w:r>
      <w:r>
        <w:t xml:space="preserve">.</w:t>
      </w:r>
    </w:p>
    <w:p>
      <w:pPr>
        <w:numPr>
          <w:ilvl w:val="0"/>
          <w:numId w:val="1390"/>
        </w:numPr>
        <w:pStyle w:val="Compact"/>
      </w:pPr>
      <w:r>
        <w:rPr>
          <w:bCs/>
          <w:b/>
        </w:rPr>
        <w:t xml:space="preserve">Normalize</w:t>
      </w:r>
      <w:r>
        <w:t xml:space="preserve"> </w:t>
      </w:r>
      <w:r>
        <w:t xml:space="preserve">to BCNF (§11.5), keeping historical facts (</w:t>
      </w:r>
      <w:r>
        <w:rPr>
          <w:rStyle w:val="VerbatimChar"/>
        </w:rPr>
        <w:t xml:space="preserve">unit_price_cents</w:t>
      </w:r>
      <w:r>
        <w:t xml:space="preserve">,</w:t>
      </w:r>
      <w:r>
        <w:t xml:space="preserve"> </w:t>
      </w:r>
      <w:r>
        <w:rPr>
          <w:rStyle w:val="VerbatimChar"/>
        </w:rPr>
        <w:t xml:space="preserve">ship_to</w:t>
      </w:r>
      <w:r>
        <w:t xml:space="preserve">) on the order.</w:t>
      </w:r>
    </w:p>
    <w:p>
      <w:pPr>
        <w:numPr>
          <w:ilvl w:val="0"/>
          <w:numId w:val="1390"/>
        </w:numPr>
        <w:pStyle w:val="Compact"/>
      </w:pPr>
      <w:r>
        <w:rPr>
          <w:bCs/>
          <w:b/>
        </w:rPr>
        <w:t xml:space="preserve">Invariants as constraints</w:t>
      </w:r>
      <w:r>
        <w:t xml:space="preserve">:</w:t>
      </w:r>
      <w:r>
        <w:t xml:space="preserve"> </w:t>
      </w:r>
      <w:r>
        <w:rPr>
          <w:rStyle w:val="VerbatimChar"/>
        </w:rPr>
        <w:t xml:space="preserve">CHECK (on_hand &gt;= 0)</w:t>
      </w:r>
      <w:r>
        <w:t xml:space="preserve"> </w:t>
      </w:r>
      <w:r>
        <w:t xml:space="preserve">makes overselling impossible.</w:t>
      </w:r>
    </w:p>
    <w:p>
      <w:pPr>
        <w:numPr>
          <w:ilvl w:val="0"/>
          <w:numId w:val="1390"/>
        </w:numPr>
        <w:pStyle w:val="Compact"/>
      </w:pPr>
      <w:r>
        <w:rPr>
          <w:bCs/>
          <w:b/>
        </w:rPr>
        <w:t xml:space="preserve">Indexes from queries</w:t>
      </w:r>
      <w:r>
        <w:t xml:space="preserve">: one per access path, and no others.</w:t>
      </w:r>
    </w:p>
    <w:p>
      <w:pPr>
        <w:pStyle w:val="FirstParagraph"/>
      </w:pPr>
      <w:r>
        <w:rPr>
          <w:bCs/>
          <w:b/>
        </w:rPr>
        <w:t xml:space="preserve">Figure 11.12 — Entity–relationship diagram of the order system.</w:t>
      </w:r>
    </w:p>
    <w:p>
      <w:pPr>
        <w:pStyle w:val="BodyText"/>
      </w:pPr>
      <w:r>
        <w:drawing>
          <wp:inline>
            <wp:extent cx="5334000" cy="4731087"/>
            <wp:effectExtent b="0" l="0" r="0" t="0"/>
            <wp:docPr descr="" title="" id="1290" name="Picture"/>
            <a:graphic>
              <a:graphicData uri="http://schemas.openxmlformats.org/drawingml/2006/picture">
                <pic:pic>
                  <pic:nvPicPr>
                    <pic:cNvPr descr="/home/user/System-Design/build/.cache/diagrams/30ea180e4e86.png" id="1291" name="Picture"/>
                    <pic:cNvPicPr>
                      <a:picLocks noChangeArrowheads="1" noChangeAspect="1"/>
                    </pic:cNvPicPr>
                  </pic:nvPicPr>
                  <pic:blipFill>
                    <a:blip r:embed="rId1289"/>
                    <a:stretch>
                      <a:fillRect/>
                    </a:stretch>
                  </pic:blipFill>
                  <pic:spPr bwMode="auto">
                    <a:xfrm>
                      <a:off x="0" y="0"/>
                      <a:ext cx="5334000" cy="4731087"/>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Each box is a table with key markers (PK, FK, UK); crow’s-foot lines give cardinality: a customer places zero or more orders, an order has one or more items, a product has exactly one inventory row, an order has zero or more payment attempts. Every line is a foreign key enforced synchronously inside one database, the single storage boundary. Failure points are rows many transactions touch: the</w:t>
      </w:r>
      <w:r>
        <w:t xml:space="preserve"> </w:t>
      </w:r>
      <w:r>
        <w:rPr>
          <w:rStyle w:val="VerbatimChar"/>
        </w:rPr>
        <w:t xml:space="preserve">inventory</w:t>
      </w:r>
      <w:r>
        <w:t xml:space="preserve"> </w:t>
      </w:r>
      <w:r>
        <w:t xml:space="preserve">rows of popular products (§11.15.3). Scaling: read replicas for history and reports (§14.3), then partitioning orders and items by</w:t>
      </w:r>
      <w:r>
        <w:t xml:space="preserve"> </w:t>
      </w:r>
      <w:r>
        <w:rPr>
          <w:rStyle w:val="VerbatimChar"/>
        </w:rPr>
        <w:t xml:space="preserve">customer_id</w:t>
      </w:r>
      <w:r>
        <w:t xml:space="preserve"> </w:t>
      </w:r>
      <w:r>
        <w:t xml:space="preserve">(§14.7).</w:t>
      </w:r>
    </w:p>
    <w:bookmarkEnd w:id="1292"/>
    <w:bookmarkStart w:id="1293" w:name="ddl-postgresql"/>
    <w:p>
      <w:pPr>
        <w:pStyle w:val="Heading3"/>
      </w:pPr>
      <w:r>
        <w:t xml:space="preserve">11.17.2 DDL (PostgreSQL)</w:t>
      </w:r>
    </w:p>
    <w:p>
      <w:pPr>
        <w:pStyle w:val="FirstParagraph"/>
      </w:pPr>
      <w:r>
        <w:t xml:space="preserve">The following DDL was run on PostgreSQL 16:</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customers (</w:t>
      </w:r>
      <w:r>
        <w:br/>
      </w:r>
      <w:r>
        <w:rPr>
          <w:rStyle w:val="NormalTok"/>
        </w:rPr>
        <w:t xml:space="preserve">  customer_id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email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full_name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city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products (</w:t>
      </w:r>
      <w:r>
        <w:br/>
      </w:r>
      <w:r>
        <w:rPr>
          <w:rStyle w:val="NormalTok"/>
        </w:rPr>
        <w:t xml:space="preserve">  product_id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sku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price_cents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(price_cents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inventory (</w:t>
      </w:r>
      <w:r>
        <w:br/>
      </w:r>
      <w:r>
        <w:rPr>
          <w:rStyle w:val="NormalTok"/>
        </w:rPr>
        <w:t xml:space="preserve">  product_id   bigint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REFERENCES</w:t>
      </w:r>
      <w:r>
        <w:rPr>
          <w:rStyle w:val="NormalTok"/>
        </w:rPr>
        <w:t xml:space="preserve"> products,</w:t>
      </w:r>
      <w:r>
        <w:br/>
      </w:r>
      <w:r>
        <w:rPr>
          <w:rStyle w:val="NormalTok"/>
        </w:rPr>
        <w:t xml:space="preserve">  on_hand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(on_hand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orders (</w:t>
      </w:r>
      <w:r>
        <w:br/>
      </w:r>
      <w:r>
        <w:rPr>
          <w:rStyle w:val="NormalTok"/>
        </w:rPr>
        <w:t xml:space="preserve">  order_id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customer_id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customers,</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'pending'</w:t>
      </w:r>
      <w:r>
        <w:rPr>
          <w:rStyle w:val="NormalTok"/>
        </w:rPr>
        <w:t xml:space="preserve">,</w:t>
      </w:r>
      <w:r>
        <w:rPr>
          <w:rStyle w:val="StringTok"/>
        </w:rPr>
        <w:t xml:space="preserve">'paid'</w:t>
      </w:r>
      <w:r>
        <w:rPr>
          <w:rStyle w:val="NormalTok"/>
        </w:rPr>
        <w:t xml:space="preserve">,</w:t>
      </w:r>
      <w:r>
        <w:rPr>
          <w:rStyle w:val="StringTok"/>
        </w:rPr>
        <w:t xml:space="preserve">'shipped'</w:t>
      </w:r>
      <w:r>
        <w:rPr>
          <w:rStyle w:val="NormalTok"/>
        </w:rPr>
        <w:t xml:space="preserve">,</w:t>
      </w:r>
      <w:r>
        <w:rPr>
          <w:rStyle w:val="StringTok"/>
        </w:rPr>
        <w:t xml:space="preserve">'cancelled'</w:t>
      </w:r>
      <w:r>
        <w:rPr>
          <w:rStyle w:val="NormalTok"/>
        </w:rPr>
        <w:t xml:space="preserve">)),</w:t>
      </w:r>
      <w:r>
        <w:br/>
      </w:r>
      <w:r>
        <w:rPr>
          <w:rStyle w:val="NormalTok"/>
        </w:rPr>
        <w:t xml:space="preserve">  ship_to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total_cents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(total_cents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idempotency_key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order_items (</w:t>
      </w:r>
      <w:r>
        <w:br/>
      </w:r>
      <w:r>
        <w:rPr>
          <w:rStyle w:val="NormalTok"/>
        </w:rPr>
        <w:t xml:space="preserve">  order_id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orders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line_no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product_id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products,</w:t>
      </w:r>
      <w:r>
        <w:br/>
      </w:r>
      <w:r>
        <w:rPr>
          <w:rStyle w:val="NormalTok"/>
        </w:rPr>
        <w:t xml:space="preserve">  quantity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(quantity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unit_price_cents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(unit_price_cents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(order_id, line_no)</w:t>
      </w:r>
      <w:r>
        <w:br/>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payments (</w:t>
      </w:r>
      <w:r>
        <w:br/>
      </w:r>
      <w:r>
        <w:rPr>
          <w:rStyle w:val="NormalTok"/>
        </w:rPr>
        <w:t xml:space="preserve">  payment_id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order_id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orders,</w:t>
      </w:r>
      <w:r>
        <w:br/>
      </w:r>
      <w:r>
        <w:rPr>
          <w:rStyle w:val="NormalTok"/>
        </w:rPr>
        <w:t xml:space="preserve">  amount_cents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(amount_cents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provider_ref  text </w:t>
      </w:r>
      <w:r>
        <w:rPr>
          <w:rStyle w:val="KeywordTok"/>
        </w:rPr>
        <w:t xml:space="preserve">UNIQUE</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'authorized'</w:t>
      </w:r>
      <w:r>
        <w:rPr>
          <w:rStyle w:val="NormalTok"/>
        </w:rPr>
        <w:t xml:space="preserve">,</w:t>
      </w:r>
      <w:r>
        <w:rPr>
          <w:rStyle w:val="StringTok"/>
        </w:rPr>
        <w:t xml:space="preserve">'captured'</w:t>
      </w:r>
      <w:r>
        <w:rPr>
          <w:rStyle w:val="NormalTok"/>
        </w:rPr>
        <w:t xml:space="preserve">,</w:t>
      </w:r>
      <w:r>
        <w:rPr>
          <w:rStyle w:val="StringTok"/>
        </w:rPr>
        <w:t xml:space="preserve">'failed'</w:t>
      </w:r>
      <w:r>
        <w:rPr>
          <w:rStyle w:val="NormalTok"/>
        </w:rPr>
        <w:t xml:space="preserve">,</w:t>
      </w:r>
      <w:r>
        <w:rPr>
          <w:rStyle w:val="StringTok"/>
        </w:rPr>
        <w:t xml:space="preserve">'refunded'</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rPr>
          <w:rStyle w:val="CommentTok"/>
        </w:rPr>
        <w:t xml:space="preserve">-- One index per access path</w:t>
      </w:r>
      <w:r>
        <w:br/>
      </w:r>
      <w:r>
        <w:rPr>
          <w:rStyle w:val="KeywordTok"/>
        </w:rPr>
        <w:t xml:space="preserve">CREATE</w:t>
      </w:r>
      <w:r>
        <w:rPr>
          <w:rStyle w:val="NormalTok"/>
        </w:rPr>
        <w:t xml:space="preserve"> </w:t>
      </w:r>
      <w:r>
        <w:rPr>
          <w:rStyle w:val="KeywordTok"/>
        </w:rPr>
        <w:t xml:space="preserve">INDEX</w:t>
      </w:r>
      <w:r>
        <w:rPr>
          <w:rStyle w:val="NormalTok"/>
        </w:rPr>
        <w:t xml:space="preserve"> orders_customer_created_idx </w:t>
      </w:r>
      <w:r>
        <w:rPr>
          <w:rStyle w:val="KeywordTok"/>
        </w:rPr>
        <w:t xml:space="preserve">ON</w:t>
      </w:r>
      <w:r>
        <w:rPr>
          <w:rStyle w:val="NormalTok"/>
        </w:rPr>
        <w:t xml:space="preserve"> orders (customer_id, created_at </w:t>
      </w:r>
      <w:r>
        <w:rPr>
          <w:rStyle w:val="KeywordTok"/>
        </w:rPr>
        <w:t xml:space="preserve">DESC</w:t>
      </w:r>
      <w:r>
        <w:rPr>
          <w:rStyle w:val="NormalTok"/>
        </w:rPr>
        <w:t xml:space="preserve">, order_id </w:t>
      </w:r>
      <w:r>
        <w:rPr>
          <w:rStyle w:val="KeywordTok"/>
        </w:rPr>
        <w:t xml:space="preserve">DESC</w:t>
      </w:r>
      <w:r>
        <w:rPr>
          <w:rStyle w:val="NormalTok"/>
        </w:rPr>
        <w:t xml:space="preserve">); </w:t>
      </w:r>
      <w:r>
        <w:rPr>
          <w:rStyle w:val="CommentTok"/>
        </w:rPr>
        <w:t xml:space="preserve">-- history</w:t>
      </w:r>
      <w:r>
        <w:br/>
      </w:r>
      <w:r>
        <w:rPr>
          <w:rStyle w:val="KeywordTok"/>
        </w:rPr>
        <w:t xml:space="preserve">CREATE</w:t>
      </w:r>
      <w:r>
        <w:rPr>
          <w:rStyle w:val="NormalTok"/>
        </w:rPr>
        <w:t xml:space="preserve"> </w:t>
      </w:r>
      <w:r>
        <w:rPr>
          <w:rStyle w:val="KeywordTok"/>
        </w:rPr>
        <w:t xml:space="preserve">INDEX</w:t>
      </w:r>
      <w:r>
        <w:rPr>
          <w:rStyle w:val="NormalTok"/>
        </w:rPr>
        <w:t xml:space="preserve"> order_items_product_idx     </w:t>
      </w:r>
      <w:r>
        <w:rPr>
          <w:rStyle w:val="KeywordTok"/>
        </w:rPr>
        <w:t xml:space="preserve">ON</w:t>
      </w:r>
      <w:r>
        <w:rPr>
          <w:rStyle w:val="NormalTok"/>
        </w:rPr>
        <w:t xml:space="preserve"> order_items (product_id);       </w:t>
      </w:r>
      <w:r>
        <w:rPr>
          <w:rStyle w:val="CommentTok"/>
        </w:rPr>
        <w:t xml:space="preserve">-- FK checks, sales by product</w:t>
      </w:r>
      <w:r>
        <w:br/>
      </w:r>
      <w:r>
        <w:rPr>
          <w:rStyle w:val="KeywordTok"/>
        </w:rPr>
        <w:t xml:space="preserve">CREATE</w:t>
      </w:r>
      <w:r>
        <w:rPr>
          <w:rStyle w:val="NormalTok"/>
        </w:rPr>
        <w:t xml:space="preserve"> </w:t>
      </w:r>
      <w:r>
        <w:rPr>
          <w:rStyle w:val="KeywordTok"/>
        </w:rPr>
        <w:t xml:space="preserve">INDEX</w:t>
      </w:r>
      <w:r>
        <w:rPr>
          <w:rStyle w:val="NormalTok"/>
        </w:rPr>
        <w:t xml:space="preserve"> payments_order_idx          </w:t>
      </w:r>
      <w:r>
        <w:rPr>
          <w:rStyle w:val="KeywordTok"/>
        </w:rPr>
        <w:t xml:space="preserve">ON</w:t>
      </w:r>
      <w:r>
        <w:rPr>
          <w:rStyle w:val="NormalTok"/>
        </w:rPr>
        <w:t xml:space="preserve"> payments (order_id);            </w:t>
      </w:r>
      <w:r>
        <w:rPr>
          <w:rStyle w:val="CommentTok"/>
        </w:rPr>
        <w:t xml:space="preserve">-- payments of an order</w:t>
      </w:r>
      <w:r>
        <w:br/>
      </w:r>
      <w:r>
        <w:rPr>
          <w:rStyle w:val="KeywordTok"/>
        </w:rPr>
        <w:t xml:space="preserve">CREATE</w:t>
      </w:r>
      <w:r>
        <w:rPr>
          <w:rStyle w:val="NormalTok"/>
        </w:rPr>
        <w:t xml:space="preserve"> </w:t>
      </w:r>
      <w:r>
        <w:rPr>
          <w:rStyle w:val="KeywordTok"/>
        </w:rPr>
        <w:t xml:space="preserve">INDEX</w:t>
      </w:r>
      <w:r>
        <w:rPr>
          <w:rStyle w:val="NormalTok"/>
        </w:rPr>
        <w:t xml:space="preserve"> orders_pending_created_idx  </w:t>
      </w:r>
      <w:r>
        <w:rPr>
          <w:rStyle w:val="KeywordTok"/>
        </w:rPr>
        <w:t xml:space="preserve">ON</w:t>
      </w:r>
      <w:r>
        <w:rPr>
          <w:rStyle w:val="NormalTok"/>
        </w:rPr>
        <w:t xml:space="preserve"> orders (created_at)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'pending'</w:t>
      </w:r>
      <w:r>
        <w:rPr>
          <w:rStyle w:val="NormalTok"/>
        </w:rPr>
        <w:t xml:space="preserve">; </w:t>
      </w:r>
      <w:r>
        <w:rPr>
          <w:rStyle w:val="CommentTok"/>
        </w:rPr>
        <w:t xml:space="preserve">-- sweeper</w:t>
      </w:r>
    </w:p>
    <w:p>
      <w:pPr>
        <w:pStyle w:val="FirstParagraph"/>
      </w:pPr>
      <w:r>
        <w:t xml:space="preserve">What to notice:</w:t>
      </w:r>
    </w:p>
    <w:p>
      <w:pPr>
        <w:numPr>
          <w:ilvl w:val="0"/>
          <w:numId w:val="1391"/>
        </w:numPr>
        <w:pStyle w:val="Compact"/>
      </w:pPr>
      <w:r>
        <w:t xml:space="preserve">Money is stored as integer cents (or</w:t>
      </w:r>
      <w:r>
        <w:t xml:space="preserve"> </w:t>
      </w:r>
      <w:r>
        <w:rPr>
          <w:rStyle w:val="VerbatimChar"/>
        </w:rPr>
        <w:t xml:space="preserve">numeric</w:t>
      </w:r>
      <w:r>
        <w:t xml:space="preserve">), never floating point. Timestamps use</w:t>
      </w:r>
      <w:r>
        <w:t xml:space="preserve"> </w:t>
      </w:r>
      <w:r>
        <w:rPr>
          <w:rStyle w:val="VerbatimChar"/>
        </w:rPr>
        <w:t xml:space="preserve">timestamptz</w:t>
      </w:r>
      <w:r>
        <w:t xml:space="preserve">.</w:t>
      </w:r>
    </w:p>
    <w:p>
      <w:pPr>
        <w:numPr>
          <w:ilvl w:val="0"/>
          <w:numId w:val="1391"/>
        </w:numPr>
        <w:pStyle w:val="Compact"/>
      </w:pPr>
      <w:r>
        <w:rPr>
          <w:rStyle w:val="VerbatimChar"/>
        </w:rPr>
        <w:t xml:space="preserve">order_items</w:t>
      </w:r>
      <w:r>
        <w:t xml:space="preserve"> </w:t>
      </w:r>
      <w:r>
        <w:t xml:space="preserve">has a composite primary key</w:t>
      </w:r>
      <w:r>
        <w:t xml:space="preserve"> </w:t>
      </w:r>
      <w:r>
        <w:rPr>
          <w:rStyle w:val="VerbatimChar"/>
        </w:rPr>
        <w:t xml:space="preserve">(order_id, line_no)</w:t>
      </w:r>
      <w:r>
        <w:t xml:space="preserve">: its leading column serves</w:t>
      </w:r>
      <w:r>
        <w:t xml:space="preserve"> </w:t>
      </w:r>
      <w:r>
        <w:t xml:space="preserve">“</w:t>
      </w:r>
      <w:r>
        <w:t xml:space="preserve">items of this order</w:t>
      </w:r>
      <w:r>
        <w:t xml:space="preserve">”</w:t>
      </w:r>
      <w:r>
        <w:t xml:space="preserve"> </w:t>
      </w:r>
      <w:r>
        <w:t xml:space="preserve">and the foreign-key check, so no separate index on</w:t>
      </w:r>
      <w:r>
        <w:t xml:space="preserve"> </w:t>
      </w:r>
      <w:r>
        <w:rPr>
          <w:rStyle w:val="VerbatimChar"/>
        </w:rPr>
        <w:t xml:space="preserve">order_items.order_id</w:t>
      </w:r>
      <w:r>
        <w:t xml:space="preserve"> </w:t>
      </w:r>
      <w:r>
        <w:t xml:space="preserve">is needed.</w:t>
      </w:r>
    </w:p>
    <w:p>
      <w:pPr>
        <w:numPr>
          <w:ilvl w:val="0"/>
          <w:numId w:val="1391"/>
        </w:numPr>
        <w:pStyle w:val="Compact"/>
      </w:pPr>
      <w:r>
        <w:rPr>
          <w:rStyle w:val="VerbatimChar"/>
        </w:rPr>
        <w:t xml:space="preserve">total_cents</w:t>
      </w:r>
      <w:r>
        <w:t xml:space="preserve"> </w:t>
      </w:r>
      <w:r>
        <w:t xml:space="preserve">is a stored aggregate (a denormalization, §11.5.5) written in the same transaction as the items; it is also the amount charged, a fact worth keeping.</w:t>
      </w:r>
    </w:p>
    <w:p>
      <w:pPr>
        <w:numPr>
          <w:ilvl w:val="0"/>
          <w:numId w:val="1391"/>
        </w:numPr>
        <w:pStyle w:val="Compact"/>
      </w:pPr>
      <w:r>
        <w:rPr>
          <w:rStyle w:val="VerbatimChar"/>
        </w:rPr>
        <w:t xml:space="preserve">status</w:t>
      </w:r>
      <w:r>
        <w:t xml:space="preserve"> </w:t>
      </w:r>
      <w:r>
        <w:t xml:space="preserve">uses</w:t>
      </w:r>
      <w:r>
        <w:t xml:space="preserve"> </w:t>
      </w:r>
      <w:r>
        <w:rPr>
          <w:rStyle w:val="VerbatimChar"/>
        </w:rPr>
        <w:t xml:space="preserve">CHECK</w:t>
      </w:r>
      <w:r>
        <w:t xml:space="preserve"> </w:t>
      </w:r>
      <w:r>
        <w:t xml:space="preserve">rather than a separate lookup table or PostgreSQL</w:t>
      </w:r>
      <w:r>
        <w:t xml:space="preserve"> </w:t>
      </w:r>
      <w:r>
        <w:rPr>
          <w:rStyle w:val="VerbatimChar"/>
        </w:rPr>
        <w:t xml:space="preserve">ENUM</w:t>
      </w:r>
      <w:r>
        <w:t xml:space="preserve"> </w:t>
      </w:r>
      <w:r>
        <w:t xml:space="preserve">type; adding a status later is a one-line constraint change.</w:t>
      </w:r>
    </w:p>
    <w:bookmarkEnd w:id="1293"/>
    <w:bookmarkStart w:id="1294" w:name="Xed50c9a975006de45329c99945ca505dc8d5add"/>
    <w:p>
      <w:pPr>
        <w:pStyle w:val="Heading3"/>
      </w:pPr>
      <w:r>
        <w:t xml:space="preserve">11.17.3 The place-order transaction and core queries</w:t>
      </w:r>
    </w:p>
    <w:p>
      <w:pPr>
        <w:pStyle w:val="FirstParagraph"/>
      </w:pPr>
      <w:r>
        <w:t xml:space="preserve">The order service runs this transaction (shown with literal values; the application binds parameters). The decrements are atomic conditional updates, sorted by</w:t>
      </w:r>
      <w:r>
        <w:t xml:space="preserve"> </w:t>
      </w:r>
      <w:r>
        <w:rPr>
          <w:rStyle w:val="VerbatimChar"/>
        </w:rPr>
        <w:t xml:space="preserve">product_id</w:t>
      </w:r>
      <w:r>
        <w:t xml:space="preserve"> </w:t>
      </w:r>
      <w:r>
        <w:t xml:space="preserve">to avoid deadlocks; the idempotency key makes retries safe (§22.15):</w:t>
      </w:r>
    </w:p>
    <w:p>
      <w:pPr>
        <w:pStyle w:val="SourceCode"/>
      </w:pPr>
      <w:r>
        <w:rPr>
          <w:rStyle w:val="ControlFlowTok"/>
        </w:rPr>
        <w:t xml:space="preserve">BEGIN</w:t>
      </w:r>
      <w:r>
        <w:rPr>
          <w:rStyle w:val="NormalTok"/>
        </w:rPr>
        <w:t xml:space="preserve">;</w:t>
      </w:r>
      <w:r>
        <w:br/>
      </w:r>
      <w:r>
        <w:rPr>
          <w:rStyle w:val="KeywordTok"/>
        </w:rPr>
        <w:t xml:space="preserve">INSERT</w:t>
      </w:r>
      <w:r>
        <w:rPr>
          <w:rStyle w:val="NormalTok"/>
        </w:rPr>
        <w:t xml:space="preserve"> </w:t>
      </w:r>
      <w:r>
        <w:rPr>
          <w:rStyle w:val="KeywordTok"/>
        </w:rPr>
        <w:t xml:space="preserve">INTO</w:t>
      </w:r>
      <w:r>
        <w:rPr>
          <w:rStyle w:val="NormalTok"/>
        </w:rPr>
        <w:t xml:space="preserve"> orders (customer_id, ship_to, total_cents, idempotency_key)</w:t>
      </w:r>
      <w:r>
        <w:br/>
      </w:r>
      <w:r>
        <w:rPr>
          <w:rStyle w:val="KeywordTok"/>
        </w:rPr>
        <w:t xml:space="preserve">VALUES</w:t>
      </w:r>
      <w:r>
        <w:rPr>
          <w:rStyle w:val="NormalTok"/>
        </w:rPr>
        <w:t xml:space="preserve"> (</w:t>
      </w:r>
      <w:r>
        <w:rPr>
          <w:rStyle w:val="DecValTok"/>
        </w:rPr>
        <w:t xml:space="preserve">1</w:t>
      </w:r>
      <w:r>
        <w:rPr>
          <w:rStyle w:val="NormalTok"/>
        </w:rPr>
        <w:t xml:space="preserve">, </w:t>
      </w:r>
      <w:r>
        <w:rPr>
          <w:rStyle w:val="StringTok"/>
        </w:rPr>
        <w:t xml:space="preserve">'1 Main St'</w:t>
      </w:r>
      <w:r>
        <w:rPr>
          <w:rStyle w:val="NormalTok"/>
        </w:rPr>
        <w:t xml:space="preserve">, </w:t>
      </w:r>
      <w:r>
        <w:rPr>
          <w:rStyle w:val="DecValTok"/>
        </w:rPr>
        <w:t xml:space="preserve">0</w:t>
      </w:r>
      <w:r>
        <w:rPr>
          <w:rStyle w:val="NormalTok"/>
        </w:rPr>
        <w:t xml:space="preserve">, </w:t>
      </w:r>
      <w:r>
        <w:rPr>
          <w:rStyle w:val="StringTok"/>
        </w:rPr>
        <w:t xml:space="preserve">'7f1c9a52-key'</w:t>
      </w:r>
      <w:r>
        <w:rPr>
          <w:rStyle w:val="NormalTok"/>
        </w:rPr>
        <w:t xml:space="preserve">)</w:t>
      </w:r>
      <w:r>
        <w:br/>
      </w:r>
      <w:r>
        <w:rPr>
          <w:rStyle w:val="KeywordTok"/>
        </w:rPr>
        <w:t xml:space="preserve">ON</w:t>
      </w:r>
      <w:r>
        <w:rPr>
          <w:rStyle w:val="NormalTok"/>
        </w:rPr>
        <w:t xml:space="preserve"> CONFLICT (idempotency_key) DO </w:t>
      </w:r>
      <w:r>
        <w:rPr>
          <w:rStyle w:val="KeywordTok"/>
        </w:rPr>
        <w:t xml:space="preserve">NOTHING</w:t>
      </w:r>
      <w:r>
        <w:br/>
      </w:r>
      <w:r>
        <w:rPr>
          <w:rStyle w:val="KeywordTok"/>
        </w:rPr>
        <w:t xml:space="preserve">RETURNING</w:t>
      </w:r>
      <w:r>
        <w:rPr>
          <w:rStyle w:val="NormalTok"/>
        </w:rPr>
        <w:t xml:space="preserve"> order_id;                       </w:t>
      </w:r>
      <w:r>
        <w:rPr>
          <w:rStyle w:val="CommentTok"/>
        </w:rPr>
        <w:t xml:space="preserve">-- no row returned: a retry; fetch and return the existing order</w:t>
      </w:r>
      <w:r>
        <w:br/>
      </w:r>
      <w:r>
        <w:rPr>
          <w:rStyle w:val="KeywordTok"/>
        </w:rPr>
        <w:t xml:space="preserve">UPDATE</w:t>
      </w:r>
      <w:r>
        <w:rPr>
          <w:rStyle w:val="NormalTok"/>
        </w:rPr>
        <w:t xml:space="preserve"> inventory </w:t>
      </w:r>
      <w:r>
        <w:rPr>
          <w:rStyle w:val="KeywordTok"/>
        </w:rPr>
        <w:t xml:space="preserve">SET</w:t>
      </w:r>
      <w:r>
        <w:rPr>
          <w:rStyle w:val="NormalTok"/>
        </w:rPr>
        <w:t xml:space="preserve"> on_hand </w:t>
      </w:r>
      <w:r>
        <w:rPr>
          <w:rStyle w:val="OperatorTok"/>
        </w:rPr>
        <w:t xml:space="preserve">=</w:t>
      </w:r>
      <w:r>
        <w:rPr>
          <w:rStyle w:val="NormalTok"/>
        </w:rPr>
        <w:t xml:space="preserve"> on_hand </w:t>
      </w:r>
      <w:r>
        <w:rPr>
          <w:rStyle w:val="OperatorTok"/>
        </w:rPr>
        <w:t xml:space="preserve">-</w:t>
      </w:r>
      <w:r>
        <w:rPr>
          <w:rStyle w:val="NormalTok"/>
        </w:rPr>
        <w:t xml:space="preserve"> </w:t>
      </w:r>
      <w:r>
        <w:rPr>
          <w:rStyle w:val="DecValTok"/>
        </w:rPr>
        <w:t xml:space="preserve">2</w:t>
      </w:r>
      <w:r>
        <w:rPr>
          <w:rStyle w:val="NormalTok"/>
        </w:rPr>
        <w:t xml:space="preserve"> </w:t>
      </w:r>
      <w:r>
        <w:rPr>
          <w:rStyle w:val="KeywordTok"/>
        </w:rPr>
        <w:t xml:space="preserve">WHERE</w:t>
      </w:r>
      <w:r>
        <w:rPr>
          <w:rStyle w:val="NormalTok"/>
        </w:rPr>
        <w:t xml:space="preserve"> product_id </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on_hand </w:t>
      </w:r>
      <w:r>
        <w:rPr>
          <w:rStyle w:val="OperatorTok"/>
        </w:rPr>
        <w:t xml:space="preserve">&gt;=</w:t>
      </w:r>
      <w:r>
        <w:rPr>
          <w:rStyle w:val="NormalTok"/>
        </w:rPr>
        <w:t xml:space="preserve"> </w:t>
      </w:r>
      <w:r>
        <w:rPr>
          <w:rStyle w:val="DecValTok"/>
        </w:rPr>
        <w:t xml:space="preserve">2</w:t>
      </w:r>
      <w:r>
        <w:rPr>
          <w:rStyle w:val="NormalTok"/>
        </w:rPr>
        <w:t xml:space="preserve">;  </w:t>
      </w:r>
      <w:r>
        <w:rPr>
          <w:rStyle w:val="CommentTok"/>
        </w:rPr>
        <w:t xml:space="preserve">-- expect 1 row</w:t>
      </w:r>
      <w:r>
        <w:br/>
      </w:r>
      <w:r>
        <w:rPr>
          <w:rStyle w:val="KeywordTok"/>
        </w:rPr>
        <w:t xml:space="preserve">UPDATE</w:t>
      </w:r>
      <w:r>
        <w:rPr>
          <w:rStyle w:val="NormalTok"/>
        </w:rPr>
        <w:t xml:space="preserve"> inventory </w:t>
      </w:r>
      <w:r>
        <w:rPr>
          <w:rStyle w:val="KeywordTok"/>
        </w:rPr>
        <w:t xml:space="preserve">SET</w:t>
      </w:r>
      <w:r>
        <w:rPr>
          <w:rStyle w:val="NormalTok"/>
        </w:rPr>
        <w:t xml:space="preserve"> on_hand </w:t>
      </w:r>
      <w:r>
        <w:rPr>
          <w:rStyle w:val="OperatorTok"/>
        </w:rPr>
        <w:t xml:space="preserve">=</w:t>
      </w:r>
      <w:r>
        <w:rPr>
          <w:rStyle w:val="NormalTok"/>
        </w:rPr>
        <w:t xml:space="preserve"> on_hand </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WHERE</w:t>
      </w:r>
      <w:r>
        <w:rPr>
          <w:rStyle w:val="NormalTok"/>
        </w:rPr>
        <w:t xml:space="preserve"> product_id </w:t>
      </w:r>
      <w:r>
        <w:rPr>
          <w:rStyle w:val="OperatorTok"/>
        </w:rPr>
        <w:t xml:space="preserve">=</w:t>
      </w:r>
      <w:r>
        <w:rPr>
          <w:rStyle w:val="NormalTok"/>
        </w:rPr>
        <w:t xml:space="preserve"> </w:t>
      </w:r>
      <w:r>
        <w:rPr>
          <w:rStyle w:val="DecValTok"/>
        </w:rPr>
        <w:t xml:space="preserve">2</w:t>
      </w:r>
      <w:r>
        <w:rPr>
          <w:rStyle w:val="NormalTok"/>
        </w:rPr>
        <w:t xml:space="preserve"> </w:t>
      </w:r>
      <w:r>
        <w:rPr>
          <w:rStyle w:val="KeywordTok"/>
        </w:rPr>
        <w:t xml:space="preserve">AND</w:t>
      </w:r>
      <w:r>
        <w:rPr>
          <w:rStyle w:val="NormalTok"/>
        </w:rPr>
        <w:t xml:space="preserve"> on_hand </w:t>
      </w:r>
      <w:r>
        <w:rPr>
          <w:rStyle w:val="OperatorTok"/>
        </w:rPr>
        <w:t xml:space="preserve">&gt;=</w:t>
      </w:r>
      <w:r>
        <w:rPr>
          <w:rStyle w:val="NormalTok"/>
        </w:rPr>
        <w:t xml:space="preserve"> </w:t>
      </w:r>
      <w:r>
        <w:rPr>
          <w:rStyle w:val="DecValTok"/>
        </w:rPr>
        <w:t xml:space="preserve">1</w:t>
      </w:r>
      <w:r>
        <w:rPr>
          <w:rStyle w:val="NormalTok"/>
        </w:rPr>
        <w:t xml:space="preserve">;  </w:t>
      </w:r>
      <w:r>
        <w:rPr>
          <w:rStyle w:val="CommentTok"/>
        </w:rPr>
        <w:t xml:space="preserve">-- 0 rows: out of stock, ROLLBACK</w:t>
      </w:r>
      <w:r>
        <w:br/>
      </w:r>
      <w:r>
        <w:rPr>
          <w:rStyle w:val="KeywordTok"/>
        </w:rPr>
        <w:t xml:space="preserve">INSERT</w:t>
      </w:r>
      <w:r>
        <w:rPr>
          <w:rStyle w:val="NormalTok"/>
        </w:rPr>
        <w:t xml:space="preserve"> </w:t>
      </w:r>
      <w:r>
        <w:rPr>
          <w:rStyle w:val="KeywordTok"/>
        </w:rPr>
        <w:t xml:space="preserve">INTO</w:t>
      </w:r>
      <w:r>
        <w:rPr>
          <w:rStyle w:val="NormalTok"/>
        </w:rPr>
        <w:t xml:space="preserve"> order_items (order_id, line_no, product_id, quantity, unit_price_cents)</w:t>
      </w:r>
      <w:r>
        <w:br/>
      </w:r>
      <w:r>
        <w:rPr>
          <w:rStyle w:val="KeywordTok"/>
        </w:rPr>
        <w:t xml:space="preserve">SELECT</w:t>
      </w:r>
      <w:r>
        <w:rPr>
          <w:rStyle w:val="NormalTok"/>
        </w:rPr>
        <w:t xml:space="preserve"> </w:t>
      </w:r>
      <w:r>
        <w:rPr>
          <w:rStyle w:val="DecValTok"/>
        </w:rPr>
        <w:t xml:space="preserve">1</w:t>
      </w:r>
      <w:r>
        <w:rPr>
          <w:rStyle w:val="NormalTok"/>
        </w:rPr>
        <w:t xml:space="preserve">, </w:t>
      </w:r>
      <w:r>
        <w:rPr>
          <w:rStyle w:val="FunctionTok"/>
        </w:rPr>
        <w:t xml:space="preserve">row_number</w:t>
      </w:r>
      <w:r>
        <w:rPr>
          <w:rStyle w:val="NormalTok"/>
        </w:rPr>
        <w:t xml:space="preserve">() </w:t>
      </w:r>
      <w:r>
        <w:rPr>
          <w:rStyle w:val="KeywordTok"/>
        </w:rPr>
        <w:t xml:space="preserve">OVER</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v.product_id), v.product_id, v.qty, p.price_cents</w:t>
      </w:r>
      <w:r>
        <w:br/>
      </w:r>
      <w:r>
        <w:rPr>
          <w:rStyle w:val="KeywordTok"/>
        </w:rPr>
        <w:t xml:space="preserve">FROM</w:t>
      </w:r>
      <w:r>
        <w:rPr>
          <w:rStyle w:val="NormalTok"/>
        </w:rPr>
        <w:t xml:space="preserve"> (</w:t>
      </w:r>
      <w:r>
        <w:rPr>
          <w:rStyle w:val="KeywordTok"/>
        </w:rPr>
        <w:t xml:space="preserve">VALUES</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w:t>
      </w:r>
      <w:r>
        <w:rPr>
          <w:rStyle w:val="KeywordTok"/>
        </w:rPr>
        <w:t xml:space="preserve">AS</w:t>
      </w:r>
      <w:r>
        <w:rPr>
          <w:rStyle w:val="NormalTok"/>
        </w:rPr>
        <w:t xml:space="preserve"> v(product_id, qty) </w:t>
      </w:r>
      <w:r>
        <w:rPr>
          <w:rStyle w:val="KeywordTok"/>
        </w:rPr>
        <w:t xml:space="preserve">JOIN</w:t>
      </w:r>
      <w:r>
        <w:rPr>
          <w:rStyle w:val="NormalTok"/>
        </w:rPr>
        <w:t xml:space="preserve"> products p </w:t>
      </w:r>
      <w:r>
        <w:rPr>
          <w:rStyle w:val="KeywordTok"/>
        </w:rPr>
        <w:t xml:space="preserve">USING</w:t>
      </w:r>
      <w:r>
        <w:rPr>
          <w:rStyle w:val="NormalTok"/>
        </w:rPr>
        <w:t xml:space="preserve"> (product_id);</w:t>
      </w:r>
      <w:r>
        <w:br/>
      </w:r>
      <w:r>
        <w:rPr>
          <w:rStyle w:val="KeywordTok"/>
        </w:rPr>
        <w:t xml:space="preserve">UPDATE</w:t>
      </w:r>
      <w:r>
        <w:rPr>
          <w:rStyle w:val="NormalTok"/>
        </w:rPr>
        <w:t xml:space="preserve"> orders </w:t>
      </w:r>
      <w:r>
        <w:rPr>
          <w:rStyle w:val="KeywordTok"/>
        </w:rPr>
        <w:t xml:space="preserve">SET</w:t>
      </w:r>
      <w:r>
        <w:rPr>
          <w:rStyle w:val="NormalTok"/>
        </w:rPr>
        <w:t xml:space="preserve"> total_cents </w:t>
      </w:r>
      <w:r>
        <w:rPr>
          <w:rStyle w:val="OperatorTok"/>
        </w:rPr>
        <w:t xml:space="preserve">=</w:t>
      </w:r>
      <w:r>
        <w:rPr>
          <w:rStyle w:val="NormalTok"/>
        </w:rPr>
        <w:t xml:space="preserve"> (</w:t>
      </w:r>
      <w:r>
        <w:rPr>
          <w:rStyle w:val="KeywordTok"/>
        </w:rPr>
        <w:t xml:space="preserve">SELECT</w:t>
      </w:r>
      <w:r>
        <w:rPr>
          <w:rStyle w:val="NormalTok"/>
        </w:rPr>
        <w:t xml:space="preserve"> </w:t>
      </w:r>
      <w:r>
        <w:rPr>
          <w:rStyle w:val="FunctionTok"/>
        </w:rPr>
        <w:t xml:space="preserve">sum</w:t>
      </w:r>
      <w:r>
        <w:rPr>
          <w:rStyle w:val="NormalTok"/>
        </w:rPr>
        <w:t xml:space="preserve">(quantity </w:t>
      </w:r>
      <w:r>
        <w:rPr>
          <w:rStyle w:val="OperatorTok"/>
        </w:rPr>
        <w:t xml:space="preserve">*</w:t>
      </w:r>
      <w:r>
        <w:rPr>
          <w:rStyle w:val="NormalTok"/>
        </w:rPr>
        <w:t xml:space="preserve"> unit_price_cents)</w:t>
      </w:r>
      <w:r>
        <w:br/>
      </w:r>
      <w:r>
        <w:rPr>
          <w:rStyle w:val="NormalTok"/>
        </w:rPr>
        <w:t xml:space="preserve">                                 </w:t>
      </w:r>
      <w:r>
        <w:rPr>
          <w:rStyle w:val="KeywordTok"/>
        </w:rPr>
        <w:t xml:space="preserve">FROM</w:t>
      </w:r>
      <w:r>
        <w:rPr>
          <w:rStyle w:val="NormalTok"/>
        </w:rPr>
        <w:t xml:space="preserve"> order_items </w:t>
      </w:r>
      <w:r>
        <w:rPr>
          <w:rStyle w:val="KeywordTok"/>
        </w:rPr>
        <w:t xml:space="preserve">WHERE</w:t>
      </w:r>
      <w:r>
        <w:rPr>
          <w:rStyle w:val="NormalTok"/>
        </w:rPr>
        <w:t xml:space="preserve"> order_id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KeywordTok"/>
        </w:rPr>
        <w:t xml:space="preserve">WHERE</w:t>
      </w:r>
      <w:r>
        <w:rPr>
          <w:rStyle w:val="NormalTok"/>
        </w:rPr>
        <w:t xml:space="preserve"> order_id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KeywordTok"/>
        </w:rPr>
        <w:t xml:space="preserve">COMMIT</w:t>
      </w:r>
      <w:r>
        <w:rPr>
          <w:rStyle w:val="NormalTok"/>
        </w:rPr>
        <w:t xml:space="preserve">;</w:t>
      </w:r>
    </w:p>
    <w:p>
      <w:pPr>
        <w:pStyle w:val="FirstParagraph"/>
      </w:pPr>
      <w:r>
        <w:t xml:space="preserve">The complete model also runs on SQLite through Python’s standard library; this script creates the schema, places an order, retries it with the same idempotency key, attempts an order that would oversell, and runs the history, best-seller and anti-join queries:</w:t>
      </w:r>
    </w:p>
    <w:p>
      <w:pPr>
        <w:pStyle w:val="SourceCode"/>
      </w:pPr>
      <w:r>
        <w:rPr>
          <w:rStyle w:val="CommentTok"/>
        </w:rPr>
        <w:t xml:space="preserve">"""E-commerce order schema and queries (Section 11.17), runnable with Python's sqlite3.</w:t>
      </w:r>
      <w:r>
        <w:br/>
      </w:r>
      <w:r>
        <w:rPr>
          <w:rStyle w:val="CommentTok"/>
        </w:rPr>
        <w:t xml:space="preserve">The PostgreSQL DDL in the chapter differs only in types (bigint identity, timestamptz)."""</w:t>
      </w:r>
      <w:r>
        <w:br/>
      </w:r>
      <w:r>
        <w:rPr>
          <w:rStyle w:val="ImportTok"/>
        </w:rPr>
        <w:t xml:space="preserve">import</w:t>
      </w:r>
      <w:r>
        <w:rPr>
          <w:rStyle w:val="NormalTok"/>
        </w:rPr>
        <w:t xml:space="preserve"> sqlite3</w:t>
      </w:r>
      <w:r>
        <w:br/>
      </w:r>
      <w:r>
        <w:br/>
      </w:r>
      <w:r>
        <w:rPr>
          <w:rStyle w:val="NormalTok"/>
        </w:rPr>
        <w:t xml:space="preserve">SCHEMA </w:t>
      </w:r>
      <w:r>
        <w:rPr>
          <w:rStyle w:val="OperatorTok"/>
        </w:rPr>
        <w:t xml:space="preserve">=</w:t>
      </w:r>
      <w:r>
        <w:rPr>
          <w:rStyle w:val="NormalTok"/>
        </w:rPr>
        <w:t xml:space="preserve"> </w:t>
      </w:r>
      <w:r>
        <w:rPr>
          <w:rStyle w:val="StringTok"/>
        </w:rPr>
        <w:t xml:space="preserve">"""</w:t>
      </w:r>
      <w:r>
        <w:br/>
      </w:r>
      <w:r>
        <w:rPr>
          <w:rStyle w:val="StringTok"/>
        </w:rPr>
        <w:t xml:space="preserve">PRAGMA foreign_keys = ON;</w:t>
      </w:r>
      <w:r>
        <w:br/>
      </w:r>
      <w:r>
        <w:rPr>
          <w:rStyle w:val="StringTok"/>
        </w:rPr>
        <w:t xml:space="preserve">CREATE TABLE customers (</w:t>
      </w:r>
      <w:r>
        <w:br/>
      </w:r>
      <w:r>
        <w:rPr>
          <w:rStyle w:val="StringTok"/>
        </w:rPr>
        <w:t xml:space="preserve">  customer_id INTEGER PRIMARY KEY,</w:t>
      </w:r>
      <w:r>
        <w:br/>
      </w:r>
      <w:r>
        <w:rPr>
          <w:rStyle w:val="StringTok"/>
        </w:rPr>
        <w:t xml:space="preserve">  email       TEXT NOT NULL UNIQUE,</w:t>
      </w:r>
      <w:r>
        <w:br/>
      </w:r>
      <w:r>
        <w:rPr>
          <w:rStyle w:val="StringTok"/>
        </w:rPr>
        <w:t xml:space="preserve">  full_name   TEXT NOT NULL,</w:t>
      </w:r>
      <w:r>
        <w:br/>
      </w:r>
      <w:r>
        <w:rPr>
          <w:rStyle w:val="StringTok"/>
        </w:rPr>
        <w:t xml:space="preserve">  city        TEXT NOT NULL,</w:t>
      </w:r>
      <w:r>
        <w:br/>
      </w:r>
      <w:r>
        <w:rPr>
          <w:rStyle w:val="StringTok"/>
        </w:rPr>
        <w:t xml:space="preserve">  created_at  TEXT NOT NULL DEFAULT CURRENT_TIMESTAMP</w:t>
      </w:r>
      <w:r>
        <w:br/>
      </w:r>
      <w:r>
        <w:rPr>
          <w:rStyle w:val="StringTok"/>
        </w:rPr>
        <w:t xml:space="preserve">);</w:t>
      </w:r>
      <w:r>
        <w:br/>
      </w:r>
      <w:r>
        <w:rPr>
          <w:rStyle w:val="StringTok"/>
        </w:rPr>
        <w:t xml:space="preserve">CREATE TABLE products (</w:t>
      </w:r>
      <w:r>
        <w:br/>
      </w:r>
      <w:r>
        <w:rPr>
          <w:rStyle w:val="StringTok"/>
        </w:rPr>
        <w:t xml:space="preserve">  product_id  INTEGER PRIMARY KEY,</w:t>
      </w:r>
      <w:r>
        <w:br/>
      </w:r>
      <w:r>
        <w:rPr>
          <w:rStyle w:val="StringTok"/>
        </w:rPr>
        <w:t xml:space="preserve">  sku         TEXT NOT NULL UNIQUE,</w:t>
      </w:r>
      <w:r>
        <w:br/>
      </w:r>
      <w:r>
        <w:rPr>
          <w:rStyle w:val="StringTok"/>
        </w:rPr>
        <w:t xml:space="preserve">  name        TEXT NOT NULL,</w:t>
      </w:r>
      <w:r>
        <w:br/>
      </w:r>
      <w:r>
        <w:rPr>
          <w:rStyle w:val="StringTok"/>
        </w:rPr>
        <w:t xml:space="preserve">  price_cents INTEGER NOT NULL CHECK (price_cents &gt;= 0)</w:t>
      </w:r>
      <w:r>
        <w:br/>
      </w:r>
      <w:r>
        <w:rPr>
          <w:rStyle w:val="StringTok"/>
        </w:rPr>
        <w:t xml:space="preserve">);</w:t>
      </w:r>
      <w:r>
        <w:br/>
      </w:r>
      <w:r>
        <w:rPr>
          <w:rStyle w:val="StringTok"/>
        </w:rPr>
        <w:t xml:space="preserve">CREATE TABLE inventory (</w:t>
      </w:r>
      <w:r>
        <w:br/>
      </w:r>
      <w:r>
        <w:rPr>
          <w:rStyle w:val="StringTok"/>
        </w:rPr>
        <w:t xml:space="preserve">  product_id INTEGER PRIMARY KEY REFERENCES products,</w:t>
      </w:r>
      <w:r>
        <w:br/>
      </w:r>
      <w:r>
        <w:rPr>
          <w:rStyle w:val="StringTok"/>
        </w:rPr>
        <w:t xml:space="preserve">  on_hand    INTEGER NOT NULL CHECK (on_hand &gt;= 0)</w:t>
      </w:r>
      <w:r>
        <w:br/>
      </w:r>
      <w:r>
        <w:rPr>
          <w:rStyle w:val="StringTok"/>
        </w:rPr>
        <w:t xml:space="preserve">);</w:t>
      </w:r>
      <w:r>
        <w:br/>
      </w:r>
      <w:r>
        <w:rPr>
          <w:rStyle w:val="StringTok"/>
        </w:rPr>
        <w:t xml:space="preserve">CREATE TABLE orders (</w:t>
      </w:r>
      <w:r>
        <w:br/>
      </w:r>
      <w:r>
        <w:rPr>
          <w:rStyle w:val="StringTok"/>
        </w:rPr>
        <w:t xml:space="preserve">  order_id        INTEGER PRIMARY KEY,</w:t>
      </w:r>
      <w:r>
        <w:br/>
      </w:r>
      <w:r>
        <w:rPr>
          <w:rStyle w:val="StringTok"/>
        </w:rPr>
        <w:t xml:space="preserve">  customer_id     INTEGER NOT NULL REFERENCES customers,</w:t>
      </w:r>
      <w:r>
        <w:br/>
      </w:r>
      <w:r>
        <w:rPr>
          <w:rStyle w:val="StringTok"/>
        </w:rPr>
        <w:t xml:space="preserve">  status          TEXT NOT NULL DEFAULT 'pending'</w:t>
      </w:r>
      <w:r>
        <w:br/>
      </w:r>
      <w:r>
        <w:rPr>
          <w:rStyle w:val="StringTok"/>
        </w:rPr>
        <w:t xml:space="preserve">                  CHECK (status IN ('pending','paid','shipped','cancelled')),</w:t>
      </w:r>
      <w:r>
        <w:br/>
      </w:r>
      <w:r>
        <w:rPr>
          <w:rStyle w:val="StringTok"/>
        </w:rPr>
        <w:t xml:space="preserve">  ship_to         TEXT NOT NULL,</w:t>
      </w:r>
      <w:r>
        <w:br/>
      </w:r>
      <w:r>
        <w:rPr>
          <w:rStyle w:val="StringTok"/>
        </w:rPr>
        <w:t xml:space="preserve">  total_cents     INTEGER NOT NULL DEFAULT 0 CHECK (total_cents &gt;= 0),</w:t>
      </w:r>
      <w:r>
        <w:br/>
      </w:r>
      <w:r>
        <w:rPr>
          <w:rStyle w:val="StringTok"/>
        </w:rPr>
        <w:t xml:space="preserve">  idempotency_key TEXT NOT NULL UNIQUE,</w:t>
      </w:r>
      <w:r>
        <w:br/>
      </w:r>
      <w:r>
        <w:rPr>
          <w:rStyle w:val="StringTok"/>
        </w:rPr>
        <w:t xml:space="preserve">  created_at      TEXT NOT NULL DEFAULT CURRENT_TIMESTAMP</w:t>
      </w:r>
      <w:r>
        <w:br/>
      </w:r>
      <w:r>
        <w:rPr>
          <w:rStyle w:val="StringTok"/>
        </w:rPr>
        <w:t xml:space="preserve">);</w:t>
      </w:r>
      <w:r>
        <w:br/>
      </w:r>
      <w:r>
        <w:rPr>
          <w:rStyle w:val="StringTok"/>
        </w:rPr>
        <w:t xml:space="preserve">CREATE TABLE order_items (</w:t>
      </w:r>
      <w:r>
        <w:br/>
      </w:r>
      <w:r>
        <w:rPr>
          <w:rStyle w:val="StringTok"/>
        </w:rPr>
        <w:t xml:space="preserve">  order_id         INTEGER NOT NULL REFERENCES orders ON DELETE CASCADE,</w:t>
      </w:r>
      <w:r>
        <w:br/>
      </w:r>
      <w:r>
        <w:rPr>
          <w:rStyle w:val="StringTok"/>
        </w:rPr>
        <w:t xml:space="preserve">  line_no          INTEGER NOT NULL,</w:t>
      </w:r>
      <w:r>
        <w:br/>
      </w:r>
      <w:r>
        <w:rPr>
          <w:rStyle w:val="StringTok"/>
        </w:rPr>
        <w:t xml:space="preserve">  product_id       INTEGER NOT NULL REFERENCES products,</w:t>
      </w:r>
      <w:r>
        <w:br/>
      </w:r>
      <w:r>
        <w:rPr>
          <w:rStyle w:val="StringTok"/>
        </w:rPr>
        <w:t xml:space="preserve">  quantity         INTEGER NOT NULL CHECK (quantity &gt; 0),</w:t>
      </w:r>
      <w:r>
        <w:br/>
      </w:r>
      <w:r>
        <w:rPr>
          <w:rStyle w:val="StringTok"/>
        </w:rPr>
        <w:t xml:space="preserve">  unit_price_cents INTEGER NOT NULL CHECK (unit_price_cents &gt;= 0),</w:t>
      </w:r>
      <w:r>
        <w:br/>
      </w:r>
      <w:r>
        <w:rPr>
          <w:rStyle w:val="StringTok"/>
        </w:rPr>
        <w:t xml:space="preserve">  PRIMARY KEY (order_id, line_no)</w:t>
      </w:r>
      <w:r>
        <w:br/>
      </w:r>
      <w:r>
        <w:rPr>
          <w:rStyle w:val="StringTok"/>
        </w:rPr>
        <w:t xml:space="preserve">);</w:t>
      </w:r>
      <w:r>
        <w:br/>
      </w:r>
      <w:r>
        <w:rPr>
          <w:rStyle w:val="StringTok"/>
        </w:rPr>
        <w:t xml:space="preserve">CREATE TABLE payments (</w:t>
      </w:r>
      <w:r>
        <w:br/>
      </w:r>
      <w:r>
        <w:rPr>
          <w:rStyle w:val="StringTok"/>
        </w:rPr>
        <w:t xml:space="preserve">  payment_id   INTEGER PRIMARY KEY,</w:t>
      </w:r>
      <w:r>
        <w:br/>
      </w:r>
      <w:r>
        <w:rPr>
          <w:rStyle w:val="StringTok"/>
        </w:rPr>
        <w:t xml:space="preserve">  order_id     INTEGER NOT NULL REFERENCES orders,</w:t>
      </w:r>
      <w:r>
        <w:br/>
      </w:r>
      <w:r>
        <w:rPr>
          <w:rStyle w:val="StringTok"/>
        </w:rPr>
        <w:t xml:space="preserve">  amount_cents INTEGER NOT NULL CHECK (amount_cents &gt; 0),</w:t>
      </w:r>
      <w:r>
        <w:br/>
      </w:r>
      <w:r>
        <w:rPr>
          <w:rStyle w:val="StringTok"/>
        </w:rPr>
        <w:t xml:space="preserve">  provider_ref TEXT UNIQUE,</w:t>
      </w:r>
      <w:r>
        <w:br/>
      </w:r>
      <w:r>
        <w:rPr>
          <w:rStyle w:val="StringTok"/>
        </w:rPr>
        <w:t xml:space="preserve">  status       TEXT NOT NULL CHECK (status IN ('authorized','captured','failed','refunded')),</w:t>
      </w:r>
      <w:r>
        <w:br/>
      </w:r>
      <w:r>
        <w:rPr>
          <w:rStyle w:val="StringTok"/>
        </w:rPr>
        <w:t xml:space="preserve">  created_at   TEXT NOT NULL DEFAULT CURRENT_TIMESTAMP</w:t>
      </w:r>
      <w:r>
        <w:br/>
      </w:r>
      <w:r>
        <w:rPr>
          <w:rStyle w:val="StringTok"/>
        </w:rPr>
        <w:t xml:space="preserve">);</w:t>
      </w:r>
      <w:r>
        <w:br/>
      </w:r>
      <w:r>
        <w:rPr>
          <w:rStyle w:val="StringTok"/>
        </w:rPr>
        <w:t xml:space="preserve">CREATE INDEX orders_customer_created ON orders (customer_id, created_at DESC, order_id DESC);</w:t>
      </w:r>
      <w:r>
        <w:br/>
      </w:r>
      <w:r>
        <w:rPr>
          <w:rStyle w:val="StringTok"/>
        </w:rPr>
        <w:t xml:space="preserve">CREATE INDEX order_items_product     ON order_items (product_id);</w:t>
      </w:r>
      <w:r>
        <w:br/>
      </w:r>
      <w:r>
        <w:rPr>
          <w:rStyle w:val="StringTok"/>
        </w:rPr>
        <w:t xml:space="preserve">CREATE INDEX payments_order          ON payments (order_id);</w:t>
      </w:r>
      <w:r>
        <w:br/>
      </w:r>
      <w:r>
        <w:rPr>
          <w:rStyle w:val="StringTok"/>
        </w:rPr>
        <w:t xml:space="preserve">CREATE INDEX orders_pending_created  ON orders (created_at) WHERE status = 'pending';</w:t>
      </w:r>
      <w:r>
        <w:br/>
      </w:r>
      <w:r>
        <w:rPr>
          <w:rStyle w:val="StringTok"/>
        </w:rPr>
        <w:t xml:space="preserve">"""</w:t>
      </w:r>
      <w:r>
        <w:br/>
      </w:r>
      <w:r>
        <w:br/>
      </w:r>
      <w:r>
        <w:rPr>
          <w:rStyle w:val="KeywordTok"/>
        </w:rPr>
        <w:t xml:space="preserve">class</w:t>
      </w:r>
      <w:r>
        <w:rPr>
          <w:rStyle w:val="NormalTok"/>
        </w:rPr>
        <w:t xml:space="preserve"> OutOfStock(</w:t>
      </w:r>
      <w:r>
        <w:rPr>
          <w:rStyle w:val="PreprocessorTok"/>
        </w:rPr>
        <w:t xml:space="preserve">Exception</w:t>
      </w:r>
      <w:r>
        <w:rPr>
          <w:rStyle w:val="NormalTok"/>
        </w:rPr>
        <w:t xml:space="preserve">):</w:t>
      </w:r>
      <w:r>
        <w:br/>
      </w:r>
      <w:r>
        <w:rPr>
          <w:rStyle w:val="NormalTok"/>
        </w:rPr>
        <w:t xml:space="preserve">    </w:t>
      </w:r>
      <w:r>
        <w:rPr>
          <w:rStyle w:val="ControlFlowTok"/>
        </w:rPr>
        <w:t xml:space="preserve">pass</w:t>
      </w:r>
      <w:r>
        <w:br/>
      </w:r>
      <w:r>
        <w:br/>
      </w:r>
      <w:r>
        <w:rPr>
          <w:rStyle w:val="KeywordTok"/>
        </w:rPr>
        <w:t xml:space="preserve">def</w:t>
      </w:r>
      <w:r>
        <w:rPr>
          <w:rStyle w:val="NormalTok"/>
        </w:rPr>
        <w:t xml:space="preserve"> place_order(db, customer_id, ship_to, items, idempotency_key):</w:t>
      </w:r>
      <w:r>
        <w:br/>
      </w:r>
      <w:r>
        <w:rPr>
          <w:rStyle w:val="NormalTok"/>
        </w:rPr>
        <w:t xml:space="preserve">    </w:t>
      </w:r>
      <w:r>
        <w:rPr>
          <w:rStyle w:val="CommentTok"/>
        </w:rPr>
        <w:t xml:space="preserve">"""items: list of (product_id, quantity). Returns order_id. All-or-nothing."""</w:t>
      </w:r>
      <w:r>
        <w:br/>
      </w:r>
      <w:r>
        <w:rPr>
          <w:rStyle w:val="NormalTok"/>
        </w:rPr>
        <w:t xml:space="preserve">    </w:t>
      </w:r>
      <w:r>
        <w:rPr>
          <w:rStyle w:val="ControlFlowTok"/>
        </w:rPr>
        <w:t xml:space="preserve">with</w:t>
      </w:r>
      <w:r>
        <w:rPr>
          <w:rStyle w:val="NormalTok"/>
        </w:rPr>
        <w:t xml:space="preserve"> db:  </w:t>
      </w:r>
      <w:r>
        <w:rPr>
          <w:rStyle w:val="CommentTok"/>
        </w:rPr>
        <w:t xml:space="preserve"># </w:t>
      </w:r>
      <w:r>
        <w:rPr>
          <w:rStyle w:val="RegionMarkerTok"/>
        </w:rPr>
        <w:t xml:space="preserve">BEGIN</w:t>
      </w:r>
      <w:r>
        <w:rPr>
          <w:rStyle w:val="CommentTok"/>
        </w:rPr>
        <w:t xml:space="preserve"> ... COMMIT, or ROLLBACK if an exception escapes</w:t>
      </w:r>
      <w:r>
        <w:br/>
      </w:r>
      <w:r>
        <w:rPr>
          <w:rStyle w:val="NormalTok"/>
        </w:rPr>
        <w:t xml:space="preserve">        row </w:t>
      </w:r>
      <w:r>
        <w:rPr>
          <w:rStyle w:val="OperatorTok"/>
        </w:rPr>
        <w:t xml:space="preserve">=</w:t>
      </w:r>
      <w:r>
        <w:rPr>
          <w:rStyle w:val="NormalTok"/>
        </w:rPr>
        <w:t xml:space="preserve"> db.execute(</w:t>
      </w:r>
      <w:r>
        <w:br/>
      </w:r>
      <w:r>
        <w:rPr>
          <w:rStyle w:val="NormalTok"/>
        </w:rPr>
        <w:t xml:space="preserve">            </w:t>
      </w:r>
      <w:r>
        <w:rPr>
          <w:rStyle w:val="StringTok"/>
        </w:rPr>
        <w:t xml:space="preserve">"INSERT INTO orders (customer_id, ship_to, idempotency_key) VALUES (?, ?, ?) "</w:t>
      </w:r>
      <w:r>
        <w:br/>
      </w:r>
      <w:r>
        <w:rPr>
          <w:rStyle w:val="NormalTok"/>
        </w:rPr>
        <w:t xml:space="preserve">            </w:t>
      </w:r>
      <w:r>
        <w:rPr>
          <w:rStyle w:val="StringTok"/>
        </w:rPr>
        <w:t xml:space="preserve">"ON CONFLICT (idempotency_key) DO NOTHING RETURNING order_id"</w:t>
      </w:r>
      <w:r>
        <w:rPr>
          <w:rStyle w:val="NormalTok"/>
        </w:rPr>
        <w:t xml:space="preserve">,</w:t>
      </w:r>
      <w:r>
        <w:br/>
      </w:r>
      <w:r>
        <w:rPr>
          <w:rStyle w:val="NormalTok"/>
        </w:rPr>
        <w:t xml:space="preserve">            (customer_id, ship_to, idempotency_key)).fetchone()</w:t>
      </w:r>
      <w:r>
        <w:br/>
      </w:r>
      <w:r>
        <w:rPr>
          <w:rStyle w:val="NormalTok"/>
        </w:rPr>
        <w:t xml:space="preserve">        </w:t>
      </w:r>
      <w:r>
        <w:rPr>
          <w:rStyle w:val="ControlFlowTok"/>
        </w:rPr>
        <w:t xml:space="preserve">if</w:t>
      </w:r>
      <w:r>
        <w:rPr>
          <w:rStyle w:val="NormalTok"/>
        </w:rPr>
        <w:t xml:space="preserve"> row </w:t>
      </w:r>
      <w:r>
        <w:rPr>
          <w:rStyle w:val="KeywordTok"/>
        </w:rPr>
        <w:t xml:space="preserve">is</w:t>
      </w:r>
      <w:r>
        <w:rPr>
          <w:rStyle w:val="NormalTok"/>
        </w:rPr>
        <w:t xml:space="preserve"> </w:t>
      </w:r>
      <w:r>
        <w:rPr>
          <w:rStyle w:val="VariableTok"/>
        </w:rPr>
        <w:t xml:space="preserve">None</w:t>
      </w:r>
      <w:r>
        <w:rPr>
          <w:rStyle w:val="NormalTok"/>
        </w:rPr>
        <w:t xml:space="preserve">:  </w:t>
      </w:r>
      <w:r>
        <w:rPr>
          <w:rStyle w:val="CommentTok"/>
        </w:rPr>
        <w:t xml:space="preserve"># a retry of a request we already processed</w:t>
      </w:r>
      <w:r>
        <w:br/>
      </w:r>
      <w:r>
        <w:rPr>
          <w:rStyle w:val="NormalTok"/>
        </w:rPr>
        <w:t xml:space="preserve">            </w:t>
      </w:r>
      <w:r>
        <w:rPr>
          <w:rStyle w:val="ControlFlowTok"/>
        </w:rPr>
        <w:t xml:space="preserve">return</w:t>
      </w:r>
      <w:r>
        <w:rPr>
          <w:rStyle w:val="NormalTok"/>
        </w:rPr>
        <w:t xml:space="preserve"> db.execute(</w:t>
      </w:r>
      <w:r>
        <w:rPr>
          <w:rStyle w:val="StringTok"/>
        </w:rPr>
        <w:t xml:space="preserve">"SELECT order_id FROM orders WHERE idempotency_key = ?"</w:t>
      </w:r>
      <w:r>
        <w:rPr>
          <w:rStyle w:val="NormalTok"/>
        </w:rPr>
        <w:t xml:space="preserve">,</w:t>
      </w:r>
      <w:r>
        <w:br/>
      </w:r>
      <w:r>
        <w:rPr>
          <w:rStyle w:val="NormalTok"/>
        </w:rPr>
        <w:t xml:space="preserve">                              (idempotency_key,)).fetchone()[</w:t>
      </w:r>
      <w:r>
        <w:rPr>
          <w:rStyle w:val="DecValTok"/>
        </w:rPr>
        <w:t xml:space="preserve">0</w:t>
      </w:r>
      <w:r>
        <w:rPr>
          <w:rStyle w:val="NormalTok"/>
        </w:rPr>
        <w:t xml:space="preserve">]</w:t>
      </w:r>
      <w:r>
        <w:br/>
      </w:r>
      <w:r>
        <w:rPr>
          <w:rStyle w:val="NormalTok"/>
        </w:rPr>
        <w:t xml:space="preserve">        order_id, total </w:t>
      </w:r>
      <w:r>
        <w:rPr>
          <w:rStyle w:val="OperatorTok"/>
        </w:rPr>
        <w:t xml:space="preserve">=</w:t>
      </w:r>
      <w:r>
        <w:rPr>
          <w:rStyle w:val="NormalTok"/>
        </w:rPr>
        <w:t xml:space="preserve"> row[</w:t>
      </w:r>
      <w:r>
        <w:rPr>
          <w:rStyle w:val="DecValTok"/>
        </w:rPr>
        <w:t xml:space="preserve">0</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line_no, (product_id, qty)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BuiltInTok"/>
        </w:rPr>
        <w:t xml:space="preserve">sorted</w:t>
      </w:r>
      <w:r>
        <w:rPr>
          <w:rStyle w:val="NormalTok"/>
        </w:rPr>
        <w:t xml:space="preserve">(items), start</w:t>
      </w:r>
      <w:r>
        <w:rPr>
          <w:rStyle w:val="OperatorTok"/>
        </w:rPr>
        <w:t xml:space="preserve">=</w:t>
      </w:r>
      <w:r>
        <w:rPr>
          <w:rStyle w:val="DecValTok"/>
        </w:rPr>
        <w:t xml:space="preserve">1</w:t>
      </w:r>
      <w:r>
        <w:rPr>
          <w:rStyle w:val="NormalTok"/>
        </w:rPr>
        <w:t xml:space="preserve">):  </w:t>
      </w:r>
      <w:r>
        <w:rPr>
          <w:rStyle w:val="CommentTok"/>
        </w:rPr>
        <w:t xml:space="preserve"># fixed lock order</w:t>
      </w:r>
      <w:r>
        <w:br/>
      </w:r>
      <w:r>
        <w:rPr>
          <w:rStyle w:val="NormalTok"/>
        </w:rPr>
        <w:t xml:space="preserve">            cur </w:t>
      </w:r>
      <w:r>
        <w:rPr>
          <w:rStyle w:val="OperatorTok"/>
        </w:rPr>
        <w:t xml:space="preserve">=</w:t>
      </w:r>
      <w:r>
        <w:rPr>
          <w:rStyle w:val="NormalTok"/>
        </w:rPr>
        <w:t xml:space="preserve"> db.execute(</w:t>
      </w:r>
      <w:r>
        <w:br/>
      </w:r>
      <w:r>
        <w:rPr>
          <w:rStyle w:val="NormalTok"/>
        </w:rPr>
        <w:t xml:space="preserve">                </w:t>
      </w:r>
      <w:r>
        <w:rPr>
          <w:rStyle w:val="StringTok"/>
        </w:rPr>
        <w:t xml:space="preserve">"UPDATE inventory SET on_hand = on_hand - ? WHERE product_id = ? AND on_hand &gt;= ?"</w:t>
      </w:r>
      <w:r>
        <w:rPr>
          <w:rStyle w:val="NormalTok"/>
        </w:rPr>
        <w:t xml:space="preserve">,</w:t>
      </w:r>
      <w:r>
        <w:br/>
      </w:r>
      <w:r>
        <w:rPr>
          <w:rStyle w:val="NormalTok"/>
        </w:rPr>
        <w:t xml:space="preserve">                (qty, product_id, qty))</w:t>
      </w:r>
      <w:r>
        <w:br/>
      </w:r>
      <w:r>
        <w:rPr>
          <w:rStyle w:val="NormalTok"/>
        </w:rPr>
        <w:t xml:space="preserve">            </w:t>
      </w:r>
      <w:r>
        <w:rPr>
          <w:rStyle w:val="ControlFlowTok"/>
        </w:rPr>
        <w:t xml:space="preserve">if</w:t>
      </w:r>
      <w:r>
        <w:rPr>
          <w:rStyle w:val="NormalTok"/>
        </w:rPr>
        <w:t xml:space="preserve"> cur.rowcount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raise</w:t>
      </w:r>
      <w:r>
        <w:rPr>
          <w:rStyle w:val="NormalTok"/>
        </w:rPr>
        <w:t xml:space="preserve"> OutOfStock(product_id)  </w:t>
      </w:r>
      <w:r>
        <w:rPr>
          <w:rStyle w:val="CommentTok"/>
        </w:rPr>
        <w:t xml:space="preserve"># aborts the whole transaction</w:t>
      </w:r>
      <w:r>
        <w:br/>
      </w:r>
      <w:r>
        <w:rPr>
          <w:rStyle w:val="NormalTok"/>
        </w:rPr>
        <w:t xml:space="preserve">            price </w:t>
      </w:r>
      <w:r>
        <w:rPr>
          <w:rStyle w:val="OperatorTok"/>
        </w:rPr>
        <w:t xml:space="preserve">=</w:t>
      </w:r>
      <w:r>
        <w:rPr>
          <w:rStyle w:val="NormalTok"/>
        </w:rPr>
        <w:t xml:space="preserve"> db.execute(</w:t>
      </w:r>
      <w:r>
        <w:rPr>
          <w:rStyle w:val="StringTok"/>
        </w:rPr>
        <w:t xml:space="preserve">"SELECT price_cents FROM products WHERE product_id = ?"</w:t>
      </w:r>
      <w:r>
        <w:rPr>
          <w:rStyle w:val="NormalTok"/>
        </w:rPr>
        <w:t xml:space="preserve">,</w:t>
      </w:r>
      <w:r>
        <w:br/>
      </w:r>
      <w:r>
        <w:rPr>
          <w:rStyle w:val="NormalTok"/>
        </w:rPr>
        <w:t xml:space="preserve">                               (product_id,)).fetchone()[</w:t>
      </w:r>
      <w:r>
        <w:rPr>
          <w:rStyle w:val="DecValTok"/>
        </w:rPr>
        <w:t xml:space="preserve">0</w:t>
      </w:r>
      <w:r>
        <w:rPr>
          <w:rStyle w:val="NormalTok"/>
        </w:rPr>
        <w:t xml:space="preserve">]</w:t>
      </w:r>
      <w:r>
        <w:br/>
      </w:r>
      <w:r>
        <w:rPr>
          <w:rStyle w:val="NormalTok"/>
        </w:rPr>
        <w:t xml:space="preserve">            db.execute(</w:t>
      </w:r>
      <w:r>
        <w:rPr>
          <w:rStyle w:val="StringTok"/>
        </w:rPr>
        <w:t xml:space="preserve">"INSERT INTO order_items VALUES (?, ?, ?, ?, ?)"</w:t>
      </w:r>
      <w:r>
        <w:rPr>
          <w:rStyle w:val="NormalTok"/>
        </w:rPr>
        <w:t xml:space="preserve">,</w:t>
      </w:r>
      <w:r>
        <w:br/>
      </w:r>
      <w:r>
        <w:rPr>
          <w:rStyle w:val="NormalTok"/>
        </w:rPr>
        <w:t xml:space="preserve">                       (order_id, line_no, product_id, qty, price))</w:t>
      </w:r>
      <w:r>
        <w:br/>
      </w:r>
      <w:r>
        <w:rPr>
          <w:rStyle w:val="NormalTok"/>
        </w:rPr>
        <w:t xml:space="preserve">            total </w:t>
      </w:r>
      <w:r>
        <w:rPr>
          <w:rStyle w:val="OperatorTok"/>
        </w:rPr>
        <w:t xml:space="preserve">+=</w:t>
      </w:r>
      <w:r>
        <w:rPr>
          <w:rStyle w:val="NormalTok"/>
        </w:rPr>
        <w:t xml:space="preserve"> qty </w:t>
      </w:r>
      <w:r>
        <w:rPr>
          <w:rStyle w:val="OperatorTok"/>
        </w:rPr>
        <w:t xml:space="preserve">*</w:t>
      </w:r>
      <w:r>
        <w:rPr>
          <w:rStyle w:val="NormalTok"/>
        </w:rPr>
        <w:t xml:space="preserve"> price</w:t>
      </w:r>
      <w:r>
        <w:br/>
      </w:r>
      <w:r>
        <w:rPr>
          <w:rStyle w:val="NormalTok"/>
        </w:rPr>
        <w:t xml:space="preserve">        db.execute(</w:t>
      </w:r>
      <w:r>
        <w:rPr>
          <w:rStyle w:val="StringTok"/>
        </w:rPr>
        <w:t xml:space="preserve">"UPDATE orders SET total_cents = ? WHERE order_id = ?"</w:t>
      </w:r>
      <w:r>
        <w:rPr>
          <w:rStyle w:val="NormalTok"/>
        </w:rPr>
        <w:t xml:space="preserve">, (total, order_id))</w:t>
      </w:r>
      <w:r>
        <w:br/>
      </w:r>
      <w:r>
        <w:rPr>
          <w:rStyle w:val="NormalTok"/>
        </w:rPr>
        <w:t xml:space="preserve">        </w:t>
      </w:r>
      <w:r>
        <w:rPr>
          <w:rStyle w:val="ControlFlowTok"/>
        </w:rPr>
        <w:t xml:space="preserve">return</w:t>
      </w:r>
      <w:r>
        <w:rPr>
          <w:rStyle w:val="NormalTok"/>
        </w:rPr>
        <w:t xml:space="preserve"> order_id</w:t>
      </w:r>
      <w:r>
        <w:br/>
      </w:r>
      <w:r>
        <w:br/>
      </w:r>
      <w:r>
        <w:rPr>
          <w:rStyle w:val="NormalTok"/>
        </w:rPr>
        <w:t xml:space="preserve">ORDER_HISTORY </w:t>
      </w:r>
      <w:r>
        <w:rPr>
          <w:rStyle w:val="OperatorTok"/>
        </w:rPr>
        <w:t xml:space="preserve">=</w:t>
      </w:r>
      <w:r>
        <w:rPr>
          <w:rStyle w:val="NormalTok"/>
        </w:rPr>
        <w:t xml:space="preserve"> </w:t>
      </w:r>
      <w:r>
        <w:rPr>
          <w:rStyle w:val="StringTok"/>
        </w:rPr>
        <w:t xml:space="preserve">"""</w:t>
      </w:r>
      <w:r>
        <w:br/>
      </w:r>
      <w:r>
        <w:rPr>
          <w:rStyle w:val="StringTok"/>
        </w:rPr>
        <w:t xml:space="preserve">SELECT order_id, status, total_cents, created_at</w:t>
      </w:r>
      <w:r>
        <w:br/>
      </w:r>
      <w:r>
        <w:rPr>
          <w:rStyle w:val="StringTok"/>
        </w:rPr>
        <w:t xml:space="preserve">FROM orders</w:t>
      </w:r>
      <w:r>
        <w:br/>
      </w:r>
      <w:r>
        <w:rPr>
          <w:rStyle w:val="StringTok"/>
        </w:rPr>
        <w:t xml:space="preserve">WHERE customer_id = :cid</w:t>
      </w:r>
      <w:r>
        <w:br/>
      </w:r>
      <w:r>
        <w:rPr>
          <w:rStyle w:val="StringTok"/>
        </w:rPr>
        <w:t xml:space="preserve">  AND (created_at, order_id) &lt; (:after_created, :after_id)   -- keyset cursor</w:t>
      </w:r>
      <w:r>
        <w:br/>
      </w:r>
      <w:r>
        <w:rPr>
          <w:rStyle w:val="StringTok"/>
        </w:rPr>
        <w:t xml:space="preserve">ORDER BY created_at DESC, order_id DESC</w:t>
      </w:r>
      <w:r>
        <w:br/>
      </w:r>
      <w:r>
        <w:rPr>
          <w:rStyle w:val="StringTok"/>
        </w:rPr>
        <w:t xml:space="preserve">LIMIT 20"""</w:t>
      </w:r>
      <w:r>
        <w:br/>
      </w:r>
      <w:r>
        <w:br/>
      </w:r>
      <w:r>
        <w:rPr>
          <w:rStyle w:val="NormalTok"/>
        </w:rPr>
        <w:t xml:space="preserve">TOP_PRODUCTS </w:t>
      </w:r>
      <w:r>
        <w:rPr>
          <w:rStyle w:val="OperatorTok"/>
        </w:rPr>
        <w:t xml:space="preserve">=</w:t>
      </w:r>
      <w:r>
        <w:rPr>
          <w:rStyle w:val="NormalTok"/>
        </w:rPr>
        <w:t xml:space="preserve"> </w:t>
      </w:r>
      <w:r>
        <w:rPr>
          <w:rStyle w:val="StringTok"/>
        </w:rPr>
        <w:t xml:space="preserve">"""</w:t>
      </w:r>
      <w:r>
        <w:br/>
      </w:r>
      <w:r>
        <w:rPr>
          <w:rStyle w:val="StringTok"/>
        </w:rPr>
        <w:t xml:space="preserve">SELECT p.sku, SUM(i.quantity) AS units, SUM(i.quantity * i.unit_price_cents) AS revenue_cents</w:t>
      </w:r>
      <w:r>
        <w:br/>
      </w:r>
      <w:r>
        <w:rPr>
          <w:rStyle w:val="StringTok"/>
        </w:rPr>
        <w:t xml:space="preserve">FROM order_items i</w:t>
      </w:r>
      <w:r>
        <w:br/>
      </w:r>
      <w:r>
        <w:rPr>
          <w:rStyle w:val="StringTok"/>
        </w:rPr>
        <w:t xml:space="preserve">JOIN orders   o ON o.order_id   = i.order_id</w:t>
      </w:r>
      <w:r>
        <w:br/>
      </w:r>
      <w:r>
        <w:rPr>
          <w:rStyle w:val="StringTok"/>
        </w:rPr>
        <w:t xml:space="preserve">JOIN products p ON p.product_id = i.product_id</w:t>
      </w:r>
      <w:r>
        <w:br/>
      </w:r>
      <w:r>
        <w:rPr>
          <w:rStyle w:val="StringTok"/>
        </w:rPr>
        <w:t xml:space="preserve">WHERE o.status &lt;&gt; 'cancelled'</w:t>
      </w:r>
      <w:r>
        <w:br/>
      </w:r>
      <w:r>
        <w:rPr>
          <w:rStyle w:val="StringTok"/>
        </w:rPr>
        <w:t xml:space="preserve">GROUP BY p.sku</w:t>
      </w:r>
      <w:r>
        <w:br/>
      </w:r>
      <w:r>
        <w:rPr>
          <w:rStyle w:val="StringTok"/>
        </w:rPr>
        <w:t xml:space="preserve">ORDER BY revenue_cents DESC</w:t>
      </w:r>
      <w:r>
        <w:br/>
      </w:r>
      <w:r>
        <w:rPr>
          <w:rStyle w:val="StringTok"/>
        </w:rPr>
        <w:t xml:space="preserve">LIMIT 3"""</w:t>
      </w:r>
      <w:r>
        <w:br/>
      </w:r>
      <w:r>
        <w:br/>
      </w:r>
      <w:r>
        <w:rPr>
          <w:rStyle w:val="NormalTok"/>
        </w:rPr>
        <w:t xml:space="preserve">NO_ORDERS </w:t>
      </w:r>
      <w:r>
        <w:rPr>
          <w:rStyle w:val="OperatorTok"/>
        </w:rPr>
        <w:t xml:space="preserve">=</w:t>
      </w:r>
      <w:r>
        <w:rPr>
          <w:rStyle w:val="NormalTok"/>
        </w:rPr>
        <w:t xml:space="preserve"> </w:t>
      </w:r>
      <w:r>
        <w:rPr>
          <w:rStyle w:val="StringTok"/>
        </w:rPr>
        <w:t xml:space="preserve">"""</w:t>
      </w:r>
      <w:r>
        <w:br/>
      </w:r>
      <w:r>
        <w:rPr>
          <w:rStyle w:val="StringTok"/>
        </w:rPr>
        <w:t xml:space="preserve">SELECT c.email FROM customers c</w:t>
      </w:r>
      <w:r>
        <w:br/>
      </w:r>
      <w:r>
        <w:rPr>
          <w:rStyle w:val="StringTok"/>
        </w:rPr>
        <w:t xml:space="preserve">WHERE NOT EXISTS (SELECT 1 FROM orders o WHERE o.customer_id = c.customer_id)"""</w:t>
      </w:r>
      <w:r>
        <w:br/>
      </w:r>
      <w:r>
        <w:br/>
      </w:r>
      <w:r>
        <w:rPr>
          <w:rStyle w:val="NormalTok"/>
        </w:rPr>
        <w:t xml:space="preserve">db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StringTok"/>
        </w:rPr>
        <w:t xml:space="preserve">":memory:"</w:t>
      </w:r>
      <w:r>
        <w:rPr>
          <w:rStyle w:val="NormalTok"/>
        </w:rPr>
        <w:t xml:space="preserve">)  </w:t>
      </w:r>
      <w:r>
        <w:rPr>
          <w:rStyle w:val="CommentTok"/>
        </w:rPr>
        <w:t xml:space="preserve"># default mode: </w:t>
      </w:r>
      <w:r>
        <w:rPr>
          <w:rStyle w:val="RegionMarkerTok"/>
        </w:rPr>
        <w:t xml:space="preserve">BEGIN</w:t>
      </w:r>
      <w:r>
        <w:rPr>
          <w:rStyle w:val="CommentTok"/>
        </w:rPr>
        <w:t xml:space="preserve"> issued implicitly before DML</w:t>
      </w:r>
      <w:r>
        <w:br/>
      </w:r>
      <w:r>
        <w:rPr>
          <w:rStyle w:val="NormalTok"/>
        </w:rPr>
        <w:t xml:space="preserve">db.executescript(SCHEMA)</w:t>
      </w:r>
      <w:r>
        <w:br/>
      </w:r>
      <w:r>
        <w:rPr>
          <w:rStyle w:val="NormalTok"/>
        </w:rPr>
        <w:t xml:space="preserve">db.executemany(</w:t>
      </w:r>
      <w:r>
        <w:rPr>
          <w:rStyle w:val="StringTok"/>
        </w:rPr>
        <w:t xml:space="preserve">"INSERT INTO customers (email, full_name, city) VALUES (?, ?, ?)"</w:t>
      </w:r>
      <w:r>
        <w:rPr>
          <w:rStyle w:val="NormalTok"/>
        </w:rPr>
        <w:t xml:space="preserve">,</w:t>
      </w:r>
      <w:r>
        <w:br/>
      </w:r>
      <w:r>
        <w:rPr>
          <w:rStyle w:val="NormalTok"/>
        </w:rPr>
        <w:t xml:space="preserve">               [(</w:t>
      </w:r>
      <w:r>
        <w:rPr>
          <w:rStyle w:val="StringTok"/>
        </w:rPr>
        <w:t xml:space="preserve">"ana@example.com"</w:t>
      </w:r>
      <w:r>
        <w:rPr>
          <w:rStyle w:val="NormalTok"/>
        </w:rPr>
        <w:t xml:space="preserve">, </w:t>
      </w:r>
      <w:r>
        <w:rPr>
          <w:rStyle w:val="StringTok"/>
        </w:rPr>
        <w:t xml:space="preserve">"Ana"</w:t>
      </w:r>
      <w:r>
        <w:rPr>
          <w:rStyle w:val="NormalTok"/>
        </w:rPr>
        <w:t xml:space="preserve">, </w:t>
      </w:r>
      <w:r>
        <w:rPr>
          <w:rStyle w:val="StringTok"/>
        </w:rPr>
        <w:t xml:space="preserve">"Pune"</w:t>
      </w:r>
      <w:r>
        <w:rPr>
          <w:rStyle w:val="NormalTok"/>
        </w:rPr>
        <w:t xml:space="preserve">), (</w:t>
      </w:r>
      <w:r>
        <w:rPr>
          <w:rStyle w:val="StringTok"/>
        </w:rPr>
        <w:t xml:space="preserve">"bo@example.com"</w:t>
      </w:r>
      <w:r>
        <w:rPr>
          <w:rStyle w:val="NormalTok"/>
        </w:rPr>
        <w:t xml:space="preserve">, </w:t>
      </w:r>
      <w:r>
        <w:rPr>
          <w:rStyle w:val="StringTok"/>
        </w:rPr>
        <w:t xml:space="preserve">"Bo"</w:t>
      </w:r>
      <w:r>
        <w:rPr>
          <w:rStyle w:val="NormalTok"/>
        </w:rPr>
        <w:t xml:space="preserve">, </w:t>
      </w:r>
      <w:r>
        <w:rPr>
          <w:rStyle w:val="StringTok"/>
        </w:rPr>
        <w:t xml:space="preserve">"Lima"</w:t>
      </w:r>
      <w:r>
        <w:rPr>
          <w:rStyle w:val="NormalTok"/>
        </w:rPr>
        <w:t xml:space="preserve">)])</w:t>
      </w:r>
      <w:r>
        <w:br/>
      </w:r>
      <w:r>
        <w:rPr>
          <w:rStyle w:val="NormalTok"/>
        </w:rPr>
        <w:t xml:space="preserve">db.executemany(</w:t>
      </w:r>
      <w:r>
        <w:rPr>
          <w:rStyle w:val="StringTok"/>
        </w:rPr>
        <w:t xml:space="preserve">"INSERT INTO products (sku, name, price_cents) VALUES (?, ?, ?)"</w:t>
      </w:r>
      <w:r>
        <w:rPr>
          <w:rStyle w:val="NormalTok"/>
        </w:rPr>
        <w:t xml:space="preserve">,</w:t>
      </w:r>
      <w:r>
        <w:br/>
      </w:r>
      <w:r>
        <w:rPr>
          <w:rStyle w:val="NormalTok"/>
        </w:rPr>
        <w:t xml:space="preserve">               [(</w:t>
      </w:r>
      <w:r>
        <w:rPr>
          <w:rStyle w:val="StringTok"/>
        </w:rPr>
        <w:t xml:space="preserve">"MUG-1"</w:t>
      </w:r>
      <w:r>
        <w:rPr>
          <w:rStyle w:val="NormalTok"/>
        </w:rPr>
        <w:t xml:space="preserve">, </w:t>
      </w:r>
      <w:r>
        <w:rPr>
          <w:rStyle w:val="StringTok"/>
        </w:rPr>
        <w:t xml:space="preserve">"Mug"</w:t>
      </w:r>
      <w:r>
        <w:rPr>
          <w:rStyle w:val="NormalTok"/>
        </w:rPr>
        <w:t xml:space="preserve">, </w:t>
      </w:r>
      <w:r>
        <w:rPr>
          <w:rStyle w:val="DecValTok"/>
        </w:rPr>
        <w:t xml:space="preserve">1200</w:t>
      </w:r>
      <w:r>
        <w:rPr>
          <w:rStyle w:val="NormalTok"/>
        </w:rPr>
        <w:t xml:space="preserve">), (</w:t>
      </w:r>
      <w:r>
        <w:rPr>
          <w:rStyle w:val="StringTok"/>
        </w:rPr>
        <w:t xml:space="preserve">"TEE-1"</w:t>
      </w:r>
      <w:r>
        <w:rPr>
          <w:rStyle w:val="NormalTok"/>
        </w:rPr>
        <w:t xml:space="preserve">, </w:t>
      </w:r>
      <w:r>
        <w:rPr>
          <w:rStyle w:val="StringTok"/>
        </w:rPr>
        <w:t xml:space="preserve">"T-shirt"</w:t>
      </w:r>
      <w:r>
        <w:rPr>
          <w:rStyle w:val="NormalTok"/>
        </w:rPr>
        <w:t xml:space="preserve">, </w:t>
      </w:r>
      <w:r>
        <w:rPr>
          <w:rStyle w:val="DecValTok"/>
        </w:rPr>
        <w:t xml:space="preserve">2500</w:t>
      </w:r>
      <w:r>
        <w:rPr>
          <w:rStyle w:val="NormalTok"/>
        </w:rPr>
        <w:t xml:space="preserve">), (</w:t>
      </w:r>
      <w:r>
        <w:rPr>
          <w:rStyle w:val="StringTok"/>
        </w:rPr>
        <w:t xml:space="preserve">"CAP-1"</w:t>
      </w:r>
      <w:r>
        <w:rPr>
          <w:rStyle w:val="NormalTok"/>
        </w:rPr>
        <w:t xml:space="preserve">, </w:t>
      </w:r>
      <w:r>
        <w:rPr>
          <w:rStyle w:val="StringTok"/>
        </w:rPr>
        <w:t xml:space="preserve">"Cap"</w:t>
      </w:r>
      <w:r>
        <w:rPr>
          <w:rStyle w:val="NormalTok"/>
        </w:rPr>
        <w:t xml:space="preserve">, </w:t>
      </w:r>
      <w:r>
        <w:rPr>
          <w:rStyle w:val="DecValTok"/>
        </w:rPr>
        <w:t xml:space="preserve">1800</w:t>
      </w:r>
      <w:r>
        <w:rPr>
          <w:rStyle w:val="NormalTok"/>
        </w:rPr>
        <w:t xml:space="preserve">)])</w:t>
      </w:r>
      <w:r>
        <w:br/>
      </w:r>
      <w:r>
        <w:rPr>
          <w:rStyle w:val="NormalTok"/>
        </w:rPr>
        <w:t xml:space="preserve">db.execute(</w:t>
      </w:r>
      <w:r>
        <w:rPr>
          <w:rStyle w:val="StringTok"/>
        </w:rPr>
        <w:t xml:space="preserve">"INSERT INTO inventory SELECT product_id, 5 FROM products"</w:t>
      </w:r>
      <w:r>
        <w:rPr>
          <w:rStyle w:val="NormalTok"/>
        </w:rPr>
        <w:t xml:space="preserve">)</w:t>
      </w:r>
      <w:r>
        <w:br/>
      </w:r>
      <w:r>
        <w:br/>
      </w:r>
      <w:r>
        <w:rPr>
          <w:rStyle w:val="NormalTok"/>
        </w:rPr>
        <w:t xml:space="preserve">o1 </w:t>
      </w:r>
      <w:r>
        <w:rPr>
          <w:rStyle w:val="OperatorTok"/>
        </w:rPr>
        <w:t xml:space="preserve">=</w:t>
      </w:r>
      <w:r>
        <w:rPr>
          <w:rStyle w:val="NormalTok"/>
        </w:rPr>
        <w:t xml:space="preserve"> place_order(db, </w:t>
      </w:r>
      <w:r>
        <w:rPr>
          <w:rStyle w:val="DecValTok"/>
        </w:rPr>
        <w:t xml:space="preserve">1</w:t>
      </w:r>
      <w:r>
        <w:rPr>
          <w:rStyle w:val="NormalTok"/>
        </w:rPr>
        <w:t xml:space="preserve">, </w:t>
      </w:r>
      <w:r>
        <w:rPr>
          <w:rStyle w:val="StringTok"/>
        </w:rPr>
        <w:t xml:space="preserve">"1 Main St"</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StringTok"/>
        </w:rPr>
        <w:t xml:space="preserve">"key-001"</w:t>
      </w:r>
      <w:r>
        <w:rPr>
          <w:rStyle w:val="NormalTok"/>
        </w:rPr>
        <w:t xml:space="preserve">)</w:t>
      </w:r>
      <w:r>
        <w:br/>
      </w:r>
      <w:r>
        <w:rPr>
          <w:rStyle w:val="NormalTok"/>
        </w:rPr>
        <w:t xml:space="preserve">o1_retry </w:t>
      </w:r>
      <w:r>
        <w:rPr>
          <w:rStyle w:val="OperatorTok"/>
        </w:rPr>
        <w:t xml:space="preserve">=</w:t>
      </w:r>
      <w:r>
        <w:rPr>
          <w:rStyle w:val="NormalTok"/>
        </w:rPr>
        <w:t xml:space="preserve"> place_order(db, </w:t>
      </w:r>
      <w:r>
        <w:rPr>
          <w:rStyle w:val="DecValTok"/>
        </w:rPr>
        <w:t xml:space="preserve">1</w:t>
      </w:r>
      <w:r>
        <w:rPr>
          <w:rStyle w:val="NormalTok"/>
        </w:rPr>
        <w:t xml:space="preserve">, </w:t>
      </w:r>
      <w:r>
        <w:rPr>
          <w:rStyle w:val="StringTok"/>
        </w:rPr>
        <w:t xml:space="preserve">"1 Main St"</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StringTok"/>
        </w:rPr>
        <w:t xml:space="preserve">"key-001"</w:t>
      </w:r>
      <w:r>
        <w:rPr>
          <w:rStyle w:val="NormalTok"/>
        </w:rPr>
        <w:t xml:space="preserve">)</w:t>
      </w:r>
      <w:r>
        <w:br/>
      </w:r>
      <w:r>
        <w:rPr>
          <w:rStyle w:val="BuiltInTok"/>
        </w:rPr>
        <w:t xml:space="preserve">print</w:t>
      </w:r>
      <w:r>
        <w:rPr>
          <w:rStyle w:val="NormalTok"/>
        </w:rPr>
        <w:t xml:space="preserve">(</w:t>
      </w:r>
      <w:r>
        <w:rPr>
          <w:rStyle w:val="StringTok"/>
        </w:rPr>
        <w:t xml:space="preserve">"order"</w:t>
      </w:r>
      <w:r>
        <w:rPr>
          <w:rStyle w:val="NormalTok"/>
        </w:rPr>
        <w:t xml:space="preserve">, o1, </w:t>
      </w:r>
      <w:r>
        <w:rPr>
          <w:rStyle w:val="StringTok"/>
        </w:rPr>
        <w:t xml:space="preserve">"retry returns"</w:t>
      </w:r>
      <w:r>
        <w:rPr>
          <w:rStyle w:val="NormalTok"/>
        </w:rPr>
        <w:t xml:space="preserve">, o1_retry)</w:t>
      </w:r>
      <w:r>
        <w:br/>
      </w:r>
      <w:r>
        <w:rPr>
          <w:rStyle w:val="ControlFlowTok"/>
        </w:rPr>
        <w:t xml:space="preserve">try</w:t>
      </w:r>
      <w:r>
        <w:rPr>
          <w:rStyle w:val="NormalTok"/>
        </w:rPr>
        <w:t xml:space="preserve">:</w:t>
      </w:r>
      <w:r>
        <w:br/>
      </w:r>
      <w:r>
        <w:rPr>
          <w:rStyle w:val="NormalTok"/>
        </w:rPr>
        <w:t xml:space="preserve">    place_order(db, </w:t>
      </w:r>
      <w:r>
        <w:rPr>
          <w:rStyle w:val="DecValTok"/>
        </w:rPr>
        <w:t xml:space="preserve">1</w:t>
      </w:r>
      <w:r>
        <w:rPr>
          <w:rStyle w:val="NormalTok"/>
        </w:rPr>
        <w:t xml:space="preserve">, </w:t>
      </w:r>
      <w:r>
        <w:rPr>
          <w:rStyle w:val="StringTok"/>
        </w:rPr>
        <w:t xml:space="preserve">"1 Main St"</w:t>
      </w:r>
      <w:r>
        <w:rPr>
          <w:rStyle w:val="NormalTok"/>
        </w:rPr>
        <w:t xml:space="preserve">, [(</w:t>
      </w:r>
      <w:r>
        <w:rPr>
          <w:rStyle w:val="DecValTok"/>
        </w:rPr>
        <w:t xml:space="preserve">3</w:t>
      </w:r>
      <w:r>
        <w:rPr>
          <w:rStyle w:val="NormalTok"/>
        </w:rPr>
        <w:t xml:space="preserve">, </w:t>
      </w:r>
      <w:r>
        <w:rPr>
          <w:rStyle w:val="DecValTok"/>
        </w:rPr>
        <w:t xml:space="preserve">99</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StringTok"/>
        </w:rPr>
        <w:t xml:space="preserve">"key-002"</w:t>
      </w:r>
      <w:r>
        <w:rPr>
          <w:rStyle w:val="NormalTok"/>
        </w:rPr>
        <w:t xml:space="preserve">)</w:t>
      </w:r>
      <w:r>
        <w:br/>
      </w:r>
      <w:r>
        <w:rPr>
          <w:rStyle w:val="ControlFlowTok"/>
        </w:rPr>
        <w:t xml:space="preserve">except</w:t>
      </w:r>
      <w:r>
        <w:rPr>
          <w:rStyle w:val="NormalTok"/>
        </w:rPr>
        <w:t xml:space="preserve"> OutOfStock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tringTok"/>
        </w:rPr>
        <w:t xml:space="preserve">"out of stock: product"</w:t>
      </w:r>
      <w:r>
        <w:rPr>
          <w:rStyle w:val="NormalTok"/>
        </w:rPr>
        <w:t xml:space="preserve">, e.args[</w:t>
      </w:r>
      <w:r>
        <w:rPr>
          <w:rStyle w:val="DecValTok"/>
        </w:rPr>
        <w:t xml:space="preserve">0</w:t>
      </w:r>
      <w:r>
        <w:rPr>
          <w:rStyle w:val="NormalTok"/>
        </w:rPr>
        <w:t xml:space="preserve">])</w:t>
      </w:r>
      <w:r>
        <w:br/>
      </w:r>
      <w:r>
        <w:rPr>
          <w:rStyle w:val="BuiltInTok"/>
        </w:rPr>
        <w:t xml:space="preserve">print</w:t>
      </w:r>
      <w:r>
        <w:rPr>
          <w:rStyle w:val="NormalTok"/>
        </w:rPr>
        <w:t xml:space="preserve">(</w:t>
      </w:r>
      <w:r>
        <w:rPr>
          <w:rStyle w:val="StringTok"/>
        </w:rPr>
        <w:t xml:space="preserve">"inventory:"</w:t>
      </w:r>
      <w:r>
        <w:rPr>
          <w:rStyle w:val="NormalTok"/>
        </w:rPr>
        <w:t xml:space="preserve">, db.execute(</w:t>
      </w:r>
      <w:r>
        <w:rPr>
          <w:rStyle w:val="StringTok"/>
        </w:rPr>
        <w:t xml:space="preserve">"SELECT product_id, on_hand FROM inventory"</w:t>
      </w:r>
      <w:r>
        <w:rPr>
          <w:rStyle w:val="NormalTok"/>
        </w:rPr>
        <w:t xml:space="preserve">).fetchall())</w:t>
      </w:r>
      <w:r>
        <w:br/>
      </w:r>
      <w:r>
        <w:rPr>
          <w:rStyle w:val="BuiltInTok"/>
        </w:rPr>
        <w:t xml:space="preserve">print</w:t>
      </w:r>
      <w:r>
        <w:rPr>
          <w:rStyle w:val="NormalTok"/>
        </w:rPr>
        <w:t xml:space="preserve">(</w:t>
      </w:r>
      <w:r>
        <w:rPr>
          <w:rStyle w:val="StringTok"/>
        </w:rPr>
        <w:t xml:space="preserve">"orders:"</w:t>
      </w:r>
      <w:r>
        <w:rPr>
          <w:rStyle w:val="NormalTok"/>
        </w:rPr>
        <w:t xml:space="preserve">, db.execute(</w:t>
      </w:r>
      <w:r>
        <w:rPr>
          <w:rStyle w:val="StringTok"/>
        </w:rPr>
        <w:t xml:space="preserve">"SELECT order_id, total_cents FROM orders"</w:t>
      </w:r>
      <w:r>
        <w:rPr>
          <w:rStyle w:val="NormalTok"/>
        </w:rPr>
        <w:t xml:space="preserve">).fetchall())</w:t>
      </w:r>
      <w:r>
        <w:br/>
      </w:r>
      <w:r>
        <w:rPr>
          <w:rStyle w:val="BuiltInTok"/>
        </w:rPr>
        <w:t xml:space="preserve">print</w:t>
      </w:r>
      <w:r>
        <w:rPr>
          <w:rStyle w:val="NormalTok"/>
        </w:rPr>
        <w:t xml:space="preserve">(</w:t>
      </w:r>
      <w:r>
        <w:rPr>
          <w:rStyle w:val="StringTok"/>
        </w:rPr>
        <w:t xml:space="preserve">"history:"</w:t>
      </w:r>
      <w:r>
        <w:rPr>
          <w:rStyle w:val="NormalTok"/>
        </w:rPr>
        <w:t xml:space="preserve">, db.execute(ORDER_HISTORY, {</w:t>
      </w:r>
      <w:r>
        <w:rPr>
          <w:rStyle w:val="StringTok"/>
        </w:rPr>
        <w:t xml:space="preserve">"cid"</w:t>
      </w:r>
      <w:r>
        <w:rPr>
          <w:rStyle w:val="NormalTok"/>
        </w:rPr>
        <w:t xml:space="preserve">: </w:t>
      </w:r>
      <w:r>
        <w:rPr>
          <w:rStyle w:val="DecValTok"/>
        </w:rPr>
        <w:t xml:space="preserve">1</w:t>
      </w:r>
      <w:r>
        <w:rPr>
          <w:rStyle w:val="NormalTok"/>
        </w:rPr>
        <w:t xml:space="preserve">, </w:t>
      </w:r>
      <w:r>
        <w:rPr>
          <w:rStyle w:val="StringTok"/>
        </w:rPr>
        <w:t xml:space="preserve">"after_created"</w:t>
      </w:r>
      <w:r>
        <w:rPr>
          <w:rStyle w:val="NormalTok"/>
        </w:rPr>
        <w:t xml:space="preserve">: </w:t>
      </w:r>
      <w:r>
        <w:rPr>
          <w:rStyle w:val="StringTok"/>
        </w:rPr>
        <w:t xml:space="preserve">"9999"</w:t>
      </w:r>
      <w:r>
        <w:rPr>
          <w:rStyle w:val="NormalTok"/>
        </w:rPr>
        <w:t xml:space="preserve">, </w:t>
      </w:r>
      <w:r>
        <w:rPr>
          <w:rStyle w:val="StringTok"/>
        </w:rPr>
        <w:t xml:space="preserve">"after_id"</w:t>
      </w:r>
      <w:r>
        <w:rPr>
          <w:rStyle w:val="NormalTok"/>
        </w:rPr>
        <w:t xml:space="preserve">: </w:t>
      </w:r>
      <w:r>
        <w:rPr>
          <w:rStyle w:val="DecValTok"/>
        </w:rPr>
        <w:t xml:space="preserve">0</w:t>
      </w:r>
      <w:r>
        <w:rPr>
          <w:rStyle w:val="NormalTok"/>
        </w:rPr>
        <w:t xml:space="preserve">}).fetchall())</w:t>
      </w:r>
      <w:r>
        <w:br/>
      </w:r>
      <w:r>
        <w:rPr>
          <w:rStyle w:val="BuiltInTok"/>
        </w:rPr>
        <w:t xml:space="preserve">print</w:t>
      </w:r>
      <w:r>
        <w:rPr>
          <w:rStyle w:val="NormalTok"/>
        </w:rPr>
        <w:t xml:space="preserve">(</w:t>
      </w:r>
      <w:r>
        <w:rPr>
          <w:rStyle w:val="StringTok"/>
        </w:rPr>
        <w:t xml:space="preserve">"top products:"</w:t>
      </w:r>
      <w:r>
        <w:rPr>
          <w:rStyle w:val="NormalTok"/>
        </w:rPr>
        <w:t xml:space="preserve">, db.execute(TOP_PRODUCTS).fetchall())</w:t>
      </w:r>
      <w:r>
        <w:br/>
      </w:r>
      <w:r>
        <w:rPr>
          <w:rStyle w:val="BuiltInTok"/>
        </w:rPr>
        <w:t xml:space="preserve">print</w:t>
      </w:r>
      <w:r>
        <w:rPr>
          <w:rStyle w:val="NormalTok"/>
        </w:rPr>
        <w:t xml:space="preserve">(</w:t>
      </w:r>
      <w:r>
        <w:rPr>
          <w:rStyle w:val="StringTok"/>
        </w:rPr>
        <w:t xml:space="preserve">"no orders:"</w:t>
      </w:r>
      <w:r>
        <w:rPr>
          <w:rStyle w:val="NormalTok"/>
        </w:rPr>
        <w:t xml:space="preserve">, db.execute(NO_ORDERS).fetchall())</w:t>
      </w:r>
      <w:r>
        <w:br/>
      </w:r>
      <w:r>
        <w:rPr>
          <w:rStyle w:val="BuiltInTok"/>
        </w:rPr>
        <w:t xml:space="preserve">print</w:t>
      </w:r>
      <w:r>
        <w:rPr>
          <w:rStyle w:val="NormalTok"/>
        </w:rPr>
        <w:t xml:space="preserve">(</w:t>
      </w:r>
      <w:r>
        <w:rPr>
          <w:rStyle w:val="StringTok"/>
        </w:rPr>
        <w:t xml:space="preserve">"plan:"</w:t>
      </w:r>
      <w:r>
        <w:rPr>
          <w:rStyle w:val="NormalTok"/>
        </w:rPr>
        <w:t xml:space="preserve">, db.execute(</w:t>
      </w:r>
      <w:r>
        <w:rPr>
          <w:rStyle w:val="StringTok"/>
        </w:rPr>
        <w:t xml:space="preserve">"EXPLAIN QUERY PLAN "</w:t>
      </w:r>
      <w:r>
        <w:rPr>
          <w:rStyle w:val="NormalTok"/>
        </w:rPr>
        <w:t xml:space="preserve"> </w:t>
      </w:r>
      <w:r>
        <w:rPr>
          <w:rStyle w:val="OperatorTok"/>
        </w:rPr>
        <w:t xml:space="preserve">+</w:t>
      </w:r>
      <w:r>
        <w:rPr>
          <w:rStyle w:val="NormalTok"/>
        </w:rPr>
        <w:t xml:space="preserve"> ORDER_HISTORY,</w:t>
      </w:r>
      <w:r>
        <w:br/>
      </w:r>
      <w:r>
        <w:rPr>
          <w:rStyle w:val="NormalTok"/>
        </w:rPr>
        <w:t xml:space="preserve">                          {</w:t>
      </w:r>
      <w:r>
        <w:rPr>
          <w:rStyle w:val="StringTok"/>
        </w:rPr>
        <w:t xml:space="preserve">"cid"</w:t>
      </w:r>
      <w:r>
        <w:rPr>
          <w:rStyle w:val="NormalTok"/>
        </w:rPr>
        <w:t xml:space="preserve">: </w:t>
      </w:r>
      <w:r>
        <w:rPr>
          <w:rStyle w:val="DecValTok"/>
        </w:rPr>
        <w:t xml:space="preserve">1</w:t>
      </w:r>
      <w:r>
        <w:rPr>
          <w:rStyle w:val="NormalTok"/>
        </w:rPr>
        <w:t xml:space="preserve">, </w:t>
      </w:r>
      <w:r>
        <w:rPr>
          <w:rStyle w:val="StringTok"/>
        </w:rPr>
        <w:t xml:space="preserve">"after_created"</w:t>
      </w:r>
      <w:r>
        <w:rPr>
          <w:rStyle w:val="NormalTok"/>
        </w:rPr>
        <w:t xml:space="preserve">: </w:t>
      </w:r>
      <w:r>
        <w:rPr>
          <w:rStyle w:val="StringTok"/>
        </w:rPr>
        <w:t xml:space="preserve">"9999"</w:t>
      </w:r>
      <w:r>
        <w:rPr>
          <w:rStyle w:val="NormalTok"/>
        </w:rPr>
        <w:t xml:space="preserve">, </w:t>
      </w:r>
      <w:r>
        <w:rPr>
          <w:rStyle w:val="StringTok"/>
        </w:rPr>
        <w:t xml:space="preserve">"after_id"</w:t>
      </w:r>
      <w:r>
        <w:rPr>
          <w:rStyle w:val="NormalTok"/>
        </w:rPr>
        <w:t xml:space="preserve">: </w:t>
      </w:r>
      <w:r>
        <w:rPr>
          <w:rStyle w:val="DecValTok"/>
        </w:rPr>
        <w:t xml:space="preserve">0</w:t>
      </w:r>
      <w:r>
        <w:rPr>
          <w:rStyle w:val="NormalTok"/>
        </w:rPr>
        <w:t xml:space="preserve">}).fetchall()[</w:t>
      </w:r>
      <w:r>
        <w:rPr>
          <w:rStyle w:val="DecValTok"/>
        </w:rPr>
        <w:t xml:space="preserve">0</w:t>
      </w:r>
      <w:r>
        <w:rPr>
          <w:rStyle w:val="NormalTok"/>
        </w:rPr>
        <w:t xml:space="preserve">][</w:t>
      </w:r>
      <w:r>
        <w:rPr>
          <w:rStyle w:val="DecValTok"/>
        </w:rPr>
        <w:t xml:space="preserve">3</w:t>
      </w:r>
      <w:r>
        <w:rPr>
          <w:rStyle w:val="NormalTok"/>
        </w:rPr>
        <w:t xml:space="preserve">])</w:t>
      </w:r>
      <w:r>
        <w:br/>
      </w:r>
      <w:r>
        <w:rPr>
          <w:rStyle w:val="ControlFlowTok"/>
        </w:rPr>
        <w:t xml:space="preserve">try</w:t>
      </w:r>
      <w:r>
        <w:rPr>
          <w:rStyle w:val="NormalTok"/>
        </w:rPr>
        <w:t xml:space="preserve">:</w:t>
      </w:r>
      <w:r>
        <w:br/>
      </w:r>
      <w:r>
        <w:rPr>
          <w:rStyle w:val="NormalTok"/>
        </w:rPr>
        <w:t xml:space="preserve">    db.execute(</w:t>
      </w:r>
      <w:r>
        <w:rPr>
          <w:rStyle w:val="StringTok"/>
        </w:rPr>
        <w:t xml:space="preserve">"INSERT INTO orders (customer_id, ship_to, idempotency_key) VALUES (99, 'x', 'k')"</w:t>
      </w:r>
      <w:r>
        <w:rPr>
          <w:rStyle w:val="NormalTok"/>
        </w:rPr>
        <w:t xml:space="preserve">)</w:t>
      </w:r>
      <w:r>
        <w:br/>
      </w:r>
      <w:r>
        <w:rPr>
          <w:rStyle w:val="ControlFlowTok"/>
        </w:rPr>
        <w:t xml:space="preserve">except</w:t>
      </w:r>
      <w:r>
        <w:rPr>
          <w:rStyle w:val="NormalTok"/>
        </w:rPr>
        <w:t xml:space="preserve"> sqlite3.IntegrityError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tringTok"/>
        </w:rPr>
        <w:t xml:space="preserve">"foreign key enforced:"</w:t>
      </w:r>
      <w:r>
        <w:rPr>
          <w:rStyle w:val="NormalTok"/>
        </w:rPr>
        <w:t xml:space="preserve">, e)</w:t>
      </w:r>
    </w:p>
    <w:p>
      <w:pPr>
        <w:pStyle w:val="FirstParagraph"/>
      </w:pPr>
      <w:r>
        <w:t xml:space="preserve">What to notice:</w:t>
      </w:r>
    </w:p>
    <w:p>
      <w:pPr>
        <w:numPr>
          <w:ilvl w:val="0"/>
          <w:numId w:val="1392"/>
        </w:numPr>
        <w:pStyle w:val="Compact"/>
      </w:pPr>
      <w:r>
        <w:t xml:space="preserve">Output: the retry returns the same order (1); the oversell attempt raises</w:t>
      </w:r>
      <w:r>
        <w:t xml:space="preserve"> </w:t>
      </w:r>
      <w:r>
        <w:rPr>
          <w:rStyle w:val="VerbatimChar"/>
        </w:rPr>
        <w:t xml:space="preserve">OutOfStock</w:t>
      </w:r>
      <w:r>
        <w:t xml:space="preserve"> </w:t>
      </w:r>
      <w:r>
        <w:t xml:space="preserve">for product 3 and leaves inventory at</w:t>
      </w:r>
      <w:r>
        <w:t xml:space="preserve"> </w:t>
      </w:r>
      <w:r>
        <w:rPr>
          <w:rStyle w:val="VerbatimChar"/>
        </w:rPr>
        <w:t xml:space="preserve">[(1, 3), (2, 4), (3, 5)]</w:t>
      </w:r>
      <w:r>
        <w:t xml:space="preserve">. Product 1 had already been decremented (lines are processed in</w:t>
      </w:r>
      <w:r>
        <w:t xml:space="preserve"> </w:t>
      </w:r>
      <w:r>
        <w:rPr>
          <w:rStyle w:val="VerbatimChar"/>
        </w:rPr>
        <w:t xml:space="preserve">product_id</w:t>
      </w:r>
      <w:r>
        <w:t xml:space="preserve"> </w:t>
      </w:r>
      <w:r>
        <w:t xml:space="preserve">order) when product 3 failed, and the rollback restored it. Only one order exists, with total 4,900 cents.</w:t>
      </w:r>
    </w:p>
    <w:p>
      <w:pPr>
        <w:numPr>
          <w:ilvl w:val="0"/>
          <w:numId w:val="1392"/>
        </w:numPr>
        <w:pStyle w:val="Compact"/>
      </w:pPr>
      <w:r>
        <w:t xml:space="preserve">The history query uses a keyset cursor (§8.6.5); the first page passes a cursor greater than any real value. Its plan is</w:t>
      </w:r>
      <w:r>
        <w:t xml:space="preserve"> </w:t>
      </w:r>
      <w:r>
        <w:rPr>
          <w:rStyle w:val="VerbatimChar"/>
        </w:rPr>
        <w:t xml:space="preserve">SEARCH orders USING INDEX orders_customer_created (customer_id=? AND created_at&lt;?)</w:t>
      </w:r>
      <w:r>
        <w:t xml:space="preserve">: the composite index serves both the filter and the sort.</w:t>
      </w:r>
    </w:p>
    <w:p>
      <w:pPr>
        <w:numPr>
          <w:ilvl w:val="0"/>
          <w:numId w:val="1392"/>
        </w:numPr>
        <w:pStyle w:val="Compact"/>
      </w:pPr>
      <w:r>
        <w:t xml:space="preserve">Best sellers:</w:t>
      </w:r>
      <w:r>
        <w:t xml:space="preserve"> </w:t>
      </w:r>
      <w:r>
        <w:rPr>
          <w:rStyle w:val="VerbatimChar"/>
        </w:rPr>
        <w:t xml:space="preserve">TEE-1</w:t>
      </w:r>
      <w:r>
        <w:t xml:space="preserve"> </w:t>
      </w:r>
      <w:r>
        <w:t xml:space="preserve">(2,500 cents) then</w:t>
      </w:r>
      <w:r>
        <w:t xml:space="preserve"> </w:t>
      </w:r>
      <w:r>
        <w:rPr>
          <w:rStyle w:val="VerbatimChar"/>
        </w:rPr>
        <w:t xml:space="preserve">MUG-1</w:t>
      </w:r>
      <w:r>
        <w:t xml:space="preserve"> </w:t>
      </w:r>
      <w:r>
        <w:t xml:space="preserve">(2,400 cents); the anti-join finds</w:t>
      </w:r>
      <w:r>
        <w:t xml:space="preserve"> </w:t>
      </w:r>
      <w:r>
        <w:rPr>
          <w:rStyle w:val="VerbatimChar"/>
        </w:rPr>
        <w:t xml:space="preserve">bo@example.com</w:t>
      </w:r>
      <w:r>
        <w:t xml:space="preserve">, who never ordered.</w:t>
      </w:r>
    </w:p>
    <w:p>
      <w:pPr>
        <w:pStyle w:val="FirstParagraph"/>
      </w:pPr>
      <w:r>
        <w:rPr>
          <w:bCs/>
          <w:b/>
        </w:rPr>
        <w:t xml:space="preserve">Table 11.13 — Failure scenarios in the order system.</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Overselling</w:t>
            </w:r>
          </w:p>
        </w:tc>
        <w:tc>
          <w:tcPr/>
          <w:p>
            <w:pPr>
              <w:pStyle w:val="Compact"/>
              <w:jc w:val="left"/>
            </w:pPr>
            <w:r>
              <w:t xml:space="preserve">Read-then-write stock check in the application</w:t>
            </w:r>
          </w:p>
        </w:tc>
        <w:tc>
          <w:tcPr/>
          <w:p>
            <w:pPr>
              <w:pStyle w:val="Compact"/>
              <w:jc w:val="left"/>
            </w:pPr>
            <w:r>
              <w:t xml:space="preserve">Negative-stock or oversold reports</w:t>
            </w:r>
          </w:p>
        </w:tc>
        <w:tc>
          <w:tcPr/>
          <w:p>
            <w:pPr>
              <w:pStyle w:val="Compact"/>
              <w:jc w:val="left"/>
            </w:pPr>
            <w:r>
              <w:t xml:space="preserve">Cancel and refund</w:t>
            </w:r>
          </w:p>
        </w:tc>
        <w:tc>
          <w:tcPr/>
          <w:p>
            <w:pPr>
              <w:pStyle w:val="Compact"/>
              <w:jc w:val="left"/>
            </w:pPr>
            <w:r>
              <w:t xml:space="preserve">Conditional</w:t>
            </w:r>
            <w:r>
              <w:t xml:space="preserve"> </w:t>
            </w:r>
            <w:r>
              <w:rPr>
                <w:rStyle w:val="VerbatimChar"/>
              </w:rPr>
              <w:t xml:space="preserve">UPDATE ... AND on_hand &gt;= q</w:t>
            </w:r>
            <w:r>
              <w:t xml:space="preserve"> </w:t>
            </w:r>
            <w:r>
              <w:t xml:space="preserve">plus</w:t>
            </w:r>
            <w:r>
              <w:t xml:space="preserve"> </w:t>
            </w:r>
            <w:r>
              <w:rPr>
                <w:rStyle w:val="VerbatimChar"/>
              </w:rPr>
              <w:t xml:space="preserve">CHECK (on_hand &gt;= 0)</w:t>
            </w:r>
          </w:p>
        </w:tc>
      </w:tr>
      <w:tr>
        <w:tc>
          <w:tcPr/>
          <w:p>
            <w:pPr>
              <w:pStyle w:val="Compact"/>
              <w:jc w:val="left"/>
            </w:pPr>
            <w:r>
              <w:t xml:space="preserve">Duplicate orders on client retry</w:t>
            </w:r>
          </w:p>
        </w:tc>
        <w:tc>
          <w:tcPr/>
          <w:p>
            <w:pPr>
              <w:pStyle w:val="Compact"/>
              <w:jc w:val="left"/>
            </w:pPr>
            <w:r>
              <w:t xml:space="preserve">Timeout after commit; client retries</w:t>
            </w:r>
          </w:p>
        </w:tc>
        <w:tc>
          <w:tcPr/>
          <w:p>
            <w:pPr>
              <w:pStyle w:val="Compact"/>
              <w:jc w:val="left"/>
            </w:pPr>
            <w:r>
              <w:t xml:space="preserve">Two orders with identical items seconds apart</w:t>
            </w:r>
          </w:p>
        </w:tc>
        <w:tc>
          <w:tcPr/>
          <w:p>
            <w:pPr>
              <w:pStyle w:val="Compact"/>
              <w:jc w:val="left"/>
            </w:pPr>
            <w:r>
              <w:t xml:space="preserve">Refund duplicate</w:t>
            </w:r>
          </w:p>
        </w:tc>
        <w:tc>
          <w:tcPr/>
          <w:p>
            <w:pPr>
              <w:pStyle w:val="Compact"/>
              <w:jc w:val="left"/>
            </w:pPr>
            <w:r>
              <w:rPr>
                <w:rStyle w:val="VerbatimChar"/>
              </w:rPr>
              <w:t xml:space="preserve">UNIQUE</w:t>
            </w:r>
            <w:r>
              <w:t xml:space="preserve"> </w:t>
            </w:r>
            <w:r>
              <w:t xml:space="preserve">idempotency key;</w:t>
            </w:r>
            <w:r>
              <w:t xml:space="preserve"> </w:t>
            </w:r>
            <w:r>
              <w:rPr>
                <w:rStyle w:val="VerbatimChar"/>
              </w:rPr>
              <w:t xml:space="preserve">ON CONFLICT DO NOTHING</w:t>
            </w:r>
          </w:p>
        </w:tc>
      </w:tr>
      <w:tr>
        <w:tc>
          <w:tcPr/>
          <w:p>
            <w:pPr>
              <w:pStyle w:val="Compact"/>
              <w:jc w:val="left"/>
            </w:pPr>
            <w:r>
              <w:t xml:space="preserve">Deadlocks at peak</w:t>
            </w:r>
          </w:p>
        </w:tc>
        <w:tc>
          <w:tcPr/>
          <w:p>
            <w:pPr>
              <w:pStyle w:val="Compact"/>
              <w:jc w:val="left"/>
            </w:pPr>
            <w:r>
              <w:t xml:space="preserve">Carts lock inventory rows in different orders</w:t>
            </w:r>
          </w:p>
        </w:tc>
        <w:tc>
          <w:tcPr/>
          <w:p>
            <w:pPr>
              <w:pStyle w:val="Compact"/>
              <w:jc w:val="left"/>
            </w:pPr>
            <w:r>
              <w:rPr>
                <w:rStyle w:val="VerbatimChar"/>
              </w:rPr>
              <w:t xml:space="preserve">deadlock detected</w:t>
            </w:r>
            <w:r>
              <w:t xml:space="preserve"> </w:t>
            </w:r>
            <w:r>
              <w:t xml:space="preserve">errors in logs</w:t>
            </w:r>
          </w:p>
        </w:tc>
        <w:tc>
          <w:tcPr/>
          <w:p>
            <w:pPr>
              <w:pStyle w:val="Compact"/>
              <w:jc w:val="left"/>
            </w:pPr>
            <w:r>
              <w:t xml:space="preserve">Automatic retry</w:t>
            </w:r>
          </w:p>
        </w:tc>
        <w:tc>
          <w:tcPr/>
          <w:p>
            <w:pPr>
              <w:pStyle w:val="Compact"/>
              <w:jc w:val="left"/>
            </w:pPr>
            <w:r>
              <w:t xml:space="preserve">Sort lines by</w:t>
            </w:r>
            <w:r>
              <w:t xml:space="preserve"> </w:t>
            </w:r>
            <w:r>
              <w:rPr>
                <w:rStyle w:val="VerbatimChar"/>
              </w:rPr>
              <w:t xml:space="preserve">product_id</w:t>
            </w:r>
            <w:r>
              <w:t xml:space="preserve"> </w:t>
            </w:r>
            <w:r>
              <w:t xml:space="preserve">before updating</w:t>
            </w:r>
          </w:p>
        </w:tc>
      </w:tr>
      <w:tr>
        <w:tc>
          <w:tcPr/>
          <w:p>
            <w:pPr>
              <w:pStyle w:val="Compact"/>
              <w:jc w:val="left"/>
            </w:pPr>
            <w:r>
              <w:t xml:space="preserve">Checkout stalls during a sale</w:t>
            </w:r>
          </w:p>
        </w:tc>
        <w:tc>
          <w:tcPr/>
          <w:p>
            <w:pPr>
              <w:pStyle w:val="Compact"/>
              <w:jc w:val="left"/>
            </w:pPr>
            <w:r>
              <w:t xml:space="preserve">Payment call inside the transaction holds a hot row lock</w:t>
            </w:r>
          </w:p>
        </w:tc>
        <w:tc>
          <w:tcPr/>
          <w:p>
            <w:pPr>
              <w:pStyle w:val="Compact"/>
              <w:jc w:val="left"/>
            </w:pPr>
            <w:r>
              <w:t xml:space="preserve">Lock waits in</w:t>
            </w:r>
            <w:r>
              <w:t xml:space="preserve"> </w:t>
            </w:r>
            <w:r>
              <w:rPr>
                <w:rStyle w:val="VerbatimChar"/>
              </w:rPr>
              <w:t xml:space="preserve">pg_stat_activity</w:t>
            </w:r>
            <w:r>
              <w:t xml:space="preserve">; p99 latency</w:t>
            </w:r>
          </w:p>
        </w:tc>
        <w:tc>
          <w:tcPr/>
          <w:p>
            <w:pPr>
              <w:pStyle w:val="Compact"/>
              <w:jc w:val="left"/>
            </w:pPr>
            <w:r>
              <w:t xml:space="preserve">Kill long transactions</w:t>
            </w:r>
          </w:p>
        </w:tc>
        <w:tc>
          <w:tcPr/>
          <w:p>
            <w:pPr>
              <w:pStyle w:val="Compact"/>
              <w:jc w:val="left"/>
            </w:pPr>
            <w:r>
              <w:t xml:space="preserve">Pay outside the transaction; short transactions; split hot counters</w:t>
            </w:r>
          </w:p>
        </w:tc>
      </w:tr>
      <w:tr>
        <w:tc>
          <w:tcPr/>
          <w:p>
            <w:pPr>
              <w:pStyle w:val="Compact"/>
              <w:jc w:val="left"/>
            </w:pPr>
            <w:r>
              <w:t xml:space="preserve">Order history slows over time</w:t>
            </w:r>
          </w:p>
        </w:tc>
        <w:tc>
          <w:tcPr/>
          <w:p>
            <w:pPr>
              <w:pStyle w:val="Compact"/>
              <w:jc w:val="left"/>
            </w:pPr>
            <w:r>
              <w:t xml:space="preserve">Missing or wrong composite index; offset pagination</w:t>
            </w:r>
          </w:p>
        </w:tc>
        <w:tc>
          <w:tcPr/>
          <w:p>
            <w:pPr>
              <w:pStyle w:val="Compact"/>
              <w:jc w:val="left"/>
            </w:pPr>
            <w:r>
              <w:rPr>
                <w:rStyle w:val="VerbatimChar"/>
              </w:rPr>
              <w:t xml:space="preserve">EXPLAIN</w:t>
            </w:r>
            <w:r>
              <w:t xml:space="preserve"> </w:t>
            </w:r>
            <w:r>
              <w:t xml:space="preserve">shows sort or scan</w:t>
            </w:r>
          </w:p>
        </w:tc>
        <w:tc>
          <w:tcPr/>
          <w:p>
            <w:pPr>
              <w:pStyle w:val="Compact"/>
              <w:jc w:val="left"/>
            </w:pPr>
            <w:r>
              <w:t xml:space="preserve">Add index</w:t>
            </w:r>
          </w:p>
        </w:tc>
        <w:tc>
          <w:tcPr/>
          <w:p>
            <w:pPr>
              <w:pStyle w:val="Compact"/>
              <w:jc w:val="left"/>
            </w:pPr>
            <w:r>
              <w:t xml:space="preserve">Index</w:t>
            </w:r>
            <w:r>
              <w:t xml:space="preserve"> </w:t>
            </w:r>
            <w:r>
              <w:rPr>
                <w:rStyle w:val="VerbatimChar"/>
              </w:rPr>
              <w:t xml:space="preserve">(customer_id, created_at DESC, order_id DESC)</w:t>
            </w:r>
            <w:r>
              <w:t xml:space="preserve">; keyset pagination</w:t>
            </w:r>
          </w:p>
        </w:tc>
      </w:tr>
    </w:tbl>
    <w:bookmarkEnd w:id="1294"/>
    <w:bookmarkEnd w:id="1295"/>
    <w:bookmarkStart w:id="1296" w:name="summary-and-revision-notes-10"/>
    <w:p>
      <w:pPr>
        <w:pStyle w:val="Heading2"/>
      </w:pPr>
      <w:r>
        <w:t xml:space="preserve">11.18 Summary and revision notes</w:t>
      </w:r>
    </w:p>
    <w:p>
      <w:pPr>
        <w:pStyle w:val="CalloutSummary"/>
      </w:pPr>
      <w:r>
        <w:rPr>
          <w:bCs/>
          <w:b/>
        </w:rPr>
        <w:t xml:space="preserve">SUMMARY</w:t>
      </w:r>
    </w:p>
    <w:p>
      <w:pPr>
        <w:numPr>
          <w:ilvl w:val="0"/>
          <w:numId w:val="1393"/>
        </w:numPr>
        <w:pStyle w:val="Compact"/>
      </w:pPr>
      <w:r>
        <w:t xml:space="preserve">Relations are typed sets related by values; physical data independence lets the database choose access paths [Codd 1970].</w:t>
      </w:r>
    </w:p>
    <w:p>
      <w:pPr>
        <w:numPr>
          <w:ilvl w:val="0"/>
          <w:numId w:val="1393"/>
        </w:numPr>
        <w:pStyle w:val="Compact"/>
      </w:pPr>
      <w:r>
        <w:t xml:space="preserve">Use surrogate primary keys,</w:t>
      </w:r>
      <w:r>
        <w:t xml:space="preserve"> </w:t>
      </w:r>
      <w:r>
        <w:rPr>
          <w:rStyle w:val="VerbatimChar"/>
        </w:rPr>
        <w:t xml:space="preserve">UNIQUE</w:t>
      </w:r>
      <w:r>
        <w:t xml:space="preserve"> </w:t>
      </w:r>
      <w:r>
        <w:t xml:space="preserve">natural keys and foreign keys; index the child columns you join or delete through.</w:t>
      </w:r>
    </w:p>
    <w:p>
      <w:pPr>
        <w:numPr>
          <w:ilvl w:val="0"/>
          <w:numId w:val="1393"/>
        </w:numPr>
        <w:pStyle w:val="Compact"/>
      </w:pPr>
      <w:r>
        <w:t xml:space="preserve">Normalize the source of truth to 3NF/BCNF on functional dependencies, with lossless splits; denormalize only for measured reads, with a named consistency mechanism. Prices at purchase time are history, not redundancy.</w:t>
      </w:r>
    </w:p>
    <w:p>
      <w:pPr>
        <w:numPr>
          <w:ilvl w:val="0"/>
          <w:numId w:val="1393"/>
        </w:numPr>
        <w:pStyle w:val="Compact"/>
      </w:pPr>
      <w:r>
        <w:t xml:space="preserve">Join algorithms: index nested loop for small outer inputs (OLTP), hash join for large unsorted equality joins, sort-merge when inputs are sorted. The right choice depends on row counts, so cardinality estimation drives performance.</w:t>
      </w:r>
    </w:p>
    <w:p>
      <w:pPr>
        <w:numPr>
          <w:ilvl w:val="0"/>
          <w:numId w:val="1393"/>
        </w:numPr>
        <w:pStyle w:val="Compact"/>
      </w:pPr>
      <w:r>
        <w:t xml:space="preserve">Composite indexes follow the leftmost-prefix rule (equality columns first, then range/sort). Covering indexes avoid table reads; partial indexes index only hot subsets. A secondary index pays off only below a break-even selectivity, about 0.4% of rows in our example.</w:t>
      </w:r>
    </w:p>
    <w:p>
      <w:pPr>
        <w:numPr>
          <w:ilvl w:val="0"/>
          <w:numId w:val="1393"/>
        </w:numPr>
        <w:pStyle w:val="Compact"/>
      </w:pPr>
      <w:r>
        <w:t xml:space="preserve">A B+ tree with 16 KiB pages indexes</w:t>
      </w:r>
      <w:r>
        <w:t xml:space="preserve"> </w:t>
      </w:r>
      <m:oMath>
        <m:sSup>
          <m:e>
            <m:r>
              <m:t>10</m:t>
            </m:r>
          </m:e>
          <m:sup>
            <m:r>
              <m:t>9</m:t>
            </m:r>
          </m:sup>
        </m:sSup>
      </m:oMath>
      <w:r>
        <w:t xml:space="preserve"> </w:t>
      </w:r>
      <w:r>
        <w:t xml:space="preserve">rows in 4 levels; with internal pages cached, a lookup costs about one random I/O (two for an InnoDB secondary index). The leaf working set, not height, limits scale.</w:t>
      </w:r>
    </w:p>
    <w:p>
      <w:pPr>
        <w:numPr>
          <w:ilvl w:val="0"/>
          <w:numId w:val="1393"/>
        </w:numPr>
        <w:pStyle w:val="Compact"/>
      </w:pPr>
      <w:r>
        <w:t xml:space="preserve">Plans are trees of Volcano iterators; blocking operators need memory and can spill. In</w:t>
      </w:r>
      <w:r>
        <w:t xml:space="preserve"> </w:t>
      </w:r>
      <w:r>
        <w:rPr>
          <w:rStyle w:val="VerbatimChar"/>
        </w:rPr>
        <w:t xml:space="preserve">EXPLAIN ANALYZE</w:t>
      </w:r>
      <w:r>
        <w:t xml:space="preserve">, compare estimated and actual rows at each node.</w:t>
      </w:r>
    </w:p>
    <w:p>
      <w:pPr>
        <w:numPr>
          <w:ilvl w:val="0"/>
          <w:numId w:val="1393"/>
        </w:numPr>
        <w:pStyle w:val="Compact"/>
      </w:pPr>
      <w:r>
        <w:t xml:space="preserve">ACID: atomicity (undo), consistency (constraints), isolation (concurrency control), durability (WAL + fsync, §13.5). ACID consistency is unrelated to linearizability or CAP consistency.</w:t>
      </w:r>
    </w:p>
    <w:p>
      <w:pPr>
        <w:numPr>
          <w:ilvl w:val="0"/>
          <w:numId w:val="1393"/>
        </w:numPr>
        <w:pStyle w:val="Compact"/>
      </w:pPr>
      <w:r>
        <w:t xml:space="preserve">Isolation-level names differ by database. PostgreSQL: READ COMMITTED default, REPEATABLE READ = snapshot isolation (prevents lost update by aborting, allows write skew), SERIALIZABLE = SSI. MySQL: REPEATABLE READ default, allows lost updates and write skew for read-modify-write cycles.</w:t>
      </w:r>
    </w:p>
    <w:p>
      <w:pPr>
        <w:numPr>
          <w:ilvl w:val="0"/>
          <w:numId w:val="1393"/>
        </w:numPr>
        <w:pStyle w:val="Compact"/>
      </w:pPr>
      <w:r>
        <w:t xml:space="preserve">MVCC keeps old versions so readers never block writers: PostgreSQL in the heap (VACUUM, freezing, wraparound), InnoDB in undo logs (purge). Long-running transactions hurt both.</w:t>
      </w:r>
    </w:p>
    <w:p>
      <w:pPr>
        <w:numPr>
          <w:ilvl w:val="0"/>
          <w:numId w:val="1393"/>
        </w:numPr>
        <w:pStyle w:val="Compact"/>
      </w:pPr>
      <w:r>
        <w:t xml:space="preserve">Writers still lock rows (strict 2PL for writes); InnoDB adds gap/next-key locks. Avoid deadlocks with a canonical lock order; a hot row’s throughput is at most</w:t>
      </w:r>
      <w:r>
        <w:t xml:space="preserve"> </w:t>
      </w:r>
      <m:oMath>
        <m:r>
          <m:t>1</m:t>
        </m:r>
        <m:r>
          <m:rPr>
            <m:sty m:val="p"/>
          </m:rPr>
          <m:t>/</m:t>
        </m:r>
        <m:sSub>
          <m:e>
            <m:r>
              <m:t>t</m:t>
            </m:r>
          </m:e>
          <m:sub>
            <m:r>
              <m:rPr>
                <m:nor/>
                <m:sty m:val="p"/>
              </m:rPr>
              <m:t>hold</m:t>
            </m:r>
          </m:sub>
        </m:sSub>
      </m:oMath>
      <w:r>
        <w:t xml:space="preserve">, so keep slow work out of transactions.</w:t>
      </w:r>
    </w:p>
    <w:bookmarkEnd w:id="1296"/>
    <w:bookmarkStart w:id="1297" w:name="knowledge-checkpoint-10"/>
    <w:p>
      <w:pPr>
        <w:pStyle w:val="Heading2"/>
      </w:pPr>
      <w:r>
        <w:t xml:space="preserve">11.19 Knowledge checkpoint</w:t>
      </w:r>
    </w:p>
    <w:p>
      <w:pPr>
        <w:numPr>
          <w:ilvl w:val="0"/>
          <w:numId w:val="1394"/>
        </w:numPr>
        <w:pStyle w:val="Compact"/>
      </w:pPr>
      <w:r>
        <w:t xml:space="preserve">Why does</w:t>
      </w:r>
      <w:r>
        <w:t xml:space="preserve"> </w:t>
      </w:r>
      <w:r>
        <w:rPr>
          <w:rStyle w:val="VerbatimChar"/>
        </w:rPr>
        <w:t xml:space="preserve">WHERE coupon_code &lt;&gt; 'SPRING'</w:t>
      </w:r>
      <w:r>
        <w:t xml:space="preserve"> </w:t>
      </w:r>
      <w:r>
        <w:t xml:space="preserve">not return rows where</w:t>
      </w:r>
      <w:r>
        <w:t xml:space="preserve"> </w:t>
      </w:r>
      <w:r>
        <w:rPr>
          <w:rStyle w:val="VerbatimChar"/>
        </w:rPr>
        <w:t xml:space="preserve">coupon_code</w:t>
      </w:r>
      <w:r>
        <w:t xml:space="preserve"> </w:t>
      </w:r>
      <w:r>
        <w:t xml:space="preserve">is NULL?</w:t>
      </w:r>
    </w:p>
    <w:p>
      <w:pPr>
        <w:numPr>
          <w:ilvl w:val="0"/>
          <w:numId w:val="1394"/>
        </w:numPr>
        <w:pStyle w:val="Compact"/>
      </w:pPr>
      <w:r>
        <w:t xml:space="preserve">A table</w:t>
      </w:r>
      <w:r>
        <w:t xml:space="preserve"> </w:t>
      </w:r>
      <w:r>
        <w:rPr>
          <w:rStyle w:val="VerbatimChar"/>
        </w:rPr>
        <w:t xml:space="preserve">enrollment(student_id, course_id, course_title, grade)</w:t>
      </w:r>
      <w:r>
        <w:t xml:space="preserve"> </w:t>
      </w:r>
      <w:r>
        <w:t xml:space="preserve">has key</w:t>
      </w:r>
      <w:r>
        <w:t xml:space="preserve"> </w:t>
      </w:r>
      <w:r>
        <w:rPr>
          <w:rStyle w:val="VerbatimChar"/>
        </w:rPr>
        <w:t xml:space="preserve">(student_id, course_id)</w:t>
      </w:r>
      <w:r>
        <w:t xml:space="preserve">. Which normal form does it violate, and how do you fix it?</w:t>
      </w:r>
    </w:p>
    <w:p>
      <w:pPr>
        <w:numPr>
          <w:ilvl w:val="0"/>
          <w:numId w:val="1394"/>
        </w:numPr>
        <w:pStyle w:val="Compact"/>
      </w:pPr>
      <w:r>
        <w:t xml:space="preserve">Why is storing</w:t>
      </w:r>
      <w:r>
        <w:t xml:space="preserve"> </w:t>
      </w:r>
      <w:r>
        <w:rPr>
          <w:rStyle w:val="VerbatimChar"/>
        </w:rPr>
        <w:t xml:space="preserve">unit_price_cents</w:t>
      </w:r>
      <w:r>
        <w:t xml:space="preserve"> </w:t>
      </w:r>
      <w:r>
        <w:t xml:space="preserve">in</w:t>
      </w:r>
      <w:r>
        <w:t xml:space="preserve"> </w:t>
      </w:r>
      <w:r>
        <w:rPr>
          <w:rStyle w:val="VerbatimChar"/>
        </w:rPr>
        <w:t xml:space="preserve">order_items</w:t>
      </w:r>
      <w:r>
        <w:t xml:space="preserve"> </w:t>
      </w:r>
      <w:r>
        <w:t xml:space="preserve">not a normalization violation?</w:t>
      </w:r>
    </w:p>
    <w:p>
      <w:pPr>
        <w:numPr>
          <w:ilvl w:val="0"/>
          <w:numId w:val="1394"/>
        </w:numPr>
        <w:pStyle w:val="Compact"/>
      </w:pPr>
      <w:r>
        <w:t xml:space="preserve">Estimate the I/O cost of a block nested-loop join with</w:t>
      </w:r>
      <w:r>
        <w:t xml:space="preserve"> </w:t>
      </w:r>
      <m:oMath>
        <m:r>
          <m:t>M</m:t>
        </m:r>
        <m:r>
          <m:rPr>
            <m:sty m:val="p"/>
          </m:rPr>
          <m:t>=</m:t>
        </m:r>
        <m:r>
          <m:t>1</m:t>
        </m:r>
        <m:r>
          <m:rPr>
            <m:sty m:val="p"/>
          </m:rPr>
          <m:t>,</m:t>
        </m:r>
        <m:r>
          <m:t>000</m:t>
        </m:r>
      </m:oMath>
      <w:r>
        <w:t xml:space="preserve">,</w:t>
      </w:r>
      <w:r>
        <w:t xml:space="preserve"> </w:t>
      </w:r>
      <m:oMath>
        <m:r>
          <m:t>N</m:t>
        </m:r>
        <m:r>
          <m:rPr>
            <m:sty m:val="p"/>
          </m:rPr>
          <m:t>=</m:t>
        </m:r>
        <m:r>
          <m:t>5</m:t>
        </m:r>
        <m:r>
          <m:rPr>
            <m:sty m:val="p"/>
          </m:rPr>
          <m:t>,</m:t>
        </m:r>
        <m:r>
          <m:t>000</m:t>
        </m:r>
      </m:oMath>
      <w:r>
        <w:t xml:space="preserve"> </w:t>
      </w:r>
      <w:r>
        <w:t xml:space="preserve">and</w:t>
      </w:r>
      <w:r>
        <w:t xml:space="preserve"> </w:t>
      </w:r>
      <m:oMath>
        <m:r>
          <m:t>B</m:t>
        </m:r>
        <m:r>
          <m:rPr>
            <m:sty m:val="p"/>
          </m:rPr>
          <m:t>=</m:t>
        </m:r>
        <m:r>
          <m:t>102</m:t>
        </m:r>
      </m:oMath>
      <w:r>
        <w:t xml:space="preserve"> </w:t>
      </w:r>
      <w:r>
        <w:t xml:space="preserve">buffer pages.</w:t>
      </w:r>
    </w:p>
    <w:p>
      <w:pPr>
        <w:numPr>
          <w:ilvl w:val="0"/>
          <w:numId w:val="1394"/>
        </w:numPr>
        <w:pStyle w:val="Compact"/>
      </w:pPr>
      <w:r>
        <w:t xml:space="preserve">Which of these queries can use an index on</w:t>
      </w:r>
      <w:r>
        <w:t xml:space="preserve"> </w:t>
      </w:r>
      <w:r>
        <w:rPr>
          <w:rStyle w:val="VerbatimChar"/>
        </w:rPr>
        <w:t xml:space="preserve">(customer_id, created_at)</w:t>
      </w:r>
      <w:r>
        <w:t xml:space="preserve">: (a)</w:t>
      </w:r>
      <w:r>
        <w:t xml:space="preserve"> </w:t>
      </w:r>
      <w:r>
        <w:rPr>
          <w:rStyle w:val="VerbatimChar"/>
        </w:rPr>
        <w:t xml:space="preserve">customer_id = 5</w:t>
      </w:r>
      <w:r>
        <w:t xml:space="preserve">, (b)</w:t>
      </w:r>
      <w:r>
        <w:t xml:space="preserve"> </w:t>
      </w:r>
      <w:r>
        <w:rPr>
          <w:rStyle w:val="VerbatimChar"/>
        </w:rPr>
        <w:t xml:space="preserve">created_at &gt; X</w:t>
      </w:r>
      <w:r>
        <w:t xml:space="preserve">, (c)</w:t>
      </w:r>
      <w:r>
        <w:t xml:space="preserve"> </w:t>
      </w:r>
      <w:r>
        <w:rPr>
          <w:rStyle w:val="VerbatimChar"/>
        </w:rPr>
        <w:t xml:space="preserve">customer_id = 5 ORDER BY created_at</w:t>
      </w:r>
      <w:r>
        <w:t xml:space="preserve">?</w:t>
      </w:r>
    </w:p>
    <w:p>
      <w:pPr>
        <w:numPr>
          <w:ilvl w:val="0"/>
          <w:numId w:val="1394"/>
        </w:numPr>
        <w:pStyle w:val="Compact"/>
      </w:pPr>
      <w:r>
        <w:t xml:space="preserve">How many levels does a B+ tree need for</w:t>
      </w:r>
      <w:r>
        <w:t xml:space="preserve"> </w:t>
      </w:r>
      <m:oMath>
        <m:sSup>
          <m:e>
            <m:r>
              <m:t>10</m:t>
            </m:r>
          </m:e>
          <m:sup>
            <m:r>
              <m:t>8</m:t>
            </m:r>
          </m:sup>
        </m:sSup>
      </m:oMath>
      <w:r>
        <w:t xml:space="preserve"> </w:t>
      </w:r>
      <w:r>
        <w:t xml:space="preserve">rows with</w:t>
      </w:r>
      <w:r>
        <w:t xml:space="preserve"> </w:t>
      </w:r>
      <m:oMath>
        <m:r>
          <m:t>f</m:t>
        </m:r>
        <m:r>
          <m:rPr>
            <m:sty m:val="p"/>
          </m:rPr>
          <m:t>=</m:t>
        </m:r>
        <m:r>
          <m:t>500</m:t>
        </m:r>
      </m:oMath>
      <w:r>
        <w:t xml:space="preserve"> </w:t>
      </w:r>
      <w:r>
        <w:t xml:space="preserve">and</w:t>
      </w:r>
      <w:r>
        <w:t xml:space="preserve"> </w:t>
      </w:r>
      <m:oMath>
        <m:r>
          <m:t>L</m:t>
        </m:r>
        <m:r>
          <m:rPr>
            <m:sty m:val="p"/>
          </m:rPr>
          <m:t>=</m:t>
        </m:r>
        <m:r>
          <m:t>100</m:t>
        </m:r>
      </m:oMath>
      <w:r>
        <w:t xml:space="preserve">?</w:t>
      </w:r>
    </w:p>
    <w:p>
      <w:pPr>
        <w:numPr>
          <w:ilvl w:val="0"/>
          <w:numId w:val="1394"/>
        </w:numPr>
        <w:pStyle w:val="Compact"/>
      </w:pPr>
      <w:r>
        <w:t xml:space="preserve">What makes an operator</w:t>
      </w:r>
      <w:r>
        <w:t xml:space="preserve"> </w:t>
      </w:r>
      <w:r>
        <w:t xml:space="preserve">“</w:t>
      </w:r>
      <w:r>
        <w:t xml:space="preserve">blocking</w:t>
      </w:r>
      <w:r>
        <w:t xml:space="preserve">”</w:t>
      </w:r>
      <w:r>
        <w:t xml:space="preserve"> </w:t>
      </w:r>
      <w:r>
        <w:t xml:space="preserve">in the Volcano model? Name three.</w:t>
      </w:r>
    </w:p>
    <w:p>
      <w:pPr>
        <w:numPr>
          <w:ilvl w:val="0"/>
          <w:numId w:val="1394"/>
        </w:numPr>
        <w:pStyle w:val="Compact"/>
      </w:pPr>
      <w:r>
        <w:t xml:space="preserve">Distinguish the C in ACID from the C in CAP.</w:t>
      </w:r>
    </w:p>
    <w:p>
      <w:pPr>
        <w:numPr>
          <w:ilvl w:val="0"/>
          <w:numId w:val="1394"/>
        </w:numPr>
        <w:pStyle w:val="Compact"/>
      </w:pPr>
      <w:r>
        <w:t xml:space="preserve">Which anomaly does PostgreSQL REPEATABLE READ allow that SERIALIZABLE prevents? Give an example.</w:t>
      </w:r>
    </w:p>
    <w:p>
      <w:pPr>
        <w:numPr>
          <w:ilvl w:val="0"/>
          <w:numId w:val="1394"/>
        </w:numPr>
        <w:pStyle w:val="Compact"/>
      </w:pPr>
      <w:r>
        <w:t xml:space="preserve">Does MySQL InnoDB REPEATABLE READ prevent lost updates from</w:t>
      </w:r>
      <w:r>
        <w:t xml:space="preserve"> </w:t>
      </w:r>
      <w:r>
        <w:rPr>
          <w:rStyle w:val="VerbatimChar"/>
        </w:rPr>
        <w:t xml:space="preserve">SELECT</w:t>
      </w:r>
      <w:r>
        <w:t xml:space="preserve"> </w:t>
      </w:r>
      <w:r>
        <w:t xml:space="preserve">then</w:t>
      </w:r>
      <w:r>
        <w:t xml:space="preserve"> </w:t>
      </w:r>
      <w:r>
        <w:rPr>
          <w:rStyle w:val="VerbatimChar"/>
        </w:rPr>
        <w:t xml:space="preserve">UPDATE ... SET x = &lt;computed value&gt;</w:t>
      </w:r>
      <w:r>
        <w:t xml:space="preserve">?</w:t>
      </w:r>
    </w:p>
    <w:p>
      <w:pPr>
        <w:numPr>
          <w:ilvl w:val="0"/>
          <w:numId w:val="1394"/>
        </w:numPr>
        <w:pStyle w:val="Compact"/>
      </w:pPr>
      <w:r>
        <w:t xml:space="preserve">Why does a long-running idle transaction cause table bloat in PostgreSQL?</w:t>
      </w:r>
    </w:p>
    <w:p>
      <w:pPr>
        <w:numPr>
          <w:ilvl w:val="0"/>
          <w:numId w:val="1394"/>
        </w:numPr>
        <w:pStyle w:val="Compact"/>
      </w:pPr>
      <w:r>
        <w:t xml:space="preserve">A transaction holds a hot row’s lock for 10 ms. What is the maximum update rate on that row?</w:t>
      </w:r>
    </w:p>
    <w:p>
      <w:pPr>
        <w:pStyle w:val="FirstParagraph"/>
      </w:pPr>
      <w:r>
        <w:t xml:space="preserve">Answers</w:t>
      </w:r>
    </w:p>
    <w:p>
      <w:pPr>
        <w:numPr>
          <w:ilvl w:val="0"/>
          <w:numId w:val="1395"/>
        </w:numPr>
        <w:pStyle w:val="Compact"/>
      </w:pPr>
      <w:r>
        <w:t xml:space="preserve">Comparisons with NULL evaluate to UNKNOWN, and</w:t>
      </w:r>
      <w:r>
        <w:t xml:space="preserve"> </w:t>
      </w:r>
      <w:r>
        <w:rPr>
          <w:rStyle w:val="VerbatimChar"/>
        </w:rPr>
        <w:t xml:space="preserve">WHERE</w:t>
      </w:r>
      <w:r>
        <w:t xml:space="preserve"> </w:t>
      </w:r>
      <w:r>
        <w:t xml:space="preserve">keeps only TRUE rows. Use</w:t>
      </w:r>
      <w:r>
        <w:t xml:space="preserve"> </w:t>
      </w:r>
      <w:r>
        <w:rPr>
          <w:rStyle w:val="VerbatimChar"/>
        </w:rPr>
        <w:t xml:space="preserve">IS DISTINCT FROM</w:t>
      </w:r>
      <w:r>
        <w:t xml:space="preserve"> </w:t>
      </w:r>
      <w:r>
        <w:t xml:space="preserve">or add</w:t>
      </w:r>
      <w:r>
        <w:t xml:space="preserve"> </w:t>
      </w:r>
      <w:r>
        <w:rPr>
          <w:rStyle w:val="VerbatimChar"/>
        </w:rPr>
        <w:t xml:space="preserve">OR coupon_code IS NULL</w:t>
      </w:r>
      <w:r>
        <w:t xml:space="preserve">.</w:t>
      </w:r>
    </w:p>
    <w:p>
      <w:pPr>
        <w:numPr>
          <w:ilvl w:val="0"/>
          <w:numId w:val="1395"/>
        </w:numPr>
        <w:pStyle w:val="Compact"/>
      </w:pPr>
      <w:r>
        <w:t xml:space="preserve">2NF:</w:t>
      </w:r>
      <w:r>
        <w:t xml:space="preserve"> </w:t>
      </w:r>
      <w:r>
        <w:rPr>
          <w:rStyle w:val="VerbatimChar"/>
        </w:rPr>
        <w:t xml:space="preserve">course_title</w:t>
      </w:r>
      <w:r>
        <w:t xml:space="preserve"> </w:t>
      </w:r>
      <w:r>
        <w:t xml:space="preserve">depends only on</w:t>
      </w:r>
      <w:r>
        <w:t xml:space="preserve"> </w:t>
      </w:r>
      <w:r>
        <w:rPr>
          <w:rStyle w:val="VerbatimChar"/>
        </w:rPr>
        <w:t xml:space="preserve">course_id</w:t>
      </w:r>
      <w:r>
        <w:t xml:space="preserve">, part of the key. Move it to</w:t>
      </w:r>
      <w:r>
        <w:t xml:space="preserve"> </w:t>
      </w:r>
      <w:r>
        <w:rPr>
          <w:rStyle w:val="VerbatimChar"/>
        </w:rPr>
        <w:t xml:space="preserve">courses(course_id, course_title)</w:t>
      </w:r>
      <w:r>
        <w:t xml:space="preserve">.</w:t>
      </w:r>
    </w:p>
    <w:p>
      <w:pPr>
        <w:numPr>
          <w:ilvl w:val="0"/>
          <w:numId w:val="1395"/>
        </w:numPr>
        <w:pStyle w:val="Compact"/>
      </w:pPr>
      <w:r>
        <w:t xml:space="preserve">It records the price charged at purchase time, a different fact from the product’s current price; it is determined by the order line, not by</w:t>
      </w:r>
      <w:r>
        <w:t xml:space="preserve"> </w:t>
      </w:r>
      <w:r>
        <w:rPr>
          <w:rStyle w:val="VerbatimChar"/>
        </w:rPr>
        <w:t xml:space="preserve">product_id</w:t>
      </w:r>
      <w:r>
        <w:t xml:space="preserve">.</w:t>
      </w:r>
    </w:p>
    <w:p>
      <w:pPr>
        <w:numPr>
          <w:ilvl w:val="0"/>
          <w:numId w:val="1395"/>
        </w:numPr>
        <w:pStyle w:val="Compact"/>
      </w:pPr>
      <m:oMath>
        <m:r>
          <m:t>1</m:t>
        </m:r>
        <m:r>
          <m:rPr>
            <m:sty m:val="p"/>
          </m:rPr>
          <m:t>,</m:t>
        </m:r>
        <m:r>
          <m:t>000</m:t>
        </m:r>
        <m:r>
          <m:rPr>
            <m:sty m:val="p"/>
          </m:rPr>
          <m:t>+</m:t>
        </m:r>
        <m:r>
          <m:rPr>
            <m:sty m:val="p"/>
          </m:rPr>
          <m:t>⌈</m:t>
        </m:r>
        <m:r>
          <m:t>1</m:t>
        </m:r>
        <m:r>
          <m:rPr>
            <m:sty m:val="p"/>
          </m:rPr>
          <m:t>,</m:t>
        </m:r>
        <m:r>
          <m:t>000</m:t>
        </m:r>
        <m:r>
          <m:rPr>
            <m:sty m:val="p"/>
          </m:rPr>
          <m:t>/</m:t>
        </m:r>
        <m:r>
          <m:t>100</m:t>
        </m:r>
        <m:r>
          <m:rPr>
            <m:sty m:val="p"/>
          </m:rPr>
          <m:t>⌉</m:t>
        </m:r>
        <m:r>
          <m:rPr>
            <m:sty m:val="p"/>
          </m:rPr>
          <m:t>×</m:t>
        </m:r>
        <m:r>
          <m:t>5</m:t>
        </m:r>
        <m:r>
          <m:rPr>
            <m:sty m:val="p"/>
          </m:rPr>
          <m:t>,</m:t>
        </m:r>
        <m:r>
          <m:t>000</m:t>
        </m:r>
        <m:r>
          <m:rPr>
            <m:sty m:val="p"/>
          </m:rPr>
          <m:t>=</m:t>
        </m:r>
        <m:r>
          <m:t>1</m:t>
        </m:r>
        <m:r>
          <m:rPr>
            <m:sty m:val="p"/>
          </m:rPr>
          <m:t>,</m:t>
        </m:r>
        <m:r>
          <m:t>000</m:t>
        </m:r>
        <m:r>
          <m:rPr>
            <m:sty m:val="p"/>
          </m:rPr>
          <m:t>+</m:t>
        </m:r>
        <m:r>
          <m:t>50</m:t>
        </m:r>
        <m:r>
          <m:rPr>
            <m:sty m:val="p"/>
          </m:rPr>
          <m:t>,</m:t>
        </m:r>
        <m:r>
          <m:t>000</m:t>
        </m:r>
        <m:r>
          <m:rPr>
            <m:sty m:val="p"/>
          </m:rPr>
          <m:t>=</m:t>
        </m:r>
        <m:r>
          <m:t>51</m:t>
        </m:r>
        <m:r>
          <m:rPr>
            <m:sty m:val="p"/>
          </m:rPr>
          <m:t>,</m:t>
        </m:r>
        <m:r>
          <m:t>000</m:t>
        </m:r>
      </m:oMath>
      <w:r>
        <w:t xml:space="preserve"> </w:t>
      </w:r>
      <w:r>
        <w:t xml:space="preserve">I/Os.</w:t>
      </w:r>
    </w:p>
    <w:p>
      <w:pPr>
        <w:numPr>
          <w:ilvl w:val="0"/>
          <w:numId w:val="1395"/>
        </w:numPr>
        <w:pStyle w:val="Compact"/>
      </w:pPr>
    </w:p>
    <w:p>
      <w:pPr>
        <w:numPr>
          <w:ilvl w:val="1"/>
          <w:numId w:val="1396"/>
        </w:numPr>
        <w:pStyle w:val="Compact"/>
      </w:pPr>
      <w:r>
        <w:t xml:space="preserve">and (c). (b) cannot seek because</w:t>
      </w:r>
      <w:r>
        <w:t xml:space="preserve"> </w:t>
      </w:r>
      <w:r>
        <w:rPr>
          <w:rStyle w:val="VerbatimChar"/>
        </w:rPr>
        <w:t xml:space="preserve">created_at</w:t>
      </w:r>
      <w:r>
        <w:t xml:space="preserve"> </w:t>
      </w:r>
      <w:r>
        <w:t xml:space="preserve">is not a leftmost prefix (only a full index scan or skip scan is possible).</w:t>
      </w:r>
    </w:p>
    <w:p>
      <w:pPr>
        <w:numPr>
          <w:ilvl w:val="0"/>
          <w:numId w:val="1395"/>
        </w:numPr>
        <w:pStyle w:val="Compact"/>
      </w:pPr>
      <w:r>
        <w:t xml:space="preserve">Leaves:</w:t>
      </w:r>
      <w:r>
        <w:t xml:space="preserve"> </w:t>
      </w:r>
      <m:oMath>
        <m:sSup>
          <m:e>
            <m:r>
              <m:t>10</m:t>
            </m:r>
          </m:e>
          <m:sup>
            <m:r>
              <m:t>8</m:t>
            </m:r>
          </m:sup>
        </m:sSup>
        <m:r>
          <m:rPr>
            <m:sty m:val="p"/>
          </m:rPr>
          <m:t>/</m:t>
        </m:r>
        <m:r>
          <m:t>100</m:t>
        </m:r>
        <m:r>
          <m:rPr>
            <m:sty m:val="p"/>
          </m:rPr>
          <m:t>=</m:t>
        </m:r>
        <m:sSup>
          <m:e>
            <m:r>
              <m:t>10</m:t>
            </m:r>
          </m:e>
          <m:sup>
            <m:r>
              <m:t>6</m:t>
            </m:r>
          </m:sup>
        </m:sSup>
      </m:oMath>
      <w:r>
        <w:t xml:space="preserve">.</w:t>
      </w:r>
      <w:r>
        <w:t xml:space="preserve"> </w:t>
      </w:r>
      <m:oMath>
        <m:r>
          <m:rPr>
            <m:sty m:val="p"/>
          </m:rPr>
          <m:t>⌈</m:t>
        </m:r>
        <m:sSub>
          <m:e>
            <m:r>
              <m:rPr>
                <m:sty m:val="p"/>
              </m:rPr>
              <m:t>log</m:t>
            </m:r>
          </m:e>
          <m:sub>
            <m:r>
              <m:t>500</m:t>
            </m:r>
          </m:sub>
        </m:sSub>
        <m:sSup>
          <m:e>
            <m:r>
              <m:t>10</m:t>
            </m:r>
          </m:e>
          <m:sup>
            <m:r>
              <m:t>6</m:t>
            </m:r>
          </m:sup>
        </m:sSup>
        <m:r>
          <m:rPr>
            <m:sty m:val="p"/>
          </m:rPr>
          <m:t>⌉</m:t>
        </m:r>
        <m:r>
          <m:rPr>
            <m:sty m:val="p"/>
          </m:rPr>
          <m:t>=</m:t>
        </m:r>
        <m:r>
          <m:rPr>
            <m:sty m:val="p"/>
          </m:rPr>
          <m:t>⌈</m:t>
        </m:r>
        <m:r>
          <m:t>2.22</m:t>
        </m:r>
        <m:r>
          <m:rPr>
            <m:sty m:val="p"/>
          </m:rPr>
          <m:t>⌉</m:t>
        </m:r>
        <m:r>
          <m:rPr>
            <m:sty m:val="p"/>
          </m:rPr>
          <m:t>=</m:t>
        </m:r>
        <m:r>
          <m:t>3</m:t>
        </m:r>
      </m:oMath>
      <w:r>
        <w:t xml:space="preserve">. Height</w:t>
      </w:r>
      <w:r>
        <w:t xml:space="preserve"> </w:t>
      </w:r>
      <m:oMath>
        <m:r>
          <m:rPr>
            <m:sty m:val="p"/>
          </m:rPr>
          <m:t>=</m:t>
        </m:r>
        <m:r>
          <m:t>1</m:t>
        </m:r>
        <m:r>
          <m:rPr>
            <m:sty m:val="p"/>
          </m:rPr>
          <m:t>+</m:t>
        </m:r>
        <m:r>
          <m:t>3</m:t>
        </m:r>
        <m:r>
          <m:rPr>
            <m:sty m:val="p"/>
          </m:rPr>
          <m:t>=</m:t>
        </m:r>
        <m:r>
          <m:t>4</m:t>
        </m:r>
      </m:oMath>
      <w:r>
        <w:t xml:space="preserve">.</w:t>
      </w:r>
    </w:p>
    <w:p>
      <w:pPr>
        <w:numPr>
          <w:ilvl w:val="0"/>
          <w:numId w:val="1395"/>
        </w:numPr>
        <w:pStyle w:val="Compact"/>
      </w:pPr>
      <w:r>
        <w:t xml:space="preserve">It must consume all input before producing its first output row: sort, hash aggregate, hash-join build side (also materialize).</w:t>
      </w:r>
    </w:p>
    <w:p>
      <w:pPr>
        <w:numPr>
          <w:ilvl w:val="0"/>
          <w:numId w:val="1395"/>
        </w:numPr>
        <w:pStyle w:val="Compact"/>
      </w:pPr>
      <w:r>
        <w:t xml:space="preserve">ACID consistency: transactions preserve declared invariants in one database. CAP consistency: linearizability, i.e., every read of replicated data sees the latest completed write.</w:t>
      </w:r>
    </w:p>
    <w:p>
      <w:pPr>
        <w:numPr>
          <w:ilvl w:val="0"/>
          <w:numId w:val="1395"/>
        </w:numPr>
        <w:pStyle w:val="Compact"/>
      </w:pPr>
      <w:r>
        <w:t xml:space="preserve">Write skew. Two doctors each check that two are on call and each sets themselves off call; both commit under REPEATABLE READ.</w:t>
      </w:r>
    </w:p>
    <w:p>
      <w:pPr>
        <w:numPr>
          <w:ilvl w:val="0"/>
          <w:numId w:val="1395"/>
        </w:numPr>
        <w:pStyle w:val="Compact"/>
      </w:pPr>
      <w:r>
        <w:t xml:space="preserve">No. The</w:t>
      </w:r>
      <w:r>
        <w:t xml:space="preserve"> </w:t>
      </w:r>
      <w:r>
        <w:rPr>
          <w:rStyle w:val="VerbatimChar"/>
        </w:rPr>
        <w:t xml:space="preserve">UPDATE</w:t>
      </w:r>
      <w:r>
        <w:t xml:space="preserve"> </w:t>
      </w:r>
      <w:r>
        <w:t xml:space="preserve">reads the latest committed row without checking it against the snapshot. Use</w:t>
      </w:r>
      <w:r>
        <w:t xml:space="preserve"> </w:t>
      </w:r>
      <w:r>
        <w:rPr>
          <w:rStyle w:val="VerbatimChar"/>
        </w:rPr>
        <w:t xml:space="preserve">SELECT ... FOR UPDATE</w:t>
      </w:r>
      <w:r>
        <w:t xml:space="preserve">, an atomic</w:t>
      </w:r>
      <w:r>
        <w:t xml:space="preserve"> </w:t>
      </w:r>
      <w:r>
        <w:rPr>
          <w:rStyle w:val="VerbatimChar"/>
        </w:rPr>
        <w:t xml:space="preserve">SET x = x - 1</w:t>
      </w:r>
      <w:r>
        <w:t xml:space="preserve">, or a version check.</w:t>
      </w:r>
    </w:p>
    <w:p>
      <w:pPr>
        <w:numPr>
          <w:ilvl w:val="0"/>
          <w:numId w:val="1395"/>
        </w:numPr>
        <w:pStyle w:val="Compact"/>
      </w:pPr>
      <w:r>
        <w:t xml:space="preserve">Its snapshot may still need old row versions, so VACUUM cannot remove any version that became dead after the snapshot was taken, in any table.</w:t>
      </w:r>
    </w:p>
    <w:p>
      <w:pPr>
        <w:numPr>
          <w:ilvl w:val="0"/>
          <w:numId w:val="1395"/>
        </w:numPr>
        <w:pStyle w:val="Compact"/>
      </w:pPr>
      <m:oMath>
        <m:r>
          <m:t>1</m:t>
        </m:r>
        <m:r>
          <m:rPr>
            <m:sty m:val="p"/>
          </m:rPr>
          <m:t>/</m:t>
        </m:r>
        <m:r>
          <m:t>0.010</m:t>
        </m:r>
        <m:r>
          <m:rPr>
            <m:sty m:val="p"/>
          </m:rPr>
          <m:t>=</m:t>
        </m:r>
        <m:r>
          <m:t>100</m:t>
        </m:r>
      </m:oMath>
      <w:r>
        <w:t xml:space="preserve"> </w:t>
      </w:r>
      <w:r>
        <w:t xml:space="preserve">updates per second.</w:t>
      </w:r>
    </w:p>
    <w:bookmarkEnd w:id="1297"/>
    <w:bookmarkStart w:id="1301" w:name="interview-questions-10"/>
    <w:p>
      <w:pPr>
        <w:pStyle w:val="Heading2"/>
      </w:pPr>
      <w:r>
        <w:t xml:space="preserve">11.20 Interview questions</w:t>
      </w:r>
    </w:p>
    <w:bookmarkStart w:id="1298" w:name="basic-10"/>
    <w:p>
      <w:pPr>
        <w:pStyle w:val="Heading3"/>
      </w:pPr>
      <w:r>
        <w:t xml:space="preserve">Basic</w:t>
      </w:r>
    </w:p>
    <w:p>
      <w:pPr>
        <w:pStyle w:val="FirstParagraph"/>
      </w:pPr>
      <w:r>
        <w:rPr>
          <w:bCs/>
          <w:b/>
        </w:rPr>
        <w:t xml:space="preserve">Q1. What is a database index, and what does it cost?</w:t>
      </w:r>
      <w:r>
        <w:t xml:space="preserve"> </w:t>
      </w:r>
      <w:r>
        <w:rPr>
          <w:bCs/>
          <w:b/>
        </w:rPr>
        <w:t xml:space="preserve">Answer.</w:t>
      </w:r>
      <w:r>
        <w:t xml:space="preserve"> </w:t>
      </w:r>
      <w:r>
        <w:t xml:space="preserve">A sorted structure, usually a B+ tree, mapping key values to row locations, so a selective lookup costs a few page reads instead of a full scan (about 4 levels at</w:t>
      </w:r>
      <w:r>
        <w:t xml:space="preserve"> </w:t>
      </w:r>
      <m:oMath>
        <m:sSup>
          <m:e>
            <m:r>
              <m:t>10</m:t>
            </m:r>
          </m:e>
          <m:sup>
            <m:r>
              <m:t>9</m:t>
            </m:r>
          </m:sup>
        </m:sSup>
      </m:oMath>
      <w:r>
        <w:t xml:space="preserve"> </w:t>
      </w:r>
      <w:r>
        <w:t xml:space="preserve">rows, roughly 1 I/O with internal pages cached). Costs: every write to indexed columns updates the index, extra storage and memory, and no benefit for low-selectivity predicates. Index the real workload: composite indexes with the leftmost-prefix rule, covering indexes for hot paths, drop unused ones.</w:t>
      </w:r>
    </w:p>
    <w:p>
      <w:pPr>
        <w:pStyle w:val="BodyText"/>
      </w:pPr>
      <w:r>
        <w:rPr>
          <w:bCs/>
          <w:b/>
        </w:rPr>
        <w:t xml:space="preserve">Q2. Explain ACID with an example.</w:t>
      </w:r>
      <w:r>
        <w:t xml:space="preserve"> </w:t>
      </w:r>
      <w:r>
        <w:rPr>
          <w:bCs/>
          <w:b/>
        </w:rPr>
        <w:t xml:space="preserve">Answer.</w:t>
      </w:r>
      <w:r>
        <w:t xml:space="preserve"> </w:t>
      </w:r>
      <w:r>
        <w:t xml:space="preserve">Transferring $70 from A to B: atomicity, both debit and credit happen or neither; consistency, declared invariants (no negative balance, valid references) hold after commit; isolation, a concurrent report never sees money in flight; durability, once</w:t>
      </w:r>
      <w:r>
        <w:t xml:space="preserve"> </w:t>
      </w:r>
      <w:r>
        <w:t xml:space="preserve">“</w:t>
      </w:r>
      <w:r>
        <w:t xml:space="preserve">committed</w:t>
      </w:r>
      <w:r>
        <w:t xml:space="preserve">”</w:t>
      </w:r>
      <w:r>
        <w:t xml:space="preserve"> </w:t>
      </w:r>
      <w:r>
        <w:t xml:space="preserve">is returned a crash cannot lose it, because the WAL was flushed. Note that ACID consistency differs from distributed</w:t>
      </w:r>
      <w:r>
        <w:t xml:space="preserve"> </w:t>
      </w:r>
      <w:r>
        <w:t xml:space="preserve">“</w:t>
      </w:r>
      <w:r>
        <w:t xml:space="preserve">strong consistency</w:t>
      </w:r>
      <w:r>
        <w:t xml:space="preserve">”</w:t>
      </w:r>
      <w:r>
        <w:t xml:space="preserve">.</w:t>
      </w:r>
    </w:p>
    <w:bookmarkEnd w:id="1298"/>
    <w:bookmarkStart w:id="1299" w:name="intermediate-10"/>
    <w:p>
      <w:pPr>
        <w:pStyle w:val="Heading3"/>
      </w:pPr>
      <w:r>
        <w:t xml:space="preserve">Intermediate</w:t>
      </w:r>
    </w:p>
    <w:p>
      <w:pPr>
        <w:pStyle w:val="FirstParagraph"/>
      </w:pPr>
      <w:r>
        <w:rPr>
          <w:bCs/>
          <w:b/>
        </w:rPr>
        <w:t xml:space="preserve">Q3. Two users buy the last unit of a product at the same moment. How do you guarantee you do not oversell?</w:t>
      </w:r>
      <w:r>
        <w:t xml:space="preserve"> </w:t>
      </w:r>
      <w:r>
        <w:rPr>
          <w:bCs/>
          <w:b/>
        </w:rPr>
        <w:t xml:space="preserve">Answer.</w:t>
      </w:r>
      <w:r>
        <w:t xml:space="preserve"> </w:t>
      </w:r>
      <w:r>
        <w:t xml:space="preserve">Make check and decrement one atomic statement,</w:t>
      </w:r>
      <w:r>
        <w:t xml:space="preserve"> </w:t>
      </w:r>
      <w:r>
        <w:rPr>
          <w:rStyle w:val="VerbatimChar"/>
        </w:rPr>
        <w:t xml:space="preserve">UPDATE inventory SET on_hand = on_hand - 1 WHERE product_id = ? AND on_hand &gt;= 1</w:t>
      </w:r>
      <w:r>
        <w:t xml:space="preserve">, treat 0 rows updated as out of stock, and back it with</w:t>
      </w:r>
      <w:r>
        <w:t xml:space="preserve"> </w:t>
      </w:r>
      <w:r>
        <w:rPr>
          <w:rStyle w:val="VerbatimChar"/>
        </w:rPr>
        <w:t xml:space="preserve">CHECK (on_hand &gt;= 0)</w:t>
      </w:r>
      <w:r>
        <w:t xml:space="preserve">. The row lock serializes the updates; the second finds 0. Alternatives:</w:t>
      </w:r>
      <w:r>
        <w:t xml:space="preserve"> </w:t>
      </w:r>
      <w:r>
        <w:rPr>
          <w:rStyle w:val="VerbatimChar"/>
        </w:rPr>
        <w:t xml:space="preserve">SELECT ... FOR UPDATE</w:t>
      </w:r>
      <w:r>
        <w:t xml:space="preserve">, or SERIALIZABLE with retries. Application read-modify-write loses updates at READ COMMITTED and at MySQL REPEATABLE READ. For a flash sale, discuss hot-row throughput (</w:t>
      </w:r>
      <m:oMath>
        <m:r>
          <m:t>1</m:t>
        </m:r>
        <m:r>
          <m:rPr>
            <m:sty m:val="p"/>
          </m:rPr>
          <m:t>/</m:t>
        </m:r>
        <m:sSub>
          <m:e>
            <m:r>
              <m:t>t</m:t>
            </m:r>
          </m:e>
          <m:sub>
            <m:r>
              <m:rPr>
                <m:nor/>
                <m:sty m:val="p"/>
              </m:rPr>
              <m:t>hold</m:t>
            </m:r>
          </m:sub>
        </m:sSub>
      </m:oMath>
      <w:r>
        <w:t xml:space="preserve">), payment outside the transaction and stock buckets.</w:t>
      </w:r>
    </w:p>
    <w:p>
      <w:pPr>
        <w:pStyle w:val="BodyText"/>
      </w:pPr>
      <w:r>
        <w:rPr>
          <w:bCs/>
          <w:b/>
        </w:rPr>
        <w:t xml:space="preserve">Q4. A query that took 5 ms now takes 4 s after a large data import. How do you investigate?</w:t>
      </w:r>
      <w:r>
        <w:t xml:space="preserve"> </w:t>
      </w:r>
      <w:r>
        <w:rPr>
          <w:bCs/>
          <w:b/>
        </w:rPr>
        <w:t xml:space="preserve">Answer.</w:t>
      </w:r>
      <w:r>
        <w:t xml:space="preserve"> </w:t>
      </w:r>
      <w:r>
        <w:t xml:space="preserve">Capture</w:t>
      </w:r>
      <w:r>
        <w:t xml:space="preserve"> </w:t>
      </w:r>
      <w:r>
        <w:rPr>
          <w:rStyle w:val="VerbatimChar"/>
        </w:rPr>
        <w:t xml:space="preserve">EXPLAIN (ANALYZE, BUFFERS)</w:t>
      </w:r>
      <w:r>
        <w:t xml:space="preserve"> </w:t>
      </w:r>
      <w:r>
        <w:t xml:space="preserve">and find nodes where estimated and actual rows differ by an order of magnitude; after an import, stale statistics are likely, so run</w:t>
      </w:r>
      <w:r>
        <w:t xml:space="preserve"> </w:t>
      </w:r>
      <w:r>
        <w:rPr>
          <w:rStyle w:val="VerbatimChar"/>
        </w:rPr>
        <w:t xml:space="preserve">ANALYZE</w:t>
      </w:r>
      <w:r>
        <w:t xml:space="preserve">. If correlated predicates keep estimates wrong, add extended statistics. Check for unusable indexes (functions, casts), spills (</w:t>
      </w:r>
      <w:r>
        <w:rPr>
          <w:rStyle w:val="VerbatimChar"/>
        </w:rPr>
        <w:t xml:space="preserve">external merge</w:t>
      </w:r>
      <w:r>
        <w:t xml:space="preserve">,</w:t>
      </w:r>
      <w:r>
        <w:t xml:space="preserve"> </w:t>
      </w:r>
      <w:r>
        <w:rPr>
          <w:rStyle w:val="VerbatimChar"/>
        </w:rPr>
        <w:t xml:space="preserve">Batches &gt; 1</w:t>
      </w:r>
      <w:r>
        <w:t xml:space="preserve">) and cold caches (</w:t>
      </w:r>
      <w:r>
        <w:rPr>
          <w:rStyle w:val="VerbatimChar"/>
        </w:rPr>
        <w:t xml:space="preserve">Buffers read</w:t>
      </w:r>
      <w:r>
        <w:t xml:space="preserve">). Then guard with analyze settings and</w:t>
      </w:r>
      <w:r>
        <w:t xml:space="preserve"> </w:t>
      </w:r>
      <w:r>
        <w:rPr>
          <w:rStyle w:val="VerbatimChar"/>
        </w:rPr>
        <w:t xml:space="preserve">pg_stat_statements</w:t>
      </w:r>
      <w:r>
        <w:t xml:space="preserve"> </w:t>
      </w:r>
      <w:r>
        <w:t xml:space="preserve">monitoring.</w:t>
      </w:r>
    </w:p>
    <w:bookmarkEnd w:id="1299"/>
    <w:bookmarkStart w:id="1300" w:name="advanced-10"/>
    <w:p>
      <w:pPr>
        <w:pStyle w:val="Heading3"/>
      </w:pPr>
      <w:r>
        <w:t xml:space="preserve">Advanced</w:t>
      </w:r>
    </w:p>
    <w:p>
      <w:pPr>
        <w:pStyle w:val="FirstParagraph"/>
      </w:pPr>
      <w:r>
        <w:rPr>
          <w:bCs/>
          <w:b/>
        </w:rPr>
        <w:t xml:space="preserve">Q5. Compare PostgreSQL’s and InnoDB’s MVCC, and explain how each fails under a long-running analytics query on the primary.</w:t>
      </w:r>
      <w:r>
        <w:t xml:space="preserve"> </w:t>
      </w:r>
      <w:r>
        <w:rPr>
          <w:bCs/>
          <w:b/>
        </w:rPr>
        <w:t xml:space="preserve">Answer.</w:t>
      </w:r>
      <w:r>
        <w:t xml:space="preserve"> </w:t>
      </w:r>
      <w:r>
        <w:t xml:space="preserve">PostgreSQL writes a new heap tuple per update (</w:t>
      </w:r>
      <w:r>
        <w:rPr>
          <w:rStyle w:val="VerbatimChar"/>
        </w:rPr>
        <w:t xml:space="preserve">xmin</w:t>
      </w:r>
      <w:r>
        <w:t xml:space="preserve">/</w:t>
      </w:r>
      <w:r>
        <w:rPr>
          <w:rStyle w:val="VerbatimChar"/>
        </w:rPr>
        <w:t xml:space="preserve">xmax</w:t>
      </w:r>
      <w:r>
        <w:t xml:space="preserve">), adds index entries for non-HOT updates, and relies on VACUUM to remove dead versions and freeze XIDs. InnoDB updates in place, keeps prior versions in undo logs and purges them in the background. A multi-hour query holds an old snapshot: in PostgreSQL, VACUUM cannot remove newer dead versions, so hot tables bloat, index-only scans degrade and freezing stalls; in InnoDB, purge stalls, the history list grows and hot-row reads walk longer undo chains. Mitigations: run analytics on a replica or warehouse, set statement and idle-in-transaction timeouts, monitor</w:t>
      </w:r>
      <w:r>
        <w:t xml:space="preserve"> </w:t>
      </w:r>
      <w:r>
        <w:rPr>
          <w:rStyle w:val="VerbatimChar"/>
        </w:rPr>
        <w:t xml:space="preserve">age(datfrozenxid)</w:t>
      </w:r>
      <w:r>
        <w:t xml:space="preserve"> </w:t>
      </w:r>
      <w:r>
        <w:t xml:space="preserve">and history list length.</w:t>
      </w:r>
    </w:p>
    <w:p>
      <w:pPr>
        <w:pStyle w:val="BodyText"/>
      </w:pPr>
      <w:r>
        <w:rPr>
          <w:bCs/>
          <w:b/>
        </w:rPr>
        <w:t xml:space="preserve">Q6. Design the concurrency control for an</w:t>
      </w:r>
      <w:r>
        <w:rPr>
          <w:bCs/>
          <w:b/>
        </w:rPr>
        <w:t xml:space="preserve"> </w:t>
      </w:r>
      <w:r>
        <w:rPr>
          <w:bCs/>
          <w:b/>
        </w:rPr>
        <w:t xml:space="preserve">“</w:t>
      </w:r>
      <w:r>
        <w:rPr>
          <w:bCs/>
          <w:b/>
        </w:rPr>
        <w:t xml:space="preserve">at least one admin per organization</w:t>
      </w:r>
      <w:r>
        <w:rPr>
          <w:bCs/>
          <w:b/>
        </w:rPr>
        <w:t xml:space="preserve">”</w:t>
      </w:r>
      <w:r>
        <w:rPr>
          <w:bCs/>
          <w:b/>
        </w:rPr>
        <w:t xml:space="preserve"> </w:t>
      </w:r>
      <w:r>
        <w:rPr>
          <w:bCs/>
          <w:b/>
        </w:rPr>
        <w:t xml:space="preserve">rule.</w:t>
      </w:r>
      <w:r>
        <w:t xml:space="preserve"> </w:t>
      </w:r>
      <w:r>
        <w:rPr>
          <w:bCs/>
          <w:b/>
        </w:rPr>
        <w:t xml:space="preserve">Answer.</w:t>
      </w:r>
      <w:r>
        <w:t xml:space="preserve"> </w:t>
      </w:r>
      <w:r>
        <w:t xml:space="preserve">This is write skew: each demotion checks a count, then writes a different row. Options: (1) SERIALIZABLE (PostgreSQL SSI) with a retry loop; simplest, with occasional aborts. (2) Materialize the conflict:</w:t>
      </w:r>
      <w:r>
        <w:t xml:space="preserve"> </w:t>
      </w:r>
      <w:r>
        <w:rPr>
          <w:rStyle w:val="VerbatimChar"/>
        </w:rPr>
        <w:t xml:space="preserve">SELECT ... FROM organizations WHERE org_id = ? FOR UPDATE</w:t>
      </w:r>
      <w:r>
        <w:t xml:space="preserve"> </w:t>
      </w:r>
      <w:r>
        <w:t xml:space="preserve">before counting, so changes in one organization serialize; works at READ COMMITTED and in MySQL. (3) A stored</w:t>
      </w:r>
      <w:r>
        <w:t xml:space="preserve"> </w:t>
      </w:r>
      <w:r>
        <w:rPr>
          <w:rStyle w:val="VerbatimChar"/>
        </w:rPr>
        <w:t xml:space="preserve">admin_count</w:t>
      </w:r>
      <w:r>
        <w:t xml:space="preserve"> </w:t>
      </w:r>
      <w:r>
        <w:t xml:space="preserve">with</w:t>
      </w:r>
      <w:r>
        <w:t xml:space="preserve"> </w:t>
      </w:r>
      <w:r>
        <w:rPr>
          <w:rStyle w:val="VerbatimChar"/>
        </w:rPr>
        <w:t xml:space="preserve">CHECK (admin_count &gt;= 1)</w:t>
      </w:r>
      <w:r>
        <w:t xml:space="preserve"> </w:t>
      </w:r>
      <w:r>
        <w:t xml:space="preserve">updated in the same transaction. REPEATABLE READ alone is insufficient in both databases; across shards the invariant needs a single owner (Chapter 28).</w:t>
      </w:r>
    </w:p>
    <w:bookmarkEnd w:id="1300"/>
    <w:bookmarkEnd w:id="1301"/>
    <w:bookmarkStart w:id="1302" w:name="practical-exercises-10"/>
    <w:p>
      <w:pPr>
        <w:pStyle w:val="Heading2"/>
      </w:pPr>
      <w:r>
        <w:t xml:space="preserve">11.21 Practical exercises</w:t>
      </w:r>
    </w:p>
    <w:p>
      <w:pPr>
        <w:numPr>
          <w:ilvl w:val="0"/>
          <w:numId w:val="1397"/>
        </w:numPr>
        <w:pStyle w:val="Compact"/>
      </w:pPr>
      <w:r>
        <w:t xml:space="preserve">Load the §11.17 schema into PostgreSQL with one million orders (use</w:t>
      </w:r>
      <w:r>
        <w:t xml:space="preserve"> </w:t>
      </w:r>
      <w:r>
        <w:rPr>
          <w:rStyle w:val="VerbatimChar"/>
        </w:rPr>
        <w:t xml:space="preserve">generate_series</w:t>
      </w:r>
      <w:r>
        <w:t xml:space="preserve">). Run the order-history query before and after creating</w:t>
      </w:r>
      <w:r>
        <w:t xml:space="preserve"> </w:t>
      </w:r>
      <w:r>
        <w:rPr>
          <w:rStyle w:val="VerbatimChar"/>
        </w:rPr>
        <w:t xml:space="preserve">orders_customer_created_idx</w:t>
      </w:r>
      <w:r>
        <w:t xml:space="preserve"> </w:t>
      </w:r>
      <w:r>
        <w:t xml:space="preserve">with</w:t>
      </w:r>
      <w:r>
        <w:t xml:space="preserve"> </w:t>
      </w:r>
      <w:r>
        <w:rPr>
          <w:rStyle w:val="VerbatimChar"/>
        </w:rPr>
        <w:t xml:space="preserve">EXPLAIN (ANALYZE, BUFFERS)</w:t>
      </w:r>
      <w:r>
        <w:t xml:space="preserve">; record pages read and time.</w:t>
      </w:r>
    </w:p>
    <w:p>
      <w:pPr>
        <w:numPr>
          <w:ilvl w:val="0"/>
          <w:numId w:val="1397"/>
        </w:numPr>
        <w:pStyle w:val="Compact"/>
      </w:pPr>
      <w:r>
        <w:t xml:space="preserve">Reproduce the correlated-columns misestimate of §11.10 and fix it with</w:t>
      </w:r>
      <w:r>
        <w:t xml:space="preserve"> </w:t>
      </w:r>
      <w:r>
        <w:rPr>
          <w:rStyle w:val="VerbatimChar"/>
        </w:rPr>
        <w:t xml:space="preserve">CREATE STATISTICS</w:t>
      </w:r>
      <w:r>
        <w:t xml:space="preserve">. Then build a three-table join where the misestimate changes the join algorithm.</w:t>
      </w:r>
    </w:p>
    <w:p>
      <w:pPr>
        <w:numPr>
          <w:ilvl w:val="0"/>
          <w:numId w:val="1397"/>
        </w:numPr>
        <w:pStyle w:val="Compact"/>
      </w:pPr>
      <w:r>
        <w:t xml:space="preserve">Run the isolation program of §11.13 at all four PostgreSQL levels and, if you have MySQL, adapt it to MySQL 8; fill in Table 11.9 from your own results.</w:t>
      </w:r>
    </w:p>
    <w:p>
      <w:pPr>
        <w:numPr>
          <w:ilvl w:val="0"/>
          <w:numId w:val="1397"/>
        </w:numPr>
        <w:pStyle w:val="Compact"/>
      </w:pPr>
      <w:r>
        <w:t xml:space="preserve">Install</w:t>
      </w:r>
      <w:r>
        <w:t xml:space="preserve"> </w:t>
      </w:r>
      <w:r>
        <w:rPr>
          <w:rStyle w:val="VerbatimChar"/>
        </w:rPr>
        <w:t xml:space="preserve">pageinspect</w:t>
      </w:r>
      <w:r>
        <w:t xml:space="preserve">, update one row 10 times with and without an index on the updated column, and observe HOT chains,</w:t>
      </w:r>
      <w:r>
        <w:t xml:space="preserve"> </w:t>
      </w:r>
      <w:r>
        <w:rPr>
          <w:rStyle w:val="VerbatimChar"/>
        </w:rPr>
        <w:t xml:space="preserve">n_tup_hot_upd</w:t>
      </w:r>
      <w:r>
        <w:t xml:space="preserve"> </w:t>
      </w:r>
      <w:r>
        <w:t xml:space="preserve">and the effect of</w:t>
      </w:r>
      <w:r>
        <w:t xml:space="preserve"> </w:t>
      </w:r>
      <w:r>
        <w:rPr>
          <w:rStyle w:val="VerbatimChar"/>
        </w:rPr>
        <w:t xml:space="preserve">VACUUM</w:t>
      </w:r>
      <w:r>
        <w:t xml:space="preserve">.</w:t>
      </w:r>
    </w:p>
    <w:p>
      <w:pPr>
        <w:numPr>
          <w:ilvl w:val="0"/>
          <w:numId w:val="1397"/>
        </w:numPr>
        <w:pStyle w:val="Compact"/>
      </w:pPr>
      <w:r>
        <w:t xml:space="preserve">Write a load test with 50 concurrent clients buying from 5 products in random cart order. Count deadlocks, then sort cart lines by</w:t>
      </w:r>
      <w:r>
        <w:t xml:space="preserve"> </w:t>
      </w:r>
      <w:r>
        <w:rPr>
          <w:rStyle w:val="VerbatimChar"/>
        </w:rPr>
        <w:t xml:space="preserve">product_id</w:t>
      </w:r>
      <w:r>
        <w:t xml:space="preserve"> </w:t>
      </w:r>
      <w:r>
        <w:t xml:space="preserve">and count again.</w:t>
      </w:r>
    </w:p>
    <w:bookmarkEnd w:id="1302"/>
    <w:bookmarkStart w:id="1303" w:name="design-challenges-10"/>
    <w:p>
      <w:pPr>
        <w:pStyle w:val="Heading2"/>
      </w:pPr>
      <w:r>
        <w:t xml:space="preserve">11.22 Design challenges</w:t>
      </w:r>
    </w:p>
    <w:p>
      <w:pPr>
        <w:numPr>
          <w:ilvl w:val="0"/>
          <w:numId w:val="1398"/>
        </w:numPr>
        <w:pStyle w:val="Compact"/>
      </w:pPr>
      <w:r>
        <w:rPr>
          <w:bCs/>
          <w:b/>
        </w:rPr>
        <w:t xml:space="preserve">Seat reservation.</w:t>
      </w:r>
      <w:r>
        <w:t xml:space="preserve"> </w:t>
      </w:r>
      <w:r>
        <w:t xml:space="preserve">Model a cinema with seats, showings and bookings so that a seat can never be double-booked, even under concurrent requests and client retries. Choose constraints, isolation level and indexes, and justify each.</w:t>
      </w:r>
    </w:p>
    <w:p>
      <w:pPr>
        <w:numPr>
          <w:ilvl w:val="0"/>
          <w:numId w:val="1398"/>
        </w:numPr>
        <w:pStyle w:val="Compact"/>
      </w:pPr>
      <w:r>
        <w:rPr>
          <w:bCs/>
          <w:b/>
        </w:rPr>
        <w:t xml:space="preserve">Ledger.</w:t>
      </w:r>
      <w:r>
        <w:t xml:space="preserve"> </w:t>
      </w:r>
      <w:r>
        <w:t xml:space="preserve">Design a double-entry ledger (accounts, journal entries, postings) in which every entry balances to zero and balances can be read in O(1). Decide what is normalized, what is a stored aggregate, and how the aggregate stays correct.</w:t>
      </w:r>
    </w:p>
    <w:p>
      <w:pPr>
        <w:numPr>
          <w:ilvl w:val="0"/>
          <w:numId w:val="1398"/>
        </w:numPr>
        <w:pStyle w:val="Compact"/>
      </w:pPr>
      <w:r>
        <w:rPr>
          <w:bCs/>
          <w:b/>
        </w:rPr>
        <w:t xml:space="preserve">Multi-tenant SaaS schema.</w:t>
      </w:r>
      <w:r>
        <w:t xml:space="preserve"> </w:t>
      </w:r>
      <w:r>
        <w:t xml:space="preserve">One PostgreSQL cluster hosts 5,000 tenants of very different sizes. Compare a shared schema with a</w:t>
      </w:r>
      <w:r>
        <w:t xml:space="preserve"> </w:t>
      </w:r>
      <w:r>
        <w:rPr>
          <w:rStyle w:val="VerbatimChar"/>
        </w:rPr>
        <w:t xml:space="preserve">tenant_id</w:t>
      </w:r>
      <w:r>
        <w:t xml:space="preserve"> </w:t>
      </w:r>
      <w:r>
        <w:t xml:space="preserve">column, schema-per-tenant and database-per-tenant on index design, isolation, migrations and noisy neighbors; prepare the move of large tenants to shards (Chapter 14).</w:t>
      </w:r>
    </w:p>
    <w:bookmarkEnd w:id="1303"/>
    <w:bookmarkStart w:id="1304" w:name="references-10"/>
    <w:p>
      <w:pPr>
        <w:pStyle w:val="Heading2"/>
      </w:pPr>
      <w:r>
        <w:t xml:space="preserve">11.23 References</w:t>
      </w:r>
    </w:p>
    <w:p>
      <w:pPr>
        <w:numPr>
          <w:ilvl w:val="0"/>
          <w:numId w:val="1399"/>
        </w:numPr>
        <w:pStyle w:val="Compact"/>
      </w:pPr>
      <w:r>
        <w:t xml:space="preserve">Codd, E. F.</w:t>
      </w:r>
      <w:r>
        <w:t xml:space="preserve"> </w:t>
      </w:r>
      <w:r>
        <w:t xml:space="preserve">“</w:t>
      </w:r>
      <w:r>
        <w:t xml:space="preserve">A Relational Model of Data for Large Shared Data Banks.</w:t>
      </w:r>
      <w:r>
        <w:t xml:space="preserve">”</w:t>
      </w:r>
      <w:r>
        <w:t xml:space="preserve"> </w:t>
      </w:r>
      <w:r>
        <w:rPr>
          <w:iCs/>
          <w:i/>
        </w:rPr>
        <w:t xml:space="preserve">Communications of the ACM</w:t>
      </w:r>
      <w:r>
        <w:t xml:space="preserve"> </w:t>
      </w:r>
      <w:r>
        <w:t xml:space="preserve">13(6), 1970.</w:t>
      </w:r>
    </w:p>
    <w:p>
      <w:pPr>
        <w:numPr>
          <w:ilvl w:val="0"/>
          <w:numId w:val="1399"/>
        </w:numPr>
        <w:pStyle w:val="Compact"/>
      </w:pPr>
      <w:r>
        <w:t xml:space="preserve">Ramakrishnan, R., Gehrke, J.</w:t>
      </w:r>
      <w:r>
        <w:t xml:space="preserve"> </w:t>
      </w:r>
      <w:r>
        <w:rPr>
          <w:iCs/>
          <w:i/>
        </w:rPr>
        <w:t xml:space="preserve">Database Management Systems</w:t>
      </w:r>
      <w:r>
        <w:t xml:space="preserve">, 3rd ed. McGraw-Hill, 2003.</w:t>
      </w:r>
    </w:p>
    <w:p>
      <w:pPr>
        <w:numPr>
          <w:ilvl w:val="0"/>
          <w:numId w:val="1399"/>
        </w:numPr>
        <w:pStyle w:val="Compact"/>
      </w:pPr>
      <w:r>
        <w:t xml:space="preserve">Bayer, R., McCreight, E.</w:t>
      </w:r>
      <w:r>
        <w:t xml:space="preserve"> </w:t>
      </w:r>
      <w:r>
        <w:t xml:space="preserve">“</w:t>
      </w:r>
      <w:r>
        <w:t xml:space="preserve">Organization and Maintenance of Large Ordered Indexes.</w:t>
      </w:r>
      <w:r>
        <w:t xml:space="preserve">”</w:t>
      </w:r>
      <w:r>
        <w:t xml:space="preserve"> </w:t>
      </w:r>
      <w:r>
        <w:rPr>
          <w:iCs/>
          <w:i/>
        </w:rPr>
        <w:t xml:space="preserve">Acta Informatica</w:t>
      </w:r>
      <w:r>
        <w:t xml:space="preserve"> </w:t>
      </w:r>
      <w:r>
        <w:t xml:space="preserve">1(3), 1972.</w:t>
      </w:r>
    </w:p>
    <w:p>
      <w:pPr>
        <w:numPr>
          <w:ilvl w:val="0"/>
          <w:numId w:val="1399"/>
        </w:numPr>
        <w:pStyle w:val="Compact"/>
      </w:pPr>
      <w:r>
        <w:t xml:space="preserve">Comer, D.</w:t>
      </w:r>
      <w:r>
        <w:t xml:space="preserve"> </w:t>
      </w:r>
      <w:r>
        <w:t xml:space="preserve">“</w:t>
      </w:r>
      <w:r>
        <w:t xml:space="preserve">The Ubiquitous B-Tree.</w:t>
      </w:r>
      <w:r>
        <w:t xml:space="preserve">”</w:t>
      </w:r>
      <w:r>
        <w:t xml:space="preserve"> </w:t>
      </w:r>
      <w:r>
        <w:rPr>
          <w:iCs/>
          <w:i/>
        </w:rPr>
        <w:t xml:space="preserve">ACM Computing Surveys</w:t>
      </w:r>
      <w:r>
        <w:t xml:space="preserve"> </w:t>
      </w:r>
      <w:r>
        <w:t xml:space="preserve">11(2), 1979.</w:t>
      </w:r>
    </w:p>
    <w:p>
      <w:pPr>
        <w:numPr>
          <w:ilvl w:val="0"/>
          <w:numId w:val="1399"/>
        </w:numPr>
        <w:pStyle w:val="Compact"/>
      </w:pPr>
      <w:r>
        <w:t xml:space="preserve">Lehman, P. L., Yao, S. B.</w:t>
      </w:r>
      <w:r>
        <w:t xml:space="preserve"> </w:t>
      </w:r>
      <w:r>
        <w:t xml:space="preserve">“</w:t>
      </w:r>
      <w:r>
        <w:t xml:space="preserve">Efficient Locking for Concurrent Operations on B-Trees.</w:t>
      </w:r>
      <w:r>
        <w:t xml:space="preserve">”</w:t>
      </w:r>
      <w:r>
        <w:t xml:space="preserve"> </w:t>
      </w:r>
      <w:r>
        <w:rPr>
          <w:iCs/>
          <w:i/>
        </w:rPr>
        <w:t xml:space="preserve">ACM Transactions on Database Systems</w:t>
      </w:r>
      <w:r>
        <w:t xml:space="preserve"> </w:t>
      </w:r>
      <w:r>
        <w:t xml:space="preserve">6(4), 1981.</w:t>
      </w:r>
    </w:p>
    <w:p>
      <w:pPr>
        <w:numPr>
          <w:ilvl w:val="0"/>
          <w:numId w:val="1399"/>
        </w:numPr>
        <w:pStyle w:val="Compact"/>
      </w:pPr>
      <w:r>
        <w:t xml:space="preserve">Kent, W.</w:t>
      </w:r>
      <w:r>
        <w:t xml:space="preserve"> </w:t>
      </w:r>
      <w:r>
        <w:t xml:space="preserve">“</w:t>
      </w:r>
      <w:r>
        <w:t xml:space="preserve">A Simple Guide to Five Normal Forms in Relational Database Theory.</w:t>
      </w:r>
      <w:r>
        <w:t xml:space="preserve">”</w:t>
      </w:r>
      <w:r>
        <w:t xml:space="preserve"> </w:t>
      </w:r>
      <w:r>
        <w:rPr>
          <w:iCs/>
          <w:i/>
        </w:rPr>
        <w:t xml:space="preserve">Communications of the ACM</w:t>
      </w:r>
      <w:r>
        <w:t xml:space="preserve"> </w:t>
      </w:r>
      <w:r>
        <w:t xml:space="preserve">26(2), 1983.</w:t>
      </w:r>
    </w:p>
    <w:p>
      <w:pPr>
        <w:numPr>
          <w:ilvl w:val="0"/>
          <w:numId w:val="1399"/>
        </w:numPr>
        <w:pStyle w:val="Compact"/>
      </w:pPr>
      <w:r>
        <w:t xml:space="preserve">Selinger, P. G., Astrahan, M. M., Chamberlin, D. D., Lorie, R. A., Price, T. G.</w:t>
      </w:r>
      <w:r>
        <w:t xml:space="preserve"> </w:t>
      </w:r>
      <w:r>
        <w:t xml:space="preserve">“</w:t>
      </w:r>
      <w:r>
        <w:t xml:space="preserve">Access Path Selection in a Relational Database Management System.</w:t>
      </w:r>
      <w:r>
        <w:t xml:space="preserve">”</w:t>
      </w:r>
      <w:r>
        <w:t xml:space="preserve"> </w:t>
      </w:r>
      <w:r>
        <w:rPr>
          <w:iCs/>
          <w:i/>
        </w:rPr>
        <w:t xml:space="preserve">Proceedings of ACM SIGMOD</w:t>
      </w:r>
      <w:r>
        <w:t xml:space="preserve">, 1979.</w:t>
      </w:r>
    </w:p>
    <w:p>
      <w:pPr>
        <w:numPr>
          <w:ilvl w:val="0"/>
          <w:numId w:val="1399"/>
        </w:numPr>
        <w:pStyle w:val="Compact"/>
      </w:pPr>
      <w:r>
        <w:t xml:space="preserve">Graefe, G.</w:t>
      </w:r>
      <w:r>
        <w:t xml:space="preserve"> </w:t>
      </w:r>
      <w:r>
        <w:t xml:space="preserve">“</w:t>
      </w:r>
      <w:r>
        <w:t xml:space="preserve">Volcano — An Extensible and Parallel Query Evaluation System.</w:t>
      </w:r>
      <w:r>
        <w:t xml:space="preserve">”</w:t>
      </w:r>
      <w:r>
        <w:t xml:space="preserve"> </w:t>
      </w:r>
      <w:r>
        <w:rPr>
          <w:iCs/>
          <w:i/>
        </w:rPr>
        <w:t xml:space="preserve">IEEE Transactions on Knowledge and Data Engineering</w:t>
      </w:r>
      <w:r>
        <w:t xml:space="preserve"> </w:t>
      </w:r>
      <w:r>
        <w:t xml:space="preserve">6(1), 1994.</w:t>
      </w:r>
    </w:p>
    <w:p>
      <w:pPr>
        <w:numPr>
          <w:ilvl w:val="0"/>
          <w:numId w:val="1399"/>
        </w:numPr>
        <w:pStyle w:val="Compact"/>
      </w:pPr>
      <w:r>
        <w:t xml:space="preserve">Graefe, G.</w:t>
      </w:r>
      <w:r>
        <w:t xml:space="preserve"> </w:t>
      </w:r>
      <w:r>
        <w:t xml:space="preserve">“</w:t>
      </w:r>
      <w:r>
        <w:t xml:space="preserve">Query Evaluation Techniques for Large Databases.</w:t>
      </w:r>
      <w:r>
        <w:t xml:space="preserve">”</w:t>
      </w:r>
      <w:r>
        <w:t xml:space="preserve"> </w:t>
      </w:r>
      <w:r>
        <w:rPr>
          <w:iCs/>
          <w:i/>
        </w:rPr>
        <w:t xml:space="preserve">ACM Computing Surveys</w:t>
      </w:r>
      <w:r>
        <w:t xml:space="preserve"> </w:t>
      </w:r>
      <w:r>
        <w:t xml:space="preserve">25(2), 1993.</w:t>
      </w:r>
    </w:p>
    <w:p>
      <w:pPr>
        <w:numPr>
          <w:ilvl w:val="0"/>
          <w:numId w:val="1399"/>
        </w:numPr>
        <w:pStyle w:val="Compact"/>
      </w:pPr>
      <w:r>
        <w:t xml:space="preserve">Boncz, P., Zukowski, M., Nes, N.</w:t>
      </w:r>
      <w:r>
        <w:t xml:space="preserve"> </w:t>
      </w:r>
      <w:r>
        <w:t xml:space="preserve">“</w:t>
      </w:r>
      <w:r>
        <w:t xml:space="preserve">MonetDB/X100: Hyper-Pipelining Query Execution.</w:t>
      </w:r>
      <w:r>
        <w:t xml:space="preserve">”</w:t>
      </w:r>
      <w:r>
        <w:t xml:space="preserve"> </w:t>
      </w:r>
      <w:r>
        <w:rPr>
          <w:iCs/>
          <w:i/>
        </w:rPr>
        <w:t xml:space="preserve">CIDR</w:t>
      </w:r>
      <w:r>
        <w:t xml:space="preserve">, 2005.</w:t>
      </w:r>
    </w:p>
    <w:p>
      <w:pPr>
        <w:numPr>
          <w:ilvl w:val="0"/>
          <w:numId w:val="1399"/>
        </w:numPr>
        <w:pStyle w:val="Compact"/>
      </w:pPr>
      <w:r>
        <w:t xml:space="preserve">Neumann, T.</w:t>
      </w:r>
      <w:r>
        <w:t xml:space="preserve"> </w:t>
      </w:r>
      <w:r>
        <w:t xml:space="preserve">“</w:t>
      </w:r>
      <w:r>
        <w:t xml:space="preserve">Efficiently Compiling Efficient Query Plans for Modern Hardware.</w:t>
      </w:r>
      <w:r>
        <w:t xml:space="preserve">”</w:t>
      </w:r>
      <w:r>
        <w:t xml:space="preserve"> </w:t>
      </w:r>
      <w:r>
        <w:rPr>
          <w:iCs/>
          <w:i/>
        </w:rPr>
        <w:t xml:space="preserve">Proceedings of the VLDB Endowment</w:t>
      </w:r>
      <w:r>
        <w:t xml:space="preserve"> </w:t>
      </w:r>
      <w:r>
        <w:t xml:space="preserve">4(9), 2011.</w:t>
      </w:r>
    </w:p>
    <w:p>
      <w:pPr>
        <w:numPr>
          <w:ilvl w:val="0"/>
          <w:numId w:val="1399"/>
        </w:numPr>
        <w:pStyle w:val="Compact"/>
      </w:pPr>
      <w:r>
        <w:t xml:space="preserve">Leis, V., Gubichev, A., Mirchev, A., Boncz, P., Kemper, A., Neumann, T.</w:t>
      </w:r>
      <w:r>
        <w:t xml:space="preserve"> </w:t>
      </w:r>
      <w:r>
        <w:t xml:space="preserve">“</w:t>
      </w:r>
      <w:r>
        <w:t xml:space="preserve">How Good Are Query Optimizers, Really?</w:t>
      </w:r>
      <w:r>
        <w:t xml:space="preserve">”</w:t>
      </w:r>
      <w:r>
        <w:t xml:space="preserve"> </w:t>
      </w:r>
      <w:r>
        <w:rPr>
          <w:iCs/>
          <w:i/>
        </w:rPr>
        <w:t xml:space="preserve">Proceedings of the VLDB Endowment</w:t>
      </w:r>
      <w:r>
        <w:t xml:space="preserve"> </w:t>
      </w:r>
      <w:r>
        <w:t xml:space="preserve">9(3), 2015.</w:t>
      </w:r>
    </w:p>
    <w:p>
      <w:pPr>
        <w:numPr>
          <w:ilvl w:val="0"/>
          <w:numId w:val="1399"/>
        </w:numPr>
        <w:pStyle w:val="Compact"/>
      </w:pPr>
      <w:r>
        <w:t xml:space="preserve">Eswaran, K. P., Gray, J. N., Lorie, R. A., Traiger, I. L.</w:t>
      </w:r>
      <w:r>
        <w:t xml:space="preserve"> </w:t>
      </w:r>
      <w:r>
        <w:t xml:space="preserve">“</w:t>
      </w:r>
      <w:r>
        <w:t xml:space="preserve">The Notions of Consistency and Predicate Locks in a Database System.</w:t>
      </w:r>
      <w:r>
        <w:t xml:space="preserve">”</w:t>
      </w:r>
      <w:r>
        <w:t xml:space="preserve"> </w:t>
      </w:r>
      <w:r>
        <w:rPr>
          <w:iCs/>
          <w:i/>
        </w:rPr>
        <w:t xml:space="preserve">Communications of the ACM</w:t>
      </w:r>
      <w:r>
        <w:t xml:space="preserve"> </w:t>
      </w:r>
      <w:r>
        <w:t xml:space="preserve">19(11), 1976.</w:t>
      </w:r>
    </w:p>
    <w:p>
      <w:pPr>
        <w:numPr>
          <w:ilvl w:val="0"/>
          <w:numId w:val="1399"/>
        </w:numPr>
        <w:pStyle w:val="Compact"/>
      </w:pPr>
      <w:r>
        <w:t xml:space="preserve">Härder, T., Reuter, A.</w:t>
      </w:r>
      <w:r>
        <w:t xml:space="preserve"> </w:t>
      </w:r>
      <w:r>
        <w:t xml:space="preserve">“</w:t>
      </w:r>
      <w:r>
        <w:t xml:space="preserve">Principles of Transaction-Oriented Database Recovery.</w:t>
      </w:r>
      <w:r>
        <w:t xml:space="preserve">”</w:t>
      </w:r>
      <w:r>
        <w:t xml:space="preserve"> </w:t>
      </w:r>
      <w:r>
        <w:rPr>
          <w:iCs/>
          <w:i/>
        </w:rPr>
        <w:t xml:space="preserve">ACM Computing Surveys</w:t>
      </w:r>
      <w:r>
        <w:t xml:space="preserve"> </w:t>
      </w:r>
      <w:r>
        <w:t xml:space="preserve">15(4), 1983.</w:t>
      </w:r>
    </w:p>
    <w:p>
      <w:pPr>
        <w:numPr>
          <w:ilvl w:val="0"/>
          <w:numId w:val="1399"/>
        </w:numPr>
        <w:pStyle w:val="Compact"/>
      </w:pPr>
      <w:r>
        <w:t xml:space="preserve">Gray, J., Reuter, A.</w:t>
      </w:r>
      <w:r>
        <w:t xml:space="preserve"> </w:t>
      </w:r>
      <w:r>
        <w:rPr>
          <w:iCs/>
          <w:i/>
        </w:rPr>
        <w:t xml:space="preserve">Transaction Processing: Concepts and Techniques</w:t>
      </w:r>
      <w:r>
        <w:t xml:space="preserve">. Morgan Kaufmann, 1993.</w:t>
      </w:r>
    </w:p>
    <w:p>
      <w:pPr>
        <w:numPr>
          <w:ilvl w:val="0"/>
          <w:numId w:val="1399"/>
        </w:numPr>
        <w:pStyle w:val="Compact"/>
      </w:pPr>
      <w:r>
        <w:t xml:space="preserve">Berenson, H., Bernstein, P., Gray, J., Melton, J., O’Neil, E., O’Neil, P.</w:t>
      </w:r>
      <w:r>
        <w:t xml:space="preserve"> </w:t>
      </w:r>
      <w:r>
        <w:t xml:space="preserve">“</w:t>
      </w:r>
      <w:r>
        <w:t xml:space="preserve">A Critique of ANSI SQL Isolation Levels.</w:t>
      </w:r>
      <w:r>
        <w:t xml:space="preserve">”</w:t>
      </w:r>
      <w:r>
        <w:t xml:space="preserve"> </w:t>
      </w:r>
      <w:r>
        <w:rPr>
          <w:iCs/>
          <w:i/>
        </w:rPr>
        <w:t xml:space="preserve">Proceedings of ACM SIGMOD</w:t>
      </w:r>
      <w:r>
        <w:t xml:space="preserve">, 1995.</w:t>
      </w:r>
    </w:p>
    <w:p>
      <w:pPr>
        <w:numPr>
          <w:ilvl w:val="0"/>
          <w:numId w:val="1399"/>
        </w:numPr>
        <w:pStyle w:val="Compact"/>
      </w:pPr>
      <w:r>
        <w:t xml:space="preserve">Cahill, M. J., Röhm, U., Fekete, A. D.</w:t>
      </w:r>
      <w:r>
        <w:t xml:space="preserve"> </w:t>
      </w:r>
      <w:r>
        <w:t xml:space="preserve">“</w:t>
      </w:r>
      <w:r>
        <w:t xml:space="preserve">Serializable Isolation for Snapshot Databases.</w:t>
      </w:r>
      <w:r>
        <w:t xml:space="preserve">”</w:t>
      </w:r>
      <w:r>
        <w:t xml:space="preserve"> </w:t>
      </w:r>
      <w:r>
        <w:rPr>
          <w:iCs/>
          <w:i/>
        </w:rPr>
        <w:t xml:space="preserve">Proceedings of ACM SIGMOD</w:t>
      </w:r>
      <w:r>
        <w:t xml:space="preserve">, 2008.</w:t>
      </w:r>
    </w:p>
    <w:p>
      <w:pPr>
        <w:numPr>
          <w:ilvl w:val="0"/>
          <w:numId w:val="1399"/>
        </w:numPr>
        <w:pStyle w:val="Compact"/>
      </w:pPr>
      <w:r>
        <w:t xml:space="preserve">Ports, D. R. K., Grittner, K.</w:t>
      </w:r>
      <w:r>
        <w:t xml:space="preserve"> </w:t>
      </w:r>
      <w:r>
        <w:t xml:space="preserve">“</w:t>
      </w:r>
      <w:r>
        <w:t xml:space="preserve">Serializable Snapshot Isolation in PostgreSQL.</w:t>
      </w:r>
      <w:r>
        <w:t xml:space="preserve">”</w:t>
      </w:r>
      <w:r>
        <w:t xml:space="preserve"> </w:t>
      </w:r>
      <w:r>
        <w:rPr>
          <w:iCs/>
          <w:i/>
        </w:rPr>
        <w:t xml:space="preserve">Proceedings of the VLDB Endowment</w:t>
      </w:r>
      <w:r>
        <w:t xml:space="preserve"> </w:t>
      </w:r>
      <w:r>
        <w:t xml:space="preserve">5(12), 2012.</w:t>
      </w:r>
    </w:p>
    <w:p>
      <w:pPr>
        <w:numPr>
          <w:ilvl w:val="0"/>
          <w:numId w:val="1399"/>
        </w:numPr>
        <w:pStyle w:val="Compact"/>
      </w:pPr>
      <w:r>
        <w:t xml:space="preserve">Kleppmann, M.</w:t>
      </w:r>
      <w:r>
        <w:t xml:space="preserve"> </w:t>
      </w:r>
      <w:r>
        <w:rPr>
          <w:iCs/>
          <w:i/>
        </w:rPr>
        <w:t xml:space="preserve">Designing Data-Intensive Applications</w:t>
      </w:r>
      <w:r>
        <w:t xml:space="preserve">. O’Reilly, 2017 (chapters 3 and 7).</w:t>
      </w:r>
    </w:p>
    <w:p>
      <w:pPr>
        <w:numPr>
          <w:ilvl w:val="0"/>
          <w:numId w:val="1399"/>
        </w:numPr>
        <w:pStyle w:val="Compact"/>
      </w:pPr>
      <w:r>
        <w:t xml:space="preserve">Kleppmann, M.</w:t>
      </w:r>
      <w:r>
        <w:t xml:space="preserve"> </w:t>
      </w:r>
      <w:r>
        <w:rPr>
          <w:iCs/>
          <w:i/>
        </w:rPr>
        <w:t xml:space="preserve">Hermitage: Testing Transaction Isolation Levels</w:t>
      </w:r>
      <w:r>
        <w:t xml:space="preserve">. 2014. https://github.com/ept/hermitage</w:t>
      </w:r>
    </w:p>
    <w:p>
      <w:pPr>
        <w:numPr>
          <w:ilvl w:val="0"/>
          <w:numId w:val="1399"/>
        </w:numPr>
        <w:pStyle w:val="Compact"/>
      </w:pPr>
      <w:r>
        <w:t xml:space="preserve">Petrov, A.</w:t>
      </w:r>
      <w:r>
        <w:t xml:space="preserve"> </w:t>
      </w:r>
      <w:r>
        <w:rPr>
          <w:iCs/>
          <w:i/>
        </w:rPr>
        <w:t xml:space="preserve">Database Internals</w:t>
      </w:r>
      <w:r>
        <w:t xml:space="preserve">. O’Reilly, 2019.</w:t>
      </w:r>
    </w:p>
    <w:p>
      <w:pPr>
        <w:numPr>
          <w:ilvl w:val="0"/>
          <w:numId w:val="1399"/>
        </w:numPr>
        <w:pStyle w:val="Compact"/>
      </w:pPr>
      <w:r>
        <w:t xml:space="preserve">PostgreSQL Global Development Group.</w:t>
      </w:r>
      <w:r>
        <w:t xml:space="preserve"> </w:t>
      </w:r>
      <w:r>
        <w:rPr>
          <w:iCs/>
          <w:i/>
        </w:rPr>
        <w:t xml:space="preserve">PostgreSQL 16 Documentation: Concurrency Control</w:t>
      </w:r>
      <w:r>
        <w:t xml:space="preserve">. https://www.postgresql.org/docs/16/mvcc.html</w:t>
      </w:r>
    </w:p>
    <w:p>
      <w:pPr>
        <w:numPr>
          <w:ilvl w:val="0"/>
          <w:numId w:val="1399"/>
        </w:numPr>
        <w:pStyle w:val="Compact"/>
      </w:pPr>
      <w:r>
        <w:t xml:space="preserve">PostgreSQL Global Development Group.</w:t>
      </w:r>
      <w:r>
        <w:t xml:space="preserve"> </w:t>
      </w:r>
      <w:r>
        <w:rPr>
          <w:iCs/>
          <w:i/>
        </w:rPr>
        <w:t xml:space="preserve">PostgreSQL 16 Documentation: Using EXPLAIN</w:t>
      </w:r>
      <w:r>
        <w:t xml:space="preserve">. https://www.postgresql.org/docs/16/using-explain.html</w:t>
      </w:r>
    </w:p>
    <w:p>
      <w:pPr>
        <w:numPr>
          <w:ilvl w:val="0"/>
          <w:numId w:val="1399"/>
        </w:numPr>
        <w:pStyle w:val="Compact"/>
      </w:pPr>
      <w:r>
        <w:t xml:space="preserve">PostgreSQL Global Development Group.</w:t>
      </w:r>
      <w:r>
        <w:t xml:space="preserve"> </w:t>
      </w:r>
      <w:r>
        <w:rPr>
          <w:iCs/>
          <w:i/>
        </w:rPr>
        <w:t xml:space="preserve">PostgreSQL 16 Documentation: Routine Vacuuming</w:t>
      </w:r>
      <w:r>
        <w:t xml:space="preserve">. https://www.postgresql.org/docs/16/routine-vacuuming.html</w:t>
      </w:r>
    </w:p>
    <w:p>
      <w:pPr>
        <w:numPr>
          <w:ilvl w:val="0"/>
          <w:numId w:val="1399"/>
        </w:numPr>
        <w:pStyle w:val="Compact"/>
      </w:pPr>
      <w:r>
        <w:t xml:space="preserve">PostgreSQL Global Development Group.</w:t>
      </w:r>
      <w:r>
        <w:t xml:space="preserve"> </w:t>
      </w:r>
      <w:r>
        <w:rPr>
          <w:iCs/>
          <w:i/>
        </w:rPr>
        <w:t xml:space="preserve">PostgreSQL 16 Documentation: Explicit Locking</w:t>
      </w:r>
      <w:r>
        <w:t xml:space="preserve">. https://www.postgresql.org/docs/16/explicit-locking.html</w:t>
      </w:r>
    </w:p>
    <w:p>
      <w:pPr>
        <w:numPr>
          <w:ilvl w:val="0"/>
          <w:numId w:val="1399"/>
        </w:numPr>
        <w:pStyle w:val="Compact"/>
      </w:pPr>
      <w:r>
        <w:t xml:space="preserve">Oracle.</w:t>
      </w:r>
      <w:r>
        <w:t xml:space="preserve"> </w:t>
      </w:r>
      <w:r>
        <w:rPr>
          <w:iCs/>
          <w:i/>
        </w:rPr>
        <w:t xml:space="preserve">MySQL 8.0 Reference Manual: Transaction Isolation Levels</w:t>
      </w:r>
      <w:r>
        <w:t xml:space="preserve">. https://dev.mysql.com/doc/refman/8.0/en/innodb-transaction-isolation-levels.html</w:t>
      </w:r>
    </w:p>
    <w:p>
      <w:pPr>
        <w:numPr>
          <w:ilvl w:val="0"/>
          <w:numId w:val="1399"/>
        </w:numPr>
        <w:pStyle w:val="Compact"/>
      </w:pPr>
      <w:r>
        <w:t xml:space="preserve">Oracle.</w:t>
      </w:r>
      <w:r>
        <w:t xml:space="preserve"> </w:t>
      </w:r>
      <w:r>
        <w:rPr>
          <w:iCs/>
          <w:i/>
        </w:rPr>
        <w:t xml:space="preserve">MySQL 8.0 Reference Manual: InnoDB Locking</w:t>
      </w:r>
      <w:r>
        <w:t xml:space="preserve">. https://dev.mysql.com/doc/refman/8.0/en/innodb-locking.html</w:t>
      </w:r>
    </w:p>
    <w:p>
      <w:pPr>
        <w:numPr>
          <w:ilvl w:val="0"/>
          <w:numId w:val="1399"/>
        </w:numPr>
        <w:pStyle w:val="Compact"/>
      </w:pPr>
      <w:r>
        <w:t xml:space="preserve">Oracle.</w:t>
      </w:r>
      <w:r>
        <w:t xml:space="preserve"> </w:t>
      </w:r>
      <w:r>
        <w:rPr>
          <w:iCs/>
          <w:i/>
        </w:rPr>
        <w:t xml:space="preserve">MySQL 8.0 Reference Manual: InnoDB Multi-Versioning</w:t>
      </w:r>
      <w:r>
        <w:t xml:space="preserve">. https://dev.mysql.com/doc/refman/8.0/en/innodb-multi-versioning.html</w:t>
      </w:r>
    </w:p>
    <w:p>
      <w:pPr>
        <w:numPr>
          <w:ilvl w:val="0"/>
          <w:numId w:val="1399"/>
        </w:numPr>
        <w:pStyle w:val="Compact"/>
      </w:pPr>
      <w:r>
        <w:t xml:space="preserve">Oracle.</w:t>
      </w:r>
      <w:r>
        <w:t xml:space="preserve"> </w:t>
      </w:r>
      <w:r>
        <w:rPr>
          <w:iCs/>
          <w:i/>
        </w:rPr>
        <w:t xml:space="preserve">MySQL 8.0 Reference Manual: Clustered and Secondary Indexes</w:t>
      </w:r>
      <w:r>
        <w:t xml:space="preserve">. https://dev.mysql.com/doc/refman/8.0/en/innodb-index-types.html</w:t>
      </w:r>
    </w:p>
    <w:p>
      <w:pPr>
        <w:numPr>
          <w:ilvl w:val="0"/>
          <w:numId w:val="1399"/>
        </w:numPr>
        <w:pStyle w:val="Compact"/>
      </w:pPr>
      <w:r>
        <w:t xml:space="preserve">Oracle.</w:t>
      </w:r>
      <w:r>
        <w:t xml:space="preserve"> </w:t>
      </w:r>
      <w:r>
        <w:rPr>
          <w:iCs/>
          <w:i/>
        </w:rPr>
        <w:t xml:space="preserve">MySQL 8.0 Reference Manual: Deadlock Detection</w:t>
      </w:r>
      <w:r>
        <w:t xml:space="preserve">. https://dev.mysql.com/doc/refman/8.0/en/innodb-deadlock-detection.html</w:t>
      </w:r>
    </w:p>
    <w:p>
      <w:pPr>
        <w:numPr>
          <w:ilvl w:val="0"/>
          <w:numId w:val="1399"/>
        </w:numPr>
        <w:pStyle w:val="Compact"/>
      </w:pPr>
      <w:r>
        <w:t xml:space="preserve">Oracle.</w:t>
      </w:r>
      <w:r>
        <w:t xml:space="preserve"> </w:t>
      </w:r>
      <w:r>
        <w:rPr>
          <w:iCs/>
          <w:i/>
        </w:rPr>
        <w:t xml:space="preserve">MySQL 8.0 Reference Manual: Hash Join Optimization</w:t>
      </w:r>
      <w:r>
        <w:t xml:space="preserve">. https://dev.mysql.com/doc/refman/8.0/en/hash-joins.html</w:t>
      </w:r>
    </w:p>
    <w:p>
      <w:pPr>
        <w:numPr>
          <w:ilvl w:val="0"/>
          <w:numId w:val="1399"/>
        </w:numPr>
        <w:pStyle w:val="Compact"/>
      </w:pPr>
      <w:r>
        <w:t xml:space="preserve">Instagram Engineering.</w:t>
      </w:r>
      <w:r>
        <w:t xml:space="preserve"> </w:t>
      </w:r>
      <w:r>
        <w:t xml:space="preserve">“</w:t>
      </w:r>
      <w:r>
        <w:t xml:space="preserve">Sharding &amp; IDs at Instagram.</w:t>
      </w:r>
      <w:r>
        <w:t xml:space="preserve">”</w:t>
      </w:r>
      <w:r>
        <w:t xml:space="preserve"> </w:t>
      </w:r>
      <w:r>
        <w:t xml:space="preserve">Instagram Engineering Blog, 2012.</w:t>
      </w:r>
    </w:p>
    <w:p>
      <w:pPr>
        <w:numPr>
          <w:ilvl w:val="0"/>
          <w:numId w:val="1399"/>
        </w:numPr>
        <w:pStyle w:val="Compact"/>
      </w:pPr>
      <w:r>
        <w:t xml:space="preserve">Klitzke, E.</w:t>
      </w:r>
      <w:r>
        <w:t xml:space="preserve"> </w:t>
      </w:r>
      <w:r>
        <w:t xml:space="preserve">“</w:t>
      </w:r>
      <w:r>
        <w:t xml:space="preserve">Why Uber Engineering Switched from Postgres to MySQL.</w:t>
      </w:r>
      <w:r>
        <w:t xml:space="preserve">”</w:t>
      </w:r>
      <w:r>
        <w:t xml:space="preserve"> </w:t>
      </w:r>
      <w:r>
        <w:t xml:space="preserve">Uber Engineering Blog, 2016.</w:t>
      </w:r>
    </w:p>
    <w:p>
      <w:pPr>
        <w:numPr>
          <w:ilvl w:val="0"/>
          <w:numId w:val="1399"/>
        </w:numPr>
        <w:pStyle w:val="Compact"/>
      </w:pPr>
      <w:r>
        <w:t xml:space="preserve">Sentry.</w:t>
      </w:r>
      <w:r>
        <w:t xml:space="preserve"> </w:t>
      </w:r>
      <w:r>
        <w:t xml:space="preserve">“</w:t>
      </w:r>
      <w:r>
        <w:t xml:space="preserve">Transaction ID Wraparound in Postgres.</w:t>
      </w:r>
      <w:r>
        <w:t xml:space="preserve">”</w:t>
      </w:r>
      <w:r>
        <w:t xml:space="preserve"> </w:t>
      </w:r>
      <w:r>
        <w:t xml:space="preserve">Sentry Blog, 2015.</w:t>
      </w:r>
    </w:p>
    <w:p>
      <w:pPr>
        <w:numPr>
          <w:ilvl w:val="0"/>
          <w:numId w:val="1399"/>
        </w:numPr>
        <w:pStyle w:val="Compact"/>
      </w:pPr>
      <w:r>
        <w:t xml:space="preserve">GitHub.</w:t>
      </w:r>
      <w:r>
        <w:t xml:space="preserve"> </w:t>
      </w:r>
      <w:r>
        <w:rPr>
          <w:iCs/>
          <w:i/>
        </w:rPr>
        <w:t xml:space="preserve">gh-ost: GitHub’s Online Schema-migration Tool for MySQL</w:t>
      </w:r>
      <w:r>
        <w:t xml:space="preserve">. https://github.com/github/gh-ost</w:t>
      </w:r>
    </w:p>
    <w:bookmarkEnd w:id="1304"/>
    <w:bookmarkStart w:id="1305" w:name="open-verification-items-10"/>
    <w:p>
      <w:pPr>
        <w:pStyle w:val="Heading2"/>
      </w:pPr>
      <w:r>
        <w:t xml:space="preserve">11.24 Open verification items</w:t>
      </w:r>
    </w:p>
    <w:p>
      <w:pPr>
        <w:numPr>
          <w:ilvl w:val="0"/>
          <w:numId w:val="1400"/>
        </w:numPr>
        <w:pStyle w:val="Compact"/>
      </w:pPr>
      <w:r>
        <w:t xml:space="preserve">PostgreSQL 18 B-tree skip scan (stated as available from version 18, released 2025) and MySQL 8.4 still lacking partial indexes: confirm against current release notes.</w:t>
      </w:r>
    </w:p>
    <w:p>
      <w:pPr>
        <w:numPr>
          <w:ilvl w:val="0"/>
          <w:numId w:val="1400"/>
        </w:numPr>
        <w:pStyle w:val="Compact"/>
      </w:pPr>
      <w:r>
        <w:t xml:space="preserve">Sentry 2015 wraparound postmortem: title, date and details are from memory; confirm URL and wording.</w:t>
      </w:r>
    </w:p>
    <w:p>
      <w:pPr>
        <w:numPr>
          <w:ilvl w:val="0"/>
          <w:numId w:val="1400"/>
        </w:numPr>
        <w:pStyle w:val="Compact"/>
      </w:pPr>
      <w:r>
        <w:t xml:space="preserve">Uber 2016 blog post URL (moved from eng.uber.com); Instagram 2012 post URL.</w:t>
      </w:r>
    </w:p>
    <w:p>
      <w:pPr>
        <w:numPr>
          <w:ilvl w:val="0"/>
          <w:numId w:val="1400"/>
        </w:numPr>
        <w:pStyle w:val="Compact"/>
      </w:pPr>
      <w:r>
        <w:t xml:space="preserve">Exact PostgreSQL 16 thresholds for wraparound warnings and write refusal (stated qualitatively here).</w:t>
      </w:r>
    </w:p>
    <w:p>
      <w:pPr>
        <w:numPr>
          <w:ilvl w:val="0"/>
          <w:numId w:val="1400"/>
        </w:numPr>
        <w:pStyle w:val="Compact"/>
      </w:pPr>
      <w:r>
        <w:t xml:space="preserve">Claim that MySQL 8.0/8.4 has no sort-merge join.</w:t>
      </w:r>
    </w:p>
    <w:bookmarkEnd w:id="1305"/>
    <w:bookmarkEnd w:id="1306"/>
    <w:bookmarkStart w:id="1430" w:name="chapter-12-nosql-databases"/>
    <w:p>
      <w:pPr>
        <w:pStyle w:val="Heading1"/>
      </w:pPr>
      <w:r>
        <w:t xml:space="preserve">Chapter 12 — NoSQL Databases</w:t>
      </w:r>
    </w:p>
    <w:p>
      <w:pPr>
        <w:pStyle w:val="BlockText"/>
      </w:pPr>
      <w:r>
        <w:rPr>
          <w:bCs/>
          <w:b/>
        </w:rPr>
        <w:t xml:space="preserve">Level:</w:t>
      </w:r>
      <w:r>
        <w:t xml:space="preserve"> </w:t>
      </w:r>
      <w:r>
        <w:t xml:space="preserve">2 ·</w:t>
      </w:r>
      <w:r>
        <w:t xml:space="preserve"> </w:t>
      </w:r>
      <w:r>
        <w:rPr>
          <w:bCs/>
          <w:b/>
        </w:rPr>
        <w:t xml:space="preserve">Track:</w:t>
      </w:r>
      <w:r>
        <w:t xml:space="preserve"> </w:t>
      </w:r>
      <w:r>
        <w:t xml:space="preserve">A (Traditional) ·</w:t>
      </w:r>
      <w:r>
        <w:t xml:space="preserve"> </w:t>
      </w:r>
      <w:r>
        <w:rPr>
          <w:bCs/>
          <w:b/>
        </w:rPr>
        <w:t xml:space="preserve">Estimated reading time:</w:t>
      </w:r>
      <w:r>
        <w:t xml:space="preserve"> </w:t>
      </w:r>
      <w:r>
        <w:t xml:space="preserve">3.5 h</w:t>
      </w:r>
    </w:p>
    <w:p>
      <w:pPr>
        <w:pStyle w:val="FirstParagraph"/>
      </w:pPr>
      <w:r>
        <w:t xml:space="preserve">Chapter 11 described the relational database: one general-purpose model that can answer almost any question you think of later. That generality assumes the data fits on one primary node, the schema is known up front, and joins are cheap because both tables share a disk. In the mid-2000s several companies hit all three limits at once and built databases that dropped some relational guarantees in exchange for the property they needed most. The industry later grouped them under one awkward label,</w:t>
      </w:r>
      <w:r>
        <w:t xml:space="preserve"> </w:t>
      </w:r>
      <w:r>
        <w:rPr>
          <w:bCs/>
          <w:b/>
        </w:rPr>
        <w:t xml:space="preserve">NoSQL</w:t>
      </w:r>
      <w:r>
        <w:t xml:space="preserve">.</w:t>
      </w:r>
    </w:p>
    <w:p>
      <w:pPr>
        <w:pStyle w:val="BodyText"/>
      </w:pPr>
      <w:r>
        <w:t xml:space="preserve">Think of a city’s storage options. A relational database is a well-run library: everything cataloged, cross-referenced and lendable under strict rules, but there is one building and one front desk. A</w:t>
      </w:r>
      <w:r>
        <w:t xml:space="preserve"> </w:t>
      </w:r>
      <w:r>
        <w:rPr>
          <w:bCs/>
          <w:b/>
        </w:rPr>
        <w:t xml:space="preserve">key-value store</w:t>
      </w:r>
      <w:r>
        <w:t xml:space="preserve"> </w:t>
      </w:r>
      <w:r>
        <w:t xml:space="preserve">is a wall of numbered lockers: you can find locker 4,711 instantly, but you cannot ask</w:t>
      </w:r>
      <w:r>
        <w:t xml:space="preserve"> </w:t>
      </w:r>
      <w:r>
        <w:t xml:space="preserve">“</w:t>
      </w:r>
      <w:r>
        <w:t xml:space="preserve">which lockers contain umbrellas?</w:t>
      </w:r>
      <w:r>
        <w:t xml:space="preserve">”</w:t>
      </w:r>
      <w:r>
        <w:t xml:space="preserve">. A</w:t>
      </w:r>
      <w:r>
        <w:t xml:space="preserve"> </w:t>
      </w:r>
      <w:r>
        <w:rPr>
          <w:bCs/>
          <w:b/>
        </w:rPr>
        <w:t xml:space="preserve">document database</w:t>
      </w:r>
      <w:r>
        <w:t xml:space="preserve"> </w:t>
      </w:r>
      <w:r>
        <w:t xml:space="preserve">is a filing cabinet in which each folder holds everything about one customer. A</w:t>
      </w:r>
      <w:r>
        <w:t xml:space="preserve"> </w:t>
      </w:r>
      <w:r>
        <w:rPr>
          <w:bCs/>
          <w:b/>
        </w:rPr>
        <w:t xml:space="preserve">wide-column store</w:t>
      </w:r>
      <w:r>
        <w:t xml:space="preserve"> </w:t>
      </w:r>
      <w:r>
        <w:t xml:space="preserve">is a warehouse whose aisles are sorted by a label you choose, so a forklift can sweep one aisle end to end. A</w:t>
      </w:r>
      <w:r>
        <w:t xml:space="preserve"> </w:t>
      </w:r>
      <w:r>
        <w:rPr>
          <w:bCs/>
          <w:b/>
        </w:rPr>
        <w:t xml:space="preserve">graph database</w:t>
      </w:r>
      <w:r>
        <w:t xml:space="preserve"> </w:t>
      </w:r>
      <w:r>
        <w:t xml:space="preserve">is a map of who knows whom, in which walking from one person to a friend is a single step. A</w:t>
      </w:r>
      <w:r>
        <w:t xml:space="preserve"> </w:t>
      </w:r>
      <w:r>
        <w:rPr>
          <w:bCs/>
          <w:b/>
        </w:rPr>
        <w:t xml:space="preserve">time-series database</w:t>
      </w:r>
      <w:r>
        <w:t xml:space="preserve"> </w:t>
      </w:r>
      <w:r>
        <w:t xml:space="preserve">is a weather station’s logbook, written strictly in time order and summarized as it ages. Each is better than the library at one kind of question. This chapter teaches which question each family answers, how, and how to choose.</w:t>
      </w:r>
    </w:p>
    <w:bookmarkStart w:id="1307" w:name="learning-objectives-11"/>
    <w:p>
      <w:pPr>
        <w:pStyle w:val="Heading2"/>
      </w:pPr>
      <w:r>
        <w:t xml:space="preserve">12.1 Learning objectives</w:t>
      </w:r>
    </w:p>
    <w:p>
      <w:pPr>
        <w:pStyle w:val="FirstParagraph"/>
      </w:pPr>
      <w:r>
        <w:t xml:space="preserve">After this chapter you should be able to:</w:t>
      </w:r>
    </w:p>
    <w:p>
      <w:pPr>
        <w:numPr>
          <w:ilvl w:val="0"/>
          <w:numId w:val="1401"/>
        </w:numPr>
        <w:pStyle w:val="Compact"/>
      </w:pPr>
      <w:r>
        <w:t xml:space="preserve">Explain the pressures that produced NoSQL and the 2006–2010 papers that defined it.</w:t>
      </w:r>
    </w:p>
    <w:p>
      <w:pPr>
        <w:numPr>
          <w:ilvl w:val="0"/>
          <w:numId w:val="1401"/>
        </w:numPr>
        <w:pStyle w:val="Compact"/>
      </w:pPr>
      <w:r>
        <w:t xml:space="preserve">Describe the data model, internals and failure modes of key-value, document, wide-column, graph and time-series databases.</w:t>
      </w:r>
    </w:p>
    <w:p>
      <w:pPr>
        <w:numPr>
          <w:ilvl w:val="0"/>
          <w:numId w:val="1401"/>
        </w:numPr>
        <w:pStyle w:val="Compact"/>
      </w:pPr>
      <w:r>
        <w:t xml:space="preserve">Design a DynamoDB single-table schema from access patterns, and compute its capacity units and billing break-even.</w:t>
      </w:r>
    </w:p>
    <w:p>
      <w:pPr>
        <w:numPr>
          <w:ilvl w:val="0"/>
          <w:numId w:val="1401"/>
        </w:numPr>
        <w:pStyle w:val="Compact"/>
      </w:pPr>
      <w:r>
        <w:t xml:space="preserve">Model a Cassandra table query-first and size its partitions with the documented formula.</w:t>
      </w:r>
    </w:p>
    <w:p>
      <w:pPr>
        <w:numPr>
          <w:ilvl w:val="0"/>
          <w:numId w:val="1401"/>
        </w:numPr>
        <w:pStyle w:val="Compact"/>
      </w:pPr>
      <w:r>
        <w:t xml:space="preserve">Choose between embedding and referencing in MongoDB and order compound indexes by the equality–sort–range rule.</w:t>
      </w:r>
    </w:p>
    <w:p>
      <w:pPr>
        <w:numPr>
          <w:ilvl w:val="0"/>
          <w:numId w:val="1401"/>
        </w:numPr>
        <w:pStyle w:val="Compact"/>
      </w:pPr>
      <w:r>
        <w:t xml:space="preserve">Explain when index-free adjacency beats joins, and size a time-series store using Gorilla compression and downsampling.</w:t>
      </w:r>
    </w:p>
    <w:p>
      <w:pPr>
        <w:numPr>
          <w:ilvl w:val="0"/>
          <w:numId w:val="1401"/>
        </w:numPr>
        <w:pStyle w:val="Compact"/>
      </w:pPr>
      <w:r>
        <w:t xml:space="preserve">Apply a selection flowchart and design a polyglot-persistence architecture, accounting for its operational cost.</w:t>
      </w:r>
    </w:p>
    <w:bookmarkEnd w:id="1307"/>
    <w:bookmarkStart w:id="1308" w:name="prerequisites-11"/>
    <w:p>
      <w:pPr>
        <w:pStyle w:val="Heading2"/>
      </w:pPr>
      <w:r>
        <w:t xml:space="preserve">12.2 Prerequisites</w:t>
      </w:r>
    </w:p>
    <w:p>
      <w:pPr>
        <w:numPr>
          <w:ilvl w:val="0"/>
          <w:numId w:val="1402"/>
        </w:numPr>
        <w:pStyle w:val="Compact"/>
      </w:pPr>
      <w:r>
        <w:t xml:space="preserve">Relational model, joins, B-tree indexes and ACID — §11.3–§11.12 (NoSQL is defined by what it removes).</w:t>
      </w:r>
    </w:p>
    <w:p>
      <w:pPr>
        <w:numPr>
          <w:ilvl w:val="0"/>
          <w:numId w:val="1402"/>
        </w:numPr>
        <w:pStyle w:val="Compact"/>
      </w:pPr>
      <w:r>
        <w:t xml:space="preserve">Range and hash partitioning — §14.6 (every family here is partitioned).</w:t>
      </w:r>
    </w:p>
    <w:p>
      <w:pPr>
        <w:numPr>
          <w:ilvl w:val="0"/>
          <w:numId w:val="1402"/>
        </w:numPr>
        <w:pStyle w:val="Compact"/>
      </w:pPr>
      <w:r>
        <w:t xml:space="preserve">Latency numbers — §4.17 (why single-partition reads are fast and scatter-gather is not).</w:t>
      </w:r>
    </w:p>
    <w:p>
      <w:pPr>
        <w:numPr>
          <w:ilvl w:val="0"/>
          <w:numId w:val="1402"/>
        </w:numPr>
        <w:pStyle w:val="Compact"/>
      </w:pPr>
      <w:r>
        <w:t xml:space="preserve">Serialization formats — §8.9 (documents are serialized objects).</w:t>
      </w:r>
    </w:p>
    <w:p>
      <w:pPr>
        <w:numPr>
          <w:ilvl w:val="0"/>
          <w:numId w:val="1402"/>
        </w:numPr>
        <w:pStyle w:val="Compact"/>
      </w:pPr>
      <w:r>
        <w:t xml:space="preserve">Back-of-the-envelope estimation — §2.11.</w:t>
      </w:r>
    </w:p>
    <w:p>
      <w:pPr>
        <w:pStyle w:val="FirstParagraph"/>
      </w:pPr>
      <w:r>
        <w:t xml:space="preserve">Several topics appear here only in summary because another chapter owns them: log-structured merge trees (Chapter 13), replication and consistent hashing (Chapter 14, §14.8), quorums (§27.8), and consistency models (Chapter 25).</w:t>
      </w:r>
    </w:p>
    <w:bookmarkEnd w:id="1308"/>
    <w:bookmarkStart w:id="1317" w:name="why-nosql-emerged"/>
    <w:p>
      <w:pPr>
        <w:pStyle w:val="Heading2"/>
      </w:pPr>
      <w:r>
        <w:t xml:space="preserve">12.3 Why NoSQL emerged</w:t>
      </w:r>
    </w:p>
    <w:bookmarkStart w:id="1311" w:name="Xae220636b4d358b422a7cc9c0fbbfa14926895a"/>
    <w:p>
      <w:pPr>
        <w:pStyle w:val="Heading3"/>
      </w:pPr>
      <w:r>
        <w:t xml:space="preserve">12.3.1 Three pressures on the relational database</w:t>
      </w:r>
    </w:p>
    <w:p>
      <w:pPr>
        <w:pStyle w:val="CalloutDefinition"/>
      </w:pPr>
      <w:r>
        <w:rPr>
          <w:bCs/>
          <w:b/>
        </w:rPr>
        <w:t xml:space="preserve">DEFINITION</w:t>
      </w:r>
    </w:p>
    <w:p>
      <w:pPr>
        <w:pStyle w:val="CalloutDefinition"/>
      </w:pPr>
      <w:r>
        <w:rPr>
          <w:bCs/>
          <w:b/>
        </w:rPr>
        <w:t xml:space="preserve">Definition — NoSQL database.</w:t>
      </w:r>
      <w:r>
        <w:t xml:space="preserve"> </w:t>
      </w:r>
      <w:r>
        <w:t xml:space="preserve">A database that does not use the relational table-and-join model as its primary data model and typically trades some combination of cross-record transactions, ad-hoc querying and fixed schemas for horizontal scale-out, flexible schemas or availability during failures. The name is usually read as</w:t>
      </w:r>
      <w:r>
        <w:t xml:space="preserve"> </w:t>
      </w:r>
      <w:r>
        <w:t xml:space="preserve">“</w:t>
      </w:r>
      <w:r>
        <w:t xml:space="preserve">not only SQL</w:t>
      </w:r>
      <w:r>
        <w:t xml:space="preserve">”</w:t>
      </w:r>
      <w:r>
        <w:t xml:space="preserve">; it describes a movement, not a specification.</w:t>
      </w:r>
    </w:p>
    <w:bookmarkStart w:id="1309" w:name="first-principles-explanation-72"/>
    <w:p>
      <w:pPr>
        <w:pStyle w:val="Heading4"/>
      </w:pPr>
      <w:r>
        <w:t xml:space="preserve">First-principles explanation</w:t>
      </w:r>
    </w:p>
    <w:p>
      <w:pPr>
        <w:pStyle w:val="FirstParagraph"/>
      </w:pPr>
      <w:r>
        <w:t xml:space="preserve">A single relational server is a kitchen with one head chef: orders are consistent because one person sees everything. A stadium caterer serving 100,000 meals an hour must open many kitchens, and then</w:t>
      </w:r>
      <w:r>
        <w:t xml:space="preserve"> </w:t>
      </w:r>
      <w:r>
        <w:t xml:space="preserve">“</w:t>
      </w:r>
      <w:r>
        <w:t xml:space="preserve">consistent at every instant</w:t>
      </w:r>
      <w:r>
        <w:t xml:space="preserve">”</w:t>
      </w:r>
      <w:r>
        <w:t xml:space="preserve"> </w:t>
      </w:r>
      <w:r>
        <w:t xml:space="preserve">requires the kitchens to phone each other before every plate leaves — over phone lines that sometimes go down. NoSQL systems are the designs that accept many kitchens as the starting point.</w:t>
      </w:r>
    </w:p>
    <w:bookmarkEnd w:id="1309"/>
    <w:bookmarkStart w:id="1310" w:name="why-does-this-exist-40"/>
    <w:p>
      <w:pPr>
        <w:pStyle w:val="Heading4"/>
      </w:pPr>
      <w:r>
        <w:t xml:space="preserve">Why does this exist?</w:t>
      </w:r>
    </w:p>
    <w:p>
      <w:pPr>
        <w:pStyle w:val="FirstParagraph"/>
      </w:pPr>
      <w:r>
        <w:t xml:space="preserve">Three pressures arrived together between roughly 2004 and 2010:</w:t>
      </w:r>
    </w:p>
    <w:p>
      <w:pPr>
        <w:numPr>
          <w:ilvl w:val="0"/>
          <w:numId w:val="1403"/>
        </w:numPr>
        <w:pStyle w:val="Compact"/>
      </w:pPr>
      <w:r>
        <w:rPr>
          <w:bCs/>
          <w:b/>
        </w:rPr>
        <w:t xml:space="preserve">Scale-out.</w:t>
      </w:r>
      <w:r>
        <w:t xml:space="preserve"> </w:t>
      </w:r>
      <w:r>
        <w:t xml:space="preserve">Data and traffic outgrew the largest single server; commodity servers were cheap, very large ones were not. A relational database can be sharded by hand (§14.7), but cross-partition joins and transactions become slow or unavailable and the application inherits the routing logic. If most requests touch one entity, why not partition by that entity natively?</w:t>
      </w:r>
    </w:p>
    <w:p>
      <w:pPr>
        <w:numPr>
          <w:ilvl w:val="0"/>
          <w:numId w:val="1403"/>
        </w:numPr>
        <w:pStyle w:val="Compact"/>
      </w:pPr>
      <w:r>
        <w:rPr>
          <w:bCs/>
          <w:b/>
        </w:rPr>
        <w:t xml:space="preserve">Schema flexibility.</w:t>
      </w:r>
      <w:r>
        <w:t xml:space="preserve"> </w:t>
      </w:r>
      <w:r>
        <w:t xml:space="preserve">Product teams changed their data shape weekly, and</w:t>
      </w:r>
      <w:r>
        <w:t xml:space="preserve"> </w:t>
      </w:r>
      <w:r>
        <w:rPr>
          <w:rStyle w:val="VerbatimChar"/>
        </w:rPr>
        <w:t xml:space="preserve">ALTER TABLE</w:t>
      </w:r>
      <w:r>
        <w:t xml:space="preserve"> </w:t>
      </w:r>
      <w:r>
        <w:t xml:space="preserve">on a multi-terabyte table in 2008-era MySQL could lock or rewrite it for hours. Self-describing records let each record carry its own shape.</w:t>
      </w:r>
    </w:p>
    <w:p>
      <w:pPr>
        <w:numPr>
          <w:ilvl w:val="0"/>
          <w:numId w:val="1403"/>
        </w:numPr>
        <w:pStyle w:val="Compact"/>
      </w:pPr>
      <w:r>
        <w:rPr>
          <w:bCs/>
          <w:b/>
        </w:rPr>
        <w:t xml:space="preserve">Availability.</w:t>
      </w:r>
      <w:r>
        <w:t xml:space="preserve"> </w:t>
      </w:r>
      <w:r>
        <w:t xml:space="preserve">During a network partition a replicated system must either reject some requests or accept writes that may conflict — the trade-off formalized as the CAP theorem [Brewer 2000; Gilbert &amp; Lynch 2002] and treated in §25.8. Several NoSQL systems chose to stay writable, because a failed</w:t>
      </w:r>
      <w:r>
        <w:t xml:space="preserve"> </w:t>
      </w:r>
      <w:r>
        <w:t xml:space="preserve">“</w:t>
      </w:r>
      <w:r>
        <w:t xml:space="preserve">add to cart</w:t>
      </w:r>
      <w:r>
        <w:t xml:space="preserve">”</w:t>
      </w:r>
      <w:r>
        <w:t xml:space="preserve"> </w:t>
      </w:r>
      <w:r>
        <w:t xml:space="preserve">loses money.</w:t>
      </w:r>
    </w:p>
    <w:p>
      <w:pPr>
        <w:pStyle w:val="FirstParagraph"/>
      </w:pPr>
      <w:r>
        <w:t xml:space="preserve">A fourth argument came from researchers: Stonebraker and Çetintemel argued that</w:t>
      </w:r>
      <w:r>
        <w:t xml:space="preserve"> </w:t>
      </w:r>
      <w:r>
        <w:t xml:space="preserve">“</w:t>
      </w:r>
      <w:r>
        <w:t xml:space="preserve">one size fits all</w:t>
      </w:r>
      <w:r>
        <w:t xml:space="preserve">”</w:t>
      </w:r>
      <w:r>
        <w:t xml:space="preserve"> </w:t>
      </w:r>
      <w:r>
        <w:t xml:space="preserve">was over and that specialized engines would beat a general row store by an order of magnitude on their own workloads [Stonebraker &amp; Çetintemel 2005; Stonebraker et al. 2007]. NoSQL is one branch of that specialization.</w:t>
      </w:r>
    </w:p>
    <w:bookmarkEnd w:id="1310"/>
    <w:bookmarkEnd w:id="1311"/>
    <w:bookmarkStart w:id="1315" w:name="the-papers-that-defined-the-movement"/>
    <w:p>
      <w:pPr>
        <w:pStyle w:val="Heading3"/>
      </w:pPr>
      <w:r>
        <w:t xml:space="preserve">12.3.2 The papers that defined the movement</w:t>
      </w:r>
    </w:p>
    <w:p>
      <w:pPr>
        <w:pStyle w:val="FirstParagraph"/>
      </w:pPr>
      <w:r>
        <w:t xml:space="preserve">Four publications supplied most of the ideas that later products copied:</w:t>
      </w:r>
    </w:p>
    <w:p>
      <w:pPr>
        <w:numPr>
          <w:ilvl w:val="0"/>
          <w:numId w:val="1404"/>
        </w:numPr>
        <w:pStyle w:val="Compact"/>
      </w:pPr>
      <w:r>
        <w:rPr>
          <w:bCs/>
          <w:b/>
        </w:rPr>
        <w:t xml:space="preserve">Bigtable</w:t>
      </w:r>
      <w:r>
        <w:t xml:space="preserve"> </w:t>
      </w:r>
      <w:r>
        <w:t xml:space="preserve">(Google, OSDI 2006) —</w:t>
      </w:r>
      <w:r>
        <w:t xml:space="preserve"> </w:t>
      </w:r>
      <w:r>
        <w:t xml:space="preserve">“</w:t>
      </w:r>
      <w:r>
        <w:t xml:space="preserve">a sparse, distributed, persistent multidimensional sorted map</w:t>
      </w:r>
      <w:r>
        <w:t xml:space="preserve">”</w:t>
      </w:r>
      <w:r>
        <w:t xml:space="preserve"> </w:t>
      </w:r>
      <w:r>
        <w:t xml:space="preserve">indexed by row key, column key and timestamp, stored as immutable files on GFS [Chang et al. 2006]. It is the ancestor of HBase, Cassandra’s storage model and Google Cloud Bigtable.</w:t>
      </w:r>
    </w:p>
    <w:p>
      <w:pPr>
        <w:numPr>
          <w:ilvl w:val="0"/>
          <w:numId w:val="1404"/>
        </w:numPr>
        <w:pStyle w:val="Compact"/>
      </w:pPr>
      <w:r>
        <w:rPr>
          <w:bCs/>
          <w:b/>
        </w:rPr>
        <w:t xml:space="preserve">Dynamo</w:t>
      </w:r>
      <w:r>
        <w:t xml:space="preserve"> </w:t>
      </w:r>
      <w:r>
        <w:t xml:space="preserve">(Amazon, SOSP 2007) — an</w:t>
      </w:r>
      <w:r>
        <w:t xml:space="preserve"> </w:t>
      </w:r>
      <w:r>
        <w:t xml:space="preserve">“</w:t>
      </w:r>
      <w:r>
        <w:t xml:space="preserve">always writeable</w:t>
      </w:r>
      <w:r>
        <w:t xml:space="preserve">”</w:t>
      </w:r>
      <w:r>
        <w:t xml:space="preserve"> </w:t>
      </w:r>
      <w:r>
        <w:t xml:space="preserve">key-value store for the shopping cart, combining consistent hashing, replication across N nodes, sloppy quorums, hinted handoff, vector clocks and Merkle-tree anti-entropy [DeCandia et al. 2007]. Its ideas live on in Cassandra, Riak and Voldemort; Amazon’s managed DynamoDB service shares the name and lessons but a different, leader-based design [Elhemali et al. 2022].</w:t>
      </w:r>
    </w:p>
    <w:p>
      <w:pPr>
        <w:numPr>
          <w:ilvl w:val="0"/>
          <w:numId w:val="1404"/>
        </w:numPr>
        <w:pStyle w:val="Compact"/>
      </w:pPr>
      <w:r>
        <w:rPr>
          <w:bCs/>
          <w:b/>
        </w:rPr>
        <w:t xml:space="preserve">PNUTS</w:t>
      </w:r>
      <w:r>
        <w:t xml:space="preserve"> </w:t>
      </w:r>
      <w:r>
        <w:t xml:space="preserve">(Yahoo!, VLDB 2008) — geographically replicated tables with per-record timeline consistency [Cooper et al. 2008].</w:t>
      </w:r>
    </w:p>
    <w:p>
      <w:pPr>
        <w:numPr>
          <w:ilvl w:val="0"/>
          <w:numId w:val="1404"/>
        </w:numPr>
        <w:pStyle w:val="Compact"/>
      </w:pPr>
      <w:r>
        <w:rPr>
          <w:bCs/>
          <w:b/>
        </w:rPr>
        <w:t xml:space="preserve">Cassandra</w:t>
      </w:r>
      <w:r>
        <w:t xml:space="preserve"> </w:t>
      </w:r>
      <w:r>
        <w:t xml:space="preserve">(Facebook, LADIS 2009; SIGOPS OSR 2010) — Dynamo’s distribution design married to Bigtable’s data model, built for Facebook’s inbox search [Lakshman &amp; Malik 2010].</w:t>
      </w:r>
    </w:p>
    <w:p>
      <w:pPr>
        <w:pStyle w:val="FirstParagraph"/>
      </w:pPr>
      <w:r>
        <w:t xml:space="preserve">Open-source projects followed: CouchDB (2005), HBase (2008), MongoDB and Redis (2009). The label came from a 2009 San Francisco meetup on distributed, non-relational databases organized by Johan Oskarsson, who needed a Twitter hashtag [Sadalage &amp; Fowler 2012].</w:t>
      </w:r>
    </w:p>
    <w:p>
      <w:pPr>
        <w:pStyle w:val="BodyText"/>
      </w:pPr>
      <w:r>
        <w:rPr>
          <w:bCs/>
          <w:b/>
        </w:rPr>
        <w:t xml:space="preserve">Figure 12.1 — Forces that produced NoSQL and the design responses.</w:t>
      </w:r>
    </w:p>
    <w:p>
      <w:pPr>
        <w:pStyle w:val="BodyText"/>
      </w:pPr>
      <w:r>
        <w:drawing>
          <wp:inline>
            <wp:extent cx="5334000" cy="5422099"/>
            <wp:effectExtent b="0" l="0" r="0" t="0"/>
            <wp:docPr descr="" title="" id="1313" name="Picture"/>
            <a:graphic>
              <a:graphicData uri="http://schemas.openxmlformats.org/drawingml/2006/picture">
                <pic:pic>
                  <pic:nvPicPr>
                    <pic:cNvPr descr="/home/user/System-Design/build/.cache/diagrams/f681b365f899.png" id="1314" name="Picture"/>
                    <pic:cNvPicPr>
                      <a:picLocks noChangeArrowheads="1" noChangeAspect="1"/>
                    </pic:cNvPicPr>
                  </pic:nvPicPr>
                  <pic:blipFill>
                    <a:blip r:embed="rId1312"/>
                    <a:stretch>
                      <a:fillRect/>
                    </a:stretch>
                  </pic:blipFill>
                  <pic:spPr bwMode="auto">
                    <a:xfrm>
                      <a:off x="0" y="0"/>
                      <a:ext cx="5334000" cy="5422099"/>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Pressures (left) led to design responses (middle), embodied by database families (cylinders); arrows mean</w:t>
      </w:r>
      <w:r>
        <w:t xml:space="preserve"> </w:t>
      </w:r>
      <w:r>
        <w:t xml:space="preserve">“</w:t>
      </w:r>
      <w:r>
        <w:t xml:space="preserve">led to</w:t>
      </w:r>
      <w:r>
        <w:t xml:space="preserve">”</w:t>
      </w:r>
      <w:r>
        <w:t xml:space="preserve">, not data flow. One family can answer several pressures: wide-column stores partition natively, tolerate sparse schemas and, in Cassandra’s case, stay writable during failures. The bottom row is the</w:t>
      </w:r>
      <w:r>
        <w:t xml:space="preserve"> </w:t>
      </w:r>
      <w:r>
        <w:t xml:space="preserve">“</w:t>
      </w:r>
      <w:r>
        <w:t xml:space="preserve">one size does not fit all</w:t>
      </w:r>
      <w:r>
        <w:t xml:space="preserve">”</w:t>
      </w:r>
      <w:r>
        <w:t xml:space="preserve"> </w:t>
      </w:r>
      <w:r>
        <w:t xml:space="preserve">argument: graphs, metrics and text differ so much from row lookups that a specialized layout wins. There are no storage boundaries or failure paths here; each family’s failure modes appear in its own section.</w:t>
      </w:r>
    </w:p>
    <w:bookmarkEnd w:id="1315"/>
    <w:bookmarkStart w:id="1316" w:name="what-was-given-up-and-what-came-back"/>
    <w:p>
      <w:pPr>
        <w:pStyle w:val="Heading3"/>
      </w:pPr>
      <w:r>
        <w:t xml:space="preserve">12.3.3 What was given up, and what came back</w:t>
      </w:r>
    </w:p>
    <w:p>
      <w:pPr>
        <w:pStyle w:val="FirstParagraph"/>
      </w:pPr>
      <w:r>
        <w:t xml:space="preserve">Early systems typically gave up</w:t>
      </w:r>
      <w:r>
        <w:t xml:space="preserve"> </w:t>
      </w:r>
      <w:r>
        <w:rPr>
          <w:bCs/>
          <w:b/>
        </w:rPr>
        <w:t xml:space="preserve">joins</w:t>
      </w:r>
      <w:r>
        <w:t xml:space="preserve"> </w:t>
      </w:r>
      <w:r>
        <w:t xml:space="preserve">(the application stores data pre-joined),</w:t>
      </w:r>
      <w:r>
        <w:t xml:space="preserve"> </w:t>
      </w:r>
      <w:r>
        <w:rPr>
          <w:bCs/>
          <w:b/>
        </w:rPr>
        <w:t xml:space="preserve">multi-record transactions</w:t>
      </w:r>
      <w:r>
        <w:t xml:space="preserve"> </w:t>
      </w:r>
      <w:r>
        <w:t xml:space="preserve">(atomicity only within one key, row or document) and</w:t>
      </w:r>
      <w:r>
        <w:t xml:space="preserve"> </w:t>
      </w:r>
      <w:r>
        <w:rPr>
          <w:bCs/>
          <w:b/>
        </w:rPr>
        <w:t xml:space="preserve">ad-hoc queries</w:t>
      </w:r>
      <w:r>
        <w:t xml:space="preserve"> </w:t>
      </w:r>
      <w:r>
        <w:t xml:space="preserve">(you query by designed keys, or scan). Many defaulted to</w:t>
      </w:r>
      <w:r>
        <w:t xml:space="preserve"> </w:t>
      </w:r>
      <w:r>
        <w:rPr>
          <w:bCs/>
          <w:b/>
        </w:rPr>
        <w:t xml:space="preserve">eventual consistency</w:t>
      </w:r>
      <w:r>
        <w:t xml:space="preserve"> </w:t>
      </w:r>
      <w:r>
        <w:t xml:space="preserve">— replicas converge if writes stop (§25.7).</w:t>
      </w:r>
    </w:p>
    <w:p>
      <w:pPr>
        <w:pStyle w:val="BodyText"/>
      </w:pPr>
      <w:r>
        <w:t xml:space="preserve">The pendulum then swung back: MongoDB 4.0 and DynamoDB added transactions in 2018, Cassandra added Paxos-based lightweight transactions, and the</w:t>
      </w:r>
      <w:r>
        <w:t xml:space="preserve"> </w:t>
      </w:r>
      <w:r>
        <w:rPr>
          <w:bCs/>
          <w:b/>
        </w:rPr>
        <w:t xml:space="preserve">NewSQL</w:t>
      </w:r>
      <w:r>
        <w:t xml:space="preserve"> </w:t>
      </w:r>
      <w:r>
        <w:t xml:space="preserve">systems of §12.11 showed that scalable, strongly consistent SQL is possible at a latency cost. The useful question today is</w:t>
      </w:r>
      <w:r>
        <w:t xml:space="preserve"> </w:t>
      </w:r>
      <w:r>
        <w:t xml:space="preserve">“</w:t>
      </w:r>
      <w:r>
        <w:t xml:space="preserve">which data model and consistency guarantees fit this access pattern?</w:t>
      </w:r>
      <w:r>
        <w:t xml:space="preserve">”</w:t>
      </w:r>
      <w:r>
        <w:t xml:space="preserve"> </w:t>
      </w:r>
      <w:r>
        <w:t xml:space="preserve">— answered in §12.12.</w:t>
      </w:r>
    </w:p>
    <w:p>
      <w:pPr>
        <w:pStyle w:val="CalloutConcept"/>
      </w:pPr>
      <w:r>
        <w:rPr>
          <w:bCs/>
          <w:b/>
        </w:rPr>
        <w:t xml:space="preserve">KEY CONCEPT</w:t>
      </w:r>
    </w:p>
    <w:p>
      <w:pPr>
        <w:pStyle w:val="CalloutConcept"/>
      </w:pPr>
      <w:r>
        <w:rPr>
          <w:bCs/>
          <w:b/>
        </w:rPr>
        <w:t xml:space="preserve">Key insight — Aggregate orientation.</w:t>
      </w:r>
      <w:r>
        <w:t xml:space="preserve"> </w:t>
      </w:r>
      <w:r>
        <w:t xml:space="preserve">Key-value, document and wide-column databases store an</w:t>
      </w:r>
      <w:r>
        <w:t xml:space="preserve"> </w:t>
      </w:r>
      <w:r>
        <w:rPr>
          <w:bCs/>
          <w:b/>
        </w:rPr>
        <w:t xml:space="preserve">aggregate</w:t>
      </w:r>
      <w:r>
        <w:t xml:space="preserve"> </w:t>
      </w:r>
      <w:r>
        <w:t xml:space="preserve">— related data read and written as a unit, such as an order with its line items — under one key, and atomicity, partitioning and replication happen per aggregate [Sadalage &amp; Fowler 2012]. When access patterns follow aggregates these stores scale linearly; slicing across aggregates in unforeseen ways calls for a relational model. Graph databases are relationship-oriented instead.</w:t>
      </w:r>
    </w:p>
    <w:p>
      <w:pPr>
        <w:pStyle w:val="CalloutMistake"/>
      </w:pPr>
      <w:r>
        <w:rPr>
          <w:bCs/>
          <w:b/>
        </w:rPr>
        <w:t xml:space="preserve">COMMON MISTAKE</w:t>
      </w:r>
    </w:p>
    <w:p>
      <w:pPr>
        <w:pStyle w:val="CalloutMistake"/>
      </w:pPr>
      <w:r>
        <w:rPr>
          <w:bCs/>
          <w:b/>
        </w:rPr>
        <w:t xml:space="preserve">“</w:t>
      </w:r>
      <w:r>
        <w:rPr>
          <w:bCs/>
          <w:b/>
        </w:rPr>
        <w:t xml:space="preserve">NoSQL means no schema.</w:t>
      </w:r>
      <w:r>
        <w:rPr>
          <w:bCs/>
          <w:b/>
        </w:rPr>
        <w:t xml:space="preserve">”</w:t>
      </w:r>
      <w:r>
        <w:t xml:space="preserve"> </w:t>
      </w:r>
      <w:r>
        <w:t xml:space="preserve">The schema still exists, in the code that reads the data:</w:t>
      </w:r>
      <w:r>
        <w:t xml:space="preserve"> </w:t>
      </w:r>
      <w:r>
        <w:rPr>
          <w:bCs/>
          <w:b/>
        </w:rPr>
        <w:t xml:space="preserve">schema-on-read</w:t>
      </w:r>
      <w:r>
        <w:t xml:space="preserve"> </w:t>
      </w:r>
      <w:r>
        <w:t xml:space="preserve">rather than the relational</w:t>
      </w:r>
      <w:r>
        <w:t xml:space="preserve"> </w:t>
      </w:r>
      <w:r>
        <w:rPr>
          <w:bCs/>
          <w:b/>
        </w:rPr>
        <w:t xml:space="preserve">schema-on-write</w:t>
      </w:r>
      <w:r>
        <w:t xml:space="preserve"> </w:t>
      </w:r>
      <w:r>
        <w:t xml:space="preserve">[Kleppmann 2017, ch. 2]. Evolving records become easy, but every reader must handle every historical shape, so mature deployments add validation (MongoDB’s</w:t>
      </w:r>
      <w:r>
        <w:t xml:space="preserve"> </w:t>
      </w:r>
      <w:r>
        <w:rPr>
          <w:rStyle w:val="VerbatimChar"/>
        </w:rPr>
        <w:t xml:space="preserve">$jsonSchema</w:t>
      </w:r>
      <w:r>
        <w:t xml:space="preserve">, typed CQL tables).</w:t>
      </w:r>
    </w:p>
    <w:p>
      <w:pPr>
        <w:pStyle w:val="CalloutMistake"/>
      </w:pPr>
      <w:r>
        <w:rPr>
          <w:bCs/>
          <w:b/>
        </w:rPr>
        <w:t xml:space="preserve">COMMON MISTAKE</w:t>
      </w:r>
    </w:p>
    <w:p>
      <w:pPr>
        <w:pStyle w:val="CalloutMistake"/>
      </w:pPr>
      <w:r>
        <w:rPr>
          <w:bCs/>
          <w:b/>
        </w:rPr>
        <w:t xml:space="preserve">“</w:t>
      </w:r>
      <w:r>
        <w:rPr>
          <w:bCs/>
          <w:b/>
        </w:rPr>
        <w:t xml:space="preserve">NoSQL is faster than SQL.</w:t>
      </w:r>
      <w:r>
        <w:rPr>
          <w:bCs/>
          <w:b/>
        </w:rPr>
        <w:t xml:space="preserve">”</w:t>
      </w:r>
      <w:r>
        <w:t xml:space="preserve"> </w:t>
      </w:r>
      <w:r>
        <w:t xml:space="preserve">A cached PostgreSQL key lookup takes tens of microseconds, like a NoSQL lookup. NoSQL systems keep latency</w:t>
      </w:r>
      <w:r>
        <w:t xml:space="preserve"> </w:t>
      </w:r>
      <w:r>
        <w:rPr>
          <w:iCs/>
          <w:i/>
        </w:rPr>
        <w:t xml:space="preserve">flat</w:t>
      </w:r>
      <w:r>
        <w:t xml:space="preserve"> </w:t>
      </w:r>
      <w:r>
        <w:t xml:space="preserve">as data grows, by partitioning and by making expensive operations (joins, scans) impossible or explicit.</w:t>
      </w:r>
    </w:p>
    <w:bookmarkEnd w:id="1316"/>
    <w:bookmarkEnd w:id="1317"/>
    <w:bookmarkStart w:id="1338" w:name="key-value-stores"/>
    <w:p>
      <w:pPr>
        <w:pStyle w:val="Heading2"/>
      </w:pPr>
      <w:r>
        <w:t xml:space="preserve">12.4 Key-value stores</w:t>
      </w:r>
    </w:p>
    <w:bookmarkStart w:id="1320" w:name="the-key-value-model"/>
    <w:p>
      <w:pPr>
        <w:pStyle w:val="Heading3"/>
      </w:pPr>
      <w:r>
        <w:t xml:space="preserve">12.4.1 The key-value model</w:t>
      </w:r>
    </w:p>
    <w:p>
      <w:pPr>
        <w:pStyle w:val="CalloutDefinition"/>
      </w:pPr>
      <w:r>
        <w:rPr>
          <w:bCs/>
          <w:b/>
        </w:rPr>
        <w:t xml:space="preserve">DEFINITION</w:t>
      </w:r>
    </w:p>
    <w:p>
      <w:pPr>
        <w:pStyle w:val="CalloutDefinition"/>
      </w:pPr>
      <w:r>
        <w:rPr>
          <w:bCs/>
          <w:b/>
        </w:rPr>
        <w:t xml:space="preserve">Definition — Key-value store.</w:t>
      </w:r>
      <w:r>
        <w:t xml:space="preserve"> </w:t>
      </w:r>
      <w:r>
        <w:t xml:space="preserve">A database whose primary interface is</w:t>
      </w:r>
      <w:r>
        <w:t xml:space="preserve"> </w:t>
      </w:r>
      <w:r>
        <w:rPr>
          <w:rStyle w:val="VerbatimChar"/>
        </w:rPr>
        <w:t xml:space="preserve">get(key)</w:t>
      </w:r>
      <w:r>
        <w:t xml:space="preserve">,</w:t>
      </w:r>
      <w:r>
        <w:t xml:space="preserve"> </w:t>
      </w:r>
      <w:r>
        <w:rPr>
          <w:rStyle w:val="VerbatimChar"/>
        </w:rPr>
        <w:t xml:space="preserve">put(key, value)</w:t>
      </w:r>
      <w:r>
        <w:t xml:space="preserve"> </w:t>
      </w:r>
      <w:r>
        <w:t xml:space="preserve">and</w:t>
      </w:r>
      <w:r>
        <w:t xml:space="preserve"> </w:t>
      </w:r>
      <w:r>
        <w:rPr>
          <w:rStyle w:val="VerbatimChar"/>
        </w:rPr>
        <w:t xml:space="preserve">delete(key)</w:t>
      </w:r>
      <w:r>
        <w:t xml:space="preserve">, where the value is opaque to the database or has a small set of built-in types. The key alone determines where the value lives.</w:t>
      </w:r>
    </w:p>
    <w:bookmarkStart w:id="1318" w:name="first-principles-explanation-73"/>
    <w:p>
      <w:pPr>
        <w:pStyle w:val="Heading4"/>
      </w:pPr>
      <w:r>
        <w:t xml:space="preserve">First-principles explanation</w:t>
      </w:r>
    </w:p>
    <w:p>
      <w:pPr>
        <w:pStyle w:val="FirstParagraph"/>
      </w:pPr>
      <w:r>
        <w:t xml:space="preserve">A coat check is a key-value store: hand over a coat, get ticket 217, later exchange 217 for the coat. The attendant never looks in the pockets, which is why it is fast and why you cannot ask</w:t>
      </w:r>
      <w:r>
        <w:t xml:space="preserve"> </w:t>
      </w:r>
      <w:r>
        <w:t xml:space="preserve">“</w:t>
      </w:r>
      <w:r>
        <w:t xml:space="preserve">which coats have gloves?</w:t>
      </w:r>
      <w:r>
        <w:t xml:space="preserve">”</w:t>
      </w:r>
      <w:r>
        <w:t xml:space="preserve">. Because the ticket alone says which rack holds the coat, you can add racks and attendants who never talk to each other.</w:t>
      </w:r>
    </w:p>
    <w:bookmarkEnd w:id="1318"/>
    <w:bookmarkStart w:id="1319" w:name="why-does-this-exist-41"/>
    <w:p>
      <w:pPr>
        <w:pStyle w:val="Heading4"/>
      </w:pPr>
      <w:r>
        <w:t xml:space="preserve">Why does this exist?</w:t>
      </w:r>
    </w:p>
    <w:p>
      <w:pPr>
        <w:pStyle w:val="FirstParagraph"/>
      </w:pPr>
      <w:r>
        <w:t xml:space="preserve">Many hot paths are pure lookups by identifier: session by ID, cart by user, rate-limit counter by API key. For these, a query planner and joins are overhead. Removing them makes partitioning trivial —</w:t>
      </w:r>
      <w:r>
        <w:t xml:space="preserve"> </w:t>
      </w:r>
      <w:r>
        <w:rPr>
          <w:rStyle w:val="VerbatimChar"/>
        </w:rPr>
        <w:t xml:space="preserve">hash(key) mod P</w:t>
      </w:r>
      <w:r>
        <w:t xml:space="preserve">, or consistent hashing (§14.8) — and keeps latency flat at any scale.</w:t>
      </w:r>
      <w:r>
        <w:t xml:space="preserve"> </w:t>
      </w:r>
      <w:r>
        <w:rPr>
          <w:bCs/>
          <w:b/>
        </w:rPr>
        <w:t xml:space="preserve">In-memory stores</w:t>
      </w:r>
      <w:r>
        <w:t xml:space="preserve"> </w:t>
      </w:r>
      <w:r>
        <w:t xml:space="preserve">such as Redis and Memcached give sub-millisecond latency and usually hold caches or ephemeral state (§20.6);</w:t>
      </w:r>
      <w:r>
        <w:t xml:space="preserve"> </w:t>
      </w:r>
      <w:r>
        <w:rPr>
          <w:bCs/>
          <w:b/>
        </w:rPr>
        <w:t xml:space="preserve">durable distributed key-value databases</w:t>
      </w:r>
      <w:r>
        <w:t xml:space="preserve"> </w:t>
      </w:r>
      <w:r>
        <w:t xml:space="preserve">such as DynamoDB, Riak and FoundationDB persist across replicas and act as a system of record.</w:t>
      </w:r>
    </w:p>
    <w:bookmarkEnd w:id="1319"/>
    <w:bookmarkEnd w:id="1320"/>
    <w:bookmarkStart w:id="1321" w:name="redis-a-data-structure-server"/>
    <w:p>
      <w:pPr>
        <w:pStyle w:val="Heading3"/>
      </w:pPr>
      <w:r>
        <w:t xml:space="preserve">12.4.2 Redis: a data-structure server</w:t>
      </w:r>
    </w:p>
    <w:p>
      <w:pPr>
        <w:pStyle w:val="FirstParagraph"/>
      </w:pPr>
      <w:r>
        <w:t xml:space="preserve">Redis values are typed data structures, and commands execute one at a time on a main thread, so each command —</w:t>
      </w:r>
      <w:r>
        <w:t xml:space="preserve"> </w:t>
      </w:r>
      <w:r>
        <w:rPr>
          <w:rStyle w:val="VerbatimChar"/>
        </w:rPr>
        <w:t xml:space="preserve">INCR</w:t>
      </w:r>
      <w:r>
        <w:t xml:space="preserve">,</w:t>
      </w:r>
      <w:r>
        <w:t xml:space="preserve"> </w:t>
      </w:r>
      <w:r>
        <w:rPr>
          <w:rStyle w:val="VerbatimChar"/>
        </w:rPr>
        <w:t xml:space="preserve">ZADD</w:t>
      </w:r>
      <w:r>
        <w:t xml:space="preserve"> </w:t>
      </w:r>
      <w:r>
        <w:t xml:space="preserve">— is atomic without locks.</w:t>
      </w:r>
    </w:p>
    <w:p>
      <w:pPr>
        <w:pStyle w:val="BodyText"/>
      </w:pPr>
      <w:r>
        <w:rPr>
          <w:bCs/>
          <w:b/>
        </w:rPr>
        <w:t xml:space="preserve">Table 12.1 — Redis value types and what they are for.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Type</w:t>
            </w:r>
          </w:p>
        </w:tc>
        <w:tc>
          <w:tcPr/>
          <w:p>
            <w:pPr>
              <w:pStyle w:val="Compact"/>
              <w:jc w:val="left"/>
            </w:pPr>
            <w:r>
              <w:t xml:space="preserve">Example command</w:t>
            </w:r>
          </w:p>
        </w:tc>
        <w:tc>
          <w:tcPr/>
          <w:p>
            <w:pPr>
              <w:pStyle w:val="Compact"/>
              <w:jc w:val="left"/>
            </w:pPr>
            <w:r>
              <w:t xml:space="preserve">Typical use</w:t>
            </w:r>
          </w:p>
        </w:tc>
      </w:tr>
      <w:tr>
        <w:tc>
          <w:tcPr/>
          <w:p>
            <w:pPr>
              <w:pStyle w:val="Compact"/>
              <w:jc w:val="left"/>
            </w:pPr>
            <w:r>
              <w:t xml:space="preserve">String</w:t>
            </w:r>
          </w:p>
        </w:tc>
        <w:tc>
          <w:tcPr/>
          <w:p>
            <w:pPr>
              <w:pStyle w:val="Compact"/>
              <w:jc w:val="left"/>
            </w:pPr>
            <w:r>
              <w:rPr>
                <w:rStyle w:val="VerbatimChar"/>
              </w:rPr>
              <w:t xml:space="preserve">SET session:9f3 "{...}" EX 1800</w:t>
            </w:r>
          </w:p>
        </w:tc>
        <w:tc>
          <w:tcPr/>
          <w:p>
            <w:pPr>
              <w:pStyle w:val="Compact"/>
              <w:jc w:val="left"/>
            </w:pPr>
            <w:r>
              <w:t xml:space="preserve">Cached objects, sessions with TTL</w:t>
            </w:r>
          </w:p>
        </w:tc>
      </w:tr>
      <w:tr>
        <w:tc>
          <w:tcPr/>
          <w:p>
            <w:pPr>
              <w:pStyle w:val="Compact"/>
              <w:jc w:val="left"/>
            </w:pPr>
            <w:r>
              <w:t xml:space="preserve">Hash</w:t>
            </w:r>
          </w:p>
        </w:tc>
        <w:tc>
          <w:tcPr/>
          <w:p>
            <w:pPr>
              <w:pStyle w:val="Compact"/>
              <w:jc w:val="left"/>
            </w:pPr>
            <w:r>
              <w:rPr>
                <w:rStyle w:val="VerbatimChar"/>
              </w:rPr>
              <w:t xml:space="preserve">HSET user:42 name Ana plan pro</w:t>
            </w:r>
          </w:p>
        </w:tc>
        <w:tc>
          <w:tcPr/>
          <w:p>
            <w:pPr>
              <w:pStyle w:val="Compact"/>
              <w:jc w:val="left"/>
            </w:pPr>
            <w:r>
              <w:t xml:space="preserve">Small objects with fields</w:t>
            </w:r>
          </w:p>
        </w:tc>
      </w:tr>
      <w:tr>
        <w:tc>
          <w:tcPr/>
          <w:p>
            <w:pPr>
              <w:pStyle w:val="Compact"/>
              <w:jc w:val="left"/>
            </w:pPr>
            <w:r>
              <w:t xml:space="preserve">Set</w:t>
            </w:r>
          </w:p>
        </w:tc>
        <w:tc>
          <w:tcPr/>
          <w:p>
            <w:pPr>
              <w:pStyle w:val="Compact"/>
              <w:jc w:val="left"/>
            </w:pPr>
            <w:r>
              <w:rPr>
                <w:rStyle w:val="VerbatimChar"/>
              </w:rPr>
              <w:t xml:space="preserve">SADD online:room7 u42</w:t>
            </w:r>
          </w:p>
        </w:tc>
        <w:tc>
          <w:tcPr/>
          <w:p>
            <w:pPr>
              <w:pStyle w:val="Compact"/>
              <w:jc w:val="left"/>
            </w:pPr>
            <w:r>
              <w:t xml:space="preserve">Membership, deduplication</w:t>
            </w:r>
          </w:p>
        </w:tc>
      </w:tr>
      <w:tr>
        <w:tc>
          <w:tcPr/>
          <w:p>
            <w:pPr>
              <w:pStyle w:val="Compact"/>
              <w:jc w:val="left"/>
            </w:pPr>
            <w:r>
              <w:t xml:space="preserve">Sorted set</w:t>
            </w:r>
          </w:p>
        </w:tc>
        <w:tc>
          <w:tcPr/>
          <w:p>
            <w:pPr>
              <w:pStyle w:val="Compact"/>
              <w:jc w:val="left"/>
            </w:pPr>
            <w:r>
              <w:rPr>
                <w:rStyle w:val="VerbatimChar"/>
              </w:rPr>
              <w:t xml:space="preserve">ZINCRBY leaderboard 15 u42</w:t>
            </w:r>
          </w:p>
        </w:tc>
        <w:tc>
          <w:tcPr/>
          <w:p>
            <w:pPr>
              <w:pStyle w:val="Compact"/>
              <w:jc w:val="left"/>
            </w:pPr>
            <w:r>
              <w:t xml:space="preserve">Leaderboards, rate-limit windows, priority queues</w:t>
            </w:r>
          </w:p>
        </w:tc>
      </w:tr>
      <w:tr>
        <w:tc>
          <w:tcPr/>
          <w:p>
            <w:pPr>
              <w:pStyle w:val="Compact"/>
              <w:jc w:val="left"/>
            </w:pPr>
            <w:r>
              <w:t xml:space="preserve">Stream</w:t>
            </w:r>
          </w:p>
        </w:tc>
        <w:tc>
          <w:tcPr/>
          <w:p>
            <w:pPr>
              <w:pStyle w:val="Compact"/>
              <w:jc w:val="left"/>
            </w:pPr>
            <w:r>
              <w:rPr>
                <w:rStyle w:val="VerbatimChar"/>
              </w:rPr>
              <w:t xml:space="preserve">XADD events * type click</w:t>
            </w:r>
          </w:p>
        </w:tc>
        <w:tc>
          <w:tcPr/>
          <w:p>
            <w:pPr>
              <w:pStyle w:val="Compact"/>
              <w:jc w:val="left"/>
            </w:pPr>
            <w:r>
              <w:t xml:space="preserve">Append-only event log with consumer groups</w:t>
            </w:r>
          </w:p>
        </w:tc>
      </w:tr>
    </w:tbl>
    <w:p>
      <w:pPr>
        <w:pStyle w:val="BodyText"/>
      </w:pPr>
      <w:r>
        <w:t xml:space="preserve">Durability is optional:</w:t>
      </w:r>
      <w:r>
        <w:t xml:space="preserve"> </w:t>
      </w:r>
      <w:r>
        <w:rPr>
          <w:bCs/>
          <w:b/>
        </w:rPr>
        <w:t xml:space="preserve">RDB</w:t>
      </w:r>
      <w:r>
        <w:t xml:space="preserve"> </w:t>
      </w:r>
      <w:r>
        <w:t xml:space="preserve">snapshots write point-in-time files; the</w:t>
      </w:r>
      <w:r>
        <w:t xml:space="preserve"> </w:t>
      </w:r>
      <w:r>
        <w:rPr>
          <w:bCs/>
          <w:b/>
        </w:rPr>
        <w:t xml:space="preserve">AOF</w:t>
      </w:r>
      <w:r>
        <w:t xml:space="preserve"> </w:t>
      </w:r>
      <w:r>
        <w:t xml:space="preserve">(append-only file) logs every write and can</w:t>
      </w:r>
      <w:r>
        <w:t xml:space="preserve"> </w:t>
      </w:r>
      <w:r>
        <w:rPr>
          <w:rStyle w:val="VerbatimChar"/>
        </w:rPr>
        <w:t xml:space="preserve">fsync</w:t>
      </w:r>
      <w:r>
        <w:t xml:space="preserve"> </w:t>
      </w:r>
      <w:r>
        <w:t xml:space="preserve">every second, bounding loss to about one second. Redis Cluster splits keys into 16,384 hash slots across primaries with asynchronous replicas, so an acknowledged write can be lost on failover. Licensing has shifted (as of 2026): Redis moved to source-available licenses in 2024, the Linux Foundation’s</w:t>
      </w:r>
      <w:r>
        <w:t xml:space="preserve"> </w:t>
      </w:r>
      <w:r>
        <w:rPr>
          <w:bCs/>
          <w:b/>
        </w:rPr>
        <w:t xml:space="preserve">Valkey</w:t>
      </w:r>
      <w:r>
        <w:t xml:space="preserve"> </w:t>
      </w:r>
      <w:r>
        <w:t xml:space="preserve">fork followed, and Redis 8 added an AGPLv3 option [Redis Docs].</w:t>
      </w:r>
    </w:p>
    <w:p>
      <w:pPr>
        <w:pStyle w:val="CalloutWarning"/>
      </w:pPr>
      <w:r>
        <w:rPr>
          <w:bCs/>
          <w:b/>
        </w:rPr>
        <w:t xml:space="preserve">WARNING / TRADE-OFF</w:t>
      </w:r>
    </w:p>
    <w:p>
      <w:pPr>
        <w:pStyle w:val="CalloutWarning"/>
      </w:pPr>
      <w:r>
        <w:rPr>
          <w:bCs/>
          <w:b/>
        </w:rPr>
        <w:t xml:space="preserve">Redis as a primary database.</w:t>
      </w:r>
      <w:r>
        <w:t xml:space="preserve"> </w:t>
      </w:r>
      <w:r>
        <w:t xml:space="preserve">Using Redis as the only copy of business-critical data means accepting asynchronous-replication loss windows, RAM-bounded capacity (tens of times more per GB than SSD) and restore time proportional to dataset size. Decide deliberately.</w:t>
      </w:r>
    </w:p>
    <w:bookmarkEnd w:id="1321"/>
    <w:bookmarkStart w:id="1327" w:name="Xd10372bd9c1370b2fa2387ad29fbb44527ea03a"/>
    <w:p>
      <w:pPr>
        <w:pStyle w:val="Heading3"/>
      </w:pPr>
      <w:r>
        <w:t xml:space="preserve">12.4.3 DynamoDB: the key-value and sort-key model</w:t>
      </w:r>
    </w:p>
    <w:p>
      <w:pPr>
        <w:pStyle w:val="FirstParagraph"/>
      </w:pPr>
      <w:r>
        <w:t xml:space="preserve">DynamoDB, Amazon’s managed service, is the clearest example of a durable key-value model designed for predictable latency at any scale [Elhemali et al. 2022; AWS Docs: DynamoDB].</w:t>
      </w:r>
    </w:p>
    <w:p>
      <w:pPr>
        <w:pStyle w:val="CalloutDefinition"/>
      </w:pPr>
      <w:r>
        <w:rPr>
          <w:bCs/>
          <w:b/>
        </w:rPr>
        <w:t xml:space="preserve">DEFINITION</w:t>
      </w:r>
    </w:p>
    <w:p>
      <w:pPr>
        <w:pStyle w:val="CalloutDefinition"/>
      </w:pPr>
      <w:r>
        <w:rPr>
          <w:bCs/>
          <w:b/>
        </w:rPr>
        <w:t xml:space="preserve">Definition — Partition key, sort key and item collection.</w:t>
      </w:r>
      <w:r>
        <w:t xml:space="preserve"> </w:t>
      </w:r>
      <w:r>
        <w:t xml:space="preserve">In DynamoDB every</w:t>
      </w:r>
      <w:r>
        <w:t xml:space="preserve"> </w:t>
      </w:r>
      <w:r>
        <w:rPr>
          <w:bCs/>
          <w:b/>
        </w:rPr>
        <w:t xml:space="preserve">item</w:t>
      </w:r>
      <w:r>
        <w:t xml:space="preserve"> </w:t>
      </w:r>
      <w:r>
        <w:t xml:space="preserve">(a record of up to 400 KB, as of 2026) has a primary key made of a</w:t>
      </w:r>
      <w:r>
        <w:t xml:space="preserve"> </w:t>
      </w:r>
      <w:r>
        <w:rPr>
          <w:bCs/>
          <w:b/>
        </w:rPr>
        <w:t xml:space="preserve">partition key</w:t>
      </w:r>
      <w:r>
        <w:t xml:space="preserve"> </w:t>
      </w:r>
      <w:r>
        <w:t xml:space="preserve">and, optionally, a</w:t>
      </w:r>
      <w:r>
        <w:t xml:space="preserve"> </w:t>
      </w:r>
      <w:r>
        <w:rPr>
          <w:bCs/>
          <w:b/>
        </w:rPr>
        <w:t xml:space="preserve">sort key</w:t>
      </w:r>
      <w:r>
        <w:t xml:space="preserve">. DynamoDB hashes the partition key to choose the storage partition. All items sharing a partition key form an</w:t>
      </w:r>
      <w:r>
        <w:t xml:space="preserve"> </w:t>
      </w:r>
      <w:r>
        <w:rPr>
          <w:bCs/>
          <w:b/>
        </w:rPr>
        <w:t xml:space="preserve">item collection</w:t>
      </w:r>
      <w:r>
        <w:t xml:space="preserve">, stored together and ordered by sort key, so a single</w:t>
      </w:r>
      <w:r>
        <w:t xml:space="preserve"> </w:t>
      </w:r>
      <w:r>
        <w:rPr>
          <w:bCs/>
          <w:b/>
        </w:rPr>
        <w:t xml:space="preserve">Query</w:t>
      </w:r>
      <w:r>
        <w:t xml:space="preserve"> </w:t>
      </w:r>
      <w:r>
        <w:t xml:space="preserve">can return a contiguous, sorted range of them.</w:t>
      </w:r>
    </w:p>
    <w:bookmarkStart w:id="1325" w:name="how-it-works-internally-43"/>
    <w:p>
      <w:pPr>
        <w:pStyle w:val="Heading4"/>
      </w:pPr>
      <w:r>
        <w:t xml:space="preserve">How it works internally</w:t>
      </w:r>
    </w:p>
    <w:p>
      <w:pPr>
        <w:numPr>
          <w:ilvl w:val="0"/>
          <w:numId w:val="1405"/>
        </w:numPr>
        <w:pStyle w:val="Compact"/>
      </w:pPr>
      <w:r>
        <w:t xml:space="preserve">A client sends</w:t>
      </w:r>
      <w:r>
        <w:t xml:space="preserve"> </w:t>
      </w:r>
      <w:r>
        <w:rPr>
          <w:rStyle w:val="VerbatimChar"/>
        </w:rPr>
        <w:t xml:space="preserve">PutItem</w:t>
      </w:r>
      <w:r>
        <w:t xml:space="preserve">,</w:t>
      </w:r>
      <w:r>
        <w:t xml:space="preserve"> </w:t>
      </w:r>
      <w:r>
        <w:rPr>
          <w:rStyle w:val="VerbatimChar"/>
        </w:rPr>
        <w:t xml:space="preserve">GetItem</w:t>
      </w:r>
      <w:r>
        <w:t xml:space="preserve"> </w:t>
      </w:r>
      <w:r>
        <w:t xml:space="preserve">or</w:t>
      </w:r>
      <w:r>
        <w:t xml:space="preserve"> </w:t>
      </w:r>
      <w:r>
        <w:rPr>
          <w:rStyle w:val="VerbatimChar"/>
        </w:rPr>
        <w:t xml:space="preserve">Query</w:t>
      </w:r>
      <w:r>
        <w:t xml:space="preserve"> </w:t>
      </w:r>
      <w:r>
        <w:t xml:space="preserve">over HTTPS to stateless</w:t>
      </w:r>
      <w:r>
        <w:t xml:space="preserve"> </w:t>
      </w:r>
      <w:r>
        <w:rPr>
          <w:bCs/>
          <w:b/>
        </w:rPr>
        <w:t xml:space="preserve">request routers</w:t>
      </w:r>
      <w:r>
        <w:t xml:space="preserve">, which authenticate it and hash the partition key against a cached partition map.</w:t>
      </w:r>
    </w:p>
    <w:p>
      <w:pPr>
        <w:numPr>
          <w:ilvl w:val="0"/>
          <w:numId w:val="1405"/>
        </w:numPr>
        <w:pStyle w:val="Compact"/>
      </w:pPr>
      <w:r>
        <w:t xml:space="preserve">Each partition is replicated across three Availability Zones as a</w:t>
      </w:r>
      <w:r>
        <w:t xml:space="preserve"> </w:t>
      </w:r>
      <w:r>
        <w:rPr>
          <w:bCs/>
          <w:b/>
        </w:rPr>
        <w:t xml:space="preserve">Multi-Paxos</w:t>
      </w:r>
      <w:r>
        <w:t xml:space="preserve"> </w:t>
      </w:r>
      <w:r>
        <w:t xml:space="preserve">group; only the leader accepts writes and serves strongly consistent reads [Elhemali et al. 2022].</w:t>
      </w:r>
    </w:p>
    <w:p>
      <w:pPr>
        <w:numPr>
          <w:ilvl w:val="0"/>
          <w:numId w:val="1405"/>
        </w:numPr>
        <w:pStyle w:val="Compact"/>
      </w:pPr>
      <w:r>
        <w:t xml:space="preserve">The leader appends a write to its write-ahead log and acknowledges once two of three replicas have persisted it. Each replica stores a B-tree plus the log.</w:t>
      </w:r>
    </w:p>
    <w:p>
      <w:pPr>
        <w:numPr>
          <w:ilvl w:val="0"/>
          <w:numId w:val="1405"/>
        </w:numPr>
        <w:pStyle w:val="Compact"/>
      </w:pPr>
      <w:r>
        <w:t xml:space="preserve">An</w:t>
      </w:r>
      <w:r>
        <w:t xml:space="preserve"> </w:t>
      </w:r>
      <w:r>
        <w:rPr>
          <w:bCs/>
          <w:b/>
        </w:rPr>
        <w:t xml:space="preserve">eventually consistent read</w:t>
      </w:r>
      <w:r>
        <w:t xml:space="preserve"> </w:t>
      </w:r>
      <w:r>
        <w:t xml:space="preserve">(the default) may go to any replica and miss a just-acknowledged write; a</w:t>
      </w:r>
      <w:r>
        <w:t xml:space="preserve"> </w:t>
      </w:r>
      <w:r>
        <w:rPr>
          <w:bCs/>
          <w:b/>
        </w:rPr>
        <w:t xml:space="preserve">strongly consistent read</w:t>
      </w:r>
      <w:r>
        <w:t xml:space="preserve"> </w:t>
      </w:r>
      <w:r>
        <w:t xml:space="preserve">goes to the leader and costs twice as much.</w:t>
      </w:r>
    </w:p>
    <w:p>
      <w:pPr>
        <w:numPr>
          <w:ilvl w:val="0"/>
          <w:numId w:val="1405"/>
        </w:numPr>
        <w:pStyle w:val="Compact"/>
      </w:pPr>
      <w:r>
        <w:t xml:space="preserve">Partitions that grow too large or hot are split;</w:t>
      </w:r>
      <w:r>
        <w:t xml:space="preserve"> </w:t>
      </w:r>
      <w:r>
        <w:rPr>
          <w:bCs/>
          <w:b/>
        </w:rPr>
        <w:t xml:space="preserve">adaptive capacity</w:t>
      </w:r>
      <w:r>
        <w:t xml:space="preserve"> </w:t>
      </w:r>
      <w:r>
        <w:t xml:space="preserve">shifts throughput toward hot partitions.</w:t>
      </w:r>
    </w:p>
    <w:p>
      <w:pPr>
        <w:pStyle w:val="FirstParagraph"/>
      </w:pPr>
      <w:r>
        <w:t xml:space="preserve">Every request touches one partition (or one item collection), so latency does not grow with table size.</w:t>
      </w:r>
    </w:p>
    <w:p>
      <w:pPr>
        <w:pStyle w:val="BodyText"/>
      </w:pPr>
      <w:r>
        <w:rPr>
          <w:bCs/>
          <w:b/>
        </w:rPr>
        <w:t xml:space="preserve">Figure 12.2 — DynamoDB data model and request path.</w:t>
      </w:r>
    </w:p>
    <w:p>
      <w:pPr>
        <w:pStyle w:val="BodyText"/>
      </w:pPr>
      <w:r>
        <w:drawing>
          <wp:inline>
            <wp:extent cx="5334000" cy="2712434"/>
            <wp:effectExtent b="0" l="0" r="0" t="0"/>
            <wp:docPr descr="" title="" id="1323" name="Picture"/>
            <a:graphic>
              <a:graphicData uri="http://schemas.openxmlformats.org/drawingml/2006/picture">
                <pic:pic>
                  <pic:nvPicPr>
                    <pic:cNvPr descr="/home/user/System-Design/build/.cache/diagrams/54d8c70858bd.png" id="1324" name="Picture"/>
                    <pic:cNvPicPr>
                      <a:picLocks noChangeArrowheads="1" noChangeAspect="1"/>
                    </pic:cNvPicPr>
                  </pic:nvPicPr>
                  <pic:blipFill>
                    <a:blip r:embed="rId1322"/>
                    <a:stretch>
                      <a:fillRect/>
                    </a:stretch>
                  </pic:blipFill>
                  <pic:spPr bwMode="auto">
                    <a:xfrm>
                      <a:off x="0" y="0"/>
                      <a:ext cx="5334000" cy="2712434"/>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Stateless request routers receive HTTPS requests and route by the hash of the partition key — never the sort key; inside a partition, item collections are kept in sort-key order. Writes are acknowledged synchronously once two of three replicas in different Availability Zones have logged them; eventually consistent reads may go to any replica (dotted). Global secondary indexes are separate partitions fed asynchronously, so GSI reads are always eventually consistent. Failure points: losing a replica is invisible; losing a leader triggers a seconds-long election for that partition only. Scaling is by partition splits, invisible to clients.</w:t>
      </w:r>
    </w:p>
    <w:bookmarkEnd w:id="1325"/>
    <w:bookmarkStart w:id="1326" w:name="secondary-indexes-lsi-and-gsi"/>
    <w:p>
      <w:pPr>
        <w:pStyle w:val="Heading4"/>
      </w:pPr>
      <w:r>
        <w:t xml:space="preserve">Secondary indexes: LSI and GSI</w:t>
      </w:r>
    </w:p>
    <w:p>
      <w:pPr>
        <w:pStyle w:val="FirstParagraph"/>
      </w:pPr>
      <w:r>
        <w:t xml:space="preserve">To query by anything other than the primary key you declare an index, which DynamoDB maintains on every write.</w:t>
      </w:r>
    </w:p>
    <w:p>
      <w:pPr>
        <w:pStyle w:val="BodyText"/>
      </w:pPr>
      <w:r>
        <w:rPr>
          <w:bCs/>
          <w:b/>
        </w:rPr>
        <w:t xml:space="preserve">Table 12.2 — Local versus global secondary indexes (limits as of 2026).</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Property</w:t>
            </w:r>
          </w:p>
        </w:tc>
        <w:tc>
          <w:tcPr/>
          <w:p>
            <w:pPr>
              <w:pStyle w:val="Compact"/>
              <w:jc w:val="left"/>
            </w:pPr>
            <w:r>
              <w:t xml:space="preserve">Local secondary index (LSI)</w:t>
            </w:r>
          </w:p>
        </w:tc>
        <w:tc>
          <w:tcPr/>
          <w:p>
            <w:pPr>
              <w:pStyle w:val="Compact"/>
              <w:jc w:val="left"/>
            </w:pPr>
            <w:r>
              <w:t xml:space="preserve">Global secondary index (GSI)</w:t>
            </w:r>
          </w:p>
        </w:tc>
      </w:tr>
      <w:tr>
        <w:tc>
          <w:tcPr/>
          <w:p>
            <w:pPr>
              <w:pStyle w:val="Compact"/>
              <w:jc w:val="left"/>
            </w:pPr>
            <w:r>
              <w:t xml:space="preserve">Key</w:t>
            </w:r>
          </w:p>
        </w:tc>
        <w:tc>
          <w:tcPr/>
          <w:p>
            <w:pPr>
              <w:pStyle w:val="Compact"/>
              <w:jc w:val="left"/>
            </w:pPr>
            <w:r>
              <w:t xml:space="preserve">Same partition key, different sort key</w:t>
            </w:r>
          </w:p>
        </w:tc>
        <w:tc>
          <w:tcPr/>
          <w:p>
            <w:pPr>
              <w:pStyle w:val="Compact"/>
              <w:jc w:val="left"/>
            </w:pPr>
            <w:r>
              <w:t xml:space="preserve">Any attribute(s) as new partition and sort key</w:t>
            </w:r>
          </w:p>
        </w:tc>
      </w:tr>
      <w:tr>
        <w:tc>
          <w:tcPr/>
          <w:p>
            <w:pPr>
              <w:pStyle w:val="Compact"/>
              <w:jc w:val="left"/>
            </w:pPr>
            <w:r>
              <w:t xml:space="preserve">When created</w:t>
            </w:r>
          </w:p>
        </w:tc>
        <w:tc>
          <w:tcPr/>
          <w:p>
            <w:pPr>
              <w:pStyle w:val="Compact"/>
              <w:jc w:val="left"/>
            </w:pPr>
            <w:r>
              <w:t xml:space="preserve">Only at table creation</w:t>
            </w:r>
          </w:p>
        </w:tc>
        <w:tc>
          <w:tcPr/>
          <w:p>
            <w:pPr>
              <w:pStyle w:val="Compact"/>
              <w:jc w:val="left"/>
            </w:pPr>
            <w:r>
              <w:t xml:space="preserve">Any time</w:t>
            </w:r>
          </w:p>
        </w:tc>
      </w:tr>
      <w:tr>
        <w:tc>
          <w:tcPr/>
          <w:p>
            <w:pPr>
              <w:pStyle w:val="Compact"/>
              <w:jc w:val="left"/>
            </w:pPr>
            <w:r>
              <w:t xml:space="preserve">Limit per table</w:t>
            </w:r>
          </w:p>
        </w:tc>
        <w:tc>
          <w:tcPr/>
          <w:p>
            <w:pPr>
              <w:pStyle w:val="Compact"/>
              <w:jc w:val="left"/>
            </w:pPr>
            <w:r>
              <w:t xml:space="preserve">5</w:t>
            </w:r>
          </w:p>
        </w:tc>
        <w:tc>
          <w:tcPr/>
          <w:p>
            <w:pPr>
              <w:pStyle w:val="Compact"/>
              <w:jc w:val="left"/>
            </w:pPr>
            <w:r>
              <w:t xml:space="preserve">20 by default (adjustable quota)</w:t>
            </w:r>
          </w:p>
        </w:tc>
      </w:tr>
      <w:tr>
        <w:tc>
          <w:tcPr/>
          <w:p>
            <w:pPr>
              <w:pStyle w:val="Compact"/>
              <w:jc w:val="left"/>
            </w:pPr>
            <w:r>
              <w:t xml:space="preserve">Consistency</w:t>
            </w:r>
          </w:p>
        </w:tc>
        <w:tc>
          <w:tcPr/>
          <w:p>
            <w:pPr>
              <w:pStyle w:val="Compact"/>
              <w:jc w:val="left"/>
            </w:pPr>
            <w:r>
              <w:t xml:space="preserve">Strong or eventual</w:t>
            </w:r>
          </w:p>
        </w:tc>
        <w:tc>
          <w:tcPr/>
          <w:p>
            <w:pPr>
              <w:pStyle w:val="Compact"/>
              <w:jc w:val="left"/>
            </w:pPr>
            <w:r>
              <w:t xml:space="preserve">Eventual only</w:t>
            </w:r>
          </w:p>
        </w:tc>
      </w:tr>
      <w:tr>
        <w:tc>
          <w:tcPr/>
          <w:p>
            <w:pPr>
              <w:pStyle w:val="Compact"/>
              <w:jc w:val="left"/>
            </w:pPr>
            <w:r>
              <w:t xml:space="preserve">Throughput</w:t>
            </w:r>
          </w:p>
        </w:tc>
        <w:tc>
          <w:tcPr/>
          <w:p>
            <w:pPr>
              <w:pStyle w:val="Compact"/>
              <w:jc w:val="left"/>
            </w:pPr>
            <w:r>
              <w:t xml:space="preserve">Shares the table’s</w:t>
            </w:r>
          </w:p>
        </w:tc>
        <w:tc>
          <w:tcPr/>
          <w:p>
            <w:pPr>
              <w:pStyle w:val="Compact"/>
              <w:jc w:val="left"/>
            </w:pPr>
            <w:r>
              <w:t xml:space="preserve">Its own; throttling can back-pressure table writes</w:t>
            </w:r>
          </w:p>
        </w:tc>
      </w:tr>
      <w:tr>
        <w:tc>
          <w:tcPr/>
          <w:p>
            <w:pPr>
              <w:pStyle w:val="Compact"/>
              <w:jc w:val="left"/>
            </w:pPr>
            <w:r>
              <w:t xml:space="preserve">Size constraint</w:t>
            </w:r>
          </w:p>
        </w:tc>
        <w:tc>
          <w:tcPr/>
          <w:p>
            <w:pPr>
              <w:pStyle w:val="Compact"/>
              <w:jc w:val="left"/>
            </w:pPr>
            <w:r>
              <w:t xml:space="preserve">Item collection ≤ 10 GB</w:t>
            </w:r>
          </w:p>
        </w:tc>
        <w:tc>
          <w:tcPr/>
          <w:p>
            <w:pPr>
              <w:pStyle w:val="Compact"/>
              <w:jc w:val="left"/>
            </w:pPr>
            <w:r>
              <w:t xml:space="preserve">None beyond table limits</w:t>
            </w:r>
          </w:p>
        </w:tc>
      </w:tr>
    </w:tbl>
    <w:p>
      <w:pPr>
        <w:pStyle w:val="BodyText"/>
      </w:pPr>
      <w:r>
        <w:t xml:space="preserve">A</w:t>
      </w:r>
      <w:r>
        <w:t xml:space="preserve"> </w:t>
      </w:r>
      <w:r>
        <w:rPr>
          <w:bCs/>
          <w:b/>
        </w:rPr>
        <w:t xml:space="preserve">sparse index</w:t>
      </w:r>
      <w:r>
        <w:t xml:space="preserve"> </w:t>
      </w:r>
      <w:r>
        <w:t xml:space="preserve">includes only items that have the index key attribute;</w:t>
      </w:r>
      <w:r>
        <w:t xml:space="preserve"> </w:t>
      </w:r>
      <w:r>
        <w:rPr>
          <w:bCs/>
          <w:b/>
        </w:rPr>
        <w:t xml:space="preserve">index overloading</w:t>
      </w:r>
      <w:r>
        <w:t xml:space="preserve"> </w:t>
      </w:r>
      <w:r>
        <w:t xml:space="preserve">stores several entity types in one GSI under generic attribute names such as</w:t>
      </w:r>
      <w:r>
        <w:t xml:space="preserve"> </w:t>
      </w:r>
      <w:r>
        <w:rPr>
          <w:rStyle w:val="VerbatimChar"/>
        </w:rPr>
        <w:t xml:space="preserve">GSI1PK</w:t>
      </w:r>
      <w:r>
        <w:t xml:space="preserve">.</w:t>
      </w:r>
    </w:p>
    <w:bookmarkEnd w:id="1326"/>
    <w:bookmarkEnd w:id="1327"/>
    <w:bookmarkStart w:id="1332" w:name="Xe93cb63793fb25fd368301925b8e22e8c24df9b"/>
    <w:p>
      <w:pPr>
        <w:pStyle w:val="Heading3"/>
      </w:pPr>
      <w:r>
        <w:t xml:space="preserve">12.4.4 Single-table design: a worked access-pattern example</w:t>
      </w:r>
    </w:p>
    <w:p>
      <w:pPr>
        <w:pStyle w:val="FirstParagraph"/>
      </w:pPr>
      <w:r>
        <w:t xml:space="preserve">Relational design normalizes first and writes queries later. In DynamoDB you list every</w:t>
      </w:r>
      <w:r>
        <w:t xml:space="preserve"> </w:t>
      </w:r>
      <w:r>
        <w:rPr>
          <w:bCs/>
          <w:b/>
        </w:rPr>
        <w:t xml:space="preserve">access pattern</w:t>
      </w:r>
      <w:r>
        <w:t xml:space="preserve"> </w:t>
      </w:r>
      <w:r>
        <w:t xml:space="preserve">first, then design keys so each pattern is one</w:t>
      </w:r>
      <w:r>
        <w:t xml:space="preserve"> </w:t>
      </w:r>
      <w:r>
        <w:rPr>
          <w:rStyle w:val="VerbatimChar"/>
        </w:rPr>
        <w:t xml:space="preserve">GetItem</w:t>
      </w:r>
      <w:r>
        <w:t xml:space="preserve"> </w:t>
      </w:r>
      <w:r>
        <w:t xml:space="preserve">or</w:t>
      </w:r>
      <w:r>
        <w:t xml:space="preserve"> </w:t>
      </w:r>
      <w:r>
        <w:rPr>
          <w:rStyle w:val="VerbatimChar"/>
        </w:rPr>
        <w:t xml:space="preserve">Query</w:t>
      </w:r>
      <w:r>
        <w:t xml:space="preserve">. With no joins, entities read together share an item collection, often in one table per service —</w:t>
      </w:r>
      <w:r>
        <w:t xml:space="preserve"> </w:t>
      </w:r>
      <w:r>
        <w:rPr>
          <w:bCs/>
          <w:b/>
        </w:rPr>
        <w:t xml:space="preserve">single-table design</w:t>
      </w:r>
      <w:r>
        <w:t xml:space="preserve"> </w:t>
      </w:r>
      <w:r>
        <w:t xml:space="preserve">[DeBrie 2020; AWS Docs: DynamoDB]. Consider an order service:</w:t>
      </w:r>
    </w:p>
    <w:p>
      <w:pPr>
        <w:pStyle w:val="BodyText"/>
      </w:pPr>
      <w:r>
        <w:rPr>
          <w:bCs/>
          <w:b/>
        </w:rPr>
        <w:t xml:space="preserve">Table 12.3 — Access patterns and the operation that serves each.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Access pattern</w:t>
            </w:r>
          </w:p>
        </w:tc>
        <w:tc>
          <w:tcPr/>
          <w:p>
            <w:pPr>
              <w:pStyle w:val="Compact"/>
              <w:jc w:val="left"/>
            </w:pPr>
            <w:r>
              <w:t xml:space="preserve">Operation</w:t>
            </w:r>
          </w:p>
        </w:tc>
      </w:tr>
      <w:tr>
        <w:tc>
          <w:tcPr/>
          <w:p>
            <w:pPr>
              <w:pStyle w:val="Compact"/>
              <w:jc w:val="left"/>
            </w:pPr>
            <w:r>
              <w:t xml:space="preserve">AP1</w:t>
            </w:r>
          </w:p>
        </w:tc>
        <w:tc>
          <w:tcPr/>
          <w:p>
            <w:pPr>
              <w:pStyle w:val="Compact"/>
              <w:jc w:val="left"/>
            </w:pPr>
            <w:r>
              <w:t xml:space="preserve">Get a customer’s profile</w:t>
            </w:r>
          </w:p>
        </w:tc>
        <w:tc>
          <w:tcPr/>
          <w:p>
            <w:pPr>
              <w:pStyle w:val="Compact"/>
              <w:jc w:val="left"/>
            </w:pPr>
            <w:r>
              <w:rPr>
                <w:rStyle w:val="VerbatimChar"/>
              </w:rPr>
              <w:t xml:space="preserve">GetItem PK=CUST#c42, SK=PROFILE</w:t>
            </w:r>
          </w:p>
        </w:tc>
      </w:tr>
      <w:tr>
        <w:tc>
          <w:tcPr/>
          <w:p>
            <w:pPr>
              <w:pStyle w:val="Compact"/>
              <w:jc w:val="left"/>
            </w:pPr>
            <w:r>
              <w:t xml:space="preserve">AP2</w:t>
            </w:r>
          </w:p>
        </w:tc>
        <w:tc>
          <w:tcPr/>
          <w:p>
            <w:pPr>
              <w:pStyle w:val="Compact"/>
              <w:jc w:val="left"/>
            </w:pPr>
            <w:r>
              <w:t xml:space="preserve">List a customer’s orders, newest first</w:t>
            </w:r>
          </w:p>
        </w:tc>
        <w:tc>
          <w:tcPr/>
          <w:p>
            <w:pPr>
              <w:pStyle w:val="Compact"/>
              <w:jc w:val="left"/>
            </w:pPr>
            <w:r>
              <w:rPr>
                <w:rStyle w:val="VerbatimChar"/>
              </w:rPr>
              <w:t xml:space="preserve">Query GSI1 PK=CUST#c42, SK begins_with ORDER#</w:t>
            </w:r>
            <w:r>
              <w:t xml:space="preserve">, descending</w:t>
            </w:r>
          </w:p>
        </w:tc>
      </w:tr>
      <w:tr>
        <w:tc>
          <w:tcPr/>
          <w:p>
            <w:pPr>
              <w:pStyle w:val="Compact"/>
              <w:jc w:val="left"/>
            </w:pPr>
            <w:r>
              <w:t xml:space="preserve">AP3</w:t>
            </w:r>
          </w:p>
        </w:tc>
        <w:tc>
          <w:tcPr/>
          <w:p>
            <w:pPr>
              <w:pStyle w:val="Compact"/>
              <w:jc w:val="left"/>
            </w:pPr>
            <w:r>
              <w:t xml:space="preserve">Get one order with all its line items</w:t>
            </w:r>
          </w:p>
        </w:tc>
        <w:tc>
          <w:tcPr/>
          <w:p>
            <w:pPr>
              <w:pStyle w:val="Compact"/>
              <w:jc w:val="left"/>
            </w:pPr>
            <w:r>
              <w:rPr>
                <w:rStyle w:val="VerbatimChar"/>
              </w:rPr>
              <w:t xml:space="preserve">Query PK=ORDER#o901</w:t>
            </w:r>
            <w:r>
              <w:t xml:space="preserve"> </w:t>
            </w:r>
            <w:r>
              <w:t xml:space="preserve">(strongly consistent)</w:t>
            </w:r>
          </w:p>
        </w:tc>
      </w:tr>
      <w:tr>
        <w:tc>
          <w:tcPr/>
          <w:p>
            <w:pPr>
              <w:pStyle w:val="Compact"/>
              <w:jc w:val="left"/>
            </w:pPr>
            <w:r>
              <w:t xml:space="preserve">AP4</w:t>
            </w:r>
          </w:p>
        </w:tc>
        <w:tc>
          <w:tcPr/>
          <w:p>
            <w:pPr>
              <w:pStyle w:val="Compact"/>
              <w:jc w:val="left"/>
            </w:pPr>
            <w:r>
              <w:t xml:space="preserve">Find a customer by e-mail; keep e-mail unique</w:t>
            </w:r>
          </w:p>
        </w:tc>
        <w:tc>
          <w:tcPr/>
          <w:p>
            <w:pPr>
              <w:pStyle w:val="Compact"/>
              <w:jc w:val="left"/>
            </w:pPr>
            <w:r>
              <w:rPr>
                <w:rStyle w:val="VerbatimChar"/>
              </w:rPr>
              <w:t xml:space="preserve">GetItem PK=EMAIL#ana@example.com</w:t>
            </w:r>
          </w:p>
        </w:tc>
      </w:tr>
      <w:tr>
        <w:tc>
          <w:tcPr/>
          <w:p>
            <w:pPr>
              <w:pStyle w:val="Compact"/>
              <w:jc w:val="left"/>
            </w:pPr>
            <w:r>
              <w:t xml:space="preserve">AP5</w:t>
            </w:r>
          </w:p>
        </w:tc>
        <w:tc>
          <w:tcPr/>
          <w:p>
            <w:pPr>
              <w:pStyle w:val="Compact"/>
              <w:jc w:val="left"/>
            </w:pPr>
            <w:r>
              <w:t xml:space="preserve">List a warehouse’s unshipped orders, oldest first</w:t>
            </w:r>
          </w:p>
        </w:tc>
        <w:tc>
          <w:tcPr/>
          <w:p>
            <w:pPr>
              <w:pStyle w:val="Compact"/>
              <w:jc w:val="left"/>
            </w:pPr>
            <w:r>
              <w:rPr>
                <w:rStyle w:val="VerbatimChar"/>
              </w:rPr>
              <w:t xml:space="preserve">Query GSI2 PK=WH#w7</w:t>
            </w:r>
            <w:r>
              <w:t xml:space="preserve"> </w:t>
            </w:r>
            <w:r>
              <w:t xml:space="preserve">(sparse)</w:t>
            </w:r>
          </w:p>
        </w:tc>
      </w:tr>
    </w:tbl>
    <w:p>
      <w:pPr>
        <w:pStyle w:val="BodyText"/>
      </w:pPr>
      <w:r>
        <w:rPr>
          <w:bCs/>
          <w:b/>
        </w:rPr>
        <w:t xml:space="preserve">Table 12.4 — Item layout in the single table.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PK</w:t>
            </w:r>
          </w:p>
        </w:tc>
        <w:tc>
          <w:tcPr/>
          <w:p>
            <w:pPr>
              <w:pStyle w:val="Compact"/>
              <w:jc w:val="left"/>
            </w:pPr>
            <w:r>
              <w:t xml:space="preserve">SK</w:t>
            </w:r>
          </w:p>
        </w:tc>
        <w:tc>
          <w:tcPr/>
          <w:p>
            <w:pPr>
              <w:pStyle w:val="Compact"/>
              <w:jc w:val="left"/>
            </w:pPr>
            <w:r>
              <w:t xml:space="preserve">GSI1PK / GSI1SK</w:t>
            </w:r>
          </w:p>
        </w:tc>
        <w:tc>
          <w:tcPr/>
          <w:p>
            <w:pPr>
              <w:pStyle w:val="Compact"/>
              <w:jc w:val="left"/>
            </w:pPr>
            <w:r>
              <w:t xml:space="preserve">GSI2PK / GSI2SK</w:t>
            </w:r>
          </w:p>
        </w:tc>
        <w:tc>
          <w:tcPr/>
          <w:p>
            <w:pPr>
              <w:pStyle w:val="Compact"/>
              <w:jc w:val="left"/>
            </w:pPr>
            <w:r>
              <w:t xml:space="preserve">Other attributes</w:t>
            </w:r>
          </w:p>
        </w:tc>
      </w:tr>
      <w:tr>
        <w:tc>
          <w:tcPr/>
          <w:p>
            <w:pPr>
              <w:pStyle w:val="Compact"/>
              <w:jc w:val="left"/>
            </w:pPr>
            <w:r>
              <w:rPr>
                <w:rStyle w:val="VerbatimChar"/>
              </w:rPr>
              <w:t xml:space="preserve">CUST#c42</w:t>
            </w:r>
          </w:p>
        </w:tc>
        <w:tc>
          <w:tcPr/>
          <w:p>
            <w:pPr>
              <w:pStyle w:val="Compact"/>
              <w:jc w:val="left"/>
            </w:pPr>
            <w:r>
              <w:rPr>
                <w:rStyle w:val="VerbatimChar"/>
              </w:rPr>
              <w:t xml:space="preserve">PROFILE</w:t>
            </w:r>
          </w:p>
        </w:tc>
        <w:tc>
          <w:tcPr/>
          <w:p>
            <w:pPr>
              <w:pStyle w:val="Compact"/>
              <w:jc w:val="left"/>
            </w:pPr>
            <w:r>
              <w:t xml:space="preserve">—</w:t>
            </w:r>
          </w:p>
        </w:tc>
        <w:tc>
          <w:tcPr/>
          <w:p>
            <w:pPr>
              <w:pStyle w:val="Compact"/>
              <w:jc w:val="left"/>
            </w:pPr>
            <w:r>
              <w:t xml:space="preserve">—</w:t>
            </w:r>
          </w:p>
        </w:tc>
        <w:tc>
          <w:tcPr/>
          <w:p>
            <w:pPr>
              <w:pStyle w:val="Compact"/>
              <w:jc w:val="left"/>
            </w:pPr>
            <w:r>
              <w:t xml:space="preserve">name, e-mail, address</w:t>
            </w:r>
          </w:p>
        </w:tc>
      </w:tr>
      <w:tr>
        <w:tc>
          <w:tcPr/>
          <w:p>
            <w:pPr>
              <w:pStyle w:val="Compact"/>
              <w:jc w:val="left"/>
            </w:pPr>
            <w:r>
              <w:rPr>
                <w:rStyle w:val="VerbatimChar"/>
              </w:rPr>
              <w:t xml:space="preserve">EMAIL#ana@example.com</w:t>
            </w:r>
          </w:p>
        </w:tc>
        <w:tc>
          <w:tcPr/>
          <w:p>
            <w:pPr>
              <w:pStyle w:val="Compact"/>
              <w:jc w:val="left"/>
            </w:pPr>
            <w:r>
              <w:rPr>
                <w:rStyle w:val="VerbatimChar"/>
              </w:rPr>
              <w:t xml:space="preserve">EMAIL</w:t>
            </w:r>
          </w:p>
        </w:tc>
        <w:tc>
          <w:tcPr/>
          <w:p>
            <w:pPr>
              <w:pStyle w:val="Compact"/>
              <w:jc w:val="left"/>
            </w:pPr>
            <w:r>
              <w:t xml:space="preserve">—</w:t>
            </w:r>
          </w:p>
        </w:tc>
        <w:tc>
          <w:tcPr/>
          <w:p>
            <w:pPr>
              <w:pStyle w:val="Compact"/>
              <w:jc w:val="left"/>
            </w:pPr>
            <w:r>
              <w:t xml:space="preserve">—</w:t>
            </w:r>
          </w:p>
        </w:tc>
        <w:tc>
          <w:tcPr/>
          <w:p>
            <w:pPr>
              <w:pStyle w:val="Compact"/>
              <w:jc w:val="left"/>
            </w:pPr>
            <w:r>
              <w:t xml:space="preserve">customerId</w:t>
            </w:r>
          </w:p>
        </w:tc>
      </w:tr>
      <w:tr>
        <w:tc>
          <w:tcPr/>
          <w:p>
            <w:pPr>
              <w:pStyle w:val="Compact"/>
              <w:jc w:val="left"/>
            </w:pPr>
            <w:r>
              <w:rPr>
                <w:rStyle w:val="VerbatimChar"/>
              </w:rPr>
              <w:t xml:space="preserve">ORDER#o901</w:t>
            </w:r>
          </w:p>
        </w:tc>
        <w:tc>
          <w:tcPr/>
          <w:p>
            <w:pPr>
              <w:pStyle w:val="Compact"/>
              <w:jc w:val="left"/>
            </w:pPr>
            <w:r>
              <w:rPr>
                <w:rStyle w:val="VerbatimChar"/>
              </w:rPr>
              <w:t xml:space="preserve">#HEADER</w:t>
            </w:r>
          </w:p>
        </w:tc>
        <w:tc>
          <w:tcPr/>
          <w:p>
            <w:pPr>
              <w:pStyle w:val="Compact"/>
              <w:jc w:val="left"/>
            </w:pPr>
            <w:r>
              <w:rPr>
                <w:rStyle w:val="VerbatimChar"/>
              </w:rPr>
              <w:t xml:space="preserve">CUST#c42</w:t>
            </w:r>
            <w:r>
              <w:t xml:space="preserve"> </w:t>
            </w:r>
            <w:r>
              <w:t xml:space="preserve">/</w:t>
            </w:r>
            <w:r>
              <w:t xml:space="preserve"> </w:t>
            </w:r>
            <w:r>
              <w:rPr>
                <w:rStyle w:val="VerbatimChar"/>
              </w:rPr>
              <w:t xml:space="preserve">ORDER#2026-10-28T09:15#o901</w:t>
            </w:r>
          </w:p>
        </w:tc>
        <w:tc>
          <w:tcPr/>
          <w:p>
            <w:pPr>
              <w:pStyle w:val="Compact"/>
              <w:jc w:val="left"/>
            </w:pPr>
            <w:r>
              <w:rPr>
                <w:rStyle w:val="VerbatimChar"/>
              </w:rPr>
              <w:t xml:space="preserve">WH#w7</w:t>
            </w:r>
            <w:r>
              <w:t xml:space="preserve"> </w:t>
            </w:r>
            <w:r>
              <w:t xml:space="preserve">/</w:t>
            </w:r>
            <w:r>
              <w:t xml:space="preserve"> </w:t>
            </w:r>
            <w:r>
              <w:rPr>
                <w:rStyle w:val="VerbatimChar"/>
              </w:rPr>
              <w:t xml:space="preserve">2026-10-28T09:15#o901</w:t>
            </w:r>
          </w:p>
        </w:tc>
        <w:tc>
          <w:tcPr/>
          <w:p>
            <w:pPr>
              <w:pStyle w:val="Compact"/>
              <w:jc w:val="left"/>
            </w:pPr>
            <w:r>
              <w:t xml:space="preserve">status, total</w:t>
            </w:r>
          </w:p>
        </w:tc>
      </w:tr>
      <w:tr>
        <w:tc>
          <w:tcPr/>
          <w:p>
            <w:pPr>
              <w:pStyle w:val="Compact"/>
              <w:jc w:val="left"/>
            </w:pPr>
            <w:r>
              <w:rPr>
                <w:rStyle w:val="VerbatimChar"/>
              </w:rPr>
              <w:t xml:space="preserve">ORDER#o901</w:t>
            </w:r>
          </w:p>
        </w:tc>
        <w:tc>
          <w:tcPr/>
          <w:p>
            <w:pPr>
              <w:pStyle w:val="Compact"/>
              <w:jc w:val="left"/>
            </w:pPr>
            <w:r>
              <w:rPr>
                <w:rStyle w:val="VerbatimChar"/>
              </w:rPr>
              <w:t xml:space="preserve">ITEM#001</w:t>
            </w:r>
          </w:p>
        </w:tc>
        <w:tc>
          <w:tcPr/>
          <w:p>
            <w:pPr>
              <w:pStyle w:val="Compact"/>
              <w:jc w:val="left"/>
            </w:pPr>
            <w:r>
              <w:t xml:space="preserve">—</w:t>
            </w:r>
          </w:p>
        </w:tc>
        <w:tc>
          <w:tcPr/>
          <w:p>
            <w:pPr>
              <w:pStyle w:val="Compact"/>
              <w:jc w:val="left"/>
            </w:pPr>
            <w:r>
              <w:t xml:space="preserve">—</w:t>
            </w:r>
          </w:p>
        </w:tc>
        <w:tc>
          <w:tcPr/>
          <w:p>
            <w:pPr>
              <w:pStyle w:val="Compact"/>
              <w:jc w:val="left"/>
            </w:pPr>
            <w:r>
              <w:t xml:space="preserve">sku, qty, price</w:t>
            </w:r>
          </w:p>
        </w:tc>
      </w:tr>
      <w:tr>
        <w:tc>
          <w:tcPr/>
          <w:p>
            <w:pPr>
              <w:pStyle w:val="Compact"/>
              <w:jc w:val="left"/>
            </w:pPr>
            <w:r>
              <w:rPr>
                <w:rStyle w:val="VerbatimChar"/>
              </w:rPr>
              <w:t xml:space="preserve">ORDER#o901</w:t>
            </w:r>
          </w:p>
        </w:tc>
        <w:tc>
          <w:tcPr/>
          <w:p>
            <w:pPr>
              <w:pStyle w:val="Compact"/>
              <w:jc w:val="left"/>
            </w:pPr>
            <w:r>
              <w:rPr>
                <w:rStyle w:val="VerbatimChar"/>
              </w:rPr>
              <w:t xml:space="preserve">ITEM#002</w:t>
            </w:r>
          </w:p>
        </w:tc>
        <w:tc>
          <w:tcPr/>
          <w:p>
            <w:pPr>
              <w:pStyle w:val="Compact"/>
              <w:jc w:val="left"/>
            </w:pPr>
            <w:r>
              <w:t xml:space="preserve">—</w:t>
            </w:r>
          </w:p>
        </w:tc>
        <w:tc>
          <w:tcPr/>
          <w:p>
            <w:pPr>
              <w:pStyle w:val="Compact"/>
              <w:jc w:val="left"/>
            </w:pPr>
            <w:r>
              <w:t xml:space="preserve">—</w:t>
            </w:r>
          </w:p>
        </w:tc>
        <w:tc>
          <w:tcPr/>
          <w:p>
            <w:pPr>
              <w:pStyle w:val="Compact"/>
              <w:jc w:val="left"/>
            </w:pPr>
            <w:r>
              <w:t xml:space="preserve">sku, qty, price</w:t>
            </w:r>
          </w:p>
        </w:tc>
      </w:tr>
    </w:tbl>
    <w:p>
      <w:pPr>
        <w:pStyle w:val="BodyText"/>
      </w:pPr>
      <w:r>
        <w:t xml:space="preserve">In this design AP3 is one Query (the header sorts first because</w:t>
      </w:r>
      <w:r>
        <w:t xml:space="preserve"> </w:t>
      </w:r>
      <w:r>
        <w:rPr>
          <w:rStyle w:val="VerbatimChar"/>
        </w:rPr>
        <w:t xml:space="preserve">#</w:t>
      </w:r>
      <w:r>
        <w:t xml:space="preserve"> </w:t>
      </w:r>
      <w:r>
        <w:t xml:space="preserve">precedes letters in byte order); AP2’s ISO-8601 sort keys make lexical order equal time order; AP4 doubles as a uniqueness constraint, because sign-up writes the profile and</w:t>
      </w:r>
      <w:r>
        <w:t xml:space="preserve"> </w:t>
      </w:r>
      <w:r>
        <w:rPr>
          <w:rStyle w:val="VerbatimChar"/>
        </w:rPr>
        <w:t xml:space="preserve">EMAIL#</w:t>
      </w:r>
      <w:r>
        <w:t xml:space="preserve"> </w:t>
      </w:r>
      <w:r>
        <w:t xml:space="preserve">item in one</w:t>
      </w:r>
      <w:r>
        <w:t xml:space="preserve"> </w:t>
      </w:r>
      <w:r>
        <w:rPr>
          <w:rStyle w:val="VerbatimChar"/>
        </w:rPr>
        <w:t xml:space="preserve">TransactWriteItems</w:t>
      </w:r>
      <w:r>
        <w:t xml:space="preserve"> </w:t>
      </w:r>
      <w:r>
        <w:t xml:space="preserve">call conditioned on</w:t>
      </w:r>
      <w:r>
        <w:t xml:space="preserve"> </w:t>
      </w:r>
      <w:r>
        <w:rPr>
          <w:rStyle w:val="VerbatimChar"/>
        </w:rPr>
        <w:t xml:space="preserve">attribute_not_exists(PK)</w:t>
      </w:r>
      <w:r>
        <w:t xml:space="preserve">; and AP5 is sparse — shipping an order removes</w:t>
      </w:r>
      <w:r>
        <w:t xml:space="preserve"> </w:t>
      </w:r>
      <w:r>
        <w:rPr>
          <w:rStyle w:val="VerbatimChar"/>
        </w:rPr>
        <w:t xml:space="preserve">GSI2PK</w:t>
      </w:r>
      <w:r>
        <w:t xml:space="preserve">, dropping it from GSI2.</w:t>
      </w:r>
    </w:p>
    <w:p>
      <w:pPr>
        <w:pStyle w:val="BodyText"/>
      </w:pPr>
      <w:r>
        <w:rPr>
          <w:bCs/>
          <w:b/>
        </w:rPr>
        <w:t xml:space="preserve">Figure 12.3 — Single-table design with two global secondary indexes.</w:t>
      </w:r>
    </w:p>
    <w:p>
      <w:pPr>
        <w:pStyle w:val="BodyText"/>
      </w:pPr>
      <w:r>
        <w:drawing>
          <wp:inline>
            <wp:extent cx="5334000" cy="1284779"/>
            <wp:effectExtent b="0" l="0" r="0" t="0"/>
            <wp:docPr descr="" title="" id="1329" name="Picture"/>
            <a:graphic>
              <a:graphicData uri="http://schemas.openxmlformats.org/drawingml/2006/picture">
                <pic:pic>
                  <pic:nvPicPr>
                    <pic:cNvPr descr="/home/user/System-Design/build/.cache/diagrams/e6e8804f0f7b.png" id="1330" name="Picture"/>
                    <pic:cNvPicPr>
                      <a:picLocks noChangeArrowheads="1" noChangeAspect="1"/>
                    </pic:cNvPicPr>
                  </pic:nvPicPr>
                  <pic:blipFill>
                    <a:blip r:embed="rId1328"/>
                    <a:stretch>
                      <a:fillRect/>
                    </a:stretch>
                  </pic:blipFill>
                  <pic:spPr bwMode="auto">
                    <a:xfrm>
                      <a:off x="0" y="0"/>
                      <a:ext cx="5334000" cy="1284779"/>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order service issues synchronous Queries (solid) against the base table or an index, each touching one partition key. Dotted arrows are asynchronous index propagation: a header write is copied into GSI1, and into GSI2 only while it carries the warehouse attribute. Each GSI is a separate storage boundary with its own partitions and capacity. Failure points: a throttled GSI slows base-table writes, and GSI reads can briefly miss a new order. Scaling: every pattern stays one partition-local request regardless of customer count.</w:t>
      </w:r>
    </w:p>
    <w:bookmarkStart w:id="1331" w:name="code-example-12"/>
    <w:p>
      <w:pPr>
        <w:pStyle w:val="Heading4"/>
      </w:pPr>
      <w:r>
        <w:t xml:space="preserve">Code example</w:t>
      </w:r>
    </w:p>
    <w:p>
      <w:pPr>
        <w:pStyle w:val="FirstParagraph"/>
      </w:pPr>
      <w:r>
        <w:t xml:space="preserve">This runnable program imitates the key model so you can experiment without an AWS account.</w:t>
      </w:r>
    </w:p>
    <w:p>
      <w:pPr>
        <w:pStyle w:val="SourceCode"/>
      </w:pPr>
      <w:r>
        <w:rPr>
          <w:rStyle w:val="CommentTok"/>
        </w:rPr>
        <w:t xml:space="preserve">"""A toy single-table store that mimics DynamoDB's key model:</w:t>
      </w:r>
      <w:r>
        <w:br/>
      </w:r>
      <w:r>
        <w:rPr>
          <w:rStyle w:val="CommentTok"/>
        </w:rPr>
        <w:t xml:space="preserve">hash(partition key) -&gt; partition; items sorted by sort key inside it;</w:t>
      </w:r>
      <w:r>
        <w:br/>
      </w:r>
      <w:r>
        <w:rPr>
          <w:rStyle w:val="CommentTok"/>
        </w:rPr>
        <w:t xml:space="preserve">global secondary indexes maintained from attributes on each item."""</w:t>
      </w:r>
      <w:r>
        <w:br/>
      </w:r>
      <w:r>
        <w:rPr>
          <w:rStyle w:val="ImportTok"/>
        </w:rPr>
        <w:t xml:space="preserve">import</w:t>
      </w:r>
      <w:r>
        <w:rPr>
          <w:rStyle w:val="NormalTok"/>
        </w:rPr>
        <w:t xml:space="preserve"> bisect</w:t>
      </w:r>
      <w:r>
        <w:br/>
      </w:r>
      <w:r>
        <w:rPr>
          <w:rStyle w:val="ImportTok"/>
        </w:rPr>
        <w:t xml:space="preserve">import</w:t>
      </w:r>
      <w:r>
        <w:rPr>
          <w:rStyle w:val="NormalTok"/>
        </w:rPr>
        <w:t xml:space="preserve"> hashlib</w:t>
      </w:r>
      <w:r>
        <w:br/>
      </w:r>
      <w:r>
        <w:rPr>
          <w:rStyle w:val="ImportTok"/>
        </w:rPr>
        <w:t xml:space="preserve">from</w:t>
      </w:r>
      <w:r>
        <w:rPr>
          <w:rStyle w:val="NormalTok"/>
        </w:rPr>
        <w:t xml:space="preserve"> collections </w:t>
      </w:r>
      <w:r>
        <w:rPr>
          <w:rStyle w:val="ImportTok"/>
        </w:rPr>
        <w:t xml:space="preserve">import</w:t>
      </w:r>
      <w:r>
        <w:rPr>
          <w:rStyle w:val="NormalTok"/>
        </w:rPr>
        <w:t xml:space="preserve"> defaultdict</w:t>
      </w:r>
      <w:r>
        <w:br/>
      </w:r>
      <w:r>
        <w:br/>
      </w:r>
      <w:r>
        <w:rPr>
          <w:rStyle w:val="KeywordTok"/>
        </w:rPr>
        <w:t xml:space="preserve">class</w:t>
      </w:r>
      <w:r>
        <w:rPr>
          <w:rStyle w:val="NormalTok"/>
        </w:rPr>
        <w:t xml:space="preserve"> Table: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partitions</w:t>
      </w:r>
      <w:r>
        <w:rPr>
          <w:rStyle w:val="OperatorTok"/>
        </w:rPr>
        <w:t xml:space="preserve">=</w:t>
      </w:r>
      <w:r>
        <w:rPr>
          <w:rStyle w:val="DecValTok"/>
        </w:rPr>
        <w:t xml:space="preserve">4</w:t>
      </w:r>
      <w:r>
        <w:rPr>
          <w:rStyle w:val="NormalTok"/>
        </w:rPr>
        <w:t xml:space="preserve">, gsis</w:t>
      </w:r>
      <w:r>
        <w:rPr>
          <w:rStyle w:val="OperatorTok"/>
        </w:rPr>
        <w:t xml:space="preserve">=</w:t>
      </w:r>
      <w:r>
        <w:rPr>
          <w:rStyle w:val="NormalTok"/>
        </w:rPr>
        <w:t xml:space="preserve">()):</w:t>
      </w:r>
      <w:r>
        <w:br/>
      </w:r>
      <w:r>
        <w:rPr>
          <w:rStyle w:val="NormalTok"/>
        </w:rPr>
        <w:t xml:space="preserve">        </w:t>
      </w:r>
      <w:r>
        <w:rPr>
          <w:rStyle w:val="VariableTok"/>
        </w:rPr>
        <w:t xml:space="preserve">self</w:t>
      </w:r>
      <w:r>
        <w:rPr>
          <w:rStyle w:val="NormalTok"/>
        </w:rPr>
        <w:t xml:space="preserve">.partitions </w:t>
      </w:r>
      <w:r>
        <w:rPr>
          <w:rStyle w:val="OperatorTok"/>
        </w:rPr>
        <w:t xml:space="preserve">=</w:t>
      </w:r>
      <w:r>
        <w:rPr>
          <w:rStyle w:val="NormalTok"/>
        </w:rPr>
        <w:t xml:space="preserve"> [defaultdict(</w:t>
      </w:r>
      <w:r>
        <w:rPr>
          <w:rStyle w:val="BuiltInTok"/>
        </w:rPr>
        <w:t xml:space="preserve">list</w:t>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(partitions)]</w:t>
      </w:r>
      <w:r>
        <w:br/>
      </w:r>
      <w:r>
        <w:rPr>
          <w:rStyle w:val="NormalTok"/>
        </w:rPr>
        <w:t xml:space="preserve">        </w:t>
      </w:r>
      <w:r>
        <w:rPr>
          <w:rStyle w:val="VariableTok"/>
        </w:rPr>
        <w:t xml:space="preserve">self</w:t>
      </w:r>
      <w:r>
        <w:rPr>
          <w:rStyle w:val="NormalTok"/>
        </w:rPr>
        <w:t xml:space="preserve">.gsis </w:t>
      </w:r>
      <w:r>
        <w:rPr>
          <w:rStyle w:val="OperatorTok"/>
        </w:rPr>
        <w:t xml:space="preserve">=</w:t>
      </w:r>
      <w:r>
        <w:rPr>
          <w:rStyle w:val="NormalTok"/>
        </w:rPr>
        <w:t xml:space="preserve"> {name: Table(partitions) </w:t>
      </w:r>
      <w:r>
        <w:rPr>
          <w:rStyle w:val="ControlFlowTok"/>
        </w:rPr>
        <w:t xml:space="preserve">for</w:t>
      </w:r>
      <w:r>
        <w:rPr>
          <w:rStyle w:val="NormalTok"/>
        </w:rPr>
        <w:t xml:space="preserve"> name </w:t>
      </w:r>
      <w:r>
        <w:rPr>
          <w:rStyle w:val="KeywordTok"/>
        </w:rPr>
        <w:t xml:space="preserve">in</w:t>
      </w:r>
      <w:r>
        <w:rPr>
          <w:rStyle w:val="NormalTok"/>
        </w:rPr>
        <w:t xml:space="preserve"> gsis}   </w:t>
      </w:r>
      <w:r>
        <w:rPr>
          <w:rStyle w:val="CommentTok"/>
        </w:rPr>
        <w:t xml:space="preserve"># name -&gt; index table</w:t>
      </w:r>
      <w:r>
        <w:br/>
      </w:r>
      <w:r>
        <w:br/>
      </w:r>
      <w:r>
        <w:rPr>
          <w:rStyle w:val="NormalTok"/>
        </w:rPr>
        <w:t xml:space="preserve">    </w:t>
      </w:r>
      <w:r>
        <w:rPr>
          <w:rStyle w:val="KeywordTok"/>
        </w:rPr>
        <w:t xml:space="preserve">def</w:t>
      </w:r>
      <w:r>
        <w:rPr>
          <w:rStyle w:val="NormalTok"/>
        </w:rPr>
        <w:t xml:space="preserve"> _part(</w:t>
      </w:r>
      <w:r>
        <w:rPr>
          <w:rStyle w:val="VariableTok"/>
        </w:rPr>
        <w:t xml:space="preserve">self</w:t>
      </w:r>
      <w:r>
        <w:rPr>
          <w:rStyle w:val="NormalTok"/>
        </w:rPr>
        <w:t xml:space="preserve">, pk):</w:t>
      </w:r>
      <w:r>
        <w:br/>
      </w:r>
      <w:r>
        <w:rPr>
          <w:rStyle w:val="NormalTok"/>
        </w:rPr>
        <w:t xml:space="preserve">        h </w:t>
      </w:r>
      <w:r>
        <w:rPr>
          <w:rStyle w:val="OperatorTok"/>
        </w:rPr>
        <w:t xml:space="preserve">=</w:t>
      </w:r>
      <w:r>
        <w:rPr>
          <w:rStyle w:val="NormalTok"/>
        </w:rPr>
        <w:t xml:space="preserve"> </w:t>
      </w:r>
      <w:r>
        <w:rPr>
          <w:rStyle w:val="BuiltInTok"/>
        </w:rPr>
        <w:t xml:space="preserve">int</w:t>
      </w:r>
      <w:r>
        <w:rPr>
          <w:rStyle w:val="NormalTok"/>
        </w:rPr>
        <w:t xml:space="preserve">(hashlib.md5(pk.encode()).hexdigest(), </w:t>
      </w:r>
      <w:r>
        <w:rPr>
          <w:rStyle w:val="DecValTok"/>
        </w:rPr>
        <w:t xml:space="preserve">16</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.partitions[h </w:t>
      </w:r>
      <w:r>
        <w:rPr>
          <w:rStyle w:val="OperatorTok"/>
        </w:rPr>
        <w:t xml:space="preserve">%</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.partitions)]</w:t>
      </w:r>
      <w:r>
        <w:br/>
      </w:r>
      <w:r>
        <w:br/>
      </w:r>
      <w:r>
        <w:rPr>
          <w:rStyle w:val="NormalTok"/>
        </w:rPr>
        <w:t xml:space="preserve">    </w:t>
      </w:r>
      <w:r>
        <w:rPr>
          <w:rStyle w:val="KeywordTok"/>
        </w:rPr>
        <w:t xml:space="preserve">def</w:t>
      </w:r>
      <w:r>
        <w:rPr>
          <w:rStyle w:val="NormalTok"/>
        </w:rPr>
        <w:t xml:space="preserve"> put(</w:t>
      </w:r>
      <w:r>
        <w:rPr>
          <w:rStyle w:val="VariableTok"/>
        </w:rPr>
        <w:t xml:space="preserve">self</w:t>
      </w:r>
      <w:r>
        <w:rPr>
          <w:rStyle w:val="NormalTok"/>
        </w:rPr>
        <w:t xml:space="preserve">, item):</w:t>
      </w:r>
      <w:r>
        <w:br/>
      </w:r>
      <w:r>
        <w:rPr>
          <w:rStyle w:val="NormalTok"/>
        </w:rPr>
        <w:t xml:space="preserve">        rows </w:t>
      </w:r>
      <w:r>
        <w:rPr>
          <w:rStyle w:val="OperatorTok"/>
        </w:rPr>
        <w:t xml:space="preserve">=</w:t>
      </w:r>
      <w:r>
        <w:rPr>
          <w:rStyle w:val="NormalTok"/>
        </w:rPr>
        <w:t xml:space="preserve"> </w:t>
      </w:r>
      <w:r>
        <w:rPr>
          <w:rStyle w:val="VariableTok"/>
        </w:rPr>
        <w:t xml:space="preserve">self</w:t>
      </w:r>
      <w:r>
        <w:rPr>
          <w:rStyle w:val="NormalTok"/>
        </w:rPr>
        <w:t xml:space="preserve">._part(item[</w:t>
      </w:r>
      <w:r>
        <w:rPr>
          <w:rStyle w:val="StringTok"/>
        </w:rPr>
        <w:t xml:space="preserve">"PK"</w:t>
      </w:r>
      <w:r>
        <w:rPr>
          <w:rStyle w:val="NormalTok"/>
        </w:rPr>
        <w:t xml:space="preserve">])[item[</w:t>
      </w:r>
      <w:r>
        <w:rPr>
          <w:rStyle w:val="StringTok"/>
        </w:rPr>
        <w:t xml:space="preserve">"PK"</w:t>
      </w:r>
      <w:r>
        <w:rPr>
          <w:rStyle w:val="NormalTok"/>
        </w:rPr>
        <w:t xml:space="preserve">]]          </w:t>
      </w:r>
      <w:r>
        <w:rPr>
          <w:rStyle w:val="CommentTok"/>
        </w:rPr>
        <w:t xml:space="preserve"># the item collection</w:t>
      </w:r>
      <w:r>
        <w:br/>
      </w:r>
      <w:r>
        <w:rPr>
          <w:rStyle w:val="NormalTok"/>
        </w:rPr>
        <w:t xml:space="preserve">        keys </w:t>
      </w:r>
      <w:r>
        <w:rPr>
          <w:rStyle w:val="OperatorTok"/>
        </w:rPr>
        <w:t xml:space="preserve">=</w:t>
      </w:r>
      <w:r>
        <w:rPr>
          <w:rStyle w:val="NormalTok"/>
        </w:rPr>
        <w:t xml:space="preserve"> [r[</w:t>
      </w:r>
      <w:r>
        <w:rPr>
          <w:rStyle w:val="StringTok"/>
        </w:rPr>
        <w:t xml:space="preserve">"SK"</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rows]</w:t>
      </w:r>
      <w:r>
        <w:br/>
      </w:r>
      <w:r>
        <w:rPr>
          <w:rStyle w:val="NormalTok"/>
        </w:rPr>
        <w:t xml:space="preserve">        i </w:t>
      </w:r>
      <w:r>
        <w:rPr>
          <w:rStyle w:val="OperatorTok"/>
        </w:rPr>
        <w:t xml:space="preserve">=</w:t>
      </w:r>
      <w:r>
        <w:rPr>
          <w:rStyle w:val="NormalTok"/>
        </w:rPr>
        <w:t xml:space="preserve"> bisect.bisect_left(keys, item[</w:t>
      </w:r>
      <w:r>
        <w:rPr>
          <w:rStyle w:val="StringTok"/>
        </w:rPr>
        <w:t xml:space="preserve">"SK"</w:t>
      </w:r>
      <w:r>
        <w:rPr>
          <w:rStyle w:val="NormalTok"/>
        </w:rPr>
        <w:t xml:space="preserve">])</w:t>
      </w:r>
      <w:r>
        <w:br/>
      </w:r>
      <w:r>
        <w:rPr>
          <w:rStyle w:val="NormalTok"/>
        </w:rPr>
        <w:t xml:space="preserve">        </w:t>
      </w:r>
      <w:r>
        <w:rPr>
          <w:rStyle w:val="ControlFlowTok"/>
        </w:rPr>
        <w:t xml:space="preserve">if</w:t>
      </w:r>
      <w:r>
        <w:rPr>
          <w:rStyle w:val="NormalTok"/>
        </w:rPr>
        <w:t xml:space="preserve"> i </w:t>
      </w:r>
      <w:r>
        <w:rPr>
          <w:rStyle w:val="OperatorTok"/>
        </w:rPr>
        <w:t xml:space="preserve">&lt;</w:t>
      </w:r>
      <w:r>
        <w:rPr>
          <w:rStyle w:val="NormalTok"/>
        </w:rPr>
        <w:t xml:space="preserve"> </w:t>
      </w:r>
      <w:r>
        <w:rPr>
          <w:rStyle w:val="BuiltInTok"/>
        </w:rPr>
        <w:t xml:space="preserve">len</w:t>
      </w:r>
      <w:r>
        <w:rPr>
          <w:rStyle w:val="NormalTok"/>
        </w:rPr>
        <w:t xml:space="preserve">(rows) </w:t>
      </w:r>
      <w:r>
        <w:rPr>
          <w:rStyle w:val="KeywordTok"/>
        </w:rPr>
        <w:t xml:space="preserve">and</w:t>
      </w:r>
      <w:r>
        <w:rPr>
          <w:rStyle w:val="NormalTok"/>
        </w:rPr>
        <w:t xml:space="preserve"> rows[i][</w:t>
      </w:r>
      <w:r>
        <w:rPr>
          <w:rStyle w:val="StringTok"/>
        </w:rPr>
        <w:t xml:space="preserve">"SK"</w:t>
      </w:r>
      <w:r>
        <w:rPr>
          <w:rStyle w:val="NormalTok"/>
        </w:rPr>
        <w:t xml:space="preserve">] </w:t>
      </w:r>
      <w:r>
        <w:rPr>
          <w:rStyle w:val="OperatorTok"/>
        </w:rPr>
        <w:t xml:space="preserve">==</w:t>
      </w:r>
      <w:r>
        <w:rPr>
          <w:rStyle w:val="NormalTok"/>
        </w:rPr>
        <w:t xml:space="preserve"> item[</w:t>
      </w:r>
      <w:r>
        <w:rPr>
          <w:rStyle w:val="StringTok"/>
        </w:rPr>
        <w:t xml:space="preserve">"SK"</w:t>
      </w:r>
      <w:r>
        <w:rPr>
          <w:rStyle w:val="NormalTok"/>
        </w:rPr>
        <w:t xml:space="preserve">]:</w:t>
      </w:r>
      <w:r>
        <w:br/>
      </w:r>
      <w:r>
        <w:rPr>
          <w:rStyle w:val="NormalTok"/>
        </w:rPr>
        <w:t xml:space="preserve">            rows[i] </w:t>
      </w:r>
      <w:r>
        <w:rPr>
          <w:rStyle w:val="OperatorTok"/>
        </w:rPr>
        <w:t xml:space="preserve">=</w:t>
      </w:r>
      <w:r>
        <w:rPr>
          <w:rStyle w:val="NormalTok"/>
        </w:rPr>
        <w:t xml:space="preserve"> item                                   </w:t>
      </w:r>
      <w:r>
        <w:rPr>
          <w:rStyle w:val="CommentTok"/>
        </w:rPr>
        <w:t xml:space="preserve"># overwrite same key</w:t>
      </w:r>
      <w:r>
        <w:br/>
      </w:r>
      <w:r>
        <w:rPr>
          <w:rStyle w:val="NormalTok"/>
        </w:rPr>
        <w:t xml:space="preserve">        </w:t>
      </w:r>
      <w:r>
        <w:rPr>
          <w:rStyle w:val="ControlFlowTok"/>
        </w:rPr>
        <w:t xml:space="preserve">else</w:t>
      </w:r>
      <w:r>
        <w:rPr>
          <w:rStyle w:val="NormalTok"/>
        </w:rPr>
        <w:t xml:space="preserve">:</w:t>
      </w:r>
      <w:r>
        <w:br/>
      </w:r>
      <w:r>
        <w:rPr>
          <w:rStyle w:val="NormalTok"/>
        </w:rPr>
        <w:t xml:space="preserve">            rows.insert(i, item)                             </w:t>
      </w:r>
      <w:r>
        <w:rPr>
          <w:rStyle w:val="CommentTok"/>
        </w:rPr>
        <w:t xml:space="preserve"># keep sorted by SK</w:t>
      </w:r>
      <w:r>
        <w:br/>
      </w:r>
      <w:r>
        <w:rPr>
          <w:rStyle w:val="NormalTok"/>
        </w:rPr>
        <w:t xml:space="preserve">        </w:t>
      </w:r>
      <w:r>
        <w:rPr>
          <w:rStyle w:val="ControlFlowTok"/>
        </w:rPr>
        <w:t xml:space="preserve">for</w:t>
      </w:r>
      <w:r>
        <w:rPr>
          <w:rStyle w:val="NormalTok"/>
        </w:rPr>
        <w:t xml:space="preserve"> name, index </w:t>
      </w:r>
      <w:r>
        <w:rPr>
          <w:rStyle w:val="KeywordTok"/>
        </w:rPr>
        <w:t xml:space="preserve">in</w:t>
      </w:r>
      <w:r>
        <w:rPr>
          <w:rStyle w:val="NormalTok"/>
        </w:rPr>
        <w:t xml:space="preserve"> </w:t>
      </w:r>
      <w:r>
        <w:rPr>
          <w:rStyle w:val="VariableTok"/>
        </w:rPr>
        <w:t xml:space="preserve">self</w:t>
      </w:r>
      <w:r>
        <w:rPr>
          <w:rStyle w:val="NormalTok"/>
        </w:rPr>
        <w:t xml:space="preserve">.gsis.items():                </w:t>
      </w:r>
      <w:r>
        <w:rPr>
          <w:rStyle w:val="CommentTok"/>
        </w:rPr>
        <w:t xml:space="preserve"># sparse: only if keys present</w:t>
      </w:r>
      <w:r>
        <w:br/>
      </w:r>
      <w:r>
        <w:rPr>
          <w:rStyle w:val="NormalTok"/>
        </w:rPr>
        <w:t xml:space="preserve">            </w:t>
      </w:r>
      <w:r>
        <w:rPr>
          <w:rStyle w:val="ControlFlowTok"/>
        </w:rPr>
        <w:t xml:space="preserve">if</w:t>
      </w:r>
      <w:r>
        <w:rPr>
          <w:rStyle w:val="NormalTok"/>
        </w:rPr>
        <w:t xml:space="preserve"> </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PK"</w:t>
      </w:r>
      <w:r>
        <w:rPr>
          <w:rStyle w:val="NormalTok"/>
        </w:rPr>
        <w:t xml:space="preserve"> </w:t>
      </w:r>
      <w:r>
        <w:rPr>
          <w:rStyle w:val="KeywordTok"/>
        </w:rPr>
        <w:t xml:space="preserve">in</w:t>
      </w:r>
      <w:r>
        <w:rPr>
          <w:rStyle w:val="NormalTok"/>
        </w:rPr>
        <w:t xml:space="preserve"> item:</w:t>
      </w:r>
      <w:r>
        <w:br/>
      </w:r>
      <w:r>
        <w:rPr>
          <w:rStyle w:val="NormalTok"/>
        </w:rPr>
        <w:t xml:space="preserve">                index.put({</w:t>
      </w:r>
      <w:r>
        <w:rPr>
          <w:rStyle w:val="OperatorTok"/>
        </w:rPr>
        <w:t xml:space="preserve">**</w:t>
      </w:r>
      <w:r>
        <w:rPr>
          <w:rStyle w:val="NormalTok"/>
        </w:rPr>
        <w:t xml:space="preserve">item, </w:t>
      </w:r>
      <w:r>
        <w:rPr>
          <w:rStyle w:val="StringTok"/>
        </w:rPr>
        <w:t xml:space="preserve">"PK"</w:t>
      </w:r>
      <w:r>
        <w:rPr>
          <w:rStyle w:val="NormalTok"/>
        </w:rPr>
        <w:t xml:space="preserve">: item[</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PK"</w:t>
      </w:r>
      <w:r>
        <w:rPr>
          <w:rStyle w:val="NormalTok"/>
        </w:rPr>
        <w:t xml:space="preserve">], </w:t>
      </w:r>
      <w:r>
        <w:rPr>
          <w:rStyle w:val="StringTok"/>
        </w:rPr>
        <w:t xml:space="preserve">"SK"</w:t>
      </w:r>
      <w:r>
        <w:rPr>
          <w:rStyle w:val="NormalTok"/>
        </w:rPr>
        <w:t xml:space="preserve">: item[</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SK"</w:t>
      </w:r>
      <w:r>
        <w:rPr>
          <w:rStyle w:val="NormalTok"/>
        </w:rPr>
        <w:t xml:space="preserve">]})</w:t>
      </w:r>
      <w:r>
        <w:br/>
      </w:r>
      <w:r>
        <w:br/>
      </w:r>
      <w:r>
        <w:rPr>
          <w:rStyle w:val="NormalTok"/>
        </w:rPr>
        <w:t xml:space="preserve">    </w:t>
      </w:r>
      <w:r>
        <w:rPr>
          <w:rStyle w:val="KeywordTok"/>
        </w:rPr>
        <w:t xml:space="preserve">def</w:t>
      </w:r>
      <w:r>
        <w:rPr>
          <w:rStyle w:val="NormalTok"/>
        </w:rPr>
        <w:t xml:space="preserve"> query(</w:t>
      </w:r>
      <w:r>
        <w:rPr>
          <w:rStyle w:val="VariableTok"/>
        </w:rPr>
        <w:t xml:space="preserve">self</w:t>
      </w:r>
      <w:r>
        <w:rPr>
          <w:rStyle w:val="NormalTok"/>
        </w:rPr>
        <w:t xml:space="preserve">, pk, sk_prefix</w:t>
      </w:r>
      <w:r>
        <w:rPr>
          <w:rStyle w:val="OperatorTok"/>
        </w:rPr>
        <w:t xml:space="preserve">=</w:t>
      </w:r>
      <w:r>
        <w:rPr>
          <w:rStyle w:val="StringTok"/>
        </w:rPr>
        <w:t xml:space="preserve">""</w:t>
      </w:r>
      <w:r>
        <w:rPr>
          <w:rStyle w:val="NormalTok"/>
        </w:rPr>
        <w:t xml:space="preserve">, newest_first</w:t>
      </w:r>
      <w:r>
        <w:rPr>
          <w:rStyle w:val="OperatorTok"/>
        </w:rPr>
        <w:t xml:space="preserve">=</w:t>
      </w:r>
      <w:r>
        <w:rPr>
          <w:rStyle w:val="VariableTok"/>
        </w:rPr>
        <w:t xml:space="preserve">False</w:t>
      </w:r>
      <w:r>
        <w:rPr>
          <w:rStyle w:val="NormalTok"/>
        </w:rPr>
        <w:t xml:space="preserve">):</w:t>
      </w:r>
      <w:r>
        <w:br/>
      </w:r>
      <w:r>
        <w:rPr>
          <w:rStyle w:val="NormalTok"/>
        </w:rPr>
        <w:t xml:space="preserve">        rows </w:t>
      </w:r>
      <w:r>
        <w:rPr>
          <w:rStyle w:val="OperatorTok"/>
        </w:rPr>
        <w:t xml:space="preserve">=</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w:t>
      </w:r>
      <w:r>
        <w:rPr>
          <w:rStyle w:val="VariableTok"/>
        </w:rPr>
        <w:t xml:space="preserve">self</w:t>
      </w:r>
      <w:r>
        <w:rPr>
          <w:rStyle w:val="NormalTok"/>
        </w:rPr>
        <w:t xml:space="preserve">._part(pk).get(pk, []) </w:t>
      </w:r>
      <w:r>
        <w:rPr>
          <w:rStyle w:val="ControlFlowTok"/>
        </w:rPr>
        <w:t xml:space="preserve">if</w:t>
      </w:r>
      <w:r>
        <w:rPr>
          <w:rStyle w:val="NormalTok"/>
        </w:rPr>
        <w:t xml:space="preserve"> r[</w:t>
      </w:r>
      <w:r>
        <w:rPr>
          <w:rStyle w:val="StringTok"/>
        </w:rPr>
        <w:t xml:space="preserve">"SK"</w:t>
      </w:r>
      <w:r>
        <w:rPr>
          <w:rStyle w:val="NormalTok"/>
        </w:rPr>
        <w:t xml:space="preserve">].startswith(sk_prefix)]</w:t>
      </w:r>
      <w:r>
        <w:br/>
      </w:r>
      <w:r>
        <w:rPr>
          <w:rStyle w:val="NormalTok"/>
        </w:rPr>
        <w:t xml:space="preserve">        </w:t>
      </w:r>
      <w:r>
        <w:rPr>
          <w:rStyle w:val="ControlFlowTok"/>
        </w:rPr>
        <w:t xml:space="preserve">return</w:t>
      </w:r>
      <w:r>
        <w:rPr>
          <w:rStyle w:val="NormalTok"/>
        </w:rPr>
        <w:t xml:space="preserve"> rows[::</w:t>
      </w:r>
      <w:r>
        <w:rPr>
          <w:rStyle w:val="OperatorTok"/>
        </w:rPr>
        <w:t xml:space="preserve">-</w:t>
      </w:r>
      <w:r>
        <w:rPr>
          <w:rStyle w:val="DecValTok"/>
        </w:rPr>
        <w:t xml:space="preserve">1</w:t>
      </w:r>
      <w:r>
        <w:rPr>
          <w:rStyle w:val="NormalTok"/>
        </w:rPr>
        <w:t xml:space="preserve">] </w:t>
      </w:r>
      <w:r>
        <w:rPr>
          <w:rStyle w:val="ControlFlowTok"/>
        </w:rPr>
        <w:t xml:space="preserve">if</w:t>
      </w:r>
      <w:r>
        <w:rPr>
          <w:rStyle w:val="NormalTok"/>
        </w:rPr>
        <w:t xml:space="preserve"> newest_first </w:t>
      </w:r>
      <w:r>
        <w:rPr>
          <w:rStyle w:val="ControlFlowTok"/>
        </w:rPr>
        <w:t xml:space="preserve">else</w:t>
      </w:r>
      <w:r>
        <w:rPr>
          <w:rStyle w:val="NormalTok"/>
        </w:rPr>
        <w:t xml:space="preserve"> rows</w:t>
      </w:r>
      <w:r>
        <w:br/>
      </w:r>
      <w:r>
        <w:br/>
      </w:r>
      <w:r>
        <w:rPr>
          <w:rStyle w:val="NormalTok"/>
        </w:rPr>
        <w:t xml:space="preserve">t </w:t>
      </w:r>
      <w:r>
        <w:rPr>
          <w:rStyle w:val="OperatorTok"/>
        </w:rPr>
        <w:t xml:space="preserve">=</w:t>
      </w:r>
      <w:r>
        <w:rPr>
          <w:rStyle w:val="NormalTok"/>
        </w:rPr>
        <w:t xml:space="preserve"> Table(gsis</w:t>
      </w:r>
      <w:r>
        <w:rPr>
          <w:rStyle w:val="OperatorTok"/>
        </w:rPr>
        <w:t xml:space="preserve">=</w:t>
      </w:r>
      <w:r>
        <w:rPr>
          <w:rStyle w:val="NormalTok"/>
        </w:rPr>
        <w:t xml:space="preserve">(</w:t>
      </w:r>
      <w:r>
        <w:rPr>
          <w:rStyle w:val="StringTok"/>
        </w:rPr>
        <w:t xml:space="preserve">"GSI1"</w:t>
      </w:r>
      <w:r>
        <w:rPr>
          <w:rStyle w:val="NormalTok"/>
        </w:rPr>
        <w:t xml:space="preserve">, </w:t>
      </w:r>
      <w:r>
        <w:rPr>
          <w:rStyle w:val="StringTok"/>
        </w:rPr>
        <w:t xml:space="preserve">"GSI2"</w:t>
      </w:r>
      <w:r>
        <w:rPr>
          <w:rStyle w:val="NormalTok"/>
        </w:rPr>
        <w:t xml:space="preserve">))</w:t>
      </w:r>
      <w:r>
        <w:br/>
      </w:r>
      <w:r>
        <w:rPr>
          <w:rStyle w:val="NormalTok"/>
        </w:rPr>
        <w:t xml:space="preserve">t.put({</w:t>
      </w:r>
      <w:r>
        <w:rPr>
          <w:rStyle w:val="StringTok"/>
        </w:rPr>
        <w:t xml:space="preserve">"PK"</w:t>
      </w:r>
      <w:r>
        <w:rPr>
          <w:rStyle w:val="NormalTok"/>
        </w:rPr>
        <w:t xml:space="preserve">: </w:t>
      </w:r>
      <w:r>
        <w:rPr>
          <w:rStyle w:val="StringTok"/>
        </w:rPr>
        <w:t xml:space="preserve">"CUST#c42"</w:t>
      </w:r>
      <w:r>
        <w:rPr>
          <w:rStyle w:val="NormalTok"/>
        </w:rPr>
        <w:t xml:space="preserve">, </w:t>
      </w:r>
      <w:r>
        <w:rPr>
          <w:rStyle w:val="StringTok"/>
        </w:rPr>
        <w:t xml:space="preserve">"SK"</w:t>
      </w:r>
      <w:r>
        <w:rPr>
          <w:rStyle w:val="NormalTok"/>
        </w:rPr>
        <w:t xml:space="preserve">: </w:t>
      </w:r>
      <w:r>
        <w:rPr>
          <w:rStyle w:val="StringTok"/>
        </w:rPr>
        <w:t xml:space="preserve">"PROFILE"</w:t>
      </w:r>
      <w:r>
        <w:rPr>
          <w:rStyle w:val="NormalTok"/>
        </w:rPr>
        <w:t xml:space="preserve">, </w:t>
      </w:r>
      <w:r>
        <w:rPr>
          <w:rStyle w:val="StringTok"/>
        </w:rPr>
        <w:t xml:space="preserve">"name"</w:t>
      </w:r>
      <w:r>
        <w:rPr>
          <w:rStyle w:val="NormalTok"/>
        </w:rPr>
        <w:t xml:space="preserve">: </w:t>
      </w:r>
      <w:r>
        <w:rPr>
          <w:rStyle w:val="StringTok"/>
        </w:rPr>
        <w:t xml:space="preserve">"Ana"</w:t>
      </w:r>
      <w:r>
        <w:rPr>
          <w:rStyle w:val="NormalTok"/>
        </w:rPr>
        <w:t xml:space="preserve">, </w:t>
      </w:r>
      <w:r>
        <w:rPr>
          <w:rStyle w:val="StringTok"/>
        </w:rPr>
        <w:t xml:space="preserve">"email"</w:t>
      </w:r>
      <w:r>
        <w:rPr>
          <w:rStyle w:val="NormalTok"/>
        </w:rPr>
        <w:t xml:space="preserve">: </w:t>
      </w:r>
      <w:r>
        <w:rPr>
          <w:rStyle w:val="StringTok"/>
        </w:rPr>
        <w:t xml:space="preserve">"ana@example.com"</w:t>
      </w:r>
      <w:r>
        <w:rPr>
          <w:rStyle w:val="NormalTok"/>
        </w:rPr>
        <w:t xml:space="preserve">})</w:t>
      </w:r>
      <w:r>
        <w:br/>
      </w:r>
      <w:r>
        <w:rPr>
          <w:rStyle w:val="NormalTok"/>
        </w:rPr>
        <w:t xml:space="preserve">t.put({</w:t>
      </w:r>
      <w:r>
        <w:rPr>
          <w:rStyle w:val="StringTok"/>
        </w:rPr>
        <w:t xml:space="preserve">"PK"</w:t>
      </w:r>
      <w:r>
        <w:rPr>
          <w:rStyle w:val="NormalTok"/>
        </w:rPr>
        <w:t xml:space="preserve">: </w:t>
      </w:r>
      <w:r>
        <w:rPr>
          <w:rStyle w:val="StringTok"/>
        </w:rPr>
        <w:t xml:space="preserve">"EMAIL#ana@example.com"</w:t>
      </w:r>
      <w:r>
        <w:rPr>
          <w:rStyle w:val="NormalTok"/>
        </w:rPr>
        <w:t xml:space="preserve">, </w:t>
      </w:r>
      <w:r>
        <w:rPr>
          <w:rStyle w:val="StringTok"/>
        </w:rPr>
        <w:t xml:space="preserve">"SK"</w:t>
      </w:r>
      <w:r>
        <w:rPr>
          <w:rStyle w:val="NormalTok"/>
        </w:rPr>
        <w:t xml:space="preserve">: </w:t>
      </w:r>
      <w:r>
        <w:rPr>
          <w:rStyle w:val="StringTok"/>
        </w:rPr>
        <w:t xml:space="preserve">"EMAIL"</w:t>
      </w:r>
      <w:r>
        <w:rPr>
          <w:rStyle w:val="NormalTok"/>
        </w:rPr>
        <w:t xml:space="preserve">, </w:t>
      </w:r>
      <w:r>
        <w:rPr>
          <w:rStyle w:val="StringTok"/>
        </w:rPr>
        <w:t xml:space="preserve">"customer"</w:t>
      </w:r>
      <w:r>
        <w:rPr>
          <w:rStyle w:val="NormalTok"/>
        </w:rPr>
        <w:t xml:space="preserve">: </w:t>
      </w:r>
      <w:r>
        <w:rPr>
          <w:rStyle w:val="StringTok"/>
        </w:rPr>
        <w:t xml:space="preserve">"c42"</w:t>
      </w:r>
      <w:r>
        <w:rPr>
          <w:rStyle w:val="NormalTok"/>
        </w:rPr>
        <w:t xml:space="preserve">})</w:t>
      </w:r>
      <w:r>
        <w:br/>
      </w:r>
      <w:r>
        <w:rPr>
          <w:rStyle w:val="ControlFlowTok"/>
        </w:rPr>
        <w:t xml:space="preserve">for</w:t>
      </w:r>
      <w:r>
        <w:rPr>
          <w:rStyle w:val="NormalTok"/>
        </w:rPr>
        <w:t xml:space="preserve"> oid, ts, wh </w:t>
      </w:r>
      <w:r>
        <w:rPr>
          <w:rStyle w:val="KeywordTok"/>
        </w:rPr>
        <w:t xml:space="preserve">in</w:t>
      </w:r>
      <w:r>
        <w:rPr>
          <w:rStyle w:val="NormalTok"/>
        </w:rPr>
        <w:t xml:space="preserve"> [(</w:t>
      </w:r>
      <w:r>
        <w:rPr>
          <w:rStyle w:val="StringTok"/>
        </w:rPr>
        <w:t xml:space="preserve">"o900"</w:t>
      </w:r>
      <w:r>
        <w:rPr>
          <w:rStyle w:val="NormalTok"/>
        </w:rPr>
        <w:t xml:space="preserve">, </w:t>
      </w:r>
      <w:r>
        <w:rPr>
          <w:rStyle w:val="StringTok"/>
        </w:rPr>
        <w:t xml:space="preserve">"2026-10-21T08:02"</w:t>
      </w:r>
      <w:r>
        <w:rPr>
          <w:rStyle w:val="NormalTok"/>
        </w:rPr>
        <w:t xml:space="preserve">, </w:t>
      </w:r>
      <w:r>
        <w:rPr>
          <w:rStyle w:val="VariableTok"/>
        </w:rPr>
        <w:t xml:space="preserve">None</w:t>
      </w:r>
      <w:r>
        <w:rPr>
          <w:rStyle w:val="NormalTok"/>
        </w:rPr>
        <w:t xml:space="preserve">), (</w:t>
      </w:r>
      <w:r>
        <w:rPr>
          <w:rStyle w:val="StringTok"/>
        </w:rPr>
        <w:t xml:space="preserve">"o901"</w:t>
      </w:r>
      <w:r>
        <w:rPr>
          <w:rStyle w:val="NormalTok"/>
        </w:rPr>
        <w:t xml:space="preserve">, </w:t>
      </w:r>
      <w:r>
        <w:rPr>
          <w:rStyle w:val="StringTok"/>
        </w:rPr>
        <w:t xml:space="preserve">"2026-10-28T09:15"</w:t>
      </w:r>
      <w:r>
        <w:rPr>
          <w:rStyle w:val="NormalTok"/>
        </w:rPr>
        <w:t xml:space="preserve">, </w:t>
      </w:r>
      <w:r>
        <w:rPr>
          <w:rStyle w:val="StringTok"/>
        </w:rPr>
        <w:t xml:space="preserve">"WH#w7"</w:t>
      </w:r>
      <w:r>
        <w:rPr>
          <w:rStyle w:val="NormalTok"/>
        </w:rPr>
        <w:t xml:space="preserve">)]:</w:t>
      </w:r>
      <w:r>
        <w:br/>
      </w:r>
      <w:r>
        <w:rPr>
          <w:rStyle w:val="NormalTok"/>
        </w:rPr>
        <w:t xml:space="preserve">    header </w:t>
      </w:r>
      <w:r>
        <w:rPr>
          <w:rStyle w:val="OperatorTok"/>
        </w:rPr>
        <w:t xml:space="preserve">=</w:t>
      </w:r>
      <w:r>
        <w:rPr>
          <w:rStyle w:val="NormalTok"/>
        </w:rPr>
        <w:t xml:space="preserve"> {</w:t>
      </w:r>
      <w:r>
        <w:rPr>
          <w:rStyle w:val="StringTok"/>
        </w:rPr>
        <w:t xml:space="preserve">"PK"</w:t>
      </w:r>
      <w:r>
        <w:rPr>
          <w:rStyle w:val="NormalTok"/>
        </w:rPr>
        <w:t xml:space="preserve">: </w:t>
      </w:r>
      <w:r>
        <w:rPr>
          <w:rStyle w:val="SpecialStringTok"/>
        </w:rPr>
        <w:t xml:space="preserve">f"ORDER#</w:t>
      </w:r>
      <w:r>
        <w:rPr>
          <w:rStyle w:val="SpecialCharTok"/>
        </w:rPr>
        <w:t xml:space="preserve">{</w:t>
      </w:r>
      <w:r>
        <w:rPr>
          <w:rStyle w:val="NormalTok"/>
        </w:rPr>
        <w:t xml:space="preserve">oid</w:t>
      </w:r>
      <w:r>
        <w:rPr>
          <w:rStyle w:val="SpecialCharTok"/>
        </w:rPr>
        <w:t xml:space="preserve">}</w:t>
      </w:r>
      <w:r>
        <w:rPr>
          <w:rStyle w:val="SpecialStringTok"/>
        </w:rPr>
        <w:t xml:space="preserve">"</w:t>
      </w:r>
      <w:r>
        <w:rPr>
          <w:rStyle w:val="NormalTok"/>
        </w:rPr>
        <w:t xml:space="preserve">, </w:t>
      </w:r>
      <w:r>
        <w:rPr>
          <w:rStyle w:val="StringTok"/>
        </w:rPr>
        <w:t xml:space="preserve">"SK"</w:t>
      </w:r>
      <w:r>
        <w:rPr>
          <w:rStyle w:val="NormalTok"/>
        </w:rPr>
        <w:t xml:space="preserve">: </w:t>
      </w:r>
      <w:r>
        <w:rPr>
          <w:rStyle w:val="StringTok"/>
        </w:rPr>
        <w:t xml:space="preserve">"#HEADER"</w:t>
      </w:r>
      <w:r>
        <w:rPr>
          <w:rStyle w:val="NormalTok"/>
        </w:rPr>
        <w:t xml:space="preserve">, </w:t>
      </w:r>
      <w:r>
        <w:rPr>
          <w:rStyle w:val="StringTok"/>
        </w:rPr>
        <w:t xml:space="preserve">"total"</w:t>
      </w:r>
      <w:r>
        <w:rPr>
          <w:rStyle w:val="NormalTok"/>
        </w:rPr>
        <w:t xml:space="preserve">: </w:t>
      </w:r>
      <w:r>
        <w:rPr>
          <w:rStyle w:val="FloatTok"/>
        </w:rPr>
        <w:t xml:space="preserve">59.0</w:t>
      </w:r>
      <w:r>
        <w:rPr>
          <w:rStyle w:val="NormalTok"/>
        </w:rPr>
        <w:t xml:space="preserve">,</w:t>
      </w:r>
      <w:r>
        <w:br/>
      </w:r>
      <w:r>
        <w:rPr>
          <w:rStyle w:val="NormalTok"/>
        </w:rPr>
        <w:t xml:space="preserve">              </w:t>
      </w:r>
      <w:r>
        <w:rPr>
          <w:rStyle w:val="StringTok"/>
        </w:rPr>
        <w:t xml:space="preserve">"GSI1PK"</w:t>
      </w:r>
      <w:r>
        <w:rPr>
          <w:rStyle w:val="NormalTok"/>
        </w:rPr>
        <w:t xml:space="preserve">: </w:t>
      </w:r>
      <w:r>
        <w:rPr>
          <w:rStyle w:val="StringTok"/>
        </w:rPr>
        <w:t xml:space="preserve">"CUST#c42"</w:t>
      </w:r>
      <w:r>
        <w:rPr>
          <w:rStyle w:val="NormalTok"/>
        </w:rPr>
        <w:t xml:space="preserve">, </w:t>
      </w:r>
      <w:r>
        <w:rPr>
          <w:rStyle w:val="StringTok"/>
        </w:rPr>
        <w:t xml:space="preserve">"GSI1SK"</w:t>
      </w:r>
      <w:r>
        <w:rPr>
          <w:rStyle w:val="NormalTok"/>
        </w:rPr>
        <w:t xml:space="preserve">: </w:t>
      </w:r>
      <w:r>
        <w:rPr>
          <w:rStyle w:val="SpecialStringTok"/>
        </w:rPr>
        <w:t xml:space="preserve">f"ORDER#</w:t>
      </w:r>
      <w:r>
        <w:rPr>
          <w:rStyle w:val="SpecialCharTok"/>
        </w:rPr>
        <w:t xml:space="preserve">{</w:t>
      </w:r>
      <w:r>
        <w:rPr>
          <w:rStyle w:val="NormalTok"/>
        </w:rPr>
        <w:t xml:space="preserve">ts</w:t>
      </w:r>
      <w:r>
        <w:rPr>
          <w:rStyle w:val="SpecialCharTok"/>
        </w:rPr>
        <w:t xml:space="preserve">}</w:t>
      </w:r>
      <w:r>
        <w:rPr>
          <w:rStyle w:val="SpecialStringTok"/>
        </w:rPr>
        <w:t xml:space="preserve">#</w:t>
      </w:r>
      <w:r>
        <w:rPr>
          <w:rStyle w:val="SpecialCharTok"/>
        </w:rPr>
        <w:t xml:space="preserve">{</w:t>
      </w:r>
      <w:r>
        <w:rPr>
          <w:rStyle w:val="NormalTok"/>
        </w:rPr>
        <w:t xml:space="preserve">oid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wh:                                   </w:t>
      </w:r>
      <w:r>
        <w:rPr>
          <w:rStyle w:val="CommentTok"/>
        </w:rPr>
        <w:t xml:space="preserve"># only unshipped orders enter GSI2</w:t>
      </w:r>
      <w:r>
        <w:br/>
      </w:r>
      <w:r>
        <w:rPr>
          <w:rStyle w:val="NormalTok"/>
        </w:rPr>
        <w:t xml:space="preserve">        header </w:t>
      </w:r>
      <w:r>
        <w:rPr>
          <w:rStyle w:val="OperatorTok"/>
        </w:rPr>
        <w:t xml:space="preserve">|=</w:t>
      </w:r>
      <w:r>
        <w:rPr>
          <w:rStyle w:val="NormalTok"/>
        </w:rPr>
        <w:t xml:space="preserve"> {</w:t>
      </w:r>
      <w:r>
        <w:rPr>
          <w:rStyle w:val="StringTok"/>
        </w:rPr>
        <w:t xml:space="preserve">"GSI2PK"</w:t>
      </w:r>
      <w:r>
        <w:rPr>
          <w:rStyle w:val="NormalTok"/>
        </w:rPr>
        <w:t xml:space="preserve">: wh, </w:t>
      </w:r>
      <w:r>
        <w:rPr>
          <w:rStyle w:val="StringTok"/>
        </w:rPr>
        <w:t xml:space="preserve">"GSI2SK"</w:t>
      </w:r>
      <w:r>
        <w:rPr>
          <w:rStyle w:val="NormalTok"/>
        </w:rPr>
        <w:t xml:space="preserve">: </w:t>
      </w:r>
      <w:r>
        <w:rPr>
          <w:rStyle w:val="SpecialStringTok"/>
        </w:rPr>
        <w:t xml:space="preserve">f"</w:t>
      </w:r>
      <w:r>
        <w:rPr>
          <w:rStyle w:val="SpecialCharTok"/>
        </w:rPr>
        <w:t xml:space="preserve">{</w:t>
      </w:r>
      <w:r>
        <w:rPr>
          <w:rStyle w:val="NormalTok"/>
        </w:rPr>
        <w:t xml:space="preserve">ts</w:t>
      </w:r>
      <w:r>
        <w:rPr>
          <w:rStyle w:val="SpecialCharTok"/>
        </w:rPr>
        <w:t xml:space="preserve">}</w:t>
      </w:r>
      <w:r>
        <w:rPr>
          <w:rStyle w:val="SpecialStringTok"/>
        </w:rPr>
        <w:t xml:space="preserve">#</w:t>
      </w:r>
      <w:r>
        <w:rPr>
          <w:rStyle w:val="SpecialCharTok"/>
        </w:rPr>
        <w:t xml:space="preserve">{</w:t>
      </w:r>
      <w:r>
        <w:rPr>
          <w:rStyle w:val="NormalTok"/>
        </w:rPr>
        <w:t xml:space="preserve">oid</w:t>
      </w:r>
      <w:r>
        <w:rPr>
          <w:rStyle w:val="SpecialCharTok"/>
        </w:rPr>
        <w:t xml:space="preserve">}</w:t>
      </w:r>
      <w:r>
        <w:rPr>
          <w:rStyle w:val="SpecialStringTok"/>
        </w:rPr>
        <w:t xml:space="preserve">"</w:t>
      </w:r>
      <w:r>
        <w:rPr>
          <w:rStyle w:val="NormalTok"/>
        </w:rPr>
        <w:t xml:space="preserve">}</w:t>
      </w:r>
      <w:r>
        <w:br/>
      </w:r>
      <w:r>
        <w:rPr>
          <w:rStyle w:val="NormalTok"/>
        </w:rPr>
        <w:t xml:space="preserve">    t.put(header)</w:t>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        t.put({</w:t>
      </w:r>
      <w:r>
        <w:rPr>
          <w:rStyle w:val="StringTok"/>
        </w:rPr>
        <w:t xml:space="preserve">"PK"</w:t>
      </w:r>
      <w:r>
        <w:rPr>
          <w:rStyle w:val="NormalTok"/>
        </w:rPr>
        <w:t xml:space="preserve">: </w:t>
      </w:r>
      <w:r>
        <w:rPr>
          <w:rStyle w:val="SpecialStringTok"/>
        </w:rPr>
        <w:t xml:space="preserve">f"ORDER#</w:t>
      </w:r>
      <w:r>
        <w:rPr>
          <w:rStyle w:val="SpecialCharTok"/>
        </w:rPr>
        <w:t xml:space="preserve">{</w:t>
      </w:r>
      <w:r>
        <w:rPr>
          <w:rStyle w:val="NormalTok"/>
        </w:rPr>
        <w:t xml:space="preserve">oid</w:t>
      </w:r>
      <w:r>
        <w:rPr>
          <w:rStyle w:val="SpecialCharTok"/>
        </w:rPr>
        <w:t xml:space="preserve">}</w:t>
      </w:r>
      <w:r>
        <w:rPr>
          <w:rStyle w:val="SpecialStringTok"/>
        </w:rPr>
        <w:t xml:space="preserve">"</w:t>
      </w:r>
      <w:r>
        <w:rPr>
          <w:rStyle w:val="NormalTok"/>
        </w:rPr>
        <w:t xml:space="preserve">, </w:t>
      </w:r>
      <w:r>
        <w:rPr>
          <w:rStyle w:val="StringTok"/>
        </w:rPr>
        <w:t xml:space="preserve">"SK"</w:t>
      </w:r>
      <w:r>
        <w:rPr>
          <w:rStyle w:val="NormalTok"/>
        </w:rPr>
        <w:t xml:space="preserve">: </w:t>
      </w:r>
      <w:r>
        <w:rPr>
          <w:rStyle w:val="SpecialStringTok"/>
        </w:rPr>
        <w:t xml:space="preserve">f"ITEM#</w:t>
      </w:r>
      <w:r>
        <w:rPr>
          <w:rStyle w:val="SpecialCharTok"/>
        </w:rPr>
        <w:t xml:space="preserve">{</w:t>
      </w:r>
      <w:r>
        <w:rPr>
          <w:rStyle w:val="NormalTok"/>
        </w:rPr>
        <w:t xml:space="preserve">n</w:t>
      </w:r>
      <w:r>
        <w:rPr>
          <w:rStyle w:val="SpecialCharTok"/>
        </w:rPr>
        <w:t xml:space="preserve">:03d}</w:t>
      </w:r>
      <w:r>
        <w:rPr>
          <w:rStyle w:val="SpecialStringTok"/>
        </w:rPr>
        <w:t xml:space="preserve">"</w:t>
      </w:r>
      <w:r>
        <w:rPr>
          <w:rStyle w:val="NormalTok"/>
        </w:rPr>
        <w:t xml:space="preserve">, </w:t>
      </w:r>
      <w:r>
        <w:rPr>
          <w:rStyle w:val="StringTok"/>
        </w:rPr>
        <w:t xml:space="preserve">"sku"</w:t>
      </w:r>
      <w:r>
        <w:rPr>
          <w:rStyle w:val="NormalTok"/>
        </w:rPr>
        <w:t xml:space="preserve">: </w:t>
      </w:r>
      <w:r>
        <w:rPr>
          <w:rStyle w:val="SpecialStringTok"/>
        </w:rPr>
        <w:t xml:space="preserve">f"SKU-</w:t>
      </w:r>
      <w:r>
        <w:rPr>
          <w:rStyle w:val="SpecialCharTok"/>
        </w:rPr>
        <w:t xml:space="preserve">{</w:t>
      </w:r>
      <w:r>
        <w:rPr>
          <w:rStyle w:val="NormalTok"/>
        </w:rPr>
        <w:t xml:space="preserve">n</w:t>
      </w:r>
      <w:r>
        <w:rPr>
          <w:rStyle w:val="SpecialCharTok"/>
        </w:rPr>
        <w:t xml:space="preserve">}</w:t>
      </w:r>
      <w:r>
        <w:rPr>
          <w:rStyle w:val="SpecialStringTok"/>
        </w:rPr>
        <w:t xml:space="preserve">"</w:t>
      </w:r>
      <w:r>
        <w:rPr>
          <w:rStyle w:val="NormalTok"/>
        </w:rPr>
        <w:t xml:space="preserve">, </w:t>
      </w:r>
      <w:r>
        <w:rPr>
          <w:rStyle w:val="StringTok"/>
        </w:rPr>
        <w:t xml:space="preserve">"qty"</w:t>
      </w:r>
      <w:r>
        <w:rPr>
          <w:rStyle w:val="NormalTok"/>
        </w:rPr>
        <w:t xml:space="preserve">: n})</w:t>
      </w:r>
      <w:r>
        <w:br/>
      </w:r>
      <w:r>
        <w:br/>
      </w:r>
      <w:r>
        <w:rPr>
          <w:rStyle w:val="BuiltInTok"/>
        </w:rPr>
        <w:t xml:space="preserve">print</w:t>
      </w:r>
      <w:r>
        <w:rPr>
          <w:rStyle w:val="NormalTok"/>
        </w:rPr>
        <w:t xml:space="preserve">(</w:t>
      </w:r>
      <w:r>
        <w:rPr>
          <w:rStyle w:val="StringTok"/>
        </w:rPr>
        <w:t xml:space="preserve">"AP1 profile:  "</w:t>
      </w:r>
      <w:r>
        <w:rPr>
          <w:rStyle w:val="NormalTok"/>
        </w:rPr>
        <w:t xml:space="preserve">, t.query(</w:t>
      </w:r>
      <w:r>
        <w:rPr>
          <w:rStyle w:val="StringTok"/>
        </w:rPr>
        <w:t xml:space="preserve">"CUST#c42"</w:t>
      </w:r>
      <w:r>
        <w:rPr>
          <w:rStyle w:val="NormalTok"/>
        </w:rPr>
        <w:t xml:space="preserve">, </w:t>
      </w:r>
      <w:r>
        <w:rPr>
          <w:rStyle w:val="StringTok"/>
        </w:rPr>
        <w:t xml:space="preserve">"PROFILE"</w:t>
      </w:r>
      <w:r>
        <w:rPr>
          <w:rStyle w:val="NormalTok"/>
        </w:rPr>
        <w:t xml:space="preserve">)[</w:t>
      </w:r>
      <w:r>
        <w:rPr>
          <w:rStyle w:val="DecValTok"/>
        </w:rPr>
        <w:t xml:space="preserve">0</w:t>
      </w:r>
      <w:r>
        <w:rPr>
          <w:rStyle w:val="NormalTok"/>
        </w:rPr>
        <w:t xml:space="preserve">][</w:t>
      </w:r>
      <w:r>
        <w:rPr>
          <w:rStyle w:val="StringTok"/>
        </w:rPr>
        <w:t xml:space="preserve">"name"</w:t>
      </w:r>
      <w:r>
        <w:rPr>
          <w:rStyle w:val="NormalTok"/>
        </w:rPr>
        <w:t xml:space="preserve">])</w:t>
      </w:r>
      <w:r>
        <w:br/>
      </w:r>
      <w:r>
        <w:rPr>
          <w:rStyle w:val="BuiltInTok"/>
        </w:rPr>
        <w:t xml:space="preserve">print</w:t>
      </w:r>
      <w:r>
        <w:rPr>
          <w:rStyle w:val="NormalTok"/>
        </w:rPr>
        <w:t xml:space="preserve">(</w:t>
      </w:r>
      <w:r>
        <w:rPr>
          <w:rStyle w:val="StringTok"/>
        </w:rPr>
        <w:t xml:space="preserve">"AP2 orders:   "</w:t>
      </w:r>
      <w:r>
        <w:rPr>
          <w:rStyle w:val="NormalTok"/>
        </w:rPr>
        <w:t xml:space="preserve">, [r[</w:t>
      </w:r>
      <w:r>
        <w:rPr>
          <w:rStyle w:val="StringTok"/>
        </w:rPr>
        <w:t xml:space="preserve">"SK"</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t.gsis[</w:t>
      </w:r>
      <w:r>
        <w:rPr>
          <w:rStyle w:val="StringTok"/>
        </w:rPr>
        <w:t xml:space="preserve">"GSI1"</w:t>
      </w:r>
      <w:r>
        <w:rPr>
          <w:rStyle w:val="NormalTok"/>
        </w:rPr>
        <w:t xml:space="preserve">].query(</w:t>
      </w:r>
      <w:r>
        <w:rPr>
          <w:rStyle w:val="StringTok"/>
        </w:rPr>
        <w:t xml:space="preserve">"CUST#c42"</w:t>
      </w:r>
      <w:r>
        <w:rPr>
          <w:rStyle w:val="NormalTok"/>
        </w:rPr>
        <w:t xml:space="preserve">, </w:t>
      </w:r>
      <w:r>
        <w:rPr>
          <w:rStyle w:val="StringTok"/>
        </w:rPr>
        <w:t xml:space="preserve">"ORDER#"</w:t>
      </w:r>
      <w:r>
        <w:rPr>
          <w:rStyle w:val="NormalTok"/>
        </w:rPr>
        <w:t xml:space="preserve">, newest_first</w:t>
      </w:r>
      <w:r>
        <w:rPr>
          <w:rStyle w:val="OperatorTok"/>
        </w:rPr>
        <w:t xml:space="preserve">=</w:t>
      </w:r>
      <w:r>
        <w:rPr>
          <w:rStyle w:val="VariableTok"/>
        </w:rPr>
        <w:t xml:space="preserve">True</w:t>
      </w:r>
      <w:r>
        <w:rPr>
          <w:rStyle w:val="NormalTok"/>
        </w:rPr>
        <w:t xml:space="preserve">)])</w:t>
      </w:r>
      <w:r>
        <w:br/>
      </w:r>
      <w:r>
        <w:rPr>
          <w:rStyle w:val="BuiltInTok"/>
        </w:rPr>
        <w:t xml:space="preserve">print</w:t>
      </w:r>
      <w:r>
        <w:rPr>
          <w:rStyle w:val="NormalTok"/>
        </w:rPr>
        <w:t xml:space="preserve">(</w:t>
      </w:r>
      <w:r>
        <w:rPr>
          <w:rStyle w:val="StringTok"/>
        </w:rPr>
        <w:t xml:space="preserve">"AP3 order:    "</w:t>
      </w:r>
      <w:r>
        <w:rPr>
          <w:rStyle w:val="NormalTok"/>
        </w:rPr>
        <w:t xml:space="preserve">, [r[</w:t>
      </w:r>
      <w:r>
        <w:rPr>
          <w:rStyle w:val="StringTok"/>
        </w:rPr>
        <w:t xml:space="preserve">"SK"</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t.query(</w:t>
      </w:r>
      <w:r>
        <w:rPr>
          <w:rStyle w:val="StringTok"/>
        </w:rPr>
        <w:t xml:space="preserve">"ORDER#o901"</w:t>
      </w:r>
      <w:r>
        <w:rPr>
          <w:rStyle w:val="NormalTok"/>
        </w:rPr>
        <w:t xml:space="preserve">)])</w:t>
      </w:r>
      <w:r>
        <w:br/>
      </w:r>
      <w:r>
        <w:rPr>
          <w:rStyle w:val="BuiltInTok"/>
        </w:rPr>
        <w:t xml:space="preserve">print</w:t>
      </w:r>
      <w:r>
        <w:rPr>
          <w:rStyle w:val="NormalTok"/>
        </w:rPr>
        <w:t xml:space="preserve">(</w:t>
      </w:r>
      <w:r>
        <w:rPr>
          <w:rStyle w:val="StringTok"/>
        </w:rPr>
        <w:t xml:space="preserve">"AP4 by email: "</w:t>
      </w:r>
      <w:r>
        <w:rPr>
          <w:rStyle w:val="NormalTok"/>
        </w:rPr>
        <w:t xml:space="preserve">, t.query(</w:t>
      </w:r>
      <w:r>
        <w:rPr>
          <w:rStyle w:val="StringTok"/>
        </w:rPr>
        <w:t xml:space="preserve">"EMAIL#ana@example.com"</w:t>
      </w:r>
      <w:r>
        <w:rPr>
          <w:rStyle w:val="NormalTok"/>
        </w:rPr>
        <w:t xml:space="preserve">)[</w:t>
      </w:r>
      <w:r>
        <w:rPr>
          <w:rStyle w:val="DecValTok"/>
        </w:rPr>
        <w:t xml:space="preserve">0</w:t>
      </w:r>
      <w:r>
        <w:rPr>
          <w:rStyle w:val="NormalTok"/>
        </w:rPr>
        <w:t xml:space="preserve">][</w:t>
      </w:r>
      <w:r>
        <w:rPr>
          <w:rStyle w:val="StringTok"/>
        </w:rPr>
        <w:t xml:space="preserve">"customer"</w:t>
      </w:r>
      <w:r>
        <w:rPr>
          <w:rStyle w:val="NormalTok"/>
        </w:rPr>
        <w:t xml:space="preserve">])</w:t>
      </w:r>
      <w:r>
        <w:br/>
      </w:r>
      <w:r>
        <w:rPr>
          <w:rStyle w:val="BuiltInTok"/>
        </w:rPr>
        <w:t xml:space="preserve">print</w:t>
      </w:r>
      <w:r>
        <w:rPr>
          <w:rStyle w:val="NormalTok"/>
        </w:rPr>
        <w:t xml:space="preserve">(</w:t>
      </w:r>
      <w:r>
        <w:rPr>
          <w:rStyle w:val="StringTok"/>
        </w:rPr>
        <w:t xml:space="preserve">"AP5 to ship:  "</w:t>
      </w:r>
      <w:r>
        <w:rPr>
          <w:rStyle w:val="NormalTok"/>
        </w:rPr>
        <w:t xml:space="preserve">, [r[</w:t>
      </w:r>
      <w:r>
        <w:rPr>
          <w:rStyle w:val="StringTok"/>
        </w:rPr>
        <w:t xml:space="preserve">"SK"</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t.gsis[</w:t>
      </w:r>
      <w:r>
        <w:rPr>
          <w:rStyle w:val="StringTok"/>
        </w:rPr>
        <w:t xml:space="preserve">"GSI2"</w:t>
      </w:r>
      <w:r>
        <w:rPr>
          <w:rStyle w:val="NormalTok"/>
        </w:rPr>
        <w:t xml:space="preserve">].query(</w:t>
      </w:r>
      <w:r>
        <w:rPr>
          <w:rStyle w:val="StringTok"/>
        </w:rPr>
        <w:t xml:space="preserve">"WH#w7"</w:t>
      </w:r>
      <w:r>
        <w:rPr>
          <w:rStyle w:val="NormalTok"/>
        </w:rPr>
        <w:t xml:space="preserve">)])</w:t>
      </w:r>
    </w:p>
    <w:p>
      <w:pPr>
        <w:pStyle w:val="FirstParagraph"/>
      </w:pPr>
      <w:r>
        <w:t xml:space="preserve">Output (Python 3.10+):</w:t>
      </w:r>
    </w:p>
    <w:p>
      <w:pPr>
        <w:pStyle w:val="SourceCode"/>
      </w:pPr>
      <w:r>
        <w:rPr>
          <w:rStyle w:val="VerbatimChar"/>
        </w:rPr>
        <w:t xml:space="preserve">AP1 profile:   Ana</w:t>
      </w:r>
      <w:r>
        <w:br/>
      </w:r>
      <w:r>
        <w:rPr>
          <w:rStyle w:val="VerbatimChar"/>
        </w:rPr>
        <w:t xml:space="preserve">AP2 orders:    ['ORDER#2026-10-28T09:15#o901', 'ORDER#2026-10-21T08:02#o900']</w:t>
      </w:r>
      <w:r>
        <w:br/>
      </w:r>
      <w:r>
        <w:rPr>
          <w:rStyle w:val="VerbatimChar"/>
        </w:rPr>
        <w:t xml:space="preserve">AP3 order:     ['#HEADER', 'ITEM#001', 'ITEM#002']</w:t>
      </w:r>
      <w:r>
        <w:br/>
      </w:r>
      <w:r>
        <w:rPr>
          <w:rStyle w:val="VerbatimChar"/>
        </w:rPr>
        <w:t xml:space="preserve">AP4 by email:  c42</w:t>
      </w:r>
      <w:r>
        <w:br/>
      </w:r>
      <w:r>
        <w:rPr>
          <w:rStyle w:val="VerbatimChar"/>
        </w:rPr>
        <w:t xml:space="preserve">AP5 to ship:   ['2026-10-28T09:15#o901']</w:t>
      </w:r>
    </w:p>
    <w:p>
      <w:pPr>
        <w:pStyle w:val="FirstParagraph"/>
      </w:pPr>
      <w:r>
        <w:t xml:space="preserve">What to notice:</w:t>
      </w:r>
    </w:p>
    <w:p>
      <w:pPr>
        <w:numPr>
          <w:ilvl w:val="0"/>
          <w:numId w:val="1406"/>
        </w:numPr>
        <w:pStyle w:val="Compact"/>
      </w:pPr>
      <w:r>
        <w:rPr>
          <w:rStyle w:val="VerbatimChar"/>
        </w:rPr>
        <w:t xml:space="preserve">_part</w:t>
      </w:r>
      <w:r>
        <w:t xml:space="preserve"> </w:t>
      </w:r>
      <w:r>
        <w:t xml:space="preserve">hashes only the partition key, which is why a Query must name exactly one.</w:t>
      </w:r>
    </w:p>
    <w:p>
      <w:pPr>
        <w:numPr>
          <w:ilvl w:val="0"/>
          <w:numId w:val="1406"/>
        </w:numPr>
        <w:pStyle w:val="Compact"/>
      </w:pPr>
      <w:r>
        <w:rPr>
          <w:rStyle w:val="VerbatimChar"/>
        </w:rPr>
        <w:t xml:space="preserve">bisect</w:t>
      </w:r>
      <w:r>
        <w:t xml:space="preserve"> </w:t>
      </w:r>
      <w:r>
        <w:t xml:space="preserve">keeps item collections sorted, so sort-key prefix and range conditions are contiguous reads.</w:t>
      </w:r>
    </w:p>
    <w:p>
      <w:pPr>
        <w:numPr>
          <w:ilvl w:val="0"/>
          <w:numId w:val="1406"/>
        </w:numPr>
        <w:pStyle w:val="Compact"/>
      </w:pPr>
      <w:r>
        <w:rPr>
          <w:rStyle w:val="VerbatimChar"/>
        </w:rPr>
        <w:t xml:space="preserve">put</w:t>
      </w:r>
      <w:r>
        <w:t xml:space="preserve"> </w:t>
      </w:r>
      <w:r>
        <w:t xml:space="preserve">skips an index when its key is absent — that is all a sparse index is; order</w:t>
      </w:r>
      <w:r>
        <w:t xml:space="preserve"> </w:t>
      </w:r>
      <w:r>
        <w:rPr>
          <w:rStyle w:val="VerbatimChar"/>
        </w:rPr>
        <w:t xml:space="preserve">o900</w:t>
      </w:r>
      <w:r>
        <w:t xml:space="preserve"> </w:t>
      </w:r>
      <w:r>
        <w:t xml:space="preserve">never enters GSI2.</w:t>
      </w:r>
    </w:p>
    <w:p>
      <w:pPr>
        <w:numPr>
          <w:ilvl w:val="0"/>
          <w:numId w:val="1406"/>
        </w:numPr>
        <w:pStyle w:val="Compact"/>
      </w:pPr>
      <w:r>
        <w:t xml:space="preserve">Real GSIs update asynchronously and allow duplicate keys; the toy does neither.</w:t>
      </w:r>
    </w:p>
    <w:bookmarkEnd w:id="1331"/>
    <w:bookmarkEnd w:id="1332"/>
    <w:bookmarkStart w:id="1337" w:name="capacity-read-and-write-units"/>
    <w:p>
      <w:pPr>
        <w:pStyle w:val="Heading3"/>
      </w:pPr>
      <w:r>
        <w:t xml:space="preserve">12.4.5 Capacity: read and write units</w:t>
      </w:r>
    </w:p>
    <w:p>
      <w:pPr>
        <w:pStyle w:val="FirstParagraph"/>
      </w:pPr>
      <w:r>
        <w:t xml:space="preserve">DynamoDB meters throughput in units. One</w:t>
      </w:r>
      <w:r>
        <w:t xml:space="preserve"> </w:t>
      </w:r>
      <w:r>
        <w:rPr>
          <w:bCs/>
          <w:b/>
        </w:rPr>
        <w:t xml:space="preserve">write capacity unit (WCU)</w:t>
      </w:r>
      <w:r>
        <w:t xml:space="preserve"> </w:t>
      </w:r>
      <w:r>
        <w:t xml:space="preserve">is one write per second of an item up to 1 KB; one</w:t>
      </w:r>
      <w:r>
        <w:t xml:space="preserve"> </w:t>
      </w:r>
      <w:r>
        <w:rPr>
          <w:bCs/>
          <w:b/>
        </w:rPr>
        <w:t xml:space="preserve">read capacity unit (RCU)</w:t>
      </w:r>
      <w:r>
        <w:t xml:space="preserve"> </w:t>
      </w:r>
      <w:r>
        <w:t xml:space="preserve">is one strongly consistent read per second of up to 4 KB, or two eventually consistent reads (as of 2026) [AWS Docs: DynamoDB]. Sizes are rounded</w:t>
      </w:r>
      <w:r>
        <w:t xml:space="preserve"> </w:t>
      </w:r>
      <w:r>
        <w:rPr>
          <w:iCs/>
          <w:i/>
        </w:rPr>
        <w:t xml:space="preserve">up</w:t>
      </w:r>
      <w:r>
        <w:t xml:space="preserve">: a GetItem rounds each item, but a Query sums the sizes of all returned items before rounding.</w:t>
      </w:r>
    </w:p>
    <w:p>
      <w:pPr>
        <w:pStyle w:val="CalloutFormula"/>
      </w:pPr>
      <w:r>
        <w:rPr>
          <w:bCs/>
          <w:b/>
        </w:rPr>
        <w:t xml:space="preserve">FORMULA</w:t>
      </w:r>
    </w:p>
    <w:p>
      <w:pPr>
        <w:pStyle w:val="CalloutFormula"/>
      </w:pPr>
      <w:r>
        <w:rPr>
          <w:bCs/>
          <w:b/>
        </w:rPr>
        <w:t xml:space="preserve">DynamoDB capacity units</w:t>
      </w:r>
    </w:p>
    <w:p>
      <w:pPr>
        <w:pStyle w:val="CalloutFormula"/>
      </w:pPr>
      <m:oMathPara>
        <m:oMathParaPr>
          <m:jc m:val="center"/>
        </m:oMathParaPr>
        <m:oMath>
          <m:r>
            <m:rPr>
              <m:nor/>
              <m:sty m:val="p"/>
            </m:rPr>
            <m:t>WCU</m:t>
          </m:r>
          <m:r>
            <m:rPr>
              <m:sty m:val="p"/>
            </m:rPr>
            <m:t>=</m:t>
          </m:r>
          <m:nary>
            <m:naryPr>
              <m:chr m:val="∑"/>
              <m:limLoc m:val="undOvr"/>
              <m:subHide m:val="off"/>
              <m:supHide m:val="on"/>
            </m:naryPr>
            <m:sub>
              <m:r>
                <m:rPr>
                  <m:nor/>
                  <m:sty m:val="p"/>
                </m:rPr>
                <m:t>write types</m:t>
              </m:r>
            </m:sub>
            <m:sup>
              <m:r>
                <m:t>​</m:t>
              </m:r>
            </m:sup>
            <m:e>
              <m:sSub>
                <m:e>
                  <m:r>
                    <m:t>r</m:t>
                  </m:r>
                </m:e>
                <m:sub>
                  <m:r>
                    <m:t>w</m:t>
                  </m:r>
                </m:sub>
              </m:sSub>
            </m:e>
          </m:nary>
          <m:r>
            <m:rPr>
              <m:sty m:val="p"/>
            </m:rPr>
            <m:t>×</m:t>
          </m:r>
          <m:d>
            <m:dPr>
              <m:begChr m:val="⌈"/>
              <m:endChr m:val="⌉"/>
              <m:sepChr m:val=""/>
              <m:grow/>
            </m:dPr>
            <m:e>
              <m:f>
                <m:fPr>
                  <m:type m:val="bar"/>
                </m:fPr>
                <m:num>
                  <m:sSub>
                    <m:e>
                      <m:r>
                        <m:t>s</m:t>
                      </m:r>
                    </m:e>
                    <m:sub>
                      <m:r>
                        <m:t>w</m:t>
                      </m:r>
                    </m:sub>
                  </m:sSub>
                </m:num>
                <m:den>
                  <m:r>
                    <m:t>1</m:t>
                  </m:r>
                  <m:r>
                    <m:t> </m:t>
                  </m:r>
                  <m:r>
                    <m:rPr>
                      <m:nor/>
                      <m:sty m:val="p"/>
                    </m:rPr>
                    <m:t>KB</m:t>
                  </m:r>
                </m:den>
              </m:f>
            </m:e>
          </m:d>
          <m:r>
            <m:rPr>
              <m:sty m:val="p"/>
            </m:rPr>
            <m:t>×</m:t>
          </m:r>
          <m:sSub>
            <m:e>
              <m:r>
                <m:t>t</m:t>
              </m:r>
            </m:e>
            <m:sub>
              <m:r>
                <m:t>w</m:t>
              </m:r>
            </m:sub>
          </m:sSub>
          <m:r>
            <m:t>  </m:t>
          </m:r>
          <m:r>
            <m:rPr>
              <m:nor/>
              <m:sty m:val="p"/>
            </m:rPr>
            <m:t>RCU</m:t>
          </m:r>
          <m:r>
            <m:rPr>
              <m:sty m:val="p"/>
            </m:rPr>
            <m:t>=</m:t>
          </m:r>
          <m:nary>
            <m:naryPr>
              <m:chr m:val="∑"/>
              <m:limLoc m:val="undOvr"/>
              <m:subHide m:val="off"/>
              <m:supHide m:val="on"/>
            </m:naryPr>
            <m:sub>
              <m:r>
                <m:rPr>
                  <m:nor/>
                  <m:sty m:val="p"/>
                </m:rPr>
                <m:t>read types</m:t>
              </m:r>
            </m:sub>
            <m:sup>
              <m:r>
                <m:t>​</m:t>
              </m:r>
            </m:sup>
            <m:e>
              <m:sSub>
                <m:e>
                  <m:r>
                    <m:t>r</m:t>
                  </m:r>
                </m:e>
                <m:sub>
                  <m:r>
                    <m:t>r</m:t>
                  </m:r>
                </m:sub>
              </m:sSub>
            </m:e>
          </m:nary>
          <m:r>
            <m:rPr>
              <m:sty m:val="p"/>
            </m:rPr>
            <m:t>×</m:t>
          </m:r>
          <m:d>
            <m:dPr>
              <m:begChr m:val="⌈"/>
              <m:endChr m:val="⌉"/>
              <m:sepChr m:val=""/>
              <m:grow/>
            </m:dPr>
            <m:e>
              <m:f>
                <m:fPr>
                  <m:type m:val="bar"/>
                </m:fPr>
                <m:num>
                  <m:sSub>
                    <m:e>
                      <m:r>
                        <m:t>s</m:t>
                      </m:r>
                    </m:e>
                    <m:sub>
                      <m:r>
                        <m:t>r</m:t>
                      </m:r>
                    </m:sub>
                  </m:sSub>
                </m:num>
                <m:den>
                  <m:r>
                    <m:t>4</m:t>
                  </m:r>
                  <m:r>
                    <m:t> </m:t>
                  </m:r>
                  <m:r>
                    <m:rPr>
                      <m:nor/>
                      <m:sty m:val="p"/>
                    </m:rPr>
                    <m:t>KB</m:t>
                  </m:r>
                </m:den>
              </m:f>
            </m:e>
          </m:d>
          <m:r>
            <m:rPr>
              <m:sty m:val="p"/>
            </m:rPr>
            <m:t>×</m:t>
          </m:r>
          <m:sSub>
            <m:e>
              <m:r>
                <m:t>c</m:t>
              </m:r>
            </m:e>
            <m:sub>
              <m:r>
                <m:t>r</m:t>
              </m:r>
            </m:sub>
          </m:sSub>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r</m:t>
                  </m:r>
                </m:e>
                <m:sub>
                  <m:r>
                    <m:t>w</m:t>
                  </m:r>
                </m:sub>
              </m:sSub>
            </m:oMath>
            <w:r>
              <w:t xml:space="preserve">,</w:t>
            </w:r>
            <w:r>
              <w:t xml:space="preserve"> </w:t>
            </w:r>
            <m:oMath>
              <m:sSub>
                <m:e>
                  <m:r>
                    <m:t>r</m:t>
                  </m:r>
                </m:e>
                <m:sub>
                  <m:r>
                    <m:t>r</m:t>
                  </m:r>
                </m:sub>
              </m:sSub>
            </m:oMath>
          </w:p>
        </w:tc>
        <w:tc>
          <w:tcPr/>
          <w:p>
            <w:pPr>
              <w:pStyle w:val="Compact"/>
              <w:jc w:val="left"/>
            </w:pPr>
            <w:r>
              <w:t xml:space="preserve">Rate of a given write or read type, including index writes</w:t>
            </w:r>
          </w:p>
        </w:tc>
        <w:tc>
          <w:tcPr/>
          <w:p>
            <w:pPr>
              <w:pStyle w:val="Compact"/>
              <w:jc w:val="left"/>
            </w:pPr>
            <w:r>
              <w:t xml:space="preserve">operations/second</w:t>
            </w:r>
          </w:p>
        </w:tc>
      </w:tr>
      <w:tr>
        <w:tc>
          <w:tcPr/>
          <w:p>
            <w:pPr>
              <w:pStyle w:val="Compact"/>
              <w:jc w:val="left"/>
            </w:pPr>
            <m:oMath>
              <m:sSub>
                <m:e>
                  <m:r>
                    <m:t>s</m:t>
                  </m:r>
                </m:e>
                <m:sub>
                  <m:r>
                    <m:t>w</m:t>
                  </m:r>
                </m:sub>
              </m:sSub>
            </m:oMath>
          </w:p>
        </w:tc>
        <w:tc>
          <w:tcPr/>
          <w:p>
            <w:pPr>
              <w:pStyle w:val="Compact"/>
              <w:jc w:val="left"/>
            </w:pPr>
            <w:r>
              <w:t xml:space="preserve">Size of the item written (for a GSI, the projected size)</w:t>
            </w:r>
          </w:p>
        </w:tc>
        <w:tc>
          <w:tcPr/>
          <w:p>
            <w:pPr>
              <w:pStyle w:val="Compact"/>
              <w:jc w:val="left"/>
            </w:pPr>
            <w:r>
              <w:t xml:space="preserve">KB</w:t>
            </w:r>
          </w:p>
        </w:tc>
      </w:tr>
      <w:tr>
        <w:tc>
          <w:tcPr/>
          <w:p>
            <w:pPr>
              <w:pStyle w:val="Compact"/>
              <w:jc w:val="left"/>
            </w:pPr>
            <m:oMath>
              <m:sSub>
                <m:e>
                  <m:r>
                    <m:t>s</m:t>
                  </m:r>
                </m:e>
                <m:sub>
                  <m:r>
                    <m:t>r</m:t>
                  </m:r>
                </m:sub>
              </m:sSub>
            </m:oMath>
          </w:p>
        </w:tc>
        <w:tc>
          <w:tcPr/>
          <w:p>
            <w:pPr>
              <w:pStyle w:val="Compact"/>
              <w:jc w:val="left"/>
            </w:pPr>
            <w:r>
              <w:t xml:space="preserve">Item size for GetItem; total returned size for Query</w:t>
            </w:r>
          </w:p>
        </w:tc>
        <w:tc>
          <w:tcPr/>
          <w:p>
            <w:pPr>
              <w:pStyle w:val="Compact"/>
              <w:jc w:val="left"/>
            </w:pPr>
            <w:r>
              <w:t xml:space="preserve">KB</w:t>
            </w:r>
          </w:p>
        </w:tc>
      </w:tr>
      <w:tr>
        <w:tc>
          <w:tcPr/>
          <w:p>
            <w:pPr>
              <w:pStyle w:val="Compact"/>
              <w:jc w:val="left"/>
            </w:pPr>
            <m:oMath>
              <m:sSub>
                <m:e>
                  <m:r>
                    <m:t>t</m:t>
                  </m:r>
                </m:e>
                <m:sub>
                  <m:r>
                    <m:t>w</m:t>
                  </m:r>
                </m:sub>
              </m:sSub>
            </m:oMath>
          </w:p>
        </w:tc>
        <w:tc>
          <w:tcPr/>
          <w:p>
            <w:pPr>
              <w:pStyle w:val="Compact"/>
              <w:jc w:val="left"/>
            </w:pPr>
            <w:r>
              <w:t xml:space="preserve">1 for standard writes, 2 for transactional writes</w:t>
            </w:r>
          </w:p>
        </w:tc>
        <w:tc>
          <w:tcPr/>
          <w:p>
            <w:pPr>
              <w:pStyle w:val="Compact"/>
              <w:jc w:val="left"/>
            </w:pPr>
            <w:r>
              <w:t xml:space="preserve">dimensionless</w:t>
            </w:r>
          </w:p>
        </w:tc>
      </w:tr>
      <w:tr>
        <w:tc>
          <w:tcPr/>
          <w:p>
            <w:pPr>
              <w:pStyle w:val="Compact"/>
              <w:jc w:val="left"/>
            </w:pPr>
            <m:oMath>
              <m:sSub>
                <m:e>
                  <m:r>
                    <m:t>c</m:t>
                  </m:r>
                </m:e>
                <m:sub>
                  <m:r>
                    <m:t>r</m:t>
                  </m:r>
                </m:sub>
              </m:sSub>
            </m:oMath>
          </w:p>
        </w:tc>
        <w:tc>
          <w:tcPr/>
          <w:p>
            <w:pPr>
              <w:pStyle w:val="Compact"/>
              <w:jc w:val="left"/>
            </w:pPr>
            <w:r>
              <w:t xml:space="preserve">0.5 eventually consistent, 1 strongly consistent, 2 transactional</w:t>
            </w:r>
          </w:p>
        </w:tc>
        <w:tc>
          <w:tcPr/>
          <w:p>
            <w:pPr>
              <w:pStyle w:val="Compact"/>
              <w:jc w:val="left"/>
            </w:pPr>
            <w:r>
              <w:t xml:space="preserve">dimensionless</w:t>
            </w:r>
          </w:p>
        </w:tc>
      </w:tr>
    </w:tbl>
    <w:p>
      <w:pPr>
        <w:pStyle w:val="CalloutExample"/>
      </w:pPr>
      <w:r>
        <w:rPr>
          <w:bCs/>
          <w:b/>
        </w:rPr>
        <w:t xml:space="preserve">WORKED EXAMPLE</w:t>
      </w:r>
    </w:p>
    <w:p>
      <w:pPr>
        <w:pStyle w:val="CalloutExample"/>
      </w:pPr>
      <w:r>
        <w:rPr>
          <w:bCs/>
          <w:b/>
        </w:rPr>
        <w:t xml:space="preserve">Worked example — Sizing the order table at peak.</w:t>
      </w:r>
    </w:p>
    <w:p>
      <w:pPr>
        <w:pStyle w:val="CalloutExample"/>
      </w:pPr>
      <w:r>
        <w:t xml:space="preserve">Peak load: 1,000 orders/s placed. Each order writes a 1.5 KB header and three 0.6 KB line items. GSI1 projects the whole header (1.5 KB); GSI2 projects keys only (under 1 KB). Reads: 10,000 order-detail lookups/s (AP3), eventually consistent, each returning 1.5 + 3 × 0.6 = 3.3 KB.</w:t>
      </w:r>
    </w:p>
    <w:p>
      <w:pPr>
        <w:numPr>
          <w:ilvl w:val="0"/>
          <w:numId w:val="1407"/>
        </w:numPr>
        <w:pStyle w:val="Compact"/>
      </w:pPr>
      <w:r>
        <w:t xml:space="preserve">Header</w:t>
      </w:r>
      <w:r>
        <w:t xml:space="preserve"> </w:t>
      </w:r>
      <m:oMath>
        <m:r>
          <m:t>1</m:t>
        </m:r>
        <m:r>
          <m:rPr>
            <m:sty m:val="p"/>
          </m:rPr>
          <m:t>,</m:t>
        </m:r>
        <m:r>
          <m:t>000</m:t>
        </m:r>
        <m:r>
          <m:rPr>
            <m:sty m:val="p"/>
          </m:rPr>
          <m:t>×</m:t>
        </m:r>
        <m:r>
          <m:rPr>
            <m:sty m:val="p"/>
          </m:rPr>
          <m:t>⌈</m:t>
        </m:r>
        <m:r>
          <m:t>1.5</m:t>
        </m:r>
        <m:r>
          <m:rPr>
            <m:sty m:val="p"/>
          </m:rPr>
          <m:t>⌉</m:t>
        </m:r>
        <m:r>
          <m:rPr>
            <m:sty m:val="p"/>
          </m:rPr>
          <m:t>=</m:t>
        </m:r>
        <m:r>
          <m:t>2</m:t>
        </m:r>
        <m:r>
          <m:rPr>
            <m:sty m:val="p"/>
          </m:rPr>
          <m:t>,</m:t>
        </m:r>
        <m:r>
          <m:t>000</m:t>
        </m:r>
      </m:oMath>
      <w:r>
        <w:t xml:space="preserve"> </w:t>
      </w:r>
      <w:r>
        <w:t xml:space="preserve">WCU; line items</w:t>
      </w:r>
      <w:r>
        <w:t xml:space="preserve"> </w:t>
      </w:r>
      <m:oMath>
        <m:r>
          <m:t>3</m:t>
        </m:r>
        <m:r>
          <m:rPr>
            <m:sty m:val="p"/>
          </m:rPr>
          <m:t>,</m:t>
        </m:r>
        <m:r>
          <m:t>000</m:t>
        </m:r>
        <m:r>
          <m:rPr>
            <m:sty m:val="p"/>
          </m:rPr>
          <m:t>×</m:t>
        </m:r>
        <m:r>
          <m:rPr>
            <m:sty m:val="p"/>
          </m:rPr>
          <m:t>⌈</m:t>
        </m:r>
        <m:r>
          <m:t>0.6</m:t>
        </m:r>
        <m:r>
          <m:rPr>
            <m:sty m:val="p"/>
          </m:rPr>
          <m:t>⌉</m:t>
        </m:r>
        <m:r>
          <m:rPr>
            <m:sty m:val="p"/>
          </m:rPr>
          <m:t>=</m:t>
        </m:r>
        <m:r>
          <m:t>3</m:t>
        </m:r>
        <m:r>
          <m:rPr>
            <m:sty m:val="p"/>
          </m:rPr>
          <m:t>,</m:t>
        </m:r>
        <m:r>
          <m:t>000</m:t>
        </m:r>
      </m:oMath>
      <w:r>
        <w:t xml:space="preserve"> </w:t>
      </w:r>
      <w:r>
        <w:t xml:space="preserve">WCU.</w:t>
      </w:r>
    </w:p>
    <w:p>
      <w:pPr>
        <w:numPr>
          <w:ilvl w:val="0"/>
          <w:numId w:val="1407"/>
        </w:numPr>
        <w:pStyle w:val="Compact"/>
      </w:pPr>
      <w:r>
        <w:t xml:space="preserve">GSI1 header copy</w:t>
      </w:r>
      <w:r>
        <w:t xml:space="preserve"> </w:t>
      </w:r>
      <m:oMath>
        <m:r>
          <m:t>1</m:t>
        </m:r>
        <m:r>
          <m:rPr>
            <m:sty m:val="p"/>
          </m:rPr>
          <m:t>,</m:t>
        </m:r>
        <m:r>
          <m:t>000</m:t>
        </m:r>
        <m:r>
          <m:rPr>
            <m:sty m:val="p"/>
          </m:rPr>
          <m:t>×</m:t>
        </m:r>
        <m:r>
          <m:t>2</m:t>
        </m:r>
        <m:r>
          <m:rPr>
            <m:sty m:val="p"/>
          </m:rPr>
          <m:t>=</m:t>
        </m:r>
        <m:r>
          <m:t>2</m:t>
        </m:r>
        <m:r>
          <m:rPr>
            <m:sty m:val="p"/>
          </m:rPr>
          <m:t>,</m:t>
        </m:r>
        <m:r>
          <m:t>000</m:t>
        </m:r>
      </m:oMath>
      <w:r>
        <w:t xml:space="preserve"> </w:t>
      </w:r>
      <w:r>
        <w:t xml:space="preserve">WCU; GSI2 copy</w:t>
      </w:r>
      <w:r>
        <w:t xml:space="preserve"> </w:t>
      </w:r>
      <m:oMath>
        <m:r>
          <m:t>1</m:t>
        </m:r>
        <m:r>
          <m:rPr>
            <m:sty m:val="p"/>
          </m:rPr>
          <m:t>,</m:t>
        </m:r>
        <m:r>
          <m:t>000</m:t>
        </m:r>
        <m:r>
          <m:rPr>
            <m:sty m:val="p"/>
          </m:rPr>
          <m:t>×</m:t>
        </m:r>
        <m:r>
          <m:t>1</m:t>
        </m:r>
        <m:r>
          <m:rPr>
            <m:sty m:val="p"/>
          </m:rPr>
          <m:t>=</m:t>
        </m:r>
        <m:r>
          <m:t>1</m:t>
        </m:r>
        <m:r>
          <m:rPr>
            <m:sty m:val="p"/>
          </m:rPr>
          <m:t>,</m:t>
        </m:r>
        <m:r>
          <m:t>000</m:t>
        </m:r>
      </m:oMath>
      <w:r>
        <w:t xml:space="preserve"> </w:t>
      </w:r>
      <w:r>
        <w:t xml:space="preserve">WCU.</w:t>
      </w:r>
    </w:p>
    <w:p>
      <w:pPr>
        <w:numPr>
          <w:ilvl w:val="0"/>
          <w:numId w:val="1407"/>
        </w:numPr>
        <w:pStyle w:val="Compact"/>
      </w:pPr>
      <w:r>
        <w:t xml:space="preserve">Total</w:t>
      </w:r>
      <w:r>
        <w:t xml:space="preserve"> </w:t>
      </w:r>
      <m:oMath>
        <m:r>
          <m:t>8</m:t>
        </m:r>
        <m:r>
          <m:rPr>
            <m:sty m:val="p"/>
          </m:rPr>
          <m:t>,</m:t>
        </m:r>
        <m:r>
          <m:t>000</m:t>
        </m:r>
      </m:oMath>
      <w:r>
        <w:t xml:space="preserve"> </w:t>
      </w:r>
      <w:r>
        <w:t xml:space="preserve">WCU, of which 3,000 (37.5 %) is index maintenance.</w:t>
      </w:r>
    </w:p>
    <w:p>
      <w:pPr>
        <w:numPr>
          <w:ilvl w:val="0"/>
          <w:numId w:val="1407"/>
        </w:numPr>
        <w:pStyle w:val="Compact"/>
      </w:pPr>
      <w:r>
        <w:t xml:space="preserve">Query reads:</w:t>
      </w:r>
      <w:r>
        <w:t xml:space="preserve"> </w:t>
      </w:r>
      <m:oMath>
        <m:r>
          <m:rPr>
            <m:sty m:val="p"/>
          </m:rPr>
          <m:t>⌈</m:t>
        </m:r>
        <m:r>
          <m:t>3.3</m:t>
        </m:r>
        <m:r>
          <m:rPr>
            <m:sty m:val="p"/>
          </m:rPr>
          <m:t>/</m:t>
        </m:r>
        <m:r>
          <m:t>4</m:t>
        </m:r>
        <m:r>
          <m:rPr>
            <m:sty m:val="p"/>
          </m:rPr>
          <m:t>⌉</m:t>
        </m:r>
        <m:r>
          <m:rPr>
            <m:sty m:val="p"/>
          </m:rPr>
          <m:t>=</m:t>
        </m:r>
        <m:r>
          <m:t>1</m:t>
        </m:r>
      </m:oMath>
      <w:r>
        <w:t xml:space="preserve"> </w:t>
      </w:r>
      <w:r>
        <w:t xml:space="preserve">unit × 0.5 →</w:t>
      </w:r>
      <w:r>
        <w:t xml:space="preserve"> </w:t>
      </w:r>
      <m:oMath>
        <m:r>
          <m:t>10</m:t>
        </m:r>
        <m:r>
          <m:rPr>
            <m:sty m:val="p"/>
          </m:rPr>
          <m:t>,</m:t>
        </m:r>
        <m:r>
          <m:t>000</m:t>
        </m:r>
        <m:r>
          <m:rPr>
            <m:sty m:val="p"/>
          </m:rPr>
          <m:t>×</m:t>
        </m:r>
        <m:r>
          <m:t>0.5</m:t>
        </m:r>
        <m:r>
          <m:rPr>
            <m:sty m:val="p"/>
          </m:rPr>
          <m:t>=</m:t>
        </m:r>
        <m:r>
          <m:t>5</m:t>
        </m:r>
        <m:r>
          <m:rPr>
            <m:sty m:val="p"/>
          </m:rPr>
          <m:t>,</m:t>
        </m:r>
        <m:r>
          <m:t>000</m:t>
        </m:r>
      </m:oMath>
      <w:r>
        <w:t xml:space="preserve"> </w:t>
      </w:r>
      <w:r>
        <w:t xml:space="preserve">RCU.</w:t>
      </w:r>
    </w:p>
    <w:p>
      <w:pPr>
        <w:numPr>
          <w:ilvl w:val="0"/>
          <w:numId w:val="1407"/>
        </w:numPr>
        <w:pStyle w:val="Compact"/>
      </w:pPr>
      <w:r>
        <w:t xml:space="preserve">Four GetItem calls instead round each item:</w:t>
      </w:r>
      <w:r>
        <w:t xml:space="preserve"> </w:t>
      </w:r>
      <m:oMath>
        <m:r>
          <m:t>10</m:t>
        </m:r>
        <m:r>
          <m:rPr>
            <m:sty m:val="p"/>
          </m:rPr>
          <m:t>,</m:t>
        </m:r>
        <m:r>
          <m:t>000</m:t>
        </m:r>
        <m:r>
          <m:rPr>
            <m:sty m:val="p"/>
          </m:rPr>
          <m:t>×</m:t>
        </m:r>
        <m:r>
          <m:t>4</m:t>
        </m:r>
        <m:r>
          <m:rPr>
            <m:sty m:val="p"/>
          </m:rPr>
          <m:t>×</m:t>
        </m:r>
        <m:r>
          <m:t>0.5</m:t>
        </m:r>
        <m:r>
          <m:rPr>
            <m:sty m:val="p"/>
          </m:rPr>
          <m:t>=</m:t>
        </m:r>
        <m:r>
          <m:t>20</m:t>
        </m:r>
        <m:r>
          <m:rPr>
            <m:sty m:val="p"/>
          </m:rPr>
          <m:t>,</m:t>
        </m:r>
        <m:r>
          <m:t>000</m:t>
        </m:r>
      </m:oMath>
      <w:r>
        <w:t xml:space="preserve"> </w:t>
      </w:r>
      <w:r>
        <w:t xml:space="preserve">RCU.</w:t>
      </w:r>
    </w:p>
    <w:p>
      <w:pPr>
        <w:pStyle w:val="CalloutExample"/>
      </w:pPr>
      <w:r>
        <w:rPr>
          <w:bCs/>
          <w:b/>
        </w:rPr>
        <w:t xml:space="preserve">Interpretation.</w:t>
      </w:r>
      <w:r>
        <w:t xml:space="preserve"> </w:t>
      </w:r>
      <w:r>
        <w:t xml:space="preserve">Co-locating items cut read cost by 75 %; index maintenance is over a third of the write bill.</w:t>
      </w:r>
    </w:p>
    <w:p>
      <w:pPr>
        <w:pStyle w:val="CalloutExample"/>
      </w:pPr>
      <w:r>
        <w:rPr>
          <w:bCs/>
          <w:b/>
        </w:rPr>
        <w:t xml:space="preserve">Engineering implication.</w:t>
      </w:r>
      <w:r>
        <w:t xml:space="preserve"> </w:t>
      </w:r>
      <w:r>
        <w:t xml:space="preserve">Project only needed attributes into indexes, keep items small, read related items with one Query — and check the per-partition ceiling of 3,000 RCU and 1,000 WCU (as of 2026). A warehouse receiving over about 1,000 orders/s would throttle its single</w:t>
      </w:r>
      <w:r>
        <w:t xml:space="preserve"> </w:t>
      </w:r>
      <w:r>
        <w:rPr>
          <w:rStyle w:val="VerbatimChar"/>
        </w:rPr>
        <w:t xml:space="preserve">WH#w7</w:t>
      </w:r>
      <w:r>
        <w:t xml:space="preserve"> </w:t>
      </w:r>
      <w:r>
        <w:t xml:space="preserve">GSI2 key whatever the table capacity, so shard it as</w:t>
      </w:r>
      <w:r>
        <w:t xml:space="preserve"> </w:t>
      </w:r>
      <w:r>
        <w:rPr>
          <w:rStyle w:val="VerbatimChar"/>
        </w:rPr>
        <w:t xml:space="preserve">WH#w7#0</w:t>
      </w:r>
      <w:r>
        <w:t xml:space="preserve">…</w:t>
      </w:r>
      <w:r>
        <w:rPr>
          <w:rStyle w:val="VerbatimChar"/>
        </w:rPr>
        <w:t xml:space="preserve">WH#w7#9</w:t>
      </w:r>
      <w:r>
        <w:t xml:space="preserve"> </w:t>
      </w:r>
      <w:r>
        <w:t xml:space="preserve">and query all ten.</w:t>
      </w:r>
    </w:p>
    <w:p>
      <w:pPr>
        <w:pStyle w:val="BodyText"/>
      </w:pPr>
      <w:r>
        <w:t xml:space="preserve">Billing is</w:t>
      </w:r>
      <w:r>
        <w:t xml:space="preserve"> </w:t>
      </w:r>
      <w:r>
        <w:rPr>
          <w:bCs/>
          <w:b/>
        </w:rPr>
        <w:t xml:space="preserve">provisioned</w:t>
      </w:r>
      <w:r>
        <w:t xml:space="preserve"> </w:t>
      </w:r>
      <w:r>
        <w:t xml:space="preserve">(per WCU-hour and RCU-hour) or</w:t>
      </w:r>
      <w:r>
        <w:t xml:space="preserve"> </w:t>
      </w:r>
      <w:r>
        <w:rPr>
          <w:bCs/>
          <w:b/>
        </w:rPr>
        <w:t xml:space="preserve">on-demand</w:t>
      </w:r>
      <w:r>
        <w:t xml:space="preserve"> </w:t>
      </w:r>
      <w:r>
        <w:t xml:space="preserve">(per request unit used); the choice reduces to one ratio.</w:t>
      </w:r>
    </w:p>
    <w:p>
      <w:pPr>
        <w:pStyle w:val="CalloutFormula"/>
      </w:pPr>
      <w:r>
        <w:rPr>
          <w:bCs/>
          <w:b/>
        </w:rPr>
        <w:t xml:space="preserve">FORMULA</w:t>
      </w:r>
    </w:p>
    <w:p>
      <w:pPr>
        <w:pStyle w:val="CalloutFormula"/>
      </w:pPr>
      <w:r>
        <w:rPr>
          <w:bCs/>
          <w:b/>
        </w:rPr>
        <w:t xml:space="preserve">On-demand versus provisioned break-even utilization</w:t>
      </w:r>
    </w:p>
    <w:p>
      <w:pPr>
        <w:pStyle w:val="CalloutFormula"/>
      </w:pPr>
      <m:oMathPara>
        <m:oMathParaPr>
          <m:jc m:val="center"/>
        </m:oMathParaPr>
        <m:oMath>
          <m:sSup>
            <m:e>
              <m:r>
                <m:t>u</m:t>
              </m:r>
            </m:e>
            <m:sup>
              <m:r>
                <m:rPr>
                  <m:sty m:val="p"/>
                </m:rPr>
                <m:t>*</m:t>
              </m:r>
            </m:sup>
          </m:sSup>
          <m:r>
            <m:rPr>
              <m:sty m:val="p"/>
            </m:rPr>
            <m:t>=</m:t>
          </m:r>
          <m:f>
            <m:fPr>
              <m:type m:val="bar"/>
            </m:fPr>
            <m:num>
              <m:sSub>
                <m:e>
                  <m:r>
                    <m:t>p</m:t>
                  </m:r>
                </m:e>
                <m:sub>
                  <m:r>
                    <m:rPr>
                      <m:nor/>
                      <m:sty m:val="p"/>
                    </m:rPr>
                    <m:t>prov</m:t>
                  </m:r>
                </m:sub>
              </m:sSub>
              <m:r>
                <m:rPr>
                  <m:sty m:val="p"/>
                </m:rPr>
                <m:t>/</m:t>
              </m:r>
              <m:r>
                <m:t>3600</m:t>
              </m:r>
            </m:num>
            <m:den>
              <m:sSub>
                <m:e>
                  <m:r>
                    <m:t>p</m:t>
                  </m:r>
                </m:e>
                <m:sub>
                  <m:r>
                    <m:rPr>
                      <m:nor/>
                      <m:sty m:val="p"/>
                    </m:rPr>
                    <m:t>od</m:t>
                  </m:r>
                </m:sub>
              </m:sSub>
            </m:den>
          </m:f>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p>
                <m:e>
                  <m:r>
                    <m:t>u</m:t>
                  </m:r>
                </m:e>
                <m:sup>
                  <m:r>
                    <m:rPr>
                      <m:sty m:val="p"/>
                    </m:rPr>
                    <m:t>*</m:t>
                  </m:r>
                </m:sup>
              </m:sSup>
            </m:oMath>
          </w:p>
        </w:tc>
        <w:tc>
          <w:tcPr/>
          <w:p>
            <w:pPr>
              <w:pStyle w:val="Compact"/>
              <w:jc w:val="left"/>
            </w:pPr>
            <w:r>
              <w:t xml:space="preserve">Average utilization of provisioned capacity above which provisioned is cheaper</w:t>
            </w:r>
          </w:p>
        </w:tc>
        <w:tc>
          <w:tcPr/>
          <w:p>
            <w:pPr>
              <w:pStyle w:val="Compact"/>
              <w:jc w:val="left"/>
            </w:pPr>
            <w:r>
              <w:t xml:space="preserve">fraction (0–1)</w:t>
            </w:r>
          </w:p>
        </w:tc>
      </w:tr>
      <w:tr>
        <w:tc>
          <w:tcPr/>
          <w:p>
            <w:pPr>
              <w:pStyle w:val="Compact"/>
              <w:jc w:val="left"/>
            </w:pPr>
            <m:oMath>
              <m:sSub>
                <m:e>
                  <m:r>
                    <m:t>p</m:t>
                  </m:r>
                </m:e>
                <m:sub>
                  <m:r>
                    <m:rPr>
                      <m:nor/>
                      <m:sty m:val="p"/>
                    </m:rPr>
                    <m:t>prov</m:t>
                  </m:r>
                </m:sub>
              </m:sSub>
            </m:oMath>
          </w:p>
        </w:tc>
        <w:tc>
          <w:tcPr/>
          <w:p>
            <w:pPr>
              <w:pStyle w:val="Compact"/>
              <w:jc w:val="left"/>
            </w:pPr>
            <w:r>
              <w:t xml:space="preserve">Price of one provisioned capacity unit for one hour</w:t>
            </w:r>
          </w:p>
        </w:tc>
        <w:tc>
          <w:tcPr/>
          <w:p>
            <w:pPr>
              <w:pStyle w:val="Compact"/>
              <w:jc w:val="left"/>
            </w:pPr>
            <w:r>
              <w:t xml:space="preserve">USD per unit-hour</w:t>
            </w:r>
          </w:p>
        </w:tc>
      </w:tr>
      <w:tr>
        <w:tc>
          <w:tcPr/>
          <w:p>
            <w:pPr>
              <w:pStyle w:val="Compact"/>
              <w:jc w:val="left"/>
            </w:pPr>
            <m:oMath>
              <m:sSub>
                <m:e>
                  <m:r>
                    <m:t>p</m:t>
                  </m:r>
                </m:e>
                <m:sub>
                  <m:r>
                    <m:rPr>
                      <m:nor/>
                      <m:sty m:val="p"/>
                    </m:rPr>
                    <m:t>od</m:t>
                  </m:r>
                </m:sub>
              </m:sSub>
            </m:oMath>
          </w:p>
        </w:tc>
        <w:tc>
          <w:tcPr/>
          <w:p>
            <w:pPr>
              <w:pStyle w:val="Compact"/>
              <w:jc w:val="left"/>
            </w:pPr>
            <w:r>
              <w:t xml:space="preserve">Price of one on-demand request unit</w:t>
            </w:r>
          </w:p>
        </w:tc>
        <w:tc>
          <w:tcPr/>
          <w:p>
            <w:pPr>
              <w:pStyle w:val="Compact"/>
              <w:jc w:val="left"/>
            </w:pPr>
            <w:r>
              <w:t xml:space="preserve">USD per request unit</w:t>
            </w:r>
          </w:p>
        </w:tc>
      </w:tr>
    </w:tbl>
    <w:p>
      <w:pPr>
        <w:pStyle w:val="CalloutExample"/>
      </w:pPr>
      <w:r>
        <w:rPr>
          <w:bCs/>
          <w:b/>
        </w:rPr>
        <w:t xml:space="preserve">WORKED EXAMPLE</w:t>
      </w:r>
    </w:p>
    <w:p>
      <w:pPr>
        <w:pStyle w:val="CalloutExample"/>
      </w:pPr>
      <w:r>
        <w:rPr>
          <w:bCs/>
          <w:b/>
        </w:rPr>
        <w:t xml:space="preserve">Worked example — Which billing mode for the order table?</w:t>
      </w:r>
    </w:p>
    <w:p>
      <w:pPr>
        <w:pStyle w:val="CalloutExample"/>
      </w:pPr>
      <w:r>
        <w:t xml:space="preserve">Assume us-east-1 list prices as of 2026 (verify before use): provisioned $0.00065 per WCU-hour and $0.00013 per RCU-hour; on-demand $0.625 per million write request units and $0.125 per million read request units.</w:t>
      </w:r>
    </w:p>
    <w:p>
      <w:pPr>
        <w:numPr>
          <w:ilvl w:val="0"/>
          <w:numId w:val="1408"/>
        </w:numPr>
        <w:pStyle w:val="Compact"/>
      </w:pPr>
      <w:r>
        <w:t xml:space="preserve">Writes:</w:t>
      </w:r>
      <w:r>
        <w:t xml:space="preserve"> </w:t>
      </w:r>
      <m:oMath>
        <m:sSup>
          <m:e>
            <m:r>
              <m:t>u</m:t>
            </m:r>
          </m:e>
          <m:sup>
            <m:r>
              <m:rPr>
                <m:sty m:val="p"/>
              </m:rPr>
              <m:t>*</m:t>
            </m:r>
          </m:sup>
        </m:sSup>
        <m:r>
          <m:rPr>
            <m:sty m:val="p"/>
          </m:rPr>
          <m:t>=</m:t>
        </m:r>
        <m:d>
          <m:dPr>
            <m:begChr m:val="("/>
            <m:endChr m:val=")"/>
            <m:sepChr m:val=""/>
            <m:grow/>
          </m:dPr>
          <m:e>
            <m:r>
              <m:t>0.00065</m:t>
            </m:r>
            <m:r>
              <m:rPr>
                <m:sty m:val="p"/>
              </m:rPr>
              <m:t>/</m:t>
            </m:r>
            <m:r>
              <m:t>3600</m:t>
            </m:r>
          </m:e>
        </m:d>
        <m:r>
          <m:rPr>
            <m:sty m:val="p"/>
          </m:rPr>
          <m:t>/</m:t>
        </m:r>
        <m:d>
          <m:dPr>
            <m:begChr m:val="("/>
            <m:endChr m:val=")"/>
            <m:sepChr m:val=""/>
            <m:grow/>
          </m:dPr>
          <m:e>
            <m:r>
              <m:t>0.625</m:t>
            </m:r>
            <m:r>
              <m:rPr>
                <m:sty m:val="p"/>
              </m:rPr>
              <m:t>×</m:t>
            </m:r>
            <m:sSup>
              <m:e>
                <m:r>
                  <m:t>10</m:t>
                </m:r>
              </m:e>
              <m:sup>
                <m:r>
                  <m:rPr>
                    <m:sty m:val="p"/>
                  </m:rPr>
                  <m:t>−</m:t>
                </m:r>
                <m:r>
                  <m:t>6</m:t>
                </m:r>
              </m:sup>
            </m:sSup>
          </m:e>
        </m:d>
        <m:r>
          <m:rPr>
            <m:sty m:val="p"/>
          </m:rPr>
          <m:t>=</m:t>
        </m:r>
        <m:r>
          <m:t>1.806</m:t>
        </m:r>
        <m:r>
          <m:rPr>
            <m:sty m:val="p"/>
          </m:rPr>
          <m:t>×</m:t>
        </m:r>
        <m:sSup>
          <m:e>
            <m:r>
              <m:t>10</m:t>
            </m:r>
          </m:e>
          <m:sup>
            <m:r>
              <m:rPr>
                <m:sty m:val="p"/>
              </m:rPr>
              <m:t>−</m:t>
            </m:r>
            <m:r>
              <m:t>7</m:t>
            </m:r>
          </m:sup>
        </m:sSup>
        <m:r>
          <m:rPr>
            <m:sty m:val="p"/>
          </m:rPr>
          <m:t>/</m:t>
        </m:r>
        <m:r>
          <m:t>6.25</m:t>
        </m:r>
        <m:r>
          <m:rPr>
            <m:sty m:val="p"/>
          </m:rPr>
          <m:t>×</m:t>
        </m:r>
        <m:sSup>
          <m:e>
            <m:r>
              <m:t>10</m:t>
            </m:r>
          </m:e>
          <m:sup>
            <m:r>
              <m:rPr>
                <m:sty m:val="p"/>
              </m:rPr>
              <m:t>−</m:t>
            </m:r>
            <m:r>
              <m:t>7</m:t>
            </m:r>
          </m:sup>
        </m:sSup>
        <m:r>
          <m:rPr>
            <m:sty m:val="p"/>
          </m:rPr>
          <m:t>=</m:t>
        </m:r>
        <m:r>
          <m:t>0.289</m:t>
        </m:r>
      </m:oMath>
      <w:r>
        <w:t xml:space="preserve">; reads give the same 0.289.</w:t>
      </w:r>
    </w:p>
    <w:p>
      <w:pPr>
        <w:numPr>
          <w:ilvl w:val="0"/>
          <w:numId w:val="1408"/>
        </w:numPr>
        <w:pStyle w:val="Compact"/>
      </w:pPr>
      <w:r>
        <w:t xml:space="preserve">The table averages 30 % of peak. Provisioned at peak for 720 hours:</w:t>
      </w:r>
      <w:r>
        <w:t xml:space="preserve"> </w:t>
      </w:r>
      <m:oMath>
        <m:r>
          <m:t>8</m:t>
        </m:r>
        <m:r>
          <m:rPr>
            <m:sty m:val="p"/>
          </m:rPr>
          <m:t>,</m:t>
        </m:r>
        <m:r>
          <m:t>000</m:t>
        </m:r>
        <m:r>
          <m:rPr>
            <m:sty m:val="p"/>
          </m:rPr>
          <m:t>×</m:t>
        </m:r>
        <m:r>
          <m:t>0.00065</m:t>
        </m:r>
        <m:r>
          <m:rPr>
            <m:sty m:val="p"/>
          </m:rPr>
          <m:t>×</m:t>
        </m:r>
        <m:r>
          <m:t>720</m:t>
        </m:r>
        <m:r>
          <m:rPr>
            <m:sty m:val="p"/>
          </m:rPr>
          <m:t>=</m:t>
        </m:r>
        <m:r>
          <m:rPr>
            <m:sty m:val="p"/>
          </m:rPr>
          <m:t>$</m:t>
        </m:r>
        <m:r>
          <m:t>3</m:t>
        </m:r>
        <m:r>
          <m:rPr>
            <m:sty m:val="p"/>
          </m:rPr>
          <m:t>,</m:t>
        </m:r>
        <m:r>
          <m:t>744</m:t>
        </m:r>
      </m:oMath>
      <w:r>
        <w:t xml:space="preserve"> </w:t>
      </w:r>
      <w:r>
        <w:t xml:space="preserve">plus</w:t>
      </w:r>
      <w:r>
        <w:t xml:space="preserve"> </w:t>
      </w:r>
      <m:oMath>
        <m:r>
          <m:t>5</m:t>
        </m:r>
        <m:r>
          <m:rPr>
            <m:sty m:val="p"/>
          </m:rPr>
          <m:t>,</m:t>
        </m:r>
        <m:r>
          <m:t>000</m:t>
        </m:r>
        <m:r>
          <m:rPr>
            <m:sty m:val="p"/>
          </m:rPr>
          <m:t>×</m:t>
        </m:r>
        <m:r>
          <m:t>0.00013</m:t>
        </m:r>
        <m:r>
          <m:rPr>
            <m:sty m:val="p"/>
          </m:rPr>
          <m:t>×</m:t>
        </m:r>
        <m:r>
          <m:t>720</m:t>
        </m:r>
        <m:r>
          <m:rPr>
            <m:sty m:val="p"/>
          </m:rPr>
          <m:t>=</m:t>
        </m:r>
        <m:r>
          <m:rPr>
            <m:sty m:val="p"/>
          </m:rPr>
          <m:t>$</m:t>
        </m:r>
        <m:r>
          <m:t>468</m:t>
        </m:r>
      </m:oMath>
      <w:r>
        <w:t xml:space="preserve">, total</w:t>
      </w:r>
      <w:r>
        <w:t xml:space="preserve"> </w:t>
      </w:r>
      <w:r>
        <w:rPr>
          <w:bCs/>
          <w:b/>
        </w:rPr>
        <w:t xml:space="preserve">$4,212</w:t>
      </w:r>
      <w:r>
        <w:t xml:space="preserve">.</w:t>
      </w:r>
    </w:p>
    <w:p>
      <w:pPr>
        <w:numPr>
          <w:ilvl w:val="0"/>
          <w:numId w:val="1408"/>
        </w:numPr>
        <w:pStyle w:val="Compact"/>
      </w:pPr>
      <w:r>
        <w:t xml:space="preserve">On-demand over 2,592,000 s:</w:t>
      </w:r>
      <w:r>
        <w:t xml:space="preserve"> </w:t>
      </w:r>
      <m:oMath>
        <m:r>
          <m:t>2</m:t>
        </m:r>
        <m:r>
          <m:rPr>
            <m:sty m:val="p"/>
          </m:rPr>
          <m:t>,</m:t>
        </m:r>
        <m:r>
          <m:t>400</m:t>
        </m:r>
        <m:r>
          <m:rPr>
            <m:sty m:val="p"/>
          </m:rPr>
          <m:t>×</m:t>
        </m:r>
        <m:r>
          <m:t>2</m:t>
        </m:r>
        <m:r>
          <m:rPr>
            <m:sty m:val="p"/>
          </m:rPr>
          <m:t>,</m:t>
        </m:r>
        <m:r>
          <m:t>592</m:t>
        </m:r>
        <m:r>
          <m:rPr>
            <m:sty m:val="p"/>
          </m:rPr>
          <m:t>,</m:t>
        </m:r>
        <m:r>
          <m:t>000</m:t>
        </m:r>
        <m:r>
          <m:rPr>
            <m:sty m:val="p"/>
          </m:rPr>
          <m:t>=</m:t>
        </m:r>
        <m:r>
          <m:t>6.22</m:t>
        </m:r>
        <m:r>
          <m:rPr>
            <m:sty m:val="p"/>
          </m:rPr>
          <m:t>×</m:t>
        </m:r>
        <m:sSup>
          <m:e>
            <m:r>
              <m:t>10</m:t>
            </m:r>
          </m:e>
          <m:sup>
            <m:r>
              <m:t>9</m:t>
            </m:r>
          </m:sup>
        </m:sSup>
      </m:oMath>
      <w:r>
        <w:t xml:space="preserve"> </w:t>
      </w:r>
      <w:r>
        <w:t xml:space="preserve">write units →</w:t>
      </w:r>
      <w:r>
        <w:t xml:space="preserve"> </w:t>
      </w:r>
      <m:oMath>
        <m:r>
          <m:rPr>
            <m:sty m:val="p"/>
          </m:rPr>
          <m:t>$</m:t>
        </m:r>
        <m:r>
          <m:t>3</m:t>
        </m:r>
        <m:r>
          <m:rPr>
            <m:sty m:val="p"/>
          </m:rPr>
          <m:t>,</m:t>
        </m:r>
        <m:r>
          <m:t>888</m:t>
        </m:r>
      </m:oMath>
      <w:r>
        <w:t xml:space="preserve">;</w:t>
      </w:r>
      <w:r>
        <w:t xml:space="preserve"> </w:t>
      </w:r>
      <m:oMath>
        <m:r>
          <m:t>1</m:t>
        </m:r>
        <m:r>
          <m:rPr>
            <m:sty m:val="p"/>
          </m:rPr>
          <m:t>,</m:t>
        </m:r>
        <m:r>
          <m:t>500</m:t>
        </m:r>
        <m:r>
          <m:rPr>
            <m:sty m:val="p"/>
          </m:rPr>
          <m:t>×</m:t>
        </m:r>
        <m:r>
          <m:t>2</m:t>
        </m:r>
        <m:r>
          <m:rPr>
            <m:sty m:val="p"/>
          </m:rPr>
          <m:t>,</m:t>
        </m:r>
        <m:r>
          <m:t>592</m:t>
        </m:r>
        <m:r>
          <m:rPr>
            <m:sty m:val="p"/>
          </m:rPr>
          <m:t>,</m:t>
        </m:r>
        <m:r>
          <m:t>000</m:t>
        </m:r>
        <m:r>
          <m:rPr>
            <m:sty m:val="p"/>
          </m:rPr>
          <m:t>=</m:t>
        </m:r>
        <m:r>
          <m:t>3.89</m:t>
        </m:r>
        <m:r>
          <m:rPr>
            <m:sty m:val="p"/>
          </m:rPr>
          <m:t>×</m:t>
        </m:r>
        <m:sSup>
          <m:e>
            <m:r>
              <m:t>10</m:t>
            </m:r>
          </m:e>
          <m:sup>
            <m:r>
              <m:t>9</m:t>
            </m:r>
          </m:sup>
        </m:sSup>
      </m:oMath>
      <w:r>
        <w:t xml:space="preserve"> </w:t>
      </w:r>
      <w:r>
        <w:t xml:space="preserve">read units →</w:t>
      </w:r>
      <w:r>
        <w:t xml:space="preserve"> </w:t>
      </w:r>
      <m:oMath>
        <m:r>
          <m:rPr>
            <m:sty m:val="p"/>
          </m:rPr>
          <m:t>$</m:t>
        </m:r>
        <m:r>
          <m:t>486</m:t>
        </m:r>
      </m:oMath>
      <w:r>
        <w:t xml:space="preserve">; total</w:t>
      </w:r>
      <w:r>
        <w:t xml:space="preserve"> </w:t>
      </w:r>
      <w:r>
        <w:rPr>
          <w:bCs/>
          <w:b/>
        </w:rPr>
        <w:t xml:space="preserve">$4,374</w:t>
      </w:r>
      <w:r>
        <w:t xml:space="preserve">.</w:t>
      </w:r>
    </w:p>
    <w:p>
      <w:pPr>
        <w:pStyle w:val="CalloutExample"/>
      </w:pPr>
      <w:r>
        <w:rPr>
          <w:bCs/>
          <w:b/>
        </w:rPr>
        <w:t xml:space="preserve">Interpretation.</w:t>
      </w:r>
      <w:r>
        <w:t xml:space="preserve"> </w:t>
      </w:r>
      <w:r>
        <w:t xml:space="preserve">At 30 % utilization the modes cost within 4 %, as the break-even predicts.</w:t>
      </w:r>
    </w:p>
    <w:p>
      <w:pPr>
        <w:pStyle w:val="CalloutExample"/>
      </w:pPr>
      <w:r>
        <w:rPr>
          <w:bCs/>
          <w:b/>
        </w:rPr>
        <w:t xml:space="preserve">Engineering implication.</w:t>
      </w:r>
      <w:r>
        <w:t xml:space="preserve"> </w:t>
      </w:r>
      <w:r>
        <w:t xml:space="preserve">Spiky traffic (average far below 29 % of peak) favors on-demand; steady traffic with auto scaling near 70 % utilization costs about 40 % of on-demand when provisioned. Storage and replication are billed separately.</w:t>
      </w:r>
    </w:p>
    <w:bookmarkStart w:id="1333" w:name="real-world-industry-applications-22"/>
    <w:p>
      <w:pPr>
        <w:pStyle w:val="Heading4"/>
      </w:pPr>
      <w:r>
        <w:t xml:space="preserve">Real-world industry applications</w:t>
      </w:r>
    </w:p>
    <w:p>
      <w:pPr>
        <w:pStyle w:val="CalloutIndustry"/>
      </w:pPr>
      <w:r>
        <w:rPr>
          <w:bCs/>
          <w:b/>
        </w:rPr>
        <w:t xml:space="preserve">INDUSTRY EXAMPLE</w:t>
      </w:r>
    </w:p>
    <w:p>
      <w:pPr>
        <w:pStyle w:val="CalloutIndustry"/>
      </w:pPr>
      <w:r>
        <w:rPr>
          <w:bCs/>
          <w:b/>
        </w:rPr>
        <w:t xml:space="preserve">Amazon DynamoDB at Prime Day.</w:t>
      </w:r>
      <w:r>
        <w:t xml:space="preserve"> </w:t>
      </w:r>
      <w:r>
        <w:t xml:space="preserve">Amazon needed a store whose latency did not degrade with scale or noisy neighbors. DynamoDB combines hash partitioning, three-way Multi-Paxos replication, global admission control and splitting for heat; the ATC 2022 paper reports a peak of 89.2 million requests per second during Prime Day 2021 at single-digit-millisecond latency. The trade-off is a restrictive query model.</w:t>
      </w:r>
      <w:r>
        <w:t xml:space="preserve"> </w:t>
      </w:r>
      <w:r>
        <w:rPr>
          <w:iCs/>
          <w:i/>
        </w:rPr>
        <w:t xml:space="preserve">Evidence: Primary</w:t>
      </w:r>
      <w:r>
        <w:t xml:space="preserve"> </w:t>
      </w:r>
      <w:r>
        <w:t xml:space="preserve">— [Elhemali et al. 2022]</w:t>
      </w:r>
    </w:p>
    <w:p>
      <w:pPr>
        <w:pStyle w:val="CalloutIndustry"/>
      </w:pPr>
      <w:r>
        <w:rPr>
          <w:bCs/>
          <w:b/>
        </w:rPr>
        <w:t xml:space="preserve">INDUSTRY EXAMPLE</w:t>
      </w:r>
    </w:p>
    <w:p>
      <w:pPr>
        <w:pStyle w:val="CalloutIndustry"/>
      </w:pPr>
      <w:r>
        <w:rPr>
          <w:bCs/>
          <w:b/>
        </w:rPr>
        <w:t xml:space="preserve">Dynamo’s shopping cart.</w:t>
      </w:r>
      <w:r>
        <w:t xml:space="preserve"> </w:t>
      </w:r>
      <w:r>
        <w:t xml:space="preserve">The cart must accept</w:t>
      </w:r>
      <w:r>
        <w:t xml:space="preserve"> </w:t>
      </w:r>
      <w:r>
        <w:t xml:space="preserve">“</w:t>
      </w:r>
      <w:r>
        <w:t xml:space="preserve">add to cart</w:t>
      </w:r>
      <w:r>
        <w:t xml:space="preserve">”</w:t>
      </w:r>
      <w:r>
        <w:t xml:space="preserve"> </w:t>
      </w:r>
      <w:r>
        <w:t xml:space="preserve">even during partitions; divergent versions are tracked with vector clocks and merged by union, which can resurrect deleted items — availability bought with correctness.</w:t>
      </w:r>
      <w:r>
        <w:t xml:space="preserve"> </w:t>
      </w:r>
      <w:r>
        <w:rPr>
          <w:iCs/>
          <w:i/>
        </w:rPr>
        <w:t xml:space="preserve">Evidence: Primary</w:t>
      </w:r>
      <w:r>
        <w:t xml:space="preserve"> </w:t>
      </w:r>
      <w:r>
        <w:t xml:space="preserve">— [DeCandia et al. 2007]</w:t>
      </w:r>
    </w:p>
    <w:bookmarkEnd w:id="1333"/>
    <w:bookmarkStart w:id="1334" w:name="advantages-and-disadvantages-8"/>
    <w:p>
      <w:pPr>
        <w:pStyle w:val="Heading4"/>
      </w:pPr>
      <w:r>
        <w:t xml:space="preserve">Advantages and disadvantages</w:t>
      </w:r>
    </w:p>
    <w:p>
      <w:pPr>
        <w:numPr>
          <w:ilvl w:val="0"/>
          <w:numId w:val="1409"/>
        </w:numPr>
        <w:pStyle w:val="Compact"/>
      </w:pPr>
      <w:r>
        <w:rPr>
          <w:bCs/>
          <w:b/>
        </w:rPr>
        <w:t xml:space="preserve">Advantages:</w:t>
      </w:r>
      <w:r>
        <w:t xml:space="preserve"> </w:t>
      </w:r>
      <w:r>
        <w:t xml:space="preserve">predictable latency at any size; near-linear scale-out; fully managed options; per-item TTL deletes without consuming write capacity.</w:t>
      </w:r>
    </w:p>
    <w:p>
      <w:pPr>
        <w:numPr>
          <w:ilvl w:val="0"/>
          <w:numId w:val="1409"/>
        </w:numPr>
        <w:pStyle w:val="Compact"/>
      </w:pPr>
      <w:r>
        <w:rPr>
          <w:bCs/>
          <w:b/>
        </w:rPr>
        <w:t xml:space="preserve">Disadvantages:</w:t>
      </w:r>
      <w:r>
        <w:t xml:space="preserve"> </w:t>
      </w:r>
      <w:r>
        <w:t xml:space="preserve">only designed access patterns are cheap; new patterns need indexes or backfills; no joins or aggregations; hot keys cap throughput; single-table schemas are hard to read.</w:t>
      </w:r>
    </w:p>
    <w:bookmarkEnd w:id="1334"/>
    <w:bookmarkStart w:id="1335" w:name="failure-scenarios-27"/>
    <w:p>
      <w:pPr>
        <w:pStyle w:val="Heading4"/>
      </w:pPr>
      <w:r>
        <w:t xml:space="preserve">Failure scenarios</w:t>
      </w:r>
    </w:p>
    <w:p>
      <w:pPr>
        <w:pStyle w:val="FirstParagraph"/>
      </w:pPr>
      <w:r>
        <w:rPr>
          <w:bCs/>
          <w:b/>
        </w:rPr>
        <w:t xml:space="preserve">Table 12.5 — Key-value store 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Throttling with spare table capacity</w:t>
            </w:r>
          </w:p>
        </w:tc>
        <w:tc>
          <w:tcPr/>
          <w:p>
            <w:pPr>
              <w:pStyle w:val="Compact"/>
              <w:jc w:val="left"/>
            </w:pPr>
            <w:r>
              <w:t xml:space="preserve">One partition key exceeds the per-partition limit</w:t>
            </w:r>
          </w:p>
        </w:tc>
        <w:tc>
          <w:tcPr/>
          <w:p>
            <w:pPr>
              <w:pStyle w:val="Compact"/>
              <w:jc w:val="left"/>
            </w:pPr>
            <w:r>
              <w:t xml:space="preserve">Throttle metrics with low table utilization; key-level contributor insights</w:t>
            </w:r>
          </w:p>
        </w:tc>
        <w:tc>
          <w:tcPr/>
          <w:p>
            <w:pPr>
              <w:pStyle w:val="Compact"/>
              <w:jc w:val="left"/>
            </w:pPr>
            <w:r>
              <w:t xml:space="preserve">Write-shard the key with a suffix</w:t>
            </w:r>
          </w:p>
        </w:tc>
        <w:tc>
          <w:tcPr/>
          <w:p>
            <w:pPr>
              <w:pStyle w:val="Compact"/>
              <w:jc w:val="left"/>
            </w:pPr>
            <w:r>
              <w:t xml:space="preserve">Choose high-cardinality partition keys (§14.10)</w:t>
            </w:r>
          </w:p>
        </w:tc>
      </w:tr>
      <w:tr>
        <w:tc>
          <w:tcPr/>
          <w:p>
            <w:pPr>
              <w:pStyle w:val="Compact"/>
              <w:jc w:val="left"/>
            </w:pPr>
            <w:r>
              <w:t xml:space="preserve">Base-table writes throttled</w:t>
            </w:r>
          </w:p>
        </w:tc>
        <w:tc>
          <w:tcPr/>
          <w:p>
            <w:pPr>
              <w:pStyle w:val="Compact"/>
              <w:jc w:val="left"/>
            </w:pPr>
            <w:r>
              <w:t xml:space="preserve">GSI under-provisioned or hot</w:t>
            </w:r>
          </w:p>
        </w:tc>
        <w:tc>
          <w:tcPr/>
          <w:p>
            <w:pPr>
              <w:pStyle w:val="Compact"/>
              <w:jc w:val="left"/>
            </w:pPr>
            <w:r>
              <w:t xml:space="preserve">GSI throttle events</w:t>
            </w:r>
          </w:p>
        </w:tc>
        <w:tc>
          <w:tcPr/>
          <w:p>
            <w:pPr>
              <w:pStyle w:val="Compact"/>
              <w:jc w:val="left"/>
            </w:pPr>
            <w:r>
              <w:t xml:space="preserve">Raise GSI capacity</w:t>
            </w:r>
          </w:p>
        </w:tc>
        <w:tc>
          <w:tcPr/>
          <w:p>
            <w:pPr>
              <w:pStyle w:val="Compact"/>
              <w:jc w:val="left"/>
            </w:pPr>
            <w:r>
              <w:t xml:space="preserve">Size GSIs like tables; sparse projections</w:t>
            </w:r>
          </w:p>
        </w:tc>
      </w:tr>
      <w:tr>
        <w:tc>
          <w:tcPr/>
          <w:p>
            <w:pPr>
              <w:pStyle w:val="Compact"/>
              <w:jc w:val="left"/>
            </w:pPr>
            <w:r>
              <w:t xml:space="preserve">Stale read after write</w:t>
            </w:r>
          </w:p>
        </w:tc>
        <w:tc>
          <w:tcPr/>
          <w:p>
            <w:pPr>
              <w:pStyle w:val="Compact"/>
              <w:jc w:val="left"/>
            </w:pPr>
            <w:r>
              <w:t xml:space="preserve">Eventually consistent read or GSI read</w:t>
            </w:r>
          </w:p>
        </w:tc>
        <w:tc>
          <w:tcPr/>
          <w:p>
            <w:pPr>
              <w:pStyle w:val="Compact"/>
              <w:jc w:val="left"/>
            </w:pPr>
            <w:r>
              <w:t xml:space="preserve">Users see missing items briefly</w:t>
            </w:r>
          </w:p>
        </w:tc>
        <w:tc>
          <w:tcPr/>
          <w:p>
            <w:pPr>
              <w:pStyle w:val="Compact"/>
              <w:jc w:val="left"/>
            </w:pPr>
            <w:r>
              <w:t xml:space="preserve">Retry or read from base table strongly</w:t>
            </w:r>
          </w:p>
        </w:tc>
        <w:tc>
          <w:tcPr/>
          <w:p>
            <w:pPr>
              <w:pStyle w:val="Compact"/>
              <w:jc w:val="left"/>
            </w:pPr>
            <w:r>
              <w:t xml:space="preserve">Strong reads where read-your-writes matters (§25.6)</w:t>
            </w:r>
          </w:p>
        </w:tc>
      </w:tr>
    </w:tbl>
    <w:bookmarkEnd w:id="1335"/>
    <w:bookmarkStart w:id="1336" w:name="common-misconceptions-24"/>
    <w:p>
      <w:pPr>
        <w:pStyle w:val="Heading4"/>
      </w:pPr>
      <w:r>
        <w:t xml:space="preserve">Common misconceptions</w:t>
      </w:r>
    </w:p>
    <w:p>
      <w:pPr>
        <w:pStyle w:val="CalloutMistake"/>
      </w:pPr>
      <w:r>
        <w:rPr>
          <w:bCs/>
          <w:b/>
        </w:rPr>
        <w:t xml:space="preserve">COMMON MISTAKE</w:t>
      </w:r>
    </w:p>
    <w:p>
      <w:pPr>
        <w:pStyle w:val="CalloutMistake"/>
      </w:pPr>
      <w:r>
        <w:rPr>
          <w:bCs/>
          <w:b/>
        </w:rPr>
        <w:t xml:space="preserve">“</w:t>
      </w:r>
      <w:r>
        <w:rPr>
          <w:bCs/>
          <w:b/>
        </w:rPr>
        <w:t xml:space="preserve">Scan is fine for small tables.</w:t>
      </w:r>
      <w:r>
        <w:rPr>
          <w:bCs/>
          <w:b/>
        </w:rPr>
        <w:t xml:space="preserve">”</w:t>
      </w:r>
      <w:r>
        <w:t xml:space="preserve"> </w:t>
      </w:r>
      <w:r>
        <w:t xml:space="preserve">A Scan reads and bills every item, and tables grow. Design a key or index for each online pattern; keep Scan for offline jobs.</w:t>
      </w:r>
    </w:p>
    <w:bookmarkEnd w:id="1336"/>
    <w:bookmarkEnd w:id="1337"/>
    <w:bookmarkEnd w:id="1338"/>
    <w:bookmarkStart w:id="1352" w:name="document-databases"/>
    <w:p>
      <w:pPr>
        <w:pStyle w:val="Heading2"/>
      </w:pPr>
      <w:r>
        <w:t xml:space="preserve">12.5 Document databases</w:t>
      </w:r>
    </w:p>
    <w:bookmarkStart w:id="1342" w:name="the-document-model"/>
    <w:p>
      <w:pPr>
        <w:pStyle w:val="Heading3"/>
      </w:pPr>
      <w:r>
        <w:t xml:space="preserve">12.5.1 The document model</w:t>
      </w:r>
    </w:p>
    <w:p>
      <w:pPr>
        <w:pStyle w:val="CalloutDefinition"/>
      </w:pPr>
      <w:r>
        <w:rPr>
          <w:bCs/>
          <w:b/>
        </w:rPr>
        <w:t xml:space="preserve">DEFINITION</w:t>
      </w:r>
    </w:p>
    <w:p>
      <w:pPr>
        <w:pStyle w:val="CalloutDefinition"/>
      </w:pPr>
      <w:r>
        <w:rPr>
          <w:bCs/>
          <w:b/>
        </w:rPr>
        <w:t xml:space="preserve">Definition — Document database.</w:t>
      </w:r>
      <w:r>
        <w:t xml:space="preserve"> </w:t>
      </w:r>
      <w:r>
        <w:t xml:space="preserve">A database that stores self-describing, hierarchical records —</w:t>
      </w:r>
      <w:r>
        <w:t xml:space="preserve"> </w:t>
      </w:r>
      <w:r>
        <w:rPr>
          <w:bCs/>
          <w:b/>
        </w:rPr>
        <w:t xml:space="preserve">documents</w:t>
      </w:r>
      <w:r>
        <w:t xml:space="preserve">, usually JSON or a binary encoding of it such as BSON — grouped into</w:t>
      </w:r>
      <w:r>
        <w:t xml:space="preserve"> </w:t>
      </w:r>
      <w:r>
        <w:rPr>
          <w:bCs/>
          <w:b/>
        </w:rPr>
        <w:t xml:space="preserve">collections</w:t>
      </w:r>
      <w:r>
        <w:t xml:space="preserve">, and that can index and query fields inside the documents, including nested fields and array elements.</w:t>
      </w:r>
    </w:p>
    <w:bookmarkStart w:id="1339" w:name="first-principles-explanation-74"/>
    <w:p>
      <w:pPr>
        <w:pStyle w:val="Heading4"/>
      </w:pPr>
      <w:r>
        <w:t xml:space="preserve">First-principles explanation</w:t>
      </w:r>
    </w:p>
    <w:p>
      <w:pPr>
        <w:pStyle w:val="FirstParagraph"/>
      </w:pPr>
      <w:r>
        <w:t xml:space="preserve">A doctor’s paper chart is a document: allergies, visits and each visit’s prescriptions sit in one folder, and a new kind of test result is just a new page. The cost appears with questions that cut across folders —</w:t>
      </w:r>
      <w:r>
        <w:t xml:space="preserve"> </w:t>
      </w:r>
      <w:r>
        <w:t xml:space="preserve">“</w:t>
      </w:r>
      <w:r>
        <w:t xml:space="preserve">who was prescribed drug X last month?</w:t>
      </w:r>
      <w:r>
        <w:t xml:space="preserve">”</w:t>
      </w:r>
      <w:r>
        <w:t xml:space="preserve"> </w:t>
      </w:r>
      <w:r>
        <w:t xml:space="preserve">— which need an index or opening every folder.</w:t>
      </w:r>
    </w:p>
    <w:bookmarkEnd w:id="1339"/>
    <w:bookmarkStart w:id="1340" w:name="why-does-this-exist-42"/>
    <w:p>
      <w:pPr>
        <w:pStyle w:val="Heading4"/>
      </w:pPr>
      <w:r>
        <w:t xml:space="preserve">Why does this exist?</w:t>
      </w:r>
    </w:p>
    <w:p>
      <w:pPr>
        <w:pStyle w:val="FirstParagraph"/>
      </w:pPr>
      <w:r>
        <w:t xml:space="preserve">Application objects contain lists and nested objects; normalized tables (§11.5) split them apart and reassemble them with joins — the</w:t>
      </w:r>
      <w:r>
        <w:t xml:space="preserve"> </w:t>
      </w:r>
      <w:r>
        <w:rPr>
          <w:bCs/>
          <w:b/>
        </w:rPr>
        <w:t xml:space="preserve">object-relational impedance mismatch</w:t>
      </w:r>
      <w:r>
        <w:t xml:space="preserve">. A document database stores the object as the application sees it, so one aggregate is one read and a new field needs no migration. MongoDB (2009) made the model mainstream; PostgreSQL’s</w:t>
      </w:r>
      <w:r>
        <w:t xml:space="preserve"> </w:t>
      </w:r>
      <w:r>
        <w:rPr>
          <w:rStyle w:val="VerbatimChar"/>
        </w:rPr>
        <w:t xml:space="preserve">jsonb</w:t>
      </w:r>
      <w:r>
        <w:t xml:space="preserve"> </w:t>
      </w:r>
      <w:r>
        <w:t xml:space="preserve">brings much of it into a relational engine.</w:t>
      </w:r>
    </w:p>
    <w:bookmarkEnd w:id="1340"/>
    <w:bookmarkStart w:id="1341" w:name="how-it-works-internally-44"/>
    <w:p>
      <w:pPr>
        <w:pStyle w:val="Heading4"/>
      </w:pPr>
      <w:r>
        <w:t xml:space="preserve">How it works internally</w:t>
      </w:r>
    </w:p>
    <w:p>
      <w:pPr>
        <w:pStyle w:val="FirstParagraph"/>
      </w:pPr>
      <w:r>
        <w:t xml:space="preserve">Using MongoDB as the reference [MongoDB Docs]:</w:t>
      </w:r>
    </w:p>
    <w:p>
      <w:pPr>
        <w:numPr>
          <w:ilvl w:val="0"/>
          <w:numId w:val="1410"/>
        </w:numPr>
        <w:pStyle w:val="Compact"/>
      </w:pPr>
      <w:r>
        <w:t xml:space="preserve">Documents are stored as</w:t>
      </w:r>
      <w:r>
        <w:t xml:space="preserve"> </w:t>
      </w:r>
      <w:r>
        <w:rPr>
          <w:bCs/>
          <w:b/>
        </w:rPr>
        <w:t xml:space="preserve">BSON</w:t>
      </w:r>
      <w:r>
        <w:t xml:space="preserve">, a typed binary JSON (dates, decimals, binary), up to 16 MB each, in WiredTiger B-trees with document-level concurrency control and compression.</w:t>
      </w:r>
    </w:p>
    <w:p>
      <w:pPr>
        <w:numPr>
          <w:ilvl w:val="0"/>
          <w:numId w:val="1410"/>
        </w:numPr>
        <w:pStyle w:val="Compact"/>
      </w:pPr>
      <w:r>
        <w:t xml:space="preserve">Every collection has a unique</w:t>
      </w:r>
      <w:r>
        <w:t xml:space="preserve"> </w:t>
      </w:r>
      <w:r>
        <w:rPr>
          <w:rStyle w:val="VerbatimChar"/>
        </w:rPr>
        <w:t xml:space="preserve">_id</w:t>
      </w:r>
      <w:r>
        <w:t xml:space="preserve"> </w:t>
      </w:r>
      <w:r>
        <w:t xml:space="preserve">index; secondary indexes are separate B-trees, and an index on an array field is</w:t>
      </w:r>
      <w:r>
        <w:t xml:space="preserve"> </w:t>
      </w:r>
      <w:r>
        <w:rPr>
          <w:bCs/>
          <w:b/>
        </w:rPr>
        <w:t xml:space="preserve">multikey</w:t>
      </w:r>
      <w:r>
        <w:t xml:space="preserve"> </w:t>
      </w:r>
      <w:r>
        <w:t xml:space="preserve">— one entry per element.</w:t>
      </w:r>
    </w:p>
    <w:p>
      <w:pPr>
        <w:numPr>
          <w:ilvl w:val="0"/>
          <w:numId w:val="1410"/>
        </w:numPr>
        <w:pStyle w:val="Compact"/>
      </w:pPr>
      <w:r>
        <w:t xml:space="preserve">A</w:t>
      </w:r>
      <w:r>
        <w:t xml:space="preserve"> </w:t>
      </w:r>
      <w:r>
        <w:rPr>
          <w:bCs/>
          <w:b/>
        </w:rPr>
        <w:t xml:space="preserve">replica set</w:t>
      </w:r>
      <w:r>
        <w:t xml:space="preserve"> </w:t>
      </w:r>
      <w:r>
        <w:t xml:space="preserve">(typically three members) elects a primary with a Raft-like protocol; secondaries replicate its operation log (</w:t>
      </w:r>
      <w:r>
        <w:rPr>
          <w:bCs/>
          <w:b/>
        </w:rPr>
        <w:t xml:space="preserve">oplog</w:t>
      </w:r>
      <w:r>
        <w:t xml:space="preserve">) asynchronously. With</w:t>
      </w:r>
      <w:r>
        <w:t xml:space="preserve"> </w:t>
      </w:r>
      <w:r>
        <w:rPr>
          <w:bCs/>
          <w:b/>
        </w:rPr>
        <w:t xml:space="preserve">write concern</w:t>
      </w:r>
      <w:r>
        <w:t xml:space="preserve"> </w:t>
      </w:r>
      <w:r>
        <w:rPr>
          <w:rStyle w:val="VerbatimChar"/>
        </w:rPr>
        <w:t xml:space="preserve">majority</w:t>
      </w:r>
      <w:r>
        <w:t xml:space="preserve"> </w:t>
      </w:r>
      <w:r>
        <w:t xml:space="preserve">— the default since MongoDB 5.0 — an acknowledged write survives failover.</w:t>
      </w:r>
    </w:p>
    <w:p>
      <w:pPr>
        <w:numPr>
          <w:ilvl w:val="0"/>
          <w:numId w:val="1410"/>
        </w:numPr>
        <w:pStyle w:val="Compact"/>
      </w:pPr>
      <w:r>
        <w:rPr>
          <w:bCs/>
          <w:b/>
        </w:rPr>
        <w:t xml:space="preserve">Sharding</w:t>
      </w:r>
      <w:r>
        <w:t xml:space="preserve"> </w:t>
      </w:r>
      <w:r>
        <w:t xml:space="preserve">splits a collection by a</w:t>
      </w:r>
      <w:r>
        <w:t xml:space="preserve"> </w:t>
      </w:r>
      <w:r>
        <w:rPr>
          <w:bCs/>
          <w:b/>
        </w:rPr>
        <w:t xml:space="preserve">shard key</w:t>
      </w:r>
      <w:r>
        <w:t xml:space="preserve"> </w:t>
      </w:r>
      <w:r>
        <w:t xml:space="preserve">(ranged or hashed) into chunks across replica sets; a</w:t>
      </w:r>
      <w:r>
        <w:t xml:space="preserve"> </w:t>
      </w:r>
      <w:r>
        <w:rPr>
          <w:rStyle w:val="VerbatimChar"/>
        </w:rPr>
        <w:t xml:space="preserve">mongos</w:t>
      </w:r>
      <w:r>
        <w:t xml:space="preserve"> </w:t>
      </w:r>
      <w:r>
        <w:t xml:space="preserve">router targets one shard when the query includes the shard key and scatter-gathers otherwise (§14.11).</w:t>
      </w:r>
    </w:p>
    <w:bookmarkEnd w:id="1341"/>
    <w:bookmarkEnd w:id="1342"/>
    <w:bookmarkStart w:id="1346" w:name="embedding-versus-referencing"/>
    <w:p>
      <w:pPr>
        <w:pStyle w:val="Heading3"/>
      </w:pPr>
      <w:r>
        <w:t xml:space="preserve">12.5.2 Embedding versus referencing</w:t>
      </w:r>
    </w:p>
    <w:p>
      <w:pPr>
        <w:pStyle w:val="FirstParagraph"/>
      </w:pPr>
      <w:r>
        <w:t xml:space="preserve">The central modeling decision is whether related data goes</w:t>
      </w:r>
      <w:r>
        <w:t xml:space="preserve"> </w:t>
      </w:r>
      <w:r>
        <w:rPr>
          <w:iCs/>
          <w:i/>
        </w:rPr>
        <w:t xml:space="preserve">inside</w:t>
      </w:r>
      <w:r>
        <w:t xml:space="preserve"> </w:t>
      </w:r>
      <w:r>
        <w:t xml:space="preserve">a document or</w:t>
      </w:r>
      <w:r>
        <w:t xml:space="preserve"> </w:t>
      </w:r>
      <w:r>
        <w:rPr>
          <w:iCs/>
          <w:i/>
        </w:rPr>
        <w:t xml:space="preserve">in another document</w:t>
      </w:r>
      <w:r>
        <w:t xml:space="preserve"> </w:t>
      </w:r>
      <w:r>
        <w:t xml:space="preserve">that you point to.</w:t>
      </w:r>
    </w:p>
    <w:p>
      <w:pPr>
        <w:pStyle w:val="BodyText"/>
      </w:pPr>
      <w:r>
        <w:rPr>
          <w:bCs/>
          <w:b/>
        </w:rPr>
        <w:t xml:space="preserve">Figure 12.4 — Embedding versus referencing in a document model.</w:t>
      </w:r>
    </w:p>
    <w:p>
      <w:pPr>
        <w:pStyle w:val="BodyText"/>
      </w:pPr>
      <w:r>
        <w:drawing>
          <wp:inline>
            <wp:extent cx="5334000" cy="1584453"/>
            <wp:effectExtent b="0" l="0" r="0" t="0"/>
            <wp:docPr descr="" title="" id="1344" name="Picture"/>
            <a:graphic>
              <a:graphicData uri="http://schemas.openxmlformats.org/drawingml/2006/picture">
                <pic:pic>
                  <pic:nvPicPr>
                    <pic:cNvPr descr="/home/user/System-Design/build/.cache/diagrams/f50c7f873fb2.png" id="1345" name="Picture"/>
                    <pic:cNvPicPr>
                      <a:picLocks noChangeArrowheads="1" noChangeAspect="1"/>
                    </pic:cNvPicPr>
                  </pic:nvPicPr>
                  <pic:blipFill>
                    <a:blip r:embed="rId1343"/>
                    <a:stretch>
                      <a:fillRect/>
                    </a:stretch>
                  </pic:blipFill>
                  <pic:spPr bwMode="auto">
                    <a:xfrm>
                      <a:off x="0" y="0"/>
                      <a:ext cx="5334000" cy="1584453"/>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application reads an order in one synchronous request because line items and the address are</w:t>
      </w:r>
      <w:r>
        <w:t xml:space="preserve"> </w:t>
      </w:r>
      <w:r>
        <w:rPr>
          <w:bCs/>
          <w:b/>
        </w:rPr>
        <w:t xml:space="preserve">embedded</w:t>
      </w:r>
      <w:r>
        <w:t xml:space="preserve">: owned by the order, bounded and always read with it. Customers and products are</w:t>
      </w:r>
      <w:r>
        <w:t xml:space="preserve"> </w:t>
      </w:r>
      <w:r>
        <w:rPr>
          <w:bCs/>
          <w:b/>
        </w:rPr>
        <w:t xml:space="preserve">referenced</w:t>
      </w:r>
      <w:r>
        <w:t xml:space="preserve"> </w:t>
      </w:r>
      <w:r>
        <w:t xml:space="preserve">by ID because they are shared and change independently; fetching them needs a second query or a</w:t>
      </w:r>
      <w:r>
        <w:t xml:space="preserve"> </w:t>
      </w:r>
      <w:r>
        <w:rPr>
          <w:rStyle w:val="VerbatimChar"/>
        </w:rPr>
        <w:t xml:space="preserve">$lookup</w:t>
      </w:r>
      <w:r>
        <w:t xml:space="preserve"> </w:t>
      </w:r>
      <w:r>
        <w:t xml:space="preserve">(dotted, optional). Each collection is a storage boundary that may sit on a different shard, so a reference can cost a network hop. Failure point: an embedded price is a deliberate snapshot, but an embedded copy expected to stay current will drift. Scaling: shard orders by customer or order ID; one order stays single-shard.</w:t>
      </w:r>
    </w:p>
    <w:p>
      <w:pPr>
        <w:pStyle w:val="BodyText"/>
      </w:pPr>
      <w:r>
        <w:rPr>
          <w:bCs/>
          <w:b/>
        </w:rPr>
        <w:t xml:space="preserve">Table 12.6 — Embed or reference?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Embed when</w:t>
            </w:r>
          </w:p>
        </w:tc>
        <w:tc>
          <w:tcPr/>
          <w:p>
            <w:pPr>
              <w:pStyle w:val="Compact"/>
              <w:jc w:val="left"/>
            </w:pPr>
            <w:r>
              <w:t xml:space="preserve">Reference when</w:t>
            </w:r>
          </w:p>
        </w:tc>
      </w:tr>
      <w:tr>
        <w:tc>
          <w:tcPr/>
          <w:p>
            <w:pPr>
              <w:pStyle w:val="Compact"/>
              <w:jc w:val="left"/>
            </w:pPr>
            <w:r>
              <w:t xml:space="preserve">The child is read with the parent nearly every time</w:t>
            </w:r>
          </w:p>
        </w:tc>
        <w:tc>
          <w:tcPr/>
          <w:p>
            <w:pPr>
              <w:pStyle w:val="Compact"/>
              <w:jc w:val="left"/>
            </w:pPr>
            <w:r>
              <w:t xml:space="preserve">The child is often read on its own</w:t>
            </w:r>
          </w:p>
        </w:tc>
      </w:tr>
      <w:tr>
        <w:tc>
          <w:tcPr/>
          <w:p>
            <w:pPr>
              <w:pStyle w:val="Compact"/>
              <w:jc w:val="left"/>
            </w:pPr>
            <w:r>
              <w:t xml:space="preserve">The relationship is one-to-few and bounded</w:t>
            </w:r>
          </w:p>
        </w:tc>
        <w:tc>
          <w:tcPr/>
          <w:p>
            <w:pPr>
              <w:pStyle w:val="Compact"/>
              <w:jc w:val="left"/>
            </w:pPr>
            <w:r>
              <w:t xml:space="preserve">One-to-many is large or unbounded (comments, events)</w:t>
            </w:r>
          </w:p>
        </w:tc>
      </w:tr>
      <w:tr>
        <w:tc>
          <w:tcPr/>
          <w:p>
            <w:pPr>
              <w:pStyle w:val="Compact"/>
              <w:jc w:val="left"/>
            </w:pPr>
            <w:r>
              <w:t xml:space="preserve">The child has no identity outside the parent</w:t>
            </w:r>
          </w:p>
        </w:tc>
        <w:tc>
          <w:tcPr/>
          <w:p>
            <w:pPr>
              <w:pStyle w:val="Compact"/>
              <w:jc w:val="left"/>
            </w:pPr>
            <w:r>
              <w:t xml:space="preserve">Many parents share the child (many-to-many)</w:t>
            </w:r>
          </w:p>
        </w:tc>
      </w:tr>
      <w:tr>
        <w:tc>
          <w:tcPr/>
          <w:p>
            <w:pPr>
              <w:pStyle w:val="Compact"/>
              <w:jc w:val="left"/>
            </w:pPr>
            <w:r>
              <w:t xml:space="preserve">You need atomic updates of parent and child together</w:t>
            </w:r>
          </w:p>
        </w:tc>
        <w:tc>
          <w:tcPr/>
          <w:p>
            <w:pPr>
              <w:pStyle w:val="Compact"/>
              <w:jc w:val="left"/>
            </w:pPr>
            <w:r>
              <w:t xml:space="preserve">The child changes frequently and independently</w:t>
            </w:r>
          </w:p>
        </w:tc>
      </w:tr>
      <w:tr>
        <w:tc>
          <w:tcPr/>
          <w:p>
            <w:pPr>
              <w:pStyle w:val="Compact"/>
              <w:jc w:val="left"/>
            </w:pPr>
            <w:r>
              <w:t xml:space="preserve">Snapshot semantics are desired (price at purchase)</w:t>
            </w:r>
          </w:p>
        </w:tc>
        <w:tc>
          <w:tcPr/>
          <w:p>
            <w:pPr>
              <w:pStyle w:val="Compact"/>
              <w:jc w:val="left"/>
            </w:pPr>
            <w:r>
              <w:t xml:space="preserve">You need a single current value everywhere</w:t>
            </w:r>
          </w:p>
        </w:tc>
      </w:tr>
    </w:tbl>
    <w:p>
      <w:pPr>
        <w:pStyle w:val="CalloutWarning"/>
      </w:pPr>
      <w:r>
        <w:rPr>
          <w:bCs/>
          <w:b/>
        </w:rPr>
        <w:t xml:space="preserve">WARNING / TRADE-OFF</w:t>
      </w:r>
    </w:p>
    <w:p>
      <w:pPr>
        <w:pStyle w:val="CalloutWarning"/>
      </w:pPr>
      <w:r>
        <w:rPr>
          <w:bCs/>
          <w:b/>
        </w:rPr>
        <w:t xml:space="preserve">The unbounded array.</w:t>
      </w:r>
      <w:r>
        <w:t xml:space="preserve"> </w:t>
      </w:r>
      <w:r>
        <w:t xml:space="preserve">Embedding every comment or reading makes a document grow forever until the 16 MB limit rejects writes. Use the</w:t>
      </w:r>
      <w:r>
        <w:t xml:space="preserve"> </w:t>
      </w:r>
      <w:r>
        <w:rPr>
          <w:bCs/>
          <w:b/>
        </w:rPr>
        <w:t xml:space="preserve">bucket pattern</w:t>
      </w:r>
      <w:r>
        <w:t xml:space="preserve"> </w:t>
      </w:r>
      <w:r>
        <w:t xml:space="preserve">(one document per entity per hour or per 100 events) or a separate collection.</w:t>
      </w:r>
    </w:p>
    <w:bookmarkEnd w:id="1346"/>
    <w:bookmarkStart w:id="1351" w:name="indexes-and-queries"/>
    <w:p>
      <w:pPr>
        <w:pStyle w:val="Heading3"/>
      </w:pPr>
      <w:r>
        <w:t xml:space="preserve">12.5.3 Indexes and queries</w:t>
      </w:r>
    </w:p>
    <w:p>
      <w:pPr>
        <w:pStyle w:val="FirstParagraph"/>
      </w:pPr>
      <w:r>
        <w:t xml:space="preserve">MongoDB offers compound, multikey, text, geospatial, hashed, wildcard, partial, unique and TTL indexes, up to 64 per collection; for compound indexes its documentation recommends the</w:t>
      </w:r>
      <w:r>
        <w:t xml:space="preserve"> </w:t>
      </w:r>
      <w:r>
        <w:rPr>
          <w:bCs/>
          <w:b/>
        </w:rPr>
        <w:t xml:space="preserve">ESR rule</w:t>
      </w:r>
      <w:r>
        <w:t xml:space="preserve"> </w:t>
      </w:r>
      <w:r>
        <w:t xml:space="preserve">—</w:t>
      </w:r>
      <w:r>
        <w:t xml:space="preserve"> </w:t>
      </w:r>
      <w:r>
        <w:rPr>
          <w:bCs/>
          <w:b/>
        </w:rPr>
        <w:t xml:space="preserve">E</w:t>
      </w:r>
      <w:r>
        <w:t xml:space="preserve">quality fields first, then</w:t>
      </w:r>
      <w:r>
        <w:t xml:space="preserve"> </w:t>
      </w:r>
      <w:r>
        <w:rPr>
          <w:bCs/>
          <w:b/>
        </w:rPr>
        <w:t xml:space="preserve">S</w:t>
      </w:r>
      <w:r>
        <w:t xml:space="preserve">ort, then</w:t>
      </w:r>
      <w:r>
        <w:t xml:space="preserve"> </w:t>
      </w:r>
      <w:r>
        <w:rPr>
          <w:bCs/>
          <w:b/>
        </w:rPr>
        <w:t xml:space="preserve">R</w:t>
      </w:r>
      <w:r>
        <w:t xml:space="preserve">ange [MongoDB Docs].</w:t>
      </w:r>
    </w:p>
    <w:p>
      <w:pPr>
        <w:pStyle w:val="SourceCode"/>
      </w:pPr>
      <w:r>
        <w:rPr>
          <w:rStyle w:val="CommentTok"/>
        </w:rPr>
        <w:t xml:space="preserve">// Orders of one customer, newest first, above a value threshold</w:t>
      </w:r>
      <w:r>
        <w:br/>
      </w:r>
      <w:r>
        <w:rPr>
          <w:rStyle w:val="NormalTok"/>
        </w:rPr>
        <w:t xml:space="preserve">db</w:t>
      </w:r>
      <w:r>
        <w:rPr>
          <w:rStyle w:val="OperatorTok"/>
        </w:rPr>
        <w:t xml:space="preserve">.</w:t>
      </w:r>
      <w:r>
        <w:rPr>
          <w:rStyle w:val="AttributeTok"/>
        </w:rPr>
        <w:t xml:space="preserve">orders</w:t>
      </w:r>
      <w:r>
        <w:rPr>
          <w:rStyle w:val="OperatorTok"/>
        </w:rPr>
        <w:t xml:space="preserve">.</w:t>
      </w:r>
      <w:r>
        <w:rPr>
          <w:rStyle w:val="FunctionTok"/>
        </w:rPr>
        <w:t xml:space="preserve">createIndex</w:t>
      </w:r>
      <w:r>
        <w:rPr>
          <w:rStyle w:val="NormalTok"/>
        </w:rPr>
        <w:t xml:space="preserve">({ </w:t>
      </w:r>
      <w:r>
        <w:rPr>
          <w:rStyle w:val="DataTypeTok"/>
        </w:rPr>
        <w:t xml:space="preserve">customer_id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placed_at</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ataTypeTok"/>
        </w:rPr>
        <w:t xml:space="preserve">total</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CommentTok"/>
        </w:rPr>
        <w:t xml:space="preserve">// E, S, R</w:t>
      </w:r>
      <w:r>
        <w:br/>
      </w:r>
      <w:r>
        <w:br/>
      </w:r>
      <w:r>
        <w:rPr>
          <w:rStyle w:val="NormalTok"/>
        </w:rPr>
        <w:t xml:space="preserve">db</w:t>
      </w:r>
      <w:r>
        <w:rPr>
          <w:rStyle w:val="OperatorTok"/>
        </w:rPr>
        <w:t xml:space="preserve">.</w:t>
      </w:r>
      <w:r>
        <w:rPr>
          <w:rStyle w:val="AttributeTok"/>
        </w:rPr>
        <w:t xml:space="preserve">orders</w:t>
      </w:r>
      <w:r>
        <w:rPr>
          <w:rStyle w:val="OperatorTok"/>
        </w:rPr>
        <w:t xml:space="preserve">.</w:t>
      </w:r>
      <w:r>
        <w:rPr>
          <w:rStyle w:val="FunctionTok"/>
        </w:rPr>
        <w:t xml:space="preserve">find</w:t>
      </w:r>
      <w:r>
        <w:rPr>
          <w:rStyle w:val="NormalTok"/>
        </w:rPr>
        <w:t xml:space="preserve">({ </w:t>
      </w:r>
      <w:r>
        <w:rPr>
          <w:rStyle w:val="DataTypeTok"/>
        </w:rPr>
        <w:t xml:space="preserve">customer_id</w:t>
      </w:r>
      <w:r>
        <w:rPr>
          <w:rStyle w:val="OperatorTok"/>
        </w:rPr>
        <w:t xml:space="preserve">:</w:t>
      </w:r>
      <w:r>
        <w:rPr>
          <w:rStyle w:val="NormalTok"/>
        </w:rPr>
        <w:t xml:space="preserve"> </w:t>
      </w:r>
      <w:r>
        <w:rPr>
          <w:rStyle w:val="StringTok"/>
        </w:rPr>
        <w:t xml:space="preserve">"c42"</w:t>
      </w:r>
      <w:r>
        <w:rPr>
          <w:rStyle w:val="OperatorTok"/>
        </w:rPr>
        <w:t xml:space="preserve">,</w:t>
      </w:r>
      <w:r>
        <w:rPr>
          <w:rStyle w:val="NormalTok"/>
        </w:rPr>
        <w:t xml:space="preserve"> </w:t>
      </w:r>
      <w:r>
        <w:rPr>
          <w:rStyle w:val="DataTypeTok"/>
        </w:rPr>
        <w:t xml:space="preserve">total</w:t>
      </w:r>
      <w:r>
        <w:rPr>
          <w:rStyle w:val="OperatorTok"/>
        </w:rPr>
        <w:t xml:space="preserve">:</w:t>
      </w:r>
      <w:r>
        <w:rPr>
          <w:rStyle w:val="NormalTok"/>
        </w:rPr>
        <w:t xml:space="preserve"> { </w:t>
      </w:r>
      <w:r>
        <w:rPr>
          <w:rStyle w:val="DataTypeTok"/>
        </w:rPr>
        <w:t xml:space="preserve">$gte</w:t>
      </w:r>
      <w:r>
        <w:rPr>
          <w:rStyle w:val="OperatorTok"/>
        </w:rPr>
        <w:t xml:space="preserve">:</w:t>
      </w:r>
      <w:r>
        <w:rPr>
          <w:rStyle w:val="NormalTok"/>
        </w:rPr>
        <w:t xml:space="preserve"> </w:t>
      </w:r>
      <w:r>
        <w:rPr>
          <w:rStyle w:val="DecValTok"/>
        </w:rPr>
        <w:t xml:space="preserve">50</w:t>
      </w:r>
      <w:r>
        <w:rPr>
          <w:rStyle w:val="NormalTok"/>
        </w:rPr>
        <w:t xml:space="preserve"> } })</w:t>
      </w:r>
      <w:r>
        <w:br/>
      </w:r>
      <w:r>
        <w:rPr>
          <w:rStyle w:val="NormalTok"/>
        </w:rPr>
        <w:t xml:space="preserve">         </w:t>
      </w:r>
      <w:r>
        <w:rPr>
          <w:rStyle w:val="OperatorTok"/>
        </w:rPr>
        <w:t xml:space="preserve">.</w:t>
      </w:r>
      <w:r>
        <w:rPr>
          <w:rStyle w:val="FunctionTok"/>
        </w:rPr>
        <w:t xml:space="preserve">sort</w:t>
      </w:r>
      <w:r>
        <w:rPr>
          <w:rStyle w:val="NormalTok"/>
        </w:rPr>
        <w:t xml:space="preserve">({ </w:t>
      </w:r>
      <w:r>
        <w:rPr>
          <w:rStyle w:val="DataTypeTok"/>
        </w:rPr>
        <w:t xml:space="preserve">placed_at</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br/>
      </w:r>
      <w:r>
        <w:rPr>
          <w:rStyle w:val="NormalTok"/>
        </w:rPr>
        <w:t xml:space="preserve">         </w:t>
      </w:r>
      <w:r>
        <w:rPr>
          <w:rStyle w:val="OperatorTok"/>
        </w:rPr>
        <w:t xml:space="preserve">.</w:t>
      </w:r>
      <w:r>
        <w:rPr>
          <w:rStyle w:val="FunctionTok"/>
        </w:rPr>
        <w:t xml:space="preserve">limit</w:t>
      </w:r>
      <w:r>
        <w:rPr>
          <w:rStyle w:val="NormalTok"/>
        </w:rPr>
        <w:t xml:space="preserve">(</w:t>
      </w:r>
      <w:r>
        <w:rPr>
          <w:rStyle w:val="DecValTok"/>
        </w:rPr>
        <w:t xml:space="preserve">20</w:t>
      </w:r>
      <w:r>
        <w:rPr>
          <w:rStyle w:val="NormalTok"/>
        </w:rPr>
        <w:t xml:space="preserve">)</w:t>
      </w:r>
      <w:r>
        <w:rPr>
          <w:rStyle w:val="OperatorTok"/>
        </w:rPr>
        <w:t xml:space="preserve">;</w:t>
      </w:r>
      <w:r>
        <w:br/>
      </w:r>
      <w:r>
        <w:br/>
      </w:r>
      <w:r>
        <w:rPr>
          <w:rStyle w:val="CommentTok"/>
        </w:rPr>
        <w:t xml:space="preserve">// A transaction across two documents (replica set or sharded cluster)</w:t>
      </w:r>
      <w:r>
        <w:br/>
      </w:r>
      <w:r>
        <w:rPr>
          <w:rStyle w:val="KeywordTok"/>
        </w:rPr>
        <w:t xml:space="preserve">const</w:t>
      </w:r>
      <w:r>
        <w:rPr>
          <w:rStyle w:val="NormalTok"/>
        </w:rPr>
        <w:t xml:space="preserve"> session </w:t>
      </w:r>
      <w:r>
        <w:rPr>
          <w:rStyle w:val="OperatorTok"/>
        </w:rPr>
        <w:t xml:space="preserve">=</w:t>
      </w:r>
      <w:r>
        <w:rPr>
          <w:rStyle w:val="NormalTok"/>
        </w:rPr>
        <w:t xml:space="preserve"> db</w:t>
      </w:r>
      <w:r>
        <w:rPr>
          <w:rStyle w:val="OperatorTok"/>
        </w:rPr>
        <w:t xml:space="preserve">.</w:t>
      </w:r>
      <w:r>
        <w:rPr>
          <w:rStyle w:val="FunctionTok"/>
        </w:rPr>
        <w:t xml:space="preserve">getMongo</w:t>
      </w:r>
      <w:r>
        <w:rPr>
          <w:rStyle w:val="NormalTok"/>
        </w:rPr>
        <w:t xml:space="preserve">()</w:t>
      </w:r>
      <w:r>
        <w:rPr>
          <w:rStyle w:val="OperatorTok"/>
        </w:rPr>
        <w:t xml:space="preserve">.</w:t>
      </w:r>
      <w:r>
        <w:rPr>
          <w:rStyle w:val="FunctionTok"/>
        </w:rPr>
        <w:t xml:space="preserve">startSession</w:t>
      </w:r>
      <w:r>
        <w:rPr>
          <w:rStyle w:val="NormalTok"/>
        </w:rPr>
        <w:t xml:space="preserve">()</w:t>
      </w:r>
      <w:r>
        <w:rPr>
          <w:rStyle w:val="OperatorTok"/>
        </w:rPr>
        <w:t xml:space="preserve">;</w:t>
      </w:r>
      <w:r>
        <w:br/>
      </w:r>
      <w:r>
        <w:rPr>
          <w:rStyle w:val="NormalTok"/>
        </w:rPr>
        <w:t xml:space="preserve">session</w:t>
      </w:r>
      <w:r>
        <w:rPr>
          <w:rStyle w:val="OperatorTok"/>
        </w:rPr>
        <w:t xml:space="preserve">.</w:t>
      </w:r>
      <w:r>
        <w:rPr>
          <w:rStyle w:val="FunctionTok"/>
        </w:rPr>
        <w:t xml:space="preserve">withTransaction</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 </w:t>
      </w:r>
      <w:r>
        <w:rPr>
          <w:rStyle w:val="OperatorTok"/>
        </w:rPr>
        <w:t xml:space="preserve">=</w:t>
      </w:r>
      <w:r>
        <w:rPr>
          <w:rStyle w:val="NormalTok"/>
        </w:rPr>
        <w:t xml:space="preserve"> session</w:t>
      </w:r>
      <w:r>
        <w:rPr>
          <w:rStyle w:val="OperatorTok"/>
        </w:rPr>
        <w:t xml:space="preserve">.</w:t>
      </w:r>
      <w:r>
        <w:rPr>
          <w:rStyle w:val="FunctionTok"/>
        </w:rPr>
        <w:t xml:space="preserve">getDatabase</w:t>
      </w:r>
      <w:r>
        <w:rPr>
          <w:rStyle w:val="NormalTok"/>
        </w:rPr>
        <w:t xml:space="preserve">(</w:t>
      </w:r>
      <w:r>
        <w:rPr>
          <w:rStyle w:val="StringTok"/>
        </w:rPr>
        <w:t xml:space="preserve">"shop"</w:t>
      </w:r>
      <w:r>
        <w:rPr>
          <w:rStyle w:val="NormalTok"/>
        </w:rPr>
        <w:t xml:space="preserve">)</w:t>
      </w:r>
      <w:r>
        <w:rPr>
          <w:rStyle w:val="OperatorTok"/>
        </w:rPr>
        <w:t xml:space="preserve">;</w:t>
      </w:r>
      <w:r>
        <w:br/>
      </w:r>
      <w:r>
        <w:rPr>
          <w:rStyle w:val="NormalTok"/>
        </w:rPr>
        <w:t xml:space="preserve">  s</w:t>
      </w:r>
      <w:r>
        <w:rPr>
          <w:rStyle w:val="OperatorTok"/>
        </w:rPr>
        <w:t xml:space="preserve">.</w:t>
      </w:r>
      <w:r>
        <w:rPr>
          <w:rStyle w:val="AttributeTok"/>
        </w:rPr>
        <w:t xml:space="preserve">inventory</w:t>
      </w:r>
      <w:r>
        <w:rPr>
          <w:rStyle w:val="OperatorTok"/>
        </w:rPr>
        <w:t xml:space="preserve">.</w:t>
      </w:r>
      <w:r>
        <w:rPr>
          <w:rStyle w:val="FunctionTok"/>
        </w:rPr>
        <w:t xml:space="preserve">updateOne</w:t>
      </w:r>
      <w:r>
        <w:rPr>
          <w:rStyle w:val="NormalTok"/>
        </w:rPr>
        <w:t xml:space="preserve">({ </w:t>
      </w:r>
      <w:r>
        <w:rPr>
          <w:rStyle w:val="DataTypeTok"/>
        </w:rPr>
        <w:t xml:space="preserve">sku</w:t>
      </w:r>
      <w:r>
        <w:rPr>
          <w:rStyle w:val="OperatorTok"/>
        </w:rPr>
        <w:t xml:space="preserve">:</w:t>
      </w:r>
      <w:r>
        <w:rPr>
          <w:rStyle w:val="NormalTok"/>
        </w:rPr>
        <w:t xml:space="preserve"> </w:t>
      </w:r>
      <w:r>
        <w:rPr>
          <w:rStyle w:val="StringTok"/>
        </w:rPr>
        <w:t xml:space="preserve">"SKU-1"</w:t>
      </w:r>
      <w:r>
        <w:rPr>
          <w:rStyle w:val="OperatorTok"/>
        </w:rPr>
        <w:t xml:space="preserve">,</w:t>
      </w:r>
      <w:r>
        <w:rPr>
          <w:rStyle w:val="NormalTok"/>
        </w:rPr>
        <w:t xml:space="preserve"> </w:t>
      </w:r>
      <w:r>
        <w:rPr>
          <w:rStyle w:val="DataTypeTok"/>
        </w:rPr>
        <w:t xml:space="preserve">qty</w:t>
      </w:r>
      <w:r>
        <w:rPr>
          <w:rStyle w:val="OperatorTok"/>
        </w:rPr>
        <w:t xml:space="preserve">:</w:t>
      </w:r>
      <w:r>
        <w:rPr>
          <w:rStyle w:val="NormalTok"/>
        </w:rPr>
        <w:t xml:space="preserve"> { </w:t>
      </w:r>
      <w:r>
        <w:rPr>
          <w:rStyle w:val="DataTypeTok"/>
        </w:rPr>
        <w:t xml:space="preserve">$gte</w:t>
      </w:r>
      <w:r>
        <w:rPr>
          <w:rStyle w:val="OperatorTok"/>
        </w:rPr>
        <w:t xml:space="preserve">:</w:t>
      </w:r>
      <w:r>
        <w:rPr>
          <w:rStyle w:val="NormalTok"/>
        </w:rPr>
        <w:t xml:space="preserve"> </w:t>
      </w:r>
      <w:r>
        <w:rPr>
          <w:rStyle w:val="DecValTok"/>
        </w:rPr>
        <w:t xml:space="preserve">2</w:t>
      </w:r>
      <w:r>
        <w:rPr>
          <w:rStyle w:val="NormalTok"/>
        </w:rPr>
        <w:t xml:space="preserve"> } }</w:t>
      </w:r>
      <w:r>
        <w:rPr>
          <w:rStyle w:val="OperatorTok"/>
        </w:rPr>
        <w:t xml:space="preserve">,</w:t>
      </w:r>
      <w:r>
        <w:rPr>
          <w:rStyle w:val="NormalTok"/>
        </w:rPr>
        <w:t xml:space="preserve"> { </w:t>
      </w:r>
      <w:r>
        <w:rPr>
          <w:rStyle w:val="DataTypeTok"/>
        </w:rPr>
        <w:t xml:space="preserve">$inc</w:t>
      </w:r>
      <w:r>
        <w:rPr>
          <w:rStyle w:val="OperatorTok"/>
        </w:rPr>
        <w:t xml:space="preserve">:</w:t>
      </w:r>
      <w:r>
        <w:rPr>
          <w:rStyle w:val="NormalTok"/>
        </w:rPr>
        <w:t xml:space="preserve"> { </w:t>
      </w:r>
      <w:r>
        <w:rPr>
          <w:rStyle w:val="DataTypeTok"/>
        </w:rPr>
        <w:t xml:space="preserve">qty</w:t>
      </w:r>
      <w:r>
        <w:rPr>
          <w:rStyle w:val="OperatorTok"/>
        </w:rPr>
        <w:t xml:space="preserve">:</w:t>
      </w:r>
      <w:r>
        <w:rPr>
          <w:rStyle w:val="NormalTok"/>
        </w:rPr>
        <w:t xml:space="preserve"> </w:t>
      </w:r>
      <w:r>
        <w:rPr>
          <w:rStyle w:val="OperatorTok"/>
        </w:rPr>
        <w:t xml:space="preserve">-</w:t>
      </w:r>
      <w:r>
        <w:rPr>
          <w:rStyle w:val="DecValTok"/>
        </w:rPr>
        <w:t xml:space="preserve">2</w:t>
      </w:r>
      <w:r>
        <w:rPr>
          <w:rStyle w:val="NormalTok"/>
        </w:rPr>
        <w:t xml:space="preserve"> } })</w:t>
      </w:r>
      <w:r>
        <w:rPr>
          <w:rStyle w:val="OperatorTok"/>
        </w:rPr>
        <w:t xml:space="preserve">;</w:t>
      </w:r>
      <w:r>
        <w:br/>
      </w:r>
      <w:r>
        <w:rPr>
          <w:rStyle w:val="NormalTok"/>
        </w:rPr>
        <w:t xml:space="preserve">  s</w:t>
      </w:r>
      <w:r>
        <w:rPr>
          <w:rStyle w:val="OperatorTok"/>
        </w:rPr>
        <w:t xml:space="preserve">.</w:t>
      </w:r>
      <w:r>
        <w:rPr>
          <w:rStyle w:val="AttributeTok"/>
        </w:rPr>
        <w:t xml:space="preserve">orders</w:t>
      </w:r>
      <w:r>
        <w:rPr>
          <w:rStyle w:val="OperatorTok"/>
        </w:rPr>
        <w:t xml:space="preserve">.</w:t>
      </w:r>
      <w:r>
        <w:rPr>
          <w:rStyle w:val="FunctionTok"/>
        </w:rPr>
        <w:t xml:space="preserve">insertOne</w:t>
      </w:r>
      <w:r>
        <w:rPr>
          <w:rStyle w:val="NormalTok"/>
        </w:rPr>
        <w:t xml:space="preserve">({ </w:t>
      </w:r>
      <w:r>
        <w:rPr>
          <w:rStyle w:val="DataTypeTok"/>
        </w:rPr>
        <w:t xml:space="preserve">_id</w:t>
      </w:r>
      <w:r>
        <w:rPr>
          <w:rStyle w:val="OperatorTok"/>
        </w:rPr>
        <w:t xml:space="preserve">:</w:t>
      </w:r>
      <w:r>
        <w:rPr>
          <w:rStyle w:val="NormalTok"/>
        </w:rPr>
        <w:t xml:space="preserve"> </w:t>
      </w:r>
      <w:r>
        <w:rPr>
          <w:rStyle w:val="StringTok"/>
        </w:rPr>
        <w:t xml:space="preserve">"o902"</w:t>
      </w:r>
      <w:r>
        <w:rPr>
          <w:rStyle w:val="OperatorTok"/>
        </w:rPr>
        <w:t xml:space="preserve">,</w:t>
      </w:r>
      <w:r>
        <w:rPr>
          <w:rStyle w:val="NormalTok"/>
        </w:rPr>
        <w:t xml:space="preserve"> </w:t>
      </w:r>
      <w:r>
        <w:rPr>
          <w:rStyle w:val="DataTypeTok"/>
        </w:rPr>
        <w:t xml:space="preserve">customer_id</w:t>
      </w:r>
      <w:r>
        <w:rPr>
          <w:rStyle w:val="OperatorTok"/>
        </w:rPr>
        <w:t xml:space="preserve">:</w:t>
      </w:r>
      <w:r>
        <w:rPr>
          <w:rStyle w:val="NormalTok"/>
        </w:rPr>
        <w:t xml:space="preserve"> </w:t>
      </w:r>
      <w:r>
        <w:rPr>
          <w:rStyle w:val="StringTok"/>
        </w:rPr>
        <w:t xml:space="preserve">"c42"</w:t>
      </w:r>
      <w:r>
        <w:rPr>
          <w:rStyle w:val="OperatorTok"/>
        </w:rPr>
        <w:t xml:space="preserve">,</w:t>
      </w:r>
      <w:r>
        <w:rPr>
          <w:rStyle w:val="NormalTok"/>
        </w:rPr>
        <w:t xml:space="preserve"> </w:t>
      </w:r>
      <w:r>
        <w:rPr>
          <w:rStyle w:val="DataTypeTok"/>
        </w:rPr>
        <w:t xml:space="preserve">items</w:t>
      </w:r>
      <w:r>
        <w:rPr>
          <w:rStyle w:val="OperatorTok"/>
        </w:rPr>
        <w:t xml:space="preserve">:</w:t>
      </w:r>
      <w:r>
        <w:rPr>
          <w:rStyle w:val="NormalTok"/>
        </w:rPr>
        <w:t xml:space="preserve"> [{ </w:t>
      </w:r>
      <w:r>
        <w:rPr>
          <w:rStyle w:val="DataTypeTok"/>
        </w:rPr>
        <w:t xml:space="preserve">sku</w:t>
      </w:r>
      <w:r>
        <w:rPr>
          <w:rStyle w:val="OperatorTok"/>
        </w:rPr>
        <w:t xml:space="preserve">:</w:t>
      </w:r>
      <w:r>
        <w:rPr>
          <w:rStyle w:val="NormalTok"/>
        </w:rPr>
        <w:t xml:space="preserve"> </w:t>
      </w:r>
      <w:r>
        <w:rPr>
          <w:rStyle w:val="StringTok"/>
        </w:rPr>
        <w:t xml:space="preserve">"SKU-1"</w:t>
      </w:r>
      <w:r>
        <w:rPr>
          <w:rStyle w:val="OperatorTok"/>
        </w:rPr>
        <w:t xml:space="preserve">,</w:t>
      </w:r>
      <w:r>
        <w:rPr>
          <w:rStyle w:val="NormalTok"/>
        </w:rPr>
        <w:t xml:space="preserve"> </w:t>
      </w:r>
      <w:r>
        <w:rPr>
          <w:rStyle w:val="DataTypeTok"/>
        </w:rPr>
        <w:t xml:space="preserve">qty</w:t>
      </w:r>
      <w:r>
        <w:rPr>
          <w:rStyle w:val="OperatorTok"/>
        </w:rPr>
        <w:t xml:space="preserve">:</w:t>
      </w:r>
      <w:r>
        <w:rPr>
          <w:rStyle w:val="NormalTok"/>
        </w:rPr>
        <w:t xml:space="preserve"> </w:t>
      </w:r>
      <w:r>
        <w:rPr>
          <w:rStyle w:val="DecValTok"/>
        </w:rPr>
        <w:t xml:space="preserve">2</w:t>
      </w:r>
      <w:r>
        <w:rPr>
          <w:rStyle w:val="NormalTok"/>
        </w:rPr>
        <w:t xml:space="preserve"> }] })</w:t>
      </w:r>
      <w:r>
        <w:rPr>
          <w:rStyle w:val="OperatorTok"/>
        </w:rPr>
        <w:t xml:space="preserve">;</w:t>
      </w:r>
      <w:r>
        <w:br/>
      </w:r>
      <w:r>
        <w:rPr>
          <w:rStyle w:val="NormalTok"/>
        </w:rPr>
        <w:t xml:space="preserve">}</w:t>
      </w:r>
      <w:r>
        <w:rPr>
          <w:rStyle w:val="OperatorTok"/>
        </w:rPr>
        <w:t xml:space="preserve">,</w:t>
      </w:r>
      <w:r>
        <w:rPr>
          <w:rStyle w:val="NormalTok"/>
        </w:rPr>
        <w:t xml:space="preserve"> { </w:t>
      </w:r>
      <w:r>
        <w:rPr>
          <w:rStyle w:val="DataTypeTok"/>
        </w:rPr>
        <w:t xml:space="preserve">writeConcern</w:t>
      </w:r>
      <w:r>
        <w:rPr>
          <w:rStyle w:val="OperatorTok"/>
        </w:rPr>
        <w:t xml:space="preserve">:</w:t>
      </w:r>
      <w:r>
        <w:rPr>
          <w:rStyle w:val="NormalTok"/>
        </w:rPr>
        <w:t xml:space="preserve"> { </w:t>
      </w:r>
      <w:r>
        <w:rPr>
          <w:rStyle w:val="DataTypeTok"/>
        </w:rPr>
        <w:t xml:space="preserve">w</w:t>
      </w:r>
      <w:r>
        <w:rPr>
          <w:rStyle w:val="OperatorTok"/>
        </w:rPr>
        <w:t xml:space="preserve">:</w:t>
      </w:r>
      <w:r>
        <w:rPr>
          <w:rStyle w:val="NormalTok"/>
        </w:rPr>
        <w:t xml:space="preserve"> </w:t>
      </w:r>
      <w:r>
        <w:rPr>
          <w:rStyle w:val="StringTok"/>
        </w:rPr>
        <w:t xml:space="preserve">"majority"</w:t>
      </w:r>
      <w:r>
        <w:rPr>
          <w:rStyle w:val="NormalTok"/>
        </w:rPr>
        <w:t xml:space="preserve"> } })</w:t>
      </w:r>
      <w:r>
        <w:rPr>
          <w:rStyle w:val="OperatorTok"/>
        </w:rPr>
        <w:t xml:space="preserve">;</w:t>
      </w:r>
    </w:p>
    <w:p>
      <w:pPr>
        <w:pStyle w:val="FirstParagraph"/>
      </w:pPr>
      <w:r>
        <w:t xml:space="preserve">What to notice:</w:t>
      </w:r>
    </w:p>
    <w:p>
      <w:pPr>
        <w:numPr>
          <w:ilvl w:val="0"/>
          <w:numId w:val="1411"/>
        </w:numPr>
        <w:pStyle w:val="Compact"/>
      </w:pPr>
      <w:r>
        <w:t xml:space="preserve">The index jumps to one customer, finds entries already in</w:t>
      </w:r>
      <w:r>
        <w:t xml:space="preserve"> </w:t>
      </w:r>
      <w:r>
        <w:rPr>
          <w:rStyle w:val="VerbatimChar"/>
        </w:rPr>
        <w:t xml:space="preserve">placed_at</w:t>
      </w:r>
      <w:r>
        <w:t xml:space="preserve"> </w:t>
      </w:r>
      <w:r>
        <w:t xml:space="preserve">order (no in-memory sort) and filters</w:t>
      </w:r>
      <w:r>
        <w:t xml:space="preserve"> </w:t>
      </w:r>
      <w:r>
        <w:rPr>
          <w:rStyle w:val="VerbatimChar"/>
        </w:rPr>
        <w:t xml:space="preserve">total</w:t>
      </w:r>
      <w:r>
        <w:t xml:space="preserve"> </w:t>
      </w:r>
      <w:r>
        <w:t xml:space="preserve">while walking. With</w:t>
      </w:r>
      <w:r>
        <w:t xml:space="preserve"> </w:t>
      </w:r>
      <w:r>
        <w:rPr>
          <w:rStyle w:val="VerbatimChar"/>
        </w:rPr>
        <w:t xml:space="preserve">total</w:t>
      </w:r>
      <w:r>
        <w:t xml:space="preserve"> </w:t>
      </w:r>
      <w:r>
        <w:t xml:space="preserve">before</w:t>
      </w:r>
      <w:r>
        <w:t xml:space="preserve"> </w:t>
      </w:r>
      <w:r>
        <w:rPr>
          <w:rStyle w:val="VerbatimChar"/>
        </w:rPr>
        <w:t xml:space="preserve">placed_at</w:t>
      </w:r>
      <w:r>
        <w:t xml:space="preserve">, the sort could not use the index.</w:t>
      </w:r>
    </w:p>
    <w:p>
      <w:pPr>
        <w:numPr>
          <w:ilvl w:val="0"/>
          <w:numId w:val="1411"/>
        </w:numPr>
        <w:pStyle w:val="Compact"/>
      </w:pPr>
      <w:r>
        <w:t xml:space="preserve">Multi-document ACID transactions exist since 4.0 (2018) on replica sets and 4.2 (2019) on sharded clusters; the default lifetime limit is 60 seconds, so keep them small.</w:t>
      </w:r>
    </w:p>
    <w:p>
      <w:pPr>
        <w:numPr>
          <w:ilvl w:val="0"/>
          <w:numId w:val="1411"/>
        </w:numPr>
        <w:pStyle w:val="Compact"/>
      </w:pPr>
      <w:r>
        <w:t xml:space="preserve">If stock is insufficient,</w:t>
      </w:r>
      <w:r>
        <w:t xml:space="preserve"> </w:t>
      </w:r>
      <w:r>
        <w:rPr>
          <w:rStyle w:val="VerbatimChar"/>
        </w:rPr>
        <w:t xml:space="preserve">updateOne</w:t>
      </w:r>
      <w:r>
        <w:t xml:space="preserve"> </w:t>
      </w:r>
      <w:r>
        <w:t xml:space="preserve">matches nothing but does not throw; real code must check</w:t>
      </w:r>
      <w:r>
        <w:t xml:space="preserve"> </w:t>
      </w:r>
      <w:r>
        <w:rPr>
          <w:rStyle w:val="VerbatimChar"/>
        </w:rPr>
        <w:t xml:space="preserve">modifiedCount</w:t>
      </w:r>
      <w:r>
        <w:t xml:space="preserve"> </w:t>
      </w:r>
      <w:r>
        <w:t xml:space="preserve">and abort.</w:t>
      </w:r>
    </w:p>
    <w:bookmarkStart w:id="1347" w:name="real-world-industry-applications-23"/>
    <w:p>
      <w:pPr>
        <w:pStyle w:val="Heading4"/>
      </w:pPr>
      <w:r>
        <w:t xml:space="preserve">Real-world industry applications</w:t>
      </w:r>
    </w:p>
    <w:p>
      <w:pPr>
        <w:pStyle w:val="CalloutIndustry"/>
      </w:pPr>
      <w:r>
        <w:rPr>
          <w:bCs/>
          <w:b/>
        </w:rPr>
        <w:t xml:space="preserve">INDUSTRY EXAMPLE</w:t>
      </w:r>
    </w:p>
    <w:p>
      <w:pPr>
        <w:pStyle w:val="CalloutIndustry"/>
      </w:pPr>
      <w:r>
        <w:rPr>
          <w:bCs/>
          <w:b/>
        </w:rPr>
        <w:t xml:space="preserve">Product catalog with heterogeneous attributes.</w:t>
      </w:r>
      <w:r>
        <w:t xml:space="preserve"> </w:t>
      </w:r>
      <w:r>
        <w:t xml:space="preserve">Shoes have sizes, laptops CPUs, books ISBNs. Relationally this becomes an entity-attribute-value table or dozens of sparse columns; as documents each product carries its own attributes, a wildcard index covers searchable ones, and a catalog page is one read.</w:t>
      </w:r>
      <w:r>
        <w:t xml:space="preserve"> </w:t>
      </w:r>
      <w:r>
        <w:rPr>
          <w:iCs/>
          <w:i/>
        </w:rPr>
        <w:t xml:space="preserve">Evidence: Illustrative</w:t>
      </w:r>
      <w:r>
        <w:t xml:space="preserve"> </w:t>
      </w:r>
      <w:r>
        <w:t xml:space="preserve">— a common teaching pattern; not a claim about any company.</w:t>
      </w:r>
    </w:p>
    <w:bookmarkEnd w:id="1347"/>
    <w:bookmarkStart w:id="1348" w:name="advantages-and-disadvantages-9"/>
    <w:p>
      <w:pPr>
        <w:pStyle w:val="Heading4"/>
      </w:pPr>
      <w:r>
        <w:t xml:space="preserve">Advantages and disadvantages</w:t>
      </w:r>
    </w:p>
    <w:p>
      <w:pPr>
        <w:numPr>
          <w:ilvl w:val="0"/>
          <w:numId w:val="1412"/>
        </w:numPr>
        <w:pStyle w:val="Compact"/>
      </w:pPr>
      <w:r>
        <w:rPr>
          <w:bCs/>
          <w:b/>
        </w:rPr>
        <w:t xml:space="preserve">Advantages:</w:t>
      </w:r>
      <w:r>
        <w:t xml:space="preserve"> </w:t>
      </w:r>
      <w:r>
        <w:t xml:space="preserve">natural object mapping; one-read aggregates; flexible schema; rich indexes and aggregation; built-in replication, sharding and transactions.</w:t>
      </w:r>
    </w:p>
    <w:p>
      <w:pPr>
        <w:numPr>
          <w:ilvl w:val="0"/>
          <w:numId w:val="1412"/>
        </w:numPr>
        <w:pStyle w:val="Compact"/>
      </w:pPr>
      <w:r>
        <w:rPr>
          <w:bCs/>
          <w:b/>
        </w:rPr>
        <w:t xml:space="preserve">Disadvantages:</w:t>
      </w:r>
      <w:r>
        <w:t xml:space="preserve"> </w:t>
      </w:r>
      <w:r>
        <w:t xml:space="preserve">many-to-many needs application joins or</w:t>
      </w:r>
      <w:r>
        <w:t xml:space="preserve"> </w:t>
      </w:r>
      <w:r>
        <w:rPr>
          <w:rStyle w:val="VerbatimChar"/>
        </w:rPr>
        <w:t xml:space="preserve">$lookup</w:t>
      </w:r>
      <w:r>
        <w:t xml:space="preserve">; denormalized copies drift; poor shard keys create hot shards; schema drift without validation; queries lacking the shard key fan out.</w:t>
      </w:r>
    </w:p>
    <w:bookmarkEnd w:id="1348"/>
    <w:bookmarkStart w:id="1349" w:name="failure-scenarios-28"/>
    <w:p>
      <w:pPr>
        <w:pStyle w:val="Heading4"/>
      </w:pPr>
      <w:r>
        <w:t xml:space="preserve">Failure scenarios</w:t>
      </w:r>
    </w:p>
    <w:p>
      <w:pPr>
        <w:pStyle w:val="FirstParagraph"/>
      </w:pPr>
      <w:r>
        <w:rPr>
          <w:bCs/>
          <w:b/>
        </w:rPr>
        <w:t xml:space="preserve">Table 12.7 — Document database 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Acknowledged writes vanish after failover</w:t>
            </w:r>
          </w:p>
        </w:tc>
        <w:tc>
          <w:tcPr/>
          <w:p>
            <w:pPr>
              <w:pStyle w:val="Compact"/>
              <w:jc w:val="left"/>
            </w:pPr>
            <w:r>
              <w:t xml:space="preserve">Write concern below</w:t>
            </w:r>
            <w:r>
              <w:t xml:space="preserve"> </w:t>
            </w:r>
            <w:r>
              <w:rPr>
                <w:rStyle w:val="VerbatimChar"/>
              </w:rPr>
              <w:t xml:space="preserve">majority</w:t>
            </w:r>
            <w:r>
              <w:t xml:space="preserve">; primary failed before replication</w:t>
            </w:r>
          </w:p>
        </w:tc>
        <w:tc>
          <w:tcPr/>
          <w:p>
            <w:pPr>
              <w:pStyle w:val="Compact"/>
              <w:jc w:val="left"/>
            </w:pPr>
            <w:r>
              <w:t xml:space="preserve">Rollback files on old primary</w:t>
            </w:r>
          </w:p>
        </w:tc>
        <w:tc>
          <w:tcPr/>
          <w:p>
            <w:pPr>
              <w:pStyle w:val="Compact"/>
              <w:jc w:val="left"/>
            </w:pPr>
            <w:r>
              <w:t xml:space="preserve">Reconcile from rollback data</w:t>
            </w:r>
          </w:p>
        </w:tc>
        <w:tc>
          <w:tcPr/>
          <w:p>
            <w:pPr>
              <w:pStyle w:val="Compact"/>
              <w:jc w:val="left"/>
            </w:pPr>
            <w:r>
              <w:t xml:space="preserve">Use</w:t>
            </w:r>
            <w:r>
              <w:t xml:space="preserve"> </w:t>
            </w:r>
            <w:r>
              <w:rPr>
                <w:rStyle w:val="VerbatimChar"/>
              </w:rPr>
              <w:t xml:space="preserve">w: "majority"</w:t>
            </w:r>
            <w:r>
              <w:t xml:space="preserve"> </w:t>
            </w:r>
            <w:r>
              <w:t xml:space="preserve">for important writes</w:t>
            </w:r>
          </w:p>
        </w:tc>
      </w:tr>
      <w:tr>
        <w:tc>
          <w:tcPr/>
          <w:p>
            <w:pPr>
              <w:pStyle w:val="Compact"/>
              <w:jc w:val="left"/>
            </w:pPr>
            <w:r>
              <w:t xml:space="preserve">Hot shard</w:t>
            </w:r>
          </w:p>
        </w:tc>
        <w:tc>
          <w:tcPr/>
          <w:p>
            <w:pPr>
              <w:pStyle w:val="Compact"/>
              <w:jc w:val="left"/>
            </w:pPr>
            <w:r>
              <w:t xml:space="preserve">Monotonic shard key (timestamps, ObjectIds) routes all inserts to one chunk</w:t>
            </w:r>
          </w:p>
        </w:tc>
        <w:tc>
          <w:tcPr/>
          <w:p>
            <w:pPr>
              <w:pStyle w:val="Compact"/>
              <w:jc w:val="left"/>
            </w:pPr>
            <w:r>
              <w:t xml:space="preserve">Per-shard insert rate skew</w:t>
            </w:r>
          </w:p>
        </w:tc>
        <w:tc>
          <w:tcPr/>
          <w:p>
            <w:pPr>
              <w:pStyle w:val="Compact"/>
              <w:jc w:val="left"/>
            </w:pPr>
            <w:r>
              <w:t xml:space="preserve">Reshard (supported since 5.0)</w:t>
            </w:r>
          </w:p>
        </w:tc>
        <w:tc>
          <w:tcPr/>
          <w:p>
            <w:pPr>
              <w:pStyle w:val="Compact"/>
              <w:jc w:val="left"/>
            </w:pPr>
            <w:r>
              <w:t xml:space="preserve">Hashed or compound shard key</w:t>
            </w:r>
          </w:p>
        </w:tc>
      </w:tr>
      <w:tr>
        <w:tc>
          <w:tcPr/>
          <w:p>
            <w:pPr>
              <w:pStyle w:val="Compact"/>
              <w:jc w:val="left"/>
            </w:pPr>
            <w:r>
              <w:t xml:space="preserve">Slow queries after growth</w:t>
            </w:r>
          </w:p>
        </w:tc>
        <w:tc>
          <w:tcPr/>
          <w:p>
            <w:pPr>
              <w:pStyle w:val="Compact"/>
              <w:jc w:val="left"/>
            </w:pPr>
            <w:r>
              <w:t xml:space="preserve">Missing or misordered compound index; collection scan</w:t>
            </w:r>
          </w:p>
        </w:tc>
        <w:tc>
          <w:tcPr/>
          <w:p>
            <w:pPr>
              <w:pStyle w:val="Compact"/>
              <w:jc w:val="left"/>
            </w:pPr>
            <w:r>
              <w:rPr>
                <w:rStyle w:val="VerbatimChar"/>
              </w:rPr>
              <w:t xml:space="preserve">explain()</w:t>
            </w:r>
            <w:r>
              <w:t xml:space="preserve"> </w:t>
            </w:r>
            <w:r>
              <w:t xml:space="preserve">shows</w:t>
            </w:r>
            <w:r>
              <w:t xml:space="preserve"> </w:t>
            </w:r>
            <w:r>
              <w:rPr>
                <w:rStyle w:val="VerbatimChar"/>
              </w:rPr>
              <w:t xml:space="preserve">COLLSCAN</w:t>
            </w:r>
            <w:r>
              <w:t xml:space="preserve">; slow-query log</w:t>
            </w:r>
          </w:p>
        </w:tc>
        <w:tc>
          <w:tcPr/>
          <w:p>
            <w:pPr>
              <w:pStyle w:val="Compact"/>
              <w:jc w:val="left"/>
            </w:pPr>
            <w:r>
              <w:t xml:space="preserve">Add ESR-ordered index</w:t>
            </w:r>
          </w:p>
        </w:tc>
        <w:tc>
          <w:tcPr/>
          <w:p>
            <w:pPr>
              <w:pStyle w:val="Compact"/>
              <w:jc w:val="left"/>
            </w:pPr>
            <w:r>
              <w:t xml:space="preserve">Review query shapes in code review</w:t>
            </w:r>
          </w:p>
        </w:tc>
      </w:tr>
    </w:tbl>
    <w:bookmarkEnd w:id="1349"/>
    <w:bookmarkStart w:id="1350" w:name="common-misconceptions-25"/>
    <w:p>
      <w:pPr>
        <w:pStyle w:val="Heading4"/>
      </w:pPr>
      <w:r>
        <w:t xml:space="preserve">Common misconceptions</w:t>
      </w:r>
    </w:p>
    <w:p>
      <w:pPr>
        <w:pStyle w:val="CalloutMistake"/>
      </w:pPr>
      <w:r>
        <w:rPr>
          <w:bCs/>
          <w:b/>
        </w:rPr>
        <w:t xml:space="preserve">COMMON MISTAKE</w:t>
      </w:r>
    </w:p>
    <w:p>
      <w:pPr>
        <w:pStyle w:val="CalloutMistake"/>
      </w:pPr>
      <w:r>
        <w:rPr>
          <w:bCs/>
          <w:b/>
        </w:rPr>
        <w:t xml:space="preserve">“</w:t>
      </w:r>
      <w:r>
        <w:rPr>
          <w:bCs/>
          <w:b/>
        </w:rPr>
        <w:t xml:space="preserve">Documents mean you never need transactions.</w:t>
      </w:r>
      <w:r>
        <w:rPr>
          <w:bCs/>
          <w:b/>
        </w:rPr>
        <w:t xml:space="preserve">”</w:t>
      </w:r>
      <w:r>
        <w:t xml:space="preserve"> </w:t>
      </w:r>
      <w:r>
        <w:t xml:space="preserve">Single-document writes are atomic, but an invariant spanning two documents — stock and order, debit and credit — needs a transaction or an idempotent workflow (§32.7). Keep invariants inside one document where you can; use transactions where you cannot.</w:t>
      </w:r>
    </w:p>
    <w:bookmarkEnd w:id="1350"/>
    <w:bookmarkEnd w:id="1351"/>
    <w:bookmarkEnd w:id="1352"/>
    <w:bookmarkStart w:id="1370" w:name="wide-column-stores"/>
    <w:p>
      <w:pPr>
        <w:pStyle w:val="Heading2"/>
      </w:pPr>
      <w:r>
        <w:t xml:space="preserve">12.6 Wide-column stores</w:t>
      </w:r>
    </w:p>
    <w:bookmarkStart w:id="1359" w:name="the-bigtable-model"/>
    <w:p>
      <w:pPr>
        <w:pStyle w:val="Heading3"/>
      </w:pPr>
      <w:r>
        <w:t xml:space="preserve">12.6.1 The Bigtable model</w:t>
      </w:r>
    </w:p>
    <w:p>
      <w:pPr>
        <w:pStyle w:val="CalloutDefinition"/>
      </w:pPr>
      <w:r>
        <w:rPr>
          <w:bCs/>
          <w:b/>
        </w:rPr>
        <w:t xml:space="preserve">DEFINITION</w:t>
      </w:r>
    </w:p>
    <w:p>
      <w:pPr>
        <w:pStyle w:val="CalloutDefinition"/>
      </w:pPr>
      <w:r>
        <w:rPr>
          <w:bCs/>
          <w:b/>
        </w:rPr>
        <w:t xml:space="preserve">Definition — Wide-column store.</w:t>
      </w:r>
      <w:r>
        <w:t xml:space="preserve"> </w:t>
      </w:r>
      <w:r>
        <w:t xml:space="preserve">A database whose rows are identified by a key, sorted (globally or within a partition) by that key, and contain a sparse, variable set of columns grouped into</w:t>
      </w:r>
      <w:r>
        <w:t xml:space="preserve"> </w:t>
      </w:r>
      <w:r>
        <w:rPr>
          <w:bCs/>
          <w:b/>
        </w:rPr>
        <w:t xml:space="preserve">column families</w:t>
      </w:r>
      <w:r>
        <w:t xml:space="preserve">; each row may have millions of columns and each cell may hold several timestamped versions. Bigtable, HBase, Cassandra and ScyllaDB belong to this family.</w:t>
      </w:r>
    </w:p>
    <w:bookmarkStart w:id="1353" w:name="first-principles-explanation-75"/>
    <w:p>
      <w:pPr>
        <w:pStyle w:val="Heading4"/>
      </w:pPr>
      <w:r>
        <w:t xml:space="preserve">First-principles explanation</w:t>
      </w:r>
    </w:p>
    <w:p>
      <w:pPr>
        <w:pStyle w:val="FirstParagraph"/>
      </w:pPr>
      <w:r>
        <w:t xml:space="preserve">Picture a spreadsheet with rows sorted by key, so wide that most cells are empty — and empty cells cost nothing. Reading one row, or sweeping every row starting with</w:t>
      </w:r>
      <w:r>
        <w:t xml:space="preserve"> </w:t>
      </w:r>
      <w:r>
        <w:rPr>
          <w:rStyle w:val="VerbatimChar"/>
        </w:rPr>
        <w:t xml:space="preserve">com.cnn.</w:t>
      </w:r>
      <w:r>
        <w:t xml:space="preserve">, is cheap because neighbors are stored together; finding rows by a column’s value is not.</w:t>
      </w:r>
    </w:p>
    <w:bookmarkEnd w:id="1353"/>
    <w:bookmarkStart w:id="1354" w:name="why-does-this-exist-43"/>
    <w:p>
      <w:pPr>
        <w:pStyle w:val="Heading4"/>
      </w:pPr>
      <w:r>
        <w:t xml:space="preserve">Why does this exist?</w:t>
      </w:r>
    </w:p>
    <w:p>
      <w:pPr>
        <w:pStyle w:val="FirstParagraph"/>
      </w:pPr>
      <w:r>
        <w:t xml:space="preserve">Google needed one store for the web crawl, Earth imagery and analytics across over sixty products, serving both batch scans and low-latency reads on thousands of commodity machines [Chang et al. 2006]. Relational schemas were too rigid for pages with arbitrary inbound links, and key-value stores could not scan ranges.</w:t>
      </w:r>
    </w:p>
    <w:bookmarkEnd w:id="1354"/>
    <w:bookmarkStart w:id="1358" w:name="how-it-works-internally-45"/>
    <w:p>
      <w:pPr>
        <w:pStyle w:val="Heading4"/>
      </w:pPr>
      <w:r>
        <w:t xml:space="preserve">How it works internally</w:t>
      </w:r>
    </w:p>
    <w:p>
      <w:pPr>
        <w:pStyle w:val="FirstParagraph"/>
      </w:pPr>
      <w:r>
        <w:t xml:space="preserve">The Bigtable paper defines the model precisely:</w:t>
      </w:r>
      <w:r>
        <w:t xml:space="preserve"> </w:t>
      </w:r>
      <w:r>
        <w:rPr>
          <w:rStyle w:val="VerbatimChar"/>
        </w:rPr>
        <w:t xml:space="preserve">(row: string, column: string, time: int64) → string</w:t>
      </w:r>
      <w:r>
        <w:t xml:space="preserve"> </w:t>
      </w:r>
      <w:r>
        <w:t xml:space="preserve">[Chang et al. 2006].</w:t>
      </w:r>
    </w:p>
    <w:p>
      <w:pPr>
        <w:numPr>
          <w:ilvl w:val="0"/>
          <w:numId w:val="1413"/>
        </w:numPr>
        <w:pStyle w:val="Compact"/>
      </w:pPr>
      <w:r>
        <w:rPr>
          <w:bCs/>
          <w:b/>
        </w:rPr>
        <w:t xml:space="preserve">Rows</w:t>
      </w:r>
      <w:r>
        <w:t xml:space="preserve"> </w:t>
      </w:r>
      <w:r>
        <w:t xml:space="preserve">are sorted by row key; single-row reads and writes are atomic.</w:t>
      </w:r>
    </w:p>
    <w:p>
      <w:pPr>
        <w:numPr>
          <w:ilvl w:val="0"/>
          <w:numId w:val="1413"/>
        </w:numPr>
        <w:pStyle w:val="Compact"/>
      </w:pPr>
      <w:r>
        <w:rPr>
          <w:bCs/>
          <w:b/>
        </w:rPr>
        <w:t xml:space="preserve">Column families</w:t>
      </w:r>
      <w:r>
        <w:t xml:space="preserve"> </w:t>
      </w:r>
      <w:r>
        <w:t xml:space="preserve">are declared in the schema and tuned together;</w:t>
      </w:r>
      <w:r>
        <w:t xml:space="preserve"> </w:t>
      </w:r>
      <w:r>
        <w:rPr>
          <w:bCs/>
          <w:b/>
        </w:rPr>
        <w:t xml:space="preserve">qualifiers</w:t>
      </w:r>
      <w:r>
        <w:t xml:space="preserve"> </w:t>
      </w:r>
      <w:r>
        <w:t xml:space="preserve">within a family are created freely at write time (</w:t>
      </w:r>
      <w:r>
        <w:rPr>
          <w:rStyle w:val="VerbatimChar"/>
        </w:rPr>
        <w:t xml:space="preserve">anchor:cnnsi.com</w:t>
      </w:r>
      <w:r>
        <w:t xml:space="preserve">).</w:t>
      </w:r>
    </w:p>
    <w:p>
      <w:pPr>
        <w:numPr>
          <w:ilvl w:val="0"/>
          <w:numId w:val="1413"/>
        </w:numPr>
        <w:pStyle w:val="Compact"/>
      </w:pPr>
      <w:r>
        <w:rPr>
          <w:bCs/>
          <w:b/>
        </w:rPr>
        <w:t xml:space="preserve">Timestamps</w:t>
      </w:r>
      <w:r>
        <w:t xml:space="preserve"> </w:t>
      </w:r>
      <w:r>
        <w:t xml:space="preserve">version each cell; garbage collection keeps the last</w:t>
      </w:r>
      <w:r>
        <w:t xml:space="preserve"> </w:t>
      </w:r>
      <w:r>
        <w:rPr>
          <w:iCs/>
          <w:i/>
        </w:rPr>
        <w:t xml:space="preserve">n</w:t>
      </w:r>
      <w:r>
        <w:t xml:space="preserve"> </w:t>
      </w:r>
      <w:r>
        <w:t xml:space="preserve">versions or recent ones.</w:t>
      </w:r>
    </w:p>
    <w:p>
      <w:pPr>
        <w:numPr>
          <w:ilvl w:val="0"/>
          <w:numId w:val="1413"/>
        </w:numPr>
        <w:pStyle w:val="Compact"/>
      </w:pPr>
      <w:r>
        <w:t xml:space="preserve">Contiguous row ranges called</w:t>
      </w:r>
      <w:r>
        <w:t xml:space="preserve"> </w:t>
      </w:r>
      <w:r>
        <w:rPr>
          <w:bCs/>
          <w:b/>
        </w:rPr>
        <w:t xml:space="preserve">tablets</w:t>
      </w:r>
      <w:r>
        <w:t xml:space="preserve"> </w:t>
      </w:r>
      <w:r>
        <w:t xml:space="preserve">(about 100–200 MB in the paper) are the unit of distribution; they split as they grow.</w:t>
      </w:r>
    </w:p>
    <w:p>
      <w:pPr>
        <w:numPr>
          <w:ilvl w:val="0"/>
          <w:numId w:val="1413"/>
        </w:numPr>
        <w:pStyle w:val="Compact"/>
      </w:pPr>
      <w:r>
        <w:t xml:space="preserve">Writes go to a commit log and a memtable, flushed to immutable SSTables on GFS and merged by compaction — the log-structured merge design of §13.8.</w:t>
      </w:r>
    </w:p>
    <w:p>
      <w:pPr>
        <w:pStyle w:val="FirstParagraph"/>
      </w:pPr>
      <w:r>
        <w:rPr>
          <w:bCs/>
          <w:b/>
        </w:rPr>
        <w:t xml:space="preserve">Figure 12.5 — Bigtable data model: the Webtable example.</w:t>
      </w:r>
    </w:p>
    <w:p>
      <w:pPr>
        <w:pStyle w:val="BodyText"/>
      </w:pPr>
      <w:r>
        <w:drawing>
          <wp:inline>
            <wp:extent cx="5334000" cy="2854337"/>
            <wp:effectExtent b="0" l="0" r="0" t="0"/>
            <wp:docPr descr="" title="" id="1356" name="Picture"/>
            <a:graphic>
              <a:graphicData uri="http://schemas.openxmlformats.org/drawingml/2006/picture">
                <pic:pic>
                  <pic:nvPicPr>
                    <pic:cNvPr descr="/home/user/System-Design/build/.cache/diagrams/797af9fb42a7.png" id="1357" name="Picture"/>
                    <pic:cNvPicPr>
                      <a:picLocks noChangeArrowheads="1" noChangeAspect="1"/>
                    </pic:cNvPicPr>
                  </pic:nvPicPr>
                  <pic:blipFill>
                    <a:blip r:embed="rId1355"/>
                    <a:stretch>
                      <a:fillRect/>
                    </a:stretch>
                  </pic:blipFill>
                  <pic:spPr bwMode="auto">
                    <a:xfrm>
                      <a:off x="0" y="0"/>
                      <a:ext cx="5334000" cy="2854337"/>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A Webtable row is keyed by the reversed URL</w:t>
      </w:r>
      <w:r>
        <w:t xml:space="preserve"> </w:t>
      </w:r>
      <w:r>
        <w:rPr>
          <w:rStyle w:val="VerbatimChar"/>
        </w:rPr>
        <w:t xml:space="preserve">com.cnn.www</w:t>
      </w:r>
      <w:r>
        <w:t xml:space="preserve">, so a domain’s pages sort together into one tablet. Family</w:t>
      </w:r>
      <w:r>
        <w:t xml:space="preserve"> </w:t>
      </w:r>
      <w:r>
        <w:rPr>
          <w:rStyle w:val="VerbatimChar"/>
        </w:rPr>
        <w:t xml:space="preserve">contents:</w:t>
      </w:r>
      <w:r>
        <w:t xml:space="preserve"> </w:t>
      </w:r>
      <w:r>
        <w:t xml:space="preserve">holds timestamped page versions; family</w:t>
      </w:r>
      <w:r>
        <w:t xml:space="preserve"> </w:t>
      </w:r>
      <w:r>
        <w:rPr>
          <w:rStyle w:val="VerbatimChar"/>
        </w:rPr>
        <w:t xml:space="preserve">anchor:</w:t>
      </w:r>
      <w:r>
        <w:t xml:space="preserve"> </w:t>
      </w:r>
      <w:r>
        <w:t xml:space="preserve">has one qualifier per referring site, valued with the link text. Solid arrows show containment; dotted arrows show adjacent rows sharing a tablet, the storage and distribution unit. Failure point: a crashed tablet server’s tablets are briefly unavailable until reassigned and the commit log replayed. Scaling: tablets split and move between servers.</w:t>
      </w:r>
    </w:p>
    <w:p>
      <w:pPr>
        <w:pStyle w:val="BodyText"/>
      </w:pPr>
      <w:r>
        <w:rPr>
          <w:bCs/>
          <w:b/>
        </w:rPr>
        <w:t xml:space="preserve">HBase</w:t>
      </w:r>
      <w:r>
        <w:t xml:space="preserve"> </w:t>
      </w:r>
      <w:r>
        <w:t xml:space="preserve">reproduces this design on Hadoop (regions, RegionServers, HDFS, ZooKeeper) with strongly consistent single-row operations; Facebook built its 2010 Messages product on it [Borthakur et al. 2011].</w:t>
      </w:r>
    </w:p>
    <w:bookmarkEnd w:id="1358"/>
    <w:bookmarkEnd w:id="1359"/>
    <w:bookmarkStart w:id="1360" w:name="Xd1cf5d0caece3ab9553a36438a270542722a945"/>
    <w:p>
      <w:pPr>
        <w:pStyle w:val="Heading3"/>
      </w:pPr>
      <w:r>
        <w:t xml:space="preserve">12.6.2 Cassandra: partition key and clustering columns</w:t>
      </w:r>
    </w:p>
    <w:p>
      <w:pPr>
        <w:pStyle w:val="FirstParagraph"/>
      </w:pPr>
      <w:r>
        <w:t xml:space="preserve">Cassandra keeps Bigtable’s sorted layout within a partition but distributes data the Dynamo way: no master, and a Murmur3 hash of the partition key gives a</w:t>
      </w:r>
      <w:r>
        <w:t xml:space="preserve"> </w:t>
      </w:r>
      <w:r>
        <w:rPr>
          <w:bCs/>
          <w:b/>
        </w:rPr>
        <w:t xml:space="preserve">token</w:t>
      </w:r>
      <w:r>
        <w:t xml:space="preserve"> </w:t>
      </w:r>
      <w:r>
        <w:t xml:space="preserve">that decides the owning nodes on a ring (consistent hashing, §14.8) [Lakshman &amp; Malik 2010; Apache Cassandra Docs].</w:t>
      </w:r>
    </w:p>
    <w:p>
      <w:pPr>
        <w:pStyle w:val="CalloutDefinition"/>
      </w:pPr>
      <w:r>
        <w:rPr>
          <w:bCs/>
          <w:b/>
        </w:rPr>
        <w:t xml:space="preserve">DEFINITION</w:t>
      </w:r>
    </w:p>
    <w:p>
      <w:pPr>
        <w:pStyle w:val="CalloutDefinition"/>
      </w:pPr>
      <w:r>
        <w:rPr>
          <w:bCs/>
          <w:b/>
        </w:rPr>
        <w:t xml:space="preserve">Definition — Primary key in CQL.</w:t>
      </w:r>
      <w:r>
        <w:t xml:space="preserve"> </w:t>
      </w:r>
      <w:r>
        <w:t xml:space="preserve">In Cassandra Query Language,</w:t>
      </w:r>
      <w:r>
        <w:t xml:space="preserve"> </w:t>
      </w:r>
      <w:r>
        <w:rPr>
          <w:rStyle w:val="VerbatimChar"/>
        </w:rPr>
        <w:t xml:space="preserve">PRIMARY KEY ((a, b), c, d)</w:t>
      </w:r>
      <w:r>
        <w:t xml:space="preserve"> </w:t>
      </w:r>
      <w:r>
        <w:t xml:space="preserve">declares</w:t>
      </w:r>
      <w:r>
        <w:t xml:space="preserve"> </w:t>
      </w:r>
      <w:r>
        <w:rPr>
          <w:rStyle w:val="VerbatimChar"/>
        </w:rPr>
        <w:t xml:space="preserve">(a, b)</w:t>
      </w:r>
      <w:r>
        <w:t xml:space="preserve"> </w:t>
      </w:r>
      <w:r>
        <w:t xml:space="preserve">as the</w:t>
      </w:r>
      <w:r>
        <w:t xml:space="preserve"> </w:t>
      </w:r>
      <w:r>
        <w:rPr>
          <w:bCs/>
          <w:b/>
        </w:rPr>
        <w:t xml:space="preserve">partition key</w:t>
      </w:r>
      <w:r>
        <w:t xml:space="preserve"> </w:t>
      </w:r>
      <w:r>
        <w:t xml:space="preserve">— hashed to choose the replicas and defining what is stored together — and</w:t>
      </w:r>
      <w:r>
        <w:t xml:space="preserve"> </w:t>
      </w:r>
      <w:r>
        <w:rPr>
          <w:rStyle w:val="VerbatimChar"/>
        </w:rPr>
        <w:t xml:space="preserve">c, d</w:t>
      </w:r>
      <w:r>
        <w:t xml:space="preserve"> </w:t>
      </w:r>
      <w:r>
        <w:t xml:space="preserve">as</w:t>
      </w:r>
      <w:r>
        <w:t xml:space="preserve"> </w:t>
      </w:r>
      <w:r>
        <w:rPr>
          <w:bCs/>
          <w:b/>
        </w:rPr>
        <w:t xml:space="preserve">clustering columns</w:t>
      </w:r>
      <w:r>
        <w:t xml:space="preserve">, which order rows</w:t>
      </w:r>
      <w:r>
        <w:t xml:space="preserve"> </w:t>
      </w:r>
      <w:r>
        <w:rPr>
          <w:iCs/>
          <w:i/>
        </w:rPr>
        <w:t xml:space="preserve">within</w:t>
      </w:r>
      <w:r>
        <w:t xml:space="preserve"> </w:t>
      </w:r>
      <w:r>
        <w:t xml:space="preserve">the partition on disk.</w:t>
      </w:r>
    </w:p>
    <w:p>
      <w:pPr>
        <w:numPr>
          <w:ilvl w:val="0"/>
          <w:numId w:val="1414"/>
        </w:numPr>
        <w:pStyle w:val="Compact"/>
      </w:pPr>
      <w:r>
        <w:t xml:space="preserve">Any node can</w:t>
      </w:r>
      <w:r>
        <w:t xml:space="preserve"> </w:t>
      </w:r>
      <w:r>
        <w:rPr>
          <w:bCs/>
          <w:b/>
        </w:rPr>
        <w:t xml:space="preserve">coordinate</w:t>
      </w:r>
      <w:r>
        <w:t xml:space="preserve"> </w:t>
      </w:r>
      <w:r>
        <w:t xml:space="preserve">a request, forwarding it to the</w:t>
      </w:r>
      <w:r>
        <w:t xml:space="preserve"> </w:t>
      </w:r>
      <w:r>
        <w:rPr>
          <w:iCs/>
          <w:i/>
        </w:rPr>
        <w:t xml:space="preserve">RF</w:t>
      </w:r>
      <w:r>
        <w:t xml:space="preserve"> </w:t>
      </w:r>
      <w:r>
        <w:t xml:space="preserve">replicas (replication factor, typically 3, across racks or zones), each of which writes its commit log and memtable (§13.8).</w:t>
      </w:r>
    </w:p>
    <w:p>
      <w:pPr>
        <w:numPr>
          <w:ilvl w:val="0"/>
          <w:numId w:val="1414"/>
        </w:numPr>
        <w:pStyle w:val="Compact"/>
      </w:pPr>
      <w:r>
        <w:t xml:space="preserve">The client picks a</w:t>
      </w:r>
      <w:r>
        <w:t xml:space="preserve"> </w:t>
      </w:r>
      <w:r>
        <w:rPr>
          <w:bCs/>
          <w:b/>
        </w:rPr>
        <w:t xml:space="preserve">consistency level</w:t>
      </w:r>
      <w:r>
        <w:t xml:space="preserve"> </w:t>
      </w:r>
      <w:r>
        <w:t xml:space="preserve">per request —</w:t>
      </w:r>
      <w:r>
        <w:t xml:space="preserve"> </w:t>
      </w:r>
      <w:r>
        <w:rPr>
          <w:rStyle w:val="VerbatimChar"/>
        </w:rPr>
        <w:t xml:space="preserve">ONE</w:t>
      </w:r>
      <w:r>
        <w:t xml:space="preserve">,</w:t>
      </w:r>
      <w:r>
        <w:t xml:space="preserve"> </w:t>
      </w:r>
      <w:r>
        <w:rPr>
          <w:rStyle w:val="VerbatimChar"/>
        </w:rPr>
        <w:t xml:space="preserve">QUORUM</w:t>
      </w:r>
      <w:r>
        <w:t xml:space="preserve">,</w:t>
      </w:r>
      <w:r>
        <w:t xml:space="preserve"> </w:t>
      </w:r>
      <w:r>
        <w:rPr>
          <w:rStyle w:val="VerbatimChar"/>
        </w:rPr>
        <w:t xml:space="preserve">LOCAL_QUORUM</w:t>
      </w:r>
      <w:r>
        <w:t xml:space="preserve">,</w:t>
      </w:r>
      <w:r>
        <w:t xml:space="preserve"> </w:t>
      </w:r>
      <w:r>
        <w:rPr>
          <w:rStyle w:val="VerbatimChar"/>
        </w:rPr>
        <w:t xml:space="preserve">ALL</w:t>
      </w:r>
      <w:r>
        <w:t xml:space="preserve">; with RF = 3,</w:t>
      </w:r>
      <w:r>
        <w:t xml:space="preserve"> </w:t>
      </w:r>
      <w:r>
        <w:rPr>
          <w:rStyle w:val="VerbatimChar"/>
        </w:rPr>
        <w:t xml:space="preserve">QUORUM</w:t>
      </w:r>
      <w:r>
        <w:t xml:space="preserve"> </w:t>
      </w:r>
      <w:r>
        <w:t xml:space="preserve">reads and writes overlap (</w:t>
      </w:r>
      <m:oMath>
        <m:r>
          <m:t>R</m:t>
        </m:r>
        <m:r>
          <m:rPr>
            <m:sty m:val="p"/>
          </m:rPr>
          <m:t>+</m:t>
        </m:r>
        <m:r>
          <m:t>W</m:t>
        </m:r>
        <m:r>
          <m:rPr>
            <m:sty m:val="p"/>
          </m:rPr>
          <m:t>&gt;</m:t>
        </m:r>
        <m:r>
          <m:t>N</m:t>
        </m:r>
      </m:oMath>
      <w:r>
        <w:t xml:space="preserve">, §27.8).</w:t>
      </w:r>
    </w:p>
    <w:p>
      <w:pPr>
        <w:numPr>
          <w:ilvl w:val="0"/>
          <w:numId w:val="1414"/>
        </w:numPr>
        <w:pStyle w:val="Compact"/>
      </w:pPr>
      <w:r>
        <w:t xml:space="preserve">Missed writes are repaired by hinted handoff, read repair and Merkle-tree anti-entropy (§27.9, §27.13); concurrent writes to a cell resolve by</w:t>
      </w:r>
      <w:r>
        <w:t xml:space="preserve"> </w:t>
      </w:r>
      <w:r>
        <w:rPr>
          <w:bCs/>
          <w:b/>
        </w:rPr>
        <w:t xml:space="preserve">last-write-wins</w:t>
      </w:r>
      <w:r>
        <w:t xml:space="preserve"> </w:t>
      </w:r>
      <w:r>
        <w:t xml:space="preserve">on timestamps (§27.14).</w:t>
      </w:r>
    </w:p>
    <w:bookmarkEnd w:id="1360"/>
    <w:bookmarkStart w:id="1364" w:name="query-first-modeling-with-cql"/>
    <w:p>
      <w:pPr>
        <w:pStyle w:val="Heading3"/>
      </w:pPr>
      <w:r>
        <w:t xml:space="preserve">12.6.3 Query-first modeling with CQL</w:t>
      </w:r>
    </w:p>
    <w:p>
      <w:pPr>
        <w:pStyle w:val="FirstParagraph"/>
      </w:pPr>
      <w:r>
        <w:t xml:space="preserve">Because a query can efficiently read only one partition (or a contiguous slice of it), Cassandra modeling starts from the queries and creates</w:t>
      </w:r>
      <w:r>
        <w:t xml:space="preserve"> </w:t>
      </w:r>
      <w:r>
        <w:rPr>
          <w:bCs/>
          <w:b/>
        </w:rPr>
        <w:t xml:space="preserve">one table per query</w:t>
      </w:r>
      <w:r>
        <w:t xml:space="preserve">, duplicating data [Chebotko et al. 2015; Apache Cassandra Docs]. Suppose an IoT platform must answer:</w:t>
      </w:r>
    </w:p>
    <w:p>
      <w:pPr>
        <w:numPr>
          <w:ilvl w:val="0"/>
          <w:numId w:val="1415"/>
        </w:numPr>
        <w:pStyle w:val="Compact"/>
      </w:pPr>
      <w:r>
        <w:t xml:space="preserve">Q1: readings of one sensor for one day, newest first.</w:t>
      </w:r>
    </w:p>
    <w:p>
      <w:pPr>
        <w:numPr>
          <w:ilvl w:val="0"/>
          <w:numId w:val="1415"/>
        </w:numPr>
        <w:pStyle w:val="Compact"/>
      </w:pPr>
      <w:r>
        <w:t xml:space="preserve">Q2: the latest reading of every sensor at one site.</w:t>
      </w:r>
    </w:p>
    <w:p>
      <w:pPr>
        <w:pStyle w:val="SourceCode"/>
      </w:pPr>
      <w:r>
        <w:rPr>
          <w:rStyle w:val="CommentTok"/>
        </w:rPr>
        <w:t xml:space="preserve">-- Q1: one partition per sensor per day (the "bucket")</w:t>
      </w:r>
      <w:r>
        <w:br/>
      </w:r>
      <w:r>
        <w:rPr>
          <w:rStyle w:val="KeywordTok"/>
        </w:rPr>
        <w:t xml:space="preserve">CREATE</w:t>
      </w:r>
      <w:r>
        <w:rPr>
          <w:rStyle w:val="NormalTok"/>
        </w:rPr>
        <w:t xml:space="preserve"> </w:t>
      </w:r>
      <w:r>
        <w:rPr>
          <w:rStyle w:val="KeywordTok"/>
        </w:rPr>
        <w:t xml:space="preserve">TABLE</w:t>
      </w:r>
      <w:r>
        <w:rPr>
          <w:rStyle w:val="NormalTok"/>
        </w:rPr>
        <w:t xml:space="preserve"> readings_by_sensor_day (</w:t>
      </w:r>
      <w:r>
        <w:br/>
      </w:r>
      <w:r>
        <w:rPr>
          <w:rStyle w:val="NormalTok"/>
        </w:rPr>
        <w:t xml:space="preserve">    sensor_id   uuid,</w:t>
      </w:r>
      <w:r>
        <w:br/>
      </w:r>
      <w:r>
        <w:rPr>
          <w:rStyle w:val="NormalTok"/>
        </w:rPr>
        <w:t xml:space="preserve">    </w:t>
      </w:r>
      <w:r>
        <w:rPr>
          <w:rStyle w:val="DataTypeTok"/>
        </w:rPr>
        <w:t xml:space="preserve">day</w:t>
      </w:r>
      <w:r>
        <w:rPr>
          <w:rStyle w:val="NormalTok"/>
        </w:rPr>
        <w:t xml:space="preserve">         </w:t>
      </w:r>
      <w:r>
        <w:rPr>
          <w:rStyle w:val="DataTypeTok"/>
        </w:rPr>
        <w:t xml:space="preserve">date</w:t>
      </w:r>
      <w:r>
        <w:rPr>
          <w:rStyle w:val="NormalTok"/>
        </w:rPr>
        <w:t xml:space="preserve">,</w:t>
      </w:r>
      <w:r>
        <w:br/>
      </w:r>
      <w:r>
        <w:rPr>
          <w:rStyle w:val="NormalTok"/>
        </w:rPr>
        <w:t xml:space="preserve">    ts          </w:t>
      </w:r>
      <w:r>
        <w:rPr>
          <w:rStyle w:val="DataTypeTok"/>
        </w:rPr>
        <w:t xml:space="preserve">timestamp</w:t>
      </w:r>
      <w:r>
        <w:rPr>
          <w:rStyle w:val="NormalTok"/>
        </w:rPr>
        <w:t xml:space="preserve">,</w:t>
      </w:r>
      <w:r>
        <w:br/>
      </w:r>
      <w:r>
        <w:rPr>
          <w:rStyle w:val="NormalTok"/>
        </w:rPr>
        <w:t xml:space="preserve">    temperature </w:t>
      </w:r>
      <w:r>
        <w:rPr>
          <w:rStyle w:val="DataTypeTok"/>
        </w:rPr>
        <w:t xml:space="preserve">float</w:t>
      </w:r>
      <w:r>
        <w:rPr>
          <w:rStyle w:val="NormalTok"/>
        </w:rPr>
        <w:t xml:space="preserve">,</w:t>
      </w:r>
      <w:r>
        <w:br/>
      </w:r>
      <w:r>
        <w:rPr>
          <w:rStyle w:val="NormalTok"/>
        </w:rPr>
        <w:t xml:space="preserve">    humidity    </w:t>
      </w:r>
      <w:r>
        <w:rPr>
          <w:rStyle w:val="DataTypeTok"/>
        </w:rPr>
        <w:t xml:space="preserve">float</w:t>
      </w:r>
      <w:r>
        <w:rPr>
          <w:rStyle w:val="NormalTok"/>
        </w:rPr>
        <w:t xml:space="preserve">,</w:t>
      </w:r>
      <w:r>
        <w:br/>
      </w:r>
      <w:r>
        <w:rPr>
          <w:rStyle w:val="NormalTok"/>
        </w:rPr>
        <w:t xml:space="preserve">    battery     </w:t>
      </w:r>
      <w:r>
        <w:rPr>
          <w:rStyle w:val="DataTypeTok"/>
        </w:rPr>
        <w:t xml:space="preserve">float</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((sensor_id, </w:t>
      </w:r>
      <w:r>
        <w:rPr>
          <w:rStyle w:val="DataTypeTok"/>
        </w:rPr>
        <w:t xml:space="preserve">day</w:t>
      </w:r>
      <w:r>
        <w:rPr>
          <w:rStyle w:val="NormalTok"/>
        </w:rPr>
        <w:t xml:space="preserve">), ts)</w:t>
      </w:r>
      <w:r>
        <w:br/>
      </w:r>
      <w:r>
        <w:rPr>
          <w:rStyle w:val="NormalTok"/>
        </w:rPr>
        <w:t xml:space="preserve">) </w:t>
      </w:r>
      <w:r>
        <w:rPr>
          <w:rStyle w:val="KeywordTok"/>
        </w:rPr>
        <w:t xml:space="preserve">WITH</w:t>
      </w:r>
      <w:r>
        <w:rPr>
          <w:rStyle w:val="NormalTok"/>
        </w:rPr>
        <w:t xml:space="preserve"> CLUSTERING </w:t>
      </w:r>
      <w:r>
        <w:rPr>
          <w:rStyle w:val="KeywordTok"/>
        </w:rPr>
        <w:t xml:space="preserve">ORDER</w:t>
      </w:r>
      <w:r>
        <w:rPr>
          <w:rStyle w:val="NormalTok"/>
        </w:rPr>
        <w:t xml:space="preserve"> </w:t>
      </w:r>
      <w:r>
        <w:rPr>
          <w:rStyle w:val="KeywordTok"/>
        </w:rPr>
        <w:t xml:space="preserve">BY</w:t>
      </w:r>
      <w:r>
        <w:rPr>
          <w:rStyle w:val="NormalTok"/>
        </w:rPr>
        <w:t xml:space="preserve"> (ts </w:t>
      </w:r>
      <w:r>
        <w:rPr>
          <w:rStyle w:val="KeywordTok"/>
        </w:rPr>
        <w:t xml:space="preserve">DESC</w:t>
      </w:r>
      <w:r>
        <w:rPr>
          <w:rStyle w:val="NormalTok"/>
        </w:rPr>
        <w:t xml:space="preserve">)</w:t>
      </w:r>
      <w:r>
        <w:br/>
      </w:r>
      <w:r>
        <w:rPr>
          <w:rStyle w:val="NormalTok"/>
        </w:rPr>
        <w:t xml:space="preserve">  </w:t>
      </w:r>
      <w:r>
        <w:rPr>
          <w:rStyle w:val="KeywordTok"/>
        </w:rPr>
        <w:t xml:space="preserve">AND</w:t>
      </w:r>
      <w:r>
        <w:rPr>
          <w:rStyle w:val="NormalTok"/>
        </w:rPr>
        <w:t xml:space="preserve"> default_time_to_live </w:t>
      </w:r>
      <w:r>
        <w:rPr>
          <w:rStyle w:val="OperatorTok"/>
        </w:rPr>
        <w:t xml:space="preserve">=</w:t>
      </w:r>
      <w:r>
        <w:rPr>
          <w:rStyle w:val="NormalTok"/>
        </w:rPr>
        <w:t xml:space="preserve"> </w:t>
      </w:r>
      <w:r>
        <w:rPr>
          <w:rStyle w:val="DecValTok"/>
        </w:rPr>
        <w:t xml:space="preserve">7776000</w:t>
      </w:r>
      <w:r>
        <w:rPr>
          <w:rStyle w:val="NormalTok"/>
        </w:rPr>
        <w:t xml:space="preserve">;      </w:t>
      </w:r>
      <w:r>
        <w:rPr>
          <w:rStyle w:val="CommentTok"/>
        </w:rPr>
        <w:t xml:space="preserve">-- 90 days</w:t>
      </w:r>
      <w:r>
        <w:br/>
      </w:r>
      <w:r>
        <w:br/>
      </w:r>
      <w:r>
        <w:rPr>
          <w:rStyle w:val="CommentTok"/>
        </w:rPr>
        <w:t xml:space="preserve">-- Q2: one partition per site; one row per sensor, overwritten on each reading</w:t>
      </w:r>
      <w:r>
        <w:br/>
      </w:r>
      <w:r>
        <w:rPr>
          <w:rStyle w:val="KeywordTok"/>
        </w:rPr>
        <w:t xml:space="preserve">CREATE</w:t>
      </w:r>
      <w:r>
        <w:rPr>
          <w:rStyle w:val="NormalTok"/>
        </w:rPr>
        <w:t xml:space="preserve"> </w:t>
      </w:r>
      <w:r>
        <w:rPr>
          <w:rStyle w:val="KeywordTok"/>
        </w:rPr>
        <w:t xml:space="preserve">TABLE</w:t>
      </w:r>
      <w:r>
        <w:rPr>
          <w:rStyle w:val="NormalTok"/>
        </w:rPr>
        <w:t xml:space="preserve"> latest_by_site (</w:t>
      </w:r>
      <w:r>
        <w:br/>
      </w:r>
      <w:r>
        <w:rPr>
          <w:rStyle w:val="NormalTok"/>
        </w:rPr>
        <w:t xml:space="preserve">    site_id     text,</w:t>
      </w:r>
      <w:r>
        <w:br/>
      </w:r>
      <w:r>
        <w:rPr>
          <w:rStyle w:val="NormalTok"/>
        </w:rPr>
        <w:t xml:space="preserve">    sensor_id   uuid,</w:t>
      </w:r>
      <w:r>
        <w:br/>
      </w:r>
      <w:r>
        <w:rPr>
          <w:rStyle w:val="NormalTok"/>
        </w:rPr>
        <w:t xml:space="preserve">    ts          </w:t>
      </w:r>
      <w:r>
        <w:rPr>
          <w:rStyle w:val="DataTypeTok"/>
        </w:rPr>
        <w:t xml:space="preserve">timestamp</w:t>
      </w:r>
      <w:r>
        <w:rPr>
          <w:rStyle w:val="NormalTok"/>
        </w:rPr>
        <w:t xml:space="preserve">,</w:t>
      </w:r>
      <w:r>
        <w:br/>
      </w:r>
      <w:r>
        <w:rPr>
          <w:rStyle w:val="NormalTok"/>
        </w:rPr>
        <w:t xml:space="preserve">    temperature </w:t>
      </w:r>
      <w:r>
        <w:rPr>
          <w:rStyle w:val="DataTypeTok"/>
        </w:rPr>
        <w:t xml:space="preserve">float</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((site_id), sensor_id)</w:t>
      </w:r>
      <w:r>
        <w:br/>
      </w:r>
      <w:r>
        <w:rPr>
          <w:rStyle w:val="NormalTok"/>
        </w:rPr>
        <w:t xml:space="preserve">);</w:t>
      </w:r>
      <w:r>
        <w:br/>
      </w:r>
      <w:r>
        <w:br/>
      </w:r>
      <w:r>
        <w:rPr>
          <w:rStyle w:val="KeywordTok"/>
        </w:rPr>
        <w:t xml:space="preserve">SELECT</w:t>
      </w:r>
      <w:r>
        <w:rPr>
          <w:rStyle w:val="NormalTok"/>
        </w:rPr>
        <w:t xml:space="preserve"> ts, temperature </w:t>
      </w:r>
      <w:r>
        <w:rPr>
          <w:rStyle w:val="KeywordTok"/>
        </w:rPr>
        <w:t xml:space="preserve">FROM</w:t>
      </w:r>
      <w:r>
        <w:rPr>
          <w:rStyle w:val="NormalTok"/>
        </w:rPr>
        <w:t xml:space="preserve"> readings_by_sensor_day</w:t>
      </w:r>
      <w:r>
        <w:br/>
      </w:r>
      <w:r>
        <w:rPr>
          <w:rStyle w:val="NormalTok"/>
        </w:rPr>
        <w:t xml:space="preserve"> </w:t>
      </w:r>
      <w:r>
        <w:rPr>
          <w:rStyle w:val="KeywordTok"/>
        </w:rPr>
        <w:t xml:space="preserve">WHERE</w:t>
      </w:r>
      <w:r>
        <w:rPr>
          <w:rStyle w:val="NormalTok"/>
        </w:rPr>
        <w:t xml:space="preserve"> sensor_id </w:t>
      </w:r>
      <w:r>
        <w:rPr>
          <w:rStyle w:val="OperatorTok"/>
        </w:rPr>
        <w:t xml:space="preserve">=</w:t>
      </w:r>
      <w:r>
        <w:rPr>
          <w:rStyle w:val="NormalTok"/>
        </w:rPr>
        <w:t xml:space="preserve"> </w:t>
      </w:r>
      <w:r>
        <w:rPr>
          <w:rStyle w:val="DecValTok"/>
        </w:rPr>
        <w:t xml:space="preserve">5</w:t>
      </w:r>
      <w:r>
        <w:rPr>
          <w:rStyle w:val="NormalTok"/>
        </w:rPr>
        <w:t xml:space="preserve">b6e0f6a</w:t>
      </w:r>
      <w:r>
        <w:rPr>
          <w:rStyle w:val="OperatorTok"/>
        </w:rPr>
        <w:t xml:space="preserve">-</w:t>
      </w:r>
      <w:r>
        <w:rPr>
          <w:rStyle w:val="DecValTok"/>
        </w:rPr>
        <w:t xml:space="preserve">1</w:t>
      </w:r>
      <w:r>
        <w:rPr>
          <w:rStyle w:val="NormalTok"/>
        </w:rPr>
        <w:t xml:space="preserve">c1e</w:t>
      </w:r>
      <w:r>
        <w:rPr>
          <w:rStyle w:val="OperatorTok"/>
        </w:rPr>
        <w:t xml:space="preserve">-</w:t>
      </w:r>
      <w:r>
        <w:rPr>
          <w:rStyle w:val="DecValTok"/>
        </w:rPr>
        <w:t xml:space="preserve">4</w:t>
      </w:r>
      <w:r>
        <w:rPr>
          <w:rStyle w:val="NormalTok"/>
        </w:rPr>
        <w:t xml:space="preserve">a51</w:t>
      </w:r>
      <w:r>
        <w:rPr>
          <w:rStyle w:val="OperatorTok"/>
        </w:rPr>
        <w:t xml:space="preserve">-</w:t>
      </w:r>
      <w:r>
        <w:rPr>
          <w:rStyle w:val="DecValTok"/>
        </w:rPr>
        <w:t xml:space="preserve">9</w:t>
      </w:r>
      <w:r>
        <w:rPr>
          <w:rStyle w:val="NormalTok"/>
        </w:rPr>
        <w:t xml:space="preserve">a52</w:t>
      </w:r>
      <w:r>
        <w:rPr>
          <w:rStyle w:val="OperatorTok"/>
        </w:rPr>
        <w:t xml:space="preserve">-</w:t>
      </w:r>
      <w:r>
        <w:rPr>
          <w:rStyle w:val="DecValTok"/>
        </w:rPr>
        <w:t xml:space="preserve">0</w:t>
      </w:r>
      <w:r>
        <w:rPr>
          <w:rStyle w:val="NormalTok"/>
        </w:rPr>
        <w:t xml:space="preserve">c2f7f0b7d11 </w:t>
      </w:r>
      <w:r>
        <w:rPr>
          <w:rStyle w:val="KeywordTok"/>
        </w:rPr>
        <w:t xml:space="preserve">AND</w:t>
      </w:r>
      <w:r>
        <w:rPr>
          <w:rStyle w:val="NormalTok"/>
        </w:rPr>
        <w:t xml:space="preserve"> </w:t>
      </w:r>
      <w:r>
        <w:rPr>
          <w:rStyle w:val="DataTypeTok"/>
        </w:rPr>
        <w:t xml:space="preserve">day</w:t>
      </w:r>
      <w:r>
        <w:rPr>
          <w:rStyle w:val="NormalTok"/>
        </w:rPr>
        <w:t xml:space="preserve"> </w:t>
      </w:r>
      <w:r>
        <w:rPr>
          <w:rStyle w:val="OperatorTok"/>
        </w:rPr>
        <w:t xml:space="preserve">=</w:t>
      </w:r>
      <w:r>
        <w:rPr>
          <w:rStyle w:val="NormalTok"/>
        </w:rPr>
        <w:t xml:space="preserve"> </w:t>
      </w:r>
      <w:r>
        <w:rPr>
          <w:rStyle w:val="StringTok"/>
        </w:rPr>
        <w:t xml:space="preserve">'2026-10-30'</w:t>
      </w:r>
      <w:r>
        <w:br/>
      </w:r>
      <w:r>
        <w:rPr>
          <w:rStyle w:val="NormalTok"/>
        </w:rPr>
        <w:t xml:space="preserve"> </w:t>
      </w:r>
      <w:r>
        <w:rPr>
          <w:rStyle w:val="KeywordTok"/>
        </w:rPr>
        <w:t xml:space="preserve">LIMIT</w:t>
      </w:r>
      <w:r>
        <w:rPr>
          <w:rStyle w:val="NormalTok"/>
        </w:rPr>
        <w:t xml:space="preserve"> </w:t>
      </w:r>
      <w:r>
        <w:rPr>
          <w:rStyle w:val="DecValTok"/>
        </w:rPr>
        <w:t xml:space="preserve">100</w:t>
      </w:r>
      <w:r>
        <w:rPr>
          <w:rStyle w:val="NormalTok"/>
        </w:rPr>
        <w:t xml:space="preserve">;</w:t>
      </w:r>
    </w:p>
    <w:p>
      <w:pPr>
        <w:pStyle w:val="FirstParagraph"/>
      </w:pPr>
      <w:r>
        <w:t xml:space="preserve">What to notice:</w:t>
      </w:r>
    </w:p>
    <w:p>
      <w:pPr>
        <w:numPr>
          <w:ilvl w:val="0"/>
          <w:numId w:val="1416"/>
        </w:numPr>
        <w:pStyle w:val="Compact"/>
      </w:pPr>
      <w:r>
        <w:rPr>
          <w:rStyle w:val="VerbatimChar"/>
        </w:rPr>
        <w:t xml:space="preserve">(sensor_id, day)</w:t>
      </w:r>
      <w:r>
        <w:t xml:space="preserve"> </w:t>
      </w:r>
      <w:r>
        <w:t xml:space="preserve">bounds each partition to one sensor-day; without</w:t>
      </w:r>
      <w:r>
        <w:t xml:space="preserve"> </w:t>
      </w:r>
      <w:r>
        <w:rPr>
          <w:rStyle w:val="VerbatimChar"/>
        </w:rPr>
        <w:t xml:space="preserve">day</w:t>
      </w:r>
      <w:r>
        <w:t xml:space="preserve"> </w:t>
      </w:r>
      <w:r>
        <w:t xml:space="preserve">it would grow forever.</w:t>
      </w:r>
    </w:p>
    <w:p>
      <w:pPr>
        <w:numPr>
          <w:ilvl w:val="0"/>
          <w:numId w:val="1416"/>
        </w:numPr>
        <w:pStyle w:val="Compact"/>
      </w:pPr>
      <w:r>
        <w:rPr>
          <w:rStyle w:val="VerbatimChar"/>
        </w:rPr>
        <w:t xml:space="preserve">CLUSTERING ORDER BY (ts DESC)</w:t>
      </w:r>
      <w:r>
        <w:t xml:space="preserve"> </w:t>
      </w:r>
      <w:r>
        <w:t xml:space="preserve">makes</w:t>
      </w:r>
      <w:r>
        <w:t xml:space="preserve"> </w:t>
      </w:r>
      <w:r>
        <w:t xml:space="preserve">“</w:t>
      </w:r>
      <w:r>
        <w:t xml:space="preserve">latest 100</w:t>
      </w:r>
      <w:r>
        <w:t xml:space="preserve">”</w:t>
      </w:r>
      <w:r>
        <w:t xml:space="preserve"> </w:t>
      </w:r>
      <w:r>
        <w:t xml:space="preserve">a sequential read of the partition’s head.</w:t>
      </w:r>
    </w:p>
    <w:p>
      <w:pPr>
        <w:numPr>
          <w:ilvl w:val="0"/>
          <w:numId w:val="1416"/>
        </w:numPr>
        <w:pStyle w:val="Compact"/>
      </w:pPr>
      <w:r>
        <w:t xml:space="preserve">Every reading is written to both tables — duplication is the price of single-partition reads.</w:t>
      </w:r>
    </w:p>
    <w:p>
      <w:pPr>
        <w:numPr>
          <w:ilvl w:val="0"/>
          <w:numId w:val="1416"/>
        </w:numPr>
        <w:pStyle w:val="Compact"/>
      </w:pPr>
      <w:r>
        <w:rPr>
          <w:rStyle w:val="VerbatimChar"/>
        </w:rPr>
        <w:t xml:space="preserve">WHERE temperature &gt; 30</w:t>
      </w:r>
      <w:r>
        <w:t xml:space="preserve"> </w:t>
      </w:r>
      <w:r>
        <w:t xml:space="preserve">is rejected without</w:t>
      </w:r>
      <w:r>
        <w:t xml:space="preserve"> </w:t>
      </w:r>
      <w:r>
        <w:rPr>
          <w:rStyle w:val="VerbatimChar"/>
        </w:rPr>
        <w:t xml:space="preserve">ALLOW FILTERING</w:t>
      </w:r>
      <w:r>
        <w:t xml:space="preserve">, which scans: a sign the model lacks a table.</w:t>
      </w:r>
    </w:p>
    <w:p>
      <w:pPr>
        <w:numPr>
          <w:ilvl w:val="0"/>
          <w:numId w:val="1416"/>
        </w:numPr>
        <w:pStyle w:val="Compact"/>
      </w:pPr>
      <w:r>
        <w:t xml:space="preserve">TTL-expired cells become</w:t>
      </w:r>
      <w:r>
        <w:t xml:space="preserve"> </w:t>
      </w:r>
      <w:r>
        <w:rPr>
          <w:bCs/>
          <w:b/>
        </w:rPr>
        <w:t xml:space="preserve">tombstones</w:t>
      </w:r>
      <w:r>
        <w:t xml:space="preserve"> </w:t>
      </w:r>
      <w:r>
        <w:t xml:space="preserve">until compaction removes them.</w:t>
      </w:r>
    </w:p>
    <w:p>
      <w:pPr>
        <w:pStyle w:val="FirstParagraph"/>
      </w:pPr>
      <w:r>
        <w:rPr>
          <w:bCs/>
          <w:b/>
        </w:rPr>
        <w:t xml:space="preserve">Figure 12.6 — Query-first modeling and partition placement in Cassandra.</w:t>
      </w:r>
    </w:p>
    <w:p>
      <w:pPr>
        <w:pStyle w:val="BodyText"/>
      </w:pPr>
      <w:r>
        <w:drawing>
          <wp:inline>
            <wp:extent cx="5334000" cy="1302679"/>
            <wp:effectExtent b="0" l="0" r="0" t="0"/>
            <wp:docPr descr="" title="" id="1362" name="Picture"/>
            <a:graphic>
              <a:graphicData uri="http://schemas.openxmlformats.org/drawingml/2006/picture">
                <pic:pic>
                  <pic:nvPicPr>
                    <pic:cNvPr descr="/home/user/System-Design/build/.cache/diagrams/2d3a1bdbffef.png" id="1363" name="Picture"/>
                    <pic:cNvPicPr>
                      <a:picLocks noChangeArrowheads="1" noChangeAspect="1"/>
                    </pic:cNvPicPr>
                  </pic:nvPicPr>
                  <pic:blipFill>
                    <a:blip r:embed="rId1361"/>
                    <a:stretch>
                      <a:fillRect/>
                    </a:stretch>
                  </pic:blipFill>
                  <pic:spPr bwMode="auto">
                    <a:xfrm>
                      <a:off x="0" y="0"/>
                      <a:ext cx="5334000" cy="1302679"/>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Left: each query gets a table whose partition key matches its equality conditions and whose clustering column gives its order. Right: the runtime write path — the ingest service sends a CQL write to any node, which hashes the partition key to a token and forwards to the three owning replicas. With</w:t>
      </w:r>
      <w:r>
        <w:t xml:space="preserve"> </w:t>
      </w:r>
      <w:r>
        <w:rPr>
          <w:rStyle w:val="VerbatimChar"/>
        </w:rPr>
        <w:t xml:space="preserve">LOCAL_QUORUM</w:t>
      </w:r>
      <w:r>
        <w:t xml:space="preserve"> </w:t>
      </w:r>
      <w:r>
        <w:t xml:space="preserve">the write succeeds synchronously after two local acknowledgments; a down replica gets it later via a stored hint (dotted, asynchronous). Each table is a separate storage structure, so ingest writes twice. Failure points: one replica down is tolerated; two down fails</w:t>
      </w:r>
      <w:r>
        <w:t xml:space="preserve"> </w:t>
      </w:r>
      <w:r>
        <w:rPr>
          <w:rStyle w:val="VerbatimChar"/>
        </w:rPr>
        <w:t xml:space="preserve">QUORUM</w:t>
      </w:r>
      <w:r>
        <w:t xml:space="preserve"> </w:t>
      </w:r>
      <w:r>
        <w:t xml:space="preserve">for those partitions. Scaling: add nodes and token ranges redistribute.</w:t>
      </w:r>
    </w:p>
    <w:bookmarkEnd w:id="1364"/>
    <w:bookmarkStart w:id="1369" w:name="sizing-partitions"/>
    <w:p>
      <w:pPr>
        <w:pStyle w:val="Heading3"/>
      </w:pPr>
      <w:r>
        <w:t xml:space="preserve">12.6.4 Sizing partitions</w:t>
      </w:r>
    </w:p>
    <w:p>
      <w:pPr>
        <w:pStyle w:val="FirstParagraph"/>
      </w:pPr>
      <w:r>
        <w:t xml:space="preserve">Oversized partitions slow compaction, repair and reads and concentrate load on</w:t>
      </w:r>
      <w:r>
        <w:t xml:space="preserve"> </w:t>
      </w:r>
      <w:r>
        <w:rPr>
          <w:iCs/>
          <w:i/>
        </w:rPr>
        <w:t xml:space="preserve">RF</w:t>
      </w:r>
      <w:r>
        <w:t xml:space="preserve"> </w:t>
      </w:r>
      <w:r>
        <w:t xml:space="preserve">nodes. The Cassandra documentation gives formulas for a partition’s cell count and size [Apache Cassandra Docs].</w:t>
      </w:r>
    </w:p>
    <w:p>
      <w:pPr>
        <w:pStyle w:val="CalloutFormula"/>
      </w:pPr>
      <w:r>
        <w:rPr>
          <w:bCs/>
          <w:b/>
        </w:rPr>
        <w:t xml:space="preserve">FORMULA</w:t>
      </w:r>
    </w:p>
    <w:p>
      <w:pPr>
        <w:pStyle w:val="CalloutFormula"/>
      </w:pPr>
      <w:r>
        <w:rPr>
          <w:bCs/>
          <w:b/>
        </w:rPr>
        <w:t xml:space="preserve">Cassandra partition cells and size</w:t>
      </w:r>
    </w:p>
    <w:p>
      <w:pPr>
        <w:pStyle w:val="CalloutFormula"/>
      </w:pPr>
      <m:oMathPara>
        <m:oMathParaPr>
          <m:jc m:val="center"/>
        </m:oMathParaPr>
        <m:oMath>
          <m:sSub>
            <m:e>
              <m:r>
                <m:t>N</m:t>
              </m:r>
            </m:e>
            <m:sub>
              <m:r>
                <m:t>v</m:t>
              </m:r>
            </m:sub>
          </m:sSub>
          <m:r>
            <m:rPr>
              <m:sty m:val="p"/>
            </m:rPr>
            <m:t>=</m:t>
          </m:r>
          <m:sSub>
            <m:e>
              <m:r>
                <m:t>N</m:t>
              </m:r>
            </m:e>
            <m:sub>
              <m:r>
                <m:t>r</m:t>
              </m:r>
            </m:sub>
          </m:sSub>
          <m:r>
            <m:t> </m:t>
          </m:r>
          <m:d>
            <m:dPr>
              <m:begChr m:val="("/>
              <m:endChr m:val=")"/>
              <m:sepChr m:val=""/>
              <m:grow/>
            </m:dPr>
            <m:e>
              <m:sSub>
                <m:e>
                  <m:r>
                    <m:t>N</m:t>
                  </m:r>
                </m:e>
                <m:sub>
                  <m:r>
                    <m:t>c</m:t>
                  </m:r>
                </m:sub>
              </m:sSub>
              <m:r>
                <m:rPr>
                  <m:sty m:val="p"/>
                </m:rPr>
                <m:t>−</m:t>
              </m:r>
              <m:sSub>
                <m:e>
                  <m:r>
                    <m:t>N</m:t>
                  </m:r>
                </m:e>
                <m:sub>
                  <m:r>
                    <m:t>p</m:t>
                  </m:r>
                  <m:r>
                    <m:t>k</m:t>
                  </m:r>
                </m:sub>
              </m:sSub>
              <m:r>
                <m:rPr>
                  <m:sty m:val="p"/>
                </m:rPr>
                <m:t>−</m:t>
              </m:r>
              <m:sSub>
                <m:e>
                  <m:r>
                    <m:t>N</m:t>
                  </m:r>
                </m:e>
                <m:sub>
                  <m:r>
                    <m:t>s</m:t>
                  </m:r>
                </m:sub>
              </m:sSub>
            </m:e>
          </m:d>
          <m:r>
            <m:rPr>
              <m:sty m:val="p"/>
            </m:rPr>
            <m:t>+</m:t>
          </m:r>
          <m:sSub>
            <m:e>
              <m:r>
                <m:t>N</m:t>
              </m:r>
            </m:e>
            <m:sub>
              <m:r>
                <m:t>s</m:t>
              </m:r>
            </m:sub>
          </m:sSub>
        </m:oMath>
      </m:oMathPara>
    </w:p>
    <w:p>
      <w:pPr>
        <w:pStyle w:val="CalloutFormula"/>
      </w:pPr>
      <m:oMathPara>
        <m:oMathParaPr>
          <m:jc m:val="center"/>
        </m:oMathParaPr>
        <m:oMath>
          <m:sSub>
            <m:e>
              <m:r>
                <m:t>S</m:t>
              </m:r>
            </m:e>
            <m:sub>
              <m:r>
                <m:t>t</m:t>
              </m:r>
            </m:sub>
          </m:sSub>
          <m:r>
            <m:rPr>
              <m:sty m:val="p"/>
            </m:rPr>
            <m:t>=</m:t>
          </m:r>
          <m:nary>
            <m:naryPr>
              <m:chr m:val="∑"/>
              <m:limLoc m:val="undOvr"/>
              <m:subHide m:val="off"/>
              <m:supHide m:val="on"/>
            </m:naryPr>
            <m:sub>
              <m:r>
                <m:t>i</m:t>
              </m:r>
            </m:sub>
            <m:sup>
              <m:r>
                <m:t>​</m:t>
              </m:r>
            </m:sup>
            <m:e>
              <m:r>
                <m:rPr>
                  <m:nor/>
                  <m:sty m:val="p"/>
                </m:rPr>
                <m:t>sizeOf</m:t>
              </m:r>
            </m:e>
          </m:nary>
          <m:d>
            <m:dPr>
              <m:begChr m:val="("/>
              <m:endChr m:val=")"/>
              <m:sepChr m:val=""/>
              <m:grow/>
            </m:dPr>
            <m:e>
              <m:sSub>
                <m:e>
                  <m:r>
                    <m:t>c</m:t>
                  </m:r>
                </m:e>
                <m:sub>
                  <m:sSub>
                    <m:e>
                      <m:r>
                        <m:t>k</m:t>
                      </m:r>
                    </m:e>
                    <m:sub>
                      <m:r>
                        <m:t>i</m:t>
                      </m:r>
                    </m:sub>
                  </m:sSub>
                </m:sub>
              </m:sSub>
            </m:e>
          </m:d>
          <m:r>
            <m:rPr>
              <m:sty m:val="p"/>
            </m:rPr>
            <m:t>+</m:t>
          </m:r>
          <m:nary>
            <m:naryPr>
              <m:chr m:val="∑"/>
              <m:limLoc m:val="undOvr"/>
              <m:subHide m:val="off"/>
              <m:supHide m:val="on"/>
            </m:naryPr>
            <m:sub>
              <m:r>
                <m:t>j</m:t>
              </m:r>
            </m:sub>
            <m:sup>
              <m:r>
                <m:t>​</m:t>
              </m:r>
            </m:sup>
            <m:e>
              <m:r>
                <m:rPr>
                  <m:nor/>
                  <m:sty m:val="p"/>
                </m:rPr>
                <m:t>sizeOf</m:t>
              </m:r>
            </m:e>
          </m:nary>
          <m:d>
            <m:dPr>
              <m:begChr m:val="("/>
              <m:endChr m:val=")"/>
              <m:sepChr m:val=""/>
              <m:grow/>
            </m:dPr>
            <m:e>
              <m:sSub>
                <m:e>
                  <m:r>
                    <m:t>c</m:t>
                  </m:r>
                </m:e>
                <m:sub>
                  <m:sSub>
                    <m:e>
                      <m:r>
                        <m:t>s</m:t>
                      </m:r>
                    </m:e>
                    <m:sub>
                      <m:r>
                        <m:t>j</m:t>
                      </m:r>
                    </m:sub>
                  </m:sSub>
                </m:sub>
              </m:sSub>
            </m:e>
          </m:d>
          <m:r>
            <m:rPr>
              <m:sty m:val="p"/>
            </m:rPr>
            <m:t>+</m:t>
          </m:r>
          <m:sSub>
            <m:e>
              <m:r>
                <m:t>N</m:t>
              </m:r>
            </m:e>
            <m:sub>
              <m:r>
                <m:t>r</m:t>
              </m:r>
            </m:sub>
          </m:sSub>
          <m:r>
            <m:rPr>
              <m:sty m:val="p"/>
            </m:rPr>
            <m:t>×</m:t>
          </m:r>
          <m:d>
            <m:dPr>
              <m:begChr m:val="("/>
              <m:endChr m:val=")"/>
              <m:sepChr m:val=""/>
              <m:grow/>
            </m:dPr>
            <m:e>
              <m:nary>
                <m:naryPr>
                  <m:chr m:val="∑"/>
                  <m:limLoc m:val="undOvr"/>
                  <m:subHide m:val="off"/>
                  <m:supHide m:val="on"/>
                </m:naryPr>
                <m:sub>
                  <m:r>
                    <m:t>k</m:t>
                  </m:r>
                </m:sub>
                <m:sup>
                  <m:r>
                    <m:t>​</m:t>
                  </m:r>
                </m:sup>
                <m:e>
                  <m:r>
                    <m:rPr>
                      <m:nor/>
                      <m:sty m:val="p"/>
                    </m:rPr>
                    <m:t>sizeOf</m:t>
                  </m:r>
                </m:e>
              </m:nary>
              <m:d>
                <m:dPr>
                  <m:begChr m:val="("/>
                  <m:endChr m:val=")"/>
                  <m:sepChr m:val=""/>
                  <m:grow/>
                </m:dPr>
                <m:e>
                  <m:sSub>
                    <m:e>
                      <m:r>
                        <m:t>c</m:t>
                      </m:r>
                    </m:e>
                    <m:sub>
                      <m:sSub>
                        <m:e>
                          <m:r>
                            <m:t>r</m:t>
                          </m:r>
                        </m:e>
                        <m:sub>
                          <m:r>
                            <m:t>k</m:t>
                          </m:r>
                        </m:sub>
                      </m:sSub>
                    </m:sub>
                  </m:sSub>
                </m:e>
              </m:d>
              <m:r>
                <m:rPr>
                  <m:sty m:val="p"/>
                </m:rPr>
                <m:t>+</m:t>
              </m:r>
              <m:nary>
                <m:naryPr>
                  <m:chr m:val="∑"/>
                  <m:limLoc m:val="undOvr"/>
                  <m:subHide m:val="off"/>
                  <m:supHide m:val="on"/>
                </m:naryPr>
                <m:sub>
                  <m:r>
                    <m:t>l</m:t>
                  </m:r>
                </m:sub>
                <m:sup>
                  <m:r>
                    <m:t>​</m:t>
                  </m:r>
                </m:sup>
                <m:e>
                  <m:r>
                    <m:rPr>
                      <m:nor/>
                      <m:sty m:val="p"/>
                    </m:rPr>
                    <m:t>sizeOf</m:t>
                  </m:r>
                </m:e>
              </m:nary>
              <m:d>
                <m:dPr>
                  <m:begChr m:val="("/>
                  <m:endChr m:val=")"/>
                  <m:sepChr m:val=""/>
                  <m:grow/>
                </m:dPr>
                <m:e>
                  <m:sSub>
                    <m:e>
                      <m:r>
                        <m:t>c</m:t>
                      </m:r>
                    </m:e>
                    <m:sub>
                      <m:sSub>
                        <m:e>
                          <m:r>
                            <m:t>c</m:t>
                          </m:r>
                        </m:e>
                        <m:sub>
                          <m:r>
                            <m:t>l</m:t>
                          </m:r>
                        </m:sub>
                      </m:sSub>
                    </m:sub>
                  </m:sSub>
                </m:e>
              </m:d>
            </m:e>
          </m:d>
          <m:r>
            <m:rPr>
              <m:sty m:val="p"/>
            </m:rPr>
            <m:t>+</m:t>
          </m:r>
          <m:sSub>
            <m:e>
              <m:r>
                <m:t>N</m:t>
              </m:r>
            </m:e>
            <m:sub>
              <m:r>
                <m:t>v</m:t>
              </m:r>
            </m:sub>
          </m:sSub>
          <m:r>
            <m:rPr>
              <m:sty m:val="p"/>
            </m:rPr>
            <m:t>×</m:t>
          </m:r>
          <m:r>
            <m:rPr>
              <m:nor/>
              <m:sty m:val="p"/>
            </m:rPr>
            <m:t>sizeOf</m:t>
          </m:r>
          <m:d>
            <m:dPr>
              <m:begChr m:val="("/>
              <m:endChr m:val=")"/>
              <m:sepChr m:val=""/>
              <m:grow/>
            </m:dPr>
            <m:e>
              <m:sSub>
                <m:e>
                  <m:r>
                    <m:t>t</m:t>
                  </m:r>
                </m:e>
                <m:sub>
                  <m:r>
                    <m:rPr>
                      <m:nor/>
                      <m:sty m:val="p"/>
                    </m:rPr>
                    <m:t>avg</m:t>
                  </m:r>
                </m:sub>
              </m:sSub>
            </m:e>
          </m:d>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N</m:t>
                  </m:r>
                </m:e>
                <m:sub>
                  <m:r>
                    <m:t>v</m:t>
                  </m:r>
                </m:sub>
              </m:sSub>
            </m:oMath>
          </w:p>
        </w:tc>
        <w:tc>
          <w:tcPr/>
          <w:p>
            <w:pPr>
              <w:pStyle w:val="Compact"/>
              <w:jc w:val="left"/>
            </w:pPr>
            <w:r>
              <w:t xml:space="preserve">Number of cells (values) in the partition</w:t>
            </w:r>
          </w:p>
        </w:tc>
        <w:tc>
          <w:tcPr/>
          <w:p>
            <w:pPr>
              <w:pStyle w:val="Compact"/>
              <w:jc w:val="left"/>
            </w:pPr>
            <w:r>
              <w:t xml:space="preserve">cells</w:t>
            </w:r>
          </w:p>
        </w:tc>
      </w:tr>
      <w:tr>
        <w:tc>
          <w:tcPr/>
          <w:p>
            <w:pPr>
              <w:pStyle w:val="Compact"/>
              <w:jc w:val="left"/>
            </w:pPr>
            <m:oMath>
              <m:sSub>
                <m:e>
                  <m:r>
                    <m:t>N</m:t>
                  </m:r>
                </m:e>
                <m:sub>
                  <m:r>
                    <m:t>r</m:t>
                  </m:r>
                </m:sub>
              </m:sSub>
            </m:oMath>
          </w:p>
        </w:tc>
        <w:tc>
          <w:tcPr/>
          <w:p>
            <w:pPr>
              <w:pStyle w:val="Compact"/>
              <w:jc w:val="left"/>
            </w:pPr>
            <w:r>
              <w:t xml:space="preserve">Number of rows in the partition</w:t>
            </w:r>
          </w:p>
        </w:tc>
        <w:tc>
          <w:tcPr/>
          <w:p>
            <w:pPr>
              <w:pStyle w:val="Compact"/>
              <w:jc w:val="left"/>
            </w:pPr>
            <w:r>
              <w:t xml:space="preserve">rows</w:t>
            </w:r>
          </w:p>
        </w:tc>
      </w:tr>
      <w:tr>
        <w:tc>
          <w:tcPr/>
          <w:p>
            <w:pPr>
              <w:pStyle w:val="Compact"/>
              <w:jc w:val="left"/>
            </w:pPr>
            <m:oMath>
              <m:sSub>
                <m:e>
                  <m:r>
                    <m:t>N</m:t>
                  </m:r>
                </m:e>
                <m:sub>
                  <m:r>
                    <m:t>c</m:t>
                  </m:r>
                </m:sub>
              </m:sSub>
            </m:oMath>
          </w:p>
        </w:tc>
        <w:tc>
          <w:tcPr/>
          <w:p>
            <w:pPr>
              <w:pStyle w:val="Compact"/>
              <w:jc w:val="left"/>
            </w:pPr>
            <w:r>
              <w:t xml:space="preserve">Number of columns in the table</w:t>
            </w:r>
          </w:p>
        </w:tc>
        <w:tc>
          <w:tcPr/>
          <w:p>
            <w:pPr>
              <w:pStyle w:val="Compact"/>
              <w:jc w:val="left"/>
            </w:pPr>
            <w:r>
              <w:t xml:space="preserve">columns</w:t>
            </w:r>
          </w:p>
        </w:tc>
      </w:tr>
      <w:tr>
        <w:tc>
          <w:tcPr/>
          <w:p>
            <w:pPr>
              <w:pStyle w:val="Compact"/>
              <w:jc w:val="left"/>
            </w:pPr>
            <m:oMath>
              <m:sSub>
                <m:e>
                  <m:r>
                    <m:t>N</m:t>
                  </m:r>
                </m:e>
                <m:sub>
                  <m:r>
                    <m:t>p</m:t>
                  </m:r>
                  <m:r>
                    <m:t>k</m:t>
                  </m:r>
                </m:sub>
              </m:sSub>
            </m:oMath>
          </w:p>
        </w:tc>
        <w:tc>
          <w:tcPr/>
          <w:p>
            <w:pPr>
              <w:pStyle w:val="Compact"/>
              <w:jc w:val="left"/>
            </w:pPr>
            <w:r>
              <w:t xml:space="preserve">Number of partition-key columns</w:t>
            </w:r>
          </w:p>
        </w:tc>
        <w:tc>
          <w:tcPr/>
          <w:p>
            <w:pPr>
              <w:pStyle w:val="Compact"/>
              <w:jc w:val="left"/>
            </w:pPr>
            <w:r>
              <w:t xml:space="preserve">columns</w:t>
            </w:r>
          </w:p>
        </w:tc>
      </w:tr>
      <w:tr>
        <w:tc>
          <w:tcPr/>
          <w:p>
            <w:pPr>
              <w:pStyle w:val="Compact"/>
              <w:jc w:val="left"/>
            </w:pPr>
            <m:oMath>
              <m:sSub>
                <m:e>
                  <m:r>
                    <m:t>N</m:t>
                  </m:r>
                </m:e>
                <m:sub>
                  <m:r>
                    <m:t>s</m:t>
                  </m:r>
                </m:sub>
              </m:sSub>
            </m:oMath>
          </w:p>
        </w:tc>
        <w:tc>
          <w:tcPr/>
          <w:p>
            <w:pPr>
              <w:pStyle w:val="Compact"/>
              <w:jc w:val="left"/>
            </w:pPr>
            <w:r>
              <w:t xml:space="preserve">Number of static columns</w:t>
            </w:r>
          </w:p>
        </w:tc>
        <w:tc>
          <w:tcPr/>
          <w:p>
            <w:pPr>
              <w:pStyle w:val="Compact"/>
              <w:jc w:val="left"/>
            </w:pPr>
            <w:r>
              <w:t xml:space="preserve">columns</w:t>
            </w:r>
          </w:p>
        </w:tc>
      </w:tr>
      <w:tr>
        <w:tc>
          <w:tcPr/>
          <w:p>
            <w:pPr>
              <w:pStyle w:val="Compact"/>
              <w:jc w:val="left"/>
            </w:pPr>
            <m:oMath>
              <m:sSub>
                <m:e>
                  <m:r>
                    <m:t>S</m:t>
                  </m:r>
                </m:e>
                <m:sub>
                  <m:r>
                    <m:t>t</m:t>
                  </m:r>
                </m:sub>
              </m:sSub>
            </m:oMath>
          </w:p>
        </w:tc>
        <w:tc>
          <w:tcPr/>
          <w:p>
            <w:pPr>
              <w:pStyle w:val="Compact"/>
              <w:jc w:val="left"/>
            </w:pPr>
            <w:r>
              <w:t xml:space="preserve">Estimated partition size on disk, one replica, before compression</w:t>
            </w:r>
          </w:p>
        </w:tc>
        <w:tc>
          <w:tcPr/>
          <w:p>
            <w:pPr>
              <w:pStyle w:val="Compact"/>
              <w:jc w:val="left"/>
            </w:pPr>
            <w:r>
              <w:t xml:space="preserve">bytes</w:t>
            </w:r>
          </w:p>
        </w:tc>
      </w:tr>
      <w:tr>
        <w:tc>
          <w:tcPr/>
          <w:p>
            <w:pPr>
              <w:pStyle w:val="Compact"/>
              <w:jc w:val="left"/>
            </w:pPr>
            <m:oMath>
              <m:sSub>
                <m:e>
                  <m:r>
                    <m:t>c</m:t>
                  </m:r>
                </m:e>
                <m:sub>
                  <m:r>
                    <m:t>k</m:t>
                  </m:r>
                </m:sub>
              </m:sSub>
              <m:r>
                <m:rPr>
                  <m:sty m:val="p"/>
                </m:rPr>
                <m:t>,</m:t>
              </m:r>
              <m:sSub>
                <m:e>
                  <m:r>
                    <m:t>c</m:t>
                  </m:r>
                </m:e>
                <m:sub>
                  <m:r>
                    <m:t>s</m:t>
                  </m:r>
                </m:sub>
              </m:sSub>
              <m:r>
                <m:rPr>
                  <m:sty m:val="p"/>
                </m:rPr>
                <m:t>,</m:t>
              </m:r>
              <m:sSub>
                <m:e>
                  <m:r>
                    <m:t>c</m:t>
                  </m:r>
                </m:e>
                <m:sub>
                  <m:r>
                    <m:t>r</m:t>
                  </m:r>
                </m:sub>
              </m:sSub>
              <m:r>
                <m:rPr>
                  <m:sty m:val="p"/>
                </m:rPr>
                <m:t>,</m:t>
              </m:r>
              <m:sSub>
                <m:e>
                  <m:r>
                    <m:t>c</m:t>
                  </m:r>
                </m:e>
                <m:sub>
                  <m:r>
                    <m:t>c</m:t>
                  </m:r>
                </m:sub>
              </m:sSub>
            </m:oMath>
          </w:p>
        </w:tc>
        <w:tc>
          <w:tcPr/>
          <w:p>
            <w:pPr>
              <w:pStyle w:val="Compact"/>
              <w:jc w:val="left"/>
            </w:pPr>
            <w:r>
              <w:t xml:space="preserve">Partition-key, static, regular and clustering columns</w:t>
            </w:r>
          </w:p>
        </w:tc>
        <w:tc>
          <w:tcPr/>
          <w:p>
            <w:pPr>
              <w:pStyle w:val="Compact"/>
              <w:jc w:val="left"/>
            </w:pPr>
            <w:r>
              <w:t xml:space="preserve">bytes each</w:t>
            </w:r>
          </w:p>
        </w:tc>
      </w:tr>
      <w:tr>
        <w:tc>
          <w:tcPr/>
          <w:p>
            <w:pPr>
              <w:pStyle w:val="Compact"/>
              <w:jc w:val="left"/>
            </w:pPr>
            <m:oMath>
              <m:sSub>
                <m:e>
                  <m:r>
                    <m:t>t</m:t>
                  </m:r>
                </m:e>
                <m:sub>
                  <m:r>
                    <m:rPr>
                      <m:nor/>
                      <m:sty m:val="p"/>
                    </m:rPr>
                    <m:t>avg</m:t>
                  </m:r>
                </m:sub>
              </m:sSub>
            </m:oMath>
          </w:p>
        </w:tc>
        <w:tc>
          <w:tcPr/>
          <w:p>
            <w:pPr>
              <w:pStyle w:val="Compact"/>
              <w:jc w:val="left"/>
            </w:pPr>
            <w:r>
              <w:t xml:space="preserve">Average per-cell metadata (the docs use the 8-byte timestamp)</w:t>
            </w:r>
          </w:p>
        </w:tc>
        <w:tc>
          <w:tcPr/>
          <w:p>
            <w:pPr>
              <w:pStyle w:val="Compact"/>
              <w:jc w:val="left"/>
            </w:pPr>
            <w:r>
              <w:t xml:space="preserve">bytes</w:t>
            </w:r>
          </w:p>
        </w:tc>
      </w:tr>
    </w:tbl>
    <w:p>
      <w:pPr>
        <w:pStyle w:val="CalloutExample"/>
      </w:pPr>
      <w:r>
        <w:rPr>
          <w:bCs/>
          <w:b/>
        </w:rPr>
        <w:t xml:space="preserve">WORKED EXAMPLE</w:t>
      </w:r>
    </w:p>
    <w:p>
      <w:pPr>
        <w:pStyle w:val="CalloutExample"/>
      </w:pPr>
      <w:r>
        <w:rPr>
          <w:bCs/>
          <w:b/>
        </w:rPr>
        <w:t xml:space="preserve">Worked example — Sizing</w:t>
      </w:r>
      <w:r>
        <w:rPr>
          <w:bCs/>
          <w:b/>
        </w:rPr>
        <w:t xml:space="preserve"> </w:t>
      </w:r>
      <w:r>
        <w:rPr>
          <w:rStyle w:val="VerbatimChar"/>
          <w:bCs/>
          <w:b/>
        </w:rPr>
        <w:t xml:space="preserve">readings_by_sensor_day</w:t>
      </w:r>
      <w:r>
        <w:rPr>
          <w:bCs/>
          <w:b/>
        </w:rPr>
        <w:t xml:space="preserve">.</w:t>
      </w:r>
    </w:p>
    <w:p>
      <w:pPr>
        <w:pStyle w:val="CalloutExample"/>
      </w:pPr>
      <w:r>
        <w:t xml:space="preserve">Each sensor reports every 10 s. Column sizes:</w:t>
      </w:r>
      <w:r>
        <w:t xml:space="preserve"> </w:t>
      </w:r>
      <w:r>
        <w:rPr>
          <w:rStyle w:val="VerbatimChar"/>
        </w:rPr>
        <w:t xml:space="preserve">sensor_id</w:t>
      </w:r>
      <w:r>
        <w:t xml:space="preserve"> </w:t>
      </w:r>
      <w:r>
        <w:t xml:space="preserve">uuid 16 B,</w:t>
      </w:r>
      <w:r>
        <w:t xml:space="preserve"> </w:t>
      </w:r>
      <w:r>
        <w:rPr>
          <w:rStyle w:val="VerbatimChar"/>
        </w:rPr>
        <w:t xml:space="preserve">day</w:t>
      </w:r>
      <w:r>
        <w:t xml:space="preserve"> </w:t>
      </w:r>
      <w:r>
        <w:t xml:space="preserve">date 4 B,</w:t>
      </w:r>
      <w:r>
        <w:t xml:space="preserve"> </w:t>
      </w:r>
      <w:r>
        <w:rPr>
          <w:rStyle w:val="VerbatimChar"/>
        </w:rPr>
        <w:t xml:space="preserve">ts</w:t>
      </w:r>
      <w:r>
        <w:t xml:space="preserve"> </w:t>
      </w:r>
      <w:r>
        <w:t xml:space="preserve">timestamp 8 B, three floats 4 B each.</w:t>
      </w:r>
      <w:r>
        <w:t xml:space="preserve"> </w:t>
      </w:r>
      <m:oMath>
        <m:sSub>
          <m:e>
            <m:r>
              <m:t>N</m:t>
            </m:r>
          </m:e>
          <m:sub>
            <m:r>
              <m:t>c</m:t>
            </m:r>
          </m:sub>
        </m:sSub>
        <m:r>
          <m:rPr>
            <m:sty m:val="p"/>
          </m:rPr>
          <m:t>=</m:t>
        </m:r>
        <m:r>
          <m:t>6</m:t>
        </m:r>
      </m:oMath>
      <w:r>
        <w:t xml:space="preserve">,</w:t>
      </w:r>
      <w:r>
        <w:t xml:space="preserve"> </w:t>
      </w:r>
      <m:oMath>
        <m:sSub>
          <m:e>
            <m:r>
              <m:t>N</m:t>
            </m:r>
          </m:e>
          <m:sub>
            <m:r>
              <m:t>p</m:t>
            </m:r>
            <m:r>
              <m:t>k</m:t>
            </m:r>
          </m:sub>
        </m:sSub>
        <m:r>
          <m:rPr>
            <m:sty m:val="p"/>
          </m:rPr>
          <m:t>=</m:t>
        </m:r>
        <m:r>
          <m:t>2</m:t>
        </m:r>
      </m:oMath>
      <w:r>
        <w:t xml:space="preserve">,</w:t>
      </w:r>
      <w:r>
        <w:t xml:space="preserve"> </w:t>
      </w:r>
      <m:oMath>
        <m:sSub>
          <m:e>
            <m:r>
              <m:t>N</m:t>
            </m:r>
          </m:e>
          <m:sub>
            <m:r>
              <m:t>s</m:t>
            </m:r>
          </m:sub>
        </m:sSub>
        <m:r>
          <m:rPr>
            <m:sty m:val="p"/>
          </m:rPr>
          <m:t>=</m:t>
        </m:r>
        <m:r>
          <m:t>0</m:t>
        </m:r>
      </m:oMath>
      <w:r>
        <w:t xml:space="preserve">,</w:t>
      </w:r>
      <w:r>
        <w:t xml:space="preserve"> </w:t>
      </w:r>
      <m:oMath>
        <m:sSub>
          <m:e>
            <m:r>
              <m:t>t</m:t>
            </m:r>
          </m:e>
          <m:sub>
            <m:r>
              <m:rPr>
                <m:nor/>
                <m:sty m:val="p"/>
              </m:rPr>
              <m:t>avg</m:t>
            </m:r>
          </m:sub>
        </m:sSub>
        <m:r>
          <m:rPr>
            <m:sty m:val="p"/>
          </m:rPr>
          <m:t>=</m:t>
        </m:r>
        <m:r>
          <m:t>8</m:t>
        </m:r>
      </m:oMath>
      <w:r>
        <w:t xml:space="preserve"> </w:t>
      </w:r>
      <w:r>
        <w:t xml:space="preserve">B.</w:t>
      </w:r>
    </w:p>
    <w:p>
      <w:pPr>
        <w:numPr>
          <w:ilvl w:val="0"/>
          <w:numId w:val="1417"/>
        </w:numPr>
        <w:pStyle w:val="Compact"/>
      </w:pPr>
      <w:r>
        <w:t xml:space="preserve">Rows per day:</w:t>
      </w:r>
      <w:r>
        <w:t xml:space="preserve"> </w:t>
      </w:r>
      <m:oMath>
        <m:r>
          <m:t>86</m:t>
        </m:r>
        <m:r>
          <m:rPr>
            <m:sty m:val="p"/>
          </m:rPr>
          <m:t>,</m:t>
        </m:r>
        <m:r>
          <m:t>400</m:t>
        </m:r>
        <m:r>
          <m:rPr>
            <m:sty m:val="p"/>
          </m:rPr>
          <m:t>/</m:t>
        </m:r>
        <m:r>
          <m:t>10</m:t>
        </m:r>
        <m:r>
          <m:rPr>
            <m:sty m:val="p"/>
          </m:rPr>
          <m:t>=</m:t>
        </m:r>
        <m:r>
          <m:t>8</m:t>
        </m:r>
        <m:r>
          <m:rPr>
            <m:sty m:val="p"/>
          </m:rPr>
          <m:t>,</m:t>
        </m:r>
        <m:r>
          <m:t>640</m:t>
        </m:r>
      </m:oMath>
      <w:r>
        <w:t xml:space="preserve">.</w:t>
      </w:r>
    </w:p>
    <w:p>
      <w:pPr>
        <w:numPr>
          <w:ilvl w:val="0"/>
          <w:numId w:val="1417"/>
        </w:numPr>
        <w:pStyle w:val="Compact"/>
      </w:pPr>
      <w:r>
        <w:t xml:space="preserve">Cells:</w:t>
      </w:r>
      <w:r>
        <w:t xml:space="preserve"> </w:t>
      </w:r>
      <m:oMath>
        <m:sSub>
          <m:e>
            <m:r>
              <m:t>N</m:t>
            </m:r>
          </m:e>
          <m:sub>
            <m:r>
              <m:t>v</m:t>
            </m:r>
          </m:sub>
        </m:sSub>
        <m:r>
          <m:rPr>
            <m:sty m:val="p"/>
          </m:rPr>
          <m:t>=</m:t>
        </m:r>
        <m:r>
          <m:t>8</m:t>
        </m:r>
        <m:r>
          <m:rPr>
            <m:sty m:val="p"/>
          </m:rPr>
          <m:t>,</m:t>
        </m:r>
        <m:r>
          <m:t>640</m:t>
        </m:r>
        <m:r>
          <m:rPr>
            <m:sty m:val="p"/>
          </m:rPr>
          <m:t>×</m:t>
        </m:r>
        <m:d>
          <m:dPr>
            <m:begChr m:val="("/>
            <m:endChr m:val=")"/>
            <m:sepChr m:val=""/>
            <m:grow/>
          </m:dPr>
          <m:e>
            <m:r>
              <m:t>6</m:t>
            </m:r>
            <m:r>
              <m:rPr>
                <m:sty m:val="p"/>
              </m:rPr>
              <m:t>−</m:t>
            </m:r>
            <m:r>
              <m:t>2</m:t>
            </m:r>
            <m:r>
              <m:rPr>
                <m:sty m:val="p"/>
              </m:rPr>
              <m:t>−</m:t>
            </m:r>
            <m:r>
              <m:t>0</m:t>
            </m:r>
          </m:e>
        </m:d>
        <m:r>
          <m:rPr>
            <m:sty m:val="p"/>
          </m:rPr>
          <m:t>+</m:t>
        </m:r>
        <m:r>
          <m:t>0</m:t>
        </m:r>
        <m:r>
          <m:rPr>
            <m:sty m:val="p"/>
          </m:rPr>
          <m:t>=</m:t>
        </m:r>
        <m:r>
          <m:t>34</m:t>
        </m:r>
        <m:r>
          <m:rPr>
            <m:sty m:val="p"/>
          </m:rPr>
          <m:t>,</m:t>
        </m:r>
        <m:r>
          <m:t>560</m:t>
        </m:r>
      </m:oMath>
      <w:r>
        <w:t xml:space="preserve">.</w:t>
      </w:r>
    </w:p>
    <w:p>
      <w:pPr>
        <w:numPr>
          <w:ilvl w:val="0"/>
          <w:numId w:val="1417"/>
        </w:numPr>
        <w:pStyle w:val="Compact"/>
      </w:pPr>
      <w:r>
        <w:t xml:space="preserve">Size: partition key</w:t>
      </w:r>
      <w:r>
        <w:t xml:space="preserve"> </w:t>
      </w:r>
      <m:oMath>
        <m:r>
          <m:t>16</m:t>
        </m:r>
        <m:r>
          <m:rPr>
            <m:sty m:val="p"/>
          </m:rPr>
          <m:t>+</m:t>
        </m:r>
        <m:r>
          <m:t>4</m:t>
        </m:r>
        <m:r>
          <m:rPr>
            <m:sty m:val="p"/>
          </m:rPr>
          <m:t>=</m:t>
        </m:r>
        <m:r>
          <m:t>20</m:t>
        </m:r>
      </m:oMath>
      <w:r>
        <w:t xml:space="preserve"> </w:t>
      </w:r>
      <w:r>
        <w:t xml:space="preserve">B; per row regular + clustering</w:t>
      </w:r>
      <w:r>
        <w:t xml:space="preserve"> </w:t>
      </w:r>
      <m:oMath>
        <m:r>
          <m:rPr>
            <m:sty m:val="p"/>
          </m:rPr>
          <m:t>=</m:t>
        </m:r>
        <m:r>
          <m:t>12</m:t>
        </m:r>
        <m:r>
          <m:rPr>
            <m:sty m:val="p"/>
          </m:rPr>
          <m:t>+</m:t>
        </m:r>
        <m:r>
          <m:t>8</m:t>
        </m:r>
        <m:r>
          <m:rPr>
            <m:sty m:val="p"/>
          </m:rPr>
          <m:t>=</m:t>
        </m:r>
        <m:r>
          <m:t>20</m:t>
        </m:r>
      </m:oMath>
      <w:r>
        <w:t xml:space="preserve"> </w:t>
      </w:r>
      <w:r>
        <w:t xml:space="preserve">B; so</w:t>
      </w:r>
      <w:r>
        <w:t xml:space="preserve"> </w:t>
      </w:r>
      <m:oMath>
        <m:sSub>
          <m:e>
            <m:r>
              <m:t>S</m:t>
            </m:r>
          </m:e>
          <m:sub>
            <m:r>
              <m:t>t</m:t>
            </m:r>
          </m:sub>
        </m:sSub>
        <m:r>
          <m:rPr>
            <m:sty m:val="p"/>
          </m:rPr>
          <m:t>=</m:t>
        </m:r>
        <m:r>
          <m:t>20</m:t>
        </m:r>
        <m:r>
          <m:rPr>
            <m:sty m:val="p"/>
          </m:rPr>
          <m:t>+</m:t>
        </m:r>
        <m:r>
          <m:t>8</m:t>
        </m:r>
        <m:r>
          <m:rPr>
            <m:sty m:val="p"/>
          </m:rPr>
          <m:t>,</m:t>
        </m:r>
        <m:r>
          <m:t>640</m:t>
        </m:r>
        <m:r>
          <m:rPr>
            <m:sty m:val="p"/>
          </m:rPr>
          <m:t>×</m:t>
        </m:r>
        <m:r>
          <m:t>20</m:t>
        </m:r>
        <m:r>
          <m:rPr>
            <m:sty m:val="p"/>
          </m:rPr>
          <m:t>+</m:t>
        </m:r>
        <m:r>
          <m:t>34</m:t>
        </m:r>
        <m:r>
          <m:rPr>
            <m:sty m:val="p"/>
          </m:rPr>
          <m:t>,</m:t>
        </m:r>
        <m:r>
          <m:t>560</m:t>
        </m:r>
        <m:r>
          <m:rPr>
            <m:sty m:val="p"/>
          </m:rPr>
          <m:t>×</m:t>
        </m:r>
        <m:r>
          <m:t>8</m:t>
        </m:r>
        <m:r>
          <m:rPr>
            <m:sty m:val="p"/>
          </m:rPr>
          <m:t>=</m:t>
        </m:r>
        <m:r>
          <m:t>20</m:t>
        </m:r>
        <m:r>
          <m:rPr>
            <m:sty m:val="p"/>
          </m:rPr>
          <m:t>+</m:t>
        </m:r>
        <m:r>
          <m:t>172</m:t>
        </m:r>
        <m:r>
          <m:rPr>
            <m:sty m:val="p"/>
          </m:rPr>
          <m:t>,</m:t>
        </m:r>
        <m:r>
          <m:t>800</m:t>
        </m:r>
        <m:r>
          <m:rPr>
            <m:sty m:val="p"/>
          </m:rPr>
          <m:t>+</m:t>
        </m:r>
        <m:r>
          <m:t>276</m:t>
        </m:r>
        <m:r>
          <m:rPr>
            <m:sty m:val="p"/>
          </m:rPr>
          <m:t>,</m:t>
        </m:r>
        <m:r>
          <m:t>480</m:t>
        </m:r>
        <m:r>
          <m:rPr>
            <m:sty m:val="p"/>
          </m:rPr>
          <m:t>=</m:t>
        </m:r>
        <m:r>
          <m:t>449</m:t>
        </m:r>
        <m:r>
          <m:rPr>
            <m:sty m:val="p"/>
          </m:rPr>
          <m:t>,</m:t>
        </m:r>
        <m:r>
          <m:t>300</m:t>
        </m:r>
      </m:oMath>
      <w:r>
        <w:t xml:space="preserve"> </w:t>
      </w:r>
      <w:r>
        <w:t xml:space="preserve">B ≈</w:t>
      </w:r>
      <w:r>
        <w:t xml:space="preserve"> </w:t>
      </w:r>
      <w:r>
        <w:rPr>
          <w:bCs/>
          <w:b/>
        </w:rPr>
        <w:t xml:space="preserve">0.45 MB</w:t>
      </w:r>
      <w:r>
        <w:t xml:space="preserve">.</w:t>
      </w:r>
    </w:p>
    <w:p>
      <w:pPr>
        <w:numPr>
          <w:ilvl w:val="0"/>
          <w:numId w:val="1417"/>
        </w:numPr>
        <w:pStyle w:val="Compact"/>
      </w:pPr>
      <w:r>
        <w:t xml:space="preserve">Counterfactual — no</w:t>
      </w:r>
      <w:r>
        <w:t xml:space="preserve"> </w:t>
      </w:r>
      <w:r>
        <w:rPr>
          <w:rStyle w:val="VerbatimChar"/>
        </w:rPr>
        <w:t xml:space="preserve">day</w:t>
      </w:r>
      <w:r>
        <w:t xml:space="preserve"> </w:t>
      </w:r>
      <w:r>
        <w:t xml:space="preserve">bucket, one year of data:</w:t>
      </w:r>
      <w:r>
        <w:t xml:space="preserve"> </w:t>
      </w:r>
      <m:oMath>
        <m:sSub>
          <m:e>
            <m:r>
              <m:t>N</m:t>
            </m:r>
          </m:e>
          <m:sub>
            <m:r>
              <m:t>r</m:t>
            </m:r>
          </m:sub>
        </m:sSub>
        <m:r>
          <m:rPr>
            <m:sty m:val="p"/>
          </m:rPr>
          <m:t>=</m:t>
        </m:r>
        <m:r>
          <m:t>3</m:t>
        </m:r>
        <m:r>
          <m:rPr>
            <m:sty m:val="p"/>
          </m:rPr>
          <m:t>,</m:t>
        </m:r>
        <m:r>
          <m:t>153</m:t>
        </m:r>
        <m:r>
          <m:rPr>
            <m:sty m:val="p"/>
          </m:rPr>
          <m:t>,</m:t>
        </m:r>
        <m:r>
          <m:t>600</m:t>
        </m:r>
      </m:oMath>
      <w:r>
        <w:t xml:space="preserve">,</w:t>
      </w:r>
      <w:r>
        <w:t xml:space="preserve"> </w:t>
      </w:r>
      <m:oMath>
        <m:sSub>
          <m:e>
            <m:r>
              <m:t>N</m:t>
            </m:r>
          </m:e>
          <m:sub>
            <m:r>
              <m:t>v</m:t>
            </m:r>
          </m:sub>
        </m:sSub>
        <m:r>
          <m:rPr>
            <m:sty m:val="p"/>
          </m:rPr>
          <m:t>=</m:t>
        </m:r>
        <m:r>
          <m:t>12</m:t>
        </m:r>
        <m:r>
          <m:rPr>
            <m:sty m:val="p"/>
          </m:rPr>
          <m:t>,</m:t>
        </m:r>
        <m:r>
          <m:t>614</m:t>
        </m:r>
        <m:r>
          <m:rPr>
            <m:sty m:val="p"/>
          </m:rPr>
          <m:t>,</m:t>
        </m:r>
        <m:r>
          <m:t>400</m:t>
        </m:r>
      </m:oMath>
      <w:r>
        <w:t xml:space="preserve">,</w:t>
      </w:r>
      <w:r>
        <w:t xml:space="preserve"> </w:t>
      </w:r>
      <m:oMath>
        <m:sSub>
          <m:e>
            <m:r>
              <m:t>S</m:t>
            </m:r>
          </m:e>
          <m:sub>
            <m:r>
              <m:t>t</m:t>
            </m:r>
          </m:sub>
        </m:sSub>
        <m:r>
          <m:rPr>
            <m:sty m:val="p"/>
          </m:rPr>
          <m:t>≈</m:t>
        </m:r>
        <m:r>
          <m:t>63.1</m:t>
        </m:r>
        <m:r>
          <m:rPr>
            <m:sty m:val="p"/>
          </m:rPr>
          <m:t>+</m:t>
        </m:r>
        <m:r>
          <m:t>100.9</m:t>
        </m:r>
        <m:r>
          <m:rPr>
            <m:sty m:val="p"/>
          </m:rPr>
          <m:t>=</m:t>
        </m:r>
        <m:r>
          <m:t>164</m:t>
        </m:r>
      </m:oMath>
      <w:r>
        <w:t xml:space="preserve"> </w:t>
      </w:r>
      <w:r>
        <w:t xml:space="preserve">MB, and still growing.</w:t>
      </w:r>
    </w:p>
    <w:p>
      <w:pPr>
        <w:numPr>
          <w:ilvl w:val="0"/>
          <w:numId w:val="1417"/>
        </w:numPr>
        <w:pStyle w:val="Compact"/>
      </w:pPr>
      <w:r>
        <w:t xml:space="preserve">Cluster:</w:t>
      </w:r>
      <w:r>
        <w:t xml:space="preserve"> </w:t>
      </w:r>
      <m:oMath>
        <m:sSup>
          <m:e>
            <m:r>
              <m:t>10</m:t>
            </m:r>
          </m:e>
          <m:sup>
            <m:r>
              <m:t>6</m:t>
            </m:r>
          </m:sup>
        </m:sSup>
      </m:oMath>
      <w:r>
        <w:t xml:space="preserve"> </w:t>
      </w:r>
      <w:r>
        <w:t xml:space="preserve">sensors × 0.45 MB/day × RF 3 ≈</w:t>
      </w:r>
      <w:r>
        <w:t xml:space="preserve"> </w:t>
      </w:r>
      <w:r>
        <w:rPr>
          <w:bCs/>
          <w:b/>
        </w:rPr>
        <w:t xml:space="preserve">1.35 TB/day</w:t>
      </w:r>
      <w:r>
        <w:t xml:space="preserve"> </w:t>
      </w:r>
      <w:r>
        <w:t xml:space="preserve">uncompressed; about 121 TB at the 90-day TTL.</w:t>
      </w:r>
    </w:p>
    <w:p>
      <w:pPr>
        <w:pStyle w:val="CalloutExample"/>
      </w:pPr>
      <w:r>
        <w:rPr>
          <w:bCs/>
          <w:b/>
        </w:rPr>
        <w:t xml:space="preserve">Interpretation.</w:t>
      </w:r>
      <w:r>
        <w:t xml:space="preserve"> </w:t>
      </w:r>
      <w:r>
        <w:t xml:space="preserve">Daily buckets keep partitions near 0.45 MB, far below the widely cited guidance of about 100 MB (and the hard limit of two billion cells); the unbucketed design passes 100 MB within a year and keeps growing. Per-cell metadata is 61 % of the bucketed size.</w:t>
      </w:r>
    </w:p>
    <w:p>
      <w:pPr>
        <w:pStyle w:val="CalloutExample"/>
      </w:pPr>
      <w:r>
        <w:rPr>
          <w:bCs/>
          <w:b/>
        </w:rPr>
        <w:t xml:space="preserve">Engineering implication.</w:t>
      </w:r>
      <w:r>
        <w:t xml:space="preserve"> </w:t>
      </w:r>
      <w:r>
        <w:t xml:space="preserve">Size buckets to what one query reads:</w:t>
      </w:r>
      <w:r>
        <w:t xml:space="preserve"> </w:t>
      </w:r>
      <w:r>
        <w:t xml:space="preserve">“</w:t>
      </w:r>
      <w:r>
        <w:t xml:space="preserve">last 7 days</w:t>
      </w:r>
      <w:r>
        <w:t xml:space="preserve">”</w:t>
      </w:r>
      <w:r>
        <w:t xml:space="preserve"> </w:t>
      </w:r>
      <w:r>
        <w:t xml:space="preserve">reads 7 partitions in parallel, which is fine. Use the uncompressed estimate as the safe bound.</w:t>
      </w:r>
    </w:p>
    <w:bookmarkStart w:id="1365" w:name="real-world-industry-applications-24"/>
    <w:p>
      <w:pPr>
        <w:pStyle w:val="Heading4"/>
      </w:pPr>
      <w:r>
        <w:t xml:space="preserve">Real-world industry applications</w:t>
      </w:r>
    </w:p>
    <w:p>
      <w:pPr>
        <w:pStyle w:val="CalloutIndustry"/>
      </w:pPr>
      <w:r>
        <w:rPr>
          <w:bCs/>
          <w:b/>
        </w:rPr>
        <w:t xml:space="preserve">INDUSTRY EXAMPLE</w:t>
      </w:r>
    </w:p>
    <w:p>
      <w:pPr>
        <w:pStyle w:val="CalloutIndustry"/>
      </w:pPr>
      <w:r>
        <w:rPr>
          <w:bCs/>
          <w:b/>
        </w:rPr>
        <w:t xml:space="preserve">Discord’s message store.</w:t>
      </w:r>
      <w:r>
        <w:t xml:space="preserve"> </w:t>
      </w:r>
      <w:r>
        <w:t xml:space="preserve">Discord stored messages in Cassandra with primary key</w:t>
      </w:r>
      <w:r>
        <w:t xml:space="preserve"> </w:t>
      </w:r>
      <w:r>
        <w:rPr>
          <w:rStyle w:val="VerbatimChar"/>
        </w:rPr>
        <w:t xml:space="preserve">((channel_id, bucket), message_id)</w:t>
      </w:r>
      <w:r>
        <w:t xml:space="preserve"> </w:t>
      </w:r>
      <w:r>
        <w:t xml:space="preserve">— a fixed time bucket and a time-ordered Snowflake ID — so recent messages are one partition slice. Its 2017 post covers bucketing, tombstones and hot partitions; a 2023 post covers migrating trillions of messages to ScyllaDB, a C++ Cassandra-compatible database, to cut tail latency.</w:t>
      </w:r>
      <w:r>
        <w:t xml:space="preserve"> </w:t>
      </w:r>
      <w:r>
        <w:rPr>
          <w:iCs/>
          <w:i/>
        </w:rPr>
        <w:t xml:space="preserve">Evidence: Primary</w:t>
      </w:r>
      <w:r>
        <w:t xml:space="preserve"> </w:t>
      </w:r>
      <w:r>
        <w:t xml:space="preserve">— [Discord 2017; Discord 2023]</w:t>
      </w:r>
    </w:p>
    <w:bookmarkEnd w:id="1365"/>
    <w:bookmarkStart w:id="1366" w:name="advantages-and-disadvantages-10"/>
    <w:p>
      <w:pPr>
        <w:pStyle w:val="Heading4"/>
      </w:pPr>
      <w:r>
        <w:t xml:space="preserve">Advantages and disadvantages</w:t>
      </w:r>
    </w:p>
    <w:p>
      <w:pPr>
        <w:numPr>
          <w:ilvl w:val="0"/>
          <w:numId w:val="1418"/>
        </w:numPr>
        <w:pStyle w:val="Compact"/>
      </w:pPr>
      <w:r>
        <w:rPr>
          <w:bCs/>
          <w:b/>
        </w:rPr>
        <w:t xml:space="preserve">Advantages:</w:t>
      </w:r>
      <w:r>
        <w:t xml:space="preserve"> </w:t>
      </w:r>
      <w:r>
        <w:t xml:space="preserve">linear write scaling; masterless, no single point of failure (Cassandra); built-in multi-datacenter replication; per-request consistency; fast time-ordered slices.</w:t>
      </w:r>
    </w:p>
    <w:p>
      <w:pPr>
        <w:numPr>
          <w:ilvl w:val="0"/>
          <w:numId w:val="1418"/>
        </w:numPr>
        <w:pStyle w:val="Compact"/>
      </w:pPr>
      <w:r>
        <w:rPr>
          <w:bCs/>
          <w:b/>
        </w:rPr>
        <w:t xml:space="preserve">Disadvantages:</w:t>
      </w:r>
      <w:r>
        <w:t xml:space="preserve"> </w:t>
      </w:r>
      <w:r>
        <w:t xml:space="preserve">one table per query multiplies writes; no joins; secondary indexes fan out (Cassandra 5.0’s Storage-Attached Indexes help); tombstones; last-write-wins drops concurrent updates; repair and compaction need skill.</w:t>
      </w:r>
    </w:p>
    <w:bookmarkEnd w:id="1366"/>
    <w:bookmarkStart w:id="1367" w:name="failure-scenarios-29"/>
    <w:p>
      <w:pPr>
        <w:pStyle w:val="Heading4"/>
      </w:pPr>
      <w:r>
        <w:t xml:space="preserve">Failure scenarios</w:t>
      </w:r>
    </w:p>
    <w:p>
      <w:pPr>
        <w:pStyle w:val="FirstParagraph"/>
      </w:pPr>
      <w:r>
        <w:rPr>
          <w:bCs/>
          <w:b/>
        </w:rPr>
        <w:t xml:space="preserve">Table 12.8 — Wide-column store 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Read timeouts on one partition</w:t>
            </w:r>
          </w:p>
        </w:tc>
        <w:tc>
          <w:tcPr/>
          <w:p>
            <w:pPr>
              <w:pStyle w:val="Compact"/>
              <w:jc w:val="left"/>
            </w:pPr>
            <w:r>
              <w:t xml:space="preserve">Large or hot partition; one key gets most traffic</w:t>
            </w:r>
          </w:p>
        </w:tc>
        <w:tc>
          <w:tcPr/>
          <w:p>
            <w:pPr>
              <w:pStyle w:val="Compact"/>
              <w:jc w:val="left"/>
            </w:pPr>
            <w:r>
              <w:t xml:space="preserve">Partition-size histograms; per-node latency skew</w:t>
            </w:r>
          </w:p>
        </w:tc>
        <w:tc>
          <w:tcPr/>
          <w:p>
            <w:pPr>
              <w:pStyle w:val="Compact"/>
              <w:jc w:val="left"/>
            </w:pPr>
            <w:r>
              <w:t xml:space="preserve">Re-model with buckets; migrate data</w:t>
            </w:r>
          </w:p>
        </w:tc>
        <w:tc>
          <w:tcPr/>
          <w:p>
            <w:pPr>
              <w:pStyle w:val="Compact"/>
              <w:jc w:val="left"/>
            </w:pPr>
            <w:r>
              <w:t xml:space="preserve">Size partitions with</w:t>
            </w:r>
            <w:r>
              <w:t xml:space="preserve"> </w:t>
            </w:r>
            <m:oMath>
              <m:sSub>
                <m:e>
                  <m:r>
                    <m:t>S</m:t>
                  </m:r>
                </m:e>
                <m:sub>
                  <m:r>
                    <m:t>t</m:t>
                  </m:r>
                </m:sub>
              </m:sSub>
            </m:oMath>
            <w:r>
              <w:t xml:space="preserve">; bounded buckets</w:t>
            </w:r>
          </w:p>
        </w:tc>
      </w:tr>
      <w:tr>
        <w:tc>
          <w:tcPr/>
          <w:p>
            <w:pPr>
              <w:pStyle w:val="Compact"/>
              <w:jc w:val="left"/>
            </w:pPr>
            <w:r>
              <w:t xml:space="preserve">Queries fail on tombstones</w:t>
            </w:r>
          </w:p>
        </w:tc>
        <w:tc>
          <w:tcPr/>
          <w:p>
            <w:pPr>
              <w:pStyle w:val="Compact"/>
              <w:jc w:val="left"/>
            </w:pPr>
            <w:r>
              <w:t xml:space="preserve">Delete-heavy or queue-like table; scans pass many tombstones</w:t>
            </w:r>
          </w:p>
        </w:tc>
        <w:tc>
          <w:tcPr/>
          <w:p>
            <w:pPr>
              <w:pStyle w:val="Compact"/>
              <w:jc w:val="left"/>
            </w:pPr>
            <w:r>
              <w:t xml:space="preserve">Tombstone warnings (default warn at 1,000, fail at 100,000 per query)</w:t>
            </w:r>
          </w:p>
        </w:tc>
        <w:tc>
          <w:tcPr/>
          <w:p>
            <w:pPr>
              <w:pStyle w:val="Compact"/>
              <w:jc w:val="left"/>
            </w:pPr>
            <w:r>
              <w:t xml:space="preserve">Compact; change model</w:t>
            </w:r>
          </w:p>
        </w:tc>
        <w:tc>
          <w:tcPr/>
          <w:p>
            <w:pPr>
              <w:pStyle w:val="Compact"/>
              <w:jc w:val="left"/>
            </w:pPr>
            <w:r>
              <w:t xml:space="preserve">Avoid queue patterns; use TTL with time-window compaction</w:t>
            </w:r>
          </w:p>
        </w:tc>
      </w:tr>
      <w:tr>
        <w:tc>
          <w:tcPr/>
          <w:p>
            <w:pPr>
              <w:pStyle w:val="Compact"/>
              <w:jc w:val="left"/>
            </w:pPr>
            <w:r>
              <w:t xml:space="preserve">Deleted data reappears</w:t>
            </w:r>
          </w:p>
        </w:tc>
        <w:tc>
          <w:tcPr/>
          <w:p>
            <w:pPr>
              <w:pStyle w:val="Compact"/>
              <w:jc w:val="left"/>
            </w:pPr>
            <w:r>
              <w:t xml:space="preserve">Node down longer than</w:t>
            </w:r>
            <w:r>
              <w:t xml:space="preserve"> </w:t>
            </w:r>
            <w:r>
              <w:rPr>
                <w:rStyle w:val="VerbatimChar"/>
              </w:rPr>
              <w:t xml:space="preserve">gc_grace_seconds</w:t>
            </w:r>
            <w:r>
              <w:t xml:space="preserve"> </w:t>
            </w:r>
            <w:r>
              <w:t xml:space="preserve">(default 10 days) missed the tombstone</w:t>
            </w:r>
          </w:p>
        </w:tc>
        <w:tc>
          <w:tcPr/>
          <w:p>
            <w:pPr>
              <w:pStyle w:val="Compact"/>
              <w:jc w:val="left"/>
            </w:pPr>
            <w:r>
              <w:t xml:space="preserve">Zombie rows after node return</w:t>
            </w:r>
          </w:p>
        </w:tc>
        <w:tc>
          <w:tcPr/>
          <w:p>
            <w:pPr>
              <w:pStyle w:val="Compact"/>
              <w:jc w:val="left"/>
            </w:pPr>
            <w:r>
              <w:t xml:space="preserve">Rebuild the node rather than rejoining it</w:t>
            </w:r>
          </w:p>
        </w:tc>
        <w:tc>
          <w:tcPr/>
          <w:p>
            <w:pPr>
              <w:pStyle w:val="Compact"/>
              <w:jc w:val="left"/>
            </w:pPr>
            <w:r>
              <w:t xml:space="preserve">Run repair within the grace period</w:t>
            </w:r>
          </w:p>
        </w:tc>
      </w:tr>
      <w:tr>
        <w:tc>
          <w:tcPr/>
          <w:p>
            <w:pPr>
              <w:pStyle w:val="Compact"/>
              <w:jc w:val="left"/>
            </w:pPr>
            <w:r>
              <w:t xml:space="preserve">Lost concurrent update</w:t>
            </w:r>
          </w:p>
        </w:tc>
        <w:tc>
          <w:tcPr/>
          <w:p>
            <w:pPr>
              <w:pStyle w:val="Compact"/>
              <w:jc w:val="left"/>
            </w:pPr>
            <w:r>
              <w:t xml:space="preserve">Last-write-wins on cell timestamps; client clock skew</w:t>
            </w:r>
          </w:p>
        </w:tc>
        <w:tc>
          <w:tcPr/>
          <w:p>
            <w:pPr>
              <w:pStyle w:val="Compact"/>
              <w:jc w:val="left"/>
            </w:pPr>
            <w:r>
              <w:t xml:space="preserve">Application-level audits</w:t>
            </w:r>
          </w:p>
        </w:tc>
        <w:tc>
          <w:tcPr/>
          <w:p>
            <w:pPr>
              <w:pStyle w:val="Compact"/>
              <w:jc w:val="left"/>
            </w:pPr>
            <w:r>
              <w:t xml:space="preserve">Re-apply from source</w:t>
            </w:r>
          </w:p>
        </w:tc>
        <w:tc>
          <w:tcPr/>
          <w:p>
            <w:pPr>
              <w:pStyle w:val="Compact"/>
              <w:jc w:val="left"/>
            </w:pPr>
            <w:r>
              <w:t xml:space="preserve">Lightweight transactions (Paxos) for conditional writes; synchronized clocks</w:t>
            </w:r>
          </w:p>
        </w:tc>
      </w:tr>
    </w:tbl>
    <w:bookmarkEnd w:id="1367"/>
    <w:bookmarkStart w:id="1368" w:name="common-misconceptions-26"/>
    <w:p>
      <w:pPr>
        <w:pStyle w:val="Heading4"/>
      </w:pPr>
      <w:r>
        <w:t xml:space="preserve">Common misconceptions</w:t>
      </w:r>
    </w:p>
    <w:p>
      <w:pPr>
        <w:pStyle w:val="CalloutMistake"/>
      </w:pPr>
      <w:r>
        <w:rPr>
          <w:bCs/>
          <w:b/>
        </w:rPr>
        <w:t xml:space="preserve">COMMON MISTAKE</w:t>
      </w:r>
    </w:p>
    <w:p>
      <w:pPr>
        <w:pStyle w:val="CalloutMistake"/>
      </w:pPr>
      <w:r>
        <w:rPr>
          <w:bCs/>
          <w:b/>
        </w:rPr>
        <w:t xml:space="preserve">“</w:t>
      </w:r>
      <w:r>
        <w:rPr>
          <w:bCs/>
          <w:b/>
        </w:rPr>
        <w:t xml:space="preserve">Cassandra is eventually consistent, so it cannot hold anything important.</w:t>
      </w:r>
      <w:r>
        <w:rPr>
          <w:bCs/>
          <w:b/>
        </w:rPr>
        <w:t xml:space="preserve">”</w:t>
      </w:r>
      <w:r>
        <w:t xml:space="preserve"> </w:t>
      </w:r>
      <w:r>
        <w:t xml:space="preserve">Consistency is per request:</w:t>
      </w:r>
      <w:r>
        <w:t xml:space="preserve"> </w:t>
      </w:r>
      <w:r>
        <w:rPr>
          <w:rStyle w:val="VerbatimChar"/>
        </w:rPr>
        <w:t xml:space="preserve">QUORUM</w:t>
      </w:r>
      <w:r>
        <w:t xml:space="preserve"> </w:t>
      </w:r>
      <w:r>
        <w:t xml:space="preserve">reads and writes with RF = 3 return the latest acknowledged value in normal operation, and lightweight transactions (</w:t>
      </w:r>
      <w:r>
        <w:rPr>
          <w:rStyle w:val="VerbatimChar"/>
        </w:rPr>
        <w:t xml:space="preserve">IF NOT EXISTS</w:t>
      </w:r>
      <w:r>
        <w:t xml:space="preserve">) give linearizable compare-and-set within a partition. What Cassandra lacks is multi-partition transactions (§25.10).</w:t>
      </w:r>
    </w:p>
    <w:bookmarkEnd w:id="1368"/>
    <w:bookmarkEnd w:id="1369"/>
    <w:bookmarkEnd w:id="1370"/>
    <w:bookmarkStart w:id="1384" w:name="graph-databases"/>
    <w:p>
      <w:pPr>
        <w:pStyle w:val="Heading2"/>
      </w:pPr>
      <w:r>
        <w:t xml:space="preserve">12.7 Graph databases</w:t>
      </w:r>
    </w:p>
    <w:bookmarkStart w:id="1376" w:name="property-graphs-and-rdf"/>
    <w:p>
      <w:pPr>
        <w:pStyle w:val="Heading3"/>
      </w:pPr>
      <w:r>
        <w:t xml:space="preserve">12.7.1 Property graphs and RDF</w:t>
      </w:r>
    </w:p>
    <w:p>
      <w:pPr>
        <w:pStyle w:val="CalloutDefinition"/>
      </w:pPr>
      <w:r>
        <w:rPr>
          <w:bCs/>
          <w:b/>
        </w:rPr>
        <w:t xml:space="preserve">DEFINITION</w:t>
      </w:r>
    </w:p>
    <w:p>
      <w:pPr>
        <w:pStyle w:val="CalloutDefinition"/>
      </w:pPr>
      <w:r>
        <w:rPr>
          <w:bCs/>
          <w:b/>
        </w:rPr>
        <w:t xml:space="preserve">Definition — Graph database.</w:t>
      </w:r>
      <w:r>
        <w:t xml:space="preserve"> </w:t>
      </w:r>
      <w:r>
        <w:t xml:space="preserve">A database whose data model is a graph of</w:t>
      </w:r>
      <w:r>
        <w:t xml:space="preserve"> </w:t>
      </w:r>
      <w:r>
        <w:rPr>
          <w:bCs/>
          <w:b/>
        </w:rPr>
        <w:t xml:space="preserve">vertices</w:t>
      </w:r>
      <w:r>
        <w:t xml:space="preserve"> </w:t>
      </w:r>
      <w:r>
        <w:t xml:space="preserve">(nodes) and</w:t>
      </w:r>
      <w:r>
        <w:t xml:space="preserve"> </w:t>
      </w:r>
      <w:r>
        <w:rPr>
          <w:bCs/>
          <w:b/>
        </w:rPr>
        <w:t xml:space="preserve">edges</w:t>
      </w:r>
      <w:r>
        <w:t xml:space="preserve"> </w:t>
      </w:r>
      <w:r>
        <w:t xml:space="preserve">(relationships), optimized for traversing edges. In the</w:t>
      </w:r>
      <w:r>
        <w:t xml:space="preserve"> </w:t>
      </w:r>
      <w:r>
        <w:rPr>
          <w:bCs/>
          <w:b/>
        </w:rPr>
        <w:t xml:space="preserve">property graph</w:t>
      </w:r>
      <w:r>
        <w:t xml:space="preserve"> </w:t>
      </w:r>
      <w:r>
        <w:t xml:space="preserve">model, nodes carry labels, edges carry a type and a direction, and both carry key-value properties. In the</w:t>
      </w:r>
      <w:r>
        <w:t xml:space="preserve"> </w:t>
      </w:r>
      <w:r>
        <w:rPr>
          <w:bCs/>
          <w:b/>
        </w:rPr>
        <w:t xml:space="preserve">RDF</w:t>
      </w:r>
      <w:r>
        <w:t xml:space="preserve"> </w:t>
      </w:r>
      <w:r>
        <w:t xml:space="preserve">model, all data is a set of subject–predicate–object</w:t>
      </w:r>
      <w:r>
        <w:t xml:space="preserve"> </w:t>
      </w:r>
      <w:r>
        <w:rPr>
          <w:bCs/>
          <w:b/>
        </w:rPr>
        <w:t xml:space="preserve">triples</w:t>
      </w:r>
      <w:r>
        <w:t xml:space="preserve">.</w:t>
      </w:r>
    </w:p>
    <w:bookmarkStart w:id="1371" w:name="first-principles-explanation-76"/>
    <w:p>
      <w:pPr>
        <w:pStyle w:val="Heading4"/>
      </w:pPr>
      <w:r>
        <w:t xml:space="preserve">First-principles explanation</w:t>
      </w:r>
    </w:p>
    <w:p>
      <w:pPr>
        <w:pStyle w:val="FirstParagraph"/>
      </w:pPr>
      <w:r>
        <w:t xml:space="preserve">Asked</w:t>
      </w:r>
      <w:r>
        <w:t xml:space="preserve"> </w:t>
      </w:r>
      <w:r>
        <w:t xml:space="preserve">“</w:t>
      </w:r>
      <w:r>
        <w:t xml:space="preserve">who knows someone who knows a cardiologist?</w:t>
      </w:r>
      <w:r>
        <w:t xml:space="preserve">”</w:t>
      </w:r>
      <w:r>
        <w:t xml:space="preserve">, you think of your friends and theirs — you never consult a city-wide list of friendships. A graph database stores each node with direct links to its neighbors, so a neighborhood question costs time proportional to the neighborhood, not the population.</w:t>
      </w:r>
    </w:p>
    <w:bookmarkEnd w:id="1371"/>
    <w:bookmarkStart w:id="1375" w:name="why-does-this-exist-44"/>
    <w:p>
      <w:pPr>
        <w:pStyle w:val="Heading4"/>
      </w:pPr>
      <w:r>
        <w:t xml:space="preserve">Why does this exist?</w:t>
      </w:r>
    </w:p>
    <w:p>
      <w:pPr>
        <w:pStyle w:val="FirstParagraph"/>
      </w:pPr>
      <w:r>
        <w:t xml:space="preserve">Some domains are mostly relationships: social networks, fraud rings, access-control hierarchies, knowledge graphs. In SQL each hop is a join, and a question of unknown depth needs a recursive common table expression with hard-to-predict cost. Graph databases make traversal the primitive.</w:t>
      </w:r>
    </w:p>
    <w:p>
      <w:pPr>
        <w:pStyle w:val="BodyText"/>
      </w:pPr>
      <w:r>
        <w:rPr>
          <w:bCs/>
          <w:b/>
        </w:rPr>
        <w:t xml:space="preserve">Table 12.9 — Property graph versus RDF.</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Property graph</w:t>
            </w:r>
          </w:p>
        </w:tc>
        <w:tc>
          <w:tcPr/>
          <w:p>
            <w:pPr>
              <w:pStyle w:val="Compact"/>
              <w:jc w:val="left"/>
            </w:pPr>
            <w:r>
              <w:t xml:space="preserve">RDF</w:t>
            </w:r>
          </w:p>
        </w:tc>
      </w:tr>
      <w:tr>
        <w:tc>
          <w:tcPr/>
          <w:p>
            <w:pPr>
              <w:pStyle w:val="Compact"/>
              <w:jc w:val="left"/>
            </w:pPr>
            <w:r>
              <w:t xml:space="preserve">Unit of data</w:t>
            </w:r>
          </w:p>
        </w:tc>
        <w:tc>
          <w:tcPr/>
          <w:p>
            <w:pPr>
              <w:pStyle w:val="Compact"/>
              <w:jc w:val="left"/>
            </w:pPr>
            <w:r>
              <w:t xml:space="preserve">Nodes and edges with properties</w:t>
            </w:r>
          </w:p>
        </w:tc>
        <w:tc>
          <w:tcPr/>
          <w:p>
            <w:pPr>
              <w:pStyle w:val="Compact"/>
              <w:jc w:val="left"/>
            </w:pPr>
            <w:r>
              <w:t xml:space="preserve">Triples (subject, predicate, object)</w:t>
            </w:r>
          </w:p>
        </w:tc>
      </w:tr>
      <w:tr>
        <w:tc>
          <w:tcPr/>
          <w:p>
            <w:pPr>
              <w:pStyle w:val="Compact"/>
              <w:jc w:val="left"/>
            </w:pPr>
            <w:r>
              <w:t xml:space="preserve">Edge properties</w:t>
            </w:r>
          </w:p>
        </w:tc>
        <w:tc>
          <w:tcPr/>
          <w:p>
            <w:pPr>
              <w:pStyle w:val="Compact"/>
              <w:jc w:val="left"/>
            </w:pPr>
            <w:r>
              <w:t xml:space="preserve">Native</w:t>
            </w:r>
          </w:p>
        </w:tc>
        <w:tc>
          <w:tcPr/>
          <w:p>
            <w:pPr>
              <w:pStyle w:val="Compact"/>
              <w:jc w:val="left"/>
            </w:pPr>
            <w:r>
              <w:t xml:space="preserve">Need reification or RDF-star</w:t>
            </w:r>
          </w:p>
        </w:tc>
      </w:tr>
      <w:tr>
        <w:tc>
          <w:tcPr/>
          <w:p>
            <w:pPr>
              <w:pStyle w:val="Compact"/>
              <w:jc w:val="left"/>
            </w:pPr>
            <w:r>
              <w:t xml:space="preserve">Identifiers</w:t>
            </w:r>
          </w:p>
        </w:tc>
        <w:tc>
          <w:tcPr/>
          <w:p>
            <w:pPr>
              <w:pStyle w:val="Compact"/>
              <w:jc w:val="left"/>
            </w:pPr>
            <w:r>
              <w:t xml:space="preserve">Database-internal IDs</w:t>
            </w:r>
          </w:p>
        </w:tc>
        <w:tc>
          <w:tcPr/>
          <w:p>
            <w:pPr>
              <w:pStyle w:val="Compact"/>
              <w:jc w:val="left"/>
            </w:pPr>
            <w:r>
              <w:t xml:space="preserve">Global IRIs, mergeable across datasets</w:t>
            </w:r>
          </w:p>
        </w:tc>
      </w:tr>
      <w:tr>
        <w:tc>
          <w:tcPr/>
          <w:p>
            <w:pPr>
              <w:pStyle w:val="Compact"/>
              <w:jc w:val="left"/>
            </w:pPr>
            <w:r>
              <w:t xml:space="preserve">Query languages</w:t>
            </w:r>
          </w:p>
        </w:tc>
        <w:tc>
          <w:tcPr/>
          <w:p>
            <w:pPr>
              <w:pStyle w:val="Compact"/>
              <w:jc w:val="left"/>
            </w:pPr>
            <w:r>
              <w:t xml:space="preserve">Cypher / openCypher, Gremlin, GQL (ISO/IEC 39075:2024)</w:t>
            </w:r>
          </w:p>
        </w:tc>
        <w:tc>
          <w:tcPr/>
          <w:p>
            <w:pPr>
              <w:pStyle w:val="Compact"/>
              <w:jc w:val="left"/>
            </w:pPr>
            <w:r>
              <w:t xml:space="preserve">SPARQL (W3C)</w:t>
            </w:r>
          </w:p>
        </w:tc>
      </w:tr>
      <w:tr>
        <w:tc>
          <w:tcPr/>
          <w:p>
            <w:pPr>
              <w:pStyle w:val="Compact"/>
              <w:jc w:val="left"/>
            </w:pPr>
            <w:r>
              <w:t xml:space="preserve">Schema and reasoning</w:t>
            </w:r>
          </w:p>
        </w:tc>
        <w:tc>
          <w:tcPr/>
          <w:p>
            <w:pPr>
              <w:pStyle w:val="Compact"/>
              <w:jc w:val="left"/>
            </w:pPr>
            <w:r>
              <w:t xml:space="preserve">Optional constraints</w:t>
            </w:r>
          </w:p>
        </w:tc>
        <w:tc>
          <w:tcPr/>
          <w:p>
            <w:pPr>
              <w:pStyle w:val="Compact"/>
              <w:jc w:val="left"/>
            </w:pPr>
            <w:r>
              <w:t xml:space="preserve">Ontologies (RDFS, OWL) and inference</w:t>
            </w:r>
          </w:p>
        </w:tc>
      </w:tr>
      <w:tr>
        <w:tc>
          <w:tcPr/>
          <w:p>
            <w:pPr>
              <w:pStyle w:val="Compact"/>
              <w:jc w:val="left"/>
            </w:pPr>
            <w:r>
              <w:t xml:space="preserve">Typical systems</w:t>
            </w:r>
          </w:p>
        </w:tc>
        <w:tc>
          <w:tcPr/>
          <w:p>
            <w:pPr>
              <w:pStyle w:val="Compact"/>
              <w:jc w:val="left"/>
            </w:pPr>
            <w:r>
              <w:t xml:space="preserve">Neo4j, Memgraph, TigerGraph, Amazon Neptune</w:t>
            </w:r>
          </w:p>
        </w:tc>
        <w:tc>
          <w:tcPr/>
          <w:p>
            <w:pPr>
              <w:pStyle w:val="Compact"/>
              <w:jc w:val="left"/>
            </w:pPr>
            <w:r>
              <w:t xml:space="preserve">Amazon Neptune, GraphDB, Apache Jena, Virtuoso</w:t>
            </w:r>
          </w:p>
        </w:tc>
      </w:tr>
    </w:tbl>
    <w:p>
      <w:pPr>
        <w:pStyle w:val="BodyText"/>
      </w:pPr>
      <w:r>
        <w:t xml:space="preserve">[W3C 2014; ISO 2024; Robinson et al. 2015]</w:t>
      </w:r>
    </w:p>
    <w:p>
      <w:pPr>
        <w:pStyle w:val="BodyText"/>
      </w:pPr>
      <w:r>
        <w:rPr>
          <w:bCs/>
          <w:b/>
        </w:rPr>
        <w:t xml:space="preserve">Figure 12.7 — A property graph for fraud and social queries.</w:t>
      </w:r>
    </w:p>
    <w:p>
      <w:pPr>
        <w:pStyle w:val="BodyText"/>
      </w:pPr>
      <w:r>
        <w:drawing>
          <wp:inline>
            <wp:extent cx="5334000" cy="1573043"/>
            <wp:effectExtent b="0" l="0" r="0" t="0"/>
            <wp:docPr descr="" title="" id="1373" name="Picture"/>
            <a:graphic>
              <a:graphicData uri="http://schemas.openxmlformats.org/drawingml/2006/picture">
                <pic:pic>
                  <pic:nvPicPr>
                    <pic:cNvPr descr="/home/user/System-Design/build/.cache/diagrams/a5c2465542e4.png" id="1374" name="Picture"/>
                    <pic:cNvPicPr>
                      <a:picLocks noChangeArrowheads="1" noChangeAspect="1"/>
                    </pic:cNvPicPr>
                  </pic:nvPicPr>
                  <pic:blipFill>
                    <a:blip r:embed="rId1372"/>
                    <a:stretch>
                      <a:fillRect/>
                    </a:stretch>
                  </pic:blipFill>
                  <pic:spPr bwMode="auto">
                    <a:xfrm>
                      <a:off x="0" y="0"/>
                      <a:ext cx="5334000" cy="1573043"/>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Shapes here distinguish node labels (people, device, accounts, company), not the book’s infrastructure legend. Each arrow is a typed, directed relationship that may carry properties (</w:t>
      </w:r>
      <w:r>
        <w:rPr>
          <w:rStyle w:val="VerbatimChar"/>
        </w:rPr>
        <w:t xml:space="preserve">since</w:t>
      </w:r>
      <w:r>
        <w:t xml:space="preserve">,</w:t>
      </w:r>
      <w:r>
        <w:t xml:space="preserve"> </w:t>
      </w:r>
      <w:r>
        <w:rPr>
          <w:rStyle w:val="VerbatimChar"/>
        </w:rPr>
        <w:t xml:space="preserve">amount</w:t>
      </w:r>
      <w:r>
        <w:t xml:space="preserve">). The fraud signal is a short cycle: Ana and Chen share device</w:t>
      </w:r>
      <w:r>
        <w:t xml:space="preserve"> </w:t>
      </w:r>
      <w:r>
        <w:rPr>
          <w:rStyle w:val="VerbatimChar"/>
        </w:rPr>
        <w:t xml:space="preserve">d-77</w:t>
      </w:r>
      <w:r>
        <w:t xml:space="preserve"> </w:t>
      </w:r>
      <w:r>
        <w:t xml:space="preserve">and money flows between their accounts — a pattern found by walking edges from Ana. This is a logical view with no network boundaries; deployments usually keep the whole graph on one primary with read replicas, because cutting a graph across machines turns hops into network calls.</w:t>
      </w:r>
    </w:p>
    <w:bookmarkEnd w:id="1375"/>
    <w:bookmarkEnd w:id="1376"/>
    <w:bookmarkStart w:id="1378" w:name="index-free-adjacency-and-cypher"/>
    <w:p>
      <w:pPr>
        <w:pStyle w:val="Heading3"/>
      </w:pPr>
      <w:r>
        <w:t xml:space="preserve">12.7.2 Index-free adjacency and Cypher</w:t>
      </w:r>
    </w:p>
    <w:bookmarkStart w:id="1377" w:name="how-it-works-internally-46"/>
    <w:p>
      <w:pPr>
        <w:pStyle w:val="Heading4"/>
      </w:pPr>
      <w:r>
        <w:t xml:space="preserve">How it works internally</w:t>
      </w:r>
    </w:p>
    <w:p>
      <w:pPr>
        <w:pStyle w:val="FirstParagraph"/>
      </w:pPr>
      <w:r>
        <w:t xml:space="preserve">Neo4j’s native store illustrates</w:t>
      </w:r>
      <w:r>
        <w:t xml:space="preserve"> </w:t>
      </w:r>
      <w:r>
        <w:rPr>
          <w:bCs/>
          <w:b/>
        </w:rPr>
        <w:t xml:space="preserve">index-free adjacency</w:t>
      </w:r>
      <w:r>
        <w:t xml:space="preserve"> </w:t>
      </w:r>
      <w:r>
        <w:t xml:space="preserve">[Robinson et al. 2015; Neo4j Docs]:</w:t>
      </w:r>
    </w:p>
    <w:p>
      <w:pPr>
        <w:numPr>
          <w:ilvl w:val="0"/>
          <w:numId w:val="1419"/>
        </w:numPr>
        <w:pStyle w:val="Compact"/>
      </w:pPr>
      <w:r>
        <w:t xml:space="preserve">Nodes, relationships and properties live in stores of fixed-size records, so node</w:t>
      </w:r>
      <w:r>
        <w:t xml:space="preserve"> </w:t>
      </w:r>
      <w:r>
        <w:rPr>
          <w:iCs/>
          <w:i/>
        </w:rPr>
        <w:t xml:space="preserve">n</w:t>
      </w:r>
      <w:r>
        <w:t xml:space="preserve"> </w:t>
      </w:r>
      <w:r>
        <w:t xml:space="preserve">is found by arithmetic on its ID, not an index search.</w:t>
      </w:r>
    </w:p>
    <w:p>
      <w:pPr>
        <w:numPr>
          <w:ilvl w:val="0"/>
          <w:numId w:val="1419"/>
        </w:numPr>
        <w:pStyle w:val="Compact"/>
      </w:pPr>
      <w:r>
        <w:t xml:space="preserve">A node record points to its first relationship; each relationship points to its two nodes and to the next and previous relationships of both — a linked list per node.</w:t>
      </w:r>
    </w:p>
    <w:p>
      <w:pPr>
        <w:numPr>
          <w:ilvl w:val="0"/>
          <w:numId w:val="1419"/>
        </w:numPr>
        <w:pStyle w:val="Compact"/>
      </w:pPr>
      <w:r>
        <w:t xml:space="preserve">A traversal follows these pointers; no global index is consulted per hop. Indexes are used once, to find the starting nodes.</w:t>
      </w:r>
    </w:p>
    <w:p>
      <w:pPr>
        <w:numPr>
          <w:ilvl w:val="0"/>
          <w:numId w:val="1419"/>
        </w:numPr>
        <w:pStyle w:val="Compact"/>
      </w:pPr>
      <w:r>
        <w:t xml:space="preserve">Transactions are ACID on the primary; secondaries serve reads and failover.</w:t>
      </w:r>
    </w:p>
    <w:p>
      <w:pPr>
        <w:pStyle w:val="FirstParagraph"/>
      </w:pPr>
      <w:r>
        <w:t xml:space="preserve">Two Cypher queries — the fraud pattern and a friends-of-friends recommendation:</w:t>
      </w:r>
    </w:p>
    <w:p>
      <w:pPr>
        <w:pStyle w:val="SourceCode"/>
      </w:pPr>
      <w:r>
        <w:rPr>
          <w:rStyle w:val="VerbatimChar"/>
        </w:rPr>
        <w:t xml:space="preserve">// Accounts of people within 2 KNOWS hops of Ana who use the same device as Ana</w:t>
      </w:r>
      <w:r>
        <w:br/>
      </w:r>
      <w:r>
        <w:rPr>
          <w:rStyle w:val="VerbatimChar"/>
        </w:rPr>
        <w:t xml:space="preserve">MATCH (a:Person {name: 'Ana'})-[:KNOWS*1..2]-(p:Person)-[:USES]-&gt;(d:Device)&lt;-[:USES]-(a)</w:t>
      </w:r>
      <w:r>
        <w:br/>
      </w:r>
      <w:r>
        <w:rPr>
          <w:rStyle w:val="VerbatimChar"/>
        </w:rPr>
        <w:t xml:space="preserve">MATCH (p)-[:OWNS]-&gt;(acct:Account)</w:t>
      </w:r>
      <w:r>
        <w:br/>
      </w:r>
      <w:r>
        <w:rPr>
          <w:rStyle w:val="VerbatimChar"/>
        </w:rPr>
        <w:t xml:space="preserve">RETURN DISTINCT p.name, d.id, acct.id;</w:t>
      </w:r>
      <w:r>
        <w:br/>
      </w:r>
      <w:r>
        <w:br/>
      </w:r>
      <w:r>
        <w:rPr>
          <w:rStyle w:val="VerbatimChar"/>
        </w:rPr>
        <w:t xml:space="preserve">// People Ana's friends know, whom Ana does not know yet, ranked by mutual friends</w:t>
      </w:r>
      <w:r>
        <w:br/>
      </w:r>
      <w:r>
        <w:rPr>
          <w:rStyle w:val="VerbatimChar"/>
        </w:rPr>
        <w:t xml:space="preserve">MATCH (me:Person {name: 'Ana'})-[:KNOWS]-(f)-[:KNOWS]-(fof:Person)</w:t>
      </w:r>
      <w:r>
        <w:br/>
      </w:r>
      <w:r>
        <w:rPr>
          <w:rStyle w:val="VerbatimChar"/>
        </w:rPr>
        <w:t xml:space="preserve">WHERE fof &lt;&gt; me AND NOT (me)-[:KNOWS]-(fof)</w:t>
      </w:r>
      <w:r>
        <w:br/>
      </w:r>
      <w:r>
        <w:rPr>
          <w:rStyle w:val="VerbatimChar"/>
        </w:rPr>
        <w:t xml:space="preserve">RETURN fof.name, count(DISTINCT f) AS mutual</w:t>
      </w:r>
      <w:r>
        <w:br/>
      </w:r>
      <w:r>
        <w:rPr>
          <w:rStyle w:val="VerbatimChar"/>
        </w:rPr>
        <w:t xml:space="preserve">ORDER BY mutual DESC LIMIT 10;</w:t>
      </w:r>
    </w:p>
    <w:p>
      <w:pPr>
        <w:pStyle w:val="FirstParagraph"/>
      </w:pPr>
      <w:r>
        <w:t xml:space="preserve">What to notice:</w:t>
      </w:r>
    </w:p>
    <w:p>
      <w:pPr>
        <w:numPr>
          <w:ilvl w:val="0"/>
          <w:numId w:val="1420"/>
        </w:numPr>
        <w:pStyle w:val="Compact"/>
      </w:pPr>
      <w:r>
        <w:t xml:space="preserve">Patterns are ASCII art,</w:t>
      </w:r>
      <w:r>
        <w:t xml:space="preserve"> </w:t>
      </w:r>
      <w:r>
        <w:rPr>
          <w:rStyle w:val="VerbatimChar"/>
        </w:rPr>
        <w:t xml:space="preserve">(node)-[:TYPE]-&gt;(node)</w:t>
      </w:r>
      <w:r>
        <w:t xml:space="preserve">;</w:t>
      </w:r>
      <w:r>
        <w:t xml:space="preserve"> </w:t>
      </w:r>
      <w:r>
        <w:rPr>
          <w:rStyle w:val="VerbatimChar"/>
        </w:rPr>
        <w:t xml:space="preserve">*1..2</w:t>
      </w:r>
      <w:r>
        <w:t xml:space="preserve"> </w:t>
      </w:r>
      <w:r>
        <w:t xml:space="preserve">is a variable-length path (a recursive CTE in SQL).</w:t>
      </w:r>
    </w:p>
    <w:p>
      <w:pPr>
        <w:numPr>
          <w:ilvl w:val="0"/>
          <w:numId w:val="1420"/>
        </w:numPr>
        <w:pStyle w:val="Compact"/>
      </w:pPr>
      <w:r>
        <w:t xml:space="preserve">Each query anchors on one indexed node and expands outward, so cost depends on Ana’s neighborhood, not the population.</w:t>
      </w:r>
    </w:p>
    <w:p>
      <w:pPr>
        <w:numPr>
          <w:ilvl w:val="0"/>
          <w:numId w:val="1420"/>
        </w:numPr>
        <w:pStyle w:val="Compact"/>
      </w:pPr>
      <w:r>
        <w:rPr>
          <w:rStyle w:val="VerbatimChar"/>
        </w:rPr>
        <w:t xml:space="preserve">NOT (me)-[:KNOWS]-(fof)</w:t>
      </w:r>
      <w:r>
        <w:t xml:space="preserve"> </w:t>
      </w:r>
      <w:r>
        <w:t xml:space="preserve">is an anti-join written as a pattern.</w:t>
      </w:r>
    </w:p>
    <w:bookmarkEnd w:id="1377"/>
    <w:bookmarkEnd w:id="1378"/>
    <w:bookmarkStart w:id="1383" w:name="when-graphs-beat-joins"/>
    <w:p>
      <w:pPr>
        <w:pStyle w:val="Heading3"/>
      </w:pPr>
      <w:r>
        <w:t xml:space="preserve">12.7.3 When graphs beat joins</w:t>
      </w:r>
    </w:p>
    <w:p>
      <w:pPr>
        <w:pStyle w:val="CalloutFormula"/>
      </w:pPr>
      <w:r>
        <w:rPr>
          <w:bCs/>
          <w:b/>
        </w:rPr>
        <w:t xml:space="preserve">FORMULA</w:t>
      </w:r>
    </w:p>
    <w:p>
      <w:pPr>
        <w:pStyle w:val="CalloutFormula"/>
      </w:pPr>
      <w:r>
        <w:rPr>
          <w:bCs/>
          <w:b/>
        </w:rPr>
        <w:t xml:space="preserve">Cost of a k-hop traversal</w:t>
      </w:r>
    </w:p>
    <w:p>
      <w:pPr>
        <w:pStyle w:val="CalloutFormula"/>
      </w:pPr>
      <m:oMathPara>
        <m:oMathParaPr>
          <m:jc m:val="center"/>
        </m:oMathParaPr>
        <m:oMath>
          <m:sSub>
            <m:e>
              <m:r>
                <m:t>E</m:t>
              </m:r>
            </m:e>
            <m:sub>
              <m:r>
                <m:t>k</m:t>
              </m:r>
            </m:sub>
          </m:sSub>
          <m:r>
            <m:rPr>
              <m:sty m:val="p"/>
            </m:rPr>
            <m:t>=</m:t>
          </m:r>
          <m:nary>
            <m:naryPr>
              <m:chr m:val="∑"/>
              <m:limLoc m:val="undOvr"/>
              <m:subHide m:val="off"/>
              <m:supHide m:val="off"/>
            </m:naryPr>
            <m:sub>
              <m:r>
                <m:t>i</m:t>
              </m:r>
              <m:r>
                <m:rPr>
                  <m:sty m:val="p"/>
                </m:rPr>
                <m:t>=</m:t>
              </m:r>
              <m:r>
                <m:t>1</m:t>
              </m:r>
            </m:sub>
            <m:sup>
              <m:r>
                <m:t>k</m:t>
              </m:r>
            </m:sup>
            <m:e>
              <m:sSup>
                <m:e>
                  <m:r>
                    <m:t>d</m:t>
                  </m:r>
                </m:e>
                <m:sup>
                  <m:r>
                    <m:t> </m:t>
                  </m:r>
                  <m:r>
                    <m:t>i</m:t>
                  </m:r>
                </m:sup>
              </m:sSup>
            </m:e>
          </m:nary>
          <m:r>
            <m:t>  </m:t>
          </m:r>
          <m:sSub>
            <m:e>
              <m:r>
                <m:t>T</m:t>
              </m:r>
            </m:e>
            <m:sub>
              <m:r>
                <m:rPr>
                  <m:nor/>
                  <m:sty m:val="p"/>
                </m:rPr>
                <m:t>graph</m:t>
              </m:r>
            </m:sub>
          </m:sSub>
          <m:r>
            <m:rPr>
              <m:sty m:val="p"/>
            </m:rPr>
            <m:t>≈</m:t>
          </m:r>
          <m:sSub>
            <m:e>
              <m:r>
                <m:t>E</m:t>
              </m:r>
            </m:e>
            <m:sub>
              <m:r>
                <m:t>k</m:t>
              </m:r>
            </m:sub>
          </m:sSub>
          <m:r>
            <m:rPr>
              <m:sty m:val="p"/>
            </m:rPr>
            <m:t>×</m:t>
          </m:r>
          <m:sSub>
            <m:e>
              <m:r>
                <m:t>t</m:t>
              </m:r>
            </m:e>
            <m:sub>
              <m:r>
                <m:rPr>
                  <m:nor/>
                  <m:sty m:val="p"/>
                </m:rPr>
                <m:t>ptr</m:t>
              </m:r>
            </m:sub>
          </m:sSub>
          <m:r>
            <m:t>  </m:t>
          </m:r>
          <m:sSub>
            <m:e>
              <m:r>
                <m:t>T</m:t>
              </m:r>
            </m:e>
            <m:sub>
              <m:r>
                <m:rPr>
                  <m:nor/>
                  <m:sty m:val="p"/>
                </m:rPr>
                <m:t>join</m:t>
              </m:r>
            </m:sub>
          </m:sSub>
          <m:r>
            <m:rPr>
              <m:sty m:val="p"/>
            </m:rPr>
            <m:t>≈</m:t>
          </m:r>
          <m:sSub>
            <m:e>
              <m:r>
                <m:t>E</m:t>
              </m:r>
            </m:e>
            <m:sub>
              <m:r>
                <m:t>k</m:t>
              </m:r>
            </m:sub>
          </m:sSub>
          <m:r>
            <m:rPr>
              <m:sty m:val="p"/>
            </m:rPr>
            <m:t>×</m:t>
          </m:r>
          <m:sSub>
            <m:e>
              <m:r>
                <m:t>t</m:t>
              </m:r>
            </m:e>
            <m:sub>
              <m:r>
                <m:rPr>
                  <m:nor/>
                  <m:sty m:val="p"/>
                </m:rPr>
                <m:t>idx</m:t>
              </m:r>
            </m:sub>
          </m:sSub>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E</m:t>
                  </m:r>
                </m:e>
                <m:sub>
                  <m:r>
                    <m:t>k</m:t>
                  </m:r>
                </m:sub>
              </m:sSub>
            </m:oMath>
          </w:p>
        </w:tc>
        <w:tc>
          <w:tcPr/>
          <w:p>
            <w:pPr>
              <w:pStyle w:val="Compact"/>
              <w:jc w:val="left"/>
            </w:pPr>
            <w:r>
              <w:t xml:space="preserve">Edges expanded by a</w:t>
            </w:r>
            <w:r>
              <w:t xml:space="preserve"> </w:t>
            </w:r>
            <m:oMath>
              <m:r>
                <m:t>k</m:t>
              </m:r>
            </m:oMath>
            <w:r>
              <w:t xml:space="preserve">-hop traversal without pruning</w:t>
            </w:r>
          </w:p>
        </w:tc>
        <w:tc>
          <w:tcPr/>
          <w:p>
            <w:pPr>
              <w:pStyle w:val="Compact"/>
              <w:jc w:val="left"/>
            </w:pPr>
            <w:r>
              <w:t xml:space="preserve">edges</w:t>
            </w:r>
          </w:p>
        </w:tc>
      </w:tr>
      <w:tr>
        <w:tc>
          <w:tcPr/>
          <w:p>
            <w:pPr>
              <w:pStyle w:val="Compact"/>
              <w:jc w:val="left"/>
            </w:pPr>
            <m:oMath>
              <m:r>
                <m:t>d</m:t>
              </m:r>
            </m:oMath>
          </w:p>
        </w:tc>
        <w:tc>
          <w:tcPr/>
          <w:p>
            <w:pPr>
              <w:pStyle w:val="Compact"/>
              <w:jc w:val="left"/>
            </w:pPr>
            <w:r>
              <w:t xml:space="preserve">Average out-degree (neighbors per node)</w:t>
            </w:r>
          </w:p>
        </w:tc>
        <w:tc>
          <w:tcPr/>
          <w:p>
            <w:pPr>
              <w:pStyle w:val="Compact"/>
              <w:jc w:val="left"/>
            </w:pPr>
            <w:r>
              <w:t xml:space="preserve">edges/node</w:t>
            </w:r>
          </w:p>
        </w:tc>
      </w:tr>
      <w:tr>
        <w:tc>
          <w:tcPr/>
          <w:p>
            <w:pPr>
              <w:pStyle w:val="Compact"/>
              <w:jc w:val="left"/>
            </w:pPr>
            <m:oMath>
              <m:r>
                <m:t>k</m:t>
              </m:r>
            </m:oMath>
          </w:p>
        </w:tc>
        <w:tc>
          <w:tcPr/>
          <w:p>
            <w:pPr>
              <w:pStyle w:val="Compact"/>
              <w:jc w:val="left"/>
            </w:pPr>
            <w:r>
              <w:t xml:space="preserve">Number of hops</w:t>
            </w:r>
          </w:p>
        </w:tc>
        <w:tc>
          <w:tcPr/>
          <w:p>
            <w:pPr>
              <w:pStyle w:val="Compact"/>
              <w:jc w:val="left"/>
            </w:pPr>
            <w:r>
              <w:t xml:space="preserve">hops</w:t>
            </w:r>
          </w:p>
        </w:tc>
      </w:tr>
      <w:tr>
        <w:tc>
          <w:tcPr/>
          <w:p>
            <w:pPr>
              <w:pStyle w:val="Compact"/>
              <w:jc w:val="left"/>
            </w:pPr>
            <m:oMath>
              <m:sSub>
                <m:e>
                  <m:r>
                    <m:t>t</m:t>
                  </m:r>
                </m:e>
                <m:sub>
                  <m:r>
                    <m:rPr>
                      <m:nor/>
                      <m:sty m:val="p"/>
                    </m:rPr>
                    <m:t>ptr</m:t>
                  </m:r>
                </m:sub>
              </m:sSub>
            </m:oMath>
          </w:p>
        </w:tc>
        <w:tc>
          <w:tcPr/>
          <w:p>
            <w:pPr>
              <w:pStyle w:val="Compact"/>
              <w:jc w:val="left"/>
            </w:pPr>
            <w:r>
              <w:t xml:space="preserve">Cost of following one adjacency pointer</w:t>
            </w:r>
          </w:p>
        </w:tc>
        <w:tc>
          <w:tcPr/>
          <w:p>
            <w:pPr>
              <w:pStyle w:val="Compact"/>
              <w:jc w:val="left"/>
            </w:pPr>
            <w:r>
              <w:t xml:space="preserve">µs</w:t>
            </w:r>
          </w:p>
        </w:tc>
      </w:tr>
      <w:tr>
        <w:tc>
          <w:tcPr/>
          <w:p>
            <w:pPr>
              <w:pStyle w:val="Compact"/>
              <w:jc w:val="left"/>
            </w:pPr>
            <m:oMath>
              <m:sSub>
                <m:e>
                  <m:r>
                    <m:t>t</m:t>
                  </m:r>
                </m:e>
                <m:sub>
                  <m:r>
                    <m:rPr>
                      <m:nor/>
                      <m:sty m:val="p"/>
                    </m:rPr>
                    <m:t>idx</m:t>
                  </m:r>
                </m:sub>
              </m:sSub>
            </m:oMath>
          </w:p>
        </w:tc>
        <w:tc>
          <w:tcPr/>
          <w:p>
            <w:pPr>
              <w:pStyle w:val="Compact"/>
              <w:jc w:val="left"/>
            </w:pPr>
            <w:r>
              <w:t xml:space="preserve">Cost of one index lookup on the edge table, growing with</w:t>
            </w:r>
            <w:r>
              <w:t xml:space="preserve"> </w:t>
            </w:r>
            <m:oMath>
              <m:r>
                <m:rPr>
                  <m:sty m:val="p"/>
                </m:rPr>
                <m:t>log</m:t>
              </m:r>
              <m:r>
                <m:t>N</m:t>
              </m:r>
            </m:oMath>
          </w:p>
        </w:tc>
        <w:tc>
          <w:tcPr/>
          <w:p>
            <w:pPr>
              <w:pStyle w:val="Compact"/>
              <w:jc w:val="left"/>
            </w:pPr>
            <w:r>
              <w:t xml:space="preserve">µs</w:t>
            </w:r>
          </w:p>
        </w:tc>
      </w:tr>
    </w:tbl>
    <w:p>
      <w:pPr>
        <w:pStyle w:val="CalloutExample"/>
      </w:pPr>
      <w:r>
        <w:rPr>
          <w:bCs/>
          <w:b/>
        </w:rPr>
        <w:t xml:space="preserve">WORKED EXAMPLE</w:t>
      </w:r>
    </w:p>
    <w:p>
      <w:pPr>
        <w:pStyle w:val="CalloutExample"/>
      </w:pPr>
      <w:r>
        <w:rPr>
          <w:bCs/>
          <w:b/>
        </w:rPr>
        <w:t xml:space="preserve">Worked example — Friends-of-friends-of-friends.</w:t>
      </w:r>
    </w:p>
    <w:p>
      <w:pPr>
        <w:pStyle w:val="CalloutExample"/>
      </w:pPr>
      <w:r>
        <w:t xml:space="preserve">A social graph has</w:t>
      </w:r>
      <w:r>
        <w:t xml:space="preserve"> </w:t>
      </w:r>
      <m:oMath>
        <m:r>
          <m:t>N</m:t>
        </m:r>
        <m:r>
          <m:rPr>
            <m:sty m:val="p"/>
          </m:rPr>
          <m:t>=</m:t>
        </m:r>
        <m:r>
          <m:t>100</m:t>
        </m:r>
      </m:oMath>
      <w:r>
        <w:t xml:space="preserve"> </w:t>
      </w:r>
      <w:r>
        <w:t xml:space="preserve">million people with average degree</w:t>
      </w:r>
      <w:r>
        <w:t xml:space="preserve"> </w:t>
      </w:r>
      <m:oMath>
        <m:r>
          <m:t>d</m:t>
        </m:r>
        <m:r>
          <m:rPr>
            <m:sty m:val="p"/>
          </m:rPr>
          <m:t>=</m:t>
        </m:r>
        <m:r>
          <m:t>150</m:t>
        </m:r>
      </m:oMath>
      <w:r>
        <w:t xml:space="preserve">. Assume, for illustration only,</w:t>
      </w:r>
      <w:r>
        <w:t xml:space="preserve"> </w:t>
      </w:r>
      <m:oMath>
        <m:sSub>
          <m:e>
            <m:r>
              <m:t>t</m:t>
            </m:r>
          </m:e>
          <m:sub>
            <m:r>
              <m:rPr>
                <m:nor/>
                <m:sty m:val="p"/>
              </m:rPr>
              <m:t>ptr</m:t>
            </m:r>
          </m:sub>
        </m:sSub>
        <m:r>
          <m:rPr>
            <m:sty m:val="p"/>
          </m:rPr>
          <m:t>≈</m:t>
        </m:r>
        <m:r>
          <m:t>0.2</m:t>
        </m:r>
      </m:oMath>
      <w:r>
        <w:t xml:space="preserve"> </w:t>
      </w:r>
      <w:r>
        <w:t xml:space="preserve">µs (one or two memory accesses) and</w:t>
      </w:r>
      <w:r>
        <w:t xml:space="preserve"> </w:t>
      </w:r>
      <m:oMath>
        <m:sSub>
          <m:e>
            <m:r>
              <m:t>t</m:t>
            </m:r>
          </m:e>
          <m:sub>
            <m:r>
              <m:rPr>
                <m:nor/>
                <m:sty m:val="p"/>
              </m:rPr>
              <m:t>idx</m:t>
            </m:r>
          </m:sub>
        </m:sSub>
        <m:r>
          <m:rPr>
            <m:sty m:val="p"/>
          </m:rPr>
          <m:t>≈</m:t>
        </m:r>
        <m:r>
          <m:t>1</m:t>
        </m:r>
      </m:oMath>
      <w:r>
        <w:t xml:space="preserve"> </w:t>
      </w:r>
      <w:r>
        <w:t xml:space="preserve">µs (a cached B-tree descent of 4 levels, §11.8).</w:t>
      </w:r>
    </w:p>
    <w:p>
      <w:pPr>
        <w:numPr>
          <w:ilvl w:val="0"/>
          <w:numId w:val="1421"/>
        </w:numPr>
        <w:pStyle w:val="Compact"/>
      </w:pPr>
      <m:oMath>
        <m:r>
          <m:t>k</m:t>
        </m:r>
        <m:r>
          <m:rPr>
            <m:sty m:val="p"/>
          </m:rPr>
          <m:t>=</m:t>
        </m:r>
        <m:r>
          <m:t>2</m:t>
        </m:r>
      </m:oMath>
      <w:r>
        <w:t xml:space="preserve">:</w:t>
      </w:r>
      <w:r>
        <w:t xml:space="preserve"> </w:t>
      </w:r>
      <m:oMath>
        <m:sSub>
          <m:e>
            <m:r>
              <m:t>E</m:t>
            </m:r>
          </m:e>
          <m:sub>
            <m:r>
              <m:t>2</m:t>
            </m:r>
          </m:sub>
        </m:sSub>
        <m:r>
          <m:rPr>
            <m:sty m:val="p"/>
          </m:rPr>
          <m:t>=</m:t>
        </m:r>
        <m:r>
          <m:t>150</m:t>
        </m:r>
        <m:r>
          <m:rPr>
            <m:sty m:val="p"/>
          </m:rPr>
          <m:t>+</m:t>
        </m:r>
        <m:sSup>
          <m:e>
            <m:r>
              <m:t>150</m:t>
            </m:r>
          </m:e>
          <m:sup>
            <m:r>
              <m:t>2</m:t>
            </m:r>
          </m:sup>
        </m:sSup>
        <m:r>
          <m:rPr>
            <m:sty m:val="p"/>
          </m:rPr>
          <m:t>=</m:t>
        </m:r>
        <m:r>
          <m:t>22</m:t>
        </m:r>
        <m:r>
          <m:rPr>
            <m:sty m:val="p"/>
          </m:rPr>
          <m:t>,</m:t>
        </m:r>
        <m:r>
          <m:t>650</m:t>
        </m:r>
      </m:oMath>
      <w:r>
        <w:t xml:space="preserve"> </w:t>
      </w:r>
      <w:r>
        <w:t xml:space="preserve">expansions → graph ≈ 4.5 ms; join ≈ 23 ms.</w:t>
      </w:r>
    </w:p>
    <w:p>
      <w:pPr>
        <w:numPr>
          <w:ilvl w:val="0"/>
          <w:numId w:val="1421"/>
        </w:numPr>
        <w:pStyle w:val="Compact"/>
      </w:pPr>
      <m:oMath>
        <m:r>
          <m:t>k</m:t>
        </m:r>
        <m:r>
          <m:rPr>
            <m:sty m:val="p"/>
          </m:rPr>
          <m:t>=</m:t>
        </m:r>
        <m:r>
          <m:t>3</m:t>
        </m:r>
      </m:oMath>
      <w:r>
        <w:t xml:space="preserve">:</w:t>
      </w:r>
      <w:r>
        <w:t xml:space="preserve"> </w:t>
      </w:r>
      <m:oMath>
        <m:sSub>
          <m:e>
            <m:r>
              <m:t>E</m:t>
            </m:r>
          </m:e>
          <m:sub>
            <m:r>
              <m:t>3</m:t>
            </m:r>
          </m:sub>
        </m:sSub>
        <m:r>
          <m:rPr>
            <m:sty m:val="p"/>
          </m:rPr>
          <m:t>=</m:t>
        </m:r>
        <m:r>
          <m:t>22</m:t>
        </m:r>
        <m:r>
          <m:rPr>
            <m:sty m:val="p"/>
          </m:rPr>
          <m:t>,</m:t>
        </m:r>
        <m:r>
          <m:t>650</m:t>
        </m:r>
        <m:r>
          <m:rPr>
            <m:sty m:val="p"/>
          </m:rPr>
          <m:t>+</m:t>
        </m:r>
        <m:r>
          <m:t>3</m:t>
        </m:r>
        <m:r>
          <m:rPr>
            <m:sty m:val="p"/>
          </m:rPr>
          <m:t>,</m:t>
        </m:r>
        <m:r>
          <m:t>375</m:t>
        </m:r>
        <m:r>
          <m:rPr>
            <m:sty m:val="p"/>
          </m:rPr>
          <m:t>,</m:t>
        </m:r>
        <m:r>
          <m:t>000</m:t>
        </m:r>
        <m:r>
          <m:rPr>
            <m:sty m:val="p"/>
          </m:rPr>
          <m:t>=</m:t>
        </m:r>
        <m:r>
          <m:t>3</m:t>
        </m:r>
        <m:r>
          <m:rPr>
            <m:sty m:val="p"/>
          </m:rPr>
          <m:t>,</m:t>
        </m:r>
        <m:r>
          <m:t>397</m:t>
        </m:r>
        <m:r>
          <m:rPr>
            <m:sty m:val="p"/>
          </m:rPr>
          <m:t>,</m:t>
        </m:r>
        <m:r>
          <m:t>650</m:t>
        </m:r>
      </m:oMath>
      <w:r>
        <w:t xml:space="preserve"> </w:t>
      </w:r>
      <w:r>
        <w:t xml:space="preserve">→ graph ≈ 0.68 s; join ≈ 3.4 s.</w:t>
      </w:r>
    </w:p>
    <w:p>
      <w:pPr>
        <w:numPr>
          <w:ilvl w:val="0"/>
          <w:numId w:val="1421"/>
        </w:numPr>
        <w:pStyle w:val="Compact"/>
      </w:pPr>
      <w:r>
        <w:t xml:space="preserve">Neither cost contains</w:t>
      </w:r>
      <w:r>
        <w:t xml:space="preserve"> </w:t>
      </w:r>
      <m:oMath>
        <m:r>
          <m:t>N</m:t>
        </m:r>
      </m:oMath>
      <w:r>
        <w:t xml:space="preserve"> </w:t>
      </w:r>
      <w:r>
        <w:t xml:space="preserve">except through the logarithm in</w:t>
      </w:r>
      <w:r>
        <w:t xml:space="preserve"> </w:t>
      </w:r>
      <m:oMath>
        <m:sSub>
          <m:e>
            <m:r>
              <m:t>t</m:t>
            </m:r>
          </m:e>
          <m:sub>
            <m:r>
              <m:rPr>
                <m:nor/>
                <m:sty m:val="p"/>
              </m:rPr>
              <m:t>idx</m:t>
            </m:r>
          </m:sub>
        </m:sSub>
      </m:oMath>
      <w:r>
        <w:t xml:space="preserve">: doubling the population barely changes either.</w:t>
      </w:r>
    </w:p>
    <w:p>
      <w:pPr>
        <w:pStyle w:val="CalloutExample"/>
      </w:pPr>
      <w:r>
        <w:rPr>
          <w:bCs/>
          <w:b/>
        </w:rPr>
        <w:t xml:space="preserve">Interpretation.</w:t>
      </w:r>
      <w:r>
        <w:t xml:space="preserve"> </w:t>
      </w:r>
      <w:r>
        <w:t xml:space="preserve">Index-free adjacency wins a constant factor per hop (here 5×, illustrative) and avoids large intermediate join results, but the</w:t>
      </w:r>
      <w:r>
        <w:t xml:space="preserve"> </w:t>
      </w:r>
      <m:oMath>
        <m:sSup>
          <m:e>
            <m:r>
              <m:t>d</m:t>
            </m:r>
          </m:e>
          <m:sup>
            <m:r>
              <m:t>k</m:t>
            </m:r>
          </m:sup>
        </m:sSup>
      </m:oMath>
      <w:r>
        <w:t xml:space="preserve"> </w:t>
      </w:r>
      <w:r>
        <w:t xml:space="preserve">term defeats</w:t>
      </w:r>
      <w:r>
        <w:t xml:space="preserve"> </w:t>
      </w:r>
      <w:r>
        <w:rPr>
          <w:iCs/>
          <w:i/>
        </w:rPr>
        <w:t xml:space="preserve">both</w:t>
      </w:r>
      <w:r>
        <w:t xml:space="preserve"> </w:t>
      </w:r>
      <w:r>
        <w:t xml:space="preserve">systems by three hops.</w:t>
      </w:r>
    </w:p>
    <w:p>
      <w:pPr>
        <w:pStyle w:val="CalloutExample"/>
      </w:pPr>
      <w:r>
        <w:rPr>
          <w:bCs/>
          <w:b/>
        </w:rPr>
        <w:t xml:space="preserve">Engineering implication.</w:t>
      </w:r>
      <w:r>
        <w:t xml:space="preserve"> </w:t>
      </w:r>
      <w:r>
        <w:t xml:space="preserve">Graphs beat joins for variable-depth, pattern-shaped queries over bounded neighborhoods (fraud rings, permission inheritance). Prune or precompute deep traversals; for one or two fixed hops, a well-indexed relational database is usually as good.</w:t>
      </w:r>
    </w:p>
    <w:bookmarkStart w:id="1379" w:name="real-world-industry-applications-25"/>
    <w:p>
      <w:pPr>
        <w:pStyle w:val="Heading4"/>
      </w:pPr>
      <w:r>
        <w:t xml:space="preserve">Real-world industry applications</w:t>
      </w:r>
    </w:p>
    <w:p>
      <w:pPr>
        <w:pStyle w:val="CalloutIndustry"/>
      </w:pPr>
      <w:r>
        <w:rPr>
          <w:bCs/>
          <w:b/>
        </w:rPr>
        <w:t xml:space="preserve">INDUSTRY EXAMPLE</w:t>
      </w:r>
    </w:p>
    <w:p>
      <w:pPr>
        <w:pStyle w:val="CalloutIndustry"/>
      </w:pPr>
      <w:r>
        <w:rPr>
          <w:bCs/>
          <w:b/>
        </w:rPr>
        <w:t xml:space="preserve">Facebook TAO.</w:t>
      </w:r>
      <w:r>
        <w:t xml:space="preserve"> </w:t>
      </w:r>
      <w:r>
        <w:t xml:space="preserve">Facebook serves its social graph of objects and typed associations through TAO, a geographically distributed, read-optimized graph cache over sharded MySQL. The API is graph-shaped, the storage relational: a graph</w:t>
      </w:r>
      <w:r>
        <w:t xml:space="preserve"> </w:t>
      </w:r>
      <w:r>
        <w:rPr>
          <w:iCs/>
          <w:i/>
        </w:rPr>
        <w:t xml:space="preserve">data model</w:t>
      </w:r>
      <w:r>
        <w:t xml:space="preserve"> </w:t>
      </w:r>
      <w:r>
        <w:t xml:space="preserve">does not require a graph</w:t>
      </w:r>
      <w:r>
        <w:t xml:space="preserve"> </w:t>
      </w:r>
      <w:r>
        <w:rPr>
          <w:iCs/>
          <w:i/>
        </w:rPr>
        <w:t xml:space="preserve">database</w:t>
      </w:r>
      <w:r>
        <w:t xml:space="preserve"> </w:t>
      </w:r>
      <w:r>
        <w:t xml:space="preserve">when queries are mostly one hop and scale is planetary.</w:t>
      </w:r>
      <w:r>
        <w:t xml:space="preserve"> </w:t>
      </w:r>
      <w:r>
        <w:rPr>
          <w:iCs/>
          <w:i/>
        </w:rPr>
        <w:t xml:space="preserve">Evidence: Primary</w:t>
      </w:r>
      <w:r>
        <w:t xml:space="preserve"> </w:t>
      </w:r>
      <w:r>
        <w:t xml:space="preserve">— [Bronson et al. 2013]</w:t>
      </w:r>
    </w:p>
    <w:bookmarkEnd w:id="1379"/>
    <w:bookmarkStart w:id="1380" w:name="advantages-and-disadvantages-11"/>
    <w:p>
      <w:pPr>
        <w:pStyle w:val="Heading4"/>
      </w:pPr>
      <w:r>
        <w:t xml:space="preserve">Advantages and disadvantages</w:t>
      </w:r>
    </w:p>
    <w:p>
      <w:pPr>
        <w:numPr>
          <w:ilvl w:val="0"/>
          <w:numId w:val="1422"/>
        </w:numPr>
        <w:pStyle w:val="Compact"/>
      </w:pPr>
      <w:r>
        <w:rPr>
          <w:bCs/>
          <w:b/>
        </w:rPr>
        <w:t xml:space="preserve">Advantages:</w:t>
      </w:r>
      <w:r>
        <w:t xml:space="preserve"> </w:t>
      </w:r>
      <w:r>
        <w:t xml:space="preserve">expressive path queries; cost tied to the touched subgraph; easy to add relationship types; graph algorithm libraries.</w:t>
      </w:r>
    </w:p>
    <w:p>
      <w:pPr>
        <w:numPr>
          <w:ilvl w:val="0"/>
          <w:numId w:val="1422"/>
        </w:numPr>
        <w:pStyle w:val="Compact"/>
      </w:pPr>
      <w:r>
        <w:rPr>
          <w:bCs/>
          <w:b/>
        </w:rPr>
        <w:t xml:space="preserve">Disadvantages:</w:t>
      </w:r>
      <w:r>
        <w:t xml:space="preserve"> </w:t>
      </w:r>
      <w:r>
        <w:t xml:space="preserve">hard to partition; writes and size usually bounded by one primary; scarcer expertise; whole-graph analytics belong in batch processing.</w:t>
      </w:r>
    </w:p>
    <w:bookmarkEnd w:id="1380"/>
    <w:bookmarkStart w:id="1381" w:name="failure-scenarios-30"/>
    <w:p>
      <w:pPr>
        <w:pStyle w:val="Heading4"/>
      </w:pPr>
      <w:r>
        <w:t xml:space="preserve">Failure scenarios</w:t>
      </w:r>
    </w:p>
    <w:p>
      <w:pPr>
        <w:pStyle w:val="FirstParagraph"/>
      </w:pPr>
      <w:r>
        <w:rPr>
          <w:bCs/>
          <w:b/>
        </w:rPr>
        <w:t xml:space="preserve">Table 12.10 — Graph database 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Query never returns</w:t>
            </w:r>
          </w:p>
        </w:tc>
        <w:tc>
          <w:tcPr/>
          <w:p>
            <w:pPr>
              <w:pStyle w:val="Compact"/>
              <w:jc w:val="left"/>
            </w:pPr>
            <w:r>
              <w:t xml:space="preserve">Unbounded variable-length path explodes as</w:t>
            </w:r>
            <w:r>
              <w:t xml:space="preserve"> </w:t>
            </w:r>
            <m:oMath>
              <m:sSup>
                <m:e>
                  <m:r>
                    <m:t>d</m:t>
                  </m:r>
                </m:e>
                <m:sup>
                  <m:r>
                    <m:t>k</m:t>
                  </m:r>
                </m:sup>
              </m:sSup>
            </m:oMath>
          </w:p>
        </w:tc>
        <w:tc>
          <w:tcPr/>
          <w:p>
            <w:pPr>
              <w:pStyle w:val="Compact"/>
              <w:jc w:val="left"/>
            </w:pPr>
            <w:r>
              <w:t xml:space="preserve">Slow-query log; memory alarms</w:t>
            </w:r>
          </w:p>
        </w:tc>
        <w:tc>
          <w:tcPr/>
          <w:p>
            <w:pPr>
              <w:pStyle w:val="Compact"/>
              <w:jc w:val="left"/>
            </w:pPr>
            <w:r>
              <w:t xml:space="preserve">Kill query; add bounds</w:t>
            </w:r>
          </w:p>
        </w:tc>
        <w:tc>
          <w:tcPr/>
          <w:p>
            <w:pPr>
              <w:pStyle w:val="Compact"/>
              <w:jc w:val="left"/>
            </w:pPr>
            <w:r>
              <w:t xml:space="preserve">Always bound</w:t>
            </w:r>
            <w:r>
              <w:t xml:space="preserve"> </w:t>
            </w:r>
            <w:r>
              <w:rPr>
                <w:rStyle w:val="VerbatimChar"/>
              </w:rPr>
              <w:t xml:space="preserve">*1..k</w:t>
            </w:r>
            <w:r>
              <w:t xml:space="preserve">; set query timeouts</w:t>
            </w:r>
          </w:p>
        </w:tc>
      </w:tr>
      <w:tr>
        <w:tc>
          <w:tcPr/>
          <w:p>
            <w:pPr>
              <w:pStyle w:val="Compact"/>
              <w:jc w:val="left"/>
            </w:pPr>
            <w:r>
              <w:t xml:space="preserve">Supernode slows everything</w:t>
            </w:r>
          </w:p>
        </w:tc>
        <w:tc>
          <w:tcPr/>
          <w:p>
            <w:pPr>
              <w:pStyle w:val="Compact"/>
              <w:jc w:val="left"/>
            </w:pPr>
            <w:r>
              <w:t xml:space="preserve">A node with millions of edges (celebrity, default device ID)</w:t>
            </w:r>
          </w:p>
        </w:tc>
        <w:tc>
          <w:tcPr/>
          <w:p>
            <w:pPr>
              <w:pStyle w:val="Compact"/>
              <w:jc w:val="left"/>
            </w:pPr>
            <w:r>
              <w:t xml:space="preserve">Degree distribution metrics</w:t>
            </w:r>
          </w:p>
        </w:tc>
        <w:tc>
          <w:tcPr/>
          <w:p>
            <w:pPr>
              <w:pStyle w:val="Compact"/>
              <w:jc w:val="left"/>
            </w:pPr>
            <w:r>
              <w:t xml:space="preserve">Split by relationship type or time</w:t>
            </w:r>
          </w:p>
        </w:tc>
        <w:tc>
          <w:tcPr/>
          <w:p>
            <w:pPr>
              <w:pStyle w:val="Compact"/>
              <w:jc w:val="left"/>
            </w:pPr>
            <w:r>
              <w:t xml:space="preserve">Model high-degree nodes specially</w:t>
            </w:r>
          </w:p>
        </w:tc>
      </w:tr>
      <w:tr>
        <w:tc>
          <w:tcPr/>
          <w:p>
            <w:pPr>
              <w:pStyle w:val="Compact"/>
              <w:jc w:val="left"/>
            </w:pPr>
            <w:r>
              <w:t xml:space="preserve">Primary saturates</w:t>
            </w:r>
          </w:p>
        </w:tc>
        <w:tc>
          <w:tcPr/>
          <w:p>
            <w:pPr>
              <w:pStyle w:val="Compact"/>
              <w:jc w:val="left"/>
            </w:pPr>
            <w:r>
              <w:t xml:space="preserve">Writes cannot scale beyond one node</w:t>
            </w:r>
          </w:p>
        </w:tc>
        <w:tc>
          <w:tcPr/>
          <w:p>
            <w:pPr>
              <w:pStyle w:val="Compact"/>
              <w:jc w:val="left"/>
            </w:pPr>
            <w:r>
              <w:t xml:space="preserve">CPU and commit latency on primary</w:t>
            </w:r>
          </w:p>
        </w:tc>
        <w:tc>
          <w:tcPr/>
          <w:p>
            <w:pPr>
              <w:pStyle w:val="Compact"/>
              <w:jc w:val="left"/>
            </w:pPr>
            <w:r>
              <w:t xml:space="preserve">Scale up; offload reads to replicas</w:t>
            </w:r>
          </w:p>
        </w:tc>
        <w:tc>
          <w:tcPr/>
          <w:p>
            <w:pPr>
              <w:pStyle w:val="Compact"/>
              <w:jc w:val="left"/>
            </w:pPr>
            <w:r>
              <w:t xml:space="preserve">Keep only the relationship-heavy subset in the graph</w:t>
            </w:r>
          </w:p>
        </w:tc>
      </w:tr>
    </w:tbl>
    <w:bookmarkEnd w:id="1381"/>
    <w:bookmarkStart w:id="1382" w:name="common-misconceptions-27"/>
    <w:p>
      <w:pPr>
        <w:pStyle w:val="Heading4"/>
      </w:pPr>
      <w:r>
        <w:t xml:space="preserve">Common misconceptions</w:t>
      </w:r>
    </w:p>
    <w:p>
      <w:pPr>
        <w:pStyle w:val="CalloutMistake"/>
      </w:pPr>
      <w:r>
        <w:rPr>
          <w:bCs/>
          <w:b/>
        </w:rPr>
        <w:t xml:space="preserve">COMMON MISTAKE</w:t>
      </w:r>
    </w:p>
    <w:p>
      <w:pPr>
        <w:pStyle w:val="CalloutMistake"/>
      </w:pPr>
      <w:r>
        <w:rPr>
          <w:bCs/>
          <w:b/>
        </w:rPr>
        <w:t xml:space="preserve">“</w:t>
      </w:r>
      <w:r>
        <w:rPr>
          <w:bCs/>
          <w:b/>
        </w:rPr>
        <w:t xml:space="preserve">If my data has relationships, I need a graph database.</w:t>
      </w:r>
      <w:r>
        <w:rPr>
          <w:bCs/>
          <w:b/>
        </w:rPr>
        <w:t xml:space="preserve">”</w:t>
      </w:r>
      <w:r>
        <w:t xml:space="preserve"> </w:t>
      </w:r>
      <w:r>
        <w:t xml:space="preserve">Relational databases were built for relationships. Choose a graph database when questions are about</w:t>
      </w:r>
      <w:r>
        <w:t xml:space="preserve"> </w:t>
      </w:r>
      <w:r>
        <w:rPr>
          <w:iCs/>
          <w:i/>
        </w:rPr>
        <w:t xml:space="preserve">paths and patterns of unknown depth</w:t>
      </w:r>
      <w:r>
        <w:t xml:space="preserve">.</w:t>
      </w:r>
    </w:p>
    <w:bookmarkEnd w:id="1382"/>
    <w:bookmarkEnd w:id="1383"/>
    <w:bookmarkEnd w:id="1384"/>
    <w:bookmarkStart w:id="1401" w:name="time-series-databases"/>
    <w:p>
      <w:pPr>
        <w:pStyle w:val="Heading2"/>
      </w:pPr>
      <w:r>
        <w:t xml:space="preserve">12.8 Time-series databases</w:t>
      </w:r>
    </w:p>
    <w:bookmarkStart w:id="1391" w:name="the-time-series-data-model"/>
    <w:p>
      <w:pPr>
        <w:pStyle w:val="Heading3"/>
      </w:pPr>
      <w:r>
        <w:t xml:space="preserve">12.8.1 The time-series data model</w:t>
      </w:r>
    </w:p>
    <w:p>
      <w:pPr>
        <w:pStyle w:val="CalloutDefinition"/>
      </w:pPr>
      <w:r>
        <w:rPr>
          <w:bCs/>
          <w:b/>
        </w:rPr>
        <w:t xml:space="preserve">DEFINITION</w:t>
      </w:r>
    </w:p>
    <w:p>
      <w:pPr>
        <w:pStyle w:val="CalloutDefinition"/>
      </w:pPr>
      <w:r>
        <w:rPr>
          <w:bCs/>
          <w:b/>
        </w:rPr>
        <w:t xml:space="preserve">Definition — Time-series database (TSDB).</w:t>
      </w:r>
      <w:r>
        <w:t xml:space="preserve"> </w:t>
      </w:r>
      <w:r>
        <w:t xml:space="preserve">A database optimized for sequences of timestamped measurements. Data is organized into</w:t>
      </w:r>
      <w:r>
        <w:t xml:space="preserve"> </w:t>
      </w:r>
      <w:r>
        <w:rPr>
          <w:bCs/>
          <w:b/>
        </w:rPr>
        <w:t xml:space="preserve">series</w:t>
      </w:r>
      <w:r>
        <w:t xml:space="preserve">, each identified by a metric name plus a set of</w:t>
      </w:r>
      <w:r>
        <w:t xml:space="preserve"> </w:t>
      </w:r>
      <w:r>
        <w:rPr>
          <w:bCs/>
          <w:b/>
        </w:rPr>
        <w:t xml:space="preserve">labels</w:t>
      </w:r>
      <w:r>
        <w:t xml:space="preserve"> </w:t>
      </w:r>
      <w:r>
        <w:t xml:space="preserve">(tags) such as</w:t>
      </w:r>
      <w:r>
        <w:t xml:space="preserve"> </w:t>
      </w:r>
      <w:r>
        <w:rPr>
          <w:rStyle w:val="VerbatimChar"/>
        </w:rPr>
        <w:t xml:space="preserve">{host="web-3", region="eu"}</w:t>
      </w:r>
      <w:r>
        <w:t xml:space="preserve">, and each series is an append-only list of</w:t>
      </w:r>
      <w:r>
        <w:t xml:space="preserve"> </w:t>
      </w:r>
      <w:r>
        <w:rPr>
          <w:bCs/>
          <w:b/>
        </w:rPr>
        <w:t xml:space="preserve">samples</w:t>
      </w:r>
      <w:r>
        <w:t xml:space="preserve"> </w:t>
      </w:r>
      <w:r>
        <w:rPr>
          <w:rStyle w:val="VerbatimChar"/>
        </w:rPr>
        <w:t xml:space="preserve">(timestamp, value)</w:t>
      </w:r>
      <w:r>
        <w:t xml:space="preserve">.</w:t>
      </w:r>
    </w:p>
    <w:bookmarkStart w:id="1385" w:name="first-principles-explanation-77"/>
    <w:p>
      <w:pPr>
        <w:pStyle w:val="Heading4"/>
      </w:pPr>
      <w:r>
        <w:t xml:space="preserve">First-principles explanation</w:t>
      </w:r>
    </w:p>
    <w:p>
      <w:pPr>
        <w:pStyle w:val="FirstParagraph"/>
      </w:pPr>
      <w:r>
        <w:t xml:space="preserve">A ship’s log records the position every hour, in order, and nobody edits last Tuesday’s entry; old pages are summarized (</w:t>
      </w:r>
      <w:r>
        <w:t xml:space="preserve">“</w:t>
      </w:r>
      <w:r>
        <w:t xml:space="preserve">averaged 12 knots in March</w:t>
      </w:r>
      <w:r>
        <w:t xml:space="preserve">”</w:t>
      </w:r>
      <w:r>
        <w:t xml:space="preserve">). Because the next entry is usually</w:t>
      </w:r>
      <w:r>
        <w:t xml:space="preserve"> </w:t>
      </w:r>
      <w:r>
        <w:t xml:space="preserve">“</w:t>
      </w:r>
      <w:r>
        <w:t xml:space="preserve">same as before, one hour later</w:t>
      </w:r>
      <w:r>
        <w:t xml:space="preserve">”</w:t>
      </w:r>
      <w:r>
        <w:t xml:space="preserve">, the log can be written very compactly.</w:t>
      </w:r>
    </w:p>
    <w:bookmarkEnd w:id="1385"/>
    <w:bookmarkStart w:id="1386" w:name="why-does-this-exist-45"/>
    <w:p>
      <w:pPr>
        <w:pStyle w:val="Heading4"/>
      </w:pPr>
      <w:r>
        <w:t xml:space="preserve">Why does this exist?</w:t>
      </w:r>
    </w:p>
    <w:p>
      <w:pPr>
        <w:pStyle w:val="FirstParagraph"/>
      </w:pPr>
      <w:r>
        <w:t xml:space="preserve">10,000 servers exporting 1,000 metrics every 15 s produce about 667,000 samples per second. A general-purpose database spends more on row headers and index entries than on each sample’s 16 bytes (8-byte timestamp, 8-byte float). TSDBs exploit four properties: writes append near</w:t>
      </w:r>
      <w:r>
        <w:t xml:space="preserve"> </w:t>
      </w:r>
      <w:r>
        <w:t xml:space="preserve">“</w:t>
      </w:r>
      <w:r>
        <w:t xml:space="preserve">now</w:t>
      </w:r>
      <w:r>
        <w:t xml:space="preserve">”</w:t>
      </w:r>
      <w:r>
        <w:t xml:space="preserve">, reads scan recent ranges, adjacent samples are similar, and old data matters only in aggregate.</w:t>
      </w:r>
    </w:p>
    <w:bookmarkEnd w:id="1386"/>
    <w:bookmarkStart w:id="1390" w:name="how-it-works-internally-47"/>
    <w:p>
      <w:pPr>
        <w:pStyle w:val="Heading4"/>
      </w:pPr>
      <w:r>
        <w:t xml:space="preserve">How it works internally</w:t>
      </w:r>
    </w:p>
    <w:p>
      <w:pPr>
        <w:numPr>
          <w:ilvl w:val="0"/>
          <w:numId w:val="1423"/>
        </w:numPr>
        <w:pStyle w:val="Compact"/>
      </w:pPr>
      <w:r>
        <w:t xml:space="preserve">An</w:t>
      </w:r>
      <w:r>
        <w:t xml:space="preserve"> </w:t>
      </w:r>
      <w:r>
        <w:rPr>
          <w:bCs/>
          <w:b/>
        </w:rPr>
        <w:t xml:space="preserve">inverted index</w:t>
      </w:r>
      <w:r>
        <w:t xml:space="preserve"> </w:t>
      </w:r>
      <w:r>
        <w:t xml:space="preserve">maps each</w:t>
      </w:r>
      <w:r>
        <w:t xml:space="preserve"> </w:t>
      </w:r>
      <w:r>
        <w:rPr>
          <w:rStyle w:val="VerbatimChar"/>
        </w:rPr>
        <w:t xml:space="preserve">label=value</w:t>
      </w:r>
      <w:r>
        <w:t xml:space="preserve"> </w:t>
      </w:r>
      <w:r>
        <w:t xml:space="preserve">pair to the series that have it (a postings list, §16.3), so</w:t>
      </w:r>
      <w:r>
        <w:t xml:space="preserve"> </w:t>
      </w:r>
      <w:r>
        <w:rPr>
          <w:rStyle w:val="VerbatimChar"/>
        </w:rPr>
        <w:t xml:space="preserve">{region="eu", job="api"}</w:t>
      </w:r>
      <w:r>
        <w:t xml:space="preserve"> </w:t>
      </w:r>
      <w:r>
        <w:t xml:space="preserve">is a list intersection.</w:t>
      </w:r>
    </w:p>
    <w:p>
      <w:pPr>
        <w:numPr>
          <w:ilvl w:val="0"/>
          <w:numId w:val="1423"/>
        </w:numPr>
        <w:pStyle w:val="Compact"/>
      </w:pPr>
      <w:r>
        <w:t xml:space="preserve">Each series’ samples are buffered in memory and logged to a</w:t>
      </w:r>
      <w:r>
        <w:t xml:space="preserve"> </w:t>
      </w:r>
      <w:r>
        <w:rPr>
          <w:bCs/>
          <w:b/>
        </w:rPr>
        <w:t xml:space="preserve">write-ahead log</w:t>
      </w:r>
      <w:r>
        <w:t xml:space="preserve">.</w:t>
      </w:r>
    </w:p>
    <w:p>
      <w:pPr>
        <w:numPr>
          <w:ilvl w:val="0"/>
          <w:numId w:val="1423"/>
        </w:numPr>
        <w:pStyle w:val="Compact"/>
      </w:pPr>
      <w:r>
        <w:t xml:space="preserve">Buffers are cut into</w:t>
      </w:r>
      <w:r>
        <w:t xml:space="preserve"> </w:t>
      </w:r>
      <w:r>
        <w:rPr>
          <w:bCs/>
          <w:b/>
        </w:rPr>
        <w:t xml:space="preserve">chunks</w:t>
      </w:r>
      <w:r>
        <w:t xml:space="preserve"> </w:t>
      </w:r>
      <w:r>
        <w:t xml:space="preserve">(up to 120 samples in Prometheus) compressed Gorilla-style, grouped into time-partitioned</w:t>
      </w:r>
      <w:r>
        <w:t xml:space="preserve"> </w:t>
      </w:r>
      <w:r>
        <w:rPr>
          <w:bCs/>
          <w:b/>
        </w:rPr>
        <w:t xml:space="preserve">blocks</w:t>
      </w:r>
      <w:r>
        <w:t xml:space="preserve"> </w:t>
      </w:r>
      <w:r>
        <w:t xml:space="preserve">(2 hours in Prometheus) and compacted into larger blocks.</w:t>
      </w:r>
    </w:p>
    <w:p>
      <w:pPr>
        <w:numPr>
          <w:ilvl w:val="0"/>
          <w:numId w:val="1423"/>
        </w:numPr>
        <w:pStyle w:val="Compact"/>
      </w:pPr>
      <w:r>
        <w:rPr>
          <w:bCs/>
          <w:b/>
        </w:rPr>
        <w:t xml:space="preserve">Retention</w:t>
      </w:r>
      <w:r>
        <w:t xml:space="preserve"> </w:t>
      </w:r>
      <w:r>
        <w:t xml:space="preserve">deletes whole expired blocks — a directory removal, not row deletes — and</w:t>
      </w:r>
      <w:r>
        <w:t xml:space="preserve"> </w:t>
      </w:r>
      <w:r>
        <w:rPr>
          <w:bCs/>
          <w:b/>
        </w:rPr>
        <w:t xml:space="preserve">downsampling</w:t>
      </w:r>
      <w:r>
        <w:t xml:space="preserve"> </w:t>
      </w:r>
      <w:r>
        <w:t xml:space="preserve">replaces old samples with aggregates (min, max, sum, count per 5 minutes or hour).</w:t>
      </w:r>
    </w:p>
    <w:p>
      <w:pPr>
        <w:pStyle w:val="FirstParagraph"/>
      </w:pPr>
      <w:r>
        <w:rPr>
          <w:bCs/>
          <w:b/>
        </w:rPr>
        <w:t xml:space="preserve">Figure 12.8 — Prometheus TSDB write and storage path.</w:t>
      </w:r>
    </w:p>
    <w:p>
      <w:pPr>
        <w:pStyle w:val="BodyText"/>
      </w:pPr>
      <w:r>
        <w:drawing>
          <wp:inline>
            <wp:extent cx="5334000" cy="685716"/>
            <wp:effectExtent b="0" l="0" r="0" t="0"/>
            <wp:docPr descr="" title="" id="1388" name="Picture"/>
            <a:graphic>
              <a:graphicData uri="http://schemas.openxmlformats.org/drawingml/2006/picture">
                <pic:pic>
                  <pic:nvPicPr>
                    <pic:cNvPr descr="/home/user/System-Design/build/.cache/diagrams/f4aa94fa4f83.png" id="1389" name="Picture"/>
                    <pic:cNvPicPr>
                      <a:picLocks noChangeArrowheads="1" noChangeAspect="1"/>
                    </pic:cNvPicPr>
                  </pic:nvPicPr>
                  <pic:blipFill>
                    <a:blip r:embed="rId1387"/>
                    <a:stretch>
                      <a:fillRect/>
                    </a:stretch>
                  </pic:blipFill>
                  <pic:spPr bwMode="auto">
                    <a:xfrm>
                      <a:off x="0" y="0"/>
                      <a:ext cx="5334000" cy="685716"/>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Prometheus pulls metrics over HTTP and appends each sample to the in-memory head block and the on-disk write-ahead log. Every two hours the head becomes an immutable block of compressed chunks plus an index; compaction (dotted, asynchronous) merges blocks, and retention (15 days by default) deletes old block directories. Queries use the postings index and read both head and blocks. The local disk is a single-node storage boundary; long retention and durability come from remote-write to systems such as Thanos, Cortex or Mimir. Failure points: a crash costs a WAL replay; a lost disk loses local history.</w:t>
      </w:r>
    </w:p>
    <w:bookmarkEnd w:id="1390"/>
    <w:bookmarkEnd w:id="1391"/>
    <w:bookmarkStart w:id="1395" w:name="Xb71b3fa8a57f92cfc53188c4077e1c3cb247fee"/>
    <w:p>
      <w:pPr>
        <w:pStyle w:val="Heading3"/>
      </w:pPr>
      <w:r>
        <w:t xml:space="preserve">12.8.2 Gorilla compression: delta-of-delta and XOR</w:t>
      </w:r>
    </w:p>
    <w:p>
      <w:pPr>
        <w:pStyle w:val="FirstParagraph"/>
      </w:pPr>
      <w:r>
        <w:t xml:space="preserve">Facebook’s Gorilla paper [Pelkonen et al. 2015] introduced the compression most modern TSDBs adapt, encoding timestamps and values separately against the previous sample.</w:t>
      </w:r>
    </w:p>
    <w:p>
      <w:pPr>
        <w:pStyle w:val="BodyText"/>
      </w:pPr>
      <w:r>
        <w:rPr>
          <w:bCs/>
          <w:b/>
        </w:rPr>
        <w:t xml:space="preserve">Timestamps — delta-of-delta.</w:t>
      </w:r>
      <w:r>
        <w:t xml:space="preserve"> </w:t>
      </w:r>
      <w:r>
        <w:t xml:space="preserve">With a fixed scrape interval, consecutive deltas are equal, so the encoder stores</w:t>
      </w:r>
      <w:r>
        <w:t xml:space="preserve"> </w:t>
      </w:r>
      <m:oMath>
        <m:r>
          <m:t>D</m:t>
        </m:r>
        <m:r>
          <m:rPr>
            <m:sty m:val="p"/>
          </m:rPr>
          <m:t>=</m:t>
        </m:r>
        <m:d>
          <m:dPr>
            <m:begChr m:val="("/>
            <m:endChr m:val=")"/>
            <m:sepChr m:val=""/>
            <m:grow/>
          </m:dPr>
          <m:e>
            <m:sSub>
              <m:e>
                <m:r>
                  <m:t>t</m:t>
                </m:r>
              </m:e>
              <m:sub>
                <m:r>
                  <m:t>n</m:t>
                </m:r>
              </m:sub>
            </m:sSub>
            <m:r>
              <m:rPr>
                <m:sty m:val="p"/>
              </m:rPr>
              <m:t>−</m:t>
            </m:r>
            <m:sSub>
              <m:e>
                <m:r>
                  <m:t>t</m:t>
                </m:r>
              </m:e>
              <m:sub>
                <m:r>
                  <m:t>n</m:t>
                </m:r>
                <m:r>
                  <m:rPr>
                    <m:sty m:val="p"/>
                  </m:rPr>
                  <m:t>−</m:t>
                </m:r>
                <m:r>
                  <m:t>1</m:t>
                </m:r>
              </m:sub>
            </m:sSub>
          </m:e>
        </m:d>
        <m:r>
          <m:rPr>
            <m:sty m:val="p"/>
          </m:rPr>
          <m:t>−</m:t>
        </m:r>
        <m:d>
          <m:dPr>
            <m:begChr m:val="("/>
            <m:endChr m:val=")"/>
            <m:sepChr m:val=""/>
            <m:grow/>
          </m:dPr>
          <m:e>
            <m:sSub>
              <m:e>
                <m:r>
                  <m:t>t</m:t>
                </m:r>
              </m:e>
              <m:sub>
                <m:r>
                  <m:t>n</m:t>
                </m:r>
                <m:r>
                  <m:rPr>
                    <m:sty m:val="p"/>
                  </m:rPr>
                  <m:t>−</m:t>
                </m:r>
                <m:r>
                  <m:t>1</m:t>
                </m:r>
              </m:sub>
            </m:sSub>
            <m:r>
              <m:rPr>
                <m:sty m:val="p"/>
              </m:rPr>
              <m:t>−</m:t>
            </m:r>
            <m:sSub>
              <m:e>
                <m:r>
                  <m:t>t</m:t>
                </m:r>
              </m:e>
              <m:sub>
                <m:r>
                  <m:t>n</m:t>
                </m:r>
                <m:r>
                  <m:rPr>
                    <m:sty m:val="p"/>
                  </m:rPr>
                  <m:t>−</m:t>
                </m:r>
                <m:r>
                  <m:t>2</m:t>
                </m:r>
              </m:sub>
            </m:sSub>
          </m:e>
        </m:d>
      </m:oMath>
      <w:r>
        <w:t xml:space="preserve"> </w:t>
      </w:r>
      <w:r>
        <w:t xml:space="preserve">with a prefix code:</w:t>
      </w:r>
      <w:r>
        <w:t xml:space="preserve"> </w:t>
      </w:r>
      <w:r>
        <w:rPr>
          <w:rStyle w:val="VerbatimChar"/>
        </w:rPr>
        <w:t xml:space="preserve">0</w:t>
      </w:r>
      <w:r>
        <w:t xml:space="preserve"> </w:t>
      </w:r>
      <w:r>
        <w:t xml:space="preserve">if</w:t>
      </w:r>
      <w:r>
        <w:t xml:space="preserve"> </w:t>
      </w:r>
      <m:oMath>
        <m:r>
          <m:t>D</m:t>
        </m:r>
        <m:r>
          <m:rPr>
            <m:sty m:val="p"/>
          </m:rPr>
          <m:t>=</m:t>
        </m:r>
        <m:r>
          <m:t>0</m:t>
        </m:r>
      </m:oMath>
      <w:r>
        <w:t xml:space="preserve">;</w:t>
      </w:r>
      <w:r>
        <w:t xml:space="preserve"> </w:t>
      </w:r>
      <w:r>
        <w:rPr>
          <w:rStyle w:val="VerbatimChar"/>
        </w:rPr>
        <w:t xml:space="preserve">10</w:t>
      </w:r>
      <w:r>
        <w:t xml:space="preserve"> </w:t>
      </w:r>
      <w:r>
        <w:t xml:space="preserve">+ 7 bits for</w:t>
      </w:r>
      <w:r>
        <w:t xml:space="preserve"> </w:t>
      </w:r>
      <m:oMath>
        <m:r>
          <m:t>D</m:t>
        </m:r>
        <m:r>
          <m:rPr>
            <m:sty m:val="p"/>
          </m:rPr>
          <m:t>∈</m:t>
        </m:r>
        <m:d>
          <m:dPr>
            <m:begChr m:val="["/>
            <m:endChr m:val="]"/>
            <m:sepChr m:val=""/>
            <m:grow/>
          </m:dPr>
          <m:e>
            <m:r>
              <m:rPr>
                <m:sty m:val="p"/>
              </m:rPr>
              <m:t>−</m:t>
            </m:r>
            <m:r>
              <m:t>63</m:t>
            </m:r>
            <m:r>
              <m:rPr>
                <m:sty m:val="p"/>
              </m:rPr>
              <m:t>,</m:t>
            </m:r>
            <m:r>
              <m:t>64</m:t>
            </m:r>
          </m:e>
        </m:d>
      </m:oMath>
      <w:r>
        <w:t xml:space="preserve">;</w:t>
      </w:r>
      <w:r>
        <w:t xml:space="preserve"> </w:t>
      </w:r>
      <w:r>
        <w:rPr>
          <w:rStyle w:val="VerbatimChar"/>
        </w:rPr>
        <w:t xml:space="preserve">110</w:t>
      </w:r>
      <w:r>
        <w:t xml:space="preserve"> </w:t>
      </w:r>
      <w:r>
        <w:t xml:space="preserve">+ 9 bits for</w:t>
      </w:r>
      <w:r>
        <w:t xml:space="preserve"> </w:t>
      </w:r>
      <m:oMath>
        <m:d>
          <m:dPr>
            <m:begChr m:val="["/>
            <m:endChr m:val="]"/>
            <m:sepChr m:val=""/>
            <m:grow/>
          </m:dPr>
          <m:e>
            <m:r>
              <m:rPr>
                <m:sty m:val="p"/>
              </m:rPr>
              <m:t>−</m:t>
            </m:r>
            <m:r>
              <m:t>255</m:t>
            </m:r>
            <m:r>
              <m:rPr>
                <m:sty m:val="p"/>
              </m:rPr>
              <m:t>,</m:t>
            </m:r>
            <m:r>
              <m:t>256</m:t>
            </m:r>
          </m:e>
        </m:d>
      </m:oMath>
      <w:r>
        <w:t xml:space="preserve">;</w:t>
      </w:r>
      <w:r>
        <w:t xml:space="preserve"> </w:t>
      </w:r>
      <w:r>
        <w:rPr>
          <w:rStyle w:val="VerbatimChar"/>
        </w:rPr>
        <w:t xml:space="preserve">1110</w:t>
      </w:r>
      <w:r>
        <w:t xml:space="preserve"> </w:t>
      </w:r>
      <w:r>
        <w:t xml:space="preserve">+ 12 bits for</w:t>
      </w:r>
      <w:r>
        <w:t xml:space="preserve"> </w:t>
      </w:r>
      <m:oMath>
        <m:d>
          <m:dPr>
            <m:begChr m:val="["/>
            <m:endChr m:val="]"/>
            <m:sepChr m:val=""/>
            <m:grow/>
          </m:dPr>
          <m:e>
            <m:r>
              <m:rPr>
                <m:sty m:val="p"/>
              </m:rPr>
              <m:t>−</m:t>
            </m:r>
            <m:r>
              <m:t>2047</m:t>
            </m:r>
            <m:r>
              <m:rPr>
                <m:sty m:val="p"/>
              </m:rPr>
              <m:t>,</m:t>
            </m:r>
            <m:r>
              <m:t>2048</m:t>
            </m:r>
          </m:e>
        </m:d>
      </m:oMath>
      <w:r>
        <w:t xml:space="preserve">; else</w:t>
      </w:r>
      <w:r>
        <w:t xml:space="preserve"> </w:t>
      </w:r>
      <w:r>
        <w:rPr>
          <w:rStyle w:val="VerbatimChar"/>
        </w:rPr>
        <w:t xml:space="preserve">1111</w:t>
      </w:r>
      <w:r>
        <w:t xml:space="preserve"> </w:t>
      </w:r>
      <w:r>
        <w:t xml:space="preserve">+ 32 bits.</w:t>
      </w:r>
    </w:p>
    <w:p>
      <w:pPr>
        <w:pStyle w:val="BodyText"/>
      </w:pPr>
      <w:r>
        <w:rPr>
          <w:bCs/>
          <w:b/>
        </w:rPr>
        <w:t xml:space="preserve">Values — XOR.</w:t>
      </w:r>
      <w:r>
        <w:t xml:space="preserve"> </w:t>
      </w:r>
      <w:r>
        <w:t xml:space="preserve">Consecutive values share sign, exponent and leading mantissa bits, so XOR with the previous value is mostly zeros: store</w:t>
      </w:r>
      <w:r>
        <w:t xml:space="preserve"> </w:t>
      </w:r>
      <w:r>
        <w:rPr>
          <w:rStyle w:val="VerbatimChar"/>
        </w:rPr>
        <w:t xml:space="preserve">0</w:t>
      </w:r>
      <w:r>
        <w:t xml:space="preserve"> </w:t>
      </w:r>
      <w:r>
        <w:t xml:space="preserve">if it is zero; otherwise</w:t>
      </w:r>
      <w:r>
        <w:t xml:space="preserve"> </w:t>
      </w:r>
      <w:r>
        <w:rPr>
          <w:rStyle w:val="VerbatimChar"/>
        </w:rPr>
        <w:t xml:space="preserve">1</w:t>
      </w:r>
      <w:r>
        <w:t xml:space="preserve">, then either</w:t>
      </w:r>
      <w:r>
        <w:t xml:space="preserve"> </w:t>
      </w:r>
      <w:r>
        <w:rPr>
          <w:rStyle w:val="VerbatimChar"/>
        </w:rPr>
        <w:t xml:space="preserve">0</w:t>
      </w:r>
      <w:r>
        <w:t xml:space="preserve"> </w:t>
      </w:r>
      <w:r>
        <w:t xml:space="preserve">plus the meaningful bits within the previous leading/trailing-zero window, or</w:t>
      </w:r>
      <w:r>
        <w:t xml:space="preserve"> </w:t>
      </w:r>
      <w:r>
        <w:rPr>
          <w:rStyle w:val="VerbatimChar"/>
        </w:rPr>
        <w:t xml:space="preserve">1</w:t>
      </w:r>
      <w:r>
        <w:t xml:space="preserve">, a 5-bit leading-zero count, a 6-bit length and the meaningful bits.</w:t>
      </w:r>
    </w:p>
    <w:p>
      <w:pPr>
        <w:pStyle w:val="BodyText"/>
      </w:pPr>
      <w:r>
        <w:rPr>
          <w:bCs/>
          <w:b/>
        </w:rPr>
        <w:t xml:space="preserve">Figure 12.9 — Gorilla’s per-sample encoding decisions.</w:t>
      </w:r>
    </w:p>
    <w:p>
      <w:pPr>
        <w:pStyle w:val="BodyText"/>
      </w:pPr>
      <w:r>
        <w:drawing>
          <wp:inline>
            <wp:extent cx="5334000" cy="4332737"/>
            <wp:effectExtent b="0" l="0" r="0" t="0"/>
            <wp:docPr descr="" title="" id="1393" name="Picture"/>
            <a:graphic>
              <a:graphicData uri="http://schemas.openxmlformats.org/drawingml/2006/picture">
                <pic:pic>
                  <pic:nvPicPr>
                    <pic:cNvPr descr="/home/user/System-Design/build/.cache/diagrams/3c89c0600440.png" id="1394" name="Picture"/>
                    <pic:cNvPicPr>
                      <a:picLocks noChangeArrowheads="1" noChangeAspect="1"/>
                    </pic:cNvPicPr>
                  </pic:nvPicPr>
                  <pic:blipFill>
                    <a:blip r:embed="rId1392"/>
                    <a:stretch>
                      <a:fillRect/>
                    </a:stretch>
                  </pic:blipFill>
                  <pic:spPr bwMode="auto">
                    <a:xfrm>
                      <a:off x="0" y="0"/>
                      <a:ext cx="5334000" cy="4332737"/>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Each sample takes two independent paths, timestamp and value, both depending only on the previous sample — so chunks decode sequentially from the start. The common case on each path costs one bit. There are no network or storage boundaries; the failure point is data that defeats the assumptions (jittery timestamps, noisy values). Series encode independently, so compression parallelizes across cores.</w:t>
      </w:r>
    </w:p>
    <w:p>
      <w:pPr>
        <w:pStyle w:val="BodyText"/>
      </w:pPr>
      <w:r>
        <w:t xml:space="preserve">This program counts the bits used for three kinds of series:</w:t>
      </w:r>
    </w:p>
    <w:p>
      <w:pPr>
        <w:pStyle w:val="SourceCode"/>
      </w:pPr>
      <w:r>
        <w:rPr>
          <w:rStyle w:val="CommentTok"/>
        </w:rPr>
        <w:t xml:space="preserve">"""Gorilla-style compression (Pelkonen et al., VLDB 2015): delta-of-delta</w:t>
      </w:r>
      <w:r>
        <w:br/>
      </w:r>
      <w:r>
        <w:rPr>
          <w:rStyle w:val="CommentTok"/>
        </w:rPr>
        <w:t xml:space="preserve">timestamps and XOR-encoded float values. Counts bits; returns bits per point."""</w:t>
      </w:r>
      <w:r>
        <w:br/>
      </w:r>
      <w:r>
        <w:rPr>
          <w:rStyle w:val="ImportTok"/>
        </w:rPr>
        <w:t xml:space="preserve">import</w:t>
      </w:r>
      <w:r>
        <w:rPr>
          <w:rStyle w:val="NormalTok"/>
        </w:rPr>
        <w:t xml:space="preserve"> random</w:t>
      </w:r>
      <w:r>
        <w:br/>
      </w:r>
      <w:r>
        <w:rPr>
          <w:rStyle w:val="ImportTok"/>
        </w:rPr>
        <w:t xml:space="preserve">import</w:t>
      </w:r>
      <w:r>
        <w:rPr>
          <w:rStyle w:val="NormalTok"/>
        </w:rPr>
        <w:t xml:space="preserve"> struct</w:t>
      </w:r>
      <w:r>
        <w:br/>
      </w:r>
      <w:r>
        <w:br/>
      </w:r>
      <w:r>
        <w:rPr>
          <w:rStyle w:val="KeywordTok"/>
        </w:rPr>
        <w:t xml:space="preserve">def</w:t>
      </w:r>
      <w:r>
        <w:rPr>
          <w:rStyle w:val="NormalTok"/>
        </w:rPr>
        <w:t xml:space="preserve"> float_bits(x: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ntrolFlowTok"/>
        </w:rPr>
        <w:t xml:space="preserve">return</w:t>
      </w:r>
      <w:r>
        <w:rPr>
          <w:rStyle w:val="NormalTok"/>
        </w:rPr>
        <w:t xml:space="preserve"> struct.unpack(</w:t>
      </w:r>
      <w:r>
        <w:rPr>
          <w:rStyle w:val="StringTok"/>
        </w:rPr>
        <w:t xml:space="preserve">"&gt;Q"</w:t>
      </w:r>
      <w:r>
        <w:rPr>
          <w:rStyle w:val="NormalTok"/>
        </w:rPr>
        <w:t xml:space="preserve">, struct.pack(</w:t>
      </w:r>
      <w:r>
        <w:rPr>
          <w:rStyle w:val="StringTok"/>
        </w:rPr>
        <w:t xml:space="preserve">"&gt;d"</w:t>
      </w:r>
      <w:r>
        <w:rPr>
          <w:rStyle w:val="NormalTok"/>
        </w:rPr>
        <w:t xml:space="preserve">, x))[</w:t>
      </w:r>
      <w:r>
        <w:rPr>
          <w:rStyle w:val="DecValTok"/>
        </w:rPr>
        <w:t xml:space="preserve">0</w:t>
      </w:r>
      <w:r>
        <w:rPr>
          <w:rStyle w:val="NormalTok"/>
        </w:rPr>
        <w:t xml:space="preserve">]</w:t>
      </w:r>
      <w:r>
        <w:br/>
      </w:r>
      <w:r>
        <w:br/>
      </w:r>
      <w:r>
        <w:rPr>
          <w:rStyle w:val="KeywordTok"/>
        </w:rPr>
        <w:t xml:space="preserve">def</w:t>
      </w:r>
      <w:r>
        <w:rPr>
          <w:rStyle w:val="NormalTok"/>
        </w:rPr>
        <w:t xml:space="preserve"> encode(points):</w:t>
      </w:r>
      <w:r>
        <w:br/>
      </w:r>
      <w:r>
        <w:rPr>
          <w:rStyle w:val="NormalTok"/>
        </w:rPr>
        <w:t xml:space="preserve">    </w:t>
      </w:r>
      <w:r>
        <w:rPr>
          <w:rStyle w:val="CommentTok"/>
        </w:rPr>
        <w:t xml:space="preserve">"""points: list of (unix_seconds, float). Returns total bits used."""</w:t>
      </w:r>
      <w:r>
        <w:br/>
      </w:r>
      <w:r>
        <w:rPr>
          <w:rStyle w:val="NormalTok"/>
        </w:rPr>
        <w:t xml:space="preserve">    t0, v0 </w:t>
      </w:r>
      <w:r>
        <w:rPr>
          <w:rStyle w:val="OperatorTok"/>
        </w:rPr>
        <w:t xml:space="preserve">=</w:t>
      </w:r>
      <w:r>
        <w:rPr>
          <w:rStyle w:val="NormalTok"/>
        </w:rPr>
        <w:t xml:space="preserve"> points[</w:t>
      </w:r>
      <w:r>
        <w:rPr>
          <w:rStyle w:val="DecValTok"/>
        </w:rPr>
        <w:t xml:space="preserve">0</w:t>
      </w:r>
      <w:r>
        <w:rPr>
          <w:rStyle w:val="NormalTok"/>
        </w:rPr>
        <w:t xml:space="preserve">]</w:t>
      </w:r>
      <w:r>
        <w:br/>
      </w:r>
      <w:r>
        <w:rPr>
          <w:rStyle w:val="NormalTok"/>
        </w:rPr>
        <w:t xml:space="preserve">    bits </w:t>
      </w:r>
      <w:r>
        <w:rPr>
          <w:rStyle w:val="OperatorTok"/>
        </w:rPr>
        <w:t xml:space="preserve">=</w:t>
      </w:r>
      <w:r>
        <w:rPr>
          <w:rStyle w:val="NormalTok"/>
        </w:rPr>
        <w:t xml:space="preserve"> </w:t>
      </w:r>
      <w:r>
        <w:rPr>
          <w:rStyle w:val="DecValTok"/>
        </w:rPr>
        <w:t xml:space="preserve">64</w:t>
      </w:r>
      <w:r>
        <w:rPr>
          <w:rStyle w:val="NormalTok"/>
        </w:rPr>
        <w:t xml:space="preserve"> </w:t>
      </w:r>
      <w:r>
        <w:rPr>
          <w:rStyle w:val="OperatorTok"/>
        </w:rPr>
        <w:t xml:space="preserve">+</w:t>
      </w:r>
      <w:r>
        <w:rPr>
          <w:rStyle w:val="NormalTok"/>
        </w:rPr>
        <w:t xml:space="preserve"> </w:t>
      </w:r>
      <w:r>
        <w:rPr>
          <w:rStyle w:val="DecValTok"/>
        </w:rPr>
        <w:t xml:space="preserve">64</w:t>
      </w:r>
      <w:r>
        <w:rPr>
          <w:rStyle w:val="NormalTok"/>
        </w:rPr>
        <w:t xml:space="preserve">                          </w:t>
      </w:r>
      <w:r>
        <w:rPr>
          <w:rStyle w:val="CommentTok"/>
        </w:rPr>
        <w:t xml:space="preserve"># first timestamp and value stored raw</w:t>
      </w:r>
      <w:r>
        <w:br/>
      </w:r>
      <w:r>
        <w:rPr>
          <w:rStyle w:val="NormalTok"/>
        </w:rPr>
        <w:t xml:space="preserve">    prev_t, prev_delta, prev_v </w:t>
      </w:r>
      <w:r>
        <w:rPr>
          <w:rStyle w:val="OperatorTok"/>
        </w:rPr>
        <w:t xml:space="preserve">=</w:t>
      </w:r>
      <w:r>
        <w:rPr>
          <w:rStyle w:val="NormalTok"/>
        </w:rPr>
        <w:t xml:space="preserve"> t0, </w:t>
      </w:r>
      <w:r>
        <w:rPr>
          <w:rStyle w:val="DecValTok"/>
        </w:rPr>
        <w:t xml:space="preserve">0</w:t>
      </w:r>
      <w:r>
        <w:rPr>
          <w:rStyle w:val="NormalTok"/>
        </w:rPr>
        <w:t xml:space="preserve">, float_bits(v0)</w:t>
      </w:r>
      <w:r>
        <w:br/>
      </w:r>
      <w:r>
        <w:rPr>
          <w:rStyle w:val="NormalTok"/>
        </w:rPr>
        <w:t xml:space="preserve">    prev_lead, prev_trail </w:t>
      </w:r>
      <w:r>
        <w:rPr>
          <w:rStyle w:val="OperatorTok"/>
        </w:rPr>
        <w:t xml:space="preserve">=</w:t>
      </w:r>
      <w:r>
        <w:rPr>
          <w:rStyle w:val="NormalTok"/>
        </w:rPr>
        <w:t xml:space="preserve"> </w:t>
      </w:r>
      <w:r>
        <w:rPr>
          <w:rStyle w:val="VariableTok"/>
        </w:rPr>
        <w:t xml:space="preserve">None</w:t>
      </w:r>
      <w:r>
        <w:rPr>
          <w:rStyle w:val="NormalTok"/>
        </w:rPr>
        <w:t xml:space="preserve">, </w:t>
      </w:r>
      <w:r>
        <w:rPr>
          <w:rStyle w:val="VariableTok"/>
        </w:rPr>
        <w:t xml:space="preserve">None</w:t>
      </w:r>
      <w:r>
        <w:br/>
      </w:r>
      <w:r>
        <w:rPr>
          <w:rStyle w:val="NormalTok"/>
        </w:rPr>
        <w:t xml:space="preserve">    </w:t>
      </w:r>
      <w:r>
        <w:rPr>
          <w:rStyle w:val="ControlFlowTok"/>
        </w:rPr>
        <w:t xml:space="preserve">for</w:t>
      </w:r>
      <w:r>
        <w:rPr>
          <w:rStyle w:val="NormalTok"/>
        </w:rPr>
        <w:t xml:space="preserve"> t, v </w:t>
      </w:r>
      <w:r>
        <w:rPr>
          <w:rStyle w:val="KeywordTok"/>
        </w:rPr>
        <w:t xml:space="preserve">in</w:t>
      </w:r>
      <w:r>
        <w:rPr>
          <w:rStyle w:val="NormalTok"/>
        </w:rPr>
        <w:t xml:space="preserve"> points[</w:t>
      </w:r>
      <w:r>
        <w:rPr>
          <w:rStyle w:val="DecValTok"/>
        </w:rPr>
        <w:t xml:space="preserve">1</w:t>
      </w:r>
      <w:r>
        <w:rPr>
          <w:rStyle w:val="NormalTok"/>
        </w:rPr>
        <w:t xml:space="preserve">:]:</w:t>
      </w:r>
      <w:r>
        <w:br/>
      </w:r>
      <w:r>
        <w:rPr>
          <w:rStyle w:val="NormalTok"/>
        </w:rPr>
        <w:t xml:space="preserve">        delta </w:t>
      </w:r>
      <w:r>
        <w:rPr>
          <w:rStyle w:val="OperatorTok"/>
        </w:rPr>
        <w:t xml:space="preserve">=</w:t>
      </w:r>
      <w:r>
        <w:rPr>
          <w:rStyle w:val="NormalTok"/>
        </w:rPr>
        <w:t xml:space="preserve"> t </w:t>
      </w:r>
      <w:r>
        <w:rPr>
          <w:rStyle w:val="OperatorTok"/>
        </w:rPr>
        <w:t xml:space="preserve">-</w:t>
      </w:r>
      <w:r>
        <w:rPr>
          <w:rStyle w:val="NormalTok"/>
        </w:rPr>
        <w:t xml:space="preserve"> prev_t</w:t>
      </w:r>
      <w:r>
        <w:br/>
      </w:r>
      <w:r>
        <w:rPr>
          <w:rStyle w:val="NormalTok"/>
        </w:rPr>
        <w:t xml:space="preserve">        dod </w:t>
      </w:r>
      <w:r>
        <w:rPr>
          <w:rStyle w:val="OperatorTok"/>
        </w:rPr>
        <w:t xml:space="preserve">=</w:t>
      </w:r>
      <w:r>
        <w:rPr>
          <w:rStyle w:val="NormalTok"/>
        </w:rPr>
        <w:t xml:space="preserve"> delta </w:t>
      </w:r>
      <w:r>
        <w:rPr>
          <w:rStyle w:val="OperatorTok"/>
        </w:rPr>
        <w:t xml:space="preserve">-</w:t>
      </w:r>
      <w:r>
        <w:rPr>
          <w:rStyle w:val="NormalTok"/>
        </w:rPr>
        <w:t xml:space="preserve"> prev_delta            </w:t>
      </w:r>
      <w:r>
        <w:rPr>
          <w:rStyle w:val="CommentTok"/>
        </w:rPr>
        <w:t xml:space="preserve"># delta of delta</w:t>
      </w:r>
      <w:r>
        <w:br/>
      </w:r>
      <w:r>
        <w:rPr>
          <w:rStyle w:val="NormalTok"/>
        </w:rPr>
        <w:t xml:space="preserve">        </w:t>
      </w:r>
      <w:r>
        <w:rPr>
          <w:rStyle w:val="ControlFlowTok"/>
        </w:rPr>
        <w:t xml:space="preserve">if</w:t>
      </w:r>
      <w:r>
        <w:rPr>
          <w:rStyle w:val="NormalTok"/>
        </w:rPr>
        <w:t xml:space="preserve"> dod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bits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'0'</w:t>
      </w:r>
      <w:r>
        <w:br/>
      </w:r>
      <w:r>
        <w:rPr>
          <w:rStyle w:val="NormalTok"/>
        </w:rPr>
        <w:t xml:space="preserve">        </w:t>
      </w:r>
      <w:r>
        <w:rPr>
          <w:rStyle w:val="ControlFlowTok"/>
        </w:rPr>
        <w:t xml:space="preserve">elif</w:t>
      </w:r>
      <w:r>
        <w:rPr>
          <w:rStyle w:val="NormalTok"/>
        </w:rPr>
        <w:t xml:space="preserve"> </w:t>
      </w:r>
      <w:r>
        <w:rPr>
          <w:rStyle w:val="OperatorTok"/>
        </w:rPr>
        <w:t xml:space="preserve">-</w:t>
      </w:r>
      <w:r>
        <w:rPr>
          <w:rStyle w:val="DecValTok"/>
        </w:rPr>
        <w:t xml:space="preserve">63</w:t>
      </w:r>
      <w:r>
        <w:rPr>
          <w:rStyle w:val="NormalTok"/>
        </w:rPr>
        <w:t xml:space="preserve"> </w:t>
      </w:r>
      <w:r>
        <w:rPr>
          <w:rStyle w:val="OperatorTok"/>
        </w:rPr>
        <w:t xml:space="preserve">&lt;=</w:t>
      </w:r>
      <w:r>
        <w:rPr>
          <w:rStyle w:val="NormalTok"/>
        </w:rPr>
        <w:t xml:space="preserve"> dod </w:t>
      </w:r>
      <w:r>
        <w:rPr>
          <w:rStyle w:val="OperatorTok"/>
        </w:rPr>
        <w:t xml:space="preserve">&lt;=</w:t>
      </w:r>
      <w:r>
        <w:rPr>
          <w:rStyle w:val="NormalTok"/>
        </w:rPr>
        <w:t xml:space="preserve"> </w:t>
      </w:r>
      <w:r>
        <w:rPr>
          <w:rStyle w:val="DecValTok"/>
        </w:rPr>
        <w:t xml:space="preserve">64</w:t>
      </w:r>
      <w:r>
        <w:rPr>
          <w:rStyle w:val="NormalTok"/>
        </w:rPr>
        <w:t xml:space="preserve">:</w:t>
      </w:r>
      <w:r>
        <w:br/>
      </w:r>
      <w:r>
        <w:rPr>
          <w:rStyle w:val="NormalTok"/>
        </w:rPr>
        <w:t xml:space="preserve">            bits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7</w:t>
      </w:r>
      <w:r>
        <w:rPr>
          <w:rStyle w:val="NormalTok"/>
        </w:rPr>
        <w:t xml:space="preserve">                               </w:t>
      </w:r>
      <w:r>
        <w:rPr>
          <w:rStyle w:val="CommentTok"/>
        </w:rPr>
        <w:t xml:space="preserve"># '10' + 7 bits</w:t>
      </w:r>
      <w:r>
        <w:br/>
      </w:r>
      <w:r>
        <w:rPr>
          <w:rStyle w:val="NormalTok"/>
        </w:rPr>
        <w:t xml:space="preserve">        </w:t>
      </w:r>
      <w:r>
        <w:rPr>
          <w:rStyle w:val="ControlFlowTok"/>
        </w:rPr>
        <w:t xml:space="preserve">elif</w:t>
      </w:r>
      <w:r>
        <w:rPr>
          <w:rStyle w:val="NormalTok"/>
        </w:rPr>
        <w:t xml:space="preserve"> </w:t>
      </w:r>
      <w:r>
        <w:rPr>
          <w:rStyle w:val="OperatorTok"/>
        </w:rPr>
        <w:t xml:space="preserve">-</w:t>
      </w:r>
      <w:r>
        <w:rPr>
          <w:rStyle w:val="DecValTok"/>
        </w:rPr>
        <w:t xml:space="preserve">255</w:t>
      </w:r>
      <w:r>
        <w:rPr>
          <w:rStyle w:val="NormalTok"/>
        </w:rPr>
        <w:t xml:space="preserve"> </w:t>
      </w:r>
      <w:r>
        <w:rPr>
          <w:rStyle w:val="OperatorTok"/>
        </w:rPr>
        <w:t xml:space="preserve">&lt;=</w:t>
      </w:r>
      <w:r>
        <w:rPr>
          <w:rStyle w:val="NormalTok"/>
        </w:rPr>
        <w:t xml:space="preserve"> dod </w:t>
      </w:r>
      <w:r>
        <w:rPr>
          <w:rStyle w:val="OperatorTok"/>
        </w:rPr>
        <w:t xml:space="preserve">&lt;=</w:t>
      </w:r>
      <w:r>
        <w:rPr>
          <w:rStyle w:val="NormalTok"/>
        </w:rPr>
        <w:t xml:space="preserve"> </w:t>
      </w:r>
      <w:r>
        <w:rPr>
          <w:rStyle w:val="DecValTok"/>
        </w:rPr>
        <w:t xml:space="preserve">256</w:t>
      </w:r>
      <w:r>
        <w:rPr>
          <w:rStyle w:val="NormalTok"/>
        </w:rPr>
        <w:t xml:space="preserve">:</w:t>
      </w:r>
      <w:r>
        <w:br/>
      </w:r>
      <w:r>
        <w:rPr>
          <w:rStyle w:val="NormalTok"/>
        </w:rPr>
        <w:t xml:space="preserve">            bits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9</w:t>
      </w:r>
      <w:r>
        <w:rPr>
          <w:rStyle w:val="NormalTok"/>
        </w:rPr>
        <w:t xml:space="preserve">                               </w:t>
      </w:r>
      <w:r>
        <w:rPr>
          <w:rStyle w:val="CommentTok"/>
        </w:rPr>
        <w:t xml:space="preserve"># '110' + 9 bits</w:t>
      </w:r>
      <w:r>
        <w:br/>
      </w:r>
      <w:r>
        <w:rPr>
          <w:rStyle w:val="NormalTok"/>
        </w:rPr>
        <w:t xml:space="preserve">        </w:t>
      </w:r>
      <w:r>
        <w:rPr>
          <w:rStyle w:val="ControlFlowTok"/>
        </w:rPr>
        <w:t xml:space="preserve">elif</w:t>
      </w:r>
      <w:r>
        <w:rPr>
          <w:rStyle w:val="NormalTok"/>
        </w:rPr>
        <w:t xml:space="preserve"> </w:t>
      </w:r>
      <w:r>
        <w:rPr>
          <w:rStyle w:val="OperatorTok"/>
        </w:rPr>
        <w:t xml:space="preserve">-</w:t>
      </w:r>
      <w:r>
        <w:rPr>
          <w:rStyle w:val="DecValTok"/>
        </w:rPr>
        <w:t xml:space="preserve">2047</w:t>
      </w:r>
      <w:r>
        <w:rPr>
          <w:rStyle w:val="NormalTok"/>
        </w:rPr>
        <w:t xml:space="preserve"> </w:t>
      </w:r>
      <w:r>
        <w:rPr>
          <w:rStyle w:val="OperatorTok"/>
        </w:rPr>
        <w:t xml:space="preserve">&lt;=</w:t>
      </w:r>
      <w:r>
        <w:rPr>
          <w:rStyle w:val="NormalTok"/>
        </w:rPr>
        <w:t xml:space="preserve"> dod </w:t>
      </w:r>
      <w:r>
        <w:rPr>
          <w:rStyle w:val="OperatorTok"/>
        </w:rPr>
        <w:t xml:space="preserve">&lt;=</w:t>
      </w:r>
      <w:r>
        <w:rPr>
          <w:rStyle w:val="NormalTok"/>
        </w:rPr>
        <w:t xml:space="preserve"> </w:t>
      </w:r>
      <w:r>
        <w:rPr>
          <w:rStyle w:val="DecValTok"/>
        </w:rPr>
        <w:t xml:space="preserve">2048</w:t>
      </w:r>
      <w:r>
        <w:rPr>
          <w:rStyle w:val="NormalTok"/>
        </w:rPr>
        <w:t xml:space="preserve">:</w:t>
      </w:r>
      <w:r>
        <w:br/>
      </w:r>
      <w:r>
        <w:rPr>
          <w:rStyle w:val="NormalTok"/>
        </w:rPr>
        <w:t xml:space="preserve">            bits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12</w:t>
      </w:r>
      <w:r>
        <w:rPr>
          <w:rStyle w:val="NormalTok"/>
        </w:rPr>
        <w:t xml:space="preserve">                              </w:t>
      </w:r>
      <w:r>
        <w:rPr>
          <w:rStyle w:val="CommentTok"/>
        </w:rPr>
        <w:t xml:space="preserve"># '1110' + 12 bits</w:t>
      </w:r>
      <w:r>
        <w:br/>
      </w:r>
      <w:r>
        <w:rPr>
          <w:rStyle w:val="NormalTok"/>
        </w:rPr>
        <w:t xml:space="preserve">        </w:t>
      </w:r>
      <w:r>
        <w:rPr>
          <w:rStyle w:val="ControlFlowTok"/>
        </w:rPr>
        <w:t xml:space="preserve">else</w:t>
      </w:r>
      <w:r>
        <w:rPr>
          <w:rStyle w:val="NormalTok"/>
        </w:rPr>
        <w:t xml:space="preserve">:</w:t>
      </w:r>
      <w:r>
        <w:br/>
      </w:r>
      <w:r>
        <w:rPr>
          <w:rStyle w:val="NormalTok"/>
        </w:rPr>
        <w:t xml:space="preserve">            bits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32</w:t>
      </w:r>
      <w:r>
        <w:rPr>
          <w:rStyle w:val="NormalTok"/>
        </w:rPr>
        <w:t xml:space="preserve">                              </w:t>
      </w:r>
      <w:r>
        <w:rPr>
          <w:rStyle w:val="CommentTok"/>
        </w:rPr>
        <w:t xml:space="preserve"># '1111' + 32 bits</w:t>
      </w:r>
      <w:r>
        <w:br/>
      </w:r>
      <w:r>
        <w:rPr>
          <w:rStyle w:val="NormalTok"/>
        </w:rPr>
        <w:t xml:space="preserve">        prev_t, prev_delta </w:t>
      </w:r>
      <w:r>
        <w:rPr>
          <w:rStyle w:val="OperatorTok"/>
        </w:rPr>
        <w:t xml:space="preserve">=</w:t>
      </w:r>
      <w:r>
        <w:rPr>
          <w:rStyle w:val="NormalTok"/>
        </w:rPr>
        <w:t xml:space="preserve"> t, delta</w:t>
      </w:r>
      <w:r>
        <w:br/>
      </w:r>
      <w:r>
        <w:br/>
      </w:r>
      <w:r>
        <w:rPr>
          <w:rStyle w:val="NormalTok"/>
        </w:rPr>
        <w:t xml:space="preserve">        x </w:t>
      </w:r>
      <w:r>
        <w:rPr>
          <w:rStyle w:val="OperatorTok"/>
        </w:rPr>
        <w:t xml:space="preserve">=</w:t>
      </w:r>
      <w:r>
        <w:rPr>
          <w:rStyle w:val="NormalTok"/>
        </w:rPr>
        <w:t xml:space="preserve"> float_bits(v) </w:t>
      </w:r>
      <w:r>
        <w:rPr>
          <w:rStyle w:val="OperatorTok"/>
        </w:rPr>
        <w:t xml:space="preserve">^</w:t>
      </w:r>
      <w:r>
        <w:rPr>
          <w:rStyle w:val="NormalTok"/>
        </w:rPr>
        <w:t xml:space="preserve"> prev_v</w:t>
      </w:r>
      <w:r>
        <w:br/>
      </w:r>
      <w:r>
        <w:rPr>
          <w:rStyle w:val="NormalTok"/>
        </w:rPr>
        <w:t xml:space="preserve">        </w:t>
      </w:r>
      <w:r>
        <w:rPr>
          <w:rStyle w:val="ControlFlowTok"/>
        </w:rPr>
        <w:t xml:space="preserve">if</w:t>
      </w:r>
      <w:r>
        <w:rPr>
          <w:rStyle w:val="NormalTok"/>
        </w:rPr>
        <w:t xml:space="preserve"> x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bits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'0': value repeated</w:t>
      </w:r>
      <w:r>
        <w:br/>
      </w:r>
      <w:r>
        <w:rPr>
          <w:rStyle w:val="NormalTok"/>
        </w:rPr>
        <w:t xml:space="preserve">        </w:t>
      </w:r>
      <w:r>
        <w:rPr>
          <w:rStyle w:val="ControlFlowTok"/>
        </w:rPr>
        <w:t xml:space="preserve">else</w:t>
      </w:r>
      <w:r>
        <w:rPr>
          <w:rStyle w:val="NormalTok"/>
        </w:rPr>
        <w:t xml:space="preserve">:</w:t>
      </w:r>
      <w:r>
        <w:br/>
      </w:r>
      <w:r>
        <w:rPr>
          <w:rStyle w:val="NormalTok"/>
        </w:rPr>
        <w:t xml:space="preserve">            lead </w:t>
      </w:r>
      <w:r>
        <w:rPr>
          <w:rStyle w:val="OperatorTok"/>
        </w:rPr>
        <w:t xml:space="preserve">=</w:t>
      </w:r>
      <w:r>
        <w:rPr>
          <w:rStyle w:val="NormalTok"/>
        </w:rPr>
        <w:t xml:space="preserve"> </w:t>
      </w:r>
      <w:r>
        <w:rPr>
          <w:rStyle w:val="BuiltInTok"/>
        </w:rPr>
        <w:t xml:space="preserve">min</w:t>
      </w:r>
      <w:r>
        <w:rPr>
          <w:rStyle w:val="NormalTok"/>
        </w:rPr>
        <w:t xml:space="preserve">(</w:t>
      </w:r>
      <w:r>
        <w:rPr>
          <w:rStyle w:val="DecValTok"/>
        </w:rPr>
        <w:t xml:space="preserve">64</w:t>
      </w:r>
      <w:r>
        <w:rPr>
          <w:rStyle w:val="NormalTok"/>
        </w:rPr>
        <w:t xml:space="preserve"> </w:t>
      </w:r>
      <w:r>
        <w:rPr>
          <w:rStyle w:val="OperatorTok"/>
        </w:rPr>
        <w:t xml:space="preserve">-</w:t>
      </w:r>
      <w:r>
        <w:rPr>
          <w:rStyle w:val="NormalTok"/>
        </w:rPr>
        <w:t xml:space="preserve"> x.bit_length(), </w:t>
      </w:r>
      <w:r>
        <w:rPr>
          <w:rStyle w:val="DecValTok"/>
        </w:rPr>
        <w:t xml:space="preserve">31</w:t>
      </w:r>
      <w:r>
        <w:rPr>
          <w:rStyle w:val="NormalTok"/>
        </w:rPr>
        <w:t xml:space="preserve">)         </w:t>
      </w:r>
      <w:r>
        <w:rPr>
          <w:rStyle w:val="CommentTok"/>
        </w:rPr>
        <w:t xml:space="preserve"># 5-bit field caps at 31</w:t>
      </w:r>
      <w:r>
        <w:br/>
      </w:r>
      <w:r>
        <w:rPr>
          <w:rStyle w:val="NormalTok"/>
        </w:rPr>
        <w:t xml:space="preserve">            trail </w:t>
      </w:r>
      <w:r>
        <w:rPr>
          <w:rStyle w:val="OperatorTok"/>
        </w:rPr>
        <w:t xml:space="preserve">=</w:t>
      </w:r>
      <w:r>
        <w:rPr>
          <w:rStyle w:val="NormalTok"/>
        </w:rPr>
        <w:t xml:space="preserve"> (x </w:t>
      </w:r>
      <w:r>
        <w:rPr>
          <w:rStyle w:val="OperatorTok"/>
        </w:rPr>
        <w:t xml:space="preserve">&amp;</w:t>
      </w:r>
      <w:r>
        <w:rPr>
          <w:rStyle w:val="NormalTok"/>
        </w:rPr>
        <w:t xml:space="preserve"> </w:t>
      </w:r>
      <w:r>
        <w:rPr>
          <w:rStyle w:val="OperatorTok"/>
        </w:rPr>
        <w:t xml:space="preserve">-</w:t>
      </w:r>
      <w:r>
        <w:rPr>
          <w:rStyle w:val="NormalTok"/>
        </w:rPr>
        <w:t xml:space="preserve">x).bit_length()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prev_lead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lead </w:t>
      </w:r>
      <w:r>
        <w:rPr>
          <w:rStyle w:val="OperatorTok"/>
        </w:rPr>
        <w:t xml:space="preserve">&gt;=</w:t>
      </w:r>
      <w:r>
        <w:rPr>
          <w:rStyle w:val="NormalTok"/>
        </w:rPr>
        <w:t xml:space="preserve"> prev_lead </w:t>
      </w:r>
      <w:r>
        <w:rPr>
          <w:rStyle w:val="KeywordTok"/>
        </w:rPr>
        <w:t xml:space="preserve">and</w:t>
      </w:r>
      <w:r>
        <w:rPr>
          <w:rStyle w:val="NormalTok"/>
        </w:rPr>
        <w:t xml:space="preserve"> trail </w:t>
      </w:r>
      <w:r>
        <w:rPr>
          <w:rStyle w:val="OperatorTok"/>
        </w:rPr>
        <w:t xml:space="preserve">&gt;=</w:t>
      </w:r>
      <w:r>
        <w:rPr>
          <w:rStyle w:val="NormalTok"/>
        </w:rPr>
        <w:t xml:space="preserve"> prev_trail:</w:t>
      </w:r>
      <w:r>
        <w:br/>
      </w:r>
      <w:r>
        <w:rPr>
          <w:rStyle w:val="NormalTok"/>
        </w:rPr>
        <w:t xml:space="preserve">                bits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64</w:t>
      </w:r>
      <w:r>
        <w:rPr>
          <w:rStyle w:val="NormalTok"/>
        </w:rPr>
        <w:t xml:space="preserve"> </w:t>
      </w:r>
      <w:r>
        <w:rPr>
          <w:rStyle w:val="OperatorTok"/>
        </w:rPr>
        <w:t xml:space="preserve">-</w:t>
      </w:r>
      <w:r>
        <w:rPr>
          <w:rStyle w:val="NormalTok"/>
        </w:rPr>
        <w:t xml:space="preserve"> prev_lead </w:t>
      </w:r>
      <w:r>
        <w:rPr>
          <w:rStyle w:val="OperatorTok"/>
        </w:rPr>
        <w:t xml:space="preserve">-</w:t>
      </w:r>
      <w:r>
        <w:rPr>
          <w:rStyle w:val="NormalTok"/>
        </w:rPr>
        <w:t xml:space="preserve"> prev_trail)   </w:t>
      </w:r>
      <w:r>
        <w:rPr>
          <w:rStyle w:val="CommentTok"/>
        </w:rPr>
        <w:t xml:space="preserve"># '10' + reuse window</w:t>
      </w:r>
      <w:r>
        <w:br/>
      </w:r>
      <w:r>
        <w:rPr>
          <w:rStyle w:val="NormalTok"/>
        </w:rPr>
        <w:t xml:space="preserve">            </w:t>
      </w:r>
      <w:r>
        <w:rPr>
          <w:rStyle w:val="ControlFlowTok"/>
        </w:rPr>
        <w:t xml:space="preserve">else</w:t>
      </w:r>
      <w:r>
        <w:rPr>
          <w:rStyle w:val="NormalTok"/>
        </w:rPr>
        <w:t xml:space="preserve">:</w:t>
      </w:r>
      <w:r>
        <w:br/>
      </w:r>
      <w:r>
        <w:rPr>
          <w:rStyle w:val="NormalTok"/>
        </w:rPr>
        <w:t xml:space="preserve">                bits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6</w:t>
      </w:r>
      <w:r>
        <w:rPr>
          <w:rStyle w:val="NormalTok"/>
        </w:rPr>
        <w:t xml:space="preserve"> </w:t>
      </w:r>
      <w:r>
        <w:rPr>
          <w:rStyle w:val="OperatorTok"/>
        </w:rPr>
        <w:t xml:space="preserve">+</w:t>
      </w:r>
      <w:r>
        <w:rPr>
          <w:rStyle w:val="NormalTok"/>
        </w:rPr>
        <w:t xml:space="preserve"> (</w:t>
      </w:r>
      <w:r>
        <w:rPr>
          <w:rStyle w:val="DecValTok"/>
        </w:rPr>
        <w:t xml:space="preserve">64</w:t>
      </w:r>
      <w:r>
        <w:rPr>
          <w:rStyle w:val="NormalTok"/>
        </w:rPr>
        <w:t xml:space="preserve"> </w:t>
      </w:r>
      <w:r>
        <w:rPr>
          <w:rStyle w:val="OperatorTok"/>
        </w:rPr>
        <w:t xml:space="preserve">-</w:t>
      </w:r>
      <w:r>
        <w:rPr>
          <w:rStyle w:val="NormalTok"/>
        </w:rPr>
        <w:t xml:space="preserve"> lead </w:t>
      </w:r>
      <w:r>
        <w:rPr>
          <w:rStyle w:val="OperatorTok"/>
        </w:rPr>
        <w:t xml:space="preserve">-</w:t>
      </w:r>
      <w:r>
        <w:rPr>
          <w:rStyle w:val="NormalTok"/>
        </w:rPr>
        <w:t xml:space="preserve"> trail)     </w:t>
      </w:r>
      <w:r>
        <w:rPr>
          <w:rStyle w:val="CommentTok"/>
        </w:rPr>
        <w:t xml:space="preserve"># '11' + new window</w:t>
      </w:r>
      <w:r>
        <w:br/>
      </w:r>
      <w:r>
        <w:rPr>
          <w:rStyle w:val="NormalTok"/>
        </w:rPr>
        <w:t xml:space="preserve">                prev_lead, prev_trail </w:t>
      </w:r>
      <w:r>
        <w:rPr>
          <w:rStyle w:val="OperatorTok"/>
        </w:rPr>
        <w:t xml:space="preserve">=</w:t>
      </w:r>
      <w:r>
        <w:rPr>
          <w:rStyle w:val="NormalTok"/>
        </w:rPr>
        <w:t xml:space="preserve"> lead, trail</w:t>
      </w:r>
      <w:r>
        <w:br/>
      </w:r>
      <w:r>
        <w:rPr>
          <w:rStyle w:val="NormalTok"/>
        </w:rPr>
        <w:t xml:space="preserve">        prev_v </w:t>
      </w:r>
      <w:r>
        <w:rPr>
          <w:rStyle w:val="OperatorTok"/>
        </w:rPr>
        <w:t xml:space="preserve">=</w:t>
      </w:r>
      <w:r>
        <w:rPr>
          <w:rStyle w:val="NormalTok"/>
        </w:rPr>
        <w:t xml:space="preserve"> float_bits(v)</w:t>
      </w:r>
      <w:r>
        <w:br/>
      </w:r>
      <w:r>
        <w:rPr>
          <w:rStyle w:val="NormalTok"/>
        </w:rPr>
        <w:t xml:space="preserve">    </w:t>
      </w:r>
      <w:r>
        <w:rPr>
          <w:rStyle w:val="ControlFlowTok"/>
        </w:rPr>
        <w:t xml:space="preserve">return</w:t>
      </w:r>
      <w:r>
        <w:rPr>
          <w:rStyle w:val="NormalTok"/>
        </w:rPr>
        <w:t xml:space="preserve"> bits</w:t>
      </w:r>
      <w:r>
        <w:br/>
      </w:r>
      <w:r>
        <w:br/>
      </w:r>
      <w:r>
        <w:rPr>
          <w:rStyle w:val="NormalTok"/>
        </w:rPr>
        <w:t xml:space="preserve">random.seed(</w:t>
      </w:r>
      <w:r>
        <w:rPr>
          <w:rStyle w:val="DecValTok"/>
        </w:rPr>
        <w:t xml:space="preserve">7</w:t>
      </w:r>
      <w:r>
        <w:rPr>
          <w:rStyle w:val="NormalTok"/>
        </w:rPr>
        <w:t xml:space="preserve">)</w:t>
      </w:r>
      <w:r>
        <w:br/>
      </w:r>
      <w:r>
        <w:rPr>
          <w:rStyle w:val="NormalTok"/>
        </w:rPr>
        <w:t xml:space="preserve">start </w:t>
      </w:r>
      <w:r>
        <w:rPr>
          <w:rStyle w:val="OperatorTok"/>
        </w:rPr>
        <w:t xml:space="preserve">=</w:t>
      </w:r>
      <w:r>
        <w:rPr>
          <w:rStyle w:val="NormalTok"/>
        </w:rPr>
        <w:t xml:space="preserve"> </w:t>
      </w:r>
      <w:r>
        <w:rPr>
          <w:rStyle w:val="DecValTok"/>
        </w:rPr>
        <w:t xml:space="preserve">1_793_318_400</w:t>
      </w:r>
      <w:r>
        <w:rPr>
          <w:rStyle w:val="NormalTok"/>
        </w:rPr>
        <w:t xml:space="preserve">                       </w:t>
      </w:r>
      <w:r>
        <w:rPr>
          <w:rStyle w:val="CommentTok"/>
        </w:rPr>
        <w:t xml:space="preserve"># 2026-10-30 00:00:00 UTC</w:t>
      </w:r>
      <w:r>
        <w:br/>
      </w:r>
      <w:r>
        <w:rPr>
          <w:rStyle w:val="NormalTok"/>
        </w:rPr>
        <w:t xml:space="preserve">series </w:t>
      </w:r>
      <w:r>
        <w:rPr>
          <w:rStyle w:val="OperatorTok"/>
        </w:rPr>
        <w:t xml:space="preserve">=</w:t>
      </w:r>
      <w:r>
        <w:rPr>
          <w:rStyle w:val="NormalTok"/>
        </w:rPr>
        <w:t xml:space="preserve"> {</w:t>
      </w:r>
      <w:r>
        <w:br/>
      </w:r>
      <w:r>
        <w:rPr>
          <w:rStyle w:val="NormalTok"/>
        </w:rPr>
        <w:t xml:space="preserve">    </w:t>
      </w:r>
      <w:r>
        <w:rPr>
          <w:rStyle w:val="StringTok"/>
        </w:rPr>
        <w:t xml:space="preserve">"constant gauge"</w:t>
      </w:r>
      <w:r>
        <w:rPr>
          <w:rStyle w:val="NormalTok"/>
        </w:rPr>
        <w:t xml:space="preserve">:   [(start </w:t>
      </w:r>
      <w:r>
        <w:rPr>
          <w:rStyle w:val="OperatorTok"/>
        </w:rPr>
        <w:t xml:space="preserve">+</w:t>
      </w:r>
      <w:r>
        <w:rPr>
          <w:rStyle w:val="NormalTok"/>
        </w:rPr>
        <w:t xml:space="preserve"> </w:t>
      </w:r>
      <w:r>
        <w:rPr>
          <w:rStyle w:val="DecValTok"/>
        </w:rPr>
        <w:t xml:space="preserve">15</w:t>
      </w:r>
      <w:r>
        <w:rPr>
          <w:rStyle w:val="NormalTok"/>
        </w:rPr>
        <w:t xml:space="preserve"> </w:t>
      </w:r>
      <w:r>
        <w:rPr>
          <w:rStyle w:val="OperatorTok"/>
        </w:rPr>
        <w:t xml:space="preserve">*</w:t>
      </w:r>
      <w:r>
        <w:rPr>
          <w:rStyle w:val="NormalTok"/>
        </w:rPr>
        <w:t xml:space="preserve"> i, </w:t>
      </w:r>
      <w:r>
        <w:rPr>
          <w:rStyle w:val="FloatTok"/>
        </w:rPr>
        <w:t xml:space="preserve">42.0</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120</w:t>
      </w:r>
      <w:r>
        <w:rPr>
          <w:rStyle w:val="NormalTok"/>
        </w:rPr>
        <w:t xml:space="preserve">)],</w:t>
      </w:r>
      <w:r>
        <w:br/>
      </w:r>
      <w:r>
        <w:rPr>
          <w:rStyle w:val="NormalTok"/>
        </w:rPr>
        <w:t xml:space="preserve">    </w:t>
      </w:r>
      <w:r>
        <w:rPr>
          <w:rStyle w:val="StringTok"/>
        </w:rPr>
        <w:t xml:space="preserve">"counter (+1/scr)"</w:t>
      </w:r>
      <w:r>
        <w:rPr>
          <w:rStyle w:val="NormalTok"/>
        </w:rPr>
        <w:t xml:space="preserve">: [(start </w:t>
      </w:r>
      <w:r>
        <w:rPr>
          <w:rStyle w:val="OperatorTok"/>
        </w:rPr>
        <w:t xml:space="preserve">+</w:t>
      </w:r>
      <w:r>
        <w:rPr>
          <w:rStyle w:val="NormalTok"/>
        </w:rPr>
        <w:t xml:space="preserve"> </w:t>
      </w:r>
      <w:r>
        <w:rPr>
          <w:rStyle w:val="DecValTok"/>
        </w:rPr>
        <w:t xml:space="preserve">15</w:t>
      </w:r>
      <w:r>
        <w:rPr>
          <w:rStyle w:val="NormalTok"/>
        </w:rPr>
        <w:t xml:space="preserve"> </w:t>
      </w:r>
      <w:r>
        <w:rPr>
          <w:rStyle w:val="OperatorTok"/>
        </w:rPr>
        <w:t xml:space="preserve">*</w:t>
      </w:r>
      <w:r>
        <w:rPr>
          <w:rStyle w:val="NormalTok"/>
        </w:rPr>
        <w:t xml:space="preserve"> i, </w:t>
      </w:r>
      <w:r>
        <w:rPr>
          <w:rStyle w:val="BuiltInTok"/>
        </w:rPr>
        <w:t xml:space="preserve">float</w:t>
      </w:r>
      <w:r>
        <w:rPr>
          <w:rStyle w:val="NormalTok"/>
        </w:rPr>
        <w:t xml:space="preserve">(</w:t>
      </w:r>
      <w:r>
        <w:rPr>
          <w:rStyle w:val="DecValTok"/>
        </w:rPr>
        <w:t xml:space="preserve">1000</w:t>
      </w:r>
      <w:r>
        <w:rPr>
          <w:rStyle w:val="NormalTok"/>
        </w:rPr>
        <w:t xml:space="preserve"> </w:t>
      </w:r>
      <w:r>
        <w:rPr>
          <w:rStyle w:val="OperatorTok"/>
        </w:rPr>
        <w:t xml:space="preserve">+</w:t>
      </w:r>
      <w:r>
        <w:rPr>
          <w:rStyle w:val="NormalTok"/>
        </w:rPr>
        <w:t xml:space="preserve"> 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120</w:t>
      </w:r>
      <w:r>
        <w:rPr>
          <w:rStyle w:val="NormalTok"/>
        </w:rPr>
        <w:t xml:space="preserve">)],</w:t>
      </w:r>
      <w:r>
        <w:br/>
      </w:r>
      <w:r>
        <w:rPr>
          <w:rStyle w:val="NormalTok"/>
        </w:rPr>
        <w:t xml:space="preserve">    </w:t>
      </w:r>
      <w:r>
        <w:rPr>
          <w:rStyle w:val="StringTok"/>
        </w:rPr>
        <w:t xml:space="preserve">"noisy CPU %"</w:t>
      </w:r>
      <w:r>
        <w:rPr>
          <w:rStyle w:val="NormalTok"/>
        </w:rPr>
        <w:t xml:space="preserve">:      [(start </w:t>
      </w:r>
      <w:r>
        <w:rPr>
          <w:rStyle w:val="OperatorTok"/>
        </w:rPr>
        <w:t xml:space="preserve">+</w:t>
      </w:r>
      <w:r>
        <w:rPr>
          <w:rStyle w:val="NormalTok"/>
        </w:rPr>
        <w:t xml:space="preserve"> </w:t>
      </w:r>
      <w:r>
        <w:rPr>
          <w:rStyle w:val="DecValTok"/>
        </w:rPr>
        <w:t xml:space="preserve">15</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random.choice([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BuiltInTok"/>
        </w:rPr>
        <w:t xml:space="preserve">round</w:t>
      </w:r>
      <w:r>
        <w:rPr>
          <w:rStyle w:val="NormalTok"/>
        </w:rPr>
        <w:t xml:space="preserve">(random.uniform(</w:t>
      </w:r>
      <w:r>
        <w:rPr>
          <w:rStyle w:val="DecValTok"/>
        </w:rPr>
        <w:t xml:space="preserve">20</w:t>
      </w:r>
      <w:r>
        <w:rPr>
          <w:rStyle w:val="NormalTok"/>
        </w:rPr>
        <w:t xml:space="preserve">, </w:t>
      </w:r>
      <w:r>
        <w:rPr>
          <w:rStyle w:val="DecValTok"/>
        </w:rPr>
        <w:t xml:space="preserve">80</w:t>
      </w:r>
      <w:r>
        <w:rPr>
          <w:rStyle w:val="NormalTok"/>
        </w:rPr>
        <w:t xml:space="preserve">), </w:t>
      </w:r>
      <w:r>
        <w:rPr>
          <w:rStyle w:val="DecValTok"/>
        </w:rPr>
        <w:t xml:space="preserve">1</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120</w:t>
      </w:r>
      <w:r>
        <w:rPr>
          <w:rStyle w:val="NormalTok"/>
        </w:rPr>
        <w:t xml:space="preserve">)],</w:t>
      </w:r>
      <w:r>
        <w:br/>
      </w:r>
      <w:r>
        <w:rPr>
          <w:rStyle w:val="NormalTok"/>
        </w:rPr>
        <w:t xml:space="preserve">}</w:t>
      </w:r>
      <w:r>
        <w:br/>
      </w:r>
      <w:r>
        <w:rPr>
          <w:rStyle w:val="ControlFlowTok"/>
        </w:rPr>
        <w:t xml:space="preserve">for</w:t>
      </w:r>
      <w:r>
        <w:rPr>
          <w:rStyle w:val="NormalTok"/>
        </w:rPr>
        <w:t xml:space="preserve"> name, pts </w:t>
      </w:r>
      <w:r>
        <w:rPr>
          <w:rStyle w:val="KeywordTok"/>
        </w:rPr>
        <w:t xml:space="preserve">in</w:t>
      </w:r>
      <w:r>
        <w:rPr>
          <w:rStyle w:val="NormalTok"/>
        </w:rPr>
        <w:t xml:space="preserve"> series.items():</w:t>
      </w:r>
      <w:r>
        <w:br/>
      </w:r>
      <w:r>
        <w:rPr>
          <w:rStyle w:val="NormalTok"/>
        </w:rPr>
        <w:t xml:space="preserve">    b </w:t>
      </w:r>
      <w:r>
        <w:rPr>
          <w:rStyle w:val="OperatorTok"/>
        </w:rPr>
        <w:t xml:space="preserve">=</w:t>
      </w:r>
      <w:r>
        <w:rPr>
          <w:rStyle w:val="NormalTok"/>
        </w:rPr>
        <w:t xml:space="preserve"> encode(pts)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:18s}</w:t>
      </w:r>
      <w:r>
        <w:rPr>
          <w:rStyle w:val="SpecialStringTok"/>
        </w:rPr>
        <w:t xml:space="preserve"> </w:t>
      </w:r>
      <w:r>
        <w:rPr>
          <w:rStyle w:val="SpecialCharTok"/>
        </w:rPr>
        <w:t xml:space="preserve">{</w:t>
      </w:r>
      <w:r>
        <w:rPr>
          <w:rStyle w:val="NormalTok"/>
        </w:rPr>
        <w:t xml:space="preserve">b </w:t>
      </w:r>
      <w:r>
        <w:rPr>
          <w:rStyle w:val="OperatorTok"/>
        </w:rPr>
        <w:t xml:space="preserve">/</w:t>
      </w:r>
      <w:r>
        <w:rPr>
          <w:rStyle w:val="NormalTok"/>
        </w:rPr>
        <w:t xml:space="preserve"> </w:t>
      </w:r>
      <w:r>
        <w:rPr>
          <w:rStyle w:val="BuiltInTok"/>
        </w:rPr>
        <w:t xml:space="preserve">len</w:t>
      </w:r>
      <w:r>
        <w:rPr>
          <w:rStyle w:val="NormalTok"/>
        </w:rPr>
        <w:t xml:space="preserve">(pts) </w:t>
      </w:r>
      <w:r>
        <w:rPr>
          <w:rStyle w:val="OperatorTok"/>
        </w:rPr>
        <w:t xml:space="preserve">/</w:t>
      </w:r>
      <w:r>
        <w:rPr>
          <w:rStyle w:val="NormalTok"/>
        </w:rPr>
        <w:t xml:space="preserve"> </w:t>
      </w:r>
      <w:r>
        <w:rPr>
          <w:rStyle w:val="DecValTok"/>
        </w:rPr>
        <w:t xml:space="preserve">8</w:t>
      </w:r>
      <w:r>
        <w:rPr>
          <w:rStyle w:val="SpecialCharTok"/>
        </w:rPr>
        <w:t xml:space="preserve">:5.2f}</w:t>
      </w:r>
      <w:r>
        <w:rPr>
          <w:rStyle w:val="SpecialStringTok"/>
        </w:rPr>
        <w:t xml:space="preserve"> bytes/point  (</w:t>
      </w:r>
      <w:r>
        <w:rPr>
          <w:rStyle w:val="SpecialCharTok"/>
        </w:rPr>
        <w:t xml:space="preserve">{</w:t>
      </w:r>
      <w:r>
        <w:rPr>
          <w:rStyle w:val="DecValTok"/>
        </w:rPr>
        <w:t xml:space="preserve">128</w:t>
      </w:r>
      <w:r>
        <w:rPr>
          <w:rStyle w:val="NormalTok"/>
        </w:rPr>
        <w:t xml:space="preserve"> </w:t>
      </w:r>
      <w:r>
        <w:rPr>
          <w:rStyle w:val="OperatorTok"/>
        </w:rPr>
        <w:t xml:space="preserve">/</w:t>
      </w:r>
      <w:r>
        <w:rPr>
          <w:rStyle w:val="NormalTok"/>
        </w:rPr>
        <w:t xml:space="preserve"> (b </w:t>
      </w:r>
      <w:r>
        <w:rPr>
          <w:rStyle w:val="OperatorTok"/>
        </w:rPr>
        <w:t xml:space="preserve">/</w:t>
      </w:r>
      <w:r>
        <w:rPr>
          <w:rStyle w:val="NormalTok"/>
        </w:rPr>
        <w:t xml:space="preserve"> </w:t>
      </w:r>
      <w:r>
        <w:rPr>
          <w:rStyle w:val="BuiltInTok"/>
        </w:rPr>
        <w:t xml:space="preserve">len</w:t>
      </w:r>
      <w:r>
        <w:rPr>
          <w:rStyle w:val="NormalTok"/>
        </w:rPr>
        <w:t xml:space="preserve">(pts))</w:t>
      </w:r>
      <w:r>
        <w:rPr>
          <w:rStyle w:val="SpecialCharTok"/>
        </w:rPr>
        <w:t xml:space="preserve">:4.1f}</w:t>
      </w:r>
      <w:r>
        <w:rPr>
          <w:rStyle w:val="SpecialStringTok"/>
        </w:rPr>
        <w:t xml:space="preserve">x vs 16 B)"</w:t>
      </w:r>
      <w:r>
        <w:rPr>
          <w:rStyle w:val="NormalTok"/>
        </w:rPr>
        <w:t xml:space="preserve">)</w:t>
      </w:r>
    </w:p>
    <w:p>
      <w:pPr>
        <w:pStyle w:val="FirstParagraph"/>
      </w:pPr>
      <w:r>
        <w:t xml:space="preserve">Output:</w:t>
      </w:r>
    </w:p>
    <w:p>
      <w:pPr>
        <w:pStyle w:val="SourceCode"/>
      </w:pPr>
      <w:r>
        <w:rPr>
          <w:rStyle w:val="VerbatimChar"/>
        </w:rPr>
        <w:t xml:space="preserve">constant gauge      0.39 bytes/point  (41.1x vs 16 B)</w:t>
      </w:r>
      <w:r>
        <w:br/>
      </w:r>
      <w:r>
        <w:rPr>
          <w:rStyle w:val="VerbatimChar"/>
        </w:rPr>
        <w:t xml:space="preserve">counter (+1/scr)    1.33 bytes/point  (12.0x vs 16 B)</w:t>
      </w:r>
      <w:r>
        <w:br/>
      </w:r>
      <w:r>
        <w:rPr>
          <w:rStyle w:val="VerbatimChar"/>
        </w:rPr>
        <w:t xml:space="preserve">noisy CPU %         7.90 bytes/point  ( 2.0x vs 16 B)</w:t>
      </w:r>
    </w:p>
    <w:p>
      <w:pPr>
        <w:pStyle w:val="FirstParagraph"/>
      </w:pPr>
      <w:r>
        <w:t xml:space="preserve">What to notice:</w:t>
      </w:r>
    </w:p>
    <w:p>
      <w:pPr>
        <w:numPr>
          <w:ilvl w:val="0"/>
          <w:numId w:val="1424"/>
        </w:numPr>
        <w:pStyle w:val="Compact"/>
      </w:pPr>
      <w:r>
        <w:t xml:space="preserve">A 120-sample chunk of a constant gauge costs 2 bits per sample once the interval is established (the second sample pays 9 bits to record the first delta); the 128-bit uncompressed header dominates, which is why chunks should not be too short.</w:t>
      </w:r>
    </w:p>
    <w:p>
      <w:pPr>
        <w:numPr>
          <w:ilvl w:val="0"/>
          <w:numId w:val="1424"/>
        </w:numPr>
        <w:pStyle w:val="Compact"/>
      </w:pPr>
      <w:r>
        <w:t xml:space="preserve">The steadily increasing counter lands at 1.33 bytes per point — close to the 1.37 bytes per point the Gorilla paper reports for Facebook’s production data, a 12× reduction from 16 bytes [Pelkonen et al. 2015].</w:t>
      </w:r>
    </w:p>
    <w:p>
      <w:pPr>
        <w:numPr>
          <w:ilvl w:val="0"/>
          <w:numId w:val="1424"/>
        </w:numPr>
        <w:pStyle w:val="Compact"/>
      </w:pPr>
      <w:r>
        <w:t xml:space="preserve">Random one-decimal values compress only 2× because their mantissas differ in almost every bit; storing only the precision you need is a strong lever.</w:t>
      </w:r>
    </w:p>
    <w:p>
      <w:pPr>
        <w:numPr>
          <w:ilvl w:val="0"/>
          <w:numId w:val="1424"/>
        </w:numPr>
        <w:pStyle w:val="Compact"/>
      </w:pPr>
      <w:r>
        <w:t xml:space="preserve">The real format stores the first timestamp as a 14-bit offset from a block header.</w:t>
      </w:r>
    </w:p>
    <w:bookmarkEnd w:id="1395"/>
    <w:bookmarkStart w:id="1396" w:name="retention-and-downsampling"/>
    <w:p>
      <w:pPr>
        <w:pStyle w:val="Heading3"/>
      </w:pPr>
      <w:r>
        <w:t xml:space="preserve">12.8.3 Retention and downsampling</w:t>
      </w:r>
    </w:p>
    <w:p>
      <w:pPr>
        <w:pStyle w:val="FirstParagraph"/>
      </w:pPr>
      <w:r>
        <w:t xml:space="preserve">Prometheus documents a simple disk-sizing rule: needed disk ≈ retention time × ingested samples per second × bytes per sample, with 1–2 bytes per sample typical [Prometheus Docs]. Adding downsampled tiers generalizes it.</w:t>
      </w:r>
    </w:p>
    <w:p>
      <w:pPr>
        <w:pStyle w:val="CalloutFormula"/>
      </w:pPr>
      <w:r>
        <w:rPr>
          <w:bCs/>
          <w:b/>
        </w:rPr>
        <w:t xml:space="preserve">FORMULA</w:t>
      </w:r>
    </w:p>
    <w:p>
      <w:pPr>
        <w:pStyle w:val="CalloutFormula"/>
      </w:pPr>
      <w:r>
        <w:rPr>
          <w:bCs/>
          <w:b/>
        </w:rPr>
        <w:t xml:space="preserve">Tiered time-series storage</w:t>
      </w:r>
    </w:p>
    <w:p>
      <w:pPr>
        <w:pStyle w:val="CalloutFormula"/>
      </w:pPr>
      <m:oMathPara>
        <m:oMathParaPr>
          <m:jc m:val="center"/>
        </m:oMathParaPr>
        <m:oMath>
          <m:r>
            <m:t>S</m:t>
          </m:r>
          <m:r>
            <m:rPr>
              <m:sty m:val="p"/>
            </m:rPr>
            <m:t>=</m:t>
          </m:r>
          <m:sSub>
            <m:e>
              <m:r>
                <m:t>N</m:t>
              </m:r>
            </m:e>
            <m:sub>
              <m:r>
                <m:rPr>
                  <m:nor/>
                  <m:sty m:val="p"/>
                </m:rPr>
                <m:t>series</m:t>
              </m:r>
            </m:sub>
          </m:sSub>
          <m:r>
            <m:rPr>
              <m:sty m:val="p"/>
            </m:rPr>
            <m:t>×</m:t>
          </m:r>
          <m:nary>
            <m:naryPr>
              <m:chr m:val="∑"/>
              <m:limLoc m:val="undOvr"/>
              <m:subHide m:val="off"/>
              <m:supHide m:val="on"/>
            </m:naryPr>
            <m:sub>
              <m:r>
                <m:t>i</m:t>
              </m:r>
            </m:sub>
            <m:sup>
              <m:r>
                <m:t>​</m:t>
              </m:r>
            </m:sup>
            <m:e>
              <m:f>
                <m:fPr>
                  <m:type m:val="bar"/>
                </m:fPr>
                <m:num>
                  <m:sSub>
                    <m:e>
                      <m:r>
                        <m:t>R</m:t>
                      </m:r>
                    </m:e>
                    <m:sub>
                      <m:r>
                        <m:t>i</m:t>
                      </m:r>
                    </m:sub>
                  </m:sSub>
                </m:num>
                <m:den>
                  <m:sSub>
                    <m:e>
                      <m:r>
                        <m:t>Δ</m:t>
                      </m:r>
                    </m:e>
                    <m:sub>
                      <m:r>
                        <m:t>i</m:t>
                      </m:r>
                    </m:sub>
                  </m:sSub>
                </m:den>
              </m:f>
            </m:e>
          </m:nary>
          <m:r>
            <m:rPr>
              <m:sty m:val="p"/>
            </m:rPr>
            <m:t>×</m:t>
          </m:r>
          <m:sSub>
            <m:e>
              <m:r>
                <m:t>b</m:t>
              </m:r>
            </m:e>
            <m:sub>
              <m:r>
                <m:t>i</m:t>
              </m:r>
            </m:sub>
          </m:sSub>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S</m:t>
              </m:r>
            </m:oMath>
          </w:p>
        </w:tc>
        <w:tc>
          <w:tcPr/>
          <w:p>
            <w:pPr>
              <w:pStyle w:val="Compact"/>
              <w:jc w:val="left"/>
            </w:pPr>
            <w:r>
              <w:t xml:space="preserve">Total storage</w:t>
            </w:r>
          </w:p>
        </w:tc>
        <w:tc>
          <w:tcPr/>
          <w:p>
            <w:pPr>
              <w:pStyle w:val="Compact"/>
              <w:jc w:val="left"/>
            </w:pPr>
            <w:r>
              <w:t xml:space="preserve">bytes</w:t>
            </w:r>
          </w:p>
        </w:tc>
      </w:tr>
      <w:tr>
        <w:tc>
          <w:tcPr/>
          <w:p>
            <w:pPr>
              <w:pStyle w:val="Compact"/>
              <w:jc w:val="left"/>
            </w:pPr>
            <m:oMath>
              <m:sSub>
                <m:e>
                  <m:r>
                    <m:t>N</m:t>
                  </m:r>
                </m:e>
                <m:sub>
                  <m:r>
                    <m:rPr>
                      <m:nor/>
                      <m:sty m:val="p"/>
                    </m:rPr>
                    <m:t>series</m:t>
                  </m:r>
                </m:sub>
              </m:sSub>
            </m:oMath>
          </w:p>
        </w:tc>
        <w:tc>
          <w:tcPr/>
          <w:p>
            <w:pPr>
              <w:pStyle w:val="Compact"/>
              <w:jc w:val="left"/>
            </w:pPr>
            <w:r>
              <w:t xml:space="preserve">Number of active series</w:t>
            </w:r>
          </w:p>
        </w:tc>
        <w:tc>
          <w:tcPr/>
          <w:p>
            <w:pPr>
              <w:pStyle w:val="Compact"/>
              <w:jc w:val="left"/>
            </w:pPr>
            <w:r>
              <w:t xml:space="preserve">series</w:t>
            </w:r>
          </w:p>
        </w:tc>
      </w:tr>
      <w:tr>
        <w:tc>
          <w:tcPr/>
          <w:p>
            <w:pPr>
              <w:pStyle w:val="Compact"/>
              <w:jc w:val="left"/>
            </w:pPr>
            <m:oMath>
              <m:sSub>
                <m:e>
                  <m:r>
                    <m:t>R</m:t>
                  </m:r>
                </m:e>
                <m:sub>
                  <m:r>
                    <m:t>i</m:t>
                  </m:r>
                </m:sub>
              </m:sSub>
            </m:oMath>
          </w:p>
        </w:tc>
        <w:tc>
          <w:tcPr/>
          <w:p>
            <w:pPr>
              <w:pStyle w:val="Compact"/>
              <w:jc w:val="left"/>
            </w:pPr>
            <w:r>
              <w:t xml:space="preserve">Retention period of tier</w:t>
            </w:r>
            <w:r>
              <w:t xml:space="preserve"> </w:t>
            </w:r>
            <m:oMath>
              <m:r>
                <m:t>i</m:t>
              </m:r>
            </m:oMath>
          </w:p>
        </w:tc>
        <w:tc>
          <w:tcPr/>
          <w:p>
            <w:pPr>
              <w:pStyle w:val="Compact"/>
              <w:jc w:val="left"/>
            </w:pPr>
            <w:r>
              <w:t xml:space="preserve">seconds</w:t>
            </w:r>
          </w:p>
        </w:tc>
      </w:tr>
      <w:tr>
        <w:tc>
          <w:tcPr/>
          <w:p>
            <w:pPr>
              <w:pStyle w:val="Compact"/>
              <w:jc w:val="left"/>
            </w:pPr>
            <m:oMath>
              <m:sSub>
                <m:e>
                  <m:r>
                    <m:t>Δ</m:t>
                  </m:r>
                </m:e>
                <m:sub>
                  <m:r>
                    <m:t>i</m:t>
                  </m:r>
                </m:sub>
              </m:sSub>
            </m:oMath>
          </w:p>
        </w:tc>
        <w:tc>
          <w:tcPr/>
          <w:p>
            <w:pPr>
              <w:pStyle w:val="Compact"/>
              <w:jc w:val="left"/>
            </w:pPr>
            <w:r>
              <w:t xml:space="preserve">Sample (or rollup) interval of tier</w:t>
            </w:r>
            <w:r>
              <w:t xml:space="preserve"> </w:t>
            </w:r>
            <m:oMath>
              <m:r>
                <m:t>i</m:t>
              </m:r>
            </m:oMath>
          </w:p>
        </w:tc>
        <w:tc>
          <w:tcPr/>
          <w:p>
            <w:pPr>
              <w:pStyle w:val="Compact"/>
              <w:jc w:val="left"/>
            </w:pPr>
            <w:r>
              <w:t xml:space="preserve">seconds</w:t>
            </w:r>
          </w:p>
        </w:tc>
      </w:tr>
      <w:tr>
        <w:tc>
          <w:tcPr/>
          <w:p>
            <w:pPr>
              <w:pStyle w:val="Compact"/>
              <w:jc w:val="left"/>
            </w:pPr>
            <m:oMath>
              <m:sSub>
                <m:e>
                  <m:r>
                    <m:t>b</m:t>
                  </m:r>
                </m:e>
                <m:sub>
                  <m:r>
                    <m:t>i</m:t>
                  </m:r>
                </m:sub>
              </m:sSub>
            </m:oMath>
          </w:p>
        </w:tc>
        <w:tc>
          <w:tcPr/>
          <w:p>
            <w:pPr>
              <w:pStyle w:val="Compact"/>
              <w:jc w:val="left"/>
            </w:pPr>
            <w:r>
              <w:t xml:space="preserve">Bytes per stored point in tier</w:t>
            </w:r>
            <w:r>
              <w:t xml:space="preserve"> </w:t>
            </w:r>
            <m:oMath>
              <m:r>
                <m:t>i</m:t>
              </m:r>
            </m:oMath>
            <w:r>
              <w:t xml:space="preserve"> </w:t>
            </w:r>
            <w:r>
              <w:t xml:space="preserve">after compression</w:t>
            </w:r>
          </w:p>
        </w:tc>
        <w:tc>
          <w:tcPr/>
          <w:p>
            <w:pPr>
              <w:pStyle w:val="Compact"/>
              <w:jc w:val="left"/>
            </w:pPr>
            <w:r>
              <w:t xml:space="preserve">bytes/point</w:t>
            </w:r>
          </w:p>
        </w:tc>
      </w:tr>
    </w:tbl>
    <w:p>
      <w:pPr>
        <w:pStyle w:val="CalloutExample"/>
      </w:pPr>
      <w:r>
        <w:rPr>
          <w:bCs/>
          <w:b/>
        </w:rPr>
        <w:t xml:space="preserve">WORKED EXAMPLE</w:t>
      </w:r>
    </w:p>
    <w:p>
      <w:pPr>
        <w:pStyle w:val="CalloutExample"/>
      </w:pPr>
      <w:r>
        <w:rPr>
          <w:bCs/>
          <w:b/>
        </w:rPr>
        <w:t xml:space="preserve">Worked example — Metrics for a 1-million-series platform.</w:t>
      </w:r>
    </w:p>
    <w:p>
      <w:pPr>
        <w:pStyle w:val="CalloutExample"/>
      </w:pPr>
      <w:r>
        <w:t xml:space="preserve">1 million active series scraped every 15 s (</w:t>
      </w:r>
      <m:oMath>
        <m:r>
          <m:t>66</m:t>
        </m:r>
        <m:r>
          <m:rPr>
            <m:sty m:val="p"/>
          </m:rPr>
          <m:t>,</m:t>
        </m:r>
        <m:r>
          <m:t>667</m:t>
        </m:r>
      </m:oMath>
      <w:r>
        <w:t xml:space="preserve"> </w:t>
      </w:r>
      <w:r>
        <w:t xml:space="preserve">samples/s); raw points compress to 1.5 B. Rollups store five aggregates (min, max, sum, count, last) at about 2 B each, so 10 B per rollup point.</w:t>
      </w:r>
    </w:p>
    <w:p>
      <w:pPr>
        <w:numPr>
          <w:ilvl w:val="0"/>
          <w:numId w:val="1425"/>
        </w:numPr>
        <w:pStyle w:val="Compact"/>
      </w:pPr>
      <w:r>
        <w:t xml:space="preserve">Raw for 15 days:</w:t>
      </w:r>
      <w:r>
        <w:t xml:space="preserve"> </w:t>
      </w:r>
      <m:oMath>
        <m:r>
          <m:t>R</m:t>
        </m:r>
        <m:r>
          <m:rPr>
            <m:sty m:val="p"/>
          </m:rPr>
          <m:t>/</m:t>
        </m:r>
        <m:r>
          <m:t>Δ</m:t>
        </m:r>
        <m:r>
          <m:rPr>
            <m:sty m:val="p"/>
          </m:rPr>
          <m:t>=</m:t>
        </m:r>
        <m:r>
          <m:t>1</m:t>
        </m:r>
        <m:r>
          <m:rPr>
            <m:sty m:val="p"/>
          </m:rPr>
          <m:t>,</m:t>
        </m:r>
        <m:r>
          <m:t>296</m:t>
        </m:r>
        <m:r>
          <m:rPr>
            <m:sty m:val="p"/>
          </m:rPr>
          <m:t>,</m:t>
        </m:r>
        <m:r>
          <m:t>000</m:t>
        </m:r>
        <m:r>
          <m:rPr>
            <m:sty m:val="p"/>
          </m:rPr>
          <m:t>/</m:t>
        </m:r>
        <m:r>
          <m:t>15</m:t>
        </m:r>
        <m:r>
          <m:rPr>
            <m:sty m:val="p"/>
          </m:rPr>
          <m:t>=</m:t>
        </m:r>
        <m:r>
          <m:t>86</m:t>
        </m:r>
        <m:r>
          <m:rPr>
            <m:sty m:val="p"/>
          </m:rPr>
          <m:t>,</m:t>
        </m:r>
        <m:r>
          <m:t>400</m:t>
        </m:r>
      </m:oMath>
      <w:r>
        <w:t xml:space="preserve"> </w:t>
      </w:r>
      <w:r>
        <w:t xml:space="preserve">points per series;</w:t>
      </w:r>
      <w:r>
        <w:t xml:space="preserve"> </w:t>
      </w:r>
      <m:oMath>
        <m:sSup>
          <m:e>
            <m:r>
              <m:t>10</m:t>
            </m:r>
          </m:e>
          <m:sup>
            <m:r>
              <m:t>6</m:t>
            </m:r>
          </m:sup>
        </m:sSup>
        <m:r>
          <m:rPr>
            <m:sty m:val="p"/>
          </m:rPr>
          <m:t>×</m:t>
        </m:r>
        <m:r>
          <m:t>86</m:t>
        </m:r>
        <m:r>
          <m:rPr>
            <m:sty m:val="p"/>
          </m:rPr>
          <m:t>,</m:t>
        </m:r>
        <m:r>
          <m:t>400</m:t>
        </m:r>
        <m:r>
          <m:rPr>
            <m:sty m:val="p"/>
          </m:rPr>
          <m:t>×</m:t>
        </m:r>
        <m:r>
          <m:t>1.5</m:t>
        </m:r>
        <m:r>
          <m:rPr>
            <m:sty m:val="p"/>
          </m:rPr>
          <m:t>=</m:t>
        </m:r>
        <m:r>
          <m:t>1.296</m:t>
        </m:r>
        <m:r>
          <m:rPr>
            <m:sty m:val="p"/>
          </m:rPr>
          <m:t>×</m:t>
        </m:r>
        <m:sSup>
          <m:e>
            <m:r>
              <m:t>10</m:t>
            </m:r>
          </m:e>
          <m:sup>
            <m:r>
              <m:t>11</m:t>
            </m:r>
          </m:sup>
        </m:sSup>
      </m:oMath>
      <w:r>
        <w:t xml:space="preserve"> </w:t>
      </w:r>
      <w:r>
        <w:t xml:space="preserve">B ≈</w:t>
      </w:r>
      <w:r>
        <w:t xml:space="preserve"> </w:t>
      </w:r>
      <w:r>
        <w:rPr>
          <w:bCs/>
          <w:b/>
        </w:rPr>
        <w:t xml:space="preserve">130 GB</w:t>
      </w:r>
      <w:r>
        <w:t xml:space="preserve">.</w:t>
      </w:r>
    </w:p>
    <w:p>
      <w:pPr>
        <w:numPr>
          <w:ilvl w:val="0"/>
          <w:numId w:val="1425"/>
        </w:numPr>
        <w:pStyle w:val="Compact"/>
      </w:pPr>
      <w:r>
        <w:t xml:space="preserve">Raw for one year instead:</w:t>
      </w:r>
      <w:r>
        <w:t xml:space="preserve"> </w:t>
      </w:r>
      <m:oMath>
        <m:r>
          <m:t>31</m:t>
        </m:r>
        <m:r>
          <m:rPr>
            <m:sty m:val="p"/>
          </m:rPr>
          <m:t>,</m:t>
        </m:r>
        <m:r>
          <m:t>536</m:t>
        </m:r>
        <m:r>
          <m:rPr>
            <m:sty m:val="p"/>
          </m:rPr>
          <m:t>,</m:t>
        </m:r>
        <m:r>
          <m:t>000</m:t>
        </m:r>
        <m:r>
          <m:rPr>
            <m:sty m:val="p"/>
          </m:rPr>
          <m:t>/</m:t>
        </m:r>
        <m:r>
          <m:t>15</m:t>
        </m:r>
        <m:r>
          <m:rPr>
            <m:sty m:val="p"/>
          </m:rPr>
          <m:t>=</m:t>
        </m:r>
        <m:r>
          <m:t>2</m:t>
        </m:r>
        <m:r>
          <m:rPr>
            <m:sty m:val="p"/>
          </m:rPr>
          <m:t>,</m:t>
        </m:r>
        <m:r>
          <m:t>102</m:t>
        </m:r>
        <m:r>
          <m:rPr>
            <m:sty m:val="p"/>
          </m:rPr>
          <m:t>,</m:t>
        </m:r>
        <m:r>
          <m:t>400</m:t>
        </m:r>
      </m:oMath>
      <w:r>
        <w:t xml:space="preserve"> </w:t>
      </w:r>
      <w:r>
        <w:t xml:space="preserve">points;</w:t>
      </w:r>
      <w:r>
        <w:t xml:space="preserve"> </w:t>
      </w:r>
      <m:oMath>
        <m:sSup>
          <m:e>
            <m:r>
              <m:t>10</m:t>
            </m:r>
          </m:e>
          <m:sup>
            <m:r>
              <m:t>6</m:t>
            </m:r>
          </m:sup>
        </m:sSup>
        <m:r>
          <m:rPr>
            <m:sty m:val="p"/>
          </m:rPr>
          <m:t>×</m:t>
        </m:r>
        <m:r>
          <m:t>2</m:t>
        </m:r>
        <m:r>
          <m:rPr>
            <m:sty m:val="p"/>
          </m:rPr>
          <m:t>,</m:t>
        </m:r>
        <m:r>
          <m:t>102</m:t>
        </m:r>
        <m:r>
          <m:rPr>
            <m:sty m:val="p"/>
          </m:rPr>
          <m:t>,</m:t>
        </m:r>
        <m:r>
          <m:t>400</m:t>
        </m:r>
        <m:r>
          <m:rPr>
            <m:sty m:val="p"/>
          </m:rPr>
          <m:t>×</m:t>
        </m:r>
        <m:r>
          <m:t>1.5</m:t>
        </m:r>
        <m:r>
          <m:rPr>
            <m:sty m:val="p"/>
          </m:rPr>
          <m:t>≈</m:t>
        </m:r>
      </m:oMath>
      <w:r>
        <w:t xml:space="preserve"> </w:t>
      </w:r>
      <w:r>
        <w:rPr>
          <w:bCs/>
          <w:b/>
        </w:rPr>
        <w:t xml:space="preserve">3.15 TB</w:t>
      </w:r>
      <w:r>
        <w:t xml:space="preserve">.</w:t>
      </w:r>
    </w:p>
    <w:p>
      <w:pPr>
        <w:numPr>
          <w:ilvl w:val="0"/>
          <w:numId w:val="1425"/>
        </w:numPr>
        <w:pStyle w:val="Compact"/>
      </w:pPr>
      <w:r>
        <w:t xml:space="preserve">One-hour rollups for one year:</w:t>
      </w:r>
      <w:r>
        <w:t xml:space="preserve"> </w:t>
      </w:r>
      <m:oMath>
        <m:r>
          <m:t>8</m:t>
        </m:r>
        <m:r>
          <m:rPr>
            <m:sty m:val="p"/>
          </m:rPr>
          <m:t>,</m:t>
        </m:r>
        <m:r>
          <m:t>760</m:t>
        </m:r>
      </m:oMath>
      <w:r>
        <w:t xml:space="preserve"> </w:t>
      </w:r>
      <w:r>
        <w:t xml:space="preserve">points;</w:t>
      </w:r>
      <w:r>
        <w:t xml:space="preserve"> </w:t>
      </w:r>
      <m:oMath>
        <m:sSup>
          <m:e>
            <m:r>
              <m:t>10</m:t>
            </m:r>
          </m:e>
          <m:sup>
            <m:r>
              <m:t>6</m:t>
            </m:r>
          </m:sup>
        </m:sSup>
        <m:r>
          <m:rPr>
            <m:sty m:val="p"/>
          </m:rPr>
          <m:t>×</m:t>
        </m:r>
        <m:r>
          <m:t>8</m:t>
        </m:r>
        <m:r>
          <m:rPr>
            <m:sty m:val="p"/>
          </m:rPr>
          <m:t>,</m:t>
        </m:r>
        <m:r>
          <m:t>760</m:t>
        </m:r>
        <m:r>
          <m:rPr>
            <m:sty m:val="p"/>
          </m:rPr>
          <m:t>×</m:t>
        </m:r>
        <m:r>
          <m:t>10</m:t>
        </m:r>
        <m:r>
          <m:rPr>
            <m:sty m:val="p"/>
          </m:rPr>
          <m:t>=</m:t>
        </m:r>
        <m:r>
          <m:t>87.6</m:t>
        </m:r>
      </m:oMath>
      <w:r>
        <w:t xml:space="preserve"> </w:t>
      </w:r>
      <w:r>
        <w:t xml:space="preserve">GB.</w:t>
      </w:r>
    </w:p>
    <w:p>
      <w:pPr>
        <w:numPr>
          <w:ilvl w:val="0"/>
          <w:numId w:val="1425"/>
        </w:numPr>
        <w:pStyle w:val="Compact"/>
      </w:pPr>
      <w:r>
        <w:t xml:space="preserve">Tiered total:</w:t>
      </w:r>
      <w:r>
        <w:t xml:space="preserve"> </w:t>
      </w:r>
      <m:oMath>
        <m:r>
          <m:t>130</m:t>
        </m:r>
        <m:r>
          <m:rPr>
            <m:sty m:val="p"/>
          </m:rPr>
          <m:t>+</m:t>
        </m:r>
        <m:r>
          <m:t>87.6</m:t>
        </m:r>
        <m:r>
          <m:rPr>
            <m:sty m:val="p"/>
          </m:rPr>
          <m:t>≈</m:t>
        </m:r>
      </m:oMath>
      <w:r>
        <w:t xml:space="preserve"> </w:t>
      </w:r>
      <w:r>
        <w:rPr>
          <w:bCs/>
          <w:b/>
        </w:rPr>
        <w:t xml:space="preserve">218 GB</w:t>
      </w:r>
      <w:r>
        <w:t xml:space="preserve">, about 14× less than a year of raw data. Without compression (16 B/point) the 15-day raw tier alone would be 1.38 TB.</w:t>
      </w:r>
    </w:p>
    <w:p>
      <w:pPr>
        <w:pStyle w:val="CalloutExample"/>
      </w:pPr>
      <w:r>
        <w:rPr>
          <w:bCs/>
          <w:b/>
        </w:rPr>
        <w:t xml:space="preserve">Interpretation.</w:t>
      </w:r>
      <w:r>
        <w:t xml:space="preserve"> </w:t>
      </w:r>
      <w:r>
        <w:t xml:space="preserve">Compression buys about 10×; downsampling another order of magnitude, at the cost of detail older than 15 days.</w:t>
      </w:r>
    </w:p>
    <w:p>
      <w:pPr>
        <w:pStyle w:val="CalloutExample"/>
      </w:pPr>
      <w:r>
        <w:rPr>
          <w:bCs/>
          <w:b/>
        </w:rPr>
        <w:t xml:space="preserve">Engineering implication.</w:t>
      </w:r>
      <w:r>
        <w:t xml:space="preserve"> </w:t>
      </w:r>
      <w:r>
        <w:t xml:space="preserve">You cannot compute a correct p99 from averaged rollups, so keep histograms or sketches if old percentiles matter. Series count, not sample rate, is usually the first limit (Table 12.12).</w:t>
      </w:r>
    </w:p>
    <w:bookmarkEnd w:id="1396"/>
    <w:bookmarkStart w:id="1400" w:name="prometheus-influxdb-and-timescaledb"/>
    <w:p>
      <w:pPr>
        <w:pStyle w:val="Heading3"/>
      </w:pPr>
      <w:r>
        <w:t xml:space="preserve">12.8.4 Prometheus, InfluxDB and TimescaleDB</w:t>
      </w:r>
    </w:p>
    <w:p>
      <w:pPr>
        <w:pStyle w:val="FirstParagraph"/>
      </w:pPr>
      <w:r>
        <w:rPr>
          <w:bCs/>
          <w:b/>
        </w:rPr>
        <w:t xml:space="preserve">Table 12.11 — Three time-series databases compared (as of 2026).</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Aspect</w:t>
            </w:r>
          </w:p>
        </w:tc>
        <w:tc>
          <w:tcPr/>
          <w:p>
            <w:pPr>
              <w:pStyle w:val="Compact"/>
              <w:jc w:val="left"/>
            </w:pPr>
            <w:r>
              <w:t xml:space="preserve">Prometheus TSDB</w:t>
            </w:r>
          </w:p>
        </w:tc>
        <w:tc>
          <w:tcPr/>
          <w:p>
            <w:pPr>
              <w:pStyle w:val="Compact"/>
              <w:jc w:val="left"/>
            </w:pPr>
            <w:r>
              <w:t xml:space="preserve">InfluxDB</w:t>
            </w:r>
          </w:p>
        </w:tc>
        <w:tc>
          <w:tcPr/>
          <w:p>
            <w:pPr>
              <w:pStyle w:val="Compact"/>
              <w:jc w:val="left"/>
            </w:pPr>
            <w:r>
              <w:t xml:space="preserve">TimescaleDB</w:t>
            </w:r>
          </w:p>
        </w:tc>
      </w:tr>
      <w:tr>
        <w:tc>
          <w:tcPr/>
          <w:p>
            <w:pPr>
              <w:pStyle w:val="Compact"/>
              <w:jc w:val="left"/>
            </w:pPr>
            <w:r>
              <w:t xml:space="preserve">What it is</w:t>
            </w:r>
          </w:p>
        </w:tc>
        <w:tc>
          <w:tcPr/>
          <w:p>
            <w:pPr>
              <w:pStyle w:val="Compact"/>
              <w:jc w:val="left"/>
            </w:pPr>
            <w:r>
              <w:t xml:space="preserve">Pull-based monitoring system with embedded TSDB</w:t>
            </w:r>
          </w:p>
        </w:tc>
        <w:tc>
          <w:tcPr/>
          <w:p>
            <w:pPr>
              <w:pStyle w:val="Compact"/>
              <w:jc w:val="left"/>
            </w:pPr>
            <w:r>
              <w:t xml:space="preserve">Purpose-built TSDB with push ingestion</w:t>
            </w:r>
          </w:p>
        </w:tc>
        <w:tc>
          <w:tcPr/>
          <w:p>
            <w:pPr>
              <w:pStyle w:val="Compact"/>
              <w:jc w:val="left"/>
            </w:pPr>
            <w:r>
              <w:t xml:space="preserve">PostgreSQL extension</w:t>
            </w:r>
          </w:p>
        </w:tc>
      </w:tr>
      <w:tr>
        <w:tc>
          <w:tcPr/>
          <w:p>
            <w:pPr>
              <w:pStyle w:val="Compact"/>
              <w:jc w:val="left"/>
            </w:pPr>
            <w:r>
              <w:t xml:space="preserve">Data model</w:t>
            </w:r>
          </w:p>
        </w:tc>
        <w:tc>
          <w:tcPr/>
          <w:p>
            <w:pPr>
              <w:pStyle w:val="Compact"/>
              <w:jc w:val="left"/>
            </w:pPr>
            <w:r>
              <w:t xml:space="preserve">Metric + labels → float samples</w:t>
            </w:r>
          </w:p>
        </w:tc>
        <w:tc>
          <w:tcPr/>
          <w:p>
            <w:pPr>
              <w:pStyle w:val="Compact"/>
              <w:jc w:val="left"/>
            </w:pPr>
            <w:r>
              <w:t xml:space="preserve">Measurement + tags + multiple typed fields</w:t>
            </w:r>
          </w:p>
        </w:tc>
        <w:tc>
          <w:tcPr/>
          <w:p>
            <w:pPr>
              <w:pStyle w:val="Compact"/>
              <w:jc w:val="left"/>
            </w:pPr>
            <w:r>
              <w:t xml:space="preserve">SQL tables turned into</w:t>
            </w:r>
            <w:r>
              <w:t xml:space="preserve"> </w:t>
            </w:r>
            <w:r>
              <w:rPr>
                <w:bCs/>
                <w:b/>
              </w:rPr>
              <w:t xml:space="preserve">hypertables</w:t>
            </w:r>
          </w:p>
        </w:tc>
      </w:tr>
      <w:tr>
        <w:tc>
          <w:tcPr/>
          <w:p>
            <w:pPr>
              <w:pStyle w:val="Compact"/>
              <w:jc w:val="left"/>
            </w:pPr>
            <w:r>
              <w:t xml:space="preserve">Storage</w:t>
            </w:r>
          </w:p>
        </w:tc>
        <w:tc>
          <w:tcPr/>
          <w:p>
            <w:pPr>
              <w:pStyle w:val="Compact"/>
              <w:jc w:val="left"/>
            </w:pPr>
            <w:r>
              <w:t xml:space="preserve">2-hour blocks, Gorilla-style chunks, postings index</w:t>
            </w:r>
          </w:p>
        </w:tc>
        <w:tc>
          <w:tcPr/>
          <w:p>
            <w:pPr>
              <w:pStyle w:val="Compact"/>
              <w:jc w:val="left"/>
            </w:pPr>
            <w:r>
              <w:t xml:space="preserve">Version 3 rewritten on Apache Arrow, DataFusion and Parquet</w:t>
            </w:r>
          </w:p>
        </w:tc>
        <w:tc>
          <w:tcPr/>
          <w:p>
            <w:pPr>
              <w:pStyle w:val="Compact"/>
              <w:jc w:val="left"/>
            </w:pPr>
            <w:r>
              <w:t xml:space="preserve">Time-partitioned chunks (default 7 days); columnar compression of old chunks</w:t>
            </w:r>
          </w:p>
        </w:tc>
      </w:tr>
      <w:tr>
        <w:tc>
          <w:tcPr/>
          <w:p>
            <w:pPr>
              <w:pStyle w:val="Compact"/>
              <w:jc w:val="left"/>
            </w:pPr>
            <w:r>
              <w:t xml:space="preserve">Query</w:t>
            </w:r>
          </w:p>
        </w:tc>
        <w:tc>
          <w:tcPr/>
          <w:p>
            <w:pPr>
              <w:pStyle w:val="Compact"/>
              <w:jc w:val="left"/>
            </w:pPr>
            <w:r>
              <w:t xml:space="preserve">PromQL</w:t>
            </w:r>
          </w:p>
        </w:tc>
        <w:tc>
          <w:tcPr/>
          <w:p>
            <w:pPr>
              <w:pStyle w:val="Compact"/>
              <w:jc w:val="left"/>
            </w:pPr>
            <w:r>
              <w:t xml:space="preserve">SQL and InfluxQL (v3)</w:t>
            </w:r>
          </w:p>
        </w:tc>
        <w:tc>
          <w:tcPr/>
          <w:p>
            <w:pPr>
              <w:pStyle w:val="Compact"/>
              <w:jc w:val="left"/>
            </w:pPr>
            <w:r>
              <w:t xml:space="preserve">Full PostgreSQL SQL, joins with relational tables</w:t>
            </w:r>
          </w:p>
        </w:tc>
      </w:tr>
      <w:tr>
        <w:tc>
          <w:tcPr/>
          <w:p>
            <w:pPr>
              <w:pStyle w:val="Compact"/>
              <w:jc w:val="left"/>
            </w:pPr>
            <w:r>
              <w:t xml:space="preserve">Downsampling</w:t>
            </w:r>
          </w:p>
        </w:tc>
        <w:tc>
          <w:tcPr/>
          <w:p>
            <w:pPr>
              <w:pStyle w:val="Compact"/>
              <w:jc w:val="left"/>
            </w:pPr>
            <w:r>
              <w:t xml:space="preserve">Recording rules; long-term stores</w:t>
            </w:r>
          </w:p>
        </w:tc>
        <w:tc>
          <w:tcPr/>
          <w:p>
            <w:pPr>
              <w:pStyle w:val="Compact"/>
              <w:jc w:val="left"/>
            </w:pPr>
            <w:r>
              <w:t xml:space="preserve">Downsampling tasks or queries</w:t>
            </w:r>
          </w:p>
        </w:tc>
        <w:tc>
          <w:tcPr/>
          <w:p>
            <w:pPr>
              <w:pStyle w:val="Compact"/>
              <w:jc w:val="left"/>
            </w:pPr>
            <w:r>
              <w:t xml:space="preserve">Continuous aggregates; retention policies drop chunks</w:t>
            </w:r>
          </w:p>
        </w:tc>
      </w:tr>
      <w:tr>
        <w:tc>
          <w:tcPr/>
          <w:p>
            <w:pPr>
              <w:pStyle w:val="Compact"/>
              <w:jc w:val="left"/>
            </w:pPr>
            <w:r>
              <w:t xml:space="preserve">Choose when</w:t>
            </w:r>
          </w:p>
        </w:tc>
        <w:tc>
          <w:tcPr/>
          <w:p>
            <w:pPr>
              <w:pStyle w:val="Compact"/>
              <w:jc w:val="left"/>
            </w:pPr>
            <w:r>
              <w:t xml:space="preserve">Operational metrics and alerting</w:t>
            </w:r>
          </w:p>
        </w:tc>
        <w:tc>
          <w:tcPr/>
          <w:p>
            <w:pPr>
              <w:pStyle w:val="Compact"/>
              <w:jc w:val="left"/>
            </w:pPr>
            <w:r>
              <w:t xml:space="preserve">High-ingest metrics or IoT with tags and fields</w:t>
            </w:r>
          </w:p>
        </w:tc>
        <w:tc>
          <w:tcPr/>
          <w:p>
            <w:pPr>
              <w:pStyle w:val="Compact"/>
              <w:jc w:val="left"/>
            </w:pPr>
            <w:r>
              <w:t xml:space="preserve">You need SQL, joins and PostgreSQL tooling</w:t>
            </w:r>
          </w:p>
        </w:tc>
      </w:tr>
    </w:tbl>
    <w:p>
      <w:pPr>
        <w:pStyle w:val="BodyText"/>
      </w:pPr>
      <w:r>
        <w:t xml:space="preserve">[Prometheus Docs; InfluxData Docs; Timescale Docs]</w:t>
      </w:r>
    </w:p>
    <w:bookmarkStart w:id="1397" w:name="real-world-industry-applications-26"/>
    <w:p>
      <w:pPr>
        <w:pStyle w:val="Heading4"/>
      </w:pPr>
      <w:r>
        <w:t xml:space="preserve">Real-world industry applications</w:t>
      </w:r>
    </w:p>
    <w:p>
      <w:pPr>
        <w:pStyle w:val="CalloutIndustry"/>
      </w:pPr>
      <w:r>
        <w:rPr>
          <w:bCs/>
          <w:b/>
        </w:rPr>
        <w:t xml:space="preserve">INDUSTRY EXAMPLE</w:t>
      </w:r>
    </w:p>
    <w:p>
      <w:pPr>
        <w:pStyle w:val="CalloutIndustry"/>
      </w:pPr>
      <w:r>
        <w:rPr>
          <w:bCs/>
          <w:b/>
        </w:rPr>
        <w:t xml:space="preserve">Facebook Gorilla.</w:t>
      </w:r>
      <w:r>
        <w:t xml:space="preserve"> </w:t>
      </w:r>
      <w:r>
        <w:t xml:space="preserve">Facebook’s HBase-backed monitoring store was too slow for queries over recent data. Gorilla keeps the latest 26 hours in memory at 1.37 bytes per point, writes through to HBase, and reported 73× lower query latency and 14× higher throughput.</w:t>
      </w:r>
      <w:r>
        <w:t xml:space="preserve"> </w:t>
      </w:r>
      <w:r>
        <w:rPr>
          <w:iCs/>
          <w:i/>
        </w:rPr>
        <w:t xml:space="preserve">Evidence: Primary</w:t>
      </w:r>
      <w:r>
        <w:t xml:space="preserve"> </w:t>
      </w:r>
      <w:r>
        <w:t xml:space="preserve">— [Pelkonen et al. 2015]</w:t>
      </w:r>
    </w:p>
    <w:bookmarkEnd w:id="1397"/>
    <w:bookmarkStart w:id="1398" w:name="failure-scenarios-31"/>
    <w:p>
      <w:pPr>
        <w:pStyle w:val="Heading4"/>
      </w:pPr>
      <w:r>
        <w:t xml:space="preserve">Failure scenarios</w:t>
      </w:r>
    </w:p>
    <w:p>
      <w:pPr>
        <w:pStyle w:val="FirstParagraph"/>
      </w:pPr>
      <w:r>
        <w:rPr>
          <w:bCs/>
          <w:b/>
        </w:rPr>
        <w:t xml:space="preserve">Table 12.12 — Time-series database 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Memory exhaustion, ingestion stalls</w:t>
            </w:r>
          </w:p>
        </w:tc>
        <w:tc>
          <w:tcPr/>
          <w:p>
            <w:pPr>
              <w:pStyle w:val="Compact"/>
              <w:jc w:val="left"/>
            </w:pPr>
            <w:r>
              <w:rPr>
                <w:bCs/>
                <w:b/>
              </w:rPr>
              <w:t xml:space="preserve">Cardinality explosion</w:t>
            </w:r>
            <w:r>
              <w:t xml:space="preserve">: a label with unbounded values (user ID, request ID) creates millions of series</w:t>
            </w:r>
          </w:p>
        </w:tc>
        <w:tc>
          <w:tcPr/>
          <w:p>
            <w:pPr>
              <w:pStyle w:val="Compact"/>
              <w:jc w:val="left"/>
            </w:pPr>
            <w:r>
              <w:t xml:space="preserve">Active-series count jumps; head memory growth</w:t>
            </w:r>
          </w:p>
        </w:tc>
        <w:tc>
          <w:tcPr/>
          <w:p>
            <w:pPr>
              <w:pStyle w:val="Compact"/>
              <w:jc w:val="left"/>
            </w:pPr>
            <w:r>
              <w:t xml:space="preserve">Drop the label via relabeling; restart</w:t>
            </w:r>
          </w:p>
        </w:tc>
        <w:tc>
          <w:tcPr/>
          <w:p>
            <w:pPr>
              <w:pStyle w:val="Compact"/>
              <w:jc w:val="left"/>
            </w:pPr>
            <w:r>
              <w:t xml:space="preserve">Review labels; per-target series limits</w:t>
            </w:r>
          </w:p>
        </w:tc>
      </w:tr>
      <w:tr>
        <w:tc>
          <w:tcPr/>
          <w:p>
            <w:pPr>
              <w:pStyle w:val="Compact"/>
              <w:jc w:val="left"/>
            </w:pPr>
            <w:r>
              <w:t xml:space="preserve">Out-of-order samples rejected</w:t>
            </w:r>
          </w:p>
        </w:tc>
        <w:tc>
          <w:tcPr/>
          <w:p>
            <w:pPr>
              <w:pStyle w:val="Compact"/>
              <w:jc w:val="left"/>
            </w:pPr>
            <w:r>
              <w:t xml:space="preserve">Clock skew or delayed batches outside the accepted window</w:t>
            </w:r>
          </w:p>
        </w:tc>
        <w:tc>
          <w:tcPr/>
          <w:p>
            <w:pPr>
              <w:pStyle w:val="Compact"/>
              <w:jc w:val="left"/>
            </w:pPr>
            <w:r>
              <w:t xml:space="preserve">Ingestion error counters</w:t>
            </w:r>
          </w:p>
        </w:tc>
        <w:tc>
          <w:tcPr/>
          <w:p>
            <w:pPr>
              <w:pStyle w:val="Compact"/>
              <w:jc w:val="left"/>
            </w:pPr>
            <w:r>
              <w:t xml:space="preserve">Backfill as blocks</w:t>
            </w:r>
          </w:p>
        </w:tc>
        <w:tc>
          <w:tcPr/>
          <w:p>
            <w:pPr>
              <w:pStyle w:val="Compact"/>
              <w:jc w:val="left"/>
            </w:pPr>
            <w:r>
              <w:t xml:space="preserve">Synchronized clocks (§24.9); bounded delays</w:t>
            </w:r>
          </w:p>
        </w:tc>
      </w:tr>
      <w:tr>
        <w:tc>
          <w:tcPr/>
          <w:p>
            <w:pPr>
              <w:pStyle w:val="Compact"/>
              <w:jc w:val="left"/>
            </w:pPr>
            <w:r>
              <w:t xml:space="preserve">Wrong long-term percentiles</w:t>
            </w:r>
          </w:p>
        </w:tc>
        <w:tc>
          <w:tcPr/>
          <w:p>
            <w:pPr>
              <w:pStyle w:val="Compact"/>
              <w:jc w:val="left"/>
            </w:pPr>
            <w:r>
              <w:t xml:space="preserve">Averaged rollups cannot reproduce percentiles</w:t>
            </w:r>
          </w:p>
        </w:tc>
        <w:tc>
          <w:tcPr/>
          <w:p>
            <w:pPr>
              <w:pStyle w:val="Compact"/>
              <w:jc w:val="left"/>
            </w:pPr>
            <w:r>
              <w:t xml:space="preserve">Mismatch with raw data</w:t>
            </w:r>
          </w:p>
        </w:tc>
        <w:tc>
          <w:tcPr/>
          <w:p>
            <w:pPr>
              <w:pStyle w:val="Compact"/>
              <w:jc w:val="left"/>
            </w:pPr>
            <w:r>
              <w:t xml:space="preserve">Recompute from raw if still retained</w:t>
            </w:r>
          </w:p>
        </w:tc>
        <w:tc>
          <w:tcPr/>
          <w:p>
            <w:pPr>
              <w:pStyle w:val="Compact"/>
              <w:jc w:val="left"/>
            </w:pPr>
            <w:r>
              <w:t xml:space="preserve">Store histograms or sketches in rollups</w:t>
            </w:r>
          </w:p>
        </w:tc>
      </w:tr>
      <w:tr>
        <w:tc>
          <w:tcPr/>
          <w:p>
            <w:pPr>
              <w:pStyle w:val="Compact"/>
              <w:jc w:val="left"/>
            </w:pPr>
            <w:r>
              <w:t xml:space="preserve">Local history lost</w:t>
            </w:r>
          </w:p>
        </w:tc>
        <w:tc>
          <w:tcPr/>
          <w:p>
            <w:pPr>
              <w:pStyle w:val="Compact"/>
              <w:jc w:val="left"/>
            </w:pPr>
            <w:r>
              <w:t xml:space="preserve">Single-node TSDB disk failure</w:t>
            </w:r>
          </w:p>
        </w:tc>
        <w:tc>
          <w:tcPr/>
          <w:p>
            <w:pPr>
              <w:pStyle w:val="Compact"/>
              <w:jc w:val="left"/>
            </w:pPr>
            <w:r>
              <w:t xml:space="preserve">Gaps in dashboards</w:t>
            </w:r>
          </w:p>
        </w:tc>
        <w:tc>
          <w:tcPr/>
          <w:p>
            <w:pPr>
              <w:pStyle w:val="Compact"/>
              <w:jc w:val="left"/>
            </w:pPr>
            <w:r>
              <w:t xml:space="preserve">Restore from remote store</w:t>
            </w:r>
          </w:p>
        </w:tc>
        <w:tc>
          <w:tcPr/>
          <w:p>
            <w:pPr>
              <w:pStyle w:val="Compact"/>
              <w:jc w:val="left"/>
            </w:pPr>
            <w:r>
              <w:t xml:space="preserve">Remote-write or replicated pairs</w:t>
            </w:r>
          </w:p>
        </w:tc>
      </w:tr>
    </w:tbl>
    <w:bookmarkEnd w:id="1398"/>
    <w:bookmarkStart w:id="1399" w:name="common-misconceptions-28"/>
    <w:p>
      <w:pPr>
        <w:pStyle w:val="Heading4"/>
      </w:pPr>
      <w:r>
        <w:t xml:space="preserve">Common misconceptions</w:t>
      </w:r>
    </w:p>
    <w:p>
      <w:pPr>
        <w:pStyle w:val="CalloutMistake"/>
      </w:pPr>
      <w:r>
        <w:rPr>
          <w:bCs/>
          <w:b/>
        </w:rPr>
        <w:t xml:space="preserve">COMMON MISTAKE</w:t>
      </w:r>
    </w:p>
    <w:p>
      <w:pPr>
        <w:pStyle w:val="CalloutMistake"/>
      </w:pPr>
      <w:r>
        <w:rPr>
          <w:bCs/>
          <w:b/>
        </w:rPr>
        <w:t xml:space="preserve">“</w:t>
      </w:r>
      <w:r>
        <w:rPr>
          <w:bCs/>
          <w:b/>
        </w:rPr>
        <w:t xml:space="preserve">A TSDB is just a table with a timestamp column.</w:t>
      </w:r>
      <w:r>
        <w:rPr>
          <w:bCs/>
          <w:b/>
        </w:rPr>
        <w:t xml:space="preserve">”</w:t>
      </w:r>
      <w:r>
        <w:t xml:space="preserve"> </w:t>
      </w:r>
      <w:r>
        <w:t xml:space="preserve">At small volume, yes. At scale the differences are physical: 1–2 bytes per sample, retention as file deletion, and an inverted label index. TimescaleDB keeps SQL but changes the storage layout underneath.</w:t>
      </w:r>
    </w:p>
    <w:bookmarkEnd w:id="1399"/>
    <w:bookmarkEnd w:id="1400"/>
    <w:bookmarkEnd w:id="1401"/>
    <w:bookmarkStart w:id="1402" w:name="search-engines-as-databases"/>
    <w:p>
      <w:pPr>
        <w:pStyle w:val="Heading2"/>
      </w:pPr>
      <w:r>
        <w:t xml:space="preserve">12.9 Search engines as databases</w:t>
      </w:r>
    </w:p>
    <w:p>
      <w:pPr>
        <w:pStyle w:val="CalloutDefinition"/>
      </w:pPr>
      <w:r>
        <w:rPr>
          <w:bCs/>
          <w:b/>
        </w:rPr>
        <w:t xml:space="preserve">DEFINITION</w:t>
      </w:r>
    </w:p>
    <w:p>
      <w:pPr>
        <w:pStyle w:val="CalloutDefinition"/>
      </w:pPr>
      <w:r>
        <w:rPr>
          <w:bCs/>
          <w:b/>
        </w:rPr>
        <w:t xml:space="preserve">Definition — Search engine (as a data store).</w:t>
      </w:r>
      <w:r>
        <w:t xml:space="preserve"> </w:t>
      </w:r>
      <w:r>
        <w:t xml:space="preserve">A system such as Elasticsearch, OpenSearch or Apache Solr that stores JSON documents and builds an</w:t>
      </w:r>
      <w:r>
        <w:t xml:space="preserve"> </w:t>
      </w:r>
      <w:r>
        <w:rPr>
          <w:bCs/>
          <w:b/>
        </w:rPr>
        <w:t xml:space="preserve">inverted index</w:t>
      </w:r>
      <w:r>
        <w:t xml:space="preserve"> </w:t>
      </w:r>
      <w:r>
        <w:t xml:space="preserve">— a map from each term to the list of documents containing it — so it can answer full-text, relevance-ranked, faceted and fuzzy queries.</w:t>
      </w:r>
    </w:p>
    <w:p>
      <w:pPr>
        <w:pStyle w:val="BodyText"/>
      </w:pPr>
      <w:r>
        <w:t xml:space="preserve">A relational</w:t>
      </w:r>
      <w:r>
        <w:t xml:space="preserve"> </w:t>
      </w:r>
      <w:r>
        <w:rPr>
          <w:rStyle w:val="VerbatimChar"/>
        </w:rPr>
        <w:t xml:space="preserve">LIKE '%running shoes%'</w:t>
      </w:r>
      <w:r>
        <w:t xml:space="preserve"> </w:t>
      </w:r>
      <w:r>
        <w:t xml:space="preserve">scans every row and cannot rank; an inverted index intersects two postings lists and scores matches with BM25, and also serves faceted counts and log analytics (Chapter 16). As a</w:t>
      </w:r>
      <w:r>
        <w:t xml:space="preserve"> </w:t>
      </w:r>
      <w:r>
        <w:rPr>
          <w:iCs/>
          <w:i/>
        </w:rPr>
        <w:t xml:space="preserve">database</w:t>
      </w:r>
      <w:r>
        <w:t xml:space="preserve"> </w:t>
      </w:r>
      <w:r>
        <w:t xml:space="preserve">it has limits: indexing is</w:t>
      </w:r>
      <w:r>
        <w:t xml:space="preserve"> </w:t>
      </w:r>
      <w:r>
        <w:rPr>
          <w:bCs/>
          <w:b/>
        </w:rPr>
        <w:t xml:space="preserve">near-real-time</w:t>
      </w:r>
      <w:r>
        <w:t xml:space="preserve"> </w:t>
      </w:r>
      <w:r>
        <w:t xml:space="preserve">(Elasticsearch refreshes every 1 second by default), there are no multi-document transactions, and mapping changes often require reindexing [Elastic Docs]. The standard architecture keeps the system of record in a transactional database and feeds the index through change data capture (§32.6).</w:t>
      </w:r>
    </w:p>
    <w:p>
      <w:pPr>
        <w:pStyle w:val="CalloutRecommendation"/>
      </w:pPr>
      <w:r>
        <w:rPr>
          <w:bCs/>
          <w:b/>
        </w:rPr>
        <w:t xml:space="preserve">RECOMMENDATION</w:t>
      </w:r>
    </w:p>
    <w:p>
      <w:pPr>
        <w:pStyle w:val="CalloutRecommendation"/>
      </w:pPr>
      <w:r>
        <w:rPr>
          <w:bCs/>
          <w:b/>
        </w:rPr>
        <w:t xml:space="preserve">Do not make the search index your only copy.</w:t>
      </w:r>
      <w:r>
        <w:t xml:space="preserve"> </w:t>
      </w:r>
      <w:r>
        <w:t xml:space="preserve">Treat it as a derived, rebuildable view. If you cannot regenerate it from a source of truth in hours, you have created a primary database without the durability features of one.</w:t>
      </w:r>
    </w:p>
    <w:bookmarkEnd w:id="1402"/>
    <w:bookmarkStart w:id="1403" w:name="vector-databases"/>
    <w:p>
      <w:pPr>
        <w:pStyle w:val="Heading2"/>
      </w:pPr>
      <w:r>
        <w:t xml:space="preserve">12.10 Vector databases</w:t>
      </w:r>
    </w:p>
    <w:p>
      <w:pPr>
        <w:pStyle w:val="CalloutDefinition"/>
      </w:pPr>
      <w:r>
        <w:rPr>
          <w:bCs/>
          <w:b/>
        </w:rPr>
        <w:t xml:space="preserve">DEFINITION</w:t>
      </w:r>
    </w:p>
    <w:p>
      <w:pPr>
        <w:pStyle w:val="CalloutDefinition"/>
      </w:pPr>
      <w:r>
        <w:rPr>
          <w:bCs/>
          <w:b/>
        </w:rPr>
        <w:t xml:space="preserve">Definition — Vector database.</w:t>
      </w:r>
      <w:r>
        <w:t xml:space="preserve"> </w:t>
      </w:r>
      <w:r>
        <w:t xml:space="preserve">A data store that indexes high-dimensional numeric vectors (</w:t>
      </w:r>
      <w:r>
        <w:rPr>
          <w:bCs/>
          <w:b/>
        </w:rPr>
        <w:t xml:space="preserve">embeddings</w:t>
      </w:r>
      <w:r>
        <w:t xml:space="preserve"> </w:t>
      </w:r>
      <w:r>
        <w:t xml:space="preserve">produced by machine-learning models) and answers</w:t>
      </w:r>
      <w:r>
        <w:t xml:space="preserve"> </w:t>
      </w:r>
      <w:r>
        <w:rPr>
          <w:bCs/>
          <w:b/>
        </w:rPr>
        <w:t xml:space="preserve">approximate nearest neighbor (ANN) search</w:t>
      </w:r>
      <w:r>
        <w:t xml:space="preserve"> </w:t>
      </w:r>
      <w:r>
        <w:t xml:space="preserve">queries:</w:t>
      </w:r>
      <w:r>
        <w:t xml:space="preserve"> </w:t>
      </w:r>
      <w:r>
        <w:t xml:space="preserve">“</w:t>
      </w:r>
      <w:r>
        <w:t xml:space="preserve">the</w:t>
      </w:r>
      <w:r>
        <w:t xml:space="preserve"> </w:t>
      </w:r>
      <w:r>
        <w:rPr>
          <w:iCs/>
          <w:i/>
        </w:rPr>
        <w:t xml:space="preserve">k</w:t>
      </w:r>
      <w:r>
        <w:t xml:space="preserve"> </w:t>
      </w:r>
      <w:r>
        <w:t xml:space="preserve">stored vectors most similar to this query vector</w:t>
      </w:r>
      <w:r>
        <w:t xml:space="preserve">”</w:t>
      </w:r>
      <w:r>
        <w:t xml:space="preserve">, by cosine similarity, dot product or Euclidean distance.</w:t>
      </w:r>
    </w:p>
    <w:p>
      <w:pPr>
        <w:pStyle w:val="BodyText"/>
      </w:pPr>
      <w:r>
        <w:t xml:space="preserve">Embeddings place similar items — a beach photo and the text</w:t>
      </w:r>
      <w:r>
        <w:t xml:space="preserve"> </w:t>
      </w:r>
      <w:r>
        <w:t xml:space="preserve">“</w:t>
      </w:r>
      <w:r>
        <w:t xml:space="preserve">sunny coast</w:t>
      </w:r>
      <w:r>
        <w:t xml:space="preserve">”</w:t>
      </w:r>
      <w:r>
        <w:t xml:space="preserve"> </w:t>
      </w:r>
      <w:r>
        <w:t xml:space="preserve">— near each other in hundreds of dimensions. Exact search over 100 million 768-dimension vectors costs about</w:t>
      </w:r>
      <w:r>
        <w:t xml:space="preserve"> </w:t>
      </w:r>
      <m:oMath>
        <m:r>
          <m:t>7.7</m:t>
        </m:r>
        <m:r>
          <m:rPr>
            <m:sty m:val="p"/>
          </m:rPr>
          <m:t>×</m:t>
        </m:r>
        <m:sSup>
          <m:e>
            <m:r>
              <m:t>10</m:t>
            </m:r>
          </m:e>
          <m:sup>
            <m:r>
              <m:t>10</m:t>
            </m:r>
          </m:sup>
        </m:sSup>
      </m:oMath>
      <w:r>
        <w:t xml:space="preserve"> </w:t>
      </w:r>
      <w:r>
        <w:t xml:space="preserve">multiply-adds per query; ANN indexes such as</w:t>
      </w:r>
      <w:r>
        <w:t xml:space="preserve"> </w:t>
      </w:r>
      <w:r>
        <w:rPr>
          <w:bCs/>
          <w:b/>
        </w:rPr>
        <w:t xml:space="preserve">HNSW</w:t>
      </w:r>
      <w:r>
        <w:t xml:space="preserve"> </w:t>
      </w:r>
      <w:r>
        <w:t xml:space="preserve">(a layered proximity graph [Malkov &amp; Yashunin 2020]) and</w:t>
      </w:r>
      <w:r>
        <w:t xml:space="preserve"> </w:t>
      </w:r>
      <w:r>
        <w:rPr>
          <w:bCs/>
          <w:b/>
        </w:rPr>
        <w:t xml:space="preserve">IVF</w:t>
      </w:r>
      <w:r>
        <w:t xml:space="preserve"> </w:t>
      </w:r>
      <w:r>
        <w:t xml:space="preserve">(search only nearby clusters) trade a little recall for orders of magnitude less work. As of 2026 you meet vector search as dedicated databases (Milvus, Pinecone, Qdrant, Weaviate), as extensions (pgvector, MongoDB Atlas, Cassandra 5.0, Redis, Elasticsearch) and as libraries (FAISS). Treat it as a specialized secondary index, fed from a system of record and rebuilt when the embedding model changes; Chapter 74 covers the design in depth.</w:t>
      </w:r>
    </w:p>
    <w:bookmarkEnd w:id="1403"/>
    <w:bookmarkStart w:id="1404" w:name="newsql"/>
    <w:p>
      <w:pPr>
        <w:pStyle w:val="Heading2"/>
      </w:pPr>
      <w:r>
        <w:t xml:space="preserve">12.11 NewSQL</w:t>
      </w:r>
    </w:p>
    <w:p>
      <w:pPr>
        <w:pStyle w:val="CalloutDefinition"/>
      </w:pPr>
      <w:r>
        <w:rPr>
          <w:bCs/>
          <w:b/>
        </w:rPr>
        <w:t xml:space="preserve">DEFINITION</w:t>
      </w:r>
    </w:p>
    <w:p>
      <w:pPr>
        <w:pStyle w:val="CalloutDefinition"/>
      </w:pPr>
      <w:r>
        <w:rPr>
          <w:bCs/>
          <w:b/>
        </w:rPr>
        <w:t xml:space="preserve">Definition — NewSQL (distributed SQL).</w:t>
      </w:r>
      <w:r>
        <w:t xml:space="preserve"> </w:t>
      </w:r>
      <w:r>
        <w:t xml:space="preserve">Relational databases that keep SQL and ACID transactions with serializable or strong isolation while scaling horizontally across nodes and regions, by partitioning data into ranges replicated with a consensus protocol. The term was coined by analyst Matthew Aslett in 2011 [Pavlo &amp; Aslett 2016].</w:t>
      </w:r>
    </w:p>
    <w:p>
      <w:pPr>
        <w:pStyle w:val="BodyText"/>
      </w:pPr>
      <w:r>
        <w:t xml:space="preserve">NewSQL scales out</w:t>
      </w:r>
      <w:r>
        <w:t xml:space="preserve"> </w:t>
      </w:r>
      <w:r>
        <w:rPr>
          <w:iCs/>
          <w:i/>
        </w:rPr>
        <w:t xml:space="preserve">without</w:t>
      </w:r>
      <w:r>
        <w:t xml:space="preserve"> </w:t>
      </w:r>
      <w:r>
        <w:t xml:space="preserve">giving up transactions and joins: split tables into key ranges, replicate each with Paxos or Raft (§26.6, §26.7), run cross-range transactions with a two-phase-commit variant (§28.4), and order transactions with timestamps.</w:t>
      </w:r>
    </w:p>
    <w:p>
      <w:pPr>
        <w:pStyle w:val="BodyText"/>
      </w:pPr>
      <w:r>
        <w:rPr>
          <w:bCs/>
          <w:b/>
        </w:rPr>
        <w:t xml:space="preserve">Table 12.13 — Three distributed SQL systems (deep treatment in Chapter 28).</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System</w:t>
            </w:r>
          </w:p>
        </w:tc>
        <w:tc>
          <w:tcPr/>
          <w:p>
            <w:pPr>
              <w:pStyle w:val="Compact"/>
              <w:jc w:val="left"/>
            </w:pPr>
            <w:r>
              <w:t xml:space="preserve">Origin</w:t>
            </w:r>
          </w:p>
        </w:tc>
        <w:tc>
          <w:tcPr/>
          <w:p>
            <w:pPr>
              <w:pStyle w:val="Compact"/>
              <w:jc w:val="left"/>
            </w:pPr>
            <w:r>
              <w:t xml:space="preserve">Replication</w:t>
            </w:r>
          </w:p>
        </w:tc>
        <w:tc>
          <w:tcPr/>
          <w:p>
            <w:pPr>
              <w:pStyle w:val="Compact"/>
              <w:jc w:val="left"/>
            </w:pPr>
            <w:r>
              <w:t xml:space="preserve">Clock and ordering</w:t>
            </w:r>
          </w:p>
        </w:tc>
        <w:tc>
          <w:tcPr/>
          <w:p>
            <w:pPr>
              <w:pStyle w:val="Compact"/>
              <w:jc w:val="left"/>
            </w:pPr>
            <w:r>
              <w:t xml:space="preserve">Notable feature</w:t>
            </w:r>
          </w:p>
        </w:tc>
      </w:tr>
      <w:tr>
        <w:tc>
          <w:tcPr/>
          <w:p>
            <w:pPr>
              <w:pStyle w:val="Compact"/>
              <w:jc w:val="left"/>
            </w:pPr>
            <w:r>
              <w:t xml:space="preserve">Spanner</w:t>
            </w:r>
          </w:p>
        </w:tc>
        <w:tc>
          <w:tcPr/>
          <w:p>
            <w:pPr>
              <w:pStyle w:val="Compact"/>
              <w:jc w:val="left"/>
            </w:pPr>
            <w:r>
              <w:t xml:space="preserve">Google, OSDI 2012</w:t>
            </w:r>
          </w:p>
        </w:tc>
        <w:tc>
          <w:tcPr/>
          <w:p>
            <w:pPr>
              <w:pStyle w:val="Compact"/>
              <w:jc w:val="left"/>
            </w:pPr>
            <w:r>
              <w:t xml:space="preserve">Paxos per split</w:t>
            </w:r>
          </w:p>
        </w:tc>
        <w:tc>
          <w:tcPr/>
          <w:p>
            <w:pPr>
              <w:pStyle w:val="Compact"/>
              <w:jc w:val="left"/>
            </w:pPr>
            <w:r>
              <w:t xml:space="preserve">TrueTime (GPS and atomic clocks) with commit wait</w:t>
            </w:r>
          </w:p>
        </w:tc>
        <w:tc>
          <w:tcPr/>
          <w:p>
            <w:pPr>
              <w:pStyle w:val="Compact"/>
              <w:jc w:val="left"/>
            </w:pPr>
            <w:r>
              <w:t xml:space="preserve">External consistency across the globe [Corbett et al. 2012]</w:t>
            </w:r>
          </w:p>
        </w:tc>
      </w:tr>
      <w:tr>
        <w:tc>
          <w:tcPr/>
          <w:p>
            <w:pPr>
              <w:pStyle w:val="Compact"/>
              <w:jc w:val="left"/>
            </w:pPr>
            <w:r>
              <w:t xml:space="preserve">CockroachDB</w:t>
            </w:r>
          </w:p>
        </w:tc>
        <w:tc>
          <w:tcPr/>
          <w:p>
            <w:pPr>
              <w:pStyle w:val="Compact"/>
              <w:jc w:val="left"/>
            </w:pPr>
            <w:r>
              <w:t xml:space="preserve">Cockroach Labs, SIGMOD 2020 paper</w:t>
            </w:r>
          </w:p>
        </w:tc>
        <w:tc>
          <w:tcPr/>
          <w:p>
            <w:pPr>
              <w:pStyle w:val="Compact"/>
              <w:jc w:val="left"/>
            </w:pPr>
            <w:r>
              <w:t xml:space="preserve">Raft per range</w:t>
            </w:r>
          </w:p>
        </w:tc>
        <w:tc>
          <w:tcPr/>
          <w:p>
            <w:pPr>
              <w:pStyle w:val="Compact"/>
              <w:jc w:val="left"/>
            </w:pPr>
            <w:r>
              <w:t xml:space="preserve">Hybrid logical clocks, bounded uncertainty</w:t>
            </w:r>
          </w:p>
        </w:tc>
        <w:tc>
          <w:tcPr/>
          <w:p>
            <w:pPr>
              <w:pStyle w:val="Compact"/>
              <w:jc w:val="left"/>
            </w:pPr>
            <w:r>
              <w:t xml:space="preserve">PostgreSQL wire compatibility; serializable by default [Taft et al. 2020]</w:t>
            </w:r>
          </w:p>
        </w:tc>
      </w:tr>
      <w:tr>
        <w:tc>
          <w:tcPr/>
          <w:p>
            <w:pPr>
              <w:pStyle w:val="Compact"/>
              <w:jc w:val="left"/>
            </w:pPr>
            <w:r>
              <w:t xml:space="preserve">TiDB</w:t>
            </w:r>
          </w:p>
        </w:tc>
        <w:tc>
          <w:tcPr/>
          <w:p>
            <w:pPr>
              <w:pStyle w:val="Compact"/>
              <w:jc w:val="left"/>
            </w:pPr>
            <w:r>
              <w:t xml:space="preserve">PingCAP, VLDB 2020 paper</w:t>
            </w:r>
          </w:p>
        </w:tc>
        <w:tc>
          <w:tcPr/>
          <w:p>
            <w:pPr>
              <w:pStyle w:val="Compact"/>
              <w:jc w:val="left"/>
            </w:pPr>
            <w:r>
              <w:t xml:space="preserve">Raft in TiKV</w:t>
            </w:r>
          </w:p>
        </w:tc>
        <w:tc>
          <w:tcPr/>
          <w:p>
            <w:pPr>
              <w:pStyle w:val="Compact"/>
              <w:jc w:val="left"/>
            </w:pPr>
            <w:r>
              <w:t xml:space="preserve">Timestamp oracle in the Placement Driver</w:t>
            </w:r>
          </w:p>
        </w:tc>
        <w:tc>
          <w:tcPr/>
          <w:p>
            <w:pPr>
              <w:pStyle w:val="Compact"/>
              <w:jc w:val="left"/>
            </w:pPr>
            <w:r>
              <w:t xml:space="preserve">MySQL compatibility; columnar TiFlash replicas for analytics [Huang et al. 2020]</w:t>
            </w:r>
          </w:p>
        </w:tc>
      </w:tr>
    </w:tbl>
    <w:p>
      <w:pPr>
        <w:pStyle w:val="BodyText"/>
      </w:pPr>
      <w:r>
        <w:t xml:space="preserve">The price is latency: a write must reach a majority of replicas (milliseconds within a region, tens of milliseconds across regions), cross-range transactions add coordination, and Spanner’s commit wait pauses for clock uncertainty. Choose NewSQL when you have outgrown one PostgreSQL or MySQL primary</w:t>
      </w:r>
      <w:r>
        <w:t xml:space="preserve"> </w:t>
      </w:r>
      <w:r>
        <w:rPr>
          <w:iCs/>
          <w:i/>
        </w:rPr>
        <w:t xml:space="preserve">and</w:t>
      </w:r>
      <w:r>
        <w:t xml:space="preserve"> </w:t>
      </w:r>
      <w:r>
        <w:t xml:space="preserve">need multi-row transactions (§28.8, §28.10).</w:t>
      </w:r>
    </w:p>
    <w:bookmarkEnd w:id="1404"/>
    <w:bookmarkStart w:id="1410" w:name="Xecdf517821d31d7a1d01ecb7857b21698d29f40"/>
    <w:p>
      <w:pPr>
        <w:pStyle w:val="Heading2"/>
      </w:pPr>
      <w:r>
        <w:t xml:space="preserve">12.12 Selection framework and SQL versus NoSQL comparison</w:t>
      </w:r>
    </w:p>
    <w:bookmarkStart w:id="1408" w:name="a-decision-procedure"/>
    <w:p>
      <w:pPr>
        <w:pStyle w:val="Heading3"/>
      </w:pPr>
      <w:r>
        <w:t xml:space="preserve">12.12.1 A decision procedure</w:t>
      </w:r>
    </w:p>
    <w:p>
      <w:pPr>
        <w:pStyle w:val="FirstParagraph"/>
      </w:pPr>
      <w:r>
        <w:t xml:space="preserve">Choosing a database is choosing which questions will be cheap and which impossible:</w:t>
      </w:r>
    </w:p>
    <w:p>
      <w:pPr>
        <w:numPr>
          <w:ilvl w:val="0"/>
          <w:numId w:val="1426"/>
        </w:numPr>
        <w:pStyle w:val="Compact"/>
      </w:pPr>
      <w:r>
        <w:rPr>
          <w:bCs/>
          <w:b/>
        </w:rPr>
        <w:t xml:space="preserve">List access patterns</w:t>
      </w:r>
      <w:r>
        <w:t xml:space="preserve"> </w:t>
      </w:r>
      <w:r>
        <w:t xml:space="preserve">with rates and latency targets (</w:t>
      </w:r>
      <w:r>
        <w:t xml:space="preserve">“</w:t>
      </w:r>
      <w:r>
        <w:t xml:space="preserve">get order by ID, 10,000/s, p99 &lt; 20 ms</w:t>
      </w:r>
      <w:r>
        <w:t xml:space="preserve">”</w:t>
      </w:r>
      <w:r>
        <w:t xml:space="preserve">).</w:t>
      </w:r>
    </w:p>
    <w:p>
      <w:pPr>
        <w:numPr>
          <w:ilvl w:val="0"/>
          <w:numId w:val="1426"/>
        </w:numPr>
        <w:pStyle w:val="Compact"/>
      </w:pPr>
      <w:r>
        <w:rPr>
          <w:bCs/>
          <w:b/>
        </w:rPr>
        <w:t xml:space="preserve">List invariants</w:t>
      </w:r>
      <w:r>
        <w:t xml:space="preserve"> </w:t>
      </w:r>
      <w:r>
        <w:t xml:space="preserve">and how many entities each spans (</w:t>
      </w:r>
      <w:r>
        <w:t xml:space="preserve">“</w:t>
      </w:r>
      <w:r>
        <w:t xml:space="preserve">stock never negative</w:t>
      </w:r>
      <w:r>
        <w:t xml:space="preserve">”</w:t>
      </w:r>
      <w:r>
        <w:t xml:space="preserve">: one;</w:t>
      </w:r>
      <w:r>
        <w:t xml:space="preserve"> </w:t>
      </w:r>
      <w:r>
        <w:t xml:space="preserve">“</w:t>
      </w:r>
      <w:r>
        <w:t xml:space="preserve">debits equal credits</w:t>
      </w:r>
      <w:r>
        <w:t xml:space="preserve">”</w:t>
      </w:r>
      <w:r>
        <w:t xml:space="preserve">: two).</w:t>
      </w:r>
    </w:p>
    <w:p>
      <w:pPr>
        <w:numPr>
          <w:ilvl w:val="0"/>
          <w:numId w:val="1426"/>
        </w:numPr>
        <w:pStyle w:val="Compact"/>
      </w:pPr>
      <w:r>
        <w:rPr>
          <w:bCs/>
          <w:b/>
        </w:rPr>
        <w:t xml:space="preserve">Estimate size and growth</w:t>
      </w:r>
      <w:r>
        <w:t xml:space="preserve"> </w:t>
      </w:r>
      <w:r>
        <w:t xml:space="preserve">(§2.11).</w:t>
      </w:r>
    </w:p>
    <w:p>
      <w:pPr>
        <w:numPr>
          <w:ilvl w:val="0"/>
          <w:numId w:val="1426"/>
        </w:numPr>
        <w:pStyle w:val="Compact"/>
      </w:pPr>
      <w:r>
        <w:rPr>
          <w:bCs/>
          <w:b/>
        </w:rPr>
        <w:t xml:space="preserve">Pick the simplest store that serves the critical patterns</w:t>
      </w:r>
      <w:r>
        <w:t xml:space="preserve">, adding specialized stores only for patterns it cannot serve.</w:t>
      </w:r>
    </w:p>
    <w:p>
      <w:pPr>
        <w:pStyle w:val="FirstParagraph"/>
      </w:pPr>
      <w:r>
        <w:rPr>
          <w:bCs/>
          <w:b/>
        </w:rPr>
        <w:t xml:space="preserve">Figure 12.10 — Database selection flowchart.</w:t>
      </w:r>
    </w:p>
    <w:p>
      <w:pPr>
        <w:pStyle w:val="BodyText"/>
      </w:pPr>
      <w:r>
        <w:drawing>
          <wp:inline>
            <wp:extent cx="5334000" cy="2764573"/>
            <wp:effectExtent b="0" l="0" r="0" t="0"/>
            <wp:docPr descr="" title="" id="1406" name="Picture"/>
            <a:graphic>
              <a:graphicData uri="http://schemas.openxmlformats.org/drawingml/2006/picture">
                <pic:pic>
                  <pic:nvPicPr>
                    <pic:cNvPr descr="/home/user/System-Design/build/.cache/diagrams/a2ca7012bcd2.png" id="1407" name="Picture"/>
                    <pic:cNvPicPr>
                      <a:picLocks noChangeArrowheads="1" noChangeAspect="1"/>
                    </pic:cNvPicPr>
                  </pic:nvPicPr>
                  <pic:blipFill>
                    <a:blip r:embed="rId1405"/>
                    <a:stretch>
                      <a:fillRect/>
                    </a:stretch>
                  </pic:blipFill>
                  <pic:spPr bwMode="auto">
                    <a:xfrm>
                      <a:off x="0" y="0"/>
                      <a:ext cx="5334000" cy="2764573"/>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Diamonds ask about requirements, not technologies; cylinders are families with one example each. The first question routes toward relational storage: if invariants span entities or queries are not yet known, a relational database with replicas (§14.3) is the default, and NewSQL applies only when one primary cannot carry the load. Otherwise the dominant query shape picks the family. There are no protocols or failure paths; in practice one system serves several patterns and specialized stores are added as</w:t>
      </w:r>
      <w:r>
        <w:t xml:space="preserve"> </w:t>
      </w:r>
      <w:r>
        <w:rPr>
          <w:iCs/>
          <w:i/>
        </w:rPr>
        <w:t xml:space="preserve">derived</w:t>
      </w:r>
      <w:r>
        <w:t xml:space="preserve"> </w:t>
      </w:r>
      <w:r>
        <w:t xml:space="preserve">views (§12.13). Revisit the chart when access patterns change.</w:t>
      </w:r>
    </w:p>
    <w:p>
      <w:pPr>
        <w:pStyle w:val="CalloutRecommendation"/>
      </w:pPr>
      <w:r>
        <w:rPr>
          <w:bCs/>
          <w:b/>
        </w:rPr>
        <w:t xml:space="preserve">RECOMMENDATION</w:t>
      </w:r>
    </w:p>
    <w:p>
      <w:pPr>
        <w:pStyle w:val="CalloutRecommendation"/>
      </w:pPr>
      <w:r>
        <w:rPr>
          <w:bCs/>
          <w:b/>
        </w:rPr>
        <w:t xml:space="preserve">Default to PostgreSQL until a requirement rules it out.</w:t>
      </w:r>
      <w:r>
        <w:t xml:space="preserve"> </w:t>
      </w:r>
      <w:r>
        <w:t xml:space="preserve">One PostgreSQL primary with replicas handles tens of thousands of transactions per second and terabytes of data, with</w:t>
      </w:r>
      <w:r>
        <w:t xml:space="preserve"> </w:t>
      </w:r>
      <w:r>
        <w:rPr>
          <w:rStyle w:val="VerbatimChar"/>
        </w:rPr>
        <w:t xml:space="preserve">jsonb</w:t>
      </w:r>
      <w:r>
        <w:t xml:space="preserve">, full-text search, TimescaleDB and pgvector covering many specialized needs. Move a workload when you can name and measure the requirement it fails.</w:t>
      </w:r>
    </w:p>
    <w:bookmarkEnd w:id="1408"/>
    <w:bookmarkStart w:id="1409" w:name="comparison-table"/>
    <w:p>
      <w:pPr>
        <w:pStyle w:val="Heading3"/>
      </w:pPr>
      <w:r>
        <w:t xml:space="preserve">12.12.2 Comparison table</w:t>
      </w:r>
    </w:p>
    <w:p>
      <w:pPr>
        <w:pStyle w:val="FirstParagraph"/>
      </w:pPr>
      <w:r>
        <w:rPr>
          <w:bCs/>
          <w:b/>
        </w:rPr>
        <w:t xml:space="preserve">Table 12.14 — Relational and NoSQL families compared.</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Row</w:t>
            </w:r>
          </w:p>
        </w:tc>
        <w:tc>
          <w:tcPr/>
          <w:p>
            <w:pPr>
              <w:pStyle w:val="Compact"/>
              <w:jc w:val="left"/>
            </w:pPr>
            <w:r>
              <w:t xml:space="preserve">Relational (SQL)</w:t>
            </w:r>
          </w:p>
        </w:tc>
        <w:tc>
          <w:tcPr/>
          <w:p>
            <w:pPr>
              <w:pStyle w:val="Compact"/>
              <w:jc w:val="left"/>
            </w:pPr>
            <w:r>
              <w:t xml:space="preserve">Key-value</w:t>
            </w:r>
          </w:p>
        </w:tc>
        <w:tc>
          <w:tcPr/>
          <w:p>
            <w:pPr>
              <w:pStyle w:val="Compact"/>
              <w:jc w:val="left"/>
            </w:pPr>
            <w:r>
              <w:t xml:space="preserve">Document</w:t>
            </w:r>
          </w:p>
        </w:tc>
        <w:tc>
          <w:tcPr/>
          <w:p>
            <w:pPr>
              <w:pStyle w:val="Compact"/>
              <w:jc w:val="left"/>
            </w:pPr>
            <w:r>
              <w:t xml:space="preserve">Wide-column</w:t>
            </w:r>
          </w:p>
        </w:tc>
        <w:tc>
          <w:tcPr/>
          <w:p>
            <w:pPr>
              <w:pStyle w:val="Compact"/>
              <w:jc w:val="left"/>
            </w:pPr>
            <w:r>
              <w:t xml:space="preserve">Graph</w:t>
            </w:r>
          </w:p>
        </w:tc>
        <w:tc>
          <w:tcPr/>
          <w:p>
            <w:pPr>
              <w:pStyle w:val="Compact"/>
              <w:jc w:val="left"/>
            </w:pPr>
            <w:r>
              <w:t xml:space="preserve">Time-series</w:t>
            </w:r>
          </w:p>
        </w:tc>
      </w:tr>
      <w:tr>
        <w:tc>
          <w:tcPr/>
          <w:p>
            <w:pPr>
              <w:pStyle w:val="Compact"/>
              <w:jc w:val="left"/>
            </w:pPr>
            <w:r>
              <w:t xml:space="preserve">What it is</w:t>
            </w:r>
          </w:p>
        </w:tc>
        <w:tc>
          <w:tcPr/>
          <w:p>
            <w:pPr>
              <w:pStyle w:val="Compact"/>
              <w:jc w:val="left"/>
            </w:pPr>
            <w:r>
              <w:t xml:space="preserve">Tables, rows, joins, ACID</w:t>
            </w:r>
          </w:p>
        </w:tc>
        <w:tc>
          <w:tcPr/>
          <w:p>
            <w:pPr>
              <w:pStyle w:val="Compact"/>
              <w:jc w:val="left"/>
            </w:pPr>
            <w:r>
              <w:t xml:space="preserve">Opaque values by key</w:t>
            </w:r>
          </w:p>
        </w:tc>
        <w:tc>
          <w:tcPr/>
          <w:p>
            <w:pPr>
              <w:pStyle w:val="Compact"/>
              <w:jc w:val="left"/>
            </w:pPr>
            <w:r>
              <w:t xml:space="preserve">Nested JSON-like documents</w:t>
            </w:r>
          </w:p>
        </w:tc>
        <w:tc>
          <w:tcPr/>
          <w:p>
            <w:pPr>
              <w:pStyle w:val="Compact"/>
              <w:jc w:val="left"/>
            </w:pPr>
            <w:r>
              <w:t xml:space="preserve">Sorted sparse rows in partitions</w:t>
            </w:r>
          </w:p>
        </w:tc>
        <w:tc>
          <w:tcPr/>
          <w:p>
            <w:pPr>
              <w:pStyle w:val="Compact"/>
              <w:jc w:val="left"/>
            </w:pPr>
            <w:r>
              <w:t xml:space="preserve">Nodes and typed edges</w:t>
            </w:r>
          </w:p>
        </w:tc>
        <w:tc>
          <w:tcPr/>
          <w:p>
            <w:pPr>
              <w:pStyle w:val="Compact"/>
              <w:jc w:val="left"/>
            </w:pPr>
            <w:r>
              <w:t xml:space="preserve">Labeled series of samples</w:t>
            </w:r>
          </w:p>
        </w:tc>
      </w:tr>
      <w:tr>
        <w:tc>
          <w:tcPr/>
          <w:p>
            <w:pPr>
              <w:pStyle w:val="Compact"/>
              <w:jc w:val="left"/>
            </w:pPr>
            <w:r>
              <w:t xml:space="preserve">How it works</w:t>
            </w:r>
          </w:p>
        </w:tc>
        <w:tc>
          <w:tcPr/>
          <w:p>
            <w:pPr>
              <w:pStyle w:val="Compact"/>
              <w:jc w:val="left"/>
            </w:pPr>
            <w:r>
              <w:t xml:space="preserve">B-tree pages, WAL, cost-based planner</w:t>
            </w:r>
          </w:p>
        </w:tc>
        <w:tc>
          <w:tcPr/>
          <w:p>
            <w:pPr>
              <w:pStyle w:val="Compact"/>
              <w:jc w:val="left"/>
            </w:pPr>
            <w:r>
              <w:t xml:space="preserve">Hash partitioning, replicas</w:t>
            </w:r>
          </w:p>
        </w:tc>
        <w:tc>
          <w:tcPr/>
          <w:p>
            <w:pPr>
              <w:pStyle w:val="Compact"/>
              <w:jc w:val="left"/>
            </w:pPr>
            <w:r>
              <w:t xml:space="preserve">B-tree per collection, shard key</w:t>
            </w:r>
          </w:p>
        </w:tc>
        <w:tc>
          <w:tcPr/>
          <w:p>
            <w:pPr>
              <w:pStyle w:val="Compact"/>
              <w:jc w:val="left"/>
            </w:pPr>
            <w:r>
              <w:t xml:space="preserve">LSM storage, hash ring, clustering order</w:t>
            </w:r>
          </w:p>
        </w:tc>
        <w:tc>
          <w:tcPr/>
          <w:p>
            <w:pPr>
              <w:pStyle w:val="Compact"/>
              <w:jc w:val="left"/>
            </w:pPr>
            <w:r>
              <w:t xml:space="preserve">Linked records, pointer chasing</w:t>
            </w:r>
          </w:p>
        </w:tc>
        <w:tc>
          <w:tcPr/>
          <w:p>
            <w:pPr>
              <w:pStyle w:val="Compact"/>
              <w:jc w:val="left"/>
            </w:pPr>
            <w:r>
              <w:t xml:space="preserve">Compressed chunks, time blocks, label index</w:t>
            </w:r>
          </w:p>
        </w:tc>
      </w:tr>
      <w:tr>
        <w:tc>
          <w:tcPr/>
          <w:p>
            <w:pPr>
              <w:pStyle w:val="Compact"/>
              <w:jc w:val="left"/>
            </w:pPr>
            <w:r>
              <w:t xml:space="preserve">Advantages</w:t>
            </w:r>
          </w:p>
        </w:tc>
        <w:tc>
          <w:tcPr/>
          <w:p>
            <w:pPr>
              <w:pStyle w:val="Compact"/>
              <w:jc w:val="left"/>
            </w:pPr>
            <w:r>
              <w:t xml:space="preserve">Ad-hoc queries, integrity, transactions</w:t>
            </w:r>
          </w:p>
        </w:tc>
        <w:tc>
          <w:tcPr/>
          <w:p>
            <w:pPr>
              <w:pStyle w:val="Compact"/>
              <w:jc w:val="left"/>
            </w:pPr>
            <w:r>
              <w:t xml:space="preserve">Flat latency at any scale</w:t>
            </w:r>
          </w:p>
        </w:tc>
        <w:tc>
          <w:tcPr/>
          <w:p>
            <w:pPr>
              <w:pStyle w:val="Compact"/>
              <w:jc w:val="left"/>
            </w:pPr>
            <w:r>
              <w:t xml:space="preserve">Matches objects; flexible schema</w:t>
            </w:r>
          </w:p>
        </w:tc>
        <w:tc>
          <w:tcPr/>
          <w:p>
            <w:pPr>
              <w:pStyle w:val="Compact"/>
              <w:jc w:val="left"/>
            </w:pPr>
            <w:r>
              <w:t xml:space="preserve">Massive writes; multi-region</w:t>
            </w:r>
          </w:p>
        </w:tc>
        <w:tc>
          <w:tcPr/>
          <w:p>
            <w:pPr>
              <w:pStyle w:val="Compact"/>
              <w:jc w:val="left"/>
            </w:pPr>
            <w:r>
              <w:t xml:space="preserve">Multi-hop queries</w:t>
            </w:r>
          </w:p>
        </w:tc>
        <w:tc>
          <w:tcPr/>
          <w:p>
            <w:pPr>
              <w:pStyle w:val="Compact"/>
              <w:jc w:val="left"/>
            </w:pPr>
            <w:r>
              <w:t xml:space="preserve">1–2 B/sample; cheap retention</w:t>
            </w:r>
          </w:p>
        </w:tc>
      </w:tr>
      <w:tr>
        <w:tc>
          <w:tcPr/>
          <w:p>
            <w:pPr>
              <w:pStyle w:val="Compact"/>
              <w:jc w:val="left"/>
            </w:pPr>
            <w:r>
              <w:t xml:space="preserve">Disadvantages</w:t>
            </w:r>
          </w:p>
        </w:tc>
        <w:tc>
          <w:tcPr/>
          <w:p>
            <w:pPr>
              <w:pStyle w:val="Compact"/>
              <w:jc w:val="left"/>
            </w:pPr>
            <w:r>
              <w:t xml:space="preserve">Hard to scale writes past one node</w:t>
            </w:r>
          </w:p>
        </w:tc>
        <w:tc>
          <w:tcPr/>
          <w:p>
            <w:pPr>
              <w:pStyle w:val="Compact"/>
              <w:jc w:val="left"/>
            </w:pPr>
            <w:r>
              <w:t xml:space="preserve">Only designed queries</w:t>
            </w:r>
          </w:p>
        </w:tc>
        <w:tc>
          <w:tcPr/>
          <w:p>
            <w:pPr>
              <w:pStyle w:val="Compact"/>
              <w:jc w:val="left"/>
            </w:pPr>
            <w:r>
              <w:t xml:space="preserve">Cross-document joins weak</w:t>
            </w:r>
          </w:p>
        </w:tc>
        <w:tc>
          <w:tcPr/>
          <w:p>
            <w:pPr>
              <w:pStyle w:val="Compact"/>
              <w:jc w:val="left"/>
            </w:pPr>
            <w:r>
              <w:t xml:space="preserve">One table per query; tombstones</w:t>
            </w:r>
          </w:p>
        </w:tc>
        <w:tc>
          <w:tcPr/>
          <w:p>
            <w:pPr>
              <w:pStyle w:val="Compact"/>
              <w:jc w:val="left"/>
            </w:pPr>
            <w:r>
              <w:t xml:space="preserve">Hard to partition</w:t>
            </w:r>
          </w:p>
        </w:tc>
        <w:tc>
          <w:tcPr/>
          <w:p>
            <w:pPr>
              <w:pStyle w:val="Compact"/>
              <w:jc w:val="left"/>
            </w:pPr>
            <w:r>
              <w:t xml:space="preserve">Narrow query model; cardinality limits</w:t>
            </w:r>
          </w:p>
        </w:tc>
      </w:tr>
      <w:tr>
        <w:tc>
          <w:tcPr/>
          <w:p>
            <w:pPr>
              <w:pStyle w:val="Compact"/>
              <w:jc w:val="left"/>
            </w:pPr>
            <w:r>
              <w:t xml:space="preserve">Performance</w:t>
            </w:r>
          </w:p>
        </w:tc>
        <w:tc>
          <w:tcPr/>
          <w:p>
            <w:pPr>
              <w:pStyle w:val="Compact"/>
              <w:jc w:val="left"/>
            </w:pPr>
            <w:r>
              <w:t xml:space="preserve">~ms point reads; joins vary</w:t>
            </w:r>
          </w:p>
        </w:tc>
        <w:tc>
          <w:tcPr/>
          <w:p>
            <w:pPr>
              <w:pStyle w:val="Compact"/>
              <w:jc w:val="left"/>
            </w:pPr>
            <w:r>
              <w:t xml:space="preserve">~ms durable, sub-ms in memory</w:t>
            </w:r>
          </w:p>
        </w:tc>
        <w:tc>
          <w:tcPr/>
          <w:p>
            <w:pPr>
              <w:pStyle w:val="Compact"/>
              <w:jc w:val="left"/>
            </w:pPr>
            <w:r>
              <w:t xml:space="preserve">~ms by indexed field</w:t>
            </w:r>
          </w:p>
        </w:tc>
        <w:tc>
          <w:tcPr/>
          <w:p>
            <w:pPr>
              <w:pStyle w:val="Compact"/>
              <w:jc w:val="left"/>
            </w:pPr>
            <w:r>
              <w:t xml:space="preserve">~ms partition slices; fast writes</w:t>
            </w:r>
          </w:p>
        </w:tc>
        <w:tc>
          <w:tcPr/>
          <w:p>
            <w:pPr>
              <w:pStyle w:val="Compact"/>
              <w:jc w:val="left"/>
            </w:pPr>
            <w:r>
              <w:t xml:space="preserve">Cost tied to neighborhood</w:t>
            </w:r>
          </w:p>
        </w:tc>
        <w:tc>
          <w:tcPr/>
          <w:p>
            <w:pPr>
              <w:pStyle w:val="Compact"/>
              <w:jc w:val="left"/>
            </w:pPr>
            <w:r>
              <w:t xml:space="preserve">Millions of samples/s per node</w:t>
            </w:r>
          </w:p>
        </w:tc>
      </w:tr>
      <w:tr>
        <w:tc>
          <w:tcPr/>
          <w:p>
            <w:pPr>
              <w:pStyle w:val="Compact"/>
              <w:jc w:val="left"/>
            </w:pPr>
            <w:r>
              <w:t xml:space="preserve">Operational complexity</w:t>
            </w:r>
          </w:p>
        </w:tc>
        <w:tc>
          <w:tcPr/>
          <w:p>
            <w:pPr>
              <w:pStyle w:val="Compact"/>
              <w:jc w:val="left"/>
            </w:pPr>
            <w:r>
              <w:t xml:space="preserve">Low single-node; high when sharded</w:t>
            </w:r>
          </w:p>
        </w:tc>
        <w:tc>
          <w:tcPr/>
          <w:p>
            <w:pPr>
              <w:pStyle w:val="Compact"/>
              <w:jc w:val="left"/>
            </w:pPr>
            <w:r>
              <w:t xml:space="preserve">Low if managed</w:t>
            </w:r>
          </w:p>
        </w:tc>
        <w:tc>
          <w:tcPr/>
          <w:p>
            <w:pPr>
              <w:pStyle w:val="Compact"/>
              <w:jc w:val="left"/>
            </w:pPr>
            <w:r>
              <w:t xml:space="preserve">Medium</w:t>
            </w:r>
          </w:p>
        </w:tc>
        <w:tc>
          <w:tcPr/>
          <w:p>
            <w:pPr>
              <w:pStyle w:val="Compact"/>
              <w:jc w:val="left"/>
            </w:pPr>
            <w:r>
              <w:t xml:space="preserve">High (repair, compaction)</w:t>
            </w:r>
          </w:p>
        </w:tc>
        <w:tc>
          <w:tcPr/>
          <w:p>
            <w:pPr>
              <w:pStyle w:val="Compact"/>
              <w:jc w:val="left"/>
            </w:pPr>
            <w:r>
              <w:t xml:space="preserve">Medium</w:t>
            </w:r>
          </w:p>
        </w:tc>
        <w:tc>
          <w:tcPr/>
          <w:p>
            <w:pPr>
              <w:pStyle w:val="Compact"/>
              <w:jc w:val="left"/>
            </w:pPr>
            <w:r>
              <w:t xml:space="preserve">Low single-node; high clustered</w:t>
            </w:r>
          </w:p>
        </w:tc>
      </w:tr>
      <w:tr>
        <w:tc>
          <w:tcPr/>
          <w:p>
            <w:pPr>
              <w:pStyle w:val="Compact"/>
              <w:jc w:val="left"/>
            </w:pPr>
            <w:r>
              <w:t xml:space="preserve">Cost</w:t>
            </w:r>
          </w:p>
        </w:tc>
        <w:tc>
          <w:tcPr/>
          <w:p>
            <w:pPr>
              <w:pStyle w:val="Compact"/>
              <w:jc w:val="left"/>
            </w:pPr>
            <w:r>
              <w:t xml:space="preserve">Scale-up hardware, licenses</w:t>
            </w:r>
          </w:p>
        </w:tc>
        <w:tc>
          <w:tcPr/>
          <w:p>
            <w:pPr>
              <w:pStyle w:val="Compact"/>
              <w:jc w:val="left"/>
            </w:pPr>
            <w:r>
              <w:t xml:space="preserve">Pay per request or RAM</w:t>
            </w:r>
          </w:p>
        </w:tc>
        <w:tc>
          <w:tcPr/>
          <w:p>
            <w:pPr>
              <w:pStyle w:val="Compact"/>
              <w:jc w:val="left"/>
            </w:pPr>
            <w:r>
              <w:t xml:space="preserve">Moderate</w:t>
            </w:r>
          </w:p>
        </w:tc>
        <w:tc>
          <w:tcPr/>
          <w:p>
            <w:pPr>
              <w:pStyle w:val="Compact"/>
              <w:jc w:val="left"/>
            </w:pPr>
            <w:r>
              <w:t xml:space="preserve">Many commodity nodes</w:t>
            </w:r>
          </w:p>
        </w:tc>
        <w:tc>
          <w:tcPr/>
          <w:p>
            <w:pPr>
              <w:pStyle w:val="Compact"/>
              <w:jc w:val="left"/>
            </w:pPr>
            <w:r>
              <w:t xml:space="preserve">Large-memory nodes</w:t>
            </w:r>
          </w:p>
        </w:tc>
        <w:tc>
          <w:tcPr/>
          <w:p>
            <w:pPr>
              <w:pStyle w:val="Compact"/>
              <w:jc w:val="left"/>
            </w:pPr>
            <w:r>
              <w:t xml:space="preserve">Cheap disk per sample</w:t>
            </w:r>
          </w:p>
        </w:tc>
      </w:tr>
      <w:tr>
        <w:tc>
          <w:tcPr/>
          <w:p>
            <w:pPr>
              <w:pStyle w:val="Compact"/>
              <w:jc w:val="left"/>
            </w:pPr>
            <w:r>
              <w:t xml:space="preserve">Use cases</w:t>
            </w:r>
          </w:p>
        </w:tc>
        <w:tc>
          <w:tcPr/>
          <w:p>
            <w:pPr>
              <w:pStyle w:val="Compact"/>
              <w:jc w:val="left"/>
            </w:pPr>
            <w:r>
              <w:t xml:space="preserve">Orders, payments, inventory</w:t>
            </w:r>
          </w:p>
        </w:tc>
        <w:tc>
          <w:tcPr/>
          <w:p>
            <w:pPr>
              <w:pStyle w:val="Compact"/>
              <w:jc w:val="left"/>
            </w:pPr>
            <w:r>
              <w:t xml:space="preserve">Sessions, carts, counters</w:t>
            </w:r>
          </w:p>
        </w:tc>
        <w:tc>
          <w:tcPr/>
          <w:p>
            <w:pPr>
              <w:pStyle w:val="Compact"/>
              <w:jc w:val="left"/>
            </w:pPr>
            <w:r>
              <w:t xml:space="preserve">Catalogs, profiles, content</w:t>
            </w:r>
          </w:p>
        </w:tc>
        <w:tc>
          <w:tcPr/>
          <w:p>
            <w:pPr>
              <w:pStyle w:val="Compact"/>
              <w:jc w:val="left"/>
            </w:pPr>
            <w:r>
              <w:t xml:space="preserve">Messages, IoT, event logs</w:t>
            </w:r>
          </w:p>
        </w:tc>
        <w:tc>
          <w:tcPr/>
          <w:p>
            <w:pPr>
              <w:pStyle w:val="Compact"/>
              <w:jc w:val="left"/>
            </w:pPr>
            <w:r>
              <w:t xml:space="preserve">Fraud, social, permissions</w:t>
            </w:r>
          </w:p>
        </w:tc>
        <w:tc>
          <w:tcPr/>
          <w:p>
            <w:pPr>
              <w:pStyle w:val="Compact"/>
              <w:jc w:val="left"/>
            </w:pPr>
            <w:r>
              <w:t xml:space="preserve">Metrics, IoT telemetry</w:t>
            </w:r>
          </w:p>
        </w:tc>
      </w:tr>
      <w:tr>
        <w:tc>
          <w:tcPr/>
          <w:p>
            <w:pPr>
              <w:pStyle w:val="Compact"/>
              <w:jc w:val="left"/>
            </w:pPr>
            <w:r>
              <w:t xml:space="preserve">Choose when</w:t>
            </w:r>
          </w:p>
        </w:tc>
        <w:tc>
          <w:tcPr/>
          <w:p>
            <w:pPr>
              <w:pStyle w:val="Compact"/>
              <w:jc w:val="left"/>
            </w:pPr>
            <w:r>
              <w:t xml:space="preserve">Invariants span entities</w:t>
            </w:r>
          </w:p>
        </w:tc>
        <w:tc>
          <w:tcPr/>
          <w:p>
            <w:pPr>
              <w:pStyle w:val="Compact"/>
              <w:jc w:val="left"/>
            </w:pPr>
            <w:r>
              <w:t xml:space="preserve">Access is by key at scale</w:t>
            </w:r>
          </w:p>
        </w:tc>
        <w:tc>
          <w:tcPr/>
          <w:p>
            <w:pPr>
              <w:pStyle w:val="Compact"/>
              <w:jc w:val="left"/>
            </w:pPr>
            <w:r>
              <w:t xml:space="preserve">Aggregates read whole</w:t>
            </w:r>
          </w:p>
        </w:tc>
        <w:tc>
          <w:tcPr/>
          <w:p>
            <w:pPr>
              <w:pStyle w:val="Compact"/>
              <w:jc w:val="left"/>
            </w:pPr>
            <w:r>
              <w:t xml:space="preserve">Write volume dominates</w:t>
            </w:r>
          </w:p>
        </w:tc>
        <w:tc>
          <w:tcPr/>
          <w:p>
            <w:pPr>
              <w:pStyle w:val="Compact"/>
              <w:jc w:val="left"/>
            </w:pPr>
            <w:r>
              <w:t xml:space="preserve">Questions are paths</w:t>
            </w:r>
          </w:p>
        </w:tc>
        <w:tc>
          <w:tcPr/>
          <w:p>
            <w:pPr>
              <w:pStyle w:val="Compact"/>
              <w:jc w:val="left"/>
            </w:pPr>
            <w:r>
              <w:t xml:space="preserve">Data is timestamped samples</w:t>
            </w:r>
          </w:p>
        </w:tc>
      </w:tr>
    </w:tbl>
    <w:p>
      <w:pPr>
        <w:pStyle w:val="BodyText"/>
      </w:pPr>
      <w:r>
        <w:t xml:space="preserve">The boundaries are blurring — PostgreSQL stores documents, MongoDB runs transactions, DynamoDB speaks PartiQL (a SQL-compatible language) — so compare specific products against specific requirements.</w:t>
      </w:r>
    </w:p>
    <w:p>
      <w:pPr>
        <w:pStyle w:val="CalloutTip"/>
      </w:pPr>
      <w:r>
        <w:rPr>
          <w:bCs/>
          <w:b/>
        </w:rPr>
        <w:t xml:space="preserve">INTERVIEW TIP</w:t>
      </w:r>
    </w:p>
    <w:p>
      <w:pPr>
        <w:pStyle w:val="CalloutTip"/>
      </w:pPr>
      <w:r>
        <w:rPr>
          <w:bCs/>
          <w:b/>
        </w:rPr>
        <w:t xml:space="preserve">Interview tip — justify, don’t recite.</w:t>
      </w:r>
      <w:r>
        <w:t xml:space="preserve"> </w:t>
      </w:r>
      <w:r>
        <w:t xml:space="preserve">“</w:t>
      </w:r>
      <w:r>
        <w:t xml:space="preserve">We’ll use Cassandra because it scales</w:t>
      </w:r>
      <w:r>
        <w:t xml:space="preserve">”</w:t>
      </w:r>
      <w:r>
        <w:t xml:space="preserve"> </w:t>
      </w:r>
      <w:r>
        <w:t xml:space="preserve">earns little credit.</w:t>
      </w:r>
      <w:r>
        <w:t xml:space="preserve"> </w:t>
      </w:r>
      <w:r>
        <w:t xml:space="preserve">“</w:t>
      </w:r>
      <w:r>
        <w:t xml:space="preserve">Messages are written 50,000/s and always read as the latest page of one channel, so I’ll partition by</w:t>
      </w:r>
      <w:r>
        <w:t xml:space="preserve"> </w:t>
      </w:r>
      <w:r>
        <w:rPr>
          <w:rStyle w:val="VerbatimChar"/>
        </w:rPr>
        <w:t xml:space="preserve">(channel_id, bucket)</w:t>
      </w:r>
      <w:r>
        <w:t xml:space="preserve"> </w:t>
      </w:r>
      <w:r>
        <w:t xml:space="preserve">with message ID as clustering column; there are no cross-channel transactions, so we don’t need a relational store here</w:t>
      </w:r>
      <w:r>
        <w:t xml:space="preserve">”</w:t>
      </w:r>
      <w:r>
        <w:t xml:space="preserve"> </w:t>
      </w:r>
      <w:r>
        <w:t xml:space="preserve">shows the access-pattern reasoning interviewers look for.</w:t>
      </w:r>
    </w:p>
    <w:bookmarkEnd w:id="1409"/>
    <w:bookmarkEnd w:id="1410"/>
    <w:bookmarkStart w:id="1419" w:name="polyglot-persistence"/>
    <w:p>
      <w:pPr>
        <w:pStyle w:val="Heading2"/>
      </w:pPr>
      <w:r>
        <w:t xml:space="preserve">12.13 Polyglot persistence</w:t>
      </w:r>
    </w:p>
    <w:bookmarkStart w:id="1416" w:name="one-service-several-stores"/>
    <w:p>
      <w:pPr>
        <w:pStyle w:val="Heading3"/>
      </w:pPr>
      <w:r>
        <w:t xml:space="preserve">12.13.1 One service, several stores</w:t>
      </w:r>
    </w:p>
    <w:p>
      <w:pPr>
        <w:pStyle w:val="CalloutDefinition"/>
      </w:pPr>
      <w:r>
        <w:rPr>
          <w:bCs/>
          <w:b/>
        </w:rPr>
        <w:t xml:space="preserve">DEFINITION</w:t>
      </w:r>
    </w:p>
    <w:p>
      <w:pPr>
        <w:pStyle w:val="CalloutDefinition"/>
      </w:pPr>
      <w:r>
        <w:rPr>
          <w:bCs/>
          <w:b/>
        </w:rPr>
        <w:t xml:space="preserve">Definition — Polyglot persistence.</w:t>
      </w:r>
      <w:r>
        <w:t xml:space="preserve"> </w:t>
      </w:r>
      <w:r>
        <w:t xml:space="preserve">Using several different data-storage technologies within one system, each chosen for the access pattern it serves best, rather than forcing all data into one database [Fowler 2011; Sadalage &amp; Fowler 2012].</w:t>
      </w:r>
    </w:p>
    <w:bookmarkStart w:id="1411" w:name="first-principles-explanation-78"/>
    <w:p>
      <w:pPr>
        <w:pStyle w:val="Heading4"/>
      </w:pPr>
      <w:r>
        <w:t xml:space="preserve">First-principles explanation</w:t>
      </w:r>
    </w:p>
    <w:p>
      <w:pPr>
        <w:pStyle w:val="FirstParagraph"/>
      </w:pPr>
      <w:r>
        <w:t xml:space="preserve">A household keeps money in a bank, documents in a cabinet and food in a fridge; nobody stores food in the cabinet for simplicity’s sake. But every extra place needs upkeep, and each must be packed and checked when you move.</w:t>
      </w:r>
    </w:p>
    <w:bookmarkEnd w:id="1411"/>
    <w:bookmarkStart w:id="1415" w:name="how-it-works-internally-48"/>
    <w:p>
      <w:pPr>
        <w:pStyle w:val="Heading4"/>
      </w:pPr>
      <w:r>
        <w:t xml:space="preserve">How it works internally</w:t>
      </w:r>
    </w:p>
    <w:p>
      <w:pPr>
        <w:numPr>
          <w:ilvl w:val="0"/>
          <w:numId w:val="1427"/>
        </w:numPr>
        <w:pStyle w:val="Compact"/>
      </w:pPr>
      <w:r>
        <w:t xml:space="preserve">One store is the</w:t>
      </w:r>
      <w:r>
        <w:t xml:space="preserve"> </w:t>
      </w:r>
      <w:r>
        <w:rPr>
          <w:bCs/>
          <w:b/>
        </w:rPr>
        <w:t xml:space="preserve">system of record</w:t>
      </w:r>
      <w:r>
        <w:t xml:space="preserve"> </w:t>
      </w:r>
      <w:r>
        <w:t xml:space="preserve">for each piece of data — usually a relational or durable key-value database that enforces the invariants.</w:t>
      </w:r>
    </w:p>
    <w:p>
      <w:pPr>
        <w:numPr>
          <w:ilvl w:val="0"/>
          <w:numId w:val="1427"/>
        </w:numPr>
        <w:pStyle w:val="Compact"/>
      </w:pPr>
      <w:r>
        <w:t xml:space="preserve">Other stores hold</w:t>
      </w:r>
      <w:r>
        <w:t xml:space="preserve"> </w:t>
      </w:r>
      <w:r>
        <w:rPr>
          <w:bCs/>
          <w:b/>
        </w:rPr>
        <w:t xml:space="preserve">derived views</w:t>
      </w:r>
      <w:r>
        <w:t xml:space="preserve">: a search index, a cache, a graph projection, an analytics copy.</w:t>
      </w:r>
    </w:p>
    <w:p>
      <w:pPr>
        <w:numPr>
          <w:ilvl w:val="0"/>
          <w:numId w:val="1427"/>
        </w:numPr>
        <w:pStyle w:val="Compact"/>
      </w:pPr>
      <w:r>
        <w:t xml:space="preserve">Changes flow from the system of record to derived stores</w:t>
      </w:r>
      <w:r>
        <w:t xml:space="preserve"> </w:t>
      </w:r>
      <w:r>
        <w:rPr>
          <w:bCs/>
          <w:b/>
        </w:rPr>
        <w:t xml:space="preserve">asynchronously</w:t>
      </w:r>
      <w:r>
        <w:t xml:space="preserve"> </w:t>
      </w:r>
      <w:r>
        <w:t xml:space="preserve">through change data capture or a transactional outbox (§32.5, §32.6) and an event log such as Kafka (Chapter 31) — never through application</w:t>
      </w:r>
      <w:r>
        <w:t xml:space="preserve"> </w:t>
      </w:r>
      <w:r>
        <w:t xml:space="preserve">“</w:t>
      </w:r>
      <w:r>
        <w:t xml:space="preserve">dual writes</w:t>
      </w:r>
      <w:r>
        <w:t xml:space="preserve">”</w:t>
      </w:r>
      <w:r>
        <w:t xml:space="preserve"> </w:t>
      </w:r>
      <w:r>
        <w:t xml:space="preserve">that can half-fail.</w:t>
      </w:r>
    </w:p>
    <w:p>
      <w:pPr>
        <w:numPr>
          <w:ilvl w:val="0"/>
          <w:numId w:val="1427"/>
        </w:numPr>
        <w:pStyle w:val="Compact"/>
      </w:pPr>
      <w:r>
        <w:t xml:space="preserve">Each derived store can be rebuilt by replaying the log or re-exporting the source.</w:t>
      </w:r>
    </w:p>
    <w:p>
      <w:pPr>
        <w:pStyle w:val="FirstParagraph"/>
      </w:pPr>
      <w:r>
        <w:rPr>
          <w:bCs/>
          <w:b/>
        </w:rPr>
        <w:t xml:space="preserve">Figure 12.11 — Polyglot persistence in an e-commerce platform.</w:t>
      </w:r>
    </w:p>
    <w:p>
      <w:pPr>
        <w:pStyle w:val="BodyText"/>
      </w:pPr>
      <w:r>
        <w:drawing>
          <wp:inline>
            <wp:extent cx="5334000" cy="1969229"/>
            <wp:effectExtent b="0" l="0" r="0" t="0"/>
            <wp:docPr descr="" title="" id="1413" name="Picture"/>
            <a:graphic>
              <a:graphicData uri="http://schemas.openxmlformats.org/drawingml/2006/picture">
                <pic:pic>
                  <pic:nvPicPr>
                    <pic:cNvPr descr="/home/user/System-Design/build/.cache/diagrams/293a47139ca8.png" id="1414" name="Picture"/>
                    <pic:cNvPicPr>
                      <a:picLocks noChangeArrowheads="1" noChangeAspect="1"/>
                    </pic:cNvPicPr>
                  </pic:nvPicPr>
                  <pic:blipFill>
                    <a:blip r:embed="rId1412"/>
                    <a:stretch>
                      <a:fillRect/>
                    </a:stretch>
                  </pic:blipFill>
                  <pic:spPr bwMode="auto">
                    <a:xfrm>
                      <a:off x="0" y="0"/>
                      <a:ext cx="5334000" cy="1969229"/>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Clients reach services via an API gateway over HTTPS. Solid arrows are synchronous: the order service owns orders and payments in PostgreSQL and carts in a key-value store; the catalog service owns product documents in MongoDB. Dotted arrows are asynchronous: CDC streams committed changes into Kafka, whose consumers build the Elasticsearch index and the Neo4j co-purchase graph; services emit metrics to Prometheus. Each database is a separate failure domain with its own backups. If the CDC pipeline stalls, search and recommendations go stale but orders keep working — the intended degradation. Each store scales independently, and derived stores can be rebuilt from Kafka.</w:t>
      </w:r>
    </w:p>
    <w:bookmarkEnd w:id="1415"/>
    <w:bookmarkEnd w:id="1416"/>
    <w:bookmarkStart w:id="1418" w:name="the-operational-costs"/>
    <w:p>
      <w:pPr>
        <w:pStyle w:val="Heading3"/>
      </w:pPr>
      <w:r>
        <w:t xml:space="preserve">12.13.2 The operational costs</w:t>
      </w:r>
    </w:p>
    <w:p>
      <w:pPr>
        <w:pStyle w:val="FirstParagraph"/>
      </w:pPr>
      <w:r>
        <w:rPr>
          <w:bCs/>
          <w:b/>
        </w:rPr>
        <w:t xml:space="preserve">Table 12.15 — What each additional database costs you.</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Cost</w:t>
            </w:r>
          </w:p>
        </w:tc>
        <w:tc>
          <w:tcPr/>
          <w:p>
            <w:pPr>
              <w:pStyle w:val="Compact"/>
              <w:jc w:val="left"/>
            </w:pPr>
            <w:r>
              <w:t xml:space="preserve">What it involves</w:t>
            </w:r>
          </w:p>
        </w:tc>
      </w:tr>
      <w:tr>
        <w:tc>
          <w:tcPr/>
          <w:p>
            <w:pPr>
              <w:pStyle w:val="Compact"/>
              <w:jc w:val="left"/>
            </w:pPr>
            <w:r>
              <w:t xml:space="preserve">Expertise</w:t>
            </w:r>
          </w:p>
        </w:tc>
        <w:tc>
          <w:tcPr/>
          <w:p>
            <w:pPr>
              <w:pStyle w:val="Compact"/>
              <w:jc w:val="left"/>
            </w:pPr>
            <w:r>
              <w:t xml:space="preserve">On-call engineers who know its failure modes and tuning</w:t>
            </w:r>
          </w:p>
        </w:tc>
      </w:tr>
      <w:tr>
        <w:tc>
          <w:tcPr/>
          <w:p>
            <w:pPr>
              <w:pStyle w:val="Compact"/>
              <w:jc w:val="left"/>
            </w:pPr>
            <w:r>
              <w:t xml:space="preserve">Operations</w:t>
            </w:r>
          </w:p>
        </w:tc>
        <w:tc>
          <w:tcPr/>
          <w:p>
            <w:pPr>
              <w:pStyle w:val="Compact"/>
              <w:jc w:val="left"/>
            </w:pPr>
            <w:r>
              <w:t xml:space="preserve">Patching, upgrades, capacity planning, dashboards, alerts</w:t>
            </w:r>
          </w:p>
        </w:tc>
      </w:tr>
      <w:tr>
        <w:tc>
          <w:tcPr/>
          <w:p>
            <w:pPr>
              <w:pStyle w:val="Compact"/>
              <w:jc w:val="left"/>
            </w:pPr>
            <w:r>
              <w:t xml:space="preserve">Backup and recovery</w:t>
            </w:r>
          </w:p>
        </w:tc>
        <w:tc>
          <w:tcPr/>
          <w:p>
            <w:pPr>
              <w:pStyle w:val="Compact"/>
              <w:jc w:val="left"/>
            </w:pPr>
            <w:r>
              <w:t xml:space="preserve">Separate backups, restore drills and recovery objectives</w:t>
            </w:r>
          </w:p>
        </w:tc>
      </w:tr>
      <w:tr>
        <w:tc>
          <w:tcPr/>
          <w:p>
            <w:pPr>
              <w:pStyle w:val="Compact"/>
              <w:jc w:val="left"/>
            </w:pPr>
            <w:r>
              <w:t xml:space="preserve">Consistency</w:t>
            </w:r>
          </w:p>
        </w:tc>
        <w:tc>
          <w:tcPr/>
          <w:p>
            <w:pPr>
              <w:pStyle w:val="Compact"/>
              <w:jc w:val="left"/>
            </w:pPr>
            <w:r>
              <w:t xml:space="preserve">Lagging derived stores; reconciliation jobs</w:t>
            </w:r>
          </w:p>
        </w:tc>
      </w:tr>
      <w:tr>
        <w:tc>
          <w:tcPr/>
          <w:p>
            <w:pPr>
              <w:pStyle w:val="Compact"/>
              <w:jc w:val="left"/>
            </w:pPr>
            <w:r>
              <w:t xml:space="preserve">Security and compliance</w:t>
            </w:r>
          </w:p>
        </w:tc>
        <w:tc>
          <w:tcPr/>
          <w:p>
            <w:pPr>
              <w:pStyle w:val="Compact"/>
              <w:jc w:val="left"/>
            </w:pPr>
            <w:r>
              <w:t xml:space="preserve">Another access model and audit trail; deletions must reach every copy</w:t>
            </w:r>
          </w:p>
        </w:tc>
      </w:tr>
      <w:tr>
        <w:tc>
          <w:tcPr/>
          <w:p>
            <w:pPr>
              <w:pStyle w:val="Compact"/>
              <w:jc w:val="left"/>
            </w:pPr>
            <w:r>
              <w:t xml:space="preserve">Money</w:t>
            </w:r>
          </w:p>
        </w:tc>
        <w:tc>
          <w:tcPr/>
          <w:p>
            <w:pPr>
              <w:pStyle w:val="Compact"/>
              <w:jc w:val="left"/>
            </w:pPr>
            <w:r>
              <w:t xml:space="preserve">Baseline cluster cost even when idle; data stored several times</w:t>
            </w:r>
          </w:p>
        </w:tc>
      </w:tr>
    </w:tbl>
    <w:p>
      <w:pPr>
        <w:pStyle w:val="CalloutIndustry"/>
      </w:pPr>
      <w:r>
        <w:rPr>
          <w:bCs/>
          <w:b/>
        </w:rPr>
        <w:t xml:space="preserve">INDUSTRY EXAMPLE</w:t>
      </w:r>
    </w:p>
    <w:p>
      <w:pPr>
        <w:pStyle w:val="CalloutIndustry"/>
      </w:pPr>
      <w:r>
        <w:rPr>
          <w:bCs/>
          <w:b/>
        </w:rPr>
        <w:t xml:space="preserve">Database-per-service.</w:t>
      </w:r>
      <w:r>
        <w:t xml:space="preserve"> </w:t>
      </w:r>
      <w:r>
        <w:t xml:space="preserve">Microservices commonly give each service its own database (§34.11), so polyglot persistence follows naturally — and cross-service queries and consistency become pipeline problems.</w:t>
      </w:r>
      <w:r>
        <w:t xml:space="preserve"> </w:t>
      </w:r>
      <w:r>
        <w:rPr>
          <w:iCs/>
          <w:i/>
        </w:rPr>
        <w:t xml:space="preserve">Evidence: Illustrative</w:t>
      </w:r>
      <w:r>
        <w:t xml:space="preserve"> </w:t>
      </w:r>
      <w:r>
        <w:t xml:space="preserve">— a widely described architectural pattern; not a claim about any specific company.</w:t>
      </w:r>
    </w:p>
    <w:p>
      <w:pPr>
        <w:pStyle w:val="CalloutWarning"/>
      </w:pPr>
      <w:r>
        <w:rPr>
          <w:bCs/>
          <w:b/>
        </w:rPr>
        <w:t xml:space="preserve">WARNING / TRADE-OFF</w:t>
      </w:r>
    </w:p>
    <w:p>
      <w:pPr>
        <w:pStyle w:val="CalloutWarning"/>
      </w:pPr>
      <w:r>
        <w:rPr>
          <w:bCs/>
          <w:b/>
        </w:rPr>
        <w:t xml:space="preserve">Dual writes.</w:t>
      </w:r>
      <w:r>
        <w:t xml:space="preserve"> </w:t>
      </w:r>
      <w:r>
        <w:t xml:space="preserve">Writing to PostgreSQL and then Elasticsearch in one handler diverges silently if the process crashes between them. Derive the second write from the committed first via an outbox or CDC.</w:t>
      </w:r>
    </w:p>
    <w:p>
      <w:pPr>
        <w:pStyle w:val="CalloutRecommendation"/>
      </w:pPr>
      <w:r>
        <w:rPr>
          <w:bCs/>
          <w:b/>
        </w:rPr>
        <w:t xml:space="preserve">RECOMMENDATION</w:t>
      </w:r>
    </w:p>
    <w:p>
      <w:pPr>
        <w:pStyle w:val="CalloutRecommendation"/>
      </w:pPr>
      <w:r>
        <w:rPr>
          <w:bCs/>
          <w:b/>
        </w:rPr>
        <w:t xml:space="preserve">Budget the number of stores.</w:t>
      </w:r>
      <w:r>
        <w:t xml:space="preserve"> </w:t>
      </w:r>
      <w:r>
        <w:t xml:space="preserve">Add a technology only when its requirement justifies a permanent operational cost; many organizations keep an approved list and review exceptions.</w:t>
      </w:r>
    </w:p>
    <w:bookmarkStart w:id="1417" w:name="common-misconceptions-29"/>
    <w:p>
      <w:pPr>
        <w:pStyle w:val="Heading4"/>
      </w:pPr>
      <w:r>
        <w:t xml:space="preserve">Common misconceptions</w:t>
      </w:r>
    </w:p>
    <w:p>
      <w:pPr>
        <w:pStyle w:val="CalloutMistake"/>
      </w:pPr>
      <w:r>
        <w:rPr>
          <w:bCs/>
          <w:b/>
        </w:rPr>
        <w:t xml:space="preserve">COMMON MISTAKE</w:t>
      </w:r>
    </w:p>
    <w:p>
      <w:pPr>
        <w:pStyle w:val="CalloutMistake"/>
      </w:pPr>
      <w:r>
        <w:rPr>
          <w:bCs/>
          <w:b/>
        </w:rPr>
        <w:t xml:space="preserve">“</w:t>
      </w:r>
      <w:r>
        <w:rPr>
          <w:bCs/>
          <w:b/>
        </w:rPr>
        <w:t xml:space="preserve">Polyglot persistence means every service should use a different database.</w:t>
      </w:r>
      <w:r>
        <w:rPr>
          <w:bCs/>
          <w:b/>
        </w:rPr>
        <w:t xml:space="preserve">”</w:t>
      </w:r>
      <w:r>
        <w:t xml:space="preserve"> </w:t>
      </w:r>
      <w:r>
        <w:t xml:space="preserve">The goal is fit, not variety; services with similar patterns should share technology, tooling and runbooks.</w:t>
      </w:r>
    </w:p>
    <w:bookmarkEnd w:id="1417"/>
    <w:bookmarkEnd w:id="1418"/>
    <w:bookmarkEnd w:id="1419"/>
    <w:bookmarkStart w:id="1420" w:name="summary-and-revision-notes-11"/>
    <w:p>
      <w:pPr>
        <w:pStyle w:val="Heading2"/>
      </w:pPr>
      <w:r>
        <w:t xml:space="preserve">12.14 Summary and revision notes</w:t>
      </w:r>
    </w:p>
    <w:p>
      <w:pPr>
        <w:pStyle w:val="CalloutSummary"/>
      </w:pPr>
      <w:r>
        <w:rPr>
          <w:bCs/>
          <w:b/>
        </w:rPr>
        <w:t xml:space="preserve">SUMMARY</w:t>
      </w:r>
    </w:p>
    <w:p>
      <w:pPr>
        <w:numPr>
          <w:ilvl w:val="0"/>
          <w:numId w:val="1428"/>
        </w:numPr>
        <w:pStyle w:val="Compact"/>
      </w:pPr>
      <w:r>
        <w:t xml:space="preserve">NoSQL arose from scale-out, schema-flexibility and availability pressures plus</w:t>
      </w:r>
      <w:r>
        <w:t xml:space="preserve"> </w:t>
      </w:r>
      <w:r>
        <w:t xml:space="preserve">“</w:t>
      </w:r>
      <w:r>
        <w:t xml:space="preserve">one size does not fit all</w:t>
      </w:r>
      <w:r>
        <w:t xml:space="preserve">”</w:t>
      </w:r>
      <w:r>
        <w:t xml:space="preserve">; Bigtable, Dynamo, PNUTS and Cassandra defined the designs.</w:t>
      </w:r>
    </w:p>
    <w:p>
      <w:pPr>
        <w:numPr>
          <w:ilvl w:val="0"/>
          <w:numId w:val="1428"/>
        </w:numPr>
        <w:pStyle w:val="Compact"/>
      </w:pPr>
      <w:r>
        <w:t xml:space="preserve">Key-value, document and wide-column stores are</w:t>
      </w:r>
      <w:r>
        <w:t xml:space="preserve"> </w:t>
      </w:r>
      <w:r>
        <w:rPr>
          <w:bCs/>
          <w:b/>
        </w:rPr>
        <w:t xml:space="preserve">aggregate-oriented</w:t>
      </w:r>
      <w:r>
        <w:t xml:space="preserve">: data read together is stored together under one key.</w:t>
      </w:r>
    </w:p>
    <w:p>
      <w:pPr>
        <w:numPr>
          <w:ilvl w:val="0"/>
          <w:numId w:val="1428"/>
        </w:numPr>
        <w:pStyle w:val="Compact"/>
      </w:pPr>
      <w:r>
        <w:rPr>
          <w:bCs/>
          <w:b/>
        </w:rPr>
        <w:t xml:space="preserve">DynamoDB:</w:t>
      </w:r>
      <w:r>
        <w:t xml:space="preserve"> </w:t>
      </w:r>
      <w:r>
        <w:t xml:space="preserve">partition key (hashed) + sort key (ordered item collection); GSIs are asynchronous, eventually consistent copies; LSIs share the partition key. Design keys from access patterns; use sparse and overloaded indexes. WCU = 1 KB writes/s, RCU = 4 KB strong reads/s (½ for eventual); per-partition limits 3,000 RCU / 1,000 WCU; on-demand versus provisioned break-even ≈ 29 % utilization (as of 2026 prices).</w:t>
      </w:r>
    </w:p>
    <w:p>
      <w:pPr>
        <w:numPr>
          <w:ilvl w:val="0"/>
          <w:numId w:val="1428"/>
        </w:numPr>
        <w:pStyle w:val="Compact"/>
      </w:pPr>
      <w:r>
        <w:rPr>
          <w:bCs/>
          <w:b/>
        </w:rPr>
        <w:t xml:space="preserve">MongoDB:</w:t>
      </w:r>
      <w:r>
        <w:t xml:space="preserve"> </w:t>
      </w:r>
      <w:r>
        <w:t xml:space="preserve">embed what is owned, bounded and read together; reference what is shared or unbounded; order compound indexes Equality–Sort–Range; multi-document transactions since 4.0; use</w:t>
      </w:r>
      <w:r>
        <w:t xml:space="preserve"> </w:t>
      </w:r>
      <w:r>
        <w:rPr>
          <w:rStyle w:val="VerbatimChar"/>
        </w:rPr>
        <w:t xml:space="preserve">w: "majority"</w:t>
      </w:r>
      <w:r>
        <w:t xml:space="preserve">.</w:t>
      </w:r>
    </w:p>
    <w:p>
      <w:pPr>
        <w:numPr>
          <w:ilvl w:val="0"/>
          <w:numId w:val="1428"/>
        </w:numPr>
        <w:pStyle w:val="Compact"/>
      </w:pPr>
      <w:r>
        <w:rPr>
          <w:bCs/>
          <w:b/>
        </w:rPr>
        <w:t xml:space="preserve">Bigtable/Cassandra:</w:t>
      </w:r>
      <w:r>
        <w:t xml:space="preserve"> </w:t>
      </w:r>
      <w:r>
        <w:t xml:space="preserve">sorted sparse rows; CQL</w:t>
      </w:r>
      <w:r>
        <w:t xml:space="preserve"> </w:t>
      </w:r>
      <w:r>
        <w:rPr>
          <w:rStyle w:val="VerbatimChar"/>
        </w:rPr>
        <w:t xml:space="preserve">PRIMARY KEY ((partition), clustering)</w:t>
      </w:r>
      <w:r>
        <w:t xml:space="preserve">; one table per query; bucket partitions and size them with</w:t>
      </w:r>
      <w:r>
        <w:t xml:space="preserve"> </w:t>
      </w:r>
      <m:oMath>
        <m:sSub>
          <m:e>
            <m:r>
              <m:t>N</m:t>
            </m:r>
          </m:e>
          <m:sub>
            <m:r>
              <m:t>v</m:t>
            </m:r>
          </m:sub>
        </m:sSub>
        <m:r>
          <m:rPr>
            <m:sty m:val="p"/>
          </m:rPr>
          <m:t>=</m:t>
        </m:r>
        <m:sSub>
          <m:e>
            <m:r>
              <m:t>N</m:t>
            </m:r>
          </m:e>
          <m:sub>
            <m:r>
              <m:t>r</m:t>
            </m:r>
          </m:sub>
        </m:sSub>
        <m:d>
          <m:dPr>
            <m:begChr m:val="("/>
            <m:endChr m:val=")"/>
            <m:sepChr m:val=""/>
            <m:grow/>
          </m:dPr>
          <m:e>
            <m:sSub>
              <m:e>
                <m:r>
                  <m:t>N</m:t>
                </m:r>
              </m:e>
              <m:sub>
                <m:r>
                  <m:t>c</m:t>
                </m:r>
              </m:sub>
            </m:sSub>
            <m:r>
              <m:rPr>
                <m:sty m:val="p"/>
              </m:rPr>
              <m:t>−</m:t>
            </m:r>
            <m:sSub>
              <m:e>
                <m:r>
                  <m:t>N</m:t>
                </m:r>
              </m:e>
              <m:sub>
                <m:r>
                  <m:t>p</m:t>
                </m:r>
                <m:r>
                  <m:t>k</m:t>
                </m:r>
              </m:sub>
            </m:sSub>
            <m:r>
              <m:rPr>
                <m:sty m:val="p"/>
              </m:rPr>
              <m:t>−</m:t>
            </m:r>
            <m:sSub>
              <m:e>
                <m:r>
                  <m:t>N</m:t>
                </m:r>
              </m:e>
              <m:sub>
                <m:r>
                  <m:t>s</m:t>
                </m:r>
              </m:sub>
            </m:sSub>
          </m:e>
        </m:d>
        <m:r>
          <m:rPr>
            <m:sty m:val="p"/>
          </m:rPr>
          <m:t>+</m:t>
        </m:r>
        <m:sSub>
          <m:e>
            <m:r>
              <m:t>N</m:t>
            </m:r>
          </m:e>
          <m:sub>
            <m:r>
              <m:t>s</m:t>
            </m:r>
          </m:sub>
        </m:sSub>
      </m:oMath>
      <w:r>
        <w:t xml:space="preserve">; beware tombstones and last-write-wins.</w:t>
      </w:r>
    </w:p>
    <w:p>
      <w:pPr>
        <w:numPr>
          <w:ilvl w:val="0"/>
          <w:numId w:val="1428"/>
        </w:numPr>
        <w:pStyle w:val="Compact"/>
      </w:pPr>
      <w:r>
        <w:rPr>
          <w:bCs/>
          <w:b/>
        </w:rPr>
        <w:t xml:space="preserve">Graphs:</w:t>
      </w:r>
      <w:r>
        <w:t xml:space="preserve"> </w:t>
      </w:r>
      <w:r>
        <w:t xml:space="preserve">property graph versus RDF; index-free adjacency makes traversal cost depend on the neighborhood, but</w:t>
      </w:r>
      <w:r>
        <w:t xml:space="preserve"> </w:t>
      </w:r>
      <m:oMath>
        <m:sSup>
          <m:e>
            <m:r>
              <m:t>d</m:t>
            </m:r>
          </m:e>
          <m:sup>
            <m:r>
              <m:t>k</m:t>
            </m:r>
          </m:sup>
        </m:sSup>
      </m:oMath>
      <w:r>
        <w:t xml:space="preserve"> </w:t>
      </w:r>
      <w:r>
        <w:t xml:space="preserve">growth still dominates deep queries.</w:t>
      </w:r>
    </w:p>
    <w:p>
      <w:pPr>
        <w:numPr>
          <w:ilvl w:val="0"/>
          <w:numId w:val="1428"/>
        </w:numPr>
        <w:pStyle w:val="Compact"/>
      </w:pPr>
      <w:r>
        <w:rPr>
          <w:bCs/>
          <w:b/>
        </w:rPr>
        <w:t xml:space="preserve">Time-series:</w:t>
      </w:r>
      <w:r>
        <w:t xml:space="preserve"> </w:t>
      </w:r>
      <w:r>
        <w:t xml:space="preserve">labeled series, inverted label index, delta-of-delta and XOR compression (~1.37 B/sample in Gorilla), time blocks, retention by deletion, downsampling tiers; cardinality is the first limit.</w:t>
      </w:r>
    </w:p>
    <w:p>
      <w:pPr>
        <w:numPr>
          <w:ilvl w:val="0"/>
          <w:numId w:val="1428"/>
        </w:numPr>
        <w:pStyle w:val="Compact"/>
      </w:pPr>
      <w:r>
        <w:t xml:space="preserve">Search engines and vector databases are derived indexes fed by CDC; NewSQL adds scale-out SQL transactions at a latency cost (Chapter 28).</w:t>
      </w:r>
    </w:p>
    <w:p>
      <w:pPr>
        <w:numPr>
          <w:ilvl w:val="0"/>
          <w:numId w:val="1428"/>
        </w:numPr>
        <w:pStyle w:val="Compact"/>
      </w:pPr>
      <w:r>
        <w:t xml:space="preserve">Default to relational; add a specialized store for a named, measured requirement; feed derived stores asynchronously; budget each store’s operational cost.</w:t>
      </w:r>
    </w:p>
    <w:bookmarkEnd w:id="1420"/>
    <w:bookmarkStart w:id="1421" w:name="knowledge-checkpoint-11"/>
    <w:p>
      <w:pPr>
        <w:pStyle w:val="Heading2"/>
      </w:pPr>
      <w:r>
        <w:t xml:space="preserve">12.15 Knowledge checkpoint</w:t>
      </w:r>
    </w:p>
    <w:p>
      <w:pPr>
        <w:numPr>
          <w:ilvl w:val="0"/>
          <w:numId w:val="1429"/>
        </w:numPr>
        <w:pStyle w:val="Compact"/>
      </w:pPr>
      <w:r>
        <w:t xml:space="preserve">Name the three pressures that produced NoSQL and one paper associated with each design response.</w:t>
      </w:r>
    </w:p>
    <w:p>
      <w:pPr>
        <w:numPr>
          <w:ilvl w:val="0"/>
          <w:numId w:val="1429"/>
        </w:numPr>
        <w:pStyle w:val="Compact"/>
      </w:pPr>
      <w:r>
        <w:t xml:space="preserve">Why must a DynamoDB Query name exactly one partition key?</w:t>
      </w:r>
    </w:p>
    <w:p>
      <w:pPr>
        <w:numPr>
          <w:ilvl w:val="0"/>
          <w:numId w:val="1429"/>
        </w:numPr>
        <w:pStyle w:val="Compact"/>
      </w:pPr>
      <w:r>
        <w:t xml:space="preserve">Give two differences between an LSI and a GSI.</w:t>
      </w:r>
    </w:p>
    <w:p>
      <w:pPr>
        <w:numPr>
          <w:ilvl w:val="0"/>
          <w:numId w:val="1429"/>
        </w:numPr>
        <w:pStyle w:val="Compact"/>
      </w:pPr>
      <w:r>
        <w:t xml:space="preserve">A Query returns three items of 1.2 KB each, eventually consistent. How many RCUs does it consume? How many would three GetItem calls consume?</w:t>
      </w:r>
    </w:p>
    <w:p>
      <w:pPr>
        <w:numPr>
          <w:ilvl w:val="0"/>
          <w:numId w:val="1429"/>
        </w:numPr>
        <w:pStyle w:val="Compact"/>
      </w:pPr>
      <w:r>
        <w:t xml:space="preserve">What makes a GSI sparse, and what is it useful for?</w:t>
      </w:r>
    </w:p>
    <w:p>
      <w:pPr>
        <w:numPr>
          <w:ilvl w:val="0"/>
          <w:numId w:val="1429"/>
        </w:numPr>
        <w:pStyle w:val="Compact"/>
      </w:pPr>
      <w:r>
        <w:t xml:space="preserve">State the ESR rule and explain why sort fields precede range fields.</w:t>
      </w:r>
    </w:p>
    <w:p>
      <w:pPr>
        <w:numPr>
          <w:ilvl w:val="0"/>
          <w:numId w:val="1429"/>
        </w:numPr>
        <w:pStyle w:val="Compact"/>
      </w:pPr>
      <w:r>
        <w:t xml:space="preserve">In</w:t>
      </w:r>
      <w:r>
        <w:t xml:space="preserve"> </w:t>
      </w:r>
      <w:r>
        <w:rPr>
          <w:rStyle w:val="VerbatimChar"/>
        </w:rPr>
        <w:t xml:space="preserve">PRIMARY KEY ((sensor_id, day), ts)</w:t>
      </w:r>
      <w:r>
        <w:t xml:space="preserve">, which columns determine placement and which determine order?</w:t>
      </w:r>
    </w:p>
    <w:p>
      <w:pPr>
        <w:numPr>
          <w:ilvl w:val="0"/>
          <w:numId w:val="1429"/>
        </w:numPr>
        <w:pStyle w:val="Compact"/>
      </w:pPr>
      <w:r>
        <w:t xml:space="preserve">How many cells does a Cassandra partition hold with 10,000 rows, 5 columns, 1 partition-key column and 1 static column?</w:t>
      </w:r>
    </w:p>
    <w:p>
      <w:pPr>
        <w:numPr>
          <w:ilvl w:val="0"/>
          <w:numId w:val="1429"/>
        </w:numPr>
        <w:pStyle w:val="Compact"/>
      </w:pPr>
      <w:r>
        <w:t xml:space="preserve">Why can deleted data reappear in Cassandra?</w:t>
      </w:r>
    </w:p>
    <w:p>
      <w:pPr>
        <w:numPr>
          <w:ilvl w:val="0"/>
          <w:numId w:val="1429"/>
        </w:numPr>
        <w:pStyle w:val="Compact"/>
      </w:pPr>
      <w:r>
        <w:t xml:space="preserve">What is index-free adjacency, and what does it not fix?</w:t>
      </w:r>
    </w:p>
    <w:p>
      <w:pPr>
        <w:numPr>
          <w:ilvl w:val="0"/>
          <w:numId w:val="1429"/>
        </w:numPr>
        <w:pStyle w:val="Compact"/>
      </w:pPr>
      <w:r>
        <w:t xml:space="preserve">Which Gorilla encoding costs one bit for a timestamp and one bit for a value?</w:t>
      </w:r>
    </w:p>
    <w:p>
      <w:pPr>
        <w:numPr>
          <w:ilvl w:val="0"/>
          <w:numId w:val="1429"/>
        </w:numPr>
        <w:pStyle w:val="Compact"/>
      </w:pPr>
      <w:r>
        <w:t xml:space="preserve">Why should a search index not be the only copy of data?</w:t>
      </w:r>
    </w:p>
    <w:p>
      <w:pPr>
        <w:pStyle w:val="FirstParagraph"/>
      </w:pPr>
      <w:r>
        <w:t xml:space="preserve">Answers</w:t>
      </w:r>
    </w:p>
    <w:p>
      <w:pPr>
        <w:numPr>
          <w:ilvl w:val="0"/>
          <w:numId w:val="1430"/>
        </w:numPr>
        <w:pStyle w:val="Compact"/>
      </w:pPr>
      <w:r>
        <w:t xml:space="preserve">Scale-out (Bigtable, Dynamo: partition by key), schema flexibility (Bigtable’s sparse columns; document stores), availability (Dynamo: sloppy quorums, always-writable).</w:t>
      </w:r>
    </w:p>
    <w:p>
      <w:pPr>
        <w:numPr>
          <w:ilvl w:val="0"/>
          <w:numId w:val="1430"/>
        </w:numPr>
        <w:pStyle w:val="Compact"/>
      </w:pPr>
      <w:r>
        <w:t xml:space="preserve">Only the partition key is hashed to locate data; without it the request would have to visit every partition.</w:t>
      </w:r>
    </w:p>
    <w:p>
      <w:pPr>
        <w:numPr>
          <w:ilvl w:val="0"/>
          <w:numId w:val="1430"/>
        </w:numPr>
        <w:pStyle w:val="Compact"/>
      </w:pPr>
      <w:r>
        <w:t xml:space="preserve">An LSI shares the table’s partition key, must be created with the table, supports strong reads and limits item collections to 10 GB; a GSI has any key, can be added later, is eventually consistent and has its own throughput.</w:t>
      </w:r>
    </w:p>
    <w:p>
      <w:pPr>
        <w:numPr>
          <w:ilvl w:val="0"/>
          <w:numId w:val="1430"/>
        </w:numPr>
        <w:pStyle w:val="Compact"/>
      </w:pPr>
      <w:r>
        <w:t xml:space="preserve">Query sums sizes: 3.6 KB → 1 unit × 0.5 = 0.5 RCU. GetItems round each item: 3 × 1 × 0.5 = 1.5 RCU.</w:t>
      </w:r>
    </w:p>
    <w:p>
      <w:pPr>
        <w:numPr>
          <w:ilvl w:val="0"/>
          <w:numId w:val="1430"/>
        </w:numPr>
        <w:pStyle w:val="Compact"/>
      </w:pPr>
      <w:r>
        <w:t xml:space="preserve">Only items carrying the index key attribute appear in it; it is a cheap, self-maintaining list such as</w:t>
      </w:r>
      <w:r>
        <w:t xml:space="preserve"> </w:t>
      </w:r>
      <w:r>
        <w:t xml:space="preserve">“</w:t>
      </w:r>
      <w:r>
        <w:t xml:space="preserve">orders awaiting shipment</w:t>
      </w:r>
      <w:r>
        <w:t xml:space="preserve">”</w:t>
      </w:r>
      <w:r>
        <w:t xml:space="preserve">.</w:t>
      </w:r>
    </w:p>
    <w:p>
      <w:pPr>
        <w:numPr>
          <w:ilvl w:val="0"/>
          <w:numId w:val="1430"/>
        </w:numPr>
        <w:pStyle w:val="Compact"/>
      </w:pPr>
      <w:r>
        <w:t xml:space="preserve">Equality, Sort, Range. Once a range condition is applied, matching entries are no longer in sort-field order, so the sort would need an in-memory step.</w:t>
      </w:r>
    </w:p>
    <w:p>
      <w:pPr>
        <w:numPr>
          <w:ilvl w:val="0"/>
          <w:numId w:val="1430"/>
        </w:numPr>
        <w:pStyle w:val="Compact"/>
      </w:pPr>
      <w:r>
        <w:rPr>
          <w:rStyle w:val="VerbatimChar"/>
        </w:rPr>
        <w:t xml:space="preserve">(sensor_id, day)</w:t>
      </w:r>
      <w:r>
        <w:t xml:space="preserve"> </w:t>
      </w:r>
      <w:r>
        <w:t xml:space="preserve">is hashed for placement;</w:t>
      </w:r>
      <w:r>
        <w:t xml:space="preserve"> </w:t>
      </w:r>
      <w:r>
        <w:rPr>
          <w:rStyle w:val="VerbatimChar"/>
        </w:rPr>
        <w:t xml:space="preserve">ts</w:t>
      </w:r>
      <w:r>
        <w:t xml:space="preserve"> </w:t>
      </w:r>
      <w:r>
        <w:t xml:space="preserve">orders rows within the partition.</w:t>
      </w:r>
    </w:p>
    <w:p>
      <w:pPr>
        <w:numPr>
          <w:ilvl w:val="0"/>
          <w:numId w:val="1430"/>
        </w:numPr>
        <w:pStyle w:val="Compact"/>
      </w:pPr>
      <m:oMath>
        <m:r>
          <m:t>10</m:t>
        </m:r>
        <m:r>
          <m:rPr>
            <m:sty m:val="p"/>
          </m:rPr>
          <m:t>,</m:t>
        </m:r>
        <m:r>
          <m:t>000</m:t>
        </m:r>
        <m:r>
          <m:rPr>
            <m:sty m:val="p"/>
          </m:rPr>
          <m:t>×</m:t>
        </m:r>
        <m:d>
          <m:dPr>
            <m:begChr m:val="("/>
            <m:endChr m:val=")"/>
            <m:sepChr m:val=""/>
            <m:grow/>
          </m:dPr>
          <m:e>
            <m:r>
              <m:t>5</m:t>
            </m:r>
            <m:r>
              <m:rPr>
                <m:sty m:val="p"/>
              </m:rPr>
              <m:t>−</m:t>
            </m:r>
            <m:r>
              <m:t>1</m:t>
            </m:r>
            <m:r>
              <m:rPr>
                <m:sty m:val="p"/>
              </m:rPr>
              <m:t>−</m:t>
            </m:r>
            <m:r>
              <m:t>1</m:t>
            </m:r>
          </m:e>
        </m:d>
        <m:r>
          <m:rPr>
            <m:sty m:val="p"/>
          </m:rPr>
          <m:t>+</m:t>
        </m:r>
        <m:r>
          <m:t>1</m:t>
        </m:r>
        <m:r>
          <m:rPr>
            <m:sty m:val="p"/>
          </m:rPr>
          <m:t>=</m:t>
        </m:r>
        <m:r>
          <m:t>30</m:t>
        </m:r>
        <m:r>
          <m:rPr>
            <m:sty m:val="p"/>
          </m:rPr>
          <m:t>,</m:t>
        </m:r>
        <m:r>
          <m:t>001</m:t>
        </m:r>
      </m:oMath>
      <w:r>
        <w:t xml:space="preserve"> </w:t>
      </w:r>
      <w:r>
        <w:t xml:space="preserve">cells.</w:t>
      </w:r>
    </w:p>
    <w:p>
      <w:pPr>
        <w:numPr>
          <w:ilvl w:val="0"/>
          <w:numId w:val="1430"/>
        </w:numPr>
        <w:pStyle w:val="Compact"/>
      </w:pPr>
      <w:r>
        <w:t xml:space="preserve">A replica that was down longer than</w:t>
      </w:r>
      <w:r>
        <w:t xml:space="preserve"> </w:t>
      </w:r>
      <w:r>
        <w:rPr>
          <w:rStyle w:val="VerbatimChar"/>
        </w:rPr>
        <w:t xml:space="preserve">gc_grace_seconds</w:t>
      </w:r>
      <w:r>
        <w:t xml:space="preserve"> </w:t>
      </w:r>
      <w:r>
        <w:t xml:space="preserve">missed the tombstone; after the tombstone is purged elsewhere, the old value on that replica wins on repair.</w:t>
      </w:r>
    </w:p>
    <w:p>
      <w:pPr>
        <w:numPr>
          <w:ilvl w:val="0"/>
          <w:numId w:val="1430"/>
        </w:numPr>
        <w:pStyle w:val="Compact"/>
      </w:pPr>
      <w:r>
        <w:t xml:space="preserve">Each node points directly to its relationships, so a hop is a pointer chase rather than an index lookup. It does not fix exponential growth of neighborhoods (</w:t>
      </w:r>
      <m:oMath>
        <m:sSup>
          <m:e>
            <m:r>
              <m:t>d</m:t>
            </m:r>
          </m:e>
          <m:sup>
            <m:r>
              <m:t>k</m:t>
            </m:r>
          </m:sup>
        </m:sSup>
      </m:oMath>
      <w:r>
        <w:t xml:space="preserve">).</w:t>
      </w:r>
    </w:p>
    <w:p>
      <w:pPr>
        <w:numPr>
          <w:ilvl w:val="0"/>
          <w:numId w:val="1430"/>
        </w:numPr>
        <w:pStyle w:val="Compact"/>
      </w:pPr>
      <w:r>
        <w:t xml:space="preserve">Delta-of-delta equal to 0 and XOR with the previous value equal to 0 (same interval, repeated value).</w:t>
      </w:r>
    </w:p>
    <w:p>
      <w:pPr>
        <w:numPr>
          <w:ilvl w:val="0"/>
          <w:numId w:val="1430"/>
        </w:numPr>
        <w:pStyle w:val="Compact"/>
      </w:pPr>
      <w:r>
        <w:t xml:space="preserve">It is near-real-time, non-transactional and often needs reindexing after mapping changes; it must be rebuildable from a system of record.</w:t>
      </w:r>
    </w:p>
    <w:bookmarkEnd w:id="1421"/>
    <w:bookmarkStart w:id="1425" w:name="interview-questions-11"/>
    <w:p>
      <w:pPr>
        <w:pStyle w:val="Heading2"/>
      </w:pPr>
      <w:r>
        <w:t xml:space="preserve">12.16 Interview questions</w:t>
      </w:r>
    </w:p>
    <w:bookmarkStart w:id="1422" w:name="basic-11"/>
    <w:p>
      <w:pPr>
        <w:pStyle w:val="Heading3"/>
      </w:pPr>
      <w:r>
        <w:t xml:space="preserve">Basic</w:t>
      </w:r>
    </w:p>
    <w:p>
      <w:pPr>
        <w:pStyle w:val="FirstParagraph"/>
      </w:pPr>
      <w:r>
        <w:rPr>
          <w:bCs/>
          <w:b/>
        </w:rPr>
        <w:t xml:space="preserve">Q1. When would you choose a NoSQL database over a relational one?</w:t>
      </w:r>
    </w:p>
    <w:p>
      <w:pPr>
        <w:pStyle w:val="BodyText"/>
      </w:pPr>
      <w:r>
        <w:rPr>
          <w:bCs/>
          <w:b/>
        </w:rPr>
        <w:t xml:space="preserve">Answer.</w:t>
      </w:r>
      <w:r>
        <w:t xml:space="preserve"> </w:t>
      </w:r>
      <w:r>
        <w:t xml:space="preserve">When a named requirement exceeds what a relational primary with replicas can deliver or fits another model better: write volume or data size beyond one node with simple per-key access (key-value, wide-column); aggregates of varying shape read whole (document); multi-hop path queries (graph); high-rate timestamped samples (time-series). If invariants span entities or queries are still unknown, start relational.</w:t>
      </w:r>
    </w:p>
    <w:p>
      <w:pPr>
        <w:pStyle w:val="BodyText"/>
      </w:pPr>
      <w:r>
        <w:rPr>
          <w:bCs/>
          <w:b/>
        </w:rPr>
        <w:t xml:space="preserve">Q2. What is the difference between a partition key and a sort key?</w:t>
      </w:r>
    </w:p>
    <w:p>
      <w:pPr>
        <w:pStyle w:val="BodyText"/>
      </w:pPr>
      <w:r>
        <w:rPr>
          <w:bCs/>
          <w:b/>
        </w:rPr>
        <w:t xml:space="preserve">Answer.</w:t>
      </w:r>
      <w:r>
        <w:t xml:space="preserve"> </w:t>
      </w:r>
      <w:r>
        <w:t xml:space="preserve">The partition key is hashed to choose the partition, so it should have high cardinality and even load. The sort key orders items within a partition, enabling range, prefix and newest-first queries over one item collection.</w:t>
      </w:r>
    </w:p>
    <w:bookmarkEnd w:id="1422"/>
    <w:bookmarkStart w:id="1423" w:name="intermediate-11"/>
    <w:p>
      <w:pPr>
        <w:pStyle w:val="Heading3"/>
      </w:pPr>
      <w:r>
        <w:t xml:space="preserve">Intermediate</w:t>
      </w:r>
    </w:p>
    <w:p>
      <w:pPr>
        <w:pStyle w:val="FirstParagraph"/>
      </w:pPr>
      <w:r>
        <w:rPr>
          <w:bCs/>
          <w:b/>
        </w:rPr>
        <w:t xml:space="preserve">Q3. Design a DynamoDB schema for a chat app: send a message, list a conversation’s recent messages, list a user’s conversations by latest activity.</w:t>
      </w:r>
    </w:p>
    <w:p>
      <w:pPr>
        <w:pStyle w:val="BodyText"/>
      </w:pPr>
      <w:r>
        <w:rPr>
          <w:bCs/>
          <w:b/>
        </w:rPr>
        <w:t xml:space="preserve">Answer.</w:t>
      </w:r>
      <w:r>
        <w:t xml:space="preserve"> </w:t>
      </w:r>
      <w:r>
        <w:t xml:space="preserve">Messages:</w:t>
      </w:r>
      <w:r>
        <w:t xml:space="preserve"> </w:t>
      </w:r>
      <w:r>
        <w:rPr>
          <w:rStyle w:val="VerbatimChar"/>
        </w:rPr>
        <w:t xml:space="preserve">PK=CONV#id, SK=MSG#&lt;time-ordered ID&gt;</w:t>
      </w:r>
      <w:r>
        <w:t xml:space="preserve">, read newest first with a descending Query. Membership:</w:t>
      </w:r>
      <w:r>
        <w:t xml:space="preserve"> </w:t>
      </w:r>
      <w:r>
        <w:rPr>
          <w:rStyle w:val="VerbatimChar"/>
        </w:rPr>
        <w:t xml:space="preserve">PK=USER#u, SK=CONV#id</w:t>
      </w:r>
      <w:r>
        <w:t xml:space="preserve"> </w:t>
      </w:r>
      <w:r>
        <w:t xml:space="preserve">carrying</w:t>
      </w:r>
      <w:r>
        <w:t xml:space="preserve"> </w:t>
      </w:r>
      <w:r>
        <w:rPr>
          <w:rStyle w:val="VerbatimChar"/>
        </w:rPr>
        <w:t xml:space="preserve">lastActivity</w:t>
      </w:r>
      <w:r>
        <w:t xml:space="preserve">, plus a GSI keyed</w:t>
      </w:r>
      <w:r>
        <w:t xml:space="preserve"> </w:t>
      </w:r>
      <w:r>
        <w:rPr>
          <w:rStyle w:val="VerbatimChar"/>
        </w:rPr>
        <w:t xml:space="preserve">USER#u</w:t>
      </w:r>
      <w:r>
        <w:t xml:space="preserve"> </w:t>
      </w:r>
      <w:r>
        <w:t xml:space="preserve">/</w:t>
      </w:r>
      <w:r>
        <w:t xml:space="preserve"> </w:t>
      </w:r>
      <w:r>
        <w:rPr>
          <w:rStyle w:val="VerbatimChar"/>
        </w:rPr>
        <w:t xml:space="preserve">&lt;lastActivity&gt;#CONV#id</w:t>
      </w:r>
      <w:r>
        <w:t xml:space="preserve"> </w:t>
      </w:r>
      <w:r>
        <w:t xml:space="preserve">for recency order (update or batch on each message). A conversation above about 1,000 writes/s needs write sharding; use TTL for retention.</w:t>
      </w:r>
    </w:p>
    <w:p>
      <w:pPr>
        <w:pStyle w:val="BodyText"/>
      </w:pPr>
      <w:r>
        <w:rPr>
          <w:bCs/>
          <w:b/>
        </w:rPr>
        <w:t xml:space="preserve">Q4. A Cassandra cluster shows read timeouts on a few nodes only. Diagnose.</w:t>
      </w:r>
    </w:p>
    <w:p>
      <w:pPr>
        <w:pStyle w:val="BodyText"/>
      </w:pPr>
      <w:r>
        <w:rPr>
          <w:bCs/>
          <w:b/>
        </w:rPr>
        <w:t xml:space="preserve">Answer.</w:t>
      </w:r>
      <w:r>
        <w:t xml:space="preserve"> </w:t>
      </w:r>
      <w:r>
        <w:t xml:space="preserve">Suspect a large or hot partition or tombstones: check partition-size histograms, tombstone warnings and key-level traffic. Typical causes are partition keys without a time bucket and queue-like deletes. Fix the model (bucket, avoid deletes, TTL with time-window compaction), migrate, and repair within</w:t>
      </w:r>
      <w:r>
        <w:t xml:space="preserve"> </w:t>
      </w:r>
      <w:r>
        <w:rPr>
          <w:rStyle w:val="VerbatimChar"/>
        </w:rPr>
        <w:t xml:space="preserve">gc_grace_seconds</w:t>
      </w:r>
      <w:r>
        <w:t xml:space="preserve">.</w:t>
      </w:r>
    </w:p>
    <w:bookmarkEnd w:id="1423"/>
    <w:bookmarkStart w:id="1424" w:name="advanced-11"/>
    <w:p>
      <w:pPr>
        <w:pStyle w:val="Heading3"/>
      </w:pPr>
      <w:r>
        <w:t xml:space="preserve">Advanced</w:t>
      </w:r>
    </w:p>
    <w:p>
      <w:pPr>
        <w:pStyle w:val="FirstParagraph"/>
      </w:pPr>
      <w:r>
        <w:rPr>
          <w:bCs/>
          <w:b/>
        </w:rPr>
        <w:t xml:space="preserve">Q5. Design storage for a social network: profiles, posts, follow graph, feed, search and metrics.</w:t>
      </w:r>
    </w:p>
    <w:p>
      <w:pPr>
        <w:pStyle w:val="BodyText"/>
      </w:pPr>
      <w:r>
        <w:rPr>
          <w:bCs/>
          <w:b/>
        </w:rPr>
        <w:t xml:space="preserve">Answer.</w:t>
      </w:r>
      <w:r>
        <w:t xml:space="preserve"> </w:t>
      </w:r>
      <w:r>
        <w:t xml:space="preserve">Profiles and posts in a sharded relational or document store keyed by user (system of record). The follow graph as adjacency lists in a key-value or wide-column store, since one-hop queries dominate (the TAO pattern), with a batch graph job for multi-hop recommendations. Feeds as precomputed lists in wide-column or Redis; search in Elasticsearch via CDC; metrics in Prometheus. Discuss read-your-writes for own posts, fan-out cost and the cost of operating many stores.</w:t>
      </w:r>
    </w:p>
    <w:p>
      <w:pPr>
        <w:pStyle w:val="BodyText"/>
      </w:pPr>
      <w:r>
        <w:rPr>
          <w:bCs/>
          <w:b/>
        </w:rPr>
        <w:t xml:space="preserve">Q6. Your team proposes moving from PostgreSQL to MongoDB</w:t>
      </w:r>
      <w:r>
        <w:rPr>
          <w:bCs/>
          <w:b/>
        </w:rPr>
        <w:t xml:space="preserve"> </w:t>
      </w:r>
      <w:r>
        <w:rPr>
          <w:bCs/>
          <w:b/>
        </w:rPr>
        <w:t xml:space="preserve">“</w:t>
      </w:r>
      <w:r>
        <w:rPr>
          <w:bCs/>
          <w:b/>
        </w:rPr>
        <w:t xml:space="preserve">for scale</w:t>
      </w:r>
      <w:r>
        <w:rPr>
          <w:bCs/>
          <w:b/>
        </w:rPr>
        <w:t xml:space="preserve">”</w:t>
      </w:r>
      <w:r>
        <w:rPr>
          <w:bCs/>
          <w:b/>
        </w:rPr>
        <w:t xml:space="preserve">. How do you evaluate it?</w:t>
      </w:r>
    </w:p>
    <w:p>
      <w:pPr>
        <w:pStyle w:val="BodyText"/>
      </w:pPr>
      <w:r>
        <w:rPr>
          <w:bCs/>
          <w:b/>
        </w:rPr>
        <w:t xml:space="preserve">Answer.</w:t>
      </w:r>
      <w:r>
        <w:t xml:space="preserve"> </w:t>
      </w:r>
      <w:r>
        <w:t xml:space="preserve">Demand the measured bottleneck (write rate, size, latency) and check whether indexes, replicas, partitioning,</w:t>
      </w:r>
      <w:r>
        <w:t xml:space="preserve"> </w:t>
      </w:r>
      <w:r>
        <w:rPr>
          <w:rStyle w:val="VerbatimChar"/>
        </w:rPr>
        <w:t xml:space="preserve">jsonb</w:t>
      </w:r>
      <w:r>
        <w:t xml:space="preserve"> </w:t>
      </w:r>
      <w:r>
        <w:t xml:space="preserve">or a cache fix it. MongoDB fits if the workload is aggregate-shaped and a shard key matches access patterns; otherwise you trade joins and constraints for application code. Price the migration (backfill, CDC cut-over), skills, and invariants needing transactions.</w:t>
      </w:r>
    </w:p>
    <w:bookmarkEnd w:id="1424"/>
    <w:bookmarkEnd w:id="1425"/>
    <w:bookmarkStart w:id="1426" w:name="practical-exercises-11"/>
    <w:p>
      <w:pPr>
        <w:pStyle w:val="Heading2"/>
      </w:pPr>
      <w:r>
        <w:t xml:space="preserve">12.17 Practical exercises</w:t>
      </w:r>
    </w:p>
    <w:p>
      <w:pPr>
        <w:pStyle w:val="FirstParagraph"/>
      </w:pPr>
      <w:r>
        <w:rPr>
          <w:bCs/>
          <w:b/>
        </w:rPr>
        <w:t xml:space="preserve">Exercise 12.1 — Key design.</w:t>
      </w:r>
      <w:r>
        <w:t xml:space="preserve"> </w:t>
      </w:r>
      <w:r>
        <w:t xml:space="preserve">Extend the toy store of §12.4.4 with AP6,</w:t>
      </w:r>
      <w:r>
        <w:t xml:space="preserve"> </w:t>
      </w:r>
      <w:r>
        <w:t xml:space="preserve">“</w:t>
      </w:r>
      <w:r>
        <w:t xml:space="preserve">all orders containing a given SKU in the last 30 days</w:t>
      </w:r>
      <w:r>
        <w:t xml:space="preserve">”</w:t>
      </w:r>
      <w:r>
        <w:t xml:space="preserve">. Propose a GSI, add it, and compute its WCU cost at 1,000 orders/s.</w:t>
      </w:r>
    </w:p>
    <w:p>
      <w:pPr>
        <w:pStyle w:val="BodyText"/>
      </w:pPr>
      <w:r>
        <w:rPr>
          <w:bCs/>
          <w:b/>
        </w:rPr>
        <w:t xml:space="preserve">Exercise 12.2 — Capacity.</w:t>
      </w:r>
      <w:r>
        <w:t xml:space="preserve"> </w:t>
      </w:r>
      <w:r>
        <w:t xml:space="preserve">Recompute the §12.4.5 example with strongly consistent reads and transactional header writes. At what average utilization does provisioned capacity become cheaper?</w:t>
      </w:r>
    </w:p>
    <w:p>
      <w:pPr>
        <w:pStyle w:val="BodyText"/>
      </w:pPr>
      <w:r>
        <w:rPr>
          <w:bCs/>
          <w:b/>
        </w:rPr>
        <w:t xml:space="preserve">Exercise 12.3 — Cassandra modeling.</w:t>
      </w:r>
      <w:r>
        <w:t xml:space="preserve"> </w:t>
      </w:r>
      <w:r>
        <w:t xml:space="preserve">In a Cassandra 5 container, create the §12.6.3 tables, load one day for 100 sensors, and compare</w:t>
      </w:r>
      <w:r>
        <w:t xml:space="preserve"> </w:t>
      </w:r>
      <w:r>
        <w:rPr>
          <w:rStyle w:val="VerbatimChar"/>
        </w:rPr>
        <w:t xml:space="preserve">nodetool tablestats</w:t>
      </w:r>
      <w:r>
        <w:t xml:space="preserve"> </w:t>
      </w:r>
      <w:r>
        <w:t xml:space="preserve">partition sizes with</w:t>
      </w:r>
      <w:r>
        <w:t xml:space="preserve"> </w:t>
      </w:r>
      <m:oMath>
        <m:sSub>
          <m:e>
            <m:r>
              <m:t>S</m:t>
            </m:r>
          </m:e>
          <m:sub>
            <m:r>
              <m:t>t</m:t>
            </m:r>
          </m:sub>
        </m:sSub>
      </m:oMath>
      <w:r>
        <w:t xml:space="preserve">.</w:t>
      </w:r>
    </w:p>
    <w:p>
      <w:pPr>
        <w:pStyle w:val="BodyText"/>
      </w:pPr>
      <w:r>
        <w:rPr>
          <w:bCs/>
          <w:b/>
        </w:rPr>
        <w:t xml:space="preserve">Exercise 12.4 — Compression.</w:t>
      </w:r>
      <w:r>
        <w:t xml:space="preserve"> </w:t>
      </w:r>
      <w:r>
        <w:t xml:space="preserve">Modify the Gorilla program to round the CPU values to integers and to remove timestamp jitter. Report the bytes per point for each change.</w:t>
      </w:r>
    </w:p>
    <w:bookmarkEnd w:id="1426"/>
    <w:bookmarkStart w:id="1427" w:name="design-challenges-11"/>
    <w:p>
      <w:pPr>
        <w:pStyle w:val="Heading2"/>
      </w:pPr>
      <w:r>
        <w:t xml:space="preserve">12.18 Design challenges</w:t>
      </w:r>
    </w:p>
    <w:p>
      <w:pPr>
        <w:numPr>
          <w:ilvl w:val="0"/>
          <w:numId w:val="1431"/>
        </w:numPr>
        <w:pStyle w:val="Compact"/>
      </w:pPr>
      <w:r>
        <w:rPr>
          <w:bCs/>
          <w:b/>
        </w:rPr>
        <w:t xml:space="preserve">Ride-sharing trip store.</w:t>
      </w:r>
      <w:r>
        <w:t xml:space="preserve"> </w:t>
      </w:r>
      <w:r>
        <w:t xml:space="preserve">2 million trips per day, GPS points every 4 s per active trip, queries by trip, by driver over 90 days, and live positions. Choose stores, keys and buckets; size storage for one year.</w:t>
      </w:r>
    </w:p>
    <w:p>
      <w:pPr>
        <w:numPr>
          <w:ilvl w:val="0"/>
          <w:numId w:val="1431"/>
        </w:numPr>
        <w:pStyle w:val="Compact"/>
      </w:pPr>
      <w:r>
        <w:rPr>
          <w:bCs/>
          <w:b/>
        </w:rPr>
        <w:t xml:space="preserve">Fraud detection platform.</w:t>
      </w:r>
      <w:r>
        <w:t xml:space="preserve"> </w:t>
      </w:r>
      <w:r>
        <w:t xml:space="preserve">Card transactions at 20,000/s must be scored in 50 ms using shared-device and shared-address rings up to 3 hops. Decide what lives in a graph, what is precomputed, and how the graph is fed.</w:t>
      </w:r>
    </w:p>
    <w:p>
      <w:pPr>
        <w:numPr>
          <w:ilvl w:val="0"/>
          <w:numId w:val="1431"/>
        </w:numPr>
        <w:pStyle w:val="Compact"/>
      </w:pPr>
      <w:r>
        <w:rPr>
          <w:bCs/>
          <w:b/>
        </w:rPr>
        <w:t xml:space="preserve">Migrating a monolith’s database.</w:t>
      </w:r>
      <w:r>
        <w:t xml:space="preserve"> </w:t>
      </w:r>
      <w:r>
        <w:t xml:space="preserve">A 4 TB PostgreSQL database serves orders, catalog, search and analytics. Propose a polyglot target, the CDC pipeline, the cut-over sequence and the operational budget.</w:t>
      </w:r>
    </w:p>
    <w:bookmarkEnd w:id="1427"/>
    <w:bookmarkStart w:id="1428" w:name="references-11"/>
    <w:p>
      <w:pPr>
        <w:pStyle w:val="Heading2"/>
      </w:pPr>
      <w:r>
        <w:t xml:space="preserve">12.19 References</w:t>
      </w:r>
    </w:p>
    <w:p>
      <w:pPr>
        <w:numPr>
          <w:ilvl w:val="0"/>
          <w:numId w:val="1432"/>
        </w:numPr>
        <w:pStyle w:val="Compact"/>
      </w:pPr>
      <w:r>
        <w:t xml:space="preserve">DeCandia, G., Hastorun, D., Jampani, M., Kakulapati, G., Lakshman, A., Pilchin, A., Sivasubramanian, S., Vosshall, P., Vogels, W.</w:t>
      </w:r>
      <w:r>
        <w:t xml:space="preserve"> </w:t>
      </w:r>
      <w:r>
        <w:rPr>
          <w:iCs/>
          <w:i/>
        </w:rPr>
        <w:t xml:space="preserve">Dynamo: Amazon’s Highly Available Key-value Store</w:t>
      </w:r>
      <w:r>
        <w:t xml:space="preserve">. SOSP, 2007. https://www.allthingsdistributed.com/files/amazon-dynamo-sosp2007.pdf</w:t>
      </w:r>
    </w:p>
    <w:p>
      <w:pPr>
        <w:numPr>
          <w:ilvl w:val="0"/>
          <w:numId w:val="1432"/>
        </w:numPr>
        <w:pStyle w:val="Compact"/>
      </w:pPr>
      <w:r>
        <w:t xml:space="preserve">Chang, F., Dean, J., Ghemawat, S., Hsieh, W. C., Wallach, D. A., Burrows, M., Chandra, T., Fikes, A., Gruber, R. E.</w:t>
      </w:r>
      <w:r>
        <w:t xml:space="preserve"> </w:t>
      </w:r>
      <w:r>
        <w:rPr>
          <w:iCs/>
          <w:i/>
        </w:rPr>
        <w:t xml:space="preserve">Bigtable: A Distributed Storage System for Structured Data</w:t>
      </w:r>
      <w:r>
        <w:t xml:space="preserve">. OSDI, 2006.</w:t>
      </w:r>
    </w:p>
    <w:p>
      <w:pPr>
        <w:numPr>
          <w:ilvl w:val="0"/>
          <w:numId w:val="1432"/>
        </w:numPr>
        <w:pStyle w:val="Compact"/>
      </w:pPr>
      <w:r>
        <w:t xml:space="preserve">Lakshman, A., Malik, P.</w:t>
      </w:r>
      <w:r>
        <w:t xml:space="preserve"> </w:t>
      </w:r>
      <w:r>
        <w:rPr>
          <w:iCs/>
          <w:i/>
        </w:rPr>
        <w:t xml:space="preserve">Cassandra: A Decentralized Structured Storage System</w:t>
      </w:r>
      <w:r>
        <w:t xml:space="preserve">. ACM SIGOPS Operating Systems Review 44(2), 2010.</w:t>
      </w:r>
    </w:p>
    <w:p>
      <w:pPr>
        <w:numPr>
          <w:ilvl w:val="0"/>
          <w:numId w:val="1432"/>
        </w:numPr>
        <w:pStyle w:val="Compact"/>
      </w:pPr>
      <w:r>
        <w:t xml:space="preserve">Pelkonen, T., Franklin, S., Teller, J., Cavallaro, P., Huang, Q., Meza, J., Veeraraghavan, K.</w:t>
      </w:r>
      <w:r>
        <w:t xml:space="preserve"> </w:t>
      </w:r>
      <w:r>
        <w:rPr>
          <w:iCs/>
          <w:i/>
        </w:rPr>
        <w:t xml:space="preserve">Gorilla: A Fast, Scalable, In-Memory Time Series Database</w:t>
      </w:r>
      <w:r>
        <w:t xml:space="preserve">. PVLDB 8(12), 2015. https://www.vldb.org/pvldb/vol8/p1816-teller.pdf</w:t>
      </w:r>
    </w:p>
    <w:p>
      <w:pPr>
        <w:numPr>
          <w:ilvl w:val="0"/>
          <w:numId w:val="1432"/>
        </w:numPr>
        <w:pStyle w:val="Compact"/>
      </w:pPr>
      <w:r>
        <w:t xml:space="preserve">Elhemali, M., et al. </w:t>
      </w:r>
      <w:r>
        <w:rPr>
          <w:iCs/>
          <w:i/>
        </w:rPr>
        <w:t xml:space="preserve">Amazon DynamoDB: A Scalable, Predictably Performant, and Fully Managed NoSQL Database Service</w:t>
      </w:r>
      <w:r>
        <w:t xml:space="preserve">. USENIX ATC, 2022. https://www.usenix.org/conference/atc22/presentation/elhemali</w:t>
      </w:r>
    </w:p>
    <w:p>
      <w:pPr>
        <w:numPr>
          <w:ilvl w:val="0"/>
          <w:numId w:val="1432"/>
        </w:numPr>
        <w:pStyle w:val="Compact"/>
      </w:pPr>
      <w:r>
        <w:t xml:space="preserve">Cooper, B. F., et al. </w:t>
      </w:r>
      <w:r>
        <w:rPr>
          <w:iCs/>
          <w:i/>
        </w:rPr>
        <w:t xml:space="preserve">PNUTS: Yahoo!’s Hosted Data Serving Platform</w:t>
      </w:r>
      <w:r>
        <w:t xml:space="preserve">. PVLDB 1(2), 2008.</w:t>
      </w:r>
    </w:p>
    <w:p>
      <w:pPr>
        <w:numPr>
          <w:ilvl w:val="0"/>
          <w:numId w:val="1432"/>
        </w:numPr>
        <w:pStyle w:val="Compact"/>
      </w:pPr>
      <w:r>
        <w:t xml:space="preserve">Kleppmann, M.</w:t>
      </w:r>
      <w:r>
        <w:t xml:space="preserve"> </w:t>
      </w:r>
      <w:r>
        <w:rPr>
          <w:iCs/>
          <w:i/>
        </w:rPr>
        <w:t xml:space="preserve">Designing Data-Intensive Applications</w:t>
      </w:r>
      <w:r>
        <w:t xml:space="preserve">, ch. 2. O’Reilly, 2017.</w:t>
      </w:r>
    </w:p>
    <w:p>
      <w:pPr>
        <w:numPr>
          <w:ilvl w:val="0"/>
          <w:numId w:val="1432"/>
        </w:numPr>
        <w:pStyle w:val="Compact"/>
      </w:pPr>
      <w:r>
        <w:t xml:space="preserve">Sadalage, P. J., Fowler, M.</w:t>
      </w:r>
      <w:r>
        <w:t xml:space="preserve"> </w:t>
      </w:r>
      <w:r>
        <w:rPr>
          <w:iCs/>
          <w:i/>
        </w:rPr>
        <w:t xml:space="preserve">NoSQL Distilled</w:t>
      </w:r>
      <w:r>
        <w:t xml:space="preserve">. Addison-Wesley, 2012.</w:t>
      </w:r>
    </w:p>
    <w:p>
      <w:pPr>
        <w:numPr>
          <w:ilvl w:val="0"/>
          <w:numId w:val="1432"/>
        </w:numPr>
        <w:pStyle w:val="Compact"/>
      </w:pPr>
      <w:r>
        <w:t xml:space="preserve">Stonebraker, M., Çetintemel, U.</w:t>
      </w:r>
      <w:r>
        <w:t xml:space="preserve"> </w:t>
      </w:r>
      <w:r>
        <w:rPr>
          <w:iCs/>
          <w:i/>
        </w:rPr>
        <w:t xml:space="preserve">“</w:t>
      </w:r>
      <w:r>
        <w:rPr>
          <w:iCs/>
          <w:i/>
        </w:rPr>
        <w:t xml:space="preserve">One Size Fits All</w:t>
      </w:r>
      <w:r>
        <w:rPr>
          <w:iCs/>
          <w:i/>
        </w:rPr>
        <w:t xml:space="preserve">”</w:t>
      </w:r>
      <w:r>
        <w:rPr>
          <w:iCs/>
          <w:i/>
        </w:rPr>
        <w:t xml:space="preserve">: An Idea Whose Time Has Come and Gone</w:t>
      </w:r>
      <w:r>
        <w:t xml:space="preserve">. ICDE, 2005.</w:t>
      </w:r>
    </w:p>
    <w:p>
      <w:pPr>
        <w:numPr>
          <w:ilvl w:val="0"/>
          <w:numId w:val="1432"/>
        </w:numPr>
        <w:pStyle w:val="Compact"/>
      </w:pPr>
      <w:r>
        <w:t xml:space="preserve">Stonebraker, M., et al. </w:t>
      </w:r>
      <w:r>
        <w:rPr>
          <w:iCs/>
          <w:i/>
        </w:rPr>
        <w:t xml:space="preserve">The End of an Architectural Era (It’s Time for a Complete Rewrite)</w:t>
      </w:r>
      <w:r>
        <w:t xml:space="preserve">. VLDB, 2007.</w:t>
      </w:r>
    </w:p>
    <w:p>
      <w:pPr>
        <w:numPr>
          <w:ilvl w:val="0"/>
          <w:numId w:val="1432"/>
        </w:numPr>
        <w:pStyle w:val="Compact"/>
      </w:pPr>
      <w:r>
        <w:t xml:space="preserve">Brewer, E.</w:t>
      </w:r>
      <w:r>
        <w:t xml:space="preserve"> </w:t>
      </w:r>
      <w:r>
        <w:rPr>
          <w:iCs/>
          <w:i/>
        </w:rPr>
        <w:t xml:space="preserve">Towards Robust Distributed Systems</w:t>
      </w:r>
      <w:r>
        <w:t xml:space="preserve">. PODC keynote, 2000.</w:t>
      </w:r>
    </w:p>
    <w:p>
      <w:pPr>
        <w:numPr>
          <w:ilvl w:val="0"/>
          <w:numId w:val="1432"/>
        </w:numPr>
        <w:pStyle w:val="Compact"/>
      </w:pPr>
      <w:r>
        <w:t xml:space="preserve">Gilbert, S., Lynch, N.</w:t>
      </w:r>
      <w:r>
        <w:t xml:space="preserve"> </w:t>
      </w:r>
      <w:r>
        <w:rPr>
          <w:iCs/>
          <w:i/>
        </w:rPr>
        <w:t xml:space="preserve">Brewer’s Conjecture and the Feasibility of Consistent, Available, Partition-Tolerant Web Services</w:t>
      </w:r>
      <w:r>
        <w:t xml:space="preserve">. ACM SIGACT News 33(2), 2002.</w:t>
      </w:r>
    </w:p>
    <w:p>
      <w:pPr>
        <w:numPr>
          <w:ilvl w:val="0"/>
          <w:numId w:val="1432"/>
        </w:numPr>
        <w:pStyle w:val="Compact"/>
      </w:pPr>
      <w:r>
        <w:t xml:space="preserve">Amazon Web Services.</w:t>
      </w:r>
      <w:r>
        <w:t xml:space="preserve"> </w:t>
      </w:r>
      <w:r>
        <w:rPr>
          <w:iCs/>
          <w:i/>
        </w:rPr>
        <w:t xml:space="preserve">Amazon DynamoDB Developer Guide</w:t>
      </w:r>
      <w:r>
        <w:t xml:space="preserve">. https://docs.aws.amazon.com/amazondynamodb/latest/developerguide/</w:t>
      </w:r>
    </w:p>
    <w:p>
      <w:pPr>
        <w:numPr>
          <w:ilvl w:val="0"/>
          <w:numId w:val="1432"/>
        </w:numPr>
        <w:pStyle w:val="Compact"/>
      </w:pPr>
      <w:r>
        <w:t xml:space="preserve">Amazon Web Services.</w:t>
      </w:r>
      <w:r>
        <w:t xml:space="preserve"> </w:t>
      </w:r>
      <w:r>
        <w:rPr>
          <w:iCs/>
          <w:i/>
        </w:rPr>
        <w:t xml:space="preserve">Amazon DynamoDB pricing</w:t>
      </w:r>
      <w:r>
        <w:t xml:space="preserve">. https://aws.amazon.com/dynamodb/pricing/</w:t>
      </w:r>
    </w:p>
    <w:p>
      <w:pPr>
        <w:numPr>
          <w:ilvl w:val="0"/>
          <w:numId w:val="1432"/>
        </w:numPr>
        <w:pStyle w:val="Compact"/>
      </w:pPr>
      <w:r>
        <w:t xml:space="preserve">DeBrie, A.</w:t>
      </w:r>
      <w:r>
        <w:t xml:space="preserve"> </w:t>
      </w:r>
      <w:r>
        <w:rPr>
          <w:iCs/>
          <w:i/>
        </w:rPr>
        <w:t xml:space="preserve">The DynamoDB Book</w:t>
      </w:r>
      <w:r>
        <w:t xml:space="preserve">. Self-published, 2020.</w:t>
      </w:r>
    </w:p>
    <w:p>
      <w:pPr>
        <w:numPr>
          <w:ilvl w:val="0"/>
          <w:numId w:val="1432"/>
        </w:numPr>
        <w:pStyle w:val="Compact"/>
      </w:pPr>
      <w:r>
        <w:t xml:space="preserve">MongoDB.</w:t>
      </w:r>
      <w:r>
        <w:t xml:space="preserve"> </w:t>
      </w:r>
      <w:r>
        <w:rPr>
          <w:iCs/>
          <w:i/>
        </w:rPr>
        <w:t xml:space="preserve">MongoDB Manual</w:t>
      </w:r>
      <w:r>
        <w:t xml:space="preserve"> </w:t>
      </w:r>
      <w:r>
        <w:t xml:space="preserve">(data modeling, indexes, transactions, limits). https://www.mongodb.com/docs/manual/</w:t>
      </w:r>
    </w:p>
    <w:p>
      <w:pPr>
        <w:numPr>
          <w:ilvl w:val="0"/>
          <w:numId w:val="1432"/>
        </w:numPr>
        <w:pStyle w:val="Compact"/>
      </w:pPr>
      <w:r>
        <w:t xml:space="preserve">Apache Cassandra.</w:t>
      </w:r>
      <w:r>
        <w:t xml:space="preserve"> </w:t>
      </w:r>
      <w:r>
        <w:rPr>
          <w:iCs/>
          <w:i/>
        </w:rPr>
        <w:t xml:space="preserve">Cassandra Documentation: Data Modeling</w:t>
      </w:r>
      <w:r>
        <w:t xml:space="preserve">. https://cassandra.apache.org/doc/latest/cassandra/data_modeling/</w:t>
      </w:r>
    </w:p>
    <w:p>
      <w:pPr>
        <w:numPr>
          <w:ilvl w:val="0"/>
          <w:numId w:val="1432"/>
        </w:numPr>
        <w:pStyle w:val="Compact"/>
      </w:pPr>
      <w:r>
        <w:t xml:space="preserve">Chebotko, A., Kashlev, A., Lu, S.</w:t>
      </w:r>
      <w:r>
        <w:t xml:space="preserve"> </w:t>
      </w:r>
      <w:r>
        <w:rPr>
          <w:iCs/>
          <w:i/>
        </w:rPr>
        <w:t xml:space="preserve">A Big Data Modeling Methodology for Apache Cassandra</w:t>
      </w:r>
      <w:r>
        <w:t xml:space="preserve">. IEEE BigData Congress, 2015.</w:t>
      </w:r>
    </w:p>
    <w:p>
      <w:pPr>
        <w:numPr>
          <w:ilvl w:val="0"/>
          <w:numId w:val="1432"/>
        </w:numPr>
        <w:pStyle w:val="Compact"/>
      </w:pPr>
      <w:r>
        <w:t xml:space="preserve">Borthakur, D., et al. </w:t>
      </w:r>
      <w:r>
        <w:rPr>
          <w:iCs/>
          <w:i/>
        </w:rPr>
        <w:t xml:space="preserve">Apache Hadoop Goes Realtime at Facebook</w:t>
      </w:r>
      <w:r>
        <w:t xml:space="preserve">. SIGMOD, 2011.</w:t>
      </w:r>
    </w:p>
    <w:p>
      <w:pPr>
        <w:numPr>
          <w:ilvl w:val="0"/>
          <w:numId w:val="1432"/>
        </w:numPr>
        <w:pStyle w:val="Compact"/>
      </w:pPr>
      <w:r>
        <w:t xml:space="preserve">Discord.</w:t>
      </w:r>
      <w:r>
        <w:t xml:space="preserve"> </w:t>
      </w:r>
      <w:r>
        <w:rPr>
          <w:iCs/>
          <w:i/>
        </w:rPr>
        <w:t xml:space="preserve">How Discord Stores Billions of Messages</w:t>
      </w:r>
      <w:r>
        <w:t xml:space="preserve">. Discord blog, 2017. https://discord.com/blog/how-discord-stores-billions-of-messages</w:t>
      </w:r>
    </w:p>
    <w:p>
      <w:pPr>
        <w:numPr>
          <w:ilvl w:val="0"/>
          <w:numId w:val="1432"/>
        </w:numPr>
        <w:pStyle w:val="Compact"/>
      </w:pPr>
      <w:r>
        <w:t xml:space="preserve">Discord.</w:t>
      </w:r>
      <w:r>
        <w:t xml:space="preserve"> </w:t>
      </w:r>
      <w:r>
        <w:rPr>
          <w:iCs/>
          <w:i/>
        </w:rPr>
        <w:t xml:space="preserve">How Discord Stores Trillions of Messages</w:t>
      </w:r>
      <w:r>
        <w:t xml:space="preserve">. Discord blog, 2023. https://discord.com/blog/how-discord-stores-trillions-of-messages</w:t>
      </w:r>
    </w:p>
    <w:p>
      <w:pPr>
        <w:numPr>
          <w:ilvl w:val="0"/>
          <w:numId w:val="1432"/>
        </w:numPr>
        <w:pStyle w:val="Compact"/>
      </w:pPr>
      <w:r>
        <w:t xml:space="preserve">Neo4j.</w:t>
      </w:r>
      <w:r>
        <w:t xml:space="preserve"> </w:t>
      </w:r>
      <w:r>
        <w:rPr>
          <w:iCs/>
          <w:i/>
        </w:rPr>
        <w:t xml:space="preserve">Neo4j Documentation</w:t>
      </w:r>
      <w:r>
        <w:t xml:space="preserve"> </w:t>
      </w:r>
      <w:r>
        <w:t xml:space="preserve">(Cypher Manual, Operations Manual). https://neo4j.com/docs/</w:t>
      </w:r>
    </w:p>
    <w:p>
      <w:pPr>
        <w:numPr>
          <w:ilvl w:val="0"/>
          <w:numId w:val="1432"/>
        </w:numPr>
        <w:pStyle w:val="Compact"/>
      </w:pPr>
      <w:r>
        <w:t xml:space="preserve">Robinson, I., Webber, J., Eifrem, E.</w:t>
      </w:r>
      <w:r>
        <w:t xml:space="preserve"> </w:t>
      </w:r>
      <w:r>
        <w:rPr>
          <w:iCs/>
          <w:i/>
        </w:rPr>
        <w:t xml:space="preserve">Graph Databases</w:t>
      </w:r>
      <w:r>
        <w:t xml:space="preserve">, 2nd ed. O’Reilly, 2015.</w:t>
      </w:r>
    </w:p>
    <w:p>
      <w:pPr>
        <w:numPr>
          <w:ilvl w:val="0"/>
          <w:numId w:val="1432"/>
        </w:numPr>
        <w:pStyle w:val="Compact"/>
      </w:pPr>
      <w:r>
        <w:t xml:space="preserve">ISO/IEC 39075:2024.</w:t>
      </w:r>
      <w:r>
        <w:t xml:space="preserve"> </w:t>
      </w:r>
      <w:r>
        <w:rPr>
          <w:iCs/>
          <w:i/>
        </w:rPr>
        <w:t xml:space="preserve">Information technology — Database languages — GQL</w:t>
      </w:r>
      <w:r>
        <w:t xml:space="preserve">. ISO, 2024.</w:t>
      </w:r>
    </w:p>
    <w:p>
      <w:pPr>
        <w:numPr>
          <w:ilvl w:val="0"/>
          <w:numId w:val="1432"/>
        </w:numPr>
        <w:pStyle w:val="Compact"/>
      </w:pPr>
      <w:r>
        <w:t xml:space="preserve">W3C.</w:t>
      </w:r>
      <w:r>
        <w:t xml:space="preserve"> </w:t>
      </w:r>
      <w:r>
        <w:rPr>
          <w:iCs/>
          <w:i/>
        </w:rPr>
        <w:t xml:space="preserve">RDF 1.1 Concepts and Abstract Syntax</w:t>
      </w:r>
      <w:r>
        <w:t xml:space="preserve">. W3C Recommendation, 2014. https://www.w3.org/TR/rdf11-concepts/</w:t>
      </w:r>
    </w:p>
    <w:p>
      <w:pPr>
        <w:numPr>
          <w:ilvl w:val="0"/>
          <w:numId w:val="1432"/>
        </w:numPr>
        <w:pStyle w:val="Compact"/>
      </w:pPr>
      <w:r>
        <w:t xml:space="preserve">Bronson, N., et al. </w:t>
      </w:r>
      <w:r>
        <w:rPr>
          <w:iCs/>
          <w:i/>
        </w:rPr>
        <w:t xml:space="preserve">TAO: Facebook’s Distributed Data Store for the Social Graph</w:t>
      </w:r>
      <w:r>
        <w:t xml:space="preserve">. USENIX ATC, 2013.</w:t>
      </w:r>
    </w:p>
    <w:p>
      <w:pPr>
        <w:numPr>
          <w:ilvl w:val="0"/>
          <w:numId w:val="1432"/>
        </w:numPr>
        <w:pStyle w:val="Compact"/>
      </w:pPr>
      <w:r>
        <w:t xml:space="preserve">Prometheus.</w:t>
      </w:r>
      <w:r>
        <w:t xml:space="preserve"> </w:t>
      </w:r>
      <w:r>
        <w:rPr>
          <w:iCs/>
          <w:i/>
        </w:rPr>
        <w:t xml:space="preserve">Storage</w:t>
      </w:r>
      <w:r>
        <w:t xml:space="preserve">. Prometheus documentation. https://prometheus.io/docs/prometheus/latest/storage/</w:t>
      </w:r>
    </w:p>
    <w:p>
      <w:pPr>
        <w:numPr>
          <w:ilvl w:val="0"/>
          <w:numId w:val="1432"/>
        </w:numPr>
        <w:pStyle w:val="Compact"/>
      </w:pPr>
      <w:r>
        <w:t xml:space="preserve">InfluxData.</w:t>
      </w:r>
      <w:r>
        <w:t xml:space="preserve"> </w:t>
      </w:r>
      <w:r>
        <w:rPr>
          <w:iCs/>
          <w:i/>
        </w:rPr>
        <w:t xml:space="preserve">InfluxDB documentation</w:t>
      </w:r>
      <w:r>
        <w:t xml:space="preserve">. https://docs.influxdata.com/</w:t>
      </w:r>
    </w:p>
    <w:p>
      <w:pPr>
        <w:numPr>
          <w:ilvl w:val="0"/>
          <w:numId w:val="1432"/>
        </w:numPr>
        <w:pStyle w:val="Compact"/>
      </w:pPr>
      <w:r>
        <w:t xml:space="preserve">Timescale.</w:t>
      </w:r>
      <w:r>
        <w:t xml:space="preserve"> </w:t>
      </w:r>
      <w:r>
        <w:rPr>
          <w:iCs/>
          <w:i/>
        </w:rPr>
        <w:t xml:space="preserve">TimescaleDB documentation</w:t>
      </w:r>
      <w:r>
        <w:t xml:space="preserve">. https://docs.timescale.com/</w:t>
      </w:r>
    </w:p>
    <w:p>
      <w:pPr>
        <w:numPr>
          <w:ilvl w:val="0"/>
          <w:numId w:val="1432"/>
        </w:numPr>
        <w:pStyle w:val="Compact"/>
      </w:pPr>
      <w:r>
        <w:t xml:space="preserve">Elastic.</w:t>
      </w:r>
      <w:r>
        <w:t xml:space="preserve"> </w:t>
      </w:r>
      <w:r>
        <w:rPr>
          <w:iCs/>
          <w:i/>
        </w:rPr>
        <w:t xml:space="preserve">Elasticsearch Guide</w:t>
      </w:r>
      <w:r>
        <w:t xml:space="preserve"> </w:t>
      </w:r>
      <w:r>
        <w:t xml:space="preserve">(near real-time search, refresh). https://www.elastic.co/guide/</w:t>
      </w:r>
    </w:p>
    <w:p>
      <w:pPr>
        <w:numPr>
          <w:ilvl w:val="0"/>
          <w:numId w:val="1432"/>
        </w:numPr>
        <w:pStyle w:val="Compact"/>
      </w:pPr>
      <w:r>
        <w:t xml:space="preserve">Malkov, Y. A., Yashunin, D. A.</w:t>
      </w:r>
      <w:r>
        <w:t xml:space="preserve"> </w:t>
      </w:r>
      <w:r>
        <w:rPr>
          <w:iCs/>
          <w:i/>
        </w:rPr>
        <w:t xml:space="preserve">Efficient and Robust Approximate Nearest Neighbor Search Using Hierarchical Navigable Small World Graphs</w:t>
      </w:r>
      <w:r>
        <w:t xml:space="preserve">. IEEE TPAMI 42(4), 2020.</w:t>
      </w:r>
    </w:p>
    <w:p>
      <w:pPr>
        <w:numPr>
          <w:ilvl w:val="0"/>
          <w:numId w:val="1432"/>
        </w:numPr>
        <w:pStyle w:val="Compact"/>
      </w:pPr>
      <w:r>
        <w:t xml:space="preserve">Corbett, J. C., et al. </w:t>
      </w:r>
      <w:r>
        <w:rPr>
          <w:iCs/>
          <w:i/>
        </w:rPr>
        <w:t xml:space="preserve">Spanner: Google’s Globally-Distributed Database</w:t>
      </w:r>
      <w:r>
        <w:t xml:space="preserve">. OSDI, 2012.</w:t>
      </w:r>
    </w:p>
    <w:p>
      <w:pPr>
        <w:numPr>
          <w:ilvl w:val="0"/>
          <w:numId w:val="1432"/>
        </w:numPr>
        <w:pStyle w:val="Compact"/>
      </w:pPr>
      <w:r>
        <w:t xml:space="preserve">Taft, R., et al. </w:t>
      </w:r>
      <w:r>
        <w:rPr>
          <w:iCs/>
          <w:i/>
        </w:rPr>
        <w:t xml:space="preserve">CockroachDB: The Resilient Geo-Distributed SQL Database</w:t>
      </w:r>
      <w:r>
        <w:t xml:space="preserve">. SIGMOD, 2020.</w:t>
      </w:r>
    </w:p>
    <w:p>
      <w:pPr>
        <w:numPr>
          <w:ilvl w:val="0"/>
          <w:numId w:val="1432"/>
        </w:numPr>
        <w:pStyle w:val="Compact"/>
      </w:pPr>
      <w:r>
        <w:t xml:space="preserve">Huang, D., et al. </w:t>
      </w:r>
      <w:r>
        <w:rPr>
          <w:iCs/>
          <w:i/>
        </w:rPr>
        <w:t xml:space="preserve">TiDB: A Raft-based HTAP Database</w:t>
      </w:r>
      <w:r>
        <w:t xml:space="preserve">. PVLDB 13(12), 2020.</w:t>
      </w:r>
    </w:p>
    <w:p>
      <w:pPr>
        <w:numPr>
          <w:ilvl w:val="0"/>
          <w:numId w:val="1432"/>
        </w:numPr>
        <w:pStyle w:val="Compact"/>
      </w:pPr>
      <w:r>
        <w:t xml:space="preserve">Pavlo, A., Aslett, M.</w:t>
      </w:r>
      <w:r>
        <w:t xml:space="preserve"> </w:t>
      </w:r>
      <w:r>
        <w:rPr>
          <w:iCs/>
          <w:i/>
        </w:rPr>
        <w:t xml:space="preserve">What’s Really New with NewSQL?</w:t>
      </w:r>
      <w:r>
        <w:t xml:space="preserve"> </w:t>
      </w:r>
      <w:r>
        <w:t xml:space="preserve">SIGMOD Record 45(2), 2016.</w:t>
      </w:r>
    </w:p>
    <w:p>
      <w:pPr>
        <w:numPr>
          <w:ilvl w:val="0"/>
          <w:numId w:val="1432"/>
        </w:numPr>
        <w:pStyle w:val="Compact"/>
      </w:pPr>
      <w:r>
        <w:t xml:space="preserve">Fowler, M.</w:t>
      </w:r>
      <w:r>
        <w:t xml:space="preserve"> </w:t>
      </w:r>
      <w:r>
        <w:rPr>
          <w:iCs/>
          <w:i/>
        </w:rPr>
        <w:t xml:space="preserve">PolyglotPersistence</w:t>
      </w:r>
      <w:r>
        <w:t xml:space="preserve">. martinfowler.com, 2011. https://martinfowler.com/bliki/PolyglotPersistence.html</w:t>
      </w:r>
    </w:p>
    <w:p>
      <w:pPr>
        <w:numPr>
          <w:ilvl w:val="0"/>
          <w:numId w:val="1432"/>
        </w:numPr>
        <w:pStyle w:val="Compact"/>
      </w:pPr>
      <w:r>
        <w:t xml:space="preserve">Redis.</w:t>
      </w:r>
      <w:r>
        <w:t xml:space="preserve"> </w:t>
      </w:r>
      <w:r>
        <w:rPr>
          <w:iCs/>
          <w:i/>
        </w:rPr>
        <w:t xml:space="preserve">Redis documentation</w:t>
      </w:r>
      <w:r>
        <w:t xml:space="preserve">. https://redis.io/docs/latest/</w:t>
      </w:r>
    </w:p>
    <w:bookmarkEnd w:id="1428"/>
    <w:bookmarkStart w:id="1429" w:name="open-verification-items-11"/>
    <w:p>
      <w:pPr>
        <w:pStyle w:val="Heading2"/>
      </w:pPr>
      <w:r>
        <w:t xml:space="preserve">12.20 Open verification items</w:t>
      </w:r>
    </w:p>
    <w:p>
      <w:pPr>
        <w:numPr>
          <w:ilvl w:val="0"/>
          <w:numId w:val="1433"/>
        </w:numPr>
        <w:pStyle w:val="Compact"/>
      </w:pPr>
      <w:r>
        <w:t xml:space="preserve">DynamoDB prices (on-demand $0.625/M write and $0.125/M read request units after the November 2024 reduction; provisioned $0.00065/WCU-h, $0.00013/RCU-h, us-east-1) confirmed only via third-party pages; aws.amazon.com was unreachable.</w:t>
      </w:r>
    </w:p>
    <w:p>
      <w:pPr>
        <w:numPr>
          <w:ilvl w:val="0"/>
          <w:numId w:val="1433"/>
        </w:numPr>
        <w:pStyle w:val="Compact"/>
      </w:pPr>
      <w:r>
        <w:t xml:space="preserve">DynamoDB limits (400 KB items, per-partition 3,000 RCU/1,000 WCU, 20 GSIs, 5 LSIs, 10 GB item collections) and the 89.2 M requests/s figure (ATC 2022).</w:t>
      </w:r>
    </w:p>
    <w:p>
      <w:pPr>
        <w:numPr>
          <w:ilvl w:val="0"/>
          <w:numId w:val="1433"/>
        </w:numPr>
        <w:pStyle w:val="Compact"/>
      </w:pPr>
      <w:r>
        <w:t xml:space="preserve">Cassandra</w:t>
      </w:r>
      <w:r>
        <w:t xml:space="preserve"> </w:t>
      </w:r>
      <w:r>
        <w:t xml:space="preserve">“</w:t>
      </w:r>
      <w:r>
        <w:t xml:space="preserve">~100 MB per partition</w:t>
      </w:r>
      <w:r>
        <w:t xml:space="preserve">”</w:t>
      </w:r>
      <w:r>
        <w:t xml:space="preserve"> </w:t>
      </w:r>
      <w:r>
        <w:t xml:space="preserve">is community guidance, not official docs; tombstone thresholds and</w:t>
      </w:r>
      <w:r>
        <w:t xml:space="preserve"> </w:t>
      </w:r>
      <w:r>
        <w:rPr>
          <w:rStyle w:val="VerbatimChar"/>
        </w:rPr>
        <w:t xml:space="preserve">gc_grace_seconds</w:t>
      </w:r>
      <w:r>
        <w:t xml:space="preserve"> </w:t>
      </w:r>
      <w:r>
        <w:t xml:space="preserve">defaults per version.</w:t>
      </w:r>
    </w:p>
    <w:p>
      <w:pPr>
        <w:numPr>
          <w:ilvl w:val="0"/>
          <w:numId w:val="1433"/>
        </w:numPr>
        <w:pStyle w:val="Compact"/>
      </w:pPr>
      <w:r>
        <w:t xml:space="preserve">Redis 8 AGPLv3 option and InfluxDB 3 architecture (as of 2026).</w:t>
      </w:r>
    </w:p>
    <w:p>
      <w:pPr>
        <w:numPr>
          <w:ilvl w:val="0"/>
          <w:numId w:val="1433"/>
        </w:numPr>
        <w:pStyle w:val="Compact"/>
      </w:pPr>
      <w:r>
        <w:t xml:space="preserve">Pointer-chase and index-lookup costs in §12.7.3 are illustrative assumptions.</w:t>
      </w:r>
    </w:p>
    <w:bookmarkEnd w:id="1429"/>
    <w:bookmarkEnd w:id="1430"/>
    <w:bookmarkStart w:id="1550" w:name="chapter-13-storage-engine-internals"/>
    <w:p>
      <w:pPr>
        <w:pStyle w:val="Heading1"/>
      </w:pPr>
      <w:r>
        <w:t xml:space="preserve">Chapter 13 — Storage Engine Internals</w:t>
      </w:r>
    </w:p>
    <w:p>
      <w:pPr>
        <w:pStyle w:val="BlockText"/>
      </w:pPr>
      <w:r>
        <w:rPr>
          <w:bCs/>
          <w:b/>
        </w:rPr>
        <w:t xml:space="preserve">Level:</w:t>
      </w:r>
      <w:r>
        <w:t xml:space="preserve"> </w:t>
      </w:r>
      <w:r>
        <w:t xml:space="preserve">3 ·</w:t>
      </w:r>
      <w:r>
        <w:t xml:space="preserve"> </w:t>
      </w:r>
      <w:r>
        <w:rPr>
          <w:bCs/>
          <w:b/>
        </w:rPr>
        <w:t xml:space="preserve">Track:</w:t>
      </w:r>
      <w:r>
        <w:t xml:space="preserve"> </w:t>
      </w:r>
      <w:r>
        <w:t xml:space="preserve">A (Traditional) ·</w:t>
      </w:r>
      <w:r>
        <w:t xml:space="preserve"> </w:t>
      </w:r>
      <w:r>
        <w:rPr>
          <w:bCs/>
          <w:b/>
        </w:rPr>
        <w:t xml:space="preserve">Estimated reading time:</w:t>
      </w:r>
      <w:r>
        <w:t xml:space="preserve"> </w:t>
      </w:r>
      <w:r>
        <w:t xml:space="preserve">3.5 h</w:t>
      </w:r>
    </w:p>
    <w:p>
      <w:pPr>
        <w:pStyle w:val="FirstParagraph"/>
      </w:pPr>
      <w:r>
        <w:t xml:space="preserve">When you call</w:t>
      </w:r>
      <w:r>
        <w:t xml:space="preserve"> </w:t>
      </w:r>
      <w:r>
        <w:rPr>
          <w:rStyle w:val="VerbatimChar"/>
        </w:rPr>
        <w:t xml:space="preserve">INSERT</w:t>
      </w:r>
      <w:r>
        <w:t xml:space="preserve"> </w:t>
      </w:r>
      <w:r>
        <w:t xml:space="preserve">on PostgreSQL,</w:t>
      </w:r>
      <w:r>
        <w:t xml:space="preserve"> </w:t>
      </w:r>
      <w:r>
        <w:rPr>
          <w:rStyle w:val="VerbatimChar"/>
        </w:rPr>
        <w:t xml:space="preserve">Put</w:t>
      </w:r>
      <w:r>
        <w:t xml:space="preserve"> </w:t>
      </w:r>
      <w:r>
        <w:t xml:space="preserve">on RocksDB or</w:t>
      </w:r>
      <w:r>
        <w:t xml:space="preserve"> </w:t>
      </w:r>
      <w:r>
        <w:rPr>
          <w:rStyle w:val="VerbatimChar"/>
        </w:rPr>
        <w:t xml:space="preserve">save()</w:t>
      </w:r>
      <w:r>
        <w:t xml:space="preserve"> </w:t>
      </w:r>
      <w:r>
        <w:t xml:space="preserve">on an ORM, a piece of software called the</w:t>
      </w:r>
      <w:r>
        <w:t xml:space="preserve"> </w:t>
      </w:r>
      <w:r>
        <w:rPr>
          <w:bCs/>
          <w:b/>
        </w:rPr>
        <w:t xml:space="preserve">storage engine</w:t>
      </w:r>
      <w:r>
        <w:t xml:space="preserve"> </w:t>
      </w:r>
      <w:r>
        <w:t xml:space="preserve">decides where those bytes live on disk, how they are found again, and what happens if the power fails halfway through. Two databases with the same SQL dialect can differ tenfold in write volume, disk space or tail latency purely because of their storage engines. This chapter opens the box: pages, buffer pools, write-ahead logs, B-trees and log-structured merge (LSM) trees, and the numbers that let you choose an engine for a workload instead of by reputation. For book-length treatments, see [Petrov 2019] and chapter 3 of [Kleppmann 2017].</w:t>
      </w:r>
    </w:p>
    <w:bookmarkStart w:id="1431" w:name="learning-objectives-12"/>
    <w:p>
      <w:pPr>
        <w:pStyle w:val="Heading2"/>
      </w:pPr>
      <w:r>
        <w:t xml:space="preserve">13.1 Learning objectives</w:t>
      </w:r>
    </w:p>
    <w:p>
      <w:pPr>
        <w:pStyle w:val="FirstParagraph"/>
      </w:pPr>
      <w:r>
        <w:t xml:space="preserve">After this chapter you should be able to:</w:t>
      </w:r>
    </w:p>
    <w:p>
      <w:pPr>
        <w:numPr>
          <w:ilvl w:val="0"/>
          <w:numId w:val="1434"/>
        </w:numPr>
        <w:pStyle w:val="Compact"/>
      </w:pPr>
      <w:r>
        <w:t xml:space="preserve">Draw a slotted page and explain why records get stable identifiers.</w:t>
      </w:r>
    </w:p>
    <w:p>
      <w:pPr>
        <w:numPr>
          <w:ilvl w:val="0"/>
          <w:numId w:val="1434"/>
        </w:numPr>
        <w:pStyle w:val="Compact"/>
      </w:pPr>
      <w:r>
        <w:t xml:space="preserve">Explain a buffer pool’s page table, pin counts and dirty flags; compare LRU, clock and LRU-K; and justify</w:t>
      </w:r>
      <w:r>
        <w:t xml:space="preserve"> </w:t>
      </w:r>
      <w:r>
        <w:rPr>
          <w:rStyle w:val="VerbatimChar"/>
        </w:rPr>
        <w:t xml:space="preserve">O_DIRECT</w:t>
      </w:r>
      <w:r>
        <w:t xml:space="preserve">.</w:t>
      </w:r>
    </w:p>
    <w:p>
      <w:pPr>
        <w:numPr>
          <w:ilvl w:val="0"/>
          <w:numId w:val="1434"/>
        </w:numPr>
        <w:pStyle w:val="Compact"/>
      </w:pPr>
      <w:r>
        <w:t xml:space="preserve">Describe WAL, LSNs, fuzzy checkpoints and the three ARIES passes, and estimate recovery time.</w:t>
      </w:r>
    </w:p>
    <w:p>
      <w:pPr>
        <w:numPr>
          <w:ilvl w:val="0"/>
          <w:numId w:val="1434"/>
        </w:numPr>
        <w:pStyle w:val="Compact"/>
      </w:pPr>
      <w:r>
        <w:t xml:space="preserve">Trace a B-tree page split, explain latch crabbing, and contrast in-place with copy-on-write B-trees.</w:t>
      </w:r>
    </w:p>
    <w:p>
      <w:pPr>
        <w:numPr>
          <w:ilvl w:val="0"/>
          <w:numId w:val="1434"/>
        </w:numPr>
        <w:pStyle w:val="Compact"/>
      </w:pPr>
      <w:r>
        <w:t xml:space="preserve">Build and run a toy LSM tree (memtable, SSTables, WAL replay, compaction), starting from Bitcask.</w:t>
      </w:r>
    </w:p>
    <w:p>
      <w:pPr>
        <w:numPr>
          <w:ilvl w:val="0"/>
          <w:numId w:val="1434"/>
        </w:numPr>
        <w:pStyle w:val="Compact"/>
      </w:pPr>
      <w:r>
        <w:t xml:space="preserve">Calculate write, read and space amplification for size-tiered, leveled and hybrid compaction, and apply the RUM conjecture.</w:t>
      </w:r>
    </w:p>
    <w:p>
      <w:pPr>
        <w:numPr>
          <w:ilvl w:val="0"/>
          <w:numId w:val="1434"/>
        </w:numPr>
        <w:pStyle w:val="Compact"/>
      </w:pPr>
      <w:r>
        <w:t xml:space="preserve">Explain torn writes, checksums, the doublewrite buffer and full-page writes.</w:t>
      </w:r>
    </w:p>
    <w:p>
      <w:pPr>
        <w:numPr>
          <w:ilvl w:val="0"/>
          <w:numId w:val="1434"/>
        </w:numPr>
        <w:pStyle w:val="Compact"/>
      </w:pPr>
      <w:r>
        <w:t xml:space="preserve">Explain why columnar layout, encoding and vectorized execution make analytical scans 10–100× cheaper.</w:t>
      </w:r>
    </w:p>
    <w:p>
      <w:pPr>
        <w:numPr>
          <w:ilvl w:val="0"/>
          <w:numId w:val="1434"/>
        </w:numPr>
        <w:pStyle w:val="Compact"/>
      </w:pPr>
      <w:r>
        <w:t xml:space="preserve">Choose between InnoDB-, PostgreSQL-heap- and RocksDB-style engines for a workload, with numbers.</w:t>
      </w:r>
    </w:p>
    <w:bookmarkEnd w:id="1431"/>
    <w:bookmarkStart w:id="1432" w:name="prerequisites-12"/>
    <w:p>
      <w:pPr>
        <w:pStyle w:val="Heading2"/>
      </w:pPr>
      <w:r>
        <w:t xml:space="preserve">13.2 Prerequisites</w:t>
      </w:r>
    </w:p>
    <w:p>
      <w:pPr>
        <w:numPr>
          <w:ilvl w:val="0"/>
          <w:numId w:val="1435"/>
        </w:numPr>
        <w:pStyle w:val="Compact"/>
      </w:pPr>
      <w:r>
        <w:t xml:space="preserve">Storage devices, IOPS and SSD write amplification — §5.6 (engine designs respond to device behavior).</w:t>
      </w:r>
    </w:p>
    <w:p>
      <w:pPr>
        <w:numPr>
          <w:ilvl w:val="0"/>
          <w:numId w:val="1435"/>
        </w:numPr>
        <w:pStyle w:val="Compact"/>
      </w:pPr>
      <w:r>
        <w:t xml:space="preserve">Page cache,</w:t>
      </w:r>
      <w:r>
        <w:t xml:space="preserve"> </w:t>
      </w:r>
      <w:r>
        <w:rPr>
          <w:rStyle w:val="VerbatimChar"/>
        </w:rPr>
        <w:t xml:space="preserve">mmap</w:t>
      </w:r>
      <w:r>
        <w:t xml:space="preserve">, copy-on-write — §6.6.5–§6.6.6 (buffer pools replace or sit beside them).</w:t>
      </w:r>
    </w:p>
    <w:p>
      <w:pPr>
        <w:numPr>
          <w:ilvl w:val="0"/>
          <w:numId w:val="1435"/>
        </w:numPr>
        <w:pStyle w:val="Compact"/>
      </w:pPr>
      <w:r>
        <w:rPr>
          <w:rStyle w:val="VerbatimChar"/>
        </w:rPr>
        <w:t xml:space="preserve">fsync</w:t>
      </w:r>
      <w:r>
        <w:t xml:space="preserve">, journaling and group commit — §6.14 (the group-commit formula in §6.14.3 is not repeated).</w:t>
      </w:r>
    </w:p>
    <w:p>
      <w:pPr>
        <w:numPr>
          <w:ilvl w:val="0"/>
          <w:numId w:val="1435"/>
        </w:numPr>
        <w:pStyle w:val="Compact"/>
      </w:pPr>
      <w:r>
        <w:t xml:space="preserve">B+ trees, transactions and MVCC — §11.8, §11.11, §11.14 (here: how a B-tree is stored and made crash-safe).</w:t>
      </w:r>
    </w:p>
    <w:p>
      <w:pPr>
        <w:numPr>
          <w:ilvl w:val="0"/>
          <w:numId w:val="1435"/>
        </w:numPr>
        <w:pStyle w:val="Compact"/>
      </w:pPr>
      <w:r>
        <w:t xml:space="preserve">Logarithms — §4.4. Units:</w:t>
      </w:r>
      <w:r>
        <w:t xml:space="preserve"> </w:t>
      </w:r>
      <w:r>
        <w:rPr>
          <w:bCs/>
          <w:b/>
        </w:rPr>
        <w:t xml:space="preserve">KiB/MiB</w:t>
      </w:r>
      <w:r>
        <w:t xml:space="preserve"> </w:t>
      </w:r>
      <w:r>
        <w:t xml:space="preserve">for page and block sizes;</w:t>
      </w:r>
      <w:r>
        <w:t xml:space="preserve"> </w:t>
      </w:r>
      <w:r>
        <w:rPr>
          <w:bCs/>
          <w:b/>
        </w:rPr>
        <w:t xml:space="preserve">KB/MB/GB/TB</w:t>
      </w:r>
      <w:r>
        <w:t xml:space="preserve"> </w:t>
      </w:r>
      <w:r>
        <w:t xml:space="preserve">(powers of ten) for data volumes.</w:t>
      </w:r>
    </w:p>
    <w:bookmarkEnd w:id="1432"/>
    <w:bookmarkStart w:id="1445" w:name="pages-and-blocks"/>
    <w:p>
      <w:pPr>
        <w:pStyle w:val="Heading2"/>
      </w:pPr>
      <w:r>
        <w:t xml:space="preserve">13.3 Pages and blocks</w:t>
      </w:r>
    </w:p>
    <w:bookmarkStart w:id="1435" w:name="why-storage-engines-think-in-pages"/>
    <w:p>
      <w:pPr>
        <w:pStyle w:val="Heading3"/>
      </w:pPr>
      <w:r>
        <w:t xml:space="preserve">13.3.1 Why storage engines think in pages</w:t>
      </w:r>
    </w:p>
    <w:p>
      <w:pPr>
        <w:pStyle w:val="CalloutDefinition"/>
      </w:pPr>
      <w:r>
        <w:rPr>
          <w:bCs/>
          <w:b/>
        </w:rPr>
        <w:t xml:space="preserve">DEFINITION</w:t>
      </w:r>
    </w:p>
    <w:p>
      <w:pPr>
        <w:pStyle w:val="CalloutDefinition"/>
      </w:pPr>
      <w:r>
        <w:rPr>
          <w:bCs/>
          <w:b/>
        </w:rPr>
        <w:t xml:space="preserve">Definition — Page.</w:t>
      </w:r>
      <w:r>
        <w:t xml:space="preserve"> </w:t>
      </w:r>
      <w:r>
        <w:t xml:space="preserve">The fixed-size unit (typically 4–16 KiB) in which a storage engine reads, writes, caches and logs data. A page on disk is sometimes called a</w:t>
      </w:r>
      <w:r>
        <w:t xml:space="preserve"> </w:t>
      </w:r>
      <w:r>
        <w:rPr>
          <w:bCs/>
          <w:b/>
        </w:rPr>
        <w:t xml:space="preserve">block</w:t>
      </w:r>
      <w:r>
        <w:t xml:space="preserve">; the engine keeps a copy of a page in memory in a</w:t>
      </w:r>
      <w:r>
        <w:t xml:space="preserve"> </w:t>
      </w:r>
      <w:r>
        <w:rPr>
          <w:bCs/>
          <w:b/>
        </w:rPr>
        <w:t xml:space="preserve">frame</w:t>
      </w:r>
      <w:r>
        <w:t xml:space="preserve"> </w:t>
      </w:r>
      <w:r>
        <w:t xml:space="preserve">of its buffer pool.</w:t>
      </w:r>
    </w:p>
    <w:bookmarkStart w:id="1433" w:name="first-principles-explanation-79"/>
    <w:p>
      <w:pPr>
        <w:pStyle w:val="Heading4"/>
      </w:pPr>
      <w:r>
        <w:t xml:space="preserve">First-principles explanation</w:t>
      </w:r>
    </w:p>
    <w:p>
      <w:pPr>
        <w:pStyle w:val="FirstParagraph"/>
      </w:pPr>
      <w:r>
        <w:t xml:space="preserve">Imagine a library that lends books only by the whole shelf: to read one sentence you carry a shelf. Storage devices behave like that library. An SSD reads flash in pages of 4–16 KiB; an HDD pays milliseconds of seek before transferring anything (§5.6.1), so reading 100 bytes costs almost the same as reading 8 KiB. A database therefore never asks the disk for</w:t>
      </w:r>
      <w:r>
        <w:t xml:space="preserve"> </w:t>
      </w:r>
      <w:r>
        <w:t xml:space="preserve">“</w:t>
      </w:r>
      <w:r>
        <w:t xml:space="preserve">a row</w:t>
      </w:r>
      <w:r>
        <w:t xml:space="preserve">”</w:t>
      </w:r>
      <w:r>
        <w:t xml:space="preserve">; it asks for the page containing it, and organizes tables, indexes and logs in page-sized units.</w:t>
      </w:r>
    </w:p>
    <w:bookmarkEnd w:id="1433"/>
    <w:bookmarkStart w:id="1434" w:name="why-does-this-exist-46"/>
    <w:p>
      <w:pPr>
        <w:pStyle w:val="Heading4"/>
      </w:pPr>
      <w:r>
        <w:t xml:space="preserve">Why does this exist?</w:t>
      </w:r>
    </w:p>
    <w:p>
      <w:pPr>
        <w:pStyle w:val="FirstParagraph"/>
      </w:pPr>
      <w:r>
        <w:t xml:space="preserve">Pages give</w:t>
      </w:r>
      <w:r>
        <w:t xml:space="preserve"> </w:t>
      </w:r>
      <w:r>
        <w:rPr>
          <w:bCs/>
          <w:b/>
        </w:rPr>
        <w:t xml:space="preserve">I/O efficiency</w:t>
      </w:r>
      <w:r>
        <w:t xml:space="preserve"> </w:t>
      </w:r>
      <w:r>
        <w:t xml:space="preserve">(one request moves many rows),</w:t>
      </w:r>
      <w:r>
        <w:t xml:space="preserve"> </w:t>
      </w:r>
      <w:r>
        <w:rPr>
          <w:bCs/>
          <w:b/>
        </w:rPr>
        <w:t xml:space="preserve">a unit of caching and recovery</w:t>
      </w:r>
      <w:r>
        <w:t xml:space="preserve"> </w:t>
      </w:r>
      <w:r>
        <w:t xml:space="preserve">(the buffer pool caches pages; the log describes changes to pages, §13.5) and</w:t>
      </w:r>
      <w:r>
        <w:t xml:space="preserve"> </w:t>
      </w:r>
      <w:r>
        <w:rPr>
          <w:bCs/>
          <w:b/>
        </w:rPr>
        <w:t xml:space="preserve">addressability</w:t>
      </w:r>
      <w:r>
        <w:t xml:space="preserve"> </w:t>
      </w:r>
      <w:r>
        <w:t xml:space="preserve">(a row is named by</w:t>
      </w:r>
      <w:r>
        <w:t xml:space="preserve"> </w:t>
      </w:r>
      <w:r>
        <w:rPr>
          <w:rStyle w:val="VerbatimChar"/>
        </w:rPr>
        <w:t xml:space="preserve">(page, slot)</w:t>
      </w:r>
      <w:r>
        <w:t xml:space="preserve">). Larger pages mean fewer I/Os for scans and shallower B-trees, but more bytes written when one small row changes and a larger unit that a crash can tear (§13.12).</w:t>
      </w:r>
    </w:p>
    <w:p>
      <w:pPr>
        <w:pStyle w:val="BodyText"/>
      </w:pPr>
      <w:r>
        <w:rPr>
          <w:bCs/>
          <w:b/>
        </w:rPr>
        <w:t xml:space="preserve">Table 13.1 — Default page sizes (as of 2025).</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Engine</w:t>
            </w:r>
          </w:p>
        </w:tc>
        <w:tc>
          <w:tcPr/>
          <w:p>
            <w:pPr>
              <w:pStyle w:val="Compact"/>
              <w:jc w:val="left"/>
            </w:pPr>
            <w:r>
              <w:t xml:space="preserve">Default page size</w:t>
            </w:r>
          </w:p>
        </w:tc>
        <w:tc>
          <w:tcPr/>
          <w:p>
            <w:pPr>
              <w:pStyle w:val="Compact"/>
              <w:jc w:val="left"/>
            </w:pPr>
            <w:r>
              <w:t xml:space="preserve">Configurable?</w:t>
            </w:r>
          </w:p>
        </w:tc>
      </w:tr>
      <w:tr>
        <w:tc>
          <w:tcPr/>
          <w:p>
            <w:pPr>
              <w:pStyle w:val="Compact"/>
              <w:jc w:val="left"/>
            </w:pPr>
            <w:r>
              <w:t xml:space="preserve">PostgreSQL heap and indexes</w:t>
            </w:r>
          </w:p>
        </w:tc>
        <w:tc>
          <w:tcPr/>
          <w:p>
            <w:pPr>
              <w:pStyle w:val="Compact"/>
              <w:jc w:val="left"/>
            </w:pPr>
            <w:r>
              <w:t xml:space="preserve">8 KiB</w:t>
            </w:r>
          </w:p>
        </w:tc>
        <w:tc>
          <w:tcPr/>
          <w:p>
            <w:pPr>
              <w:pStyle w:val="Compact"/>
              <w:jc w:val="left"/>
            </w:pPr>
            <w:r>
              <w:t xml:space="preserve">Only at compile time</w:t>
            </w:r>
          </w:p>
        </w:tc>
      </w:tr>
      <w:tr>
        <w:tc>
          <w:tcPr/>
          <w:p>
            <w:pPr>
              <w:pStyle w:val="Compact"/>
              <w:jc w:val="left"/>
            </w:pPr>
            <w:r>
              <w:t xml:space="preserve">MySQL InnoDB</w:t>
            </w:r>
          </w:p>
        </w:tc>
        <w:tc>
          <w:tcPr/>
          <w:p>
            <w:pPr>
              <w:pStyle w:val="Compact"/>
              <w:jc w:val="left"/>
            </w:pPr>
            <w:r>
              <w:t xml:space="preserve">16 KiB</w:t>
            </w:r>
          </w:p>
        </w:tc>
        <w:tc>
          <w:tcPr/>
          <w:p>
            <w:pPr>
              <w:pStyle w:val="Compact"/>
              <w:jc w:val="left"/>
            </w:pPr>
            <w:r>
              <w:t xml:space="preserve">4–64 KiB, at initialization (</w:t>
            </w:r>
            <w:r>
              <w:rPr>
                <w:rStyle w:val="VerbatimChar"/>
              </w:rPr>
              <w:t xml:space="preserve">innodb_page_size</w:t>
            </w:r>
            <w:r>
              <w:t xml:space="preserve">)</w:t>
            </w:r>
          </w:p>
        </w:tc>
      </w:tr>
      <w:tr>
        <w:tc>
          <w:tcPr/>
          <w:p>
            <w:pPr>
              <w:pStyle w:val="Compact"/>
              <w:jc w:val="left"/>
            </w:pPr>
            <w:r>
              <w:t xml:space="preserve">SQLite</w:t>
            </w:r>
          </w:p>
        </w:tc>
        <w:tc>
          <w:tcPr/>
          <w:p>
            <w:pPr>
              <w:pStyle w:val="Compact"/>
              <w:jc w:val="left"/>
            </w:pPr>
            <w:r>
              <w:t xml:space="preserve">4 KiB</w:t>
            </w:r>
          </w:p>
        </w:tc>
        <w:tc>
          <w:tcPr/>
          <w:p>
            <w:pPr>
              <w:pStyle w:val="Compact"/>
              <w:jc w:val="left"/>
            </w:pPr>
            <w:r>
              <w:t xml:space="preserve">Yes, per database (</w:t>
            </w:r>
            <w:r>
              <w:rPr>
                <w:rStyle w:val="VerbatimChar"/>
              </w:rPr>
              <w:t xml:space="preserve">PRAGMA page_size</w:t>
            </w:r>
            <w:r>
              <w:t xml:space="preserve">)</w:t>
            </w:r>
          </w:p>
        </w:tc>
      </w:tr>
      <w:tr>
        <w:tc>
          <w:tcPr/>
          <w:p>
            <w:pPr>
              <w:pStyle w:val="Compact"/>
              <w:jc w:val="left"/>
            </w:pPr>
            <w:r>
              <w:t xml:space="preserve">RocksDB data block (inside an SSTable)</w:t>
            </w:r>
          </w:p>
        </w:tc>
        <w:tc>
          <w:tcPr/>
          <w:p>
            <w:pPr>
              <w:pStyle w:val="Compact"/>
              <w:jc w:val="left"/>
            </w:pPr>
            <w:r>
              <w:t xml:space="preserve">4 KiB before compression</w:t>
            </w:r>
          </w:p>
        </w:tc>
        <w:tc>
          <w:tcPr/>
          <w:p>
            <w:pPr>
              <w:pStyle w:val="Compact"/>
              <w:jc w:val="left"/>
            </w:pPr>
            <w:r>
              <w:t xml:space="preserve">Yes (</w:t>
            </w:r>
            <w:r>
              <w:rPr>
                <w:rStyle w:val="VerbatimChar"/>
              </w:rPr>
              <w:t xml:space="preserve">block_size</w:t>
            </w:r>
            <w:r>
              <w:t xml:space="preserve">)</w:t>
            </w:r>
          </w:p>
        </w:tc>
      </w:tr>
      <w:tr>
        <w:tc>
          <w:tcPr/>
          <w:p>
            <w:pPr>
              <w:pStyle w:val="Compact"/>
              <w:jc w:val="left"/>
            </w:pPr>
            <w:r>
              <w:t xml:space="preserve">LMDB</w:t>
            </w:r>
          </w:p>
        </w:tc>
        <w:tc>
          <w:tcPr/>
          <w:p>
            <w:pPr>
              <w:pStyle w:val="Compact"/>
              <w:jc w:val="left"/>
            </w:pPr>
            <w:r>
              <w:t xml:space="preserve">Operating-system page size (usually 4 KiB)</w:t>
            </w:r>
          </w:p>
        </w:tc>
        <w:tc>
          <w:tcPr/>
          <w:p>
            <w:pPr>
              <w:pStyle w:val="Compact"/>
              <w:jc w:val="left"/>
            </w:pPr>
            <w:r>
              <w:t xml:space="preserve">No</w:t>
            </w:r>
          </w:p>
        </w:tc>
      </w:tr>
    </w:tbl>
    <w:bookmarkEnd w:id="1434"/>
    <w:bookmarkEnd w:id="1435"/>
    <w:bookmarkStart w:id="1444" w:name="the-slotted-page"/>
    <w:p>
      <w:pPr>
        <w:pStyle w:val="Heading3"/>
      </w:pPr>
      <w:r>
        <w:t xml:space="preserve">13.3.2 The slotted page</w:t>
      </w:r>
    </w:p>
    <w:p>
      <w:pPr>
        <w:pStyle w:val="CalloutDefinition"/>
      </w:pPr>
      <w:r>
        <w:rPr>
          <w:bCs/>
          <w:b/>
        </w:rPr>
        <w:t xml:space="preserve">DEFINITION</w:t>
      </w:r>
    </w:p>
    <w:p>
      <w:pPr>
        <w:pStyle w:val="CalloutDefinition"/>
      </w:pPr>
      <w:r>
        <w:rPr>
          <w:bCs/>
          <w:b/>
        </w:rPr>
        <w:t xml:space="preserve">Definition — Slotted page.</w:t>
      </w:r>
      <w:r>
        <w:t xml:space="preserve"> </w:t>
      </w:r>
      <w:r>
        <w:t xml:space="preserve">A page layout in which a</w:t>
      </w:r>
      <w:r>
        <w:t xml:space="preserve"> </w:t>
      </w:r>
      <w:r>
        <w:rPr>
          <w:bCs/>
          <w:b/>
        </w:rPr>
        <w:t xml:space="preserve">header</w:t>
      </w:r>
      <w:r>
        <w:t xml:space="preserve"> </w:t>
      </w:r>
      <w:r>
        <w:t xml:space="preserve">is followed by an array of</w:t>
      </w:r>
      <w:r>
        <w:t xml:space="preserve"> </w:t>
      </w:r>
      <w:r>
        <w:rPr>
          <w:bCs/>
          <w:b/>
        </w:rPr>
        <w:t xml:space="preserve">slots</w:t>
      </w:r>
      <w:r>
        <w:t xml:space="preserve"> </w:t>
      </w:r>
      <w:r>
        <w:t xml:space="preserve">(also called line pointers or item IDs) that grows from the front, while variable-length</w:t>
      </w:r>
      <w:r>
        <w:t xml:space="preserve"> </w:t>
      </w:r>
      <w:r>
        <w:rPr>
          <w:bCs/>
          <w:b/>
        </w:rPr>
        <w:t xml:space="preserve">records</w:t>
      </w:r>
      <w:r>
        <w:t xml:space="preserve"> </w:t>
      </w:r>
      <w:r>
        <w:t xml:space="preserve">(tuples) are packed from the back. Each slot stores the offset and length of one record; free space sits in the middle.</w:t>
      </w:r>
    </w:p>
    <w:bookmarkStart w:id="1436" w:name="how-it-works-internally-49"/>
    <w:p>
      <w:pPr>
        <w:pStyle w:val="Heading4"/>
      </w:pPr>
      <w:r>
        <w:t xml:space="preserve">How it works internally</w:t>
      </w:r>
    </w:p>
    <w:p>
      <w:pPr>
        <w:numPr>
          <w:ilvl w:val="0"/>
          <w:numId w:val="1436"/>
        </w:numPr>
        <w:pStyle w:val="Compact"/>
      </w:pPr>
      <w:r>
        <w:rPr>
          <w:bCs/>
          <w:b/>
        </w:rPr>
        <w:t xml:space="preserve">Header:</w:t>
      </w:r>
      <w:r>
        <w:t xml:space="preserve"> </w:t>
      </w:r>
      <w:r>
        <w:t xml:space="preserve">page LSN (§13.5), checksum (§13.12), slot count and free-space pointers. PostgreSQL’s header is 24 bytes, with</w:t>
      </w:r>
      <w:r>
        <w:t xml:space="preserve"> </w:t>
      </w:r>
      <w:r>
        <w:rPr>
          <w:rStyle w:val="VerbatimChar"/>
        </w:rPr>
        <w:t xml:space="preserve">pd_lower</w:t>
      </w:r>
      <w:r>
        <w:t xml:space="preserve"> </w:t>
      </w:r>
      <w:r>
        <w:t xml:space="preserve">and</w:t>
      </w:r>
      <w:r>
        <w:t xml:space="preserve"> </w:t>
      </w:r>
      <w:r>
        <w:rPr>
          <w:rStyle w:val="VerbatimChar"/>
        </w:rPr>
        <w:t xml:space="preserve">pd_upper</w:t>
      </w:r>
      <w:r>
        <w:t xml:space="preserve"> </w:t>
      </w:r>
      <w:r>
        <w:t xml:space="preserve">bounding the free-space hole [PostgreSQL Docs: Database Page Layout].</w:t>
      </w:r>
    </w:p>
    <w:p>
      <w:pPr>
        <w:numPr>
          <w:ilvl w:val="0"/>
          <w:numId w:val="1436"/>
        </w:numPr>
        <w:pStyle w:val="Compact"/>
      </w:pPr>
      <w:r>
        <w:rPr>
          <w:bCs/>
          <w:b/>
        </w:rPr>
        <w:t xml:space="preserve">Insert:</w:t>
      </w:r>
      <w:r>
        <w:t xml:space="preserve"> </w:t>
      </w:r>
      <w:r>
        <w:t xml:space="preserve">copy the record to the end of free space, then append a slot pointing to it. The record’s identifier is</w:t>
      </w:r>
      <w:r>
        <w:t xml:space="preserve"> </w:t>
      </w:r>
      <w:r>
        <w:rPr>
          <w:rStyle w:val="VerbatimChar"/>
        </w:rPr>
        <w:t xml:space="preserve">(page, slot)</w:t>
      </w:r>
      <w:r>
        <w:t xml:space="preserve">.</w:t>
      </w:r>
    </w:p>
    <w:p>
      <w:pPr>
        <w:numPr>
          <w:ilvl w:val="0"/>
          <w:numId w:val="1436"/>
        </w:numPr>
        <w:pStyle w:val="Compact"/>
      </w:pPr>
      <w:r>
        <w:rPr>
          <w:bCs/>
          <w:b/>
        </w:rPr>
        <w:t xml:space="preserve">Read:</w:t>
      </w:r>
      <w:r>
        <w:t xml:space="preserve"> </w:t>
      </w:r>
      <w:r>
        <w:t xml:space="preserve">look up the slot and follow its offset.</w:t>
      </w:r>
    </w:p>
    <w:p>
      <w:pPr>
        <w:numPr>
          <w:ilvl w:val="0"/>
          <w:numId w:val="1436"/>
        </w:numPr>
        <w:pStyle w:val="Compact"/>
      </w:pPr>
      <w:r>
        <w:rPr>
          <w:bCs/>
          <w:b/>
        </w:rPr>
        <w:t xml:space="preserve">Delete:</w:t>
      </w:r>
      <w:r>
        <w:t xml:space="preserve"> </w:t>
      </w:r>
      <w:r>
        <w:t xml:space="preserve">mark the slot unused; the bytes become a hole.</w:t>
      </w:r>
    </w:p>
    <w:p>
      <w:pPr>
        <w:numPr>
          <w:ilvl w:val="0"/>
          <w:numId w:val="1436"/>
        </w:numPr>
        <w:pStyle w:val="Compact"/>
      </w:pPr>
      <w:r>
        <w:rPr>
          <w:bCs/>
          <w:b/>
        </w:rPr>
        <w:t xml:space="preserve">Grow or compact:</w:t>
      </w:r>
      <w:r>
        <w:t xml:space="preserve"> </w:t>
      </w:r>
      <w:r>
        <w:t xml:space="preserve">move records within the page and rewrite their slot offsets. Because indexes name</w:t>
      </w:r>
      <w:r>
        <w:t xml:space="preserve"> </w:t>
      </w:r>
      <w:r>
        <w:rPr>
          <w:iCs/>
          <w:i/>
        </w:rPr>
        <w:t xml:space="preserve">slots</w:t>
      </w:r>
      <w:r>
        <w:t xml:space="preserve">, not byte offsets, these moves are invisible to them — the whole point of the indirection.</w:t>
      </w:r>
    </w:p>
    <w:bookmarkEnd w:id="1436"/>
    <w:bookmarkStart w:id="1440" w:name="architecture-diagram-12"/>
    <w:p>
      <w:pPr>
        <w:pStyle w:val="Heading4"/>
      </w:pPr>
      <w:r>
        <w:t xml:space="preserve">Architecture diagram</w:t>
      </w:r>
    </w:p>
    <w:p>
      <w:pPr>
        <w:pStyle w:val="FirstParagraph"/>
      </w:pPr>
      <w:r>
        <w:rPr>
          <w:bCs/>
          <w:b/>
        </w:rPr>
        <w:t xml:space="preserve">Figure 13.1 — A slotted page.</w:t>
      </w:r>
    </w:p>
    <w:p>
      <w:pPr>
        <w:pStyle w:val="BodyText"/>
      </w:pPr>
      <w:r>
        <w:drawing>
          <wp:inline>
            <wp:extent cx="5334000" cy="1347200"/>
            <wp:effectExtent b="0" l="0" r="0" t="0"/>
            <wp:docPr descr="" title="" id="1438" name="Picture"/>
            <a:graphic>
              <a:graphicData uri="http://schemas.openxmlformats.org/drawingml/2006/picture">
                <pic:pic>
                  <pic:nvPicPr>
                    <pic:cNvPr descr="/home/user/System-Design/build/.cache/diagrams/09430301c64a.png" id="1439" name="Picture"/>
                    <pic:cNvPicPr>
                      <a:picLocks noChangeArrowheads="1" noChangeAspect="1"/>
                    </pic:cNvPicPr>
                  </pic:nvPicPr>
                  <pic:blipFill>
                    <a:blip r:embed="rId1437"/>
                    <a:stretch>
                      <a:fillRect/>
                    </a:stretch>
                  </pic:blipFill>
                  <pic:spPr bwMode="auto">
                    <a:xfrm>
                      <a:off x="0" y="0"/>
                      <a:ext cx="5334000" cy="1347200"/>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One contiguous 8 KiB buffer, left to right as on disk. The slot array grows rightward and records grow leftward from the end; the page is full when they meet in the free space. An index entry (a separate storage structure) names</w:t>
      </w:r>
      <w:r>
        <w:t xml:space="preserve"> </w:t>
      </w:r>
      <w:r>
        <w:rPr>
          <w:rStyle w:val="VerbatimChar"/>
        </w:rPr>
        <w:t xml:space="preserve">(page 7, slot 1)</w:t>
      </w:r>
      <w:r>
        <w:t xml:space="preserve">; the lookup is synchronous, and the dotted arrow marks the slot-to-record indirection, not an asynchronous path. Failure point: a crash that writes only part of the page leaves header, slots and records inconsistent, hence checksums and torn-write protection (§13.12). Tables scale by adding pages, never by growing one.</w:t>
      </w:r>
    </w:p>
    <w:bookmarkEnd w:id="1440"/>
    <w:bookmarkStart w:id="1441" w:name="mathematical-foundations-18"/>
    <w:p>
      <w:pPr>
        <w:pStyle w:val="Heading4"/>
      </w:pPr>
      <w:r>
        <w:t xml:space="preserve">Mathematical foundations</w:t>
      </w:r>
    </w:p>
    <w:p>
      <w:pPr>
        <w:pStyle w:val="CalloutFormula"/>
      </w:pPr>
      <w:r>
        <w:rPr>
          <w:bCs/>
          <w:b/>
        </w:rPr>
        <w:t xml:space="preserve">FORMULA</w:t>
      </w:r>
    </w:p>
    <w:p>
      <w:pPr>
        <w:pStyle w:val="CalloutFormula"/>
      </w:pPr>
      <w:r>
        <w:rPr>
          <w:bCs/>
          <w:b/>
        </w:rPr>
        <w:t xml:space="preserve">Records per slotted page</w:t>
      </w:r>
    </w:p>
    <w:p>
      <w:pPr>
        <w:pStyle w:val="CalloutFormula"/>
      </w:pPr>
      <m:oMathPara>
        <m:oMathParaPr>
          <m:jc m:val="center"/>
        </m:oMathParaPr>
        <m:oMath>
          <m:r>
            <m:t>n</m:t>
          </m:r>
          <m:r>
            <m:rPr>
              <m:sty m:val="p"/>
            </m:rPr>
            <m:t>=</m:t>
          </m:r>
          <m:d>
            <m:dPr>
              <m:begChr m:val="⌊"/>
              <m:endChr m:val="⌋"/>
              <m:sepChr m:val=""/>
              <m:grow/>
            </m:dPr>
            <m:e>
              <m:f>
                <m:fPr>
                  <m:type m:val="bar"/>
                </m:fPr>
                <m:num>
                  <m:r>
                    <m:t>P</m:t>
                  </m:r>
                  <m:r>
                    <m:rPr>
                      <m:sty m:val="p"/>
                    </m:rPr>
                    <m:t>−</m:t>
                  </m:r>
                  <m:r>
                    <m:t>H</m:t>
                  </m:r>
                </m:num>
                <m:den>
                  <m:r>
                    <m:t>r</m:t>
                  </m:r>
                  <m:r>
                    <m:rPr>
                      <m:sty m:val="p"/>
                    </m:rPr>
                    <m:t>+</m:t>
                  </m:r>
                  <m:r>
                    <m:t>s</m:t>
                  </m:r>
                </m:den>
              </m:f>
            </m:e>
          </m:d>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n</m:t>
              </m:r>
            </m:oMath>
          </w:p>
        </w:tc>
        <w:tc>
          <w:tcPr/>
          <w:p>
            <w:pPr>
              <w:pStyle w:val="Compact"/>
              <w:jc w:val="left"/>
            </w:pPr>
            <w:r>
              <w:t xml:space="preserve">Records that fit in one page</w:t>
            </w:r>
          </w:p>
        </w:tc>
        <w:tc>
          <w:tcPr/>
          <w:p>
            <w:pPr>
              <w:pStyle w:val="Compact"/>
              <w:jc w:val="left"/>
            </w:pPr>
            <w:r>
              <w:t xml:space="preserve">records</w:t>
            </w:r>
          </w:p>
        </w:tc>
      </w:tr>
      <w:tr>
        <w:tc>
          <w:tcPr/>
          <w:p>
            <w:pPr>
              <w:pStyle w:val="Compact"/>
              <w:jc w:val="left"/>
            </w:pPr>
            <m:oMath>
              <m:r>
                <m:t>P</m:t>
              </m:r>
            </m:oMath>
          </w:p>
        </w:tc>
        <w:tc>
          <w:tcPr/>
          <w:p>
            <w:pPr>
              <w:pStyle w:val="Compact"/>
              <w:jc w:val="left"/>
            </w:pPr>
            <w:r>
              <w:t xml:space="preserve">Page size</w:t>
            </w:r>
          </w:p>
        </w:tc>
        <w:tc>
          <w:tcPr/>
          <w:p>
            <w:pPr>
              <w:pStyle w:val="Compact"/>
              <w:jc w:val="left"/>
            </w:pPr>
            <w:r>
              <w:t xml:space="preserve">bytes</w:t>
            </w:r>
          </w:p>
        </w:tc>
      </w:tr>
      <w:tr>
        <w:tc>
          <w:tcPr/>
          <w:p>
            <w:pPr>
              <w:pStyle w:val="Compact"/>
              <w:jc w:val="left"/>
            </w:pPr>
            <m:oMath>
              <m:r>
                <m:t>H</m:t>
              </m:r>
            </m:oMath>
          </w:p>
        </w:tc>
        <w:tc>
          <w:tcPr/>
          <w:p>
            <w:pPr>
              <w:pStyle w:val="Compact"/>
              <w:jc w:val="left"/>
            </w:pPr>
            <w:r>
              <w:t xml:space="preserve">Page header size</w:t>
            </w:r>
          </w:p>
        </w:tc>
        <w:tc>
          <w:tcPr/>
          <w:p>
            <w:pPr>
              <w:pStyle w:val="Compact"/>
              <w:jc w:val="left"/>
            </w:pPr>
            <w:r>
              <w:t xml:space="preserve">bytes</w:t>
            </w:r>
          </w:p>
        </w:tc>
      </w:tr>
      <w:tr>
        <w:tc>
          <w:tcPr/>
          <w:p>
            <w:pPr>
              <w:pStyle w:val="Compact"/>
              <w:jc w:val="left"/>
            </w:pPr>
            <m:oMath>
              <m:r>
                <m:t>r</m:t>
              </m:r>
            </m:oMath>
          </w:p>
        </w:tc>
        <w:tc>
          <w:tcPr/>
          <w:p>
            <w:pPr>
              <w:pStyle w:val="Compact"/>
              <w:jc w:val="left"/>
            </w:pPr>
            <w:r>
              <w:t xml:space="preserve">Stored record size including per-record header and alignment padding</w:t>
            </w:r>
          </w:p>
        </w:tc>
        <w:tc>
          <w:tcPr/>
          <w:p>
            <w:pPr>
              <w:pStyle w:val="Compact"/>
              <w:jc w:val="left"/>
            </w:pPr>
            <w:r>
              <w:t xml:space="preserve">bytes</w:t>
            </w:r>
          </w:p>
        </w:tc>
      </w:tr>
      <w:tr>
        <w:tc>
          <w:tcPr/>
          <w:p>
            <w:pPr>
              <w:pStyle w:val="Compact"/>
              <w:jc w:val="left"/>
            </w:pPr>
            <m:oMath>
              <m:r>
                <m:t>s</m:t>
              </m:r>
            </m:oMath>
          </w:p>
        </w:tc>
        <w:tc>
          <w:tcPr/>
          <w:p>
            <w:pPr>
              <w:pStyle w:val="Compact"/>
              <w:jc w:val="left"/>
            </w:pPr>
            <w:r>
              <w:t xml:space="preserve">Slot (line pointer) size</w:t>
            </w:r>
          </w:p>
        </w:tc>
        <w:tc>
          <w:tcPr/>
          <w:p>
            <w:pPr>
              <w:pStyle w:val="Compact"/>
              <w:jc w:val="left"/>
            </w:pPr>
            <w:r>
              <w:t xml:space="preserve">bytes</w:t>
            </w:r>
          </w:p>
        </w:tc>
      </w:tr>
    </w:tbl>
    <w:p>
      <w:pPr>
        <w:pStyle w:val="CalloutExample"/>
      </w:pPr>
      <w:r>
        <w:rPr>
          <w:bCs/>
          <w:b/>
        </w:rPr>
        <w:t xml:space="preserve">WORKED EXAMPLE</w:t>
      </w:r>
    </w:p>
    <w:p>
      <w:pPr>
        <w:pStyle w:val="CalloutExample"/>
      </w:pPr>
      <w:r>
        <w:rPr>
          <w:bCs/>
          <w:b/>
        </w:rPr>
        <w:t xml:space="preserve">Worked example — How big is a 1-billion-row PostgreSQL table?</w:t>
      </w:r>
    </w:p>
    <w:p>
      <w:pPr>
        <w:pStyle w:val="CalloutExample"/>
      </w:pPr>
      <w:r>
        <w:t xml:space="preserve">Each row holds 76 bytes of column data. PostgreSQL adds a 23-byte tuple header, padded to 24 bytes, and aligns the tuple to 8 bytes; each line pointer is 4 bytes; the page header is 24 bytes [PostgreSQL Docs: Database Page Layout].</w:t>
      </w:r>
    </w:p>
    <w:p>
      <w:pPr>
        <w:numPr>
          <w:ilvl w:val="0"/>
          <w:numId w:val="1437"/>
        </w:numPr>
        <w:pStyle w:val="Compact"/>
      </w:pPr>
      <w:r>
        <w:t xml:space="preserve">Stored record:</w:t>
      </w:r>
      <w:r>
        <w:t xml:space="preserve"> </w:t>
      </w:r>
      <m:oMath>
        <m:r>
          <m:t>24</m:t>
        </m:r>
        <m:r>
          <m:rPr>
            <m:sty m:val="p"/>
          </m:rPr>
          <m:t>+</m:t>
        </m:r>
        <m:r>
          <m:t>76</m:t>
        </m:r>
        <m:r>
          <m:rPr>
            <m:sty m:val="p"/>
          </m:rPr>
          <m:t>=</m:t>
        </m:r>
        <m:r>
          <m:t>100</m:t>
        </m:r>
      </m:oMath>
      <w:r>
        <w:t xml:space="preserve"> </w:t>
      </w:r>
      <w:r>
        <w:t xml:space="preserve">bytes, rounded up to a multiple of 8:</w:t>
      </w:r>
      <w:r>
        <w:t xml:space="preserve"> </w:t>
      </w:r>
      <m:oMath>
        <m:r>
          <m:t>r</m:t>
        </m:r>
        <m:r>
          <m:rPr>
            <m:sty m:val="p"/>
          </m:rPr>
          <m:t>=</m:t>
        </m:r>
        <m:r>
          <m:t>104</m:t>
        </m:r>
      </m:oMath>
      <w:r>
        <w:t xml:space="preserve"> </w:t>
      </w:r>
      <w:r>
        <w:t xml:space="preserve">bytes.</w:t>
      </w:r>
    </w:p>
    <w:p>
      <w:pPr>
        <w:numPr>
          <w:ilvl w:val="0"/>
          <w:numId w:val="1437"/>
        </w:numPr>
        <w:pStyle w:val="Compact"/>
      </w:pPr>
      <w:r>
        <w:t xml:space="preserve">Per record including its slot:</w:t>
      </w:r>
      <w:r>
        <w:t xml:space="preserve"> </w:t>
      </w:r>
      <m:oMath>
        <m:r>
          <m:t>104</m:t>
        </m:r>
        <m:r>
          <m:rPr>
            <m:sty m:val="p"/>
          </m:rPr>
          <m:t>+</m:t>
        </m:r>
        <m:r>
          <m:t>4</m:t>
        </m:r>
        <m:r>
          <m:rPr>
            <m:sty m:val="p"/>
          </m:rPr>
          <m:t>=</m:t>
        </m:r>
        <m:r>
          <m:t>108</m:t>
        </m:r>
      </m:oMath>
      <w:r>
        <w:t xml:space="preserve"> </w:t>
      </w:r>
      <w:r>
        <w:t xml:space="preserve">bytes.</w:t>
      </w:r>
    </w:p>
    <w:p>
      <w:pPr>
        <w:numPr>
          <w:ilvl w:val="0"/>
          <w:numId w:val="1437"/>
        </w:numPr>
        <w:pStyle w:val="Compact"/>
      </w:pPr>
      <w:r>
        <w:t xml:space="preserve">Records per page:</w:t>
      </w:r>
      <w:r>
        <w:t xml:space="preserve"> </w:t>
      </w:r>
      <m:oMath>
        <m:r>
          <m:t>n</m:t>
        </m:r>
        <m:r>
          <m:rPr>
            <m:sty m:val="p"/>
          </m:rPr>
          <m:t>=</m:t>
        </m:r>
        <m:r>
          <m:rPr>
            <m:sty m:val="p"/>
          </m:rPr>
          <m:t>⌊</m:t>
        </m:r>
        <m:d>
          <m:dPr>
            <m:begChr m:val="("/>
            <m:endChr m:val=")"/>
            <m:sepChr m:val=""/>
            <m:grow/>
          </m:dPr>
          <m:e>
            <m:r>
              <m:t>8192</m:t>
            </m:r>
            <m:r>
              <m:rPr>
                <m:sty m:val="p"/>
              </m:rPr>
              <m:t>−</m:t>
            </m:r>
            <m:r>
              <m:t>24</m:t>
            </m:r>
          </m:e>
        </m:d>
        <m:r>
          <m:rPr>
            <m:sty m:val="p"/>
          </m:rPr>
          <m:t>/</m:t>
        </m:r>
        <m:r>
          <m:t>108</m:t>
        </m:r>
        <m:r>
          <m:rPr>
            <m:sty m:val="p"/>
          </m:rPr>
          <m:t>⌋</m:t>
        </m:r>
        <m:r>
          <m:rPr>
            <m:sty m:val="p"/>
          </m:rPr>
          <m:t>=</m:t>
        </m:r>
        <m:r>
          <m:rPr>
            <m:sty m:val="p"/>
          </m:rPr>
          <m:t>⌊</m:t>
        </m:r>
        <m:r>
          <m:t>75.6</m:t>
        </m:r>
        <m:r>
          <m:rPr>
            <m:sty m:val="p"/>
          </m:rPr>
          <m:t>⌋</m:t>
        </m:r>
        <m:r>
          <m:rPr>
            <m:sty m:val="p"/>
          </m:rPr>
          <m:t>=</m:t>
        </m:r>
        <m:r>
          <m:t>75</m:t>
        </m:r>
      </m:oMath>
      <w:r>
        <w:t xml:space="preserve">.</w:t>
      </w:r>
    </w:p>
    <w:p>
      <w:pPr>
        <w:numPr>
          <w:ilvl w:val="0"/>
          <w:numId w:val="1437"/>
        </w:numPr>
        <w:pStyle w:val="Compact"/>
      </w:pPr>
      <w:r>
        <w:t xml:space="preserve">Pages:</w:t>
      </w:r>
      <w:r>
        <w:t xml:space="preserve"> </w:t>
      </w:r>
      <m:oMath>
        <m:sSup>
          <m:e>
            <m:r>
              <m:t>10</m:t>
            </m:r>
          </m:e>
          <m:sup>
            <m:r>
              <m:t>9</m:t>
            </m:r>
          </m:sup>
        </m:sSup>
        <m:r>
          <m:rPr>
            <m:sty m:val="p"/>
          </m:rPr>
          <m:t>/</m:t>
        </m:r>
        <m:r>
          <m:t>75</m:t>
        </m:r>
        <m:r>
          <m:rPr>
            <m:sty m:val="p"/>
          </m:rPr>
          <m:t>=</m:t>
        </m:r>
        <m:r>
          <m:t>13</m:t>
        </m:r>
        <m:r>
          <m:t> </m:t>
        </m:r>
        <m:r>
          <m:t>333</m:t>
        </m:r>
        <m:r>
          <m:t> </m:t>
        </m:r>
        <m:r>
          <m:t>334</m:t>
        </m:r>
      </m:oMath>
      <w:r>
        <w:t xml:space="preserve"> </w:t>
      </w:r>
      <w:r>
        <w:t xml:space="preserve">pages; size</w:t>
      </w:r>
      <w:r>
        <w:t xml:space="preserve"> </w:t>
      </w:r>
      <m:oMath>
        <m:r>
          <m:rPr>
            <m:sty m:val="p"/>
          </m:rPr>
          <m:t>=</m:t>
        </m:r>
        <m:r>
          <m:t>13</m:t>
        </m:r>
        <m:r>
          <m:t> </m:t>
        </m:r>
        <m:r>
          <m:t>333</m:t>
        </m:r>
        <m:r>
          <m:t> </m:t>
        </m:r>
        <m:r>
          <m:t>334</m:t>
        </m:r>
        <m:r>
          <m:rPr>
            <m:sty m:val="p"/>
          </m:rPr>
          <m:t>×</m:t>
        </m:r>
        <m:r>
          <m:t>8192</m:t>
        </m:r>
        <m:r>
          <m:rPr>
            <m:sty m:val="p"/>
          </m:rPr>
          <m:t>≈</m:t>
        </m:r>
        <m:r>
          <m:t>109.2</m:t>
        </m:r>
      </m:oMath>
      <w:r>
        <w:t xml:space="preserve"> </w:t>
      </w:r>
      <w:r>
        <w:t xml:space="preserve">GB.</w:t>
      </w:r>
    </w:p>
    <w:p>
      <w:pPr>
        <w:numPr>
          <w:ilvl w:val="0"/>
          <w:numId w:val="1437"/>
        </w:numPr>
        <w:pStyle w:val="Compact"/>
      </w:pPr>
      <w:r>
        <w:t xml:space="preserve">Raw column data:</w:t>
      </w:r>
      <w:r>
        <w:t xml:space="preserve"> </w:t>
      </w:r>
      <m:oMath>
        <m:sSup>
          <m:e>
            <m:r>
              <m:t>10</m:t>
            </m:r>
          </m:e>
          <m:sup>
            <m:r>
              <m:t>9</m:t>
            </m:r>
          </m:sup>
        </m:sSup>
        <m:r>
          <m:rPr>
            <m:sty m:val="p"/>
          </m:rPr>
          <m:t>×</m:t>
        </m:r>
        <m:r>
          <m:t>76</m:t>
        </m:r>
        <m:r>
          <m:rPr>
            <m:sty m:val="p"/>
          </m:rPr>
          <m:t>=</m:t>
        </m:r>
        <m:r>
          <m:t>76</m:t>
        </m:r>
      </m:oMath>
      <w:r>
        <w:t xml:space="preserve"> </w:t>
      </w:r>
      <w:r>
        <w:t xml:space="preserve">GB. Overhead factor:</w:t>
      </w:r>
      <w:r>
        <w:t xml:space="preserve"> </w:t>
      </w:r>
      <m:oMath>
        <m:r>
          <m:t>109.2</m:t>
        </m:r>
        <m:r>
          <m:rPr>
            <m:sty m:val="p"/>
          </m:rPr>
          <m:t>/</m:t>
        </m:r>
        <m:r>
          <m:t>76</m:t>
        </m:r>
        <m:r>
          <m:rPr>
            <m:sty m:val="p"/>
          </m:rPr>
          <m:t>≈</m:t>
        </m:r>
        <m:r>
          <m:t>1.44</m:t>
        </m:r>
      </m:oMath>
      <w:r>
        <w:t xml:space="preserve">.</w:t>
      </w:r>
    </w:p>
    <w:p>
      <w:pPr>
        <w:pStyle w:val="CalloutExample"/>
      </w:pPr>
      <w:r>
        <w:rPr>
          <w:bCs/>
          <w:b/>
        </w:rPr>
        <w:t xml:space="preserve">Interpretation.</w:t>
      </w:r>
      <w:r>
        <w:t xml:space="preserve"> </w:t>
      </w:r>
      <w:r>
        <w:t xml:space="preserve">Before any index or dead tuple, the table is 44% larger than its data, because of MVCC tuple headers (§11.14), slots and alignment.</w:t>
      </w:r>
      <w:r>
        <w:t xml:space="preserve"> </w:t>
      </w:r>
      <w:r>
        <w:rPr>
          <w:bCs/>
          <w:b/>
        </w:rPr>
        <w:t xml:space="preserve">Engineering implication.</w:t>
      </w:r>
      <w:r>
        <w:t xml:space="preserve"> </w:t>
      </w:r>
      <w:r>
        <w:t xml:space="preserve">Narrow rows pay proportionally more; ordering 8-byte columns first reduces padding, and a deliberate</w:t>
      </w:r>
      <w:r>
        <w:t xml:space="preserve"> </w:t>
      </w:r>
      <w:r>
        <w:rPr>
          <w:rStyle w:val="VerbatimChar"/>
        </w:rPr>
        <w:t xml:space="preserve">fillfactor</w:t>
      </w:r>
      <w:r>
        <w:t xml:space="preserve"> </w:t>
      </w:r>
      <w:r>
        <w:t xml:space="preserve">below 100% trades space for cheaper updates (§13.14.3). This 1.44 is part of the</w:t>
      </w:r>
      <w:r>
        <w:t xml:space="preserve"> </w:t>
      </w:r>
      <w:r>
        <w:rPr>
          <w:bCs/>
          <w:b/>
        </w:rPr>
        <w:t xml:space="preserve">space amplification</w:t>
      </w:r>
      <w:r>
        <w:t xml:space="preserve"> </w:t>
      </w:r>
      <w:r>
        <w:t xml:space="preserve">of §13.11.</w:t>
      </w:r>
    </w:p>
    <w:bookmarkEnd w:id="1441"/>
    <w:bookmarkStart w:id="1442" w:name="code-example-13"/>
    <w:p>
      <w:pPr>
        <w:pStyle w:val="Heading4"/>
      </w:pPr>
      <w:r>
        <w:t xml:space="preserve">Code example</w:t>
      </w:r>
    </w:p>
    <w:p>
      <w:pPr>
        <w:pStyle w:val="FirstParagraph"/>
      </w:pPr>
      <w:r>
        <w:t xml:space="preserve">The following program implements a 4 KiB slotted page with insert, get, delete and compaction. It is standalone; run it with</w:t>
      </w:r>
      <w:r>
        <w:t xml:space="preserve"> </w:t>
      </w:r>
      <w:r>
        <w:rPr>
          <w:rStyle w:val="VerbatimChar"/>
        </w:rPr>
        <w:t xml:space="preserve">python3</w:t>
      </w:r>
      <w:r>
        <w:t xml:space="preserve">.</w:t>
      </w:r>
    </w:p>
    <w:p>
      <w:pPr>
        <w:pStyle w:val="SourceCode"/>
      </w:pPr>
      <w:r>
        <w:rPr>
          <w:rStyle w:val="CommentTok"/>
        </w:rPr>
        <w:t xml:space="preserve">"""A minimal slotted page: header, slot array growing forward, records growing</w:t>
      </w:r>
      <w:r>
        <w:br/>
      </w:r>
      <w:r>
        <w:rPr>
          <w:rStyle w:val="CommentTok"/>
        </w:rPr>
        <w:t xml:space="preserve">backward from the end of the page. Record IDs (slot numbers) never change."""</w:t>
      </w:r>
      <w:r>
        <w:br/>
      </w:r>
      <w:r>
        <w:rPr>
          <w:rStyle w:val="ImportTok"/>
        </w:rPr>
        <w:t xml:space="preserve">import</w:t>
      </w:r>
      <w:r>
        <w:rPr>
          <w:rStyle w:val="NormalTok"/>
        </w:rPr>
        <w:t xml:space="preserve"> struct</w:t>
      </w:r>
      <w:r>
        <w:br/>
      </w:r>
      <w:r>
        <w:br/>
      </w:r>
      <w:r>
        <w:rPr>
          <w:rStyle w:val="NormalTok"/>
        </w:rPr>
        <w:t xml:space="preserve">PAGE_SIZE </w:t>
      </w:r>
      <w:r>
        <w:rPr>
          <w:rStyle w:val="OperatorTok"/>
        </w:rPr>
        <w:t xml:space="preserve">=</w:t>
      </w:r>
      <w:r>
        <w:rPr>
          <w:rStyle w:val="NormalTok"/>
        </w:rPr>
        <w:t xml:space="preserve"> </w:t>
      </w:r>
      <w:r>
        <w:rPr>
          <w:rStyle w:val="DecValTok"/>
        </w:rPr>
        <w:t xml:space="preserve">4096</w:t>
      </w:r>
      <w:r>
        <w:br/>
      </w:r>
      <w:r>
        <w:rPr>
          <w:rStyle w:val="NormalTok"/>
        </w:rPr>
        <w:t xml:space="preserve">HEADER </w:t>
      </w:r>
      <w:r>
        <w:rPr>
          <w:rStyle w:val="OperatorTok"/>
        </w:rPr>
        <w:t xml:space="preserve">=</w:t>
      </w:r>
      <w:r>
        <w:rPr>
          <w:rStyle w:val="NormalTok"/>
        </w:rPr>
        <w:t xml:space="preserve"> struct.Struct(</w:t>
      </w:r>
      <w:r>
        <w:rPr>
          <w:rStyle w:val="StringTok"/>
        </w:rPr>
        <w:t xml:space="preserve">"&lt;HH"</w:t>
      </w:r>
      <w:r>
        <w:rPr>
          <w:rStyle w:val="NormalTok"/>
        </w:rPr>
        <w:t xml:space="preserve">)      </w:t>
      </w:r>
      <w:r>
        <w:rPr>
          <w:rStyle w:val="CommentTok"/>
        </w:rPr>
        <w:t xml:space="preserve"># slot_count, free_end (offset where record space begins)</w:t>
      </w:r>
      <w:r>
        <w:br/>
      </w:r>
      <w:r>
        <w:rPr>
          <w:rStyle w:val="ExtensionTok"/>
        </w:rPr>
        <w:t xml:space="preserve">SLOT</w:t>
      </w:r>
      <w:r>
        <w:rPr>
          <w:rStyle w:val="NormalTok"/>
        </w:rPr>
        <w:t xml:space="preserve"> </w:t>
      </w:r>
      <w:r>
        <w:rPr>
          <w:rStyle w:val="OperatorTok"/>
        </w:rPr>
        <w:t xml:space="preserve">=</w:t>
      </w:r>
      <w:r>
        <w:rPr>
          <w:rStyle w:val="NormalTok"/>
        </w:rPr>
        <w:t xml:space="preserve"> struct.Struct(</w:t>
      </w:r>
      <w:r>
        <w:rPr>
          <w:rStyle w:val="StringTok"/>
        </w:rPr>
        <w:t xml:space="preserve">"&lt;HH"</w:t>
      </w:r>
      <w:r>
        <w:rPr>
          <w:rStyle w:val="NormalTok"/>
        </w:rPr>
        <w:t xml:space="preserve">)        </w:t>
      </w:r>
      <w:r>
        <w:rPr>
          <w:rStyle w:val="CommentTok"/>
        </w:rPr>
        <w:t xml:space="preserve"># record offset, record length (offset 0 = deleted slot)</w:t>
      </w:r>
      <w:r>
        <w:br/>
      </w:r>
      <w:r>
        <w:br/>
      </w:r>
      <w:r>
        <w:br/>
      </w:r>
      <w:r>
        <w:rPr>
          <w:rStyle w:val="KeywordTok"/>
        </w:rPr>
        <w:t xml:space="preserve">class</w:t>
      </w:r>
      <w:r>
        <w:rPr>
          <w:rStyle w:val="NormalTok"/>
        </w:rPr>
        <w:t xml:space="preserve"> SlottedPage: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.buf </w:t>
      </w:r>
      <w:r>
        <w:rPr>
          <w:rStyle w:val="OperatorTok"/>
        </w:rPr>
        <w:t xml:space="preserve">=</w:t>
      </w:r>
      <w:r>
        <w:rPr>
          <w:rStyle w:val="NormalTok"/>
        </w:rPr>
        <w:t xml:space="preserve"> </w:t>
      </w:r>
      <w:r>
        <w:rPr>
          <w:rStyle w:val="BuiltInTok"/>
        </w:rPr>
        <w:t xml:space="preserve">bytearray</w:t>
      </w:r>
      <w:r>
        <w:rPr>
          <w:rStyle w:val="NormalTok"/>
        </w:rPr>
        <w:t xml:space="preserve">(PAGE_SIZE)</w:t>
      </w:r>
      <w:r>
        <w:br/>
      </w:r>
      <w:r>
        <w:rPr>
          <w:rStyle w:val="NormalTok"/>
        </w:rPr>
        <w:t xml:space="preserve">        HEADER.pack_into(</w:t>
      </w:r>
      <w:r>
        <w:rPr>
          <w:rStyle w:val="VariableTok"/>
        </w:rPr>
        <w:t xml:space="preserve">self</w:t>
      </w:r>
      <w:r>
        <w:rPr>
          <w:rStyle w:val="NormalTok"/>
        </w:rPr>
        <w:t xml:space="preserve">.buf, </w:t>
      </w:r>
      <w:r>
        <w:rPr>
          <w:rStyle w:val="DecValTok"/>
        </w:rPr>
        <w:t xml:space="preserve">0</w:t>
      </w:r>
      <w:r>
        <w:rPr>
          <w:rStyle w:val="NormalTok"/>
        </w:rPr>
        <w:t xml:space="preserve">, </w:t>
      </w:r>
      <w:r>
        <w:rPr>
          <w:rStyle w:val="DecValTok"/>
        </w:rPr>
        <w:t xml:space="preserve">0</w:t>
      </w:r>
      <w:r>
        <w:rPr>
          <w:rStyle w:val="NormalTok"/>
        </w:rPr>
        <w:t xml:space="preserve">, PAGE_SIZE)</w:t>
      </w:r>
      <w:r>
        <w:br/>
      </w:r>
      <w:r>
        <w:br/>
      </w:r>
      <w:r>
        <w:rPr>
          <w:rStyle w:val="NormalTok"/>
        </w:rPr>
        <w:t xml:space="preserve">    </w:t>
      </w:r>
      <w:r>
        <w:rPr>
          <w:rStyle w:val="KeywordTok"/>
        </w:rPr>
        <w:t xml:space="preserve">def</w:t>
      </w:r>
      <w:r>
        <w:rPr>
          <w:rStyle w:val="NormalTok"/>
        </w:rPr>
        <w:t xml:space="preserve"> _header(</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HEADER.unpack_from(</w:t>
      </w:r>
      <w:r>
        <w:rPr>
          <w:rStyle w:val="VariableTok"/>
        </w:rPr>
        <w:t xml:space="preserve">self</w:t>
      </w:r>
      <w:r>
        <w:rPr>
          <w:rStyle w:val="NormalTok"/>
        </w:rPr>
        <w:t xml:space="preserve">.buf, </w:t>
      </w:r>
      <w:r>
        <w:rPr>
          <w:rStyle w:val="DecValTok"/>
        </w:rPr>
        <w:t xml:space="preserve">0</w:t>
      </w:r>
      <w:r>
        <w:rPr>
          <w:rStyle w:val="NormalTok"/>
        </w:rPr>
        <w:t xml:space="preserve">)</w:t>
      </w:r>
      <w:r>
        <w:br/>
      </w:r>
      <w:r>
        <w:br/>
      </w:r>
      <w:r>
        <w:rPr>
          <w:rStyle w:val="NormalTok"/>
        </w:rPr>
        <w:t xml:space="preserve">    </w:t>
      </w:r>
      <w:r>
        <w:rPr>
          <w:rStyle w:val="KeywordTok"/>
        </w:rPr>
        <w:t xml:space="preserve">def</w:t>
      </w:r>
      <w:r>
        <w:rPr>
          <w:rStyle w:val="NormalTok"/>
        </w:rPr>
        <w:t xml:space="preserve"> _slot_pos(</w:t>
      </w:r>
      <w:r>
        <w:rPr>
          <w:rStyle w:val="VariableTok"/>
        </w:rPr>
        <w:t xml:space="preserve">self</w:t>
      </w:r>
      <w:r>
        <w:rPr>
          <w:rStyle w:val="NormalTok"/>
        </w:rPr>
        <w:t xml:space="preserve">, slot):</w:t>
      </w:r>
      <w:r>
        <w:br/>
      </w:r>
      <w:r>
        <w:rPr>
          <w:rStyle w:val="NormalTok"/>
        </w:rPr>
        <w:t xml:space="preserve">        </w:t>
      </w:r>
      <w:r>
        <w:rPr>
          <w:rStyle w:val="ControlFlowTok"/>
        </w:rPr>
        <w:t xml:space="preserve">return</w:t>
      </w:r>
      <w:r>
        <w:rPr>
          <w:rStyle w:val="NormalTok"/>
        </w:rPr>
        <w:t xml:space="preserve"> HEADER.size </w:t>
      </w:r>
      <w:r>
        <w:rPr>
          <w:rStyle w:val="OperatorTok"/>
        </w:rPr>
        <w:t xml:space="preserve">+</w:t>
      </w:r>
      <w:r>
        <w:rPr>
          <w:rStyle w:val="NormalTok"/>
        </w:rPr>
        <w:t xml:space="preserve"> slot </w:t>
      </w:r>
      <w:r>
        <w:rPr>
          <w:rStyle w:val="OperatorTok"/>
        </w:rPr>
        <w:t xml:space="preserve">*</w:t>
      </w:r>
      <w:r>
        <w:rPr>
          <w:rStyle w:val="NormalTok"/>
        </w:rPr>
        <w:t xml:space="preserve"> </w:t>
      </w:r>
      <w:r>
        <w:rPr>
          <w:rStyle w:val="ExtensionTok"/>
        </w:rPr>
        <w:t xml:space="preserve">SLOT</w:t>
      </w:r>
      <w:r>
        <w:rPr>
          <w:rStyle w:val="NormalTok"/>
        </w:rPr>
        <w:t xml:space="preserve">.size</w:t>
      </w:r>
      <w:r>
        <w:br/>
      </w:r>
      <w:r>
        <w:br/>
      </w:r>
      <w:r>
        <w:rPr>
          <w:rStyle w:val="NormalTok"/>
        </w:rPr>
        <w:t xml:space="preserve">    </w:t>
      </w:r>
      <w:r>
        <w:rPr>
          <w:rStyle w:val="KeywordTok"/>
        </w:rPr>
        <w:t xml:space="preserve">def</w:t>
      </w:r>
      <w:r>
        <w:rPr>
          <w:rStyle w:val="NormalTok"/>
        </w:rPr>
        <w:t xml:space="preserve"> free_space(</w:t>
      </w:r>
      <w:r>
        <w:rPr>
          <w:rStyle w:val="VariableTok"/>
        </w:rPr>
        <w:t xml:space="preserve">self</w:t>
      </w:r>
      <w:r>
        <w:rPr>
          <w:rStyle w:val="NormalTok"/>
        </w:rPr>
        <w:t xml:space="preserve">):</w:t>
      </w:r>
      <w:r>
        <w:br/>
      </w:r>
      <w:r>
        <w:rPr>
          <w:rStyle w:val="NormalTok"/>
        </w:rPr>
        <w:t xml:space="preserve">        count, free_end </w:t>
      </w:r>
      <w:r>
        <w:rPr>
          <w:rStyle w:val="OperatorTok"/>
        </w:rPr>
        <w:t xml:space="preserve">=</w:t>
      </w:r>
      <w:r>
        <w:rPr>
          <w:rStyle w:val="NormalTok"/>
        </w:rPr>
        <w:t xml:space="preserve"> </w:t>
      </w:r>
      <w:r>
        <w:rPr>
          <w:rStyle w:val="VariableTok"/>
        </w:rPr>
        <w:t xml:space="preserve">self</w:t>
      </w:r>
      <w:r>
        <w:rPr>
          <w:rStyle w:val="NormalTok"/>
        </w:rPr>
        <w:t xml:space="preserve">._header()</w:t>
      </w:r>
      <w:r>
        <w:br/>
      </w:r>
      <w:r>
        <w:rPr>
          <w:rStyle w:val="NormalTok"/>
        </w:rPr>
        <w:t xml:space="preserve">        </w:t>
      </w:r>
      <w:r>
        <w:rPr>
          <w:rStyle w:val="ControlFlowTok"/>
        </w:rPr>
        <w:t xml:space="preserve">return</w:t>
      </w:r>
      <w:r>
        <w:rPr>
          <w:rStyle w:val="NormalTok"/>
        </w:rPr>
        <w:t xml:space="preserve"> free_end </w:t>
      </w:r>
      <w:r>
        <w:rPr>
          <w:rStyle w:val="OperatorTok"/>
        </w:rPr>
        <w:t xml:space="preserve">-</w:t>
      </w:r>
      <w:r>
        <w:rPr>
          <w:rStyle w:val="NormalTok"/>
        </w:rPr>
        <w:t xml:space="preserve"> (HEADER.size </w:t>
      </w:r>
      <w:r>
        <w:rPr>
          <w:rStyle w:val="OperatorTok"/>
        </w:rPr>
        <w:t xml:space="preserve">+</w:t>
      </w:r>
      <w:r>
        <w:rPr>
          <w:rStyle w:val="NormalTok"/>
        </w:rPr>
        <w:t xml:space="preserve"> count </w:t>
      </w:r>
      <w:r>
        <w:rPr>
          <w:rStyle w:val="OperatorTok"/>
        </w:rPr>
        <w:t xml:space="preserve">*</w:t>
      </w:r>
      <w:r>
        <w:rPr>
          <w:rStyle w:val="NormalTok"/>
        </w:rPr>
        <w:t xml:space="preserve"> </w:t>
      </w:r>
      <w:r>
        <w:rPr>
          <w:rStyle w:val="ExtensionTok"/>
        </w:rPr>
        <w:t xml:space="preserve">SLOT</w:t>
      </w:r>
      <w:r>
        <w:rPr>
          <w:rStyle w:val="NormalTok"/>
        </w:rPr>
        <w:t xml:space="preserve">.size)</w:t>
      </w:r>
      <w:r>
        <w:br/>
      </w:r>
      <w:r>
        <w:br/>
      </w:r>
      <w:r>
        <w:rPr>
          <w:rStyle w:val="NormalTok"/>
        </w:rPr>
        <w:t xml:space="preserve">    </w:t>
      </w:r>
      <w:r>
        <w:rPr>
          <w:rStyle w:val="KeywordTok"/>
        </w:rPr>
        <w:t xml:space="preserve">def</w:t>
      </w:r>
      <w:r>
        <w:rPr>
          <w:rStyle w:val="NormalTok"/>
        </w:rPr>
        <w:t xml:space="preserve"> insert(</w:t>
      </w:r>
      <w:r>
        <w:rPr>
          <w:rStyle w:val="VariableTok"/>
        </w:rPr>
        <w:t xml:space="preserve">self</w:t>
      </w:r>
      <w:r>
        <w:rPr>
          <w:rStyle w:val="NormalTok"/>
        </w:rPr>
        <w:t xml:space="preserve">, record: </w:t>
      </w:r>
      <w:r>
        <w:rPr>
          <w:rStyle w:val="BuiltInTok"/>
        </w:rPr>
        <w:t xml:space="preserve">bytes</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count, free_end </w:t>
      </w:r>
      <w:r>
        <w:rPr>
          <w:rStyle w:val="OperatorTok"/>
        </w:rPr>
        <w:t xml:space="preserve">=</w:t>
      </w:r>
      <w:r>
        <w:rPr>
          <w:rStyle w:val="NormalTok"/>
        </w:rPr>
        <w:t xml:space="preserve"> </w:t>
      </w:r>
      <w:r>
        <w:rPr>
          <w:rStyle w:val="VariableTok"/>
        </w:rPr>
        <w:t xml:space="preserve">self</w:t>
      </w:r>
      <w:r>
        <w:rPr>
          <w:rStyle w:val="NormalTok"/>
        </w:rPr>
        <w:t xml:space="preserve">._header()</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(record) </w:t>
      </w:r>
      <w:r>
        <w:rPr>
          <w:rStyle w:val="OperatorTok"/>
        </w:rPr>
        <w:t xml:space="preserve">+</w:t>
      </w:r>
      <w:r>
        <w:rPr>
          <w:rStyle w:val="NormalTok"/>
        </w:rPr>
        <w:t xml:space="preserve"> </w:t>
      </w:r>
      <w:r>
        <w:rPr>
          <w:rStyle w:val="ExtensionTok"/>
        </w:rPr>
        <w:t xml:space="preserve">SLOT</w:t>
      </w:r>
      <w:r>
        <w:rPr>
          <w:rStyle w:val="NormalTok"/>
        </w:rPr>
        <w:t xml:space="preserve">.size </w:t>
      </w:r>
      <w:r>
        <w:rPr>
          <w:rStyle w:val="OperatorTok"/>
        </w:rPr>
        <w:t xml:space="preserve">&gt;</w:t>
      </w:r>
      <w:r>
        <w:rPr>
          <w:rStyle w:val="NormalTok"/>
        </w:rPr>
        <w:t xml:space="preserve"> </w:t>
      </w:r>
      <w:r>
        <w:rPr>
          <w:rStyle w:val="VariableTok"/>
        </w:rPr>
        <w:t xml:space="preserve">self</w:t>
      </w:r>
      <w:r>
        <w:rPr>
          <w:rStyle w:val="NormalTok"/>
        </w:rPr>
        <w:t xml:space="preserve">.free_space():</w:t>
      </w:r>
      <w:r>
        <w:br/>
      </w:r>
      <w:r>
        <w:rPr>
          <w:rStyle w:val="NormalTok"/>
        </w:rPr>
        <w:t xml:space="preserve">            </w:t>
      </w:r>
      <w:r>
        <w:rPr>
          <w:rStyle w:val="VariableTok"/>
        </w:rPr>
        <w:t xml:space="preserve">self</w:t>
      </w:r>
      <w:r>
        <w:rPr>
          <w:rStyle w:val="NormalTok"/>
        </w:rPr>
        <w:t xml:space="preserve">.compact()                                   </w:t>
      </w:r>
      <w:r>
        <w:rPr>
          <w:rStyle w:val="CommentTok"/>
        </w:rPr>
        <w:t xml:space="preserve"># reclaim holes, then retry</w:t>
      </w:r>
      <w:r>
        <w:br/>
      </w:r>
      <w:r>
        <w:rPr>
          <w:rStyle w:val="NormalTok"/>
        </w:rPr>
        <w:t xml:space="preserve">            count, free_end </w:t>
      </w:r>
      <w:r>
        <w:rPr>
          <w:rStyle w:val="OperatorTok"/>
        </w:rPr>
        <w:t xml:space="preserve">=</w:t>
      </w:r>
      <w:r>
        <w:rPr>
          <w:rStyle w:val="NormalTok"/>
        </w:rPr>
        <w:t xml:space="preserve"> </w:t>
      </w:r>
      <w:r>
        <w:rPr>
          <w:rStyle w:val="VariableTok"/>
        </w:rPr>
        <w:t xml:space="preserve">self</w:t>
      </w:r>
      <w:r>
        <w:rPr>
          <w:rStyle w:val="NormalTok"/>
        </w:rPr>
        <w:t xml:space="preserve">._header()</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(record) </w:t>
      </w:r>
      <w:r>
        <w:rPr>
          <w:rStyle w:val="OperatorTok"/>
        </w:rPr>
        <w:t xml:space="preserve">+</w:t>
      </w:r>
      <w:r>
        <w:rPr>
          <w:rStyle w:val="NormalTok"/>
        </w:rPr>
        <w:t xml:space="preserve"> </w:t>
      </w:r>
      <w:r>
        <w:rPr>
          <w:rStyle w:val="ExtensionTok"/>
        </w:rPr>
        <w:t xml:space="preserve">SLOT</w:t>
      </w:r>
      <w:r>
        <w:rPr>
          <w:rStyle w:val="NormalTok"/>
        </w:rPr>
        <w:t xml:space="preserve">.size </w:t>
      </w:r>
      <w:r>
        <w:rPr>
          <w:rStyle w:val="OperatorTok"/>
        </w:rPr>
        <w:t xml:space="preserve">&gt;</w:t>
      </w:r>
      <w:r>
        <w:rPr>
          <w:rStyle w:val="NormalTok"/>
        </w:rPr>
        <w:t xml:space="preserve"> </w:t>
      </w:r>
      <w:r>
        <w:rPr>
          <w:rStyle w:val="VariableTok"/>
        </w:rPr>
        <w:t xml:space="preserve">self</w:t>
      </w:r>
      <w:r>
        <w:rPr>
          <w:rStyle w:val="NormalTok"/>
        </w:rPr>
        <w:t xml:space="preserve">.free_space():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"page full"</w:t>
      </w:r>
      <w:r>
        <w:rPr>
          <w:rStyle w:val="NormalTok"/>
        </w:rPr>
        <w:t xml:space="preserve">)</w:t>
      </w:r>
      <w:r>
        <w:br/>
      </w:r>
      <w:r>
        <w:rPr>
          <w:rStyle w:val="NormalTok"/>
        </w:rPr>
        <w:t xml:space="preserve">        offset </w:t>
      </w:r>
      <w:r>
        <w:rPr>
          <w:rStyle w:val="OperatorTok"/>
        </w:rPr>
        <w:t xml:space="preserve">=</w:t>
      </w:r>
      <w:r>
        <w:rPr>
          <w:rStyle w:val="NormalTok"/>
        </w:rPr>
        <w:t xml:space="preserve"> free_end </w:t>
      </w:r>
      <w:r>
        <w:rPr>
          <w:rStyle w:val="OperatorTok"/>
        </w:rPr>
        <w:t xml:space="preserve">-</w:t>
      </w:r>
      <w:r>
        <w:rPr>
          <w:rStyle w:val="NormalTok"/>
        </w:rPr>
        <w:t xml:space="preserve"> </w:t>
      </w:r>
      <w:r>
        <w:rPr>
          <w:rStyle w:val="BuiltInTok"/>
        </w:rPr>
        <w:t xml:space="preserve">len</w:t>
      </w:r>
      <w:r>
        <w:rPr>
          <w:rStyle w:val="NormalTok"/>
        </w:rPr>
        <w:t xml:space="preserve">(record)</w:t>
      </w:r>
      <w:r>
        <w:br/>
      </w:r>
      <w:r>
        <w:rPr>
          <w:rStyle w:val="NormalTok"/>
        </w:rPr>
        <w:t xml:space="preserve">        </w:t>
      </w:r>
      <w:r>
        <w:rPr>
          <w:rStyle w:val="VariableTok"/>
        </w:rPr>
        <w:t xml:space="preserve">self</w:t>
      </w:r>
      <w:r>
        <w:rPr>
          <w:rStyle w:val="NormalTok"/>
        </w:rPr>
        <w:t xml:space="preserve">.buf[offset:free_end] </w:t>
      </w:r>
      <w:r>
        <w:rPr>
          <w:rStyle w:val="OperatorTok"/>
        </w:rPr>
        <w:t xml:space="preserve">=</w:t>
      </w:r>
      <w:r>
        <w:rPr>
          <w:rStyle w:val="NormalTok"/>
        </w:rPr>
        <w:t xml:space="preserve"> record                   </w:t>
      </w:r>
      <w:r>
        <w:rPr>
          <w:rStyle w:val="CommentTok"/>
        </w:rPr>
        <w:t xml:space="preserve"># record grows downward</w:t>
      </w:r>
      <w:r>
        <w:br/>
      </w:r>
      <w:r>
        <w:rPr>
          <w:rStyle w:val="NormalTok"/>
        </w:rPr>
        <w:t xml:space="preserve">        </w:t>
      </w:r>
      <w:r>
        <w:rPr>
          <w:rStyle w:val="ExtensionTok"/>
        </w:rPr>
        <w:t xml:space="preserve">SLOT</w:t>
      </w:r>
      <w:r>
        <w:rPr>
          <w:rStyle w:val="NormalTok"/>
        </w:rPr>
        <w:t xml:space="preserve">.pack_into(</w:t>
      </w:r>
      <w:r>
        <w:rPr>
          <w:rStyle w:val="VariableTok"/>
        </w:rPr>
        <w:t xml:space="preserve">self</w:t>
      </w:r>
      <w:r>
        <w:rPr>
          <w:rStyle w:val="NormalTok"/>
        </w:rPr>
        <w:t xml:space="preserve">.buf, </w:t>
      </w:r>
      <w:r>
        <w:rPr>
          <w:rStyle w:val="VariableTok"/>
        </w:rPr>
        <w:t xml:space="preserve">self</w:t>
      </w:r>
      <w:r>
        <w:rPr>
          <w:rStyle w:val="NormalTok"/>
        </w:rPr>
        <w:t xml:space="preserve">._slot_pos(count), offset, </w:t>
      </w:r>
      <w:r>
        <w:rPr>
          <w:rStyle w:val="BuiltInTok"/>
        </w:rPr>
        <w:t xml:space="preserve">len</w:t>
      </w:r>
      <w:r>
        <w:rPr>
          <w:rStyle w:val="NormalTok"/>
        </w:rPr>
        <w:t xml:space="preserve">(record))</w:t>
      </w:r>
      <w:r>
        <w:br/>
      </w:r>
      <w:r>
        <w:rPr>
          <w:rStyle w:val="NormalTok"/>
        </w:rPr>
        <w:t xml:space="preserve">        HEADER.pack_into(</w:t>
      </w:r>
      <w:r>
        <w:rPr>
          <w:rStyle w:val="VariableTok"/>
        </w:rPr>
        <w:t xml:space="preserve">self</w:t>
      </w:r>
      <w:r>
        <w:rPr>
          <w:rStyle w:val="NormalTok"/>
        </w:rPr>
        <w:t xml:space="preserve">.buf, </w:t>
      </w:r>
      <w:r>
        <w:rPr>
          <w:rStyle w:val="DecValTok"/>
        </w:rPr>
        <w:t xml:space="preserve">0</w:t>
      </w:r>
      <w:r>
        <w:rPr>
          <w:rStyle w:val="NormalTok"/>
        </w:rPr>
        <w:t xml:space="preserve">, count </w:t>
      </w:r>
      <w:r>
        <w:rPr>
          <w:rStyle w:val="OperatorTok"/>
        </w:rPr>
        <w:t xml:space="preserve">+</w:t>
      </w:r>
      <w:r>
        <w:rPr>
          <w:rStyle w:val="NormalTok"/>
        </w:rPr>
        <w:t xml:space="preserve"> </w:t>
      </w:r>
      <w:r>
        <w:rPr>
          <w:rStyle w:val="DecValTok"/>
        </w:rPr>
        <w:t xml:space="preserve">1</w:t>
      </w:r>
      <w:r>
        <w:rPr>
          <w:rStyle w:val="NormalTok"/>
        </w:rPr>
        <w:t xml:space="preserve">, offset)     </w:t>
      </w:r>
      <w:r>
        <w:rPr>
          <w:rStyle w:val="CommentTok"/>
        </w:rPr>
        <w:t xml:space="preserve"># slot array grows upward</w:t>
      </w:r>
      <w:r>
        <w:br/>
      </w:r>
      <w:r>
        <w:rPr>
          <w:rStyle w:val="NormalTok"/>
        </w:rPr>
        <w:t xml:space="preserve">        </w:t>
      </w:r>
      <w:r>
        <w:rPr>
          <w:rStyle w:val="ControlFlowTok"/>
        </w:rPr>
        <w:t xml:space="preserve">return</w:t>
      </w:r>
      <w:r>
        <w:rPr>
          <w:rStyle w:val="NormalTok"/>
        </w:rPr>
        <w:t xml:space="preserve"> count                                         </w:t>
      </w:r>
      <w:r>
        <w:rPr>
          <w:rStyle w:val="CommentTok"/>
        </w:rPr>
        <w:t xml:space="preserve"># slot number = stable record ID</w:t>
      </w:r>
      <w:r>
        <w:br/>
      </w:r>
      <w:r>
        <w:br/>
      </w:r>
      <w:r>
        <w:rPr>
          <w:rStyle w:val="NormalTok"/>
        </w:rPr>
        <w:t xml:space="preserve">    </w:t>
      </w:r>
      <w:r>
        <w:rPr>
          <w:rStyle w:val="KeywordTok"/>
        </w:rPr>
        <w:t xml:space="preserve">def</w:t>
      </w:r>
      <w:r>
        <w:rPr>
          <w:rStyle w:val="NormalTok"/>
        </w:rPr>
        <w:t xml:space="preserve"> get(</w:t>
      </w:r>
      <w:r>
        <w:rPr>
          <w:rStyle w:val="VariableTok"/>
        </w:rPr>
        <w:t xml:space="preserve">self</w:t>
      </w:r>
      <w:r>
        <w:rPr>
          <w:rStyle w:val="NormalTok"/>
        </w:rPr>
        <w:t xml:space="preserve">, slot: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bytes</w:t>
      </w:r>
      <w:r>
        <w:rPr>
          <w:rStyle w:val="NormalTok"/>
        </w:rPr>
        <w:t xml:space="preserve">:</w:t>
      </w:r>
      <w:r>
        <w:br/>
      </w:r>
      <w:r>
        <w:rPr>
          <w:rStyle w:val="NormalTok"/>
        </w:rPr>
        <w:t xml:space="preserve">        offset, length </w:t>
      </w:r>
      <w:r>
        <w:rPr>
          <w:rStyle w:val="OperatorTok"/>
        </w:rPr>
        <w:t xml:space="preserve">=</w:t>
      </w:r>
      <w:r>
        <w:rPr>
          <w:rStyle w:val="NormalTok"/>
        </w:rPr>
        <w:t xml:space="preserve"> </w:t>
      </w:r>
      <w:r>
        <w:rPr>
          <w:rStyle w:val="ExtensionTok"/>
        </w:rPr>
        <w:t xml:space="preserve">SLOT</w:t>
      </w:r>
      <w:r>
        <w:rPr>
          <w:rStyle w:val="NormalTok"/>
        </w:rPr>
        <w:t xml:space="preserve">.unpack_from(</w:t>
      </w:r>
      <w:r>
        <w:rPr>
          <w:rStyle w:val="VariableTok"/>
        </w:rPr>
        <w:t xml:space="preserve">self</w:t>
      </w:r>
      <w:r>
        <w:rPr>
          <w:rStyle w:val="NormalTok"/>
        </w:rPr>
        <w:t xml:space="preserve">.buf, </w:t>
      </w:r>
      <w:r>
        <w:rPr>
          <w:rStyle w:val="VariableTok"/>
        </w:rPr>
        <w:t xml:space="preserve">self</w:t>
      </w:r>
      <w:r>
        <w:rPr>
          <w:rStyle w:val="NormalTok"/>
        </w:rPr>
        <w:t xml:space="preserve">._slot_pos(slot))</w:t>
      </w:r>
      <w:r>
        <w:br/>
      </w:r>
      <w:r>
        <w:rPr>
          <w:rStyle w:val="NormalTok"/>
        </w:rPr>
        <w:t xml:space="preserve">        </w:t>
      </w:r>
      <w:r>
        <w:rPr>
          <w:rStyle w:val="ControlFlowTok"/>
        </w:rPr>
        <w:t xml:space="preserve">if</w:t>
      </w:r>
      <w:r>
        <w:rPr>
          <w:rStyle w:val="NormalTok"/>
        </w:rPr>
        <w:t xml:space="preserve"> offset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KeyError</w:t>
      </w:r>
      <w:r>
        <w:rPr>
          <w:rStyle w:val="NormalTok"/>
        </w:rPr>
        <w:t xml:space="preserve">(</w:t>
      </w:r>
      <w:r>
        <w:rPr>
          <w:rStyle w:val="SpecialStringTok"/>
        </w:rPr>
        <w:t xml:space="preserve">f"slot </w:t>
      </w:r>
      <w:r>
        <w:rPr>
          <w:rStyle w:val="SpecialCharTok"/>
        </w:rPr>
        <w:t xml:space="preserve">{</w:t>
      </w:r>
      <w:r>
        <w:rPr>
          <w:rStyle w:val="NormalTok"/>
        </w:rPr>
        <w:t xml:space="preserve">slot</w:t>
      </w:r>
      <w:r>
        <w:rPr>
          <w:rStyle w:val="SpecialCharTok"/>
        </w:rPr>
        <w:t xml:space="preserve">}</w:t>
      </w:r>
      <w:r>
        <w:rPr>
          <w:rStyle w:val="SpecialStringTok"/>
        </w:rPr>
        <w:t xml:space="preserve"> deleted"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bytes</w:t>
      </w:r>
      <w:r>
        <w:rPr>
          <w:rStyle w:val="NormalTok"/>
        </w:rPr>
        <w:t xml:space="preserve">(</w:t>
      </w:r>
      <w:r>
        <w:rPr>
          <w:rStyle w:val="VariableTok"/>
        </w:rPr>
        <w:t xml:space="preserve">self</w:t>
      </w:r>
      <w:r>
        <w:rPr>
          <w:rStyle w:val="NormalTok"/>
        </w:rPr>
        <w:t xml:space="preserve">.buf[offset:offset </w:t>
      </w:r>
      <w:r>
        <w:rPr>
          <w:rStyle w:val="OperatorTok"/>
        </w:rPr>
        <w:t xml:space="preserve">+</w:t>
      </w:r>
      <w:r>
        <w:rPr>
          <w:rStyle w:val="NormalTok"/>
        </w:rPr>
        <w:t xml:space="preserve"> length])</w:t>
      </w:r>
      <w:r>
        <w:br/>
      </w:r>
      <w:r>
        <w:br/>
      </w:r>
      <w:r>
        <w:rPr>
          <w:rStyle w:val="NormalTok"/>
        </w:rPr>
        <w:t xml:space="preserve">    </w:t>
      </w:r>
      <w:r>
        <w:rPr>
          <w:rStyle w:val="KeywordTok"/>
        </w:rPr>
        <w:t xml:space="preserve">def</w:t>
      </w:r>
      <w:r>
        <w:rPr>
          <w:rStyle w:val="NormalTok"/>
        </w:rPr>
        <w:t xml:space="preserve"> delete(</w:t>
      </w:r>
      <w:r>
        <w:rPr>
          <w:rStyle w:val="VariableTok"/>
        </w:rPr>
        <w:t xml:space="preserve">self</w:t>
      </w:r>
      <w:r>
        <w:rPr>
          <w:rStyle w:val="NormalTok"/>
        </w:rPr>
        <w:t xml:space="preserve">, slot: </w:t>
      </w:r>
      <w:r>
        <w:rPr>
          <w:rStyle w:val="BuiltInTok"/>
        </w:rPr>
        <w:t xml:space="preserve">int</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ExtensionTok"/>
        </w:rPr>
        <w:t xml:space="preserve">SLOT</w:t>
      </w:r>
      <w:r>
        <w:rPr>
          <w:rStyle w:val="NormalTok"/>
        </w:rPr>
        <w:t xml:space="preserve">.pack_into(</w:t>
      </w:r>
      <w:r>
        <w:rPr>
          <w:rStyle w:val="VariableTok"/>
        </w:rPr>
        <w:t xml:space="preserve">self</w:t>
      </w:r>
      <w:r>
        <w:rPr>
          <w:rStyle w:val="NormalTok"/>
        </w:rPr>
        <w:t xml:space="preserve">.buf, </w:t>
      </w:r>
      <w:r>
        <w:rPr>
          <w:rStyle w:val="VariableTok"/>
        </w:rPr>
        <w:t xml:space="preserve">self</w:t>
      </w:r>
      <w:r>
        <w:rPr>
          <w:rStyle w:val="NormalTok"/>
        </w:rPr>
        <w:t xml:space="preserve">._slot_pos(slot), </w:t>
      </w:r>
      <w:r>
        <w:rPr>
          <w:rStyle w:val="DecValTok"/>
        </w:rPr>
        <w:t xml:space="preserve">0</w:t>
      </w:r>
      <w:r>
        <w:rPr>
          <w:rStyle w:val="NormalTok"/>
        </w:rPr>
        <w:t xml:space="preserve">, </w:t>
      </w:r>
      <w:r>
        <w:rPr>
          <w:rStyle w:val="DecValTok"/>
        </w:rPr>
        <w:t xml:space="preserve">0</w:t>
      </w:r>
      <w:r>
        <w:rPr>
          <w:rStyle w:val="NormalTok"/>
        </w:rPr>
        <w:t xml:space="preserve">) </w:t>
      </w:r>
      <w:r>
        <w:rPr>
          <w:rStyle w:val="CommentTok"/>
        </w:rPr>
        <w:t xml:space="preserve"># leaves a hole until compact()</w:t>
      </w:r>
      <w:r>
        <w:br/>
      </w:r>
      <w:r>
        <w:br/>
      </w:r>
      <w:r>
        <w:rPr>
          <w:rStyle w:val="NormalTok"/>
        </w:rPr>
        <w:t xml:space="preserve">    </w:t>
      </w:r>
      <w:r>
        <w:rPr>
          <w:rStyle w:val="KeywordTok"/>
        </w:rPr>
        <w:t xml:space="preserve">def</w:t>
      </w:r>
      <w:r>
        <w:rPr>
          <w:rStyle w:val="NormalTok"/>
        </w:rPr>
        <w:t xml:space="preserve"> compact(</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"""Slide live records to the end of the page; slot numbers stay the same."""</w:t>
      </w:r>
      <w:r>
        <w:br/>
      </w:r>
      <w:r>
        <w:rPr>
          <w:rStyle w:val="NormalTok"/>
        </w:rPr>
        <w:t xml:space="preserve">        count, _ </w:t>
      </w:r>
      <w:r>
        <w:rPr>
          <w:rStyle w:val="OperatorTok"/>
        </w:rPr>
        <w:t xml:space="preserve">=</w:t>
      </w:r>
      <w:r>
        <w:rPr>
          <w:rStyle w:val="NormalTok"/>
        </w:rPr>
        <w:t xml:space="preserve"> </w:t>
      </w:r>
      <w:r>
        <w:rPr>
          <w:rStyle w:val="VariableTok"/>
        </w:rPr>
        <w:t xml:space="preserve">self</w:t>
      </w:r>
      <w:r>
        <w:rPr>
          <w:rStyle w:val="NormalTok"/>
        </w:rPr>
        <w:t xml:space="preserve">._header()</w:t>
      </w:r>
      <w:r>
        <w:br/>
      </w:r>
      <w:r>
        <w:rPr>
          <w:rStyle w:val="NormalTok"/>
        </w:rPr>
        <w:t xml:space="preserve">        live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BuiltInTok"/>
        </w:rPr>
        <w:t xml:space="preserve">range</w:t>
      </w:r>
      <w:r>
        <w:rPr>
          <w:rStyle w:val="NormalTok"/>
        </w:rPr>
        <w:t xml:space="preserve">(count):</w:t>
      </w:r>
      <w:r>
        <w:br/>
      </w:r>
      <w:r>
        <w:rPr>
          <w:rStyle w:val="NormalTok"/>
        </w:rPr>
        <w:t xml:space="preserve">            off, length </w:t>
      </w:r>
      <w:r>
        <w:rPr>
          <w:rStyle w:val="OperatorTok"/>
        </w:rPr>
        <w:t xml:space="preserve">=</w:t>
      </w:r>
      <w:r>
        <w:rPr>
          <w:rStyle w:val="NormalTok"/>
        </w:rPr>
        <w:t xml:space="preserve"> </w:t>
      </w:r>
      <w:r>
        <w:rPr>
          <w:rStyle w:val="ExtensionTok"/>
        </w:rPr>
        <w:t xml:space="preserve">SLOT</w:t>
      </w:r>
      <w:r>
        <w:rPr>
          <w:rStyle w:val="NormalTok"/>
        </w:rPr>
        <w:t xml:space="preserve">.unpack_from(</w:t>
      </w:r>
      <w:r>
        <w:rPr>
          <w:rStyle w:val="VariableTok"/>
        </w:rPr>
        <w:t xml:space="preserve">self</w:t>
      </w:r>
      <w:r>
        <w:rPr>
          <w:rStyle w:val="NormalTok"/>
        </w:rPr>
        <w:t xml:space="preserve">.buf, </w:t>
      </w:r>
      <w:r>
        <w:rPr>
          <w:rStyle w:val="VariableTok"/>
        </w:rPr>
        <w:t xml:space="preserve">self</w:t>
      </w:r>
      <w:r>
        <w:rPr>
          <w:rStyle w:val="NormalTok"/>
        </w:rPr>
        <w:t xml:space="preserve">._slot_pos(s))</w:t>
      </w:r>
      <w:r>
        <w:br/>
      </w:r>
      <w:r>
        <w:rPr>
          <w:rStyle w:val="NormalTok"/>
        </w:rPr>
        <w:t xml:space="preserve">            </w:t>
      </w:r>
      <w:r>
        <w:rPr>
          <w:rStyle w:val="ControlFlowTok"/>
        </w:rPr>
        <w:t xml:space="preserve">if</w:t>
      </w:r>
      <w:r>
        <w:rPr>
          <w:rStyle w:val="NormalTok"/>
        </w:rPr>
        <w:t xml:space="preserve"> off:</w:t>
      </w:r>
      <w:r>
        <w:br/>
      </w:r>
      <w:r>
        <w:rPr>
          <w:rStyle w:val="NormalTok"/>
        </w:rPr>
        <w:t xml:space="preserve">                live.append((s, </w:t>
      </w:r>
      <w:r>
        <w:rPr>
          <w:rStyle w:val="BuiltInTok"/>
        </w:rPr>
        <w:t xml:space="preserve">bytes</w:t>
      </w:r>
      <w:r>
        <w:rPr>
          <w:rStyle w:val="NormalTok"/>
        </w:rPr>
        <w:t xml:space="preserve">(</w:t>
      </w:r>
      <w:r>
        <w:rPr>
          <w:rStyle w:val="VariableTok"/>
        </w:rPr>
        <w:t xml:space="preserve">self</w:t>
      </w:r>
      <w:r>
        <w:rPr>
          <w:rStyle w:val="NormalTok"/>
        </w:rPr>
        <w:t xml:space="preserve">.buf[off:off </w:t>
      </w:r>
      <w:r>
        <w:rPr>
          <w:rStyle w:val="OperatorTok"/>
        </w:rPr>
        <w:t xml:space="preserve">+</w:t>
      </w:r>
      <w:r>
        <w:rPr>
          <w:rStyle w:val="NormalTok"/>
        </w:rPr>
        <w:t xml:space="preserve"> length])))</w:t>
      </w:r>
      <w:r>
        <w:br/>
      </w:r>
      <w:r>
        <w:rPr>
          <w:rStyle w:val="NormalTok"/>
        </w:rPr>
        <w:t xml:space="preserve">        free_end </w:t>
      </w:r>
      <w:r>
        <w:rPr>
          <w:rStyle w:val="OperatorTok"/>
        </w:rPr>
        <w:t xml:space="preserve">=</w:t>
      </w:r>
      <w:r>
        <w:rPr>
          <w:rStyle w:val="NormalTok"/>
        </w:rPr>
        <w:t xml:space="preserve"> PAGE_SIZE</w:t>
      </w:r>
      <w:r>
        <w:br/>
      </w:r>
      <w:r>
        <w:rPr>
          <w:rStyle w:val="NormalTok"/>
        </w:rPr>
        <w:t xml:space="preserve">        </w:t>
      </w:r>
      <w:r>
        <w:rPr>
          <w:rStyle w:val="ControlFlowTok"/>
        </w:rPr>
        <w:t xml:space="preserve">for</w:t>
      </w:r>
      <w:r>
        <w:rPr>
          <w:rStyle w:val="NormalTok"/>
        </w:rPr>
        <w:t xml:space="preserve"> s, rec </w:t>
      </w:r>
      <w:r>
        <w:rPr>
          <w:rStyle w:val="KeywordTok"/>
        </w:rPr>
        <w:t xml:space="preserve">in</w:t>
      </w:r>
      <w:r>
        <w:rPr>
          <w:rStyle w:val="NormalTok"/>
        </w:rPr>
        <w:t xml:space="preserve"> live:</w:t>
      </w:r>
      <w:r>
        <w:br/>
      </w:r>
      <w:r>
        <w:rPr>
          <w:rStyle w:val="NormalTok"/>
        </w:rPr>
        <w:t xml:space="preserve">            free_end </w:t>
      </w:r>
      <w:r>
        <w:rPr>
          <w:rStyle w:val="OperatorTok"/>
        </w:rPr>
        <w:t xml:space="preserve">-=</w:t>
      </w:r>
      <w:r>
        <w:rPr>
          <w:rStyle w:val="NormalTok"/>
        </w:rPr>
        <w:t xml:space="preserve"> </w:t>
      </w:r>
      <w:r>
        <w:rPr>
          <w:rStyle w:val="BuiltInTok"/>
        </w:rPr>
        <w:t xml:space="preserve">len</w:t>
      </w:r>
      <w:r>
        <w:rPr>
          <w:rStyle w:val="NormalTok"/>
        </w:rPr>
        <w:t xml:space="preserve">(rec)</w:t>
      </w:r>
      <w:r>
        <w:br/>
      </w:r>
      <w:r>
        <w:rPr>
          <w:rStyle w:val="NormalTok"/>
        </w:rPr>
        <w:t xml:space="preserve">            </w:t>
      </w:r>
      <w:r>
        <w:rPr>
          <w:rStyle w:val="VariableTok"/>
        </w:rPr>
        <w:t xml:space="preserve">self</w:t>
      </w:r>
      <w:r>
        <w:rPr>
          <w:rStyle w:val="NormalTok"/>
        </w:rPr>
        <w:t xml:space="preserve">.buf[free_end:free_end </w:t>
      </w:r>
      <w:r>
        <w:rPr>
          <w:rStyle w:val="OperatorTok"/>
        </w:rPr>
        <w:t xml:space="preserve">+</w:t>
      </w:r>
      <w:r>
        <w:rPr>
          <w:rStyle w:val="NormalTok"/>
        </w:rPr>
        <w:t xml:space="preserve"> </w:t>
      </w:r>
      <w:r>
        <w:rPr>
          <w:rStyle w:val="BuiltInTok"/>
        </w:rPr>
        <w:t xml:space="preserve">len</w:t>
      </w:r>
      <w:r>
        <w:rPr>
          <w:rStyle w:val="NormalTok"/>
        </w:rPr>
        <w:t xml:space="preserve">(rec)] </w:t>
      </w:r>
      <w:r>
        <w:rPr>
          <w:rStyle w:val="OperatorTok"/>
        </w:rPr>
        <w:t xml:space="preserve">=</w:t>
      </w:r>
      <w:r>
        <w:rPr>
          <w:rStyle w:val="NormalTok"/>
        </w:rPr>
        <w:t xml:space="preserve"> rec</w:t>
      </w:r>
      <w:r>
        <w:br/>
      </w:r>
      <w:r>
        <w:rPr>
          <w:rStyle w:val="NormalTok"/>
        </w:rPr>
        <w:t xml:space="preserve">            </w:t>
      </w:r>
      <w:r>
        <w:rPr>
          <w:rStyle w:val="ExtensionTok"/>
        </w:rPr>
        <w:t xml:space="preserve">SLOT</w:t>
      </w:r>
      <w:r>
        <w:rPr>
          <w:rStyle w:val="NormalTok"/>
        </w:rPr>
        <w:t xml:space="preserve">.pack_into(</w:t>
      </w:r>
      <w:r>
        <w:rPr>
          <w:rStyle w:val="VariableTok"/>
        </w:rPr>
        <w:t xml:space="preserve">self</w:t>
      </w:r>
      <w:r>
        <w:rPr>
          <w:rStyle w:val="NormalTok"/>
        </w:rPr>
        <w:t xml:space="preserve">.buf, </w:t>
      </w:r>
      <w:r>
        <w:rPr>
          <w:rStyle w:val="VariableTok"/>
        </w:rPr>
        <w:t xml:space="preserve">self</w:t>
      </w:r>
      <w:r>
        <w:rPr>
          <w:rStyle w:val="NormalTok"/>
        </w:rPr>
        <w:t xml:space="preserve">._slot_pos(s), free_end, </w:t>
      </w:r>
      <w:r>
        <w:rPr>
          <w:rStyle w:val="BuiltInTok"/>
        </w:rPr>
        <w:t xml:space="preserve">len</w:t>
      </w:r>
      <w:r>
        <w:rPr>
          <w:rStyle w:val="NormalTok"/>
        </w:rPr>
        <w:t xml:space="preserve">(rec))</w:t>
      </w:r>
      <w:r>
        <w:br/>
      </w:r>
      <w:r>
        <w:rPr>
          <w:rStyle w:val="NormalTok"/>
        </w:rPr>
        <w:t xml:space="preserve">        HEADER.pack_into(</w:t>
      </w:r>
      <w:r>
        <w:rPr>
          <w:rStyle w:val="VariableTok"/>
        </w:rPr>
        <w:t xml:space="preserve">self</w:t>
      </w:r>
      <w:r>
        <w:rPr>
          <w:rStyle w:val="NormalTok"/>
        </w:rPr>
        <w:t xml:space="preserve">.buf, </w:t>
      </w:r>
      <w:r>
        <w:rPr>
          <w:rStyle w:val="DecValTok"/>
        </w:rPr>
        <w:t xml:space="preserve">0</w:t>
      </w:r>
      <w:r>
        <w:rPr>
          <w:rStyle w:val="NormalTok"/>
        </w:rPr>
        <w:t xml:space="preserve">, count, free_end)</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page </w:t>
      </w:r>
      <w:r>
        <w:rPr>
          <w:rStyle w:val="OperatorTok"/>
        </w:rPr>
        <w:t xml:space="preserve">=</w:t>
      </w:r>
      <w:r>
        <w:rPr>
          <w:rStyle w:val="NormalTok"/>
        </w:rPr>
        <w:t xml:space="preserve"> SlottedPage()</w:t>
      </w:r>
      <w:r>
        <w:br/>
      </w:r>
      <w:r>
        <w:rPr>
          <w:rStyle w:val="NormalTok"/>
        </w:rPr>
        <w:t xml:space="preserve">    ids </w:t>
      </w:r>
      <w:r>
        <w:rPr>
          <w:rStyle w:val="OperatorTok"/>
        </w:rPr>
        <w:t xml:space="preserve">=</w:t>
      </w:r>
      <w:r>
        <w:rPr>
          <w:rStyle w:val="NormalTok"/>
        </w:rPr>
        <w:t xml:space="preserve"> [page.insert(</w:t>
      </w:r>
      <w:r>
        <w:rPr>
          <w:rStyle w:val="StringTok"/>
        </w:rPr>
        <w:t xml:space="preserve">b"row-%03d:"</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w:t>
      </w:r>
      <w:r>
        <w:rPr>
          <w:rStyle w:val="StringTok"/>
        </w:rPr>
        <w:t xml:space="preserve">b"x"</w:t>
      </w:r>
      <w:r>
        <w:rPr>
          <w:rStyle w:val="NormalTok"/>
        </w:rPr>
        <w:t xml:space="preserve"> </w:t>
      </w:r>
      <w:r>
        <w:rPr>
          <w:rStyle w:val="OperatorTok"/>
        </w:rPr>
        <w:t xml:space="preserve">*</w:t>
      </w:r>
      <w:r>
        <w:rPr>
          <w:rStyle w:val="NormalTok"/>
        </w:rPr>
        <w:t xml:space="preserve"> </w:t>
      </w:r>
      <w:r>
        <w:rPr>
          <w:rStyle w:val="DecValTok"/>
        </w:rPr>
        <w:t xml:space="preserve">90</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39</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"inserted"</w:t>
      </w:r>
      <w:r>
        <w:rPr>
          <w:rStyle w:val="NormalTok"/>
        </w:rPr>
        <w:t xml:space="preserve">, </w:t>
      </w:r>
      <w:r>
        <w:rPr>
          <w:rStyle w:val="BuiltInTok"/>
        </w:rPr>
        <w:t xml:space="preserve">len</w:t>
      </w:r>
      <w:r>
        <w:rPr>
          <w:rStyle w:val="NormalTok"/>
        </w:rPr>
        <w:t xml:space="preserve">(ids), </w:t>
      </w:r>
      <w:r>
        <w:rPr>
          <w:rStyle w:val="StringTok"/>
        </w:rPr>
        <w:t xml:space="preserve">"records; free bytes:"</w:t>
      </w:r>
      <w:r>
        <w:rPr>
          <w:rStyle w:val="NormalTok"/>
        </w:rPr>
        <w:t xml:space="preserve">, page.free_space())</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ids[::</w:t>
      </w:r>
      <w:r>
        <w:rPr>
          <w:rStyle w:val="DecValTok"/>
        </w:rPr>
        <w:t xml:space="preserve">2</w:t>
      </w:r>
      <w:r>
        <w:rPr>
          <w:rStyle w:val="NormalTok"/>
        </w:rPr>
        <w:t xml:space="preserve">]:</w:t>
      </w:r>
      <w:r>
        <w:br/>
      </w:r>
      <w:r>
        <w:rPr>
          <w:rStyle w:val="NormalTok"/>
        </w:rPr>
        <w:t xml:space="preserve">        page.delete(s)                                       </w:t>
      </w:r>
      <w:r>
        <w:rPr>
          <w:rStyle w:val="CommentTok"/>
        </w:rPr>
        <w:t xml:space="preserve"># punch 20 holes</w:t>
      </w:r>
      <w:r>
        <w:br/>
      </w:r>
      <w:r>
        <w:rPr>
          <w:rStyle w:val="NormalTok"/>
        </w:rPr>
        <w:t xml:space="preserve">    </w:t>
      </w:r>
      <w:r>
        <w:rPr>
          <w:rStyle w:val="BuiltInTok"/>
        </w:rPr>
        <w:t xml:space="preserve">print</w:t>
      </w:r>
      <w:r>
        <w:rPr>
          <w:rStyle w:val="NormalTok"/>
        </w:rPr>
        <w:t xml:space="preserve">(</w:t>
      </w:r>
      <w:r>
        <w:rPr>
          <w:rStyle w:val="StringTok"/>
        </w:rPr>
        <w:t xml:space="preserve">"after deleting 20, free bytes before compaction:"</w:t>
      </w:r>
      <w:r>
        <w:rPr>
          <w:rStyle w:val="NormalTok"/>
        </w:rPr>
        <w:t xml:space="preserve">, page.free_space())</w:t>
      </w:r>
      <w:r>
        <w:br/>
      </w:r>
      <w:r>
        <w:rPr>
          <w:rStyle w:val="NormalTok"/>
        </w:rPr>
        <w:t xml:space="preserve">    new </w:t>
      </w:r>
      <w:r>
        <w:rPr>
          <w:rStyle w:val="OperatorTok"/>
        </w:rPr>
        <w:t xml:space="preserve">=</w:t>
      </w:r>
      <w:r>
        <w:rPr>
          <w:rStyle w:val="NormalTok"/>
        </w:rPr>
        <w:t xml:space="preserve"> page.insert(</w:t>
      </w:r>
      <w:r>
        <w:rPr>
          <w:rStyle w:val="StringTok"/>
        </w:rPr>
        <w:t xml:space="preserve">b"a-larger-record:"</w:t>
      </w:r>
      <w:r>
        <w:rPr>
          <w:rStyle w:val="NormalTok"/>
        </w:rPr>
        <w:t xml:space="preserve"> </w:t>
      </w:r>
      <w:r>
        <w:rPr>
          <w:rStyle w:val="OperatorTok"/>
        </w:rPr>
        <w:t xml:space="preserve">+</w:t>
      </w:r>
      <w:r>
        <w:rPr>
          <w:rStyle w:val="NormalTok"/>
        </w:rPr>
        <w:t xml:space="preserve"> </w:t>
      </w:r>
      <w:r>
        <w:rPr>
          <w:rStyle w:val="StringTok"/>
        </w:rPr>
        <w:t xml:space="preserve">b"y"</w:t>
      </w:r>
      <w:r>
        <w:rPr>
          <w:rStyle w:val="NormalTok"/>
        </w:rPr>
        <w:t xml:space="preserve"> </w:t>
      </w:r>
      <w:r>
        <w:rPr>
          <w:rStyle w:val="OperatorTok"/>
        </w:rPr>
        <w:t xml:space="preserve">*</w:t>
      </w:r>
      <w:r>
        <w:rPr>
          <w:rStyle w:val="NormalTok"/>
        </w:rPr>
        <w:t xml:space="preserve"> </w:t>
      </w:r>
      <w:r>
        <w:rPr>
          <w:rStyle w:val="DecValTok"/>
        </w:rPr>
        <w:t xml:space="preserve">400</w:t>
      </w:r>
      <w:r>
        <w:rPr>
          <w:rStyle w:val="NormalTok"/>
        </w:rPr>
        <w:t xml:space="preserve">)      </w:t>
      </w:r>
      <w:r>
        <w:rPr>
          <w:rStyle w:val="CommentTok"/>
        </w:rPr>
        <w:t xml:space="preserve"># forces compaction</w:t>
      </w:r>
      <w:r>
        <w:br/>
      </w:r>
      <w:r>
        <w:rPr>
          <w:rStyle w:val="NormalTok"/>
        </w:rPr>
        <w:t xml:space="preserve">    </w:t>
      </w:r>
      <w:r>
        <w:rPr>
          <w:rStyle w:val="BuiltInTok"/>
        </w:rPr>
        <w:t xml:space="preserve">print</w:t>
      </w:r>
      <w:r>
        <w:rPr>
          <w:rStyle w:val="NormalTok"/>
        </w:rPr>
        <w:t xml:space="preserve">(</w:t>
      </w:r>
      <w:r>
        <w:rPr>
          <w:rStyle w:val="StringTok"/>
        </w:rPr>
        <w:t xml:space="preserve">"new record got slot"</w:t>
      </w:r>
      <w:r>
        <w:rPr>
          <w:rStyle w:val="NormalTok"/>
        </w:rPr>
        <w:t xml:space="preserve">, new, </w:t>
      </w:r>
      <w:r>
        <w:rPr>
          <w:rStyle w:val="StringTok"/>
        </w:rPr>
        <w:t xml:space="preserve">"; slot 1 still reads"</w:t>
      </w:r>
      <w:r>
        <w:rPr>
          <w:rStyle w:val="NormalTok"/>
        </w:rPr>
        <w:t xml:space="preserve">, page.get(</w:t>
      </w:r>
      <w:r>
        <w:rPr>
          <w:rStyle w:val="DecValTok"/>
        </w:rPr>
        <w:t xml:space="preserve">1</w:t>
      </w:r>
      <w:r>
        <w:rPr>
          <w:rStyle w:val="NormalTok"/>
        </w:rPr>
        <w:t xml:space="preserve">)[:</w:t>
      </w:r>
      <w:r>
        <w:rPr>
          <w:rStyle w:val="DecValTok"/>
        </w:rPr>
        <w:t xml:space="preserve">8</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"free bytes now:"</w:t>
      </w:r>
      <w:r>
        <w:rPr>
          <w:rStyle w:val="NormalTok"/>
        </w:rPr>
        <w:t xml:space="preserve">, page.free_space())</w:t>
      </w:r>
    </w:p>
    <w:p>
      <w:pPr>
        <w:pStyle w:val="FirstParagraph"/>
      </w:pPr>
      <w:r>
        <w:t xml:space="preserve">Output:</w:t>
      </w:r>
    </w:p>
    <w:p>
      <w:pPr>
        <w:pStyle w:val="SourceCode"/>
      </w:pPr>
      <w:r>
        <w:rPr>
          <w:rStyle w:val="VerbatimChar"/>
        </w:rPr>
        <w:t xml:space="preserve">inserted 39 records; free bytes: 114</w:t>
      </w:r>
      <w:r>
        <w:br/>
      </w:r>
      <w:r>
        <w:rPr>
          <w:rStyle w:val="VerbatimChar"/>
        </w:rPr>
        <w:t xml:space="preserve">after deleting 20, free bytes before compaction: 114</w:t>
      </w:r>
      <w:r>
        <w:br/>
      </w:r>
      <w:r>
        <w:rPr>
          <w:rStyle w:val="VerbatimChar"/>
        </w:rPr>
        <w:t xml:space="preserve">new record got slot 39 ; slot 1 still reads b'row-001:'</w:t>
      </w:r>
      <w:r>
        <w:br/>
      </w:r>
      <w:r>
        <w:rPr>
          <w:rStyle w:val="VerbatimChar"/>
        </w:rPr>
        <w:t xml:space="preserve">free bytes now: 1654</w:t>
      </w:r>
    </w:p>
    <w:p>
      <w:pPr>
        <w:pStyle w:val="FirstParagraph"/>
      </w:pPr>
      <w:r>
        <w:t xml:space="preserve">What to notice:</w:t>
      </w:r>
    </w:p>
    <w:p>
      <w:pPr>
        <w:numPr>
          <w:ilvl w:val="0"/>
          <w:numId w:val="1438"/>
        </w:numPr>
        <w:pStyle w:val="Compact"/>
      </w:pPr>
      <w:r>
        <w:t xml:space="preserve">39 records of 98 bytes plus 4-byte slots fill</w:t>
      </w:r>
      <w:r>
        <w:t xml:space="preserve"> </w:t>
      </w:r>
      <m:oMath>
        <m:r>
          <m:t>4</m:t>
        </m:r>
        <m:r>
          <m:rPr>
            <m:sty m:val="p"/>
          </m:rPr>
          <m:t>+</m:t>
        </m:r>
        <m:r>
          <m:t>39</m:t>
        </m:r>
        <m:r>
          <m:rPr>
            <m:sty m:val="p"/>
          </m:rPr>
          <m:t>×</m:t>
        </m:r>
        <m:r>
          <m:t>102</m:t>
        </m:r>
        <m:r>
          <m:rPr>
            <m:sty m:val="p"/>
          </m:rPr>
          <m:t>=</m:t>
        </m:r>
        <m:r>
          <m:t>3982</m:t>
        </m:r>
      </m:oMath>
      <w:r>
        <w:t xml:space="preserve"> </w:t>
      </w:r>
      <w:r>
        <w:t xml:space="preserve">of 4096 bytes, leaving 114 — the formula with</w:t>
      </w:r>
      <w:r>
        <w:t xml:space="preserve"> </w:t>
      </w:r>
      <m:oMath>
        <m:r>
          <m:t>H</m:t>
        </m:r>
        <m:r>
          <m:rPr>
            <m:sty m:val="p"/>
          </m:rPr>
          <m:t>=</m:t>
        </m:r>
        <m:r>
          <m:t>4</m:t>
        </m:r>
      </m:oMath>
      <w:r>
        <w:t xml:space="preserve">,</w:t>
      </w:r>
      <w:r>
        <w:t xml:space="preserve"> </w:t>
      </w:r>
      <m:oMath>
        <m:r>
          <m:t>r</m:t>
        </m:r>
        <m:r>
          <m:rPr>
            <m:sty m:val="p"/>
          </m:rPr>
          <m:t>=</m:t>
        </m:r>
        <m:r>
          <m:t>98</m:t>
        </m:r>
      </m:oMath>
      <w:r>
        <w:t xml:space="preserve">,</w:t>
      </w:r>
      <w:r>
        <w:t xml:space="preserve"> </w:t>
      </w:r>
      <m:oMath>
        <m:r>
          <m:t>s</m:t>
        </m:r>
        <m:r>
          <m:rPr>
            <m:sty m:val="p"/>
          </m:rPr>
          <m:t>=</m:t>
        </m:r>
        <m:r>
          <m:t>4</m:t>
        </m:r>
      </m:oMath>
      <w:r>
        <w:t xml:space="preserve">.</w:t>
      </w:r>
    </w:p>
    <w:p>
      <w:pPr>
        <w:numPr>
          <w:ilvl w:val="0"/>
          <w:numId w:val="1438"/>
        </w:numPr>
        <w:pStyle w:val="Compact"/>
      </w:pPr>
      <w:r>
        <w:t xml:space="preserve">Deleting does not raise</w:t>
      </w:r>
      <w:r>
        <w:t xml:space="preserve"> </w:t>
      </w:r>
      <w:r>
        <w:rPr>
          <w:rStyle w:val="VerbatimChar"/>
        </w:rPr>
        <w:t xml:space="preserve">free_space()</w:t>
      </w:r>
      <w:r>
        <w:t xml:space="preserve">: holes are unusable until</w:t>
      </w:r>
      <w:r>
        <w:t xml:space="preserve"> </w:t>
      </w:r>
      <w:r>
        <w:rPr>
          <w:rStyle w:val="VerbatimChar"/>
        </w:rPr>
        <w:t xml:space="preserve">compact()</w:t>
      </w:r>
      <w:r>
        <w:t xml:space="preserve"> </w:t>
      </w:r>
      <w:r>
        <w:t xml:space="preserve">runs (PostgreSQL compacts during page pruning and</w:t>
      </w:r>
      <w:r>
        <w:t xml:space="preserve"> </w:t>
      </w:r>
      <w:r>
        <w:rPr>
          <w:rStyle w:val="VerbatimChar"/>
        </w:rPr>
        <w:t xml:space="preserve">VACUUM</w:t>
      </w:r>
      <w:r>
        <w:t xml:space="preserve">).</w:t>
      </w:r>
    </w:p>
    <w:p>
      <w:pPr>
        <w:numPr>
          <w:ilvl w:val="0"/>
          <w:numId w:val="1438"/>
        </w:numPr>
        <w:pStyle w:val="Compact"/>
      </w:pPr>
      <w:r>
        <w:t xml:space="preserve">After compaction slot 1 returns the same record from a different offset; that stability lets indexes store</w:t>
      </w:r>
      <w:r>
        <w:t xml:space="preserve"> </w:t>
      </w:r>
      <w:r>
        <w:rPr>
          <w:rStyle w:val="VerbatimChar"/>
        </w:rPr>
        <w:t xml:space="preserve">(page, slot)</w:t>
      </w:r>
      <w:r>
        <w:t xml:space="preserve">.</w:t>
      </w:r>
    </w:p>
    <w:bookmarkEnd w:id="1442"/>
    <w:bookmarkStart w:id="1443" w:name="alternatives-and-trade-offs-6"/>
    <w:p>
      <w:pPr>
        <w:pStyle w:val="Heading4"/>
      </w:pPr>
      <w:r>
        <w:t xml:space="preserve">Alternatives and trade-offs</w:t>
      </w:r>
    </w:p>
    <w:p>
      <w:pPr>
        <w:pStyle w:val="FirstParagraph"/>
      </w:pPr>
      <w:r>
        <w:t xml:space="preserve">Fixed-length records need no slots (record</w:t>
      </w:r>
      <w:r>
        <w:t xml:space="preserve"> </w:t>
      </w:r>
      <w:r>
        <w:rPr>
          <w:iCs/>
          <w:i/>
        </w:rPr>
        <w:t xml:space="preserve">i</w:t>
      </w:r>
      <w:r>
        <w:t xml:space="preserve"> </w:t>
      </w:r>
      <w:r>
        <w:t xml:space="preserve">sits at offset</w:t>
      </w:r>
      <w:r>
        <w:t xml:space="preserve"> </w:t>
      </w:r>
      <m:oMath>
        <m:r>
          <m:t>H</m:t>
        </m:r>
        <m:r>
          <m:rPr>
            <m:sty m:val="p"/>
          </m:rPr>
          <m:t>+</m:t>
        </m:r>
        <m:r>
          <m:t>i</m:t>
        </m:r>
        <m:r>
          <m:rPr>
            <m:sty m:val="p"/>
          </m:rPr>
          <m:t>×</m:t>
        </m:r>
        <m:r>
          <m:t>r</m:t>
        </m:r>
      </m:oMath>
      <w:r>
        <w:t xml:space="preserve">). Clustered tables such as InnoDB’s keep rows inside B-tree leaves, with slots in key order for binary search (§13.14.1). Values too large for a page move out of line (PostgreSQL TOAST above roughly 2 KB; InnoDB overflow pages).</w:t>
      </w:r>
    </w:p>
    <w:p>
      <w:pPr>
        <w:pStyle w:val="CalloutMistake"/>
      </w:pPr>
      <w:r>
        <w:rPr>
          <w:bCs/>
          <w:b/>
        </w:rPr>
        <w:t xml:space="preserve">COMMON MISTAKE</w:t>
      </w:r>
    </w:p>
    <w:p>
      <w:pPr>
        <w:pStyle w:val="CalloutMistake"/>
      </w:pPr>
      <w:r>
        <w:rPr>
          <w:bCs/>
          <w:b/>
        </w:rPr>
        <w:t xml:space="preserve">“</w:t>
      </w:r>
      <w:r>
        <w:rPr>
          <w:bCs/>
          <w:b/>
        </w:rPr>
        <w:t xml:space="preserve">A row is the unit of I/O.</w:t>
      </w:r>
      <w:r>
        <w:rPr>
          <w:bCs/>
          <w:b/>
        </w:rPr>
        <w:t xml:space="preserve">”</w:t>
      </w:r>
      <w:r>
        <w:t xml:space="preserve"> </w:t>
      </w:r>
      <w:r>
        <w:t xml:space="preserve">It never is. Updating one 50-byte field dirties a whole 8 or 16 KiB page, which is eventually written in full and, after a checkpoint, may also be copied into the log (§13.12). Reasoning in rows is the commonest cause of underestimated write volume.</w:t>
      </w:r>
    </w:p>
    <w:bookmarkEnd w:id="1443"/>
    <w:bookmarkEnd w:id="1444"/>
    <w:bookmarkEnd w:id="1445"/>
    <w:bookmarkStart w:id="1458" w:name="buffer-pools"/>
    <w:p>
      <w:pPr>
        <w:pStyle w:val="Heading2"/>
      </w:pPr>
      <w:r>
        <w:t xml:space="preserve">13.4 Buffer pools</w:t>
      </w:r>
    </w:p>
    <w:bookmarkStart w:id="1453" w:name="what-a-buffer-pool-does"/>
    <w:p>
      <w:pPr>
        <w:pStyle w:val="Heading3"/>
      </w:pPr>
      <w:r>
        <w:t xml:space="preserve">13.4.1 What a buffer pool does</w:t>
      </w:r>
    </w:p>
    <w:p>
      <w:pPr>
        <w:pStyle w:val="CalloutDefinition"/>
      </w:pPr>
      <w:r>
        <w:rPr>
          <w:bCs/>
          <w:b/>
        </w:rPr>
        <w:t xml:space="preserve">DEFINITION</w:t>
      </w:r>
    </w:p>
    <w:p>
      <w:pPr>
        <w:pStyle w:val="CalloutDefinition"/>
      </w:pPr>
      <w:r>
        <w:rPr>
          <w:bCs/>
          <w:b/>
        </w:rPr>
        <w:t xml:space="preserve">Definition — Buffer pool.</w:t>
      </w:r>
      <w:r>
        <w:t xml:space="preserve"> </w:t>
      </w:r>
      <w:r>
        <w:t xml:space="preserve">A region of memory, managed by the database itself, divided into page-sized</w:t>
      </w:r>
      <w:r>
        <w:t xml:space="preserve"> </w:t>
      </w:r>
      <w:r>
        <w:rPr>
          <w:bCs/>
          <w:b/>
        </w:rPr>
        <w:t xml:space="preserve">frames</w:t>
      </w:r>
      <w:r>
        <w:t xml:space="preserve"> </w:t>
      </w:r>
      <w:r>
        <w:t xml:space="preserve">that cache disk pages. A</w:t>
      </w:r>
      <w:r>
        <w:t xml:space="preserve"> </w:t>
      </w:r>
      <w:r>
        <w:rPr>
          <w:bCs/>
          <w:b/>
        </w:rPr>
        <w:t xml:space="preserve">page table</w:t>
      </w:r>
      <w:r>
        <w:t xml:space="preserve"> </w:t>
      </w:r>
      <w:r>
        <w:t xml:space="preserve">maps page IDs to frames; each frame carries a</w:t>
      </w:r>
      <w:r>
        <w:t xml:space="preserve"> </w:t>
      </w:r>
      <w:r>
        <w:rPr>
          <w:bCs/>
          <w:b/>
        </w:rPr>
        <w:t xml:space="preserve">pin count</w:t>
      </w:r>
      <w:r>
        <w:t xml:space="preserve"> </w:t>
      </w:r>
      <w:r>
        <w:t xml:space="preserve">(how many threads are using it right now), a</w:t>
      </w:r>
      <w:r>
        <w:t xml:space="preserve"> </w:t>
      </w:r>
      <w:r>
        <w:rPr>
          <w:bCs/>
          <w:b/>
        </w:rPr>
        <w:t xml:space="preserve">dirty flag</w:t>
      </w:r>
      <w:r>
        <w:t xml:space="preserve"> </w:t>
      </w:r>
      <w:r>
        <w:t xml:space="preserve">(whether it differs from the disk copy) and bookkeeping for the</w:t>
      </w:r>
      <w:r>
        <w:t xml:space="preserve"> </w:t>
      </w:r>
      <w:r>
        <w:rPr>
          <w:bCs/>
          <w:b/>
        </w:rPr>
        <w:t xml:space="preserve">replacement policy</w:t>
      </w:r>
      <w:r>
        <w:t xml:space="preserve"> </w:t>
      </w:r>
      <w:r>
        <w:t xml:space="preserve">that chooses which page to evict.</w:t>
      </w:r>
    </w:p>
    <w:bookmarkStart w:id="1446" w:name="first-principles-explanation-80"/>
    <w:p>
      <w:pPr>
        <w:pStyle w:val="Heading4"/>
      </w:pPr>
      <w:r>
        <w:t xml:space="preserve">First-principles explanation</w:t>
      </w:r>
    </w:p>
    <w:p>
      <w:pPr>
        <w:pStyle w:val="FirstParagraph"/>
      </w:pPr>
      <w:r>
        <w:t xml:space="preserve">Think of a workbench with 1,000 trays beside a warehouse of a billion boxes. You fetch a box into a free tray and note its number on a whiteboard (the page table). While using it you clip the tray (a</w:t>
      </w:r>
      <w:r>
        <w:t xml:space="preserve"> </w:t>
      </w:r>
      <w:r>
        <w:rPr>
          <w:bCs/>
          <w:b/>
        </w:rPr>
        <w:t xml:space="preserve">pin</w:t>
      </w:r>
      <w:r>
        <w:t xml:space="preserve">) so nobody swaps it out; if you change its contents you add a red dot (</w:t>
      </w:r>
      <w:r>
        <w:rPr>
          <w:bCs/>
          <w:b/>
        </w:rPr>
        <w:t xml:space="preserve">dirty</w:t>
      </w:r>
      <w:r>
        <w:t xml:space="preserve">), meaning it must be shelved before the tray is reused. When the trays are full, you pick an unclipped tray not needed for a while (the</w:t>
      </w:r>
      <w:r>
        <w:t xml:space="preserve"> </w:t>
      </w:r>
      <w:r>
        <w:rPr>
          <w:bCs/>
          <w:b/>
        </w:rPr>
        <w:t xml:space="preserve">replacement policy</w:t>
      </w:r>
      <w:r>
        <w:t xml:space="preserve">).</w:t>
      </w:r>
    </w:p>
    <w:bookmarkEnd w:id="1446"/>
    <w:bookmarkStart w:id="1447" w:name="why-does-this-exist-47"/>
    <w:p>
      <w:pPr>
        <w:pStyle w:val="Heading4"/>
      </w:pPr>
      <w:r>
        <w:t xml:space="preserve">Why does this exist?</w:t>
      </w:r>
    </w:p>
    <w:p>
      <w:pPr>
        <w:pStyle w:val="FirstParagraph"/>
      </w:pPr>
      <w:r>
        <w:t xml:space="preserve">RAM is about 1,000 times faster than NVMe for a random access (~100 ns versus ~80 µs, §5.6.5), and most databases’ working sets are far smaller than the data. The database could leave caching to the kernel’s page cache (§6.6.6), but it knows what the kernel does not: which pages are index roots and which belong to a one-off scan, and which dirty pages must not be written before their log records (§13.5).</w:t>
      </w:r>
    </w:p>
    <w:bookmarkEnd w:id="1447"/>
    <w:bookmarkStart w:id="1448" w:name="how-it-works-internally-50"/>
    <w:p>
      <w:pPr>
        <w:pStyle w:val="Heading4"/>
      </w:pPr>
      <w:r>
        <w:t xml:space="preserve">How it works internally</w:t>
      </w:r>
    </w:p>
    <w:p>
      <w:pPr>
        <w:pStyle w:val="FirstParagraph"/>
      </w:pPr>
      <w:r>
        <w:t xml:space="preserve">A thread that needs page 42 calls</w:t>
      </w:r>
      <w:r>
        <w:t xml:space="preserve"> </w:t>
      </w:r>
      <w:r>
        <w:rPr>
          <w:rStyle w:val="VerbatimChar"/>
        </w:rPr>
        <w:t xml:space="preserve">fetch(42)</w:t>
      </w:r>
      <w:r>
        <w:t xml:space="preserve">:</w:t>
      </w:r>
    </w:p>
    <w:p>
      <w:pPr>
        <w:numPr>
          <w:ilvl w:val="0"/>
          <w:numId w:val="1439"/>
        </w:numPr>
        <w:pStyle w:val="Compact"/>
      </w:pPr>
      <w:r>
        <w:rPr>
          <w:bCs/>
          <w:b/>
        </w:rPr>
        <w:t xml:space="preserve">Look up</w:t>
      </w:r>
      <w:r>
        <w:t xml:space="preserve"> </w:t>
      </w:r>
      <w:r>
        <w:t xml:space="preserve">42 in the page table (a latched hash table). On a</w:t>
      </w:r>
      <w:r>
        <w:t xml:space="preserve"> </w:t>
      </w:r>
      <w:r>
        <w:rPr>
          <w:bCs/>
          <w:b/>
        </w:rPr>
        <w:t xml:space="preserve">hit</w:t>
      </w:r>
      <w:r>
        <w:t xml:space="preserve">, increment the pin count, note the access for the replacer, return the frame.</w:t>
      </w:r>
    </w:p>
    <w:p>
      <w:pPr>
        <w:numPr>
          <w:ilvl w:val="0"/>
          <w:numId w:val="1439"/>
        </w:numPr>
        <w:pStyle w:val="Compact"/>
      </w:pPr>
      <w:r>
        <w:t xml:space="preserve">On a</w:t>
      </w:r>
      <w:r>
        <w:t xml:space="preserve"> </w:t>
      </w:r>
      <w:r>
        <w:rPr>
          <w:bCs/>
          <w:b/>
        </w:rPr>
        <w:t xml:space="preserve">miss</w:t>
      </w:r>
      <w:r>
        <w:t xml:space="preserve">, take a frame from the free list or ask the</w:t>
      </w:r>
      <w:r>
        <w:t xml:space="preserve"> </w:t>
      </w:r>
      <w:r>
        <w:rPr>
          <w:bCs/>
          <w:b/>
        </w:rPr>
        <w:t xml:space="preserve">replacer</w:t>
      </w:r>
      <w:r>
        <w:t xml:space="preserve"> </w:t>
      </w:r>
      <w:r>
        <w:t xml:space="preserve">for a victim with pin count 0.</w:t>
      </w:r>
    </w:p>
    <w:p>
      <w:pPr>
        <w:numPr>
          <w:ilvl w:val="0"/>
          <w:numId w:val="1439"/>
        </w:numPr>
        <w:pStyle w:val="Compact"/>
      </w:pPr>
      <w:r>
        <w:t xml:space="preserve">If the victim is dirty, ensure the log is durable up to its page LSN (the</w:t>
      </w:r>
      <w:r>
        <w:t xml:space="preserve"> </w:t>
      </w:r>
      <w:r>
        <w:rPr>
          <w:bCs/>
          <w:b/>
        </w:rPr>
        <w:t xml:space="preserve">WAL rule</w:t>
      </w:r>
      <w:r>
        <w:t xml:space="preserve">, §13.5.1), then write it.</w:t>
      </w:r>
    </w:p>
    <w:p>
      <w:pPr>
        <w:numPr>
          <w:ilvl w:val="0"/>
          <w:numId w:val="1439"/>
        </w:numPr>
        <w:pStyle w:val="Compact"/>
      </w:pPr>
      <w:r>
        <w:t xml:space="preserve">Read page 42 into the frame, verify its checksum (§13.12), update the page table, pin and return it.</w:t>
      </w:r>
    </w:p>
    <w:p>
      <w:pPr>
        <w:numPr>
          <w:ilvl w:val="0"/>
          <w:numId w:val="1439"/>
        </w:numPr>
        <w:pStyle w:val="Compact"/>
      </w:pPr>
      <w:r>
        <w:t xml:space="preserve">The caller later calls</w:t>
      </w:r>
      <w:r>
        <w:t xml:space="preserve"> </w:t>
      </w:r>
      <w:r>
        <w:rPr>
          <w:rStyle w:val="VerbatimChar"/>
        </w:rPr>
        <w:t xml:space="preserve">unpin(42, dirty)</w:t>
      </w:r>
      <w:r>
        <w:t xml:space="preserve">. Pinned pages are never evicted, so a leaked pin slowly shrinks the pool.</w:t>
      </w:r>
    </w:p>
    <w:p>
      <w:pPr>
        <w:pStyle w:val="FirstParagraph"/>
      </w:pPr>
      <w:r>
        <w:rPr>
          <w:bCs/>
          <w:b/>
        </w:rPr>
        <w:t xml:space="preserve">Background writers</w:t>
      </w:r>
      <w:r>
        <w:t xml:space="preserve"> </w:t>
      </w:r>
      <w:r>
        <w:t xml:space="preserve">(PostgreSQL’s bgwriter and checkpointer, InnoDB’s page cleaners) flush dirty pages ahead of demand so step 3 rarely waits.</w:t>
      </w:r>
    </w:p>
    <w:bookmarkEnd w:id="1448"/>
    <w:bookmarkStart w:id="1452" w:name="architecture-diagram-13"/>
    <w:p>
      <w:pPr>
        <w:pStyle w:val="Heading4"/>
      </w:pPr>
      <w:r>
        <w:t xml:space="preserve">Architecture diagram</w:t>
      </w:r>
    </w:p>
    <w:p>
      <w:pPr>
        <w:pStyle w:val="FirstParagraph"/>
      </w:pPr>
      <w:r>
        <w:rPr>
          <w:bCs/>
          <w:b/>
        </w:rPr>
        <w:t xml:space="preserve">Figure 13.2 — Buffer pool components and the page request path.</w:t>
      </w:r>
    </w:p>
    <w:p>
      <w:pPr>
        <w:pStyle w:val="BodyText"/>
      </w:pPr>
      <w:r>
        <w:drawing>
          <wp:inline>
            <wp:extent cx="5334000" cy="650806"/>
            <wp:effectExtent b="0" l="0" r="0" t="0"/>
            <wp:docPr descr="" title="" id="1450" name="Picture"/>
            <a:graphic>
              <a:graphicData uri="http://schemas.openxmlformats.org/drawingml/2006/picture">
                <pic:pic>
                  <pic:nvPicPr>
                    <pic:cNvPr descr="/home/user/System-Design/build/.cache/diagrams/050626b105d8.png" id="1451" name="Picture"/>
                    <pic:cNvPicPr>
                      <a:picLocks noChangeArrowheads="1" noChangeAspect="1"/>
                    </pic:cNvPicPr>
                  </pic:nvPicPr>
                  <pic:blipFill>
                    <a:blip r:embed="rId1449"/>
                    <a:stretch>
                      <a:fillRect/>
                    </a:stretch>
                  </pic:blipFill>
                  <pic:spPr bwMode="auto">
                    <a:xfrm>
                      <a:off x="0" y="0"/>
                      <a:ext cx="5334000" cy="650806"/>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Solid arrows are the synchronous request path: page table, then frame on a hit, or replacer and disk manager on a miss. A dirty victim is written only after the WAL is flushed past its page LSN, an ordering constraint between two storage boundaries (log files and data files). The background writer cleans frames asynchronously (dotted). Failure points: a crash loses dirty frames (recovered from the WAL); leaked pins exhaust evictable frames; a hot page-table latch limits concurrency, so InnoDB partitions large pools into instances. The pool scales vertically with RAM.</w:t>
      </w:r>
    </w:p>
    <w:bookmarkEnd w:id="1452"/>
    <w:bookmarkEnd w:id="1453"/>
    <w:bookmarkStart w:id="1454" w:name="eviction-policies-lru-clock-and-lru-k"/>
    <w:p>
      <w:pPr>
        <w:pStyle w:val="Heading3"/>
      </w:pPr>
      <w:r>
        <w:t xml:space="preserve">13.4.2 Eviction policies: LRU, clock and LRU-K</w:t>
      </w:r>
    </w:p>
    <w:p>
      <w:pPr>
        <w:pStyle w:val="FirstParagraph"/>
      </w:pPr>
      <w:r>
        <w:rPr>
          <w:bCs/>
          <w:b/>
        </w:rPr>
        <w:t xml:space="preserve">LRU</w:t>
      </w:r>
      <w:r>
        <w:t xml:space="preserve"> </w:t>
      </w:r>
      <w:r>
        <w:t xml:space="preserve">evicts the page whose last access is oldest. Inside a database it has two problems: moving a list node on every hit makes the shared list a contention point, and</w:t>
      </w:r>
      <w:r>
        <w:t xml:space="preserve"> </w:t>
      </w:r>
      <w:r>
        <w:rPr>
          <w:bCs/>
          <w:b/>
        </w:rPr>
        <w:t xml:space="preserve">sequential flooding</w:t>
      </w:r>
      <w:r>
        <w:t xml:space="preserve"> </w:t>
      </w:r>
      <w:r>
        <w:t xml:space="preserve">— one scan of a 100 GB table pushes every hot index page out of a 32 GB pool although no scanned page is read again.</w:t>
      </w:r>
    </w:p>
    <w:p>
      <w:pPr>
        <w:pStyle w:val="BodyText"/>
      </w:pPr>
      <w:r>
        <w:rPr>
          <w:bCs/>
          <w:b/>
        </w:rPr>
        <w:t xml:space="preserve">Clock</w:t>
      </w:r>
      <w:r>
        <w:t xml:space="preserve"> </w:t>
      </w:r>
      <w:r>
        <w:t xml:space="preserve">approximates LRU cheaply: frames sit in a circle with a reference bit set on access; a sweeping hand clears set bits and evicts the first unpinned frame whose bit is already clear. PostgreSQL’s</w:t>
      </w:r>
      <w:r>
        <w:t xml:space="preserve"> </w:t>
      </w:r>
      <w:r>
        <w:rPr>
          <w:bCs/>
          <w:b/>
        </w:rPr>
        <w:t xml:space="preserve">clock sweep</w:t>
      </w:r>
      <w:r>
        <w:t xml:space="preserve"> </w:t>
      </w:r>
      <w:r>
        <w:t xml:space="preserve">uses a usage count (capped at 5) instead of a bit, so frequently used pages survive several sweeps [PostgreSQL source:</w:t>
      </w:r>
      <w:r>
        <w:t xml:space="preserve"> </w:t>
      </w:r>
      <w:r>
        <w:rPr>
          <w:rStyle w:val="VerbatimChar"/>
        </w:rPr>
        <w:t xml:space="preserve">src/backend/storage/buffer/README</w:t>
      </w:r>
      <w:r>
        <w:t xml:space="preserve">].</w:t>
      </w:r>
    </w:p>
    <w:p>
      <w:pPr>
        <w:pStyle w:val="BodyText"/>
      </w:pPr>
      <w:r>
        <w:rPr>
          <w:bCs/>
          <w:b/>
        </w:rPr>
        <w:t xml:space="preserve">LRU-K</w:t>
      </w:r>
      <w:r>
        <w:t xml:space="preserve"> </w:t>
      </w:r>
      <w:r>
        <w:t xml:space="preserve">evicts the page whose</w:t>
      </w:r>
      <w:r>
        <w:t xml:space="preserve"> </w:t>
      </w:r>
      <w:r>
        <w:rPr>
          <w:iCs/>
          <w:i/>
        </w:rPr>
        <w:t xml:space="preserve">K</w:t>
      </w:r>
      <w:r>
        <w:t xml:space="preserve">-th most recent access is oldest [O’Neil, O’Neil and Weikum 1993]. With</w:t>
      </w:r>
      <w:r>
        <w:t xml:space="preserve"> </w:t>
      </w:r>
      <m:oMath>
        <m:r>
          <m:t>K</m:t>
        </m:r>
        <m:r>
          <m:rPr>
            <m:sty m:val="p"/>
          </m:rPr>
          <m:t>=</m:t>
        </m:r>
        <m:r>
          <m:t>2</m:t>
        </m:r>
      </m:oMath>
      <w:r>
        <w:t xml:space="preserve">, a page touched once by a scan is evicted first, so LRU-K resists scans and captures frequency, at the cost of access history. Related designs are</w:t>
      </w:r>
      <w:r>
        <w:t xml:space="preserve"> </w:t>
      </w:r>
      <w:r>
        <w:rPr>
          <w:bCs/>
          <w:b/>
        </w:rPr>
        <w:t xml:space="preserve">2Q</w:t>
      </w:r>
      <w:r>
        <w:t xml:space="preserve"> </w:t>
      </w:r>
      <w:r>
        <w:t xml:space="preserve">[Johnson and Shasha 1994] and ARC (§20.9).</w:t>
      </w:r>
    </w:p>
    <w:p>
      <w:pPr>
        <w:pStyle w:val="BodyText"/>
      </w:pPr>
      <w:r>
        <w:t xml:space="preserve">InnoDB uses</w:t>
      </w:r>
      <w:r>
        <w:t xml:space="preserve"> </w:t>
      </w:r>
      <w:r>
        <w:rPr>
          <w:bCs/>
          <w:b/>
        </w:rPr>
        <w:t xml:space="preserve">midpoint insertion</w:t>
      </w:r>
      <w:r>
        <w:t xml:space="preserve">: new pages enter the head of an</w:t>
      </w:r>
      <w:r>
        <w:t xml:space="preserve"> </w:t>
      </w:r>
      <w:r>
        <w:t xml:space="preserve">“</w:t>
      </w:r>
      <w:r>
        <w:t xml:space="preserve">old</w:t>
      </w:r>
      <w:r>
        <w:t xml:space="preserve">”</w:t>
      </w:r>
      <w:r>
        <w:t xml:space="preserve"> </w:t>
      </w:r>
      <w:r>
        <w:t xml:space="preserve">sublist (37% of the pool) and are promoted only if accessed again after</w:t>
      </w:r>
      <w:r>
        <w:t xml:space="preserve"> </w:t>
      </w:r>
      <w:r>
        <w:rPr>
          <w:rStyle w:val="VerbatimChar"/>
        </w:rPr>
        <w:t xml:space="preserve">innodb_old_blocks_time</w:t>
      </w:r>
      <w:r>
        <w:t xml:space="preserve"> </w:t>
      </w:r>
      <w:r>
        <w:t xml:space="preserve">(1,000 ms by default), so a one-pass scan never reaches the</w:t>
      </w:r>
      <w:r>
        <w:t xml:space="preserve"> </w:t>
      </w:r>
      <w:r>
        <w:t xml:space="preserve">“</w:t>
      </w:r>
      <w:r>
        <w:t xml:space="preserve">new</w:t>
      </w:r>
      <w:r>
        <w:t xml:space="preserve">”</w:t>
      </w:r>
      <w:r>
        <w:t xml:space="preserve"> </w:t>
      </w:r>
      <w:r>
        <w:t xml:space="preserve">sublist [MySQL Docs: Making the Buffer Pool Scan Resistant]. PostgreSQL gives large scans and</w:t>
      </w:r>
      <w:r>
        <w:t xml:space="preserve"> </w:t>
      </w:r>
      <w:r>
        <w:rPr>
          <w:rStyle w:val="VerbatimChar"/>
        </w:rPr>
        <w:t xml:space="preserve">VACUUM</w:t>
      </w:r>
      <w:r>
        <w:t xml:space="preserve"> </w:t>
      </w:r>
      <w:r>
        <w:t xml:space="preserve">a small private</w:t>
      </w:r>
      <w:r>
        <w:t xml:space="preserve"> </w:t>
      </w:r>
      <w:r>
        <w:rPr>
          <w:bCs/>
          <w:b/>
        </w:rPr>
        <w:t xml:space="preserve">ring buffer</w:t>
      </w:r>
      <w:r>
        <w:t xml:space="preserve"> </w:t>
      </w:r>
      <w:r>
        <w:t xml:space="preserve">of frames.</w:t>
      </w:r>
    </w:p>
    <w:p>
      <w:pPr>
        <w:pStyle w:val="BodyText"/>
      </w:pPr>
      <w:r>
        <w:rPr>
          <w:bCs/>
          <w:b/>
        </w:rPr>
        <w:t xml:space="preserve">Table 13.2 — Buffer replacement policies.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Policy</w:t>
            </w:r>
          </w:p>
        </w:tc>
        <w:tc>
          <w:tcPr/>
          <w:p>
            <w:pPr>
              <w:pStyle w:val="Compact"/>
              <w:jc w:val="left"/>
            </w:pPr>
            <w:r>
              <w:t xml:space="preserve">How it works</w:t>
            </w:r>
          </w:p>
        </w:tc>
        <w:tc>
          <w:tcPr/>
          <w:p>
            <w:pPr>
              <w:pStyle w:val="Compact"/>
              <w:jc w:val="left"/>
            </w:pPr>
            <w:r>
              <w:t xml:space="preserve">Advantages</w:t>
            </w:r>
          </w:p>
        </w:tc>
        <w:tc>
          <w:tcPr/>
          <w:p>
            <w:pPr>
              <w:pStyle w:val="Compact"/>
              <w:jc w:val="left"/>
            </w:pPr>
            <w:r>
              <w:t xml:space="preserve">Disadvantages</w:t>
            </w:r>
          </w:p>
        </w:tc>
        <w:tc>
          <w:tcPr/>
          <w:p>
            <w:pPr>
              <w:pStyle w:val="Compact"/>
              <w:jc w:val="left"/>
            </w:pPr>
            <w:r>
              <w:t xml:space="preserve">Used in</w:t>
            </w:r>
          </w:p>
        </w:tc>
      </w:tr>
      <w:tr>
        <w:tc>
          <w:tcPr/>
          <w:p>
            <w:pPr>
              <w:pStyle w:val="Compact"/>
              <w:jc w:val="left"/>
            </w:pPr>
            <w:r>
              <w:t xml:space="preserve">LRU</w:t>
            </w:r>
          </w:p>
        </w:tc>
        <w:tc>
          <w:tcPr/>
          <w:p>
            <w:pPr>
              <w:pStyle w:val="Compact"/>
              <w:jc w:val="left"/>
            </w:pPr>
            <w:r>
              <w:t xml:space="preserve">Evict oldest last access; list move on every hit</w:t>
            </w:r>
          </w:p>
        </w:tc>
        <w:tc>
          <w:tcPr/>
          <w:p>
            <w:pPr>
              <w:pStyle w:val="Compact"/>
              <w:jc w:val="left"/>
            </w:pPr>
            <w:r>
              <w:t xml:space="preserve">Simple, good for recency</w:t>
            </w:r>
          </w:p>
        </w:tc>
        <w:tc>
          <w:tcPr/>
          <w:p>
            <w:pPr>
              <w:pStyle w:val="Compact"/>
              <w:jc w:val="left"/>
            </w:pPr>
            <w:r>
              <w:t xml:space="preserve">Hit path contention; scan flooding</w:t>
            </w:r>
          </w:p>
        </w:tc>
        <w:tc>
          <w:tcPr/>
          <w:p>
            <w:pPr>
              <w:pStyle w:val="Compact"/>
              <w:jc w:val="left"/>
            </w:pPr>
            <w:r>
              <w:t xml:space="preserve">Textbook baseline; with sublists in InnoDB</w:t>
            </w:r>
          </w:p>
        </w:tc>
      </w:tr>
      <w:tr>
        <w:tc>
          <w:tcPr/>
          <w:p>
            <w:pPr>
              <w:pStyle w:val="Compact"/>
              <w:jc w:val="left"/>
            </w:pPr>
            <w:r>
              <w:t xml:space="preserve">Clock / clock sweep</w:t>
            </w:r>
          </w:p>
        </w:tc>
        <w:tc>
          <w:tcPr/>
          <w:p>
            <w:pPr>
              <w:pStyle w:val="Compact"/>
              <w:jc w:val="left"/>
            </w:pPr>
            <w:r>
              <w:t xml:space="preserve">Reference bit or usage count; sweeping hand</w:t>
            </w:r>
          </w:p>
        </w:tc>
        <w:tc>
          <w:tcPr/>
          <w:p>
            <w:pPr>
              <w:pStyle w:val="Compact"/>
              <w:jc w:val="left"/>
            </w:pPr>
            <w:r>
              <w:t xml:space="preserve">Cheap hits; approximates LRU or LFU</w:t>
            </w:r>
          </w:p>
        </w:tc>
        <w:tc>
          <w:tcPr/>
          <w:p>
            <w:pPr>
              <w:pStyle w:val="Compact"/>
              <w:jc w:val="left"/>
            </w:pPr>
            <w:r>
              <w:t xml:space="preserve">Sweep cost when many pages are hot</w:t>
            </w:r>
          </w:p>
        </w:tc>
        <w:tc>
          <w:tcPr/>
          <w:p>
            <w:pPr>
              <w:pStyle w:val="Compact"/>
              <w:jc w:val="left"/>
            </w:pPr>
            <w:r>
              <w:t xml:space="preserve">PostgreSQL; OS page replacement</w:t>
            </w:r>
          </w:p>
        </w:tc>
      </w:tr>
      <w:tr>
        <w:tc>
          <w:tcPr/>
          <w:p>
            <w:pPr>
              <w:pStyle w:val="Compact"/>
              <w:jc w:val="left"/>
            </w:pPr>
            <w:r>
              <w:t xml:space="preserve">LRU-K (K = 2)</w:t>
            </w:r>
          </w:p>
        </w:tc>
        <w:tc>
          <w:tcPr/>
          <w:p>
            <w:pPr>
              <w:pStyle w:val="Compact"/>
              <w:jc w:val="left"/>
            </w:pPr>
            <w:r>
              <w:t xml:space="preserve">Evict oldest K-th last access</w:t>
            </w:r>
          </w:p>
        </w:tc>
        <w:tc>
          <w:tcPr/>
          <w:p>
            <w:pPr>
              <w:pStyle w:val="Compact"/>
              <w:jc w:val="left"/>
            </w:pPr>
            <w:r>
              <w:t xml:space="preserve">Scan resistant; frequency aware</w:t>
            </w:r>
          </w:p>
        </w:tc>
        <w:tc>
          <w:tcPr/>
          <w:p>
            <w:pPr>
              <w:pStyle w:val="Compact"/>
              <w:jc w:val="left"/>
            </w:pPr>
            <w:r>
              <w:t xml:space="preserve">History memory; tuning of correlation period</w:t>
            </w:r>
          </w:p>
        </w:tc>
        <w:tc>
          <w:tcPr/>
          <w:p>
            <w:pPr>
              <w:pStyle w:val="Compact"/>
              <w:jc w:val="left"/>
            </w:pPr>
            <w:r>
              <w:t xml:space="preserve">Research, commercial engines</w:t>
            </w:r>
          </w:p>
        </w:tc>
      </w:tr>
      <w:tr>
        <w:tc>
          <w:tcPr/>
          <w:p>
            <w:pPr>
              <w:pStyle w:val="Compact"/>
              <w:jc w:val="left"/>
            </w:pPr>
            <w:r>
              <w:t xml:space="preserve">Midpoint / 2Q</w:t>
            </w:r>
          </w:p>
        </w:tc>
        <w:tc>
          <w:tcPr/>
          <w:p>
            <w:pPr>
              <w:pStyle w:val="Compact"/>
              <w:jc w:val="left"/>
            </w:pPr>
            <w:r>
              <w:t xml:space="preserve">Probation queue before main queue</w:t>
            </w:r>
          </w:p>
        </w:tc>
        <w:tc>
          <w:tcPr/>
          <w:p>
            <w:pPr>
              <w:pStyle w:val="Compact"/>
              <w:jc w:val="left"/>
            </w:pPr>
            <w:r>
              <w:t xml:space="preserve">Scan resistant; cheap</w:t>
            </w:r>
          </w:p>
        </w:tc>
        <w:tc>
          <w:tcPr/>
          <w:p>
            <w:pPr>
              <w:pStyle w:val="Compact"/>
              <w:jc w:val="left"/>
            </w:pPr>
            <w:r>
              <w:t xml:space="preserve">Two parameters to tune</w:t>
            </w:r>
          </w:p>
        </w:tc>
        <w:tc>
          <w:tcPr/>
          <w:p>
            <w:pPr>
              <w:pStyle w:val="Compact"/>
              <w:jc w:val="left"/>
            </w:pPr>
            <w:r>
              <w:t xml:space="preserve">InnoDB (midpoint); 2Q variants</w:t>
            </w:r>
          </w:p>
        </w:tc>
      </w:tr>
      <w:tr>
        <w:tc>
          <w:tcPr/>
          <w:p>
            <w:pPr>
              <w:pStyle w:val="Compact"/>
              <w:jc w:val="left"/>
            </w:pPr>
            <w:r>
              <w:t xml:space="preserve">Ring buffer for scans</w:t>
            </w:r>
          </w:p>
        </w:tc>
        <w:tc>
          <w:tcPr/>
          <w:p>
            <w:pPr>
              <w:pStyle w:val="Compact"/>
              <w:jc w:val="left"/>
            </w:pPr>
            <w:r>
              <w:t xml:space="preserve">Bulk operations reuse a few private frames</w:t>
            </w:r>
          </w:p>
        </w:tc>
        <w:tc>
          <w:tcPr/>
          <w:p>
            <w:pPr>
              <w:pStyle w:val="Compact"/>
              <w:jc w:val="left"/>
            </w:pPr>
            <w:r>
              <w:t xml:space="preserve">Protects the main pool completely</w:t>
            </w:r>
          </w:p>
        </w:tc>
        <w:tc>
          <w:tcPr/>
          <w:p>
            <w:pPr>
              <w:pStyle w:val="Compact"/>
              <w:jc w:val="left"/>
            </w:pPr>
            <w:r>
              <w:t xml:space="preserve">Applies only to recognized bulk operations</w:t>
            </w:r>
          </w:p>
        </w:tc>
        <w:tc>
          <w:tcPr/>
          <w:p>
            <w:pPr>
              <w:pStyle w:val="Compact"/>
              <w:jc w:val="left"/>
            </w:pPr>
            <w:r>
              <w:t xml:space="preserve">PostgreSQL</w:t>
            </w:r>
          </w:p>
        </w:tc>
      </w:tr>
    </w:tbl>
    <w:bookmarkEnd w:id="1454"/>
    <w:bookmarkStart w:id="1457" w:name="Xc2df48e1314f6e4dd3dbe7104f3f1679ce560c0"/>
    <w:p>
      <w:pPr>
        <w:pStyle w:val="Heading3"/>
      </w:pPr>
      <w:r>
        <w:t xml:space="preserve">13.4.3 Double buffering,</w:t>
      </w:r>
      <w:r>
        <w:t xml:space="preserve"> </w:t>
      </w:r>
      <w:r>
        <w:rPr>
          <w:rStyle w:val="VerbatimChar"/>
        </w:rPr>
        <w:t xml:space="preserve">O_DIRECT</w:t>
      </w:r>
      <w:r>
        <w:t xml:space="preserve"> </w:t>
      </w:r>
      <w:r>
        <w:t xml:space="preserve">and the page cache</w:t>
      </w:r>
    </w:p>
    <w:p>
      <w:pPr>
        <w:pStyle w:val="FirstParagraph"/>
      </w:pPr>
      <w:r>
        <w:t xml:space="preserve">Reading files with ordinary</w:t>
      </w:r>
      <w:r>
        <w:t xml:space="preserve"> </w:t>
      </w:r>
      <w:r>
        <w:rPr>
          <w:rStyle w:val="VerbatimChar"/>
        </w:rPr>
        <w:t xml:space="preserve">read()</w:t>
      </w:r>
      <w:r>
        <w:t xml:space="preserve"> </w:t>
      </w:r>
      <w:r>
        <w:t xml:space="preserve">caches every page twice, in the kernel page cache and in the buffer pool. This</w:t>
      </w:r>
      <w:r>
        <w:t xml:space="preserve"> </w:t>
      </w:r>
      <w:r>
        <w:rPr>
          <w:bCs/>
          <w:b/>
        </w:rPr>
        <w:t xml:space="preserve">double buffering</w:t>
      </w:r>
      <w:r>
        <w:t xml:space="preserve"> </w:t>
      </w:r>
      <w:r>
        <w:t xml:space="preserve">wastes RAM, and kernel read-ahead and writeback compete with the database’s own.</w:t>
      </w:r>
      <w:r>
        <w:t xml:space="preserve"> </w:t>
      </w:r>
      <w:r>
        <w:rPr>
          <w:rStyle w:val="VerbatimChar"/>
          <w:bCs/>
          <w:b/>
        </w:rPr>
        <w:t xml:space="preserve">O_DIRECT</w:t>
      </w:r>
      <w:r>
        <w:t xml:space="preserve"> </w:t>
      </w:r>
      <w:r>
        <w:t xml:space="preserve">transfers data directly between the device and aligned database buffers; the engine must then do its own read-ahead and asynchronous I/O, and still needs</w:t>
      </w:r>
      <w:r>
        <w:t xml:space="preserve"> </w:t>
      </w:r>
      <w:r>
        <w:rPr>
          <w:rStyle w:val="VerbatimChar"/>
        </w:rPr>
        <w:t xml:space="preserve">fsync</w:t>
      </w:r>
      <w:r>
        <w:t xml:space="preserve">, because</w:t>
      </w:r>
      <w:r>
        <w:t xml:space="preserve"> </w:t>
      </w:r>
      <w:r>
        <w:rPr>
          <w:rStyle w:val="VerbatimChar"/>
        </w:rPr>
        <w:t xml:space="preserve">O_DIRECT</w:t>
      </w:r>
      <w:r>
        <w:t xml:space="preserve"> </w:t>
      </w:r>
      <w:r>
        <w:t xml:space="preserve">does not flush the drive cache (§6.14.3).</w:t>
      </w:r>
    </w:p>
    <w:p>
      <w:pPr>
        <w:pStyle w:val="BodyText"/>
      </w:pPr>
      <w:r>
        <w:rPr>
          <w:bCs/>
          <w:b/>
        </w:rPr>
        <w:t xml:space="preserve">InnoDB</w:t>
      </w:r>
      <w:r>
        <w:t xml:space="preserve"> </w:t>
      </w:r>
      <w:r>
        <w:t xml:space="preserve">owns memory: a buffer pool of most of RAM with</w:t>
      </w:r>
      <w:r>
        <w:t xml:space="preserve"> </w:t>
      </w:r>
      <w:r>
        <w:rPr>
          <w:rStyle w:val="VerbatimChar"/>
        </w:rPr>
        <w:t xml:space="preserve">O_DIRECT</w:t>
      </w:r>
      <w:r>
        <w:t xml:space="preserve">, the Linux default from MySQL 8.4 [MySQL Docs: InnoDB Startup Options].</w:t>
      </w:r>
      <w:r>
        <w:t xml:space="preserve"> </w:t>
      </w:r>
      <w:r>
        <w:rPr>
          <w:bCs/>
          <w:b/>
        </w:rPr>
        <w:t xml:space="preserve">PostgreSQL</w:t>
      </w:r>
      <w:r>
        <w:t xml:space="preserve"> </w:t>
      </w:r>
      <w:r>
        <w:t xml:space="preserve">uses buffered I/O, with</w:t>
      </w:r>
      <w:r>
        <w:t xml:space="preserve"> </w:t>
      </w:r>
      <w:r>
        <w:rPr>
          <w:rStyle w:val="VerbatimChar"/>
        </w:rPr>
        <w:t xml:space="preserve">shared_buffers</w:t>
      </w:r>
      <w:r>
        <w:t xml:space="preserve"> </w:t>
      </w:r>
      <w:r>
        <w:t xml:space="preserve">starting around 25% of RAM and the page cache as a second-level cache [PostgreSQL Docs: Resource Consumption]; direct I/O is only a developer option (</w:t>
      </w:r>
      <w:r>
        <w:rPr>
          <w:rStyle w:val="VerbatimChar"/>
        </w:rPr>
        <w:t xml:space="preserve">debug_io_direct</w:t>
      </w:r>
      <w:r>
        <w:t xml:space="preserve">, version 16), and version 18 added asynchronous I/O (as of 2025).</w:t>
      </w:r>
      <w:r>
        <w:t xml:space="preserve"> </w:t>
      </w:r>
      <w:r>
        <w:rPr>
          <w:bCs/>
          <w:b/>
        </w:rPr>
        <w:t xml:space="preserve">RocksDB</w:t>
      </w:r>
      <w:r>
        <w:t xml:space="preserve"> </w:t>
      </w:r>
      <w:r>
        <w:t xml:space="preserve">defaults to buffered I/O plus its own block cache, with optional direct I/O [RocksDB Wiki: Direct IO].</w:t>
      </w:r>
      <w:r>
        <w:t xml:space="preserve"> </w:t>
      </w:r>
      <w:r>
        <w:rPr>
          <w:bCs/>
          <w:b/>
        </w:rPr>
        <w:t xml:space="preserve">LMDB</w:t>
      </w:r>
      <w:r>
        <w:t xml:space="preserve"> </w:t>
      </w:r>
      <w:r>
        <w:t xml:space="preserve">maps the file with</w:t>
      </w:r>
      <w:r>
        <w:t xml:space="preserve"> </w:t>
      </w:r>
      <w:r>
        <w:rPr>
          <w:rStyle w:val="VerbatimChar"/>
        </w:rPr>
        <w:t xml:space="preserve">mmap</w:t>
      </w:r>
      <w:r>
        <w:t xml:space="preserve"> </w:t>
      </w:r>
      <w:r>
        <w:t xml:space="preserve">and lets the kernel be its buffer pool, trading control for simplicity (§6.6.6, [Crotty et al. 2022]).</w:t>
      </w:r>
    </w:p>
    <w:bookmarkStart w:id="1455" w:name="mathematical-foundations-19"/>
    <w:p>
      <w:pPr>
        <w:pStyle w:val="Heading4"/>
      </w:pPr>
      <w:r>
        <w:t xml:space="preserve">Mathematical foundations</w:t>
      </w:r>
    </w:p>
    <w:p>
      <w:pPr>
        <w:pStyle w:val="FirstParagraph"/>
      </w:pPr>
      <w:r>
        <w:t xml:space="preserve">How much RAM should the buffer pool have? Gray and Putzolu’s</w:t>
      </w:r>
      <w:r>
        <w:t xml:space="preserve"> </w:t>
      </w:r>
      <w:r>
        <w:rPr>
          <w:bCs/>
          <w:b/>
        </w:rPr>
        <w:t xml:space="preserve">five-minute rule</w:t>
      </w:r>
      <w:r>
        <w:t xml:space="preserve"> </w:t>
      </w:r>
      <w:r>
        <w:t xml:space="preserve">answers by comparing the cost of keeping a page in memory with the cost of the device capacity needed to re-read it [Gray and Putzolu 1987; Gray and Graefe 1997].</w:t>
      </w:r>
    </w:p>
    <w:p>
      <w:pPr>
        <w:pStyle w:val="CalloutFormula"/>
      </w:pPr>
      <w:r>
        <w:rPr>
          <w:bCs/>
          <w:b/>
        </w:rPr>
        <w:t xml:space="preserve">FORMULA</w:t>
      </w:r>
    </w:p>
    <w:p>
      <w:pPr>
        <w:pStyle w:val="CalloutFormula"/>
      </w:pPr>
      <w:r>
        <w:rPr>
          <w:bCs/>
          <w:b/>
        </w:rPr>
        <w:t xml:space="preserve">Break-even reference interval (the</w:t>
      </w:r>
      <w:r>
        <w:rPr>
          <w:bCs/>
          <w:b/>
        </w:rPr>
        <w:t xml:space="preserve"> </w:t>
      </w:r>
      <w:r>
        <w:rPr>
          <w:bCs/>
          <w:b/>
        </w:rPr>
        <w:t xml:space="preserve">“</w:t>
      </w:r>
      <w:r>
        <w:rPr>
          <w:bCs/>
          <w:b/>
        </w:rPr>
        <w:t xml:space="preserve">five-minute rule</w:t>
      </w:r>
      <w:r>
        <w:rPr>
          <w:bCs/>
          <w:b/>
        </w:rPr>
        <w:t xml:space="preserve">”</w:t>
      </w:r>
      <w:r>
        <w:rPr>
          <w:bCs/>
          <w:b/>
        </w:rPr>
        <w:t xml:space="preserve">)</w:t>
      </w:r>
    </w:p>
    <w:p>
      <w:pPr>
        <w:pStyle w:val="CalloutFormula"/>
      </w:pPr>
      <m:oMathPara>
        <m:oMathParaPr>
          <m:jc m:val="center"/>
        </m:oMathParaPr>
        <m:oMath>
          <m:sSub>
            <m:e>
              <m:r>
                <m:t>T</m:t>
              </m:r>
            </m:e>
            <m:sub>
              <m:r>
                <m:t>B</m:t>
              </m:r>
              <m:r>
                <m:t>E</m:t>
              </m:r>
            </m:sub>
          </m:sSub>
          <m:r>
            <m:rPr>
              <m:sty m:val="p"/>
            </m:rPr>
            <m:t>=</m:t>
          </m:r>
          <m:f>
            <m:fPr>
              <m:type m:val="bar"/>
            </m:fPr>
            <m:num>
              <m:sSub>
                <m:e>
                  <m:r>
                    <m:t>C</m:t>
                  </m:r>
                </m:e>
                <m:sub>
                  <m:r>
                    <m:t>d</m:t>
                  </m:r>
                  <m:r>
                    <m:t>e</m:t>
                  </m:r>
                  <m:r>
                    <m:t>v</m:t>
                  </m:r>
                </m:sub>
              </m:sSub>
              <m:r>
                <m:rPr>
                  <m:sty m:val="p"/>
                </m:rPr>
                <m:t>/</m:t>
              </m:r>
              <m:r>
                <m:t>I</m:t>
              </m:r>
              <m:r>
                <m:t>O</m:t>
              </m:r>
              <m:r>
                <m:t>P</m:t>
              </m:r>
              <m:sSub>
                <m:e>
                  <m:r>
                    <m:t>S</m:t>
                  </m:r>
                </m:e>
                <m:sub>
                  <m:r>
                    <m:t>d</m:t>
                  </m:r>
                  <m:r>
                    <m:t>e</m:t>
                  </m:r>
                  <m:r>
                    <m:t>v</m:t>
                  </m:r>
                </m:sub>
              </m:sSub>
            </m:num>
            <m:den>
              <m:sSub>
                <m:e>
                  <m:r>
                    <m:t>C</m:t>
                  </m:r>
                </m:e>
                <m:sub>
                  <m:r>
                    <m:t>R</m:t>
                  </m:r>
                  <m:r>
                    <m:t>A</m:t>
                  </m:r>
                  <m:r>
                    <m:t>M</m:t>
                  </m:r>
                </m:sub>
              </m:sSub>
              <m:r>
                <m:rPr>
                  <m:sty m:val="p"/>
                </m:rPr>
                <m:t>×</m:t>
              </m:r>
              <m:r>
                <m:t>P</m:t>
              </m:r>
            </m:den>
          </m:f>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T</m:t>
                  </m:r>
                </m:e>
                <m:sub>
                  <m:r>
                    <m:t>B</m:t>
                  </m:r>
                  <m:r>
                    <m:t>E</m:t>
                  </m:r>
                </m:sub>
              </m:sSub>
            </m:oMath>
          </w:p>
        </w:tc>
        <w:tc>
          <w:tcPr/>
          <w:p>
            <w:pPr>
              <w:pStyle w:val="Compact"/>
              <w:jc w:val="left"/>
            </w:pPr>
            <w:r>
              <w:t xml:space="preserve">Break-even interval: cache a page if it is re-referenced more often than once per</w:t>
            </w:r>
            <w:r>
              <w:t xml:space="preserve"> </w:t>
            </w:r>
            <m:oMath>
              <m:sSub>
                <m:e>
                  <m:r>
                    <m:t>T</m:t>
                  </m:r>
                </m:e>
                <m:sub>
                  <m:r>
                    <m:t>B</m:t>
                  </m:r>
                  <m:r>
                    <m:t>E</m:t>
                  </m:r>
                </m:sub>
              </m:sSub>
            </m:oMath>
          </w:p>
        </w:tc>
        <w:tc>
          <w:tcPr/>
          <w:p>
            <w:pPr>
              <w:pStyle w:val="Compact"/>
              <w:jc w:val="left"/>
            </w:pPr>
            <w:r>
              <w:t xml:space="preserve">seconds</w:t>
            </w:r>
          </w:p>
        </w:tc>
      </w:tr>
      <w:tr>
        <w:tc>
          <w:tcPr/>
          <w:p>
            <w:pPr>
              <w:pStyle w:val="Compact"/>
              <w:jc w:val="left"/>
            </w:pPr>
            <m:oMath>
              <m:sSub>
                <m:e>
                  <m:r>
                    <m:t>C</m:t>
                  </m:r>
                </m:e>
                <m:sub>
                  <m:r>
                    <m:t>d</m:t>
                  </m:r>
                  <m:r>
                    <m:t>e</m:t>
                  </m:r>
                  <m:r>
                    <m:t>v</m:t>
                  </m:r>
                </m:sub>
              </m:sSub>
            </m:oMath>
          </w:p>
        </w:tc>
        <w:tc>
          <w:tcPr/>
          <w:p>
            <w:pPr>
              <w:pStyle w:val="Compact"/>
              <w:jc w:val="left"/>
            </w:pPr>
            <w:r>
              <w:t xml:space="preserve">Price of one storage device</w:t>
            </w:r>
          </w:p>
        </w:tc>
        <w:tc>
          <w:tcPr/>
          <w:p>
            <w:pPr>
              <w:pStyle w:val="Compact"/>
              <w:jc w:val="left"/>
            </w:pPr>
            <w:r>
              <w:t xml:space="preserve">dollars</w:t>
            </w:r>
          </w:p>
        </w:tc>
      </w:tr>
      <w:tr>
        <w:tc>
          <w:tcPr/>
          <w:p>
            <w:pPr>
              <w:pStyle w:val="Compact"/>
              <w:jc w:val="left"/>
            </w:pPr>
            <m:oMath>
              <m:r>
                <m:t>I</m:t>
              </m:r>
              <m:r>
                <m:t>O</m:t>
              </m:r>
              <m:r>
                <m:t>P</m:t>
              </m:r>
              <m:sSub>
                <m:e>
                  <m:r>
                    <m:t>S</m:t>
                  </m:r>
                </m:e>
                <m:sub>
                  <m:r>
                    <m:t>d</m:t>
                  </m:r>
                  <m:r>
                    <m:t>e</m:t>
                  </m:r>
                  <m:r>
                    <m:t>v</m:t>
                  </m:r>
                </m:sub>
              </m:sSub>
            </m:oMath>
          </w:p>
        </w:tc>
        <w:tc>
          <w:tcPr/>
          <w:p>
            <w:pPr>
              <w:pStyle w:val="Compact"/>
              <w:jc w:val="left"/>
            </w:pPr>
            <w:r>
              <w:t xml:space="preserve">Random reads per second the device sustains</w:t>
            </w:r>
          </w:p>
        </w:tc>
        <w:tc>
          <w:tcPr/>
          <w:p>
            <w:pPr>
              <w:pStyle w:val="Compact"/>
              <w:jc w:val="left"/>
            </w:pPr>
            <w:r>
              <w:t xml:space="preserve">reads/s</w:t>
            </w:r>
          </w:p>
        </w:tc>
      </w:tr>
      <w:tr>
        <w:tc>
          <w:tcPr/>
          <w:p>
            <w:pPr>
              <w:pStyle w:val="Compact"/>
              <w:jc w:val="left"/>
            </w:pPr>
            <m:oMath>
              <m:sSub>
                <m:e>
                  <m:r>
                    <m:t>C</m:t>
                  </m:r>
                </m:e>
                <m:sub>
                  <m:r>
                    <m:t>R</m:t>
                  </m:r>
                  <m:r>
                    <m:t>A</m:t>
                  </m:r>
                  <m:r>
                    <m:t>M</m:t>
                  </m:r>
                </m:sub>
              </m:sSub>
            </m:oMath>
          </w:p>
        </w:tc>
        <w:tc>
          <w:tcPr/>
          <w:p>
            <w:pPr>
              <w:pStyle w:val="Compact"/>
              <w:jc w:val="left"/>
            </w:pPr>
            <w:r>
              <w:t xml:space="preserve">Price of memory</w:t>
            </w:r>
          </w:p>
        </w:tc>
        <w:tc>
          <w:tcPr/>
          <w:p>
            <w:pPr>
              <w:pStyle w:val="Compact"/>
              <w:jc w:val="left"/>
            </w:pPr>
            <w:r>
              <w:t xml:space="preserve">dollars/byte</w:t>
            </w:r>
          </w:p>
        </w:tc>
      </w:tr>
      <w:tr>
        <w:tc>
          <w:tcPr/>
          <w:p>
            <w:pPr>
              <w:pStyle w:val="Compact"/>
              <w:jc w:val="left"/>
            </w:pPr>
            <m:oMath>
              <m:r>
                <m:t>P</m:t>
              </m:r>
            </m:oMath>
          </w:p>
        </w:tc>
        <w:tc>
          <w:tcPr/>
          <w:p>
            <w:pPr>
              <w:pStyle w:val="Compact"/>
              <w:jc w:val="left"/>
            </w:pPr>
            <w:r>
              <w:t xml:space="preserve">Page size</w:t>
            </w:r>
          </w:p>
        </w:tc>
        <w:tc>
          <w:tcPr/>
          <w:p>
            <w:pPr>
              <w:pStyle w:val="Compact"/>
              <w:jc w:val="left"/>
            </w:pPr>
            <w:r>
              <w:t xml:space="preserve">bytes</w:t>
            </w:r>
          </w:p>
        </w:tc>
      </w:tr>
    </w:tbl>
    <w:p>
      <w:pPr>
        <w:pStyle w:val="CalloutExample"/>
      </w:pPr>
      <w:r>
        <w:rPr>
          <w:bCs/>
          <w:b/>
        </w:rPr>
        <w:t xml:space="preserve">WORKED EXAMPLE</w:t>
      </w:r>
    </w:p>
    <w:p>
      <w:pPr>
        <w:pStyle w:val="CalloutExample"/>
      </w:pPr>
      <w:r>
        <w:rPr>
          <w:bCs/>
          <w:b/>
        </w:rPr>
        <w:t xml:space="preserve">Worked example — Break-even for HDD and NVMe (illustrative prices, as of 2025).</w:t>
      </w:r>
    </w:p>
    <w:p>
      <w:pPr>
        <w:pStyle w:val="CalloutExample"/>
      </w:pPr>
      <w:r>
        <w:t xml:space="preserve">Assume DRAM at</w:t>
      </w:r>
      <w:r>
        <w:t xml:space="preserve"> </w:t>
      </w:r>
      <m:oMath>
        <m:r>
          <m:rPr>
            <m:sty m:val="p"/>
          </m:rPr>
          <m:t>$</m:t>
        </m:r>
        <m:r>
          <m:t>4</m:t>
        </m:r>
      </m:oMath>
      <w:r>
        <w:t xml:space="preserve">/GB, so</w:t>
      </w:r>
      <w:r>
        <w:t xml:space="preserve"> </w:t>
      </w:r>
      <m:oMath>
        <m:sSub>
          <m:e>
            <m:r>
              <m:t>C</m:t>
            </m:r>
          </m:e>
          <m:sub>
            <m:r>
              <m:t>R</m:t>
            </m:r>
            <m:r>
              <m:t>A</m:t>
            </m:r>
            <m:r>
              <m:t>M</m:t>
            </m:r>
          </m:sub>
        </m:sSub>
        <m:r>
          <m:rPr>
            <m:sty m:val="p"/>
          </m:rPr>
          <m:t>=</m:t>
        </m:r>
        <m:r>
          <m:t>4</m:t>
        </m:r>
        <m:r>
          <m:rPr>
            <m:sty m:val="p"/>
          </m:rPr>
          <m:t>×</m:t>
        </m:r>
        <m:sSup>
          <m:e>
            <m:r>
              <m:t>10</m:t>
            </m:r>
          </m:e>
          <m:sup>
            <m:r>
              <m:rPr>
                <m:sty m:val="p"/>
              </m:rPr>
              <m:t>−</m:t>
            </m:r>
            <m:r>
              <m:t>9</m:t>
            </m:r>
          </m:sup>
        </m:sSup>
      </m:oMath>
      <w:r>
        <w:t xml:space="preserve"> </w:t>
      </w:r>
      <w:r>
        <w:t xml:space="preserve">$/byte, and</w:t>
      </w:r>
      <w:r>
        <w:t xml:space="preserve"> </w:t>
      </w:r>
      <m:oMath>
        <m:r>
          <m:t>P</m:t>
        </m:r>
        <m:r>
          <m:rPr>
            <m:sty m:val="p"/>
          </m:rPr>
          <m:t>=</m:t>
        </m:r>
        <m:r>
          <m:t>8192</m:t>
        </m:r>
      </m:oMath>
      <w:r>
        <w:t xml:space="preserve"> </w:t>
      </w:r>
      <w:r>
        <w:t xml:space="preserve">bytes. RAM cost of one cached page:</w:t>
      </w:r>
      <w:r>
        <w:t xml:space="preserve"> </w:t>
      </w:r>
      <m:oMath>
        <m:r>
          <m:t>4</m:t>
        </m:r>
        <m:r>
          <m:rPr>
            <m:sty m:val="p"/>
          </m:rPr>
          <m:t>×</m:t>
        </m:r>
        <m:sSup>
          <m:e>
            <m:r>
              <m:t>10</m:t>
            </m:r>
          </m:e>
          <m:sup>
            <m:r>
              <m:rPr>
                <m:sty m:val="p"/>
              </m:rPr>
              <m:t>−</m:t>
            </m:r>
            <m:r>
              <m:t>9</m:t>
            </m:r>
          </m:sup>
        </m:sSup>
        <m:r>
          <m:rPr>
            <m:sty m:val="p"/>
          </m:rPr>
          <m:t>×</m:t>
        </m:r>
        <m:r>
          <m:t>8192</m:t>
        </m:r>
        <m:r>
          <m:rPr>
            <m:sty m:val="p"/>
          </m:rPr>
          <m:t>=</m:t>
        </m:r>
        <m:r>
          <m:rPr>
            <m:sty m:val="p"/>
          </m:rPr>
          <m:t>$</m:t>
        </m:r>
        <m:r>
          <m:t>3.28</m:t>
        </m:r>
        <m:r>
          <m:rPr>
            <m:sty m:val="p"/>
          </m:rPr>
          <m:t>×</m:t>
        </m:r>
        <m:sSup>
          <m:e>
            <m:r>
              <m:t>10</m:t>
            </m:r>
          </m:e>
          <m:sup>
            <m:r>
              <m:rPr>
                <m:sty m:val="p"/>
              </m:rPr>
              <m:t>−</m:t>
            </m:r>
            <m:r>
              <m:t>5</m:t>
            </m:r>
          </m:sup>
        </m:sSup>
      </m:oMath>
      <w:r>
        <w:t xml:space="preserve">.</w:t>
      </w:r>
    </w:p>
    <w:p>
      <w:pPr>
        <w:numPr>
          <w:ilvl w:val="0"/>
          <w:numId w:val="1440"/>
        </w:numPr>
        <w:pStyle w:val="Compact"/>
      </w:pPr>
      <w:r>
        <w:rPr>
          <w:bCs/>
          <w:b/>
        </w:rPr>
        <w:t xml:space="preserve">HDD:</w:t>
      </w:r>
      <w:r>
        <w:t xml:space="preserve"> </w:t>
      </w:r>
      <m:oMath>
        <m:sSub>
          <m:e>
            <m:r>
              <m:t>C</m:t>
            </m:r>
          </m:e>
          <m:sub>
            <m:r>
              <m:t>d</m:t>
            </m:r>
            <m:r>
              <m:t>e</m:t>
            </m:r>
            <m:r>
              <m:t>v</m:t>
            </m:r>
          </m:sub>
        </m:sSub>
        <m:r>
          <m:rPr>
            <m:sty m:val="p"/>
          </m:rPr>
          <m:t>=</m:t>
        </m:r>
        <m:r>
          <m:rPr>
            <m:sty m:val="p"/>
          </m:rPr>
          <m:t>$</m:t>
        </m:r>
        <m:r>
          <m:t>300</m:t>
        </m:r>
      </m:oMath>
      <w:r>
        <w:t xml:space="preserve">,</w:t>
      </w:r>
      <w:r>
        <w:t xml:space="preserve"> </w:t>
      </w:r>
      <m:oMath>
        <m:r>
          <m:t>I</m:t>
        </m:r>
        <m:r>
          <m:t>O</m:t>
        </m:r>
        <m:r>
          <m:t>P</m:t>
        </m:r>
        <m:sSub>
          <m:e>
            <m:r>
              <m:t>S</m:t>
            </m:r>
          </m:e>
          <m:sub>
            <m:r>
              <m:t>d</m:t>
            </m:r>
            <m:r>
              <m:t>e</m:t>
            </m:r>
            <m:r>
              <m:t>v</m:t>
            </m:r>
          </m:sub>
        </m:sSub>
        <m:r>
          <m:rPr>
            <m:sty m:val="p"/>
          </m:rPr>
          <m:t>=</m:t>
        </m:r>
        <m:r>
          <m:t>200</m:t>
        </m:r>
      </m:oMath>
      <w:r>
        <w:t xml:space="preserve">. Cost per unit of read capacity:</w:t>
      </w:r>
      <w:r>
        <w:t xml:space="preserve"> </w:t>
      </w:r>
      <m:oMath>
        <m:r>
          <m:t>300</m:t>
        </m:r>
        <m:r>
          <m:rPr>
            <m:sty m:val="p"/>
          </m:rPr>
          <m:t>/</m:t>
        </m:r>
        <m:r>
          <m:t>200</m:t>
        </m:r>
        <m:r>
          <m:rPr>
            <m:sty m:val="p"/>
          </m:rPr>
          <m:t>=</m:t>
        </m:r>
        <m:r>
          <m:rPr>
            <m:sty m:val="p"/>
          </m:rPr>
          <m:t>$</m:t>
        </m:r>
        <m:r>
          <m:t>1.50</m:t>
        </m:r>
      </m:oMath>
      <w:r>
        <w:t xml:space="preserve"> </w:t>
      </w:r>
      <w:r>
        <w:t xml:space="preserve">per read/s.</w:t>
      </w:r>
      <w:r>
        <w:t xml:space="preserve"> </w:t>
      </w:r>
      <m:oMath>
        <m:sSub>
          <m:e>
            <m:r>
              <m:t>T</m:t>
            </m:r>
          </m:e>
          <m:sub>
            <m:r>
              <m:t>B</m:t>
            </m:r>
            <m:r>
              <m:t>E</m:t>
            </m:r>
          </m:sub>
        </m:sSub>
        <m:r>
          <m:rPr>
            <m:sty m:val="p"/>
          </m:rPr>
          <m:t>=</m:t>
        </m:r>
        <m:r>
          <m:t>1.50</m:t>
        </m:r>
        <m:r>
          <m:rPr>
            <m:sty m:val="p"/>
          </m:rPr>
          <m:t>/</m:t>
        </m:r>
        <m:d>
          <m:dPr>
            <m:begChr m:val="("/>
            <m:endChr m:val=")"/>
            <m:sepChr m:val=""/>
            <m:grow/>
          </m:dPr>
          <m:e>
            <m:r>
              <m:t>3.28</m:t>
            </m:r>
            <m:r>
              <m:rPr>
                <m:sty m:val="p"/>
              </m:rPr>
              <m:t>×</m:t>
            </m:r>
            <m:sSup>
              <m:e>
                <m:r>
                  <m:t>10</m:t>
                </m:r>
              </m:e>
              <m:sup>
                <m:r>
                  <m:rPr>
                    <m:sty m:val="p"/>
                  </m:rPr>
                  <m:t>−</m:t>
                </m:r>
                <m:r>
                  <m:t>5</m:t>
                </m:r>
              </m:sup>
            </m:sSup>
          </m:e>
        </m:d>
        <m:r>
          <m:rPr>
            <m:sty m:val="p"/>
          </m:rPr>
          <m:t>≈</m:t>
        </m:r>
        <m:r>
          <m:t>45</m:t>
        </m:r>
        <m:r>
          <m:t> </m:t>
        </m:r>
        <m:r>
          <m:t>700</m:t>
        </m:r>
      </m:oMath>
      <w:r>
        <w:t xml:space="preserve"> </w:t>
      </w:r>
      <w:r>
        <w:t xml:space="preserve">s</w:t>
      </w:r>
      <w:r>
        <w:t xml:space="preserve"> </w:t>
      </w:r>
      <m:oMath>
        <m:r>
          <m:rPr>
            <m:sty m:val="p"/>
          </m:rPr>
          <m:t>≈</m:t>
        </m:r>
        <m:r>
          <m:t>12.7</m:t>
        </m:r>
      </m:oMath>
      <w:r>
        <w:t xml:space="preserve"> </w:t>
      </w:r>
      <w:r>
        <w:t xml:space="preserve">hours.</w:t>
      </w:r>
    </w:p>
    <w:p>
      <w:pPr>
        <w:numPr>
          <w:ilvl w:val="0"/>
          <w:numId w:val="1440"/>
        </w:numPr>
        <w:pStyle w:val="Compact"/>
      </w:pPr>
      <w:r>
        <w:rPr>
          <w:bCs/>
          <w:b/>
        </w:rPr>
        <w:t xml:space="preserve">NVMe SSD:</w:t>
      </w:r>
      <w:r>
        <w:t xml:space="preserve"> </w:t>
      </w:r>
      <m:oMath>
        <m:sSub>
          <m:e>
            <m:r>
              <m:t>C</m:t>
            </m:r>
          </m:e>
          <m:sub>
            <m:r>
              <m:t>d</m:t>
            </m:r>
            <m:r>
              <m:t>e</m:t>
            </m:r>
            <m:r>
              <m:t>v</m:t>
            </m:r>
          </m:sub>
        </m:sSub>
        <m:r>
          <m:rPr>
            <m:sty m:val="p"/>
          </m:rPr>
          <m:t>=</m:t>
        </m:r>
        <m:r>
          <m:rPr>
            <m:sty m:val="p"/>
          </m:rPr>
          <m:t>$</m:t>
        </m:r>
        <m:r>
          <m:t>400</m:t>
        </m:r>
      </m:oMath>
      <w:r>
        <w:t xml:space="preserve">,</w:t>
      </w:r>
      <w:r>
        <w:t xml:space="preserve"> </w:t>
      </w:r>
      <m:oMath>
        <m:r>
          <m:t>I</m:t>
        </m:r>
        <m:r>
          <m:t>O</m:t>
        </m:r>
        <m:r>
          <m:t>P</m:t>
        </m:r>
        <m:sSub>
          <m:e>
            <m:r>
              <m:t>S</m:t>
            </m:r>
          </m:e>
          <m:sub>
            <m:r>
              <m:t>d</m:t>
            </m:r>
            <m:r>
              <m:t>e</m:t>
            </m:r>
            <m:r>
              <m:t>v</m:t>
            </m:r>
          </m:sub>
        </m:sSub>
        <m:r>
          <m:rPr>
            <m:sty m:val="p"/>
          </m:rPr>
          <m:t>=</m:t>
        </m:r>
        <m:r>
          <m:t>400</m:t>
        </m:r>
        <m:r>
          <m:t> </m:t>
        </m:r>
        <m:r>
          <m:t>000</m:t>
        </m:r>
      </m:oMath>
      <w:r>
        <w:t xml:space="preserve">. Cost:</w:t>
      </w:r>
      <w:r>
        <w:t xml:space="preserve"> </w:t>
      </w:r>
      <m:oMath>
        <m:r>
          <m:t>400</m:t>
        </m:r>
        <m:r>
          <m:rPr>
            <m:sty m:val="p"/>
          </m:rPr>
          <m:t>/</m:t>
        </m:r>
        <m:r>
          <m:t>400</m:t>
        </m:r>
        <m:r>
          <m:t> </m:t>
        </m:r>
        <m:r>
          <m:t>000</m:t>
        </m:r>
        <m:r>
          <m:rPr>
            <m:sty m:val="p"/>
          </m:rPr>
          <m:t>=</m:t>
        </m:r>
        <m:r>
          <m:rPr>
            <m:sty m:val="p"/>
          </m:rPr>
          <m:t>$</m:t>
        </m:r>
        <m:r>
          <m:t>0.001</m:t>
        </m:r>
      </m:oMath>
      <w:r>
        <w:t xml:space="preserve"> </w:t>
      </w:r>
      <w:r>
        <w:t xml:space="preserve">per read/s.</w:t>
      </w:r>
      <w:r>
        <w:t xml:space="preserve"> </w:t>
      </w:r>
      <m:oMath>
        <m:sSub>
          <m:e>
            <m:r>
              <m:t>T</m:t>
            </m:r>
          </m:e>
          <m:sub>
            <m:r>
              <m:t>B</m:t>
            </m:r>
            <m:r>
              <m:t>E</m:t>
            </m:r>
          </m:sub>
        </m:sSub>
        <m:r>
          <m:rPr>
            <m:sty m:val="p"/>
          </m:rPr>
          <m:t>=</m:t>
        </m:r>
        <m:r>
          <m:t>0.001</m:t>
        </m:r>
        <m:r>
          <m:rPr>
            <m:sty m:val="p"/>
          </m:rPr>
          <m:t>/</m:t>
        </m:r>
        <m:d>
          <m:dPr>
            <m:begChr m:val="("/>
            <m:endChr m:val=")"/>
            <m:sepChr m:val=""/>
            <m:grow/>
          </m:dPr>
          <m:e>
            <m:r>
              <m:t>3.28</m:t>
            </m:r>
            <m:r>
              <m:rPr>
                <m:sty m:val="p"/>
              </m:rPr>
              <m:t>×</m:t>
            </m:r>
            <m:sSup>
              <m:e>
                <m:r>
                  <m:t>10</m:t>
                </m:r>
              </m:e>
              <m:sup>
                <m:r>
                  <m:rPr>
                    <m:sty m:val="p"/>
                  </m:rPr>
                  <m:t>−</m:t>
                </m:r>
                <m:r>
                  <m:t>5</m:t>
                </m:r>
              </m:sup>
            </m:sSup>
          </m:e>
        </m:d>
        <m:r>
          <m:rPr>
            <m:sty m:val="p"/>
          </m:rPr>
          <m:t>≈</m:t>
        </m:r>
        <m:r>
          <m:t>30.5</m:t>
        </m:r>
      </m:oMath>
      <w:r>
        <w:t xml:space="preserve"> </w:t>
      </w:r>
      <w:r>
        <w:t xml:space="preserve">s.</w:t>
      </w:r>
    </w:p>
    <w:p>
      <w:pPr>
        <w:pStyle w:val="CalloutExample"/>
      </w:pPr>
      <w:r>
        <w:rPr>
          <w:bCs/>
          <w:b/>
        </w:rPr>
        <w:t xml:space="preserve">Interpretation.</w:t>
      </w:r>
      <w:r>
        <w:t xml:space="preserve"> </w:t>
      </w:r>
      <w:r>
        <w:t xml:space="preserve">On HDDs, a page touched about twice a day earns its RAM; on NVMe, only pages re-referenced every half minute or so do.</w:t>
      </w:r>
      <w:r>
        <w:t xml:space="preserve"> </w:t>
      </w:r>
      <w:r>
        <w:rPr>
          <w:bCs/>
          <w:b/>
        </w:rPr>
        <w:t xml:space="preserve">Engineering implication.</w:t>
      </w:r>
      <w:r>
        <w:t xml:space="preserve"> </w:t>
      </w:r>
      <w:r>
        <w:t xml:space="preserve">With flash, size the pool for the hot working set and the latency target, not the whole database. CPU cost per I/O and latency SLOs, ignored here, push toward a somewhat larger pool.</w:t>
      </w:r>
    </w:p>
    <w:bookmarkEnd w:id="1455"/>
    <w:bookmarkStart w:id="1456" w:name="failure-scenarios-32"/>
    <w:p>
      <w:pPr>
        <w:pStyle w:val="Heading4"/>
      </w:pPr>
      <w:r>
        <w:t xml:space="preserve">Failure scenarios</w:t>
      </w:r>
    </w:p>
    <w:p>
      <w:pPr>
        <w:pStyle w:val="FirstParagraph"/>
      </w:pPr>
      <w:r>
        <w:rPr>
          <w:bCs/>
          <w:b/>
        </w:rPr>
        <w:t xml:space="preserve">Table 13.3 — Buffer pool 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Throughput collapses after a report</w:t>
            </w:r>
          </w:p>
        </w:tc>
        <w:tc>
          <w:tcPr/>
          <w:p>
            <w:pPr>
              <w:pStyle w:val="Compact"/>
              <w:jc w:val="left"/>
            </w:pPr>
            <w:r>
              <w:t xml:space="preserve">Scan floods the pool</w:t>
            </w:r>
          </w:p>
        </w:tc>
        <w:tc>
          <w:tcPr/>
          <w:p>
            <w:pPr>
              <w:pStyle w:val="Compact"/>
              <w:jc w:val="left"/>
            </w:pPr>
            <w:r>
              <w:t xml:space="preserve">Hit ratio drops</w:t>
            </w:r>
          </w:p>
        </w:tc>
        <w:tc>
          <w:tcPr/>
          <w:p>
            <w:pPr>
              <w:pStyle w:val="Compact"/>
              <w:jc w:val="left"/>
            </w:pPr>
            <w:r>
              <w:t xml:space="preserve">Re-warm</w:t>
            </w:r>
          </w:p>
        </w:tc>
        <w:tc>
          <w:tcPr/>
          <w:p>
            <w:pPr>
              <w:pStyle w:val="Compact"/>
              <w:jc w:val="left"/>
            </w:pPr>
            <w:r>
              <w:t xml:space="preserve">Scan-resistant policy; reports on a replica</w:t>
            </w:r>
          </w:p>
        </w:tc>
      </w:tr>
      <w:tr>
        <w:tc>
          <w:tcPr/>
          <w:p>
            <w:pPr>
              <w:pStyle w:val="Compact"/>
              <w:jc w:val="left"/>
            </w:pPr>
            <w:r>
              <w:t xml:space="preserve">Stalls waiting for free frames</w:t>
            </w:r>
          </w:p>
        </w:tc>
        <w:tc>
          <w:tcPr/>
          <w:p>
            <w:pPr>
              <w:pStyle w:val="Compact"/>
              <w:jc w:val="left"/>
            </w:pPr>
            <w:r>
              <w:t xml:space="preserve">All frames dirty</w:t>
            </w:r>
          </w:p>
        </w:tc>
        <w:tc>
          <w:tcPr/>
          <w:p>
            <w:pPr>
              <w:pStyle w:val="Compact"/>
              <w:jc w:val="left"/>
            </w:pPr>
            <w:r>
              <w:t xml:space="preserve">Wait events; dirty % near 100</w:t>
            </w:r>
          </w:p>
        </w:tc>
        <w:tc>
          <w:tcPr/>
          <w:p>
            <w:pPr>
              <w:pStyle w:val="Compact"/>
              <w:jc w:val="left"/>
            </w:pPr>
            <w:r>
              <w:t xml:space="preserve">Flush faster</w:t>
            </w:r>
          </w:p>
        </w:tc>
        <w:tc>
          <w:tcPr/>
          <w:p>
            <w:pPr>
              <w:pStyle w:val="Compact"/>
              <w:jc w:val="left"/>
            </w:pPr>
            <w:r>
              <w:t xml:space="preserve">Tune page cleaners or bgwriter</w:t>
            </w:r>
          </w:p>
        </w:tc>
      </w:tr>
      <w:tr>
        <w:tc>
          <w:tcPr/>
          <w:p>
            <w:pPr>
              <w:pStyle w:val="Compact"/>
              <w:jc w:val="left"/>
            </w:pPr>
            <w:r>
              <w:t xml:space="preserve">High p99 after restart</w:t>
            </w:r>
          </w:p>
        </w:tc>
        <w:tc>
          <w:tcPr/>
          <w:p>
            <w:pPr>
              <w:pStyle w:val="Compact"/>
              <w:jc w:val="left"/>
            </w:pPr>
            <w:r>
              <w:t xml:space="preserve">Cold pool</w:t>
            </w:r>
          </w:p>
        </w:tc>
        <w:tc>
          <w:tcPr/>
          <w:p>
            <w:pPr>
              <w:pStyle w:val="Compact"/>
              <w:jc w:val="left"/>
            </w:pPr>
            <w:r>
              <w:t xml:space="preserve">Low hit ratio</w:t>
            </w:r>
          </w:p>
        </w:tc>
        <w:tc>
          <w:tcPr/>
          <w:p>
            <w:pPr>
              <w:pStyle w:val="Compact"/>
              <w:jc w:val="left"/>
            </w:pPr>
            <w:r>
              <w:t xml:space="preserve">Warm before taking traffic</w:t>
            </w:r>
          </w:p>
        </w:tc>
        <w:tc>
          <w:tcPr/>
          <w:p>
            <w:pPr>
              <w:pStyle w:val="Compact"/>
              <w:jc w:val="left"/>
            </w:pPr>
            <w:r>
              <w:t xml:space="preserve">Dump/reload page list;</w:t>
            </w:r>
            <w:r>
              <w:t xml:space="preserve"> </w:t>
            </w:r>
            <w:r>
              <w:rPr>
                <w:rStyle w:val="VerbatimChar"/>
              </w:rPr>
              <w:t xml:space="preserve">pg_prewarm</w:t>
            </w:r>
          </w:p>
        </w:tc>
      </w:tr>
    </w:tbl>
    <w:p>
      <w:pPr>
        <w:pStyle w:val="CalloutMistake"/>
      </w:pPr>
      <w:r>
        <w:rPr>
          <w:bCs/>
          <w:b/>
        </w:rPr>
        <w:t xml:space="preserve">COMMON MISTAKE</w:t>
      </w:r>
    </w:p>
    <w:p>
      <w:pPr>
        <w:pStyle w:val="CalloutMistake"/>
      </w:pPr>
      <w:r>
        <w:rPr>
          <w:bCs/>
          <w:b/>
        </w:rPr>
        <w:t xml:space="preserve">“</w:t>
      </w:r>
      <w:r>
        <w:rPr>
          <w:bCs/>
          <w:b/>
        </w:rPr>
        <w:t xml:space="preserve">A 99% buffer hit ratio means the disk does not matter.</w:t>
      </w:r>
      <w:r>
        <w:rPr>
          <w:bCs/>
          <w:b/>
        </w:rPr>
        <w:t xml:space="preserve">”</w:t>
      </w:r>
      <w:r>
        <w:t xml:space="preserve"> </w:t>
      </w:r>
      <w:r>
        <w:t xml:space="preserve">At 50,000 page requests per second, 1% misses is 500 random reads per second, each 80 µs on NVMe or 10 ms on an HDD — enough to saturate a hard disk (§5.6.1). Hit ratios must be read together with the absolute miss rate and the device’s IOPS.</w:t>
      </w:r>
    </w:p>
    <w:bookmarkEnd w:id="1456"/>
    <w:bookmarkEnd w:id="1457"/>
    <w:bookmarkEnd w:id="1458"/>
    <w:bookmarkStart w:id="1475" w:name="write-ahead-logging-and-recovery"/>
    <w:p>
      <w:pPr>
        <w:pStyle w:val="Heading2"/>
      </w:pPr>
      <w:r>
        <w:t xml:space="preserve">13.5 Write-ahead logging and recovery</w:t>
      </w:r>
    </w:p>
    <w:bookmarkStart w:id="1462" w:name="X4b117ea77e435aa0981aa5a6d03c5f7dc3f3cae"/>
    <w:p>
      <w:pPr>
        <w:pStyle w:val="Heading3"/>
      </w:pPr>
      <w:r>
        <w:t xml:space="preserve">13.5.1 The problem: fast commits without losing data</w:t>
      </w:r>
    </w:p>
    <w:p>
      <w:pPr>
        <w:pStyle w:val="CalloutDefinition"/>
      </w:pPr>
      <w:r>
        <w:rPr>
          <w:bCs/>
          <w:b/>
        </w:rPr>
        <w:t xml:space="preserve">DEFINITION</w:t>
      </w:r>
    </w:p>
    <w:p>
      <w:pPr>
        <w:pStyle w:val="CalloutDefinition"/>
      </w:pPr>
      <w:r>
        <w:rPr>
          <w:bCs/>
          <w:b/>
        </w:rPr>
        <w:t xml:space="preserve">Definition — Write-ahead log (WAL).</w:t>
      </w:r>
      <w:r>
        <w:t xml:space="preserve"> </w:t>
      </w:r>
      <w:r>
        <w:t xml:space="preserve">An append-only file of</w:t>
      </w:r>
      <w:r>
        <w:t xml:space="preserve"> </w:t>
      </w:r>
      <w:r>
        <w:rPr>
          <w:bCs/>
          <w:b/>
        </w:rPr>
        <w:t xml:space="preserve">log records</w:t>
      </w:r>
      <w:r>
        <w:t xml:space="preserve"> </w:t>
      </w:r>
      <w:r>
        <w:t xml:space="preserve">describing every change to the database, written</w:t>
      </w:r>
      <w:r>
        <w:t xml:space="preserve"> </w:t>
      </w:r>
      <w:r>
        <w:rPr>
          <w:iCs/>
          <w:i/>
        </w:rPr>
        <w:t xml:space="preserve">before</w:t>
      </w:r>
      <w:r>
        <w:t xml:space="preserve"> </w:t>
      </w:r>
      <w:r>
        <w:t xml:space="preserve">the changed pages themselves reach disk. Each record is identified by a monotonically increasing</w:t>
      </w:r>
      <w:r>
        <w:t xml:space="preserve"> </w:t>
      </w:r>
      <w:r>
        <w:rPr>
          <w:bCs/>
          <w:b/>
        </w:rPr>
        <w:t xml:space="preserve">log sequence number (LSN)</w:t>
      </w:r>
      <w:r>
        <w:t xml:space="preserve">, usually its byte offset in the log. Also called the redo log (InnoDB) or journal.</w:t>
      </w:r>
    </w:p>
    <w:bookmarkStart w:id="1459" w:name="first-principles-explanation-81"/>
    <w:p>
      <w:pPr>
        <w:pStyle w:val="Heading4"/>
      </w:pPr>
      <w:r>
        <w:t xml:space="preserve">First-principles explanation</w:t>
      </w:r>
    </w:p>
    <w:p>
      <w:pPr>
        <w:pStyle w:val="FirstParagraph"/>
      </w:pPr>
      <w:r>
        <w:t xml:space="preserve">A shopkeeper writes every sale as one line at the bottom of a cash book the moment it happens, and tidies the stock ledger later. If a fire alarm interrupts the tidying, nothing is lost: she replays the cash book from the last time the ledger was known to be correct. Appending a line is fast; reorganizing shelves is slow. The cash book is the WAL, the ledger is the data pages, and</w:t>
      </w:r>
      <w:r>
        <w:t xml:space="preserve"> </w:t>
      </w:r>
      <w:r>
        <w:t xml:space="preserve">“</w:t>
      </w:r>
      <w:r>
        <w:t xml:space="preserve">last known correct</w:t>
      </w:r>
      <w:r>
        <w:t xml:space="preserve">”</w:t>
      </w:r>
      <w:r>
        <w:t xml:space="preserve"> </w:t>
      </w:r>
      <w:r>
        <w:t xml:space="preserve">is a</w:t>
      </w:r>
      <w:r>
        <w:t xml:space="preserve"> </w:t>
      </w:r>
      <w:r>
        <w:rPr>
          <w:bCs/>
          <w:b/>
        </w:rPr>
        <w:t xml:space="preserve">checkpoint</w:t>
      </w:r>
      <w:r>
        <w:t xml:space="preserve">.</w:t>
      </w:r>
    </w:p>
    <w:bookmarkEnd w:id="1459"/>
    <w:bookmarkStart w:id="1460" w:name="why-does-this-exist-48"/>
    <w:p>
      <w:pPr>
        <w:pStyle w:val="Heading4"/>
      </w:pPr>
      <w:r>
        <w:t xml:space="preserve">Why does this exist?</w:t>
      </w:r>
    </w:p>
    <w:p>
      <w:pPr>
        <w:pStyle w:val="FirstParagraph"/>
      </w:pPr>
      <w:r>
        <w:t xml:space="preserve">Writing a transaction’s ten random pages at commit would cost ten random writes, and a crash midway would leave some pages new and some old. The WAL replaces them with one small</w:t>
      </w:r>
      <w:r>
        <w:t xml:space="preserve"> </w:t>
      </w:r>
      <w:r>
        <w:rPr>
          <w:iCs/>
          <w:i/>
        </w:rPr>
        <w:t xml:space="preserve">sequential</w:t>
      </w:r>
      <w:r>
        <w:t xml:space="preserve"> </w:t>
      </w:r>
      <w:r>
        <w:t xml:space="preserve">append and one</w:t>
      </w:r>
      <w:r>
        <w:t xml:space="preserve"> </w:t>
      </w:r>
      <w:r>
        <w:rPr>
          <w:rStyle w:val="VerbatimChar"/>
        </w:rPr>
        <w:t xml:space="preserve">fsync</w:t>
      </w:r>
      <w:r>
        <w:t xml:space="preserve"> </w:t>
      </w:r>
      <w:r>
        <w:t xml:space="preserve">per commit group (§6.14.3). Two freedoms follow [Härder and Reuter 1983]:</w:t>
      </w:r>
      <w:r>
        <w:t xml:space="preserve"> </w:t>
      </w:r>
      <w:r>
        <w:rPr>
          <w:bCs/>
          <w:b/>
        </w:rPr>
        <w:t xml:space="preserve">no-force</w:t>
      </w:r>
      <w:r>
        <w:t xml:space="preserve"> </w:t>
      </w:r>
      <w:r>
        <w:t xml:space="preserve">— committed changes need not reach their pages at commit, because the log can</w:t>
      </w:r>
      <w:r>
        <w:t xml:space="preserve"> </w:t>
      </w:r>
      <w:r>
        <w:rPr>
          <w:bCs/>
          <w:b/>
        </w:rPr>
        <w:t xml:space="preserve">redo</w:t>
      </w:r>
      <w:r>
        <w:t xml:space="preserve"> </w:t>
      </w:r>
      <w:r>
        <w:t xml:space="preserve">them; and</w:t>
      </w:r>
      <w:r>
        <w:t xml:space="preserve"> </w:t>
      </w:r>
      <w:r>
        <w:rPr>
          <w:bCs/>
          <w:b/>
        </w:rPr>
        <w:t xml:space="preserve">steal</w:t>
      </w:r>
      <w:r>
        <w:t xml:space="preserve"> </w:t>
      </w:r>
      <w:r>
        <w:t xml:space="preserve">— pages with</w:t>
      </w:r>
      <w:r>
        <w:t xml:space="preserve"> </w:t>
      </w:r>
      <w:r>
        <w:rPr>
          <w:iCs/>
          <w:i/>
        </w:rPr>
        <w:t xml:space="preserve">uncommitted</w:t>
      </w:r>
      <w:r>
        <w:t xml:space="preserve"> </w:t>
      </w:r>
      <w:r>
        <w:t xml:space="preserve">changes may be written (say, on eviction), because the log can</w:t>
      </w:r>
      <w:r>
        <w:t xml:space="preserve"> </w:t>
      </w:r>
      <w:r>
        <w:rPr>
          <w:bCs/>
          <w:b/>
        </w:rPr>
        <w:t xml:space="preserve">undo</w:t>
      </w:r>
      <w:r>
        <w:t xml:space="preserve"> </w:t>
      </w:r>
      <w:r>
        <w:t xml:space="preserve">them. Steal/no-force gives the fastest commits and freest buffer pool, at the price of needing both redo and undo — the design point of ARIES.</w:t>
      </w:r>
    </w:p>
    <w:bookmarkEnd w:id="1460"/>
    <w:bookmarkStart w:id="1461" w:name="how-it-works-internally-51"/>
    <w:p>
      <w:pPr>
        <w:pStyle w:val="Heading4"/>
      </w:pPr>
      <w:r>
        <w:t xml:space="preserve">How it works internally</w:t>
      </w:r>
    </w:p>
    <w:p>
      <w:pPr>
        <w:pStyle w:val="FirstParagraph"/>
      </w:pPr>
      <w:r>
        <w:t xml:space="preserve">An update record holds its LSN, transaction ID,</w:t>
      </w:r>
      <w:r>
        <w:t xml:space="preserve"> </w:t>
      </w:r>
      <w:r>
        <w:rPr>
          <w:rStyle w:val="VerbatimChar"/>
        </w:rPr>
        <w:t xml:space="preserve">prevLSN</w:t>
      </w:r>
      <w:r>
        <w:t xml:space="preserve"> </w:t>
      </w:r>
      <w:r>
        <w:t xml:space="preserve">(the transaction’s previous record, chaining backward), page ID, and</w:t>
      </w:r>
      <w:r>
        <w:t xml:space="preserve"> </w:t>
      </w:r>
      <w:r>
        <w:rPr>
          <w:bCs/>
          <w:b/>
        </w:rPr>
        <w:t xml:space="preserve">redo</w:t>
      </w:r>
      <w:r>
        <w:t xml:space="preserve"> </w:t>
      </w:r>
      <w:r>
        <w:t xml:space="preserve">and</w:t>
      </w:r>
      <w:r>
        <w:t xml:space="preserve"> </w:t>
      </w:r>
      <w:r>
        <w:rPr>
          <w:bCs/>
          <w:b/>
        </w:rPr>
        <w:t xml:space="preserve">undo</w:t>
      </w:r>
      <w:r>
        <w:t xml:space="preserve"> </w:t>
      </w:r>
      <w:r>
        <w:t xml:space="preserve">information. Records are usually</w:t>
      </w:r>
      <w:r>
        <w:t xml:space="preserve"> </w:t>
      </w:r>
      <w:r>
        <w:rPr>
          <w:bCs/>
          <w:b/>
        </w:rPr>
        <w:t xml:space="preserve">physiological</w:t>
      </w:r>
      <w:r>
        <w:t xml:space="preserve">: physical to a page, logical within it (</w:t>
      </w:r>
      <w:r>
        <w:t xml:space="preserve">“</w:t>
      </w:r>
      <w:r>
        <w:t xml:space="preserve">insert at slot 3 of page 7</w:t>
      </w:r>
      <w:r>
        <w:t xml:space="preserve">”</w:t>
      </w:r>
      <w:r>
        <w:t xml:space="preserve">). Two rules make the WAL correct:</w:t>
      </w:r>
    </w:p>
    <w:p>
      <w:pPr>
        <w:numPr>
          <w:ilvl w:val="0"/>
          <w:numId w:val="1441"/>
        </w:numPr>
        <w:pStyle w:val="Compact"/>
      </w:pPr>
      <w:r>
        <w:rPr>
          <w:bCs/>
          <w:b/>
        </w:rPr>
        <w:t xml:space="preserve">WAL rule:</w:t>
      </w:r>
      <w:r>
        <w:t xml:space="preserve"> </w:t>
      </w:r>
      <w:r>
        <w:t xml:space="preserve">before a dirty page is written, the log must be durable up to that page’s</w:t>
      </w:r>
      <w:r>
        <w:t xml:space="preserve"> </w:t>
      </w:r>
      <w:r>
        <w:rPr>
          <w:rStyle w:val="VerbatimChar"/>
        </w:rPr>
        <w:t xml:space="preserve">pageLSN</w:t>
      </w:r>
      <w:r>
        <w:t xml:space="preserve">:</w:t>
      </w:r>
      <w:r>
        <w:t xml:space="preserve"> </w:t>
      </w:r>
      <m:oMath>
        <m:r>
          <m:rPr>
            <m:nor/>
            <m:sty m:val="p"/>
          </m:rPr>
          <m:t>pageLSN</m:t>
        </m:r>
        <m:r>
          <m:rPr>
            <m:sty m:val="p"/>
          </m:rPr>
          <m:t>≤</m:t>
        </m:r>
        <m:r>
          <m:rPr>
            <m:nor/>
            <m:sty m:val="p"/>
          </m:rPr>
          <m:t>flushedLSN</m:t>
        </m:r>
      </m:oMath>
      <w:r>
        <w:t xml:space="preserve">. Otherwise a change could reach disk with no record able to undo it.</w:t>
      </w:r>
    </w:p>
    <w:p>
      <w:pPr>
        <w:numPr>
          <w:ilvl w:val="0"/>
          <w:numId w:val="1441"/>
        </w:numPr>
        <w:pStyle w:val="Compact"/>
      </w:pPr>
      <w:r>
        <w:rPr>
          <w:bCs/>
          <w:b/>
        </w:rPr>
        <w:t xml:space="preserve">Commit rule:</w:t>
      </w:r>
      <w:r>
        <w:t xml:space="preserve"> </w:t>
      </w:r>
      <w:r>
        <w:t xml:space="preserve">a transaction is acknowledged only after its commit record is durable.</w:t>
      </w:r>
    </w:p>
    <w:p>
      <w:pPr>
        <w:pStyle w:val="FirstParagraph"/>
      </w:pPr>
      <w:r>
        <w:t xml:space="preserve">Because each page stores the LSN of the last change applied to it, recovery can tell whether a record is already on the page, which makes redo</w:t>
      </w:r>
      <w:r>
        <w:t xml:space="preserve"> </w:t>
      </w:r>
      <w:r>
        <w:rPr>
          <w:bCs/>
          <w:b/>
        </w:rPr>
        <w:t xml:space="preserve">idempotent</w:t>
      </w:r>
      <w:r>
        <w:t xml:space="preserve">.</w:t>
      </w:r>
    </w:p>
    <w:bookmarkEnd w:id="1461"/>
    <w:bookmarkEnd w:id="1462"/>
    <w:bookmarkStart w:id="1466" w:name="checkpoints"/>
    <w:p>
      <w:pPr>
        <w:pStyle w:val="Heading3"/>
      </w:pPr>
      <w:r>
        <w:t xml:space="preserve">13.5.2 Checkpoints</w:t>
      </w:r>
    </w:p>
    <w:p>
      <w:pPr>
        <w:pStyle w:val="FirstParagraph"/>
      </w:pPr>
      <w:r>
        <w:t xml:space="preserve">A</w:t>
      </w:r>
      <w:r>
        <w:t xml:space="preserve"> </w:t>
      </w:r>
      <w:r>
        <w:rPr>
          <w:bCs/>
          <w:b/>
        </w:rPr>
        <w:t xml:space="preserve">checkpoint</w:t>
      </w:r>
      <w:r>
        <w:t xml:space="preserve"> </w:t>
      </w:r>
      <w:r>
        <w:t xml:space="preserve">bounds how much log recovery must read and how much log must be kept. Rather than freezing the database to flush everything, engines take</w:t>
      </w:r>
      <w:r>
        <w:t xml:space="preserve"> </w:t>
      </w:r>
      <w:r>
        <w:rPr>
          <w:bCs/>
          <w:b/>
        </w:rPr>
        <w:t xml:space="preserve">fuzzy checkpoints</w:t>
      </w:r>
      <w:r>
        <w:t xml:space="preserve">: log the</w:t>
      </w:r>
      <w:r>
        <w:t xml:space="preserve"> </w:t>
      </w:r>
      <w:r>
        <w:rPr>
          <w:bCs/>
          <w:b/>
        </w:rPr>
        <w:t xml:space="preserve">dirty page table</w:t>
      </w:r>
      <w:r>
        <w:t xml:space="preserve"> </w:t>
      </w:r>
      <w:r>
        <w:t xml:space="preserve">(each dirty page with its</w:t>
      </w:r>
      <w:r>
        <w:t xml:space="preserve"> </w:t>
      </w:r>
      <w:r>
        <w:rPr>
          <w:rStyle w:val="VerbatimChar"/>
        </w:rPr>
        <w:t xml:space="preserve">recLSN</w:t>
      </w:r>
      <w:r>
        <w:t xml:space="preserve">, the LSN that first dirtied it) and the</w:t>
      </w:r>
      <w:r>
        <w:t xml:space="preserve"> </w:t>
      </w:r>
      <w:r>
        <w:rPr>
          <w:bCs/>
          <w:b/>
        </w:rPr>
        <w:t xml:space="preserve">transaction table</w:t>
      </w:r>
      <w:r>
        <w:t xml:space="preserve">, then flush pages gradually in the background. Redo starts from the smallest</w:t>
      </w:r>
      <w:r>
        <w:t xml:space="preserve"> </w:t>
      </w:r>
      <w:r>
        <w:rPr>
          <w:rStyle w:val="VerbatimChar"/>
        </w:rPr>
        <w:t xml:space="preserve">recLSN</w:t>
      </w:r>
      <w:r>
        <w:t xml:space="preserve">; older log can be recycled.</w:t>
      </w:r>
    </w:p>
    <w:p>
      <w:pPr>
        <w:pStyle w:val="BodyText"/>
      </w:pPr>
      <w:r>
        <w:rPr>
          <w:bCs/>
          <w:b/>
        </w:rPr>
        <w:t xml:space="preserve">Figure 13.3 — WAL, commit and checkpoint timeline.</w:t>
      </w:r>
    </w:p>
    <w:p>
      <w:pPr>
        <w:pStyle w:val="BodyText"/>
      </w:pPr>
      <w:r>
        <w:drawing>
          <wp:inline>
            <wp:extent cx="5334000" cy="2261008"/>
            <wp:effectExtent b="0" l="0" r="0" t="0"/>
            <wp:docPr descr="" title="" id="1464" name="Picture"/>
            <a:graphic>
              <a:graphicData uri="http://schemas.openxmlformats.org/drawingml/2006/picture">
                <pic:pic>
                  <pic:nvPicPr>
                    <pic:cNvPr descr="/home/user/System-Design/build/.cache/diagrams/1dbe3f3ad59f.png" id="1465" name="Picture"/>
                    <pic:cNvPicPr>
                      <a:picLocks noChangeArrowheads="1" noChangeAspect="1"/>
                    </pic:cNvPicPr>
                  </pic:nvPicPr>
                  <pic:blipFill>
                    <a:blip r:embed="rId1463"/>
                    <a:stretch>
                      <a:fillRect/>
                    </a:stretch>
                  </pic:blipFill>
                  <pic:spPr bwMode="auto">
                    <a:xfrm>
                      <a:off x="0" y="0"/>
                      <a:ext cx="5334000" cy="2261008"/>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WAL file and data files are separate durable storage boundaries; the buffer pool is RAM. Solid arrows are synchronous; the dashed arrow is the acknowledgment. The commit waits only for a sequential log</w:t>
      </w:r>
      <w:r>
        <w:t xml:space="preserve"> </w:t>
      </w:r>
      <w:r>
        <w:rPr>
          <w:rStyle w:val="VerbatimChar"/>
        </w:rPr>
        <w:t xml:space="preserve">fsync</w:t>
      </w:r>
      <w:r>
        <w:t xml:space="preserve"> </w:t>
      </w:r>
      <w:r>
        <w:t xml:space="preserve">up to LSN 110, never for page 7, which the checkpointer writes later, respecting the WAL rule. At the crash, page 9’s uncommitted change exists only in RAM and perhaps the log tail; recovery must ensure it does not appear. Scaling: the log is one sequential stream, so its device’s flush latency bounds commit throughput; put it on fast, power-loss-protected storage.</w:t>
      </w:r>
    </w:p>
    <w:bookmarkEnd w:id="1466"/>
    <w:bookmarkStart w:id="1471" w:name="aries-recovery-analysis-redo-undo"/>
    <w:p>
      <w:pPr>
        <w:pStyle w:val="Heading3"/>
      </w:pPr>
      <w:r>
        <w:t xml:space="preserve">13.5.3 ARIES recovery: analysis, redo, undo</w:t>
      </w:r>
    </w:p>
    <w:p>
      <w:pPr>
        <w:pStyle w:val="FirstParagraph"/>
      </w:pPr>
      <w:r>
        <w:rPr>
          <w:bCs/>
          <w:b/>
        </w:rPr>
        <w:t xml:space="preserve">ARIES</w:t>
      </w:r>
      <w:r>
        <w:t xml:space="preserve">, developed at IBM, is the reference design for steal/no-force recovery and underlies DB2 and SQL Server among others [Mohan et al. 1992]:</w:t>
      </w:r>
    </w:p>
    <w:p>
      <w:pPr>
        <w:numPr>
          <w:ilvl w:val="0"/>
          <w:numId w:val="1442"/>
        </w:numPr>
        <w:pStyle w:val="Compact"/>
      </w:pPr>
      <w:r>
        <w:rPr>
          <w:bCs/>
          <w:b/>
        </w:rPr>
        <w:t xml:space="preserve">Analysis</w:t>
      </w:r>
      <w:r>
        <w:t xml:space="preserve"> </w:t>
      </w:r>
      <w:r>
        <w:t xml:space="preserve">(forward from the last checkpoint): rebuild the dirty page and transaction tables; committed transactions are</w:t>
      </w:r>
      <w:r>
        <w:t xml:space="preserve"> </w:t>
      </w:r>
      <w:r>
        <w:rPr>
          <w:bCs/>
          <w:b/>
        </w:rPr>
        <w:t xml:space="preserve">winners</w:t>
      </w:r>
      <w:r>
        <w:t xml:space="preserve">, active ones</w:t>
      </w:r>
      <w:r>
        <w:t xml:space="preserve"> </w:t>
      </w:r>
      <w:r>
        <w:rPr>
          <w:bCs/>
          <w:b/>
        </w:rPr>
        <w:t xml:space="preserve">losers</w:t>
      </w:r>
      <w:r>
        <w:t xml:space="preserve">.</w:t>
      </w:r>
    </w:p>
    <w:p>
      <w:pPr>
        <w:numPr>
          <w:ilvl w:val="0"/>
          <w:numId w:val="1442"/>
        </w:numPr>
        <w:pStyle w:val="Compact"/>
      </w:pPr>
      <w:r>
        <w:rPr>
          <w:bCs/>
          <w:b/>
        </w:rPr>
        <w:t xml:space="preserve">Redo</w:t>
      </w:r>
      <w:r>
        <w:t xml:space="preserve"> </w:t>
      </w:r>
      <w:r>
        <w:t xml:space="preserve">(forward from the smallest</w:t>
      </w:r>
      <w:r>
        <w:t xml:space="preserve"> </w:t>
      </w:r>
      <w:r>
        <w:rPr>
          <w:rStyle w:val="VerbatimChar"/>
        </w:rPr>
        <w:t xml:space="preserve">recLSN</w:t>
      </w:r>
      <w:r>
        <w:t xml:space="preserve">):</w:t>
      </w:r>
      <w:r>
        <w:t xml:space="preserve"> </w:t>
      </w:r>
      <w:r>
        <w:rPr>
          <w:bCs/>
          <w:b/>
        </w:rPr>
        <w:t xml:space="preserve">repeat history</w:t>
      </w:r>
      <w:r>
        <w:t xml:space="preserve"> </w:t>
      </w:r>
      <w:r>
        <w:t xml:space="preserve">— reapply every change, losers’ included, whose LSN exceeds the page’s</w:t>
      </w:r>
      <w:r>
        <w:t xml:space="preserve"> </w:t>
      </w:r>
      <w:r>
        <w:rPr>
          <w:rStyle w:val="VerbatimChar"/>
        </w:rPr>
        <w:t xml:space="preserve">pageLSN</w:t>
      </w:r>
      <w:r>
        <w:t xml:space="preserve">, restoring the exact pre-crash state.</w:t>
      </w:r>
    </w:p>
    <w:p>
      <w:pPr>
        <w:numPr>
          <w:ilvl w:val="0"/>
          <w:numId w:val="1442"/>
        </w:numPr>
        <w:pStyle w:val="Compact"/>
      </w:pPr>
      <w:r>
        <w:rPr>
          <w:bCs/>
          <w:b/>
        </w:rPr>
        <w:t xml:space="preserve">Undo</w:t>
      </w:r>
      <w:r>
        <w:t xml:space="preserve"> </w:t>
      </w:r>
      <w:r>
        <w:t xml:space="preserve">(backward): roll back losers along their</w:t>
      </w:r>
      <w:r>
        <w:t xml:space="preserve"> </w:t>
      </w:r>
      <w:r>
        <w:rPr>
          <w:rStyle w:val="VerbatimChar"/>
        </w:rPr>
        <w:t xml:space="preserve">prevLSN</w:t>
      </w:r>
      <w:r>
        <w:t xml:space="preserve"> </w:t>
      </w:r>
      <w:r>
        <w:t xml:space="preserve">chains, logging each step as a</w:t>
      </w:r>
      <w:r>
        <w:t xml:space="preserve"> </w:t>
      </w:r>
      <w:r>
        <w:rPr>
          <w:bCs/>
          <w:b/>
        </w:rPr>
        <w:t xml:space="preserve">compensation log record (CLR)</w:t>
      </w:r>
      <w:r>
        <w:t xml:space="preserve"> </w:t>
      </w:r>
      <w:r>
        <w:t xml:space="preserve">whose</w:t>
      </w:r>
      <w:r>
        <w:t xml:space="preserve"> </w:t>
      </w:r>
      <w:r>
        <w:rPr>
          <w:rStyle w:val="VerbatimChar"/>
        </w:rPr>
        <w:t xml:space="preserve">undoNextLSN</w:t>
      </w:r>
      <w:r>
        <w:t xml:space="preserve"> </w:t>
      </w:r>
      <w:r>
        <w:t xml:space="preserve">says what to undo next. A crash during recovery redoes the CLRs and resumes, never undoing twice.</w:t>
      </w:r>
    </w:p>
    <w:p>
      <w:pPr>
        <w:pStyle w:val="FirstParagraph"/>
      </w:pPr>
      <w:r>
        <w:t xml:space="preserve">Repeating history first is what allows row-level locking and logical undo: after redo, pages are exactly as the undo records expect, even if committed transactions changed them since.</w:t>
      </w:r>
    </w:p>
    <w:p>
      <w:pPr>
        <w:pStyle w:val="BodyText"/>
      </w:pPr>
      <w:r>
        <w:rPr>
          <w:bCs/>
          <w:b/>
        </w:rPr>
        <w:t xml:space="preserve">Figure 13.4 — The three ARIES passes over the log.</w:t>
      </w:r>
    </w:p>
    <w:p>
      <w:pPr>
        <w:pStyle w:val="BodyText"/>
      </w:pPr>
      <w:r>
        <w:drawing>
          <wp:inline>
            <wp:extent cx="5334000" cy="790936"/>
            <wp:effectExtent b="0" l="0" r="0" t="0"/>
            <wp:docPr descr="" title="" id="1468" name="Picture"/>
            <a:graphic>
              <a:graphicData uri="http://schemas.openxmlformats.org/drawingml/2006/picture">
                <pic:pic>
                  <pic:nvPicPr>
                    <pic:cNvPr descr="/home/user/System-Design/build/.cache/diagrams/97bb20ebe7e9.png" id="1469" name="Picture"/>
                    <pic:cNvPicPr>
                      <a:picLocks noChangeArrowheads="1" noChangeAspect="1"/>
                    </pic:cNvPicPr>
                  </pic:nvPicPr>
                  <pic:blipFill>
                    <a:blip r:embed="rId1467"/>
                    <a:stretch>
                      <a:fillRect/>
                    </a:stretch>
                  </pic:blipFill>
                  <pic:spPr bwMode="auto">
                    <a:xfrm>
                      <a:off x="0" y="0"/>
                      <a:ext cx="5334000" cy="790936"/>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boxes are positions in one WAL file, ordered by LSN. Analysis scans forward from the checkpoint; redo scans forward from the smallest</w:t>
      </w:r>
      <w:r>
        <w:t xml:space="preserve"> </w:t>
      </w:r>
      <w:r>
        <w:rPr>
          <w:rStyle w:val="VerbatimChar"/>
        </w:rPr>
        <w:t xml:space="preserve">recLSN</w:t>
      </w:r>
      <w:r>
        <w:t xml:space="preserve">, which precedes the checkpoint because fuzzy checkpoints do not flush pages; undo (dotted: it follows</w:t>
      </w:r>
      <w:r>
        <w:t xml:space="preserve"> </w:t>
      </w:r>
      <w:r>
        <w:rPr>
          <w:rStyle w:val="VerbatimChar"/>
        </w:rPr>
        <w:t xml:space="preserve">prevLSN</w:t>
      </w:r>
      <w:r>
        <w:t xml:space="preserve"> </w:t>
      </w:r>
      <w:r>
        <w:t xml:space="preserve">chains, not a sequential scan) walks back to the oldest loser record, writing CLRs. The log is read; data pages are read and written through the buffer pool. Failure point: a long-running transaction pushes point A far back, lengthening undo and log retention. Scaling: redo parallelizes by page.</w:t>
      </w:r>
    </w:p>
    <w:bookmarkStart w:id="1470" w:name="mathematical-foundations-20"/>
    <w:p>
      <w:pPr>
        <w:pStyle w:val="Heading4"/>
      </w:pPr>
      <w:r>
        <w:t xml:space="preserve">Mathematical foundations</w:t>
      </w:r>
    </w:p>
    <w:p>
      <w:pPr>
        <w:pStyle w:val="CalloutFormula"/>
      </w:pPr>
      <w:r>
        <w:rPr>
          <w:bCs/>
          <w:b/>
        </w:rPr>
        <w:t xml:space="preserve">FORMULA</w:t>
      </w:r>
    </w:p>
    <w:p>
      <w:pPr>
        <w:pStyle w:val="CalloutFormula"/>
      </w:pPr>
      <w:r>
        <w:rPr>
          <w:bCs/>
          <w:b/>
        </w:rPr>
        <w:t xml:space="preserve">Redo work after a crash</w:t>
      </w:r>
    </w:p>
    <w:p>
      <w:pPr>
        <w:pStyle w:val="CalloutFormula"/>
      </w:pPr>
      <m:oMathPara>
        <m:oMathParaPr>
          <m:jc m:val="center"/>
        </m:oMathParaPr>
        <m:oMath>
          <m:sSub>
            <m:e>
              <m:r>
                <m:t>W</m:t>
              </m:r>
            </m:e>
            <m:sub>
              <m:r>
                <m:t>r</m:t>
              </m:r>
              <m:r>
                <m:t>e</m:t>
              </m:r>
              <m:r>
                <m:t>d</m:t>
              </m:r>
              <m:r>
                <m:t>o</m:t>
              </m:r>
            </m:sub>
          </m:sSub>
          <m:r>
            <m:rPr>
              <m:sty m:val="p"/>
            </m:rPr>
            <m:t>≈</m:t>
          </m:r>
          <m:sSub>
            <m:e>
              <m:r>
                <m:t>r</m:t>
              </m:r>
            </m:e>
            <m:sub>
              <m:r>
                <m:t>W</m:t>
              </m:r>
              <m:r>
                <m:t>A</m:t>
              </m:r>
              <m:r>
                <m:t>L</m:t>
              </m:r>
            </m:sub>
          </m:sSub>
          <m:r>
            <m:rPr>
              <m:sty m:val="p"/>
            </m:rPr>
            <m:t>×</m:t>
          </m:r>
          <m:r>
            <m:t>Δ</m:t>
          </m:r>
          <m:sSub>
            <m:e>
              <m:r>
                <m:t>t</m:t>
              </m:r>
            </m:e>
            <m:sub>
              <m:r>
                <m:t>c</m:t>
              </m:r>
              <m:r>
                <m:t>k</m:t>
              </m:r>
              <m:r>
                <m:t>p</m:t>
              </m:r>
              <m:r>
                <m:t>t</m:t>
              </m:r>
            </m:sub>
          </m:sSub>
          <m:r>
            <m:rPr>
              <m:sty m:val="p"/>
            </m:rPr>
            <m:t>,</m:t>
          </m:r>
          <m:r>
            <m:t>  </m:t>
          </m:r>
          <m:sSub>
            <m:e>
              <m:r>
                <m:t>T</m:t>
              </m:r>
            </m:e>
            <m:sub>
              <m:r>
                <m:t>r</m:t>
              </m:r>
              <m:r>
                <m:t>e</m:t>
              </m:r>
              <m:r>
                <m:t>d</m:t>
              </m:r>
              <m:r>
                <m:t>o</m:t>
              </m:r>
            </m:sub>
          </m:sSub>
          <m:r>
            <m:rPr>
              <m:sty m:val="p"/>
            </m:rPr>
            <m:t>≈</m:t>
          </m:r>
          <m:f>
            <m:fPr>
              <m:type m:val="bar"/>
            </m:fPr>
            <m:num>
              <m:sSub>
                <m:e>
                  <m:r>
                    <m:t>W</m:t>
                  </m:r>
                </m:e>
                <m:sub>
                  <m:r>
                    <m:t>r</m:t>
                  </m:r>
                  <m:r>
                    <m:t>e</m:t>
                  </m:r>
                  <m:r>
                    <m:t>d</m:t>
                  </m:r>
                  <m:r>
                    <m:t>o</m:t>
                  </m:r>
                </m:sub>
              </m:sSub>
            </m:num>
            <m:den>
              <m:sSub>
                <m:e>
                  <m:r>
                    <m:t>b</m:t>
                  </m:r>
                </m:e>
                <m:sub>
                  <m:r>
                    <m:t>r</m:t>
                  </m:r>
                  <m:r>
                    <m:t>e</m:t>
                  </m:r>
                  <m:r>
                    <m:t>p</m:t>
                  </m:r>
                  <m:r>
                    <m:t>l</m:t>
                  </m:r>
                  <m:r>
                    <m:t>a</m:t>
                  </m:r>
                  <m:r>
                    <m:t>y</m:t>
                  </m:r>
                </m:sub>
              </m:sSub>
            </m:den>
          </m:f>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W</m:t>
                  </m:r>
                </m:e>
                <m:sub>
                  <m:r>
                    <m:t>r</m:t>
                  </m:r>
                  <m:r>
                    <m:t>e</m:t>
                  </m:r>
                  <m:r>
                    <m:t>d</m:t>
                  </m:r>
                  <m:r>
                    <m:t>o</m:t>
                  </m:r>
                </m:sub>
              </m:sSub>
            </m:oMath>
          </w:p>
        </w:tc>
        <w:tc>
          <w:tcPr/>
          <w:p>
            <w:pPr>
              <w:pStyle w:val="Compact"/>
              <w:jc w:val="left"/>
            </w:pPr>
            <w:r>
              <w:t xml:space="preserve">Log volume between the redo start point and the crash</w:t>
            </w:r>
          </w:p>
        </w:tc>
        <w:tc>
          <w:tcPr/>
          <w:p>
            <w:pPr>
              <w:pStyle w:val="Compact"/>
              <w:jc w:val="left"/>
            </w:pPr>
            <w:r>
              <w:t xml:space="preserve">bytes</w:t>
            </w:r>
          </w:p>
        </w:tc>
      </w:tr>
      <w:tr>
        <w:tc>
          <w:tcPr/>
          <w:p>
            <w:pPr>
              <w:pStyle w:val="Compact"/>
              <w:jc w:val="left"/>
            </w:pPr>
            <m:oMath>
              <m:sSub>
                <m:e>
                  <m:r>
                    <m:t>r</m:t>
                  </m:r>
                </m:e>
                <m:sub>
                  <m:r>
                    <m:t>W</m:t>
                  </m:r>
                  <m:r>
                    <m:t>A</m:t>
                  </m:r>
                  <m:r>
                    <m:t>L</m:t>
                  </m:r>
                </m:sub>
              </m:sSub>
            </m:oMath>
          </w:p>
        </w:tc>
        <w:tc>
          <w:tcPr/>
          <w:p>
            <w:pPr>
              <w:pStyle w:val="Compact"/>
              <w:jc w:val="left"/>
            </w:pPr>
            <w:r>
              <w:t xml:space="preserve">Rate at which the workload generates log</w:t>
            </w:r>
          </w:p>
        </w:tc>
        <w:tc>
          <w:tcPr/>
          <w:p>
            <w:pPr>
              <w:pStyle w:val="Compact"/>
              <w:jc w:val="left"/>
            </w:pPr>
            <w:r>
              <w:t xml:space="preserve">bytes/s</w:t>
            </w:r>
          </w:p>
        </w:tc>
      </w:tr>
      <w:tr>
        <w:tc>
          <w:tcPr/>
          <w:p>
            <w:pPr>
              <w:pStyle w:val="Compact"/>
              <w:jc w:val="left"/>
            </w:pPr>
            <m:oMath>
              <m:r>
                <m:t>Δ</m:t>
              </m:r>
              <m:sSub>
                <m:e>
                  <m:r>
                    <m:t>t</m:t>
                  </m:r>
                </m:e>
                <m:sub>
                  <m:r>
                    <m:t>c</m:t>
                  </m:r>
                  <m:r>
                    <m:t>k</m:t>
                  </m:r>
                  <m:r>
                    <m:t>p</m:t>
                  </m:r>
                  <m:r>
                    <m:t>t</m:t>
                  </m:r>
                </m:sub>
              </m:sSub>
            </m:oMath>
          </w:p>
        </w:tc>
        <w:tc>
          <w:tcPr/>
          <w:p>
            <w:pPr>
              <w:pStyle w:val="Compact"/>
              <w:jc w:val="left"/>
            </w:pPr>
            <w:r>
              <w:t xml:space="preserve">Time between checkpoints (worst case, crash just before the next one)</w:t>
            </w:r>
          </w:p>
        </w:tc>
        <w:tc>
          <w:tcPr/>
          <w:p>
            <w:pPr>
              <w:pStyle w:val="Compact"/>
              <w:jc w:val="left"/>
            </w:pPr>
            <w:r>
              <w:t xml:space="preserve">s</w:t>
            </w:r>
          </w:p>
        </w:tc>
      </w:tr>
      <w:tr>
        <w:tc>
          <w:tcPr/>
          <w:p>
            <w:pPr>
              <w:pStyle w:val="Compact"/>
              <w:jc w:val="left"/>
            </w:pPr>
            <m:oMath>
              <m:sSub>
                <m:e>
                  <m:r>
                    <m:t>T</m:t>
                  </m:r>
                </m:e>
                <m:sub>
                  <m:r>
                    <m:t>r</m:t>
                  </m:r>
                  <m:r>
                    <m:t>e</m:t>
                  </m:r>
                  <m:r>
                    <m:t>d</m:t>
                  </m:r>
                  <m:r>
                    <m:t>o</m:t>
                  </m:r>
                </m:sub>
              </m:sSub>
            </m:oMath>
          </w:p>
        </w:tc>
        <w:tc>
          <w:tcPr/>
          <w:p>
            <w:pPr>
              <w:pStyle w:val="Compact"/>
              <w:jc w:val="left"/>
            </w:pPr>
            <w:r>
              <w:t xml:space="preserve">Duration of the redo pass</w:t>
            </w:r>
          </w:p>
        </w:tc>
        <w:tc>
          <w:tcPr/>
          <w:p>
            <w:pPr>
              <w:pStyle w:val="Compact"/>
              <w:jc w:val="left"/>
            </w:pPr>
            <w:r>
              <w:t xml:space="preserve">s</w:t>
            </w:r>
          </w:p>
        </w:tc>
      </w:tr>
      <w:tr>
        <w:tc>
          <w:tcPr/>
          <w:p>
            <w:pPr>
              <w:pStyle w:val="Compact"/>
              <w:jc w:val="left"/>
            </w:pPr>
            <m:oMath>
              <m:sSub>
                <m:e>
                  <m:r>
                    <m:t>b</m:t>
                  </m:r>
                </m:e>
                <m:sub>
                  <m:r>
                    <m:t>r</m:t>
                  </m:r>
                  <m:r>
                    <m:t>e</m:t>
                  </m:r>
                  <m:r>
                    <m:t>p</m:t>
                  </m:r>
                  <m:r>
                    <m:t>l</m:t>
                  </m:r>
                  <m:r>
                    <m:t>a</m:t>
                  </m:r>
                  <m:r>
                    <m:t>y</m:t>
                  </m:r>
                </m:sub>
              </m:sSub>
            </m:oMath>
          </w:p>
        </w:tc>
        <w:tc>
          <w:tcPr/>
          <w:p>
            <w:pPr>
              <w:pStyle w:val="Compact"/>
              <w:jc w:val="left"/>
            </w:pPr>
            <w:r>
              <w:t xml:space="preserve">Replay throughput, usually limited by random page reads, not log reads</w:t>
            </w:r>
          </w:p>
        </w:tc>
        <w:tc>
          <w:tcPr/>
          <w:p>
            <w:pPr>
              <w:pStyle w:val="Compact"/>
              <w:jc w:val="left"/>
            </w:pPr>
            <w:r>
              <w:t xml:space="preserve">bytes/s</w:t>
            </w:r>
          </w:p>
        </w:tc>
      </w:tr>
    </w:tbl>
    <w:p>
      <w:pPr>
        <w:pStyle w:val="CalloutExample"/>
      </w:pPr>
      <w:r>
        <w:rPr>
          <w:bCs/>
          <w:b/>
        </w:rPr>
        <w:t xml:space="preserve">WORKED EXAMPLE</w:t>
      </w:r>
    </w:p>
    <w:p>
      <w:pPr>
        <w:pStyle w:val="CalloutExample"/>
      </w:pPr>
      <w:r>
        <w:rPr>
          <w:bCs/>
          <w:b/>
        </w:rPr>
        <w:t xml:space="preserve">Worked example — Choosing a checkpoint interval.</w:t>
      </w:r>
    </w:p>
    <w:p>
      <w:pPr>
        <w:pStyle w:val="CalloutExample"/>
      </w:pPr>
      <w:r>
        <w:t xml:space="preserve">A PostgreSQL server generates</w:t>
      </w:r>
      <w:r>
        <w:t xml:space="preserve"> </w:t>
      </w:r>
      <m:oMath>
        <m:sSub>
          <m:e>
            <m:r>
              <m:t>r</m:t>
            </m:r>
          </m:e>
          <m:sub>
            <m:r>
              <m:t>W</m:t>
            </m:r>
            <m:r>
              <m:t>A</m:t>
            </m:r>
            <m:r>
              <m:t>L</m:t>
            </m:r>
          </m:sub>
        </m:sSub>
        <m:r>
          <m:rPr>
            <m:sty m:val="p"/>
          </m:rPr>
          <m:t>=</m:t>
        </m:r>
        <m:r>
          <m:t>30</m:t>
        </m:r>
      </m:oMath>
      <w:r>
        <w:t xml:space="preserve"> </w:t>
      </w:r>
      <w:r>
        <w:t xml:space="preserve">MB/s of WAL at peak. Replay runs at</w:t>
      </w:r>
      <w:r>
        <w:t xml:space="preserve"> </w:t>
      </w:r>
      <m:oMath>
        <m:sSub>
          <m:e>
            <m:r>
              <m:t>b</m:t>
            </m:r>
          </m:e>
          <m:sub>
            <m:r>
              <m:t>r</m:t>
            </m:r>
            <m:r>
              <m:t>e</m:t>
            </m:r>
            <m:r>
              <m:t>p</m:t>
            </m:r>
            <m:r>
              <m:t>l</m:t>
            </m:r>
            <m:r>
              <m:t>a</m:t>
            </m:r>
            <m:r>
              <m:t>y</m:t>
            </m:r>
          </m:sub>
        </m:sSub>
        <m:r>
          <m:rPr>
            <m:sty m:val="p"/>
          </m:rPr>
          <m:t>=</m:t>
        </m:r>
        <m:r>
          <m:t>150</m:t>
        </m:r>
      </m:oMath>
      <w:r>
        <w:t xml:space="preserve"> </w:t>
      </w:r>
      <w:r>
        <w:t xml:space="preserve">MB/s (single-threaded redo, mostly cached pages).</w:t>
      </w:r>
    </w:p>
    <w:p>
      <w:pPr>
        <w:numPr>
          <w:ilvl w:val="0"/>
          <w:numId w:val="1443"/>
        </w:numPr>
        <w:pStyle w:val="Compact"/>
      </w:pPr>
      <w:r>
        <w:t xml:space="preserve">Checkpoint every 5 minutes:</w:t>
      </w:r>
      <w:r>
        <w:t xml:space="preserve"> </w:t>
      </w:r>
      <m:oMath>
        <m:sSub>
          <m:e>
            <m:r>
              <m:t>W</m:t>
            </m:r>
          </m:e>
          <m:sub>
            <m:r>
              <m:t>r</m:t>
            </m:r>
            <m:r>
              <m:t>e</m:t>
            </m:r>
            <m:r>
              <m:t>d</m:t>
            </m:r>
            <m:r>
              <m:t>o</m:t>
            </m:r>
          </m:sub>
        </m:sSub>
        <m:r>
          <m:rPr>
            <m:sty m:val="p"/>
          </m:rPr>
          <m:t>=</m:t>
        </m:r>
        <m:r>
          <m:t>30</m:t>
        </m:r>
        <m:r>
          <m:rPr>
            <m:sty m:val="p"/>
          </m:rPr>
          <m:t>×</m:t>
        </m:r>
        <m:r>
          <m:t>300</m:t>
        </m:r>
        <m:r>
          <m:rPr>
            <m:sty m:val="p"/>
          </m:rPr>
          <m:t>=</m:t>
        </m:r>
        <m:r>
          <m:t>9000</m:t>
        </m:r>
      </m:oMath>
      <w:r>
        <w:t xml:space="preserve"> </w:t>
      </w:r>
      <w:r>
        <w:t xml:space="preserve">MB</w:t>
      </w:r>
      <w:r>
        <w:t xml:space="preserve"> </w:t>
      </w:r>
      <m:oMath>
        <m:r>
          <m:rPr>
            <m:sty m:val="p"/>
          </m:rPr>
          <m:t>=</m:t>
        </m:r>
        <m:r>
          <m:t>9</m:t>
        </m:r>
      </m:oMath>
      <w:r>
        <w:t xml:space="preserve"> </w:t>
      </w:r>
      <w:r>
        <w:t xml:space="preserve">GB.</w:t>
      </w:r>
      <w:r>
        <w:t xml:space="preserve"> </w:t>
      </w:r>
      <m:oMath>
        <m:sSub>
          <m:e>
            <m:r>
              <m:t>T</m:t>
            </m:r>
          </m:e>
          <m:sub>
            <m:r>
              <m:t>r</m:t>
            </m:r>
            <m:r>
              <m:t>e</m:t>
            </m:r>
            <m:r>
              <m:t>d</m:t>
            </m:r>
            <m:r>
              <m:t>o</m:t>
            </m:r>
          </m:sub>
        </m:sSub>
        <m:r>
          <m:rPr>
            <m:sty m:val="p"/>
          </m:rPr>
          <m:t>=</m:t>
        </m:r>
        <m:r>
          <m:t>9000</m:t>
        </m:r>
        <m:r>
          <m:rPr>
            <m:sty m:val="p"/>
          </m:rPr>
          <m:t>/</m:t>
        </m:r>
        <m:r>
          <m:t>150</m:t>
        </m:r>
        <m:r>
          <m:rPr>
            <m:sty m:val="p"/>
          </m:rPr>
          <m:t>=</m:t>
        </m:r>
        <m:r>
          <m:t>60</m:t>
        </m:r>
      </m:oMath>
      <w:r>
        <w:t xml:space="preserve"> </w:t>
      </w:r>
      <w:r>
        <w:t xml:space="preserve">s.</w:t>
      </w:r>
    </w:p>
    <w:p>
      <w:pPr>
        <w:numPr>
          <w:ilvl w:val="0"/>
          <w:numId w:val="1443"/>
        </w:numPr>
        <w:pStyle w:val="Compact"/>
      </w:pPr>
      <w:r>
        <w:t xml:space="preserve">Checkpoint every 1 minute:</w:t>
      </w:r>
      <w:r>
        <w:t xml:space="preserve"> </w:t>
      </w:r>
      <m:oMath>
        <m:sSub>
          <m:e>
            <m:r>
              <m:t>W</m:t>
            </m:r>
          </m:e>
          <m:sub>
            <m:r>
              <m:t>r</m:t>
            </m:r>
            <m:r>
              <m:t>e</m:t>
            </m:r>
            <m:r>
              <m:t>d</m:t>
            </m:r>
            <m:r>
              <m:t>o</m:t>
            </m:r>
          </m:sub>
        </m:sSub>
        <m:r>
          <m:rPr>
            <m:sty m:val="p"/>
          </m:rPr>
          <m:t>=</m:t>
        </m:r>
        <m:r>
          <m:t>30</m:t>
        </m:r>
        <m:r>
          <m:rPr>
            <m:sty m:val="p"/>
          </m:rPr>
          <m:t>×</m:t>
        </m:r>
        <m:r>
          <m:t>60</m:t>
        </m:r>
        <m:r>
          <m:rPr>
            <m:sty m:val="p"/>
          </m:rPr>
          <m:t>=</m:t>
        </m:r>
        <m:r>
          <m:t>1.8</m:t>
        </m:r>
      </m:oMath>
      <w:r>
        <w:t xml:space="preserve"> </w:t>
      </w:r>
      <w:r>
        <w:t xml:space="preserve">GB;</w:t>
      </w:r>
      <w:r>
        <w:t xml:space="preserve"> </w:t>
      </w:r>
      <m:oMath>
        <m:sSub>
          <m:e>
            <m:r>
              <m:t>T</m:t>
            </m:r>
          </m:e>
          <m:sub>
            <m:r>
              <m:t>r</m:t>
            </m:r>
            <m:r>
              <m:t>e</m:t>
            </m:r>
            <m:r>
              <m:t>d</m:t>
            </m:r>
            <m:r>
              <m:t>o</m:t>
            </m:r>
          </m:sub>
        </m:sSub>
        <m:r>
          <m:rPr>
            <m:sty m:val="p"/>
          </m:rPr>
          <m:t>=</m:t>
        </m:r>
        <m:r>
          <m:t>12</m:t>
        </m:r>
      </m:oMath>
      <w:r>
        <w:t xml:space="preserve"> </w:t>
      </w:r>
      <w:r>
        <w:t xml:space="preserve">s.</w:t>
      </w:r>
    </w:p>
    <w:p>
      <w:pPr>
        <w:numPr>
          <w:ilvl w:val="0"/>
          <w:numId w:val="1443"/>
        </w:numPr>
        <w:pStyle w:val="Compact"/>
      </w:pPr>
      <w:r>
        <w:t xml:space="preserve">The cost: with full-page writes (§13.12.3), the first change to each page after a checkpoint logs the whole 8 KiB page. If 200,000 distinct pages are dirtied per minute, 1-minute checkpoints add up to</w:t>
      </w:r>
      <w:r>
        <w:t xml:space="preserve"> </w:t>
      </w:r>
      <m:oMath>
        <m:r>
          <m:t>200</m:t>
        </m:r>
        <m:r>
          <m:t> </m:t>
        </m:r>
        <m:r>
          <m:t>000</m:t>
        </m:r>
        <m:r>
          <m:rPr>
            <m:sty m:val="p"/>
          </m:rPr>
          <m:t>×</m:t>
        </m:r>
        <m:r>
          <m:t>8192</m:t>
        </m:r>
        <m:r>
          <m:rPr>
            <m:sty m:val="p"/>
          </m:rPr>
          <m:t>≈</m:t>
        </m:r>
        <m:r>
          <m:t>1.64</m:t>
        </m:r>
      </m:oMath>
      <w:r>
        <w:t xml:space="preserve"> </w:t>
      </w:r>
      <w:r>
        <w:t xml:space="preserve">GB per minute,</w:t>
      </w:r>
      <w:r>
        <w:t xml:space="preserve"> </w:t>
      </w:r>
      <m:oMath>
        <m:r>
          <m:rPr>
            <m:sty m:val="p"/>
          </m:rPr>
          <m:t>≈</m:t>
        </m:r>
        <m:r>
          <m:t>27</m:t>
        </m:r>
      </m:oMath>
      <w:r>
        <w:t xml:space="preserve"> </w:t>
      </w:r>
      <w:r>
        <w:t xml:space="preserve">MB/s — nearly doubling the WAL rate.</w:t>
      </w:r>
    </w:p>
    <w:p>
      <w:pPr>
        <w:pStyle w:val="CalloutExample"/>
      </w:pPr>
      <w:r>
        <w:rPr>
          <w:bCs/>
          <w:b/>
        </w:rPr>
        <w:t xml:space="preserve">Interpretation.</w:t>
      </w:r>
      <w:r>
        <w:t xml:space="preserve"> </w:t>
      </w:r>
      <w:r>
        <w:t xml:space="preserve">Checkpoint frequency trades recovery time against steady-state write volume.</w:t>
      </w:r>
      <w:r>
        <w:t xml:space="preserve"> </w:t>
      </w:r>
      <w:r>
        <w:rPr>
          <w:bCs/>
          <w:b/>
        </w:rPr>
        <w:t xml:space="preserve">Engineering implication.</w:t>
      </w:r>
      <w:r>
        <w:t xml:space="preserve"> </w:t>
      </w:r>
      <w:r>
        <w:t xml:space="preserve">Derive the interval from the recovery-time objective (RTO, §39.8) and the measured WAL rate; write-heavy PostgreSQL systems often raise</w:t>
      </w:r>
      <w:r>
        <w:t xml:space="preserve"> </w:t>
      </w:r>
      <w:r>
        <w:rPr>
          <w:rStyle w:val="VerbatimChar"/>
        </w:rPr>
        <w:t xml:space="preserve">checkpoint_timeout</w:t>
      </w:r>
      <w:r>
        <w:t xml:space="preserve"> </w:t>
      </w:r>
      <w:r>
        <w:t xml:space="preserve">(default 5 min) and</w:t>
      </w:r>
      <w:r>
        <w:t xml:space="preserve"> </w:t>
      </w:r>
      <w:r>
        <w:rPr>
          <w:rStyle w:val="VerbatimChar"/>
        </w:rPr>
        <w:t xml:space="preserve">max_wal_size</w:t>
      </w:r>
      <w:r>
        <w:t xml:space="preserve"> </w:t>
      </w:r>
      <w:r>
        <w:t xml:space="preserve">(default 1 GB), letting a standby failover (§27.11) hide the longer recovery.</w:t>
      </w:r>
    </w:p>
    <w:bookmarkEnd w:id="1470"/>
    <w:bookmarkEnd w:id="1471"/>
    <w:bookmarkStart w:id="1474" w:name="group-commit-and-relaxed-durability"/>
    <w:p>
      <w:pPr>
        <w:pStyle w:val="Heading3"/>
      </w:pPr>
      <w:r>
        <w:t xml:space="preserve">13.5.4 Group commit and relaxed durability</w:t>
      </w:r>
    </w:p>
    <w:p>
      <w:pPr>
        <w:pStyle w:val="FirstParagraph"/>
      </w:pPr>
      <w:r>
        <w:rPr>
          <w:bCs/>
          <w:b/>
        </w:rPr>
        <w:t xml:space="preserve">Group commit</w:t>
      </w:r>
      <w:r>
        <w:t xml:space="preserve"> </w:t>
      </w:r>
      <w:r>
        <w:t xml:space="preserve">lets one log</w:t>
      </w:r>
      <w:r>
        <w:t xml:space="preserve"> </w:t>
      </w:r>
      <w:r>
        <w:rPr>
          <w:rStyle w:val="VerbatimChar"/>
        </w:rPr>
        <w:t xml:space="preserve">fsync</w:t>
      </w:r>
      <w:r>
        <w:t xml:space="preserve"> </w:t>
      </w:r>
      <w:r>
        <w:t xml:space="preserve">cover every commit that arrived during the previous flush (formula in §6.14.3). Engines also trade durability for speed explicitly: InnoDB’s</w:t>
      </w:r>
      <w:r>
        <w:t xml:space="preserve"> </w:t>
      </w:r>
      <w:r>
        <w:rPr>
          <w:rStyle w:val="VerbatimChar"/>
        </w:rPr>
        <w:t xml:space="preserve">innodb_flush_log_at_trx_commit = 1</w:t>
      </w:r>
      <w:r>
        <w:t xml:space="preserve"> </w:t>
      </w:r>
      <w:r>
        <w:t xml:space="preserve">(default) flushes at every commit, while</w:t>
      </w:r>
      <w:r>
        <w:t xml:space="preserve"> </w:t>
      </w:r>
      <w:r>
        <w:rPr>
          <w:rStyle w:val="VerbatimChar"/>
        </w:rPr>
        <w:t xml:space="preserve">2</w:t>
      </w:r>
      <w:r>
        <w:t xml:space="preserve"> </w:t>
      </w:r>
      <w:r>
        <w:t xml:space="preserve">flushes about once per second, so an OS crash can lose about a second of commits. PostgreSQL’s</w:t>
      </w:r>
      <w:r>
        <w:t xml:space="preserve"> </w:t>
      </w:r>
      <w:r>
        <w:rPr>
          <w:rStyle w:val="VerbatimChar"/>
        </w:rPr>
        <w:t xml:space="preserve">synchronous_commit = off</w:t>
      </w:r>
      <w:r>
        <w:t xml:space="preserve"> </w:t>
      </w:r>
      <w:r>
        <w:t xml:space="preserve">risks the last fraction of a second of commits but never corruption, because the WAL rule still holds.</w:t>
      </w:r>
    </w:p>
    <w:bookmarkStart w:id="1472" w:name="real-world-industry-applications-27"/>
    <w:p>
      <w:pPr>
        <w:pStyle w:val="Heading4"/>
      </w:pPr>
      <w:r>
        <w:t xml:space="preserve">Real-world industry applications</w:t>
      </w:r>
    </w:p>
    <w:p>
      <w:pPr>
        <w:pStyle w:val="CalloutIndustry"/>
      </w:pPr>
      <w:r>
        <w:rPr>
          <w:bCs/>
          <w:b/>
        </w:rPr>
        <w:t xml:space="preserve">INDUSTRY EXAMPLE</w:t>
      </w:r>
    </w:p>
    <w:p>
      <w:pPr>
        <w:pStyle w:val="CalloutIndustry"/>
      </w:pPr>
      <w:r>
        <w:rPr>
          <w:bCs/>
          <w:b/>
        </w:rPr>
        <w:t xml:space="preserve">PostgreSQL versus InnoDB recovery.</w:t>
      </w:r>
      <w:r>
        <w:t xml:space="preserve"> </w:t>
      </w:r>
      <w:r>
        <w:t xml:space="preserve">PostgreSQL recovers by redo only: MVCC never overwrites rows in place, so an aborted transaction’s versions stay in the heap, invisible because</w:t>
      </w:r>
      <w:r>
        <w:t xml:space="preserve"> </w:t>
      </w:r>
      <w:r>
        <w:rPr>
          <w:rStyle w:val="VerbatimChar"/>
        </w:rPr>
        <w:t xml:space="preserve">pg_xact</w:t>
      </w:r>
      <w:r>
        <w:t xml:space="preserve"> </w:t>
      </w:r>
      <w:r>
        <w:t xml:space="preserve">marks it aborted, until</w:t>
      </w:r>
      <w:r>
        <w:t xml:space="preserve"> </w:t>
      </w:r>
      <w:r>
        <w:rPr>
          <w:rStyle w:val="VerbatimChar"/>
        </w:rPr>
        <w:t xml:space="preserve">VACUUM</w:t>
      </w:r>
      <w:r>
        <w:t xml:space="preserve"> </w:t>
      </w:r>
      <w:r>
        <w:t xml:space="preserve">removes them. The same WAL feeds replication and point-in-time recovery. InnoDB is ARIES-like: redo log plus separate</w:t>
      </w:r>
      <w:r>
        <w:t xml:space="preserve"> </w:t>
      </w:r>
      <w:r>
        <w:rPr>
          <w:bCs/>
          <w:b/>
        </w:rPr>
        <w:t xml:space="preserve">undo logs</w:t>
      </w:r>
      <w:r>
        <w:t xml:space="preserve"> </w:t>
      </w:r>
      <w:r>
        <w:t xml:space="preserve">that serve rollback and consistent reads; recovery applies redo, then rolls back incomplete transactions.</w:t>
      </w:r>
      <w:r>
        <w:t xml:space="preserve"> </w:t>
      </w:r>
      <w:r>
        <w:rPr>
          <w:iCs/>
          <w:i/>
        </w:rPr>
        <w:t xml:space="preserve">Evidence: Primary</w:t>
      </w:r>
      <w:r>
        <w:t xml:space="preserve"> </w:t>
      </w:r>
      <w:r>
        <w:t xml:space="preserve">— [PostgreSQL Docs: Reliability and the Write-Ahead Log; MySQL Docs: InnoDB Redo Log; InnoDB Undo Logs]</w:t>
      </w:r>
    </w:p>
    <w:bookmarkEnd w:id="1472"/>
    <w:bookmarkStart w:id="1473" w:name="failure-scenarios-33"/>
    <w:p>
      <w:pPr>
        <w:pStyle w:val="Heading4"/>
      </w:pPr>
      <w:r>
        <w:t xml:space="preserve">Failure scenarios</w:t>
      </w:r>
    </w:p>
    <w:p>
      <w:pPr>
        <w:pStyle w:val="FirstParagraph"/>
      </w:pPr>
      <w:r>
        <w:rPr>
          <w:bCs/>
          <w:b/>
        </w:rPr>
        <w:t xml:space="preserve">Table 13.4 — WAL and recovery 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Recovery takes 20 minutes</w:t>
            </w:r>
          </w:p>
        </w:tc>
        <w:tc>
          <w:tcPr/>
          <w:p>
            <w:pPr>
              <w:pStyle w:val="Compact"/>
              <w:jc w:val="left"/>
            </w:pPr>
            <w:r>
              <w:t xml:space="preserve">Long checkpoint interval, high WAL rate</w:t>
            </w:r>
          </w:p>
        </w:tc>
        <w:tc>
          <w:tcPr/>
          <w:p>
            <w:pPr>
              <w:pStyle w:val="Compact"/>
              <w:jc w:val="left"/>
            </w:pPr>
            <w:r>
              <w:t xml:space="preserve">Redo progress in logs</w:t>
            </w:r>
          </w:p>
        </w:tc>
        <w:tc>
          <w:tcPr/>
          <w:p>
            <w:pPr>
              <w:pStyle w:val="Compact"/>
              <w:jc w:val="left"/>
            </w:pPr>
            <w:r>
              <w:t xml:space="preserve">Fail over to a replica</w:t>
            </w:r>
          </w:p>
        </w:tc>
        <w:tc>
          <w:tcPr/>
          <w:p>
            <w:pPr>
              <w:pStyle w:val="Compact"/>
              <w:jc w:val="left"/>
            </w:pPr>
            <w:r>
              <w:t xml:space="preserve">Size interval from the RTO</w:t>
            </w:r>
          </w:p>
        </w:tc>
      </w:tr>
      <w:tr>
        <w:tc>
          <w:tcPr/>
          <w:p>
            <w:pPr>
              <w:pStyle w:val="Compact"/>
              <w:jc w:val="left"/>
            </w:pPr>
            <w:r>
              <w:t xml:space="preserve">Disk fills with WAL</w:t>
            </w:r>
          </w:p>
        </w:tc>
        <w:tc>
          <w:tcPr/>
          <w:p>
            <w:pPr>
              <w:pStyle w:val="Compact"/>
              <w:jc w:val="left"/>
            </w:pPr>
            <w:r>
              <w:t xml:space="preserve">Stalled checkpoints or unconsumed replication slot</w:t>
            </w:r>
          </w:p>
        </w:tc>
        <w:tc>
          <w:tcPr/>
          <w:p>
            <w:pPr>
              <w:pStyle w:val="Compact"/>
              <w:jc w:val="left"/>
            </w:pPr>
            <w:r>
              <w:t xml:space="preserve">WAL size alert</w:t>
            </w:r>
          </w:p>
        </w:tc>
        <w:tc>
          <w:tcPr/>
          <w:p>
            <w:pPr>
              <w:pStyle w:val="Compact"/>
              <w:jc w:val="left"/>
            </w:pPr>
            <w:r>
              <w:t xml:space="preserve">Fix consumer; drop slot</w:t>
            </w:r>
          </w:p>
        </w:tc>
        <w:tc>
          <w:tcPr/>
          <w:p>
            <w:pPr>
              <w:pStyle w:val="Compact"/>
              <w:jc w:val="left"/>
            </w:pPr>
            <w:r>
              <w:t xml:space="preserve">Monitor retention and slot lag</w:t>
            </w:r>
          </w:p>
        </w:tc>
      </w:tr>
      <w:tr>
        <w:tc>
          <w:tcPr/>
          <w:p>
            <w:pPr>
              <w:pStyle w:val="Compact"/>
              <w:jc w:val="left"/>
            </w:pPr>
            <w:r>
              <w:t xml:space="preserve">Acknowledged commits lost</w:t>
            </w:r>
          </w:p>
        </w:tc>
        <w:tc>
          <w:tcPr/>
          <w:p>
            <w:pPr>
              <w:pStyle w:val="Compact"/>
              <w:jc w:val="left"/>
            </w:pPr>
            <w:r>
              <w:t xml:space="preserve">Drive cache not flushed; relaxed settings</w:t>
            </w:r>
          </w:p>
        </w:tc>
        <w:tc>
          <w:tcPr/>
          <w:p>
            <w:pPr>
              <w:pStyle w:val="Compact"/>
              <w:jc w:val="left"/>
            </w:pPr>
            <w:r>
              <w:t xml:space="preserve">Gaps versus clients</w:t>
            </w:r>
          </w:p>
        </w:tc>
        <w:tc>
          <w:tcPr/>
          <w:p>
            <w:pPr>
              <w:pStyle w:val="Compact"/>
              <w:jc w:val="left"/>
            </w:pPr>
            <w:r>
              <w:t xml:space="preserve">Restore from replica</w:t>
            </w:r>
          </w:p>
        </w:tc>
        <w:tc>
          <w:tcPr/>
          <w:p>
            <w:pPr>
              <w:pStyle w:val="Compact"/>
              <w:jc w:val="left"/>
            </w:pPr>
            <w:r>
              <w:t xml:space="preserve">Power-loss protection; audit</w:t>
            </w:r>
            <w:r>
              <w:t xml:space="preserve"> </w:t>
            </w:r>
            <w:r>
              <w:rPr>
                <w:rStyle w:val="VerbatimChar"/>
              </w:rPr>
              <w:t xml:space="preserve">fsync</w:t>
            </w:r>
            <w:r>
              <w:t xml:space="preserve"> </w:t>
            </w:r>
            <w:r>
              <w:t xml:space="preserve">settings</w:t>
            </w:r>
          </w:p>
        </w:tc>
      </w:tr>
      <w:tr>
        <w:tc>
          <w:tcPr/>
          <w:p>
            <w:pPr>
              <w:pStyle w:val="Compact"/>
              <w:jc w:val="left"/>
            </w:pPr>
            <w:r>
              <w:t xml:space="preserve">Undo grows without bound</w:t>
            </w:r>
          </w:p>
        </w:tc>
        <w:tc>
          <w:tcPr/>
          <w:p>
            <w:pPr>
              <w:pStyle w:val="Compact"/>
              <w:jc w:val="left"/>
            </w:pPr>
            <w:r>
              <w:t xml:space="preserve">Long-running transaction</w:t>
            </w:r>
          </w:p>
        </w:tc>
        <w:tc>
          <w:tcPr/>
          <w:p>
            <w:pPr>
              <w:pStyle w:val="Compact"/>
              <w:jc w:val="left"/>
            </w:pPr>
            <w:r>
              <w:t xml:space="preserve">Oldest transaction age</w:t>
            </w:r>
          </w:p>
        </w:tc>
        <w:tc>
          <w:tcPr/>
          <w:p>
            <w:pPr>
              <w:pStyle w:val="Compact"/>
              <w:jc w:val="left"/>
            </w:pPr>
            <w:r>
              <w:t xml:space="preserve">Kill or commit it</w:t>
            </w:r>
          </w:p>
        </w:tc>
        <w:tc>
          <w:tcPr/>
          <w:p>
            <w:pPr>
              <w:pStyle w:val="Compact"/>
              <w:jc w:val="left"/>
            </w:pPr>
            <w:r>
              <w:t xml:space="preserve">Transaction timeouts</w:t>
            </w:r>
          </w:p>
        </w:tc>
      </w:tr>
    </w:tbl>
    <w:p>
      <w:pPr>
        <w:pStyle w:val="CalloutMistake"/>
      </w:pPr>
      <w:r>
        <w:rPr>
          <w:bCs/>
          <w:b/>
        </w:rPr>
        <w:t xml:space="preserve">COMMON MISTAKE</w:t>
      </w:r>
    </w:p>
    <w:p>
      <w:pPr>
        <w:pStyle w:val="CalloutMistake"/>
      </w:pPr>
      <w:r>
        <w:rPr>
          <w:bCs/>
          <w:b/>
        </w:rPr>
        <w:t xml:space="preserve">“</w:t>
      </w:r>
      <w:r>
        <w:rPr>
          <w:bCs/>
          <w:b/>
        </w:rPr>
        <w:t xml:space="preserve">The checkpoint is what makes a commit durable.</w:t>
      </w:r>
      <w:r>
        <w:rPr>
          <w:bCs/>
          <w:b/>
        </w:rPr>
        <w:t xml:space="preserve">”</w:t>
      </w:r>
      <w:r>
        <w:t xml:space="preserve"> </w:t>
      </w:r>
      <w:r>
        <w:t xml:space="preserve">Commits are durable when their log records are flushed. A checkpoint only bounds recovery work and lets old log be recycled.</w:t>
      </w:r>
    </w:p>
    <w:bookmarkEnd w:id="1473"/>
    <w:bookmarkEnd w:id="1474"/>
    <w:bookmarkEnd w:id="1475"/>
    <w:bookmarkStart w:id="1486" w:name="b-tree-storage-engines"/>
    <w:p>
      <w:pPr>
        <w:pStyle w:val="Heading2"/>
      </w:pPr>
      <w:r>
        <w:t xml:space="preserve">13.6 B-tree storage engines</w:t>
      </w:r>
    </w:p>
    <w:bookmarkStart w:id="1482" w:name="storing-a-b-tree-in-pages"/>
    <w:p>
      <w:pPr>
        <w:pStyle w:val="Heading3"/>
      </w:pPr>
      <w:r>
        <w:t xml:space="preserve">13.6.1 Storing a B+ tree in pages</w:t>
      </w:r>
    </w:p>
    <w:p>
      <w:pPr>
        <w:pStyle w:val="CalloutDefinition"/>
      </w:pPr>
      <w:r>
        <w:rPr>
          <w:bCs/>
          <w:b/>
        </w:rPr>
        <w:t xml:space="preserve">DEFINITION</w:t>
      </w:r>
    </w:p>
    <w:p>
      <w:pPr>
        <w:pStyle w:val="CalloutDefinition"/>
      </w:pPr>
      <w:r>
        <w:rPr>
          <w:bCs/>
          <w:b/>
        </w:rPr>
        <w:t xml:space="preserve">Definition — B-tree storage engine.</w:t>
      </w:r>
      <w:r>
        <w:t xml:space="preserve"> </w:t>
      </w:r>
      <w:r>
        <w:t xml:space="preserve">A storage engine that keeps each table or index as a B+ tree of fixed-size pages and</w:t>
      </w:r>
      <w:r>
        <w:t xml:space="preserve"> </w:t>
      </w:r>
      <w:r>
        <w:rPr>
          <w:bCs/>
          <w:b/>
        </w:rPr>
        <w:t xml:space="preserve">updates pages in place</w:t>
      </w:r>
      <w:r>
        <w:t xml:space="preserve">: a change to a key rewrites the page that holds it. Internal pages hold separator keys and child page numbers; leaf pages hold the keys with either the rows themselves (a clustered index) or pointers to them.</w:t>
      </w:r>
    </w:p>
    <w:p>
      <w:pPr>
        <w:pStyle w:val="BodyText"/>
      </w:pPr>
      <w:r>
        <w:t xml:space="preserve">The logical structure of B+ trees is covered in §11.8. Here the questions are physical: how the tree grows in pages, what a lookup costs in I/O, and how threads share it.</w:t>
      </w:r>
    </w:p>
    <w:bookmarkStart w:id="1476" w:name="first-principles-explanation-82"/>
    <w:p>
      <w:pPr>
        <w:pStyle w:val="Heading4"/>
      </w:pPr>
      <w:r>
        <w:t xml:space="preserve">First-principles explanation</w:t>
      </w:r>
    </w:p>
    <w:p>
      <w:pPr>
        <w:pStyle w:val="FirstParagraph"/>
      </w:pPr>
      <w:r>
        <w:t xml:space="preserve">Picture a filing cabinet with guide cards: one card per drawer, one per folder. To find a document you read three cards, not a million documents. When a folder overflows you split it and add a guide card above; rarely, the drawer overflows too. The cabinet stays balanced because it grows only by splitting, bottom up.</w:t>
      </w:r>
    </w:p>
    <w:bookmarkEnd w:id="1476"/>
    <w:bookmarkStart w:id="1480" w:name="how-it-works-internally-52"/>
    <w:p>
      <w:pPr>
        <w:pStyle w:val="Heading4"/>
      </w:pPr>
      <w:r>
        <w:t xml:space="preserve">How it works internally</w:t>
      </w:r>
    </w:p>
    <w:p>
      <w:pPr>
        <w:pStyle w:val="FirstParagraph"/>
      </w:pPr>
      <w:r>
        <w:rPr>
          <w:bCs/>
          <w:b/>
        </w:rPr>
        <w:t xml:space="preserve">Lookup.</w:t>
      </w:r>
      <w:r>
        <w:t xml:space="preserve"> </w:t>
      </w:r>
      <w:r>
        <w:t xml:space="preserve">From the root, binary-search separator keys and fetch the child through the buffer pool until reaching a leaf.</w:t>
      </w:r>
    </w:p>
    <w:p>
      <w:pPr>
        <w:pStyle w:val="BodyText"/>
      </w:pPr>
      <w:r>
        <w:rPr>
          <w:bCs/>
          <w:b/>
        </w:rPr>
        <w:t xml:space="preserve">Insert and split.</w:t>
      </w:r>
      <w:r>
        <w:t xml:space="preserve"> </w:t>
      </w:r>
      <w:r>
        <w:t xml:space="preserve">If the leaf has room, insert into its slotted page (§13.3) and log it. Otherwise:</w:t>
      </w:r>
    </w:p>
    <w:p>
      <w:pPr>
        <w:numPr>
          <w:ilvl w:val="0"/>
          <w:numId w:val="1444"/>
        </w:numPr>
        <w:pStyle w:val="Compact"/>
      </w:pPr>
      <w:r>
        <w:t xml:space="preserve">Allocate a new page and move the upper half of the entries to it.</w:t>
      </w:r>
    </w:p>
    <w:p>
      <w:pPr>
        <w:numPr>
          <w:ilvl w:val="0"/>
          <w:numId w:val="1444"/>
        </w:numPr>
        <w:pStyle w:val="Compact"/>
      </w:pPr>
      <w:r>
        <w:t xml:space="preserve">Link it into the leaf sibling chain.</w:t>
      </w:r>
    </w:p>
    <w:p>
      <w:pPr>
        <w:numPr>
          <w:ilvl w:val="0"/>
          <w:numId w:val="1444"/>
        </w:numPr>
        <w:pStyle w:val="Compact"/>
      </w:pPr>
      <w:r>
        <w:t xml:space="preserve">Insert a separator into the parent, splitting the parent the same way if it is full; a root split adds a level.</w:t>
      </w:r>
    </w:p>
    <w:p>
      <w:pPr>
        <w:numPr>
          <w:ilvl w:val="0"/>
          <w:numId w:val="1444"/>
        </w:numPr>
        <w:pStyle w:val="Compact"/>
      </w:pPr>
      <w:r>
        <w:t xml:space="preserve">Log the split as one unit. ARIES treats it as a</w:t>
      </w:r>
      <w:r>
        <w:t xml:space="preserve"> </w:t>
      </w:r>
      <w:r>
        <w:rPr>
          <w:bCs/>
          <w:b/>
        </w:rPr>
        <w:t xml:space="preserve">nested top action</w:t>
      </w:r>
      <w:r>
        <w:t xml:space="preserve">: it is not undone if the triggering transaction aborts, because others may already use the new page [Mohan et al. 1992].</w:t>
      </w:r>
    </w:p>
    <w:p>
      <w:pPr>
        <w:pStyle w:val="FirstParagraph"/>
      </w:pPr>
      <w:r>
        <w:t xml:space="preserve">For rightmost inserts (auto-increment keys, timestamps), PostgreSQL and InnoDB split unevenly, leaving the old page nearly full instead of a trail of half-empty pages.</w:t>
      </w:r>
    </w:p>
    <w:p>
      <w:pPr>
        <w:pStyle w:val="BodyText"/>
      </w:pPr>
      <w:r>
        <w:rPr>
          <w:bCs/>
          <w:b/>
        </w:rPr>
        <w:t xml:space="preserve">Delete and merge.</w:t>
      </w:r>
      <w:r>
        <w:t xml:space="preserve"> </w:t>
      </w:r>
      <w:r>
        <w:t xml:space="preserve">Merging under-full pages reverses a split, but eager merging thrashes. InnoDB attempts a merge below</w:t>
      </w:r>
      <w:r>
        <w:t xml:space="preserve"> </w:t>
      </w:r>
      <w:r>
        <w:rPr>
          <w:rStyle w:val="VerbatimChar"/>
        </w:rPr>
        <w:t xml:space="preserve">MERGE_THRESHOLD</w:t>
      </w:r>
      <w:r>
        <w:t xml:space="preserve"> </w:t>
      </w:r>
      <w:r>
        <w:t xml:space="preserve">(50% by default); PostgreSQL reclaims only pages</w:t>
      </w:r>
      <w:r>
        <w:t xml:space="preserve"> </w:t>
      </w:r>
      <w:r>
        <w:rPr>
          <w:rStyle w:val="VerbatimChar"/>
        </w:rPr>
        <w:t xml:space="preserve">VACUUM</w:t>
      </w:r>
      <w:r>
        <w:t xml:space="preserve"> </w:t>
      </w:r>
      <w:r>
        <w:t xml:space="preserve">finds completely empty [MySQL Docs: Configuring the Merge Threshold for Index Pages; PostgreSQL source:</w:t>
      </w:r>
      <w:r>
        <w:t xml:space="preserve"> </w:t>
      </w:r>
      <w:r>
        <w:rPr>
          <w:rStyle w:val="VerbatimChar"/>
        </w:rPr>
        <w:t xml:space="preserve">src/backend/access/nbtree/README</w:t>
      </w:r>
      <w:r>
        <w:t xml:space="preserve">].</w:t>
      </w:r>
    </w:p>
    <w:p>
      <w:pPr>
        <w:pStyle w:val="BodyText"/>
      </w:pPr>
      <w:r>
        <w:rPr>
          <w:bCs/>
          <w:b/>
        </w:rPr>
        <w:t xml:space="preserve">Figure 13.5 — A leaf page split propagating a separator to the parent.</w:t>
      </w:r>
    </w:p>
    <w:p>
      <w:pPr>
        <w:pStyle w:val="BodyText"/>
      </w:pPr>
      <w:r>
        <w:drawing>
          <wp:inline>
            <wp:extent cx="5334000" cy="2807780"/>
            <wp:effectExtent b="0" l="0" r="0" t="0"/>
            <wp:docPr descr="" title="" id="1478" name="Picture"/>
            <a:graphic>
              <a:graphicData uri="http://schemas.openxmlformats.org/drawingml/2006/picture">
                <pic:pic>
                  <pic:nvPicPr>
                    <pic:cNvPr descr="/home/user/System-Design/build/.cache/diagrams/0f1c152071e0.png" id="1479" name="Picture"/>
                    <pic:cNvPicPr>
                      <a:picLocks noChangeArrowheads="1" noChangeAspect="1"/>
                    </pic:cNvPicPr>
                  </pic:nvPicPr>
                  <pic:blipFill>
                    <a:blip r:embed="rId1477"/>
                    <a:stretch>
                      <a:fillRect/>
                    </a:stretch>
                  </pic:blipFill>
                  <pic:spPr bwMode="auto">
                    <a:xfrm>
                      <a:off x="0" y="0"/>
                      <a:ext cx="5334000" cy="2807780"/>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Each box is a page in one data file; arrows are synchronous pointers. Inserting 35 into full leaf A allocates leaf B, moves the upper entries, links A to B for range scans, and adds a separator to the parent. One logical insert dirties three pages — write amplification. Failure point: a crash between writing B and updating the parent would orphan B, hence logging the split atomically. Scaling: with 57 rows per leaf and fan-out 716 (below), a leaf splits about every 28 inserts into it and a parent about every 358 leaf splits.</w:t>
      </w:r>
    </w:p>
    <w:bookmarkEnd w:id="1480"/>
    <w:bookmarkStart w:id="1481" w:name="mathematical-foundations-21"/>
    <w:p>
      <w:pPr>
        <w:pStyle w:val="Heading4"/>
      </w:pPr>
      <w:r>
        <w:t xml:space="preserve">Mathematical foundations</w:t>
      </w:r>
    </w:p>
    <w:p>
      <w:pPr>
        <w:pStyle w:val="FirstParagraph"/>
      </w:pPr>
      <w:r>
        <w:t xml:space="preserve">The height formula</w:t>
      </w:r>
      <w:r>
        <w:t xml:space="preserve"> </w:t>
      </w:r>
      <m:oMath>
        <m:r>
          <m:t>h</m:t>
        </m:r>
        <m:r>
          <m:rPr>
            <m:sty m:val="p"/>
          </m:rPr>
          <m:t>=</m:t>
        </m:r>
        <m:r>
          <m:t>1</m:t>
        </m:r>
        <m:r>
          <m:rPr>
            <m:sty m:val="p"/>
          </m:rPr>
          <m:t>+</m:t>
        </m:r>
        <m:r>
          <m:rPr>
            <m:sty m:val="p"/>
          </m:rPr>
          <m:t>⌈</m:t>
        </m:r>
        <m:sSub>
          <m:e>
            <m:r>
              <m:rPr>
                <m:sty m:val="p"/>
              </m:rPr>
              <m:t>log</m:t>
            </m:r>
          </m:e>
          <m:sub>
            <m:r>
              <m:t>f</m:t>
            </m:r>
          </m:sub>
        </m:sSub>
        <m:r>
          <m:rPr>
            <m:sty m:val="p"/>
          </m:rPr>
          <m:t>⌈</m:t>
        </m:r>
        <m:r>
          <m:t>n</m:t>
        </m:r>
        <m:r>
          <m:rPr>
            <m:sty m:val="p"/>
          </m:rPr>
          <m:t>/</m:t>
        </m:r>
        <m:r>
          <m:t>L</m:t>
        </m:r>
        <m:r>
          <m:rPr>
            <m:sty m:val="p"/>
          </m:rPr>
          <m:t>⌉</m:t>
        </m:r>
        <m:r>
          <m:rPr>
            <m:sty m:val="p"/>
          </m:rPr>
          <m:t>⌉</m:t>
        </m:r>
      </m:oMath>
      <w:r>
        <w:t xml:space="preserve"> </w:t>
      </w:r>
      <w:r>
        <w:t xml:space="preserve">(fan-out</w:t>
      </w:r>
      <w:r>
        <w:t xml:space="preserve"> </w:t>
      </w:r>
      <m:oMath>
        <m:r>
          <m:t>f</m:t>
        </m:r>
      </m:oMath>
      <w:r>
        <w:t xml:space="preserve">,</w:t>
      </w:r>
      <w:r>
        <w:t xml:space="preserve"> </w:t>
      </w:r>
      <m:oMath>
        <m:r>
          <m:t>L</m:t>
        </m:r>
      </m:oMath>
      <w:r>
        <w:t xml:space="preserve"> </w:t>
      </w:r>
      <w:r>
        <w:t xml:space="preserve">rows per leaf) is derived in §11.8.2, which works a billion-row InnoDB table at 80% usable space: fan-out 819, 65 rows per leaf, four levels, 294 MiB of internal pages. The physical question here is how sensitive those numbers are to page fill.</w:t>
      </w:r>
    </w:p>
    <w:p>
      <w:pPr>
        <w:pStyle w:val="CalloutExample"/>
      </w:pPr>
      <w:r>
        <w:rPr>
          <w:bCs/>
          <w:b/>
        </w:rPr>
        <w:t xml:space="preserve">WORKED EXAMPLE</w:t>
      </w:r>
    </w:p>
    <w:p>
      <w:pPr>
        <w:pStyle w:val="CalloutExample"/>
      </w:pPr>
      <w:r>
        <w:rPr>
          <w:bCs/>
          <w:b/>
        </w:rPr>
        <w:t xml:space="preserve">Worked example — A 1-billion-row InnoDB table.</w:t>
      </w:r>
    </w:p>
    <w:p>
      <w:pPr>
        <w:pStyle w:val="CalloutExample"/>
      </w:pPr>
      <w:r>
        <w:t xml:space="preserve">Repeat the §11.8.2 example with 16 KiB pages filled to 70% (a typical steady state after random inserts; random B-tree fill averages about</w:t>
      </w:r>
      <w:r>
        <w:t xml:space="preserve"> </w:t>
      </w:r>
      <m:oMath>
        <m:r>
          <m:rPr>
            <m:sty m:val="p"/>
          </m:rPr>
          <m:t>ln</m:t>
        </m:r>
        <m:r>
          <m:t>2</m:t>
        </m:r>
        <m:r>
          <m:rPr>
            <m:sty m:val="p"/>
          </m:rPr>
          <m:t>≈</m:t>
        </m:r>
        <m:r>
          <m:t>69</m:t>
        </m:r>
        <m:r>
          <m:rPr>
            <m:sty m:val="p"/>
          </m:rPr>
          <m:t>%</m:t>
        </m:r>
      </m:oMath>
      <w:r>
        <w:t xml:space="preserve"> </w:t>
      </w:r>
      <w:r>
        <w:t xml:space="preserve">[Yao 1978]), rows of 200 bytes, and internal entries of 16 bytes (an 8-byte key, a page number and record overhead).</w:t>
      </w:r>
    </w:p>
    <w:p>
      <w:pPr>
        <w:numPr>
          <w:ilvl w:val="0"/>
          <w:numId w:val="1445"/>
        </w:numPr>
        <w:pStyle w:val="Compact"/>
      </w:pPr>
      <w:r>
        <w:t xml:space="preserve">Usable bytes per page:</w:t>
      </w:r>
      <w:r>
        <w:t xml:space="preserve"> </w:t>
      </w:r>
      <m:oMath>
        <m:r>
          <m:t>16</m:t>
        </m:r>
        <m:r>
          <m:t> </m:t>
        </m:r>
        <m:r>
          <m:t>384</m:t>
        </m:r>
        <m:r>
          <m:rPr>
            <m:sty m:val="p"/>
          </m:rPr>
          <m:t>×</m:t>
        </m:r>
        <m:r>
          <m:t>0.7</m:t>
        </m:r>
        <m:r>
          <m:rPr>
            <m:sty m:val="p"/>
          </m:rPr>
          <m:t>=</m:t>
        </m:r>
        <m:r>
          <m:t>11</m:t>
        </m:r>
        <m:r>
          <m:t> </m:t>
        </m:r>
        <m:r>
          <m:t>469</m:t>
        </m:r>
      </m:oMath>
      <w:r>
        <w:t xml:space="preserve">.</w:t>
      </w:r>
    </w:p>
    <w:p>
      <w:pPr>
        <w:numPr>
          <w:ilvl w:val="0"/>
          <w:numId w:val="1445"/>
        </w:numPr>
        <w:pStyle w:val="Compact"/>
      </w:pPr>
      <w:r>
        <w:t xml:space="preserve">Rows per leaf:</w:t>
      </w:r>
      <w:r>
        <w:t xml:space="preserve"> </w:t>
      </w:r>
      <m:oMath>
        <m:r>
          <m:rPr>
            <m:sty m:val="p"/>
          </m:rPr>
          <m:t>⌊</m:t>
        </m:r>
        <m:r>
          <m:t>11</m:t>
        </m:r>
        <m:r>
          <m:t> </m:t>
        </m:r>
        <m:r>
          <m:t>469</m:t>
        </m:r>
        <m:r>
          <m:rPr>
            <m:sty m:val="p"/>
          </m:rPr>
          <m:t>/</m:t>
        </m:r>
        <m:r>
          <m:t>200</m:t>
        </m:r>
        <m:r>
          <m:rPr>
            <m:sty m:val="p"/>
          </m:rPr>
          <m:t>⌋</m:t>
        </m:r>
        <m:r>
          <m:rPr>
            <m:sty m:val="p"/>
          </m:rPr>
          <m:t>=</m:t>
        </m:r>
        <m:r>
          <m:t>57</m:t>
        </m:r>
      </m:oMath>
      <w:r>
        <w:t xml:space="preserve">. Leaves:</w:t>
      </w:r>
      <w:r>
        <w:t xml:space="preserve"> </w:t>
      </w:r>
      <m:oMath>
        <m:sSup>
          <m:e>
            <m:r>
              <m:t>10</m:t>
            </m:r>
          </m:e>
          <m:sup>
            <m:r>
              <m:t>9</m:t>
            </m:r>
          </m:sup>
        </m:sSup>
        <m:r>
          <m:rPr>
            <m:sty m:val="p"/>
          </m:rPr>
          <m:t>/</m:t>
        </m:r>
        <m:r>
          <m:t>57</m:t>
        </m:r>
        <m:r>
          <m:rPr>
            <m:sty m:val="p"/>
          </m:rPr>
          <m:t>=</m:t>
        </m:r>
        <m:r>
          <m:t>17</m:t>
        </m:r>
        <m:r>
          <m:t> </m:t>
        </m:r>
        <m:r>
          <m:t>543</m:t>
        </m:r>
        <m:r>
          <m:t> </m:t>
        </m:r>
        <m:r>
          <m:t>860</m:t>
        </m:r>
      </m:oMath>
      <w:r>
        <w:t xml:space="preserve">.</w:t>
      </w:r>
    </w:p>
    <w:p>
      <w:pPr>
        <w:numPr>
          <w:ilvl w:val="0"/>
          <w:numId w:val="1445"/>
        </w:numPr>
        <w:pStyle w:val="Compact"/>
      </w:pPr>
      <w:r>
        <w:t xml:space="preserve">Fan-out:</w:t>
      </w:r>
      <w:r>
        <w:t xml:space="preserve"> </w:t>
      </w:r>
      <m:oMath>
        <m:r>
          <m:rPr>
            <m:sty m:val="p"/>
          </m:rPr>
          <m:t>⌊</m:t>
        </m:r>
        <m:r>
          <m:t>11</m:t>
        </m:r>
        <m:r>
          <m:t> </m:t>
        </m:r>
        <m:r>
          <m:t>469</m:t>
        </m:r>
        <m:r>
          <m:rPr>
            <m:sty m:val="p"/>
          </m:rPr>
          <m:t>/</m:t>
        </m:r>
        <m:r>
          <m:t>16</m:t>
        </m:r>
        <m:r>
          <m:rPr>
            <m:sty m:val="p"/>
          </m:rPr>
          <m:t>⌋</m:t>
        </m:r>
        <m:r>
          <m:rPr>
            <m:sty m:val="p"/>
          </m:rPr>
          <m:t>=</m:t>
        </m:r>
        <m:r>
          <m:t>716</m:t>
        </m:r>
      </m:oMath>
      <w:r>
        <w:t xml:space="preserve">.</w:t>
      </w:r>
    </w:p>
    <w:p>
      <w:pPr>
        <w:numPr>
          <w:ilvl w:val="0"/>
          <w:numId w:val="1445"/>
        </w:numPr>
        <w:pStyle w:val="Compact"/>
      </w:pPr>
      <w:r>
        <w:t xml:space="preserve">Height:</w:t>
      </w:r>
      <w:r>
        <w:t xml:space="preserve"> </w:t>
      </w:r>
      <m:oMath>
        <m:sSub>
          <m:e>
            <m:r>
              <m:rPr>
                <m:sty m:val="p"/>
              </m:rPr>
              <m:t>log</m:t>
            </m:r>
          </m:e>
          <m:sub>
            <m:r>
              <m:t>716</m:t>
            </m:r>
          </m:sub>
        </m:sSub>
        <m:r>
          <m:t>17</m:t>
        </m:r>
        <m:r>
          <m:t> </m:t>
        </m:r>
        <m:r>
          <m:t>543</m:t>
        </m:r>
        <m:r>
          <m:t> </m:t>
        </m:r>
        <m:r>
          <m:t>860</m:t>
        </m:r>
        <m:r>
          <m:rPr>
            <m:sty m:val="p"/>
          </m:rPr>
          <m:t>=</m:t>
        </m:r>
        <m:r>
          <m:rPr>
            <m:sty m:val="p"/>
          </m:rPr>
          <m:t>ln</m:t>
        </m:r>
        <m:d>
          <m:dPr>
            <m:begChr m:val="("/>
            <m:endChr m:val=")"/>
            <m:sepChr m:val=""/>
            <m:grow/>
          </m:dPr>
          <m:e>
            <m:r>
              <m:t>1.754</m:t>
            </m:r>
            <m:r>
              <m:rPr>
                <m:sty m:val="p"/>
              </m:rPr>
              <m:t>×</m:t>
            </m:r>
            <m:sSup>
              <m:e>
                <m:r>
                  <m:t>10</m:t>
                </m:r>
              </m:e>
              <m:sup>
                <m:r>
                  <m:t>7</m:t>
                </m:r>
              </m:sup>
            </m:sSup>
          </m:e>
        </m:d>
        <m:r>
          <m:rPr>
            <m:sty m:val="p"/>
          </m:rPr>
          <m:t>/</m:t>
        </m:r>
        <m:r>
          <m:rPr>
            <m:sty m:val="p"/>
          </m:rPr>
          <m:t>ln</m:t>
        </m:r>
        <m:r>
          <m:t>716</m:t>
        </m:r>
        <m:r>
          <m:rPr>
            <m:sty m:val="p"/>
          </m:rPr>
          <m:t>=</m:t>
        </m:r>
        <m:r>
          <m:t>16.68</m:t>
        </m:r>
        <m:r>
          <m:rPr>
            <m:sty m:val="p"/>
          </m:rPr>
          <m:t>/</m:t>
        </m:r>
        <m:r>
          <m:t>6.57</m:t>
        </m:r>
        <m:r>
          <m:rPr>
            <m:sty m:val="p"/>
          </m:rPr>
          <m:t>=</m:t>
        </m:r>
        <m:r>
          <m:t>2.54</m:t>
        </m:r>
      </m:oMath>
      <w:r>
        <w:t xml:space="preserve">, so</w:t>
      </w:r>
      <w:r>
        <w:t xml:space="preserve"> </w:t>
      </w:r>
      <m:oMath>
        <m:r>
          <m:rPr>
            <m:sty m:val="p"/>
          </m:rPr>
          <m:t>⌈</m:t>
        </m:r>
        <m:r>
          <m:t>2.54</m:t>
        </m:r>
        <m:r>
          <m:rPr>
            <m:sty m:val="p"/>
          </m:rPr>
          <m:t>⌉</m:t>
        </m:r>
        <m:r>
          <m:rPr>
            <m:sty m:val="p"/>
          </m:rPr>
          <m:t>=</m:t>
        </m:r>
        <m:r>
          <m:t>3</m:t>
        </m:r>
      </m:oMath>
      <w:r>
        <w:t xml:space="preserve"> </w:t>
      </w:r>
      <w:r>
        <w:t xml:space="preserve">internal levels and</w:t>
      </w:r>
      <w:r>
        <w:t xml:space="preserve"> </w:t>
      </w:r>
      <m:oMath>
        <m:r>
          <m:t>h</m:t>
        </m:r>
        <m:r>
          <m:rPr>
            <m:sty m:val="p"/>
          </m:rPr>
          <m:t>=</m:t>
        </m:r>
        <m:r>
          <m:t>4</m:t>
        </m:r>
      </m:oMath>
      <w:r>
        <w:t xml:space="preserve">.</w:t>
      </w:r>
    </w:p>
    <w:p>
      <w:pPr>
        <w:numPr>
          <w:ilvl w:val="0"/>
          <w:numId w:val="1445"/>
        </w:numPr>
        <w:pStyle w:val="Compact"/>
      </w:pPr>
      <w:r>
        <w:t xml:space="preserve">Internal pages:</w:t>
      </w:r>
      <w:r>
        <w:t xml:space="preserve"> </w:t>
      </w:r>
      <m:oMath>
        <m:r>
          <m:t>17</m:t>
        </m:r>
        <m:r>
          <m:t> </m:t>
        </m:r>
        <m:r>
          <m:t>543</m:t>
        </m:r>
        <m:r>
          <m:t> </m:t>
        </m:r>
        <m:r>
          <m:t>860</m:t>
        </m:r>
        <m:r>
          <m:rPr>
            <m:sty m:val="p"/>
          </m:rPr>
          <m:t>/</m:t>
        </m:r>
        <m:r>
          <m:t>716</m:t>
        </m:r>
        <m:r>
          <m:rPr>
            <m:sty m:val="p"/>
          </m:rPr>
          <m:t>≈</m:t>
        </m:r>
        <m:r>
          <m:t>24</m:t>
        </m:r>
        <m:r>
          <m:t> </m:t>
        </m:r>
        <m:r>
          <m:t>503</m:t>
        </m:r>
      </m:oMath>
      <w:r>
        <w:t xml:space="preserve">, then</w:t>
      </w:r>
      <w:r>
        <w:t xml:space="preserve"> </w:t>
      </w:r>
      <m:oMath>
        <m:r>
          <m:rPr>
            <m:sty m:val="p"/>
          </m:rPr>
          <m:t>⌈</m:t>
        </m:r>
        <m:r>
          <m:t>24</m:t>
        </m:r>
        <m:r>
          <m:t> </m:t>
        </m:r>
        <m:r>
          <m:t>503</m:t>
        </m:r>
        <m:r>
          <m:rPr>
            <m:sty m:val="p"/>
          </m:rPr>
          <m:t>/</m:t>
        </m:r>
        <m:r>
          <m:t>716</m:t>
        </m:r>
        <m:r>
          <m:rPr>
            <m:sty m:val="p"/>
          </m:rPr>
          <m:t>⌉</m:t>
        </m:r>
        <m:r>
          <m:rPr>
            <m:sty m:val="p"/>
          </m:rPr>
          <m:t>=</m:t>
        </m:r>
        <m:r>
          <m:t>35</m:t>
        </m:r>
      </m:oMath>
      <w:r>
        <w:t xml:space="preserve">, then 1 root:</w:t>
      </w:r>
      <w:r>
        <w:t xml:space="preserve"> </w:t>
      </w:r>
      <m:oMath>
        <m:r>
          <m:t>24</m:t>
        </m:r>
        <m:r>
          <m:t> </m:t>
        </m:r>
        <m:r>
          <m:t>539</m:t>
        </m:r>
      </m:oMath>
      <w:r>
        <w:t xml:space="preserve"> </w:t>
      </w:r>
      <w:r>
        <w:t xml:space="preserve">pages</w:t>
      </w:r>
      <w:r>
        <w:t xml:space="preserve"> </w:t>
      </w:r>
      <m:oMath>
        <m:r>
          <m:rPr>
            <m:sty m:val="p"/>
          </m:rPr>
          <m:t>×</m:t>
        </m:r>
      </m:oMath>
      <w:r>
        <w:t xml:space="preserve"> </w:t>
      </w:r>
      <w:r>
        <w:t xml:space="preserve">16 KiB</w:t>
      </w:r>
      <w:r>
        <w:t xml:space="preserve"> </w:t>
      </w:r>
      <m:oMath>
        <m:r>
          <m:rPr>
            <m:sty m:val="p"/>
          </m:rPr>
          <m:t>≈</m:t>
        </m:r>
        <m:r>
          <m:t>402</m:t>
        </m:r>
      </m:oMath>
      <w:r>
        <w:t xml:space="preserve"> </w:t>
      </w:r>
      <w:r>
        <w:t xml:space="preserve">MB.</w:t>
      </w:r>
    </w:p>
    <w:p>
      <w:pPr>
        <w:pStyle w:val="CalloutExample"/>
      </w:pPr>
      <w:r>
        <w:rPr>
          <w:bCs/>
          <w:b/>
        </w:rPr>
        <w:t xml:space="preserve">Interpretation.</w:t>
      </w:r>
      <w:r>
        <w:t xml:space="preserve"> </w:t>
      </w:r>
      <w:r>
        <w:t xml:space="preserve">Four levels index a billion rows, as at 80% fill, and the internal levels fit in about 400 MB (about 30% more than the 308 MB, or 294 MiB, of §11.8.2), so a point lookup costs at most</w:t>
      </w:r>
      <w:r>
        <w:t xml:space="preserve"> </w:t>
      </w:r>
      <w:r>
        <w:rPr>
          <w:bCs/>
          <w:b/>
        </w:rPr>
        <w:t xml:space="preserve">one</w:t>
      </w:r>
      <w:r>
        <w:t xml:space="preserve"> </w:t>
      </w:r>
      <w:r>
        <w:t xml:space="preserve">random read.</w:t>
      </w:r>
      <w:r>
        <w:t xml:space="preserve"> </w:t>
      </w:r>
      <w:r>
        <w:rPr>
          <w:bCs/>
          <w:b/>
        </w:rPr>
        <w:t xml:space="preserve">Engineering implication.</w:t>
      </w:r>
      <w:r>
        <w:t xml:space="preserve"> </w:t>
      </w:r>
      <w:r>
        <w:t xml:space="preserve">Read cost is nearly flat in table size while internal pages stay cached; the real danger is a working set of</w:t>
      </w:r>
      <w:r>
        <w:t xml:space="preserve"> </w:t>
      </w:r>
      <w:r>
        <w:rPr>
          <w:iCs/>
          <w:i/>
        </w:rPr>
        <w:t xml:space="preserve">leaves</w:t>
      </w:r>
      <w:r>
        <w:t xml:space="preserve"> </w:t>
      </w:r>
      <w:r>
        <w:t xml:space="preserve">larger than RAM. Wide keys cut fan-out and can add a level, one reason to prefer compact primary keys.</w:t>
      </w:r>
    </w:p>
    <w:bookmarkEnd w:id="1481"/>
    <w:bookmarkEnd w:id="1482"/>
    <w:bookmarkStart w:id="1483" w:name="concurrency-latches-and-latch-crabbing"/>
    <w:p>
      <w:pPr>
        <w:pStyle w:val="Heading3"/>
      </w:pPr>
      <w:r>
        <w:t xml:space="preserve">13.6.2 Concurrency: latches and latch crabbing</w:t>
      </w:r>
    </w:p>
    <w:p>
      <w:pPr>
        <w:pStyle w:val="FirstParagraph"/>
      </w:pPr>
      <w:r>
        <w:t xml:space="preserve">A</w:t>
      </w:r>
      <w:r>
        <w:t xml:space="preserve"> </w:t>
      </w:r>
      <w:r>
        <w:rPr>
          <w:bCs/>
          <w:b/>
        </w:rPr>
        <w:t xml:space="preserve">latch</w:t>
      </w:r>
      <w:r>
        <w:t xml:space="preserve"> </w:t>
      </w:r>
      <w:r>
        <w:t xml:space="preserve">is a short-term mutex on an in-memory structure such as a page frame, held for microseconds; a</w:t>
      </w:r>
      <w:r>
        <w:t xml:space="preserve"> </w:t>
      </w:r>
      <w:r>
        <w:rPr>
          <w:bCs/>
          <w:b/>
        </w:rPr>
        <w:t xml:space="preserve">lock</w:t>
      </w:r>
      <w:r>
        <w:t xml:space="preserve"> </w:t>
      </w:r>
      <w:r>
        <w:t xml:space="preserve">protects logical data for a transaction’s lifetime and takes part in deadlock detection (§11.15).</w:t>
      </w:r>
      <w:r>
        <w:t xml:space="preserve"> </w:t>
      </w:r>
      <w:r>
        <w:rPr>
          <w:bCs/>
          <w:b/>
        </w:rPr>
        <w:t xml:space="preserve">Latch crabbing</w:t>
      </w:r>
      <w:r>
        <w:t xml:space="preserve"> </w:t>
      </w:r>
      <w:r>
        <w:t xml:space="preserve">descends like a crab: hold the parent’s latch, acquire the child’s, and release the parent when safe [Bayer and Schkolnick 1977].</w:t>
      </w:r>
    </w:p>
    <w:p>
      <w:pPr>
        <w:numPr>
          <w:ilvl w:val="0"/>
          <w:numId w:val="1446"/>
        </w:numPr>
        <w:pStyle w:val="Compact"/>
      </w:pPr>
      <w:r>
        <w:rPr>
          <w:bCs/>
          <w:b/>
        </w:rPr>
        <w:t xml:space="preserve">Readers</w:t>
      </w:r>
      <w:r>
        <w:t xml:space="preserve"> </w:t>
      </w:r>
      <w:r>
        <w:t xml:space="preserve">latch the child shared, then release the parent: at most two latches at a time.</w:t>
      </w:r>
    </w:p>
    <w:p>
      <w:pPr>
        <w:numPr>
          <w:ilvl w:val="0"/>
          <w:numId w:val="1446"/>
        </w:numPr>
        <w:pStyle w:val="Compact"/>
      </w:pPr>
      <w:r>
        <w:rPr>
          <w:bCs/>
          <w:b/>
        </w:rPr>
        <w:t xml:space="preserve">Writers</w:t>
      </w:r>
      <w:r>
        <w:t xml:space="preserve"> </w:t>
      </w:r>
      <w:r>
        <w:t xml:space="preserve">latch exclusively and release all ancestors on reaching a</w:t>
      </w:r>
      <w:r>
        <w:t xml:space="preserve"> </w:t>
      </w:r>
      <w:r>
        <w:rPr>
          <w:bCs/>
          <w:b/>
        </w:rPr>
        <w:t xml:space="preserve">safe</w:t>
      </w:r>
      <w:r>
        <w:t xml:space="preserve"> </w:t>
      </w:r>
      <w:r>
        <w:t xml:space="preserve">node, one that cannot split (has free space) or merge on this operation.</w:t>
      </w:r>
    </w:p>
    <w:p>
      <w:pPr>
        <w:numPr>
          <w:ilvl w:val="0"/>
          <w:numId w:val="1446"/>
        </w:numPr>
        <w:pStyle w:val="Compact"/>
      </w:pPr>
      <w:r>
        <w:rPr>
          <w:bCs/>
          <w:b/>
        </w:rPr>
        <w:t xml:space="preserve">Optimistically</w:t>
      </w:r>
      <w:r>
        <w:t xml:space="preserve">, since splits are rare, writers descend with shared latches and latch only the leaf exclusively, restarting pessimistically if a split is needed. The root is then almost never exclusively latched.</w:t>
      </w:r>
    </w:p>
    <w:p>
      <w:pPr>
        <w:pStyle w:val="FirstParagraph"/>
      </w:pPr>
      <w:r>
        <w:rPr>
          <w:bCs/>
          <w:b/>
        </w:rPr>
        <w:t xml:space="preserve">B-link trees</w:t>
      </w:r>
      <w:r>
        <w:t xml:space="preserve"> </w:t>
      </w:r>
      <w:r>
        <w:t xml:space="preserve">[Lehman and Yao 1981] add a high key and right-sibling pointer to every page, so a reader arriving just after a concurrent split follows the right-link instead of latching the parent. PostgreSQL’s B-tree is based on this design.</w:t>
      </w:r>
    </w:p>
    <w:bookmarkEnd w:id="1483"/>
    <w:bookmarkStart w:id="1485" w:name="copy-on-write-b-trees"/>
    <w:p>
      <w:pPr>
        <w:pStyle w:val="Heading3"/>
      </w:pPr>
      <w:r>
        <w:t xml:space="preserve">13.6.3 Copy-on-write B-trees</w:t>
      </w:r>
    </w:p>
    <w:p>
      <w:pPr>
        <w:pStyle w:val="FirstParagraph"/>
      </w:pPr>
      <w:r>
        <w:t xml:space="preserve">A</w:t>
      </w:r>
      <w:r>
        <w:t xml:space="preserve"> </w:t>
      </w:r>
      <w:r>
        <w:rPr>
          <w:bCs/>
          <w:b/>
        </w:rPr>
        <w:t xml:space="preserve">copy-on-write (COW)</w:t>
      </w:r>
      <w:r>
        <w:t xml:space="preserve"> </w:t>
      </w:r>
      <w:r>
        <w:t xml:space="preserve">or shadowing B-tree never modifies a page reachable from the current root. Changing a leaf writes a new leaf, a new parent pointing to it, and so on to a new root; a commit atomically switches the root pointer. Readers that began earlier keep the old root — a consistent snapshot without locks — and no WAL is needed [Rodeh 2008].</w:t>
      </w:r>
    </w:p>
    <w:p>
      <w:pPr>
        <w:pStyle w:val="CalloutIndustry"/>
      </w:pPr>
      <w:r>
        <w:rPr>
          <w:bCs/>
          <w:b/>
        </w:rPr>
        <w:t xml:space="preserve">INDUSTRY EXAMPLE</w:t>
      </w:r>
    </w:p>
    <w:p>
      <w:pPr>
        <w:pStyle w:val="CalloutIndustry"/>
      </w:pPr>
      <w:r>
        <w:rPr>
          <w:bCs/>
          <w:b/>
        </w:rPr>
        <w:t xml:space="preserve">LMDB.</w:t>
      </w:r>
      <w:r>
        <w:t xml:space="preserve"> </w:t>
      </w:r>
      <w:r>
        <w:t xml:space="preserve">Written for the read-dominated OpenLDAP directory server, LMDB memory-maps its file, allows one writer and any number of lock-free readers, and alternates between two</w:t>
      </w:r>
      <w:r>
        <w:t xml:space="preserve"> </w:t>
      </w:r>
      <w:r>
        <w:rPr>
          <w:bCs/>
          <w:b/>
        </w:rPr>
        <w:t xml:space="preserve">meta pages</w:t>
      </w:r>
      <w:r>
        <w:t xml:space="preserve"> </w:t>
      </w:r>
      <w:r>
        <w:t xml:space="preserve">recording the current root; after a crash the meta page with the higher valid transaction ID</w:t>
      </w:r>
      <w:r>
        <w:t xml:space="preserve"> </w:t>
      </w:r>
      <w:r>
        <w:rPr>
          <w:iCs/>
          <w:i/>
        </w:rPr>
        <w:t xml:space="preserve">is</w:t>
      </w:r>
      <w:r>
        <w:t xml:space="preserve"> </w:t>
      </w:r>
      <w:r>
        <w:t xml:space="preserve">the database, so there is no recovery procedure. Freed pages are reused once no reader needs them. Trade-offs: each commit copies the root-to-leaf path — with height 4 and 4 KiB pages, 16 KiB for a 100-byte update, about 160× write amplification unless a transaction batches many keys — long readers bloat the file, and one writer bounds write concurrency. Btrfs and ZFS use the same idea (§6.14.2).</w:t>
      </w:r>
      <w:r>
        <w:t xml:space="preserve"> </w:t>
      </w:r>
      <w:r>
        <w:rPr>
          <w:iCs/>
          <w:i/>
        </w:rPr>
        <w:t xml:space="preserve">Evidence: Primary</w:t>
      </w:r>
      <w:r>
        <w:t xml:space="preserve"> </w:t>
      </w:r>
      <w:r>
        <w:t xml:space="preserve">— [LMDB Docs]</w:t>
      </w:r>
    </w:p>
    <w:bookmarkStart w:id="1484" w:name="advantages-and-disadvantages-12"/>
    <w:p>
      <w:pPr>
        <w:pStyle w:val="Heading4"/>
      </w:pPr>
      <w:r>
        <w:t xml:space="preserve">Advantages and disadvantages</w:t>
      </w:r>
    </w:p>
    <w:p>
      <w:pPr>
        <w:pStyle w:val="FirstParagraph"/>
      </w:pPr>
      <w:r>
        <w:t xml:space="preserve">B-trees give predictable one-I/O point reads, efficient range scans along sibling links, and mature row-level locking. Their weaknesses come from in-place updates: random writes, page-sized write amplification (§13.11), partly empty pages (</w:t>
      </w:r>
      <m:oMath>
        <m:r>
          <m:t>S</m:t>
        </m:r>
        <m:r>
          <m:t>A</m:t>
        </m:r>
        <m:r>
          <m:rPr>
            <m:sty m:val="p"/>
          </m:rPr>
          <m:t>≈</m:t>
        </m:r>
        <m:r>
          <m:t>1</m:t>
        </m:r>
        <m:r>
          <m:rPr>
            <m:sty m:val="p"/>
          </m:rPr>
          <m:t>/</m:t>
        </m:r>
        <m:r>
          <m:t>0.69</m:t>
        </m:r>
        <m:r>
          <m:rPr>
            <m:sty m:val="p"/>
          </m:rPr>
          <m:t>≈</m:t>
        </m:r>
        <m:r>
          <m:t>1.45</m:t>
        </m:r>
      </m:oMath>
      <w:r>
        <w:t xml:space="preserve"> </w:t>
      </w:r>
      <w:r>
        <w:t xml:space="preserve">from fill factor alone) and torn-page risk (§13.12).</w:t>
      </w:r>
    </w:p>
    <w:p>
      <w:pPr>
        <w:pStyle w:val="CalloutMistake"/>
      </w:pPr>
      <w:r>
        <w:rPr>
          <w:bCs/>
          <w:b/>
        </w:rPr>
        <w:t xml:space="preserve">COMMON MISTAKE</w:t>
      </w:r>
    </w:p>
    <w:p>
      <w:pPr>
        <w:pStyle w:val="CalloutMistake"/>
      </w:pPr>
      <w:r>
        <w:rPr>
          <w:bCs/>
          <w:b/>
        </w:rPr>
        <w:t xml:space="preserve">“</w:t>
      </w:r>
      <w:r>
        <w:rPr>
          <w:bCs/>
          <w:b/>
        </w:rPr>
        <w:t xml:space="preserve">B-trees need one disk write per insert.</w:t>
      </w:r>
      <w:r>
        <w:rPr>
          <w:bCs/>
          <w:b/>
        </w:rPr>
        <w:t xml:space="preserve">”</w:t>
      </w:r>
      <w:r>
        <w:t xml:space="preserve"> </w:t>
      </w:r>
      <w:r>
        <w:t xml:space="preserve">At commit only a small sequential log record is written; the page is written later, by which time many inserts may share it. Insert cost therefore depends on key locality (§13.11.2).</w:t>
      </w:r>
    </w:p>
    <w:bookmarkEnd w:id="1484"/>
    <w:bookmarkEnd w:id="1485"/>
    <w:bookmarkEnd w:id="1486"/>
    <w:bookmarkStart w:id="1497" w:name="log-structured-storage"/>
    <w:p>
      <w:pPr>
        <w:pStyle w:val="Heading2"/>
      </w:pPr>
      <w:r>
        <w:t xml:space="preserve">13.7 Log-structured storage</w:t>
      </w:r>
    </w:p>
    <w:bookmarkStart w:id="1489" w:name="the-idea-never-overwrite-only-append"/>
    <w:p>
      <w:pPr>
        <w:pStyle w:val="Heading3"/>
      </w:pPr>
      <w:r>
        <w:t xml:space="preserve">13.7.1 The idea: never overwrite, only append</w:t>
      </w:r>
    </w:p>
    <w:p>
      <w:pPr>
        <w:pStyle w:val="CalloutDefinition"/>
      </w:pPr>
      <w:r>
        <w:rPr>
          <w:bCs/>
          <w:b/>
        </w:rPr>
        <w:t xml:space="preserve">DEFINITION</w:t>
      </w:r>
    </w:p>
    <w:p>
      <w:pPr>
        <w:pStyle w:val="CalloutDefinition"/>
      </w:pPr>
      <w:r>
        <w:rPr>
          <w:bCs/>
          <w:b/>
        </w:rPr>
        <w:t xml:space="preserve">Definition — Log-structured storage.</w:t>
      </w:r>
      <w:r>
        <w:t xml:space="preserve"> </w:t>
      </w:r>
      <w:r>
        <w:t xml:space="preserve">A storage design in which every write — insert, update or delete — is appended to the end of a file, and existing data is never modified in place. Old versions become garbage that a background</w:t>
      </w:r>
      <w:r>
        <w:t xml:space="preserve"> </w:t>
      </w:r>
      <w:r>
        <w:rPr>
          <w:bCs/>
          <w:b/>
        </w:rPr>
        <w:t xml:space="preserve">compaction</w:t>
      </w:r>
      <w:r>
        <w:t xml:space="preserve"> </w:t>
      </w:r>
      <w:r>
        <w:t xml:space="preserve">(or merge) process removes by copying live data into new files.</w:t>
      </w:r>
    </w:p>
    <w:bookmarkStart w:id="1487" w:name="first-principles-explanation-83"/>
    <w:p>
      <w:pPr>
        <w:pStyle w:val="Heading4"/>
      </w:pPr>
      <w:r>
        <w:t xml:space="preserve">First-principles explanation</w:t>
      </w:r>
    </w:p>
    <w:p>
      <w:pPr>
        <w:pStyle w:val="FirstParagraph"/>
      </w:pPr>
      <w:r>
        <w:t xml:space="preserve">Suppose the shopkeeper’s cash book of §13.5 becomes</w:t>
      </w:r>
      <w:r>
        <w:t xml:space="preserve"> </w:t>
      </w:r>
      <w:r>
        <w:rPr>
          <w:iCs/>
          <w:i/>
        </w:rPr>
        <w:t xml:space="preserve">the</w:t>
      </w:r>
      <w:r>
        <w:t xml:space="preserve"> </w:t>
      </w:r>
      <w:r>
        <w:t xml:space="preserve">record: a balance is the most recent line about a customer. Writing is one append and recovery is trivial, but finding the latest line needs an index, and obsolete lines must be tidied away. Every log-structured engine answers those two problems; the idea goes back to the log-structured file system [Rosenblum and Ousterhout 1992].</w:t>
      </w:r>
    </w:p>
    <w:bookmarkEnd w:id="1487"/>
    <w:bookmarkStart w:id="1488" w:name="why-does-this-exist-49"/>
    <w:p>
      <w:pPr>
        <w:pStyle w:val="Heading4"/>
      </w:pPr>
      <w:r>
        <w:t xml:space="preserve">Why does this exist?</w:t>
      </w:r>
    </w:p>
    <w:p>
      <w:pPr>
        <w:pStyle w:val="FirstParagraph"/>
      </w:pPr>
      <w:r>
        <w:t xml:space="preserve">Sequential writes are 100–600× faster than random ones on HDDs (§5.6.1) and still better on SSDs, where they also cut the drive’s internal write amplification (§5.6.3). Log structuring makes</w:t>
      </w:r>
      <w:r>
        <w:t xml:space="preserve"> </w:t>
      </w:r>
      <w:r>
        <w:rPr>
          <w:iCs/>
          <w:i/>
        </w:rPr>
        <w:t xml:space="preserve">all</w:t>
      </w:r>
      <w:r>
        <w:t xml:space="preserve"> </w:t>
      </w:r>
      <w:r>
        <w:t xml:space="preserve">writes sequential and moves the cost to reads and background compaction.</w:t>
      </w:r>
    </w:p>
    <w:bookmarkEnd w:id="1488"/>
    <w:bookmarkEnd w:id="1489"/>
    <w:bookmarkStart w:id="1496" w:name="bitcask-a-hash-index-over-a-log"/>
    <w:p>
      <w:pPr>
        <w:pStyle w:val="Heading3"/>
      </w:pPr>
      <w:r>
        <w:t xml:space="preserve">13.7.2 Bitcask: a hash index over a log</w:t>
      </w:r>
    </w:p>
    <w:p>
      <w:pPr>
        <w:pStyle w:val="FirstParagraph"/>
      </w:pPr>
      <w:r>
        <w:t xml:space="preserve">Bitcask, the default storage backend of the Riak key-value store, is the simplest complete log-structured engine and a good mental model [Sheehy and Smith 2010].</w:t>
      </w:r>
    </w:p>
    <w:bookmarkStart w:id="1493" w:name="how-it-works-internally-53"/>
    <w:p>
      <w:pPr>
        <w:pStyle w:val="Heading4"/>
      </w:pPr>
      <w:r>
        <w:t xml:space="preserve">How it works internally</w:t>
      </w:r>
    </w:p>
    <w:p>
      <w:pPr>
        <w:numPr>
          <w:ilvl w:val="0"/>
          <w:numId w:val="1447"/>
        </w:numPr>
        <w:pStyle w:val="Compact"/>
      </w:pPr>
      <w:r>
        <w:rPr>
          <w:bCs/>
          <w:b/>
        </w:rPr>
        <w:t xml:space="preserve">Data files.</w:t>
      </w:r>
      <w:r>
        <w:t xml:space="preserve"> </w:t>
      </w:r>
      <w:r>
        <w:t xml:space="preserve">One</w:t>
      </w:r>
      <w:r>
        <w:t xml:space="preserve"> </w:t>
      </w:r>
      <w:r>
        <w:rPr>
          <w:bCs/>
          <w:b/>
        </w:rPr>
        <w:t xml:space="preserve">active</w:t>
      </w:r>
      <w:r>
        <w:t xml:space="preserve"> </w:t>
      </w:r>
      <w:r>
        <w:t xml:space="preserve">file takes appends of</w:t>
      </w:r>
      <w:r>
        <w:t xml:space="preserve"> </w:t>
      </w:r>
      <w:r>
        <w:rPr>
          <w:rStyle w:val="VerbatimChar"/>
        </w:rPr>
        <w:t xml:space="preserve">CRC | timestamp | key size | value size | key | value</w:t>
      </w:r>
      <w:r>
        <w:t xml:space="preserve">; full files become immutable. A delete appends a</w:t>
      </w:r>
      <w:r>
        <w:t xml:space="preserve"> </w:t>
      </w:r>
      <w:r>
        <w:rPr>
          <w:bCs/>
          <w:b/>
        </w:rPr>
        <w:t xml:space="preserve">tombstone</w:t>
      </w:r>
      <w:r>
        <w:t xml:space="preserve">.</w:t>
      </w:r>
    </w:p>
    <w:p>
      <w:pPr>
        <w:numPr>
          <w:ilvl w:val="0"/>
          <w:numId w:val="1447"/>
        </w:numPr>
        <w:pStyle w:val="Compact"/>
      </w:pPr>
      <w:r>
        <w:rPr>
          <w:bCs/>
          <w:b/>
        </w:rPr>
        <w:t xml:space="preserve">Keydir.</w:t>
      </w:r>
      <w:r>
        <w:t xml:space="preserve"> </w:t>
      </w:r>
      <w:r>
        <w:t xml:space="preserve">An in-memory hash table maps every key to the file, position and size of its latest record.</w:t>
      </w:r>
    </w:p>
    <w:p>
      <w:pPr>
        <w:numPr>
          <w:ilvl w:val="0"/>
          <w:numId w:val="1447"/>
        </w:numPr>
        <w:pStyle w:val="Compact"/>
      </w:pPr>
      <w:r>
        <w:rPr>
          <w:bCs/>
          <w:b/>
        </w:rPr>
        <w:t xml:space="preserve">Read.</w:t>
      </w:r>
      <w:r>
        <w:t xml:space="preserve"> </w:t>
      </w:r>
      <w:r>
        <w:t xml:space="preserve">One keydir lookup and</w:t>
      </w:r>
      <w:r>
        <w:t xml:space="preserve"> </w:t>
      </w:r>
      <w:r>
        <w:rPr>
          <w:bCs/>
          <w:b/>
        </w:rPr>
        <w:t xml:space="preserve">one</w:t>
      </w:r>
      <w:r>
        <w:t xml:space="preserve"> </w:t>
      </w:r>
      <w:r>
        <w:t xml:space="preserve">positioned read.</w:t>
      </w:r>
    </w:p>
    <w:p>
      <w:pPr>
        <w:numPr>
          <w:ilvl w:val="0"/>
          <w:numId w:val="1447"/>
        </w:numPr>
        <w:pStyle w:val="Compact"/>
      </w:pPr>
      <w:r>
        <w:rPr>
          <w:bCs/>
          <w:b/>
        </w:rPr>
        <w:t xml:space="preserve">Merge.</w:t>
      </w:r>
      <w:r>
        <w:t xml:space="preserve"> </w:t>
      </w:r>
      <w:r>
        <w:t xml:space="preserve">In the background, copy records the keydir still references into new files, delete the old ones, and write</w:t>
      </w:r>
      <w:r>
        <w:t xml:space="preserve"> </w:t>
      </w:r>
      <w:r>
        <w:rPr>
          <w:bCs/>
          <w:b/>
        </w:rPr>
        <w:t xml:space="preserve">hint files</w:t>
      </w:r>
      <w:r>
        <w:t xml:space="preserve"> </w:t>
      </w:r>
      <w:r>
        <w:t xml:space="preserve">(keys and positions) for fast restarts.</w:t>
      </w:r>
    </w:p>
    <w:p>
      <w:pPr>
        <w:numPr>
          <w:ilvl w:val="0"/>
          <w:numId w:val="1447"/>
        </w:numPr>
        <w:pStyle w:val="Compact"/>
      </w:pPr>
      <w:r>
        <w:rPr>
          <w:bCs/>
          <w:b/>
        </w:rPr>
        <w:t xml:space="preserve">Recovery.</w:t>
      </w:r>
      <w:r>
        <w:t xml:space="preserve"> </w:t>
      </w:r>
      <w:r>
        <w:t xml:space="preserve">Rebuild the keydir from hint files and the active file’s tail; a CRC mismatch marks a torn final record.</w:t>
      </w:r>
    </w:p>
    <w:p>
      <w:pPr>
        <w:pStyle w:val="FirstParagraph"/>
      </w:pPr>
      <w:r>
        <w:rPr>
          <w:bCs/>
          <w:b/>
        </w:rPr>
        <w:t xml:space="preserve">Figure 13.6 — Bitcask: an in-memory hash index over append-only files.</w:t>
      </w:r>
    </w:p>
    <w:p>
      <w:pPr>
        <w:pStyle w:val="BodyText"/>
      </w:pPr>
      <w:r>
        <w:drawing>
          <wp:inline>
            <wp:extent cx="5334000" cy="764002"/>
            <wp:effectExtent b="0" l="0" r="0" t="0"/>
            <wp:docPr descr="" title="" id="1491" name="Picture"/>
            <a:graphic>
              <a:graphicData uri="http://schemas.openxmlformats.org/drawingml/2006/picture">
                <pic:pic>
                  <pic:nvPicPr>
                    <pic:cNvPr descr="/home/user/System-Design/build/.cache/diagrams/18c695406a1a.png" id="1492" name="Picture"/>
                    <pic:cNvPicPr>
                      <a:picLocks noChangeArrowheads="1" noChangeAspect="1"/>
                    </pic:cNvPicPr>
                  </pic:nvPicPr>
                  <pic:blipFill>
                    <a:blip r:embed="rId1490"/>
                    <a:stretch>
                      <a:fillRect/>
                    </a:stretch>
                  </pic:blipFill>
                  <pic:spPr bwMode="auto">
                    <a:xfrm>
                      <a:off x="0" y="0"/>
                      <a:ext cx="5334000" cy="764002"/>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Writes append synchronously to the active file and then update the keydir; reads take one keydir lookup and one positioned read. Merging (dotted) is asynchronous. The storage boundary is stark: the whole index in RAM, all data on disk. Failure points: a crash loses the keydir, rebuilt from hint files; a torn final record fails its CRC. Scaling limit: every key must fit in RAM.</w:t>
      </w:r>
    </w:p>
    <w:bookmarkEnd w:id="1493"/>
    <w:bookmarkStart w:id="1494" w:name="mathematical-foundations-22"/>
    <w:p>
      <w:pPr>
        <w:pStyle w:val="Heading4"/>
      </w:pPr>
      <w:r>
        <w:t xml:space="preserve">Mathematical foundations</w:t>
      </w:r>
    </w:p>
    <w:p>
      <w:pPr>
        <w:pStyle w:val="FirstParagraph"/>
      </w:pPr>
      <w:r>
        <w:t xml:space="preserve">With 200 million 32-byte keys and an assumed ~50 bytes of per-entry overhead (illustrative), the keydir needs</w:t>
      </w:r>
      <w:r>
        <w:t xml:space="preserve"> </w:t>
      </w:r>
      <m:oMath>
        <m:r>
          <m:t>2</m:t>
        </m:r>
        <m:r>
          <m:rPr>
            <m:sty m:val="p"/>
          </m:rPr>
          <m:t>×</m:t>
        </m:r>
        <m:sSup>
          <m:e>
            <m:r>
              <m:t>10</m:t>
            </m:r>
          </m:e>
          <m:sup>
            <m:r>
              <m:t>8</m:t>
            </m:r>
          </m:sup>
        </m:sSup>
        <m:r>
          <m:rPr>
            <m:sty m:val="p"/>
          </m:rPr>
          <m:t>×</m:t>
        </m:r>
        <m:r>
          <m:t>82</m:t>
        </m:r>
        <m:r>
          <m:rPr>
            <m:sty m:val="p"/>
          </m:rPr>
          <m:t>=</m:t>
        </m:r>
        <m:r>
          <m:t>16.4</m:t>
        </m:r>
      </m:oMath>
      <w:r>
        <w:t xml:space="preserve"> </w:t>
      </w:r>
      <w:r>
        <w:t xml:space="preserve">GB of RAM whatever the value sizes: fine for 1 KB values (200 GB of data), absurd for 10-byte values.</w:t>
      </w:r>
    </w:p>
    <w:bookmarkEnd w:id="1494"/>
    <w:bookmarkStart w:id="1495" w:name="advantages-and-disadvantages-13"/>
    <w:p>
      <w:pPr>
        <w:pStyle w:val="Heading4"/>
      </w:pPr>
      <w:r>
        <w:t xml:space="preserve">Advantages and disadvantages</w:t>
      </w:r>
    </w:p>
    <w:p>
      <w:pPr>
        <w:pStyle w:val="FirstParagraph"/>
      </w:pPr>
      <w:r>
        <w:t xml:space="preserve">Bitcask gives one append per write, one seek per read and simple recovery, but no</w:t>
      </w:r>
      <w:r>
        <w:t xml:space="preserve"> </w:t>
      </w:r>
      <w:r>
        <w:rPr>
          <w:bCs/>
          <w:b/>
        </w:rPr>
        <w:t xml:space="preserve">range queries</w:t>
      </w:r>
      <w:r>
        <w:t xml:space="preserve"> </w:t>
      </w:r>
      <w:r>
        <w:t xml:space="preserve">(a hash has no order) and a RAM-bound key count. Sorting the files by key and allowing a sparse index removes both limits — which is the LSM tree.</w:t>
      </w:r>
    </w:p>
    <w:bookmarkEnd w:id="1495"/>
    <w:bookmarkEnd w:id="1496"/>
    <w:bookmarkEnd w:id="1497"/>
    <w:bookmarkStart w:id="1510" w:name="lsm-trees-memtables-and-sstables"/>
    <w:p>
      <w:pPr>
        <w:pStyle w:val="Heading2"/>
      </w:pPr>
      <w:r>
        <w:t xml:space="preserve">13.8 LSM trees: memtables and SSTables</w:t>
      </w:r>
    </w:p>
    <w:bookmarkStart w:id="1509" w:name="Xaf907b453206e5fe4cc25058be8f1b9a4d3a007"/>
    <w:p>
      <w:pPr>
        <w:pStyle w:val="Heading3"/>
      </w:pPr>
      <w:r>
        <w:t xml:space="preserve">13.8.1 From a log to a log-structured merge tree</w:t>
      </w:r>
    </w:p>
    <w:p>
      <w:pPr>
        <w:pStyle w:val="CalloutDefinition"/>
      </w:pPr>
      <w:r>
        <w:rPr>
          <w:bCs/>
          <w:b/>
        </w:rPr>
        <w:t xml:space="preserve">DEFINITION</w:t>
      </w:r>
    </w:p>
    <w:p>
      <w:pPr>
        <w:pStyle w:val="CalloutDefinition"/>
      </w:pPr>
      <w:r>
        <w:rPr>
          <w:bCs/>
          <w:b/>
        </w:rPr>
        <w:t xml:space="preserve">Definition — Log-structured merge tree (LSM tree).</w:t>
      </w:r>
      <w:r>
        <w:t xml:space="preserve"> </w:t>
      </w:r>
      <w:r>
        <w:t xml:space="preserve">A storage structure that buffers writes in a sorted in-memory table (the</w:t>
      </w:r>
      <w:r>
        <w:t xml:space="preserve"> </w:t>
      </w:r>
      <w:r>
        <w:rPr>
          <w:bCs/>
          <w:b/>
        </w:rPr>
        <w:t xml:space="preserve">memtable</w:t>
      </w:r>
      <w:r>
        <w:t xml:space="preserve">), periodically writes it out as an immutable sorted file (a</w:t>
      </w:r>
      <w:r>
        <w:t xml:space="preserve"> </w:t>
      </w:r>
      <w:r>
        <w:rPr>
          <w:bCs/>
          <w:b/>
        </w:rPr>
        <w:t xml:space="preserve">sorted string table, SSTable</w:t>
      </w:r>
      <w:r>
        <w:t xml:space="preserve">), and merges SSTables in the background (</w:t>
      </w:r>
      <w:r>
        <w:rPr>
          <w:bCs/>
          <w:b/>
        </w:rPr>
        <w:t xml:space="preserve">compaction</w:t>
      </w:r>
      <w:r>
        <w:t xml:space="preserve">) into progressively larger sorted runs organized in</w:t>
      </w:r>
      <w:r>
        <w:t xml:space="preserve"> </w:t>
      </w:r>
      <w:r>
        <w:rPr>
          <w:bCs/>
          <w:b/>
        </w:rPr>
        <w:t xml:space="preserve">levels</w:t>
      </w:r>
      <w:r>
        <w:t xml:space="preserve">. Introduced by O’Neil, Cheng, Gawlick and O’Neil [O’Neil et al. 1996]; the memtable/SSTable design popularized by Google’s Bigtable [Chang et al. 2006] and implemented in LevelDB, RocksDB, Cassandra, HBase, ScyllaDB and many others.</w:t>
      </w:r>
    </w:p>
    <w:bookmarkStart w:id="1498" w:name="first-principles-explanation-84"/>
    <w:p>
      <w:pPr>
        <w:pStyle w:val="Heading4"/>
      </w:pPr>
      <w:r>
        <w:t xml:space="preserve">First-principles explanation</w:t>
      </w:r>
    </w:p>
    <w:p>
      <w:pPr>
        <w:pStyle w:val="FirstParagraph"/>
      </w:pPr>
      <w:r>
        <w:t xml:space="preserve">A librarian sorts returned books on a trolley instead of walking to a random shelf for each; when it is full she shelves the sorted batch on a side shelf in one pass. To find a book you check the trolley, then the newest batch, then older ones; nightly she merges batches into the main shelves. Trolley = memtable, batch = SSTable, nightly merge = compaction.</w:t>
      </w:r>
    </w:p>
    <w:bookmarkEnd w:id="1498"/>
    <w:bookmarkStart w:id="1502" w:name="how-it-works-internally-the-write-path"/>
    <w:p>
      <w:pPr>
        <w:pStyle w:val="Heading4"/>
      </w:pPr>
      <w:r>
        <w:t xml:space="preserve">How it works internally: the write path</w:t>
      </w:r>
    </w:p>
    <w:p>
      <w:pPr>
        <w:numPr>
          <w:ilvl w:val="0"/>
          <w:numId w:val="1448"/>
        </w:numPr>
        <w:pStyle w:val="Compact"/>
      </w:pPr>
      <w:r>
        <w:rPr>
          <w:bCs/>
          <w:b/>
        </w:rPr>
        <w:t xml:space="preserve">Log:</w:t>
      </w:r>
      <w:r>
        <w:t xml:space="preserve"> </w:t>
      </w:r>
      <w:r>
        <w:t xml:space="preserve">append to the WAL (§13.5.4), which exists only to rebuild the memtable after a crash.</w:t>
      </w:r>
    </w:p>
    <w:p>
      <w:pPr>
        <w:numPr>
          <w:ilvl w:val="0"/>
          <w:numId w:val="1448"/>
        </w:numPr>
        <w:pStyle w:val="Compact"/>
      </w:pPr>
      <w:r>
        <w:rPr>
          <w:bCs/>
          <w:b/>
        </w:rPr>
        <w:t xml:space="preserve">Memtable:</w:t>
      </w:r>
      <w:r>
        <w:t xml:space="preserve"> </w:t>
      </w:r>
      <w:r>
        <w:t xml:space="preserve">insert into a sorted in-memory structure — a skip list in LevelDB and RocksDB (§17.7). A delete inserts a</w:t>
      </w:r>
      <w:r>
        <w:t xml:space="preserve"> </w:t>
      </w:r>
      <w:r>
        <w:rPr>
          <w:bCs/>
          <w:b/>
        </w:rPr>
        <w:t xml:space="preserve">tombstone</w:t>
      </w:r>
      <w:r>
        <w:t xml:space="preserve">.</w:t>
      </w:r>
    </w:p>
    <w:p>
      <w:pPr>
        <w:numPr>
          <w:ilvl w:val="0"/>
          <w:numId w:val="1448"/>
        </w:numPr>
        <w:pStyle w:val="Compact"/>
      </w:pPr>
      <w:r>
        <w:rPr>
          <w:bCs/>
          <w:b/>
        </w:rPr>
        <w:t xml:space="preserve">Freeze:</w:t>
      </w:r>
      <w:r>
        <w:t xml:space="preserve"> </w:t>
      </w:r>
      <w:r>
        <w:t xml:space="preserve">at the size limit (RocksDB</w:t>
      </w:r>
      <w:r>
        <w:t xml:space="preserve"> </w:t>
      </w:r>
      <w:r>
        <w:rPr>
          <w:rStyle w:val="VerbatimChar"/>
        </w:rPr>
        <w:t xml:space="preserve">write_buffer_size</w:t>
      </w:r>
      <w:r>
        <w:t xml:space="preserve">, 64 MB by default) the memtable becomes immutable and a new one starts, so writes never wait.</w:t>
      </w:r>
    </w:p>
    <w:p>
      <w:pPr>
        <w:numPr>
          <w:ilvl w:val="0"/>
          <w:numId w:val="1448"/>
        </w:numPr>
        <w:pStyle w:val="Compact"/>
      </w:pPr>
      <w:r>
        <w:rPr>
          <w:bCs/>
          <w:b/>
        </w:rPr>
        <w:t xml:space="preserve">Flush:</w:t>
      </w:r>
      <w:r>
        <w:t xml:space="preserve"> </w:t>
      </w:r>
      <w:r>
        <w:t xml:space="preserve">write it as a new</w:t>
      </w:r>
      <w:r>
        <w:t xml:space="preserve"> </w:t>
      </w:r>
      <w:r>
        <w:rPr>
          <w:bCs/>
          <w:b/>
        </w:rPr>
        <w:t xml:space="preserve">level 0</w:t>
      </w:r>
      <w:r>
        <w:t xml:space="preserve"> </w:t>
      </w:r>
      <w:r>
        <w:t xml:space="preserve">SSTable in one sequential pass; drop the WAL segment it covered.</w:t>
      </w:r>
    </w:p>
    <w:p>
      <w:pPr>
        <w:numPr>
          <w:ilvl w:val="0"/>
          <w:numId w:val="1448"/>
        </w:numPr>
        <w:pStyle w:val="Compact"/>
      </w:pPr>
      <w:r>
        <w:rPr>
          <w:bCs/>
          <w:b/>
        </w:rPr>
        <w:t xml:space="preserve">Compact:</w:t>
      </w:r>
      <w:r>
        <w:t xml:space="preserve"> </w:t>
      </w:r>
      <w:r>
        <w:t xml:space="preserve">merge SSTables into larger non-overlapping runs in deeper levels (§13.9), discarding overwritten values and, at the bottom, tombstones.</w:t>
      </w:r>
    </w:p>
    <w:p>
      <w:pPr>
        <w:pStyle w:val="FirstParagraph"/>
      </w:pPr>
      <w:r>
        <w:t xml:space="preserve">An</w:t>
      </w:r>
      <w:r>
        <w:t xml:space="preserve"> </w:t>
      </w:r>
      <w:r>
        <w:rPr>
          <w:bCs/>
          <w:b/>
        </w:rPr>
        <w:t xml:space="preserve">SSTable</w:t>
      </w:r>
      <w:r>
        <w:t xml:space="preserve"> </w:t>
      </w:r>
      <w:r>
        <w:t xml:space="preserve">is immutable and sorted:</w:t>
      </w:r>
      <w:r>
        <w:t xml:space="preserve"> </w:t>
      </w:r>
      <w:r>
        <w:rPr>
          <w:bCs/>
          <w:b/>
        </w:rPr>
        <w:t xml:space="preserve">data blocks</w:t>
      </w:r>
      <w:r>
        <w:t xml:space="preserve"> </w:t>
      </w:r>
      <w:r>
        <w:t xml:space="preserve">(RocksDB default 4 KiB before compression), an</w:t>
      </w:r>
      <w:r>
        <w:t xml:space="preserve"> </w:t>
      </w:r>
      <w:r>
        <w:rPr>
          <w:bCs/>
          <w:b/>
        </w:rPr>
        <w:t xml:space="preserve">index block</w:t>
      </w:r>
      <w:r>
        <w:t xml:space="preserve"> </w:t>
      </w:r>
      <w:r>
        <w:t xml:space="preserve">with one entry per block, a</w:t>
      </w:r>
      <w:r>
        <w:t xml:space="preserve"> </w:t>
      </w:r>
      <w:r>
        <w:rPr>
          <w:bCs/>
          <w:b/>
        </w:rPr>
        <w:t xml:space="preserve">filter block</w:t>
      </w:r>
      <w:r>
        <w:t xml:space="preserve"> </w:t>
      </w:r>
      <w:r>
        <w:t xml:space="preserve">with a Bloom filter (§13.10), and a</w:t>
      </w:r>
      <w:r>
        <w:t xml:space="preserve"> </w:t>
      </w:r>
      <w:r>
        <w:rPr>
          <w:bCs/>
          <w:b/>
        </w:rPr>
        <w:t xml:space="preserve">footer</w:t>
      </w:r>
      <w:r>
        <w:t xml:space="preserve"> </w:t>
      </w:r>
      <w:r>
        <w:t xml:space="preserve">locating them. Sorting allows a sparse index and lets several SSTables be merged sequentially into a new one.</w:t>
      </w:r>
    </w:p>
    <w:p>
      <w:pPr>
        <w:pStyle w:val="BodyText"/>
      </w:pPr>
      <w:r>
        <w:rPr>
          <w:bCs/>
          <w:b/>
        </w:rPr>
        <w:t xml:space="preserve">Figure 13.7 — LSM tree write path and levels.</w:t>
      </w:r>
    </w:p>
    <w:p>
      <w:pPr>
        <w:pStyle w:val="BodyText"/>
      </w:pPr>
      <w:r>
        <w:drawing>
          <wp:inline>
            <wp:extent cx="5334000" cy="15894604"/>
            <wp:effectExtent b="0" l="0" r="0" t="0"/>
            <wp:docPr descr="" title="" id="1500" name="Picture"/>
            <a:graphic>
              <a:graphicData uri="http://schemas.openxmlformats.org/drawingml/2006/picture">
                <pic:pic>
                  <pic:nvPicPr>
                    <pic:cNvPr descr="/home/user/System-Design/build/.cache/diagrams/9e842394117c.png" id="1501" name="Picture"/>
                    <pic:cNvPicPr>
                      <a:picLocks noChangeArrowheads="1" noChangeAspect="1"/>
                    </pic:cNvPicPr>
                  </pic:nvPicPr>
                  <pic:blipFill>
                    <a:blip r:embed="rId1499"/>
                    <a:stretch>
                      <a:fillRect/>
                    </a:stretch>
                  </pic:blipFill>
                  <pic:spPr bwMode="auto">
                    <a:xfrm>
                      <a:off x="0" y="0"/>
                      <a:ext cx="5334000" cy="15894604"/>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Only steps 1 and 2 are synchronous: a sequential WAL append and an in-memory insert. Flushing and compaction are asynchronous (dotted). L0 holds whole flushes with overlapping key ranges; from L1 down, each level is one sorted run in non-overlapping files, about ten times larger than the level above (RocksDB defaults:</w:t>
      </w:r>
      <w:r>
        <w:t xml:space="preserve"> </w:t>
      </w:r>
      <w:r>
        <w:rPr>
          <w:rStyle w:val="VerbatimChar"/>
        </w:rPr>
        <w:t xml:space="preserve">max_bytes_for_level_base</w:t>
      </w:r>
      <w:r>
        <w:t xml:space="preserve"> </w:t>
      </w:r>
      <w:r>
        <w:t xml:space="preserve">256 MB, multiplier 10). Memtables live in RAM; WAL and SSTables on disk. Failure points: if compaction lags, L0 files pile up and the engine slows or stops writes (a</w:t>
      </w:r>
      <w:r>
        <w:t xml:space="preserve"> </w:t>
      </w:r>
      <w:r>
        <w:rPr>
          <w:bCs/>
          <w:b/>
        </w:rPr>
        <w:t xml:space="preserve">write stall</w:t>
      </w:r>
      <w:r>
        <w:t xml:space="preserve">); a crash loses memtables, rebuilt from the WAL. Scaling is bounded by compaction bandwidth.</w:t>
      </w:r>
    </w:p>
    <w:bookmarkEnd w:id="1502"/>
    <w:bookmarkStart w:id="1506" w:name="how-it-works-internally-the-read-path"/>
    <w:p>
      <w:pPr>
        <w:pStyle w:val="Heading4"/>
      </w:pPr>
      <w:r>
        <w:t xml:space="preserve">How it works internally: the read path</w:t>
      </w:r>
    </w:p>
    <w:p>
      <w:pPr>
        <w:pStyle w:val="FirstParagraph"/>
      </w:pPr>
      <w:r>
        <w:t xml:space="preserve">A point lookup searches newest to oldest and stops at the first version found (a tombstone means deleted): the memtables; every L0 file, newest first, since their ranges overlap; then the one file per deeper level whose range covers the key. In each file it checks the Bloom filter, then the index block, then reads one data block, from the</w:t>
      </w:r>
      <w:r>
        <w:t xml:space="preserve"> </w:t>
      </w:r>
      <w:r>
        <w:rPr>
          <w:bCs/>
          <w:b/>
        </w:rPr>
        <w:t xml:space="preserve">block cache</w:t>
      </w:r>
      <w:r>
        <w:t xml:space="preserve"> </w:t>
      </w:r>
      <w:r>
        <w:t xml:space="preserve">if present. A</w:t>
      </w:r>
      <w:r>
        <w:t xml:space="preserve"> </w:t>
      </w:r>
      <w:r>
        <w:rPr>
          <w:bCs/>
          <w:b/>
        </w:rPr>
        <w:t xml:space="preserve">range scan</w:t>
      </w:r>
      <w:r>
        <w:t xml:space="preserve"> </w:t>
      </w:r>
      <w:r>
        <w:t xml:space="preserve">cannot stop early: it merges iterators over every memtable and overlapping SSTable, and Bloom filters do not help it.</w:t>
      </w:r>
    </w:p>
    <w:p>
      <w:pPr>
        <w:pStyle w:val="BodyText"/>
      </w:pPr>
      <w:r>
        <w:rPr>
          <w:bCs/>
          <w:b/>
        </w:rPr>
        <w:t xml:space="preserve">Figure 13.8 — LSM point-lookup read path.</w:t>
      </w:r>
    </w:p>
    <w:p>
      <w:pPr>
        <w:pStyle w:val="BodyText"/>
      </w:pPr>
      <w:r>
        <w:drawing>
          <wp:inline>
            <wp:extent cx="5334000" cy="7640594"/>
            <wp:effectExtent b="0" l="0" r="0" t="0"/>
            <wp:docPr descr="" title="" id="1504" name="Picture"/>
            <a:graphic>
              <a:graphicData uri="http://schemas.openxmlformats.org/drawingml/2006/picture">
                <pic:pic>
                  <pic:nvPicPr>
                    <pic:cNvPr descr="/home/user/System-Design/build/.cache/diagrams/afa3f5985ba8.png" id="1505" name="Picture"/>
                    <pic:cNvPicPr>
                      <a:picLocks noChangeArrowheads="1" noChangeAspect="1"/>
                    </pic:cNvPicPr>
                  </pic:nvPicPr>
                  <pic:blipFill>
                    <a:blip r:embed="rId1503"/>
                    <a:stretch>
                      <a:fillRect/>
                    </a:stretch>
                  </pic:blipFill>
                  <pic:spPr bwMode="auto">
                    <a:xfrm>
                      <a:off x="0" y="0"/>
                      <a:ext cx="5334000" cy="7640594"/>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Every step is synchronous. Memtables are checked in RAM; each L0 file is tried in turn (the loop), and its in-memory Bloom filter usually rules it out without I/O; deeper levels need one file each. Only a</w:t>
      </w:r>
      <w:r>
        <w:t xml:space="preserve"> </w:t>
      </w:r>
      <w:r>
        <w:t xml:space="preserve">“</w:t>
      </w:r>
      <w:r>
        <w:t xml:space="preserve">maybe</w:t>
      </w:r>
      <w:r>
        <w:t xml:space="preserve">”</w:t>
      </w:r>
      <w:r>
        <w:t xml:space="preserve"> </w:t>
      </w:r>
      <w:r>
        <w:t xml:space="preserve">reaches the block cache or disk — the storage boundary where latency jumps from microseconds to tens of microseconds. A false positive wastes one block read. Failure points: L0 backlog lengthens every lookup; an undersized block cache turns index and data reads into I/O. Cost grows with the number of sorted runs, which compaction keeps small.</w:t>
      </w:r>
    </w:p>
    <w:bookmarkEnd w:id="1506"/>
    <w:bookmarkStart w:id="1507" w:name="mathematical-foundations-23"/>
    <w:p>
      <w:pPr>
        <w:pStyle w:val="Heading4"/>
      </w:pPr>
      <w:r>
        <w:t xml:space="preserve">Mathematical foundations</w:t>
      </w:r>
    </w:p>
    <w:p>
      <w:pPr>
        <w:pStyle w:val="CalloutFormula"/>
      </w:pPr>
      <w:r>
        <w:rPr>
          <w:bCs/>
          <w:b/>
        </w:rPr>
        <w:t xml:space="preserve">FORMULA</w:t>
      </w:r>
    </w:p>
    <w:p>
      <w:pPr>
        <w:pStyle w:val="CalloutFormula"/>
      </w:pPr>
      <w:r>
        <w:rPr>
          <w:bCs/>
          <w:b/>
        </w:rPr>
        <w:t xml:space="preserve">Number of levels in a leveled LSM tree</w:t>
      </w:r>
    </w:p>
    <w:p>
      <w:pPr>
        <w:pStyle w:val="CalloutFormula"/>
      </w:pPr>
      <m:oMathPara>
        <m:oMathParaPr>
          <m:jc m:val="center"/>
        </m:oMathParaPr>
        <m:oMath>
          <m:r>
            <m:t>L</m:t>
          </m:r>
          <m:r>
            <m:rPr>
              <m:sty m:val="p"/>
            </m:rPr>
            <m:t>=</m:t>
          </m:r>
          <m:d>
            <m:dPr>
              <m:begChr m:val="⌈"/>
              <m:endChr m:val="⌉"/>
              <m:sepChr m:val=""/>
              <m:grow/>
            </m:dPr>
            <m:e>
              <m:sSub>
                <m:e>
                  <m:r>
                    <m:rPr>
                      <m:sty m:val="p"/>
                    </m:rPr>
                    <m:t>log</m:t>
                  </m:r>
                </m:e>
                <m:sub>
                  <m:r>
                    <m:t>T</m:t>
                  </m:r>
                </m:sub>
              </m:sSub>
              <m:f>
                <m:fPr>
                  <m:type m:val="bar"/>
                </m:fPr>
                <m:num>
                  <m:r>
                    <m:t>N</m:t>
                  </m:r>
                </m:num>
                <m:den>
                  <m:sSub>
                    <m:e>
                      <m:r>
                        <m:t>S</m:t>
                      </m:r>
                    </m:e>
                    <m:sub>
                      <m:r>
                        <m:t>1</m:t>
                      </m:r>
                    </m:sub>
                  </m:sSub>
                </m:den>
              </m:f>
            </m:e>
          </m:d>
          <m:r>
            <m:rPr>
              <m:sty m:val="p"/>
            </m:rPr>
            <m:t>+</m:t>
          </m:r>
          <m:r>
            <m:t>1</m:t>
          </m:r>
          <m:r>
            <m:t> </m:t>
          </m:r>
          <m:d>
            <m:dPr>
              <m:begChr m:val="("/>
              <m:endChr m:val=")"/>
              <m:sepChr m:val=""/>
              <m:grow/>
            </m:dPr>
            <m:e>
              <m:r>
                <m:rPr>
                  <m:nor/>
                  <m:sty m:val="p"/>
                </m:rPr>
                <m:t>levels </m:t>
              </m:r>
              <m:sSub>
                <m:e>
                  <m:r>
                    <m:t>L</m:t>
                  </m:r>
                </m:e>
                <m:sub>
                  <m:r>
                    <m:t>1</m:t>
                  </m:r>
                </m:sub>
              </m:sSub>
              <m:r>
                <m:rPr>
                  <m:sty m:val="p"/>
                </m:rPr>
                <m:t>…</m:t>
              </m:r>
              <m:sSub>
                <m:e>
                  <m:r>
                    <m:t>L</m:t>
                  </m:r>
                </m:e>
                <m:sub>
                  <m:r>
                    <m:t>L</m:t>
                  </m:r>
                </m:sub>
              </m:sSub>
              <m:r>
                <m:rPr>
                  <m:sty m:val="p"/>
                </m:rPr>
                <m:t>,</m:t>
              </m:r>
              <m:r>
                <m:rPr>
                  <m:nor/>
                  <m:sty m:val="p"/>
                </m:rPr>
                <m:t> for </m:t>
              </m:r>
              <m:r>
                <m:t>N</m:t>
              </m:r>
              <m:r>
                <m:rPr>
                  <m:sty m:val="p"/>
                </m:rPr>
                <m:t>&gt;</m:t>
              </m:r>
              <m:sSub>
                <m:e>
                  <m:r>
                    <m:t>S</m:t>
                  </m:r>
                </m:e>
                <m:sub>
                  <m:r>
                    <m:t>1</m:t>
                  </m:r>
                </m:sub>
              </m:sSub>
            </m:e>
          </m:d>
        </m:oMath>
      </m:oMathPara>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L</m:t>
              </m:r>
            </m:oMath>
          </w:p>
        </w:tc>
        <w:tc>
          <w:tcPr/>
          <w:p>
            <w:pPr>
              <w:pStyle w:val="Compact"/>
              <w:jc w:val="left"/>
            </w:pPr>
            <w:r>
              <w:t xml:space="preserve">Number of levels below L0</w:t>
            </w:r>
          </w:p>
        </w:tc>
        <w:tc>
          <w:tcPr/>
          <w:p>
            <w:pPr>
              <w:pStyle w:val="Compact"/>
              <w:jc w:val="left"/>
            </w:pPr>
            <w:r>
              <w:t xml:space="preserve">levels</w:t>
            </w:r>
          </w:p>
        </w:tc>
      </w:tr>
      <w:tr>
        <w:tc>
          <w:tcPr/>
          <w:p>
            <w:pPr>
              <w:pStyle w:val="Compact"/>
              <w:jc w:val="left"/>
            </w:pPr>
            <m:oMath>
              <m:r>
                <m:t>N</m:t>
              </m:r>
            </m:oMath>
          </w:p>
        </w:tc>
        <w:tc>
          <w:tcPr/>
          <w:p>
            <w:pPr>
              <w:pStyle w:val="Compact"/>
              <w:jc w:val="left"/>
            </w:pPr>
            <w:r>
              <w:t xml:space="preserve">Total data size</w:t>
            </w:r>
          </w:p>
        </w:tc>
        <w:tc>
          <w:tcPr/>
          <w:p>
            <w:pPr>
              <w:pStyle w:val="Compact"/>
              <w:jc w:val="left"/>
            </w:pPr>
            <w:r>
              <w:t xml:space="preserve">bytes</w:t>
            </w:r>
          </w:p>
        </w:tc>
      </w:tr>
      <w:tr>
        <w:tc>
          <w:tcPr/>
          <w:p>
            <w:pPr>
              <w:pStyle w:val="Compact"/>
              <w:jc w:val="left"/>
            </w:pPr>
            <m:oMath>
              <m:sSub>
                <m:e>
                  <m:r>
                    <m:t>S</m:t>
                  </m:r>
                </m:e>
                <m:sub>
                  <m:r>
                    <m:t>1</m:t>
                  </m:r>
                </m:sub>
              </m:sSub>
            </m:oMath>
          </w:p>
        </w:tc>
        <w:tc>
          <w:tcPr/>
          <w:p>
            <w:pPr>
              <w:pStyle w:val="Compact"/>
              <w:jc w:val="left"/>
            </w:pPr>
            <w:r>
              <w:t xml:space="preserve">Target size of level 1</w:t>
            </w:r>
          </w:p>
        </w:tc>
        <w:tc>
          <w:tcPr/>
          <w:p>
            <w:pPr>
              <w:pStyle w:val="Compact"/>
              <w:jc w:val="left"/>
            </w:pPr>
            <w:r>
              <w:t xml:space="preserve">bytes</w:t>
            </w:r>
          </w:p>
        </w:tc>
      </w:tr>
      <w:tr>
        <w:tc>
          <w:tcPr/>
          <w:p>
            <w:pPr>
              <w:pStyle w:val="Compact"/>
              <w:jc w:val="left"/>
            </w:pPr>
            <m:oMath>
              <m:r>
                <m:t>T</m:t>
              </m:r>
            </m:oMath>
          </w:p>
        </w:tc>
        <w:tc>
          <w:tcPr/>
          <w:p>
            <w:pPr>
              <w:pStyle w:val="Compact"/>
              <w:jc w:val="left"/>
            </w:pPr>
            <w:r>
              <w:t xml:space="preserve">Size ratio (fan-out) between adjacent levels</w:t>
            </w:r>
          </w:p>
        </w:tc>
        <w:tc>
          <w:tcPr/>
          <w:p>
            <w:pPr>
              <w:pStyle w:val="Compact"/>
              <w:jc w:val="left"/>
            </w:pPr>
            <w:r>
              <w:t xml:space="preserve">dimensionless</w:t>
            </w:r>
          </w:p>
        </w:tc>
      </w:tr>
    </w:tbl>
    <w:p>
      <w:pPr>
        <w:pStyle w:val="CalloutExample"/>
      </w:pPr>
      <w:r>
        <w:rPr>
          <w:bCs/>
          <w:b/>
        </w:rPr>
        <w:t xml:space="preserve">WORKED EXAMPLE</w:t>
      </w:r>
    </w:p>
    <w:p>
      <w:pPr>
        <w:pStyle w:val="CalloutExample"/>
      </w:pPr>
      <w:r>
        <w:rPr>
          <w:bCs/>
          <w:b/>
        </w:rPr>
        <w:t xml:space="preserve">Worked example — Levels for 1 TB in RocksDB with default sizing.</w:t>
      </w:r>
    </w:p>
    <w:p>
      <w:pPr>
        <w:pStyle w:val="CalloutExample"/>
      </w:pPr>
      <m:oMath>
        <m:sSub>
          <m:e>
            <m:r>
              <m:t>S</m:t>
            </m:r>
          </m:e>
          <m:sub>
            <m:r>
              <m:t>1</m:t>
            </m:r>
          </m:sub>
        </m:sSub>
        <m:r>
          <m:rPr>
            <m:sty m:val="p"/>
          </m:rPr>
          <m:t>=</m:t>
        </m:r>
        <m:r>
          <m:t>256</m:t>
        </m:r>
      </m:oMath>
      <w:r>
        <w:t xml:space="preserve"> </w:t>
      </w:r>
      <w:r>
        <w:t xml:space="preserve">MB,</w:t>
      </w:r>
      <w:r>
        <w:t xml:space="preserve"> </w:t>
      </w:r>
      <m:oMath>
        <m:r>
          <m:t>T</m:t>
        </m:r>
        <m:r>
          <m:rPr>
            <m:sty m:val="p"/>
          </m:rPr>
          <m:t>=</m:t>
        </m:r>
        <m:r>
          <m:t>10</m:t>
        </m:r>
      </m:oMath>
      <w:r>
        <w:t xml:space="preserve">,</w:t>
      </w:r>
      <w:r>
        <w:t xml:space="preserve"> </w:t>
      </w:r>
      <m:oMath>
        <m:r>
          <m:t>N</m:t>
        </m:r>
        <m:r>
          <m:rPr>
            <m:sty m:val="p"/>
          </m:rPr>
          <m:t>=</m:t>
        </m:r>
        <m:r>
          <m:t>1</m:t>
        </m:r>
      </m:oMath>
      <w:r>
        <w:t xml:space="preserve"> </w:t>
      </w:r>
      <w:r>
        <w:t xml:space="preserve">TB</w:t>
      </w:r>
      <w:r>
        <w:t xml:space="preserve"> </w:t>
      </w:r>
      <m:oMath>
        <m:r>
          <m:rPr>
            <m:sty m:val="p"/>
          </m:rPr>
          <m:t>=</m:t>
        </m:r>
        <m:sSup>
          <m:e>
            <m:r>
              <m:t>10</m:t>
            </m:r>
          </m:e>
          <m:sup>
            <m:r>
              <m:t>12</m:t>
            </m:r>
          </m:sup>
        </m:sSup>
      </m:oMath>
      <w:r>
        <w:t xml:space="preserve"> </w:t>
      </w:r>
      <w:r>
        <w:t xml:space="preserve">bytes.</w:t>
      </w:r>
    </w:p>
    <w:p>
      <w:pPr>
        <w:numPr>
          <w:ilvl w:val="0"/>
          <w:numId w:val="1449"/>
        </w:numPr>
        <w:pStyle w:val="Compact"/>
      </w:pPr>
      <m:oMath>
        <m:r>
          <m:t>N</m:t>
        </m:r>
        <m:r>
          <m:rPr>
            <m:sty m:val="p"/>
          </m:rPr>
          <m:t>/</m:t>
        </m:r>
        <m:sSub>
          <m:e>
            <m:r>
              <m:t>S</m:t>
            </m:r>
          </m:e>
          <m:sub>
            <m:r>
              <m:t>1</m:t>
            </m:r>
          </m:sub>
        </m:sSub>
        <m:r>
          <m:rPr>
            <m:sty m:val="p"/>
          </m:rPr>
          <m:t>=</m:t>
        </m:r>
        <m:sSup>
          <m:e>
            <m:r>
              <m:t>10</m:t>
            </m:r>
          </m:e>
          <m:sup>
            <m:r>
              <m:t>12</m:t>
            </m:r>
          </m:sup>
        </m:sSup>
        <m:r>
          <m:rPr>
            <m:sty m:val="p"/>
          </m:rPr>
          <m:t>/</m:t>
        </m:r>
        <m:d>
          <m:dPr>
            <m:begChr m:val="("/>
            <m:endChr m:val=")"/>
            <m:sepChr m:val=""/>
            <m:grow/>
          </m:dPr>
          <m:e>
            <m:r>
              <m:t>2.56</m:t>
            </m:r>
            <m:r>
              <m:rPr>
                <m:sty m:val="p"/>
              </m:rPr>
              <m:t>×</m:t>
            </m:r>
            <m:sSup>
              <m:e>
                <m:r>
                  <m:t>10</m:t>
                </m:r>
              </m:e>
              <m:sup>
                <m:r>
                  <m:t>8</m:t>
                </m:r>
              </m:sup>
            </m:sSup>
          </m:e>
        </m:d>
        <m:r>
          <m:rPr>
            <m:sty m:val="p"/>
          </m:rPr>
          <m:t>=</m:t>
        </m:r>
        <m:r>
          <m:t>3906</m:t>
        </m:r>
      </m:oMath>
      <w:r>
        <w:t xml:space="preserve">.</w:t>
      </w:r>
    </w:p>
    <w:p>
      <w:pPr>
        <w:numPr>
          <w:ilvl w:val="0"/>
          <w:numId w:val="1449"/>
        </w:numPr>
        <w:pStyle w:val="Compact"/>
      </w:pPr>
      <m:oMath>
        <m:sSub>
          <m:e>
            <m:r>
              <m:rPr>
                <m:sty m:val="p"/>
              </m:rPr>
              <m:t>log</m:t>
            </m:r>
          </m:e>
          <m:sub>
            <m:r>
              <m:t>10</m:t>
            </m:r>
          </m:sub>
        </m:sSub>
        <m:r>
          <m:t>3906</m:t>
        </m:r>
        <m:r>
          <m:rPr>
            <m:sty m:val="p"/>
          </m:rPr>
          <m:t>=</m:t>
        </m:r>
        <m:r>
          <m:t>3.59</m:t>
        </m:r>
      </m:oMath>
      <w:r>
        <w:t xml:space="preserve">;</w:t>
      </w:r>
      <w:r>
        <w:t xml:space="preserve"> </w:t>
      </w:r>
      <m:oMath>
        <m:r>
          <m:rPr>
            <m:sty m:val="p"/>
          </m:rPr>
          <m:t>⌈</m:t>
        </m:r>
        <m:r>
          <m:t>3.59</m:t>
        </m:r>
        <m:r>
          <m:rPr>
            <m:sty m:val="p"/>
          </m:rPr>
          <m:t>⌉</m:t>
        </m:r>
        <m:r>
          <m:rPr>
            <m:sty m:val="p"/>
          </m:rPr>
          <m:t>=</m:t>
        </m:r>
        <m:r>
          <m:t>4</m:t>
        </m:r>
      </m:oMath>
      <w:r>
        <w:t xml:space="preserve">;</w:t>
      </w:r>
      <w:r>
        <w:t xml:space="preserve"> </w:t>
      </w:r>
      <m:oMath>
        <m:r>
          <m:t>L</m:t>
        </m:r>
        <m:r>
          <m:rPr>
            <m:sty m:val="p"/>
          </m:rPr>
          <m:t>=</m:t>
        </m:r>
        <m:r>
          <m:t>4</m:t>
        </m:r>
        <m:r>
          <m:rPr>
            <m:sty m:val="p"/>
          </m:rPr>
          <m:t>+</m:t>
        </m:r>
        <m:r>
          <m:t>1</m:t>
        </m:r>
        <m:r>
          <m:rPr>
            <m:sty m:val="p"/>
          </m:rPr>
          <m:t>=</m:t>
        </m:r>
        <m:r>
          <m:t>5</m:t>
        </m:r>
      </m:oMath>
      <w:r>
        <w:t xml:space="preserve">.</w:t>
      </w:r>
    </w:p>
    <w:p>
      <w:pPr>
        <w:numPr>
          <w:ilvl w:val="0"/>
          <w:numId w:val="1449"/>
        </w:numPr>
        <w:pStyle w:val="Compact"/>
      </w:pPr>
      <w:r>
        <w:t xml:space="preserve">Check: capacities are L1 256 MB, L2 2.56 GB, L3 25.6 GB, L4 256 GB, L5 2.56 TB. Four levels hold at most 284 GB, so 1 TB needs L5.</w:t>
      </w:r>
    </w:p>
    <w:p>
      <w:pPr>
        <w:pStyle w:val="CalloutExample"/>
      </w:pPr>
      <w:r>
        <w:rPr>
          <w:bCs/>
          <w:b/>
        </w:rPr>
        <w:t xml:space="preserve">Interpretation.</w:t>
      </w:r>
      <w:r>
        <w:t xml:space="preserve"> </w:t>
      </w:r>
      <w:r>
        <w:t xml:space="preserve">Five levels plus L0 cover a terabyte; with upper levels sized backward from the last (</w:t>
      </w:r>
      <w:r>
        <w:rPr>
          <w:rStyle w:val="VerbatimChar"/>
        </w:rPr>
        <w:t xml:space="preserve">level_compaction_dynamic_level_bytes</w:t>
      </w:r>
      <w:r>
        <w:t xml:space="preserve">, default since RocksDB 8.4), about 90% of data sits in the last level [RocksDB Wiki: Leveled Compaction].</w:t>
      </w:r>
      <w:r>
        <w:t xml:space="preserve"> </w:t>
      </w:r>
      <w:r>
        <w:rPr>
          <w:bCs/>
          <w:b/>
        </w:rPr>
        <w:t xml:space="preserve">Engineering implication.</w:t>
      </w:r>
      <w:r>
        <w:t xml:space="preserve"> </w:t>
      </w:r>
      <w:r>
        <w:t xml:space="preserve">A lookup probes at most ~5 levels plus a few L0 files, and every level is another rewrite of each byte (§13.9); the size ratio</w:t>
      </w:r>
      <w:r>
        <w:t xml:space="preserve"> </w:t>
      </w:r>
      <m:oMath>
        <m:r>
          <m:t>T</m:t>
        </m:r>
      </m:oMath>
      <w:r>
        <w:t xml:space="preserve"> </w:t>
      </w:r>
      <w:r>
        <w:t xml:space="preserve">trades one against the other.</w:t>
      </w:r>
    </w:p>
    <w:bookmarkEnd w:id="1507"/>
    <w:bookmarkStart w:id="1508" w:name="code-example-14"/>
    <w:p>
      <w:pPr>
        <w:pStyle w:val="Heading4"/>
      </w:pPr>
      <w:r>
        <w:t xml:space="preserve">Code example</w:t>
      </w:r>
    </w:p>
    <w:p>
      <w:pPr>
        <w:pStyle w:val="FirstParagraph"/>
      </w:pPr>
      <w:r>
        <w:t xml:space="preserve">The program below is a complete, runnable toy LSM tree in about 250 lines of Python: WAL with replay, memtable, SSTables with a sparse index and Bloom filter, a manifest that records which SSTables are live, and full merge compaction. It counts the bytes written to measure write amplification. It is saved as</w:t>
      </w:r>
      <w:r>
        <w:t xml:space="preserve"> </w:t>
      </w:r>
      <w:r>
        <w:rPr>
          <w:rStyle w:val="VerbatimChar"/>
        </w:rPr>
        <w:t xml:space="preserve">code/ch13/toy_lsm.py</w:t>
      </w:r>
      <w:r>
        <w:t xml:space="preserve">.</w:t>
      </w:r>
    </w:p>
    <w:p>
      <w:pPr>
        <w:pStyle w:val="SourceCode"/>
      </w:pPr>
      <w:r>
        <w:rPr>
          <w:rStyle w:val="CommentTok"/>
        </w:rPr>
        <w:t xml:space="preserve">"""A toy LSM tree: write-ahead log, memtable, SSTable flush, merge compaction,</w:t>
      </w:r>
      <w:r>
        <w:br/>
      </w:r>
      <w:r>
        <w:rPr>
          <w:rStyle w:val="CommentTok"/>
        </w:rPr>
        <w:t xml:space="preserve">manifest and WAL replay. Teaching code: single-threaded, JSON-lines files."""</w:t>
      </w:r>
      <w:r>
        <w:br/>
      </w:r>
      <w:r>
        <w:rPr>
          <w:rStyle w:val="ImportTok"/>
        </w:rPr>
        <w:t xml:space="preserve">import</w:t>
      </w:r>
      <w:r>
        <w:rPr>
          <w:rStyle w:val="NormalTok"/>
        </w:rPr>
        <w:t xml:space="preserve"> bisect</w:t>
      </w:r>
      <w:r>
        <w:br/>
      </w:r>
      <w:r>
        <w:rPr>
          <w:rStyle w:val="ImportTok"/>
        </w:rPr>
        <w:t xml:space="preserve">import</w:t>
      </w:r>
      <w:r>
        <w:rPr>
          <w:rStyle w:val="NormalTok"/>
        </w:rPr>
        <w:t xml:space="preserve"> hashlib</w:t>
      </w:r>
      <w:r>
        <w:br/>
      </w:r>
      <w:r>
        <w:rPr>
          <w:rStyle w:val="ImportTok"/>
        </w:rPr>
        <w:t xml:space="preserve">import</w:t>
      </w:r>
      <w:r>
        <w:rPr>
          <w:rStyle w:val="NormalTok"/>
        </w:rPr>
        <w:t xml:space="preserve"> heapq</w:t>
      </w:r>
      <w:r>
        <w:br/>
      </w:r>
      <w:r>
        <w:rPr>
          <w:rStyle w:val="ImportTok"/>
        </w:rPr>
        <w:t xml:space="preserve">import</w:t>
      </w:r>
      <w:r>
        <w:rPr>
          <w:rStyle w:val="NormalTok"/>
        </w:rPr>
        <w:t xml:space="preserve"> json</w:t>
      </w:r>
      <w:r>
        <w:br/>
      </w:r>
      <w:r>
        <w:rPr>
          <w:rStyle w:val="ImportTok"/>
        </w:rPr>
        <w:t xml:space="preserve">import</w:t>
      </w:r>
      <w:r>
        <w:rPr>
          <w:rStyle w:val="NormalTok"/>
        </w:rPr>
        <w:t xml:space="preserve"> os</w:t>
      </w:r>
      <w:r>
        <w:br/>
      </w:r>
      <w:r>
        <w:br/>
      </w:r>
      <w:r>
        <w:rPr>
          <w:rStyle w:val="NormalTok"/>
        </w:rPr>
        <w:t xml:space="preserve">TOMBSTONE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a deleted key is stored as key -&gt; None</w:t>
      </w:r>
      <w:r>
        <w:br/>
      </w:r>
      <w:r>
        <w:br/>
      </w:r>
      <w:r>
        <w:br/>
      </w:r>
      <w:r>
        <w:rPr>
          <w:rStyle w:val="KeywordTok"/>
        </w:rPr>
        <w:t xml:space="preserve">def</w:t>
      </w:r>
      <w:r>
        <w:rPr>
          <w:rStyle w:val="NormalTok"/>
        </w:rPr>
        <w:t xml:space="preserve"> _fsync_dir(path):</w:t>
      </w:r>
      <w:r>
        <w:br/>
      </w:r>
      <w:r>
        <w:rPr>
          <w:rStyle w:val="NormalTok"/>
        </w:rPr>
        <w:t xml:space="preserve">    fd </w:t>
      </w:r>
      <w:r>
        <w:rPr>
          <w:rStyle w:val="OperatorTok"/>
        </w:rPr>
        <w:t xml:space="preserve">=</w:t>
      </w:r>
      <w:r>
        <w:rPr>
          <w:rStyle w:val="NormalTok"/>
        </w:rPr>
        <w:t xml:space="preserve"> os.</w:t>
      </w:r>
      <w:r>
        <w:rPr>
          <w:rStyle w:val="BuiltInTok"/>
        </w:rPr>
        <w:t xml:space="preserve">open</w:t>
      </w:r>
      <w:r>
        <w:rPr>
          <w:rStyle w:val="NormalTok"/>
        </w:rPr>
        <w:t xml:space="preserve">(path, os.O_RDONLY)</w:t>
      </w:r>
      <w:r>
        <w:br/>
      </w:r>
      <w:r>
        <w:rPr>
          <w:rStyle w:val="NormalTok"/>
        </w:rPr>
        <w:t xml:space="preserve">    </w:t>
      </w:r>
      <w:r>
        <w:rPr>
          <w:rStyle w:val="ControlFlowTok"/>
        </w:rPr>
        <w:t xml:space="preserve">try</w:t>
      </w:r>
      <w:r>
        <w:rPr>
          <w:rStyle w:val="NormalTok"/>
        </w:rPr>
        <w:t xml:space="preserve">:</w:t>
      </w:r>
      <w:r>
        <w:br/>
      </w:r>
      <w:r>
        <w:rPr>
          <w:rStyle w:val="NormalTok"/>
        </w:rPr>
        <w:t xml:space="preserve">        os.fsync(fd)</w:t>
      </w:r>
      <w:r>
        <w:br/>
      </w:r>
      <w:r>
        <w:rPr>
          <w:rStyle w:val="NormalTok"/>
        </w:rPr>
        <w:t xml:space="preserve">    </w:t>
      </w:r>
      <w:r>
        <w:rPr>
          <w:rStyle w:val="ControlFlowTok"/>
        </w:rPr>
        <w:t xml:space="preserve">finally</w:t>
      </w:r>
      <w:r>
        <w:rPr>
          <w:rStyle w:val="NormalTok"/>
        </w:rPr>
        <w:t xml:space="preserve">:</w:t>
      </w:r>
      <w:r>
        <w:br/>
      </w:r>
      <w:r>
        <w:rPr>
          <w:rStyle w:val="NormalTok"/>
        </w:rPr>
        <w:t xml:space="preserve">        os.close(fd)</w:t>
      </w:r>
      <w:r>
        <w:br/>
      </w:r>
      <w:r>
        <w:br/>
      </w:r>
      <w:r>
        <w:br/>
      </w:r>
      <w:r>
        <w:rPr>
          <w:rStyle w:val="KeywordTok"/>
        </w:rPr>
        <w:t xml:space="preserve">class</w:t>
      </w:r>
      <w:r>
        <w:rPr>
          <w:rStyle w:val="NormalTok"/>
        </w:rPr>
        <w:t xml:space="preserve"> BloomFilter:</w:t>
      </w:r>
      <w:r>
        <w:br/>
      </w:r>
      <w:r>
        <w:rPr>
          <w:rStyle w:val="NormalTok"/>
        </w:rPr>
        <w:t xml:space="preserve">    </w:t>
      </w:r>
      <w:r>
        <w:rPr>
          <w:rStyle w:val="CommentTok"/>
        </w:rPr>
        <w:t xml:space="preserve">"""m bits and k hash positions per key, derived from one SHA-256 digest."""</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n_keys, bits_per_key</w:t>
      </w:r>
      <w:r>
        <w:rPr>
          <w:rStyle w:val="OperatorTok"/>
        </w:rPr>
        <w:t xml:space="preserve">=</w:t>
      </w:r>
      <w:r>
        <w:rPr>
          <w:rStyle w:val="DecValTok"/>
        </w:rPr>
        <w:t xml:space="preserve">10</w:t>
      </w:r>
      <w:r>
        <w:rPr>
          <w:rStyle w:val="NormalTok"/>
        </w:rPr>
        <w:t xml:space="preserve">, k</w:t>
      </w:r>
      <w:r>
        <w:rPr>
          <w:rStyle w:val="OperatorTok"/>
        </w:rPr>
        <w:t xml:space="preserve">=</w:t>
      </w:r>
      <w:r>
        <w:rPr>
          <w:rStyle w:val="DecValTok"/>
        </w:rPr>
        <w:t xml:space="preserve">7</w:t>
      </w:r>
      <w:r>
        <w:rPr>
          <w:rStyle w:val="NormalTok"/>
        </w:rPr>
        <w:t xml:space="preserve">, bits</w:t>
      </w:r>
      <w:r>
        <w:rPr>
          <w:rStyle w:val="OperatorTok"/>
        </w:rPr>
        <w:t xml:space="preserve">=</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.m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64</w:t>
      </w:r>
      <w:r>
        <w:rPr>
          <w:rStyle w:val="NormalTok"/>
        </w:rPr>
        <w:t xml:space="preserve">, n_keys </w:t>
      </w:r>
      <w:r>
        <w:rPr>
          <w:rStyle w:val="OperatorTok"/>
        </w:rPr>
        <w:t xml:space="preserve">*</w:t>
      </w:r>
      <w:r>
        <w:rPr>
          <w:rStyle w:val="NormalTok"/>
        </w:rPr>
        <w:t xml:space="preserve"> bits_per_key)</w:t>
      </w:r>
      <w:r>
        <w:br/>
      </w:r>
      <w:r>
        <w:rPr>
          <w:rStyle w:val="NormalTok"/>
        </w:rPr>
        <w:t xml:space="preserve">        </w:t>
      </w:r>
      <w:r>
        <w:rPr>
          <w:rStyle w:val="VariableTok"/>
        </w:rPr>
        <w:t xml:space="preserve">self</w:t>
      </w:r>
      <w:r>
        <w:rPr>
          <w:rStyle w:val="NormalTok"/>
        </w:rPr>
        <w:t xml:space="preserve">.k </w:t>
      </w:r>
      <w:r>
        <w:rPr>
          <w:rStyle w:val="OperatorTok"/>
        </w:rPr>
        <w:t xml:space="preserve">=</w:t>
      </w:r>
      <w:r>
        <w:rPr>
          <w:rStyle w:val="NormalTok"/>
        </w:rPr>
        <w:t xml:space="preserve"> k</w:t>
      </w:r>
      <w:r>
        <w:br/>
      </w:r>
      <w:r>
        <w:rPr>
          <w:rStyle w:val="NormalTok"/>
        </w:rPr>
        <w:t xml:space="preserve">        </w:t>
      </w:r>
      <w:r>
        <w:rPr>
          <w:rStyle w:val="VariableTok"/>
        </w:rPr>
        <w:t xml:space="preserve">self</w:t>
      </w:r>
      <w:r>
        <w:rPr>
          <w:rStyle w:val="NormalTok"/>
        </w:rPr>
        <w:t xml:space="preserve">.bits </w:t>
      </w:r>
      <w:r>
        <w:rPr>
          <w:rStyle w:val="OperatorTok"/>
        </w:rPr>
        <w:t xml:space="preserve">=</w:t>
      </w:r>
      <w:r>
        <w:rPr>
          <w:rStyle w:val="NormalTok"/>
        </w:rPr>
        <w:t xml:space="preserve"> bits</w:t>
      </w:r>
      <w:r>
        <w:br/>
      </w:r>
      <w:r>
        <w:br/>
      </w:r>
      <w:r>
        <w:rPr>
          <w:rStyle w:val="NormalTok"/>
        </w:rPr>
        <w:t xml:space="preserve">    </w:t>
      </w:r>
      <w:r>
        <w:rPr>
          <w:rStyle w:val="KeywordTok"/>
        </w:rPr>
        <w:t xml:space="preserve">def</w:t>
      </w:r>
      <w:r>
        <w:rPr>
          <w:rStyle w:val="NormalTok"/>
        </w:rPr>
        <w:t xml:space="preserve"> _positions(</w:t>
      </w:r>
      <w:r>
        <w:rPr>
          <w:rStyle w:val="VariableTok"/>
        </w:rPr>
        <w:t xml:space="preserve">self</w:t>
      </w:r>
      <w:r>
        <w:rPr>
          <w:rStyle w:val="NormalTok"/>
        </w:rPr>
        <w:t xml:space="preserve">, key):</w:t>
      </w:r>
      <w:r>
        <w:br/>
      </w:r>
      <w:r>
        <w:rPr>
          <w:rStyle w:val="NormalTok"/>
        </w:rPr>
        <w:t xml:space="preserve">        d </w:t>
      </w:r>
      <w:r>
        <w:rPr>
          <w:rStyle w:val="OperatorTok"/>
        </w:rPr>
        <w:t xml:space="preserve">=</w:t>
      </w:r>
      <w:r>
        <w:rPr>
          <w:rStyle w:val="NormalTok"/>
        </w:rPr>
        <w:t xml:space="preserve"> hashlib.sha256(key.encode()).digest()</w:t>
      </w:r>
      <w:r>
        <w:br/>
      </w:r>
      <w:r>
        <w:rPr>
          <w:rStyle w:val="NormalTok"/>
        </w:rPr>
        <w:t xml:space="preserve">        h1, h2 </w:t>
      </w:r>
      <w:r>
        <w:rPr>
          <w:rStyle w:val="OperatorTok"/>
        </w:rPr>
        <w:t xml:space="preserve">=</w:t>
      </w:r>
      <w:r>
        <w:rPr>
          <w:rStyle w:val="NormalTok"/>
        </w:rPr>
        <w:t xml:space="preserve"> </w:t>
      </w:r>
      <w:r>
        <w:rPr>
          <w:rStyle w:val="BuiltInTok"/>
        </w:rPr>
        <w:t xml:space="preserve">int</w:t>
      </w:r>
      <w:r>
        <w:rPr>
          <w:rStyle w:val="NormalTok"/>
        </w:rPr>
        <w:t xml:space="preserve">.from_bytes(d[:</w:t>
      </w:r>
      <w:r>
        <w:rPr>
          <w:rStyle w:val="DecValTok"/>
        </w:rPr>
        <w:t xml:space="preserve">8</w:t>
      </w:r>
      <w:r>
        <w:rPr>
          <w:rStyle w:val="NormalTok"/>
        </w:rPr>
        <w:t xml:space="preserve">], </w:t>
      </w:r>
      <w:r>
        <w:rPr>
          <w:rStyle w:val="StringTok"/>
        </w:rPr>
        <w:t xml:space="preserve">"big"</w:t>
      </w:r>
      <w:r>
        <w:rPr>
          <w:rStyle w:val="NormalTok"/>
        </w:rPr>
        <w:t xml:space="preserve">), </w:t>
      </w:r>
      <w:r>
        <w:rPr>
          <w:rStyle w:val="BuiltInTok"/>
        </w:rPr>
        <w:t xml:space="preserve">int</w:t>
      </w:r>
      <w:r>
        <w:rPr>
          <w:rStyle w:val="NormalTok"/>
        </w:rPr>
        <w:t xml:space="preserve">.from_bytes(d[</w:t>
      </w:r>
      <w:r>
        <w:rPr>
          <w:rStyle w:val="DecValTok"/>
        </w:rPr>
        <w:t xml:space="preserve">8</w:t>
      </w:r>
      <w:r>
        <w:rPr>
          <w:rStyle w:val="NormalTok"/>
        </w:rPr>
        <w:t xml:space="preserve">:</w:t>
      </w:r>
      <w:r>
        <w:rPr>
          <w:rStyle w:val="DecValTok"/>
        </w:rPr>
        <w:t xml:space="preserve">16</w:t>
      </w:r>
      <w:r>
        <w:rPr>
          <w:rStyle w:val="NormalTok"/>
        </w:rPr>
        <w:t xml:space="preserve">], </w:t>
      </w:r>
      <w:r>
        <w:rPr>
          <w:rStyle w:val="StringTok"/>
        </w:rPr>
        <w:t xml:space="preserve">"big"</w:t>
      </w:r>
      <w:r>
        <w:rPr>
          <w:rStyle w:val="NormalTok"/>
        </w:rPr>
        <w:t xml:space="preserve">)</w:t>
      </w:r>
      <w:r>
        <w:br/>
      </w:r>
      <w:r>
        <w:rPr>
          <w:rStyle w:val="NormalTok"/>
        </w:rPr>
        <w:t xml:space="preserve">        </w:t>
      </w:r>
      <w:r>
        <w:rPr>
          <w:rStyle w:val="ControlFlowTok"/>
        </w:rPr>
        <w:t xml:space="preserve">return</w:t>
      </w:r>
      <w:r>
        <w:rPr>
          <w:rStyle w:val="NormalTok"/>
        </w:rPr>
        <w:t xml:space="preserve"> [(h1 </w:t>
      </w:r>
      <w:r>
        <w:rPr>
          <w:rStyle w:val="OperatorTok"/>
        </w:rPr>
        <w:t xml:space="preserve">+</w:t>
      </w:r>
      <w:r>
        <w:rPr>
          <w:rStyle w:val="NormalTok"/>
        </w:rPr>
        <w:t xml:space="preserve"> i </w:t>
      </w:r>
      <w:r>
        <w:rPr>
          <w:rStyle w:val="OperatorTok"/>
        </w:rPr>
        <w:t xml:space="preserve">*</w:t>
      </w:r>
      <w:r>
        <w:rPr>
          <w:rStyle w:val="NormalTok"/>
        </w:rPr>
        <w:t xml:space="preserve"> h2) </w:t>
      </w:r>
      <w:r>
        <w:rPr>
          <w:rStyle w:val="OperatorTok"/>
        </w:rPr>
        <w:t xml:space="preserve">%</w:t>
      </w:r>
      <w:r>
        <w:rPr>
          <w:rStyle w:val="NormalTok"/>
        </w:rPr>
        <w:t xml:space="preserve"> </w:t>
      </w:r>
      <w:r>
        <w:rPr>
          <w:rStyle w:val="VariableTok"/>
        </w:rPr>
        <w:t xml:space="preserve">self</w:t>
      </w:r>
      <w:r>
        <w:rPr>
          <w:rStyle w:val="NormalTok"/>
        </w:rPr>
        <w:t xml:space="preserve">.m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.k)]   </w:t>
      </w:r>
      <w:r>
        <w:rPr>
          <w:rStyle w:val="CommentTok"/>
        </w:rPr>
        <w:t xml:space="preserve"># double hashing</w:t>
      </w:r>
      <w:r>
        <w:br/>
      </w:r>
      <w:r>
        <w:br/>
      </w:r>
      <w:r>
        <w:rPr>
          <w:rStyle w:val="NormalTok"/>
        </w:rPr>
        <w:t xml:space="preserve">    </w:t>
      </w:r>
      <w:r>
        <w:rPr>
          <w:rStyle w:val="KeywordTok"/>
        </w:rPr>
        <w:t xml:space="preserve">def</w:t>
      </w:r>
      <w:r>
        <w:rPr>
          <w:rStyle w:val="NormalTok"/>
        </w:rPr>
        <w:t xml:space="preserve"> add(</w:t>
      </w:r>
      <w:r>
        <w:rPr>
          <w:rStyle w:val="VariableTok"/>
        </w:rPr>
        <w:t xml:space="preserve">self</w:t>
      </w:r>
      <w:r>
        <w:rPr>
          <w:rStyle w:val="NormalTok"/>
        </w:rPr>
        <w:t xml:space="preserve">, key):</w:t>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w:t>
      </w:r>
      <w:r>
        <w:rPr>
          <w:rStyle w:val="VariableTok"/>
        </w:rPr>
        <w:t xml:space="preserve">self</w:t>
      </w:r>
      <w:r>
        <w:rPr>
          <w:rStyle w:val="NormalTok"/>
        </w:rPr>
        <w:t xml:space="preserve">._positions(key):</w:t>
      </w:r>
      <w:r>
        <w:br/>
      </w:r>
      <w:r>
        <w:rPr>
          <w:rStyle w:val="NormalTok"/>
        </w:rPr>
        <w:t xml:space="preserve">            </w:t>
      </w:r>
      <w:r>
        <w:rPr>
          <w:rStyle w:val="VariableTok"/>
        </w:rPr>
        <w:t xml:space="preserve">self</w:t>
      </w:r>
      <w:r>
        <w:rPr>
          <w:rStyle w:val="NormalTok"/>
        </w:rPr>
        <w:t xml:space="preserve">.bits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&lt;&lt;</w:t>
      </w:r>
      <w:r>
        <w:rPr>
          <w:rStyle w:val="NormalTok"/>
        </w:rPr>
        <w:t xml:space="preserve"> p</w:t>
      </w:r>
      <w:r>
        <w:br/>
      </w:r>
      <w:r>
        <w:br/>
      </w:r>
      <w:r>
        <w:rPr>
          <w:rStyle w:val="NormalTok"/>
        </w:rPr>
        <w:t xml:space="preserve">    </w:t>
      </w:r>
      <w:r>
        <w:rPr>
          <w:rStyle w:val="KeywordTok"/>
        </w:rPr>
        <w:t xml:space="preserve">def</w:t>
      </w:r>
      <w:r>
        <w:rPr>
          <w:rStyle w:val="NormalTok"/>
        </w:rPr>
        <w:t xml:space="preserve"> may_contain(</w:t>
      </w:r>
      <w:r>
        <w:rPr>
          <w:rStyle w:val="VariableTok"/>
        </w:rPr>
        <w:t xml:space="preserve">self</w:t>
      </w:r>
      <w:r>
        <w:rPr>
          <w:rStyle w:val="NormalTok"/>
        </w:rPr>
        <w:t xml:space="preserve">, key):</w:t>
      </w:r>
      <w:r>
        <w:br/>
      </w:r>
      <w:r>
        <w:rPr>
          <w:rStyle w:val="NormalTok"/>
        </w:rPr>
        <w:t xml:space="preserve">        </w:t>
      </w:r>
      <w:r>
        <w:rPr>
          <w:rStyle w:val="ControlFlowTok"/>
        </w:rPr>
        <w:t xml:space="preserve">return</w:t>
      </w:r>
      <w:r>
        <w:rPr>
          <w:rStyle w:val="NormalTok"/>
        </w:rPr>
        <w:t xml:space="preserve"> </w:t>
      </w:r>
      <w:r>
        <w:rPr>
          <w:rStyle w:val="BuiltInTok"/>
        </w:rPr>
        <w:t xml:space="preserve">all</w:t>
      </w:r>
      <w:r>
        <w:rPr>
          <w:rStyle w:val="NormalTok"/>
        </w:rPr>
        <w:t xml:space="preserve">(</w:t>
      </w:r>
      <w:r>
        <w:rPr>
          <w:rStyle w:val="VariableTok"/>
        </w:rPr>
        <w:t xml:space="preserve">self</w:t>
      </w:r>
      <w:r>
        <w:rPr>
          <w:rStyle w:val="NormalTok"/>
        </w:rPr>
        <w:t xml:space="preserve">.bits </w:t>
      </w:r>
      <w:r>
        <w:rPr>
          <w:rStyle w:val="OperatorTok"/>
        </w:rPr>
        <w:t xml:space="preserve">&gt;&gt;</w:t>
      </w:r>
      <w:r>
        <w:rPr>
          <w:rStyle w:val="NormalTok"/>
        </w:rPr>
        <w:t xml:space="preserve"> p </w:t>
      </w:r>
      <w:r>
        <w:rPr>
          <w:rStyle w:val="OperatorTok"/>
        </w:rPr>
        <w:t xml:space="preserve">&amp;</w:t>
      </w:r>
      <w:r>
        <w:rPr>
          <w:rStyle w:val="NormalTok"/>
        </w:rPr>
        <w:t xml:space="preserve"> </w:t>
      </w:r>
      <w:r>
        <w:rPr>
          <w:rStyle w:val="DecValTok"/>
        </w:rPr>
        <w:t xml:space="preserve">1</w:t>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w:t>
      </w:r>
      <w:r>
        <w:rPr>
          <w:rStyle w:val="VariableTok"/>
        </w:rPr>
        <w:t xml:space="preserve">self</w:t>
      </w:r>
      <w:r>
        <w:rPr>
          <w:rStyle w:val="NormalTok"/>
        </w:rPr>
        <w:t xml:space="preserve">._positions(key))</w:t>
      </w:r>
      <w:r>
        <w:br/>
      </w:r>
      <w:r>
        <w:br/>
      </w:r>
      <w:r>
        <w:br/>
      </w:r>
      <w:r>
        <w:rPr>
          <w:rStyle w:val="KeywordTok"/>
        </w:rPr>
        <w:t xml:space="preserve">class</w:t>
      </w:r>
      <w:r>
        <w:rPr>
          <w:rStyle w:val="NormalTok"/>
        </w:rPr>
        <w:t xml:space="preserve"> SSTable:</w:t>
      </w:r>
      <w:r>
        <w:br/>
      </w:r>
      <w:r>
        <w:rPr>
          <w:rStyle w:val="NormalTok"/>
        </w:rPr>
        <w:t xml:space="preserve">    </w:t>
      </w:r>
      <w:r>
        <w:rPr>
          <w:rStyle w:val="CommentTok"/>
        </w:rPr>
        <w:t xml:space="preserve">"""Immutable sorted file: one JSON record per line, then a footer line holding</w:t>
      </w:r>
      <w:r>
        <w:br/>
      </w:r>
      <w:r>
        <w:rPr>
          <w:rStyle w:val="CommentTok"/>
        </w:rPr>
        <w:t xml:space="preserve">    a sparse index (every INDEX_EVERY-th key -&gt; byte offset) and a Bloom filter."""</w:t>
      </w:r>
      <w:r>
        <w:br/>
      </w:r>
      <w:r>
        <w:rPr>
          <w:rStyle w:val="NormalTok"/>
        </w:rPr>
        <w:t xml:space="preserve">    INDEX_EVERY </w:t>
      </w:r>
      <w:r>
        <w:rPr>
          <w:rStyle w:val="OperatorTok"/>
        </w:rPr>
        <w:t xml:space="preserve">=</w:t>
      </w:r>
      <w:r>
        <w:rPr>
          <w:rStyle w:val="NormalTok"/>
        </w:rPr>
        <w:t xml:space="preserve"> </w:t>
      </w:r>
      <w:r>
        <w:rPr>
          <w:rStyle w:val="DecValTok"/>
        </w:rPr>
        <w:t xml:space="preserve">16</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path):</w:t>
      </w:r>
      <w:r>
        <w:br/>
      </w:r>
      <w:r>
        <w:rPr>
          <w:rStyle w:val="NormalTok"/>
        </w:rPr>
        <w:t xml:space="preserve">        </w:t>
      </w:r>
      <w:r>
        <w:rPr>
          <w:rStyle w:val="VariableTok"/>
        </w:rPr>
        <w:t xml:space="preserve">self</w:t>
      </w:r>
      <w:r>
        <w:rPr>
          <w:rStyle w:val="NormalTok"/>
        </w:rPr>
        <w:t xml:space="preserve">.path </w:t>
      </w:r>
      <w:r>
        <w:rPr>
          <w:rStyle w:val="OperatorTok"/>
        </w:rPr>
        <w:t xml:space="preserve">=</w:t>
      </w:r>
      <w:r>
        <w:rPr>
          <w:rStyle w:val="NormalTok"/>
        </w:rPr>
        <w:t xml:space="preserve"> path</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(path, </w:t>
      </w:r>
      <w:r>
        <w:rPr>
          <w:rStyle w:val="StringTok"/>
        </w:rPr>
        <w:t xml:space="preserve">"rb"</w:t>
      </w:r>
      <w:r>
        <w:rPr>
          <w:rStyle w:val="NormalTok"/>
        </w:rPr>
        <w:t xml:space="preserve">) </w:t>
      </w:r>
      <w:r>
        <w:rPr>
          <w:rStyle w:val="ImportTok"/>
        </w:rPr>
        <w:t xml:space="preserve">as</w:t>
      </w:r>
      <w:r>
        <w:rPr>
          <w:rStyle w:val="NormalTok"/>
        </w:rPr>
        <w:t xml:space="preserve"> f:</w:t>
      </w:r>
      <w:r>
        <w:br/>
      </w:r>
      <w:r>
        <w:rPr>
          <w:rStyle w:val="NormalTok"/>
        </w:rPr>
        <w:t xml:space="preserve">            f.seek(</w:t>
      </w:r>
      <w:r>
        <w:rPr>
          <w:rStyle w:val="DecValTok"/>
        </w:rPr>
        <w:t xml:space="preserve">0</w:t>
      </w:r>
      <w:r>
        <w:rPr>
          <w:rStyle w:val="NormalTok"/>
        </w:rPr>
        <w:t xml:space="preserve">, os.SEEK_END)</w:t>
      </w:r>
      <w:r>
        <w:br/>
      </w:r>
      <w:r>
        <w:rPr>
          <w:rStyle w:val="NormalTok"/>
        </w:rPr>
        <w:t xml:space="preserve">            end </w:t>
      </w:r>
      <w:r>
        <w:rPr>
          <w:rStyle w:val="OperatorTok"/>
        </w:rPr>
        <w:t xml:space="preserve">=</w:t>
      </w:r>
      <w:r>
        <w:rPr>
          <w:rStyle w:val="NormalTok"/>
        </w:rPr>
        <w:t xml:space="preserve"> f.tell()</w:t>
      </w:r>
      <w:r>
        <w:br/>
      </w:r>
      <w:r>
        <w:rPr>
          <w:rStyle w:val="NormalTok"/>
        </w:rPr>
        <w:t xml:space="preserve">            f.seek(</w:t>
      </w:r>
      <w:r>
        <w:rPr>
          <w:rStyle w:val="BuiltInTok"/>
        </w:rPr>
        <w:t xml:space="preserve">max</w:t>
      </w:r>
      <w:r>
        <w:rPr>
          <w:rStyle w:val="NormalTok"/>
        </w:rPr>
        <w:t xml:space="preserve">(</w:t>
      </w:r>
      <w:r>
        <w:rPr>
          <w:rStyle w:val="DecValTok"/>
        </w:rPr>
        <w:t xml:space="preserve">0</w:t>
      </w:r>
      <w:r>
        <w:rPr>
          <w:rStyle w:val="NormalTok"/>
        </w:rPr>
        <w:t xml:space="preserve">, end </w:t>
      </w:r>
      <w:r>
        <w:rPr>
          <w:rStyle w:val="OperatorTok"/>
        </w:rPr>
        <w:t xml:space="preserve">-</w:t>
      </w:r>
      <w:r>
        <w:rPr>
          <w:rStyle w:val="NormalTok"/>
        </w:rPr>
        <w:t xml:space="preserve"> </w:t>
      </w:r>
      <w:r>
        <w:rPr>
          <w:rStyle w:val="DecValTok"/>
        </w:rPr>
        <w:t xml:space="preserve">8</w:t>
      </w:r>
      <w:r>
        <w:rPr>
          <w:rStyle w:val="NormalTok"/>
        </w:rPr>
        <w:t xml:space="preserve">))</w:t>
      </w:r>
      <w:r>
        <w:br/>
      </w:r>
      <w:r>
        <w:rPr>
          <w:rStyle w:val="NormalTok"/>
        </w:rPr>
        <w:t xml:space="preserve">            footer_len </w:t>
      </w:r>
      <w:r>
        <w:rPr>
          <w:rStyle w:val="OperatorTok"/>
        </w:rPr>
        <w:t xml:space="preserve">=</w:t>
      </w:r>
      <w:r>
        <w:rPr>
          <w:rStyle w:val="NormalTok"/>
        </w:rPr>
        <w:t xml:space="preserve"> </w:t>
      </w:r>
      <w:r>
        <w:rPr>
          <w:rStyle w:val="BuiltInTok"/>
        </w:rPr>
        <w:t xml:space="preserve">int</w:t>
      </w:r>
      <w:r>
        <w:rPr>
          <w:rStyle w:val="NormalTok"/>
        </w:rPr>
        <w:t xml:space="preserve">(f.read(</w:t>
      </w:r>
      <w:r>
        <w:rPr>
          <w:rStyle w:val="DecValTok"/>
        </w:rPr>
        <w:t xml:space="preserve">8</w:t>
      </w:r>
      <w:r>
        <w:rPr>
          <w:rStyle w:val="NormalTok"/>
        </w:rPr>
        <w:t xml:space="preserve">))           </w:t>
      </w:r>
      <w:r>
        <w:rPr>
          <w:rStyle w:val="CommentTok"/>
        </w:rPr>
        <w:t xml:space="preserve"># last 8 bytes: footer length</w:t>
      </w:r>
      <w:r>
        <w:br/>
      </w:r>
      <w:r>
        <w:rPr>
          <w:rStyle w:val="NormalTok"/>
        </w:rPr>
        <w:t xml:space="preserve">            f.seek(end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footer_len)</w:t>
      </w:r>
      <w:r>
        <w:br/>
      </w:r>
      <w:r>
        <w:rPr>
          <w:rStyle w:val="NormalTok"/>
        </w:rPr>
        <w:t xml:space="preserve">            footer </w:t>
      </w:r>
      <w:r>
        <w:rPr>
          <w:rStyle w:val="OperatorTok"/>
        </w:rPr>
        <w:t xml:space="preserve">=</w:t>
      </w:r>
      <w:r>
        <w:rPr>
          <w:rStyle w:val="NormalTok"/>
        </w:rPr>
        <w:t xml:space="preserve"> json.loads(f.read(footer_len))</w:t>
      </w:r>
      <w:r>
        <w:br/>
      </w:r>
      <w:r>
        <w:rPr>
          <w:rStyle w:val="NormalTok"/>
        </w:rPr>
        <w:t xml:space="preserve">        </w:t>
      </w:r>
      <w:r>
        <w:rPr>
          <w:rStyle w:val="VariableTok"/>
        </w:rPr>
        <w:t xml:space="preserve">self</w:t>
      </w:r>
      <w:r>
        <w:rPr>
          <w:rStyle w:val="NormalTok"/>
        </w:rPr>
        <w:t xml:space="preserve">.index_keys </w:t>
      </w:r>
      <w:r>
        <w:rPr>
          <w:rStyle w:val="OperatorTok"/>
        </w:rPr>
        <w:t xml:space="preserve">=</w:t>
      </w:r>
      <w:r>
        <w:rPr>
          <w:rStyle w:val="NormalTok"/>
        </w:rPr>
        <w:t xml:space="preserve"> [k </w:t>
      </w:r>
      <w:r>
        <w:rPr>
          <w:rStyle w:val="ControlFlowTok"/>
        </w:rPr>
        <w:t xml:space="preserve">for</w:t>
      </w:r>
      <w:r>
        <w:rPr>
          <w:rStyle w:val="NormalTok"/>
        </w:rPr>
        <w:t xml:space="preserve"> k, _ </w:t>
      </w:r>
      <w:r>
        <w:rPr>
          <w:rStyle w:val="KeywordTok"/>
        </w:rPr>
        <w:t xml:space="preserve">in</w:t>
      </w:r>
      <w:r>
        <w:rPr>
          <w:rStyle w:val="NormalTok"/>
        </w:rPr>
        <w:t xml:space="preserve"> footer[</w:t>
      </w:r>
      <w:r>
        <w:rPr>
          <w:rStyle w:val="StringTok"/>
        </w:rPr>
        <w:t xml:space="preserve">"index"</w:t>
      </w:r>
      <w:r>
        <w:rPr>
          <w:rStyle w:val="NormalTok"/>
        </w:rPr>
        <w:t xml:space="preserve">]]</w:t>
      </w:r>
      <w:r>
        <w:br/>
      </w:r>
      <w:r>
        <w:rPr>
          <w:rStyle w:val="NormalTok"/>
        </w:rPr>
        <w:t xml:space="preserve">        </w:t>
      </w:r>
      <w:r>
        <w:rPr>
          <w:rStyle w:val="VariableTok"/>
        </w:rPr>
        <w:t xml:space="preserve">self</w:t>
      </w:r>
      <w:r>
        <w:rPr>
          <w:rStyle w:val="NormalTok"/>
        </w:rPr>
        <w:t xml:space="preserve">.index_offsets </w:t>
      </w:r>
      <w:r>
        <w:rPr>
          <w:rStyle w:val="OperatorTok"/>
        </w:rPr>
        <w:t xml:space="preserve">=</w:t>
      </w:r>
      <w:r>
        <w:rPr>
          <w:rStyle w:val="NormalTok"/>
        </w:rPr>
        <w:t xml:space="preserve"> [o </w:t>
      </w:r>
      <w:r>
        <w:rPr>
          <w:rStyle w:val="ControlFlowTok"/>
        </w:rPr>
        <w:t xml:space="preserve">for</w:t>
      </w:r>
      <w:r>
        <w:rPr>
          <w:rStyle w:val="NormalTok"/>
        </w:rPr>
        <w:t xml:space="preserve"> _, o </w:t>
      </w:r>
      <w:r>
        <w:rPr>
          <w:rStyle w:val="KeywordTok"/>
        </w:rPr>
        <w:t xml:space="preserve">in</w:t>
      </w:r>
      <w:r>
        <w:rPr>
          <w:rStyle w:val="NormalTok"/>
        </w:rPr>
        <w:t xml:space="preserve"> footer[</w:t>
      </w:r>
      <w:r>
        <w:rPr>
          <w:rStyle w:val="StringTok"/>
        </w:rPr>
        <w:t xml:space="preserve">"index"</w:t>
      </w:r>
      <w:r>
        <w:rPr>
          <w:rStyle w:val="NormalTok"/>
        </w:rPr>
        <w:t xml:space="preserve">]]</w:t>
      </w:r>
      <w:r>
        <w:br/>
      </w:r>
      <w:r>
        <w:rPr>
          <w:rStyle w:val="NormalTok"/>
        </w:rPr>
        <w:t xml:space="preserve">        </w:t>
      </w:r>
      <w:r>
        <w:rPr>
          <w:rStyle w:val="VariableTok"/>
        </w:rPr>
        <w:t xml:space="preserve">self</w:t>
      </w:r>
      <w:r>
        <w:rPr>
          <w:rStyle w:val="NormalTok"/>
        </w:rPr>
        <w:t xml:space="preserve">.data_end </w:t>
      </w:r>
      <w:r>
        <w:rPr>
          <w:rStyle w:val="OperatorTok"/>
        </w:rPr>
        <w:t xml:space="preserve">=</w:t>
      </w:r>
      <w:r>
        <w:rPr>
          <w:rStyle w:val="NormalTok"/>
        </w:rPr>
        <w:t xml:space="preserve"> footer[</w:t>
      </w:r>
      <w:r>
        <w:rPr>
          <w:rStyle w:val="StringTok"/>
        </w:rPr>
        <w:t xml:space="preserve">"data_end"</w:t>
      </w:r>
      <w:r>
        <w:rPr>
          <w:rStyle w:val="NormalTok"/>
        </w:rPr>
        <w:t xml:space="preserve">]</w:t>
      </w:r>
      <w:r>
        <w:br/>
      </w:r>
      <w:r>
        <w:rPr>
          <w:rStyle w:val="NormalTok"/>
        </w:rPr>
        <w:t xml:space="preserve">        </w:t>
      </w:r>
      <w:r>
        <w:rPr>
          <w:rStyle w:val="VariableTok"/>
        </w:rPr>
        <w:t xml:space="preserve">self</w:t>
      </w:r>
      <w:r>
        <w:rPr>
          <w:rStyle w:val="NormalTok"/>
        </w:rPr>
        <w:t xml:space="preserve">.bloom </w:t>
      </w:r>
      <w:r>
        <w:rPr>
          <w:rStyle w:val="OperatorTok"/>
        </w:rPr>
        <w:t xml:space="preserve">=</w:t>
      </w:r>
      <w:r>
        <w:rPr>
          <w:rStyle w:val="NormalTok"/>
        </w:rPr>
        <w:t xml:space="preserve"> BloomFilter(</w:t>
      </w:r>
      <w:r>
        <w:rPr>
          <w:rStyle w:val="DecValTok"/>
        </w:rPr>
        <w:t xml:space="preserve">0</w:t>
      </w:r>
      <w:r>
        <w:rPr>
          <w:rStyle w:val="NormalTok"/>
        </w:rPr>
        <w:t xml:space="preserve">, bits</w:t>
      </w:r>
      <w:r>
        <w:rPr>
          <w:rStyle w:val="OperatorTok"/>
        </w:rPr>
        <w:t xml:space="preserve">=</w:t>
      </w:r>
      <w:r>
        <w:rPr>
          <w:rStyle w:val="BuiltInTok"/>
        </w:rPr>
        <w:t xml:space="preserve">int</w:t>
      </w:r>
      <w:r>
        <w:rPr>
          <w:rStyle w:val="NormalTok"/>
        </w:rPr>
        <w:t xml:space="preserve">(footer[</w:t>
      </w:r>
      <w:r>
        <w:rPr>
          <w:rStyle w:val="StringTok"/>
        </w:rPr>
        <w:t xml:space="preserve">"bloom"</w:t>
      </w:r>
      <w:r>
        <w:rPr>
          <w:rStyle w:val="NormalTok"/>
        </w:rPr>
        <w:t xml:space="preserve">], </w:t>
      </w:r>
      <w:r>
        <w:rPr>
          <w:rStyle w:val="DecValTok"/>
        </w:rPr>
        <w:t xml:space="preserve">16</w:t>
      </w:r>
      <w:r>
        <w:rPr>
          <w:rStyle w:val="NormalTok"/>
        </w:rPr>
        <w:t xml:space="preserve">))</w:t>
      </w:r>
      <w:r>
        <w:br/>
      </w:r>
      <w:r>
        <w:rPr>
          <w:rStyle w:val="NormalTok"/>
        </w:rPr>
        <w:t xml:space="preserve">        </w:t>
      </w:r>
      <w:r>
        <w:rPr>
          <w:rStyle w:val="VariableTok"/>
        </w:rPr>
        <w:t xml:space="preserve">self</w:t>
      </w:r>
      <w:r>
        <w:rPr>
          <w:rStyle w:val="NormalTok"/>
        </w:rPr>
        <w:t xml:space="preserve">.bloom.m, </w:t>
      </w:r>
      <w:r>
        <w:rPr>
          <w:rStyle w:val="VariableTok"/>
        </w:rPr>
        <w:t xml:space="preserve">self</w:t>
      </w:r>
      <w:r>
        <w:rPr>
          <w:rStyle w:val="NormalTok"/>
        </w:rPr>
        <w:t xml:space="preserve">.bloom.k </w:t>
      </w:r>
      <w:r>
        <w:rPr>
          <w:rStyle w:val="OperatorTok"/>
        </w:rPr>
        <w:t xml:space="preserve">=</w:t>
      </w:r>
      <w:r>
        <w:rPr>
          <w:rStyle w:val="NormalTok"/>
        </w:rPr>
        <w:t xml:space="preserve"> footer[</w:t>
      </w:r>
      <w:r>
        <w:rPr>
          <w:rStyle w:val="StringTok"/>
        </w:rPr>
        <w:t xml:space="preserve">"m"</w:t>
      </w:r>
      <w:r>
        <w:rPr>
          <w:rStyle w:val="NormalTok"/>
        </w:rPr>
        <w:t xml:space="preserve">], footer[</w:t>
      </w:r>
      <w:r>
        <w:rPr>
          <w:rStyle w:val="StringTok"/>
        </w:rPr>
        <w:t xml:space="preserve">"k"</w:t>
      </w:r>
      <w:r>
        <w:rPr>
          <w:rStyle w:val="NormalTok"/>
        </w:rPr>
        <w:t xml:space="preserve">]</w:t>
      </w:r>
      <w:r>
        <w:br/>
      </w:r>
      <w:r>
        <w:rPr>
          <w:rStyle w:val="NormalTok"/>
        </w:rPr>
        <w:t xml:space="preserve">        </w:t>
      </w:r>
      <w:r>
        <w:rPr>
          <w:rStyle w:val="VariableTok"/>
        </w:rPr>
        <w:t xml:space="preserve">self</w:t>
      </w:r>
      <w:r>
        <w:rPr>
          <w:rStyle w:val="NormalTok"/>
        </w:rPr>
        <w:t xml:space="preserve">.size </w:t>
      </w:r>
      <w:r>
        <w:rPr>
          <w:rStyle w:val="OperatorTok"/>
        </w:rPr>
        <w:t xml:space="preserve">=</w:t>
      </w:r>
      <w:r>
        <w:rPr>
          <w:rStyle w:val="NormalTok"/>
        </w:rPr>
        <w:t xml:space="preserve"> end</w:t>
      </w:r>
      <w:r>
        <w:br/>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write(path, items, sync</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mmentTok"/>
        </w:rPr>
        <w:t xml:space="preserve">"""items: iterable of (key, value) in ascending key order. Returns bytes written."""</w:t>
      </w:r>
      <w:r>
        <w:br/>
      </w:r>
      <w:r>
        <w:rPr>
          <w:rStyle w:val="NormalTok"/>
        </w:rPr>
        <w:t xml:space="preserve">        items </w:t>
      </w:r>
      <w:r>
        <w:rPr>
          <w:rStyle w:val="OperatorTok"/>
        </w:rPr>
        <w:t xml:space="preserve">=</w:t>
      </w:r>
      <w:r>
        <w:rPr>
          <w:rStyle w:val="NormalTok"/>
        </w:rPr>
        <w:t xml:space="preserve"> </w:t>
      </w:r>
      <w:r>
        <w:rPr>
          <w:rStyle w:val="BuiltInTok"/>
        </w:rPr>
        <w:t xml:space="preserve">list</w:t>
      </w:r>
      <w:r>
        <w:rPr>
          <w:rStyle w:val="NormalTok"/>
        </w:rPr>
        <w:t xml:space="preserve">(items)</w:t>
      </w:r>
      <w:r>
        <w:br/>
      </w:r>
      <w:r>
        <w:rPr>
          <w:rStyle w:val="NormalTok"/>
        </w:rPr>
        <w:t xml:space="preserve">        bloom </w:t>
      </w:r>
      <w:r>
        <w:rPr>
          <w:rStyle w:val="OperatorTok"/>
        </w:rPr>
        <w:t xml:space="preserve">=</w:t>
      </w:r>
      <w:r>
        <w:rPr>
          <w:rStyle w:val="NormalTok"/>
        </w:rPr>
        <w:t xml:space="preserve"> BloomFilter(</w:t>
      </w:r>
      <w:r>
        <w:rPr>
          <w:rStyle w:val="BuiltInTok"/>
        </w:rPr>
        <w:t xml:space="preserve">len</w:t>
      </w:r>
      <w:r>
        <w:rPr>
          <w:rStyle w:val="NormalTok"/>
        </w:rPr>
        <w:t xml:space="preserve">(items))</w:t>
      </w:r>
      <w:r>
        <w:br/>
      </w:r>
      <w:r>
        <w:rPr>
          <w:rStyle w:val="NormalTok"/>
        </w:rPr>
        <w:t xml:space="preserve">        index, tmp </w:t>
      </w:r>
      <w:r>
        <w:rPr>
          <w:rStyle w:val="OperatorTok"/>
        </w:rPr>
        <w:t xml:space="preserve">=</w:t>
      </w:r>
      <w:r>
        <w:rPr>
          <w:rStyle w:val="NormalTok"/>
        </w:rPr>
        <w:t xml:space="preserve"> [], path </w:t>
      </w:r>
      <w:r>
        <w:rPr>
          <w:rStyle w:val="OperatorTok"/>
        </w:rPr>
        <w:t xml:space="preserve">+</w:t>
      </w:r>
      <w:r>
        <w:rPr>
          <w:rStyle w:val="NormalTok"/>
        </w:rPr>
        <w:t xml:space="preserve"> </w:t>
      </w:r>
      <w:r>
        <w:rPr>
          <w:rStyle w:val="StringTok"/>
        </w:rPr>
        <w:t xml:space="preserve">".tmp"</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(tmp, </w:t>
      </w:r>
      <w:r>
        <w:rPr>
          <w:rStyle w:val="StringTok"/>
        </w:rPr>
        <w:t xml:space="preserve">"wb"</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ControlFlowTok"/>
        </w:rPr>
        <w:t xml:space="preserve">for</w:t>
      </w:r>
      <w:r>
        <w:rPr>
          <w:rStyle w:val="NormalTok"/>
        </w:rPr>
        <w:t xml:space="preserve"> i, (k, v) </w:t>
      </w:r>
      <w:r>
        <w:rPr>
          <w:rStyle w:val="KeywordTok"/>
        </w:rPr>
        <w:t xml:space="preserve">in</w:t>
      </w:r>
      <w:r>
        <w:rPr>
          <w:rStyle w:val="NormalTok"/>
        </w:rPr>
        <w:t xml:space="preserve"> </w:t>
      </w:r>
      <w:r>
        <w:rPr>
          <w:rStyle w:val="BuiltInTok"/>
        </w:rPr>
        <w:t xml:space="preserve">enumerate</w:t>
      </w:r>
      <w:r>
        <w:rPr>
          <w:rStyle w:val="NormalTok"/>
        </w:rPr>
        <w:t xml:space="preserve">(items):</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SSTable.INDEX_EVERY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index.append((k, f.tell()))</w:t>
      </w:r>
      <w:r>
        <w:br/>
      </w:r>
      <w:r>
        <w:rPr>
          <w:rStyle w:val="NormalTok"/>
        </w:rPr>
        <w:t xml:space="preserve">                bloom.add(k)</w:t>
      </w:r>
      <w:r>
        <w:br/>
      </w:r>
      <w:r>
        <w:rPr>
          <w:rStyle w:val="NormalTok"/>
        </w:rPr>
        <w:t xml:space="preserve">                f.write((json.dumps([k, v])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).encode())</w:t>
      </w:r>
      <w:r>
        <w:br/>
      </w:r>
      <w:r>
        <w:rPr>
          <w:rStyle w:val="NormalTok"/>
        </w:rPr>
        <w:t xml:space="preserve">            footer </w:t>
      </w:r>
      <w:r>
        <w:rPr>
          <w:rStyle w:val="OperatorTok"/>
        </w:rPr>
        <w:t xml:space="preserve">=</w:t>
      </w:r>
      <w:r>
        <w:rPr>
          <w:rStyle w:val="NormalTok"/>
        </w:rPr>
        <w:t xml:space="preserve"> json.dumps({</w:t>
      </w:r>
      <w:r>
        <w:rPr>
          <w:rStyle w:val="StringTok"/>
        </w:rPr>
        <w:t xml:space="preserve">"index"</w:t>
      </w:r>
      <w:r>
        <w:rPr>
          <w:rStyle w:val="NormalTok"/>
        </w:rPr>
        <w:t xml:space="preserve">: index, </w:t>
      </w:r>
      <w:r>
        <w:rPr>
          <w:rStyle w:val="StringTok"/>
        </w:rPr>
        <w:t xml:space="preserve">"data_end"</w:t>
      </w:r>
      <w:r>
        <w:rPr>
          <w:rStyle w:val="NormalTok"/>
        </w:rPr>
        <w:t xml:space="preserve">: f.tell(), </w:t>
      </w:r>
      <w:r>
        <w:rPr>
          <w:rStyle w:val="StringTok"/>
        </w:rPr>
        <w:t xml:space="preserve">"m"</w:t>
      </w:r>
      <w:r>
        <w:rPr>
          <w:rStyle w:val="NormalTok"/>
        </w:rPr>
        <w:t xml:space="preserve">: bloom.m,</w:t>
      </w:r>
      <w:r>
        <w:br/>
      </w:r>
      <w:r>
        <w:rPr>
          <w:rStyle w:val="NormalTok"/>
        </w:rPr>
        <w:t xml:space="preserve">                                 </w:t>
      </w:r>
      <w:r>
        <w:rPr>
          <w:rStyle w:val="StringTok"/>
        </w:rPr>
        <w:t xml:space="preserve">"k"</w:t>
      </w:r>
      <w:r>
        <w:rPr>
          <w:rStyle w:val="NormalTok"/>
        </w:rPr>
        <w:t xml:space="preserve">: bloom.k, </w:t>
      </w:r>
      <w:r>
        <w:rPr>
          <w:rStyle w:val="StringTok"/>
        </w:rPr>
        <w:t xml:space="preserve">"bloom"</w:t>
      </w:r>
      <w:r>
        <w:rPr>
          <w:rStyle w:val="NormalTok"/>
        </w:rPr>
        <w:t xml:space="preserve">: </w:t>
      </w:r>
      <w:r>
        <w:rPr>
          <w:rStyle w:val="BuiltInTok"/>
        </w:rPr>
        <w:t xml:space="preserve">format</w:t>
      </w:r>
      <w:r>
        <w:rPr>
          <w:rStyle w:val="NormalTok"/>
        </w:rPr>
        <w:t xml:space="preserve">(bloom.bits, </w:t>
      </w:r>
      <w:r>
        <w:rPr>
          <w:rStyle w:val="StringTok"/>
        </w:rPr>
        <w:t xml:space="preserve">"x"</w:t>
      </w:r>
      <w:r>
        <w:rPr>
          <w:rStyle w:val="NormalTok"/>
        </w:rPr>
        <w:t xml:space="preserve">)}).encode()</w:t>
      </w:r>
      <w:r>
        <w:br/>
      </w:r>
      <w:r>
        <w:rPr>
          <w:rStyle w:val="NormalTok"/>
        </w:rPr>
        <w:t xml:space="preserve">            f.write(footer </w:t>
      </w:r>
      <w:r>
        <w:rPr>
          <w:rStyle w:val="OperatorTok"/>
        </w:rPr>
        <w:t xml:space="preserve">+</w:t>
      </w:r>
      <w:r>
        <w:rPr>
          <w:rStyle w:val="NormalTok"/>
        </w:rPr>
        <w:t xml:space="preserve"> </w:t>
      </w:r>
      <w:r>
        <w:rPr>
          <w:rStyle w:val="StringTok"/>
        </w:rPr>
        <w:t xml:space="preserve">b"%08d"</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(footer))</w:t>
      </w:r>
      <w:r>
        <w:br/>
      </w:r>
      <w:r>
        <w:rPr>
          <w:rStyle w:val="NormalTok"/>
        </w:rPr>
        <w:t xml:space="preserve">            </w:t>
      </w:r>
      <w:r>
        <w:rPr>
          <w:rStyle w:val="ControlFlowTok"/>
        </w:rPr>
        <w:t xml:space="preserve">if</w:t>
      </w:r>
      <w:r>
        <w:rPr>
          <w:rStyle w:val="NormalTok"/>
        </w:rPr>
        <w:t xml:space="preserve"> sync:</w:t>
      </w:r>
      <w:r>
        <w:br/>
      </w:r>
      <w:r>
        <w:rPr>
          <w:rStyle w:val="NormalTok"/>
        </w:rPr>
        <w:t xml:space="preserve">                f.flush()</w:t>
      </w:r>
      <w:r>
        <w:br/>
      </w:r>
      <w:r>
        <w:rPr>
          <w:rStyle w:val="NormalTok"/>
        </w:rPr>
        <w:t xml:space="preserve">                os.fsync(f.fileno())</w:t>
      </w:r>
      <w:r>
        <w:br/>
      </w:r>
      <w:r>
        <w:rPr>
          <w:rStyle w:val="NormalTok"/>
        </w:rPr>
        <w:t xml:space="preserve">            size </w:t>
      </w:r>
      <w:r>
        <w:rPr>
          <w:rStyle w:val="OperatorTok"/>
        </w:rPr>
        <w:t xml:space="preserve">=</w:t>
      </w:r>
      <w:r>
        <w:rPr>
          <w:rStyle w:val="NormalTok"/>
        </w:rPr>
        <w:t xml:space="preserve"> f.tell()</w:t>
      </w:r>
      <w:r>
        <w:br/>
      </w:r>
      <w:r>
        <w:rPr>
          <w:rStyle w:val="NormalTok"/>
        </w:rPr>
        <w:t xml:space="preserve">        os.replace(tmp, path)                     </w:t>
      </w:r>
      <w:r>
        <w:rPr>
          <w:rStyle w:val="CommentTok"/>
        </w:rPr>
        <w:t xml:space="preserve"># appears atomically, complete or not at all</w:t>
      </w:r>
      <w:r>
        <w:br/>
      </w:r>
      <w:r>
        <w:rPr>
          <w:rStyle w:val="NormalTok"/>
        </w:rPr>
        <w:t xml:space="preserve">        </w:t>
      </w:r>
      <w:r>
        <w:rPr>
          <w:rStyle w:val="ControlFlowTok"/>
        </w:rPr>
        <w:t xml:space="preserve">return</w:t>
      </w:r>
      <w:r>
        <w:rPr>
          <w:rStyle w:val="NormalTok"/>
        </w:rPr>
        <w:t xml:space="preserve"> size</w:t>
      </w:r>
      <w:r>
        <w:br/>
      </w:r>
      <w:r>
        <w:br/>
      </w:r>
      <w:r>
        <w:rPr>
          <w:rStyle w:val="NormalTok"/>
        </w:rPr>
        <w:t xml:space="preserve">    </w:t>
      </w:r>
      <w:r>
        <w:rPr>
          <w:rStyle w:val="KeywordTok"/>
        </w:rPr>
        <w:t xml:space="preserve">def</w:t>
      </w:r>
      <w:r>
        <w:rPr>
          <w:rStyle w:val="NormalTok"/>
        </w:rPr>
        <w:t xml:space="preserve"> get(</w:t>
      </w:r>
      <w:r>
        <w:rPr>
          <w:rStyle w:val="VariableTok"/>
        </w:rPr>
        <w:t xml:space="preserve">self</w:t>
      </w:r>
      <w:r>
        <w:rPr>
          <w:rStyle w:val="NormalTok"/>
        </w:rPr>
        <w:t xml:space="preserve">, key):</w:t>
      </w:r>
      <w:r>
        <w:br/>
      </w:r>
      <w:r>
        <w:rPr>
          <w:rStyle w:val="NormalTok"/>
        </w:rPr>
        <w:t xml:space="preserve">        </w:t>
      </w:r>
      <w:r>
        <w:rPr>
          <w:rStyle w:val="CommentTok"/>
        </w:rPr>
        <w:t xml:space="preserve">"""Returns (found, value). Reads at most INDEX_EVERY records from disk."""</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.bloom.may_contain(key):</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VariableTok"/>
        </w:rPr>
        <w:t xml:space="preserve">None</w:t>
      </w:r>
      <w:r>
        <w:rPr>
          <w:rStyle w:val="NormalTok"/>
        </w:rPr>
        <w:t xml:space="preserve">                    </w:t>
      </w:r>
      <w:r>
        <w:rPr>
          <w:rStyle w:val="CommentTok"/>
        </w:rPr>
        <w:t xml:space="preserve"># definitely absent: no disk read</w:t>
      </w:r>
      <w:r>
        <w:br/>
      </w:r>
      <w:r>
        <w:rPr>
          <w:rStyle w:val="NormalTok"/>
        </w:rPr>
        <w:t xml:space="preserve">        i </w:t>
      </w:r>
      <w:r>
        <w:rPr>
          <w:rStyle w:val="OperatorTok"/>
        </w:rPr>
        <w:t xml:space="preserve">=</w:t>
      </w:r>
      <w:r>
        <w:rPr>
          <w:rStyle w:val="NormalTok"/>
        </w:rPr>
        <w:t xml:space="preserve"> bisect.bisect_right(</w:t>
      </w:r>
      <w:r>
        <w:rPr>
          <w:rStyle w:val="VariableTok"/>
        </w:rPr>
        <w:t xml:space="preserve">self</w:t>
      </w:r>
      <w:r>
        <w:rPr>
          <w:rStyle w:val="NormalTok"/>
        </w:rPr>
        <w:t xml:space="preserve">.index_keys, key)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i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VariableTok"/>
        </w:rPr>
        <w:t xml:space="preserve">None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VariableTok"/>
        </w:rPr>
        <w:t xml:space="preserve">self</w:t>
      </w:r>
      <w:r>
        <w:rPr>
          <w:rStyle w:val="NormalTok"/>
        </w:rPr>
        <w:t xml:space="preserve">.path, </w:t>
      </w:r>
      <w:r>
        <w:rPr>
          <w:rStyle w:val="StringTok"/>
        </w:rPr>
        <w:t xml:space="preserve">"rb"</w:t>
      </w:r>
      <w:r>
        <w:rPr>
          <w:rStyle w:val="NormalTok"/>
        </w:rPr>
        <w:t xml:space="preserve">) </w:t>
      </w:r>
      <w:r>
        <w:rPr>
          <w:rStyle w:val="ImportTok"/>
        </w:rPr>
        <w:t xml:space="preserve">as</w:t>
      </w:r>
      <w:r>
        <w:rPr>
          <w:rStyle w:val="NormalTok"/>
        </w:rPr>
        <w:t xml:space="preserve"> f:</w:t>
      </w:r>
      <w:r>
        <w:br/>
      </w:r>
      <w:r>
        <w:rPr>
          <w:rStyle w:val="NormalTok"/>
        </w:rPr>
        <w:t xml:space="preserve">            f.seek(</w:t>
      </w:r>
      <w:r>
        <w:rPr>
          <w:rStyle w:val="VariableTok"/>
        </w:rPr>
        <w:t xml:space="preserve">self</w:t>
      </w:r>
      <w:r>
        <w:rPr>
          <w:rStyle w:val="NormalTok"/>
        </w:rPr>
        <w:t xml:space="preserve">.index_offsets[i])</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.INDEX_EVERY):</w:t>
      </w:r>
      <w:r>
        <w:br/>
      </w:r>
      <w:r>
        <w:rPr>
          <w:rStyle w:val="NormalTok"/>
        </w:rPr>
        <w:t xml:space="preserve">                </w:t>
      </w:r>
      <w:r>
        <w:rPr>
          <w:rStyle w:val="ControlFlowTok"/>
        </w:rPr>
        <w:t xml:space="preserve">if</w:t>
      </w:r>
      <w:r>
        <w:rPr>
          <w:rStyle w:val="NormalTok"/>
        </w:rPr>
        <w:t xml:space="preserve"> f.tell() </w:t>
      </w:r>
      <w:r>
        <w:rPr>
          <w:rStyle w:val="OperatorTok"/>
        </w:rPr>
        <w:t xml:space="preserve">&gt;=</w:t>
      </w:r>
      <w:r>
        <w:rPr>
          <w:rStyle w:val="NormalTok"/>
        </w:rPr>
        <w:t xml:space="preserve"> </w:t>
      </w:r>
      <w:r>
        <w:rPr>
          <w:rStyle w:val="VariableTok"/>
        </w:rPr>
        <w:t xml:space="preserve">self</w:t>
      </w:r>
      <w:r>
        <w:rPr>
          <w:rStyle w:val="NormalTok"/>
        </w:rPr>
        <w:t xml:space="preserve">.data_end:</w:t>
      </w:r>
      <w:r>
        <w:br/>
      </w:r>
      <w:r>
        <w:rPr>
          <w:rStyle w:val="NormalTok"/>
        </w:rPr>
        <w:t xml:space="preserve">                    </w:t>
      </w:r>
      <w:r>
        <w:rPr>
          <w:rStyle w:val="ControlFlowTok"/>
        </w:rPr>
        <w:t xml:space="preserve">break</w:t>
      </w:r>
      <w:r>
        <w:br/>
      </w:r>
      <w:r>
        <w:rPr>
          <w:rStyle w:val="NormalTok"/>
        </w:rPr>
        <w:t xml:space="preserve">                k, v </w:t>
      </w:r>
      <w:r>
        <w:rPr>
          <w:rStyle w:val="OperatorTok"/>
        </w:rPr>
        <w:t xml:space="preserve">=</w:t>
      </w:r>
      <w:r>
        <w:rPr>
          <w:rStyle w:val="NormalTok"/>
        </w:rPr>
        <w:t xml:space="preserve"> json.loads(f.readline())</w:t>
      </w:r>
      <w:r>
        <w:br/>
      </w:r>
      <w:r>
        <w:rPr>
          <w:rStyle w:val="NormalTok"/>
        </w:rPr>
        <w:t xml:space="preserve">                </w:t>
      </w:r>
      <w:r>
        <w:rPr>
          <w:rStyle w:val="ControlFlowTok"/>
        </w:rPr>
        <w:t xml:space="preserve">if</w:t>
      </w:r>
      <w:r>
        <w:rPr>
          <w:rStyle w:val="NormalTok"/>
        </w:rPr>
        <w:t xml:space="preserve"> k </w:t>
      </w:r>
      <w:r>
        <w:rPr>
          <w:rStyle w:val="OperatorTok"/>
        </w:rPr>
        <w:t xml:space="preserve">==</w:t>
      </w:r>
      <w:r>
        <w:rPr>
          <w:rStyle w:val="NormalTok"/>
        </w:rPr>
        <w:t xml:space="preserve"> key:</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v</w:t>
      </w:r>
      <w:r>
        <w:br/>
      </w:r>
      <w:r>
        <w:rPr>
          <w:rStyle w:val="NormalTok"/>
        </w:rPr>
        <w:t xml:space="preserve">                </w:t>
      </w:r>
      <w:r>
        <w:rPr>
          <w:rStyle w:val="ControlFlowTok"/>
        </w:rPr>
        <w:t xml:space="preserve">if</w:t>
      </w:r>
      <w:r>
        <w:rPr>
          <w:rStyle w:val="NormalTok"/>
        </w:rPr>
        <w:t xml:space="preserve"> k </w:t>
      </w:r>
      <w:r>
        <w:rPr>
          <w:rStyle w:val="OperatorTok"/>
        </w:rPr>
        <w:t xml:space="preserve">&gt;</w:t>
      </w:r>
      <w:r>
        <w:rPr>
          <w:rStyle w:val="NormalTok"/>
        </w:rPr>
        <w:t xml:space="preserve"> key:</w:t>
      </w:r>
      <w:r>
        <w:br/>
      </w:r>
      <w:r>
        <w:rPr>
          <w:rStyle w:val="NormalTok"/>
        </w:rPr>
        <w:t xml:space="preserve">                    </w:t>
      </w:r>
      <w:r>
        <w:rPr>
          <w:rStyle w:val="ControlFlowTok"/>
        </w:rPr>
        <w:t xml:space="preserve">break</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scan(</w:t>
      </w:r>
      <w:r>
        <w:rPr>
          <w:rStyle w:val="VariableTok"/>
        </w:rPr>
        <w:t xml:space="preserve">self</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VariableTok"/>
        </w:rPr>
        <w:t xml:space="preserve">self</w:t>
      </w:r>
      <w:r>
        <w:rPr>
          <w:rStyle w:val="NormalTok"/>
        </w:rPr>
        <w:t xml:space="preserve">.path, </w:t>
      </w:r>
      <w:r>
        <w:rPr>
          <w:rStyle w:val="StringTok"/>
        </w:rPr>
        <w:t xml:space="preserve">"rb"</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ControlFlowTok"/>
        </w:rPr>
        <w:t xml:space="preserve">while</w:t>
      </w:r>
      <w:r>
        <w:rPr>
          <w:rStyle w:val="NormalTok"/>
        </w:rPr>
        <w:t xml:space="preserve"> f.tell() </w:t>
      </w:r>
      <w:r>
        <w:rPr>
          <w:rStyle w:val="OperatorTok"/>
        </w:rPr>
        <w:t xml:space="preserve">&lt;</w:t>
      </w:r>
      <w:r>
        <w:rPr>
          <w:rStyle w:val="NormalTok"/>
        </w:rPr>
        <w:t xml:space="preserve"> </w:t>
      </w:r>
      <w:r>
        <w:rPr>
          <w:rStyle w:val="VariableTok"/>
        </w:rPr>
        <w:t xml:space="preserve">self</w:t>
      </w:r>
      <w:r>
        <w:rPr>
          <w:rStyle w:val="NormalTok"/>
        </w:rPr>
        <w:t xml:space="preserve">.data_end:</w:t>
      </w:r>
      <w:r>
        <w:br/>
      </w:r>
      <w:r>
        <w:rPr>
          <w:rStyle w:val="NormalTok"/>
        </w:rPr>
        <w:t xml:space="preserve">                k, v </w:t>
      </w:r>
      <w:r>
        <w:rPr>
          <w:rStyle w:val="OperatorTok"/>
        </w:rPr>
        <w:t xml:space="preserve">=</w:t>
      </w:r>
      <w:r>
        <w:rPr>
          <w:rStyle w:val="NormalTok"/>
        </w:rPr>
        <w:t xml:space="preserve"> json.loads(f.readline())</w:t>
      </w:r>
      <w:r>
        <w:br/>
      </w:r>
      <w:r>
        <w:rPr>
          <w:rStyle w:val="NormalTok"/>
        </w:rPr>
        <w:t xml:space="preserve">                </w:t>
      </w:r>
      <w:r>
        <w:rPr>
          <w:rStyle w:val="ControlFlowTok"/>
        </w:rPr>
        <w:t xml:space="preserve">yield</w:t>
      </w:r>
      <w:r>
        <w:rPr>
          <w:rStyle w:val="NormalTok"/>
        </w:rPr>
        <w:t xml:space="preserve"> k, v</w:t>
      </w:r>
      <w:r>
        <w:br/>
      </w:r>
      <w:r>
        <w:br/>
      </w:r>
      <w:r>
        <w:br/>
      </w:r>
      <w:r>
        <w:rPr>
          <w:rStyle w:val="KeywordTok"/>
        </w:rPr>
        <w:t xml:space="preserve">class</w:t>
      </w:r>
      <w:r>
        <w:rPr>
          <w:rStyle w:val="NormalTok"/>
        </w:rPr>
        <w:t xml:space="preserve"> LSMTree: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directory, memtable_limit</w:t>
      </w:r>
      <w:r>
        <w:rPr>
          <w:rStyle w:val="OperatorTok"/>
        </w:rPr>
        <w:t xml:space="preserve">=</w:t>
      </w:r>
      <w:r>
        <w:rPr>
          <w:rStyle w:val="DecValTok"/>
        </w:rPr>
        <w:t xml:space="preserve">256</w:t>
      </w:r>
      <w:r>
        <w:rPr>
          <w:rStyle w:val="NormalTok"/>
        </w:rPr>
        <w:t xml:space="preserve">, compact_at</w:t>
      </w:r>
      <w:r>
        <w:rPr>
          <w:rStyle w:val="OperatorTok"/>
        </w:rPr>
        <w:t xml:space="preserve">=</w:t>
      </w:r>
      <w:r>
        <w:rPr>
          <w:rStyle w:val="DecValTok"/>
        </w:rPr>
        <w:t xml:space="preserve">4</w:t>
      </w:r>
      <w:r>
        <w:rPr>
          <w:rStyle w:val="NormalTok"/>
        </w:rPr>
        <w:t xml:space="preserve">, sync</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VariableTok"/>
        </w:rPr>
        <w:t xml:space="preserve">self</w:t>
      </w:r>
      <w:r>
        <w:rPr>
          <w:rStyle w:val="NormalTok"/>
        </w:rPr>
        <w:t xml:space="preserve">.</w:t>
      </w:r>
      <w:r>
        <w:rPr>
          <w:rStyle w:val="BuiltInTok"/>
        </w:rPr>
        <w:t xml:space="preserve">dir</w:t>
      </w:r>
      <w:r>
        <w:rPr>
          <w:rStyle w:val="NormalTok"/>
        </w:rPr>
        <w:t xml:space="preserve">, </w:t>
      </w:r>
      <w:r>
        <w:rPr>
          <w:rStyle w:val="VariableTok"/>
        </w:rPr>
        <w:t xml:space="preserve">self</w:t>
      </w:r>
      <w:r>
        <w:rPr>
          <w:rStyle w:val="NormalTok"/>
        </w:rPr>
        <w:t xml:space="preserve">.limit, </w:t>
      </w:r>
      <w:r>
        <w:rPr>
          <w:rStyle w:val="VariableTok"/>
        </w:rPr>
        <w:t xml:space="preserve">self</w:t>
      </w:r>
      <w:r>
        <w:rPr>
          <w:rStyle w:val="NormalTok"/>
        </w:rPr>
        <w:t xml:space="preserve">.compact_at, </w:t>
      </w:r>
      <w:r>
        <w:rPr>
          <w:rStyle w:val="VariableTok"/>
        </w:rPr>
        <w:t xml:space="preserve">self</w:t>
      </w:r>
      <w:r>
        <w:rPr>
          <w:rStyle w:val="NormalTok"/>
        </w:rPr>
        <w:t xml:space="preserve">.sync </w:t>
      </w:r>
      <w:r>
        <w:rPr>
          <w:rStyle w:val="OperatorTok"/>
        </w:rPr>
        <w:t xml:space="preserve">=</w:t>
      </w:r>
      <w:r>
        <w:rPr>
          <w:rStyle w:val="NormalTok"/>
        </w:rPr>
        <w:t xml:space="preserve"> directory, memtable_limit, compact_at, sync</w:t>
      </w:r>
      <w:r>
        <w:br/>
      </w:r>
      <w:r>
        <w:rPr>
          <w:rStyle w:val="NormalTok"/>
        </w:rPr>
        <w:t xml:space="preserve">        os.makedirs(directory, exist_ok</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VariableTok"/>
        </w:rPr>
        <w:t xml:space="preserve">self</w:t>
      </w:r>
      <w:r>
        <w:rPr>
          <w:rStyle w:val="NormalTok"/>
        </w:rPr>
        <w:t xml:space="preserve">.stats </w:t>
      </w:r>
      <w:r>
        <w:rPr>
          <w:rStyle w:val="OperatorTok"/>
        </w:rPr>
        <w:t xml:space="preserve">=</w:t>
      </w:r>
      <w:r>
        <w:rPr>
          <w:rStyle w:val="NormalTok"/>
        </w:rPr>
        <w:t xml:space="preserve"> {</w:t>
      </w:r>
      <w:r>
        <w:rPr>
          <w:rStyle w:val="StringTok"/>
        </w:rPr>
        <w:t xml:space="preserve">"user"</w:t>
      </w:r>
      <w:r>
        <w:rPr>
          <w:rStyle w:val="NormalTok"/>
        </w:rPr>
        <w:t xml:space="preserve">: </w:t>
      </w:r>
      <w:r>
        <w:rPr>
          <w:rStyle w:val="DecValTok"/>
        </w:rPr>
        <w:t xml:space="preserve">0</w:t>
      </w:r>
      <w:r>
        <w:rPr>
          <w:rStyle w:val="NormalTok"/>
        </w:rPr>
        <w:t xml:space="preserve">, </w:t>
      </w:r>
      <w:r>
        <w:rPr>
          <w:rStyle w:val="StringTok"/>
        </w:rPr>
        <w:t xml:space="preserve">"wal"</w:t>
      </w:r>
      <w:r>
        <w:rPr>
          <w:rStyle w:val="NormalTok"/>
        </w:rPr>
        <w:t xml:space="preserve">: </w:t>
      </w:r>
      <w:r>
        <w:rPr>
          <w:rStyle w:val="DecValTok"/>
        </w:rPr>
        <w:t xml:space="preserve">0</w:t>
      </w:r>
      <w:r>
        <w:rPr>
          <w:rStyle w:val="NormalTok"/>
        </w:rPr>
        <w:t xml:space="preserve">, </w:t>
      </w:r>
      <w:r>
        <w:rPr>
          <w:rStyle w:val="StringTok"/>
        </w:rPr>
        <w:t xml:space="preserve">"flush"</w:t>
      </w:r>
      <w:r>
        <w:rPr>
          <w:rStyle w:val="NormalTok"/>
        </w:rPr>
        <w:t xml:space="preserve">: </w:t>
      </w:r>
      <w:r>
        <w:rPr>
          <w:rStyle w:val="DecValTok"/>
        </w:rPr>
        <w:t xml:space="preserve">0</w:t>
      </w:r>
      <w:r>
        <w:rPr>
          <w:rStyle w:val="NormalTok"/>
        </w:rPr>
        <w:t xml:space="preserve">, </w:t>
      </w:r>
      <w:r>
        <w:rPr>
          <w:rStyle w:val="StringTok"/>
        </w:rPr>
        <w:t xml:space="preserve">"compaction"</w:t>
      </w:r>
      <w:r>
        <w:rPr>
          <w:rStyle w:val="NormalTok"/>
        </w:rPr>
        <w:t xml:space="preserve">: </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.memtable </w:t>
      </w:r>
      <w:r>
        <w:rPr>
          <w:rStyle w:val="OperatorTok"/>
        </w:rPr>
        <w:t xml:space="preserve">=</w:t>
      </w:r>
      <w:r>
        <w:rPr>
          <w:rStyle w:val="NormalTok"/>
        </w:rPr>
        <w:t xml:space="preserve"> {}</w:t>
      </w:r>
      <w:r>
        <w:br/>
      </w:r>
      <w:r>
        <w:rPr>
          <w:rStyle w:val="NormalTok"/>
        </w:rPr>
        <w:t xml:space="preserve">        manifest </w:t>
      </w:r>
      <w:r>
        <w:rPr>
          <w:rStyle w:val="OperatorTok"/>
        </w:rPr>
        <w:t xml:space="preserve">=</w:t>
      </w:r>
      <w:r>
        <w:rPr>
          <w:rStyle w:val="NormalTok"/>
        </w:rPr>
        <w:t xml:space="preserve"> os.path.join(directory, </w:t>
      </w:r>
      <w:r>
        <w:rPr>
          <w:rStyle w:val="StringTok"/>
        </w:rPr>
        <w:t xml:space="preserve">"MANIFEST"</w:t>
      </w:r>
      <w:r>
        <w:rPr>
          <w:rStyle w:val="NormalTok"/>
        </w:rPr>
        <w:t xml:space="preserve">)</w:t>
      </w:r>
      <w:r>
        <w:br/>
      </w:r>
      <w:r>
        <w:rPr>
          <w:rStyle w:val="NormalTok"/>
        </w:rPr>
        <w:t xml:space="preserve">        names </w:t>
      </w:r>
      <w:r>
        <w:rPr>
          <w:rStyle w:val="OperatorTok"/>
        </w:rPr>
        <w:t xml:space="preserve">=</w:t>
      </w:r>
      <w:r>
        <w:rPr>
          <w:rStyle w:val="NormalTok"/>
        </w:rPr>
        <w:t xml:space="preserve"> json.load(</w:t>
      </w:r>
      <w:r>
        <w:rPr>
          <w:rStyle w:val="BuiltInTok"/>
        </w:rPr>
        <w:t xml:space="preserve">open</w:t>
      </w:r>
      <w:r>
        <w:rPr>
          <w:rStyle w:val="NormalTok"/>
        </w:rPr>
        <w:t xml:space="preserve">(manifest)) </w:t>
      </w:r>
      <w:r>
        <w:rPr>
          <w:rStyle w:val="ControlFlowTok"/>
        </w:rPr>
        <w:t xml:space="preserve">if</w:t>
      </w:r>
      <w:r>
        <w:rPr>
          <w:rStyle w:val="NormalTok"/>
        </w:rPr>
        <w:t xml:space="preserve"> os.path.exists(manifest) </w:t>
      </w:r>
      <w:r>
        <w:rPr>
          <w:rStyle w:val="ControlFlowTok"/>
        </w:rPr>
        <w:t xml:space="preserve">else</w:t>
      </w:r>
      <w:r>
        <w:rPr>
          <w:rStyle w:val="NormalTok"/>
        </w:rPr>
        <w:t xml:space="preserve"> []</w:t>
      </w:r>
      <w:r>
        <w:br/>
      </w:r>
      <w:r>
        <w:rPr>
          <w:rStyle w:val="NormalTok"/>
        </w:rPr>
        <w:t xml:space="preserve">        </w:t>
      </w:r>
      <w:r>
        <w:rPr>
          <w:rStyle w:val="VariableTok"/>
        </w:rPr>
        <w:t xml:space="preserve">self</w:t>
      </w:r>
      <w:r>
        <w:rPr>
          <w:rStyle w:val="NormalTok"/>
        </w:rPr>
        <w:t xml:space="preserve">.tables </w:t>
      </w:r>
      <w:r>
        <w:rPr>
          <w:rStyle w:val="OperatorTok"/>
        </w:rPr>
        <w:t xml:space="preserve">=</w:t>
      </w:r>
      <w:r>
        <w:rPr>
          <w:rStyle w:val="NormalTok"/>
        </w:rPr>
        <w:t xml:space="preserve"> [SSTable(os.path.join(directory, n)) </w:t>
      </w:r>
      <w:r>
        <w:rPr>
          <w:rStyle w:val="ControlFlowTok"/>
        </w:rPr>
        <w:t xml:space="preserve">for</w:t>
      </w:r>
      <w:r>
        <w:rPr>
          <w:rStyle w:val="NormalTok"/>
        </w:rPr>
        <w:t xml:space="preserve"> n </w:t>
      </w:r>
      <w:r>
        <w:rPr>
          <w:rStyle w:val="KeywordTok"/>
        </w:rPr>
        <w:t xml:space="preserve">in</w:t>
      </w:r>
      <w:r>
        <w:rPr>
          <w:rStyle w:val="NormalTok"/>
        </w:rPr>
        <w:t xml:space="preserve"> names]  </w:t>
      </w:r>
      <w:r>
        <w:rPr>
          <w:rStyle w:val="CommentTok"/>
        </w:rPr>
        <w:t xml:space="preserve"># oldest first</w:t>
      </w:r>
      <w:r>
        <w:br/>
      </w:r>
      <w:r>
        <w:rPr>
          <w:rStyle w:val="NormalTok"/>
        </w:rPr>
        <w:t xml:space="preserve">        </w:t>
      </w:r>
      <w:r>
        <w:rPr>
          <w:rStyle w:val="VariableTok"/>
        </w:rPr>
        <w:t xml:space="preserve">self</w:t>
      </w:r>
      <w:r>
        <w:rPr>
          <w:rStyle w:val="NormalTok"/>
        </w:rPr>
        <w:t xml:space="preserve">.next_id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w:t>
      </w:r>
      <w:r>
        <w:rPr>
          <w:rStyle w:val="BuiltInTok"/>
        </w:rPr>
        <w:t xml:space="preserve">int</w:t>
      </w:r>
      <w:r>
        <w:rPr>
          <w:rStyle w:val="NormalTok"/>
        </w:rPr>
        <w:t xml:space="preserve">(n[</w:t>
      </w:r>
      <w:r>
        <w:rPr>
          <w:rStyle w:val="DecValTok"/>
        </w:rPr>
        <w:t xml:space="preserve">4</w:t>
      </w:r>
      <w:r>
        <w:rPr>
          <w:rStyle w:val="NormalTok"/>
        </w:rPr>
        <w:t xml:space="preserve">:</w:t>
      </w:r>
      <w:r>
        <w:rPr>
          <w:rStyle w:val="DecValTok"/>
        </w:rPr>
        <w:t xml:space="preserve">10</w:t>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names], default</w:t>
      </w:r>
      <w:r>
        <w:rPr>
          <w:rStyle w:val="OperatorTok"/>
        </w:rPr>
        <w:t xml:space="preserve">=</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os.listdir(directory):           </w:t>
      </w:r>
      <w:r>
        <w:rPr>
          <w:rStyle w:val="CommentTok"/>
        </w:rPr>
        <w:t xml:space="preserve"># delete orphans left by a crash</w:t>
      </w:r>
      <w:r>
        <w:br/>
      </w:r>
      <w:r>
        <w:rPr>
          <w:rStyle w:val="NormalTok"/>
        </w:rPr>
        <w:t xml:space="preserve">            </w:t>
      </w:r>
      <w:r>
        <w:rPr>
          <w:rStyle w:val="ControlFlowTok"/>
        </w:rPr>
        <w:t xml:space="preserve">if</w:t>
      </w:r>
      <w:r>
        <w:rPr>
          <w:rStyle w:val="NormalTok"/>
        </w:rPr>
        <w:t xml:space="preserve"> n.startswith(</w:t>
      </w:r>
      <w:r>
        <w:rPr>
          <w:rStyle w:val="StringTok"/>
        </w:rPr>
        <w:t xml:space="preserve">"sst-"</w:t>
      </w:r>
      <w:r>
        <w:rPr>
          <w:rStyle w:val="NormalTok"/>
        </w:rPr>
        <w:t xml:space="preserve">) </w:t>
      </w:r>
      <w:r>
        <w:rPr>
          <w:rStyle w:val="KeywordTok"/>
        </w:rPr>
        <w:t xml:space="preserve">and</w:t>
      </w:r>
      <w:r>
        <w:rPr>
          <w:rStyle w:val="NormalTok"/>
        </w:rPr>
        <w:t xml:space="preserve"> n </w:t>
      </w:r>
      <w:r>
        <w:rPr>
          <w:rStyle w:val="KeywordTok"/>
        </w:rPr>
        <w:t xml:space="preserve">not</w:t>
      </w:r>
      <w:r>
        <w:rPr>
          <w:rStyle w:val="NormalTok"/>
        </w:rPr>
        <w:t xml:space="preserve"> </w:t>
      </w:r>
      <w:r>
        <w:rPr>
          <w:rStyle w:val="KeywordTok"/>
        </w:rPr>
        <w:t xml:space="preserve">in</w:t>
      </w:r>
      <w:r>
        <w:rPr>
          <w:rStyle w:val="NormalTok"/>
        </w:rPr>
        <w:t xml:space="preserve"> names:</w:t>
      </w:r>
      <w:r>
        <w:br/>
      </w:r>
      <w:r>
        <w:rPr>
          <w:rStyle w:val="NormalTok"/>
        </w:rPr>
        <w:t xml:space="preserve">                os.remove(os.path.join(directory, n))</w:t>
      </w:r>
      <w:r>
        <w:br/>
      </w:r>
      <w:r>
        <w:rPr>
          <w:rStyle w:val="NormalTok"/>
        </w:rPr>
        <w:t xml:space="preserve">        </w:t>
      </w:r>
      <w:r>
        <w:rPr>
          <w:rStyle w:val="VariableTok"/>
        </w:rPr>
        <w:t xml:space="preserve">self</w:t>
      </w:r>
      <w:r>
        <w:rPr>
          <w:rStyle w:val="NormalTok"/>
        </w:rPr>
        <w:t xml:space="preserve">.wal_path </w:t>
      </w:r>
      <w:r>
        <w:rPr>
          <w:rStyle w:val="OperatorTok"/>
        </w:rPr>
        <w:t xml:space="preserve">=</w:t>
      </w:r>
      <w:r>
        <w:rPr>
          <w:rStyle w:val="NormalTok"/>
        </w:rPr>
        <w:t xml:space="preserve"> os.path.join(directory, </w:t>
      </w:r>
      <w:r>
        <w:rPr>
          <w:rStyle w:val="StringTok"/>
        </w:rPr>
        <w:t xml:space="preserve">"wal.log"</w:t>
      </w:r>
      <w:r>
        <w:rPr>
          <w:rStyle w:val="NormalTok"/>
        </w:rPr>
        <w:t xml:space="preserve">)</w:t>
      </w:r>
      <w:r>
        <w:br/>
      </w:r>
      <w:r>
        <w:rPr>
          <w:rStyle w:val="NormalTok"/>
        </w:rPr>
        <w:t xml:space="preserve">        </w:t>
      </w:r>
      <w:r>
        <w:rPr>
          <w:rStyle w:val="VariableTok"/>
        </w:rPr>
        <w:t xml:space="preserve">self</w:t>
      </w:r>
      <w:r>
        <w:rPr>
          <w:rStyle w:val="NormalTok"/>
        </w:rPr>
        <w:t xml:space="preserve">._replay_wal()</w:t>
      </w:r>
      <w:r>
        <w:br/>
      </w:r>
      <w:r>
        <w:rPr>
          <w:rStyle w:val="NormalTok"/>
        </w:rPr>
        <w:t xml:space="preserve">        </w:t>
      </w:r>
      <w:r>
        <w:rPr>
          <w:rStyle w:val="VariableTok"/>
        </w:rPr>
        <w:t xml:space="preserve">self</w:t>
      </w:r>
      <w:r>
        <w:rPr>
          <w:rStyle w:val="NormalTok"/>
        </w:rPr>
        <w:t xml:space="preserve">.wal </w:t>
      </w:r>
      <w:r>
        <w:rPr>
          <w:rStyle w:val="OperatorTok"/>
        </w:rPr>
        <w:t xml:space="preserve">=</w:t>
      </w:r>
      <w:r>
        <w:rPr>
          <w:rStyle w:val="NormalTok"/>
        </w:rPr>
        <w:t xml:space="preserve"> </w:t>
      </w:r>
      <w:r>
        <w:rPr>
          <w:rStyle w:val="BuiltInTok"/>
        </w:rPr>
        <w:t xml:space="preserve">open</w:t>
      </w:r>
      <w:r>
        <w:rPr>
          <w:rStyle w:val="NormalTok"/>
        </w:rPr>
        <w:t xml:space="preserve">(</w:t>
      </w:r>
      <w:r>
        <w:rPr>
          <w:rStyle w:val="VariableTok"/>
        </w:rPr>
        <w:t xml:space="preserve">self</w:t>
      </w:r>
      <w:r>
        <w:rPr>
          <w:rStyle w:val="NormalTok"/>
        </w:rPr>
        <w:t xml:space="preserve">.wal_path, </w:t>
      </w:r>
      <w:r>
        <w:rPr>
          <w:rStyle w:val="StringTok"/>
        </w:rPr>
        <w:t xml:space="preserve">"ab"</w:t>
      </w:r>
      <w:r>
        <w:rPr>
          <w:rStyle w:val="NormalTok"/>
        </w:rPr>
        <w:t xml:space="preserve">)</w:t>
      </w:r>
      <w:r>
        <w:br/>
      </w:r>
      <w:r>
        <w:br/>
      </w:r>
      <w:r>
        <w:rPr>
          <w:rStyle w:val="NormalTok"/>
        </w:rPr>
        <w:t xml:space="preserve">    </w:t>
      </w:r>
      <w:r>
        <w:rPr>
          <w:rStyle w:val="CommentTok"/>
        </w:rPr>
        <w:t xml:space="preserve"># ---------- durability ----------</w:t>
      </w:r>
      <w:r>
        <w:br/>
      </w:r>
      <w:r>
        <w:rPr>
          <w:rStyle w:val="NormalTok"/>
        </w:rPr>
        <w:t xml:space="preserve">    </w:t>
      </w:r>
      <w:r>
        <w:rPr>
          <w:rStyle w:val="KeywordTok"/>
        </w:rPr>
        <w:t xml:space="preserve">def</w:t>
      </w:r>
      <w:r>
        <w:rPr>
          <w:rStyle w:val="NormalTok"/>
        </w:rPr>
        <w:t xml:space="preserve"> _replay_wal(</w:t>
      </w:r>
      <w:r>
        <w:rPr>
          <w:rStyle w:val="VariableTok"/>
        </w:rPr>
        <w:t xml:space="preserve">self</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w:t>
      </w:r>
      <w:r>
        <w:rPr>
          <w:rStyle w:val="VariableTok"/>
        </w:rPr>
        <w:t xml:space="preserve">self</w:t>
      </w:r>
      <w:r>
        <w:rPr>
          <w:rStyle w:val="NormalTok"/>
        </w:rPr>
        <w:t xml:space="preserve">.wal_path):</w:t>
      </w:r>
      <w:r>
        <w:br/>
      </w:r>
      <w:r>
        <w:rPr>
          <w:rStyle w:val="NormalTok"/>
        </w:rPr>
        <w:t xml:space="preserve">            </w:t>
      </w:r>
      <w:r>
        <w:rPr>
          <w:rStyle w:val="ControlFlowTok"/>
        </w:rPr>
        <w:t xml:space="preserve">return</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VariableTok"/>
        </w:rPr>
        <w:t xml:space="preserve">self</w:t>
      </w:r>
      <w:r>
        <w:rPr>
          <w:rStyle w:val="NormalTok"/>
        </w:rPr>
        <w:t xml:space="preserve">.wal_path, </w:t>
      </w:r>
      <w:r>
        <w:rPr>
          <w:rStyle w:val="StringTok"/>
        </w:rPr>
        <w:t xml:space="preserve">"rb"</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f:</w:t>
      </w:r>
      <w:r>
        <w:br/>
      </w:r>
      <w:r>
        <w:rPr>
          <w:rStyle w:val="NormalTok"/>
        </w:rPr>
        <w:t xml:space="preserve">                </w:t>
      </w:r>
      <w:r>
        <w:rPr>
          <w:rStyle w:val="ControlFlowTok"/>
        </w:rPr>
        <w:t xml:space="preserve">try</w:t>
      </w:r>
      <w:r>
        <w:rPr>
          <w:rStyle w:val="NormalTok"/>
        </w:rPr>
        <w:t xml:space="preserve">:</w:t>
      </w:r>
      <w:r>
        <w:br/>
      </w:r>
      <w:r>
        <w:rPr>
          <w:rStyle w:val="NormalTok"/>
        </w:rPr>
        <w:t xml:space="preserve">                    k, v </w:t>
      </w:r>
      <w:r>
        <w:rPr>
          <w:rStyle w:val="OperatorTok"/>
        </w:rPr>
        <w:t xml:space="preserve">=</w:t>
      </w:r>
      <w:r>
        <w:rPr>
          <w:rStyle w:val="NormalTok"/>
        </w:rPr>
        <w:t xml:space="preserve"> json.loads(line)</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ControlFlowTok"/>
        </w:rPr>
        <w:t xml:space="preserve">break</w:t>
      </w:r>
      <w:r>
        <w:rPr>
          <w:rStyle w:val="NormalTok"/>
        </w:rPr>
        <w:t xml:space="preserve">                         </w:t>
      </w:r>
      <w:r>
        <w:rPr>
          <w:rStyle w:val="CommentTok"/>
        </w:rPr>
        <w:t xml:space="preserve"># torn final record from a crash: stop</w:t>
      </w:r>
      <w:r>
        <w:br/>
      </w:r>
      <w:r>
        <w:rPr>
          <w:rStyle w:val="NormalTok"/>
        </w:rPr>
        <w:t xml:space="preserve">                </w:t>
      </w:r>
      <w:r>
        <w:rPr>
          <w:rStyle w:val="VariableTok"/>
        </w:rPr>
        <w:t xml:space="preserve">self</w:t>
      </w:r>
      <w:r>
        <w:rPr>
          <w:rStyle w:val="NormalTok"/>
        </w:rPr>
        <w:t xml:space="preserve">.memtable[k] </w:t>
      </w:r>
      <w:r>
        <w:rPr>
          <w:rStyle w:val="OperatorTok"/>
        </w:rPr>
        <w:t xml:space="preserve">=</w:t>
      </w:r>
      <w:r>
        <w:rPr>
          <w:rStyle w:val="NormalTok"/>
        </w:rPr>
        <w:t xml:space="preserve"> v</w:t>
      </w:r>
      <w:r>
        <w:br/>
      </w:r>
      <w:r>
        <w:br/>
      </w:r>
      <w:r>
        <w:rPr>
          <w:rStyle w:val="NormalTok"/>
        </w:rPr>
        <w:t xml:space="preserve">    </w:t>
      </w:r>
      <w:r>
        <w:rPr>
          <w:rStyle w:val="KeywordTok"/>
        </w:rPr>
        <w:t xml:space="preserve">def</w:t>
      </w:r>
      <w:r>
        <w:rPr>
          <w:rStyle w:val="NormalTok"/>
        </w:rPr>
        <w:t xml:space="preserve"> _save_manifest(</w:t>
      </w:r>
      <w:r>
        <w:rPr>
          <w:rStyle w:val="VariableTok"/>
        </w:rPr>
        <w:t xml:space="preserve">self</w:t>
      </w:r>
      <w:r>
        <w:rPr>
          <w:rStyle w:val="NormalTok"/>
        </w:rPr>
        <w:t xml:space="preserve">):</w:t>
      </w:r>
      <w:r>
        <w:br/>
      </w:r>
      <w:r>
        <w:rPr>
          <w:rStyle w:val="NormalTok"/>
        </w:rPr>
        <w:t xml:space="preserve">        tmp </w:t>
      </w:r>
      <w:r>
        <w:rPr>
          <w:rStyle w:val="OperatorTok"/>
        </w:rPr>
        <w:t xml:space="preserve">=</w:t>
      </w:r>
      <w:r>
        <w:rPr>
          <w:rStyle w:val="NormalTok"/>
        </w:rPr>
        <w:t xml:space="preserve"> os.path.join(</w:t>
      </w:r>
      <w:r>
        <w:rPr>
          <w:rStyle w:val="VariableTok"/>
        </w:rPr>
        <w:t xml:space="preserve">self</w:t>
      </w:r>
      <w:r>
        <w:rPr>
          <w:rStyle w:val="NormalTok"/>
        </w:rPr>
        <w:t xml:space="preserve">.</w:t>
      </w:r>
      <w:r>
        <w:rPr>
          <w:rStyle w:val="BuiltInTok"/>
        </w:rPr>
        <w:t xml:space="preserve">dir</w:t>
      </w:r>
      <w:r>
        <w:rPr>
          <w:rStyle w:val="NormalTok"/>
        </w:rPr>
        <w:t xml:space="preserve">, </w:t>
      </w:r>
      <w:r>
        <w:rPr>
          <w:rStyle w:val="StringTok"/>
        </w:rPr>
        <w:t xml:space="preserve">"MANIFEST.tmp"</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(tmp,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json.dump([os.path.basename(t.path)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VariableTok"/>
        </w:rPr>
        <w:t xml:space="preserve">self</w:t>
      </w:r>
      <w:r>
        <w:rPr>
          <w:rStyle w:val="NormalTok"/>
        </w:rPr>
        <w:t xml:space="preserve">.tables], f)</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.sync:</w:t>
      </w:r>
      <w:r>
        <w:br/>
      </w:r>
      <w:r>
        <w:rPr>
          <w:rStyle w:val="NormalTok"/>
        </w:rPr>
        <w:t xml:space="preserve">                f.flush()</w:t>
      </w:r>
      <w:r>
        <w:br/>
      </w:r>
      <w:r>
        <w:rPr>
          <w:rStyle w:val="NormalTok"/>
        </w:rPr>
        <w:t xml:space="preserve">                os.fsync(f.fileno())</w:t>
      </w:r>
      <w:r>
        <w:br/>
      </w:r>
      <w:r>
        <w:rPr>
          <w:rStyle w:val="NormalTok"/>
        </w:rPr>
        <w:t xml:space="preserve">        os.replace(tmp, os.path.join(</w:t>
      </w:r>
      <w:r>
        <w:rPr>
          <w:rStyle w:val="VariableTok"/>
        </w:rPr>
        <w:t xml:space="preserve">self</w:t>
      </w:r>
      <w:r>
        <w:rPr>
          <w:rStyle w:val="NormalTok"/>
        </w:rPr>
        <w:t xml:space="preserve">.</w:t>
      </w:r>
      <w:r>
        <w:rPr>
          <w:rStyle w:val="BuiltInTok"/>
        </w:rPr>
        <w:t xml:space="preserve">dir</w:t>
      </w:r>
      <w:r>
        <w:rPr>
          <w:rStyle w:val="NormalTok"/>
        </w:rPr>
        <w:t xml:space="preserve">, </w:t>
      </w:r>
      <w:r>
        <w:rPr>
          <w:rStyle w:val="StringTok"/>
        </w:rPr>
        <w:t xml:space="preserve">"MANIFEST"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.sync:</w:t>
      </w:r>
      <w:r>
        <w:br/>
      </w:r>
      <w:r>
        <w:rPr>
          <w:rStyle w:val="NormalTok"/>
        </w:rPr>
        <w:t xml:space="preserve">            _fsync_dir(</w:t>
      </w:r>
      <w:r>
        <w:rPr>
          <w:rStyle w:val="VariableTok"/>
        </w:rPr>
        <w:t xml:space="preserve">self</w:t>
      </w:r>
      <w:r>
        <w:rPr>
          <w:rStyle w:val="NormalTok"/>
        </w:rPr>
        <w:t xml:space="preserve">.</w:t>
      </w:r>
      <w:r>
        <w:rPr>
          <w:rStyle w:val="BuiltInTok"/>
        </w:rPr>
        <w:t xml:space="preserve">dir</w:t>
      </w:r>
      <w:r>
        <w:rPr>
          <w:rStyle w:val="NormalTok"/>
        </w:rPr>
        <w:t xml:space="preserve">)</w:t>
      </w:r>
      <w:r>
        <w:br/>
      </w:r>
      <w:r>
        <w:br/>
      </w:r>
      <w:r>
        <w:rPr>
          <w:rStyle w:val="NormalTok"/>
        </w:rPr>
        <w:t xml:space="preserve">    </w:t>
      </w:r>
      <w:r>
        <w:rPr>
          <w:rStyle w:val="CommentTok"/>
        </w:rPr>
        <w:t xml:space="preserve"># ---------- write path ----------</w:t>
      </w:r>
      <w:r>
        <w:br/>
      </w:r>
      <w:r>
        <w:rPr>
          <w:rStyle w:val="NormalTok"/>
        </w:rPr>
        <w:t xml:space="preserve">    </w:t>
      </w:r>
      <w:r>
        <w:rPr>
          <w:rStyle w:val="KeywordTok"/>
        </w:rPr>
        <w:t xml:space="preserve">def</w:t>
      </w:r>
      <w:r>
        <w:rPr>
          <w:rStyle w:val="NormalTok"/>
        </w:rPr>
        <w:t xml:space="preserve"> put(</w:t>
      </w:r>
      <w:r>
        <w:rPr>
          <w:rStyle w:val="VariableTok"/>
        </w:rPr>
        <w:t xml:space="preserve">self</w:t>
      </w:r>
      <w:r>
        <w:rPr>
          <w:rStyle w:val="NormalTok"/>
        </w:rPr>
        <w:t xml:space="preserve">, key, value):</w:t>
      </w:r>
      <w:r>
        <w:br/>
      </w:r>
      <w:r>
        <w:rPr>
          <w:rStyle w:val="NormalTok"/>
        </w:rPr>
        <w:t xml:space="preserve">        record </w:t>
      </w:r>
      <w:r>
        <w:rPr>
          <w:rStyle w:val="OperatorTok"/>
        </w:rPr>
        <w:t xml:space="preserve">=</w:t>
      </w:r>
      <w:r>
        <w:rPr>
          <w:rStyle w:val="NormalTok"/>
        </w:rPr>
        <w:t xml:space="preserve"> (json.dumps([key, value])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).encode()</w:t>
      </w:r>
      <w:r>
        <w:br/>
      </w:r>
      <w:r>
        <w:rPr>
          <w:rStyle w:val="NormalTok"/>
        </w:rPr>
        <w:t xml:space="preserve">        </w:t>
      </w:r>
      <w:r>
        <w:rPr>
          <w:rStyle w:val="VariableTok"/>
        </w:rPr>
        <w:t xml:space="preserve">self</w:t>
      </w:r>
      <w:r>
        <w:rPr>
          <w:rStyle w:val="NormalTok"/>
        </w:rPr>
        <w:t xml:space="preserve">.wal.write(record)                    </w:t>
      </w:r>
      <w:r>
        <w:rPr>
          <w:rStyle w:val="CommentTok"/>
        </w:rPr>
        <w:t xml:space="preserve"># 1. log first (write-ahead)</w:t>
      </w:r>
      <w:r>
        <w:br/>
      </w:r>
      <w:r>
        <w:rPr>
          <w:rStyle w:val="NormalTok"/>
        </w:rPr>
        <w:t xml:space="preserve">        </w:t>
      </w:r>
      <w:r>
        <w:rPr>
          <w:rStyle w:val="VariableTok"/>
        </w:rPr>
        <w:t xml:space="preserve">self</w:t>
      </w:r>
      <w:r>
        <w:rPr>
          <w:rStyle w:val="NormalTok"/>
        </w:rPr>
        <w:t xml:space="preserve">.wal.flush()</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.sync:</w:t>
      </w:r>
      <w:r>
        <w:br/>
      </w:r>
      <w:r>
        <w:rPr>
          <w:rStyle w:val="NormalTok"/>
        </w:rPr>
        <w:t xml:space="preserve">            os.fsync(</w:t>
      </w:r>
      <w:r>
        <w:rPr>
          <w:rStyle w:val="VariableTok"/>
        </w:rPr>
        <w:t xml:space="preserve">self</w:t>
      </w:r>
      <w:r>
        <w:rPr>
          <w:rStyle w:val="NormalTok"/>
        </w:rPr>
        <w:t xml:space="preserve">.wal.fileno())           </w:t>
      </w:r>
      <w:r>
        <w:rPr>
          <w:rStyle w:val="CommentTok"/>
        </w:rPr>
        <w:t xml:space="preserve">#    durable before we acknowledge</w:t>
      </w:r>
      <w:r>
        <w:br/>
      </w:r>
      <w:r>
        <w:rPr>
          <w:rStyle w:val="NormalTok"/>
        </w:rPr>
        <w:t xml:space="preserve">        </w:t>
      </w:r>
      <w:r>
        <w:rPr>
          <w:rStyle w:val="VariableTok"/>
        </w:rPr>
        <w:t xml:space="preserve">self</w:t>
      </w:r>
      <w:r>
        <w:rPr>
          <w:rStyle w:val="NormalTok"/>
        </w:rPr>
        <w:t xml:space="preserve">.stats[</w:t>
      </w:r>
      <w:r>
        <w:rPr>
          <w:rStyle w:val="StringTok"/>
        </w:rPr>
        <w:t xml:space="preserve">"user"</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(key) </w:t>
      </w:r>
      <w:r>
        <w:rPr>
          <w:rStyle w:val="OperatorTok"/>
        </w:rPr>
        <w:t xml:space="preserve">+</w:t>
      </w:r>
      <w:r>
        <w:rPr>
          <w:rStyle w:val="NormalTok"/>
        </w:rPr>
        <w:t xml:space="preserve"> </w:t>
      </w:r>
      <w:r>
        <w:rPr>
          <w:rStyle w:val="BuiltInTok"/>
        </w:rPr>
        <w:t xml:space="preserve">len</w:t>
      </w:r>
      <w:r>
        <w:rPr>
          <w:rStyle w:val="NormalTok"/>
        </w:rPr>
        <w:t xml:space="preserve">(value </w:t>
      </w:r>
      <w:r>
        <w:rPr>
          <w:rStyle w:val="KeywordTok"/>
        </w:rPr>
        <w:t xml:space="preserve">or</w:t>
      </w:r>
      <w:r>
        <w:rPr>
          <w:rStyle w:val="NormalTok"/>
        </w:rPr>
        <w:t xml:space="preserve"> </w:t>
      </w:r>
      <w:r>
        <w:rPr>
          <w:rStyle w:val="StringTok"/>
        </w:rPr>
        <w:t xml:space="preserve">""</w:t>
      </w:r>
      <w:r>
        <w:rPr>
          <w:rStyle w:val="NormalTok"/>
        </w:rPr>
        <w:t xml:space="preserve">)</w:t>
      </w:r>
      <w:r>
        <w:br/>
      </w:r>
      <w:r>
        <w:rPr>
          <w:rStyle w:val="NormalTok"/>
        </w:rPr>
        <w:t xml:space="preserve">        </w:t>
      </w:r>
      <w:r>
        <w:rPr>
          <w:rStyle w:val="VariableTok"/>
        </w:rPr>
        <w:t xml:space="preserve">self</w:t>
      </w:r>
      <w:r>
        <w:rPr>
          <w:rStyle w:val="NormalTok"/>
        </w:rPr>
        <w:t xml:space="preserve">.stats[</w:t>
      </w:r>
      <w:r>
        <w:rPr>
          <w:rStyle w:val="StringTok"/>
        </w:rPr>
        <w:t xml:space="preserve">"wal"</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(record)</w:t>
      </w:r>
      <w:r>
        <w:br/>
      </w:r>
      <w:r>
        <w:rPr>
          <w:rStyle w:val="NormalTok"/>
        </w:rPr>
        <w:t xml:space="preserve">        </w:t>
      </w:r>
      <w:r>
        <w:rPr>
          <w:rStyle w:val="VariableTok"/>
        </w:rPr>
        <w:t xml:space="preserve">self</w:t>
      </w:r>
      <w:r>
        <w:rPr>
          <w:rStyle w:val="NormalTok"/>
        </w:rPr>
        <w:t xml:space="preserve">.memtable[key] </w:t>
      </w:r>
      <w:r>
        <w:rPr>
          <w:rStyle w:val="OperatorTok"/>
        </w:rPr>
        <w:t xml:space="preserve">=</w:t>
      </w:r>
      <w:r>
        <w:rPr>
          <w:rStyle w:val="NormalTok"/>
        </w:rPr>
        <w:t xml:space="preserve"> value                </w:t>
      </w:r>
      <w:r>
        <w:rPr>
          <w:rStyle w:val="CommentTok"/>
        </w:rPr>
        <w:t xml:space="preserve"># 2. then apply to the memtable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.memtable) </w:t>
      </w:r>
      <w:r>
        <w:rPr>
          <w:rStyle w:val="OperatorTok"/>
        </w:rPr>
        <w:t xml:space="preserve">&gt;=</w:t>
      </w:r>
      <w:r>
        <w:rPr>
          <w:rStyle w:val="NormalTok"/>
        </w:rPr>
        <w:t xml:space="preserve"> </w:t>
      </w:r>
      <w:r>
        <w:rPr>
          <w:rStyle w:val="VariableTok"/>
        </w:rPr>
        <w:t xml:space="preserve">self</w:t>
      </w:r>
      <w:r>
        <w:rPr>
          <w:rStyle w:val="NormalTok"/>
        </w:rPr>
        <w:t xml:space="preserve">.limit:</w:t>
      </w:r>
      <w:r>
        <w:br/>
      </w:r>
      <w:r>
        <w:rPr>
          <w:rStyle w:val="NormalTok"/>
        </w:rPr>
        <w:t xml:space="preserve">            </w:t>
      </w:r>
      <w:r>
        <w:rPr>
          <w:rStyle w:val="VariableTok"/>
        </w:rPr>
        <w:t xml:space="preserve">self</w:t>
      </w:r>
      <w:r>
        <w:rPr>
          <w:rStyle w:val="NormalTok"/>
        </w:rPr>
        <w:t xml:space="preserve">.flush()</w:t>
      </w:r>
      <w:r>
        <w:br/>
      </w:r>
      <w:r>
        <w:br/>
      </w:r>
      <w:r>
        <w:rPr>
          <w:rStyle w:val="NormalTok"/>
        </w:rPr>
        <w:t xml:space="preserve">    </w:t>
      </w:r>
      <w:r>
        <w:rPr>
          <w:rStyle w:val="KeywordTok"/>
        </w:rPr>
        <w:t xml:space="preserve">def</w:t>
      </w:r>
      <w:r>
        <w:rPr>
          <w:rStyle w:val="NormalTok"/>
        </w:rPr>
        <w:t xml:space="preserve"> delete(</w:t>
      </w:r>
      <w:r>
        <w:rPr>
          <w:rStyle w:val="VariableTok"/>
        </w:rPr>
        <w:t xml:space="preserve">self</w:t>
      </w:r>
      <w:r>
        <w:rPr>
          <w:rStyle w:val="NormalTok"/>
        </w:rPr>
        <w:t xml:space="preserve">, key):</w:t>
      </w:r>
      <w:r>
        <w:br/>
      </w:r>
      <w:r>
        <w:rPr>
          <w:rStyle w:val="NormalTok"/>
        </w:rPr>
        <w:t xml:space="preserve">        </w:t>
      </w:r>
      <w:r>
        <w:rPr>
          <w:rStyle w:val="VariableTok"/>
        </w:rPr>
        <w:t xml:space="preserve">self</w:t>
      </w:r>
      <w:r>
        <w:rPr>
          <w:rStyle w:val="NormalTok"/>
        </w:rPr>
        <w:t xml:space="preserve">.put(key, TOMBSTONE)</w:t>
      </w:r>
      <w:r>
        <w:br/>
      </w:r>
      <w:r>
        <w:br/>
      </w:r>
      <w:r>
        <w:rPr>
          <w:rStyle w:val="NormalTok"/>
        </w:rPr>
        <w:t xml:space="preserve">    </w:t>
      </w:r>
      <w:r>
        <w:rPr>
          <w:rStyle w:val="KeywordTok"/>
        </w:rPr>
        <w:t xml:space="preserve">def</w:t>
      </w:r>
      <w:r>
        <w:rPr>
          <w:rStyle w:val="NormalTok"/>
        </w:rPr>
        <w:t xml:space="preserve"> _new_path(</w:t>
      </w:r>
      <w:r>
        <w:rPr>
          <w:rStyle w:val="VariableTok"/>
        </w:rPr>
        <w:t xml:space="preserve">self</w:t>
      </w:r>
      <w:r>
        <w:rPr>
          <w:rStyle w:val="NormalTok"/>
        </w:rPr>
        <w:t xml:space="preserve">):</w:t>
      </w:r>
      <w:r>
        <w:br/>
      </w:r>
      <w:r>
        <w:rPr>
          <w:rStyle w:val="NormalTok"/>
        </w:rPr>
        <w:t xml:space="preserve">        path </w:t>
      </w:r>
      <w:r>
        <w:rPr>
          <w:rStyle w:val="OperatorTok"/>
        </w:rPr>
        <w:t xml:space="preserve">=</w:t>
      </w:r>
      <w:r>
        <w:rPr>
          <w:rStyle w:val="NormalTok"/>
        </w:rPr>
        <w:t xml:space="preserve"> os.path.join(</w:t>
      </w:r>
      <w:r>
        <w:rPr>
          <w:rStyle w:val="VariableTok"/>
        </w:rPr>
        <w:t xml:space="preserve">self</w:t>
      </w:r>
      <w:r>
        <w:rPr>
          <w:rStyle w:val="NormalTok"/>
        </w:rPr>
        <w:t xml:space="preserve">.</w:t>
      </w:r>
      <w:r>
        <w:rPr>
          <w:rStyle w:val="BuiltInTok"/>
        </w:rPr>
        <w:t xml:space="preserve">dir</w:t>
      </w:r>
      <w:r>
        <w:rPr>
          <w:rStyle w:val="NormalTok"/>
        </w:rPr>
        <w:t xml:space="preserve">, </w:t>
      </w:r>
      <w:r>
        <w:rPr>
          <w:rStyle w:val="StringTok"/>
        </w:rPr>
        <w:t xml:space="preserve">"sst-</w:t>
      </w:r>
      <w:r>
        <w:rPr>
          <w:rStyle w:val="SpecialCharTok"/>
        </w:rPr>
        <w:t xml:space="preserve">%06d</w:t>
      </w:r>
      <w:r>
        <w:rPr>
          <w:rStyle w:val="StringTok"/>
        </w:rPr>
        <w:t xml:space="preserve">.jsonl"</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.next_id)</w:t>
      </w:r>
      <w:r>
        <w:br/>
      </w:r>
      <w:r>
        <w:rPr>
          <w:rStyle w:val="NormalTok"/>
        </w:rPr>
        <w:t xml:space="preserve">        </w:t>
      </w:r>
      <w:r>
        <w:rPr>
          <w:rStyle w:val="VariableTok"/>
        </w:rPr>
        <w:t xml:space="preserve">self</w:t>
      </w:r>
      <w:r>
        <w:rPr>
          <w:rStyle w:val="NormalTok"/>
        </w:rPr>
        <w:t xml:space="preserve">.next_id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path</w:t>
      </w:r>
      <w:r>
        <w:br/>
      </w:r>
      <w:r>
        <w:br/>
      </w:r>
      <w:r>
        <w:rPr>
          <w:rStyle w:val="NormalTok"/>
        </w:rPr>
        <w:t xml:space="preserve">    </w:t>
      </w:r>
      <w:r>
        <w:rPr>
          <w:rStyle w:val="KeywordTok"/>
        </w:rPr>
        <w:t xml:space="preserve">def</w:t>
      </w:r>
      <w:r>
        <w:rPr>
          <w:rStyle w:val="NormalTok"/>
        </w:rPr>
        <w:t xml:space="preserve"> flush(</w:t>
      </w:r>
      <w:r>
        <w:rPr>
          <w:rStyle w:val="VariableTok"/>
        </w:rPr>
        <w:t xml:space="preserve">self</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.memtable:</w:t>
      </w:r>
      <w:r>
        <w:br/>
      </w:r>
      <w:r>
        <w:rPr>
          <w:rStyle w:val="NormalTok"/>
        </w:rPr>
        <w:t xml:space="preserve">            </w:t>
      </w:r>
      <w:r>
        <w:rPr>
          <w:rStyle w:val="ControlFlowTok"/>
        </w:rPr>
        <w:t xml:space="preserve">return</w:t>
      </w:r>
      <w:r>
        <w:br/>
      </w:r>
      <w:r>
        <w:rPr>
          <w:rStyle w:val="NormalTok"/>
        </w:rPr>
        <w:t xml:space="preserve">        path </w:t>
      </w:r>
      <w:r>
        <w:rPr>
          <w:rStyle w:val="OperatorTok"/>
        </w:rPr>
        <w:t xml:space="preserve">=</w:t>
      </w:r>
      <w:r>
        <w:rPr>
          <w:rStyle w:val="NormalTok"/>
        </w:rPr>
        <w:t xml:space="preserve"> </w:t>
      </w:r>
      <w:r>
        <w:rPr>
          <w:rStyle w:val="VariableTok"/>
        </w:rPr>
        <w:t xml:space="preserve">self</w:t>
      </w:r>
      <w:r>
        <w:rPr>
          <w:rStyle w:val="NormalTok"/>
        </w:rPr>
        <w:t xml:space="preserve">._new_path()</w:t>
      </w:r>
      <w:r>
        <w:br/>
      </w:r>
      <w:r>
        <w:rPr>
          <w:rStyle w:val="NormalTok"/>
        </w:rPr>
        <w:t xml:space="preserve">        </w:t>
      </w:r>
      <w:r>
        <w:rPr>
          <w:rStyle w:val="VariableTok"/>
        </w:rPr>
        <w:t xml:space="preserve">self</w:t>
      </w:r>
      <w:r>
        <w:rPr>
          <w:rStyle w:val="NormalTok"/>
        </w:rPr>
        <w:t xml:space="preserve">.stats[</w:t>
      </w:r>
      <w:r>
        <w:rPr>
          <w:rStyle w:val="StringTok"/>
        </w:rPr>
        <w:t xml:space="preserve">"flush"</w:t>
      </w:r>
      <w:r>
        <w:rPr>
          <w:rStyle w:val="NormalTok"/>
        </w:rPr>
        <w:t xml:space="preserve">] </w:t>
      </w:r>
      <w:r>
        <w:rPr>
          <w:rStyle w:val="OperatorTok"/>
        </w:rPr>
        <w:t xml:space="preserve">+=</w:t>
      </w:r>
      <w:r>
        <w:rPr>
          <w:rStyle w:val="NormalTok"/>
        </w:rPr>
        <w:t xml:space="preserve"> SSTable.write(path, </w:t>
      </w:r>
      <w:r>
        <w:rPr>
          <w:rStyle w:val="BuiltInTok"/>
        </w:rPr>
        <w:t xml:space="preserve">sorted</w:t>
      </w:r>
      <w:r>
        <w:rPr>
          <w:rStyle w:val="NormalTok"/>
        </w:rPr>
        <w:t xml:space="preserve">(</w:t>
      </w:r>
      <w:r>
        <w:rPr>
          <w:rStyle w:val="VariableTok"/>
        </w:rPr>
        <w:t xml:space="preserve">self</w:t>
      </w:r>
      <w:r>
        <w:rPr>
          <w:rStyle w:val="NormalTok"/>
        </w:rPr>
        <w:t xml:space="preserve">.memtable.items()), </w:t>
      </w:r>
      <w:r>
        <w:rPr>
          <w:rStyle w:val="VariableTok"/>
        </w:rPr>
        <w:t xml:space="preserve">self</w:t>
      </w:r>
      <w:r>
        <w:rPr>
          <w:rStyle w:val="NormalTok"/>
        </w:rPr>
        <w:t xml:space="preserve">.sync)</w:t>
      </w:r>
      <w:r>
        <w:br/>
      </w:r>
      <w:r>
        <w:rPr>
          <w:rStyle w:val="NormalTok"/>
        </w:rPr>
        <w:t xml:space="preserve">        </w:t>
      </w:r>
      <w:r>
        <w:rPr>
          <w:rStyle w:val="VariableTok"/>
        </w:rPr>
        <w:t xml:space="preserve">self</w:t>
      </w:r>
      <w:r>
        <w:rPr>
          <w:rStyle w:val="NormalTok"/>
        </w:rPr>
        <w:t xml:space="preserve">.tables.append(SSTable(path))</w:t>
      </w:r>
      <w:r>
        <w:br/>
      </w:r>
      <w:r>
        <w:rPr>
          <w:rStyle w:val="NormalTok"/>
        </w:rPr>
        <w:t xml:space="preserve">        </w:t>
      </w:r>
      <w:r>
        <w:rPr>
          <w:rStyle w:val="VariableTok"/>
        </w:rPr>
        <w:t xml:space="preserve">self</w:t>
      </w:r>
      <w:r>
        <w:rPr>
          <w:rStyle w:val="NormalTok"/>
        </w:rPr>
        <w:t xml:space="preserve">._save_manifest()                     </w:t>
      </w:r>
      <w:r>
        <w:rPr>
          <w:rStyle w:val="CommentTok"/>
        </w:rPr>
        <w:t xml:space="preserve"># the new table is now part of the tree</w:t>
      </w:r>
      <w:r>
        <w:br/>
      </w:r>
      <w:r>
        <w:rPr>
          <w:rStyle w:val="NormalTok"/>
        </w:rPr>
        <w:t xml:space="preserve">        </w:t>
      </w:r>
      <w:r>
        <w:rPr>
          <w:rStyle w:val="VariableTok"/>
        </w:rPr>
        <w:t xml:space="preserve">self</w:t>
      </w:r>
      <w:r>
        <w:rPr>
          <w:rStyle w:val="NormalTok"/>
        </w:rPr>
        <w:t xml:space="preserve">.memtable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.wal.close()</w:t>
      </w:r>
      <w:r>
        <w:br/>
      </w:r>
      <w:r>
        <w:rPr>
          <w:rStyle w:val="NormalTok"/>
        </w:rPr>
        <w:t xml:space="preserve">        </w:t>
      </w:r>
      <w:r>
        <w:rPr>
          <w:rStyle w:val="VariableTok"/>
        </w:rPr>
        <w:t xml:space="preserve">self</w:t>
      </w:r>
      <w:r>
        <w:rPr>
          <w:rStyle w:val="NormalTok"/>
        </w:rPr>
        <w:t xml:space="preserve">.wal </w:t>
      </w:r>
      <w:r>
        <w:rPr>
          <w:rStyle w:val="OperatorTok"/>
        </w:rPr>
        <w:t xml:space="preserve">=</w:t>
      </w:r>
      <w:r>
        <w:rPr>
          <w:rStyle w:val="NormalTok"/>
        </w:rPr>
        <w:t xml:space="preserve"> </w:t>
      </w:r>
      <w:r>
        <w:rPr>
          <w:rStyle w:val="BuiltInTok"/>
        </w:rPr>
        <w:t xml:space="preserve">open</w:t>
      </w:r>
      <w:r>
        <w:rPr>
          <w:rStyle w:val="NormalTok"/>
        </w:rPr>
        <w:t xml:space="preserve">(</w:t>
      </w:r>
      <w:r>
        <w:rPr>
          <w:rStyle w:val="VariableTok"/>
        </w:rPr>
        <w:t xml:space="preserve">self</w:t>
      </w:r>
      <w:r>
        <w:rPr>
          <w:rStyle w:val="NormalTok"/>
        </w:rPr>
        <w:t xml:space="preserve">.wal_path, </w:t>
      </w:r>
      <w:r>
        <w:rPr>
          <w:rStyle w:val="StringTok"/>
        </w:rPr>
        <w:t xml:space="preserve">"wb"</w:t>
      </w:r>
      <w:r>
        <w:rPr>
          <w:rStyle w:val="NormalTok"/>
        </w:rPr>
        <w:t xml:space="preserve">)      </w:t>
      </w:r>
      <w:r>
        <w:rPr>
          <w:rStyle w:val="CommentTok"/>
        </w:rPr>
        <w:t xml:space="preserve"># its records are in the SSTable: truncate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.tables) </w:t>
      </w:r>
      <w:r>
        <w:rPr>
          <w:rStyle w:val="OperatorTok"/>
        </w:rPr>
        <w:t xml:space="preserve">&gt;=</w:t>
      </w:r>
      <w:r>
        <w:rPr>
          <w:rStyle w:val="NormalTok"/>
        </w:rPr>
        <w:t xml:space="preserve"> </w:t>
      </w:r>
      <w:r>
        <w:rPr>
          <w:rStyle w:val="VariableTok"/>
        </w:rPr>
        <w:t xml:space="preserve">self</w:t>
      </w:r>
      <w:r>
        <w:rPr>
          <w:rStyle w:val="NormalTok"/>
        </w:rPr>
        <w:t xml:space="preserve">.compact_at:</w:t>
      </w:r>
      <w:r>
        <w:br/>
      </w:r>
      <w:r>
        <w:rPr>
          <w:rStyle w:val="NormalTok"/>
        </w:rPr>
        <w:t xml:space="preserve">            </w:t>
      </w:r>
      <w:r>
        <w:rPr>
          <w:rStyle w:val="VariableTok"/>
        </w:rPr>
        <w:t xml:space="preserve">self</w:t>
      </w:r>
      <w:r>
        <w:rPr>
          <w:rStyle w:val="NormalTok"/>
        </w:rPr>
        <w:t xml:space="preserve">.compact()</w:t>
      </w:r>
      <w:r>
        <w:br/>
      </w:r>
      <w:r>
        <w:br/>
      </w:r>
      <w:r>
        <w:rPr>
          <w:rStyle w:val="NormalTok"/>
        </w:rPr>
        <w:t xml:space="preserve">    </w:t>
      </w:r>
      <w:r>
        <w:rPr>
          <w:rStyle w:val="KeywordTok"/>
        </w:rPr>
        <w:t xml:space="preserve">def</w:t>
      </w:r>
      <w:r>
        <w:rPr>
          <w:rStyle w:val="NormalTok"/>
        </w:rPr>
        <w:t xml:space="preserve"> compact(</w:t>
      </w:r>
      <w:r>
        <w:rPr>
          <w:rStyle w:val="VariableTok"/>
        </w:rPr>
        <w:t xml:space="preserve">self</w:t>
      </w:r>
      <w:r>
        <w:rPr>
          <w:rStyle w:val="NormalTok"/>
        </w:rPr>
        <w:t xml:space="preserve">):</w:t>
      </w:r>
      <w:r>
        <w:br/>
      </w:r>
      <w:r>
        <w:rPr>
          <w:rStyle w:val="NormalTok"/>
        </w:rPr>
        <w:t xml:space="preserve">        </w:t>
      </w:r>
      <w:r>
        <w:rPr>
          <w:rStyle w:val="CommentTok"/>
        </w:rPr>
        <w:t xml:space="preserve">"""Full merge of every SSTable into one. Newest version of each key wins;</w:t>
      </w:r>
      <w:r>
        <w:br/>
      </w:r>
      <w:r>
        <w:rPr>
          <w:rStyle w:val="CommentTok"/>
        </w:rPr>
        <w:t xml:space="preserve">        tombstones are dropped because no older table remains below the output."""</w:t>
      </w:r>
      <w:r>
        <w:br/>
      </w:r>
      <w:r>
        <w:rPr>
          <w:rStyle w:val="NormalTok"/>
        </w:rPr>
        <w:t xml:space="preserve">        </w:t>
      </w:r>
      <w:r>
        <w:rPr>
          <w:rStyle w:val="KeywordTok"/>
        </w:rPr>
        <w:t xml:space="preserve">def</w:t>
      </w:r>
      <w:r>
        <w:rPr>
          <w:rStyle w:val="NormalTok"/>
        </w:rPr>
        <w:t xml:space="preserve"> tagged(age, table):                   </w:t>
      </w:r>
      <w:r>
        <w:rPr>
          <w:rStyle w:val="CommentTok"/>
        </w:rPr>
        <w:t xml:space="preserve"># age 0 = newest</w:t>
      </w:r>
      <w:r>
        <w:br/>
      </w:r>
      <w:r>
        <w:rPr>
          <w:rStyle w:val="NormalTok"/>
        </w:rPr>
        <w:t xml:space="preserve">            </w:t>
      </w:r>
      <w:r>
        <w:rPr>
          <w:rStyle w:val="ControlFlowTok"/>
        </w:rPr>
        <w:t xml:space="preserve">for</w:t>
      </w:r>
      <w:r>
        <w:rPr>
          <w:rStyle w:val="NormalTok"/>
        </w:rPr>
        <w:t xml:space="preserve"> k, v </w:t>
      </w:r>
      <w:r>
        <w:rPr>
          <w:rStyle w:val="KeywordTok"/>
        </w:rPr>
        <w:t xml:space="preserve">in</w:t>
      </w:r>
      <w:r>
        <w:rPr>
          <w:rStyle w:val="NormalTok"/>
        </w:rPr>
        <w:t xml:space="preserve"> table.scan():</w:t>
      </w:r>
      <w:r>
        <w:br/>
      </w:r>
      <w:r>
        <w:rPr>
          <w:rStyle w:val="NormalTok"/>
        </w:rPr>
        <w:t xml:space="preserve">                </w:t>
      </w:r>
      <w:r>
        <w:rPr>
          <w:rStyle w:val="ControlFlowTok"/>
        </w:rPr>
        <w:t xml:space="preserve">yield</w:t>
      </w:r>
      <w:r>
        <w:rPr>
          <w:rStyle w:val="NormalTok"/>
        </w:rPr>
        <w:t xml:space="preserve"> k, age, v</w:t>
      </w:r>
      <w:r>
        <w:br/>
      </w:r>
      <w:r>
        <w:rPr>
          <w:rStyle w:val="NormalTok"/>
        </w:rPr>
        <w:t xml:space="preserve">        streams </w:t>
      </w:r>
      <w:r>
        <w:rPr>
          <w:rStyle w:val="OperatorTok"/>
        </w:rPr>
        <w:t xml:space="preserve">=</w:t>
      </w:r>
      <w:r>
        <w:rPr>
          <w:rStyle w:val="NormalTok"/>
        </w:rPr>
        <w:t xml:space="preserve"> [tagged(age, t) </w:t>
      </w:r>
      <w:r>
        <w:rPr>
          <w:rStyle w:val="ControlFlowTok"/>
        </w:rPr>
        <w:t xml:space="preserve">for</w:t>
      </w:r>
      <w:r>
        <w:rPr>
          <w:rStyle w:val="NormalTok"/>
        </w:rPr>
        <w:t xml:space="preserve"> age, t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BuiltInTok"/>
        </w:rPr>
        <w:t xml:space="preserve">reversed</w:t>
      </w:r>
      <w:r>
        <w:rPr>
          <w:rStyle w:val="NormalTok"/>
        </w:rPr>
        <w:t xml:space="preserve">(</w:t>
      </w:r>
      <w:r>
        <w:rPr>
          <w:rStyle w:val="VariableTok"/>
        </w:rPr>
        <w:t xml:space="preserve">self</w:t>
      </w:r>
      <w:r>
        <w:rPr>
          <w:rStyle w:val="NormalTok"/>
        </w:rPr>
        <w:t xml:space="preserve">.tables))]</w:t>
      </w:r>
      <w:r>
        <w:br/>
      </w:r>
      <w:r>
        <w:rPr>
          <w:rStyle w:val="NormalTok"/>
        </w:rPr>
        <w:t xml:space="preserve">        merged, last </w:t>
      </w:r>
      <w:r>
        <w:rPr>
          <w:rStyle w:val="OperatorTok"/>
        </w:rPr>
        <w:t xml:space="preserve">=</w:t>
      </w:r>
      <w:r>
        <w:rPr>
          <w:rStyle w:val="NormalTok"/>
        </w:rPr>
        <w:t xml:space="preserve"> [], </w:t>
      </w:r>
      <w:r>
        <w:rPr>
          <w:rStyle w:val="BuiltInTok"/>
        </w:rPr>
        <w:t xml:space="preserve">object</w:t>
      </w:r>
      <w:r>
        <w:rPr>
          <w:rStyle w:val="NormalTok"/>
        </w:rPr>
        <w:t xml:space="preserve">()</w:t>
      </w:r>
      <w:r>
        <w:br/>
      </w:r>
      <w:r>
        <w:rPr>
          <w:rStyle w:val="NormalTok"/>
        </w:rPr>
        <w:t xml:space="preserve">        </w:t>
      </w:r>
      <w:r>
        <w:rPr>
          <w:rStyle w:val="ControlFlowTok"/>
        </w:rPr>
        <w:t xml:space="preserve">for</w:t>
      </w:r>
      <w:r>
        <w:rPr>
          <w:rStyle w:val="NormalTok"/>
        </w:rPr>
        <w:t xml:space="preserve"> k, _, v </w:t>
      </w:r>
      <w:r>
        <w:rPr>
          <w:rStyle w:val="KeywordTok"/>
        </w:rPr>
        <w:t xml:space="preserve">in</w:t>
      </w:r>
      <w:r>
        <w:rPr>
          <w:rStyle w:val="NormalTok"/>
        </w:rPr>
        <w:t xml:space="preserve"> heapq.merge(</w:t>
      </w:r>
      <w:r>
        <w:rPr>
          <w:rStyle w:val="OperatorTok"/>
        </w:rPr>
        <w:t xml:space="preserve">*</w:t>
      </w:r>
      <w:r>
        <w:rPr>
          <w:rStyle w:val="NormalTok"/>
        </w:rPr>
        <w:t xml:space="preserve">streams):     </w:t>
      </w:r>
      <w:r>
        <w:rPr>
          <w:rStyle w:val="CommentTok"/>
        </w:rPr>
        <w:t xml:space="preserve"># sorted by key, then newest first</w:t>
      </w:r>
      <w:r>
        <w:br/>
      </w:r>
      <w:r>
        <w:rPr>
          <w:rStyle w:val="NormalTok"/>
        </w:rPr>
        <w:t xml:space="preserve">            </w:t>
      </w:r>
      <w:r>
        <w:rPr>
          <w:rStyle w:val="ControlFlowTok"/>
        </w:rPr>
        <w:t xml:space="preserve">if</w:t>
      </w:r>
      <w:r>
        <w:rPr>
          <w:rStyle w:val="NormalTok"/>
        </w:rPr>
        <w:t xml:space="preserve"> k </w:t>
      </w:r>
      <w:r>
        <w:rPr>
          <w:rStyle w:val="OperatorTok"/>
        </w:rPr>
        <w:t xml:space="preserve">!=</w:t>
      </w:r>
      <w:r>
        <w:rPr>
          <w:rStyle w:val="NormalTok"/>
        </w:rPr>
        <w:t xml:space="preserve"> last:</w:t>
      </w:r>
      <w:r>
        <w:br/>
      </w:r>
      <w:r>
        <w:rPr>
          <w:rStyle w:val="NormalTok"/>
        </w:rPr>
        <w:t xml:space="preserve">                last </w:t>
      </w:r>
      <w:r>
        <w:rPr>
          <w:rStyle w:val="OperatorTok"/>
        </w:rPr>
        <w:t xml:space="preserve">=</w:t>
      </w:r>
      <w:r>
        <w:rPr>
          <w:rStyle w:val="NormalTok"/>
        </w:rPr>
        <w:t xml:space="preserve"> k</w:t>
      </w:r>
      <w:r>
        <w:br/>
      </w:r>
      <w:r>
        <w:rPr>
          <w:rStyle w:val="NormalTok"/>
        </w:rPr>
        <w:t xml:space="preserve">                </w:t>
      </w:r>
      <w:r>
        <w:rPr>
          <w:rStyle w:val="ControlFlowTok"/>
        </w:rPr>
        <w:t xml:space="preserve">if</w:t>
      </w:r>
      <w:r>
        <w:rPr>
          <w:rStyle w:val="NormalTok"/>
        </w:rPr>
        <w:t xml:space="preserve"> v </w:t>
      </w:r>
      <w:r>
        <w:rPr>
          <w:rStyle w:val="KeywordTok"/>
        </w:rPr>
        <w:t xml:space="preserve">is</w:t>
      </w:r>
      <w:r>
        <w:rPr>
          <w:rStyle w:val="NormalTok"/>
        </w:rPr>
        <w:t xml:space="preserve"> </w:t>
      </w:r>
      <w:r>
        <w:rPr>
          <w:rStyle w:val="KeywordTok"/>
        </w:rPr>
        <w:t xml:space="preserve">not</w:t>
      </w:r>
      <w:r>
        <w:rPr>
          <w:rStyle w:val="NormalTok"/>
        </w:rPr>
        <w:t xml:space="preserve"> TOMBSTONE:</w:t>
      </w:r>
      <w:r>
        <w:br/>
      </w:r>
      <w:r>
        <w:rPr>
          <w:rStyle w:val="NormalTok"/>
        </w:rPr>
        <w:t xml:space="preserve">                    merged.append((k, v))</w:t>
      </w:r>
      <w:r>
        <w:br/>
      </w:r>
      <w:r>
        <w:rPr>
          <w:rStyle w:val="NormalTok"/>
        </w:rPr>
        <w:t xml:space="preserve">        path </w:t>
      </w:r>
      <w:r>
        <w:rPr>
          <w:rStyle w:val="OperatorTok"/>
        </w:rPr>
        <w:t xml:space="preserve">=</w:t>
      </w:r>
      <w:r>
        <w:rPr>
          <w:rStyle w:val="NormalTok"/>
        </w:rPr>
        <w:t xml:space="preserve"> </w:t>
      </w:r>
      <w:r>
        <w:rPr>
          <w:rStyle w:val="VariableTok"/>
        </w:rPr>
        <w:t xml:space="preserve">self</w:t>
      </w:r>
      <w:r>
        <w:rPr>
          <w:rStyle w:val="NormalTok"/>
        </w:rPr>
        <w:t xml:space="preserve">._new_path()</w:t>
      </w:r>
      <w:r>
        <w:br/>
      </w:r>
      <w:r>
        <w:rPr>
          <w:rStyle w:val="NormalTok"/>
        </w:rPr>
        <w:t xml:space="preserve">        </w:t>
      </w:r>
      <w:r>
        <w:rPr>
          <w:rStyle w:val="VariableTok"/>
        </w:rPr>
        <w:t xml:space="preserve">self</w:t>
      </w:r>
      <w:r>
        <w:rPr>
          <w:rStyle w:val="NormalTok"/>
        </w:rPr>
        <w:t xml:space="preserve">.stats[</w:t>
      </w:r>
      <w:r>
        <w:rPr>
          <w:rStyle w:val="StringTok"/>
        </w:rPr>
        <w:t xml:space="preserve">"compaction"</w:t>
      </w:r>
      <w:r>
        <w:rPr>
          <w:rStyle w:val="NormalTok"/>
        </w:rPr>
        <w:t xml:space="preserve">] </w:t>
      </w:r>
      <w:r>
        <w:rPr>
          <w:rStyle w:val="OperatorTok"/>
        </w:rPr>
        <w:t xml:space="preserve">+=</w:t>
      </w:r>
      <w:r>
        <w:rPr>
          <w:rStyle w:val="NormalTok"/>
        </w:rPr>
        <w:t xml:space="preserve"> SSTable.write(path, merged, </w:t>
      </w:r>
      <w:r>
        <w:rPr>
          <w:rStyle w:val="VariableTok"/>
        </w:rPr>
        <w:t xml:space="preserve">self</w:t>
      </w:r>
      <w:r>
        <w:rPr>
          <w:rStyle w:val="NormalTok"/>
        </w:rPr>
        <w:t xml:space="preserve">.sync)</w:t>
      </w:r>
      <w:r>
        <w:br/>
      </w:r>
      <w:r>
        <w:rPr>
          <w:rStyle w:val="NormalTok"/>
        </w:rPr>
        <w:t xml:space="preserve">        old, </w:t>
      </w:r>
      <w:r>
        <w:rPr>
          <w:rStyle w:val="VariableTok"/>
        </w:rPr>
        <w:t xml:space="preserve">self</w:t>
      </w:r>
      <w:r>
        <w:rPr>
          <w:rStyle w:val="NormalTok"/>
        </w:rPr>
        <w:t xml:space="preserve">.tables </w:t>
      </w:r>
      <w:r>
        <w:rPr>
          <w:rStyle w:val="OperatorTok"/>
        </w:rPr>
        <w:t xml:space="preserve">=</w:t>
      </w:r>
      <w:r>
        <w:rPr>
          <w:rStyle w:val="NormalTok"/>
        </w:rPr>
        <w:t xml:space="preserve"> </w:t>
      </w:r>
      <w:r>
        <w:rPr>
          <w:rStyle w:val="VariableTok"/>
        </w:rPr>
        <w:t xml:space="preserve">self</w:t>
      </w:r>
      <w:r>
        <w:rPr>
          <w:rStyle w:val="NormalTok"/>
        </w:rPr>
        <w:t xml:space="preserve">.tables, [SSTable(path)]</w:t>
      </w:r>
      <w:r>
        <w:br/>
      </w:r>
      <w:r>
        <w:rPr>
          <w:rStyle w:val="NormalTok"/>
        </w:rPr>
        <w:t xml:space="preserve">        </w:t>
      </w:r>
      <w:r>
        <w:rPr>
          <w:rStyle w:val="VariableTok"/>
        </w:rPr>
        <w:t xml:space="preserve">self</w:t>
      </w:r>
      <w:r>
        <w:rPr>
          <w:rStyle w:val="NormalTok"/>
        </w:rPr>
        <w:t xml:space="preserve">._save_manifest()                     </w:t>
      </w:r>
      <w:r>
        <w:rPr>
          <w:rStyle w:val="CommentTok"/>
        </w:rPr>
        <w:t xml:space="preserve"># switch atomically, then delete inputs</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old:</w:t>
      </w:r>
      <w:r>
        <w:br/>
      </w:r>
      <w:r>
        <w:rPr>
          <w:rStyle w:val="NormalTok"/>
        </w:rPr>
        <w:t xml:space="preserve">            os.remove(t.path)</w:t>
      </w:r>
      <w:r>
        <w:br/>
      </w:r>
      <w:r>
        <w:br/>
      </w:r>
      <w:r>
        <w:rPr>
          <w:rStyle w:val="NormalTok"/>
        </w:rPr>
        <w:t xml:space="preserve">    </w:t>
      </w:r>
      <w:r>
        <w:rPr>
          <w:rStyle w:val="CommentTok"/>
        </w:rPr>
        <w:t xml:space="preserve"># ---------- read path ----------</w:t>
      </w:r>
      <w:r>
        <w:br/>
      </w:r>
      <w:r>
        <w:rPr>
          <w:rStyle w:val="NormalTok"/>
        </w:rPr>
        <w:t xml:space="preserve">    </w:t>
      </w:r>
      <w:r>
        <w:rPr>
          <w:rStyle w:val="KeywordTok"/>
        </w:rPr>
        <w:t xml:space="preserve">def</w:t>
      </w:r>
      <w:r>
        <w:rPr>
          <w:rStyle w:val="NormalTok"/>
        </w:rPr>
        <w:t xml:space="preserve"> get(</w:t>
      </w:r>
      <w:r>
        <w:rPr>
          <w:rStyle w:val="VariableTok"/>
        </w:rPr>
        <w:t xml:space="preserve">self</w:t>
      </w:r>
      <w:r>
        <w:rPr>
          <w:rStyle w:val="NormalTok"/>
        </w:rPr>
        <w:t xml:space="preserve">, key):</w:t>
      </w:r>
      <w:r>
        <w:br/>
      </w:r>
      <w:r>
        <w:rPr>
          <w:rStyle w:val="NormalTok"/>
        </w:rPr>
        <w:t xml:space="preserve">        </w:t>
      </w:r>
      <w:r>
        <w:rPr>
          <w:rStyle w:val="ControlFlowTok"/>
        </w:rPr>
        <w:t xml:space="preserve">if</w:t>
      </w:r>
      <w:r>
        <w:rPr>
          <w:rStyle w:val="NormalTok"/>
        </w:rPr>
        <w:t xml:space="preserve"> key </w:t>
      </w:r>
      <w:r>
        <w:rPr>
          <w:rStyle w:val="KeywordTok"/>
        </w:rPr>
        <w:t xml:space="preserve">in</w:t>
      </w:r>
      <w:r>
        <w:rPr>
          <w:rStyle w:val="NormalTok"/>
        </w:rPr>
        <w:t xml:space="preserve"> </w:t>
      </w:r>
      <w:r>
        <w:rPr>
          <w:rStyle w:val="VariableTok"/>
        </w:rPr>
        <w:t xml:space="preserve">self</w:t>
      </w:r>
      <w:r>
        <w:rPr>
          <w:rStyle w:val="NormalTok"/>
        </w:rPr>
        <w:t xml:space="preserve">.memtable: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.memtable[key]             </w:t>
      </w:r>
      <w:r>
        <w:rPr>
          <w:rStyle w:val="CommentTok"/>
        </w:rPr>
        <w:t xml:space="preserve"># may be TOMBSTONE -&gt; None</w:t>
      </w:r>
      <w:r>
        <w:br/>
      </w:r>
      <w:r>
        <w:rPr>
          <w:rStyle w:val="NormalTok"/>
        </w:rPr>
        <w:t xml:space="preserve">        </w:t>
      </w:r>
      <w:r>
        <w:rPr>
          <w:rStyle w:val="ControlFlowTok"/>
        </w:rPr>
        <w:t xml:space="preserve">for</w:t>
      </w:r>
      <w:r>
        <w:rPr>
          <w:rStyle w:val="NormalTok"/>
        </w:rPr>
        <w:t xml:space="preserve"> table </w:t>
      </w:r>
      <w:r>
        <w:rPr>
          <w:rStyle w:val="KeywordTok"/>
        </w:rPr>
        <w:t xml:space="preserve">in</w:t>
      </w:r>
      <w:r>
        <w:rPr>
          <w:rStyle w:val="NormalTok"/>
        </w:rPr>
        <w:t xml:space="preserve"> </w:t>
      </w:r>
      <w:r>
        <w:rPr>
          <w:rStyle w:val="BuiltInTok"/>
        </w:rPr>
        <w:t xml:space="preserve">reversed</w:t>
      </w:r>
      <w:r>
        <w:rPr>
          <w:rStyle w:val="NormalTok"/>
        </w:rPr>
        <w:t xml:space="preserve">(</w:t>
      </w:r>
      <w:r>
        <w:rPr>
          <w:rStyle w:val="VariableTok"/>
        </w:rPr>
        <w:t xml:space="preserve">self</w:t>
      </w:r>
      <w:r>
        <w:rPr>
          <w:rStyle w:val="NormalTok"/>
        </w:rPr>
        <w:t xml:space="preserve">.tables):       </w:t>
      </w:r>
      <w:r>
        <w:rPr>
          <w:rStyle w:val="CommentTok"/>
        </w:rPr>
        <w:t xml:space="preserve"># newest to oldest</w:t>
      </w:r>
      <w:r>
        <w:br/>
      </w:r>
      <w:r>
        <w:rPr>
          <w:rStyle w:val="NormalTok"/>
        </w:rPr>
        <w:t xml:space="preserve">            found, value </w:t>
      </w:r>
      <w:r>
        <w:rPr>
          <w:rStyle w:val="OperatorTok"/>
        </w:rPr>
        <w:t xml:space="preserve">=</w:t>
      </w:r>
      <w:r>
        <w:rPr>
          <w:rStyle w:val="NormalTok"/>
        </w:rPr>
        <w:t xml:space="preserve"> table.get(key)</w:t>
      </w:r>
      <w:r>
        <w:br/>
      </w:r>
      <w:r>
        <w:rPr>
          <w:rStyle w:val="NormalTok"/>
        </w:rPr>
        <w:t xml:space="preserve">            </w:t>
      </w:r>
      <w:r>
        <w:rPr>
          <w:rStyle w:val="ControlFlowTok"/>
        </w:rPr>
        <w:t xml:space="preserve">if</w:t>
      </w:r>
      <w:r>
        <w:rPr>
          <w:rStyle w:val="NormalTok"/>
        </w:rPr>
        <w:t xml:space="preserve"> found:</w:t>
      </w:r>
      <w:r>
        <w:br/>
      </w:r>
      <w:r>
        <w:rPr>
          <w:rStyle w:val="NormalTok"/>
        </w:rPr>
        <w:t xml:space="preserve">                </w:t>
      </w:r>
      <w:r>
        <w:rPr>
          <w:rStyle w:val="ControlFlowTok"/>
        </w:rPr>
        <w:t xml:space="preserve">return</w:t>
      </w:r>
      <w:r>
        <w:rPr>
          <w:rStyle w:val="NormalTok"/>
        </w:rPr>
        <w:t xml:space="preserve"> value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write_amplification(</w:t>
      </w:r>
      <w:r>
        <w:rPr>
          <w:rStyle w:val="VariableTok"/>
        </w:rPr>
        <w:t xml:space="preserve">self</w:t>
      </w:r>
      <w:r>
        <w:rPr>
          <w:rStyle w:val="NormalTok"/>
        </w:rPr>
        <w:t xml:space="preserve">):</w:t>
      </w:r>
      <w:r>
        <w:br/>
      </w:r>
      <w:r>
        <w:rPr>
          <w:rStyle w:val="NormalTok"/>
        </w:rPr>
        <w:t xml:space="preserve">        disk </w:t>
      </w:r>
      <w:r>
        <w:rPr>
          <w:rStyle w:val="OperatorTok"/>
        </w:rPr>
        <w:t xml:space="preserve">=</w:t>
      </w:r>
      <w:r>
        <w:rPr>
          <w:rStyle w:val="NormalTok"/>
        </w:rPr>
        <w:t xml:space="preserve"> </w:t>
      </w:r>
      <w:r>
        <w:rPr>
          <w:rStyle w:val="VariableTok"/>
        </w:rPr>
        <w:t xml:space="preserve">self</w:t>
      </w:r>
      <w:r>
        <w:rPr>
          <w:rStyle w:val="NormalTok"/>
        </w:rPr>
        <w:t xml:space="preserve">.stats[</w:t>
      </w:r>
      <w:r>
        <w:rPr>
          <w:rStyle w:val="StringTok"/>
        </w:rPr>
        <w:t xml:space="preserve">"wal"</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.stats[</w:t>
      </w:r>
      <w:r>
        <w:rPr>
          <w:rStyle w:val="StringTok"/>
        </w:rPr>
        <w:t xml:space="preserve">"flush"</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.stats[</w:t>
      </w:r>
      <w:r>
        <w:rPr>
          <w:rStyle w:val="StringTok"/>
        </w:rPr>
        <w:t xml:space="preserve">"compaction"</w:t>
      </w:r>
      <w:r>
        <w:rPr>
          <w:rStyle w:val="NormalTok"/>
        </w:rPr>
        <w:t xml:space="preserve">]</w:t>
      </w:r>
      <w:r>
        <w:br/>
      </w:r>
      <w:r>
        <w:rPr>
          <w:rStyle w:val="NormalTok"/>
        </w:rPr>
        <w:t xml:space="preserve">        </w:t>
      </w:r>
      <w:r>
        <w:rPr>
          <w:rStyle w:val="ControlFlowTok"/>
        </w:rPr>
        <w:t xml:space="preserve">return</w:t>
      </w:r>
      <w:r>
        <w:rPr>
          <w:rStyle w:val="NormalTok"/>
        </w:rPr>
        <w:t xml:space="preserve"> disk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1</w:t>
      </w:r>
      <w:r>
        <w:rPr>
          <w:rStyle w:val="NormalTok"/>
        </w:rPr>
        <w:t xml:space="preserve">, </w:t>
      </w:r>
      <w:r>
        <w:rPr>
          <w:rStyle w:val="VariableTok"/>
        </w:rPr>
        <w:t xml:space="preserve">self</w:t>
      </w:r>
      <w:r>
        <w:rPr>
          <w:rStyle w:val="NormalTok"/>
        </w:rPr>
        <w:t xml:space="preserve">.stats[</w:t>
      </w:r>
      <w:r>
        <w:rPr>
          <w:rStyle w:val="StringTok"/>
        </w:rPr>
        <w:t xml:space="preserve">"user"</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ImportTok"/>
        </w:rPr>
        <w:t xml:space="preserve">import</w:t>
      </w:r>
      <w:r>
        <w:rPr>
          <w:rStyle w:val="NormalTok"/>
        </w:rPr>
        <w:t xml:space="preserve"> random</w:t>
      </w:r>
      <w:r>
        <w:br/>
      </w:r>
      <w:r>
        <w:rPr>
          <w:rStyle w:val="NormalTok"/>
        </w:rPr>
        <w:t xml:space="preserve">    </w:t>
      </w:r>
      <w:r>
        <w:rPr>
          <w:rStyle w:val="ImportTok"/>
        </w:rPr>
        <w:t xml:space="preserve">import</w:t>
      </w:r>
      <w:r>
        <w:rPr>
          <w:rStyle w:val="NormalTok"/>
        </w:rPr>
        <w:t xml:space="preserve"> tempfile</w:t>
      </w:r>
      <w:r>
        <w:br/>
      </w:r>
      <w:r>
        <w:br/>
      </w:r>
      <w:r>
        <w:rPr>
          <w:rStyle w:val="NormalTok"/>
        </w:rPr>
        <w:t xml:space="preserve">    rng </w:t>
      </w:r>
      <w:r>
        <w:rPr>
          <w:rStyle w:val="OperatorTok"/>
        </w:rPr>
        <w:t xml:space="preserve">=</w:t>
      </w:r>
      <w:r>
        <w:rPr>
          <w:rStyle w:val="NormalTok"/>
        </w:rPr>
        <w:t xml:space="preserve"> random.Random(</w:t>
      </w:r>
      <w:r>
        <w:rPr>
          <w:rStyle w:val="DecValTok"/>
        </w:rPr>
        <w:t xml:space="preserve">13</w:t>
      </w:r>
      <w:r>
        <w:rPr>
          <w:rStyle w:val="NormalTok"/>
        </w:rPr>
        <w:t xml:space="preserve">)</w:t>
      </w:r>
      <w:r>
        <w:br/>
      </w:r>
      <w:r>
        <w:rPr>
          <w:rStyle w:val="NormalTok"/>
        </w:rPr>
        <w:t xml:space="preserve">    </w:t>
      </w:r>
      <w:r>
        <w:rPr>
          <w:rStyle w:val="ControlFlowTok"/>
        </w:rPr>
        <w:t xml:space="preserve">with</w:t>
      </w:r>
      <w:r>
        <w:rPr>
          <w:rStyle w:val="NormalTok"/>
        </w:rPr>
        <w:t xml:space="preserve"> tempfile.TemporaryDirectory() </w:t>
      </w:r>
      <w:r>
        <w:rPr>
          <w:rStyle w:val="ImportTok"/>
        </w:rPr>
        <w:t xml:space="preserve">as</w:t>
      </w:r>
      <w:r>
        <w:rPr>
          <w:rStyle w:val="NormalTok"/>
        </w:rPr>
        <w:t xml:space="preserve"> d:</w:t>
      </w:r>
      <w:r>
        <w:br/>
      </w:r>
      <w:r>
        <w:rPr>
          <w:rStyle w:val="NormalTok"/>
        </w:rPr>
        <w:t xml:space="preserve">        db, model </w:t>
      </w:r>
      <w:r>
        <w:rPr>
          <w:rStyle w:val="OperatorTok"/>
        </w:rPr>
        <w:t xml:space="preserve">=</w:t>
      </w:r>
      <w:r>
        <w:rPr>
          <w:rStyle w:val="NormalTok"/>
        </w:rPr>
        <w:t xml:space="preserve"> LSMTree(d, sync</w:t>
      </w:r>
      <w:r>
        <w:rPr>
          <w:rStyle w:val="OperatorTok"/>
        </w:rPr>
        <w:t xml:space="preserve">=</w:t>
      </w:r>
      <w:r>
        <w:rPr>
          <w:rStyle w:val="VariableTok"/>
        </w:rPr>
        <w:t xml:space="preserve">False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20_000</w:t>
      </w:r>
      <w:r>
        <w:rPr>
          <w:rStyle w:val="NormalTok"/>
        </w:rPr>
        <w:t xml:space="preserve">):</w:t>
      </w:r>
      <w:r>
        <w:br/>
      </w:r>
      <w:r>
        <w:rPr>
          <w:rStyle w:val="NormalTok"/>
        </w:rPr>
        <w:t xml:space="preserve">            key </w:t>
      </w:r>
      <w:r>
        <w:rPr>
          <w:rStyle w:val="OperatorTok"/>
        </w:rPr>
        <w:t xml:space="preserve">=</w:t>
      </w:r>
      <w:r>
        <w:rPr>
          <w:rStyle w:val="NormalTok"/>
        </w:rPr>
        <w:t xml:space="preserve"> </w:t>
      </w:r>
      <w:r>
        <w:rPr>
          <w:rStyle w:val="StringTok"/>
        </w:rPr>
        <w:t xml:space="preserve">"user:</w:t>
      </w:r>
      <w:r>
        <w:rPr>
          <w:rStyle w:val="SpecialCharTok"/>
        </w:rPr>
        <w:t xml:space="preserve">%04d</w:t>
      </w:r>
      <w:r>
        <w:rPr>
          <w:rStyle w:val="StringTok"/>
        </w:rPr>
        <w:t xml:space="preserve">"</w:t>
      </w:r>
      <w:r>
        <w:rPr>
          <w:rStyle w:val="NormalTok"/>
        </w:rPr>
        <w:t xml:space="preserve"> </w:t>
      </w:r>
      <w:r>
        <w:rPr>
          <w:rStyle w:val="OperatorTok"/>
        </w:rPr>
        <w:t xml:space="preserve">%</w:t>
      </w:r>
      <w:r>
        <w:rPr>
          <w:rStyle w:val="NormalTok"/>
        </w:rPr>
        <w:t xml:space="preserve"> rng.randrange(</w:t>
      </w:r>
      <w:r>
        <w:rPr>
          <w:rStyle w:val="DecValTok"/>
        </w:rPr>
        <w:t xml:space="preserve">2_000</w:t>
      </w:r>
      <w:r>
        <w:rPr>
          <w:rStyle w:val="NormalTok"/>
        </w:rPr>
        <w:t xml:space="preserve">)</w:t>
      </w:r>
      <w:r>
        <w:br/>
      </w:r>
      <w:r>
        <w:rPr>
          <w:rStyle w:val="NormalTok"/>
        </w:rPr>
        <w:t xml:space="preserve">            </w:t>
      </w:r>
      <w:r>
        <w:rPr>
          <w:rStyle w:val="ControlFlowTok"/>
        </w:rPr>
        <w:t xml:space="preserve">if</w:t>
      </w:r>
      <w:r>
        <w:rPr>
          <w:rStyle w:val="NormalTok"/>
        </w:rPr>
        <w:t xml:space="preserve"> rng.random() </w:t>
      </w:r>
      <w:r>
        <w:rPr>
          <w:rStyle w:val="OperatorTok"/>
        </w:rPr>
        <w:t xml:space="preserve">&lt;</w:t>
      </w:r>
      <w:r>
        <w:rPr>
          <w:rStyle w:val="NormalTok"/>
        </w:rPr>
        <w:t xml:space="preserve"> </w:t>
      </w:r>
      <w:r>
        <w:rPr>
          <w:rStyle w:val="FloatTok"/>
        </w:rPr>
        <w:t xml:space="preserve">0.1</w:t>
      </w:r>
      <w:r>
        <w:rPr>
          <w:rStyle w:val="NormalTok"/>
        </w:rPr>
        <w:t xml:space="preserve">:</w:t>
      </w:r>
      <w:r>
        <w:br/>
      </w:r>
      <w:r>
        <w:rPr>
          <w:rStyle w:val="NormalTok"/>
        </w:rPr>
        <w:t xml:space="preserve">                db.delete(key)</w:t>
      </w:r>
      <w:r>
        <w:br/>
      </w:r>
      <w:r>
        <w:rPr>
          <w:rStyle w:val="NormalTok"/>
        </w:rPr>
        <w:t xml:space="preserve">                model.pop(key, </w:t>
      </w:r>
      <w:r>
        <w:rPr>
          <w:rStyle w:val="VariableTok"/>
        </w:rPr>
        <w:t xml:space="preserve">None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value </w:t>
      </w:r>
      <w:r>
        <w:rPr>
          <w:rStyle w:val="OperatorTok"/>
        </w:rPr>
        <w:t xml:space="preserve">=</w:t>
      </w:r>
      <w:r>
        <w:rPr>
          <w:rStyle w:val="NormalTok"/>
        </w:rPr>
        <w:t xml:space="preserve"> </w:t>
      </w:r>
      <w:r>
        <w:rPr>
          <w:rStyle w:val="StringTok"/>
        </w:rPr>
        <w:t xml:space="preserve">"v</w:t>
      </w:r>
      <w:r>
        <w:rPr>
          <w:rStyle w:val="SpecialCharTok"/>
        </w:rPr>
        <w:t xml:space="preserve">%d</w:t>
      </w:r>
      <w:r>
        <w:rPr>
          <w:rStyle w:val="StringTok"/>
        </w:rPr>
        <w:t xml:space="preserve">-</w:t>
      </w:r>
      <w:r>
        <w:rPr>
          <w:rStyle w:val="SpecialCharTok"/>
        </w:rPr>
        <w:t xml:space="preserve">%s</w:t>
      </w:r>
      <w:r>
        <w:rPr>
          <w:rStyle w:val="StringTok"/>
        </w:rPr>
        <w:t xml:space="preserve">"</w:t>
      </w:r>
      <w:r>
        <w:rPr>
          <w:rStyle w:val="NormalTok"/>
        </w:rPr>
        <w:t xml:space="preserve"> </w:t>
      </w:r>
      <w:r>
        <w:rPr>
          <w:rStyle w:val="OperatorTok"/>
        </w:rPr>
        <w:t xml:space="preserve">%</w:t>
      </w:r>
      <w:r>
        <w:rPr>
          <w:rStyle w:val="NormalTok"/>
        </w:rPr>
        <w:t xml:space="preserve"> (i, </w:t>
      </w:r>
      <w:r>
        <w:rPr>
          <w:rStyle w:val="StringTok"/>
        </w:rPr>
        <w:t xml:space="preserve">"x"</w:t>
      </w:r>
      <w:r>
        <w:rPr>
          <w:rStyle w:val="NormalTok"/>
        </w:rPr>
        <w:t xml:space="preserve"> </w:t>
      </w:r>
      <w:r>
        <w:rPr>
          <w:rStyle w:val="OperatorTok"/>
        </w:rPr>
        <w:t xml:space="preserve">*</w:t>
      </w:r>
      <w:r>
        <w:rPr>
          <w:rStyle w:val="NormalTok"/>
        </w:rPr>
        <w:t xml:space="preserve"> rng.randrange(</w:t>
      </w:r>
      <w:r>
        <w:rPr>
          <w:rStyle w:val="DecValTok"/>
        </w:rPr>
        <w:t xml:space="preserve">20</w:t>
      </w:r>
      <w:r>
        <w:rPr>
          <w:rStyle w:val="NormalTok"/>
        </w:rPr>
        <w:t xml:space="preserve">, </w:t>
      </w:r>
      <w:r>
        <w:rPr>
          <w:rStyle w:val="DecValTok"/>
        </w:rPr>
        <w:t xml:space="preserve">60</w:t>
      </w:r>
      <w:r>
        <w:rPr>
          <w:rStyle w:val="NormalTok"/>
        </w:rPr>
        <w:t xml:space="preserve">))</w:t>
      </w:r>
      <w:r>
        <w:br/>
      </w:r>
      <w:r>
        <w:rPr>
          <w:rStyle w:val="NormalTok"/>
        </w:rPr>
        <w:t xml:space="preserve">                db.put(key, value)</w:t>
      </w:r>
      <w:r>
        <w:br/>
      </w:r>
      <w:r>
        <w:rPr>
          <w:rStyle w:val="NormalTok"/>
        </w:rPr>
        <w:t xml:space="preserve">                model[key] </w:t>
      </w:r>
      <w:r>
        <w:rPr>
          <w:rStyle w:val="OperatorTok"/>
        </w:rPr>
        <w:t xml:space="preserve">=</w:t>
      </w:r>
      <w:r>
        <w:rPr>
          <w:rStyle w:val="NormalTok"/>
        </w:rPr>
        <w:t xml:space="preserve"> value</w:t>
      </w:r>
      <w:r>
        <w:br/>
      </w:r>
      <w:r>
        <w:rPr>
          <w:rStyle w:val="NormalTok"/>
        </w:rPr>
        <w:t xml:space="preserve">        stats, wa </w:t>
      </w:r>
      <w:r>
        <w:rPr>
          <w:rStyle w:val="OperatorTok"/>
        </w:rPr>
        <w:t xml:space="preserve">=</w:t>
      </w:r>
      <w:r>
        <w:rPr>
          <w:rStyle w:val="NormalTok"/>
        </w:rPr>
        <w:t xml:space="preserve"> </w:t>
      </w:r>
      <w:r>
        <w:rPr>
          <w:rStyle w:val="BuiltInTok"/>
        </w:rPr>
        <w:t xml:space="preserve">dict</w:t>
      </w:r>
      <w:r>
        <w:rPr>
          <w:rStyle w:val="NormalTok"/>
        </w:rPr>
        <w:t xml:space="preserve">(db.stats), db.write_amplification()</w:t>
      </w:r>
      <w:r>
        <w:br/>
      </w:r>
      <w:r>
        <w:rPr>
          <w:rStyle w:val="NormalTok"/>
        </w:rPr>
        <w:t xml:space="preserve">        unflushed </w:t>
      </w:r>
      <w:r>
        <w:rPr>
          <w:rStyle w:val="OperatorTok"/>
        </w:rPr>
        <w:t xml:space="preserve">=</w:t>
      </w:r>
      <w:r>
        <w:rPr>
          <w:rStyle w:val="NormalTok"/>
        </w:rPr>
        <w:t xml:space="preserve"> </w:t>
      </w:r>
      <w:r>
        <w:rPr>
          <w:rStyle w:val="BuiltInTok"/>
        </w:rPr>
        <w:t xml:space="preserve">len</w:t>
      </w:r>
      <w:r>
        <w:rPr>
          <w:rStyle w:val="NormalTok"/>
        </w:rPr>
        <w:t xml:space="preserve">(db.memtable)</w:t>
      </w:r>
      <w:r>
        <w:br/>
      </w:r>
      <w:r>
        <w:br/>
      </w:r>
      <w:r>
        <w:rPr>
          <w:rStyle w:val="NormalTok"/>
        </w:rPr>
        <w:t xml:space="preserve">        db.wal.close()                            </w:t>
      </w:r>
      <w:r>
        <w:rPr>
          <w:rStyle w:val="CommentTok"/>
        </w:rPr>
        <w:t xml:space="preserve"># simulate a crash: memtable is lost</w:t>
      </w:r>
      <w:r>
        <w:br/>
      </w:r>
      <w:r>
        <w:rPr>
          <w:rStyle w:val="NormalTok"/>
        </w:rPr>
        <w:t xml:space="preserve">        db </w:t>
      </w:r>
      <w:r>
        <w:rPr>
          <w:rStyle w:val="OperatorTok"/>
        </w:rPr>
        <w:t xml:space="preserve">=</w:t>
      </w:r>
      <w:r>
        <w:rPr>
          <w:rStyle w:val="NormalTok"/>
        </w:rPr>
        <w:t xml:space="preserve"> LSMTree(d, sync</w:t>
      </w:r>
      <w:r>
        <w:rPr>
          <w:rStyle w:val="OperatorTok"/>
        </w:rPr>
        <w:t xml:space="preserve">=</w:t>
      </w:r>
      <w:r>
        <w:rPr>
          <w:rStyle w:val="VariableTok"/>
        </w:rPr>
        <w:t xml:space="preserve">False</w:t>
      </w:r>
      <w:r>
        <w:rPr>
          <w:rStyle w:val="NormalTok"/>
        </w:rPr>
        <w:t xml:space="preserve">)               </w:t>
      </w:r>
      <w:r>
        <w:rPr>
          <w:rStyle w:val="CommentTok"/>
        </w:rPr>
        <w:t xml:space="preserve"># reopen: manifest + WAL replay</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(db.memtable) </w:t>
      </w:r>
      <w:r>
        <w:rPr>
          <w:rStyle w:val="OperatorTok"/>
        </w:rPr>
        <w:t xml:space="preserve">==</w:t>
      </w:r>
      <w:r>
        <w:rPr>
          <w:rStyle w:val="NormalTok"/>
        </w:rPr>
        <w:t xml:space="preserve"> unflushed, </w:t>
      </w:r>
      <w:r>
        <w:rPr>
          <w:rStyle w:val="StringTok"/>
        </w:rPr>
        <w:t xml:space="preserve">"WAL replay lost records"</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StringTok"/>
        </w:rPr>
        <w:t xml:space="preserve">"user:</w:t>
      </w:r>
      <w:r>
        <w:rPr>
          <w:rStyle w:val="SpecialCharTok"/>
        </w:rPr>
        <w:t xml:space="preserve">%04d</w:t>
      </w:r>
      <w:r>
        <w:rPr>
          <w:rStyle w:val="StringTok"/>
        </w:rPr>
        <w:t xml:space="preserve">"</w:t>
      </w:r>
      <w:r>
        <w:rPr>
          <w:rStyle w:val="NormalTok"/>
        </w:rPr>
        <w:t xml:space="preserve"> </w:t>
      </w:r>
      <w:r>
        <w:rPr>
          <w:rStyle w:val="OperatorTok"/>
        </w:rPr>
        <w:t xml:space="preserve">%</w:t>
      </w:r>
      <w:r>
        <w:rPr>
          <w:rStyle w:val="NormalTok"/>
        </w:rPr>
        <w:t xml:space="preserve"> n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2_000</w:t>
      </w:r>
      <w:r>
        <w:rPr>
          <w:rStyle w:val="NormalTok"/>
        </w:rPr>
        <w:t xml:space="preserve">)):</w:t>
      </w:r>
      <w:r>
        <w:br/>
      </w:r>
      <w:r>
        <w:rPr>
          <w:rStyle w:val="NormalTok"/>
        </w:rPr>
        <w:t xml:space="preserve">            </w:t>
      </w:r>
      <w:r>
        <w:rPr>
          <w:rStyle w:val="ControlFlowTok"/>
        </w:rPr>
        <w:t xml:space="preserve">assert</w:t>
      </w:r>
      <w:r>
        <w:rPr>
          <w:rStyle w:val="NormalTok"/>
        </w:rPr>
        <w:t xml:space="preserve"> db.get(k) </w:t>
      </w:r>
      <w:r>
        <w:rPr>
          <w:rStyle w:val="OperatorTok"/>
        </w:rPr>
        <w:t xml:space="preserve">==</w:t>
      </w:r>
      <w:r>
        <w:rPr>
          <w:rStyle w:val="NormalTok"/>
        </w:rPr>
        <w:t xml:space="preserve"> model.get(k), k</w:t>
      </w:r>
      <w:r>
        <w:br/>
      </w:r>
      <w:r>
        <w:rPr>
          <w:rStyle w:val="NormalTok"/>
        </w:rPr>
        <w:t xml:space="preserve">        </w:t>
      </w:r>
      <w:r>
        <w:rPr>
          <w:rStyle w:val="BuiltInTok"/>
        </w:rPr>
        <w:t xml:space="preserve">print</w:t>
      </w:r>
      <w:r>
        <w:rPr>
          <w:rStyle w:val="NormalTok"/>
        </w:rPr>
        <w:t xml:space="preserve">(</w:t>
      </w:r>
      <w:r>
        <w:rPr>
          <w:rStyle w:val="StringTok"/>
        </w:rPr>
        <w:t xml:space="preserve">"all 2000 keys match after crash and WAL replay"</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"live keys:"</w:t>
      </w:r>
      <w:r>
        <w:rPr>
          <w:rStyle w:val="NormalTok"/>
        </w:rPr>
        <w:t xml:space="preserve">, </w:t>
      </w:r>
      <w:r>
        <w:rPr>
          <w:rStyle w:val="BuiltInTok"/>
        </w:rPr>
        <w:t xml:space="preserve">len</w:t>
      </w:r>
      <w:r>
        <w:rPr>
          <w:rStyle w:val="NormalTok"/>
        </w:rPr>
        <w:t xml:space="preserve">(model), </w:t>
      </w:r>
      <w:r>
        <w:rPr>
          <w:rStyle w:val="StringTok"/>
        </w:rPr>
        <w:t xml:space="preserve">" SSTables:"</w:t>
      </w:r>
      <w:r>
        <w:rPr>
          <w:rStyle w:val="NormalTok"/>
        </w:rPr>
        <w:t xml:space="preserve">, </w:t>
      </w:r>
      <w:r>
        <w:rPr>
          <w:rStyle w:val="BuiltInTok"/>
        </w:rPr>
        <w:t xml:space="preserve">len</w:t>
      </w:r>
      <w:r>
        <w:rPr>
          <w:rStyle w:val="NormalTok"/>
        </w:rPr>
        <w:t xml:space="preserve">(db.tables),</w:t>
      </w:r>
      <w:r>
        <w:br/>
      </w:r>
      <w:r>
        <w:rPr>
          <w:rStyle w:val="NormalTok"/>
        </w:rPr>
        <w:t xml:space="preserve">              </w:t>
      </w:r>
      <w:r>
        <w:rPr>
          <w:rStyle w:val="StringTok"/>
        </w:rPr>
        <w:t xml:space="preserve">" memtable entries replayed:"</w:t>
      </w:r>
      <w:r>
        <w:rPr>
          <w:rStyle w:val="NormalTok"/>
        </w:rPr>
        <w:t xml:space="preserve">, unflushed)</w:t>
      </w:r>
      <w:r>
        <w:br/>
      </w:r>
      <w:r>
        <w:rPr>
          <w:rStyle w:val="NormalTok"/>
        </w:rPr>
        <w:t xml:space="preserve">        </w:t>
      </w:r>
      <w:r>
        <w:rPr>
          <w:rStyle w:val="BuiltInTok"/>
        </w:rPr>
        <w:t xml:space="preserve">print</w:t>
      </w:r>
      <w:r>
        <w:rPr>
          <w:rStyle w:val="NormalTok"/>
        </w:rPr>
        <w:t xml:space="preserve">(</w:t>
      </w:r>
      <w:r>
        <w:rPr>
          <w:rStyle w:val="StringTok"/>
        </w:rPr>
        <w:t xml:space="preserve">"bytes by user=</w:t>
      </w:r>
      <w:r>
        <w:rPr>
          <w:rStyle w:val="SpecialCharTok"/>
        </w:rPr>
        <w:t xml:space="preserve">%(user)d</w:t>
      </w:r>
      <w:r>
        <w:rPr>
          <w:rStyle w:val="StringTok"/>
        </w:rPr>
        <w:t xml:space="preserve"> wal=</w:t>
      </w:r>
      <w:r>
        <w:rPr>
          <w:rStyle w:val="SpecialCharTok"/>
        </w:rPr>
        <w:t xml:space="preserve">%(wal)d</w:t>
      </w:r>
      <w:r>
        <w:rPr>
          <w:rStyle w:val="StringTok"/>
        </w:rPr>
        <w:t xml:space="preserve"> flush=</w:t>
      </w:r>
      <w:r>
        <w:rPr>
          <w:rStyle w:val="SpecialCharTok"/>
        </w:rPr>
        <w:t xml:space="preserve">%(flush)d</w:t>
      </w:r>
      <w:r>
        <w:rPr>
          <w:rStyle w:val="StringTok"/>
        </w:rPr>
        <w:t xml:space="preserve"> compaction=</w:t>
      </w:r>
      <w:r>
        <w:rPr>
          <w:rStyle w:val="SpecialCharTok"/>
        </w:rPr>
        <w:t xml:space="preserve">%(compaction)d</w:t>
      </w:r>
      <w:r>
        <w:rPr>
          <w:rStyle w:val="StringTok"/>
        </w:rPr>
        <w:t xml:space="preserve">"</w:t>
      </w:r>
      <w:r>
        <w:rPr>
          <w:rStyle w:val="NormalTok"/>
        </w:rPr>
        <w:t xml:space="preserve"> </w:t>
      </w:r>
      <w:r>
        <w:rPr>
          <w:rStyle w:val="OperatorTok"/>
        </w:rPr>
        <w:t xml:space="preserve">%</w:t>
      </w:r>
      <w:r>
        <w:rPr>
          <w:rStyle w:val="NormalTok"/>
        </w:rPr>
        <w:t xml:space="preserve"> stats)</w:t>
      </w:r>
      <w:r>
        <w:br/>
      </w:r>
      <w:r>
        <w:rPr>
          <w:rStyle w:val="NormalTok"/>
        </w:rPr>
        <w:t xml:space="preserve">        </w:t>
      </w:r>
      <w:r>
        <w:rPr>
          <w:rStyle w:val="BuiltInTok"/>
        </w:rPr>
        <w:t xml:space="preserve">print</w:t>
      </w:r>
      <w:r>
        <w:rPr>
          <w:rStyle w:val="NormalTok"/>
        </w:rPr>
        <w:t xml:space="preserve">(</w:t>
      </w:r>
      <w:r>
        <w:rPr>
          <w:rStyle w:val="StringTok"/>
        </w:rPr>
        <w:t xml:space="preserve">"write amplification = </w:t>
      </w:r>
      <w:r>
        <w:rPr>
          <w:rStyle w:val="SpecialCharTok"/>
        </w:rPr>
        <w:t xml:space="preserve">%.1f</w:t>
      </w:r>
      <w:r>
        <w:rPr>
          <w:rStyle w:val="StringTok"/>
        </w:rPr>
        <w:t xml:space="preserve">"</w:t>
      </w:r>
      <w:r>
        <w:rPr>
          <w:rStyle w:val="NormalTok"/>
        </w:rPr>
        <w:t xml:space="preserve"> </w:t>
      </w:r>
      <w:r>
        <w:rPr>
          <w:rStyle w:val="OperatorTok"/>
        </w:rPr>
        <w:t xml:space="preserve">%</w:t>
      </w:r>
      <w:r>
        <w:rPr>
          <w:rStyle w:val="NormalTok"/>
        </w:rPr>
        <w:t xml:space="preserve"> wa)</w:t>
      </w:r>
    </w:p>
    <w:p>
      <w:pPr>
        <w:pStyle w:val="FirstParagraph"/>
      </w:pPr>
      <w:r>
        <w:t xml:space="preserve">Output (Python 3.13):</w:t>
      </w:r>
    </w:p>
    <w:p>
      <w:pPr>
        <w:pStyle w:val="SourceCode"/>
      </w:pPr>
      <w:r>
        <w:rPr>
          <w:rStyle w:val="VerbatimChar"/>
        </w:rPr>
        <w:t xml:space="preserve">all 2000 keys match after crash and WAL replay</w:t>
      </w:r>
      <w:r>
        <w:br/>
      </w:r>
      <w:r>
        <w:rPr>
          <w:rStyle w:val="VerbatimChar"/>
        </w:rPr>
        <w:t xml:space="preserve">live keys: 1799  SSTables: 1  memtable entries replayed: 12</w:t>
      </w:r>
      <w:r>
        <w:br/>
      </w:r>
      <w:r>
        <w:rPr>
          <w:rStyle w:val="VerbatimChar"/>
        </w:rPr>
        <w:t xml:space="preserve">bytes by user=1007515 wal=1191501 flush=1189724 compaction=2721866</w:t>
      </w:r>
      <w:r>
        <w:br/>
      </w:r>
      <w:r>
        <w:rPr>
          <w:rStyle w:val="VerbatimChar"/>
        </w:rPr>
        <w:t xml:space="preserve">write amplification = 5.1</w:t>
      </w:r>
    </w:p>
    <w:p>
      <w:pPr>
        <w:pStyle w:val="FirstParagraph"/>
      </w:pPr>
      <w:r>
        <w:t xml:space="preserve">What to notice:</w:t>
      </w:r>
    </w:p>
    <w:p>
      <w:pPr>
        <w:numPr>
          <w:ilvl w:val="0"/>
          <w:numId w:val="1450"/>
        </w:numPr>
        <w:pStyle w:val="Compact"/>
      </w:pPr>
      <w:r>
        <w:rPr>
          <w:bCs/>
          <w:b/>
        </w:rPr>
        <w:t xml:space="preserve">Write-ahead order:</w:t>
      </w:r>
      <w:r>
        <w:t xml:space="preserve"> </w:t>
      </w:r>
      <w:r>
        <w:rPr>
          <w:rStyle w:val="VerbatimChar"/>
        </w:rPr>
        <w:t xml:space="preserve">put</w:t>
      </w:r>
      <w:r>
        <w:t xml:space="preserve"> </w:t>
      </w:r>
      <w:r>
        <w:t xml:space="preserve">logs before touching the memtable. After the simulated crash, 12 unflushed entries return from the WAL and all 2,000 keys (deleted ones included) match the reference dictionary.</w:t>
      </w:r>
    </w:p>
    <w:p>
      <w:pPr>
        <w:numPr>
          <w:ilvl w:val="0"/>
          <w:numId w:val="1450"/>
        </w:numPr>
        <w:pStyle w:val="Compact"/>
      </w:pPr>
      <w:r>
        <w:rPr>
          <w:bCs/>
          <w:b/>
        </w:rPr>
        <w:t xml:space="preserve">Torn tail:</w:t>
      </w:r>
      <w:r>
        <w:t xml:space="preserve"> </w:t>
      </w:r>
      <w:r>
        <w:t xml:space="preserve">replay stops at the first unparsable record, as real engines stop at the first failed checksum (§13.12).</w:t>
      </w:r>
    </w:p>
    <w:p>
      <w:pPr>
        <w:numPr>
          <w:ilvl w:val="0"/>
          <w:numId w:val="1450"/>
        </w:numPr>
        <w:pStyle w:val="Compact"/>
      </w:pPr>
      <w:r>
        <w:rPr>
          <w:bCs/>
          <w:b/>
        </w:rPr>
        <w:t xml:space="preserve">Manifest:</w:t>
      </w:r>
      <w:r>
        <w:t xml:space="preserve"> </w:t>
      </w:r>
      <w:r>
        <w:t xml:space="preserve">an SSTable joins the tree only when the atomically replaced</w:t>
      </w:r>
      <w:r>
        <w:t xml:space="preserve"> </w:t>
      </w:r>
      <w:r>
        <w:rPr>
          <w:rStyle w:val="VerbatimChar"/>
        </w:rPr>
        <w:t xml:space="preserve">MANIFEST</w:t>
      </w:r>
      <w:r>
        <w:t xml:space="preserve"> </w:t>
      </w:r>
      <w:r>
        <w:t xml:space="preserve">names it (§6.14.3); orphans are deleted at startup, like RocksDB’s MANIFEST. Switching the manifest before deleting compaction inputs stops an old input resurrecting a key whose tombstone was dropped.</w:t>
      </w:r>
    </w:p>
    <w:p>
      <w:pPr>
        <w:numPr>
          <w:ilvl w:val="0"/>
          <w:numId w:val="1450"/>
        </w:numPr>
        <w:pStyle w:val="Compact"/>
      </w:pPr>
      <w:r>
        <w:rPr>
          <w:bCs/>
          <w:b/>
        </w:rPr>
        <w:t xml:space="preserve">Write amplification 5.1</w:t>
      </w:r>
      <w:r>
        <w:t xml:space="preserve"> </w:t>
      </w:r>
      <w:r>
        <w:t xml:space="preserve">= WAL 1.18 + flush 1.18 + compaction 2.70 (the 18% is JSON framing). Full merges rewrite everything, so real engines compact incrementally (§13.9).</w:t>
      </w:r>
    </w:p>
    <w:p>
      <w:pPr>
        <w:numPr>
          <w:ilvl w:val="0"/>
          <w:numId w:val="1450"/>
        </w:numPr>
        <w:pStyle w:val="Compact"/>
      </w:pPr>
      <w:r>
        <w:rPr>
          <w:bCs/>
          <w:b/>
        </w:rPr>
        <w:t xml:space="preserve">Bloom filter:</w:t>
      </w:r>
      <w:r>
        <w:t xml:space="preserve"> </w:t>
      </w:r>
      <w:r>
        <w:t xml:space="preserve">10 bits per key, 7 hashes; about 1%</w:t>
      </w:r>
      <w:r>
        <w:t xml:space="preserve"> </w:t>
      </w:r>
      <w:r>
        <w:t xml:space="preserve">“</w:t>
      </w:r>
      <w:r>
        <w:t xml:space="preserve">maybe</w:t>
      </w:r>
      <w:r>
        <w:t xml:space="preserve">”</w:t>
      </w:r>
      <w:r>
        <w:t xml:space="preserve"> </w:t>
      </w:r>
      <w:r>
        <w:t xml:space="preserve">on 10,000 absent keys, as §13.10 predicts.</w:t>
      </w:r>
    </w:p>
    <w:bookmarkEnd w:id="1508"/>
    <w:bookmarkEnd w:id="1509"/>
    <w:bookmarkEnd w:id="1510"/>
    <w:bookmarkStart w:id="1517" w:name="compaction-strategies"/>
    <w:p>
      <w:pPr>
        <w:pStyle w:val="Heading2"/>
      </w:pPr>
      <w:r>
        <w:t xml:space="preserve">13.9 Compaction strategies</w:t>
      </w:r>
    </w:p>
    <w:bookmarkStart w:id="1516" w:name="X2a0ecbc3bb052e94ce45190ab30d3c5d2f26367"/>
    <w:p>
      <w:pPr>
        <w:pStyle w:val="Heading3"/>
      </w:pPr>
      <w:r>
        <w:t xml:space="preserve">13.9.1 Why compaction strategy is the central LSM decision</w:t>
      </w:r>
    </w:p>
    <w:p>
      <w:pPr>
        <w:pStyle w:val="CalloutDefinition"/>
      </w:pPr>
      <w:r>
        <w:rPr>
          <w:bCs/>
          <w:b/>
        </w:rPr>
        <w:t xml:space="preserve">DEFINITION</w:t>
      </w:r>
    </w:p>
    <w:p>
      <w:pPr>
        <w:pStyle w:val="CalloutDefinition"/>
      </w:pPr>
      <w:r>
        <w:rPr>
          <w:bCs/>
          <w:b/>
        </w:rPr>
        <w:t xml:space="preserve">Definition — Compaction.</w:t>
      </w:r>
      <w:r>
        <w:t xml:space="preserve"> </w:t>
      </w:r>
      <w:r>
        <w:t xml:space="preserve">The background merge of sorted runs in an LSM tree that removes overwritten values and tombstones and bounds the number of runs a read must consult. A</w:t>
      </w:r>
      <w:r>
        <w:t xml:space="preserve"> </w:t>
      </w:r>
      <w:r>
        <w:rPr>
          <w:bCs/>
          <w:b/>
        </w:rPr>
        <w:t xml:space="preserve">compaction strategy</w:t>
      </w:r>
      <w:r>
        <w:t xml:space="preserve"> </w:t>
      </w:r>
      <w:r>
        <w:t xml:space="preserve">decides which runs to merge and when; it sets the engine’s read, write and space amplification.</w:t>
      </w:r>
    </w:p>
    <w:p>
      <w:pPr>
        <w:pStyle w:val="BodyText"/>
      </w:pPr>
      <w:r>
        <w:t xml:space="preserve">Every byte is rewritten by compaction several times on its way down. Merging eagerly makes reads cheap and writes expensive; merging lazily does the reverse.</w:t>
      </w:r>
    </w:p>
    <w:p>
      <w:pPr>
        <w:pStyle w:val="BodyText"/>
      </w:pPr>
      <w:r>
        <w:rPr>
          <w:bCs/>
          <w:b/>
        </w:rPr>
        <w:t xml:space="preserve">Size-tiered (tiering).</w:t>
      </w:r>
      <w:r>
        <w:t xml:space="preserve"> </w:t>
      </w:r>
      <w:r>
        <w:t xml:space="preserve">When about</w:t>
      </w:r>
      <w:r>
        <w:t xml:space="preserve"> </w:t>
      </w:r>
      <m:oMath>
        <m:r>
          <m:t>T</m:t>
        </m:r>
      </m:oMath>
      <w:r>
        <w:t xml:space="preserve"> </w:t>
      </w:r>
      <w:r>
        <w:t xml:space="preserve">runs of similar size exist (Cassandra’s default</w:t>
      </w:r>
      <w:r>
        <w:t xml:space="preserve"> </w:t>
      </w:r>
      <w:r>
        <w:rPr>
          <w:rStyle w:val="VerbatimChar"/>
        </w:rPr>
        <w:t xml:space="preserve">min_threshold</w:t>
      </w:r>
      <w:r>
        <w:t xml:space="preserve"> </w:t>
      </w:r>
      <w:r>
        <w:t xml:space="preserve">is 4), merge them into one run of the next tier. Each byte is rewritten about once per tier, but up to</w:t>
      </w:r>
      <w:r>
        <w:t xml:space="preserve"> </w:t>
      </w:r>
      <m:oMath>
        <m:r>
          <m:t>T</m:t>
        </m:r>
        <m:r>
          <m:rPr>
            <m:sty m:val="p"/>
          </m:rPr>
          <m:t>−</m:t>
        </m:r>
        <m:r>
          <m:t>1</m:t>
        </m:r>
      </m:oMath>
      <w:r>
        <w:t xml:space="preserve"> </w:t>
      </w:r>
      <w:r>
        <w:t xml:space="preserve">runs per tier may hold versions of a key, and merging the largest runs needs equal free space. Used by Cassandra STCS and RocksDB</w:t>
      </w:r>
      <w:r>
        <w:t xml:space="preserve"> </w:t>
      </w:r>
      <w:r>
        <w:rPr>
          <w:bCs/>
          <w:b/>
        </w:rPr>
        <w:t xml:space="preserve">universal</w:t>
      </w:r>
      <w:r>
        <w:t xml:space="preserve"> </w:t>
      </w:r>
      <w:r>
        <w:t xml:space="preserve">compaction.</w:t>
      </w:r>
    </w:p>
    <w:p>
      <w:pPr>
        <w:pStyle w:val="BodyText"/>
      </w:pPr>
      <w:r>
        <w:rPr>
          <w:bCs/>
          <w:b/>
        </w:rPr>
        <w:t xml:space="preserve">Leveled (leveling).</w:t>
      </w:r>
      <w:r>
        <w:t xml:space="preserve"> </w:t>
      </w:r>
      <w:r>
        <w:t xml:space="preserve">Each level is one sorted run of non-overlapping files,</w:t>
      </w:r>
      <w:r>
        <w:t xml:space="preserve"> </w:t>
      </w:r>
      <m:oMath>
        <m:r>
          <m:t>T</m:t>
        </m:r>
      </m:oMath>
      <w:r>
        <w:t xml:space="preserve"> </w:t>
      </w:r>
      <w:r>
        <w:t xml:space="preserve">times larger than the level above; an overflowing level pushes one file into the</w:t>
      </w:r>
      <w:r>
        <w:t xml:space="preserve"> </w:t>
      </w:r>
      <w:r>
        <w:rPr>
          <w:iCs/>
          <w:i/>
        </w:rPr>
        <w:t xml:space="preserve">overlapping</w:t>
      </w:r>
      <w:r>
        <w:t xml:space="preserve"> </w:t>
      </w:r>
      <w:r>
        <w:t xml:space="preserve">files of the next. Reads probe one file per level and obsolete data is bounded, but each byte entering a level is merged with up to</w:t>
      </w:r>
      <w:r>
        <w:t xml:space="preserve"> </w:t>
      </w:r>
      <m:oMath>
        <m:r>
          <m:t>T</m:t>
        </m:r>
      </m:oMath>
      <w:r>
        <w:t xml:space="preserve"> </w:t>
      </w:r>
      <w:r>
        <w:t xml:space="preserve">times its size. Used by LevelDB, RocksDB (default) and Cassandra LCS.</w:t>
      </w:r>
    </w:p>
    <w:p>
      <w:pPr>
        <w:pStyle w:val="BodyText"/>
      </w:pPr>
      <w:r>
        <w:rPr>
          <w:bCs/>
          <w:b/>
        </w:rPr>
        <w:t xml:space="preserve">Hybrids.</w:t>
      </w:r>
      <w:r>
        <w:t xml:space="preserve"> </w:t>
      </w:r>
      <w:r>
        <w:t xml:space="preserve">RocksDB’s default is already one: L0 tiered, deeper levels leveled.</w:t>
      </w:r>
      <w:r>
        <w:t xml:space="preserve"> </w:t>
      </w:r>
      <w:r>
        <w:rPr>
          <w:bCs/>
          <w:b/>
        </w:rPr>
        <w:t xml:space="preserve">Lazy leveling</w:t>
      </w:r>
      <w:r>
        <w:t xml:space="preserve"> </w:t>
      </w:r>
      <w:r>
        <w:t xml:space="preserve">tiers all levels but the last, which holds most data [Dayan and Idreos 2018]; Cassandra 5.0’s Unified Compaction Strategy slides between the two per level (as of 2025).</w:t>
      </w:r>
      <w:r>
        <w:t xml:space="preserve"> </w:t>
      </w:r>
      <w:r>
        <w:rPr>
          <w:bCs/>
          <w:b/>
        </w:rPr>
        <w:t xml:space="preserve">Time-window</w:t>
      </w:r>
      <w:r>
        <w:t xml:space="preserve"> </w:t>
      </w:r>
      <w:r>
        <w:t xml:space="preserve">compaction never merges across time windows, so expired windows are dropped whole.</w:t>
      </w:r>
    </w:p>
    <w:p>
      <w:pPr>
        <w:pStyle w:val="BodyText"/>
      </w:pPr>
      <w:r>
        <w:rPr>
          <w:bCs/>
          <w:b/>
        </w:rPr>
        <w:t xml:space="preserve">Figure 13.9 — Size-tiered versus leveled compaction.</w:t>
      </w:r>
    </w:p>
    <w:p>
      <w:pPr>
        <w:pStyle w:val="BodyText"/>
      </w:pPr>
      <w:r>
        <w:drawing>
          <wp:inline>
            <wp:extent cx="5334000" cy="7302117"/>
            <wp:effectExtent b="0" l="0" r="0" t="0"/>
            <wp:docPr descr="" title="" id="1512" name="Picture"/>
            <a:graphic>
              <a:graphicData uri="http://schemas.openxmlformats.org/drawingml/2006/picture">
                <pic:pic>
                  <pic:nvPicPr>
                    <pic:cNvPr descr="/home/user/System-Design/build/.cache/diagrams/60c0cd206a80.png" id="1513" name="Picture"/>
                    <pic:cNvPicPr>
                      <a:picLocks noChangeArrowheads="1" noChangeAspect="1"/>
                    </pic:cNvPicPr>
                  </pic:nvPicPr>
                  <pic:blipFill>
                    <a:blip r:embed="rId1511"/>
                    <a:stretch>
                      <a:fillRect/>
                    </a:stretch>
                  </pic:blipFill>
                  <pic:spPr bwMode="auto">
                    <a:xfrm>
                      <a:off x="0" y="0"/>
                      <a:ext cx="5334000" cy="7302117"/>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All arrows are asynchronous background compactions; clients wait only if a backlog triggers a write stall. Tiering copies each byte once per tier but leaves up to three runs per tier. Leveling merges one L1 file (keys 100–199) with the ~10 overlapping L2 files and rewrites them: about ten bytes rewritten per byte promoted. All runs are SSTables on disk, read and written sequentially. Failure points: tiering’s largest merge briefly needs double space; leveling can fall behind under heavy writes. Scaling: compaction parallelizes across key ranges and is rate-limited to protect foreground latency.</w:t>
      </w:r>
    </w:p>
    <w:bookmarkStart w:id="1514" w:name="mathematical-foundations-24"/>
    <w:p>
      <w:pPr>
        <w:pStyle w:val="Heading4"/>
      </w:pPr>
      <w:r>
        <w:t xml:space="preserve">Mathematical foundations</w:t>
      </w:r>
    </w:p>
    <w:p>
      <w:pPr>
        <w:pStyle w:val="CalloutFormula"/>
      </w:pPr>
      <w:r>
        <w:rPr>
          <w:bCs/>
          <w:b/>
        </w:rPr>
        <w:t xml:space="preserve">FORMULA</w:t>
      </w:r>
    </w:p>
    <w:p>
      <w:pPr>
        <w:pStyle w:val="CalloutFormula"/>
      </w:pPr>
      <w:r>
        <w:rPr>
          <w:bCs/>
          <w:b/>
        </w:rPr>
        <w:t xml:space="preserve">Approximate amplification of compaction strategies</w:t>
      </w:r>
    </w:p>
    <w:p>
      <w:pPr>
        <w:pStyle w:val="CalloutFormula"/>
      </w:pPr>
      <m:oMathPara>
        <m:oMathParaPr>
          <m:jc m:val="center"/>
        </m:oMathParaPr>
        <m:oMath>
          <m:r>
            <m:t>W</m:t>
          </m:r>
          <m:sSub>
            <m:e>
              <m:r>
                <m:t>A</m:t>
              </m:r>
            </m:e>
            <m:sub>
              <m:r>
                <m:t>l</m:t>
              </m:r>
              <m:r>
                <m:t>e</m:t>
              </m:r>
              <m:r>
                <m:t>v</m:t>
              </m:r>
              <m:r>
                <m:t>e</m:t>
              </m:r>
              <m:r>
                <m:t>l</m:t>
              </m:r>
            </m:sub>
          </m:sSub>
          <m:r>
            <m:rPr>
              <m:sty m:val="p"/>
            </m:rPr>
            <m:t>≈</m:t>
          </m:r>
          <m:r>
            <m:t>2</m:t>
          </m:r>
          <m:r>
            <m:rPr>
              <m:sty m:val="p"/>
            </m:rPr>
            <m:t>+</m:t>
          </m:r>
          <m:r>
            <m:t>L</m:t>
          </m:r>
          <m:r>
            <m:t> </m:t>
          </m:r>
          <m:f>
            <m:fPr>
              <m:type m:val="bar"/>
            </m:fPr>
            <m:num>
              <m:r>
                <m:t>T</m:t>
              </m:r>
              <m:r>
                <m:rPr>
                  <m:sty m:val="p"/>
                </m:rPr>
                <m:t>+</m:t>
              </m:r>
              <m:r>
                <m:t>1</m:t>
              </m:r>
            </m:num>
            <m:den>
              <m:r>
                <m:t>2</m:t>
              </m:r>
            </m:den>
          </m:f>
          <m:r>
            <m:rPr>
              <m:sty m:val="p"/>
            </m:rPr>
            <m:t>,</m:t>
          </m:r>
          <m:r>
            <m:t>  </m:t>
          </m:r>
          <m:r>
            <m:t>W</m:t>
          </m:r>
          <m:sSub>
            <m:e>
              <m:r>
                <m:t>A</m:t>
              </m:r>
            </m:e>
            <m:sub>
              <m:r>
                <m:t>t</m:t>
              </m:r>
              <m:r>
                <m:t>i</m:t>
              </m:r>
              <m:r>
                <m:t>e</m:t>
              </m:r>
              <m:r>
                <m:t>r</m:t>
              </m:r>
            </m:sub>
          </m:sSub>
          <m:r>
            <m:rPr>
              <m:sty m:val="p"/>
            </m:rPr>
            <m:t>≈</m:t>
          </m:r>
          <m:r>
            <m:t>2</m:t>
          </m:r>
          <m:r>
            <m:rPr>
              <m:sty m:val="p"/>
            </m:rPr>
            <m:t>+</m:t>
          </m:r>
          <m:r>
            <m:t>L</m:t>
          </m:r>
          <m:r>
            <m:rPr>
              <m:sty m:val="p"/>
            </m:rPr>
            <m:t>,</m:t>
          </m:r>
          <m:r>
            <m:t>  </m:t>
          </m:r>
          <m:r>
            <m:t>W</m:t>
          </m:r>
          <m:sSub>
            <m:e>
              <m:r>
                <m:t>A</m:t>
              </m:r>
            </m:e>
            <m:sub>
              <m:r>
                <m:t>l</m:t>
              </m:r>
              <m:r>
                <m:t>a</m:t>
              </m:r>
              <m:r>
                <m:t>z</m:t>
              </m:r>
              <m:r>
                <m:t>y</m:t>
              </m:r>
            </m:sub>
          </m:sSub>
          <m:r>
            <m:rPr>
              <m:sty m:val="p"/>
            </m:rPr>
            <m:t>≈</m:t>
          </m:r>
          <m:r>
            <m:t>2</m:t>
          </m:r>
          <m:r>
            <m:rPr>
              <m:sty m:val="p"/>
            </m:rPr>
            <m:t>+</m:t>
          </m:r>
          <m:d>
            <m:dPr>
              <m:begChr m:val="("/>
              <m:endChr m:val=")"/>
              <m:sepChr m:val=""/>
              <m:grow/>
            </m:dPr>
            <m:e>
              <m:r>
                <m:t>L</m:t>
              </m:r>
              <m:r>
                <m:rPr>
                  <m:sty m:val="p"/>
                </m:rPr>
                <m:t>−</m:t>
              </m:r>
              <m:r>
                <m:t>1</m:t>
              </m:r>
            </m:e>
          </m:d>
          <m:r>
            <m:rPr>
              <m:sty m:val="p"/>
            </m:rPr>
            <m:t>+</m:t>
          </m:r>
          <m:f>
            <m:fPr>
              <m:type m:val="bar"/>
            </m:fPr>
            <m:num>
              <m:r>
                <m:t>T</m:t>
              </m:r>
              <m:r>
                <m:rPr>
                  <m:sty m:val="p"/>
                </m:rPr>
                <m:t>+</m:t>
              </m:r>
              <m:r>
                <m:t>1</m:t>
              </m:r>
            </m:num>
            <m:den>
              <m:r>
                <m:t>2</m:t>
              </m:r>
            </m:den>
          </m:f>
        </m:oMath>
      </m:oMathPara>
    </w:p>
    <w:p>
      <w:pPr>
        <w:pStyle w:val="CalloutFormula"/>
      </w:pPr>
      <m:oMathPara>
        <m:oMathParaPr>
          <m:jc m:val="center"/>
        </m:oMathParaPr>
        <m:oMath>
          <m:sSub>
            <m:e>
              <m:r>
                <m:t>R</m:t>
              </m:r>
            </m:e>
            <m:sub>
              <m:r>
                <m:t>l</m:t>
              </m:r>
              <m:r>
                <m:t>e</m:t>
              </m:r>
              <m:r>
                <m:t>v</m:t>
              </m:r>
              <m:r>
                <m:t>e</m:t>
              </m:r>
              <m:r>
                <m:t>l</m:t>
              </m:r>
            </m:sub>
          </m:sSub>
          <m:r>
            <m:rPr>
              <m:sty m:val="p"/>
            </m:rPr>
            <m:t>≈</m:t>
          </m:r>
          <m:r>
            <m:t>L</m:t>
          </m:r>
          <m:r>
            <m:rPr>
              <m:sty m:val="p"/>
            </m:rPr>
            <m:t>,</m:t>
          </m:r>
          <m:r>
            <m:t>  </m:t>
          </m:r>
          <m:sSub>
            <m:e>
              <m:r>
                <m:t>R</m:t>
              </m:r>
            </m:e>
            <m:sub>
              <m:r>
                <m:t>t</m:t>
              </m:r>
              <m:r>
                <m:t>i</m:t>
              </m:r>
              <m:r>
                <m:t>e</m:t>
              </m:r>
              <m:r>
                <m:t>r</m:t>
              </m:r>
            </m:sub>
          </m:sSub>
          <m:r>
            <m:rPr>
              <m:sty m:val="p"/>
            </m:rPr>
            <m:t>≈</m:t>
          </m:r>
          <m:d>
            <m:dPr>
              <m:begChr m:val="("/>
              <m:endChr m:val=")"/>
              <m:sepChr m:val=""/>
              <m:grow/>
            </m:dPr>
            <m:e>
              <m:r>
                <m:t>T</m:t>
              </m:r>
              <m:r>
                <m:rPr>
                  <m:sty m:val="p"/>
                </m:rPr>
                <m:t>−</m:t>
              </m:r>
              <m:r>
                <m:t>1</m:t>
              </m:r>
            </m:e>
          </m:d>
          <m:r>
            <m:t>L</m:t>
          </m:r>
          <m:r>
            <m:rPr>
              <m:sty m:val="p"/>
            </m:rPr>
            <m:t>,</m:t>
          </m:r>
          <m:r>
            <m:t>  </m:t>
          </m:r>
          <m:sSub>
            <m:e>
              <m:r>
                <m:t>R</m:t>
              </m:r>
            </m:e>
            <m:sub>
              <m:r>
                <m:t>l</m:t>
              </m:r>
              <m:r>
                <m:t>a</m:t>
              </m:r>
              <m:r>
                <m:t>z</m:t>
              </m:r>
              <m:r>
                <m:t>y</m:t>
              </m:r>
            </m:sub>
          </m:sSub>
          <m:r>
            <m:rPr>
              <m:sty m:val="p"/>
            </m:rPr>
            <m:t>≈</m:t>
          </m:r>
          <m:d>
            <m:dPr>
              <m:begChr m:val="("/>
              <m:endChr m:val=")"/>
              <m:sepChr m:val=""/>
              <m:grow/>
            </m:dPr>
            <m:e>
              <m:r>
                <m:t>T</m:t>
              </m:r>
              <m:r>
                <m:rPr>
                  <m:sty m:val="p"/>
                </m:rPr>
                <m:t>−</m:t>
              </m:r>
              <m:r>
                <m:t>1</m:t>
              </m:r>
            </m:e>
          </m:d>
          <m:d>
            <m:dPr>
              <m:begChr m:val="("/>
              <m:endChr m:val=")"/>
              <m:sepChr m:val=""/>
              <m:grow/>
            </m:dPr>
            <m:e>
              <m:r>
                <m:t>L</m:t>
              </m:r>
              <m:r>
                <m:rPr>
                  <m:sty m:val="p"/>
                </m:rPr>
                <m:t>−</m:t>
              </m:r>
              <m:r>
                <m:t>1</m:t>
              </m:r>
            </m:e>
          </m:d>
          <m:r>
            <m:rPr>
              <m:sty m:val="p"/>
            </m:rPr>
            <m:t>+</m:t>
          </m:r>
          <m:r>
            <m:t>1</m:t>
          </m:r>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W</m:t>
              </m:r>
              <m:r>
                <m:t>A</m:t>
              </m:r>
            </m:oMath>
          </w:p>
        </w:tc>
        <w:tc>
          <w:tcPr/>
          <w:p>
            <w:pPr>
              <w:pStyle w:val="Compact"/>
              <w:jc w:val="left"/>
            </w:pPr>
            <w:r>
              <w:t xml:space="preserve">Write amplification: bytes written to storage per byte written by the application (the 2 counts the WAL and the memtable flush)</w:t>
            </w:r>
          </w:p>
        </w:tc>
        <w:tc>
          <w:tcPr/>
          <w:p>
            <w:pPr>
              <w:pStyle w:val="Compact"/>
              <w:jc w:val="left"/>
            </w:pPr>
            <w:r>
              <w:t xml:space="preserve">dimensionless</w:t>
            </w:r>
          </w:p>
        </w:tc>
      </w:tr>
      <w:tr>
        <w:tc>
          <w:tcPr/>
          <w:p>
            <w:pPr>
              <w:pStyle w:val="Compact"/>
              <w:jc w:val="left"/>
            </w:pPr>
            <m:oMath>
              <m:r>
                <m:t>R</m:t>
              </m:r>
            </m:oMath>
          </w:p>
        </w:tc>
        <w:tc>
          <w:tcPr/>
          <w:p>
            <w:pPr>
              <w:pStyle w:val="Compact"/>
              <w:jc w:val="left"/>
            </w:pPr>
            <w:r>
              <w:t xml:space="preserve">Sorted runs a point lookup may probe in the worst case (excluding memtables)</w:t>
            </w:r>
          </w:p>
        </w:tc>
        <w:tc>
          <w:tcPr/>
          <w:p>
            <w:pPr>
              <w:pStyle w:val="Compact"/>
              <w:jc w:val="left"/>
            </w:pPr>
            <w:r>
              <w:t xml:space="preserve">runs</w:t>
            </w:r>
          </w:p>
        </w:tc>
      </w:tr>
      <w:tr>
        <w:tc>
          <w:tcPr/>
          <w:p>
            <w:pPr>
              <w:pStyle w:val="Compact"/>
              <w:jc w:val="left"/>
            </w:pPr>
            <m:oMath>
              <m:r>
                <m:t>L</m:t>
              </m:r>
            </m:oMath>
          </w:p>
        </w:tc>
        <w:tc>
          <w:tcPr/>
          <w:p>
            <w:pPr>
              <w:pStyle w:val="Compact"/>
              <w:jc w:val="left"/>
            </w:pPr>
            <w:r>
              <w:t xml:space="preserve">Number of levels (tiers),</w:t>
            </w:r>
            <w:r>
              <w:t xml:space="preserve"> </w:t>
            </w:r>
            <m:oMath>
              <m:r>
                <m:rPr>
                  <m:sty m:val="p"/>
                </m:rPr>
                <m:t>⌈</m:t>
              </m:r>
              <m:sSub>
                <m:e>
                  <m:r>
                    <m:rPr>
                      <m:sty m:val="p"/>
                    </m:rPr>
                    <m:t>log</m:t>
                  </m:r>
                </m:e>
                <m:sub>
                  <m:r>
                    <m:t>T</m:t>
                  </m:r>
                </m:sub>
              </m:sSub>
              <m:d>
                <m:dPr>
                  <m:begChr m:val="("/>
                  <m:endChr m:val=")"/>
                  <m:sepChr m:val=""/>
                  <m:grow/>
                </m:dPr>
                <m:e>
                  <m:r>
                    <m:t>N</m:t>
                  </m:r>
                  <m:r>
                    <m:rPr>
                      <m:sty m:val="p"/>
                    </m:rPr>
                    <m:t>/</m:t>
                  </m:r>
                  <m:r>
                    <m:t>M</m:t>
                  </m:r>
                </m:e>
              </m:d>
              <m:r>
                <m:rPr>
                  <m:sty m:val="p"/>
                </m:rPr>
                <m:t>⌉</m:t>
              </m:r>
            </m:oMath>
          </w:p>
        </w:tc>
        <w:tc>
          <w:tcPr/>
          <w:p>
            <w:pPr>
              <w:pStyle w:val="Compact"/>
              <w:jc w:val="left"/>
            </w:pPr>
            <w:r>
              <w:t xml:space="preserve">levels</w:t>
            </w:r>
          </w:p>
        </w:tc>
      </w:tr>
      <w:tr>
        <w:tc>
          <w:tcPr/>
          <w:p>
            <w:pPr>
              <w:pStyle w:val="Compact"/>
              <w:jc w:val="left"/>
            </w:pPr>
            <m:oMath>
              <m:r>
                <m:t>T</m:t>
              </m:r>
            </m:oMath>
          </w:p>
        </w:tc>
        <w:tc>
          <w:tcPr/>
          <w:p>
            <w:pPr>
              <w:pStyle w:val="Compact"/>
              <w:jc w:val="left"/>
            </w:pPr>
            <w:r>
              <w:t xml:space="preserve">Size ratio between levels; runs merged at once in tiering</w:t>
            </w:r>
          </w:p>
        </w:tc>
        <w:tc>
          <w:tcPr/>
          <w:p>
            <w:pPr>
              <w:pStyle w:val="Compact"/>
              <w:jc w:val="left"/>
            </w:pPr>
            <w:r>
              <w:t xml:space="preserve">dimensionless</w:t>
            </w:r>
          </w:p>
        </w:tc>
      </w:tr>
      <w:tr>
        <w:tc>
          <w:tcPr/>
          <w:p>
            <w:pPr>
              <w:pStyle w:val="Compact"/>
              <w:jc w:val="left"/>
            </w:pPr>
            <m:oMath>
              <m:r>
                <m:t>N</m:t>
              </m:r>
            </m:oMath>
          </w:p>
        </w:tc>
        <w:tc>
          <w:tcPr/>
          <w:p>
            <w:pPr>
              <w:pStyle w:val="Compact"/>
              <w:jc w:val="left"/>
            </w:pPr>
            <w:r>
              <w:t xml:space="preserve">Data size</w:t>
            </w:r>
          </w:p>
        </w:tc>
        <w:tc>
          <w:tcPr/>
          <w:p>
            <w:pPr>
              <w:pStyle w:val="Compact"/>
              <w:jc w:val="left"/>
            </w:pPr>
            <w:r>
              <w:t xml:space="preserve">bytes</w:t>
            </w:r>
          </w:p>
        </w:tc>
      </w:tr>
      <w:tr>
        <w:tc>
          <w:tcPr/>
          <w:p>
            <w:pPr>
              <w:pStyle w:val="Compact"/>
              <w:jc w:val="left"/>
            </w:pPr>
            <m:oMath>
              <m:r>
                <m:t>M</m:t>
              </m:r>
            </m:oMath>
          </w:p>
        </w:tc>
        <w:tc>
          <w:tcPr/>
          <w:p>
            <w:pPr>
              <w:pStyle w:val="Compact"/>
              <w:jc w:val="left"/>
            </w:pPr>
            <w:r>
              <w:t xml:space="preserve">Memtable flush size</w:t>
            </w:r>
          </w:p>
        </w:tc>
        <w:tc>
          <w:tcPr/>
          <w:p>
            <w:pPr>
              <w:pStyle w:val="Compact"/>
              <w:jc w:val="left"/>
            </w:pPr>
            <w:r>
              <w:t xml:space="preserve">bytes</w:t>
            </w:r>
          </w:p>
        </w:tc>
      </w:tr>
    </w:tbl>
    <w:p>
      <w:pPr>
        <w:pStyle w:val="BodyText"/>
      </w:pPr>
      <w:r>
        <w:t xml:space="preserve">The leveled term uses a simple average-case model: a byte entering a level is rewritten between about once (level nearly empty) and</w:t>
      </w:r>
      <w:r>
        <w:t xml:space="preserve"> </w:t>
      </w:r>
      <m:oMath>
        <m:r>
          <m:t>T</m:t>
        </m:r>
      </m:oMath>
      <w:r>
        <w:t xml:space="preserve"> </w:t>
      </w:r>
      <w:r>
        <w:t xml:space="preserve">times (level nearly full), so</w:t>
      </w:r>
      <w:r>
        <w:t xml:space="preserve"> </w:t>
      </w:r>
      <m:oMath>
        <m:d>
          <m:dPr>
            <m:begChr m:val="("/>
            <m:endChr m:val=")"/>
            <m:sepChr m:val=""/>
            <m:grow/>
          </m:dPr>
          <m:e>
            <m:r>
              <m:t>T</m:t>
            </m:r>
            <m:r>
              <m:rPr>
                <m:sty m:val="p"/>
              </m:rPr>
              <m:t>+</m:t>
            </m:r>
            <m:r>
              <m:t>1</m:t>
            </m:r>
          </m:e>
        </m:d>
        <m:r>
          <m:rPr>
            <m:sty m:val="p"/>
          </m:rPr>
          <m:t>/</m:t>
        </m:r>
        <m:r>
          <m:t>2</m:t>
        </m:r>
      </m:oMath>
      <w:r>
        <w:t xml:space="preserve"> </w:t>
      </w:r>
      <w:r>
        <w:t xml:space="preserve">per level on average. The asymptotic analyses give leveling</w:t>
      </w:r>
      <w:r>
        <w:t xml:space="preserve"> </w:t>
      </w:r>
      <m:oMath>
        <m:r>
          <m:t>O</m:t>
        </m:r>
        <m:d>
          <m:dPr>
            <m:begChr m:val="("/>
            <m:endChr m:val=")"/>
            <m:sepChr m:val=""/>
            <m:grow/>
          </m:dPr>
          <m:e>
            <m:r>
              <m:t>T</m:t>
            </m:r>
            <m:r>
              <m:rPr>
                <m:sty m:val="p"/>
              </m:rPr>
              <m:t>⋅</m:t>
            </m:r>
            <m:r>
              <m:t>L</m:t>
            </m:r>
          </m:e>
        </m:d>
      </m:oMath>
      <w:r>
        <w:t xml:space="preserve"> </w:t>
      </w:r>
      <w:r>
        <w:t xml:space="preserve">and tiering</w:t>
      </w:r>
      <w:r>
        <w:t xml:space="preserve"> </w:t>
      </w:r>
      <m:oMath>
        <m:r>
          <m:t>O</m:t>
        </m:r>
        <m:d>
          <m:dPr>
            <m:begChr m:val="("/>
            <m:endChr m:val=")"/>
            <m:sepChr m:val=""/>
            <m:grow/>
          </m:dPr>
          <m:e>
            <m:r>
              <m:t>L</m:t>
            </m:r>
          </m:e>
        </m:d>
      </m:oMath>
      <w:r>
        <w:t xml:space="preserve"> </w:t>
      </w:r>
      <w:r>
        <w:t xml:space="preserve">write cost [Dayan et al. 2017]; real engines differ in constants (the RocksDB wiki notes leveled write amplification</w:t>
      </w:r>
      <w:r>
        <w:t xml:space="preserve"> </w:t>
      </w:r>
      <w:r>
        <w:t xml:space="preserve">“</w:t>
      </w:r>
      <w:r>
        <w:t xml:space="preserve">often larger than 10</w:t>
      </w:r>
      <w:r>
        <w:t xml:space="preserve">”</w:t>
      </w:r>
      <w:r>
        <w:t xml:space="preserve">).</w:t>
      </w:r>
    </w:p>
    <w:p>
      <w:pPr>
        <w:pStyle w:val="CalloutExample"/>
      </w:pPr>
      <w:r>
        <w:rPr>
          <w:bCs/>
          <w:b/>
        </w:rPr>
        <w:t xml:space="preserve">WORKED EXAMPLE</w:t>
      </w:r>
    </w:p>
    <w:p>
      <w:pPr>
        <w:pStyle w:val="CalloutExample"/>
      </w:pPr>
      <w:r>
        <w:rPr>
          <w:bCs/>
          <w:b/>
        </w:rPr>
        <w:t xml:space="preserve">Worked example — 1 TB of data, 100 MB flushes.</w:t>
      </w:r>
    </w:p>
    <w:p>
      <w:pPr>
        <w:pStyle w:val="CalloutExample"/>
      </w:pPr>
      <m:oMath>
        <m:r>
          <m:t>N</m:t>
        </m:r>
        <m:r>
          <m:rPr>
            <m:sty m:val="p"/>
          </m:rPr>
          <m:t>/</m:t>
        </m:r>
        <m:r>
          <m:t>M</m:t>
        </m:r>
        <m:r>
          <m:rPr>
            <m:sty m:val="p"/>
          </m:rPr>
          <m:t>=</m:t>
        </m:r>
        <m:sSup>
          <m:e>
            <m:r>
              <m:t>10</m:t>
            </m:r>
          </m:e>
          <m:sup>
            <m:r>
              <m:t>12</m:t>
            </m:r>
          </m:sup>
        </m:sSup>
        <m:r>
          <m:rPr>
            <m:sty m:val="p"/>
          </m:rPr>
          <m:t>/</m:t>
        </m:r>
        <m:sSup>
          <m:e>
            <m:r>
              <m:t>10</m:t>
            </m:r>
          </m:e>
          <m:sup>
            <m:r>
              <m:t>8</m:t>
            </m:r>
          </m:sup>
        </m:sSup>
        <m:r>
          <m:rPr>
            <m:sty m:val="p"/>
          </m:rPr>
          <m:t>=</m:t>
        </m:r>
        <m:sSup>
          <m:e>
            <m:r>
              <m:t>10</m:t>
            </m:r>
          </m:e>
          <m:sup>
            <m:r>
              <m:t>4</m:t>
            </m:r>
          </m:sup>
        </m:sSup>
      </m:oMath>
      <w:r>
        <w:t xml:space="preserve">.</w:t>
      </w:r>
    </w:p>
    <w:p>
      <w:pPr>
        <w:numPr>
          <w:ilvl w:val="0"/>
          <w:numId w:val="1451"/>
        </w:numPr>
        <w:pStyle w:val="Compact"/>
      </w:pPr>
      <w:r>
        <w:rPr>
          <w:bCs/>
          <w:b/>
        </w:rPr>
        <w:t xml:space="preserve">Leveled,</w:t>
      </w:r>
      <w:r>
        <w:rPr>
          <w:bCs/>
          <w:b/>
        </w:rPr>
        <w:t xml:space="preserve"> </w:t>
      </w:r>
      <m:oMath>
        <m:r>
          <m:t>T</m:t>
        </m:r>
        <m:r>
          <m:rPr>
            <m:sty m:val="p"/>
          </m:rPr>
          <m:t>=</m:t>
        </m:r>
        <m:r>
          <m:t>10</m:t>
        </m:r>
      </m:oMath>
      <w:r>
        <w:rPr>
          <w:bCs/>
          <w:b/>
        </w:rPr>
        <w:t xml:space="preserve">:</w:t>
      </w:r>
      <w:r>
        <w:t xml:space="preserve"> </w:t>
      </w:r>
      <m:oMath>
        <m:r>
          <m:t>L</m:t>
        </m:r>
        <m:r>
          <m:rPr>
            <m:sty m:val="p"/>
          </m:rPr>
          <m:t>=</m:t>
        </m:r>
        <m:sSub>
          <m:e>
            <m:r>
              <m:rPr>
                <m:sty m:val="p"/>
              </m:rPr>
              <m:t>log</m:t>
            </m:r>
          </m:e>
          <m:sub>
            <m:r>
              <m:t>10</m:t>
            </m:r>
          </m:sub>
        </m:sSub>
        <m:sSup>
          <m:e>
            <m:r>
              <m:t>10</m:t>
            </m:r>
          </m:e>
          <m:sup>
            <m:r>
              <m:t>4</m:t>
            </m:r>
          </m:sup>
        </m:sSup>
        <m:r>
          <m:rPr>
            <m:sty m:val="p"/>
          </m:rPr>
          <m:t>=</m:t>
        </m:r>
        <m:r>
          <m:t>4</m:t>
        </m:r>
      </m:oMath>
      <w:r>
        <w:t xml:space="preserve">.</w:t>
      </w:r>
      <w:r>
        <w:t xml:space="preserve"> </w:t>
      </w:r>
      <m:oMath>
        <m:r>
          <m:t>W</m:t>
        </m:r>
        <m:r>
          <m:t>A</m:t>
        </m:r>
        <m:r>
          <m:rPr>
            <m:sty m:val="p"/>
          </m:rPr>
          <m:t>=</m:t>
        </m:r>
        <m:r>
          <m:t>2</m:t>
        </m:r>
        <m:r>
          <m:rPr>
            <m:sty m:val="p"/>
          </m:rPr>
          <m:t>+</m:t>
        </m:r>
        <m:r>
          <m:t>4</m:t>
        </m:r>
        <m:r>
          <m:rPr>
            <m:sty m:val="p"/>
          </m:rPr>
          <m:t>×</m:t>
        </m:r>
        <m:r>
          <m:t>5.5</m:t>
        </m:r>
        <m:r>
          <m:rPr>
            <m:sty m:val="p"/>
          </m:rPr>
          <m:t>=</m:t>
        </m:r>
        <m:r>
          <m:t>24</m:t>
        </m:r>
      </m:oMath>
      <w:r>
        <w:t xml:space="preserve">.</w:t>
      </w:r>
      <w:r>
        <w:t xml:space="preserve"> </w:t>
      </w:r>
      <m:oMath>
        <m:r>
          <m:t>R</m:t>
        </m:r>
        <m:r>
          <m:rPr>
            <m:sty m:val="p"/>
          </m:rPr>
          <m:t>=</m:t>
        </m:r>
        <m:r>
          <m:t>4</m:t>
        </m:r>
      </m:oMath>
      <w:r>
        <w:t xml:space="preserve">.</w:t>
      </w:r>
    </w:p>
    <w:p>
      <w:pPr>
        <w:numPr>
          <w:ilvl w:val="0"/>
          <w:numId w:val="1451"/>
        </w:numPr>
        <w:pStyle w:val="Compact"/>
      </w:pPr>
      <w:r>
        <w:rPr>
          <w:bCs/>
          <w:b/>
        </w:rPr>
        <w:t xml:space="preserve">Size-tiered,</w:t>
      </w:r>
      <w:r>
        <w:rPr>
          <w:bCs/>
          <w:b/>
        </w:rPr>
        <w:t xml:space="preserve"> </w:t>
      </w:r>
      <m:oMath>
        <m:r>
          <m:t>T</m:t>
        </m:r>
        <m:r>
          <m:rPr>
            <m:sty m:val="p"/>
          </m:rPr>
          <m:t>=</m:t>
        </m:r>
        <m:r>
          <m:t>4</m:t>
        </m:r>
      </m:oMath>
      <w:r>
        <w:rPr>
          <w:bCs/>
          <w:b/>
        </w:rPr>
        <w:t xml:space="preserve">:</w:t>
      </w:r>
      <w:r>
        <w:t xml:space="preserve"> </w:t>
      </w:r>
      <m:oMath>
        <m:r>
          <m:t>L</m:t>
        </m:r>
        <m:r>
          <m:rPr>
            <m:sty m:val="p"/>
          </m:rPr>
          <m:t>=</m:t>
        </m:r>
        <m:r>
          <m:rPr>
            <m:sty m:val="p"/>
          </m:rPr>
          <m:t>⌈</m:t>
        </m:r>
        <m:sSub>
          <m:e>
            <m:r>
              <m:rPr>
                <m:sty m:val="p"/>
              </m:rPr>
              <m:t>log</m:t>
            </m:r>
          </m:e>
          <m:sub>
            <m:r>
              <m:t>4</m:t>
            </m:r>
          </m:sub>
        </m:sSub>
        <m:sSup>
          <m:e>
            <m:r>
              <m:t>10</m:t>
            </m:r>
          </m:e>
          <m:sup>
            <m:r>
              <m:t>4</m:t>
            </m:r>
          </m:sup>
        </m:sSup>
        <m:r>
          <m:rPr>
            <m:sty m:val="p"/>
          </m:rPr>
          <m:t>⌉</m:t>
        </m:r>
        <m:r>
          <m:rPr>
            <m:sty m:val="p"/>
          </m:rPr>
          <m:t>=</m:t>
        </m:r>
        <m:r>
          <m:rPr>
            <m:sty m:val="p"/>
          </m:rPr>
          <m:t>⌈</m:t>
        </m:r>
        <m:r>
          <m:t>6.64</m:t>
        </m:r>
        <m:r>
          <m:rPr>
            <m:sty m:val="p"/>
          </m:rPr>
          <m:t>⌉</m:t>
        </m:r>
        <m:r>
          <m:rPr>
            <m:sty m:val="p"/>
          </m:rPr>
          <m:t>=</m:t>
        </m:r>
        <m:r>
          <m:t>7</m:t>
        </m:r>
      </m:oMath>
      <w:r>
        <w:t xml:space="preserve">.</w:t>
      </w:r>
      <w:r>
        <w:t xml:space="preserve"> </w:t>
      </w:r>
      <m:oMath>
        <m:r>
          <m:t>W</m:t>
        </m:r>
        <m:r>
          <m:t>A</m:t>
        </m:r>
        <m:r>
          <m:rPr>
            <m:sty m:val="p"/>
          </m:rPr>
          <m:t>=</m:t>
        </m:r>
        <m:r>
          <m:t>2</m:t>
        </m:r>
        <m:r>
          <m:rPr>
            <m:sty m:val="p"/>
          </m:rPr>
          <m:t>+</m:t>
        </m:r>
        <m:r>
          <m:t>7</m:t>
        </m:r>
        <m:r>
          <m:rPr>
            <m:sty m:val="p"/>
          </m:rPr>
          <m:t>=</m:t>
        </m:r>
        <m:r>
          <m:t>9</m:t>
        </m:r>
      </m:oMath>
      <w:r>
        <w:t xml:space="preserve">.</w:t>
      </w:r>
      <w:r>
        <w:t xml:space="preserve"> </w:t>
      </w:r>
      <m:oMath>
        <m:r>
          <m:t>R</m:t>
        </m:r>
        <m:r>
          <m:rPr>
            <m:sty m:val="p"/>
          </m:rPr>
          <m:t>=</m:t>
        </m:r>
        <m:r>
          <m:t>3</m:t>
        </m:r>
        <m:r>
          <m:rPr>
            <m:sty m:val="p"/>
          </m:rPr>
          <m:t>×</m:t>
        </m:r>
        <m:r>
          <m:t>7</m:t>
        </m:r>
        <m:r>
          <m:rPr>
            <m:sty m:val="p"/>
          </m:rPr>
          <m:t>=</m:t>
        </m:r>
        <m:r>
          <m:t>21</m:t>
        </m:r>
      </m:oMath>
      <w:r>
        <w:t xml:space="preserve">.</w:t>
      </w:r>
    </w:p>
    <w:p>
      <w:pPr>
        <w:numPr>
          <w:ilvl w:val="0"/>
          <w:numId w:val="1451"/>
        </w:numPr>
        <w:pStyle w:val="Compact"/>
      </w:pPr>
      <w:r>
        <w:rPr>
          <w:bCs/>
          <w:b/>
        </w:rPr>
        <w:t xml:space="preserve">Lazy leveling,</w:t>
      </w:r>
      <w:r>
        <w:rPr>
          <w:bCs/>
          <w:b/>
        </w:rPr>
        <w:t xml:space="preserve"> </w:t>
      </w:r>
      <m:oMath>
        <m:r>
          <m:t>T</m:t>
        </m:r>
        <m:r>
          <m:rPr>
            <m:sty m:val="p"/>
          </m:rPr>
          <m:t>=</m:t>
        </m:r>
        <m:r>
          <m:t>10</m:t>
        </m:r>
      </m:oMath>
      <w:r>
        <w:rPr>
          <w:bCs/>
          <w:b/>
        </w:rPr>
        <w:t xml:space="preserve">:</w:t>
      </w:r>
      <w:r>
        <w:t xml:space="preserve"> </w:t>
      </w:r>
      <m:oMath>
        <m:r>
          <m:t>L</m:t>
        </m:r>
        <m:r>
          <m:rPr>
            <m:sty m:val="p"/>
          </m:rPr>
          <m:t>=</m:t>
        </m:r>
        <m:r>
          <m:t>4</m:t>
        </m:r>
      </m:oMath>
      <w:r>
        <w:t xml:space="preserve">.</w:t>
      </w:r>
      <w:r>
        <w:t xml:space="preserve"> </w:t>
      </w:r>
      <m:oMath>
        <m:r>
          <m:t>W</m:t>
        </m:r>
        <m:r>
          <m:t>A</m:t>
        </m:r>
        <m:r>
          <m:rPr>
            <m:sty m:val="p"/>
          </m:rPr>
          <m:t>=</m:t>
        </m:r>
        <m:r>
          <m:t>2</m:t>
        </m:r>
        <m:r>
          <m:rPr>
            <m:sty m:val="p"/>
          </m:rPr>
          <m:t>+</m:t>
        </m:r>
        <m:r>
          <m:t>3</m:t>
        </m:r>
        <m:r>
          <m:rPr>
            <m:sty m:val="p"/>
          </m:rPr>
          <m:t>+</m:t>
        </m:r>
        <m:r>
          <m:t>5.5</m:t>
        </m:r>
        <m:r>
          <m:rPr>
            <m:sty m:val="p"/>
          </m:rPr>
          <m:t>=</m:t>
        </m:r>
        <m:r>
          <m:t>10.5</m:t>
        </m:r>
      </m:oMath>
      <w:r>
        <w:t xml:space="preserve">.</w:t>
      </w:r>
      <w:r>
        <w:t xml:space="preserve"> </w:t>
      </w:r>
      <m:oMath>
        <m:r>
          <m:t>R</m:t>
        </m:r>
        <m:r>
          <m:rPr>
            <m:sty m:val="p"/>
          </m:rPr>
          <m:t>=</m:t>
        </m:r>
        <m:r>
          <m:t>9</m:t>
        </m:r>
        <m:r>
          <m:rPr>
            <m:sty m:val="p"/>
          </m:rPr>
          <m:t>×</m:t>
        </m:r>
        <m:r>
          <m:t>3</m:t>
        </m:r>
        <m:r>
          <m:rPr>
            <m:sty m:val="p"/>
          </m:rPr>
          <m:t>+</m:t>
        </m:r>
        <m:r>
          <m:t>1</m:t>
        </m:r>
        <m:r>
          <m:rPr>
            <m:sty m:val="p"/>
          </m:rPr>
          <m:t>=</m:t>
        </m:r>
        <m:r>
          <m:t>28</m:t>
        </m:r>
      </m:oMath>
      <w:r>
        <w:t xml:space="preserve">.</w:t>
      </w:r>
    </w:p>
    <w:p>
      <w:pPr>
        <w:numPr>
          <w:ilvl w:val="0"/>
          <w:numId w:val="1451"/>
        </w:numPr>
        <w:pStyle w:val="Compact"/>
      </w:pPr>
      <w:r>
        <w:rPr>
          <w:bCs/>
          <w:b/>
        </w:rPr>
        <w:t xml:space="preserve">Daily device writes</w:t>
      </w:r>
      <w:r>
        <w:t xml:space="preserve"> </w:t>
      </w:r>
      <w:r>
        <w:t xml:space="preserve">if the application writes 50 GB/day: leveled</w:t>
      </w:r>
      <w:r>
        <w:t xml:space="preserve"> </w:t>
      </w:r>
      <m:oMath>
        <m:r>
          <m:t>24</m:t>
        </m:r>
        <m:r>
          <m:rPr>
            <m:sty m:val="p"/>
          </m:rPr>
          <m:t>×</m:t>
        </m:r>
        <m:r>
          <m:t>50</m:t>
        </m:r>
        <m:r>
          <m:rPr>
            <m:sty m:val="p"/>
          </m:rPr>
          <m:t>=</m:t>
        </m:r>
        <m:r>
          <m:t>1200</m:t>
        </m:r>
      </m:oMath>
      <w:r>
        <w:t xml:space="preserve"> </w:t>
      </w:r>
      <w:r>
        <w:t xml:space="preserve">GB; tiered</w:t>
      </w:r>
      <w:r>
        <w:t xml:space="preserve"> </w:t>
      </w:r>
      <m:oMath>
        <m:r>
          <m:t>9</m:t>
        </m:r>
        <m:r>
          <m:rPr>
            <m:sty m:val="p"/>
          </m:rPr>
          <m:t>×</m:t>
        </m:r>
        <m:r>
          <m:t>50</m:t>
        </m:r>
        <m:r>
          <m:rPr>
            <m:sty m:val="p"/>
          </m:rPr>
          <m:t>=</m:t>
        </m:r>
        <m:r>
          <m:t>450</m:t>
        </m:r>
      </m:oMath>
      <w:r>
        <w:t xml:space="preserve"> </w:t>
      </w:r>
      <w:r>
        <w:t xml:space="preserve">GB; lazy</w:t>
      </w:r>
      <w:r>
        <w:t xml:space="preserve"> </w:t>
      </w:r>
      <m:oMath>
        <m:r>
          <m:t>10.5</m:t>
        </m:r>
        <m:r>
          <m:rPr>
            <m:sty m:val="p"/>
          </m:rPr>
          <m:t>×</m:t>
        </m:r>
        <m:r>
          <m:t>50</m:t>
        </m:r>
        <m:r>
          <m:rPr>
            <m:sty m:val="p"/>
          </m:rPr>
          <m:t>=</m:t>
        </m:r>
        <m:r>
          <m:t>525</m:t>
        </m:r>
      </m:oMath>
      <w:r>
        <w:t xml:space="preserve"> </w:t>
      </w:r>
      <w:r>
        <w:t xml:space="preserve">GB.</w:t>
      </w:r>
    </w:p>
    <w:p>
      <w:pPr>
        <w:numPr>
          <w:ilvl w:val="0"/>
          <w:numId w:val="1451"/>
        </w:numPr>
        <w:pStyle w:val="Compact"/>
      </w:pPr>
      <w:r>
        <w:rPr>
          <w:bCs/>
          <w:b/>
        </w:rPr>
        <w:t xml:space="preserve">Space amplification:</w:t>
      </w:r>
      <w:r>
        <w:t xml:space="preserve"> </w:t>
      </w:r>
      <w:r>
        <w:t xml:space="preserve">leveled</w:t>
      </w:r>
      <w:r>
        <w:t xml:space="preserve"> </w:t>
      </w:r>
      <m:oMath>
        <m:r>
          <m:rPr>
            <m:sty m:val="p"/>
          </m:rPr>
          <m:t>≈</m:t>
        </m:r>
        <m:r>
          <m:t>1</m:t>
        </m:r>
        <m:r>
          <m:rPr>
            <m:sty m:val="p"/>
          </m:rPr>
          <m:t>+</m:t>
        </m:r>
        <m:r>
          <m:t>1</m:t>
        </m:r>
        <m:r>
          <m:rPr>
            <m:sty m:val="p"/>
          </m:rPr>
          <m:t>/</m:t>
        </m:r>
        <m:d>
          <m:dPr>
            <m:begChr m:val="("/>
            <m:endChr m:val=")"/>
            <m:sepChr m:val=""/>
            <m:grow/>
          </m:dPr>
          <m:e>
            <m:r>
              <m:t>T</m:t>
            </m:r>
            <m:r>
              <m:rPr>
                <m:sty m:val="p"/>
              </m:rPr>
              <m:t>−</m:t>
            </m:r>
            <m:r>
              <m:t>1</m:t>
            </m:r>
          </m:e>
        </m:d>
        <m:r>
          <m:rPr>
            <m:sty m:val="p"/>
          </m:rPr>
          <m:t>=</m:t>
        </m:r>
        <m:r>
          <m:t>1.11</m:t>
        </m:r>
      </m:oMath>
      <w:r>
        <w:t xml:space="preserve"> </w:t>
      </w:r>
      <w:r>
        <w:t xml:space="preserve">(upper levels together are at most a ninth of the last); tiered, in the worst case of the whole dataset being overwritten, up to</w:t>
      </w:r>
      <w:r>
        <w:t xml:space="preserve"> </w:t>
      </w:r>
      <m:oMath>
        <m:r>
          <m:t>T</m:t>
        </m:r>
        <m:r>
          <m:rPr>
            <m:sty m:val="p"/>
          </m:rPr>
          <m:t>−</m:t>
        </m:r>
        <m:r>
          <m:t>1</m:t>
        </m:r>
        <m:r>
          <m:rPr>
            <m:sty m:val="p"/>
          </m:rPr>
          <m:t>=</m:t>
        </m:r>
        <m:r>
          <m:t>3</m:t>
        </m:r>
      </m:oMath>
      <w:r>
        <w:t xml:space="preserve"> </w:t>
      </w:r>
      <w:r>
        <w:t xml:space="preserve">copies at the largest tier plus temporary space for the merge in progress; lazy leveling</w:t>
      </w:r>
      <w:r>
        <w:t xml:space="preserve"> </w:t>
      </w:r>
      <m:oMath>
        <m:r>
          <m:rPr>
            <m:sty m:val="p"/>
          </m:rPr>
          <m:t>≈</m:t>
        </m:r>
        <m:r>
          <m:t>1.11</m:t>
        </m:r>
      </m:oMath>
      <w:r>
        <w:t xml:space="preserve">, because its last level is leveled.</w:t>
      </w:r>
    </w:p>
    <w:p>
      <w:pPr>
        <w:pStyle w:val="CalloutExample"/>
      </w:pPr>
      <w:r>
        <w:rPr>
          <w:bCs/>
          <w:b/>
        </w:rPr>
        <w:t xml:space="preserve">Interpretation.</w:t>
      </w:r>
      <w:r>
        <w:t xml:space="preserve"> </w:t>
      </w:r>
      <w:r>
        <w:t xml:space="preserve">Tiering writes 2.7× less than leveling but may probe 5× more runs. Bloom filters (§13.10) make that cheap for point lookups — 21 runs at 1% false positives cost 0.21 wasted reads — but not for range scans.</w:t>
      </w:r>
      <w:r>
        <w:t xml:space="preserve"> </w:t>
      </w:r>
      <w:r>
        <w:rPr>
          <w:bCs/>
          <w:b/>
        </w:rPr>
        <w:t xml:space="preserve">Engineering implication.</w:t>
      </w:r>
      <w:r>
        <w:t xml:space="preserve"> </w:t>
      </w:r>
      <w:r>
        <w:t xml:space="preserve">Level for read-heavy, space-sensitive flash workloads; tier for write-heavy ingest. The SSD’s own WAF multiplies on top: 1.2 TB/day at WAF 2 is 2.4 TB/day of flash wear (§5.6.3).</w:t>
      </w:r>
    </w:p>
    <w:p>
      <w:pPr>
        <w:pStyle w:val="BodyText"/>
      </w:pPr>
      <w:r>
        <w:rPr>
          <w:bCs/>
          <w:b/>
        </w:rPr>
        <w:t xml:space="preserve">Table 13.5 — Compaction strategies compared.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Size-tiered</w:t>
            </w:r>
          </w:p>
        </w:tc>
        <w:tc>
          <w:tcPr/>
          <w:p>
            <w:pPr>
              <w:pStyle w:val="Compact"/>
              <w:jc w:val="left"/>
            </w:pPr>
            <w:r>
              <w:t xml:space="preserve">Leveled</w:t>
            </w:r>
          </w:p>
        </w:tc>
        <w:tc>
          <w:tcPr/>
          <w:p>
            <w:pPr>
              <w:pStyle w:val="Compact"/>
              <w:jc w:val="left"/>
            </w:pPr>
            <w:r>
              <w:t xml:space="preserve">Tiered + leveled (lazy)</w:t>
            </w:r>
          </w:p>
        </w:tc>
      </w:tr>
      <w:tr>
        <w:tc>
          <w:tcPr/>
          <w:p>
            <w:pPr>
              <w:pStyle w:val="Compact"/>
              <w:jc w:val="left"/>
            </w:pPr>
            <w:r>
              <w:t xml:space="preserve">What it is</w:t>
            </w:r>
          </w:p>
        </w:tc>
        <w:tc>
          <w:tcPr/>
          <w:p>
            <w:pPr>
              <w:pStyle w:val="Compact"/>
              <w:jc w:val="left"/>
            </w:pPr>
            <w:r>
              <w:t xml:space="preserve">Merge runs of similar size</w:t>
            </w:r>
          </w:p>
        </w:tc>
        <w:tc>
          <w:tcPr/>
          <w:p>
            <w:pPr>
              <w:pStyle w:val="Compact"/>
              <w:jc w:val="left"/>
            </w:pPr>
            <w:r>
              <w:t xml:space="preserve">One sorted run per level</w:t>
            </w:r>
          </w:p>
        </w:tc>
        <w:tc>
          <w:tcPr/>
          <w:p>
            <w:pPr>
              <w:pStyle w:val="Compact"/>
              <w:jc w:val="left"/>
            </w:pPr>
            <w:r>
              <w:t xml:space="preserve">Tiers above, one run at the bottom</w:t>
            </w:r>
          </w:p>
        </w:tc>
      </w:tr>
      <w:tr>
        <w:tc>
          <w:tcPr/>
          <w:p>
            <w:pPr>
              <w:pStyle w:val="Compact"/>
              <w:jc w:val="left"/>
            </w:pPr>
            <w:r>
              <w:t xml:space="preserve">Write amplification</w:t>
            </w:r>
          </w:p>
        </w:tc>
        <w:tc>
          <w:tcPr/>
          <w:p>
            <w:pPr>
              <w:pStyle w:val="Compact"/>
              <w:jc w:val="left"/>
            </w:pPr>
            <w:r>
              <w:t xml:space="preserve">Low (</w:t>
            </w:r>
            <m:oMath>
              <m:r>
                <m:rPr>
                  <m:sty m:val="p"/>
                </m:rPr>
                <m:t>≈</m:t>
              </m:r>
              <m:r>
                <m:t>L</m:t>
              </m:r>
            </m:oMath>
            <w:r>
              <w:t xml:space="preserve">)</w:t>
            </w:r>
          </w:p>
        </w:tc>
        <w:tc>
          <w:tcPr/>
          <w:p>
            <w:pPr>
              <w:pStyle w:val="Compact"/>
              <w:jc w:val="left"/>
            </w:pPr>
            <w:r>
              <w:t xml:space="preserve">High (</w:t>
            </w:r>
            <m:oMath>
              <m:r>
                <m:rPr>
                  <m:sty m:val="p"/>
                </m:rPr>
                <m:t>≈</m:t>
              </m:r>
              <m:r>
                <m:t>T</m:t>
              </m:r>
              <m:r>
                <m:rPr>
                  <m:sty m:val="p"/>
                </m:rPr>
                <m:t>⋅</m:t>
              </m:r>
              <m:r>
                <m:t>L</m:t>
              </m:r>
              <m:r>
                <m:rPr>
                  <m:sty m:val="p"/>
                </m:rPr>
                <m:t>/</m:t>
              </m:r>
              <m:r>
                <m:t>2</m:t>
              </m:r>
            </m:oMath>
            <w:r>
              <w:t xml:space="preserve">)</w:t>
            </w:r>
          </w:p>
        </w:tc>
        <w:tc>
          <w:tcPr/>
          <w:p>
            <w:pPr>
              <w:pStyle w:val="Compact"/>
              <w:jc w:val="left"/>
            </w:pPr>
            <w:r>
              <w:t xml:space="preserve">Low-medium</w:t>
            </w:r>
          </w:p>
        </w:tc>
      </w:tr>
      <w:tr>
        <w:tc>
          <w:tcPr/>
          <w:p>
            <w:pPr>
              <w:pStyle w:val="Compact"/>
              <w:jc w:val="left"/>
            </w:pPr>
            <w:r>
              <w:t xml:space="preserve">Point read (with Bloom filters)</w:t>
            </w:r>
          </w:p>
        </w:tc>
        <w:tc>
          <w:tcPr/>
          <w:p>
            <w:pPr>
              <w:pStyle w:val="Compact"/>
              <w:jc w:val="left"/>
            </w:pPr>
            <w:r>
              <w:t xml:space="preserve">Good</w:t>
            </w:r>
          </w:p>
        </w:tc>
        <w:tc>
          <w:tcPr/>
          <w:p>
            <w:pPr>
              <w:pStyle w:val="Compact"/>
              <w:jc w:val="left"/>
            </w:pPr>
            <w:r>
              <w:t xml:space="preserve">Best</w:t>
            </w:r>
          </w:p>
        </w:tc>
        <w:tc>
          <w:tcPr/>
          <w:p>
            <w:pPr>
              <w:pStyle w:val="Compact"/>
              <w:jc w:val="left"/>
            </w:pPr>
            <w:r>
              <w:t xml:space="preserve">Good</w:t>
            </w:r>
          </w:p>
        </w:tc>
      </w:tr>
      <w:tr>
        <w:tc>
          <w:tcPr/>
          <w:p>
            <w:pPr>
              <w:pStyle w:val="Compact"/>
              <w:jc w:val="left"/>
            </w:pPr>
            <w:r>
              <w:t xml:space="preserve">Range scan</w:t>
            </w:r>
          </w:p>
        </w:tc>
        <w:tc>
          <w:tcPr/>
          <w:p>
            <w:pPr>
              <w:pStyle w:val="Compact"/>
              <w:jc w:val="left"/>
            </w:pPr>
            <w:r>
              <w:t xml:space="preserve">Poor: many runs</w:t>
            </w:r>
          </w:p>
        </w:tc>
        <w:tc>
          <w:tcPr/>
          <w:p>
            <w:pPr>
              <w:pStyle w:val="Compact"/>
              <w:jc w:val="left"/>
            </w:pPr>
            <w:r>
              <w:t xml:space="preserve">Best</w:t>
            </w:r>
          </w:p>
        </w:tc>
        <w:tc>
          <w:tcPr/>
          <w:p>
            <w:pPr>
              <w:pStyle w:val="Compact"/>
              <w:jc w:val="left"/>
            </w:pPr>
            <w:r>
              <w:t xml:space="preserve">Medium</w:t>
            </w:r>
          </w:p>
        </w:tc>
      </w:tr>
      <w:tr>
        <w:tc>
          <w:tcPr/>
          <w:p>
            <w:pPr>
              <w:pStyle w:val="Compact"/>
              <w:jc w:val="left"/>
            </w:pPr>
            <w:r>
              <w:t xml:space="preserve">Space amplification</w:t>
            </w:r>
          </w:p>
        </w:tc>
        <w:tc>
          <w:tcPr/>
          <w:p>
            <w:pPr>
              <w:pStyle w:val="Compact"/>
              <w:jc w:val="left"/>
            </w:pPr>
            <w:r>
              <w:t xml:space="preserve">High; merge needs free space</w:t>
            </w:r>
          </w:p>
        </w:tc>
        <w:tc>
          <w:tcPr/>
          <w:p>
            <w:pPr>
              <w:pStyle w:val="Compact"/>
              <w:jc w:val="left"/>
            </w:pPr>
            <w:r>
              <w:t xml:space="preserve">~1.1</w:t>
            </w:r>
          </w:p>
        </w:tc>
        <w:tc>
          <w:tcPr/>
          <w:p>
            <w:pPr>
              <w:pStyle w:val="Compact"/>
              <w:jc w:val="left"/>
            </w:pPr>
            <w:r>
              <w:t xml:space="preserve">~1.1</w:t>
            </w:r>
          </w:p>
        </w:tc>
      </w:tr>
      <w:tr>
        <w:tc>
          <w:tcPr/>
          <w:p>
            <w:pPr>
              <w:pStyle w:val="Compact"/>
              <w:jc w:val="left"/>
            </w:pPr>
            <w:r>
              <w:t xml:space="preserve">Examples</w:t>
            </w:r>
          </w:p>
        </w:tc>
        <w:tc>
          <w:tcPr/>
          <w:p>
            <w:pPr>
              <w:pStyle w:val="Compact"/>
              <w:jc w:val="left"/>
            </w:pPr>
            <w:r>
              <w:t xml:space="preserve">Cassandra STCS, RocksDB universal</w:t>
            </w:r>
          </w:p>
        </w:tc>
        <w:tc>
          <w:tcPr/>
          <w:p>
            <w:pPr>
              <w:pStyle w:val="Compact"/>
              <w:jc w:val="left"/>
            </w:pPr>
            <w:r>
              <w:t xml:space="preserve">LevelDB, RocksDB default, Cassandra LCS</w:t>
            </w:r>
          </w:p>
        </w:tc>
        <w:tc>
          <w:tcPr/>
          <w:p>
            <w:pPr>
              <w:pStyle w:val="Compact"/>
              <w:jc w:val="left"/>
            </w:pPr>
            <w:r>
              <w:t xml:space="preserve">Dostoevsky; Cassandra UCS settings</w:t>
            </w:r>
          </w:p>
        </w:tc>
      </w:tr>
      <w:tr>
        <w:tc>
          <w:tcPr/>
          <w:p>
            <w:pPr>
              <w:pStyle w:val="Compact"/>
              <w:jc w:val="left"/>
            </w:pPr>
            <w:r>
              <w:t xml:space="preserve">Choose when</w:t>
            </w:r>
          </w:p>
        </w:tc>
        <w:tc>
          <w:tcPr/>
          <w:p>
            <w:pPr>
              <w:pStyle w:val="Compact"/>
              <w:jc w:val="left"/>
            </w:pPr>
            <w:r>
              <w:t xml:space="preserve">Ingest-heavy, few reads, ample disk</w:t>
            </w:r>
          </w:p>
        </w:tc>
        <w:tc>
          <w:tcPr/>
          <w:p>
            <w:pPr>
              <w:pStyle w:val="Compact"/>
              <w:jc w:val="left"/>
            </w:pPr>
            <w:r>
              <w:t xml:space="preserve">Read-heavy, updates, SSD cost matters</w:t>
            </w:r>
          </w:p>
        </w:tc>
        <w:tc>
          <w:tcPr/>
          <w:p>
            <w:pPr>
              <w:pStyle w:val="Compact"/>
              <w:jc w:val="left"/>
            </w:pPr>
            <w:r>
              <w:t xml:space="preserve">Mixed, write-heavy with point reads</w:t>
            </w:r>
          </w:p>
        </w:tc>
      </w:tr>
    </w:tbl>
    <w:bookmarkEnd w:id="1514"/>
    <w:bookmarkStart w:id="1515" w:name="failure-scenarios-34"/>
    <w:p>
      <w:pPr>
        <w:pStyle w:val="Heading4"/>
      </w:pPr>
      <w:r>
        <w:t xml:space="preserve">Failure scenarios</w:t>
      </w:r>
    </w:p>
    <w:p>
      <w:pPr>
        <w:pStyle w:val="FirstParagraph"/>
      </w:pPr>
      <w:r>
        <w:rPr>
          <w:bCs/>
          <w:b/>
        </w:rPr>
        <w:t xml:space="preserve">Table 13.6 — LSM 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Writes stall or stop</w:t>
            </w:r>
          </w:p>
        </w:tc>
        <w:tc>
          <w:tcPr/>
          <w:p>
            <w:pPr>
              <w:pStyle w:val="Compact"/>
              <w:jc w:val="left"/>
            </w:pPr>
            <w:r>
              <w:t xml:space="preserve">Compaction cannot keep up; L0 file or pending-bytes limits hit</w:t>
            </w:r>
          </w:p>
        </w:tc>
        <w:tc>
          <w:tcPr/>
          <w:p>
            <w:pPr>
              <w:pStyle w:val="Compact"/>
              <w:jc w:val="left"/>
            </w:pPr>
            <w:r>
              <w:t xml:space="preserve">Stall counters; L0 file count</w:t>
            </w:r>
          </w:p>
        </w:tc>
        <w:tc>
          <w:tcPr/>
          <w:p>
            <w:pPr>
              <w:pStyle w:val="Compact"/>
              <w:jc w:val="left"/>
            </w:pPr>
            <w:r>
              <w:t xml:space="preserve">Add compaction threads; reduce ingest</w:t>
            </w:r>
          </w:p>
        </w:tc>
        <w:tc>
          <w:tcPr/>
          <w:p>
            <w:pPr>
              <w:pStyle w:val="Compact"/>
              <w:jc w:val="left"/>
            </w:pPr>
            <w:r>
              <w:t xml:space="preserve">Provision compaction I/O; tiered strategy for ingest</w:t>
            </w:r>
          </w:p>
        </w:tc>
      </w:tr>
      <w:tr>
        <w:tc>
          <w:tcPr/>
          <w:p>
            <w:pPr>
              <w:pStyle w:val="Compact"/>
              <w:jc w:val="left"/>
            </w:pPr>
            <w:r>
              <w:t xml:space="preserve">Disk full during compaction</w:t>
            </w:r>
          </w:p>
        </w:tc>
        <w:tc>
          <w:tcPr/>
          <w:p>
            <w:pPr>
              <w:pStyle w:val="Compact"/>
              <w:jc w:val="left"/>
            </w:pPr>
            <w:r>
              <w:t xml:space="preserve">Size-tiered merge needs free space for output</w:t>
            </w:r>
          </w:p>
        </w:tc>
        <w:tc>
          <w:tcPr/>
          <w:p>
            <w:pPr>
              <w:pStyle w:val="Compact"/>
              <w:jc w:val="left"/>
            </w:pPr>
            <w:r>
              <w:t xml:space="preserve">Free-space alerts during large merges</w:t>
            </w:r>
          </w:p>
        </w:tc>
        <w:tc>
          <w:tcPr/>
          <w:p>
            <w:pPr>
              <w:pStyle w:val="Compact"/>
              <w:jc w:val="left"/>
            </w:pPr>
            <w:r>
              <w:t xml:space="preserve">Add disk; switch strategy</w:t>
            </w:r>
          </w:p>
        </w:tc>
        <w:tc>
          <w:tcPr/>
          <w:p>
            <w:pPr>
              <w:pStyle w:val="Compact"/>
              <w:jc w:val="left"/>
            </w:pPr>
            <w:r>
              <w:t xml:space="preserve">Keep ~50% free with STCS; leveled compaction</w:t>
            </w:r>
          </w:p>
        </w:tc>
      </w:tr>
      <w:tr>
        <w:tc>
          <w:tcPr/>
          <w:p>
            <w:pPr>
              <w:pStyle w:val="Compact"/>
              <w:jc w:val="left"/>
            </w:pPr>
            <w:r>
              <w:t xml:space="preserve">Reads slow after mass delete</w:t>
            </w:r>
          </w:p>
        </w:tc>
        <w:tc>
          <w:tcPr/>
          <w:p>
            <w:pPr>
              <w:pStyle w:val="Compact"/>
              <w:jc w:val="left"/>
            </w:pPr>
            <w:r>
              <w:t xml:space="preserve">Tombstones not yet compacted away; scans skip millions</w:t>
            </w:r>
          </w:p>
        </w:tc>
        <w:tc>
          <w:tcPr/>
          <w:p>
            <w:pPr>
              <w:pStyle w:val="Compact"/>
              <w:jc w:val="left"/>
            </w:pPr>
            <w:r>
              <w:t xml:space="preserve">Tombstones scanned per query</w:t>
            </w:r>
          </w:p>
        </w:tc>
        <w:tc>
          <w:tcPr/>
          <w:p>
            <w:pPr>
              <w:pStyle w:val="Compact"/>
              <w:jc w:val="left"/>
            </w:pPr>
            <w:r>
              <w:t xml:space="preserve">Force compaction of the range</w:t>
            </w:r>
          </w:p>
        </w:tc>
        <w:tc>
          <w:tcPr/>
          <w:p>
            <w:pPr>
              <w:pStyle w:val="Compact"/>
              <w:jc w:val="left"/>
            </w:pPr>
            <w:r>
              <w:t xml:space="preserve">Range deletes; TTL-aware compaction</w:t>
            </w:r>
          </w:p>
        </w:tc>
      </w:tr>
      <w:tr>
        <w:tc>
          <w:tcPr/>
          <w:p>
            <w:pPr>
              <w:pStyle w:val="Compact"/>
              <w:jc w:val="left"/>
            </w:pPr>
            <w:r>
              <w:t xml:space="preserve">Deleted data reappears</w:t>
            </w:r>
          </w:p>
        </w:tc>
        <w:tc>
          <w:tcPr/>
          <w:p>
            <w:pPr>
              <w:pStyle w:val="Compact"/>
              <w:jc w:val="left"/>
            </w:pPr>
            <w:r>
              <w:t xml:space="preserve">Replica missed a tombstone that was purged before repair (Cassandra)</w:t>
            </w:r>
          </w:p>
        </w:tc>
        <w:tc>
          <w:tcPr/>
          <w:p>
            <w:pPr>
              <w:pStyle w:val="Compact"/>
              <w:jc w:val="left"/>
            </w:pPr>
            <w:r>
              <w:t xml:space="preserve">Repair or audit finds old values</w:t>
            </w:r>
          </w:p>
        </w:tc>
        <w:tc>
          <w:tcPr/>
          <w:p>
            <w:pPr>
              <w:pStyle w:val="Compact"/>
              <w:jc w:val="left"/>
            </w:pPr>
            <w:r>
              <w:t xml:space="preserve">Re-delete; repair</w:t>
            </w:r>
          </w:p>
        </w:tc>
        <w:tc>
          <w:tcPr/>
          <w:p>
            <w:pPr>
              <w:pStyle w:val="Compact"/>
              <w:jc w:val="left"/>
            </w:pPr>
            <w:r>
              <w:t xml:space="preserve">Repair within</w:t>
            </w:r>
            <w:r>
              <w:t xml:space="preserve"> </w:t>
            </w:r>
            <w:r>
              <w:rPr>
                <w:rStyle w:val="VerbatimChar"/>
              </w:rPr>
              <w:t xml:space="preserve">gc_grace_seconds</w:t>
            </w:r>
          </w:p>
        </w:tc>
      </w:tr>
    </w:tbl>
    <w:p>
      <w:pPr>
        <w:pStyle w:val="CalloutMistake"/>
      </w:pPr>
      <w:r>
        <w:rPr>
          <w:bCs/>
          <w:b/>
        </w:rPr>
        <w:t xml:space="preserve">COMMON MISTAKE</w:t>
      </w:r>
    </w:p>
    <w:p>
      <w:pPr>
        <w:pStyle w:val="CalloutMistake"/>
      </w:pPr>
      <w:r>
        <w:rPr>
          <w:bCs/>
          <w:b/>
        </w:rPr>
        <w:t xml:space="preserve">“</w:t>
      </w:r>
      <w:r>
        <w:rPr>
          <w:bCs/>
          <w:b/>
        </w:rPr>
        <w:t xml:space="preserve">Compaction is housekeeping you can ignore.</w:t>
      </w:r>
      <w:r>
        <w:rPr>
          <w:bCs/>
          <w:b/>
        </w:rPr>
        <w:t xml:space="preserve">”</w:t>
      </w:r>
      <w:r>
        <w:t xml:space="preserve"> </w:t>
      </w:r>
      <w:r>
        <w:t xml:space="preserve">Compaction</w:t>
      </w:r>
      <w:r>
        <w:t xml:space="preserve"> </w:t>
      </w:r>
      <w:r>
        <w:rPr>
          <w:iCs/>
          <w:i/>
        </w:rPr>
        <w:t xml:space="preserve">is</w:t>
      </w:r>
      <w:r>
        <w:t xml:space="preserve"> </w:t>
      </w:r>
      <w:r>
        <w:t xml:space="preserve">the cost of an LSM tree: often 10–30 times the application’s write volume, competing with reads for I/O, and its backlog decides whether writes stall. Budget compaction bandwidth, not just ingest.</w:t>
      </w:r>
    </w:p>
    <w:bookmarkEnd w:id="1515"/>
    <w:bookmarkEnd w:id="1516"/>
    <w:bookmarkEnd w:id="1517"/>
    <w:bookmarkStart w:id="1518" w:name="bloom-filters-in-storage"/>
    <w:p>
      <w:pPr>
        <w:pStyle w:val="Heading2"/>
      </w:pPr>
      <w:r>
        <w:t xml:space="preserve">13.10 Bloom filters in storage</w:t>
      </w:r>
    </w:p>
    <w:p>
      <w:pPr>
        <w:pStyle w:val="FirstParagraph"/>
      </w:pPr>
      <w:r>
        <w:t xml:space="preserve">A</w:t>
      </w:r>
      <w:r>
        <w:t xml:space="preserve"> </w:t>
      </w:r>
      <w:r>
        <w:rPr>
          <w:bCs/>
          <w:b/>
        </w:rPr>
        <w:t xml:space="preserve">Bloom filter</w:t>
      </w:r>
      <w:r>
        <w:t xml:space="preserve"> </w:t>
      </w:r>
      <w:r>
        <w:t xml:space="preserve">is a compact bit array answering</w:t>
      </w:r>
      <w:r>
        <w:t xml:space="preserve"> </w:t>
      </w:r>
      <w:r>
        <w:t xml:space="preserve">“</w:t>
      </w:r>
      <w:r>
        <w:t xml:space="preserve">definitely not</w:t>
      </w:r>
      <w:r>
        <w:t xml:space="preserve">”</w:t>
      </w:r>
      <w:r>
        <w:t xml:space="preserve"> </w:t>
      </w:r>
      <w:r>
        <w:t xml:space="preserve">or</w:t>
      </w:r>
      <w:r>
        <w:t xml:space="preserve"> </w:t>
      </w:r>
      <w:r>
        <w:t xml:space="preserve">“</w:t>
      </w:r>
      <w:r>
        <w:t xml:space="preserve">probably yes</w:t>
      </w:r>
      <w:r>
        <w:t xml:space="preserve">”</w:t>
      </w:r>
      <w:r>
        <w:t xml:space="preserve"> </w:t>
      </w:r>
      <w:r>
        <w:t xml:space="preserve">to set membership (full treatment in §17.4). LSM engines keep one per SSTable in memory, so most files lacking a key are skipped without I/O.</w:t>
      </w:r>
    </w:p>
    <w:p>
      <w:pPr>
        <w:pStyle w:val="CalloutFormula"/>
      </w:pPr>
      <w:r>
        <w:rPr>
          <w:bCs/>
          <w:b/>
        </w:rPr>
        <w:t xml:space="preserve">FORMULA</w:t>
      </w:r>
    </w:p>
    <w:p>
      <w:pPr>
        <w:pStyle w:val="CalloutFormula"/>
      </w:pPr>
      <w:r>
        <w:rPr>
          <w:bCs/>
          <w:b/>
        </w:rPr>
        <w:t xml:space="preserve">Bloom filter false-positive rate (summary of §17.4)</w:t>
      </w:r>
    </w:p>
    <w:p>
      <w:pPr>
        <w:pStyle w:val="CalloutFormula"/>
      </w:pPr>
      <m:oMathPara>
        <m:oMathParaPr>
          <m:jc m:val="center"/>
        </m:oMathParaPr>
        <m:oMath>
          <m:r>
            <m:t>p</m:t>
          </m:r>
          <m:r>
            <m:rPr>
              <m:sty m:val="p"/>
            </m:rPr>
            <m:t>≈</m:t>
          </m:r>
          <m:sSup>
            <m:e>
              <m:d>
                <m:dPr>
                  <m:begChr m:val="("/>
                  <m:endChr m:val=")"/>
                  <m:sepChr m:val=""/>
                  <m:grow/>
                </m:dPr>
                <m:e>
                  <m:r>
                    <m:t>1</m:t>
                  </m:r>
                  <m:r>
                    <m:rPr>
                      <m:sty m:val="p"/>
                    </m:rPr>
                    <m:t>−</m:t>
                  </m:r>
                  <m:sSup>
                    <m:e>
                      <m:r>
                        <m:t>e</m:t>
                      </m:r>
                    </m:e>
                    <m:sup>
                      <m:r>
                        <m:rPr>
                          <m:sty m:val="p"/>
                        </m:rPr>
                        <m:t>−</m:t>
                      </m:r>
                      <m:r>
                        <m:t>k</m:t>
                      </m:r>
                      <m:r>
                        <m:t>n</m:t>
                      </m:r>
                      <m:r>
                        <m:rPr>
                          <m:sty m:val="p"/>
                        </m:rPr>
                        <m:t>/</m:t>
                      </m:r>
                      <m:r>
                        <m:t>m</m:t>
                      </m:r>
                    </m:sup>
                  </m:sSup>
                </m:e>
              </m:d>
            </m:e>
            <m:sup>
              <m:r>
                <m:t>k</m:t>
              </m:r>
            </m:sup>
          </m:sSup>
          <m:r>
            <m:rPr>
              <m:sty m:val="p"/>
            </m:rPr>
            <m:t>,</m:t>
          </m:r>
          <m:r>
            <m:t>  </m:t>
          </m:r>
          <m:sSub>
            <m:e>
              <m:r>
                <m:t>k</m:t>
              </m:r>
            </m:e>
            <m:sub>
              <m:r>
                <m:t>o</m:t>
              </m:r>
              <m:r>
                <m:t>p</m:t>
              </m:r>
              <m:r>
                <m:t>t</m:t>
              </m:r>
            </m:sub>
          </m:sSub>
          <m:r>
            <m:rPr>
              <m:sty m:val="p"/>
            </m:rPr>
            <m:t>=</m:t>
          </m:r>
          <m:f>
            <m:fPr>
              <m:type m:val="bar"/>
            </m:fPr>
            <m:num>
              <m:r>
                <m:t>m</m:t>
              </m:r>
            </m:num>
            <m:den>
              <m:r>
                <m:t>n</m:t>
              </m:r>
            </m:den>
          </m:f>
          <m:r>
            <m:rPr>
              <m:sty m:val="p"/>
            </m:rPr>
            <m:t>ln</m:t>
          </m:r>
          <m:r>
            <m:t>2</m:t>
          </m:r>
          <m:r>
            <m:rPr>
              <m:sty m:val="p"/>
            </m:rPr>
            <m:t>,</m:t>
          </m:r>
          <m:r>
            <m:t>  </m:t>
          </m:r>
          <m:sSub>
            <m:e>
              <m:r>
                <m:t>p</m:t>
              </m:r>
            </m:e>
            <m:sub>
              <m:r>
                <m:t>o</m:t>
              </m:r>
              <m:r>
                <m:t>p</m:t>
              </m:r>
              <m:r>
                <m:t>t</m:t>
              </m:r>
            </m:sub>
          </m:sSub>
          <m:r>
            <m:rPr>
              <m:sty m:val="p"/>
            </m:rPr>
            <m:t>≈</m:t>
          </m:r>
          <m:sSup>
            <m:e>
              <m:r>
                <m:t>0.6185</m:t>
              </m:r>
            </m:e>
            <m:sup>
              <m:r>
                <m:t> </m:t>
              </m:r>
              <m:r>
                <m:t>m</m:t>
              </m:r>
              <m:r>
                <m:rPr>
                  <m:sty m:val="p"/>
                </m:rPr>
                <m:t>/</m:t>
              </m:r>
              <m:r>
                <m:t>n</m:t>
              </m:r>
            </m:sup>
          </m:sSup>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p</m:t>
              </m:r>
            </m:oMath>
          </w:p>
        </w:tc>
        <w:tc>
          <w:tcPr/>
          <w:p>
            <w:pPr>
              <w:pStyle w:val="Compact"/>
              <w:jc w:val="left"/>
            </w:pPr>
            <w:r>
              <w:t xml:space="preserve">Probability that an absent key gets</w:t>
            </w:r>
            <w:r>
              <w:t xml:space="preserve"> </w:t>
            </w:r>
            <w:r>
              <w:t xml:space="preserve">“</w:t>
            </w:r>
            <w:r>
              <w:t xml:space="preserve">probably yes</w:t>
            </w:r>
            <w:r>
              <w:t xml:space="preserve">”</w:t>
            </w:r>
          </w:p>
        </w:tc>
        <w:tc>
          <w:tcPr/>
          <w:p>
            <w:pPr>
              <w:pStyle w:val="Compact"/>
              <w:jc w:val="left"/>
            </w:pPr>
            <w:r>
              <w:t xml:space="preserve">dimensionless</w:t>
            </w:r>
          </w:p>
        </w:tc>
      </w:tr>
      <w:tr>
        <w:tc>
          <w:tcPr/>
          <w:p>
            <w:pPr>
              <w:pStyle w:val="Compact"/>
              <w:jc w:val="left"/>
            </w:pPr>
            <m:oMath>
              <m:r>
                <m:t>m</m:t>
              </m:r>
            </m:oMath>
          </w:p>
        </w:tc>
        <w:tc>
          <w:tcPr/>
          <w:p>
            <w:pPr>
              <w:pStyle w:val="Compact"/>
              <w:jc w:val="left"/>
            </w:pPr>
            <w:r>
              <w:t xml:space="preserve">Bits in the filter</w:t>
            </w:r>
          </w:p>
        </w:tc>
        <w:tc>
          <w:tcPr/>
          <w:p>
            <w:pPr>
              <w:pStyle w:val="Compact"/>
              <w:jc w:val="left"/>
            </w:pPr>
            <w:r>
              <w:t xml:space="preserve">bits</w:t>
            </w:r>
          </w:p>
        </w:tc>
      </w:tr>
      <w:tr>
        <w:tc>
          <w:tcPr/>
          <w:p>
            <w:pPr>
              <w:pStyle w:val="Compact"/>
              <w:jc w:val="left"/>
            </w:pPr>
            <m:oMath>
              <m:r>
                <m:t>n</m:t>
              </m:r>
            </m:oMath>
          </w:p>
        </w:tc>
        <w:tc>
          <w:tcPr/>
          <w:p>
            <w:pPr>
              <w:pStyle w:val="Compact"/>
              <w:jc w:val="left"/>
            </w:pPr>
            <w:r>
              <w:t xml:space="preserve">Keys inserted</w:t>
            </w:r>
          </w:p>
        </w:tc>
        <w:tc>
          <w:tcPr/>
          <w:p>
            <w:pPr>
              <w:pStyle w:val="Compact"/>
              <w:jc w:val="left"/>
            </w:pPr>
            <w:r>
              <w:t xml:space="preserve">keys</w:t>
            </w:r>
          </w:p>
        </w:tc>
      </w:tr>
      <w:tr>
        <w:tc>
          <w:tcPr/>
          <w:p>
            <w:pPr>
              <w:pStyle w:val="Compact"/>
              <w:jc w:val="left"/>
            </w:pPr>
            <m:oMath>
              <m:r>
                <m:t>k</m:t>
              </m:r>
            </m:oMath>
          </w:p>
        </w:tc>
        <w:tc>
          <w:tcPr/>
          <w:p>
            <w:pPr>
              <w:pStyle w:val="Compact"/>
              <w:jc w:val="left"/>
            </w:pPr>
            <w:r>
              <w:t xml:space="preserve">Hash functions</w:t>
            </w:r>
          </w:p>
        </w:tc>
        <w:tc>
          <w:tcPr/>
          <w:p>
            <w:pPr>
              <w:pStyle w:val="Compact"/>
              <w:jc w:val="left"/>
            </w:pPr>
            <w:r>
              <w:t xml:space="preserve">count</w:t>
            </w:r>
          </w:p>
        </w:tc>
      </w:tr>
    </w:tbl>
    <w:p>
      <w:pPr>
        <w:pStyle w:val="CalloutExample"/>
      </w:pPr>
      <w:r>
        <w:rPr>
          <w:bCs/>
          <w:b/>
        </w:rPr>
        <w:t xml:space="preserve">WORKED EXAMPLE</w:t>
      </w:r>
    </w:p>
    <w:p>
      <w:pPr>
        <w:pStyle w:val="CalloutExample"/>
      </w:pPr>
      <w:r>
        <w:rPr>
          <w:bCs/>
          <w:b/>
        </w:rPr>
        <w:t xml:space="preserve">Worked example — What filters save on a 1-billion-key LSM tree.</w:t>
      </w:r>
    </w:p>
    <w:p>
      <w:pPr>
        <w:numPr>
          <w:ilvl w:val="0"/>
          <w:numId w:val="1452"/>
        </w:numPr>
        <w:pStyle w:val="Compact"/>
      </w:pPr>
      <w:r>
        <w:t xml:space="preserve">At</w:t>
      </w:r>
      <w:r>
        <w:t xml:space="preserve"> </w:t>
      </w:r>
      <m:oMath>
        <m:r>
          <m:t>m</m:t>
        </m:r>
        <m:r>
          <m:rPr>
            <m:sty m:val="p"/>
          </m:rPr>
          <m:t>/</m:t>
        </m:r>
        <m:r>
          <m:t>n</m:t>
        </m:r>
        <m:r>
          <m:rPr>
            <m:sty m:val="p"/>
          </m:rPr>
          <m:t>=</m:t>
        </m:r>
        <m:r>
          <m:t>10</m:t>
        </m:r>
      </m:oMath>
      <w:r>
        <w:t xml:space="preserve"> </w:t>
      </w:r>
      <w:r>
        <w:t xml:space="preserve">bits per key (the common RocksDB setting):</w:t>
      </w:r>
      <w:r>
        <w:t xml:space="preserve"> </w:t>
      </w:r>
      <m:oMath>
        <m:r>
          <m:t>p</m:t>
        </m:r>
        <m:r>
          <m:rPr>
            <m:sty m:val="p"/>
          </m:rPr>
          <m:t>=</m:t>
        </m:r>
        <m:sSup>
          <m:e>
            <m:r>
              <m:t>0.6185</m:t>
            </m:r>
          </m:e>
          <m:sup>
            <m:r>
              <m:t>10</m:t>
            </m:r>
          </m:sup>
        </m:sSup>
        <m:r>
          <m:rPr>
            <m:sty m:val="p"/>
          </m:rPr>
          <m:t>=</m:t>
        </m:r>
        <m:sSup>
          <m:e>
            <m:r>
              <m:t>e</m:t>
            </m:r>
          </m:e>
          <m:sup>
            <m:r>
              <m:t>10</m:t>
            </m:r>
            <m:r>
              <m:rPr>
                <m:sty m:val="p"/>
              </m:rPr>
              <m:t>ln</m:t>
            </m:r>
            <m:r>
              <m:t>0.6185</m:t>
            </m:r>
          </m:sup>
        </m:sSup>
        <m:r>
          <m:rPr>
            <m:sty m:val="p"/>
          </m:rPr>
          <m:t>=</m:t>
        </m:r>
        <m:sSup>
          <m:e>
            <m:r>
              <m:t>e</m:t>
            </m:r>
          </m:e>
          <m:sup>
            <m:r>
              <m:rPr>
                <m:sty m:val="p"/>
              </m:rPr>
              <m:t>−</m:t>
            </m:r>
            <m:r>
              <m:t>4.805</m:t>
            </m:r>
          </m:sup>
        </m:sSup>
        <m:r>
          <m:rPr>
            <m:sty m:val="p"/>
          </m:rPr>
          <m:t>≈</m:t>
        </m:r>
        <m:r>
          <m:t>0.0082</m:t>
        </m:r>
      </m:oMath>
      <w:r>
        <w:t xml:space="preserve">, with</w:t>
      </w:r>
      <w:r>
        <w:t xml:space="preserve"> </w:t>
      </w:r>
      <m:oMath>
        <m:r>
          <m:t>k</m:t>
        </m:r>
        <m:r>
          <m:rPr>
            <m:sty m:val="p"/>
          </m:rPr>
          <m:t>=</m:t>
        </m:r>
        <m:r>
          <m:t>10</m:t>
        </m:r>
        <m:r>
          <m:rPr>
            <m:sty m:val="p"/>
          </m:rPr>
          <m:t>ln</m:t>
        </m:r>
        <m:r>
          <m:t>2</m:t>
        </m:r>
        <m:r>
          <m:rPr>
            <m:sty m:val="p"/>
          </m:rPr>
          <m:t>≈</m:t>
        </m:r>
        <m:r>
          <m:t>7</m:t>
        </m:r>
      </m:oMath>
      <w:r>
        <w:t xml:space="preserve">.</w:t>
      </w:r>
    </w:p>
    <w:p>
      <w:pPr>
        <w:numPr>
          <w:ilvl w:val="0"/>
          <w:numId w:val="1452"/>
        </w:numPr>
        <w:pStyle w:val="Compact"/>
      </w:pPr>
      <w:r>
        <w:t xml:space="preserve">Memory:</w:t>
      </w:r>
      <w:r>
        <w:t xml:space="preserve"> </w:t>
      </w:r>
      <m:oMath>
        <m:sSup>
          <m:e>
            <m:r>
              <m:t>10</m:t>
            </m:r>
          </m:e>
          <m:sup>
            <m:r>
              <m:t>9</m:t>
            </m:r>
          </m:sup>
        </m:sSup>
        <m:r>
          <m:rPr>
            <m:sty m:val="p"/>
          </m:rPr>
          <m:t>×</m:t>
        </m:r>
        <m:r>
          <m:t>10</m:t>
        </m:r>
        <m:r>
          <m:rPr>
            <m:sty m:val="p"/>
          </m:rPr>
          <m:t>/</m:t>
        </m:r>
        <m:r>
          <m:t>8</m:t>
        </m:r>
        <m:r>
          <m:rPr>
            <m:sty m:val="p"/>
          </m:rPr>
          <m:t>=</m:t>
        </m:r>
        <m:r>
          <m:t>1.25</m:t>
        </m:r>
      </m:oMath>
      <w:r>
        <w:t xml:space="preserve"> </w:t>
      </w:r>
      <w:r>
        <w:t xml:space="preserve">GB.</w:t>
      </w:r>
    </w:p>
    <w:p>
      <w:pPr>
        <w:numPr>
          <w:ilvl w:val="0"/>
          <w:numId w:val="1452"/>
        </w:numPr>
        <w:pStyle w:val="Compact"/>
      </w:pPr>
      <w:r>
        <w:t xml:space="preserve">A lookup for an absent key in a tree with 4 L0 files and 5 levels would otherwise read one data block per run: 9 reads. With filters:</w:t>
      </w:r>
      <w:r>
        <w:t xml:space="preserve"> </w:t>
      </w:r>
      <m:oMath>
        <m:r>
          <m:t>9</m:t>
        </m:r>
        <m:r>
          <m:rPr>
            <m:sty m:val="p"/>
          </m:rPr>
          <m:t>×</m:t>
        </m:r>
        <m:r>
          <m:t>0.0082</m:t>
        </m:r>
        <m:r>
          <m:rPr>
            <m:sty m:val="p"/>
          </m:rPr>
          <m:t>≈</m:t>
        </m:r>
        <m:r>
          <m:t>0.07</m:t>
        </m:r>
      </m:oMath>
      <w:r>
        <w:t xml:space="preserve"> </w:t>
      </w:r>
      <w:r>
        <w:t xml:space="preserve">reads.</w:t>
      </w:r>
    </w:p>
    <w:p>
      <w:pPr>
        <w:numPr>
          <w:ilvl w:val="0"/>
          <w:numId w:val="1452"/>
        </w:numPr>
        <w:pStyle w:val="Compact"/>
      </w:pPr>
      <w:r>
        <w:t xml:space="preserve">For a key that exists in the last level: 1 necessary read plus</w:t>
      </w:r>
      <w:r>
        <w:t xml:space="preserve"> </w:t>
      </w:r>
      <m:oMath>
        <m:r>
          <m:t>8</m:t>
        </m:r>
        <m:r>
          <m:rPr>
            <m:sty m:val="p"/>
          </m:rPr>
          <m:t>×</m:t>
        </m:r>
        <m:r>
          <m:t>0.0082</m:t>
        </m:r>
        <m:r>
          <m:rPr>
            <m:sty m:val="p"/>
          </m:rPr>
          <m:t>≈</m:t>
        </m:r>
        <m:r>
          <m:t>0.07</m:t>
        </m:r>
      </m:oMath>
      <w:r>
        <w:t xml:space="preserve"> </w:t>
      </w:r>
      <w:r>
        <w:t xml:space="preserve">wasted reads.</w:t>
      </w:r>
    </w:p>
    <w:p>
      <w:pPr>
        <w:pStyle w:val="CalloutExample"/>
      </w:pPr>
      <w:r>
        <w:rPr>
          <w:bCs/>
          <w:b/>
        </w:rPr>
        <w:t xml:space="preserve">Interpretation.</w:t>
      </w:r>
      <w:r>
        <w:t xml:space="preserve"> </w:t>
      </w:r>
      <w:r>
        <w:t xml:space="preserve">Filters turn 9 I/Os into about one.</w:t>
      </w:r>
      <w:r>
        <w:t xml:space="preserve"> </w:t>
      </w:r>
      <w:r>
        <w:rPr>
          <w:bCs/>
          <w:b/>
        </w:rPr>
        <w:t xml:space="preserve">Engineering implication.</w:t>
      </w:r>
      <w:r>
        <w:t xml:space="preserve"> </w:t>
      </w:r>
      <w:r>
        <w:t xml:space="preserve">Keep filter memory (1.25 GB here) resident; evicted filter blocks make lookups regress sharply. Because ~90% of keys are in the last level, skipping its filters (RocksDB</w:t>
      </w:r>
      <w:r>
        <w:t xml:space="preserve"> </w:t>
      </w:r>
      <w:r>
        <w:rPr>
          <w:rStyle w:val="VerbatimChar"/>
        </w:rPr>
        <w:t xml:space="preserve">optimize_filters_for_hits</w:t>
      </w:r>
      <w:r>
        <w:t xml:space="preserve">) saves most of the memory when lookups usually succeed, and giving smaller levels more bits per key minimizes lookup cost for a fixed budget [Dayan et al. 2017].</w:t>
      </w:r>
    </w:p>
    <w:bookmarkEnd w:id="1518"/>
    <w:bookmarkStart w:id="1521" w:name="read-write-and-space-amplification"/>
    <w:p>
      <w:pPr>
        <w:pStyle w:val="Heading2"/>
      </w:pPr>
      <w:r>
        <w:t xml:space="preserve">13.11 Read, write and space amplification</w:t>
      </w:r>
    </w:p>
    <w:bookmarkStart w:id="1519" w:name="the-rum-conjecture"/>
    <w:p>
      <w:pPr>
        <w:pStyle w:val="Heading3"/>
      </w:pPr>
      <w:r>
        <w:t xml:space="preserve">13.11.1 The RUM conjecture</w:t>
      </w:r>
    </w:p>
    <w:p>
      <w:pPr>
        <w:pStyle w:val="CalloutDefinition"/>
      </w:pPr>
      <w:r>
        <w:rPr>
          <w:bCs/>
          <w:b/>
        </w:rPr>
        <w:t xml:space="preserve">DEFINITION</w:t>
      </w:r>
    </w:p>
    <w:p>
      <w:pPr>
        <w:pStyle w:val="CalloutDefinition"/>
      </w:pPr>
      <w:r>
        <w:rPr>
          <w:bCs/>
          <w:b/>
        </w:rPr>
        <w:t xml:space="preserve">Definition — RUM conjecture.</w:t>
      </w:r>
      <w:r>
        <w:t xml:space="preserve"> </w:t>
      </w:r>
      <w:r>
        <w:t xml:space="preserve">For any access method, bounding two of</w:t>
      </w:r>
      <w:r>
        <w:t xml:space="preserve"> </w:t>
      </w:r>
      <w:r>
        <w:rPr>
          <w:bCs/>
          <w:b/>
        </w:rPr>
        <w:t xml:space="preserve">R</w:t>
      </w:r>
      <w:r>
        <w:t xml:space="preserve">ead overhead,</w:t>
      </w:r>
      <w:r>
        <w:t xml:space="preserve"> </w:t>
      </w:r>
      <w:r>
        <w:rPr>
          <w:bCs/>
          <w:b/>
        </w:rPr>
        <w:t xml:space="preserve">U</w:t>
      </w:r>
      <w:r>
        <w:t xml:space="preserve">pdate overhead and</w:t>
      </w:r>
      <w:r>
        <w:t xml:space="preserve"> </w:t>
      </w:r>
      <w:r>
        <w:rPr>
          <w:bCs/>
          <w:b/>
        </w:rPr>
        <w:t xml:space="preserve">M</w:t>
      </w:r>
      <w:r>
        <w:t xml:space="preserve">emory (space) overhead forces the third to be worse: you can optimize for at most two [Athanassoulis et al. 2016].</w:t>
      </w:r>
    </w:p>
    <w:p>
      <w:pPr>
        <w:pStyle w:val="BodyText"/>
      </w:pPr>
      <w:r>
        <w:t xml:space="preserve">A sorted array minimizes read and space overhead but makes inserts expensive; an append-only log minimizes update cost but reads slowly; a sparse hash table is fast both ways but wastes space. B-trees and LSM trees are two points in this triangle, and knobs such as fill factor,</w:t>
      </w:r>
      <w:r>
        <w:t xml:space="preserve"> </w:t>
      </w:r>
      <m:oMath>
        <m:r>
          <m:t>T</m:t>
        </m:r>
      </m:oMath>
      <w:r>
        <w:t xml:space="preserve"> </w:t>
      </w:r>
      <w:r>
        <w:t xml:space="preserve">and Bloom bits move an engine within it.</w:t>
      </w:r>
    </w:p>
    <w:p>
      <w:pPr>
        <w:pStyle w:val="CalloutFormula"/>
      </w:pPr>
      <w:r>
        <w:rPr>
          <w:bCs/>
          <w:b/>
        </w:rPr>
        <w:t xml:space="preserve">FORMULA</w:t>
      </w:r>
    </w:p>
    <w:p>
      <w:pPr>
        <w:pStyle w:val="CalloutFormula"/>
      </w:pPr>
      <w:r>
        <w:rPr>
          <w:bCs/>
          <w:b/>
        </w:rPr>
        <w:t xml:space="preserve">The three amplifications</w:t>
      </w:r>
    </w:p>
    <w:p>
      <w:pPr>
        <w:pStyle w:val="CalloutFormula"/>
      </w:pPr>
      <m:oMathPara>
        <m:oMathParaPr>
          <m:jc m:val="center"/>
        </m:oMathParaPr>
        <m:oMath>
          <m:r>
            <m:t>R</m:t>
          </m:r>
          <m:r>
            <m:t>A</m:t>
          </m:r>
          <m:r>
            <m:rPr>
              <m:sty m:val="p"/>
            </m:rPr>
            <m:t>=</m:t>
          </m:r>
          <m:f>
            <m:fPr>
              <m:type m:val="bar"/>
            </m:fPr>
            <m:num>
              <m:r>
                <m:rPr>
                  <m:nor/>
                  <m:sty m:val="p"/>
                </m:rPr>
                <m:t>bytes read from storage</m:t>
              </m:r>
            </m:num>
            <m:den>
              <m:r>
                <m:rPr>
                  <m:nor/>
                  <m:sty m:val="p"/>
                </m:rPr>
                <m:t>bytes returned</m:t>
              </m:r>
            </m:den>
          </m:f>
          <m:r>
            <m:rPr>
              <m:sty m:val="p"/>
            </m:rPr>
            <m:t>,</m:t>
          </m:r>
          <m:r>
            <m:t>  </m:t>
          </m:r>
          <m:r>
            <m:t>W</m:t>
          </m:r>
          <m:r>
            <m:t>A</m:t>
          </m:r>
          <m:r>
            <m:rPr>
              <m:sty m:val="p"/>
            </m:rPr>
            <m:t>=</m:t>
          </m:r>
          <m:f>
            <m:fPr>
              <m:type m:val="bar"/>
            </m:fPr>
            <m:num>
              <m:r>
                <m:rPr>
                  <m:nor/>
                  <m:sty m:val="p"/>
                </m:rPr>
                <m:t>bytes written to storage</m:t>
              </m:r>
            </m:num>
            <m:den>
              <m:r>
                <m:rPr>
                  <m:nor/>
                  <m:sty m:val="p"/>
                </m:rPr>
                <m:t>bytes written by the application</m:t>
              </m:r>
            </m:den>
          </m:f>
          <m:r>
            <m:rPr>
              <m:sty m:val="p"/>
            </m:rPr>
            <m:t>,</m:t>
          </m:r>
          <m:r>
            <m:t>  </m:t>
          </m:r>
          <m:r>
            <m:t>S</m:t>
          </m:r>
          <m:r>
            <m:t>A</m:t>
          </m:r>
          <m:r>
            <m:rPr>
              <m:sty m:val="p"/>
            </m:rPr>
            <m:t>=</m:t>
          </m:r>
          <m:f>
            <m:fPr>
              <m:type m:val="bar"/>
            </m:fPr>
            <m:num>
              <m:r>
                <m:rPr>
                  <m:nor/>
                  <m:sty m:val="p"/>
                </m:rPr>
                <m:t>bytes on storage</m:t>
              </m:r>
            </m:num>
            <m:den>
              <m:r>
                <m:rPr>
                  <m:nor/>
                  <m:sty m:val="p"/>
                </m:rPr>
                <m:t>bytes of live data</m:t>
              </m:r>
            </m:den>
          </m:f>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R</m:t>
              </m:r>
              <m:r>
                <m:t>A</m:t>
              </m:r>
            </m:oMath>
          </w:p>
        </w:tc>
        <w:tc>
          <w:tcPr/>
          <w:p>
            <w:pPr>
              <w:pStyle w:val="Compact"/>
              <w:jc w:val="left"/>
            </w:pPr>
            <w:r>
              <w:t xml:space="preserve">Read amplification (often counted instead as I/Os per lookup)</w:t>
            </w:r>
          </w:p>
        </w:tc>
        <w:tc>
          <w:tcPr/>
          <w:p>
            <w:pPr>
              <w:pStyle w:val="Compact"/>
              <w:jc w:val="left"/>
            </w:pPr>
            <w:r>
              <w:t xml:space="preserve">dimensionless</w:t>
            </w:r>
          </w:p>
        </w:tc>
      </w:tr>
      <w:tr>
        <w:tc>
          <w:tcPr/>
          <w:p>
            <w:pPr>
              <w:pStyle w:val="Compact"/>
              <w:jc w:val="left"/>
            </w:pPr>
            <m:oMath>
              <m:r>
                <m:t>W</m:t>
              </m:r>
              <m:r>
                <m:t>A</m:t>
              </m:r>
            </m:oMath>
          </w:p>
        </w:tc>
        <w:tc>
          <w:tcPr/>
          <w:p>
            <w:pPr>
              <w:pStyle w:val="Compact"/>
              <w:jc w:val="left"/>
            </w:pPr>
            <w:r>
              <w:t xml:space="preserve">Write amplification at the engine level, before the SSD’s own WAF</w:t>
            </w:r>
          </w:p>
        </w:tc>
        <w:tc>
          <w:tcPr/>
          <w:p>
            <w:pPr>
              <w:pStyle w:val="Compact"/>
              <w:jc w:val="left"/>
            </w:pPr>
            <w:r>
              <w:t xml:space="preserve">dimensionless</w:t>
            </w:r>
          </w:p>
        </w:tc>
      </w:tr>
      <w:tr>
        <w:tc>
          <w:tcPr/>
          <w:p>
            <w:pPr>
              <w:pStyle w:val="Compact"/>
              <w:jc w:val="left"/>
            </w:pPr>
            <m:oMath>
              <m:r>
                <m:t>S</m:t>
              </m:r>
              <m:r>
                <m:t>A</m:t>
              </m:r>
            </m:oMath>
          </w:p>
        </w:tc>
        <w:tc>
          <w:tcPr/>
          <w:p>
            <w:pPr>
              <w:pStyle w:val="Compact"/>
              <w:jc w:val="left"/>
            </w:pPr>
            <w:r>
              <w:t xml:space="preserve">Space amplification</w:t>
            </w:r>
          </w:p>
        </w:tc>
        <w:tc>
          <w:tcPr/>
          <w:p>
            <w:pPr>
              <w:pStyle w:val="Compact"/>
              <w:jc w:val="left"/>
            </w:pPr>
            <w:r>
              <w:t xml:space="preserve">dimensionless</w:t>
            </w:r>
          </w:p>
        </w:tc>
      </w:tr>
    </w:tbl>
    <w:bookmarkEnd w:id="1519"/>
    <w:bookmarkStart w:id="1520" w:name="b-tree-versus-lsm-with-numbers"/>
    <w:p>
      <w:pPr>
        <w:pStyle w:val="Heading3"/>
      </w:pPr>
      <w:r>
        <w:t xml:space="preserve">13.11.2 B-tree versus LSM, with numbers</w:t>
      </w:r>
    </w:p>
    <w:p>
      <w:pPr>
        <w:pStyle w:val="CalloutExample"/>
      </w:pPr>
      <w:r>
        <w:rPr>
          <w:bCs/>
          <w:b/>
        </w:rPr>
        <w:t xml:space="preserve">WORKED EXAMPLE</w:t>
      </w:r>
    </w:p>
    <w:p>
      <w:pPr>
        <w:pStyle w:val="CalloutExample"/>
      </w:pPr>
      <w:r>
        <w:rPr>
          <w:bCs/>
          <w:b/>
        </w:rPr>
        <w:t xml:space="preserve">Worked example — 100-byte random updates on a 2 TB table.</w:t>
      </w:r>
    </w:p>
    <w:p>
      <w:pPr>
        <w:pStyle w:val="CalloutExample"/>
      </w:pPr>
      <w:r>
        <w:rPr>
          <w:bCs/>
          <w:b/>
        </w:rPr>
        <w:t xml:space="preserve">B-tree (InnoDB-style).</w:t>
      </w:r>
      <w:r>
        <w:t xml:space="preserve"> </w:t>
      </w:r>
      <w:r>
        <w:t xml:space="preserve">Page</w:t>
      </w:r>
      <w:r>
        <w:t xml:space="preserve"> </w:t>
      </w:r>
      <m:oMath>
        <m:r>
          <m:t>P</m:t>
        </m:r>
        <m:r>
          <m:rPr>
            <m:sty m:val="p"/>
          </m:rPr>
          <m:t>=</m:t>
        </m:r>
        <m:r>
          <m:t>16</m:t>
        </m:r>
        <m:r>
          <m:t> </m:t>
        </m:r>
        <m:r>
          <m:t>384</m:t>
        </m:r>
      </m:oMath>
      <w:r>
        <w:t xml:space="preserve"> </w:t>
      </w:r>
      <w:r>
        <w:t xml:space="preserve">bytes, doublewrite doubles each page write (§13.12), redo record about 150 bytes per update. Write amplification</w:t>
      </w:r>
      <w:r>
        <w:t xml:space="preserve"> </w:t>
      </w:r>
      <m:oMath>
        <m:r>
          <m:t>W</m:t>
        </m:r>
        <m:r>
          <m:t>A</m:t>
        </m:r>
        <m:r>
          <m:rPr>
            <m:sty m:val="p"/>
          </m:rPr>
          <m:t>≈</m:t>
        </m:r>
        <m:f>
          <m:fPr>
            <m:type m:val="bar"/>
          </m:fPr>
          <m:num>
            <m:r>
              <m:t>2</m:t>
            </m:r>
            <m:r>
              <m:t>P</m:t>
            </m:r>
          </m:num>
          <m:den>
            <m:r>
              <m:t>u</m:t>
            </m:r>
            <m:r>
              <m:rPr>
                <m:sty m:val="p"/>
              </m:rPr>
              <m:t>⋅</m:t>
            </m:r>
            <m:r>
              <m:t>r</m:t>
            </m:r>
          </m:den>
        </m:f>
        <m:r>
          <m:rPr>
            <m:sty m:val="p"/>
          </m:rPr>
          <m:t>+</m:t>
        </m:r>
        <m:f>
          <m:fPr>
            <m:type m:val="bar"/>
          </m:fPr>
          <m:num>
            <m:r>
              <m:t>w</m:t>
            </m:r>
          </m:num>
          <m:den>
            <m:r>
              <m:t>r</m:t>
            </m:r>
          </m:den>
        </m:f>
      </m:oMath>
      <w:r>
        <w:t xml:space="preserve">, where</w:t>
      </w:r>
      <w:r>
        <w:t xml:space="preserve"> </w:t>
      </w:r>
      <m:oMath>
        <m:r>
          <m:t>u</m:t>
        </m:r>
      </m:oMath>
      <w:r>
        <w:t xml:space="preserve"> </w:t>
      </w:r>
      <w:r>
        <w:t xml:space="preserve">is the number of updates a page absorbs before it is flushed,</w:t>
      </w:r>
      <w:r>
        <w:t xml:space="preserve"> </w:t>
      </w:r>
      <m:oMath>
        <m:r>
          <m:t>r</m:t>
        </m:r>
        <m:r>
          <m:rPr>
            <m:sty m:val="p"/>
          </m:rPr>
          <m:t>=</m:t>
        </m:r>
        <m:r>
          <m:t>100</m:t>
        </m:r>
      </m:oMath>
      <w:r>
        <w:t xml:space="preserve"> </w:t>
      </w:r>
      <w:r>
        <w:t xml:space="preserve">and</w:t>
      </w:r>
      <w:r>
        <w:t xml:space="preserve"> </w:t>
      </w:r>
      <m:oMath>
        <m:r>
          <m:t>w</m:t>
        </m:r>
        <m:r>
          <m:rPr>
            <m:sty m:val="p"/>
          </m:rPr>
          <m:t>=</m:t>
        </m:r>
        <m:r>
          <m:t>150</m:t>
        </m:r>
      </m:oMath>
      <w:r>
        <w:t xml:space="preserve">.</w:t>
      </w:r>
    </w:p>
    <w:p>
      <w:pPr>
        <w:numPr>
          <w:ilvl w:val="0"/>
          <w:numId w:val="1453"/>
        </w:numPr>
        <w:pStyle w:val="Compact"/>
      </w:pPr>
      <w:r>
        <w:t xml:space="preserve">Uniformly random keys, data far larger than the buffer pool, so</w:t>
      </w:r>
      <w:r>
        <w:t xml:space="preserve"> </w:t>
      </w:r>
      <m:oMath>
        <m:r>
          <m:t>u</m:t>
        </m:r>
        <m:r>
          <m:rPr>
            <m:sty m:val="p"/>
          </m:rPr>
          <m:t>≈</m:t>
        </m:r>
        <m:r>
          <m:t>1</m:t>
        </m:r>
      </m:oMath>
      <w:r>
        <w:t xml:space="preserve">:</w:t>
      </w:r>
      <w:r>
        <w:t xml:space="preserve"> </w:t>
      </w:r>
      <m:oMath>
        <m:r>
          <m:t>W</m:t>
        </m:r>
        <m:r>
          <m:t>A</m:t>
        </m:r>
        <m:r>
          <m:rPr>
            <m:sty m:val="p"/>
          </m:rPr>
          <m:t>≈</m:t>
        </m:r>
        <m:r>
          <m:t>32</m:t>
        </m:r>
        <m:r>
          <m:t> </m:t>
        </m:r>
        <m:r>
          <m:t>768</m:t>
        </m:r>
        <m:r>
          <m:rPr>
            <m:sty m:val="p"/>
          </m:rPr>
          <m:t>/</m:t>
        </m:r>
        <m:r>
          <m:t>100</m:t>
        </m:r>
        <m:r>
          <m:rPr>
            <m:sty m:val="p"/>
          </m:rPr>
          <m:t>+</m:t>
        </m:r>
        <m:r>
          <m:t>1.5</m:t>
        </m:r>
        <m:r>
          <m:rPr>
            <m:sty m:val="p"/>
          </m:rPr>
          <m:t>=</m:t>
        </m:r>
        <m:r>
          <m:t>329</m:t>
        </m:r>
      </m:oMath>
      <w:r>
        <w:t xml:space="preserve">.</w:t>
      </w:r>
    </w:p>
    <w:p>
      <w:pPr>
        <w:numPr>
          <w:ilvl w:val="0"/>
          <w:numId w:val="1453"/>
        </w:numPr>
        <w:pStyle w:val="Compact"/>
      </w:pPr>
      <w:r>
        <w:t xml:space="preserve">Skewed keys so each flushed page carries</w:t>
      </w:r>
      <w:r>
        <w:t xml:space="preserve"> </w:t>
      </w:r>
      <m:oMath>
        <m:r>
          <m:t>u</m:t>
        </m:r>
        <m:r>
          <m:rPr>
            <m:sty m:val="p"/>
          </m:rPr>
          <m:t>=</m:t>
        </m:r>
        <m:r>
          <m:t>20</m:t>
        </m:r>
      </m:oMath>
      <w:r>
        <w:t xml:space="preserve"> </w:t>
      </w:r>
      <w:r>
        <w:t xml:space="preserve">updates:</w:t>
      </w:r>
      <w:r>
        <w:t xml:space="preserve"> </w:t>
      </w:r>
      <m:oMath>
        <m:r>
          <m:t>W</m:t>
        </m:r>
        <m:r>
          <m:t>A</m:t>
        </m:r>
        <m:r>
          <m:rPr>
            <m:sty m:val="p"/>
          </m:rPr>
          <m:t>≈</m:t>
        </m:r>
        <m:r>
          <m:t>32</m:t>
        </m:r>
        <m:r>
          <m:t> </m:t>
        </m:r>
        <m:r>
          <m:t>768</m:t>
        </m:r>
        <m:r>
          <m:rPr>
            <m:sty m:val="p"/>
          </m:rPr>
          <m:t>/</m:t>
        </m:r>
        <m:r>
          <m:t>2000</m:t>
        </m:r>
        <m:r>
          <m:rPr>
            <m:sty m:val="p"/>
          </m:rPr>
          <m:t>+</m:t>
        </m:r>
        <m:r>
          <m:t>1.5</m:t>
        </m:r>
        <m:r>
          <m:rPr>
            <m:sty m:val="p"/>
          </m:rPr>
          <m:t>=</m:t>
        </m:r>
        <m:r>
          <m:t>17.9</m:t>
        </m:r>
      </m:oMath>
      <w:r>
        <w:t xml:space="preserve">.</w:t>
      </w:r>
    </w:p>
    <w:p>
      <w:pPr>
        <w:pStyle w:val="CalloutExample"/>
      </w:pPr>
      <w:r>
        <w:rPr>
          <w:bCs/>
          <w:b/>
        </w:rPr>
        <w:t xml:space="preserve">LSM (leveled,</w:t>
      </w:r>
      <w:r>
        <w:rPr>
          <w:bCs/>
          <w:b/>
        </w:rPr>
        <w:t xml:space="preserve"> </w:t>
      </w:r>
      <m:oMath>
        <m:r>
          <m:t>T</m:t>
        </m:r>
        <m:r>
          <m:rPr>
            <m:sty m:val="p"/>
          </m:rPr>
          <m:t>=</m:t>
        </m:r>
        <m:r>
          <m:t>10</m:t>
        </m:r>
      </m:oMath>
      <w:r>
        <w:rPr>
          <w:bCs/>
          <w:b/>
        </w:rPr>
        <w:t xml:space="preserve">, from §13.9):</w:t>
      </w:r>
      <w:r>
        <w:t xml:space="preserve"> </w:t>
      </w:r>
      <m:oMath>
        <m:r>
          <m:t>W</m:t>
        </m:r>
        <m:r>
          <m:t>A</m:t>
        </m:r>
        <m:r>
          <m:rPr>
            <m:sty m:val="p"/>
          </m:rPr>
          <m:t>≈</m:t>
        </m:r>
        <m:r>
          <m:t>24</m:t>
        </m:r>
      </m:oMath>
      <w:r>
        <w:t xml:space="preserve"> </w:t>
      </w:r>
      <w:r>
        <w:t xml:space="preserve">regardless of key distribution, because compaction rewrites data in large sorted batches whatever the access pattern.</w:t>
      </w:r>
    </w:p>
    <w:p>
      <w:pPr>
        <w:pStyle w:val="CalloutExample"/>
      </w:pPr>
      <w:r>
        <w:rPr>
          <w:bCs/>
          <w:b/>
        </w:rPr>
        <w:t xml:space="preserve">Reads.</w:t>
      </w:r>
      <w:r>
        <w:t xml:space="preserve"> </w:t>
      </w:r>
      <w:r>
        <w:t xml:space="preserve">B-tree point lookup: 1 leaf read (internal pages cached). LSM:</w:t>
      </w:r>
      <w:r>
        <w:t xml:space="preserve"> </w:t>
      </w:r>
      <m:oMath>
        <m:r>
          <m:t>1</m:t>
        </m:r>
        <m:r>
          <m:rPr>
            <m:sty m:val="p"/>
          </m:rPr>
          <m:t>+</m:t>
        </m:r>
        <m:r>
          <m:rPr>
            <m:sty m:val="p"/>
          </m:rPr>
          <m:t>≈</m:t>
        </m:r>
        <m:r>
          <m:t>0.07</m:t>
        </m:r>
      </m:oMath>
      <w:r>
        <w:t xml:space="preserve"> </w:t>
      </w:r>
      <w:r>
        <w:t xml:space="preserve">block reads with Bloom filters; a range scan must merge every level, costing more CPU and up to one extra block per level.</w:t>
      </w:r>
    </w:p>
    <w:p>
      <w:pPr>
        <w:pStyle w:val="CalloutExample"/>
      </w:pPr>
      <w:r>
        <w:rPr>
          <w:bCs/>
          <w:b/>
        </w:rPr>
        <w:t xml:space="preserve">Space.</w:t>
      </w:r>
      <w:r>
        <w:t xml:space="preserve"> </w:t>
      </w:r>
      <w:r>
        <w:t xml:space="preserve">B-tree at 69% fill:</w:t>
      </w:r>
      <w:r>
        <w:t xml:space="preserve"> </w:t>
      </w:r>
      <m:oMath>
        <m:r>
          <m:t>S</m:t>
        </m:r>
        <m:r>
          <m:t>A</m:t>
        </m:r>
        <m:r>
          <m:rPr>
            <m:sty m:val="p"/>
          </m:rPr>
          <m:t>≈</m:t>
        </m:r>
        <m:r>
          <m:t>1.45</m:t>
        </m:r>
      </m:oMath>
      <w:r>
        <w:t xml:space="preserve">, and page compression is limited by fixed page boundaries. Leveled LSM:</w:t>
      </w:r>
      <w:r>
        <w:t xml:space="preserve"> </w:t>
      </w:r>
      <m:oMath>
        <m:r>
          <m:t>S</m:t>
        </m:r>
        <m:r>
          <m:t>A</m:t>
        </m:r>
        <m:r>
          <m:rPr>
            <m:sty m:val="p"/>
          </m:rPr>
          <m:t>≈</m:t>
        </m:r>
        <m:r>
          <m:t>1.11</m:t>
        </m:r>
      </m:oMath>
      <w:r>
        <w:t xml:space="preserve">, and SSTables compress well because blocks are packed densely.</w:t>
      </w:r>
    </w:p>
    <w:p>
      <w:pPr>
        <w:pStyle w:val="CalloutExample"/>
      </w:pPr>
      <w:r>
        <w:rPr>
          <w:bCs/>
          <w:b/>
        </w:rPr>
        <w:t xml:space="preserve">Interpretation.</w:t>
      </w:r>
      <w:r>
        <w:t xml:space="preserve"> </w:t>
      </w:r>
      <w:r>
        <w:t xml:space="preserve">For random small updates on large data the LSM tree writes about 14× less (</w:t>
      </w:r>
      <m:oMath>
        <m:r>
          <m:t>329</m:t>
        </m:r>
        <m:r>
          <m:rPr>
            <m:sty m:val="p"/>
          </m:rPr>
          <m:t>/</m:t>
        </m:r>
        <m:r>
          <m:t>24</m:t>
        </m:r>
      </m:oMath>
      <w:r>
        <w:t xml:space="preserve">) and uses about 25% less space; with skewed updates the B-tree can write</w:t>
      </w:r>
      <w:r>
        <w:t xml:space="preserve"> </w:t>
      </w:r>
      <w:r>
        <w:rPr>
          <w:iCs/>
          <w:i/>
        </w:rPr>
        <w:t xml:space="preserve">less</w:t>
      </w:r>
      <w:r>
        <w:t xml:space="preserve">.</w:t>
      </w:r>
      <w:r>
        <w:t xml:space="preserve"> </w:t>
      </w:r>
      <w:r>
        <w:rPr>
          <w:bCs/>
          <w:b/>
        </w:rPr>
        <w:t xml:space="preserve">Engineering implication.</w:t>
      </w:r>
      <w:r>
        <w:t xml:space="preserve"> </w:t>
      </w:r>
      <w:r>
        <w:t xml:space="preserve">Key locality, update size and read mix decide, not brand: measure bytes written to disk per byte written by the application on your workload.</w:t>
      </w:r>
    </w:p>
    <w:p>
      <w:pPr>
        <w:pStyle w:val="CalloutIndustry"/>
      </w:pPr>
      <w:r>
        <w:rPr>
          <w:bCs/>
          <w:b/>
        </w:rPr>
        <w:t xml:space="preserve">INDUSTRY EXAMPLE</w:t>
      </w:r>
    </w:p>
    <w:p>
      <w:pPr>
        <w:pStyle w:val="CalloutIndustry"/>
      </w:pPr>
      <w:r>
        <w:rPr>
          <w:bCs/>
          <w:b/>
        </w:rPr>
        <w:t xml:space="preserve">Uber’s move from PostgreSQL to MySQL (2016).</w:t>
      </w:r>
      <w:r>
        <w:t xml:space="preserve"> </w:t>
      </w:r>
      <w:r>
        <w:t xml:space="preserve">Uber engineers reported that a PostgreSQL row update writes a new tuple version at a new physical location, so every index must be updated, multiplying writes and the WAL shipped to replicas; InnoDB’s secondary indexes point to the primary key, so updates to unindexed columns touch only the clustered index. Write amplification and replication bandwidth were among their reasons to migrate. Trade-off: InnoDB secondary lookups traverse two trees, and PostgreSQL HOT updates (§13.14.3) avoid index updates when no indexed column changes and the page has room.</w:t>
      </w:r>
      <w:r>
        <w:t xml:space="preserve"> </w:t>
      </w:r>
      <w:r>
        <w:rPr>
          <w:iCs/>
          <w:i/>
        </w:rPr>
        <w:t xml:space="preserve">Evidence: Primary</w:t>
      </w:r>
      <w:r>
        <w:t xml:space="preserve"> </w:t>
      </w:r>
      <w:r>
        <w:t xml:space="preserve">— [Klitzke 2016]</w:t>
      </w:r>
    </w:p>
    <w:bookmarkEnd w:id="1520"/>
    <w:bookmarkEnd w:id="1521"/>
    <w:bookmarkStart w:id="1528" w:name="X893cc07a55da82fb685022e7123ef368431bb50"/>
    <w:p>
      <w:pPr>
        <w:pStyle w:val="Heading2"/>
      </w:pPr>
      <w:r>
        <w:t xml:space="preserve">13.12 Durability: fsync, checksums and torn writes</w:t>
      </w:r>
    </w:p>
    <w:p>
      <w:pPr>
        <w:pStyle w:val="FirstParagraph"/>
      </w:pPr>
      <w:r>
        <w:rPr>
          <w:rStyle w:val="VerbatimChar"/>
        </w:rPr>
        <w:t xml:space="preserve">fsync</w:t>
      </w:r>
      <w:r>
        <w:t xml:space="preserve">, its pitfalls and group commit are covered in §6.14.3. This section adds the database’s defenses against storage that returns the wrong bytes.</w:t>
      </w:r>
    </w:p>
    <w:bookmarkStart w:id="1522" w:name="checksums"/>
    <w:p>
      <w:pPr>
        <w:pStyle w:val="Heading3"/>
      </w:pPr>
      <w:r>
        <w:t xml:space="preserve">13.12.1 Checksums</w:t>
      </w:r>
    </w:p>
    <w:p>
      <w:pPr>
        <w:pStyle w:val="FirstParagraph"/>
      </w:pPr>
      <w:r>
        <w:t xml:space="preserve">Storage can return the wrong bytes:</w:t>
      </w:r>
      <w:r>
        <w:t xml:space="preserve"> </w:t>
      </w:r>
      <w:r>
        <w:rPr>
          <w:bCs/>
          <w:b/>
        </w:rPr>
        <w:t xml:space="preserve">bit rot</w:t>
      </w:r>
      <w:r>
        <w:t xml:space="preserve">, firmware bugs,</w:t>
      </w:r>
      <w:r>
        <w:t xml:space="preserve"> </w:t>
      </w:r>
      <w:r>
        <w:rPr>
          <w:bCs/>
          <w:b/>
        </w:rPr>
        <w:t xml:space="preserve">misdirected writes</w:t>
      </w:r>
      <w:r>
        <w:t xml:space="preserve"> </w:t>
      </w:r>
      <w:r>
        <w:t xml:space="preserve">and</w:t>
      </w:r>
      <w:r>
        <w:t xml:space="preserve"> </w:t>
      </w:r>
      <w:r>
        <w:rPr>
          <w:bCs/>
          <w:b/>
        </w:rPr>
        <w:t xml:space="preserve">lost writes</w:t>
      </w:r>
      <w:r>
        <w:t xml:space="preserve"> </w:t>
      </w:r>
      <w:r>
        <w:t xml:space="preserve">(acknowledged but never made). Engines checksum every layer: page headers, verified on each read (InnoDB CRC-32C by default; PostgreSQL’s 16-bit page checksum, enabled by default by</w:t>
      </w:r>
      <w:r>
        <w:t xml:space="preserve"> </w:t>
      </w:r>
      <w:r>
        <w:rPr>
          <w:rStyle w:val="VerbatimChar"/>
        </w:rPr>
        <w:t xml:space="preserve">initdb</w:t>
      </w:r>
      <w:r>
        <w:t xml:space="preserve"> </w:t>
      </w:r>
      <w:r>
        <w:t xml:space="preserve">from version 18); every WAL record, so recovery stops at the first torn record (as the toy LSM does); and every SSTable block. Checksums detect; repair comes from a replica, a backup or, for torn writes, the mechanisms below.</w:t>
      </w:r>
    </w:p>
    <w:bookmarkEnd w:id="1522"/>
    <w:bookmarkStart w:id="1523" w:name="torn-writes"/>
    <w:p>
      <w:pPr>
        <w:pStyle w:val="Heading3"/>
      </w:pPr>
      <w:r>
        <w:t xml:space="preserve">13.12.2 Torn writes</w:t>
      </w:r>
    </w:p>
    <w:p>
      <w:pPr>
        <w:pStyle w:val="CalloutDefinition"/>
      </w:pPr>
      <w:r>
        <w:rPr>
          <w:bCs/>
          <w:b/>
        </w:rPr>
        <w:t xml:space="preserve">DEFINITION</w:t>
      </w:r>
    </w:p>
    <w:p>
      <w:pPr>
        <w:pStyle w:val="CalloutDefinition"/>
      </w:pPr>
      <w:r>
        <w:rPr>
          <w:bCs/>
          <w:b/>
        </w:rPr>
        <w:t xml:space="preserve">Definition — Torn write (torn page).</w:t>
      </w:r>
      <w:r>
        <w:t xml:space="preserve"> </w:t>
      </w:r>
      <w:r>
        <w:t xml:space="preserve">A page write that is interrupted by a crash so that part of the page on disk is new and part is old. It arises because the database page (8 or 16 KiB) is larger than the unit the device or file system writes atomically (commonly 4 KiB or 512 bytes).</w:t>
      </w:r>
    </w:p>
    <w:p>
      <w:pPr>
        <w:pStyle w:val="BodyText"/>
      </w:pPr>
      <w:r>
        <w:t xml:space="preserve">Physiological redo records assume an internally consistent page; applied to a half-old, half-new page they produce garbage, so the engine needs an intact copy from somewhere.</w:t>
      </w:r>
    </w:p>
    <w:bookmarkEnd w:id="1523"/>
    <w:bookmarkStart w:id="1527" w:name="Xcd5ea6cfed2a2dc5a5a15a41a4faba5e50415b2"/>
    <w:p>
      <w:pPr>
        <w:pStyle w:val="Heading3"/>
      </w:pPr>
      <w:r>
        <w:t xml:space="preserve">13.12.3 Full-page writes and the doublewrite buffer</w:t>
      </w:r>
    </w:p>
    <w:p>
      <w:pPr>
        <w:pStyle w:val="FirstParagraph"/>
      </w:pPr>
      <w:r>
        <w:rPr>
          <w:bCs/>
          <w:b/>
        </w:rPr>
        <w:t xml:space="preserve">PostgreSQL full-page writes.</w:t>
      </w:r>
      <w:r>
        <w:t xml:space="preserve"> </w:t>
      </w:r>
      <w:r>
        <w:t xml:space="preserve">With</w:t>
      </w:r>
      <w:r>
        <w:t xml:space="preserve"> </w:t>
      </w:r>
      <w:r>
        <w:rPr>
          <w:rStyle w:val="VerbatimChar"/>
        </w:rPr>
        <w:t xml:space="preserve">full_page_writes = on</w:t>
      </w:r>
      <w:r>
        <w:t xml:space="preserve"> </w:t>
      </w:r>
      <w:r>
        <w:t xml:space="preserve">(default), the first change to each page after a checkpoint logs the</w:t>
      </w:r>
      <w:r>
        <w:t xml:space="preserve"> </w:t>
      </w:r>
      <w:r>
        <w:rPr>
          <w:iCs/>
          <w:i/>
        </w:rPr>
        <w:t xml:space="preserve">whole</w:t>
      </w:r>
      <w:r>
        <w:t xml:space="preserve"> </w:t>
      </w:r>
      <w:r>
        <w:t xml:space="preserve">page; recovery restores the image and replays later records onto it [PostgreSQL Docs: WAL Configuration]. The cost is extra WAL after each checkpoint (§13.5.3).</w:t>
      </w:r>
    </w:p>
    <w:p>
      <w:pPr>
        <w:pStyle w:val="BodyText"/>
      </w:pPr>
      <w:r>
        <w:rPr>
          <w:bCs/>
          <w:b/>
        </w:rPr>
        <w:t xml:space="preserve">InnoDB doublewrite buffer.</w:t>
      </w:r>
      <w:r>
        <w:t xml:space="preserve"> </w:t>
      </w:r>
      <w:r>
        <w:t xml:space="preserve">Dirty pages are first written sequentially to a</w:t>
      </w:r>
      <w:r>
        <w:t xml:space="preserve"> </w:t>
      </w:r>
      <w:r>
        <w:rPr>
          <w:bCs/>
          <w:b/>
        </w:rPr>
        <w:t xml:space="preserve">doublewrite</w:t>
      </w:r>
      <w:r>
        <w:t xml:space="preserve"> </w:t>
      </w:r>
      <w:r>
        <w:t xml:space="preserve">area and flushed, then written in place; a page torn in place is restored from its intact copy. Because the extra writes are sequential batches with one flush, the cost is well under 2× [MySQL Docs: Doublewrite Buffer].</w:t>
      </w:r>
    </w:p>
    <w:p>
      <w:pPr>
        <w:pStyle w:val="BodyText"/>
      </w:pPr>
      <w:r>
        <w:rPr>
          <w:bCs/>
          <w:b/>
        </w:rPr>
        <w:t xml:space="preserve">Figure 13.10 — InnoDB doublewrite protecting against a torn page.</w:t>
      </w:r>
    </w:p>
    <w:p>
      <w:pPr>
        <w:pStyle w:val="BodyText"/>
      </w:pPr>
      <w:r>
        <w:drawing>
          <wp:inline>
            <wp:extent cx="5334000" cy="2147454"/>
            <wp:effectExtent b="0" l="0" r="0" t="0"/>
            <wp:docPr descr="" title="" id="1525" name="Picture"/>
            <a:graphic>
              <a:graphicData uri="http://schemas.openxmlformats.org/drawingml/2006/picture">
                <pic:pic>
                  <pic:nvPicPr>
                    <pic:cNvPr descr="/home/user/System-Design/build/.cache/diagrams/f595a0ea2840.png" id="1526" name="Picture"/>
                    <pic:cNvPicPr>
                      <a:picLocks noChangeArrowheads="1" noChangeAspect="1"/>
                    </pic:cNvPicPr>
                  </pic:nvPicPr>
                  <pic:blipFill>
                    <a:blip r:embed="rId1524"/>
                    <a:stretch>
                      <a:fillRect/>
                    </a:stretch>
                  </pic:blipFill>
                  <pic:spPr bwMode="auto">
                    <a:xfrm>
                      <a:off x="0" y="0"/>
                      <a:ext cx="5334000" cy="2147454"/>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Every arrow is synchronous. An intact copy of each page is durable in the doublewrite area (separate files since MySQL 8.0.20) before any home location is touched. At recovery, a checksum failure flags the torn page, its copy replaces it, and redo proceeds. A crash before the doublewrite flush leaves the home page intact, so redo alone suffices. The doublewrite area costs bandwidth, not IOPS. Failure point: disabling it on storage without atomic page writes silently reopens the torn-page window.</w:t>
      </w:r>
    </w:p>
    <w:p>
      <w:pPr>
        <w:pStyle w:val="BodyText"/>
      </w:pPr>
      <w:r>
        <w:t xml:space="preserve">Both can be disabled when the layer below writes pages atomically (ZFS, some SSDs and cloud volumes). LSM trees and Bitcask never overwrite: a torn SSTable never entered the manifest, and a torn log tail fails its CRC.</w:t>
      </w:r>
    </w:p>
    <w:p>
      <w:pPr>
        <w:pStyle w:val="BodyText"/>
      </w:pPr>
      <w:r>
        <w:rPr>
          <w:bCs/>
          <w:b/>
        </w:rPr>
        <w:t xml:space="preserve">Table 13.7 — Durability mechanisms in storage engines.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Threat</w:t>
            </w:r>
          </w:p>
        </w:tc>
        <w:tc>
          <w:tcPr/>
          <w:p>
            <w:pPr>
              <w:pStyle w:val="Compact"/>
              <w:jc w:val="left"/>
            </w:pPr>
            <w:r>
              <w:t xml:space="preserve">Mechanism</w:t>
            </w:r>
          </w:p>
        </w:tc>
        <w:tc>
          <w:tcPr/>
          <w:p>
            <w:pPr>
              <w:pStyle w:val="Compact"/>
              <w:jc w:val="left"/>
            </w:pPr>
            <w:r>
              <w:t xml:space="preserve">Cost</w:t>
            </w:r>
          </w:p>
        </w:tc>
        <w:tc>
          <w:tcPr/>
          <w:p>
            <w:pPr>
              <w:pStyle w:val="Compact"/>
              <w:jc w:val="left"/>
            </w:pPr>
            <w:r>
              <w:t xml:space="preserve">Examples</w:t>
            </w:r>
          </w:p>
        </w:tc>
      </w:tr>
      <w:tr>
        <w:tc>
          <w:tcPr/>
          <w:p>
            <w:pPr>
              <w:pStyle w:val="Compact"/>
              <w:jc w:val="left"/>
            </w:pPr>
            <w:r>
              <w:t xml:space="preserve">Lost committed transaction</w:t>
            </w:r>
          </w:p>
        </w:tc>
        <w:tc>
          <w:tcPr/>
          <w:p>
            <w:pPr>
              <w:pStyle w:val="Compact"/>
              <w:jc w:val="left"/>
            </w:pPr>
            <w:r>
              <w:t xml:space="preserve">WAL +</w:t>
            </w:r>
            <w:r>
              <w:t xml:space="preserve"> </w:t>
            </w:r>
            <w:r>
              <w:rPr>
                <w:rStyle w:val="VerbatimChar"/>
              </w:rPr>
              <w:t xml:space="preserve">fsync</w:t>
            </w:r>
            <w:r>
              <w:t xml:space="preserve"> </w:t>
            </w:r>
            <w:r>
              <w:t xml:space="preserve">at commit (§6.14.3)</w:t>
            </w:r>
          </w:p>
        </w:tc>
        <w:tc>
          <w:tcPr/>
          <w:p>
            <w:pPr>
              <w:pStyle w:val="Compact"/>
              <w:jc w:val="left"/>
            </w:pPr>
            <w:r>
              <w:t xml:space="preserve">One flush per commit group</w:t>
            </w:r>
          </w:p>
        </w:tc>
        <w:tc>
          <w:tcPr/>
          <w:p>
            <w:pPr>
              <w:pStyle w:val="Compact"/>
              <w:jc w:val="left"/>
            </w:pPr>
            <w:r>
              <w:t xml:space="preserve">All engines</w:t>
            </w:r>
          </w:p>
        </w:tc>
      </w:tr>
      <w:tr>
        <w:tc>
          <w:tcPr/>
          <w:p>
            <w:pPr>
              <w:pStyle w:val="Compact"/>
              <w:jc w:val="left"/>
            </w:pPr>
            <w:r>
              <w:t xml:space="preserve">Torn data page</w:t>
            </w:r>
          </w:p>
        </w:tc>
        <w:tc>
          <w:tcPr/>
          <w:p>
            <w:pPr>
              <w:pStyle w:val="Compact"/>
              <w:jc w:val="left"/>
            </w:pPr>
            <w:r>
              <w:t xml:space="preserve">Full-page images in WAL</w:t>
            </w:r>
          </w:p>
        </w:tc>
        <w:tc>
          <w:tcPr/>
          <w:p>
            <w:pPr>
              <w:pStyle w:val="Compact"/>
              <w:jc w:val="left"/>
            </w:pPr>
            <w:r>
              <w:t xml:space="preserve">Extra WAL after checkpoints</w:t>
            </w:r>
          </w:p>
        </w:tc>
        <w:tc>
          <w:tcPr/>
          <w:p>
            <w:pPr>
              <w:pStyle w:val="Compact"/>
              <w:jc w:val="left"/>
            </w:pPr>
            <w:r>
              <w:t xml:space="preserve">PostgreSQL</w:t>
            </w:r>
          </w:p>
        </w:tc>
      </w:tr>
      <w:tr>
        <w:tc>
          <w:tcPr/>
          <w:p>
            <w:pPr>
              <w:pStyle w:val="Compact"/>
              <w:jc w:val="left"/>
            </w:pPr>
            <w:r>
              <w:t xml:space="preserve">Torn data page</w:t>
            </w:r>
          </w:p>
        </w:tc>
        <w:tc>
          <w:tcPr/>
          <w:p>
            <w:pPr>
              <w:pStyle w:val="Compact"/>
              <w:jc w:val="left"/>
            </w:pPr>
            <w:r>
              <w:t xml:space="preserve">Doublewrite buffer</w:t>
            </w:r>
          </w:p>
        </w:tc>
        <w:tc>
          <w:tcPr/>
          <w:p>
            <w:pPr>
              <w:pStyle w:val="Compact"/>
              <w:jc w:val="left"/>
            </w:pPr>
            <w:r>
              <w:t xml:space="preserve">Second sequential page write</w:t>
            </w:r>
          </w:p>
        </w:tc>
        <w:tc>
          <w:tcPr/>
          <w:p>
            <w:pPr>
              <w:pStyle w:val="Compact"/>
              <w:jc w:val="left"/>
            </w:pPr>
            <w:r>
              <w:t xml:space="preserve">InnoDB</w:t>
            </w:r>
          </w:p>
        </w:tc>
      </w:tr>
      <w:tr>
        <w:tc>
          <w:tcPr/>
          <w:p>
            <w:pPr>
              <w:pStyle w:val="Compact"/>
              <w:jc w:val="left"/>
            </w:pPr>
            <w:r>
              <w:t xml:space="preserve">Torn data page</w:t>
            </w:r>
          </w:p>
        </w:tc>
        <w:tc>
          <w:tcPr/>
          <w:p>
            <w:pPr>
              <w:pStyle w:val="Compact"/>
              <w:jc w:val="left"/>
            </w:pPr>
            <w:r>
              <w:t xml:space="preserve">Never overwrite in place</w:t>
            </w:r>
          </w:p>
        </w:tc>
        <w:tc>
          <w:tcPr/>
          <w:p>
            <w:pPr>
              <w:pStyle w:val="Compact"/>
              <w:jc w:val="left"/>
            </w:pPr>
            <w:r>
              <w:t xml:space="preserve">Path copying or compaction</w:t>
            </w:r>
          </w:p>
        </w:tc>
        <w:tc>
          <w:tcPr/>
          <w:p>
            <w:pPr>
              <w:pStyle w:val="Compact"/>
              <w:jc w:val="left"/>
            </w:pPr>
            <w:r>
              <w:t xml:space="preserve">LMDB, ZFS, LSM trees</w:t>
            </w:r>
          </w:p>
        </w:tc>
      </w:tr>
      <w:tr>
        <w:tc>
          <w:tcPr/>
          <w:p>
            <w:pPr>
              <w:pStyle w:val="Compact"/>
              <w:jc w:val="left"/>
            </w:pPr>
            <w:r>
              <w:t xml:space="preserve">Silent corruption</w:t>
            </w:r>
          </w:p>
        </w:tc>
        <w:tc>
          <w:tcPr/>
          <w:p>
            <w:pPr>
              <w:pStyle w:val="Compact"/>
              <w:jc w:val="left"/>
            </w:pPr>
            <w:r>
              <w:t xml:space="preserve">Page, record and block checksums</w:t>
            </w:r>
          </w:p>
        </w:tc>
        <w:tc>
          <w:tcPr/>
          <w:p>
            <w:pPr>
              <w:pStyle w:val="Compact"/>
              <w:jc w:val="left"/>
            </w:pPr>
            <w:r>
              <w:t xml:space="preserve">CPU per read; detection only</w:t>
            </w:r>
          </w:p>
        </w:tc>
        <w:tc>
          <w:tcPr/>
          <w:p>
            <w:pPr>
              <w:pStyle w:val="Compact"/>
              <w:jc w:val="left"/>
            </w:pPr>
            <w:r>
              <w:t xml:space="preserve">InnoDB, PostgreSQL, RocksDB</w:t>
            </w:r>
          </w:p>
        </w:tc>
      </w:tr>
      <w:tr>
        <w:tc>
          <w:tcPr/>
          <w:p>
            <w:pPr>
              <w:pStyle w:val="Compact"/>
              <w:jc w:val="left"/>
            </w:pPr>
            <w:r>
              <w:t xml:space="preserve">Corruption detected</w:t>
            </w:r>
          </w:p>
        </w:tc>
        <w:tc>
          <w:tcPr/>
          <w:p>
            <w:pPr>
              <w:pStyle w:val="Compact"/>
              <w:jc w:val="left"/>
            </w:pPr>
            <w:r>
              <w:t xml:space="preserve">Re-copy from replica or backup</w:t>
            </w:r>
          </w:p>
        </w:tc>
        <w:tc>
          <w:tcPr/>
          <w:p>
            <w:pPr>
              <w:pStyle w:val="Compact"/>
              <w:jc w:val="left"/>
            </w:pPr>
            <w:r>
              <w:t xml:space="preserve">Operational</w:t>
            </w:r>
          </w:p>
        </w:tc>
        <w:tc>
          <w:tcPr/>
          <w:p>
            <w:pPr>
              <w:pStyle w:val="Compact"/>
              <w:jc w:val="left"/>
            </w:pPr>
            <w:r>
              <w:t xml:space="preserve">All</w:t>
            </w:r>
          </w:p>
        </w:tc>
      </w:tr>
    </w:tbl>
    <w:bookmarkEnd w:id="1527"/>
    <w:bookmarkEnd w:id="1528"/>
    <w:bookmarkStart w:id="1535" w:name="columnar-storage"/>
    <w:p>
      <w:pPr>
        <w:pStyle w:val="Heading2"/>
      </w:pPr>
      <w:r>
        <w:t xml:space="preserve">13.13 Columnar storage</w:t>
      </w:r>
    </w:p>
    <w:bookmarkStart w:id="1533" w:name="rows-versus-columns"/>
    <w:p>
      <w:pPr>
        <w:pStyle w:val="Heading3"/>
      </w:pPr>
      <w:r>
        <w:t xml:space="preserve">13.13.1 Rows versus columns</w:t>
      </w:r>
    </w:p>
    <w:p>
      <w:pPr>
        <w:pStyle w:val="CalloutDefinition"/>
      </w:pPr>
      <w:r>
        <w:rPr>
          <w:bCs/>
          <w:b/>
        </w:rPr>
        <w:t xml:space="preserve">DEFINITION</w:t>
      </w:r>
    </w:p>
    <w:p>
      <w:pPr>
        <w:pStyle w:val="CalloutDefinition"/>
      </w:pPr>
      <w:r>
        <w:rPr>
          <w:bCs/>
          <w:b/>
        </w:rPr>
        <w:t xml:space="preserve">Definition — Columnar storage (column store).</w:t>
      </w:r>
      <w:r>
        <w:t xml:space="preserve"> </w:t>
      </w:r>
      <w:r>
        <w:t xml:space="preserve">A layout that stores each column of a table contiguously — all values of</w:t>
      </w:r>
      <w:r>
        <w:t xml:space="preserve"> </w:t>
      </w:r>
      <w:r>
        <w:rPr>
          <w:rStyle w:val="VerbatimChar"/>
        </w:rPr>
        <w:t xml:space="preserve">price</w:t>
      </w:r>
      <w:r>
        <w:t xml:space="preserve">, then all values of</w:t>
      </w:r>
      <w:r>
        <w:t xml:space="preserve"> </w:t>
      </w:r>
      <w:r>
        <w:rPr>
          <w:rStyle w:val="VerbatimChar"/>
        </w:rPr>
        <w:t xml:space="preserve">country</w:t>
      </w:r>
      <w:r>
        <w:t xml:space="preserve"> </w:t>
      </w:r>
      <w:r>
        <w:t xml:space="preserve">— instead of storing each row’s fields together. Column stores are optimized for analytical queries that read a few columns of many rows [Abadi et al. 2013].</w:t>
      </w:r>
    </w:p>
    <w:bookmarkStart w:id="1532" w:name="first-principles-explanation-85"/>
    <w:p>
      <w:pPr>
        <w:pStyle w:val="Heading4"/>
      </w:pPr>
      <w:r>
        <w:t xml:space="preserve">First-principles explanation</w:t>
      </w:r>
    </w:p>
    <w:p>
      <w:pPr>
        <w:pStyle w:val="FirstParagraph"/>
      </w:pPr>
      <w:r>
        <w:t xml:space="preserve">A school keeps one card per student. To find one address, cards are perfect; to average 10,000 ages you handle 10,000 cards and ignore most of each, whereas one sheet of ages would do. Transaction processing (OLTP) touches whole rows by key: rows win. Analytics (OLAP) aggregates a few columns over millions of rows: columns win.</w:t>
      </w:r>
    </w:p>
    <w:p>
      <w:pPr>
        <w:pStyle w:val="BodyText"/>
      </w:pPr>
      <w:r>
        <w:rPr>
          <w:bCs/>
          <w:b/>
        </w:rPr>
        <w:t xml:space="preserve">Figure 13.11 — Row-oriented versus column-oriented layout of the same table.</w:t>
      </w:r>
    </w:p>
    <w:p>
      <w:pPr>
        <w:pStyle w:val="BodyText"/>
      </w:pPr>
      <w:r>
        <w:drawing>
          <wp:inline>
            <wp:extent cx="5334000" cy="932852"/>
            <wp:effectExtent b="0" l="0" r="0" t="0"/>
            <wp:docPr descr="" title="" id="1530" name="Picture"/>
            <a:graphic>
              <a:graphicData uri="http://schemas.openxmlformats.org/drawingml/2006/picture">
                <pic:pic>
                  <pic:nvPicPr>
                    <pic:cNvPr descr="/home/user/System-Design/build/.cache/diagrams/a99a381a4e77.png" id="1531" name="Picture"/>
                    <pic:cNvPicPr>
                      <a:picLocks noChangeArrowheads="1" noChangeAspect="1"/>
                    </pic:cNvPicPr>
                  </pic:nvPicPr>
                  <pic:blipFill>
                    <a:blip r:embed="rId1529"/>
                    <a:stretch>
                      <a:fillRect/>
                    </a:stretch>
                  </pic:blipFill>
                  <pic:spPr bwMode="auto">
                    <a:xfrm>
                      <a:off x="0" y="0"/>
                      <a:ext cx="5334000" cy="932852"/>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same rows stored two ways; arrows are synchronous reads. The row store must read every field of every scanned row; the column store reads only</w:t>
      </w:r>
      <w:r>
        <w:t xml:space="preserve"> </w:t>
      </w:r>
      <w:r>
        <w:rPr>
          <w:rStyle w:val="VerbatimChar"/>
        </w:rPr>
        <w:t xml:space="preserve">country</w:t>
      </w:r>
      <w:r>
        <w:t xml:space="preserve"> </w:t>
      </w:r>
      <w:r>
        <w:t xml:space="preserve">and</w:t>
      </w:r>
      <w:r>
        <w:t xml:space="preserve"> </w:t>
      </w:r>
      <w:r>
        <w:rPr>
          <w:rStyle w:val="VerbatimChar"/>
        </w:rPr>
        <w:t xml:space="preserve">amount</w:t>
      </w:r>
      <w:r>
        <w:t xml:space="preserve">, each encoded to suit its values. Failure point: a single-row insert or update touches every column file, so column stores buffer writes in a small row-oriented store and convert in batches. Scaling: columns are scanned in parallel or skipped entirely.</w:t>
      </w:r>
    </w:p>
    <w:bookmarkEnd w:id="1532"/>
    <w:bookmarkEnd w:id="1533"/>
    <w:bookmarkStart w:id="1534" w:name="X2fd9f4b04f5071c4b11fea37283f4d3eba50bdd"/>
    <w:p>
      <w:pPr>
        <w:pStyle w:val="Heading3"/>
      </w:pPr>
      <w:r>
        <w:t xml:space="preserve">13.13.2 Encoding, vectorized execution and Parquet</w:t>
      </w:r>
    </w:p>
    <w:p>
      <w:pPr>
        <w:pStyle w:val="FirstParagraph"/>
      </w:pPr>
      <w:r>
        <w:t xml:space="preserve">Values in one column share a type and often repeat, so they compress far better than rows. Three encodings do most of the work:</w:t>
      </w:r>
    </w:p>
    <w:p>
      <w:pPr>
        <w:numPr>
          <w:ilvl w:val="0"/>
          <w:numId w:val="1454"/>
        </w:numPr>
        <w:pStyle w:val="Compact"/>
      </w:pPr>
      <w:r>
        <w:rPr>
          <w:bCs/>
          <w:b/>
        </w:rPr>
        <w:t xml:space="preserve">Dictionary encoding</w:t>
      </w:r>
      <w:r>
        <w:t xml:space="preserve"> </w:t>
      </w:r>
      <w:r>
        <w:t xml:space="preserve">replaces each value with a small integer code into a dictionary of distinct values.</w:t>
      </w:r>
    </w:p>
    <w:p>
      <w:pPr>
        <w:numPr>
          <w:ilvl w:val="0"/>
          <w:numId w:val="1454"/>
        </w:numPr>
        <w:pStyle w:val="Compact"/>
      </w:pPr>
      <w:r>
        <w:rPr>
          <w:bCs/>
          <w:b/>
        </w:rPr>
        <w:t xml:space="preserve">Bit-packing</w:t>
      </w:r>
      <w:r>
        <w:t xml:space="preserve"> </w:t>
      </w:r>
      <w:r>
        <w:t xml:space="preserve">stores codes in exactly</w:t>
      </w:r>
      <w:r>
        <w:t xml:space="preserve"> </w:t>
      </w:r>
      <m:oMath>
        <m:r>
          <m:rPr>
            <m:sty m:val="p"/>
          </m:rPr>
          <m:t>⌈</m:t>
        </m:r>
        <m:sSub>
          <m:e>
            <m:r>
              <m:rPr>
                <m:sty m:val="p"/>
              </m:rPr>
              <m:t>log</m:t>
            </m:r>
          </m:e>
          <m:sub>
            <m:r>
              <m:t>2</m:t>
            </m:r>
          </m:sub>
        </m:sSub>
        <m:r>
          <m:t>d</m:t>
        </m:r>
        <m:r>
          <m:rPr>
            <m:sty m:val="p"/>
          </m:rPr>
          <m:t>⌉</m:t>
        </m:r>
      </m:oMath>
      <w:r>
        <w:t xml:space="preserve"> </w:t>
      </w:r>
      <w:r>
        <w:t xml:space="preserve">bits for</w:t>
      </w:r>
      <w:r>
        <w:t xml:space="preserve"> </w:t>
      </w:r>
      <m:oMath>
        <m:r>
          <m:t>d</m:t>
        </m:r>
      </m:oMath>
      <w:r>
        <w:t xml:space="preserve"> </w:t>
      </w:r>
      <w:r>
        <w:t xml:space="preserve">distinct values, with no byte padding.</w:t>
      </w:r>
    </w:p>
    <w:p>
      <w:pPr>
        <w:numPr>
          <w:ilvl w:val="0"/>
          <w:numId w:val="1454"/>
        </w:numPr>
        <w:pStyle w:val="Compact"/>
      </w:pPr>
      <w:r>
        <w:rPr>
          <w:bCs/>
          <w:b/>
        </w:rPr>
        <w:t xml:space="preserve">Run-length encoding (RLE)</w:t>
      </w:r>
      <w:r>
        <w:t xml:space="preserve"> </w:t>
      </w:r>
      <w:r>
        <w:t xml:space="preserve">stores</w:t>
      </w:r>
      <w:r>
        <w:t xml:space="preserve"> </w:t>
      </w:r>
      <w:r>
        <w:rPr>
          <w:rStyle w:val="VerbatimChar"/>
        </w:rPr>
        <w:t xml:space="preserve">(value, count)</w:t>
      </w:r>
      <w:r>
        <w:t xml:space="preserve"> </w:t>
      </w:r>
      <w:r>
        <w:t xml:space="preserve">pairs, ideal for sorted or clustered columns.</w:t>
      </w:r>
    </w:p>
    <w:p>
      <w:pPr>
        <w:pStyle w:val="FirstParagraph"/>
      </w:pPr>
      <w:r>
        <w:t xml:space="preserve">Queries can often run on encoded data directly: a filter</w:t>
      </w:r>
      <w:r>
        <w:t xml:space="preserve"> </w:t>
      </w:r>
      <w:r>
        <w:rPr>
          <w:rStyle w:val="VerbatimChar"/>
        </w:rPr>
        <w:t xml:space="preserve">country = 'IN'</w:t>
      </w:r>
      <w:r>
        <w:t xml:space="preserve"> </w:t>
      </w:r>
      <w:r>
        <w:t xml:space="preserve">becomes</w:t>
      </w:r>
      <w:r>
        <w:t xml:space="preserve"> </w:t>
      </w:r>
      <w:r>
        <w:t xml:space="preserve">“</w:t>
      </w:r>
      <w:r>
        <w:t xml:space="preserve">code = 3</w:t>
      </w:r>
      <w:r>
        <w:t xml:space="preserve">”</w:t>
      </w:r>
      <w:r>
        <w:t xml:space="preserve">, and on RLE data a count is a sum of run lengths.</w:t>
      </w:r>
    </w:p>
    <w:p>
      <w:pPr>
        <w:pStyle w:val="SourceCode"/>
      </w:pPr>
      <w:r>
        <w:rPr>
          <w:rStyle w:val="CommentTok"/>
        </w:rPr>
        <w:t xml:space="preserve">"""Dictionary encoding, run-length encoding and bit-packing for one column."""</w:t>
      </w:r>
      <w:r>
        <w:br/>
      </w:r>
      <w:r>
        <w:rPr>
          <w:rStyle w:val="ImportTok"/>
        </w:rPr>
        <w:t xml:space="preserve">import</w:t>
      </w:r>
      <w:r>
        <w:rPr>
          <w:rStyle w:val="NormalTok"/>
        </w:rPr>
        <w:t xml:space="preserve"> math</w:t>
      </w:r>
      <w:r>
        <w:br/>
      </w:r>
      <w:r>
        <w:rPr>
          <w:rStyle w:val="ImportTok"/>
        </w:rPr>
        <w:t xml:space="preserve">import</w:t>
      </w:r>
      <w:r>
        <w:rPr>
          <w:rStyle w:val="NormalTok"/>
        </w:rPr>
        <w:t xml:space="preserve"> random</w:t>
      </w:r>
      <w:r>
        <w:br/>
      </w:r>
      <w:r>
        <w:br/>
      </w:r>
      <w:r>
        <w:br/>
      </w:r>
      <w:r>
        <w:rPr>
          <w:rStyle w:val="KeywordTok"/>
        </w:rPr>
        <w:t xml:space="preserve">def</w:t>
      </w:r>
      <w:r>
        <w:rPr>
          <w:rStyle w:val="NormalTok"/>
        </w:rPr>
        <w:t xml:space="preserve"> dictionary_encode(values):</w:t>
      </w:r>
      <w:r>
        <w:br/>
      </w:r>
      <w:r>
        <w:rPr>
          <w:rStyle w:val="NormalTok"/>
        </w:rPr>
        <w:t xml:space="preserve">    dictionary </w:t>
      </w:r>
      <w:r>
        <w:rPr>
          <w:rStyle w:val="OperatorTok"/>
        </w:rPr>
        <w:t xml:space="preserve">=</w:t>
      </w:r>
      <w:r>
        <w:rPr>
          <w:rStyle w:val="NormalTok"/>
        </w:rPr>
        <w:t xml:space="preserve"> </w:t>
      </w:r>
      <w:r>
        <w:rPr>
          <w:rStyle w:val="BuiltInTok"/>
        </w:rPr>
        <w:t xml:space="preserve">sorted</w:t>
      </w:r>
      <w:r>
        <w:rPr>
          <w:rStyle w:val="NormalTok"/>
        </w:rPr>
        <w:t xml:space="preserve">(</w:t>
      </w:r>
      <w:r>
        <w:rPr>
          <w:rStyle w:val="BuiltInTok"/>
        </w:rPr>
        <w:t xml:space="preserve">set</w:t>
      </w:r>
      <w:r>
        <w:rPr>
          <w:rStyle w:val="NormalTok"/>
        </w:rPr>
        <w:t xml:space="preserve">(values))</w:t>
      </w:r>
      <w:r>
        <w:br/>
      </w:r>
      <w:r>
        <w:rPr>
          <w:rStyle w:val="NormalTok"/>
        </w:rPr>
        <w:t xml:space="preserve">    code </w:t>
      </w:r>
      <w:r>
        <w:rPr>
          <w:rStyle w:val="OperatorTok"/>
        </w:rPr>
        <w:t xml:space="preserve">=</w:t>
      </w:r>
      <w:r>
        <w:rPr>
          <w:rStyle w:val="NormalTok"/>
        </w:rPr>
        <w:t xml:space="preserve"> {v: i </w:t>
      </w:r>
      <w:r>
        <w:rPr>
          <w:rStyle w:val="ControlFlowTok"/>
        </w:rPr>
        <w:t xml:space="preserve">for</w:t>
      </w:r>
      <w:r>
        <w:rPr>
          <w:rStyle w:val="NormalTok"/>
        </w:rPr>
        <w:t xml:space="preserve"> i, v </w:t>
      </w:r>
      <w:r>
        <w:rPr>
          <w:rStyle w:val="KeywordTok"/>
        </w:rPr>
        <w:t xml:space="preserve">in</w:t>
      </w:r>
      <w:r>
        <w:rPr>
          <w:rStyle w:val="NormalTok"/>
        </w:rPr>
        <w:t xml:space="preserve"> </w:t>
      </w:r>
      <w:r>
        <w:rPr>
          <w:rStyle w:val="BuiltInTok"/>
        </w:rPr>
        <w:t xml:space="preserve">enumerate</w:t>
      </w:r>
      <w:r>
        <w:rPr>
          <w:rStyle w:val="NormalTok"/>
        </w:rPr>
        <w:t xml:space="preserve">(dictionary)}</w:t>
      </w:r>
      <w:r>
        <w:br/>
      </w:r>
      <w:r>
        <w:rPr>
          <w:rStyle w:val="NormalTok"/>
        </w:rPr>
        <w:t xml:space="preserve">    </w:t>
      </w:r>
      <w:r>
        <w:rPr>
          <w:rStyle w:val="ControlFlowTok"/>
        </w:rPr>
        <w:t xml:space="preserve">return</w:t>
      </w:r>
      <w:r>
        <w:rPr>
          <w:rStyle w:val="NormalTok"/>
        </w:rPr>
        <w:t xml:space="preserve"> dictionary, [code[v] </w:t>
      </w:r>
      <w:r>
        <w:rPr>
          <w:rStyle w:val="ControlFlowTok"/>
        </w:rPr>
        <w:t xml:space="preserve">for</w:t>
      </w:r>
      <w:r>
        <w:rPr>
          <w:rStyle w:val="NormalTok"/>
        </w:rPr>
        <w:t xml:space="preserve"> v </w:t>
      </w:r>
      <w:r>
        <w:rPr>
          <w:rStyle w:val="KeywordTok"/>
        </w:rPr>
        <w:t xml:space="preserve">in</w:t>
      </w:r>
      <w:r>
        <w:rPr>
          <w:rStyle w:val="NormalTok"/>
        </w:rPr>
        <w:t xml:space="preserve"> values]</w:t>
      </w:r>
      <w:r>
        <w:br/>
      </w:r>
      <w:r>
        <w:br/>
      </w:r>
      <w:r>
        <w:br/>
      </w:r>
      <w:r>
        <w:rPr>
          <w:rStyle w:val="KeywordTok"/>
        </w:rPr>
        <w:t xml:space="preserve">def</w:t>
      </w:r>
      <w:r>
        <w:rPr>
          <w:rStyle w:val="NormalTok"/>
        </w:rPr>
        <w:t xml:space="preserve"> run_length_encode(codes):</w:t>
      </w:r>
      <w:r>
        <w:br/>
      </w:r>
      <w:r>
        <w:rPr>
          <w:rStyle w:val="NormalTok"/>
        </w:rPr>
        <w:t xml:space="preserve">    runs </w:t>
      </w:r>
      <w:r>
        <w:rPr>
          <w:rStyle w:val="OperatorTok"/>
        </w:rPr>
        <w:t xml:space="preserve">=</w:t>
      </w:r>
      <w:r>
        <w:rPr>
          <w:rStyle w:val="NormalTok"/>
        </w:rPr>
        <w:t xml:space="preserve"> []                                   </w:t>
      </w:r>
      <w:r>
        <w:rPr>
          <w:rStyle w:val="CommentTok"/>
        </w:rPr>
        <w:t xml:space="preserve"># list of [value, run_length]</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codes:</w:t>
      </w:r>
      <w:r>
        <w:br/>
      </w:r>
      <w:r>
        <w:rPr>
          <w:rStyle w:val="NormalTok"/>
        </w:rPr>
        <w:t xml:space="preserve">        </w:t>
      </w:r>
      <w:r>
        <w:rPr>
          <w:rStyle w:val="ControlFlowTok"/>
        </w:rPr>
        <w:t xml:space="preserve">if</w:t>
      </w:r>
      <w:r>
        <w:rPr>
          <w:rStyle w:val="NormalTok"/>
        </w:rPr>
        <w:t xml:space="preserve"> runs </w:t>
      </w:r>
      <w:r>
        <w:rPr>
          <w:rStyle w:val="KeywordTok"/>
        </w:rPr>
        <w:t xml:space="preserve">and</w:t>
      </w:r>
      <w:r>
        <w:rPr>
          <w:rStyle w:val="NormalTok"/>
        </w:rPr>
        <w:t xml:space="preserve"> runs[</w:t>
      </w:r>
      <w:r>
        <w:rPr>
          <w:rStyle w:val="OperatorTok"/>
        </w:rPr>
        <w:t xml:space="preserve">-</w:t>
      </w:r>
      <w:r>
        <w:rPr>
          <w:rStyle w:val="DecValTok"/>
        </w:rPr>
        <w:t xml:space="preserve">1</w:t>
      </w:r>
      <w:r>
        <w:rPr>
          <w:rStyle w:val="NormalTok"/>
        </w:rPr>
        <w:t xml:space="preserve">][</w:t>
      </w:r>
      <w:r>
        <w:rPr>
          <w:rStyle w:val="DecValTok"/>
        </w:rPr>
        <w:t xml:space="preserve">0</w:t>
      </w:r>
      <w:r>
        <w:rPr>
          <w:rStyle w:val="NormalTok"/>
        </w:rPr>
        <w:t xml:space="preserve">] </w:t>
      </w:r>
      <w:r>
        <w:rPr>
          <w:rStyle w:val="OperatorTok"/>
        </w:rPr>
        <w:t xml:space="preserve">==</w:t>
      </w:r>
      <w:r>
        <w:rPr>
          <w:rStyle w:val="NormalTok"/>
        </w:rPr>
        <w:t xml:space="preserve"> c:</w:t>
      </w:r>
      <w:r>
        <w:br/>
      </w:r>
      <w:r>
        <w:rPr>
          <w:rStyle w:val="NormalTok"/>
        </w:rPr>
        <w:t xml:space="preserve">            runs[</w:t>
      </w:r>
      <w:r>
        <w:rPr>
          <w:rStyle w:val="OperatorTok"/>
        </w:rPr>
        <w:t xml:space="preserve">-</w:t>
      </w:r>
      <w:r>
        <w:rPr>
          <w:rStyle w:val="DecValTok"/>
        </w:rPr>
        <w:t xml:space="preserve">1</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else</w:t>
      </w:r>
      <w:r>
        <w:rPr>
          <w:rStyle w:val="NormalTok"/>
        </w:rPr>
        <w:t xml:space="preserve">:</w:t>
      </w:r>
      <w:r>
        <w:br/>
      </w:r>
      <w:r>
        <w:rPr>
          <w:rStyle w:val="NormalTok"/>
        </w:rPr>
        <w:t xml:space="preserve">            runs.append([c,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runs</w:t>
      </w:r>
      <w:r>
        <w:br/>
      </w:r>
      <w:r>
        <w:br/>
      </w:r>
      <w:r>
        <w:br/>
      </w:r>
      <w:r>
        <w:rPr>
          <w:rStyle w:val="KeywordTok"/>
        </w:rPr>
        <w:t xml:space="preserve">def</w:t>
      </w:r>
      <w:r>
        <w:rPr>
          <w:rStyle w:val="NormalTok"/>
        </w:rPr>
        <w:t xml:space="preserve"> bit_pack(codes, width):</w:t>
      </w:r>
      <w:r>
        <w:br/>
      </w:r>
      <w:r>
        <w:rPr>
          <w:rStyle w:val="NormalTok"/>
        </w:rPr>
        <w:t xml:space="preserve">    packed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i, c </w:t>
      </w:r>
      <w:r>
        <w:rPr>
          <w:rStyle w:val="KeywordTok"/>
        </w:rPr>
        <w:t xml:space="preserve">in</w:t>
      </w:r>
      <w:r>
        <w:rPr>
          <w:rStyle w:val="NormalTok"/>
        </w:rPr>
        <w:t xml:space="preserve"> </w:t>
      </w:r>
      <w:r>
        <w:rPr>
          <w:rStyle w:val="BuiltInTok"/>
        </w:rPr>
        <w:t xml:space="preserve">enumerate</w:t>
      </w:r>
      <w:r>
        <w:rPr>
          <w:rStyle w:val="NormalTok"/>
        </w:rPr>
        <w:t xml:space="preserve">(codes):</w:t>
      </w:r>
      <w:r>
        <w:br/>
      </w:r>
      <w:r>
        <w:rPr>
          <w:rStyle w:val="NormalTok"/>
        </w:rPr>
        <w:t xml:space="preserve">        packed </w:t>
      </w:r>
      <w:r>
        <w:rPr>
          <w:rStyle w:val="OperatorTok"/>
        </w:rPr>
        <w:t xml:space="preserve">|=</w:t>
      </w:r>
      <w:r>
        <w:rPr>
          <w:rStyle w:val="NormalTok"/>
        </w:rPr>
        <w:t xml:space="preserve"> c </w:t>
      </w:r>
      <w:r>
        <w:rPr>
          <w:rStyle w:val="OperatorTok"/>
        </w:rPr>
        <w:t xml:space="preserve">&lt;&lt;</w:t>
      </w:r>
      <w:r>
        <w:rPr>
          <w:rStyle w:val="NormalTok"/>
        </w:rPr>
        <w:t xml:space="preserve"> (i </w:t>
      </w:r>
      <w:r>
        <w:rPr>
          <w:rStyle w:val="OperatorTok"/>
        </w:rPr>
        <w:t xml:space="preserve">*</w:t>
      </w:r>
      <w:r>
        <w:rPr>
          <w:rStyle w:val="NormalTok"/>
        </w:rPr>
        <w:t xml:space="preserve"> width)              </w:t>
      </w:r>
      <w:r>
        <w:rPr>
          <w:rStyle w:val="CommentTok"/>
        </w:rPr>
        <w:t xml:space="preserve"># width bits per value, no byte padding</w:t>
      </w:r>
      <w:r>
        <w:br/>
      </w:r>
      <w:r>
        <w:rPr>
          <w:rStyle w:val="NormalTok"/>
        </w:rPr>
        <w:t xml:space="preserve">    </w:t>
      </w:r>
      <w:r>
        <w:rPr>
          <w:rStyle w:val="ControlFlowTok"/>
        </w:rPr>
        <w:t xml:space="preserve">return</w:t>
      </w:r>
      <w:r>
        <w:rPr>
          <w:rStyle w:val="NormalTok"/>
        </w:rPr>
        <w:t xml:space="preserve"> packed.to_bytes(math.ceil(</w:t>
      </w:r>
      <w:r>
        <w:rPr>
          <w:rStyle w:val="BuiltInTok"/>
        </w:rPr>
        <w:t xml:space="preserve">len</w:t>
      </w:r>
      <w:r>
        <w:rPr>
          <w:rStyle w:val="NormalTok"/>
        </w:rPr>
        <w:t xml:space="preserve">(codes) </w:t>
      </w:r>
      <w:r>
        <w:rPr>
          <w:rStyle w:val="OperatorTok"/>
        </w:rPr>
        <w:t xml:space="preserve">*</w:t>
      </w:r>
      <w:r>
        <w:rPr>
          <w:rStyle w:val="NormalTok"/>
        </w:rPr>
        <w:t xml:space="preserve"> width </w:t>
      </w:r>
      <w:r>
        <w:rPr>
          <w:rStyle w:val="OperatorTok"/>
        </w:rPr>
        <w:t xml:space="preserve">/</w:t>
      </w:r>
      <w:r>
        <w:rPr>
          <w:rStyle w:val="NormalTok"/>
        </w:rPr>
        <w:t xml:space="preserve"> </w:t>
      </w:r>
      <w:r>
        <w:rPr>
          <w:rStyle w:val="DecValTok"/>
        </w:rPr>
        <w:t xml:space="preserve">8</w:t>
      </w:r>
      <w:r>
        <w:rPr>
          <w:rStyle w:val="NormalTok"/>
        </w:rPr>
        <w:t xml:space="preserve">), </w:t>
      </w:r>
      <w:r>
        <w:rPr>
          <w:rStyle w:val="StringTok"/>
        </w:rPr>
        <w:t xml:space="preserve">"little"</w:t>
      </w:r>
      <w:r>
        <w:rPr>
          <w:rStyle w:val="NormalTok"/>
        </w:rPr>
        <w:t xml:space="preserve">)</w:t>
      </w:r>
      <w:r>
        <w:br/>
      </w:r>
      <w:r>
        <w:br/>
      </w:r>
      <w:r>
        <w:br/>
      </w:r>
      <w:r>
        <w:rPr>
          <w:rStyle w:val="KeywordTok"/>
        </w:rPr>
        <w:t xml:space="preserve">def</w:t>
      </w:r>
      <w:r>
        <w:rPr>
          <w:rStyle w:val="NormalTok"/>
        </w:rPr>
        <w:t xml:space="preserve"> bit_unpack(data, width, n):</w:t>
      </w:r>
      <w:r>
        <w:br/>
      </w:r>
      <w:r>
        <w:rPr>
          <w:rStyle w:val="NormalTok"/>
        </w:rPr>
        <w:t xml:space="preserve">    packed, mask </w:t>
      </w:r>
      <w:r>
        <w:rPr>
          <w:rStyle w:val="OperatorTok"/>
        </w:rPr>
        <w:t xml:space="preserve">=</w:t>
      </w:r>
      <w:r>
        <w:rPr>
          <w:rStyle w:val="NormalTok"/>
        </w:rPr>
        <w:t xml:space="preserve"> </w:t>
      </w:r>
      <w:r>
        <w:rPr>
          <w:rStyle w:val="BuiltInTok"/>
        </w:rPr>
        <w:t xml:space="preserve">int</w:t>
      </w:r>
      <w:r>
        <w:rPr>
          <w:rStyle w:val="NormalTok"/>
        </w:rPr>
        <w:t xml:space="preserve">.from_bytes(data, </w:t>
      </w:r>
      <w:r>
        <w:rPr>
          <w:rStyle w:val="StringTok"/>
        </w:rPr>
        <w:t xml:space="preserve">"little"</w:t>
      </w:r>
      <w:r>
        <w:rPr>
          <w:rStyle w:val="NormalTok"/>
        </w:rPr>
        <w:t xml:space="preserve">), (</w:t>
      </w:r>
      <w:r>
        <w:rPr>
          <w:rStyle w:val="DecValTok"/>
        </w:rPr>
        <w:t xml:space="preserve">1</w:t>
      </w:r>
      <w:r>
        <w:rPr>
          <w:rStyle w:val="NormalTok"/>
        </w:rPr>
        <w:t xml:space="preserve"> </w:t>
      </w:r>
      <w:r>
        <w:rPr>
          <w:rStyle w:val="OperatorTok"/>
        </w:rPr>
        <w:t xml:space="preserve">&lt;&lt;</w:t>
      </w:r>
      <w:r>
        <w:rPr>
          <w:rStyle w:val="NormalTok"/>
        </w:rPr>
        <w:t xml:space="preserve"> width)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[(packed </w:t>
      </w:r>
      <w:r>
        <w:rPr>
          <w:rStyle w:val="OperatorTok"/>
        </w:rPr>
        <w:t xml:space="preserve">&gt;&gt;</w:t>
      </w:r>
      <w:r>
        <w:rPr>
          <w:rStyle w:val="NormalTok"/>
        </w:rPr>
        <w:t xml:space="preserve"> (i </w:t>
      </w:r>
      <w:r>
        <w:rPr>
          <w:rStyle w:val="OperatorTok"/>
        </w:rPr>
        <w:t xml:space="preserve">*</w:t>
      </w:r>
      <w:r>
        <w:rPr>
          <w:rStyle w:val="NormalTok"/>
        </w:rPr>
        <w:t xml:space="preserve"> width)) </w:t>
      </w:r>
      <w:r>
        <w:rPr>
          <w:rStyle w:val="OperatorTok"/>
        </w:rPr>
        <w:t xml:space="preserve">&amp;</w:t>
      </w:r>
      <w:r>
        <w:rPr>
          <w:rStyle w:val="NormalTok"/>
        </w:rPr>
        <w:t xml:space="preserve"> mask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rng </w:t>
      </w:r>
      <w:r>
        <w:rPr>
          <w:rStyle w:val="OperatorTok"/>
        </w:rPr>
        <w:t xml:space="preserve">=</w:t>
      </w:r>
      <w:r>
        <w:rPr>
          <w:rStyle w:val="NormalTok"/>
        </w:rPr>
        <w:t xml:space="preserve"> random.Random(</w:t>
      </w:r>
      <w:r>
        <w:rPr>
          <w:rStyle w:val="DecValTok"/>
        </w:rPr>
        <w:t xml:space="preserve">7</w:t>
      </w:r>
      <w:r>
        <w:rPr>
          <w:rStyle w:val="NormalTok"/>
        </w:rPr>
        <w:t xml:space="preserve">)</w:t>
      </w:r>
      <w:r>
        <w:br/>
      </w:r>
      <w:r>
        <w:rPr>
          <w:rStyle w:val="NormalTok"/>
        </w:rPr>
        <w:t xml:space="preserve">    countries </w:t>
      </w:r>
      <w:r>
        <w:rPr>
          <w:rStyle w:val="OperatorTok"/>
        </w:rPr>
        <w:t xml:space="preserve">=</w:t>
      </w:r>
      <w:r>
        <w:rPr>
          <w:rStyle w:val="NormalTok"/>
        </w:rPr>
        <w:t xml:space="preserve"> [</w:t>
      </w:r>
      <w:r>
        <w:rPr>
          <w:rStyle w:val="StringTok"/>
        </w:rPr>
        <w:t xml:space="preserve">"BR"</w:t>
      </w:r>
      <w:r>
        <w:rPr>
          <w:rStyle w:val="NormalTok"/>
        </w:rPr>
        <w:t xml:space="preserve">, </w:t>
      </w:r>
      <w:r>
        <w:rPr>
          <w:rStyle w:val="StringTok"/>
        </w:rPr>
        <w:t xml:space="preserve">"DE"</w:t>
      </w:r>
      <w:r>
        <w:rPr>
          <w:rStyle w:val="NormalTok"/>
        </w:rPr>
        <w:t xml:space="preserve">, </w:t>
      </w:r>
      <w:r>
        <w:rPr>
          <w:rStyle w:val="StringTok"/>
        </w:rPr>
        <w:t xml:space="preserve">"FR"</w:t>
      </w:r>
      <w:r>
        <w:rPr>
          <w:rStyle w:val="NormalTok"/>
        </w:rPr>
        <w:t xml:space="preserve">, </w:t>
      </w:r>
      <w:r>
        <w:rPr>
          <w:rStyle w:val="StringTok"/>
        </w:rPr>
        <w:t xml:space="preserve">"IN"</w:t>
      </w:r>
      <w:r>
        <w:rPr>
          <w:rStyle w:val="NormalTok"/>
        </w:rPr>
        <w:t xml:space="preserve">, </w:t>
      </w:r>
      <w:r>
        <w:rPr>
          <w:rStyle w:val="StringTok"/>
        </w:rPr>
        <w:t xml:space="preserve">"JP"</w:t>
      </w:r>
      <w:r>
        <w:rPr>
          <w:rStyle w:val="NormalTok"/>
        </w:rPr>
        <w:t xml:space="preserve">, </w:t>
      </w:r>
      <w:r>
        <w:rPr>
          <w:rStyle w:val="StringTok"/>
        </w:rPr>
        <w:t xml:space="preserve">"US"</w:t>
      </w:r>
      <w:r>
        <w:rPr>
          <w:rStyle w:val="NormalTok"/>
        </w:rPr>
        <w:t xml:space="preserve">]</w:t>
      </w:r>
      <w:r>
        <w:br/>
      </w:r>
      <w:r>
        <w:rPr>
          <w:rStyle w:val="NormalTok"/>
        </w:rPr>
        <w:t xml:space="preserve">    </w:t>
      </w:r>
      <w:r>
        <w:rPr>
          <w:rStyle w:val="CommentTok"/>
        </w:rPr>
        <w:t xml:space="preserve"># 100,000 rows sorted by country, as a column store would often keep them</w:t>
      </w:r>
      <w:r>
        <w:br/>
      </w:r>
      <w:r>
        <w:rPr>
          <w:rStyle w:val="NormalTok"/>
        </w:rPr>
        <w:t xml:space="preserve">    column </w:t>
      </w:r>
      <w:r>
        <w:rPr>
          <w:rStyle w:val="OperatorTok"/>
        </w:rPr>
        <w:t xml:space="preserve">=</w:t>
      </w:r>
      <w:r>
        <w:rPr>
          <w:rStyle w:val="NormalTok"/>
        </w:rPr>
        <w:t xml:space="preserve"> </w:t>
      </w:r>
      <w:r>
        <w:rPr>
          <w:rStyle w:val="BuiltInTok"/>
        </w:rPr>
        <w:t xml:space="preserve">sorted</w:t>
      </w:r>
      <w:r>
        <w:rPr>
          <w:rStyle w:val="NormalTok"/>
        </w:rPr>
        <w:t xml:space="preserve">(rng.choice(countries)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100_000</w:t>
      </w:r>
      <w:r>
        <w:rPr>
          <w:rStyle w:val="NormalTok"/>
        </w:rPr>
        <w:t xml:space="preserve">))</w:t>
      </w:r>
      <w:r>
        <w:br/>
      </w:r>
      <w:r>
        <w:rPr>
          <w:rStyle w:val="NormalTok"/>
        </w:rPr>
        <w:t xml:space="preserve">    raw </w:t>
      </w:r>
      <w:r>
        <w:rPr>
          <w:rStyle w:val="OperatorTok"/>
        </w:rPr>
        <w:t xml:space="preserve">=</w:t>
      </w:r>
      <w:r>
        <w:rPr>
          <w:rStyle w:val="NormalTok"/>
        </w:rPr>
        <w:t xml:space="preserve"> </w:t>
      </w:r>
      <w:r>
        <w:rPr>
          <w:rStyle w:val="BuiltInTok"/>
        </w:rPr>
        <w:t xml:space="preserve">sum</w:t>
      </w:r>
      <w:r>
        <w:rPr>
          <w:rStyle w:val="NormalTok"/>
        </w:rPr>
        <w:t xml:space="preserve">(</w:t>
      </w:r>
      <w:r>
        <w:rPr>
          <w:rStyle w:val="BuiltInTok"/>
        </w:rPr>
        <w:t xml:space="preserve">len</w:t>
      </w:r>
      <w:r>
        <w:rPr>
          <w:rStyle w:val="NormalTok"/>
        </w:rPr>
        <w:t xml:space="preserve">(v.encode()) </w:t>
      </w:r>
      <w:r>
        <w:rPr>
          <w:rStyle w:val="ControlFlowTok"/>
        </w:rPr>
        <w:t xml:space="preserve">for</w:t>
      </w:r>
      <w:r>
        <w:rPr>
          <w:rStyle w:val="NormalTok"/>
        </w:rPr>
        <w:t xml:space="preserve"> v </w:t>
      </w:r>
      <w:r>
        <w:rPr>
          <w:rStyle w:val="KeywordTok"/>
        </w:rPr>
        <w:t xml:space="preserve">in</w:t>
      </w:r>
      <w:r>
        <w:rPr>
          <w:rStyle w:val="NormalTok"/>
        </w:rPr>
        <w:t xml:space="preserve"> column)</w:t>
      </w:r>
      <w:r>
        <w:br/>
      </w:r>
      <w:r>
        <w:br/>
      </w:r>
      <w:r>
        <w:rPr>
          <w:rStyle w:val="NormalTok"/>
        </w:rPr>
        <w:t xml:space="preserve">    dictionary, codes </w:t>
      </w:r>
      <w:r>
        <w:rPr>
          <w:rStyle w:val="OperatorTok"/>
        </w:rPr>
        <w:t xml:space="preserve">=</w:t>
      </w:r>
      <w:r>
        <w:rPr>
          <w:rStyle w:val="NormalTok"/>
        </w:rPr>
        <w:t xml:space="preserve"> dictionary_encode(column)</w:t>
      </w:r>
      <w:r>
        <w:br/>
      </w:r>
      <w:r>
        <w:rPr>
          <w:rStyle w:val="NormalTok"/>
        </w:rPr>
        <w:t xml:space="preserve">    width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1</w:t>
      </w:r>
      <w:r>
        <w:rPr>
          <w:rStyle w:val="NormalTok"/>
        </w:rPr>
        <w:t xml:space="preserve">, math.ceil(math.log2(</w:t>
      </w:r>
      <w:r>
        <w:rPr>
          <w:rStyle w:val="BuiltInTok"/>
        </w:rPr>
        <w:t xml:space="preserve">len</w:t>
      </w:r>
      <w:r>
        <w:rPr>
          <w:rStyle w:val="NormalTok"/>
        </w:rPr>
        <w:t xml:space="preserve">(dictionary))))</w:t>
      </w:r>
      <w:r>
        <w:br/>
      </w:r>
      <w:r>
        <w:rPr>
          <w:rStyle w:val="NormalTok"/>
        </w:rPr>
        <w:t xml:space="preserve">    packed </w:t>
      </w:r>
      <w:r>
        <w:rPr>
          <w:rStyle w:val="OperatorTok"/>
        </w:rPr>
        <w:t xml:space="preserve">=</w:t>
      </w:r>
      <w:r>
        <w:rPr>
          <w:rStyle w:val="NormalTok"/>
        </w:rPr>
        <w:t xml:space="preserve"> bit_pack(codes, width)</w:t>
      </w:r>
      <w:r>
        <w:br/>
      </w:r>
      <w:r>
        <w:rPr>
          <w:rStyle w:val="NormalTok"/>
        </w:rPr>
        <w:t xml:space="preserve">    runs </w:t>
      </w:r>
      <w:r>
        <w:rPr>
          <w:rStyle w:val="OperatorTok"/>
        </w:rPr>
        <w:t xml:space="preserve">=</w:t>
      </w:r>
      <w:r>
        <w:rPr>
          <w:rStyle w:val="NormalTok"/>
        </w:rPr>
        <w:t xml:space="preserve"> run_length_encode(codes)</w:t>
      </w:r>
      <w:r>
        <w:br/>
      </w:r>
      <w:r>
        <w:rPr>
          <w:rStyle w:val="NormalTok"/>
        </w:rPr>
        <w:t xml:space="preserve">    </w:t>
      </w:r>
      <w:r>
        <w:rPr>
          <w:rStyle w:val="ControlFlowTok"/>
        </w:rPr>
        <w:t xml:space="preserve">assert</w:t>
      </w:r>
      <w:r>
        <w:rPr>
          <w:rStyle w:val="NormalTok"/>
        </w:rPr>
        <w:t xml:space="preserve"> bit_unpack(packed, width, </w:t>
      </w:r>
      <w:r>
        <w:rPr>
          <w:rStyle w:val="BuiltInTok"/>
        </w:rPr>
        <w:t xml:space="preserve">len</w:t>
      </w:r>
      <w:r>
        <w:rPr>
          <w:rStyle w:val="NormalTok"/>
        </w:rPr>
        <w:t xml:space="preserve">(codes)) </w:t>
      </w:r>
      <w:r>
        <w:rPr>
          <w:rStyle w:val="OperatorTok"/>
        </w:rPr>
        <w:t xml:space="preserve">==</w:t>
      </w:r>
      <w:r>
        <w:rPr>
          <w:rStyle w:val="NormalTok"/>
        </w:rPr>
        <w:t xml:space="preserve"> codes</w:t>
      </w:r>
      <w:r>
        <w:br/>
      </w:r>
      <w:r>
        <w:br/>
      </w:r>
      <w:r>
        <w:rPr>
          <w:rStyle w:val="NormalTok"/>
        </w:rPr>
        <w:t xml:space="preserve">    </w:t>
      </w:r>
      <w:r>
        <w:rPr>
          <w:rStyle w:val="BuiltInTok"/>
        </w:rPr>
        <w:t xml:space="preserve">print</w:t>
      </w:r>
      <w:r>
        <w:rPr>
          <w:rStyle w:val="NormalTok"/>
        </w:rPr>
        <w:t xml:space="preserve">(</w:t>
      </w:r>
      <w:r>
        <w:rPr>
          <w:rStyle w:val="StringTok"/>
        </w:rPr>
        <w:t xml:space="preserve">"raw bytes:"</w:t>
      </w:r>
      <w:r>
        <w:rPr>
          <w:rStyle w:val="NormalTok"/>
        </w:rPr>
        <w:t xml:space="preserve">, raw)</w:t>
      </w:r>
      <w:r>
        <w:br/>
      </w:r>
      <w:r>
        <w:rPr>
          <w:rStyle w:val="NormalTok"/>
        </w:rPr>
        <w:t xml:space="preserve">    </w:t>
      </w:r>
      <w:r>
        <w:rPr>
          <w:rStyle w:val="BuiltInTok"/>
        </w:rPr>
        <w:t xml:space="preserve">print</w:t>
      </w:r>
      <w:r>
        <w:rPr>
          <w:rStyle w:val="NormalTok"/>
        </w:rPr>
        <w:t xml:space="preserve">(</w:t>
      </w:r>
      <w:r>
        <w:rPr>
          <w:rStyle w:val="StringTok"/>
        </w:rPr>
        <w:t xml:space="preserve">"dictionary:"</w:t>
      </w:r>
      <w:r>
        <w:rPr>
          <w:rStyle w:val="NormalTok"/>
        </w:rPr>
        <w:t xml:space="preserve">, dictionary, </w:t>
      </w:r>
      <w:r>
        <w:rPr>
          <w:rStyle w:val="StringTok"/>
        </w:rPr>
        <w:t xml:space="preserve">"-&gt; width"</w:t>
      </w:r>
      <w:r>
        <w:rPr>
          <w:rStyle w:val="NormalTok"/>
        </w:rPr>
        <w:t xml:space="preserve">, width, </w:t>
      </w:r>
      <w:r>
        <w:rPr>
          <w:rStyle w:val="StringTok"/>
        </w:rPr>
        <w:t xml:space="preserve">"bits per value"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"bit-packed bytes:"</w:t>
      </w:r>
      <w:r>
        <w:rPr>
          <w:rStyle w:val="NormalTok"/>
        </w:rPr>
        <w:t xml:space="preserve">, </w:t>
      </w:r>
      <w:r>
        <w:rPr>
          <w:rStyle w:val="BuiltInTok"/>
        </w:rPr>
        <w:t xml:space="preserve">len</w:t>
      </w:r>
      <w:r>
        <w:rPr>
          <w:rStyle w:val="NormalTok"/>
        </w:rPr>
        <w:t xml:space="preserve">(packed), </w:t>
      </w:r>
      <w:r>
        <w:rPr>
          <w:rStyle w:val="StringTok"/>
        </w:rPr>
        <w:t xml:space="preserve">" ratio </w:t>
      </w:r>
      <w:r>
        <w:rPr>
          <w:rStyle w:val="SpecialCharTok"/>
        </w:rPr>
        <w:t xml:space="preserve">%.1f</w:t>
      </w:r>
      <w:r>
        <w:rPr>
          <w:rStyle w:val="StringTok"/>
        </w:rPr>
        <w:t xml:space="preserve">x"</w:t>
      </w:r>
      <w:r>
        <w:rPr>
          <w:rStyle w:val="NormalTok"/>
        </w:rPr>
        <w:t xml:space="preserve"> </w:t>
      </w:r>
      <w:r>
        <w:rPr>
          <w:rStyle w:val="OperatorTok"/>
        </w:rPr>
        <w:t xml:space="preserve">%</w:t>
      </w:r>
      <w:r>
        <w:rPr>
          <w:rStyle w:val="NormalTok"/>
        </w:rPr>
        <w:t xml:space="preserve"> (raw </w:t>
      </w:r>
      <w:r>
        <w:rPr>
          <w:rStyle w:val="OperatorTok"/>
        </w:rPr>
        <w:t xml:space="preserve">/</w:t>
      </w:r>
      <w:r>
        <w:rPr>
          <w:rStyle w:val="NormalTok"/>
        </w:rPr>
        <w:t xml:space="preserve"> </w:t>
      </w:r>
      <w:r>
        <w:rPr>
          <w:rStyle w:val="BuiltInTok"/>
        </w:rPr>
        <w:t xml:space="preserve">len</w:t>
      </w:r>
      <w:r>
        <w:rPr>
          <w:rStyle w:val="NormalTok"/>
        </w:rPr>
        <w:t xml:space="preserve">(packed)))</w:t>
      </w:r>
      <w:r>
        <w:br/>
      </w:r>
      <w:r>
        <w:rPr>
          <w:rStyle w:val="NormalTok"/>
        </w:rPr>
        <w:t xml:space="preserve">    </w:t>
      </w:r>
      <w:r>
        <w:rPr>
          <w:rStyle w:val="BuiltInTok"/>
        </w:rPr>
        <w:t xml:space="preserve">print</w:t>
      </w:r>
      <w:r>
        <w:rPr>
          <w:rStyle w:val="NormalTok"/>
        </w:rPr>
        <w:t xml:space="preserve">(</w:t>
      </w:r>
      <w:r>
        <w:rPr>
          <w:rStyle w:val="StringTok"/>
        </w:rPr>
        <w:t xml:space="preserve">"RLE runs:"</w:t>
      </w:r>
      <w:r>
        <w:rPr>
          <w:rStyle w:val="NormalTok"/>
        </w:rPr>
        <w:t xml:space="preserve">, </w:t>
      </w:r>
      <w:r>
        <w:rPr>
          <w:rStyle w:val="BuiltInTok"/>
        </w:rPr>
        <w:t xml:space="preserve">len</w:t>
      </w:r>
      <w:r>
        <w:rPr>
          <w:rStyle w:val="NormalTok"/>
        </w:rPr>
        <w:t xml:space="preserve">(runs), </w:t>
      </w:r>
      <w:r>
        <w:rPr>
          <w:rStyle w:val="StringTok"/>
        </w:rPr>
        <w:t xml:space="preserve">"-&gt; about"</w:t>
      </w:r>
      <w:r>
        <w:rPr>
          <w:rStyle w:val="NormalTok"/>
        </w:rPr>
        <w:t xml:space="preserve">, </w:t>
      </w:r>
      <w:r>
        <w:rPr>
          <w:rStyle w:val="BuiltInTok"/>
        </w:rPr>
        <w:t xml:space="preserve">len</w:t>
      </w:r>
      <w:r>
        <w:rPr>
          <w:rStyle w:val="NormalTok"/>
        </w:rPr>
        <w:t xml:space="preserve">(runs) </w:t>
      </w:r>
      <w:r>
        <w:rPr>
          <w:rStyle w:val="OperatorTok"/>
        </w:rPr>
        <w:t xml:space="preserve">*</w:t>
      </w:r>
      <w:r>
        <w:rPr>
          <w:rStyle w:val="NormalTok"/>
        </w:rPr>
        <w:t xml:space="preserve"> </w:t>
      </w:r>
      <w:r>
        <w:rPr>
          <w:rStyle w:val="DecValTok"/>
        </w:rPr>
        <w:t xml:space="preserve">5</w:t>
      </w:r>
      <w:r>
        <w:rPr>
          <w:rStyle w:val="NormalTok"/>
        </w:rPr>
        <w:t xml:space="preserve">, </w:t>
      </w:r>
      <w:r>
        <w:rPr>
          <w:rStyle w:val="StringTok"/>
        </w:rPr>
        <w:t xml:space="preserve">"bytes (1-byte code + 4-byte length)"</w:t>
      </w:r>
      <w:r>
        <w:rPr>
          <w:rStyle w:val="NormalTok"/>
        </w:rPr>
        <w:t xml:space="preserve">)</w:t>
      </w:r>
      <w:r>
        <w:br/>
      </w:r>
      <w:r>
        <w:rPr>
          <w:rStyle w:val="NormalTok"/>
        </w:rPr>
        <w:t xml:space="preserve">    </w:t>
      </w:r>
      <w:r>
        <w:rPr>
          <w:rStyle w:val="CommentTok"/>
        </w:rPr>
        <w:t xml:space="preserve"># a filter can run on codes: count rows WHERE country = 'IN' without decoding strings</w:t>
      </w:r>
      <w:r>
        <w:br/>
      </w:r>
      <w:r>
        <w:rPr>
          <w:rStyle w:val="NormalTok"/>
        </w:rPr>
        <w:t xml:space="preserve">    target </w:t>
      </w:r>
      <w:r>
        <w:rPr>
          <w:rStyle w:val="OperatorTok"/>
        </w:rPr>
        <w:t xml:space="preserve">=</w:t>
      </w:r>
      <w:r>
        <w:rPr>
          <w:rStyle w:val="NormalTok"/>
        </w:rPr>
        <w:t xml:space="preserve"> dictionary.index(</w:t>
      </w:r>
      <w:r>
        <w:rPr>
          <w:rStyle w:val="StringTok"/>
        </w:rPr>
        <w:t xml:space="preserve">"IN"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"rows with IN:"</w:t>
      </w:r>
      <w:r>
        <w:rPr>
          <w:rStyle w:val="NormalTok"/>
        </w:rPr>
        <w:t xml:space="preserve">, </w:t>
      </w:r>
      <w:r>
        <w:rPr>
          <w:rStyle w:val="BuiltInTok"/>
        </w:rPr>
        <w:t xml:space="preserve">sum</w:t>
      </w:r>
      <w:r>
        <w:rPr>
          <w:rStyle w:val="NormalTok"/>
        </w:rPr>
        <w:t xml:space="preserve">(length </w:t>
      </w:r>
      <w:r>
        <w:rPr>
          <w:rStyle w:val="ControlFlowTok"/>
        </w:rPr>
        <w:t xml:space="preserve">for</w:t>
      </w:r>
      <w:r>
        <w:rPr>
          <w:rStyle w:val="NormalTok"/>
        </w:rPr>
        <w:t xml:space="preserve"> c, length </w:t>
      </w:r>
      <w:r>
        <w:rPr>
          <w:rStyle w:val="KeywordTok"/>
        </w:rPr>
        <w:t xml:space="preserve">in</w:t>
      </w:r>
      <w:r>
        <w:rPr>
          <w:rStyle w:val="NormalTok"/>
        </w:rPr>
        <w:t xml:space="preserve"> runs </w:t>
      </w:r>
      <w:r>
        <w:rPr>
          <w:rStyle w:val="ControlFlowTok"/>
        </w:rPr>
        <w:t xml:space="preserve">if</w:t>
      </w:r>
      <w:r>
        <w:rPr>
          <w:rStyle w:val="NormalTok"/>
        </w:rPr>
        <w:t xml:space="preserve"> c </w:t>
      </w:r>
      <w:r>
        <w:rPr>
          <w:rStyle w:val="OperatorTok"/>
        </w:rPr>
        <w:t xml:space="preserve">==</w:t>
      </w:r>
      <w:r>
        <w:rPr>
          <w:rStyle w:val="NormalTok"/>
        </w:rPr>
        <w:t xml:space="preserve"> target))</w:t>
      </w:r>
    </w:p>
    <w:p>
      <w:pPr>
        <w:pStyle w:val="FirstParagraph"/>
      </w:pPr>
      <w:r>
        <w:t xml:space="preserve">Output:</w:t>
      </w:r>
    </w:p>
    <w:p>
      <w:pPr>
        <w:pStyle w:val="SourceCode"/>
      </w:pPr>
      <w:r>
        <w:rPr>
          <w:rStyle w:val="VerbatimChar"/>
        </w:rPr>
        <w:t xml:space="preserve">raw bytes: 200000</w:t>
      </w:r>
      <w:r>
        <w:br/>
      </w:r>
      <w:r>
        <w:rPr>
          <w:rStyle w:val="VerbatimChar"/>
        </w:rPr>
        <w:t xml:space="preserve">dictionary: ['BR', 'DE', 'FR', 'IN', 'JP', 'US'] -&gt; width 3 bits per value</w:t>
      </w:r>
      <w:r>
        <w:br/>
      </w:r>
      <w:r>
        <w:rPr>
          <w:rStyle w:val="VerbatimChar"/>
        </w:rPr>
        <w:t xml:space="preserve">bit-packed bytes: 37500  ratio 5.3x</w:t>
      </w:r>
      <w:r>
        <w:br/>
      </w:r>
      <w:r>
        <w:rPr>
          <w:rStyle w:val="VerbatimChar"/>
        </w:rPr>
        <w:t xml:space="preserve">RLE runs: 6 -&gt; about 30 bytes (1-byte code + 4-byte length)</w:t>
      </w:r>
      <w:r>
        <w:br/>
      </w:r>
      <w:r>
        <w:rPr>
          <w:rStyle w:val="VerbatimChar"/>
        </w:rPr>
        <w:t xml:space="preserve">rows with IN: 16536</w:t>
      </w:r>
    </w:p>
    <w:p>
      <w:pPr>
        <w:pStyle w:val="FirstParagraph"/>
      </w:pPr>
      <w:r>
        <w:t xml:space="preserve">What to notice:</w:t>
      </w:r>
    </w:p>
    <w:p>
      <w:pPr>
        <w:numPr>
          <w:ilvl w:val="0"/>
          <w:numId w:val="1455"/>
        </w:numPr>
        <w:pStyle w:val="Compact"/>
      </w:pPr>
      <w:r>
        <w:t xml:space="preserve">Six distinct values need</w:t>
      </w:r>
      <w:r>
        <w:t xml:space="preserve"> </w:t>
      </w:r>
      <m:oMath>
        <m:r>
          <m:rPr>
            <m:sty m:val="p"/>
          </m:rPr>
          <m:t>⌈</m:t>
        </m:r>
        <m:sSub>
          <m:e>
            <m:r>
              <m:rPr>
                <m:sty m:val="p"/>
              </m:rPr>
              <m:t>log</m:t>
            </m:r>
          </m:e>
          <m:sub>
            <m:r>
              <m:t>2</m:t>
            </m:r>
          </m:sub>
        </m:sSub>
        <m:r>
          <m:t>6</m:t>
        </m:r>
        <m:r>
          <m:rPr>
            <m:sty m:val="p"/>
          </m:rPr>
          <m:t>⌉</m:t>
        </m:r>
        <m:r>
          <m:rPr>
            <m:sty m:val="p"/>
          </m:rPr>
          <m:t>=</m:t>
        </m:r>
        <m:r>
          <m:t>3</m:t>
        </m:r>
      </m:oMath>
      <w:r>
        <w:t xml:space="preserve"> </w:t>
      </w:r>
      <w:r>
        <w:t xml:space="preserve">bits, so 100,000 values pack into</w:t>
      </w:r>
      <w:r>
        <w:t xml:space="preserve"> </w:t>
      </w:r>
      <m:oMath>
        <m:r>
          <m:t>100</m:t>
        </m:r>
        <m:r>
          <m:t> </m:t>
        </m:r>
        <m:r>
          <m:t>000</m:t>
        </m:r>
        <m:r>
          <m:rPr>
            <m:sty m:val="p"/>
          </m:rPr>
          <m:t>×</m:t>
        </m:r>
        <m:r>
          <m:t>3</m:t>
        </m:r>
        <m:r>
          <m:rPr>
            <m:sty m:val="p"/>
          </m:rPr>
          <m:t>/</m:t>
        </m:r>
        <m:r>
          <m:t>8</m:t>
        </m:r>
        <m:r>
          <m:rPr>
            <m:sty m:val="p"/>
          </m:rPr>
          <m:t>=</m:t>
        </m:r>
        <m:r>
          <m:t>37</m:t>
        </m:r>
        <m:r>
          <m:t> </m:t>
        </m:r>
        <m:r>
          <m:t>500</m:t>
        </m:r>
      </m:oMath>
      <w:r>
        <w:t xml:space="preserve"> </w:t>
      </w:r>
      <w:r>
        <w:t xml:space="preserve">bytes.</w:t>
      </w:r>
    </w:p>
    <w:p>
      <w:pPr>
        <w:numPr>
          <w:ilvl w:val="0"/>
          <w:numId w:val="1455"/>
        </w:numPr>
        <w:pStyle w:val="Compact"/>
      </w:pPr>
      <w:r>
        <w:t xml:space="preserve">Sorted, the column collapses to six runs; the</w:t>
      </w:r>
      <w:r>
        <w:t xml:space="preserve"> </w:t>
      </w:r>
      <w:r>
        <w:rPr>
          <w:rStyle w:val="VerbatimChar"/>
        </w:rPr>
        <w:t xml:space="preserve">WHERE country = 'IN'</w:t>
      </w:r>
      <w:r>
        <w:t xml:space="preserve"> </w:t>
      </w:r>
      <w:r>
        <w:t xml:space="preserve">count is computed from runs without decoding any string. Sort order is therefore a physical design decision in column stores.</w:t>
      </w:r>
    </w:p>
    <w:p>
      <w:pPr>
        <w:pStyle w:val="CalloutFormula"/>
      </w:pPr>
      <w:r>
        <w:rPr>
          <w:bCs/>
          <w:b/>
        </w:rPr>
        <w:t xml:space="preserve">FORMULA</w:t>
      </w:r>
    </w:p>
    <w:p>
      <w:pPr>
        <w:pStyle w:val="CalloutFormula"/>
      </w:pPr>
      <w:r>
        <w:rPr>
          <w:bCs/>
          <w:b/>
        </w:rPr>
        <w:t xml:space="preserve">Size of a dictionary-encoded, bit-packed column</w:t>
      </w:r>
    </w:p>
    <w:p>
      <w:pPr>
        <w:pStyle w:val="CalloutFormula"/>
      </w:pPr>
      <m:oMathPara>
        <m:oMathParaPr>
          <m:jc m:val="center"/>
        </m:oMathParaPr>
        <m:oMath>
          <m:r>
            <m:t>S</m:t>
          </m:r>
          <m:r>
            <m:rPr>
              <m:sty m:val="p"/>
            </m:rPr>
            <m:t>≈</m:t>
          </m:r>
          <m:f>
            <m:fPr>
              <m:type m:val="bar"/>
            </m:fPr>
            <m:num>
              <m:r>
                <m:t>N</m:t>
              </m:r>
              <m:r>
                <m:rPr>
                  <m:sty m:val="p"/>
                </m:rPr>
                <m:t>⌈</m:t>
              </m:r>
              <m:sSub>
                <m:e>
                  <m:r>
                    <m:rPr>
                      <m:sty m:val="p"/>
                    </m:rPr>
                    <m:t>log</m:t>
                  </m:r>
                </m:e>
                <m:sub>
                  <m:r>
                    <m:t>2</m:t>
                  </m:r>
                </m:sub>
              </m:sSub>
              <m:r>
                <m:t>d</m:t>
              </m:r>
              <m:r>
                <m:rPr>
                  <m:sty m:val="p"/>
                </m:rPr>
                <m:t>⌉</m:t>
              </m:r>
            </m:num>
            <m:den>
              <m:r>
                <m:t>8</m:t>
              </m:r>
            </m:den>
          </m:f>
          <m:r>
            <m:rPr>
              <m:sty m:val="p"/>
            </m:rPr>
            <m:t>+</m:t>
          </m:r>
          <m:r>
            <m:t>d</m:t>
          </m:r>
          <m:r>
            <m:rPr>
              <m:sty m:val="p"/>
            </m:rPr>
            <m:t>⋅</m:t>
          </m:r>
          <m:acc>
            <m:accPr>
              <m:chr m:val="‾"/>
            </m:accPr>
            <m:e>
              <m:r>
                <m:t>v</m:t>
              </m:r>
            </m:e>
          </m:acc>
        </m:oMath>
      </m:oMathPara>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S</m:t>
              </m:r>
            </m:oMath>
          </w:p>
        </w:tc>
        <w:tc>
          <w:tcPr/>
          <w:p>
            <w:pPr>
              <w:pStyle w:val="Compact"/>
              <w:jc w:val="left"/>
            </w:pPr>
            <w:r>
              <w:t xml:space="preserve">Encoded column size</w:t>
            </w:r>
          </w:p>
        </w:tc>
        <w:tc>
          <w:tcPr/>
          <w:p>
            <w:pPr>
              <w:pStyle w:val="Compact"/>
              <w:jc w:val="left"/>
            </w:pPr>
            <w:r>
              <w:t xml:space="preserve">bytes</w:t>
            </w:r>
          </w:p>
        </w:tc>
      </w:tr>
      <w:tr>
        <w:tc>
          <w:tcPr/>
          <w:p>
            <w:pPr>
              <w:pStyle w:val="Compact"/>
              <w:jc w:val="left"/>
            </w:pPr>
            <m:oMath>
              <m:r>
                <m:t>N</m:t>
              </m:r>
            </m:oMath>
          </w:p>
        </w:tc>
        <w:tc>
          <w:tcPr/>
          <w:p>
            <w:pPr>
              <w:pStyle w:val="Compact"/>
              <w:jc w:val="left"/>
            </w:pPr>
            <w:r>
              <w:t xml:space="preserve">Number of rows</w:t>
            </w:r>
          </w:p>
        </w:tc>
        <w:tc>
          <w:tcPr/>
          <w:p>
            <w:pPr>
              <w:pStyle w:val="Compact"/>
              <w:jc w:val="left"/>
            </w:pPr>
            <w:r>
              <w:t xml:space="preserve">rows</w:t>
            </w:r>
          </w:p>
        </w:tc>
      </w:tr>
      <w:tr>
        <w:tc>
          <w:tcPr/>
          <w:p>
            <w:pPr>
              <w:pStyle w:val="Compact"/>
              <w:jc w:val="left"/>
            </w:pPr>
            <m:oMath>
              <m:r>
                <m:t>d</m:t>
              </m:r>
            </m:oMath>
          </w:p>
        </w:tc>
        <w:tc>
          <w:tcPr/>
          <w:p>
            <w:pPr>
              <w:pStyle w:val="Compact"/>
              <w:jc w:val="left"/>
            </w:pPr>
            <w:r>
              <w:t xml:space="preserve">Number of distinct values</w:t>
            </w:r>
          </w:p>
        </w:tc>
        <w:tc>
          <w:tcPr/>
          <w:p>
            <w:pPr>
              <w:pStyle w:val="Compact"/>
              <w:jc w:val="left"/>
            </w:pPr>
            <w:r>
              <w:t xml:space="preserve">values</w:t>
            </w:r>
          </w:p>
        </w:tc>
      </w:tr>
      <w:tr>
        <w:tc>
          <w:tcPr/>
          <w:p>
            <w:pPr>
              <w:pStyle w:val="Compact"/>
              <w:jc w:val="left"/>
            </w:pPr>
            <m:oMath>
              <m:acc>
                <m:accPr>
                  <m:chr m:val="‾"/>
                </m:accPr>
                <m:e>
                  <m:r>
                    <m:t>v</m:t>
                  </m:r>
                </m:e>
              </m:acc>
            </m:oMath>
          </w:p>
        </w:tc>
        <w:tc>
          <w:tcPr/>
          <w:p>
            <w:pPr>
              <w:pStyle w:val="Compact"/>
              <w:jc w:val="left"/>
            </w:pPr>
            <w:r>
              <w:t xml:space="preserve">Average size of one dictionary entry</w:t>
            </w:r>
          </w:p>
        </w:tc>
        <w:tc>
          <w:tcPr/>
          <w:p>
            <w:pPr>
              <w:pStyle w:val="Compact"/>
              <w:jc w:val="left"/>
            </w:pPr>
            <w:r>
              <w:t xml:space="preserve">bytes</w:t>
            </w:r>
          </w:p>
        </w:tc>
      </w:tr>
    </w:tbl>
    <w:p>
      <w:pPr>
        <w:pStyle w:val="CalloutExample"/>
      </w:pPr>
      <w:r>
        <w:rPr>
          <w:bCs/>
          <w:b/>
        </w:rPr>
        <w:t xml:space="preserve">WORKED EXAMPLE</w:t>
      </w:r>
    </w:p>
    <w:p>
      <w:pPr>
        <w:pStyle w:val="CalloutExample"/>
      </w:pPr>
      <w:r>
        <w:rPr>
          <w:bCs/>
          <w:b/>
        </w:rPr>
        <w:t xml:space="preserve">Worked example — Scanning one column of a billion-row fact table.</w:t>
      </w:r>
    </w:p>
    <w:p>
      <w:pPr>
        <w:pStyle w:val="CalloutExample"/>
      </w:pPr>
      <w:r>
        <w:t xml:space="preserve">A table has</w:t>
      </w:r>
      <w:r>
        <w:t xml:space="preserve"> </w:t>
      </w:r>
      <m:oMath>
        <m:r>
          <m:t>N</m:t>
        </m:r>
        <m:r>
          <m:rPr>
            <m:sty m:val="p"/>
          </m:rPr>
          <m:t>=</m:t>
        </m:r>
        <m:sSup>
          <m:e>
            <m:r>
              <m:t>10</m:t>
            </m:r>
          </m:e>
          <m:sup>
            <m:r>
              <m:t>9</m:t>
            </m:r>
          </m:sup>
        </m:sSup>
      </m:oMath>
      <w:r>
        <w:t xml:space="preserve"> </w:t>
      </w:r>
      <w:r>
        <w:t xml:space="preserve">rows and 20 columns averaging 8 bytes:</w:t>
      </w:r>
      <w:r>
        <w:t xml:space="preserve"> </w:t>
      </w:r>
      <m:oMath>
        <m:r>
          <m:t>1.6</m:t>
        </m:r>
        <m:r>
          <m:rPr>
            <m:sty m:val="p"/>
          </m:rPr>
          <m:t>×</m:t>
        </m:r>
        <m:sSup>
          <m:e>
            <m:r>
              <m:t>10</m:t>
            </m:r>
          </m:e>
          <m:sup>
            <m:r>
              <m:t>11</m:t>
            </m:r>
          </m:sup>
        </m:sSup>
      </m:oMath>
      <w:r>
        <w:t xml:space="preserve"> </w:t>
      </w:r>
      <w:r>
        <w:t xml:space="preserve">bytes</w:t>
      </w:r>
      <w:r>
        <w:t xml:space="preserve"> </w:t>
      </w:r>
      <m:oMath>
        <m:r>
          <m:rPr>
            <m:sty m:val="p"/>
          </m:rPr>
          <m:t>=</m:t>
        </m:r>
        <m:r>
          <m:t>160</m:t>
        </m:r>
      </m:oMath>
      <w:r>
        <w:t xml:space="preserve"> </w:t>
      </w:r>
      <w:r>
        <w:t xml:space="preserve">GB as rows. A query sums</w:t>
      </w:r>
      <w:r>
        <w:t xml:space="preserve"> </w:t>
      </w:r>
      <w:r>
        <w:rPr>
          <w:rStyle w:val="VerbatimChar"/>
        </w:rPr>
        <w:t xml:space="preserve">amount</w:t>
      </w:r>
      <w:r>
        <w:t xml:space="preserve"> </w:t>
      </w:r>
      <w:r>
        <w:t xml:space="preserve">(8 bytes, uncompressed here) where</w:t>
      </w:r>
      <w:r>
        <w:t xml:space="preserve"> </w:t>
      </w:r>
      <w:r>
        <w:rPr>
          <w:rStyle w:val="VerbatimChar"/>
        </w:rPr>
        <w:t xml:space="preserve">country</w:t>
      </w:r>
      <w:r>
        <w:t xml:space="preserve"> </w:t>
      </w:r>
      <w:r>
        <w:t xml:space="preserve">has</w:t>
      </w:r>
      <w:r>
        <w:t xml:space="preserve"> </w:t>
      </w:r>
      <m:oMath>
        <m:r>
          <m:t>d</m:t>
        </m:r>
        <m:r>
          <m:rPr>
            <m:sty m:val="p"/>
          </m:rPr>
          <m:t>=</m:t>
        </m:r>
        <m:r>
          <m:t>200</m:t>
        </m:r>
      </m:oMath>
      <w:r>
        <w:t xml:space="preserve"> </w:t>
      </w:r>
      <w:r>
        <w:t xml:space="preserve">values of about 10 bytes.</w:t>
      </w:r>
    </w:p>
    <w:p>
      <w:pPr>
        <w:numPr>
          <w:ilvl w:val="0"/>
          <w:numId w:val="1456"/>
        </w:numPr>
        <w:pStyle w:val="Compact"/>
      </w:pPr>
      <w:r>
        <w:t xml:space="preserve">Row store: reads all 160 GB.</w:t>
      </w:r>
    </w:p>
    <w:p>
      <w:pPr>
        <w:numPr>
          <w:ilvl w:val="0"/>
          <w:numId w:val="1456"/>
        </w:numPr>
        <w:pStyle w:val="Compact"/>
      </w:pPr>
      <w:r>
        <w:t xml:space="preserve">Column store,</w:t>
      </w:r>
      <w:r>
        <w:t xml:space="preserve"> </w:t>
      </w:r>
      <w:r>
        <w:rPr>
          <w:rStyle w:val="VerbatimChar"/>
        </w:rPr>
        <w:t xml:space="preserve">country</w:t>
      </w:r>
      <w:r>
        <w:t xml:space="preserve">:</w:t>
      </w:r>
      <w:r>
        <w:t xml:space="preserve"> </w:t>
      </w:r>
      <m:oMath>
        <m:r>
          <m:rPr>
            <m:sty m:val="p"/>
          </m:rPr>
          <m:t>⌈</m:t>
        </m:r>
        <m:sSub>
          <m:e>
            <m:r>
              <m:rPr>
                <m:sty m:val="p"/>
              </m:rPr>
              <m:t>log</m:t>
            </m:r>
          </m:e>
          <m:sub>
            <m:r>
              <m:t>2</m:t>
            </m:r>
          </m:sub>
        </m:sSub>
        <m:r>
          <m:t>200</m:t>
        </m:r>
        <m:r>
          <m:rPr>
            <m:sty m:val="p"/>
          </m:rPr>
          <m:t>⌉</m:t>
        </m:r>
        <m:r>
          <m:rPr>
            <m:sty m:val="p"/>
          </m:rPr>
          <m:t>=</m:t>
        </m:r>
        <m:r>
          <m:t>8</m:t>
        </m:r>
      </m:oMath>
      <w:r>
        <w:t xml:space="preserve"> </w:t>
      </w:r>
      <w:r>
        <w:t xml:space="preserve">bits;</w:t>
      </w:r>
      <w:r>
        <w:t xml:space="preserve"> </w:t>
      </w:r>
      <m:oMath>
        <m:r>
          <m:t>S</m:t>
        </m:r>
        <m:r>
          <m:rPr>
            <m:sty m:val="p"/>
          </m:rPr>
          <m:t>=</m:t>
        </m:r>
        <m:sSup>
          <m:e>
            <m:r>
              <m:t>10</m:t>
            </m:r>
          </m:e>
          <m:sup>
            <m:r>
              <m:t>9</m:t>
            </m:r>
          </m:sup>
        </m:sSup>
        <m:r>
          <m:rPr>
            <m:sty m:val="p"/>
          </m:rPr>
          <m:t>×</m:t>
        </m:r>
        <m:r>
          <m:t>8</m:t>
        </m:r>
        <m:r>
          <m:rPr>
            <m:sty m:val="p"/>
          </m:rPr>
          <m:t>/</m:t>
        </m:r>
        <m:r>
          <m:t>8</m:t>
        </m:r>
        <m:r>
          <m:rPr>
            <m:sty m:val="p"/>
          </m:rPr>
          <m:t>+</m:t>
        </m:r>
        <m:r>
          <m:t>200</m:t>
        </m:r>
        <m:r>
          <m:rPr>
            <m:sty m:val="p"/>
          </m:rPr>
          <m:t>×</m:t>
        </m:r>
        <m:r>
          <m:t>10</m:t>
        </m:r>
        <m:r>
          <m:rPr>
            <m:sty m:val="p"/>
          </m:rPr>
          <m:t>=</m:t>
        </m:r>
        <m:r>
          <m:t>1.0</m:t>
        </m:r>
      </m:oMath>
      <w:r>
        <w:t xml:space="preserve"> </w:t>
      </w:r>
      <w:r>
        <w:t xml:space="preserve">GB (the 2 KB dictionary is negligible).</w:t>
      </w:r>
    </w:p>
    <w:p>
      <w:pPr>
        <w:numPr>
          <w:ilvl w:val="0"/>
          <w:numId w:val="1456"/>
        </w:numPr>
        <w:pStyle w:val="Compact"/>
      </w:pPr>
      <w:r>
        <w:t xml:space="preserve">Column store,</w:t>
      </w:r>
      <w:r>
        <w:t xml:space="preserve"> </w:t>
      </w:r>
      <w:r>
        <w:rPr>
          <w:rStyle w:val="VerbatimChar"/>
        </w:rPr>
        <w:t xml:space="preserve">amount</w:t>
      </w:r>
      <w:r>
        <w:t xml:space="preserve">:</w:t>
      </w:r>
      <w:r>
        <w:t xml:space="preserve"> </w:t>
      </w:r>
      <m:oMath>
        <m:sSup>
          <m:e>
            <m:r>
              <m:t>10</m:t>
            </m:r>
          </m:e>
          <m:sup>
            <m:r>
              <m:t>9</m:t>
            </m:r>
          </m:sup>
        </m:sSup>
        <m:r>
          <m:rPr>
            <m:sty m:val="p"/>
          </m:rPr>
          <m:t>×</m:t>
        </m:r>
        <m:r>
          <m:t>8</m:t>
        </m:r>
        <m:r>
          <m:rPr>
            <m:sty m:val="p"/>
          </m:rPr>
          <m:t>=</m:t>
        </m:r>
        <m:r>
          <m:t>8</m:t>
        </m:r>
      </m:oMath>
      <w:r>
        <w:t xml:space="preserve"> </w:t>
      </w:r>
      <w:r>
        <w:t xml:space="preserve">GB. Total:</w:t>
      </w:r>
      <w:r>
        <w:t xml:space="preserve"> </w:t>
      </w:r>
      <m:oMath>
        <m:r>
          <m:t>9</m:t>
        </m:r>
      </m:oMath>
      <w:r>
        <w:t xml:space="preserve"> </w:t>
      </w:r>
      <w:r>
        <w:t xml:space="preserve">GB.</w:t>
      </w:r>
    </w:p>
    <w:p>
      <w:pPr>
        <w:numPr>
          <w:ilvl w:val="0"/>
          <w:numId w:val="1456"/>
        </w:numPr>
        <w:pStyle w:val="Compact"/>
      </w:pPr>
      <w:r>
        <w:t xml:space="preserve">At 2 GB/s of scan bandwidth: row store</w:t>
      </w:r>
      <w:r>
        <w:t xml:space="preserve"> </w:t>
      </w:r>
      <m:oMath>
        <m:r>
          <m:t>160</m:t>
        </m:r>
        <m:r>
          <m:rPr>
            <m:sty m:val="p"/>
          </m:rPr>
          <m:t>/</m:t>
        </m:r>
        <m:r>
          <m:t>2</m:t>
        </m:r>
        <m:r>
          <m:rPr>
            <m:sty m:val="p"/>
          </m:rPr>
          <m:t>=</m:t>
        </m:r>
        <m:r>
          <m:t>80</m:t>
        </m:r>
      </m:oMath>
      <w:r>
        <w:t xml:space="preserve"> </w:t>
      </w:r>
      <w:r>
        <w:t xml:space="preserve">s; column store</w:t>
      </w:r>
      <w:r>
        <w:t xml:space="preserve"> </w:t>
      </w:r>
      <m:oMath>
        <m:r>
          <m:t>9</m:t>
        </m:r>
        <m:r>
          <m:rPr>
            <m:sty m:val="p"/>
          </m:rPr>
          <m:t>/</m:t>
        </m:r>
        <m:r>
          <m:t>2</m:t>
        </m:r>
        <m:r>
          <m:rPr>
            <m:sty m:val="p"/>
          </m:rPr>
          <m:t>=</m:t>
        </m:r>
        <m:r>
          <m:t>4.5</m:t>
        </m:r>
      </m:oMath>
      <w:r>
        <w:t xml:space="preserve"> </w:t>
      </w:r>
      <w:r>
        <w:t xml:space="preserve">s, about 18× faster before any further compression of</w:t>
      </w:r>
      <w:r>
        <w:t xml:space="preserve"> </w:t>
      </w:r>
      <w:r>
        <w:rPr>
          <w:rStyle w:val="VerbatimChar"/>
        </w:rPr>
        <w:t xml:space="preserve">amount</w:t>
      </w:r>
      <w:r>
        <w:t xml:space="preserve"> </w:t>
      </w:r>
      <w:r>
        <w:t xml:space="preserve">or skipping of blocks.</w:t>
      </w:r>
    </w:p>
    <w:p>
      <w:pPr>
        <w:pStyle w:val="CalloutExample"/>
      </w:pPr>
      <w:r>
        <w:rPr>
          <w:bCs/>
          <w:b/>
        </w:rPr>
        <w:t xml:space="preserve">Interpretation.</w:t>
      </w:r>
      <w:r>
        <w:t xml:space="preserve"> </w:t>
      </w:r>
      <w:r>
        <w:t xml:space="preserve">Reading only needed columns, tightly encoded, cuts bytes scanned by an order of magnitude.</w:t>
      </w:r>
      <w:r>
        <w:t xml:space="preserve"> </w:t>
      </w:r>
      <w:r>
        <w:rPr>
          <w:bCs/>
          <w:b/>
        </w:rPr>
        <w:t xml:space="preserve">Engineering implication.</w:t>
      </w:r>
      <w:r>
        <w:t xml:space="preserve"> </w:t>
      </w:r>
      <w:r>
        <w:t xml:space="preserve">Use column formats for analytics, with per-block min/max statistics (</w:t>
      </w:r>
      <w:r>
        <w:rPr>
          <w:bCs/>
          <w:b/>
        </w:rPr>
        <w:t xml:space="preserve">zone maps</w:t>
      </w:r>
      <w:r>
        <w:t xml:space="preserve">) so filters skip blocks; the bottleneck then moves to CPU.</w:t>
      </w:r>
    </w:p>
    <w:p>
      <w:pPr>
        <w:pStyle w:val="BodyText"/>
      </w:pPr>
      <w:r>
        <w:t xml:space="preserve">That CPU bottleneck is attacked with</w:t>
      </w:r>
      <w:r>
        <w:t xml:space="preserve"> </w:t>
      </w:r>
      <w:r>
        <w:rPr>
          <w:bCs/>
          <w:b/>
        </w:rPr>
        <w:t xml:space="preserve">vectorized execution</w:t>
      </w:r>
      <w:r>
        <w:t xml:space="preserve">: operators process batches of about a thousand values from one column in tight loops, instead of one row at a time through a chain of virtual function calls. The loops stay in the CPU cache, avoid branch mispredictions and use SIMD instructions (§5.11) [Boncz et al. 2005].</w:t>
      </w:r>
      <w:r>
        <w:t xml:space="preserve"> </w:t>
      </w:r>
      <w:r>
        <w:rPr>
          <w:bCs/>
          <w:b/>
        </w:rPr>
        <w:t xml:space="preserve">Late materialization</w:t>
      </w:r>
      <w:r>
        <w:t xml:space="preserve"> </w:t>
      </w:r>
      <w:r>
        <w:t xml:space="preserve">keeps data as column positions as long as possible and assembles full rows only for the final result.</w:t>
      </w:r>
    </w:p>
    <w:p>
      <w:pPr>
        <w:pStyle w:val="BodyText"/>
      </w:pPr>
      <w:r>
        <w:rPr>
          <w:bCs/>
          <w:b/>
        </w:rPr>
        <w:t xml:space="preserve">Apache Parquet</w:t>
      </w:r>
      <w:r>
        <w:t xml:space="preserve">, the most widely used open columnar file format, applies all of this to files: a file is divided into</w:t>
      </w:r>
      <w:r>
        <w:t xml:space="preserve"> </w:t>
      </w:r>
      <w:r>
        <w:rPr>
          <w:bCs/>
          <w:b/>
        </w:rPr>
        <w:t xml:space="preserve">row groups</w:t>
      </w:r>
      <w:r>
        <w:t xml:space="preserve">, each row group stores one</w:t>
      </w:r>
      <w:r>
        <w:t xml:space="preserve"> </w:t>
      </w:r>
      <w:r>
        <w:rPr>
          <w:bCs/>
          <w:b/>
        </w:rPr>
        <w:t xml:space="preserve">column chunk</w:t>
      </w:r>
      <w:r>
        <w:t xml:space="preserve"> </w:t>
      </w:r>
      <w:r>
        <w:t xml:space="preserve">per column, chunks are divided into pages with dictionary, RLE and bit-packed encodings, and a footer holds the schema and per-chunk statistics used to skip data [Apache Parquet Docs]. Parquet, ORC, and lakehouse table formats built on them are treated in Chapter 61; distributed scans over them in Chapter 29.</w:t>
      </w:r>
    </w:p>
    <w:p>
      <w:pPr>
        <w:pStyle w:val="CalloutMistake"/>
      </w:pPr>
      <w:r>
        <w:rPr>
          <w:bCs/>
          <w:b/>
        </w:rPr>
        <w:t xml:space="preserve">COMMON MISTAKE</w:t>
      </w:r>
    </w:p>
    <w:p>
      <w:pPr>
        <w:pStyle w:val="CalloutMistake"/>
      </w:pPr>
      <w:r>
        <w:rPr>
          <w:bCs/>
          <w:b/>
        </w:rPr>
        <w:t xml:space="preserve">“</w:t>
      </w:r>
      <w:r>
        <w:rPr>
          <w:bCs/>
          <w:b/>
        </w:rPr>
        <w:t xml:space="preserve">A column store is just a row store with column indexes.</w:t>
      </w:r>
      <w:r>
        <w:rPr>
          <w:bCs/>
          <w:b/>
        </w:rPr>
        <w:t xml:space="preserve">”</w:t>
      </w:r>
      <w:r>
        <w:t xml:space="preserve"> </w:t>
      </w:r>
      <w:r>
        <w:t xml:space="preserve">A column store changes what is read, how it is compressed and how operators execute. Single-row writes and lookups are expensive in it, so OLTP stays in row stores, with changes streamed to a column store for analytics (§32.6).</w:t>
      </w:r>
    </w:p>
    <w:bookmarkEnd w:id="1534"/>
    <w:bookmarkEnd w:id="1535"/>
    <w:bookmarkStart w:id="1539" w:name="X1378bc96a4fc8537e25befe0bab35f22c9650e3"/>
    <w:p>
      <w:pPr>
        <w:pStyle w:val="Heading2"/>
      </w:pPr>
      <w:r>
        <w:t xml:space="preserve">13.14 Case studies: InnoDB, RocksDB and the PostgreSQL heap</w:t>
      </w:r>
    </w:p>
    <w:bookmarkStart w:id="1536" w:name="X7ed95cf4f592f6e739ef728d6e827bc4f745a2f"/>
    <w:p>
      <w:pPr>
        <w:pStyle w:val="Heading3"/>
      </w:pPr>
      <w:r>
        <w:t xml:space="preserve">13.14.1 InnoDB: a clustered B+ tree with redo, undo and doublewrite</w:t>
      </w:r>
    </w:p>
    <w:p>
      <w:pPr>
        <w:pStyle w:val="FirstParagraph"/>
      </w:pPr>
      <w:r>
        <w:t xml:space="preserve">InnoDB, MySQL’s default engine, stores each table as a</w:t>
      </w:r>
      <w:r>
        <w:t xml:space="preserve"> </w:t>
      </w:r>
      <w:r>
        <w:rPr>
          <w:bCs/>
          <w:b/>
        </w:rPr>
        <w:t xml:space="preserve">clustered index</w:t>
      </w:r>
      <w:r>
        <w:t xml:space="preserve">: a B+ tree keyed by the primary key whose leaf pages (16 KiB) hold the full rows. Secondary indexes store the primary-key value, not a physical address, so a secondary lookup traverses two trees, but rows can move between pages during splits without touching secondary indexes. The buffer pool uses midpoint-insertion LRU (§13.4.2) and, on Linux from MySQL 8.4,</w:t>
      </w:r>
      <w:r>
        <w:t xml:space="preserve"> </w:t>
      </w:r>
      <w:r>
        <w:rPr>
          <w:rStyle w:val="VerbatimChar"/>
        </w:rPr>
        <w:t xml:space="preserve">O_DIRECT</w:t>
      </w:r>
      <w:r>
        <w:t xml:space="preserve">. Durability combines the redo log, undo logs for rollback and MVCC reads (§13.5.4), and the doublewrite buffer (§13.12.3). Choose it for OLTP workloads accessed mostly by primary key, with compact, roughly increasing primary keys: random keys such as UUIDv4 cause splits all over the tree and poor page fill.</w:t>
      </w:r>
      <w:r>
        <w:t xml:space="preserve"> </w:t>
      </w:r>
      <w:r>
        <w:rPr>
          <w:iCs/>
          <w:i/>
        </w:rPr>
        <w:t xml:space="preserve">Evidence: Primary</w:t>
      </w:r>
      <w:r>
        <w:t xml:space="preserve"> </w:t>
      </w:r>
      <w:r>
        <w:t xml:space="preserve">— [MySQL Docs: InnoDB Architecture].</w:t>
      </w:r>
    </w:p>
    <w:bookmarkEnd w:id="1536"/>
    <w:bookmarkStart w:id="1537" w:name="rocksdb-an-embeddable-lsm-engine"/>
    <w:p>
      <w:pPr>
        <w:pStyle w:val="Heading3"/>
      </w:pPr>
      <w:r>
        <w:t xml:space="preserve">13.14.2 RocksDB: an embeddable LSM engine</w:t>
      </w:r>
    </w:p>
    <w:p>
      <w:pPr>
        <w:pStyle w:val="FirstParagraph"/>
      </w:pPr>
      <w:r>
        <w:t xml:space="preserve">RocksDB began at Facebook in 2012 as a fork of Google’s LevelDB, optimized for flash and many cores. It is a library, not a server: applications embed it and get the full machinery of §13.8–§13.10 — WAL, skip-list memtables, block-based SSTables with Bloom (or the more compact Ribbon) filters, a block cache, leveled compaction by default with universal (tiered) and FIFO alternatives, and</w:t>
      </w:r>
      <w:r>
        <w:t xml:space="preserve"> </w:t>
      </w:r>
      <w:r>
        <w:rPr>
          <w:bCs/>
          <w:b/>
        </w:rPr>
        <w:t xml:space="preserve">column families</w:t>
      </w:r>
      <w:r>
        <w:t xml:space="preserve"> </w:t>
      </w:r>
      <w:r>
        <w:t xml:space="preserve">that share a WAL but have separate memtables and SSTables. It is the storage layer of many distributed databases and stream processors, including TiKV and Kafka Streams state stores.</w:t>
      </w:r>
    </w:p>
    <w:p>
      <w:pPr>
        <w:pStyle w:val="CalloutIndustry"/>
      </w:pPr>
      <w:r>
        <w:rPr>
          <w:bCs/>
          <w:b/>
        </w:rPr>
        <w:t xml:space="preserve">INDUSTRY EXAMPLE</w:t>
      </w:r>
    </w:p>
    <w:p>
      <w:pPr>
        <w:pStyle w:val="CalloutIndustry"/>
      </w:pPr>
      <w:r>
        <w:rPr>
          <w:bCs/>
          <w:b/>
        </w:rPr>
        <w:t xml:space="preserve">MyRocks at Facebook.</w:t>
      </w:r>
      <w:r>
        <w:t xml:space="preserve"> </w:t>
      </w:r>
      <w:r>
        <w:t xml:space="preserve">Facebook built MyRocks, a MySQL storage engine on RocksDB, and migrated its main user database from compressed InnoDB to it. The motivation was space and write amplification on flash: B-tree pages were partly empty and compressed poorly at page granularity, and random page writes wore SSDs, whereas leveled LSM compaction stores data densely and writes sequentially. The authors report substantial reductions in storage and write volume, and describe the engineering needed to make LSM reads, range scans and tombstone handling competitive.</w:t>
      </w:r>
      <w:r>
        <w:t xml:space="preserve"> </w:t>
      </w:r>
      <w:r>
        <w:rPr>
          <w:iCs/>
          <w:i/>
        </w:rPr>
        <w:t xml:space="preserve">Evidence: Primary</w:t>
      </w:r>
      <w:r>
        <w:t xml:space="preserve"> </w:t>
      </w:r>
      <w:r>
        <w:t xml:space="preserve">— [Matsunobu et al. 2020; Dong et al. 2017]</w:t>
      </w:r>
    </w:p>
    <w:bookmarkEnd w:id="1537"/>
    <w:bookmarkStart w:id="1538" w:name="X07eb658ae0374baa9ce7a3944971ff5c140184c"/>
    <w:p>
      <w:pPr>
        <w:pStyle w:val="Heading3"/>
      </w:pPr>
      <w:r>
        <w:t xml:space="preserve">13.14.3 PostgreSQL heap: append-friendly pages with MVCC versions</w:t>
      </w:r>
    </w:p>
    <w:p>
      <w:pPr>
        <w:pStyle w:val="FirstParagraph"/>
      </w:pPr>
      <w:r>
        <w:t xml:space="preserve">PostgreSQL stores a table as an unordered</w:t>
      </w:r>
      <w:r>
        <w:t xml:space="preserve"> </w:t>
      </w:r>
      <w:r>
        <w:rPr>
          <w:bCs/>
          <w:b/>
        </w:rPr>
        <w:t xml:space="preserve">heap</w:t>
      </w:r>
      <w:r>
        <w:t xml:space="preserve"> </w:t>
      </w:r>
      <w:r>
        <w:t xml:space="preserve">of 8 KiB slotted pages (§13.3). A row version (tuple) carries</w:t>
      </w:r>
      <w:r>
        <w:t xml:space="preserve"> </w:t>
      </w:r>
      <w:r>
        <w:rPr>
          <w:rStyle w:val="VerbatimChar"/>
        </w:rPr>
        <w:t xml:space="preserve">xmin</w:t>
      </w:r>
      <w:r>
        <w:t xml:space="preserve">/</w:t>
      </w:r>
      <w:r>
        <w:rPr>
          <w:rStyle w:val="VerbatimChar"/>
        </w:rPr>
        <w:t xml:space="preserve">xmax</w:t>
      </w:r>
      <w:r>
        <w:t xml:space="preserve">, the IDs of the transactions that created and deleted it (visibility rules: §11.14.2). An</w:t>
      </w:r>
      <w:r>
        <w:t xml:space="preserve"> </w:t>
      </w:r>
      <w:r>
        <w:rPr>
          <w:rStyle w:val="VerbatimChar"/>
        </w:rPr>
        <w:t xml:space="preserve">UPDATE</w:t>
      </w:r>
      <w:r>
        <w:t xml:space="preserve"> </w:t>
      </w:r>
      <w:r>
        <w:t xml:space="preserve">never overwrites: it writes a new tuple version — on the same page if there is room, else elsewhere — and marks the old one deleted. All indexes are secondary and point to a tuple’s physical location</w:t>
      </w:r>
      <w:r>
        <w:t xml:space="preserve"> </w:t>
      </w:r>
      <w:r>
        <w:rPr>
          <w:rStyle w:val="VerbatimChar"/>
        </w:rPr>
        <w:t xml:space="preserve">(block, slot)</w:t>
      </w:r>
      <w:r>
        <w:t xml:space="preserve">, the</w:t>
      </w:r>
      <w:r>
        <w:t xml:space="preserve"> </w:t>
      </w:r>
      <w:r>
        <w:rPr>
          <w:rStyle w:val="VerbatimChar"/>
        </w:rPr>
        <w:t xml:space="preserve">ctid</w:t>
      </w:r>
      <w:r>
        <w:t xml:space="preserve">. Two optimizations limit the cost. A</w:t>
      </w:r>
      <w:r>
        <w:t xml:space="preserve"> </w:t>
      </w:r>
      <w:r>
        <w:rPr>
          <w:bCs/>
          <w:b/>
        </w:rPr>
        <w:t xml:space="preserve">heap-only tuple (HOT)</w:t>
      </w:r>
      <w:r>
        <w:t xml:space="preserve"> </w:t>
      </w:r>
      <w:r>
        <w:t xml:space="preserve">update, possible when no indexed column changes and the new version fits on the same page, links the versions within the page and adds no index entries; a lower</w:t>
      </w:r>
      <w:r>
        <w:t xml:space="preserve"> </w:t>
      </w:r>
      <w:r>
        <w:rPr>
          <w:rStyle w:val="VerbatimChar"/>
        </w:rPr>
        <w:t xml:space="preserve">fillfactor</w:t>
      </w:r>
      <w:r>
        <w:t xml:space="preserve"> </w:t>
      </w:r>
      <w:r>
        <w:t xml:space="preserve">leaves room for it.</w:t>
      </w:r>
      <w:r>
        <w:t xml:space="preserve"> </w:t>
      </w:r>
      <w:r>
        <w:rPr>
          <w:rStyle w:val="VerbatimChar"/>
          <w:bCs/>
          <w:b/>
        </w:rPr>
        <w:t xml:space="preserve">VACUUM</w:t>
      </w:r>
      <w:r>
        <w:t xml:space="preserve"> </w:t>
      </w:r>
      <w:r>
        <w:t xml:space="preserve">later removes dead versions, records reusable space in the</w:t>
      </w:r>
      <w:r>
        <w:t xml:space="preserve"> </w:t>
      </w:r>
      <w:r>
        <w:rPr>
          <w:bCs/>
          <w:b/>
        </w:rPr>
        <w:t xml:space="preserve">free space map</w:t>
      </w:r>
      <w:r>
        <w:t xml:space="preserve">, and marks all-visible pages in the</w:t>
      </w:r>
      <w:r>
        <w:t xml:space="preserve"> </w:t>
      </w:r>
      <w:r>
        <w:rPr>
          <w:bCs/>
          <w:b/>
        </w:rPr>
        <w:t xml:space="preserve">visibility map</w:t>
      </w:r>
      <w:r>
        <w:t xml:space="preserve">, which enables index-only scans. Large values are moved out of line by TOAST. Recovery is redo-only from the WAL with full-page writes (§13.5, §13.12.3).</w:t>
      </w:r>
      <w:r>
        <w:t xml:space="preserve"> </w:t>
      </w:r>
      <w:r>
        <w:rPr>
          <w:iCs/>
          <w:i/>
        </w:rPr>
        <w:t xml:space="preserve">Evidence: Primary</w:t>
      </w:r>
      <w:r>
        <w:t xml:space="preserve"> </w:t>
      </w:r>
      <w:r>
        <w:t xml:space="preserve">— [PostgreSQL Docs: Database Physical Storage; Routine Vacuuming].</w:t>
      </w:r>
    </w:p>
    <w:p>
      <w:pPr>
        <w:pStyle w:val="BodyText"/>
      </w:pPr>
      <w:r>
        <w:rPr>
          <w:bCs/>
          <w:b/>
        </w:rPr>
        <w:t xml:space="preserve">Table 13.8 — B-tree versus LSM storage engines.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B-tree (in place)</w:t>
            </w:r>
          </w:p>
        </w:tc>
        <w:tc>
          <w:tcPr/>
          <w:p>
            <w:pPr>
              <w:pStyle w:val="Compact"/>
              <w:jc w:val="left"/>
            </w:pPr>
            <w:r>
              <w:t xml:space="preserve">LSM tree</w:t>
            </w:r>
          </w:p>
        </w:tc>
      </w:tr>
      <w:tr>
        <w:tc>
          <w:tcPr/>
          <w:p>
            <w:pPr>
              <w:pStyle w:val="Compact"/>
              <w:jc w:val="left"/>
            </w:pPr>
            <w:r>
              <w:t xml:space="preserve">What it is</w:t>
            </w:r>
          </w:p>
        </w:tc>
        <w:tc>
          <w:tcPr/>
          <w:p>
            <w:pPr>
              <w:pStyle w:val="Compact"/>
              <w:jc w:val="left"/>
            </w:pPr>
            <w:r>
              <w:t xml:space="preserve">Pages updated in place in a balanced tree</w:t>
            </w:r>
          </w:p>
        </w:tc>
        <w:tc>
          <w:tcPr/>
          <w:p>
            <w:pPr>
              <w:pStyle w:val="Compact"/>
              <w:jc w:val="left"/>
            </w:pPr>
            <w:r>
              <w:t xml:space="preserve">Memtable flushed to immutable sorted runs, merged by compaction</w:t>
            </w:r>
          </w:p>
        </w:tc>
      </w:tr>
      <w:tr>
        <w:tc>
          <w:tcPr/>
          <w:p>
            <w:pPr>
              <w:pStyle w:val="Compact"/>
              <w:jc w:val="left"/>
            </w:pPr>
            <w:r>
              <w:t xml:space="preserve">How it works</w:t>
            </w:r>
          </w:p>
        </w:tc>
        <w:tc>
          <w:tcPr/>
          <w:p>
            <w:pPr>
              <w:pStyle w:val="Compact"/>
              <w:jc w:val="left"/>
            </w:pPr>
            <w:r>
              <w:t xml:space="preserve">WAL + buffer pool; splits on overflow</w:t>
            </w:r>
          </w:p>
        </w:tc>
        <w:tc>
          <w:tcPr/>
          <w:p>
            <w:pPr>
              <w:pStyle w:val="Compact"/>
              <w:jc w:val="left"/>
            </w:pPr>
            <w:r>
              <w:t xml:space="preserve">WAL + memtable; flush; tiered or leveled compaction</w:t>
            </w:r>
          </w:p>
        </w:tc>
      </w:tr>
      <w:tr>
        <w:tc>
          <w:tcPr/>
          <w:p>
            <w:pPr>
              <w:pStyle w:val="Compact"/>
              <w:jc w:val="left"/>
            </w:pPr>
            <w:r>
              <w:t xml:space="preserve">Advantages</w:t>
            </w:r>
          </w:p>
        </w:tc>
        <w:tc>
          <w:tcPr/>
          <w:p>
            <w:pPr>
              <w:pStyle w:val="Compact"/>
              <w:jc w:val="left"/>
            </w:pPr>
            <w:r>
              <w:t xml:space="preserve">One I/O point reads; fast range scans; mature locking</w:t>
            </w:r>
          </w:p>
        </w:tc>
        <w:tc>
          <w:tcPr/>
          <w:p>
            <w:pPr>
              <w:pStyle w:val="Compact"/>
              <w:jc w:val="left"/>
            </w:pPr>
            <w:r>
              <w:t xml:space="preserve">Sequential writes; low WA for random updates; dense, compressible storage</w:t>
            </w:r>
          </w:p>
        </w:tc>
      </w:tr>
      <w:tr>
        <w:tc>
          <w:tcPr/>
          <w:p>
            <w:pPr>
              <w:pStyle w:val="Compact"/>
              <w:jc w:val="left"/>
            </w:pPr>
            <w:r>
              <w:t xml:space="preserve">Disadvantages</w:t>
            </w:r>
          </w:p>
        </w:tc>
        <w:tc>
          <w:tcPr/>
          <w:p>
            <w:pPr>
              <w:pStyle w:val="Compact"/>
              <w:jc w:val="left"/>
            </w:pPr>
            <w:r>
              <w:t xml:space="preserve">Random writes; page-sized WA; fragmentation; torn-page protection</w:t>
            </w:r>
          </w:p>
        </w:tc>
        <w:tc>
          <w:tcPr/>
          <w:p>
            <w:pPr>
              <w:pStyle w:val="Compact"/>
              <w:jc w:val="left"/>
            </w:pPr>
            <w:r>
              <w:t xml:space="preserve">Many runs per read; compaction debt and write stalls; tombstones</w:t>
            </w:r>
          </w:p>
        </w:tc>
      </w:tr>
      <w:tr>
        <w:tc>
          <w:tcPr/>
          <w:p>
            <w:pPr>
              <w:pStyle w:val="Compact"/>
              <w:jc w:val="left"/>
            </w:pPr>
            <w:r>
              <w:t xml:space="preserve">Performance</w:t>
            </w:r>
          </w:p>
        </w:tc>
        <w:tc>
          <w:tcPr/>
          <w:p>
            <w:pPr>
              <w:pStyle w:val="Compact"/>
              <w:jc w:val="left"/>
            </w:pPr>
            <w:r>
              <w:t xml:space="preserve">Read-optimized; writes depend on key locality</w:t>
            </w:r>
          </w:p>
        </w:tc>
        <w:tc>
          <w:tcPr/>
          <w:p>
            <w:pPr>
              <w:pStyle w:val="Compact"/>
              <w:jc w:val="left"/>
            </w:pPr>
            <w:r>
              <w:t xml:space="preserve">Write-optimized; point reads near B-tree with Bloom filters; scans slower</w:t>
            </w:r>
          </w:p>
        </w:tc>
      </w:tr>
      <w:tr>
        <w:tc>
          <w:tcPr/>
          <w:p>
            <w:pPr>
              <w:pStyle w:val="Compact"/>
              <w:jc w:val="left"/>
            </w:pPr>
            <w:r>
              <w:t xml:space="preserve">Operational complexity</w:t>
            </w:r>
          </w:p>
        </w:tc>
        <w:tc>
          <w:tcPr/>
          <w:p>
            <w:pPr>
              <w:pStyle w:val="Compact"/>
              <w:jc w:val="left"/>
            </w:pPr>
            <w:r>
              <w:t xml:space="preserve">Fill factor, checkpoints,</w:t>
            </w:r>
            <w:r>
              <w:t xml:space="preserve"> </w:t>
            </w:r>
            <w:r>
              <w:rPr>
                <w:rStyle w:val="VerbatimChar"/>
              </w:rPr>
              <w:t xml:space="preserve">VACUUM</w:t>
            </w:r>
            <w:r>
              <w:t xml:space="preserve"> </w:t>
            </w:r>
            <w:r>
              <w:t xml:space="preserve">(PostgreSQL)</w:t>
            </w:r>
          </w:p>
        </w:tc>
        <w:tc>
          <w:tcPr/>
          <w:p>
            <w:pPr>
              <w:pStyle w:val="Compact"/>
              <w:jc w:val="left"/>
            </w:pPr>
            <w:r>
              <w:t xml:space="preserve">Compaction strategy, L0 limits, filters, rate limits: many knobs</w:t>
            </w:r>
          </w:p>
        </w:tc>
      </w:tr>
      <w:tr>
        <w:tc>
          <w:tcPr/>
          <w:p>
            <w:pPr>
              <w:pStyle w:val="Compact"/>
              <w:jc w:val="left"/>
            </w:pPr>
            <w:r>
              <w:t xml:space="preserve">Cost</w:t>
            </w:r>
          </w:p>
        </w:tc>
        <w:tc>
          <w:tcPr/>
          <w:p>
            <w:pPr>
              <w:pStyle w:val="Compact"/>
              <w:jc w:val="left"/>
            </w:pPr>
            <w:r>
              <w:t xml:space="preserve">More space (SA ≈ 1.45); more flash wear for random updates</w:t>
            </w:r>
          </w:p>
        </w:tc>
        <w:tc>
          <w:tcPr/>
          <w:p>
            <w:pPr>
              <w:pStyle w:val="Compact"/>
              <w:jc w:val="left"/>
            </w:pPr>
            <w:r>
              <w:t xml:space="preserve">Less space (SA ≈ 1.1); compaction CPU and I/O</w:t>
            </w:r>
          </w:p>
        </w:tc>
      </w:tr>
      <w:tr>
        <w:tc>
          <w:tcPr/>
          <w:p>
            <w:pPr>
              <w:pStyle w:val="Compact"/>
              <w:jc w:val="left"/>
            </w:pPr>
            <w:r>
              <w:t xml:space="preserve">Use cases</w:t>
            </w:r>
          </w:p>
        </w:tc>
        <w:tc>
          <w:tcPr/>
          <w:p>
            <w:pPr>
              <w:pStyle w:val="Compact"/>
              <w:jc w:val="left"/>
            </w:pPr>
            <w:r>
              <w:t xml:space="preserve">OLTP, relational databases, secondary-index-heavy workloads</w:t>
            </w:r>
          </w:p>
        </w:tc>
        <w:tc>
          <w:tcPr/>
          <w:p>
            <w:pPr>
              <w:pStyle w:val="Compact"/>
              <w:jc w:val="left"/>
            </w:pPr>
            <w:r>
              <w:t xml:space="preserve">Ingest-heavy, key-value, time series, wide-column stores</w:t>
            </w:r>
          </w:p>
        </w:tc>
      </w:tr>
      <w:tr>
        <w:tc>
          <w:tcPr/>
          <w:p>
            <w:pPr>
              <w:pStyle w:val="Compact"/>
              <w:jc w:val="left"/>
            </w:pPr>
            <w:r>
              <w:t xml:space="preserve">Choose when</w:t>
            </w:r>
          </w:p>
        </w:tc>
        <w:tc>
          <w:tcPr/>
          <w:p>
            <w:pPr>
              <w:pStyle w:val="Compact"/>
              <w:jc w:val="left"/>
            </w:pPr>
            <w:r>
              <w:t xml:space="preserve">Read-heavy or locality-rich updates; latency predictability</w:t>
            </w:r>
          </w:p>
        </w:tc>
        <w:tc>
          <w:tcPr/>
          <w:p>
            <w:pPr>
              <w:pStyle w:val="Compact"/>
              <w:jc w:val="left"/>
            </w:pPr>
            <w:r>
              <w:t xml:space="preserve">Write-heavy or random updates on large data; space-sensitive SSD fleets</w:t>
            </w:r>
          </w:p>
        </w:tc>
      </w:tr>
    </w:tbl>
    <w:bookmarkEnd w:id="1538"/>
    <w:bookmarkEnd w:id="1539"/>
    <w:bookmarkStart w:id="1540" w:name="summary-and-revision-notes-12"/>
    <w:p>
      <w:pPr>
        <w:pStyle w:val="Heading2"/>
      </w:pPr>
      <w:r>
        <w:t xml:space="preserve">13.15 Summary and revision notes</w:t>
      </w:r>
    </w:p>
    <w:p>
      <w:pPr>
        <w:pStyle w:val="CalloutSummary"/>
      </w:pPr>
      <w:r>
        <w:rPr>
          <w:bCs/>
          <w:b/>
        </w:rPr>
        <w:t xml:space="preserve">SUMMARY</w:t>
      </w:r>
    </w:p>
    <w:p>
      <w:pPr>
        <w:numPr>
          <w:ilvl w:val="0"/>
          <w:numId w:val="1457"/>
        </w:numPr>
        <w:pStyle w:val="Compact"/>
      </w:pPr>
      <w:r>
        <w:t xml:space="preserve">Engines read, write, cache and log in</w:t>
      </w:r>
      <w:r>
        <w:t xml:space="preserve"> </w:t>
      </w:r>
      <w:r>
        <w:rPr>
          <w:bCs/>
          <w:b/>
        </w:rPr>
        <w:t xml:space="preserve">pages</w:t>
      </w:r>
      <w:r>
        <w:t xml:space="preserve"> </w:t>
      </w:r>
      <w:r>
        <w:t xml:space="preserve">(4–16 KiB).</w:t>
      </w:r>
      <w:r>
        <w:t xml:space="preserve"> </w:t>
      </w:r>
      <w:r>
        <w:rPr>
          <w:bCs/>
          <w:b/>
        </w:rPr>
        <w:t xml:space="preserve">Slotted pages</w:t>
      </w:r>
      <w:r>
        <w:t xml:space="preserve"> </w:t>
      </w:r>
      <w:r>
        <w:t xml:space="preserve">give records stable</w:t>
      </w:r>
      <w:r>
        <w:t xml:space="preserve"> </w:t>
      </w:r>
      <w:r>
        <w:rPr>
          <w:rStyle w:val="VerbatimChar"/>
        </w:rPr>
        <w:t xml:space="preserve">(page, slot)</w:t>
      </w:r>
      <w:r>
        <w:t xml:space="preserve"> </w:t>
      </w:r>
      <w:r>
        <w:t xml:space="preserve">IDs while allowing variable lengths and in-page compaction; per-row and per-page overhead alone can make a table ~1.4× its raw data.</w:t>
      </w:r>
    </w:p>
    <w:p>
      <w:pPr>
        <w:numPr>
          <w:ilvl w:val="0"/>
          <w:numId w:val="1457"/>
        </w:numPr>
        <w:pStyle w:val="Compact"/>
      </w:pPr>
      <w:r>
        <w:t xml:space="preserve">A</w:t>
      </w:r>
      <w:r>
        <w:t xml:space="preserve"> </w:t>
      </w:r>
      <w:r>
        <w:rPr>
          <w:bCs/>
          <w:b/>
        </w:rPr>
        <w:t xml:space="preserve">buffer pool</w:t>
      </w:r>
      <w:r>
        <w:t xml:space="preserve"> </w:t>
      </w:r>
      <w:r>
        <w:t xml:space="preserve">maps page IDs to frames with pin counts and dirty flags. Clock and LRU-K approximate LRU cheaply and resist scans;</w:t>
      </w:r>
      <w:r>
        <w:t xml:space="preserve"> </w:t>
      </w:r>
      <w:r>
        <w:rPr>
          <w:rStyle w:val="VerbatimChar"/>
        </w:rPr>
        <w:t xml:space="preserve">O_DIRECT</w:t>
      </w:r>
      <w:r>
        <w:t xml:space="preserve"> </w:t>
      </w:r>
      <w:r>
        <w:t xml:space="preserve">avoids double buffering. The five-minute rule says that on NVMe only pages re-referenced every ~30 s are worth caching on cost.</w:t>
      </w:r>
    </w:p>
    <w:p>
      <w:pPr>
        <w:numPr>
          <w:ilvl w:val="0"/>
          <w:numId w:val="1457"/>
        </w:numPr>
        <w:pStyle w:val="Compact"/>
      </w:pPr>
      <w:r>
        <w:rPr>
          <w:bCs/>
          <w:b/>
        </w:rPr>
        <w:t xml:space="preserve">WAL</w:t>
      </w:r>
      <w:r>
        <w:t xml:space="preserve"> </w:t>
      </w:r>
      <w:r>
        <w:t xml:space="preserve">turns random page writes into sequential log appends. The WAL rule (</w:t>
      </w:r>
      <m:oMath>
        <m:r>
          <m:rPr>
            <m:nor/>
            <m:sty m:val="p"/>
          </m:rPr>
          <m:t>pageLSN</m:t>
        </m:r>
        <m:r>
          <m:rPr>
            <m:sty m:val="p"/>
          </m:rPr>
          <m:t>≤</m:t>
        </m:r>
        <m:r>
          <m:rPr>
            <m:nor/>
            <m:sty m:val="p"/>
          </m:rPr>
          <m:t>flushedLSN</m:t>
        </m:r>
      </m:oMath>
      <w:r>
        <w:t xml:space="preserve">) and commit rule enable steal/no-force.</w:t>
      </w:r>
      <w:r>
        <w:t xml:space="preserve"> </w:t>
      </w:r>
      <w:r>
        <w:rPr>
          <w:bCs/>
          <w:b/>
        </w:rPr>
        <w:t xml:space="preserve">ARIES</w:t>
      </w:r>
      <w:r>
        <w:t xml:space="preserve"> </w:t>
      </w:r>
      <w:r>
        <w:t xml:space="preserve">recovers with analysis, redo (repeat history) and undo (with CLRs). Checkpoint interval trades recovery time (</w:t>
      </w:r>
      <m:oMath>
        <m:sSub>
          <m:e>
            <m:r>
              <m:t>W</m:t>
            </m:r>
          </m:e>
          <m:sub>
            <m:r>
              <m:t>r</m:t>
            </m:r>
            <m:r>
              <m:t>e</m:t>
            </m:r>
            <m:r>
              <m:t>d</m:t>
            </m:r>
            <m:r>
              <m:t>o</m:t>
            </m:r>
          </m:sub>
        </m:sSub>
        <m:r>
          <m:rPr>
            <m:sty m:val="p"/>
          </m:rPr>
          <m:t>/</m:t>
        </m:r>
        <m:sSub>
          <m:e>
            <m:r>
              <m:t>b</m:t>
            </m:r>
          </m:e>
          <m:sub>
            <m:r>
              <m:t>r</m:t>
            </m:r>
            <m:r>
              <m:t>e</m:t>
            </m:r>
            <m:r>
              <m:t>p</m:t>
            </m:r>
            <m:r>
              <m:t>l</m:t>
            </m:r>
            <m:r>
              <m:t>a</m:t>
            </m:r>
            <m:r>
              <m:t>y</m:t>
            </m:r>
          </m:sub>
        </m:sSub>
      </m:oMath>
      <w:r>
        <w:t xml:space="preserve">) against full-page-image volume.</w:t>
      </w:r>
    </w:p>
    <w:p>
      <w:pPr>
        <w:numPr>
          <w:ilvl w:val="0"/>
          <w:numId w:val="1457"/>
        </w:numPr>
        <w:pStyle w:val="Compact"/>
      </w:pPr>
      <w:r>
        <w:rPr>
          <w:bCs/>
          <w:b/>
        </w:rPr>
        <w:t xml:space="preserve">B-trees</w:t>
      </w:r>
      <w:r>
        <w:t xml:space="preserve"> </w:t>
      </w:r>
      <w:r>
        <w:t xml:space="preserve">of height 3–4 index billions of rows; lookups cost about one I/O when internal pages are cached. Splits are logged atomically; latch crabbing and B-link trees provide concurrency;</w:t>
      </w:r>
      <w:r>
        <w:t xml:space="preserve"> </w:t>
      </w:r>
      <w:r>
        <w:rPr>
          <w:bCs/>
          <w:b/>
        </w:rPr>
        <w:t xml:space="preserve">COW B-trees</w:t>
      </w:r>
      <w:r>
        <w:t xml:space="preserve"> </w:t>
      </w:r>
      <w:r>
        <w:t xml:space="preserve">(LMDB) need no WAL but copy the root-to-leaf path on each commit.</w:t>
      </w:r>
    </w:p>
    <w:p>
      <w:pPr>
        <w:numPr>
          <w:ilvl w:val="0"/>
          <w:numId w:val="1457"/>
        </w:numPr>
        <w:pStyle w:val="Compact"/>
      </w:pPr>
      <w:r>
        <w:rPr>
          <w:bCs/>
          <w:b/>
        </w:rPr>
        <w:t xml:space="preserve">Log-structured</w:t>
      </w:r>
      <w:r>
        <w:t xml:space="preserve"> </w:t>
      </w:r>
      <w:r>
        <w:t xml:space="preserve">storage appends everything.</w:t>
      </w:r>
      <w:r>
        <w:t xml:space="preserve"> </w:t>
      </w:r>
      <w:r>
        <w:rPr>
          <w:bCs/>
          <w:b/>
        </w:rPr>
        <w:t xml:space="preserve">Bitcask</w:t>
      </w:r>
      <w:r>
        <w:t xml:space="preserve"> </w:t>
      </w:r>
      <w:r>
        <w:t xml:space="preserve">keeps every key in RAM for one-seek reads;</w:t>
      </w:r>
      <w:r>
        <w:t xml:space="preserve"> </w:t>
      </w:r>
      <w:r>
        <w:rPr>
          <w:bCs/>
          <w:b/>
        </w:rPr>
        <w:t xml:space="preserve">LSM trees</w:t>
      </w:r>
      <w:r>
        <w:t xml:space="preserve"> </w:t>
      </w:r>
      <w:r>
        <w:t xml:space="preserve">add sorted memtables, SSTables with sparse indexes and Bloom filters, and compaction.</w:t>
      </w:r>
    </w:p>
    <w:p>
      <w:pPr>
        <w:numPr>
          <w:ilvl w:val="0"/>
          <w:numId w:val="1457"/>
        </w:numPr>
        <w:pStyle w:val="Compact"/>
      </w:pPr>
      <w:r>
        <w:rPr>
          <w:bCs/>
          <w:b/>
        </w:rPr>
        <w:t xml:space="preserve">Compaction</w:t>
      </w:r>
      <w:r>
        <w:t xml:space="preserve">: leveled</w:t>
      </w:r>
      <w:r>
        <w:t xml:space="preserve"> </w:t>
      </w:r>
      <m:oMath>
        <m:r>
          <m:t>W</m:t>
        </m:r>
        <m:r>
          <m:t>A</m:t>
        </m:r>
        <m:r>
          <m:rPr>
            <m:sty m:val="p"/>
          </m:rPr>
          <m:t>≈</m:t>
        </m:r>
        <m:r>
          <m:t>2</m:t>
        </m:r>
        <m:r>
          <m:rPr>
            <m:sty m:val="p"/>
          </m:rPr>
          <m:t>+</m:t>
        </m:r>
        <m:r>
          <m:t>L</m:t>
        </m:r>
        <m:d>
          <m:dPr>
            <m:begChr m:val="("/>
            <m:endChr m:val=")"/>
            <m:sepChr m:val=""/>
            <m:grow/>
          </m:dPr>
          <m:e>
            <m:r>
              <m:t>T</m:t>
            </m:r>
            <m:r>
              <m:rPr>
                <m:sty m:val="p"/>
              </m:rPr>
              <m:t>+</m:t>
            </m:r>
            <m:r>
              <m:t>1</m:t>
            </m:r>
          </m:e>
        </m:d>
        <m:r>
          <m:rPr>
            <m:sty m:val="p"/>
          </m:rPr>
          <m:t>/</m:t>
        </m:r>
        <m:r>
          <m:t>2</m:t>
        </m:r>
      </m:oMath>
      <w:r>
        <w:t xml:space="preserve">, few runs,</w:t>
      </w:r>
      <w:r>
        <w:t xml:space="preserve"> </w:t>
      </w:r>
      <m:oMath>
        <m:r>
          <m:t>S</m:t>
        </m:r>
        <m:r>
          <m:t>A</m:t>
        </m:r>
        <m:r>
          <m:rPr>
            <m:sty m:val="p"/>
          </m:rPr>
          <m:t>≈</m:t>
        </m:r>
        <m:r>
          <m:t>1.1</m:t>
        </m:r>
      </m:oMath>
      <w:r>
        <w:t xml:space="preserve">; tiered</w:t>
      </w:r>
      <w:r>
        <w:t xml:space="preserve"> </w:t>
      </w:r>
      <m:oMath>
        <m:r>
          <m:t>W</m:t>
        </m:r>
        <m:r>
          <m:t>A</m:t>
        </m:r>
        <m:r>
          <m:rPr>
            <m:sty m:val="p"/>
          </m:rPr>
          <m:t>≈</m:t>
        </m:r>
        <m:r>
          <m:t>2</m:t>
        </m:r>
        <m:r>
          <m:rPr>
            <m:sty m:val="p"/>
          </m:rPr>
          <m:t>+</m:t>
        </m:r>
        <m:r>
          <m:t>L</m:t>
        </m:r>
      </m:oMath>
      <w:r>
        <w:t xml:space="preserve">, many runs, more space; hybrids sit between. Compaction bandwidth must be capacity-planned.</w:t>
      </w:r>
    </w:p>
    <w:p>
      <w:pPr>
        <w:numPr>
          <w:ilvl w:val="0"/>
          <w:numId w:val="1457"/>
        </w:numPr>
        <w:pStyle w:val="Compact"/>
      </w:pPr>
      <w:r>
        <w:rPr>
          <w:bCs/>
          <w:b/>
        </w:rPr>
        <w:t xml:space="preserve">Bloom filters</w:t>
      </w:r>
      <w:r>
        <w:t xml:space="preserve"> </w:t>
      </w:r>
      <w:r>
        <w:t xml:space="preserve">at 10 bits/key give ~0.8% false positives and reduce absent-key lookups from one read per run to a few hundredths of a read.</w:t>
      </w:r>
    </w:p>
    <w:p>
      <w:pPr>
        <w:numPr>
          <w:ilvl w:val="0"/>
          <w:numId w:val="1457"/>
        </w:numPr>
        <w:pStyle w:val="Compact"/>
      </w:pPr>
      <w:r>
        <w:rPr>
          <w:bCs/>
          <w:b/>
        </w:rPr>
        <w:t xml:space="preserve">RUM</w:t>
      </w:r>
      <w:r>
        <w:t xml:space="preserve">: you can bound only two of read, update and space overhead. For random small updates, LSM WA (~24) can be &gt;10× lower than a B-tree’s (~329); for skewed updates the B-tree can win.</w:t>
      </w:r>
    </w:p>
    <w:p>
      <w:pPr>
        <w:numPr>
          <w:ilvl w:val="0"/>
          <w:numId w:val="1457"/>
        </w:numPr>
        <w:pStyle w:val="Compact"/>
      </w:pPr>
      <w:r>
        <w:rPr>
          <w:bCs/>
          <w:b/>
        </w:rPr>
        <w:t xml:space="preserve">Durability</w:t>
      </w:r>
      <w:r>
        <w:t xml:space="preserve"> </w:t>
      </w:r>
      <w:r>
        <w:t xml:space="preserve">needs</w:t>
      </w:r>
      <w:r>
        <w:t xml:space="preserve"> </w:t>
      </w:r>
      <w:r>
        <w:rPr>
          <w:rStyle w:val="VerbatimChar"/>
        </w:rPr>
        <w:t xml:space="preserve">fsync</w:t>
      </w:r>
      <w:r>
        <w:t xml:space="preserve"> </w:t>
      </w:r>
      <w:r>
        <w:t xml:space="preserve">plus checksums (detection) plus torn-page protection (full-page writes, doublewrite, or never overwriting).</w:t>
      </w:r>
    </w:p>
    <w:p>
      <w:pPr>
        <w:numPr>
          <w:ilvl w:val="0"/>
          <w:numId w:val="1457"/>
        </w:numPr>
        <w:pStyle w:val="Compact"/>
      </w:pPr>
      <w:r>
        <w:rPr>
          <w:bCs/>
          <w:b/>
        </w:rPr>
        <w:t xml:space="preserve">Column stores</w:t>
      </w:r>
      <w:r>
        <w:t xml:space="preserve"> </w:t>
      </w:r>
      <w:r>
        <w:t xml:space="preserve">read only needed columns, encode them (dictionary, bit-packing, RLE) and execute vectorized; Parquet brings this to files.</w:t>
      </w:r>
    </w:p>
    <w:bookmarkEnd w:id="1540"/>
    <w:bookmarkStart w:id="1541" w:name="knowledge-checkpoint-12"/>
    <w:p>
      <w:pPr>
        <w:pStyle w:val="Heading2"/>
      </w:pPr>
      <w:r>
        <w:t xml:space="preserve">13.16 Knowledge checkpoint</w:t>
      </w:r>
    </w:p>
    <w:p>
      <w:pPr>
        <w:numPr>
          <w:ilvl w:val="0"/>
          <w:numId w:val="1458"/>
        </w:numPr>
        <w:pStyle w:val="Compact"/>
      </w:pPr>
      <w:r>
        <w:t xml:space="preserve">Why does a slotted page store slot numbers in index entries rather than byte offsets?</w:t>
      </w:r>
    </w:p>
    <w:p>
      <w:pPr>
        <w:numPr>
          <w:ilvl w:val="0"/>
          <w:numId w:val="1458"/>
        </w:numPr>
        <w:pStyle w:val="Compact"/>
      </w:pPr>
      <w:r>
        <w:t xml:space="preserve">Compute the rows per 8 KiB page for 50-byte rows in PostgreSQL (24-byte tuple header, 8-byte alignment, 4-byte slots, 24-byte page header).</w:t>
      </w:r>
    </w:p>
    <w:p>
      <w:pPr>
        <w:numPr>
          <w:ilvl w:val="0"/>
          <w:numId w:val="1458"/>
        </w:numPr>
        <w:pStyle w:val="Compact"/>
      </w:pPr>
      <w:r>
        <w:t xml:space="preserve">What are a pin count and a dirty flag for, and what happens if a thread forgets to unpin?</w:t>
      </w:r>
    </w:p>
    <w:p>
      <w:pPr>
        <w:numPr>
          <w:ilvl w:val="0"/>
          <w:numId w:val="1458"/>
        </w:numPr>
        <w:pStyle w:val="Compact"/>
      </w:pPr>
      <w:r>
        <w:t xml:space="preserve">Explain sequential flooding and two mechanisms that prevent it.</w:t>
      </w:r>
    </w:p>
    <w:p>
      <w:pPr>
        <w:numPr>
          <w:ilvl w:val="0"/>
          <w:numId w:val="1458"/>
        </w:numPr>
        <w:pStyle w:val="Compact"/>
      </w:pPr>
      <w:r>
        <w:t xml:space="preserve">State the WAL rule and the commit rule.</w:t>
      </w:r>
    </w:p>
    <w:p>
      <w:pPr>
        <w:numPr>
          <w:ilvl w:val="0"/>
          <w:numId w:val="1458"/>
        </w:numPr>
        <w:pStyle w:val="Compact"/>
      </w:pPr>
      <w:r>
        <w:t xml:space="preserve">What do steal and no-force mean, and which one requires undo?</w:t>
      </w:r>
    </w:p>
    <w:p>
      <w:pPr>
        <w:numPr>
          <w:ilvl w:val="0"/>
          <w:numId w:val="1458"/>
        </w:numPr>
        <w:pStyle w:val="Compact"/>
      </w:pPr>
      <w:r>
        <w:t xml:space="preserve">Why does ARIES redo the changes of loser transactions before undoing them?</w:t>
      </w:r>
    </w:p>
    <w:p>
      <w:pPr>
        <w:numPr>
          <w:ilvl w:val="0"/>
          <w:numId w:val="1458"/>
        </w:numPr>
        <w:pStyle w:val="Compact"/>
      </w:pPr>
      <w:r>
        <w:t xml:space="preserve">What is a CLR and why does it make recovery safe against crashes during recovery?</w:t>
      </w:r>
    </w:p>
    <w:p>
      <w:pPr>
        <w:numPr>
          <w:ilvl w:val="0"/>
          <w:numId w:val="1458"/>
        </w:numPr>
        <w:pStyle w:val="Compact"/>
      </w:pPr>
      <w:r>
        <w:t xml:space="preserve">Calculate the height of a B+ tree with 500 million rows, 100 rows per leaf and fan-out 500.</w:t>
      </w:r>
    </w:p>
    <w:p>
      <w:pPr>
        <w:numPr>
          <w:ilvl w:val="0"/>
          <w:numId w:val="1458"/>
        </w:numPr>
        <w:pStyle w:val="Compact"/>
      </w:pPr>
      <w:r>
        <w:t xml:space="preserve">What limits Bitcask’s scalability?</w:t>
      </w:r>
    </w:p>
    <w:p>
      <w:pPr>
        <w:numPr>
          <w:ilvl w:val="0"/>
          <w:numId w:val="1458"/>
        </w:numPr>
        <w:pStyle w:val="Compact"/>
      </w:pPr>
      <w:r>
        <w:t xml:space="preserve">List the steps of an LSM point lookup.</w:t>
      </w:r>
    </w:p>
    <w:p>
      <w:pPr>
        <w:numPr>
          <w:ilvl w:val="0"/>
          <w:numId w:val="1458"/>
        </w:numPr>
        <w:pStyle w:val="Compact"/>
      </w:pPr>
      <w:r>
        <w:t xml:space="preserve">For</w:t>
      </w:r>
      <w:r>
        <w:t xml:space="preserve"> </w:t>
      </w:r>
      <m:oMath>
        <m:r>
          <m:t>N</m:t>
        </m:r>
        <m:r>
          <m:rPr>
            <m:sty m:val="p"/>
          </m:rPr>
          <m:t>/</m:t>
        </m:r>
        <m:r>
          <m:t>M</m:t>
        </m:r>
        <m:r>
          <m:rPr>
            <m:sty m:val="p"/>
          </m:rPr>
          <m:t>=</m:t>
        </m:r>
        <m:sSup>
          <m:e>
            <m:r>
              <m:t>10</m:t>
            </m:r>
          </m:e>
          <m:sup>
            <m:r>
              <m:t>4</m:t>
            </m:r>
          </m:sup>
        </m:sSup>
      </m:oMath>
      <w:r>
        <w:t xml:space="preserve">, compute the write amplification of leveled (</w:t>
      </w:r>
      <m:oMath>
        <m:r>
          <m:t>T</m:t>
        </m:r>
        <m:r>
          <m:rPr>
            <m:sty m:val="p"/>
          </m:rPr>
          <m:t>=</m:t>
        </m:r>
        <m:r>
          <m:t>10</m:t>
        </m:r>
      </m:oMath>
      <w:r>
        <w:t xml:space="preserve">) and tiered (</w:t>
      </w:r>
      <m:oMath>
        <m:r>
          <m:t>T</m:t>
        </m:r>
        <m:r>
          <m:rPr>
            <m:sty m:val="p"/>
          </m:rPr>
          <m:t>=</m:t>
        </m:r>
        <m:r>
          <m:t>4</m:t>
        </m:r>
      </m:oMath>
      <w:r>
        <w:t xml:space="preserve">) compaction with the chapter’s model.</w:t>
      </w:r>
    </w:p>
    <w:p>
      <w:pPr>
        <w:numPr>
          <w:ilvl w:val="0"/>
          <w:numId w:val="1458"/>
        </w:numPr>
        <w:pStyle w:val="Compact"/>
      </w:pPr>
      <w:r>
        <w:t xml:space="preserve">What is a torn write and how do PostgreSQL and InnoDB each defend against it?</w:t>
      </w:r>
    </w:p>
    <w:p>
      <w:pPr>
        <w:numPr>
          <w:ilvl w:val="0"/>
          <w:numId w:val="1458"/>
        </w:numPr>
        <w:pStyle w:val="Compact"/>
      </w:pPr>
      <w:r>
        <w:t xml:space="preserve">How many bits per value does bit-packing need for a column with 1,000 distinct values?</w:t>
      </w:r>
    </w:p>
    <w:p>
      <w:pPr>
        <w:pStyle w:val="FirstParagraph"/>
      </w:pPr>
      <w:r>
        <w:t xml:space="preserve">Answers</w:t>
      </w:r>
    </w:p>
    <w:p>
      <w:pPr>
        <w:numPr>
          <w:ilvl w:val="0"/>
          <w:numId w:val="1459"/>
        </w:numPr>
        <w:pStyle w:val="Compact"/>
      </w:pPr>
      <w:r>
        <w:t xml:space="preserve">So records can move within the page (updates, compaction) without changing their identifier or any index entry.</w:t>
      </w:r>
    </w:p>
    <w:p>
      <w:pPr>
        <w:numPr>
          <w:ilvl w:val="0"/>
          <w:numId w:val="1459"/>
        </w:numPr>
        <w:pStyle w:val="Compact"/>
      </w:pPr>
      <w:r>
        <w:t xml:space="preserve">Tuple</w:t>
      </w:r>
      <w:r>
        <w:t xml:space="preserve"> </w:t>
      </w:r>
      <m:oMath>
        <m:r>
          <m:t>24</m:t>
        </m:r>
        <m:r>
          <m:rPr>
            <m:sty m:val="p"/>
          </m:rPr>
          <m:t>+</m:t>
        </m:r>
        <m:r>
          <m:t>50</m:t>
        </m:r>
        <m:r>
          <m:rPr>
            <m:sty m:val="p"/>
          </m:rPr>
          <m:t>=</m:t>
        </m:r>
        <m:r>
          <m:t>74</m:t>
        </m:r>
      </m:oMath>
      <w:r>
        <w:t xml:space="preserve">, aligned to 80; with slot 84 bytes.</w:t>
      </w:r>
      <w:r>
        <w:t xml:space="preserve"> </w:t>
      </w:r>
      <m:oMath>
        <m:r>
          <m:rPr>
            <m:sty m:val="p"/>
          </m:rPr>
          <m:t>⌊</m:t>
        </m:r>
        <m:r>
          <m:t>8168</m:t>
        </m:r>
        <m:r>
          <m:rPr>
            <m:sty m:val="p"/>
          </m:rPr>
          <m:t>/</m:t>
        </m:r>
        <m:r>
          <m:t>84</m:t>
        </m:r>
        <m:r>
          <m:rPr>
            <m:sty m:val="p"/>
          </m:rPr>
          <m:t>⌋</m:t>
        </m:r>
        <m:r>
          <m:rPr>
            <m:sty m:val="p"/>
          </m:rPr>
          <m:t>=</m:t>
        </m:r>
        <m:r>
          <m:t>97</m:t>
        </m:r>
      </m:oMath>
      <w:r>
        <w:t xml:space="preserve"> </w:t>
      </w:r>
      <w:r>
        <w:t xml:space="preserve">rows.</w:t>
      </w:r>
    </w:p>
    <w:p>
      <w:pPr>
        <w:numPr>
          <w:ilvl w:val="0"/>
          <w:numId w:val="1459"/>
        </w:numPr>
        <w:pStyle w:val="Compact"/>
      </w:pPr>
      <w:r>
        <w:t xml:space="preserve">Pin count prevents eviction of a page in use; dirty flag means it must be written back before reuse. A leaked pin keeps the frame unevictable forever, shrinking the pool.</w:t>
      </w:r>
    </w:p>
    <w:p>
      <w:pPr>
        <w:numPr>
          <w:ilvl w:val="0"/>
          <w:numId w:val="1459"/>
        </w:numPr>
        <w:pStyle w:val="Compact"/>
      </w:pPr>
      <w:r>
        <w:t xml:space="preserve">A large scan touches each page once and evicts the hot set under LRU. Prevent with LRU-K/2Q/midpoint insertion (one-touch pages never reach the protected list) or ring buffers for bulk scans.</w:t>
      </w:r>
    </w:p>
    <w:p>
      <w:pPr>
        <w:numPr>
          <w:ilvl w:val="0"/>
          <w:numId w:val="1459"/>
        </w:numPr>
        <w:pStyle w:val="Compact"/>
      </w:pPr>
      <w:r>
        <w:t xml:space="preserve">WAL rule: log records up to a page’s LSN must be durable before the page is written. Commit rule: a commit is acknowledged only after its commit record is durable.</w:t>
      </w:r>
    </w:p>
    <w:p>
      <w:pPr>
        <w:numPr>
          <w:ilvl w:val="0"/>
          <w:numId w:val="1459"/>
        </w:numPr>
        <w:pStyle w:val="Compact"/>
      </w:pPr>
      <w:r>
        <w:t xml:space="preserve">Steal: uncommitted changes may be written to disk (requires undo). No-force: committed changes need not be written at commit (requires redo).</w:t>
      </w:r>
    </w:p>
    <w:p>
      <w:pPr>
        <w:numPr>
          <w:ilvl w:val="0"/>
          <w:numId w:val="1459"/>
        </w:numPr>
        <w:pStyle w:val="Compact"/>
      </w:pPr>
      <w:r>
        <w:t xml:space="preserve">Repeating history restores the exact pre-crash page state, so logical undo records apply correctly and fine-grained locking is supported.</w:t>
      </w:r>
    </w:p>
    <w:p>
      <w:pPr>
        <w:numPr>
          <w:ilvl w:val="0"/>
          <w:numId w:val="1459"/>
        </w:numPr>
        <w:pStyle w:val="Compact"/>
      </w:pPr>
      <w:r>
        <w:t xml:space="preserve">A compensation log record logs each undo action with</w:t>
      </w:r>
      <w:r>
        <w:t xml:space="preserve"> </w:t>
      </w:r>
      <w:r>
        <w:rPr>
          <w:rStyle w:val="VerbatimChar"/>
        </w:rPr>
        <w:t xml:space="preserve">undoNextLSN</w:t>
      </w:r>
      <w:r>
        <w:t xml:space="preserve">; after a crash during recovery, CLRs are redone and undo resumes where it stopped, never undoing twice.</w:t>
      </w:r>
    </w:p>
    <w:p>
      <w:pPr>
        <w:numPr>
          <w:ilvl w:val="0"/>
          <w:numId w:val="1459"/>
        </w:numPr>
        <w:pStyle w:val="Compact"/>
      </w:pPr>
      <w:r>
        <w:t xml:space="preserve">Leaves</w:t>
      </w:r>
      <w:r>
        <w:t xml:space="preserve"> </w:t>
      </w:r>
      <m:oMath>
        <m:r>
          <m:rPr>
            <m:sty m:val="p"/>
          </m:rPr>
          <m:t>=</m:t>
        </m:r>
        <m:r>
          <m:t>5</m:t>
        </m:r>
        <m:r>
          <m:rPr>
            <m:sty m:val="p"/>
          </m:rPr>
          <m:t>×</m:t>
        </m:r>
        <m:sSup>
          <m:e>
            <m:r>
              <m:t>10</m:t>
            </m:r>
          </m:e>
          <m:sup>
            <m:r>
              <m:t>6</m:t>
            </m:r>
          </m:sup>
        </m:sSup>
      </m:oMath>
      <w:r>
        <w:t xml:space="preserve">;</w:t>
      </w:r>
      <w:r>
        <w:t xml:space="preserve"> </w:t>
      </w:r>
      <m:oMath>
        <m:sSub>
          <m:e>
            <m:r>
              <m:rPr>
                <m:sty m:val="p"/>
              </m:rPr>
              <m:t>log</m:t>
            </m:r>
          </m:e>
          <m:sub>
            <m:r>
              <m:t>500</m:t>
            </m:r>
          </m:sub>
        </m:sSub>
        <m:r>
          <m:t>5</m:t>
        </m:r>
        <m:r>
          <m:rPr>
            <m:sty m:val="p"/>
          </m:rPr>
          <m:t>×</m:t>
        </m:r>
        <m:sSup>
          <m:e>
            <m:r>
              <m:t>10</m:t>
            </m:r>
          </m:e>
          <m:sup>
            <m:r>
              <m:t>6</m:t>
            </m:r>
          </m:sup>
        </m:sSup>
        <m:r>
          <m:rPr>
            <m:sty m:val="p"/>
          </m:rPr>
          <m:t>=</m:t>
        </m:r>
        <m:r>
          <m:t>15.42</m:t>
        </m:r>
        <m:r>
          <m:rPr>
            <m:sty m:val="p"/>
          </m:rPr>
          <m:t>/</m:t>
        </m:r>
        <m:r>
          <m:t>6.21</m:t>
        </m:r>
        <m:r>
          <m:rPr>
            <m:sty m:val="p"/>
          </m:rPr>
          <m:t>=</m:t>
        </m:r>
        <m:r>
          <m:t>2.48</m:t>
        </m:r>
        <m:r>
          <m:rPr>
            <m:sty m:val="p"/>
          </m:rPr>
          <m:t>→</m:t>
        </m:r>
        <m:r>
          <m:t>3</m:t>
        </m:r>
      </m:oMath>
      <w:r>
        <w:t xml:space="preserve"> </w:t>
      </w:r>
      <w:r>
        <w:t xml:space="preserve">internal levels;</w:t>
      </w:r>
      <w:r>
        <w:t xml:space="preserve"> </w:t>
      </w:r>
      <m:oMath>
        <m:r>
          <m:t>h</m:t>
        </m:r>
        <m:r>
          <m:rPr>
            <m:sty m:val="p"/>
          </m:rPr>
          <m:t>=</m:t>
        </m:r>
        <m:r>
          <m:t>4</m:t>
        </m:r>
      </m:oMath>
      <w:r>
        <w:t xml:space="preserve">.</w:t>
      </w:r>
    </w:p>
    <w:p>
      <w:pPr>
        <w:numPr>
          <w:ilvl w:val="0"/>
          <w:numId w:val="1459"/>
        </w:numPr>
        <w:pStyle w:val="Compact"/>
      </w:pPr>
      <w:r>
        <w:t xml:space="preserve">Every key must fit in the in-memory keydir; no range queries.</w:t>
      </w:r>
    </w:p>
    <w:p>
      <w:pPr>
        <w:numPr>
          <w:ilvl w:val="0"/>
          <w:numId w:val="1459"/>
        </w:numPr>
        <w:pStyle w:val="Compact"/>
      </w:pPr>
      <w:r>
        <w:t xml:space="preserve">Active and immutable memtables; each L0 file newest first; one file per deeper level; within each, Bloom filter, index block, one data block; first version found wins; tombstone means deleted.</w:t>
      </w:r>
    </w:p>
    <w:p>
      <w:pPr>
        <w:numPr>
          <w:ilvl w:val="0"/>
          <w:numId w:val="1459"/>
        </w:numPr>
        <w:pStyle w:val="Compact"/>
      </w:pPr>
      <w:r>
        <w:t xml:space="preserve">Leveled:</w:t>
      </w:r>
      <w:r>
        <w:t xml:space="preserve"> </w:t>
      </w:r>
      <m:oMath>
        <m:r>
          <m:t>L</m:t>
        </m:r>
        <m:r>
          <m:rPr>
            <m:sty m:val="p"/>
          </m:rPr>
          <m:t>=</m:t>
        </m:r>
        <m:r>
          <m:t>4</m:t>
        </m:r>
      </m:oMath>
      <w:r>
        <w:t xml:space="preserve">,</w:t>
      </w:r>
      <w:r>
        <w:t xml:space="preserve"> </w:t>
      </w:r>
      <m:oMath>
        <m:r>
          <m:t>W</m:t>
        </m:r>
        <m:r>
          <m:t>A</m:t>
        </m:r>
        <m:r>
          <m:rPr>
            <m:sty m:val="p"/>
          </m:rPr>
          <m:t>=</m:t>
        </m:r>
        <m:r>
          <m:t>2</m:t>
        </m:r>
        <m:r>
          <m:rPr>
            <m:sty m:val="p"/>
          </m:rPr>
          <m:t>+</m:t>
        </m:r>
        <m:r>
          <m:t>4</m:t>
        </m:r>
        <m:r>
          <m:rPr>
            <m:sty m:val="p"/>
          </m:rPr>
          <m:t>×</m:t>
        </m:r>
        <m:r>
          <m:t>5.5</m:t>
        </m:r>
        <m:r>
          <m:rPr>
            <m:sty m:val="p"/>
          </m:rPr>
          <m:t>=</m:t>
        </m:r>
        <m:r>
          <m:t>24</m:t>
        </m:r>
      </m:oMath>
      <w:r>
        <w:t xml:space="preserve">. Tiered:</w:t>
      </w:r>
      <w:r>
        <w:t xml:space="preserve"> </w:t>
      </w:r>
      <m:oMath>
        <m:r>
          <m:t>L</m:t>
        </m:r>
        <m:r>
          <m:rPr>
            <m:sty m:val="p"/>
          </m:rPr>
          <m:t>=</m:t>
        </m:r>
        <m:r>
          <m:t>7</m:t>
        </m:r>
      </m:oMath>
      <w:r>
        <w:t xml:space="preserve">,</w:t>
      </w:r>
      <w:r>
        <w:t xml:space="preserve"> </w:t>
      </w:r>
      <m:oMath>
        <m:r>
          <m:t>W</m:t>
        </m:r>
        <m:r>
          <m:t>A</m:t>
        </m:r>
        <m:r>
          <m:rPr>
            <m:sty m:val="p"/>
          </m:rPr>
          <m:t>=</m:t>
        </m:r>
        <m:r>
          <m:t>9</m:t>
        </m:r>
      </m:oMath>
      <w:r>
        <w:t xml:space="preserve">.</w:t>
      </w:r>
    </w:p>
    <w:p>
      <w:pPr>
        <w:numPr>
          <w:ilvl w:val="0"/>
          <w:numId w:val="1459"/>
        </w:numPr>
        <w:pStyle w:val="Compact"/>
      </w:pPr>
      <w:r>
        <w:t xml:space="preserve">A crash leaves a page part old, part new. PostgreSQL logs a full page image on first modification after a checkpoint; InnoDB writes pages to a doublewrite area and flushes before writing in place.</w:t>
      </w:r>
    </w:p>
    <w:p>
      <w:pPr>
        <w:numPr>
          <w:ilvl w:val="0"/>
          <w:numId w:val="1459"/>
        </w:numPr>
        <w:pStyle w:val="Compact"/>
      </w:pPr>
      <m:oMath>
        <m:r>
          <m:rPr>
            <m:sty m:val="p"/>
          </m:rPr>
          <m:t>⌈</m:t>
        </m:r>
        <m:sSub>
          <m:e>
            <m:r>
              <m:rPr>
                <m:sty m:val="p"/>
              </m:rPr>
              <m:t>log</m:t>
            </m:r>
          </m:e>
          <m:sub>
            <m:r>
              <m:t>2</m:t>
            </m:r>
          </m:sub>
        </m:sSub>
        <m:r>
          <m:t>1000</m:t>
        </m:r>
        <m:r>
          <m:rPr>
            <m:sty m:val="p"/>
          </m:rPr>
          <m:t>⌉</m:t>
        </m:r>
        <m:r>
          <m:rPr>
            <m:sty m:val="p"/>
          </m:rPr>
          <m:t>=</m:t>
        </m:r>
        <m:r>
          <m:t>10</m:t>
        </m:r>
      </m:oMath>
      <w:r>
        <w:t xml:space="preserve"> </w:t>
      </w:r>
      <w:r>
        <w:t xml:space="preserve">bits.</w:t>
      </w:r>
    </w:p>
    <w:bookmarkEnd w:id="1541"/>
    <w:bookmarkStart w:id="1545" w:name="interview-questions-12"/>
    <w:p>
      <w:pPr>
        <w:pStyle w:val="Heading2"/>
      </w:pPr>
      <w:r>
        <w:t xml:space="preserve">13.17 Interview questions</w:t>
      </w:r>
    </w:p>
    <w:bookmarkStart w:id="1542" w:name="basic-12"/>
    <w:p>
      <w:pPr>
        <w:pStyle w:val="Heading3"/>
      </w:pPr>
      <w:r>
        <w:t xml:space="preserve">Basic</w:t>
      </w:r>
    </w:p>
    <w:p>
      <w:pPr>
        <w:pStyle w:val="FirstParagraph"/>
      </w:pPr>
      <w:r>
        <w:rPr>
          <w:bCs/>
          <w:b/>
        </w:rPr>
        <w:t xml:space="preserve">Q1. What is a write-ahead log and why does it make databases fast as well as safe?</w:t>
      </w:r>
      <w:r>
        <w:t xml:space="preserve"> </w:t>
      </w:r>
      <w:r>
        <w:rPr>
          <w:bCs/>
          <w:b/>
        </w:rPr>
        <w:t xml:space="preserve">Answer.</w:t>
      </w:r>
      <w:r>
        <w:t xml:space="preserve"> </w:t>
      </w:r>
      <w:r>
        <w:t xml:space="preserve">An append-only log of changes, made durable before the changed pages. Commits need one sequential append and</w:t>
      </w:r>
      <w:r>
        <w:t xml:space="preserve"> </w:t>
      </w:r>
      <w:r>
        <w:rPr>
          <w:rStyle w:val="VerbatimChar"/>
        </w:rPr>
        <w:t xml:space="preserve">fsync</w:t>
      </w:r>
      <w:r>
        <w:t xml:space="preserve"> </w:t>
      </w:r>
      <w:r>
        <w:t xml:space="preserve">(shared across concurrent commits by group commit) instead of random page writes; pages are flushed later in batches. After a crash, redo restores committed changes and undo removes uncommitted ones.</w:t>
      </w:r>
    </w:p>
    <w:p>
      <w:pPr>
        <w:pStyle w:val="BodyText"/>
      </w:pPr>
      <w:r>
        <w:rPr>
          <w:bCs/>
          <w:b/>
        </w:rPr>
        <w:t xml:space="preserve">Q2. When would you choose an LSM-based store over a B-tree-based one?</w:t>
      </w:r>
      <w:r>
        <w:t xml:space="preserve"> </w:t>
      </w:r>
      <w:r>
        <w:rPr>
          <w:bCs/>
          <w:b/>
        </w:rPr>
        <w:t xml:space="preserve">Answer.</w:t>
      </w:r>
      <w:r>
        <w:t xml:space="preserve"> </w:t>
      </w:r>
      <w:r>
        <w:t xml:space="preserve">For write-heavy workloads with random keys on large data — event ingestion, time series, key-value at scale — and when space on SSD matters: LSM writes sequentially with lower write and space amplification. Prefer a B-tree for read-heavy OLTP, range scans and predictable latency. Then check compaction bandwidth and read amplification.</w:t>
      </w:r>
    </w:p>
    <w:bookmarkEnd w:id="1542"/>
    <w:bookmarkStart w:id="1543" w:name="intermediate-12"/>
    <w:p>
      <w:pPr>
        <w:pStyle w:val="Heading3"/>
      </w:pPr>
      <w:r>
        <w:t xml:space="preserve">Intermediate</w:t>
      </w:r>
    </w:p>
    <w:p>
      <w:pPr>
        <w:pStyle w:val="FirstParagraph"/>
      </w:pPr>
      <w:r>
        <w:rPr>
          <w:bCs/>
          <w:b/>
        </w:rPr>
        <w:t xml:space="preserve">Q3. Your RocksDB-backed service shows periodic write latency spikes of several seconds. What is happening and what do you do?</w:t>
      </w:r>
      <w:r>
        <w:t xml:space="preserve"> </w:t>
      </w:r>
      <w:r>
        <w:rPr>
          <w:bCs/>
          <w:b/>
        </w:rPr>
        <w:t xml:space="preserve">Answer.</w:t>
      </w:r>
      <w:r>
        <w:t xml:space="preserve"> </w:t>
      </w:r>
      <w:r>
        <w:t xml:space="preserve">Most likely write stalls: compaction falls behind, L0 file count or pending compaction bytes exceed thresholds, and RocksDB slows or stops writes. Confirm with stall statistics and L0 counts. Fixes: more compaction threads and I/O budget, larger memtables, a rate limiter to smooth compaction, faster disks, or a tiered strategy if writes dominate; reduce ingest bursts with backpressure (§22.10).</w:t>
      </w:r>
    </w:p>
    <w:p>
      <w:pPr>
        <w:pStyle w:val="BodyText"/>
      </w:pPr>
      <w:r>
        <w:rPr>
          <w:bCs/>
          <w:b/>
        </w:rPr>
        <w:t xml:space="preserve">Q4. Why do many databases bypass the operating system page cache, and why does PostgreSQL traditionally not?</w:t>
      </w:r>
      <w:r>
        <w:t xml:space="preserve"> </w:t>
      </w:r>
      <w:r>
        <w:rPr>
          <w:bCs/>
          <w:b/>
        </w:rPr>
        <w:t xml:space="preserve">Answer.</w:t>
      </w:r>
      <w:r>
        <w:t xml:space="preserve"> </w:t>
      </w:r>
      <w:r>
        <w:t xml:space="preserve">Bypassing with</w:t>
      </w:r>
      <w:r>
        <w:t xml:space="preserve"> </w:t>
      </w:r>
      <w:r>
        <w:rPr>
          <w:rStyle w:val="VerbatimChar"/>
        </w:rPr>
        <w:t xml:space="preserve">O_DIRECT</w:t>
      </w:r>
      <w:r>
        <w:t xml:space="preserve"> </w:t>
      </w:r>
      <w:r>
        <w:t xml:space="preserve">avoids double caching, gives the engine control over eviction, read-ahead and write ordering, and makes memory use predictable — InnoDB’s design. PostgreSQL uses buffered I/O with a moderate</w:t>
      </w:r>
      <w:r>
        <w:t xml:space="preserve"> </w:t>
      </w:r>
      <w:r>
        <w:rPr>
          <w:rStyle w:val="VerbatimChar"/>
        </w:rPr>
        <w:t xml:space="preserve">shared_buffers</w:t>
      </w:r>
      <w:r>
        <w:t xml:space="preserve">, letting the page cache act as a second-level cache; this is simpler and portable but double-caches some pages and cedes writeback control to the kernel. Either way durability still requires</w:t>
      </w:r>
      <w:r>
        <w:t xml:space="preserve"> </w:t>
      </w:r>
      <w:r>
        <w:rPr>
          <w:rStyle w:val="VerbatimChar"/>
        </w:rPr>
        <w:t xml:space="preserve">fsync</w:t>
      </w:r>
      <w:r>
        <w:t xml:space="preserve">.</w:t>
      </w:r>
    </w:p>
    <w:bookmarkEnd w:id="1543"/>
    <w:bookmarkStart w:id="1544" w:name="advanced-12"/>
    <w:p>
      <w:pPr>
        <w:pStyle w:val="Heading3"/>
      </w:pPr>
      <w:r>
        <w:t xml:space="preserve">Advanced</w:t>
      </w:r>
    </w:p>
    <w:p>
      <w:pPr>
        <w:pStyle w:val="FirstParagraph"/>
      </w:pPr>
      <w:r>
        <w:rPr>
          <w:bCs/>
          <w:b/>
        </w:rPr>
        <w:t xml:space="preserve">Q5. Estimate and compare write amplification for a B-tree and a leveled LSM tree on 100-byte random updates, and say when the answer flips.</w:t>
      </w:r>
      <w:r>
        <w:t xml:space="preserve"> </w:t>
      </w:r>
      <w:r>
        <w:rPr>
          <w:bCs/>
          <w:b/>
        </w:rPr>
        <w:t xml:space="preserve">Answer.</w:t>
      </w:r>
      <w:r>
        <w:t xml:space="preserve"> </w:t>
      </w:r>
      <w:r>
        <w:t xml:space="preserve">B-tree: each flushed 16 KiB page, doubled by doublewrite, carries about one update when keys are random and data exceeds RAM:</w:t>
      </w:r>
      <w:r>
        <w:t xml:space="preserve"> </w:t>
      </w:r>
      <m:oMath>
        <m:r>
          <m:t>32</m:t>
        </m:r>
        <m:r>
          <m:t> </m:t>
        </m:r>
        <m:r>
          <m:t>768</m:t>
        </m:r>
        <m:r>
          <m:rPr>
            <m:sty m:val="p"/>
          </m:rPr>
          <m:t>/</m:t>
        </m:r>
        <m:r>
          <m:t>100</m:t>
        </m:r>
        <m:r>
          <m:rPr>
            <m:sty m:val="p"/>
          </m:rPr>
          <m:t>+</m:t>
        </m:r>
        <m:r>
          <m:t>1.5</m:t>
        </m:r>
        <m:r>
          <m:rPr>
            <m:sty m:val="p"/>
          </m:rPr>
          <m:t>≈</m:t>
        </m:r>
        <m:r>
          <m:t>329</m:t>
        </m:r>
      </m:oMath>
      <w:r>
        <w:t xml:space="preserve">. Leveled LSM with</w:t>
      </w:r>
      <w:r>
        <w:t xml:space="preserve"> </w:t>
      </w:r>
      <m:oMath>
        <m:r>
          <m:t>T</m:t>
        </m:r>
        <m:r>
          <m:rPr>
            <m:sty m:val="p"/>
          </m:rPr>
          <m:t>=</m:t>
        </m:r>
        <m:r>
          <m:t>10</m:t>
        </m:r>
      </m:oMath>
      <w:r>
        <w:t xml:space="preserve">,</w:t>
      </w:r>
      <w:r>
        <w:t xml:space="preserve"> </w:t>
      </w:r>
      <m:oMath>
        <m:r>
          <m:t>L</m:t>
        </m:r>
        <m:r>
          <m:rPr>
            <m:sty m:val="p"/>
          </m:rPr>
          <m:t>=</m:t>
        </m:r>
        <m:r>
          <m:t>4</m:t>
        </m:r>
      </m:oMath>
      <w:r>
        <w:t xml:space="preserve">:</w:t>
      </w:r>
      <w:r>
        <w:t xml:space="preserve"> </w:t>
      </w:r>
      <m:oMath>
        <m:r>
          <m:rPr>
            <m:sty m:val="p"/>
          </m:rPr>
          <m:t>≈</m:t>
        </m:r>
        <m:r>
          <m:t>24</m:t>
        </m:r>
      </m:oMath>
      <w:r>
        <w:t xml:space="preserve">. The answer flips with locality: if each page absorbs 20+ updates before flushing, the B-tree drops below 20. Add the SSD’s own WAF on top and compare</w:t>
      </w:r>
      <w:r>
        <w:t xml:space="preserve"> </w:t>
      </w:r>
      <w:r>
        <w:rPr>
          <w:rStyle w:val="VerbatimChar"/>
        </w:rPr>
        <w:t xml:space="preserve">bytes written / bytes ingested</w:t>
      </w:r>
      <w:r>
        <w:t xml:space="preserve"> </w:t>
      </w:r>
      <w:r>
        <w:t xml:space="preserve">in production.</w:t>
      </w:r>
    </w:p>
    <w:p>
      <w:pPr>
        <w:pStyle w:val="BodyText"/>
      </w:pPr>
      <w:r>
        <w:rPr>
          <w:bCs/>
          <w:b/>
        </w:rPr>
        <w:t xml:space="preserve">Q6. Walk through crash recovery in an ARIES-style engine after a crash during a long transaction.</w:t>
      </w:r>
      <w:r>
        <w:t xml:space="preserve"> </w:t>
      </w:r>
      <w:r>
        <w:rPr>
          <w:bCs/>
          <w:b/>
        </w:rPr>
        <w:t xml:space="preserve">Answer.</w:t>
      </w:r>
      <w:r>
        <w:t xml:space="preserve"> </w:t>
      </w:r>
      <w:r>
        <w:t xml:space="preserve">Analysis from the last checkpoint rebuilds the dirty page table and finds the long transaction as a loser. Redo from the minimum</w:t>
      </w:r>
      <w:r>
        <w:t xml:space="preserve"> </w:t>
      </w:r>
      <w:r>
        <w:rPr>
          <w:rStyle w:val="VerbatimChar"/>
        </w:rPr>
        <w:t xml:space="preserve">recLSN</w:t>
      </w:r>
      <w:r>
        <w:t xml:space="preserve"> </w:t>
      </w:r>
      <w:r>
        <w:t xml:space="preserve">reapplies every change whose LSN exceeds the page’s</w:t>
      </w:r>
      <w:r>
        <w:t xml:space="preserve"> </w:t>
      </w:r>
      <w:r>
        <w:rPr>
          <w:rStyle w:val="VerbatimChar"/>
        </w:rPr>
        <w:t xml:space="preserve">pageLSN</w:t>
      </w:r>
      <w:r>
        <w:t xml:space="preserve">, including the loser’s. Undo follows the loser’s</w:t>
      </w:r>
      <w:r>
        <w:t xml:space="preserve"> </w:t>
      </w:r>
      <w:r>
        <w:rPr>
          <w:rStyle w:val="VerbatimChar"/>
        </w:rPr>
        <w:t xml:space="preserve">prevLSN</w:t>
      </w:r>
      <w:r>
        <w:t xml:space="preserve"> </w:t>
      </w:r>
      <w:r>
        <w:t xml:space="preserve">chain backward, writing CLRs; a crash during undo is handled by redoing CLRs and continuing from</w:t>
      </w:r>
      <w:r>
        <w:t xml:space="preserve"> </w:t>
      </w:r>
      <w:r>
        <w:rPr>
          <w:rStyle w:val="VerbatimChar"/>
        </w:rPr>
        <w:t xml:space="preserve">undoNextLSN</w:t>
      </w:r>
      <w:r>
        <w:t xml:space="preserve">. Undo time grows with the transaction’s size, which is why long transactions lengthen recovery and should be bounded.</w:t>
      </w:r>
    </w:p>
    <w:bookmarkEnd w:id="1544"/>
    <w:bookmarkEnd w:id="1545"/>
    <w:bookmarkStart w:id="1546" w:name="practical-exercises-12"/>
    <w:p>
      <w:pPr>
        <w:pStyle w:val="Heading2"/>
      </w:pPr>
      <w:r>
        <w:t xml:space="preserve">13.18 Practical exercises</w:t>
      </w:r>
    </w:p>
    <w:p>
      <w:pPr>
        <w:numPr>
          <w:ilvl w:val="0"/>
          <w:numId w:val="1460"/>
        </w:numPr>
        <w:pStyle w:val="Compact"/>
      </w:pPr>
      <w:r>
        <w:rPr>
          <w:bCs/>
          <w:b/>
        </w:rPr>
        <w:t xml:space="preserve">Extend the toy LSM.</w:t>
      </w:r>
      <w:r>
        <w:t xml:space="preserve"> </w:t>
      </w:r>
      <w:r>
        <w:t xml:space="preserve">Replace full-merge compaction in</w:t>
      </w:r>
      <w:r>
        <w:t xml:space="preserve"> </w:t>
      </w:r>
      <w:r>
        <w:rPr>
          <w:rStyle w:val="VerbatimChar"/>
        </w:rPr>
        <w:t xml:space="preserve">toy_lsm.py</w:t>
      </w:r>
      <w:r>
        <w:t xml:space="preserve"> </w:t>
      </w:r>
      <w:r>
        <w:t xml:space="preserve">with leveled compaction (L0 plus levels of non-overlapping files with</w:t>
      </w:r>
      <w:r>
        <w:t xml:space="preserve"> </w:t>
      </w:r>
      <m:oMath>
        <m:r>
          <m:t>T</m:t>
        </m:r>
        <m:r>
          <m:rPr>
            <m:sty m:val="p"/>
          </m:rPr>
          <m:t>=</m:t>
        </m:r>
        <m:r>
          <m:t>4</m:t>
        </m:r>
      </m:oMath>
      <w:r>
        <w:t xml:space="preserve">). Measure write amplification as data grows and compare with</w:t>
      </w:r>
      <w:r>
        <w:t xml:space="preserve"> </w:t>
      </w:r>
      <m:oMath>
        <m:r>
          <m:t>2</m:t>
        </m:r>
        <m:r>
          <m:rPr>
            <m:sty m:val="p"/>
          </m:rPr>
          <m:t>+</m:t>
        </m:r>
        <m:r>
          <m:t>L</m:t>
        </m:r>
        <m:d>
          <m:dPr>
            <m:begChr m:val="("/>
            <m:endChr m:val=")"/>
            <m:sepChr m:val=""/>
            <m:grow/>
          </m:dPr>
          <m:e>
            <m:r>
              <m:t>T</m:t>
            </m:r>
            <m:r>
              <m:rPr>
                <m:sty m:val="p"/>
              </m:rPr>
              <m:t>+</m:t>
            </m:r>
            <m:r>
              <m:t>1</m:t>
            </m:r>
          </m:e>
        </m:d>
        <m:r>
          <m:rPr>
            <m:sty m:val="p"/>
          </m:rPr>
          <m:t>/</m:t>
        </m:r>
        <m:r>
          <m:t>2</m:t>
        </m:r>
      </m:oMath>
      <w:r>
        <w:t xml:space="preserve">.</w:t>
      </w:r>
    </w:p>
    <w:p>
      <w:pPr>
        <w:numPr>
          <w:ilvl w:val="0"/>
          <w:numId w:val="1460"/>
        </w:numPr>
        <w:pStyle w:val="Compact"/>
      </w:pPr>
      <w:r>
        <w:rPr>
          <w:bCs/>
          <w:b/>
        </w:rPr>
        <w:t xml:space="preserve">Measure Bloom filters.</w:t>
      </w:r>
      <w:r>
        <w:t xml:space="preserve"> </w:t>
      </w:r>
      <w:r>
        <w:t xml:space="preserve">Count SSTable reads per</w:t>
      </w:r>
      <w:r>
        <w:t xml:space="preserve"> </w:t>
      </w:r>
      <w:r>
        <w:rPr>
          <w:rStyle w:val="VerbatimChar"/>
        </w:rPr>
        <w:t xml:space="preserve">get</w:t>
      </w:r>
      <w:r>
        <w:t xml:space="preserve"> </w:t>
      </w:r>
      <w:r>
        <w:t xml:space="preserve">with and without Bloom filters for absent keys in the toy LSM; vary bits per key from 2 to 16 and compare with</w:t>
      </w:r>
      <w:r>
        <w:t xml:space="preserve"> </w:t>
      </w:r>
      <m:oMath>
        <m:sSup>
          <m:e>
            <m:r>
              <m:t>0.6185</m:t>
            </m:r>
          </m:e>
          <m:sup>
            <m:r>
              <m:t>m</m:t>
            </m:r>
            <m:r>
              <m:rPr>
                <m:sty m:val="p"/>
              </m:rPr>
              <m:t>/</m:t>
            </m:r>
            <m:r>
              <m:t>n</m:t>
            </m:r>
          </m:sup>
        </m:sSup>
      </m:oMath>
      <w:r>
        <w:t xml:space="preserve">.</w:t>
      </w:r>
    </w:p>
    <w:p>
      <w:pPr>
        <w:numPr>
          <w:ilvl w:val="0"/>
          <w:numId w:val="1460"/>
        </w:numPr>
        <w:pStyle w:val="Compact"/>
      </w:pPr>
      <w:r>
        <w:rPr>
          <w:bCs/>
          <w:b/>
        </w:rPr>
        <w:t xml:space="preserve">Observe PostgreSQL pages.</w:t>
      </w:r>
      <w:r>
        <w:t xml:space="preserve"> </w:t>
      </w:r>
      <w:r>
        <w:t xml:space="preserve">With the</w:t>
      </w:r>
      <w:r>
        <w:t xml:space="preserve"> </w:t>
      </w:r>
      <w:r>
        <w:rPr>
          <w:rStyle w:val="VerbatimChar"/>
        </w:rPr>
        <w:t xml:space="preserve">pageinspect</w:t>
      </w:r>
      <w:r>
        <w:t xml:space="preserve"> </w:t>
      </w:r>
      <w:r>
        <w:t xml:space="preserve">extension, insert rows into a table, run</w:t>
      </w:r>
      <w:r>
        <w:t xml:space="preserve"> </w:t>
      </w:r>
      <w:r>
        <w:rPr>
          <w:rStyle w:val="VerbatimChar"/>
        </w:rPr>
        <w:t xml:space="preserve">UPDATE</w:t>
      </w:r>
      <w:r>
        <w:t xml:space="preserve">s, and inspect</w:t>
      </w:r>
      <w:r>
        <w:t xml:space="preserve"> </w:t>
      </w:r>
      <w:r>
        <w:rPr>
          <w:rStyle w:val="VerbatimChar"/>
        </w:rPr>
        <w:t xml:space="preserve">page_header</w:t>
      </w:r>
      <w:r>
        <w:t xml:space="preserve"> </w:t>
      </w:r>
      <w:r>
        <w:t xml:space="preserve">and</w:t>
      </w:r>
      <w:r>
        <w:t xml:space="preserve"> </w:t>
      </w:r>
      <w:r>
        <w:rPr>
          <w:rStyle w:val="VerbatimChar"/>
        </w:rPr>
        <w:t xml:space="preserve">heap_page_items</w:t>
      </w:r>
      <w:r>
        <w:t xml:space="preserve"> </w:t>
      </w:r>
      <w:r>
        <w:t xml:space="preserve">before and after</w:t>
      </w:r>
      <w:r>
        <w:t xml:space="preserve"> </w:t>
      </w:r>
      <w:r>
        <w:rPr>
          <w:rStyle w:val="VerbatimChar"/>
        </w:rPr>
        <w:t xml:space="preserve">VACUUM</w:t>
      </w:r>
      <w:r>
        <w:t xml:space="preserve">; identify HOT chains and dead line pointers.</w:t>
      </w:r>
    </w:p>
    <w:p>
      <w:pPr>
        <w:numPr>
          <w:ilvl w:val="0"/>
          <w:numId w:val="1460"/>
        </w:numPr>
        <w:pStyle w:val="Compact"/>
      </w:pPr>
      <w:r>
        <w:rPr>
          <w:bCs/>
          <w:b/>
        </w:rPr>
        <w:t xml:space="preserve">Checkpoint trade-off.</w:t>
      </w:r>
      <w:r>
        <w:t xml:space="preserve"> </w:t>
      </w:r>
      <w:r>
        <w:t xml:space="preserve">On a test PostgreSQL instance under</w:t>
      </w:r>
      <w:r>
        <w:t xml:space="preserve"> </w:t>
      </w:r>
      <w:r>
        <w:rPr>
          <w:rStyle w:val="VerbatimChar"/>
        </w:rPr>
        <w:t xml:space="preserve">pgbench</w:t>
      </w:r>
      <w:r>
        <w:t xml:space="preserve">, measure WAL volume per minute with</w:t>
      </w:r>
      <w:r>
        <w:t xml:space="preserve"> </w:t>
      </w:r>
      <w:r>
        <w:rPr>
          <w:rStyle w:val="VerbatimChar"/>
        </w:rPr>
        <w:t xml:space="preserve">checkpoint_timeout</w:t>
      </w:r>
      <w:r>
        <w:t xml:space="preserve"> </w:t>
      </w:r>
      <w:r>
        <w:t xml:space="preserve">at 1 and 15 minutes, then crash it (</w:t>
      </w:r>
      <w:r>
        <w:rPr>
          <w:rStyle w:val="VerbatimChar"/>
        </w:rPr>
        <w:t xml:space="preserve">kill -9</w:t>
      </w:r>
      <w:r>
        <w:t xml:space="preserve">) and time recovery. Compare with §13.5.3.</w:t>
      </w:r>
    </w:p>
    <w:bookmarkEnd w:id="1546"/>
    <w:bookmarkStart w:id="1547" w:name="design-challenges-12"/>
    <w:p>
      <w:pPr>
        <w:pStyle w:val="Heading2"/>
      </w:pPr>
      <w:r>
        <w:t xml:space="preserve">13.19 Design challenges</w:t>
      </w:r>
    </w:p>
    <w:p>
      <w:pPr>
        <w:numPr>
          <w:ilvl w:val="0"/>
          <w:numId w:val="1461"/>
        </w:numPr>
        <w:pStyle w:val="Compact"/>
      </w:pPr>
      <w:r>
        <w:rPr>
          <w:bCs/>
          <w:b/>
        </w:rPr>
        <w:t xml:space="preserve">Metrics ingestion store.</w:t>
      </w:r>
      <w:r>
        <w:t xml:space="preserve"> </w:t>
      </w:r>
      <w:r>
        <w:t xml:space="preserve">Design the storage engine configuration for 2 million data points per second (16 bytes each), 30-day retention and queries over the last hour. Choose B-tree, leveled, tiered or time-window compaction; estimate write amplification, daily device writes, disk size and SSD lifetime (§5.6.3); explain how expired data is deleted cheaply.</w:t>
      </w:r>
    </w:p>
    <w:p>
      <w:pPr>
        <w:numPr>
          <w:ilvl w:val="0"/>
          <w:numId w:val="1461"/>
        </w:numPr>
        <w:pStyle w:val="Compact"/>
      </w:pPr>
      <w:r>
        <w:rPr>
          <w:bCs/>
          <w:b/>
        </w:rPr>
        <w:t xml:space="preserve">User-profile database.</w:t>
      </w:r>
      <w:r>
        <w:t xml:space="preserve"> </w:t>
      </w:r>
      <w:r>
        <w:t xml:space="preserve">500 million profiles of 2 KB, 50,000 reads/s by user ID, 5,000 updates/s of single fields, p99 read latency under 5 ms. Compare InnoDB, PostgreSQL and RocksDB; size the buffer pool or block cache with the five-minute rule; estimate write and space amplification; describe torn-page and checksum protection.</w:t>
      </w:r>
    </w:p>
    <w:bookmarkEnd w:id="1547"/>
    <w:bookmarkStart w:id="1548" w:name="references-12"/>
    <w:p>
      <w:pPr>
        <w:pStyle w:val="Heading2"/>
      </w:pPr>
      <w:r>
        <w:t xml:space="preserve">13.20 References</w:t>
      </w:r>
    </w:p>
    <w:p>
      <w:pPr>
        <w:numPr>
          <w:ilvl w:val="0"/>
          <w:numId w:val="1462"/>
        </w:numPr>
        <w:pStyle w:val="Compact"/>
      </w:pPr>
      <w:r>
        <w:t xml:space="preserve">Mohan, C., Haderle, D., Lindsay, B., Pirahesh, H., and Schwarz, P.</w:t>
      </w:r>
      <w:r>
        <w:t xml:space="preserve"> </w:t>
      </w:r>
      <w:r>
        <w:t xml:space="preserve">“</w:t>
      </w:r>
      <w:r>
        <w:t xml:space="preserve">ARIES: A Transaction Recovery Method Supporting Fine-Granularity Locking and Partial Rollbacks Using Write-Ahead Logging.</w:t>
      </w:r>
      <w:r>
        <w:t xml:space="preserve">”</w:t>
      </w:r>
      <w:r>
        <w:t xml:space="preserve"> </w:t>
      </w:r>
      <w:r>
        <w:rPr>
          <w:iCs/>
          <w:i/>
        </w:rPr>
        <w:t xml:space="preserve">ACM Transactions on Database Systems</w:t>
      </w:r>
      <w:r>
        <w:t xml:space="preserve"> </w:t>
      </w:r>
      <w:r>
        <w:t xml:space="preserve">17(1), 1992.</w:t>
      </w:r>
    </w:p>
    <w:p>
      <w:pPr>
        <w:numPr>
          <w:ilvl w:val="0"/>
          <w:numId w:val="1462"/>
        </w:numPr>
        <w:pStyle w:val="Compact"/>
      </w:pPr>
      <w:r>
        <w:t xml:space="preserve">O’Neil, P., Cheng, E., Gawlick, D., and O’Neil, E.</w:t>
      </w:r>
      <w:r>
        <w:t xml:space="preserve"> </w:t>
      </w:r>
      <w:r>
        <w:t xml:space="preserve">“</w:t>
      </w:r>
      <w:r>
        <w:t xml:space="preserve">The Log-Structured Merge-Tree (LSM-Tree).</w:t>
      </w:r>
      <w:r>
        <w:t xml:space="preserve">”</w:t>
      </w:r>
      <w:r>
        <w:t xml:space="preserve"> </w:t>
      </w:r>
      <w:r>
        <w:rPr>
          <w:iCs/>
          <w:i/>
        </w:rPr>
        <w:t xml:space="preserve">Acta Informatica</w:t>
      </w:r>
      <w:r>
        <w:t xml:space="preserve"> </w:t>
      </w:r>
      <w:r>
        <w:t xml:space="preserve">33(4), 1996.</w:t>
      </w:r>
    </w:p>
    <w:p>
      <w:pPr>
        <w:numPr>
          <w:ilvl w:val="0"/>
          <w:numId w:val="1462"/>
        </w:numPr>
        <w:pStyle w:val="Compact"/>
      </w:pPr>
      <w:r>
        <w:t xml:space="preserve">Athanassoulis, M., Kester, M. S., Maas, L. M., Stoica, R., Idreos, S., Ailamaki, A., and Callaghan, M.</w:t>
      </w:r>
      <w:r>
        <w:t xml:space="preserve"> </w:t>
      </w:r>
      <w:r>
        <w:t xml:space="preserve">“</w:t>
      </w:r>
      <w:r>
        <w:t xml:space="preserve">Designing Access Methods: The RUM Conjecture.</w:t>
      </w:r>
      <w:r>
        <w:t xml:space="preserve">”</w:t>
      </w:r>
      <w:r>
        <w:t xml:space="preserve"> </w:t>
      </w:r>
      <w:r>
        <w:rPr>
          <w:iCs/>
          <w:i/>
        </w:rPr>
        <w:t xml:space="preserve">EDBT</w:t>
      </w:r>
      <w:r>
        <w:t xml:space="preserve">, 2016.</w:t>
      </w:r>
    </w:p>
    <w:p>
      <w:pPr>
        <w:numPr>
          <w:ilvl w:val="0"/>
          <w:numId w:val="1462"/>
        </w:numPr>
        <w:pStyle w:val="Compact"/>
      </w:pPr>
      <w:r>
        <w:t xml:space="preserve">RocksDB Wiki.</w:t>
      </w:r>
      <w:r>
        <w:t xml:space="preserve"> </w:t>
      </w:r>
      <w:r>
        <w:rPr>
          <w:iCs/>
          <w:i/>
        </w:rPr>
        <w:t xml:space="preserve">Leveled Compaction</w:t>
      </w:r>
      <w:r>
        <w:t xml:space="preserve">;</w:t>
      </w:r>
      <w:r>
        <w:t xml:space="preserve"> </w:t>
      </w:r>
      <w:r>
        <w:rPr>
          <w:iCs/>
          <w:i/>
        </w:rPr>
        <w:t xml:space="preserve">Universal Compaction</w:t>
      </w:r>
      <w:r>
        <w:t xml:space="preserve">;</w:t>
      </w:r>
      <w:r>
        <w:t xml:space="preserve"> </w:t>
      </w:r>
      <w:r>
        <w:rPr>
          <w:iCs/>
          <w:i/>
        </w:rPr>
        <w:t xml:space="preserve">Direct IO</w:t>
      </w:r>
      <w:r>
        <w:t xml:space="preserve">;</w:t>
      </w:r>
      <w:r>
        <w:t xml:space="preserve"> </w:t>
      </w:r>
      <w:r>
        <w:rPr>
          <w:iCs/>
          <w:i/>
        </w:rPr>
        <w:t xml:space="preserve">RocksDB Tuning Guide</w:t>
      </w:r>
      <w:r>
        <w:t xml:space="preserve">. https://github.com/facebook/rocksdb/wiki</w:t>
      </w:r>
    </w:p>
    <w:p>
      <w:pPr>
        <w:numPr>
          <w:ilvl w:val="0"/>
          <w:numId w:val="1462"/>
        </w:numPr>
        <w:pStyle w:val="Compact"/>
      </w:pPr>
      <w:r>
        <w:t xml:space="preserve">Sheehy, J., and Smith, D.</w:t>
      </w:r>
      <w:r>
        <w:t xml:space="preserve"> </w:t>
      </w:r>
      <w:r>
        <w:rPr>
          <w:iCs/>
          <w:i/>
        </w:rPr>
        <w:t xml:space="preserve">Bitcask: A Log-Structured Hash Table for Fast Key/Value Data</w:t>
      </w:r>
      <w:r>
        <w:t xml:space="preserve">. Basho Technologies, 2010.</w:t>
      </w:r>
    </w:p>
    <w:p>
      <w:pPr>
        <w:numPr>
          <w:ilvl w:val="0"/>
          <w:numId w:val="1462"/>
        </w:numPr>
        <w:pStyle w:val="Compact"/>
      </w:pPr>
      <w:r>
        <w:t xml:space="preserve">Abadi, D., Boncz, P., Harizopoulos, S., Idreos, S., and Madden, S.</w:t>
      </w:r>
      <w:r>
        <w:t xml:space="preserve"> </w:t>
      </w:r>
      <w:r>
        <w:t xml:space="preserve">“</w:t>
      </w:r>
      <w:r>
        <w:t xml:space="preserve">The Design and Implementation of Modern Column-Oriented Database Systems.</w:t>
      </w:r>
      <w:r>
        <w:t xml:space="preserve">”</w:t>
      </w:r>
      <w:r>
        <w:t xml:space="preserve"> </w:t>
      </w:r>
      <w:r>
        <w:rPr>
          <w:iCs/>
          <w:i/>
        </w:rPr>
        <w:t xml:space="preserve">Foundations and Trends in Databases</w:t>
      </w:r>
      <w:r>
        <w:t xml:space="preserve"> </w:t>
      </w:r>
      <w:r>
        <w:t xml:space="preserve">5(3), 2013.</w:t>
      </w:r>
    </w:p>
    <w:p>
      <w:pPr>
        <w:numPr>
          <w:ilvl w:val="0"/>
          <w:numId w:val="1462"/>
        </w:numPr>
        <w:pStyle w:val="Compact"/>
      </w:pPr>
      <w:r>
        <w:t xml:space="preserve">Petrov, A.</w:t>
      </w:r>
      <w:r>
        <w:t xml:space="preserve"> </w:t>
      </w:r>
      <w:r>
        <w:rPr>
          <w:iCs/>
          <w:i/>
        </w:rPr>
        <w:t xml:space="preserve">Database Internals</w:t>
      </w:r>
      <w:r>
        <w:t xml:space="preserve">. O’Reilly, 2019.</w:t>
      </w:r>
    </w:p>
    <w:p>
      <w:pPr>
        <w:numPr>
          <w:ilvl w:val="0"/>
          <w:numId w:val="1462"/>
        </w:numPr>
        <w:pStyle w:val="Compact"/>
      </w:pPr>
      <w:r>
        <w:t xml:space="preserve">Kleppmann, M.</w:t>
      </w:r>
      <w:r>
        <w:t xml:space="preserve"> </w:t>
      </w:r>
      <w:r>
        <w:rPr>
          <w:iCs/>
          <w:i/>
        </w:rPr>
        <w:t xml:space="preserve">Designing Data-Intensive Applications</w:t>
      </w:r>
      <w:r>
        <w:t xml:space="preserve">, chapter 3</w:t>
      </w:r>
      <w:r>
        <w:t xml:space="preserve"> </w:t>
      </w:r>
      <w:r>
        <w:t xml:space="preserve">“</w:t>
      </w:r>
      <w:r>
        <w:t xml:space="preserve">Storage and Retrieval</w:t>
      </w:r>
      <w:r>
        <w:t xml:space="preserve">”</w:t>
      </w:r>
      <w:r>
        <w:t xml:space="preserve">. O’Reilly, 2017.</w:t>
      </w:r>
    </w:p>
    <w:p>
      <w:pPr>
        <w:numPr>
          <w:ilvl w:val="0"/>
          <w:numId w:val="1462"/>
        </w:numPr>
        <w:pStyle w:val="Compact"/>
      </w:pPr>
      <w:r>
        <w:t xml:space="preserve">PostgreSQL Global Development Group.</w:t>
      </w:r>
      <w:r>
        <w:t xml:space="preserve"> </w:t>
      </w:r>
      <w:r>
        <w:rPr>
          <w:iCs/>
          <w:i/>
        </w:rPr>
        <w:t xml:space="preserve">PostgreSQL Documentation</w:t>
      </w:r>
      <w:r>
        <w:t xml:space="preserve">: Database Page Layout; Database Physical Storage; Reliability and the Write-Ahead Log; WAL Configuration; Resource Consumption; Routine Vacuuming. https://www.postgresql.org/docs/current/</w:t>
      </w:r>
    </w:p>
    <w:p>
      <w:pPr>
        <w:numPr>
          <w:ilvl w:val="0"/>
          <w:numId w:val="1462"/>
        </w:numPr>
        <w:pStyle w:val="Compact"/>
      </w:pPr>
      <w:r>
        <w:t xml:space="preserve">PostgreSQL source tree.</w:t>
      </w:r>
      <w:r>
        <w:t xml:space="preserve"> </w:t>
      </w:r>
      <w:r>
        <w:rPr>
          <w:rStyle w:val="VerbatimChar"/>
        </w:rPr>
        <w:t xml:space="preserve">src/backend/storage/buffer/README</w:t>
      </w:r>
      <w:r>
        <w:t xml:space="preserve">;</w:t>
      </w:r>
      <w:r>
        <w:t xml:space="preserve"> </w:t>
      </w:r>
      <w:r>
        <w:rPr>
          <w:rStyle w:val="VerbatimChar"/>
        </w:rPr>
        <w:t xml:space="preserve">src/backend/access/nbtree/README</w:t>
      </w:r>
      <w:r>
        <w:t xml:space="preserve">. https://git.postgresql.org/</w:t>
      </w:r>
    </w:p>
    <w:p>
      <w:pPr>
        <w:numPr>
          <w:ilvl w:val="0"/>
          <w:numId w:val="1462"/>
        </w:numPr>
        <w:pStyle w:val="Compact"/>
      </w:pPr>
      <w:r>
        <w:t xml:space="preserve">Oracle.</w:t>
      </w:r>
      <w:r>
        <w:t xml:space="preserve"> </w:t>
      </w:r>
      <w:r>
        <w:rPr>
          <w:iCs/>
          <w:i/>
        </w:rPr>
        <w:t xml:space="preserve">MySQL 8.4 Reference Manual</w:t>
      </w:r>
      <w:r>
        <w:t xml:space="preserve">: InnoDB Architecture; Making the Buffer Pool Scan Resistant; InnoDB Startup Options; Redo Log; Undo Logs; Doublewrite Buffer; Configuring the Merge Threshold for Index Pages. https://dev.mysql.com/doc/refman/8.4/en/</w:t>
      </w:r>
    </w:p>
    <w:p>
      <w:pPr>
        <w:numPr>
          <w:ilvl w:val="0"/>
          <w:numId w:val="1462"/>
        </w:numPr>
        <w:pStyle w:val="Compact"/>
      </w:pPr>
      <w:r>
        <w:t xml:space="preserve">O’Neil, E. J., O’Neil, P. E., and Weikum, G.</w:t>
      </w:r>
      <w:r>
        <w:t xml:space="preserve"> </w:t>
      </w:r>
      <w:r>
        <w:t xml:space="preserve">“</w:t>
      </w:r>
      <w:r>
        <w:t xml:space="preserve">The LRU-K Page Replacement Algorithm for Database Disk Buffering.</w:t>
      </w:r>
      <w:r>
        <w:t xml:space="preserve">”</w:t>
      </w:r>
      <w:r>
        <w:t xml:space="preserve"> </w:t>
      </w:r>
      <w:r>
        <w:rPr>
          <w:iCs/>
          <w:i/>
        </w:rPr>
        <w:t xml:space="preserve">SIGMOD</w:t>
      </w:r>
      <w:r>
        <w:t xml:space="preserve">, 1993.</w:t>
      </w:r>
    </w:p>
    <w:p>
      <w:pPr>
        <w:numPr>
          <w:ilvl w:val="0"/>
          <w:numId w:val="1462"/>
        </w:numPr>
        <w:pStyle w:val="Compact"/>
      </w:pPr>
      <w:r>
        <w:t xml:space="preserve">Johnson, T., and Shasha, D.</w:t>
      </w:r>
      <w:r>
        <w:t xml:space="preserve"> </w:t>
      </w:r>
      <w:r>
        <w:t xml:space="preserve">“</w:t>
      </w:r>
      <w:r>
        <w:t xml:space="preserve">2Q: A Low Overhead High Performance Buffer Management Replacement Algorithm.</w:t>
      </w:r>
      <w:r>
        <w:t xml:space="preserve">”</w:t>
      </w:r>
      <w:r>
        <w:t xml:space="preserve"> </w:t>
      </w:r>
      <w:r>
        <w:rPr>
          <w:iCs/>
          <w:i/>
        </w:rPr>
        <w:t xml:space="preserve">VLDB</w:t>
      </w:r>
      <w:r>
        <w:t xml:space="preserve">, 1994.</w:t>
      </w:r>
    </w:p>
    <w:p>
      <w:pPr>
        <w:numPr>
          <w:ilvl w:val="0"/>
          <w:numId w:val="1462"/>
        </w:numPr>
        <w:pStyle w:val="Compact"/>
      </w:pPr>
      <w:r>
        <w:t xml:space="preserve">Gray, J., and Putzolu, F.</w:t>
      </w:r>
      <w:r>
        <w:t xml:space="preserve"> </w:t>
      </w:r>
      <w:r>
        <w:t xml:space="preserve">“</w:t>
      </w:r>
      <w:r>
        <w:t xml:space="preserve">The 5 Minute Rule for Trading Memory for Disc Accesses and the 10 Byte Rule for Trading Memory for CPU Time.</w:t>
      </w:r>
      <w:r>
        <w:t xml:space="preserve">”</w:t>
      </w:r>
      <w:r>
        <w:t xml:space="preserve"> </w:t>
      </w:r>
      <w:r>
        <w:rPr>
          <w:iCs/>
          <w:i/>
        </w:rPr>
        <w:t xml:space="preserve">SIGMOD</w:t>
      </w:r>
      <w:r>
        <w:t xml:space="preserve">, 1987.</w:t>
      </w:r>
    </w:p>
    <w:p>
      <w:pPr>
        <w:numPr>
          <w:ilvl w:val="0"/>
          <w:numId w:val="1462"/>
        </w:numPr>
        <w:pStyle w:val="Compact"/>
      </w:pPr>
      <w:r>
        <w:t xml:space="preserve">Gray, J., and Graefe, G.</w:t>
      </w:r>
      <w:r>
        <w:t xml:space="preserve"> </w:t>
      </w:r>
      <w:r>
        <w:t xml:space="preserve">“</w:t>
      </w:r>
      <w:r>
        <w:t xml:space="preserve">The Five-Minute Rule Ten Years Later, and Other Computer Storage Rules of Thumb.</w:t>
      </w:r>
      <w:r>
        <w:t xml:space="preserve">”</w:t>
      </w:r>
      <w:r>
        <w:t xml:space="preserve"> </w:t>
      </w:r>
      <w:r>
        <w:rPr>
          <w:iCs/>
          <w:i/>
        </w:rPr>
        <w:t xml:space="preserve">SIGMOD Record</w:t>
      </w:r>
      <w:r>
        <w:t xml:space="preserve"> </w:t>
      </w:r>
      <w:r>
        <w:t xml:space="preserve">26(4), 1997.</w:t>
      </w:r>
    </w:p>
    <w:p>
      <w:pPr>
        <w:numPr>
          <w:ilvl w:val="0"/>
          <w:numId w:val="1462"/>
        </w:numPr>
        <w:pStyle w:val="Compact"/>
      </w:pPr>
      <w:r>
        <w:t xml:space="preserve">Crotty, A., Leis, V., and Pavlo, A.</w:t>
      </w:r>
      <w:r>
        <w:t xml:space="preserve"> </w:t>
      </w:r>
      <w:r>
        <w:t xml:space="preserve">“</w:t>
      </w:r>
      <w:r>
        <w:t xml:space="preserve">Are You Sure You Want to Use MMAP in Your Database Management System?</w:t>
      </w:r>
      <w:r>
        <w:t xml:space="preserve">”</w:t>
      </w:r>
      <w:r>
        <w:t xml:space="preserve"> </w:t>
      </w:r>
      <w:r>
        <w:rPr>
          <w:iCs/>
          <w:i/>
        </w:rPr>
        <w:t xml:space="preserve">CIDR</w:t>
      </w:r>
      <w:r>
        <w:t xml:space="preserve">, 2022.</w:t>
      </w:r>
    </w:p>
    <w:p>
      <w:pPr>
        <w:numPr>
          <w:ilvl w:val="0"/>
          <w:numId w:val="1462"/>
        </w:numPr>
        <w:pStyle w:val="Compact"/>
      </w:pPr>
      <w:r>
        <w:t xml:space="preserve">Härder, T., and Reuter, A.</w:t>
      </w:r>
      <w:r>
        <w:t xml:space="preserve"> </w:t>
      </w:r>
      <w:r>
        <w:t xml:space="preserve">“</w:t>
      </w:r>
      <w:r>
        <w:t xml:space="preserve">Principles of Transaction-Oriented Database Recovery.</w:t>
      </w:r>
      <w:r>
        <w:t xml:space="preserve">”</w:t>
      </w:r>
      <w:r>
        <w:t xml:space="preserve"> </w:t>
      </w:r>
      <w:r>
        <w:rPr>
          <w:iCs/>
          <w:i/>
        </w:rPr>
        <w:t xml:space="preserve">ACM Computing Surveys</w:t>
      </w:r>
      <w:r>
        <w:t xml:space="preserve"> </w:t>
      </w:r>
      <w:r>
        <w:t xml:space="preserve">15(4), 1983.</w:t>
      </w:r>
    </w:p>
    <w:p>
      <w:pPr>
        <w:numPr>
          <w:ilvl w:val="0"/>
          <w:numId w:val="1462"/>
        </w:numPr>
        <w:pStyle w:val="Compact"/>
      </w:pPr>
      <w:r>
        <w:t xml:space="preserve">Bayer, R., and Schkolnick, M.</w:t>
      </w:r>
      <w:r>
        <w:t xml:space="preserve"> </w:t>
      </w:r>
      <w:r>
        <w:t xml:space="preserve">“</w:t>
      </w:r>
      <w:r>
        <w:t xml:space="preserve">Concurrency of Operations on B-Trees.</w:t>
      </w:r>
      <w:r>
        <w:t xml:space="preserve">”</w:t>
      </w:r>
      <w:r>
        <w:t xml:space="preserve"> </w:t>
      </w:r>
      <w:r>
        <w:rPr>
          <w:iCs/>
          <w:i/>
        </w:rPr>
        <w:t xml:space="preserve">Acta Informatica</w:t>
      </w:r>
      <w:r>
        <w:t xml:space="preserve"> </w:t>
      </w:r>
      <w:r>
        <w:t xml:space="preserve">9(1), 1977.</w:t>
      </w:r>
    </w:p>
    <w:p>
      <w:pPr>
        <w:numPr>
          <w:ilvl w:val="0"/>
          <w:numId w:val="1462"/>
        </w:numPr>
        <w:pStyle w:val="Compact"/>
      </w:pPr>
      <w:r>
        <w:t xml:space="preserve">Lehman, P. L., and Yao, S. B.</w:t>
      </w:r>
      <w:r>
        <w:t xml:space="preserve"> </w:t>
      </w:r>
      <w:r>
        <w:t xml:space="preserve">“</w:t>
      </w:r>
      <w:r>
        <w:t xml:space="preserve">Efficient Locking for Concurrent Operations on B-Trees.</w:t>
      </w:r>
      <w:r>
        <w:t xml:space="preserve">”</w:t>
      </w:r>
      <w:r>
        <w:t xml:space="preserve"> </w:t>
      </w:r>
      <w:r>
        <w:rPr>
          <w:iCs/>
          <w:i/>
        </w:rPr>
        <w:t xml:space="preserve">ACM Transactions on Database Systems</w:t>
      </w:r>
      <w:r>
        <w:t xml:space="preserve"> </w:t>
      </w:r>
      <w:r>
        <w:t xml:space="preserve">6(4), 1981.</w:t>
      </w:r>
    </w:p>
    <w:p>
      <w:pPr>
        <w:numPr>
          <w:ilvl w:val="0"/>
          <w:numId w:val="1462"/>
        </w:numPr>
        <w:pStyle w:val="Compact"/>
      </w:pPr>
      <w:r>
        <w:t xml:space="preserve">Yao, A. C.</w:t>
      </w:r>
      <w:r>
        <w:t xml:space="preserve"> </w:t>
      </w:r>
      <w:r>
        <w:t xml:space="preserve">“</w:t>
      </w:r>
      <w:r>
        <w:t xml:space="preserve">On Random 2–3 Trees.</w:t>
      </w:r>
      <w:r>
        <w:t xml:space="preserve">”</w:t>
      </w:r>
      <w:r>
        <w:t xml:space="preserve"> </w:t>
      </w:r>
      <w:r>
        <w:rPr>
          <w:iCs/>
          <w:i/>
        </w:rPr>
        <w:t xml:space="preserve">Acta Informatica</w:t>
      </w:r>
      <w:r>
        <w:t xml:space="preserve"> </w:t>
      </w:r>
      <w:r>
        <w:t xml:space="preserve">9(2), 1978.</w:t>
      </w:r>
    </w:p>
    <w:p>
      <w:pPr>
        <w:numPr>
          <w:ilvl w:val="0"/>
          <w:numId w:val="1462"/>
        </w:numPr>
        <w:pStyle w:val="Compact"/>
      </w:pPr>
      <w:r>
        <w:t xml:space="preserve">Rodeh, O.</w:t>
      </w:r>
      <w:r>
        <w:t xml:space="preserve"> </w:t>
      </w:r>
      <w:r>
        <w:t xml:space="preserve">“</w:t>
      </w:r>
      <w:r>
        <w:t xml:space="preserve">B-trees, Shadowing, and Clones.</w:t>
      </w:r>
      <w:r>
        <w:t xml:space="preserve">”</w:t>
      </w:r>
      <w:r>
        <w:t xml:space="preserve"> </w:t>
      </w:r>
      <w:r>
        <w:rPr>
          <w:iCs/>
          <w:i/>
        </w:rPr>
        <w:t xml:space="preserve">ACM Transactions on Storage</w:t>
      </w:r>
      <w:r>
        <w:t xml:space="preserve"> </w:t>
      </w:r>
      <w:r>
        <w:t xml:space="preserve">3(4), 2008.</w:t>
      </w:r>
    </w:p>
    <w:p>
      <w:pPr>
        <w:numPr>
          <w:ilvl w:val="0"/>
          <w:numId w:val="1462"/>
        </w:numPr>
        <w:pStyle w:val="Compact"/>
      </w:pPr>
      <w:r>
        <w:t xml:space="preserve">Symas Corporation.</w:t>
      </w:r>
      <w:r>
        <w:t xml:space="preserve"> </w:t>
      </w:r>
      <w:r>
        <w:rPr>
          <w:iCs/>
          <w:i/>
        </w:rPr>
        <w:t xml:space="preserve">LMDB: Lightning Memory-Mapped Database Manager documentation</w:t>
      </w:r>
      <w:r>
        <w:t xml:space="preserve">. http://www.lmdb.tech/doc/</w:t>
      </w:r>
    </w:p>
    <w:p>
      <w:pPr>
        <w:numPr>
          <w:ilvl w:val="0"/>
          <w:numId w:val="1462"/>
        </w:numPr>
        <w:pStyle w:val="Compact"/>
      </w:pPr>
      <w:r>
        <w:t xml:space="preserve">Rosenblum, M., and Ousterhout, J. K.</w:t>
      </w:r>
      <w:r>
        <w:t xml:space="preserve"> </w:t>
      </w:r>
      <w:r>
        <w:t xml:space="preserve">“</w:t>
      </w:r>
      <w:r>
        <w:t xml:space="preserve">The Design and Implementation of a Log-Structured File System.</w:t>
      </w:r>
      <w:r>
        <w:t xml:space="preserve">”</w:t>
      </w:r>
      <w:r>
        <w:t xml:space="preserve"> </w:t>
      </w:r>
      <w:r>
        <w:rPr>
          <w:iCs/>
          <w:i/>
        </w:rPr>
        <w:t xml:space="preserve">ACM Transactions on Computer Systems</w:t>
      </w:r>
      <w:r>
        <w:t xml:space="preserve"> </w:t>
      </w:r>
      <w:r>
        <w:t xml:space="preserve">10(1), 1992.</w:t>
      </w:r>
    </w:p>
    <w:p>
      <w:pPr>
        <w:numPr>
          <w:ilvl w:val="0"/>
          <w:numId w:val="1462"/>
        </w:numPr>
        <w:pStyle w:val="Compact"/>
      </w:pPr>
      <w:r>
        <w:t xml:space="preserve">Chang, F., et al. </w:t>
      </w:r>
      <w:r>
        <w:t xml:space="preserve">“</w:t>
      </w:r>
      <w:r>
        <w:t xml:space="preserve">Bigtable: A Distributed Storage System for Structured Data.</w:t>
      </w:r>
      <w:r>
        <w:t xml:space="preserve">”</w:t>
      </w:r>
      <w:r>
        <w:t xml:space="preserve"> </w:t>
      </w:r>
      <w:r>
        <w:rPr>
          <w:iCs/>
          <w:i/>
        </w:rPr>
        <w:t xml:space="preserve">OSDI</w:t>
      </w:r>
      <w:r>
        <w:t xml:space="preserve">, 2006.</w:t>
      </w:r>
    </w:p>
    <w:p>
      <w:pPr>
        <w:numPr>
          <w:ilvl w:val="0"/>
          <w:numId w:val="1462"/>
        </w:numPr>
        <w:pStyle w:val="Compact"/>
      </w:pPr>
      <w:r>
        <w:t xml:space="preserve">Dayan, N., Athanassoulis, M., and Idreos, S.</w:t>
      </w:r>
      <w:r>
        <w:t xml:space="preserve"> </w:t>
      </w:r>
      <w:r>
        <w:t xml:space="preserve">“</w:t>
      </w:r>
      <w:r>
        <w:t xml:space="preserve">Monkey: Optimal Navigable Key-Value Store.</w:t>
      </w:r>
      <w:r>
        <w:t xml:space="preserve">”</w:t>
      </w:r>
      <w:r>
        <w:t xml:space="preserve"> </w:t>
      </w:r>
      <w:r>
        <w:rPr>
          <w:iCs/>
          <w:i/>
        </w:rPr>
        <w:t xml:space="preserve">SIGMOD</w:t>
      </w:r>
      <w:r>
        <w:t xml:space="preserve">, 2017.</w:t>
      </w:r>
    </w:p>
    <w:p>
      <w:pPr>
        <w:numPr>
          <w:ilvl w:val="0"/>
          <w:numId w:val="1462"/>
        </w:numPr>
        <w:pStyle w:val="Compact"/>
      </w:pPr>
      <w:r>
        <w:t xml:space="preserve">Dayan, N., and Idreos, S.</w:t>
      </w:r>
      <w:r>
        <w:t xml:space="preserve"> </w:t>
      </w:r>
      <w:r>
        <w:t xml:space="preserve">“</w:t>
      </w:r>
      <w:r>
        <w:t xml:space="preserve">Dostoevsky: Better Space-Time Trade-Offs for LSM-Tree Based Key-Value Stores via Adaptive Removal of Superfluous Merging.</w:t>
      </w:r>
      <w:r>
        <w:t xml:space="preserve">”</w:t>
      </w:r>
      <w:r>
        <w:t xml:space="preserve"> </w:t>
      </w:r>
      <w:r>
        <w:rPr>
          <w:iCs/>
          <w:i/>
        </w:rPr>
        <w:t xml:space="preserve">SIGMOD</w:t>
      </w:r>
      <w:r>
        <w:t xml:space="preserve">, 2018.</w:t>
      </w:r>
    </w:p>
    <w:p>
      <w:pPr>
        <w:numPr>
          <w:ilvl w:val="0"/>
          <w:numId w:val="1462"/>
        </w:numPr>
        <w:pStyle w:val="Compact"/>
      </w:pPr>
      <w:r>
        <w:t xml:space="preserve">Dong, S., Callaghan, M., Galanis, L., Borthakur, D., Savor, T., and Strum, M.</w:t>
      </w:r>
      <w:r>
        <w:t xml:space="preserve"> </w:t>
      </w:r>
      <w:r>
        <w:t xml:space="preserve">“</w:t>
      </w:r>
      <w:r>
        <w:t xml:space="preserve">Optimizing Space Amplification in RocksDB.</w:t>
      </w:r>
      <w:r>
        <w:t xml:space="preserve">”</w:t>
      </w:r>
      <w:r>
        <w:t xml:space="preserve"> </w:t>
      </w:r>
      <w:r>
        <w:rPr>
          <w:iCs/>
          <w:i/>
        </w:rPr>
        <w:t xml:space="preserve">CIDR</w:t>
      </w:r>
      <w:r>
        <w:t xml:space="preserve">, 2017.</w:t>
      </w:r>
    </w:p>
    <w:p>
      <w:pPr>
        <w:numPr>
          <w:ilvl w:val="0"/>
          <w:numId w:val="1462"/>
        </w:numPr>
        <w:pStyle w:val="Compact"/>
      </w:pPr>
      <w:r>
        <w:t xml:space="preserve">Matsunobu, Y., Dong, S., and Lee, H.</w:t>
      </w:r>
      <w:r>
        <w:t xml:space="preserve"> </w:t>
      </w:r>
      <w:r>
        <w:t xml:space="preserve">“</w:t>
      </w:r>
      <w:r>
        <w:t xml:space="preserve">MyRocks: LSM-Tree Database Storage Engine Serving Facebook’s Social Graph.</w:t>
      </w:r>
      <w:r>
        <w:t xml:space="preserve">”</w:t>
      </w:r>
      <w:r>
        <w:t xml:space="preserve"> </w:t>
      </w:r>
      <w:r>
        <w:rPr>
          <w:iCs/>
          <w:i/>
        </w:rPr>
        <w:t xml:space="preserve">PVLDB</w:t>
      </w:r>
      <w:r>
        <w:t xml:space="preserve"> </w:t>
      </w:r>
      <w:r>
        <w:t xml:space="preserve">13(12), 2020.</w:t>
      </w:r>
    </w:p>
    <w:p>
      <w:pPr>
        <w:numPr>
          <w:ilvl w:val="0"/>
          <w:numId w:val="1462"/>
        </w:numPr>
        <w:pStyle w:val="Compact"/>
      </w:pPr>
      <w:r>
        <w:t xml:space="preserve">Klitzke, E.</w:t>
      </w:r>
      <w:r>
        <w:t xml:space="preserve"> </w:t>
      </w:r>
      <w:r>
        <w:t xml:space="preserve">“</w:t>
      </w:r>
      <w:r>
        <w:t xml:space="preserve">Why Uber Engineering Switched from Postgres to MySQL.</w:t>
      </w:r>
      <w:r>
        <w:t xml:space="preserve">”</w:t>
      </w:r>
      <w:r>
        <w:t xml:space="preserve"> </w:t>
      </w:r>
      <w:r>
        <w:t xml:space="preserve">Uber Engineering Blog, 2016. https://www.uber.com/blog/postgres-to-mysql-migration/</w:t>
      </w:r>
    </w:p>
    <w:p>
      <w:pPr>
        <w:numPr>
          <w:ilvl w:val="0"/>
          <w:numId w:val="1462"/>
        </w:numPr>
        <w:pStyle w:val="Compact"/>
      </w:pPr>
      <w:r>
        <w:t xml:space="preserve">Boncz, P., Zukowski, M., and Nes, N.</w:t>
      </w:r>
      <w:r>
        <w:t xml:space="preserve"> </w:t>
      </w:r>
      <w:r>
        <w:t xml:space="preserve">“</w:t>
      </w:r>
      <w:r>
        <w:t xml:space="preserve">MonetDB/X100: Hyper-Pipelining Query Execution.</w:t>
      </w:r>
      <w:r>
        <w:t xml:space="preserve">”</w:t>
      </w:r>
      <w:r>
        <w:t xml:space="preserve"> </w:t>
      </w:r>
      <w:r>
        <w:rPr>
          <w:iCs/>
          <w:i/>
        </w:rPr>
        <w:t xml:space="preserve">CIDR</w:t>
      </w:r>
      <w:r>
        <w:t xml:space="preserve">, 2005.</w:t>
      </w:r>
    </w:p>
    <w:p>
      <w:pPr>
        <w:numPr>
          <w:ilvl w:val="0"/>
          <w:numId w:val="1462"/>
        </w:numPr>
        <w:pStyle w:val="Compact"/>
      </w:pPr>
      <w:r>
        <w:t xml:space="preserve">Apache Software Foundation.</w:t>
      </w:r>
      <w:r>
        <w:t xml:space="preserve"> </w:t>
      </w:r>
      <w:r>
        <w:rPr>
          <w:iCs/>
          <w:i/>
        </w:rPr>
        <w:t xml:space="preserve">Apache Parquet Documentation: File Format; Encodings</w:t>
      </w:r>
      <w:r>
        <w:t xml:space="preserve">. https://parquet.apache.org/docs/</w:t>
      </w:r>
    </w:p>
    <w:bookmarkEnd w:id="1548"/>
    <w:bookmarkStart w:id="1549" w:name="open-verification-items-12"/>
    <w:p>
      <w:pPr>
        <w:pStyle w:val="Heading2"/>
      </w:pPr>
      <w:r>
        <w:t xml:space="preserve">13.21 Open verification items</w:t>
      </w:r>
    </w:p>
    <w:p>
      <w:pPr>
        <w:numPr>
          <w:ilvl w:val="0"/>
          <w:numId w:val="1463"/>
        </w:numPr>
        <w:pStyle w:val="Compact"/>
      </w:pPr>
      <w:r>
        <w:t xml:space="preserve">MySQL 8.4 Linux default</w:t>
      </w:r>
      <w:r>
        <w:t xml:space="preserve"> </w:t>
      </w:r>
      <w:r>
        <w:rPr>
          <w:rStyle w:val="VerbatimChar"/>
        </w:rPr>
        <w:t xml:space="preserve">innodb_flush_method = O_DIRECT</w:t>
      </w:r>
      <w:r>
        <w:t xml:space="preserve"> </w:t>
      </w:r>
      <w:r>
        <w:t xml:space="preserve">(confirmed via secondary sources and the 8.4 manual summary; primary page not fetched).</w:t>
      </w:r>
    </w:p>
    <w:p>
      <w:pPr>
        <w:numPr>
          <w:ilvl w:val="0"/>
          <w:numId w:val="1463"/>
        </w:numPr>
        <w:pStyle w:val="Compact"/>
      </w:pPr>
      <w:r>
        <w:t xml:space="preserve">PostgreSQL</w:t>
      </w:r>
      <w:r>
        <w:t xml:space="preserve"> </w:t>
      </w:r>
      <w:r>
        <w:rPr>
          <w:rStyle w:val="VerbatimChar"/>
        </w:rPr>
        <w:t xml:space="preserve">debug_io_direct</w:t>
      </w:r>
      <w:r>
        <w:t xml:space="preserve"> </w:t>
      </w:r>
      <w:r>
        <w:t xml:space="preserve">introduced in version 16 and the version-18 asynchronous I/O subsystem: wording and defaults.</w:t>
      </w:r>
    </w:p>
    <w:p>
      <w:pPr>
        <w:numPr>
          <w:ilvl w:val="0"/>
          <w:numId w:val="1463"/>
        </w:numPr>
        <w:pStyle w:val="Compact"/>
      </w:pPr>
      <w:r>
        <w:t xml:space="preserve">PostgreSQL clock-sweep usage-count cap of 5 and ring-buffer behavior (from the buffer README; not re-read for this edition).</w:t>
      </w:r>
    </w:p>
    <w:p>
      <w:pPr>
        <w:numPr>
          <w:ilvl w:val="0"/>
          <w:numId w:val="1463"/>
        </w:numPr>
        <w:pStyle w:val="Compact"/>
      </w:pPr>
      <w:r>
        <w:t xml:space="preserve">Exact storage and write reductions reported in [Matsunobu et al. 2020]; deliberately not quoted.</w:t>
      </w:r>
    </w:p>
    <w:p>
      <w:pPr>
        <w:numPr>
          <w:ilvl w:val="0"/>
          <w:numId w:val="1463"/>
        </w:numPr>
        <w:pStyle w:val="Compact"/>
      </w:pPr>
      <w:r>
        <w:t xml:space="preserve">Cassandra guidance to keep ~50% free disk for STCS; Cassandra 5.0 UCS description.</w:t>
      </w:r>
    </w:p>
    <w:p>
      <w:pPr>
        <w:numPr>
          <w:ilvl w:val="0"/>
          <w:numId w:val="1463"/>
        </w:numPr>
        <w:pStyle w:val="Compact"/>
      </w:pPr>
      <w:r>
        <w:t xml:space="preserve">Uber blog URL (original path may have changed).</w:t>
      </w:r>
    </w:p>
    <w:p>
      <w:pPr>
        <w:numPr>
          <w:ilvl w:val="0"/>
          <w:numId w:val="1463"/>
        </w:numPr>
        <w:pStyle w:val="Compact"/>
      </w:pPr>
      <w:r>
        <w:t xml:space="preserve">The compaction formulas are a simplified average-case model, not taken verbatim from one source.</w:t>
      </w:r>
    </w:p>
    <w:bookmarkEnd w:id="1549"/>
    <w:bookmarkEnd w:id="1550"/>
    <w:bookmarkStart w:id="1687" w:name="Xe42f780cdb62344aa3084e4e005784cee1ada2f"/>
    <w:p>
      <w:pPr>
        <w:pStyle w:val="Heading1"/>
      </w:pPr>
      <w:r>
        <w:t xml:space="preserve">Chapter 14 — Database Scaling: Replication, Partitioning and Sharding</w:t>
      </w:r>
    </w:p>
    <w:p>
      <w:pPr>
        <w:pStyle w:val="BlockText"/>
      </w:pPr>
      <w:r>
        <w:rPr>
          <w:bCs/>
          <w:b/>
        </w:rPr>
        <w:t xml:space="preserve">Level:</w:t>
      </w:r>
      <w:r>
        <w:t xml:space="preserve"> </w:t>
      </w:r>
      <w:r>
        <w:t xml:space="preserve">2–3 ·</w:t>
      </w:r>
      <w:r>
        <w:t xml:space="preserve"> </w:t>
      </w:r>
      <w:r>
        <w:rPr>
          <w:bCs/>
          <w:b/>
        </w:rPr>
        <w:t xml:space="preserve">Track:</w:t>
      </w:r>
      <w:r>
        <w:t xml:space="preserve"> </w:t>
      </w:r>
      <w:r>
        <w:t xml:space="preserve">A (Traditional) ·</w:t>
      </w:r>
      <w:r>
        <w:t xml:space="preserve"> </w:t>
      </w:r>
      <w:r>
        <w:rPr>
          <w:bCs/>
          <w:b/>
        </w:rPr>
        <w:t xml:space="preserve">Estimated reading time:</w:t>
      </w:r>
      <w:r>
        <w:t xml:space="preserve"> </w:t>
      </w:r>
      <w:r>
        <w:t xml:space="preserve">6 h</w:t>
      </w:r>
    </w:p>
    <w:p>
      <w:pPr>
        <w:pStyle w:val="FirstParagraph"/>
      </w:pPr>
      <w:r>
        <w:t xml:space="preserve">A single database server is the most comfortable place your data will ever live: every row in one place, every transaction consistent, every join just a join. Three limits end that comfort. Reads outgrow one machine, writes outgrow one machine, or the data outgrows its disks. Chapter 2 sketched this for QuickBite: one PostgreSQL primary handles 60 orders per second easily, 600 needs read replicas, and 6,000 probably needs partitioning (§2.10).</w:t>
      </w:r>
    </w:p>
    <w:p>
      <w:pPr>
        <w:pStyle w:val="BodyText"/>
      </w:pPr>
      <w:r>
        <w:rPr>
          <w:bCs/>
          <w:b/>
        </w:rPr>
        <w:t xml:space="preserve">Replication</w:t>
      </w:r>
      <w:r>
        <w:t xml:space="preserve"> </w:t>
      </w:r>
      <w:r>
        <w:t xml:space="preserve">keeps copies of the same data on several nodes. It adds read capacity and survives failures but adds no write capacity or storage.</w:t>
      </w:r>
      <w:r>
        <w:t xml:space="preserve"> </w:t>
      </w:r>
      <w:r>
        <w:rPr>
          <w:bCs/>
          <w:b/>
        </w:rPr>
        <w:t xml:space="preserve">Partitioning</w:t>
      </w:r>
      <w:r>
        <w:t xml:space="preserve"> </w:t>
      </w:r>
      <w:r>
        <w:t xml:space="preserve">(also called</w:t>
      </w:r>
      <w:r>
        <w:t xml:space="preserve"> </w:t>
      </w:r>
      <w:r>
        <w:rPr>
          <w:bCs/>
          <w:b/>
        </w:rPr>
        <w:t xml:space="preserve">sharding</w:t>
      </w:r>
      <w:r>
        <w:t xml:space="preserve">) splits the data into subsets on different nodes. It adds write capacity and storage but makes queries that span subsets harder. Real systems do both: every partition is replicated. Consistency guarantees are treated in depth in Chapter 25, leaderless replication and conflict resolution in Chapter 27, and distributed transactions in Chapter 28.</w:t>
      </w:r>
    </w:p>
    <w:bookmarkStart w:id="1551" w:name="learning-objectives-13"/>
    <w:p>
      <w:pPr>
        <w:pStyle w:val="Heading2"/>
      </w:pPr>
      <w:r>
        <w:t xml:space="preserve">14.1 Learning objectives</w:t>
      </w:r>
    </w:p>
    <w:p>
      <w:pPr>
        <w:pStyle w:val="FirstParagraph"/>
      </w:pPr>
      <w:r>
        <w:t xml:space="preserve">After this chapter you should be able to:</w:t>
      </w:r>
    </w:p>
    <w:p>
      <w:pPr>
        <w:numPr>
          <w:ilvl w:val="0"/>
          <w:numId w:val="1464"/>
        </w:numPr>
        <w:pStyle w:val="Compact"/>
      </w:pPr>
      <w:r>
        <w:t xml:space="preserve">Draw a primary–replica architecture and compare synchronous, asynchronous and semi-synchronous replication by latency, durability and availability.</w:t>
      </w:r>
    </w:p>
    <w:p>
      <w:pPr>
        <w:numPr>
          <w:ilvl w:val="0"/>
          <w:numId w:val="1464"/>
        </w:numPr>
        <w:pStyle w:val="Compact"/>
      </w:pPr>
      <w:r>
        <w:t xml:space="preserve">Explain how replication lag causes read-your-writes and monotonic-read anomalies, and design routing that prevents them.</w:t>
      </w:r>
    </w:p>
    <w:p>
      <w:pPr>
        <w:numPr>
          <w:ilvl w:val="0"/>
          <w:numId w:val="1464"/>
        </w:numPr>
        <w:pStyle w:val="Compact"/>
      </w:pPr>
      <w:r>
        <w:t xml:space="preserve">Distinguish statement-based, row-based, physical and logical replication, and say when multi-primary replication is worth its conflicts.</w:t>
      </w:r>
    </w:p>
    <w:p>
      <w:pPr>
        <w:numPr>
          <w:ilvl w:val="0"/>
          <w:numId w:val="1464"/>
        </w:numPr>
        <w:pStyle w:val="Compact"/>
      </w:pPr>
      <w:r>
        <w:t xml:space="preserve">Compare range, hash, list and directory partitioning, choose a shard key, and compute the number of shards from data size, write rate and per-node limits.</w:t>
      </w:r>
    </w:p>
    <w:p>
      <w:pPr>
        <w:numPr>
          <w:ilvl w:val="0"/>
          <w:numId w:val="1464"/>
        </w:numPr>
        <w:pStyle w:val="Compact"/>
      </w:pPr>
      <w:r>
        <w:t xml:space="preserve">Build a consistent-hash ring with virtual nodes, derive how load imbalance shrinks with the number of virtual nodes</w:t>
      </w:r>
      <w:r>
        <w:t xml:space="preserve"> </w:t>
      </w:r>
      <m:oMath>
        <m:r>
          <m:t>V</m:t>
        </m:r>
      </m:oMath>
      <w:r>
        <w:t xml:space="preserve">, and compare it with jump and rendezvous hashing.</w:t>
      </w:r>
    </w:p>
    <w:p>
      <w:pPr>
        <w:numPr>
          <w:ilvl w:val="0"/>
          <w:numId w:val="1464"/>
        </w:numPr>
        <w:pStyle w:val="Compact"/>
      </w:pPr>
      <w:r>
        <w:t xml:space="preserve">Plan an online resharding, mitigate hot partitions and choose local or global secondary indexes.</w:t>
      </w:r>
    </w:p>
    <w:p>
      <w:pPr>
        <w:numPr>
          <w:ilvl w:val="0"/>
          <w:numId w:val="1464"/>
        </w:numPr>
        <w:pStyle w:val="Compact"/>
      </w:pPr>
      <w:r>
        <w:t xml:space="preserve">Explain the cost of cross-shard queries and transactions, and place PgBouncer, ProxySQL and Vitess in an architecture.</w:t>
      </w:r>
    </w:p>
    <w:bookmarkEnd w:id="1551"/>
    <w:bookmarkStart w:id="1552" w:name="prerequisites-13"/>
    <w:p>
      <w:pPr>
        <w:pStyle w:val="Heading2"/>
      </w:pPr>
      <w:r>
        <w:t xml:space="preserve">14.2 Prerequisites</w:t>
      </w:r>
    </w:p>
    <w:p>
      <w:pPr>
        <w:numPr>
          <w:ilvl w:val="0"/>
          <w:numId w:val="1465"/>
        </w:numPr>
        <w:pStyle w:val="Compact"/>
      </w:pPr>
      <w:r>
        <w:t xml:space="preserve">Transactions, ACID and isolation levels — §11.11–§11.13 (replication and sharding change what a transaction can guarantee).</w:t>
      </w:r>
    </w:p>
    <w:p>
      <w:pPr>
        <w:numPr>
          <w:ilvl w:val="0"/>
          <w:numId w:val="1465"/>
        </w:numPr>
        <w:pStyle w:val="Compact"/>
      </w:pPr>
      <w:r>
        <w:t xml:space="preserve">Indexes and B+ trees — §11.7–§11.8 (secondary indexes become a distributed problem).</w:t>
      </w:r>
    </w:p>
    <w:p>
      <w:pPr>
        <w:numPr>
          <w:ilvl w:val="0"/>
          <w:numId w:val="1465"/>
        </w:numPr>
        <w:pStyle w:val="Compact"/>
      </w:pPr>
      <w:r>
        <w:t xml:space="preserve">Write-ahead logging — §13.5 (physical replication ships the WAL).</w:t>
      </w:r>
    </w:p>
    <w:p>
      <w:pPr>
        <w:numPr>
          <w:ilvl w:val="0"/>
          <w:numId w:val="1465"/>
        </w:numPr>
        <w:pStyle w:val="Compact"/>
      </w:pPr>
      <w:r>
        <w:t xml:space="preserve">Little’s Law and connection pools — §4.11 and the pool-sizing examples in Chapter 4 (used again in §14.13).</w:t>
      </w:r>
    </w:p>
    <w:p>
      <w:pPr>
        <w:numPr>
          <w:ilvl w:val="0"/>
          <w:numId w:val="1465"/>
        </w:numPr>
        <w:pStyle w:val="Compact"/>
      </w:pPr>
      <w:r>
        <w:t xml:space="preserve">Hash functions — §17.3 at an intuitive level: a hash maps any key to a well-mixed number.</w:t>
      </w:r>
    </w:p>
    <w:bookmarkEnd w:id="1552"/>
    <w:bookmarkStart w:id="1566" w:name="X3374c045773e9a9a0c6868749201b79602a7a58"/>
    <w:p>
      <w:pPr>
        <w:pStyle w:val="Heading2"/>
      </w:pPr>
      <w:r>
        <w:t xml:space="preserve">14.3 Read replicas and primary–replica architecture</w:t>
      </w:r>
    </w:p>
    <w:bookmarkStart w:id="1565" w:name="the-primaryreplica-model"/>
    <w:p>
      <w:pPr>
        <w:pStyle w:val="Heading3"/>
      </w:pPr>
      <w:r>
        <w:t xml:space="preserve">14.3.1 The primary–replica model</w:t>
      </w:r>
    </w:p>
    <w:p>
      <w:pPr>
        <w:pStyle w:val="CalloutDefinition"/>
      </w:pPr>
      <w:r>
        <w:rPr>
          <w:bCs/>
          <w:b/>
        </w:rPr>
        <w:t xml:space="preserve">DEFINITION</w:t>
      </w:r>
    </w:p>
    <w:p>
      <w:pPr>
        <w:pStyle w:val="CalloutDefinition"/>
      </w:pPr>
      <w:r>
        <w:rPr>
          <w:bCs/>
          <w:b/>
        </w:rPr>
        <w:t xml:space="preserve">Definition — Replication.</w:t>
      </w:r>
      <w:r>
        <w:t xml:space="preserve"> </w:t>
      </w:r>
      <w:r>
        <w:t xml:space="preserve">Keeping a copy of the same data on more than one node. Each copy is a</w:t>
      </w:r>
      <w:r>
        <w:t xml:space="preserve"> </w:t>
      </w:r>
      <w:r>
        <w:rPr>
          <w:bCs/>
          <w:b/>
        </w:rPr>
        <w:t xml:space="preserve">replica</w:t>
      </w:r>
      <w:r>
        <w:t xml:space="preserve">. In</w:t>
      </w:r>
      <w:r>
        <w:t xml:space="preserve"> </w:t>
      </w:r>
      <w:r>
        <w:rPr>
          <w:bCs/>
          <w:b/>
        </w:rPr>
        <w:t xml:space="preserve">primary–replica replication</w:t>
      </w:r>
      <w:r>
        <w:t xml:space="preserve">, exactly one node, the</w:t>
      </w:r>
      <w:r>
        <w:t xml:space="preserve"> </w:t>
      </w:r>
      <w:r>
        <w:rPr>
          <w:bCs/>
          <w:b/>
        </w:rPr>
        <w:t xml:space="preserve">primary</w:t>
      </w:r>
      <w:r>
        <w:t xml:space="preserve"> </w:t>
      </w:r>
      <w:r>
        <w:t xml:space="preserve">(called the</w:t>
      </w:r>
      <w:r>
        <w:t xml:space="preserve"> </w:t>
      </w:r>
      <w:r>
        <w:t xml:space="preserve">“</w:t>
      </w:r>
      <w:r>
        <w:t xml:space="preserve">master</w:t>
      </w:r>
      <w:r>
        <w:t xml:space="preserve">”</w:t>
      </w:r>
      <w:r>
        <w:t xml:space="preserve"> </w:t>
      </w:r>
      <w:r>
        <w:t xml:space="preserve">in older documentation), accepts writes and streams its changes to the</w:t>
      </w:r>
      <w:r>
        <w:t xml:space="preserve"> </w:t>
      </w:r>
      <w:r>
        <w:rPr>
          <w:bCs/>
          <w:b/>
        </w:rPr>
        <w:t xml:space="preserve">replicas</w:t>
      </w:r>
      <w:r>
        <w:t xml:space="preserve">, which apply them in the same order and serve reads.</w:t>
      </w:r>
    </w:p>
    <w:bookmarkStart w:id="1553" w:name="first-principles-explanation-86"/>
    <w:p>
      <w:pPr>
        <w:pStyle w:val="Heading4"/>
      </w:pPr>
      <w:r>
        <w:t xml:space="preserve">First-principles explanation</w:t>
      </w:r>
    </w:p>
    <w:p>
      <w:pPr>
        <w:pStyle w:val="FirstParagraph"/>
      </w:pPr>
      <w:r>
        <w:t xml:space="preserve">Think of a newspaper. One newsroom writes the stories, and printing plants in many cities print identical copies. Readers get the paper quickly from a local plant, but every correction must go through the newsroom, every plant must print every story, and a distant reader may hold yesterday’s edition for a while. The newsroom is the primary, the plants are replicas and the delay is</w:t>
      </w:r>
      <w:r>
        <w:t xml:space="preserve"> </w:t>
      </w:r>
      <w:r>
        <w:rPr>
          <w:bCs/>
          <w:b/>
        </w:rPr>
        <w:t xml:space="preserve">replication lag</w:t>
      </w:r>
      <w:r>
        <w:t xml:space="preserve">. Reads scale with the number of plants. Writes do not scale at all.</w:t>
      </w:r>
    </w:p>
    <w:bookmarkEnd w:id="1553"/>
    <w:bookmarkStart w:id="1554" w:name="why-does-this-exist-50"/>
    <w:p>
      <w:pPr>
        <w:pStyle w:val="Heading4"/>
      </w:pPr>
      <w:r>
        <w:t xml:space="preserve">Why does this exist?</w:t>
      </w:r>
    </w:p>
    <w:p>
      <w:pPr>
        <w:pStyle w:val="FirstParagraph"/>
      </w:pPr>
      <w:r>
        <w:t xml:space="preserve">Most applications read far more than they write, often 10 to 100 reads per write. Copying the data to more nodes and spreading the reads is the cheapest way to multiply read capacity, with no schema change. Replicas are also a</w:t>
      </w:r>
      <w:r>
        <w:t xml:space="preserve"> </w:t>
      </w:r>
      <w:r>
        <w:rPr>
          <w:bCs/>
          <w:b/>
        </w:rPr>
        <w:t xml:space="preserve">hot standby</w:t>
      </w:r>
      <w:r>
        <w:t xml:space="preserve">: a replica that already holds nearly all the data can be promoted in seconds if the primary dies.</w:t>
      </w:r>
    </w:p>
    <w:bookmarkEnd w:id="1554"/>
    <w:bookmarkStart w:id="1555" w:name="how-it-works-internally-54"/>
    <w:p>
      <w:pPr>
        <w:pStyle w:val="Heading4"/>
      </w:pPr>
      <w:r>
        <w:t xml:space="preserve">How it works internally</w:t>
      </w:r>
    </w:p>
    <w:p>
      <w:pPr>
        <w:numPr>
          <w:ilvl w:val="0"/>
          <w:numId w:val="1466"/>
        </w:numPr>
        <w:pStyle w:val="Compact"/>
      </w:pPr>
      <w:r>
        <w:t xml:space="preserve">A client sends a write (</w:t>
      </w:r>
      <w:r>
        <w:rPr>
          <w:rStyle w:val="VerbatimChar"/>
        </w:rPr>
        <w:t xml:space="preserve">INSERT</w:t>
      </w:r>
      <w:r>
        <w:t xml:space="preserve">,</w:t>
      </w:r>
      <w:r>
        <w:t xml:space="preserve"> </w:t>
      </w:r>
      <w:r>
        <w:rPr>
          <w:rStyle w:val="VerbatimChar"/>
        </w:rPr>
        <w:t xml:space="preserve">UPDATE</w:t>
      </w:r>
      <w:r>
        <w:t xml:space="preserve">,</w:t>
      </w:r>
      <w:r>
        <w:t xml:space="preserve"> </w:t>
      </w:r>
      <w:r>
        <w:rPr>
          <w:rStyle w:val="VerbatimChar"/>
        </w:rPr>
        <w:t xml:space="preserve">DELETE</w:t>
      </w:r>
      <w:r>
        <w:t xml:space="preserve">) to the primary.</w:t>
      </w:r>
    </w:p>
    <w:p>
      <w:pPr>
        <w:numPr>
          <w:ilvl w:val="0"/>
          <w:numId w:val="1466"/>
        </w:numPr>
        <w:pStyle w:val="Compact"/>
      </w:pPr>
      <w:r>
        <w:t xml:space="preserve">The primary records the change in its</w:t>
      </w:r>
      <w:r>
        <w:t xml:space="preserve"> </w:t>
      </w:r>
      <w:r>
        <w:rPr>
          <w:bCs/>
          <w:b/>
        </w:rPr>
        <w:t xml:space="preserve">replication log</w:t>
      </w:r>
      <w:r>
        <w:t xml:space="preserve">: the write-ahead log (WAL, §13.5) in PostgreSQL, the</w:t>
      </w:r>
      <w:r>
        <w:t xml:space="preserve"> </w:t>
      </w:r>
      <w:r>
        <w:rPr>
          <w:bCs/>
          <w:b/>
        </w:rPr>
        <w:t xml:space="preserve">binary log</w:t>
      </w:r>
      <w:r>
        <w:t xml:space="preserve"> </w:t>
      </w:r>
      <w:r>
        <w:t xml:space="preserve">(binlog) in MySQL.</w:t>
      </w:r>
    </w:p>
    <w:p>
      <w:pPr>
        <w:numPr>
          <w:ilvl w:val="0"/>
          <w:numId w:val="1466"/>
        </w:numPr>
        <w:pStyle w:val="Compact"/>
      </w:pPr>
      <w:r>
        <w:t xml:space="preserve">It commits, waiting first for replica acknowledgments if the replication mode requires it (§14.4).</w:t>
      </w:r>
    </w:p>
    <w:p>
      <w:pPr>
        <w:numPr>
          <w:ilvl w:val="0"/>
          <w:numId w:val="1466"/>
        </w:numPr>
        <w:pStyle w:val="Compact"/>
      </w:pPr>
      <w:r>
        <w:t xml:space="preserve">A sender process streams new log records to each replica over a long-lived TCP connection. Each replica logs them and</w:t>
      </w:r>
      <w:r>
        <w:t xml:space="preserve"> </w:t>
      </w:r>
      <w:r>
        <w:rPr>
          <w:bCs/>
          <w:b/>
        </w:rPr>
        <w:t xml:space="preserve">applies</w:t>
      </w:r>
      <w:r>
        <w:t xml:space="preserve"> </w:t>
      </w:r>
      <w:r>
        <w:t xml:space="preserve">them in order.</w:t>
      </w:r>
    </w:p>
    <w:p>
      <w:pPr>
        <w:numPr>
          <w:ilvl w:val="0"/>
          <w:numId w:val="1466"/>
        </w:numPr>
        <w:pStyle w:val="Compact"/>
      </w:pPr>
      <w:r>
        <w:t xml:space="preserve">Read-only queries go to replicas, routed by the application, a driver or a proxy (§14.13).</w:t>
      </w:r>
    </w:p>
    <w:p>
      <w:pPr>
        <w:numPr>
          <w:ilvl w:val="0"/>
          <w:numId w:val="1466"/>
        </w:numPr>
        <w:pStyle w:val="Compact"/>
      </w:pPr>
      <w:r>
        <w:t xml:space="preserve">Each replica tracks its applied position: a log sequence number (LSN) in PostgreSQL or a global transaction identifier (GTID) set in MySQL. The gap to the primary’s position is the replication lag.</w:t>
      </w:r>
    </w:p>
    <w:bookmarkEnd w:id="1555"/>
    <w:bookmarkStart w:id="1559" w:name="architecture-diagram-14"/>
    <w:p>
      <w:pPr>
        <w:pStyle w:val="Heading4"/>
      </w:pPr>
      <w:r>
        <w:t xml:space="preserve">Architecture diagram</w:t>
      </w:r>
    </w:p>
    <w:p>
      <w:pPr>
        <w:pStyle w:val="FirstParagraph"/>
      </w:pPr>
      <w:r>
        <w:rPr>
          <w:bCs/>
          <w:b/>
        </w:rPr>
        <w:t xml:space="preserve">Figure 14.1 — Primary–replica architecture with read/write splitting.</w:t>
      </w:r>
    </w:p>
    <w:p>
      <w:pPr>
        <w:pStyle w:val="BodyText"/>
      </w:pPr>
      <w:r>
        <w:drawing>
          <wp:inline>
            <wp:extent cx="5334000" cy="1211870"/>
            <wp:effectExtent b="0" l="0" r="0" t="0"/>
            <wp:docPr descr="" title="" id="1557" name="Picture"/>
            <a:graphic>
              <a:graphicData uri="http://schemas.openxmlformats.org/drawingml/2006/picture">
                <pic:pic>
                  <pic:nvPicPr>
                    <pic:cNvPr descr="/home/user/System-Design/build/.cache/diagrams/3255c95778ed.png" id="1558" name="Picture"/>
                    <pic:cNvPicPr>
                      <a:picLocks noChangeArrowheads="1" noChangeAspect="1"/>
                    </pic:cNvPicPr>
                  </pic:nvPicPr>
                  <pic:blipFill>
                    <a:blip r:embed="rId1556"/>
                    <a:stretch>
                      <a:fillRect/>
                    </a:stretch>
                  </pic:blipFill>
                  <pic:spPr bwMode="auto">
                    <a:xfrm>
                      <a:off x="0" y="0"/>
                      <a:ext cx="5334000" cy="1211870"/>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A proxy or driver sends writes and must-be-fresh reads to the primary and other reads to replicas, synchronously. Replication (dotted) is asynchronous by default, so replicas lag. Replica 3 is fed by Replica 2 (</w:t>
      </w:r>
      <w:r>
        <w:rPr>
          <w:bCs/>
          <w:b/>
        </w:rPr>
        <w:t xml:space="preserve">cascading replication</w:t>
      </w:r>
      <w:r>
        <w:t xml:space="preserve">), sparing the primary’s fan-out to distant regions. Each node stores a full copy. The lag monitor removes lagging replicas from rotation. Failure points: the primary, until a replica is promoted (§27.11), and the intermediate replica for everything below it.</w:t>
      </w:r>
    </w:p>
    <w:bookmarkEnd w:id="1559"/>
    <w:bookmarkStart w:id="1560" w:name="mathematical-foundations-25"/>
    <w:p>
      <w:pPr>
        <w:pStyle w:val="Heading4"/>
      </w:pPr>
      <w:r>
        <w:t xml:space="preserve">Mathematical foundations</w:t>
      </w:r>
    </w:p>
    <w:p>
      <w:pPr>
        <w:pStyle w:val="FirstParagraph"/>
      </w:pPr>
      <w:r>
        <w:t xml:space="preserve">Every write is applied on every node, so the write stream consumes part of each replica’s capacity.</w:t>
      </w:r>
    </w:p>
    <w:p>
      <w:pPr>
        <w:pStyle w:val="CalloutFormula"/>
      </w:pPr>
      <w:r>
        <w:rPr>
          <w:bCs/>
          <w:b/>
        </w:rPr>
        <w:t xml:space="preserve">FORMULA</w:t>
      </w:r>
    </w:p>
    <w:p>
      <w:pPr>
        <w:pStyle w:val="CalloutFormula"/>
      </w:pPr>
      <w:r>
        <w:rPr>
          <w:bCs/>
          <w:b/>
        </w:rPr>
        <w:t xml:space="preserve">Read capacity of a replicated group</w:t>
      </w:r>
    </w:p>
    <w:p>
      <w:pPr>
        <w:pStyle w:val="CalloutFormula"/>
      </w:pPr>
      <m:oMathPara>
        <m:oMathParaPr>
          <m:jc m:val="center"/>
        </m:oMathParaPr>
        <m:oMath>
          <m:sSub>
            <m:e>
              <m:r>
                <m:t>R</m:t>
              </m:r>
            </m:e>
            <m:sub>
              <m:r>
                <m:rPr>
                  <m:sty m:val="p"/>
                </m:rPr>
                <m:t>max</m:t>
              </m:r>
            </m:sub>
          </m:sSub>
          <m:r>
            <m:rPr>
              <m:sty m:val="p"/>
            </m:rPr>
            <m:t>=</m:t>
          </m:r>
          <m:r>
            <m:t>n</m:t>
          </m:r>
          <m:r>
            <m:rPr>
              <m:sty m:val="p"/>
            </m:rPr>
            <m:t>⋅</m:t>
          </m:r>
          <m:d>
            <m:dPr>
              <m:begChr m:val="("/>
              <m:endChr m:val=")"/>
              <m:sepChr m:val=""/>
              <m:grow/>
            </m:dPr>
            <m:e>
              <m:r>
                <m:t>u</m:t>
              </m:r>
              <m:r>
                <m:rPr>
                  <m:sty m:val="p"/>
                </m:rPr>
                <m:t>⋅</m:t>
              </m:r>
              <m:r>
                <m:t>c</m:t>
              </m:r>
              <m:r>
                <m:rPr>
                  <m:sty m:val="p"/>
                </m:rPr>
                <m:t>−</m:t>
              </m:r>
              <m:r>
                <m:t>w</m:t>
              </m:r>
            </m:e>
          </m:d>
          <m:r>
            <m:t>  </m:t>
          </m:r>
          <m:r>
            <m:rPr>
              <m:nor/>
              <m:sty m:val="p"/>
            </m:rPr>
            <m:t>valid only while </m:t>
          </m:r>
          <m:r>
            <m:t>w</m:t>
          </m:r>
          <m:r>
            <m:rPr>
              <m:sty m:val="p"/>
            </m:rPr>
            <m:t>&lt;</m:t>
          </m:r>
          <m:r>
            <m:t>u</m:t>
          </m:r>
          <m:r>
            <m:rPr>
              <m:sty m:val="p"/>
            </m:rPr>
            <m:t>⋅</m:t>
          </m:r>
          <m:r>
            <m:t>c</m:t>
          </m:r>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R</m:t>
                  </m:r>
                </m:e>
                <m:sub>
                  <m:r>
                    <m:rPr>
                      <m:sty m:val="p"/>
                    </m:rPr>
                    <m:t>max</m:t>
                  </m:r>
                </m:sub>
              </m:sSub>
            </m:oMath>
          </w:p>
        </w:tc>
        <w:tc>
          <w:tcPr/>
          <w:p>
            <w:pPr>
              <w:pStyle w:val="Compact"/>
              <w:jc w:val="left"/>
            </w:pPr>
            <w:r>
              <w:t xml:space="preserve">Maximum sustainable read rate across the group</w:t>
            </w:r>
          </w:p>
        </w:tc>
        <w:tc>
          <w:tcPr/>
          <w:p>
            <w:pPr>
              <w:pStyle w:val="Compact"/>
              <w:jc w:val="left"/>
            </w:pPr>
            <w:r>
              <w:t xml:space="preserve">reads/s</w:t>
            </w:r>
          </w:p>
        </w:tc>
      </w:tr>
      <w:tr>
        <w:tc>
          <w:tcPr/>
          <w:p>
            <w:pPr>
              <w:pStyle w:val="Compact"/>
              <w:jc w:val="left"/>
            </w:pPr>
            <m:oMath>
              <m:r>
                <m:t>n</m:t>
              </m:r>
            </m:oMath>
          </w:p>
        </w:tc>
        <w:tc>
          <w:tcPr/>
          <w:p>
            <w:pPr>
              <w:pStyle w:val="Compact"/>
              <w:jc w:val="left"/>
            </w:pPr>
            <w:r>
              <w:t xml:space="preserve">Number of nodes serving reads (replicas, plus the primary if it serves reads)</w:t>
            </w:r>
          </w:p>
        </w:tc>
        <w:tc>
          <w:tcPr/>
          <w:p>
            <w:pPr>
              <w:pStyle w:val="Compact"/>
              <w:jc w:val="left"/>
            </w:pPr>
            <w:r>
              <w:t xml:space="preserve">nodes</w:t>
            </w:r>
          </w:p>
        </w:tc>
      </w:tr>
      <w:tr>
        <w:tc>
          <w:tcPr/>
          <w:p>
            <w:pPr>
              <w:pStyle w:val="Compact"/>
              <w:jc w:val="left"/>
            </w:pPr>
            <m:oMath>
              <m:r>
                <m:t>c</m:t>
              </m:r>
            </m:oMath>
          </w:p>
        </w:tc>
        <w:tc>
          <w:tcPr/>
          <w:p>
            <w:pPr>
              <w:pStyle w:val="Compact"/>
              <w:jc w:val="left"/>
            </w:pPr>
            <w:r>
              <w:t xml:space="preserve">Capacity of one node, expressed in read-equivalent operations</w:t>
            </w:r>
          </w:p>
        </w:tc>
        <w:tc>
          <w:tcPr/>
          <w:p>
            <w:pPr>
              <w:pStyle w:val="Compact"/>
              <w:jc w:val="left"/>
            </w:pPr>
            <w:r>
              <w:t xml:space="preserve">ops/s</w:t>
            </w:r>
          </w:p>
        </w:tc>
      </w:tr>
      <w:tr>
        <w:tc>
          <w:tcPr/>
          <w:p>
            <w:pPr>
              <w:pStyle w:val="Compact"/>
              <w:jc w:val="left"/>
            </w:pPr>
            <m:oMath>
              <m:r>
                <m:t>u</m:t>
              </m:r>
            </m:oMath>
          </w:p>
        </w:tc>
        <w:tc>
          <w:tcPr/>
          <w:p>
            <w:pPr>
              <w:pStyle w:val="Compact"/>
              <w:jc w:val="left"/>
            </w:pPr>
            <w:r>
              <w:t xml:space="preserve">Target utilization, leaving headroom for spikes and failover</w:t>
            </w:r>
          </w:p>
        </w:tc>
        <w:tc>
          <w:tcPr/>
          <w:p>
            <w:pPr>
              <w:pStyle w:val="Compact"/>
              <w:jc w:val="left"/>
            </w:pPr>
            <w:r>
              <w:t xml:space="preserve">dimensionless (0–1)</w:t>
            </w:r>
          </w:p>
        </w:tc>
      </w:tr>
      <w:tr>
        <w:tc>
          <w:tcPr/>
          <w:p>
            <w:pPr>
              <w:pStyle w:val="Compact"/>
              <w:jc w:val="left"/>
            </w:pPr>
            <m:oMath>
              <m:r>
                <m:t>w</m:t>
              </m:r>
            </m:oMath>
          </w:p>
        </w:tc>
        <w:tc>
          <w:tcPr/>
          <w:p>
            <w:pPr>
              <w:pStyle w:val="Compact"/>
              <w:jc w:val="left"/>
            </w:pPr>
            <w:r>
              <w:t xml:space="preserve">Cost of applying the full write stream on one node, in read-equivalent operations</w:t>
            </w:r>
          </w:p>
        </w:tc>
        <w:tc>
          <w:tcPr/>
          <w:p>
            <w:pPr>
              <w:pStyle w:val="Compact"/>
              <w:jc w:val="left"/>
            </w:pPr>
            <w:r>
              <w:t xml:space="preserve">ops/s</w:t>
            </w:r>
          </w:p>
        </w:tc>
      </w:tr>
    </w:tbl>
    <w:p>
      <w:pPr>
        <w:pStyle w:val="CalloutExample"/>
      </w:pPr>
      <w:r>
        <w:rPr>
          <w:bCs/>
          <w:b/>
        </w:rPr>
        <w:t xml:space="preserve">WORKED EXAMPLE</w:t>
      </w:r>
    </w:p>
    <w:p>
      <w:pPr>
        <w:pStyle w:val="CalloutExample"/>
      </w:pPr>
      <w:r>
        <w:rPr>
          <w:bCs/>
          <w:b/>
        </w:rPr>
        <w:t xml:space="preserve">Worked example — When do more replicas stop helping?</w:t>
      </w:r>
      <w:r>
        <w:t xml:space="preserve"> </w:t>
      </w:r>
      <w:r>
        <w:t xml:space="preserve">Assume one node handles</w:t>
      </w:r>
      <w:r>
        <w:t xml:space="preserve"> </w:t>
      </w:r>
      <m:oMath>
        <m:r>
          <m:t>c</m:t>
        </m:r>
        <m:r>
          <m:rPr>
            <m:sty m:val="p"/>
          </m:rPr>
          <m:t>=</m:t>
        </m:r>
        <m:r>
          <m:t>20</m:t>
        </m:r>
        <m:r>
          <m:rPr>
            <m:sty m:val="p"/>
          </m:rPr>
          <m:t>,</m:t>
        </m:r>
        <m:r>
          <m:t>000</m:t>
        </m:r>
      </m:oMath>
      <w:r>
        <w:t xml:space="preserve"> </w:t>
      </w:r>
      <w:r>
        <w:t xml:space="preserve">read-equivalent operations per second, and you run it at</w:t>
      </w:r>
      <w:r>
        <w:t xml:space="preserve"> </w:t>
      </w:r>
      <m:oMath>
        <m:r>
          <m:t>u</m:t>
        </m:r>
        <m:r>
          <m:rPr>
            <m:sty m:val="p"/>
          </m:rPr>
          <m:t>=</m:t>
        </m:r>
        <m:r>
          <m:t>0.6</m:t>
        </m:r>
      </m:oMath>
      <w:r>
        <w:t xml:space="preserve">, so 12,000 ops/s of budget. Applying one write costs about as much as 3 reads.</w:t>
      </w:r>
    </w:p>
    <w:p>
      <w:pPr>
        <w:numPr>
          <w:ilvl w:val="0"/>
          <w:numId w:val="1467"/>
        </w:numPr>
        <w:pStyle w:val="Compact"/>
      </w:pPr>
      <w:r>
        <w:t xml:space="preserve">At 1,000 writes/s,</w:t>
      </w:r>
      <w:r>
        <w:t xml:space="preserve"> </w:t>
      </w:r>
      <m:oMath>
        <m:r>
          <m:t>w</m:t>
        </m:r>
        <m:r>
          <m:rPr>
            <m:sty m:val="p"/>
          </m:rPr>
          <m:t>=</m:t>
        </m:r>
        <m:r>
          <m:t>3</m:t>
        </m:r>
        <m:r>
          <m:rPr>
            <m:sty m:val="p"/>
          </m:rPr>
          <m:t>,</m:t>
        </m:r>
        <m:r>
          <m:t>000</m:t>
        </m:r>
      </m:oMath>
      <w:r>
        <w:t xml:space="preserve">. Each replica has</w:t>
      </w:r>
      <w:r>
        <w:t xml:space="preserve"> </w:t>
      </w:r>
      <m:oMath>
        <m:r>
          <m:t>12</m:t>
        </m:r>
        <m:r>
          <m:rPr>
            <m:sty m:val="p"/>
          </m:rPr>
          <m:t>,</m:t>
        </m:r>
        <m:r>
          <m:t>000</m:t>
        </m:r>
        <m:r>
          <m:rPr>
            <m:sty m:val="p"/>
          </m:rPr>
          <m:t>−</m:t>
        </m:r>
        <m:r>
          <m:t>3</m:t>
        </m:r>
        <m:r>
          <m:rPr>
            <m:sty m:val="p"/>
          </m:rPr>
          <m:t>,</m:t>
        </m:r>
        <m:r>
          <m:t>000</m:t>
        </m:r>
        <m:r>
          <m:rPr>
            <m:sty m:val="p"/>
          </m:rPr>
          <m:t>=</m:t>
        </m:r>
        <m:r>
          <m:t>9</m:t>
        </m:r>
        <m:r>
          <m:rPr>
            <m:sty m:val="p"/>
          </m:rPr>
          <m:t>,</m:t>
        </m:r>
        <m:r>
          <m:t>000</m:t>
        </m:r>
      </m:oMath>
      <w:r>
        <w:t xml:space="preserve"> </w:t>
      </w:r>
      <w:r>
        <w:t xml:space="preserve">ops/s for reads. Four replicas give</w:t>
      </w:r>
      <w:r>
        <w:t xml:space="preserve"> </w:t>
      </w:r>
      <m:oMath>
        <m:sSub>
          <m:e>
            <m:r>
              <m:t>R</m:t>
            </m:r>
          </m:e>
          <m:sub>
            <m:r>
              <m:rPr>
                <m:sty m:val="p"/>
              </m:rPr>
              <m:t>max</m:t>
            </m:r>
          </m:sub>
        </m:sSub>
        <m:r>
          <m:rPr>
            <m:sty m:val="p"/>
          </m:rPr>
          <m:t>=</m:t>
        </m:r>
        <m:r>
          <m:t>4</m:t>
        </m:r>
        <m:r>
          <m:rPr>
            <m:sty m:val="p"/>
          </m:rPr>
          <m:t>×</m:t>
        </m:r>
        <m:r>
          <m:t>9</m:t>
        </m:r>
        <m:r>
          <m:rPr>
            <m:sty m:val="p"/>
          </m:rPr>
          <m:t>,</m:t>
        </m:r>
        <m:r>
          <m:t>000</m:t>
        </m:r>
        <m:r>
          <m:rPr>
            <m:sty m:val="p"/>
          </m:rPr>
          <m:t>=</m:t>
        </m:r>
        <m:r>
          <m:t>36</m:t>
        </m:r>
        <m:r>
          <m:rPr>
            <m:sty m:val="p"/>
          </m:rPr>
          <m:t>,</m:t>
        </m:r>
        <m:r>
          <m:t>000</m:t>
        </m:r>
      </m:oMath>
      <w:r>
        <w:t xml:space="preserve"> </w:t>
      </w:r>
      <w:r>
        <w:t xml:space="preserve">reads/s.</w:t>
      </w:r>
    </w:p>
    <w:p>
      <w:pPr>
        <w:numPr>
          <w:ilvl w:val="0"/>
          <w:numId w:val="1467"/>
        </w:numPr>
        <w:pStyle w:val="Compact"/>
      </w:pPr>
      <w:r>
        <w:t xml:space="preserve">At 3,000 writes/s,</w:t>
      </w:r>
      <w:r>
        <w:t xml:space="preserve"> </w:t>
      </w:r>
      <m:oMath>
        <m:r>
          <m:t>w</m:t>
        </m:r>
        <m:r>
          <m:rPr>
            <m:sty m:val="p"/>
          </m:rPr>
          <m:t>=</m:t>
        </m:r>
        <m:r>
          <m:t>9</m:t>
        </m:r>
        <m:r>
          <m:rPr>
            <m:sty m:val="p"/>
          </m:rPr>
          <m:t>,</m:t>
        </m:r>
        <m:r>
          <m:t>000</m:t>
        </m:r>
      </m:oMath>
      <w:r>
        <w:t xml:space="preserve">. Each replica has 3,000 ops/s left. Four replicas give only 12,000 reads/s. Even 12 replicas give 36,000.</w:t>
      </w:r>
    </w:p>
    <w:p>
      <w:pPr>
        <w:numPr>
          <w:ilvl w:val="0"/>
          <w:numId w:val="1467"/>
        </w:numPr>
        <w:pStyle w:val="Compact"/>
      </w:pPr>
      <w:r>
        <w:t xml:space="preserve">At 4,000 writes/s,</w:t>
      </w:r>
      <w:r>
        <w:t xml:space="preserve"> </w:t>
      </w:r>
      <m:oMath>
        <m:r>
          <m:t>w</m:t>
        </m:r>
        <m:r>
          <m:rPr>
            <m:sty m:val="p"/>
          </m:rPr>
          <m:t>=</m:t>
        </m:r>
        <m:r>
          <m:t>12</m:t>
        </m:r>
        <m:r>
          <m:rPr>
            <m:sty m:val="p"/>
          </m:rPr>
          <m:t>,</m:t>
        </m:r>
        <m:r>
          <m:t>000</m:t>
        </m:r>
        <m:r>
          <m:rPr>
            <m:sty m:val="p"/>
          </m:rPr>
          <m:t>=</m:t>
        </m:r>
        <m:r>
          <m:t>u</m:t>
        </m:r>
        <m:r>
          <m:rPr>
            <m:sty m:val="p"/>
          </m:rPr>
          <m:t>⋅</m:t>
        </m:r>
        <m:r>
          <m:t>c</m:t>
        </m:r>
      </m:oMath>
      <w:r>
        <w:t xml:space="preserve">. Replicas have no read budget left at all, and they can barely keep up with the write stream.</w:t>
      </w:r>
    </w:p>
    <w:p>
      <w:pPr>
        <w:pStyle w:val="CalloutExample"/>
      </w:pPr>
      <w:r>
        <w:rPr>
          <w:bCs/>
          <w:b/>
        </w:rPr>
        <w:t xml:space="preserve">Interpretation.</w:t>
      </w:r>
      <w:r>
        <w:t xml:space="preserve"> </w:t>
      </w:r>
      <w:r>
        <w:t xml:space="preserve">Replicas multiply</w:t>
      </w:r>
      <w:r>
        <w:t xml:space="preserve"> </w:t>
      </w:r>
      <w:r>
        <w:rPr>
          <w:iCs/>
          <w:i/>
        </w:rPr>
        <w:t xml:space="preserve">spare</w:t>
      </w:r>
      <w:r>
        <w:t xml:space="preserve"> </w:t>
      </w:r>
      <w:r>
        <w:t xml:space="preserve">capacity, and the write stream eats into every node’s spare capacity equally.</w:t>
      </w:r>
      <w:r>
        <w:t xml:space="preserve"> </w:t>
      </w:r>
      <w:r>
        <w:rPr>
          <w:bCs/>
          <w:b/>
        </w:rPr>
        <w:t xml:space="preserve">Engineering implication.</w:t>
      </w:r>
      <w:r>
        <w:t xml:space="preserve"> </w:t>
      </w:r>
      <w:r>
        <w:t xml:space="preserve">Read replicas are the right first move when writes are a small fraction of load. Once applying writes uses about half a node’s budget, partition (§14.6).</w:t>
      </w:r>
    </w:p>
    <w:bookmarkEnd w:id="1560"/>
    <w:bookmarkStart w:id="1561" w:name="real-world-industry-applications-28"/>
    <w:p>
      <w:pPr>
        <w:pStyle w:val="Heading4"/>
      </w:pPr>
      <w:r>
        <w:t xml:space="preserve">Real-world industry applications</w:t>
      </w:r>
    </w:p>
    <w:p>
      <w:pPr>
        <w:pStyle w:val="CalloutIndustry"/>
      </w:pPr>
      <w:r>
        <w:rPr>
          <w:bCs/>
          <w:b/>
        </w:rPr>
        <w:t xml:space="preserve">INDUSTRY EXAMPLE</w:t>
      </w:r>
    </w:p>
    <w:p>
      <w:pPr>
        <w:pStyle w:val="CalloutIndustry"/>
      </w:pPr>
      <w:r>
        <w:rPr>
          <w:bCs/>
          <w:b/>
        </w:rPr>
        <w:t xml:space="preserve">PostgreSQL and MySQL.</w:t>
      </w:r>
      <w:r>
        <w:t xml:space="preserve"> </w:t>
      </w:r>
      <w:r>
        <w:t xml:space="preserve">PostgreSQL streams WAL to</w:t>
      </w:r>
      <w:r>
        <w:t xml:space="preserve"> </w:t>
      </w:r>
      <w:r>
        <w:rPr>
          <w:bCs/>
          <w:b/>
        </w:rPr>
        <w:t xml:space="preserve">hot standby</w:t>
      </w:r>
      <w:r>
        <w:t xml:space="preserve"> </w:t>
      </w:r>
      <w:r>
        <w:t xml:space="preserve">servers, which serve read-only queries while applying changes. MySQL replicas pull binlog events and apply them with one or more parallel applier threads. Managed services such as Amazon RDS expose the same mechanism as</w:t>
      </w:r>
      <w:r>
        <w:t xml:space="preserve"> </w:t>
      </w:r>
      <w:r>
        <w:t xml:space="preserve">“</w:t>
      </w:r>
      <w:r>
        <w:t xml:space="preserve">read replicas</w:t>
      </w:r>
      <w:r>
        <w:t xml:space="preserve">”</w:t>
      </w:r>
      <w:r>
        <w:t xml:space="preserve">.</w:t>
      </w:r>
      <w:r>
        <w:t xml:space="preserve"> </w:t>
      </w:r>
      <w:r>
        <w:rPr>
          <w:iCs/>
          <w:i/>
        </w:rPr>
        <w:t xml:space="preserve">Evidence: Primary</w:t>
      </w:r>
      <w:r>
        <w:t xml:space="preserve"> </w:t>
      </w:r>
      <w:r>
        <w:t xml:space="preserve">— [PostgreSQL Docs: High Availability], [MySQL Docs: Replication]</w:t>
      </w:r>
    </w:p>
    <w:bookmarkEnd w:id="1561"/>
    <w:bookmarkStart w:id="1562" w:name="advantages-and-disadvantages-14"/>
    <w:p>
      <w:pPr>
        <w:pStyle w:val="Heading4"/>
      </w:pPr>
      <w:r>
        <w:t xml:space="preserve">Advantages and disadvantages</w:t>
      </w:r>
    </w:p>
    <w:p>
      <w:pPr>
        <w:pStyle w:val="FirstParagraph"/>
      </w:pPr>
      <w:r>
        <w:t xml:space="preserve">Replicas are simple to add, give a warm standby and can isolate heavy analytical queries. But they add no write or storage capacity, each one is a full copy, reads may be stale, and asynchronous failover can lose the last few transactions (§14.4).</w:t>
      </w:r>
    </w:p>
    <w:bookmarkEnd w:id="1562"/>
    <w:bookmarkStart w:id="1563" w:name="failure-scenarios-35"/>
    <w:p>
      <w:pPr>
        <w:pStyle w:val="Heading4"/>
      </w:pPr>
      <w:r>
        <w:t xml:space="preserve">Failure scenarios</w:t>
      </w:r>
    </w:p>
    <w:p>
      <w:pPr>
        <w:pStyle w:val="FirstParagraph"/>
      </w:pPr>
      <w:r>
        <w:rPr>
          <w:bCs/>
          <w:b/>
        </w:rPr>
        <w:t xml:space="preserve">Table 14.1 — Failure scenarios for read replicas.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Users see stale data</w:t>
            </w:r>
          </w:p>
        </w:tc>
        <w:tc>
          <w:tcPr/>
          <w:p>
            <w:pPr>
              <w:pStyle w:val="Compact"/>
              <w:jc w:val="left"/>
            </w:pPr>
            <w:r>
              <w:t xml:space="preserve">Replica applies changes seconds behind</w:t>
            </w:r>
          </w:p>
        </w:tc>
        <w:tc>
          <w:tcPr/>
          <w:p>
            <w:pPr>
              <w:pStyle w:val="Compact"/>
              <w:jc w:val="left"/>
            </w:pPr>
            <w:r>
              <w:t xml:space="preserve">Lag metric; user reports</w:t>
            </w:r>
            <w:r>
              <w:t xml:space="preserve"> </w:t>
            </w:r>
            <w:r>
              <w:t xml:space="preserve">“</w:t>
            </w:r>
            <w:r>
              <w:t xml:space="preserve">my edit vanished</w:t>
            </w:r>
            <w:r>
              <w:t xml:space="preserve">”</w:t>
            </w:r>
          </w:p>
        </w:tc>
        <w:tc>
          <w:tcPr/>
          <w:p>
            <w:pPr>
              <w:pStyle w:val="Compact"/>
              <w:jc w:val="left"/>
            </w:pPr>
            <w:r>
              <w:t xml:space="preserve">Route that user’s reads to primary</w:t>
            </w:r>
          </w:p>
        </w:tc>
        <w:tc>
          <w:tcPr/>
          <w:p>
            <w:pPr>
              <w:pStyle w:val="Compact"/>
              <w:jc w:val="left"/>
            </w:pPr>
            <w:r>
              <w:t xml:space="preserve">Read-your-writes routing (§14.4.4)</w:t>
            </w:r>
          </w:p>
        </w:tc>
      </w:tr>
      <w:tr>
        <w:tc>
          <w:tcPr/>
          <w:p>
            <w:pPr>
              <w:pStyle w:val="Compact"/>
              <w:jc w:val="left"/>
            </w:pPr>
            <w:r>
              <w:t xml:space="preserve">Replica falls ever further behind</w:t>
            </w:r>
          </w:p>
        </w:tc>
        <w:tc>
          <w:tcPr/>
          <w:p>
            <w:pPr>
              <w:pStyle w:val="Compact"/>
              <w:jc w:val="left"/>
            </w:pPr>
            <w:r>
              <w:t xml:space="preserve">Single-threaded apply, or a long query blocks apply</w:t>
            </w:r>
          </w:p>
        </w:tc>
        <w:tc>
          <w:tcPr/>
          <w:p>
            <w:pPr>
              <w:pStyle w:val="Compact"/>
              <w:jc w:val="left"/>
            </w:pPr>
            <w:r>
              <w:t xml:space="preserve">Lag grows steadily</w:t>
            </w:r>
          </w:p>
        </w:tc>
        <w:tc>
          <w:tcPr/>
          <w:p>
            <w:pPr>
              <w:pStyle w:val="Compact"/>
              <w:jc w:val="left"/>
            </w:pPr>
            <w:r>
              <w:t xml:space="preserve">Kill blocking queries; enable parallel apply</w:t>
            </w:r>
          </w:p>
        </w:tc>
        <w:tc>
          <w:tcPr/>
          <w:p>
            <w:pPr>
              <w:pStyle w:val="Compact"/>
              <w:jc w:val="left"/>
            </w:pPr>
            <w:r>
              <w:t xml:space="preserve">Parallel apply; cap query time on replicas</w:t>
            </w:r>
          </w:p>
        </w:tc>
      </w:tr>
      <w:tr>
        <w:tc>
          <w:tcPr/>
          <w:p>
            <w:pPr>
              <w:pStyle w:val="Compact"/>
              <w:jc w:val="left"/>
            </w:pPr>
            <w:r>
              <w:t xml:space="preserve">Data lost on failover</w:t>
            </w:r>
          </w:p>
        </w:tc>
        <w:tc>
          <w:tcPr/>
          <w:p>
            <w:pPr>
              <w:pStyle w:val="Compact"/>
              <w:jc w:val="left"/>
            </w:pPr>
            <w:r>
              <w:t xml:space="preserve">Async replica promoted before receiving last commits</w:t>
            </w:r>
          </w:p>
        </w:tc>
        <w:tc>
          <w:tcPr/>
          <w:p>
            <w:pPr>
              <w:pStyle w:val="Compact"/>
              <w:jc w:val="left"/>
            </w:pPr>
            <w:r>
              <w:t xml:space="preserve">Gap in GTIDs or LSNs after promotion</w:t>
            </w:r>
          </w:p>
        </w:tc>
        <w:tc>
          <w:tcPr/>
          <w:p>
            <w:pPr>
              <w:pStyle w:val="Compact"/>
              <w:jc w:val="left"/>
            </w:pPr>
            <w:r>
              <w:t xml:space="preserve">Reconcile from old primary if it is reachable</w:t>
            </w:r>
          </w:p>
        </w:tc>
        <w:tc>
          <w:tcPr/>
          <w:p>
            <w:pPr>
              <w:pStyle w:val="Compact"/>
              <w:jc w:val="left"/>
            </w:pPr>
            <w:r>
              <w:t xml:space="preserve">Semi-sync or sync replica as failover target</w:t>
            </w:r>
          </w:p>
        </w:tc>
      </w:tr>
    </w:tbl>
    <w:bookmarkEnd w:id="1563"/>
    <w:bookmarkStart w:id="1564" w:name="common-misconceptions-30"/>
    <w:p>
      <w:pPr>
        <w:pStyle w:val="Heading4"/>
      </w:pPr>
      <w:r>
        <w:t xml:space="preserve">Common misconceptions</w:t>
      </w:r>
    </w:p>
    <w:p>
      <w:pPr>
        <w:pStyle w:val="CalloutMistake"/>
      </w:pPr>
      <w:r>
        <w:rPr>
          <w:bCs/>
          <w:b/>
        </w:rPr>
        <w:t xml:space="preserve">COMMON MISTAKE</w:t>
      </w:r>
    </w:p>
    <w:p>
      <w:pPr>
        <w:pStyle w:val="CalloutMistake"/>
      </w:pPr>
      <w:r>
        <w:rPr>
          <w:bCs/>
          <w:b/>
        </w:rPr>
        <w:t xml:space="preserve">Mistake —</w:t>
      </w:r>
      <w:r>
        <w:rPr>
          <w:bCs/>
          <w:b/>
        </w:rPr>
        <w:t xml:space="preserve"> </w:t>
      </w:r>
      <w:r>
        <w:rPr>
          <w:bCs/>
          <w:b/>
        </w:rPr>
        <w:t xml:space="preserve">“</w:t>
      </w:r>
      <w:r>
        <w:rPr>
          <w:bCs/>
          <w:b/>
        </w:rPr>
        <w:t xml:space="preserve">Add replicas until the database is fast enough.</w:t>
      </w:r>
      <w:r>
        <w:rPr>
          <w:bCs/>
          <w:b/>
        </w:rPr>
        <w:t xml:space="preserve">”</w:t>
      </w:r>
      <w:r>
        <w:t xml:space="preserve"> </w:t>
      </w:r>
      <w:r>
        <w:t xml:space="preserve">Replicas help only reads that tolerate staleness. If the primary is busy with writes or must-be-fresh reads, more replicas change nothing.</w:t>
      </w:r>
    </w:p>
    <w:bookmarkEnd w:id="1564"/>
    <w:bookmarkEnd w:id="1565"/>
    <w:bookmarkEnd w:id="1566"/>
    <w:bookmarkStart w:id="1584" w:name="X02f93d5b66f3e90bfe5514bdefb4ce71a532517"/>
    <w:p>
      <w:pPr>
        <w:pStyle w:val="Heading2"/>
      </w:pPr>
      <w:r>
        <w:t xml:space="preserve">14.4 Synchronous, asynchronous and semi-synchronous replication</w:t>
      </w:r>
    </w:p>
    <w:bookmarkStart w:id="1574" w:name="three-modes-of-acknowledgment"/>
    <w:p>
      <w:pPr>
        <w:pStyle w:val="Heading3"/>
      </w:pPr>
      <w:r>
        <w:t xml:space="preserve">14.4.1 Three modes of acknowledgment</w:t>
      </w:r>
    </w:p>
    <w:p>
      <w:pPr>
        <w:pStyle w:val="CalloutDefinition"/>
      </w:pPr>
      <w:r>
        <w:rPr>
          <w:bCs/>
          <w:b/>
        </w:rPr>
        <w:t xml:space="preserve">DEFINITION</w:t>
      </w:r>
    </w:p>
    <w:p>
      <w:pPr>
        <w:pStyle w:val="CalloutDefinition"/>
      </w:pPr>
      <w:r>
        <w:rPr>
          <w:bCs/>
          <w:b/>
        </w:rPr>
        <w:t xml:space="preserve">Definition — Replication modes.</w:t>
      </w:r>
      <w:r>
        <w:t xml:space="preserve"> </w:t>
      </w:r>
      <w:r>
        <w:t xml:space="preserve">In</w:t>
      </w:r>
      <w:r>
        <w:t xml:space="preserve"> </w:t>
      </w:r>
      <w:r>
        <w:rPr>
          <w:bCs/>
          <w:b/>
        </w:rPr>
        <w:t xml:space="preserve">synchronous replication</w:t>
      </w:r>
      <w:r>
        <w:t xml:space="preserve">, the primary reports a commit only after at least one designated replica has durably received (or applied) it. In</w:t>
      </w:r>
      <w:r>
        <w:t xml:space="preserve"> </w:t>
      </w:r>
      <w:r>
        <w:rPr>
          <w:bCs/>
          <w:b/>
        </w:rPr>
        <w:t xml:space="preserve">asynchronous replication</w:t>
      </w:r>
      <w:r>
        <w:t xml:space="preserve">, it reports success after its local commit and ships the change afterwards.</w:t>
      </w:r>
      <w:r>
        <w:t xml:space="preserve"> </w:t>
      </w:r>
      <w:r>
        <w:rPr>
          <w:bCs/>
          <w:b/>
        </w:rPr>
        <w:t xml:space="preserve">Semi-synchronous replication</w:t>
      </w:r>
      <w:r>
        <w:t xml:space="preserve">, MySQL’s middle ground, waits until a replica has</w:t>
      </w:r>
      <w:r>
        <w:t xml:space="preserve"> </w:t>
      </w:r>
      <w:r>
        <w:rPr>
          <w:iCs/>
          <w:i/>
        </w:rPr>
        <w:t xml:space="preserve">received and logged</w:t>
      </w:r>
      <w:r>
        <w:t xml:space="preserve"> </w:t>
      </w:r>
      <w:r>
        <w:t xml:space="preserve">the change and falls back to asynchronous mode after a timeout.</w:t>
      </w:r>
    </w:p>
    <w:bookmarkStart w:id="1567" w:name="first-principles-explanation-87"/>
    <w:p>
      <w:pPr>
        <w:pStyle w:val="Heading4"/>
      </w:pPr>
      <w:r>
        <w:t xml:space="preserve">First-principles explanation</w:t>
      </w:r>
    </w:p>
    <w:p>
      <w:pPr>
        <w:pStyle w:val="FirstParagraph"/>
      </w:pPr>
      <w:r>
        <w:t xml:space="preserve">Imagine posting an important letter. Asynchronous is dropping it in a mailbox and walking away: fast, but if the post office burns down tonight the letter is lost. Synchronous is waiting for a signed receipt from the recipient: slow, and you are stuck if the courier is. Semi-synchronous is waiting only until the courier confirms the letter is in the van, and giving up after ten seconds. The trade-off is</w:t>
      </w:r>
      <w:r>
        <w:t xml:space="preserve"> </w:t>
      </w:r>
      <w:r>
        <w:rPr>
          <w:bCs/>
          <w:b/>
        </w:rPr>
        <w:t xml:space="preserve">durability on failover versus commit latency and availability</w:t>
      </w:r>
      <w:r>
        <w:t xml:space="preserve">.</w:t>
      </w:r>
    </w:p>
    <w:bookmarkEnd w:id="1567"/>
    <w:bookmarkStart w:id="1571" w:name="how-it-works-internally-55"/>
    <w:p>
      <w:pPr>
        <w:pStyle w:val="Heading4"/>
      </w:pPr>
      <w:r>
        <w:t xml:space="preserve">How it works internally</w:t>
      </w:r>
    </w:p>
    <w:p>
      <w:pPr>
        <w:pStyle w:val="FirstParagraph"/>
      </w:pPr>
      <w:r>
        <w:rPr>
          <w:bCs/>
          <w:b/>
        </w:rPr>
        <w:t xml:space="preserve">Figure 14.2 — Commit paths under asynchronous, semi-synchronous and synchronous replication.</w:t>
      </w:r>
    </w:p>
    <w:p>
      <w:pPr>
        <w:pStyle w:val="BodyText"/>
      </w:pPr>
      <w:r>
        <w:drawing>
          <wp:inline>
            <wp:extent cx="5334000" cy="9922808"/>
            <wp:effectExtent b="0" l="0" r="0" t="0"/>
            <wp:docPr descr="" title="" id="1569" name="Picture"/>
            <a:graphic>
              <a:graphicData uri="http://schemas.openxmlformats.org/drawingml/2006/picture">
                <pic:pic>
                  <pic:nvPicPr>
                    <pic:cNvPr descr="/home/user/System-Design/build/.cache/diagrams/d00762b46cf1.png" id="1570" name="Picture"/>
                    <pic:cNvPicPr>
                      <a:picLocks noChangeArrowheads="1" noChangeAspect="1"/>
                    </pic:cNvPicPr>
                  </pic:nvPicPr>
                  <pic:blipFill>
                    <a:blip r:embed="rId1568"/>
                    <a:stretch>
                      <a:fillRect/>
                    </a:stretch>
                  </pic:blipFill>
                  <pic:spPr bwMode="auto">
                    <a:xfrm>
                      <a:off x="0" y="0"/>
                      <a:ext cx="5334000" cy="9922808"/>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Solid arrows are steps the client waits for. In the asynchronous path, shipping (open arrowhead) happens after the reply, so a primary crash then loses the transaction. MySQL’s lossless semi-sync (</w:t>
      </w:r>
      <w:r>
        <w:rPr>
          <w:rStyle w:val="VerbatimChar"/>
        </w:rPr>
        <w:t xml:space="preserve">AFTER_SYNC</w:t>
      </w:r>
      <w:r>
        <w:t xml:space="preserve">) waits for a replica to write its</w:t>
      </w:r>
      <w:r>
        <w:t xml:space="preserve"> </w:t>
      </w:r>
      <w:r>
        <w:rPr>
          <w:bCs/>
          <w:b/>
        </w:rPr>
        <w:t xml:space="preserve">relay log</w:t>
      </w:r>
      <w:r>
        <w:t xml:space="preserve"> </w:t>
      </w:r>
      <w:r>
        <w:t xml:space="preserve">before the engine commit, so no client sees a transaction no replica has. PostgreSQL’s</w:t>
      </w:r>
      <w:r>
        <w:t xml:space="preserve"> </w:t>
      </w:r>
      <w:r>
        <w:rPr>
          <w:rStyle w:val="VerbatimChar"/>
        </w:rPr>
        <w:t xml:space="preserve">remote_apply</w:t>
      </w:r>
      <w:r>
        <w:t xml:space="preserve"> </w:t>
      </w:r>
      <w:r>
        <w:t xml:space="preserve">waits until the standby has</w:t>
      </w:r>
      <w:r>
        <w:t xml:space="preserve"> </w:t>
      </w:r>
      <w:r>
        <w:rPr>
          <w:iCs/>
          <w:i/>
        </w:rPr>
        <w:t xml:space="preserve">applied</w:t>
      </w:r>
      <w:r>
        <w:t xml:space="preserve"> </w:t>
      </w:r>
      <w:r>
        <w:t xml:space="preserve">the change. Storage boundaries are the two logs. The failure point is the replica: a slow synchronous replica stalls every commit, which quorum commit over several replicas mitigates.</w:t>
      </w:r>
    </w:p>
    <w:p>
      <w:pPr>
        <w:pStyle w:val="BodyText"/>
      </w:pPr>
      <w:r>
        <w:t xml:space="preserve">The two products expose different knobs:</w:t>
      </w:r>
    </w:p>
    <w:p>
      <w:pPr>
        <w:numPr>
          <w:ilvl w:val="0"/>
          <w:numId w:val="1468"/>
        </w:numPr>
        <w:pStyle w:val="Compact"/>
      </w:pPr>
      <w:r>
        <w:rPr>
          <w:bCs/>
          <w:b/>
        </w:rPr>
        <w:t xml:space="preserve">PostgreSQL.</w:t>
      </w:r>
      <w:r>
        <w:t xml:space="preserve"> </w:t>
      </w:r>
      <w:r>
        <w:rPr>
          <w:rStyle w:val="VerbatimChar"/>
        </w:rPr>
        <w:t xml:space="preserve">synchronous_standby_names</w:t>
      </w:r>
      <w:r>
        <w:t xml:space="preserve"> </w:t>
      </w:r>
      <w:r>
        <w:t xml:space="preserve">chooses which standbys count:</w:t>
      </w:r>
      <w:r>
        <w:t xml:space="preserve"> </w:t>
      </w:r>
      <w:r>
        <w:rPr>
          <w:rStyle w:val="VerbatimChar"/>
        </w:rPr>
        <w:t xml:space="preserve">FIRST 1 (a, b)</w:t>
      </w:r>
      <w:r>
        <w:t xml:space="preserve"> </w:t>
      </w:r>
      <w:r>
        <w:t xml:space="preserve">by priority or</w:t>
      </w:r>
      <w:r>
        <w:t xml:space="preserve"> </w:t>
      </w:r>
      <w:r>
        <w:rPr>
          <w:rStyle w:val="VerbatimChar"/>
        </w:rPr>
        <w:t xml:space="preserve">ANY 2 (a, b, c)</w:t>
      </w:r>
      <w:r>
        <w:t xml:space="preserve"> </w:t>
      </w:r>
      <w:r>
        <w:t xml:space="preserve">as a quorum.</w:t>
      </w:r>
      <w:r>
        <w:t xml:space="preserve"> </w:t>
      </w:r>
      <w:r>
        <w:rPr>
          <w:rStyle w:val="VerbatimChar"/>
        </w:rPr>
        <w:t xml:space="preserve">synchronous_commit</w:t>
      </w:r>
      <w:r>
        <w:t xml:space="preserve"> </w:t>
      </w:r>
      <w:r>
        <w:t xml:space="preserve">sets how far to wait:</w:t>
      </w:r>
      <w:r>
        <w:t xml:space="preserve"> </w:t>
      </w:r>
      <w:r>
        <w:rPr>
          <w:rStyle w:val="VerbatimChar"/>
        </w:rPr>
        <w:t xml:space="preserve">off</w:t>
      </w:r>
      <w:r>
        <w:t xml:space="preserve">,</w:t>
      </w:r>
      <w:r>
        <w:t xml:space="preserve"> </w:t>
      </w:r>
      <w:r>
        <w:rPr>
          <w:rStyle w:val="VerbatimChar"/>
        </w:rPr>
        <w:t xml:space="preserve">local</w:t>
      </w:r>
      <w:r>
        <w:t xml:space="preserve">,</w:t>
      </w:r>
      <w:r>
        <w:t xml:space="preserve"> </w:t>
      </w:r>
      <w:r>
        <w:rPr>
          <w:rStyle w:val="VerbatimChar"/>
        </w:rPr>
        <w:t xml:space="preserve">remote_write</w:t>
      </w:r>
      <w:r>
        <w:t xml:space="preserve">,</w:t>
      </w:r>
      <w:r>
        <w:t xml:space="preserve"> </w:t>
      </w:r>
      <w:r>
        <w:rPr>
          <w:rStyle w:val="VerbatimChar"/>
        </w:rPr>
        <w:t xml:space="preserve">on</w:t>
      </w:r>
      <w:r>
        <w:t xml:space="preserve"> </w:t>
      </w:r>
      <w:r>
        <w:t xml:space="preserve">(standby flushed) or</w:t>
      </w:r>
      <w:r>
        <w:t xml:space="preserve"> </w:t>
      </w:r>
      <w:r>
        <w:rPr>
          <w:rStyle w:val="VerbatimChar"/>
        </w:rPr>
        <w:t xml:space="preserve">remote_apply</w:t>
      </w:r>
      <w:r>
        <w:t xml:space="preserve"> </w:t>
      </w:r>
      <w:r>
        <w:t xml:space="preserve">(standby applied) [PostgreSQL Docs: synchronous_commit].</w:t>
      </w:r>
    </w:p>
    <w:p>
      <w:pPr>
        <w:numPr>
          <w:ilvl w:val="0"/>
          <w:numId w:val="1468"/>
        </w:numPr>
        <w:pStyle w:val="Compact"/>
      </w:pPr>
      <w:r>
        <w:rPr>
          <w:bCs/>
          <w:b/>
        </w:rPr>
        <w:t xml:space="preserve">MySQL.</w:t>
      </w:r>
      <w:r>
        <w:t xml:space="preserve"> </w:t>
      </w:r>
      <w:r>
        <w:t xml:space="preserve">Semi-synchronous replication has a wait point (</w:t>
      </w:r>
      <w:r>
        <w:rPr>
          <w:rStyle w:val="VerbatimChar"/>
        </w:rPr>
        <w:t xml:space="preserve">AFTER_SYNC</w:t>
      </w:r>
      <w:r>
        <w:t xml:space="preserve">, lossless and the default since 5.7, or</w:t>
      </w:r>
      <w:r>
        <w:t xml:space="preserve"> </w:t>
      </w:r>
      <w:r>
        <w:rPr>
          <w:rStyle w:val="VerbatimChar"/>
        </w:rPr>
        <w:t xml:space="preserve">AFTER_COMMIT</w:t>
      </w:r>
      <w:r>
        <w:t xml:space="preserve">), a number of replicas that must acknowledge, and a timeout after which the primary silently reverts to asynchronous mode [MySQL Docs: Semisynchronous Replication]. Semi-sync protects you only while replicas are healthy.</w:t>
      </w:r>
    </w:p>
    <w:bookmarkEnd w:id="1571"/>
    <w:bookmarkStart w:id="1572" w:name="mathematical-foundations-26"/>
    <w:p>
      <w:pPr>
        <w:pStyle w:val="Heading4"/>
      </w:pPr>
      <w:r>
        <w:t xml:space="preserve">Mathematical foundations</w:t>
      </w:r>
    </w:p>
    <w:p>
      <w:pPr>
        <w:pStyle w:val="CalloutFormula"/>
      </w:pPr>
      <w:r>
        <w:rPr>
          <w:bCs/>
          <w:b/>
        </w:rPr>
        <w:t xml:space="preserve">FORMULA</w:t>
      </w:r>
    </w:p>
    <w:p>
      <w:pPr>
        <w:pStyle w:val="CalloutFormula"/>
      </w:pPr>
      <w:r>
        <w:rPr>
          <w:bCs/>
          <w:b/>
        </w:rPr>
        <w:t xml:space="preserve">Commit latency with</w:t>
      </w:r>
      <w:r>
        <w:rPr>
          <w:bCs/>
          <w:b/>
        </w:rPr>
        <w:t xml:space="preserve"> </w:t>
      </w:r>
      <m:oMath>
        <m:r>
          <m:t>k</m:t>
        </m:r>
      </m:oMath>
      <w:r>
        <w:rPr>
          <w:bCs/>
          <w:b/>
        </w:rPr>
        <w:t xml:space="preserve"> </w:t>
      </w:r>
      <w:r>
        <w:rPr>
          <w:bCs/>
          <w:b/>
        </w:rPr>
        <w:t xml:space="preserve">acknowledgments</w:t>
      </w:r>
    </w:p>
    <w:p>
      <w:pPr>
        <w:pStyle w:val="CalloutFormula"/>
      </w:pPr>
      <m:oMathPara>
        <m:oMathParaPr>
          <m:jc m:val="center"/>
        </m:oMathParaPr>
        <m:oMath>
          <m:sSub>
            <m:e>
              <m:r>
                <m:t>T</m:t>
              </m:r>
            </m:e>
            <m:sub>
              <m:r>
                <m:rPr>
                  <m:nor/>
                  <m:sty m:val="p"/>
                </m:rPr>
                <m:t>commit</m:t>
              </m:r>
            </m:sub>
          </m:sSub>
          <m:r>
            <m:rPr>
              <m:sty m:val="p"/>
            </m:rPr>
            <m:t>≈</m:t>
          </m:r>
          <m:sSub>
            <m:e>
              <m:r>
                <m:t>T</m:t>
              </m:r>
            </m:e>
            <m:sub>
              <m:r>
                <m:rPr>
                  <m:nor/>
                  <m:sty m:val="p"/>
                </m:rPr>
                <m:t>local</m:t>
              </m:r>
            </m:sub>
          </m:sSub>
          <m:r>
            <m:rPr>
              <m:sty m:val="p"/>
            </m:rPr>
            <m:t>+</m:t>
          </m:r>
          <m:sSub>
            <m:e>
              <m:r>
                <m:rPr>
                  <m:nor/>
                  <m:sty m:val="p"/>
                </m:rPr>
                <m:t>RTT</m:t>
              </m:r>
            </m:e>
            <m:sub>
              <m:d>
                <m:dPr>
                  <m:begChr m:val="("/>
                  <m:endChr m:val=")"/>
                  <m:sepChr m:val=""/>
                  <m:grow/>
                </m:dPr>
                <m:e>
                  <m:r>
                    <m:t>k</m:t>
                  </m:r>
                </m:e>
              </m:d>
            </m:sub>
          </m:sSub>
          <m:r>
            <m:rPr>
              <m:sty m:val="p"/>
            </m:rPr>
            <m:t>+</m:t>
          </m:r>
          <m:sSub>
            <m:e>
              <m:r>
                <m:t>T</m:t>
              </m:r>
            </m:e>
            <m:sub>
              <m:r>
                <m:rPr>
                  <m:nor/>
                  <m:sty m:val="p"/>
                </m:rPr>
                <m:t>remote</m:t>
              </m:r>
            </m:sub>
          </m:sSub>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T</m:t>
                  </m:r>
                </m:e>
                <m:sub>
                  <m:r>
                    <m:rPr>
                      <m:nor/>
                      <m:sty m:val="p"/>
                    </m:rPr>
                    <m:t>commit</m:t>
                  </m:r>
                </m:sub>
              </m:sSub>
            </m:oMath>
          </w:p>
        </w:tc>
        <w:tc>
          <w:tcPr/>
          <w:p>
            <w:pPr>
              <w:pStyle w:val="Compact"/>
              <w:jc w:val="left"/>
            </w:pPr>
            <w:r>
              <w:t xml:space="preserve">Time from the client’s</w:t>
            </w:r>
            <w:r>
              <w:t xml:space="preserve"> </w:t>
            </w:r>
            <w:r>
              <w:rPr>
                <w:rStyle w:val="VerbatimChar"/>
              </w:rPr>
              <w:t xml:space="preserve">COMMIT</w:t>
            </w:r>
            <w:r>
              <w:t xml:space="preserve"> </w:t>
            </w:r>
            <w:r>
              <w:t xml:space="preserve">to the primary’s reply</w:t>
            </w:r>
          </w:p>
        </w:tc>
        <w:tc>
          <w:tcPr/>
          <w:p>
            <w:pPr>
              <w:pStyle w:val="Compact"/>
              <w:jc w:val="left"/>
            </w:pPr>
            <w:r>
              <w:t xml:space="preserve">ms</w:t>
            </w:r>
          </w:p>
        </w:tc>
      </w:tr>
      <w:tr>
        <w:tc>
          <w:tcPr/>
          <w:p>
            <w:pPr>
              <w:pStyle w:val="Compact"/>
              <w:jc w:val="left"/>
            </w:pPr>
            <m:oMath>
              <m:sSub>
                <m:e>
                  <m:r>
                    <m:t>T</m:t>
                  </m:r>
                </m:e>
                <m:sub>
                  <m:r>
                    <m:rPr>
                      <m:nor/>
                      <m:sty m:val="p"/>
                    </m:rPr>
                    <m:t>local</m:t>
                  </m:r>
                </m:sub>
              </m:sSub>
            </m:oMath>
          </w:p>
        </w:tc>
        <w:tc>
          <w:tcPr/>
          <w:p>
            <w:pPr>
              <w:pStyle w:val="Compact"/>
              <w:jc w:val="left"/>
            </w:pPr>
            <w:r>
              <w:t xml:space="preserve">Time to flush the log on the primary</w:t>
            </w:r>
          </w:p>
        </w:tc>
        <w:tc>
          <w:tcPr/>
          <w:p>
            <w:pPr>
              <w:pStyle w:val="Compact"/>
              <w:jc w:val="left"/>
            </w:pPr>
            <w:r>
              <w:t xml:space="preserve">ms</w:t>
            </w:r>
          </w:p>
        </w:tc>
      </w:tr>
      <w:tr>
        <w:tc>
          <w:tcPr/>
          <w:p>
            <w:pPr>
              <w:pStyle w:val="Compact"/>
              <w:jc w:val="left"/>
            </w:pPr>
            <m:oMath>
              <m:sSub>
                <m:e>
                  <m:r>
                    <m:rPr>
                      <m:nor/>
                      <m:sty m:val="p"/>
                    </m:rPr>
                    <m:t>RTT</m:t>
                  </m:r>
                </m:e>
                <m:sub>
                  <m:d>
                    <m:dPr>
                      <m:begChr m:val="("/>
                      <m:endChr m:val=")"/>
                      <m:sepChr m:val=""/>
                      <m:grow/>
                    </m:dPr>
                    <m:e>
                      <m:r>
                        <m:t>k</m:t>
                      </m:r>
                    </m:e>
                  </m:d>
                </m:sub>
              </m:sSub>
            </m:oMath>
          </w:p>
        </w:tc>
        <w:tc>
          <w:tcPr/>
          <w:p>
            <w:pPr>
              <w:pStyle w:val="Compact"/>
              <w:jc w:val="left"/>
            </w:pPr>
            <w:r>
              <w:t xml:space="preserve">The</w:t>
            </w:r>
            <w:r>
              <w:t xml:space="preserve"> </w:t>
            </w:r>
            <m:oMath>
              <m:r>
                <m:t>k</m:t>
              </m:r>
            </m:oMath>
            <w:r>
              <w:t xml:space="preserve">-th smallest round-trip time among the eligible replicas</w:t>
            </w:r>
          </w:p>
        </w:tc>
        <w:tc>
          <w:tcPr/>
          <w:p>
            <w:pPr>
              <w:pStyle w:val="Compact"/>
              <w:jc w:val="left"/>
            </w:pPr>
            <w:r>
              <w:t xml:space="preserve">ms</w:t>
            </w:r>
          </w:p>
        </w:tc>
      </w:tr>
      <w:tr>
        <w:tc>
          <w:tcPr/>
          <w:p>
            <w:pPr>
              <w:pStyle w:val="Compact"/>
              <w:jc w:val="left"/>
            </w:pPr>
            <m:oMath>
              <m:sSub>
                <m:e>
                  <m:r>
                    <m:t>T</m:t>
                  </m:r>
                </m:e>
                <m:sub>
                  <m:r>
                    <m:rPr>
                      <m:nor/>
                      <m:sty m:val="p"/>
                    </m:rPr>
                    <m:t>remote</m:t>
                  </m:r>
                </m:sub>
              </m:sSub>
            </m:oMath>
          </w:p>
        </w:tc>
        <w:tc>
          <w:tcPr/>
          <w:p>
            <w:pPr>
              <w:pStyle w:val="Compact"/>
              <w:jc w:val="left"/>
            </w:pPr>
            <w:r>
              <w:t xml:space="preserve">Work the replica does before acknowledging (write, flush or apply)</w:t>
            </w:r>
          </w:p>
        </w:tc>
        <w:tc>
          <w:tcPr/>
          <w:p>
            <w:pPr>
              <w:pStyle w:val="Compact"/>
              <w:jc w:val="left"/>
            </w:pPr>
            <w:r>
              <w:t xml:space="preserve">ms</w:t>
            </w:r>
          </w:p>
        </w:tc>
      </w:tr>
      <w:tr>
        <w:tc>
          <w:tcPr/>
          <w:p>
            <w:pPr>
              <w:pStyle w:val="Compact"/>
              <w:jc w:val="left"/>
            </w:pPr>
            <m:oMath>
              <m:r>
                <m:t>k</m:t>
              </m:r>
            </m:oMath>
          </w:p>
        </w:tc>
        <w:tc>
          <w:tcPr/>
          <w:p>
            <w:pPr>
              <w:pStyle w:val="Compact"/>
              <w:jc w:val="left"/>
            </w:pPr>
            <w:r>
              <w:t xml:space="preserve">Number of replica acknowledgments required (</w:t>
            </w:r>
            <m:oMath>
              <m:r>
                <m:t>k</m:t>
              </m:r>
              <m:r>
                <m:rPr>
                  <m:sty m:val="p"/>
                </m:rPr>
                <m:t>=</m:t>
              </m:r>
              <m:r>
                <m:t>0</m:t>
              </m:r>
            </m:oMath>
            <w:r>
              <w:t xml:space="preserve"> </w:t>
            </w:r>
            <w:r>
              <w:t xml:space="preserve">for asynchronous)</w:t>
            </w:r>
          </w:p>
        </w:tc>
        <w:tc>
          <w:tcPr/>
          <w:p>
            <w:pPr>
              <w:pStyle w:val="Compact"/>
              <w:jc w:val="left"/>
            </w:pPr>
            <w:r>
              <w:t xml:space="preserve">count</w:t>
            </w:r>
          </w:p>
        </w:tc>
      </w:tr>
    </w:tbl>
    <w:p>
      <w:pPr>
        <w:pStyle w:val="CalloutExample"/>
      </w:pPr>
      <w:r>
        <w:rPr>
          <w:bCs/>
          <w:b/>
        </w:rPr>
        <w:t xml:space="preserve">WORKED EXAMPLE</w:t>
      </w:r>
    </w:p>
    <w:p>
      <w:pPr>
        <w:pStyle w:val="CalloutExample"/>
      </w:pPr>
      <w:r>
        <w:rPr>
          <w:bCs/>
          <w:b/>
        </w:rPr>
        <w:t xml:space="preserve">Worked example — Where to put the synchronous replica.</w:t>
      </w:r>
      <w:r>
        <w:t xml:space="preserve"> </w:t>
      </w:r>
      <w:r>
        <w:t xml:space="preserve">A primary flushes its WAL in 0.2 ms on NVMe with power-loss protection (a drive without it can take about 2 ms per</w:t>
      </w:r>
      <w:r>
        <w:t xml:space="preserve"> </w:t>
      </w:r>
      <w:r>
        <w:rPr>
          <w:rStyle w:val="VerbatimChar"/>
        </w:rPr>
        <w:t xml:space="preserve">fsync</w:t>
      </w:r>
      <w:r>
        <w:t xml:space="preserve">, §6.14.3). Replica A is in the same availability zone (RTT 0.3 ms), replica B is in another zone of the same region (RTT 1.2 ms), and replica C is in another region (RTT 70 ms). Each replica flushes in 0.2 ms.</w:t>
      </w:r>
    </w:p>
    <w:p>
      <w:pPr>
        <w:numPr>
          <w:ilvl w:val="0"/>
          <w:numId w:val="1469"/>
        </w:numPr>
        <w:pStyle w:val="Compact"/>
      </w:pPr>
      <w:r>
        <w:t xml:space="preserve">Asynchronous (</w:t>
      </w:r>
      <m:oMath>
        <m:r>
          <m:t>k</m:t>
        </m:r>
        <m:r>
          <m:rPr>
            <m:sty m:val="p"/>
          </m:rPr>
          <m:t>=</m:t>
        </m:r>
        <m:r>
          <m:t>0</m:t>
        </m:r>
      </m:oMath>
      <w:r>
        <w:t xml:space="preserve">):</w:t>
      </w:r>
      <w:r>
        <w:t xml:space="preserve"> </w:t>
      </w:r>
      <m:oMath>
        <m:r>
          <m:t>T</m:t>
        </m:r>
        <m:r>
          <m:rPr>
            <m:sty m:val="p"/>
          </m:rPr>
          <m:t>≈</m:t>
        </m:r>
        <m:r>
          <m:t>0.2</m:t>
        </m:r>
      </m:oMath>
      <w:r>
        <w:t xml:space="preserve"> </w:t>
      </w:r>
      <w:r>
        <w:t xml:space="preserve">ms.</w:t>
      </w:r>
    </w:p>
    <w:p>
      <w:pPr>
        <w:numPr>
          <w:ilvl w:val="0"/>
          <w:numId w:val="1469"/>
        </w:numPr>
        <w:pStyle w:val="Compact"/>
      </w:pPr>
      <w:r>
        <w:t xml:space="preserve">Synchronous,</w:t>
      </w:r>
      <w:r>
        <w:t xml:space="preserve"> </w:t>
      </w:r>
      <w:r>
        <w:rPr>
          <w:rStyle w:val="VerbatimChar"/>
        </w:rPr>
        <w:t xml:space="preserve">ANY 1 (A, B)</w:t>
      </w:r>
      <w:r>
        <w:t xml:space="preserve">: the fastest acknowledgment is A’s.</w:t>
      </w:r>
      <w:r>
        <w:t xml:space="preserve"> </w:t>
      </w:r>
      <m:oMath>
        <m:r>
          <m:t>T</m:t>
        </m:r>
        <m:r>
          <m:rPr>
            <m:sty m:val="p"/>
          </m:rPr>
          <m:t>≈</m:t>
        </m:r>
        <m:r>
          <m:t>0.2</m:t>
        </m:r>
        <m:r>
          <m:rPr>
            <m:sty m:val="p"/>
          </m:rPr>
          <m:t>+</m:t>
        </m:r>
        <m:r>
          <m:t>0.3</m:t>
        </m:r>
        <m:r>
          <m:rPr>
            <m:sty m:val="p"/>
          </m:rPr>
          <m:t>+</m:t>
        </m:r>
        <m:r>
          <m:t>0.2</m:t>
        </m:r>
        <m:r>
          <m:rPr>
            <m:sty m:val="p"/>
          </m:rPr>
          <m:t>=</m:t>
        </m:r>
        <m:r>
          <m:t>0.7</m:t>
        </m:r>
      </m:oMath>
      <w:r>
        <w:t xml:space="preserve"> </w:t>
      </w:r>
      <w:r>
        <w:t xml:space="preserve">ms.</w:t>
      </w:r>
    </w:p>
    <w:p>
      <w:pPr>
        <w:numPr>
          <w:ilvl w:val="0"/>
          <w:numId w:val="1469"/>
        </w:numPr>
        <w:pStyle w:val="Compact"/>
      </w:pPr>
      <w:r>
        <w:t xml:space="preserve">Synchronous,</w:t>
      </w:r>
      <w:r>
        <w:t xml:space="preserve"> </w:t>
      </w:r>
      <w:r>
        <w:rPr>
          <w:rStyle w:val="VerbatimChar"/>
        </w:rPr>
        <w:t xml:space="preserve">ANY 2 (A, B, C)</w:t>
      </w:r>
      <w:r>
        <w:t xml:space="preserve">: the second-fastest is B.</w:t>
      </w:r>
      <w:r>
        <w:t xml:space="preserve"> </w:t>
      </w:r>
      <m:oMath>
        <m:r>
          <m:t>T</m:t>
        </m:r>
        <m:r>
          <m:rPr>
            <m:sty m:val="p"/>
          </m:rPr>
          <m:t>≈</m:t>
        </m:r>
        <m:r>
          <m:t>0.2</m:t>
        </m:r>
        <m:r>
          <m:rPr>
            <m:sty m:val="p"/>
          </m:rPr>
          <m:t>+</m:t>
        </m:r>
        <m:r>
          <m:t>1.2</m:t>
        </m:r>
        <m:r>
          <m:rPr>
            <m:sty m:val="p"/>
          </m:rPr>
          <m:t>+</m:t>
        </m:r>
        <m:r>
          <m:t>0.2</m:t>
        </m:r>
        <m:r>
          <m:rPr>
            <m:sty m:val="p"/>
          </m:rPr>
          <m:t>=</m:t>
        </m:r>
        <m:r>
          <m:t>1.6</m:t>
        </m:r>
      </m:oMath>
      <w:r>
        <w:t xml:space="preserve"> </w:t>
      </w:r>
      <w:r>
        <w:t xml:space="preserve">ms.</w:t>
      </w:r>
    </w:p>
    <w:p>
      <w:pPr>
        <w:numPr>
          <w:ilvl w:val="0"/>
          <w:numId w:val="1469"/>
        </w:numPr>
        <w:pStyle w:val="Compact"/>
      </w:pPr>
      <w:r>
        <w:t xml:space="preserve">Synchronous to C only:</w:t>
      </w:r>
      <w:r>
        <w:t xml:space="preserve"> </w:t>
      </w:r>
      <m:oMath>
        <m:r>
          <m:t>T</m:t>
        </m:r>
        <m:r>
          <m:rPr>
            <m:sty m:val="p"/>
          </m:rPr>
          <m:t>≈</m:t>
        </m:r>
        <m:r>
          <m:t>0.2</m:t>
        </m:r>
        <m:r>
          <m:rPr>
            <m:sty m:val="p"/>
          </m:rPr>
          <m:t>+</m:t>
        </m:r>
        <m:r>
          <m:t>70</m:t>
        </m:r>
        <m:r>
          <m:rPr>
            <m:sty m:val="p"/>
          </m:rPr>
          <m:t>+</m:t>
        </m:r>
        <m:r>
          <m:t>0.2</m:t>
        </m:r>
        <m:r>
          <m:rPr>
            <m:sty m:val="p"/>
          </m:rPr>
          <m:t>≈</m:t>
        </m:r>
        <m:r>
          <m:t>70.4</m:t>
        </m:r>
      </m:oMath>
      <w:r>
        <w:t xml:space="preserve"> </w:t>
      </w:r>
      <w:r>
        <w:t xml:space="preserve">ms.</w:t>
      </w:r>
    </w:p>
    <w:p>
      <w:pPr>
        <w:numPr>
          <w:ilvl w:val="0"/>
          <w:numId w:val="1469"/>
        </w:numPr>
        <w:pStyle w:val="Compact"/>
      </w:pPr>
      <w:r>
        <w:t xml:space="preserve">A single session committing sequentially manages</w:t>
      </w:r>
      <w:r>
        <w:t xml:space="preserve"> </w:t>
      </w:r>
      <m:oMath>
        <m:r>
          <m:t>1</m:t>
        </m:r>
        <m:r>
          <m:rPr>
            <m:sty m:val="p"/>
          </m:rPr>
          <m:t>/</m:t>
        </m:r>
        <m:r>
          <m:t>0.7</m:t>
        </m:r>
        <m:r>
          <m:t> </m:t>
        </m:r>
        <m:r>
          <m:rPr>
            <m:nor/>
            <m:sty m:val="p"/>
          </m:rPr>
          <m:t>ms</m:t>
        </m:r>
        <m:r>
          <m:rPr>
            <m:sty m:val="p"/>
          </m:rPr>
          <m:t>≈</m:t>
        </m:r>
        <m:r>
          <m:t>1</m:t>
        </m:r>
        <m:r>
          <m:rPr>
            <m:sty m:val="p"/>
          </m:rPr>
          <m:t>,</m:t>
        </m:r>
        <m:r>
          <m:t>430</m:t>
        </m:r>
      </m:oMath>
      <w:r>
        <w:t xml:space="preserve"> </w:t>
      </w:r>
      <w:r>
        <w:t xml:space="preserve">commits/s in case 2 but only</w:t>
      </w:r>
      <w:r>
        <w:t xml:space="preserve"> </w:t>
      </w:r>
      <m:oMath>
        <m:r>
          <m:t>1</m:t>
        </m:r>
        <m:r>
          <m:rPr>
            <m:sty m:val="p"/>
          </m:rPr>
          <m:t>/</m:t>
        </m:r>
        <m:r>
          <m:t>70.4</m:t>
        </m:r>
        <m:r>
          <m:t> </m:t>
        </m:r>
        <m:r>
          <m:rPr>
            <m:nor/>
            <m:sty m:val="p"/>
          </m:rPr>
          <m:t>ms</m:t>
        </m:r>
        <m:r>
          <m:rPr>
            <m:sty m:val="p"/>
          </m:rPr>
          <m:t>≈</m:t>
        </m:r>
        <m:r>
          <m:t>14</m:t>
        </m:r>
      </m:oMath>
      <w:r>
        <w:t xml:space="preserve"> </w:t>
      </w:r>
      <w:r>
        <w:t xml:space="preserve">in case 4. Group commit helps concurrent sessions, but each transaction still pays the latency.</w:t>
      </w:r>
    </w:p>
    <w:p>
      <w:pPr>
        <w:pStyle w:val="CalloutExample"/>
      </w:pPr>
      <w:r>
        <w:rPr>
          <w:bCs/>
          <w:b/>
        </w:rPr>
        <w:t xml:space="preserve">Interpretation.</w:t>
      </w:r>
      <w:r>
        <w:t xml:space="preserve"> </w:t>
      </w:r>
      <w:r>
        <w:t xml:space="preserve">A cross-zone acknowledgment costs about a millisecond. A cross-region one costs the inter-region RTT on every commit.</w:t>
      </w:r>
      <w:r>
        <w:t xml:space="preserve"> </w:t>
      </w:r>
      <w:r>
        <w:rPr>
          <w:bCs/>
          <w:b/>
        </w:rPr>
        <w:t xml:space="preserve">Engineering implication.</w:t>
      </w:r>
      <w:r>
        <w:t xml:space="preserve"> </w:t>
      </w:r>
      <w:r>
        <w:t xml:space="preserve">A common pattern is synchronous replication to a replica in another zone of the same region plus asynchronous replicas in remote regions. A zone loss then loses no data, and a region loss risks a few seconds of writes (a nonzero recovery point objective, §39.8).</w:t>
      </w:r>
    </w:p>
    <w:p>
      <w:pPr>
        <w:pStyle w:val="BodyText"/>
      </w:pPr>
      <w:r>
        <w:rPr>
          <w:bCs/>
          <w:b/>
        </w:rPr>
        <w:t xml:space="preserve">Table 14.2 — Replication modes compared.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Asynchronous</w:t>
            </w:r>
          </w:p>
        </w:tc>
        <w:tc>
          <w:tcPr/>
          <w:p>
            <w:pPr>
              <w:pStyle w:val="Compact"/>
              <w:jc w:val="left"/>
            </w:pPr>
            <w:r>
              <w:t xml:space="preserve">Semi-synchronous (MySQL)</w:t>
            </w:r>
          </w:p>
        </w:tc>
        <w:tc>
          <w:tcPr/>
          <w:p>
            <w:pPr>
              <w:pStyle w:val="Compact"/>
              <w:jc w:val="left"/>
            </w:pPr>
            <w:r>
              <w:t xml:space="preserve">Synchronous / quorum (PostgreSQL)</w:t>
            </w:r>
          </w:p>
        </w:tc>
      </w:tr>
      <w:tr>
        <w:tc>
          <w:tcPr/>
          <w:p>
            <w:pPr>
              <w:pStyle w:val="Compact"/>
              <w:jc w:val="left"/>
            </w:pPr>
            <w:r>
              <w:t xml:space="preserve">Client waits for</w:t>
            </w:r>
          </w:p>
        </w:tc>
        <w:tc>
          <w:tcPr/>
          <w:p>
            <w:pPr>
              <w:pStyle w:val="Compact"/>
              <w:jc w:val="left"/>
            </w:pPr>
            <w:r>
              <w:t xml:space="preserve">Local flush only</w:t>
            </w:r>
          </w:p>
        </w:tc>
        <w:tc>
          <w:tcPr/>
          <w:p>
            <w:pPr>
              <w:pStyle w:val="Compact"/>
              <w:jc w:val="left"/>
            </w:pPr>
            <w:r>
              <w:t xml:space="preserve">≥ 1 replica has</w:t>
            </w:r>
            <w:r>
              <w:t xml:space="preserve"> </w:t>
            </w:r>
            <w:r>
              <w:rPr>
                <w:iCs/>
                <w:i/>
              </w:rPr>
              <w:t xml:space="preserve">received</w:t>
            </w:r>
          </w:p>
        </w:tc>
        <w:tc>
          <w:tcPr/>
          <w:p>
            <w:pPr>
              <w:pStyle w:val="Compact"/>
              <w:jc w:val="left"/>
            </w:pPr>
            <m:oMath>
              <m:r>
                <m:t>k</m:t>
              </m:r>
            </m:oMath>
            <w:r>
              <w:t xml:space="preserve"> </w:t>
            </w:r>
            <w:r>
              <w:t xml:space="preserve">replicas have flushed or applied</w:t>
            </w:r>
          </w:p>
        </w:tc>
      </w:tr>
      <w:tr>
        <w:tc>
          <w:tcPr/>
          <w:p>
            <w:pPr>
              <w:pStyle w:val="Compact"/>
              <w:jc w:val="left"/>
            </w:pPr>
            <w:r>
              <w:t xml:space="preserve">Commit latency</w:t>
            </w:r>
          </w:p>
        </w:tc>
        <w:tc>
          <w:tcPr/>
          <w:p>
            <w:pPr>
              <w:pStyle w:val="Compact"/>
              <w:jc w:val="left"/>
            </w:pPr>
            <w:r>
              <w:t xml:space="preserve">Lowest</w:t>
            </w:r>
          </w:p>
        </w:tc>
        <w:tc>
          <w:tcPr/>
          <w:p>
            <w:pPr>
              <w:pStyle w:val="Compact"/>
              <w:jc w:val="left"/>
            </w:pPr>
            <w:r>
              <w:t xml:space="preserve">+ 1 RTT</w:t>
            </w:r>
          </w:p>
        </w:tc>
        <w:tc>
          <w:tcPr/>
          <w:p>
            <w:pPr>
              <w:pStyle w:val="Compact"/>
              <w:jc w:val="left"/>
            </w:pPr>
            <w:r>
              <w:t xml:space="preserve">+ RTT of</w:t>
            </w:r>
            <w:r>
              <w:t xml:space="preserve"> </w:t>
            </w:r>
            <m:oMath>
              <m:r>
                <m:t>k</m:t>
              </m:r>
            </m:oMath>
            <w:r>
              <w:t xml:space="preserve">-th fastest replica</w:t>
            </w:r>
          </w:p>
        </w:tc>
      </w:tr>
      <w:tr>
        <w:tc>
          <w:tcPr/>
          <w:p>
            <w:pPr>
              <w:pStyle w:val="Compact"/>
              <w:jc w:val="left"/>
            </w:pPr>
            <w:r>
              <w:t xml:space="preserve">Data loss on primary crash</w:t>
            </w:r>
          </w:p>
        </w:tc>
        <w:tc>
          <w:tcPr/>
          <w:p>
            <w:pPr>
              <w:pStyle w:val="Compact"/>
              <w:jc w:val="left"/>
            </w:pPr>
            <w:r>
              <w:t xml:space="preserve">Possible (seconds of writes)</w:t>
            </w:r>
          </w:p>
        </w:tc>
        <w:tc>
          <w:tcPr/>
          <w:p>
            <w:pPr>
              <w:pStyle w:val="Compact"/>
              <w:jc w:val="left"/>
            </w:pPr>
            <w:r>
              <w:t xml:space="preserve">None while healthy; possible after timeout fallback</w:t>
            </w:r>
          </w:p>
        </w:tc>
        <w:tc>
          <w:tcPr/>
          <w:p>
            <w:pPr>
              <w:pStyle w:val="Compact"/>
              <w:jc w:val="left"/>
            </w:pPr>
            <w:r>
              <w:t xml:space="preserve">None, if failover picks an acknowledged replica</w:t>
            </w:r>
          </w:p>
        </w:tc>
      </w:tr>
      <w:tr>
        <w:tc>
          <w:tcPr/>
          <w:p>
            <w:pPr>
              <w:pStyle w:val="Compact"/>
              <w:jc w:val="left"/>
            </w:pPr>
            <w:r>
              <w:t xml:space="preserve">Availability if replicas fail</w:t>
            </w:r>
          </w:p>
        </w:tc>
        <w:tc>
          <w:tcPr/>
          <w:p>
            <w:pPr>
              <w:pStyle w:val="Compact"/>
              <w:jc w:val="left"/>
            </w:pPr>
            <w:r>
              <w:t xml:space="preserve">Unaffected</w:t>
            </w:r>
          </w:p>
        </w:tc>
        <w:tc>
          <w:tcPr/>
          <w:p>
            <w:pPr>
              <w:pStyle w:val="Compact"/>
              <w:jc w:val="left"/>
            </w:pPr>
            <w:r>
              <w:t xml:space="preserve">Unaffected after timeout</w:t>
            </w:r>
          </w:p>
        </w:tc>
        <w:tc>
          <w:tcPr/>
          <w:p>
            <w:pPr>
              <w:pStyle w:val="Compact"/>
              <w:jc w:val="left"/>
            </w:pPr>
            <w:r>
              <w:t xml:space="preserve">Commits block until</w:t>
            </w:r>
            <w:r>
              <w:t xml:space="preserve"> </w:t>
            </w:r>
            <m:oMath>
              <m:r>
                <m:t>k</m:t>
              </m:r>
            </m:oMath>
            <w:r>
              <w:t xml:space="preserve"> </w:t>
            </w:r>
            <w:r>
              <w:t xml:space="preserve">replicas return</w:t>
            </w:r>
          </w:p>
        </w:tc>
      </w:tr>
      <w:tr>
        <w:tc>
          <w:tcPr/>
          <w:p>
            <w:pPr>
              <w:pStyle w:val="Compact"/>
              <w:jc w:val="left"/>
            </w:pPr>
            <w:r>
              <w:t xml:space="preserve">Stale reads on replicas</w:t>
            </w:r>
          </w:p>
        </w:tc>
        <w:tc>
          <w:tcPr/>
          <w:p>
            <w:pPr>
              <w:pStyle w:val="Compact"/>
              <w:jc w:val="left"/>
            </w:pPr>
            <w:r>
              <w:t xml:space="preserve">Yes</w:t>
            </w:r>
          </w:p>
        </w:tc>
        <w:tc>
          <w:tcPr/>
          <w:p>
            <w:pPr>
              <w:pStyle w:val="Compact"/>
              <w:jc w:val="left"/>
            </w:pPr>
            <w:r>
              <w:t xml:space="preserve">Yes (received, not yet applied)</w:t>
            </w:r>
          </w:p>
        </w:tc>
        <w:tc>
          <w:tcPr/>
          <w:p>
            <w:pPr>
              <w:pStyle w:val="Compact"/>
              <w:jc w:val="left"/>
            </w:pPr>
            <w:r>
              <w:t xml:space="preserve">Only</w:t>
            </w:r>
            <w:r>
              <w:t xml:space="preserve"> </w:t>
            </w:r>
            <w:r>
              <w:rPr>
                <w:rStyle w:val="VerbatimChar"/>
              </w:rPr>
              <w:t xml:space="preserve">remote_apply</w:t>
            </w:r>
            <w:r>
              <w:t xml:space="preserve"> </w:t>
            </w:r>
            <w:r>
              <w:t xml:space="preserve">avoids them on the waited-for replicas</w:t>
            </w:r>
          </w:p>
        </w:tc>
      </w:tr>
      <w:tr>
        <w:tc>
          <w:tcPr/>
          <w:p>
            <w:pPr>
              <w:pStyle w:val="Compact"/>
              <w:jc w:val="left"/>
            </w:pPr>
            <w:r>
              <w:t xml:space="preserve">Choose when</w:t>
            </w:r>
          </w:p>
        </w:tc>
        <w:tc>
          <w:tcPr/>
          <w:p>
            <w:pPr>
              <w:pStyle w:val="Compact"/>
              <w:jc w:val="left"/>
            </w:pPr>
            <w:r>
              <w:t xml:space="preserve">Throughput first; remote regions</w:t>
            </w:r>
          </w:p>
        </w:tc>
        <w:tc>
          <w:tcPr/>
          <w:p>
            <w:pPr>
              <w:pStyle w:val="Compact"/>
              <w:jc w:val="left"/>
            </w:pPr>
            <w:r>
              <w:t xml:space="preserve">MySQL fleets wanting near-zero loss</w:t>
            </w:r>
          </w:p>
        </w:tc>
        <w:tc>
          <w:tcPr/>
          <w:p>
            <w:pPr>
              <w:pStyle w:val="Compact"/>
              <w:jc w:val="left"/>
            </w:pPr>
            <w:r>
              <w:t xml:space="preserve">Financial data; zone-level failure tolerance</w:t>
            </w:r>
          </w:p>
        </w:tc>
      </w:tr>
    </w:tbl>
    <w:bookmarkEnd w:id="1572"/>
    <w:bookmarkStart w:id="1573" w:name="common-misconceptions-31"/>
    <w:p>
      <w:pPr>
        <w:pStyle w:val="Heading4"/>
      </w:pPr>
      <w:r>
        <w:t xml:space="preserve">Common misconceptions</w:t>
      </w:r>
    </w:p>
    <w:p>
      <w:pPr>
        <w:pStyle w:val="CalloutMistake"/>
      </w:pPr>
      <w:r>
        <w:rPr>
          <w:bCs/>
          <w:b/>
        </w:rPr>
        <w:t xml:space="preserve">COMMON MISTAKE</w:t>
      </w:r>
    </w:p>
    <w:p>
      <w:pPr>
        <w:pStyle w:val="CalloutMistake"/>
      </w:pPr>
      <w:r>
        <w:rPr>
          <w:bCs/>
          <w:b/>
        </w:rPr>
        <w:t xml:space="preserve">Mistake —</w:t>
      </w:r>
      <w:r>
        <w:rPr>
          <w:bCs/>
          <w:b/>
        </w:rPr>
        <w:t xml:space="preserve"> </w:t>
      </w:r>
      <w:r>
        <w:rPr>
          <w:bCs/>
          <w:b/>
        </w:rPr>
        <w:t xml:space="preserve">“</w:t>
      </w:r>
      <w:r>
        <w:rPr>
          <w:bCs/>
          <w:b/>
        </w:rPr>
        <w:t xml:space="preserve">Synchronous replication means replicas never serve stale data.</w:t>
      </w:r>
      <w:r>
        <w:rPr>
          <w:bCs/>
          <w:b/>
        </w:rPr>
        <w:t xml:space="preserve">”</w:t>
      </w:r>
      <w:r>
        <w:t xml:space="preserve"> </w:t>
      </w:r>
      <w:r>
        <w:t xml:space="preserve">PostgreSQL’s default synchronous setting (</w:t>
      </w:r>
      <w:r>
        <w:rPr>
          <w:rStyle w:val="VerbatimChar"/>
        </w:rPr>
        <w:t xml:space="preserve">on</w:t>
      </w:r>
      <w:r>
        <w:t xml:space="preserve">) waits for the standby to</w:t>
      </w:r>
      <w:r>
        <w:t xml:space="preserve"> </w:t>
      </w:r>
      <w:r>
        <w:rPr>
          <w:iCs/>
          <w:i/>
        </w:rPr>
        <w:t xml:space="preserve">flush</w:t>
      </w:r>
      <w:r>
        <w:t xml:space="preserve">, not</w:t>
      </w:r>
      <w:r>
        <w:t xml:space="preserve"> </w:t>
      </w:r>
      <w:r>
        <w:rPr>
          <w:iCs/>
          <w:i/>
        </w:rPr>
        <w:t xml:space="preserve">apply</w:t>
      </w:r>
      <w:r>
        <w:t xml:space="preserve">, so a read there a millisecond later can miss the change. Only</w:t>
      </w:r>
      <w:r>
        <w:t xml:space="preserve"> </w:t>
      </w:r>
      <w:r>
        <w:rPr>
          <w:rStyle w:val="VerbatimChar"/>
        </w:rPr>
        <w:t xml:space="preserve">remote_apply</w:t>
      </w:r>
      <w:r>
        <w:t xml:space="preserve"> </w:t>
      </w:r>
      <w:r>
        <w:t xml:space="preserve">closes the gap, and only on the standbys waited for.</w:t>
      </w:r>
    </w:p>
    <w:bookmarkEnd w:id="1573"/>
    <w:bookmarkEnd w:id="1574"/>
    <w:bookmarkStart w:id="1575" w:name="replication-lag"/>
    <w:p>
      <w:pPr>
        <w:pStyle w:val="Heading3"/>
      </w:pPr>
      <w:r>
        <w:t xml:space="preserve">14.4.2 Replication lag</w:t>
      </w:r>
    </w:p>
    <w:p>
      <w:pPr>
        <w:pStyle w:val="CalloutDefinition"/>
      </w:pPr>
      <w:r>
        <w:rPr>
          <w:bCs/>
          <w:b/>
        </w:rPr>
        <w:t xml:space="preserve">DEFINITION</w:t>
      </w:r>
    </w:p>
    <w:p>
      <w:pPr>
        <w:pStyle w:val="CalloutDefinition"/>
      </w:pPr>
      <w:r>
        <w:rPr>
          <w:bCs/>
          <w:b/>
        </w:rPr>
        <w:t xml:space="preserve">Definition — Replication lag.</w:t>
      </w:r>
      <w:r>
        <w:t xml:space="preserve"> </w:t>
      </w:r>
      <w:r>
        <w:t xml:space="preserve">The delay between a change committing on the primary and becoming visible on a replica, measured in seconds, bytes of log or transactions.</w:t>
      </w:r>
    </w:p>
    <w:p>
      <w:pPr>
        <w:pStyle w:val="BodyText"/>
      </w:pPr>
      <w:r>
        <w:t xml:space="preserve">Within one region, asynchronous lag is typically well under a second, but it is unbounded. It grows whenever the replica applies changes more slowly than the primary produces them: a single-threaded applier, a bulk</w:t>
      </w:r>
      <w:r>
        <w:t xml:space="preserve"> </w:t>
      </w:r>
      <w:r>
        <w:rPr>
          <w:rStyle w:val="VerbatimChar"/>
        </w:rPr>
        <w:t xml:space="preserve">UPDATE</w:t>
      </w:r>
      <w:r>
        <w:t xml:space="preserve"> </w:t>
      </w:r>
      <w:r>
        <w:t xml:space="preserve">of millions of rows, a replica returning from maintenance, a network partition, or replica queries that block replay. Catching up is draining a queue.</w:t>
      </w:r>
    </w:p>
    <w:p>
      <w:pPr>
        <w:pStyle w:val="CalloutFormula"/>
      </w:pPr>
      <w:r>
        <w:rPr>
          <w:bCs/>
          <w:b/>
        </w:rPr>
        <w:t xml:space="preserve">FORMULA</w:t>
      </w:r>
    </w:p>
    <w:p>
      <w:pPr>
        <w:pStyle w:val="CalloutFormula"/>
      </w:pPr>
      <w:r>
        <w:rPr>
          <w:bCs/>
          <w:b/>
        </w:rPr>
        <w:t xml:space="preserve">Replica catch-up time</w:t>
      </w:r>
    </w:p>
    <w:p>
      <w:pPr>
        <w:pStyle w:val="CalloutFormula"/>
      </w:pPr>
      <m:oMathPara>
        <m:oMathParaPr>
          <m:jc m:val="center"/>
        </m:oMathParaPr>
        <m:oMath>
          <m:sSub>
            <m:e>
              <m:r>
                <m:t>T</m:t>
              </m:r>
            </m:e>
            <m:sub>
              <m:r>
                <m:rPr>
                  <m:nor/>
                  <m:sty m:val="p"/>
                </m:rPr>
                <m:t>catch-up</m:t>
              </m:r>
            </m:sub>
          </m:sSub>
          <m:r>
            <m:rPr>
              <m:sty m:val="p"/>
            </m:rPr>
            <m:t>=</m:t>
          </m:r>
          <m:f>
            <m:fPr>
              <m:type m:val="bar"/>
            </m:fPr>
            <m:num>
              <m:r>
                <m:t>B</m:t>
              </m:r>
            </m:num>
            <m:den>
              <m:sSub>
                <m:e>
                  <m:r>
                    <m:t>r</m:t>
                  </m:r>
                </m:e>
                <m:sub>
                  <m:r>
                    <m:rPr>
                      <m:nor/>
                      <m:sty m:val="p"/>
                    </m:rPr>
                    <m:t>apply</m:t>
                  </m:r>
                </m:sub>
              </m:sSub>
              <m:r>
                <m:rPr>
                  <m:sty m:val="p"/>
                </m:rPr>
                <m:t>−</m:t>
              </m:r>
              <m:sSub>
                <m:e>
                  <m:r>
                    <m:t>r</m:t>
                  </m:r>
                </m:e>
                <m:sub>
                  <m:r>
                    <m:rPr>
                      <m:nor/>
                      <m:sty m:val="p"/>
                    </m:rPr>
                    <m:t>in</m:t>
                  </m:r>
                </m:sub>
              </m:sSub>
            </m:den>
          </m:f>
          <m:r>
            <m:t>  </m:t>
          </m:r>
          <m:d>
            <m:dPr>
              <m:begChr m:val="("/>
              <m:endChr m:val=")"/>
              <m:sepChr m:val=""/>
              <m:grow/>
            </m:dPr>
            <m:e>
              <m:sSub>
                <m:e>
                  <m:r>
                    <m:t>r</m:t>
                  </m:r>
                </m:e>
                <m:sub>
                  <m:r>
                    <m:rPr>
                      <m:nor/>
                      <m:sty m:val="p"/>
                    </m:rPr>
                    <m:t>apply</m:t>
                  </m:r>
                </m:sub>
              </m:sSub>
              <m:r>
                <m:rPr>
                  <m:sty m:val="p"/>
                </m:rPr>
                <m:t>&gt;</m:t>
              </m:r>
              <m:sSub>
                <m:e>
                  <m:r>
                    <m:t>r</m:t>
                  </m:r>
                </m:e>
                <m:sub>
                  <m:r>
                    <m:rPr>
                      <m:nor/>
                      <m:sty m:val="p"/>
                    </m:rPr>
                    <m:t>in</m:t>
                  </m:r>
                </m:sub>
              </m:sSub>
            </m:e>
          </m:d>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T</m:t>
                  </m:r>
                </m:e>
                <m:sub>
                  <m:r>
                    <m:rPr>
                      <m:nor/>
                      <m:sty m:val="p"/>
                    </m:rPr>
                    <m:t>catch-up</m:t>
                  </m:r>
                </m:sub>
              </m:sSub>
            </m:oMath>
          </w:p>
        </w:tc>
        <w:tc>
          <w:tcPr/>
          <w:p>
            <w:pPr>
              <w:pStyle w:val="Compact"/>
              <w:jc w:val="left"/>
            </w:pPr>
            <w:r>
              <w:t xml:space="preserve">Time until the replica’s lag returns to near zero</w:t>
            </w:r>
          </w:p>
        </w:tc>
        <w:tc>
          <w:tcPr/>
          <w:p>
            <w:pPr>
              <w:pStyle w:val="Compact"/>
              <w:jc w:val="left"/>
            </w:pPr>
            <w:r>
              <w:t xml:space="preserve">s</w:t>
            </w:r>
          </w:p>
        </w:tc>
      </w:tr>
      <w:tr>
        <w:tc>
          <w:tcPr/>
          <w:p>
            <w:pPr>
              <w:pStyle w:val="Compact"/>
              <w:jc w:val="left"/>
            </w:pPr>
            <m:oMath>
              <m:r>
                <m:t>B</m:t>
              </m:r>
            </m:oMath>
          </w:p>
        </w:tc>
        <w:tc>
          <w:tcPr/>
          <w:p>
            <w:pPr>
              <w:pStyle w:val="Compact"/>
              <w:jc w:val="left"/>
            </w:pPr>
            <w:r>
              <w:t xml:space="preserve">Backlog of unapplied changes when catch-up starts</w:t>
            </w:r>
          </w:p>
        </w:tc>
        <w:tc>
          <w:tcPr/>
          <w:p>
            <w:pPr>
              <w:pStyle w:val="Compact"/>
              <w:jc w:val="left"/>
            </w:pPr>
            <w:r>
              <w:t xml:space="preserve">transactions</w:t>
            </w:r>
          </w:p>
        </w:tc>
      </w:tr>
      <w:tr>
        <w:tc>
          <w:tcPr/>
          <w:p>
            <w:pPr>
              <w:pStyle w:val="Compact"/>
              <w:jc w:val="left"/>
            </w:pPr>
            <m:oMath>
              <m:sSub>
                <m:e>
                  <m:r>
                    <m:t>r</m:t>
                  </m:r>
                </m:e>
                <m:sub>
                  <m:r>
                    <m:rPr>
                      <m:nor/>
                      <m:sty m:val="p"/>
                    </m:rPr>
                    <m:t>apply</m:t>
                  </m:r>
                </m:sub>
              </m:sSub>
            </m:oMath>
          </w:p>
        </w:tc>
        <w:tc>
          <w:tcPr/>
          <w:p>
            <w:pPr>
              <w:pStyle w:val="Compact"/>
              <w:jc w:val="left"/>
            </w:pPr>
            <w:r>
              <w:t xml:space="preserve">Rate at which the replica can apply changes</w:t>
            </w:r>
          </w:p>
        </w:tc>
        <w:tc>
          <w:tcPr/>
          <w:p>
            <w:pPr>
              <w:pStyle w:val="Compact"/>
              <w:jc w:val="left"/>
            </w:pPr>
            <w:r>
              <w:t xml:space="preserve">transactions/s</w:t>
            </w:r>
          </w:p>
        </w:tc>
      </w:tr>
      <w:tr>
        <w:tc>
          <w:tcPr/>
          <w:p>
            <w:pPr>
              <w:pStyle w:val="Compact"/>
              <w:jc w:val="left"/>
            </w:pPr>
            <m:oMath>
              <m:sSub>
                <m:e>
                  <m:r>
                    <m:t>r</m:t>
                  </m:r>
                </m:e>
                <m:sub>
                  <m:r>
                    <m:rPr>
                      <m:nor/>
                      <m:sty m:val="p"/>
                    </m:rPr>
                    <m:t>in</m:t>
                  </m:r>
                </m:sub>
              </m:sSub>
            </m:oMath>
          </w:p>
        </w:tc>
        <w:tc>
          <w:tcPr/>
          <w:p>
            <w:pPr>
              <w:pStyle w:val="Compact"/>
              <w:jc w:val="left"/>
            </w:pPr>
            <w:r>
              <w:t xml:space="preserve">Rate at which the primary generates new changes during catch-up</w:t>
            </w:r>
          </w:p>
        </w:tc>
        <w:tc>
          <w:tcPr/>
          <w:p>
            <w:pPr>
              <w:pStyle w:val="Compact"/>
              <w:jc w:val="left"/>
            </w:pPr>
            <w:r>
              <w:t xml:space="preserve">transactions/s</w:t>
            </w:r>
          </w:p>
        </w:tc>
      </w:tr>
    </w:tbl>
    <w:p>
      <w:pPr>
        <w:pStyle w:val="CalloutExample"/>
      </w:pPr>
      <w:r>
        <w:rPr>
          <w:bCs/>
          <w:b/>
        </w:rPr>
        <w:t xml:space="preserve">WORKED EXAMPLE</w:t>
      </w:r>
    </w:p>
    <w:p>
      <w:pPr>
        <w:pStyle w:val="CalloutExample"/>
      </w:pPr>
      <w:r>
        <w:rPr>
          <w:bCs/>
          <w:b/>
        </w:rPr>
        <w:t xml:space="preserve">Worked example — A replica returns from 10 minutes of maintenance.</w:t>
      </w:r>
      <w:r>
        <w:t xml:space="preserve"> </w:t>
      </w:r>
      <w:r>
        <w:t xml:space="preserve">The primary commits</w:t>
      </w:r>
      <w:r>
        <w:t xml:space="preserve"> </w:t>
      </w:r>
      <m:oMath>
        <m:sSub>
          <m:e>
            <m:r>
              <m:t>r</m:t>
            </m:r>
          </m:e>
          <m:sub>
            <m:r>
              <m:rPr>
                <m:nor/>
                <m:sty m:val="p"/>
              </m:rPr>
              <m:t>in</m:t>
            </m:r>
          </m:sub>
        </m:sSub>
        <m:r>
          <m:rPr>
            <m:sty m:val="p"/>
          </m:rPr>
          <m:t>=</m:t>
        </m:r>
        <m:r>
          <m:t>5</m:t>
        </m:r>
        <m:r>
          <m:rPr>
            <m:sty m:val="p"/>
          </m:rPr>
          <m:t>,</m:t>
        </m:r>
        <m:r>
          <m:t>000</m:t>
        </m:r>
      </m:oMath>
      <w:r>
        <w:t xml:space="preserve"> </w:t>
      </w:r>
      <w:r>
        <w:t xml:space="preserve">transactions/s. The replica can apply</w:t>
      </w:r>
      <w:r>
        <w:t xml:space="preserve"> </w:t>
      </w:r>
      <m:oMath>
        <m:sSub>
          <m:e>
            <m:r>
              <m:t>r</m:t>
            </m:r>
          </m:e>
          <m:sub>
            <m:r>
              <m:rPr>
                <m:nor/>
                <m:sty m:val="p"/>
              </m:rPr>
              <m:t>apply</m:t>
            </m:r>
          </m:sub>
        </m:sSub>
        <m:r>
          <m:rPr>
            <m:sty m:val="p"/>
          </m:rPr>
          <m:t>=</m:t>
        </m:r>
        <m:r>
          <m:t>8</m:t>
        </m:r>
        <m:r>
          <m:rPr>
            <m:sty m:val="p"/>
          </m:rPr>
          <m:t>,</m:t>
        </m:r>
        <m:r>
          <m:t>000</m:t>
        </m:r>
      </m:oMath>
      <w:r>
        <w:t xml:space="preserve"> </w:t>
      </w:r>
      <w:r>
        <w:t xml:space="preserve">transactions/s with parallel apply.</w:t>
      </w:r>
    </w:p>
    <w:p>
      <w:pPr>
        <w:numPr>
          <w:ilvl w:val="0"/>
          <w:numId w:val="1470"/>
        </w:numPr>
        <w:pStyle w:val="Compact"/>
      </w:pPr>
      <w:r>
        <w:t xml:space="preserve">Backlog:</w:t>
      </w:r>
      <w:r>
        <w:t xml:space="preserve"> </w:t>
      </w:r>
      <m:oMath>
        <m:r>
          <m:t>B</m:t>
        </m:r>
        <m:r>
          <m:rPr>
            <m:sty m:val="p"/>
          </m:rPr>
          <m:t>=</m:t>
        </m:r>
        <m:r>
          <m:t>5</m:t>
        </m:r>
        <m:r>
          <m:rPr>
            <m:sty m:val="p"/>
          </m:rPr>
          <m:t>,</m:t>
        </m:r>
        <m:r>
          <m:t>000</m:t>
        </m:r>
        <m:r>
          <m:rPr>
            <m:sty m:val="p"/>
          </m:rPr>
          <m:t>×</m:t>
        </m:r>
        <m:r>
          <m:t>600</m:t>
        </m:r>
        <m:r>
          <m:t> </m:t>
        </m:r>
        <m:r>
          <m:rPr>
            <m:nor/>
            <m:sty m:val="p"/>
          </m:rPr>
          <m:t>s</m:t>
        </m:r>
        <m:r>
          <m:rPr>
            <m:sty m:val="p"/>
          </m:rPr>
          <m:t>=</m:t>
        </m:r>
        <m:r>
          <m:t>3</m:t>
        </m:r>
        <m:r>
          <m:rPr>
            <m:sty m:val="p"/>
          </m:rPr>
          <m:t>,</m:t>
        </m:r>
        <m:r>
          <m:t>000</m:t>
        </m:r>
        <m:r>
          <m:rPr>
            <m:sty m:val="p"/>
          </m:rPr>
          <m:t>,</m:t>
        </m:r>
        <m:r>
          <m:t>000</m:t>
        </m:r>
      </m:oMath>
      <w:r>
        <w:t xml:space="preserve"> </w:t>
      </w:r>
      <w:r>
        <w:t xml:space="preserve">transactions.</w:t>
      </w:r>
    </w:p>
    <w:p>
      <w:pPr>
        <w:numPr>
          <w:ilvl w:val="0"/>
          <w:numId w:val="1470"/>
        </w:numPr>
        <w:pStyle w:val="Compact"/>
      </w:pPr>
      <w:r>
        <w:t xml:space="preserve">Net drain rate:</w:t>
      </w:r>
      <w:r>
        <w:t xml:space="preserve"> </w:t>
      </w:r>
      <m:oMath>
        <m:r>
          <m:t>8</m:t>
        </m:r>
        <m:r>
          <m:rPr>
            <m:sty m:val="p"/>
          </m:rPr>
          <m:t>,</m:t>
        </m:r>
        <m:r>
          <m:t>000</m:t>
        </m:r>
        <m:r>
          <m:rPr>
            <m:sty m:val="p"/>
          </m:rPr>
          <m:t>−</m:t>
        </m:r>
        <m:r>
          <m:t>5</m:t>
        </m:r>
        <m:r>
          <m:rPr>
            <m:sty m:val="p"/>
          </m:rPr>
          <m:t>,</m:t>
        </m:r>
        <m:r>
          <m:t>000</m:t>
        </m:r>
        <m:r>
          <m:rPr>
            <m:sty m:val="p"/>
          </m:rPr>
          <m:t>=</m:t>
        </m:r>
        <m:r>
          <m:t>3</m:t>
        </m:r>
        <m:r>
          <m:rPr>
            <m:sty m:val="p"/>
          </m:rPr>
          <m:t>,</m:t>
        </m:r>
        <m:r>
          <m:t>000</m:t>
        </m:r>
      </m:oMath>
      <w:r>
        <w:t xml:space="preserve"> </w:t>
      </w:r>
      <w:r>
        <w:t xml:space="preserve">transactions/s.</w:t>
      </w:r>
    </w:p>
    <w:p>
      <w:pPr>
        <w:numPr>
          <w:ilvl w:val="0"/>
          <w:numId w:val="1470"/>
        </w:numPr>
        <w:pStyle w:val="Compact"/>
      </w:pPr>
      <w:r>
        <w:t xml:space="preserve">Catch-up time:</w:t>
      </w:r>
      <w:r>
        <w:t xml:space="preserve"> </w:t>
      </w:r>
      <m:oMath>
        <m:r>
          <m:t>3</m:t>
        </m:r>
        <m:r>
          <m:rPr>
            <m:sty m:val="p"/>
          </m:rPr>
          <m:t>,</m:t>
        </m:r>
        <m:r>
          <m:t>000</m:t>
        </m:r>
        <m:r>
          <m:rPr>
            <m:sty m:val="p"/>
          </m:rPr>
          <m:t>,</m:t>
        </m:r>
        <m:r>
          <m:t>000</m:t>
        </m:r>
        <m:r>
          <m:rPr>
            <m:sty m:val="p"/>
          </m:rPr>
          <m:t>/</m:t>
        </m:r>
        <m:r>
          <m:t>3</m:t>
        </m:r>
        <m:r>
          <m:rPr>
            <m:sty m:val="p"/>
          </m:rPr>
          <m:t>,</m:t>
        </m:r>
        <m:r>
          <m:t>000</m:t>
        </m:r>
        <m:r>
          <m:rPr>
            <m:sty m:val="p"/>
          </m:rPr>
          <m:t>=</m:t>
        </m:r>
        <m:r>
          <m:t>1</m:t>
        </m:r>
        <m:r>
          <m:rPr>
            <m:sty m:val="p"/>
          </m:rPr>
          <m:t>,</m:t>
        </m:r>
        <m:r>
          <m:t>000</m:t>
        </m:r>
      </m:oMath>
      <w:r>
        <w:t xml:space="preserve"> </w:t>
      </w:r>
      <w:r>
        <w:t xml:space="preserve">s, about 17 minutes.</w:t>
      </w:r>
    </w:p>
    <w:p>
      <w:pPr>
        <w:numPr>
          <w:ilvl w:val="0"/>
          <w:numId w:val="1470"/>
        </w:numPr>
        <w:pStyle w:val="Compact"/>
      </w:pPr>
      <w:r>
        <w:t xml:space="preserve">At 5,500 transactions/s the net drain is 500/s and catch-up takes 6,000 s (100 minutes); at 5,000/s it never ends.</w:t>
      </w:r>
    </w:p>
    <w:p>
      <w:pPr>
        <w:pStyle w:val="CalloutExample"/>
      </w:pPr>
      <w:r>
        <w:rPr>
          <w:bCs/>
          <w:b/>
        </w:rPr>
        <w:t xml:space="preserve">Interpretation.</w:t>
      </w:r>
      <w:r>
        <w:t xml:space="preserve"> </w:t>
      </w:r>
      <w:r>
        <w:t xml:space="preserve">Catch-up time depends on the</w:t>
      </w:r>
      <w:r>
        <w:t xml:space="preserve"> </w:t>
      </w:r>
      <w:r>
        <w:rPr>
          <w:iCs/>
          <w:i/>
        </w:rPr>
        <w:t xml:space="preserve">margin</w:t>
      </w:r>
      <w:r>
        <w:t xml:space="preserve"> </w:t>
      </w:r>
      <w:r>
        <w:t xml:space="preserve">between apply and arrival rates. A replica with 10 % spare apply capacity takes ten times as long to recover as the outage lasted.</w:t>
      </w:r>
      <w:r>
        <w:t xml:space="preserve"> </w:t>
      </w:r>
      <w:r>
        <w:rPr>
          <w:bCs/>
          <w:b/>
        </w:rPr>
        <w:t xml:space="preserve">Engineering implication.</w:t>
      </w:r>
      <w:r>
        <w:t xml:space="preserve"> </w:t>
      </w:r>
      <w:r>
        <w:t xml:space="preserve">Keep replicas out of the read pool until lag is within your staleness budget, and track apply headroom</w:t>
      </w:r>
      <w:r>
        <w:t xml:space="preserve"> </w:t>
      </w:r>
      <m:oMath>
        <m:sSub>
          <m:e>
            <m:r>
              <m:t>r</m:t>
            </m:r>
          </m:e>
          <m:sub>
            <m:r>
              <m:rPr>
                <m:nor/>
                <m:sty m:val="p"/>
              </m:rPr>
              <m:t>apply</m:t>
            </m:r>
          </m:sub>
        </m:sSub>
        <m:r>
          <m:rPr>
            <m:sty m:val="p"/>
          </m:rPr>
          <m:t>/</m:t>
        </m:r>
        <m:sSub>
          <m:e>
            <m:r>
              <m:t>r</m:t>
            </m:r>
          </m:e>
          <m:sub>
            <m:r>
              <m:rPr>
                <m:nor/>
                <m:sty m:val="p"/>
              </m:rPr>
              <m:t>in</m:t>
            </m:r>
          </m:sub>
        </m:sSub>
      </m:oMath>
      <w:r>
        <w:t xml:space="preserve"> </w:t>
      </w:r>
      <w:r>
        <w:t xml:space="preserve">as a capacity metric.</w:t>
      </w:r>
    </w:p>
    <w:bookmarkEnd w:id="1575"/>
    <w:bookmarkStart w:id="1579" w:name="anomalies-caused-by-lag"/>
    <w:p>
      <w:pPr>
        <w:pStyle w:val="Heading3"/>
      </w:pPr>
      <w:r>
        <w:t xml:space="preserve">14.4.3 Anomalies caused by lag</w:t>
      </w:r>
    </w:p>
    <w:p>
      <w:pPr>
        <w:pStyle w:val="FirstParagraph"/>
      </w:pPr>
      <w:r>
        <w:t xml:space="preserve">Lag is invisible until it violates a user’s expectations. Two violations are common. Chapter 25 (§25.6) treats these</w:t>
      </w:r>
      <w:r>
        <w:t xml:space="preserve"> </w:t>
      </w:r>
      <w:r>
        <w:rPr>
          <w:bCs/>
          <w:b/>
        </w:rPr>
        <w:t xml:space="preserve">session guarantees</w:t>
      </w:r>
      <w:r>
        <w:t xml:space="preserve"> </w:t>
      </w:r>
      <w:r>
        <w:t xml:space="preserve">formally.</w:t>
      </w:r>
    </w:p>
    <w:p>
      <w:pPr>
        <w:pStyle w:val="CalloutDefinition"/>
      </w:pPr>
      <w:r>
        <w:rPr>
          <w:bCs/>
          <w:b/>
        </w:rPr>
        <w:t xml:space="preserve">DEFINITION</w:t>
      </w:r>
    </w:p>
    <w:p>
      <w:pPr>
        <w:pStyle w:val="CalloutDefinition"/>
      </w:pPr>
      <w:r>
        <w:rPr>
          <w:bCs/>
          <w:b/>
        </w:rPr>
        <w:t xml:space="preserve">Definition — Read-your-writes consistency.</w:t>
      </w:r>
      <w:r>
        <w:t xml:space="preserve"> </w:t>
      </w:r>
      <w:r>
        <w:t xml:space="preserve">After a client writes a value, its own later reads return that value or a newer one. Other clients get no such promise.</w:t>
      </w:r>
    </w:p>
    <w:p>
      <w:pPr>
        <w:pStyle w:val="CalloutDefinition"/>
      </w:pPr>
      <w:r>
        <w:rPr>
          <w:bCs/>
          <w:b/>
        </w:rPr>
        <w:t xml:space="preserve">DEFINITION</w:t>
      </w:r>
    </w:p>
    <w:p>
      <w:pPr>
        <w:pStyle w:val="CalloutDefinition"/>
      </w:pPr>
      <w:r>
        <w:rPr>
          <w:bCs/>
          <w:b/>
        </w:rPr>
        <w:t xml:space="preserve">Definition — Monotonic reads.</w:t>
      </w:r>
      <w:r>
        <w:t xml:space="preserve"> </w:t>
      </w:r>
      <w:r>
        <w:t xml:space="preserve">A client never sees data move backwards: after reading some version, its later reads return that version or newer.</w:t>
      </w:r>
    </w:p>
    <w:p>
      <w:pPr>
        <w:pStyle w:val="BodyText"/>
      </w:pPr>
      <w:r>
        <w:rPr>
          <w:bCs/>
          <w:b/>
        </w:rPr>
        <w:t xml:space="preserve">Figure 14.3 — Two lag anomalies: lost own write and time going backwards.</w:t>
      </w:r>
    </w:p>
    <w:p>
      <w:pPr>
        <w:pStyle w:val="BodyText"/>
      </w:pPr>
      <w:r>
        <w:drawing>
          <wp:inline>
            <wp:extent cx="5334000" cy="3337315"/>
            <wp:effectExtent b="0" l="0" r="0" t="0"/>
            <wp:docPr descr="" title="" id="1577" name="Picture"/>
            <a:graphic>
              <a:graphicData uri="http://schemas.openxmlformats.org/drawingml/2006/picture">
                <pic:pic>
                  <pic:nvPicPr>
                    <pic:cNvPr descr="/home/user/System-Design/build/.cache/diagrams/49ba239a03a7.png" id="1578" name="Picture"/>
                    <pic:cNvPicPr>
                      <a:picLocks noChangeArrowheads="1" noChangeAspect="1"/>
                    </pic:cNvPicPr>
                  </pic:nvPicPr>
                  <pic:blipFill>
                    <a:blip r:embed="rId1576"/>
                    <a:stretch>
                      <a:fillRect/>
                    </a:stretch>
                  </pic:blipFill>
                  <pic:spPr bwMode="auto">
                    <a:xfrm>
                      <a:off x="0" y="0"/>
                      <a:ext cx="5334000" cy="3337315"/>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Calls are synchronous; replication (not drawn) is asynchronous. The read after the write lands on Replica 2, five seconds behind, so the edit seems lost. Then successive reads hit different replicas, and the comment count falls from 12 to 9. The failure point is the router’s freedom to pick any replica, and it bites more often as replicas are added.</w:t>
      </w:r>
    </w:p>
    <w:bookmarkEnd w:id="1579"/>
    <w:bookmarkStart w:id="1580" w:name="designing-around-lag"/>
    <w:p>
      <w:pPr>
        <w:pStyle w:val="Heading3"/>
      </w:pPr>
      <w:r>
        <w:t xml:space="preserve">14.4.4 Designing around lag</w:t>
      </w:r>
    </w:p>
    <w:p>
      <w:pPr>
        <w:pStyle w:val="FirstParagraph"/>
      </w:pPr>
      <w:r>
        <w:t xml:space="preserve">Each fix narrows the router’s freedom and so costs some read scalability.</w:t>
      </w:r>
    </w:p>
    <w:p>
      <w:pPr>
        <w:numPr>
          <w:ilvl w:val="0"/>
          <w:numId w:val="1471"/>
        </w:numPr>
        <w:pStyle w:val="Compact"/>
      </w:pPr>
      <w:r>
        <w:rPr>
          <w:bCs/>
          <w:b/>
        </w:rPr>
        <w:t xml:space="preserve">Read recent writers from the primary.</w:t>
      </w:r>
      <w:r>
        <w:t xml:space="preserve"> </w:t>
      </w:r>
      <w:r>
        <w:t xml:space="preserve">For a window after a user writes, such as 10 seconds, route that user’s reads to the primary. PhotoShare used this rule (Figure 1.6, §1.9). It is simple but fails silently if lag exceeds the window.</w:t>
      </w:r>
    </w:p>
    <w:p>
      <w:pPr>
        <w:numPr>
          <w:ilvl w:val="0"/>
          <w:numId w:val="1471"/>
        </w:numPr>
        <w:pStyle w:val="Compact"/>
      </w:pPr>
      <w:r>
        <w:rPr>
          <w:bCs/>
          <w:b/>
        </w:rPr>
        <w:t xml:space="preserve">Track the write’s log position.</w:t>
      </w:r>
      <w:r>
        <w:t xml:space="preserve"> </w:t>
      </w:r>
      <w:r>
        <w:t xml:space="preserve">Return the primary’s LSN or GTID after a write and read only from replicas that have applied it, or wait briefly until one has. MySQL offers</w:t>
      </w:r>
      <w:r>
        <w:t xml:space="preserve"> </w:t>
      </w:r>
      <w:r>
        <w:rPr>
          <w:rStyle w:val="VerbatimChar"/>
        </w:rPr>
        <w:t xml:space="preserve">WAIT_FOR_EXECUTED_GTID_SET()</w:t>
      </w:r>
      <w:r>
        <w:t xml:space="preserve">, and PostgreSQL exposes</w:t>
      </w:r>
      <w:r>
        <w:t xml:space="preserve"> </w:t>
      </w:r>
      <w:r>
        <w:rPr>
          <w:rStyle w:val="VerbatimChar"/>
        </w:rPr>
        <w:t xml:space="preserve">pg_last_wal_replay_lsn()</w:t>
      </w:r>
      <w:r>
        <w:t xml:space="preserve">. This is precise but needs a token plumbed through the application.</w:t>
      </w:r>
    </w:p>
    <w:p>
      <w:pPr>
        <w:numPr>
          <w:ilvl w:val="0"/>
          <w:numId w:val="1471"/>
        </w:numPr>
        <w:pStyle w:val="Compact"/>
      </w:pPr>
      <w:r>
        <w:rPr>
          <w:bCs/>
          <w:b/>
        </w:rPr>
        <w:t xml:space="preserve">Sticky replica per session.</w:t>
      </w:r>
      <w:r>
        <w:t xml:space="preserve"> </w:t>
      </w:r>
      <w:r>
        <w:t xml:space="preserve">Always read a session from the same replica. This gives monotonic reads but not read-your-writes.</w:t>
      </w:r>
    </w:p>
    <w:p>
      <w:pPr>
        <w:numPr>
          <w:ilvl w:val="0"/>
          <w:numId w:val="1471"/>
        </w:numPr>
        <w:pStyle w:val="Compact"/>
      </w:pPr>
      <w:r>
        <w:rPr>
          <w:bCs/>
          <w:b/>
        </w:rPr>
        <w:t xml:space="preserve">Synchronous apply where it matters.</w:t>
      </w:r>
      <w:r>
        <w:t xml:space="preserve"> </w:t>
      </w:r>
      <w:r>
        <w:t xml:space="preserve">Use</w:t>
      </w:r>
      <w:r>
        <w:t xml:space="preserve"> </w:t>
      </w:r>
      <w:r>
        <w:rPr>
          <w:rStyle w:val="VerbatimChar"/>
        </w:rPr>
        <w:t xml:space="preserve">remote_apply</w:t>
      </w:r>
      <w:r>
        <w:t xml:space="preserve"> </w:t>
      </w:r>
      <w:r>
        <w:t xml:space="preserve">for the replica that serves a specific critical read path.</w:t>
      </w:r>
    </w:p>
    <w:p>
      <w:pPr>
        <w:pStyle w:val="FirstParagraph"/>
      </w:pPr>
      <w:r>
        <w:t xml:space="preserve">The program below implements option 2 with a per-session watermark.</w:t>
      </w:r>
    </w:p>
    <w:p>
      <w:pPr>
        <w:pStyle w:val="SourceCode"/>
      </w:pPr>
      <w:r>
        <w:rPr>
          <w:rStyle w:val="CommentTok"/>
        </w:rPr>
        <w:t xml:space="preserve">"""Read-your-writes and monotonic reads with log-position tokens (simulation)."""</w:t>
      </w:r>
      <w:r>
        <w:br/>
      </w:r>
      <w:r>
        <w:rPr>
          <w:rStyle w:val="ImportTok"/>
        </w:rPr>
        <w:t xml:space="preserve">import</w:t>
      </w:r>
      <w:r>
        <w:rPr>
          <w:rStyle w:val="NormalTok"/>
        </w:rPr>
        <w:t xml:space="preserve"> random</w:t>
      </w:r>
      <w:r>
        <w:br/>
      </w:r>
      <w:r>
        <w:br/>
      </w:r>
      <w:r>
        <w:rPr>
          <w:rStyle w:val="KeywordTok"/>
        </w:rPr>
        <w:t xml:space="preserve">class</w:t>
      </w:r>
      <w:r>
        <w:rPr>
          <w:rStyle w:val="NormalTok"/>
        </w:rPr>
        <w:t xml:space="preserve"> Replica:</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w:t>
      </w:r>
      <w:r>
        <w:br/>
      </w:r>
      <w:r>
        <w:rPr>
          <w:rStyle w:val="NormalTok"/>
        </w:rPr>
        <w:t xml:space="preserve">        </w:t>
      </w:r>
      <w:r>
        <w:rPr>
          <w:rStyle w:val="VariableTok"/>
        </w:rPr>
        <w:t xml:space="preserve">self</w:t>
      </w:r>
      <w:r>
        <w:rPr>
          <w:rStyle w:val="NormalTok"/>
        </w:rPr>
        <w:t xml:space="preserve">.name, </w:t>
      </w:r>
      <w:r>
        <w:rPr>
          <w:rStyle w:val="VariableTok"/>
        </w:rPr>
        <w:t xml:space="preserve">self</w:t>
      </w:r>
      <w:r>
        <w:rPr>
          <w:rStyle w:val="NormalTok"/>
        </w:rPr>
        <w:t xml:space="preserve">.applied </w:t>
      </w:r>
      <w:r>
        <w:rPr>
          <w:rStyle w:val="OperatorTok"/>
        </w:rPr>
        <w:t xml:space="preserve">=</w:t>
      </w:r>
      <w:r>
        <w:rPr>
          <w:rStyle w:val="NormalTok"/>
        </w:rPr>
        <w:t xml:space="preserve"> name, </w:t>
      </w:r>
      <w:r>
        <w:rPr>
          <w:rStyle w:val="DecValTok"/>
        </w:rPr>
        <w:t xml:space="preserve">0</w:t>
      </w:r>
      <w:r>
        <w:rPr>
          <w:rStyle w:val="NormalTok"/>
        </w:rPr>
        <w:t xml:space="preserve">       </w:t>
      </w:r>
      <w:r>
        <w:rPr>
          <w:rStyle w:val="CommentTok"/>
        </w:rPr>
        <w:t xml:space="preserve"># applied log position (LSN)</w:t>
      </w:r>
      <w:r>
        <w:br/>
      </w:r>
      <w:r>
        <w:br/>
      </w:r>
      <w:r>
        <w:rPr>
          <w:rStyle w:val="KeywordTok"/>
        </w:rPr>
        <w:t xml:space="preserve">class</w:t>
      </w:r>
      <w:r>
        <w:rPr>
          <w:rStyle w:val="NormalTok"/>
        </w:rPr>
        <w:t xml:space="preserve"> Router:</w:t>
      </w:r>
      <w:r>
        <w:br/>
      </w:r>
      <w:r>
        <w:rPr>
          <w:rStyle w:val="NormalTok"/>
        </w:rPr>
        <w:t xml:space="preserve">    </w:t>
      </w:r>
      <w:r>
        <w:rPr>
          <w:rStyle w:val="CommentTok"/>
        </w:rPr>
        <w:t xml:space="preserve">"""Routes reads to any replica that has applied the session's watermark."""</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replicas):</w:t>
      </w:r>
      <w:r>
        <w:br/>
      </w:r>
      <w:r>
        <w:rPr>
          <w:rStyle w:val="NormalTok"/>
        </w:rPr>
        <w:t xml:space="preserve">        </w:t>
      </w:r>
      <w:r>
        <w:rPr>
          <w:rStyle w:val="VariableTok"/>
        </w:rPr>
        <w:t xml:space="preserve">self</w:t>
      </w:r>
      <w:r>
        <w:rPr>
          <w:rStyle w:val="NormalTok"/>
        </w:rPr>
        <w:t xml:space="preserve">.primary_lsn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.replicas </w:t>
      </w:r>
      <w:r>
        <w:rPr>
          <w:rStyle w:val="OperatorTok"/>
        </w:rPr>
        <w:t xml:space="preserve">=</w:t>
      </w:r>
      <w:r>
        <w:rPr>
          <w:rStyle w:val="NormalTok"/>
        </w:rPr>
        <w:t xml:space="preserve"> replicas</w:t>
      </w:r>
      <w:r>
        <w:br/>
      </w:r>
      <w:r>
        <w:rPr>
          <w:rStyle w:val="NormalTok"/>
        </w:rPr>
        <w:t xml:space="preserve">        </w:t>
      </w:r>
      <w:r>
        <w:rPr>
          <w:rStyle w:val="VariableTok"/>
        </w:rPr>
        <w:t xml:space="preserve">self</w:t>
      </w:r>
      <w:r>
        <w:rPr>
          <w:rStyle w:val="NormalTok"/>
        </w:rPr>
        <w:t xml:space="preserve">.watermark </w:t>
      </w:r>
      <w:r>
        <w:rPr>
          <w:rStyle w:val="OperatorTok"/>
        </w:rPr>
        <w:t xml:space="preserve">=</w:t>
      </w:r>
      <w:r>
        <w:rPr>
          <w:rStyle w:val="NormalTok"/>
        </w:rPr>
        <w:t xml:space="preserve"> {}                      </w:t>
      </w:r>
      <w:r>
        <w:rPr>
          <w:rStyle w:val="CommentTok"/>
        </w:rPr>
        <w:t xml:space="preserve"># session -&gt; minimum LSN to read</w:t>
      </w:r>
      <w:r>
        <w:br/>
      </w:r>
      <w:r>
        <w:br/>
      </w:r>
      <w:r>
        <w:rPr>
          <w:rStyle w:val="NormalTok"/>
        </w:rPr>
        <w:t xml:space="preserve">    </w:t>
      </w:r>
      <w:r>
        <w:rPr>
          <w:rStyle w:val="KeywordTok"/>
        </w:rPr>
        <w:t xml:space="preserve">def</w:t>
      </w:r>
      <w:r>
        <w:rPr>
          <w:rStyle w:val="NormalTok"/>
        </w:rPr>
        <w:t xml:space="preserve"> write(</w:t>
      </w:r>
      <w:r>
        <w:rPr>
          <w:rStyle w:val="VariableTok"/>
        </w:rPr>
        <w:t xml:space="preserve">self</w:t>
      </w:r>
      <w:r>
        <w:rPr>
          <w:rStyle w:val="NormalTok"/>
        </w:rPr>
        <w:t xml:space="preserve">, session):</w:t>
      </w:r>
      <w:r>
        <w:br/>
      </w:r>
      <w:r>
        <w:rPr>
          <w:rStyle w:val="NormalTok"/>
        </w:rPr>
        <w:t xml:space="preserve">        </w:t>
      </w:r>
      <w:r>
        <w:rPr>
          <w:rStyle w:val="VariableTok"/>
        </w:rPr>
        <w:t xml:space="preserve">self</w:t>
      </w:r>
      <w:r>
        <w:rPr>
          <w:rStyle w:val="NormalTok"/>
        </w:rPr>
        <w:t xml:space="preserve">.primary_lsn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commit on the primary</w:t>
      </w:r>
      <w:r>
        <w:br/>
      </w:r>
      <w:r>
        <w:rPr>
          <w:rStyle w:val="NormalTok"/>
        </w:rPr>
        <w:t xml:space="preserve">        </w:t>
      </w:r>
      <w:r>
        <w:rPr>
          <w:rStyle w:val="VariableTok"/>
        </w:rPr>
        <w:t xml:space="preserve">self</w:t>
      </w:r>
      <w:r>
        <w:rPr>
          <w:rStyle w:val="NormalTok"/>
        </w:rPr>
        <w:t xml:space="preserve">.watermark[session] </w:t>
      </w:r>
      <w:r>
        <w:rPr>
          <w:rStyle w:val="OperatorTok"/>
        </w:rPr>
        <w:t xml:space="preserve">=</w:t>
      </w:r>
      <w:r>
        <w:rPr>
          <w:rStyle w:val="NormalTok"/>
        </w:rPr>
        <w:t xml:space="preserve"> </w:t>
      </w:r>
      <w:r>
        <w:rPr>
          <w:rStyle w:val="VariableTok"/>
        </w:rPr>
        <w:t xml:space="preserve">self</w:t>
      </w:r>
      <w:r>
        <w:rPr>
          <w:rStyle w:val="NormalTok"/>
        </w:rPr>
        <w:t xml:space="preserve">.primary_lsn</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.primary_lsn</w:t>
      </w:r>
      <w:r>
        <w:br/>
      </w:r>
      <w:r>
        <w:br/>
      </w:r>
      <w:r>
        <w:rPr>
          <w:rStyle w:val="NormalTok"/>
        </w:rPr>
        <w:t xml:space="preserve">    </w:t>
      </w:r>
      <w:r>
        <w:rPr>
          <w:rStyle w:val="KeywordTok"/>
        </w:rPr>
        <w:t xml:space="preserve">def</w:t>
      </w:r>
      <w:r>
        <w:rPr>
          <w:rStyle w:val="NormalTok"/>
        </w:rPr>
        <w:t xml:space="preserve"> read(</w:t>
      </w:r>
      <w:r>
        <w:rPr>
          <w:rStyle w:val="VariableTok"/>
        </w:rPr>
        <w:t xml:space="preserve">self</w:t>
      </w:r>
      <w:r>
        <w:rPr>
          <w:rStyle w:val="NormalTok"/>
        </w:rPr>
        <w:t xml:space="preserve">, session):</w:t>
      </w:r>
      <w:r>
        <w:br/>
      </w:r>
      <w:r>
        <w:rPr>
          <w:rStyle w:val="NormalTok"/>
        </w:rPr>
        <w:t xml:space="preserve">        need </w:t>
      </w:r>
      <w:r>
        <w:rPr>
          <w:rStyle w:val="OperatorTok"/>
        </w:rPr>
        <w:t xml:space="preserve">=</w:t>
      </w:r>
      <w:r>
        <w:rPr>
          <w:rStyle w:val="NormalTok"/>
        </w:rPr>
        <w:t xml:space="preserve"> </w:t>
      </w:r>
      <w:r>
        <w:rPr>
          <w:rStyle w:val="VariableTok"/>
        </w:rPr>
        <w:t xml:space="preserve">self</w:t>
      </w:r>
      <w:r>
        <w:rPr>
          <w:rStyle w:val="NormalTok"/>
        </w:rPr>
        <w:t xml:space="preserve">.watermark.get(session, </w:t>
      </w:r>
      <w:r>
        <w:rPr>
          <w:rStyle w:val="DecValTok"/>
        </w:rPr>
        <w:t xml:space="preserve">0</w:t>
      </w:r>
      <w:r>
        <w:rPr>
          <w:rStyle w:val="NormalTok"/>
        </w:rPr>
        <w:t xml:space="preserve">)</w:t>
      </w:r>
      <w:r>
        <w:br/>
      </w:r>
      <w:r>
        <w:rPr>
          <w:rStyle w:val="NormalTok"/>
        </w:rPr>
        <w:t xml:space="preserve">        fresh </w:t>
      </w:r>
      <w:r>
        <w:rPr>
          <w:rStyle w:val="OperatorTok"/>
        </w:rPr>
        <w:t xml:space="preserve">=</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w:t>
      </w:r>
      <w:r>
        <w:rPr>
          <w:rStyle w:val="VariableTok"/>
        </w:rPr>
        <w:t xml:space="preserve">self</w:t>
      </w:r>
      <w:r>
        <w:rPr>
          <w:rStyle w:val="NormalTok"/>
        </w:rPr>
        <w:t xml:space="preserve">.replicas </w:t>
      </w:r>
      <w:r>
        <w:rPr>
          <w:rStyle w:val="ControlFlowTok"/>
        </w:rPr>
        <w:t xml:space="preserve">if</w:t>
      </w:r>
      <w:r>
        <w:rPr>
          <w:rStyle w:val="NormalTok"/>
        </w:rPr>
        <w:t xml:space="preserve"> r.applied </w:t>
      </w:r>
      <w:r>
        <w:rPr>
          <w:rStyle w:val="OperatorTok"/>
        </w:rPr>
        <w:t xml:space="preserve">&gt;=</w:t>
      </w:r>
      <w:r>
        <w:rPr>
          <w:rStyle w:val="NormalTok"/>
        </w:rPr>
        <w:t xml:space="preserve"> need]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fresh:</w:t>
      </w:r>
      <w:r>
        <w:br/>
      </w:r>
      <w:r>
        <w:rPr>
          <w:rStyle w:val="NormalTok"/>
        </w:rPr>
        <w:t xml:space="preserve">            </w:t>
      </w:r>
      <w:r>
        <w:rPr>
          <w:rStyle w:val="ControlFlowTok"/>
        </w:rPr>
        <w:t xml:space="preserve">return</w:t>
      </w:r>
      <w:r>
        <w:rPr>
          <w:rStyle w:val="NormalTok"/>
        </w:rPr>
        <w:t xml:space="preserve"> </w:t>
      </w:r>
      <w:r>
        <w:rPr>
          <w:rStyle w:val="StringTok"/>
        </w:rPr>
        <w:t xml:space="preserve">"primary"</w:t>
      </w:r>
      <w:r>
        <w:rPr>
          <w:rStyle w:val="NormalTok"/>
        </w:rPr>
        <w:t xml:space="preserve">                     </w:t>
      </w:r>
      <w:r>
        <w:rPr>
          <w:rStyle w:val="CommentTok"/>
        </w:rPr>
        <w:t xml:space="preserve"># nobody is fresh enough yet</w:t>
      </w:r>
      <w:r>
        <w:br/>
      </w:r>
      <w:r>
        <w:rPr>
          <w:rStyle w:val="NormalTok"/>
        </w:rPr>
        <w:t xml:space="preserve">        chosen </w:t>
      </w:r>
      <w:r>
        <w:rPr>
          <w:rStyle w:val="OperatorTok"/>
        </w:rPr>
        <w:t xml:space="preserve">=</w:t>
      </w:r>
      <w:r>
        <w:rPr>
          <w:rStyle w:val="NormalTok"/>
        </w:rPr>
        <w:t xml:space="preserve"> random.choice(fresh)</w:t>
      </w:r>
      <w:r>
        <w:br/>
      </w:r>
      <w:r>
        <w:rPr>
          <w:rStyle w:val="NormalTok"/>
        </w:rPr>
        <w:t xml:space="preserve">        </w:t>
      </w:r>
      <w:r>
        <w:rPr>
          <w:rStyle w:val="CommentTok"/>
        </w:rPr>
        <w:t xml:space="preserve"># monotonic reads: later reads must be at least as fresh as this one</w:t>
      </w:r>
      <w:r>
        <w:br/>
      </w:r>
      <w:r>
        <w:rPr>
          <w:rStyle w:val="NormalTok"/>
        </w:rPr>
        <w:t xml:space="preserve">        </w:t>
      </w:r>
      <w:r>
        <w:rPr>
          <w:rStyle w:val="VariableTok"/>
        </w:rPr>
        <w:t xml:space="preserve">self</w:t>
      </w:r>
      <w:r>
        <w:rPr>
          <w:rStyle w:val="NormalTok"/>
        </w:rPr>
        <w:t xml:space="preserve">.watermark[session] </w:t>
      </w:r>
      <w:r>
        <w:rPr>
          <w:rStyle w:val="OperatorTok"/>
        </w:rPr>
        <w:t xml:space="preserve">=</w:t>
      </w:r>
      <w:r>
        <w:rPr>
          <w:rStyle w:val="NormalTok"/>
        </w:rPr>
        <w:t xml:space="preserve"> </w:t>
      </w:r>
      <w:r>
        <w:rPr>
          <w:rStyle w:val="BuiltInTok"/>
        </w:rPr>
        <w:t xml:space="preserve">max</w:t>
      </w:r>
      <w:r>
        <w:rPr>
          <w:rStyle w:val="NormalTok"/>
        </w:rPr>
        <w:t xml:space="preserve">(need, chosen.applied)</w:t>
      </w:r>
      <w:r>
        <w:br/>
      </w:r>
      <w:r>
        <w:rPr>
          <w:rStyle w:val="NormalTok"/>
        </w:rPr>
        <w:t xml:space="preserve">        </w:t>
      </w:r>
      <w:r>
        <w:rPr>
          <w:rStyle w:val="ControlFlowTok"/>
        </w:rPr>
        <w:t xml:space="preserve">return</w:t>
      </w:r>
      <w:r>
        <w:rPr>
          <w:rStyle w:val="NormalTok"/>
        </w:rPr>
        <w:t xml:space="preserve"> chosen.name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random.seed(</w:t>
      </w:r>
      <w:r>
        <w:rPr>
          <w:rStyle w:val="DecValTok"/>
        </w:rPr>
        <w:t xml:space="preserve">7</w:t>
      </w:r>
      <w:r>
        <w:rPr>
          <w:rStyle w:val="NormalTok"/>
        </w:rPr>
        <w:t xml:space="preserve">)</w:t>
      </w:r>
      <w:r>
        <w:br/>
      </w:r>
      <w:r>
        <w:rPr>
          <w:rStyle w:val="NormalTok"/>
        </w:rPr>
        <w:t xml:space="preserve">    r1, r2 </w:t>
      </w:r>
      <w:r>
        <w:rPr>
          <w:rStyle w:val="OperatorTok"/>
        </w:rPr>
        <w:t xml:space="preserve">=</w:t>
      </w:r>
      <w:r>
        <w:rPr>
          <w:rStyle w:val="NormalTok"/>
        </w:rPr>
        <w:t xml:space="preserve"> Replica(</w:t>
      </w:r>
      <w:r>
        <w:rPr>
          <w:rStyle w:val="StringTok"/>
        </w:rPr>
        <w:t xml:space="preserve">"replica-1"</w:t>
      </w:r>
      <w:r>
        <w:rPr>
          <w:rStyle w:val="NormalTok"/>
        </w:rPr>
        <w:t xml:space="preserve">), Replica(</w:t>
      </w:r>
      <w:r>
        <w:rPr>
          <w:rStyle w:val="StringTok"/>
        </w:rPr>
        <w:t xml:space="preserve">"replica-2"</w:t>
      </w:r>
      <w:r>
        <w:rPr>
          <w:rStyle w:val="NormalTok"/>
        </w:rPr>
        <w:t xml:space="preserve">)</w:t>
      </w:r>
      <w:r>
        <w:br/>
      </w:r>
      <w:r>
        <w:rPr>
          <w:rStyle w:val="NormalTok"/>
        </w:rPr>
        <w:t xml:space="preserve">    router </w:t>
      </w:r>
      <w:r>
        <w:rPr>
          <w:rStyle w:val="OperatorTok"/>
        </w:rPr>
        <w:t xml:space="preserve">=</w:t>
      </w:r>
      <w:r>
        <w:rPr>
          <w:rStyle w:val="NormalTok"/>
        </w:rPr>
        <w:t xml:space="preserve"> Router([r1, r2])</w:t>
      </w:r>
      <w:r>
        <w:br/>
      </w:r>
      <w:r>
        <w:rPr>
          <w:rStyle w:val="NormalTok"/>
        </w:rPr>
        <w:t xml:space="preserve">    lsn </w:t>
      </w:r>
      <w:r>
        <w:rPr>
          <w:rStyle w:val="OperatorTok"/>
        </w:rPr>
        <w:t xml:space="preserve">=</w:t>
      </w:r>
      <w:r>
        <w:rPr>
          <w:rStyle w:val="NormalTok"/>
        </w:rPr>
        <w:t xml:space="preserve"> router.write(</w:t>
      </w:r>
      <w:r>
        <w:rPr>
          <w:rStyle w:val="StringTok"/>
        </w:rPr>
        <w:t xml:space="preserve">"alice"</w:t>
      </w:r>
      <w:r>
        <w:rPr>
          <w:rStyle w:val="NormalTok"/>
        </w:rPr>
        <w:t xml:space="preserve">)                  </w:t>
      </w:r>
      <w:r>
        <w:rPr>
          <w:rStyle w:val="CommentTok"/>
        </w:rPr>
        <w:t xml:space="preserve"># alice writes; LSN 1</w:t>
      </w:r>
      <w:r>
        <w:br/>
      </w:r>
      <w:r>
        <w:rPr>
          <w:rStyle w:val="NormalTok"/>
        </w:rPr>
        <w:t xml:space="preserve">    </w:t>
      </w:r>
      <w:r>
        <w:rPr>
          <w:rStyle w:val="BuiltInTok"/>
        </w:rPr>
        <w:t xml:space="preserve">print</w:t>
      </w:r>
      <w:r>
        <w:rPr>
          <w:rStyle w:val="NormalTok"/>
        </w:rPr>
        <w:t xml:space="preserve">(</w:t>
      </w:r>
      <w:r>
        <w:rPr>
          <w:rStyle w:val="StringTok"/>
        </w:rPr>
        <w:t xml:space="preserve">"right after write  -&gt;"</w:t>
      </w:r>
      <w:r>
        <w:rPr>
          <w:rStyle w:val="NormalTok"/>
        </w:rPr>
        <w:t xml:space="preserve">, router.read(</w:t>
      </w:r>
      <w:r>
        <w:rPr>
          <w:rStyle w:val="StringTok"/>
        </w:rPr>
        <w:t xml:space="preserve">"alice"</w:t>
      </w:r>
      <w:r>
        <w:rPr>
          <w:rStyle w:val="NormalTok"/>
        </w:rPr>
        <w:t xml:space="preserve">))   </w:t>
      </w:r>
      <w:r>
        <w:rPr>
          <w:rStyle w:val="CommentTok"/>
        </w:rPr>
        <w:t xml:space="preserve"># nobody has LSN 1</w:t>
      </w:r>
      <w:r>
        <w:br/>
      </w:r>
      <w:r>
        <w:rPr>
          <w:rStyle w:val="NormalTok"/>
        </w:rPr>
        <w:t xml:space="preserve">    r1.applied </w:t>
      </w:r>
      <w:r>
        <w:rPr>
          <w:rStyle w:val="OperatorTok"/>
        </w:rPr>
        <w:t xml:space="preserve">=</w:t>
      </w:r>
      <w:r>
        <w:rPr>
          <w:rStyle w:val="NormalTok"/>
        </w:rPr>
        <w:t xml:space="preserve"> lsn                             </w:t>
      </w:r>
      <w:r>
        <w:rPr>
          <w:rStyle w:val="CommentTok"/>
        </w:rPr>
        <w:t xml:space="preserve"># replica-1 catches up</w:t>
      </w:r>
      <w:r>
        <w:br/>
      </w:r>
      <w:r>
        <w:rPr>
          <w:rStyle w:val="NormalTok"/>
        </w:rPr>
        <w:t xml:space="preserve">    </w:t>
      </w:r>
      <w:r>
        <w:rPr>
          <w:rStyle w:val="BuiltInTok"/>
        </w:rPr>
        <w:t xml:space="preserve">print</w:t>
      </w:r>
      <w:r>
        <w:rPr>
          <w:rStyle w:val="NormalTok"/>
        </w:rPr>
        <w:t xml:space="preserve">(</w:t>
      </w:r>
      <w:r>
        <w:rPr>
          <w:rStyle w:val="StringTok"/>
        </w:rPr>
        <w:t xml:space="preserve">"replica-1 caught up -&gt;"</w:t>
      </w:r>
      <w:r>
        <w:rPr>
          <w:rStyle w:val="NormalTok"/>
        </w:rPr>
        <w:t xml:space="preserve">, router.read(</w:t>
      </w:r>
      <w:r>
        <w:rPr>
          <w:rStyle w:val="StringTok"/>
        </w:rPr>
        <w:t xml:space="preserve">"alice"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"bob (no writes)     -&gt;"</w:t>
      </w:r>
      <w:r>
        <w:rPr>
          <w:rStyle w:val="NormalTok"/>
        </w:rPr>
        <w:t xml:space="preserve">, router.read(</w:t>
      </w:r>
      <w:r>
        <w:rPr>
          <w:rStyle w:val="StringTok"/>
        </w:rPr>
        <w:t xml:space="preserve">"bob"</w:t>
      </w:r>
      <w:r>
        <w:rPr>
          <w:rStyle w:val="NormalTok"/>
        </w:rPr>
        <w:t xml:space="preserve">))    </w:t>
      </w:r>
      <w:r>
        <w:rPr>
          <w:rStyle w:val="CommentTok"/>
        </w:rPr>
        <w:t xml:space="preserve"># any replica is fine</w:t>
      </w:r>
    </w:p>
    <w:p>
      <w:pPr>
        <w:pStyle w:val="FirstParagraph"/>
      </w:pPr>
      <w:r>
        <w:t xml:space="preserve">What to notice:</w:t>
      </w:r>
    </w:p>
    <w:p>
      <w:pPr>
        <w:numPr>
          <w:ilvl w:val="0"/>
          <w:numId w:val="1472"/>
        </w:numPr>
        <w:pStyle w:val="Compact"/>
      </w:pPr>
      <w:r>
        <w:t xml:space="preserve">Only the user who wrote pays for freshness. Other sessions read from any replica.</w:t>
      </w:r>
    </w:p>
    <w:p>
      <w:pPr>
        <w:numPr>
          <w:ilvl w:val="0"/>
          <w:numId w:val="1472"/>
        </w:numPr>
        <w:pStyle w:val="Compact"/>
      </w:pPr>
      <w:r>
        <w:t xml:space="preserve">With no fresh replica, the router falls back to the primary. A production router might wait a few milliseconds first to avoid a stampede.</w:t>
      </w:r>
    </w:p>
    <w:p>
      <w:pPr>
        <w:numPr>
          <w:ilvl w:val="0"/>
          <w:numId w:val="1472"/>
        </w:numPr>
        <w:pStyle w:val="Compact"/>
      </w:pPr>
      <w:r>
        <w:t xml:space="preserve">Raising the watermark to the replica just read also gives monotonic reads.</w:t>
      </w:r>
    </w:p>
    <w:bookmarkEnd w:id="1580"/>
    <w:bookmarkStart w:id="1583" w:name="X75f8d5fa824603a48a10cbd272b954e612cb72f"/>
    <w:p>
      <w:pPr>
        <w:pStyle w:val="Heading3"/>
      </w:pPr>
      <w:r>
        <w:t xml:space="preserve">14.4.5 What travels on the wire: statement, row, physical and logical replication</w:t>
      </w:r>
    </w:p>
    <w:p>
      <w:pPr>
        <w:pStyle w:val="CalloutDefinition"/>
      </w:pPr>
      <w:r>
        <w:rPr>
          <w:bCs/>
          <w:b/>
        </w:rPr>
        <w:t xml:space="preserve">DEFINITION</w:t>
      </w:r>
    </w:p>
    <w:p>
      <w:pPr>
        <w:pStyle w:val="CalloutDefinition"/>
      </w:pPr>
      <w:r>
        <w:rPr>
          <w:bCs/>
          <w:b/>
        </w:rPr>
        <w:t xml:space="preserve">Definition — Replication log formats.</w:t>
      </w:r>
      <w:r>
        <w:t xml:space="preserve"> </w:t>
      </w:r>
      <w:r>
        <w:t xml:space="preserve">What the log describes: the SQL statements executed (</w:t>
      </w:r>
      <w:r>
        <w:rPr>
          <w:bCs/>
          <w:b/>
        </w:rPr>
        <w:t xml:space="preserve">statement-based</w:t>
      </w:r>
      <w:r>
        <w:t xml:space="preserve">), the changed rows (</w:t>
      </w:r>
      <w:r>
        <w:rPr>
          <w:bCs/>
          <w:b/>
        </w:rPr>
        <w:t xml:space="preserve">row-based</w:t>
      </w:r>
      <w:r>
        <w:t xml:space="preserve">), the storage engine’s page-level byte changes (</w:t>
      </w:r>
      <w:r>
        <w:rPr>
          <w:bCs/>
          <w:b/>
        </w:rPr>
        <w:t xml:space="preserve">physical</w:t>
      </w:r>
      <w:r>
        <w:t xml:space="preserve">, or WAL shipping), or decoded, engine-independent row changes per table (</w:t>
      </w:r>
      <w:r>
        <w:rPr>
          <w:bCs/>
          <w:b/>
        </w:rPr>
        <w:t xml:space="preserve">logical</w:t>
      </w:r>
      <w:r>
        <w:t xml:space="preserve">).</w:t>
      </w:r>
    </w:p>
    <w:bookmarkStart w:id="1581" w:name="how-each-works"/>
    <w:p>
      <w:pPr>
        <w:pStyle w:val="Heading4"/>
      </w:pPr>
      <w:r>
        <w:t xml:space="preserve">How each works</w:t>
      </w:r>
    </w:p>
    <w:p>
      <w:pPr>
        <w:numPr>
          <w:ilvl w:val="0"/>
          <w:numId w:val="1473"/>
        </w:numPr>
        <w:pStyle w:val="Compact"/>
      </w:pPr>
      <w:r>
        <w:rPr>
          <w:bCs/>
          <w:b/>
        </w:rPr>
        <w:t xml:space="preserve">Statement-based.</w:t>
      </w:r>
      <w:r>
        <w:t xml:space="preserve"> </w:t>
      </w:r>
      <w:r>
        <w:t xml:space="preserve">Replicas re-execute the primary’s SQL text. The log is compact, but non-determinism (</w:t>
      </w:r>
      <w:r>
        <w:rPr>
          <w:rStyle w:val="VerbatimChar"/>
        </w:rPr>
        <w:t xml:space="preserve">NOW()</w:t>
      </w:r>
      <w:r>
        <w:t xml:space="preserve">,</w:t>
      </w:r>
      <w:r>
        <w:t xml:space="preserve"> </w:t>
      </w:r>
      <w:r>
        <w:rPr>
          <w:rStyle w:val="VerbatimChar"/>
        </w:rPr>
        <w:t xml:space="preserve">RAND()</w:t>
      </w:r>
      <w:r>
        <w:t xml:space="preserve">,</w:t>
      </w:r>
      <w:r>
        <w:t xml:space="preserve"> </w:t>
      </w:r>
      <w:r>
        <w:rPr>
          <w:rStyle w:val="VerbatimChar"/>
        </w:rPr>
        <w:t xml:space="preserve">UPDATE ... LIMIT</w:t>
      </w:r>
      <w:r>
        <w:t xml:space="preserve"> </w:t>
      </w:r>
      <w:r>
        <w:t xml:space="preserve">without</w:t>
      </w:r>
      <w:r>
        <w:t xml:space="preserve"> </w:t>
      </w:r>
      <w:r>
        <w:rPr>
          <w:rStyle w:val="VerbatimChar"/>
        </w:rPr>
        <w:t xml:space="preserve">ORDER BY</w:t>
      </w:r>
      <w:r>
        <w:t xml:space="preserve">) makes copies diverge silently. MySQL’s</w:t>
      </w:r>
      <w:r>
        <w:t xml:space="preserve"> </w:t>
      </w:r>
      <w:r>
        <w:rPr>
          <w:rStyle w:val="VerbatimChar"/>
        </w:rPr>
        <w:t xml:space="preserve">MIXED</w:t>
      </w:r>
      <w:r>
        <w:t xml:space="preserve"> </w:t>
      </w:r>
      <w:r>
        <w:t xml:space="preserve">mode falls back to rows for statements it knows are unsafe.</w:t>
      </w:r>
    </w:p>
    <w:p>
      <w:pPr>
        <w:numPr>
          <w:ilvl w:val="0"/>
          <w:numId w:val="1473"/>
        </w:numPr>
        <w:pStyle w:val="Compact"/>
      </w:pPr>
      <w:r>
        <w:rPr>
          <w:bCs/>
          <w:b/>
        </w:rPr>
        <w:t xml:space="preserve">Row-based.</w:t>
      </w:r>
      <w:r>
        <w:t xml:space="preserve"> </w:t>
      </w:r>
      <w:r>
        <w:t xml:space="preserve">The log carries each changed row’s key and new values, so replay is deterministic, at the cost of volume: a million-row</w:t>
      </w:r>
      <w:r>
        <w:t xml:space="preserve"> </w:t>
      </w:r>
      <w:r>
        <w:rPr>
          <w:rStyle w:val="VerbatimChar"/>
        </w:rPr>
        <w:t xml:space="preserve">UPDATE</w:t>
      </w:r>
      <w:r>
        <w:t xml:space="preserve"> </w:t>
      </w:r>
      <w:r>
        <w:t xml:space="preserve">yields a million events.</w:t>
      </w:r>
      <w:r>
        <w:t xml:space="preserve"> </w:t>
      </w:r>
      <w:r>
        <w:rPr>
          <w:rStyle w:val="VerbatimChar"/>
        </w:rPr>
        <w:t xml:space="preserve">ROW</w:t>
      </w:r>
      <w:r>
        <w:t xml:space="preserve"> </w:t>
      </w:r>
      <w:r>
        <w:t xml:space="preserve">has been MySQL’s default since 5.7.7 [MySQL Docs: Replication Formats].</w:t>
      </w:r>
    </w:p>
    <w:p>
      <w:pPr>
        <w:numPr>
          <w:ilvl w:val="0"/>
          <w:numId w:val="1473"/>
        </w:numPr>
        <w:pStyle w:val="Compact"/>
      </w:pPr>
      <w:r>
        <w:rPr>
          <w:bCs/>
          <w:b/>
        </w:rPr>
        <w:t xml:space="preserve">Physical (WAL shipping).</w:t>
      </w:r>
      <w:r>
        <w:t xml:space="preserve"> </w:t>
      </w:r>
      <w:r>
        <w:t xml:space="preserve">PostgreSQL streams the WAL itself, page-level byte changes, so the replica is a byte-for-byte copy including indexes and replay is cheap. The coupling is tight: same major version, the whole cluster, no extra tables or indexes.</w:t>
      </w:r>
    </w:p>
    <w:p>
      <w:pPr>
        <w:numPr>
          <w:ilvl w:val="0"/>
          <w:numId w:val="1473"/>
        </w:numPr>
        <w:pStyle w:val="Compact"/>
      </w:pPr>
      <w:r>
        <w:rPr>
          <w:bCs/>
          <w:b/>
        </w:rPr>
        <w:t xml:space="preserve">Logical.</w:t>
      </w:r>
      <w:r>
        <w:t xml:space="preserve"> </w:t>
      </w:r>
      <w:r>
        <w:t xml:space="preserve">The primary decodes its WAL into per-table row changes and publishes them; in PostgreSQL (since version 10) a</w:t>
      </w:r>
      <w:r>
        <w:t xml:space="preserve"> </w:t>
      </w:r>
      <w:r>
        <w:rPr>
          <w:bCs/>
          <w:b/>
        </w:rPr>
        <w:t xml:space="preserve">publication</w:t>
      </w:r>
      <w:r>
        <w:t xml:space="preserve"> </w:t>
      </w:r>
      <w:r>
        <w:t xml:space="preserve">on the source feeds a</w:t>
      </w:r>
      <w:r>
        <w:t xml:space="preserve"> </w:t>
      </w:r>
      <w:r>
        <w:rPr>
          <w:bCs/>
          <w:b/>
        </w:rPr>
        <w:t xml:space="preserve">subscription</w:t>
      </w:r>
      <w:r>
        <w:t xml:space="preserve"> </w:t>
      </w:r>
      <w:r>
        <w:t xml:space="preserve">on the target [PostgreSQL Docs: Logical Replication]. This enables cross-version upgrades, partial copies and</w:t>
      </w:r>
      <w:r>
        <w:t xml:space="preserve"> </w:t>
      </w:r>
      <w:r>
        <w:rPr>
          <w:bCs/>
          <w:b/>
        </w:rPr>
        <w:t xml:space="preserve">change data capture (CDC)</w:t>
      </w:r>
      <w:r>
        <w:t xml:space="preserve"> </w:t>
      </w:r>
      <w:r>
        <w:t xml:space="preserve">into brokers and search indexes (§32.6). Built-in logical replication does not carry DDL, and a writable subscriber can conflict.</w:t>
      </w:r>
    </w:p>
    <w:p>
      <w:pPr>
        <w:pStyle w:val="FirstParagraph"/>
      </w:pPr>
      <w:r>
        <w:rPr>
          <w:bCs/>
          <w:b/>
        </w:rPr>
        <w:t xml:space="preserve">Table 14.3 — Replication log formats compared.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pPr>
          </w:p>
        </w:tc>
        <w:tc>
          <w:tcPr/>
          <w:p>
            <w:pPr>
              <w:pStyle w:val="Compact"/>
              <w:jc w:val="left"/>
            </w:pPr>
            <w:r>
              <w:t xml:space="preserve">Statement-based</w:t>
            </w:r>
          </w:p>
        </w:tc>
        <w:tc>
          <w:tcPr/>
          <w:p>
            <w:pPr>
              <w:pStyle w:val="Compact"/>
              <w:jc w:val="left"/>
            </w:pPr>
            <w:r>
              <w:t xml:space="preserve">Row-based</w:t>
            </w:r>
          </w:p>
        </w:tc>
        <w:tc>
          <w:tcPr/>
          <w:p>
            <w:pPr>
              <w:pStyle w:val="Compact"/>
              <w:jc w:val="left"/>
            </w:pPr>
            <w:r>
              <w:t xml:space="preserve">Physical (WAL)</w:t>
            </w:r>
          </w:p>
        </w:tc>
        <w:tc>
          <w:tcPr/>
          <w:p>
            <w:pPr>
              <w:pStyle w:val="Compact"/>
              <w:jc w:val="left"/>
            </w:pPr>
            <w:r>
              <w:t xml:space="preserve">Logical</w:t>
            </w:r>
          </w:p>
        </w:tc>
      </w:tr>
      <w:tr>
        <w:tc>
          <w:tcPr/>
          <w:p>
            <w:pPr>
              <w:pStyle w:val="Compact"/>
              <w:jc w:val="left"/>
            </w:pPr>
            <w:r>
              <w:t xml:space="preserve">What is shipped</w:t>
            </w:r>
          </w:p>
        </w:tc>
        <w:tc>
          <w:tcPr/>
          <w:p>
            <w:pPr>
              <w:pStyle w:val="Compact"/>
              <w:jc w:val="left"/>
            </w:pPr>
            <w:r>
              <w:t xml:space="preserve">SQL text</w:t>
            </w:r>
          </w:p>
        </w:tc>
        <w:tc>
          <w:tcPr/>
          <w:p>
            <w:pPr>
              <w:pStyle w:val="Compact"/>
              <w:jc w:val="left"/>
            </w:pPr>
            <w:r>
              <w:t xml:space="preserve">Changed rows</w:t>
            </w:r>
          </w:p>
        </w:tc>
        <w:tc>
          <w:tcPr/>
          <w:p>
            <w:pPr>
              <w:pStyle w:val="Compact"/>
              <w:jc w:val="left"/>
            </w:pPr>
            <w:r>
              <w:t xml:space="preserve">Page-level byte changes</w:t>
            </w:r>
          </w:p>
        </w:tc>
        <w:tc>
          <w:tcPr/>
          <w:p>
            <w:pPr>
              <w:pStyle w:val="Compact"/>
              <w:jc w:val="left"/>
            </w:pPr>
            <w:r>
              <w:t xml:space="preserve">Decoded row changes per table</w:t>
            </w:r>
          </w:p>
        </w:tc>
      </w:tr>
      <w:tr>
        <w:tc>
          <w:tcPr/>
          <w:p>
            <w:pPr>
              <w:pStyle w:val="Compact"/>
              <w:jc w:val="left"/>
            </w:pPr>
            <w:r>
              <w:t xml:space="preserve">Log volume for bulk update</w:t>
            </w:r>
          </w:p>
        </w:tc>
        <w:tc>
          <w:tcPr/>
          <w:p>
            <w:pPr>
              <w:pStyle w:val="Compact"/>
              <w:jc w:val="left"/>
            </w:pPr>
            <w:r>
              <w:t xml:space="preserve">Tiny</w:t>
            </w:r>
          </w:p>
        </w:tc>
        <w:tc>
          <w:tcPr/>
          <w:p>
            <w:pPr>
              <w:pStyle w:val="Compact"/>
              <w:jc w:val="left"/>
            </w:pPr>
            <w:r>
              <w:t xml:space="preserve">Large</w:t>
            </w:r>
          </w:p>
        </w:tc>
        <w:tc>
          <w:tcPr/>
          <w:p>
            <w:pPr>
              <w:pStyle w:val="Compact"/>
              <w:jc w:val="left"/>
            </w:pPr>
            <w:r>
              <w:t xml:space="preserve">Large (includes indexes)</w:t>
            </w:r>
          </w:p>
        </w:tc>
        <w:tc>
          <w:tcPr/>
          <w:p>
            <w:pPr>
              <w:pStyle w:val="Compact"/>
              <w:jc w:val="left"/>
            </w:pPr>
            <w:r>
              <w:t xml:space="preserve">Large</w:t>
            </w:r>
          </w:p>
        </w:tc>
      </w:tr>
      <w:tr>
        <w:tc>
          <w:tcPr/>
          <w:p>
            <w:pPr>
              <w:pStyle w:val="Compact"/>
              <w:jc w:val="left"/>
            </w:pPr>
            <w:r>
              <w:t xml:space="preserve">Determinism</w:t>
            </w:r>
          </w:p>
        </w:tc>
        <w:tc>
          <w:tcPr/>
          <w:p>
            <w:pPr>
              <w:pStyle w:val="Compact"/>
              <w:jc w:val="left"/>
            </w:pPr>
            <w:r>
              <w:t xml:space="preserve">Fragile</w:t>
            </w:r>
          </w:p>
        </w:tc>
        <w:tc>
          <w:tcPr/>
          <w:p>
            <w:pPr>
              <w:pStyle w:val="Compact"/>
              <w:jc w:val="left"/>
            </w:pPr>
            <w:r>
              <w:t xml:space="preserve">Exact</w:t>
            </w:r>
          </w:p>
        </w:tc>
        <w:tc>
          <w:tcPr/>
          <w:p>
            <w:pPr>
              <w:pStyle w:val="Compact"/>
              <w:jc w:val="left"/>
            </w:pPr>
            <w:r>
              <w:t xml:space="preserve">Exact</w:t>
            </w:r>
          </w:p>
        </w:tc>
        <w:tc>
          <w:tcPr/>
          <w:p>
            <w:pPr>
              <w:pStyle w:val="Compact"/>
              <w:jc w:val="left"/>
            </w:pPr>
            <w:r>
              <w:t xml:space="preserve">Exact</w:t>
            </w:r>
          </w:p>
        </w:tc>
      </w:tr>
      <w:tr>
        <w:tc>
          <w:tcPr/>
          <w:p>
            <w:pPr>
              <w:pStyle w:val="Compact"/>
              <w:jc w:val="left"/>
            </w:pPr>
            <w:r>
              <w:t xml:space="preserve">Version coupling</w:t>
            </w:r>
          </w:p>
        </w:tc>
        <w:tc>
          <w:tcPr/>
          <w:p>
            <w:pPr>
              <w:pStyle w:val="Compact"/>
              <w:jc w:val="left"/>
            </w:pPr>
            <w:r>
              <w:t xml:space="preserve">Loose</w:t>
            </w:r>
          </w:p>
        </w:tc>
        <w:tc>
          <w:tcPr/>
          <w:p>
            <w:pPr>
              <w:pStyle w:val="Compact"/>
              <w:jc w:val="left"/>
            </w:pPr>
            <w:r>
              <w:t xml:space="preserve">Loose</w:t>
            </w:r>
          </w:p>
        </w:tc>
        <w:tc>
          <w:tcPr/>
          <w:p>
            <w:pPr>
              <w:pStyle w:val="Compact"/>
              <w:jc w:val="left"/>
            </w:pPr>
            <w:r>
              <w:t xml:space="preserve">Same major version</w:t>
            </w:r>
          </w:p>
        </w:tc>
        <w:tc>
          <w:tcPr/>
          <w:p>
            <w:pPr>
              <w:pStyle w:val="Compact"/>
              <w:jc w:val="left"/>
            </w:pPr>
            <w:r>
              <w:t xml:space="preserve">Cross-version</w:t>
            </w:r>
          </w:p>
        </w:tc>
      </w:tr>
      <w:tr>
        <w:tc>
          <w:tcPr/>
          <w:p>
            <w:pPr>
              <w:pStyle w:val="Compact"/>
              <w:jc w:val="left"/>
            </w:pPr>
            <w:r>
              <w:t xml:space="preserve">Replica can differ (extra indexes, subset)</w:t>
            </w:r>
          </w:p>
        </w:tc>
        <w:tc>
          <w:tcPr/>
          <w:p>
            <w:pPr>
              <w:pStyle w:val="Compact"/>
              <w:jc w:val="left"/>
            </w:pPr>
            <w:r>
              <w:t xml:space="preserve">Partly</w:t>
            </w:r>
          </w:p>
        </w:tc>
        <w:tc>
          <w:tcPr/>
          <w:p>
            <w:pPr>
              <w:pStyle w:val="Compact"/>
              <w:jc w:val="left"/>
            </w:pPr>
            <w:r>
              <w:t xml:space="preserve">Partly</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Feeds CDC and other systems</w:t>
            </w:r>
          </w:p>
        </w:tc>
        <w:tc>
          <w:tcPr/>
          <w:p>
            <w:pPr>
              <w:pStyle w:val="Compact"/>
              <w:jc w:val="left"/>
            </w:pPr>
            <w:r>
              <w:t xml:space="preserve">No</w:t>
            </w:r>
          </w:p>
        </w:tc>
        <w:tc>
          <w:tcPr/>
          <w:p>
            <w:pPr>
              <w:pStyle w:val="Compact"/>
              <w:jc w:val="left"/>
            </w:pPr>
            <w:r>
              <w:t xml:space="preserve">Yes (binlog readers)</w:t>
            </w:r>
          </w:p>
        </w:tc>
        <w:tc>
          <w:tcPr/>
          <w:p>
            <w:pPr>
              <w:pStyle w:val="Compact"/>
              <w:jc w:val="left"/>
            </w:pPr>
            <w:r>
              <w:t xml:space="preserve">No</w:t>
            </w:r>
          </w:p>
        </w:tc>
        <w:tc>
          <w:tcPr/>
          <w:p>
            <w:pPr>
              <w:pStyle w:val="Compact"/>
              <w:jc w:val="left"/>
            </w:pPr>
            <w:r>
              <w:t xml:space="preserve">Yes</w:t>
            </w:r>
          </w:p>
        </w:tc>
      </w:tr>
    </w:tbl>
    <w:p>
      <w:pPr>
        <w:pStyle w:val="CalloutRecommendation"/>
      </w:pPr>
      <w:r>
        <w:rPr>
          <w:bCs/>
          <w:b/>
        </w:rPr>
        <w:t xml:space="preserve">RECOMMENDATION</w:t>
      </w:r>
    </w:p>
    <w:p>
      <w:pPr>
        <w:pStyle w:val="CalloutRecommendation"/>
      </w:pPr>
      <w:r>
        <w:rPr>
          <w:bCs/>
          <w:b/>
        </w:rPr>
        <w:t xml:space="preserve">Recommendation — Default choices.</w:t>
      </w:r>
      <w:r>
        <w:t xml:space="preserve"> </w:t>
      </w:r>
      <w:r>
        <w:t xml:space="preserve">Use row-based binlogs in MySQL and physical streaming for PostgreSQL high-availability replicas. Add logical replication for upgrades, partial copies or CDC.</w:t>
      </w:r>
    </w:p>
    <w:bookmarkEnd w:id="1581"/>
    <w:bookmarkStart w:id="1582" w:name="failure-scenarios-36"/>
    <w:p>
      <w:pPr>
        <w:pStyle w:val="Heading4"/>
      </w:pPr>
      <w:r>
        <w:t xml:space="preserve">Failure scenarios</w:t>
      </w:r>
    </w:p>
    <w:p>
      <w:pPr>
        <w:pStyle w:val="FirstParagraph"/>
      </w:pPr>
      <w:r>
        <w:rPr>
          <w:bCs/>
          <w:b/>
        </w:rPr>
        <w:t xml:space="preserve">Table 14.4 — Failure scenarios in replication modes and formats.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All commits hang</w:t>
            </w:r>
          </w:p>
        </w:tc>
        <w:tc>
          <w:tcPr/>
          <w:p>
            <w:pPr>
              <w:pStyle w:val="Compact"/>
              <w:jc w:val="left"/>
            </w:pPr>
            <w:r>
              <w:t xml:space="preserve">Sole synchronous standby is down</w:t>
            </w:r>
          </w:p>
        </w:tc>
        <w:tc>
          <w:tcPr/>
          <w:p>
            <w:pPr>
              <w:pStyle w:val="Compact"/>
              <w:jc w:val="left"/>
            </w:pPr>
            <w:r>
              <w:t xml:space="preserve">Commit latency spikes to timeout</w:t>
            </w:r>
          </w:p>
        </w:tc>
        <w:tc>
          <w:tcPr/>
          <w:p>
            <w:pPr>
              <w:pStyle w:val="Compact"/>
              <w:jc w:val="left"/>
            </w:pPr>
            <w:r>
              <w:t xml:space="preserve">Remove it from</w:t>
            </w:r>
            <w:r>
              <w:t xml:space="preserve"> </w:t>
            </w:r>
            <w:r>
              <w:rPr>
                <w:rStyle w:val="VerbatimChar"/>
              </w:rPr>
              <w:t xml:space="preserve">synchronous_standby_names</w:t>
            </w:r>
          </w:p>
        </w:tc>
        <w:tc>
          <w:tcPr/>
          <w:p>
            <w:pPr>
              <w:pStyle w:val="Compact"/>
              <w:jc w:val="left"/>
            </w:pPr>
            <w:r>
              <w:t xml:space="preserve">Quorum</w:t>
            </w:r>
            <w:r>
              <w:t xml:space="preserve"> </w:t>
            </w:r>
            <w:r>
              <w:rPr>
                <w:rStyle w:val="VerbatimChar"/>
              </w:rPr>
              <w:t xml:space="preserve">ANY k</w:t>
            </w:r>
            <w:r>
              <w:t xml:space="preserve"> </w:t>
            </w:r>
            <w:r>
              <w:t xml:space="preserve">over ≥</w:t>
            </w:r>
            <w:r>
              <w:t xml:space="preserve"> </w:t>
            </w:r>
            <m:oMath>
              <m:r>
                <m:t>k</m:t>
              </m:r>
              <m:r>
                <m:rPr>
                  <m:sty m:val="p"/>
                </m:rPr>
                <m:t>+</m:t>
              </m:r>
              <m:r>
                <m:t>1</m:t>
              </m:r>
            </m:oMath>
            <w:r>
              <w:t xml:space="preserve"> </w:t>
            </w:r>
            <w:r>
              <w:t xml:space="preserve">standbys</w:t>
            </w:r>
          </w:p>
        </w:tc>
      </w:tr>
      <w:tr>
        <w:tc>
          <w:tcPr/>
          <w:p>
            <w:pPr>
              <w:pStyle w:val="Compact"/>
              <w:jc w:val="left"/>
            </w:pPr>
            <w:r>
              <w:t xml:space="preserve">Silent loss of the durability guarantee</w:t>
            </w:r>
          </w:p>
        </w:tc>
        <w:tc>
          <w:tcPr/>
          <w:p>
            <w:pPr>
              <w:pStyle w:val="Compact"/>
              <w:jc w:val="left"/>
            </w:pPr>
            <w:r>
              <w:t xml:space="preserve">Semi-sync timed out and fell back to async</w:t>
            </w:r>
          </w:p>
        </w:tc>
        <w:tc>
          <w:tcPr/>
          <w:p>
            <w:pPr>
              <w:pStyle w:val="Compact"/>
              <w:jc w:val="left"/>
            </w:pPr>
            <w:r>
              <w:t xml:space="preserve">Semi-sync status counters</w:t>
            </w:r>
          </w:p>
        </w:tc>
        <w:tc>
          <w:tcPr/>
          <w:p>
            <w:pPr>
              <w:pStyle w:val="Compact"/>
              <w:jc w:val="left"/>
            </w:pPr>
            <w:r>
              <w:t xml:space="preserve">Restore replica health</w:t>
            </w:r>
          </w:p>
        </w:tc>
        <w:tc>
          <w:tcPr/>
          <w:p>
            <w:pPr>
              <w:pStyle w:val="Compact"/>
              <w:jc w:val="left"/>
            </w:pPr>
            <w:r>
              <w:t xml:space="preserve">Alert on fallback, not just on lag</w:t>
            </w:r>
          </w:p>
        </w:tc>
      </w:tr>
      <w:tr>
        <w:tc>
          <w:tcPr/>
          <w:p>
            <w:pPr>
              <w:pStyle w:val="Compact"/>
              <w:jc w:val="left"/>
            </w:pPr>
            <w:r>
              <w:t xml:space="preserve">Split brain after failover</w:t>
            </w:r>
          </w:p>
        </w:tc>
        <w:tc>
          <w:tcPr/>
          <w:p>
            <w:pPr>
              <w:pStyle w:val="Compact"/>
              <w:jc w:val="left"/>
            </w:pPr>
            <w:r>
              <w:t xml:space="preserve">Old primary still accepts writes</w:t>
            </w:r>
          </w:p>
        </w:tc>
        <w:tc>
          <w:tcPr/>
          <w:p>
            <w:pPr>
              <w:pStyle w:val="Compact"/>
              <w:jc w:val="left"/>
            </w:pPr>
            <w:r>
              <w:t xml:space="preserve">Two nodes report primary role</w:t>
            </w:r>
          </w:p>
        </w:tc>
        <w:tc>
          <w:tcPr/>
          <w:p>
            <w:pPr>
              <w:pStyle w:val="Compact"/>
              <w:jc w:val="left"/>
            </w:pPr>
            <w:r>
              <w:t xml:space="preserve">Fence old primary; reconcile</w:t>
            </w:r>
          </w:p>
        </w:tc>
        <w:tc>
          <w:tcPr/>
          <w:p>
            <w:pPr>
              <w:pStyle w:val="Compact"/>
              <w:jc w:val="left"/>
            </w:pPr>
            <w:r>
              <w:t xml:space="preserve">Fencing tokens and leases (§26.11–§26.13)</w:t>
            </w:r>
          </w:p>
        </w:tc>
      </w:tr>
    </w:tbl>
    <w:bookmarkEnd w:id="1582"/>
    <w:bookmarkEnd w:id="1583"/>
    <w:bookmarkEnd w:id="1584"/>
    <w:bookmarkStart w:id="1593" w:name="multi-primary-replication"/>
    <w:p>
      <w:pPr>
        <w:pStyle w:val="Heading2"/>
      </w:pPr>
      <w:r>
        <w:t xml:space="preserve">14.5 Multi-primary replication</w:t>
      </w:r>
    </w:p>
    <w:bookmarkStart w:id="1592" w:name="writes-in-more-than-one-place"/>
    <w:p>
      <w:pPr>
        <w:pStyle w:val="Heading3"/>
      </w:pPr>
      <w:r>
        <w:t xml:space="preserve">14.5.1 Writes in more than one place</w:t>
      </w:r>
    </w:p>
    <w:p>
      <w:pPr>
        <w:pStyle w:val="CalloutDefinition"/>
      </w:pPr>
      <w:r>
        <w:rPr>
          <w:bCs/>
          <w:b/>
        </w:rPr>
        <w:t xml:space="preserve">DEFINITION</w:t>
      </w:r>
    </w:p>
    <w:p>
      <w:pPr>
        <w:pStyle w:val="CalloutDefinition"/>
      </w:pPr>
      <w:r>
        <w:rPr>
          <w:bCs/>
          <w:b/>
        </w:rPr>
        <w:t xml:space="preserve">Definition — Multi-primary replication.</w:t>
      </w:r>
      <w:r>
        <w:t xml:space="preserve"> </w:t>
      </w:r>
      <w:r>
        <w:t xml:space="preserve">More than one node accepts writes for the same data and replicates to the others (also</w:t>
      </w:r>
      <w:r>
        <w:t xml:space="preserve"> </w:t>
      </w:r>
      <w:r>
        <w:rPr>
          <w:bCs/>
          <w:b/>
        </w:rPr>
        <w:t xml:space="preserve">multi-leader</w:t>
      </w:r>
      <w:r>
        <w:t xml:space="preserve"> </w:t>
      </w:r>
      <w:r>
        <w:t xml:space="preserve">or</w:t>
      </w:r>
      <w:r>
        <w:t xml:space="preserve"> </w:t>
      </w:r>
      <w:r>
        <w:rPr>
          <w:bCs/>
          <w:b/>
        </w:rPr>
        <w:t xml:space="preserve">active–active</w:t>
      </w:r>
      <w:r>
        <w:t xml:space="preserve">). Concurrent uncoordinated changes to the same row create</w:t>
      </w:r>
      <w:r>
        <w:t xml:space="preserve"> </w:t>
      </w:r>
      <w:r>
        <w:rPr>
          <w:bCs/>
          <w:b/>
        </w:rPr>
        <w:t xml:space="preserve">write conflicts</w:t>
      </w:r>
      <w:r>
        <w:t xml:space="preserve"> </w:t>
      </w:r>
      <w:r>
        <w:t xml:space="preserve">that must be detected and resolved.</w:t>
      </w:r>
    </w:p>
    <w:bookmarkStart w:id="1585" w:name="first-principles-explanation-88"/>
    <w:p>
      <w:pPr>
        <w:pStyle w:val="Heading4"/>
      </w:pPr>
      <w:r>
        <w:t xml:space="preserve">First-principles explanation</w:t>
      </w:r>
    </w:p>
    <w:p>
      <w:pPr>
        <w:pStyle w:val="FirstParagraph"/>
      </w:pPr>
      <w:r>
        <w:t xml:space="preserve">Two offices each keep a copy of the customer address book and exchange changes every evening. Each can edit at full speed even when the phone lines are down, but if both change Mrs. Rivera’s address on the same day, somebody needs a rule for which one wins.</w:t>
      </w:r>
    </w:p>
    <w:bookmarkEnd w:id="1585"/>
    <w:bookmarkStart w:id="1586" w:name="why-does-this-exist-51"/>
    <w:p>
      <w:pPr>
        <w:pStyle w:val="Heading4"/>
      </w:pPr>
      <w:r>
        <w:t xml:space="preserve">Why does this exist?</w:t>
      </w:r>
    </w:p>
    <w:p>
      <w:pPr>
        <w:pStyle w:val="FirstParagraph"/>
      </w:pPr>
      <w:r>
        <w:t xml:space="preserve">Single-primary replication makes distant users pay 70–150 ms per write and stops all writes if the primary’s region is cut off. Multi-primary puts a writable primary in each region. Offline-capable clients, such as a calendar app, are the same pattern with each device as a primary.</w:t>
      </w:r>
    </w:p>
    <w:bookmarkEnd w:id="1586"/>
    <w:bookmarkStart w:id="1590" w:name="how-it-works-internally-56"/>
    <w:p>
      <w:pPr>
        <w:pStyle w:val="Heading4"/>
      </w:pPr>
      <w:r>
        <w:t xml:space="preserve">How it works internally</w:t>
      </w:r>
    </w:p>
    <w:p>
      <w:pPr>
        <w:numPr>
          <w:ilvl w:val="0"/>
          <w:numId w:val="1474"/>
        </w:numPr>
        <w:pStyle w:val="Compact"/>
      </w:pPr>
      <w:r>
        <w:t xml:space="preserve">Each region’s primary accepts local writes and commits them locally.</w:t>
      </w:r>
    </w:p>
    <w:p>
      <w:pPr>
        <w:numPr>
          <w:ilvl w:val="0"/>
          <w:numId w:val="1474"/>
        </w:numPr>
        <w:pStyle w:val="Compact"/>
      </w:pPr>
      <w:r>
        <w:t xml:space="preserve">Changes are replicated asynchronously to the other primaries, tagged with their origin so they are not echoed back.</w:t>
      </w:r>
    </w:p>
    <w:p>
      <w:pPr>
        <w:numPr>
          <w:ilvl w:val="0"/>
          <w:numId w:val="1474"/>
        </w:numPr>
        <w:pStyle w:val="Compact"/>
      </w:pPr>
      <w:r>
        <w:t xml:space="preserve">When a change arrives that touches a row also changed locally since the last sync, the receiving primary detects a conflict.</w:t>
      </w:r>
    </w:p>
    <w:p>
      <w:pPr>
        <w:numPr>
          <w:ilvl w:val="0"/>
          <w:numId w:val="1474"/>
        </w:numPr>
        <w:pStyle w:val="Compact"/>
      </w:pPr>
      <w:r>
        <w:t xml:space="preserve">A</w:t>
      </w:r>
      <w:r>
        <w:t xml:space="preserve"> </w:t>
      </w:r>
      <w:r>
        <w:rPr>
          <w:bCs/>
          <w:b/>
        </w:rPr>
        <w:t xml:space="preserve">conflict-resolution</w:t>
      </w:r>
      <w:r>
        <w:t xml:space="preserve"> </w:t>
      </w:r>
      <w:r>
        <w:t xml:space="preserve">policy picks the outcome. Common policies are</w:t>
      </w:r>
      <w:r>
        <w:t xml:space="preserve"> </w:t>
      </w:r>
      <w:r>
        <w:rPr>
          <w:bCs/>
          <w:b/>
        </w:rPr>
        <w:t xml:space="preserve">last-writer-wins</w:t>
      </w:r>
      <w:r>
        <w:t xml:space="preserve"> </w:t>
      </w:r>
      <w:r>
        <w:t xml:space="preserve">(LWW, the change with the later timestamp wins, which silently discards the other), a custom merge function, keeping both versions for the application to resolve, or</w:t>
      </w:r>
      <w:r>
        <w:t xml:space="preserve"> </w:t>
      </w:r>
      <w:r>
        <w:rPr>
          <w:bCs/>
          <w:b/>
        </w:rPr>
        <w:t xml:space="preserve">conflict-free replicated data types</w:t>
      </w:r>
      <w:r>
        <w:t xml:space="preserve"> </w:t>
      </w:r>
      <w:r>
        <w:t xml:space="preserve">(CRDTs) whose merges are mathematically guaranteed to converge. Chapter 27 (§27.14) covers these in depth.</w:t>
      </w:r>
    </w:p>
    <w:p>
      <w:pPr>
        <w:pStyle w:val="FirstParagraph"/>
      </w:pPr>
      <w:r>
        <w:rPr>
          <w:bCs/>
          <w:b/>
        </w:rPr>
        <w:t xml:space="preserve">Figure 14.4 — Two-region multi-primary replication and a write conflict.</w:t>
      </w:r>
    </w:p>
    <w:p>
      <w:pPr>
        <w:pStyle w:val="BodyText"/>
      </w:pPr>
      <w:r>
        <w:drawing>
          <wp:inline>
            <wp:extent cx="5334000" cy="1664811"/>
            <wp:effectExtent b="0" l="0" r="0" t="0"/>
            <wp:docPr descr="" title="" id="1588" name="Picture"/>
            <a:graphic>
              <a:graphicData uri="http://schemas.openxmlformats.org/drawingml/2006/picture">
                <pic:pic>
                  <pic:nvPicPr>
                    <pic:cNvPr descr="/home/user/System-Design/build/.cache/diagrams/6497f4864db1.png" id="1589" name="Picture"/>
                    <pic:cNvPicPr>
                      <a:picLocks noChangeArrowheads="1" noChangeAspect="1"/>
                    </pic:cNvPicPr>
                  </pic:nvPicPr>
                  <pic:blipFill>
                    <a:blip r:embed="rId1587"/>
                    <a:stretch>
                      <a:fillRect/>
                    </a:stretch>
                  </pic:blipFill>
                  <pic:spPr bwMode="auto">
                    <a:xfrm>
                      <a:off x="0" y="0"/>
                      <a:ext cx="5334000" cy="1664811"/>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Each region writes synchronously to its local primary (about 1 ms), and the primaries exchange changes asynchronously, so the two storage boundaries differ until replication catches up. Every incoming change passes the conflict detector. The resolver is the failure point: LWW depends on clocks (§24.9) and silently drops a write, and uniqueness cannot be enforced across regions. Each added region adds pairs of primaries that can conflict.</w:t>
      </w:r>
    </w:p>
    <w:bookmarkEnd w:id="1590"/>
    <w:bookmarkStart w:id="1591" w:name="X8210fe37666abb3745e142bda2e8cbe8ebd2667"/>
    <w:p>
      <w:pPr>
        <w:pStyle w:val="Heading4"/>
      </w:pPr>
      <w:r>
        <w:t xml:space="preserve">Advantages, disadvantages and when to choose it</w:t>
      </w:r>
    </w:p>
    <w:p>
      <w:pPr>
        <w:pStyle w:val="FirstParagraph"/>
      </w:pPr>
      <w:r>
        <w:t xml:space="preserve">Multi-primary buys local write latency and partition tolerance at the cost of global constraints, linearizable reads, colliding auto-increment keys and much harder debugging. A common compromise is</w:t>
      </w:r>
      <w:r>
        <w:t xml:space="preserve"> </w:t>
      </w:r>
      <w:r>
        <w:rPr>
          <w:bCs/>
          <w:b/>
        </w:rPr>
        <w:t xml:space="preserve">partitioned ownership</w:t>
      </w:r>
      <w:r>
        <w:t xml:space="preserve">: each row has one home region that is its only primary, which gives most of the latency benefit with no conflicts. Choose true multi-primary only when the same data must be written concurrently in several regions</w:t>
      </w:r>
      <w:r>
        <w:t xml:space="preserve"> </w:t>
      </w:r>
      <w:r>
        <w:rPr>
          <w:iCs/>
          <w:i/>
        </w:rPr>
        <w:t xml:space="preserve">and</w:t>
      </w:r>
      <w:r>
        <w:t xml:space="preserve"> </w:t>
      </w:r>
      <w:r>
        <w:t xml:space="preserve">you can define a merge.</w:t>
      </w:r>
    </w:p>
    <w:p>
      <w:pPr>
        <w:pStyle w:val="CalloutIndustry"/>
      </w:pPr>
      <w:r>
        <w:rPr>
          <w:bCs/>
          <w:b/>
        </w:rPr>
        <w:t xml:space="preserve">INDUSTRY EXAMPLE</w:t>
      </w:r>
    </w:p>
    <w:p>
      <w:pPr>
        <w:pStyle w:val="CalloutIndustry"/>
      </w:pPr>
      <w:r>
        <w:rPr>
          <w:bCs/>
          <w:b/>
        </w:rPr>
        <w:t xml:space="preserve">MySQL Group Replication.</w:t>
      </w:r>
      <w:r>
        <w:t xml:space="preserve"> </w:t>
      </w:r>
      <w:r>
        <w:t xml:space="preserve">In multi-primary mode, all members accept writes. Transactions are certified through a group-communication protocol, and one that conflicts with an earlier-certified transaction is rolled back rather than merged. It needs a low-latency network, so it is typically used within one region.</w:t>
      </w:r>
      <w:r>
        <w:t xml:space="preserve"> </w:t>
      </w:r>
      <w:r>
        <w:rPr>
          <w:iCs/>
          <w:i/>
        </w:rPr>
        <w:t xml:space="preserve">Evidence: Primary</w:t>
      </w:r>
      <w:r>
        <w:t xml:space="preserve"> </w:t>
      </w:r>
      <w:r>
        <w:t xml:space="preserve">— [MySQL Docs: Group Replication]</w:t>
      </w:r>
    </w:p>
    <w:p>
      <w:pPr>
        <w:pStyle w:val="CalloutMistake"/>
      </w:pPr>
      <w:r>
        <w:rPr>
          <w:bCs/>
          <w:b/>
        </w:rPr>
        <w:t xml:space="preserve">COMMON MISTAKE</w:t>
      </w:r>
    </w:p>
    <w:p>
      <w:pPr>
        <w:pStyle w:val="CalloutMistake"/>
      </w:pPr>
      <w:r>
        <w:rPr>
          <w:bCs/>
          <w:b/>
        </w:rPr>
        <w:t xml:space="preserve">Mistake —</w:t>
      </w:r>
      <w:r>
        <w:rPr>
          <w:bCs/>
          <w:b/>
        </w:rPr>
        <w:t xml:space="preserve"> </w:t>
      </w:r>
      <w:r>
        <w:rPr>
          <w:bCs/>
          <w:b/>
        </w:rPr>
        <w:t xml:space="preserve">“</w:t>
      </w:r>
      <w:r>
        <w:rPr>
          <w:bCs/>
          <w:b/>
        </w:rPr>
        <w:t xml:space="preserve">Active–active doubles write capacity.</w:t>
      </w:r>
      <w:r>
        <w:rPr>
          <w:bCs/>
          <w:b/>
        </w:rPr>
        <w:t xml:space="preserve">”</w:t>
      </w:r>
      <w:r>
        <w:t xml:space="preserve"> </w:t>
      </w:r>
      <w:r>
        <w:t xml:space="preserve">Every primary still applies every other primary’s writes. Multi-primary improves write</w:t>
      </w:r>
      <w:r>
        <w:t xml:space="preserve"> </w:t>
      </w:r>
      <w:r>
        <w:rPr>
          <w:iCs/>
          <w:i/>
        </w:rPr>
        <w:t xml:space="preserve">latency</w:t>
      </w:r>
      <w:r>
        <w:t xml:space="preserve"> </w:t>
      </w:r>
      <w:r>
        <w:t xml:space="preserve">and</w:t>
      </w:r>
      <w:r>
        <w:t xml:space="preserve"> </w:t>
      </w:r>
      <w:r>
        <w:rPr>
          <w:iCs/>
          <w:i/>
        </w:rPr>
        <w:t xml:space="preserve">availability</w:t>
      </w:r>
      <w:r>
        <w:t xml:space="preserve">, not total write throughput.</w:t>
      </w:r>
    </w:p>
    <w:bookmarkEnd w:id="1591"/>
    <w:bookmarkEnd w:id="1592"/>
    <w:bookmarkEnd w:id="1593"/>
    <w:bookmarkStart w:id="1603" w:name="Xa273d6fdddde354e5e075b8de913685126b0816"/>
    <w:p>
      <w:pPr>
        <w:pStyle w:val="Heading2"/>
      </w:pPr>
      <w:r>
        <w:t xml:space="preserve">14.6 Partitioning: range, hash, list and directory-based</w:t>
      </w:r>
    </w:p>
    <w:bookmarkStart w:id="1602" w:name="what-partitioning-is"/>
    <w:p>
      <w:pPr>
        <w:pStyle w:val="Heading3"/>
      </w:pPr>
      <w:r>
        <w:t xml:space="preserve">14.6.1 What partitioning is</w:t>
      </w:r>
    </w:p>
    <w:p>
      <w:pPr>
        <w:pStyle w:val="CalloutDefinition"/>
      </w:pPr>
      <w:r>
        <w:rPr>
          <w:bCs/>
          <w:b/>
        </w:rPr>
        <w:t xml:space="preserve">DEFINITION</w:t>
      </w:r>
    </w:p>
    <w:p>
      <w:pPr>
        <w:pStyle w:val="CalloutDefinition"/>
      </w:pPr>
      <w:r>
        <w:rPr>
          <w:bCs/>
          <w:b/>
        </w:rPr>
        <w:t xml:space="preserve">Definition — Partition (shard).</w:t>
      </w:r>
      <w:r>
        <w:t xml:space="preserve"> </w:t>
      </w:r>
      <w:r>
        <w:t xml:space="preserve">A subset of a dataset’s rows, stored and served together, such that every row belongs to exactly one partition.</w:t>
      </w:r>
      <w:r>
        <w:t xml:space="preserve"> </w:t>
      </w:r>
      <w:r>
        <w:rPr>
          <w:bCs/>
          <w:b/>
        </w:rPr>
        <w:t xml:space="preserve">Partitioning</w:t>
      </w:r>
      <w:r>
        <w:t xml:space="preserve"> </w:t>
      </w:r>
      <w:r>
        <w:t xml:space="preserve">spreads partitions over nodes;</w:t>
      </w:r>
      <w:r>
        <w:t xml:space="preserve"> </w:t>
      </w:r>
      <w:r>
        <w:rPr>
          <w:bCs/>
          <w:b/>
        </w:rPr>
        <w:t xml:space="preserve">sharding</w:t>
      </w:r>
      <w:r>
        <w:t xml:space="preserve"> </w:t>
      </w:r>
      <w:r>
        <w:t xml:space="preserve">is a synonym used mostly for separate database servers. This book uses</w:t>
      </w:r>
      <w:r>
        <w:t xml:space="preserve"> </w:t>
      </w:r>
      <w:r>
        <w:rPr>
          <w:iCs/>
          <w:i/>
        </w:rPr>
        <w:t xml:space="preserve">partition</w:t>
      </w:r>
      <w:r>
        <w:t xml:space="preserve"> </w:t>
      </w:r>
      <w:r>
        <w:t xml:space="preserve">and</w:t>
      </w:r>
      <w:r>
        <w:t xml:space="preserve"> </w:t>
      </w:r>
      <w:r>
        <w:rPr>
          <w:iCs/>
          <w:i/>
        </w:rPr>
        <w:t xml:space="preserve">shard</w:t>
      </w:r>
      <w:r>
        <w:t xml:space="preserve"> </w:t>
      </w:r>
      <w:r>
        <w:t xml:space="preserve">interchangeably and reserves</w:t>
      </w:r>
      <w:r>
        <w:t xml:space="preserve"> </w:t>
      </w:r>
      <w:r>
        <w:rPr>
          <w:bCs/>
          <w:b/>
        </w:rPr>
        <w:t xml:space="preserve">network partition</w:t>
      </w:r>
      <w:r>
        <w:t xml:space="preserve"> </w:t>
      </w:r>
      <w:r>
        <w:t xml:space="preserve">for network splits (§24.7). The columns that choose a row’s partition form the</w:t>
      </w:r>
      <w:r>
        <w:t xml:space="preserve"> </w:t>
      </w:r>
      <w:r>
        <w:rPr>
          <w:bCs/>
          <w:b/>
        </w:rPr>
        <w:t xml:space="preserve">partition key</w:t>
      </w:r>
      <w:r>
        <w:t xml:space="preserve"> </w:t>
      </w:r>
      <w:r>
        <w:t xml:space="preserve">(or</w:t>
      </w:r>
      <w:r>
        <w:t xml:space="preserve"> </w:t>
      </w:r>
      <w:r>
        <w:rPr>
          <w:bCs/>
          <w:b/>
        </w:rPr>
        <w:t xml:space="preserve">shard key</w:t>
      </w:r>
      <w:r>
        <w:t xml:space="preserve">).</w:t>
      </w:r>
    </w:p>
    <w:bookmarkStart w:id="1594" w:name="first-principles-explanation-89"/>
    <w:p>
      <w:pPr>
        <w:pStyle w:val="Heading4"/>
      </w:pPr>
      <w:r>
        <w:t xml:space="preserve">First-principles explanation</w:t>
      </w:r>
    </w:p>
    <w:p>
      <w:pPr>
        <w:pStyle w:val="FirstParagraph"/>
      </w:pPr>
      <w:r>
        <w:t xml:space="preserve">A library that outgrows one room does not photocopy every book into a second room; that would be replication. It moves A–M to one room and N–Z to another. Each room holds and serves half the books, and a visitor seeking one title goes straight to the right room. A visitor asking</w:t>
      </w:r>
      <w:r>
        <w:t xml:space="preserve"> </w:t>
      </w:r>
      <w:r>
        <w:t xml:space="preserve">“</w:t>
      </w:r>
      <w:r>
        <w:t xml:space="preserve">which books were published in 1987?</w:t>
      </w:r>
      <w:r>
        <w:t xml:space="preserve">”</w:t>
      </w:r>
      <w:r>
        <w:t xml:space="preserve"> </w:t>
      </w:r>
      <w:r>
        <w:t xml:space="preserve">must search both. Capacity scales with rooms, lookups by the partitioning attribute stay cheap, and everything else gets more expensive.</w:t>
      </w:r>
    </w:p>
    <w:bookmarkEnd w:id="1594"/>
    <w:bookmarkStart w:id="1595" w:name="why-does-this-exist-52"/>
    <w:p>
      <w:pPr>
        <w:pStyle w:val="Heading4"/>
      </w:pPr>
      <w:r>
        <w:t xml:space="preserve">Why does this exist?</w:t>
      </w:r>
    </w:p>
    <w:p>
      <w:pPr>
        <w:pStyle w:val="FirstParagraph"/>
      </w:pPr>
      <w:r>
        <w:t xml:space="preserve">Replication cannot fix three limits: one primary’s write rate, one node’s storage and one node’s memory for the working set. Partitioning divides all three by the number of partitions. It is the only general way to scale writes horizontally. (PostgreSQL’s declarative table partitioning splits a table on the</w:t>
      </w:r>
      <w:r>
        <w:t xml:space="preserve"> </w:t>
      </w:r>
      <w:r>
        <w:rPr>
          <w:iCs/>
          <w:i/>
        </w:rPr>
        <w:t xml:space="preserve">same</w:t>
      </w:r>
      <w:r>
        <w:t xml:space="preserve"> </w:t>
      </w:r>
      <w:r>
        <w:t xml:space="preserve">node, which helps maintenance but adds no machines.)</w:t>
      </w:r>
    </w:p>
    <w:bookmarkEnd w:id="1595"/>
    <w:bookmarkStart w:id="1596" w:name="how-it-works-internally-57"/>
    <w:p>
      <w:pPr>
        <w:pStyle w:val="Heading4"/>
      </w:pPr>
      <w:r>
        <w:t xml:space="preserve">How it works internally</w:t>
      </w:r>
    </w:p>
    <w:p>
      <w:pPr>
        <w:pStyle w:val="FirstParagraph"/>
      </w:pPr>
      <w:r>
        <w:t xml:space="preserve">Every partitioned system answers two questions per request:</w:t>
      </w:r>
      <w:r>
        <w:t xml:space="preserve"> </w:t>
      </w:r>
      <w:r>
        <w:rPr>
          <w:bCs/>
          <w:b/>
        </w:rPr>
        <w:t xml:space="preserve">which partition holds this key?</w:t>
      </w:r>
      <w:r>
        <w:t xml:space="preserve"> </w:t>
      </w:r>
      <w:r>
        <w:t xml:space="preserve">and</w:t>
      </w:r>
      <w:r>
        <w:t xml:space="preserve"> </w:t>
      </w:r>
      <w:r>
        <w:rPr>
          <w:bCs/>
          <w:b/>
        </w:rPr>
        <w:t xml:space="preserve">which node holds that partition?</w:t>
      </w:r>
      <w:r>
        <w:t xml:space="preserve"> </w:t>
      </w:r>
      <w:r>
        <w:t xml:space="preserve">The schemes differ in the first answer.</w:t>
      </w:r>
    </w:p>
    <w:p>
      <w:pPr>
        <w:numPr>
          <w:ilvl w:val="0"/>
          <w:numId w:val="1475"/>
        </w:numPr>
        <w:pStyle w:val="Compact"/>
      </w:pPr>
      <w:r>
        <w:rPr>
          <w:bCs/>
          <w:b/>
        </w:rPr>
        <w:t xml:space="preserve">Range partitioning.</w:t>
      </w:r>
      <w:r>
        <w:t xml:space="preserve"> </w:t>
      </w:r>
      <w:r>
        <w:t xml:space="preserve">Each partition owns a contiguous key range, found by binary search over a small boundary table. Range scans touch only overlapping partitions. But sequential keys, such as timestamps or auto-increment IDs, send</w:t>
      </w:r>
      <w:r>
        <w:t xml:space="preserve"> </w:t>
      </w:r>
      <w:r>
        <w:rPr>
          <w:iCs/>
          <w:i/>
        </w:rPr>
        <w:t xml:space="preserve">all</w:t>
      </w:r>
      <w:r>
        <w:t xml:space="preserve"> </w:t>
      </w:r>
      <w:r>
        <w:t xml:space="preserve">new writes to the last partition. Bigtable, HBase and the distributed SQL systems of Chapter 28 range-partition and split ranges as they grow [Chang et al. 2006].</w:t>
      </w:r>
    </w:p>
    <w:p>
      <w:pPr>
        <w:numPr>
          <w:ilvl w:val="0"/>
          <w:numId w:val="1475"/>
        </w:numPr>
        <w:pStyle w:val="Compact"/>
      </w:pPr>
      <w:r>
        <w:rPr>
          <w:bCs/>
          <w:b/>
        </w:rPr>
        <w:t xml:space="preserve">Hash partitioning.</w:t>
      </w:r>
      <w:r>
        <w:t xml:space="preserve"> </w:t>
      </w:r>
      <w:r>
        <w:t xml:space="preserve">Partitions own ranges of</w:t>
      </w:r>
      <w:r>
        <w:t xml:space="preserve"> </w:t>
      </w:r>
      <m:oMath>
        <m:r>
          <m:t>h</m:t>
        </m:r>
        <m:d>
          <m:dPr>
            <m:begChr m:val="("/>
            <m:endChr m:val=")"/>
            <m:sepChr m:val=""/>
            <m:grow/>
          </m:dPr>
          <m:e>
            <m:r>
              <m:rPr>
                <m:nor/>
                <m:sty m:val="p"/>
              </m:rPr>
              <m:t>key</m:t>
            </m:r>
          </m:e>
        </m:d>
      </m:oMath>
      <w:r>
        <w:t xml:space="preserve">, or</w:t>
      </w:r>
      <w:r>
        <w:t xml:space="preserve"> </w:t>
      </w:r>
      <m:oMath>
        <m:r>
          <m:t>h</m:t>
        </m:r>
        <m:d>
          <m:dPr>
            <m:begChr m:val="("/>
            <m:endChr m:val=")"/>
            <m:sepChr m:val=""/>
            <m:grow/>
          </m:dPr>
          <m:e>
            <m:r>
              <m:rPr>
                <m:nor/>
                <m:sty m:val="p"/>
              </m:rPr>
              <m:t>key</m:t>
            </m:r>
          </m:e>
        </m:d>
        <m:r>
          <m:t> </m:t>
        </m:r>
        <m:r>
          <m:rPr>
            <m:sty m:val="p"/>
          </m:rPr>
          <m:t>mod</m:t>
        </m:r>
        <m:r>
          <m:t> </m:t>
        </m:r>
        <m:r>
          <m:t>P</m:t>
        </m:r>
      </m:oMath>
      <w:r>
        <w:t xml:space="preserve"> </w:t>
      </w:r>
      <w:r>
        <w:t xml:space="preserve">for a fixed</w:t>
      </w:r>
      <w:r>
        <w:t xml:space="preserve"> </w:t>
      </w:r>
      <m:oMath>
        <m:r>
          <m:t>P</m:t>
        </m:r>
      </m:oMath>
      <w:r>
        <w:t xml:space="preserve">. Even sequential keys spread evenly, but range queries on the key must ask every partition. Mapping hashes to a changing set of nodes is §14.8.</w:t>
      </w:r>
    </w:p>
    <w:p>
      <w:pPr>
        <w:numPr>
          <w:ilvl w:val="0"/>
          <w:numId w:val="1475"/>
        </w:numPr>
        <w:pStyle w:val="Compact"/>
      </w:pPr>
      <w:r>
        <w:rPr>
          <w:bCs/>
          <w:b/>
        </w:rPr>
        <w:t xml:space="preserve">List partitioning.</w:t>
      </w:r>
      <w:r>
        <w:t xml:space="preserve"> </w:t>
      </w:r>
      <w:r>
        <w:t xml:space="preserve">Each partition owns an explicit list of values, such as</w:t>
      </w:r>
      <w:r>
        <w:t xml:space="preserve"> </w:t>
      </w:r>
      <w:r>
        <w:rPr>
          <w:rStyle w:val="VerbatimChar"/>
        </w:rPr>
        <w:t xml:space="preserve">country IN ('DE', 'FR', 'IT')</w:t>
      </w:r>
      <w:r>
        <w:t xml:space="preserve">. It suits low-cardinality attributes with business meaning, especially</w:t>
      </w:r>
      <w:r>
        <w:t xml:space="preserve"> </w:t>
      </w:r>
      <w:r>
        <w:rPr>
          <w:bCs/>
          <w:b/>
        </w:rPr>
        <w:t xml:space="preserve">data residency</w:t>
      </w:r>
      <w:r>
        <w:t xml:space="preserve"> </w:t>
      </w:r>
      <w:r>
        <w:t xml:space="preserve">(Chapter 44).</w:t>
      </w:r>
    </w:p>
    <w:p>
      <w:pPr>
        <w:numPr>
          <w:ilvl w:val="0"/>
          <w:numId w:val="1475"/>
        </w:numPr>
        <w:pStyle w:val="Compact"/>
      </w:pPr>
      <w:r>
        <w:rPr>
          <w:bCs/>
          <w:b/>
        </w:rPr>
        <w:t xml:space="preserve">Directory-based partitioning.</w:t>
      </w:r>
      <w:r>
        <w:t xml:space="preserve"> </w:t>
      </w:r>
      <w:r>
        <w:t xml:space="preserve">A lookup service maps each key, or group of keys such as a tenant, to its partition. Any placement is possible, and moving a tenant means copying its data and editing one entry. The directory is on every request’s path, so it is cached and stored in a strongly consistent replicated store.</w:t>
      </w:r>
    </w:p>
    <w:p>
      <w:pPr>
        <w:pStyle w:val="FirstParagraph"/>
      </w:pPr>
      <w:r>
        <w:rPr>
          <w:bCs/>
          <w:b/>
        </w:rPr>
        <w:t xml:space="preserve">Compound keys</w:t>
      </w:r>
      <w:r>
        <w:t xml:space="preserve"> </w:t>
      </w:r>
      <w:r>
        <w:t xml:space="preserve">combine schemes: Cassandra’s primary key</w:t>
      </w:r>
      <w:r>
        <w:t xml:space="preserve"> </w:t>
      </w:r>
      <w:r>
        <w:rPr>
          <w:rStyle w:val="VerbatimChar"/>
        </w:rPr>
        <w:t xml:space="preserve">((user_id), created_at)</w:t>
      </w:r>
      <w:r>
        <w:t xml:space="preserve"> </w:t>
      </w:r>
      <w:r>
        <w:t xml:space="preserve">hashes</w:t>
      </w:r>
      <w:r>
        <w:t xml:space="preserve"> </w:t>
      </w:r>
      <w:r>
        <w:rPr>
          <w:rStyle w:val="VerbatimChar"/>
        </w:rPr>
        <w:t xml:space="preserve">user_id</w:t>
      </w:r>
      <w:r>
        <w:t xml:space="preserve"> </w:t>
      </w:r>
      <w:r>
        <w:t xml:space="preserve">to place the partition and keeps each user’s rows sorted by time inside it, so</w:t>
      </w:r>
      <w:r>
        <w:t xml:space="preserve"> </w:t>
      </w:r>
      <w:r>
        <w:t xml:space="preserve">“</w:t>
      </w:r>
      <w:r>
        <w:t xml:space="preserve">user 42’s latest 20 posts</w:t>
      </w:r>
      <w:r>
        <w:t xml:space="preserve">”</w:t>
      </w:r>
      <w:r>
        <w:t xml:space="preserve"> </w:t>
      </w:r>
      <w:r>
        <w:t xml:space="preserve">is one sequential read [Lakshman and Malik 2010].</w:t>
      </w:r>
    </w:p>
    <w:bookmarkEnd w:id="1596"/>
    <w:bookmarkStart w:id="1600" w:name="architecture-diagram-15"/>
    <w:p>
      <w:pPr>
        <w:pStyle w:val="Heading4"/>
      </w:pPr>
      <w:r>
        <w:t xml:space="preserve">Architecture diagram</w:t>
      </w:r>
    </w:p>
    <w:p>
      <w:pPr>
        <w:pStyle w:val="FirstParagraph"/>
      </w:pPr>
      <w:r>
        <w:rPr>
          <w:bCs/>
          <w:b/>
        </w:rPr>
        <w:t xml:space="preserve">Figure 14.5 — Four ways to answer</w:t>
      </w:r>
      <w:r>
        <w:rPr>
          <w:bCs/>
          <w:b/>
        </w:rPr>
        <w:t xml:space="preserve"> </w:t>
      </w:r>
      <w:r>
        <w:rPr>
          <w:bCs/>
          <w:b/>
        </w:rPr>
        <w:t xml:space="preserve">“</w:t>
      </w:r>
      <w:r>
        <w:rPr>
          <w:bCs/>
          <w:b/>
        </w:rPr>
        <w:t xml:space="preserve">which partition holds this key?</w:t>
      </w:r>
      <w:r>
        <w:rPr>
          <w:bCs/>
          <w:b/>
        </w:rPr>
        <w:t xml:space="preserve">”</w:t>
      </w:r>
    </w:p>
    <w:p>
      <w:pPr>
        <w:pStyle w:val="BodyText"/>
      </w:pPr>
      <w:r>
        <w:drawing>
          <wp:inline>
            <wp:extent cx="5334000" cy="4020910"/>
            <wp:effectExtent b="0" l="0" r="0" t="0"/>
            <wp:docPr descr="" title="" id="1598" name="Picture"/>
            <a:graphic>
              <a:graphicData uri="http://schemas.openxmlformats.org/drawingml/2006/picture">
                <pic:pic>
                  <pic:nvPicPr>
                    <pic:cNvPr descr="/home/user/System-Design/build/.cache/diagrams/50c2cfe1ab45.png" id="1599" name="Picture"/>
                    <pic:cNvPicPr>
                      <a:picLocks noChangeArrowheads="1" noChangeAspect="1"/>
                    </pic:cNvPicPr>
                  </pic:nvPicPr>
                  <pic:blipFill>
                    <a:blip r:embed="rId1597"/>
                    <a:stretch>
                      <a:fillRect/>
                    </a:stretch>
                  </pic:blipFill>
                  <pic:spPr bwMode="auto">
                    <a:xfrm>
                      <a:off x="0" y="0"/>
                      <a:ext cx="5334000" cy="4020910"/>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scheme is a design-time choice, not a runtime branch. Range, hash and list are pure functions plus a small cached table; a directory adds a synchronous lookup unless cached. All yield a partition ID that a separate map turns into a node, so rebalancing edits only that map (§14.9). Failure points: a stale map (nodes must reject misrouted requests) and a directory outage. Scaling: add nodes and move partitions; the key-to-partition function never changes.</w:t>
      </w:r>
    </w:p>
    <w:p>
      <w:pPr>
        <w:pStyle w:val="BodyText"/>
      </w:pPr>
      <w:r>
        <w:rPr>
          <w:bCs/>
          <w:b/>
        </w:rPr>
        <w:t xml:space="preserve">Table 14.5 — Partitioning schemes compared.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pPr>
          </w:p>
        </w:tc>
        <w:tc>
          <w:tcPr/>
          <w:p>
            <w:pPr>
              <w:pStyle w:val="Compact"/>
              <w:jc w:val="left"/>
            </w:pPr>
            <w:r>
              <w:t xml:space="preserve">Range</w:t>
            </w:r>
          </w:p>
        </w:tc>
        <w:tc>
          <w:tcPr/>
          <w:p>
            <w:pPr>
              <w:pStyle w:val="Compact"/>
              <w:jc w:val="left"/>
            </w:pPr>
            <w:r>
              <w:t xml:space="preserve">Hash</w:t>
            </w:r>
          </w:p>
        </w:tc>
        <w:tc>
          <w:tcPr/>
          <w:p>
            <w:pPr>
              <w:pStyle w:val="Compact"/>
              <w:jc w:val="left"/>
            </w:pPr>
            <w:r>
              <w:t xml:space="preserve">List</w:t>
            </w:r>
          </w:p>
        </w:tc>
        <w:tc>
          <w:tcPr/>
          <w:p>
            <w:pPr>
              <w:pStyle w:val="Compact"/>
              <w:jc w:val="left"/>
            </w:pPr>
            <w:r>
              <w:t xml:space="preserve">Directory</w:t>
            </w:r>
          </w:p>
        </w:tc>
      </w:tr>
      <w:tr>
        <w:tc>
          <w:tcPr/>
          <w:p>
            <w:pPr>
              <w:pStyle w:val="Compact"/>
              <w:jc w:val="left"/>
            </w:pPr>
            <w:r>
              <w:t xml:space="preserve">What it is</w:t>
            </w:r>
          </w:p>
        </w:tc>
        <w:tc>
          <w:tcPr/>
          <w:p>
            <w:pPr>
              <w:pStyle w:val="Compact"/>
              <w:jc w:val="left"/>
            </w:pPr>
            <w:r>
              <w:t xml:space="preserve">Contiguous key ranges</w:t>
            </w:r>
          </w:p>
        </w:tc>
        <w:tc>
          <w:tcPr/>
          <w:p>
            <w:pPr>
              <w:pStyle w:val="Compact"/>
              <w:jc w:val="left"/>
            </w:pPr>
            <w:r>
              <w:t xml:space="preserve">Ranges of hashed key</w:t>
            </w:r>
          </w:p>
        </w:tc>
        <w:tc>
          <w:tcPr/>
          <w:p>
            <w:pPr>
              <w:pStyle w:val="Compact"/>
              <w:jc w:val="left"/>
            </w:pPr>
            <w:r>
              <w:t xml:space="preserve">Explicit value lists</w:t>
            </w:r>
          </w:p>
        </w:tc>
        <w:tc>
          <w:tcPr/>
          <w:p>
            <w:pPr>
              <w:pStyle w:val="Compact"/>
              <w:jc w:val="left"/>
            </w:pPr>
            <w:r>
              <w:t xml:space="preserve">Explicit key-to-partition map</w:t>
            </w:r>
          </w:p>
        </w:tc>
      </w:tr>
      <w:tr>
        <w:tc>
          <w:tcPr/>
          <w:p>
            <w:pPr>
              <w:pStyle w:val="Compact"/>
              <w:jc w:val="left"/>
            </w:pPr>
            <w:r>
              <w:t xml:space="preserve">Load balance</w:t>
            </w:r>
          </w:p>
        </w:tc>
        <w:tc>
          <w:tcPr/>
          <w:p>
            <w:pPr>
              <w:pStyle w:val="Compact"/>
              <w:jc w:val="left"/>
            </w:pPr>
            <w:r>
              <w:t xml:space="preserve">Poor for sequential keys</w:t>
            </w:r>
          </w:p>
        </w:tc>
        <w:tc>
          <w:tcPr/>
          <w:p>
            <w:pPr>
              <w:pStyle w:val="Compact"/>
              <w:jc w:val="left"/>
            </w:pPr>
            <w:r>
              <w:t xml:space="preserve">Good</w:t>
            </w:r>
          </w:p>
        </w:tc>
        <w:tc>
          <w:tcPr/>
          <w:p>
            <w:pPr>
              <w:pStyle w:val="Compact"/>
              <w:jc w:val="left"/>
            </w:pPr>
            <w:r>
              <w:t xml:space="preserve">Depends on value sizes</w:t>
            </w:r>
          </w:p>
        </w:tc>
        <w:tc>
          <w:tcPr/>
          <w:p>
            <w:pPr>
              <w:pStyle w:val="Compact"/>
              <w:jc w:val="left"/>
            </w:pPr>
            <w:r>
              <w:t xml:space="preserve">Whatever you place</w:t>
            </w:r>
          </w:p>
        </w:tc>
      </w:tr>
      <w:tr>
        <w:tc>
          <w:tcPr/>
          <w:p>
            <w:pPr>
              <w:pStyle w:val="Compact"/>
              <w:jc w:val="left"/>
            </w:pPr>
            <w:r>
              <w:t xml:space="preserve">Range scans on key</w:t>
            </w:r>
          </w:p>
        </w:tc>
        <w:tc>
          <w:tcPr/>
          <w:p>
            <w:pPr>
              <w:pStyle w:val="Compact"/>
              <w:jc w:val="left"/>
            </w:pPr>
            <w:r>
              <w:t xml:space="preserve">Efficient</w:t>
            </w:r>
          </w:p>
        </w:tc>
        <w:tc>
          <w:tcPr/>
          <w:p>
            <w:pPr>
              <w:pStyle w:val="Compact"/>
              <w:jc w:val="left"/>
            </w:pPr>
            <w:r>
              <w:t xml:space="preserve">Scatter to all partitions</w:t>
            </w:r>
          </w:p>
        </w:tc>
        <w:tc>
          <w:tcPr/>
          <w:p>
            <w:pPr>
              <w:pStyle w:val="Compact"/>
              <w:jc w:val="left"/>
            </w:pPr>
            <w:r>
              <w:t xml:space="preserve">Efficient within a value</w:t>
            </w:r>
          </w:p>
        </w:tc>
        <w:tc>
          <w:tcPr/>
          <w:p>
            <w:pPr>
              <w:pStyle w:val="Compact"/>
              <w:jc w:val="left"/>
            </w:pPr>
            <w:r>
              <w:t xml:space="preserve">Depends</w:t>
            </w:r>
          </w:p>
        </w:tc>
      </w:tr>
      <w:tr>
        <w:tc>
          <w:tcPr/>
          <w:p>
            <w:pPr>
              <w:pStyle w:val="Compact"/>
              <w:jc w:val="left"/>
            </w:pPr>
            <w:r>
              <w:t xml:space="preserve">Routing cost</w:t>
            </w:r>
          </w:p>
        </w:tc>
        <w:tc>
          <w:tcPr/>
          <w:p>
            <w:pPr>
              <w:pStyle w:val="Compact"/>
              <w:jc w:val="left"/>
            </w:pPr>
            <w:r>
              <w:t xml:space="preserve">Binary search, cacheable</w:t>
            </w:r>
          </w:p>
        </w:tc>
        <w:tc>
          <w:tcPr/>
          <w:p>
            <w:pPr>
              <w:pStyle w:val="Compact"/>
              <w:jc w:val="left"/>
            </w:pPr>
            <w:r>
              <w:t xml:space="preserve">Arithmetic</w:t>
            </w:r>
          </w:p>
        </w:tc>
        <w:tc>
          <w:tcPr/>
          <w:p>
            <w:pPr>
              <w:pStyle w:val="Compact"/>
              <w:jc w:val="left"/>
            </w:pPr>
            <w:r>
              <w:t xml:space="preserve">Table lookup</w:t>
            </w:r>
          </w:p>
        </w:tc>
        <w:tc>
          <w:tcPr/>
          <w:p>
            <w:pPr>
              <w:pStyle w:val="Compact"/>
              <w:jc w:val="left"/>
            </w:pPr>
            <w:r>
              <w:t xml:space="preserve">Remote lookup, cached</w:t>
            </w:r>
          </w:p>
        </w:tc>
      </w:tr>
      <w:tr>
        <w:tc>
          <w:tcPr/>
          <w:p>
            <w:pPr>
              <w:pStyle w:val="Compact"/>
              <w:jc w:val="left"/>
            </w:pPr>
            <w:r>
              <w:t xml:space="preserve">Rebalancing</w:t>
            </w:r>
          </w:p>
        </w:tc>
        <w:tc>
          <w:tcPr/>
          <w:p>
            <w:pPr>
              <w:pStyle w:val="Compact"/>
              <w:jc w:val="left"/>
            </w:pPr>
            <w:r>
              <w:t xml:space="preserve">Split or merge ranges</w:t>
            </w:r>
          </w:p>
        </w:tc>
        <w:tc>
          <w:tcPr/>
          <w:p>
            <w:pPr>
              <w:pStyle w:val="Compact"/>
              <w:jc w:val="left"/>
            </w:pPr>
            <w:r>
              <w:t xml:space="preserve">Move hash ranges (§14.8–§14.9)</w:t>
            </w:r>
          </w:p>
        </w:tc>
        <w:tc>
          <w:tcPr/>
          <w:p>
            <w:pPr>
              <w:pStyle w:val="Compact"/>
              <w:jc w:val="left"/>
            </w:pPr>
            <w:r>
              <w:t xml:space="preserve">Edit lists</w:t>
            </w:r>
          </w:p>
        </w:tc>
        <w:tc>
          <w:tcPr/>
          <w:p>
            <w:pPr>
              <w:pStyle w:val="Compact"/>
              <w:jc w:val="left"/>
            </w:pPr>
            <w:r>
              <w:t xml:space="preserve">Move one entry at a time</w:t>
            </w:r>
          </w:p>
        </w:tc>
      </w:tr>
      <w:tr>
        <w:tc>
          <w:tcPr/>
          <w:p>
            <w:pPr>
              <w:pStyle w:val="Compact"/>
              <w:jc w:val="left"/>
            </w:pPr>
            <w:r>
              <w:t xml:space="preserve">Operational complexity</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Low</w:t>
            </w:r>
          </w:p>
        </w:tc>
        <w:tc>
          <w:tcPr/>
          <w:p>
            <w:pPr>
              <w:pStyle w:val="Compact"/>
              <w:jc w:val="left"/>
            </w:pPr>
            <w:r>
              <w:t xml:space="preserve">High (directory is critical)</w:t>
            </w:r>
          </w:p>
        </w:tc>
      </w:tr>
      <w:tr>
        <w:tc>
          <w:tcPr/>
          <w:p>
            <w:pPr>
              <w:pStyle w:val="Compact"/>
              <w:jc w:val="left"/>
            </w:pPr>
            <w:r>
              <w:t xml:space="preserve">Choose when</w:t>
            </w:r>
          </w:p>
        </w:tc>
        <w:tc>
          <w:tcPr/>
          <w:p>
            <w:pPr>
              <w:pStyle w:val="Compact"/>
              <w:jc w:val="left"/>
            </w:pPr>
            <w:r>
              <w:t xml:space="preserve">Time series, ordered scans</w:t>
            </w:r>
          </w:p>
        </w:tc>
        <w:tc>
          <w:tcPr/>
          <w:p>
            <w:pPr>
              <w:pStyle w:val="Compact"/>
              <w:jc w:val="left"/>
            </w:pPr>
            <w:r>
              <w:t xml:space="preserve">Point lookups, uniform load</w:t>
            </w:r>
          </w:p>
        </w:tc>
        <w:tc>
          <w:tcPr/>
          <w:p>
            <w:pPr>
              <w:pStyle w:val="Compact"/>
              <w:jc w:val="left"/>
            </w:pPr>
            <w:r>
              <w:t xml:space="preserve">Residency, regions</w:t>
            </w:r>
          </w:p>
        </w:tc>
        <w:tc>
          <w:tcPr/>
          <w:p>
            <w:pPr>
              <w:pStyle w:val="Compact"/>
              <w:jc w:val="left"/>
            </w:pPr>
            <w:r>
              <w:t xml:space="preserve">Tenants of very different sizes</w:t>
            </w:r>
          </w:p>
        </w:tc>
      </w:tr>
    </w:tbl>
    <w:bookmarkEnd w:id="1600"/>
    <w:bookmarkStart w:id="1601" w:name="common-misconceptions-32"/>
    <w:p>
      <w:pPr>
        <w:pStyle w:val="Heading4"/>
      </w:pPr>
      <w:r>
        <w:t xml:space="preserve">Common misconceptions</w:t>
      </w:r>
    </w:p>
    <w:p>
      <w:pPr>
        <w:pStyle w:val="CalloutMistake"/>
      </w:pPr>
      <w:r>
        <w:rPr>
          <w:bCs/>
          <w:b/>
        </w:rPr>
        <w:t xml:space="preserve">COMMON MISTAKE</w:t>
      </w:r>
    </w:p>
    <w:p>
      <w:pPr>
        <w:pStyle w:val="CalloutMistake"/>
      </w:pPr>
      <w:r>
        <w:rPr>
          <w:bCs/>
          <w:b/>
        </w:rPr>
        <w:t xml:space="preserve">Mistake —</w:t>
      </w:r>
      <w:r>
        <w:rPr>
          <w:bCs/>
          <w:b/>
        </w:rPr>
        <w:t xml:space="preserve"> </w:t>
      </w:r>
      <w:r>
        <w:rPr>
          <w:bCs/>
          <w:b/>
        </w:rPr>
        <w:t xml:space="preserve">“</w:t>
      </w:r>
      <w:r>
        <w:rPr>
          <w:bCs/>
          <w:b/>
        </w:rPr>
        <w:t xml:space="preserve">Hashing removes hot spots.</w:t>
      </w:r>
      <w:r>
        <w:rPr>
          <w:bCs/>
          <w:b/>
        </w:rPr>
        <w:t xml:space="preserve">”</w:t>
      </w:r>
      <w:r>
        <w:t xml:space="preserve"> </w:t>
      </w:r>
      <w:r>
        <w:t xml:space="preserve">Hashing spreads</w:t>
      </w:r>
      <w:r>
        <w:t xml:space="preserve"> </w:t>
      </w:r>
      <w:r>
        <w:rPr>
          <w:iCs/>
          <w:i/>
        </w:rPr>
        <w:t xml:space="preserve">distinct</w:t>
      </w:r>
      <w:r>
        <w:t xml:space="preserve"> </w:t>
      </w:r>
      <w:r>
        <w:t xml:space="preserve">keys. It cannot split one key’s traffic. A celebrity key drawing 30 % of reads puts at least 30 % on its partition under any hash (§14.10).</w:t>
      </w:r>
    </w:p>
    <w:bookmarkEnd w:id="1601"/>
    <w:bookmarkEnd w:id="1602"/>
    <w:bookmarkEnd w:id="1603"/>
    <w:bookmarkStart w:id="1612" w:name="Xa4fa285c0b7c501e663614f4d04c185171c258c"/>
    <w:p>
      <w:pPr>
        <w:pStyle w:val="Heading2"/>
      </w:pPr>
      <w:r>
        <w:t xml:space="preserve">14.7 Sharding strategies and choosing shard keys</w:t>
      </w:r>
    </w:p>
    <w:bookmarkStart w:id="1604" w:name="properties-of-a-good-shard-key"/>
    <w:p>
      <w:pPr>
        <w:pStyle w:val="Heading3"/>
      </w:pPr>
      <w:r>
        <w:t xml:space="preserve">14.7.1 Properties of a good shard key</w:t>
      </w:r>
    </w:p>
    <w:p>
      <w:pPr>
        <w:pStyle w:val="FirstParagraph"/>
      </w:pPr>
      <w:r>
        <w:t xml:space="preserve">The shard key is the least reversible decision in a partitioned database, because changing it means moving every row (§14.9). Evaluate candidates against five properties:</w:t>
      </w:r>
    </w:p>
    <w:p>
      <w:pPr>
        <w:numPr>
          <w:ilvl w:val="0"/>
          <w:numId w:val="1476"/>
        </w:numPr>
        <w:pStyle w:val="Compact"/>
      </w:pPr>
      <w:r>
        <w:rPr>
          <w:bCs/>
          <w:b/>
        </w:rPr>
        <w:t xml:space="preserve">High cardinality.</w:t>
      </w:r>
      <w:r>
        <w:t xml:space="preserve"> </w:t>
      </w:r>
      <w:r>
        <w:t xml:space="preserve">Many more distinct values than shards:</w:t>
      </w:r>
      <w:r>
        <w:t xml:space="preserve"> </w:t>
      </w:r>
      <w:r>
        <w:rPr>
          <w:rStyle w:val="VerbatimChar"/>
        </w:rPr>
        <w:t xml:space="preserve">country</w:t>
      </w:r>
      <w:r>
        <w:t xml:space="preserve"> </w:t>
      </w:r>
      <w:r>
        <w:t xml:space="preserve">has about 200,</w:t>
      </w:r>
      <w:r>
        <w:t xml:space="preserve"> </w:t>
      </w:r>
      <w:r>
        <w:rPr>
          <w:rStyle w:val="VerbatimChar"/>
        </w:rPr>
        <w:t xml:space="preserve">user_id</w:t>
      </w:r>
      <w:r>
        <w:t xml:space="preserve"> </w:t>
      </w:r>
      <w:r>
        <w:t xml:space="preserve">billions.</w:t>
      </w:r>
    </w:p>
    <w:p>
      <w:pPr>
        <w:numPr>
          <w:ilvl w:val="0"/>
          <w:numId w:val="1476"/>
        </w:numPr>
        <w:pStyle w:val="Compact"/>
      </w:pPr>
      <w:r>
        <w:rPr>
          <w:bCs/>
          <w:b/>
        </w:rPr>
        <w:t xml:space="preserve">Even load.</w:t>
      </w:r>
      <w:r>
        <w:t xml:space="preserve"> </w:t>
      </w:r>
      <w:r>
        <w:t xml:space="preserve">Data and request rate per value roughly uniform, or dominated by many small values.</w:t>
      </w:r>
    </w:p>
    <w:p>
      <w:pPr>
        <w:numPr>
          <w:ilvl w:val="0"/>
          <w:numId w:val="1476"/>
        </w:numPr>
        <w:pStyle w:val="Compact"/>
      </w:pPr>
      <w:r>
        <w:rPr>
          <w:bCs/>
          <w:b/>
        </w:rPr>
        <w:t xml:space="preserve">Query locality.</w:t>
      </w:r>
      <w:r>
        <w:t xml:space="preserve"> </w:t>
      </w:r>
      <w:r>
        <w:t xml:space="preserve">Frequent queries include the key and touch one shard. Others</w:t>
      </w:r>
      <w:r>
        <w:t xml:space="preserve"> </w:t>
      </w:r>
      <w:r>
        <w:rPr>
          <w:bCs/>
          <w:b/>
        </w:rPr>
        <w:t xml:space="preserve">scatter</w:t>
      </w:r>
      <w:r>
        <w:t xml:space="preserve"> </w:t>
      </w:r>
      <w:r>
        <w:t xml:space="preserve">to every shard and</w:t>
      </w:r>
      <w:r>
        <w:t xml:space="preserve"> </w:t>
      </w:r>
      <w:r>
        <w:rPr>
          <w:bCs/>
          <w:b/>
        </w:rPr>
        <w:t xml:space="preserve">gather</w:t>
      </w:r>
      <w:r>
        <w:t xml:space="preserve"> </w:t>
      </w:r>
      <w:r>
        <w:t xml:space="preserve">results.</w:t>
      </w:r>
    </w:p>
    <w:p>
      <w:pPr>
        <w:numPr>
          <w:ilvl w:val="0"/>
          <w:numId w:val="1476"/>
        </w:numPr>
        <w:pStyle w:val="Compact"/>
      </w:pPr>
      <w:r>
        <w:rPr>
          <w:bCs/>
          <w:b/>
        </w:rPr>
        <w:t xml:space="preserve">Transaction locality.</w:t>
      </w:r>
      <w:r>
        <w:t xml:space="preserve"> </w:t>
      </w:r>
      <w:r>
        <w:t xml:space="preserve">Rows changed atomically together share a key value, avoiding distributed commit (§14.12).</w:t>
      </w:r>
    </w:p>
    <w:p>
      <w:pPr>
        <w:numPr>
          <w:ilvl w:val="0"/>
          <w:numId w:val="1476"/>
        </w:numPr>
        <w:pStyle w:val="Compact"/>
      </w:pPr>
      <w:r>
        <w:rPr>
          <w:bCs/>
          <w:b/>
        </w:rPr>
        <w:t xml:space="preserve">Stability.</w:t>
      </w:r>
      <w:r>
        <w:t xml:space="preserve"> </w:t>
      </w:r>
      <w:r>
        <w:t xml:space="preserve">The key never changes. Otherwise a row must move between shards.</w:t>
      </w:r>
    </w:p>
    <w:p>
      <w:pPr>
        <w:pStyle w:val="FirstParagraph"/>
      </w:pPr>
      <w:r>
        <w:t xml:space="preserve">No key is perfect. List the top five queries by frequency and pick the candidate that keeps the most traffic on one shard.</w:t>
      </w:r>
    </w:p>
    <w:bookmarkEnd w:id="1604"/>
    <w:bookmarkStart w:id="1608" w:name="X587e7eaa1b809a706bd8211d35c26e9839a1505"/>
    <w:p>
      <w:pPr>
        <w:pStyle w:val="Heading3"/>
      </w:pPr>
      <w:r>
        <w:t xml:space="preserve">14.7.2 Worked example: a multi-tenant SaaS product</w:t>
      </w:r>
    </w:p>
    <w:p>
      <w:pPr>
        <w:pStyle w:val="FirstParagraph"/>
      </w:pPr>
      <w:r>
        <w:t xml:space="preserve">Consider</w:t>
      </w:r>
      <w:r>
        <w:t xml:space="preserve"> </w:t>
      </w:r>
      <w:r>
        <w:rPr>
          <w:bCs/>
          <w:b/>
        </w:rPr>
        <w:t xml:space="preserve">TaskForge</w:t>
      </w:r>
      <w:r>
        <w:t xml:space="preserve">, a hypothetical project-management SaaS with 40,000 customer organizations (tenants). Nearly every query is tenant-scoped:</w:t>
      </w:r>
      <w:r>
        <w:t xml:space="preserve"> </w:t>
      </w:r>
      <w:r>
        <w:t xml:space="preserve">“</w:t>
      </w:r>
      <w:r>
        <w:t xml:space="preserve">this project’s open tasks</w:t>
      </w:r>
      <w:r>
        <w:t xml:space="preserve">”</w:t>
      </w:r>
      <w:r>
        <w:t xml:space="preserve">,</w:t>
      </w:r>
      <w:r>
        <w:t xml:space="preserve"> </w:t>
      </w:r>
      <w:r>
        <w:t xml:space="preserve">“</w:t>
      </w:r>
      <w:r>
        <w:t xml:space="preserve">search this workspace</w:t>
      </w:r>
      <w:r>
        <w:t xml:space="preserve">”</w:t>
      </w:r>
      <w:r>
        <w:t xml:space="preserve">. Tenant sizes are heavy-tailed: the median has 15 users and the largest has 60,000 and about 2 % of all data.</w:t>
      </w:r>
    </w:p>
    <w:p>
      <w:pPr>
        <w:pStyle w:val="BodyText"/>
      </w:pPr>
      <w:r>
        <w:rPr>
          <w:bCs/>
          <w:b/>
        </w:rPr>
        <w:t xml:space="preserve">Table 14.6 — Shard-key candidates for TaskForge.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Candidate</w:t>
            </w:r>
          </w:p>
        </w:tc>
        <w:tc>
          <w:tcPr/>
          <w:p>
            <w:pPr>
              <w:pStyle w:val="Compact"/>
              <w:jc w:val="left"/>
            </w:pPr>
            <w:r>
              <w:t xml:space="preserve">Cardinality</w:t>
            </w:r>
          </w:p>
        </w:tc>
        <w:tc>
          <w:tcPr/>
          <w:p>
            <w:pPr>
              <w:pStyle w:val="Compact"/>
              <w:jc w:val="left"/>
            </w:pPr>
            <w:r>
              <w:t xml:space="preserve">Even load</w:t>
            </w:r>
          </w:p>
        </w:tc>
        <w:tc>
          <w:tcPr/>
          <w:p>
            <w:pPr>
              <w:pStyle w:val="Compact"/>
              <w:jc w:val="left"/>
            </w:pPr>
            <w:r>
              <w:t xml:space="preserve">Query locality</w:t>
            </w:r>
          </w:p>
        </w:tc>
        <w:tc>
          <w:tcPr/>
          <w:p>
            <w:pPr>
              <w:pStyle w:val="Compact"/>
              <w:jc w:val="left"/>
            </w:pPr>
            <w:r>
              <w:t xml:space="preserve">Transaction locality</w:t>
            </w:r>
          </w:p>
        </w:tc>
        <w:tc>
          <w:tcPr/>
          <w:p>
            <w:pPr>
              <w:pStyle w:val="Compact"/>
              <w:jc w:val="left"/>
            </w:pPr>
            <w:r>
              <w:t xml:space="preserve">Verdict</w:t>
            </w:r>
          </w:p>
        </w:tc>
      </w:tr>
      <w:tr>
        <w:tc>
          <w:tcPr/>
          <w:p>
            <w:pPr>
              <w:pStyle w:val="Compact"/>
              <w:jc w:val="left"/>
            </w:pPr>
            <w:r>
              <w:rPr>
                <w:rStyle w:val="VerbatimChar"/>
              </w:rPr>
              <w:t xml:space="preserve">task_id</w:t>
            </w:r>
          </w:p>
        </w:tc>
        <w:tc>
          <w:tcPr/>
          <w:p>
            <w:pPr>
              <w:pStyle w:val="Compact"/>
              <w:jc w:val="left"/>
            </w:pPr>
            <w:r>
              <w:t xml:space="preserve">Very high</w:t>
            </w:r>
          </w:p>
        </w:tc>
        <w:tc>
          <w:tcPr/>
          <w:p>
            <w:pPr>
              <w:pStyle w:val="Compact"/>
              <w:jc w:val="left"/>
            </w:pPr>
            <w:r>
              <w:t xml:space="preserve">Excellent</w:t>
            </w:r>
          </w:p>
        </w:tc>
        <w:tc>
          <w:tcPr/>
          <w:p>
            <w:pPr>
              <w:pStyle w:val="Compact"/>
              <w:jc w:val="left"/>
            </w:pPr>
            <w:r>
              <w:t xml:space="preserve">Poor:</w:t>
            </w:r>
            <w:r>
              <w:t xml:space="preserve"> </w:t>
            </w:r>
            <w:r>
              <w:t xml:space="preserve">“</w:t>
            </w:r>
            <w:r>
              <w:t xml:space="preserve">open tasks in project</w:t>
            </w:r>
            <w:r>
              <w:t xml:space="preserve">”</w:t>
            </w:r>
            <w:r>
              <w:t xml:space="preserve"> </w:t>
            </w:r>
            <w:r>
              <w:t xml:space="preserve">scatters</w:t>
            </w:r>
          </w:p>
        </w:tc>
        <w:tc>
          <w:tcPr/>
          <w:p>
            <w:pPr>
              <w:pStyle w:val="Compact"/>
              <w:jc w:val="left"/>
            </w:pPr>
            <w:r>
              <w:t xml:space="preserve">Poor</w:t>
            </w:r>
          </w:p>
        </w:tc>
        <w:tc>
          <w:tcPr/>
          <w:p>
            <w:pPr>
              <w:pStyle w:val="Compact"/>
              <w:jc w:val="left"/>
            </w:pPr>
            <w:r>
              <w:t xml:space="preserve">Reject</w:t>
            </w:r>
          </w:p>
        </w:tc>
      </w:tr>
      <w:tr>
        <w:tc>
          <w:tcPr/>
          <w:p>
            <w:pPr>
              <w:pStyle w:val="Compact"/>
              <w:jc w:val="left"/>
            </w:pPr>
            <w:r>
              <w:rPr>
                <w:rStyle w:val="VerbatimChar"/>
              </w:rPr>
              <w:t xml:space="preserve">user_id</w:t>
            </w:r>
          </w:p>
        </w:tc>
        <w:tc>
          <w:tcPr/>
          <w:p>
            <w:pPr>
              <w:pStyle w:val="Compact"/>
              <w:jc w:val="left"/>
            </w:pPr>
            <w:r>
              <w:t xml:space="preserve">High</w:t>
            </w:r>
          </w:p>
        </w:tc>
        <w:tc>
          <w:tcPr/>
          <w:p>
            <w:pPr>
              <w:pStyle w:val="Compact"/>
              <w:jc w:val="left"/>
            </w:pPr>
            <w:r>
              <w:t xml:space="preserve">Good</w:t>
            </w:r>
          </w:p>
        </w:tc>
        <w:tc>
          <w:tcPr/>
          <w:p>
            <w:pPr>
              <w:pStyle w:val="Compact"/>
              <w:jc w:val="left"/>
            </w:pPr>
            <w:r>
              <w:t xml:space="preserve">Poor: shared projects span users</w:t>
            </w:r>
          </w:p>
        </w:tc>
        <w:tc>
          <w:tcPr/>
          <w:p>
            <w:pPr>
              <w:pStyle w:val="Compact"/>
              <w:jc w:val="left"/>
            </w:pPr>
            <w:r>
              <w:t xml:space="preserve">Poor</w:t>
            </w:r>
          </w:p>
        </w:tc>
        <w:tc>
          <w:tcPr/>
          <w:p>
            <w:pPr>
              <w:pStyle w:val="Compact"/>
              <w:jc w:val="left"/>
            </w:pPr>
            <w:r>
              <w:t xml:space="preserve">Reject</w:t>
            </w:r>
          </w:p>
        </w:tc>
      </w:tr>
      <w:tr>
        <w:tc>
          <w:tcPr/>
          <w:p>
            <w:pPr>
              <w:pStyle w:val="Compact"/>
              <w:jc w:val="left"/>
            </w:pPr>
            <w:r>
              <w:rPr>
                <w:rStyle w:val="VerbatimChar"/>
              </w:rPr>
              <w:t xml:space="preserve">tenant_id</w:t>
            </w:r>
          </w:p>
        </w:tc>
        <w:tc>
          <w:tcPr/>
          <w:p>
            <w:pPr>
              <w:pStyle w:val="Compact"/>
              <w:jc w:val="left"/>
            </w:pPr>
            <w:r>
              <w:t xml:space="preserve">40,000</w:t>
            </w:r>
          </w:p>
        </w:tc>
        <w:tc>
          <w:tcPr/>
          <w:p>
            <w:pPr>
              <w:pStyle w:val="Compact"/>
              <w:jc w:val="left"/>
            </w:pPr>
            <w:r>
              <w:t xml:space="preserve">Skewed by large tenants</w:t>
            </w:r>
          </w:p>
        </w:tc>
        <w:tc>
          <w:tcPr/>
          <w:p>
            <w:pPr>
              <w:pStyle w:val="Compact"/>
              <w:jc w:val="left"/>
            </w:pPr>
            <w:r>
              <w:t xml:space="preserve">Excellent: almost all queries</w:t>
            </w:r>
          </w:p>
        </w:tc>
        <w:tc>
          <w:tcPr/>
          <w:p>
            <w:pPr>
              <w:pStyle w:val="Compact"/>
              <w:jc w:val="left"/>
            </w:pPr>
            <w:r>
              <w:t xml:space="preserve">Excellent</w:t>
            </w:r>
          </w:p>
        </w:tc>
        <w:tc>
          <w:tcPr/>
          <w:p>
            <w:pPr>
              <w:pStyle w:val="Compact"/>
              <w:jc w:val="left"/>
            </w:pPr>
            <w:r>
              <w:rPr>
                <w:bCs/>
                <w:b/>
              </w:rPr>
              <w:t xml:space="preserve">Choose</w:t>
            </w:r>
            <w:r>
              <w:t xml:space="preserve">, with mitigation</w:t>
            </w:r>
          </w:p>
        </w:tc>
      </w:tr>
      <w:tr>
        <w:tc>
          <w:tcPr/>
          <w:p>
            <w:pPr>
              <w:pStyle w:val="Compact"/>
              <w:jc w:val="left"/>
            </w:pPr>
            <w:r>
              <w:rPr>
                <w:rStyle w:val="VerbatimChar"/>
              </w:rPr>
              <w:t xml:space="preserve">project_id</w:t>
            </w:r>
          </w:p>
        </w:tc>
        <w:tc>
          <w:tcPr/>
          <w:p>
            <w:pPr>
              <w:pStyle w:val="Compact"/>
              <w:jc w:val="left"/>
            </w:pPr>
            <w:r>
              <w:t xml:space="preserve">High</w:t>
            </w:r>
          </w:p>
        </w:tc>
        <w:tc>
          <w:tcPr/>
          <w:p>
            <w:pPr>
              <w:pStyle w:val="Compact"/>
              <w:jc w:val="left"/>
            </w:pPr>
            <w:r>
              <w:t xml:space="preserve">Good</w:t>
            </w:r>
          </w:p>
        </w:tc>
        <w:tc>
          <w:tcPr/>
          <w:p>
            <w:pPr>
              <w:pStyle w:val="Compact"/>
              <w:jc w:val="left"/>
            </w:pPr>
            <w:r>
              <w:t xml:space="preserve">Good within a project; cross-project reports scatter</w:t>
            </w:r>
          </w:p>
        </w:tc>
        <w:tc>
          <w:tcPr/>
          <w:p>
            <w:pPr>
              <w:pStyle w:val="Compact"/>
              <w:jc w:val="left"/>
            </w:pPr>
            <w:r>
              <w:t xml:space="preserve">Good</w:t>
            </w:r>
          </w:p>
        </w:tc>
        <w:tc>
          <w:tcPr/>
          <w:p>
            <w:pPr>
              <w:pStyle w:val="Compact"/>
              <w:jc w:val="left"/>
            </w:pPr>
            <w:r>
              <w:t xml:space="preserve">Second choice</w:t>
            </w:r>
          </w:p>
        </w:tc>
      </w:tr>
    </w:tbl>
    <w:p>
      <w:pPr>
        <w:pStyle w:val="BodyText"/>
      </w:pPr>
      <w:r>
        <w:rPr>
          <w:rStyle w:val="VerbatimChar"/>
        </w:rPr>
        <w:t xml:space="preserve">tenant_id</w:t>
      </w:r>
      <w:r>
        <w:t xml:space="preserve"> </w:t>
      </w:r>
      <w:r>
        <w:t xml:space="preserve">keeps almost every query and transaction on one shard and simplifies tenant isolation, backup, residency and deletion. Its weakness is skew from giant tenants, fixed with directory placement on top of hashing:</w:t>
      </w:r>
    </w:p>
    <w:p>
      <w:pPr>
        <w:numPr>
          <w:ilvl w:val="0"/>
          <w:numId w:val="1477"/>
        </w:numPr>
        <w:pStyle w:val="Compact"/>
      </w:pPr>
      <w:r>
        <w:t xml:space="preserve">Hash</w:t>
      </w:r>
      <w:r>
        <w:t xml:space="preserve"> </w:t>
      </w:r>
      <w:r>
        <w:rPr>
          <w:rStyle w:val="VerbatimChar"/>
        </w:rPr>
        <w:t xml:space="preserve">tenant_id</w:t>
      </w:r>
      <w:r>
        <w:t xml:space="preserve"> </w:t>
      </w:r>
      <w:r>
        <w:t xml:space="preserve">into one of</w:t>
      </w:r>
      <w:r>
        <w:t xml:space="preserve"> </w:t>
      </w:r>
      <m:oMath>
        <m:r>
          <m:t>L</m:t>
        </m:r>
        <m:r>
          <m:rPr>
            <m:sty m:val="p"/>
          </m:rPr>
          <m:t>=</m:t>
        </m:r>
        <m:r>
          <m:t>4</m:t>
        </m:r>
        <m:r>
          <m:rPr>
            <m:sty m:val="p"/>
          </m:rPr>
          <m:t>,</m:t>
        </m:r>
        <m:r>
          <m:t>096</m:t>
        </m:r>
      </m:oMath>
      <w:r>
        <w:t xml:space="preserve"> </w:t>
      </w:r>
      <w:r>
        <w:rPr>
          <w:bCs/>
          <w:b/>
        </w:rPr>
        <w:t xml:space="preserve">logical shards</w:t>
      </w:r>
      <w:r>
        <w:t xml:space="preserve"> </w:t>
      </w:r>
      <w:r>
        <w:t xml:space="preserve">(fixed partitions, §14.9).</w:t>
      </w:r>
    </w:p>
    <w:p>
      <w:pPr>
        <w:numPr>
          <w:ilvl w:val="0"/>
          <w:numId w:val="1477"/>
        </w:numPr>
        <w:pStyle w:val="Compact"/>
      </w:pPr>
      <w:r>
        <w:t xml:space="preserve">Map logical shards to physical database clusters through a small directory.</w:t>
      </w:r>
    </w:p>
    <w:p>
      <w:pPr>
        <w:numPr>
          <w:ilvl w:val="0"/>
          <w:numId w:val="1477"/>
        </w:numPr>
        <w:pStyle w:val="Compact"/>
      </w:pPr>
      <w:r>
        <w:t xml:space="preserve">Give the few giant tenants a</w:t>
      </w:r>
      <w:r>
        <w:t xml:space="preserve"> </w:t>
      </w:r>
      <w:r>
        <w:rPr>
          <w:bCs/>
          <w:b/>
        </w:rPr>
        <w:t xml:space="preserve">dedicated</w:t>
      </w:r>
      <w:r>
        <w:t xml:space="preserve"> </w:t>
      </w:r>
      <w:r>
        <w:t xml:space="preserve">cluster through a directory override. If one outgrows even that, partition it by</w:t>
      </w:r>
      <w:r>
        <w:t xml:space="preserve"> </w:t>
      </w:r>
      <w:r>
        <w:rPr>
          <w:rStyle w:val="VerbatimChar"/>
        </w:rPr>
        <w:t xml:space="preserve">(tenant_id, project_id)</w:t>
      </w:r>
      <w:r>
        <w:t xml:space="preserve">.</w:t>
      </w:r>
    </w:p>
    <w:p>
      <w:pPr>
        <w:pStyle w:val="FirstParagraph"/>
      </w:pPr>
      <w:r>
        <w:rPr>
          <w:bCs/>
          <w:b/>
        </w:rPr>
        <w:t xml:space="preserve">Figure 14.6 — Multi-tenant sharding with logical shards and a tenant directory.</w:t>
      </w:r>
    </w:p>
    <w:p>
      <w:pPr>
        <w:pStyle w:val="BodyText"/>
      </w:pPr>
      <w:r>
        <w:drawing>
          <wp:inline>
            <wp:extent cx="5334000" cy="935954"/>
            <wp:effectExtent b="0" l="0" r="0" t="0"/>
            <wp:docPr descr="" title="" id="1606" name="Picture"/>
            <a:graphic>
              <a:graphicData uri="http://schemas.openxmlformats.org/drawingml/2006/picture">
                <pic:pic>
                  <pic:nvPicPr>
                    <pic:cNvPr descr="/home/user/System-Design/build/.cache/diagrams/d47160013604.png" id="1607" name="Picture"/>
                    <pic:cNvPicPr>
                      <a:picLocks noChangeArrowheads="1" noChangeAspect="1"/>
                    </pic:cNvPicPr>
                  </pic:nvPicPr>
                  <pic:blipFill>
                    <a:blip r:embed="rId1605"/>
                    <a:stretch>
                      <a:fillRect/>
                    </a:stretch>
                  </pic:blipFill>
                  <pic:spPr bwMode="auto">
                    <a:xfrm>
                      <a:off x="0" y="0"/>
                      <a:ext cx="5334000" cy="935954"/>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API takes the tenant ID from the authenticated token, never from user input. The router caches the shard-to-cluster map and override list, updated asynchronously from the directory, so databases must reject writes for logical shards they do not own. SQL to the chosen primary is synchronous, and each cluster is a replicated storage boundary (§14.3–§14.4). A cluster failure affects only its tenants, a smaller</w:t>
      </w:r>
      <w:r>
        <w:t xml:space="preserve"> </w:t>
      </w:r>
      <w:r>
        <w:rPr>
          <w:bCs/>
          <w:b/>
        </w:rPr>
        <w:t xml:space="preserve">blast radius</w:t>
      </w:r>
      <w:r>
        <w:t xml:space="preserve"> </w:t>
      </w:r>
      <w:r>
        <w:t xml:space="preserve">than one big database. Scaling: add clusters and move logical shards, or give a growing tenant its own cluster.</w:t>
      </w:r>
    </w:p>
    <w:p>
      <w:pPr>
        <w:pStyle w:val="CalloutIndustry"/>
      </w:pPr>
      <w:r>
        <w:rPr>
          <w:bCs/>
          <w:b/>
        </w:rPr>
        <w:t xml:space="preserve">INDUSTRY EXAMPLE</w:t>
      </w:r>
    </w:p>
    <w:p>
      <w:pPr>
        <w:pStyle w:val="CalloutIndustry"/>
      </w:pPr>
      <w:r>
        <w:rPr>
          <w:bCs/>
          <w:b/>
        </w:rPr>
        <w:t xml:space="preserve">Notion.</w:t>
      </w:r>
      <w:r>
        <w:t xml:space="preserve"> </w:t>
      </w:r>
      <w:r>
        <w:t xml:space="preserve">Notion sharded its PostgreSQL block data by workspace ID, because each block belongs to one workspace. It created 480 logical shards (PostgreSQL schemas) spread over 32 physical databases, 15 each, with routing in application code. It chose 480 because its many divisors let the fleet grow to 40 or 48 hosts with equal shard counts, whereas 512 would force doubling.</w:t>
      </w:r>
      <w:r>
        <w:t xml:space="preserve"> </w:t>
      </w:r>
      <w:r>
        <w:rPr>
          <w:iCs/>
          <w:i/>
        </w:rPr>
        <w:t xml:space="preserve">Evidence: Primary</w:t>
      </w:r>
      <w:r>
        <w:t xml:space="preserve"> </w:t>
      </w:r>
      <w:r>
        <w:t xml:space="preserve">— [Fidalgo 2021]</w:t>
      </w:r>
    </w:p>
    <w:bookmarkEnd w:id="1608"/>
    <w:bookmarkStart w:id="1609" w:name="worked-example-a-social-application"/>
    <w:p>
      <w:pPr>
        <w:pStyle w:val="Heading3"/>
      </w:pPr>
      <w:r>
        <w:t xml:space="preserve">14.7.3 Worked example: a social application</w:t>
      </w:r>
    </w:p>
    <w:p>
      <w:pPr>
        <w:pStyle w:val="FirstParagraph"/>
      </w:pPr>
      <w:r>
        <w:t xml:space="preserve">Now take</w:t>
      </w:r>
      <w:r>
        <w:t xml:space="preserve"> </w:t>
      </w:r>
      <w:r>
        <w:rPr>
          <w:bCs/>
          <w:b/>
        </w:rPr>
        <w:t xml:space="preserve">PhotoShare</w:t>
      </w:r>
      <w:r>
        <w:t xml:space="preserve">, the hypothetical photo-sharing app of Chapter 1. Its top queries are</w:t>
      </w:r>
      <w:r>
        <w:t xml:space="preserve"> </w:t>
      </w:r>
      <w:r>
        <w:t xml:space="preserve">“</w:t>
      </w:r>
      <w:r>
        <w:t xml:space="preserve">show user X’s profile and photos</w:t>
      </w:r>
      <w:r>
        <w:t xml:space="preserve">”</w:t>
      </w:r>
      <w:r>
        <w:t xml:space="preserve">,</w:t>
      </w:r>
      <w:r>
        <w:t xml:space="preserve"> </w:t>
      </w:r>
      <w:r>
        <w:t xml:space="preserve">“</w:t>
      </w:r>
      <w:r>
        <w:t xml:space="preserve">post a photo</w:t>
      </w:r>
      <w:r>
        <w:t xml:space="preserve">”</w:t>
      </w:r>
      <w:r>
        <w:t xml:space="preserve">,</w:t>
      </w:r>
      <w:r>
        <w:t xml:space="preserve"> </w:t>
      </w:r>
      <w:r>
        <w:t xml:space="preserve">“</w:t>
      </w:r>
      <w:r>
        <w:t xml:space="preserve">like a photo</w:t>
      </w:r>
      <w:r>
        <w:t xml:space="preserve">”</w:t>
      </w:r>
      <w:r>
        <w:t xml:space="preserve"> </w:t>
      </w:r>
      <w:r>
        <w:t xml:space="preserve">and</w:t>
      </w:r>
      <w:r>
        <w:t xml:space="preserve"> </w:t>
      </w:r>
      <w:r>
        <w:t xml:space="preserve">“</w:t>
      </w:r>
      <w:r>
        <w:t xml:space="preserve">build my home feed</w:t>
      </w:r>
      <w:r>
        <w:t xml:space="preserve">”</w:t>
      </w:r>
      <w:r>
        <w:t xml:space="preserve">.</w:t>
      </w:r>
    </w:p>
    <w:p>
      <w:pPr>
        <w:numPr>
          <w:ilvl w:val="0"/>
          <w:numId w:val="1478"/>
        </w:numPr>
        <w:pStyle w:val="Compact"/>
      </w:pPr>
      <w:r>
        <w:rPr>
          <w:rStyle w:val="VerbatimChar"/>
          <w:bCs/>
          <w:b/>
        </w:rPr>
        <w:t xml:space="preserve">photos</w:t>
      </w:r>
      <w:r>
        <w:rPr>
          <w:bCs/>
          <w:b/>
        </w:rPr>
        <w:t xml:space="preserve"> </w:t>
      </w:r>
      <w:r>
        <w:rPr>
          <w:bCs/>
          <w:b/>
        </w:rPr>
        <w:t xml:space="preserve">by</w:t>
      </w:r>
      <w:r>
        <w:rPr>
          <w:bCs/>
          <w:b/>
        </w:rPr>
        <w:t xml:space="preserve"> </w:t>
      </w:r>
      <w:r>
        <w:rPr>
          <w:rStyle w:val="VerbatimChar"/>
          <w:bCs/>
          <w:b/>
        </w:rPr>
        <w:t xml:space="preserve">owner_user_id</w:t>
      </w:r>
      <w:r>
        <w:rPr>
          <w:bCs/>
          <w:b/>
        </w:rPr>
        <w:t xml:space="preserve">.</w:t>
      </w:r>
      <w:r>
        <w:t xml:space="preserve"> </w:t>
      </w:r>
      <w:r>
        <w:t xml:space="preserve">Profiles and posting become single-shard, and a compound key</w:t>
      </w:r>
      <w:r>
        <w:t xml:space="preserve"> </w:t>
      </w:r>
      <w:r>
        <w:rPr>
          <w:rStyle w:val="VerbatimChar"/>
        </w:rPr>
        <w:t xml:space="preserve">((owner_user_id), created_at DESC)</w:t>
      </w:r>
      <w:r>
        <w:t xml:space="preserve"> </w:t>
      </w:r>
      <w:r>
        <w:t xml:space="preserve">keeps photos time-ordered. Celebrity profiles concentrate reads on one shard (§14.10).</w:t>
      </w:r>
    </w:p>
    <w:p>
      <w:pPr>
        <w:numPr>
          <w:ilvl w:val="0"/>
          <w:numId w:val="1478"/>
        </w:numPr>
        <w:pStyle w:val="Compact"/>
      </w:pPr>
      <w:r>
        <w:rPr>
          <w:rStyle w:val="VerbatimChar"/>
          <w:bCs/>
          <w:b/>
        </w:rPr>
        <w:t xml:space="preserve">likes</w:t>
      </w:r>
      <w:r>
        <w:rPr>
          <w:bCs/>
          <w:b/>
        </w:rPr>
        <w:t xml:space="preserve"> </w:t>
      </w:r>
      <w:r>
        <w:rPr>
          <w:bCs/>
          <w:b/>
        </w:rPr>
        <w:t xml:space="preserve">by</w:t>
      </w:r>
      <w:r>
        <w:rPr>
          <w:bCs/>
          <w:b/>
        </w:rPr>
        <w:t xml:space="preserve"> </w:t>
      </w:r>
      <w:r>
        <w:rPr>
          <w:rStyle w:val="VerbatimChar"/>
          <w:bCs/>
          <w:b/>
        </w:rPr>
        <w:t xml:space="preserve">photo_id</w:t>
      </w:r>
      <w:r>
        <w:rPr>
          <w:bCs/>
          <w:b/>
        </w:rPr>
        <w:t xml:space="preserve">.</w:t>
      </w:r>
      <w:r>
        <w:t xml:space="preserve"> </w:t>
      </w:r>
      <w:r>
        <w:t xml:space="preserve">Like counts and</w:t>
      </w:r>
      <w:r>
        <w:t xml:space="preserve"> </w:t>
      </w:r>
      <w:r>
        <w:t xml:space="preserve">“</w:t>
      </w:r>
      <w:r>
        <w:t xml:space="preserve">did I like it?</w:t>
      </w:r>
      <w:r>
        <w:t xml:space="preserve">”</w:t>
      </w:r>
      <w:r>
        <w:t xml:space="preserve"> </w:t>
      </w:r>
      <w:r>
        <w:t xml:space="preserve">are single-shard.</w:t>
      </w:r>
      <w:r>
        <w:t xml:space="preserve"> </w:t>
      </w:r>
      <w:r>
        <w:t xml:space="preserve">“</w:t>
      </w:r>
      <w:r>
        <w:t xml:space="preserve">Photos I liked</w:t>
      </w:r>
      <w:r>
        <w:t xml:space="preserve">”</w:t>
      </w:r>
      <w:r>
        <w:t xml:space="preserve"> </w:t>
      </w:r>
      <w:r>
        <w:t xml:space="preserve">becomes a scatter query, served by an index or denormalized copy (§14.11).</w:t>
      </w:r>
    </w:p>
    <w:p>
      <w:pPr>
        <w:numPr>
          <w:ilvl w:val="0"/>
          <w:numId w:val="1478"/>
        </w:numPr>
        <w:pStyle w:val="Compact"/>
      </w:pPr>
      <w:r>
        <w:rPr>
          <w:rStyle w:val="VerbatimChar"/>
          <w:bCs/>
          <w:b/>
        </w:rPr>
        <w:t xml:space="preserve">follows</w:t>
      </w:r>
      <w:r>
        <w:rPr>
          <w:bCs/>
          <w:b/>
        </w:rPr>
        <w:t xml:space="preserve">, stored twice.</w:t>
      </w:r>
      <w:r>
        <w:t xml:space="preserve"> </w:t>
      </w:r>
      <w:r>
        <w:t xml:space="preserve">“</w:t>
      </w:r>
      <w:r>
        <w:t xml:space="preserve">Who does X follow?</w:t>
      </w:r>
      <w:r>
        <w:t xml:space="preserve">”</w:t>
      </w:r>
      <w:r>
        <w:t xml:space="preserve"> </w:t>
      </w:r>
      <w:r>
        <w:t xml:space="preserve">wants partitioning by follower and</w:t>
      </w:r>
      <w:r>
        <w:t xml:space="preserve"> </w:t>
      </w:r>
      <w:r>
        <w:t xml:space="preserve">“</w:t>
      </w:r>
      <w:r>
        <w:t xml:space="preserve">who follows X?</w:t>
      </w:r>
      <w:r>
        <w:t xml:space="preserve">”</w:t>
      </w:r>
      <w:r>
        <w:t xml:space="preserve"> </w:t>
      </w:r>
      <w:r>
        <w:t xml:space="preserve">by followee, so write both copies, usually asynchronously (§32.6), and accept brief inconsistency.</w:t>
      </w:r>
    </w:p>
    <w:p>
      <w:pPr>
        <w:numPr>
          <w:ilvl w:val="0"/>
          <w:numId w:val="1478"/>
        </w:numPr>
        <w:pStyle w:val="Compact"/>
      </w:pPr>
      <w:r>
        <w:rPr>
          <w:bCs/>
          <w:b/>
        </w:rPr>
        <w:t xml:space="preserve">Home feed.</w:t>
      </w:r>
      <w:r>
        <w:t xml:space="preserve"> </w:t>
      </w:r>
      <w:r>
        <w:t xml:space="preserve">Querying every followed user’s shard per page view is a large fan-out. Large social systems typically precompute feeds on write, except for celebrities whose posts are merged at read time [Kleppmann 2017].</w:t>
      </w:r>
    </w:p>
    <w:p>
      <w:pPr>
        <w:pStyle w:val="CalloutConcept"/>
      </w:pPr>
      <w:r>
        <w:rPr>
          <w:bCs/>
          <w:b/>
        </w:rPr>
        <w:t xml:space="preserve">KEY CONCEPT</w:t>
      </w:r>
    </w:p>
    <w:p>
      <w:pPr>
        <w:pStyle w:val="CalloutConcept"/>
      </w:pPr>
      <w:r>
        <w:rPr>
          <w:bCs/>
          <w:b/>
        </w:rPr>
        <w:t xml:space="preserve">Key insight — Partition by the entity your hottest queries name, and denormalize for the rest.</w:t>
      </w:r>
      <w:r>
        <w:t xml:space="preserve"> </w:t>
      </w:r>
      <w:r>
        <w:t xml:space="preserve">No single key localizes every social-graph query. Pick the key for the dominant path and keep an eventually consistent, differently partitioned copy for the next.</w:t>
      </w:r>
    </w:p>
    <w:p>
      <w:pPr>
        <w:pStyle w:val="CalloutIndustry"/>
      </w:pPr>
      <w:r>
        <w:rPr>
          <w:bCs/>
          <w:b/>
        </w:rPr>
        <w:t xml:space="preserve">INDUSTRY EXAMPLE</w:t>
      </w:r>
    </w:p>
    <w:p>
      <w:pPr>
        <w:pStyle w:val="CalloutIndustry"/>
      </w:pPr>
      <w:r>
        <w:rPr>
          <w:bCs/>
          <w:b/>
        </w:rPr>
        <w:t xml:space="preserve">Instagram (2012).</w:t>
      </w:r>
      <w:r>
        <w:t xml:space="preserve"> </w:t>
      </w:r>
      <w:r>
        <w:t xml:space="preserve">Instagram sharded PostgreSQL into several thousand</w:t>
      </w:r>
      <w:r>
        <w:t xml:space="preserve"> </w:t>
      </w:r>
      <w:r>
        <w:rPr>
          <w:bCs/>
          <w:b/>
        </w:rPr>
        <w:t xml:space="preserve">logical shards</w:t>
      </w:r>
      <w:r>
        <w:t xml:space="preserve"> </w:t>
      </w:r>
      <w:r>
        <w:t xml:space="preserve">(schemas) mapped onto far fewer servers. Each 64-bit ID embeds 41 bits of milliseconds since a custom epoch, 13 bits of logical shard ID and 10 bits of per-shard sequence, so any service can route from an ID alone.</w:t>
      </w:r>
      <w:r>
        <w:t xml:space="preserve"> </w:t>
      </w:r>
      <w:r>
        <w:rPr>
          <w:iCs/>
          <w:i/>
        </w:rPr>
        <w:t xml:space="preserve">Evidence: Primary</w:t>
      </w:r>
      <w:r>
        <w:t xml:space="preserve"> </w:t>
      </w:r>
      <w:r>
        <w:t xml:space="preserve">— [Instagram Engineering 2012]</w:t>
      </w:r>
    </w:p>
    <w:bookmarkEnd w:id="1609"/>
    <w:bookmarkStart w:id="1611" w:name="how-many-shards-a-capacity-calculation"/>
    <w:p>
      <w:pPr>
        <w:pStyle w:val="Heading3"/>
      </w:pPr>
      <w:r>
        <w:t xml:space="preserve">14.7.4 How many shards? A capacity calculation</w:t>
      </w:r>
    </w:p>
    <w:p>
      <w:pPr>
        <w:pStyle w:val="FirstParagraph"/>
      </w:pPr>
      <w:r>
        <w:t xml:space="preserve">Shard count is set by whichever resource runs out first, computed at the end of the planning horizon because resharding is expensive.</w:t>
      </w:r>
    </w:p>
    <w:p>
      <w:pPr>
        <w:pStyle w:val="CalloutFormula"/>
      </w:pPr>
      <w:r>
        <w:rPr>
          <w:bCs/>
          <w:b/>
        </w:rPr>
        <w:t xml:space="preserve">FORMULA</w:t>
      </w:r>
    </w:p>
    <w:p>
      <w:pPr>
        <w:pStyle w:val="CalloutFormula"/>
      </w:pPr>
      <w:r>
        <w:rPr>
          <w:bCs/>
          <w:b/>
        </w:rPr>
        <w:t xml:space="preserve">Number of shards required</w:t>
      </w:r>
    </w:p>
    <w:p>
      <w:pPr>
        <w:pStyle w:val="CalloutFormula"/>
      </w:pPr>
      <m:oMathPara>
        <m:oMathParaPr>
          <m:jc m:val="center"/>
        </m:oMathParaPr>
        <m:oMath>
          <m:r>
            <m:t>S</m:t>
          </m:r>
          <m:r>
            <m:rPr>
              <m:sty m:val="p"/>
            </m:rPr>
            <m:t>=</m:t>
          </m:r>
          <m:d>
            <m:dPr>
              <m:begChr m:val="⌈"/>
              <m:endChr m:val="⌉"/>
              <m:sepChr m:val=""/>
              <m:grow/>
            </m:dPr>
            <m:e>
              <m:r>
                <m:rPr>
                  <m:sty m:val="p"/>
                </m:rPr>
                <m:t>max</m:t>
              </m:r>
              <m:d>
                <m:dPr>
                  <m:begChr m:val="("/>
                  <m:endChr m:val=")"/>
                  <m:sepChr m:val=""/>
                  <m:grow/>
                </m:dPr>
                <m:e>
                  <m:f>
                    <m:fPr>
                      <m:type m:val="bar"/>
                    </m:fPr>
                    <m:num>
                      <m:r>
                        <m:t>D</m:t>
                      </m:r>
                    </m:num>
                    <m:den>
                      <m:sSub>
                        <m:e>
                          <m:r>
                            <m:t>C</m:t>
                          </m:r>
                        </m:e>
                        <m:sub>
                          <m:r>
                            <m:rPr>
                              <m:nor/>
                              <m:sty m:val="p"/>
                            </m:rPr>
                            <m:t>disk</m:t>
                          </m:r>
                        </m:sub>
                      </m:sSub>
                      <m:r>
                        <m:rPr>
                          <m:sty m:val="p"/>
                        </m:rPr>
                        <m:t>⋅</m:t>
                      </m:r>
                      <m:r>
                        <m:t>f</m:t>
                      </m:r>
                    </m:den>
                  </m:f>
                  <m:r>
                    <m:rPr>
                      <m:sty m:val="p"/>
                    </m:rPr>
                    <m:t>,</m:t>
                  </m:r>
                  <m:r>
                    <m:t> </m:t>
                  </m:r>
                  <m:f>
                    <m:fPr>
                      <m:type m:val="bar"/>
                    </m:fPr>
                    <m:num>
                      <m:r>
                        <m:t>W</m:t>
                      </m:r>
                    </m:num>
                    <m:den>
                      <m:sSub>
                        <m:e>
                          <m:r>
                            <m:t>w</m:t>
                          </m:r>
                        </m:e>
                        <m:sub>
                          <m:r>
                            <m:rPr>
                              <m:nor/>
                              <m:sty m:val="p"/>
                            </m:rPr>
                            <m:t>node</m:t>
                          </m:r>
                        </m:sub>
                      </m:sSub>
                      <m:r>
                        <m:rPr>
                          <m:sty m:val="p"/>
                        </m:rPr>
                        <m:t>⋅</m:t>
                      </m:r>
                      <m:r>
                        <m:t>u</m:t>
                      </m:r>
                    </m:den>
                  </m:f>
                  <m:r>
                    <m:rPr>
                      <m:sty m:val="p"/>
                    </m:rPr>
                    <m:t>,</m:t>
                  </m:r>
                  <m:r>
                    <m:t> </m:t>
                  </m:r>
                  <m:f>
                    <m:fPr>
                      <m:type m:val="bar"/>
                    </m:fPr>
                    <m:num>
                      <m:r>
                        <m:t>R</m:t>
                      </m:r>
                    </m:num>
                    <m:den>
                      <m:sSub>
                        <m:e>
                          <m:r>
                            <m:t>n</m:t>
                          </m:r>
                        </m:e>
                        <m:sub>
                          <m:r>
                            <m:rPr>
                              <m:nor/>
                              <m:sty m:val="p"/>
                            </m:rPr>
                            <m:t>read</m:t>
                          </m:r>
                        </m:sub>
                      </m:sSub>
                      <m:r>
                        <m:rPr>
                          <m:sty m:val="p"/>
                        </m:rPr>
                        <m:t>⋅</m:t>
                      </m:r>
                      <m:sSub>
                        <m:e>
                          <m:r>
                            <m:t>r</m:t>
                          </m:r>
                        </m:e>
                        <m:sub>
                          <m:r>
                            <m:rPr>
                              <m:nor/>
                              <m:sty m:val="p"/>
                            </m:rPr>
                            <m:t>node</m:t>
                          </m:r>
                        </m:sub>
                      </m:sSub>
                      <m:r>
                        <m:rPr>
                          <m:sty m:val="p"/>
                        </m:rPr>
                        <m:t>⋅</m:t>
                      </m:r>
                      <m:r>
                        <m:t>u</m:t>
                      </m:r>
                    </m:den>
                  </m:f>
                </m:e>
              </m:d>
            </m:e>
          </m:d>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S</m:t>
              </m:r>
            </m:oMath>
          </w:p>
        </w:tc>
        <w:tc>
          <w:tcPr/>
          <w:p>
            <w:pPr>
              <w:pStyle w:val="Compact"/>
              <w:jc w:val="left"/>
            </w:pPr>
            <w:r>
              <w:t xml:space="preserve">Number of shards (each one a replicated group)</w:t>
            </w:r>
          </w:p>
        </w:tc>
        <w:tc>
          <w:tcPr/>
          <w:p>
            <w:pPr>
              <w:pStyle w:val="Compact"/>
              <w:jc w:val="left"/>
            </w:pPr>
            <w:r>
              <w:t xml:space="preserve">shards</w:t>
            </w:r>
          </w:p>
        </w:tc>
      </w:tr>
      <w:tr>
        <w:tc>
          <w:tcPr/>
          <w:p>
            <w:pPr>
              <w:pStyle w:val="Compact"/>
              <w:jc w:val="left"/>
            </w:pPr>
            <m:oMath>
              <m:r>
                <m:t>D</m:t>
              </m:r>
            </m:oMath>
          </w:p>
        </w:tc>
        <w:tc>
          <w:tcPr/>
          <w:p>
            <w:pPr>
              <w:pStyle w:val="Compact"/>
              <w:jc w:val="left"/>
            </w:pPr>
            <w:r>
              <w:t xml:space="preserve">Data size at the planning horizon, one copy, including indexes</w:t>
            </w:r>
          </w:p>
        </w:tc>
        <w:tc>
          <w:tcPr/>
          <w:p>
            <w:pPr>
              <w:pStyle w:val="Compact"/>
              <w:jc w:val="left"/>
            </w:pPr>
            <w:r>
              <w:t xml:space="preserve">TB</w:t>
            </w:r>
          </w:p>
        </w:tc>
      </w:tr>
      <w:tr>
        <w:tc>
          <w:tcPr/>
          <w:p>
            <w:pPr>
              <w:pStyle w:val="Compact"/>
              <w:jc w:val="left"/>
            </w:pPr>
            <m:oMath>
              <m:sSub>
                <m:e>
                  <m:r>
                    <m:t>C</m:t>
                  </m:r>
                </m:e>
                <m:sub>
                  <m:r>
                    <m:rPr>
                      <m:nor/>
                      <m:sty m:val="p"/>
                    </m:rPr>
                    <m:t>disk</m:t>
                  </m:r>
                </m:sub>
              </m:sSub>
            </m:oMath>
          </w:p>
        </w:tc>
        <w:tc>
          <w:tcPr/>
          <w:p>
            <w:pPr>
              <w:pStyle w:val="Compact"/>
              <w:jc w:val="left"/>
            </w:pPr>
            <w:r>
              <w:t xml:space="preserve">Usable storage per node</w:t>
            </w:r>
          </w:p>
        </w:tc>
        <w:tc>
          <w:tcPr/>
          <w:p>
            <w:pPr>
              <w:pStyle w:val="Compact"/>
              <w:jc w:val="left"/>
            </w:pPr>
            <w:r>
              <w:t xml:space="preserve">TB</w:t>
            </w:r>
          </w:p>
        </w:tc>
      </w:tr>
      <w:tr>
        <w:tc>
          <w:tcPr/>
          <w:p>
            <w:pPr>
              <w:pStyle w:val="Compact"/>
              <w:jc w:val="left"/>
            </w:pPr>
            <m:oMath>
              <m:r>
                <m:t>f</m:t>
              </m:r>
            </m:oMath>
          </w:p>
        </w:tc>
        <w:tc>
          <w:tcPr/>
          <w:p>
            <w:pPr>
              <w:pStyle w:val="Compact"/>
              <w:jc w:val="left"/>
            </w:pPr>
            <w:r>
              <w:t xml:space="preserve">Target fill fraction, leaving room for compaction, backups and growth between reshards</w:t>
            </w:r>
          </w:p>
        </w:tc>
        <w:tc>
          <w:tcPr/>
          <w:p>
            <w:pPr>
              <w:pStyle w:val="Compact"/>
              <w:jc w:val="left"/>
            </w:pPr>
            <w:r>
              <w:t xml:space="preserve">dimensionless (0–1)</w:t>
            </w:r>
          </w:p>
        </w:tc>
      </w:tr>
      <w:tr>
        <w:tc>
          <w:tcPr/>
          <w:p>
            <w:pPr>
              <w:pStyle w:val="Compact"/>
              <w:jc w:val="left"/>
            </w:pPr>
            <m:oMath>
              <m:r>
                <m:t>W</m:t>
              </m:r>
            </m:oMath>
          </w:p>
        </w:tc>
        <w:tc>
          <w:tcPr/>
          <w:p>
            <w:pPr>
              <w:pStyle w:val="Compact"/>
              <w:jc w:val="left"/>
            </w:pPr>
            <w:r>
              <w:t xml:space="preserve">Peak write rate at the horizon</w:t>
            </w:r>
          </w:p>
        </w:tc>
        <w:tc>
          <w:tcPr/>
          <w:p>
            <w:pPr>
              <w:pStyle w:val="Compact"/>
              <w:jc w:val="left"/>
            </w:pPr>
            <w:r>
              <w:t xml:space="preserve">writes/s</w:t>
            </w:r>
          </w:p>
        </w:tc>
      </w:tr>
      <w:tr>
        <w:tc>
          <w:tcPr/>
          <w:p>
            <w:pPr>
              <w:pStyle w:val="Compact"/>
              <w:jc w:val="left"/>
            </w:pPr>
            <m:oMath>
              <m:sSub>
                <m:e>
                  <m:r>
                    <m:t>w</m:t>
                  </m:r>
                </m:e>
                <m:sub>
                  <m:r>
                    <m:rPr>
                      <m:nor/>
                      <m:sty m:val="p"/>
                    </m:rPr>
                    <m:t>node</m:t>
                  </m:r>
                </m:sub>
              </m:sSub>
            </m:oMath>
          </w:p>
        </w:tc>
        <w:tc>
          <w:tcPr/>
          <w:p>
            <w:pPr>
              <w:pStyle w:val="Compact"/>
              <w:jc w:val="left"/>
            </w:pPr>
            <w:r>
              <w:t xml:space="preserve">Sustainable write rate of one primary (from benchmarks)</w:t>
            </w:r>
          </w:p>
        </w:tc>
        <w:tc>
          <w:tcPr/>
          <w:p>
            <w:pPr>
              <w:pStyle w:val="Compact"/>
              <w:jc w:val="left"/>
            </w:pPr>
            <w:r>
              <w:t xml:space="preserve">writes/s</w:t>
            </w:r>
          </w:p>
        </w:tc>
      </w:tr>
      <w:tr>
        <w:tc>
          <w:tcPr/>
          <w:p>
            <w:pPr>
              <w:pStyle w:val="Compact"/>
              <w:jc w:val="left"/>
            </w:pPr>
            <m:oMath>
              <m:r>
                <m:t>R</m:t>
              </m:r>
            </m:oMath>
          </w:p>
        </w:tc>
        <w:tc>
          <w:tcPr/>
          <w:p>
            <w:pPr>
              <w:pStyle w:val="Compact"/>
              <w:jc w:val="left"/>
            </w:pPr>
            <w:r>
              <w:t xml:space="preserve">Peak read rate that reaches the database, after caches</w:t>
            </w:r>
          </w:p>
        </w:tc>
        <w:tc>
          <w:tcPr/>
          <w:p>
            <w:pPr>
              <w:pStyle w:val="Compact"/>
              <w:jc w:val="left"/>
            </w:pPr>
            <w:r>
              <w:t xml:space="preserve">reads/s</w:t>
            </w:r>
          </w:p>
        </w:tc>
      </w:tr>
      <w:tr>
        <w:tc>
          <w:tcPr/>
          <w:p>
            <w:pPr>
              <w:pStyle w:val="Compact"/>
              <w:jc w:val="left"/>
            </w:pPr>
            <m:oMath>
              <m:sSub>
                <m:e>
                  <m:r>
                    <m:t>n</m:t>
                  </m:r>
                </m:e>
                <m:sub>
                  <m:r>
                    <m:rPr>
                      <m:nor/>
                      <m:sty m:val="p"/>
                    </m:rPr>
                    <m:t>read</m:t>
                  </m:r>
                </m:sub>
              </m:sSub>
            </m:oMath>
          </w:p>
        </w:tc>
        <w:tc>
          <w:tcPr/>
          <w:p>
            <w:pPr>
              <w:pStyle w:val="Compact"/>
              <w:jc w:val="left"/>
            </w:pPr>
            <w:r>
              <w:t xml:space="preserve">Nodes per shard that serve reads</w:t>
            </w:r>
          </w:p>
        </w:tc>
        <w:tc>
          <w:tcPr/>
          <w:p>
            <w:pPr>
              <w:pStyle w:val="Compact"/>
              <w:jc w:val="left"/>
            </w:pPr>
            <w:r>
              <w:t xml:space="preserve">nodes</w:t>
            </w:r>
          </w:p>
        </w:tc>
      </w:tr>
      <w:tr>
        <w:tc>
          <w:tcPr/>
          <w:p>
            <w:pPr>
              <w:pStyle w:val="Compact"/>
              <w:jc w:val="left"/>
            </w:pPr>
            <m:oMath>
              <m:sSub>
                <m:e>
                  <m:r>
                    <m:t>r</m:t>
                  </m:r>
                </m:e>
                <m:sub>
                  <m:r>
                    <m:rPr>
                      <m:nor/>
                      <m:sty m:val="p"/>
                    </m:rPr>
                    <m:t>node</m:t>
                  </m:r>
                </m:sub>
              </m:sSub>
            </m:oMath>
          </w:p>
        </w:tc>
        <w:tc>
          <w:tcPr/>
          <w:p>
            <w:pPr>
              <w:pStyle w:val="Compact"/>
              <w:jc w:val="left"/>
            </w:pPr>
            <w:r>
              <w:t xml:space="preserve">Sustainable read rate of one node</w:t>
            </w:r>
          </w:p>
        </w:tc>
        <w:tc>
          <w:tcPr/>
          <w:p>
            <w:pPr>
              <w:pStyle w:val="Compact"/>
              <w:jc w:val="left"/>
            </w:pPr>
            <w:r>
              <w:t xml:space="preserve">reads/s</w:t>
            </w:r>
          </w:p>
        </w:tc>
      </w:tr>
      <w:tr>
        <w:tc>
          <w:tcPr/>
          <w:p>
            <w:pPr>
              <w:pStyle w:val="Compact"/>
              <w:jc w:val="left"/>
            </w:pPr>
            <m:oMath>
              <m:r>
                <m:t>u</m:t>
              </m:r>
            </m:oMath>
          </w:p>
        </w:tc>
        <w:tc>
          <w:tcPr/>
          <w:p>
            <w:pPr>
              <w:pStyle w:val="Compact"/>
              <w:jc w:val="left"/>
            </w:pPr>
            <w:r>
              <w:t xml:space="preserve">Target utilization at peak</w:t>
            </w:r>
          </w:p>
        </w:tc>
        <w:tc>
          <w:tcPr/>
          <w:p>
            <w:pPr>
              <w:pStyle w:val="Compact"/>
              <w:jc w:val="left"/>
            </w:pPr>
            <w:r>
              <w:t xml:space="preserve">dimensionless (0–1)</w:t>
            </w:r>
          </w:p>
        </w:tc>
      </w:tr>
    </w:tbl>
    <w:p>
      <w:pPr>
        <w:pStyle w:val="CalloutExample"/>
      </w:pPr>
      <w:r>
        <w:rPr>
          <w:bCs/>
          <w:b/>
        </w:rPr>
        <w:t xml:space="preserve">WORKED EXAMPLE</w:t>
      </w:r>
    </w:p>
    <w:p>
      <w:pPr>
        <w:pStyle w:val="CalloutExample"/>
      </w:pPr>
      <w:r>
        <w:rPr>
          <w:bCs/>
          <w:b/>
        </w:rPr>
        <w:t xml:space="preserve">Worked example — Sharding PhotoShare’s metadata store.</w:t>
      </w:r>
      <w:r>
        <w:t xml:space="preserve"> </w:t>
      </w:r>
      <w:r>
        <w:t xml:space="preserve">SI units (1 TB =</w:t>
      </w:r>
      <w:r>
        <w:t xml:space="preserve"> </w:t>
      </w:r>
      <m:oMath>
        <m:sSup>
          <m:e>
            <m:r>
              <m:t>10</m:t>
            </m:r>
          </m:e>
          <m:sup>
            <m:r>
              <m:t>12</m:t>
            </m:r>
          </m:sup>
        </m:sSup>
      </m:oMath>
      <w:r>
        <w:t xml:space="preserve"> </w:t>
      </w:r>
      <w:r>
        <w:t xml:space="preserve">bytes). Assumptions are stated, not measured.</w:t>
      </w:r>
    </w:p>
    <w:p>
      <w:pPr>
        <w:numPr>
          <w:ilvl w:val="0"/>
          <w:numId w:val="1479"/>
        </w:numPr>
        <w:pStyle w:val="Compact"/>
      </w:pPr>
      <w:r>
        <w:rPr>
          <w:bCs/>
          <w:b/>
        </w:rPr>
        <w:t xml:space="preserve">Storage.</w:t>
      </w:r>
      <w:r>
        <w:t xml:space="preserve"> </w:t>
      </w:r>
      <w:r>
        <w:t xml:space="preserve">Metadata is 30 TB today, including indexes, and grows by 1.5 TB per month. The planning horizon is 24 months, so</w:t>
      </w:r>
      <w:r>
        <w:t xml:space="preserve"> </w:t>
      </w:r>
      <m:oMath>
        <m:r>
          <m:t>D</m:t>
        </m:r>
        <m:r>
          <m:rPr>
            <m:sty m:val="p"/>
          </m:rPr>
          <m:t>=</m:t>
        </m:r>
        <m:r>
          <m:t>30</m:t>
        </m:r>
        <m:r>
          <m:rPr>
            <m:sty m:val="p"/>
          </m:rPr>
          <m:t>+</m:t>
        </m:r>
        <m:r>
          <m:t>24</m:t>
        </m:r>
        <m:r>
          <m:rPr>
            <m:sty m:val="p"/>
          </m:rPr>
          <m:t>×</m:t>
        </m:r>
        <m:r>
          <m:t>1.5</m:t>
        </m:r>
        <m:r>
          <m:rPr>
            <m:sty m:val="p"/>
          </m:rPr>
          <m:t>=</m:t>
        </m:r>
        <m:r>
          <m:t>66</m:t>
        </m:r>
      </m:oMath>
      <w:r>
        <w:t xml:space="preserve"> </w:t>
      </w:r>
      <w:r>
        <w:t xml:space="preserve">TB. Each node has 8 TB of usable NVMe, and you fill it to at most</w:t>
      </w:r>
      <w:r>
        <w:t xml:space="preserve"> </w:t>
      </w:r>
      <m:oMath>
        <m:r>
          <m:t>f</m:t>
        </m:r>
        <m:r>
          <m:rPr>
            <m:sty m:val="p"/>
          </m:rPr>
          <m:t>=</m:t>
        </m:r>
        <m:r>
          <m:t>0.6</m:t>
        </m:r>
      </m:oMath>
      <w:r>
        <w:t xml:space="preserve">. Storage term:</w:t>
      </w:r>
      <w:r>
        <w:t xml:space="preserve"> </w:t>
      </w:r>
      <m:oMath>
        <m:r>
          <m:t>66</m:t>
        </m:r>
        <m:r>
          <m:rPr>
            <m:sty m:val="p"/>
          </m:rPr>
          <m:t>/</m:t>
        </m:r>
        <m:d>
          <m:dPr>
            <m:begChr m:val="("/>
            <m:endChr m:val=")"/>
            <m:sepChr m:val=""/>
            <m:grow/>
          </m:dPr>
          <m:e>
            <m:r>
              <m:t>8</m:t>
            </m:r>
            <m:r>
              <m:rPr>
                <m:sty m:val="p"/>
              </m:rPr>
              <m:t>×</m:t>
            </m:r>
            <m:r>
              <m:t>0.6</m:t>
            </m:r>
          </m:e>
        </m:d>
        <m:r>
          <m:rPr>
            <m:sty m:val="p"/>
          </m:rPr>
          <m:t>=</m:t>
        </m:r>
        <m:r>
          <m:t>66</m:t>
        </m:r>
        <m:r>
          <m:rPr>
            <m:sty m:val="p"/>
          </m:rPr>
          <m:t>/</m:t>
        </m:r>
        <m:r>
          <m:t>4.8</m:t>
        </m:r>
        <m:r>
          <m:rPr>
            <m:sty m:val="p"/>
          </m:rPr>
          <m:t>=</m:t>
        </m:r>
        <m:r>
          <m:t>13.75</m:t>
        </m:r>
      </m:oMath>
      <w:r>
        <w:t xml:space="preserve">.</w:t>
      </w:r>
    </w:p>
    <w:p>
      <w:pPr>
        <w:numPr>
          <w:ilvl w:val="0"/>
          <w:numId w:val="1479"/>
        </w:numPr>
        <w:pStyle w:val="Compact"/>
      </w:pPr>
      <w:r>
        <w:rPr>
          <w:bCs/>
          <w:b/>
        </w:rPr>
        <w:t xml:space="preserve">Writes.</w:t>
      </w:r>
      <w:r>
        <w:t xml:space="preserve"> </w:t>
      </w:r>
      <w:r>
        <w:t xml:space="preserve">Peak writes are 90,000/s today and expected to grow 1.5×, so</w:t>
      </w:r>
      <w:r>
        <w:t xml:space="preserve"> </w:t>
      </w:r>
      <m:oMath>
        <m:r>
          <m:t>W</m:t>
        </m:r>
        <m:r>
          <m:rPr>
            <m:sty m:val="p"/>
          </m:rPr>
          <m:t>=</m:t>
        </m:r>
        <m:r>
          <m:t>135</m:t>
        </m:r>
        <m:r>
          <m:rPr>
            <m:sty m:val="p"/>
          </m:rPr>
          <m:t>,</m:t>
        </m:r>
        <m:r>
          <m:t>000</m:t>
        </m:r>
      </m:oMath>
      <w:r>
        <w:t xml:space="preserve">/s. A benchmarked primary sustains</w:t>
      </w:r>
      <w:r>
        <w:t xml:space="preserve"> </w:t>
      </w:r>
      <m:oMath>
        <m:sSub>
          <m:e>
            <m:r>
              <m:t>w</m:t>
            </m:r>
          </m:e>
          <m:sub>
            <m:r>
              <m:rPr>
                <m:nor/>
                <m:sty m:val="p"/>
              </m:rPr>
              <m:t>node</m:t>
            </m:r>
          </m:sub>
        </m:sSub>
        <m:r>
          <m:rPr>
            <m:sty m:val="p"/>
          </m:rPr>
          <m:t>=</m:t>
        </m:r>
        <m:r>
          <m:t>10</m:t>
        </m:r>
        <m:r>
          <m:rPr>
            <m:sty m:val="p"/>
          </m:rPr>
          <m:t>,</m:t>
        </m:r>
        <m:r>
          <m:t>000</m:t>
        </m:r>
      </m:oMath>
      <w:r>
        <w:t xml:space="preserve"> </w:t>
      </w:r>
      <w:r>
        <w:t xml:space="preserve">writes/s, and you run at</w:t>
      </w:r>
      <w:r>
        <w:t xml:space="preserve"> </w:t>
      </w:r>
      <m:oMath>
        <m:r>
          <m:t>u</m:t>
        </m:r>
        <m:r>
          <m:rPr>
            <m:sty m:val="p"/>
          </m:rPr>
          <m:t>=</m:t>
        </m:r>
        <m:r>
          <m:t>0.6</m:t>
        </m:r>
      </m:oMath>
      <w:r>
        <w:t xml:space="preserve">. Write term:</w:t>
      </w:r>
      <w:r>
        <w:t xml:space="preserve"> </w:t>
      </w:r>
      <m:oMath>
        <m:r>
          <m:t>135</m:t>
        </m:r>
        <m:r>
          <m:rPr>
            <m:sty m:val="p"/>
          </m:rPr>
          <m:t>,</m:t>
        </m:r>
        <m:r>
          <m:t>000</m:t>
        </m:r>
        <m:r>
          <m:rPr>
            <m:sty m:val="p"/>
          </m:rPr>
          <m:t>/</m:t>
        </m:r>
        <m:d>
          <m:dPr>
            <m:begChr m:val="("/>
            <m:endChr m:val=")"/>
            <m:sepChr m:val=""/>
            <m:grow/>
          </m:dPr>
          <m:e>
            <m:r>
              <m:t>10</m:t>
            </m:r>
            <m:r>
              <m:rPr>
                <m:sty m:val="p"/>
              </m:rPr>
              <m:t>,</m:t>
            </m:r>
            <m:r>
              <m:t>000</m:t>
            </m:r>
            <m:r>
              <m:rPr>
                <m:sty m:val="p"/>
              </m:rPr>
              <m:t>×</m:t>
            </m:r>
            <m:r>
              <m:t>0.6</m:t>
            </m:r>
          </m:e>
        </m:d>
        <m:r>
          <m:rPr>
            <m:sty m:val="p"/>
          </m:rPr>
          <m:t>=</m:t>
        </m:r>
        <m:r>
          <m:t>135</m:t>
        </m:r>
        <m:r>
          <m:rPr>
            <m:sty m:val="p"/>
          </m:rPr>
          <m:t>,</m:t>
        </m:r>
        <m:r>
          <m:t>000</m:t>
        </m:r>
        <m:r>
          <m:rPr>
            <m:sty m:val="p"/>
          </m:rPr>
          <m:t>/</m:t>
        </m:r>
        <m:r>
          <m:t>6</m:t>
        </m:r>
        <m:r>
          <m:rPr>
            <m:sty m:val="p"/>
          </m:rPr>
          <m:t>,</m:t>
        </m:r>
        <m:r>
          <m:t>000</m:t>
        </m:r>
        <m:r>
          <m:rPr>
            <m:sty m:val="p"/>
          </m:rPr>
          <m:t>=</m:t>
        </m:r>
        <m:r>
          <m:t>22.5</m:t>
        </m:r>
      </m:oMath>
      <w:r>
        <w:t xml:space="preserve">.</w:t>
      </w:r>
    </w:p>
    <w:p>
      <w:pPr>
        <w:numPr>
          <w:ilvl w:val="0"/>
          <w:numId w:val="1479"/>
        </w:numPr>
        <w:pStyle w:val="Compact"/>
      </w:pPr>
      <w:r>
        <w:rPr>
          <w:bCs/>
          <w:b/>
        </w:rPr>
        <w:t xml:space="preserve">Reads.</w:t>
      </w:r>
      <w:r>
        <w:t xml:space="preserve"> </w:t>
      </w:r>
      <w:r>
        <w:t xml:space="preserve">Peak reads are 1,200,000/s, and the cache hit ratio is 90 %, so</w:t>
      </w:r>
      <w:r>
        <w:t xml:space="preserve"> </w:t>
      </w:r>
      <m:oMath>
        <m:r>
          <m:t>R</m:t>
        </m:r>
        <m:r>
          <m:rPr>
            <m:sty m:val="p"/>
          </m:rPr>
          <m:t>=</m:t>
        </m:r>
        <m:r>
          <m:t>120</m:t>
        </m:r>
        <m:r>
          <m:rPr>
            <m:sty m:val="p"/>
          </m:rPr>
          <m:t>,</m:t>
        </m:r>
        <m:r>
          <m:t>000</m:t>
        </m:r>
      </m:oMath>
      <w:r>
        <w:t xml:space="preserve">/s reach the database. Each shard has one primary and two replicas, and only the replicas serve reads, so</w:t>
      </w:r>
      <w:r>
        <w:t xml:space="preserve"> </w:t>
      </w:r>
      <m:oMath>
        <m:sSub>
          <m:e>
            <m:r>
              <m:t>n</m:t>
            </m:r>
          </m:e>
          <m:sub>
            <m:r>
              <m:rPr>
                <m:nor/>
                <m:sty m:val="p"/>
              </m:rPr>
              <m:t>read</m:t>
            </m:r>
          </m:sub>
        </m:sSub>
        <m:r>
          <m:rPr>
            <m:sty m:val="p"/>
          </m:rPr>
          <m:t>=</m:t>
        </m:r>
        <m:r>
          <m:t>2</m:t>
        </m:r>
      </m:oMath>
      <w:r>
        <w:t xml:space="preserve">. A replica sustains</w:t>
      </w:r>
      <w:r>
        <w:t xml:space="preserve"> </w:t>
      </w:r>
      <m:oMath>
        <m:sSub>
          <m:e>
            <m:r>
              <m:t>r</m:t>
            </m:r>
          </m:e>
          <m:sub>
            <m:r>
              <m:rPr>
                <m:nor/>
                <m:sty m:val="p"/>
              </m:rPr>
              <m:t>node</m:t>
            </m:r>
          </m:sub>
        </m:sSub>
        <m:r>
          <m:rPr>
            <m:sty m:val="p"/>
          </m:rPr>
          <m:t>=</m:t>
        </m:r>
        <m:r>
          <m:t>20</m:t>
        </m:r>
        <m:r>
          <m:rPr>
            <m:sty m:val="p"/>
          </m:rPr>
          <m:t>,</m:t>
        </m:r>
        <m:r>
          <m:t>000</m:t>
        </m:r>
      </m:oMath>
      <w:r>
        <w:t xml:space="preserve"> </w:t>
      </w:r>
      <w:r>
        <w:t xml:space="preserve">reads/s, and</w:t>
      </w:r>
      <w:r>
        <w:t xml:space="preserve"> </w:t>
      </w:r>
      <m:oMath>
        <m:r>
          <m:t>u</m:t>
        </m:r>
        <m:r>
          <m:rPr>
            <m:sty m:val="p"/>
          </m:rPr>
          <m:t>=</m:t>
        </m:r>
        <m:r>
          <m:t>0.6</m:t>
        </m:r>
      </m:oMath>
      <w:r>
        <w:t xml:space="preserve">. Read term:</w:t>
      </w:r>
      <w:r>
        <w:t xml:space="preserve"> </w:t>
      </w:r>
      <m:oMath>
        <m:r>
          <m:t>120</m:t>
        </m:r>
        <m:r>
          <m:rPr>
            <m:sty m:val="p"/>
          </m:rPr>
          <m:t>,</m:t>
        </m:r>
        <m:r>
          <m:t>000</m:t>
        </m:r>
        <m:r>
          <m:rPr>
            <m:sty m:val="p"/>
          </m:rPr>
          <m:t>/</m:t>
        </m:r>
        <m:d>
          <m:dPr>
            <m:begChr m:val="("/>
            <m:endChr m:val=")"/>
            <m:sepChr m:val=""/>
            <m:grow/>
          </m:dPr>
          <m:e>
            <m:r>
              <m:t>2</m:t>
            </m:r>
            <m:r>
              <m:rPr>
                <m:sty m:val="p"/>
              </m:rPr>
              <m:t>×</m:t>
            </m:r>
            <m:r>
              <m:t>20</m:t>
            </m:r>
            <m:r>
              <m:rPr>
                <m:sty m:val="p"/>
              </m:rPr>
              <m:t>,</m:t>
            </m:r>
            <m:r>
              <m:t>000</m:t>
            </m:r>
            <m:r>
              <m:rPr>
                <m:sty m:val="p"/>
              </m:rPr>
              <m:t>×</m:t>
            </m:r>
            <m:r>
              <m:t>0.6</m:t>
            </m:r>
          </m:e>
        </m:d>
        <m:r>
          <m:rPr>
            <m:sty m:val="p"/>
          </m:rPr>
          <m:t>=</m:t>
        </m:r>
        <m:r>
          <m:t>120</m:t>
        </m:r>
        <m:r>
          <m:rPr>
            <m:sty m:val="p"/>
          </m:rPr>
          <m:t>,</m:t>
        </m:r>
        <m:r>
          <m:t>000</m:t>
        </m:r>
        <m:r>
          <m:rPr>
            <m:sty m:val="p"/>
          </m:rPr>
          <m:t>/</m:t>
        </m:r>
        <m:r>
          <m:t>24</m:t>
        </m:r>
        <m:r>
          <m:rPr>
            <m:sty m:val="p"/>
          </m:rPr>
          <m:t>,</m:t>
        </m:r>
        <m:r>
          <m:t>000</m:t>
        </m:r>
        <m:r>
          <m:rPr>
            <m:sty m:val="p"/>
          </m:rPr>
          <m:t>=</m:t>
        </m:r>
        <m:r>
          <m:t>5</m:t>
        </m:r>
      </m:oMath>
      <w:r>
        <w:t xml:space="preserve">.</w:t>
      </w:r>
    </w:p>
    <w:p>
      <w:pPr>
        <w:numPr>
          <w:ilvl w:val="0"/>
          <w:numId w:val="1479"/>
        </w:numPr>
        <w:pStyle w:val="Compact"/>
      </w:pPr>
      <w:r>
        <w:rPr>
          <w:bCs/>
          <w:b/>
        </w:rPr>
        <w:t xml:space="preserve">Take the maximum.</w:t>
      </w:r>
      <w:r>
        <w:t xml:space="preserve"> </w:t>
      </w:r>
      <m:oMath>
        <m:r>
          <m:t>S</m:t>
        </m:r>
        <m:r>
          <m:rPr>
            <m:sty m:val="p"/>
          </m:rPr>
          <m:t>=</m:t>
        </m:r>
        <m:r>
          <m:rPr>
            <m:sty m:val="p"/>
          </m:rPr>
          <m:t>⌈</m:t>
        </m:r>
        <m:r>
          <m:rPr>
            <m:sty m:val="p"/>
          </m:rPr>
          <m:t>max</m:t>
        </m:r>
        <m:d>
          <m:dPr>
            <m:begChr m:val="("/>
            <m:endChr m:val=")"/>
            <m:sepChr m:val=""/>
            <m:grow/>
          </m:dPr>
          <m:e>
            <m:r>
              <m:t>13.75</m:t>
            </m:r>
            <m:r>
              <m:rPr>
                <m:sty m:val="p"/>
              </m:rPr>
              <m:t>,</m:t>
            </m:r>
            <m:r>
              <m:t>22.5</m:t>
            </m:r>
            <m:r>
              <m:rPr>
                <m:sty m:val="p"/>
              </m:rPr>
              <m:t>,</m:t>
            </m:r>
            <m:r>
              <m:t>5</m:t>
            </m:r>
          </m:e>
        </m:d>
        <m:r>
          <m:rPr>
            <m:sty m:val="p"/>
          </m:rPr>
          <m:t>⌉</m:t>
        </m:r>
        <m:r>
          <m:rPr>
            <m:sty m:val="p"/>
          </m:rPr>
          <m:t>=</m:t>
        </m:r>
        <m:r>
          <m:t>23</m:t>
        </m:r>
      </m:oMath>
      <w:r>
        <w:t xml:space="preserve">. The store is</w:t>
      </w:r>
      <w:r>
        <w:t xml:space="preserve"> </w:t>
      </w:r>
      <w:r>
        <w:rPr>
          <w:bCs/>
          <w:b/>
        </w:rPr>
        <w:t xml:space="preserve">write-bound</w:t>
      </w:r>
      <w:r>
        <w:t xml:space="preserve">.</w:t>
      </w:r>
    </w:p>
    <w:p>
      <w:pPr>
        <w:numPr>
          <w:ilvl w:val="0"/>
          <w:numId w:val="1479"/>
        </w:numPr>
        <w:pStyle w:val="Compact"/>
      </w:pPr>
      <w:r>
        <w:rPr>
          <w:bCs/>
          <w:b/>
        </w:rPr>
        <w:t xml:space="preserve">Round for operations.</w:t>
      </w:r>
      <w:r>
        <w:t xml:space="preserve"> </w:t>
      </w:r>
      <w:r>
        <w:t xml:space="preserve">Choose 24 shards so the fleet splits evenly over 3 availability zones (8 primaries per zone). Total nodes:</w:t>
      </w:r>
      <w:r>
        <w:t xml:space="preserve"> </w:t>
      </w:r>
      <m:oMath>
        <m:r>
          <m:t>24</m:t>
        </m:r>
        <m:r>
          <m:rPr>
            <m:sty m:val="p"/>
          </m:rPr>
          <m:t>×</m:t>
        </m:r>
        <m:r>
          <m:t>3</m:t>
        </m:r>
        <m:r>
          <m:rPr>
            <m:sty m:val="p"/>
          </m:rPr>
          <m:t>=</m:t>
        </m:r>
        <m:r>
          <m:t>72</m:t>
        </m:r>
      </m:oMath>
      <w:r>
        <w:t xml:space="preserve">.</w:t>
      </w:r>
    </w:p>
    <w:p>
      <w:pPr>
        <w:numPr>
          <w:ilvl w:val="0"/>
          <w:numId w:val="1479"/>
        </w:numPr>
        <w:pStyle w:val="Compact"/>
      </w:pPr>
      <w:r>
        <w:rPr>
          <w:bCs/>
          <w:b/>
        </w:rPr>
        <w:t xml:space="preserve">Logical shards.</w:t>
      </w:r>
      <w:r>
        <w:t xml:space="preserve"> </w:t>
      </w:r>
      <w:r>
        <w:t xml:space="preserve">Create</w:t>
      </w:r>
      <w:r>
        <w:t xml:space="preserve"> </w:t>
      </w:r>
      <m:oMath>
        <m:r>
          <m:t>L</m:t>
        </m:r>
        <m:r>
          <m:rPr>
            <m:sty m:val="p"/>
          </m:rPr>
          <m:t>=</m:t>
        </m:r>
        <m:r>
          <m:t>960</m:t>
        </m:r>
      </m:oMath>
      <w:r>
        <w:t xml:space="preserve"> </w:t>
      </w:r>
      <w:r>
        <w:t xml:space="preserve">logical shards, 40 per physical shard. 960 is divisible by 24, 30, 32, 40, 48, 60, 64, 80 and 96, so the fleet can grow in modest steps and stay perfectly even.</w:t>
      </w:r>
    </w:p>
    <w:p>
      <w:pPr>
        <w:numPr>
          <w:ilvl w:val="0"/>
          <w:numId w:val="1479"/>
        </w:numPr>
        <w:pStyle w:val="Compact"/>
      </w:pPr>
      <w:r>
        <w:rPr>
          <w:bCs/>
          <w:b/>
        </w:rPr>
        <w:t xml:space="preserve">Sanity check after sharding.</w:t>
      </w:r>
      <w:r>
        <w:t xml:space="preserve"> </w:t>
      </w:r>
      <w:r>
        <w:t xml:space="preserve">Each shard stores</w:t>
      </w:r>
      <w:r>
        <w:t xml:space="preserve"> </w:t>
      </w:r>
      <m:oMath>
        <m:r>
          <m:t>66</m:t>
        </m:r>
        <m:r>
          <m:rPr>
            <m:sty m:val="p"/>
          </m:rPr>
          <m:t>/</m:t>
        </m:r>
        <m:r>
          <m:t>24</m:t>
        </m:r>
        <m:r>
          <m:rPr>
            <m:sty m:val="p"/>
          </m:rPr>
          <m:t>=</m:t>
        </m:r>
        <m:r>
          <m:t>2.75</m:t>
        </m:r>
      </m:oMath>
      <w:r>
        <w:t xml:space="preserve"> </w:t>
      </w:r>
      <w:r>
        <w:t xml:space="preserve">TB (34 % of a node’s disk) and takes</w:t>
      </w:r>
      <w:r>
        <w:t xml:space="preserve"> </w:t>
      </w:r>
      <m:oMath>
        <m:r>
          <m:t>135</m:t>
        </m:r>
        <m:r>
          <m:rPr>
            <m:sty m:val="p"/>
          </m:rPr>
          <m:t>,</m:t>
        </m:r>
        <m:r>
          <m:t>000</m:t>
        </m:r>
        <m:r>
          <m:rPr>
            <m:sty m:val="p"/>
          </m:rPr>
          <m:t>/</m:t>
        </m:r>
        <m:r>
          <m:t>24</m:t>
        </m:r>
        <m:r>
          <m:rPr>
            <m:sty m:val="p"/>
          </m:rPr>
          <m:t>≈</m:t>
        </m:r>
        <m:r>
          <m:t>5</m:t>
        </m:r>
        <m:r>
          <m:rPr>
            <m:sty m:val="p"/>
          </m:rPr>
          <m:t>,</m:t>
        </m:r>
        <m:r>
          <m:t>600</m:t>
        </m:r>
      </m:oMath>
      <w:r>
        <w:t xml:space="preserve"> </w:t>
      </w:r>
      <w:r>
        <w:t xml:space="preserve">writes/s (56 % of</w:t>
      </w:r>
      <w:r>
        <w:t xml:space="preserve"> </w:t>
      </w:r>
      <m:oMath>
        <m:sSub>
          <m:e>
            <m:r>
              <m:t>w</m:t>
            </m:r>
          </m:e>
          <m:sub>
            <m:r>
              <m:rPr>
                <m:nor/>
                <m:sty m:val="p"/>
              </m:rPr>
              <m:t>node</m:t>
            </m:r>
          </m:sub>
        </m:sSub>
      </m:oMath>
      <w:r>
        <w:t xml:space="preserve">) at the horizon.</w:t>
      </w:r>
    </w:p>
    <w:p>
      <w:pPr>
        <w:pStyle w:val="CalloutExample"/>
      </w:pPr>
      <w:r>
        <w:rPr>
          <w:bCs/>
          <w:b/>
        </w:rPr>
        <w:t xml:space="preserve">Interpretation.</w:t>
      </w:r>
      <w:r>
        <w:t xml:space="preserve"> </w:t>
      </w:r>
      <w:r>
        <w:t xml:space="preserve">Storage alone suggests 14 shards, which would under-provision by 40 %.</w:t>
      </w:r>
      <w:r>
        <w:t xml:space="preserve"> </w:t>
      </w:r>
      <w:r>
        <w:rPr>
          <w:bCs/>
          <w:b/>
        </w:rPr>
        <w:t xml:space="preserve">Engineering implication.</w:t>
      </w:r>
      <w:r>
        <w:t xml:space="preserve"> </w:t>
      </w:r>
      <w:r>
        <w:t xml:space="preserve">Compute all three terms and benchmark the binding one carefully: a 20 % error in</w:t>
      </w:r>
      <w:r>
        <w:t xml:space="preserve"> </w:t>
      </w:r>
      <m:oMath>
        <m:sSub>
          <m:e>
            <m:r>
              <m:t>w</m:t>
            </m:r>
          </m:e>
          <m:sub>
            <m:r>
              <m:rPr>
                <m:nor/>
                <m:sty m:val="p"/>
              </m:rPr>
              <m:t>node</m:t>
            </m:r>
          </m:sub>
        </m:sSub>
      </m:oMath>
      <w:r>
        <w:t xml:space="preserve"> </w:t>
      </w:r>
      <w:r>
        <w:t xml:space="preserve">moves the answer by about five shards. Choose the logical count once, for years, and the physical count for the next 18–24 months.</w:t>
      </w:r>
    </w:p>
    <w:p>
      <w:pPr>
        <w:pStyle w:val="BodyText"/>
      </w:pPr>
      <w:r>
        <w:t xml:space="preserve">The program below implements the formula and reproduces the example.</w:t>
      </w:r>
    </w:p>
    <w:p>
      <w:pPr>
        <w:pStyle w:val="SourceCode"/>
      </w:pPr>
      <w:r>
        <w:rPr>
          <w:rStyle w:val="CommentTok"/>
        </w:rPr>
        <w:t xml:space="preserve">"""Shard-count calculator: the binding constraint among storage, writes and reads."""</w:t>
      </w:r>
      <w:r>
        <w:br/>
      </w:r>
      <w:r>
        <w:rPr>
          <w:rStyle w:val="ImportTok"/>
        </w:rPr>
        <w:t xml:space="preserve">import</w:t>
      </w:r>
      <w:r>
        <w:rPr>
          <w:rStyle w:val="NormalTok"/>
        </w:rPr>
        <w:t xml:space="preserve"> math</w:t>
      </w:r>
      <w:r>
        <w:br/>
      </w:r>
      <w:r>
        <w:br/>
      </w:r>
      <w:r>
        <w:rPr>
          <w:rStyle w:val="KeywordTok"/>
        </w:rPr>
        <w:t xml:space="preserve">def</w:t>
      </w:r>
      <w:r>
        <w:rPr>
          <w:rStyle w:val="NormalTok"/>
        </w:rPr>
        <w:t xml:space="preserve"> shards_needed(data_tb, disk_tb, fill, writes, write_cap, reads,</w:t>
      </w:r>
      <w:r>
        <w:br/>
      </w:r>
      <w:r>
        <w:rPr>
          <w:rStyle w:val="NormalTok"/>
        </w:rPr>
        <w:t xml:space="preserve">                  read_nodes, read_cap, util):</w:t>
      </w:r>
      <w:r>
        <w:br/>
      </w:r>
      <w:r>
        <w:rPr>
          <w:rStyle w:val="NormalTok"/>
        </w:rPr>
        <w:t xml:space="preserve">    terms </w:t>
      </w:r>
      <w:r>
        <w:rPr>
          <w:rStyle w:val="OperatorTok"/>
        </w:rPr>
        <w:t xml:space="preserve">=</w:t>
      </w:r>
      <w:r>
        <w:rPr>
          <w:rStyle w:val="NormalTok"/>
        </w:rPr>
        <w:t xml:space="preserve"> {</w:t>
      </w:r>
      <w:r>
        <w:br/>
      </w:r>
      <w:r>
        <w:rPr>
          <w:rStyle w:val="NormalTok"/>
        </w:rPr>
        <w:t xml:space="preserve">        </w:t>
      </w:r>
      <w:r>
        <w:rPr>
          <w:rStyle w:val="StringTok"/>
        </w:rPr>
        <w:t xml:space="preserve">"storage"</w:t>
      </w:r>
      <w:r>
        <w:rPr>
          <w:rStyle w:val="NormalTok"/>
        </w:rPr>
        <w:t xml:space="preserve">: data_tb </w:t>
      </w:r>
      <w:r>
        <w:rPr>
          <w:rStyle w:val="OperatorTok"/>
        </w:rPr>
        <w:t xml:space="preserve">/</w:t>
      </w:r>
      <w:r>
        <w:rPr>
          <w:rStyle w:val="NormalTok"/>
        </w:rPr>
        <w:t xml:space="preserve"> (disk_tb </w:t>
      </w:r>
      <w:r>
        <w:rPr>
          <w:rStyle w:val="OperatorTok"/>
        </w:rPr>
        <w:t xml:space="preserve">*</w:t>
      </w:r>
      <w:r>
        <w:rPr>
          <w:rStyle w:val="NormalTok"/>
        </w:rPr>
        <w:t xml:space="preserve"> fill),</w:t>
      </w:r>
      <w:r>
        <w:br/>
      </w:r>
      <w:r>
        <w:rPr>
          <w:rStyle w:val="NormalTok"/>
        </w:rPr>
        <w:t xml:space="preserve">        </w:t>
      </w:r>
      <w:r>
        <w:rPr>
          <w:rStyle w:val="StringTok"/>
        </w:rPr>
        <w:t xml:space="preserve">"writes"</w:t>
      </w:r>
      <w:r>
        <w:rPr>
          <w:rStyle w:val="NormalTok"/>
        </w:rPr>
        <w:t xml:space="preserve">: writes </w:t>
      </w:r>
      <w:r>
        <w:rPr>
          <w:rStyle w:val="OperatorTok"/>
        </w:rPr>
        <w:t xml:space="preserve">/</w:t>
      </w:r>
      <w:r>
        <w:rPr>
          <w:rStyle w:val="NormalTok"/>
        </w:rPr>
        <w:t xml:space="preserve"> (write_cap </w:t>
      </w:r>
      <w:r>
        <w:rPr>
          <w:rStyle w:val="OperatorTok"/>
        </w:rPr>
        <w:t xml:space="preserve">*</w:t>
      </w:r>
      <w:r>
        <w:rPr>
          <w:rStyle w:val="NormalTok"/>
        </w:rPr>
        <w:t xml:space="preserve"> util),</w:t>
      </w:r>
      <w:r>
        <w:br/>
      </w:r>
      <w:r>
        <w:rPr>
          <w:rStyle w:val="NormalTok"/>
        </w:rPr>
        <w:t xml:space="preserve">        </w:t>
      </w:r>
      <w:r>
        <w:rPr>
          <w:rStyle w:val="StringTok"/>
        </w:rPr>
        <w:t xml:space="preserve">"reads"</w:t>
      </w:r>
      <w:r>
        <w:rPr>
          <w:rStyle w:val="NormalTok"/>
        </w:rPr>
        <w:t xml:space="preserve">: reads </w:t>
      </w:r>
      <w:r>
        <w:rPr>
          <w:rStyle w:val="OperatorTok"/>
        </w:rPr>
        <w:t xml:space="preserve">/</w:t>
      </w:r>
      <w:r>
        <w:rPr>
          <w:rStyle w:val="NormalTok"/>
        </w:rPr>
        <w:t xml:space="preserve"> (read_nodes </w:t>
      </w:r>
      <w:r>
        <w:rPr>
          <w:rStyle w:val="OperatorTok"/>
        </w:rPr>
        <w:t xml:space="preserve">*</w:t>
      </w:r>
      <w:r>
        <w:rPr>
          <w:rStyle w:val="NormalTok"/>
        </w:rPr>
        <w:t xml:space="preserve"> read_cap </w:t>
      </w:r>
      <w:r>
        <w:rPr>
          <w:rStyle w:val="OperatorTok"/>
        </w:rPr>
        <w:t xml:space="preserve">*</w:t>
      </w:r>
      <w:r>
        <w:rPr>
          <w:rStyle w:val="NormalTok"/>
        </w:rPr>
        <w:t xml:space="preserve"> util),</w:t>
      </w:r>
      <w:r>
        <w:br/>
      </w:r>
      <w:r>
        <w:rPr>
          <w:rStyle w:val="NormalTok"/>
        </w:rPr>
        <w:t xml:space="preserve">    }</w:t>
      </w:r>
      <w:r>
        <w:br/>
      </w:r>
      <w:r>
        <w:rPr>
          <w:rStyle w:val="NormalTok"/>
        </w:rPr>
        <w:t xml:space="preserve">    binding </w:t>
      </w:r>
      <w:r>
        <w:rPr>
          <w:rStyle w:val="OperatorTok"/>
        </w:rPr>
        <w:t xml:space="preserve">=</w:t>
      </w:r>
      <w:r>
        <w:rPr>
          <w:rStyle w:val="NormalTok"/>
        </w:rPr>
        <w:t xml:space="preserve"> </w:t>
      </w:r>
      <w:r>
        <w:rPr>
          <w:rStyle w:val="BuiltInTok"/>
        </w:rPr>
        <w:t xml:space="preserve">max</w:t>
      </w:r>
      <w:r>
        <w:rPr>
          <w:rStyle w:val="NormalTok"/>
        </w:rPr>
        <w:t xml:space="preserve">(terms, key</w:t>
      </w:r>
      <w:r>
        <w:rPr>
          <w:rStyle w:val="OperatorTok"/>
        </w:rPr>
        <w:t xml:space="preserve">=</w:t>
      </w:r>
      <w:r>
        <w:rPr>
          <w:rStyle w:val="NormalTok"/>
        </w:rPr>
        <w:t xml:space="preserve">terms.get)</w:t>
      </w:r>
      <w:r>
        <w:br/>
      </w:r>
      <w:r>
        <w:rPr>
          <w:rStyle w:val="NormalTok"/>
        </w:rPr>
        <w:t xml:space="preserve">    </w:t>
      </w:r>
      <w:r>
        <w:rPr>
          <w:rStyle w:val="ControlFlowTok"/>
        </w:rPr>
        <w:t xml:space="preserve">return</w:t>
      </w:r>
      <w:r>
        <w:rPr>
          <w:rStyle w:val="NormalTok"/>
        </w:rPr>
        <w:t xml:space="preserve"> math.ceil(terms[binding]), binding, terms</w:t>
      </w:r>
      <w:r>
        <w:br/>
      </w:r>
      <w:r>
        <w:br/>
      </w:r>
      <w:r>
        <w:rPr>
          <w:rStyle w:val="KeywordTok"/>
        </w:rPr>
        <w:t xml:space="preserve">def</w:t>
      </w:r>
      <w:r>
        <w:rPr>
          <w:rStyle w:val="NormalTok"/>
        </w:rPr>
        <w:t xml:space="preserve"> even_logical_counts(physical, candidates</w:t>
      </w:r>
      <w:r>
        <w:rPr>
          <w:rStyle w:val="OperatorTok"/>
        </w:rPr>
        <w:t xml:space="preserve">=</w:t>
      </w:r>
      <w:r>
        <w:rPr>
          <w:rStyle w:val="NormalTok"/>
        </w:rPr>
        <w:t xml:space="preserve">(</w:t>
      </w:r>
      <w:r>
        <w:rPr>
          <w:rStyle w:val="DecValTok"/>
        </w:rPr>
        <w:t xml:space="preserve">512</w:t>
      </w:r>
      <w:r>
        <w:rPr>
          <w:rStyle w:val="NormalTok"/>
        </w:rPr>
        <w:t xml:space="preserve">, </w:t>
      </w:r>
      <w:r>
        <w:rPr>
          <w:rStyle w:val="DecValTok"/>
        </w:rPr>
        <w:t xml:space="preserve">720</w:t>
      </w:r>
      <w:r>
        <w:rPr>
          <w:rStyle w:val="NormalTok"/>
        </w:rPr>
        <w:t xml:space="preserve">, </w:t>
      </w:r>
      <w:r>
        <w:rPr>
          <w:rStyle w:val="DecValTok"/>
        </w:rPr>
        <w:t xml:space="preserve">960</w:t>
      </w:r>
      <w:r>
        <w:rPr>
          <w:rStyle w:val="NormalTok"/>
        </w:rPr>
        <w:t xml:space="preserve">, </w:t>
      </w:r>
      <w:r>
        <w:rPr>
          <w:rStyle w:val="DecValTok"/>
        </w:rPr>
        <w:t xml:space="preserve">1024</w:t>
      </w:r>
      <w:r>
        <w:rPr>
          <w:rStyle w:val="NormalTok"/>
        </w:rPr>
        <w:t xml:space="preserve">, </w:t>
      </w:r>
      <w:r>
        <w:rPr>
          <w:rStyle w:val="DecValTok"/>
        </w:rPr>
        <w:t xml:space="preserve">4096</w:t>
      </w:r>
      <w:r>
        <w:rPr>
          <w:rStyle w:val="NormalTok"/>
        </w:rPr>
        <w:t xml:space="preserve">)):</w:t>
      </w:r>
      <w:r>
        <w:br/>
      </w:r>
      <w:r>
        <w:rPr>
          <w:rStyle w:val="NormalTok"/>
        </w:rPr>
        <w:t xml:space="preserve">    </w:t>
      </w:r>
      <w:r>
        <w:rPr>
          <w:rStyle w:val="CommentTok"/>
        </w:rPr>
        <w:t xml:space="preserve">"""Logical-shard counts that divide evenly over `physical` shards."""</w:t>
      </w:r>
      <w:r>
        <w:br/>
      </w:r>
      <w:r>
        <w:rPr>
          <w:rStyle w:val="NormalTok"/>
        </w:rPr>
        <w:t xml:space="preserve">    </w:t>
      </w:r>
      <w:r>
        <w:rPr>
          <w:rStyle w:val="ControlFlowTok"/>
        </w:rPr>
        <w:t xml:space="preserve">return</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candidates </w:t>
      </w:r>
      <w:r>
        <w:rPr>
          <w:rStyle w:val="ControlFlowTok"/>
        </w:rPr>
        <w:t xml:space="preserve">if</w:t>
      </w:r>
      <w:r>
        <w:rPr>
          <w:rStyle w:val="NormalTok"/>
        </w:rPr>
        <w:t xml:space="preserve"> c </w:t>
      </w:r>
      <w:r>
        <w:rPr>
          <w:rStyle w:val="OperatorTok"/>
        </w:rPr>
        <w:t xml:space="preserve">%</w:t>
      </w:r>
      <w:r>
        <w:rPr>
          <w:rStyle w:val="NormalTok"/>
        </w:rPr>
        <w:t xml:space="preserve"> physical </w:t>
      </w:r>
      <w:r>
        <w:rPr>
          <w:rStyle w:val="OperatorTok"/>
        </w:rPr>
        <w:t xml:space="preserve">==</w:t>
      </w:r>
      <w:r>
        <w:rPr>
          <w:rStyle w:val="NormalTok"/>
        </w:rPr>
        <w:t xml:space="preserve"> </w:t>
      </w:r>
      <w:r>
        <w:rPr>
          <w:rStyle w:val="DecValTok"/>
        </w:rPr>
        <w:t xml:space="preserve">0</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s, binding, terms </w:t>
      </w:r>
      <w:r>
        <w:rPr>
          <w:rStyle w:val="OperatorTok"/>
        </w:rPr>
        <w:t xml:space="preserve">=</w:t>
      </w:r>
      <w:r>
        <w:rPr>
          <w:rStyle w:val="NormalTok"/>
        </w:rPr>
        <w:t xml:space="preserve"> shards_needed(</w:t>
      </w:r>
      <w:r>
        <w:br/>
      </w:r>
      <w:r>
        <w:rPr>
          <w:rStyle w:val="NormalTok"/>
        </w:rPr>
        <w:t xml:space="preserve">        data_tb</w:t>
      </w:r>
      <w:r>
        <w:rPr>
          <w:rStyle w:val="OperatorTok"/>
        </w:rPr>
        <w:t xml:space="preserve">=</w:t>
      </w:r>
      <w:r>
        <w:rPr>
          <w:rStyle w:val="DecValTok"/>
        </w:rPr>
        <w:t xml:space="preserve">30</w:t>
      </w:r>
      <w:r>
        <w:rPr>
          <w:rStyle w:val="NormalTok"/>
        </w:rPr>
        <w:t xml:space="preserve"> </w:t>
      </w:r>
      <w:r>
        <w:rPr>
          <w:rStyle w:val="OperatorTok"/>
        </w:rPr>
        <w:t xml:space="preserve">+</w:t>
      </w:r>
      <w:r>
        <w:rPr>
          <w:rStyle w:val="NormalTok"/>
        </w:rPr>
        <w:t xml:space="preserve"> </w:t>
      </w:r>
      <w:r>
        <w:rPr>
          <w:rStyle w:val="DecValTok"/>
        </w:rPr>
        <w:t xml:space="preserve">24</w:t>
      </w:r>
      <w:r>
        <w:rPr>
          <w:rStyle w:val="NormalTok"/>
        </w:rPr>
        <w:t xml:space="preserve"> </w:t>
      </w:r>
      <w:r>
        <w:rPr>
          <w:rStyle w:val="OperatorTok"/>
        </w:rPr>
        <w:t xml:space="preserve">*</w:t>
      </w:r>
      <w:r>
        <w:rPr>
          <w:rStyle w:val="NormalTok"/>
        </w:rPr>
        <w:t xml:space="preserve"> </w:t>
      </w:r>
      <w:r>
        <w:rPr>
          <w:rStyle w:val="FloatTok"/>
        </w:rPr>
        <w:t xml:space="preserve">1.5</w:t>
      </w:r>
      <w:r>
        <w:rPr>
          <w:rStyle w:val="NormalTok"/>
        </w:rPr>
        <w:t xml:space="preserve">, disk_tb</w:t>
      </w:r>
      <w:r>
        <w:rPr>
          <w:rStyle w:val="OperatorTok"/>
        </w:rPr>
        <w:t xml:space="preserve">=</w:t>
      </w:r>
      <w:r>
        <w:rPr>
          <w:rStyle w:val="DecValTok"/>
        </w:rPr>
        <w:t xml:space="preserve">8</w:t>
      </w:r>
      <w:r>
        <w:rPr>
          <w:rStyle w:val="NormalTok"/>
        </w:rPr>
        <w:t xml:space="preserve">, fill</w:t>
      </w:r>
      <w:r>
        <w:rPr>
          <w:rStyle w:val="OperatorTok"/>
        </w:rPr>
        <w:t xml:space="preserve">=</w:t>
      </w:r>
      <w:r>
        <w:rPr>
          <w:rStyle w:val="FloatTok"/>
        </w:rPr>
        <w:t xml:space="preserve">0.6</w:t>
      </w:r>
      <w:r>
        <w:rPr>
          <w:rStyle w:val="NormalTok"/>
        </w:rPr>
        <w:t xml:space="preserve">,</w:t>
      </w:r>
      <w:r>
        <w:br/>
      </w:r>
      <w:r>
        <w:rPr>
          <w:rStyle w:val="NormalTok"/>
        </w:rPr>
        <w:t xml:space="preserve">        writes</w:t>
      </w:r>
      <w:r>
        <w:rPr>
          <w:rStyle w:val="OperatorTok"/>
        </w:rPr>
        <w:t xml:space="preserve">=</w:t>
      </w:r>
      <w:r>
        <w:rPr>
          <w:rStyle w:val="DecValTok"/>
        </w:rPr>
        <w:t xml:space="preserve">90_000</w:t>
      </w:r>
      <w:r>
        <w:rPr>
          <w:rStyle w:val="NormalTok"/>
        </w:rPr>
        <w:t xml:space="preserve"> </w:t>
      </w:r>
      <w:r>
        <w:rPr>
          <w:rStyle w:val="OperatorTok"/>
        </w:rPr>
        <w:t xml:space="preserve">*</w:t>
      </w:r>
      <w:r>
        <w:rPr>
          <w:rStyle w:val="NormalTok"/>
        </w:rPr>
        <w:t xml:space="preserve"> </w:t>
      </w:r>
      <w:r>
        <w:rPr>
          <w:rStyle w:val="FloatTok"/>
        </w:rPr>
        <w:t xml:space="preserve">1.5</w:t>
      </w:r>
      <w:r>
        <w:rPr>
          <w:rStyle w:val="NormalTok"/>
        </w:rPr>
        <w:t xml:space="preserve">, write_cap</w:t>
      </w:r>
      <w:r>
        <w:rPr>
          <w:rStyle w:val="OperatorTok"/>
        </w:rPr>
        <w:t xml:space="preserve">=</w:t>
      </w:r>
      <w:r>
        <w:rPr>
          <w:rStyle w:val="DecValTok"/>
        </w:rPr>
        <w:t xml:space="preserve">10_000</w:t>
      </w:r>
      <w:r>
        <w:rPr>
          <w:rStyle w:val="NormalTok"/>
        </w:rPr>
        <w:t xml:space="preserve">,</w:t>
      </w:r>
      <w:r>
        <w:br/>
      </w:r>
      <w:r>
        <w:rPr>
          <w:rStyle w:val="NormalTok"/>
        </w:rPr>
        <w:t xml:space="preserve">        reads</w:t>
      </w:r>
      <w:r>
        <w:rPr>
          <w:rStyle w:val="OperatorTok"/>
        </w:rPr>
        <w:t xml:space="preserve">=</w:t>
      </w:r>
      <w:r>
        <w:rPr>
          <w:rStyle w:val="DecValTok"/>
        </w:rPr>
        <w:t xml:space="preserve">1_200_000</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0.90</w:t>
      </w:r>
      <w:r>
        <w:rPr>
          <w:rStyle w:val="NormalTok"/>
        </w:rPr>
        <w:t xml:space="preserve">), read_nodes</w:t>
      </w:r>
      <w:r>
        <w:rPr>
          <w:rStyle w:val="OperatorTok"/>
        </w:rPr>
        <w:t xml:space="preserve">=</w:t>
      </w:r>
      <w:r>
        <w:rPr>
          <w:rStyle w:val="DecValTok"/>
        </w:rPr>
        <w:t xml:space="preserve">2</w:t>
      </w:r>
      <w:r>
        <w:rPr>
          <w:rStyle w:val="NormalTok"/>
        </w:rPr>
        <w:t xml:space="preserve">, read_cap</w:t>
      </w:r>
      <w:r>
        <w:rPr>
          <w:rStyle w:val="OperatorTok"/>
        </w:rPr>
        <w:t xml:space="preserve">=</w:t>
      </w:r>
      <w:r>
        <w:rPr>
          <w:rStyle w:val="DecValTok"/>
        </w:rPr>
        <w:t xml:space="preserve">20_000</w:t>
      </w:r>
      <w:r>
        <w:rPr>
          <w:rStyle w:val="NormalTok"/>
        </w:rPr>
        <w:t xml:space="preserve">, util</w:t>
      </w:r>
      <w:r>
        <w:rPr>
          <w:rStyle w:val="OperatorTok"/>
        </w:rPr>
        <w:t xml:space="preserve">=</w:t>
      </w:r>
      <w:r>
        <w:rPr>
          <w:rStyle w:val="FloatTok"/>
        </w:rPr>
        <w:t xml:space="preserve">0.6</w:t>
      </w:r>
      <w:r>
        <w:rPr>
          <w:rStyle w:val="NormalTok"/>
        </w:rPr>
        <w:t xml:space="preserve">)</w:t>
      </w:r>
      <w:r>
        <w:br/>
      </w:r>
      <w:r>
        <w:rPr>
          <w:rStyle w:val="NormalTok"/>
        </w:rPr>
        <w:t xml:space="preserve">    </w:t>
      </w:r>
      <w:r>
        <w:rPr>
          <w:rStyle w:val="BuiltInTok"/>
        </w:rPr>
        <w:t xml:space="preserve">print</w:t>
      </w:r>
      <w:r>
        <w:rPr>
          <w:rStyle w:val="NormalTok"/>
        </w:rPr>
        <w:t xml:space="preserve">({k: </w:t>
      </w:r>
      <w:r>
        <w:rPr>
          <w:rStyle w:val="BuiltInTok"/>
        </w:rPr>
        <w:t xml:space="preserve">round</w:t>
      </w:r>
      <w:r>
        <w:rPr>
          <w:rStyle w:val="NormalTok"/>
        </w:rPr>
        <w:t xml:space="preserve">(v, </w:t>
      </w:r>
      <w:r>
        <w:rPr>
          <w:rStyle w:val="DecValTok"/>
        </w:rPr>
        <w:t xml:space="preserve">2</w:t>
      </w:r>
      <w:r>
        <w:rPr>
          <w:rStyle w:val="NormalTok"/>
        </w:rPr>
        <w:t xml:space="preserve">) </w:t>
      </w:r>
      <w:r>
        <w:rPr>
          <w:rStyle w:val="ControlFlowTok"/>
        </w:rPr>
        <w:t xml:space="preserve">for</w:t>
      </w:r>
      <w:r>
        <w:rPr>
          <w:rStyle w:val="NormalTok"/>
        </w:rPr>
        <w:t xml:space="preserve"> k, v </w:t>
      </w:r>
      <w:r>
        <w:rPr>
          <w:rStyle w:val="KeywordTok"/>
        </w:rPr>
        <w:t xml:space="preserve">in</w:t>
      </w:r>
      <w:r>
        <w:rPr>
          <w:rStyle w:val="NormalTok"/>
        </w:rPr>
        <w:t xml:space="preserve"> terms.items()})</w:t>
      </w:r>
      <w:r>
        <w:br/>
      </w:r>
      <w:r>
        <w:rPr>
          <w:rStyle w:val="NormalTok"/>
        </w:rPr>
        <w:t xml:space="preserve">    </w:t>
      </w:r>
      <w:r>
        <w:rPr>
          <w:rStyle w:val="BuiltInTok"/>
        </w:rPr>
        <w:t xml:space="preserve">print</w:t>
      </w:r>
      <w:r>
        <w:rPr>
          <w:rStyle w:val="NormalTok"/>
        </w:rPr>
        <w:t xml:space="preserve">(</w:t>
      </w:r>
      <w:r>
        <w:rPr>
          <w:rStyle w:val="SpecialStringTok"/>
        </w:rPr>
        <w:t xml:space="preserve">f"minimum shards = </w:t>
      </w:r>
      <w:r>
        <w:rPr>
          <w:rStyle w:val="SpecialCharTok"/>
        </w:rPr>
        <w:t xml:space="preserve">{</w:t>
      </w:r>
      <w:r>
        <w:rPr>
          <w:rStyle w:val="NormalTok"/>
        </w:rPr>
        <w:t xml:space="preserve">s</w:t>
      </w:r>
      <w:r>
        <w:rPr>
          <w:rStyle w:val="SpecialCharTok"/>
        </w:rPr>
        <w:t xml:space="preserve">}</w:t>
      </w:r>
      <w:r>
        <w:rPr>
          <w:rStyle w:val="SpecialStringTok"/>
        </w:rPr>
        <w:t xml:space="preserve"> (</w:t>
      </w:r>
      <w:r>
        <w:rPr>
          <w:rStyle w:val="SpecialCharTok"/>
        </w:rPr>
        <w:t xml:space="preserve">{</w:t>
      </w:r>
      <w:r>
        <w:rPr>
          <w:rStyle w:val="NormalTok"/>
        </w:rPr>
        <w:t xml:space="preserve">binding</w:t>
      </w:r>
      <w:r>
        <w:rPr>
          <w:rStyle w:val="SpecialCharTok"/>
        </w:rPr>
        <w:t xml:space="preserve">}</w:t>
      </w:r>
      <w:r>
        <w:rPr>
          <w:rStyle w:val="SpecialStringTok"/>
        </w:rPr>
        <w:t xml:space="preserve">-bound)"</w:t>
      </w:r>
      <w:r>
        <w:rPr>
          <w:rStyle w:val="NormalTok"/>
        </w:rPr>
        <w:t xml:space="preserve">)</w:t>
      </w:r>
      <w:r>
        <w:br/>
      </w:r>
      <w:r>
        <w:rPr>
          <w:rStyle w:val="NormalTok"/>
        </w:rPr>
        <w:t xml:space="preserve">    physical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math.ceil(s </w:t>
      </w:r>
      <w:r>
        <w:rPr>
          <w:rStyle w:val="OperatorTok"/>
        </w:rPr>
        <w:t xml:space="preserve">/</w:t>
      </w:r>
      <w:r>
        <w:rPr>
          <w:rStyle w:val="NormalTok"/>
        </w:rPr>
        <w:t xml:space="preserve"> </w:t>
      </w:r>
      <w:r>
        <w:rPr>
          <w:rStyle w:val="DecValTok"/>
        </w:rPr>
        <w:t xml:space="preserve">3</w:t>
      </w:r>
      <w:r>
        <w:rPr>
          <w:rStyle w:val="NormalTok"/>
        </w:rPr>
        <w:t xml:space="preserve">)          </w:t>
      </w:r>
      <w:r>
        <w:rPr>
          <w:rStyle w:val="CommentTok"/>
        </w:rPr>
        <w:t xml:space="preserve"># round up to a multiple of 3 zones</w:t>
      </w:r>
      <w:r>
        <w:br/>
      </w:r>
      <w:r>
        <w:rPr>
          <w:rStyle w:val="NormalTok"/>
        </w:rPr>
        <w:t xml:space="preserve">    </w:t>
      </w:r>
      <w:r>
        <w:rPr>
          <w:rStyle w:val="BuiltInTok"/>
        </w:rPr>
        <w:t xml:space="preserve">print</w:t>
      </w:r>
      <w:r>
        <w:rPr>
          <w:rStyle w:val="NormalTok"/>
        </w:rPr>
        <w:t xml:space="preserve">(</w:t>
      </w:r>
      <w:r>
        <w:rPr>
          <w:rStyle w:val="SpecialStringTok"/>
        </w:rPr>
        <w:t xml:space="preserve">f"physical shards = </w:t>
      </w:r>
      <w:r>
        <w:rPr>
          <w:rStyle w:val="SpecialCharTok"/>
        </w:rPr>
        <w:t xml:space="preserve">{</w:t>
      </w:r>
      <w:r>
        <w:rPr>
          <w:rStyle w:val="NormalTok"/>
        </w:rPr>
        <w:t xml:space="preserve">physical</w:t>
      </w:r>
      <w:r>
        <w:rPr>
          <w:rStyle w:val="SpecialCharTok"/>
        </w:rPr>
        <w:t xml:space="preserve">}</w:t>
      </w:r>
      <w:r>
        <w:rPr>
          <w:rStyle w:val="SpecialStringTok"/>
        </w:rPr>
        <w:t xml:space="preserve">, nodes = </w:t>
      </w:r>
      <w:r>
        <w:rPr>
          <w:rStyle w:val="SpecialCharTok"/>
        </w:rPr>
        <w:t xml:space="preserve">{</w:t>
      </w:r>
      <w:r>
        <w:rPr>
          <w:rStyle w:val="NormalTok"/>
        </w:rPr>
        <w:t xml:space="preserve">physical </w:t>
      </w:r>
      <w:r>
        <w:rPr>
          <w:rStyle w:val="OperatorTok"/>
        </w:rPr>
        <w:t xml:space="preserve">*</w:t>
      </w:r>
      <w:r>
        <w:rPr>
          <w:rStyle w:val="NormalTok"/>
        </w:rPr>
        <w:t xml:space="preserve"> </w:t>
      </w:r>
      <w:r>
        <w:rPr>
          <w:rStyle w:val="DecValTok"/>
        </w:rPr>
        <w:t xml:space="preserve">3</w:t>
      </w:r>
      <w:r>
        <w:rPr>
          <w:rStyle w:val="SpecialCharTok"/>
        </w:rPr>
        <w:t xml:space="preserve">}</w:t>
      </w:r>
      <w:r>
        <w:rPr>
          <w:rStyle w:val="SpecialStringTok"/>
        </w:rPr>
        <w:t xml:space="preserve">, "</w:t>
      </w:r>
      <w:r>
        <w:br/>
      </w:r>
      <w:r>
        <w:rPr>
          <w:rStyle w:val="NormalTok"/>
        </w:rPr>
        <w:t xml:space="preserve">          </w:t>
      </w:r>
      <w:r>
        <w:rPr>
          <w:rStyle w:val="SpecialStringTok"/>
        </w:rPr>
        <w:t xml:space="preserve">f"even logical counts = </w:t>
      </w:r>
      <w:r>
        <w:rPr>
          <w:rStyle w:val="SpecialCharTok"/>
        </w:rPr>
        <w:t xml:space="preserve">{</w:t>
      </w:r>
      <w:r>
        <w:rPr>
          <w:rStyle w:val="NormalTok"/>
        </w:rPr>
        <w:t xml:space="preserve">even_logical_counts(physical)</w:t>
      </w:r>
      <w:r>
        <w:rPr>
          <w:rStyle w:val="SpecialCharTok"/>
        </w:rPr>
        <w:t xml:space="preserve">}</w:t>
      </w:r>
      <w:r>
        <w:rPr>
          <w:rStyle w:val="SpecialStringTok"/>
        </w:rPr>
        <w:t xml:space="preserve">"</w:t>
      </w:r>
      <w:r>
        <w:rPr>
          <w:rStyle w:val="NormalTok"/>
        </w:rPr>
        <w:t xml:space="preserve">)</w:t>
      </w:r>
    </w:p>
    <w:p>
      <w:pPr>
        <w:pStyle w:val="FirstParagraph"/>
      </w:pPr>
      <w:r>
        <w:t xml:space="preserve">Running it prints:</w:t>
      </w:r>
    </w:p>
    <w:p>
      <w:pPr>
        <w:pStyle w:val="SourceCode"/>
      </w:pPr>
      <w:r>
        <w:rPr>
          <w:rStyle w:val="VerbatimChar"/>
        </w:rPr>
        <w:t xml:space="preserve">{'storage': 13.75, 'writes': 22.5, 'reads': 5.0}</w:t>
      </w:r>
      <w:r>
        <w:br/>
      </w:r>
      <w:r>
        <w:rPr>
          <w:rStyle w:val="VerbatimChar"/>
        </w:rPr>
        <w:t xml:space="preserve">minimum shards = 23 (writes-bound)</w:t>
      </w:r>
      <w:r>
        <w:br/>
      </w:r>
      <w:r>
        <w:rPr>
          <w:rStyle w:val="VerbatimChar"/>
        </w:rPr>
        <w:t xml:space="preserve">physical shards = 24, nodes = 72, even logical counts = [720, 960]</w:t>
      </w:r>
    </w:p>
    <w:p>
      <w:pPr>
        <w:pStyle w:val="FirstParagraph"/>
      </w:pPr>
      <w:r>
        <w:t xml:space="preserve">What to notice:</w:t>
      </w:r>
    </w:p>
    <w:p>
      <w:pPr>
        <w:numPr>
          <w:ilvl w:val="0"/>
          <w:numId w:val="1480"/>
        </w:numPr>
        <w:pStyle w:val="Compact"/>
      </w:pPr>
      <w:r>
        <w:t xml:space="preserve">It reports</w:t>
      </w:r>
      <w:r>
        <w:t xml:space="preserve"> </w:t>
      </w:r>
      <w:r>
        <w:rPr>
          <w:iCs/>
          <w:i/>
        </w:rPr>
        <w:t xml:space="preserve">which</w:t>
      </w:r>
      <w:r>
        <w:t xml:space="preserve"> </w:t>
      </w:r>
      <w:r>
        <w:t xml:space="preserve">term binds, which is where a real benchmark is needed.</w:t>
      </w:r>
    </w:p>
    <w:p>
      <w:pPr>
        <w:numPr>
          <w:ilvl w:val="0"/>
          <w:numId w:val="1480"/>
        </w:numPr>
        <w:pStyle w:val="Compact"/>
      </w:pPr>
      <w:r>
        <w:t xml:space="preserve">1,024 and 4,096 do not divide evenly over 24 shards. Power-of-two counts suit fleets that double; highly composite counts suit fleets that grow in small steps.</w:t>
      </w:r>
    </w:p>
    <w:p>
      <w:pPr>
        <w:numPr>
          <w:ilvl w:val="0"/>
          <w:numId w:val="1480"/>
        </w:numPr>
        <w:pStyle w:val="Compact"/>
      </w:pPr>
      <w:r>
        <w:t xml:space="preserve">A cache outage multiplies</w:t>
      </w:r>
      <w:r>
        <w:t xml:space="preserve"> </w:t>
      </w:r>
      <m:oMath>
        <m:r>
          <m:t>R</m:t>
        </m:r>
      </m:oMath>
      <w:r>
        <w:t xml:space="preserve"> </w:t>
      </w:r>
      <w:r>
        <w:t xml:space="preserve">by 10, turning the read term from 5 into 50 (§20.13).</w:t>
      </w:r>
    </w:p>
    <w:bookmarkStart w:id="1610" w:name="failure-scenarios-37"/>
    <w:p>
      <w:pPr>
        <w:pStyle w:val="Heading4"/>
      </w:pPr>
      <w:r>
        <w:t xml:space="preserve">Failure scenarios</w:t>
      </w:r>
    </w:p>
    <w:p>
      <w:pPr>
        <w:pStyle w:val="FirstParagraph"/>
      </w:pPr>
      <w:r>
        <w:rPr>
          <w:bCs/>
          <w:b/>
        </w:rPr>
        <w:t xml:space="preserve">Table 14.7 — Failure scenarios from shard-key choice.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One shard runs out of disk</w:t>
            </w:r>
          </w:p>
        </w:tc>
        <w:tc>
          <w:tcPr/>
          <w:p>
            <w:pPr>
              <w:pStyle w:val="Compact"/>
              <w:jc w:val="left"/>
            </w:pPr>
            <w:r>
              <w:t xml:space="preserve">Key with large, uneven entities (a giant tenant)</w:t>
            </w:r>
          </w:p>
        </w:tc>
        <w:tc>
          <w:tcPr/>
          <w:p>
            <w:pPr>
              <w:pStyle w:val="Compact"/>
              <w:jc w:val="left"/>
            </w:pPr>
            <w:r>
              <w:t xml:space="preserve">Per-shard disk and growth dashboards</w:t>
            </w:r>
          </w:p>
        </w:tc>
        <w:tc>
          <w:tcPr/>
          <w:p>
            <w:pPr>
              <w:pStyle w:val="Compact"/>
              <w:jc w:val="left"/>
            </w:pPr>
            <w:r>
              <w:t xml:space="preserve">Move logical shards; split the tenant</w:t>
            </w:r>
          </w:p>
        </w:tc>
        <w:tc>
          <w:tcPr/>
          <w:p>
            <w:pPr>
              <w:pStyle w:val="Compact"/>
              <w:jc w:val="left"/>
            </w:pPr>
            <w:r>
              <w:t xml:space="preserve">Directory overrides; size by largest entity</w:t>
            </w:r>
          </w:p>
        </w:tc>
      </w:tr>
      <w:tr>
        <w:tc>
          <w:tcPr/>
          <w:p>
            <w:pPr>
              <w:pStyle w:val="Compact"/>
              <w:jc w:val="left"/>
            </w:pPr>
            <w:r>
              <w:t xml:space="preserve">All new writes hit one shard</w:t>
            </w:r>
          </w:p>
        </w:tc>
        <w:tc>
          <w:tcPr/>
          <w:p>
            <w:pPr>
              <w:pStyle w:val="Compact"/>
              <w:jc w:val="left"/>
            </w:pPr>
            <w:r>
              <w:t xml:space="preserve">Monotonic key under range partitioning</w:t>
            </w:r>
          </w:p>
        </w:tc>
        <w:tc>
          <w:tcPr/>
          <w:p>
            <w:pPr>
              <w:pStyle w:val="Compact"/>
              <w:jc w:val="left"/>
            </w:pPr>
            <w:r>
              <w:t xml:space="preserve">Per-shard write rate, one hot</w:t>
            </w:r>
          </w:p>
        </w:tc>
        <w:tc>
          <w:tcPr/>
          <w:p>
            <w:pPr>
              <w:pStyle w:val="Compact"/>
              <w:jc w:val="left"/>
            </w:pPr>
            <w:r>
              <w:t xml:space="preserve">Switch to hash or prefix the key</w:t>
            </w:r>
          </w:p>
        </w:tc>
        <w:tc>
          <w:tcPr/>
          <w:p>
            <w:pPr>
              <w:pStyle w:val="Compact"/>
              <w:jc w:val="left"/>
            </w:pPr>
            <w:r>
              <w:t xml:space="preserve">Avoid timestamps or sequences as the leading key</w:t>
            </w:r>
          </w:p>
        </w:tc>
      </w:tr>
      <w:tr>
        <w:tc>
          <w:tcPr/>
          <w:p>
            <w:pPr>
              <w:pStyle w:val="Compact"/>
              <w:jc w:val="left"/>
            </w:pPr>
            <w:r>
              <w:t xml:space="preserve">Cross-shard transactions everywhere</w:t>
            </w:r>
          </w:p>
        </w:tc>
        <w:tc>
          <w:tcPr/>
          <w:p>
            <w:pPr>
              <w:pStyle w:val="Compact"/>
              <w:jc w:val="left"/>
            </w:pPr>
            <w:r>
              <w:t xml:space="preserve">Related rows have different keys</w:t>
            </w:r>
          </w:p>
        </w:tc>
        <w:tc>
          <w:tcPr/>
          <w:p>
            <w:pPr>
              <w:pStyle w:val="Compact"/>
              <w:jc w:val="left"/>
            </w:pPr>
            <w:r>
              <w:t xml:space="preserve">2PC or saga volume</w:t>
            </w:r>
          </w:p>
        </w:tc>
        <w:tc>
          <w:tcPr/>
          <w:p>
            <w:pPr>
              <w:pStyle w:val="Compact"/>
              <w:jc w:val="left"/>
            </w:pPr>
            <w:r>
              <w:t xml:space="preserve">Re-key so related rows co-locate</w:t>
            </w:r>
          </w:p>
        </w:tc>
        <w:tc>
          <w:tcPr/>
          <w:p>
            <w:pPr>
              <w:pStyle w:val="Compact"/>
              <w:jc w:val="left"/>
            </w:pPr>
            <w:r>
              <w:t xml:space="preserve">Transaction locality as a key criterion</w:t>
            </w:r>
          </w:p>
        </w:tc>
      </w:tr>
    </w:tbl>
    <w:bookmarkEnd w:id="1610"/>
    <w:bookmarkEnd w:id="1611"/>
    <w:bookmarkEnd w:id="1612"/>
    <w:bookmarkStart w:id="1627" w:name="consistent-hashing-and-virtual-nodes"/>
    <w:p>
      <w:pPr>
        <w:pStyle w:val="Heading2"/>
      </w:pPr>
      <w:r>
        <w:t xml:space="preserve">14.8 Consistent hashing and virtual nodes</w:t>
      </w:r>
    </w:p>
    <w:p>
      <w:pPr>
        <w:pStyle w:val="FirstParagraph"/>
      </w:pPr>
      <w:r>
        <w:t xml:space="preserve">This is the book’s full treatment of consistent hashing. Section 3.3.2 used it as a study example, and Chapters 17, 19, 20 and 27 point back here.</w:t>
      </w:r>
    </w:p>
    <w:bookmarkStart w:id="1613" w:name="X150c3972b458972c9df6a5bebe9eec071ca0d29"/>
    <w:p>
      <w:pPr>
        <w:pStyle w:val="Heading3"/>
      </w:pPr>
      <w:r>
        <w:t xml:space="preserve">14.8.1 The problem:</w:t>
      </w:r>
      <w:r>
        <w:t xml:space="preserve"> </w:t>
      </w:r>
      <w:r>
        <w:rPr>
          <w:rStyle w:val="VerbatimChar"/>
        </w:rPr>
        <w:t xml:space="preserve">hash mod N</w:t>
      </w:r>
      <w:r>
        <w:t xml:space="preserve"> </w:t>
      </w:r>
      <w:r>
        <w:t xml:space="preserve">moves almost everything</w:t>
      </w:r>
    </w:p>
    <w:p>
      <w:pPr>
        <w:pStyle w:val="FirstParagraph"/>
      </w:pPr>
      <w:r>
        <w:t xml:space="preserve">The obvious rule,</w:t>
      </w:r>
      <w:r>
        <w:t xml:space="preserve"> </w:t>
      </w:r>
      <w:r>
        <w:rPr>
          <w:rStyle w:val="VerbatimChar"/>
        </w:rPr>
        <w:t xml:space="preserve">node = h(key) mod N</w:t>
      </w:r>
      <w:r>
        <w:t xml:space="preserve">, balances perfectly and needs no state, but a key keeps its node only if</w:t>
      </w:r>
      <w:r>
        <w:t xml:space="preserve"> </w:t>
      </w:r>
      <m:oMath>
        <m:r>
          <m:t>h</m:t>
        </m:r>
        <m:r>
          <m:t> </m:t>
        </m:r>
        <m:r>
          <m:rPr>
            <m:sty m:val="p"/>
          </m:rPr>
          <m:t>mod</m:t>
        </m:r>
        <m:r>
          <m:t> </m:t>
        </m:r>
        <m:r>
          <m:t>N</m:t>
        </m:r>
        <m:r>
          <m:rPr>
            <m:sty m:val="p"/>
          </m:rPr>
          <m:t>=</m:t>
        </m:r>
        <m:r>
          <m:t>h</m:t>
        </m:r>
        <m:r>
          <m:t> </m:t>
        </m:r>
        <m:r>
          <m:rPr>
            <m:sty m:val="p"/>
          </m:rPr>
          <m:t>mod</m:t>
        </m:r>
        <m:r>
          <m:t> </m:t>
        </m:r>
        <m:d>
          <m:dPr>
            <m:begChr m:val="("/>
            <m:endChr m:val=")"/>
            <m:sepChr m:val=""/>
            <m:grow/>
          </m:dPr>
          <m:e>
            <m:r>
              <m:t>N</m:t>
            </m:r>
            <m:r>
              <m:rPr>
                <m:sty m:val="p"/>
              </m:rPr>
              <m:t>+</m:t>
            </m:r>
            <m:r>
              <m:t>1</m:t>
            </m:r>
          </m:e>
        </m:d>
      </m:oMath>
      <w:r>
        <w:t xml:space="preserve">, which holds for about</w:t>
      </w:r>
      <w:r>
        <w:t xml:space="preserve"> </w:t>
      </w:r>
      <m:oMath>
        <m:r>
          <m:t>1</m:t>
        </m:r>
        <m:r>
          <m:rPr>
            <m:sty m:val="p"/>
          </m:rPr>
          <m:t>/</m:t>
        </m:r>
        <m:d>
          <m:dPr>
            <m:begChr m:val="("/>
            <m:endChr m:val=")"/>
            <m:sepChr m:val=""/>
            <m:grow/>
          </m:dPr>
          <m:e>
            <m:r>
              <m:t>N</m:t>
            </m:r>
            <m:r>
              <m:rPr>
                <m:sty m:val="p"/>
              </m:rPr>
              <m:t>+</m:t>
            </m:r>
            <m:r>
              <m:t>1</m:t>
            </m:r>
          </m:e>
        </m:d>
      </m:oMath>
      <w:r>
        <w:t xml:space="preserve"> </w:t>
      </w:r>
      <w:r>
        <w:t xml:space="preserve">of keys. Growing from 4 to 5 nodes moves about 80 % of keys, and from 100 to 101 about 99 %: a miss storm for a cache (§3.3.2) and a near-total copy for a database. We want a rule under which adding a node moves only the keys it should own.</w:t>
      </w:r>
    </w:p>
    <w:p>
      <w:pPr>
        <w:pStyle w:val="CalloutDefinition"/>
      </w:pPr>
      <w:r>
        <w:rPr>
          <w:bCs/>
          <w:b/>
        </w:rPr>
        <w:t xml:space="preserve">DEFINITION</w:t>
      </w:r>
    </w:p>
    <w:p>
      <w:pPr>
        <w:pStyle w:val="CalloutDefinition"/>
      </w:pPr>
      <w:r>
        <w:rPr>
          <w:bCs/>
          <w:b/>
        </w:rPr>
        <w:t xml:space="preserve">Definition — Consistent hashing.</w:t>
      </w:r>
      <w:r>
        <w:t xml:space="preserve"> </w:t>
      </w:r>
      <w:r>
        <w:t xml:space="preserve">Keys and nodes are hashed onto the same circular space (the</w:t>
      </w:r>
      <w:r>
        <w:t xml:space="preserve"> </w:t>
      </w:r>
      <w:r>
        <w:rPr>
          <w:bCs/>
          <w:b/>
        </w:rPr>
        <w:t xml:space="preserve">ring</w:t>
      </w:r>
      <w:r>
        <w:t xml:space="preserve">), and each key belongs to the first node position clockwise from its hash. Adding or removing a node changes the owner of an expected</w:t>
      </w:r>
      <w:r>
        <w:t xml:space="preserve"> </w:t>
      </w:r>
      <m:oMath>
        <m:r>
          <m:t>K</m:t>
        </m:r>
        <m:r>
          <m:rPr>
            <m:sty m:val="p"/>
          </m:rPr>
          <m:t>/</m:t>
        </m:r>
        <m:r>
          <m:t>N</m:t>
        </m:r>
      </m:oMath>
      <w:r>
        <w:t xml:space="preserve"> </w:t>
      </w:r>
      <w:r>
        <w:t xml:space="preserve">of</w:t>
      </w:r>
      <w:r>
        <w:t xml:space="preserve"> </w:t>
      </w:r>
      <m:oMath>
        <m:r>
          <m:t>K</m:t>
        </m:r>
      </m:oMath>
      <w:r>
        <w:t xml:space="preserve"> </w:t>
      </w:r>
      <w:r>
        <w:t xml:space="preserve">keys for</w:t>
      </w:r>
      <w:r>
        <w:t xml:space="preserve"> </w:t>
      </w:r>
      <m:oMath>
        <m:r>
          <m:t>N</m:t>
        </m:r>
      </m:oMath>
      <w:r>
        <w:t xml:space="preserve"> </w:t>
      </w:r>
      <w:r>
        <w:t xml:space="preserve">nodes [Karger et al. 1997].</w:t>
      </w:r>
    </w:p>
    <w:p>
      <w:pPr>
        <w:pStyle w:val="CalloutDefinition"/>
      </w:pPr>
      <w:r>
        <w:rPr>
          <w:bCs/>
          <w:b/>
        </w:rPr>
        <w:t xml:space="preserve">DEFINITION</w:t>
      </w:r>
    </w:p>
    <w:p>
      <w:pPr>
        <w:pStyle w:val="CalloutDefinition"/>
      </w:pPr>
      <w:r>
        <w:rPr>
          <w:bCs/>
          <w:b/>
        </w:rPr>
        <w:t xml:space="preserve">Definition — Virtual node (vnode).</w:t>
      </w:r>
      <w:r>
        <w:t xml:space="preserve"> </w:t>
      </w:r>
      <w:r>
        <w:t xml:space="preserve">One of</w:t>
      </w:r>
      <w:r>
        <w:t xml:space="preserve"> </w:t>
      </w:r>
      <m:oMath>
        <m:r>
          <m:t>V</m:t>
        </m:r>
      </m:oMath>
      <w:r>
        <w:t xml:space="preserve"> </w:t>
      </w:r>
      <w:r>
        <w:t xml:space="preserve">ring positions belonging to the same physical node, typically obtained by hashing labels such as</w:t>
      </w:r>
      <w:r>
        <w:t xml:space="preserve"> </w:t>
      </w:r>
      <w:r>
        <w:rPr>
          <w:rStyle w:val="VerbatimChar"/>
        </w:rPr>
        <w:t xml:space="preserve">db-3#vn17</w:t>
      </w:r>
      <w:r>
        <w:t xml:space="preserve">; also called a</w:t>
      </w:r>
      <w:r>
        <w:t xml:space="preserve"> </w:t>
      </w:r>
      <w:r>
        <w:rPr>
          <w:bCs/>
          <w:b/>
        </w:rPr>
        <w:t xml:space="preserve">token</w:t>
      </w:r>
      <w:r>
        <w:t xml:space="preserve">.</w:t>
      </w:r>
    </w:p>
    <w:bookmarkEnd w:id="1613"/>
    <w:bookmarkStart w:id="1619" w:name="ring-construction-and-lookup"/>
    <w:p>
      <w:pPr>
        <w:pStyle w:val="Heading3"/>
      </w:pPr>
      <w:r>
        <w:t xml:space="preserve">14.8.2 Ring construction and lookup</w:t>
      </w:r>
    </w:p>
    <w:bookmarkStart w:id="1614" w:name="first-principles-explanation-90"/>
    <w:p>
      <w:pPr>
        <w:pStyle w:val="Heading4"/>
      </w:pPr>
      <w:r>
        <w:t xml:space="preserve">First-principles explanation</w:t>
      </w:r>
    </w:p>
    <w:p>
      <w:pPr>
        <w:pStyle w:val="FirstParagraph"/>
      </w:pPr>
      <w:r>
        <w:t xml:space="preserve">Picture a circular running track marked from 0 to just under</w:t>
      </w:r>
      <w:r>
        <w:t xml:space="preserve"> </w:t>
      </w:r>
      <m:oMath>
        <m:sSup>
          <m:e>
            <m:r>
              <m:t>2</m:t>
            </m:r>
          </m:e>
          <m:sup>
            <m:r>
              <m:t>64</m:t>
            </m:r>
          </m:sup>
        </m:sSup>
      </m:oMath>
      <w:r>
        <w:t xml:space="preserve">. Each server stands at a few spots. Each key is dropped at the spot given by its hash and walks clockwise until it meets a server, which owns it. A new server intercepts only the keys walking toward its spots; every other walk ends where it did before.</w:t>
      </w:r>
    </w:p>
    <w:bookmarkEnd w:id="1614"/>
    <w:bookmarkStart w:id="1618" w:name="how-it-works-internally-58"/>
    <w:p>
      <w:pPr>
        <w:pStyle w:val="Heading4"/>
      </w:pPr>
      <w:r>
        <w:t xml:space="preserve">How it works internally</w:t>
      </w:r>
    </w:p>
    <w:p>
      <w:pPr>
        <w:numPr>
          <w:ilvl w:val="0"/>
          <w:numId w:val="1481"/>
        </w:numPr>
        <w:pStyle w:val="Compact"/>
      </w:pPr>
      <w:r>
        <w:rPr>
          <w:bCs/>
          <w:b/>
        </w:rPr>
        <w:t xml:space="preserve">Choose a hash</w:t>
      </w:r>
      <w:r>
        <w:t xml:space="preserve"> </w:t>
      </w:r>
      <w:r>
        <w:t xml:space="preserve">giving well-mixed 64-bit integers, identical in every router process (MD5 truncated to 64 bits, MurmurHash3, xxHash). Python’s per-process randomized</w:t>
      </w:r>
      <w:r>
        <w:t xml:space="preserve"> </w:t>
      </w:r>
      <w:r>
        <w:rPr>
          <w:rStyle w:val="VerbatimChar"/>
        </w:rPr>
        <w:t xml:space="preserve">hash()</w:t>
      </w:r>
      <w:r>
        <w:t xml:space="preserve"> </w:t>
      </w:r>
      <w:r>
        <w:t xml:space="preserve">is unsuitable.</w:t>
      </w:r>
    </w:p>
    <w:p>
      <w:pPr>
        <w:numPr>
          <w:ilvl w:val="0"/>
          <w:numId w:val="1481"/>
        </w:numPr>
        <w:pStyle w:val="Compact"/>
      </w:pPr>
      <w:r>
        <w:rPr>
          <w:bCs/>
          <w:b/>
        </w:rPr>
        <w:t xml:space="preserve">Place vnodes.</w:t>
      </w:r>
      <w:r>
        <w:t xml:space="preserve"> </w:t>
      </w:r>
      <w:r>
        <w:t xml:space="preserve">For each physical node and each</w:t>
      </w:r>
      <w:r>
        <w:t xml:space="preserve"> </w:t>
      </w:r>
      <m:oMath>
        <m:r>
          <m:t>i</m:t>
        </m:r>
      </m:oMath>
      <w:r>
        <w:t xml:space="preserve"> </w:t>
      </w:r>
      <w:r>
        <w:t xml:space="preserve">from 0 to</w:t>
      </w:r>
      <w:r>
        <w:t xml:space="preserve"> </w:t>
      </w:r>
      <m:oMath>
        <m:r>
          <m:t>V</m:t>
        </m:r>
        <m:r>
          <m:rPr>
            <m:sty m:val="p"/>
          </m:rPr>
          <m:t>−</m:t>
        </m:r>
        <m:r>
          <m:t>1</m:t>
        </m:r>
      </m:oMath>
      <w:r>
        <w:t xml:space="preserve">, hash a label such as</w:t>
      </w:r>
      <w:r>
        <w:t xml:space="preserve"> </w:t>
      </w:r>
      <w:r>
        <w:rPr>
          <w:rStyle w:val="VerbatimChar"/>
        </w:rPr>
        <w:t xml:space="preserve">db-3#vn17</w:t>
      </w:r>
      <w:r>
        <w:t xml:space="preserve"> </w:t>
      </w:r>
      <w:r>
        <w:t xml:space="preserve">to get a position. Store all positions in a sorted array, with a parallel array of owners.</w:t>
      </w:r>
    </w:p>
    <w:p>
      <w:pPr>
        <w:numPr>
          <w:ilvl w:val="0"/>
          <w:numId w:val="1481"/>
        </w:numPr>
        <w:pStyle w:val="Compact"/>
      </w:pPr>
      <w:r>
        <w:rPr>
          <w:bCs/>
          <w:b/>
        </w:rPr>
        <w:t xml:space="preserve">Look up a key.</w:t>
      </w:r>
      <w:r>
        <w:t xml:space="preserve"> </w:t>
      </w:r>
      <w:r>
        <w:t xml:space="preserve">Binary-search for the first position strictly greater than</w:t>
      </w:r>
      <w:r>
        <w:t xml:space="preserve"> </w:t>
      </w:r>
      <m:oMath>
        <m:r>
          <m:t>h</m:t>
        </m:r>
        <m:d>
          <m:dPr>
            <m:begChr m:val="("/>
            <m:endChr m:val=")"/>
            <m:sepChr m:val=""/>
            <m:grow/>
          </m:dPr>
          <m:e>
            <m:r>
              <m:rPr>
                <m:nor/>
                <m:sty m:val="p"/>
              </m:rPr>
              <m:t>key</m:t>
            </m:r>
          </m:e>
        </m:d>
      </m:oMath>
      <w:r>
        <w:t xml:space="preserve">, wrapping to index 0 past the end. Cost:</w:t>
      </w:r>
      <w:r>
        <w:t xml:space="preserve"> </w:t>
      </w:r>
      <m:oMath>
        <m:r>
          <m:t>O</m:t>
        </m:r>
        <m:d>
          <m:dPr>
            <m:begChr m:val="("/>
            <m:endChr m:val=")"/>
            <m:sepChr m:val=""/>
            <m:grow/>
          </m:dPr>
          <m:e>
            <m:r>
              <m:rPr>
                <m:sty m:val="p"/>
              </m:rPr>
              <m:t>log</m:t>
            </m:r>
            <m:r>
              <m:t>M</m:t>
            </m:r>
          </m:e>
        </m:d>
      </m:oMath>
      <w:r>
        <w:t xml:space="preserve"> </w:t>
      </w:r>
      <w:r>
        <w:t xml:space="preserve">for</w:t>
      </w:r>
      <w:r>
        <w:t xml:space="preserve"> </w:t>
      </w:r>
      <m:oMath>
        <m:r>
          <m:t>M</m:t>
        </m:r>
      </m:oMath>
      <w:r>
        <w:t xml:space="preserve"> </w:t>
      </w:r>
      <w:r>
        <w:t xml:space="preserve">positions, about 15 comparisons for 100 nodes × 256 vnodes.</w:t>
      </w:r>
    </w:p>
    <w:p>
      <w:pPr>
        <w:numPr>
          <w:ilvl w:val="0"/>
          <w:numId w:val="1481"/>
        </w:numPr>
        <w:pStyle w:val="Compact"/>
      </w:pPr>
      <w:r>
        <w:rPr>
          <w:bCs/>
          <w:b/>
        </w:rPr>
        <w:t xml:space="preserve">Add a node.</w:t>
      </w:r>
      <w:r>
        <w:t xml:space="preserve"> </w:t>
      </w:r>
      <w:r>
        <w:t xml:space="preserve">Insert its positions. Each takes over the arc from its predecessor, so only keys in those arcs move, all</w:t>
      </w:r>
      <w:r>
        <w:t xml:space="preserve"> </w:t>
      </w:r>
      <w:r>
        <w:rPr>
          <w:iCs/>
          <w:i/>
        </w:rPr>
        <w:t xml:space="preserve">to</w:t>
      </w:r>
      <w:r>
        <w:t xml:space="preserve"> </w:t>
      </w:r>
      <w:r>
        <w:t xml:space="preserve">the new node.</w:t>
      </w:r>
    </w:p>
    <w:p>
      <w:pPr>
        <w:numPr>
          <w:ilvl w:val="0"/>
          <w:numId w:val="1481"/>
        </w:numPr>
        <w:pStyle w:val="Compact"/>
      </w:pPr>
      <w:r>
        <w:rPr>
          <w:bCs/>
          <w:b/>
        </w:rPr>
        <w:t xml:space="preserve">Remove a node.</w:t>
      </w:r>
      <w:r>
        <w:t xml:space="preserve"> </w:t>
      </w:r>
      <w:r>
        <w:t xml:space="preserve">Delete its positions. Its arcs merge into their clockwise successors, which, with scattered vnodes, belong to many different survivors.</w:t>
      </w:r>
    </w:p>
    <w:p>
      <w:pPr>
        <w:numPr>
          <w:ilvl w:val="0"/>
          <w:numId w:val="1481"/>
        </w:numPr>
        <w:pStyle w:val="Compact"/>
      </w:pPr>
      <w:r>
        <w:rPr>
          <w:bCs/>
          <w:b/>
        </w:rPr>
        <w:t xml:space="preserve">Weight nodes</w:t>
      </w:r>
      <w:r>
        <w:t xml:space="preserve"> </w:t>
      </w:r>
      <w:r>
        <w:t xml:space="preserve">by giving a bigger node proportionally more vnodes.</w:t>
      </w:r>
    </w:p>
    <w:p>
      <w:pPr>
        <w:numPr>
          <w:ilvl w:val="0"/>
          <w:numId w:val="1481"/>
        </w:numPr>
        <w:pStyle w:val="Compact"/>
      </w:pPr>
      <w:r>
        <w:rPr>
          <w:bCs/>
          <w:b/>
        </w:rPr>
        <w:t xml:space="preserve">Distribute membership</w:t>
      </w:r>
      <w:r>
        <w:t xml:space="preserve"> </w:t>
      </w:r>
      <w:r>
        <w:t xml:space="preserve">through a coordination service (§26.8–§26.9) or gossip (§27.10), versioned so a router can detect a stale copy.</w:t>
      </w:r>
    </w:p>
    <w:p>
      <w:pPr>
        <w:pStyle w:val="FirstParagraph"/>
      </w:pPr>
      <w:r>
        <w:rPr>
          <w:bCs/>
          <w:b/>
        </w:rPr>
        <w:t xml:space="preserve">Figure 14.7 — A ring with three nodes and two vnodes each.</w:t>
      </w:r>
    </w:p>
    <w:p>
      <w:pPr>
        <w:pStyle w:val="BodyText"/>
      </w:pPr>
      <w:r>
        <w:drawing>
          <wp:inline>
            <wp:extent cx="5334000" cy="1100937"/>
            <wp:effectExtent b="0" l="0" r="0" t="0"/>
            <wp:docPr descr="" title="" id="1616" name="Picture"/>
            <a:graphic>
              <a:graphicData uri="http://schemas.openxmlformats.org/drawingml/2006/picture">
                <pic:pic>
                  <pic:nvPicPr>
                    <pic:cNvPr descr="/home/user/System-Design/build/.cache/diagrams/78726dacf839.png" id="1617" name="Picture"/>
                    <pic:cNvPicPr>
                      <a:picLocks noChangeArrowheads="1" noChangeAspect="1"/>
                    </pic:cNvPicPr>
                  </pic:nvPicPr>
                  <pic:blipFill>
                    <a:blip r:embed="rId1615"/>
                    <a:stretch>
                      <a:fillRect/>
                    </a:stretch>
                  </pic:blipFill>
                  <pic:spPr bwMode="auto">
                    <a:xfrm>
                      <a:off x="0" y="0"/>
                      <a:ext cx="5334000" cy="1100937"/>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Rectangles are vnode positions normalized to</w:t>
      </w:r>
      <w:r>
        <w:t xml:space="preserve"> </w:t>
      </w:r>
      <m:oMath>
        <m:r>
          <m:rPr>
            <m:sty m:val="p"/>
          </m:rPr>
          <m:t>[</m:t>
        </m:r>
        <m:r>
          <m:t>0</m:t>
        </m:r>
        <m:r>
          <m:rPr>
            <m:sty m:val="p"/>
          </m:rPr>
          <m:t>,</m:t>
        </m:r>
        <m:r>
          <m:t>1</m:t>
        </m:r>
        <m:r>
          <m:rPr>
            <m:sty m:val="p"/>
          </m:rPr>
          <m:t>)</m:t>
        </m:r>
      </m:oMath>
      <w:r>
        <w:t xml:space="preserve">, linked clockwise and wrapping from 0.86 to 0.05. Each vnode owns the arc</w:t>
      </w:r>
      <w:r>
        <w:t xml:space="preserve"> </w:t>
      </w:r>
      <w:r>
        <w:rPr>
          <w:iCs/>
          <w:i/>
        </w:rPr>
        <w:t xml:space="preserve">ending</w:t>
      </w:r>
      <w:r>
        <w:t xml:space="preserve"> </w:t>
      </w:r>
      <w:r>
        <w:t xml:space="preserve">at it, for example A vn1 owns</w:t>
      </w:r>
      <w:r>
        <w:t xml:space="preserve"> </w:t>
      </w:r>
      <m:oMath>
        <m:r>
          <m:rPr>
            <m:sty m:val="p"/>
          </m:rPr>
          <m:t>(</m:t>
        </m:r>
        <m:r>
          <m:t>0.31</m:t>
        </m:r>
        <m:r>
          <m:rPr>
            <m:sty m:val="p"/>
          </m:rPr>
          <m:t>,</m:t>
        </m:r>
        <m:r>
          <m:t>0.48</m:t>
        </m:r>
        <m:r>
          <m:rPr>
            <m:sty m:val="p"/>
          </m:rPr>
          <m:t>]</m:t>
        </m:r>
      </m:oMath>
      <w:r>
        <w:t xml:space="preserve">. Dotted lookups:</w:t>
      </w:r>
      <w:r>
        <w:t xml:space="preserve"> </w:t>
      </w:r>
      <m:oMath>
        <m:r>
          <m:t>x</m:t>
        </m:r>
      </m:oMath>
      <w:r>
        <w:t xml:space="preserve"> </w:t>
      </w:r>
      <w:r>
        <w:t xml:space="preserve">at 0.40 goes to A vn1,</w:t>
      </w:r>
      <w:r>
        <w:t xml:space="preserve"> </w:t>
      </w:r>
      <m:oMath>
        <m:r>
          <m:t>y</m:t>
        </m:r>
      </m:oMath>
      <w:r>
        <w:t xml:space="preserve"> </w:t>
      </w:r>
      <w:r>
        <w:t xml:space="preserve">at 0.95 wraps to A vn0,</w:t>
      </w:r>
      <w:r>
        <w:t xml:space="preserve"> </w:t>
      </w:r>
      <m:oMath>
        <m:r>
          <m:t>z</m:t>
        </m:r>
      </m:oMath>
      <w:r>
        <w:t xml:space="preserve"> </w:t>
      </w:r>
      <w:r>
        <w:t xml:space="preserve">at 0.70 goes to B vn1. Lookup happens in router memory; data lives on A, B and C, whose shares (0.36, 0.40, 0.24) are uneven with two vnodes each. Failure point: routers with different membership disagree about owners.</w:t>
      </w:r>
    </w:p>
    <w:bookmarkEnd w:id="1618"/>
    <w:bookmarkEnd w:id="1619"/>
    <w:bookmarkStart w:id="1620" w:name="how-many-keys-move"/>
    <w:p>
      <w:pPr>
        <w:pStyle w:val="Heading3"/>
      </w:pPr>
      <w:r>
        <w:t xml:space="preserve">14.8.3 How many keys move?</w:t>
      </w:r>
    </w:p>
    <w:p>
      <w:pPr>
        <w:pStyle w:val="CalloutFormula"/>
      </w:pPr>
      <w:r>
        <w:rPr>
          <w:bCs/>
          <w:b/>
        </w:rPr>
        <w:t xml:space="preserve">FORMULA</w:t>
      </w:r>
    </w:p>
    <w:p>
      <w:pPr>
        <w:pStyle w:val="CalloutFormula"/>
      </w:pPr>
      <w:r>
        <w:rPr>
          <w:bCs/>
          <w:b/>
        </w:rPr>
        <w:t xml:space="preserve">Expected keys moved on a membership change</w:t>
      </w:r>
    </w:p>
    <w:p>
      <w:pPr>
        <w:pStyle w:val="CalloutFormula"/>
      </w:pPr>
      <m:oMathPara>
        <m:oMathParaPr>
          <m:jc m:val="center"/>
        </m:oMathParaPr>
        <m:oMath>
          <m:r>
            <m:t>E</m:t>
          </m:r>
          <m:d>
            <m:dPr>
              <m:begChr m:val="["/>
              <m:endChr m:val="]"/>
              <m:sepChr m:val=""/>
              <m:grow/>
            </m:dPr>
            <m:e>
              <m:r>
                <m:rPr>
                  <m:nor/>
                  <m:sty m:val="p"/>
                </m:rPr>
                <m:t>moved on add</m:t>
              </m:r>
            </m:e>
          </m:d>
          <m:r>
            <m:rPr>
              <m:sty m:val="p"/>
            </m:rPr>
            <m:t>=</m:t>
          </m:r>
          <m:f>
            <m:fPr>
              <m:type m:val="bar"/>
            </m:fPr>
            <m:num>
              <m:r>
                <m:t>K</m:t>
              </m:r>
            </m:num>
            <m:den>
              <m:r>
                <m:t>N</m:t>
              </m:r>
              <m:r>
                <m:rPr>
                  <m:sty m:val="p"/>
                </m:rPr>
                <m:t>+</m:t>
              </m:r>
              <m:r>
                <m:t>1</m:t>
              </m:r>
            </m:den>
          </m:f>
          <m:r>
            <m:t>  </m:t>
          </m:r>
          <m:r>
            <m:t>  </m:t>
          </m:r>
          <m:r>
            <m:t>E</m:t>
          </m:r>
          <m:d>
            <m:dPr>
              <m:begChr m:val="["/>
              <m:endChr m:val="]"/>
              <m:sepChr m:val=""/>
              <m:grow/>
            </m:dPr>
            <m:e>
              <m:r>
                <m:rPr>
                  <m:nor/>
                  <m:sty m:val="p"/>
                </m:rPr>
                <m:t>moved on remove</m:t>
              </m:r>
            </m:e>
          </m:d>
          <m:r>
            <m:rPr>
              <m:sty m:val="p"/>
            </m:rPr>
            <m:t>=</m:t>
          </m:r>
          <m:f>
            <m:fPr>
              <m:type m:val="bar"/>
            </m:fPr>
            <m:num>
              <m:r>
                <m:t>K</m:t>
              </m:r>
            </m:num>
            <m:den>
              <m:r>
                <m:t>N</m:t>
              </m:r>
            </m:den>
          </m:f>
        </m:oMath>
      </m:oMathPara>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K</m:t>
              </m:r>
            </m:oMath>
          </w:p>
        </w:tc>
        <w:tc>
          <w:tcPr/>
          <w:p>
            <w:pPr>
              <w:pStyle w:val="Compact"/>
              <w:jc w:val="left"/>
            </w:pPr>
            <w:r>
              <w:t xml:space="preserve">Total number of keys</w:t>
            </w:r>
          </w:p>
        </w:tc>
        <w:tc>
          <w:tcPr/>
          <w:p>
            <w:pPr>
              <w:pStyle w:val="Compact"/>
              <w:jc w:val="left"/>
            </w:pPr>
            <w:r>
              <w:t xml:space="preserve">keys</w:t>
            </w:r>
          </w:p>
        </w:tc>
      </w:tr>
      <w:tr>
        <w:tc>
          <w:tcPr/>
          <w:p>
            <w:pPr>
              <w:pStyle w:val="Compact"/>
              <w:jc w:val="left"/>
            </w:pPr>
            <m:oMath>
              <m:r>
                <m:t>N</m:t>
              </m:r>
            </m:oMath>
          </w:p>
        </w:tc>
        <w:tc>
          <w:tcPr/>
          <w:p>
            <w:pPr>
              <w:pStyle w:val="Compact"/>
              <w:jc w:val="left"/>
            </w:pPr>
            <w:r>
              <w:t xml:space="preserve">Number of nodes before the change</w:t>
            </w:r>
          </w:p>
        </w:tc>
        <w:tc>
          <w:tcPr/>
          <w:p>
            <w:pPr>
              <w:pStyle w:val="Compact"/>
              <w:jc w:val="left"/>
            </w:pPr>
            <w:r>
              <w:t xml:space="preserve">nodes</w:t>
            </w:r>
          </w:p>
        </w:tc>
      </w:tr>
    </w:tbl>
    <w:p>
      <w:pPr>
        <w:pStyle w:val="BodyText"/>
      </w:pPr>
      <w:r>
        <w:t xml:space="preserve">By symmetry, a new node’s expected share is</w:t>
      </w:r>
      <w:r>
        <w:t xml:space="preserve"> </w:t>
      </w:r>
      <m:oMath>
        <m:r>
          <m:t>1</m:t>
        </m:r>
        <m:r>
          <m:rPr>
            <m:sty m:val="p"/>
          </m:rPr>
          <m:t>/</m:t>
        </m:r>
        <m:d>
          <m:dPr>
            <m:begChr m:val="("/>
            <m:endChr m:val=")"/>
            <m:sepChr m:val=""/>
            <m:grow/>
          </m:dPr>
          <m:e>
            <m:r>
              <m:t>N</m:t>
            </m:r>
            <m:r>
              <m:rPr>
                <m:sty m:val="p"/>
              </m:rPr>
              <m:t>+</m:t>
            </m:r>
            <m:r>
              <m:t>1</m:t>
            </m:r>
          </m:e>
        </m:d>
      </m:oMath>
      <w:r>
        <w:t xml:space="preserve">, and only keys in its new arcs move. A removed node’s keys are its share,</w:t>
      </w:r>
      <w:r>
        <w:t xml:space="preserve"> </w:t>
      </w:r>
      <m:oMath>
        <m:r>
          <m:t>1</m:t>
        </m:r>
        <m:r>
          <m:rPr>
            <m:sty m:val="p"/>
          </m:rPr>
          <m:t>/</m:t>
        </m:r>
        <m:r>
          <m:t>N</m:t>
        </m:r>
      </m:oMath>
      <w:r>
        <w:t xml:space="preserve"> </w:t>
      </w:r>
      <w:r>
        <w:t xml:space="preserve">in expectation. These are the minimum any balanced scheme can achieve. Karger et al. call the property</w:t>
      </w:r>
      <w:r>
        <w:t xml:space="preserve"> </w:t>
      </w:r>
      <w:r>
        <w:rPr>
          <w:bCs/>
          <w:b/>
        </w:rPr>
        <w:t xml:space="preserve">monotonicity</w:t>
      </w:r>
      <w:r>
        <w:t xml:space="preserve">: keys move only to the new node, never between old nodes [Karger et al. 1997].</w:t>
      </w:r>
    </w:p>
    <w:p>
      <w:pPr>
        <w:pStyle w:val="CalloutExample"/>
      </w:pPr>
      <w:r>
        <w:rPr>
          <w:bCs/>
          <w:b/>
        </w:rPr>
        <w:t xml:space="preserve">WORKED EXAMPLE</w:t>
      </w:r>
    </w:p>
    <w:p>
      <w:pPr>
        <w:pStyle w:val="CalloutExample"/>
      </w:pPr>
      <w:r>
        <w:rPr>
          <w:bCs/>
          <w:b/>
        </w:rPr>
        <w:t xml:space="preserve">Worked example — Adding a ninth database node.</w:t>
      </w:r>
      <w:r>
        <w:t xml:space="preserve"> </w:t>
      </w:r>
      <w:r>
        <w:t xml:space="preserve">A store holds</w:t>
      </w:r>
      <w:r>
        <w:t xml:space="preserve"> </w:t>
      </w:r>
      <m:oMath>
        <m:r>
          <m:t>K</m:t>
        </m:r>
        <m:r>
          <m:rPr>
            <m:sty m:val="p"/>
          </m:rPr>
          <m:t>=</m:t>
        </m:r>
        <m:r>
          <m:t>2</m:t>
        </m:r>
        <m:r>
          <m:rPr>
            <m:sty m:val="p"/>
          </m:rPr>
          <m:t>×</m:t>
        </m:r>
        <m:sSup>
          <m:e>
            <m:r>
              <m:t>10</m:t>
            </m:r>
          </m:e>
          <m:sup>
            <m:r>
              <m:t>9</m:t>
            </m:r>
          </m:sup>
        </m:sSup>
      </m:oMath>
      <w:r>
        <w:t xml:space="preserve"> </w:t>
      </w:r>
      <w:r>
        <w:t xml:space="preserve">rows of 1 KB each (2 TB, SI units) on</w:t>
      </w:r>
      <w:r>
        <w:t xml:space="preserve"> </w:t>
      </w:r>
      <m:oMath>
        <m:r>
          <m:t>N</m:t>
        </m:r>
        <m:r>
          <m:rPr>
            <m:sty m:val="p"/>
          </m:rPr>
          <m:t>=</m:t>
        </m:r>
        <m:r>
          <m:t>8</m:t>
        </m:r>
      </m:oMath>
      <w:r>
        <w:t xml:space="preserve"> </w:t>
      </w:r>
      <w:r>
        <w:t xml:space="preserve">nodes, ring-partitioned with 128 vnodes per node.</w:t>
      </w:r>
    </w:p>
    <w:p>
      <w:pPr>
        <w:numPr>
          <w:ilvl w:val="0"/>
          <w:numId w:val="1482"/>
        </w:numPr>
        <w:pStyle w:val="Compact"/>
      </w:pPr>
      <w:r>
        <w:t xml:space="preserve">Rows moved:</w:t>
      </w:r>
      <w:r>
        <w:t xml:space="preserve"> </w:t>
      </w:r>
      <m:oMath>
        <m:r>
          <m:t>2</m:t>
        </m:r>
        <m:r>
          <m:rPr>
            <m:sty m:val="p"/>
          </m:rPr>
          <m:t>×</m:t>
        </m:r>
        <m:sSup>
          <m:e>
            <m:r>
              <m:t>10</m:t>
            </m:r>
          </m:e>
          <m:sup>
            <m:r>
              <m:t>9</m:t>
            </m:r>
          </m:sup>
        </m:sSup>
        <m:r>
          <m:rPr>
            <m:sty m:val="p"/>
          </m:rPr>
          <m:t>/</m:t>
        </m:r>
        <m:r>
          <m:t>9</m:t>
        </m:r>
        <m:r>
          <m:rPr>
            <m:sty m:val="p"/>
          </m:rPr>
          <m:t>≈</m:t>
        </m:r>
        <m:r>
          <m:t>2.22</m:t>
        </m:r>
        <m:r>
          <m:rPr>
            <m:sty m:val="p"/>
          </m:rPr>
          <m:t>×</m:t>
        </m:r>
        <m:sSup>
          <m:e>
            <m:r>
              <m:t>10</m:t>
            </m:r>
          </m:e>
          <m:sup>
            <m:r>
              <m:t>8</m:t>
            </m:r>
          </m:sup>
        </m:sSup>
      </m:oMath>
      <w:r>
        <w:t xml:space="preserve"> </w:t>
      </w:r>
      <w:r>
        <w:t xml:space="preserve">rows, about 222 GB.</w:t>
      </w:r>
    </w:p>
    <w:p>
      <w:pPr>
        <w:numPr>
          <w:ilvl w:val="0"/>
          <w:numId w:val="1482"/>
        </w:numPr>
        <w:pStyle w:val="Compact"/>
      </w:pPr>
      <w:r>
        <w:t xml:space="preserve">Under</w:t>
      </w:r>
      <w:r>
        <w:t xml:space="preserve"> </w:t>
      </w:r>
      <w:r>
        <w:rPr>
          <w:rStyle w:val="VerbatimChar"/>
        </w:rPr>
        <w:t xml:space="preserve">mod N</w:t>
      </w:r>
      <w:r>
        <w:t xml:space="preserve">: about</w:t>
      </w:r>
      <w:r>
        <w:t xml:space="preserve"> </w:t>
      </w:r>
      <m:oMath>
        <m:r>
          <m:t>8</m:t>
        </m:r>
        <m:r>
          <m:rPr>
            <m:sty m:val="p"/>
          </m:rPr>
          <m:t>/</m:t>
        </m:r>
        <m:r>
          <m:t>9</m:t>
        </m:r>
      </m:oMath>
      <w:r>
        <w:t xml:space="preserve"> </w:t>
      </w:r>
      <w:r>
        <w:t xml:space="preserve">of rows,</w:t>
      </w:r>
      <w:r>
        <w:t xml:space="preserve"> </w:t>
      </w:r>
      <m:oMath>
        <m:r>
          <m:t>1.78</m:t>
        </m:r>
        <m:r>
          <m:rPr>
            <m:sty m:val="p"/>
          </m:rPr>
          <m:t>×</m:t>
        </m:r>
        <m:sSup>
          <m:e>
            <m:r>
              <m:t>10</m:t>
            </m:r>
          </m:e>
          <m:sup>
            <m:r>
              <m:t>9</m:t>
            </m:r>
          </m:sup>
        </m:sSup>
      </m:oMath>
      <w:r>
        <w:t xml:space="preserve"> </w:t>
      </w:r>
      <w:r>
        <w:t xml:space="preserve">rows or 1.78 TB, would move.</w:t>
      </w:r>
    </w:p>
    <w:p>
      <w:pPr>
        <w:numPr>
          <w:ilvl w:val="0"/>
          <w:numId w:val="1482"/>
        </w:numPr>
        <w:pStyle w:val="Compact"/>
      </w:pPr>
      <w:r>
        <w:t xml:space="preserve">Time to move 222 GB if rebalancing is throttled to 100 MB/s to protect foreground traffic:</w:t>
      </w:r>
      <w:r>
        <w:t xml:space="preserve"> </w:t>
      </w:r>
      <m:oMath>
        <m:r>
          <m:t>222</m:t>
        </m:r>
        <m:r>
          <m:rPr>
            <m:sty m:val="p"/>
          </m:rPr>
          <m:t>×</m:t>
        </m:r>
        <m:sSup>
          <m:e>
            <m:r>
              <m:t>10</m:t>
            </m:r>
          </m:e>
          <m:sup>
            <m:r>
              <m:t>9</m:t>
            </m:r>
          </m:sup>
        </m:sSup>
        <m:r>
          <m:rPr>
            <m:sty m:val="p"/>
          </m:rPr>
          <m:t>/</m:t>
        </m:r>
        <m:sSup>
          <m:e>
            <m:r>
              <m:t>10</m:t>
            </m:r>
          </m:e>
          <m:sup>
            <m:r>
              <m:t>8</m:t>
            </m:r>
          </m:sup>
        </m:sSup>
        <m:r>
          <m:rPr>
            <m:sty m:val="p"/>
          </m:rPr>
          <m:t>=</m:t>
        </m:r>
        <m:r>
          <m:t>2</m:t>
        </m:r>
        <m:r>
          <m:rPr>
            <m:sty m:val="p"/>
          </m:rPr>
          <m:t>,</m:t>
        </m:r>
        <m:r>
          <m:t>220</m:t>
        </m:r>
      </m:oMath>
      <w:r>
        <w:t xml:space="preserve"> </w:t>
      </w:r>
      <w:r>
        <w:t xml:space="preserve">s, about 37 minutes. Moving 1.78 TB at the same rate takes 17,800 s, about 5 hours.</w:t>
      </w:r>
    </w:p>
    <w:p>
      <w:pPr>
        <w:numPr>
          <w:ilvl w:val="0"/>
          <w:numId w:val="1482"/>
        </w:numPr>
        <w:pStyle w:val="Compact"/>
      </w:pPr>
      <w:r>
        <w:t xml:space="preserve">Sources: with 128 vnodes, the new node’s 128 arcs are cut from all 8 existing nodes, each contributing roughly</w:t>
      </w:r>
      <w:r>
        <w:t xml:space="preserve"> </w:t>
      </w:r>
      <m:oMath>
        <m:r>
          <m:t>222</m:t>
        </m:r>
        <m:r>
          <m:rPr>
            <m:sty m:val="p"/>
          </m:rPr>
          <m:t>/</m:t>
        </m:r>
        <m:r>
          <m:t>8</m:t>
        </m:r>
        <m:r>
          <m:rPr>
            <m:sty m:val="p"/>
          </m:rPr>
          <m:t>≈</m:t>
        </m:r>
        <m:r>
          <m:t>28</m:t>
        </m:r>
      </m:oMath>
      <w:r>
        <w:t xml:space="preserve"> </w:t>
      </w:r>
      <w:r>
        <w:t xml:space="preserve">GB, so all 8 can stream in parallel.</w:t>
      </w:r>
    </w:p>
    <w:p>
      <w:pPr>
        <w:pStyle w:val="CalloutExample"/>
      </w:pPr>
      <w:r>
        <w:rPr>
          <w:bCs/>
          <w:b/>
        </w:rPr>
        <w:t xml:space="preserve">Interpretation.</w:t>
      </w:r>
      <w:r>
        <w:t xml:space="preserve"> </w:t>
      </w:r>
      <w:r>
        <w:t xml:space="preserve">The ring cuts data movement by a factor of</w:t>
      </w:r>
      <w:r>
        <w:t xml:space="preserve"> </w:t>
      </w:r>
      <m:oMath>
        <m:r>
          <m:t>N</m:t>
        </m:r>
      </m:oMath>
      <w:r>
        <w:t xml:space="preserve"> </w:t>
      </w:r>
      <w:r>
        <w:t xml:space="preserve">and spreads it over every node.</w:t>
      </w:r>
      <w:r>
        <w:t xml:space="preserve"> </w:t>
      </w:r>
      <w:r>
        <w:rPr>
          <w:bCs/>
          <w:b/>
        </w:rPr>
        <w:t xml:space="preserve">Engineering implication.</w:t>
      </w:r>
      <w:r>
        <w:t xml:space="preserve"> </w:t>
      </w:r>
      <w:r>
        <w:t xml:space="preserve">Adding capacity becomes a routine sub-hour operation, and the vnode count decides how many nodes share the copying.</w:t>
      </w:r>
    </w:p>
    <w:p>
      <w:pPr>
        <w:pStyle w:val="BodyText"/>
      </w:pPr>
      <w:r>
        <w:t xml:space="preserve">The runnable ring below checks these claims. It supports weights and returns a replica</w:t>
      </w:r>
      <w:r>
        <w:t xml:space="preserve"> </w:t>
      </w:r>
      <w:r>
        <w:rPr>
          <w:bCs/>
          <w:b/>
        </w:rPr>
        <w:t xml:space="preserve">preference list</w:t>
      </w:r>
      <w:r>
        <w:t xml:space="preserve">.</w:t>
      </w:r>
    </w:p>
    <w:p>
      <w:pPr>
        <w:pStyle w:val="SourceCode"/>
      </w:pPr>
      <w:r>
        <w:rPr>
          <w:rStyle w:val="CommentTok"/>
        </w:rPr>
        <w:t xml:space="preserve">"""Consistent-hash ring with virtual nodes, weights and replica placement."""</w:t>
      </w:r>
      <w:r>
        <w:br/>
      </w:r>
      <w:r>
        <w:rPr>
          <w:rStyle w:val="ImportTok"/>
        </w:rPr>
        <w:t xml:space="preserve">import</w:t>
      </w:r>
      <w:r>
        <w:rPr>
          <w:rStyle w:val="NormalTok"/>
        </w:rPr>
        <w:t xml:space="preserve"> bisect</w:t>
      </w:r>
      <w:r>
        <w:br/>
      </w:r>
      <w:r>
        <w:rPr>
          <w:rStyle w:val="ImportTok"/>
        </w:rPr>
        <w:t xml:space="preserve">import</w:t>
      </w:r>
      <w:r>
        <w:rPr>
          <w:rStyle w:val="NormalTok"/>
        </w:rPr>
        <w:t xml:space="preserve"> hashlib</w:t>
      </w:r>
      <w:r>
        <w:br/>
      </w:r>
      <w:r>
        <w:rPr>
          <w:rStyle w:val="ImportTok"/>
        </w:rPr>
        <w:t xml:space="preserve">from</w:t>
      </w:r>
      <w:r>
        <w:rPr>
          <w:rStyle w:val="NormalTok"/>
        </w:rPr>
        <w:t xml:space="preserve"> collections </w:t>
      </w:r>
      <w:r>
        <w:rPr>
          <w:rStyle w:val="ImportTok"/>
        </w:rPr>
        <w:t xml:space="preserve">import</w:t>
      </w:r>
      <w:r>
        <w:rPr>
          <w:rStyle w:val="NormalTok"/>
        </w:rPr>
        <w:t xml:space="preserve"> Counter</w:t>
      </w:r>
      <w:r>
        <w:br/>
      </w:r>
      <w:r>
        <w:br/>
      </w:r>
      <w:r>
        <w:rPr>
          <w:rStyle w:val="KeywordTok"/>
        </w:rPr>
        <w:t xml:space="preserve">def</w:t>
      </w:r>
      <w:r>
        <w:rPr>
          <w:rStyle w:val="NormalTok"/>
        </w:rPr>
        <w:t xml:space="preserve"> h(key: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"""Map a string to a 64-bit ring position (MD5 used only for mixing)."""</w:t>
      </w:r>
      <w:r>
        <w:br/>
      </w:r>
      <w:r>
        <w:rPr>
          <w:rStyle w:val="NormalTok"/>
        </w:rPr>
        <w:t xml:space="preserve">    </w:t>
      </w:r>
      <w:r>
        <w:rPr>
          <w:rStyle w:val="ControlFlowTok"/>
        </w:rPr>
        <w:t xml:space="preserve">return</w:t>
      </w:r>
      <w:r>
        <w:rPr>
          <w:rStyle w:val="NormalTok"/>
        </w:rPr>
        <w:t xml:space="preserve"> </w:t>
      </w:r>
      <w:r>
        <w:rPr>
          <w:rStyle w:val="BuiltInTok"/>
        </w:rPr>
        <w:t xml:space="preserve">int</w:t>
      </w:r>
      <w:r>
        <w:rPr>
          <w:rStyle w:val="NormalTok"/>
        </w:rPr>
        <w:t xml:space="preserve">.from_bytes(hashlib.md5(key.encode(</w:t>
      </w:r>
      <w:r>
        <w:rPr>
          <w:rStyle w:val="StringTok"/>
        </w:rPr>
        <w:t xml:space="preserve">"utf-8"</w:t>
      </w:r>
      <w:r>
        <w:rPr>
          <w:rStyle w:val="NormalTok"/>
        </w:rPr>
        <w:t xml:space="preserve">)).digest()[:</w:t>
      </w:r>
      <w:r>
        <w:rPr>
          <w:rStyle w:val="DecValTok"/>
        </w:rPr>
        <w:t xml:space="preserve">8</w:t>
      </w:r>
      <w:r>
        <w:rPr>
          <w:rStyle w:val="NormalTok"/>
        </w:rPr>
        <w:t xml:space="preserve">], </w:t>
      </w:r>
      <w:r>
        <w:rPr>
          <w:rStyle w:val="StringTok"/>
        </w:rPr>
        <w:t xml:space="preserve">"big"</w:t>
      </w:r>
      <w:r>
        <w:rPr>
          <w:rStyle w:val="NormalTok"/>
        </w:rPr>
        <w:t xml:space="preserve">)</w:t>
      </w:r>
      <w:r>
        <w:br/>
      </w:r>
      <w:r>
        <w:br/>
      </w:r>
      <w:r>
        <w:rPr>
          <w:rStyle w:val="KeywordTok"/>
        </w:rPr>
        <w:t xml:space="preserve">class</w:t>
      </w:r>
      <w:r>
        <w:rPr>
          <w:rStyle w:val="NormalTok"/>
        </w:rPr>
        <w:t xml:space="preserve"> HashRing:</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vnodes_per_weight: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VariableTok"/>
        </w:rPr>
        <w:t xml:space="preserve">self</w:t>
      </w:r>
      <w:r>
        <w:rPr>
          <w:rStyle w:val="NormalTok"/>
        </w:rPr>
        <w:t xml:space="preserve">.vpw </w:t>
      </w:r>
      <w:r>
        <w:rPr>
          <w:rStyle w:val="OperatorTok"/>
        </w:rPr>
        <w:t xml:space="preserve">=</w:t>
      </w:r>
      <w:r>
        <w:rPr>
          <w:rStyle w:val="NormalTok"/>
        </w:rPr>
        <w:t xml:space="preserve"> vnodes_per_weight</w:t>
      </w:r>
      <w:r>
        <w:br/>
      </w:r>
      <w:r>
        <w:rPr>
          <w:rStyle w:val="NormalTok"/>
        </w:rPr>
        <w:t xml:space="preserve">        </w:t>
      </w:r>
      <w:r>
        <w:rPr>
          <w:rStyle w:val="VariableTok"/>
        </w:rPr>
        <w:t xml:space="preserve">self</w:t>
      </w:r>
      <w:r>
        <w:rPr>
          <w:rStyle w:val="NormalTok"/>
        </w:rPr>
        <w:t xml:space="preserve">.weights </w:t>
      </w:r>
      <w:r>
        <w:rPr>
          <w:rStyle w:val="OperatorTok"/>
        </w:rPr>
        <w:t xml:space="preserve">=</w:t>
      </w:r>
      <w:r>
        <w:rPr>
          <w:rStyle w:val="NormalTok"/>
        </w:rPr>
        <w:t xml:space="preserve"> {}          </w:t>
      </w:r>
      <w:r>
        <w:rPr>
          <w:rStyle w:val="CommentTok"/>
        </w:rPr>
        <w:t xml:space="preserve"># physical node -&gt; weight</w:t>
      </w:r>
      <w:r>
        <w:br/>
      </w:r>
      <w:r>
        <w:rPr>
          <w:rStyle w:val="NormalTok"/>
        </w:rPr>
        <w:t xml:space="preserve">        </w:t>
      </w:r>
      <w:r>
        <w:rPr>
          <w:rStyle w:val="VariableTok"/>
        </w:rPr>
        <w:t xml:space="preserve">self</w:t>
      </w:r>
      <w:r>
        <w:rPr>
          <w:rStyle w:val="NormalTok"/>
        </w:rPr>
        <w:t xml:space="preserve">._positions </w:t>
      </w:r>
      <w:r>
        <w:rPr>
          <w:rStyle w:val="OperatorTok"/>
        </w:rPr>
        <w:t xml:space="preserve">=</w:t>
      </w:r>
      <w:r>
        <w:rPr>
          <w:rStyle w:val="NormalTok"/>
        </w:rPr>
        <w:t xml:space="preserve"> []       </w:t>
      </w:r>
      <w:r>
        <w:rPr>
          <w:rStyle w:val="CommentTok"/>
        </w:rPr>
        <w:t xml:space="preserve"># sorted vnode positions</w:t>
      </w:r>
      <w:r>
        <w:br/>
      </w:r>
      <w:r>
        <w:rPr>
          <w:rStyle w:val="NormalTok"/>
        </w:rPr>
        <w:t xml:space="preserve">        </w:t>
      </w:r>
      <w:r>
        <w:rPr>
          <w:rStyle w:val="VariableTok"/>
        </w:rPr>
        <w:t xml:space="preserve">self</w:t>
      </w:r>
      <w:r>
        <w:rPr>
          <w:rStyle w:val="NormalTok"/>
        </w:rPr>
        <w:t xml:space="preserve">._owners </w:t>
      </w:r>
      <w:r>
        <w:rPr>
          <w:rStyle w:val="OperatorTok"/>
        </w:rPr>
        <w:t xml:space="preserve">=</w:t>
      </w:r>
      <w:r>
        <w:rPr>
          <w:rStyle w:val="NormalTok"/>
        </w:rPr>
        <w:t xml:space="preserve"> []          </w:t>
      </w:r>
      <w:r>
        <w:rPr>
          <w:rStyle w:val="CommentTok"/>
        </w:rPr>
        <w:t xml:space="preserve"># owner of _positions[i]</w:t>
      </w:r>
      <w:r>
        <w:br/>
      </w:r>
      <w:r>
        <w:br/>
      </w:r>
      <w:r>
        <w:rPr>
          <w:rStyle w:val="NormalTok"/>
        </w:rPr>
        <w:t xml:space="preserve">    </w:t>
      </w:r>
      <w:r>
        <w:rPr>
          <w:rStyle w:val="KeywordTok"/>
        </w:rPr>
        <w:t xml:space="preserve">def</w:t>
      </w:r>
      <w:r>
        <w:rPr>
          <w:rStyle w:val="NormalTok"/>
        </w:rPr>
        <w:t xml:space="preserve"> _rebuild(</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points </w:t>
      </w:r>
      <w:r>
        <w:rPr>
          <w:rStyle w:val="OperatorTok"/>
        </w:rPr>
        <w:t xml:space="preserve">=</w:t>
      </w:r>
      <w:r>
        <w:rPr>
          <w:rStyle w:val="NormalTok"/>
        </w:rPr>
        <w:t xml:space="preserve"> </w:t>
      </w:r>
      <w:r>
        <w:rPr>
          <w:rStyle w:val="BuiltInTok"/>
        </w:rPr>
        <w:t xml:space="preserve">sorted</w:t>
      </w:r>
      <w:r>
        <w:rPr>
          <w:rStyle w:val="NormalTok"/>
        </w:rPr>
        <w:t xml:space="preserve">(</w:t>
      </w:r>
      <w:r>
        <w:br/>
      </w:r>
      <w:r>
        <w:rPr>
          <w:rStyle w:val="NormalTok"/>
        </w:rPr>
        <w:t xml:space="preserve">            (h(</w:t>
      </w:r>
      <w:r>
        <w:rPr>
          <w:rStyle w:val="SpecialStringTok"/>
        </w:rPr>
        <w:t xml:space="preserve">f"</w:t>
      </w:r>
      <w:r>
        <w:rPr>
          <w:rStyle w:val="SpecialCharTok"/>
        </w:rPr>
        <w:t xml:space="preserve">{</w:t>
      </w:r>
      <w:r>
        <w:rPr>
          <w:rStyle w:val="NormalTok"/>
        </w:rPr>
        <w:t xml:space="preserve">node</w:t>
      </w:r>
      <w:r>
        <w:rPr>
          <w:rStyle w:val="SpecialCharTok"/>
        </w:rPr>
        <w:t xml:space="preserve">}</w:t>
      </w:r>
      <w:r>
        <w:rPr>
          <w:rStyle w:val="SpecialStringTok"/>
        </w:rPr>
        <w:t xml:space="preserve">#vn</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node)</w:t>
      </w:r>
      <w:r>
        <w:br/>
      </w:r>
      <w:r>
        <w:rPr>
          <w:rStyle w:val="NormalTok"/>
        </w:rPr>
        <w:t xml:space="preserve">            </w:t>
      </w:r>
      <w:r>
        <w:rPr>
          <w:rStyle w:val="ControlFlowTok"/>
        </w:rPr>
        <w:t xml:space="preserve">for</w:t>
      </w:r>
      <w:r>
        <w:rPr>
          <w:rStyle w:val="NormalTok"/>
        </w:rPr>
        <w:t xml:space="preserve"> node, w </w:t>
      </w:r>
      <w:r>
        <w:rPr>
          <w:rStyle w:val="KeywordTok"/>
        </w:rPr>
        <w:t xml:space="preserve">in</w:t>
      </w:r>
      <w:r>
        <w:rPr>
          <w:rStyle w:val="NormalTok"/>
        </w:rPr>
        <w:t xml:space="preserve"> </w:t>
      </w:r>
      <w:r>
        <w:rPr>
          <w:rStyle w:val="VariableTok"/>
        </w:rPr>
        <w:t xml:space="preserve">self</w:t>
      </w:r>
      <w:r>
        <w:rPr>
          <w:rStyle w:val="NormalTok"/>
        </w:rPr>
        <w:t xml:space="preserve">.weights.items()</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.vpw </w:t>
      </w:r>
      <w:r>
        <w:rPr>
          <w:rStyle w:val="OperatorTok"/>
        </w:rPr>
        <w:t xml:space="preserve">*</w:t>
      </w:r>
      <w:r>
        <w:rPr>
          <w:rStyle w:val="NormalTok"/>
        </w:rPr>
        <w:t xml:space="preserve"> w)</w:t>
      </w:r>
      <w:r>
        <w:br/>
      </w:r>
      <w:r>
        <w:rPr>
          <w:rStyle w:val="NormalTok"/>
        </w:rPr>
        <w:t xml:space="preserve">        )</w:t>
      </w:r>
      <w:r>
        <w:br/>
      </w:r>
      <w:r>
        <w:rPr>
          <w:rStyle w:val="NormalTok"/>
        </w:rPr>
        <w:t xml:space="preserve">        </w:t>
      </w:r>
      <w:r>
        <w:rPr>
          <w:rStyle w:val="VariableTok"/>
        </w:rPr>
        <w:t xml:space="preserve">self</w:t>
      </w:r>
      <w:r>
        <w:rPr>
          <w:rStyle w:val="NormalTok"/>
        </w:rPr>
        <w:t xml:space="preserve">._positions </w:t>
      </w:r>
      <w:r>
        <w:rPr>
          <w:rStyle w:val="OperatorTok"/>
        </w:rPr>
        <w:t xml:space="preserve">=</w:t>
      </w:r>
      <w:r>
        <w:rPr>
          <w:rStyle w:val="NormalTok"/>
        </w:rPr>
        <w:t xml:space="preserve"> [p </w:t>
      </w:r>
      <w:r>
        <w:rPr>
          <w:rStyle w:val="ControlFlowTok"/>
        </w:rPr>
        <w:t xml:space="preserve">for</w:t>
      </w:r>
      <w:r>
        <w:rPr>
          <w:rStyle w:val="NormalTok"/>
        </w:rPr>
        <w:t xml:space="preserve"> p, _ </w:t>
      </w:r>
      <w:r>
        <w:rPr>
          <w:rStyle w:val="KeywordTok"/>
        </w:rPr>
        <w:t xml:space="preserve">in</w:t>
      </w:r>
      <w:r>
        <w:rPr>
          <w:rStyle w:val="NormalTok"/>
        </w:rPr>
        <w:t xml:space="preserve"> points]</w:t>
      </w:r>
      <w:r>
        <w:br/>
      </w:r>
      <w:r>
        <w:rPr>
          <w:rStyle w:val="NormalTok"/>
        </w:rPr>
        <w:t xml:space="preserve">        </w:t>
      </w:r>
      <w:r>
        <w:rPr>
          <w:rStyle w:val="VariableTok"/>
        </w:rPr>
        <w:t xml:space="preserve">self</w:t>
      </w:r>
      <w:r>
        <w:rPr>
          <w:rStyle w:val="NormalTok"/>
        </w:rPr>
        <w:t xml:space="preserve">._owners </w:t>
      </w:r>
      <w:r>
        <w:rPr>
          <w:rStyle w:val="OperatorTok"/>
        </w:rPr>
        <w:t xml:space="preserve">=</w:t>
      </w:r>
      <w:r>
        <w:rPr>
          <w:rStyle w:val="NormalTok"/>
        </w:rPr>
        <w:t xml:space="preserve"> [n </w:t>
      </w:r>
      <w:r>
        <w:rPr>
          <w:rStyle w:val="ControlFlowTok"/>
        </w:rPr>
        <w:t xml:space="preserve">for</w:t>
      </w:r>
      <w:r>
        <w:rPr>
          <w:rStyle w:val="NormalTok"/>
        </w:rPr>
        <w:t xml:space="preserve"> _, n </w:t>
      </w:r>
      <w:r>
        <w:rPr>
          <w:rStyle w:val="KeywordTok"/>
        </w:rPr>
        <w:t xml:space="preserve">in</w:t>
      </w:r>
      <w:r>
        <w:rPr>
          <w:rStyle w:val="NormalTok"/>
        </w:rPr>
        <w:t xml:space="preserve"> points]</w:t>
      </w:r>
      <w:r>
        <w:br/>
      </w:r>
      <w:r>
        <w:br/>
      </w:r>
      <w:r>
        <w:rPr>
          <w:rStyle w:val="NormalTok"/>
        </w:rPr>
        <w:t xml:space="preserve">    </w:t>
      </w:r>
      <w:r>
        <w:rPr>
          <w:rStyle w:val="KeywordTok"/>
        </w:rPr>
        <w:t xml:space="preserve">def</w:t>
      </w:r>
      <w:r>
        <w:rPr>
          <w:rStyle w:val="NormalTok"/>
        </w:rPr>
        <w:t xml:space="preserve"> add_node(</w:t>
      </w:r>
      <w:r>
        <w:rPr>
          <w:rStyle w:val="VariableTok"/>
        </w:rPr>
        <w:t xml:space="preserve">self</w:t>
      </w:r>
      <w:r>
        <w:rPr>
          <w:rStyle w:val="NormalTok"/>
        </w:rPr>
        <w:t xml:space="preserve">, node: </w:t>
      </w:r>
      <w:r>
        <w:rPr>
          <w:rStyle w:val="BuiltInTok"/>
        </w:rPr>
        <w:t xml:space="preserve">str</w:t>
      </w:r>
      <w:r>
        <w:rPr>
          <w:rStyle w:val="NormalTok"/>
        </w:rPr>
        <w:t xml:space="preserve">, weight: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.weights[node] </w:t>
      </w:r>
      <w:r>
        <w:rPr>
          <w:rStyle w:val="OperatorTok"/>
        </w:rPr>
        <w:t xml:space="preserve">=</w:t>
      </w:r>
      <w:r>
        <w:rPr>
          <w:rStyle w:val="NormalTok"/>
        </w:rPr>
        <w:t xml:space="preserve"> weight</w:t>
      </w:r>
      <w:r>
        <w:br/>
      </w:r>
      <w:r>
        <w:rPr>
          <w:rStyle w:val="NormalTok"/>
        </w:rPr>
        <w:t xml:space="preserve">        </w:t>
      </w:r>
      <w:r>
        <w:rPr>
          <w:rStyle w:val="VariableTok"/>
        </w:rPr>
        <w:t xml:space="preserve">self</w:t>
      </w:r>
      <w:r>
        <w:rPr>
          <w:rStyle w:val="NormalTok"/>
        </w:rPr>
        <w:t xml:space="preserve">._rebuild()            </w:t>
      </w:r>
      <w:r>
        <w:rPr>
          <w:rStyle w:val="CommentTok"/>
        </w:rPr>
        <w:t xml:space="preserve"># one sort per membership change</w:t>
      </w:r>
      <w:r>
        <w:br/>
      </w:r>
      <w:r>
        <w:br/>
      </w:r>
      <w:r>
        <w:rPr>
          <w:rStyle w:val="NormalTok"/>
        </w:rPr>
        <w:t xml:space="preserve">    </w:t>
      </w:r>
      <w:r>
        <w:rPr>
          <w:rStyle w:val="KeywordTok"/>
        </w:rPr>
        <w:t xml:space="preserve">def</w:t>
      </w:r>
      <w:r>
        <w:rPr>
          <w:rStyle w:val="NormalTok"/>
        </w:rPr>
        <w:t xml:space="preserve"> remove_node(</w:t>
      </w:r>
      <w:r>
        <w:rPr>
          <w:rStyle w:val="VariableTok"/>
        </w:rPr>
        <w:t xml:space="preserve">self</w:t>
      </w:r>
      <w:r>
        <w:rPr>
          <w:rStyle w:val="NormalTok"/>
        </w:rPr>
        <w:t xml:space="preserve">, node: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KeywordTok"/>
        </w:rPr>
        <w:t xml:space="preserve">del</w:t>
      </w:r>
      <w:r>
        <w:rPr>
          <w:rStyle w:val="NormalTok"/>
        </w:rPr>
        <w:t xml:space="preserve"> </w:t>
      </w:r>
      <w:r>
        <w:rPr>
          <w:rStyle w:val="VariableTok"/>
        </w:rPr>
        <w:t xml:space="preserve">self</w:t>
      </w:r>
      <w:r>
        <w:rPr>
          <w:rStyle w:val="NormalTok"/>
        </w:rPr>
        <w:t xml:space="preserve">.weights[node]</w:t>
      </w:r>
      <w:r>
        <w:br/>
      </w:r>
      <w:r>
        <w:rPr>
          <w:rStyle w:val="NormalTok"/>
        </w:rPr>
        <w:t xml:space="preserve">        </w:t>
      </w:r>
      <w:r>
        <w:rPr>
          <w:rStyle w:val="VariableTok"/>
        </w:rPr>
        <w:t xml:space="preserve">self</w:t>
      </w:r>
      <w:r>
        <w:rPr>
          <w:rStyle w:val="NormalTok"/>
        </w:rPr>
        <w:t xml:space="preserve">._rebuild()</w:t>
      </w:r>
      <w:r>
        <w:br/>
      </w:r>
      <w:r>
        <w:br/>
      </w:r>
      <w:r>
        <w:rPr>
          <w:rStyle w:val="NormalTok"/>
        </w:rPr>
        <w:t xml:space="preserve">    </w:t>
      </w:r>
      <w:r>
        <w:rPr>
          <w:rStyle w:val="KeywordTok"/>
        </w:rPr>
        <w:t xml:space="preserve">def</w:t>
      </w:r>
      <w:r>
        <w:rPr>
          <w:rStyle w:val="NormalTok"/>
        </w:rPr>
        <w:t xml:space="preserve"> _index(</w:t>
      </w:r>
      <w:r>
        <w:rPr>
          <w:rStyle w:val="VariableTok"/>
        </w:rPr>
        <w:t xml:space="preserve">self</w:t>
      </w:r>
      <w:r>
        <w:rPr>
          <w:rStyle w:val="NormalTok"/>
        </w:rPr>
        <w:t xml:space="preserve">, key: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i </w:t>
      </w:r>
      <w:r>
        <w:rPr>
          <w:rStyle w:val="OperatorTok"/>
        </w:rPr>
        <w:t xml:space="preserve">=</w:t>
      </w:r>
      <w:r>
        <w:rPr>
          <w:rStyle w:val="NormalTok"/>
        </w:rPr>
        <w:t xml:space="preserve"> bisect.bisect_right(</w:t>
      </w:r>
      <w:r>
        <w:rPr>
          <w:rStyle w:val="VariableTok"/>
        </w:rPr>
        <w:t xml:space="preserve">self</w:t>
      </w:r>
      <w:r>
        <w:rPr>
          <w:rStyle w:val="NormalTok"/>
        </w:rPr>
        <w:t xml:space="preserve">._positions, h(key))</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._positions) </w:t>
      </w:r>
      <w:r>
        <w:rPr>
          <w:rStyle w:val="ControlFlowTok"/>
        </w:rPr>
        <w:t xml:space="preserve">else</w:t>
      </w:r>
      <w:r>
        <w:rPr>
          <w:rStyle w:val="NormalTok"/>
        </w:rPr>
        <w:t xml:space="preserve"> i   </w:t>
      </w:r>
      <w:r>
        <w:rPr>
          <w:rStyle w:val="CommentTok"/>
        </w:rPr>
        <w:t xml:space="preserve"># wrap around</w:t>
      </w:r>
      <w:r>
        <w:br/>
      </w:r>
      <w:r>
        <w:br/>
      </w:r>
      <w:r>
        <w:rPr>
          <w:rStyle w:val="NormalTok"/>
        </w:rPr>
        <w:t xml:space="preserve">    </w:t>
      </w:r>
      <w:r>
        <w:rPr>
          <w:rStyle w:val="KeywordTok"/>
        </w:rPr>
        <w:t xml:space="preserve">def</w:t>
      </w:r>
      <w:r>
        <w:rPr>
          <w:rStyle w:val="NormalTok"/>
        </w:rPr>
        <w:t xml:space="preserve"> owner(</w:t>
      </w:r>
      <w:r>
        <w:rPr>
          <w:rStyle w:val="VariableTok"/>
        </w:rPr>
        <w:t xml:space="preserve">self</w:t>
      </w:r>
      <w:r>
        <w:rPr>
          <w:rStyle w:val="NormalTok"/>
        </w:rPr>
        <w:t xml:space="preserve">, key: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._owners[</w:t>
      </w:r>
      <w:r>
        <w:rPr>
          <w:rStyle w:val="VariableTok"/>
        </w:rPr>
        <w:t xml:space="preserve">self</w:t>
      </w:r>
      <w:r>
        <w:rPr>
          <w:rStyle w:val="NormalTok"/>
        </w:rPr>
        <w:t xml:space="preserve">._index(key)]</w:t>
      </w:r>
      <w:r>
        <w:br/>
      </w:r>
      <w:r>
        <w:br/>
      </w:r>
      <w:r>
        <w:rPr>
          <w:rStyle w:val="NormalTok"/>
        </w:rPr>
        <w:t xml:space="preserve">    </w:t>
      </w:r>
      <w:r>
        <w:rPr>
          <w:rStyle w:val="KeywordTok"/>
        </w:rPr>
        <w:t xml:space="preserve">def</w:t>
      </w:r>
      <w:r>
        <w:rPr>
          <w:rStyle w:val="NormalTok"/>
        </w:rPr>
        <w:t xml:space="preserve"> preference_list(</w:t>
      </w:r>
      <w:r>
        <w:rPr>
          <w:rStyle w:val="VariableTok"/>
        </w:rPr>
        <w:t xml:space="preserve">self</w:t>
      </w:r>
      <w:r>
        <w:rPr>
          <w:rStyle w:val="NormalTok"/>
        </w:rPr>
        <w:t xml:space="preserve">, key: </w:t>
      </w:r>
      <w:r>
        <w:rPr>
          <w:rStyle w:val="BuiltInTok"/>
        </w:rPr>
        <w:t xml:space="preserve">str</w:t>
      </w:r>
      <w:r>
        <w:rPr>
          <w:rStyle w:val="NormalTok"/>
        </w:rPr>
        <w:t xml:space="preserve">, r: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br/>
      </w:r>
      <w:r>
        <w:rPr>
          <w:rStyle w:val="NormalTok"/>
        </w:rPr>
        <w:t xml:space="preserve">        </w:t>
      </w:r>
      <w:r>
        <w:rPr>
          <w:rStyle w:val="CommentTok"/>
        </w:rPr>
        <w:t xml:space="preserve">"""First r *distinct physical* nodes clockwise from the key."""</w:t>
      </w:r>
      <w:r>
        <w:br/>
      </w:r>
      <w:r>
        <w:rPr>
          <w:rStyle w:val="NormalTok"/>
        </w:rPr>
        <w:t xml:space="preserve">        r </w:t>
      </w:r>
      <w:r>
        <w:rPr>
          <w:rStyle w:val="OperatorTok"/>
        </w:rPr>
        <w:t xml:space="preserve">=</w:t>
      </w:r>
      <w:r>
        <w:rPr>
          <w:rStyle w:val="NormalTok"/>
        </w:rPr>
        <w:t xml:space="preserve"> </w:t>
      </w:r>
      <w:r>
        <w:rPr>
          <w:rStyle w:val="BuiltInTok"/>
        </w:rPr>
        <w:t xml:space="preserve">min</w:t>
      </w:r>
      <w:r>
        <w:rPr>
          <w:rStyle w:val="NormalTok"/>
        </w:rPr>
        <w:t xml:space="preserve">(r, </w:t>
      </w:r>
      <w:r>
        <w:rPr>
          <w:rStyle w:val="BuiltInTok"/>
        </w:rPr>
        <w:t xml:space="preserve">len</w:t>
      </w:r>
      <w:r>
        <w:rPr>
          <w:rStyle w:val="NormalTok"/>
        </w:rPr>
        <w:t xml:space="preserve">(</w:t>
      </w:r>
      <w:r>
        <w:rPr>
          <w:rStyle w:val="VariableTok"/>
        </w:rPr>
        <w:t xml:space="preserve">self</w:t>
      </w:r>
      <w:r>
        <w:rPr>
          <w:rStyle w:val="NormalTok"/>
        </w:rPr>
        <w:t xml:space="preserve">.weights))</w:t>
      </w:r>
      <w:r>
        <w:br/>
      </w:r>
      <w:r>
        <w:rPr>
          <w:rStyle w:val="NormalTok"/>
        </w:rPr>
        <w:t xml:space="preserve">        result, i </w:t>
      </w:r>
      <w:r>
        <w:rPr>
          <w:rStyle w:val="OperatorTok"/>
        </w:rPr>
        <w:t xml:space="preserve">=</w:t>
      </w:r>
      <w:r>
        <w:rPr>
          <w:rStyle w:val="NormalTok"/>
        </w:rPr>
        <w:t xml:space="preserve"> [], </w:t>
      </w:r>
      <w:r>
        <w:rPr>
          <w:rStyle w:val="VariableTok"/>
        </w:rPr>
        <w:t xml:space="preserve">self</w:t>
      </w:r>
      <w:r>
        <w:rPr>
          <w:rStyle w:val="NormalTok"/>
        </w:rPr>
        <w:t xml:space="preserve">._index(key)</w:t>
      </w:r>
      <w:r>
        <w:br/>
      </w:r>
      <w:r>
        <w:rPr>
          <w:rStyle w:val="NormalTok"/>
        </w:rPr>
        <w:t xml:space="preserve">        </w:t>
      </w:r>
      <w:r>
        <w:rPr>
          <w:rStyle w:val="ControlFlowTok"/>
        </w:rPr>
        <w:t xml:space="preserve">while</w:t>
      </w:r>
      <w:r>
        <w:rPr>
          <w:rStyle w:val="NormalTok"/>
        </w:rPr>
        <w:t xml:space="preserve"> </w:t>
      </w:r>
      <w:r>
        <w:rPr>
          <w:rStyle w:val="BuiltInTok"/>
        </w:rPr>
        <w:t xml:space="preserve">len</w:t>
      </w:r>
      <w:r>
        <w:rPr>
          <w:rStyle w:val="NormalTok"/>
        </w:rPr>
        <w:t xml:space="preserve">(result) </w:t>
      </w:r>
      <w:r>
        <w:rPr>
          <w:rStyle w:val="OperatorTok"/>
        </w:rPr>
        <w:t xml:space="preserve">&lt;</w:t>
      </w:r>
      <w:r>
        <w:rPr>
          <w:rStyle w:val="NormalTok"/>
        </w:rPr>
        <w:t xml:space="preserve"> r:</w:t>
      </w:r>
      <w:r>
        <w:br/>
      </w:r>
      <w:r>
        <w:rPr>
          <w:rStyle w:val="NormalTok"/>
        </w:rPr>
        <w:t xml:space="preserve">            node </w:t>
      </w:r>
      <w:r>
        <w:rPr>
          <w:rStyle w:val="OperatorTok"/>
        </w:rPr>
        <w:t xml:space="preserve">=</w:t>
      </w:r>
      <w:r>
        <w:rPr>
          <w:rStyle w:val="NormalTok"/>
        </w:rPr>
        <w:t xml:space="preserve"> </w:t>
      </w:r>
      <w:r>
        <w:rPr>
          <w:rStyle w:val="VariableTok"/>
        </w:rPr>
        <w:t xml:space="preserve">self</w:t>
      </w:r>
      <w:r>
        <w:rPr>
          <w:rStyle w:val="NormalTok"/>
        </w:rPr>
        <w:t xml:space="preserve">._owners[i]</w:t>
      </w:r>
      <w:r>
        <w:br/>
      </w:r>
      <w:r>
        <w:rPr>
          <w:rStyle w:val="NormalTok"/>
        </w:rPr>
        <w:t xml:space="preserve">            </w:t>
      </w:r>
      <w:r>
        <w:rPr>
          <w:rStyle w:val="ControlFlowTok"/>
        </w:rPr>
        <w:t xml:space="preserve">if</w:t>
      </w:r>
      <w:r>
        <w:rPr>
          <w:rStyle w:val="NormalTok"/>
        </w:rPr>
        <w:t xml:space="preserve"> node </w:t>
      </w:r>
      <w:r>
        <w:rPr>
          <w:rStyle w:val="KeywordTok"/>
        </w:rPr>
        <w:t xml:space="preserve">not</w:t>
      </w:r>
      <w:r>
        <w:rPr>
          <w:rStyle w:val="NormalTok"/>
        </w:rPr>
        <w:t xml:space="preserve"> </w:t>
      </w:r>
      <w:r>
        <w:rPr>
          <w:rStyle w:val="KeywordTok"/>
        </w:rPr>
        <w:t xml:space="preserve">in</w:t>
      </w:r>
      <w:r>
        <w:rPr>
          <w:rStyle w:val="NormalTok"/>
        </w:rPr>
        <w:t xml:space="preserve"> result:</w:t>
      </w:r>
      <w:r>
        <w:br/>
      </w:r>
      <w:r>
        <w:rPr>
          <w:rStyle w:val="NormalTok"/>
        </w:rPr>
        <w:t xml:space="preserve">                result.append(node)</w:t>
      </w:r>
      <w:r>
        <w:br/>
      </w:r>
      <w:r>
        <w:rPr>
          <w:rStyle w:val="NormalTok"/>
        </w:rPr>
        <w:t xml:space="preserve">            i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._owners)</w:t>
      </w:r>
      <w:r>
        <w:br/>
      </w:r>
      <w:r>
        <w:rPr>
          <w:rStyle w:val="NormalTok"/>
        </w:rPr>
        <w:t xml:space="preserve">        </w:t>
      </w:r>
      <w:r>
        <w:rPr>
          <w:rStyle w:val="ControlFlowTok"/>
        </w:rPr>
        <w:t xml:space="preserve">return</w:t>
      </w:r>
      <w:r>
        <w:rPr>
          <w:rStyle w:val="NormalTok"/>
        </w:rPr>
        <w:t xml:space="preserve"> result</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keys </w:t>
      </w:r>
      <w:r>
        <w:rPr>
          <w:rStyle w:val="OperatorTok"/>
        </w:rPr>
        <w:t xml:space="preserve">=</w:t>
      </w:r>
      <w:r>
        <w:rPr>
          <w:rStyle w:val="NormalTok"/>
        </w:rPr>
        <w:t xml:space="preserve"> [</w:t>
      </w:r>
      <w:r>
        <w:rPr>
          <w:rStyle w:val="SpecialStringTok"/>
        </w:rPr>
        <w:t xml:space="preserve">f"user:</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200_000</w:t>
      </w:r>
      <w:r>
        <w:rPr>
          <w:rStyle w:val="NormalTok"/>
        </w:rPr>
        <w:t xml:space="preserve">)]</w:t>
      </w:r>
      <w:r>
        <w:br/>
      </w:r>
      <w:r>
        <w:rPr>
          <w:rStyle w:val="NormalTok"/>
        </w:rPr>
        <w:t xml:space="preserve">    ring </w:t>
      </w:r>
      <w:r>
        <w:rPr>
          <w:rStyle w:val="OperatorTok"/>
        </w:rPr>
        <w:t xml:space="preserve">=</w:t>
      </w:r>
      <w:r>
        <w:rPr>
          <w:rStyle w:val="NormalTok"/>
        </w:rPr>
        <w:t xml:space="preserve"> HashRing(vnodes_per_weight</w:t>
      </w:r>
      <w:r>
        <w:rPr>
          <w:rStyle w:val="OperatorTok"/>
        </w:rPr>
        <w:t xml:space="preserve">=</w:t>
      </w:r>
      <w:r>
        <w:rPr>
          <w:rStyle w:val="DecValTok"/>
        </w:rPr>
        <w:t xml:space="preserve">128</w:t>
      </w:r>
      <w:r>
        <w:rPr>
          <w:rStyle w:val="NormalTok"/>
        </w:rPr>
        <w:t xml:space="preserve">)</w:t>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8</w:t>
      </w:r>
      <w:r>
        <w:rPr>
          <w:rStyle w:val="NormalTok"/>
        </w:rPr>
        <w:t xml:space="preserve">):</w:t>
      </w:r>
      <w:r>
        <w:br/>
      </w:r>
      <w:r>
        <w:rPr>
          <w:rStyle w:val="NormalTok"/>
        </w:rPr>
        <w:t xml:space="preserve">        ring.add_node(</w:t>
      </w:r>
      <w:r>
        <w:rPr>
          <w:rStyle w:val="SpecialStringTok"/>
        </w:rPr>
        <w:t xml:space="preserve">f"db-</w:t>
      </w:r>
      <w:r>
        <w:rPr>
          <w:rStyle w:val="SpecialCharTok"/>
        </w:rPr>
        <w:t xml:space="preserve">{</w:t>
      </w:r>
      <w:r>
        <w:rPr>
          <w:rStyle w:val="NormalTok"/>
        </w:rPr>
        <w:t xml:space="preserve">n</w:t>
      </w:r>
      <w:r>
        <w:rPr>
          <w:rStyle w:val="SpecialCharTok"/>
        </w:rPr>
        <w:t xml:space="preserve">}</w:t>
      </w:r>
      <w:r>
        <w:rPr>
          <w:rStyle w:val="SpecialStringTok"/>
        </w:rPr>
        <w:t xml:space="preserve">"</w:t>
      </w:r>
      <w:r>
        <w:rPr>
          <w:rStyle w:val="NormalTok"/>
        </w:rPr>
        <w:t xml:space="preserve">)</w:t>
      </w:r>
      <w:r>
        <w:br/>
      </w:r>
      <w:r>
        <w:br/>
      </w:r>
      <w:r>
        <w:rPr>
          <w:rStyle w:val="NormalTok"/>
        </w:rPr>
        <w:t xml:space="preserve">    before </w:t>
      </w:r>
      <w:r>
        <w:rPr>
          <w:rStyle w:val="OperatorTok"/>
        </w:rPr>
        <w:t xml:space="preserve">=</w:t>
      </w:r>
      <w:r>
        <w:rPr>
          <w:rStyle w:val="NormalTok"/>
        </w:rPr>
        <w:t xml:space="preserve"> {k: ring.owner(k) </w:t>
      </w:r>
      <w:r>
        <w:rPr>
          <w:rStyle w:val="ControlFlowTok"/>
        </w:rPr>
        <w:t xml:space="preserve">for</w:t>
      </w:r>
      <w:r>
        <w:rPr>
          <w:rStyle w:val="NormalTok"/>
        </w:rPr>
        <w:t xml:space="preserve"> k </w:t>
      </w:r>
      <w:r>
        <w:rPr>
          <w:rStyle w:val="KeywordTok"/>
        </w:rPr>
        <w:t xml:space="preserve">in</w:t>
      </w:r>
      <w:r>
        <w:rPr>
          <w:rStyle w:val="NormalTok"/>
        </w:rPr>
        <w:t xml:space="preserve"> keys}</w:t>
      </w:r>
      <w:r>
        <w:br/>
      </w:r>
      <w:r>
        <w:rPr>
          <w:rStyle w:val="NormalTok"/>
        </w:rPr>
        <w:t xml:space="preserve">    ring.add_node(</w:t>
      </w:r>
      <w:r>
        <w:rPr>
          <w:rStyle w:val="StringTok"/>
        </w:rPr>
        <w:t xml:space="preserve">"db-8"</w:t>
      </w:r>
      <w:r>
        <w:rPr>
          <w:rStyle w:val="NormalTok"/>
        </w:rPr>
        <w:t xml:space="preserve">)</w:t>
      </w:r>
      <w:r>
        <w:br/>
      </w:r>
      <w:r>
        <w:rPr>
          <w:rStyle w:val="NormalTok"/>
        </w:rPr>
        <w:t xml:space="preserve">    after </w:t>
      </w:r>
      <w:r>
        <w:rPr>
          <w:rStyle w:val="OperatorTok"/>
        </w:rPr>
        <w:t xml:space="preserve">=</w:t>
      </w:r>
      <w:r>
        <w:rPr>
          <w:rStyle w:val="NormalTok"/>
        </w:rPr>
        <w:t xml:space="preserve"> {k: ring.owner(k) </w:t>
      </w:r>
      <w:r>
        <w:rPr>
          <w:rStyle w:val="ControlFlowTok"/>
        </w:rPr>
        <w:t xml:space="preserve">for</w:t>
      </w:r>
      <w:r>
        <w:rPr>
          <w:rStyle w:val="NormalTok"/>
        </w:rPr>
        <w:t xml:space="preserve"> k </w:t>
      </w:r>
      <w:r>
        <w:rPr>
          <w:rStyle w:val="KeywordTok"/>
        </w:rPr>
        <w:t xml:space="preserve">in</w:t>
      </w:r>
      <w:r>
        <w:rPr>
          <w:rStyle w:val="NormalTok"/>
        </w:rPr>
        <w:t xml:space="preserve"> keys}</w:t>
      </w:r>
      <w:r>
        <w:br/>
      </w:r>
      <w:r>
        <w:rPr>
          <w:rStyle w:val="NormalTok"/>
        </w:rPr>
        <w:t xml:space="preserve">    moved </w:t>
      </w:r>
      <w:r>
        <w:rPr>
          <w:rStyle w:val="OperatorTok"/>
        </w:rPr>
        <w:t xml:space="preserve">=</w:t>
      </w:r>
      <w:r>
        <w:rPr>
          <w:rStyle w:val="NormalTok"/>
        </w:rPr>
        <w:t xml:space="preserve"> [k </w:t>
      </w:r>
      <w:r>
        <w:rPr>
          <w:rStyle w:val="ControlFlowTok"/>
        </w:rPr>
        <w:t xml:space="preserve">for</w:t>
      </w:r>
      <w:r>
        <w:rPr>
          <w:rStyle w:val="NormalTok"/>
        </w:rPr>
        <w:t xml:space="preserve"> k </w:t>
      </w:r>
      <w:r>
        <w:rPr>
          <w:rStyle w:val="KeywordTok"/>
        </w:rPr>
        <w:t xml:space="preserve">in</w:t>
      </w:r>
      <w:r>
        <w:rPr>
          <w:rStyle w:val="NormalTok"/>
        </w:rPr>
        <w:t xml:space="preserve"> keys </w:t>
      </w:r>
      <w:r>
        <w:rPr>
          <w:rStyle w:val="ControlFlowTok"/>
        </w:rPr>
        <w:t xml:space="preserve">if</w:t>
      </w:r>
      <w:r>
        <w:rPr>
          <w:rStyle w:val="NormalTok"/>
        </w:rPr>
        <w:t xml:space="preserve"> before[k] </w:t>
      </w:r>
      <w:r>
        <w:rPr>
          <w:rStyle w:val="OperatorTok"/>
        </w:rPr>
        <w:t xml:space="preserve">!=</w:t>
      </w:r>
      <w:r>
        <w:rPr>
          <w:rStyle w:val="NormalTok"/>
        </w:rPr>
        <w:t xml:space="preserve"> after[k]]</w:t>
      </w:r>
      <w:r>
        <w:br/>
      </w:r>
      <w:r>
        <w:rPr>
          <w:rStyle w:val="NormalTok"/>
        </w:rPr>
        <w:t xml:space="preserve">    </w:t>
      </w:r>
      <w:r>
        <w:rPr>
          <w:rStyle w:val="BuiltInTok"/>
        </w:rPr>
        <w:t xml:space="preserve">print</w:t>
      </w:r>
      <w:r>
        <w:rPr>
          <w:rStyle w:val="NormalTok"/>
        </w:rPr>
        <w:t xml:space="preserve">(</w:t>
      </w:r>
      <w:r>
        <w:rPr>
          <w:rStyle w:val="SpecialStringTok"/>
        </w:rPr>
        <w:t xml:space="preserve">f"add 9th node : </w:t>
      </w:r>
      <w:r>
        <w:rPr>
          <w:rStyle w:val="SpecialCharTok"/>
        </w:rPr>
        <w:t xml:space="preserve">{</w:t>
      </w:r>
      <w:r>
        <w:rPr>
          <w:rStyle w:val="BuiltInTok"/>
        </w:rPr>
        <w:t xml:space="preserve">len</w:t>
      </w:r>
      <w:r>
        <w:rPr>
          <w:rStyle w:val="NormalTok"/>
        </w:rPr>
        <w:t xml:space="preserve">(moved) </w:t>
      </w:r>
      <w:r>
        <w:rPr>
          <w:rStyle w:val="OperatorTok"/>
        </w:rPr>
        <w:t xml:space="preserve">/</w:t>
      </w:r>
      <w:r>
        <w:rPr>
          <w:rStyle w:val="NormalTok"/>
        </w:rPr>
        <w:t xml:space="preserve"> </w:t>
      </w:r>
      <w:r>
        <w:rPr>
          <w:rStyle w:val="BuiltInTok"/>
        </w:rPr>
        <w:t xml:space="preserve">len</w:t>
      </w:r>
      <w:r>
        <w:rPr>
          <w:rStyle w:val="NormalTok"/>
        </w:rPr>
        <w:t xml:space="preserve">(keys)</w:t>
      </w:r>
      <w:r>
        <w:rPr>
          <w:rStyle w:val="SpecialCharTok"/>
        </w:rPr>
        <w:t xml:space="preserve">:.2%}</w:t>
      </w:r>
      <w:r>
        <w:rPr>
          <w:rStyle w:val="SpecialStringTok"/>
        </w:rPr>
        <w:t xml:space="preserve"> of keys moved "</w:t>
      </w:r>
      <w:r>
        <w:br/>
      </w:r>
      <w:r>
        <w:rPr>
          <w:rStyle w:val="NormalTok"/>
        </w:rPr>
        <w:t xml:space="preserve">          </w:t>
      </w:r>
      <w:r>
        <w:rPr>
          <w:rStyle w:val="SpecialStringTok"/>
        </w:rPr>
        <w:t xml:space="preserve">f"(theory 1/9 = </w:t>
      </w:r>
      <w:r>
        <w:rPr>
          <w:rStyle w:val="SpecialCha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9</w:t>
      </w:r>
      <w:r>
        <w:rPr>
          <w:rStyle w:val="SpecialCharTok"/>
        </w:rPr>
        <w:t xml:space="preserve">:.2%}</w:t>
      </w:r>
      <w:r>
        <w:rPr>
          <w:rStyle w:val="SpecialStringTok"/>
        </w:rPr>
        <w:t xml:space="preserve">); all moved keys went to "</w:t>
      </w:r>
      <w:r>
        <w:br/>
      </w:r>
      <w:r>
        <w:rPr>
          <w:rStyle w:val="NormalTok"/>
        </w:rPr>
        <w:t xml:space="preserve">          </w:t>
      </w:r>
      <w:r>
        <w:rPr>
          <w:rStyle w:val="SpecialStringTok"/>
        </w:rPr>
        <w:t xml:space="preserve">f"</w:t>
      </w:r>
      <w:r>
        <w:rPr>
          <w:rStyle w:val="SpecialCharTok"/>
        </w:rPr>
        <w:t xml:space="preserve">{</w:t>
      </w:r>
      <w:r>
        <w:rPr>
          <w:rStyle w:val="BuiltInTok"/>
        </w:rPr>
        <w:t xml:space="preserve">set</w:t>
      </w:r>
      <w:r>
        <w:rPr>
          <w:rStyle w:val="NormalTok"/>
        </w:rPr>
        <w:t xml:space="preserve">(after[k] </w:t>
      </w:r>
      <w:r>
        <w:rPr>
          <w:rStyle w:val="ControlFlowTok"/>
        </w:rPr>
        <w:t xml:space="preserve">for</w:t>
      </w:r>
      <w:r>
        <w:rPr>
          <w:rStyle w:val="NormalTok"/>
        </w:rPr>
        <w:t xml:space="preserve"> k </w:t>
      </w:r>
      <w:r>
        <w:rPr>
          <w:rStyle w:val="KeywordTok"/>
        </w:rPr>
        <w:t xml:space="preserve">in</w:t>
      </w:r>
      <w:r>
        <w:rPr>
          <w:rStyle w:val="NormalTok"/>
        </w:rPr>
        <w:t xml:space="preserve"> moved)</w:t>
      </w:r>
      <w:r>
        <w:rPr>
          <w:rStyle w:val="SpecialCharTok"/>
        </w:rPr>
        <w:t xml:space="preserve">}</w:t>
      </w:r>
      <w:r>
        <w:rPr>
          <w:rStyle w:val="SpecialStringTok"/>
        </w:rPr>
        <w:t xml:space="preserve">"</w:t>
      </w:r>
      <w:r>
        <w:rPr>
          <w:rStyle w:val="NormalTok"/>
        </w:rPr>
        <w:t xml:space="preserve">)</w:t>
      </w:r>
      <w:r>
        <w:br/>
      </w:r>
      <w:r>
        <w:br/>
      </w:r>
      <w:r>
        <w:rPr>
          <w:rStyle w:val="NormalTok"/>
        </w:rPr>
        <w:t xml:space="preserve">    share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keys </w:t>
      </w:r>
      <w:r>
        <w:rPr>
          <w:rStyle w:val="ControlFlowTok"/>
        </w:rPr>
        <w:t xml:space="preserve">if</w:t>
      </w:r>
      <w:r>
        <w:rPr>
          <w:rStyle w:val="NormalTok"/>
        </w:rPr>
        <w:t xml:space="preserve"> after[k] </w:t>
      </w:r>
      <w:r>
        <w:rPr>
          <w:rStyle w:val="OperatorTok"/>
        </w:rPr>
        <w:t xml:space="preserve">==</w:t>
      </w:r>
      <w:r>
        <w:rPr>
          <w:rStyle w:val="NormalTok"/>
        </w:rPr>
        <w:t xml:space="preserve"> </w:t>
      </w:r>
      <w:r>
        <w:rPr>
          <w:rStyle w:val="StringTok"/>
        </w:rPr>
        <w:t xml:space="preserve">"db-3"</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(keys)</w:t>
      </w:r>
      <w:r>
        <w:br/>
      </w:r>
      <w:r>
        <w:rPr>
          <w:rStyle w:val="NormalTok"/>
        </w:rPr>
        <w:t xml:space="preserve">    ring.remove_node(</w:t>
      </w:r>
      <w:r>
        <w:rPr>
          <w:rStyle w:val="StringTok"/>
        </w:rPr>
        <w:t xml:space="preserve">"db-3"</w:t>
      </w:r>
      <w:r>
        <w:rPr>
          <w:rStyle w:val="NormalTok"/>
        </w:rPr>
        <w:t xml:space="preserve">)</w:t>
      </w:r>
      <w:r>
        <w:br/>
      </w:r>
      <w:r>
        <w:rPr>
          <w:rStyle w:val="NormalTok"/>
        </w:rPr>
        <w:t xml:space="preserve">    gone </w:t>
      </w:r>
      <w:r>
        <w:rPr>
          <w:rStyle w:val="OperatorTok"/>
        </w:rPr>
        <w:t xml:space="preserve">=</w:t>
      </w:r>
      <w:r>
        <w:rPr>
          <w:rStyle w:val="NormalTok"/>
        </w:rPr>
        <w:t xml:space="preserve"> {k: ring.owner(k) </w:t>
      </w:r>
      <w:r>
        <w:rPr>
          <w:rStyle w:val="ControlFlowTok"/>
        </w:rPr>
        <w:t xml:space="preserve">for</w:t>
      </w:r>
      <w:r>
        <w:rPr>
          <w:rStyle w:val="NormalTok"/>
        </w:rPr>
        <w:t xml:space="preserve"> k </w:t>
      </w:r>
      <w:r>
        <w:rPr>
          <w:rStyle w:val="KeywordTok"/>
        </w:rPr>
        <w:t xml:space="preserve">in</w:t>
      </w:r>
      <w:r>
        <w:rPr>
          <w:rStyle w:val="NormalTok"/>
        </w:rPr>
        <w:t xml:space="preserve"> keys}</w:t>
      </w:r>
      <w:r>
        <w:br/>
      </w:r>
      <w:r>
        <w:rPr>
          <w:rStyle w:val="NormalTok"/>
        </w:rPr>
        <w:t xml:space="preserve">    moved </w:t>
      </w:r>
      <w:r>
        <w:rPr>
          <w:rStyle w:val="OperatorTok"/>
        </w:rPr>
        <w:t xml:space="preserve">=</w:t>
      </w:r>
      <w:r>
        <w:rPr>
          <w:rStyle w:val="NormalTok"/>
        </w:rPr>
        <w:t xml:space="preserve"> [k </w:t>
      </w:r>
      <w:r>
        <w:rPr>
          <w:rStyle w:val="ControlFlowTok"/>
        </w:rPr>
        <w:t xml:space="preserve">for</w:t>
      </w:r>
      <w:r>
        <w:rPr>
          <w:rStyle w:val="NormalTok"/>
        </w:rPr>
        <w:t xml:space="preserve"> k </w:t>
      </w:r>
      <w:r>
        <w:rPr>
          <w:rStyle w:val="KeywordTok"/>
        </w:rPr>
        <w:t xml:space="preserve">in</w:t>
      </w:r>
      <w:r>
        <w:rPr>
          <w:rStyle w:val="NormalTok"/>
        </w:rPr>
        <w:t xml:space="preserve"> keys </w:t>
      </w:r>
      <w:r>
        <w:rPr>
          <w:rStyle w:val="ControlFlowTok"/>
        </w:rPr>
        <w:t xml:space="preserve">if</w:t>
      </w:r>
      <w:r>
        <w:rPr>
          <w:rStyle w:val="NormalTok"/>
        </w:rPr>
        <w:t xml:space="preserve"> after[k] </w:t>
      </w:r>
      <w:r>
        <w:rPr>
          <w:rStyle w:val="OperatorTok"/>
        </w:rPr>
        <w:t xml:space="preserve">!=</w:t>
      </w:r>
      <w:r>
        <w:rPr>
          <w:rStyle w:val="NormalTok"/>
        </w:rPr>
        <w:t xml:space="preserve"> gone[k]]</w:t>
      </w:r>
      <w:r>
        <w:br/>
      </w:r>
      <w:r>
        <w:rPr>
          <w:rStyle w:val="NormalTok"/>
        </w:rPr>
        <w:t xml:space="preserve">    receivers </w:t>
      </w:r>
      <w:r>
        <w:rPr>
          <w:rStyle w:val="OperatorTok"/>
        </w:rPr>
        <w:t xml:space="preserve">=</w:t>
      </w:r>
      <w:r>
        <w:rPr>
          <w:rStyle w:val="NormalTok"/>
        </w:rPr>
        <w:t xml:space="preserve"> Counter(gone[k] </w:t>
      </w:r>
      <w:r>
        <w:rPr>
          <w:rStyle w:val="ControlFlowTok"/>
        </w:rPr>
        <w:t xml:space="preserve">for</w:t>
      </w:r>
      <w:r>
        <w:rPr>
          <w:rStyle w:val="NormalTok"/>
        </w:rPr>
        <w:t xml:space="preserve"> k </w:t>
      </w:r>
      <w:r>
        <w:rPr>
          <w:rStyle w:val="KeywordTok"/>
        </w:rPr>
        <w:t xml:space="preserve">in</w:t>
      </w:r>
      <w:r>
        <w:rPr>
          <w:rStyle w:val="NormalTok"/>
        </w:rPr>
        <w:t xml:space="preserve"> moved)</w:t>
      </w:r>
      <w:r>
        <w:br/>
      </w:r>
      <w:r>
        <w:rPr>
          <w:rStyle w:val="NormalTok"/>
        </w:rPr>
        <w:t xml:space="preserve">    </w:t>
      </w:r>
      <w:r>
        <w:rPr>
          <w:rStyle w:val="BuiltInTok"/>
        </w:rPr>
        <w:t xml:space="preserve">print</w:t>
      </w:r>
      <w:r>
        <w:rPr>
          <w:rStyle w:val="NormalTok"/>
        </w:rPr>
        <w:t xml:space="preserve">(</w:t>
      </w:r>
      <w:r>
        <w:rPr>
          <w:rStyle w:val="SpecialStringTok"/>
        </w:rPr>
        <w:t xml:space="preserve">f"remove db-3  : </w:t>
      </w:r>
      <w:r>
        <w:rPr>
          <w:rStyle w:val="SpecialCharTok"/>
        </w:rPr>
        <w:t xml:space="preserve">{</w:t>
      </w:r>
      <w:r>
        <w:rPr>
          <w:rStyle w:val="BuiltInTok"/>
        </w:rPr>
        <w:t xml:space="preserve">len</w:t>
      </w:r>
      <w:r>
        <w:rPr>
          <w:rStyle w:val="NormalTok"/>
        </w:rPr>
        <w:t xml:space="preserve">(moved) </w:t>
      </w:r>
      <w:r>
        <w:rPr>
          <w:rStyle w:val="OperatorTok"/>
        </w:rPr>
        <w:t xml:space="preserve">/</w:t>
      </w:r>
      <w:r>
        <w:rPr>
          <w:rStyle w:val="NormalTok"/>
        </w:rPr>
        <w:t xml:space="preserve"> </w:t>
      </w:r>
      <w:r>
        <w:rPr>
          <w:rStyle w:val="BuiltInTok"/>
        </w:rPr>
        <w:t xml:space="preserve">len</w:t>
      </w:r>
      <w:r>
        <w:rPr>
          <w:rStyle w:val="NormalTok"/>
        </w:rPr>
        <w:t xml:space="preserve">(keys)</w:t>
      </w:r>
      <w:r>
        <w:rPr>
          <w:rStyle w:val="SpecialCharTok"/>
        </w:rPr>
        <w:t xml:space="preserve">:.2%}</w:t>
      </w:r>
      <w:r>
        <w:rPr>
          <w:rStyle w:val="SpecialStringTok"/>
        </w:rPr>
        <w:t xml:space="preserve"> moved, exactly db-3's "</w:t>
      </w:r>
      <w:r>
        <w:br/>
      </w:r>
      <w:r>
        <w:rPr>
          <w:rStyle w:val="NormalTok"/>
        </w:rPr>
        <w:t xml:space="preserve">          </w:t>
      </w:r>
      <w:r>
        <w:rPr>
          <w:rStyle w:val="SpecialStringTok"/>
        </w:rPr>
        <w:t xml:space="preserve">f"share (</w:t>
      </w:r>
      <w:r>
        <w:rPr>
          <w:rStyle w:val="SpecialCharTok"/>
        </w:rPr>
        <w:t xml:space="preserve">{</w:t>
      </w:r>
      <w:r>
        <w:rPr>
          <w:rStyle w:val="NormalTok"/>
        </w:rPr>
        <w:t xml:space="preserve">share</w:t>
      </w:r>
      <w:r>
        <w:rPr>
          <w:rStyle w:val="SpecialCharTok"/>
        </w:rPr>
        <w:t xml:space="preserve">:.2%}</w:t>
      </w:r>
      <w:r>
        <w:rPr>
          <w:rStyle w:val="SpecialStringTok"/>
        </w:rPr>
        <w:t xml:space="preserve">); spread over </w:t>
      </w:r>
      <w:r>
        <w:rPr>
          <w:rStyle w:val="SpecialCharTok"/>
        </w:rPr>
        <w:t xml:space="preserve">{</w:t>
      </w:r>
      <w:r>
        <w:rPr>
          <w:rStyle w:val="BuiltInTok"/>
        </w:rPr>
        <w:t xml:space="preserve">len</w:t>
      </w:r>
      <w:r>
        <w:rPr>
          <w:rStyle w:val="NormalTok"/>
        </w:rPr>
        <w:t xml:space="preserve">(receivers)</w:t>
      </w:r>
      <w:r>
        <w:rPr>
          <w:rStyle w:val="SpecialCharTok"/>
        </w:rPr>
        <w:t xml:space="preserve">}</w:t>
      </w:r>
      <w:r>
        <w:rPr>
          <w:rStyle w:val="SpecialStringTok"/>
        </w:rPr>
        <w:t xml:space="preserve"> survivors, "</w:t>
      </w:r>
      <w:r>
        <w:br/>
      </w:r>
      <w:r>
        <w:rPr>
          <w:rStyle w:val="NormalTok"/>
        </w:rPr>
        <w:t xml:space="preserve">          </w:t>
      </w:r>
      <w:r>
        <w:rPr>
          <w:rStyle w:val="SpecialStringTok"/>
        </w:rPr>
        <w:t xml:space="preserve">f"largest receiver took </w:t>
      </w:r>
      <w:r>
        <w:rPr>
          <w:rStyle w:val="SpecialCharTok"/>
        </w:rPr>
        <w:t xml:space="preserve">{</w:t>
      </w:r>
      <w:r>
        <w:rPr>
          <w:rStyle w:val="BuiltInTok"/>
        </w:rPr>
        <w:t xml:space="preserve">max</w:t>
      </w:r>
      <w:r>
        <w:rPr>
          <w:rStyle w:val="NormalTok"/>
        </w:rPr>
        <w:t xml:space="preserve">(receivers.values()) </w:t>
      </w:r>
      <w:r>
        <w:rPr>
          <w:rStyle w:val="OperatorTok"/>
        </w:rPr>
        <w:t xml:space="preserve">/</w:t>
      </w:r>
      <w:r>
        <w:rPr>
          <w:rStyle w:val="NormalTok"/>
        </w:rPr>
        <w:t xml:space="preserve"> </w:t>
      </w:r>
      <w:r>
        <w:rPr>
          <w:rStyle w:val="BuiltInTok"/>
        </w:rPr>
        <w:t xml:space="preserve">len</w:t>
      </w:r>
      <w:r>
        <w:rPr>
          <w:rStyle w:val="NormalTok"/>
        </w:rPr>
        <w:t xml:space="preserve">(moved)</w:t>
      </w:r>
      <w:r>
        <w:rPr>
          <w:rStyle w:val="SpecialCharTok"/>
        </w:rPr>
        <w:t xml:space="preserve">:.0%}</w:t>
      </w:r>
      <w:r>
        <w:rPr>
          <w:rStyle w:val="SpecialStringTok"/>
        </w:rPr>
        <w:t xml:space="preserve">"</w:t>
      </w:r>
      <w:r>
        <w:rPr>
          <w:rStyle w:val="NormalTok"/>
        </w:rPr>
        <w:t xml:space="preserve">)</w:t>
      </w:r>
      <w:r>
        <w:br/>
      </w:r>
      <w:r>
        <w:br/>
      </w:r>
      <w:r>
        <w:rPr>
          <w:rStyle w:val="NormalTok"/>
        </w:rPr>
        <w:t xml:space="preserve">    ring.add_node(</w:t>
      </w:r>
      <w:r>
        <w:rPr>
          <w:rStyle w:val="StringTok"/>
        </w:rPr>
        <w:t xml:space="preserve">"db-big"</w:t>
      </w:r>
      <w:r>
        <w:rPr>
          <w:rStyle w:val="NormalTok"/>
        </w:rPr>
        <w:t xml:space="preserve">, weight</w:t>
      </w:r>
      <w:r>
        <w:rPr>
          <w:rStyle w:val="OperatorTok"/>
        </w:rPr>
        <w:t xml:space="preserve">=</w:t>
      </w:r>
      <w:r>
        <w:rPr>
          <w:rStyle w:val="DecValTok"/>
        </w:rPr>
        <w:t xml:space="preserve">2</w:t>
      </w:r>
      <w:r>
        <w:rPr>
          <w:rStyle w:val="NormalTok"/>
        </w:rPr>
        <w:t xml:space="preserve">)        </w:t>
      </w:r>
      <w:r>
        <w:rPr>
          <w:rStyle w:val="CommentTok"/>
        </w:rPr>
        <w:t xml:space="preserve"># twice the vnodes</w:t>
      </w:r>
      <w:r>
        <w:br/>
      </w:r>
      <w:r>
        <w:rPr>
          <w:rStyle w:val="NormalTok"/>
        </w:rPr>
        <w:t xml:space="preserve">    load </w:t>
      </w:r>
      <w:r>
        <w:rPr>
          <w:rStyle w:val="OperatorTok"/>
        </w:rPr>
        <w:t xml:space="preserve">=</w:t>
      </w:r>
      <w:r>
        <w:rPr>
          <w:rStyle w:val="NormalTok"/>
        </w:rPr>
        <w:t xml:space="preserve"> Counter(ring.owner(k) </w:t>
      </w:r>
      <w:r>
        <w:rPr>
          <w:rStyle w:val="ControlFlowTok"/>
        </w:rPr>
        <w:t xml:space="preserve">for</w:t>
      </w:r>
      <w:r>
        <w:rPr>
          <w:rStyle w:val="NormalTok"/>
        </w:rPr>
        <w:t xml:space="preserve"> k </w:t>
      </w:r>
      <w:r>
        <w:rPr>
          <w:rStyle w:val="KeywordTok"/>
        </w:rPr>
        <w:t xml:space="preserve">in</w:t>
      </w:r>
      <w:r>
        <w:rPr>
          <w:rStyle w:val="NormalTok"/>
        </w:rPr>
        <w:t xml:space="preserve"> keys)</w:t>
      </w:r>
      <w:r>
        <w:br/>
      </w:r>
      <w:r>
        <w:rPr>
          <w:rStyle w:val="NormalTok"/>
        </w:rPr>
        <w:t xml:space="preserve">    mean </w:t>
      </w:r>
      <w:r>
        <w:rPr>
          <w:rStyle w:val="OperatorTok"/>
        </w:rPr>
        <w:t xml:space="preserve">=</w:t>
      </w:r>
      <w:r>
        <w:rPr>
          <w:rStyle w:val="NormalTok"/>
        </w:rPr>
        <w:t xml:space="preserve"> </w:t>
      </w:r>
      <w:r>
        <w:rPr>
          <w:rStyle w:val="BuiltInTok"/>
        </w:rPr>
        <w:t xml:space="preserve">len</w:t>
      </w:r>
      <w:r>
        <w:rPr>
          <w:rStyle w:val="NormalTok"/>
        </w:rPr>
        <w:t xml:space="preserve">(keys) </w:t>
      </w:r>
      <w:r>
        <w:rPr>
          <w:rStyle w:val="OperatorTok"/>
        </w:rPr>
        <w:t xml:space="preserve">/</w:t>
      </w:r>
      <w:r>
        <w:rPr>
          <w:rStyle w:val="NormalTok"/>
        </w:rPr>
        <w:t xml:space="preserve"> (</w:t>
      </w:r>
      <w:r>
        <w:rPr>
          <w:rStyle w:val="BuiltInTok"/>
        </w:rPr>
        <w:t xml:space="preserve">len</w:t>
      </w:r>
      <w:r>
        <w:rPr>
          <w:rStyle w:val="NormalTok"/>
        </w:rPr>
        <w:t xml:space="preserve">(ring.weights)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db-big counts as two</w:t>
      </w:r>
      <w:r>
        <w:br/>
      </w:r>
      <w:r>
        <w:rPr>
          <w:rStyle w:val="NormalTok"/>
        </w:rPr>
        <w:t xml:space="preserve">    </w:t>
      </w:r>
      <w:r>
        <w:rPr>
          <w:rStyle w:val="BuiltInTok"/>
        </w:rPr>
        <w:t xml:space="preserve">print</w:t>
      </w:r>
      <w:r>
        <w:rPr>
          <w:rStyle w:val="NormalTok"/>
        </w:rPr>
        <w:t xml:space="preserve">(</w:t>
      </w:r>
      <w:r>
        <w:rPr>
          <w:rStyle w:val="SpecialStringTok"/>
        </w:rPr>
        <w:t xml:space="preserve">f"weighted node: db-big holds </w:t>
      </w:r>
      <w:r>
        <w:rPr>
          <w:rStyle w:val="SpecialCharTok"/>
        </w:rPr>
        <w:t xml:space="preserve">{</w:t>
      </w:r>
      <w:r>
        <w:rPr>
          <w:rStyle w:val="NormalTok"/>
        </w:rPr>
        <w:t xml:space="preserve">load[</w:t>
      </w:r>
      <w:r>
        <w:rPr>
          <w:rStyle w:val="StringTok"/>
        </w:rPr>
        <w:t xml:space="preserve">'db-big'</w:t>
      </w:r>
      <w:r>
        <w:rPr>
          <w:rStyle w:val="NormalTok"/>
        </w:rPr>
        <w:t xml:space="preserve">] </w:t>
      </w:r>
      <w:r>
        <w:rPr>
          <w:rStyle w:val="OperatorTok"/>
        </w:rPr>
        <w:t xml:space="preserve">/</w:t>
      </w:r>
      <w:r>
        <w:rPr>
          <w:rStyle w:val="NormalTok"/>
        </w:rPr>
        <w:t xml:space="preserve"> mean</w:t>
      </w:r>
      <w:r>
        <w:rPr>
          <w:rStyle w:val="SpecialCharTok"/>
        </w:rPr>
        <w:t xml:space="preserve">:.2f}</w:t>
      </w:r>
      <w:r>
        <w:rPr>
          <w:rStyle w:val="SpecialStringTok"/>
        </w:rPr>
        <w:t xml:space="preserve">x a "</w:t>
      </w:r>
      <w:r>
        <w:br/>
      </w:r>
      <w:r>
        <w:rPr>
          <w:rStyle w:val="NormalTok"/>
        </w:rPr>
        <w:t xml:space="preserve">          </w:t>
      </w:r>
      <w:r>
        <w:rPr>
          <w:rStyle w:val="SpecialStringTok"/>
        </w:rPr>
        <w:t xml:space="preserve">f"weight-1 share"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"replicas of user:42 -&gt;"</w:t>
      </w:r>
      <w:r>
        <w:rPr>
          <w:rStyle w:val="NormalTok"/>
        </w:rPr>
        <w:t xml:space="preserve">, ring.preference_list(</w:t>
      </w:r>
      <w:r>
        <w:rPr>
          <w:rStyle w:val="StringTok"/>
        </w:rPr>
        <w:t xml:space="preserve">"user:42"</w:t>
      </w:r>
      <w:r>
        <w:rPr>
          <w:rStyle w:val="NormalTok"/>
        </w:rPr>
        <w:t xml:space="preserve">, </w:t>
      </w:r>
      <w:r>
        <w:rPr>
          <w:rStyle w:val="DecValTok"/>
        </w:rPr>
        <w:t xml:space="preserve">3</w:t>
      </w:r>
      <w:r>
        <w:rPr>
          <w:rStyle w:val="NormalTok"/>
        </w:rPr>
        <w:t xml:space="preserve">))</w:t>
      </w:r>
    </w:p>
    <w:p>
      <w:pPr>
        <w:pStyle w:val="FirstParagraph"/>
      </w:pPr>
      <w:r>
        <w:t xml:space="preserve">Running it with Python 3.8 or later prints:</w:t>
      </w:r>
    </w:p>
    <w:p>
      <w:pPr>
        <w:pStyle w:val="SourceCode"/>
      </w:pPr>
      <w:r>
        <w:rPr>
          <w:rStyle w:val="VerbatimChar"/>
        </w:rPr>
        <w:t xml:space="preserve">add 9th node : 10.85% of keys moved (theory 1/9 = 11.11%); all moved keys went to {'db-8'}</w:t>
      </w:r>
      <w:r>
        <w:br/>
      </w:r>
      <w:r>
        <w:rPr>
          <w:rStyle w:val="VerbatimChar"/>
        </w:rPr>
        <w:t xml:space="preserve">remove db-3  : 9.84% moved, exactly db-3's share (9.84%); spread over 8 survivors, largest receiver took 20%</w:t>
      </w:r>
      <w:r>
        <w:br/>
      </w:r>
      <w:r>
        <w:rPr>
          <w:rStyle w:val="VerbatimChar"/>
        </w:rPr>
        <w:t xml:space="preserve">weighted node: db-big holds 1.88x a weight-1 share</w:t>
      </w:r>
      <w:r>
        <w:br/>
      </w:r>
      <w:r>
        <w:rPr>
          <w:rStyle w:val="VerbatimChar"/>
        </w:rPr>
        <w:t xml:space="preserve">replicas of user:42 -&gt; ['db-0', 'db-5', 'db-big']</w:t>
      </w:r>
    </w:p>
    <w:p>
      <w:pPr>
        <w:pStyle w:val="FirstParagraph"/>
      </w:pPr>
      <w:r>
        <w:t xml:space="preserve">What to notice:</w:t>
      </w:r>
    </w:p>
    <w:p>
      <w:pPr>
        <w:numPr>
          <w:ilvl w:val="0"/>
          <w:numId w:val="1483"/>
        </w:numPr>
        <w:pStyle w:val="Compact"/>
      </w:pPr>
      <w:r>
        <w:t xml:space="preserve">Every moved key went to</w:t>
      </w:r>
      <w:r>
        <w:t xml:space="preserve"> </w:t>
      </w:r>
      <w:r>
        <w:rPr>
          <w:rStyle w:val="VerbatimChar"/>
        </w:rPr>
        <w:t xml:space="preserve">db-8</w:t>
      </w:r>
      <w:r>
        <w:t xml:space="preserve">: monotonicity, observed.</w:t>
      </w:r>
    </w:p>
    <w:p>
      <w:pPr>
        <w:numPr>
          <w:ilvl w:val="0"/>
          <w:numId w:val="1483"/>
        </w:numPr>
        <w:pStyle w:val="Compact"/>
      </w:pPr>
      <w:r>
        <w:t xml:space="preserve">Removal moved exactly the removed node’s</w:t>
      </w:r>
      <w:r>
        <w:t xml:space="preserve"> </w:t>
      </w:r>
      <w:r>
        <w:rPr>
          <w:iCs/>
          <w:i/>
        </w:rPr>
        <w:t xml:space="preserve">actual</w:t>
      </w:r>
      <w:r>
        <w:t xml:space="preserve"> </w:t>
      </w:r>
      <w:r>
        <w:t xml:space="preserve">share, 9.84 % rather than the ideal 11.1 %; §14.8.4 quantifies that randomness.</w:t>
      </w:r>
    </w:p>
    <w:p>
      <w:pPr>
        <w:numPr>
          <w:ilvl w:val="0"/>
          <w:numId w:val="1483"/>
        </w:numPr>
        <w:pStyle w:val="Compact"/>
      </w:pPr>
      <w:r>
        <w:t xml:space="preserve">Those keys landed on all 8 survivors, the largest taking 20 %. With</w:t>
      </w:r>
      <w:r>
        <w:t xml:space="preserve"> </w:t>
      </w:r>
      <m:oMath>
        <m:r>
          <m:t>V</m:t>
        </m:r>
        <m:r>
          <m:rPr>
            <m:sty m:val="p"/>
          </m:rPr>
          <m:t>=</m:t>
        </m:r>
        <m:r>
          <m:t>1</m:t>
        </m:r>
      </m:oMath>
      <w:r>
        <w:t xml:space="preserve">, one neighbor would take 100 %.</w:t>
      </w:r>
    </w:p>
    <w:p>
      <w:pPr>
        <w:numPr>
          <w:ilvl w:val="0"/>
          <w:numId w:val="1483"/>
        </w:numPr>
        <w:pStyle w:val="Compact"/>
      </w:pPr>
      <w:r>
        <w:rPr>
          <w:rStyle w:val="VerbatimChar"/>
        </w:rPr>
        <w:t xml:space="preserve">preference_list</w:t>
      </w:r>
      <w:r>
        <w:t xml:space="preserve"> </w:t>
      </w:r>
      <w:r>
        <w:t xml:space="preserve">skips nodes already chosen, so two replicas never share a machine.</w:t>
      </w:r>
    </w:p>
    <w:p>
      <w:pPr>
        <w:numPr>
          <w:ilvl w:val="0"/>
          <w:numId w:val="1483"/>
        </w:numPr>
        <w:pStyle w:val="Compact"/>
      </w:pPr>
      <w:r>
        <w:t xml:space="preserve">The weight-2 node got</w:t>
      </w:r>
      <w:r>
        <w:t xml:space="preserve"> </w:t>
      </w:r>
      <m:oMath>
        <m:r>
          <m:t>1.88</m:t>
        </m:r>
        <m:r>
          <m:rPr>
            <m:sty m:val="p"/>
          </m:rPr>
          <m:t>×</m:t>
        </m:r>
      </m:oMath>
      <w:r>
        <w:t xml:space="preserve">, not</w:t>
      </w:r>
      <w:r>
        <w:t xml:space="preserve"> </w:t>
      </w:r>
      <m:oMath>
        <m:r>
          <m:t>2</m:t>
        </m:r>
        <m:r>
          <m:rPr>
            <m:sty m:val="p"/>
          </m:rPr>
          <m:t>×</m:t>
        </m:r>
      </m:oMath>
      <w:r>
        <w:t xml:space="preserve">: weights set the</w:t>
      </w:r>
      <w:r>
        <w:t xml:space="preserve"> </w:t>
      </w:r>
      <w:r>
        <w:rPr>
          <w:iCs/>
          <w:i/>
        </w:rPr>
        <w:t xml:space="preserve">expected</w:t>
      </w:r>
      <w:r>
        <w:t xml:space="preserve"> </w:t>
      </w:r>
      <w:r>
        <w:t xml:space="preserve">share.</w:t>
      </w:r>
    </w:p>
    <w:bookmarkEnd w:id="1620"/>
    <w:bookmarkStart w:id="1621" w:name="Xdc026b56b1b353bc5ae5edbbb07b0d421a300f5"/>
    <w:p>
      <w:pPr>
        <w:pStyle w:val="Heading3"/>
      </w:pPr>
      <w:r>
        <w:t xml:space="preserve">14.8.4 Virtual nodes and load balance: a derivation</w:t>
      </w:r>
    </w:p>
    <w:p>
      <w:pPr>
        <w:pStyle w:val="FirstParagraph"/>
      </w:pPr>
      <w:r>
        <w:t xml:space="preserve">With one position per node, §3.3.2 measured the busiest node at</w:t>
      </w:r>
      <w:r>
        <w:t xml:space="preserve"> </w:t>
      </w:r>
      <m:oMath>
        <m:r>
          <m:t>2.6</m:t>
        </m:r>
        <m:r>
          <m:rPr>
            <m:sty m:val="p"/>
          </m:rPr>
          <m:t>×</m:t>
        </m:r>
      </m:oMath>
      <w:r>
        <w:t xml:space="preserve"> </w:t>
      </w:r>
      <w:r>
        <w:t xml:space="preserve">its fair share. Section 3.3.2 also claimed that the relative spread shrinks</w:t>
      </w:r>
      <w:r>
        <w:t xml:space="preserve"> </w:t>
      </w:r>
      <w:r>
        <w:t xml:space="preserve">“</w:t>
      </w:r>
      <w:r>
        <w:t xml:space="preserve">roughly in proportion to</w:t>
      </w:r>
      <w:r>
        <w:t xml:space="preserve"> </w:t>
      </w:r>
      <m:oMath>
        <m:r>
          <m:t>1</m:t>
        </m:r>
        <m:r>
          <m:rPr>
            <m:sty m:val="p"/>
          </m:rPr>
          <m:t>/</m:t>
        </m:r>
        <m:rad>
          <m:radPr>
            <m:degHide m:val="on"/>
          </m:radPr>
          <m:deg/>
          <m:e>
            <m:r>
              <m:t>V</m:t>
            </m:r>
          </m:e>
        </m:rad>
      </m:oMath>
      <w:r>
        <w:t xml:space="preserve">”</w:t>
      </w:r>
      <w:r>
        <w:t xml:space="preserve">. Here is the exact result for the standard model, checked by simulation.</w:t>
      </w:r>
    </w:p>
    <w:p>
      <w:pPr>
        <w:pStyle w:val="BodyText"/>
      </w:pPr>
      <w:r>
        <w:rPr>
          <w:bCs/>
          <w:b/>
        </w:rPr>
        <w:t xml:space="preserve">The model.</w:t>
      </w:r>
      <w:r>
        <w:t xml:space="preserve"> </w:t>
      </w:r>
      <w:r>
        <w:t xml:space="preserve">Assume an ideal hash, so each of the</w:t>
      </w:r>
      <w:r>
        <w:t xml:space="preserve"> </w:t>
      </w:r>
      <m:oMath>
        <m:r>
          <m:t>M</m:t>
        </m:r>
        <m:r>
          <m:rPr>
            <m:sty m:val="p"/>
          </m:rPr>
          <m:t>=</m:t>
        </m:r>
        <m:r>
          <m:t>N</m:t>
        </m:r>
        <m:r>
          <m:t>V</m:t>
        </m:r>
      </m:oMath>
      <w:r>
        <w:t xml:space="preserve"> </w:t>
      </w:r>
      <w:r>
        <w:t xml:space="preserve">vnode positions is independent and uniform on a ring of circumference 1. Each physical node owns</w:t>
      </w:r>
      <w:r>
        <w:t xml:space="preserve"> </w:t>
      </w:r>
      <m:oMath>
        <m:r>
          <m:t>V</m:t>
        </m:r>
      </m:oMath>
      <w:r>
        <w:t xml:space="preserve"> </w:t>
      </w:r>
      <w:r>
        <w:t xml:space="preserve">of them. A node’s</w:t>
      </w:r>
      <w:r>
        <w:t xml:space="preserve"> </w:t>
      </w:r>
      <w:r>
        <w:rPr>
          <w:bCs/>
          <w:b/>
        </w:rPr>
        <w:t xml:space="preserve">load</w:t>
      </w:r>
      <w:r>
        <w:t xml:space="preserve"> </w:t>
      </w:r>
      <m:oMath>
        <m:r>
          <m:t>L</m:t>
        </m:r>
      </m:oMath>
      <w:r>
        <w:t xml:space="preserve"> </w:t>
      </w:r>
      <w:r>
        <w:t xml:space="preserve">is the total length of the arcs ending at its vnodes, which is the fraction of a uniformly hashed key space it receives.</w:t>
      </w:r>
    </w:p>
    <w:p>
      <w:pPr>
        <w:pStyle w:val="BodyText"/>
      </w:pPr>
      <w:r>
        <w:rPr>
          <w:bCs/>
          <w:b/>
        </w:rPr>
        <w:t xml:space="preserve">Step 1 — The arcs are Dirichlet-distributed.</w:t>
      </w:r>
      <w:r>
        <w:t xml:space="preserve"> </w:t>
      </w:r>
      <w:r>
        <w:t xml:space="preserve">Cutting a circle at</w:t>
      </w:r>
      <w:r>
        <w:t xml:space="preserve"> </w:t>
      </w:r>
      <m:oMath>
        <m:r>
          <m:t>M</m:t>
        </m:r>
      </m:oMath>
      <w:r>
        <w:t xml:space="preserve"> </w:t>
      </w:r>
      <w:r>
        <w:t xml:space="preserve">independent uniform points gives</w:t>
      </w:r>
      <w:r>
        <w:t xml:space="preserve"> </w:t>
      </w:r>
      <m:oMath>
        <m:r>
          <m:t>M</m:t>
        </m:r>
      </m:oMath>
      <w:r>
        <w:t xml:space="preserve"> </w:t>
      </w:r>
      <w:r>
        <w:t xml:space="preserve">arc lengths that sum to 1 and are jointly</w:t>
      </w:r>
      <w:r>
        <w:t xml:space="preserve"> </w:t>
      </w:r>
      <m:oMath>
        <m:r>
          <m:rPr>
            <m:nor/>
            <m:sty m:val="p"/>
          </m:rPr>
          <m:t>Dirichlet</m:t>
        </m:r>
        <m:d>
          <m:dPr>
            <m:begChr m:val="("/>
            <m:endChr m:val=")"/>
            <m:sepChr m:val=""/>
            <m:grow/>
          </m:dPr>
          <m:e>
            <m:r>
              <m:t>1</m:t>
            </m:r>
            <m:r>
              <m:rPr>
                <m:sty m:val="p"/>
              </m:rPr>
              <m:t>,</m:t>
            </m:r>
            <m:r>
              <m:rPr>
                <m:sty m:val="p"/>
              </m:rPr>
              <m:t>…</m:t>
            </m:r>
            <m:r>
              <m:rPr>
                <m:sty m:val="p"/>
              </m:rPr>
              <m:t>,</m:t>
            </m:r>
            <m:r>
              <m:t>1</m:t>
            </m:r>
          </m:e>
        </m:d>
      </m:oMath>
      <w:r>
        <w:t xml:space="preserve">: fix one point as the origin by rotational symmetry, and the other</w:t>
      </w:r>
      <w:r>
        <w:t xml:space="preserve"> </w:t>
      </w:r>
      <m:oMath>
        <m:r>
          <m:t>M</m:t>
        </m:r>
        <m:r>
          <m:rPr>
            <m:sty m:val="p"/>
          </m:rPr>
          <m:t>−</m:t>
        </m:r>
        <m:r>
          <m:t>1</m:t>
        </m:r>
      </m:oMath>
      <w:r>
        <w:t xml:space="preserve"> </w:t>
      </w:r>
      <w:r>
        <w:t xml:space="preserve">points cut the unit interval into pieces uniformly distributed on the simplex. This is the classical</w:t>
      </w:r>
      <w:r>
        <w:t xml:space="preserve"> </w:t>
      </w:r>
      <w:r>
        <w:rPr>
          <w:bCs/>
          <w:b/>
        </w:rPr>
        <w:t xml:space="preserve">uniform spacings</w:t>
      </w:r>
      <w:r>
        <w:t xml:space="preserve"> </w:t>
      </w:r>
      <w:r>
        <w:t xml:space="preserve">result [David and Nagaraja 2003]. The arcs are</w:t>
      </w:r>
      <w:r>
        <w:t xml:space="preserve"> </w:t>
      </w:r>
      <w:r>
        <w:rPr>
          <w:iCs/>
          <w:i/>
        </w:rPr>
        <w:t xml:space="preserve">exchangeable</w:t>
      </w:r>
      <w:r>
        <w:t xml:space="preserve">, each with mean</w:t>
      </w:r>
      <w:r>
        <w:t xml:space="preserve"> </w:t>
      </w:r>
      <m:oMath>
        <m:r>
          <m:t>1</m:t>
        </m:r>
        <m:r>
          <m:rPr>
            <m:sty m:val="p"/>
          </m:rPr>
          <m:t>/</m:t>
        </m:r>
        <m:r>
          <m:t>M</m:t>
        </m:r>
      </m:oMath>
      <w:r>
        <w:t xml:space="preserve">.</w:t>
      </w:r>
    </w:p>
    <w:p>
      <w:pPr>
        <w:pStyle w:val="BodyText"/>
      </w:pPr>
      <w:r>
        <w:rPr>
          <w:bCs/>
          <w:b/>
        </w:rPr>
        <w:t xml:space="preserve">Step 2 — A node’s load is a Beta random variable.</w:t>
      </w:r>
      <w:r>
        <w:t xml:space="preserve"> </w:t>
      </w:r>
      <w:r>
        <w:t xml:space="preserve">Which positions belong to which node depends only on labels, independent of where positions fall, so a node’s arcs are in distribution any fixed</w:t>
      </w:r>
      <w:r>
        <w:t xml:space="preserve"> </w:t>
      </w:r>
      <m:oMath>
        <m:r>
          <m:t>V</m:t>
        </m:r>
      </m:oMath>
      <w:r>
        <w:t xml:space="preserve"> </w:t>
      </w:r>
      <w:r>
        <w:t xml:space="preserve">of the</w:t>
      </w:r>
      <w:r>
        <w:t xml:space="preserve"> </w:t>
      </w:r>
      <m:oMath>
        <m:r>
          <m:t>M</m:t>
        </m:r>
      </m:oMath>
      <w:r>
        <w:t xml:space="preserve"> </w:t>
      </w:r>
      <w:r>
        <w:t xml:space="preserve">exchangeable arcs. By the</w:t>
      </w:r>
      <w:r>
        <w:t xml:space="preserve"> </w:t>
      </w:r>
      <w:r>
        <w:rPr>
          <w:bCs/>
          <w:b/>
        </w:rPr>
        <w:t xml:space="preserve">aggregation property</w:t>
      </w:r>
      <w:r>
        <w:t xml:space="preserve"> </w:t>
      </w:r>
      <w:r>
        <w:t xml:space="preserve">of the Dirichlet distribution, their sum is</w:t>
      </w:r>
      <w:r>
        <w:t xml:space="preserve"> </w:t>
      </w:r>
      <m:oMath>
        <m:r>
          <m:rPr>
            <m:nor/>
            <m:sty m:val="p"/>
          </m:rPr>
          <m:t>Beta</m:t>
        </m:r>
        <m:d>
          <m:dPr>
            <m:begChr m:val="("/>
            <m:endChr m:val=")"/>
            <m:sepChr m:val=""/>
            <m:grow/>
          </m:dPr>
          <m:e>
            <m:r>
              <m:t>V</m:t>
            </m:r>
            <m:r>
              <m:rPr>
                <m:sty m:val="p"/>
              </m:rPr>
              <m:t>,</m:t>
            </m:r>
            <m:r>
              <m:t>M</m:t>
            </m:r>
            <m:r>
              <m:rPr>
                <m:sty m:val="p"/>
              </m:rPr>
              <m:t>−</m:t>
            </m:r>
            <m:r>
              <m:t>V</m:t>
            </m:r>
          </m:e>
        </m:d>
      </m:oMath>
      <w:r>
        <w:t xml:space="preserve">:</w:t>
      </w:r>
    </w:p>
    <w:p>
      <w:pPr>
        <w:pStyle w:val="BodyText"/>
      </w:pPr>
      <m:oMathPara>
        <m:oMathParaPr>
          <m:jc m:val="center"/>
        </m:oMathParaPr>
        <m:oMath>
          <m:r>
            <m:t>L</m:t>
          </m:r>
          <m:r>
            <m:rPr>
              <m:sty m:val="p"/>
            </m:rPr>
            <m:t>∼</m:t>
          </m:r>
          <m:r>
            <m:rPr>
              <m:nor/>
              <m:sty m:val="p"/>
            </m:rPr>
            <m:t>Beta</m:t>
          </m:r>
          <m:d>
            <m:dPr>
              <m:begChr m:val="("/>
              <m:endChr m:val=")"/>
              <m:sepChr m:val=""/>
              <m:grow/>
            </m:dPr>
            <m:e>
              <m:r>
                <m:t>V</m:t>
              </m:r>
              <m:r>
                <m:rPr>
                  <m:sty m:val="p"/>
                </m:rPr>
                <m:t>,</m:t>
              </m:r>
              <m:r>
                <m:t> </m:t>
              </m:r>
              <m:d>
                <m:dPr>
                  <m:begChr m:val="("/>
                  <m:endChr m:val=")"/>
                  <m:sepChr m:val=""/>
                  <m:grow/>
                </m:dPr>
                <m:e>
                  <m:r>
                    <m:t>N</m:t>
                  </m:r>
                  <m:r>
                    <m:rPr>
                      <m:sty m:val="p"/>
                    </m:rPr>
                    <m:t>−</m:t>
                  </m:r>
                  <m:r>
                    <m:t>1</m:t>
                  </m:r>
                </m:e>
              </m:d>
              <m:r>
                <m:t>V</m:t>
              </m:r>
            </m:e>
          </m:d>
          <m:r>
            <m:rPr>
              <m:sty m:val="p"/>
            </m:rPr>
            <m:t>.</m:t>
          </m:r>
        </m:oMath>
      </m:oMathPara>
    </w:p>
    <w:p>
      <w:pPr>
        <w:pStyle w:val="FirstParagraph"/>
      </w:pPr>
      <w:r>
        <w:rPr>
          <w:bCs/>
          <w:b/>
        </w:rPr>
        <w:t xml:space="preserve">Step 3 — Mean and variance.</w:t>
      </w:r>
      <w:r>
        <w:t xml:space="preserve"> </w:t>
      </w:r>
      <w:r>
        <w:t xml:space="preserve">For</w:t>
      </w:r>
      <w:r>
        <w:t xml:space="preserve"> </w:t>
      </w:r>
      <m:oMath>
        <m:r>
          <m:rPr>
            <m:nor/>
            <m:sty m:val="p"/>
          </m:rPr>
          <m:t>Beta</m:t>
        </m:r>
        <m:d>
          <m:dPr>
            <m:begChr m:val="("/>
            <m:endChr m:val=")"/>
            <m:sepChr m:val=""/>
            <m:grow/>
          </m:dPr>
          <m:e>
            <m:r>
              <m:t>a</m:t>
            </m:r>
            <m:r>
              <m:rPr>
                <m:sty m:val="p"/>
              </m:rPr>
              <m:t>,</m:t>
            </m:r>
            <m:r>
              <m:t>b</m:t>
            </m:r>
          </m:e>
        </m:d>
      </m:oMath>
      <w:r>
        <w:t xml:space="preserve">, the mean is</w:t>
      </w:r>
      <w:r>
        <w:t xml:space="preserve"> </w:t>
      </w:r>
      <m:oMath>
        <m:r>
          <m:t>a</m:t>
        </m:r>
        <m:r>
          <m:rPr>
            <m:sty m:val="p"/>
          </m:rPr>
          <m:t>/</m:t>
        </m:r>
        <m:d>
          <m:dPr>
            <m:begChr m:val="("/>
            <m:endChr m:val=")"/>
            <m:sepChr m:val=""/>
            <m:grow/>
          </m:dPr>
          <m:e>
            <m:r>
              <m:t>a</m:t>
            </m:r>
            <m:r>
              <m:rPr>
                <m:sty m:val="p"/>
              </m:rPr>
              <m:t>+</m:t>
            </m:r>
            <m:r>
              <m:t>b</m:t>
            </m:r>
          </m:e>
        </m:d>
      </m:oMath>
      <w:r>
        <w:t xml:space="preserve"> </w:t>
      </w:r>
      <w:r>
        <w:t xml:space="preserve">and the variance is</w:t>
      </w:r>
      <w:r>
        <w:t xml:space="preserve"> </w:t>
      </w:r>
      <m:oMath>
        <m:r>
          <m:t>a</m:t>
        </m:r>
        <m:r>
          <m:t>b</m:t>
        </m:r>
        <m:r>
          <m:rPr>
            <m:sty m:val="p"/>
          </m:rPr>
          <m:t>/</m:t>
        </m:r>
        <m:d>
          <m:dPr>
            <m:begChr m:val="("/>
            <m:endChr m:val=")"/>
            <m:sepChr m:val=""/>
            <m:grow/>
          </m:dPr>
          <m:e>
            <m:sSup>
              <m:e>
                <m:d>
                  <m:dPr>
                    <m:begChr m:val="("/>
                    <m:endChr m:val=")"/>
                    <m:sepChr m:val=""/>
                    <m:grow/>
                  </m:dPr>
                  <m:e>
                    <m:r>
                      <m:t>a</m:t>
                    </m:r>
                    <m:r>
                      <m:rPr>
                        <m:sty m:val="p"/>
                      </m:rPr>
                      <m:t>+</m:t>
                    </m:r>
                    <m:r>
                      <m:t>b</m:t>
                    </m:r>
                  </m:e>
                </m:d>
              </m:e>
              <m:sup>
                <m:r>
                  <m:t>2</m:t>
                </m:r>
              </m:sup>
            </m:sSup>
            <m:d>
              <m:dPr>
                <m:begChr m:val="("/>
                <m:endChr m:val=")"/>
                <m:sepChr m:val=""/>
                <m:grow/>
              </m:dPr>
              <m:e>
                <m:r>
                  <m:t>a</m:t>
                </m:r>
                <m:r>
                  <m:rPr>
                    <m:sty m:val="p"/>
                  </m:rPr>
                  <m:t>+</m:t>
                </m:r>
                <m:r>
                  <m:t>b</m:t>
                </m:r>
                <m:r>
                  <m:rPr>
                    <m:sty m:val="p"/>
                  </m:rPr>
                  <m:t>+</m:t>
                </m:r>
                <m:r>
                  <m:t>1</m:t>
                </m:r>
              </m:e>
            </m:d>
          </m:e>
        </m:d>
      </m:oMath>
      <w:r>
        <w:t xml:space="preserve">. With</w:t>
      </w:r>
      <w:r>
        <w:t xml:space="preserve"> </w:t>
      </w:r>
      <m:oMath>
        <m:r>
          <m:t>a</m:t>
        </m:r>
        <m:r>
          <m:rPr>
            <m:sty m:val="p"/>
          </m:rPr>
          <m:t>=</m:t>
        </m:r>
        <m:r>
          <m:t>V</m:t>
        </m:r>
      </m:oMath>
      <w:r>
        <w:t xml:space="preserve"> </w:t>
      </w:r>
      <w:r>
        <w:t xml:space="preserve">and</w:t>
      </w:r>
      <w:r>
        <w:t xml:space="preserve"> </w:t>
      </w:r>
      <m:oMath>
        <m:r>
          <m:t>b</m:t>
        </m:r>
        <m:r>
          <m:rPr>
            <m:sty m:val="p"/>
          </m:rPr>
          <m:t>=</m:t>
        </m:r>
        <m:d>
          <m:dPr>
            <m:begChr m:val="("/>
            <m:endChr m:val=")"/>
            <m:sepChr m:val=""/>
            <m:grow/>
          </m:dPr>
          <m:e>
            <m:r>
              <m:t>N</m:t>
            </m:r>
            <m:r>
              <m:rPr>
                <m:sty m:val="p"/>
              </m:rPr>
              <m:t>−</m:t>
            </m:r>
            <m:r>
              <m:t>1</m:t>
            </m:r>
          </m:e>
        </m:d>
        <m:r>
          <m:t>V</m:t>
        </m:r>
      </m:oMath>
      <w:r>
        <w:t xml:space="preserve">:</w:t>
      </w:r>
    </w:p>
    <w:p>
      <w:pPr>
        <w:pStyle w:val="BodyText"/>
      </w:pPr>
      <m:oMathPara>
        <m:oMathParaPr>
          <m:jc m:val="center"/>
        </m:oMathParaPr>
        <m:oMath>
          <m:r>
            <m:t>E</m:t>
          </m:r>
          <m:d>
            <m:dPr>
              <m:begChr m:val="["/>
              <m:endChr m:val="]"/>
              <m:sepChr m:val=""/>
              <m:grow/>
            </m:dPr>
            <m:e>
              <m:r>
                <m:t>L</m:t>
              </m:r>
            </m:e>
          </m:d>
          <m:r>
            <m:rPr>
              <m:sty m:val="p"/>
            </m:rPr>
            <m:t>=</m:t>
          </m:r>
          <m:f>
            <m:fPr>
              <m:type m:val="bar"/>
            </m:fPr>
            <m:num>
              <m:r>
                <m:t>1</m:t>
              </m:r>
            </m:num>
            <m:den>
              <m:r>
                <m:t>N</m:t>
              </m:r>
            </m:den>
          </m:f>
          <m:r>
            <m:rPr>
              <m:sty m:val="p"/>
            </m:rPr>
            <m:t>,</m:t>
          </m:r>
          <m:r>
            <m:t>  </m:t>
          </m:r>
          <m:r>
            <m:rPr>
              <m:nor/>
              <m:sty m:val="p"/>
            </m:rPr>
            <m:t>Var</m:t>
          </m:r>
          <m:d>
            <m:dPr>
              <m:begChr m:val="["/>
              <m:endChr m:val="]"/>
              <m:sepChr m:val=""/>
              <m:grow/>
            </m:dPr>
            <m:e>
              <m:r>
                <m:t>L</m:t>
              </m:r>
            </m:e>
          </m:d>
          <m:r>
            <m:rPr>
              <m:sty m:val="p"/>
            </m:rPr>
            <m:t>=</m:t>
          </m:r>
          <m:f>
            <m:fPr>
              <m:type m:val="bar"/>
            </m:fPr>
            <m:num>
              <m:r>
                <m:t>N</m:t>
              </m:r>
              <m:r>
                <m:rPr>
                  <m:sty m:val="p"/>
                </m:rPr>
                <m:t>−</m:t>
              </m:r>
              <m:r>
                <m:t>1</m:t>
              </m:r>
            </m:num>
            <m:den>
              <m:sSup>
                <m:e>
                  <m:r>
                    <m:t>N</m:t>
                  </m:r>
                </m:e>
                <m:sup>
                  <m:r>
                    <m:t>2</m:t>
                  </m:r>
                </m:sup>
              </m:sSup>
              <m:r>
                <m:t> </m:t>
              </m:r>
              <m:d>
                <m:dPr>
                  <m:begChr m:val="("/>
                  <m:endChr m:val=")"/>
                  <m:sepChr m:val=""/>
                  <m:grow/>
                </m:dPr>
                <m:e>
                  <m:r>
                    <m:t>N</m:t>
                  </m:r>
                  <m:r>
                    <m:t>V</m:t>
                  </m:r>
                  <m:r>
                    <m:rPr>
                      <m:sty m:val="p"/>
                    </m:rPr>
                    <m:t>+</m:t>
                  </m:r>
                  <m:r>
                    <m:t>1</m:t>
                  </m:r>
                </m:e>
              </m:d>
            </m:den>
          </m:f>
          <m:r>
            <m:rPr>
              <m:sty m:val="p"/>
            </m:rPr>
            <m:t>.</m:t>
          </m:r>
        </m:oMath>
      </m:oMathPara>
    </w:p>
    <w:p>
      <w:pPr>
        <w:pStyle w:val="FirstParagraph"/>
      </w:pPr>
      <w:r>
        <w:rPr>
          <w:bCs/>
          <w:b/>
        </w:rPr>
        <w:t xml:space="preserve">Step 4 — Relative spread.</w:t>
      </w:r>
      <w:r>
        <w:t xml:space="preserve"> </w:t>
      </w:r>
      <w:r>
        <w:t xml:space="preserve">Divide the standard deviation by the mean to get the coefficient of variation.</w:t>
      </w:r>
    </w:p>
    <w:p>
      <w:pPr>
        <w:pStyle w:val="CalloutFormula"/>
      </w:pPr>
      <w:r>
        <w:rPr>
          <w:bCs/>
          <w:b/>
        </w:rPr>
        <w:t xml:space="preserve">FORMULA</w:t>
      </w:r>
    </w:p>
    <w:p>
      <w:pPr>
        <w:pStyle w:val="CalloutFormula"/>
      </w:pPr>
      <w:r>
        <w:rPr>
          <w:bCs/>
          <w:b/>
        </w:rPr>
        <w:t xml:space="preserve">Load imbalance on a ring with virtual nodes</w:t>
      </w:r>
    </w:p>
    <w:p>
      <w:pPr>
        <w:pStyle w:val="CalloutFormula"/>
      </w:pPr>
      <m:oMathPara>
        <m:oMathParaPr>
          <m:jc m:val="center"/>
        </m:oMathParaPr>
        <m:oMath>
          <m:r>
            <m:rPr>
              <m:nor/>
              <m:sty m:val="p"/>
            </m:rPr>
            <m:t>CV</m:t>
          </m:r>
          <m:d>
            <m:dPr>
              <m:begChr m:val="("/>
              <m:endChr m:val=")"/>
              <m:sepChr m:val=""/>
              <m:grow/>
            </m:dPr>
            <m:e>
              <m:r>
                <m:t>N</m:t>
              </m:r>
              <m:r>
                <m:rPr>
                  <m:sty m:val="p"/>
                </m:rPr>
                <m:t>,</m:t>
              </m:r>
              <m:r>
                <m:t>V</m:t>
              </m:r>
            </m:e>
          </m:d>
          <m:r>
            <m:rPr>
              <m:sty m:val="p"/>
            </m:rPr>
            <m:t>=</m:t>
          </m:r>
          <m:f>
            <m:fPr>
              <m:type m:val="bar"/>
            </m:fPr>
            <m:num>
              <m:rad>
                <m:radPr>
                  <m:degHide m:val="on"/>
                </m:radPr>
                <m:deg/>
                <m:e>
                  <m:r>
                    <m:rPr>
                      <m:nor/>
                      <m:sty m:val="p"/>
                    </m:rPr>
                    <m:t>Var</m:t>
                  </m:r>
                  <m:d>
                    <m:dPr>
                      <m:begChr m:val="["/>
                      <m:endChr m:val="]"/>
                      <m:sepChr m:val=""/>
                      <m:grow/>
                    </m:dPr>
                    <m:e>
                      <m:r>
                        <m:t>L</m:t>
                      </m:r>
                    </m:e>
                  </m:d>
                </m:e>
              </m:rad>
            </m:num>
            <m:den>
              <m:r>
                <m:t>E</m:t>
              </m:r>
              <m:d>
                <m:dPr>
                  <m:begChr m:val="["/>
                  <m:endChr m:val="]"/>
                  <m:sepChr m:val=""/>
                  <m:grow/>
                </m:dPr>
                <m:e>
                  <m:r>
                    <m:t>L</m:t>
                  </m:r>
                </m:e>
              </m:d>
            </m:den>
          </m:f>
          <m:r>
            <m:rPr>
              <m:sty m:val="p"/>
            </m:rPr>
            <m:t>=</m:t>
          </m:r>
          <m:rad>
            <m:radPr>
              <m:degHide m:val="on"/>
            </m:radPr>
            <m:deg/>
            <m:e>
              <m:f>
                <m:fPr>
                  <m:type m:val="bar"/>
                </m:fPr>
                <m:num>
                  <m:r>
                    <m:t>N</m:t>
                  </m:r>
                  <m:r>
                    <m:rPr>
                      <m:sty m:val="p"/>
                    </m:rPr>
                    <m:t>−</m:t>
                  </m:r>
                  <m:r>
                    <m:t>1</m:t>
                  </m:r>
                </m:num>
                <m:den>
                  <m:r>
                    <m:t>N</m:t>
                  </m:r>
                  <m:r>
                    <m:t>V</m:t>
                  </m:r>
                  <m:r>
                    <m:rPr>
                      <m:sty m:val="p"/>
                    </m:rPr>
                    <m:t>+</m:t>
                  </m:r>
                  <m:r>
                    <m:t>1</m:t>
                  </m:r>
                </m:den>
              </m:f>
            </m:e>
          </m:rad>
          <m:r>
            <m:t> </m:t>
          </m:r>
          <m:r>
            <m:rPr>
              <m:sty m:val="p"/>
            </m:rPr>
            <m:t>≈</m:t>
          </m:r>
          <m:r>
            <m:t> </m:t>
          </m:r>
          <m:f>
            <m:fPr>
              <m:type m:val="bar"/>
            </m:fPr>
            <m:num>
              <m:r>
                <m:t>1</m:t>
              </m:r>
            </m:num>
            <m:den>
              <m:rad>
                <m:radPr>
                  <m:degHide m:val="on"/>
                </m:radPr>
                <m:deg/>
                <m:e>
                  <m:r>
                    <m:t>V</m:t>
                  </m:r>
                </m:e>
              </m:rad>
            </m:den>
          </m:f>
          <m:r>
            <m:t> </m:t>
          </m:r>
          <m:d>
            <m:dPr>
              <m:begChr m:val="("/>
              <m:endChr m:val=")"/>
              <m:sepChr m:val=""/>
              <m:grow/>
            </m:dPr>
            <m:e>
              <m:r>
                <m:t>N</m:t>
              </m:r>
              <m:r>
                <m:rPr>
                  <m:sty m:val="p"/>
                </m:rPr>
                <m:t>≫</m:t>
              </m:r>
              <m:r>
                <m:t>1</m:t>
              </m:r>
            </m:e>
          </m:d>
        </m:oMath>
      </m:oMathPara>
    </w:p>
    <w:p>
      <w:pPr>
        <w:pStyle w:val="CalloutFormula"/>
      </w:pPr>
      <m:oMathPara>
        <m:oMathParaPr>
          <m:jc m:val="center"/>
        </m:oMathParaPr>
        <m:oMath>
          <m:f>
            <m:fPr>
              <m:type m:val="bar"/>
            </m:fPr>
            <m:num>
              <m:r>
                <m:t>E</m:t>
              </m:r>
              <m:d>
                <m:dPr>
                  <m:begChr m:val="["/>
                  <m:endChr m:val="]"/>
                  <m:sepChr m:val=""/>
                  <m:grow/>
                </m:dPr>
                <m:e>
                  <m:limLow>
                    <m:e>
                      <m:r>
                        <m:rPr>
                          <m:sty m:val="p"/>
                        </m:rPr>
                        <m:t>max</m:t>
                      </m:r>
                    </m:e>
                    <m:lim>
                      <m:r>
                        <m:t>i</m:t>
                      </m:r>
                    </m:lim>
                  </m:limLow>
                  <m:sSub>
                    <m:e>
                      <m:r>
                        <m:t>L</m:t>
                      </m:r>
                    </m:e>
                    <m:sub>
                      <m:r>
                        <m:t>i</m:t>
                      </m:r>
                    </m:sub>
                  </m:sSub>
                </m:e>
              </m:d>
            </m:num>
            <m:den>
              <m:r>
                <m:t>1</m:t>
              </m:r>
              <m:r>
                <m:rPr>
                  <m:sty m:val="p"/>
                </m:rPr>
                <m:t>/</m:t>
              </m:r>
              <m:r>
                <m:t>N</m:t>
              </m:r>
            </m:den>
          </m:f>
          <m:r>
            <m:rPr>
              <m:sty m:val="p"/>
            </m:rPr>
            <m:t>≈</m:t>
          </m:r>
          <m:r>
            <m:t>1</m:t>
          </m:r>
          <m:r>
            <m:rPr>
              <m:sty m:val="p"/>
            </m:rPr>
            <m:t>+</m:t>
          </m:r>
          <m:sSub>
            <m:e>
              <m:r>
                <m:t>z</m:t>
              </m:r>
            </m:e>
            <m:sub>
              <m:r>
                <m:t>N</m:t>
              </m:r>
            </m:sub>
          </m:sSub>
          <m:r>
            <m:rPr>
              <m:sty m:val="p"/>
            </m:rPr>
            <m:t>⋅</m:t>
          </m:r>
          <m:r>
            <m:rPr>
              <m:nor/>
              <m:sty m:val="p"/>
            </m:rPr>
            <m:t>CV</m:t>
          </m:r>
          <m:d>
            <m:dPr>
              <m:begChr m:val="("/>
              <m:endChr m:val=")"/>
              <m:sepChr m:val=""/>
              <m:grow/>
            </m:dPr>
            <m:e>
              <m:r>
                <m:t>N</m:t>
              </m:r>
              <m:r>
                <m:rPr>
                  <m:sty m:val="p"/>
                </m:rPr>
                <m:t>,</m:t>
              </m:r>
              <m:r>
                <m:t>V</m:t>
              </m:r>
            </m:e>
          </m:d>
          <m:r>
            <m:t> </m:t>
          </m:r>
          <m:d>
            <m:dPr>
              <m:begChr m:val="("/>
              <m:endChr m:val=")"/>
              <m:sepChr m:val=""/>
              <m:grow/>
            </m:dPr>
            <m:e>
              <m:r>
                <m:t>V</m:t>
              </m:r>
              <m:r>
                <m:rPr>
                  <m:sty m:val="p"/>
                </m:rPr>
                <m:t>≳</m:t>
              </m:r>
              <m:r>
                <m:t>16</m:t>
              </m:r>
            </m:e>
          </m:d>
          <m:r>
            <m:rPr>
              <m:sty m:val="p"/>
            </m:rPr>
            <m:t>,</m:t>
          </m:r>
          <m:r>
            <m:t>  </m:t>
          </m:r>
          <m:f>
            <m:fPr>
              <m:type m:val="bar"/>
            </m:fPr>
            <m:num>
              <m:r>
                <m:t>E</m:t>
              </m:r>
              <m:d>
                <m:dPr>
                  <m:begChr m:val="["/>
                  <m:endChr m:val="]"/>
                  <m:sepChr m:val=""/>
                  <m:grow/>
                </m:dPr>
                <m:e>
                  <m:limLow>
                    <m:e>
                      <m:r>
                        <m:rPr>
                          <m:sty m:val="p"/>
                        </m:rPr>
                        <m:t>max</m:t>
                      </m:r>
                    </m:e>
                    <m:lim>
                      <m:r>
                        <m:t>i</m:t>
                      </m:r>
                    </m:lim>
                  </m:limLow>
                  <m:sSub>
                    <m:e>
                      <m:r>
                        <m:t>L</m:t>
                      </m:r>
                    </m:e>
                    <m:sub>
                      <m:r>
                        <m:t>i</m:t>
                      </m:r>
                    </m:sub>
                  </m:sSub>
                </m:e>
              </m:d>
            </m:num>
            <m:den>
              <m:r>
                <m:t>1</m:t>
              </m:r>
              <m:r>
                <m:rPr>
                  <m:sty m:val="p"/>
                </m:rPr>
                <m:t>/</m:t>
              </m:r>
              <m:r>
                <m:t>N</m:t>
              </m:r>
            </m:den>
          </m:f>
          <m:r>
            <m:rPr>
              <m:sty m:val="p"/>
            </m:rPr>
            <m:t>=</m:t>
          </m:r>
          <m:sSub>
            <m:e>
              <m:r>
                <m:t>H</m:t>
              </m:r>
            </m:e>
            <m:sub>
              <m:r>
                <m:t>N</m:t>
              </m:r>
            </m:sub>
          </m:sSub>
          <m:r>
            <m:t> </m:t>
          </m:r>
          <m:d>
            <m:dPr>
              <m:begChr m:val="("/>
              <m:endChr m:val=")"/>
              <m:sepChr m:val=""/>
              <m:grow/>
            </m:dPr>
            <m:e>
              <m:r>
                <m:t>V</m:t>
              </m:r>
              <m:r>
                <m:rPr>
                  <m:sty m:val="p"/>
                </m:rPr>
                <m:t>=</m:t>
              </m:r>
              <m:r>
                <m:t>1</m:t>
              </m:r>
            </m:e>
          </m:d>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L</m:t>
              </m:r>
            </m:oMath>
            <w:r>
              <w:t xml:space="preserve">,</w:t>
            </w:r>
            <w:r>
              <w:t xml:space="preserve"> </w:t>
            </w:r>
            <m:oMath>
              <m:sSub>
                <m:e>
                  <m:r>
                    <m:t>L</m:t>
                  </m:r>
                </m:e>
                <m:sub>
                  <m:r>
                    <m:t>i</m:t>
                  </m:r>
                </m:sub>
              </m:sSub>
            </m:oMath>
          </w:p>
        </w:tc>
        <w:tc>
          <w:tcPr/>
          <w:p>
            <w:pPr>
              <w:pStyle w:val="Compact"/>
              <w:jc w:val="left"/>
            </w:pPr>
            <w:r>
              <w:t xml:space="preserve">Fraction of the key space owned by a node (by node</w:t>
            </w:r>
            <w:r>
              <w:t xml:space="preserve"> </w:t>
            </w:r>
            <m:oMath>
              <m:r>
                <m:t>i</m:t>
              </m:r>
            </m:oMath>
            <w:r>
              <w:t xml:space="preserve">)</w:t>
            </w:r>
          </w:p>
        </w:tc>
        <w:tc>
          <w:tcPr/>
          <w:p>
            <w:pPr>
              <w:pStyle w:val="Compact"/>
              <w:jc w:val="left"/>
            </w:pPr>
            <w:r>
              <w:t xml:space="preserve">dimensionless (0–1)</w:t>
            </w:r>
          </w:p>
        </w:tc>
      </w:tr>
      <w:tr>
        <w:tc>
          <w:tcPr/>
          <w:p>
            <w:pPr>
              <w:pStyle w:val="Compact"/>
              <w:jc w:val="left"/>
            </w:pPr>
            <m:oMath>
              <m:r>
                <m:t>N</m:t>
              </m:r>
            </m:oMath>
          </w:p>
        </w:tc>
        <w:tc>
          <w:tcPr/>
          <w:p>
            <w:pPr>
              <w:pStyle w:val="Compact"/>
              <w:jc w:val="left"/>
            </w:pPr>
            <w:r>
              <w:t xml:space="preserve">Number of physical nodes</w:t>
            </w:r>
          </w:p>
        </w:tc>
        <w:tc>
          <w:tcPr/>
          <w:p>
            <w:pPr>
              <w:pStyle w:val="Compact"/>
              <w:jc w:val="left"/>
            </w:pPr>
            <w:r>
              <w:t xml:space="preserve">nodes</w:t>
            </w:r>
          </w:p>
        </w:tc>
      </w:tr>
      <w:tr>
        <w:tc>
          <w:tcPr/>
          <w:p>
            <w:pPr>
              <w:pStyle w:val="Compact"/>
              <w:jc w:val="left"/>
            </w:pPr>
            <m:oMath>
              <m:r>
                <m:t>V</m:t>
              </m:r>
            </m:oMath>
          </w:p>
        </w:tc>
        <w:tc>
          <w:tcPr/>
          <w:p>
            <w:pPr>
              <w:pStyle w:val="Compact"/>
              <w:jc w:val="left"/>
            </w:pPr>
            <w:r>
              <w:t xml:space="preserve">Virtual nodes per physical node</w:t>
            </w:r>
          </w:p>
        </w:tc>
        <w:tc>
          <w:tcPr/>
          <w:p>
            <w:pPr>
              <w:pStyle w:val="Compact"/>
              <w:jc w:val="left"/>
            </w:pPr>
            <w:r>
              <w:t xml:space="preserve">vnodes/node</w:t>
            </w:r>
          </w:p>
        </w:tc>
      </w:tr>
      <w:tr>
        <w:tc>
          <w:tcPr/>
          <w:p>
            <w:pPr>
              <w:pStyle w:val="Compact"/>
              <w:jc w:val="left"/>
            </w:pPr>
            <m:oMath>
              <m:r>
                <m:rPr>
                  <m:nor/>
                  <m:sty m:val="p"/>
                </m:rPr>
                <m:t>CV</m:t>
              </m:r>
            </m:oMath>
          </w:p>
        </w:tc>
        <w:tc>
          <w:tcPr/>
          <w:p>
            <w:pPr>
              <w:pStyle w:val="Compact"/>
              <w:jc w:val="left"/>
            </w:pPr>
            <w:r>
              <w:t xml:space="preserve">Coefficient of variation: standard deviation of a node’s load divided by its mean</w:t>
            </w:r>
          </w:p>
        </w:tc>
        <w:tc>
          <w:tcPr/>
          <w:p>
            <w:pPr>
              <w:pStyle w:val="Compact"/>
              <w:jc w:val="left"/>
            </w:pPr>
            <w:r>
              <w:t xml:space="preserve">dimensionless</w:t>
            </w:r>
          </w:p>
        </w:tc>
      </w:tr>
      <w:tr>
        <w:tc>
          <w:tcPr/>
          <w:p>
            <w:pPr>
              <w:pStyle w:val="Compact"/>
              <w:jc w:val="left"/>
            </w:pPr>
            <m:oMath>
              <m:sSub>
                <m:e>
                  <m:r>
                    <m:t>z</m:t>
                  </m:r>
                </m:e>
                <m:sub>
                  <m:r>
                    <m:t>N</m:t>
                  </m:r>
                </m:sub>
              </m:sSub>
            </m:oMath>
          </w:p>
        </w:tc>
        <w:tc>
          <w:tcPr/>
          <w:p>
            <w:pPr>
              <w:pStyle w:val="Compact"/>
              <w:jc w:val="left"/>
            </w:pPr>
            <w:r>
              <w:t xml:space="preserve">Expected maximum of</w:t>
            </w:r>
            <w:r>
              <w:t xml:space="preserve"> </w:t>
            </w:r>
            <m:oMath>
              <m:r>
                <m:t>N</m:t>
              </m:r>
            </m:oMath>
            <w:r>
              <w:t xml:space="preserve"> </w:t>
            </w:r>
            <w:r>
              <w:t xml:space="preserve">independent standard normal variables: 1.16 for</w:t>
            </w:r>
            <w:r>
              <w:t xml:space="preserve"> </w:t>
            </w:r>
            <m:oMath>
              <m:r>
                <m:t>N</m:t>
              </m:r>
              <m:r>
                <m:rPr>
                  <m:sty m:val="p"/>
                </m:rPr>
                <m:t>=</m:t>
              </m:r>
              <m:r>
                <m:t>5</m:t>
              </m:r>
            </m:oMath>
            <w:r>
              <w:t xml:space="preserve">, 1.54 for</w:t>
            </w:r>
            <w:r>
              <w:t xml:space="preserve"> </w:t>
            </w:r>
            <m:oMath>
              <m:r>
                <m:t>N</m:t>
              </m:r>
              <m:r>
                <m:rPr>
                  <m:sty m:val="p"/>
                </m:rPr>
                <m:t>=</m:t>
              </m:r>
              <m:r>
                <m:t>10</m:t>
              </m:r>
            </m:oMath>
            <w:r>
              <w:t xml:space="preserve">, 2.51 for</w:t>
            </w:r>
            <w:r>
              <w:t xml:space="preserve"> </w:t>
            </w:r>
            <m:oMath>
              <m:r>
                <m:t>N</m:t>
              </m:r>
              <m:r>
                <m:rPr>
                  <m:sty m:val="p"/>
                </m:rPr>
                <m:t>=</m:t>
              </m:r>
              <m:r>
                <m:t>100</m:t>
              </m:r>
            </m:oMath>
            <w:r>
              <w:t xml:space="preserve">, 3.24 for</w:t>
            </w:r>
            <w:r>
              <w:t xml:space="preserve"> </w:t>
            </w:r>
            <m:oMath>
              <m:r>
                <m:t>N</m:t>
              </m:r>
              <m:r>
                <m:rPr>
                  <m:sty m:val="p"/>
                </m:rPr>
                <m:t>=</m:t>
              </m:r>
              <m:r>
                <m:t>1</m:t>
              </m:r>
              <m:r>
                <m:rPr>
                  <m:sty m:val="p"/>
                </m:rPr>
                <m:t>,</m:t>
              </m:r>
              <m:r>
                <m:t>000</m:t>
              </m:r>
            </m:oMath>
          </w:p>
        </w:tc>
        <w:tc>
          <w:tcPr/>
          <w:p>
            <w:pPr>
              <w:pStyle w:val="Compact"/>
              <w:jc w:val="left"/>
            </w:pPr>
            <w:r>
              <w:t xml:space="preserve">dimensionless</w:t>
            </w:r>
          </w:p>
        </w:tc>
      </w:tr>
      <w:tr>
        <w:tc>
          <w:tcPr/>
          <w:p>
            <w:pPr>
              <w:pStyle w:val="Compact"/>
              <w:jc w:val="left"/>
            </w:pPr>
            <m:oMath>
              <m:sSub>
                <m:e>
                  <m:r>
                    <m:t>H</m:t>
                  </m:r>
                </m:e>
                <m:sub>
                  <m:r>
                    <m:t>N</m:t>
                  </m:r>
                </m:sub>
              </m:sSub>
            </m:oMath>
          </w:p>
        </w:tc>
        <w:tc>
          <w:tcPr/>
          <w:p>
            <w:pPr>
              <w:pStyle w:val="Compact"/>
              <w:jc w:val="left"/>
            </w:pPr>
            <m:oMath>
              <m:r>
                <m:t>N</m:t>
              </m:r>
            </m:oMath>
            <w:r>
              <w:t xml:space="preserve">-th harmonic number</w:t>
            </w:r>
            <w:r>
              <w:t xml:space="preserve"> </w:t>
            </w:r>
            <m:oMath>
              <m:r>
                <m:t>1</m:t>
              </m:r>
              <m:r>
                <m:rPr>
                  <m:sty m:val="p"/>
                </m:rPr>
                <m:t>+</m:t>
              </m:r>
              <m:f>
                <m:fPr>
                  <m:type m:val="lin"/>
                </m:fPr>
                <m:num>
                  <m:r>
                    <m:t>1</m:t>
                  </m:r>
                </m:num>
                <m:den>
                  <m:r>
                    <m:t>2</m:t>
                  </m:r>
                </m:den>
              </m:f>
              <m:r>
                <m:rPr>
                  <m:sty m:val="p"/>
                </m:rPr>
                <m:t>+</m:t>
              </m:r>
              <m:r>
                <m:rPr>
                  <m:sty m:val="p"/>
                </m:rPr>
                <m:t>…</m:t>
              </m:r>
              <m:r>
                <m:rPr>
                  <m:sty m:val="p"/>
                </m:rPr>
                <m:t>+</m:t>
              </m:r>
              <m:f>
                <m:fPr>
                  <m:type m:val="lin"/>
                </m:fPr>
                <m:num>
                  <m:r>
                    <m:t>1</m:t>
                  </m:r>
                </m:num>
                <m:den>
                  <m:r>
                    <m:t>N</m:t>
                  </m:r>
                </m:den>
              </m:f>
              <m:r>
                <m:rPr>
                  <m:sty m:val="p"/>
                </m:rPr>
                <m:t>≈</m:t>
              </m:r>
              <m:r>
                <m:rPr>
                  <m:sty m:val="p"/>
                </m:rPr>
                <m:t>ln</m:t>
              </m:r>
              <m:r>
                <m:t>N</m:t>
              </m:r>
              <m:r>
                <m:rPr>
                  <m:sty m:val="p"/>
                </m:rPr>
                <m:t>+</m:t>
              </m:r>
              <m:r>
                <m:t>0.577</m:t>
              </m:r>
            </m:oMath>
          </w:p>
        </w:tc>
        <w:tc>
          <w:tcPr/>
          <w:p>
            <w:pPr>
              <w:pStyle w:val="Compact"/>
              <w:jc w:val="left"/>
            </w:pPr>
            <w:r>
              <w:t xml:space="preserve">dimensionless</w:t>
            </w:r>
          </w:p>
        </w:tc>
      </w:tr>
    </w:tbl>
    <w:p>
      <w:pPr>
        <w:pStyle w:val="BodyText"/>
      </w:pPr>
      <w:r>
        <w:t xml:space="preserve">Three remarks:</w:t>
      </w:r>
    </w:p>
    <w:p>
      <w:pPr>
        <w:numPr>
          <w:ilvl w:val="0"/>
          <w:numId w:val="1484"/>
        </w:numPr>
        <w:pStyle w:val="Compact"/>
      </w:pPr>
      <w:r>
        <w:rPr>
          <w:bCs/>
          <w:b/>
        </w:rPr>
        <w:t xml:space="preserve">Why</w:t>
      </w:r>
      <w:r>
        <w:rPr>
          <w:bCs/>
          <w:b/>
        </w:rPr>
        <w:t xml:space="preserve"> </w:t>
      </w:r>
      <m:oMath>
        <m:r>
          <m:t>1</m:t>
        </m:r>
        <m:r>
          <m:rPr>
            <m:sty m:val="p"/>
          </m:rPr>
          <m:t>/</m:t>
        </m:r>
        <m:rad>
          <m:radPr>
            <m:degHide m:val="on"/>
          </m:radPr>
          <m:deg/>
          <m:e>
            <m:r>
              <m:t>V</m:t>
            </m:r>
          </m:e>
        </m:rad>
      </m:oMath>
      <w:r>
        <w:rPr>
          <w:bCs/>
          <w:b/>
        </w:rPr>
        <w:t xml:space="preserve">.</w:t>
      </w:r>
      <w:r>
        <w:t xml:space="preserve"> </w:t>
      </w:r>
      <w:r>
        <w:t xml:space="preserve">Each arc behaves almost like an independent exponential variable, whose standard deviation equals its mean. A sum of</w:t>
      </w:r>
      <w:r>
        <w:t xml:space="preserve"> </w:t>
      </w:r>
      <m:oMath>
        <m:r>
          <m:t>V</m:t>
        </m:r>
      </m:oMath>
      <w:r>
        <w:t xml:space="preserve"> </w:t>
      </w:r>
      <w:r>
        <w:t xml:space="preserve">of them has mean</w:t>
      </w:r>
      <w:r>
        <w:t xml:space="preserve"> </w:t>
      </w:r>
      <m:oMath>
        <m:r>
          <m:rPr>
            <m:sty m:val="p"/>
          </m:rPr>
          <m:t>∝</m:t>
        </m:r>
        <m:r>
          <m:t>V</m:t>
        </m:r>
      </m:oMath>
      <w:r>
        <w:t xml:space="preserve"> </w:t>
      </w:r>
      <w:r>
        <w:t xml:space="preserve">and standard deviation</w:t>
      </w:r>
      <w:r>
        <w:t xml:space="preserve"> </w:t>
      </w:r>
      <m:oMath>
        <m:r>
          <m:rPr>
            <m:sty m:val="p"/>
          </m:rPr>
          <m:t>∝</m:t>
        </m:r>
        <m:rad>
          <m:radPr>
            <m:degHide m:val="on"/>
          </m:radPr>
          <m:deg/>
          <m:e>
            <m:r>
              <m:t>V</m:t>
            </m:r>
          </m:e>
        </m:rad>
      </m:oMath>
      <w:r>
        <w:t xml:space="preserve">. The factor</w:t>
      </w:r>
      <w:r>
        <w:t xml:space="preserve"> </w:t>
      </w:r>
      <m:oMath>
        <m:d>
          <m:dPr>
            <m:begChr m:val="("/>
            <m:endChr m:val=")"/>
            <m:sepChr m:val=""/>
            <m:grow/>
          </m:dPr>
          <m:e>
            <m:r>
              <m:t>N</m:t>
            </m:r>
            <m:r>
              <m:rPr>
                <m:sty m:val="p"/>
              </m:rPr>
              <m:t>−</m:t>
            </m:r>
            <m:r>
              <m:t>1</m:t>
            </m:r>
          </m:e>
        </m:d>
        <m:r>
          <m:rPr>
            <m:sty m:val="p"/>
          </m:rPr>
          <m:t>/</m:t>
        </m:r>
        <m:r>
          <m:t>N</m:t>
        </m:r>
      </m:oMath>
      <w:r>
        <w:t xml:space="preserve"> </w:t>
      </w:r>
      <w:r>
        <w:t xml:space="preserve">appears because the loads sum to 1.</w:t>
      </w:r>
    </w:p>
    <w:p>
      <w:pPr>
        <w:numPr>
          <w:ilvl w:val="0"/>
          <w:numId w:val="1484"/>
        </w:numPr>
        <w:pStyle w:val="Compact"/>
      </w:pPr>
      <w:r>
        <w:rPr>
          <w:bCs/>
          <w:b/>
        </w:rPr>
        <w:t xml:space="preserve">The busiest node.</w:t>
      </w:r>
      <w:r>
        <w:t xml:space="preserve"> </w:t>
      </w:r>
      <w:r>
        <w:t xml:space="preserve">For large</w:t>
      </w:r>
      <w:r>
        <w:t xml:space="preserve"> </w:t>
      </w:r>
      <m:oMath>
        <m:r>
          <m:t>V</m:t>
        </m:r>
      </m:oMath>
      <w:r>
        <w:t xml:space="preserve"> </w:t>
      </w:r>
      <w:r>
        <w:t xml:space="preserve">each load is nearly normal, so the busiest of</w:t>
      </w:r>
      <w:r>
        <w:t xml:space="preserve"> </w:t>
      </w:r>
      <m:oMath>
        <m:r>
          <m:t>N</m:t>
        </m:r>
      </m:oMath>
      <w:r>
        <w:t xml:space="preserve"> </w:t>
      </w:r>
      <w:r>
        <w:t xml:space="preserve">sits about</w:t>
      </w:r>
      <w:r>
        <w:t xml:space="preserve"> </w:t>
      </w:r>
      <m:oMath>
        <m:sSub>
          <m:e>
            <m:r>
              <m:t>z</m:t>
            </m:r>
          </m:e>
          <m:sub>
            <m:r>
              <m:t>N</m:t>
            </m:r>
          </m:sub>
        </m:sSub>
      </m:oMath>
      <w:r>
        <w:t xml:space="preserve"> </w:t>
      </w:r>
      <w:r>
        <w:t xml:space="preserve">standard deviations above the mean;</w:t>
      </w:r>
      <w:r>
        <w:t xml:space="preserve"> </w:t>
      </w:r>
      <m:oMath>
        <m:sSub>
          <m:e>
            <m:r>
              <m:t>z</m:t>
            </m:r>
          </m:e>
          <m:sub>
            <m:r>
              <m:t>N</m:t>
            </m:r>
          </m:sub>
        </m:sSub>
      </m:oMath>
      <w:r>
        <w:t xml:space="preserve"> </w:t>
      </w:r>
      <w:r>
        <w:t xml:space="preserve">grows slowly, roughly as</w:t>
      </w:r>
      <w:r>
        <w:t xml:space="preserve"> </w:t>
      </w:r>
      <m:oMath>
        <m:rad>
          <m:radPr>
            <m:degHide m:val="on"/>
          </m:radPr>
          <m:deg/>
          <m:e>
            <m:r>
              <m:t>2</m:t>
            </m:r>
            <m:r>
              <m:rPr>
                <m:sty m:val="p"/>
              </m:rPr>
              <m:t>ln</m:t>
            </m:r>
            <m:r>
              <m:t>N</m:t>
            </m:r>
          </m:e>
        </m:rad>
      </m:oMath>
      <w:r>
        <w:t xml:space="preserve">. For</w:t>
      </w:r>
      <w:r>
        <w:t xml:space="preserve"> </w:t>
      </w:r>
      <m:oMath>
        <m:r>
          <m:t>V</m:t>
        </m:r>
        <m:r>
          <m:rPr>
            <m:sty m:val="p"/>
          </m:rPr>
          <m:t>=</m:t>
        </m:r>
        <m:r>
          <m:t>1</m:t>
        </m:r>
      </m:oMath>
      <w:r>
        <w:t xml:space="preserve">, the longest of</w:t>
      </w:r>
      <w:r>
        <w:t xml:space="preserve"> </w:t>
      </w:r>
      <m:oMath>
        <m:r>
          <m:t>N</m:t>
        </m:r>
      </m:oMath>
      <w:r>
        <w:t xml:space="preserve"> </w:t>
      </w:r>
      <w:r>
        <w:t xml:space="preserve">uniform spacings has expected length</w:t>
      </w:r>
      <w:r>
        <w:t xml:space="preserve"> </w:t>
      </w:r>
      <m:oMath>
        <m:sSub>
          <m:e>
            <m:r>
              <m:t>H</m:t>
            </m:r>
          </m:e>
          <m:sub>
            <m:r>
              <m:t>N</m:t>
            </m:r>
          </m:sub>
        </m:sSub>
        <m:r>
          <m:rPr>
            <m:sty m:val="p"/>
          </m:rPr>
          <m:t>/</m:t>
        </m:r>
        <m:r>
          <m:t>N</m:t>
        </m:r>
      </m:oMath>
      <w:r>
        <w:t xml:space="preserve">. The normal approximation slightly underestimates the maximum because the Beta distribution is right-skewed.</w:t>
      </w:r>
    </w:p>
    <w:p>
      <w:pPr>
        <w:numPr>
          <w:ilvl w:val="0"/>
          <w:numId w:val="1484"/>
        </w:numPr>
        <w:pStyle w:val="Compact"/>
      </w:pPr>
      <w:r>
        <w:rPr>
          <w:bCs/>
          <w:b/>
        </w:rPr>
        <w:t xml:space="preserve">Agreement with published results.</w:t>
      </w:r>
      <w:r>
        <w:t xml:space="preserve"> </w:t>
      </w:r>
      <w:r>
        <w:t xml:space="preserve">Lamping and Veach report a 3.2 % standard error for a ring with 1,000 points per bucket, with about 1 % of buckets still at least 8 % off average [Lamping and Veach 2014]. The formula gives</w:t>
      </w:r>
      <w:r>
        <w:t xml:space="preserve"> </w:t>
      </w:r>
      <m:oMath>
        <m:rad>
          <m:radPr>
            <m:degHide m:val="on"/>
          </m:radPr>
          <m:deg/>
          <m:e>
            <m:r>
              <m:t>1</m:t>
            </m:r>
            <m:r>
              <m:rPr>
                <m:sty m:val="p"/>
              </m:rPr>
              <m:t>/</m:t>
            </m:r>
            <m:r>
              <m:t>1000</m:t>
            </m:r>
          </m:e>
        </m:rad>
        <m:r>
          <m:rPr>
            <m:sty m:val="p"/>
          </m:rPr>
          <m:t>≈</m:t>
        </m:r>
        <m:r>
          <m:t>3.16</m:t>
        </m:r>
      </m:oMath>
      <w:r>
        <w:t xml:space="preserve"> </w:t>
      </w:r>
      <w:r>
        <w:t xml:space="preserve">%, and a two-sided 1 % normal tail sits at</w:t>
      </w:r>
      <w:r>
        <w:t xml:space="preserve"> </w:t>
      </w:r>
      <m:oMath>
        <m:r>
          <m:t>2.58</m:t>
        </m:r>
        <m:r>
          <m:rPr>
            <m:sty m:val="p"/>
          </m:rPr>
          <m:t>×</m:t>
        </m:r>
        <m:r>
          <m:t>3.16</m:t>
        </m:r>
        <m:r>
          <m:rPr>
            <m:sty m:val="p"/>
          </m:rPr>
          <m:t>%</m:t>
        </m:r>
        <m:r>
          <m:rPr>
            <m:sty m:val="p"/>
          </m:rPr>
          <m:t>≈</m:t>
        </m:r>
        <m:r>
          <m:t>8.1</m:t>
        </m:r>
      </m:oMath>
      <w:r>
        <w:t xml:space="preserve"> </w:t>
      </w:r>
      <w:r>
        <w:t xml:space="preserve">%. Karger et al. proved the asymptotic version: a logarithmic number of points per cache keeps every share within a constant factor of fair with high probability [Karger et al. 1997].</w:t>
      </w:r>
    </w:p>
    <w:p>
      <w:pPr>
        <w:pStyle w:val="CalloutExample"/>
      </w:pPr>
      <w:r>
        <w:rPr>
          <w:bCs/>
          <w:b/>
        </w:rPr>
        <w:t xml:space="preserve">WORKED EXAMPLE</w:t>
      </w:r>
    </w:p>
    <w:p>
      <w:pPr>
        <w:pStyle w:val="CalloutExample"/>
      </w:pPr>
      <w:r>
        <w:rPr>
          <w:bCs/>
          <w:b/>
        </w:rPr>
        <w:t xml:space="preserve">Worked example — Choosing</w:t>
      </w:r>
      <w:r>
        <w:rPr>
          <w:bCs/>
          <w:b/>
        </w:rPr>
        <w:t xml:space="preserve"> </w:t>
      </w:r>
      <m:oMath>
        <m:r>
          <m:t>V</m:t>
        </m:r>
      </m:oMath>
      <w:r>
        <w:rPr>
          <w:bCs/>
          <w:b/>
        </w:rPr>
        <w:t xml:space="preserve"> </w:t>
      </w:r>
      <w:r>
        <w:rPr>
          <w:bCs/>
          <w:b/>
        </w:rPr>
        <w:t xml:space="preserve">for a 100-node cluster.</w:t>
      </w:r>
      <w:r>
        <w:t xml:space="preserve"> </w:t>
      </w:r>
      <w:r>
        <w:t xml:space="preserve">You want the busiest of</w:t>
      </w:r>
      <w:r>
        <w:t xml:space="preserve"> </w:t>
      </w:r>
      <m:oMath>
        <m:r>
          <m:t>N</m:t>
        </m:r>
        <m:r>
          <m:rPr>
            <m:sty m:val="p"/>
          </m:rPr>
          <m:t>=</m:t>
        </m:r>
        <m:r>
          <m:t>100</m:t>
        </m:r>
      </m:oMath>
      <w:r>
        <w:t xml:space="preserve"> </w:t>
      </w:r>
      <w:r>
        <w:t xml:space="preserve">nodes to carry at most 10 % more than the mean, so</w:t>
      </w:r>
      <w:r>
        <w:t xml:space="preserve"> </w:t>
      </w:r>
      <m:oMath>
        <m:r>
          <m:t>E</m:t>
        </m:r>
        <m:d>
          <m:dPr>
            <m:begChr m:val="["/>
            <m:endChr m:val="]"/>
            <m:sepChr m:val=""/>
            <m:grow/>
          </m:dPr>
          <m:e>
            <m:r>
              <m:rPr>
                <m:sty m:val="p"/>
              </m:rPr>
              <m:t>max</m:t>
            </m:r>
          </m:e>
        </m:d>
        <m:r>
          <m:rPr>
            <m:sty m:val="p"/>
          </m:rPr>
          <m:t>/</m:t>
        </m:r>
        <m:r>
          <m:rPr>
            <m:nor/>
            <m:sty m:val="p"/>
          </m:rPr>
          <m:t>mean</m:t>
        </m:r>
        <m:r>
          <m:rPr>
            <m:sty m:val="p"/>
          </m:rPr>
          <m:t>≤</m:t>
        </m:r>
        <m:r>
          <m:t>1.10</m:t>
        </m:r>
      </m:oMath>
      <w:r>
        <w:t xml:space="preserve">.</w:t>
      </w:r>
    </w:p>
    <w:p>
      <w:pPr>
        <w:numPr>
          <w:ilvl w:val="0"/>
          <w:numId w:val="1485"/>
        </w:numPr>
        <w:pStyle w:val="Compact"/>
      </w:pPr>
      <w:r>
        <w:t xml:space="preserve">Requirement:</w:t>
      </w:r>
      <w:r>
        <w:t xml:space="preserve"> </w:t>
      </w:r>
      <m:oMath>
        <m:sSub>
          <m:e>
            <m:r>
              <m:t>z</m:t>
            </m:r>
          </m:e>
          <m:sub>
            <m:r>
              <m:t>100</m:t>
            </m:r>
          </m:sub>
        </m:sSub>
        <m:r>
          <m:rPr>
            <m:sty m:val="p"/>
          </m:rPr>
          <m:t>⋅</m:t>
        </m:r>
        <m:r>
          <m:rPr>
            <m:nor/>
            <m:sty m:val="p"/>
          </m:rPr>
          <m:t>CV</m:t>
        </m:r>
        <m:r>
          <m:rPr>
            <m:sty m:val="p"/>
          </m:rPr>
          <m:t>≤</m:t>
        </m:r>
        <m:r>
          <m:t>0.10</m:t>
        </m:r>
      </m:oMath>
      <w:r>
        <w:t xml:space="preserve">, so</w:t>
      </w:r>
      <w:r>
        <w:t xml:space="preserve"> </w:t>
      </w:r>
      <m:oMath>
        <m:r>
          <m:rPr>
            <m:nor/>
            <m:sty m:val="p"/>
          </m:rPr>
          <m:t>CV</m:t>
        </m:r>
        <m:r>
          <m:rPr>
            <m:sty m:val="p"/>
          </m:rPr>
          <m:t>≤</m:t>
        </m:r>
        <m:r>
          <m:t>0.10</m:t>
        </m:r>
        <m:r>
          <m:rPr>
            <m:sty m:val="p"/>
          </m:rPr>
          <m:t>/</m:t>
        </m:r>
        <m:r>
          <m:t>2.51</m:t>
        </m:r>
        <m:r>
          <m:rPr>
            <m:sty m:val="p"/>
          </m:rPr>
          <m:t>=</m:t>
        </m:r>
        <m:r>
          <m:t>0.0398</m:t>
        </m:r>
      </m:oMath>
      <w:r>
        <w:t xml:space="preserve">.</w:t>
      </w:r>
    </w:p>
    <w:p>
      <w:pPr>
        <w:numPr>
          <w:ilvl w:val="0"/>
          <w:numId w:val="1485"/>
        </w:numPr>
        <w:pStyle w:val="Compact"/>
      </w:pPr>
      <w:r>
        <w:t xml:space="preserve">Solve</w:t>
      </w:r>
      <w:r>
        <w:t xml:space="preserve"> </w:t>
      </w:r>
      <m:oMath>
        <m:rad>
          <m:radPr>
            <m:degHide m:val="on"/>
          </m:radPr>
          <m:deg/>
          <m:e>
            <m:d>
              <m:dPr>
                <m:begChr m:val="("/>
                <m:endChr m:val=")"/>
                <m:sepChr m:val=""/>
                <m:grow/>
              </m:dPr>
              <m:e>
                <m:r>
                  <m:t>N</m:t>
                </m:r>
                <m:r>
                  <m:rPr>
                    <m:sty m:val="p"/>
                  </m:rPr>
                  <m:t>−</m:t>
                </m:r>
                <m:r>
                  <m:t>1</m:t>
                </m:r>
              </m:e>
            </m:d>
            <m:r>
              <m:rPr>
                <m:sty m:val="p"/>
              </m:rPr>
              <m:t>/</m:t>
            </m:r>
            <m:d>
              <m:dPr>
                <m:begChr m:val="("/>
                <m:endChr m:val=")"/>
                <m:sepChr m:val=""/>
                <m:grow/>
              </m:dPr>
              <m:e>
                <m:r>
                  <m:t>N</m:t>
                </m:r>
                <m:r>
                  <m:t>V</m:t>
                </m:r>
                <m:r>
                  <m:rPr>
                    <m:sty m:val="p"/>
                  </m:rPr>
                  <m:t>+</m:t>
                </m:r>
                <m:r>
                  <m:t>1</m:t>
                </m:r>
              </m:e>
            </m:d>
          </m:e>
        </m:rad>
        <m:r>
          <m:rPr>
            <m:sty m:val="p"/>
          </m:rPr>
          <m:t>≤</m:t>
        </m:r>
        <m:r>
          <m:t>0.0398</m:t>
        </m:r>
      </m:oMath>
      <w:r>
        <w:t xml:space="preserve">:</w:t>
      </w:r>
      <w:r>
        <w:t xml:space="preserve"> </w:t>
      </w:r>
      <m:oMath>
        <m:d>
          <m:dPr>
            <m:begChr m:val="("/>
            <m:endChr m:val=")"/>
            <m:sepChr m:val=""/>
            <m:grow/>
          </m:dPr>
          <m:e>
            <m:r>
              <m:t>N</m:t>
            </m:r>
            <m:r>
              <m:t>V</m:t>
            </m:r>
            <m:r>
              <m:rPr>
                <m:sty m:val="p"/>
              </m:rPr>
              <m:t>+</m:t>
            </m:r>
            <m:r>
              <m:t>1</m:t>
            </m:r>
          </m:e>
        </m:d>
        <m:r>
          <m:rPr>
            <m:sty m:val="p"/>
          </m:rPr>
          <m:t>≥</m:t>
        </m:r>
        <m:r>
          <m:t>99</m:t>
        </m:r>
        <m:r>
          <m:rPr>
            <m:sty m:val="p"/>
          </m:rPr>
          <m:t>/</m:t>
        </m:r>
        <m:sSup>
          <m:e>
            <m:r>
              <m:t>0.0398</m:t>
            </m:r>
          </m:e>
          <m:sup>
            <m:r>
              <m:t>2</m:t>
            </m:r>
          </m:sup>
        </m:sSup>
        <m:r>
          <m:rPr>
            <m:sty m:val="p"/>
          </m:rPr>
          <m:t>=</m:t>
        </m:r>
        <m:r>
          <m:t>99</m:t>
        </m:r>
        <m:r>
          <m:rPr>
            <m:sty m:val="p"/>
          </m:rPr>
          <m:t>/</m:t>
        </m:r>
        <m:r>
          <m:t>0.001584</m:t>
        </m:r>
        <m:r>
          <m:rPr>
            <m:sty m:val="p"/>
          </m:rPr>
          <m:t>≈</m:t>
        </m:r>
        <m:r>
          <m:t>62</m:t>
        </m:r>
        <m:r>
          <m:rPr>
            <m:sty m:val="p"/>
          </m:rPr>
          <m:t>,</m:t>
        </m:r>
        <m:r>
          <m:t>500</m:t>
        </m:r>
      </m:oMath>
      <w:r>
        <w:t xml:space="preserve">, so</w:t>
      </w:r>
      <w:r>
        <w:t xml:space="preserve"> </w:t>
      </w:r>
      <m:oMath>
        <m:r>
          <m:t>V</m:t>
        </m:r>
        <m:r>
          <m:rPr>
            <m:sty m:val="p"/>
          </m:rPr>
          <m:t>≥</m:t>
        </m:r>
        <m:r>
          <m:t>625</m:t>
        </m:r>
      </m:oMath>
      <w:r>
        <w:t xml:space="preserve">.</w:t>
      </w:r>
    </w:p>
    <w:p>
      <w:pPr>
        <w:numPr>
          <w:ilvl w:val="0"/>
          <w:numId w:val="1485"/>
        </w:numPr>
        <w:pStyle w:val="Compact"/>
      </w:pPr>
      <w:r>
        <w:t xml:space="preserve">Check a common default,</w:t>
      </w:r>
      <w:r>
        <w:t xml:space="preserve"> </w:t>
      </w:r>
      <m:oMath>
        <m:r>
          <m:t>V</m:t>
        </m:r>
        <m:r>
          <m:rPr>
            <m:sty m:val="p"/>
          </m:rPr>
          <m:t>=</m:t>
        </m:r>
        <m:r>
          <m:t>256</m:t>
        </m:r>
      </m:oMath>
      <w:r>
        <w:t xml:space="preserve">:</w:t>
      </w:r>
      <w:r>
        <w:t xml:space="preserve"> </w:t>
      </w:r>
      <m:oMath>
        <m:r>
          <m:rPr>
            <m:nor/>
            <m:sty m:val="p"/>
          </m:rPr>
          <m:t>CV</m:t>
        </m:r>
        <m:r>
          <m:rPr>
            <m:sty m:val="p"/>
          </m:rPr>
          <m:t>=</m:t>
        </m:r>
        <m:rad>
          <m:radPr>
            <m:degHide m:val="on"/>
          </m:radPr>
          <m:deg/>
          <m:e>
            <m:r>
              <m:t>99</m:t>
            </m:r>
            <m:r>
              <m:rPr>
                <m:sty m:val="p"/>
              </m:rPr>
              <m:t>/</m:t>
            </m:r>
            <m:r>
              <m:t>25</m:t>
            </m:r>
            <m:r>
              <m:rPr>
                <m:sty m:val="p"/>
              </m:rPr>
              <m:t>,</m:t>
            </m:r>
            <m:r>
              <m:t>601</m:t>
            </m:r>
          </m:e>
        </m:rad>
        <m:r>
          <m:rPr>
            <m:sty m:val="p"/>
          </m:rPr>
          <m:t>=</m:t>
        </m:r>
        <m:r>
          <m:t>0.0622</m:t>
        </m:r>
      </m:oMath>
      <w:r>
        <w:t xml:space="preserve">, and</w:t>
      </w:r>
      <w:r>
        <w:t xml:space="preserve"> </w:t>
      </w:r>
      <m:oMath>
        <m:r>
          <m:t>E</m:t>
        </m:r>
        <m:d>
          <m:dPr>
            <m:begChr m:val="["/>
            <m:endChr m:val="]"/>
            <m:sepChr m:val=""/>
            <m:grow/>
          </m:dPr>
          <m:e>
            <m:r>
              <m:rPr>
                <m:sty m:val="p"/>
              </m:rPr>
              <m:t>max</m:t>
            </m:r>
          </m:e>
        </m:d>
        <m:r>
          <m:rPr>
            <m:sty m:val="p"/>
          </m:rPr>
          <m:t>/</m:t>
        </m:r>
        <m:r>
          <m:rPr>
            <m:nor/>
            <m:sty m:val="p"/>
          </m:rPr>
          <m:t>mean</m:t>
        </m:r>
        <m:r>
          <m:rPr>
            <m:sty m:val="p"/>
          </m:rPr>
          <m:t>≈</m:t>
        </m:r>
        <m:r>
          <m:t>1</m:t>
        </m:r>
        <m:r>
          <m:rPr>
            <m:sty m:val="p"/>
          </m:rPr>
          <m:t>+</m:t>
        </m:r>
        <m:r>
          <m:t>2.51</m:t>
        </m:r>
        <m:r>
          <m:rPr>
            <m:sty m:val="p"/>
          </m:rPr>
          <m:t>×</m:t>
        </m:r>
        <m:r>
          <m:t>0.0622</m:t>
        </m:r>
        <m:r>
          <m:rPr>
            <m:sty m:val="p"/>
          </m:rPr>
          <m:t>=</m:t>
        </m:r>
        <m:r>
          <m:t>1.156</m:t>
        </m:r>
      </m:oMath>
      <w:r>
        <w:t xml:space="preserve">. A 30-ring simulation gives 1.17.</w:t>
      </w:r>
    </w:p>
    <w:p>
      <w:pPr>
        <w:numPr>
          <w:ilvl w:val="0"/>
          <w:numId w:val="1485"/>
        </w:numPr>
        <w:pStyle w:val="Compact"/>
      </w:pPr>
      <w:r>
        <w:t xml:space="preserve">Check</w:t>
      </w:r>
      <w:r>
        <w:t xml:space="preserve"> </w:t>
      </w:r>
      <m:oMath>
        <m:r>
          <m:t>V</m:t>
        </m:r>
        <m:r>
          <m:rPr>
            <m:sty m:val="p"/>
          </m:rPr>
          <m:t>=</m:t>
        </m:r>
        <m:r>
          <m:t>1</m:t>
        </m:r>
      </m:oMath>
      <w:r>
        <w:t xml:space="preserve">:</w:t>
      </w:r>
      <w:r>
        <w:t xml:space="preserve"> </w:t>
      </w:r>
      <m:oMath>
        <m:r>
          <m:t>E</m:t>
        </m:r>
        <m:d>
          <m:dPr>
            <m:begChr m:val="["/>
            <m:endChr m:val="]"/>
            <m:sepChr m:val=""/>
            <m:grow/>
          </m:dPr>
          <m:e>
            <m:r>
              <m:rPr>
                <m:sty m:val="p"/>
              </m:rPr>
              <m:t>max</m:t>
            </m:r>
          </m:e>
        </m:d>
        <m:r>
          <m:rPr>
            <m:sty m:val="p"/>
          </m:rPr>
          <m:t>/</m:t>
        </m:r>
        <m:r>
          <m:rPr>
            <m:nor/>
            <m:sty m:val="p"/>
          </m:rPr>
          <m:t>mean</m:t>
        </m:r>
        <m:r>
          <m:rPr>
            <m:sty m:val="p"/>
          </m:rPr>
          <m:t>=</m:t>
        </m:r>
        <m:sSub>
          <m:e>
            <m:r>
              <m:t>H</m:t>
            </m:r>
          </m:e>
          <m:sub>
            <m:r>
              <m:t>100</m:t>
            </m:r>
          </m:sub>
        </m:sSub>
        <m:r>
          <m:rPr>
            <m:sty m:val="p"/>
          </m:rPr>
          <m:t>≈</m:t>
        </m:r>
        <m:r>
          <m:t>5.19</m:t>
        </m:r>
      </m:oMath>
      <w:r>
        <w:t xml:space="preserve">. The busiest node would carry over five times its fair share.</w:t>
      </w:r>
    </w:p>
    <w:p>
      <w:pPr>
        <w:numPr>
          <w:ilvl w:val="0"/>
          <w:numId w:val="1485"/>
        </w:numPr>
        <w:pStyle w:val="Compact"/>
      </w:pPr>
      <w:r>
        <w:t xml:space="preserve">Memory for</w:t>
      </w:r>
      <w:r>
        <w:t xml:space="preserve"> </w:t>
      </w:r>
      <m:oMath>
        <m:r>
          <m:t>V</m:t>
        </m:r>
        <m:r>
          <m:rPr>
            <m:sty m:val="p"/>
          </m:rPr>
          <m:t>=</m:t>
        </m:r>
        <m:r>
          <m:t>625</m:t>
        </m:r>
      </m:oMath>
      <w:r>
        <w:t xml:space="preserve">: 62,500 positions × about 16 bytes ≈ 1 MB per router, which is negligible.</w:t>
      </w:r>
    </w:p>
    <w:p>
      <w:pPr>
        <w:pStyle w:val="CalloutExample"/>
      </w:pPr>
      <w:r>
        <w:rPr>
          <w:bCs/>
          <w:b/>
        </w:rPr>
        <w:t xml:space="preserve">Interpretation.</w:t>
      </w:r>
      <w:r>
        <w:t xml:space="preserve"> </w:t>
      </w:r>
      <w:r>
        <w:t xml:space="preserve">Halving the imbalance costs four times the vnodes.</w:t>
      </w:r>
      <w:r>
        <w:t xml:space="preserve"> </w:t>
      </w:r>
      <w:r>
        <w:rPr>
          <w:bCs/>
          <w:b/>
        </w:rPr>
        <w:t xml:space="preserve">Engineering implication.</w:t>
      </w:r>
      <w:r>
        <w:t xml:space="preserve"> </w:t>
      </w:r>
      <w:r>
        <w:t xml:space="preserve">Either provision 15–20 % headroom per node with a few hundred vnodes, or place partitions deliberately: fixed equal-sized partitions (§14.9), token allocation, or bounded-load hashing (§14.8.6). More vnodes also mean more ranges to stream, repair and gossip.</w:t>
      </w:r>
    </w:p>
    <w:p>
      <w:pPr>
        <w:pStyle w:val="BodyText"/>
      </w:pPr>
      <w:r>
        <w:t xml:space="preserve">The experiment below builds 200 random rings of 10 nodes for each</w:t>
      </w:r>
      <w:r>
        <w:t xml:space="preserve"> </w:t>
      </w:r>
      <m:oMath>
        <m:r>
          <m:t>V</m:t>
        </m:r>
      </m:oMath>
      <w:r>
        <w:t xml:space="preserve">, computes each node’s exact share from the arc lengths and compares with the formula.</w:t>
      </w:r>
    </w:p>
    <w:p>
      <w:pPr>
        <w:pStyle w:val="SourceCode"/>
      </w:pPr>
      <w:r>
        <w:rPr>
          <w:rStyle w:val="CommentTok"/>
        </w:rPr>
        <w:t xml:space="preserve">"""How load imbalance on a hash ring shrinks as virtual nodes V grow.</w:t>
      </w:r>
      <w:r>
        <w:br/>
      </w:r>
      <w:r>
        <w:br/>
      </w:r>
      <w:r>
        <w:rPr>
          <w:rStyle w:val="CommentTok"/>
        </w:rPr>
        <w:t xml:space="preserve">For each V, build many independent rings of N nodes, compute every node's</w:t>
      </w:r>
      <w:r>
        <w:br/>
      </w:r>
      <w:r>
        <w:rPr>
          <w:rStyle w:val="CommentTok"/>
        </w:rPr>
        <w:t xml:space="preserve">exact share of the key space (the total length of the arcs it owns) and</w:t>
      </w:r>
      <w:r>
        <w:br/>
      </w:r>
      <w:r>
        <w:rPr>
          <w:rStyle w:val="CommentTok"/>
        </w:rPr>
        <w:t xml:space="preserve">compare the spread with the closed form sqrt((N-1)/(N*V+1)).</w:t>
      </w:r>
      <w:r>
        <w:br/>
      </w:r>
      <w:r>
        <w:rPr>
          <w:rStyle w:val="CommentTok"/>
        </w:rPr>
        <w:t xml:space="preserve">"""</w:t>
      </w:r>
      <w:r>
        <w:br/>
      </w:r>
      <w:r>
        <w:rPr>
          <w:rStyle w:val="ImportTok"/>
        </w:rPr>
        <w:t xml:space="preserve">import</w:t>
      </w:r>
      <w:r>
        <w:rPr>
          <w:rStyle w:val="NormalTok"/>
        </w:rPr>
        <w:t xml:space="preserve"> hashlib</w:t>
      </w:r>
      <w:r>
        <w:br/>
      </w:r>
      <w:r>
        <w:rPr>
          <w:rStyle w:val="ImportTok"/>
        </w:rPr>
        <w:t xml:space="preserve">import</w:t>
      </w:r>
      <w:r>
        <w:rPr>
          <w:rStyle w:val="NormalTok"/>
        </w:rPr>
        <w:t xml:space="preserve"> math</w:t>
      </w:r>
      <w:r>
        <w:br/>
      </w:r>
      <w:r>
        <w:rPr>
          <w:rStyle w:val="ImportTok"/>
        </w:rPr>
        <w:t xml:space="preserve">import</w:t>
      </w:r>
      <w:r>
        <w:rPr>
          <w:rStyle w:val="NormalTok"/>
        </w:rPr>
        <w:t xml:space="preserve"> statistics</w:t>
      </w:r>
      <w:r>
        <w:br/>
      </w:r>
      <w:r>
        <w:br/>
      </w:r>
      <w:r>
        <w:rPr>
          <w:rStyle w:val="NormalTok"/>
        </w:rPr>
        <w:t xml:space="preserve">RING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64</w:t>
      </w:r>
      <w:r>
        <w:br/>
      </w:r>
      <w:r>
        <w:rPr>
          <w:rStyle w:val="NormalTok"/>
        </w:rPr>
        <w:t xml:space="preserve">N </w:t>
      </w:r>
      <w:r>
        <w:rPr>
          <w:rStyle w:val="OperatorTok"/>
        </w:rPr>
        <w:t xml:space="preserve">=</w:t>
      </w:r>
      <w:r>
        <w:rPr>
          <w:rStyle w:val="NormalTok"/>
        </w:rPr>
        <w:t xml:space="preserve"> </w:t>
      </w:r>
      <w:r>
        <w:rPr>
          <w:rStyle w:val="DecValTok"/>
        </w:rPr>
        <w:t xml:space="preserve">10</w:t>
      </w:r>
      <w:r>
        <w:rPr>
          <w:rStyle w:val="NormalTok"/>
        </w:rPr>
        <w:t xml:space="preserve">            </w:t>
      </w:r>
      <w:r>
        <w:rPr>
          <w:rStyle w:val="CommentTok"/>
        </w:rPr>
        <w:t xml:space="preserve"># physical nodes</w:t>
      </w:r>
      <w:r>
        <w:br/>
      </w:r>
      <w:r>
        <w:rPr>
          <w:rStyle w:val="NormalTok"/>
        </w:rPr>
        <w:t xml:space="preserve">TRIALS </w:t>
      </w:r>
      <w:r>
        <w:rPr>
          <w:rStyle w:val="OperatorTok"/>
        </w:rPr>
        <w:t xml:space="preserve">=</w:t>
      </w:r>
      <w:r>
        <w:rPr>
          <w:rStyle w:val="NormalTok"/>
        </w:rPr>
        <w:t xml:space="preserve"> </w:t>
      </w:r>
      <w:r>
        <w:rPr>
          <w:rStyle w:val="DecValTok"/>
        </w:rPr>
        <w:t xml:space="preserve">200</w:t>
      </w:r>
      <w:r>
        <w:rPr>
          <w:rStyle w:val="NormalTok"/>
        </w:rPr>
        <w:t xml:space="preserve">      </w:t>
      </w:r>
      <w:r>
        <w:rPr>
          <w:rStyle w:val="CommentTok"/>
        </w:rPr>
        <w:t xml:space="preserve"># independent rings per value of V</w:t>
      </w:r>
      <w:r>
        <w:br/>
      </w:r>
      <w:r>
        <w:br/>
      </w:r>
      <w:r>
        <w:rPr>
          <w:rStyle w:val="KeywordTok"/>
        </w:rPr>
        <w:t xml:space="preserve">def</w:t>
      </w:r>
      <w:r>
        <w:rPr>
          <w:rStyle w:val="NormalTok"/>
        </w:rPr>
        <w:t xml:space="preserve"> h(key: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int</w:t>
      </w:r>
      <w:r>
        <w:rPr>
          <w:rStyle w:val="NormalTok"/>
        </w:rPr>
        <w:t xml:space="preserve">.from_bytes(hashlib.md5(key.encode(</w:t>
      </w:r>
      <w:r>
        <w:rPr>
          <w:rStyle w:val="StringTok"/>
        </w:rPr>
        <w:t xml:space="preserve">"utf-8"</w:t>
      </w:r>
      <w:r>
        <w:rPr>
          <w:rStyle w:val="NormalTok"/>
        </w:rPr>
        <w:t xml:space="preserve">)).digest()[:</w:t>
      </w:r>
      <w:r>
        <w:rPr>
          <w:rStyle w:val="DecValTok"/>
        </w:rPr>
        <w:t xml:space="preserve">8</w:t>
      </w:r>
      <w:r>
        <w:rPr>
          <w:rStyle w:val="NormalTok"/>
        </w:rPr>
        <w:t xml:space="preserve">], </w:t>
      </w:r>
      <w:r>
        <w:rPr>
          <w:rStyle w:val="StringTok"/>
        </w:rPr>
        <w:t xml:space="preserve">"big"</w:t>
      </w:r>
      <w:r>
        <w:rPr>
          <w:rStyle w:val="NormalTok"/>
        </w:rPr>
        <w:t xml:space="preserve">)</w:t>
      </w:r>
      <w:r>
        <w:br/>
      </w:r>
      <w:r>
        <w:br/>
      </w:r>
      <w:r>
        <w:rPr>
          <w:rStyle w:val="KeywordTok"/>
        </w:rPr>
        <w:t xml:space="preserve">def</w:t>
      </w:r>
      <w:r>
        <w:rPr>
          <w:rStyle w:val="NormalTok"/>
        </w:rPr>
        <w:t xml:space="preserve"> node_shares(n: </w:t>
      </w:r>
      <w:r>
        <w:rPr>
          <w:rStyle w:val="BuiltInTok"/>
        </w:rPr>
        <w:t xml:space="preserve">int</w:t>
      </w:r>
      <w:r>
        <w:rPr>
          <w:rStyle w:val="NormalTok"/>
        </w:rPr>
        <w:t xml:space="preserve">, v: </w:t>
      </w:r>
      <w:r>
        <w:rPr>
          <w:rStyle w:val="BuiltInTok"/>
        </w:rPr>
        <w:t xml:space="preserve">int</w:t>
      </w:r>
      <w:r>
        <w:rPr>
          <w:rStyle w:val="NormalTok"/>
        </w:rPr>
        <w:t xml:space="preserve">, trial: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br/>
      </w:r>
      <w:r>
        <w:rPr>
          <w:rStyle w:val="NormalTok"/>
        </w:rPr>
        <w:t xml:space="preserve">    </w:t>
      </w:r>
      <w:r>
        <w:rPr>
          <w:rStyle w:val="CommentTok"/>
        </w:rPr>
        <w:t xml:space="preserve">"""Fraction of the ring owned by each node in one random ring."""</w:t>
      </w:r>
      <w:r>
        <w:br/>
      </w:r>
      <w:r>
        <w:rPr>
          <w:rStyle w:val="NormalTok"/>
        </w:rPr>
        <w:t xml:space="preserve">    points </w:t>
      </w:r>
      <w:r>
        <w:rPr>
          <w:rStyle w:val="OperatorTok"/>
        </w:rPr>
        <w:t xml:space="preserve">=</w:t>
      </w:r>
      <w:r>
        <w:rPr>
          <w:rStyle w:val="NormalTok"/>
        </w:rPr>
        <w:t xml:space="preserve"> </w:t>
      </w:r>
      <w:r>
        <w:rPr>
          <w:rStyle w:val="BuiltInTok"/>
        </w:rPr>
        <w:t xml:space="preserve">sorted</w:t>
      </w:r>
      <w:r>
        <w:rPr>
          <w:rStyle w:val="NormalTok"/>
        </w:rPr>
        <w:t xml:space="preserve">((h(</w:t>
      </w:r>
      <w:r>
        <w:rPr>
          <w:rStyle w:val="SpecialStringTok"/>
        </w:rPr>
        <w:t xml:space="preserve">f"t</w:t>
      </w:r>
      <w:r>
        <w:rPr>
          <w:rStyle w:val="SpecialCharTok"/>
        </w:rPr>
        <w:t xml:space="preserve">{</w:t>
      </w:r>
      <w:r>
        <w:rPr>
          <w:rStyle w:val="NormalTok"/>
        </w:rPr>
        <w:t xml:space="preserve">trial</w:t>
      </w:r>
      <w:r>
        <w:rPr>
          <w:rStyle w:val="SpecialCharTok"/>
        </w:rPr>
        <w:t xml:space="preserve">}</w:t>
      </w:r>
      <w:r>
        <w:rPr>
          <w:rStyle w:val="SpecialStringTok"/>
        </w:rPr>
        <w:t xml:space="preserve">/node-</w:t>
      </w:r>
      <w:r>
        <w:rPr>
          <w:rStyle w:val="SpecialCharTok"/>
        </w:rPr>
        <w:t xml:space="preserve">{</w:t>
      </w:r>
      <w:r>
        <w:rPr>
          <w:rStyle w:val="NormalTok"/>
        </w:rPr>
        <w:t xml:space="preserve">i</w:t>
      </w:r>
      <w:r>
        <w:rPr>
          <w:rStyle w:val="SpecialCharTok"/>
        </w:rPr>
        <w:t xml:space="preserve">}</w:t>
      </w:r>
      <w:r>
        <w:rPr>
          <w:rStyle w:val="SpecialStringTok"/>
        </w:rPr>
        <w:t xml:space="preserve">#vn</w:t>
      </w:r>
      <w:r>
        <w:rPr>
          <w:rStyle w:val="SpecialCharTok"/>
        </w:rPr>
        <w:t xml:space="preserve">{</w:t>
      </w:r>
      <w:r>
        <w:rPr>
          <w:rStyle w:val="NormalTok"/>
        </w:rPr>
        <w:t xml:space="preserve">j</w:t>
      </w:r>
      <w:r>
        <w:rPr>
          <w:rStyle w:val="SpecialCharTok"/>
        </w:rPr>
        <w:t xml:space="preserve">}</w:t>
      </w:r>
      <w:r>
        <w:rPr>
          <w:rStyle w:val="SpecialStringTok"/>
        </w:rPr>
        <w:t xml:space="preserve">"</w:t>
      </w:r>
      <w:r>
        <w:rPr>
          <w:rStyle w:val="NormalTok"/>
        </w:rPr>
        <w:t xml:space="preserve">), i)</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(v))</w:t>
      </w:r>
      <w:r>
        <w:br/>
      </w:r>
      <w:r>
        <w:rPr>
          <w:rStyle w:val="NormalTok"/>
        </w:rPr>
        <w:t xml:space="preserve">    share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n</w:t>
      </w:r>
      <w:r>
        <w:br/>
      </w:r>
      <w:r>
        <w:rPr>
          <w:rStyle w:val="NormalTok"/>
        </w:rPr>
        <w:t xml:space="preserve">    prev </w:t>
      </w:r>
      <w:r>
        <w:rPr>
          <w:rStyle w:val="OperatorTok"/>
        </w:rPr>
        <w:t xml:space="preserve">=</w:t>
      </w:r>
      <w:r>
        <w:rPr>
          <w:rStyle w:val="NormalTok"/>
        </w:rPr>
        <w:t xml:space="preserve"> points[</w:t>
      </w:r>
      <w:r>
        <w:rPr>
          <w:rStyle w:val="OperatorTok"/>
        </w:rPr>
        <w:t xml:space="preserve">-</w:t>
      </w:r>
      <w:r>
        <w:rPr>
          <w:rStyle w:val="DecValTok"/>
        </w:rPr>
        <w:t xml:space="preserve">1</w:t>
      </w:r>
      <w:r>
        <w:rPr>
          <w:rStyle w:val="NormalTok"/>
        </w:rPr>
        <w:t xml:space="preserve">][</w:t>
      </w:r>
      <w:r>
        <w:rPr>
          <w:rStyle w:val="DecValTok"/>
        </w:rPr>
        <w:t xml:space="preserve">0</w:t>
      </w:r>
      <w:r>
        <w:rPr>
          <w:rStyle w:val="NormalTok"/>
        </w:rPr>
        <w:t xml:space="preserve">] </w:t>
      </w:r>
      <w:r>
        <w:rPr>
          <w:rStyle w:val="OperatorTok"/>
        </w:rPr>
        <w:t xml:space="preserve">-</w:t>
      </w:r>
      <w:r>
        <w:rPr>
          <w:rStyle w:val="NormalTok"/>
        </w:rPr>
        <w:t xml:space="preserve"> RING          </w:t>
      </w:r>
      <w:r>
        <w:rPr>
          <w:rStyle w:val="CommentTok"/>
        </w:rPr>
        <w:t xml:space="preserve"># wrap: arc ending at the first point</w:t>
      </w:r>
      <w:r>
        <w:br/>
      </w:r>
      <w:r>
        <w:rPr>
          <w:rStyle w:val="NormalTok"/>
        </w:rPr>
        <w:t xml:space="preserve">    </w:t>
      </w:r>
      <w:r>
        <w:rPr>
          <w:rStyle w:val="ControlFlowTok"/>
        </w:rPr>
        <w:t xml:space="preserve">for</w:t>
      </w:r>
      <w:r>
        <w:rPr>
          <w:rStyle w:val="NormalTok"/>
        </w:rPr>
        <w:t xml:space="preserve"> pos, owner </w:t>
      </w:r>
      <w:r>
        <w:rPr>
          <w:rStyle w:val="KeywordTok"/>
        </w:rPr>
        <w:t xml:space="preserve">in</w:t>
      </w:r>
      <w:r>
        <w:rPr>
          <w:rStyle w:val="NormalTok"/>
        </w:rPr>
        <w:t xml:space="preserve"> points:</w:t>
      </w:r>
      <w:r>
        <w:br/>
      </w:r>
      <w:r>
        <w:rPr>
          <w:rStyle w:val="NormalTok"/>
        </w:rPr>
        <w:t xml:space="preserve">        share[owner] </w:t>
      </w:r>
      <w:r>
        <w:rPr>
          <w:rStyle w:val="OperatorTok"/>
        </w:rPr>
        <w:t xml:space="preserve">+=</w:t>
      </w:r>
      <w:r>
        <w:rPr>
          <w:rStyle w:val="NormalTok"/>
        </w:rPr>
        <w:t xml:space="preserve"> pos </w:t>
      </w:r>
      <w:r>
        <w:rPr>
          <w:rStyle w:val="OperatorTok"/>
        </w:rPr>
        <w:t xml:space="preserve">-</w:t>
      </w:r>
      <w:r>
        <w:rPr>
          <w:rStyle w:val="NormalTok"/>
        </w:rPr>
        <w:t xml:space="preserve"> prev       </w:t>
      </w:r>
      <w:r>
        <w:rPr>
          <w:rStyle w:val="CommentTok"/>
        </w:rPr>
        <w:t xml:space="preserve"># a vnode owns the arc that ends at it</w:t>
      </w:r>
      <w:r>
        <w:br/>
      </w:r>
      <w:r>
        <w:rPr>
          <w:rStyle w:val="NormalTok"/>
        </w:rPr>
        <w:t xml:space="preserve">        prev </w:t>
      </w:r>
      <w:r>
        <w:rPr>
          <w:rStyle w:val="OperatorTok"/>
        </w:rPr>
        <w:t xml:space="preserve">=</w:t>
      </w:r>
      <w:r>
        <w:rPr>
          <w:rStyle w:val="NormalTok"/>
        </w:rPr>
        <w:t xml:space="preserve"> pos</w:t>
      </w:r>
      <w:r>
        <w:br/>
      </w:r>
      <w:r>
        <w:rPr>
          <w:rStyle w:val="NormalTok"/>
        </w:rPr>
        <w:t xml:space="preserve">    </w:t>
      </w:r>
      <w:r>
        <w:rPr>
          <w:rStyle w:val="ControlFlowTok"/>
        </w:rPr>
        <w:t xml:space="preserve">return</w:t>
      </w:r>
      <w:r>
        <w:rPr>
          <w:rStyle w:val="NormalTok"/>
        </w:rPr>
        <w:t xml:space="preserve"> [s </w:t>
      </w:r>
      <w:r>
        <w:rPr>
          <w:rStyle w:val="OperatorTok"/>
        </w:rPr>
        <w:t xml:space="preserve">/</w:t>
      </w:r>
      <w:r>
        <w:rPr>
          <w:rStyle w:val="NormalTok"/>
        </w:rPr>
        <w:t xml:space="preserve"> RING </w:t>
      </w:r>
      <w:r>
        <w:rPr>
          <w:rStyle w:val="ControlFlowTok"/>
        </w:rPr>
        <w:t xml:space="preserve">for</w:t>
      </w:r>
      <w:r>
        <w:rPr>
          <w:rStyle w:val="NormalTok"/>
        </w:rPr>
        <w:t xml:space="preserve"> s </w:t>
      </w:r>
      <w:r>
        <w:rPr>
          <w:rStyle w:val="KeywordTok"/>
        </w:rPr>
        <w:t xml:space="preserve">in</w:t>
      </w:r>
      <w:r>
        <w:rPr>
          <w:rStyle w:val="NormalTok"/>
        </w:rPr>
        <w:t xml:space="preserve"> share]</w:t>
      </w:r>
      <w:r>
        <w:br/>
      </w:r>
      <w:r>
        <w:br/>
      </w:r>
      <w:r>
        <w:rPr>
          <w:rStyle w:val="KeywordTok"/>
        </w:rPr>
        <w:t xml:space="preserve">def</w:t>
      </w:r>
      <w:r>
        <w:rPr>
          <w:rStyle w:val="NormalTok"/>
        </w:rPr>
        <w:t xml:space="preserve"> expected_max_std_normal(n: </w:t>
      </w:r>
      <w:r>
        <w:rPr>
          <w:rStyle w:val="BuiltInTok"/>
        </w:rPr>
        <w:t xml:space="preserve">int</w:t>
      </w:r>
      <w:r>
        <w:rPr>
          <w:rStyle w:val="NormalTok"/>
        </w:rPr>
        <w:t xml:space="preserve">, samples: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4000</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"""E[max of n standard normals], by a quick deterministic quadrature."""</w:t>
      </w:r>
      <w:r>
        <w:br/>
      </w:r>
      <w:r>
        <w:rPr>
          <w:rStyle w:val="NormalTok"/>
        </w:rPr>
        <w:t xml:space="preserve">    nd </w:t>
      </w:r>
      <w:r>
        <w:rPr>
          <w:rStyle w:val="OperatorTok"/>
        </w:rPr>
        <w:t xml:space="preserve">=</w:t>
      </w:r>
      <w:r>
        <w:rPr>
          <w:rStyle w:val="NormalTok"/>
        </w:rPr>
        <w:t xml:space="preserve"> statistics.NormalDist()</w:t>
      </w:r>
      <w:r>
        <w:br/>
      </w:r>
      <w:r>
        <w:rPr>
          <w:rStyle w:val="NormalTok"/>
        </w:rPr>
        <w:t xml:space="preserve">    total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(samples):                  </w:t>
      </w:r>
      <w:r>
        <w:rPr>
          <w:rStyle w:val="CommentTok"/>
        </w:rPr>
        <w:t xml:space="preserve"># E[max] = integral of x d(F^n)</w:t>
      </w:r>
      <w:r>
        <w:br/>
      </w:r>
      <w:r>
        <w:rPr>
          <w:rStyle w:val="NormalTok"/>
        </w:rPr>
        <w:t xml:space="preserve">        u </w:t>
      </w:r>
      <w:r>
        <w:rPr>
          <w:rStyle w:val="OperatorTok"/>
        </w:rPr>
        <w:t xml:space="preserve">=</w:t>
      </w:r>
      <w:r>
        <w:rPr>
          <w:rStyle w:val="NormalTok"/>
        </w:rPr>
        <w:t xml:space="preserve"> (k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samples               </w:t>
      </w:r>
      <w:r>
        <w:rPr>
          <w:rStyle w:val="CommentTok"/>
        </w:rPr>
        <w:t xml:space="preserve"># u = F(x)^n  =&gt;  x = F^-1(u^(1/n))</w:t>
      </w:r>
      <w:r>
        <w:br/>
      </w:r>
      <w:r>
        <w:rPr>
          <w:rStyle w:val="NormalTok"/>
        </w:rPr>
        <w:t xml:space="preserve">        total </w:t>
      </w:r>
      <w:r>
        <w:rPr>
          <w:rStyle w:val="OperatorTok"/>
        </w:rPr>
        <w:t xml:space="preserve">+=</w:t>
      </w:r>
      <w:r>
        <w:rPr>
          <w:rStyle w:val="NormalTok"/>
        </w:rPr>
        <w:t xml:space="preserve"> nd.inv_cdf(u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n))</w:t>
      </w:r>
      <w:r>
        <w:br/>
      </w:r>
      <w:r>
        <w:rPr>
          <w:rStyle w:val="NormalTok"/>
        </w:rPr>
        <w:t xml:space="preserve">    </w:t>
      </w:r>
      <w:r>
        <w:rPr>
          <w:rStyle w:val="ControlFlowTok"/>
        </w:rPr>
        <w:t xml:space="preserve">return</w:t>
      </w:r>
      <w:r>
        <w:rPr>
          <w:rStyle w:val="NormalTok"/>
        </w:rPr>
        <w:t xml:space="preserve"> total </w:t>
      </w:r>
      <w:r>
        <w:rPr>
          <w:rStyle w:val="OperatorTok"/>
        </w:rPr>
        <w:t xml:space="preserve">/</w:t>
      </w:r>
      <w:r>
        <w:rPr>
          <w:rStyle w:val="NormalTok"/>
        </w:rPr>
        <w:t xml:space="preserve"> samples</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z </w:t>
      </w:r>
      <w:r>
        <w:rPr>
          <w:rStyle w:val="OperatorTok"/>
        </w:rPr>
        <w:t xml:space="preserve">=</w:t>
      </w:r>
      <w:r>
        <w:rPr>
          <w:rStyle w:val="NormalTok"/>
        </w:rPr>
        <w:t xml:space="preserve"> expected_max_std_normal(N)</w:t>
      </w:r>
      <w:r>
        <w:br/>
      </w:r>
      <w:r>
        <w:rPr>
          <w:rStyle w:val="NormalTok"/>
        </w:rPr>
        <w:t xml:space="preserve">    </w:t>
      </w:r>
      <w:r>
        <w:rPr>
          <w:rStyle w:val="BuiltInTok"/>
        </w:rPr>
        <w:t xml:space="preserve">print</w:t>
      </w:r>
      <w:r>
        <w:rPr>
          <w:rStyle w:val="NormalTok"/>
        </w:rPr>
        <w:t xml:space="preserve">(</w:t>
      </w:r>
      <w:r>
        <w:rPr>
          <w:rStyle w:val="SpecialStringTok"/>
        </w:rPr>
        <w:t xml:space="preserve">f"N = </w:t>
      </w:r>
      <w:r>
        <w:rPr>
          <w:rStyle w:val="SpecialCharTok"/>
        </w:rPr>
        <w:t xml:space="preserve">{</w:t>
      </w:r>
      <w:r>
        <w:rPr>
          <w:rStyle w:val="NormalTok"/>
        </w:rPr>
        <w:t xml:space="preserve">N</w:t>
      </w:r>
      <w:r>
        <w:rPr>
          <w:rStyle w:val="SpecialCharTok"/>
        </w:rPr>
        <w:t xml:space="preserve">}</w:t>
      </w:r>
      <w:r>
        <w:rPr>
          <w:rStyle w:val="SpecialStringTok"/>
        </w:rPr>
        <w:t xml:space="preserve"> nodes, </w:t>
      </w:r>
      <w:r>
        <w:rPr>
          <w:rStyle w:val="SpecialCharTok"/>
        </w:rPr>
        <w:t xml:space="preserve">{</w:t>
      </w:r>
      <w:r>
        <w:rPr>
          <w:rStyle w:val="NormalTok"/>
        </w:rPr>
        <w:t xml:space="preserve">TRIALS</w:t>
      </w:r>
      <w:r>
        <w:rPr>
          <w:rStyle w:val="SpecialCharTok"/>
        </w:rPr>
        <w:t xml:space="preserve">}</w:t>
      </w:r>
      <w:r>
        <w:rPr>
          <w:rStyle w:val="SpecialStringTok"/>
        </w:rPr>
        <w:t xml:space="preserve"> rings per row, E[max of </w:t>
      </w:r>
      <w:r>
        <w:rPr>
          <w:rStyle w:val="SpecialCharTok"/>
        </w:rPr>
        <w:t xml:space="preserve">{</w:t>
      </w:r>
      <w:r>
        <w:rPr>
          <w:rStyle w:val="NormalTok"/>
        </w:rPr>
        <w:t xml:space="preserve">N</w:t>
      </w:r>
      <w:r>
        <w:rPr>
          <w:rStyle w:val="SpecialCharTok"/>
        </w:rPr>
        <w:t xml:space="preserve">}</w:t>
      </w:r>
      <w:r>
        <w:rPr>
          <w:rStyle w:val="SpecialStringTok"/>
        </w:rPr>
        <w:t xml:space="preserve"> normals] = </w:t>
      </w:r>
      <w:r>
        <w:rPr>
          <w:rStyle w:val="SpecialCharTok"/>
        </w:rPr>
        <w:t xml:space="preserve">{</w:t>
      </w:r>
      <w:r>
        <w:rPr>
          <w:rStyle w:val="NormalTok"/>
        </w:rPr>
        <w:t xml:space="preserve">z</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'V'</w:t>
      </w:r>
      <w:r>
        <w:rPr>
          <w:rStyle w:val="SpecialCharTok"/>
        </w:rPr>
        <w:t xml:space="preserve">:&gt;5}</w:t>
      </w:r>
      <w:r>
        <w:rPr>
          <w:rStyle w:val="SpecialStringTok"/>
        </w:rPr>
        <w:t xml:space="preserve"> </w:t>
      </w:r>
      <w:r>
        <w:rPr>
          <w:rStyle w:val="SpecialCharTok"/>
        </w:rPr>
        <w:t xml:space="preserve">{</w:t>
      </w:r>
      <w:r>
        <w:rPr>
          <w:rStyle w:val="StringTok"/>
        </w:rPr>
        <w:t xml:space="preserve">'CV sim'</w:t>
      </w:r>
      <w:r>
        <w:rPr>
          <w:rStyle w:val="SpecialCharTok"/>
        </w:rPr>
        <w:t xml:space="preserve">:&gt;8}</w:t>
      </w:r>
      <w:r>
        <w:rPr>
          <w:rStyle w:val="SpecialStringTok"/>
        </w:rPr>
        <w:t xml:space="preserve"> </w:t>
      </w:r>
      <w:r>
        <w:rPr>
          <w:rStyle w:val="SpecialCharTok"/>
        </w:rPr>
        <w:t xml:space="preserve">{</w:t>
      </w:r>
      <w:r>
        <w:rPr>
          <w:rStyle w:val="StringTok"/>
        </w:rPr>
        <w:t xml:space="preserve">'CV theory'</w:t>
      </w:r>
      <w:r>
        <w:rPr>
          <w:rStyle w:val="SpecialCharTok"/>
        </w:rPr>
        <w:t xml:space="preserve">:&gt;10}</w:t>
      </w:r>
      <w:r>
        <w:rPr>
          <w:rStyle w:val="SpecialStringTok"/>
        </w:rPr>
        <w:t xml:space="preserve"> </w:t>
      </w:r>
      <w:r>
        <w:rPr>
          <w:rStyle w:val="SpecialCharTok"/>
        </w:rPr>
        <w:t xml:space="preserve">{</w:t>
      </w:r>
      <w:r>
        <w:rPr>
          <w:rStyle w:val="StringTok"/>
        </w:rPr>
        <w:t xml:space="preserve">'max/mean sim'</w:t>
      </w:r>
      <w:r>
        <w:rPr>
          <w:rStyle w:val="SpecialCharTok"/>
        </w:rPr>
        <w:t xml:space="preserve">:&gt;13}</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StringTok"/>
        </w:rPr>
        <w:t xml:space="preserve">'max/mean approx'</w:t>
      </w:r>
      <w:r>
        <w:rPr>
          <w:rStyle w:val="SpecialCharTok"/>
        </w:rPr>
        <w:t xml:space="preserve">:&gt;16}</w:t>
      </w:r>
      <w:r>
        <w:rPr>
          <w:rStyle w:val="SpecialStringTok"/>
        </w:rPr>
        <w:t xml:space="preserve">"</w:t>
      </w:r>
      <w:r>
        <w:rPr>
          <w:rStyle w:val="NormalTok"/>
        </w:rPr>
        <w:t xml:space="preserve">)</w:t>
      </w:r>
      <w:r>
        <w:br/>
      </w:r>
      <w:r>
        <w:rPr>
          <w:rStyle w:val="NormalTok"/>
        </w:rPr>
        <w:t xml:space="preserve">    rows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w:t>
      </w:r>
      <w:r>
        <w:rPr>
          <w:rStyle w:val="DecValTok"/>
        </w:rPr>
        <w:t xml:space="preserve">1</w:t>
      </w:r>
      <w:r>
        <w:rPr>
          <w:rStyle w:val="NormalTok"/>
        </w:rPr>
        <w:t xml:space="preserve">, </w:t>
      </w:r>
      <w:r>
        <w:rPr>
          <w:rStyle w:val="DecValTok"/>
        </w:rPr>
        <w:t xml:space="preserve">4</w:t>
      </w:r>
      <w:r>
        <w:rPr>
          <w:rStyle w:val="NormalTok"/>
        </w:rPr>
        <w:t xml:space="preserve">, </w:t>
      </w:r>
      <w:r>
        <w:rPr>
          <w:rStyle w:val="DecValTok"/>
        </w:rPr>
        <w:t xml:space="preserve">16</w:t>
      </w:r>
      <w:r>
        <w:rPr>
          <w:rStyle w:val="NormalTok"/>
        </w:rPr>
        <w:t xml:space="preserve">, </w:t>
      </w:r>
      <w:r>
        <w:rPr>
          <w:rStyle w:val="DecValTok"/>
        </w:rPr>
        <w:t xml:space="preserve">64</w:t>
      </w:r>
      <w:r>
        <w:rPr>
          <w:rStyle w:val="NormalTok"/>
        </w:rPr>
        <w:t xml:space="preserve">, </w:t>
      </w:r>
      <w:r>
        <w:rPr>
          <w:rStyle w:val="DecValTok"/>
        </w:rPr>
        <w:t xml:space="preserve">256</w:t>
      </w:r>
      <w:r>
        <w:rPr>
          <w:rStyle w:val="NormalTok"/>
        </w:rPr>
        <w:t xml:space="preserve">, </w:t>
      </w:r>
      <w:r>
        <w:rPr>
          <w:rStyle w:val="DecValTok"/>
        </w:rPr>
        <w:t xml:space="preserve">1024</w:t>
      </w:r>
      <w:r>
        <w:rPr>
          <w:rStyle w:val="NormalTok"/>
        </w:rPr>
        <w:t xml:space="preserve">):</w:t>
      </w:r>
      <w:r>
        <w:br/>
      </w:r>
      <w:r>
        <w:rPr>
          <w:rStyle w:val="NormalTok"/>
        </w:rPr>
        <w:t xml:space="preserve">        trials </w:t>
      </w:r>
      <w:r>
        <w:rPr>
          <w:rStyle w:val="OperatorTok"/>
        </w:rPr>
        <w:t xml:space="preserve">=</w:t>
      </w:r>
      <w:r>
        <w:rPr>
          <w:rStyle w:val="NormalTok"/>
        </w:rPr>
        <w:t xml:space="preserve"> TRIALS </w:t>
      </w:r>
      <w:r>
        <w:rPr>
          <w:rStyle w:val="ControlFlowTok"/>
        </w:rPr>
        <w:t xml:space="preserve">if</w:t>
      </w:r>
      <w:r>
        <w:rPr>
          <w:rStyle w:val="NormalTok"/>
        </w:rPr>
        <w:t xml:space="preserve"> v </w:t>
      </w:r>
      <w:r>
        <w:rPr>
          <w:rStyle w:val="OperatorTok"/>
        </w:rPr>
        <w:t xml:space="preserve">&lt;=</w:t>
      </w:r>
      <w:r>
        <w:rPr>
          <w:rStyle w:val="NormalTok"/>
        </w:rPr>
        <w:t xml:space="preserve"> </w:t>
      </w:r>
      <w:r>
        <w:rPr>
          <w:rStyle w:val="DecValTok"/>
        </w:rPr>
        <w:t xml:space="preserve">256</w:t>
      </w:r>
      <w:r>
        <w:rPr>
          <w:rStyle w:val="NormalTok"/>
        </w:rPr>
        <w:t xml:space="preserve"> </w:t>
      </w:r>
      <w:r>
        <w:rPr>
          <w:rStyle w:val="ControlFlowTok"/>
        </w:rPr>
        <w:t xml:space="preserve">else</w:t>
      </w:r>
      <w:r>
        <w:rPr>
          <w:rStyle w:val="NormalTok"/>
        </w:rPr>
        <w:t xml:space="preserve"> TRIALS </w:t>
      </w:r>
      <w:r>
        <w:rPr>
          <w:rStyle w:val="OperatorTok"/>
        </w:rPr>
        <w:t xml:space="preserve">//</w:t>
      </w:r>
      <w:r>
        <w:rPr>
          <w:rStyle w:val="NormalTok"/>
        </w:rPr>
        <w:t xml:space="preserve"> </w:t>
      </w:r>
      <w:r>
        <w:rPr>
          <w:rStyle w:val="DecValTok"/>
        </w:rPr>
        <w:t xml:space="preserve">4</w:t>
      </w:r>
      <w:r>
        <w:br/>
      </w:r>
      <w:r>
        <w:rPr>
          <w:rStyle w:val="NormalTok"/>
        </w:rPr>
        <w:t xml:space="preserve">        cvs, maxes </w:t>
      </w:r>
      <w:r>
        <w:rPr>
          <w:rStyle w:val="OperatorTok"/>
        </w:rPr>
        <w:t xml:space="preserve">=</w:t>
      </w:r>
      <w:r>
        <w:rPr>
          <w:rStyle w:val="NormalTok"/>
        </w:rPr>
        <w:t xml:space="preserve"> [], []</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(trials):</w:t>
      </w:r>
      <w:r>
        <w:br/>
      </w:r>
      <w:r>
        <w:rPr>
          <w:rStyle w:val="NormalTok"/>
        </w:rPr>
        <w:t xml:space="preserve">            s </w:t>
      </w:r>
      <w:r>
        <w:rPr>
          <w:rStyle w:val="OperatorTok"/>
        </w:rPr>
        <w:t xml:space="preserve">=</w:t>
      </w:r>
      <w:r>
        <w:rPr>
          <w:rStyle w:val="NormalTok"/>
        </w:rPr>
        <w:t xml:space="preserve"> node_shares(N, v, t)</w:t>
      </w:r>
      <w:r>
        <w:br/>
      </w:r>
      <w:r>
        <w:rPr>
          <w:rStyle w:val="NormalTok"/>
        </w:rPr>
        <w:t xml:space="preserve">            cvs.append(statistics.pstdev(s) </w:t>
      </w:r>
      <w:r>
        <w:rPr>
          <w:rStyle w:val="OperatorTok"/>
        </w:rPr>
        <w:t xml:space="preserve">*</w:t>
      </w:r>
      <w:r>
        <w:rPr>
          <w:rStyle w:val="NormalTok"/>
        </w:rPr>
        <w:t xml:space="preserve"> N)      </w:t>
      </w:r>
      <w:r>
        <w:rPr>
          <w:rStyle w:val="CommentTok"/>
        </w:rPr>
        <w:t xml:space="preserve"># std / mean, mean = 1/N</w:t>
      </w:r>
      <w:r>
        <w:br/>
      </w:r>
      <w:r>
        <w:rPr>
          <w:rStyle w:val="NormalTok"/>
        </w:rPr>
        <w:t xml:space="preserve">            maxes.append(</w:t>
      </w:r>
      <w:r>
        <w:rPr>
          <w:rStyle w:val="BuiltInTok"/>
        </w:rPr>
        <w:t xml:space="preserve">max</w:t>
      </w:r>
      <w:r>
        <w:rPr>
          <w:rStyle w:val="NormalTok"/>
        </w:rPr>
        <w:t xml:space="preserve">(s) </w:t>
      </w:r>
      <w:r>
        <w:rPr>
          <w:rStyle w:val="OperatorTok"/>
        </w:rPr>
        <w:t xml:space="preserve">*</w:t>
      </w:r>
      <w:r>
        <w:rPr>
          <w:rStyle w:val="NormalTok"/>
        </w:rPr>
        <w:t xml:space="preserve"> N)</w:t>
      </w:r>
      <w:r>
        <w:br/>
      </w:r>
      <w:r>
        <w:rPr>
          <w:rStyle w:val="NormalTok"/>
        </w:rPr>
        <w:t xml:space="preserve">        </w:t>
      </w:r>
      <w:r>
        <w:rPr>
          <w:rStyle w:val="CommentTok"/>
        </w:rPr>
        <w:t xml:space="preserve"># shares sum to exactly 1, so pstdev about the mean 1/N is unbiased</w:t>
      </w:r>
      <w:r>
        <w:br/>
      </w:r>
      <w:r>
        <w:rPr>
          <w:rStyle w:val="NormalTok"/>
        </w:rPr>
        <w:t xml:space="preserve">        cv_sim </w:t>
      </w:r>
      <w:r>
        <w:rPr>
          <w:rStyle w:val="OperatorTok"/>
        </w:rPr>
        <w:t xml:space="preserve">=</w:t>
      </w:r>
      <w:r>
        <w:rPr>
          <w:rStyle w:val="NormalTok"/>
        </w:rPr>
        <w:t xml:space="preserve"> math.sqrt(statistics.fmean(c </w:t>
      </w:r>
      <w:r>
        <w:rPr>
          <w:rStyle w:val="OperatorTok"/>
        </w:rPr>
        <w:t xml:space="preserve">*</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cvs))</w:t>
      </w:r>
      <w:r>
        <w:br/>
      </w:r>
      <w:r>
        <w:rPr>
          <w:rStyle w:val="NormalTok"/>
        </w:rPr>
        <w:t xml:space="preserve">        cv_th </w:t>
      </w:r>
      <w:r>
        <w:rPr>
          <w:rStyle w:val="OperatorTok"/>
        </w:rPr>
        <w:t xml:space="preserve">=</w:t>
      </w:r>
      <w:r>
        <w:rPr>
          <w:rStyle w:val="NormalTok"/>
        </w:rPr>
        <w:t xml:space="preserve"> math.sqrt((N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v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rows.append((v, cv_sim))</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v</w:t>
      </w:r>
      <w:r>
        <w:rPr>
          <w:rStyle w:val="SpecialCharTok"/>
        </w:rPr>
        <w:t xml:space="preserve">:&gt;5}</w:t>
      </w:r>
      <w:r>
        <w:rPr>
          <w:rStyle w:val="SpecialStringTok"/>
        </w:rPr>
        <w:t xml:space="preserve"> </w:t>
      </w:r>
      <w:r>
        <w:rPr>
          <w:rStyle w:val="SpecialCharTok"/>
        </w:rPr>
        <w:t xml:space="preserve">{</w:t>
      </w:r>
      <w:r>
        <w:rPr>
          <w:rStyle w:val="NormalTok"/>
        </w:rPr>
        <w:t xml:space="preserve">cv_sim</w:t>
      </w:r>
      <w:r>
        <w:rPr>
          <w:rStyle w:val="SpecialCharTok"/>
        </w:rPr>
        <w:t xml:space="preserve">:&gt;8.4f}</w:t>
      </w:r>
      <w:r>
        <w:rPr>
          <w:rStyle w:val="SpecialStringTok"/>
        </w:rPr>
        <w:t xml:space="preserve"> </w:t>
      </w:r>
      <w:r>
        <w:rPr>
          <w:rStyle w:val="SpecialCharTok"/>
        </w:rPr>
        <w:t xml:space="preserve">{</w:t>
      </w:r>
      <w:r>
        <w:rPr>
          <w:rStyle w:val="NormalTok"/>
        </w:rPr>
        <w:t xml:space="preserve">cv_th</w:t>
      </w:r>
      <w:r>
        <w:rPr>
          <w:rStyle w:val="SpecialCharTok"/>
        </w:rPr>
        <w:t xml:space="preserve">:&gt;10.4f}</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statistics</w:t>
      </w:r>
      <w:r>
        <w:rPr>
          <w:rStyle w:val="SpecialCharTok"/>
        </w:rPr>
        <w:t xml:space="preserve">.</w:t>
      </w:r>
      <w:r>
        <w:rPr>
          <w:rStyle w:val="NormalTok"/>
        </w:rPr>
        <w:t xml:space="preserve">fmean(maxes)</w:t>
      </w:r>
      <w:r>
        <w:rPr>
          <w:rStyle w:val="SpecialCharTok"/>
        </w:rPr>
        <w:t xml:space="preserve">:&gt;13.3f}</w:t>
      </w:r>
      <w:r>
        <w:rPr>
          <w:rStyle w:val="SpecialStringTok"/>
        </w:rPr>
        <w:t xml:space="preserve"> </w:t>
      </w:r>
      <w:r>
        <w:rPr>
          <w:rStyle w:val="SpecialCharTok"/>
        </w:rPr>
        <w:t xml:space="preserve">{</w:t>
      </w:r>
      <w:r>
        <w:rPr>
          <w:rStyle w:val="DecValTok"/>
        </w:rPr>
        <w:t xml:space="preserve">1</w:t>
      </w:r>
      <w:r>
        <w:rPr>
          <w:rStyle w:val="NormalTok"/>
        </w:rPr>
        <w:t xml:space="preserve"> </w:t>
      </w:r>
      <w:r>
        <w:rPr>
          <w:rStyle w:val="OperatorTok"/>
        </w:rPr>
        <w:t xml:space="preserve">+</w:t>
      </w:r>
      <w:r>
        <w:rPr>
          <w:rStyle w:val="NormalTok"/>
        </w:rPr>
        <w:t xml:space="preserve"> z </w:t>
      </w:r>
      <w:r>
        <w:rPr>
          <w:rStyle w:val="OperatorTok"/>
        </w:rPr>
        <w:t xml:space="preserve">*</w:t>
      </w:r>
      <w:r>
        <w:rPr>
          <w:rStyle w:val="NormalTok"/>
        </w:rPr>
        <w:t xml:space="preserve"> cv_th</w:t>
      </w:r>
      <w:r>
        <w:rPr>
          <w:rStyle w:val="SpecialCharTok"/>
        </w:rPr>
        <w:t xml:space="preserve">:&gt;16.3f}</w:t>
      </w:r>
      <w:r>
        <w:rPr>
          <w:rStyle w:val="SpecialStringTok"/>
        </w:rPr>
        <w:t xml:space="preserve">"</w:t>
      </w:r>
      <w:r>
        <w:rPr>
          <w:rStyle w:val="NormalTok"/>
        </w:rPr>
        <w:t xml:space="preserve">)</w:t>
      </w:r>
      <w:r>
        <w:br/>
      </w:r>
      <w:r>
        <w:rPr>
          <w:rStyle w:val="NormalTok"/>
        </w:rPr>
        <w:t xml:space="preserve">    harmonic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k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f"V=1 exact: E[max/mean] = H_N = </w:t>
      </w:r>
      <w:r>
        <w:rPr>
          <w:rStyle w:val="SpecialCharTok"/>
        </w:rPr>
        <w:t xml:space="preserve">{</w:t>
      </w:r>
      <w:r>
        <w:rPr>
          <w:rStyle w:val="NormalTok"/>
        </w:rPr>
        <w:t xml:space="preserve">harmonic</w:t>
      </w:r>
      <w:r>
        <w:rPr>
          <w:rStyle w:val="SpecialCharTok"/>
        </w:rPr>
        <w:t xml:space="preserve">:.3f}</w:t>
      </w:r>
      <w:r>
        <w:rPr>
          <w:rStyle w:val="SpecialStringTok"/>
        </w:rPr>
        <w:t xml:space="preserve">"</w:t>
      </w:r>
      <w:r>
        <w:rPr>
          <w:rStyle w:val="NormalTok"/>
        </w:rPr>
        <w:t xml:space="preserve">)</w:t>
      </w:r>
      <w:r>
        <w:br/>
      </w:r>
      <w:r>
        <w:rPr>
          <w:rStyle w:val="NormalTok"/>
        </w:rPr>
        <w:t xml:space="preserve">    (v1, c1), (v2, c2) </w:t>
      </w:r>
      <w:r>
        <w:rPr>
          <w:rStyle w:val="OperatorTok"/>
        </w:rPr>
        <w:t xml:space="preserve">=</w:t>
      </w:r>
      <w:r>
        <w:rPr>
          <w:rStyle w:val="NormalTok"/>
        </w:rPr>
        <w:t xml:space="preserve"> rows[</w:t>
      </w:r>
      <w:r>
        <w:rPr>
          <w:rStyle w:val="DecValTok"/>
        </w:rPr>
        <w:t xml:space="preserve">1</w:t>
      </w:r>
      <w:r>
        <w:rPr>
          <w:rStyle w:val="NormalTok"/>
        </w:rPr>
        <w:t xml:space="preserve">], rows[</w:t>
      </w:r>
      <w:r>
        <w:rPr>
          <w:rStyle w:val="OperatorTok"/>
        </w:rPr>
        <w:t xml:space="preserve">-</w:t>
      </w:r>
      <w:r>
        <w:rPr>
          <w:rStyle w:val="DecValTok"/>
        </w:rPr>
        <w:t xml:space="preserve">1</w:t>
      </w:r>
      <w:r>
        <w:rPr>
          <w:rStyle w:val="NormalTok"/>
        </w:rPr>
        <w:t xml:space="preserve">]</w:t>
      </w:r>
      <w:r>
        <w:br/>
      </w:r>
      <w:r>
        <w:rPr>
          <w:rStyle w:val="NormalTok"/>
        </w:rPr>
        <w:t xml:space="preserve">    slope </w:t>
      </w:r>
      <w:r>
        <w:rPr>
          <w:rStyle w:val="OperatorTok"/>
        </w:rPr>
        <w:t xml:space="preserve">=</w:t>
      </w:r>
      <w:r>
        <w:rPr>
          <w:rStyle w:val="NormalTok"/>
        </w:rPr>
        <w:t xml:space="preserve"> math.log(c2 </w:t>
      </w:r>
      <w:r>
        <w:rPr>
          <w:rStyle w:val="OperatorTok"/>
        </w:rPr>
        <w:t xml:space="preserve">/</w:t>
      </w:r>
      <w:r>
        <w:rPr>
          <w:rStyle w:val="NormalTok"/>
        </w:rPr>
        <w:t xml:space="preserve"> c1) </w:t>
      </w:r>
      <w:r>
        <w:rPr>
          <w:rStyle w:val="OperatorTok"/>
        </w:rPr>
        <w:t xml:space="preserve">/</w:t>
      </w:r>
      <w:r>
        <w:rPr>
          <w:rStyle w:val="NormalTok"/>
        </w:rPr>
        <w:t xml:space="preserve"> math.log(v2 </w:t>
      </w:r>
      <w:r>
        <w:rPr>
          <w:rStyle w:val="OperatorTok"/>
        </w:rPr>
        <w:t xml:space="preserve">/</w:t>
      </w:r>
      <w:r>
        <w:rPr>
          <w:rStyle w:val="NormalTok"/>
        </w:rPr>
        <w:t xml:space="preserve"> v1)</w:t>
      </w:r>
      <w:r>
        <w:br/>
      </w:r>
      <w:r>
        <w:rPr>
          <w:rStyle w:val="NormalTok"/>
        </w:rPr>
        <w:t xml:space="preserve">    </w:t>
      </w:r>
      <w:r>
        <w:rPr>
          <w:rStyle w:val="BuiltInTok"/>
        </w:rPr>
        <w:t xml:space="preserve">print</w:t>
      </w:r>
      <w:r>
        <w:rPr>
          <w:rStyle w:val="NormalTok"/>
        </w:rPr>
        <w:t xml:space="preserve">(</w:t>
      </w:r>
      <w:r>
        <w:rPr>
          <w:rStyle w:val="SpecialStringTok"/>
        </w:rPr>
        <w:t xml:space="preserve">f"log-log slope of CV vs V between V=</w:t>
      </w:r>
      <w:r>
        <w:rPr>
          <w:rStyle w:val="SpecialCharTok"/>
        </w:rPr>
        <w:t xml:space="preserve">{</w:t>
      </w:r>
      <w:r>
        <w:rPr>
          <w:rStyle w:val="NormalTok"/>
        </w:rPr>
        <w:t xml:space="preserve">v1</w:t>
      </w:r>
      <w:r>
        <w:rPr>
          <w:rStyle w:val="SpecialCharTok"/>
        </w:rPr>
        <w:t xml:space="preserve">}</w:t>
      </w:r>
      <w:r>
        <w:rPr>
          <w:rStyle w:val="SpecialStringTok"/>
        </w:rPr>
        <w:t xml:space="preserve"> and V=</w:t>
      </w:r>
      <w:r>
        <w:rPr>
          <w:rStyle w:val="SpecialCharTok"/>
        </w:rPr>
        <w:t xml:space="preserve">{</w:t>
      </w:r>
      <w:r>
        <w:rPr>
          <w:rStyle w:val="NormalTok"/>
        </w:rPr>
        <w:t xml:space="preserve">v2</w:t>
      </w:r>
      <w:r>
        <w:rPr>
          <w:rStyle w:val="SpecialCharTok"/>
        </w:rPr>
        <w:t xml:space="preserve">}</w:t>
      </w:r>
      <w:r>
        <w:rPr>
          <w:rStyle w:val="SpecialStringTok"/>
        </w:rPr>
        <w:t xml:space="preserve">: </w:t>
      </w:r>
      <w:r>
        <w:rPr>
          <w:rStyle w:val="SpecialCharTok"/>
        </w:rPr>
        <w:t xml:space="preserve">{</w:t>
      </w:r>
      <w:r>
        <w:rPr>
          <w:rStyle w:val="NormalTok"/>
        </w:rPr>
        <w:t xml:space="preserve">slope</w:t>
      </w:r>
      <w:r>
        <w:rPr>
          <w:rStyle w:val="SpecialCharTok"/>
        </w:rPr>
        <w:t xml:space="preserve">:.3f}</w:t>
      </w:r>
      <w:r>
        <w:rPr>
          <w:rStyle w:val="SpecialStringTok"/>
        </w:rPr>
        <w:t xml:space="preserve">"</w:t>
      </w:r>
      <w:r>
        <w:rPr>
          <w:rStyle w:val="NormalTok"/>
        </w:rPr>
        <w:t xml:space="preserve">)</w:t>
      </w:r>
    </w:p>
    <w:p>
      <w:pPr>
        <w:pStyle w:val="FirstParagraph"/>
      </w:pPr>
      <w:r>
        <w:t xml:space="preserve">Running it takes about two seconds and prints:</w:t>
      </w:r>
    </w:p>
    <w:p>
      <w:pPr>
        <w:pStyle w:val="SourceCode"/>
      </w:pPr>
      <w:r>
        <w:rPr>
          <w:rStyle w:val="VerbatimChar"/>
        </w:rPr>
        <w:t xml:space="preserve">N = 10 nodes, 200 rings per row, E[max of 10 normals] = 1.539</w:t>
      </w:r>
      <w:r>
        <w:br/>
      </w:r>
      <w:r>
        <w:rPr>
          <w:rStyle w:val="VerbatimChar"/>
        </w:rPr>
        <w:t xml:space="preserve">    V   CV sim  CV theory  max/mean sim  max/mean approx</w:t>
      </w:r>
      <w:r>
        <w:br/>
      </w:r>
      <w:r>
        <w:rPr>
          <w:rStyle w:val="VerbatimChar"/>
        </w:rPr>
        <w:t xml:space="preserve">    1   0.8977     0.9045         2.912            2.392</w:t>
      </w:r>
      <w:r>
        <w:br/>
      </w:r>
      <w:r>
        <w:rPr>
          <w:rStyle w:val="VerbatimChar"/>
        </w:rPr>
        <w:t xml:space="preserve">    4   0.4655     0.4685         1.885            1.721</w:t>
      </w:r>
      <w:r>
        <w:br/>
      </w:r>
      <w:r>
        <w:rPr>
          <w:rStyle w:val="VerbatimChar"/>
        </w:rPr>
        <w:t xml:space="preserve">   16   0.2358     0.2364         1.416            1.364</w:t>
      </w:r>
      <w:r>
        <w:br/>
      </w:r>
      <w:r>
        <w:rPr>
          <w:rStyle w:val="VerbatimChar"/>
        </w:rPr>
        <w:t xml:space="preserve">   64   0.1187     0.1185         1.199            1.182</w:t>
      </w:r>
      <w:r>
        <w:br/>
      </w:r>
      <w:r>
        <w:rPr>
          <w:rStyle w:val="VerbatimChar"/>
        </w:rPr>
        <w:t xml:space="preserve">  256   0.0585     0.0593         1.095            1.091</w:t>
      </w:r>
      <w:r>
        <w:br/>
      </w:r>
      <w:r>
        <w:rPr>
          <w:rStyle w:val="VerbatimChar"/>
        </w:rPr>
        <w:t xml:space="preserve"> 1024   0.0302     0.0296         1.050            1.046</w:t>
      </w:r>
      <w:r>
        <w:br/>
      </w:r>
      <w:r>
        <w:rPr>
          <w:rStyle w:val="VerbatimChar"/>
        </w:rPr>
        <w:t xml:space="preserve">V=1 exact: E[max/mean] = H_N = 2.929</w:t>
      </w:r>
      <w:r>
        <w:br/>
      </w:r>
      <w:r>
        <w:rPr>
          <w:rStyle w:val="VerbatimChar"/>
        </w:rPr>
        <w:t xml:space="preserve">log-log slope of CV vs V between V=4 and V=1024: -0.493</w:t>
      </w:r>
    </w:p>
    <w:p>
      <w:pPr>
        <w:pStyle w:val="FirstParagraph"/>
      </w:pPr>
      <w:r>
        <w:t xml:space="preserve">What to notice:</w:t>
      </w:r>
    </w:p>
    <w:p>
      <w:pPr>
        <w:numPr>
          <w:ilvl w:val="0"/>
          <w:numId w:val="1486"/>
        </w:numPr>
        <w:pStyle w:val="Compact"/>
      </w:pPr>
      <w:r>
        <w:t xml:space="preserve">The simulated CV matches</w:t>
      </w:r>
      <w:r>
        <w:t xml:space="preserve"> </w:t>
      </w:r>
      <m:oMath>
        <m:rad>
          <m:radPr>
            <m:degHide m:val="on"/>
          </m:radPr>
          <m:deg/>
          <m:e>
            <m:d>
              <m:dPr>
                <m:begChr m:val="("/>
                <m:endChr m:val=")"/>
                <m:sepChr m:val=""/>
                <m:grow/>
              </m:dPr>
              <m:e>
                <m:r>
                  <m:t>N</m:t>
                </m:r>
                <m:r>
                  <m:rPr>
                    <m:sty m:val="p"/>
                  </m:rPr>
                  <m:t>−</m:t>
                </m:r>
                <m:r>
                  <m:t>1</m:t>
                </m:r>
              </m:e>
            </m:d>
            <m:r>
              <m:rPr>
                <m:sty m:val="p"/>
              </m:rPr>
              <m:t>/</m:t>
            </m:r>
            <m:d>
              <m:dPr>
                <m:begChr m:val="("/>
                <m:endChr m:val=")"/>
                <m:sepChr m:val=""/>
                <m:grow/>
              </m:dPr>
              <m:e>
                <m:r>
                  <m:t>N</m:t>
                </m:r>
                <m:r>
                  <m:t>V</m:t>
                </m:r>
                <m:r>
                  <m:rPr>
                    <m:sty m:val="p"/>
                  </m:rPr>
                  <m:t>+</m:t>
                </m:r>
                <m:r>
                  <m:t>1</m:t>
                </m:r>
              </m:e>
            </m:d>
          </m:e>
        </m:rad>
      </m:oMath>
      <w:r>
        <w:t xml:space="preserve"> </w:t>
      </w:r>
      <w:r>
        <w:t xml:space="preserve">within sampling error, and the log–log slope of</w:t>
      </w:r>
      <w:r>
        <w:t xml:space="preserve"> </w:t>
      </w:r>
      <m:oMath>
        <m:r>
          <m:rPr>
            <m:sty m:val="p"/>
          </m:rPr>
          <m:t>−</m:t>
        </m:r>
        <m:r>
          <m:t>0.49</m:t>
        </m:r>
      </m:oMath>
      <w:r>
        <w:t xml:space="preserve"> </w:t>
      </w:r>
      <w:r>
        <w:t xml:space="preserve">is the signature of</w:t>
      </w:r>
      <w:r>
        <w:t xml:space="preserve"> </w:t>
      </w:r>
      <m:oMath>
        <m:r>
          <m:t>1</m:t>
        </m:r>
        <m:r>
          <m:rPr>
            <m:sty m:val="p"/>
          </m:rPr>
          <m:t>/</m:t>
        </m:r>
        <m:rad>
          <m:radPr>
            <m:degHide m:val="on"/>
          </m:radPr>
          <m:deg/>
          <m:e>
            <m:r>
              <m:t>V</m:t>
            </m:r>
          </m:e>
        </m:rad>
      </m:oMath>
      <w:r>
        <w:t xml:space="preserve"> </w:t>
      </w:r>
      <w:r>
        <w:t xml:space="preserve">(slope</w:t>
      </w:r>
      <w:r>
        <w:t xml:space="preserve"> </w:t>
      </w:r>
      <m:oMath>
        <m:r>
          <m:rPr>
            <m:sty m:val="p"/>
          </m:rPr>
          <m:t>−</m:t>
        </m:r>
        <m:r>
          <m:t>0.5</m:t>
        </m:r>
      </m:oMath>
      <w:r>
        <w:t xml:space="preserve">). Each 4× increase in</w:t>
      </w:r>
      <w:r>
        <w:t xml:space="preserve"> </w:t>
      </w:r>
      <m:oMath>
        <m:r>
          <m:t>V</m:t>
        </m:r>
      </m:oMath>
      <w:r>
        <w:t xml:space="preserve"> </w:t>
      </w:r>
      <w:r>
        <w:t xml:space="preserve">halves the spread.</w:t>
      </w:r>
    </w:p>
    <w:p>
      <w:pPr>
        <w:numPr>
          <w:ilvl w:val="0"/>
          <w:numId w:val="1486"/>
        </w:numPr>
        <w:pStyle w:val="Compact"/>
      </w:pPr>
      <w:r>
        <w:t xml:space="preserve">For</w:t>
      </w:r>
      <w:r>
        <w:t xml:space="preserve"> </w:t>
      </w:r>
      <m:oMath>
        <m:r>
          <m:t>V</m:t>
        </m:r>
        <m:r>
          <m:rPr>
            <m:sty m:val="p"/>
          </m:rPr>
          <m:t>=</m:t>
        </m:r>
        <m:r>
          <m:t>1</m:t>
        </m:r>
      </m:oMath>
      <w:r>
        <w:t xml:space="preserve">, the simulated maximum (2.91) matches</w:t>
      </w:r>
      <w:r>
        <w:t xml:space="preserve"> </w:t>
      </w:r>
      <m:oMath>
        <m:sSub>
          <m:e>
            <m:r>
              <m:t>H</m:t>
            </m:r>
          </m:e>
          <m:sub>
            <m:r>
              <m:t>10</m:t>
            </m:r>
          </m:sub>
        </m:sSub>
        <m:r>
          <m:rPr>
            <m:sty m:val="p"/>
          </m:rPr>
          <m:t>=</m:t>
        </m:r>
        <m:r>
          <m:t>2.93</m:t>
        </m:r>
      </m:oMath>
      <w:r>
        <w:t xml:space="preserve"> </w:t>
      </w:r>
      <w:r>
        <w:t xml:space="preserve">and the normal approximation (2.39) is poor; use it only from about</w:t>
      </w:r>
      <w:r>
        <w:t xml:space="preserve"> </w:t>
      </w:r>
      <m:oMath>
        <m:r>
          <m:t>V</m:t>
        </m:r>
        <m:r>
          <m:rPr>
            <m:sty m:val="p"/>
          </m:rPr>
          <m:t>=</m:t>
        </m:r>
        <m:r>
          <m:t>16</m:t>
        </m:r>
      </m:oMath>
      <w:r>
        <w:t xml:space="preserve">.</w:t>
      </w:r>
    </w:p>
    <w:p>
      <w:pPr>
        <w:numPr>
          <w:ilvl w:val="0"/>
          <w:numId w:val="1486"/>
        </w:numPr>
        <w:pStyle w:val="Compact"/>
      </w:pPr>
      <w:r>
        <w:t xml:space="preserve">With</w:t>
      </w:r>
      <w:r>
        <w:t xml:space="preserve"> </w:t>
      </w:r>
      <m:oMath>
        <m:r>
          <m:t>K</m:t>
        </m:r>
      </m:oMath>
      <w:r>
        <w:t xml:space="preserve"> </w:t>
      </w:r>
      <w:r>
        <w:t xml:space="preserve">actual keys, counts add sampling noise of CV about</w:t>
      </w:r>
      <w:r>
        <w:t xml:space="preserve"> </w:t>
      </w:r>
      <m:oMath>
        <m:rad>
          <m:radPr>
            <m:degHide m:val="on"/>
          </m:radPr>
          <m:deg/>
          <m:e>
            <m:r>
              <m:t>N</m:t>
            </m:r>
            <m:r>
              <m:rPr>
                <m:sty m:val="p"/>
              </m:rPr>
              <m:t>/</m:t>
            </m:r>
            <m:r>
              <m:t>K</m:t>
            </m:r>
          </m:e>
        </m:rad>
      </m:oMath>
      <w:r>
        <w:t xml:space="preserve"> </w:t>
      </w:r>
      <w:r>
        <w:t xml:space="preserve">(1 % for</w:t>
      </w:r>
      <w:r>
        <w:t xml:space="preserve"> </w:t>
      </w:r>
      <m:oMath>
        <m:r>
          <m:t>K</m:t>
        </m:r>
        <m:r>
          <m:rPr>
            <m:sty m:val="p"/>
          </m:rPr>
          <m:t>=</m:t>
        </m:r>
        <m:sSup>
          <m:e>
            <m:r>
              <m:t>10</m:t>
            </m:r>
          </m:e>
          <m:sup>
            <m:r>
              <m:t>5</m:t>
            </m:r>
          </m:sup>
        </m:sSup>
      </m:oMath>
      <w:r>
        <w:t xml:space="preserve">,</w:t>
      </w:r>
      <w:r>
        <w:t xml:space="preserve"> </w:t>
      </w:r>
      <m:oMath>
        <m:r>
          <m:t>N</m:t>
        </m:r>
        <m:r>
          <m:rPr>
            <m:sty m:val="p"/>
          </m:rPr>
          <m:t>=</m:t>
        </m:r>
        <m:r>
          <m:t>10</m:t>
        </m:r>
      </m:oMath>
      <w:r>
        <w:t xml:space="preserve">), which is why the weight-2 node above showed</w:t>
      </w:r>
      <w:r>
        <w:t xml:space="preserve"> </w:t>
      </w:r>
      <m:oMath>
        <m:r>
          <m:t>1.88</m:t>
        </m:r>
        <m:r>
          <m:rPr>
            <m:sty m:val="p"/>
          </m:rPr>
          <m:t>×</m:t>
        </m:r>
      </m:oMath>
      <w:r>
        <w:t xml:space="preserve">.</w:t>
      </w:r>
    </w:p>
    <w:p>
      <w:pPr>
        <w:numPr>
          <w:ilvl w:val="0"/>
          <w:numId w:val="1486"/>
        </w:numPr>
        <w:pStyle w:val="Compact"/>
      </w:pPr>
      <w:r>
        <w:t xml:space="preserve">The model assumes uniform key popularity. Hot keys are a separate problem (§14.10).</w:t>
      </w:r>
    </w:p>
    <w:p>
      <w:pPr>
        <w:pStyle w:val="CalloutNote"/>
      </w:pPr>
      <w:r>
        <w:rPr>
          <w:bCs/>
          <w:b/>
        </w:rPr>
        <w:t xml:space="preserve">NOTE</w:t>
      </w:r>
    </w:p>
    <w:p>
      <w:pPr>
        <w:pStyle w:val="CalloutNote"/>
      </w:pPr>
      <w:r>
        <w:rPr>
          <w:bCs/>
          <w:b/>
        </w:rPr>
        <w:t xml:space="preserve">Note — Resolution of the</w:t>
      </w:r>
      <w:r>
        <w:rPr>
          <w:bCs/>
          <w:b/>
        </w:rPr>
        <w:t xml:space="preserve"> </w:t>
      </w:r>
      <m:oMath>
        <m:r>
          <m:t>1</m:t>
        </m:r>
        <m:r>
          <m:rPr>
            <m:sty m:val="p"/>
          </m:rPr>
          <m:t>/</m:t>
        </m:r>
        <m:rad>
          <m:radPr>
            <m:degHide m:val="on"/>
          </m:radPr>
          <m:deg/>
          <m:e>
            <m:r>
              <m:t>V</m:t>
            </m:r>
          </m:e>
        </m:rad>
      </m:oMath>
      <w:r>
        <w:rPr>
          <w:bCs/>
          <w:b/>
        </w:rPr>
        <w:t xml:space="preserve"> </w:t>
      </w:r>
      <w:r>
        <w:rPr>
          <w:bCs/>
          <w:b/>
        </w:rPr>
        <w:t xml:space="preserve">question.</w:t>
      </w:r>
      <w:r>
        <w:t xml:space="preserve"> </w:t>
      </w:r>
      <w:r>
        <w:t xml:space="preserve">Under the ideal-hash model a node’s share is exactly</w:t>
      </w:r>
      <w:r>
        <w:t xml:space="preserve"> </w:t>
      </w:r>
      <m:oMath>
        <m:r>
          <m:rPr>
            <m:nor/>
            <m:sty m:val="p"/>
          </m:rPr>
          <m:t>Beta</m:t>
        </m:r>
        <m:d>
          <m:dPr>
            <m:begChr m:val="("/>
            <m:endChr m:val=")"/>
            <m:sepChr m:val=""/>
            <m:grow/>
          </m:dPr>
          <m:e>
            <m:r>
              <m:t>V</m:t>
            </m:r>
            <m:r>
              <m:rPr>
                <m:sty m:val="p"/>
              </m:rPr>
              <m:t>,</m:t>
            </m:r>
            <m:d>
              <m:dPr>
                <m:begChr m:val="("/>
                <m:endChr m:val=")"/>
                <m:sepChr m:val=""/>
                <m:grow/>
              </m:dPr>
              <m:e>
                <m:r>
                  <m:t>N</m:t>
                </m:r>
                <m:r>
                  <m:rPr>
                    <m:sty m:val="p"/>
                  </m:rPr>
                  <m:t>−</m:t>
                </m:r>
                <m:r>
                  <m:t>1</m:t>
                </m:r>
              </m:e>
            </m:d>
            <m:r>
              <m:t>V</m:t>
            </m:r>
          </m:e>
        </m:d>
      </m:oMath>
      <w:r>
        <w:t xml:space="preserve">, with coefficient of variation</w:t>
      </w:r>
      <w:r>
        <w:t xml:space="preserve"> </w:t>
      </w:r>
      <m:oMath>
        <m:rad>
          <m:radPr>
            <m:degHide m:val="on"/>
          </m:radPr>
          <m:deg/>
          <m:e>
            <m:d>
              <m:dPr>
                <m:begChr m:val="("/>
                <m:endChr m:val=")"/>
                <m:sepChr m:val=""/>
                <m:grow/>
              </m:dPr>
              <m:e>
                <m:r>
                  <m:t>N</m:t>
                </m:r>
                <m:r>
                  <m:rPr>
                    <m:sty m:val="p"/>
                  </m:rPr>
                  <m:t>−</m:t>
                </m:r>
                <m:r>
                  <m:t>1</m:t>
                </m:r>
              </m:e>
            </m:d>
            <m:r>
              <m:rPr>
                <m:sty m:val="p"/>
              </m:rPr>
              <m:t>/</m:t>
            </m:r>
            <m:d>
              <m:dPr>
                <m:begChr m:val="("/>
                <m:endChr m:val=")"/>
                <m:sepChr m:val=""/>
                <m:grow/>
              </m:dPr>
              <m:e>
                <m:r>
                  <m:t>N</m:t>
                </m:r>
                <m:r>
                  <m:t>V</m:t>
                </m:r>
                <m:r>
                  <m:rPr>
                    <m:sty m:val="p"/>
                  </m:rPr>
                  <m:t>+</m:t>
                </m:r>
                <m:r>
                  <m:t>1</m:t>
                </m:r>
              </m:e>
            </m:d>
          </m:e>
        </m:rad>
        <m:r>
          <m:rPr>
            <m:sty m:val="p"/>
          </m:rPr>
          <m:t>→</m:t>
        </m:r>
        <m:r>
          <m:t>1</m:t>
        </m:r>
        <m:r>
          <m:rPr>
            <m:sty m:val="p"/>
          </m:rPr>
          <m:t>/</m:t>
        </m:r>
        <m:rad>
          <m:radPr>
            <m:degHide m:val="on"/>
          </m:radPr>
          <m:deg/>
          <m:e>
            <m:r>
              <m:t>V</m:t>
            </m:r>
          </m:e>
        </m:rad>
      </m:oMath>
      <w:r>
        <w:t xml:space="preserve">. The simulation and [Lamping and Veach 2014] confirm it, so §3.3.2’s statement holds for the relative standard deviation. The busiest node’s excess also shrinks as</w:t>
      </w:r>
      <w:r>
        <w:t xml:space="preserve"> </w:t>
      </w:r>
      <m:oMath>
        <m:r>
          <m:t>1</m:t>
        </m:r>
        <m:r>
          <m:rPr>
            <m:sty m:val="p"/>
          </m:rPr>
          <m:t>/</m:t>
        </m:r>
        <m:rad>
          <m:radPr>
            <m:degHide m:val="on"/>
          </m:radPr>
          <m:deg/>
          <m:e>
            <m:r>
              <m:t>V</m:t>
            </m:r>
          </m:e>
        </m:rad>
      </m:oMath>
      <w:r>
        <w:t xml:space="preserve">, multiplied by a slowly growing</w:t>
      </w:r>
      <w:r>
        <w:t xml:space="preserve"> </w:t>
      </w:r>
      <m:oMath>
        <m:sSub>
          <m:e>
            <m:r>
              <m:t>z</m:t>
            </m:r>
          </m:e>
          <m:sub>
            <m:r>
              <m:t>N</m:t>
            </m:r>
          </m:sub>
        </m:sSub>
      </m:oMath>
      <w:r>
        <w:t xml:space="preserve">.</w:t>
      </w:r>
    </w:p>
    <w:bookmarkEnd w:id="1621"/>
    <w:bookmarkStart w:id="1622" w:name="replication-on-the-ring"/>
    <w:p>
      <w:pPr>
        <w:pStyle w:val="Heading3"/>
      </w:pPr>
      <w:r>
        <w:t xml:space="preserve">14.8.5 Replication on the ring</w:t>
      </w:r>
    </w:p>
    <w:p>
      <w:pPr>
        <w:pStyle w:val="FirstParagraph"/>
      </w:pPr>
      <w:r>
        <w:t xml:space="preserve">On a ring, each key is stored on the first</w:t>
      </w:r>
      <w:r>
        <w:t xml:space="preserve"> </w:t>
      </w:r>
      <m:oMath>
        <m:r>
          <m:t>R</m:t>
        </m:r>
      </m:oMath>
      <w:r>
        <w:t xml:space="preserve"> </w:t>
      </w:r>
      <w:r>
        <w:rPr>
          <w:bCs/>
          <w:b/>
        </w:rPr>
        <w:t xml:space="preserve">distinct physical</w:t>
      </w:r>
      <w:r>
        <w:t xml:space="preserve"> </w:t>
      </w:r>
      <w:r>
        <w:t xml:space="preserve">nodes clockwise, its preference list (</w:t>
      </w:r>
      <m:oMath>
        <m:r>
          <m:t>R</m:t>
        </m:r>
      </m:oMath>
      <w:r>
        <w:t xml:space="preserve"> </w:t>
      </w:r>
      <w:r>
        <w:t xml:space="preserve">here is the replication factor, which §27.8 calls</w:t>
      </w:r>
      <w:r>
        <w:t xml:space="preserve"> </w:t>
      </w:r>
      <m:oMath>
        <m:r>
          <m:t>N</m:t>
        </m:r>
      </m:oMath>
      <w:r>
        <w:t xml:space="preserve"> </w:t>
      </w:r>
      <w:r>
        <w:t xml:space="preserve">because there</w:t>
      </w:r>
      <w:r>
        <w:t xml:space="preserve"> </w:t>
      </w:r>
      <m:oMath>
        <m:r>
          <m:t>R</m:t>
        </m:r>
      </m:oMath>
      <w:r>
        <w:t xml:space="preserve"> </w:t>
      </w:r>
      <w:r>
        <w:t xml:space="preserve">is the read quorum). Dynamo does this, typically with three replicas, and also skips nodes in the same failure domain [DeCandia et al. 2007]. With vnodes, a failed node’s replicas are spread over many nodes, so re-replication copies from all of them in parallel. Quorum reads and writes over preference lists are in §27.7–§27.9.</w:t>
      </w:r>
    </w:p>
    <w:p>
      <w:pPr>
        <w:pStyle w:val="CalloutIndustry"/>
      </w:pPr>
      <w:r>
        <w:rPr>
          <w:bCs/>
          <w:b/>
        </w:rPr>
        <w:t xml:space="preserve">INDUSTRY EXAMPLE</w:t>
      </w:r>
    </w:p>
    <w:p>
      <w:pPr>
        <w:pStyle w:val="CalloutIndustry"/>
      </w:pPr>
      <w:r>
        <w:rPr>
          <w:bCs/>
          <w:b/>
        </w:rPr>
        <w:t xml:space="preserve">Amazon Dynamo.</w:t>
      </w:r>
      <w:r>
        <w:t xml:space="preserve"> </w:t>
      </w:r>
      <w:r>
        <w:t xml:space="preserve">Dynamo began with</w:t>
      </w:r>
      <w:r>
        <w:t xml:space="preserve"> </w:t>
      </w:r>
      <m:oMath>
        <m:r>
          <m:t>T</m:t>
        </m:r>
      </m:oMath>
      <w:r>
        <w:t xml:space="preserve"> </w:t>
      </w:r>
      <w:r>
        <w:t xml:space="preserve">random tokens per node. The paper reports that bootstrapping a node required scanning others’ data and that shifting partition boundaries complicated archiving and Merkle-tree maintenance. Dynamo moved to</w:t>
      </w:r>
      <w:r>
        <w:t xml:space="preserve"> </w:t>
      </w:r>
      <m:oMath>
        <m:r>
          <m:t>Q</m:t>
        </m:r>
      </m:oMath>
      <w:r>
        <w:t xml:space="preserve"> </w:t>
      </w:r>
      <w:r>
        <w:t xml:space="preserve">equal-sized partitions with</w:t>
      </w:r>
      <w:r>
        <w:t xml:space="preserve"> </w:t>
      </w:r>
      <m:oMath>
        <m:r>
          <m:t>Q</m:t>
        </m:r>
        <m:r>
          <m:rPr>
            <m:sty m:val="p"/>
          </m:rPr>
          <m:t>/</m:t>
        </m:r>
        <m:r>
          <m:t>S</m:t>
        </m:r>
      </m:oMath>
      <w:r>
        <w:t xml:space="preserve"> </w:t>
      </w:r>
      <w:r>
        <w:t xml:space="preserve">assigned to each of</w:t>
      </w:r>
      <w:r>
        <w:t xml:space="preserve"> </w:t>
      </w:r>
      <m:oMath>
        <m:r>
          <m:t>S</m:t>
        </m:r>
      </m:oMath>
      <w:r>
        <w:t xml:space="preserve"> </w:t>
      </w:r>
      <w:r>
        <w:t xml:space="preserve">nodes, which the paper reports gave the best load-balancing efficiency and the smallest membership metadata of the strategies compared: the fixed-partitions approach of §14.9.</w:t>
      </w:r>
      <w:r>
        <w:t xml:space="preserve"> </w:t>
      </w:r>
      <w:r>
        <w:rPr>
          <w:iCs/>
          <w:i/>
        </w:rPr>
        <w:t xml:space="preserve">Evidence: Primary</w:t>
      </w:r>
      <w:r>
        <w:t xml:space="preserve"> </w:t>
      </w:r>
      <w:r>
        <w:t xml:space="preserve">— [DeCandia et al. 2007]</w:t>
      </w:r>
    </w:p>
    <w:p>
      <w:pPr>
        <w:pStyle w:val="CalloutIndustry"/>
      </w:pPr>
      <w:r>
        <w:rPr>
          <w:bCs/>
          <w:b/>
        </w:rPr>
        <w:t xml:space="preserve">INDUSTRY EXAMPLE</w:t>
      </w:r>
    </w:p>
    <w:p>
      <w:pPr>
        <w:pStyle w:val="CalloutIndustry"/>
      </w:pPr>
      <w:r>
        <w:rPr>
          <w:bCs/>
          <w:b/>
        </w:rPr>
        <w:t xml:space="preserve">Apache Cassandra.</w:t>
      </w:r>
      <w:r>
        <w:t xml:space="preserve"> </w:t>
      </w:r>
      <w:r>
        <w:t xml:space="preserve">Early Cassandra used one token per node and moved tokens to rebalance [Lakshman and Malik 2010]. Later releases defaulted to 256 random vnodes per node. Cassandra 4.0 lowered the default</w:t>
      </w:r>
      <w:r>
        <w:t xml:space="preserve"> </w:t>
      </w:r>
      <w:r>
        <w:rPr>
          <w:rStyle w:val="VerbatimChar"/>
        </w:rPr>
        <w:t xml:space="preserve">num_tokens</w:t>
      </w:r>
      <w:r>
        <w:t xml:space="preserve"> </w:t>
      </w:r>
      <w:r>
        <w:t xml:space="preserve">to 16 with an allocation algorithm that places tokens to balance load for a replication factor, cutting repair and streaming cost (as of Cassandra 4.0).</w:t>
      </w:r>
      <w:r>
        <w:t xml:space="preserve"> </w:t>
      </w:r>
      <w:r>
        <w:rPr>
          <w:iCs/>
          <w:i/>
        </w:rPr>
        <w:t xml:space="preserve">Evidence: Primary</w:t>
      </w:r>
      <w:r>
        <w:t xml:space="preserve"> </w:t>
      </w:r>
      <w:r>
        <w:t xml:space="preserve">— [Apache Cassandra Docs]</w:t>
      </w:r>
    </w:p>
    <w:bookmarkEnd w:id="1622"/>
    <w:bookmarkStart w:id="1626" w:name="Xc27cdb5f3a86524313888594962975922aab0a9"/>
    <w:p>
      <w:pPr>
        <w:pStyle w:val="Heading3"/>
      </w:pPr>
      <w:r>
        <w:t xml:space="preserve">14.8.6 Alternatives: jump consistent hash and rendezvous hashing</w:t>
      </w:r>
    </w:p>
    <w:p>
      <w:pPr>
        <w:pStyle w:val="FirstParagraph"/>
      </w:pPr>
      <w:r>
        <w:t xml:space="preserve">Two other algorithms give the same minimal movement with different trade-offs.</w:t>
      </w:r>
    </w:p>
    <w:bookmarkStart w:id="1623" w:name="jump-consistent-hash"/>
    <w:p>
      <w:pPr>
        <w:pStyle w:val="Heading4"/>
      </w:pPr>
      <w:r>
        <w:t xml:space="preserve">Jump consistent hash</w:t>
      </w:r>
    </w:p>
    <w:p>
      <w:pPr>
        <w:pStyle w:val="FirstParagraph"/>
      </w:pPr>
      <w:r>
        <w:rPr>
          <w:bCs/>
          <w:b/>
        </w:rPr>
        <w:t xml:space="preserve">Jump consistent hash</w:t>
      </w:r>
      <w:r>
        <w:t xml:space="preserve"> </w:t>
      </w:r>
      <w:r>
        <w:t xml:space="preserve">maps a 64-bit key and a bucket count</w:t>
      </w:r>
      <w:r>
        <w:t xml:space="preserve"> </w:t>
      </w:r>
      <m:oMath>
        <m:r>
          <m:t>n</m:t>
        </m:r>
      </m:oMath>
      <w:r>
        <w:t xml:space="preserve"> </w:t>
      </w:r>
      <w:r>
        <w:t xml:space="preserve">to a bucket in</w:t>
      </w:r>
      <w:r>
        <w:t xml:space="preserve"> </w:t>
      </w:r>
      <m:oMath>
        <m:r>
          <m:rPr>
            <m:sty m:val="p"/>
          </m:rPr>
          <m:t>[</m:t>
        </m:r>
        <m:r>
          <m:t>0</m:t>
        </m:r>
        <m:r>
          <m:rPr>
            <m:sty m:val="p"/>
          </m:rPr>
          <m:t>,</m:t>
        </m:r>
        <m:r>
          <m:t>n</m:t>
        </m:r>
        <m:r>
          <m:rPr>
            <m:sty m:val="p"/>
          </m:rPr>
          <m:t>)</m:t>
        </m:r>
      </m:oMath>
      <w:r>
        <w:t xml:space="preserve"> </w:t>
      </w:r>
      <w:r>
        <w:t xml:space="preserve">using a few registers and no table [Lamping and Veach 2014]. Growing from</w:t>
      </w:r>
      <w:r>
        <w:t xml:space="preserve"> </w:t>
      </w:r>
      <m:oMath>
        <m:r>
          <m:t>b</m:t>
        </m:r>
      </m:oMath>
      <w:r>
        <w:t xml:space="preserve"> </w:t>
      </w:r>
      <w:r>
        <w:t xml:space="preserve">to</w:t>
      </w:r>
      <w:r>
        <w:t xml:space="preserve"> </w:t>
      </w:r>
      <m:oMath>
        <m:r>
          <m:t>b</m:t>
        </m:r>
        <m:r>
          <m:rPr>
            <m:sty m:val="p"/>
          </m:rPr>
          <m:t>+</m:t>
        </m:r>
        <m:r>
          <m:t>1</m:t>
        </m:r>
      </m:oMath>
      <w:r>
        <w:t xml:space="preserve"> </w:t>
      </w:r>
      <w:r>
        <w:t xml:space="preserve">buckets should move a key to the new bucket with probability exactly</w:t>
      </w:r>
      <w:r>
        <w:t xml:space="preserve"> </w:t>
      </w:r>
      <m:oMath>
        <m:r>
          <m:t>1</m:t>
        </m:r>
        <m:r>
          <m:rPr>
            <m:sty m:val="p"/>
          </m:rPr>
          <m:t>/</m:t>
        </m:r>
        <m:d>
          <m:dPr>
            <m:begChr m:val="("/>
            <m:endChr m:val=")"/>
            <m:sepChr m:val=""/>
            <m:grow/>
          </m:dPr>
          <m:e>
            <m:r>
              <m:t>b</m:t>
            </m:r>
            <m:r>
              <m:rPr>
                <m:sty m:val="p"/>
              </m:rPr>
              <m:t>+</m:t>
            </m:r>
            <m:r>
              <m:t>1</m:t>
            </m:r>
          </m:e>
        </m:d>
      </m:oMath>
      <w:r>
        <w:t xml:space="preserve">. Seeding a pseudorandom generator with the key makes those jump decisions deterministic, and the algorithm draws the position of the key’s</w:t>
      </w:r>
      <w:r>
        <w:t xml:space="preserve"> </w:t>
      </w:r>
      <w:r>
        <w:rPr>
          <w:iCs/>
          <w:i/>
        </w:rPr>
        <w:t xml:space="preserve">next</w:t>
      </w:r>
      <w:r>
        <w:t xml:space="preserve"> </w:t>
      </w:r>
      <w:r>
        <w:t xml:space="preserve">jump directly, so the loop runs only</w:t>
      </w:r>
      <w:r>
        <w:t xml:space="preserve"> </w:t>
      </w:r>
      <m:oMath>
        <m:r>
          <m:t>O</m:t>
        </m:r>
        <m:d>
          <m:dPr>
            <m:begChr m:val="("/>
            <m:endChr m:val=")"/>
            <m:sepChr m:val=""/>
            <m:grow/>
          </m:dPr>
          <m:e>
            <m:r>
              <m:rPr>
                <m:sty m:val="p"/>
              </m:rPr>
              <m:t>ln</m:t>
            </m:r>
            <m:r>
              <m:t>n</m:t>
            </m:r>
          </m:e>
        </m:d>
      </m:oMath>
      <w:r>
        <w:t xml:space="preserve"> </w:t>
      </w:r>
      <w:r>
        <w:t xml:space="preserve">times on average. The Python port below follows the paper’s C++ code and compares it with rendezvous hashing.</w:t>
      </w:r>
    </w:p>
    <w:p>
      <w:pPr>
        <w:pStyle w:val="SourceCode"/>
      </w:pPr>
      <w:r>
        <w:rPr>
          <w:rStyle w:val="CommentTok"/>
        </w:rPr>
        <w:t xml:space="preserve">"""Jump consistent hash and rendezvous (HRW) hashing, compared on movement and balance."""</w:t>
      </w:r>
      <w:r>
        <w:br/>
      </w:r>
      <w:r>
        <w:rPr>
          <w:rStyle w:val="ImportTok"/>
        </w:rPr>
        <w:t xml:space="preserve">import</w:t>
      </w:r>
      <w:r>
        <w:rPr>
          <w:rStyle w:val="NormalTok"/>
        </w:rPr>
        <w:t xml:space="preserve"> hashlib</w:t>
      </w:r>
      <w:r>
        <w:br/>
      </w:r>
      <w:r>
        <w:rPr>
          <w:rStyle w:val="ImportTok"/>
        </w:rPr>
        <w:t xml:space="preserve">import</w:t>
      </w:r>
      <w:r>
        <w:rPr>
          <w:rStyle w:val="NormalTok"/>
        </w:rPr>
        <w:t xml:space="preserve"> statistics</w:t>
      </w:r>
      <w:r>
        <w:br/>
      </w:r>
      <w:r>
        <w:br/>
      </w:r>
      <w:r>
        <w:rPr>
          <w:rStyle w:val="NormalTok"/>
        </w:rPr>
        <w:t xml:space="preserve">MASK64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&lt;&lt;</w:t>
      </w:r>
      <w:r>
        <w:rPr>
          <w:rStyle w:val="NormalTok"/>
        </w:rPr>
        <w:t xml:space="preserve"> </w:t>
      </w:r>
      <w:r>
        <w:rPr>
          <w:rStyle w:val="DecValTok"/>
        </w:rPr>
        <w:t xml:space="preserve">64</w:t>
      </w:r>
      <w:r>
        <w:rPr>
          <w:rStyle w:val="NormalTok"/>
        </w:rPr>
        <w:t xml:space="preserve">) </w:t>
      </w:r>
      <w:r>
        <w:rPr>
          <w:rStyle w:val="OperatorTok"/>
        </w:rPr>
        <w:t xml:space="preserve">-</w:t>
      </w:r>
      <w:r>
        <w:rPr>
          <w:rStyle w:val="NormalTok"/>
        </w:rPr>
        <w:t xml:space="preserve"> </w:t>
      </w:r>
      <w:r>
        <w:rPr>
          <w:rStyle w:val="DecValTok"/>
        </w:rPr>
        <w:t xml:space="preserve">1</w:t>
      </w:r>
      <w:r>
        <w:br/>
      </w:r>
      <w:r>
        <w:br/>
      </w:r>
      <w:r>
        <w:rPr>
          <w:rStyle w:val="KeywordTok"/>
        </w:rPr>
        <w:t xml:space="preserve">def</w:t>
      </w:r>
      <w:r>
        <w:rPr>
          <w:rStyle w:val="NormalTok"/>
        </w:rPr>
        <w:t xml:space="preserve"> h64(s: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int</w:t>
      </w:r>
      <w:r>
        <w:rPr>
          <w:rStyle w:val="NormalTok"/>
        </w:rPr>
        <w:t xml:space="preserve">.from_bytes(hashlib.md5(s.encode(</w:t>
      </w:r>
      <w:r>
        <w:rPr>
          <w:rStyle w:val="StringTok"/>
        </w:rPr>
        <w:t xml:space="preserve">"utf-8"</w:t>
      </w:r>
      <w:r>
        <w:rPr>
          <w:rStyle w:val="NormalTok"/>
        </w:rPr>
        <w:t xml:space="preserve">)).digest()[:</w:t>
      </w:r>
      <w:r>
        <w:rPr>
          <w:rStyle w:val="DecValTok"/>
        </w:rPr>
        <w:t xml:space="preserve">8</w:t>
      </w:r>
      <w:r>
        <w:rPr>
          <w:rStyle w:val="NormalTok"/>
        </w:rPr>
        <w:t xml:space="preserve">], </w:t>
      </w:r>
      <w:r>
        <w:rPr>
          <w:rStyle w:val="StringTok"/>
        </w:rPr>
        <w:t xml:space="preserve">"big"</w:t>
      </w:r>
      <w:r>
        <w:rPr>
          <w:rStyle w:val="NormalTok"/>
        </w:rPr>
        <w:t xml:space="preserve">)</w:t>
      </w:r>
      <w:r>
        <w:br/>
      </w:r>
      <w:r>
        <w:br/>
      </w:r>
      <w:r>
        <w:rPr>
          <w:rStyle w:val="KeywordTok"/>
        </w:rPr>
        <w:t xml:space="preserve">def</w:t>
      </w:r>
      <w:r>
        <w:rPr>
          <w:rStyle w:val="NormalTok"/>
        </w:rPr>
        <w:t xml:space="preserve"> jump_hash(key: </w:t>
      </w:r>
      <w:r>
        <w:rPr>
          <w:rStyle w:val="BuiltInTok"/>
        </w:rPr>
        <w:t xml:space="preserve">int</w:t>
      </w:r>
      <w:r>
        <w:rPr>
          <w:rStyle w:val="NormalTok"/>
        </w:rPr>
        <w:t xml:space="preserve">, num_buckets: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"""Lamping &amp; Veach (2014): 64-bit key -&gt; bucket in [0, num_buckets)."""</w:t>
      </w:r>
      <w:r>
        <w:br/>
      </w:r>
      <w:r>
        <w:rPr>
          <w:rStyle w:val="NormalTok"/>
        </w:rPr>
        <w:t xml:space="preserve">    b, j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0</w:t>
      </w:r>
      <w:r>
        <w:br/>
      </w:r>
      <w:r>
        <w:rPr>
          <w:rStyle w:val="NormalTok"/>
        </w:rPr>
        <w:t xml:space="preserve">    </w:t>
      </w:r>
      <w:r>
        <w:rPr>
          <w:rStyle w:val="ControlFlowTok"/>
        </w:rPr>
        <w:t xml:space="preserve">while</w:t>
      </w:r>
      <w:r>
        <w:rPr>
          <w:rStyle w:val="NormalTok"/>
        </w:rPr>
        <w:t xml:space="preserve"> j </w:t>
      </w:r>
      <w:r>
        <w:rPr>
          <w:rStyle w:val="OperatorTok"/>
        </w:rPr>
        <w:t xml:space="preserve">&lt;</w:t>
      </w:r>
      <w:r>
        <w:rPr>
          <w:rStyle w:val="NormalTok"/>
        </w:rPr>
        <w:t xml:space="preserve"> num_buckets:</w:t>
      </w:r>
      <w:r>
        <w:br/>
      </w:r>
      <w:r>
        <w:rPr>
          <w:rStyle w:val="NormalTok"/>
        </w:rPr>
        <w:t xml:space="preserve">        b </w:t>
      </w:r>
      <w:r>
        <w:rPr>
          <w:rStyle w:val="OperatorTok"/>
        </w:rPr>
        <w:t xml:space="preserve">=</w:t>
      </w:r>
      <w:r>
        <w:rPr>
          <w:rStyle w:val="NormalTok"/>
        </w:rPr>
        <w:t xml:space="preserve"> j</w:t>
      </w:r>
      <w:r>
        <w:br/>
      </w:r>
      <w:r>
        <w:rPr>
          <w:rStyle w:val="NormalTok"/>
        </w:rPr>
        <w:t xml:space="preserve">        key </w:t>
      </w:r>
      <w:r>
        <w:rPr>
          <w:rStyle w:val="OperatorTok"/>
        </w:rPr>
        <w:t xml:space="preserve">=</w:t>
      </w:r>
      <w:r>
        <w:rPr>
          <w:rStyle w:val="NormalTok"/>
        </w:rPr>
        <w:t xml:space="preserve"> (key </w:t>
      </w:r>
      <w:r>
        <w:rPr>
          <w:rStyle w:val="OperatorTok"/>
        </w:rPr>
        <w:t xml:space="preserve">*</w:t>
      </w:r>
      <w:r>
        <w:rPr>
          <w:rStyle w:val="NormalTok"/>
        </w:rPr>
        <w:t xml:space="preserve"> </w:t>
      </w:r>
      <w:r>
        <w:rPr>
          <w:rStyle w:val="DecValTok"/>
        </w:rPr>
        <w:t xml:space="preserve">2862933555777941757</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&amp;</w:t>
      </w:r>
      <w:r>
        <w:rPr>
          <w:rStyle w:val="NormalTok"/>
        </w:rPr>
        <w:t xml:space="preserve"> MASK64   </w:t>
      </w:r>
      <w:r>
        <w:rPr>
          <w:rStyle w:val="CommentTok"/>
        </w:rPr>
        <w:t xml:space="preserve"># 64-bit LCG step</w:t>
      </w:r>
      <w:r>
        <w:br/>
      </w:r>
      <w:r>
        <w:rPr>
          <w:rStyle w:val="NormalTok"/>
        </w:rPr>
        <w:t xml:space="preserve">        j </w:t>
      </w:r>
      <w:r>
        <w:rPr>
          <w:rStyle w:val="OperatorTok"/>
        </w:rPr>
        <w:t xml:space="preserve">=</w:t>
      </w:r>
      <w:r>
        <w:rPr>
          <w:rStyle w:val="NormalTok"/>
        </w:rPr>
        <w:t xml:space="preserve"> </w:t>
      </w:r>
      <w:r>
        <w:rPr>
          <w:rStyle w:val="BuiltInTok"/>
        </w:rPr>
        <w:t xml:space="preserve">int</w:t>
      </w:r>
      <w:r>
        <w:rPr>
          <w:rStyle w:val="NormalTok"/>
        </w:rPr>
        <w:t xml:space="preserve">((b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float</w:t>
      </w:r>
      <w:r>
        <w:rPr>
          <w:rStyle w:val="NormalTok"/>
        </w:rPr>
        <w:t xml:space="preserve">(</w:t>
      </w:r>
      <w:r>
        <w:rPr>
          <w:rStyle w:val="DecValTok"/>
        </w:rPr>
        <w:t xml:space="preserve">1</w:t>
      </w:r>
      <w:r>
        <w:rPr>
          <w:rStyle w:val="NormalTok"/>
        </w:rPr>
        <w:t xml:space="preserve"> </w:t>
      </w:r>
      <w:r>
        <w:rPr>
          <w:rStyle w:val="OperatorTok"/>
        </w:rPr>
        <w:t xml:space="preserve">&lt;&lt;</w:t>
      </w:r>
      <w:r>
        <w:rPr>
          <w:rStyle w:val="NormalTok"/>
        </w:rPr>
        <w:t xml:space="preserve"> </w:t>
      </w:r>
      <w:r>
        <w:rPr>
          <w:rStyle w:val="DecValTok"/>
        </w:rPr>
        <w:t xml:space="preserve">31</w:t>
      </w:r>
      <w:r>
        <w:rPr>
          <w:rStyle w:val="NormalTok"/>
        </w:rPr>
        <w:t xml:space="preserve">) </w:t>
      </w:r>
      <w:r>
        <w:rPr>
          <w:rStyle w:val="OperatorTok"/>
        </w:rPr>
        <w:t xml:space="preserve">/</w:t>
      </w:r>
      <w:r>
        <w:rPr>
          <w:rStyle w:val="NormalTok"/>
        </w:rPr>
        <w:t xml:space="preserve"> </w:t>
      </w:r>
      <w:r>
        <w:rPr>
          <w:rStyle w:val="BuiltInTok"/>
        </w:rPr>
        <w:t xml:space="preserve">float</w:t>
      </w:r>
      <w:r>
        <w:rPr>
          <w:rStyle w:val="NormalTok"/>
        </w:rPr>
        <w:t xml:space="preserve">((key </w:t>
      </w:r>
      <w:r>
        <w:rPr>
          <w:rStyle w:val="OperatorTok"/>
        </w:rPr>
        <w:t xml:space="preserve">&gt;&gt;</w:t>
      </w:r>
      <w:r>
        <w:rPr>
          <w:rStyle w:val="NormalTok"/>
        </w:rPr>
        <w:t xml:space="preserve"> </w:t>
      </w:r>
      <w:r>
        <w:rPr>
          <w:rStyle w:val="DecValTok"/>
        </w:rPr>
        <w:t xml:space="preserve">33</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b</w:t>
      </w:r>
      <w:r>
        <w:br/>
      </w:r>
      <w:r>
        <w:br/>
      </w:r>
      <w:r>
        <w:rPr>
          <w:rStyle w:val="KeywordTok"/>
        </w:rPr>
        <w:t xml:space="preserve">def</w:t>
      </w:r>
      <w:r>
        <w:rPr>
          <w:rStyle w:val="NormalTok"/>
        </w:rPr>
        <w:t xml:space="preserve"> rendezvous(key: </w:t>
      </w:r>
      <w:r>
        <w:rPr>
          <w:rStyle w:val="BuiltInTok"/>
        </w:rPr>
        <w:t xml:space="preserve">str</w:t>
      </w:r>
      <w:r>
        <w:rPr>
          <w:rStyle w:val="NormalTok"/>
        </w:rPr>
        <w:t xml:space="preserve">, nodes: </w:t>
      </w:r>
      <w:r>
        <w:rPr>
          <w:rStyle w:val="BuiltInTok"/>
        </w:rPr>
        <w:t xml:space="preserve">list</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"""Highest random weight: every node scores the key; the top score wins."""</w:t>
      </w:r>
      <w:r>
        <w:br/>
      </w:r>
      <w:r>
        <w:rPr>
          <w:rStyle w:val="NormalTok"/>
        </w:rPr>
        <w:t xml:space="preserve">    </w:t>
      </w:r>
      <w:r>
        <w:rPr>
          <w:rStyle w:val="ControlFlowTok"/>
        </w:rPr>
        <w:t xml:space="preserve">return</w:t>
      </w:r>
      <w:r>
        <w:rPr>
          <w:rStyle w:val="NormalTok"/>
        </w:rPr>
        <w:t xml:space="preserve"> </w:t>
      </w:r>
      <w:r>
        <w:rPr>
          <w:rStyle w:val="BuiltInTok"/>
        </w:rPr>
        <w:t xml:space="preserve">max</w:t>
      </w:r>
      <w:r>
        <w:rPr>
          <w:rStyle w:val="NormalTok"/>
        </w:rPr>
        <w:t xml:space="preserve">(nodes, key</w:t>
      </w:r>
      <w:r>
        <w:rPr>
          <w:rStyle w:val="OperatorTok"/>
        </w:rPr>
        <w:t xml:space="preserve">=</w:t>
      </w:r>
      <w:r>
        <w:rPr>
          <w:rStyle w:val="KeywordTok"/>
        </w:rPr>
        <w:t xml:space="preserve">lambda</w:t>
      </w:r>
      <w:r>
        <w:rPr>
          <w:rStyle w:val="NormalTok"/>
        </w:rPr>
        <w:t xml:space="preserve"> node: h64(</w:t>
      </w:r>
      <w:r>
        <w:rPr>
          <w:rStyle w:val="SpecialStringTok"/>
        </w:rPr>
        <w:t xml:space="preserve">f"</w:t>
      </w:r>
      <w:r>
        <w:rPr>
          <w:rStyle w:val="SpecialCharTok"/>
        </w:rPr>
        <w:t xml:space="preserve">{</w:t>
      </w:r>
      <w:r>
        <w:rPr>
          <w:rStyle w:val="NormalTok"/>
        </w:rPr>
        <w:t xml:space="preserve">node</w:t>
      </w:r>
      <w:r>
        <w:rPr>
          <w:rStyle w:val="SpecialCharTok"/>
        </w:rPr>
        <w:t xml:space="preserve">}</w:t>
      </w:r>
      <w:r>
        <w:rPr>
          <w:rStyle w:val="SpecialStringTok"/>
        </w:rPr>
        <w:t xml:space="preserve">|</w:t>
      </w:r>
      <w:r>
        <w:rPr>
          <w:rStyle w:val="SpecialCharTok"/>
        </w:rPr>
        <w:t xml:space="preserve">{</w:t>
      </w:r>
      <w:r>
        <w:rPr>
          <w:rStyle w:val="NormalTok"/>
        </w:rPr>
        <w:t xml:space="preserve">key</w:t>
      </w:r>
      <w:r>
        <w:rPr>
          <w:rStyle w:val="SpecialCharTok"/>
        </w:rPr>
        <w:t xml:space="preserve">}</w:t>
      </w:r>
      <w:r>
        <w:rPr>
          <w:rStyle w:val="SpecialStringTok"/>
        </w:rPr>
        <w:t xml:space="preserve">"</w:t>
      </w:r>
      <w:r>
        <w:rPr>
          <w:rStyle w:val="NormalTok"/>
        </w:rPr>
        <w:t xml:space="preserve">))</w:t>
      </w:r>
      <w:r>
        <w:br/>
      </w:r>
      <w:r>
        <w:br/>
      </w:r>
      <w:r>
        <w:rPr>
          <w:rStyle w:val="KeywordTok"/>
        </w:rPr>
        <w:t xml:space="preserve">def</w:t>
      </w:r>
      <w:r>
        <w:rPr>
          <w:rStyle w:val="NormalTok"/>
        </w:rPr>
        <w:t xml:space="preserve"> report(name, assign_before, assign_after, keys, n_after):</w:t>
      </w:r>
      <w:r>
        <w:br/>
      </w:r>
      <w:r>
        <w:rPr>
          <w:rStyle w:val="NormalTok"/>
        </w:rPr>
        <w:t xml:space="preserve">    moved </w:t>
      </w:r>
      <w:r>
        <w:rPr>
          <w:rStyle w:val="OperatorTok"/>
        </w:rPr>
        <w:t xml:space="preserve">=</w:t>
      </w:r>
      <w:r>
        <w:rPr>
          <w:rStyle w:val="NormalTok"/>
        </w:rPr>
        <w:t xml:space="preserve"> </w:t>
      </w:r>
      <w:r>
        <w:rPr>
          <w:rStyle w:val="BuiltInTok"/>
        </w:rPr>
        <w:t xml:space="preserve">sum</w:t>
      </w:r>
      <w:r>
        <w:rPr>
          <w:rStyle w:val="NormalTok"/>
        </w:rPr>
        <w:t xml:space="preserve">(assign_before(k) </w:t>
      </w:r>
      <w:r>
        <w:rPr>
          <w:rStyle w:val="OperatorTok"/>
        </w:rPr>
        <w:t xml:space="preserve">!=</w:t>
      </w:r>
      <w:r>
        <w:rPr>
          <w:rStyle w:val="NormalTok"/>
        </w:rPr>
        <w:t xml:space="preserve"> assign_after(k) </w:t>
      </w:r>
      <w:r>
        <w:rPr>
          <w:rStyle w:val="ControlFlowTok"/>
        </w:rPr>
        <w:t xml:space="preserve">for</w:t>
      </w:r>
      <w:r>
        <w:rPr>
          <w:rStyle w:val="NormalTok"/>
        </w:rPr>
        <w:t xml:space="preserve"> k </w:t>
      </w:r>
      <w:r>
        <w:rPr>
          <w:rStyle w:val="KeywordTok"/>
        </w:rPr>
        <w:t xml:space="preserve">in</w:t>
      </w:r>
      <w:r>
        <w:rPr>
          <w:rStyle w:val="NormalTok"/>
        </w:rPr>
        <w:t xml:space="preserve"> keys) </w:t>
      </w:r>
      <w:r>
        <w:rPr>
          <w:rStyle w:val="OperatorTok"/>
        </w:rPr>
        <w:t xml:space="preserve">/</w:t>
      </w:r>
      <w:r>
        <w:rPr>
          <w:rStyle w:val="NormalTok"/>
        </w:rPr>
        <w:t xml:space="preserve"> </w:t>
      </w:r>
      <w:r>
        <w:rPr>
          <w:rStyle w:val="BuiltInTok"/>
        </w:rPr>
        <w:t xml:space="preserve">len</w:t>
      </w:r>
      <w:r>
        <w:rPr>
          <w:rStyle w:val="NormalTok"/>
        </w:rPr>
        <w:t xml:space="preserve">(keys)</w:t>
      </w:r>
      <w:r>
        <w:br/>
      </w:r>
      <w:r>
        <w:rPr>
          <w:rStyle w:val="NormalTok"/>
        </w:rPr>
        <w:t xml:space="preserve">    counts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keys:</w:t>
      </w:r>
      <w:r>
        <w:br/>
      </w:r>
      <w:r>
        <w:rPr>
          <w:rStyle w:val="NormalTok"/>
        </w:rPr>
        <w:t xml:space="preserve">        b </w:t>
      </w:r>
      <w:r>
        <w:rPr>
          <w:rStyle w:val="OperatorTok"/>
        </w:rPr>
        <w:t xml:space="preserve">=</w:t>
      </w:r>
      <w:r>
        <w:rPr>
          <w:rStyle w:val="NormalTok"/>
        </w:rPr>
        <w:t xml:space="preserve"> assign_after(k)</w:t>
      </w:r>
      <w:r>
        <w:br/>
      </w:r>
      <w:r>
        <w:rPr>
          <w:rStyle w:val="NormalTok"/>
        </w:rPr>
        <w:t xml:space="preserve">        counts[b] </w:t>
      </w:r>
      <w:r>
        <w:rPr>
          <w:rStyle w:val="OperatorTok"/>
        </w:rPr>
        <w:t xml:space="preserve">=</w:t>
      </w:r>
      <w:r>
        <w:rPr>
          <w:rStyle w:val="NormalTok"/>
        </w:rPr>
        <w:t xml:space="preserve"> counts.get(b,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mean </w:t>
      </w:r>
      <w:r>
        <w:rPr>
          <w:rStyle w:val="OperatorTok"/>
        </w:rPr>
        <w:t xml:space="preserve">=</w:t>
      </w:r>
      <w:r>
        <w:rPr>
          <w:rStyle w:val="NormalTok"/>
        </w:rPr>
        <w:t xml:space="preserve"> </w:t>
      </w:r>
      <w:r>
        <w:rPr>
          <w:rStyle w:val="BuiltInTok"/>
        </w:rPr>
        <w:t xml:space="preserve">len</w:t>
      </w:r>
      <w:r>
        <w:rPr>
          <w:rStyle w:val="NormalTok"/>
        </w:rPr>
        <w:t xml:space="preserve">(keys) </w:t>
      </w:r>
      <w:r>
        <w:rPr>
          <w:rStyle w:val="OperatorTok"/>
        </w:rPr>
        <w:t xml:space="preserve">/</w:t>
      </w:r>
      <w:r>
        <w:rPr>
          <w:rStyle w:val="NormalTok"/>
        </w:rPr>
        <w:t xml:space="preserve"> n_after</w:t>
      </w:r>
      <w:r>
        <w:br/>
      </w:r>
      <w:r>
        <w:rPr>
          <w:rStyle w:val="NormalTok"/>
        </w:rPr>
        <w:t xml:space="preserve">    cv </w:t>
      </w:r>
      <w:r>
        <w:rPr>
          <w:rStyle w:val="OperatorTok"/>
        </w:rPr>
        <w:t xml:space="preserve">=</w:t>
      </w:r>
      <w:r>
        <w:rPr>
          <w:rStyle w:val="NormalTok"/>
        </w:rPr>
        <w:t xml:space="preserve"> statistics.pstdev(counts.values()) </w:t>
      </w:r>
      <w:r>
        <w:rPr>
          <w:rStyle w:val="OperatorTok"/>
        </w:rPr>
        <w:t xml:space="preserve">/</w:t>
      </w:r>
      <w:r>
        <w:rPr>
          <w:rStyle w:val="NormalTok"/>
        </w:rPr>
        <w:t xml:space="preserve"> mean</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:&lt;11}</w:t>
      </w:r>
      <w:r>
        <w:rPr>
          <w:rStyle w:val="SpecialStringTok"/>
        </w:rPr>
        <w:t xml:space="preserve"> moved </w:t>
      </w:r>
      <w:r>
        <w:rPr>
          <w:rStyle w:val="SpecialCharTok"/>
        </w:rPr>
        <w:t xml:space="preserve">{</w:t>
      </w:r>
      <w:r>
        <w:rPr>
          <w:rStyle w:val="NormalTok"/>
        </w:rPr>
        <w:t xml:space="preserve">moved</w:t>
      </w:r>
      <w:r>
        <w:rPr>
          <w:rStyle w:val="SpecialCharTok"/>
        </w:rPr>
        <w:t xml:space="preserve">:6.2%}</w:t>
      </w:r>
      <w:r>
        <w:rPr>
          <w:rStyle w:val="SpecialStringTok"/>
        </w:rPr>
        <w:t xml:space="preserve"> (ideal </w:t>
      </w:r>
      <w:r>
        <w:rPr>
          <w:rStyle w:val="SpecialCharTok"/>
        </w:rPr>
        <w:t xml:space="preserve">{</w:t>
      </w:r>
      <w:r>
        <w:rPr>
          <w:rStyle w:val="DecValTok"/>
        </w:rPr>
        <w:t xml:space="preserve">1</w:t>
      </w:r>
      <w:r>
        <w:rPr>
          <w:rStyle w:val="NormalTok"/>
        </w:rPr>
        <w:t xml:space="preserve"> </w:t>
      </w:r>
      <w:r>
        <w:rPr>
          <w:rStyle w:val="OperatorTok"/>
        </w:rPr>
        <w:t xml:space="preserve">/</w:t>
      </w:r>
      <w:r>
        <w:rPr>
          <w:rStyle w:val="NormalTok"/>
        </w:rPr>
        <w:t xml:space="preserve"> n_after</w:t>
      </w:r>
      <w:r>
        <w:rPr>
          <w:rStyle w:val="SpecialCharTok"/>
        </w:rPr>
        <w:t xml:space="preserve">:.2%}</w:t>
      </w:r>
      <w:r>
        <w:rPr>
          <w:rStyle w:val="SpecialStringTok"/>
        </w:rPr>
        <w:t xml:space="preserve">)  "</w:t>
      </w:r>
      <w:r>
        <w:br/>
      </w:r>
      <w:r>
        <w:rPr>
          <w:rStyle w:val="NormalTok"/>
        </w:rPr>
        <w:t xml:space="preserve">          </w:t>
      </w:r>
      <w:r>
        <w:rPr>
          <w:rStyle w:val="SpecialStringTok"/>
        </w:rPr>
        <w:t xml:space="preserve">f"key-count CV </w:t>
      </w:r>
      <w:r>
        <w:rPr>
          <w:rStyle w:val="SpecialCharTok"/>
        </w:rPr>
        <w:t xml:space="preserve">{</w:t>
      </w:r>
      <w:r>
        <w:rPr>
          <w:rStyle w:val="NormalTok"/>
        </w:rPr>
        <w:t xml:space="preserve">cv</w:t>
      </w:r>
      <w:r>
        <w:rPr>
          <w:rStyle w:val="SpecialCharTok"/>
        </w:rPr>
        <w:t xml:space="preserve">:.4f}</w:t>
      </w:r>
      <w:r>
        <w:rPr>
          <w:rStyle w:val="SpecialStringTok"/>
        </w:rPr>
        <w:t xml:space="preserve">  max/mean </w:t>
      </w:r>
      <w:r>
        <w:rPr>
          <w:rStyle w:val="SpecialCharTok"/>
        </w:rPr>
        <w:t xml:space="preserve">{</w:t>
      </w:r>
      <w:r>
        <w:rPr>
          <w:rStyle w:val="BuiltInTok"/>
        </w:rPr>
        <w:t xml:space="preserve">max</w:t>
      </w:r>
      <w:r>
        <w:rPr>
          <w:rStyle w:val="NormalTok"/>
        </w:rPr>
        <w:t xml:space="preserve">(counts.values()) </w:t>
      </w:r>
      <w:r>
        <w:rPr>
          <w:rStyle w:val="OperatorTok"/>
        </w:rPr>
        <w:t xml:space="preserve">/</w:t>
      </w:r>
      <w:r>
        <w:rPr>
          <w:rStyle w:val="NormalTok"/>
        </w:rPr>
        <w:t xml:space="preserve"> mean</w:t>
      </w:r>
      <w:r>
        <w:rPr>
          <w:rStyle w:val="SpecialCharTok"/>
        </w:rPr>
        <w:t xml:space="preserve">:.3f}</w:t>
      </w:r>
      <w:r>
        <w:rPr>
          <w:rStyle w:val="SpecialStringTok"/>
        </w:rPr>
        <w:t xml:space="preserve">"</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keys </w:t>
      </w:r>
      <w:r>
        <w:rPr>
          <w:rStyle w:val="OperatorTok"/>
        </w:rPr>
        <w:t xml:space="preserve">=</w:t>
      </w:r>
      <w:r>
        <w:rPr>
          <w:rStyle w:val="NormalTok"/>
        </w:rPr>
        <w:t xml:space="preserve"> [</w:t>
      </w:r>
      <w:r>
        <w:rPr>
          <w:rStyle w:val="SpecialStringTok"/>
        </w:rPr>
        <w:t xml:space="preserve">f"order:</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100_000</w:t>
      </w:r>
      <w:r>
        <w:rPr>
          <w:rStyle w:val="NormalTok"/>
        </w:rPr>
        <w:t xml:space="preserve">)]</w:t>
      </w:r>
      <w:r>
        <w:br/>
      </w:r>
      <w:r>
        <w:rPr>
          <w:rStyle w:val="NormalTok"/>
        </w:rPr>
        <w:t xml:space="preserve">    hashed </w:t>
      </w:r>
      <w:r>
        <w:rPr>
          <w:rStyle w:val="OperatorTok"/>
        </w:rPr>
        <w:t xml:space="preserve">=</w:t>
      </w:r>
      <w:r>
        <w:rPr>
          <w:rStyle w:val="NormalTok"/>
        </w:rPr>
        <w:t xml:space="preserve"> {k: h64(k) </w:t>
      </w:r>
      <w:r>
        <w:rPr>
          <w:rStyle w:val="ControlFlowTok"/>
        </w:rPr>
        <w:t xml:space="preserve">for</w:t>
      </w:r>
      <w:r>
        <w:rPr>
          <w:rStyle w:val="NormalTok"/>
        </w:rPr>
        <w:t xml:space="preserve"> k </w:t>
      </w:r>
      <w:r>
        <w:rPr>
          <w:rStyle w:val="KeywordTok"/>
        </w:rPr>
        <w:t xml:space="preserve">in</w:t>
      </w:r>
      <w:r>
        <w:rPr>
          <w:rStyle w:val="NormalTok"/>
        </w:rPr>
        <w:t xml:space="preserve"> keys}</w:t>
      </w:r>
      <w:r>
        <w:br/>
      </w:r>
      <w:r>
        <w:rPr>
          <w:rStyle w:val="NormalTok"/>
        </w:rPr>
        <w:t xml:space="preserve">    n </w:t>
      </w:r>
      <w:r>
        <w:rPr>
          <w:rStyle w:val="OperatorTok"/>
        </w:rPr>
        <w:t xml:space="preserve">=</w:t>
      </w:r>
      <w:r>
        <w:rPr>
          <w:rStyle w:val="NormalTok"/>
        </w:rPr>
        <w:t xml:space="preserve"> </w:t>
      </w:r>
      <w:r>
        <w:rPr>
          <w:rStyle w:val="DecValTok"/>
        </w:rPr>
        <w:t xml:space="preserve">10</w:t>
      </w:r>
      <w:r>
        <w:br/>
      </w:r>
      <w:r>
        <w:rPr>
          <w:rStyle w:val="NormalTok"/>
        </w:rPr>
        <w:t xml:space="preserve">    names </w:t>
      </w:r>
      <w:r>
        <w:rPr>
          <w:rStyle w:val="OperatorTok"/>
        </w:rPr>
        <w:t xml:space="preserve">=</w:t>
      </w:r>
      <w:r>
        <w:rPr>
          <w:rStyle w:val="NormalTok"/>
        </w:rPr>
        <w:t xml:space="preserve"> [</w:t>
      </w:r>
      <w:r>
        <w:rPr>
          <w:rStyle w:val="SpecialStringTok"/>
        </w:rPr>
        <w:t xml:space="preserve">f"db-</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report(</w:t>
      </w:r>
      <w:r>
        <w:rPr>
          <w:rStyle w:val="StringTok"/>
        </w:rPr>
        <w:t xml:space="preserve">"jump"</w:t>
      </w:r>
      <w:r>
        <w:rPr>
          <w:rStyle w:val="NormalTok"/>
        </w:rPr>
        <w:t xml:space="preserve">, </w:t>
      </w:r>
      <w:r>
        <w:rPr>
          <w:rStyle w:val="KeywordTok"/>
        </w:rPr>
        <w:t xml:space="preserve">lambda</w:t>
      </w:r>
      <w:r>
        <w:rPr>
          <w:rStyle w:val="NormalTok"/>
        </w:rPr>
        <w:t xml:space="preserve"> k: jump_hash(hashed[k], n),</w:t>
      </w:r>
      <w:r>
        <w:br/>
      </w:r>
      <w:r>
        <w:rPr>
          <w:rStyle w:val="NormalTok"/>
        </w:rPr>
        <w:t xml:space="preserve">           </w:t>
      </w:r>
      <w:r>
        <w:rPr>
          <w:rStyle w:val="KeywordTok"/>
        </w:rPr>
        <w:t xml:space="preserve">lambda</w:t>
      </w:r>
      <w:r>
        <w:rPr>
          <w:rStyle w:val="NormalTok"/>
        </w:rPr>
        <w:t xml:space="preserve"> k: jump_hash(hashed[k], n </w:t>
      </w:r>
      <w:r>
        <w:rPr>
          <w:rStyle w:val="OperatorTok"/>
        </w:rPr>
        <w:t xml:space="preserve">+</w:t>
      </w:r>
      <w:r>
        <w:rPr>
          <w:rStyle w:val="NormalTok"/>
        </w:rPr>
        <w:t xml:space="preserve"> </w:t>
      </w:r>
      <w:r>
        <w:rPr>
          <w:rStyle w:val="DecValTok"/>
        </w:rPr>
        <w:t xml:space="preserve">1</w:t>
      </w:r>
      <w:r>
        <w:rPr>
          <w:rStyle w:val="NormalTok"/>
        </w:rPr>
        <w:t xml:space="preserve">), keys, 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report(</w:t>
      </w:r>
      <w:r>
        <w:rPr>
          <w:rStyle w:val="StringTok"/>
        </w:rPr>
        <w:t xml:space="preserve">"rendezvous"</w:t>
      </w:r>
      <w:r>
        <w:rPr>
          <w:rStyle w:val="NormalTok"/>
        </w:rPr>
        <w:t xml:space="preserve">, </w:t>
      </w:r>
      <w:r>
        <w:rPr>
          <w:rStyle w:val="KeywordTok"/>
        </w:rPr>
        <w:t xml:space="preserve">lambda</w:t>
      </w:r>
      <w:r>
        <w:rPr>
          <w:rStyle w:val="NormalTok"/>
        </w:rPr>
        <w:t xml:space="preserve"> k: rendezvous(k, names[:n]),</w:t>
      </w:r>
      <w:r>
        <w:br/>
      </w:r>
      <w:r>
        <w:rPr>
          <w:rStyle w:val="NormalTok"/>
        </w:rPr>
        <w:t xml:space="preserve">           </w:t>
      </w:r>
      <w:r>
        <w:rPr>
          <w:rStyle w:val="KeywordTok"/>
        </w:rPr>
        <w:t xml:space="preserve">lambda</w:t>
      </w:r>
      <w:r>
        <w:rPr>
          <w:rStyle w:val="NormalTok"/>
        </w:rPr>
        <w:t xml:space="preserve"> k: rendezvous(k, names), keys, 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Binomial noise alone (perfectly fair assignment of 100,000 random keys)</w:t>
      </w:r>
      <w:r>
        <w:br/>
      </w:r>
      <w:r>
        <w:rPr>
          <w:rStyle w:val="NormalTok"/>
        </w:rPr>
        <w:t xml:space="preserve">    p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'noise floor'</w:t>
      </w:r>
      <w:r>
        <w:rPr>
          <w:rStyle w:val="SpecialCharTok"/>
        </w:rPr>
        <w:t xml:space="preserve">:&lt;11}</w:t>
      </w:r>
      <w:r>
        <w:rPr>
          <w:rStyle w:val="SpecialStringTok"/>
        </w:rPr>
        <w:t xml:space="preserve"> key-count CV of a perfect hash = "</w:t>
      </w:r>
      <w:r>
        <w:br/>
      </w:r>
      <w:r>
        <w:rPr>
          <w:rStyle w:val="NormalTok"/>
        </w:rPr>
        <w:t xml:space="preserve">          </w:t>
      </w:r>
      <w:r>
        <w:rPr>
          <w:rStyle w:val="SpecialStringTok"/>
        </w:rPr>
        <w:t xml:space="preserve">f"</w:t>
      </w:r>
      <w:r>
        <w:rPr>
          <w:rStyle w:val="SpecialCharTok"/>
        </w:rPr>
        <w:t xml:space="preserve">{</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p) </w:t>
      </w:r>
      <w:r>
        <w:rPr>
          <w:rStyle w:val="OperatorTok"/>
        </w:rPr>
        <w:t xml:space="preserve">/</w:t>
      </w:r>
      <w:r>
        <w:rPr>
          <w:rStyle w:val="NormalTok"/>
        </w:rPr>
        <w:t xml:space="preserve"> (</w:t>
      </w:r>
      <w:r>
        <w:rPr>
          <w:rStyle w:val="BuiltInTok"/>
        </w:rPr>
        <w:t xml:space="preserve">len</w:t>
      </w:r>
      <w:r>
        <w:rPr>
          <w:rStyle w:val="NormalTok"/>
        </w:rPr>
        <w:t xml:space="preserve">(keys) </w:t>
      </w:r>
      <w:r>
        <w:rPr>
          <w:rStyle w:val="OperatorTok"/>
        </w:rPr>
        <w:t xml:space="preserve">*</w:t>
      </w:r>
      <w:r>
        <w:rPr>
          <w:rStyle w:val="NormalTok"/>
        </w:rPr>
        <w:t xml:space="preserve"> p)) </w:t>
      </w:r>
      <w:r>
        <w:rPr>
          <w:rStyle w:val="OperatorTok"/>
        </w:rPr>
        <w:t xml:space="preserve">**</w:t>
      </w:r>
      <w:r>
        <w:rPr>
          <w:rStyle w:val="NormalTok"/>
        </w:rPr>
        <w:t xml:space="preserve"> </w:t>
      </w:r>
      <w:r>
        <w:rPr>
          <w:rStyle w:val="FloatTok"/>
        </w:rPr>
        <w:t xml:space="preserve">0.5</w:t>
      </w:r>
      <w:r>
        <w:rPr>
          <w:rStyle w:val="SpecialCharTok"/>
        </w:rPr>
        <w:t xml:space="preserve">:.4f}</w:t>
      </w:r>
      <w:r>
        <w:rPr>
          <w:rStyle w:val="SpecialStringTok"/>
        </w:rPr>
        <w:t xml:space="preserve">"</w:t>
      </w:r>
      <w:r>
        <w:rPr>
          <w:rStyle w:val="NormalTok"/>
        </w:rPr>
        <w:t xml:space="preserve">)</w:t>
      </w:r>
    </w:p>
    <w:p>
      <w:pPr>
        <w:pStyle w:val="FirstParagraph"/>
      </w:pPr>
      <w:r>
        <w:t xml:space="preserve">Running it prints:</w:t>
      </w:r>
    </w:p>
    <w:p>
      <w:pPr>
        <w:pStyle w:val="SourceCode"/>
      </w:pPr>
      <w:r>
        <w:rPr>
          <w:rStyle w:val="VerbatimChar"/>
        </w:rPr>
        <w:t xml:space="preserve">jump        moved  9.10% (ideal 9.09%)  key-count CV 0.0081  max/mean 1.019</w:t>
      </w:r>
      <w:r>
        <w:br/>
      </w:r>
      <w:r>
        <w:rPr>
          <w:rStyle w:val="VerbatimChar"/>
        </w:rPr>
        <w:t xml:space="preserve">rendezvous  moved  9.14% (ideal 9.09%)  key-count CV 0.0133  max/mean 1.017</w:t>
      </w:r>
      <w:r>
        <w:br/>
      </w:r>
      <w:r>
        <w:rPr>
          <w:rStyle w:val="VerbatimChar"/>
        </w:rPr>
        <w:t xml:space="preserve">noise floor key-count CV of a perfect hash = 0.0100</w:t>
      </w:r>
    </w:p>
    <w:p>
      <w:pPr>
        <w:pStyle w:val="FirstParagraph"/>
      </w:pPr>
      <w:r>
        <w:t xml:space="preserve">What to notice:</w:t>
      </w:r>
    </w:p>
    <w:p>
      <w:pPr>
        <w:numPr>
          <w:ilvl w:val="0"/>
          <w:numId w:val="1487"/>
        </w:numPr>
        <w:pStyle w:val="Compact"/>
      </w:pPr>
      <w:r>
        <w:t xml:space="preserve">Both move almost exactly the ideal</w:t>
      </w:r>
      <w:r>
        <w:t xml:space="preserve"> </w:t>
      </w:r>
      <m:oMath>
        <m:r>
          <m:t>1</m:t>
        </m:r>
        <m:r>
          <m:rPr>
            <m:sty m:val="p"/>
          </m:rPr>
          <m:t>/</m:t>
        </m:r>
        <m:d>
          <m:dPr>
            <m:begChr m:val="("/>
            <m:endChr m:val=")"/>
            <m:sepChr m:val=""/>
            <m:grow/>
          </m:dPr>
          <m:e>
            <m:r>
              <m:t>N</m:t>
            </m:r>
            <m:r>
              <m:rPr>
                <m:sty m:val="p"/>
              </m:rPr>
              <m:t>+</m:t>
            </m:r>
            <m:r>
              <m:t>1</m:t>
            </m:r>
          </m:e>
        </m:d>
      </m:oMath>
      <w:r>
        <w:t xml:space="preserve"> </w:t>
      </w:r>
      <w:r>
        <w:t xml:space="preserve">of keys.</w:t>
      </w:r>
    </w:p>
    <w:p>
      <w:pPr>
        <w:numPr>
          <w:ilvl w:val="0"/>
          <w:numId w:val="1487"/>
        </w:numPr>
        <w:pStyle w:val="Compact"/>
      </w:pPr>
      <w:r>
        <w:t xml:space="preserve">Both balance at the</w:t>
      </w:r>
      <w:r>
        <w:t xml:space="preserve"> </w:t>
      </w:r>
      <w:r>
        <w:rPr>
          <w:bCs/>
          <w:b/>
        </w:rPr>
        <w:t xml:space="preserve">noise floor</w:t>
      </w:r>
      <w:r>
        <w:t xml:space="preserve">, the variation of assigning keys by fair coin; differences from 0.010 are sampling noise over just 11 buckets. A ring with</w:t>
      </w:r>
      <w:r>
        <w:t xml:space="preserve"> </w:t>
      </w:r>
      <m:oMath>
        <m:r>
          <m:t>V</m:t>
        </m:r>
        <m:r>
          <m:rPr>
            <m:sty m:val="p"/>
          </m:rPr>
          <m:t>=</m:t>
        </m:r>
        <m:r>
          <m:t>100</m:t>
        </m:r>
      </m:oMath>
      <w:r>
        <w:t xml:space="preserve"> </w:t>
      </w:r>
      <w:r>
        <w:t xml:space="preserve">has a structural CV near 0.10 for</w:t>
      </w:r>
      <w:r>
        <w:t xml:space="preserve"> </w:t>
      </w:r>
      <m:oMath>
        <m:r>
          <m:t>N</m:t>
        </m:r>
        <m:r>
          <m:rPr>
            <m:sty m:val="p"/>
          </m:rPr>
          <m:t>=</m:t>
        </m:r>
        <m:r>
          <m:t>10</m:t>
        </m:r>
      </m:oMath>
      <w:r>
        <w:t xml:space="preserve">.</w:t>
      </w:r>
    </w:p>
    <w:p>
      <w:pPr>
        <w:numPr>
          <w:ilvl w:val="0"/>
          <w:numId w:val="1487"/>
        </w:numPr>
        <w:pStyle w:val="Compact"/>
      </w:pPr>
      <w:r>
        <w:rPr>
          <w:rStyle w:val="VerbatimChar"/>
        </w:rPr>
        <w:t xml:space="preserve">&amp; MASK64</w:t>
      </w:r>
      <w:r>
        <w:t xml:space="preserve"> </w:t>
      </w:r>
      <w:r>
        <w:t xml:space="preserve">reproduces C’s unsigned 64-bit overflow, which Python integers lack.</w:t>
      </w:r>
    </w:p>
    <w:p>
      <w:pPr>
        <w:numPr>
          <w:ilvl w:val="0"/>
          <w:numId w:val="1487"/>
        </w:numPr>
        <w:pStyle w:val="Compact"/>
      </w:pPr>
      <w:r>
        <w:rPr>
          <w:rStyle w:val="VerbatimChar"/>
        </w:rPr>
        <w:t xml:space="preserve">rendezvous</w:t>
      </w:r>
      <w:r>
        <w:t xml:space="preserve"> </w:t>
      </w:r>
      <w:r>
        <w:t xml:space="preserve">computes</w:t>
      </w:r>
      <w:r>
        <w:t xml:space="preserve"> </w:t>
      </w:r>
      <m:oMath>
        <m:r>
          <m:t>N</m:t>
        </m:r>
      </m:oMath>
      <w:r>
        <w:t xml:space="preserve"> </w:t>
      </w:r>
      <w:r>
        <w:t xml:space="preserve">hashes per lookup, trivial for 10 nodes, significant for thousands.</w:t>
      </w:r>
    </w:p>
    <w:p>
      <w:pPr>
        <w:pStyle w:val="FirstParagraph"/>
      </w:pPr>
      <w:r>
        <w:t xml:space="preserve">Jump hash’s limitation is structural: buckets are numbered</w:t>
      </w:r>
      <w:r>
        <w:t xml:space="preserve"> </w:t>
      </w:r>
      <m:oMath>
        <m:r>
          <m:t>0</m:t>
        </m:r>
      </m:oMath>
      <w:r>
        <w:t xml:space="preserve"> </w:t>
      </w:r>
      <w:r>
        <w:t xml:space="preserve">to</w:t>
      </w:r>
      <w:r>
        <w:t xml:space="preserve"> </w:t>
      </w:r>
      <m:oMath>
        <m:r>
          <m:t>n</m:t>
        </m:r>
        <m:r>
          <m:rPr>
            <m:sty m:val="p"/>
          </m:rPr>
          <m:t>−</m:t>
        </m:r>
        <m:r>
          <m:t>1</m:t>
        </m:r>
      </m:oMath>
      <w:r>
        <w:t xml:space="preserve"> </w:t>
      </w:r>
      <w:r>
        <w:t xml:space="preserve">and only the</w:t>
      </w:r>
      <w:r>
        <w:t xml:space="preserve"> </w:t>
      </w:r>
      <w:r>
        <w:rPr>
          <w:iCs/>
          <w:i/>
        </w:rPr>
        <w:t xml:space="preserve">last</w:t>
      </w:r>
      <w:r>
        <w:t xml:space="preserve"> </w:t>
      </w:r>
      <w:r>
        <w:t xml:space="preserve">can be added or removed. It suits logical shard numbers that never disappear, because each shard is a replicated group whose machines are replaced underneath it, not cache tiers where arbitrary nodes come and go.</w:t>
      </w:r>
    </w:p>
    <w:bookmarkEnd w:id="1623"/>
    <w:bookmarkStart w:id="1624" w:name="rendezvous-highest-random-weight-hashing"/>
    <w:p>
      <w:pPr>
        <w:pStyle w:val="Heading4"/>
      </w:pPr>
      <w:r>
        <w:t xml:space="preserve">Rendezvous (highest random weight) hashing</w:t>
      </w:r>
    </w:p>
    <w:p>
      <w:pPr>
        <w:pStyle w:val="FirstParagraph"/>
      </w:pPr>
      <w:r>
        <w:rPr>
          <w:bCs/>
          <w:b/>
        </w:rPr>
        <w:t xml:space="preserve">Rendezvous hashing</w:t>
      </w:r>
      <w:r>
        <w:t xml:space="preserve">, or</w:t>
      </w:r>
      <w:r>
        <w:t xml:space="preserve"> </w:t>
      </w:r>
      <w:r>
        <w:rPr>
          <w:bCs/>
          <w:b/>
        </w:rPr>
        <w:t xml:space="preserve">highest random weight (HRW) hashing</w:t>
      </w:r>
      <w:r>
        <w:t xml:space="preserve">, scores every node with</w:t>
      </w:r>
      <w:r>
        <w:t xml:space="preserve"> </w:t>
      </w:r>
      <m:oMath>
        <m:r>
          <m:t>h</m:t>
        </m:r>
        <m:d>
          <m:dPr>
            <m:begChr m:val="("/>
            <m:endChr m:val=")"/>
            <m:sepChr m:val=""/>
            <m:grow/>
          </m:dPr>
          <m:e>
            <m:r>
              <m:rPr>
                <m:nor/>
                <m:sty m:val="p"/>
              </m:rPr>
              <m:t>node</m:t>
            </m:r>
            <m:r>
              <m:t> </m:t>
            </m:r>
            <m:r>
              <m:rPr>
                <m:sty m:val="p"/>
              </m:rPr>
              <m:t>∥</m:t>
            </m:r>
            <m:r>
              <m:t> </m:t>
            </m:r>
            <m:r>
              <m:rPr>
                <m:nor/>
                <m:sty m:val="p"/>
              </m:rPr>
              <m:t>key</m:t>
            </m:r>
          </m:e>
        </m:d>
      </m:oMath>
      <w:r>
        <w:t xml:space="preserve"> </w:t>
      </w:r>
      <w:r>
        <w:t xml:space="preserve">and picks the highest [Thaler and Ravishankar 1998]. Adding a node moves an expected</w:t>
      </w:r>
      <w:r>
        <w:t xml:space="preserve"> </w:t>
      </w:r>
      <m:oMath>
        <m:r>
          <m:t>1</m:t>
        </m:r>
        <m:r>
          <m:rPr>
            <m:sty m:val="p"/>
          </m:rPr>
          <m:t>/</m:t>
        </m:r>
        <m:d>
          <m:dPr>
            <m:begChr m:val="("/>
            <m:endChr m:val=")"/>
            <m:sepChr m:val=""/>
            <m:grow/>
          </m:dPr>
          <m:e>
            <m:r>
              <m:t>N</m:t>
            </m:r>
            <m:r>
              <m:rPr>
                <m:sty m:val="p"/>
              </m:rPr>
              <m:t>+</m:t>
            </m:r>
            <m:r>
              <m:t>1</m:t>
            </m:r>
          </m:e>
        </m:d>
      </m:oMath>
      <w:r>
        <w:t xml:space="preserve"> </w:t>
      </w:r>
      <w:r>
        <w:t xml:space="preserve">of keys. Removing one sends each of its keys to that key’s second-highest scorer, spreading load evenly with no vnodes, and the top</w:t>
      </w:r>
      <w:r>
        <w:t xml:space="preserve"> </w:t>
      </w:r>
      <m:oMath>
        <m:r>
          <m:t>R</m:t>
        </m:r>
      </m:oMath>
      <w:r>
        <w:t xml:space="preserve"> </w:t>
      </w:r>
      <w:r>
        <w:t xml:space="preserve">scores form a replica list. Lookups cost</w:t>
      </w:r>
      <w:r>
        <w:t xml:space="preserve"> </w:t>
      </w:r>
      <m:oMath>
        <m:r>
          <m:t>O</m:t>
        </m:r>
        <m:d>
          <m:dPr>
            <m:begChr m:val="("/>
            <m:endChr m:val=")"/>
            <m:sepChr m:val=""/>
            <m:grow/>
          </m:dPr>
          <m:e>
            <m:r>
              <m:t>N</m:t>
            </m:r>
          </m:e>
        </m:d>
      </m:oMath>
      <w:r>
        <w:t xml:space="preserve">; weighted and hierarchical variants exist.</w:t>
      </w:r>
    </w:p>
    <w:p>
      <w:pPr>
        <w:pStyle w:val="BodyText"/>
      </w:pPr>
      <w:r>
        <w:rPr>
          <w:bCs/>
          <w:b/>
        </w:rPr>
        <w:t xml:space="preserve">Table 14.8 — Key-to-node assignment schemes compared.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pPr>
          </w:p>
        </w:tc>
        <w:tc>
          <w:tcPr/>
          <w:p>
            <w:pPr>
              <w:pStyle w:val="Compact"/>
              <w:jc w:val="left"/>
            </w:pPr>
            <w:r>
              <w:rPr>
                <w:rStyle w:val="VerbatimChar"/>
              </w:rPr>
              <w:t xml:space="preserve">hash mod N</w:t>
            </w:r>
          </w:p>
        </w:tc>
        <w:tc>
          <w:tcPr/>
          <w:p>
            <w:pPr>
              <w:pStyle w:val="Compact"/>
              <w:jc w:val="left"/>
            </w:pPr>
            <w:r>
              <w:t xml:space="preserve">Ring + vnodes</w:t>
            </w:r>
          </w:p>
        </w:tc>
        <w:tc>
          <w:tcPr/>
          <w:p>
            <w:pPr>
              <w:pStyle w:val="Compact"/>
              <w:jc w:val="left"/>
            </w:pPr>
            <w:r>
              <w:t xml:space="preserve">Jump hash</w:t>
            </w:r>
          </w:p>
        </w:tc>
        <w:tc>
          <w:tcPr/>
          <w:p>
            <w:pPr>
              <w:pStyle w:val="Compact"/>
              <w:jc w:val="left"/>
            </w:pPr>
            <w:r>
              <w:t xml:space="preserve">Rendezvous (HRW)</w:t>
            </w:r>
          </w:p>
        </w:tc>
      </w:tr>
      <w:tr>
        <w:tc>
          <w:tcPr/>
          <w:p>
            <w:pPr>
              <w:pStyle w:val="Compact"/>
              <w:jc w:val="left"/>
            </w:pPr>
            <w:r>
              <w:t xml:space="preserve">Keys moved on add</w:t>
            </w:r>
          </w:p>
        </w:tc>
        <w:tc>
          <w:tcPr/>
          <w:p>
            <w:pPr>
              <w:pStyle w:val="Compact"/>
              <w:jc w:val="left"/>
            </w:pPr>
            <w:r>
              <w:t xml:space="preserve">~</w:t>
            </w:r>
            <m:oMath>
              <m:r>
                <m:t>N</m:t>
              </m:r>
              <m:r>
                <m:rPr>
                  <m:sty m:val="p"/>
                </m:rPr>
                <m:t>/</m:t>
              </m:r>
              <m:d>
                <m:dPr>
                  <m:begChr m:val="("/>
                  <m:endChr m:val=")"/>
                  <m:sepChr m:val=""/>
                  <m:grow/>
                </m:dPr>
                <m:e>
                  <m:r>
                    <m:t>N</m:t>
                  </m:r>
                  <m:r>
                    <m:rPr>
                      <m:sty m:val="p"/>
                    </m:rPr>
                    <m:t>+</m:t>
                  </m:r>
                  <m:r>
                    <m:t>1</m:t>
                  </m:r>
                </m:e>
              </m:d>
            </m:oMath>
          </w:p>
        </w:tc>
        <w:tc>
          <w:tcPr/>
          <w:p>
            <w:pPr>
              <w:pStyle w:val="Compact"/>
              <w:jc w:val="left"/>
            </w:pPr>
            <w:r>
              <w:t xml:space="preserve">~</w:t>
            </w:r>
            <m:oMath>
              <m:r>
                <m:t>1</m:t>
              </m:r>
              <m:r>
                <m:rPr>
                  <m:sty m:val="p"/>
                </m:rPr>
                <m:t>/</m:t>
              </m:r>
              <m:d>
                <m:dPr>
                  <m:begChr m:val="("/>
                  <m:endChr m:val=")"/>
                  <m:sepChr m:val=""/>
                  <m:grow/>
                </m:dPr>
                <m:e>
                  <m:r>
                    <m:t>N</m:t>
                  </m:r>
                  <m:r>
                    <m:rPr>
                      <m:sty m:val="p"/>
                    </m:rPr>
                    <m:t>+</m:t>
                  </m:r>
                  <m:r>
                    <m:t>1</m:t>
                  </m:r>
                </m:e>
              </m:d>
            </m:oMath>
          </w:p>
        </w:tc>
        <w:tc>
          <w:tcPr/>
          <w:p>
            <w:pPr>
              <w:pStyle w:val="Compact"/>
              <w:jc w:val="left"/>
            </w:pPr>
            <w:r>
              <w:t xml:space="preserve">~</w:t>
            </w:r>
            <m:oMath>
              <m:r>
                <m:t>1</m:t>
              </m:r>
              <m:r>
                <m:rPr>
                  <m:sty m:val="p"/>
                </m:rPr>
                <m:t>/</m:t>
              </m:r>
              <m:d>
                <m:dPr>
                  <m:begChr m:val="("/>
                  <m:endChr m:val=")"/>
                  <m:sepChr m:val=""/>
                  <m:grow/>
                </m:dPr>
                <m:e>
                  <m:r>
                    <m:t>N</m:t>
                  </m:r>
                  <m:r>
                    <m:rPr>
                      <m:sty m:val="p"/>
                    </m:rPr>
                    <m:t>+</m:t>
                  </m:r>
                  <m:r>
                    <m:t>1</m:t>
                  </m:r>
                </m:e>
              </m:d>
            </m:oMath>
          </w:p>
        </w:tc>
        <w:tc>
          <w:tcPr/>
          <w:p>
            <w:pPr>
              <w:pStyle w:val="Compact"/>
              <w:jc w:val="left"/>
            </w:pPr>
            <w:r>
              <w:t xml:space="preserve">~</w:t>
            </w:r>
            <m:oMath>
              <m:r>
                <m:t>1</m:t>
              </m:r>
              <m:r>
                <m:rPr>
                  <m:sty m:val="p"/>
                </m:rPr>
                <m:t>/</m:t>
              </m:r>
              <m:d>
                <m:dPr>
                  <m:begChr m:val="("/>
                  <m:endChr m:val=")"/>
                  <m:sepChr m:val=""/>
                  <m:grow/>
                </m:dPr>
                <m:e>
                  <m:r>
                    <m:t>N</m:t>
                  </m:r>
                  <m:r>
                    <m:rPr>
                      <m:sty m:val="p"/>
                    </m:rPr>
                    <m:t>+</m:t>
                  </m:r>
                  <m:r>
                    <m:t>1</m:t>
                  </m:r>
                </m:e>
              </m:d>
            </m:oMath>
          </w:p>
        </w:tc>
      </w:tr>
      <w:tr>
        <w:tc>
          <w:tcPr/>
          <w:p>
            <w:pPr>
              <w:pStyle w:val="Compact"/>
              <w:jc w:val="left"/>
            </w:pPr>
            <w:r>
              <w:t xml:space="preserve">Load balance (CV)</w:t>
            </w:r>
          </w:p>
        </w:tc>
        <w:tc>
          <w:tcPr/>
          <w:p>
            <w:pPr>
              <w:pStyle w:val="Compact"/>
              <w:jc w:val="left"/>
            </w:pPr>
            <w:r>
              <w:t xml:space="preserve">Noise floor</w:t>
            </w:r>
          </w:p>
        </w:tc>
        <w:tc>
          <w:tcPr/>
          <w:p>
            <w:pPr>
              <w:pStyle w:val="Compact"/>
              <w:jc w:val="left"/>
            </w:pPr>
            <m:oMath>
              <m:rad>
                <m:radPr>
                  <m:degHide m:val="on"/>
                </m:radPr>
                <m:deg/>
                <m:e>
                  <m:d>
                    <m:dPr>
                      <m:begChr m:val="("/>
                      <m:endChr m:val=")"/>
                      <m:sepChr m:val=""/>
                      <m:grow/>
                    </m:dPr>
                    <m:e>
                      <m:r>
                        <m:t>N</m:t>
                      </m:r>
                      <m:r>
                        <m:rPr>
                          <m:sty m:val="p"/>
                        </m:rPr>
                        <m:t>−</m:t>
                      </m:r>
                      <m:r>
                        <m:t>1</m:t>
                      </m:r>
                    </m:e>
                  </m:d>
                  <m:r>
                    <m:rPr>
                      <m:sty m:val="p"/>
                    </m:rPr>
                    <m:t>/</m:t>
                  </m:r>
                  <m:d>
                    <m:dPr>
                      <m:begChr m:val="("/>
                      <m:endChr m:val=")"/>
                      <m:sepChr m:val=""/>
                      <m:grow/>
                    </m:dPr>
                    <m:e>
                      <m:r>
                        <m:t>N</m:t>
                      </m:r>
                      <m:r>
                        <m:t>V</m:t>
                      </m:r>
                      <m:r>
                        <m:rPr>
                          <m:sty m:val="p"/>
                        </m:rPr>
                        <m:t>+</m:t>
                      </m:r>
                      <m:r>
                        <m:t>1</m:t>
                      </m:r>
                    </m:e>
                  </m:d>
                </m:e>
              </m:rad>
            </m:oMath>
          </w:p>
        </w:tc>
        <w:tc>
          <w:tcPr/>
          <w:p>
            <w:pPr>
              <w:pStyle w:val="Compact"/>
              <w:jc w:val="left"/>
            </w:pPr>
            <w:r>
              <w:t xml:space="preserve">Noise floor</w:t>
            </w:r>
          </w:p>
        </w:tc>
        <w:tc>
          <w:tcPr/>
          <w:p>
            <w:pPr>
              <w:pStyle w:val="Compact"/>
              <w:jc w:val="left"/>
            </w:pPr>
            <w:r>
              <w:t xml:space="preserve">Noise floor</w:t>
            </w:r>
          </w:p>
        </w:tc>
      </w:tr>
      <w:tr>
        <w:tc>
          <w:tcPr/>
          <w:p>
            <w:pPr>
              <w:pStyle w:val="Compact"/>
              <w:jc w:val="left"/>
            </w:pPr>
            <w:r>
              <w:t xml:space="preserve">Lookup cost</w:t>
            </w:r>
          </w:p>
        </w:tc>
        <w:tc>
          <w:tcPr/>
          <w:p>
            <w:pPr>
              <w:pStyle w:val="Compact"/>
              <w:jc w:val="left"/>
            </w:pPr>
            <m:oMath>
              <m:r>
                <m:t>O</m:t>
              </m:r>
              <m:d>
                <m:dPr>
                  <m:begChr m:val="("/>
                  <m:endChr m:val=")"/>
                  <m:sepChr m:val=""/>
                  <m:grow/>
                </m:dPr>
                <m:e>
                  <m:r>
                    <m:t>1</m:t>
                  </m:r>
                </m:e>
              </m:d>
            </m:oMath>
          </w:p>
        </w:tc>
        <w:tc>
          <w:tcPr/>
          <w:p>
            <w:pPr>
              <w:pStyle w:val="Compact"/>
              <w:jc w:val="left"/>
            </w:pPr>
            <m:oMath>
              <m:r>
                <m:t>O</m:t>
              </m:r>
              <m:d>
                <m:dPr>
                  <m:begChr m:val="("/>
                  <m:endChr m:val=")"/>
                  <m:sepChr m:val=""/>
                  <m:grow/>
                </m:dPr>
                <m:e>
                  <m:r>
                    <m:rPr>
                      <m:sty m:val="p"/>
                    </m:rPr>
                    <m:t>log</m:t>
                  </m:r>
                  <m:r>
                    <m:t>N</m:t>
                  </m:r>
                  <m:r>
                    <m:t>V</m:t>
                  </m:r>
                </m:e>
              </m:d>
            </m:oMath>
          </w:p>
        </w:tc>
        <w:tc>
          <w:tcPr/>
          <w:p>
            <w:pPr>
              <w:pStyle w:val="Compact"/>
              <w:jc w:val="left"/>
            </w:pPr>
            <m:oMath>
              <m:r>
                <m:t>O</m:t>
              </m:r>
              <m:d>
                <m:dPr>
                  <m:begChr m:val="("/>
                  <m:endChr m:val=")"/>
                  <m:sepChr m:val=""/>
                  <m:grow/>
                </m:dPr>
                <m:e>
                  <m:r>
                    <m:rPr>
                      <m:sty m:val="p"/>
                    </m:rPr>
                    <m:t>log</m:t>
                  </m:r>
                  <m:r>
                    <m:t>N</m:t>
                  </m:r>
                </m:e>
              </m:d>
            </m:oMath>
            <w:r>
              <w:t xml:space="preserve"> </w:t>
            </w:r>
            <w:r>
              <w:t xml:space="preserve">expected</w:t>
            </w:r>
          </w:p>
        </w:tc>
        <w:tc>
          <w:tcPr/>
          <w:p>
            <w:pPr>
              <w:pStyle w:val="Compact"/>
              <w:jc w:val="left"/>
            </w:pPr>
            <m:oMath>
              <m:r>
                <m:t>O</m:t>
              </m:r>
              <m:d>
                <m:dPr>
                  <m:begChr m:val="("/>
                  <m:endChr m:val=")"/>
                  <m:sepChr m:val=""/>
                  <m:grow/>
                </m:dPr>
                <m:e>
                  <m:r>
                    <m:t>N</m:t>
                  </m:r>
                </m:e>
              </m:d>
            </m:oMath>
          </w:p>
        </w:tc>
      </w:tr>
      <w:tr>
        <w:tc>
          <w:tcPr/>
          <w:p>
            <w:pPr>
              <w:pStyle w:val="Compact"/>
              <w:jc w:val="left"/>
            </w:pPr>
            <w:r>
              <w:t xml:space="preserve">Memory</w:t>
            </w:r>
          </w:p>
        </w:tc>
        <w:tc>
          <w:tcPr/>
          <w:p>
            <w:pPr>
              <w:pStyle w:val="Compact"/>
              <w:jc w:val="left"/>
            </w:pPr>
            <w:r>
              <w:t xml:space="preserve">None</w:t>
            </w:r>
          </w:p>
        </w:tc>
        <w:tc>
          <w:tcPr/>
          <w:p>
            <w:pPr>
              <w:pStyle w:val="Compact"/>
              <w:jc w:val="left"/>
            </w:pPr>
            <m:oMath>
              <m:r>
                <m:t>O</m:t>
              </m:r>
              <m:d>
                <m:dPr>
                  <m:begChr m:val="("/>
                  <m:endChr m:val=")"/>
                  <m:sepChr m:val=""/>
                  <m:grow/>
                </m:dPr>
                <m:e>
                  <m:r>
                    <m:t>N</m:t>
                  </m:r>
                  <m:r>
                    <m:t>V</m:t>
                  </m:r>
                </m:e>
              </m:d>
            </m:oMath>
            <w:r>
              <w:t xml:space="preserve"> </w:t>
            </w:r>
            <w:r>
              <w:t xml:space="preserve">positions</w:t>
            </w:r>
          </w:p>
        </w:tc>
        <w:tc>
          <w:tcPr/>
          <w:p>
            <w:pPr>
              <w:pStyle w:val="Compact"/>
              <w:jc w:val="left"/>
            </w:pPr>
            <w:r>
              <w:t xml:space="preserve">None</w:t>
            </w:r>
          </w:p>
        </w:tc>
        <w:tc>
          <w:tcPr/>
          <w:p>
            <w:pPr>
              <w:pStyle w:val="Compact"/>
              <w:jc w:val="left"/>
            </w:pPr>
            <m:oMath>
              <m:r>
                <m:t>O</m:t>
              </m:r>
              <m:d>
                <m:dPr>
                  <m:begChr m:val="("/>
                  <m:endChr m:val=")"/>
                  <m:sepChr m:val=""/>
                  <m:grow/>
                </m:dPr>
                <m:e>
                  <m:r>
                    <m:t>N</m:t>
                  </m:r>
                </m:e>
              </m:d>
            </m:oMath>
            <w:r>
              <w:t xml:space="preserve"> </w:t>
            </w:r>
            <w:r>
              <w:t xml:space="preserve">names</w:t>
            </w:r>
          </w:p>
        </w:tc>
      </w:tr>
      <w:tr>
        <w:tc>
          <w:tcPr/>
          <w:p>
            <w:pPr>
              <w:pStyle w:val="Compact"/>
              <w:jc w:val="left"/>
            </w:pPr>
            <w:r>
              <w:t xml:space="preserve">Remove arbitrary node</w:t>
            </w:r>
          </w:p>
        </w:tc>
        <w:tc>
          <w:tcPr/>
          <w:p>
            <w:pPr>
              <w:pStyle w:val="Compact"/>
              <w:jc w:val="left"/>
            </w:pPr>
            <w:r>
              <w:t xml:space="preserve">Remaps nearly all</w:t>
            </w:r>
          </w:p>
        </w:tc>
        <w:tc>
          <w:tcPr/>
          <w:p>
            <w:pPr>
              <w:pStyle w:val="Compact"/>
              <w:jc w:val="left"/>
            </w:pPr>
            <w:r>
              <w:t xml:space="preserve">Yes</w:t>
            </w:r>
          </w:p>
        </w:tc>
        <w:tc>
          <w:tcPr/>
          <w:p>
            <w:pPr>
              <w:pStyle w:val="Compact"/>
              <w:jc w:val="left"/>
            </w:pPr>
            <w:r>
              <w:t xml:space="preserve">No, only the last bucket</w:t>
            </w:r>
          </w:p>
        </w:tc>
        <w:tc>
          <w:tcPr/>
          <w:p>
            <w:pPr>
              <w:pStyle w:val="Compact"/>
              <w:jc w:val="left"/>
            </w:pPr>
            <w:r>
              <w:t xml:space="preserve">Yes</w:t>
            </w:r>
          </w:p>
        </w:tc>
      </w:tr>
      <w:tr>
        <w:tc>
          <w:tcPr/>
          <w:p>
            <w:pPr>
              <w:pStyle w:val="Compact"/>
              <w:jc w:val="left"/>
            </w:pPr>
            <w:r>
              <w:t xml:space="preserve">Weights</w:t>
            </w:r>
          </w:p>
        </w:tc>
        <w:tc>
          <w:tcPr/>
          <w:p>
            <w:pPr>
              <w:pStyle w:val="Compact"/>
              <w:jc w:val="left"/>
            </w:pPr>
            <w:r>
              <w:t xml:space="preserve">Awkward</w:t>
            </w:r>
          </w:p>
        </w:tc>
        <w:tc>
          <w:tcPr/>
          <w:p>
            <w:pPr>
              <w:pStyle w:val="Compact"/>
              <w:jc w:val="left"/>
            </w:pPr>
            <w:r>
              <w:t xml:space="preserve">More vnodes</w:t>
            </w:r>
          </w:p>
        </w:tc>
        <w:tc>
          <w:tcPr/>
          <w:p>
            <w:pPr>
              <w:pStyle w:val="Compact"/>
              <w:jc w:val="left"/>
            </w:pPr>
            <w:r>
              <w:t xml:space="preserve">No</w:t>
            </w:r>
          </w:p>
        </w:tc>
        <w:tc>
          <w:tcPr/>
          <w:p>
            <w:pPr>
              <w:pStyle w:val="Compact"/>
              <w:jc w:val="left"/>
            </w:pPr>
            <w:r>
              <w:t xml:space="preserve">Weighted scores</w:t>
            </w:r>
          </w:p>
        </w:tc>
      </w:tr>
      <w:tr>
        <w:tc>
          <w:tcPr/>
          <w:p>
            <w:pPr>
              <w:pStyle w:val="Compact"/>
              <w:jc w:val="left"/>
            </w:pPr>
            <w:r>
              <w:t xml:space="preserve">Replica list</w:t>
            </w:r>
          </w:p>
        </w:tc>
        <w:tc>
          <w:tcPr/>
          <w:p>
            <w:pPr>
              <w:pStyle w:val="Compact"/>
              <w:jc w:val="left"/>
            </w:pPr>
            <w:r>
              <w:t xml:space="preserve">Ad hoc</w:t>
            </w:r>
          </w:p>
        </w:tc>
        <w:tc>
          <w:tcPr/>
          <w:p>
            <w:pPr>
              <w:pStyle w:val="Compact"/>
              <w:jc w:val="left"/>
            </w:pPr>
            <w:r>
              <w:t xml:space="preserve">Walk to</w:t>
            </w:r>
            <w:r>
              <w:t xml:space="preserve"> </w:t>
            </w:r>
            <m:oMath>
              <m:r>
                <m:t>R</m:t>
              </m:r>
            </m:oMath>
            <w:r>
              <w:t xml:space="preserve"> </w:t>
            </w:r>
            <w:r>
              <w:t xml:space="preserve">distinct nodes</w:t>
            </w:r>
          </w:p>
        </w:tc>
        <w:tc>
          <w:tcPr/>
          <w:p>
            <w:pPr>
              <w:pStyle w:val="Compact"/>
              <w:jc w:val="left"/>
            </w:pPr>
            <w:r>
              <w:t xml:space="preserve">Ad hoc</w:t>
            </w:r>
          </w:p>
        </w:tc>
        <w:tc>
          <w:tcPr/>
          <w:p>
            <w:pPr>
              <w:pStyle w:val="Compact"/>
              <w:jc w:val="left"/>
            </w:pPr>
            <w:r>
              <w:t xml:space="preserve">Top-</w:t>
            </w:r>
            <m:oMath>
              <m:r>
                <m:t>R</m:t>
              </m:r>
            </m:oMath>
            <w:r>
              <w:t xml:space="preserve"> </w:t>
            </w:r>
            <w:r>
              <w:t xml:space="preserve">scores</w:t>
            </w:r>
          </w:p>
        </w:tc>
      </w:tr>
      <w:tr>
        <w:tc>
          <w:tcPr/>
          <w:p>
            <w:pPr>
              <w:pStyle w:val="Compact"/>
              <w:jc w:val="left"/>
            </w:pPr>
            <w:r>
              <w:t xml:space="preserve">Choose when</w:t>
            </w:r>
          </w:p>
        </w:tc>
        <w:tc>
          <w:tcPr/>
          <w:p>
            <w:pPr>
              <w:pStyle w:val="Compact"/>
              <w:jc w:val="left"/>
            </w:pPr>
            <m:oMath>
              <m:r>
                <m:t>N</m:t>
              </m:r>
            </m:oMath>
            <w:r>
              <w:t xml:space="preserve"> </w:t>
            </w:r>
            <w:r>
              <w:t xml:space="preserve">fixed forever</w:t>
            </w:r>
          </w:p>
        </w:tc>
        <w:tc>
          <w:tcPr/>
          <w:p>
            <w:pPr>
              <w:pStyle w:val="Compact"/>
              <w:jc w:val="left"/>
            </w:pPr>
            <w:r>
              <w:t xml:space="preserve">Caches, Dynamo-style stores</w:t>
            </w:r>
          </w:p>
        </w:tc>
        <w:tc>
          <w:tcPr/>
          <w:p>
            <w:pPr>
              <w:pStyle w:val="Compact"/>
              <w:jc w:val="left"/>
            </w:pPr>
            <w:r>
              <w:t xml:space="preserve">Numbered shards that only grow</w:t>
            </w:r>
          </w:p>
        </w:tc>
        <w:tc>
          <w:tcPr/>
          <w:p>
            <w:pPr>
              <w:pStyle w:val="Compact"/>
              <w:jc w:val="left"/>
            </w:pPr>
            <w:r>
              <w:t xml:space="preserve">Small</w:t>
            </w:r>
            <w:r>
              <w:t xml:space="preserve"> </w:t>
            </w:r>
            <m:oMath>
              <m:r>
                <m:t>N</m:t>
              </m:r>
            </m:oMath>
            <w:r>
              <w:t xml:space="preserve">; simple, even spread</w:t>
            </w:r>
          </w:p>
        </w:tc>
      </w:tr>
    </w:tbl>
    <w:p>
      <w:pPr>
        <w:pStyle w:val="BodyText"/>
      </w:pPr>
      <w:r>
        <w:t xml:space="preserve">Table 3.2 gives a brief version.</w:t>
      </w:r>
      <w:r>
        <w:t xml:space="preserve"> </w:t>
      </w:r>
      <w:r>
        <w:rPr>
          <w:bCs/>
          <w:b/>
        </w:rPr>
        <w:t xml:space="preserve">Maglev hashing</w:t>
      </w:r>
      <w:r>
        <w:t xml:space="preserve"> </w:t>
      </w:r>
      <w:r>
        <w:t xml:space="preserve">fills a fixed lookup table for</w:t>
      </w:r>
      <w:r>
        <w:t xml:space="preserve"> </w:t>
      </w:r>
      <m:oMath>
        <m:r>
          <m:t>O</m:t>
        </m:r>
        <m:d>
          <m:dPr>
            <m:begChr m:val="("/>
            <m:endChr m:val=")"/>
            <m:sepChr m:val=""/>
            <m:grow/>
          </m:dPr>
          <m:e>
            <m:r>
              <m:t>1</m:t>
            </m:r>
          </m:e>
        </m:d>
      </m:oMath>
      <w:r>
        <w:t xml:space="preserve"> </w:t>
      </w:r>
      <w:r>
        <w:t xml:space="preserve">lookups in load balancers (§19.4) at the cost of slightly more disruption [Eisenbud et al. 2016].</w:t>
      </w:r>
      <w:r>
        <w:t xml:space="preserve"> </w:t>
      </w:r>
      <w:r>
        <w:rPr>
          <w:bCs/>
          <w:b/>
        </w:rPr>
        <w:t xml:space="preserve">Consistent hashing with bounded loads</w:t>
      </w:r>
      <w:r>
        <w:t xml:space="preserve"> </w:t>
      </w:r>
      <w:r>
        <w:t xml:space="preserve">caps each node at</w:t>
      </w:r>
      <w:r>
        <w:t xml:space="preserve"> </w:t>
      </w:r>
      <m:oMath>
        <m:d>
          <m:dPr>
            <m:begChr m:val="("/>
            <m:endChr m:val=")"/>
            <m:sepChr m:val=""/>
            <m:grow/>
          </m:dPr>
          <m:e>
            <m:r>
              <m:t>1</m:t>
            </m:r>
            <m:r>
              <m:rPr>
                <m:sty m:val="p"/>
              </m:rPr>
              <m:t>+</m:t>
            </m:r>
            <m:r>
              <m:t>ε</m:t>
            </m:r>
          </m:e>
        </m:d>
      </m:oMath>
      <w:r>
        <w:t xml:space="preserve"> </w:t>
      </w:r>
      <w:r>
        <w:t xml:space="preserve">times the average and forwards overflow clockwise, a hard bound random vnodes cannot give [Mirrokni et al. 2018].</w:t>
      </w:r>
    </w:p>
    <w:bookmarkEnd w:id="1624"/>
    <w:bookmarkStart w:id="1625" w:name="failure-scenarios-38"/>
    <w:p>
      <w:pPr>
        <w:pStyle w:val="Heading4"/>
      </w:pPr>
      <w:r>
        <w:t xml:space="preserve">Failure scenarios</w:t>
      </w:r>
    </w:p>
    <w:p>
      <w:pPr>
        <w:pStyle w:val="FirstParagraph"/>
      </w:pPr>
      <w:r>
        <w:t xml:space="preserve">Table 3.3 (§3.3.2) lists generic ring failures. Three more matter for databases.</w:t>
      </w:r>
    </w:p>
    <w:p>
      <w:pPr>
        <w:pStyle w:val="BodyText"/>
      </w:pPr>
      <w:r>
        <w:rPr>
          <w:bCs/>
          <w:b/>
        </w:rPr>
        <w:t xml:space="preserve">Table 14.9 — Additional ring failure scenarios in partitioned databases.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Two replicas on one machine or rack</w:t>
            </w:r>
          </w:p>
        </w:tc>
        <w:tc>
          <w:tcPr/>
          <w:p>
            <w:pPr>
              <w:pStyle w:val="Compact"/>
              <w:jc w:val="left"/>
            </w:pPr>
            <w:r>
              <w:t xml:space="preserve">Preference list counted vnodes, not physical nodes or zones</w:t>
            </w:r>
          </w:p>
        </w:tc>
        <w:tc>
          <w:tcPr/>
          <w:p>
            <w:pPr>
              <w:pStyle w:val="Compact"/>
              <w:jc w:val="left"/>
            </w:pPr>
            <w:r>
              <w:t xml:space="preserve">Placement audit</w:t>
            </w:r>
          </w:p>
        </w:tc>
        <w:tc>
          <w:tcPr/>
          <w:p>
            <w:pPr>
              <w:pStyle w:val="Compact"/>
              <w:jc w:val="left"/>
            </w:pPr>
            <w:r>
              <w:t xml:space="preserve">Re-replicate</w:t>
            </w:r>
          </w:p>
        </w:tc>
        <w:tc>
          <w:tcPr/>
          <w:p>
            <w:pPr>
              <w:pStyle w:val="Compact"/>
              <w:jc w:val="left"/>
            </w:pPr>
            <w:r>
              <w:t xml:space="preserve">Skip duplicate nodes and zones when walking</w:t>
            </w:r>
          </w:p>
        </w:tc>
      </w:tr>
      <w:tr>
        <w:tc>
          <w:tcPr/>
          <w:p>
            <w:pPr>
              <w:pStyle w:val="Compact"/>
              <w:jc w:val="left"/>
            </w:pPr>
            <w:r>
              <w:t xml:space="preserve">Data unreachable after hash change</w:t>
            </w:r>
          </w:p>
        </w:tc>
        <w:tc>
          <w:tcPr/>
          <w:p>
            <w:pPr>
              <w:pStyle w:val="Compact"/>
              <w:jc w:val="left"/>
            </w:pPr>
            <w:r>
              <w:t xml:space="preserve">Library upgrade changed the hash function or seed</w:t>
            </w:r>
          </w:p>
        </w:tc>
        <w:tc>
          <w:tcPr/>
          <w:p>
            <w:pPr>
              <w:pStyle w:val="Compact"/>
              <w:jc w:val="left"/>
            </w:pPr>
            <w:r>
              <w:t xml:space="preserve">Sudden 100 % miss or not-found rate</w:t>
            </w:r>
          </w:p>
        </w:tc>
        <w:tc>
          <w:tcPr/>
          <w:p>
            <w:pPr>
              <w:pStyle w:val="Compact"/>
              <w:jc w:val="left"/>
            </w:pPr>
            <w:r>
              <w:t xml:space="preserve">Roll back the library</w:t>
            </w:r>
          </w:p>
        </w:tc>
        <w:tc>
          <w:tcPr/>
          <w:p>
            <w:pPr>
              <w:pStyle w:val="Compact"/>
              <w:jc w:val="left"/>
            </w:pPr>
            <w:r>
              <w:t xml:space="preserve">Pin hash algorithm and seed in the ring’s metadata</w:t>
            </w:r>
          </w:p>
        </w:tc>
      </w:tr>
      <w:tr>
        <w:tc>
          <w:tcPr/>
          <w:p>
            <w:pPr>
              <w:pStyle w:val="Compact"/>
              <w:jc w:val="left"/>
            </w:pPr>
            <w:r>
              <w:t xml:space="preserve">Rebalance overloads cluster</w:t>
            </w:r>
          </w:p>
        </w:tc>
        <w:tc>
          <w:tcPr/>
          <w:p>
            <w:pPr>
              <w:pStyle w:val="Compact"/>
              <w:jc w:val="left"/>
            </w:pPr>
            <w:r>
              <w:t xml:space="preserve">Many vnodes stream at once after a join</w:t>
            </w:r>
          </w:p>
        </w:tc>
        <w:tc>
          <w:tcPr/>
          <w:p>
            <w:pPr>
              <w:pStyle w:val="Compact"/>
              <w:jc w:val="left"/>
            </w:pPr>
            <w:r>
              <w:t xml:space="preserve">Foreground p99 latency rises during join</w:t>
            </w:r>
          </w:p>
        </w:tc>
        <w:tc>
          <w:tcPr/>
          <w:p>
            <w:pPr>
              <w:pStyle w:val="Compact"/>
              <w:jc w:val="left"/>
            </w:pPr>
            <w:r>
              <w:t xml:space="preserve">Throttle streaming</w:t>
            </w:r>
          </w:p>
        </w:tc>
        <w:tc>
          <w:tcPr/>
          <w:p>
            <w:pPr>
              <w:pStyle w:val="Compact"/>
              <w:jc w:val="left"/>
            </w:pPr>
            <w:r>
              <w:t xml:space="preserve">Rate-limit streaming; join one node at a time</w:t>
            </w:r>
          </w:p>
        </w:tc>
      </w:tr>
    </w:tbl>
    <w:p>
      <w:pPr>
        <w:pStyle w:val="CalloutMistake"/>
      </w:pPr>
      <w:r>
        <w:rPr>
          <w:bCs/>
          <w:b/>
        </w:rPr>
        <w:t xml:space="preserve">COMMON MISTAKE</w:t>
      </w:r>
    </w:p>
    <w:p>
      <w:pPr>
        <w:pStyle w:val="CalloutMistake"/>
      </w:pPr>
      <w:r>
        <w:rPr>
          <w:bCs/>
          <w:b/>
        </w:rPr>
        <w:t xml:space="preserve">Mistake —</w:t>
      </w:r>
      <w:r>
        <w:rPr>
          <w:bCs/>
          <w:b/>
        </w:rPr>
        <w:t xml:space="preserve"> </w:t>
      </w:r>
      <w:r>
        <w:rPr>
          <w:bCs/>
          <w:b/>
        </w:rPr>
        <w:t xml:space="preserve">“</w:t>
      </w:r>
      <w:r>
        <w:rPr>
          <w:bCs/>
          <w:b/>
        </w:rPr>
        <w:t xml:space="preserve">More vnodes are always better.</w:t>
      </w:r>
      <w:r>
        <w:rPr>
          <w:bCs/>
          <w:b/>
        </w:rPr>
        <w:t xml:space="preserve">”</w:t>
      </w:r>
      <w:r>
        <w:t xml:space="preserve"> </w:t>
      </w:r>
      <w:r>
        <w:t xml:space="preserve">Balance improves only as</w:t>
      </w:r>
      <w:r>
        <w:t xml:space="preserve"> </w:t>
      </w:r>
      <m:oMath>
        <m:r>
          <m:t>1</m:t>
        </m:r>
        <m:r>
          <m:rPr>
            <m:sty m:val="p"/>
          </m:rPr>
          <m:t>/</m:t>
        </m:r>
        <m:rad>
          <m:radPr>
            <m:degHide m:val="on"/>
          </m:radPr>
          <m:deg/>
          <m:e>
            <m:r>
              <m:t>V</m:t>
            </m:r>
          </m:e>
        </m:rad>
      </m:oMath>
      <w:r>
        <w:t xml:space="preserve">, while ranges to repair and stream grow linearly with</w:t>
      </w:r>
      <w:r>
        <w:t xml:space="preserve"> </w:t>
      </w:r>
      <m:oMath>
        <m:r>
          <m:t>V</m:t>
        </m:r>
      </m:oMath>
      <w:r>
        <w:t xml:space="preserve">. With</w:t>
      </w:r>
      <w:r>
        <w:t xml:space="preserve"> </w:t>
      </w:r>
      <m:oMath>
        <m:r>
          <m:t>V</m:t>
        </m:r>
        <m:r>
          <m:rPr>
            <m:sty m:val="p"/>
          </m:rPr>
          <m:t>=</m:t>
        </m:r>
        <m:r>
          <m:t>256</m:t>
        </m:r>
      </m:oMath>
      <w:r>
        <w:t xml:space="preserve"> </w:t>
      </w:r>
      <w:r>
        <w:t xml:space="preserve">and three replicas, a node’s ranges overlap most other nodes, so losing almost any two nodes leaves some range without a quorum.</w:t>
      </w:r>
    </w:p>
    <w:bookmarkEnd w:id="1625"/>
    <w:bookmarkEnd w:id="1626"/>
    <w:bookmarkEnd w:id="1627"/>
    <w:bookmarkStart w:id="1639" w:name="rebalancing"/>
    <w:p>
      <w:pPr>
        <w:pStyle w:val="Heading2"/>
      </w:pPr>
      <w:r>
        <w:t xml:space="preserve">14.9 Rebalancing</w:t>
      </w:r>
    </w:p>
    <w:bookmarkStart w:id="1630" w:name="what-rebalancing-must-achieve"/>
    <w:p>
      <w:pPr>
        <w:pStyle w:val="Heading3"/>
      </w:pPr>
      <w:r>
        <w:t xml:space="preserve">14.9.1 What rebalancing must achieve</w:t>
      </w:r>
    </w:p>
    <w:p>
      <w:pPr>
        <w:pStyle w:val="CalloutDefinition"/>
      </w:pPr>
      <w:r>
        <w:rPr>
          <w:bCs/>
          <w:b/>
        </w:rPr>
        <w:t xml:space="preserve">DEFINITION</w:t>
      </w:r>
    </w:p>
    <w:p>
      <w:pPr>
        <w:pStyle w:val="CalloutDefinition"/>
      </w:pPr>
      <w:r>
        <w:rPr>
          <w:bCs/>
          <w:b/>
        </w:rPr>
        <w:t xml:space="preserve">Definition — Rebalancing.</w:t>
      </w:r>
      <w:r>
        <w:t xml:space="preserve"> </w:t>
      </w:r>
      <w:r>
        <w:t xml:space="preserve">Moving partitions, or parts of them, between nodes so that data and load stay even as nodes join, leave or fail and as data grows, while staying available and moving no more data than necessary.</w:t>
      </w:r>
    </w:p>
    <w:bookmarkStart w:id="1628" w:name="first-principles-explanation-91"/>
    <w:p>
      <w:pPr>
        <w:pStyle w:val="Heading4"/>
      </w:pPr>
      <w:r>
        <w:t xml:space="preserve">First-principles explanation</w:t>
      </w:r>
    </w:p>
    <w:p>
      <w:pPr>
        <w:pStyle w:val="FirstParagraph"/>
      </w:pPr>
      <w:r>
        <w:t xml:space="preserve">When a third library room opens, you could renumber every shelf and carry two-thirds of the books around. Or, if the books were already packed in 300 numbered crates, you could carry 100 crates to the new room and update the crate list at the front desk. Rebalancing is cheap when the unit you move is decided</w:t>
      </w:r>
      <w:r>
        <w:t xml:space="preserve"> </w:t>
      </w:r>
      <w:r>
        <w:rPr>
          <w:iCs/>
          <w:i/>
        </w:rPr>
        <w:t xml:space="preserve">before</w:t>
      </w:r>
      <w:r>
        <w:t xml:space="preserve"> </w:t>
      </w:r>
      <w:r>
        <w:t xml:space="preserve">you need to move it. It must also be</w:t>
      </w:r>
      <w:r>
        <w:t xml:space="preserve"> </w:t>
      </w:r>
      <w:r>
        <w:rPr>
          <w:iCs/>
          <w:i/>
        </w:rPr>
        <w:t xml:space="preserve">online</w:t>
      </w:r>
      <w:r>
        <w:t xml:space="preserve">: a store serving 100,000 requests per second cannot pause for a five-hour copy. Kleppmann describes three strategies [Kleppmann 2017].</w:t>
      </w:r>
    </w:p>
    <w:bookmarkEnd w:id="1628"/>
    <w:bookmarkStart w:id="1629" w:name="why-does-this-exist-53"/>
    <w:p>
      <w:pPr>
        <w:pStyle w:val="Heading4"/>
      </w:pPr>
      <w:r>
        <w:t xml:space="preserve">Why does this exist?</w:t>
      </w:r>
    </w:p>
    <w:bookmarkEnd w:id="1629"/>
    <w:bookmarkEnd w:id="1630"/>
    <w:bookmarkStart w:id="1631" w:name="fixed-number-of-partitions"/>
    <w:p>
      <w:pPr>
        <w:pStyle w:val="Heading3"/>
      </w:pPr>
      <w:r>
        <w:t xml:space="preserve">14.9.2 Fixed number of partitions</w:t>
      </w:r>
    </w:p>
    <w:p>
      <w:pPr>
        <w:pStyle w:val="FirstParagraph"/>
      </w:pPr>
      <w:r>
        <w:t xml:space="preserve">Create many more partitions than nodes up front, say 1,024 for 16 nodes, and never change the number. A key’s partition is fixed forever; only the</w:t>
      </w:r>
      <w:r>
        <w:t xml:space="preserve"> </w:t>
      </w:r>
      <w:r>
        <w:rPr>
          <w:bCs/>
          <w:b/>
        </w:rPr>
        <w:t xml:space="preserve">partition-to-node map</w:t>
      </w:r>
      <w:r>
        <w:t xml:space="preserve"> </w:t>
      </w:r>
      <w:r>
        <w:t xml:space="preserve">changes, and a joining node takes whole partitions from the others. Elasticsearch fixes primary shards at index creation, Riak and Couchbase (vBuckets) use fixed partition sets, and the logical shards of Notion and Instagram (§14.7) and Dynamo’s final strategy are the same idea.</w:t>
      </w:r>
    </w:p>
    <w:p>
      <w:pPr>
        <w:pStyle w:val="BodyText"/>
      </w:pPr>
      <w:r>
        <w:t xml:space="preserve">The difficulty is choosing</w:t>
      </w:r>
      <w:r>
        <w:t xml:space="preserve"> </w:t>
      </w:r>
      <m:oMath>
        <m:r>
          <m:t>P</m:t>
        </m:r>
      </m:oMath>
      <w:r>
        <w:t xml:space="preserve">. Each partition has fixed overhead, so</w:t>
      </w:r>
      <w:r>
        <w:t xml:space="preserve"> </w:t>
      </w:r>
      <m:oMath>
        <m:r>
          <m:t>P</m:t>
        </m:r>
      </m:oMath>
      <w:r>
        <w:t xml:space="preserve"> </w:t>
      </w:r>
      <w:r>
        <w:t xml:space="preserve">cannot be huge, yet</w:t>
      </w:r>
      <w:r>
        <w:t xml:space="preserve"> </w:t>
      </w:r>
      <m:oMath>
        <m:r>
          <m:t>P</m:t>
        </m:r>
      </m:oMath>
      <w:r>
        <w:t xml:space="preserve"> </w:t>
      </w:r>
      <w:r>
        <w:t xml:space="preserve">caps the node count and sets the granularity of balance. Choose</w:t>
      </w:r>
      <w:r>
        <w:t xml:space="preserve"> </w:t>
      </w:r>
      <m:oMath>
        <m:r>
          <m:t>P</m:t>
        </m:r>
      </m:oMath>
      <w:r>
        <w:t xml:space="preserve"> </w:t>
      </w:r>
      <w:r>
        <w:t xml:space="preserve">at least 10× the largest plausible node count and divisible by likely fleet sizes (§14.7.4). If data grows 100×, each partition does too and may become slow to move.</w:t>
      </w:r>
    </w:p>
    <w:bookmarkEnd w:id="1631"/>
    <w:bookmarkStart w:id="1632" w:name="dynamic-splitting"/>
    <w:p>
      <w:pPr>
        <w:pStyle w:val="Heading3"/>
      </w:pPr>
      <w:r>
        <w:t xml:space="preserve">14.9.3 Dynamic splitting</w:t>
      </w:r>
    </w:p>
    <w:p>
      <w:pPr>
        <w:pStyle w:val="FirstParagraph"/>
      </w:pPr>
      <w:r>
        <w:t xml:space="preserve">Start with one partition, or a few, and</w:t>
      </w:r>
      <w:r>
        <w:t xml:space="preserve"> </w:t>
      </w:r>
      <w:r>
        <w:rPr>
          <w:bCs/>
          <w:b/>
        </w:rPr>
        <w:t xml:space="preserve">split</w:t>
      </w:r>
      <w:r>
        <w:t xml:space="preserve"> </w:t>
      </w:r>
      <w:r>
        <w:t xml:space="preserve">any partition that passes a size threshold, merging ones that shrink. This adapts to data volume and suits range partitioning, where the key distribution is unknown. Bigtable splits tablets at roughly 100–200 MB [Chang et al. 2006]; HBase regions, MongoDB chunks and distributed SQL ranges split the same way. An empty database starts on one node, so bulk loads should</w:t>
      </w:r>
      <w:r>
        <w:t xml:space="preserve"> </w:t>
      </w:r>
      <w:r>
        <w:rPr>
          <w:bCs/>
          <w:b/>
        </w:rPr>
        <w:t xml:space="preserve">pre-split</w:t>
      </w:r>
      <w:r>
        <w:t xml:space="preserve"> </w:t>
      </w:r>
      <w:r>
        <w:t xml:space="preserve">on known boundaries.</w:t>
      </w:r>
    </w:p>
    <w:bookmarkEnd w:id="1632"/>
    <w:bookmarkStart w:id="1633" w:name="partitions-proportional-to-nodes"/>
    <w:p>
      <w:pPr>
        <w:pStyle w:val="Heading3"/>
      </w:pPr>
      <w:r>
        <w:t xml:space="preserve">14.9.4 Partitions proportional to nodes</w:t>
      </w:r>
    </w:p>
    <w:p>
      <w:pPr>
        <w:pStyle w:val="FirstParagraph"/>
      </w:pPr>
      <w:r>
        <w:t xml:space="preserve">Give each node a fixed number of partitions, such as Cassandra’s</w:t>
      </w:r>
      <w:r>
        <w:t xml:space="preserve"> </w:t>
      </w:r>
      <w:r>
        <w:rPr>
          <w:rStyle w:val="VerbatimChar"/>
        </w:rPr>
        <w:t xml:space="preserve">num_tokens</w:t>
      </w:r>
      <w:r>
        <w:t xml:space="preserve">. A joining node picks that many split points and takes over half of each range it cuts, so the partition count grows with the cluster. This is consistent hashing with vnodes viewed as a rebalancing strategy.</w:t>
      </w:r>
    </w:p>
    <w:p>
      <w:pPr>
        <w:pStyle w:val="BodyText"/>
      </w:pPr>
      <w:r>
        <w:rPr>
          <w:bCs/>
          <w:b/>
        </w:rPr>
        <w:t xml:space="preserve">Table 14.10 — Rebalancing strategies compared.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Fixed partitions</w:t>
            </w:r>
          </w:p>
        </w:tc>
        <w:tc>
          <w:tcPr/>
          <w:p>
            <w:pPr>
              <w:pStyle w:val="Compact"/>
              <w:jc w:val="left"/>
            </w:pPr>
            <w:r>
              <w:t xml:space="preserve">Dynamic splitting</w:t>
            </w:r>
          </w:p>
        </w:tc>
        <w:tc>
          <w:tcPr/>
          <w:p>
            <w:pPr>
              <w:pStyle w:val="Compact"/>
              <w:jc w:val="left"/>
            </w:pPr>
            <w:r>
              <w:t xml:space="preserve">Proportional to nodes</w:t>
            </w:r>
          </w:p>
        </w:tc>
      </w:tr>
      <w:tr>
        <w:tc>
          <w:tcPr/>
          <w:p>
            <w:pPr>
              <w:pStyle w:val="Compact"/>
              <w:jc w:val="left"/>
            </w:pPr>
            <w:r>
              <w:t xml:space="preserve">What moves on node join</w:t>
            </w:r>
          </w:p>
        </w:tc>
        <w:tc>
          <w:tcPr/>
          <w:p>
            <w:pPr>
              <w:pStyle w:val="Compact"/>
              <w:jc w:val="left"/>
            </w:pPr>
            <w:r>
              <w:t xml:space="preserve">Whole partitions, map edit</w:t>
            </w:r>
          </w:p>
        </w:tc>
        <w:tc>
          <w:tcPr/>
          <w:p>
            <w:pPr>
              <w:pStyle w:val="Compact"/>
              <w:jc w:val="left"/>
            </w:pPr>
            <w:r>
              <w:t xml:space="preserve">Split halves</w:t>
            </w:r>
          </w:p>
        </w:tc>
        <w:tc>
          <w:tcPr/>
          <w:p>
            <w:pPr>
              <w:pStyle w:val="Compact"/>
              <w:jc w:val="left"/>
            </w:pPr>
            <w:r>
              <w:t xml:space="preserve">Arcs cut by new tokens</w:t>
            </w:r>
          </w:p>
        </w:tc>
      </w:tr>
      <w:tr>
        <w:tc>
          <w:tcPr/>
          <w:p>
            <w:pPr>
              <w:pStyle w:val="Compact"/>
              <w:jc w:val="left"/>
            </w:pPr>
            <w:r>
              <w:t xml:space="preserve">Partition count</w:t>
            </w:r>
          </w:p>
        </w:tc>
        <w:tc>
          <w:tcPr/>
          <w:p>
            <w:pPr>
              <w:pStyle w:val="Compact"/>
              <w:jc w:val="left"/>
            </w:pPr>
            <w:r>
              <w:t xml:space="preserve">Constant</w:t>
            </w:r>
            <w:r>
              <w:t xml:space="preserve"> </w:t>
            </w:r>
            <m:oMath>
              <m:r>
                <m:t>P</m:t>
              </m:r>
            </m:oMath>
          </w:p>
        </w:tc>
        <w:tc>
          <w:tcPr/>
          <w:p>
            <w:pPr>
              <w:pStyle w:val="Compact"/>
              <w:jc w:val="left"/>
            </w:pPr>
            <w:r>
              <w:t xml:space="preserve">Grows with data</w:t>
            </w:r>
          </w:p>
        </w:tc>
        <w:tc>
          <w:tcPr/>
          <w:p>
            <w:pPr>
              <w:pStyle w:val="Compact"/>
              <w:jc w:val="left"/>
            </w:pPr>
            <w:r>
              <w:t xml:space="preserve">Grows with nodes</w:t>
            </w:r>
          </w:p>
        </w:tc>
      </w:tr>
      <w:tr>
        <w:tc>
          <w:tcPr/>
          <w:p>
            <w:pPr>
              <w:pStyle w:val="Compact"/>
              <w:jc w:val="left"/>
            </w:pPr>
            <w:r>
              <w:t xml:space="preserve">Partition size</w:t>
            </w:r>
          </w:p>
        </w:tc>
        <w:tc>
          <w:tcPr/>
          <w:p>
            <w:pPr>
              <w:pStyle w:val="Compact"/>
              <w:jc w:val="left"/>
            </w:pPr>
            <w:r>
              <w:t xml:space="preserve">Grows with data</w:t>
            </w:r>
          </w:p>
        </w:tc>
        <w:tc>
          <w:tcPr/>
          <w:p>
            <w:pPr>
              <w:pStyle w:val="Compact"/>
              <w:jc w:val="left"/>
            </w:pPr>
            <w:r>
              <w:t xml:space="preserve">Bounded by threshold</w:t>
            </w:r>
          </w:p>
        </w:tc>
        <w:tc>
          <w:tcPr/>
          <w:p>
            <w:pPr>
              <w:pStyle w:val="Compact"/>
              <w:jc w:val="left"/>
            </w:pPr>
            <w:r>
              <w:t xml:space="preserve">Grows with data per node</w:t>
            </w:r>
          </w:p>
        </w:tc>
      </w:tr>
      <w:tr>
        <w:tc>
          <w:tcPr/>
          <w:p>
            <w:pPr>
              <w:pStyle w:val="Compact"/>
              <w:jc w:val="left"/>
            </w:pPr>
            <w:r>
              <w:t xml:space="preserve">Range scans</w:t>
            </w:r>
          </w:p>
        </w:tc>
        <w:tc>
          <w:tcPr/>
          <w:p>
            <w:pPr>
              <w:pStyle w:val="Compact"/>
              <w:jc w:val="left"/>
            </w:pPr>
            <w:r>
              <w:t xml:space="preserve">With hash, no</w:t>
            </w:r>
          </w:p>
        </w:tc>
        <w:tc>
          <w:tcPr/>
          <w:p>
            <w:pPr>
              <w:pStyle w:val="Compact"/>
              <w:jc w:val="left"/>
            </w:pPr>
            <w:r>
              <w:t xml:space="preserve">Yes (range keys)</w:t>
            </w:r>
          </w:p>
        </w:tc>
        <w:tc>
          <w:tcPr/>
          <w:p>
            <w:pPr>
              <w:pStyle w:val="Compact"/>
              <w:jc w:val="left"/>
            </w:pPr>
            <w:r>
              <w:t xml:space="preserve">With hash, no</w:t>
            </w:r>
          </w:p>
        </w:tc>
      </w:tr>
      <w:tr>
        <w:tc>
          <w:tcPr/>
          <w:p>
            <w:pPr>
              <w:pStyle w:val="Compact"/>
              <w:jc w:val="left"/>
            </w:pPr>
            <w:r>
              <w:t xml:space="preserve">Main risk</w:t>
            </w:r>
          </w:p>
        </w:tc>
        <w:tc>
          <w:tcPr/>
          <w:p>
            <w:pPr>
              <w:pStyle w:val="Compact"/>
              <w:jc w:val="left"/>
            </w:pPr>
            <m:oMath>
              <m:r>
                <m:t>P</m:t>
              </m:r>
            </m:oMath>
            <w:r>
              <w:t xml:space="preserve"> </w:t>
            </w:r>
            <w:r>
              <w:t xml:space="preserve">chosen too small or too large</w:t>
            </w:r>
          </w:p>
        </w:tc>
        <w:tc>
          <w:tcPr/>
          <w:p>
            <w:pPr>
              <w:pStyle w:val="Compact"/>
              <w:jc w:val="left"/>
            </w:pPr>
            <w:r>
              <w:t xml:space="preserve">Cold start; split storms</w:t>
            </w:r>
          </w:p>
        </w:tc>
        <w:tc>
          <w:tcPr/>
          <w:p>
            <w:pPr>
              <w:pStyle w:val="Compact"/>
              <w:jc w:val="left"/>
            </w:pPr>
            <w:r>
              <w:t xml:space="preserve">Random imbalance (§14.8.4)</w:t>
            </w:r>
          </w:p>
        </w:tc>
      </w:tr>
      <w:tr>
        <w:tc>
          <w:tcPr/>
          <w:p>
            <w:pPr>
              <w:pStyle w:val="Compact"/>
              <w:jc w:val="left"/>
            </w:pPr>
            <w:r>
              <w:t xml:space="preserve">Examples</w:t>
            </w:r>
          </w:p>
        </w:tc>
        <w:tc>
          <w:tcPr/>
          <w:p>
            <w:pPr>
              <w:pStyle w:val="Compact"/>
              <w:jc w:val="left"/>
            </w:pPr>
            <w:r>
              <w:t xml:space="preserve">Elasticsearch, Riak, Couchbase, logical shards, Dynamo</w:t>
            </w:r>
          </w:p>
        </w:tc>
        <w:tc>
          <w:tcPr/>
          <w:p>
            <w:pPr>
              <w:pStyle w:val="Compact"/>
              <w:jc w:val="left"/>
            </w:pPr>
            <w:r>
              <w:t xml:space="preserve">Bigtable, HBase, MongoDB, distributed SQL</w:t>
            </w:r>
          </w:p>
        </w:tc>
        <w:tc>
          <w:tcPr/>
          <w:p>
            <w:pPr>
              <w:pStyle w:val="Compact"/>
              <w:jc w:val="left"/>
            </w:pPr>
            <w:r>
              <w:t xml:space="preserve">Cassandra</w:t>
            </w:r>
          </w:p>
        </w:tc>
      </w:tr>
      <w:tr>
        <w:tc>
          <w:tcPr/>
          <w:p>
            <w:pPr>
              <w:pStyle w:val="Compact"/>
              <w:jc w:val="left"/>
            </w:pPr>
            <w:r>
              <w:t xml:space="preserve">Choose when</w:t>
            </w:r>
          </w:p>
        </w:tc>
        <w:tc>
          <w:tcPr/>
          <w:p>
            <w:pPr>
              <w:pStyle w:val="Compact"/>
              <w:jc w:val="left"/>
            </w:pPr>
            <w:r>
              <w:t xml:space="preserve">Predictable growth; simple ops</w:t>
            </w:r>
          </w:p>
        </w:tc>
        <w:tc>
          <w:tcPr/>
          <w:p>
            <w:pPr>
              <w:pStyle w:val="Compact"/>
              <w:jc w:val="left"/>
            </w:pPr>
            <w:r>
              <w:t xml:space="preserve">Range access; unknown key distribution</w:t>
            </w:r>
          </w:p>
        </w:tc>
        <w:tc>
          <w:tcPr/>
          <w:p>
            <w:pPr>
              <w:pStyle w:val="Compact"/>
              <w:jc w:val="left"/>
            </w:pPr>
            <w:r>
              <w:t xml:space="preserve">Peer-to-peer ring stores</w:t>
            </w:r>
          </w:p>
        </w:tc>
      </w:tr>
    </w:tbl>
    <w:p>
      <w:pPr>
        <w:pStyle w:val="CalloutWarning"/>
      </w:pPr>
      <w:r>
        <w:rPr>
          <w:bCs/>
          <w:b/>
        </w:rPr>
        <w:t xml:space="preserve">WARNING / TRADE-OFF</w:t>
      </w:r>
    </w:p>
    <w:p>
      <w:pPr>
        <w:pStyle w:val="CalloutWarning"/>
      </w:pPr>
      <w:r>
        <w:rPr>
          <w:bCs/>
          <w:b/>
        </w:rPr>
        <w:t xml:space="preserve">Warning — Fully automatic rebalancing can turn a slow node into an outage.</w:t>
      </w:r>
      <w:r>
        <w:t xml:space="preserve"> </w:t>
      </w:r>
      <w:r>
        <w:t xml:space="preserve">If the failure detector mistakes an overloaded node for a dead one, streaming its partitions away adds load to it and its peers, more nodes look dead, and the cascade grows. Many operators let the system</w:t>
      </w:r>
      <w:r>
        <w:t xml:space="preserve"> </w:t>
      </w:r>
      <w:r>
        <w:rPr>
          <w:iCs/>
          <w:i/>
        </w:rPr>
        <w:t xml:space="preserve">propose</w:t>
      </w:r>
      <w:r>
        <w:t xml:space="preserve"> </w:t>
      </w:r>
      <w:r>
        <w:t xml:space="preserve">plans but require a human or rate-limited controller to execute them [Kleppmann 2017].</w:t>
      </w:r>
    </w:p>
    <w:bookmarkEnd w:id="1633"/>
    <w:bookmarkStart w:id="1638" w:name="X211ea53614c49e7042ff2d52a54aa15be747907"/>
    <w:p>
      <w:pPr>
        <w:pStyle w:val="Heading3"/>
      </w:pPr>
      <w:r>
        <w:t xml:space="preserve">14.9.5 Online migration: dual writes, backfill and cutover</w:t>
      </w:r>
    </w:p>
    <w:p>
      <w:pPr>
        <w:pStyle w:val="FirstParagraph"/>
      </w:pPr>
      <w:r>
        <w:t xml:space="preserve">Changing the shard key, splitting a shard or moving a tenant means copying data while the application keeps writing. The safe procedure is the same whether done by Vitess VReplication, a CDC pipeline or by hand:</w:t>
      </w:r>
    </w:p>
    <w:p>
      <w:pPr>
        <w:numPr>
          <w:ilvl w:val="0"/>
          <w:numId w:val="1488"/>
        </w:numPr>
        <w:pStyle w:val="Compact"/>
      </w:pPr>
      <w:r>
        <w:rPr>
          <w:bCs/>
          <w:b/>
        </w:rPr>
        <w:t xml:space="preserve">Provision</w:t>
      </w:r>
      <w:r>
        <w:t xml:space="preserve"> </w:t>
      </w:r>
      <w:r>
        <w:t xml:space="preserve">the target shards with the new schema and partitioning.</w:t>
      </w:r>
    </w:p>
    <w:p>
      <w:pPr>
        <w:numPr>
          <w:ilvl w:val="0"/>
          <w:numId w:val="1488"/>
        </w:numPr>
        <w:pStyle w:val="Compact"/>
      </w:pPr>
      <w:r>
        <w:rPr>
          <w:bCs/>
          <w:b/>
        </w:rPr>
        <w:t xml:space="preserve">Start capturing changes</w:t>
      </w:r>
      <w:r>
        <w:t xml:space="preserve"> </w:t>
      </w:r>
      <w:r>
        <w:t xml:space="preserve">at a known source position</w:t>
      </w:r>
      <w:r>
        <w:t xml:space="preserve"> </w:t>
      </w:r>
      <w:r>
        <w:rPr>
          <w:iCs/>
          <w:i/>
        </w:rPr>
        <w:t xml:space="preserve">before</w:t>
      </w:r>
      <w:r>
        <w:t xml:space="preserve"> </w:t>
      </w:r>
      <w:r>
        <w:t xml:space="preserve">copying, from the change stream (CDC, §14.4.5) or application</w:t>
      </w:r>
      <w:r>
        <w:t xml:space="preserve"> </w:t>
      </w:r>
      <w:r>
        <w:rPr>
          <w:bCs/>
          <w:b/>
        </w:rPr>
        <w:t xml:space="preserve">dual writes</w:t>
      </w:r>
      <w:r>
        <w:t xml:space="preserve">.</w:t>
      </w:r>
    </w:p>
    <w:p>
      <w:pPr>
        <w:numPr>
          <w:ilvl w:val="0"/>
          <w:numId w:val="1488"/>
        </w:numPr>
        <w:pStyle w:val="Compact"/>
      </w:pPr>
      <w:r>
        <w:rPr>
          <w:bCs/>
          <w:b/>
        </w:rPr>
        <w:t xml:space="preserve">Backfill</w:t>
      </w:r>
      <w:r>
        <w:t xml:space="preserve"> </w:t>
      </w:r>
      <w:r>
        <w:t xml:space="preserve">existing rows from a snapshot at that position, throttled.</w:t>
      </w:r>
    </w:p>
    <w:p>
      <w:pPr>
        <w:numPr>
          <w:ilvl w:val="0"/>
          <w:numId w:val="1488"/>
        </w:numPr>
        <w:pStyle w:val="Compact"/>
      </w:pPr>
      <w:r>
        <w:rPr>
          <w:bCs/>
          <w:b/>
        </w:rPr>
        <w:t xml:space="preserve">Catch up</w:t>
      </w:r>
      <w:r>
        <w:t xml:space="preserve"> </w:t>
      </w:r>
      <w:r>
        <w:t xml:space="preserve">by applying captured changes until the target is seconds behind.</w:t>
      </w:r>
    </w:p>
    <w:p>
      <w:pPr>
        <w:numPr>
          <w:ilvl w:val="0"/>
          <w:numId w:val="1488"/>
        </w:numPr>
        <w:pStyle w:val="Compact"/>
      </w:pPr>
      <w:r>
        <w:rPr>
          <w:bCs/>
          <w:b/>
        </w:rPr>
        <w:t xml:space="preserve">Verify</w:t>
      </w:r>
      <w:r>
        <w:t xml:space="preserve"> </w:t>
      </w:r>
      <w:r>
        <w:t xml:space="preserve">with per-range checksums and</w:t>
      </w:r>
      <w:r>
        <w:t xml:space="preserve"> </w:t>
      </w:r>
      <w:r>
        <w:rPr>
          <w:bCs/>
          <w:b/>
        </w:rPr>
        <w:t xml:space="preserve">shadow reads</w:t>
      </w:r>
      <w:r>
        <w:t xml:space="preserve"> </w:t>
      </w:r>
      <w:r>
        <w:t xml:space="preserve">that query both sides and log differences.</w:t>
      </w:r>
    </w:p>
    <w:p>
      <w:pPr>
        <w:numPr>
          <w:ilvl w:val="0"/>
          <w:numId w:val="1488"/>
        </w:numPr>
        <w:pStyle w:val="Compact"/>
      </w:pPr>
      <w:r>
        <w:rPr>
          <w:bCs/>
          <w:b/>
        </w:rPr>
        <w:t xml:space="preserve">Switch reads</w:t>
      </w:r>
      <w:r>
        <w:t xml:space="preserve">, gradually if possible; the source still takes writes.</w:t>
      </w:r>
    </w:p>
    <w:p>
      <w:pPr>
        <w:numPr>
          <w:ilvl w:val="0"/>
          <w:numId w:val="1488"/>
        </w:numPr>
        <w:pStyle w:val="Compact"/>
      </w:pPr>
      <w:r>
        <w:rPr>
          <w:bCs/>
          <w:b/>
        </w:rPr>
        <w:t xml:space="preserve">Switch writes</w:t>
      </w:r>
      <w:r>
        <w:t xml:space="preserve">: freeze writes for seconds, wait for the target to apply the last position, redirect writes and fence the source.</w:t>
      </w:r>
    </w:p>
    <w:p>
      <w:pPr>
        <w:numPr>
          <w:ilvl w:val="0"/>
          <w:numId w:val="1488"/>
        </w:numPr>
        <w:pStyle w:val="Compact"/>
      </w:pPr>
      <w:r>
        <w:rPr>
          <w:bCs/>
          <w:b/>
        </w:rPr>
        <w:t xml:space="preserve">Keep a reverse stream</w:t>
      </w:r>
      <w:r>
        <w:t xml:space="preserve"> </w:t>
      </w:r>
      <w:r>
        <w:t xml:space="preserve">to the source for a rollback window.</w:t>
      </w:r>
    </w:p>
    <w:p>
      <w:pPr>
        <w:numPr>
          <w:ilvl w:val="0"/>
          <w:numId w:val="1488"/>
        </w:numPr>
        <w:pStyle w:val="Compact"/>
      </w:pPr>
      <w:r>
        <w:rPr>
          <w:bCs/>
          <w:b/>
        </w:rPr>
        <w:t xml:space="preserve">Clean up</w:t>
      </w:r>
      <w:r>
        <w:t xml:space="preserve"> </w:t>
      </w:r>
      <w:r>
        <w:t xml:space="preserve">after the window closes.</w:t>
      </w:r>
    </w:p>
    <w:p>
      <w:pPr>
        <w:pStyle w:val="FirstParagraph"/>
      </w:pPr>
      <w:r>
        <w:rPr>
          <w:bCs/>
          <w:b/>
        </w:rPr>
        <w:t xml:space="preserve">Figure 14.8 — Online resharding as a state machine.</w:t>
      </w:r>
    </w:p>
    <w:p>
      <w:pPr>
        <w:pStyle w:val="BodyText"/>
      </w:pPr>
      <w:r>
        <w:drawing>
          <wp:inline>
            <wp:extent cx="5334000" cy="9439500"/>
            <wp:effectExtent b="0" l="0" r="0" t="0"/>
            <wp:docPr descr="" title="" id="1635" name="Picture"/>
            <a:graphic>
              <a:graphicData uri="http://schemas.openxmlformats.org/drawingml/2006/picture">
                <pic:pic>
                  <pic:nvPicPr>
                    <pic:cNvPr descr="/home/user/System-Design/build/.cache/diagrams/ce6cc6e97adf.png" id="1636" name="Picture"/>
                    <pic:cNvPicPr>
                      <a:picLocks noChangeArrowheads="1" noChangeAspect="1"/>
                    </pic:cNvPicPr>
                  </pic:nvPicPr>
                  <pic:blipFill>
                    <a:blip r:embed="rId1634"/>
                    <a:stretch>
                      <a:fillRect/>
                    </a:stretch>
                  </pic:blipFill>
                  <pic:spPr bwMode="auto">
                    <a:xfrm>
                      <a:off x="0" y="0"/>
                      <a:ext cx="5334000" cy="9439500"/>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Capture starts</w:t>
      </w:r>
      <w:r>
        <w:t xml:space="preserve"> </w:t>
      </w:r>
      <w:r>
        <w:rPr>
          <w:iCs/>
          <w:i/>
        </w:rPr>
        <w:t xml:space="preserve">before</w:t>
      </w:r>
      <w:r>
        <w:t xml:space="preserve"> </w:t>
      </w:r>
      <w:r>
        <w:t xml:space="preserve">the snapshot so no write is missed. Until reads switch, the source alone serves users while the change stream updates the target asynchronously. Backward arrows are the safety net, including the reverse stream after the write switch. The write switch is the riskiest step, since two writable copies would be split brain, hence fencing. Shards migrate in parallel, each throttled.</w:t>
      </w:r>
    </w:p>
    <w:p>
      <w:pPr>
        <w:pStyle w:val="CalloutExample"/>
      </w:pPr>
      <w:r>
        <w:rPr>
          <w:bCs/>
          <w:b/>
        </w:rPr>
        <w:t xml:space="preserve">WORKED EXAMPLE</w:t>
      </w:r>
    </w:p>
    <w:p>
      <w:pPr>
        <w:pStyle w:val="CalloutExample"/>
      </w:pPr>
      <w:r>
        <w:rPr>
          <w:bCs/>
          <w:b/>
        </w:rPr>
        <w:t xml:space="preserve">Worked example — How long does a shard split take?</w:t>
      </w:r>
      <w:r>
        <w:t xml:space="preserve"> </w:t>
      </w:r>
      <w:r>
        <w:t xml:space="preserve">A 3 TB shard is split in two, so 1.5 TB moves to a new shard (SI units). The backfill is throttled to 150 MB/s. During the copy, the moving half of the shard receives 2,000 writes/s, and the target can apply 6,000 writes/s.</w:t>
      </w:r>
    </w:p>
    <w:p>
      <w:pPr>
        <w:numPr>
          <w:ilvl w:val="0"/>
          <w:numId w:val="1489"/>
        </w:numPr>
        <w:pStyle w:val="Compact"/>
      </w:pPr>
      <w:r>
        <w:t xml:space="preserve">Backfill:</w:t>
      </w:r>
      <w:r>
        <w:t xml:space="preserve"> </w:t>
      </w:r>
      <m:oMath>
        <m:r>
          <m:t>1.5</m:t>
        </m:r>
        <m:r>
          <m:rPr>
            <m:sty m:val="p"/>
          </m:rPr>
          <m:t>×</m:t>
        </m:r>
        <m:sSup>
          <m:e>
            <m:r>
              <m:t>10</m:t>
            </m:r>
          </m:e>
          <m:sup>
            <m:r>
              <m:t>12</m:t>
            </m:r>
          </m:sup>
        </m:sSup>
        <m:r>
          <m:rPr>
            <m:sty m:val="p"/>
          </m:rPr>
          <m:t>/</m:t>
        </m:r>
        <m:r>
          <m:t>1.5</m:t>
        </m:r>
        <m:r>
          <m:rPr>
            <m:sty m:val="p"/>
          </m:rPr>
          <m:t>×</m:t>
        </m:r>
        <m:sSup>
          <m:e>
            <m:r>
              <m:t>10</m:t>
            </m:r>
          </m:e>
          <m:sup>
            <m:r>
              <m:t>8</m:t>
            </m:r>
          </m:sup>
        </m:sSup>
        <m:r>
          <m:rPr>
            <m:sty m:val="p"/>
          </m:rPr>
          <m:t>=</m:t>
        </m:r>
        <m:r>
          <m:t>10</m:t>
        </m:r>
        <m:r>
          <m:rPr>
            <m:sty m:val="p"/>
          </m:rPr>
          <m:t>,</m:t>
        </m:r>
        <m:r>
          <m:t>000</m:t>
        </m:r>
      </m:oMath>
      <w:r>
        <w:t xml:space="preserve"> </w:t>
      </w:r>
      <w:r>
        <w:t xml:space="preserve">s, about 2.8 hours.</w:t>
      </w:r>
    </w:p>
    <w:p>
      <w:pPr>
        <w:numPr>
          <w:ilvl w:val="0"/>
          <w:numId w:val="1489"/>
        </w:numPr>
        <w:pStyle w:val="Compact"/>
      </w:pPr>
      <w:r>
        <w:t xml:space="preserve">Backlog when the backfill ends:</w:t>
      </w:r>
      <w:r>
        <w:t xml:space="preserve"> </w:t>
      </w:r>
      <m:oMath>
        <m:r>
          <m:t>B</m:t>
        </m:r>
        <m:r>
          <m:rPr>
            <m:sty m:val="p"/>
          </m:rPr>
          <m:t>=</m:t>
        </m:r>
        <m:r>
          <m:t>2</m:t>
        </m:r>
        <m:r>
          <m:rPr>
            <m:sty m:val="p"/>
          </m:rPr>
          <m:t>,</m:t>
        </m:r>
        <m:r>
          <m:t>000</m:t>
        </m:r>
        <m:r>
          <m:rPr>
            <m:sty m:val="p"/>
          </m:rPr>
          <m:t>×</m:t>
        </m:r>
        <m:r>
          <m:t>10</m:t>
        </m:r>
        <m:r>
          <m:rPr>
            <m:sty m:val="p"/>
          </m:rPr>
          <m:t>,</m:t>
        </m:r>
        <m:r>
          <m:t>000</m:t>
        </m:r>
        <m:r>
          <m:rPr>
            <m:sty m:val="p"/>
          </m:rPr>
          <m:t>=</m:t>
        </m:r>
        <m:r>
          <m:t>2</m:t>
        </m:r>
        <m:r>
          <m:rPr>
            <m:sty m:val="p"/>
          </m:rPr>
          <m:t>×</m:t>
        </m:r>
        <m:sSup>
          <m:e>
            <m:r>
              <m:t>10</m:t>
            </m:r>
          </m:e>
          <m:sup>
            <m:r>
              <m:t>7</m:t>
            </m:r>
          </m:sup>
        </m:sSup>
      </m:oMath>
      <w:r>
        <w:t xml:space="preserve"> </w:t>
      </w:r>
      <w:r>
        <w:t xml:space="preserve">writes.</w:t>
      </w:r>
    </w:p>
    <w:p>
      <w:pPr>
        <w:numPr>
          <w:ilvl w:val="0"/>
          <w:numId w:val="1489"/>
        </w:numPr>
        <w:pStyle w:val="Compact"/>
      </w:pPr>
      <w:r>
        <w:t xml:space="preserve">Catch-up (§14.4.2):</w:t>
      </w:r>
      <w:r>
        <w:t xml:space="preserve"> </w:t>
      </w:r>
      <m:oMath>
        <m:r>
          <m:t>T</m:t>
        </m:r>
        <m:r>
          <m:rPr>
            <m:sty m:val="p"/>
          </m:rPr>
          <m:t>=</m:t>
        </m:r>
        <m:r>
          <m:t>2</m:t>
        </m:r>
        <m:r>
          <m:rPr>
            <m:sty m:val="p"/>
          </m:rPr>
          <m:t>×</m:t>
        </m:r>
        <m:sSup>
          <m:e>
            <m:r>
              <m:t>10</m:t>
            </m:r>
          </m:e>
          <m:sup>
            <m:r>
              <m:t>7</m:t>
            </m:r>
          </m:sup>
        </m:sSup>
        <m:r>
          <m:rPr>
            <m:sty m:val="p"/>
          </m:rPr>
          <m:t>/</m:t>
        </m:r>
        <m:d>
          <m:dPr>
            <m:begChr m:val="("/>
            <m:endChr m:val=")"/>
            <m:sepChr m:val=""/>
            <m:grow/>
          </m:dPr>
          <m:e>
            <m:r>
              <m:t>6</m:t>
            </m:r>
            <m:r>
              <m:rPr>
                <m:sty m:val="p"/>
              </m:rPr>
              <m:t>,</m:t>
            </m:r>
            <m:r>
              <m:t>000</m:t>
            </m:r>
            <m:r>
              <m:rPr>
                <m:sty m:val="p"/>
              </m:rPr>
              <m:t>−</m:t>
            </m:r>
            <m:r>
              <m:t>2</m:t>
            </m:r>
            <m:r>
              <m:rPr>
                <m:sty m:val="p"/>
              </m:rPr>
              <m:t>,</m:t>
            </m:r>
            <m:r>
              <m:t>000</m:t>
            </m:r>
          </m:e>
        </m:d>
        <m:r>
          <m:rPr>
            <m:sty m:val="p"/>
          </m:rPr>
          <m:t>=</m:t>
        </m:r>
        <m:r>
          <m:t>5</m:t>
        </m:r>
        <m:r>
          <m:rPr>
            <m:sty m:val="p"/>
          </m:rPr>
          <m:t>,</m:t>
        </m:r>
        <m:r>
          <m:t>000</m:t>
        </m:r>
      </m:oMath>
      <w:r>
        <w:t xml:space="preserve"> </w:t>
      </w:r>
      <w:r>
        <w:t xml:space="preserve">s, about 1.4 hours. Production tools apply changes</w:t>
      </w:r>
      <w:r>
        <w:t xml:space="preserve"> </w:t>
      </w:r>
      <w:r>
        <w:rPr>
          <w:iCs/>
          <w:i/>
        </w:rPr>
        <w:t xml:space="preserve">during</w:t>
      </w:r>
      <w:r>
        <w:t xml:space="preserve"> </w:t>
      </w:r>
      <w:r>
        <w:t xml:space="preserve">the backfill, which shortens this.</w:t>
      </w:r>
    </w:p>
    <w:p>
      <w:pPr>
        <w:numPr>
          <w:ilvl w:val="0"/>
          <w:numId w:val="1489"/>
        </w:numPr>
        <w:pStyle w:val="Compact"/>
      </w:pPr>
      <w:r>
        <w:t xml:space="preserve">Verification by range checksums: about 1 hour. The cutover freeze lasts a few seconds.</w:t>
      </w:r>
    </w:p>
    <w:p>
      <w:pPr>
        <w:pStyle w:val="CalloutExample"/>
      </w:pPr>
      <w:r>
        <w:rPr>
          <w:bCs/>
          <w:b/>
        </w:rPr>
        <w:t xml:space="preserve">Interpretation.</w:t>
      </w:r>
      <w:r>
        <w:t xml:space="preserve"> </w:t>
      </w:r>
      <w:r>
        <w:t xml:space="preserve">About 5 hours, with seconds of write unavailability.</w:t>
      </w:r>
      <w:r>
        <w:t xml:space="preserve"> </w:t>
      </w:r>
      <w:r>
        <w:rPr>
          <w:bCs/>
          <w:b/>
        </w:rPr>
        <w:t xml:space="preserve">Engineering implication.</w:t>
      </w:r>
      <w:r>
        <w:t xml:space="preserve"> </w:t>
      </w:r>
      <w:r>
        <w:t xml:space="preserve">Resharding takes hours per shard and competes for I/O, so start at 60–70 % of a shard’s limit, not 95 %, and rehearse the runbook.</w:t>
      </w:r>
    </w:p>
    <w:p>
      <w:pPr>
        <w:pStyle w:val="CalloutIndustry"/>
      </w:pPr>
      <w:r>
        <w:rPr>
          <w:bCs/>
          <w:b/>
        </w:rPr>
        <w:t xml:space="preserve">INDUSTRY EXAMPLE</w:t>
      </w:r>
    </w:p>
    <w:p>
      <w:pPr>
        <w:pStyle w:val="CalloutIndustry"/>
      </w:pPr>
      <w:r>
        <w:rPr>
          <w:bCs/>
          <w:b/>
        </w:rPr>
        <w:t xml:space="preserve">Vitess resharding.</w:t>
      </w:r>
      <w:r>
        <w:t xml:space="preserve"> </w:t>
      </w:r>
      <w:r>
        <w:t xml:space="preserve">Vitess’s</w:t>
      </w:r>
      <w:r>
        <w:t xml:space="preserve"> </w:t>
      </w:r>
      <w:r>
        <w:rPr>
          <w:rStyle w:val="VerbatimChar"/>
        </w:rPr>
        <w:t xml:space="preserve">Reshard</w:t>
      </w:r>
      <w:r>
        <w:t xml:space="preserve"> </w:t>
      </w:r>
      <w:r>
        <w:t xml:space="preserve">and</w:t>
      </w:r>
      <w:r>
        <w:t xml:space="preserve"> </w:t>
      </w:r>
      <w:r>
        <w:rPr>
          <w:rStyle w:val="VerbatimChar"/>
        </w:rPr>
        <w:t xml:space="preserve">MoveTables</w:t>
      </w:r>
      <w:r>
        <w:t xml:space="preserve"> </w:t>
      </w:r>
      <w:r>
        <w:t xml:space="preserve">VReplication workflows copy rows while streaming binlog changes, compare source and target with</w:t>
      </w:r>
      <w:r>
        <w:t xml:space="preserve"> </w:t>
      </w:r>
      <w:r>
        <w:rPr>
          <w:rStyle w:val="VerbatimChar"/>
        </w:rPr>
        <w:t xml:space="preserve">VDiff</w:t>
      </w:r>
      <w:r>
        <w:t xml:space="preserve">, switch reads and writes as separate steps (</w:t>
      </w:r>
      <w:r>
        <w:rPr>
          <w:rStyle w:val="VerbatimChar"/>
        </w:rPr>
        <w:t xml:space="preserve">SwitchTraffic</w:t>
      </w:r>
      <w:r>
        <w:t xml:space="preserve">) and keep reverse replication so the switch can be undone (</w:t>
      </w:r>
      <w:r>
        <w:rPr>
          <w:rStyle w:val="VerbatimChar"/>
        </w:rPr>
        <w:t xml:space="preserve">ReverseTraffic</w:t>
      </w:r>
      <w:r>
        <w:t xml:space="preserve">) until the workflow completes.</w:t>
      </w:r>
      <w:r>
        <w:t xml:space="preserve"> </w:t>
      </w:r>
      <w:r>
        <w:rPr>
          <w:iCs/>
          <w:i/>
        </w:rPr>
        <w:t xml:space="preserve">Evidence: Primary</w:t>
      </w:r>
      <w:r>
        <w:t xml:space="preserve"> </w:t>
      </w:r>
      <w:r>
        <w:t xml:space="preserve">— [Vitess Docs]</w:t>
      </w:r>
    </w:p>
    <w:bookmarkStart w:id="1637" w:name="failure-scenarios-39"/>
    <w:p>
      <w:pPr>
        <w:pStyle w:val="Heading4"/>
      </w:pPr>
      <w:r>
        <w:t xml:space="preserve">Failure scenarios</w:t>
      </w:r>
    </w:p>
    <w:p>
      <w:pPr>
        <w:pStyle w:val="FirstParagraph"/>
      </w:pPr>
      <w:r>
        <w:rPr>
          <w:bCs/>
          <w:b/>
        </w:rPr>
        <w:t xml:space="preserve">Table 14.11 — Failure scenarios during rebalancing and migration.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Rows missing on target</w:t>
            </w:r>
          </w:p>
        </w:tc>
        <w:tc>
          <w:tcPr/>
          <w:p>
            <w:pPr>
              <w:pStyle w:val="Compact"/>
              <w:jc w:val="left"/>
            </w:pPr>
            <w:r>
              <w:t xml:space="preserve">Capture started after the snapshot</w:t>
            </w:r>
          </w:p>
        </w:tc>
        <w:tc>
          <w:tcPr/>
          <w:p>
            <w:pPr>
              <w:pStyle w:val="Compact"/>
              <w:jc w:val="left"/>
            </w:pPr>
            <w:r>
              <w:t xml:space="preserve">Count or checksum mismatch</w:t>
            </w:r>
          </w:p>
        </w:tc>
        <w:tc>
          <w:tcPr/>
          <w:p>
            <w:pPr>
              <w:pStyle w:val="Compact"/>
              <w:jc w:val="left"/>
            </w:pPr>
            <w:r>
              <w:t xml:space="preserve">Re-copy affected ranges</w:t>
            </w:r>
          </w:p>
        </w:tc>
        <w:tc>
          <w:tcPr/>
          <w:p>
            <w:pPr>
              <w:pStyle w:val="Compact"/>
              <w:jc w:val="left"/>
            </w:pPr>
            <w:r>
              <w:t xml:space="preserve">Start capture first; snapshot at a known position</w:t>
            </w:r>
          </w:p>
        </w:tc>
      </w:tr>
      <w:tr>
        <w:tc>
          <w:tcPr/>
          <w:p>
            <w:pPr>
              <w:pStyle w:val="Compact"/>
              <w:jc w:val="left"/>
            </w:pPr>
            <w:r>
              <w:t xml:space="preserve">Lost or duplicated writes on cutover</w:t>
            </w:r>
          </w:p>
        </w:tc>
        <w:tc>
          <w:tcPr/>
          <w:p>
            <w:pPr>
              <w:pStyle w:val="Compact"/>
              <w:jc w:val="left"/>
            </w:pPr>
            <w:r>
              <w:t xml:space="preserve">Writes accepted on both sides</w:t>
            </w:r>
          </w:p>
        </w:tc>
        <w:tc>
          <w:tcPr/>
          <w:p>
            <w:pPr>
              <w:pStyle w:val="Compact"/>
              <w:jc w:val="left"/>
            </w:pPr>
            <w:r>
              <w:t xml:space="preserve">Divergent checksums after switch</w:t>
            </w:r>
          </w:p>
        </w:tc>
        <w:tc>
          <w:tcPr/>
          <w:p>
            <w:pPr>
              <w:pStyle w:val="Compact"/>
              <w:jc w:val="left"/>
            </w:pPr>
            <w:r>
              <w:t xml:space="preserve">Reconcile from logs</w:t>
            </w:r>
          </w:p>
        </w:tc>
        <w:tc>
          <w:tcPr/>
          <w:p>
            <w:pPr>
              <w:pStyle w:val="Compact"/>
              <w:jc w:val="left"/>
            </w:pPr>
            <w:r>
              <w:t xml:space="preserve">Freeze and fence the source; idempotent apply</w:t>
            </w:r>
          </w:p>
        </w:tc>
      </w:tr>
      <w:tr>
        <w:tc>
          <w:tcPr/>
          <w:p>
            <w:pPr>
              <w:pStyle w:val="Compact"/>
              <w:jc w:val="left"/>
            </w:pPr>
            <w:r>
              <w:t xml:space="preserve">Production latency rises</w:t>
            </w:r>
          </w:p>
        </w:tc>
        <w:tc>
          <w:tcPr/>
          <w:p>
            <w:pPr>
              <w:pStyle w:val="Compact"/>
              <w:jc w:val="left"/>
            </w:pPr>
            <w:r>
              <w:t xml:space="preserve">Backfill saturates disk or network</w:t>
            </w:r>
          </w:p>
        </w:tc>
        <w:tc>
          <w:tcPr/>
          <w:p>
            <w:pPr>
              <w:pStyle w:val="Compact"/>
              <w:jc w:val="left"/>
            </w:pPr>
            <w:r>
              <w:t xml:space="preserve">p99 latency during copy</w:t>
            </w:r>
          </w:p>
        </w:tc>
        <w:tc>
          <w:tcPr/>
          <w:p>
            <w:pPr>
              <w:pStyle w:val="Compact"/>
              <w:jc w:val="left"/>
            </w:pPr>
            <w:r>
              <w:t xml:space="preserve">Lower the throttle</w:t>
            </w:r>
          </w:p>
        </w:tc>
        <w:tc>
          <w:tcPr/>
          <w:p>
            <w:pPr>
              <w:pStyle w:val="Compact"/>
              <w:jc w:val="left"/>
            </w:pPr>
            <w:r>
              <w:t xml:space="preserve">Throttle by measured headroom</w:t>
            </w:r>
          </w:p>
        </w:tc>
      </w:tr>
    </w:tbl>
    <w:p>
      <w:pPr>
        <w:pStyle w:val="CalloutMistake"/>
      </w:pPr>
      <w:r>
        <w:rPr>
          <w:bCs/>
          <w:b/>
        </w:rPr>
        <w:t xml:space="preserve">COMMON MISTAKE</w:t>
      </w:r>
    </w:p>
    <w:p>
      <w:pPr>
        <w:pStyle w:val="CalloutMistake"/>
      </w:pPr>
      <w:r>
        <w:rPr>
          <w:bCs/>
          <w:b/>
        </w:rPr>
        <w:t xml:space="preserve">Mistake —</w:t>
      </w:r>
      <w:r>
        <w:rPr>
          <w:bCs/>
          <w:b/>
        </w:rPr>
        <w:t xml:space="preserve"> </w:t>
      </w:r>
      <w:r>
        <w:rPr>
          <w:bCs/>
          <w:b/>
        </w:rPr>
        <w:t xml:space="preserve">“</w:t>
      </w:r>
      <w:r>
        <w:rPr>
          <w:bCs/>
          <w:b/>
        </w:rPr>
        <w:t xml:space="preserve">Dual writes are simple: just write to both.</w:t>
      </w:r>
      <w:r>
        <w:rPr>
          <w:bCs/>
          <w:b/>
        </w:rPr>
        <w:t xml:space="preserve">”</w:t>
      </w:r>
      <w:r>
        <w:t xml:space="preserve"> </w:t>
      </w:r>
      <w:r>
        <w:t xml:space="preserve">Two independent writes are not atomic. A crash between them, or concurrent writers applying in different orders, makes the stores diverge silently. Prefer deriving the copy from the source’s ordered change log (CDC), or reconcile continuously.</w:t>
      </w:r>
    </w:p>
    <w:bookmarkEnd w:id="1637"/>
    <w:bookmarkEnd w:id="1638"/>
    <w:bookmarkEnd w:id="1639"/>
    <w:bookmarkStart w:id="1648" w:name="hot-partitions-and-skew"/>
    <w:p>
      <w:pPr>
        <w:pStyle w:val="Heading2"/>
      </w:pPr>
      <w:r>
        <w:t xml:space="preserve">14.10 Hot partitions and skew</w:t>
      </w:r>
    </w:p>
    <w:bookmarkStart w:id="1647" w:name="causes-detection-and-mitigation"/>
    <w:p>
      <w:pPr>
        <w:pStyle w:val="Heading3"/>
      </w:pPr>
      <w:r>
        <w:t xml:space="preserve">14.10.1 Causes, detection and mitigation</w:t>
      </w:r>
    </w:p>
    <w:p>
      <w:pPr>
        <w:pStyle w:val="CalloutDefinition"/>
      </w:pPr>
      <w:r>
        <w:rPr>
          <w:bCs/>
          <w:b/>
        </w:rPr>
        <w:t xml:space="preserve">DEFINITION</w:t>
      </w:r>
    </w:p>
    <w:p>
      <w:pPr>
        <w:pStyle w:val="CalloutDefinition"/>
      </w:pPr>
      <w:r>
        <w:rPr>
          <w:bCs/>
          <w:b/>
        </w:rPr>
        <w:t xml:space="preserve">Definition — Hot partition and hot key.</w:t>
      </w:r>
      <w:r>
        <w:t xml:space="preserve"> </w:t>
      </w:r>
      <w:r>
        <w:t xml:space="preserve">A</w:t>
      </w:r>
      <w:r>
        <w:t xml:space="preserve"> </w:t>
      </w:r>
      <w:r>
        <w:rPr>
          <w:bCs/>
          <w:b/>
        </w:rPr>
        <w:t xml:space="preserve">hot partition</w:t>
      </w:r>
      <w:r>
        <w:t xml:space="preserve"> </w:t>
      </w:r>
      <w:r>
        <w:t xml:space="preserve">receives enough excess requests or data to saturate its node while peers idle. A</w:t>
      </w:r>
      <w:r>
        <w:t xml:space="preserve"> </w:t>
      </w:r>
      <w:r>
        <w:rPr>
          <w:bCs/>
          <w:b/>
        </w:rPr>
        <w:t xml:space="preserve">hot key</w:t>
      </w:r>
      <w:r>
        <w:t xml:space="preserve"> </w:t>
      </w:r>
      <w:r>
        <w:t xml:space="preserve">is a single key causing that excess.</w:t>
      </w:r>
      <w:r>
        <w:t xml:space="preserve"> </w:t>
      </w:r>
      <w:r>
        <w:rPr>
          <w:bCs/>
          <w:b/>
        </w:rPr>
        <w:t xml:space="preserve">Skew</w:t>
      </w:r>
      <w:r>
        <w:t xml:space="preserve"> </w:t>
      </w:r>
      <w:r>
        <w:t xml:space="preserve">is uneven distribution of data or load in general.</w:t>
      </w:r>
    </w:p>
    <w:bookmarkStart w:id="1640" w:name="first-principles-explanation-92"/>
    <w:p>
      <w:pPr>
        <w:pStyle w:val="Heading4"/>
      </w:pPr>
      <w:r>
        <w:t xml:space="preserve">First-principles explanation</w:t>
      </w:r>
    </w:p>
    <w:p>
      <w:pPr>
        <w:pStyle w:val="FirstParagraph"/>
      </w:pPr>
      <w:r>
        <w:t xml:space="preserve">A supermarket assigns customers to ten lanes by surname initial. Then a celebrity named K signs autographs at lane 6, and its queue reaches the car park while nine cashiers wait. An eleventh lane does not help; the celebrity’s crowd still follows the letter K. The fix is a</w:t>
      </w:r>
      <w:r>
        <w:t xml:space="preserve"> </w:t>
      </w:r>
      <w:r>
        <w:rPr>
          <w:iCs/>
          <w:i/>
        </w:rPr>
        <w:t xml:space="preserve">different rule for the celebrity</w:t>
      </w:r>
      <w:r>
        <w:t xml:space="preserve">.</w:t>
      </w:r>
    </w:p>
    <w:bookmarkEnd w:id="1640"/>
    <w:bookmarkStart w:id="1641" w:name="why-does-this-exist-54"/>
    <w:p>
      <w:pPr>
        <w:pStyle w:val="Heading4"/>
      </w:pPr>
      <w:r>
        <w:t xml:space="preserve">Why does this exist?</w:t>
      </w:r>
    </w:p>
    <w:p>
      <w:pPr>
        <w:pStyle w:val="FirstParagraph"/>
      </w:pPr>
      <w:r>
        <w:t xml:space="preserve">Popularity is typically heavy-tailed (§4.7.2): celebrity accounts, flash sales, the newest partition of a timestamp-ranged table, a giant tenant. Partitioning divides capacity evenly, so any concentration of load becomes a bottleneck. Detect it with per-partition request, CPU, size and throttling metrics, alerting on the busiest-to-median ratio, and find hot keys with sampling or a heavy-hitters sketch (§17.6). Distinguish</w:t>
      </w:r>
      <w:r>
        <w:t xml:space="preserve"> </w:t>
      </w:r>
      <w:r>
        <w:rPr>
          <w:bCs/>
          <w:b/>
        </w:rPr>
        <w:t xml:space="preserve">data skew</w:t>
      </w:r>
      <w:r>
        <w:t xml:space="preserve"> </w:t>
      </w:r>
      <w:r>
        <w:t xml:space="preserve">from</w:t>
      </w:r>
      <w:r>
        <w:t xml:space="preserve"> </w:t>
      </w:r>
      <w:r>
        <w:rPr>
          <w:bCs/>
          <w:b/>
        </w:rPr>
        <w:t xml:space="preserve">load skew</w:t>
      </w:r>
      <w:r>
        <w:t xml:space="preserve">; they need different fixes.</w:t>
      </w:r>
    </w:p>
    <w:bookmarkEnd w:id="1641"/>
    <w:bookmarkStart w:id="1645" w:name="mitigation-techniques"/>
    <w:p>
      <w:pPr>
        <w:pStyle w:val="Heading4"/>
      </w:pPr>
      <w:r>
        <w:t xml:space="preserve">Mitigation techniques</w:t>
      </w:r>
    </w:p>
    <w:p>
      <w:pPr>
        <w:numPr>
          <w:ilvl w:val="0"/>
          <w:numId w:val="1490"/>
        </w:numPr>
        <w:pStyle w:val="Compact"/>
      </w:pPr>
      <w:r>
        <w:rPr>
          <w:bCs/>
          <w:b/>
        </w:rPr>
        <w:t xml:space="preserve">Key salting.</w:t>
      </w:r>
      <w:r>
        <w:t xml:space="preserve"> </w:t>
      </w:r>
      <w:r>
        <w:t xml:space="preserve">Append a suffix</w:t>
      </w:r>
      <w:r>
        <w:t xml:space="preserve"> </w:t>
      </w:r>
      <m:oMath>
        <m:r>
          <m:t>0</m:t>
        </m:r>
        <m:r>
          <m:rPr>
            <m:sty m:val="p"/>
          </m:rPr>
          <m:t>.</m:t>
        </m:r>
        <m:r>
          <m:rPr>
            <m:sty m:val="p"/>
          </m:rPr>
          <m:t>.</m:t>
        </m:r>
        <m:r>
          <m:t>s</m:t>
        </m:r>
        <m:r>
          <m:rPr>
            <m:sty m:val="p"/>
          </m:rPr>
          <m:t>−</m:t>
        </m:r>
        <m:r>
          <m:t>1</m:t>
        </m:r>
      </m:oMath>
      <w:r>
        <w:t xml:space="preserve"> </w:t>
      </w:r>
      <w:r>
        <w:t xml:space="preserve">to a hot key, such as</w:t>
      </w:r>
      <w:r>
        <w:t xml:space="preserve"> </w:t>
      </w:r>
      <w:r>
        <w:rPr>
          <w:rStyle w:val="VerbatimChar"/>
        </w:rPr>
        <w:t xml:space="preserve">post:991#7</w:t>
      </w:r>
      <w:r>
        <w:t xml:space="preserve">, spreading its writes over</w:t>
      </w:r>
      <w:r>
        <w:t xml:space="preserve"> </w:t>
      </w:r>
      <m:oMath>
        <m:r>
          <m:t>s</m:t>
        </m:r>
      </m:oMath>
      <w:r>
        <w:t xml:space="preserve"> </w:t>
      </w:r>
      <w:r>
        <w:t xml:space="preserve">partitions; readers query and combine all</w:t>
      </w:r>
      <w:r>
        <w:t xml:space="preserve"> </w:t>
      </w:r>
      <m:oMath>
        <m:r>
          <m:t>s</m:t>
        </m:r>
      </m:oMath>
      <w:r>
        <w:t xml:space="preserve"> </w:t>
      </w:r>
      <w:r>
        <w:t xml:space="preserve">sub-keys. Good for counters and append-only data, bad for objects read as one consistent unit.</w:t>
      </w:r>
    </w:p>
    <w:p>
      <w:pPr>
        <w:numPr>
          <w:ilvl w:val="0"/>
          <w:numId w:val="1490"/>
        </w:numPr>
        <w:pStyle w:val="Compact"/>
      </w:pPr>
      <w:r>
        <w:rPr>
          <w:bCs/>
          <w:b/>
        </w:rPr>
        <w:t xml:space="preserve">Caching and replicas</w:t>
      </w:r>
      <w:r>
        <w:t xml:space="preserve"> </w:t>
      </w:r>
      <w:r>
        <w:t xml:space="preserve">for hot reads (Chapter 20), with request coalescing so one miss per key reaches the database (§20.11).</w:t>
      </w:r>
    </w:p>
    <w:p>
      <w:pPr>
        <w:numPr>
          <w:ilvl w:val="0"/>
          <w:numId w:val="1490"/>
        </w:numPr>
        <w:pStyle w:val="Compact"/>
      </w:pPr>
      <w:r>
        <w:rPr>
          <w:bCs/>
          <w:b/>
        </w:rPr>
        <w:t xml:space="preserve">Special-case the giants</w:t>
      </w:r>
      <w:r>
        <w:t xml:space="preserve">: dedicated shards (§14.7.2) or fan-out on read for celebrities (§14.7.3).</w:t>
      </w:r>
    </w:p>
    <w:p>
      <w:pPr>
        <w:numPr>
          <w:ilvl w:val="0"/>
          <w:numId w:val="1490"/>
        </w:numPr>
        <w:pStyle w:val="Compact"/>
      </w:pPr>
      <w:r>
        <w:rPr>
          <w:bCs/>
          <w:b/>
        </w:rPr>
        <w:t xml:space="preserve">Avoid monotonic leading keys</w:t>
      </w:r>
      <w:r>
        <w:t xml:space="preserve">: prefix timestamps with a hashed or bucketed component, such as</w:t>
      </w:r>
      <w:r>
        <w:t xml:space="preserve"> </w:t>
      </w:r>
      <w:r>
        <w:rPr>
          <w:rStyle w:val="VerbatimChar"/>
        </w:rPr>
        <w:t xml:space="preserve">(sensor_id, day)</w:t>
      </w:r>
      <w:r>
        <w:t xml:space="preserve">.</w:t>
      </w:r>
    </w:p>
    <w:p>
      <w:pPr>
        <w:numPr>
          <w:ilvl w:val="0"/>
          <w:numId w:val="1490"/>
        </w:numPr>
        <w:pStyle w:val="Compact"/>
      </w:pPr>
      <w:r>
        <w:rPr>
          <w:bCs/>
          <w:b/>
        </w:rPr>
        <w:t xml:space="preserve">Bound partition size</w:t>
      </w:r>
      <w:r>
        <w:t xml:space="preserve"> </w:t>
      </w:r>
      <w:r>
        <w:t xml:space="preserve">with a time bucket, such as</w:t>
      </w:r>
      <w:r>
        <w:t xml:space="preserve"> </w:t>
      </w:r>
      <w:r>
        <w:rPr>
          <w:rStyle w:val="VerbatimChar"/>
        </w:rPr>
        <w:t xml:space="preserve">(channel_id, bucket)</w:t>
      </w:r>
      <w:r>
        <w:t xml:space="preserve">.</w:t>
      </w:r>
    </w:p>
    <w:p>
      <w:pPr>
        <w:numPr>
          <w:ilvl w:val="0"/>
          <w:numId w:val="1490"/>
        </w:numPr>
        <w:pStyle w:val="Compact"/>
      </w:pPr>
      <w:r>
        <w:rPr>
          <w:bCs/>
          <w:b/>
        </w:rPr>
        <w:t xml:space="preserve">Adaptive capacity</w:t>
      </w:r>
      <w:r>
        <w:t xml:space="preserve">: the store lends hot partitions unused capacity or splits them by traffic, not just size.</w:t>
      </w:r>
    </w:p>
    <w:p>
      <w:pPr>
        <w:numPr>
          <w:ilvl w:val="0"/>
          <w:numId w:val="1490"/>
        </w:numPr>
        <w:pStyle w:val="Compact"/>
      </w:pPr>
      <w:r>
        <w:rPr>
          <w:bCs/>
          <w:b/>
        </w:rPr>
        <w:t xml:space="preserve">Rate-limit</w:t>
      </w:r>
      <w:r>
        <w:t xml:space="preserve"> </w:t>
      </w:r>
      <w:r>
        <w:t xml:space="preserve">keys heated by buggy or malicious clients (Chapter 22).</w:t>
      </w:r>
    </w:p>
    <w:p>
      <w:pPr>
        <w:pStyle w:val="FirstParagraph"/>
      </w:pPr>
      <w:r>
        <w:rPr>
          <w:bCs/>
          <w:b/>
        </w:rPr>
        <w:t xml:space="preserve">Figure 14.9 — Salting a hot counter across partitions.</w:t>
      </w:r>
    </w:p>
    <w:p>
      <w:pPr>
        <w:pStyle w:val="BodyText"/>
      </w:pPr>
      <w:r>
        <w:drawing>
          <wp:inline>
            <wp:extent cx="5334000" cy="1919560"/>
            <wp:effectExtent b="0" l="0" r="0" t="0"/>
            <wp:docPr descr="" title="" id="1643" name="Picture"/>
            <a:graphic>
              <a:graphicData uri="http://schemas.openxmlformats.org/drawingml/2006/picture">
                <pic:pic>
                  <pic:nvPicPr>
                    <pic:cNvPr descr="/home/user/System-Design/build/.cache/diagrams/485ef9ca400e.png" id="1644" name="Picture"/>
                    <pic:cNvPicPr>
                      <a:picLocks noChangeArrowheads="1" noChangeAspect="1"/>
                    </pic:cNvPicPr>
                  </pic:nvPicPr>
                  <pic:blipFill>
                    <a:blip r:embed="rId1642"/>
                    <a:stretch>
                      <a:fillRect/>
                    </a:stretch>
                  </pic:blipFill>
                  <pic:spPr bwMode="auto">
                    <a:xfrm>
                      <a:off x="0" y="0"/>
                      <a:ext cx="5334000" cy="1919560"/>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Each increment gets a random suffix, so each of the</w:t>
      </w:r>
      <w:r>
        <w:t xml:space="preserve"> </w:t>
      </w:r>
      <m:oMath>
        <m:r>
          <m:t>s</m:t>
        </m:r>
      </m:oMath>
      <w:r>
        <w:t xml:space="preserve"> </w:t>
      </w:r>
      <w:r>
        <w:t xml:space="preserve">partitions receives</w:t>
      </w:r>
      <w:r>
        <w:t xml:space="preserve"> </w:t>
      </w:r>
      <m:oMath>
        <m:r>
          <m:t>1</m:t>
        </m:r>
        <m:r>
          <m:rPr>
            <m:sty m:val="p"/>
          </m:rPr>
          <m:t>/</m:t>
        </m:r>
        <m:r>
          <m:t>s</m:t>
        </m:r>
      </m:oMath>
      <w:r>
        <w:t xml:space="preserve"> </w:t>
      </w:r>
      <w:r>
        <w:t xml:space="preserve">of the hot key’s writes. Viewers read a cached total (TTL 1 s); only a miss makes the aggregator read all</w:t>
      </w:r>
      <w:r>
        <w:t xml:space="preserve"> </w:t>
      </w:r>
      <m:oMath>
        <m:r>
          <m:t>s</m:t>
        </m:r>
      </m:oMath>
      <w:r>
        <w:t xml:space="preserve"> </w:t>
      </w:r>
      <w:r>
        <w:t xml:space="preserve">sub-keys in parallel. Failure points: one slow sub-key partition delays the aggregate, and a cache failure turns every view into</w:t>
      </w:r>
      <w:r>
        <w:t xml:space="preserve"> </w:t>
      </w:r>
      <m:oMath>
        <m:r>
          <m:t>s</m:t>
        </m:r>
      </m:oMath>
      <w:r>
        <w:t xml:space="preserve"> </w:t>
      </w:r>
      <w:r>
        <w:t xml:space="preserve">reads. Raise</w:t>
      </w:r>
      <w:r>
        <w:t xml:space="preserve"> </w:t>
      </w:r>
      <m:oMath>
        <m:r>
          <m:t>s</m:t>
        </m:r>
      </m:oMath>
      <w:r>
        <w:t xml:space="preserve"> </w:t>
      </w:r>
      <w:r>
        <w:t xml:space="preserve">only for keys detected as hot.</w:t>
      </w:r>
    </w:p>
    <w:p>
      <w:pPr>
        <w:pStyle w:val="CalloutFormula"/>
      </w:pPr>
      <w:r>
        <w:rPr>
          <w:bCs/>
          <w:b/>
        </w:rPr>
        <w:t xml:space="preserve">FORMULA</w:t>
      </w:r>
    </w:p>
    <w:p>
      <w:pPr>
        <w:pStyle w:val="CalloutFormula"/>
      </w:pPr>
      <w:r>
        <w:rPr>
          <w:bCs/>
          <w:b/>
        </w:rPr>
        <w:t xml:space="preserve">Salt factor for a hot key</w:t>
      </w:r>
    </w:p>
    <w:p>
      <w:pPr>
        <w:pStyle w:val="CalloutFormula"/>
      </w:pPr>
      <m:oMathPara>
        <m:oMathParaPr>
          <m:jc m:val="center"/>
        </m:oMathParaPr>
        <m:oMath>
          <m:r>
            <m:t>s</m:t>
          </m:r>
          <m:r>
            <m:rPr>
              <m:sty m:val="p"/>
            </m:rPr>
            <m:t>=</m:t>
          </m:r>
          <m:d>
            <m:dPr>
              <m:begChr m:val="⌈"/>
              <m:endChr m:val="⌉"/>
              <m:sepChr m:val=""/>
              <m:grow/>
            </m:dPr>
            <m:e>
              <m:f>
                <m:fPr>
                  <m:type m:val="bar"/>
                </m:fPr>
                <m:num>
                  <m:sSub>
                    <m:e>
                      <m:r>
                        <m:t>λ</m:t>
                      </m:r>
                    </m:e>
                    <m:sub>
                      <m:r>
                        <m:rPr>
                          <m:nor/>
                          <m:sty m:val="p"/>
                        </m:rPr>
                        <m:t>key</m:t>
                      </m:r>
                    </m:sub>
                  </m:sSub>
                </m:num>
                <m:den>
                  <m:r>
                    <m:t>u</m:t>
                  </m:r>
                  <m:r>
                    <m:rPr>
                      <m:sty m:val="p"/>
                    </m:rPr>
                    <m:t>⋅</m:t>
                  </m:r>
                  <m:sSub>
                    <m:e>
                      <m:r>
                        <m:t>c</m:t>
                      </m:r>
                    </m:e>
                    <m:sub>
                      <m:r>
                        <m:rPr>
                          <m:nor/>
                          <m:sty m:val="p"/>
                        </m:rPr>
                        <m:t>part</m:t>
                      </m:r>
                    </m:sub>
                  </m:sSub>
                </m:den>
              </m:f>
            </m:e>
          </m:d>
          <m:r>
            <m:t>  </m:t>
          </m:r>
          <m:r>
            <m:t>  </m:t>
          </m:r>
          <m:r>
            <m:rPr>
              <m:nor/>
              <m:sty m:val="p"/>
            </m:rPr>
            <m:t>read amplification</m:t>
          </m:r>
          <m:r>
            <m:rPr>
              <m:sty m:val="p"/>
            </m:rPr>
            <m:t>=</m:t>
          </m:r>
          <m:r>
            <m:t>s</m:t>
          </m:r>
        </m:oMath>
      </m:oMathPara>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s</m:t>
              </m:r>
            </m:oMath>
          </w:p>
        </w:tc>
        <w:tc>
          <w:tcPr/>
          <w:p>
            <w:pPr>
              <w:pStyle w:val="Compact"/>
              <w:jc w:val="left"/>
            </w:pPr>
            <w:r>
              <w:t xml:space="preserve">Number of sub-keys (salt factor)</w:t>
            </w:r>
          </w:p>
        </w:tc>
        <w:tc>
          <w:tcPr/>
          <w:p>
            <w:pPr>
              <w:pStyle w:val="Compact"/>
              <w:jc w:val="left"/>
            </w:pPr>
            <w:r>
              <w:t xml:space="preserve">sub-keys</w:t>
            </w:r>
          </w:p>
        </w:tc>
      </w:tr>
      <w:tr>
        <w:tc>
          <w:tcPr/>
          <w:p>
            <w:pPr>
              <w:pStyle w:val="Compact"/>
              <w:jc w:val="left"/>
            </w:pPr>
            <m:oMath>
              <m:sSub>
                <m:e>
                  <m:r>
                    <m:t>λ</m:t>
                  </m:r>
                </m:e>
                <m:sub>
                  <m:r>
                    <m:rPr>
                      <m:nor/>
                      <m:sty m:val="p"/>
                    </m:rPr>
                    <m:t>key</m:t>
                  </m:r>
                </m:sub>
              </m:sSub>
            </m:oMath>
          </w:p>
        </w:tc>
        <w:tc>
          <w:tcPr/>
          <w:p>
            <w:pPr>
              <w:pStyle w:val="Compact"/>
              <w:jc w:val="left"/>
            </w:pPr>
            <w:r>
              <w:t xml:space="preserve">Write rate to the hot key</w:t>
            </w:r>
          </w:p>
        </w:tc>
        <w:tc>
          <w:tcPr/>
          <w:p>
            <w:pPr>
              <w:pStyle w:val="Compact"/>
              <w:jc w:val="left"/>
            </w:pPr>
            <w:r>
              <w:t xml:space="preserve">writes/s</w:t>
            </w:r>
          </w:p>
        </w:tc>
      </w:tr>
      <w:tr>
        <w:tc>
          <w:tcPr/>
          <w:p>
            <w:pPr>
              <w:pStyle w:val="Compact"/>
              <w:jc w:val="left"/>
            </w:pPr>
            <m:oMath>
              <m:sSub>
                <m:e>
                  <m:r>
                    <m:t>c</m:t>
                  </m:r>
                </m:e>
                <m:sub>
                  <m:r>
                    <m:rPr>
                      <m:nor/>
                      <m:sty m:val="p"/>
                    </m:rPr>
                    <m:t>part</m:t>
                  </m:r>
                </m:sub>
              </m:sSub>
            </m:oMath>
          </w:p>
        </w:tc>
        <w:tc>
          <w:tcPr/>
          <w:p>
            <w:pPr>
              <w:pStyle w:val="Compact"/>
              <w:jc w:val="left"/>
            </w:pPr>
            <w:r>
              <w:t xml:space="preserve">Write capacity of one partition</w:t>
            </w:r>
          </w:p>
        </w:tc>
        <w:tc>
          <w:tcPr/>
          <w:p>
            <w:pPr>
              <w:pStyle w:val="Compact"/>
              <w:jc w:val="left"/>
            </w:pPr>
            <w:r>
              <w:t xml:space="preserve">writes/s</w:t>
            </w:r>
          </w:p>
        </w:tc>
      </w:tr>
      <w:tr>
        <w:tc>
          <w:tcPr/>
          <w:p>
            <w:pPr>
              <w:pStyle w:val="Compact"/>
              <w:jc w:val="left"/>
            </w:pPr>
            <m:oMath>
              <m:r>
                <m:t>u</m:t>
              </m:r>
            </m:oMath>
          </w:p>
        </w:tc>
        <w:tc>
          <w:tcPr/>
          <w:p>
            <w:pPr>
              <w:pStyle w:val="Compact"/>
              <w:jc w:val="left"/>
            </w:pPr>
            <w:r>
              <w:t xml:space="preserve">Target utilization of a partition</w:t>
            </w:r>
          </w:p>
        </w:tc>
        <w:tc>
          <w:tcPr/>
          <w:p>
            <w:pPr>
              <w:pStyle w:val="Compact"/>
              <w:jc w:val="left"/>
            </w:pPr>
            <w:r>
              <w:t xml:space="preserve">dimensionless (0–1)</w:t>
            </w:r>
          </w:p>
        </w:tc>
      </w:tr>
    </w:tbl>
    <w:p>
      <w:pPr>
        <w:pStyle w:val="CalloutExample"/>
      </w:pPr>
      <w:r>
        <w:rPr>
          <w:bCs/>
          <w:b/>
        </w:rPr>
        <w:t xml:space="preserve">WORKED EXAMPLE</w:t>
      </w:r>
    </w:p>
    <w:p>
      <w:pPr>
        <w:pStyle w:val="CalloutExample"/>
      </w:pPr>
      <w:r>
        <w:rPr>
          <w:bCs/>
          <w:b/>
        </w:rPr>
        <w:t xml:space="preserve">Worked example — A viral post’s like counter.</w:t>
      </w:r>
      <w:r>
        <w:t xml:space="preserve"> </w:t>
      </w:r>
      <w:r>
        <w:t xml:space="preserve">A post receives</w:t>
      </w:r>
      <w:r>
        <w:t xml:space="preserve"> </w:t>
      </w:r>
      <m:oMath>
        <m:sSub>
          <m:e>
            <m:r>
              <m:t>λ</m:t>
            </m:r>
          </m:e>
          <m:sub>
            <m:r>
              <m:rPr>
                <m:nor/>
                <m:sty m:val="p"/>
              </m:rPr>
              <m:t>key</m:t>
            </m:r>
          </m:sub>
        </m:sSub>
        <m:r>
          <m:rPr>
            <m:sty m:val="p"/>
          </m:rPr>
          <m:t>=</m:t>
        </m:r>
        <m:r>
          <m:t>50</m:t>
        </m:r>
        <m:r>
          <m:rPr>
            <m:sty m:val="p"/>
          </m:rPr>
          <m:t>,</m:t>
        </m:r>
        <m:r>
          <m:t>000</m:t>
        </m:r>
      </m:oMath>
      <w:r>
        <w:t xml:space="preserve"> </w:t>
      </w:r>
      <w:r>
        <w:t xml:space="preserve">likes per second at its peak. The store’s partitions each sustain</w:t>
      </w:r>
      <w:r>
        <w:t xml:space="preserve"> </w:t>
      </w:r>
      <m:oMath>
        <m:sSub>
          <m:e>
            <m:r>
              <m:t>c</m:t>
            </m:r>
          </m:e>
          <m:sub>
            <m:r>
              <m:rPr>
                <m:nor/>
                <m:sty m:val="p"/>
              </m:rPr>
              <m:t>part</m:t>
            </m:r>
          </m:sub>
        </m:sSub>
        <m:r>
          <m:rPr>
            <m:sty m:val="p"/>
          </m:rPr>
          <m:t>=</m:t>
        </m:r>
        <m:r>
          <m:t>1</m:t>
        </m:r>
        <m:r>
          <m:rPr>
            <m:sty m:val="p"/>
          </m:rPr>
          <m:t>,</m:t>
        </m:r>
        <m:r>
          <m:t>000</m:t>
        </m:r>
      </m:oMath>
      <w:r>
        <w:t xml:space="preserve"> </w:t>
      </w:r>
      <w:r>
        <w:t xml:space="preserve">writes/s, a figure of the same order as DynamoDB’s documented per-partition limit of 1,000 write capacity units per second (as of 2026; §12.4.5), and you target</w:t>
      </w:r>
      <w:r>
        <w:t xml:space="preserve"> </w:t>
      </w:r>
      <m:oMath>
        <m:r>
          <m:t>u</m:t>
        </m:r>
        <m:r>
          <m:rPr>
            <m:sty m:val="p"/>
          </m:rPr>
          <m:t>=</m:t>
        </m:r>
        <m:r>
          <m:t>0.7</m:t>
        </m:r>
      </m:oMath>
      <w:r>
        <w:t xml:space="preserve">.</w:t>
      </w:r>
    </w:p>
    <w:p>
      <w:pPr>
        <w:numPr>
          <w:ilvl w:val="0"/>
          <w:numId w:val="1491"/>
        </w:numPr>
        <w:pStyle w:val="Compact"/>
      </w:pPr>
      <w:r>
        <w:t xml:space="preserve">Salt factor:</w:t>
      </w:r>
      <w:r>
        <w:t xml:space="preserve"> </w:t>
      </w:r>
      <m:oMath>
        <m:r>
          <m:t>s</m:t>
        </m:r>
        <m:r>
          <m:rPr>
            <m:sty m:val="p"/>
          </m:rPr>
          <m:t>=</m:t>
        </m:r>
        <m:r>
          <m:rPr>
            <m:sty m:val="p"/>
          </m:rPr>
          <m:t>⌈</m:t>
        </m:r>
        <m:r>
          <m:t>50</m:t>
        </m:r>
        <m:r>
          <m:rPr>
            <m:sty m:val="p"/>
          </m:rPr>
          <m:t>,</m:t>
        </m:r>
        <m:r>
          <m:t>000</m:t>
        </m:r>
        <m:r>
          <m:rPr>
            <m:sty m:val="p"/>
          </m:rPr>
          <m:t>/</m:t>
        </m:r>
        <m:d>
          <m:dPr>
            <m:begChr m:val="("/>
            <m:endChr m:val=")"/>
            <m:sepChr m:val=""/>
            <m:grow/>
          </m:dPr>
          <m:e>
            <m:r>
              <m:t>0.7</m:t>
            </m:r>
            <m:r>
              <m:rPr>
                <m:sty m:val="p"/>
              </m:rPr>
              <m:t>×</m:t>
            </m:r>
            <m:r>
              <m:t>1</m:t>
            </m:r>
            <m:r>
              <m:rPr>
                <m:sty m:val="p"/>
              </m:rPr>
              <m:t>,</m:t>
            </m:r>
            <m:r>
              <m:t>000</m:t>
            </m:r>
          </m:e>
        </m:d>
        <m:r>
          <m:rPr>
            <m:sty m:val="p"/>
          </m:rPr>
          <m:t>⌉</m:t>
        </m:r>
        <m:r>
          <m:rPr>
            <m:sty m:val="p"/>
          </m:rPr>
          <m:t>=</m:t>
        </m:r>
        <m:r>
          <m:rPr>
            <m:sty m:val="p"/>
          </m:rPr>
          <m:t>⌈</m:t>
        </m:r>
        <m:r>
          <m:t>71.4</m:t>
        </m:r>
        <m:r>
          <m:rPr>
            <m:sty m:val="p"/>
          </m:rPr>
          <m:t>⌉</m:t>
        </m:r>
        <m:r>
          <m:rPr>
            <m:sty m:val="p"/>
          </m:rPr>
          <m:t>=</m:t>
        </m:r>
        <m:r>
          <m:t>72</m:t>
        </m:r>
      </m:oMath>
      <w:r>
        <w:t xml:space="preserve"> </w:t>
      </w:r>
      <w:r>
        <w:t xml:space="preserve">sub-keys.</w:t>
      </w:r>
    </w:p>
    <w:p>
      <w:pPr>
        <w:numPr>
          <w:ilvl w:val="0"/>
          <w:numId w:val="1491"/>
        </w:numPr>
        <w:pStyle w:val="Compact"/>
      </w:pPr>
      <w:r>
        <w:t xml:space="preserve">Writes per sub-key:</w:t>
      </w:r>
      <w:r>
        <w:t xml:space="preserve"> </w:t>
      </w:r>
      <m:oMath>
        <m:r>
          <m:t>50</m:t>
        </m:r>
        <m:r>
          <m:rPr>
            <m:sty m:val="p"/>
          </m:rPr>
          <m:t>,</m:t>
        </m:r>
        <m:r>
          <m:t>000</m:t>
        </m:r>
        <m:r>
          <m:rPr>
            <m:sty m:val="p"/>
          </m:rPr>
          <m:t>/</m:t>
        </m:r>
        <m:r>
          <m:t>72</m:t>
        </m:r>
        <m:r>
          <m:rPr>
            <m:sty m:val="p"/>
          </m:rPr>
          <m:t>≈</m:t>
        </m:r>
        <m:r>
          <m:t>694</m:t>
        </m:r>
      </m:oMath>
      <w:r>
        <w:t xml:space="preserve"> </w:t>
      </w:r>
      <w:r>
        <w:t xml:space="preserve">writes/s, which is 69 % of a partition’s capacity.</w:t>
      </w:r>
    </w:p>
    <w:p>
      <w:pPr>
        <w:numPr>
          <w:ilvl w:val="0"/>
          <w:numId w:val="1491"/>
        </w:numPr>
        <w:pStyle w:val="Compact"/>
      </w:pPr>
      <w:r>
        <w:t xml:space="preserve">Reads without a cache: 20,000 viewers per second each read the count, so</w:t>
      </w:r>
      <w:r>
        <w:t xml:space="preserve"> </w:t>
      </w:r>
      <m:oMath>
        <m:r>
          <m:t>20</m:t>
        </m:r>
        <m:r>
          <m:rPr>
            <m:sty m:val="p"/>
          </m:rPr>
          <m:t>,</m:t>
        </m:r>
        <m:r>
          <m:t>000</m:t>
        </m:r>
        <m:r>
          <m:rPr>
            <m:sty m:val="p"/>
          </m:rPr>
          <m:t>×</m:t>
        </m:r>
        <m:r>
          <m:t>72</m:t>
        </m:r>
        <m:r>
          <m:rPr>
            <m:sty m:val="p"/>
          </m:rPr>
          <m:t>=</m:t>
        </m:r>
        <m:r>
          <m:t>1</m:t>
        </m:r>
        <m:r>
          <m:rPr>
            <m:sty m:val="p"/>
          </m:rPr>
          <m:t>,</m:t>
        </m:r>
        <m:r>
          <m:t>440</m:t>
        </m:r>
        <m:r>
          <m:rPr>
            <m:sty m:val="p"/>
          </m:rPr>
          <m:t>,</m:t>
        </m:r>
        <m:r>
          <m:t>000</m:t>
        </m:r>
      </m:oMath>
      <w:r>
        <w:t xml:space="preserve"> </w:t>
      </w:r>
      <w:r>
        <w:t xml:space="preserve">partition reads/s. That is far worse than the problem you solved.</w:t>
      </w:r>
    </w:p>
    <w:p>
      <w:pPr>
        <w:numPr>
          <w:ilvl w:val="0"/>
          <w:numId w:val="1491"/>
        </w:numPr>
        <w:pStyle w:val="Compact"/>
      </w:pPr>
      <w:r>
        <w:t xml:space="preserve">Reads with a 1-second cached total: at most 1 aggregation per second per cache node, so with 10 cache nodes, about</w:t>
      </w:r>
      <w:r>
        <w:t xml:space="preserve"> </w:t>
      </w:r>
      <m:oMath>
        <m:r>
          <m:t>10</m:t>
        </m:r>
        <m:r>
          <m:rPr>
            <m:sty m:val="p"/>
          </m:rPr>
          <m:t>×</m:t>
        </m:r>
        <m:r>
          <m:t>72</m:t>
        </m:r>
        <m:r>
          <m:rPr>
            <m:sty m:val="p"/>
          </m:rPr>
          <m:t>=</m:t>
        </m:r>
        <m:r>
          <m:t>720</m:t>
        </m:r>
      </m:oMath>
      <w:r>
        <w:t xml:space="preserve"> </w:t>
      </w:r>
      <w:r>
        <w:t xml:space="preserve">partition reads/s.</w:t>
      </w:r>
    </w:p>
    <w:p>
      <w:pPr>
        <w:pStyle w:val="CalloutExample"/>
      </w:pPr>
      <w:r>
        <w:rPr>
          <w:bCs/>
          <w:b/>
        </w:rPr>
        <w:t xml:space="preserve">Interpretation.</w:t>
      </w:r>
      <w:r>
        <w:t xml:space="preserve"> </w:t>
      </w:r>
      <w:r>
        <w:t xml:space="preserve">Salting turns one impossible hot spot into 72 manageable ones but multiplies read cost by</w:t>
      </w:r>
      <w:r>
        <w:t xml:space="preserve"> </w:t>
      </w:r>
      <m:oMath>
        <m:r>
          <m:t>s</m:t>
        </m:r>
      </m:oMath>
      <w:r>
        <w:t xml:space="preserve">.</w:t>
      </w:r>
      <w:r>
        <w:t xml:space="preserve"> </w:t>
      </w:r>
      <w:r>
        <w:rPr>
          <w:bCs/>
          <w:b/>
        </w:rPr>
        <w:t xml:space="preserve">Engineering implication.</w:t>
      </w:r>
      <w:r>
        <w:t xml:space="preserve"> </w:t>
      </w:r>
      <w:r>
        <w:t xml:space="preserve">Pair it with cached or pre-aggregated reads, apply it only to detected hot keys, and accept a count that lags by the TTL.</w:t>
      </w:r>
    </w:p>
    <w:p>
      <w:pPr>
        <w:pStyle w:val="CalloutIndustry"/>
      </w:pPr>
      <w:r>
        <w:rPr>
          <w:bCs/>
          <w:b/>
        </w:rPr>
        <w:t xml:space="preserve">INDUSTRY EXAMPLE</w:t>
      </w:r>
    </w:p>
    <w:p>
      <w:pPr>
        <w:pStyle w:val="CalloutIndustry"/>
      </w:pPr>
      <w:r>
        <w:rPr>
          <w:bCs/>
          <w:b/>
        </w:rPr>
        <w:t xml:space="preserve">Amazon DynamoDB.</w:t>
      </w:r>
      <w:r>
        <w:t xml:space="preserve"> </w:t>
      </w:r>
      <w:r>
        <w:t xml:space="preserve">DynamoDB documents per-partition throughput limits plus</w:t>
      </w:r>
      <w:r>
        <w:t xml:space="preserve"> </w:t>
      </w:r>
      <w:r>
        <w:rPr>
          <w:bCs/>
          <w:b/>
        </w:rPr>
        <w:t xml:space="preserve">burst capacity</w:t>
      </w:r>
      <w:r>
        <w:t xml:space="preserve"> </w:t>
      </w:r>
      <w:r>
        <w:t xml:space="preserve">(briefly using recently unused capacity) and</w:t>
      </w:r>
      <w:r>
        <w:t xml:space="preserve"> </w:t>
      </w:r>
      <w:r>
        <w:rPr>
          <w:bCs/>
          <w:b/>
        </w:rPr>
        <w:t xml:space="preserve">adaptive capacity</w:t>
      </w:r>
      <w:r>
        <w:t xml:space="preserve"> </w:t>
      </w:r>
      <w:r>
        <w:t xml:space="preserve">(letting a hot partition use more than an even share of the table’s throughput and isolating frequently accessed items). The 2022 paper describes the evolution from static per-partition allocation, which throttled unevenly accessed tables, to these mechanisms and to splitting partitions by observed traffic.</w:t>
      </w:r>
      <w:r>
        <w:t xml:space="preserve"> </w:t>
      </w:r>
      <w:r>
        <w:rPr>
          <w:iCs/>
          <w:i/>
        </w:rPr>
        <w:t xml:space="preserve">Evidence: Primary</w:t>
      </w:r>
      <w:r>
        <w:t xml:space="preserve"> </w:t>
      </w:r>
      <w:r>
        <w:t xml:space="preserve">— [AWS Docs: DynamoDB], [Elhemali et al. 2022]</w:t>
      </w:r>
    </w:p>
    <w:p>
      <w:pPr>
        <w:pStyle w:val="CalloutIndustry"/>
      </w:pPr>
      <w:r>
        <w:rPr>
          <w:bCs/>
          <w:b/>
        </w:rPr>
        <w:t xml:space="preserve">INDUSTRY EXAMPLE</w:t>
      </w:r>
    </w:p>
    <w:p>
      <w:pPr>
        <w:pStyle w:val="CalloutIndustry"/>
      </w:pPr>
      <w:r>
        <w:rPr>
          <w:bCs/>
          <w:b/>
        </w:rPr>
        <w:t xml:space="preserve">Discord.</w:t>
      </w:r>
      <w:r>
        <w:t xml:space="preserve"> </w:t>
      </w:r>
      <w:r>
        <w:t xml:space="preserve">Discord stored messages in Cassandra keyed by channel ID plus a time bucket, so a busy channel’s history spans many bounded partitions rather than one ever-growing partition, which the post identifies as a performance problem.</w:t>
      </w:r>
      <w:r>
        <w:t xml:space="preserve"> </w:t>
      </w:r>
      <w:r>
        <w:rPr>
          <w:iCs/>
          <w:i/>
        </w:rPr>
        <w:t xml:space="preserve">Evidence: Primary</w:t>
      </w:r>
      <w:r>
        <w:t xml:space="preserve"> </w:t>
      </w:r>
      <w:r>
        <w:t xml:space="preserve">— [Discord Engineering 2017]</w:t>
      </w:r>
    </w:p>
    <w:bookmarkEnd w:id="1645"/>
    <w:bookmarkStart w:id="1646" w:name="failure-scenarios-40"/>
    <w:p>
      <w:pPr>
        <w:pStyle w:val="Heading4"/>
      </w:pPr>
      <w:r>
        <w:t xml:space="preserve">Failure scenarios</w:t>
      </w:r>
    </w:p>
    <w:p>
      <w:pPr>
        <w:pStyle w:val="FirstParagraph"/>
      </w:pPr>
      <w:r>
        <w:rPr>
          <w:bCs/>
          <w:b/>
        </w:rPr>
        <w:t xml:space="preserve">Table 14.12 — Failure scenarios for hot partitions.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One shard throttles while others idle</w:t>
            </w:r>
          </w:p>
        </w:tc>
        <w:tc>
          <w:tcPr/>
          <w:p>
            <w:pPr>
              <w:pStyle w:val="Compact"/>
              <w:jc w:val="left"/>
            </w:pPr>
            <w:r>
              <w:t xml:space="preserve">Celebrity or viral key</w:t>
            </w:r>
          </w:p>
        </w:tc>
        <w:tc>
          <w:tcPr/>
          <w:p>
            <w:pPr>
              <w:pStyle w:val="Compact"/>
              <w:jc w:val="left"/>
            </w:pPr>
            <w:r>
              <w:t xml:space="preserve">Busiest-to-median partition ratio</w:t>
            </w:r>
          </w:p>
        </w:tc>
        <w:tc>
          <w:tcPr/>
          <w:p>
            <w:pPr>
              <w:pStyle w:val="Compact"/>
              <w:jc w:val="left"/>
            </w:pPr>
            <w:r>
              <w:t xml:space="preserve">Cache or salt the key</w:t>
            </w:r>
          </w:p>
        </w:tc>
        <w:tc>
          <w:tcPr/>
          <w:p>
            <w:pPr>
              <w:pStyle w:val="Compact"/>
              <w:jc w:val="left"/>
            </w:pPr>
            <w:r>
              <w:t xml:space="preserve">Hot-key detection; per-key special handling</w:t>
            </w:r>
          </w:p>
        </w:tc>
      </w:tr>
      <w:tr>
        <w:tc>
          <w:tcPr/>
          <w:p>
            <w:pPr>
              <w:pStyle w:val="Compact"/>
              <w:jc w:val="left"/>
            </w:pPr>
            <w:r>
              <w:t xml:space="preserve">Newest partition saturated</w:t>
            </w:r>
          </w:p>
        </w:tc>
        <w:tc>
          <w:tcPr/>
          <w:p>
            <w:pPr>
              <w:pStyle w:val="Compact"/>
              <w:jc w:val="left"/>
            </w:pPr>
            <w:r>
              <w:t xml:space="preserve">Timestamp as leading range key</w:t>
            </w:r>
          </w:p>
        </w:tc>
        <w:tc>
          <w:tcPr/>
          <w:p>
            <w:pPr>
              <w:pStyle w:val="Compact"/>
              <w:jc w:val="left"/>
            </w:pPr>
            <w:r>
              <w:t xml:space="preserve">All writes on last range</w:t>
            </w:r>
          </w:p>
        </w:tc>
        <w:tc>
          <w:tcPr/>
          <w:p>
            <w:pPr>
              <w:pStyle w:val="Compact"/>
              <w:jc w:val="left"/>
            </w:pPr>
            <w:r>
              <w:t xml:space="preserve">Re-key with hash prefix</w:t>
            </w:r>
          </w:p>
        </w:tc>
        <w:tc>
          <w:tcPr/>
          <w:p>
            <w:pPr>
              <w:pStyle w:val="Compact"/>
              <w:jc w:val="left"/>
            </w:pPr>
            <w:r>
              <w:t xml:space="preserve">Hash or bucket the leading key</w:t>
            </w:r>
          </w:p>
        </w:tc>
      </w:tr>
      <w:tr>
        <w:tc>
          <w:tcPr/>
          <w:p>
            <w:pPr>
              <w:pStyle w:val="Compact"/>
              <w:jc w:val="left"/>
            </w:pPr>
            <w:r>
              <w:t xml:space="preserve">Salted reads become slow</w:t>
            </w:r>
          </w:p>
        </w:tc>
        <w:tc>
          <w:tcPr/>
          <w:p>
            <w:pPr>
              <w:pStyle w:val="Compact"/>
              <w:jc w:val="left"/>
            </w:pPr>
            <w:r>
              <w:t xml:space="preserve">Read fan-out over</w:t>
            </w:r>
            <w:r>
              <w:t xml:space="preserve"> </w:t>
            </w:r>
            <m:oMath>
              <m:r>
                <m:t>s</m:t>
              </m:r>
            </m:oMath>
            <w:r>
              <w:t xml:space="preserve"> </w:t>
            </w:r>
            <w:r>
              <w:t xml:space="preserve">partitions</w:t>
            </w:r>
          </w:p>
        </w:tc>
        <w:tc>
          <w:tcPr/>
          <w:p>
            <w:pPr>
              <w:pStyle w:val="Compact"/>
              <w:jc w:val="left"/>
            </w:pPr>
            <w:r>
              <w:t xml:space="preserve">Read p99 grows with</w:t>
            </w:r>
            <w:r>
              <w:t xml:space="preserve"> </w:t>
            </w:r>
            <m:oMath>
              <m:r>
                <m:t>s</m:t>
              </m:r>
            </m:oMath>
          </w:p>
        </w:tc>
        <w:tc>
          <w:tcPr/>
          <w:p>
            <w:pPr>
              <w:pStyle w:val="Compact"/>
              <w:jc w:val="left"/>
            </w:pPr>
            <w:r>
              <w:t xml:space="preserve">Cache aggregate</w:t>
            </w:r>
          </w:p>
        </w:tc>
        <w:tc>
          <w:tcPr/>
          <w:p>
            <w:pPr>
              <w:pStyle w:val="Compact"/>
              <w:jc w:val="left"/>
            </w:pPr>
            <w:r>
              <w:t xml:space="preserve">Pre-aggregate; salt only hot keys</w:t>
            </w:r>
          </w:p>
        </w:tc>
      </w:tr>
    </w:tbl>
    <w:bookmarkEnd w:id="1646"/>
    <w:bookmarkEnd w:id="1647"/>
    <w:bookmarkEnd w:id="1648"/>
    <w:bookmarkStart w:id="1656" w:name="X560fbc69c8cf1166efe4e3c2ad28ac01074a292"/>
    <w:p>
      <w:pPr>
        <w:pStyle w:val="Heading2"/>
      </w:pPr>
      <w:r>
        <w:t xml:space="preserve">14.11 Secondary indexes in partitioned databases</w:t>
      </w:r>
    </w:p>
    <w:bookmarkStart w:id="1655" w:name="local-and-global-indexes"/>
    <w:p>
      <w:pPr>
        <w:pStyle w:val="Heading3"/>
      </w:pPr>
      <w:r>
        <w:t xml:space="preserve">14.11.1 Local and global indexes</w:t>
      </w:r>
    </w:p>
    <w:p>
      <w:pPr>
        <w:pStyle w:val="FirstParagraph"/>
      </w:pPr>
      <w:r>
        <w:t xml:space="preserve">Queries by anything other than the partition key, such as orders by</w:t>
      </w:r>
      <w:r>
        <w:t xml:space="preserve"> </w:t>
      </w:r>
      <w:r>
        <w:rPr>
          <w:rStyle w:val="VerbatimChar"/>
        </w:rPr>
        <w:t xml:space="preserve">status</w:t>
      </w:r>
      <w:r>
        <w:t xml:space="preserve"> </w:t>
      </w:r>
      <w:r>
        <w:t xml:space="preserve">in a table partitioned by</w:t>
      </w:r>
      <w:r>
        <w:t xml:space="preserve"> </w:t>
      </w:r>
      <w:r>
        <w:rPr>
          <w:rStyle w:val="VerbatimChar"/>
        </w:rPr>
        <w:t xml:space="preserve">customer_id</w:t>
      </w:r>
      <w:r>
        <w:t xml:space="preserve">, need a</w:t>
      </w:r>
      <w:r>
        <w:t xml:space="preserve"> </w:t>
      </w:r>
      <w:r>
        <w:rPr>
          <w:bCs/>
          <w:b/>
        </w:rPr>
        <w:t xml:space="preserve">secondary index</w:t>
      </w:r>
      <w:r>
        <w:t xml:space="preserve">, and its key differs from the data’s key. There are two designs.</w:t>
      </w:r>
    </w:p>
    <w:p>
      <w:pPr>
        <w:pStyle w:val="CalloutDefinition"/>
      </w:pPr>
      <w:r>
        <w:rPr>
          <w:bCs/>
          <w:b/>
        </w:rPr>
        <w:t xml:space="preserve">DEFINITION</w:t>
      </w:r>
    </w:p>
    <w:p>
      <w:pPr>
        <w:pStyle w:val="CalloutDefinition"/>
      </w:pPr>
      <w:r>
        <w:rPr>
          <w:bCs/>
          <w:b/>
        </w:rPr>
        <w:t xml:space="preserve">Definition — Local and global secondary indexes.</w:t>
      </w:r>
      <w:r>
        <w:t xml:space="preserve"> </w:t>
      </w:r>
      <w:r>
        <w:t xml:space="preserve">A</w:t>
      </w:r>
      <w:r>
        <w:t xml:space="preserve"> </w:t>
      </w:r>
      <w:r>
        <w:rPr>
          <w:bCs/>
          <w:b/>
        </w:rPr>
        <w:t xml:space="preserve">local</w:t>
      </w:r>
      <w:r>
        <w:t xml:space="preserve"> </w:t>
      </w:r>
      <w:r>
        <w:t xml:space="preserve">(document-partitioned) index lives in each partition and covers only its rows. A</w:t>
      </w:r>
      <w:r>
        <w:t xml:space="preserve"> </w:t>
      </w:r>
      <w:r>
        <w:rPr>
          <w:bCs/>
          <w:b/>
        </w:rPr>
        <w:t xml:space="preserve">global</w:t>
      </w:r>
      <w:r>
        <w:t xml:space="preserve"> </w:t>
      </w:r>
      <w:r>
        <w:t xml:space="preserve">(term-partitioned) index covers all rows and is partitioned by the</w:t>
      </w:r>
      <w:r>
        <w:t xml:space="preserve"> </w:t>
      </w:r>
      <w:r>
        <w:rPr>
          <w:iCs/>
          <w:i/>
        </w:rPr>
        <w:t xml:space="preserve">indexed value</w:t>
      </w:r>
      <w:r>
        <w:t xml:space="preserve">, so all entries for one value live together [Kleppmann 2017].</w:t>
      </w:r>
    </w:p>
    <w:bookmarkStart w:id="1649" w:name="first-principles-explanation-93"/>
    <w:p>
      <w:pPr>
        <w:pStyle w:val="Heading4"/>
      </w:pPr>
      <w:r>
        <w:t xml:space="preserve">First-principles explanation</w:t>
      </w:r>
    </w:p>
    <w:p>
      <w:pPr>
        <w:pStyle w:val="FirstParagraph"/>
      </w:pPr>
      <w:r>
        <w:t xml:space="preserve">Each library room can keep a card catalog of its own books, so finding every Le Guin means checking every room: a local index. Or one central author catalog, itself split by author name across rooms, says where each book is: one visit finds Le Guin, but every new book updates its own room</w:t>
      </w:r>
      <w:r>
        <w:t xml:space="preserve"> </w:t>
      </w:r>
      <w:r>
        <w:rPr>
          <w:iCs/>
          <w:i/>
        </w:rPr>
        <w:t xml:space="preserve">and</w:t>
      </w:r>
      <w:r>
        <w:t xml:space="preserve"> </w:t>
      </w:r>
      <w:r>
        <w:t xml:space="preserve">perhaps a catalog section elsewhere: a global index.</w:t>
      </w:r>
    </w:p>
    <w:bookmarkEnd w:id="1649"/>
    <w:bookmarkStart w:id="1653" w:name="how-it-works-internally-59"/>
    <w:p>
      <w:pPr>
        <w:pStyle w:val="Heading4"/>
      </w:pPr>
      <w:r>
        <w:t xml:space="preserve">How it works internally</w:t>
      </w:r>
    </w:p>
    <w:p>
      <w:pPr>
        <w:numPr>
          <w:ilvl w:val="0"/>
          <w:numId w:val="1492"/>
        </w:numPr>
        <w:pStyle w:val="Compact"/>
      </w:pPr>
      <w:r>
        <w:rPr>
          <w:bCs/>
          <w:b/>
        </w:rPr>
        <w:t xml:space="preserve">Local index.</w:t>
      </w:r>
      <w:r>
        <w:t xml:space="preserve"> </w:t>
      </w:r>
      <w:r>
        <w:t xml:space="preserve">Queries scatter to every partition and a coordinator gathers results. Writes stay in one partition and one local transaction.</w:t>
      </w:r>
    </w:p>
    <w:p>
      <w:pPr>
        <w:numPr>
          <w:ilvl w:val="0"/>
          <w:numId w:val="1492"/>
        </w:numPr>
        <w:pStyle w:val="Compact"/>
      </w:pPr>
      <w:r>
        <w:rPr>
          <w:bCs/>
          <w:b/>
        </w:rPr>
        <w:t xml:space="preserve">Global index.</w:t>
      </w:r>
      <w:r>
        <w:t xml:space="preserve"> </w:t>
      </w:r>
      <w:r>
        <w:t xml:space="preserve">A query visits the one index partition owning the value, gets primary keys, then fetches rows. A write must also update index partitions on other nodes; doing so synchronously needs a distributed transaction (§14.12), so most systems update global indexes</w:t>
      </w:r>
      <w:r>
        <w:t xml:space="preserve"> </w:t>
      </w:r>
      <w:r>
        <w:rPr>
          <w:bCs/>
          <w:b/>
        </w:rPr>
        <w:t xml:space="preserve">asynchronously</w:t>
      </w:r>
      <w:r>
        <w:t xml:space="preserve"> </w:t>
      </w:r>
      <w:r>
        <w:t xml:space="preserve">and they briefly lag.</w:t>
      </w:r>
    </w:p>
    <w:p>
      <w:pPr>
        <w:pStyle w:val="FirstParagraph"/>
      </w:pPr>
      <w:r>
        <w:rPr>
          <w:bCs/>
          <w:b/>
        </w:rPr>
        <w:t xml:space="preserve">Figure 14.10 — Local versus global secondary index for a query on</w:t>
      </w:r>
      <w:r>
        <w:rPr>
          <w:bCs/>
          <w:b/>
        </w:rPr>
        <w:t xml:space="preserve"> </w:t>
      </w:r>
      <w:r>
        <w:rPr>
          <w:rStyle w:val="VerbatimChar"/>
          <w:bCs/>
          <w:b/>
        </w:rPr>
        <w:t xml:space="preserve">status</w:t>
      </w:r>
      <w:r>
        <w:rPr>
          <w:bCs/>
          <w:b/>
        </w:rPr>
        <w:t xml:space="preserve">.</w:t>
      </w:r>
    </w:p>
    <w:p>
      <w:pPr>
        <w:pStyle w:val="BodyText"/>
      </w:pPr>
      <w:r>
        <w:drawing>
          <wp:inline>
            <wp:extent cx="5334000" cy="1592599"/>
            <wp:effectExtent b="0" l="0" r="0" t="0"/>
            <wp:docPr descr="" title="" id="1651" name="Picture"/>
            <a:graphic>
              <a:graphicData uri="http://schemas.openxmlformats.org/drawingml/2006/picture">
                <pic:pic>
                  <pic:nvPicPr>
                    <pic:cNvPr descr="/home/user/System-Design/build/.cache/diagrams/42602fc3f543.png" id="1652" name="Picture"/>
                    <pic:cNvPicPr>
                      <a:picLocks noChangeArrowheads="1" noChangeAspect="1"/>
                    </pic:cNvPicPr>
                  </pic:nvPicPr>
                  <pic:blipFill>
                    <a:blip r:embed="rId1650"/>
                    <a:stretch>
                      <a:fillRect/>
                    </a:stretch>
                  </pic:blipFill>
                  <pic:spPr bwMode="auto">
                    <a:xfrm>
                      <a:off x="0" y="0"/>
                      <a:ext cx="5334000" cy="1592599"/>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Top: the coordinator queries every partition synchronously and waits for the slowest. Bottom: the query reads the one index partition owning</w:t>
      </w:r>
      <w:r>
        <w:t xml:space="preserve"> </w:t>
      </w:r>
      <w:r>
        <w:rPr>
          <w:rStyle w:val="VerbatimChar"/>
        </w:rPr>
        <w:t xml:space="preserve">open</w:t>
      </w:r>
      <w:r>
        <w:t xml:space="preserve">, then fetches only the needed rows; dotted arrows show asynchronous index maintenance, so new rows may briefly be missing. Local indexes suffer from slow partitions; global ones from lag and from hot values concentrating on one index partition.</w:t>
      </w:r>
    </w:p>
    <w:bookmarkEnd w:id="1653"/>
    <w:bookmarkStart w:id="1654" w:name="mathematical-foundations-27"/>
    <w:p>
      <w:pPr>
        <w:pStyle w:val="Heading4"/>
      </w:pPr>
      <w:r>
        <w:t xml:space="preserve">Mathematical foundations</w:t>
      </w:r>
    </w:p>
    <w:p>
      <w:pPr>
        <w:pStyle w:val="FirstParagraph"/>
      </w:pPr>
      <w:r>
        <w:t xml:space="preserve">Scatter-gather pays the fan-out tail cost of §4.8.4: if each partition is slow with probability</w:t>
      </w:r>
      <w:r>
        <w:t xml:space="preserve"> </w:t>
      </w:r>
      <m:oMath>
        <m:r>
          <m:t>q</m:t>
        </m:r>
      </m:oMath>
      <w:r>
        <w:t xml:space="preserve">, a query over</w:t>
      </w:r>
      <w:r>
        <w:t xml:space="preserve"> </w:t>
      </w:r>
      <m:oMath>
        <m:r>
          <m:t>n</m:t>
        </m:r>
      </m:oMath>
      <w:r>
        <w:t xml:space="preserve"> </w:t>
      </w:r>
      <w:r>
        <w:t xml:space="preserve">partitions waits for at least one slow response with probability</w:t>
      </w:r>
      <w:r>
        <w:t xml:space="preserve"> </w:t>
      </w:r>
      <m:oMath>
        <m:sSub>
          <m:e>
            <m:r>
              <m:t>P</m:t>
            </m:r>
          </m:e>
          <m:sub>
            <m:r>
              <m:rPr>
                <m:nor/>
                <m:sty m:val="p"/>
              </m:rPr>
              <m:t>slow</m:t>
            </m:r>
          </m:sub>
        </m:sSub>
        <m:r>
          <m:rPr>
            <m:sty m:val="p"/>
          </m:rPr>
          <m:t>=</m:t>
        </m:r>
        <m:r>
          <m:t>1</m:t>
        </m:r>
        <m:r>
          <m:rPr>
            <m:sty m:val="p"/>
          </m:rPr>
          <m:t>−</m:t>
        </m:r>
        <m:sSup>
          <m:e>
            <m:d>
              <m:dPr>
                <m:begChr m:val="("/>
                <m:endChr m:val=")"/>
                <m:sepChr m:val=""/>
                <m:grow/>
              </m:dPr>
              <m:e>
                <m:r>
                  <m:t>1</m:t>
                </m:r>
                <m:r>
                  <m:rPr>
                    <m:sty m:val="p"/>
                  </m:rPr>
                  <m:t>−</m:t>
                </m:r>
                <m:r>
                  <m:t>q</m:t>
                </m:r>
              </m:e>
            </m:d>
          </m:e>
          <m:sup>
            <m:r>
              <m:t>n</m:t>
            </m:r>
          </m:sup>
        </m:sSup>
      </m:oMath>
      <w:r>
        <w:t xml:space="preserve">.</w:t>
      </w:r>
    </w:p>
    <w:p>
      <w:pPr>
        <w:pStyle w:val="CalloutExample"/>
      </w:pPr>
      <w:r>
        <w:rPr>
          <w:bCs/>
          <w:b/>
        </w:rPr>
        <w:t xml:space="preserve">WORKED EXAMPLE</w:t>
      </w:r>
    </w:p>
    <w:p>
      <w:pPr>
        <w:pStyle w:val="CalloutExample"/>
      </w:pPr>
      <w:r>
        <w:rPr>
          <w:bCs/>
          <w:b/>
        </w:rPr>
        <w:t xml:space="preserve">Worked example — A local-index query across 32 shards.</w:t>
      </w:r>
      <w:r>
        <w:t xml:space="preserve"> </w:t>
      </w:r>
      <w:r>
        <w:t xml:space="preserve">Each shard answers within 10 ms at p99, so</w:t>
      </w:r>
      <w:r>
        <w:t xml:space="preserve"> </w:t>
      </w:r>
      <m:oMath>
        <m:r>
          <m:t>q</m:t>
        </m:r>
        <m:r>
          <m:rPr>
            <m:sty m:val="p"/>
          </m:rPr>
          <m:t>=</m:t>
        </m:r>
        <m:r>
          <m:t>0.01</m:t>
        </m:r>
      </m:oMath>
      <w:r>
        <w:t xml:space="preserve">.</w:t>
      </w:r>
    </w:p>
    <w:p>
      <w:pPr>
        <w:numPr>
          <w:ilvl w:val="0"/>
          <w:numId w:val="1493"/>
        </w:numPr>
        <w:pStyle w:val="Compact"/>
      </w:pPr>
      <w:r>
        <w:t xml:space="preserve">With</w:t>
      </w:r>
      <w:r>
        <w:t xml:space="preserve"> </w:t>
      </w:r>
      <m:oMath>
        <m:r>
          <m:t>n</m:t>
        </m:r>
        <m:r>
          <m:rPr>
            <m:sty m:val="p"/>
          </m:rPr>
          <m:t>=</m:t>
        </m:r>
        <m:r>
          <m:t>1</m:t>
        </m:r>
      </m:oMath>
      <w:r>
        <w:t xml:space="preserve">,</w:t>
      </w:r>
      <w:r>
        <w:t xml:space="preserve"> </w:t>
      </w:r>
      <m:oMath>
        <m:sSub>
          <m:e>
            <m:r>
              <m:t>P</m:t>
            </m:r>
          </m:e>
          <m:sub>
            <m:r>
              <m:rPr>
                <m:nor/>
                <m:sty m:val="p"/>
              </m:rPr>
              <m:t>slow</m:t>
            </m:r>
          </m:sub>
        </m:sSub>
        <m:r>
          <m:rPr>
            <m:sty m:val="p"/>
          </m:rPr>
          <m:t>=</m:t>
        </m:r>
        <m:r>
          <m:t>0.01</m:t>
        </m:r>
      </m:oMath>
      <w:r>
        <w:t xml:space="preserve">.</w:t>
      </w:r>
    </w:p>
    <w:p>
      <w:pPr>
        <w:numPr>
          <w:ilvl w:val="0"/>
          <w:numId w:val="1493"/>
        </w:numPr>
        <w:pStyle w:val="Compact"/>
      </w:pPr>
      <w:r>
        <w:t xml:space="preserve">With</w:t>
      </w:r>
      <w:r>
        <w:t xml:space="preserve"> </w:t>
      </w:r>
      <m:oMath>
        <m:r>
          <m:t>n</m:t>
        </m:r>
        <m:r>
          <m:rPr>
            <m:sty m:val="p"/>
          </m:rPr>
          <m:t>=</m:t>
        </m:r>
        <m:r>
          <m:t>32</m:t>
        </m:r>
      </m:oMath>
      <w:r>
        <w:t xml:space="preserve">,</w:t>
      </w:r>
      <w:r>
        <w:t xml:space="preserve"> </w:t>
      </w:r>
      <m:oMath>
        <m:sSub>
          <m:e>
            <m:r>
              <m:t>P</m:t>
            </m:r>
          </m:e>
          <m:sub>
            <m:r>
              <m:rPr>
                <m:nor/>
                <m:sty m:val="p"/>
              </m:rPr>
              <m:t>slow</m:t>
            </m:r>
          </m:sub>
        </m:sSub>
        <m:r>
          <m:rPr>
            <m:sty m:val="p"/>
          </m:rPr>
          <m:t>=</m:t>
        </m:r>
        <m:r>
          <m:t>1</m:t>
        </m:r>
        <m:r>
          <m:rPr>
            <m:sty m:val="p"/>
          </m:rPr>
          <m:t>−</m:t>
        </m:r>
        <m:sSup>
          <m:e>
            <m:r>
              <m:t>0.99</m:t>
            </m:r>
          </m:e>
          <m:sup>
            <m:r>
              <m:t>32</m:t>
            </m:r>
          </m:sup>
        </m:sSup>
        <m:r>
          <m:rPr>
            <m:sty m:val="p"/>
          </m:rPr>
          <m:t>=</m:t>
        </m:r>
        <m:r>
          <m:t>1</m:t>
        </m:r>
        <m:r>
          <m:rPr>
            <m:sty m:val="p"/>
          </m:rPr>
          <m:t>−</m:t>
        </m:r>
        <m:r>
          <m:t>0.725</m:t>
        </m:r>
        <m:r>
          <m:rPr>
            <m:sty m:val="p"/>
          </m:rPr>
          <m:t>=</m:t>
        </m:r>
        <m:r>
          <m:t>0.275</m:t>
        </m:r>
      </m:oMath>
      <w:r>
        <w:t xml:space="preserve">.</w:t>
      </w:r>
    </w:p>
    <w:p>
      <w:pPr>
        <w:numPr>
          <w:ilvl w:val="0"/>
          <w:numId w:val="1493"/>
        </w:numPr>
        <w:pStyle w:val="Compact"/>
      </w:pPr>
      <w:r>
        <w:t xml:space="preserve">With</w:t>
      </w:r>
      <w:r>
        <w:t xml:space="preserve"> </w:t>
      </w:r>
      <m:oMath>
        <m:r>
          <m:t>n</m:t>
        </m:r>
        <m:r>
          <m:rPr>
            <m:sty m:val="p"/>
          </m:rPr>
          <m:t>=</m:t>
        </m:r>
        <m:r>
          <m:t>128</m:t>
        </m:r>
      </m:oMath>
      <w:r>
        <w:t xml:space="preserve">,</w:t>
      </w:r>
      <w:r>
        <w:t xml:space="preserve"> </w:t>
      </w:r>
      <m:oMath>
        <m:sSub>
          <m:e>
            <m:r>
              <m:t>P</m:t>
            </m:r>
          </m:e>
          <m:sub>
            <m:r>
              <m:rPr>
                <m:nor/>
                <m:sty m:val="p"/>
              </m:rPr>
              <m:t>slow</m:t>
            </m:r>
          </m:sub>
        </m:sSub>
        <m:r>
          <m:rPr>
            <m:sty m:val="p"/>
          </m:rPr>
          <m:t>=</m:t>
        </m:r>
        <m:r>
          <m:t>1</m:t>
        </m:r>
        <m:r>
          <m:rPr>
            <m:sty m:val="p"/>
          </m:rPr>
          <m:t>−</m:t>
        </m:r>
        <m:sSup>
          <m:e>
            <m:r>
              <m:t>0.99</m:t>
            </m:r>
          </m:e>
          <m:sup>
            <m:r>
              <m:t>128</m:t>
            </m:r>
          </m:sup>
        </m:sSup>
        <m:r>
          <m:rPr>
            <m:sty m:val="p"/>
          </m:rPr>
          <m:t>=</m:t>
        </m:r>
        <m:r>
          <m:t>1</m:t>
        </m:r>
        <m:r>
          <m:rPr>
            <m:sty m:val="p"/>
          </m:rPr>
          <m:t>−</m:t>
        </m:r>
        <m:r>
          <m:t>0.276</m:t>
        </m:r>
        <m:r>
          <m:rPr>
            <m:sty m:val="p"/>
          </m:rPr>
          <m:t>=</m:t>
        </m:r>
        <m:r>
          <m:t>0.724</m:t>
        </m:r>
      </m:oMath>
      <w:r>
        <w:t xml:space="preserve">.</w:t>
      </w:r>
    </w:p>
    <w:p>
      <w:pPr>
        <w:pStyle w:val="CalloutExample"/>
      </w:pPr>
      <w:r>
        <w:rPr>
          <w:bCs/>
          <w:b/>
        </w:rPr>
        <w:t xml:space="preserve">Interpretation.</w:t>
      </w:r>
      <w:r>
        <w:t xml:space="preserve"> </w:t>
      </w:r>
      <w:r>
        <w:t xml:space="preserve">At 128 shards the</w:t>
      </w:r>
      <w:r>
        <w:t xml:space="preserve"> </w:t>
      </w:r>
      <w:r>
        <w:rPr>
          <w:iCs/>
          <w:i/>
        </w:rPr>
        <w:t xml:space="preserve">median</w:t>
      </w:r>
      <w:r>
        <w:t xml:space="preserve"> </w:t>
      </w:r>
      <w:r>
        <w:t xml:space="preserve">scatter-gather query is as slow as one shard’s p99.</w:t>
      </w:r>
      <w:r>
        <w:t xml:space="preserve"> </w:t>
      </w:r>
      <w:r>
        <w:rPr>
          <w:bCs/>
          <w:b/>
        </w:rPr>
        <w:t xml:space="preserve">Engineering implication.</w:t>
      </w:r>
      <w:r>
        <w:t xml:space="preserve"> </w:t>
      </w:r>
      <w:r>
        <w:t xml:space="preserve">Keep scatter-gather off hot paths: use a global index or denormalized copy for frequent non-key lookups, and hedged requests (§23.7) or partial results where fan-out is unavoidable.</w:t>
      </w:r>
    </w:p>
    <w:p>
      <w:pPr>
        <w:pStyle w:val="BodyText"/>
      </w:pPr>
      <w:r>
        <w:rPr>
          <w:bCs/>
          <w:b/>
        </w:rPr>
        <w:t xml:space="preserve">Table 14.13 — Local and global secondary indexes compared.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Local (document-partitioned)</w:t>
            </w:r>
          </w:p>
        </w:tc>
        <w:tc>
          <w:tcPr/>
          <w:p>
            <w:pPr>
              <w:pStyle w:val="Compact"/>
              <w:jc w:val="left"/>
            </w:pPr>
            <w:r>
              <w:t xml:space="preserve">Global (term-partitioned)</w:t>
            </w:r>
          </w:p>
        </w:tc>
      </w:tr>
      <w:tr>
        <w:tc>
          <w:tcPr/>
          <w:p>
            <w:pPr>
              <w:pStyle w:val="Compact"/>
              <w:jc w:val="left"/>
            </w:pPr>
            <w:r>
              <w:t xml:space="preserve">Write cost</w:t>
            </w:r>
          </w:p>
        </w:tc>
        <w:tc>
          <w:tcPr/>
          <w:p>
            <w:pPr>
              <w:pStyle w:val="Compact"/>
              <w:jc w:val="left"/>
            </w:pPr>
            <w:r>
              <w:t xml:space="preserve">One partition, local transaction</w:t>
            </w:r>
          </w:p>
        </w:tc>
        <w:tc>
          <w:tcPr/>
          <w:p>
            <w:pPr>
              <w:pStyle w:val="Compact"/>
              <w:jc w:val="left"/>
            </w:pPr>
            <w:r>
              <w:t xml:space="preserve">Row partition + index partition(s) on other nodes</w:t>
            </w:r>
          </w:p>
        </w:tc>
      </w:tr>
      <w:tr>
        <w:tc>
          <w:tcPr/>
          <w:p>
            <w:pPr>
              <w:pStyle w:val="Compact"/>
              <w:jc w:val="left"/>
            </w:pPr>
            <w:r>
              <w:t xml:space="preserve">Read by indexed value</w:t>
            </w:r>
          </w:p>
        </w:tc>
        <w:tc>
          <w:tcPr/>
          <w:p>
            <w:pPr>
              <w:pStyle w:val="Compact"/>
              <w:jc w:val="left"/>
            </w:pPr>
            <w:r>
              <w:t xml:space="preserve">All partitions (scatter-gather)</w:t>
            </w:r>
          </w:p>
        </w:tc>
        <w:tc>
          <w:tcPr/>
          <w:p>
            <w:pPr>
              <w:pStyle w:val="Compact"/>
              <w:jc w:val="left"/>
            </w:pPr>
            <w:r>
              <w:t xml:space="preserve">One index partition, then targeted fetches</w:t>
            </w:r>
          </w:p>
        </w:tc>
      </w:tr>
      <w:tr>
        <w:tc>
          <w:tcPr/>
          <w:p>
            <w:pPr>
              <w:pStyle w:val="Compact"/>
              <w:jc w:val="left"/>
            </w:pPr>
            <w:r>
              <w:t xml:space="preserve">Index freshness</w:t>
            </w:r>
          </w:p>
        </w:tc>
        <w:tc>
          <w:tcPr/>
          <w:p>
            <w:pPr>
              <w:pStyle w:val="Compact"/>
              <w:jc w:val="left"/>
            </w:pPr>
            <w:r>
              <w:t xml:space="preserve">Synchronous with the row</w:t>
            </w:r>
          </w:p>
        </w:tc>
        <w:tc>
          <w:tcPr/>
          <w:p>
            <w:pPr>
              <w:pStyle w:val="Compact"/>
              <w:jc w:val="left"/>
            </w:pPr>
            <w:r>
              <w:t xml:space="preserve">Usually asynchronous: briefly stale</w:t>
            </w:r>
          </w:p>
        </w:tc>
      </w:tr>
      <w:tr>
        <w:tc>
          <w:tcPr/>
          <w:p>
            <w:pPr>
              <w:pStyle w:val="Compact"/>
              <w:jc w:val="left"/>
            </w:pPr>
            <w:r>
              <w:t xml:space="preserve">Tail latency</w:t>
            </w:r>
          </w:p>
        </w:tc>
        <w:tc>
          <w:tcPr/>
          <w:p>
            <w:pPr>
              <w:pStyle w:val="Compact"/>
              <w:jc w:val="left"/>
            </w:pPr>
            <w:r>
              <w:t xml:space="preserve">Grows with partition count</w:t>
            </w:r>
          </w:p>
        </w:tc>
        <w:tc>
          <w:tcPr/>
          <w:p>
            <w:pPr>
              <w:pStyle w:val="Compact"/>
              <w:jc w:val="left"/>
            </w:pPr>
            <w:r>
              <w:t xml:space="preserve">Independent of partition count</w:t>
            </w:r>
          </w:p>
        </w:tc>
      </w:tr>
      <w:tr>
        <w:tc>
          <w:tcPr/>
          <w:p>
            <w:pPr>
              <w:pStyle w:val="Compact"/>
              <w:jc w:val="left"/>
            </w:pPr>
            <w:r>
              <w:t xml:space="preserve">Hot indexed values</w:t>
            </w:r>
          </w:p>
        </w:tc>
        <w:tc>
          <w:tcPr/>
          <w:p>
            <w:pPr>
              <w:pStyle w:val="Compact"/>
              <w:jc w:val="left"/>
            </w:pPr>
            <w:r>
              <w:t xml:space="preserve">Spread over partitions</w:t>
            </w:r>
          </w:p>
        </w:tc>
        <w:tc>
          <w:tcPr/>
          <w:p>
            <w:pPr>
              <w:pStyle w:val="Compact"/>
              <w:jc w:val="left"/>
            </w:pPr>
            <w:r>
              <w:t xml:space="preserve">Concentrated on one index partition</w:t>
            </w:r>
          </w:p>
        </w:tc>
      </w:tr>
      <w:tr>
        <w:tc>
          <w:tcPr/>
          <w:p>
            <w:pPr>
              <w:pStyle w:val="Compact"/>
              <w:jc w:val="left"/>
            </w:pPr>
            <w:r>
              <w:t xml:space="preserve">Examples</w:t>
            </w:r>
          </w:p>
        </w:tc>
        <w:tc>
          <w:tcPr/>
          <w:p>
            <w:pPr>
              <w:pStyle w:val="Compact"/>
              <w:jc w:val="left"/>
            </w:pPr>
            <w:r>
              <w:t xml:space="preserve">Elasticsearch shards, MongoDB, Cassandra secondary indexes, DynamoDB LSIs</w:t>
            </w:r>
          </w:p>
        </w:tc>
        <w:tc>
          <w:tcPr/>
          <w:p>
            <w:pPr>
              <w:pStyle w:val="Compact"/>
              <w:jc w:val="left"/>
            </w:pPr>
            <w:r>
              <w:t xml:space="preserve">DynamoDB GSIs, distributed SQL global indexes, Vitess lookup vindexes</w:t>
            </w:r>
          </w:p>
        </w:tc>
      </w:tr>
      <w:tr>
        <w:tc>
          <w:tcPr/>
          <w:p>
            <w:pPr>
              <w:pStyle w:val="Compact"/>
              <w:jc w:val="left"/>
            </w:pPr>
            <w:r>
              <w:t xml:space="preserve">Choose when</w:t>
            </w:r>
          </w:p>
        </w:tc>
        <w:tc>
          <w:tcPr/>
          <w:p>
            <w:pPr>
              <w:pStyle w:val="Compact"/>
              <w:jc w:val="left"/>
            </w:pPr>
            <w:r>
              <w:t xml:space="preserve">Writes dominate; queries usually include the partition key</w:t>
            </w:r>
          </w:p>
        </w:tc>
        <w:tc>
          <w:tcPr/>
          <w:p>
            <w:pPr>
              <w:pStyle w:val="Compact"/>
              <w:jc w:val="left"/>
            </w:pPr>
            <w:r>
              <w:t xml:space="preserve">Frequent lookups by non-key attribute</w:t>
            </w:r>
          </w:p>
        </w:tc>
      </w:tr>
    </w:tbl>
    <w:p>
      <w:pPr>
        <w:pStyle w:val="CalloutIndustry"/>
      </w:pPr>
      <w:r>
        <w:rPr>
          <w:bCs/>
          <w:b/>
        </w:rPr>
        <w:t xml:space="preserve">INDUSTRY EXAMPLE</w:t>
      </w:r>
    </w:p>
    <w:p>
      <w:pPr>
        <w:pStyle w:val="CalloutIndustry"/>
      </w:pPr>
      <w:r>
        <w:rPr>
          <w:bCs/>
          <w:b/>
        </w:rPr>
        <w:t xml:space="preserve">Amazon DynamoDB indexes.</w:t>
      </w:r>
      <w:r>
        <w:t xml:space="preserve"> </w:t>
      </w:r>
      <w:r>
        <w:t xml:space="preserve">A</w:t>
      </w:r>
      <w:r>
        <w:t xml:space="preserve"> </w:t>
      </w:r>
      <w:r>
        <w:rPr>
          <w:bCs/>
          <w:b/>
        </w:rPr>
        <w:t xml:space="preserve">local secondary index</w:t>
      </w:r>
      <w:r>
        <w:t xml:space="preserve"> </w:t>
      </w:r>
      <w:r>
        <w:t xml:space="preserve">shares the table’s partition key, lives with the base data and supports strongly consistent reads. A</w:t>
      </w:r>
      <w:r>
        <w:t xml:space="preserve"> </w:t>
      </w:r>
      <w:r>
        <w:rPr>
          <w:bCs/>
          <w:b/>
        </w:rPr>
        <w:t xml:space="preserve">global secondary index</w:t>
      </w:r>
      <w:r>
        <w:t xml:space="preserve"> </w:t>
      </w:r>
      <w:r>
        <w:t xml:space="preserve">has its own partition key, is maintained asynchronously with eventually consistent reads, and has its own throughput, which can throttle base-table writes if it falls behind.</w:t>
      </w:r>
      <w:r>
        <w:t xml:space="preserve"> </w:t>
      </w:r>
      <w:r>
        <w:rPr>
          <w:iCs/>
          <w:i/>
        </w:rPr>
        <w:t xml:space="preserve">Evidence: Primary</w:t>
      </w:r>
      <w:r>
        <w:t xml:space="preserve"> </w:t>
      </w:r>
      <w:r>
        <w:t xml:space="preserve">— [AWS Docs: DynamoDB]</w:t>
      </w:r>
    </w:p>
    <w:p>
      <w:pPr>
        <w:pStyle w:val="CalloutMistake"/>
      </w:pPr>
      <w:r>
        <w:rPr>
          <w:bCs/>
          <w:b/>
        </w:rPr>
        <w:t xml:space="preserve">COMMON MISTAKE</w:t>
      </w:r>
    </w:p>
    <w:p>
      <w:pPr>
        <w:pStyle w:val="CalloutMistake"/>
      </w:pPr>
      <w:r>
        <w:rPr>
          <w:bCs/>
          <w:b/>
        </w:rPr>
        <w:t xml:space="preserve">Mistake —</w:t>
      </w:r>
      <w:r>
        <w:rPr>
          <w:bCs/>
          <w:b/>
        </w:rPr>
        <w:t xml:space="preserve"> </w:t>
      </w:r>
      <w:r>
        <w:rPr>
          <w:bCs/>
          <w:b/>
        </w:rPr>
        <w:t xml:space="preserve">“</w:t>
      </w:r>
      <w:r>
        <w:rPr>
          <w:bCs/>
          <w:b/>
        </w:rPr>
        <w:t xml:space="preserve">A global index is as consistent as the table.</w:t>
      </w:r>
      <w:r>
        <w:rPr>
          <w:bCs/>
          <w:b/>
        </w:rPr>
        <w:t xml:space="preserve">”</w:t>
      </w:r>
      <w:r>
        <w:t xml:space="preserve"> </w:t>
      </w:r>
      <w:r>
        <w:t xml:space="preserve">Usually it is an asynchronously updated copy, so querying it right after a write can miss the row: read-your-writes again (§14.4.3).</w:t>
      </w:r>
    </w:p>
    <w:bookmarkEnd w:id="1654"/>
    <w:bookmarkEnd w:id="1655"/>
    <w:bookmarkEnd w:id="1656"/>
    <w:bookmarkStart w:id="1662" w:name="Xf92fe336704d2377598d4fea5e2dff70fcc2ba9"/>
    <w:p>
      <w:pPr>
        <w:pStyle w:val="Heading2"/>
      </w:pPr>
      <w:r>
        <w:t xml:space="preserve">14.12 Cross-shard queries and distributed transactions</w:t>
      </w:r>
    </w:p>
    <w:p>
      <w:pPr>
        <w:pStyle w:val="FirstParagraph"/>
      </w:pPr>
      <w:r>
        <w:t xml:space="preserve">Partitioning makes single-key operations cheap and everything else harder. This is a preview; Chapter 28 covers distributed transactions and Chapter 32 sagas.</w:t>
      </w:r>
    </w:p>
    <w:bookmarkStart w:id="1657" w:name="cross-shard-queries"/>
    <w:p>
      <w:pPr>
        <w:pStyle w:val="Heading3"/>
      </w:pPr>
      <w:r>
        <w:t xml:space="preserve">14.12.1 Cross-shard queries</w:t>
      </w:r>
    </w:p>
    <w:p>
      <w:pPr>
        <w:numPr>
          <w:ilvl w:val="0"/>
          <w:numId w:val="1494"/>
        </w:numPr>
        <w:pStyle w:val="Compact"/>
      </w:pPr>
      <w:r>
        <w:rPr>
          <w:bCs/>
          <w:b/>
        </w:rPr>
        <w:t xml:space="preserve">Scatter-gather aggregates</w:t>
      </w:r>
      <w:r>
        <w:t xml:space="preserve"> </w:t>
      </w:r>
      <w:r>
        <w:t xml:space="preserve">must be decomposed: sum per-shard</w:t>
      </w:r>
      <w:r>
        <w:t xml:space="preserve"> </w:t>
      </w:r>
      <w:r>
        <w:rPr>
          <w:rStyle w:val="VerbatimChar"/>
        </w:rPr>
        <w:t xml:space="preserve">COUNT</w:t>
      </w:r>
      <w:r>
        <w:t xml:space="preserve">s, compute</w:t>
      </w:r>
      <w:r>
        <w:t xml:space="preserve"> </w:t>
      </w:r>
      <w:r>
        <w:rPr>
          <w:rStyle w:val="VerbatimChar"/>
        </w:rPr>
        <w:t xml:space="preserve">AVG</w:t>
      </w:r>
      <w:r>
        <w:t xml:space="preserve"> </w:t>
      </w:r>
      <w:r>
        <w:t xml:space="preserve">from per-shard sums and counts (never average averages), and merge per-shard top 10s for</w:t>
      </w:r>
      <w:r>
        <w:t xml:space="preserve"> </w:t>
      </w:r>
      <w:r>
        <w:rPr>
          <w:rStyle w:val="VerbatimChar"/>
        </w:rPr>
        <w:t xml:space="preserve">ORDER BY ... LIMIT 10</w:t>
      </w:r>
      <w:r>
        <w:t xml:space="preserve">. Routers such as VTGate do this automatically for supported queries.</w:t>
      </w:r>
    </w:p>
    <w:p>
      <w:pPr>
        <w:numPr>
          <w:ilvl w:val="0"/>
          <w:numId w:val="1494"/>
        </w:numPr>
        <w:pStyle w:val="Compact"/>
      </w:pPr>
      <w:r>
        <w:rPr>
          <w:bCs/>
          <w:b/>
        </w:rPr>
        <w:t xml:space="preserve">Joins</w:t>
      </w:r>
      <w:r>
        <w:t xml:space="preserve"> </w:t>
      </w:r>
      <w:r>
        <w:t xml:space="preserve">between tables sharded on the same key, such as</w:t>
      </w:r>
      <w:r>
        <w:t xml:space="preserve"> </w:t>
      </w:r>
      <w:r>
        <w:rPr>
          <w:rStyle w:val="VerbatimChar"/>
        </w:rPr>
        <w:t xml:space="preserve">orders</w:t>
      </w:r>
      <w:r>
        <w:t xml:space="preserve"> </w:t>
      </w:r>
      <w:r>
        <w:t xml:space="preserve">and</w:t>
      </w:r>
      <w:r>
        <w:t xml:space="preserve"> </w:t>
      </w:r>
      <w:r>
        <w:rPr>
          <w:rStyle w:val="VerbatimChar"/>
        </w:rPr>
        <w:t xml:space="preserve">order_items</w:t>
      </w:r>
      <w:r>
        <w:t xml:space="preserve"> </w:t>
      </w:r>
      <w:r>
        <w:t xml:space="preserve">by</w:t>
      </w:r>
      <w:r>
        <w:t xml:space="preserve"> </w:t>
      </w:r>
      <w:r>
        <w:rPr>
          <w:rStyle w:val="VerbatimChar"/>
        </w:rPr>
        <w:t xml:space="preserve">customer_id</w:t>
      </w:r>
      <w:r>
        <w:t xml:space="preserve">, run locally (</w:t>
      </w:r>
      <w:r>
        <w:rPr>
          <w:bCs/>
          <w:b/>
        </w:rPr>
        <w:t xml:space="preserve">co-location</w:t>
      </w:r>
      <w:r>
        <w:t xml:space="preserve">). Small reference tables can be copied to every shard. Other joins belong in analytical systems (Chapter 29).</w:t>
      </w:r>
    </w:p>
    <w:p>
      <w:pPr>
        <w:numPr>
          <w:ilvl w:val="0"/>
          <w:numId w:val="1494"/>
        </w:numPr>
        <w:pStyle w:val="Compact"/>
      </w:pPr>
      <w:r>
        <w:rPr>
          <w:bCs/>
          <w:b/>
        </w:rPr>
        <w:t xml:space="preserve">Global uniqueness</w:t>
      </w:r>
      <w:r>
        <w:t xml:space="preserve"> </w:t>
      </w:r>
      <w:r>
        <w:t xml:space="preserve">on a non-key column such as</w:t>
      </w:r>
      <w:r>
        <w:t xml:space="preserve"> </w:t>
      </w:r>
      <w:r>
        <w:rPr>
          <w:rStyle w:val="VerbatimChar"/>
        </w:rPr>
        <w:t xml:space="preserve">email</w:t>
      </w:r>
      <w:r>
        <w:t xml:space="preserve"> </w:t>
      </w:r>
      <w:r>
        <w:t xml:space="preserve">needs a lookup table partitioned by that column.</w:t>
      </w:r>
    </w:p>
    <w:p>
      <w:pPr>
        <w:numPr>
          <w:ilvl w:val="0"/>
          <w:numId w:val="1494"/>
        </w:numPr>
        <w:pStyle w:val="Compact"/>
      </w:pPr>
      <w:r>
        <w:rPr>
          <w:bCs/>
          <w:b/>
        </w:rPr>
        <w:t xml:space="preserve">Global IDs</w:t>
      </w:r>
      <w:r>
        <w:t xml:space="preserve"> </w:t>
      </w:r>
      <w:r>
        <w:t xml:space="preserve">cannot come from per-shard auto-increment; embed the shard (§14.7.3) or use §17.10’s schemes.</w:t>
      </w:r>
    </w:p>
    <w:bookmarkEnd w:id="1657"/>
    <w:bookmarkStart w:id="1661" w:name="cross-shard-transactions-a-preview"/>
    <w:p>
      <w:pPr>
        <w:pStyle w:val="Heading3"/>
      </w:pPr>
      <w:r>
        <w:t xml:space="preserve">14.12.2 Cross-shard transactions: a preview</w:t>
      </w:r>
    </w:p>
    <w:p>
      <w:pPr>
        <w:pStyle w:val="FirstParagraph"/>
      </w:pPr>
      <w:r>
        <w:t xml:space="preserve">A transaction writing two shards must commit on both or neither.</w:t>
      </w:r>
      <w:r>
        <w:t xml:space="preserve"> </w:t>
      </w:r>
      <w:r>
        <w:rPr>
          <w:bCs/>
          <w:b/>
        </w:rPr>
        <w:t xml:space="preserve">Two-phase commit (2PC)</w:t>
      </w:r>
      <w:r>
        <w:t xml:space="preserve"> </w:t>
      </w:r>
      <w:r>
        <w:t xml:space="preserve">has a coordinator ask every participant to</w:t>
      </w:r>
      <w:r>
        <w:t xml:space="preserve"> </w:t>
      </w:r>
      <w:r>
        <w:rPr>
          <w:iCs/>
          <w:i/>
        </w:rPr>
        <w:t xml:space="preserve">prepare</w:t>
      </w:r>
      <w:r>
        <w:t xml:space="preserve"> </w:t>
      </w:r>
      <w:r>
        <w:t xml:space="preserve">(make the change durable but invisible and promise to commit); only if all vote yes does it log the decision and tell them to</w:t>
      </w:r>
      <w:r>
        <w:t xml:space="preserve"> </w:t>
      </w:r>
      <w:r>
        <w:rPr>
          <w:iCs/>
          <w:i/>
        </w:rPr>
        <w:t xml:space="preserve">commit</w:t>
      </w:r>
      <w:r>
        <w:t xml:space="preserve">.</w:t>
      </w:r>
    </w:p>
    <w:p>
      <w:pPr>
        <w:pStyle w:val="BodyText"/>
      </w:pPr>
      <w:r>
        <w:rPr>
          <w:bCs/>
          <w:b/>
        </w:rPr>
        <w:t xml:space="preserve">Figure 14.11 — Two-phase commit across two shards (preview of Chapter 28).</w:t>
      </w:r>
    </w:p>
    <w:p>
      <w:pPr>
        <w:pStyle w:val="BodyText"/>
      </w:pPr>
      <w:r>
        <w:drawing>
          <wp:inline>
            <wp:extent cx="5334000" cy="3454538"/>
            <wp:effectExtent b="0" l="0" r="0" t="0"/>
            <wp:docPr descr="" title="" id="1659" name="Picture"/>
            <a:graphic>
              <a:graphicData uri="http://schemas.openxmlformats.org/drawingml/2006/picture">
                <pic:pic>
                  <pic:nvPicPr>
                    <pic:cNvPr descr="/home/user/System-Design/build/.cache/diagrams/f9872cb14155.png" id="1660" name="Picture"/>
                    <pic:cNvPicPr>
                      <a:picLocks noChangeArrowheads="1" noChangeAspect="1"/>
                    </pic:cNvPicPr>
                  </pic:nvPicPr>
                  <pic:blipFill>
                    <a:blip r:embed="rId1658"/>
                    <a:stretch>
                      <a:fillRect/>
                    </a:stretch>
                  </pic:blipFill>
                  <pic:spPr bwMode="auto">
                    <a:xfrm>
                      <a:off x="0" y="0"/>
                      <a:ext cx="5334000" cy="3454538"/>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Every call is synchronous: two round trips per participant plus a durable decision log at the coordinator. After voting YES, a shard holds locks and</w:t>
      </w:r>
      <w:r>
        <w:t xml:space="preserve"> </w:t>
      </w:r>
      <w:r>
        <w:rPr>
          <w:iCs/>
          <w:i/>
        </w:rPr>
        <w:t xml:space="preserve">cannot</w:t>
      </w:r>
      <w:r>
        <w:t xml:space="preserve"> </w:t>
      </w:r>
      <w:r>
        <w:t xml:space="preserve">decide alone, so a coordinator crash blocks those rows (the note). Latency is at least two RTTs plus several fsyncs, and throughput falls as participants increase.</w:t>
      </w:r>
    </w:p>
    <w:p>
      <w:pPr>
        <w:pStyle w:val="BodyText"/>
      </w:pPr>
      <w:r>
        <w:t xml:space="preserve">Teams avoid distributed transactions in roughly this order: (1) choose the shard key so transactions stay on one shard (§14.7.2); (2) use a saga of local transactions with compensations (Chapter 32); (3) use a database that implements distributed transactions internally (Chapter 28); (4) use explicit 2PC with careful recovery of in-doubt transactions.</w:t>
      </w:r>
    </w:p>
    <w:p>
      <w:pPr>
        <w:pStyle w:val="CalloutWarning"/>
      </w:pPr>
      <w:r>
        <w:rPr>
          <w:bCs/>
          <w:b/>
        </w:rPr>
        <w:t xml:space="preserve">WARNING / TRADE-OFF</w:t>
      </w:r>
    </w:p>
    <w:p>
      <w:pPr>
        <w:pStyle w:val="CalloutWarning"/>
      </w:pPr>
      <w:r>
        <w:rPr>
          <w:bCs/>
          <w:b/>
        </w:rPr>
        <w:t xml:space="preserve">Warning — Multi-shard writes through a proxy may not be atomic.</w:t>
      </w:r>
      <w:r>
        <w:t xml:space="preserve"> </w:t>
      </w:r>
      <w:r>
        <w:t xml:space="preserve">A proxy may commit shards one after another, so a failed second commit leaves the first committed. Vitess documents this best-effort default and an optional two-phase commit mode with its own constraints.</w:t>
      </w:r>
    </w:p>
    <w:bookmarkEnd w:id="1661"/>
    <w:bookmarkEnd w:id="1662"/>
    <w:bookmarkStart w:id="1676" w:name="connection-pooling-and-proxies"/>
    <w:p>
      <w:pPr>
        <w:pStyle w:val="Heading2"/>
      </w:pPr>
      <w:r>
        <w:t xml:space="preserve">14.13 Connection pooling and proxies</w:t>
      </w:r>
    </w:p>
    <w:bookmarkStart w:id="1669" w:name="why-connections-become-a-scaling-problem"/>
    <w:p>
      <w:pPr>
        <w:pStyle w:val="Heading3"/>
      </w:pPr>
      <w:r>
        <w:t xml:space="preserve">14.13.1 Why connections become a scaling problem</w:t>
      </w:r>
    </w:p>
    <w:p>
      <w:pPr>
        <w:pStyle w:val="CalloutDefinition"/>
      </w:pPr>
      <w:r>
        <w:rPr>
          <w:bCs/>
          <w:b/>
        </w:rPr>
        <w:t xml:space="preserve">DEFINITION</w:t>
      </w:r>
    </w:p>
    <w:p>
      <w:pPr>
        <w:pStyle w:val="CalloutDefinition"/>
      </w:pPr>
      <w:r>
        <w:rPr>
          <w:bCs/>
          <w:b/>
        </w:rPr>
        <w:t xml:space="preserve">Definition — Connection pooler.</w:t>
      </w:r>
      <w:r>
        <w:t xml:space="preserve"> </w:t>
      </w:r>
      <w:r>
        <w:t xml:space="preserve">A component that keeps a few open database connections and lends them to many clients per session, transaction or statement, either inside the application or as a shared proxy.</w:t>
      </w:r>
    </w:p>
    <w:bookmarkStart w:id="1663" w:name="first-principles-explanation-94"/>
    <w:p>
      <w:pPr>
        <w:pStyle w:val="Heading4"/>
      </w:pPr>
      <w:r>
        <w:t xml:space="preserve">First-principles explanation</w:t>
      </w:r>
    </w:p>
    <w:p>
      <w:pPr>
        <w:pStyle w:val="FirstParagraph"/>
      </w:pPr>
      <w:r>
        <w:t xml:space="preserve">A restaurant employs waiters for the tables being served, not one per customer who might walk in. Database connections are waiters: each costs server memory even when idle, and most application connections are idle most of the time.</w:t>
      </w:r>
    </w:p>
    <w:bookmarkEnd w:id="1663"/>
    <w:bookmarkStart w:id="1664" w:name="why-does-this-exist-55"/>
    <w:p>
      <w:pPr>
        <w:pStyle w:val="Heading4"/>
      </w:pPr>
      <w:r>
        <w:t xml:space="preserve">Why does this exist?</w:t>
      </w:r>
    </w:p>
    <w:p>
      <w:pPr>
        <w:pStyle w:val="FirstParagraph"/>
      </w:pPr>
      <w:r>
        <w:t xml:space="preserve">PostgreSQL runs a process per connection and MySQL a thread, so practical limits are hundreds to low thousands per server. Yet 300 application pods with pools of 20 open 6,000 connections while Little’s Law says far fewer are busy (§4.11). A pooler accepts thousands of cheap client connections and multiplexes them onto tens of server connections.</w:t>
      </w:r>
    </w:p>
    <w:bookmarkEnd w:id="1664"/>
    <w:bookmarkStart w:id="1668" w:name="how-it-works-internally-pgbouncer"/>
    <w:p>
      <w:pPr>
        <w:pStyle w:val="Heading4"/>
      </w:pPr>
      <w:r>
        <w:t xml:space="preserve">How it works internally: PgBouncer</w:t>
      </w:r>
    </w:p>
    <w:p>
      <w:pPr>
        <w:pStyle w:val="FirstParagraph"/>
      </w:pPr>
      <w:r>
        <w:rPr>
          <w:bCs/>
          <w:b/>
        </w:rPr>
        <w:t xml:space="preserve">PgBouncer</w:t>
      </w:r>
      <w:r>
        <w:t xml:space="preserve"> </w:t>
      </w:r>
      <w:r>
        <w:t xml:space="preserve">is a lightweight, single-process, event-driven pooler that speaks the PostgreSQL protocol, keeps a pool per database and user pair, and offers three</w:t>
      </w:r>
      <w:r>
        <w:t xml:space="preserve"> </w:t>
      </w:r>
      <w:r>
        <w:rPr>
          <w:bCs/>
          <w:b/>
        </w:rPr>
        <w:t xml:space="preserve">pool modes</w:t>
      </w:r>
      <w:r>
        <w:t xml:space="preserve"> </w:t>
      </w:r>
      <w:r>
        <w:t xml:space="preserve">[PgBouncer Docs]:</w:t>
      </w:r>
    </w:p>
    <w:p>
      <w:pPr>
        <w:numPr>
          <w:ilvl w:val="0"/>
          <w:numId w:val="1495"/>
        </w:numPr>
        <w:pStyle w:val="Compact"/>
      </w:pPr>
      <w:r>
        <w:rPr>
          <w:bCs/>
          <w:b/>
        </w:rPr>
        <w:t xml:space="preserve">Session pooling</w:t>
      </w:r>
      <w:r>
        <w:t xml:space="preserve"> </w:t>
      </w:r>
      <w:r>
        <w:t xml:space="preserve">lends a server connection for the client’s whole session: fully compatible, small savings.</w:t>
      </w:r>
    </w:p>
    <w:p>
      <w:pPr>
        <w:numPr>
          <w:ilvl w:val="0"/>
          <w:numId w:val="1495"/>
        </w:numPr>
        <w:pStyle w:val="Compact"/>
      </w:pPr>
      <w:r>
        <w:rPr>
          <w:bCs/>
          <w:b/>
        </w:rPr>
        <w:t xml:space="preserve">Transaction pooling</w:t>
      </w:r>
      <w:r>
        <w:t xml:space="preserve"> </w:t>
      </w:r>
      <w:r>
        <w:t xml:space="preserve">lends it for one transaction, the source of the big savings. Session state breaks: session</w:t>
      </w:r>
      <w:r>
        <w:t xml:space="preserve"> </w:t>
      </w:r>
      <w:r>
        <w:rPr>
          <w:rStyle w:val="VerbatimChar"/>
        </w:rPr>
        <w:t xml:space="preserve">SET</w:t>
      </w:r>
      <w:r>
        <w:t xml:space="preserve">,</w:t>
      </w:r>
      <w:r>
        <w:t xml:space="preserve"> </w:t>
      </w:r>
      <w:r>
        <w:rPr>
          <w:rStyle w:val="VerbatimChar"/>
        </w:rPr>
        <w:t xml:space="preserve">LISTEN</w:t>
      </w:r>
      <w:r>
        <w:t xml:space="preserve">, session advisory locks, temporary tables and</w:t>
      </w:r>
      <w:r>
        <w:t xml:space="preserve"> </w:t>
      </w:r>
      <w:r>
        <w:rPr>
          <w:rStyle w:val="VerbatimChar"/>
        </w:rPr>
        <w:t xml:space="preserve">WITH HOLD</w:t>
      </w:r>
      <w:r>
        <w:t xml:space="preserve"> </w:t>
      </w:r>
      <w:r>
        <w:t xml:space="preserve">cursors. Protocol-level prepared statements were supported in this mode from PgBouncer 1.21 (as of 2026).</w:t>
      </w:r>
    </w:p>
    <w:p>
      <w:pPr>
        <w:numPr>
          <w:ilvl w:val="0"/>
          <w:numId w:val="1495"/>
        </w:numPr>
        <w:pStyle w:val="Compact"/>
      </w:pPr>
      <w:r>
        <w:rPr>
          <w:bCs/>
          <w:b/>
        </w:rPr>
        <w:t xml:space="preserve">Statement pooling</w:t>
      </w:r>
      <w:r>
        <w:t xml:space="preserve"> </w:t>
      </w:r>
      <w:r>
        <w:t xml:space="preserve">returns it after each statement, forbidding multi-statement transactions.</w:t>
      </w:r>
    </w:p>
    <w:p>
      <w:pPr>
        <w:pStyle w:val="FirstParagraph"/>
      </w:pPr>
      <w:r>
        <w:rPr>
          <w:bCs/>
          <w:b/>
        </w:rPr>
        <w:t xml:space="preserve">Figure 14.12 — PgBouncer in transaction-pooling mode.</w:t>
      </w:r>
    </w:p>
    <w:p>
      <w:pPr>
        <w:pStyle w:val="BodyText"/>
      </w:pPr>
      <w:r>
        <w:drawing>
          <wp:inline>
            <wp:extent cx="5334000" cy="1737773"/>
            <wp:effectExtent b="0" l="0" r="0" t="0"/>
            <wp:docPr descr="" title="" id="1666" name="Picture"/>
            <a:graphic>
              <a:graphicData uri="http://schemas.openxmlformats.org/drawingml/2006/picture">
                <pic:pic>
                  <pic:nvPicPr>
                    <pic:cNvPr descr="/home/user/System-Design/build/.cache/diagrams/56f39585e9ed.png" id="1667" name="Picture"/>
                    <pic:cNvPicPr>
                      <a:picLocks noChangeArrowheads="1" noChangeAspect="1"/>
                    </pic:cNvPicPr>
                  </pic:nvPicPr>
                  <pic:blipFill>
                    <a:blip r:embed="rId1665"/>
                    <a:stretch>
                      <a:fillRect/>
                    </a:stretch>
                  </pic:blipFill>
                  <pic:spPr bwMode="auto">
                    <a:xfrm>
                      <a:off x="0" y="0"/>
                      <a:ext cx="5334000" cy="1737773"/>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PgBouncer holds 6,000 cheap client connections in one event loop and forwards each transaction synchronously over one of about 60 server connections, queuing the rest (dotted). It stores no data. Failure points: PgBouncer itself (run several), long transactions starving the pool, and session features breaking silently. It is single-threaded, so very high connection counts need several instances.</w:t>
      </w:r>
    </w:p>
    <w:p>
      <w:pPr>
        <w:pStyle w:val="CalloutFormula"/>
      </w:pPr>
      <w:r>
        <w:rPr>
          <w:bCs/>
          <w:b/>
        </w:rPr>
        <w:t xml:space="preserve">FORMULA</w:t>
      </w:r>
    </w:p>
    <w:p>
      <w:pPr>
        <w:pStyle w:val="CalloutFormula"/>
      </w:pPr>
      <w:r>
        <w:rPr>
          <w:bCs/>
          <w:b/>
        </w:rPr>
        <w:t xml:space="preserve">Server connections needed behind a transaction pooler (Little’s Law)</w:t>
      </w:r>
    </w:p>
    <w:p>
      <w:pPr>
        <w:pStyle w:val="CalloutFormula"/>
      </w:pPr>
      <m:oMathPara>
        <m:oMathParaPr>
          <m:jc m:val="center"/>
        </m:oMathParaPr>
        <m:oMath>
          <m:sSub>
            <m:e>
              <m:r>
                <m:t>C</m:t>
              </m:r>
            </m:e>
            <m:sub>
              <m:r>
                <m:rPr>
                  <m:nor/>
                  <m:sty m:val="p"/>
                </m:rPr>
                <m:t>server</m:t>
              </m:r>
            </m:sub>
          </m:sSub>
          <m:r>
            <m:rPr>
              <m:sty m:val="p"/>
            </m:rPr>
            <m:t>=</m:t>
          </m:r>
          <m:sSub>
            <m:e>
              <m:r>
                <m:t>λ</m:t>
              </m:r>
            </m:e>
            <m:sub>
              <m:r>
                <m:rPr>
                  <m:nor/>
                  <m:sty m:val="p"/>
                </m:rPr>
                <m:t>tx</m:t>
              </m:r>
            </m:sub>
          </m:sSub>
          <m:r>
            <m:rPr>
              <m:sty m:val="p"/>
            </m:rPr>
            <m:t>⋅</m:t>
          </m:r>
          <m:sSub>
            <m:e>
              <m:r>
                <m:t>W</m:t>
              </m:r>
            </m:e>
            <m:sub>
              <m:r>
                <m:rPr>
                  <m:nor/>
                  <m:sty m:val="p"/>
                </m:rPr>
                <m:t>tx</m:t>
              </m:r>
            </m:sub>
          </m:sSub>
          <m:r>
            <m:rPr>
              <m:sty m:val="p"/>
            </m:rPr>
            <m:t>⋅</m:t>
          </m:r>
          <m:d>
            <m:dPr>
              <m:begChr m:val="("/>
              <m:endChr m:val=")"/>
              <m:sepChr m:val=""/>
              <m:grow/>
            </m:dPr>
            <m:e>
              <m:r>
                <m:t>1</m:t>
              </m:r>
              <m:r>
                <m:rPr>
                  <m:sty m:val="p"/>
                </m:rPr>
                <m:t>+</m:t>
              </m:r>
              <m:r>
                <m:t>h</m:t>
              </m:r>
            </m:e>
          </m:d>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C</m:t>
                  </m:r>
                </m:e>
                <m:sub>
                  <m:r>
                    <m:rPr>
                      <m:nor/>
                      <m:sty m:val="p"/>
                    </m:rPr>
                    <m:t>server</m:t>
                  </m:r>
                </m:sub>
              </m:sSub>
            </m:oMath>
          </w:p>
        </w:tc>
        <w:tc>
          <w:tcPr/>
          <w:p>
            <w:pPr>
              <w:pStyle w:val="Compact"/>
              <w:jc w:val="left"/>
            </w:pPr>
            <w:r>
              <w:t xml:space="preserve">Server connections the pool needs</w:t>
            </w:r>
          </w:p>
        </w:tc>
        <w:tc>
          <w:tcPr/>
          <w:p>
            <w:pPr>
              <w:pStyle w:val="Compact"/>
              <w:jc w:val="left"/>
            </w:pPr>
            <w:r>
              <w:t xml:space="preserve">connections</w:t>
            </w:r>
          </w:p>
        </w:tc>
      </w:tr>
      <w:tr>
        <w:tc>
          <w:tcPr/>
          <w:p>
            <w:pPr>
              <w:pStyle w:val="Compact"/>
              <w:jc w:val="left"/>
            </w:pPr>
            <m:oMath>
              <m:sSub>
                <m:e>
                  <m:r>
                    <m:t>λ</m:t>
                  </m:r>
                </m:e>
                <m:sub>
                  <m:r>
                    <m:rPr>
                      <m:nor/>
                      <m:sty m:val="p"/>
                    </m:rPr>
                    <m:t>tx</m:t>
                  </m:r>
                </m:sub>
              </m:sSub>
            </m:oMath>
          </w:p>
        </w:tc>
        <w:tc>
          <w:tcPr/>
          <w:p>
            <w:pPr>
              <w:pStyle w:val="Compact"/>
              <w:jc w:val="left"/>
            </w:pPr>
            <w:r>
              <w:t xml:space="preserve">Transaction rate through the pooler</w:t>
            </w:r>
          </w:p>
        </w:tc>
        <w:tc>
          <w:tcPr/>
          <w:p>
            <w:pPr>
              <w:pStyle w:val="Compact"/>
              <w:jc w:val="left"/>
            </w:pPr>
            <w:r>
              <w:t xml:space="preserve">transactions/s</w:t>
            </w:r>
          </w:p>
        </w:tc>
      </w:tr>
      <w:tr>
        <w:tc>
          <w:tcPr/>
          <w:p>
            <w:pPr>
              <w:pStyle w:val="Compact"/>
              <w:jc w:val="left"/>
            </w:pPr>
            <m:oMath>
              <m:sSub>
                <m:e>
                  <m:r>
                    <m:t>W</m:t>
                  </m:r>
                </m:e>
                <m:sub>
                  <m:r>
                    <m:rPr>
                      <m:nor/>
                      <m:sty m:val="p"/>
                    </m:rPr>
                    <m:t>tx</m:t>
                  </m:r>
                </m:sub>
              </m:sSub>
            </m:oMath>
          </w:p>
        </w:tc>
        <w:tc>
          <w:tcPr/>
          <w:p>
            <w:pPr>
              <w:pStyle w:val="Compact"/>
              <w:jc w:val="left"/>
            </w:pPr>
            <w:r>
              <w:t xml:space="preserve">Time a transaction holds a server connection, from</w:t>
            </w:r>
            <w:r>
              <w:t xml:space="preserve"> </w:t>
            </w:r>
            <w:r>
              <w:rPr>
                <w:rStyle w:val="VerbatimChar"/>
              </w:rPr>
              <w:t xml:space="preserve">BEGIN</w:t>
            </w:r>
            <w:r>
              <w:t xml:space="preserve"> </w:t>
            </w:r>
            <w:r>
              <w:t xml:space="preserve">to</w:t>
            </w:r>
            <w:r>
              <w:t xml:space="preserve"> </w:t>
            </w:r>
            <w:r>
              <w:rPr>
                <w:rStyle w:val="VerbatimChar"/>
              </w:rPr>
              <w:t xml:space="preserve">COMMIT</w:t>
            </w:r>
          </w:p>
        </w:tc>
        <w:tc>
          <w:tcPr/>
          <w:p>
            <w:pPr>
              <w:pStyle w:val="Compact"/>
              <w:jc w:val="left"/>
            </w:pPr>
            <w:r>
              <w:t xml:space="preserve">s</w:t>
            </w:r>
          </w:p>
        </w:tc>
      </w:tr>
      <w:tr>
        <w:tc>
          <w:tcPr/>
          <w:p>
            <w:pPr>
              <w:pStyle w:val="Compact"/>
              <w:jc w:val="left"/>
            </w:pPr>
            <m:oMath>
              <m:r>
                <m:t>h</m:t>
              </m:r>
            </m:oMath>
          </w:p>
        </w:tc>
        <w:tc>
          <w:tcPr/>
          <w:p>
            <w:pPr>
              <w:pStyle w:val="Compact"/>
              <w:jc w:val="left"/>
            </w:pPr>
            <w:r>
              <w:t xml:space="preserve">Headroom fraction for bursts</w:t>
            </w:r>
          </w:p>
        </w:tc>
        <w:tc>
          <w:tcPr/>
          <w:p>
            <w:pPr>
              <w:pStyle w:val="Compact"/>
              <w:jc w:val="left"/>
            </w:pPr>
            <w:r>
              <w:t xml:space="preserve">dimensionless</w:t>
            </w:r>
          </w:p>
        </w:tc>
      </w:tr>
    </w:tbl>
    <w:p>
      <w:pPr>
        <w:pStyle w:val="CalloutExample"/>
      </w:pPr>
      <w:r>
        <w:rPr>
          <w:bCs/>
          <w:b/>
        </w:rPr>
        <w:t xml:space="preserve">WORKED EXAMPLE</w:t>
      </w:r>
    </w:p>
    <w:p>
      <w:pPr>
        <w:pStyle w:val="CalloutExample"/>
      </w:pPr>
      <w:r>
        <w:rPr>
          <w:bCs/>
          <w:b/>
        </w:rPr>
        <w:t xml:space="preserve">Worked example — Sizing PgBouncer for 300 pods.</w:t>
      </w:r>
      <w:r>
        <w:t xml:space="preserve"> </w:t>
      </w:r>
      <w:r>
        <w:t xml:space="preserve">The application runs 15,000 transactions/s at peak. Each holds a server connection for 3 ms on average. You add</w:t>
      </w:r>
      <w:r>
        <w:t xml:space="preserve"> </w:t>
      </w:r>
      <m:oMath>
        <m:r>
          <m:t>h</m:t>
        </m:r>
        <m:r>
          <m:rPr>
            <m:sty m:val="p"/>
          </m:rPr>
          <m:t>=</m:t>
        </m:r>
        <m:r>
          <m:t>0.3</m:t>
        </m:r>
      </m:oMath>
      <w:r>
        <w:t xml:space="preserve"> </w:t>
      </w:r>
      <w:r>
        <w:t xml:space="preserve">headroom.</w:t>
      </w:r>
    </w:p>
    <w:p>
      <w:pPr>
        <w:numPr>
          <w:ilvl w:val="0"/>
          <w:numId w:val="1496"/>
        </w:numPr>
        <w:pStyle w:val="Compact"/>
      </w:pPr>
      <w:r>
        <w:t xml:space="preserve">Average busy connections:</w:t>
      </w:r>
      <w:r>
        <w:t xml:space="preserve"> </w:t>
      </w:r>
      <m:oMath>
        <m:r>
          <m:t>L</m:t>
        </m:r>
        <m:r>
          <m:rPr>
            <m:sty m:val="p"/>
          </m:rPr>
          <m:t>=</m:t>
        </m:r>
        <m:r>
          <m:t>15</m:t>
        </m:r>
        <m:r>
          <m:rPr>
            <m:sty m:val="p"/>
          </m:rPr>
          <m:t>,</m:t>
        </m:r>
        <m:r>
          <m:t>000</m:t>
        </m:r>
        <m:r>
          <m:rPr>
            <m:sty m:val="p"/>
          </m:rPr>
          <m:t>×</m:t>
        </m:r>
        <m:r>
          <m:t>0.003</m:t>
        </m:r>
        <m:r>
          <m:rPr>
            <m:sty m:val="p"/>
          </m:rPr>
          <m:t>=</m:t>
        </m:r>
        <m:r>
          <m:t>45</m:t>
        </m:r>
      </m:oMath>
      <w:r>
        <w:t xml:space="preserve">.</w:t>
      </w:r>
    </w:p>
    <w:p>
      <w:pPr>
        <w:numPr>
          <w:ilvl w:val="0"/>
          <w:numId w:val="1496"/>
        </w:numPr>
        <w:pStyle w:val="Compact"/>
      </w:pPr>
      <w:r>
        <w:t xml:space="preserve">With headroom:</w:t>
      </w:r>
      <w:r>
        <w:t xml:space="preserve"> </w:t>
      </w:r>
      <m:oMath>
        <m:sSub>
          <m:e>
            <m:r>
              <m:t>C</m:t>
            </m:r>
          </m:e>
          <m:sub>
            <m:r>
              <m:rPr>
                <m:nor/>
                <m:sty m:val="p"/>
              </m:rPr>
              <m:t>server</m:t>
            </m:r>
          </m:sub>
        </m:sSub>
        <m:r>
          <m:rPr>
            <m:sty m:val="p"/>
          </m:rPr>
          <m:t>=</m:t>
        </m:r>
        <m:r>
          <m:t>45</m:t>
        </m:r>
        <m:r>
          <m:rPr>
            <m:sty m:val="p"/>
          </m:rPr>
          <m:t>×</m:t>
        </m:r>
        <m:r>
          <m:t>1.3</m:t>
        </m:r>
        <m:r>
          <m:rPr>
            <m:sty m:val="p"/>
          </m:rPr>
          <m:t>=</m:t>
        </m:r>
        <m:r>
          <m:t>58.5</m:t>
        </m:r>
      </m:oMath>
      <w:r>
        <w:t xml:space="preserve">, so configure a pool of about 60.</w:t>
      </w:r>
    </w:p>
    <w:p>
      <w:pPr>
        <w:numPr>
          <w:ilvl w:val="0"/>
          <w:numId w:val="1496"/>
        </w:numPr>
        <w:pStyle w:val="Compact"/>
      </w:pPr>
      <w:r>
        <w:t xml:space="preserve">Direct connections would be</w:t>
      </w:r>
      <w:r>
        <w:t xml:space="preserve"> </w:t>
      </w:r>
      <m:oMath>
        <m:r>
          <m:t>300</m:t>
        </m:r>
        <m:r>
          <m:rPr>
            <m:sty m:val="p"/>
          </m:rPr>
          <m:t>×</m:t>
        </m:r>
        <m:r>
          <m:t>20</m:t>
        </m:r>
        <m:r>
          <m:rPr>
            <m:sty m:val="p"/>
          </m:rPr>
          <m:t>=</m:t>
        </m:r>
        <m:r>
          <m:t>6</m:t>
        </m:r>
        <m:r>
          <m:rPr>
            <m:sty m:val="p"/>
          </m:rPr>
          <m:t>,</m:t>
        </m:r>
        <m:r>
          <m:t>000</m:t>
        </m:r>
      </m:oMath>
      <w:r>
        <w:t xml:space="preserve"> </w:t>
      </w:r>
      <w:r>
        <w:t xml:space="preserve">server processes, 100× more.</w:t>
      </w:r>
    </w:p>
    <w:p>
      <w:pPr>
        <w:numPr>
          <w:ilvl w:val="0"/>
          <w:numId w:val="1496"/>
        </w:numPr>
        <w:pStyle w:val="Compact"/>
      </w:pPr>
      <w:r>
        <w:t xml:space="preserve">If a slow query raises</w:t>
      </w:r>
      <w:r>
        <w:t xml:space="preserve"> </w:t>
      </w:r>
      <m:oMath>
        <m:sSub>
          <m:e>
            <m:r>
              <m:t>W</m:t>
            </m:r>
          </m:e>
          <m:sub>
            <m:r>
              <m:rPr>
                <m:nor/>
                <m:sty m:val="p"/>
              </m:rPr>
              <m:t>tx</m:t>
            </m:r>
          </m:sub>
        </m:sSub>
      </m:oMath>
      <w:r>
        <w:t xml:space="preserve"> </w:t>
      </w:r>
      <w:r>
        <w:t xml:space="preserve">to 30 ms, demand becomes 450 connections; clients queue in PgBouncer,</w:t>
      </w:r>
      <w:r>
        <w:t xml:space="preserve"> </w:t>
      </w:r>
      <w:r>
        <w:rPr>
          <w:iCs/>
          <w:i/>
        </w:rPr>
        <w:t xml:space="preserve">but</w:t>
      </w:r>
      <w:r>
        <w:t xml:space="preserve"> </w:t>
      </w:r>
      <w:r>
        <w:t xml:space="preserve">the database still sees only 60 concurrent transactions.</w:t>
      </w:r>
    </w:p>
    <w:p>
      <w:pPr>
        <w:pStyle w:val="CalloutExample"/>
      </w:pPr>
      <w:r>
        <w:rPr>
          <w:bCs/>
          <w:b/>
        </w:rPr>
        <w:t xml:space="preserve">Interpretation.</w:t>
      </w:r>
      <w:r>
        <w:t xml:space="preserve"> </w:t>
      </w:r>
      <w:r>
        <w:t xml:space="preserve">The pooler turns unbounded concurrency at the database into a bounded queue in front of it.</w:t>
      </w:r>
      <w:r>
        <w:t xml:space="preserve"> </w:t>
      </w:r>
      <w:r>
        <w:rPr>
          <w:bCs/>
          <w:b/>
        </w:rPr>
        <w:t xml:space="preserve">Engineering implication.</w:t>
      </w:r>
      <w:r>
        <w:t xml:space="preserve"> </w:t>
      </w:r>
      <w:r>
        <w:t xml:space="preserve">Size the server pool by Little’s Law,</w:t>
      </w:r>
      <w:r>
        <w:t xml:space="preserve"> </w:t>
      </w:r>
      <w:r>
        <w:rPr>
          <w:rStyle w:val="VerbatimChar"/>
        </w:rPr>
        <w:t xml:space="preserve">max_client_conn</w:t>
      </w:r>
      <w:r>
        <w:t xml:space="preserve"> </w:t>
      </w:r>
      <w:r>
        <w:t xml:space="preserve">by client count, and add transaction timeouts so incidents fail fast.</w:t>
      </w:r>
    </w:p>
    <w:bookmarkEnd w:id="1668"/>
    <w:bookmarkEnd w:id="1669"/>
    <w:bookmarkStart w:id="1670" w:name="X3adf73cc6fd77e4a9f95fe037ea3865188dcd6a"/>
    <w:p>
      <w:pPr>
        <w:pStyle w:val="Heading3"/>
      </w:pPr>
      <w:r>
        <w:t xml:space="preserve">14.13.2 ProxySQL: protocol-aware routing for MySQL</w:t>
      </w:r>
    </w:p>
    <w:p>
      <w:pPr>
        <w:pStyle w:val="FirstParagraph"/>
      </w:pPr>
      <w:r>
        <w:rPr>
          <w:bCs/>
          <w:b/>
        </w:rPr>
        <w:t xml:space="preserve">ProxySQL</w:t>
      </w:r>
      <w:r>
        <w:t xml:space="preserve"> </w:t>
      </w:r>
      <w:r>
        <w:t xml:space="preserve">is a MySQL-protocol proxy that groups backends into</w:t>
      </w:r>
      <w:r>
        <w:t xml:space="preserve"> </w:t>
      </w:r>
      <w:r>
        <w:rPr>
          <w:bCs/>
          <w:b/>
        </w:rPr>
        <w:t xml:space="preserve">hostgroups</w:t>
      </w:r>
      <w:r>
        <w:t xml:space="preserve"> </w:t>
      </w:r>
      <w:r>
        <w:t xml:space="preserve">(writer, readers) and uses</w:t>
      </w:r>
      <w:r>
        <w:t xml:space="preserve"> </w:t>
      </w:r>
      <w:r>
        <w:rPr>
          <w:bCs/>
          <w:b/>
        </w:rPr>
        <w:t xml:space="preserve">query rules</w:t>
      </w:r>
      <w:r>
        <w:t xml:space="preserve"> </w:t>
      </w:r>
      <w:r>
        <w:t xml:space="preserve">to route statements, giving read/write splitting without code changes. It multiplexes connections when safe and can stop sending reads to replicas whose lag exceeds a configured maximum, lag-aware routing at the proxy layer [ProxySQL Docs].</w:t>
      </w:r>
    </w:p>
    <w:bookmarkEnd w:id="1670"/>
    <w:bookmarkStart w:id="1675" w:name="vitess-a-sharding-layer-for-mysql"/>
    <w:p>
      <w:pPr>
        <w:pStyle w:val="Heading3"/>
      </w:pPr>
      <w:r>
        <w:t xml:space="preserve">14.13.3 Vitess: a sharding layer for MySQL</w:t>
      </w:r>
    </w:p>
    <w:p>
      <w:pPr>
        <w:pStyle w:val="FirstParagraph"/>
      </w:pPr>
      <w:r>
        <w:rPr>
          <w:bCs/>
          <w:b/>
        </w:rPr>
        <w:t xml:space="preserve">Vitess</w:t>
      </w:r>
      <w:r>
        <w:t xml:space="preserve"> </w:t>
      </w:r>
      <w:r>
        <w:t xml:space="preserve">makes a fleet of sharded MySQL databases look like one database. It began at YouTube and is a Cloud Native Computing Foundation project [Vitess Docs].</w:t>
      </w:r>
    </w:p>
    <w:p>
      <w:pPr>
        <w:pStyle w:val="BodyText"/>
      </w:pPr>
      <w:r>
        <w:rPr>
          <w:bCs/>
          <w:b/>
        </w:rPr>
        <w:t xml:space="preserve">Figure 14.13 — Vitess architecture.</w:t>
      </w:r>
    </w:p>
    <w:p>
      <w:pPr>
        <w:pStyle w:val="BodyText"/>
      </w:pPr>
      <w:r>
        <w:drawing>
          <wp:inline>
            <wp:extent cx="5334000" cy="1940629"/>
            <wp:effectExtent b="0" l="0" r="0" t="0"/>
            <wp:docPr descr="" title="" id="1672" name="Picture"/>
            <a:graphic>
              <a:graphicData uri="http://schemas.openxmlformats.org/drawingml/2006/picture">
                <pic:pic>
                  <pic:nvPicPr>
                    <pic:cNvPr descr="/home/user/System-Design/build/.cache/diagrams/5fd533fe7002.png" id="1673" name="Picture"/>
                    <pic:cNvPicPr>
                      <a:picLocks noChangeArrowheads="1" noChangeAspect="1"/>
                    </pic:cNvPicPr>
                  </pic:nvPicPr>
                  <pic:blipFill>
                    <a:blip r:embed="rId1671"/>
                    <a:stretch>
                      <a:fillRect/>
                    </a:stretch>
                  </pic:blipFill>
                  <pic:spPr bwMode="auto">
                    <a:xfrm>
                      <a:off x="0" y="0"/>
                      <a:ext cx="5334000" cy="1940629"/>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Applications speak MySQL protocol to</w:t>
      </w:r>
      <w:r>
        <w:t xml:space="preserve"> </w:t>
      </w:r>
      <w:r>
        <w:rPr>
          <w:bCs/>
          <w:b/>
        </w:rPr>
        <w:t xml:space="preserve">VTGate</w:t>
      </w:r>
      <w:r>
        <w:t xml:space="preserve">, a stateless router that uses the</w:t>
      </w:r>
      <w:r>
        <w:t xml:space="preserve"> </w:t>
      </w:r>
      <w:r>
        <w:rPr>
          <w:bCs/>
          <w:b/>
        </w:rPr>
        <w:t xml:space="preserve">VSchema</w:t>
      </w:r>
      <w:r>
        <w:t xml:space="preserve"> </w:t>
      </w:r>
      <w:r>
        <w:t xml:space="preserve">and its</w:t>
      </w:r>
      <w:r>
        <w:t xml:space="preserve"> </w:t>
      </w:r>
      <w:r>
        <w:rPr>
          <w:bCs/>
          <w:b/>
        </w:rPr>
        <w:t xml:space="preserve">vindexes</w:t>
      </w:r>
      <w:r>
        <w:t xml:space="preserve"> </w:t>
      </w:r>
      <w:r>
        <w:t xml:space="preserve">(sharding functions) to compute each row’s</w:t>
      </w:r>
      <w:r>
        <w:t xml:space="preserve"> </w:t>
      </w:r>
      <w:r>
        <w:rPr>
          <w:bCs/>
          <w:b/>
        </w:rPr>
        <w:t xml:space="preserve">keyspace ID</w:t>
      </w:r>
      <w:r>
        <w:t xml:space="preserve"> </w:t>
      </w:r>
      <w:r>
        <w:t xml:space="preserve">and route the query, scattering queries that lack the key. Shard</w:t>
      </w:r>
      <w:r>
        <w:t xml:space="preserve"> </w:t>
      </w:r>
      <w:r>
        <w:rPr>
          <w:rStyle w:val="VerbatimChar"/>
        </w:rPr>
        <w:t xml:space="preserve">-80</w:t>
      </w:r>
      <w:r>
        <w:t xml:space="preserve"> </w:t>
      </w:r>
      <w:r>
        <w:t xml:space="preserve">holds keyspace IDs whose first byte is below hex 80 and</w:t>
      </w:r>
      <w:r>
        <w:t xml:space="preserve"> </w:t>
      </w:r>
      <w:r>
        <w:rPr>
          <w:rStyle w:val="VerbatimChar"/>
        </w:rPr>
        <w:t xml:space="preserve">80-</w:t>
      </w:r>
      <w:r>
        <w:t xml:space="preserve"> </w:t>
      </w:r>
      <w:r>
        <w:t xml:space="preserve">the rest (§14.6). A</w:t>
      </w:r>
      <w:r>
        <w:t xml:space="preserve"> </w:t>
      </w:r>
      <w:r>
        <w:rPr>
          <w:bCs/>
          <w:b/>
        </w:rPr>
        <w:t xml:space="preserve">VTTablet</w:t>
      </w:r>
      <w:r>
        <w:t xml:space="preserve"> </w:t>
      </w:r>
      <w:r>
        <w:t xml:space="preserve">beside each MySQL instance pools connections and reports health. The strongly consistent topology service holds the shard map, which VTGate watches asynchronously; tablets reject queries for shards they do not serve, catching stale views. Inside a shard, binlog replication is asynchronous or semi-synchronous, and</w:t>
      </w:r>
      <w:r>
        <w:t xml:space="preserve"> </w:t>
      </w:r>
      <w:r>
        <w:rPr>
          <w:bCs/>
          <w:b/>
        </w:rPr>
        <w:t xml:space="preserve">VTOrc</w:t>
      </w:r>
      <w:r>
        <w:t xml:space="preserve"> </w:t>
      </w:r>
      <w:r>
        <w:t xml:space="preserve">promotes a replica when a primary fails. Scaling: more VTGates, and</w:t>
      </w:r>
      <w:r>
        <w:t xml:space="preserve"> </w:t>
      </w:r>
      <w:r>
        <w:rPr>
          <w:rStyle w:val="VerbatimChar"/>
        </w:rPr>
        <w:t xml:space="preserve">Reshard</w:t>
      </w:r>
      <w:r>
        <w:t xml:space="preserve"> </w:t>
      </w:r>
      <w:r>
        <w:t xml:space="preserve">to split shards (§14.9).</w:t>
      </w:r>
    </w:p>
    <w:p>
      <w:pPr>
        <w:pStyle w:val="CalloutIndustry"/>
      </w:pPr>
      <w:r>
        <w:rPr>
          <w:bCs/>
          <w:b/>
        </w:rPr>
        <w:t xml:space="preserve">INDUSTRY EXAMPLE</w:t>
      </w:r>
    </w:p>
    <w:p>
      <w:pPr>
        <w:pStyle w:val="CalloutIndustry"/>
      </w:pPr>
      <w:r>
        <w:rPr>
          <w:bCs/>
          <w:b/>
        </w:rPr>
        <w:t xml:space="preserve">Slack.</w:t>
      </w:r>
      <w:r>
        <w:t xml:space="preserve"> </w:t>
      </w:r>
      <w:r>
        <w:t xml:space="preserve">Slack described migrating its MySQL datastores to Vitess to shard by keys other than workspace, including channel for its largest customers, while keeping MySQL tooling; it moved table by table, comparing results with shadow traffic first.</w:t>
      </w:r>
      <w:r>
        <w:t xml:space="preserve"> </w:t>
      </w:r>
      <w:r>
        <w:rPr>
          <w:iCs/>
          <w:i/>
        </w:rPr>
        <w:t xml:space="preserve">Evidence: Primary</w:t>
      </w:r>
      <w:r>
        <w:t xml:space="preserve"> </w:t>
      </w:r>
      <w:r>
        <w:t xml:space="preserve">— [Slack Engineering 2020]</w:t>
      </w:r>
    </w:p>
    <w:p>
      <w:pPr>
        <w:pStyle w:val="BodyText"/>
      </w:pPr>
      <w:r>
        <w:rPr>
          <w:bCs/>
          <w:b/>
        </w:rPr>
        <w:t xml:space="preserve">Table 14.14 — Connection poolers and sharding proxies compared.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PgBouncer</w:t>
            </w:r>
          </w:p>
        </w:tc>
        <w:tc>
          <w:tcPr/>
          <w:p>
            <w:pPr>
              <w:pStyle w:val="Compact"/>
              <w:jc w:val="left"/>
            </w:pPr>
            <w:r>
              <w:t xml:space="preserve">ProxySQL</w:t>
            </w:r>
          </w:p>
        </w:tc>
        <w:tc>
          <w:tcPr/>
          <w:p>
            <w:pPr>
              <w:pStyle w:val="Compact"/>
              <w:jc w:val="left"/>
            </w:pPr>
            <w:r>
              <w:t xml:space="preserve">Vitess</w:t>
            </w:r>
          </w:p>
        </w:tc>
      </w:tr>
      <w:tr>
        <w:tc>
          <w:tcPr/>
          <w:p>
            <w:pPr>
              <w:pStyle w:val="Compact"/>
              <w:jc w:val="left"/>
            </w:pPr>
            <w:r>
              <w:t xml:space="preserve">What it is</w:t>
            </w:r>
          </w:p>
        </w:tc>
        <w:tc>
          <w:tcPr/>
          <w:p>
            <w:pPr>
              <w:pStyle w:val="Compact"/>
              <w:jc w:val="left"/>
            </w:pPr>
            <w:r>
              <w:t xml:space="preserve">PostgreSQL connection pooler</w:t>
            </w:r>
          </w:p>
        </w:tc>
        <w:tc>
          <w:tcPr/>
          <w:p>
            <w:pPr>
              <w:pStyle w:val="Compact"/>
              <w:jc w:val="left"/>
            </w:pPr>
            <w:r>
              <w:t xml:space="preserve">MySQL-protocol routing proxy</w:t>
            </w:r>
          </w:p>
        </w:tc>
        <w:tc>
          <w:tcPr/>
          <w:p>
            <w:pPr>
              <w:pStyle w:val="Compact"/>
              <w:jc w:val="left"/>
            </w:pPr>
            <w:r>
              <w:t xml:space="preserve">Sharding and management layer for MySQL</w:t>
            </w:r>
          </w:p>
        </w:tc>
      </w:tr>
      <w:tr>
        <w:tc>
          <w:tcPr/>
          <w:p>
            <w:pPr>
              <w:pStyle w:val="Compact"/>
              <w:jc w:val="left"/>
            </w:pPr>
            <w:r>
              <w:t xml:space="preserve">Pools connections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 (in VTTablet)</w:t>
            </w:r>
          </w:p>
        </w:tc>
      </w:tr>
      <w:tr>
        <w:tc>
          <w:tcPr/>
          <w:p>
            <w:pPr>
              <w:pStyle w:val="Compact"/>
              <w:jc w:val="left"/>
            </w:pPr>
            <w:r>
              <w:t xml:space="preserve">Read/write split</w:t>
            </w:r>
          </w:p>
        </w:tc>
        <w:tc>
          <w:tcPr/>
          <w:p>
            <w:pPr>
              <w:pStyle w:val="Compact"/>
              <w:jc w:val="left"/>
            </w:pPr>
            <w:r>
              <w:t xml:space="preserve">No (separate pools by name)</w:t>
            </w:r>
          </w:p>
        </w:tc>
        <w:tc>
          <w:tcPr/>
          <w:p>
            <w:pPr>
              <w:pStyle w:val="Compact"/>
              <w:jc w:val="left"/>
            </w:pPr>
            <w:r>
              <w:t xml:space="preserve">Yes (query rules)</w:t>
            </w:r>
          </w:p>
        </w:tc>
        <w:tc>
          <w:tcPr/>
          <w:p>
            <w:pPr>
              <w:pStyle w:val="Compact"/>
              <w:jc w:val="left"/>
            </w:pPr>
            <w:r>
              <w:t xml:space="preserve">Yes (tablet types)</w:t>
            </w:r>
          </w:p>
        </w:tc>
      </w:tr>
      <w:tr>
        <w:tc>
          <w:tcPr/>
          <w:p>
            <w:pPr>
              <w:pStyle w:val="Compact"/>
              <w:jc w:val="left"/>
            </w:pPr>
            <w:r>
              <w:t xml:space="preserve">Understands shards</w:t>
            </w:r>
          </w:p>
        </w:tc>
        <w:tc>
          <w:tcPr/>
          <w:p>
            <w:pPr>
              <w:pStyle w:val="Compact"/>
              <w:jc w:val="left"/>
            </w:pPr>
            <w:r>
              <w:t xml:space="preserve">No</w:t>
            </w:r>
          </w:p>
        </w:tc>
        <w:tc>
          <w:tcPr/>
          <w:p>
            <w:pPr>
              <w:pStyle w:val="Compact"/>
              <w:jc w:val="left"/>
            </w:pPr>
            <w:r>
              <w:t xml:space="preserve">Only via manual rules</w:t>
            </w:r>
          </w:p>
        </w:tc>
        <w:tc>
          <w:tcPr/>
          <w:p>
            <w:pPr>
              <w:pStyle w:val="Compact"/>
              <w:jc w:val="left"/>
            </w:pPr>
            <w:r>
              <w:t xml:space="preserve">Yes (VSchema, vindexes)</w:t>
            </w:r>
          </w:p>
        </w:tc>
      </w:tr>
      <w:tr>
        <w:tc>
          <w:tcPr/>
          <w:p>
            <w:pPr>
              <w:pStyle w:val="Compact"/>
              <w:jc w:val="left"/>
            </w:pPr>
            <w:r>
              <w:t xml:space="preserve">Resharding</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 (VReplication workflows)</w:t>
            </w:r>
          </w:p>
        </w:tc>
      </w:tr>
      <w:tr>
        <w:tc>
          <w:tcPr/>
          <w:p>
            <w:pPr>
              <w:pStyle w:val="Compact"/>
              <w:jc w:val="left"/>
            </w:pPr>
            <w:r>
              <w:t xml:space="preserve">Failover</w:t>
            </w:r>
          </w:p>
        </w:tc>
        <w:tc>
          <w:tcPr/>
          <w:p>
            <w:pPr>
              <w:pStyle w:val="Compact"/>
              <w:jc w:val="left"/>
            </w:pPr>
            <w:r>
              <w:t xml:space="preserve">No</w:t>
            </w:r>
          </w:p>
        </w:tc>
        <w:tc>
          <w:tcPr/>
          <w:p>
            <w:pPr>
              <w:pStyle w:val="Compact"/>
              <w:jc w:val="left"/>
            </w:pPr>
            <w:r>
              <w:t xml:space="preserve">Detects and reroutes</w:t>
            </w:r>
          </w:p>
        </w:tc>
        <w:tc>
          <w:tcPr/>
          <w:p>
            <w:pPr>
              <w:pStyle w:val="Compact"/>
              <w:jc w:val="left"/>
            </w:pPr>
            <w:r>
              <w:t xml:space="preserve">Yes (VTOrc)</w:t>
            </w:r>
          </w:p>
        </w:tc>
      </w:tr>
      <w:tr>
        <w:tc>
          <w:tcPr/>
          <w:p>
            <w:pPr>
              <w:pStyle w:val="Compact"/>
              <w:jc w:val="left"/>
            </w:pPr>
            <w:r>
              <w:t xml:space="preserve">Operational complexity</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High</w:t>
            </w:r>
          </w:p>
        </w:tc>
      </w:tr>
      <w:tr>
        <w:tc>
          <w:tcPr/>
          <w:p>
            <w:pPr>
              <w:pStyle w:val="Compact"/>
              <w:jc w:val="left"/>
            </w:pPr>
            <w:r>
              <w:t xml:space="preserve">Choose when</w:t>
            </w:r>
          </w:p>
        </w:tc>
        <w:tc>
          <w:tcPr/>
          <w:p>
            <w:pPr>
              <w:pStyle w:val="Compact"/>
              <w:jc w:val="left"/>
            </w:pPr>
            <w:r>
              <w:t xml:space="preserve">Any PostgreSQL with many clients</w:t>
            </w:r>
          </w:p>
        </w:tc>
        <w:tc>
          <w:tcPr/>
          <w:p>
            <w:pPr>
              <w:pStyle w:val="Compact"/>
              <w:jc w:val="left"/>
            </w:pPr>
            <w:r>
              <w:t xml:space="preserve">MySQL replica fleets</w:t>
            </w:r>
          </w:p>
        </w:tc>
        <w:tc>
          <w:tcPr/>
          <w:p>
            <w:pPr>
              <w:pStyle w:val="Compact"/>
              <w:jc w:val="left"/>
            </w:pPr>
            <w:r>
              <w:t xml:space="preserve">MySQL beyond one primary’s write capacity</w:t>
            </w:r>
          </w:p>
        </w:tc>
      </w:tr>
    </w:tbl>
    <w:p>
      <w:pPr>
        <w:pStyle w:val="CalloutRecommendation"/>
      </w:pPr>
      <w:r>
        <w:rPr>
          <w:bCs/>
          <w:b/>
        </w:rPr>
        <w:t xml:space="preserve">RECOMMENDATION</w:t>
      </w:r>
    </w:p>
    <w:p>
      <w:pPr>
        <w:pStyle w:val="CalloutRecommendation"/>
      </w:pPr>
      <w:r>
        <w:rPr>
          <w:bCs/>
          <w:b/>
        </w:rPr>
        <w:t xml:space="preserve">Recommendation — Layer the tools in order of need.</w:t>
      </w:r>
      <w:r>
        <w:t xml:space="preserve"> </w:t>
      </w:r>
      <w:r>
        <w:t xml:space="preserve">Start with a client-side pool sized by Little’s Law, add PgBouncer or ProxySQL when instance counts make direct connections expensive, and adopt Vitess or distributed SQL (Chapter 28) only when write capacity or data size forces partitioning. Each layer adds a fraction of a millisecond per hop and real operational work.</w:t>
      </w:r>
    </w:p>
    <w:bookmarkStart w:id="1674" w:name="failure-scenarios-41"/>
    <w:p>
      <w:pPr>
        <w:pStyle w:val="Heading4"/>
      </w:pPr>
      <w:r>
        <w:t xml:space="preserve">Failure scenarios</w:t>
      </w:r>
    </w:p>
    <w:p>
      <w:pPr>
        <w:pStyle w:val="FirstParagraph"/>
      </w:pPr>
      <w:r>
        <w:rPr>
          <w:bCs/>
          <w:b/>
        </w:rPr>
        <w:t xml:space="preserve">Table 14.15 — Failure scenarios for poolers and proxies.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Wrong data from session settings</w:t>
            </w:r>
          </w:p>
        </w:tc>
        <w:tc>
          <w:tcPr/>
          <w:p>
            <w:pPr>
              <w:pStyle w:val="Compact"/>
              <w:jc w:val="left"/>
            </w:pPr>
            <w:r>
              <w:rPr>
                <w:rStyle w:val="VerbatimChar"/>
              </w:rPr>
              <w:t xml:space="preserve">SET search_path</w:t>
            </w:r>
            <w:r>
              <w:t xml:space="preserve"> </w:t>
            </w:r>
            <w:r>
              <w:t xml:space="preserve">leaks between clients in transaction mode</w:t>
            </w:r>
          </w:p>
        </w:tc>
        <w:tc>
          <w:tcPr/>
          <w:p>
            <w:pPr>
              <w:pStyle w:val="Compact"/>
              <w:jc w:val="left"/>
            </w:pPr>
            <w:r>
              <w:t xml:space="preserve">Intermittent wrong-schema errors</w:t>
            </w:r>
          </w:p>
        </w:tc>
        <w:tc>
          <w:tcPr/>
          <w:p>
            <w:pPr>
              <w:pStyle w:val="Compact"/>
              <w:jc w:val="left"/>
            </w:pPr>
            <w:r>
              <w:t xml:space="preserve">Move setting into each transaction</w:t>
            </w:r>
          </w:p>
        </w:tc>
        <w:tc>
          <w:tcPr/>
          <w:p>
            <w:pPr>
              <w:pStyle w:val="Compact"/>
              <w:jc w:val="left"/>
            </w:pPr>
            <w:r>
              <w:t xml:space="preserve">Use</w:t>
            </w:r>
            <w:r>
              <w:t xml:space="preserve"> </w:t>
            </w:r>
            <w:r>
              <w:rPr>
                <w:rStyle w:val="VerbatimChar"/>
              </w:rPr>
              <w:t xml:space="preserve">SET LOCAL</w:t>
            </w:r>
            <w:r>
              <w:t xml:space="preserve">; ban session state</w:t>
            </w:r>
          </w:p>
        </w:tc>
      </w:tr>
      <w:tr>
        <w:tc>
          <w:tcPr/>
          <w:p>
            <w:pPr>
              <w:pStyle w:val="Compact"/>
              <w:jc w:val="left"/>
            </w:pPr>
            <w:r>
              <w:t xml:space="preserve">All requests stall</w:t>
            </w:r>
          </w:p>
        </w:tc>
        <w:tc>
          <w:tcPr/>
          <w:p>
            <w:pPr>
              <w:pStyle w:val="Compact"/>
              <w:jc w:val="left"/>
            </w:pPr>
            <w:r>
              <w:t xml:space="preserve">Long transactions hold every server connection</w:t>
            </w:r>
          </w:p>
        </w:tc>
        <w:tc>
          <w:tcPr/>
          <w:p>
            <w:pPr>
              <w:pStyle w:val="Compact"/>
              <w:jc w:val="left"/>
            </w:pPr>
            <w:r>
              <w:t xml:space="preserve">Pool wait time;</w:t>
            </w:r>
            <w:r>
              <w:t xml:space="preserve"> </w:t>
            </w:r>
            <w:r>
              <w:rPr>
                <w:rStyle w:val="VerbatimChar"/>
              </w:rPr>
              <w:t xml:space="preserve">cl_waiting</w:t>
            </w:r>
            <w:r>
              <w:t xml:space="preserve"> </w:t>
            </w:r>
            <w:r>
              <w:t xml:space="preserve">grows</w:t>
            </w:r>
          </w:p>
        </w:tc>
        <w:tc>
          <w:tcPr/>
          <w:p>
            <w:pPr>
              <w:pStyle w:val="Compact"/>
              <w:jc w:val="left"/>
            </w:pPr>
            <w:r>
              <w:t xml:space="preserve">Kill long transactions</w:t>
            </w:r>
          </w:p>
        </w:tc>
        <w:tc>
          <w:tcPr/>
          <w:p>
            <w:pPr>
              <w:pStyle w:val="Compact"/>
              <w:jc w:val="left"/>
            </w:pPr>
            <w:r>
              <w:t xml:space="preserve">Transaction timeouts; separate pools</w:t>
            </w:r>
          </w:p>
        </w:tc>
      </w:tr>
      <w:tr>
        <w:tc>
          <w:tcPr/>
          <w:p>
            <w:pPr>
              <w:pStyle w:val="Compact"/>
              <w:jc w:val="left"/>
            </w:pPr>
            <w:r>
              <w:t xml:space="preserve">Proxy becomes a single point of failure</w:t>
            </w:r>
          </w:p>
        </w:tc>
        <w:tc>
          <w:tcPr/>
          <w:p>
            <w:pPr>
              <w:pStyle w:val="Compact"/>
              <w:jc w:val="left"/>
            </w:pPr>
            <w:r>
              <w:t xml:space="preserve">One pooler instance</w:t>
            </w:r>
          </w:p>
        </w:tc>
        <w:tc>
          <w:tcPr/>
          <w:p>
            <w:pPr>
              <w:pStyle w:val="Compact"/>
              <w:jc w:val="left"/>
            </w:pPr>
            <w:r>
              <w:t xml:space="preserve">Health checks fail; total outage</w:t>
            </w:r>
          </w:p>
        </w:tc>
        <w:tc>
          <w:tcPr/>
          <w:p>
            <w:pPr>
              <w:pStyle w:val="Compact"/>
              <w:jc w:val="left"/>
            </w:pPr>
            <w:r>
              <w:t xml:space="preserve">Restart or fail over</w:t>
            </w:r>
          </w:p>
        </w:tc>
        <w:tc>
          <w:tcPr/>
          <w:p>
            <w:pPr>
              <w:pStyle w:val="Compact"/>
              <w:jc w:val="left"/>
            </w:pPr>
            <w:r>
              <w:t xml:space="preserve">Multiple instances; one per host</w:t>
            </w:r>
          </w:p>
        </w:tc>
      </w:tr>
    </w:tbl>
    <w:bookmarkEnd w:id="1674"/>
    <w:bookmarkEnd w:id="1675"/>
    <w:bookmarkEnd w:id="1676"/>
    <w:bookmarkStart w:id="1677" w:name="summary-and-revision-notes-13"/>
    <w:p>
      <w:pPr>
        <w:pStyle w:val="Heading2"/>
      </w:pPr>
      <w:r>
        <w:t xml:space="preserve">14.14 Summary and revision notes</w:t>
      </w:r>
    </w:p>
    <w:p>
      <w:pPr>
        <w:pStyle w:val="CalloutSummary"/>
      </w:pPr>
      <w:r>
        <w:rPr>
          <w:bCs/>
          <w:b/>
        </w:rPr>
        <w:t xml:space="preserve">SUMMARY</w:t>
      </w:r>
    </w:p>
    <w:p>
      <w:pPr>
        <w:numPr>
          <w:ilvl w:val="0"/>
          <w:numId w:val="1497"/>
        </w:numPr>
        <w:pStyle w:val="Compact"/>
      </w:pPr>
      <w:r>
        <w:rPr>
          <w:bCs/>
          <w:b/>
        </w:rPr>
        <w:t xml:space="preserve">Replication</w:t>
      </w:r>
      <w:r>
        <w:t xml:space="preserve"> </w:t>
      </w:r>
      <w:r>
        <w:t xml:space="preserve">copies data for read capacity and availability;</w:t>
      </w:r>
      <w:r>
        <w:t xml:space="preserve"> </w:t>
      </w:r>
      <w:r>
        <w:rPr>
          <w:bCs/>
          <w:b/>
        </w:rPr>
        <w:t xml:space="preserve">partitioning</w:t>
      </w:r>
      <w:r>
        <w:t xml:space="preserve"> </w:t>
      </w:r>
      <w:r>
        <w:t xml:space="preserve">splits data for write capacity and storage. Production systems replicate every partition.</w:t>
      </w:r>
    </w:p>
    <w:p>
      <w:pPr>
        <w:numPr>
          <w:ilvl w:val="0"/>
          <w:numId w:val="1497"/>
        </w:numPr>
        <w:pStyle w:val="Compact"/>
      </w:pPr>
      <w:r>
        <w:t xml:space="preserve">Replicas cannot scale writes: each applies the whole write stream, so read capacity is</w:t>
      </w:r>
      <w:r>
        <w:t xml:space="preserve"> </w:t>
      </w:r>
      <m:oMath>
        <m:r>
          <m:t>n</m:t>
        </m:r>
        <m:d>
          <m:dPr>
            <m:begChr m:val="("/>
            <m:endChr m:val=")"/>
            <m:sepChr m:val=""/>
            <m:grow/>
          </m:dPr>
          <m:e>
            <m:r>
              <m:t>u</m:t>
            </m:r>
            <m:r>
              <m:t>c</m:t>
            </m:r>
            <m:r>
              <m:rPr>
                <m:sty m:val="p"/>
              </m:rPr>
              <m:t>−</m:t>
            </m:r>
            <m:r>
              <m:t>w</m:t>
            </m:r>
          </m:e>
        </m:d>
      </m:oMath>
      <w:r>
        <w:t xml:space="preserve">.</w:t>
      </w:r>
    </w:p>
    <w:p>
      <w:pPr>
        <w:numPr>
          <w:ilvl w:val="0"/>
          <w:numId w:val="1497"/>
        </w:numPr>
        <w:pStyle w:val="Compact"/>
      </w:pPr>
      <w:r>
        <w:t xml:space="preserve">Asynchronous replication is fast but can lose recent commits on failover; synchronous or quorum commit adds the</w:t>
      </w:r>
      <w:r>
        <w:t xml:space="preserve"> </w:t>
      </w:r>
      <m:oMath>
        <m:r>
          <m:t>k</m:t>
        </m:r>
      </m:oMath>
      <w:r>
        <w:t xml:space="preserve">-th fastest replica’s RTT; MySQL semi-sync silently degrades to async after a timeout.</w:t>
      </w:r>
    </w:p>
    <w:p>
      <w:pPr>
        <w:numPr>
          <w:ilvl w:val="0"/>
          <w:numId w:val="1497"/>
        </w:numPr>
        <w:pStyle w:val="Compact"/>
      </w:pPr>
      <w:r>
        <w:t xml:space="preserve">Lag is unbounded and drains at</w:t>
      </w:r>
      <w:r>
        <w:t xml:space="preserve"> </w:t>
      </w:r>
      <m:oMath>
        <m:sSub>
          <m:e>
            <m:r>
              <m:t>r</m:t>
            </m:r>
          </m:e>
          <m:sub>
            <m:r>
              <m:rPr>
                <m:nor/>
                <m:sty m:val="p"/>
              </m:rPr>
              <m:t>apply</m:t>
            </m:r>
          </m:sub>
        </m:sSub>
        <m:r>
          <m:rPr>
            <m:sty m:val="p"/>
          </m:rPr>
          <m:t>−</m:t>
        </m:r>
        <m:sSub>
          <m:e>
            <m:r>
              <m:t>r</m:t>
            </m:r>
          </m:e>
          <m:sub>
            <m:r>
              <m:rPr>
                <m:nor/>
                <m:sty m:val="p"/>
              </m:rPr>
              <m:t>in</m:t>
            </m:r>
          </m:sub>
        </m:sSub>
      </m:oMath>
      <w:r>
        <w:t xml:space="preserve">. It breaks read-your-writes and monotonic reads; fix with primary reads after writes, LSN/GTID watermarks or sticky replicas (§25.6 for theory).</w:t>
      </w:r>
    </w:p>
    <w:p>
      <w:pPr>
        <w:numPr>
          <w:ilvl w:val="0"/>
          <w:numId w:val="1497"/>
        </w:numPr>
        <w:pStyle w:val="Compact"/>
      </w:pPr>
      <w:r>
        <w:t xml:space="preserve">Prefer row-based or physical replication; use logical replication for upgrades, subsets and CDC. Multi-primary buys local writes at the cost of conflicts; partitioned ownership avoids most of them.</w:t>
      </w:r>
    </w:p>
    <w:p>
      <w:pPr>
        <w:numPr>
          <w:ilvl w:val="0"/>
          <w:numId w:val="1497"/>
        </w:numPr>
        <w:pStyle w:val="Compact"/>
      </w:pPr>
      <w:r>
        <w:t xml:space="preserve">Range partitioning serves scans but suffers monotonic keys; hash balances but scatters scans; list serves residency; directories place giant tenants. Separate key→partition from partition→node.</w:t>
      </w:r>
    </w:p>
    <w:p>
      <w:pPr>
        <w:numPr>
          <w:ilvl w:val="0"/>
          <w:numId w:val="1497"/>
        </w:numPr>
        <w:pStyle w:val="Compact"/>
      </w:pPr>
      <w:r>
        <w:t xml:space="preserve">Good shard keys have high cardinality, even load, query and transaction locality, and stability. Shard count is the maximum of storage, write and read terms at the planning horizon.</w:t>
      </w:r>
    </w:p>
    <w:p>
      <w:pPr>
        <w:numPr>
          <w:ilvl w:val="0"/>
          <w:numId w:val="1497"/>
        </w:numPr>
        <w:pStyle w:val="Compact"/>
      </w:pPr>
      <w:r>
        <w:t xml:space="preserve">Consistent hashing moves an expected</w:t>
      </w:r>
      <w:r>
        <w:t xml:space="preserve"> </w:t>
      </w:r>
      <m:oMath>
        <m:r>
          <m:t>K</m:t>
        </m:r>
        <m:r>
          <m:rPr>
            <m:sty m:val="p"/>
          </m:rPr>
          <m:t>/</m:t>
        </m:r>
        <m:d>
          <m:dPr>
            <m:begChr m:val="("/>
            <m:endChr m:val=")"/>
            <m:sepChr m:val=""/>
            <m:grow/>
          </m:dPr>
          <m:e>
            <m:r>
              <m:t>N</m:t>
            </m:r>
            <m:r>
              <m:rPr>
                <m:sty m:val="p"/>
              </m:rPr>
              <m:t>+</m:t>
            </m:r>
            <m:r>
              <m:t>1</m:t>
            </m:r>
          </m:e>
        </m:d>
      </m:oMath>
      <w:r>
        <w:t xml:space="preserve"> </w:t>
      </w:r>
      <w:r>
        <w:t xml:space="preserve">keys on add. With</w:t>
      </w:r>
      <w:r>
        <w:t xml:space="preserve"> </w:t>
      </w:r>
      <m:oMath>
        <m:r>
          <m:t>V</m:t>
        </m:r>
      </m:oMath>
      <w:r>
        <w:t xml:space="preserve"> </w:t>
      </w:r>
      <w:r>
        <w:t xml:space="preserve">random vnodes a node’s share is</w:t>
      </w:r>
      <w:r>
        <w:t xml:space="preserve"> </w:t>
      </w:r>
      <m:oMath>
        <m:r>
          <m:rPr>
            <m:nor/>
            <m:sty m:val="p"/>
          </m:rPr>
          <m:t>Beta</m:t>
        </m:r>
        <m:d>
          <m:dPr>
            <m:begChr m:val="("/>
            <m:endChr m:val=")"/>
            <m:sepChr m:val=""/>
            <m:grow/>
          </m:dPr>
          <m:e>
            <m:r>
              <m:t>V</m:t>
            </m:r>
            <m:r>
              <m:rPr>
                <m:sty m:val="p"/>
              </m:rPr>
              <m:t>,</m:t>
            </m:r>
            <m:d>
              <m:dPr>
                <m:begChr m:val="("/>
                <m:endChr m:val=")"/>
                <m:sepChr m:val=""/>
                <m:grow/>
              </m:dPr>
              <m:e>
                <m:r>
                  <m:t>N</m:t>
                </m:r>
                <m:r>
                  <m:rPr>
                    <m:sty m:val="p"/>
                  </m:rPr>
                  <m:t>−</m:t>
                </m:r>
                <m:r>
                  <m:t>1</m:t>
                </m:r>
              </m:e>
            </m:d>
            <m:r>
              <m:t>V</m:t>
            </m:r>
          </m:e>
        </m:d>
      </m:oMath>
      <w:r>
        <w:t xml:space="preserve">, so its CV is</w:t>
      </w:r>
      <w:r>
        <w:t xml:space="preserve"> </w:t>
      </w:r>
      <m:oMath>
        <m:rad>
          <m:radPr>
            <m:degHide m:val="on"/>
          </m:radPr>
          <m:deg/>
          <m:e>
            <m:d>
              <m:dPr>
                <m:begChr m:val="("/>
                <m:endChr m:val=")"/>
                <m:sepChr m:val=""/>
                <m:grow/>
              </m:dPr>
              <m:e>
                <m:r>
                  <m:t>N</m:t>
                </m:r>
                <m:r>
                  <m:rPr>
                    <m:sty m:val="p"/>
                  </m:rPr>
                  <m:t>−</m:t>
                </m:r>
                <m:r>
                  <m:t>1</m:t>
                </m:r>
              </m:e>
            </m:d>
            <m:r>
              <m:rPr>
                <m:sty m:val="p"/>
              </m:rPr>
              <m:t>/</m:t>
            </m:r>
            <m:d>
              <m:dPr>
                <m:begChr m:val="("/>
                <m:endChr m:val=")"/>
                <m:sepChr m:val=""/>
                <m:grow/>
              </m:dPr>
              <m:e>
                <m:r>
                  <m:t>N</m:t>
                </m:r>
                <m:r>
                  <m:t>V</m:t>
                </m:r>
                <m:r>
                  <m:rPr>
                    <m:sty m:val="p"/>
                  </m:rPr>
                  <m:t>+</m:t>
                </m:r>
                <m:r>
                  <m:t>1</m:t>
                </m:r>
              </m:e>
            </m:d>
          </m:e>
        </m:rad>
        <m:r>
          <m:rPr>
            <m:sty m:val="p"/>
          </m:rPr>
          <m:t>≈</m:t>
        </m:r>
        <m:r>
          <m:t>1</m:t>
        </m:r>
        <m:r>
          <m:rPr>
            <m:sty m:val="p"/>
          </m:rPr>
          <m:t>/</m:t>
        </m:r>
        <m:rad>
          <m:radPr>
            <m:degHide m:val="on"/>
          </m:radPr>
          <m:deg/>
          <m:e>
            <m:r>
              <m:t>V</m:t>
            </m:r>
          </m:e>
        </m:rad>
      </m:oMath>
      <w:r>
        <w:t xml:space="preserve"> </w:t>
      </w:r>
      <w:r>
        <w:t xml:space="preserve">and the busiest node sits near</w:t>
      </w:r>
      <w:r>
        <w:t xml:space="preserve"> </w:t>
      </w:r>
      <m:oMath>
        <m:r>
          <m:t>1</m:t>
        </m:r>
        <m:r>
          <m:rPr>
            <m:sty m:val="p"/>
          </m:rPr>
          <m:t>+</m:t>
        </m:r>
        <m:sSub>
          <m:e>
            <m:r>
              <m:t>z</m:t>
            </m:r>
          </m:e>
          <m:sub>
            <m:r>
              <m:t>N</m:t>
            </m:r>
          </m:sub>
        </m:sSub>
        <m:r>
          <m:rPr>
            <m:sty m:val="p"/>
          </m:rPr>
          <m:t>/</m:t>
        </m:r>
        <m:rad>
          <m:radPr>
            <m:degHide m:val="on"/>
          </m:radPr>
          <m:deg/>
          <m:e>
            <m:r>
              <m:t>V</m:t>
            </m:r>
          </m:e>
        </m:rad>
      </m:oMath>
      <w:r>
        <w:t xml:space="preserve">.</w:t>
      </w:r>
    </w:p>
    <w:p>
      <w:pPr>
        <w:numPr>
          <w:ilvl w:val="0"/>
          <w:numId w:val="1497"/>
        </w:numPr>
        <w:pStyle w:val="Compact"/>
      </w:pPr>
      <w:r>
        <w:t xml:space="preserve">Jump hash balances perfectly with no memory but only for numbered buckets; rendezvous hashing balances perfectly at</w:t>
      </w:r>
      <w:r>
        <w:t xml:space="preserve"> </w:t>
      </w:r>
      <m:oMath>
        <m:r>
          <m:t>O</m:t>
        </m:r>
        <m:d>
          <m:dPr>
            <m:begChr m:val="("/>
            <m:endChr m:val=")"/>
            <m:sepChr m:val=""/>
            <m:grow/>
          </m:dPr>
          <m:e>
            <m:r>
              <m:t>N</m:t>
            </m:r>
          </m:e>
        </m:d>
      </m:oMath>
      <w:r>
        <w:t xml:space="preserve"> </w:t>
      </w:r>
      <w:r>
        <w:t xml:space="preserve">per lookup.</w:t>
      </w:r>
    </w:p>
    <w:p>
      <w:pPr>
        <w:numPr>
          <w:ilvl w:val="0"/>
          <w:numId w:val="1497"/>
        </w:numPr>
        <w:pStyle w:val="Compact"/>
      </w:pPr>
      <w:r>
        <w:t xml:space="preserve">Rebalance with fixed partitions, dynamic splitting or per-node tokens; migrate online by capture → backfill → catch-up → verify → switch reads → switch writes → reverse stream.</w:t>
      </w:r>
    </w:p>
    <w:p>
      <w:pPr>
        <w:numPr>
          <w:ilvl w:val="0"/>
          <w:numId w:val="1497"/>
        </w:numPr>
        <w:pStyle w:val="Compact"/>
      </w:pPr>
      <w:r>
        <w:t xml:space="preserve">Hot keys defeat hashing: salt writes (read cost ×</w:t>
      </w:r>
      <m:oMath>
        <m:r>
          <m:t>s</m:t>
        </m:r>
      </m:oMath>
      <w:r>
        <w:t xml:space="preserve">), cache reads, special-case giants, bucket unbounded partitions.</w:t>
      </w:r>
    </w:p>
    <w:p>
      <w:pPr>
        <w:numPr>
          <w:ilvl w:val="0"/>
          <w:numId w:val="1497"/>
        </w:numPr>
        <w:pStyle w:val="Compact"/>
      </w:pPr>
      <w:r>
        <w:t xml:space="preserve">Local indexes make reads scatter; global indexes make writes cross partitions and lag. Avoid cross-shard transactions by co-location; 2PC blocks on coordinator failure (Chapter 28).</w:t>
      </w:r>
    </w:p>
    <w:p>
      <w:pPr>
        <w:numPr>
          <w:ilvl w:val="0"/>
          <w:numId w:val="1497"/>
        </w:numPr>
        <w:pStyle w:val="Compact"/>
      </w:pPr>
      <w:r>
        <w:t xml:space="preserve">Poolers turn unbounded database concurrency into a bounded queue sized by Little’s Law; Vitess adds routing, resharding and failover for MySQL.</w:t>
      </w:r>
    </w:p>
    <w:bookmarkEnd w:id="1677"/>
    <w:bookmarkStart w:id="1678" w:name="knowledge-checkpoint-13"/>
    <w:p>
      <w:pPr>
        <w:pStyle w:val="Heading2"/>
      </w:pPr>
      <w:r>
        <w:t xml:space="preserve">14.15 Knowledge checkpoint</w:t>
      </w:r>
    </w:p>
    <w:p>
      <w:pPr>
        <w:numPr>
          <w:ilvl w:val="0"/>
          <w:numId w:val="1498"/>
        </w:numPr>
        <w:pStyle w:val="Compact"/>
      </w:pPr>
      <w:r>
        <w:t xml:space="preserve">Why does adding read replicas eventually stop increasing read capacity?</w:t>
      </w:r>
    </w:p>
    <w:p>
      <w:pPr>
        <w:numPr>
          <w:ilvl w:val="0"/>
          <w:numId w:val="1498"/>
        </w:numPr>
        <w:pStyle w:val="Compact"/>
      </w:pPr>
      <w:r>
        <w:t xml:space="preserve">What exactly does MySQL’s</w:t>
      </w:r>
      <w:r>
        <w:t xml:space="preserve"> </w:t>
      </w:r>
      <w:r>
        <w:rPr>
          <w:rStyle w:val="VerbatimChar"/>
        </w:rPr>
        <w:t xml:space="preserve">AFTER_SYNC</w:t>
      </w:r>
      <w:r>
        <w:t xml:space="preserve"> </w:t>
      </w:r>
      <w:r>
        <w:t xml:space="preserve">semi-synchronous mode wait for, and when does it stop protecting you?</w:t>
      </w:r>
    </w:p>
    <w:p>
      <w:pPr>
        <w:numPr>
          <w:ilvl w:val="0"/>
          <w:numId w:val="1498"/>
        </w:numPr>
        <w:pStyle w:val="Compact"/>
      </w:pPr>
      <w:r>
        <w:t xml:space="preserve">A replica was offline for 20 minutes with</w:t>
      </w:r>
      <w:r>
        <w:t xml:space="preserve"> </w:t>
      </w:r>
      <m:oMath>
        <m:sSub>
          <m:e>
            <m:r>
              <m:t>r</m:t>
            </m:r>
          </m:e>
          <m:sub>
            <m:r>
              <m:rPr>
                <m:nor/>
                <m:sty m:val="p"/>
              </m:rPr>
              <m:t>in</m:t>
            </m:r>
          </m:sub>
        </m:sSub>
        <m:r>
          <m:rPr>
            <m:sty m:val="p"/>
          </m:rPr>
          <m:t>=</m:t>
        </m:r>
        <m:r>
          <m:t>2</m:t>
        </m:r>
        <m:r>
          <m:rPr>
            <m:sty m:val="p"/>
          </m:rPr>
          <m:t>,</m:t>
        </m:r>
        <m:r>
          <m:t>000</m:t>
        </m:r>
      </m:oMath>
      <w:r>
        <w:t xml:space="preserve">/s and</w:t>
      </w:r>
      <w:r>
        <w:t xml:space="preserve"> </w:t>
      </w:r>
      <m:oMath>
        <m:sSub>
          <m:e>
            <m:r>
              <m:t>r</m:t>
            </m:r>
          </m:e>
          <m:sub>
            <m:r>
              <m:rPr>
                <m:nor/>
                <m:sty m:val="p"/>
              </m:rPr>
              <m:t>apply</m:t>
            </m:r>
          </m:sub>
        </m:sSub>
        <m:r>
          <m:rPr>
            <m:sty m:val="p"/>
          </m:rPr>
          <m:t>=</m:t>
        </m:r>
        <m:r>
          <m:t>2</m:t>
        </m:r>
        <m:r>
          <m:rPr>
            <m:sty m:val="p"/>
          </m:rPr>
          <m:t>,</m:t>
        </m:r>
        <m:r>
          <m:t>500</m:t>
        </m:r>
      </m:oMath>
      <w:r>
        <w:t xml:space="preserve">/s. How long does catch-up take?</w:t>
      </w:r>
    </w:p>
    <w:p>
      <w:pPr>
        <w:numPr>
          <w:ilvl w:val="0"/>
          <w:numId w:val="1498"/>
        </w:numPr>
        <w:pStyle w:val="Compact"/>
      </w:pPr>
      <w:r>
        <w:t xml:space="preserve">Give a sequence of events that violates monotonic reads.</w:t>
      </w:r>
    </w:p>
    <w:p>
      <w:pPr>
        <w:numPr>
          <w:ilvl w:val="0"/>
          <w:numId w:val="1498"/>
        </w:numPr>
        <w:pStyle w:val="Compact"/>
      </w:pPr>
      <w:r>
        <w:t xml:space="preserve">Why is statement-based replication unsafe for</w:t>
      </w:r>
      <w:r>
        <w:t xml:space="preserve"> </w:t>
      </w:r>
      <w:r>
        <w:rPr>
          <w:rStyle w:val="VerbatimChar"/>
        </w:rPr>
        <w:t xml:space="preserve">UPDATE ... LIMIT 10</w:t>
      </w:r>
      <w:r>
        <w:t xml:space="preserve"> </w:t>
      </w:r>
      <w:r>
        <w:t xml:space="preserve">without</w:t>
      </w:r>
      <w:r>
        <w:t xml:space="preserve"> </w:t>
      </w:r>
      <w:r>
        <w:rPr>
          <w:rStyle w:val="VerbatimChar"/>
        </w:rPr>
        <w:t xml:space="preserve">ORDER BY</w:t>
      </w:r>
      <w:r>
        <w:t xml:space="preserve">?</w:t>
      </w:r>
    </w:p>
    <w:p>
      <w:pPr>
        <w:numPr>
          <w:ilvl w:val="0"/>
          <w:numId w:val="1498"/>
        </w:numPr>
        <w:pStyle w:val="Compact"/>
      </w:pPr>
      <w:r>
        <w:t xml:space="preserve">Why does range partitioning on an auto-increment ID create a hot partition?</w:t>
      </w:r>
    </w:p>
    <w:p>
      <w:pPr>
        <w:numPr>
          <w:ilvl w:val="0"/>
          <w:numId w:val="1498"/>
        </w:numPr>
        <w:pStyle w:val="Compact"/>
      </w:pPr>
      <w:r>
        <w:t xml:space="preserve">Name the five properties of a good shard key.</w:t>
      </w:r>
    </w:p>
    <w:p>
      <w:pPr>
        <w:numPr>
          <w:ilvl w:val="0"/>
          <w:numId w:val="1498"/>
        </w:numPr>
        <w:pStyle w:val="Compact"/>
      </w:pPr>
      <w:r>
        <w:t xml:space="preserve">Under</w:t>
      </w:r>
      <w:r>
        <w:t xml:space="preserve"> </w:t>
      </w:r>
      <w:r>
        <w:rPr>
          <w:rStyle w:val="VerbatimChar"/>
        </w:rPr>
        <w:t xml:space="preserve">hash mod N</w:t>
      </w:r>
      <w:r>
        <w:t xml:space="preserve">, what fraction of keys moves going from 9 to 10 nodes? Under consistent hashing?</w:t>
      </w:r>
    </w:p>
    <w:p>
      <w:pPr>
        <w:numPr>
          <w:ilvl w:val="0"/>
          <w:numId w:val="1498"/>
        </w:numPr>
        <w:pStyle w:val="Compact"/>
      </w:pPr>
      <w:r>
        <w:t xml:space="preserve">Compute the load CV for</w:t>
      </w:r>
      <w:r>
        <w:t xml:space="preserve"> </w:t>
      </w:r>
      <m:oMath>
        <m:r>
          <m:t>N</m:t>
        </m:r>
        <m:r>
          <m:rPr>
            <m:sty m:val="p"/>
          </m:rPr>
          <m:t>=</m:t>
        </m:r>
        <m:r>
          <m:t>20</m:t>
        </m:r>
      </m:oMath>
      <w:r>
        <w:t xml:space="preserve"> </w:t>
      </w:r>
      <w:r>
        <w:t xml:space="preserve">nodes and</w:t>
      </w:r>
      <w:r>
        <w:t xml:space="preserve"> </w:t>
      </w:r>
      <m:oMath>
        <m:r>
          <m:t>V</m:t>
        </m:r>
        <m:r>
          <m:rPr>
            <m:sty m:val="p"/>
          </m:rPr>
          <m:t>=</m:t>
        </m:r>
        <m:r>
          <m:t>50</m:t>
        </m:r>
      </m:oMath>
      <w:r>
        <w:t xml:space="preserve"> </w:t>
      </w:r>
      <w:r>
        <w:t xml:space="preserve">vnodes.</w:t>
      </w:r>
    </w:p>
    <w:p>
      <w:pPr>
        <w:numPr>
          <w:ilvl w:val="0"/>
          <w:numId w:val="1498"/>
        </w:numPr>
        <w:pStyle w:val="Compact"/>
      </w:pPr>
      <w:r>
        <w:t xml:space="preserve">Why can jump consistent hash not remove an arbitrary failed bucket?</w:t>
      </w:r>
    </w:p>
    <w:p>
      <w:pPr>
        <w:numPr>
          <w:ilvl w:val="0"/>
          <w:numId w:val="1498"/>
        </w:numPr>
        <w:pStyle w:val="Compact"/>
      </w:pPr>
      <w:r>
        <w:t xml:space="preserve">Why must change capture start before the backfill snapshot?</w:t>
      </w:r>
    </w:p>
    <w:p>
      <w:pPr>
        <w:numPr>
          <w:ilvl w:val="0"/>
          <w:numId w:val="1498"/>
        </w:numPr>
        <w:pStyle w:val="Compact"/>
      </w:pPr>
      <w:r>
        <w:t xml:space="preserve">A counter key receives 12,000 writes/s and partitions sustain 1,000 writes/s at</w:t>
      </w:r>
      <w:r>
        <w:t xml:space="preserve"> </w:t>
      </w:r>
      <m:oMath>
        <m:r>
          <m:t>u</m:t>
        </m:r>
        <m:r>
          <m:rPr>
            <m:sty m:val="p"/>
          </m:rPr>
          <m:t>=</m:t>
        </m:r>
        <m:r>
          <m:t>0.75</m:t>
        </m:r>
      </m:oMath>
      <w:r>
        <w:t xml:space="preserve">. What salt factor do you need?</w:t>
      </w:r>
    </w:p>
    <w:p>
      <w:pPr>
        <w:numPr>
          <w:ilvl w:val="0"/>
          <w:numId w:val="1498"/>
        </w:numPr>
        <w:pStyle w:val="Compact"/>
      </w:pPr>
      <w:r>
        <w:t xml:space="preserve">Why are global secondary indexes usually eventually consistent?</w:t>
      </w:r>
    </w:p>
    <w:p>
      <w:pPr>
        <w:numPr>
          <w:ilvl w:val="0"/>
          <w:numId w:val="1498"/>
        </w:numPr>
        <w:pStyle w:val="Compact"/>
      </w:pPr>
      <w:r>
        <w:t xml:space="preserve">Which PostgreSQL features break under PgBouncer transaction pooling?</w:t>
      </w:r>
    </w:p>
    <w:p>
      <w:pPr>
        <w:pStyle w:val="FirstParagraph"/>
      </w:pPr>
      <w:r>
        <w:t xml:space="preserve">Answers</w:t>
      </w:r>
    </w:p>
    <w:p>
      <w:pPr>
        <w:numPr>
          <w:ilvl w:val="0"/>
          <w:numId w:val="1499"/>
        </w:numPr>
        <w:pStyle w:val="Compact"/>
      </w:pPr>
      <w:r>
        <w:t xml:space="preserve">Each replica applies every write, so per-node read budget is</w:t>
      </w:r>
      <w:r>
        <w:t xml:space="preserve"> </w:t>
      </w:r>
      <m:oMath>
        <m:r>
          <m:t>u</m:t>
        </m:r>
        <m:r>
          <m:t>c</m:t>
        </m:r>
        <m:r>
          <m:rPr>
            <m:sty m:val="p"/>
          </m:rPr>
          <m:t>−</m:t>
        </m:r>
        <m:r>
          <m:t>w</m:t>
        </m:r>
      </m:oMath>
      <w:r>
        <w:t xml:space="preserve">; as writes grow it approaches zero no matter how many replicas exist.</w:t>
      </w:r>
    </w:p>
    <w:p>
      <w:pPr>
        <w:numPr>
          <w:ilvl w:val="0"/>
          <w:numId w:val="1499"/>
        </w:numPr>
        <w:pStyle w:val="Compact"/>
      </w:pPr>
      <w:r>
        <w:t xml:space="preserve">A replica writing the events to its relay log before the primary commits in the storage engine. After the timeout with no acknowledgment, the primary falls back to asynchronous replication.</w:t>
      </w:r>
    </w:p>
    <w:p>
      <w:pPr>
        <w:numPr>
          <w:ilvl w:val="0"/>
          <w:numId w:val="1499"/>
        </w:numPr>
        <w:pStyle w:val="Compact"/>
      </w:pPr>
      <m:oMath>
        <m:r>
          <m:t>B</m:t>
        </m:r>
        <m:r>
          <m:rPr>
            <m:sty m:val="p"/>
          </m:rPr>
          <m:t>=</m:t>
        </m:r>
        <m:r>
          <m:t>2</m:t>
        </m:r>
        <m:r>
          <m:rPr>
            <m:sty m:val="p"/>
          </m:rPr>
          <m:t>,</m:t>
        </m:r>
        <m:r>
          <m:t>000</m:t>
        </m:r>
        <m:r>
          <m:rPr>
            <m:sty m:val="p"/>
          </m:rPr>
          <m:t>×</m:t>
        </m:r>
        <m:r>
          <m:t>1</m:t>
        </m:r>
        <m:r>
          <m:rPr>
            <m:sty m:val="p"/>
          </m:rPr>
          <m:t>,</m:t>
        </m:r>
        <m:r>
          <m:t>200</m:t>
        </m:r>
        <m:r>
          <m:rPr>
            <m:sty m:val="p"/>
          </m:rPr>
          <m:t>=</m:t>
        </m:r>
        <m:r>
          <m:t>2.4</m:t>
        </m:r>
        <m:r>
          <m:rPr>
            <m:sty m:val="p"/>
          </m:rPr>
          <m:t>×</m:t>
        </m:r>
        <m:sSup>
          <m:e>
            <m:r>
              <m:t>10</m:t>
            </m:r>
          </m:e>
          <m:sup>
            <m:r>
              <m:t>6</m:t>
            </m:r>
          </m:sup>
        </m:sSup>
      </m:oMath>
      <w:r>
        <w:t xml:space="preserve">;</w:t>
      </w:r>
      <w:r>
        <w:t xml:space="preserve"> </w:t>
      </w:r>
      <m:oMath>
        <m:r>
          <m:t>T</m:t>
        </m:r>
        <m:r>
          <m:rPr>
            <m:sty m:val="p"/>
          </m:rPr>
          <m:t>=</m:t>
        </m:r>
        <m:r>
          <m:t>2.4</m:t>
        </m:r>
        <m:r>
          <m:rPr>
            <m:sty m:val="p"/>
          </m:rPr>
          <m:t>×</m:t>
        </m:r>
        <m:sSup>
          <m:e>
            <m:r>
              <m:t>10</m:t>
            </m:r>
          </m:e>
          <m:sup>
            <m:r>
              <m:t>6</m:t>
            </m:r>
          </m:sup>
        </m:sSup>
        <m:r>
          <m:rPr>
            <m:sty m:val="p"/>
          </m:rPr>
          <m:t>/</m:t>
        </m:r>
        <m:r>
          <m:t>500</m:t>
        </m:r>
        <m:r>
          <m:rPr>
            <m:sty m:val="p"/>
          </m:rPr>
          <m:t>=</m:t>
        </m:r>
        <m:r>
          <m:t>4</m:t>
        </m:r>
        <m:r>
          <m:rPr>
            <m:sty m:val="p"/>
          </m:rPr>
          <m:t>,</m:t>
        </m:r>
        <m:r>
          <m:t>800</m:t>
        </m:r>
      </m:oMath>
      <w:r>
        <w:t xml:space="preserve"> </w:t>
      </w:r>
      <w:r>
        <w:t xml:space="preserve">s, 80 minutes.</w:t>
      </w:r>
    </w:p>
    <w:p>
      <w:pPr>
        <w:numPr>
          <w:ilvl w:val="0"/>
          <w:numId w:val="1499"/>
        </w:numPr>
        <w:pStyle w:val="Compact"/>
      </w:pPr>
      <w:r>
        <w:t xml:space="preserve">A user reads a fresh replica (12 comments), then a more lagged replica (9 comments).</w:t>
      </w:r>
    </w:p>
    <w:p>
      <w:pPr>
        <w:numPr>
          <w:ilvl w:val="0"/>
          <w:numId w:val="1499"/>
        </w:numPr>
        <w:pStyle w:val="Compact"/>
      </w:pPr>
      <w:r>
        <w:t xml:space="preserve">Which 10 rows are updated depends on scan order, which can differ on the replica, so copies diverge silently.</w:t>
      </w:r>
    </w:p>
    <w:p>
      <w:pPr>
        <w:numPr>
          <w:ilvl w:val="0"/>
          <w:numId w:val="1499"/>
        </w:numPr>
        <w:pStyle w:val="Compact"/>
      </w:pPr>
      <w:r>
        <w:t xml:space="preserve">Every new row has the largest key, so all inserts land in the last range.</w:t>
      </w:r>
    </w:p>
    <w:p>
      <w:pPr>
        <w:numPr>
          <w:ilvl w:val="0"/>
          <w:numId w:val="1499"/>
        </w:numPr>
        <w:pStyle w:val="Compact"/>
      </w:pPr>
      <w:r>
        <w:t xml:space="preserve">High cardinality, even load, query locality, transaction locality, stability.</w:t>
      </w:r>
    </w:p>
    <w:p>
      <w:pPr>
        <w:numPr>
          <w:ilvl w:val="0"/>
          <w:numId w:val="1499"/>
        </w:numPr>
        <w:pStyle w:val="Compact"/>
      </w:pPr>
      <m:oMath>
        <m:r>
          <m:t>9</m:t>
        </m:r>
        <m:r>
          <m:rPr>
            <m:sty m:val="p"/>
          </m:rPr>
          <m:t>/</m:t>
        </m:r>
        <m:r>
          <m:t>10</m:t>
        </m:r>
        <m:r>
          <m:rPr>
            <m:sty m:val="p"/>
          </m:rPr>
          <m:t>=</m:t>
        </m:r>
        <m:r>
          <m:t>90</m:t>
        </m:r>
      </m:oMath>
      <w:r>
        <w:t xml:space="preserve"> </w:t>
      </w:r>
      <w:r>
        <w:t xml:space="preserve">%; about</w:t>
      </w:r>
      <w:r>
        <w:t xml:space="preserve"> </w:t>
      </w:r>
      <m:oMath>
        <m:r>
          <m:t>1</m:t>
        </m:r>
        <m:r>
          <m:rPr>
            <m:sty m:val="p"/>
          </m:rPr>
          <m:t>/</m:t>
        </m:r>
        <m:r>
          <m:t>10</m:t>
        </m:r>
        <m:r>
          <m:rPr>
            <m:sty m:val="p"/>
          </m:rPr>
          <m:t>=</m:t>
        </m:r>
        <m:r>
          <m:t>10</m:t>
        </m:r>
      </m:oMath>
      <w:r>
        <w:t xml:space="preserve"> </w:t>
      </w:r>
      <w:r>
        <w:t xml:space="preserve">%.</w:t>
      </w:r>
    </w:p>
    <w:p>
      <w:pPr>
        <w:numPr>
          <w:ilvl w:val="0"/>
          <w:numId w:val="1499"/>
        </w:numPr>
        <w:pStyle w:val="Compact"/>
      </w:pPr>
      <m:oMath>
        <m:rad>
          <m:radPr>
            <m:degHide m:val="on"/>
          </m:radPr>
          <m:deg/>
          <m:e>
            <m:r>
              <m:t>19</m:t>
            </m:r>
            <m:r>
              <m:rPr>
                <m:sty m:val="p"/>
              </m:rPr>
              <m:t>/</m:t>
            </m:r>
            <m:r>
              <m:t>1001</m:t>
            </m:r>
          </m:e>
        </m:rad>
        <m:r>
          <m:rPr>
            <m:sty m:val="p"/>
          </m:rPr>
          <m:t>≈</m:t>
        </m:r>
        <m:r>
          <m:t>0.138</m:t>
        </m:r>
      </m:oMath>
      <w:r>
        <w:t xml:space="preserve">, about 14 %.</w:t>
      </w:r>
    </w:p>
    <w:p>
      <w:pPr>
        <w:numPr>
          <w:ilvl w:val="0"/>
          <w:numId w:val="1499"/>
        </w:numPr>
        <w:pStyle w:val="Compact"/>
      </w:pPr>
      <w:r>
        <w:t xml:space="preserve">Buckets must be numbered</w:t>
      </w:r>
      <w:r>
        <w:t xml:space="preserve"> </w:t>
      </w:r>
      <m:oMath>
        <m:r>
          <m:t>0</m:t>
        </m:r>
        <m:r>
          <m:rPr>
            <m:sty m:val="p"/>
          </m:rPr>
          <m:t>.</m:t>
        </m:r>
        <m:r>
          <m:rPr>
            <m:sty m:val="p"/>
          </m:rPr>
          <m:t>.</m:t>
        </m:r>
        <m:r>
          <m:t>n</m:t>
        </m:r>
        <m:r>
          <m:rPr>
            <m:sty m:val="p"/>
          </m:rPr>
          <m:t>−</m:t>
        </m:r>
        <m:r>
          <m:t>1</m:t>
        </m:r>
      </m:oMath>
      <w:r>
        <w:t xml:space="preserve">; only the last can be removed without remapping, so failures are handled inside a replicated bucket.</w:t>
      </w:r>
    </w:p>
    <w:p>
      <w:pPr>
        <w:numPr>
          <w:ilvl w:val="0"/>
          <w:numId w:val="1499"/>
        </w:numPr>
        <w:pStyle w:val="Compact"/>
      </w:pPr>
      <w:r>
        <w:t xml:space="preserve">Writes between snapshot and capture start would be in neither copy.</w:t>
      </w:r>
    </w:p>
    <w:p>
      <w:pPr>
        <w:numPr>
          <w:ilvl w:val="0"/>
          <w:numId w:val="1499"/>
        </w:numPr>
        <w:pStyle w:val="Compact"/>
      </w:pPr>
      <m:oMath>
        <m:r>
          <m:rPr>
            <m:sty m:val="p"/>
          </m:rPr>
          <m:t>⌈</m:t>
        </m:r>
        <m:r>
          <m:t>12</m:t>
        </m:r>
        <m:r>
          <m:rPr>
            <m:sty m:val="p"/>
          </m:rPr>
          <m:t>,</m:t>
        </m:r>
        <m:r>
          <m:t>000</m:t>
        </m:r>
        <m:r>
          <m:rPr>
            <m:sty m:val="p"/>
          </m:rPr>
          <m:t>/</m:t>
        </m:r>
        <m:r>
          <m:t>750</m:t>
        </m:r>
        <m:r>
          <m:rPr>
            <m:sty m:val="p"/>
          </m:rPr>
          <m:t>⌉</m:t>
        </m:r>
        <m:r>
          <m:rPr>
            <m:sty m:val="p"/>
          </m:rPr>
          <m:t>=</m:t>
        </m:r>
        <m:r>
          <m:t>16</m:t>
        </m:r>
      </m:oMath>
      <w:r>
        <w:t xml:space="preserve">.</w:t>
      </w:r>
    </w:p>
    <w:p>
      <w:pPr>
        <w:numPr>
          <w:ilvl w:val="0"/>
          <w:numId w:val="1499"/>
        </w:numPr>
        <w:pStyle w:val="Compact"/>
      </w:pPr>
      <w:r>
        <w:t xml:space="preserve">Updating index partitions on other nodes synchronously needs a distributed transaction, so most systems update them asynchronously.</w:t>
      </w:r>
    </w:p>
    <w:p>
      <w:pPr>
        <w:numPr>
          <w:ilvl w:val="0"/>
          <w:numId w:val="1499"/>
        </w:numPr>
        <w:pStyle w:val="Compact"/>
      </w:pPr>
      <w:r>
        <w:t xml:space="preserve">Session-level</w:t>
      </w:r>
      <w:r>
        <w:t xml:space="preserve"> </w:t>
      </w:r>
      <w:r>
        <w:rPr>
          <w:rStyle w:val="VerbatimChar"/>
        </w:rPr>
        <w:t xml:space="preserve">SET</w:t>
      </w:r>
      <w:r>
        <w:t xml:space="preserve">,</w:t>
      </w:r>
      <w:r>
        <w:t xml:space="preserve"> </w:t>
      </w:r>
      <w:r>
        <w:rPr>
          <w:rStyle w:val="VerbatimChar"/>
        </w:rPr>
        <w:t xml:space="preserve">LISTEN</w:t>
      </w:r>
      <w:r>
        <w:t xml:space="preserve">, session advisory locks, temporary tables and</w:t>
      </w:r>
      <w:r>
        <w:t xml:space="preserve"> </w:t>
      </w:r>
      <w:r>
        <w:rPr>
          <w:rStyle w:val="VerbatimChar"/>
        </w:rPr>
        <w:t xml:space="preserve">WITH HOLD</w:t>
      </w:r>
      <w:r>
        <w:t xml:space="preserve"> </w:t>
      </w:r>
      <w:r>
        <w:t xml:space="preserve">cursors (and protocol prepared statements before PgBouncer 1.21).</w:t>
      </w:r>
    </w:p>
    <w:bookmarkEnd w:id="1678"/>
    <w:bookmarkStart w:id="1682" w:name="interview-questions-13"/>
    <w:p>
      <w:pPr>
        <w:pStyle w:val="Heading2"/>
      </w:pPr>
      <w:r>
        <w:t xml:space="preserve">14.16 Interview questions</w:t>
      </w:r>
    </w:p>
    <w:bookmarkStart w:id="1679" w:name="basic-13"/>
    <w:p>
      <w:pPr>
        <w:pStyle w:val="Heading3"/>
      </w:pPr>
      <w:r>
        <w:t xml:space="preserve">Basic</w:t>
      </w:r>
    </w:p>
    <w:p>
      <w:pPr>
        <w:pStyle w:val="FirstParagraph"/>
      </w:pPr>
      <w:r>
        <w:rPr>
          <w:bCs/>
          <w:b/>
        </w:rPr>
        <w:t xml:space="preserve">Q1. When would you add read replicas, and when would you shard?</w:t>
      </w:r>
      <w:r>
        <w:t xml:space="preserve"> </w:t>
      </w:r>
      <w:r>
        <w:rPr>
          <w:bCs/>
          <w:b/>
        </w:rPr>
        <w:t xml:space="preserve">Answer.</w:t>
      </w:r>
      <w:r>
        <w:t xml:space="preserve"> </w:t>
      </w:r>
      <w:r>
        <w:t xml:space="preserve">Add replicas when reads dominate, can tolerate some staleness and the primary has write headroom; they also provide failover. Shard when writes, data size or working set exceed one primary, or when applying writes consumes most of each replica’s budget. State the read/write ratio, freshness needs and growth, then show which limit binds using the shard-count formula.</w:t>
      </w:r>
    </w:p>
    <w:p>
      <w:pPr>
        <w:pStyle w:val="BodyText"/>
      </w:pPr>
      <w:r>
        <w:rPr>
          <w:bCs/>
          <w:b/>
        </w:rPr>
        <w:t xml:space="preserve">Q2. Explain consistent hashing and why virtual nodes are used.</w:t>
      </w:r>
      <w:r>
        <w:t xml:space="preserve"> </w:t>
      </w:r>
      <w:r>
        <w:rPr>
          <w:bCs/>
          <w:b/>
        </w:rPr>
        <w:t xml:space="preserve">Answer.</w:t>
      </w:r>
      <w:r>
        <w:t xml:space="preserve"> </w:t>
      </w:r>
      <w:r>
        <w:t xml:space="preserve">Keys and nodes hash onto a ring; each key belongs to the next node clockwise, so adding a node moves only about</w:t>
      </w:r>
      <w:r>
        <w:t xml:space="preserve"> </w:t>
      </w:r>
      <m:oMath>
        <m:r>
          <m:t>K</m:t>
        </m:r>
        <m:r>
          <m:rPr>
            <m:sty m:val="p"/>
          </m:rPr>
          <m:t>/</m:t>
        </m:r>
        <m:d>
          <m:dPr>
            <m:begChr m:val="("/>
            <m:endChr m:val=")"/>
            <m:sepChr m:val=""/>
            <m:grow/>
          </m:dPr>
          <m:e>
            <m:r>
              <m:t>N</m:t>
            </m:r>
            <m:r>
              <m:rPr>
                <m:sty m:val="p"/>
              </m:rPr>
              <m:t>+</m:t>
            </m:r>
            <m:r>
              <m:t>1</m:t>
            </m:r>
          </m:e>
        </m:d>
      </m:oMath>
      <w:r>
        <w:t xml:space="preserve"> </w:t>
      </w:r>
      <w:r>
        <w:t xml:space="preserve">keys, all to the new node, versus nearly all under mod-N. With one position per node, shares vary widely (busiest about</w:t>
      </w:r>
      <w:r>
        <w:t xml:space="preserve"> </w:t>
      </w:r>
      <m:oMath>
        <m:sSub>
          <m:e>
            <m:r>
              <m:t>H</m:t>
            </m:r>
          </m:e>
          <m:sub>
            <m:r>
              <m:t>N</m:t>
            </m:r>
          </m:sub>
        </m:sSub>
      </m:oMath>
      <w:r>
        <w:t xml:space="preserve"> </w:t>
      </w:r>
      <w:r>
        <w:t xml:space="preserve">times fair). With</w:t>
      </w:r>
      <w:r>
        <w:t xml:space="preserve"> </w:t>
      </w:r>
      <m:oMath>
        <m:r>
          <m:t>V</m:t>
        </m:r>
      </m:oMath>
      <w:r>
        <w:t xml:space="preserve"> </w:t>
      </w:r>
      <w:r>
        <w:t xml:space="preserve">random vnodes each share is a sum of</w:t>
      </w:r>
      <w:r>
        <w:t xml:space="preserve"> </w:t>
      </w:r>
      <m:oMath>
        <m:r>
          <m:t>V</m:t>
        </m:r>
      </m:oMath>
      <w:r>
        <w:t xml:space="preserve"> </w:t>
      </w:r>
      <w:r>
        <w:t xml:space="preserve">arcs, CV</w:t>
      </w:r>
      <w:r>
        <w:t xml:space="preserve"> </w:t>
      </w:r>
      <m:oMath>
        <m:r>
          <m:rPr>
            <m:sty m:val="p"/>
          </m:rPr>
          <m:t>≈</m:t>
        </m:r>
        <m:r>
          <m:t>1</m:t>
        </m:r>
        <m:r>
          <m:rPr>
            <m:sty m:val="p"/>
          </m:rPr>
          <m:t>/</m:t>
        </m:r>
        <m:rad>
          <m:radPr>
            <m:degHide m:val="on"/>
          </m:radPr>
          <m:deg/>
          <m:e>
            <m:r>
              <m:t>V</m:t>
            </m:r>
          </m:e>
        </m:rad>
      </m:oMath>
      <w:r>
        <w:t xml:space="preserve">, and a failed node’s load spreads over many survivors. Mention weights, preference lists and the alternatives (jump, rendezvous, bounded loads).</w:t>
      </w:r>
    </w:p>
    <w:bookmarkEnd w:id="1679"/>
    <w:bookmarkStart w:id="1680" w:name="intermediate-13"/>
    <w:p>
      <w:pPr>
        <w:pStyle w:val="Heading3"/>
      </w:pPr>
      <w:r>
        <w:t xml:space="preserve">Intermediate</w:t>
      </w:r>
    </w:p>
    <w:p>
      <w:pPr>
        <w:pStyle w:val="FirstParagraph"/>
      </w:pPr>
      <w:r>
        <w:rPr>
          <w:bCs/>
          <w:b/>
        </w:rPr>
        <w:t xml:space="preserve">Q3. Choose a shard key for a B2B SaaS product where one customer is 500× the median.</w:t>
      </w:r>
      <w:r>
        <w:t xml:space="preserve"> </w:t>
      </w:r>
      <w:r>
        <w:rPr>
          <w:bCs/>
          <w:b/>
        </w:rPr>
        <w:t xml:space="preserve">Answer.</w:t>
      </w:r>
      <w:r>
        <w:t xml:space="preserve"> </w:t>
      </w:r>
      <w:r>
        <w:rPr>
          <w:rStyle w:val="VerbatimChar"/>
        </w:rPr>
        <w:t xml:space="preserve">tenant_id</w:t>
      </w:r>
      <w:r>
        <w:t xml:space="preserve">, because nearly all queries and transactions are tenant-scoped, giving locality, isolation and per-tenant deletion. Hash tenants into many logical shards mapped to physical clusters by a directory, put the giant on a dedicated cluster via an override, and if it outgrows that, sub-partition it by a second key such as project. Discuss cross-tenant analytics (move to a warehouse), routing cache staleness and fencing, and the resharding procedure.</w:t>
      </w:r>
    </w:p>
    <w:p>
      <w:pPr>
        <w:pStyle w:val="BodyText"/>
      </w:pPr>
      <w:r>
        <w:rPr>
          <w:bCs/>
          <w:b/>
        </w:rPr>
        <w:t xml:space="preserve">Q4. Users report that a post disappears right after they publish it, then reappears. Diagnose and fix.</w:t>
      </w:r>
      <w:r>
        <w:t xml:space="preserve"> </w:t>
      </w:r>
      <w:r>
        <w:rPr>
          <w:bCs/>
          <w:b/>
        </w:rPr>
        <w:t xml:space="preserve">Answer.</w:t>
      </w:r>
      <w:r>
        <w:t xml:space="preserve"> </w:t>
      </w:r>
      <w:r>
        <w:t xml:space="preserve">Reads after the write are served by lagging asynchronous replicas: a read-your-writes violation. Confirm with lag metrics and request traces. Fixes: return the commit LSN/GTID and read only from replicas that have applied it (or wait briefly), or route the author’s reads to the primary for a window; add sticky sessions for monotonic reads. Keep lagging replicas out of rotation and investigate why lag spikes (single-threaded apply, bulk jobs).</w:t>
      </w:r>
    </w:p>
    <w:bookmarkEnd w:id="1680"/>
    <w:bookmarkStart w:id="1681" w:name="advanced-13"/>
    <w:p>
      <w:pPr>
        <w:pStyle w:val="Heading3"/>
      </w:pPr>
      <w:r>
        <w:t xml:space="preserve">Advanced</w:t>
      </w:r>
    </w:p>
    <w:p>
      <w:pPr>
        <w:pStyle w:val="FirstParagraph"/>
      </w:pPr>
      <w:r>
        <w:rPr>
          <w:bCs/>
          <w:b/>
        </w:rPr>
        <w:t xml:space="preserve">Q5. Reshard a live 40 TB MySQL fleet from 8 to 32 shards with no more than seconds of write downtime.</w:t>
      </w:r>
      <w:r>
        <w:t xml:space="preserve"> </w:t>
      </w:r>
      <w:r>
        <w:rPr>
          <w:bCs/>
          <w:b/>
        </w:rPr>
        <w:t xml:space="preserve">Answer.</w:t>
      </w:r>
      <w:r>
        <w:t xml:space="preserve"> </w:t>
      </w:r>
      <w:r>
        <w:t xml:space="preserve">Introduce a routing layer (Vitess, or a proxy plus directory) if one does not exist. Choose logical shards so future growth needs only moves. For each source shard: start binlog-based capture, snapshot and backfill the target ranges with throttling, catch up, verify with checksums and shadow reads, switch reads, then freeze writes for seconds, wait for the final position, switch writes and fence the source, keeping reverse replication for rollback. Estimate time: splitting each shard into four moves three quarters of the data, 30 TB; at 150 MB/s per stream with 8 streams in parallel that is about 7 hours of copy plus catch-up. Address hot shards, cross-shard queries during transition, and monitoring of lag and p99.</w:t>
      </w:r>
    </w:p>
    <w:p>
      <w:pPr>
        <w:pStyle w:val="BodyText"/>
      </w:pPr>
      <w:r>
        <w:rPr>
          <w:bCs/>
          <w:b/>
        </w:rPr>
        <w:t xml:space="preserve">Q6. Your ring-partitioned store has 200 nodes with 32 random vnodes each, and the busiest node runs at 1.6× the mean. Is that expected, and what would you do?</w:t>
      </w:r>
      <w:r>
        <w:t xml:space="preserve"> </w:t>
      </w:r>
      <w:r>
        <w:rPr>
          <w:bCs/>
          <w:b/>
        </w:rPr>
        <w:t xml:space="preserve">Answer.</w:t>
      </w:r>
      <w:r>
        <w:t xml:space="preserve"> </w:t>
      </w:r>
      <w:r>
        <w:t xml:space="preserve">CV</w:t>
      </w:r>
      <w:r>
        <w:t xml:space="preserve"> </w:t>
      </w:r>
      <m:oMath>
        <m:r>
          <m:rPr>
            <m:sty m:val="p"/>
          </m:rPr>
          <m:t>=</m:t>
        </m:r>
        <m:rad>
          <m:radPr>
            <m:degHide m:val="on"/>
          </m:radPr>
          <m:deg/>
          <m:e>
            <m:r>
              <m:t>199</m:t>
            </m:r>
            <m:r>
              <m:rPr>
                <m:sty m:val="p"/>
              </m:rPr>
              <m:t>/</m:t>
            </m:r>
            <m:r>
              <m:t>6401</m:t>
            </m:r>
          </m:e>
        </m:rad>
        <m:r>
          <m:rPr>
            <m:sty m:val="p"/>
          </m:rPr>
          <m:t>≈</m:t>
        </m:r>
        <m:r>
          <m:t>0.176</m:t>
        </m:r>
      </m:oMath>
      <w:r>
        <w:t xml:space="preserve">, and</w:t>
      </w:r>
      <w:r>
        <w:t xml:space="preserve"> </w:t>
      </w:r>
      <m:oMath>
        <m:sSub>
          <m:e>
            <m:r>
              <m:t>z</m:t>
            </m:r>
          </m:e>
          <m:sub>
            <m:r>
              <m:t>200</m:t>
            </m:r>
          </m:sub>
        </m:sSub>
        <m:r>
          <m:rPr>
            <m:sty m:val="p"/>
          </m:rPr>
          <m:t>≈</m:t>
        </m:r>
        <m:r>
          <m:t>2.7</m:t>
        </m:r>
      </m:oMath>
      <w:r>
        <w:t xml:space="preserve">, so the expected busiest node is about</w:t>
      </w:r>
      <w:r>
        <w:t xml:space="preserve"> </w:t>
      </w:r>
      <m:oMath>
        <m:r>
          <m:t>1</m:t>
        </m:r>
        <m:r>
          <m:rPr>
            <m:sty m:val="p"/>
          </m:rPr>
          <m:t>+</m:t>
        </m:r>
        <m:r>
          <m:t>2.7</m:t>
        </m:r>
        <m:r>
          <m:rPr>
            <m:sty m:val="p"/>
          </m:rPr>
          <m:t>×</m:t>
        </m:r>
        <m:r>
          <m:t>0.176</m:t>
        </m:r>
        <m:r>
          <m:rPr>
            <m:sty m:val="p"/>
          </m:rPr>
          <m:t>≈</m:t>
        </m:r>
        <m:r>
          <m:t>1.48</m:t>
        </m:r>
        <m:r>
          <m:rPr>
            <m:sty m:val="p"/>
          </m:rPr>
          <m:t>×</m:t>
        </m:r>
      </m:oMath>
      <w:r>
        <w:t xml:space="preserve">; 1.6× is plausible from randomness alone, though request skew may contribute, so check per-key heat first. To reduce imbalance: raise</w:t>
      </w:r>
      <w:r>
        <w:t xml:space="preserve"> </w:t>
      </w:r>
      <m:oMath>
        <m:r>
          <m:t>V</m:t>
        </m:r>
      </m:oMath>
      <w:r>
        <w:t xml:space="preserve"> </w:t>
      </w:r>
      <w:r>
        <w:t xml:space="preserve">(to reach 1.1× needs about</w:t>
      </w:r>
      <w:r>
        <w:t xml:space="preserve"> </w:t>
      </w:r>
      <m:oMath>
        <m:sSup>
          <m:e>
            <m:d>
              <m:dPr>
                <m:begChr m:val="("/>
                <m:endChr m:val=")"/>
                <m:sepChr m:val=""/>
                <m:grow/>
              </m:dPr>
              <m:e>
                <m:r>
                  <m:t>2.7</m:t>
                </m:r>
                <m:r>
                  <m:rPr>
                    <m:sty m:val="p"/>
                  </m:rPr>
                  <m:t>/</m:t>
                </m:r>
                <m:r>
                  <m:t>0.1</m:t>
                </m:r>
              </m:e>
            </m:d>
          </m:e>
          <m:sup>
            <m:r>
              <m:t>2</m:t>
            </m:r>
          </m:sup>
        </m:sSup>
        <m:r>
          <m:rPr>
            <m:sty m:val="p"/>
          </m:rPr>
          <m:t>≈</m:t>
        </m:r>
        <m:r>
          <m:t>730</m:t>
        </m:r>
      </m:oMath>
      <w:r>
        <w:t xml:space="preserve"> </w:t>
      </w:r>
      <w:r>
        <w:t xml:space="preserve">vnodes, with repair and streaming costs), allocate tokens deliberately, move to fixed equal-sized partitions, or use bounded-load assignment. For hot keys, salt or cache instead.</w:t>
      </w:r>
    </w:p>
    <w:bookmarkEnd w:id="1681"/>
    <w:bookmarkEnd w:id="1682"/>
    <w:bookmarkStart w:id="1683" w:name="practical-exercises-13"/>
    <w:p>
      <w:pPr>
        <w:pStyle w:val="Heading2"/>
      </w:pPr>
      <w:r>
        <w:t xml:space="preserve">14.17 Practical exercises</w:t>
      </w:r>
    </w:p>
    <w:p>
      <w:pPr>
        <w:numPr>
          <w:ilvl w:val="0"/>
          <w:numId w:val="1500"/>
        </w:numPr>
        <w:pStyle w:val="Compact"/>
      </w:pPr>
      <w:r>
        <w:t xml:space="preserve">Extend the ring in §14.8.3 with zone awareness so that a preference list never places two replicas in one zone. Measure the balance cost.</w:t>
      </w:r>
    </w:p>
    <w:p>
      <w:pPr>
        <w:numPr>
          <w:ilvl w:val="0"/>
          <w:numId w:val="1500"/>
        </w:numPr>
        <w:pStyle w:val="Compact"/>
      </w:pPr>
      <w:r>
        <w:t xml:space="preserve">Modify the experiment in §14.8.4 to measure the busiest node for</w:t>
      </w:r>
      <w:r>
        <w:t xml:space="preserve"> </w:t>
      </w:r>
      <m:oMath>
        <m:r>
          <m:t>N</m:t>
        </m:r>
        <m:r>
          <m:rPr>
            <m:sty m:val="p"/>
          </m:rPr>
          <m:t>=</m:t>
        </m:r>
        <m:r>
          <m:t>1</m:t>
        </m:r>
        <m:r>
          <m:rPr>
            <m:sty m:val="p"/>
          </m:rPr>
          <m:t>,</m:t>
        </m:r>
        <m:r>
          <m:t>000</m:t>
        </m:r>
      </m:oMath>
      <w:r>
        <w:t xml:space="preserve"> </w:t>
      </w:r>
      <w:r>
        <w:t xml:space="preserve">and compare with</w:t>
      </w:r>
      <w:r>
        <w:t xml:space="preserve"> </w:t>
      </w:r>
      <m:oMath>
        <m:r>
          <m:t>1</m:t>
        </m:r>
        <m:r>
          <m:rPr>
            <m:sty m:val="p"/>
          </m:rPr>
          <m:t>+</m:t>
        </m:r>
        <m:sSub>
          <m:e>
            <m:r>
              <m:t>z</m:t>
            </m:r>
          </m:e>
          <m:sub>
            <m:r>
              <m:t>N</m:t>
            </m:r>
          </m:sub>
        </m:sSub>
        <m:r>
          <m:rPr>
            <m:sty m:val="p"/>
          </m:rPr>
          <m:t>⋅</m:t>
        </m:r>
        <m:r>
          <m:rPr>
            <m:nor/>
            <m:sty m:val="p"/>
          </m:rPr>
          <m:t>CV</m:t>
        </m:r>
      </m:oMath>
      <w:r>
        <w:t xml:space="preserve">.</w:t>
      </w:r>
    </w:p>
    <w:p>
      <w:pPr>
        <w:numPr>
          <w:ilvl w:val="0"/>
          <w:numId w:val="1500"/>
        </w:numPr>
        <w:pStyle w:val="Compact"/>
      </w:pPr>
      <w:r>
        <w:t xml:space="preserve">Implement weighted rendezvous hashing and verify that a weight-2 node receives twice the keys of a weight-1 node.</w:t>
      </w:r>
    </w:p>
    <w:p>
      <w:pPr>
        <w:numPr>
          <w:ilvl w:val="0"/>
          <w:numId w:val="1500"/>
        </w:numPr>
        <w:pStyle w:val="Compact"/>
      </w:pPr>
      <w:r>
        <w:t xml:space="preserve">Set up PostgreSQL with one streaming standby, run</w:t>
      </w:r>
      <w:r>
        <w:t xml:space="preserve"> </w:t>
      </w:r>
      <w:r>
        <w:rPr>
          <w:rStyle w:val="VerbatimChar"/>
        </w:rPr>
        <w:t xml:space="preserve">pgbench</w:t>
      </w:r>
      <w:r>
        <w:t xml:space="preserve">, and measure commit latency under</w:t>
      </w:r>
      <w:r>
        <w:t xml:space="preserve"> </w:t>
      </w:r>
      <w:r>
        <w:rPr>
          <w:rStyle w:val="VerbatimChar"/>
        </w:rPr>
        <w:t xml:space="preserve">synchronous_commit</w:t>
      </w:r>
      <w:r>
        <w:t xml:space="preserve"> </w:t>
      </w:r>
      <w:r>
        <w:t xml:space="preserve">set to</w:t>
      </w:r>
      <w:r>
        <w:t xml:space="preserve"> </w:t>
      </w:r>
      <w:r>
        <w:rPr>
          <w:rStyle w:val="VerbatimChar"/>
        </w:rPr>
        <w:t xml:space="preserve">local</w:t>
      </w:r>
      <w:r>
        <w:t xml:space="preserve">,</w:t>
      </w:r>
      <w:r>
        <w:t xml:space="preserve"> </w:t>
      </w:r>
      <w:r>
        <w:rPr>
          <w:rStyle w:val="VerbatimChar"/>
        </w:rPr>
        <w:t xml:space="preserve">on</w:t>
      </w:r>
      <w:r>
        <w:t xml:space="preserve"> </w:t>
      </w:r>
      <w:r>
        <w:t xml:space="preserve">and</w:t>
      </w:r>
      <w:r>
        <w:t xml:space="preserve"> </w:t>
      </w:r>
      <w:r>
        <w:rPr>
          <w:rStyle w:val="VerbatimChar"/>
        </w:rPr>
        <w:t xml:space="preserve">remote_apply</w:t>
      </w:r>
      <w:r>
        <w:t xml:space="preserve">.</w:t>
      </w:r>
    </w:p>
    <w:p>
      <w:pPr>
        <w:numPr>
          <w:ilvl w:val="0"/>
          <w:numId w:val="1500"/>
        </w:numPr>
        <w:pStyle w:val="Compact"/>
      </w:pPr>
      <w:r>
        <w:t xml:space="preserve">Put PgBouncer in front of PostgreSQL in transaction mode and demonstrate one session-state feature that breaks; then fix the application code.</w:t>
      </w:r>
    </w:p>
    <w:bookmarkEnd w:id="1683"/>
    <w:bookmarkStart w:id="1684" w:name="design-challenges-13"/>
    <w:p>
      <w:pPr>
        <w:pStyle w:val="Heading2"/>
      </w:pPr>
      <w:r>
        <w:t xml:space="preserve">14.18 Design challenges</w:t>
      </w:r>
    </w:p>
    <w:p>
      <w:pPr>
        <w:numPr>
          <w:ilvl w:val="0"/>
          <w:numId w:val="1501"/>
        </w:numPr>
        <w:pStyle w:val="Compact"/>
      </w:pPr>
      <w:r>
        <w:rPr>
          <w:bCs/>
          <w:b/>
        </w:rPr>
        <w:t xml:space="preserve">Global chat history.</w:t>
      </w:r>
      <w:r>
        <w:t xml:space="preserve"> </w:t>
      </w:r>
      <w:r>
        <w:t xml:space="preserve">500 million messages per day, channels from two members to 2 million. Choose partition keys, bounded partitions and indexes for</w:t>
      </w:r>
      <w:r>
        <w:t xml:space="preserve"> </w:t>
      </w:r>
      <w:r>
        <w:t xml:space="preserve">“</w:t>
      </w:r>
      <w:r>
        <w:t xml:space="preserve">latest 50 messages in channel</w:t>
      </w:r>
      <w:r>
        <w:t xml:space="preserve">”</w:t>
      </w:r>
      <w:r>
        <w:t xml:space="preserve"> </w:t>
      </w:r>
      <w:r>
        <w:t xml:space="preserve">and</w:t>
      </w:r>
      <w:r>
        <w:t xml:space="preserve"> </w:t>
      </w:r>
      <w:r>
        <w:t xml:space="preserve">“</w:t>
      </w:r>
      <w:r>
        <w:t xml:space="preserve">search my messages</w:t>
      </w:r>
      <w:r>
        <w:t xml:space="preserve">”</w:t>
      </w:r>
      <w:r>
        <w:t xml:space="preserve">.</w:t>
      </w:r>
    </w:p>
    <w:p>
      <w:pPr>
        <w:numPr>
          <w:ilvl w:val="0"/>
          <w:numId w:val="1501"/>
        </w:numPr>
        <w:pStyle w:val="Compact"/>
      </w:pPr>
      <w:r>
        <w:rPr>
          <w:bCs/>
          <w:b/>
        </w:rPr>
        <w:t xml:space="preserve">Multi-region SaaS with residency.</w:t>
      </w:r>
      <w:r>
        <w:t xml:space="preserve"> </w:t>
      </w:r>
      <w:r>
        <w:t xml:space="preserve">EU tenants’ data must stay in the EU, writes must be local, and tenants occasionally move region. Combine list partitioning, directories and the migration procedure of §14.9.5.</w:t>
      </w:r>
    </w:p>
    <w:p>
      <w:pPr>
        <w:numPr>
          <w:ilvl w:val="0"/>
          <w:numId w:val="1501"/>
        </w:numPr>
        <w:pStyle w:val="Compact"/>
      </w:pPr>
      <w:r>
        <w:rPr>
          <w:bCs/>
          <w:b/>
        </w:rPr>
        <w:t xml:space="preserve">Flash-sale inventory.</w:t>
      </w:r>
      <w:r>
        <w:t xml:space="preserve"> </w:t>
      </w:r>
      <w:r>
        <w:t xml:space="preserve">One product receives 200,000 purchase attempts per second for 5 minutes. Design inventory decrements that neither oversell nor saturate one partition.</w:t>
      </w:r>
    </w:p>
    <w:bookmarkEnd w:id="1684"/>
    <w:bookmarkStart w:id="1685" w:name="references-13"/>
    <w:p>
      <w:pPr>
        <w:pStyle w:val="Heading2"/>
      </w:pPr>
      <w:r>
        <w:t xml:space="preserve">14.19 References</w:t>
      </w:r>
    </w:p>
    <w:p>
      <w:pPr>
        <w:numPr>
          <w:ilvl w:val="0"/>
          <w:numId w:val="1502"/>
        </w:numPr>
        <w:pStyle w:val="Compact"/>
      </w:pPr>
      <w:r>
        <w:t xml:space="preserve">Karger, D., Lehman, E., Leighton, T., Panigrahy, R., Levine, M., Lewin, D.</w:t>
      </w:r>
      <w:r>
        <w:t xml:space="preserve"> </w:t>
      </w:r>
      <w:r>
        <w:rPr>
          <w:iCs/>
          <w:i/>
        </w:rPr>
        <w:t xml:space="preserve">Consistent Hashing and Random Trees: Distributed Caching Protocols for Relieving Hot Spots on the World Wide Web</w:t>
      </w:r>
      <w:r>
        <w:t xml:space="preserve">. ACM STOC, 1997.</w:t>
      </w:r>
    </w:p>
    <w:p>
      <w:pPr>
        <w:numPr>
          <w:ilvl w:val="0"/>
          <w:numId w:val="1502"/>
        </w:numPr>
        <w:pStyle w:val="Compact"/>
      </w:pPr>
      <w:r>
        <w:t xml:space="preserve">Lamping, J., Veach, E.</w:t>
      </w:r>
      <w:r>
        <w:t xml:space="preserve"> </w:t>
      </w:r>
      <w:r>
        <w:rPr>
          <w:iCs/>
          <w:i/>
        </w:rPr>
        <w:t xml:space="preserve">A Fast, Minimal Memory, Consistent Hash Algorithm</w:t>
      </w:r>
      <w:r>
        <w:t xml:space="preserve">. arXiv:1406.2294, 2014. https://arxiv.org/abs/1406.2294</w:t>
      </w:r>
    </w:p>
    <w:p>
      <w:pPr>
        <w:numPr>
          <w:ilvl w:val="0"/>
          <w:numId w:val="1502"/>
        </w:numPr>
        <w:pStyle w:val="Compact"/>
      </w:pPr>
      <w:r>
        <w:t xml:space="preserve">Thaler, D. G., Ravishankar, C. V.</w:t>
      </w:r>
      <w:r>
        <w:t xml:space="preserve"> </w:t>
      </w:r>
      <w:r>
        <w:rPr>
          <w:iCs/>
          <w:i/>
        </w:rPr>
        <w:t xml:space="preserve">Using Name-Based Mappings to Increase Hit Rates</w:t>
      </w:r>
      <w:r>
        <w:t xml:space="preserve">. IEEE/ACM Transactions on Networking 6(1), 1998.</w:t>
      </w:r>
    </w:p>
    <w:p>
      <w:pPr>
        <w:numPr>
          <w:ilvl w:val="0"/>
          <w:numId w:val="1502"/>
        </w:numPr>
        <w:pStyle w:val="Compact"/>
      </w:pPr>
      <w:r>
        <w:t xml:space="preserve">DeCandia, G., et al. </w:t>
      </w:r>
      <w:r>
        <w:rPr>
          <w:iCs/>
          <w:i/>
        </w:rPr>
        <w:t xml:space="preserve">Dynamo: Amazon’s Highly Available Key-value Store</w:t>
      </w:r>
      <w:r>
        <w:t xml:space="preserve">. SOSP, 2007.</w:t>
      </w:r>
    </w:p>
    <w:p>
      <w:pPr>
        <w:numPr>
          <w:ilvl w:val="0"/>
          <w:numId w:val="1502"/>
        </w:numPr>
        <w:pStyle w:val="Compact"/>
      </w:pPr>
      <w:r>
        <w:t xml:space="preserve">Kleppmann, M.</w:t>
      </w:r>
      <w:r>
        <w:t xml:space="preserve"> </w:t>
      </w:r>
      <w:r>
        <w:rPr>
          <w:iCs/>
          <w:i/>
        </w:rPr>
        <w:t xml:space="preserve">Designing Data-Intensive Applications</w:t>
      </w:r>
      <w:r>
        <w:t xml:space="preserve"> </w:t>
      </w:r>
      <w:r>
        <w:t xml:space="preserve">(Ch. 5</w:t>
      </w:r>
      <w:r>
        <w:t xml:space="preserve"> </w:t>
      </w:r>
      <w:r>
        <w:t xml:space="preserve">“</w:t>
      </w:r>
      <w:r>
        <w:t xml:space="preserve">Replication</w:t>
      </w:r>
      <w:r>
        <w:t xml:space="preserve">”</w:t>
      </w:r>
      <w:r>
        <w:t xml:space="preserve">, Ch. 6</w:t>
      </w:r>
      <w:r>
        <w:t xml:space="preserve"> </w:t>
      </w:r>
      <w:r>
        <w:t xml:space="preserve">“</w:t>
      </w:r>
      <w:r>
        <w:t xml:space="preserve">Partitioning</w:t>
      </w:r>
      <w:r>
        <w:t xml:space="preserve">”</w:t>
      </w:r>
      <w:r>
        <w:t xml:space="preserve">). O’Reilly, 2017.</w:t>
      </w:r>
    </w:p>
    <w:p>
      <w:pPr>
        <w:numPr>
          <w:ilvl w:val="0"/>
          <w:numId w:val="1502"/>
        </w:numPr>
        <w:pStyle w:val="Compact"/>
      </w:pPr>
      <w:r>
        <w:t xml:space="preserve">Lakshman, A., Malik, P.</w:t>
      </w:r>
      <w:r>
        <w:t xml:space="preserve"> </w:t>
      </w:r>
      <w:r>
        <w:rPr>
          <w:iCs/>
          <w:i/>
        </w:rPr>
        <w:t xml:space="preserve">Cassandra: A Decentralized Structured Storage System</w:t>
      </w:r>
      <w:r>
        <w:t xml:space="preserve">. ACM SIGOPS Operating Systems Review 44(2), 2010.</w:t>
      </w:r>
    </w:p>
    <w:p>
      <w:pPr>
        <w:numPr>
          <w:ilvl w:val="0"/>
          <w:numId w:val="1502"/>
        </w:numPr>
        <w:pStyle w:val="Compact"/>
      </w:pPr>
      <w:r>
        <w:t xml:space="preserve">Chang, F., et al. </w:t>
      </w:r>
      <w:r>
        <w:rPr>
          <w:iCs/>
          <w:i/>
        </w:rPr>
        <w:t xml:space="preserve">Bigtable: A Distributed Storage System for Structured Data</w:t>
      </w:r>
      <w:r>
        <w:t xml:space="preserve">. OSDI, 2006.</w:t>
      </w:r>
    </w:p>
    <w:p>
      <w:pPr>
        <w:numPr>
          <w:ilvl w:val="0"/>
          <w:numId w:val="1502"/>
        </w:numPr>
        <w:pStyle w:val="Compact"/>
      </w:pPr>
      <w:r>
        <w:t xml:space="preserve">David, H. A., Nagaraja, H. N.</w:t>
      </w:r>
      <w:r>
        <w:t xml:space="preserve"> </w:t>
      </w:r>
      <w:r>
        <w:rPr>
          <w:iCs/>
          <w:i/>
        </w:rPr>
        <w:t xml:space="preserve">Order Statistics</w:t>
      </w:r>
      <w:r>
        <w:t xml:space="preserve"> </w:t>
      </w:r>
      <w:r>
        <w:t xml:space="preserve">(3rd ed.). Wiley, 2003.</w:t>
      </w:r>
    </w:p>
    <w:p>
      <w:pPr>
        <w:numPr>
          <w:ilvl w:val="0"/>
          <w:numId w:val="1502"/>
        </w:numPr>
        <w:pStyle w:val="Compact"/>
      </w:pPr>
      <w:r>
        <w:t xml:space="preserve">Eisenbud, D. E., et al. </w:t>
      </w:r>
      <w:r>
        <w:rPr>
          <w:iCs/>
          <w:i/>
        </w:rPr>
        <w:t xml:space="preserve">Maglev: A Fast and Reliable Software Network Load Balancer</w:t>
      </w:r>
      <w:r>
        <w:t xml:space="preserve">. NSDI, 2016.</w:t>
      </w:r>
    </w:p>
    <w:p>
      <w:pPr>
        <w:numPr>
          <w:ilvl w:val="0"/>
          <w:numId w:val="1502"/>
        </w:numPr>
        <w:pStyle w:val="Compact"/>
      </w:pPr>
      <w:r>
        <w:t xml:space="preserve">Mirrokni, V., Thorup, M., Zadimoghaddam, M.</w:t>
      </w:r>
      <w:r>
        <w:t xml:space="preserve"> </w:t>
      </w:r>
      <w:r>
        <w:rPr>
          <w:iCs/>
          <w:i/>
        </w:rPr>
        <w:t xml:space="preserve">Consistent Hashing with Bounded Loads</w:t>
      </w:r>
      <w:r>
        <w:t xml:space="preserve">. ACM-SIAM SODA, 2018. https://arxiv.org/abs/1608.01350</w:t>
      </w:r>
    </w:p>
    <w:p>
      <w:pPr>
        <w:numPr>
          <w:ilvl w:val="0"/>
          <w:numId w:val="1502"/>
        </w:numPr>
        <w:pStyle w:val="Compact"/>
      </w:pPr>
      <w:r>
        <w:t xml:space="preserve">Elhemali, M., et al. </w:t>
      </w:r>
      <w:r>
        <w:rPr>
          <w:iCs/>
          <w:i/>
        </w:rPr>
        <w:t xml:space="preserve">Amazon DynamoDB: A Scalable, Predictably Performant, and Fully Managed NoSQL Database Service</w:t>
      </w:r>
      <w:r>
        <w:t xml:space="preserve">. USENIX ATC, 2022.</w:t>
      </w:r>
    </w:p>
    <w:p>
      <w:pPr>
        <w:numPr>
          <w:ilvl w:val="0"/>
          <w:numId w:val="1502"/>
        </w:numPr>
        <w:pStyle w:val="Compact"/>
      </w:pPr>
      <w:r>
        <w:t xml:space="preserve">Fidalgo, G.</w:t>
      </w:r>
      <w:r>
        <w:t xml:space="preserve"> </w:t>
      </w:r>
      <w:r>
        <w:rPr>
          <w:iCs/>
          <w:i/>
        </w:rPr>
        <w:t xml:space="preserve">Herding Elephants: Lessons Learned from Sharding Postgres at Notion</w:t>
      </w:r>
      <w:r>
        <w:t xml:space="preserve">. Notion Blog, 2021. https://www.notion.com/blog/sharding-postgres-at-notion</w:t>
      </w:r>
    </w:p>
    <w:p>
      <w:pPr>
        <w:numPr>
          <w:ilvl w:val="0"/>
          <w:numId w:val="1502"/>
        </w:numPr>
        <w:pStyle w:val="Compact"/>
      </w:pPr>
      <w:r>
        <w:t xml:space="preserve">Instagram Engineering.</w:t>
      </w:r>
      <w:r>
        <w:t xml:space="preserve"> </w:t>
      </w:r>
      <w:r>
        <w:rPr>
          <w:iCs/>
          <w:i/>
        </w:rPr>
        <w:t xml:space="preserve">Sharding &amp; IDs at Instagram</w:t>
      </w:r>
      <w:r>
        <w:t xml:space="preserve">. Instagram Engineering Blog, 2012.</w:t>
      </w:r>
    </w:p>
    <w:p>
      <w:pPr>
        <w:numPr>
          <w:ilvl w:val="0"/>
          <w:numId w:val="1502"/>
        </w:numPr>
        <w:pStyle w:val="Compact"/>
      </w:pPr>
      <w:r>
        <w:t xml:space="preserve">Discord Engineering.</w:t>
      </w:r>
      <w:r>
        <w:t xml:space="preserve"> </w:t>
      </w:r>
      <w:r>
        <w:rPr>
          <w:iCs/>
          <w:i/>
        </w:rPr>
        <w:t xml:space="preserve">How Discord Stores Billions of Messages</w:t>
      </w:r>
      <w:r>
        <w:t xml:space="preserve">. Discord Blog, 2017.</w:t>
      </w:r>
    </w:p>
    <w:p>
      <w:pPr>
        <w:numPr>
          <w:ilvl w:val="0"/>
          <w:numId w:val="1502"/>
        </w:numPr>
        <w:pStyle w:val="Compact"/>
      </w:pPr>
      <w:r>
        <w:t xml:space="preserve">Slack Engineering.</w:t>
      </w:r>
      <w:r>
        <w:t xml:space="preserve"> </w:t>
      </w:r>
      <w:r>
        <w:rPr>
          <w:iCs/>
          <w:i/>
        </w:rPr>
        <w:t xml:space="preserve">Scaling Datastores at Slack with Vitess</w:t>
      </w:r>
      <w:r>
        <w:t xml:space="preserve">. Slack Engineering Blog, 2020.</w:t>
      </w:r>
    </w:p>
    <w:p>
      <w:pPr>
        <w:numPr>
          <w:ilvl w:val="0"/>
          <w:numId w:val="1502"/>
        </w:numPr>
        <w:pStyle w:val="Compact"/>
      </w:pPr>
      <w:r>
        <w:t xml:space="preserve">PostgreSQL Global Development Group.</w:t>
      </w:r>
      <w:r>
        <w:t xml:space="preserve"> </w:t>
      </w:r>
      <w:r>
        <w:rPr>
          <w:iCs/>
          <w:i/>
        </w:rPr>
        <w:t xml:space="preserve">PostgreSQL Documentation: High Availability, Load Balancing, and Replication; Logical Replication; synchronous_commit</w:t>
      </w:r>
      <w:r>
        <w:t xml:space="preserve">. https://www.postgresql.org/docs/current/</w:t>
      </w:r>
    </w:p>
    <w:p>
      <w:pPr>
        <w:numPr>
          <w:ilvl w:val="0"/>
          <w:numId w:val="1502"/>
        </w:numPr>
        <w:pStyle w:val="Compact"/>
      </w:pPr>
      <w:r>
        <w:t xml:space="preserve">Oracle.</w:t>
      </w:r>
      <w:r>
        <w:t xml:space="preserve"> </w:t>
      </w:r>
      <w:r>
        <w:rPr>
          <w:iCs/>
          <w:i/>
        </w:rPr>
        <w:t xml:space="preserve">MySQL Reference Manual: Replication (formats, semisynchronous replication) and Group Replication</w:t>
      </w:r>
      <w:r>
        <w:t xml:space="preserve">. https://dev.mysql.com/doc/refman/8.4/en/replication.html</w:t>
      </w:r>
    </w:p>
    <w:p>
      <w:pPr>
        <w:numPr>
          <w:ilvl w:val="0"/>
          <w:numId w:val="1502"/>
        </w:numPr>
        <w:pStyle w:val="Compact"/>
      </w:pPr>
      <w:r>
        <w:t xml:space="preserve">PgBouncer project.</w:t>
      </w:r>
      <w:r>
        <w:t xml:space="preserve"> </w:t>
      </w:r>
      <w:r>
        <w:rPr>
          <w:iCs/>
          <w:i/>
        </w:rPr>
        <w:t xml:space="preserve">PgBouncer Documentation: Configuration and Features</w:t>
      </w:r>
      <w:r>
        <w:t xml:space="preserve">. https://www.pgbouncer.org/</w:t>
      </w:r>
    </w:p>
    <w:p>
      <w:pPr>
        <w:numPr>
          <w:ilvl w:val="0"/>
          <w:numId w:val="1502"/>
        </w:numPr>
        <w:pStyle w:val="Compact"/>
      </w:pPr>
      <w:r>
        <w:t xml:space="preserve">ProxySQL project.</w:t>
      </w:r>
      <w:r>
        <w:t xml:space="preserve"> </w:t>
      </w:r>
      <w:r>
        <w:rPr>
          <w:iCs/>
          <w:i/>
        </w:rPr>
        <w:t xml:space="preserve">ProxySQL Documentation</w:t>
      </w:r>
      <w:r>
        <w:t xml:space="preserve">. https://proxysql.com/documentation/</w:t>
      </w:r>
    </w:p>
    <w:p>
      <w:pPr>
        <w:numPr>
          <w:ilvl w:val="0"/>
          <w:numId w:val="1502"/>
        </w:numPr>
        <w:pStyle w:val="Compact"/>
      </w:pPr>
      <w:r>
        <w:t xml:space="preserve">The Vitess Authors.</w:t>
      </w:r>
      <w:r>
        <w:t xml:space="preserve"> </w:t>
      </w:r>
      <w:r>
        <w:rPr>
          <w:iCs/>
          <w:i/>
        </w:rPr>
        <w:t xml:space="preserve">Vitess Documentation: Architecture, VSchema, VReplication workflows</w:t>
      </w:r>
      <w:r>
        <w:t xml:space="preserve">. https://vitess.io/docs/</w:t>
      </w:r>
    </w:p>
    <w:p>
      <w:pPr>
        <w:numPr>
          <w:ilvl w:val="0"/>
          <w:numId w:val="1502"/>
        </w:numPr>
        <w:pStyle w:val="Compact"/>
      </w:pPr>
      <w:r>
        <w:t xml:space="preserve">Amazon Web Services.</w:t>
      </w:r>
      <w:r>
        <w:t xml:space="preserve"> </w:t>
      </w:r>
      <w:r>
        <w:rPr>
          <w:iCs/>
          <w:i/>
        </w:rPr>
        <w:t xml:space="preserve">Amazon DynamoDB Developer Guide: partition key design, burst and adaptive capacity, secondary indexes</w:t>
      </w:r>
      <w:r>
        <w:t xml:space="preserve">. https://docs.aws.amazon.com/amazondynamodb/latest/developerguide/</w:t>
      </w:r>
    </w:p>
    <w:p>
      <w:pPr>
        <w:numPr>
          <w:ilvl w:val="0"/>
          <w:numId w:val="1502"/>
        </w:numPr>
        <w:pStyle w:val="Compact"/>
      </w:pPr>
      <w:r>
        <w:t xml:space="preserve">Apache Software Foundation.</w:t>
      </w:r>
      <w:r>
        <w:t xml:space="preserve"> </w:t>
      </w:r>
      <w:r>
        <w:rPr>
          <w:iCs/>
          <w:i/>
        </w:rPr>
        <w:t xml:space="preserve">Apache Cassandra Documentation: data distribution and virtual nodes</w:t>
      </w:r>
      <w:r>
        <w:t xml:space="preserve">. https://cassandra.apache.org/doc/latest/</w:t>
      </w:r>
    </w:p>
    <w:bookmarkEnd w:id="1685"/>
    <w:bookmarkStart w:id="1686" w:name="open-verification-items-13"/>
    <w:p>
      <w:pPr>
        <w:pStyle w:val="Heading2"/>
      </w:pPr>
      <w:r>
        <w:t xml:space="preserve">14.20 Open verification items</w:t>
      </w:r>
    </w:p>
    <w:p>
      <w:pPr>
        <w:numPr>
          <w:ilvl w:val="0"/>
          <w:numId w:val="1503"/>
        </w:numPr>
        <w:pStyle w:val="Compact"/>
      </w:pPr>
      <w:r>
        <w:t xml:space="preserve">Cassandra 4.0 default</w:t>
      </w:r>
      <w:r>
        <w:t xml:space="preserve"> </w:t>
      </w:r>
      <w:r>
        <w:rPr>
          <w:rStyle w:val="VerbatimChar"/>
        </w:rPr>
        <w:t xml:space="preserve">num_tokens = 16</w:t>
      </w:r>
      <w:r>
        <w:t xml:space="preserve"> </w:t>
      </w:r>
      <w:r>
        <w:t xml:space="preserve">with the token-allocation algorithm, and the availability rationale for lowering it.</w:t>
      </w:r>
    </w:p>
    <w:p>
      <w:pPr>
        <w:numPr>
          <w:ilvl w:val="0"/>
          <w:numId w:val="1503"/>
        </w:numPr>
        <w:pStyle w:val="Compact"/>
      </w:pPr>
      <w:r>
        <w:t xml:space="preserve">PgBouncer version (1.21) that added protocol-level prepared statements in transaction mode.</w:t>
      </w:r>
    </w:p>
    <w:p>
      <w:pPr>
        <w:numPr>
          <w:ilvl w:val="0"/>
          <w:numId w:val="1503"/>
        </w:numPr>
        <w:pStyle w:val="Compact"/>
      </w:pPr>
      <w:r>
        <w:t xml:space="preserve">DynamoDB per-partition limit (1,000 WCU/s) and burst/adaptive capacity wording, as of 2026.</w:t>
      </w:r>
    </w:p>
    <w:p>
      <w:pPr>
        <w:numPr>
          <w:ilvl w:val="0"/>
          <w:numId w:val="1503"/>
        </w:numPr>
        <w:pStyle w:val="Compact"/>
      </w:pPr>
      <w:r>
        <w:t xml:space="preserve">Vitess two-phase-commit mode status and default multi-shard transaction semantics.</w:t>
      </w:r>
    </w:p>
    <w:p>
      <w:pPr>
        <w:numPr>
          <w:ilvl w:val="0"/>
          <w:numId w:val="1503"/>
        </w:numPr>
        <w:pStyle w:val="Compact"/>
      </w:pPr>
      <w:r>
        <w:t xml:space="preserve">URLs and authors for Instagram (2012), Discord (2017) and Slack (2020) engineering posts; Slack migration details.</w:t>
      </w:r>
    </w:p>
    <w:p>
      <w:pPr>
        <w:numPr>
          <w:ilvl w:val="0"/>
          <w:numId w:val="1503"/>
        </w:numPr>
        <w:pStyle w:val="Compact"/>
      </w:pPr>
      <w:r>
        <w:t xml:space="preserve">Lamping and Veach 3.2 % / 8 % figures confirmed via search snippets only (arXiv not reachable).</w:t>
      </w:r>
    </w:p>
    <w:p>
      <w:pPr>
        <w:numPr>
          <w:ilvl w:val="0"/>
          <w:numId w:val="1503"/>
        </w:numPr>
        <w:pStyle w:val="Compact"/>
      </w:pPr>
      <w:r>
        <w:t xml:space="preserve">Bigtable tablet split size (~100–200 MB).</w:t>
      </w:r>
    </w:p>
    <w:bookmarkEnd w:id="1686"/>
    <w:bookmarkEnd w:id="1687"/>
    <w:bookmarkStart w:id="1785" w:name="chapter-15-object-block-and-file-storage"/>
    <w:p>
      <w:pPr>
        <w:pStyle w:val="Heading1"/>
      </w:pPr>
      <w:r>
        <w:t xml:space="preserve">Chapter 15 — Object, Block and File Storage</w:t>
      </w:r>
    </w:p>
    <w:p>
      <w:pPr>
        <w:pStyle w:val="BlockText"/>
      </w:pPr>
      <w:r>
        <w:rPr>
          <w:bCs/>
          <w:b/>
        </w:rPr>
        <w:t xml:space="preserve">Level:</w:t>
      </w:r>
      <w:r>
        <w:t xml:space="preserve"> </w:t>
      </w:r>
      <w:r>
        <w:t xml:space="preserve">2–3 ·</w:t>
      </w:r>
      <w:r>
        <w:t xml:space="preserve"> </w:t>
      </w:r>
      <w:r>
        <w:rPr>
          <w:bCs/>
          <w:b/>
        </w:rPr>
        <w:t xml:space="preserve">Track:</w:t>
      </w:r>
      <w:r>
        <w:t xml:space="preserve"> </w:t>
      </w:r>
      <w:r>
        <w:t xml:space="preserve">A (Traditional) ·</w:t>
      </w:r>
      <w:r>
        <w:t xml:space="preserve"> </w:t>
      </w:r>
      <w:r>
        <w:rPr>
          <w:bCs/>
          <w:b/>
        </w:rPr>
        <w:t xml:space="preserve">Estimated reading time:</w:t>
      </w:r>
      <w:r>
        <w:t xml:space="preserve"> </w:t>
      </w:r>
      <w:r>
        <w:t xml:space="preserve">2.5 h</w:t>
      </w:r>
    </w:p>
    <w:p>
      <w:pPr>
        <w:pStyle w:val="FirstParagraph"/>
      </w:pPr>
      <w:r>
        <w:t xml:space="preserve">Chapters 11–14 were about databases: systems that store small, structured records and answer questions about them. Most of the bytes a company stores are not records at all. They are photos, videos, log files, backups, machine-learning datasets and database snapshots: large, mostly immutable blobs that are written once and read many times or never. In Chapter 1, PhotoShare’s ADR-0003 moved every photo into</w:t>
      </w:r>
      <w:r>
        <w:t xml:space="preserve"> </w:t>
      </w:r>
      <w:r>
        <w:t xml:space="preserve">“</w:t>
      </w:r>
      <w:r>
        <w:t xml:space="preserve">managed object storage</w:t>
      </w:r>
      <w:r>
        <w:t xml:space="preserve">”</w:t>
      </w:r>
      <w:r>
        <w:t xml:space="preserve">, and at 10 million daily users that meant about 5 TB of new data per day (§1.9). This chapter opens that box. You will learn the three storage interfaces (blocks, files, objects), how S3-style object stores and GFS-style file systems are built, how erasure coding buys high durability for 1.4× raw capacity instead of 3×, why metadata is the real scaling limit, and how chunking, multipart upload and lifecycle tiers keep petabytes affordable.</w:t>
      </w:r>
    </w:p>
    <w:bookmarkStart w:id="1688" w:name="learning-objectives-14"/>
    <w:p>
      <w:pPr>
        <w:pStyle w:val="Heading2"/>
      </w:pPr>
      <w:r>
        <w:t xml:space="preserve">15.1 Learning objectives</w:t>
      </w:r>
    </w:p>
    <w:p>
      <w:pPr>
        <w:pStyle w:val="FirstParagraph"/>
      </w:pPr>
      <w:r>
        <w:t xml:space="preserve">After this chapter you should be able to:</w:t>
      </w:r>
    </w:p>
    <w:p>
      <w:pPr>
        <w:numPr>
          <w:ilvl w:val="0"/>
          <w:numId w:val="1504"/>
        </w:numPr>
        <w:pStyle w:val="Compact"/>
      </w:pPr>
      <w:r>
        <w:t xml:space="preserve">Choose between block, file and object storage by interface, semantics, latency and throughput.</w:t>
      </w:r>
    </w:p>
    <w:p>
      <w:pPr>
        <w:numPr>
          <w:ilvl w:val="0"/>
          <w:numId w:val="1504"/>
        </w:numPr>
        <w:pStyle w:val="Compact"/>
      </w:pPr>
      <w:r>
        <w:t xml:space="preserve">Draw an S3-style object store (front end, metadata/index, placement, storage nodes) and trace a PUT and a GET through it.</w:t>
      </w:r>
    </w:p>
    <w:p>
      <w:pPr>
        <w:numPr>
          <w:ilvl w:val="0"/>
          <w:numId w:val="1504"/>
        </w:numPr>
        <w:pStyle w:val="Compact"/>
      </w:pPr>
      <w:r>
        <w:t xml:space="preserve">Explain GFS (single master, 64 MB chunks, leases, record append) and HDFS NameNode high availability.</w:t>
      </w:r>
    </w:p>
    <w:p>
      <w:pPr>
        <w:numPr>
          <w:ilvl w:val="0"/>
          <w:numId w:val="1504"/>
        </w:numPr>
        <w:pStyle w:val="Compact"/>
      </w:pPr>
      <w:r>
        <w:t xml:space="preserve">Calculate the storage overhead, fault tolerance, approximate durability and repair traffic of 3× replication, Reed–Solomon RS(10,4) and an Azure-style local reconstruction code.</w:t>
      </w:r>
    </w:p>
    <w:p>
      <w:pPr>
        <w:numPr>
          <w:ilvl w:val="0"/>
          <w:numId w:val="1504"/>
        </w:numPr>
        <w:pStyle w:val="Compact"/>
      </w:pPr>
      <w:r>
        <w:t xml:space="preserve">Estimate metadata memory and explain how namespaces are partitioned.</w:t>
      </w:r>
    </w:p>
    <w:p>
      <w:pPr>
        <w:numPr>
          <w:ilvl w:val="0"/>
          <w:numId w:val="1504"/>
        </w:numPr>
        <w:pStyle w:val="Compact"/>
      </w:pPr>
      <w:r>
        <w:t xml:space="preserve">Size a multipart upload, use presigned URLs safely, and explain why content-defined chunking survives insertions.</w:t>
      </w:r>
    </w:p>
    <w:p>
      <w:pPr>
        <w:numPr>
          <w:ilvl w:val="0"/>
          <w:numId w:val="1504"/>
        </w:numPr>
        <w:pStyle w:val="Compact"/>
      </w:pPr>
      <w:r>
        <w:t xml:space="preserve">Design and cost a lifecycle policy across hot, warm, cold and archive tiers.</w:t>
      </w:r>
    </w:p>
    <w:bookmarkEnd w:id="1688"/>
    <w:bookmarkStart w:id="1689" w:name="prerequisites-14"/>
    <w:p>
      <w:pPr>
        <w:pStyle w:val="Heading2"/>
      </w:pPr>
      <w:r>
        <w:t xml:space="preserve">15.2 Prerequisites</w:t>
      </w:r>
    </w:p>
    <w:p>
      <w:pPr>
        <w:numPr>
          <w:ilvl w:val="0"/>
          <w:numId w:val="1505"/>
        </w:numPr>
        <w:pStyle w:val="Compact"/>
      </w:pPr>
      <w:r>
        <w:t xml:space="preserve">Disks, SSDs, IOPS and throughput — §5.6 (block devices are the bottom layer of every design here).</w:t>
      </w:r>
    </w:p>
    <w:p>
      <w:pPr>
        <w:numPr>
          <w:ilvl w:val="0"/>
          <w:numId w:val="1505"/>
        </w:numPr>
        <w:pStyle w:val="Compact"/>
      </w:pPr>
      <w:r>
        <w:t xml:space="preserve">File systems,</w:t>
      </w:r>
      <w:r>
        <w:t xml:space="preserve"> </w:t>
      </w:r>
      <w:r>
        <w:rPr>
          <w:rStyle w:val="VerbatimChar"/>
        </w:rPr>
        <w:t xml:space="preserve">fsync</w:t>
      </w:r>
      <w:r>
        <w:t xml:space="preserve"> </w:t>
      </w:r>
      <w:r>
        <w:t xml:space="preserve">and the page cache — §6.6 and §6.14 (file semantics and durability).</w:t>
      </w:r>
    </w:p>
    <w:p>
      <w:pPr>
        <w:numPr>
          <w:ilvl w:val="0"/>
          <w:numId w:val="1505"/>
        </w:numPr>
        <w:pStyle w:val="Compact"/>
      </w:pPr>
      <w:r>
        <w:t xml:space="preserve">MTBF, AFR and durability as a race between failure and repair — §4.15–§4.16 (the loss formula is generalized in §15.6).</w:t>
      </w:r>
    </w:p>
    <w:p>
      <w:pPr>
        <w:numPr>
          <w:ilvl w:val="0"/>
          <w:numId w:val="1505"/>
        </w:numPr>
        <w:pStyle w:val="Compact"/>
      </w:pPr>
      <w:r>
        <w:t xml:space="preserve">Hash functions and HMAC — §10.4.1 and §10.4.6 (content addressing and presigned URLs).</w:t>
      </w:r>
    </w:p>
    <w:p>
      <w:pPr>
        <w:numPr>
          <w:ilvl w:val="0"/>
          <w:numId w:val="1505"/>
        </w:numPr>
        <w:pStyle w:val="Compact"/>
      </w:pPr>
      <w:r>
        <w:t xml:space="preserve">Partitioning and consistent hashing — §14.6 and §14.8 (metadata and data placement).</w:t>
      </w:r>
    </w:p>
    <w:p>
      <w:pPr>
        <w:numPr>
          <w:ilvl w:val="0"/>
          <w:numId w:val="1505"/>
        </w:numPr>
        <w:pStyle w:val="Compact"/>
      </w:pPr>
      <w:r>
        <w:t xml:space="preserve">Units: in this chapter</w:t>
      </w:r>
      <w:r>
        <w:t xml:space="preserve"> </w:t>
      </w:r>
      <w:r>
        <w:rPr>
          <w:bCs/>
          <w:b/>
        </w:rPr>
        <w:t xml:space="preserve">MB/GB/TB/PB</w:t>
      </w:r>
      <w:r>
        <w:t xml:space="preserve"> </w:t>
      </w:r>
      <w:r>
        <w:t xml:space="preserve">are powers of ten for capacity and cost;</w:t>
      </w:r>
      <w:r>
        <w:t xml:space="preserve"> </w:t>
      </w:r>
      <w:r>
        <w:rPr>
          <w:bCs/>
          <w:b/>
        </w:rPr>
        <w:t xml:space="preserve">KiB/MiB/GiB</w:t>
      </w:r>
      <w:r>
        <w:t xml:space="preserve"> </w:t>
      </w:r>
      <w:r>
        <w:t xml:space="preserve">appear where a system defines a limit in powers of two (for example S3’s 5 MiB minimum part size).</w:t>
      </w:r>
    </w:p>
    <w:bookmarkEnd w:id="1689"/>
    <w:bookmarkStart w:id="1700" w:name="block-file-and-object-storage-compared"/>
    <w:p>
      <w:pPr>
        <w:pStyle w:val="Heading2"/>
      </w:pPr>
      <w:r>
        <w:t xml:space="preserve">15.3 Block, file and object storage compared</w:t>
      </w:r>
    </w:p>
    <w:bookmarkStart w:id="1699" w:name="three-interfaces-to-the-same-disks"/>
    <w:p>
      <w:pPr>
        <w:pStyle w:val="Heading3"/>
      </w:pPr>
      <w:r>
        <w:t xml:space="preserve">15.3.1 Three interfaces to the same disks</w:t>
      </w:r>
    </w:p>
    <w:p>
      <w:pPr>
        <w:pStyle w:val="CalloutDefinition"/>
      </w:pPr>
      <w:r>
        <w:rPr>
          <w:bCs/>
          <w:b/>
        </w:rPr>
        <w:t xml:space="preserve">DEFINITION</w:t>
      </w:r>
    </w:p>
    <w:p>
      <w:pPr>
        <w:pStyle w:val="CalloutDefinition"/>
      </w:pPr>
      <w:r>
        <w:rPr>
          <w:bCs/>
          <w:b/>
        </w:rPr>
        <w:t xml:space="preserve">Definition — Block, file and object storage.</w:t>
      </w:r>
      <w:r>
        <w:t xml:space="preserve"> </w:t>
      </w:r>
      <w:r>
        <w:rPr>
          <w:bCs/>
          <w:b/>
        </w:rPr>
        <w:t xml:space="preserve">Block storage</w:t>
      </w:r>
      <w:r>
        <w:t xml:space="preserve"> </w:t>
      </w:r>
      <w:r>
        <w:t xml:space="preserve">exposes a numbered array of fixed-size blocks (typically 512 B or 4 KiB) that a client reads and writes by offset; the client’s own file system or database gives the blocks meaning.</w:t>
      </w:r>
      <w:r>
        <w:t xml:space="preserve"> </w:t>
      </w:r>
      <w:r>
        <w:rPr>
          <w:bCs/>
          <w:b/>
        </w:rPr>
        <w:t xml:space="preserve">File storage</w:t>
      </w:r>
      <w:r>
        <w:t xml:space="preserve"> </w:t>
      </w:r>
      <w:r>
        <w:t xml:space="preserve">exposes a hierarchical namespace of directories and byte-addressable files with POSIX-like operations (open, read at offset, write at offset, rename, lock), shared by many clients over a protocol such as NFS or SMB.</w:t>
      </w:r>
      <w:r>
        <w:t xml:space="preserve"> </w:t>
      </w:r>
      <w:r>
        <w:rPr>
          <w:bCs/>
          <w:b/>
        </w:rPr>
        <w:t xml:space="preserve">Object storage</w:t>
      </w:r>
      <w:r>
        <w:t xml:space="preserve"> </w:t>
      </w:r>
      <w:r>
        <w:t xml:space="preserve">exposes a flat namespace of immutable</w:t>
      </w:r>
      <w:r>
        <w:t xml:space="preserve"> </w:t>
      </w:r>
      <w:r>
        <w:rPr>
          <w:bCs/>
          <w:b/>
        </w:rPr>
        <w:t xml:space="preserve">objects</w:t>
      </w:r>
      <w:r>
        <w:t xml:space="preserve">, each a byte string plus metadata addressed by a key within a</w:t>
      </w:r>
      <w:r>
        <w:t xml:space="preserve"> </w:t>
      </w:r>
      <w:r>
        <w:rPr>
          <w:bCs/>
          <w:b/>
        </w:rPr>
        <w:t xml:space="preserve">bucket</w:t>
      </w:r>
      <w:r>
        <w:t xml:space="preserve">, accessed over HTTP with whole-object PUT, GET (optionally a byte range), DELETE and LIST.</w:t>
      </w:r>
    </w:p>
    <w:bookmarkStart w:id="1690" w:name="first-principles-explanation-95"/>
    <w:p>
      <w:pPr>
        <w:pStyle w:val="Heading4"/>
      </w:pPr>
      <w:r>
        <w:t xml:space="preserve">First-principles explanation</w:t>
      </w:r>
    </w:p>
    <w:p>
      <w:pPr>
        <w:pStyle w:val="FirstParagraph"/>
      </w:pPr>
      <w:r>
        <w:t xml:space="preserve">Picture a warehouse.</w:t>
      </w:r>
      <w:r>
        <w:t xml:space="preserve"> </w:t>
      </w:r>
      <w:r>
        <w:rPr>
          <w:bCs/>
          <w:b/>
        </w:rPr>
        <w:t xml:space="preserve">Block storage</w:t>
      </w:r>
      <w:r>
        <w:t xml:space="preserve"> </w:t>
      </w:r>
      <w:r>
        <w:t xml:space="preserve">rents you a bare floor marked in numbered squares: you decide what goes where and keep your own map; the warehouse knows nothing about your boxes.</w:t>
      </w:r>
      <w:r>
        <w:t xml:space="preserve"> </w:t>
      </w:r>
      <w:r>
        <w:rPr>
          <w:bCs/>
          <w:b/>
        </w:rPr>
        <w:t xml:space="preserve">File storage</w:t>
      </w:r>
      <w:r>
        <w:t xml:space="preserve"> </w:t>
      </w:r>
      <w:r>
        <w:t xml:space="preserve">is a filing cabinet shared by an office: folders inside folders, anyone can open a document, change page 7 and put it back, and the cabinet makes sure two people do not scribble on the same page at once.</w:t>
      </w:r>
      <w:r>
        <w:t xml:space="preserve"> </w:t>
      </w:r>
      <w:r>
        <w:rPr>
          <w:bCs/>
          <w:b/>
        </w:rPr>
        <w:t xml:space="preserve">Object storage</w:t>
      </w:r>
      <w:r>
        <w:t xml:space="preserve"> </w:t>
      </w:r>
      <w:r>
        <w:t xml:space="preserve">is a coat check: you hand over a sealed parcel, get a ticket (the key), and later hand the ticket back to get the identical parcel. You cannot change one page of a parcel; you hand in a new parcel under the same ticket.</w:t>
      </w:r>
    </w:p>
    <w:p>
      <w:pPr>
        <w:pStyle w:val="BodyText"/>
      </w:pPr>
      <w:r>
        <w:t xml:space="preserve">The more an interface promises (in-place updates, shared locks, atomic rename of a directory tree), the more coordination every operation needs and the harder it is to scale out. Object storage promises the least, which is why it routinely scales to trillions of items.</w:t>
      </w:r>
    </w:p>
    <w:bookmarkEnd w:id="1690"/>
    <w:bookmarkStart w:id="1691" w:name="why-does-this-exist-56"/>
    <w:p>
      <w:pPr>
        <w:pStyle w:val="Heading4"/>
      </w:pPr>
      <w:r>
        <w:t xml:space="preserve">Why does this exist?</w:t>
      </w:r>
    </w:p>
    <w:p>
      <w:pPr>
        <w:pStyle w:val="FirstParagraph"/>
      </w:pPr>
      <w:r>
        <w:t xml:space="preserve">All three exist because applications need different contracts. A database engine (Chapter 13) wants raw blocks so that it controls page layout, write-ahead logging and</w:t>
      </w:r>
      <w:r>
        <w:t xml:space="preserve"> </w:t>
      </w:r>
      <w:r>
        <w:rPr>
          <w:rStyle w:val="VerbatimChar"/>
        </w:rPr>
        <w:t xml:space="preserve">fsync</w:t>
      </w:r>
      <w:r>
        <w:t xml:space="preserve"> </w:t>
      </w:r>
      <w:r>
        <w:t xml:space="preserve">ordering itself. Many machines sharing a directory of model checkpoints want a POSIX file system. A web application storing uploads wants unlimited capacity, HTTP access and someone else to worry about durability; it never rewrites byte 4,000 of a photo.</w:t>
      </w:r>
    </w:p>
    <w:bookmarkEnd w:id="1691"/>
    <w:bookmarkStart w:id="1695" w:name="how-it-works-internally-60"/>
    <w:p>
      <w:pPr>
        <w:pStyle w:val="Heading4"/>
      </w:pPr>
      <w:r>
        <w:t xml:space="preserve">How it works internally</w:t>
      </w:r>
    </w:p>
    <w:p>
      <w:pPr>
        <w:numPr>
          <w:ilvl w:val="0"/>
          <w:numId w:val="1506"/>
        </w:numPr>
        <w:pStyle w:val="Compact"/>
      </w:pPr>
      <w:r>
        <w:rPr>
          <w:bCs/>
          <w:b/>
        </w:rPr>
        <w:t xml:space="preserve">Block.</w:t>
      </w:r>
      <w:r>
        <w:t xml:space="preserve"> </w:t>
      </w:r>
      <w:r>
        <w:t xml:space="preserve">A volume is a virtual disk. Cloud services such as Amazon EBS and Google Persistent Disk attach a network volume to one VM over NVMe or iSCSI-style protocols, replicate its blocks within one zone, and let the guest run ext4, XFS or a database on it.</w:t>
      </w:r>
    </w:p>
    <w:p>
      <w:pPr>
        <w:numPr>
          <w:ilvl w:val="0"/>
          <w:numId w:val="1506"/>
        </w:numPr>
        <w:pStyle w:val="Compact"/>
      </w:pPr>
      <w:r>
        <w:rPr>
          <w:bCs/>
          <w:b/>
        </w:rPr>
        <w:t xml:space="preserve">File.</w:t>
      </w:r>
      <w:r>
        <w:t xml:space="preserve"> </w:t>
      </w:r>
      <w:r>
        <w:t xml:space="preserve">An NFS or SMB server (or a distributed service such as Amazon EFS, which speaks NFSv4.1) owns the namespace. Clients send</w:t>
      </w:r>
      <w:r>
        <w:t xml:space="preserve"> </w:t>
      </w:r>
      <w:r>
        <w:rPr>
          <w:rStyle w:val="VerbatimChar"/>
        </w:rPr>
        <w:t xml:space="preserve">LOOKUP</w:t>
      </w:r>
      <w:r>
        <w:t xml:space="preserve">,</w:t>
      </w:r>
      <w:r>
        <w:t xml:space="preserve"> </w:t>
      </w:r>
      <w:r>
        <w:rPr>
          <w:rStyle w:val="VerbatimChar"/>
        </w:rPr>
        <w:t xml:space="preserve">READ(offset, count)</w:t>
      </w:r>
      <w:r>
        <w:t xml:space="preserve">,</w:t>
      </w:r>
      <w:r>
        <w:t xml:space="preserve"> </w:t>
      </w:r>
      <w:r>
        <w:rPr>
          <w:rStyle w:val="VerbatimChar"/>
        </w:rPr>
        <w:t xml:space="preserve">WRITE</w:t>
      </w:r>
      <w:r>
        <w:t xml:space="preserve">,</w:t>
      </w:r>
      <w:r>
        <w:t xml:space="preserve"> </w:t>
      </w:r>
      <w:r>
        <w:rPr>
          <w:rStyle w:val="VerbatimChar"/>
        </w:rPr>
        <w:t xml:space="preserve">RENAME</w:t>
      </w:r>
      <w:r>
        <w:t xml:space="preserve">; the server keeps inodes, directories, permissions and locks and serializes conflicting updates.</w:t>
      </w:r>
    </w:p>
    <w:p>
      <w:pPr>
        <w:numPr>
          <w:ilvl w:val="0"/>
          <w:numId w:val="1506"/>
        </w:numPr>
        <w:pStyle w:val="Compact"/>
      </w:pPr>
      <w:r>
        <w:rPr>
          <w:bCs/>
          <w:b/>
        </w:rPr>
        <w:t xml:space="preserve">Object.</w:t>
      </w:r>
      <w:r>
        <w:t xml:space="preserve"> </w:t>
      </w:r>
      <w:r>
        <w:t xml:space="preserve">A client sends</w:t>
      </w:r>
      <w:r>
        <w:t xml:space="preserve"> </w:t>
      </w:r>
      <w:r>
        <w:rPr>
          <w:rStyle w:val="VerbatimChar"/>
        </w:rPr>
        <w:t xml:space="preserve">PUT /bucket/key</w:t>
      </w:r>
      <w:r>
        <w:t xml:space="preserve"> </w:t>
      </w:r>
      <w:r>
        <w:t xml:space="preserve">with the full body; the service stores the bytes redundantly, records key → location in an index, and acknowledges. GET looks up the key and streams the bytes. There is no rename, append or partial overwrite: a</w:t>
      </w:r>
      <w:r>
        <w:t xml:space="preserve"> </w:t>
      </w:r>
      <w:r>
        <w:t xml:space="preserve">“</w:t>
      </w:r>
      <w:r>
        <w:t xml:space="preserve">change</w:t>
      </w:r>
      <w:r>
        <w:t xml:space="preserve">”</w:t>
      </w:r>
      <w:r>
        <w:t xml:space="preserve"> </w:t>
      </w:r>
      <w:r>
        <w:t xml:space="preserve">is a new PUT of the whole object.</w:t>
      </w:r>
    </w:p>
    <w:p>
      <w:pPr>
        <w:pStyle w:val="FirstParagraph"/>
      </w:pPr>
      <w:r>
        <w:rPr>
          <w:bCs/>
          <w:b/>
        </w:rPr>
        <w:t xml:space="preserve">Figure 15.1 — Three storage interfaces over shared disks.</w:t>
      </w:r>
    </w:p>
    <w:p>
      <w:pPr>
        <w:pStyle w:val="BodyText"/>
      </w:pPr>
      <w:r>
        <w:drawing>
          <wp:inline>
            <wp:extent cx="5334000" cy="3014095"/>
            <wp:effectExtent b="0" l="0" r="0" t="0"/>
            <wp:docPr descr="" title="" id="1693" name="Picture"/>
            <a:graphic>
              <a:graphicData uri="http://schemas.openxmlformats.org/drawingml/2006/picture">
                <pic:pic>
                  <pic:nvPicPr>
                    <pic:cNvPr descr="/home/user/System-Design/build/.cache/diagrams/e2a423625032.png" id="1694" name="Picture"/>
                    <pic:cNvPicPr>
                      <a:picLocks noChangeArrowheads="1" noChangeAspect="1"/>
                    </pic:cNvPicPr>
                  </pic:nvPicPr>
                  <pic:blipFill>
                    <a:blip r:embed="rId1692"/>
                    <a:stretch>
                      <a:fillRect/>
                    </a:stretch>
                  </pic:blipFill>
                  <pic:spPr bwMode="auto">
                    <a:xfrm>
                      <a:off x="0" y="0"/>
                      <a:ext cx="5334000" cy="3014095"/>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Three clients on one host use three interfaces. The</w:t>
      </w:r>
      <w:r>
        <w:t xml:space="preserve"> </w:t>
      </w:r>
      <w:r>
        <w:rPr>
          <w:iCs/>
          <w:i/>
        </w:rPr>
        <w:t xml:space="preserve">database engine</w:t>
      </w:r>
      <w:r>
        <w:t xml:space="preserve"> </w:t>
      </w:r>
      <w:r>
        <w:t xml:space="preserve">runs its own file system on a</w:t>
      </w:r>
      <w:r>
        <w:t xml:space="preserve"> </w:t>
      </w:r>
      <w:r>
        <w:rPr>
          <w:iCs/>
          <w:i/>
        </w:rPr>
        <w:t xml:space="preserve">block volume</w:t>
      </w:r>
      <w:r>
        <w:t xml:space="preserve">: the protocol carries block reads and writes by offset, and all meaning (files, pages) lives on the host. The</w:t>
      </w:r>
      <w:r>
        <w:t xml:space="preserve"> </w:t>
      </w:r>
      <w:r>
        <w:rPr>
          <w:iCs/>
          <w:i/>
        </w:rPr>
        <w:t xml:space="preserve">batch job</w:t>
      </w:r>
      <w:r>
        <w:t xml:space="preserve"> </w:t>
      </w:r>
      <w:r>
        <w:t xml:space="preserve">sends path-based NFS operations to a</w:t>
      </w:r>
      <w:r>
        <w:t xml:space="preserve"> </w:t>
      </w:r>
      <w:r>
        <w:rPr>
          <w:iCs/>
          <w:i/>
        </w:rPr>
        <w:t xml:space="preserve">file server</w:t>
      </w:r>
      <w:r>
        <w:t xml:space="preserve">, which owns the namespace and locking for every client that mounts it. The</w:t>
      </w:r>
      <w:r>
        <w:t xml:space="preserve"> </w:t>
      </w:r>
      <w:r>
        <w:rPr>
          <w:iCs/>
          <w:i/>
        </w:rPr>
        <w:t xml:space="preserve">web service</w:t>
      </w:r>
      <w:r>
        <w:t xml:space="preserve"> </w:t>
      </w:r>
      <w:r>
        <w:t xml:space="preserve">sends whole-object HTTPS requests to an</w:t>
      </w:r>
      <w:r>
        <w:t xml:space="preserve"> </w:t>
      </w:r>
      <w:r>
        <w:rPr>
          <w:iCs/>
          <w:i/>
        </w:rPr>
        <w:t xml:space="preserve">object store front end</w:t>
      </w:r>
      <w:r>
        <w:t xml:space="preserve">. All arrows are synchronous request/response. Storage boundaries: the block volume lives in one zone and attaches to one VM; the file system is shared; objects are spread across zones. Failure points: a zone outage takes the block volume with it (restore from snapshots); the file server’s metadata path is a shared bottleneck. Scaling: block volumes scale up (bigger, faster volume); file systems scale up or partition the namespace (§15.7); object stores scale out horizontally.</w:t>
      </w:r>
    </w:p>
    <w:bookmarkEnd w:id="1695"/>
    <w:bookmarkStart w:id="1696" w:name="mathematical-foundations-28"/>
    <w:p>
      <w:pPr>
        <w:pStyle w:val="Heading4"/>
      </w:pPr>
      <w:r>
        <w:t xml:space="preserve">Mathematical foundations</w:t>
      </w:r>
    </w:p>
    <w:p>
      <w:pPr>
        <w:pStyle w:val="FirstParagraph"/>
      </w:pPr>
      <w:r>
        <w:t xml:space="preserve">The single most useful model for comparing the three is the time to fetch</w:t>
      </w:r>
      <w:r>
        <w:t xml:space="preserve"> </w:t>
      </w:r>
      <m:oMath>
        <m:r>
          <m:t>S</m:t>
        </m:r>
      </m:oMath>
      <w:r>
        <w:t xml:space="preserve"> </w:t>
      </w:r>
      <w:r>
        <w:t xml:space="preserve">bytes: a fixed first-byte latency plus a transfer term.</w:t>
      </w:r>
    </w:p>
    <w:p>
      <w:pPr>
        <w:pStyle w:val="CalloutFormula"/>
      </w:pPr>
      <w:r>
        <w:rPr>
          <w:bCs/>
          <w:b/>
        </w:rPr>
        <w:t xml:space="preserve">FORMULA</w:t>
      </w:r>
    </w:p>
    <w:p>
      <w:pPr>
        <w:pStyle w:val="CalloutFormula"/>
      </w:pPr>
      <w:r>
        <w:rPr>
          <w:bCs/>
          <w:b/>
        </w:rPr>
        <w:t xml:space="preserve">Access time for one read</w:t>
      </w:r>
    </w:p>
    <w:p>
      <w:pPr>
        <w:pStyle w:val="CalloutFormula"/>
      </w:pPr>
      <m:oMathPara>
        <m:oMathParaPr>
          <m:jc m:val="center"/>
        </m:oMathParaPr>
        <m:oMath>
          <m:r>
            <m:t>t</m:t>
          </m:r>
          <m:r>
            <m:rPr>
              <m:sty m:val="p"/>
            </m:rPr>
            <m:t>≈</m:t>
          </m:r>
          <m:sSub>
            <m:e>
              <m:r>
                <m:t>t</m:t>
              </m:r>
            </m:e>
            <m:sub>
              <m:r>
                <m:rPr>
                  <m:nor/>
                  <m:sty m:val="p"/>
                </m:rPr>
                <m:t>first</m:t>
              </m:r>
            </m:sub>
          </m:sSub>
          <m:r>
            <m:rPr>
              <m:sty m:val="p"/>
            </m:rPr>
            <m:t>+</m:t>
          </m:r>
          <m:f>
            <m:fPr>
              <m:type m:val="bar"/>
            </m:fPr>
            <m:num>
              <m:r>
                <m:t>S</m:t>
              </m:r>
            </m:num>
            <m:den>
              <m:r>
                <m:t>B</m:t>
              </m:r>
            </m:den>
          </m:f>
          <m:r>
            <m:t>  </m:t>
          </m:r>
          <m:r>
            <m:t>  </m:t>
          </m:r>
          <m:sSub>
            <m:e>
              <m:r>
                <m:t>t</m:t>
              </m:r>
            </m:e>
            <m:sub>
              <m:r>
                <m:rPr>
                  <m:nor/>
                  <m:sty m:val="p"/>
                </m:rPr>
                <m:t>parallel</m:t>
              </m:r>
            </m:sub>
          </m:sSub>
          <m:r>
            <m:rPr>
              <m:sty m:val="p"/>
            </m:rPr>
            <m:t>≈</m:t>
          </m:r>
          <m:sSub>
            <m:e>
              <m:r>
                <m:t>t</m:t>
              </m:r>
            </m:e>
            <m:sub>
              <m:r>
                <m:rPr>
                  <m:nor/>
                  <m:sty m:val="p"/>
                </m:rPr>
                <m:t>first</m:t>
              </m:r>
            </m:sub>
          </m:sSub>
          <m:r>
            <m:rPr>
              <m:sty m:val="p"/>
            </m:rPr>
            <m:t>+</m:t>
          </m:r>
          <m:f>
            <m:fPr>
              <m:type m:val="bar"/>
            </m:fPr>
            <m:num>
              <m:r>
                <m:t>S</m:t>
              </m:r>
            </m:num>
            <m:den>
              <m:r>
                <m:rPr>
                  <m:sty m:val="p"/>
                </m:rPr>
                <m:t>min</m:t>
              </m:r>
              <m:d>
                <m:dPr>
                  <m:begChr m:val="("/>
                  <m:endChr m:val=")"/>
                  <m:sepChr m:val=""/>
                  <m:grow/>
                </m:dPr>
                <m:e>
                  <m:r>
                    <m:t>c</m:t>
                  </m:r>
                  <m:r>
                    <m:rPr>
                      <m:sty m:val="p"/>
                    </m:rPr>
                    <m:t>⋅</m:t>
                  </m:r>
                  <m:r>
                    <m:t>B</m:t>
                  </m:r>
                  <m:r>
                    <m:rPr>
                      <m:sty m:val="p"/>
                    </m:rPr>
                    <m:t>,</m:t>
                  </m:r>
                  <m:r>
                    <m:t> </m:t>
                  </m:r>
                  <m:sSub>
                    <m:e>
                      <m:r>
                        <m:t>B</m:t>
                      </m:r>
                    </m:e>
                    <m:sub>
                      <m:r>
                        <m:rPr>
                          <m:nor/>
                          <m:sty m:val="p"/>
                        </m:rPr>
                        <m:t>NIC</m:t>
                      </m:r>
                    </m:sub>
                  </m:sSub>
                </m:e>
              </m:d>
            </m:den>
          </m:f>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t</m:t>
              </m:r>
            </m:oMath>
          </w:p>
        </w:tc>
        <w:tc>
          <w:tcPr/>
          <w:p>
            <w:pPr>
              <w:pStyle w:val="Compact"/>
              <w:jc w:val="left"/>
            </w:pPr>
            <w:r>
              <w:t xml:space="preserve">Time to read the whole request</w:t>
            </w:r>
          </w:p>
        </w:tc>
        <w:tc>
          <w:tcPr/>
          <w:p>
            <w:pPr>
              <w:pStyle w:val="Compact"/>
              <w:jc w:val="left"/>
            </w:pPr>
            <w:r>
              <w:t xml:space="preserve">s</w:t>
            </w:r>
          </w:p>
        </w:tc>
      </w:tr>
      <w:tr>
        <w:tc>
          <w:tcPr/>
          <w:p>
            <w:pPr>
              <w:pStyle w:val="Compact"/>
              <w:jc w:val="left"/>
            </w:pPr>
            <m:oMath>
              <m:sSub>
                <m:e>
                  <m:r>
                    <m:t>t</m:t>
                  </m:r>
                </m:e>
                <m:sub>
                  <m:r>
                    <m:rPr>
                      <m:nor/>
                      <m:sty m:val="p"/>
                    </m:rPr>
                    <m:t>first</m:t>
                  </m:r>
                </m:sub>
              </m:sSub>
            </m:oMath>
          </w:p>
        </w:tc>
        <w:tc>
          <w:tcPr/>
          <w:p>
            <w:pPr>
              <w:pStyle w:val="Compact"/>
              <w:jc w:val="left"/>
            </w:pPr>
            <w:r>
              <w:t xml:space="preserve">Time to first byte (network round trip, lookup, seek or flash read)</w:t>
            </w:r>
          </w:p>
        </w:tc>
        <w:tc>
          <w:tcPr/>
          <w:p>
            <w:pPr>
              <w:pStyle w:val="Compact"/>
              <w:jc w:val="left"/>
            </w:pPr>
            <w:r>
              <w:t xml:space="preserve">s</w:t>
            </w:r>
          </w:p>
        </w:tc>
      </w:tr>
      <w:tr>
        <w:tc>
          <w:tcPr/>
          <w:p>
            <w:pPr>
              <w:pStyle w:val="Compact"/>
              <w:jc w:val="left"/>
            </w:pPr>
            <m:oMath>
              <m:r>
                <m:t>S</m:t>
              </m:r>
            </m:oMath>
          </w:p>
        </w:tc>
        <w:tc>
          <w:tcPr/>
          <w:p>
            <w:pPr>
              <w:pStyle w:val="Compact"/>
              <w:jc w:val="left"/>
            </w:pPr>
            <w:r>
              <w:t xml:space="preserve">Bytes requested</w:t>
            </w:r>
          </w:p>
        </w:tc>
        <w:tc>
          <w:tcPr/>
          <w:p>
            <w:pPr>
              <w:pStyle w:val="Compact"/>
              <w:jc w:val="left"/>
            </w:pPr>
            <w:r>
              <w:t xml:space="preserve">bytes</w:t>
            </w:r>
          </w:p>
        </w:tc>
      </w:tr>
      <w:tr>
        <w:tc>
          <w:tcPr/>
          <w:p>
            <w:pPr>
              <w:pStyle w:val="Compact"/>
              <w:jc w:val="left"/>
            </w:pPr>
            <m:oMath>
              <m:r>
                <m:t>B</m:t>
              </m:r>
            </m:oMath>
          </w:p>
        </w:tc>
        <w:tc>
          <w:tcPr/>
          <w:p>
            <w:pPr>
              <w:pStyle w:val="Compact"/>
              <w:jc w:val="left"/>
            </w:pPr>
            <w:r>
              <w:t xml:space="preserve">Throughput of one stream (connection or volume)</w:t>
            </w:r>
          </w:p>
        </w:tc>
        <w:tc>
          <w:tcPr/>
          <w:p>
            <w:pPr>
              <w:pStyle w:val="Compact"/>
              <w:jc w:val="left"/>
            </w:pPr>
            <w:r>
              <w:t xml:space="preserve">bytes/s</w:t>
            </w:r>
          </w:p>
        </w:tc>
      </w:tr>
      <w:tr>
        <w:tc>
          <w:tcPr/>
          <w:p>
            <w:pPr>
              <w:pStyle w:val="Compact"/>
              <w:jc w:val="left"/>
            </w:pPr>
            <m:oMath>
              <m:r>
                <m:t>c</m:t>
              </m:r>
            </m:oMath>
          </w:p>
        </w:tc>
        <w:tc>
          <w:tcPr/>
          <w:p>
            <w:pPr>
              <w:pStyle w:val="Compact"/>
              <w:jc w:val="left"/>
            </w:pPr>
            <w:r>
              <w:t xml:space="preserve">Number of parallel streams (for example byte-range GETs)</w:t>
            </w:r>
          </w:p>
        </w:tc>
        <w:tc>
          <w:tcPr/>
          <w:p>
            <w:pPr>
              <w:pStyle w:val="Compact"/>
              <w:jc w:val="left"/>
            </w:pPr>
            <w:r>
              <w:t xml:space="preserve">count</w:t>
            </w:r>
          </w:p>
        </w:tc>
      </w:tr>
      <w:tr>
        <w:tc>
          <w:tcPr/>
          <w:p>
            <w:pPr>
              <w:pStyle w:val="Compact"/>
              <w:jc w:val="left"/>
            </w:pPr>
            <m:oMath>
              <m:sSub>
                <m:e>
                  <m:r>
                    <m:t>B</m:t>
                  </m:r>
                </m:e>
                <m:sub>
                  <m:r>
                    <m:rPr>
                      <m:nor/>
                      <m:sty m:val="p"/>
                    </m:rPr>
                    <m:t>NIC</m:t>
                  </m:r>
                </m:sub>
              </m:sSub>
            </m:oMath>
          </w:p>
        </w:tc>
        <w:tc>
          <w:tcPr/>
          <w:p>
            <w:pPr>
              <w:pStyle w:val="Compact"/>
              <w:jc w:val="left"/>
            </w:pPr>
            <w:r>
              <w:t xml:space="preserve">Client network interface limit</w:t>
            </w:r>
          </w:p>
        </w:tc>
        <w:tc>
          <w:tcPr/>
          <w:p>
            <w:pPr>
              <w:pStyle w:val="Compact"/>
              <w:jc w:val="left"/>
            </w:pPr>
            <w:r>
              <w:t xml:space="preserve">bytes/s</w:t>
            </w:r>
          </w:p>
        </w:tc>
      </w:tr>
    </w:tbl>
    <w:p>
      <w:pPr>
        <w:pStyle w:val="CalloutExample"/>
      </w:pPr>
      <w:r>
        <w:rPr>
          <w:bCs/>
          <w:b/>
        </w:rPr>
        <w:t xml:space="preserve">WORKED EXAMPLE</w:t>
      </w:r>
    </w:p>
    <w:p>
      <w:pPr>
        <w:pStyle w:val="CalloutExample"/>
      </w:pPr>
      <w:r>
        <w:rPr>
          <w:bCs/>
          <w:b/>
        </w:rPr>
        <w:t xml:space="preserve">Worked example — Small random reads versus bulk reads.</w:t>
      </w:r>
      <w:r>
        <w:t xml:space="preserve"> </w:t>
      </w:r>
      <w:r>
        <w:t xml:space="preserve">Use illustrative values: a network SSD block volume with</w:t>
      </w:r>
      <w:r>
        <w:t xml:space="preserve"> </w:t>
      </w:r>
      <m:oMath>
        <m:sSub>
          <m:e>
            <m:r>
              <m:t>t</m:t>
            </m:r>
          </m:e>
          <m:sub>
            <m:r>
              <m:rPr>
                <m:nor/>
                <m:sty m:val="p"/>
              </m:rPr>
              <m:t>first</m:t>
            </m:r>
          </m:sub>
        </m:sSub>
        <m:r>
          <m:rPr>
            <m:sty m:val="p"/>
          </m:rPr>
          <m:t>=</m:t>
        </m:r>
        <m:r>
          <m:t>0.5</m:t>
        </m:r>
      </m:oMath>
      <w:r>
        <w:t xml:space="preserve"> </w:t>
      </w:r>
      <w:r>
        <w:t xml:space="preserve">ms and</w:t>
      </w:r>
      <w:r>
        <w:t xml:space="preserve"> </w:t>
      </w:r>
      <m:oMath>
        <m:r>
          <m:t>B</m:t>
        </m:r>
        <m:r>
          <m:rPr>
            <m:sty m:val="p"/>
          </m:rPr>
          <m:t>=</m:t>
        </m:r>
        <m:r>
          <m:t>125</m:t>
        </m:r>
      </m:oMath>
      <w:r>
        <w:t xml:space="preserve"> </w:t>
      </w:r>
      <w:r>
        <w:t xml:space="preserve">MB/s; an object store with</w:t>
      </w:r>
      <w:r>
        <w:t xml:space="preserve"> </w:t>
      </w:r>
      <m:oMath>
        <m:sSub>
          <m:e>
            <m:r>
              <m:t>t</m:t>
            </m:r>
          </m:e>
          <m:sub>
            <m:r>
              <m:rPr>
                <m:nor/>
                <m:sty m:val="p"/>
              </m:rPr>
              <m:t>first</m:t>
            </m:r>
          </m:sub>
        </m:sSub>
        <m:r>
          <m:rPr>
            <m:sty m:val="p"/>
          </m:rPr>
          <m:t>=</m:t>
        </m:r>
        <m:r>
          <m:t>30</m:t>
        </m:r>
      </m:oMath>
      <w:r>
        <w:t xml:space="preserve"> </w:t>
      </w:r>
      <w:r>
        <w:t xml:space="preserve">ms and</w:t>
      </w:r>
      <w:r>
        <w:t xml:space="preserve"> </w:t>
      </w:r>
      <m:oMath>
        <m:r>
          <m:t>B</m:t>
        </m:r>
        <m:r>
          <m:rPr>
            <m:sty m:val="p"/>
          </m:rPr>
          <m:t>=</m:t>
        </m:r>
        <m:r>
          <m:t>80</m:t>
        </m:r>
      </m:oMath>
      <w:r>
        <w:t xml:space="preserve"> </w:t>
      </w:r>
      <w:r>
        <w:t xml:space="preserve">MB/s per connection; a 10 Gb/s client NIC (</w:t>
      </w:r>
      <m:oMath>
        <m:sSub>
          <m:e>
            <m:r>
              <m:t>B</m:t>
            </m:r>
          </m:e>
          <m:sub>
            <m:r>
              <m:rPr>
                <m:nor/>
                <m:sty m:val="p"/>
              </m:rPr>
              <m:t>NIC</m:t>
            </m:r>
          </m:sub>
        </m:sSub>
        <m:r>
          <m:rPr>
            <m:sty m:val="p"/>
          </m:rPr>
          <m:t>=</m:t>
        </m:r>
        <m:r>
          <m:t>1.25</m:t>
        </m:r>
      </m:oMath>
      <w:r>
        <w:t xml:space="preserve"> </w:t>
      </w:r>
      <w:r>
        <w:t xml:space="preserve">GB/s).</w:t>
      </w:r>
    </w:p>
    <w:p>
      <w:pPr>
        <w:numPr>
          <w:ilvl w:val="0"/>
          <w:numId w:val="1507"/>
        </w:numPr>
        <w:pStyle w:val="Compact"/>
      </w:pPr>
      <w:r>
        <w:t xml:space="preserve">4 KiB (4,096 B) read, block:</w:t>
      </w:r>
      <w:r>
        <w:t xml:space="preserve"> </w:t>
      </w:r>
      <m:oMath>
        <m:r>
          <m:t>0.5</m:t>
        </m:r>
        <m:r>
          <m:rPr>
            <m:sty m:val="p"/>
          </m:rPr>
          <m:t>+</m:t>
        </m:r>
        <m:r>
          <m:t>4096</m:t>
        </m:r>
        <m:r>
          <m:rPr>
            <m:sty m:val="p"/>
          </m:rPr>
          <m:t>/</m:t>
        </m:r>
        <m:r>
          <m:t>125</m:t>
        </m:r>
        <m:r>
          <m:rPr>
            <m:sty m:val="p"/>
          </m:rPr>
          <m:t>,</m:t>
        </m:r>
        <m:r>
          <m:t>000</m:t>
        </m:r>
        <m:r>
          <m:rPr>
            <m:sty m:val="p"/>
          </m:rPr>
          <m:t>,</m:t>
        </m:r>
        <m:r>
          <m:t>000</m:t>
        </m:r>
        <m:r>
          <m:rPr>
            <m:sty m:val="p"/>
          </m:rPr>
          <m:t>×</m:t>
        </m:r>
        <m:r>
          <m:t>1000</m:t>
        </m:r>
        <m:r>
          <m:rPr>
            <m:sty m:val="p"/>
          </m:rPr>
          <m:t>=</m:t>
        </m:r>
        <m:r>
          <m:t>0.5</m:t>
        </m:r>
        <m:r>
          <m:rPr>
            <m:sty m:val="p"/>
          </m:rPr>
          <m:t>+</m:t>
        </m:r>
        <m:r>
          <m:t>0.033</m:t>
        </m:r>
        <m:r>
          <m:rPr>
            <m:sty m:val="p"/>
          </m:rPr>
          <m:t>=</m:t>
        </m:r>
        <m:r>
          <m:t>0.53</m:t>
        </m:r>
      </m:oMath>
      <w:r>
        <w:t xml:space="preserve"> </w:t>
      </w:r>
      <w:r>
        <w:t xml:space="preserve">ms.</w:t>
      </w:r>
    </w:p>
    <w:p>
      <w:pPr>
        <w:numPr>
          <w:ilvl w:val="0"/>
          <w:numId w:val="1507"/>
        </w:numPr>
        <w:pStyle w:val="Compact"/>
      </w:pPr>
      <w:r>
        <w:t xml:space="preserve">4 KiB read, object:</w:t>
      </w:r>
      <w:r>
        <w:t xml:space="preserve"> </w:t>
      </w:r>
      <m:oMath>
        <m:r>
          <m:t>30</m:t>
        </m:r>
        <m:r>
          <m:rPr>
            <m:sty m:val="p"/>
          </m:rPr>
          <m:t>+</m:t>
        </m:r>
        <m:r>
          <m:t>4096</m:t>
        </m:r>
        <m:r>
          <m:rPr>
            <m:sty m:val="p"/>
          </m:rPr>
          <m:t>/</m:t>
        </m:r>
        <m:r>
          <m:t>80</m:t>
        </m:r>
        <m:r>
          <m:rPr>
            <m:sty m:val="p"/>
          </m:rPr>
          <m:t>,</m:t>
        </m:r>
        <m:r>
          <m:t>000</m:t>
        </m:r>
        <m:r>
          <m:rPr>
            <m:sty m:val="p"/>
          </m:rPr>
          <m:t>,</m:t>
        </m:r>
        <m:r>
          <m:t>000</m:t>
        </m:r>
        <m:r>
          <m:rPr>
            <m:sty m:val="p"/>
          </m:rPr>
          <m:t>×</m:t>
        </m:r>
        <m:r>
          <m:t>1000</m:t>
        </m:r>
        <m:r>
          <m:rPr>
            <m:sty m:val="p"/>
          </m:rPr>
          <m:t>=</m:t>
        </m:r>
        <m:r>
          <m:t>30</m:t>
        </m:r>
        <m:r>
          <m:rPr>
            <m:sty m:val="p"/>
          </m:rPr>
          <m:t>+</m:t>
        </m:r>
        <m:r>
          <m:t>0.05</m:t>
        </m:r>
        <m:r>
          <m:rPr>
            <m:sty m:val="p"/>
          </m:rPr>
          <m:t>=</m:t>
        </m:r>
        <m:r>
          <m:t>30.05</m:t>
        </m:r>
      </m:oMath>
      <w:r>
        <w:t xml:space="preserve"> </w:t>
      </w:r>
      <w:r>
        <w:t xml:space="preserve">ms, about 57× slower.</w:t>
      </w:r>
    </w:p>
    <w:p>
      <w:pPr>
        <w:numPr>
          <w:ilvl w:val="0"/>
          <w:numId w:val="1507"/>
        </w:numPr>
        <w:pStyle w:val="Compact"/>
      </w:pPr>
      <w:r>
        <w:t xml:space="preserve">1 GB read, block (one volume):</w:t>
      </w:r>
      <w:r>
        <w:t xml:space="preserve"> </w:t>
      </w:r>
      <m:oMath>
        <m:r>
          <m:t>0.0005</m:t>
        </m:r>
        <m:r>
          <m:rPr>
            <m:sty m:val="p"/>
          </m:rPr>
          <m:t>+</m:t>
        </m:r>
        <m:sSup>
          <m:e>
            <m:r>
              <m:t>10</m:t>
            </m:r>
          </m:e>
          <m:sup>
            <m:r>
              <m:t>9</m:t>
            </m:r>
          </m:sup>
        </m:sSup>
        <m:r>
          <m:rPr>
            <m:sty m:val="p"/>
          </m:rPr>
          <m:t>/</m:t>
        </m:r>
        <m:r>
          <m:t>1.25</m:t>
        </m:r>
        <m:r>
          <m:rPr>
            <m:sty m:val="p"/>
          </m:rPr>
          <m:t>×</m:t>
        </m:r>
        <m:sSup>
          <m:e>
            <m:r>
              <m:t>10</m:t>
            </m:r>
          </m:e>
          <m:sup>
            <m:r>
              <m:t>8</m:t>
            </m:r>
          </m:sup>
        </m:sSup>
        <m:r>
          <m:rPr>
            <m:sty m:val="p"/>
          </m:rPr>
          <m:t>=</m:t>
        </m:r>
        <m:r>
          <m:t>8.0</m:t>
        </m:r>
      </m:oMath>
      <w:r>
        <w:t xml:space="preserve"> </w:t>
      </w:r>
      <w:r>
        <w:t xml:space="preserve">s.</w:t>
      </w:r>
    </w:p>
    <w:p>
      <w:pPr>
        <w:numPr>
          <w:ilvl w:val="0"/>
          <w:numId w:val="1507"/>
        </w:numPr>
        <w:pStyle w:val="Compact"/>
      </w:pPr>
      <w:r>
        <w:t xml:space="preserve">1 GB read, object, one connection:</w:t>
      </w:r>
      <w:r>
        <w:t xml:space="preserve"> </w:t>
      </w:r>
      <m:oMath>
        <m:r>
          <m:t>0.03</m:t>
        </m:r>
        <m:r>
          <m:rPr>
            <m:sty m:val="p"/>
          </m:rPr>
          <m:t>+</m:t>
        </m:r>
        <m:sSup>
          <m:e>
            <m:r>
              <m:t>10</m:t>
            </m:r>
          </m:e>
          <m:sup>
            <m:r>
              <m:t>9</m:t>
            </m:r>
          </m:sup>
        </m:sSup>
        <m:r>
          <m:rPr>
            <m:sty m:val="p"/>
          </m:rPr>
          <m:t>/</m:t>
        </m:r>
        <m:r>
          <m:t>8</m:t>
        </m:r>
        <m:r>
          <m:rPr>
            <m:sty m:val="p"/>
          </m:rPr>
          <m:t>×</m:t>
        </m:r>
        <m:sSup>
          <m:e>
            <m:r>
              <m:t>10</m:t>
            </m:r>
          </m:e>
          <m:sup>
            <m:r>
              <m:t>7</m:t>
            </m:r>
          </m:sup>
        </m:sSup>
        <m:r>
          <m:rPr>
            <m:sty m:val="p"/>
          </m:rPr>
          <m:t>=</m:t>
        </m:r>
        <m:r>
          <m:t>12.5</m:t>
        </m:r>
      </m:oMath>
      <w:r>
        <w:t xml:space="preserve"> </w:t>
      </w:r>
      <w:r>
        <w:t xml:space="preserve">s.</w:t>
      </w:r>
    </w:p>
    <w:p>
      <w:pPr>
        <w:numPr>
          <w:ilvl w:val="0"/>
          <w:numId w:val="1507"/>
        </w:numPr>
        <w:pStyle w:val="Compact"/>
      </w:pPr>
      <w:r>
        <w:t xml:space="preserve">1 GB read, object, 16 parallel range GETs:</w:t>
      </w:r>
      <w:r>
        <w:t xml:space="preserve"> </w:t>
      </w:r>
      <m:oMath>
        <m:r>
          <m:rPr>
            <m:sty m:val="p"/>
          </m:rPr>
          <m:t>min</m:t>
        </m:r>
        <m:d>
          <m:dPr>
            <m:begChr m:val="("/>
            <m:endChr m:val=")"/>
            <m:sepChr m:val=""/>
            <m:grow/>
          </m:dPr>
          <m:e>
            <m:r>
              <m:t>16</m:t>
            </m:r>
            <m:r>
              <m:rPr>
                <m:sty m:val="p"/>
              </m:rPr>
              <m:t>×</m:t>
            </m:r>
            <m:r>
              <m:t>80</m:t>
            </m:r>
            <m:r>
              <m:rPr>
                <m:sty m:val="p"/>
              </m:rPr>
              <m:t>,</m:t>
            </m:r>
            <m:r>
              <m:t>1250</m:t>
            </m:r>
          </m:e>
        </m:d>
        <m:r>
          <m:rPr>
            <m:sty m:val="p"/>
          </m:rPr>
          <m:t>=</m:t>
        </m:r>
        <m:r>
          <m:t>1250</m:t>
        </m:r>
      </m:oMath>
      <w:r>
        <w:t xml:space="preserve"> </w:t>
      </w:r>
      <w:r>
        <w:t xml:space="preserve">MB/s, so</w:t>
      </w:r>
      <w:r>
        <w:t xml:space="preserve"> </w:t>
      </w:r>
      <m:oMath>
        <m:r>
          <m:t>0.03</m:t>
        </m:r>
        <m:r>
          <m:rPr>
            <m:sty m:val="p"/>
          </m:rPr>
          <m:t>+</m:t>
        </m:r>
        <m:r>
          <m:t>0.8</m:t>
        </m:r>
        <m:r>
          <m:rPr>
            <m:sty m:val="p"/>
          </m:rPr>
          <m:t>=</m:t>
        </m:r>
        <m:r>
          <m:t>0.83</m:t>
        </m:r>
      </m:oMath>
      <w:r>
        <w:t xml:space="preserve"> </w:t>
      </w:r>
      <w:r>
        <w:t xml:space="preserve">s.</w:t>
      </w:r>
    </w:p>
    <w:p>
      <w:pPr>
        <w:pStyle w:val="CalloutExample"/>
      </w:pPr>
      <w:r>
        <w:rPr>
          <w:bCs/>
          <w:b/>
        </w:rPr>
        <w:t xml:space="preserve">Interpretation.</w:t>
      </w:r>
      <w:r>
        <w:t xml:space="preserve"> </w:t>
      </w:r>
      <w:r>
        <w:t xml:space="preserve">For tiny random reads the fixed latency dominates and the block volume wins by more than an order of magnitude. For bulk reads the transfer term dominates, and the object store wins because it lets you open many independent streams to many storage nodes, while one volume has a fixed throughput cap.</w:t>
      </w:r>
      <w:r>
        <w:t xml:space="preserve"> </w:t>
      </w:r>
      <w:r>
        <w:rPr>
          <w:bCs/>
          <w:b/>
        </w:rPr>
        <w:t xml:space="preserve">Engineering implication.</w:t>
      </w:r>
      <w:r>
        <w:t xml:space="preserve"> </w:t>
      </w:r>
      <w:r>
        <w:t xml:space="preserve">Put latency-sensitive random I/O (database pages) on block storage; put large, sequentially read data (media, logs, training data, backups) on object storage and read it with parallel range requests. Never use an object store as if it were a disk for a database.</w:t>
      </w:r>
    </w:p>
    <w:p>
      <w:pPr>
        <w:pStyle w:val="BodyText"/>
      </w:pPr>
      <w:r>
        <w:rPr>
          <w:bCs/>
          <w:b/>
        </w:rPr>
        <w:t xml:space="preserve">Table 15.1 — Block, file and object storage compared.</w:t>
      </w:r>
      <w:r>
        <w:t xml:space="preserve"> </w:t>
      </w:r>
      <w:r>
        <w:t xml:space="preserve">Latency figures are typical orders of magnitude (as of 2026), not guarantees.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Aspect</w:t>
            </w:r>
          </w:p>
        </w:tc>
        <w:tc>
          <w:tcPr/>
          <w:p>
            <w:pPr>
              <w:pStyle w:val="Compact"/>
              <w:jc w:val="left"/>
            </w:pPr>
            <w:r>
              <w:t xml:space="preserve">Block</w:t>
            </w:r>
          </w:p>
        </w:tc>
        <w:tc>
          <w:tcPr/>
          <w:p>
            <w:pPr>
              <w:pStyle w:val="Compact"/>
              <w:jc w:val="left"/>
            </w:pPr>
            <w:r>
              <w:t xml:space="preserve">File</w:t>
            </w:r>
          </w:p>
        </w:tc>
        <w:tc>
          <w:tcPr/>
          <w:p>
            <w:pPr>
              <w:pStyle w:val="Compact"/>
              <w:jc w:val="left"/>
            </w:pPr>
            <w:r>
              <w:t xml:space="preserve">Object</w:t>
            </w:r>
          </w:p>
        </w:tc>
      </w:tr>
      <w:tr>
        <w:tc>
          <w:tcPr/>
          <w:p>
            <w:pPr>
              <w:pStyle w:val="Compact"/>
              <w:jc w:val="left"/>
            </w:pPr>
            <w:r>
              <w:t xml:space="preserve">What it is</w:t>
            </w:r>
          </w:p>
        </w:tc>
        <w:tc>
          <w:tcPr/>
          <w:p>
            <w:pPr>
              <w:pStyle w:val="Compact"/>
              <w:jc w:val="left"/>
            </w:pPr>
            <w:r>
              <w:t xml:space="preserve">Virtual disk of numbered blocks</w:t>
            </w:r>
          </w:p>
        </w:tc>
        <w:tc>
          <w:tcPr/>
          <w:p>
            <w:pPr>
              <w:pStyle w:val="Compact"/>
              <w:jc w:val="left"/>
            </w:pPr>
            <w:r>
              <w:t xml:space="preserve">Shared directory tree of files</w:t>
            </w:r>
          </w:p>
        </w:tc>
        <w:tc>
          <w:tcPr/>
          <w:p>
            <w:pPr>
              <w:pStyle w:val="Compact"/>
              <w:jc w:val="left"/>
            </w:pPr>
            <w:r>
              <w:t xml:space="preserve">Flat bucket of immutable key → blob</w:t>
            </w:r>
          </w:p>
        </w:tc>
      </w:tr>
      <w:tr>
        <w:tc>
          <w:tcPr/>
          <w:p>
            <w:pPr>
              <w:pStyle w:val="Compact"/>
              <w:jc w:val="left"/>
            </w:pPr>
            <w:r>
              <w:t xml:space="preserve">Interface</w:t>
            </w:r>
          </w:p>
        </w:tc>
        <w:tc>
          <w:tcPr/>
          <w:p>
            <w:pPr>
              <w:pStyle w:val="Compact"/>
              <w:jc w:val="left"/>
            </w:pPr>
            <w:r>
              <w:t xml:space="preserve">NVMe/iSCSI/SCSI commands</w:t>
            </w:r>
          </w:p>
        </w:tc>
        <w:tc>
          <w:tcPr/>
          <w:p>
            <w:pPr>
              <w:pStyle w:val="Compact"/>
              <w:jc w:val="left"/>
            </w:pPr>
            <w:r>
              <w:t xml:space="preserve">NFS, SMB, POSIX</w:t>
            </w:r>
          </w:p>
        </w:tc>
        <w:tc>
          <w:tcPr/>
          <w:p>
            <w:pPr>
              <w:pStyle w:val="Compact"/>
              <w:jc w:val="left"/>
            </w:pPr>
            <w:r>
              <w:t xml:space="preserve">HTTP REST: PUT, GET, DELETE, LIST</w:t>
            </w:r>
          </w:p>
        </w:tc>
      </w:tr>
      <w:tr>
        <w:tc>
          <w:tcPr/>
          <w:p>
            <w:pPr>
              <w:pStyle w:val="Compact"/>
              <w:jc w:val="left"/>
            </w:pPr>
            <w:r>
              <w:t xml:space="preserve">Update model</w:t>
            </w:r>
          </w:p>
        </w:tc>
        <w:tc>
          <w:tcPr/>
          <w:p>
            <w:pPr>
              <w:pStyle w:val="Compact"/>
              <w:jc w:val="left"/>
            </w:pPr>
            <w:r>
              <w:t xml:space="preserve">Overwrite any block in place</w:t>
            </w:r>
          </w:p>
        </w:tc>
        <w:tc>
          <w:tcPr/>
          <w:p>
            <w:pPr>
              <w:pStyle w:val="Compact"/>
              <w:jc w:val="left"/>
            </w:pPr>
            <w:r>
              <w:t xml:space="preserve">Overwrite/append at any offset; rename; locks</w:t>
            </w:r>
          </w:p>
        </w:tc>
        <w:tc>
          <w:tcPr/>
          <w:p>
            <w:pPr>
              <w:pStyle w:val="Compact"/>
              <w:jc w:val="left"/>
            </w:pPr>
            <w:r>
              <w:t xml:space="preserve">Replace whole object (new version)</w:t>
            </w:r>
          </w:p>
        </w:tc>
      </w:tr>
      <w:tr>
        <w:tc>
          <w:tcPr/>
          <w:p>
            <w:pPr>
              <w:pStyle w:val="Compact"/>
              <w:jc w:val="left"/>
            </w:pPr>
            <w:r>
              <w:t xml:space="preserve">Sharing</w:t>
            </w:r>
          </w:p>
        </w:tc>
        <w:tc>
          <w:tcPr/>
          <w:p>
            <w:pPr>
              <w:pStyle w:val="Compact"/>
              <w:jc w:val="left"/>
            </w:pPr>
            <w:r>
              <w:t xml:space="preserve">One host (multi-attach rare)</w:t>
            </w:r>
          </w:p>
        </w:tc>
        <w:tc>
          <w:tcPr/>
          <w:p>
            <w:pPr>
              <w:pStyle w:val="Compact"/>
              <w:jc w:val="left"/>
            </w:pPr>
            <w:r>
              <w:t xml:space="preserve">Many hosts concurrently</w:t>
            </w:r>
          </w:p>
        </w:tc>
        <w:tc>
          <w:tcPr/>
          <w:p>
            <w:pPr>
              <w:pStyle w:val="Compact"/>
              <w:jc w:val="left"/>
            </w:pPr>
            <w:r>
              <w:t xml:space="preserve">Unlimited clients over the internet</w:t>
            </w:r>
          </w:p>
        </w:tc>
      </w:tr>
      <w:tr>
        <w:tc>
          <w:tcPr/>
          <w:p>
            <w:pPr>
              <w:pStyle w:val="Compact"/>
              <w:jc w:val="left"/>
            </w:pPr>
            <w:r>
              <w:t xml:space="preserve">Typical first-byte latency</w:t>
            </w:r>
          </w:p>
        </w:tc>
        <w:tc>
          <w:tcPr/>
          <w:p>
            <w:pPr>
              <w:pStyle w:val="Compact"/>
              <w:jc w:val="left"/>
            </w:pPr>
            <w:r>
              <w:t xml:space="preserve">~0.1–2 ms (network SSD)</w:t>
            </w:r>
          </w:p>
        </w:tc>
        <w:tc>
          <w:tcPr/>
          <w:p>
            <w:pPr>
              <w:pStyle w:val="Compact"/>
              <w:jc w:val="left"/>
            </w:pPr>
            <w:r>
              <w:t xml:space="preserve">~1–10 ms</w:t>
            </w:r>
          </w:p>
        </w:tc>
        <w:tc>
          <w:tcPr/>
          <w:p>
            <w:pPr>
              <w:pStyle w:val="Compact"/>
              <w:jc w:val="left"/>
            </w:pPr>
            <w:r>
              <w:t xml:space="preserve">~10–100+ ms (single-digit ms for premium one-zone classes)</w:t>
            </w:r>
          </w:p>
        </w:tc>
      </w:tr>
      <w:tr>
        <w:tc>
          <w:tcPr/>
          <w:p>
            <w:pPr>
              <w:pStyle w:val="Compact"/>
              <w:jc w:val="left"/>
            </w:pPr>
            <w:r>
              <w:t xml:space="preserve">Throughput scaling</w:t>
            </w:r>
          </w:p>
        </w:tc>
        <w:tc>
          <w:tcPr/>
          <w:p>
            <w:pPr>
              <w:pStyle w:val="Compact"/>
              <w:jc w:val="left"/>
            </w:pPr>
            <w:r>
              <w:t xml:space="preserve">Per-volume cap</w:t>
            </w:r>
          </w:p>
        </w:tc>
        <w:tc>
          <w:tcPr/>
          <w:p>
            <w:pPr>
              <w:pStyle w:val="Compact"/>
              <w:jc w:val="left"/>
            </w:pPr>
            <w:r>
              <w:t xml:space="preserve">Per file system; often bursts</w:t>
            </w:r>
          </w:p>
        </w:tc>
        <w:tc>
          <w:tcPr/>
          <w:p>
            <w:pPr>
              <w:pStyle w:val="Compact"/>
              <w:jc w:val="left"/>
            </w:pPr>
            <w:r>
              <w:t xml:space="preserve">Near-linear with parallel requests</w:t>
            </w:r>
          </w:p>
        </w:tc>
      </w:tr>
      <w:tr>
        <w:tc>
          <w:tcPr/>
          <w:p>
            <w:pPr>
              <w:pStyle w:val="Compact"/>
              <w:jc w:val="left"/>
            </w:pPr>
            <w:r>
              <w:t xml:space="preserve">Consistency</w:t>
            </w:r>
          </w:p>
        </w:tc>
        <w:tc>
          <w:tcPr/>
          <w:p>
            <w:pPr>
              <w:pStyle w:val="Compact"/>
              <w:jc w:val="left"/>
            </w:pPr>
            <w:r>
              <w:t xml:space="preserve">Strong (single writer)</w:t>
            </w:r>
          </w:p>
        </w:tc>
        <w:tc>
          <w:tcPr/>
          <w:p>
            <w:pPr>
              <w:pStyle w:val="Compact"/>
              <w:jc w:val="left"/>
            </w:pPr>
            <w:r>
              <w:t xml:space="preserve">Close-to-open (NFS) to strong</w:t>
            </w:r>
          </w:p>
        </w:tc>
        <w:tc>
          <w:tcPr/>
          <w:p>
            <w:pPr>
              <w:pStyle w:val="Compact"/>
              <w:jc w:val="left"/>
            </w:pPr>
            <w:r>
              <w:t xml:space="preserve">Strong read-after-write (S3 since Dec 2020; GCS; Azure Blob)</w:t>
            </w:r>
          </w:p>
        </w:tc>
      </w:tr>
      <w:tr>
        <w:tc>
          <w:tcPr/>
          <w:p>
            <w:pPr>
              <w:pStyle w:val="Compact"/>
              <w:jc w:val="left"/>
            </w:pPr>
            <w:r>
              <w:t xml:space="preserve">Cost (relative)</w:t>
            </w:r>
          </w:p>
        </w:tc>
        <w:tc>
          <w:tcPr/>
          <w:p>
            <w:pPr>
              <w:pStyle w:val="Compact"/>
              <w:jc w:val="left"/>
            </w:pPr>
            <w:r>
              <w:t xml:space="preserve">Highest per GB, pay for provisioned size</w:t>
            </w:r>
          </w:p>
        </w:tc>
        <w:tc>
          <w:tcPr/>
          <w:p>
            <w:pPr>
              <w:pStyle w:val="Compact"/>
              <w:jc w:val="left"/>
            </w:pPr>
            <w:r>
              <w:t xml:space="preserve">High</w:t>
            </w:r>
          </w:p>
        </w:tc>
        <w:tc>
          <w:tcPr/>
          <w:p>
            <w:pPr>
              <w:pStyle w:val="Compact"/>
              <w:jc w:val="left"/>
            </w:pPr>
            <w:r>
              <w:t xml:space="preserve">Lowest, pay for bytes stored and requests</w:t>
            </w:r>
          </w:p>
        </w:tc>
      </w:tr>
      <w:tr>
        <w:tc>
          <w:tcPr/>
          <w:p>
            <w:pPr>
              <w:pStyle w:val="Compact"/>
              <w:jc w:val="left"/>
            </w:pPr>
            <w:r>
              <w:t xml:space="preserve">Examples</w:t>
            </w:r>
          </w:p>
        </w:tc>
        <w:tc>
          <w:tcPr/>
          <w:p>
            <w:pPr>
              <w:pStyle w:val="Compact"/>
              <w:jc w:val="left"/>
            </w:pPr>
            <w:r>
              <w:t xml:space="preserve">Amazon EBS, Google Persistent Disk, Azure Managed Disks</w:t>
            </w:r>
          </w:p>
        </w:tc>
        <w:tc>
          <w:tcPr/>
          <w:p>
            <w:pPr>
              <w:pStyle w:val="Compact"/>
              <w:jc w:val="left"/>
            </w:pPr>
            <w:r>
              <w:t xml:space="preserve">NFS, Amazon EFS, Google Filestore, Azure Files, Lustre</w:t>
            </w:r>
          </w:p>
        </w:tc>
        <w:tc>
          <w:tcPr/>
          <w:p>
            <w:pPr>
              <w:pStyle w:val="Compact"/>
              <w:jc w:val="left"/>
            </w:pPr>
            <w:r>
              <w:t xml:space="preserve">Amazon S3, Google Cloud Storage, Azure Blob Storage, Ceph RGW, MinIO</w:t>
            </w:r>
          </w:p>
        </w:tc>
      </w:tr>
      <w:tr>
        <w:tc>
          <w:tcPr/>
          <w:p>
            <w:pPr>
              <w:pStyle w:val="Compact"/>
              <w:jc w:val="left"/>
            </w:pPr>
            <w:r>
              <w:t xml:space="preserve">Choose when</w:t>
            </w:r>
          </w:p>
        </w:tc>
        <w:tc>
          <w:tcPr/>
          <w:p>
            <w:pPr>
              <w:pStyle w:val="Compact"/>
              <w:jc w:val="left"/>
            </w:pPr>
            <w:r>
              <w:t xml:space="preserve">Databases, boot disks, low-latency random I/O</w:t>
            </w:r>
          </w:p>
        </w:tc>
        <w:tc>
          <w:tcPr/>
          <w:p>
            <w:pPr>
              <w:pStyle w:val="Compact"/>
              <w:jc w:val="left"/>
            </w:pPr>
            <w:r>
              <w:t xml:space="preserve">Shared POSIX access, legacy apps, HPC scratch</w:t>
            </w:r>
          </w:p>
        </w:tc>
        <w:tc>
          <w:tcPr/>
          <w:p>
            <w:pPr>
              <w:pStyle w:val="Compact"/>
              <w:jc w:val="left"/>
            </w:pPr>
            <w:r>
              <w:t xml:space="preserve">Media, backups, logs, data lakes, ML datasets</w:t>
            </w:r>
          </w:p>
        </w:tc>
      </w:tr>
    </w:tbl>
    <w:bookmarkEnd w:id="1696"/>
    <w:bookmarkStart w:id="1697" w:name="real-world-industry-applications-29"/>
    <w:p>
      <w:pPr>
        <w:pStyle w:val="Heading4"/>
      </w:pPr>
      <w:r>
        <w:t xml:space="preserve">Real-world industry applications</w:t>
      </w:r>
    </w:p>
    <w:p>
      <w:pPr>
        <w:pStyle w:val="CalloutIndustry"/>
      </w:pPr>
      <w:r>
        <w:rPr>
          <w:bCs/>
          <w:b/>
        </w:rPr>
        <w:t xml:space="preserve">INDUSTRY EXAMPLE</w:t>
      </w:r>
    </w:p>
    <w:p>
      <w:pPr>
        <w:pStyle w:val="CalloutIndustry"/>
      </w:pPr>
      <w:r>
        <w:rPr>
          <w:bCs/>
          <w:b/>
        </w:rPr>
        <w:t xml:space="preserve">Cloud block, file and object services.</w:t>
      </w:r>
      <w:r>
        <w:t xml:space="preserve"> </w:t>
      </w:r>
      <w:r>
        <w:t xml:space="preserve">AWS documents EBS gp3 volumes with a baseline of 3,000 IOPS and 125 MiB/s that can be provisioned higher, and EBS volumes are created in a single Availability Zone; Amazon EFS is accessed with NFSv4.1 and stores data across multiple zones in its regional classes; Amazon S3 is designed for 99.999999999% durability and, since December 2020, provides strong read-after-write consistency for PUT and DELETE of objects and for LIST, automatically and at no extra cost [AWS S3 consistency docs; AWS EBS docs]. Google Cloud Storage documents strong global consistency for read-after-write, read-after-delete and object listing [Google Cloud Storage consistency docs].</w:t>
      </w:r>
      <w:r>
        <w:t xml:space="preserve"> </w:t>
      </w:r>
      <w:r>
        <w:rPr>
          <w:iCs/>
          <w:i/>
        </w:rPr>
        <w:t xml:space="preserve">Evidence: Primary</w:t>
      </w:r>
      <w:r>
        <w:t xml:space="preserve"> </w:t>
      </w:r>
      <w:r>
        <w:t xml:space="preserve">— [AWS S3 consistency docs; AWS EBS docs; Google Cloud Storage consistency docs]</w:t>
      </w:r>
    </w:p>
    <w:bookmarkEnd w:id="1697"/>
    <w:bookmarkStart w:id="1698" w:name="common-misconceptions-33"/>
    <w:p>
      <w:pPr>
        <w:pStyle w:val="Heading4"/>
      </w:pPr>
      <w:r>
        <w:t xml:space="preserve">Common misconceptions</w:t>
      </w:r>
    </w:p>
    <w:p>
      <w:pPr>
        <w:pStyle w:val="CalloutMistake"/>
      </w:pPr>
      <w:r>
        <w:rPr>
          <w:bCs/>
          <w:b/>
        </w:rPr>
        <w:t xml:space="preserve">COMMON MISTAKE</w:t>
      </w:r>
    </w:p>
    <w:p>
      <w:pPr>
        <w:pStyle w:val="CalloutMistake"/>
      </w:pPr>
      <w:r>
        <w:rPr>
          <w:bCs/>
          <w:b/>
        </w:rPr>
        <w:t xml:space="preserve">“</w:t>
      </w:r>
      <w:r>
        <w:rPr>
          <w:bCs/>
          <w:b/>
        </w:rPr>
        <w:t xml:space="preserve">S3 is a file system.</w:t>
      </w:r>
      <w:r>
        <w:rPr>
          <w:bCs/>
          <w:b/>
        </w:rPr>
        <w:t xml:space="preserve">”</w:t>
      </w:r>
      <w:r>
        <w:t xml:space="preserve"> </w:t>
      </w:r>
      <w:r>
        <w:t xml:space="preserve">Tools that mount a bucket as a directory make it look like one, but</w:t>
      </w:r>
      <w:r>
        <w:t xml:space="preserve"> </w:t>
      </w:r>
      <w:r>
        <w:rPr>
          <w:rStyle w:val="VerbatimChar"/>
        </w:rPr>
        <w:t xml:space="preserve">rename</w:t>
      </w:r>
      <w:r>
        <w:t xml:space="preserve"> </w:t>
      </w:r>
      <w:r>
        <w:t xml:space="preserve">becomes copy-plus-delete of every object, appending means rewriting the whole object, and there are no locks. Programs that assume POSIX semantics (for example, writing a file in place and renaming it atomically) can be slow or incorrect on such mounts.</w:t>
      </w:r>
    </w:p>
    <w:bookmarkEnd w:id="1698"/>
    <w:bookmarkEnd w:id="1699"/>
    <w:bookmarkEnd w:id="1700"/>
    <w:bookmarkStart w:id="1718" w:name="object-storage-architecture-the-s3-model"/>
    <w:p>
      <w:pPr>
        <w:pStyle w:val="Heading2"/>
      </w:pPr>
      <w:r>
        <w:t xml:space="preserve">15.4 Object storage architecture (the S3 model)</w:t>
      </w:r>
    </w:p>
    <w:bookmarkStart w:id="1703" w:name="buckets-keys-and-a-flat-namespace"/>
    <w:p>
      <w:pPr>
        <w:pStyle w:val="Heading3"/>
      </w:pPr>
      <w:r>
        <w:t xml:space="preserve">15.4.1 Buckets, keys and a flat namespace</w:t>
      </w:r>
    </w:p>
    <w:p>
      <w:pPr>
        <w:pStyle w:val="CalloutDefinition"/>
      </w:pPr>
      <w:r>
        <w:rPr>
          <w:bCs/>
          <w:b/>
        </w:rPr>
        <w:t xml:space="preserve">DEFINITION</w:t>
      </w:r>
    </w:p>
    <w:p>
      <w:pPr>
        <w:pStyle w:val="CalloutDefinition"/>
      </w:pPr>
      <w:r>
        <w:rPr>
          <w:bCs/>
          <w:b/>
        </w:rPr>
        <w:t xml:space="preserve">Definition — Bucket, key, object and flat namespace.</w:t>
      </w:r>
      <w:r>
        <w:t xml:space="preserve"> </w:t>
      </w:r>
      <w:r>
        <w:t xml:space="preserve">A</w:t>
      </w:r>
      <w:r>
        <w:t xml:space="preserve"> </w:t>
      </w:r>
      <w:r>
        <w:rPr>
          <w:bCs/>
          <w:b/>
        </w:rPr>
        <w:t xml:space="preserve">bucket</w:t>
      </w:r>
      <w:r>
        <w:t xml:space="preserve"> </w:t>
      </w:r>
      <w:r>
        <w:t xml:space="preserve">is a named container with its own access policy, region and configuration. An</w:t>
      </w:r>
      <w:r>
        <w:t xml:space="preserve"> </w:t>
      </w:r>
      <w:r>
        <w:rPr>
          <w:bCs/>
          <w:b/>
        </w:rPr>
        <w:t xml:space="preserve">object</w:t>
      </w:r>
      <w:r>
        <w:t xml:space="preserve"> </w:t>
      </w:r>
      <w:r>
        <w:t xml:space="preserve">is an immutable byte string (from zero bytes to tens of terabytes) plus system metadata (size, content type, checksum, version ID) and user metadata. A</w:t>
      </w:r>
      <w:r>
        <w:t xml:space="preserve"> </w:t>
      </w:r>
      <w:r>
        <w:rPr>
          <w:bCs/>
          <w:b/>
        </w:rPr>
        <w:t xml:space="preserve">key</w:t>
      </w:r>
      <w:r>
        <w:t xml:space="preserve"> </w:t>
      </w:r>
      <w:r>
        <w:t xml:space="preserve">is the object’s full name within the bucket, for example</w:t>
      </w:r>
      <w:r>
        <w:t xml:space="preserve"> </w:t>
      </w:r>
      <w:r>
        <w:rPr>
          <w:rStyle w:val="VerbatimChar"/>
        </w:rPr>
        <w:t xml:space="preserve">photos/2026/10/u42/abc.jpg</w:t>
      </w:r>
      <w:r>
        <w:t xml:space="preserve">. The namespace is</w:t>
      </w:r>
      <w:r>
        <w:t xml:space="preserve"> </w:t>
      </w:r>
      <w:r>
        <w:rPr>
          <w:bCs/>
          <w:b/>
        </w:rPr>
        <w:t xml:space="preserve">flat</w:t>
      </w:r>
      <w:r>
        <w:t xml:space="preserve">: the slashes are ordinary characters, and</w:t>
      </w:r>
      <w:r>
        <w:t xml:space="preserve"> </w:t>
      </w:r>
      <w:r>
        <w:t xml:space="preserve">“</w:t>
      </w:r>
      <w:r>
        <w:t xml:space="preserve">folders</w:t>
      </w:r>
      <w:r>
        <w:t xml:space="preserve">”</w:t>
      </w:r>
      <w:r>
        <w:t xml:space="preserve"> </w:t>
      </w:r>
      <w:r>
        <w:t xml:space="preserve">are an illusion produced by listing keys that share a</w:t>
      </w:r>
      <w:r>
        <w:t xml:space="preserve"> </w:t>
      </w:r>
      <w:r>
        <w:rPr>
          <w:bCs/>
          <w:b/>
        </w:rPr>
        <w:t xml:space="preserve">prefix</w:t>
      </w:r>
      <w:r>
        <w:t xml:space="preserve"> </w:t>
      </w:r>
      <w:r>
        <w:t xml:space="preserve">and grouping them at a</w:t>
      </w:r>
      <w:r>
        <w:t xml:space="preserve"> </w:t>
      </w:r>
      <w:r>
        <w:rPr>
          <w:bCs/>
          <w:b/>
        </w:rPr>
        <w:t xml:space="preserve">delimiter</w:t>
      </w:r>
      <w:r>
        <w:t xml:space="preserve"> </w:t>
      </w:r>
      <w:r>
        <w:t xml:space="preserve">(usually</w:t>
      </w:r>
      <w:r>
        <w:t xml:space="preserve"> </w:t>
      </w:r>
      <w:r>
        <w:rPr>
          <w:rStyle w:val="VerbatimChar"/>
        </w:rPr>
        <w:t xml:space="preserve">/</w:t>
      </w:r>
      <w:r>
        <w:t xml:space="preserve">).</w:t>
      </w:r>
    </w:p>
    <w:bookmarkStart w:id="1701" w:name="first-principles-explanation-96"/>
    <w:p>
      <w:pPr>
        <w:pStyle w:val="Heading4"/>
      </w:pPr>
      <w:r>
        <w:t xml:space="preserve">First-principles explanation</w:t>
      </w:r>
    </w:p>
    <w:p>
      <w:pPr>
        <w:pStyle w:val="FirstParagraph"/>
      </w:pPr>
      <w:r>
        <w:t xml:space="preserve">A hierarchical file system is a tree, and trees need coordination: renaming a directory atomically moves everything beneath it, and creating a file must check and update its parent directory. If millions of clients create files in the same directory, that one directory becomes a lock everyone fights over. A flat namespace removes the tree. Each key is independent, so the system can sort all keys and split the sorted list into ranges, giving each range to a different metadata server, exactly like range partitioning a database table (§14.6). Listing</w:t>
      </w:r>
      <w:r>
        <w:t xml:space="preserve"> </w:t>
      </w:r>
      <w:r>
        <w:t xml:space="preserve">“</w:t>
      </w:r>
      <w:r>
        <w:t xml:space="preserve">the folder</w:t>
      </w:r>
      <w:r>
        <w:t xml:space="preserve">”</w:t>
      </w:r>
      <w:r>
        <w:t xml:space="preserve"> </w:t>
      </w:r>
      <w:r>
        <w:rPr>
          <w:rStyle w:val="VerbatimChar"/>
        </w:rPr>
        <w:t xml:space="preserve">photos/2026/10/</w:t>
      </w:r>
      <w:r>
        <w:t xml:space="preserve"> </w:t>
      </w:r>
      <w:r>
        <w:t xml:space="preserve">becomes a range scan from that prefix to the next one.</w:t>
      </w:r>
    </w:p>
    <w:bookmarkEnd w:id="1701"/>
    <w:bookmarkStart w:id="1702" w:name="why-does-this-exist-57"/>
    <w:p>
      <w:pPr>
        <w:pStyle w:val="Heading4"/>
      </w:pPr>
      <w:r>
        <w:t xml:space="preserve">Why does this exist?</w:t>
      </w:r>
    </w:p>
    <w:p>
      <w:pPr>
        <w:pStyle w:val="FirstParagraph"/>
      </w:pPr>
      <w:r>
        <w:t xml:space="preserve">The web needed storage reachable over HTTP that never filled up. Immutable whole objects make that tractable: no partial overwrites to replicate, no locks to hold across a network partition, and bytes that never change, so caches and CDNs (Chapter 21) can store them safely.</w:t>
      </w:r>
    </w:p>
    <w:bookmarkEnd w:id="1702"/>
    <w:bookmarkEnd w:id="1703"/>
    <w:bookmarkStart w:id="1717" w:name="components-of-an-s3-style-object-store"/>
    <w:p>
      <w:pPr>
        <w:pStyle w:val="Heading3"/>
      </w:pPr>
      <w:r>
        <w:t xml:space="preserve">15.4.2 Components of an S3-style object store</w:t>
      </w:r>
    </w:p>
    <w:p>
      <w:pPr>
        <w:pStyle w:val="FirstParagraph"/>
      </w:pPr>
      <w:r>
        <w:t xml:space="preserve">AWS has published only fragments of S3’s internals (cited below). The design that follows is a generic, teaching architecture that matches the public behavior of S3, Google Cloud Storage, Azure Blob Storage and open-source systems such as Ceph’s RADOS Gateway; it is not a description of any one product.</w:t>
      </w:r>
    </w:p>
    <w:p>
      <w:pPr>
        <w:pStyle w:val="BodyText"/>
      </w:pPr>
      <w:r>
        <w:rPr>
          <w:bCs/>
          <w:b/>
        </w:rPr>
        <w:t xml:space="preserve">Figure 15.2 — Generic S3-style object store (illustrative).</w:t>
      </w:r>
    </w:p>
    <w:p>
      <w:pPr>
        <w:pStyle w:val="BodyText"/>
      </w:pPr>
      <w:r>
        <w:drawing>
          <wp:inline>
            <wp:extent cx="5334000" cy="1251351"/>
            <wp:effectExtent b="0" l="0" r="0" t="0"/>
            <wp:docPr descr="" title="" id="1705" name="Picture"/>
            <a:graphic>
              <a:graphicData uri="http://schemas.openxmlformats.org/drawingml/2006/picture">
                <pic:pic>
                  <pic:nvPicPr>
                    <pic:cNvPr descr="/home/user/System-Design/build/.cache/diagrams/801fdd4882d8.png" id="1706" name="Picture"/>
                    <pic:cNvPicPr>
                      <a:picLocks noChangeArrowheads="1" noChangeAspect="1"/>
                    </pic:cNvPicPr>
                  </pic:nvPicPr>
                  <pic:blipFill>
                    <a:blip r:embed="rId1704"/>
                    <a:stretch>
                      <a:fillRect/>
                    </a:stretch>
                  </pic:blipFill>
                  <pic:spPr bwMode="auto">
                    <a:xfrm>
                      <a:off x="0" y="0"/>
                      <a:ext cx="5334000" cy="1251351"/>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w:t>
      </w:r>
      <w:r>
        <w:t xml:space="preserve"> </w:t>
      </w:r>
      <w:r>
        <w:rPr>
          <w:iCs/>
          <w:i/>
        </w:rPr>
        <w:t xml:space="preserve">client</w:t>
      </w:r>
      <w:r>
        <w:t xml:space="preserve"> </w:t>
      </w:r>
      <w:r>
        <w:t xml:space="preserve">sends an HTTPS request signed with its credentials. The stateless</w:t>
      </w:r>
      <w:r>
        <w:t xml:space="preserve"> </w:t>
      </w:r>
      <w:r>
        <w:rPr>
          <w:iCs/>
          <w:i/>
        </w:rPr>
        <w:t xml:space="preserve">front end</w:t>
      </w:r>
      <w:r>
        <w:t xml:space="preserve"> </w:t>
      </w:r>
      <w:r>
        <w:t xml:space="preserve">authenticates, authorizes and routes it. The</w:t>
      </w:r>
      <w:r>
        <w:t xml:space="preserve"> </w:t>
      </w:r>
      <w:r>
        <w:rPr>
          <w:iCs/>
          <w:i/>
        </w:rPr>
        <w:t xml:space="preserve">metadata index</w:t>
      </w:r>
      <w:r>
        <w:t xml:space="preserve"> </w:t>
      </w:r>
      <w:r>
        <w:t xml:space="preserve">maps (bucket, key, version) to the locations of the object’s data; it is partitioned by key range so that LIST by prefix is a range scan, and each partition is replicated (a consensus-replicated store is the usual choice, Chapter 26). The</w:t>
      </w:r>
      <w:r>
        <w:t xml:space="preserve"> </w:t>
      </w:r>
      <w:r>
        <w:rPr>
          <w:iCs/>
          <w:i/>
        </w:rPr>
        <w:t xml:space="preserve">placement service</w:t>
      </w:r>
      <w:r>
        <w:t xml:space="preserve"> </w:t>
      </w:r>
      <w:r>
        <w:t xml:space="preserve">chooses which storage nodes, in which failure domains, receive a new object’s fragments, using asynchronous health and capacity reports (dotted).</w:t>
      </w:r>
      <w:r>
        <w:t xml:space="preserve"> </w:t>
      </w:r>
      <w:r>
        <w:rPr>
          <w:iCs/>
          <w:i/>
        </w:rPr>
        <w:t xml:space="preserve">Storage nodes</w:t>
      </w:r>
      <w:r>
        <w:t xml:space="preserve"> </w:t>
      </w:r>
      <w:r>
        <w:t xml:space="preserve">own disks and store fragments with checksums. All client-facing arrows are synchronous.</w:t>
      </w:r>
      <w:r>
        <w:t xml:space="preserve"> </w:t>
      </w:r>
      <w:r>
        <w:rPr>
          <w:iCs/>
          <w:i/>
        </w:rPr>
        <w:t xml:space="preserve">Background workers</w:t>
      </w:r>
      <w:r>
        <w:t xml:space="preserve"> </w:t>
      </w:r>
      <w:r>
        <w:t xml:space="preserve">(dotted, asynchronous) re-create lost fragments, scrub checksums, garbage-collect unreferenced data and apply lifecycle rules (§15.9). Storage boundaries: small, hot, strongly consistent metadata is separated from huge, append-only data. Failure points: an unavailable index partition makes intact data unreachable; storage-node failures are routine and repaired in the background. Scaling: add front ends for request rate, split index partitions for key-space hot spots, add storage nodes for capacity.</w:t>
      </w:r>
    </w:p>
    <w:bookmarkStart w:id="1710" w:name="how-it-works-internally-61"/>
    <w:p>
      <w:pPr>
        <w:pStyle w:val="Heading4"/>
      </w:pPr>
      <w:r>
        <w:t xml:space="preserve">How it works internally</w:t>
      </w:r>
    </w:p>
    <w:p>
      <w:pPr>
        <w:pStyle w:val="FirstParagraph"/>
      </w:pPr>
      <w:r>
        <w:rPr>
          <w:bCs/>
          <w:b/>
        </w:rPr>
        <w:t xml:space="preserve">PUT (write path):</w:t>
      </w:r>
    </w:p>
    <w:p>
      <w:pPr>
        <w:numPr>
          <w:ilvl w:val="0"/>
          <w:numId w:val="1508"/>
        </w:numPr>
        <w:pStyle w:val="Compact"/>
      </w:pPr>
      <w:r>
        <w:t xml:space="preserve">The front end authenticates the request (for example AWS Signature Version 4, an HMAC over the request, §10.4.6) and checks the bucket policy.</w:t>
      </w:r>
    </w:p>
    <w:p>
      <w:pPr>
        <w:numPr>
          <w:ilvl w:val="0"/>
          <w:numId w:val="1508"/>
        </w:numPr>
        <w:pStyle w:val="Compact"/>
      </w:pPr>
      <w:r>
        <w:t xml:space="preserve">It asks the placement service for a set of storage nodes spread across failure domains (disks, racks, zones).</w:t>
      </w:r>
    </w:p>
    <w:p>
      <w:pPr>
        <w:numPr>
          <w:ilvl w:val="0"/>
          <w:numId w:val="1508"/>
        </w:numPr>
        <w:pStyle w:val="Compact"/>
      </w:pPr>
      <w:r>
        <w:t xml:space="preserve">It streams the body, splits it into chunks if it is large, and writes each chunk redundantly: replicas or erasure-coded fragments (§15.6). It computes a checksum and verifies any checksum the client sent.</w:t>
      </w:r>
    </w:p>
    <w:p>
      <w:pPr>
        <w:numPr>
          <w:ilvl w:val="0"/>
          <w:numId w:val="1508"/>
        </w:numPr>
        <w:pStyle w:val="Compact"/>
      </w:pPr>
      <w:r>
        <w:t xml:space="preserve">Only after enough fragments are durable does it</w:t>
      </w:r>
      <w:r>
        <w:t xml:space="preserve"> </w:t>
      </w:r>
      <w:r>
        <w:rPr>
          <w:bCs/>
          <w:b/>
        </w:rPr>
        <w:t xml:space="preserve">commit</w:t>
      </w:r>
      <w:r>
        <w:t xml:space="preserve"> </w:t>
      </w:r>
      <w:r>
        <w:t xml:space="preserve">a new metadata record (key, version ID, size, checksum, fragment locations) to the index partition that owns the key. This commit is the linearization point: before it, readers see the old version (or nothing); after it, every reader sees the new one.</w:t>
      </w:r>
    </w:p>
    <w:p>
      <w:pPr>
        <w:numPr>
          <w:ilvl w:val="0"/>
          <w:numId w:val="1508"/>
        </w:numPr>
        <w:pStyle w:val="Compact"/>
      </w:pPr>
      <w:r>
        <w:t xml:space="preserve">It returns</w:t>
      </w:r>
      <w:r>
        <w:t xml:space="preserve"> </w:t>
      </w:r>
      <w:r>
        <w:rPr>
          <w:rStyle w:val="VerbatimChar"/>
        </w:rPr>
        <w:t xml:space="preserve">200 OK</w:t>
      </w:r>
      <w:r>
        <w:t xml:space="preserve"> </w:t>
      </w:r>
      <w:r>
        <w:t xml:space="preserve">with an ETag. Data written by a PUT that failed before step 4 is unreferenced and later removed by garbage collection.</w:t>
      </w:r>
    </w:p>
    <w:p>
      <w:pPr>
        <w:pStyle w:val="FirstParagraph"/>
      </w:pPr>
      <w:r>
        <w:rPr>
          <w:bCs/>
          <w:b/>
        </w:rPr>
        <w:t xml:space="preserve">GET (read path):</w:t>
      </w:r>
      <w:r>
        <w:t xml:space="preserve"> </w:t>
      </w:r>
      <w:r>
        <w:t xml:space="preserve">authenticate → look up the key’s latest committed version in the index → read fragments from storage nodes (only</w:t>
      </w:r>
      <w:r>
        <w:t xml:space="preserve"> </w:t>
      </w:r>
      <m:oMath>
        <m:r>
          <m:t>k</m:t>
        </m:r>
      </m:oMath>
      <w:r>
        <w:t xml:space="preserve"> </w:t>
      </w:r>
      <w:r>
        <w:t xml:space="preserve">of</w:t>
      </w:r>
      <w:r>
        <w:t xml:space="preserve"> </w:t>
      </w:r>
      <m:oMath>
        <m:r>
          <m:t>k</m:t>
        </m:r>
        <m:r>
          <m:rPr>
            <m:sty m:val="p"/>
          </m:rPr>
          <m:t>+</m:t>
        </m:r>
        <m:r>
          <m:t>m</m:t>
        </m:r>
      </m:oMath>
      <w:r>
        <w:t xml:space="preserve"> </w:t>
      </w:r>
      <w:r>
        <w:t xml:space="preserve">are needed for an erasure-coded object, so the front end can ignore the slowest) → verify checksums → stream to the client.</w:t>
      </w:r>
    </w:p>
    <w:p>
      <w:pPr>
        <w:pStyle w:val="BodyText"/>
      </w:pPr>
      <w:r>
        <w:rPr>
          <w:bCs/>
          <w:b/>
        </w:rPr>
        <w:t xml:space="preserve">Figure 15.3 — PUT then GET in an S3-style store (illustrative).</w:t>
      </w:r>
    </w:p>
    <w:p>
      <w:pPr>
        <w:pStyle w:val="BodyText"/>
      </w:pPr>
      <w:r>
        <w:drawing>
          <wp:inline>
            <wp:extent cx="5334000" cy="3625272"/>
            <wp:effectExtent b="0" l="0" r="0" t="0"/>
            <wp:docPr descr="" title="" id="1708" name="Picture"/>
            <a:graphic>
              <a:graphicData uri="http://schemas.openxmlformats.org/drawingml/2006/picture">
                <pic:pic>
                  <pic:nvPicPr>
                    <pic:cNvPr descr="/home/user/System-Design/build/.cache/diagrams/32ab77a6408f.png" id="1709" name="Picture"/>
                    <pic:cNvPicPr>
                      <a:picLocks noChangeArrowheads="1" noChangeAspect="1"/>
                    </pic:cNvPicPr>
                  </pic:nvPicPr>
                  <pic:blipFill>
                    <a:blip r:embed="rId1707"/>
                    <a:stretch>
                      <a:fillRect/>
                    </a:stretch>
                  </pic:blipFill>
                  <pic:spPr bwMode="auto">
                    <a:xfrm>
                      <a:off x="0" y="0"/>
                      <a:ext cx="5334000" cy="3625272"/>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Five participants exchange synchronous HTTP or RPC messages, top to bottom in time. On the write, data flows to the</w:t>
      </w:r>
      <w:r>
        <w:t xml:space="preserve"> </w:t>
      </w:r>
      <w:r>
        <w:rPr>
          <w:iCs/>
          <w:i/>
        </w:rPr>
        <w:t xml:space="preserve">storage nodes</w:t>
      </w:r>
      <w:r>
        <w:t xml:space="preserve"> </w:t>
      </w:r>
      <w:r>
        <w:t xml:space="preserve">before any metadata changes; the</w:t>
      </w:r>
      <w:r>
        <w:t xml:space="preserve"> </w:t>
      </w:r>
      <w:r>
        <w:rPr>
          <w:iCs/>
          <w:i/>
        </w:rPr>
        <w:t xml:space="preserve">index partition</w:t>
      </w:r>
      <w:r>
        <w:t xml:space="preserve"> </w:t>
      </w:r>
      <w:r>
        <w:t xml:space="preserve">commit is the single step that makes version v2 visible. On the read, the</w:t>
      </w:r>
      <w:r>
        <w:t xml:space="preserve"> </w:t>
      </w:r>
      <w:r>
        <w:rPr>
          <w:iCs/>
          <w:i/>
        </w:rPr>
        <w:t xml:space="preserve">front end</w:t>
      </w:r>
      <w:r>
        <w:t xml:space="preserve"> </w:t>
      </w:r>
      <w:r>
        <w:t xml:space="preserve">first resolves the key to a version and a fragment map, then fetches fragments; in this RS(10,4) illustration any 10 of 14 suffice. Failure points: if the front end crashes after writing fragments but before the commit, the client sees an error and retries, and the orphaned fragments are garbage; if it crashes after the commit but before replying, the object exists and a retry simply writes it again (PUT of the same bytes is idempotent). Scaling: the fragment writes and reads fan out in parallel, so large objects are limited by aggregate node bandwidth, not by one disk.</w:t>
      </w:r>
    </w:p>
    <w:bookmarkEnd w:id="1710"/>
    <w:bookmarkStart w:id="1711" w:name="X9688869584b1abdb4e1a57c6ac8d6a6aa890e83"/>
    <w:p>
      <w:pPr>
        <w:pStyle w:val="Heading4"/>
      </w:pPr>
      <w:r>
        <w:t xml:space="preserve">Consistency: what</w:t>
      </w:r>
      <w:r>
        <w:t xml:space="preserve"> </w:t>
      </w:r>
      <w:r>
        <w:t xml:space="preserve">“</w:t>
      </w:r>
      <w:r>
        <w:t xml:space="preserve">strong read-after-write</w:t>
      </w:r>
      <w:r>
        <w:t xml:space="preserve">”</w:t>
      </w:r>
      <w:r>
        <w:t xml:space="preserve"> </w:t>
      </w:r>
      <w:r>
        <w:t xml:space="preserve">means</w:t>
      </w:r>
    </w:p>
    <w:p>
      <w:pPr>
        <w:pStyle w:val="FirstParagraph"/>
      </w:pPr>
      <w:r>
        <w:t xml:space="preserve">Because the index commit is a single atomic step per key, a store that keeps each index partition linearizable (§25.3) can promise that once a PUT returns, any subsequent GET or LIST anywhere sees it. Historically S3 cached metadata in a way that let reads miss recent writes; AWS described adding a cache-coherence protocol in which a</w:t>
      </w:r>
      <w:r>
        <w:t xml:space="preserve"> </w:t>
      </w:r>
      <w:r>
        <w:t xml:space="preserve">“</w:t>
      </w:r>
      <w:r>
        <w:t xml:space="preserve">witness</w:t>
      </w:r>
      <w:r>
        <w:t xml:space="preserve">”</w:t>
      </w:r>
      <w:r>
        <w:t xml:space="preserve"> </w:t>
      </w:r>
      <w:r>
        <w:t xml:space="preserve">component is notified of every object change, so that front ends can tell when their cached metadata is stale [Vogels 2021]. Two caveats remain. Concurrent PUTs to one key are not merged: the last commit wins, so read-modify-write needs conditional writes (</w:t>
      </w:r>
      <w:r>
        <w:rPr>
          <w:rStyle w:val="VerbatimChar"/>
        </w:rPr>
        <w:t xml:space="preserve">If-None-Match</w:t>
      </w:r>
      <w:r>
        <w:t xml:space="preserve">,</w:t>
      </w:r>
      <w:r>
        <w:t xml:space="preserve"> </w:t>
      </w:r>
      <w:r>
        <w:rPr>
          <w:rStyle w:val="VerbatimChar"/>
        </w:rPr>
        <w:t xml:space="preserve">If-Match</w:t>
      </w:r>
      <w:r>
        <w:t xml:space="preserve">, supported by S3 since 2024). Bucket configuration and cross-region replication remain asynchronous.</w:t>
      </w:r>
    </w:p>
    <w:bookmarkEnd w:id="1711"/>
    <w:bookmarkStart w:id="1712" w:name="mathematical-foundations-29"/>
    <w:p>
      <w:pPr>
        <w:pStyle w:val="Heading4"/>
      </w:pPr>
      <w:r>
        <w:t xml:space="preserve">Mathematical foundations</w:t>
      </w:r>
    </w:p>
    <w:p>
      <w:pPr>
        <w:pStyle w:val="FirstParagraph"/>
      </w:pPr>
      <w:r>
        <w:t xml:space="preserve">Index partitions have finite throughput, so request rate per key range is a design input. AWS documents that an application can achieve at least 3,500 PUT/COPY/POST/DELETE or 5,500 GET/HEAD requests per second per partitioned prefix, and that S3 scales by partitioning further as load grows [AWS S3 performance docs].</w:t>
      </w:r>
    </w:p>
    <w:p>
      <w:pPr>
        <w:pStyle w:val="CalloutFormula"/>
      </w:pPr>
      <w:r>
        <w:rPr>
          <w:bCs/>
          <w:b/>
        </w:rPr>
        <w:t xml:space="preserve">FORMULA</w:t>
      </w:r>
    </w:p>
    <w:p>
      <w:pPr>
        <w:pStyle w:val="CalloutFormula"/>
      </w:pPr>
      <w:r>
        <w:rPr>
          <w:bCs/>
          <w:b/>
        </w:rPr>
        <w:t xml:space="preserve">Prefixes needed for a target request rate</w:t>
      </w:r>
    </w:p>
    <w:p>
      <w:pPr>
        <w:pStyle w:val="CalloutFormula"/>
      </w:pPr>
      <m:oMathPara>
        <m:oMathParaPr>
          <m:jc m:val="center"/>
        </m:oMathParaPr>
        <m:oMath>
          <m:sSub>
            <m:e>
              <m:r>
                <m:t>N</m:t>
              </m:r>
            </m:e>
            <m:sub>
              <m:r>
                <m:rPr>
                  <m:nor/>
                  <m:sty m:val="p"/>
                </m:rPr>
                <m:t>prefix</m:t>
              </m:r>
            </m:sub>
          </m:sSub>
          <m:r>
            <m:rPr>
              <m:sty m:val="p"/>
            </m:rPr>
            <m:t>=</m:t>
          </m:r>
          <m:d>
            <m:dPr>
              <m:begChr m:val="⌈"/>
              <m:endChr m:val="⌉"/>
              <m:sepChr m:val=""/>
              <m:grow/>
            </m:dPr>
            <m:e>
              <m:f>
                <m:fPr>
                  <m:type m:val="bar"/>
                </m:fPr>
                <m:num>
                  <m:sSub>
                    <m:e>
                      <m:r>
                        <m:t>R</m:t>
                      </m:r>
                    </m:e>
                    <m:sub>
                      <m:r>
                        <m:rPr>
                          <m:nor/>
                          <m:sty m:val="p"/>
                        </m:rPr>
                        <m:t>peak</m:t>
                      </m:r>
                    </m:sub>
                  </m:sSub>
                </m:num>
                <m:den>
                  <m:sSub>
                    <m:e>
                      <m:r>
                        <m:t>r</m:t>
                      </m:r>
                    </m:e>
                    <m:sub>
                      <m:r>
                        <m:rPr>
                          <m:nor/>
                          <m:sty m:val="p"/>
                        </m:rPr>
                        <m:t>prefix</m:t>
                      </m:r>
                    </m:sub>
                  </m:sSub>
                </m:den>
              </m:f>
            </m:e>
          </m:d>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N</m:t>
                  </m:r>
                </m:e>
                <m:sub>
                  <m:r>
                    <m:rPr>
                      <m:nor/>
                      <m:sty m:val="p"/>
                    </m:rPr>
                    <m:t>prefix</m:t>
                  </m:r>
                </m:sub>
              </m:sSub>
            </m:oMath>
          </w:p>
        </w:tc>
        <w:tc>
          <w:tcPr/>
          <w:p>
            <w:pPr>
              <w:pStyle w:val="Compact"/>
              <w:jc w:val="left"/>
            </w:pPr>
            <w:r>
              <w:t xml:space="preserve">Distinct key prefixes over which requests must be spread</w:t>
            </w:r>
          </w:p>
        </w:tc>
        <w:tc>
          <w:tcPr/>
          <w:p>
            <w:pPr>
              <w:pStyle w:val="Compact"/>
              <w:jc w:val="left"/>
            </w:pPr>
            <w:r>
              <w:t xml:space="preserve">count</w:t>
            </w:r>
          </w:p>
        </w:tc>
      </w:tr>
      <w:tr>
        <w:tc>
          <w:tcPr/>
          <w:p>
            <w:pPr>
              <w:pStyle w:val="Compact"/>
              <w:jc w:val="left"/>
            </w:pPr>
            <m:oMath>
              <m:sSub>
                <m:e>
                  <m:r>
                    <m:t>R</m:t>
                  </m:r>
                </m:e>
                <m:sub>
                  <m:r>
                    <m:rPr>
                      <m:nor/>
                      <m:sty m:val="p"/>
                    </m:rPr>
                    <m:t>peak</m:t>
                  </m:r>
                </m:sub>
              </m:sSub>
            </m:oMath>
          </w:p>
        </w:tc>
        <w:tc>
          <w:tcPr/>
          <w:p>
            <w:pPr>
              <w:pStyle w:val="Compact"/>
              <w:jc w:val="left"/>
            </w:pPr>
            <w:r>
              <w:t xml:space="preserve">Peak request rate of one type (writes or reads)</w:t>
            </w:r>
          </w:p>
        </w:tc>
        <w:tc>
          <w:tcPr/>
          <w:p>
            <w:pPr>
              <w:pStyle w:val="Compact"/>
              <w:jc w:val="left"/>
            </w:pPr>
            <w:r>
              <w:t xml:space="preserve">requests/s</w:t>
            </w:r>
          </w:p>
        </w:tc>
      </w:tr>
      <w:tr>
        <w:tc>
          <w:tcPr/>
          <w:p>
            <w:pPr>
              <w:pStyle w:val="Compact"/>
              <w:jc w:val="left"/>
            </w:pPr>
            <m:oMath>
              <m:sSub>
                <m:e>
                  <m:r>
                    <m:t>r</m:t>
                  </m:r>
                </m:e>
                <m:sub>
                  <m:r>
                    <m:rPr>
                      <m:nor/>
                      <m:sty m:val="p"/>
                    </m:rPr>
                    <m:t>prefix</m:t>
                  </m:r>
                </m:sub>
              </m:sSub>
            </m:oMath>
          </w:p>
        </w:tc>
        <w:tc>
          <w:tcPr/>
          <w:p>
            <w:pPr>
              <w:pStyle w:val="Compact"/>
              <w:jc w:val="left"/>
            </w:pPr>
            <w:r>
              <w:t xml:space="preserve">Sustained rate one partitioned prefix supports</w:t>
            </w:r>
          </w:p>
        </w:tc>
        <w:tc>
          <w:tcPr/>
          <w:p>
            <w:pPr>
              <w:pStyle w:val="Compact"/>
              <w:jc w:val="left"/>
            </w:pPr>
            <w:r>
              <w:t xml:space="preserve">requests/s</w:t>
            </w:r>
          </w:p>
        </w:tc>
      </w:tr>
    </w:tbl>
    <w:p>
      <w:pPr>
        <w:pStyle w:val="CalloutExample"/>
      </w:pPr>
      <w:r>
        <w:rPr>
          <w:bCs/>
          <w:b/>
        </w:rPr>
        <w:t xml:space="preserve">WORKED EXAMPLE</w:t>
      </w:r>
    </w:p>
    <w:p>
      <w:pPr>
        <w:pStyle w:val="CalloutExample"/>
      </w:pPr>
      <w:r>
        <w:rPr>
          <w:bCs/>
          <w:b/>
        </w:rPr>
        <w:t xml:space="preserve">Worked example — Log ingestion into an object store.</w:t>
      </w:r>
      <w:r>
        <w:t xml:space="preserve"> </w:t>
      </w:r>
      <w:r>
        <w:t xml:space="preserve">A logging pipeline writes 20,000 small objects per second at peak with keys like</w:t>
      </w:r>
      <w:r>
        <w:t xml:space="preserve"> </w:t>
      </w:r>
      <w:r>
        <w:rPr>
          <w:rStyle w:val="VerbatimChar"/>
        </w:rPr>
        <w:t xml:space="preserve">logs/2026-10-30T12/&lt;host&gt;/&lt;seq&gt;</w:t>
      </w:r>
      <w:r>
        <w:t xml:space="preserve">.</w:t>
      </w:r>
    </w:p>
    <w:p>
      <w:pPr>
        <w:numPr>
          <w:ilvl w:val="0"/>
          <w:numId w:val="1509"/>
        </w:numPr>
        <w:pStyle w:val="Compact"/>
      </w:pPr>
      <m:oMath>
        <m:sSub>
          <m:e>
            <m:r>
              <m:t>N</m:t>
            </m:r>
          </m:e>
          <m:sub>
            <m:r>
              <m:rPr>
                <m:nor/>
                <m:sty m:val="p"/>
              </m:rPr>
              <m:t>prefix</m:t>
            </m:r>
          </m:sub>
        </m:sSub>
        <m:r>
          <m:rPr>
            <m:sty m:val="p"/>
          </m:rPr>
          <m:t>=</m:t>
        </m:r>
        <m:r>
          <m:rPr>
            <m:sty m:val="p"/>
          </m:rPr>
          <m:t>⌈</m:t>
        </m:r>
        <m:r>
          <m:t>20</m:t>
        </m:r>
        <m:r>
          <m:rPr>
            <m:sty m:val="p"/>
          </m:rPr>
          <m:t>,</m:t>
        </m:r>
        <m:r>
          <m:t>000</m:t>
        </m:r>
        <m:r>
          <m:rPr>
            <m:sty m:val="p"/>
          </m:rPr>
          <m:t>/</m:t>
        </m:r>
        <m:r>
          <m:t>3</m:t>
        </m:r>
        <m:r>
          <m:rPr>
            <m:sty m:val="p"/>
          </m:rPr>
          <m:t>,</m:t>
        </m:r>
        <m:r>
          <m:t>500</m:t>
        </m:r>
        <m:r>
          <m:rPr>
            <m:sty m:val="p"/>
          </m:rPr>
          <m:t>⌉</m:t>
        </m:r>
        <m:r>
          <m:rPr>
            <m:sty m:val="p"/>
          </m:rPr>
          <m:t>=</m:t>
        </m:r>
        <m:r>
          <m:rPr>
            <m:sty m:val="p"/>
          </m:rPr>
          <m:t>⌈</m:t>
        </m:r>
        <m:r>
          <m:t>5.71</m:t>
        </m:r>
        <m:r>
          <m:rPr>
            <m:sty m:val="p"/>
          </m:rPr>
          <m:t>⌉</m:t>
        </m:r>
        <m:r>
          <m:rPr>
            <m:sty m:val="p"/>
          </m:rPr>
          <m:t>=</m:t>
        </m:r>
        <m:r>
          <m:t>6</m:t>
        </m:r>
      </m:oMath>
      <w:r>
        <w:t xml:space="preserve"> </w:t>
      </w:r>
      <w:r>
        <w:t xml:space="preserve">prefixes at minimum.</w:t>
      </w:r>
    </w:p>
    <w:p>
      <w:pPr>
        <w:numPr>
          <w:ilvl w:val="0"/>
          <w:numId w:val="1509"/>
        </w:numPr>
        <w:pStyle w:val="Compact"/>
      </w:pPr>
      <w:r>
        <w:t xml:space="preserve">Problem: every key in the current hour shares one leading prefix, so all writes land in one key range until the store splits it.</w:t>
      </w:r>
    </w:p>
    <w:p>
      <w:pPr>
        <w:numPr>
          <w:ilvl w:val="0"/>
          <w:numId w:val="1509"/>
        </w:numPr>
        <w:pStyle w:val="Compact"/>
      </w:pPr>
      <w:r>
        <w:t xml:space="preserve">Fix: put a short hash of the host first, for example</w:t>
      </w:r>
      <w:r>
        <w:t xml:space="preserve"> </w:t>
      </w:r>
      <w:r>
        <w:rPr>
          <w:rStyle w:val="VerbatimChar"/>
        </w:rPr>
        <w:t xml:space="preserve">logs/a7/2026-10-30T12/&lt;host&gt;/&lt;seq&gt;</w:t>
      </w:r>
      <w:r>
        <w:t xml:space="preserve"> </w:t>
      </w:r>
      <w:r>
        <w:t xml:space="preserve">with 16 hex buckets, giving at least 16 prefixes and headroom of</w:t>
      </w:r>
      <w:r>
        <w:t xml:space="preserve"> </w:t>
      </w:r>
      <m:oMath>
        <m:r>
          <m:t>16</m:t>
        </m:r>
        <m:r>
          <m:rPr>
            <m:sty m:val="p"/>
          </m:rPr>
          <m:t>×</m:t>
        </m:r>
        <m:r>
          <m:t>3</m:t>
        </m:r>
        <m:r>
          <m:rPr>
            <m:sty m:val="p"/>
          </m:rPr>
          <m:t>,</m:t>
        </m:r>
        <m:r>
          <m:t>500</m:t>
        </m:r>
        <m:r>
          <m:rPr>
            <m:sty m:val="p"/>
          </m:rPr>
          <m:t>=</m:t>
        </m:r>
        <m:r>
          <m:t>56</m:t>
        </m:r>
        <m:r>
          <m:rPr>
            <m:sty m:val="p"/>
          </m:rPr>
          <m:t>,</m:t>
        </m:r>
        <m:r>
          <m:t>000</m:t>
        </m:r>
      </m:oMath>
      <w:r>
        <w:t xml:space="preserve"> </w:t>
      </w:r>
      <w:r>
        <w:t xml:space="preserve">writes/s.</w:t>
      </w:r>
    </w:p>
    <w:p>
      <w:pPr>
        <w:pStyle w:val="CalloutExample"/>
      </w:pPr>
      <w:r>
        <w:rPr>
          <w:bCs/>
          <w:b/>
        </w:rPr>
        <w:t xml:space="preserve">Interpretation.</w:t>
      </w:r>
      <w:r>
        <w:t xml:space="preserve"> </w:t>
      </w:r>
      <w:r>
        <w:t xml:space="preserve">Time-ordered keys concentrate load on the newest range (the hot-partition problem of §14.10).</w:t>
      </w:r>
      <w:r>
        <w:t xml:space="preserve"> </w:t>
      </w:r>
      <w:r>
        <w:rPr>
          <w:bCs/>
          <w:b/>
        </w:rPr>
        <w:t xml:space="preserve">Engineering implication.</w:t>
      </w:r>
      <w:r>
        <w:t xml:space="preserve"> </w:t>
      </w:r>
      <w:r>
        <w:t xml:space="preserve">Design keys for the index, not for humans: spread writes with a hashed component and keep the time component later in the key. Better still, batch 20,000 tiny records per second into a few larger objects (§15.8), which also cuts request fees.</w:t>
      </w:r>
    </w:p>
    <w:bookmarkEnd w:id="1712"/>
    <w:bookmarkStart w:id="1713" w:name="real-world-industry-applications-30"/>
    <w:p>
      <w:pPr>
        <w:pStyle w:val="Heading4"/>
      </w:pPr>
      <w:r>
        <w:t xml:space="preserve">Real-world industry applications</w:t>
      </w:r>
    </w:p>
    <w:p>
      <w:pPr>
        <w:pStyle w:val="CalloutIndustry"/>
      </w:pPr>
      <w:r>
        <w:rPr>
          <w:bCs/>
          <w:b/>
        </w:rPr>
        <w:t xml:space="preserve">INDUSTRY EXAMPLE</w:t>
      </w:r>
    </w:p>
    <w:p>
      <w:pPr>
        <w:pStyle w:val="CalloutIndustry"/>
      </w:pPr>
      <w:r>
        <w:rPr>
          <w:bCs/>
          <w:b/>
        </w:rPr>
        <w:t xml:space="preserve">Amazon S3 — what AWS has published.</w:t>
      </w:r>
      <w:r>
        <w:t xml:space="preserve"> </w:t>
      </w:r>
      <w:r>
        <w:t xml:space="preserve">AWS’s report on the February 2017 US-EAST-1 disruption names two S3 subsystems: an</w:t>
      </w:r>
      <w:r>
        <w:t xml:space="preserve"> </w:t>
      </w:r>
      <w:r>
        <w:rPr>
          <w:iCs/>
          <w:i/>
        </w:rPr>
        <w:t xml:space="preserve">index subsystem</w:t>
      </w:r>
      <w:r>
        <w:t xml:space="preserve"> </w:t>
      </w:r>
      <w:r>
        <w:t xml:space="preserve">that manages the metadata and location information of all objects in the region, and a</w:t>
      </w:r>
      <w:r>
        <w:t xml:space="preserve"> </w:t>
      </w:r>
      <w:r>
        <w:rPr>
          <w:iCs/>
          <w:i/>
        </w:rPr>
        <w:t xml:space="preserve">placement subsystem</w:t>
      </w:r>
      <w:r>
        <w:t xml:space="preserve"> </w:t>
      </w:r>
      <w:r>
        <w:t xml:space="preserve">that allocates storage for new objects and depends on the index subsystem; both had to be fully restarted [AWS 2017]. AWS engineers have described ShardStore, the key-value storage engine on S3 storage nodes that holds shards of customer objects, and its validation with lightweight formal methods [Bornholt et al. 2021]. Vogels described the metadata cache-coherence protocol behind strong consistency [Vogels 2021]. Anything beyond these statements in Figure 15.2 is illustrative.</w:t>
      </w:r>
      <w:r>
        <w:t xml:space="preserve"> </w:t>
      </w:r>
      <w:r>
        <w:rPr>
          <w:iCs/>
          <w:i/>
        </w:rPr>
        <w:t xml:space="preserve">Evidence: Primary</w:t>
      </w:r>
      <w:r>
        <w:t xml:space="preserve"> </w:t>
      </w:r>
      <w:r>
        <w:t xml:space="preserve">— [AWS 2017; Bornholt et al. 2021; Vogels 2021]</w:t>
      </w:r>
    </w:p>
    <w:p>
      <w:pPr>
        <w:pStyle w:val="CalloutIndustry"/>
      </w:pPr>
      <w:r>
        <w:rPr>
          <w:bCs/>
          <w:b/>
        </w:rPr>
        <w:t xml:space="preserve">INDUSTRY EXAMPLE</w:t>
      </w:r>
    </w:p>
    <w:p>
      <w:pPr>
        <w:pStyle w:val="CalloutIndustry"/>
      </w:pPr>
      <w:r>
        <w:rPr>
          <w:bCs/>
          <w:b/>
        </w:rPr>
        <w:t xml:space="preserve">Facebook Haystack — packing small objects.</w:t>
      </w:r>
      <w:r>
        <w:t xml:space="preserve"> </w:t>
      </w:r>
      <w:r>
        <w:t xml:space="preserve">Storing each photo as a file cost Facebook several disk reads per photo just for directory and inode metadata. Haystack appends many photos (</w:t>
      </w:r>
      <w:r>
        <w:t xml:space="preserve">“</w:t>
      </w:r>
      <w:r>
        <w:t xml:space="preserve">needles</w:t>
      </w:r>
      <w:r>
        <w:t xml:space="preserve">”</w:t>
      </w:r>
      <w:r>
        <w:t xml:space="preserve">) into large volume files and keeps an in-memory index from photo ID to (volume, offset, size), so a read needs about one disk operation [Beaver et al. 2010]. The lesson generalizes: an object store’s per-object metadata cost, not its byte capacity, is what small objects stress.</w:t>
      </w:r>
      <w:r>
        <w:t xml:space="preserve"> </w:t>
      </w:r>
      <w:r>
        <w:rPr>
          <w:iCs/>
          <w:i/>
        </w:rPr>
        <w:t xml:space="preserve">Evidence: Primary</w:t>
      </w:r>
      <w:r>
        <w:t xml:space="preserve"> </w:t>
      </w:r>
      <w:r>
        <w:t xml:space="preserve">— [Beaver et al. 2010]</w:t>
      </w:r>
    </w:p>
    <w:bookmarkEnd w:id="1713"/>
    <w:bookmarkStart w:id="1714" w:name="advantages-and-disadvantages-15"/>
    <w:p>
      <w:pPr>
        <w:pStyle w:val="Heading4"/>
      </w:pPr>
      <w:r>
        <w:t xml:space="preserve">Advantages and disadvantages</w:t>
      </w:r>
    </w:p>
    <w:p>
      <w:pPr>
        <w:pStyle w:val="FirstParagraph"/>
      </w:pPr>
      <w:r>
        <w:t xml:space="preserve">Object storage gives unlimited capacity, high durability, parallel throughput and the lowest price per GB, in exchange for tens of milliseconds of first-byte latency, per-request charges, no in-place updates or multi-key rename, and coordination left to the application.</w:t>
      </w:r>
    </w:p>
    <w:bookmarkEnd w:id="1714"/>
    <w:bookmarkStart w:id="1715" w:name="failure-scenarios-42"/>
    <w:p>
      <w:pPr>
        <w:pStyle w:val="Heading4"/>
      </w:pPr>
      <w:r>
        <w:t xml:space="preserve">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Orphaned storage</w:t>
            </w:r>
          </w:p>
        </w:tc>
        <w:tc>
          <w:tcPr/>
          <w:p>
            <w:pPr>
              <w:pStyle w:val="Compact"/>
              <w:jc w:val="left"/>
            </w:pPr>
            <w:r>
              <w:t xml:space="preserve">PUTs that failed after writing data, abandoned multipart uploads</w:t>
            </w:r>
          </w:p>
        </w:tc>
        <w:tc>
          <w:tcPr/>
          <w:p>
            <w:pPr>
              <w:pStyle w:val="Compact"/>
              <w:jc w:val="left"/>
            </w:pPr>
            <w:r>
              <w:t xml:space="preserve">Storage used exceeds sum of indexed sizes</w:t>
            </w:r>
          </w:p>
        </w:tc>
        <w:tc>
          <w:tcPr/>
          <w:p>
            <w:pPr>
              <w:pStyle w:val="Compact"/>
              <w:jc w:val="left"/>
            </w:pPr>
            <w:r>
              <w:t xml:space="preserve">Garbage collection; abort-incomplete-upload lifecycle rule</w:t>
            </w:r>
          </w:p>
        </w:tc>
        <w:tc>
          <w:tcPr/>
          <w:p>
            <w:pPr>
              <w:pStyle w:val="Compact"/>
              <w:jc w:val="left"/>
            </w:pPr>
            <w:r>
              <w:t xml:space="preserve">Make GC and lifecycle rules part of the design</w:t>
            </w:r>
          </w:p>
        </w:tc>
      </w:tr>
      <w:tr>
        <w:tc>
          <w:tcPr/>
          <w:p>
            <w:pPr>
              <w:pStyle w:val="Compact"/>
              <w:jc w:val="left"/>
            </w:pPr>
            <w:r>
              <w:t xml:space="preserve">Lost update</w:t>
            </w:r>
          </w:p>
        </w:tc>
        <w:tc>
          <w:tcPr/>
          <w:p>
            <w:pPr>
              <w:pStyle w:val="Compact"/>
              <w:jc w:val="left"/>
            </w:pPr>
            <w:r>
              <w:t xml:space="preserve">Two clients read-modify-write the same key</w:t>
            </w:r>
          </w:p>
        </w:tc>
        <w:tc>
          <w:tcPr/>
          <w:p>
            <w:pPr>
              <w:pStyle w:val="Compact"/>
              <w:jc w:val="left"/>
            </w:pPr>
            <w:r>
              <w:t xml:space="preserve">Missing data reported by users</w:t>
            </w:r>
          </w:p>
        </w:tc>
        <w:tc>
          <w:tcPr/>
          <w:p>
            <w:pPr>
              <w:pStyle w:val="Compact"/>
              <w:jc w:val="left"/>
            </w:pPr>
            <w:r>
              <w:t xml:space="preserve">Restore from versioning</w:t>
            </w:r>
          </w:p>
        </w:tc>
        <w:tc>
          <w:tcPr/>
          <w:p>
            <w:pPr>
              <w:pStyle w:val="Compact"/>
              <w:jc w:val="left"/>
            </w:pPr>
            <w:r>
              <w:t xml:space="preserve">Conditional writes (</w:t>
            </w:r>
            <w:r>
              <w:rPr>
                <w:rStyle w:val="VerbatimChar"/>
              </w:rPr>
              <w:t xml:space="preserve">If-Match</w:t>
            </w:r>
            <w:r>
              <w:t xml:space="preserve">) or a database as the source of truth</w:t>
            </w:r>
          </w:p>
        </w:tc>
      </w:tr>
    </w:tbl>
    <w:bookmarkEnd w:id="1715"/>
    <w:bookmarkStart w:id="1716" w:name="common-misconceptions-34"/>
    <w:p>
      <w:pPr>
        <w:pStyle w:val="Heading4"/>
      </w:pPr>
      <w:r>
        <w:t xml:space="preserve">Common misconceptions</w:t>
      </w:r>
    </w:p>
    <w:p>
      <w:pPr>
        <w:pStyle w:val="CalloutMistake"/>
      </w:pPr>
      <w:r>
        <w:rPr>
          <w:bCs/>
          <w:b/>
        </w:rPr>
        <w:t xml:space="preserve">COMMON MISTAKE</w:t>
      </w:r>
    </w:p>
    <w:p>
      <w:pPr>
        <w:pStyle w:val="CalloutMistake"/>
      </w:pPr>
      <w:r>
        <w:rPr>
          <w:bCs/>
          <w:b/>
        </w:rPr>
        <w:t xml:space="preserve">“</w:t>
      </w:r>
      <w:r>
        <w:rPr>
          <w:bCs/>
          <w:b/>
        </w:rPr>
        <w:t xml:space="preserve">Renaming a folder is cheap.</w:t>
      </w:r>
      <w:r>
        <w:rPr>
          <w:bCs/>
          <w:b/>
        </w:rPr>
        <w:t xml:space="preserve">”</w:t>
      </w:r>
      <w:r>
        <w:t xml:space="preserve"> </w:t>
      </w:r>
      <w:r>
        <w:t xml:space="preserve">There is no folder. Renaming</w:t>
      </w:r>
      <w:r>
        <w:t xml:space="preserve"> </w:t>
      </w:r>
      <w:r>
        <w:rPr>
          <w:rStyle w:val="VerbatimChar"/>
        </w:rPr>
        <w:t xml:space="preserve">photos/2026/</w:t>
      </w:r>
      <w:r>
        <w:t xml:space="preserve"> </w:t>
      </w:r>
      <w:r>
        <w:t xml:space="preserve">means copying and deleting every object under that prefix, one request each. Design keys so that you never need to rename them, and keep human-facing names in a database.</w:t>
      </w:r>
    </w:p>
    <w:bookmarkEnd w:id="1716"/>
    <w:bookmarkEnd w:id="1717"/>
    <w:bookmarkEnd w:id="1718"/>
    <w:bookmarkStart w:id="1734" w:name="X20d1638321224e8b73a5dc0d3812e9483c0dd19"/>
    <w:p>
      <w:pPr>
        <w:pStyle w:val="Heading2"/>
      </w:pPr>
      <w:r>
        <w:t xml:space="preserve">15.5 Distributed file systems: GFS, HDFS, Colossus and Tectonic</w:t>
      </w:r>
    </w:p>
    <w:bookmarkStart w:id="1726" w:name="the-google-file-system-gfs"/>
    <w:p>
      <w:pPr>
        <w:pStyle w:val="Heading3"/>
      </w:pPr>
      <w:r>
        <w:t xml:space="preserve">15.5.1 The Google File System (GFS)</w:t>
      </w:r>
    </w:p>
    <w:p>
      <w:pPr>
        <w:pStyle w:val="CalloutDefinition"/>
      </w:pPr>
      <w:r>
        <w:rPr>
          <w:bCs/>
          <w:b/>
        </w:rPr>
        <w:t xml:space="preserve">DEFINITION</w:t>
      </w:r>
    </w:p>
    <w:p>
      <w:pPr>
        <w:pStyle w:val="CalloutDefinition"/>
      </w:pPr>
      <w:r>
        <w:rPr>
          <w:bCs/>
          <w:b/>
        </w:rPr>
        <w:t xml:space="preserve">Definition — Distributed file system.</w:t>
      </w:r>
      <w:r>
        <w:t xml:space="preserve"> </w:t>
      </w:r>
      <w:r>
        <w:t xml:space="preserve">A file system whose namespace and data are spread across many machines, so that files can be larger than any one disk and throughput can grow with the number of machines, while clients still use file-like operations (create, open, read, write or append, delete).</w:t>
      </w:r>
    </w:p>
    <w:bookmarkStart w:id="1719" w:name="first-principles-explanation-97"/>
    <w:p>
      <w:pPr>
        <w:pStyle w:val="Heading4"/>
      </w:pPr>
      <w:r>
        <w:t xml:space="preserve">First-principles explanation</w:t>
      </w:r>
    </w:p>
    <w:p>
      <w:pPr>
        <w:pStyle w:val="FirstParagraph"/>
      </w:pPr>
      <w:r>
        <w:t xml:space="preserve">Think of a library with one head librarian and a thousand shelves in separate rooms. The librarian keeps only the catalog: which book is split into which volumes and which rooms hold each volume. Readers ask the librarian once, then walk directly to the rooms. The librarian never carries books, so one person can manage a huge library. That is the GFS design.</w:t>
      </w:r>
    </w:p>
    <w:bookmarkEnd w:id="1719"/>
    <w:bookmarkStart w:id="1720" w:name="why-does-this-exist-58"/>
    <w:p>
      <w:pPr>
        <w:pStyle w:val="Heading4"/>
      </w:pPr>
      <w:r>
        <w:t xml:space="preserve">Why does this exist?</w:t>
      </w:r>
    </w:p>
    <w:p>
      <w:pPr>
        <w:pStyle w:val="FirstParagraph"/>
      </w:pPr>
      <w:r>
        <w:t xml:space="preserve">Google needed to store web crawls and indexes on thousands of commodity machines, some always failing, for workloads dominated by large sequential reads and concurrent</w:t>
      </w:r>
      <w:r>
        <w:t xml:space="preserve"> </w:t>
      </w:r>
      <w:r>
        <w:rPr>
          <w:iCs/>
          <w:i/>
        </w:rPr>
        <w:t xml:space="preserve">appends</w:t>
      </w:r>
      <w:r>
        <w:t xml:space="preserve">. GFS was designed for exactly that: component failure as the norm, multi-gigabyte files, appends, and high sustained bandwidth over low latency [Ghemawat et al. 2003].</w:t>
      </w:r>
    </w:p>
    <w:bookmarkEnd w:id="1720"/>
    <w:bookmarkStart w:id="1724" w:name="how-it-works-internally-62"/>
    <w:p>
      <w:pPr>
        <w:pStyle w:val="Heading4"/>
      </w:pPr>
      <w:r>
        <w:t xml:space="preserve">How it works internally</w:t>
      </w:r>
    </w:p>
    <w:p>
      <w:pPr>
        <w:numPr>
          <w:ilvl w:val="0"/>
          <w:numId w:val="1510"/>
        </w:numPr>
        <w:pStyle w:val="Compact"/>
      </w:pPr>
      <w:r>
        <w:rPr>
          <w:bCs/>
          <w:b/>
        </w:rPr>
        <w:t xml:space="preserve">One master, many chunkservers.</w:t>
      </w:r>
      <w:r>
        <w:t xml:space="preserve"> </w:t>
      </w:r>
      <w:r>
        <w:t xml:space="preserve">Files are split into fixed</w:t>
      </w:r>
      <w:r>
        <w:t xml:space="preserve"> </w:t>
      </w:r>
      <w:r>
        <w:rPr>
          <w:bCs/>
          <w:b/>
        </w:rPr>
        <w:t xml:space="preserve">64 MB chunks</w:t>
      </w:r>
      <w:r>
        <w:t xml:space="preserve">, each identified by a globally unique 64-bit handle and stored as a Linux file on</w:t>
      </w:r>
      <w:r>
        <w:t xml:space="preserve"> </w:t>
      </w:r>
      <w:r>
        <w:rPr>
          <w:bCs/>
          <w:b/>
        </w:rPr>
        <w:t xml:space="preserve">chunkservers</w:t>
      </w:r>
      <w:r>
        <w:t xml:space="preserve">, by default as three replicas. A single</w:t>
      </w:r>
      <w:r>
        <w:t xml:space="preserve"> </w:t>
      </w:r>
      <w:r>
        <w:rPr>
          <w:bCs/>
          <w:b/>
        </w:rPr>
        <w:t xml:space="preserve">master</w:t>
      </w:r>
      <w:r>
        <w:t xml:space="preserve"> </w:t>
      </w:r>
      <w:r>
        <w:t xml:space="preserve">holds all metadata in memory: the namespace, the file → chunk mapping, and chunk locations. The master persists namespace and mapping changes in an</w:t>
      </w:r>
      <w:r>
        <w:t xml:space="preserve"> </w:t>
      </w:r>
      <w:r>
        <w:rPr>
          <w:bCs/>
          <w:b/>
        </w:rPr>
        <w:t xml:space="preserve">operation log</w:t>
      </w:r>
      <w:r>
        <w:t xml:space="preserve"> </w:t>
      </w:r>
      <w:r>
        <w:t xml:space="preserve">replicated to other machines, with periodic checkpoints; it does</w:t>
      </w:r>
      <w:r>
        <w:t xml:space="preserve"> </w:t>
      </w:r>
      <w:r>
        <w:rPr>
          <w:iCs/>
          <w:i/>
        </w:rPr>
        <w:t xml:space="preserve">not</w:t>
      </w:r>
      <w:r>
        <w:t xml:space="preserve"> </w:t>
      </w:r>
      <w:r>
        <w:t xml:space="preserve">persist chunk locations but learns them from chunkservers at start-up and through heartbeats.</w:t>
      </w:r>
    </w:p>
    <w:p>
      <w:pPr>
        <w:numPr>
          <w:ilvl w:val="0"/>
          <w:numId w:val="1510"/>
        </w:numPr>
        <w:pStyle w:val="Compact"/>
      </w:pPr>
      <w:r>
        <w:rPr>
          <w:bCs/>
          <w:b/>
        </w:rPr>
        <w:t xml:space="preserve">Why 64 MB.</w:t>
      </w:r>
      <w:r>
        <w:t xml:space="preserve"> </w:t>
      </w:r>
      <w:r>
        <w:t xml:space="preserve">Large chunks mean few chunks, so the master needs less than 64 bytes of metadata per chunk and clients rarely need to ask it anything; a client caches chunk locations and talks to chunkservers directly. The cost: a popular small file is one chunk on three servers, a hot spot.</w:t>
      </w:r>
    </w:p>
    <w:p>
      <w:pPr>
        <w:numPr>
          <w:ilvl w:val="0"/>
          <w:numId w:val="1510"/>
        </w:numPr>
        <w:pStyle w:val="Compact"/>
      </w:pPr>
      <w:r>
        <w:rPr>
          <w:bCs/>
          <w:b/>
        </w:rPr>
        <w:t xml:space="preserve">Reads.</w:t>
      </w:r>
      <w:r>
        <w:t xml:space="preserve"> </w:t>
      </w:r>
      <w:r>
        <w:t xml:space="preserve">The client converts (file, byte offset) into a chunk index, asks the master for the handle and replica locations, caches them, and reads from the nearest replica.</w:t>
      </w:r>
    </w:p>
    <w:p>
      <w:pPr>
        <w:numPr>
          <w:ilvl w:val="0"/>
          <w:numId w:val="1510"/>
        </w:numPr>
        <w:pStyle w:val="Compact"/>
      </w:pPr>
      <w:r>
        <w:rPr>
          <w:bCs/>
          <w:b/>
        </w:rPr>
        <w:t xml:space="preserve">Leases and mutation order.</w:t>
      </w:r>
      <w:r>
        <w:t xml:space="preserve"> </w:t>
      </w:r>
      <w:r>
        <w:t xml:space="preserve">For each chunk being modified the master grants a</w:t>
      </w:r>
      <w:r>
        <w:t xml:space="preserve"> </w:t>
      </w:r>
      <w:r>
        <w:rPr>
          <w:bCs/>
          <w:b/>
        </w:rPr>
        <w:t xml:space="preserve">lease</w:t>
      </w:r>
      <w:r>
        <w:t xml:space="preserve"> </w:t>
      </w:r>
      <w:r>
        <w:t xml:space="preserve">(initially 60 seconds, renewable through heartbeats) to one replica, the</w:t>
      </w:r>
      <w:r>
        <w:t xml:space="preserve"> </w:t>
      </w:r>
      <w:r>
        <w:rPr>
          <w:bCs/>
          <w:b/>
        </w:rPr>
        <w:t xml:space="preserve">primary</w:t>
      </w:r>
      <w:r>
        <w:t xml:space="preserve">. The primary picks a serial order for all mutations to that chunk, so all replicas apply them in the same order without the master on the data path. (Leases in general: §26.11.)</w:t>
      </w:r>
    </w:p>
    <w:p>
      <w:pPr>
        <w:numPr>
          <w:ilvl w:val="0"/>
          <w:numId w:val="1510"/>
        </w:numPr>
        <w:pStyle w:val="Compact"/>
      </w:pPr>
      <w:r>
        <w:rPr>
          <w:bCs/>
          <w:b/>
        </w:rPr>
        <w:t xml:space="preserve">Decoupled data and control flow.</w:t>
      </w:r>
      <w:r>
        <w:t xml:space="preserve"> </w:t>
      </w:r>
      <w:r>
        <w:t xml:space="preserve">The client pushes data to all replicas along a chain of chunkservers, each forwarding to the next nearest while still receiving (pipelining), so each machine’s full outbound bandwidth is used. Only after all replicas hold the data does the client send the small write request to the primary.</w:t>
      </w:r>
    </w:p>
    <w:p>
      <w:pPr>
        <w:numPr>
          <w:ilvl w:val="0"/>
          <w:numId w:val="1510"/>
        </w:numPr>
        <w:pStyle w:val="Compact"/>
      </w:pPr>
      <w:r>
        <w:rPr>
          <w:bCs/>
          <w:b/>
        </w:rPr>
        <w:t xml:space="preserve">Record append.</w:t>
      </w:r>
      <w:r>
        <w:t xml:space="preserve"> </w:t>
      </w:r>
      <w:r>
        <w:t xml:space="preserve">The client supplies only data; the primary chooses the offset and appends the record atomically</w:t>
      </w:r>
      <w:r>
        <w:t xml:space="preserve"> </w:t>
      </w:r>
      <w:r>
        <w:rPr>
          <w:iCs/>
          <w:i/>
        </w:rPr>
        <w:t xml:space="preserve">at least once</w:t>
      </w:r>
      <w:r>
        <w:t xml:space="preserve">. A failed append is retried, so replicas may contain duplicates or padding, which applications skip using checksums and unique record IDs.</w:t>
      </w:r>
    </w:p>
    <w:p>
      <w:pPr>
        <w:numPr>
          <w:ilvl w:val="0"/>
          <w:numId w:val="1510"/>
        </w:numPr>
        <w:pStyle w:val="Compact"/>
      </w:pPr>
      <w:r>
        <w:rPr>
          <w:bCs/>
          <w:b/>
        </w:rPr>
        <w:t xml:space="preserve">Housekeeping.</w:t>
      </w:r>
      <w:r>
        <w:t xml:space="preserve"> </w:t>
      </w:r>
      <w:r>
        <w:t xml:space="preserve">Each chunk has a version number to detect stale replicas that missed mutations while down; deleted files are renamed to hidden names and garbage-collected lazily; chunkservers checksum every 64 KB block on read.</w:t>
      </w:r>
    </w:p>
    <w:p>
      <w:pPr>
        <w:pStyle w:val="FirstParagraph"/>
      </w:pPr>
      <w:r>
        <w:rPr>
          <w:bCs/>
          <w:b/>
        </w:rPr>
        <w:t xml:space="preserve">Figure 15.4 — GFS write with a lease-holding primary.</w:t>
      </w:r>
    </w:p>
    <w:p>
      <w:pPr>
        <w:pStyle w:val="BodyText"/>
      </w:pPr>
      <w:r>
        <w:drawing>
          <wp:inline>
            <wp:extent cx="5334000" cy="2947302"/>
            <wp:effectExtent b="0" l="0" r="0" t="0"/>
            <wp:docPr descr="" title="" id="1722" name="Picture"/>
            <a:graphic>
              <a:graphicData uri="http://schemas.openxmlformats.org/drawingml/2006/picture">
                <pic:pic>
                  <pic:nvPicPr>
                    <pic:cNvPr descr="/home/user/System-Design/build/.cache/diagrams/daa34335a04c.png" id="1723" name="Picture"/>
                    <pic:cNvPicPr>
                      <a:picLocks noChangeArrowheads="1" noChangeAspect="1"/>
                    </pic:cNvPicPr>
                  </pic:nvPicPr>
                  <pic:blipFill>
                    <a:blip r:embed="rId1721"/>
                    <a:stretch>
                      <a:fillRect/>
                    </a:stretch>
                  </pic:blipFill>
                  <pic:spPr bwMode="auto">
                    <a:xfrm>
                      <a:off x="0" y="0"/>
                      <a:ext cx="5334000" cy="2947302"/>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w:t>
      </w:r>
      <w:r>
        <w:t xml:space="preserve"> </w:t>
      </w:r>
      <w:r>
        <w:rPr>
          <w:iCs/>
          <w:i/>
        </w:rPr>
        <w:t xml:space="preserve">client</w:t>
      </w:r>
      <w:r>
        <w:t xml:space="preserve"> </w:t>
      </w:r>
      <w:r>
        <w:t xml:space="preserve">asks the</w:t>
      </w:r>
      <w:r>
        <w:t xml:space="preserve"> </w:t>
      </w:r>
      <w:r>
        <w:rPr>
          <w:iCs/>
          <w:i/>
        </w:rPr>
        <w:t xml:space="preserve">master</w:t>
      </w:r>
      <w:r>
        <w:t xml:space="preserve"> </w:t>
      </w:r>
      <w:r>
        <w:t xml:space="preserve">(control flow) which replica holds the lease, and caches the answer. Data flows along a chain ordered by network topology, not roles, so the client uploads each byte once. The small write request goes to the</w:t>
      </w:r>
      <w:r>
        <w:t xml:space="preserve"> </w:t>
      </w:r>
      <w:r>
        <w:rPr>
          <w:iCs/>
          <w:i/>
        </w:rPr>
        <w:t xml:space="preserve">primary</w:t>
      </w:r>
      <w:r>
        <w:t xml:space="preserve">, which assigns a serial number and tells both</w:t>
      </w:r>
      <w:r>
        <w:t xml:space="preserve"> </w:t>
      </w:r>
      <w:r>
        <w:rPr>
          <w:iCs/>
          <w:i/>
        </w:rPr>
        <w:t xml:space="preserve">secondaries</w:t>
      </w:r>
      <w:r>
        <w:t xml:space="preserve"> </w:t>
      </w:r>
      <w:r>
        <w:t xml:space="preserve">to apply mutations in that order. All messages are synchronous RPCs. Storage boundaries: metadata on the master, chunk bytes only on chunkservers. Failure points: a failed secondary makes the client retry (the region is inconsistent until it succeeds); a dead primary’s lease expires and the master grants a new one. Scaling: the master handles only small metadata RPCs, so data bandwidth grows with the number of chunkservers.</w:t>
      </w:r>
    </w:p>
    <w:bookmarkEnd w:id="1724"/>
    <w:bookmarkStart w:id="1725" w:name="mathematical-foundations-30"/>
    <w:p>
      <w:pPr>
        <w:pStyle w:val="Heading4"/>
      </w:pPr>
      <w:r>
        <w:t xml:space="preserve">Mathematical foundations</w:t>
      </w:r>
    </w:p>
    <w:p>
      <w:pPr>
        <w:pStyle w:val="CalloutFormula"/>
      </w:pPr>
      <w:r>
        <w:rPr>
          <w:bCs/>
          <w:b/>
        </w:rPr>
        <w:t xml:space="preserve">FORMULA</w:t>
      </w:r>
    </w:p>
    <w:p>
      <w:pPr>
        <w:pStyle w:val="CalloutFormula"/>
      </w:pPr>
      <w:r>
        <w:rPr>
          <w:bCs/>
          <w:b/>
        </w:rPr>
        <w:t xml:space="preserve">Metadata memory for an in-memory namespace</w:t>
      </w:r>
    </w:p>
    <w:p>
      <w:pPr>
        <w:pStyle w:val="CalloutFormula"/>
      </w:pPr>
      <m:oMathPara>
        <m:oMathParaPr>
          <m:jc m:val="center"/>
        </m:oMathParaPr>
        <m:oMath>
          <m:r>
            <m:t>M</m:t>
          </m:r>
          <m:r>
            <m:rPr>
              <m:sty m:val="p"/>
            </m:rPr>
            <m:t>=</m:t>
          </m:r>
          <m:sSub>
            <m:e>
              <m:r>
                <m:t>N</m:t>
              </m:r>
            </m:e>
            <m:sub>
              <m:r>
                <m:rPr>
                  <m:nor/>
                  <m:sty m:val="p"/>
                </m:rPr>
                <m:t>files</m:t>
              </m:r>
            </m:sub>
          </m:sSub>
          <m:r>
            <m:rPr>
              <m:sty m:val="p"/>
            </m:rPr>
            <m:t>⋅</m:t>
          </m:r>
          <m:sSub>
            <m:e>
              <m:r>
                <m:t>b</m:t>
              </m:r>
            </m:e>
            <m:sub>
              <m:r>
                <m:rPr>
                  <m:nor/>
                  <m:sty m:val="p"/>
                </m:rPr>
                <m:t>file</m:t>
              </m:r>
            </m:sub>
          </m:sSub>
          <m:r>
            <m:rPr>
              <m:sty m:val="p"/>
            </m:rPr>
            <m:t>+</m:t>
          </m:r>
          <m:sSub>
            <m:e>
              <m:r>
                <m:t>N</m:t>
              </m:r>
            </m:e>
            <m:sub>
              <m:r>
                <m:rPr>
                  <m:nor/>
                  <m:sty m:val="p"/>
                </m:rPr>
                <m:t>chunks</m:t>
              </m:r>
            </m:sub>
          </m:sSub>
          <m:r>
            <m:rPr>
              <m:sty m:val="p"/>
            </m:rPr>
            <m:t>⋅</m:t>
          </m:r>
          <m:sSub>
            <m:e>
              <m:r>
                <m:t>b</m:t>
              </m:r>
            </m:e>
            <m:sub>
              <m:r>
                <m:rPr>
                  <m:nor/>
                  <m:sty m:val="p"/>
                </m:rPr>
                <m:t>chunk</m:t>
              </m:r>
            </m:sub>
          </m:sSub>
          <m:r>
            <m:t>  </m:t>
          </m:r>
          <m:sSub>
            <m:e>
              <m:r>
                <m:t>N</m:t>
              </m:r>
            </m:e>
            <m:sub>
              <m:r>
                <m:rPr>
                  <m:nor/>
                  <m:sty m:val="p"/>
                </m:rPr>
                <m:t>chunks</m:t>
              </m:r>
            </m:sub>
          </m:sSub>
          <m:r>
            <m:rPr>
              <m:sty m:val="p"/>
            </m:rPr>
            <m:t>≈</m:t>
          </m:r>
          <m:nary>
            <m:naryPr>
              <m:chr m:val="∑"/>
              <m:limLoc m:val="undOvr"/>
              <m:subHide m:val="off"/>
              <m:supHide m:val="on"/>
            </m:naryPr>
            <m:sub>
              <m:r>
                <m:rPr>
                  <m:nor/>
                  <m:sty m:val="p"/>
                </m:rPr>
                <m:t>files</m:t>
              </m:r>
            </m:sub>
            <m:sup>
              <m:r>
                <m:t>​</m:t>
              </m:r>
            </m:sup>
            <m:e>
              <m:d>
                <m:dPr>
                  <m:begChr m:val="⌈"/>
                  <m:endChr m:val="⌉"/>
                  <m:sepChr m:val=""/>
                  <m:grow/>
                </m:dPr>
                <m:e>
                  <m:f>
                    <m:fPr>
                      <m:type m:val="bar"/>
                    </m:fPr>
                    <m:num>
                      <m:r>
                        <m:rPr>
                          <m:nor/>
                          <m:sty m:val="p"/>
                        </m:rPr>
                        <m:t>file size</m:t>
                      </m:r>
                    </m:num>
                    <m:den>
                      <m:r>
                        <m:t>C</m:t>
                      </m:r>
                    </m:den>
                  </m:f>
                </m:e>
              </m:d>
            </m:e>
          </m:nary>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M</m:t>
              </m:r>
            </m:oMath>
          </w:p>
        </w:tc>
        <w:tc>
          <w:tcPr/>
          <w:p>
            <w:pPr>
              <w:pStyle w:val="Compact"/>
              <w:jc w:val="left"/>
            </w:pPr>
            <w:r>
              <w:t xml:space="preserve">Memory needed by the metadata server</w:t>
            </w:r>
          </w:p>
        </w:tc>
        <w:tc>
          <w:tcPr/>
          <w:p>
            <w:pPr>
              <w:pStyle w:val="Compact"/>
              <w:jc w:val="left"/>
            </w:pPr>
            <w:r>
              <w:t xml:space="preserve">bytes</w:t>
            </w:r>
          </w:p>
        </w:tc>
      </w:tr>
      <w:tr>
        <w:tc>
          <w:tcPr/>
          <w:p>
            <w:pPr>
              <w:pStyle w:val="Compact"/>
              <w:jc w:val="left"/>
            </w:pPr>
            <m:oMath>
              <m:sSub>
                <m:e>
                  <m:r>
                    <m:t>N</m:t>
                  </m:r>
                </m:e>
                <m:sub>
                  <m:r>
                    <m:rPr>
                      <m:nor/>
                      <m:sty m:val="p"/>
                    </m:rPr>
                    <m:t>files</m:t>
                  </m:r>
                </m:sub>
              </m:sSub>
            </m:oMath>
          </w:p>
        </w:tc>
        <w:tc>
          <w:tcPr/>
          <w:p>
            <w:pPr>
              <w:pStyle w:val="Compact"/>
              <w:jc w:val="left"/>
            </w:pPr>
            <w:r>
              <w:t xml:space="preserve">Number of files (and directories)</w:t>
            </w:r>
          </w:p>
        </w:tc>
        <w:tc>
          <w:tcPr/>
          <w:p>
            <w:pPr>
              <w:pStyle w:val="Compact"/>
              <w:jc w:val="left"/>
            </w:pPr>
            <w:r>
              <w:t xml:space="preserve">count</w:t>
            </w:r>
          </w:p>
        </w:tc>
      </w:tr>
      <w:tr>
        <w:tc>
          <w:tcPr/>
          <w:p>
            <w:pPr>
              <w:pStyle w:val="Compact"/>
              <w:jc w:val="left"/>
            </w:pPr>
            <m:oMath>
              <m:sSub>
                <m:e>
                  <m:r>
                    <m:t>N</m:t>
                  </m:r>
                </m:e>
                <m:sub>
                  <m:r>
                    <m:rPr>
                      <m:nor/>
                      <m:sty m:val="p"/>
                    </m:rPr>
                    <m:t>chunks</m:t>
                  </m:r>
                </m:sub>
              </m:sSub>
            </m:oMath>
          </w:p>
        </w:tc>
        <w:tc>
          <w:tcPr/>
          <w:p>
            <w:pPr>
              <w:pStyle w:val="Compact"/>
              <w:jc w:val="left"/>
            </w:pPr>
            <w:r>
              <w:t xml:space="preserve">Number of chunks or blocks</w:t>
            </w:r>
          </w:p>
        </w:tc>
        <w:tc>
          <w:tcPr/>
          <w:p>
            <w:pPr>
              <w:pStyle w:val="Compact"/>
              <w:jc w:val="left"/>
            </w:pPr>
            <w:r>
              <w:t xml:space="preserve">count</w:t>
            </w:r>
          </w:p>
        </w:tc>
      </w:tr>
      <w:tr>
        <w:tc>
          <w:tcPr/>
          <w:p>
            <w:pPr>
              <w:pStyle w:val="Compact"/>
              <w:jc w:val="left"/>
            </w:pPr>
            <m:oMath>
              <m:sSub>
                <m:e>
                  <m:r>
                    <m:t>b</m:t>
                  </m:r>
                </m:e>
                <m:sub>
                  <m:r>
                    <m:rPr>
                      <m:nor/>
                      <m:sty m:val="p"/>
                    </m:rPr>
                    <m:t>file</m:t>
                  </m:r>
                </m:sub>
              </m:sSub>
              <m:r>
                <m:rPr>
                  <m:sty m:val="p"/>
                </m:rPr>
                <m:t>,</m:t>
              </m:r>
              <m:sSub>
                <m:e>
                  <m:r>
                    <m:t>b</m:t>
                  </m:r>
                </m:e>
                <m:sub>
                  <m:r>
                    <m:rPr>
                      <m:nor/>
                      <m:sty m:val="p"/>
                    </m:rPr>
                    <m:t>chunk</m:t>
                  </m:r>
                </m:sub>
              </m:sSub>
            </m:oMath>
          </w:p>
        </w:tc>
        <w:tc>
          <w:tcPr/>
          <w:p>
            <w:pPr>
              <w:pStyle w:val="Compact"/>
              <w:jc w:val="left"/>
            </w:pPr>
            <w:r>
              <w:t xml:space="preserve">Bytes of metadata per file and per chunk</w:t>
            </w:r>
          </w:p>
        </w:tc>
        <w:tc>
          <w:tcPr/>
          <w:p>
            <w:pPr>
              <w:pStyle w:val="Compact"/>
              <w:jc w:val="left"/>
            </w:pPr>
            <w:r>
              <w:t xml:space="preserve">bytes</w:t>
            </w:r>
          </w:p>
        </w:tc>
      </w:tr>
      <w:tr>
        <w:tc>
          <w:tcPr/>
          <w:p>
            <w:pPr>
              <w:pStyle w:val="Compact"/>
              <w:jc w:val="left"/>
            </w:pPr>
            <m:oMath>
              <m:r>
                <m:t>C</m:t>
              </m:r>
            </m:oMath>
          </w:p>
        </w:tc>
        <w:tc>
          <w:tcPr/>
          <w:p>
            <w:pPr>
              <w:pStyle w:val="Compact"/>
              <w:jc w:val="left"/>
            </w:pPr>
            <w:r>
              <w:t xml:space="preserve">Chunk (block) size</w:t>
            </w:r>
          </w:p>
        </w:tc>
        <w:tc>
          <w:tcPr/>
          <w:p>
            <w:pPr>
              <w:pStyle w:val="Compact"/>
              <w:jc w:val="left"/>
            </w:pPr>
            <w:r>
              <w:t xml:space="preserve">bytes</w:t>
            </w:r>
          </w:p>
        </w:tc>
      </w:tr>
    </w:tbl>
    <w:p>
      <w:pPr>
        <w:pStyle w:val="CalloutExample"/>
      </w:pPr>
      <w:r>
        <w:rPr>
          <w:bCs/>
          <w:b/>
        </w:rPr>
        <w:t xml:space="preserve">WORKED EXAMPLE</w:t>
      </w:r>
    </w:p>
    <w:p>
      <w:pPr>
        <w:pStyle w:val="CalloutExample"/>
      </w:pPr>
      <w:r>
        <w:rPr>
          <w:bCs/>
          <w:b/>
        </w:rPr>
        <w:t xml:space="preserve">Worked example — Why chunk size and file count limit the master.</w:t>
      </w:r>
      <w:r>
        <w:t xml:space="preserve"> </w:t>
      </w:r>
      <w:r>
        <w:t xml:space="preserve">Use GFS’s figure of under 64 bytes per chunk and a commonly quoted HDFS rule of thumb of about 150 bytes per file or block object in the NameNode heap.</w:t>
      </w:r>
    </w:p>
    <w:p>
      <w:pPr>
        <w:numPr>
          <w:ilvl w:val="0"/>
          <w:numId w:val="1511"/>
        </w:numPr>
        <w:pStyle w:val="Compact"/>
      </w:pPr>
      <w:r>
        <w:t xml:space="preserve">GFS, 1 PB of large files in 64 MB chunks:</w:t>
      </w:r>
      <w:r>
        <w:t xml:space="preserve"> </w:t>
      </w:r>
      <m:oMath>
        <m:sSup>
          <m:e>
            <m:r>
              <m:t>10</m:t>
            </m:r>
          </m:e>
          <m:sup>
            <m:r>
              <m:t>15</m:t>
            </m:r>
          </m:sup>
        </m:sSup>
        <m:r>
          <m:rPr>
            <m:sty m:val="p"/>
          </m:rPr>
          <m:t>/</m:t>
        </m:r>
        <m:r>
          <m:t>6.4</m:t>
        </m:r>
        <m:r>
          <m:rPr>
            <m:sty m:val="p"/>
          </m:rPr>
          <m:t>×</m:t>
        </m:r>
        <m:sSup>
          <m:e>
            <m:r>
              <m:t>10</m:t>
            </m:r>
          </m:e>
          <m:sup>
            <m:r>
              <m:t>7</m:t>
            </m:r>
          </m:sup>
        </m:sSup>
        <m:r>
          <m:rPr>
            <m:sty m:val="p"/>
          </m:rPr>
          <m:t>=</m:t>
        </m:r>
        <m:r>
          <m:t>1.56</m:t>
        </m:r>
        <m:r>
          <m:rPr>
            <m:sty m:val="p"/>
          </m:rPr>
          <m:t>×</m:t>
        </m:r>
        <m:sSup>
          <m:e>
            <m:r>
              <m:t>10</m:t>
            </m:r>
          </m:e>
          <m:sup>
            <m:r>
              <m:t>7</m:t>
            </m:r>
          </m:sup>
        </m:sSup>
      </m:oMath>
      <w:r>
        <w:t xml:space="preserve"> </w:t>
      </w:r>
      <w:r>
        <w:t xml:space="preserve">chunks;</w:t>
      </w:r>
      <w:r>
        <w:t xml:space="preserve"> </w:t>
      </w:r>
      <m:oMath>
        <m:r>
          <m:rPr>
            <m:sty m:val="p"/>
          </m:rPr>
          <m:t>×</m:t>
        </m:r>
        <m:r>
          <m:t> </m:t>
        </m:r>
        <m:r>
          <m:t>64</m:t>
        </m:r>
      </m:oMath>
      <w:r>
        <w:t xml:space="preserve"> </w:t>
      </w:r>
      <w:r>
        <w:t xml:space="preserve">B</w:t>
      </w:r>
      <w:r>
        <w:t xml:space="preserve"> </w:t>
      </w:r>
      <m:oMath>
        <m:r>
          <m:rPr>
            <m:sty m:val="p"/>
          </m:rPr>
          <m:t>=</m:t>
        </m:r>
        <m:r>
          <m:t>1.0</m:t>
        </m:r>
        <m:r>
          <m:rPr>
            <m:sty m:val="p"/>
          </m:rPr>
          <m:t>×</m:t>
        </m:r>
        <m:sSup>
          <m:e>
            <m:r>
              <m:t>10</m:t>
            </m:r>
          </m:e>
          <m:sup>
            <m:r>
              <m:t>9</m:t>
            </m:r>
          </m:sup>
        </m:sSup>
      </m:oMath>
      <w:r>
        <w:t xml:space="preserve"> </w:t>
      </w:r>
      <w:r>
        <w:t xml:space="preserve">B</w:t>
      </w:r>
      <w:r>
        <w:t xml:space="preserve"> </w:t>
      </w:r>
      <m:oMath>
        <m:r>
          <m:rPr>
            <m:sty m:val="p"/>
          </m:rPr>
          <m:t>≈</m:t>
        </m:r>
        <m:r>
          <m:t>1</m:t>
        </m:r>
      </m:oMath>
      <w:r>
        <w:t xml:space="preserve"> </w:t>
      </w:r>
      <w:r>
        <w:t xml:space="preserve">GB. One machine copes easily.</w:t>
      </w:r>
    </w:p>
    <w:p>
      <w:pPr>
        <w:numPr>
          <w:ilvl w:val="0"/>
          <w:numId w:val="1511"/>
        </w:numPr>
        <w:pStyle w:val="Compact"/>
      </w:pPr>
      <w:r>
        <w:t xml:space="preserve">Same 1 PB in 4 MB chunks: 16× as many chunks, about 16 GB. Still feasible, but every client request now also hits the master 16× as often.</w:t>
      </w:r>
    </w:p>
    <w:p>
      <w:pPr>
        <w:numPr>
          <w:ilvl w:val="0"/>
          <w:numId w:val="1511"/>
        </w:numPr>
        <w:pStyle w:val="Compact"/>
      </w:pPr>
      <w:r>
        <w:t xml:space="preserve">HDFS cluster with 300 million files averaging 1.5 blocks:</w:t>
      </w:r>
      <w:r>
        <w:t xml:space="preserve"> </w:t>
      </w:r>
      <m:oMath>
        <m:r>
          <m:t>N</m:t>
        </m:r>
        <m:r>
          <m:rPr>
            <m:sty m:val="p"/>
          </m:rPr>
          <m:t>=</m:t>
        </m:r>
        <m:r>
          <m:t>3</m:t>
        </m:r>
        <m:r>
          <m:rPr>
            <m:sty m:val="p"/>
          </m:rPr>
          <m:t>×</m:t>
        </m:r>
        <m:sSup>
          <m:e>
            <m:r>
              <m:t>10</m:t>
            </m:r>
          </m:e>
          <m:sup>
            <m:r>
              <m:t>8</m:t>
            </m:r>
          </m:sup>
        </m:sSup>
        <m:r>
          <m:rPr>
            <m:sty m:val="p"/>
          </m:rPr>
          <m:t>+</m:t>
        </m:r>
        <m:r>
          <m:t>4.5</m:t>
        </m:r>
        <m:r>
          <m:rPr>
            <m:sty m:val="p"/>
          </m:rPr>
          <m:t>×</m:t>
        </m:r>
        <m:sSup>
          <m:e>
            <m:r>
              <m:t>10</m:t>
            </m:r>
          </m:e>
          <m:sup>
            <m:r>
              <m:t>8</m:t>
            </m:r>
          </m:sup>
        </m:sSup>
        <m:r>
          <m:rPr>
            <m:sty m:val="p"/>
          </m:rPr>
          <m:t>=</m:t>
        </m:r>
        <m:r>
          <m:t>7.5</m:t>
        </m:r>
        <m:r>
          <m:rPr>
            <m:sty m:val="p"/>
          </m:rPr>
          <m:t>×</m:t>
        </m:r>
        <m:sSup>
          <m:e>
            <m:r>
              <m:t>10</m:t>
            </m:r>
          </m:e>
          <m:sup>
            <m:r>
              <m:t>8</m:t>
            </m:r>
          </m:sup>
        </m:sSup>
      </m:oMath>
      <w:r>
        <w:t xml:space="preserve"> </w:t>
      </w:r>
      <w:r>
        <w:t xml:space="preserve">objects;</w:t>
      </w:r>
      <w:r>
        <w:t xml:space="preserve"> </w:t>
      </w:r>
      <m:oMath>
        <m:r>
          <m:rPr>
            <m:sty m:val="p"/>
          </m:rPr>
          <m:t>×</m:t>
        </m:r>
        <m:r>
          <m:t> </m:t>
        </m:r>
        <m:r>
          <m:t>150</m:t>
        </m:r>
      </m:oMath>
      <w:r>
        <w:t xml:space="preserve"> </w:t>
      </w:r>
      <w:r>
        <w:t xml:space="preserve">B</w:t>
      </w:r>
      <w:r>
        <w:t xml:space="preserve"> </w:t>
      </w:r>
      <m:oMath>
        <m:r>
          <m:rPr>
            <m:sty m:val="p"/>
          </m:rPr>
          <m:t>=</m:t>
        </m:r>
        <m:r>
          <m:t>1.1</m:t>
        </m:r>
        <m:r>
          <m:rPr>
            <m:sty m:val="p"/>
          </m:rPr>
          <m:t>×</m:t>
        </m:r>
        <m:sSup>
          <m:e>
            <m:r>
              <m:t>10</m:t>
            </m:r>
          </m:e>
          <m:sup>
            <m:r>
              <m:t>11</m:t>
            </m:r>
          </m:sup>
        </m:sSup>
      </m:oMath>
      <w:r>
        <w:t xml:space="preserve"> </w:t>
      </w:r>
      <w:r>
        <w:t xml:space="preserve">B</w:t>
      </w:r>
      <w:r>
        <w:t xml:space="preserve"> </w:t>
      </w:r>
      <m:oMath>
        <m:r>
          <m:rPr>
            <m:sty m:val="p"/>
          </m:rPr>
          <m:t>≈</m:t>
        </m:r>
        <m:r>
          <m:t>113</m:t>
        </m:r>
      </m:oMath>
      <w:r>
        <w:t xml:space="preserve"> </w:t>
      </w:r>
      <w:r>
        <w:t xml:space="preserve">GB of heap.</w:t>
      </w:r>
    </w:p>
    <w:p>
      <w:pPr>
        <w:numPr>
          <w:ilvl w:val="0"/>
          <w:numId w:val="1511"/>
        </w:numPr>
        <w:pStyle w:val="Compact"/>
      </w:pPr>
      <w:r>
        <w:t xml:space="preserve">The same bytes stored as 3 billion small files: at least</w:t>
      </w:r>
      <w:r>
        <w:t xml:space="preserve"> </w:t>
      </w:r>
      <m:oMath>
        <m:r>
          <m:t>6</m:t>
        </m:r>
        <m:r>
          <m:rPr>
            <m:sty m:val="p"/>
          </m:rPr>
          <m:t>×</m:t>
        </m:r>
        <m:sSup>
          <m:e>
            <m:r>
              <m:t>10</m:t>
            </m:r>
          </m:e>
          <m:sup>
            <m:r>
              <m:t>9</m:t>
            </m:r>
          </m:sup>
        </m:sSup>
      </m:oMath>
      <w:r>
        <w:t xml:space="preserve"> </w:t>
      </w:r>
      <w:r>
        <w:t xml:space="preserve">objects, about 900 GB, beyond any practical single heap.</w:t>
      </w:r>
    </w:p>
    <w:p>
      <w:pPr>
        <w:pStyle w:val="CalloutExample"/>
      </w:pPr>
      <w:r>
        <w:rPr>
          <w:bCs/>
          <w:b/>
        </w:rPr>
        <w:t xml:space="preserve">Interpretation.</w:t>
      </w:r>
      <w:r>
        <w:t xml:space="preserve"> </w:t>
      </w:r>
      <w:r>
        <w:t xml:space="preserve">A single metadata server scales with the</w:t>
      </w:r>
      <w:r>
        <w:t xml:space="preserve"> </w:t>
      </w:r>
      <w:r>
        <w:rPr>
          <w:iCs/>
          <w:i/>
        </w:rPr>
        <w:t xml:space="preserve">number</w:t>
      </w:r>
      <w:r>
        <w:t xml:space="preserve"> </w:t>
      </w:r>
      <w:r>
        <w:t xml:space="preserve">of files and chunks, not with bytes.</w:t>
      </w:r>
      <w:r>
        <w:t xml:space="preserve"> </w:t>
      </w:r>
      <w:r>
        <w:rPr>
          <w:bCs/>
          <w:b/>
        </w:rPr>
        <w:t xml:space="preserve">Engineering implication.</w:t>
      </w:r>
      <w:r>
        <w:t xml:space="preserve"> </w:t>
      </w:r>
      <w:r>
        <w:t xml:space="preserve">Single-master designs work for large files; small-file workloads must either pack files together (Haystack, §15.4; HAR or sequence files in Hadoop) or move to a partitioned metadata service (§15.7).</w:t>
      </w:r>
    </w:p>
    <w:bookmarkEnd w:id="1725"/>
    <w:bookmarkEnd w:id="1726"/>
    <w:bookmarkStart w:id="1730" w:name="hdfs-and-namenode-high-availability"/>
    <w:p>
      <w:pPr>
        <w:pStyle w:val="Heading3"/>
      </w:pPr>
      <w:r>
        <w:t xml:space="preserve">15.5.2 HDFS and NameNode high availability</w:t>
      </w:r>
    </w:p>
    <w:p>
      <w:pPr>
        <w:pStyle w:val="FirstParagraph"/>
      </w:pPr>
      <w:r>
        <w:t xml:space="preserve">HDFS, the Hadoop Distributed File System, follows the GFS design with different names: a</w:t>
      </w:r>
      <w:r>
        <w:t xml:space="preserve"> </w:t>
      </w:r>
      <w:r>
        <w:rPr>
          <w:bCs/>
          <w:b/>
        </w:rPr>
        <w:t xml:space="preserve">NameNode</w:t>
      </w:r>
      <w:r>
        <w:t xml:space="preserve"> </w:t>
      </w:r>
      <w:r>
        <w:t xml:space="preserve">(the master) keeps the namespace and block map in RAM, and</w:t>
      </w:r>
      <w:r>
        <w:t xml:space="preserve"> </w:t>
      </w:r>
      <w:r>
        <w:rPr>
          <w:bCs/>
          <w:b/>
        </w:rPr>
        <w:t xml:space="preserve">DataNodes</w:t>
      </w:r>
      <w:r>
        <w:t xml:space="preserve"> </w:t>
      </w:r>
      <w:r>
        <w:t xml:space="preserve">(chunkservers) store</w:t>
      </w:r>
      <w:r>
        <w:t xml:space="preserve"> </w:t>
      </w:r>
      <w:r>
        <w:rPr>
          <w:bCs/>
          <w:b/>
        </w:rPr>
        <w:t xml:space="preserve">blocks</w:t>
      </w:r>
      <w:r>
        <w:t xml:space="preserve">, typically 128 MB, with a default replication factor of three [Shvachko et al. 2010]. DataNodes send heartbeats every few seconds and periodic block reports; a DataNode silent for about ten minutes is considered dead and its blocks are re-replicated. Writes go through a pipeline of DataNodes, as in GFS. HDFS supports single-writer append rather than concurrent record append, and places replicas rack-aware.</w:t>
      </w:r>
    </w:p>
    <w:p>
      <w:pPr>
        <w:pStyle w:val="BodyText"/>
      </w:pPr>
      <w:r>
        <w:t xml:space="preserve">The original NameNode was a single point of failure. Hadoop 2 added</w:t>
      </w:r>
      <w:r>
        <w:t xml:space="preserve"> </w:t>
      </w:r>
      <w:r>
        <w:rPr>
          <w:bCs/>
          <w:b/>
        </w:rPr>
        <w:t xml:space="preserve">high availability</w:t>
      </w:r>
      <w:r>
        <w:t xml:space="preserve">: an</w:t>
      </w:r>
      <w:r>
        <w:t xml:space="preserve"> </w:t>
      </w:r>
      <w:r>
        <w:rPr>
          <w:iCs/>
          <w:i/>
        </w:rPr>
        <w:t xml:space="preserve">active</w:t>
      </w:r>
      <w:r>
        <w:t xml:space="preserve"> </w:t>
      </w:r>
      <w:r>
        <w:t xml:space="preserve">and a</w:t>
      </w:r>
      <w:r>
        <w:t xml:space="preserve"> </w:t>
      </w:r>
      <w:r>
        <w:rPr>
          <w:iCs/>
          <w:i/>
        </w:rPr>
        <w:t xml:space="preserve">standby</w:t>
      </w:r>
      <w:r>
        <w:t xml:space="preserve"> </w:t>
      </w:r>
      <w:r>
        <w:t xml:space="preserve">NameNode share the edit log through a quorum of</w:t>
      </w:r>
      <w:r>
        <w:t xml:space="preserve"> </w:t>
      </w:r>
      <w:r>
        <w:rPr>
          <w:bCs/>
          <w:b/>
        </w:rPr>
        <w:t xml:space="preserve">JournalNodes</w:t>
      </w:r>
      <w:r>
        <w:t xml:space="preserve">, DataNodes report blocks to both, and a ZooKeeper-based failover controller elects the active one and fences the old one [Apache Hadoop HA docs].</w:t>
      </w:r>
      <w:r>
        <w:t xml:space="preserve"> </w:t>
      </w:r>
      <w:r>
        <w:rPr>
          <w:bCs/>
          <w:b/>
        </w:rPr>
        <w:t xml:space="preserve">Federation</w:t>
      </w:r>
      <w:r>
        <w:t xml:space="preserve"> </w:t>
      </w:r>
      <w:r>
        <w:t xml:space="preserve">runs several independent NameNodes, each owning part of the namespace, to go past one heap’s limit.</w:t>
      </w:r>
    </w:p>
    <w:p>
      <w:pPr>
        <w:pStyle w:val="BodyText"/>
      </w:pPr>
      <w:r>
        <w:rPr>
          <w:bCs/>
          <w:b/>
        </w:rPr>
        <w:t xml:space="preserve">Figure 15.5 — HDFS with NameNode high availability.</w:t>
      </w:r>
    </w:p>
    <w:p>
      <w:pPr>
        <w:pStyle w:val="BodyText"/>
      </w:pPr>
      <w:r>
        <w:drawing>
          <wp:inline>
            <wp:extent cx="5334000" cy="4777252"/>
            <wp:effectExtent b="0" l="0" r="0" t="0"/>
            <wp:docPr descr="" title="" id="1728" name="Picture"/>
            <a:graphic>
              <a:graphicData uri="http://schemas.openxmlformats.org/drawingml/2006/picture">
                <pic:pic>
                  <pic:nvPicPr>
                    <pic:cNvPr descr="/home/user/System-Design/build/.cache/diagrams/2e517939be9e.png" id="1729" name="Picture"/>
                    <pic:cNvPicPr>
                      <a:picLocks noChangeArrowheads="1" noChangeAspect="1"/>
                    </pic:cNvPicPr>
                  </pic:nvPicPr>
                  <pic:blipFill>
                    <a:blip r:embed="rId1727"/>
                    <a:stretch>
                      <a:fillRect/>
                    </a:stretch>
                  </pic:blipFill>
                  <pic:spPr bwMode="auto">
                    <a:xfrm>
                      <a:off x="0" y="0"/>
                      <a:ext cx="5334000" cy="4777252"/>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w:t>
      </w:r>
      <w:r>
        <w:t xml:space="preserve"> </w:t>
      </w:r>
      <w:r>
        <w:rPr>
          <w:iCs/>
          <w:i/>
        </w:rPr>
        <w:t xml:space="preserve">client</w:t>
      </w:r>
      <w:r>
        <w:t xml:space="preserve"> </w:t>
      </w:r>
      <w:r>
        <w:t xml:space="preserve">sends metadata RPCs to the</w:t>
      </w:r>
      <w:r>
        <w:t xml:space="preserve"> </w:t>
      </w:r>
      <w:r>
        <w:rPr>
          <w:iCs/>
          <w:i/>
        </w:rPr>
        <w:t xml:space="preserve">active NameNode</w:t>
      </w:r>
      <w:r>
        <w:t xml:space="preserve"> </w:t>
      </w:r>
      <w:r>
        <w:t xml:space="preserve">and streams block data directly to and from</w:t>
      </w:r>
      <w:r>
        <w:t xml:space="preserve"> </w:t>
      </w:r>
      <w:r>
        <w:rPr>
          <w:iCs/>
          <w:i/>
        </w:rPr>
        <w:t xml:space="preserve">DataNodes</w:t>
      </w:r>
      <w:r>
        <w:t xml:space="preserve">. The active NameNode writes every namespace change to a majority of</w:t>
      </w:r>
      <w:r>
        <w:t xml:space="preserve"> </w:t>
      </w:r>
      <w:r>
        <w:rPr>
          <w:iCs/>
          <w:i/>
        </w:rPr>
        <w:t xml:space="preserve">JournalNodes</w:t>
      </w:r>
      <w:r>
        <w:t xml:space="preserve"> </w:t>
      </w:r>
      <w:r>
        <w:t xml:space="preserve">(synchronously) before acknowledging; the</w:t>
      </w:r>
      <w:r>
        <w:t xml:space="preserve"> </w:t>
      </w:r>
      <w:r>
        <w:rPr>
          <w:iCs/>
          <w:i/>
        </w:rPr>
        <w:t xml:space="preserve">standby</w:t>
      </w:r>
      <w:r>
        <w:t xml:space="preserve"> </w:t>
      </w:r>
      <w:r>
        <w:t xml:space="preserve">tails those edits asynchronously and stays nearly current.</w:t>
      </w:r>
      <w:r>
        <w:t xml:space="preserve"> </w:t>
      </w:r>
      <w:r>
        <w:rPr>
          <w:iCs/>
          <w:i/>
        </w:rPr>
        <w:t xml:space="preserve">DataNodes</w:t>
      </w:r>
      <w:r>
        <w:t xml:space="preserve"> </w:t>
      </w:r>
      <w:r>
        <w:t xml:space="preserve">report to both, so the standby knows block locations at failover.</w:t>
      </w:r>
      <w:r>
        <w:t xml:space="preserve"> </w:t>
      </w:r>
      <w:r>
        <w:rPr>
          <w:iCs/>
          <w:i/>
        </w:rPr>
        <w:t xml:space="preserve">ZooKeeper</w:t>
      </w:r>
      <w:r>
        <w:t xml:space="preserve"> </w:t>
      </w:r>
      <w:r>
        <w:t xml:space="preserve">(dotted) holds the election lock; failover controllers on each NameNode use it to promote the standby and fence the old active, preventing split brain (§26.12–§26.13). Storage boundaries: the namespace is in NameNode RAM backed by the journal; block bytes are on DataNodes. Failure points: active NameNode loss costs seconds of metadata unavailability; losing a JournalNode majority blocks writes. Scaling: data scales with DataNodes; metadata scales only by federation.</w:t>
      </w:r>
    </w:p>
    <w:bookmarkEnd w:id="1730"/>
    <w:bookmarkStart w:id="1733" w:name="X7ec206dc90a67a5280b83b28756099f412af746"/>
    <w:p>
      <w:pPr>
        <w:pStyle w:val="Heading3"/>
      </w:pPr>
      <w:r>
        <w:t xml:space="preserve">15.5.3 Colossus and Tectonic: distributing the master</w:t>
      </w:r>
    </w:p>
    <w:p>
      <w:pPr>
        <w:pStyle w:val="FirstParagraph"/>
      </w:pPr>
      <w:r>
        <w:t xml:space="preserve">Both GFS and HDFS hit the same wall: one metadata server’s memory and request rate. Their successors keep the client library and chunk servers but move metadata into a scalable database.</w:t>
      </w:r>
    </w:p>
    <w:p>
      <w:pPr>
        <w:pStyle w:val="CalloutIndustry"/>
      </w:pPr>
      <w:r>
        <w:rPr>
          <w:bCs/>
          <w:b/>
        </w:rPr>
        <w:t xml:space="preserve">INDUSTRY EXAMPLE</w:t>
      </w:r>
    </w:p>
    <w:p>
      <w:pPr>
        <w:pStyle w:val="CalloutIndustry"/>
      </w:pPr>
      <w:r>
        <w:rPr>
          <w:bCs/>
          <w:b/>
        </w:rPr>
        <w:t xml:space="preserve">Google Colossus.</w:t>
      </w:r>
      <w:r>
        <w:t xml:space="preserve"> </w:t>
      </w:r>
      <w:r>
        <w:t xml:space="preserve">Google has published only an overview. A 2021 Google Cloud blog describes GFS’s successor as a client library, scalable metadata services (</w:t>
      </w:r>
      <w:r>
        <w:t xml:space="preserve">“</w:t>
      </w:r>
      <w:r>
        <w:t xml:space="preserve">curators</w:t>
      </w:r>
      <w:r>
        <w:t xml:space="preserve">”</w:t>
      </w:r>
      <w:r>
        <w:t xml:space="preserve">) storing metadata in Bigtable,</w:t>
      </w:r>
      <w:r>
        <w:t xml:space="preserve"> </w:t>
      </w:r>
      <w:r>
        <w:t xml:space="preserve">“</w:t>
      </w:r>
      <w:r>
        <w:t xml:space="preserve">D</w:t>
      </w:r>
      <w:r>
        <w:t xml:space="preserve">”</w:t>
      </w:r>
      <w:r>
        <w:t xml:space="preserve"> </w:t>
      </w:r>
      <w:r>
        <w:t xml:space="preserve">file servers holding data, and background</w:t>
      </w:r>
      <w:r>
        <w:t xml:space="preserve"> </w:t>
      </w:r>
      <w:r>
        <w:t xml:space="preserve">“</w:t>
      </w:r>
      <w:r>
        <w:t xml:space="preserve">custodians</w:t>
      </w:r>
      <w:r>
        <w:t xml:space="preserve">”</w:t>
      </w:r>
      <w:r>
        <w:t xml:space="preserve"> </w:t>
      </w:r>
      <w:r>
        <w:t xml:space="preserve">for durability and rebalancing; data is replicated or Reed–Solomon encoded per workload [Hildebrand and Serenyi 2021].</w:t>
      </w:r>
      <w:r>
        <w:t xml:space="preserve"> </w:t>
      </w:r>
      <w:r>
        <w:rPr>
          <w:iCs/>
          <w:i/>
        </w:rPr>
        <w:t xml:space="preserve">Evidence: Primary</w:t>
      </w:r>
      <w:r>
        <w:t xml:space="preserve"> </w:t>
      </w:r>
      <w:r>
        <w:t xml:space="preserve">— [Hildebrand and Serenyi 2021]</w:t>
      </w:r>
    </w:p>
    <w:p>
      <w:pPr>
        <w:pStyle w:val="CalloutIndustry"/>
      </w:pPr>
      <w:r>
        <w:rPr>
          <w:bCs/>
          <w:b/>
        </w:rPr>
        <w:t xml:space="preserve">INDUSTRY EXAMPLE</w:t>
      </w:r>
    </w:p>
    <w:p>
      <w:pPr>
        <w:pStyle w:val="CalloutIndustry"/>
      </w:pPr>
      <w:r>
        <w:rPr>
          <w:bCs/>
          <w:b/>
        </w:rPr>
        <w:t xml:space="preserve">Facebook Tectonic.</w:t>
      </w:r>
      <w:r>
        <w:t xml:space="preserve"> </w:t>
      </w:r>
      <w:r>
        <w:t xml:space="preserve">Tectonic, an exabyte-scale multitenant file system, consolidated Facebook’s blob storage (Haystack and f4) and its data-warehouse HDFS clusters. Its metadata is split into Name, File and Block layers (Figure 15.8) stored in ZippyDB, a sharded key-value store, behind stateless metadata services; data flows directly between client library and chunk-store nodes. ZippyDB lacks cross-shard transactions, so some recursive operations are restricted. Blocks are replicated or Reed–Solomon encoded; blob storage appends small writes to replicas and Reed–Solomon encodes them later [Pan et al. 2021].</w:t>
      </w:r>
      <w:r>
        <w:t xml:space="preserve"> </w:t>
      </w:r>
      <w:r>
        <w:rPr>
          <w:iCs/>
          <w:i/>
        </w:rPr>
        <w:t xml:space="preserve">Evidence: Primary</w:t>
      </w:r>
      <w:r>
        <w:t xml:space="preserve"> </w:t>
      </w:r>
      <w:r>
        <w:t xml:space="preserve">— [Pan et al. 2021]</w:t>
      </w:r>
    </w:p>
    <w:bookmarkStart w:id="1731" w:name="alternatives-and-trade-offs-7"/>
    <w:p>
      <w:pPr>
        <w:pStyle w:val="Heading4"/>
      </w:pPr>
      <w:r>
        <w:t xml:space="preserve">Alternatives and trade-offs</w:t>
      </w:r>
    </w:p>
    <w:p>
      <w:pPr>
        <w:pStyle w:val="FirstParagraph"/>
      </w:pPr>
      <w:r>
        <w:rPr>
          <w:bCs/>
          <w:b/>
        </w:rPr>
        <w:t xml:space="preserve">Table 15.2 — GFS, HDFS and Tectonic compared.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Aspect</w:t>
            </w:r>
          </w:p>
        </w:tc>
        <w:tc>
          <w:tcPr/>
          <w:p>
            <w:pPr>
              <w:pStyle w:val="Compact"/>
              <w:jc w:val="left"/>
            </w:pPr>
            <w:r>
              <w:t xml:space="preserve">GFS (2003)</w:t>
            </w:r>
          </w:p>
        </w:tc>
        <w:tc>
          <w:tcPr/>
          <w:p>
            <w:pPr>
              <w:pStyle w:val="Compact"/>
              <w:jc w:val="left"/>
            </w:pPr>
            <w:r>
              <w:t xml:space="preserve">HDFS (2010)</w:t>
            </w:r>
          </w:p>
        </w:tc>
        <w:tc>
          <w:tcPr/>
          <w:p>
            <w:pPr>
              <w:pStyle w:val="Compact"/>
              <w:jc w:val="left"/>
            </w:pPr>
            <w:r>
              <w:t xml:space="preserve">Tectonic (2021)</w:t>
            </w:r>
          </w:p>
        </w:tc>
      </w:tr>
      <w:tr>
        <w:tc>
          <w:tcPr/>
          <w:p>
            <w:pPr>
              <w:pStyle w:val="Compact"/>
              <w:jc w:val="left"/>
            </w:pPr>
            <w:r>
              <w:t xml:space="preserve">Metadata</w:t>
            </w:r>
          </w:p>
        </w:tc>
        <w:tc>
          <w:tcPr/>
          <w:p>
            <w:pPr>
              <w:pStyle w:val="Compact"/>
              <w:jc w:val="left"/>
            </w:pPr>
            <w:r>
              <w:t xml:space="preserve">Single in-memory master + replicated log</w:t>
            </w:r>
          </w:p>
        </w:tc>
        <w:tc>
          <w:tcPr/>
          <w:p>
            <w:pPr>
              <w:pStyle w:val="Compact"/>
              <w:jc w:val="left"/>
            </w:pPr>
            <w:r>
              <w:t xml:space="preserve">NameNode in RAM; HA standby; federation</w:t>
            </w:r>
          </w:p>
        </w:tc>
        <w:tc>
          <w:tcPr/>
          <w:p>
            <w:pPr>
              <w:pStyle w:val="Compact"/>
              <w:jc w:val="left"/>
            </w:pPr>
            <w:r>
              <w:t xml:space="preserve">Sharded key-value store, stateless services</w:t>
            </w:r>
          </w:p>
        </w:tc>
      </w:tr>
      <w:tr>
        <w:tc>
          <w:tcPr/>
          <w:p>
            <w:pPr>
              <w:pStyle w:val="Compact"/>
              <w:jc w:val="left"/>
            </w:pPr>
            <w:r>
              <w:t xml:space="preserve">Unit</w:t>
            </w:r>
          </w:p>
        </w:tc>
        <w:tc>
          <w:tcPr/>
          <w:p>
            <w:pPr>
              <w:pStyle w:val="Compact"/>
              <w:jc w:val="left"/>
            </w:pPr>
            <w:r>
              <w:t xml:space="preserve">64 MB chunk</w:t>
            </w:r>
          </w:p>
        </w:tc>
        <w:tc>
          <w:tcPr/>
          <w:p>
            <w:pPr>
              <w:pStyle w:val="Compact"/>
              <w:jc w:val="left"/>
            </w:pPr>
            <w:r>
              <w:t xml:space="preserve">128 MB block (configurable)</w:t>
            </w:r>
          </w:p>
        </w:tc>
        <w:tc>
          <w:tcPr/>
          <w:p>
            <w:pPr>
              <w:pStyle w:val="Compact"/>
              <w:jc w:val="left"/>
            </w:pPr>
            <w:r>
              <w:t xml:space="preserve">Block of chunks</w:t>
            </w:r>
          </w:p>
        </w:tc>
      </w:tr>
      <w:tr>
        <w:tc>
          <w:tcPr/>
          <w:p>
            <w:pPr>
              <w:pStyle w:val="Compact"/>
              <w:jc w:val="left"/>
            </w:pPr>
            <w:r>
              <w:t xml:space="preserve">Redundancy</w:t>
            </w:r>
          </w:p>
        </w:tc>
        <w:tc>
          <w:tcPr/>
          <w:p>
            <w:pPr>
              <w:pStyle w:val="Compact"/>
              <w:jc w:val="left"/>
            </w:pPr>
            <w:r>
              <w:t xml:space="preserve">3× replication</w:t>
            </w:r>
          </w:p>
        </w:tc>
        <w:tc>
          <w:tcPr/>
          <w:p>
            <w:pPr>
              <w:pStyle w:val="Compact"/>
              <w:jc w:val="left"/>
            </w:pPr>
            <w:r>
              <w:t xml:space="preserve">3× replication; erasure coding from Hadoop 3</w:t>
            </w:r>
          </w:p>
        </w:tc>
        <w:tc>
          <w:tcPr/>
          <w:p>
            <w:pPr>
              <w:pStyle w:val="Compact"/>
              <w:jc w:val="left"/>
            </w:pPr>
            <w:r>
              <w:t xml:space="preserve">Replication or Reed–Solomon per tenant</w:t>
            </w:r>
          </w:p>
        </w:tc>
      </w:tr>
      <w:tr>
        <w:tc>
          <w:tcPr/>
          <w:p>
            <w:pPr>
              <w:pStyle w:val="Compact"/>
              <w:jc w:val="left"/>
            </w:pPr>
            <w:r>
              <w:t xml:space="preserve">Write semantics</w:t>
            </w:r>
          </w:p>
        </w:tc>
        <w:tc>
          <w:tcPr/>
          <w:p>
            <w:pPr>
              <w:pStyle w:val="Compact"/>
              <w:jc w:val="left"/>
            </w:pPr>
            <w:r>
              <w:t xml:space="preserve">Concurrent record append, at least once</w:t>
            </w:r>
          </w:p>
        </w:tc>
        <w:tc>
          <w:tcPr/>
          <w:p>
            <w:pPr>
              <w:pStyle w:val="Compact"/>
              <w:jc w:val="left"/>
            </w:pPr>
            <w:r>
              <w:t xml:space="preserve">Single writer, append</w:t>
            </w:r>
          </w:p>
        </w:tc>
        <w:tc>
          <w:tcPr/>
          <w:p>
            <w:pPr>
              <w:pStyle w:val="Compact"/>
              <w:jc w:val="left"/>
            </w:pPr>
            <w:r>
              <w:t xml:space="preserve">Single writer per file; tenant-specific</w:t>
            </w:r>
          </w:p>
        </w:tc>
      </w:tr>
      <w:tr>
        <w:tc>
          <w:tcPr/>
          <w:p>
            <w:pPr>
              <w:pStyle w:val="Compact"/>
              <w:jc w:val="left"/>
            </w:pPr>
            <w:r>
              <w:t xml:space="preserve">Scaling limit</w:t>
            </w:r>
          </w:p>
        </w:tc>
        <w:tc>
          <w:tcPr/>
          <w:p>
            <w:pPr>
              <w:pStyle w:val="Compact"/>
              <w:jc w:val="left"/>
            </w:pPr>
            <w:r>
              <w:t xml:space="preserve">Master memory and RPC rate</w:t>
            </w:r>
          </w:p>
        </w:tc>
        <w:tc>
          <w:tcPr/>
          <w:p>
            <w:pPr>
              <w:pStyle w:val="Compact"/>
              <w:jc w:val="left"/>
            </w:pPr>
            <w:r>
              <w:t xml:space="preserve">NameNode heap</w:t>
            </w:r>
          </w:p>
        </w:tc>
        <w:tc>
          <w:tcPr/>
          <w:p>
            <w:pPr>
              <w:pStyle w:val="Compact"/>
              <w:jc w:val="left"/>
            </w:pPr>
            <w:r>
              <w:t xml:space="preserve">Key-value store shards (horizontally scalable)</w:t>
            </w:r>
          </w:p>
        </w:tc>
      </w:tr>
    </w:tbl>
    <w:bookmarkEnd w:id="1731"/>
    <w:bookmarkStart w:id="1732" w:name="failure-scenarios-43"/>
    <w:p>
      <w:pPr>
        <w:pStyle w:val="Heading4"/>
      </w:pPr>
      <w:r>
        <w:t xml:space="preserve">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Duplicate records after append</w:t>
            </w:r>
          </w:p>
        </w:tc>
        <w:tc>
          <w:tcPr/>
          <w:p>
            <w:pPr>
              <w:pStyle w:val="Compact"/>
              <w:jc w:val="left"/>
            </w:pPr>
            <w:r>
              <w:t xml:space="preserve">Client retried a partially failed record append</w:t>
            </w:r>
          </w:p>
        </w:tc>
        <w:tc>
          <w:tcPr/>
          <w:p>
            <w:pPr>
              <w:pStyle w:val="Compact"/>
              <w:jc w:val="left"/>
            </w:pPr>
            <w:r>
              <w:t xml:space="preserve">Duplicate record IDs downstream</w:t>
            </w:r>
          </w:p>
        </w:tc>
        <w:tc>
          <w:tcPr/>
          <w:p>
            <w:pPr>
              <w:pStyle w:val="Compact"/>
              <w:jc w:val="left"/>
            </w:pPr>
            <w:r>
              <w:t xml:space="preserve">Deduplicate on read</w:t>
            </w:r>
          </w:p>
        </w:tc>
        <w:tc>
          <w:tcPr/>
          <w:p>
            <w:pPr>
              <w:pStyle w:val="Compact"/>
              <w:jc w:val="left"/>
            </w:pPr>
            <w:r>
              <w:t xml:space="preserve">Unique record IDs and checksums in the payload</w:t>
            </w:r>
          </w:p>
        </w:tc>
      </w:tr>
      <w:tr>
        <w:tc>
          <w:tcPr/>
          <w:p>
            <w:pPr>
              <w:pStyle w:val="Compact"/>
              <w:jc w:val="left"/>
            </w:pPr>
            <w:r>
              <w:t xml:space="preserve">Re-replication storm</w:t>
            </w:r>
          </w:p>
        </w:tc>
        <w:tc>
          <w:tcPr/>
          <w:p>
            <w:pPr>
              <w:pStyle w:val="Compact"/>
              <w:jc w:val="left"/>
            </w:pPr>
            <w:r>
              <w:t xml:space="preserve">Rack failure loses thousands of blocks at once</w:t>
            </w:r>
          </w:p>
        </w:tc>
        <w:tc>
          <w:tcPr/>
          <w:p>
            <w:pPr>
              <w:pStyle w:val="Compact"/>
              <w:jc w:val="left"/>
            </w:pPr>
            <w:r>
              <w:t xml:space="preserve">Under-replicated block count spikes</w:t>
            </w:r>
          </w:p>
        </w:tc>
        <w:tc>
          <w:tcPr/>
          <w:p>
            <w:pPr>
              <w:pStyle w:val="Compact"/>
              <w:jc w:val="left"/>
            </w:pPr>
            <w:r>
              <w:t xml:space="preserve">Throttled, prioritized re-replication (blocks with one copy first)</w:t>
            </w:r>
          </w:p>
        </w:tc>
        <w:tc>
          <w:tcPr/>
          <w:p>
            <w:pPr>
              <w:pStyle w:val="Compact"/>
              <w:jc w:val="left"/>
            </w:pPr>
            <w:r>
              <w:t xml:space="preserve">Rack-aware placement; repair bandwidth budgets</w:t>
            </w:r>
          </w:p>
        </w:tc>
      </w:tr>
    </w:tbl>
    <w:bookmarkEnd w:id="1732"/>
    <w:bookmarkEnd w:id="1733"/>
    <w:bookmarkEnd w:id="1734"/>
    <w:bookmarkStart w:id="1750" w:name="replication-versus-erasure-coding"/>
    <w:p>
      <w:pPr>
        <w:pStyle w:val="Heading2"/>
      </w:pPr>
      <w:r>
        <w:t xml:space="preserve">15.6 Replication versus erasure coding</w:t>
      </w:r>
    </w:p>
    <w:bookmarkStart w:id="1743" w:name="reedsolomon-codes"/>
    <w:p>
      <w:pPr>
        <w:pStyle w:val="Heading3"/>
      </w:pPr>
      <w:r>
        <w:t xml:space="preserve">15.6.1 Reed–Solomon codes</w:t>
      </w:r>
    </w:p>
    <w:p>
      <w:pPr>
        <w:pStyle w:val="CalloutDefinition"/>
      </w:pPr>
      <w:r>
        <w:rPr>
          <w:bCs/>
          <w:b/>
        </w:rPr>
        <w:t xml:space="preserve">DEFINITION</w:t>
      </w:r>
    </w:p>
    <w:p>
      <w:pPr>
        <w:pStyle w:val="CalloutDefinition"/>
      </w:pPr>
      <w:r>
        <w:rPr>
          <w:bCs/>
          <w:b/>
        </w:rPr>
        <w:t xml:space="preserve">Definition — Erasure code and RS(k, m).</w:t>
      </w:r>
      <w:r>
        <w:t xml:space="preserve"> </w:t>
      </w:r>
      <w:r>
        <w:t xml:space="preserve">An</w:t>
      </w:r>
      <w:r>
        <w:t xml:space="preserve"> </w:t>
      </w:r>
      <w:r>
        <w:rPr>
          <w:bCs/>
          <w:b/>
        </w:rPr>
        <w:t xml:space="preserve">erasure code</w:t>
      </w:r>
      <w:r>
        <w:t xml:space="preserve"> </w:t>
      </w:r>
      <w:r>
        <w:t xml:space="preserve">transforms</w:t>
      </w:r>
      <w:r>
        <w:t xml:space="preserve"> </w:t>
      </w:r>
      <m:oMath>
        <m:r>
          <m:t>k</m:t>
        </m:r>
      </m:oMath>
      <w:r>
        <w:t xml:space="preserve"> </w:t>
      </w:r>
      <w:r>
        <w:t xml:space="preserve">data fragments into</w:t>
      </w:r>
      <w:r>
        <w:t xml:space="preserve"> </w:t>
      </w:r>
      <m:oMath>
        <m:r>
          <m:t>k</m:t>
        </m:r>
        <m:r>
          <m:rPr>
            <m:sty m:val="p"/>
          </m:rPr>
          <m:t>+</m:t>
        </m:r>
        <m:r>
          <m:t>m</m:t>
        </m:r>
      </m:oMath>
      <w:r>
        <w:t xml:space="preserve"> </w:t>
      </w:r>
      <w:r>
        <w:t xml:space="preserve">fragments such that the original data can be rebuilt from some subset of them after the others are lost (</w:t>
      </w:r>
      <w:r>
        <w:t xml:space="preserve">“</w:t>
      </w:r>
      <w:r>
        <w:t xml:space="preserve">erased</w:t>
      </w:r>
      <w:r>
        <w:t xml:space="preserve">”</w:t>
      </w:r>
      <w:r>
        <w:t xml:space="preserve">). A</w:t>
      </w:r>
      <w:r>
        <w:t xml:space="preserve"> </w:t>
      </w:r>
      <w:r>
        <w:rPr>
          <w:bCs/>
          <w:b/>
        </w:rPr>
        <w:t xml:space="preserve">Reed–Solomon</w:t>
      </w:r>
      <w:r>
        <w:t xml:space="preserve"> </w:t>
      </w:r>
      <w:r>
        <w:t xml:space="preserve">code RS(</w:t>
      </w:r>
      <m:oMath>
        <m:r>
          <m:t>k</m:t>
        </m:r>
      </m:oMath>
      <w:r>
        <w:t xml:space="preserve">,</w:t>
      </w:r>
      <w:r>
        <w:t xml:space="preserve"> </w:t>
      </w:r>
      <m:oMath>
        <m:r>
          <m:t>m</m:t>
        </m:r>
      </m:oMath>
      <w:r>
        <w:t xml:space="preserve">) is a</w:t>
      </w:r>
      <w:r>
        <w:t xml:space="preserve"> </w:t>
      </w:r>
      <w:r>
        <w:rPr>
          <w:bCs/>
          <w:b/>
        </w:rPr>
        <w:t xml:space="preserve">maximum distance separable (MDS)</w:t>
      </w:r>
      <w:r>
        <w:t xml:space="preserve"> </w:t>
      </w:r>
      <w:r>
        <w:t xml:space="preserve">code:</w:t>
      </w:r>
      <w:r>
        <w:t xml:space="preserve"> </w:t>
      </w:r>
      <w:r>
        <w:rPr>
          <w:iCs/>
          <w:i/>
        </w:rPr>
        <w:t xml:space="preserve">any</w:t>
      </w:r>
      <w:r>
        <w:t xml:space="preserve"> </w:t>
      </w:r>
      <m:oMath>
        <m:r>
          <m:t>k</m:t>
        </m:r>
      </m:oMath>
      <w:r>
        <w:t xml:space="preserve"> </w:t>
      </w:r>
      <w:r>
        <w:t xml:space="preserve">of the</w:t>
      </w:r>
      <w:r>
        <w:t xml:space="preserve"> </w:t>
      </w:r>
      <m:oMath>
        <m:r>
          <m:t>k</m:t>
        </m:r>
        <m:r>
          <m:rPr>
            <m:sty m:val="p"/>
          </m:rPr>
          <m:t>+</m:t>
        </m:r>
        <m:r>
          <m:t>m</m:t>
        </m:r>
      </m:oMath>
      <w:r>
        <w:t xml:space="preserve"> </w:t>
      </w:r>
      <w:r>
        <w:t xml:space="preserve">fragments suffice, so it tolerates the loss of any</w:t>
      </w:r>
      <w:r>
        <w:t xml:space="preserve"> </w:t>
      </w:r>
      <m:oMath>
        <m:r>
          <m:t>m</m:t>
        </m:r>
      </m:oMath>
      <w:r>
        <w:t xml:space="preserve"> </w:t>
      </w:r>
      <w:r>
        <w:t xml:space="preserve">fragments. A code is</w:t>
      </w:r>
      <w:r>
        <w:t xml:space="preserve"> </w:t>
      </w:r>
      <w:r>
        <w:rPr>
          <w:bCs/>
          <w:b/>
        </w:rPr>
        <w:t xml:space="preserve">systematic</w:t>
      </w:r>
      <w:r>
        <w:t xml:space="preserve"> </w:t>
      </w:r>
      <w:r>
        <w:t xml:space="preserve">when the first</w:t>
      </w:r>
      <w:r>
        <w:t xml:space="preserve"> </w:t>
      </w:r>
      <m:oMath>
        <m:r>
          <m:t>k</m:t>
        </m:r>
      </m:oMath>
      <w:r>
        <w:t xml:space="preserve"> </w:t>
      </w:r>
      <w:r>
        <w:t xml:space="preserve">fragments are the unmodified data, so healthy reads need no decoding.</w:t>
      </w:r>
    </w:p>
    <w:bookmarkStart w:id="1735" w:name="first-principles-explanation-98"/>
    <w:p>
      <w:pPr>
        <w:pStyle w:val="Heading4"/>
      </w:pPr>
      <w:r>
        <w:t xml:space="preserve">First-principles explanation</w:t>
      </w:r>
    </w:p>
    <w:p>
      <w:pPr>
        <w:pStyle w:val="FirstParagraph"/>
      </w:pPr>
      <w:r>
        <w:t xml:space="preserve">Store 5, 7 and 2 together with their sum, 14. Lose any one of the four and you can recompute it:</w:t>
      </w:r>
      <w:r>
        <w:t xml:space="preserve"> </w:t>
      </w:r>
      <m:oMath>
        <m:r>
          <m:t>14</m:t>
        </m:r>
        <m:r>
          <m:rPr>
            <m:sty m:val="p"/>
          </m:rPr>
          <m:t>−</m:t>
        </m:r>
        <m:r>
          <m:t>5</m:t>
        </m:r>
        <m:r>
          <m:rPr>
            <m:sty m:val="p"/>
          </m:rPr>
          <m:t>−</m:t>
        </m:r>
        <m:r>
          <m:t>2</m:t>
        </m:r>
        <m:r>
          <m:rPr>
            <m:sty m:val="p"/>
          </m:rPr>
          <m:t>=</m:t>
        </m:r>
        <m:r>
          <m:t>7</m:t>
        </m:r>
      </m:oMath>
      <w:r>
        <w:t xml:space="preserve">. RAID-5 does this with XOR: one parity block protects against any one loss. Reed–Solomon generalizes it. Treat the</w:t>
      </w:r>
      <w:r>
        <w:t xml:space="preserve"> </w:t>
      </w:r>
      <m:oMath>
        <m:r>
          <m:t>k</m:t>
        </m:r>
      </m:oMath>
      <w:r>
        <w:t xml:space="preserve"> </w:t>
      </w:r>
      <w:r>
        <w:t xml:space="preserve">data symbols as the values of a polynomial of degree less than</w:t>
      </w:r>
      <w:r>
        <w:t xml:space="preserve"> </w:t>
      </w:r>
      <m:oMath>
        <m:r>
          <m:t>k</m:t>
        </m:r>
      </m:oMath>
      <w:r>
        <w:t xml:space="preserve"> </w:t>
      </w:r>
      <w:r>
        <w:t xml:space="preserve">at</w:t>
      </w:r>
      <w:r>
        <w:t xml:space="preserve"> </w:t>
      </w:r>
      <m:oMath>
        <m:r>
          <m:t>k</m:t>
        </m:r>
      </m:oMath>
      <w:r>
        <w:t xml:space="preserve"> </w:t>
      </w:r>
      <w:r>
        <w:t xml:space="preserve">known points. Two points fix a line and three fix a parabola; in general</w:t>
      </w:r>
      <w:r>
        <w:t xml:space="preserve"> </w:t>
      </w:r>
      <m:oMath>
        <m:r>
          <m:t>k</m:t>
        </m:r>
      </m:oMath>
      <w:r>
        <w:t xml:space="preserve"> </w:t>
      </w:r>
      <w:r>
        <w:t xml:space="preserve">points fix a degree-</w:t>
      </w:r>
      <m:oMath>
        <m:d>
          <m:dPr>
            <m:begChr m:val="("/>
            <m:endChr m:val=")"/>
            <m:sepChr m:val=""/>
            <m:grow/>
          </m:dPr>
          <m:e>
            <m:r>
              <m:t>k</m:t>
            </m:r>
            <m:r>
              <m:rPr>
                <m:sty m:val="p"/>
              </m:rPr>
              <m:t>−</m:t>
            </m:r>
            <m:r>
              <m:t>1</m:t>
            </m:r>
          </m:e>
        </m:d>
      </m:oMath>
      <w:r>
        <w:t xml:space="preserve"> </w:t>
      </w:r>
      <w:r>
        <w:t xml:space="preserve">polynomial. Evaluate that polynomial at</w:t>
      </w:r>
      <w:r>
        <w:t xml:space="preserve"> </w:t>
      </w:r>
      <m:oMath>
        <m:r>
          <m:t>m</m:t>
        </m:r>
      </m:oMath>
      <w:r>
        <w:t xml:space="preserve"> </w:t>
      </w:r>
      <w:r>
        <w:t xml:space="preserve">extra points and store those values as parity. Any</w:t>
      </w:r>
      <w:r>
        <w:t xml:space="preserve"> </w:t>
      </w:r>
      <m:oMath>
        <m:r>
          <m:t>k</m:t>
        </m:r>
      </m:oMath>
      <w:r>
        <w:t xml:space="preserve"> </w:t>
      </w:r>
      <w:r>
        <w:t xml:space="preserve">surviving values pin down the polynomial again, and therefore all the data. The arithmetic is done in a finite field (in practice GF(</w:t>
      </w:r>
      <m:oMath>
        <m:sSup>
          <m:e>
            <m:r>
              <m:t>2</m:t>
            </m:r>
          </m:e>
          <m:sup>
            <m:r>
              <m:t>8</m:t>
            </m:r>
          </m:sup>
        </m:sSup>
      </m:oMath>
      <w:r>
        <w:t xml:space="preserve">), so each symbol is one byte) so that values never grow and division always works [Reed and Solomon 1960; Plank 1997].</w:t>
      </w:r>
    </w:p>
    <w:bookmarkEnd w:id="1735"/>
    <w:bookmarkStart w:id="1736" w:name="why-does-this-exist-59"/>
    <w:p>
      <w:pPr>
        <w:pStyle w:val="Heading4"/>
      </w:pPr>
      <w:r>
        <w:t xml:space="preserve">Why does this exist?</w:t>
      </w:r>
    </w:p>
    <w:p>
      <w:pPr>
        <w:pStyle w:val="FirstParagraph"/>
      </w:pPr>
      <w:r>
        <w:t xml:space="preserve">Three-way replication tolerates two failures but stores 3 bytes per byte. At exabyte scale the extra copies cost real money: hundreds of thousands of disks, the racks and the power for them. Erasure coding reaches the same or better durability for 1.2–1.5× overhead. Facebook’s f4 warm-blob store reports moving from an effective replication factor of 3.6 in Haystack to 2.1 by using RS(10,4) within a datacenter and XOR across datacenters [Muralidhar et al. 2014].</w:t>
      </w:r>
    </w:p>
    <w:bookmarkEnd w:id="1736"/>
    <w:bookmarkStart w:id="1740" w:name="how-it-works-internally-63"/>
    <w:p>
      <w:pPr>
        <w:pStyle w:val="Heading4"/>
      </w:pPr>
      <w:r>
        <w:t xml:space="preserve">How it works internally</w:t>
      </w:r>
    </w:p>
    <w:p>
      <w:pPr>
        <w:numPr>
          <w:ilvl w:val="0"/>
          <w:numId w:val="1512"/>
        </w:numPr>
        <w:pStyle w:val="Compact"/>
      </w:pPr>
      <w:r>
        <w:t xml:space="preserve">Split an object (or a large block) into</w:t>
      </w:r>
      <w:r>
        <w:t xml:space="preserve"> </w:t>
      </w:r>
      <m:oMath>
        <m:r>
          <m:t>k</m:t>
        </m:r>
      </m:oMath>
      <w:r>
        <w:t xml:space="preserve"> </w:t>
      </w:r>
      <w:r>
        <w:t xml:space="preserve">equal data fragments, padding the last.</w:t>
      </w:r>
    </w:p>
    <w:p>
      <w:pPr>
        <w:numPr>
          <w:ilvl w:val="0"/>
          <w:numId w:val="1512"/>
        </w:numPr>
        <w:pStyle w:val="Compact"/>
      </w:pPr>
      <w:r>
        <w:t xml:space="preserve">Compute</w:t>
      </w:r>
      <w:r>
        <w:t xml:space="preserve"> </w:t>
      </w:r>
      <m:oMath>
        <m:r>
          <m:t>m</m:t>
        </m:r>
      </m:oMath>
      <w:r>
        <w:t xml:space="preserve"> </w:t>
      </w:r>
      <w:r>
        <w:t xml:space="preserve">parity fragments, byte position by byte position, by multiplying the data symbols by a fixed encoding matrix (or, equivalently, evaluating the polynomial at the parity points).</w:t>
      </w:r>
    </w:p>
    <w:p>
      <w:pPr>
        <w:numPr>
          <w:ilvl w:val="0"/>
          <w:numId w:val="1512"/>
        </w:numPr>
        <w:pStyle w:val="Compact"/>
      </w:pPr>
      <w:r>
        <w:t xml:space="preserve">Place all</w:t>
      </w:r>
      <w:r>
        <w:t xml:space="preserve"> </w:t>
      </w:r>
      <m:oMath>
        <m:r>
          <m:t>k</m:t>
        </m:r>
        <m:r>
          <m:rPr>
            <m:sty m:val="p"/>
          </m:rPr>
          <m:t>+</m:t>
        </m:r>
        <m:r>
          <m:t>m</m:t>
        </m:r>
      </m:oMath>
      <w:r>
        <w:t xml:space="preserve"> </w:t>
      </w:r>
      <w:r>
        <w:t xml:space="preserve">fragments of a</w:t>
      </w:r>
      <w:r>
        <w:t xml:space="preserve"> </w:t>
      </w:r>
      <w:r>
        <w:rPr>
          <w:bCs/>
          <w:b/>
        </w:rPr>
        <w:t xml:space="preserve">stripe</w:t>
      </w:r>
      <w:r>
        <w:t xml:space="preserve"> </w:t>
      </w:r>
      <w:r>
        <w:t xml:space="preserve">on different disks, ideally different racks or zones, so one failure domain holds at most a few fragments.</w:t>
      </w:r>
    </w:p>
    <w:p>
      <w:pPr>
        <w:numPr>
          <w:ilvl w:val="0"/>
          <w:numId w:val="1512"/>
        </w:numPr>
        <w:pStyle w:val="Compact"/>
      </w:pPr>
      <w:r>
        <w:t xml:space="preserve">Reads normally fetch the</w:t>
      </w:r>
      <w:r>
        <w:t xml:space="preserve"> </w:t>
      </w:r>
      <m:oMath>
        <m:r>
          <m:t>k</m:t>
        </m:r>
      </m:oMath>
      <w:r>
        <w:t xml:space="preserve"> </w:t>
      </w:r>
      <w:r>
        <w:t xml:space="preserve">data fragments (systematic code). If one is slow or missing, fetch any parity fragment instead and decode: a degraded read.</w:t>
      </w:r>
    </w:p>
    <w:p>
      <w:pPr>
        <w:numPr>
          <w:ilvl w:val="0"/>
          <w:numId w:val="1512"/>
        </w:numPr>
        <w:pStyle w:val="Compact"/>
      </w:pPr>
      <w:r>
        <w:t xml:space="preserve">Repair: when a disk dies, for each stripe that lost a fragment, read</w:t>
      </w:r>
      <w:r>
        <w:t xml:space="preserve"> </w:t>
      </w:r>
      <m:oMath>
        <m:r>
          <m:t>k</m:t>
        </m:r>
      </m:oMath>
      <w:r>
        <w:t xml:space="preserve"> </w:t>
      </w:r>
      <w:r>
        <w:t xml:space="preserve">surviving fragments, decode, and write the lost one to a new disk.</w:t>
      </w:r>
    </w:p>
    <w:p>
      <w:pPr>
        <w:pStyle w:val="FirstParagraph"/>
      </w:pPr>
      <w:r>
        <w:rPr>
          <w:bCs/>
          <w:b/>
        </w:rPr>
        <w:t xml:space="preserve">Figure 15.6 — An RS(10,4) stripe across 14 failure domains.</w:t>
      </w:r>
    </w:p>
    <w:p>
      <w:pPr>
        <w:pStyle w:val="BodyText"/>
      </w:pPr>
      <w:r>
        <w:drawing>
          <wp:inline>
            <wp:extent cx="5334000" cy="1679915"/>
            <wp:effectExtent b="0" l="0" r="0" t="0"/>
            <wp:docPr descr="" title="" id="1738" name="Picture"/>
            <a:graphic>
              <a:graphicData uri="http://schemas.openxmlformats.org/drawingml/2006/picture">
                <pic:pic>
                  <pic:nvPicPr>
                    <pic:cNvPr descr="/home/user/System-Design/build/.cache/diagrams/50846146196c.png" id="1739" name="Picture"/>
                    <pic:cNvPicPr>
                      <a:picLocks noChangeArrowheads="1" noChangeAspect="1"/>
                    </pic:cNvPicPr>
                  </pic:nvPicPr>
                  <pic:blipFill>
                    <a:blip r:embed="rId1737"/>
                    <a:stretch>
                      <a:fillRect/>
                    </a:stretch>
                  </pic:blipFill>
                  <pic:spPr bwMode="auto">
                    <a:xfrm>
                      <a:off x="0" y="0"/>
                      <a:ext cx="5334000" cy="1679915"/>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A 640 MB block enters the</w:t>
      </w:r>
      <w:r>
        <w:t xml:space="preserve"> </w:t>
      </w:r>
      <w:r>
        <w:rPr>
          <w:iCs/>
          <w:i/>
        </w:rPr>
        <w:t xml:space="preserve">encoder</w:t>
      </w:r>
      <w:r>
        <w:t xml:space="preserve">, which writes ten 64 MB data fragments and four 64 MB parity fragments, each to a different rack. Arrows are synchronous writes. Failure points: any four of the fourteen racks can fail with no data loss; a fifth concurrent loss before repair loses the stripe. Raw capacity used is</w:t>
      </w:r>
      <w:r>
        <w:t xml:space="preserve"> </w:t>
      </w:r>
      <m:oMath>
        <m:r>
          <m:t>14</m:t>
        </m:r>
        <m:r>
          <m:rPr>
            <m:sty m:val="p"/>
          </m:rPr>
          <m:t>×</m:t>
        </m:r>
        <m:r>
          <m:t>64</m:t>
        </m:r>
        <m:r>
          <m:rPr>
            <m:sty m:val="p"/>
          </m:rPr>
          <m:t>=</m:t>
        </m:r>
        <m:r>
          <m:t>896</m:t>
        </m:r>
      </m:oMath>
      <w:r>
        <w:t xml:space="preserve"> </w:t>
      </w:r>
      <w:r>
        <w:t xml:space="preserve">MB for 640 MB of data (1.4×), versus 1,920 MB for three replicas. Scaling: stripes are independent, so encoding and repair parallelize across the cluster, but rebuilding one fragment reads ten, from ten racks.</w:t>
      </w:r>
    </w:p>
    <w:bookmarkEnd w:id="1740"/>
    <w:bookmarkStart w:id="1741" w:name="mathematical-foundations-31"/>
    <w:p>
      <w:pPr>
        <w:pStyle w:val="Heading4"/>
      </w:pPr>
      <w:r>
        <w:t xml:space="preserve">Mathematical foundations</w:t>
      </w:r>
    </w:p>
    <w:p>
      <w:pPr>
        <w:pStyle w:val="CalloutFormula"/>
      </w:pPr>
      <w:r>
        <w:rPr>
          <w:bCs/>
          <w:b/>
        </w:rPr>
        <w:t xml:space="preserve">FORMULA</w:t>
      </w:r>
    </w:p>
    <w:p>
      <w:pPr>
        <w:pStyle w:val="CalloutFormula"/>
      </w:pPr>
      <w:r>
        <w:rPr>
          <w:bCs/>
          <w:b/>
        </w:rPr>
        <w:t xml:space="preserve">Overhead, fault tolerance and repair reads of a (k, m) code</w:t>
      </w:r>
    </w:p>
    <w:p>
      <w:pPr>
        <w:pStyle w:val="CalloutFormula"/>
      </w:pPr>
      <m:oMathPara>
        <m:oMathParaPr>
          <m:jc m:val="center"/>
        </m:oMathParaPr>
        <m:oMath>
          <m:r>
            <m:rPr>
              <m:nor/>
              <m:sty m:val="p"/>
            </m:rPr>
            <m:t>overhead</m:t>
          </m:r>
          <m:r>
            <m:rPr>
              <m:sty m:val="p"/>
            </m:rPr>
            <m:t>=</m:t>
          </m:r>
          <m:f>
            <m:fPr>
              <m:type m:val="bar"/>
            </m:fPr>
            <m:num>
              <m:r>
                <m:t>k</m:t>
              </m:r>
              <m:r>
                <m:rPr>
                  <m:sty m:val="p"/>
                </m:rPr>
                <m:t>+</m:t>
              </m:r>
              <m:r>
                <m:t>m</m:t>
              </m:r>
            </m:num>
            <m:den>
              <m:r>
                <m:t>k</m:t>
              </m:r>
            </m:den>
          </m:f>
          <m:r>
            <m:t>  </m:t>
          </m:r>
          <m:r>
            <m:rPr>
              <m:nor/>
              <m:sty m:val="p"/>
            </m:rPr>
            <m:t>tolerated losses</m:t>
          </m:r>
          <m:r>
            <m:rPr>
              <m:sty m:val="p"/>
            </m:rPr>
            <m:t>=</m:t>
          </m:r>
          <m:r>
            <m:t>m</m:t>
          </m:r>
          <m:r>
            <m:t>  </m:t>
          </m:r>
          <m:r>
            <m:rPr>
              <m:nor/>
              <m:sty m:val="p"/>
            </m:rPr>
            <m:t>repair read per lost fragment</m:t>
          </m:r>
          <m:r>
            <m:rPr>
              <m:sty m:val="p"/>
            </m:rPr>
            <m:t>=</m:t>
          </m:r>
          <m:r>
            <m:t>r</m:t>
          </m:r>
          <m:r>
            <m:rPr>
              <m:sty m:val="p"/>
            </m:rPr>
            <m:t>×</m:t>
          </m:r>
          <m:r>
            <m:t>F</m:t>
          </m:r>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k</m:t>
              </m:r>
            </m:oMath>
          </w:p>
        </w:tc>
        <w:tc>
          <w:tcPr/>
          <w:p>
            <w:pPr>
              <w:pStyle w:val="Compact"/>
              <w:jc w:val="left"/>
            </w:pPr>
            <w:r>
              <w:t xml:space="preserve">Data fragments per stripe</w:t>
            </w:r>
          </w:p>
        </w:tc>
        <w:tc>
          <w:tcPr/>
          <w:p>
            <w:pPr>
              <w:pStyle w:val="Compact"/>
              <w:jc w:val="left"/>
            </w:pPr>
            <w:r>
              <w:t xml:space="preserve">count</w:t>
            </w:r>
          </w:p>
        </w:tc>
      </w:tr>
      <w:tr>
        <w:tc>
          <w:tcPr/>
          <w:p>
            <w:pPr>
              <w:pStyle w:val="Compact"/>
              <w:jc w:val="left"/>
            </w:pPr>
            <m:oMath>
              <m:r>
                <m:t>m</m:t>
              </m:r>
            </m:oMath>
          </w:p>
        </w:tc>
        <w:tc>
          <w:tcPr/>
          <w:p>
            <w:pPr>
              <w:pStyle w:val="Compact"/>
              <w:jc w:val="left"/>
            </w:pPr>
            <w:r>
              <w:t xml:space="preserve">Parity fragments per stripe</w:t>
            </w:r>
          </w:p>
        </w:tc>
        <w:tc>
          <w:tcPr/>
          <w:p>
            <w:pPr>
              <w:pStyle w:val="Compact"/>
              <w:jc w:val="left"/>
            </w:pPr>
            <w:r>
              <w:t xml:space="preserve">count</w:t>
            </w:r>
          </w:p>
        </w:tc>
      </w:tr>
      <w:tr>
        <w:tc>
          <w:tcPr/>
          <w:p>
            <w:pPr>
              <w:pStyle w:val="Compact"/>
              <w:jc w:val="left"/>
            </w:pPr>
            <w:r>
              <w:t xml:space="preserve">overhead</w:t>
            </w:r>
          </w:p>
        </w:tc>
        <w:tc>
          <w:tcPr/>
          <w:p>
            <w:pPr>
              <w:pStyle w:val="Compact"/>
              <w:jc w:val="left"/>
            </w:pPr>
            <w:r>
              <w:t xml:space="preserve">Raw bytes stored per logical byte</w:t>
            </w:r>
          </w:p>
        </w:tc>
        <w:tc>
          <w:tcPr/>
          <w:p>
            <w:pPr>
              <w:pStyle w:val="Compact"/>
              <w:jc w:val="left"/>
            </w:pPr>
            <w:r>
              <w:t xml:space="preserve">dimensionless (×)</w:t>
            </w:r>
          </w:p>
        </w:tc>
      </w:tr>
      <w:tr>
        <w:tc>
          <w:tcPr/>
          <w:p>
            <w:pPr>
              <w:pStyle w:val="Compact"/>
              <w:jc w:val="left"/>
            </w:pPr>
            <m:oMath>
              <m:r>
                <m:t>r</m:t>
              </m:r>
            </m:oMath>
          </w:p>
        </w:tc>
        <w:tc>
          <w:tcPr/>
          <w:p>
            <w:pPr>
              <w:pStyle w:val="Compact"/>
              <w:jc w:val="left"/>
            </w:pPr>
            <w:r>
              <w:t xml:space="preserve">Fragments read to rebuild one: 1 for replication,</w:t>
            </w:r>
            <w:r>
              <w:t xml:space="preserve"> </w:t>
            </w:r>
            <m:oMath>
              <m:r>
                <m:t>k</m:t>
              </m:r>
            </m:oMath>
            <w:r>
              <w:t xml:space="preserve"> </w:t>
            </w:r>
            <w:r>
              <w:t xml:space="preserve">for RS, local group size for LRC</w:t>
            </w:r>
          </w:p>
        </w:tc>
        <w:tc>
          <w:tcPr/>
          <w:p>
            <w:pPr>
              <w:pStyle w:val="Compact"/>
              <w:jc w:val="left"/>
            </w:pPr>
            <w:r>
              <w:t xml:space="preserve">count</w:t>
            </w:r>
          </w:p>
        </w:tc>
      </w:tr>
      <w:tr>
        <w:tc>
          <w:tcPr/>
          <w:p>
            <w:pPr>
              <w:pStyle w:val="Compact"/>
              <w:jc w:val="left"/>
            </w:pPr>
            <m:oMath>
              <m:r>
                <m:t>F</m:t>
              </m:r>
            </m:oMath>
          </w:p>
        </w:tc>
        <w:tc>
          <w:tcPr/>
          <w:p>
            <w:pPr>
              <w:pStyle w:val="Compact"/>
              <w:jc w:val="left"/>
            </w:pPr>
            <w:r>
              <w:t xml:space="preserve">Fragment size</w:t>
            </w:r>
          </w:p>
        </w:tc>
        <w:tc>
          <w:tcPr/>
          <w:p>
            <w:pPr>
              <w:pStyle w:val="Compact"/>
              <w:jc w:val="left"/>
            </w:pPr>
            <w:r>
              <w:t xml:space="preserve">bytes</w:t>
            </w:r>
          </w:p>
        </w:tc>
      </w:tr>
    </w:tbl>
    <w:p>
      <w:pPr>
        <w:pStyle w:val="BodyText"/>
      </w:pPr>
      <w:r>
        <w:t xml:space="preserve">Replication is the special case</w:t>
      </w:r>
      <w:r>
        <w:t xml:space="preserve"> </w:t>
      </w:r>
      <m:oMath>
        <m:r>
          <m:t>k</m:t>
        </m:r>
        <m:r>
          <m:rPr>
            <m:sty m:val="p"/>
          </m:rPr>
          <m:t>=</m:t>
        </m:r>
        <m:r>
          <m:t>1</m:t>
        </m:r>
      </m:oMath>
      <w:r>
        <w:t xml:space="preserve">: three-way replication is a (1, 2) code with overhead 3× and</w:t>
      </w:r>
      <w:r>
        <w:t xml:space="preserve"> </w:t>
      </w:r>
      <m:oMath>
        <m:r>
          <m:t>r</m:t>
        </m:r>
        <m:r>
          <m:rPr>
            <m:sty m:val="p"/>
          </m:rPr>
          <m:t>=</m:t>
        </m:r>
        <m:r>
          <m:t>1</m:t>
        </m:r>
      </m:oMath>
      <w:r>
        <w:t xml:space="preserve">.</w:t>
      </w:r>
    </w:p>
    <w:p>
      <w:pPr>
        <w:pStyle w:val="CalloutFormula"/>
      </w:pPr>
      <w:r>
        <w:rPr>
          <w:bCs/>
          <w:b/>
        </w:rPr>
        <w:t xml:space="preserve">FORMULA</w:t>
      </w:r>
    </w:p>
    <w:p>
      <w:pPr>
        <w:pStyle w:val="CalloutFormula"/>
      </w:pPr>
      <w:r>
        <w:rPr>
          <w:bCs/>
          <w:b/>
        </w:rPr>
        <w:t xml:space="preserve">Approximate annual probability of losing a stripe (generalizing §4.16)</w:t>
      </w:r>
    </w:p>
    <w:p>
      <w:pPr>
        <w:pStyle w:val="CalloutFormula"/>
      </w:pPr>
      <m:oMathPara>
        <m:oMathParaPr>
          <m:jc m:val="center"/>
        </m:oMathParaPr>
        <m:oMath>
          <m:sSub>
            <m:e>
              <m:r>
                <m:t>P</m:t>
              </m:r>
            </m:e>
            <m:sub>
              <m:r>
                <m:rPr>
                  <m:nor/>
                  <m:sty m:val="p"/>
                </m:rPr>
                <m:t>loss/yr</m:t>
              </m:r>
            </m:sub>
          </m:sSub>
          <m:r>
            <m:rPr>
              <m:sty m:val="p"/>
            </m:rPr>
            <m:t>≈</m:t>
          </m:r>
          <m:f>
            <m:fPr>
              <m:type m:val="bar"/>
            </m:fPr>
            <m:num>
              <m:r>
                <m:t>n</m:t>
              </m:r>
              <m:r>
                <m:rPr>
                  <m:sty m:val="p"/>
                </m:rPr>
                <m:t>!</m:t>
              </m:r>
            </m:num>
            <m:den>
              <m:d>
                <m:dPr>
                  <m:begChr m:val="("/>
                  <m:endChr m:val=")"/>
                  <m:sepChr m:val=""/>
                  <m:grow/>
                </m:dPr>
                <m:e>
                  <m:r>
                    <m:t>n</m:t>
                  </m:r>
                  <m:r>
                    <m:rPr>
                      <m:sty m:val="p"/>
                    </m:rPr>
                    <m:t>−</m:t>
                  </m:r>
                  <m:r>
                    <m:t>m</m:t>
                  </m:r>
                  <m:r>
                    <m:rPr>
                      <m:sty m:val="p"/>
                    </m:rPr>
                    <m:t>−</m:t>
                  </m:r>
                  <m:r>
                    <m:t>1</m:t>
                  </m:r>
                </m:e>
              </m:d>
              <m:r>
                <m:rPr>
                  <m:sty m:val="p"/>
                </m:rPr>
                <m:t>!</m:t>
              </m:r>
            </m:den>
          </m:f>
          <m:r>
            <m:t> </m:t>
          </m:r>
          <m:sSup>
            <m:e>
              <m:r>
                <m:t>λ</m:t>
              </m:r>
            </m:e>
            <m:sup>
              <m:r>
                <m:t>m</m:t>
              </m:r>
              <m:r>
                <m:rPr>
                  <m:sty m:val="p"/>
                </m:rPr>
                <m:t>+</m:t>
              </m:r>
              <m:r>
                <m:t>1</m:t>
              </m:r>
            </m:sup>
          </m:sSup>
          <m:r>
            <m:t> </m:t>
          </m:r>
          <m:sSup>
            <m:e>
              <m:r>
                <m:t>T</m:t>
              </m:r>
            </m:e>
            <m:sup>
              <m:r>
                <m:t> </m:t>
              </m:r>
              <m:r>
                <m:t>m</m:t>
              </m:r>
            </m:sup>
          </m:sSup>
          <m:r>
            <m:rPr>
              <m:sty m:val="p"/>
            </m:rPr>
            <m:t>×</m:t>
          </m:r>
          <m:r>
            <m:t>H</m:t>
          </m:r>
          <m:r>
            <m:rPr>
              <m:sty m:val="p"/>
            </m:rPr>
            <m:t>,</m:t>
          </m:r>
          <m:r>
            <m:t>  </m:t>
          </m:r>
          <m:r>
            <m:t>n</m:t>
          </m:r>
          <m:r>
            <m:rPr>
              <m:sty m:val="p"/>
            </m:rPr>
            <m:t>=</m:t>
          </m:r>
          <m:r>
            <m:t>k</m:t>
          </m:r>
          <m:r>
            <m:rPr>
              <m:sty m:val="p"/>
            </m:rPr>
            <m:t>+</m:t>
          </m:r>
          <m:r>
            <m:t>m</m:t>
          </m:r>
          <m:r>
            <m:rPr>
              <m:sty m:val="p"/>
            </m:rPr>
            <m:t>,</m:t>
          </m:r>
          <m:r>
            <m:t> </m:t>
          </m:r>
          <m:r>
            <m:t> </m:t>
          </m:r>
          <m:r>
            <m:t>λ</m:t>
          </m:r>
          <m:r>
            <m:t>T</m:t>
          </m:r>
          <m:r>
            <m:rPr>
              <m:sty m:val="p"/>
            </m:rPr>
            <m:t>≪</m:t>
          </m:r>
          <m:r>
            <m:t>1</m:t>
          </m:r>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n</m:t>
              </m:r>
            </m:oMath>
          </w:p>
        </w:tc>
        <w:tc>
          <w:tcPr/>
          <w:p>
            <w:pPr>
              <w:pStyle w:val="Compact"/>
              <w:jc w:val="left"/>
            </w:pPr>
            <w:r>
              <w:t xml:space="preserve">Fragments per stripe (replicas for replication)</w:t>
            </w:r>
          </w:p>
        </w:tc>
        <w:tc>
          <w:tcPr/>
          <w:p>
            <w:pPr>
              <w:pStyle w:val="Compact"/>
              <w:jc w:val="left"/>
            </w:pPr>
            <w:r>
              <w:t xml:space="preserve">count</w:t>
            </w:r>
          </w:p>
        </w:tc>
      </w:tr>
      <w:tr>
        <w:tc>
          <w:tcPr/>
          <w:p>
            <w:pPr>
              <w:pStyle w:val="Compact"/>
              <w:jc w:val="left"/>
            </w:pPr>
            <m:oMath>
              <m:r>
                <m:t>m</m:t>
              </m:r>
            </m:oMath>
          </w:p>
        </w:tc>
        <w:tc>
          <w:tcPr/>
          <w:p>
            <w:pPr>
              <w:pStyle w:val="Compact"/>
              <w:jc w:val="left"/>
            </w:pPr>
            <w:r>
              <w:t xml:space="preserve">Losses tolerated</w:t>
            </w:r>
          </w:p>
        </w:tc>
        <w:tc>
          <w:tcPr/>
          <w:p>
            <w:pPr>
              <w:pStyle w:val="Compact"/>
              <w:jc w:val="left"/>
            </w:pPr>
            <w:r>
              <w:t xml:space="preserve">count</w:t>
            </w:r>
          </w:p>
        </w:tc>
      </w:tr>
      <w:tr>
        <w:tc>
          <w:tcPr/>
          <w:p>
            <w:pPr>
              <w:pStyle w:val="Compact"/>
              <w:jc w:val="left"/>
            </w:pPr>
            <m:oMath>
              <m:r>
                <m:t>λ</m:t>
              </m:r>
            </m:oMath>
          </w:p>
        </w:tc>
        <w:tc>
          <w:tcPr/>
          <w:p>
            <w:pPr>
              <w:pStyle w:val="Compact"/>
              <w:jc w:val="left"/>
            </w:pPr>
            <w:r>
              <w:t xml:space="preserve">Per-fragment (per-disk) failure rate, AFR/8,760</w:t>
            </w:r>
          </w:p>
        </w:tc>
        <w:tc>
          <w:tcPr/>
          <w:p>
            <w:pPr>
              <w:pStyle w:val="Compact"/>
              <w:jc w:val="left"/>
            </w:pPr>
            <w:r>
              <w:t xml:space="preserve">failures/hour</w:t>
            </w:r>
          </w:p>
        </w:tc>
      </w:tr>
      <w:tr>
        <w:tc>
          <w:tcPr/>
          <w:p>
            <w:pPr>
              <w:pStyle w:val="Compact"/>
              <w:jc w:val="left"/>
            </w:pPr>
            <m:oMath>
              <m:r>
                <m:t>T</m:t>
              </m:r>
            </m:oMath>
          </w:p>
        </w:tc>
        <w:tc>
          <w:tcPr/>
          <w:p>
            <w:pPr>
              <w:pStyle w:val="Compact"/>
              <w:jc w:val="left"/>
            </w:pPr>
            <w:r>
              <w:t xml:space="preserve">Mean time to detect and rebuild one lost fragment</w:t>
            </w:r>
          </w:p>
        </w:tc>
        <w:tc>
          <w:tcPr/>
          <w:p>
            <w:pPr>
              <w:pStyle w:val="Compact"/>
              <w:jc w:val="left"/>
            </w:pPr>
            <w:r>
              <w:t xml:space="preserve">hours</w:t>
            </w:r>
          </w:p>
        </w:tc>
      </w:tr>
      <w:tr>
        <w:tc>
          <w:tcPr/>
          <w:p>
            <w:pPr>
              <w:pStyle w:val="Compact"/>
              <w:jc w:val="left"/>
            </w:pPr>
            <m:oMath>
              <m:r>
                <m:t>H</m:t>
              </m:r>
            </m:oMath>
          </w:p>
        </w:tc>
        <w:tc>
          <w:tcPr/>
          <w:p>
            <w:pPr>
              <w:pStyle w:val="Compact"/>
              <w:jc w:val="left"/>
            </w:pPr>
            <w:r>
              <w:t xml:space="preserve">Hours per year (8,760)</w:t>
            </w:r>
          </w:p>
        </w:tc>
        <w:tc>
          <w:tcPr/>
          <w:p>
            <w:pPr>
              <w:pStyle w:val="Compact"/>
              <w:jc w:val="left"/>
            </w:pPr>
            <w:r>
              <w:t xml:space="preserve">hours/year</w:t>
            </w:r>
          </w:p>
        </w:tc>
      </w:tr>
    </w:tbl>
    <w:p>
      <w:pPr>
        <w:pStyle w:val="BodyText"/>
      </w:pPr>
      <w:r>
        <w:rPr>
          <w:bCs/>
          <w:b/>
        </w:rPr>
        <w:t xml:space="preserve">Derivation.</w:t>
      </w:r>
      <w:r>
        <w:t xml:space="preserve"> </w:t>
      </w:r>
      <w:r>
        <w:t xml:space="preserve">Exactly as in §4.16: the first loss happens at rate</w:t>
      </w:r>
      <w:r>
        <w:t xml:space="preserve"> </w:t>
      </w:r>
      <m:oMath>
        <m:r>
          <m:t>n</m:t>
        </m:r>
        <m:r>
          <m:t>λ</m:t>
        </m:r>
      </m:oMath>
      <w:r>
        <w:t xml:space="preserve">; the stripe is lost if</w:t>
      </w:r>
      <w:r>
        <w:t xml:space="preserve"> </w:t>
      </w:r>
      <m:oMath>
        <m:r>
          <m:t>m</m:t>
        </m:r>
      </m:oMath>
      <w:r>
        <w:t xml:space="preserve"> </w:t>
      </w:r>
      <w:r>
        <w:t xml:space="preserve">more of the survivors fail, one after another, each before the previous repair completes, with probabilities</w:t>
      </w:r>
      <w:r>
        <w:t xml:space="preserve"> </w:t>
      </w:r>
      <m:oMath>
        <m:d>
          <m:dPr>
            <m:begChr m:val="("/>
            <m:endChr m:val=")"/>
            <m:sepChr m:val=""/>
            <m:grow/>
          </m:dPr>
          <m:e>
            <m:r>
              <m:t>n</m:t>
            </m:r>
            <m:r>
              <m:rPr>
                <m:sty m:val="p"/>
              </m:rPr>
              <m:t>−</m:t>
            </m:r>
            <m:r>
              <m:t>1</m:t>
            </m:r>
          </m:e>
        </m:d>
        <m:r>
          <m:t>λ</m:t>
        </m:r>
        <m:r>
          <m:t>T</m:t>
        </m:r>
        <m:r>
          <m:rPr>
            <m:sty m:val="p"/>
          </m:rPr>
          <m:t>,</m:t>
        </m:r>
        <m:d>
          <m:dPr>
            <m:begChr m:val="("/>
            <m:endChr m:val=")"/>
            <m:sepChr m:val=""/>
            <m:grow/>
          </m:dPr>
          <m:e>
            <m:r>
              <m:t>n</m:t>
            </m:r>
            <m:r>
              <m:rPr>
                <m:sty m:val="p"/>
              </m:rPr>
              <m:t>−</m:t>
            </m:r>
            <m:r>
              <m:t>2</m:t>
            </m:r>
          </m:e>
        </m:d>
        <m:r>
          <m:t>λ</m:t>
        </m:r>
        <m:r>
          <m:t>T</m:t>
        </m:r>
        <m:r>
          <m:rPr>
            <m:sty m:val="p"/>
          </m:rPr>
          <m:t>,</m:t>
        </m:r>
        <m:r>
          <m:rPr>
            <m:sty m:val="p"/>
          </m:rPr>
          <m:t>…</m:t>
        </m:r>
        <m:r>
          <m:rPr>
            <m:sty m:val="p"/>
          </m:rPr>
          <m:t>,</m:t>
        </m:r>
        <m:d>
          <m:dPr>
            <m:begChr m:val="("/>
            <m:endChr m:val=")"/>
            <m:sepChr m:val=""/>
            <m:grow/>
          </m:dPr>
          <m:e>
            <m:r>
              <m:t>n</m:t>
            </m:r>
            <m:r>
              <m:rPr>
                <m:sty m:val="p"/>
              </m:rPr>
              <m:t>−</m:t>
            </m:r>
            <m:r>
              <m:t>m</m:t>
            </m:r>
          </m:e>
        </m:d>
        <m:r>
          <m:t>λ</m:t>
        </m:r>
        <m:r>
          <m:t>T</m:t>
        </m:r>
      </m:oMath>
      <w:r>
        <w:t xml:space="preserve">. Multiplying gives</w:t>
      </w:r>
      <w:r>
        <w:t xml:space="preserve"> </w:t>
      </w:r>
      <m:oMath>
        <m:r>
          <m:t>n</m:t>
        </m:r>
        <m:d>
          <m:dPr>
            <m:begChr m:val="("/>
            <m:endChr m:val=")"/>
            <m:sepChr m:val=""/>
            <m:grow/>
          </m:dPr>
          <m:e>
            <m:r>
              <m:t>n</m:t>
            </m:r>
            <m:r>
              <m:rPr>
                <m:sty m:val="p"/>
              </m:rPr>
              <m:t>−</m:t>
            </m:r>
            <m:r>
              <m:t>1</m:t>
            </m:r>
          </m:e>
        </m:d>
        <m:r>
          <m:rPr>
            <m:sty m:val="p"/>
          </m:rPr>
          <m:t>⋯</m:t>
        </m:r>
        <m:d>
          <m:dPr>
            <m:begChr m:val="("/>
            <m:endChr m:val=")"/>
            <m:sepChr m:val=""/>
            <m:grow/>
          </m:dPr>
          <m:e>
            <m:r>
              <m:t>n</m:t>
            </m:r>
            <m:r>
              <m:rPr>
                <m:sty m:val="p"/>
              </m:rPr>
              <m:t>−</m:t>
            </m:r>
            <m:r>
              <m:t>m</m:t>
            </m:r>
          </m:e>
        </m:d>
        <m:r>
          <m:t> </m:t>
        </m:r>
        <m:sSup>
          <m:e>
            <m:r>
              <m:t>λ</m:t>
            </m:r>
          </m:e>
          <m:sup>
            <m:r>
              <m:t>m</m:t>
            </m:r>
            <m:r>
              <m:rPr>
                <m:sty m:val="p"/>
              </m:rPr>
              <m:t>+</m:t>
            </m:r>
            <m:r>
              <m:t>1</m:t>
            </m:r>
          </m:sup>
        </m:sSup>
        <m:sSup>
          <m:e>
            <m:r>
              <m:t>T</m:t>
            </m:r>
          </m:e>
          <m:sup>
            <m:r>
              <m:t>m</m:t>
            </m:r>
          </m:sup>
        </m:sSup>
      </m:oMath>
      <w:r>
        <w:t xml:space="preserve"> </w:t>
      </w:r>
      <w:r>
        <w:t xml:space="preserve">per hour. For three replicas (</w:t>
      </w:r>
      <m:oMath>
        <m:r>
          <m:t>n</m:t>
        </m:r>
        <m:r>
          <m:rPr>
            <m:sty m:val="p"/>
          </m:rPr>
          <m:t>=</m:t>
        </m:r>
        <m:r>
          <m:t>3</m:t>
        </m:r>
      </m:oMath>
      <w:r>
        <w:t xml:space="preserve">,</w:t>
      </w:r>
      <w:r>
        <w:t xml:space="preserve"> </w:t>
      </w:r>
      <m:oMath>
        <m:r>
          <m:t>m</m:t>
        </m:r>
        <m:r>
          <m:rPr>
            <m:sty m:val="p"/>
          </m:rPr>
          <m:t>=</m:t>
        </m:r>
        <m:r>
          <m:t>2</m:t>
        </m:r>
      </m:oMath>
      <w:r>
        <w:t xml:space="preserve">) this is</w:t>
      </w:r>
      <w:r>
        <w:t xml:space="preserve"> </w:t>
      </w:r>
      <m:oMath>
        <m:r>
          <m:t>6</m:t>
        </m:r>
        <m:sSup>
          <m:e>
            <m:r>
              <m:t>λ</m:t>
            </m:r>
          </m:e>
          <m:sup>
            <m:r>
              <m:t>3</m:t>
            </m:r>
          </m:sup>
        </m:sSup>
        <m:sSup>
          <m:e>
            <m:r>
              <m:t>T</m:t>
            </m:r>
          </m:e>
          <m:sup>
            <m:r>
              <m:t>2</m:t>
            </m:r>
          </m:sup>
        </m:sSup>
      </m:oMath>
      <w:r>
        <w:t xml:space="preserve">, the §4.16 result.</w:t>
      </w:r>
    </w:p>
    <w:p>
      <w:pPr>
        <w:pStyle w:val="CalloutExample"/>
      </w:pPr>
      <w:r>
        <w:rPr>
          <w:bCs/>
          <w:b/>
        </w:rPr>
        <w:t xml:space="preserve">WORKED EXAMPLE</w:t>
      </w:r>
    </w:p>
    <w:p>
      <w:pPr>
        <w:pStyle w:val="CalloutExample"/>
      </w:pPr>
      <w:r>
        <w:rPr>
          <w:bCs/>
          <w:b/>
        </w:rPr>
        <w:t xml:space="preserve">Worked example — 3× replication versus RS(10,4): durability and cost.</w:t>
      </w:r>
      <w:r>
        <w:t xml:space="preserve"> </w:t>
      </w:r>
      <w:r>
        <w:t xml:space="preserve">Use the §4.16 assumptions: AFR 2%, so</w:t>
      </w:r>
      <w:r>
        <w:t xml:space="preserve"> </w:t>
      </w:r>
      <m:oMath>
        <m:r>
          <m:t>λ</m:t>
        </m:r>
        <m:r>
          <m:rPr>
            <m:sty m:val="p"/>
          </m:rPr>
          <m:t>=</m:t>
        </m:r>
        <m:r>
          <m:t>2.28</m:t>
        </m:r>
        <m:r>
          <m:rPr>
            <m:sty m:val="p"/>
          </m:rPr>
          <m:t>×</m:t>
        </m:r>
        <m:sSup>
          <m:e>
            <m:r>
              <m:t>10</m:t>
            </m:r>
          </m:e>
          <m:sup>
            <m:r>
              <m:rPr>
                <m:sty m:val="p"/>
              </m:rPr>
              <m:t>−</m:t>
            </m:r>
            <m:r>
              <m:t>6</m:t>
            </m:r>
          </m:sup>
        </m:sSup>
      </m:oMath>
      <w:r>
        <w:t xml:space="preserve"> </w:t>
      </w:r>
      <w:r>
        <w:t xml:space="preserve">per hour;</w:t>
      </w:r>
      <w:r>
        <w:t xml:space="preserve"> </w:t>
      </w:r>
      <m:oMath>
        <m:r>
          <m:t>T</m:t>
        </m:r>
        <m:r>
          <m:rPr>
            <m:sty m:val="p"/>
          </m:rPr>
          <m:t>=</m:t>
        </m:r>
        <m:r>
          <m:t>24</m:t>
        </m:r>
      </m:oMath>
      <w:r>
        <w:t xml:space="preserve"> </w:t>
      </w:r>
      <w:r>
        <w:t xml:space="preserve">h, so</w:t>
      </w:r>
      <w:r>
        <w:t xml:space="preserve"> </w:t>
      </w:r>
      <m:oMath>
        <m:r>
          <m:t>λ</m:t>
        </m:r>
        <m:r>
          <m:t>T</m:t>
        </m:r>
        <m:r>
          <m:rPr>
            <m:sty m:val="p"/>
          </m:rPr>
          <m:t>=</m:t>
        </m:r>
        <m:r>
          <m:t>5.48</m:t>
        </m:r>
        <m:r>
          <m:rPr>
            <m:sty m:val="p"/>
          </m:rPr>
          <m:t>×</m:t>
        </m:r>
        <m:sSup>
          <m:e>
            <m:r>
              <m:t>10</m:t>
            </m:r>
          </m:e>
          <m:sup>
            <m:r>
              <m:rPr>
                <m:sty m:val="p"/>
              </m:rPr>
              <m:t>−</m:t>
            </m:r>
            <m:r>
              <m:t>5</m:t>
            </m:r>
          </m:sup>
        </m:sSup>
      </m:oMath>
      <w:r>
        <w:t xml:space="preserve">. Note that</w:t>
      </w:r>
      <w:r>
        <w:t xml:space="preserve"> </w:t>
      </w:r>
      <m:oMath>
        <m:sSup>
          <m:e>
            <m:r>
              <m:t>λ</m:t>
            </m:r>
          </m:e>
          <m:sup>
            <m:r>
              <m:t>m</m:t>
            </m:r>
            <m:r>
              <m:rPr>
                <m:sty m:val="p"/>
              </m:rPr>
              <m:t>+</m:t>
            </m:r>
            <m:r>
              <m:t>1</m:t>
            </m:r>
          </m:sup>
        </m:sSup>
        <m:sSup>
          <m:e>
            <m:r>
              <m:t>T</m:t>
            </m:r>
          </m:e>
          <m:sup>
            <m:r>
              <m:t>m</m:t>
            </m:r>
          </m:sup>
        </m:sSup>
        <m:r>
          <m:t>H</m:t>
        </m:r>
        <m:r>
          <m:rPr>
            <m:sty m:val="p"/>
          </m:rPr>
          <m:t>=</m:t>
        </m:r>
        <m:r>
          <m:rPr>
            <m:nor/>
            <m:sty m:val="p"/>
          </m:rPr>
          <m:t>AFR</m:t>
        </m:r>
        <m:r>
          <m:rPr>
            <m:sty m:val="p"/>
          </m:rPr>
          <m:t>×</m:t>
        </m:r>
        <m:sSup>
          <m:e>
            <m:d>
              <m:dPr>
                <m:begChr m:val="("/>
                <m:endChr m:val=")"/>
                <m:sepChr m:val=""/>
                <m:grow/>
              </m:dPr>
              <m:e>
                <m:r>
                  <m:t>λ</m:t>
                </m:r>
                <m:r>
                  <m:t>T</m:t>
                </m:r>
              </m:e>
            </m:d>
          </m:e>
          <m:sup>
            <m:r>
              <m:t>m</m:t>
            </m:r>
          </m:sup>
        </m:sSup>
      </m:oMath>
      <w:r>
        <w:t xml:space="preserve">.</w:t>
      </w:r>
    </w:p>
    <w:p>
      <w:pPr>
        <w:numPr>
          <w:ilvl w:val="0"/>
          <w:numId w:val="1513"/>
        </w:numPr>
        <w:pStyle w:val="Compact"/>
      </w:pPr>
      <w:r>
        <w:t xml:space="preserve">3× replication:</w:t>
      </w:r>
      <w:r>
        <w:t xml:space="preserve"> </w:t>
      </w:r>
      <m:oMath>
        <m:f>
          <m:fPr>
            <m:type m:val="bar"/>
          </m:fPr>
          <m:num>
            <m:r>
              <m:t>3</m:t>
            </m:r>
            <m:r>
              <m:rPr>
                <m:sty m:val="p"/>
              </m:rPr>
              <m:t>!</m:t>
            </m:r>
          </m:num>
          <m:den>
            <m:r>
              <m:t>0</m:t>
            </m:r>
            <m:r>
              <m:rPr>
                <m:sty m:val="p"/>
              </m:rPr>
              <m:t>!</m:t>
            </m:r>
          </m:den>
        </m:f>
        <m:r>
          <m:rPr>
            <m:sty m:val="p"/>
          </m:rPr>
          <m:t>=</m:t>
        </m:r>
        <m:r>
          <m:t>6</m:t>
        </m:r>
      </m:oMath>
      <w:r>
        <w:t xml:space="preserve">;</w:t>
      </w:r>
      <w:r>
        <w:t xml:space="preserve"> </w:t>
      </w:r>
      <m:oMath>
        <m:r>
          <m:t>P</m:t>
        </m:r>
        <m:r>
          <m:rPr>
            <m:sty m:val="p"/>
          </m:rPr>
          <m:t>=</m:t>
        </m:r>
        <m:r>
          <m:t>6</m:t>
        </m:r>
        <m:r>
          <m:rPr>
            <m:sty m:val="p"/>
          </m:rPr>
          <m:t>×</m:t>
        </m:r>
        <m:r>
          <m:t>0.02</m:t>
        </m:r>
        <m:r>
          <m:rPr>
            <m:sty m:val="p"/>
          </m:rPr>
          <m:t>×</m:t>
        </m:r>
        <m:sSup>
          <m:e>
            <m:d>
              <m:dPr>
                <m:begChr m:val="("/>
                <m:endChr m:val=")"/>
                <m:sepChr m:val=""/>
                <m:grow/>
              </m:dPr>
              <m:e>
                <m:r>
                  <m:t>5.48</m:t>
                </m:r>
                <m:r>
                  <m:rPr>
                    <m:sty m:val="p"/>
                  </m:rPr>
                  <m:t>×</m:t>
                </m:r>
                <m:sSup>
                  <m:e>
                    <m:r>
                      <m:t>10</m:t>
                    </m:r>
                  </m:e>
                  <m:sup>
                    <m:r>
                      <m:rPr>
                        <m:sty m:val="p"/>
                      </m:rPr>
                      <m:t>−</m:t>
                    </m:r>
                    <m:r>
                      <m:t>5</m:t>
                    </m:r>
                  </m:sup>
                </m:sSup>
              </m:e>
            </m:d>
          </m:e>
          <m:sup>
            <m:r>
              <m:t>2</m:t>
            </m:r>
          </m:sup>
        </m:sSup>
        <m:r>
          <m:rPr>
            <m:sty m:val="p"/>
          </m:rPr>
          <m:t>=</m:t>
        </m:r>
        <m:r>
          <m:t>6</m:t>
        </m:r>
        <m:r>
          <m:rPr>
            <m:sty m:val="p"/>
          </m:rPr>
          <m:t>×</m:t>
        </m:r>
        <m:r>
          <m:t>0.02</m:t>
        </m:r>
        <m:r>
          <m:rPr>
            <m:sty m:val="p"/>
          </m:rPr>
          <m:t>×</m:t>
        </m:r>
        <m:r>
          <m:t>3.00</m:t>
        </m:r>
        <m:r>
          <m:rPr>
            <m:sty m:val="p"/>
          </m:rPr>
          <m:t>×</m:t>
        </m:r>
        <m:sSup>
          <m:e>
            <m:r>
              <m:t>10</m:t>
            </m:r>
          </m:e>
          <m:sup>
            <m:r>
              <m:rPr>
                <m:sty m:val="p"/>
              </m:rPr>
              <m:t>−</m:t>
            </m:r>
            <m:r>
              <m:t>9</m:t>
            </m:r>
          </m:sup>
        </m:sSup>
        <m:r>
          <m:rPr>
            <m:sty m:val="p"/>
          </m:rPr>
          <m:t>=</m:t>
        </m:r>
        <m:r>
          <m:t>3.6</m:t>
        </m:r>
        <m:r>
          <m:rPr>
            <m:sty m:val="p"/>
          </m:rPr>
          <m:t>×</m:t>
        </m:r>
        <m:sSup>
          <m:e>
            <m:r>
              <m:t>10</m:t>
            </m:r>
          </m:e>
          <m:sup>
            <m:r>
              <m:rPr>
                <m:sty m:val="p"/>
              </m:rPr>
              <m:t>−</m:t>
            </m:r>
            <m:r>
              <m:t>10</m:t>
            </m:r>
          </m:sup>
        </m:sSup>
      </m:oMath>
      <w:r>
        <w:t xml:space="preserve"> </w:t>
      </w:r>
      <w:r>
        <w:t xml:space="preserve">per group per year.</w:t>
      </w:r>
    </w:p>
    <w:p>
      <w:pPr>
        <w:numPr>
          <w:ilvl w:val="0"/>
          <w:numId w:val="1513"/>
        </w:numPr>
        <w:pStyle w:val="Compact"/>
      </w:pPr>
      <w:r>
        <w:t xml:space="preserve">RS(10,4):</w:t>
      </w:r>
      <w:r>
        <w:t xml:space="preserve"> </w:t>
      </w:r>
      <m:oMath>
        <m:r>
          <m:t>n</m:t>
        </m:r>
        <m:r>
          <m:rPr>
            <m:sty m:val="p"/>
          </m:rPr>
          <m:t>=</m:t>
        </m:r>
        <m:r>
          <m:t>14</m:t>
        </m:r>
      </m:oMath>
      <w:r>
        <w:t xml:space="preserve">,</w:t>
      </w:r>
      <w:r>
        <w:t xml:space="preserve"> </w:t>
      </w:r>
      <m:oMath>
        <m:r>
          <m:t>m</m:t>
        </m:r>
        <m:r>
          <m:rPr>
            <m:sty m:val="p"/>
          </m:rPr>
          <m:t>=</m:t>
        </m:r>
        <m:r>
          <m:t>4</m:t>
        </m:r>
      </m:oMath>
      <w:r>
        <w:t xml:space="preserve">;</w:t>
      </w:r>
      <w:r>
        <w:t xml:space="preserve"> </w:t>
      </w:r>
      <m:oMath>
        <m:f>
          <m:fPr>
            <m:type m:val="bar"/>
          </m:fPr>
          <m:num>
            <m:r>
              <m:t>14</m:t>
            </m:r>
            <m:r>
              <m:rPr>
                <m:sty m:val="p"/>
              </m:rPr>
              <m:t>!</m:t>
            </m:r>
          </m:num>
          <m:den>
            <m:r>
              <m:t>9</m:t>
            </m:r>
            <m:r>
              <m:rPr>
                <m:sty m:val="p"/>
              </m:rPr>
              <m:t>!</m:t>
            </m:r>
          </m:den>
        </m:f>
        <m:r>
          <m:rPr>
            <m:sty m:val="p"/>
          </m:rPr>
          <m:t>=</m:t>
        </m:r>
        <m:r>
          <m:t>14</m:t>
        </m:r>
        <m:r>
          <m:rPr>
            <m:sty m:val="p"/>
          </m:rPr>
          <m:t>×</m:t>
        </m:r>
        <m:r>
          <m:t>13</m:t>
        </m:r>
        <m:r>
          <m:rPr>
            <m:sty m:val="p"/>
          </m:rPr>
          <m:t>×</m:t>
        </m:r>
        <m:r>
          <m:t>12</m:t>
        </m:r>
        <m:r>
          <m:rPr>
            <m:sty m:val="p"/>
          </m:rPr>
          <m:t>×</m:t>
        </m:r>
        <m:r>
          <m:t>11</m:t>
        </m:r>
        <m:r>
          <m:rPr>
            <m:sty m:val="p"/>
          </m:rPr>
          <m:t>×</m:t>
        </m:r>
        <m:r>
          <m:t>10</m:t>
        </m:r>
        <m:r>
          <m:rPr>
            <m:sty m:val="p"/>
          </m:rPr>
          <m:t>=</m:t>
        </m:r>
        <m:r>
          <m:t>240</m:t>
        </m:r>
        <m:r>
          <m:rPr>
            <m:sty m:val="p"/>
          </m:rPr>
          <m:t>,</m:t>
        </m:r>
        <m:r>
          <m:t>240</m:t>
        </m:r>
      </m:oMath>
      <w:r>
        <w:t xml:space="preserve">;</w:t>
      </w:r>
      <w:r>
        <w:t xml:space="preserve"> </w:t>
      </w:r>
      <m:oMath>
        <m:sSup>
          <m:e>
            <m:d>
              <m:dPr>
                <m:begChr m:val="("/>
                <m:endChr m:val=")"/>
                <m:sepChr m:val=""/>
                <m:grow/>
              </m:dPr>
              <m:e>
                <m:r>
                  <m:t>λ</m:t>
                </m:r>
                <m:r>
                  <m:t>T</m:t>
                </m:r>
              </m:e>
            </m:d>
          </m:e>
          <m:sup>
            <m:r>
              <m:t>4</m:t>
            </m:r>
          </m:sup>
        </m:sSup>
        <m:r>
          <m:rPr>
            <m:sty m:val="p"/>
          </m:rPr>
          <m:t>=</m:t>
        </m:r>
        <m:r>
          <m:t>9.01</m:t>
        </m:r>
        <m:r>
          <m:rPr>
            <m:sty m:val="p"/>
          </m:rPr>
          <m:t>×</m:t>
        </m:r>
        <m:sSup>
          <m:e>
            <m:r>
              <m:t>10</m:t>
            </m:r>
          </m:e>
          <m:sup>
            <m:r>
              <m:rPr>
                <m:sty m:val="p"/>
              </m:rPr>
              <m:t>−</m:t>
            </m:r>
            <m:r>
              <m:t>18</m:t>
            </m:r>
          </m:sup>
        </m:sSup>
      </m:oMath>
      <w:r>
        <w:t xml:space="preserve">;</w:t>
      </w:r>
      <w:r>
        <w:t xml:space="preserve"> </w:t>
      </w:r>
      <m:oMath>
        <m:r>
          <m:t>P</m:t>
        </m:r>
        <m:r>
          <m:rPr>
            <m:sty m:val="p"/>
          </m:rPr>
          <m:t>=</m:t>
        </m:r>
        <m:r>
          <m:t>240</m:t>
        </m:r>
        <m:r>
          <m:rPr>
            <m:sty m:val="p"/>
          </m:rPr>
          <m:t>,</m:t>
        </m:r>
        <m:r>
          <m:t>240</m:t>
        </m:r>
        <m:r>
          <m:rPr>
            <m:sty m:val="p"/>
          </m:rPr>
          <m:t>×</m:t>
        </m:r>
        <m:r>
          <m:t>0.02</m:t>
        </m:r>
        <m:r>
          <m:rPr>
            <m:sty m:val="p"/>
          </m:rPr>
          <m:t>×</m:t>
        </m:r>
        <m:r>
          <m:t>9.01</m:t>
        </m:r>
        <m:r>
          <m:rPr>
            <m:sty m:val="p"/>
          </m:rPr>
          <m:t>×</m:t>
        </m:r>
        <m:sSup>
          <m:e>
            <m:r>
              <m:t>10</m:t>
            </m:r>
          </m:e>
          <m:sup>
            <m:r>
              <m:rPr>
                <m:sty m:val="p"/>
              </m:rPr>
              <m:t>−</m:t>
            </m:r>
            <m:r>
              <m:t>18</m:t>
            </m:r>
          </m:sup>
        </m:sSup>
        <m:r>
          <m:rPr>
            <m:sty m:val="p"/>
          </m:rPr>
          <m:t>=</m:t>
        </m:r>
        <m:r>
          <m:t>4.3</m:t>
        </m:r>
        <m:r>
          <m:rPr>
            <m:sty m:val="p"/>
          </m:rPr>
          <m:t>×</m:t>
        </m:r>
        <m:sSup>
          <m:e>
            <m:r>
              <m:t>10</m:t>
            </m:r>
          </m:e>
          <m:sup>
            <m:r>
              <m:rPr>
                <m:sty m:val="p"/>
              </m:rPr>
              <m:t>−</m:t>
            </m:r>
            <m:r>
              <m:t>14</m:t>
            </m:r>
          </m:sup>
        </m:sSup>
      </m:oMath>
      <w:r>
        <w:t xml:space="preserve"> </w:t>
      </w:r>
      <w:r>
        <w:t xml:space="preserve">per stripe per year.</w:t>
      </w:r>
    </w:p>
    <w:p>
      <w:pPr>
        <w:numPr>
          <w:ilvl w:val="0"/>
          <w:numId w:val="1513"/>
        </w:numPr>
        <w:pStyle w:val="Compact"/>
      </w:pPr>
      <w:r>
        <w:t xml:space="preserve">Per petabyte with 64 MB fragments: replication has</w:t>
      </w:r>
      <w:r>
        <w:t xml:space="preserve"> </w:t>
      </w:r>
      <m:oMath>
        <m:sSup>
          <m:e>
            <m:r>
              <m:t>10</m:t>
            </m:r>
          </m:e>
          <m:sup>
            <m:r>
              <m:t>15</m:t>
            </m:r>
          </m:sup>
        </m:sSup>
        <m:r>
          <m:rPr>
            <m:sty m:val="p"/>
          </m:rPr>
          <m:t>/</m:t>
        </m:r>
        <m:r>
          <m:t>6.4</m:t>
        </m:r>
        <m:r>
          <m:rPr>
            <m:sty m:val="p"/>
          </m:rPr>
          <m:t>×</m:t>
        </m:r>
        <m:sSup>
          <m:e>
            <m:r>
              <m:t>10</m:t>
            </m:r>
          </m:e>
          <m:sup>
            <m:r>
              <m:t>7</m:t>
            </m:r>
          </m:sup>
        </m:sSup>
        <m:r>
          <m:rPr>
            <m:sty m:val="p"/>
          </m:rPr>
          <m:t>=</m:t>
        </m:r>
        <m:r>
          <m:t>1.56</m:t>
        </m:r>
        <m:r>
          <m:rPr>
            <m:sty m:val="p"/>
          </m:rPr>
          <m:t>×</m:t>
        </m:r>
        <m:sSup>
          <m:e>
            <m:r>
              <m:t>10</m:t>
            </m:r>
          </m:e>
          <m:sup>
            <m:r>
              <m:t>7</m:t>
            </m:r>
          </m:sup>
        </m:sSup>
      </m:oMath>
      <w:r>
        <w:t xml:space="preserve"> </w:t>
      </w:r>
      <w:r>
        <w:t xml:space="preserve">groups, so</w:t>
      </w:r>
      <w:r>
        <w:t xml:space="preserve"> </w:t>
      </w:r>
      <m:oMath>
        <m:r>
          <m:t>5.6</m:t>
        </m:r>
        <m:r>
          <m:rPr>
            <m:sty m:val="p"/>
          </m:rPr>
          <m:t>×</m:t>
        </m:r>
        <m:sSup>
          <m:e>
            <m:r>
              <m:t>10</m:t>
            </m:r>
          </m:e>
          <m:sup>
            <m:r>
              <m:rPr>
                <m:sty m:val="p"/>
              </m:rPr>
              <m:t>−</m:t>
            </m:r>
            <m:r>
              <m:t>3</m:t>
            </m:r>
          </m:sup>
        </m:sSup>
      </m:oMath>
      <w:r>
        <w:t xml:space="preserve"> </w:t>
      </w:r>
      <w:r>
        <w:t xml:space="preserve">expected loss events per year; RS(10,4) stripes hold 640 MB of data, so</w:t>
      </w:r>
      <w:r>
        <w:t xml:space="preserve"> </w:t>
      </w:r>
      <m:oMath>
        <m:r>
          <m:t>1.56</m:t>
        </m:r>
        <m:r>
          <m:rPr>
            <m:sty m:val="p"/>
          </m:rPr>
          <m:t>×</m:t>
        </m:r>
        <m:sSup>
          <m:e>
            <m:r>
              <m:t>10</m:t>
            </m:r>
          </m:e>
          <m:sup>
            <m:r>
              <m:t>6</m:t>
            </m:r>
          </m:sup>
        </m:sSup>
      </m:oMath>
      <w:r>
        <w:t xml:space="preserve"> </w:t>
      </w:r>
      <w:r>
        <w:t xml:space="preserve">stripes and</w:t>
      </w:r>
      <w:r>
        <w:t xml:space="preserve"> </w:t>
      </w:r>
      <m:oMath>
        <m:r>
          <m:t>6.8</m:t>
        </m:r>
        <m:r>
          <m:rPr>
            <m:sty m:val="p"/>
          </m:rPr>
          <m:t>×</m:t>
        </m:r>
        <m:sSup>
          <m:e>
            <m:r>
              <m:t>10</m:t>
            </m:r>
          </m:e>
          <m:sup>
            <m:r>
              <m:rPr>
                <m:sty m:val="p"/>
              </m:rPr>
              <m:t>−</m:t>
            </m:r>
            <m:r>
              <m:t>8</m:t>
            </m:r>
          </m:sup>
        </m:sSup>
      </m:oMath>
      <w:r>
        <w:t xml:space="preserve"> </w:t>
      </w:r>
      <w:r>
        <w:t xml:space="preserve">loss events per year.</w:t>
      </w:r>
    </w:p>
    <w:p>
      <w:pPr>
        <w:numPr>
          <w:ilvl w:val="0"/>
          <w:numId w:val="1513"/>
        </w:numPr>
        <w:pStyle w:val="Compact"/>
      </w:pPr>
      <w:r>
        <w:t xml:space="preserve">Cost for 10 PB of logical data at an illustrative</w:t>
      </w:r>
      <w:r>
        <w:t xml:space="preserve"> </w:t>
      </w:r>
      <m:oMath>
        <m:r>
          <m:rPr>
            <m:sty m:val="p"/>
          </m:rPr>
          <m:t>$</m:t>
        </m:r>
        <m:r>
          <m:t>10</m:t>
        </m:r>
      </m:oMath>
      <w:r>
        <w:t xml:space="preserve"> </w:t>
      </w:r>
      <w:r>
        <w:t xml:space="preserve">per raw TB-month: replication needs 30 PB raw,</w:t>
      </w:r>
      <w:r>
        <w:t xml:space="preserve"> </w:t>
      </w:r>
      <m:oMath>
        <m:r>
          <m:rPr>
            <m:sty m:val="p"/>
          </m:rPr>
          <m:t>$</m:t>
        </m:r>
        <m:r>
          <m:t>300</m:t>
        </m:r>
        <m:r>
          <m:rPr>
            <m:sty m:val="p"/>
          </m:rPr>
          <m:t>,</m:t>
        </m:r>
        <m:r>
          <m:t>000</m:t>
        </m:r>
      </m:oMath>
      <w:r>
        <w:t xml:space="preserve"> </w:t>
      </w:r>
      <w:r>
        <w:t xml:space="preserve">per month; RS(10,4) needs 14 PB raw,</w:t>
      </w:r>
      <w:r>
        <w:t xml:space="preserve"> </w:t>
      </w:r>
      <m:oMath>
        <m:r>
          <m:rPr>
            <m:sty m:val="p"/>
          </m:rPr>
          <m:t>$</m:t>
        </m:r>
        <m:r>
          <m:t>140</m:t>
        </m:r>
        <m:r>
          <m:rPr>
            <m:sty m:val="p"/>
          </m:rPr>
          <m:t>,</m:t>
        </m:r>
        <m:r>
          <m:t>000</m:t>
        </m:r>
      </m:oMath>
      <w:r>
        <w:t xml:space="preserve"> </w:t>
      </w:r>
      <w:r>
        <w:t xml:space="preserve">per month, saving</w:t>
      </w:r>
      <w:r>
        <w:t xml:space="preserve"> </w:t>
      </w:r>
      <m:oMath>
        <m:r>
          <m:rPr>
            <m:sty m:val="p"/>
          </m:rPr>
          <m:t>$</m:t>
        </m:r>
        <m:r>
          <m:t>1.92</m:t>
        </m:r>
      </m:oMath>
      <w:r>
        <w:t xml:space="preserve"> </w:t>
      </w:r>
      <w:r>
        <w:t xml:space="preserve">million per year.</w:t>
      </w:r>
    </w:p>
    <w:p>
      <w:pPr>
        <w:pStyle w:val="CalloutExample"/>
      </w:pPr>
      <w:r>
        <w:rPr>
          <w:bCs/>
          <w:b/>
        </w:rPr>
        <w:t xml:space="preserve">Interpretation.</w:t>
      </w:r>
      <w:r>
        <w:t xml:space="preserve"> </w:t>
      </w:r>
      <w:r>
        <w:t xml:space="preserve">Under independent failures RS(10,4) is both cheaper (1.4× against 3×) and far more durable, because it tolerates four losses instead of two: about 8,000 times less likely to lose a given stripe, and, since each stripe holds ten times as much data as a replica group, about 80,000 times fewer expected loss events per petabyte.</w:t>
      </w:r>
      <w:r>
        <w:t xml:space="preserve"> </w:t>
      </w:r>
      <w:r>
        <w:rPr>
          <w:bCs/>
          <w:b/>
        </w:rPr>
        <w:t xml:space="preserve">Engineering implication.</w:t>
      </w:r>
      <w:r>
        <w:t xml:space="preserve"> </w:t>
      </w:r>
      <w:r>
        <w:t xml:space="preserve">Erasure-code large, cold or warm data. The independence assumption is optimistic for both schemes (§4.16): correlated failures dominate real loss [Ford et al. 2010], so spread a stripe’s fragments across racks and zones, and remember the hidden costs below — CPU for encoding, latency for small objects, and repair traffic.</w:t>
      </w:r>
    </w:p>
    <w:p>
      <w:pPr>
        <w:pStyle w:val="CalloutFormula"/>
      </w:pPr>
      <w:r>
        <w:rPr>
          <w:bCs/>
          <w:b/>
        </w:rPr>
        <w:t xml:space="preserve">FORMULA</w:t>
      </w:r>
    </w:p>
    <w:p>
      <w:pPr>
        <w:pStyle w:val="CalloutFormula"/>
      </w:pPr>
      <w:r>
        <w:rPr>
          <w:bCs/>
          <w:b/>
        </w:rPr>
        <w:t xml:space="preserve">Daily repair read traffic in a fleet</w:t>
      </w:r>
    </w:p>
    <w:p>
      <w:pPr>
        <w:pStyle w:val="CalloutFormula"/>
      </w:pPr>
      <m:oMathPara>
        <m:oMathParaPr>
          <m:jc m:val="center"/>
        </m:oMathParaPr>
        <m:oMath>
          <m:sSub>
            <m:e>
              <m:r>
                <m:t>R</m:t>
              </m:r>
            </m:e>
            <m:sub>
              <m:r>
                <m:rPr>
                  <m:nor/>
                  <m:sty m:val="p"/>
                </m:rPr>
                <m:t>day</m:t>
              </m:r>
            </m:sub>
          </m:sSub>
          <m:r>
            <m:rPr>
              <m:sty m:val="p"/>
            </m:rPr>
            <m:t>=</m:t>
          </m:r>
          <m:f>
            <m:fPr>
              <m:type m:val="bar"/>
            </m:fPr>
            <m:num>
              <m:sSub>
                <m:e>
                  <m:r>
                    <m:t>N</m:t>
                  </m:r>
                </m:e>
                <m:sub>
                  <m:r>
                    <m:rPr>
                      <m:nor/>
                      <m:sty m:val="p"/>
                    </m:rPr>
                    <m:t>disk</m:t>
                  </m:r>
                </m:sub>
              </m:sSub>
              <m:r>
                <m:rPr>
                  <m:sty m:val="p"/>
                </m:rPr>
                <m:t>×</m:t>
              </m:r>
              <m:r>
                <m:rPr>
                  <m:nor/>
                  <m:sty m:val="p"/>
                </m:rPr>
                <m:t>AFR</m:t>
              </m:r>
            </m:num>
            <m:den>
              <m:r>
                <m:t>365</m:t>
              </m:r>
            </m:den>
          </m:f>
          <m:r>
            <m:rPr>
              <m:sty m:val="p"/>
            </m:rPr>
            <m:t>×</m:t>
          </m:r>
          <m:sSub>
            <m:e>
              <m:r>
                <m:t>D</m:t>
              </m:r>
            </m:e>
            <m:sub>
              <m:r>
                <m:rPr>
                  <m:nor/>
                  <m:sty m:val="p"/>
                </m:rPr>
                <m:t>used</m:t>
              </m:r>
            </m:sub>
          </m:sSub>
          <m:r>
            <m:rPr>
              <m:sty m:val="p"/>
            </m:rPr>
            <m:t>×</m:t>
          </m:r>
          <m:r>
            <m:t>r</m:t>
          </m:r>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R</m:t>
                  </m:r>
                </m:e>
                <m:sub>
                  <m:r>
                    <m:rPr>
                      <m:nor/>
                      <m:sty m:val="p"/>
                    </m:rPr>
                    <m:t>day</m:t>
                  </m:r>
                </m:sub>
              </m:sSub>
            </m:oMath>
          </w:p>
        </w:tc>
        <w:tc>
          <w:tcPr/>
          <w:p>
            <w:pPr>
              <w:pStyle w:val="Compact"/>
              <w:jc w:val="left"/>
            </w:pPr>
            <w:r>
              <w:t xml:space="preserve">Bytes read per day to rebuild failed disks</w:t>
            </w:r>
          </w:p>
        </w:tc>
        <w:tc>
          <w:tcPr/>
          <w:p>
            <w:pPr>
              <w:pStyle w:val="Compact"/>
              <w:jc w:val="left"/>
            </w:pPr>
            <w:r>
              <w:t xml:space="preserve">bytes/day</w:t>
            </w:r>
          </w:p>
        </w:tc>
      </w:tr>
      <w:tr>
        <w:tc>
          <w:tcPr/>
          <w:p>
            <w:pPr>
              <w:pStyle w:val="Compact"/>
              <w:jc w:val="left"/>
            </w:pPr>
            <m:oMath>
              <m:sSub>
                <m:e>
                  <m:r>
                    <m:t>N</m:t>
                  </m:r>
                </m:e>
                <m:sub>
                  <m:r>
                    <m:rPr>
                      <m:nor/>
                      <m:sty m:val="p"/>
                    </m:rPr>
                    <m:t>disk</m:t>
                  </m:r>
                </m:sub>
              </m:sSub>
            </m:oMath>
          </w:p>
        </w:tc>
        <w:tc>
          <w:tcPr/>
          <w:p>
            <w:pPr>
              <w:pStyle w:val="Compact"/>
              <w:jc w:val="left"/>
            </w:pPr>
            <w:r>
              <w:t xml:space="preserve">Disks in the fleet</w:t>
            </w:r>
          </w:p>
        </w:tc>
        <w:tc>
          <w:tcPr/>
          <w:p>
            <w:pPr>
              <w:pStyle w:val="Compact"/>
              <w:jc w:val="left"/>
            </w:pPr>
            <w:r>
              <w:t xml:space="preserve">count</w:t>
            </w:r>
          </w:p>
        </w:tc>
      </w:tr>
      <w:tr>
        <w:tc>
          <w:tcPr/>
          <w:p>
            <w:pPr>
              <w:pStyle w:val="Compact"/>
              <w:jc w:val="left"/>
            </w:pPr>
            <w:r>
              <w:t xml:space="preserve">AFR</w:t>
            </w:r>
          </w:p>
        </w:tc>
        <w:tc>
          <w:tcPr/>
          <w:p>
            <w:pPr>
              <w:pStyle w:val="Compact"/>
              <w:jc w:val="left"/>
            </w:pPr>
            <w:r>
              <w:t xml:space="preserve">Annualized failure rate</w:t>
            </w:r>
          </w:p>
        </w:tc>
        <w:tc>
          <w:tcPr/>
          <w:p>
            <w:pPr>
              <w:pStyle w:val="Compact"/>
              <w:jc w:val="left"/>
            </w:pPr>
            <w:r>
              <w:t xml:space="preserve">fraction/year</w:t>
            </w:r>
          </w:p>
        </w:tc>
      </w:tr>
      <w:tr>
        <w:tc>
          <w:tcPr/>
          <w:p>
            <w:pPr>
              <w:pStyle w:val="Compact"/>
              <w:jc w:val="left"/>
            </w:pPr>
            <m:oMath>
              <m:sSub>
                <m:e>
                  <m:r>
                    <m:t>D</m:t>
                  </m:r>
                </m:e>
                <m:sub>
                  <m:r>
                    <m:rPr>
                      <m:nor/>
                      <m:sty m:val="p"/>
                    </m:rPr>
                    <m:t>used</m:t>
                  </m:r>
                </m:sub>
              </m:sSub>
            </m:oMath>
          </w:p>
        </w:tc>
        <w:tc>
          <w:tcPr/>
          <w:p>
            <w:pPr>
              <w:pStyle w:val="Compact"/>
              <w:jc w:val="left"/>
            </w:pPr>
            <w:r>
              <w:t xml:space="preserve">Data stored per disk</w:t>
            </w:r>
          </w:p>
        </w:tc>
        <w:tc>
          <w:tcPr/>
          <w:p>
            <w:pPr>
              <w:pStyle w:val="Compact"/>
              <w:jc w:val="left"/>
            </w:pPr>
            <w:r>
              <w:t xml:space="preserve">bytes</w:t>
            </w:r>
          </w:p>
        </w:tc>
      </w:tr>
      <w:tr>
        <w:tc>
          <w:tcPr/>
          <w:p>
            <w:pPr>
              <w:pStyle w:val="Compact"/>
              <w:jc w:val="left"/>
            </w:pPr>
            <m:oMath>
              <m:r>
                <m:t>r</m:t>
              </m:r>
            </m:oMath>
          </w:p>
        </w:tc>
        <w:tc>
          <w:tcPr/>
          <w:p>
            <w:pPr>
              <w:pStyle w:val="Compact"/>
              <w:jc w:val="left"/>
            </w:pPr>
            <w:r>
              <w:t xml:space="preserve">Fragments read per fragment rebuilt</w:t>
            </w:r>
          </w:p>
        </w:tc>
        <w:tc>
          <w:tcPr/>
          <w:p>
            <w:pPr>
              <w:pStyle w:val="Compact"/>
              <w:jc w:val="left"/>
            </w:pPr>
            <w:r>
              <w:t xml:space="preserve">count</w:t>
            </w:r>
          </w:p>
        </w:tc>
      </w:tr>
    </w:tbl>
    <w:p>
      <w:pPr>
        <w:pStyle w:val="CalloutExample"/>
      </w:pPr>
      <w:r>
        <w:rPr>
          <w:bCs/>
          <w:b/>
        </w:rPr>
        <w:t xml:space="preserve">WORKED EXAMPLE</w:t>
      </w:r>
    </w:p>
    <w:p>
      <w:pPr>
        <w:pStyle w:val="CalloutExample"/>
      </w:pPr>
      <w:r>
        <w:rPr>
          <w:bCs/>
          <w:b/>
        </w:rPr>
        <w:t xml:space="preserve">Worked example — Repair bandwidth for a 10,000-disk cluster.</w:t>
      </w:r>
      <w:r>
        <w:t xml:space="preserve"> </w:t>
      </w:r>
      <w:r>
        <w:t xml:space="preserve">Disks of 20 TB at 60% full (</w:t>
      </w:r>
      <m:oMath>
        <m:sSub>
          <m:e>
            <m:r>
              <m:t>D</m:t>
            </m:r>
          </m:e>
          <m:sub>
            <m:r>
              <m:rPr>
                <m:nor/>
                <m:sty m:val="p"/>
              </m:rPr>
              <m:t>used</m:t>
            </m:r>
          </m:sub>
        </m:sSub>
        <m:r>
          <m:rPr>
            <m:sty m:val="p"/>
          </m:rPr>
          <m:t>=</m:t>
        </m:r>
        <m:r>
          <m:t>12</m:t>
        </m:r>
      </m:oMath>
      <w:r>
        <w:t xml:space="preserve"> </w:t>
      </w:r>
      <w:r>
        <w:t xml:space="preserve">TB), AFR 2%.</w:t>
      </w:r>
    </w:p>
    <w:p>
      <w:pPr>
        <w:numPr>
          <w:ilvl w:val="0"/>
          <w:numId w:val="1514"/>
        </w:numPr>
        <w:pStyle w:val="Compact"/>
      </w:pPr>
      <w:r>
        <w:t xml:space="preserve">Failures per day:</w:t>
      </w:r>
      <w:r>
        <w:t xml:space="preserve"> </w:t>
      </w:r>
      <m:oMath>
        <m:r>
          <m:t>10</m:t>
        </m:r>
        <m:r>
          <m:rPr>
            <m:sty m:val="p"/>
          </m:rPr>
          <m:t>,</m:t>
        </m:r>
        <m:r>
          <m:t>000</m:t>
        </m:r>
        <m:r>
          <m:rPr>
            <m:sty m:val="p"/>
          </m:rPr>
          <m:t>×</m:t>
        </m:r>
        <m:r>
          <m:t>0.02</m:t>
        </m:r>
        <m:r>
          <m:rPr>
            <m:sty m:val="p"/>
          </m:rPr>
          <m:t>/</m:t>
        </m:r>
        <m:r>
          <m:t>365</m:t>
        </m:r>
        <m:r>
          <m:rPr>
            <m:sty m:val="p"/>
          </m:rPr>
          <m:t>=</m:t>
        </m:r>
        <m:r>
          <m:t>0.548</m:t>
        </m:r>
      </m:oMath>
      <w:r>
        <w:t xml:space="preserve">.</w:t>
      </w:r>
    </w:p>
    <w:p>
      <w:pPr>
        <w:numPr>
          <w:ilvl w:val="0"/>
          <w:numId w:val="1514"/>
        </w:numPr>
        <w:pStyle w:val="Compact"/>
      </w:pPr>
      <w:r>
        <w:t xml:space="preserve">Data lost per day:</w:t>
      </w:r>
      <w:r>
        <w:t xml:space="preserve"> </w:t>
      </w:r>
      <m:oMath>
        <m:r>
          <m:t>0.548</m:t>
        </m:r>
        <m:r>
          <m:rPr>
            <m:sty m:val="p"/>
          </m:rPr>
          <m:t>×</m:t>
        </m:r>
        <m:r>
          <m:t>12</m:t>
        </m:r>
        <m:r>
          <m:rPr>
            <m:sty m:val="p"/>
          </m:rPr>
          <m:t>=</m:t>
        </m:r>
        <m:r>
          <m:t>6.58</m:t>
        </m:r>
      </m:oMath>
      <w:r>
        <w:t xml:space="preserve"> </w:t>
      </w:r>
      <w:r>
        <w:t xml:space="preserve">TB.</w:t>
      </w:r>
    </w:p>
    <w:p>
      <w:pPr>
        <w:numPr>
          <w:ilvl w:val="0"/>
          <w:numId w:val="1514"/>
        </w:numPr>
        <w:pStyle w:val="Compact"/>
      </w:pPr>
      <w:r>
        <w:t xml:space="preserve">3× replication (</w:t>
      </w:r>
      <m:oMath>
        <m:r>
          <m:t>r</m:t>
        </m:r>
        <m:r>
          <m:rPr>
            <m:sty m:val="p"/>
          </m:rPr>
          <m:t>=</m:t>
        </m:r>
        <m:r>
          <m:t>1</m:t>
        </m:r>
      </m:oMath>
      <w:r>
        <w:t xml:space="preserve">): 6.58 TB/day of reads.</w:t>
      </w:r>
    </w:p>
    <w:p>
      <w:pPr>
        <w:numPr>
          <w:ilvl w:val="0"/>
          <w:numId w:val="1514"/>
        </w:numPr>
        <w:pStyle w:val="Compact"/>
      </w:pPr>
      <w:r>
        <w:t xml:space="preserve">RS(10,4) (</w:t>
      </w:r>
      <m:oMath>
        <m:r>
          <m:t>r</m:t>
        </m:r>
        <m:r>
          <m:rPr>
            <m:sty m:val="p"/>
          </m:rPr>
          <m:t>=</m:t>
        </m:r>
        <m:r>
          <m:t>10</m:t>
        </m:r>
      </m:oMath>
      <w:r>
        <w:t xml:space="preserve">): 65.8 TB/day, a sustained</w:t>
      </w:r>
      <w:r>
        <w:t xml:space="preserve"> </w:t>
      </w:r>
      <m:oMath>
        <m:r>
          <m:t>65.8</m:t>
        </m:r>
        <m:r>
          <m:rPr>
            <m:sty m:val="p"/>
          </m:rPr>
          <m:t>×</m:t>
        </m:r>
        <m:sSup>
          <m:e>
            <m:r>
              <m:t>10</m:t>
            </m:r>
          </m:e>
          <m:sup>
            <m:r>
              <m:t>12</m:t>
            </m:r>
          </m:sup>
        </m:sSup>
        <m:r>
          <m:rPr>
            <m:sty m:val="p"/>
          </m:rPr>
          <m:t>/</m:t>
        </m:r>
        <m:r>
          <m:t>86</m:t>
        </m:r>
        <m:r>
          <m:rPr>
            <m:sty m:val="p"/>
          </m:rPr>
          <m:t>,</m:t>
        </m:r>
        <m:r>
          <m:t>400</m:t>
        </m:r>
        <m:r>
          <m:rPr>
            <m:sty m:val="p"/>
          </m:rPr>
          <m:t>=</m:t>
        </m:r>
        <m:r>
          <m:t>761</m:t>
        </m:r>
      </m:oMath>
      <w:r>
        <w:t xml:space="preserve"> </w:t>
      </w:r>
      <w:r>
        <w:t xml:space="preserve">MB/s, about 6.1 Gb/s, most of it crossing racks.</w:t>
      </w:r>
    </w:p>
    <w:p>
      <w:pPr>
        <w:numPr>
          <w:ilvl w:val="0"/>
          <w:numId w:val="1514"/>
        </w:numPr>
        <w:pStyle w:val="Compact"/>
      </w:pPr>
      <w:r>
        <w:t xml:space="preserve">LRC(12,2,2) (below,</w:t>
      </w:r>
      <w:r>
        <w:t xml:space="preserve"> </w:t>
      </w:r>
      <m:oMath>
        <m:r>
          <m:t>r</m:t>
        </m:r>
        <m:r>
          <m:rPr>
            <m:sty m:val="p"/>
          </m:rPr>
          <m:t>=</m:t>
        </m:r>
        <m:r>
          <m:t>6</m:t>
        </m:r>
      </m:oMath>
      <w:r>
        <w:t xml:space="preserve"> </w:t>
      </w:r>
      <w:r>
        <w:t xml:space="preserve">for one lost data fragment): 39.5 TB/day, about 457 MB/s.</w:t>
      </w:r>
    </w:p>
    <w:p>
      <w:pPr>
        <w:pStyle w:val="CalloutExample"/>
      </w:pPr>
      <w:r>
        <w:rPr>
          <w:bCs/>
          <w:b/>
        </w:rPr>
        <w:t xml:space="preserve">Interpretation.</w:t>
      </w:r>
      <w:r>
        <w:t xml:space="preserve"> </w:t>
      </w:r>
      <w:r>
        <w:t xml:space="preserve">Erasure coding saves capacity but multiplies repair traffic by</w:t>
      </w:r>
      <w:r>
        <w:t xml:space="preserve"> </w:t>
      </w:r>
      <m:oMath>
        <m:r>
          <m:t>k</m:t>
        </m:r>
      </m:oMath>
      <w:r>
        <w:t xml:space="preserve">. Briefly unavailable machines (reboots, upgrades) add more reconstruction: a study of a Facebook warehouse cluster using RS(10,4) reported recovery traffic on the order of a hundred terabytes per day crossing racks [Rashmi et al. 2013].</w:t>
      </w:r>
      <w:r>
        <w:t xml:space="preserve"> </w:t>
      </w:r>
      <w:r>
        <w:rPr>
          <w:bCs/>
          <w:b/>
        </w:rPr>
        <w:t xml:space="preserve">Engineering implication.</w:t>
      </w:r>
      <w:r>
        <w:t xml:space="preserve"> </w:t>
      </w:r>
      <w:r>
        <w:t xml:space="preserve">Budget network capacity for repair, delay repair of transient failures for a few minutes, and consider codes that reduce</w:t>
      </w:r>
      <w:r>
        <w:t xml:space="preserve"> </w:t>
      </w:r>
      <m:oMath>
        <m:r>
          <m:t>r</m:t>
        </m:r>
      </m:oMath>
      <w:r>
        <w:t xml:space="preserve">.</w:t>
      </w:r>
    </w:p>
    <w:bookmarkEnd w:id="1741"/>
    <w:bookmarkStart w:id="1742" w:name="code-example-15"/>
    <w:p>
      <w:pPr>
        <w:pStyle w:val="Heading4"/>
      </w:pPr>
      <w:r>
        <w:t xml:space="preserve">Code example</w:t>
      </w:r>
    </w:p>
    <w:p>
      <w:pPr>
        <w:pStyle w:val="FirstParagraph"/>
      </w:pPr>
      <w:r>
        <w:t xml:space="preserve">The program below implements XOR parity and a toy systematic Reed–Solomon-style code. For readability it works over the prime field GF(257) with Lagrange interpolation, so a parity symbol can be 256; production libraries (for example Intel ISA-L or Jerasure) use GF(</w:t>
      </w:r>
      <m:oMath>
        <m:sSup>
          <m:e>
            <m:r>
              <m:t>2</m:t>
            </m:r>
          </m:e>
          <m:sup>
            <m:r>
              <m:t>8</m:t>
            </m:r>
          </m:sup>
        </m:sSup>
      </m:oMath>
      <w:r>
        <w:t xml:space="preserve">), but the</w:t>
      </w:r>
      <w:r>
        <w:t xml:space="preserve"> </w:t>
      </w:r>
      <w:r>
        <w:t xml:space="preserve">“</w:t>
      </w:r>
      <w:r>
        <w:t xml:space="preserve">any</w:t>
      </w:r>
      <w:r>
        <w:t xml:space="preserve"> </w:t>
      </w:r>
      <m:oMath>
        <m:r>
          <m:t>k</m:t>
        </m:r>
      </m:oMath>
      <w:r>
        <w:t xml:space="preserve"> </w:t>
      </w:r>
      <w:r>
        <w:t xml:space="preserve">of</w:t>
      </w:r>
      <w:r>
        <w:t xml:space="preserve"> </w:t>
      </w:r>
      <m:oMath>
        <m:r>
          <m:t>k</m:t>
        </m:r>
        <m:r>
          <m:rPr>
            <m:sty m:val="p"/>
          </m:rPr>
          <m:t>+</m:t>
        </m:r>
        <m:r>
          <m:t>m</m:t>
        </m:r>
      </m:oMath>
      <w:r>
        <w:t xml:space="preserve">”</w:t>
      </w:r>
      <w:r>
        <w:t xml:space="preserve"> </w:t>
      </w:r>
      <w:r>
        <w:t xml:space="preserve">property is identical.</w:t>
      </w:r>
    </w:p>
    <w:p>
      <w:pPr>
        <w:pStyle w:val="SourceCode"/>
      </w:pPr>
      <w:r>
        <w:rPr>
          <w:rStyle w:val="CommentTok"/>
        </w:rPr>
        <w:t xml:space="preserve"># A toy erasure code: XOR parity (m = 1) and a Reed-Solomon-style (k, m) code.</w:t>
      </w:r>
      <w:r>
        <w:br/>
      </w:r>
      <w:r>
        <w:rPr>
          <w:rStyle w:val="CommentTok"/>
        </w:rPr>
        <w:t xml:space="preserve"># The RS code works over the prime field GF(257) so the arithmetic is plain</w:t>
      </w:r>
      <w:r>
        <w:br/>
      </w:r>
      <w:r>
        <w:rPr>
          <w:rStyle w:val="CommentTok"/>
        </w:rPr>
        <w:t xml:space="preserve"># modular integer maths; production systems use GF(2^8) so every symbol is a byte.</w:t>
      </w:r>
      <w:r>
        <w:br/>
      </w:r>
      <w:r>
        <w:rPr>
          <w:rStyle w:val="ImportTok"/>
        </w:rPr>
        <w:t xml:space="preserve">import</w:t>
      </w:r>
      <w:r>
        <w:rPr>
          <w:rStyle w:val="NormalTok"/>
        </w:rPr>
        <w:t xml:space="preserve"> itertools</w:t>
      </w:r>
      <w:r>
        <w:br/>
      </w:r>
      <w:r>
        <w:rPr>
          <w:rStyle w:val="ImportTok"/>
        </w:rPr>
        <w:t xml:space="preserve">import</w:t>
      </w:r>
      <w:r>
        <w:rPr>
          <w:rStyle w:val="NormalTok"/>
        </w:rPr>
        <w:t xml:space="preserve"> random</w:t>
      </w:r>
      <w:r>
        <w:br/>
      </w:r>
      <w:r>
        <w:br/>
      </w:r>
      <w:r>
        <w:rPr>
          <w:rStyle w:val="NormalTok"/>
        </w:rPr>
        <w:t xml:space="preserve">P </w:t>
      </w:r>
      <w:r>
        <w:rPr>
          <w:rStyle w:val="OperatorTok"/>
        </w:rPr>
        <w:t xml:space="preserve">=</w:t>
      </w:r>
      <w:r>
        <w:rPr>
          <w:rStyle w:val="NormalTok"/>
        </w:rPr>
        <w:t xml:space="preserve"> </w:t>
      </w:r>
      <w:r>
        <w:rPr>
          <w:rStyle w:val="DecValTok"/>
        </w:rPr>
        <w:t xml:space="preserve">257</w:t>
      </w:r>
      <w:r>
        <w:rPr>
          <w:rStyle w:val="NormalTok"/>
        </w:rPr>
        <w:t xml:space="preserve">  </w:t>
      </w:r>
      <w:r>
        <w:rPr>
          <w:rStyle w:val="CommentTok"/>
        </w:rPr>
        <w:t xml:space="preserve"># prime modulus; symbols are integers 0..256</w:t>
      </w:r>
      <w:r>
        <w:br/>
      </w:r>
      <w:r>
        <w:br/>
      </w:r>
      <w:r>
        <w:br/>
      </w:r>
      <w:r>
        <w:rPr>
          <w:rStyle w:val="KeywordTok"/>
        </w:rPr>
        <w:t xml:space="preserve">def</w:t>
      </w:r>
      <w:r>
        <w:rPr>
          <w:rStyle w:val="NormalTok"/>
        </w:rPr>
        <w:t xml:space="preserve"> xor_parity(blocks):</w:t>
      </w:r>
      <w:r>
        <w:br/>
      </w:r>
      <w:r>
        <w:rPr>
          <w:rStyle w:val="NormalTok"/>
        </w:rPr>
        <w:t xml:space="preserve">    </w:t>
      </w:r>
      <w:r>
        <w:rPr>
          <w:rStyle w:val="CommentTok"/>
        </w:rPr>
        <w:t xml:space="preserve">"""RAID-5 style parity: byte-wise XOR of all data blocks."""</w:t>
      </w:r>
      <w:r>
        <w:br/>
      </w:r>
      <w:r>
        <w:rPr>
          <w:rStyle w:val="NormalTok"/>
        </w:rPr>
        <w:t xml:space="preserve">    parity </w:t>
      </w:r>
      <w:r>
        <w:rPr>
          <w:rStyle w:val="OperatorTok"/>
        </w:rPr>
        <w:t xml:space="preserve">=</w:t>
      </w:r>
      <w:r>
        <w:rPr>
          <w:rStyle w:val="NormalTok"/>
        </w:rPr>
        <w:t xml:space="preserve"> </w:t>
      </w:r>
      <w:r>
        <w:rPr>
          <w:rStyle w:val="BuiltInTok"/>
        </w:rPr>
        <w:t xml:space="preserve">bytearray</w:t>
      </w:r>
      <w:r>
        <w:rPr>
          <w:rStyle w:val="NormalTok"/>
        </w:rPr>
        <w:t xml:space="preserve">(</w:t>
      </w:r>
      <w:r>
        <w:rPr>
          <w:rStyle w:val="BuiltInTok"/>
        </w:rPr>
        <w:t xml:space="preserve">len</w:t>
      </w:r>
      <w:r>
        <w:rPr>
          <w:rStyle w:val="NormalTok"/>
        </w:rPr>
        <w:t xml:space="preserve">(blocks[</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blocks:</w:t>
      </w:r>
      <w:r>
        <w:br/>
      </w:r>
      <w:r>
        <w:rPr>
          <w:rStyle w:val="NormalTok"/>
        </w:rPr>
        <w:t xml:space="preserve">        </w:t>
      </w:r>
      <w:r>
        <w:rPr>
          <w:rStyle w:val="ControlFlowTok"/>
        </w:rPr>
        <w:t xml:space="preserve">for</w:t>
      </w:r>
      <w:r>
        <w:rPr>
          <w:rStyle w:val="NormalTok"/>
        </w:rPr>
        <w:t xml:space="preserve"> i, byte </w:t>
      </w:r>
      <w:r>
        <w:rPr>
          <w:rStyle w:val="KeywordTok"/>
        </w:rPr>
        <w:t xml:space="preserve">in</w:t>
      </w:r>
      <w:r>
        <w:rPr>
          <w:rStyle w:val="NormalTok"/>
        </w:rPr>
        <w:t xml:space="preserve"> </w:t>
      </w:r>
      <w:r>
        <w:rPr>
          <w:rStyle w:val="BuiltInTok"/>
        </w:rPr>
        <w:t xml:space="preserve">enumerate</w:t>
      </w:r>
      <w:r>
        <w:rPr>
          <w:rStyle w:val="NormalTok"/>
        </w:rPr>
        <w:t xml:space="preserve">(b):</w:t>
      </w:r>
      <w:r>
        <w:br/>
      </w:r>
      <w:r>
        <w:rPr>
          <w:rStyle w:val="NormalTok"/>
        </w:rPr>
        <w:t xml:space="preserve">            parity[i] </w:t>
      </w:r>
      <w:r>
        <w:rPr>
          <w:rStyle w:val="OperatorTok"/>
        </w:rPr>
        <w:t xml:space="preserve">^=</w:t>
      </w:r>
      <w:r>
        <w:rPr>
          <w:rStyle w:val="NormalTok"/>
        </w:rPr>
        <w:t xml:space="preserve"> byte</w:t>
      </w:r>
      <w:r>
        <w:br/>
      </w:r>
      <w:r>
        <w:rPr>
          <w:rStyle w:val="NormalTok"/>
        </w:rPr>
        <w:t xml:space="preserve">    </w:t>
      </w:r>
      <w:r>
        <w:rPr>
          <w:rStyle w:val="ControlFlowTok"/>
        </w:rPr>
        <w:t xml:space="preserve">return</w:t>
      </w:r>
      <w:r>
        <w:rPr>
          <w:rStyle w:val="NormalTok"/>
        </w:rPr>
        <w:t xml:space="preserve"> </w:t>
      </w:r>
      <w:r>
        <w:rPr>
          <w:rStyle w:val="BuiltInTok"/>
        </w:rPr>
        <w:t xml:space="preserve">bytes</w:t>
      </w:r>
      <w:r>
        <w:rPr>
          <w:rStyle w:val="NormalTok"/>
        </w:rPr>
        <w:t xml:space="preserve">(parity)</w:t>
      </w:r>
      <w:r>
        <w:br/>
      </w:r>
      <w:r>
        <w:br/>
      </w:r>
      <w:r>
        <w:br/>
      </w:r>
      <w:r>
        <w:rPr>
          <w:rStyle w:val="KeywordTok"/>
        </w:rPr>
        <w:t xml:space="preserve">def</w:t>
      </w:r>
      <w:r>
        <w:rPr>
          <w:rStyle w:val="NormalTok"/>
        </w:rPr>
        <w:t xml:space="preserve"> lagrange_at(points, x):</w:t>
      </w:r>
      <w:r>
        <w:br/>
      </w:r>
      <w:r>
        <w:rPr>
          <w:rStyle w:val="NormalTok"/>
        </w:rPr>
        <w:t xml:space="preserve">    </w:t>
      </w:r>
      <w:r>
        <w:rPr>
          <w:rStyle w:val="CommentTok"/>
        </w:rPr>
        <w:t xml:space="preserve">"""Evaluate, at x, the unique polynomial of degree &lt; len(points)</w:t>
      </w:r>
      <w:r>
        <w:br/>
      </w:r>
      <w:r>
        <w:rPr>
          <w:rStyle w:val="CommentTok"/>
        </w:rPr>
        <w:t xml:space="preserve">    passing through points [(xi, yi)], all arithmetic mod P."""</w:t>
      </w:r>
      <w:r>
        <w:br/>
      </w:r>
      <w:r>
        <w:rPr>
          <w:rStyle w:val="NormalTok"/>
        </w:rPr>
        <w:t xml:space="preserve">    total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i, (xi, yi) </w:t>
      </w:r>
      <w:r>
        <w:rPr>
          <w:rStyle w:val="KeywordTok"/>
        </w:rPr>
        <w:t xml:space="preserve">in</w:t>
      </w:r>
      <w:r>
        <w:rPr>
          <w:rStyle w:val="NormalTok"/>
        </w:rPr>
        <w:t xml:space="preserve"> </w:t>
      </w:r>
      <w:r>
        <w:rPr>
          <w:rStyle w:val="BuiltInTok"/>
        </w:rPr>
        <w:t xml:space="preserve">enumerate</w:t>
      </w:r>
      <w:r>
        <w:rPr>
          <w:rStyle w:val="NormalTok"/>
        </w:rPr>
        <w:t xml:space="preserve">(points):</w:t>
      </w:r>
      <w:r>
        <w:br/>
      </w:r>
      <w:r>
        <w:rPr>
          <w:rStyle w:val="NormalTok"/>
        </w:rPr>
        <w:t xml:space="preserve">        num, den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1</w:t>
      </w:r>
      <w:r>
        <w:br/>
      </w:r>
      <w:r>
        <w:rPr>
          <w:rStyle w:val="NormalTok"/>
        </w:rPr>
        <w:t xml:space="preserve">        </w:t>
      </w:r>
      <w:r>
        <w:rPr>
          <w:rStyle w:val="ControlFlowTok"/>
        </w:rPr>
        <w:t xml:space="preserve">for</w:t>
      </w:r>
      <w:r>
        <w:rPr>
          <w:rStyle w:val="NormalTok"/>
        </w:rPr>
        <w:t xml:space="preserve"> j, (xj, _) </w:t>
      </w:r>
      <w:r>
        <w:rPr>
          <w:rStyle w:val="KeywordTok"/>
        </w:rPr>
        <w:t xml:space="preserve">in</w:t>
      </w:r>
      <w:r>
        <w:rPr>
          <w:rStyle w:val="NormalTok"/>
        </w:rPr>
        <w:t xml:space="preserve"> </w:t>
      </w:r>
      <w:r>
        <w:rPr>
          <w:rStyle w:val="BuiltInTok"/>
        </w:rPr>
        <w:t xml:space="preserve">enumerate</w:t>
      </w:r>
      <w:r>
        <w:rPr>
          <w:rStyle w:val="NormalTok"/>
        </w:rPr>
        <w:t xml:space="preserve">(points):</w:t>
      </w:r>
      <w:r>
        <w:br/>
      </w:r>
      <w:r>
        <w:rPr>
          <w:rStyle w:val="NormalTok"/>
        </w:rPr>
        <w:t xml:space="preserve">            </w:t>
      </w:r>
      <w:r>
        <w:rPr>
          <w:rStyle w:val="ControlFlowTok"/>
        </w:rPr>
        <w:t xml:space="preserve">if</w:t>
      </w:r>
      <w:r>
        <w:rPr>
          <w:rStyle w:val="NormalTok"/>
        </w:rPr>
        <w:t xml:space="preserve"> j </w:t>
      </w:r>
      <w:r>
        <w:rPr>
          <w:rStyle w:val="OperatorTok"/>
        </w:rPr>
        <w:t xml:space="preserve">!=</w:t>
      </w:r>
      <w:r>
        <w:rPr>
          <w:rStyle w:val="NormalTok"/>
        </w:rPr>
        <w:t xml:space="preserve"> i:</w:t>
      </w:r>
      <w:r>
        <w:br/>
      </w:r>
      <w:r>
        <w:rPr>
          <w:rStyle w:val="NormalTok"/>
        </w:rPr>
        <w:t xml:space="preserve">                num </w:t>
      </w:r>
      <w:r>
        <w:rPr>
          <w:rStyle w:val="OperatorTok"/>
        </w:rPr>
        <w:t xml:space="preserve">=</w:t>
      </w:r>
      <w:r>
        <w:rPr>
          <w:rStyle w:val="NormalTok"/>
        </w:rPr>
        <w:t xml:space="preserve"> num </w:t>
      </w:r>
      <w:r>
        <w:rPr>
          <w:rStyle w:val="OperatorTok"/>
        </w:rPr>
        <w:t xml:space="preserve">*</w:t>
      </w:r>
      <w:r>
        <w:rPr>
          <w:rStyle w:val="NormalTok"/>
        </w:rPr>
        <w:t xml:space="preserve"> (x </w:t>
      </w:r>
      <w:r>
        <w:rPr>
          <w:rStyle w:val="OperatorTok"/>
        </w:rPr>
        <w:t xml:space="preserve">-</w:t>
      </w:r>
      <w:r>
        <w:rPr>
          <w:rStyle w:val="NormalTok"/>
        </w:rPr>
        <w:t xml:space="preserve"> xj) </w:t>
      </w:r>
      <w:r>
        <w:rPr>
          <w:rStyle w:val="OperatorTok"/>
        </w:rPr>
        <w:t xml:space="preserve">%</w:t>
      </w:r>
      <w:r>
        <w:rPr>
          <w:rStyle w:val="NormalTok"/>
        </w:rPr>
        <w:t xml:space="preserve"> P</w:t>
      </w:r>
      <w:r>
        <w:br/>
      </w:r>
      <w:r>
        <w:rPr>
          <w:rStyle w:val="NormalTok"/>
        </w:rPr>
        <w:t xml:space="preserve">                den </w:t>
      </w:r>
      <w:r>
        <w:rPr>
          <w:rStyle w:val="OperatorTok"/>
        </w:rPr>
        <w:t xml:space="preserve">=</w:t>
      </w:r>
      <w:r>
        <w:rPr>
          <w:rStyle w:val="NormalTok"/>
        </w:rPr>
        <w:t xml:space="preserve"> den </w:t>
      </w:r>
      <w:r>
        <w:rPr>
          <w:rStyle w:val="OperatorTok"/>
        </w:rPr>
        <w:t xml:space="preserve">*</w:t>
      </w:r>
      <w:r>
        <w:rPr>
          <w:rStyle w:val="NormalTok"/>
        </w:rPr>
        <w:t xml:space="preserve"> (xi </w:t>
      </w:r>
      <w:r>
        <w:rPr>
          <w:rStyle w:val="OperatorTok"/>
        </w:rPr>
        <w:t xml:space="preserve">-</w:t>
      </w:r>
      <w:r>
        <w:rPr>
          <w:rStyle w:val="NormalTok"/>
        </w:rPr>
        <w:t xml:space="preserve"> xj) </w:t>
      </w:r>
      <w:r>
        <w:rPr>
          <w:rStyle w:val="OperatorTok"/>
        </w:rPr>
        <w:t xml:space="preserve">%</w:t>
      </w:r>
      <w:r>
        <w:rPr>
          <w:rStyle w:val="NormalTok"/>
        </w:rPr>
        <w:t xml:space="preserve"> P</w:t>
      </w:r>
      <w:r>
        <w:br/>
      </w:r>
      <w:r>
        <w:rPr>
          <w:rStyle w:val="NormalTok"/>
        </w:rPr>
        <w:t xml:space="preserve">        total </w:t>
      </w:r>
      <w:r>
        <w:rPr>
          <w:rStyle w:val="OperatorTok"/>
        </w:rPr>
        <w:t xml:space="preserve">=</w:t>
      </w:r>
      <w:r>
        <w:rPr>
          <w:rStyle w:val="NormalTok"/>
        </w:rPr>
        <w:t xml:space="preserve"> (total </w:t>
      </w:r>
      <w:r>
        <w:rPr>
          <w:rStyle w:val="OperatorTok"/>
        </w:rPr>
        <w:t xml:space="preserve">+</w:t>
      </w:r>
      <w:r>
        <w:rPr>
          <w:rStyle w:val="NormalTok"/>
        </w:rPr>
        <w:t xml:space="preserve"> yi </w:t>
      </w:r>
      <w:r>
        <w:rPr>
          <w:rStyle w:val="OperatorTok"/>
        </w:rPr>
        <w:t xml:space="preserve">*</w:t>
      </w:r>
      <w:r>
        <w:rPr>
          <w:rStyle w:val="NormalTok"/>
        </w:rPr>
        <w:t xml:space="preserve"> num </w:t>
      </w:r>
      <w:r>
        <w:rPr>
          <w:rStyle w:val="OperatorTok"/>
        </w:rPr>
        <w:t xml:space="preserve">*</w:t>
      </w:r>
      <w:r>
        <w:rPr>
          <w:rStyle w:val="NormalTok"/>
        </w:rPr>
        <w:t xml:space="preserve"> </w:t>
      </w:r>
      <w:r>
        <w:rPr>
          <w:rStyle w:val="BuiltInTok"/>
        </w:rPr>
        <w:t xml:space="preserve">pow</w:t>
      </w:r>
      <w:r>
        <w:rPr>
          <w:rStyle w:val="NormalTok"/>
        </w:rPr>
        <w:t xml:space="preserve">(den, P </w:t>
      </w:r>
      <w:r>
        <w:rPr>
          <w:rStyle w:val="OperatorTok"/>
        </w:rPr>
        <w:t xml:space="preserve">-</w:t>
      </w:r>
      <w:r>
        <w:rPr>
          <w:rStyle w:val="NormalTok"/>
        </w:rPr>
        <w:t xml:space="preserve"> </w:t>
      </w:r>
      <w:r>
        <w:rPr>
          <w:rStyle w:val="DecValTok"/>
        </w:rPr>
        <w:t xml:space="preserve">2</w:t>
      </w:r>
      <w:r>
        <w:rPr>
          <w:rStyle w:val="NormalTok"/>
        </w:rPr>
        <w:t xml:space="preserve">, P)) </w:t>
      </w:r>
      <w:r>
        <w:rPr>
          <w:rStyle w:val="OperatorTok"/>
        </w:rPr>
        <w:t xml:space="preserve">%</w:t>
      </w:r>
      <w:r>
        <w:rPr>
          <w:rStyle w:val="NormalTok"/>
        </w:rPr>
        <w:t xml:space="preserve"> P  </w:t>
      </w:r>
      <w:r>
        <w:rPr>
          <w:rStyle w:val="CommentTok"/>
        </w:rPr>
        <w:t xml:space="preserve"># pow(.., P-2) = inverse</w:t>
      </w:r>
      <w:r>
        <w:br/>
      </w:r>
      <w:r>
        <w:rPr>
          <w:rStyle w:val="NormalTok"/>
        </w:rPr>
        <w:t xml:space="preserve">    </w:t>
      </w:r>
      <w:r>
        <w:rPr>
          <w:rStyle w:val="ControlFlowTok"/>
        </w:rPr>
        <w:t xml:space="preserve">return</w:t>
      </w:r>
      <w:r>
        <w:rPr>
          <w:rStyle w:val="NormalTok"/>
        </w:rPr>
        <w:t xml:space="preserve"> total</w:t>
      </w:r>
      <w:r>
        <w:br/>
      </w:r>
      <w:r>
        <w:br/>
      </w:r>
      <w:r>
        <w:br/>
      </w:r>
      <w:r>
        <w:rPr>
          <w:rStyle w:val="KeywordTok"/>
        </w:rPr>
        <w:t xml:space="preserve">def</w:t>
      </w:r>
      <w:r>
        <w:rPr>
          <w:rStyle w:val="NormalTok"/>
        </w:rPr>
        <w:t xml:space="preserve"> rs_encode(data, k, m):</w:t>
      </w:r>
      <w:r>
        <w:br/>
      </w:r>
      <w:r>
        <w:rPr>
          <w:rStyle w:val="NormalTok"/>
        </w:rPr>
        <w:t xml:space="preserve">    </w:t>
      </w:r>
      <w:r>
        <w:rPr>
          <w:rStyle w:val="CommentTok"/>
        </w:rPr>
        <w:t xml:space="preserve">"""Systematic encoding of one stripe column: fragment i (i = 1..k) holds</w:t>
      </w:r>
      <w:r>
        <w:br/>
      </w:r>
      <w:r>
        <w:rPr>
          <w:rStyle w:val="CommentTok"/>
        </w:rPr>
        <w:t xml:space="preserve">    data[i-1]; parity fragments k+1..k+m hold the polynomial's values there."""</w:t>
      </w:r>
      <w:r>
        <w:br/>
      </w:r>
      <w:r>
        <w:rPr>
          <w:rStyle w:val="NormalTok"/>
        </w:rPr>
        <w:t xml:space="preserve">    pts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zip</w:t>
      </w:r>
      <w:r>
        <w:rPr>
          <w:rStyle w:val="NormalTok"/>
        </w:rPr>
        <w:t xml:space="preserve">(</w:t>
      </w:r>
      <w:r>
        <w:rPr>
          <w:rStyle w:val="BuiltInTok"/>
        </w:rPr>
        <w:t xml:space="preserve">range</w:t>
      </w:r>
      <w:r>
        <w:rPr>
          <w:rStyle w:val="NormalTok"/>
        </w:rPr>
        <w:t xml:space="preserve">(</w:t>
      </w:r>
      <w:r>
        <w:rPr>
          <w:rStyle w:val="DecValTok"/>
        </w:rPr>
        <w:t xml:space="preserve">1</w:t>
      </w:r>
      <w:r>
        <w:rPr>
          <w:rStyle w:val="NormalTok"/>
        </w:rPr>
        <w:t xml:space="preserve">, k </w:t>
      </w:r>
      <w:r>
        <w:rPr>
          <w:rStyle w:val="OperatorTok"/>
        </w:rPr>
        <w:t xml:space="preserve">+</w:t>
      </w:r>
      <w:r>
        <w:rPr>
          <w:rStyle w:val="NormalTok"/>
        </w:rPr>
        <w:t xml:space="preserve"> </w:t>
      </w:r>
      <w:r>
        <w:rPr>
          <w:rStyle w:val="DecValTok"/>
        </w:rPr>
        <w:t xml:space="preserve">1</w:t>
      </w:r>
      <w:r>
        <w:rPr>
          <w:rStyle w:val="NormalTok"/>
        </w:rPr>
        <w:t xml:space="preserve">), data))</w:t>
      </w:r>
      <w:r>
        <w:br/>
      </w:r>
      <w:r>
        <w:rPr>
          <w:rStyle w:val="NormalTok"/>
        </w:rPr>
        <w:t xml:space="preserve">    </w:t>
      </w:r>
      <w:r>
        <w:rPr>
          <w:rStyle w:val="ControlFlowTok"/>
        </w:rPr>
        <w:t xml:space="preserve">return</w:t>
      </w:r>
      <w:r>
        <w:rPr>
          <w:rStyle w:val="NormalTok"/>
        </w:rPr>
        <w:t xml:space="preserve"> data </w:t>
      </w:r>
      <w:r>
        <w:rPr>
          <w:rStyle w:val="OperatorTok"/>
        </w:rPr>
        <w:t xml:space="preserve">+</w:t>
      </w:r>
      <w:r>
        <w:rPr>
          <w:rStyle w:val="NormalTok"/>
        </w:rPr>
        <w:t xml:space="preserve"> [lagrange_at(pts, x) </w:t>
      </w:r>
      <w:r>
        <w:rPr>
          <w:rStyle w:val="ControlFlowTok"/>
        </w:rPr>
        <w:t xml:space="preserve">for</w:t>
      </w:r>
      <w:r>
        <w:rPr>
          <w:rStyle w:val="NormalTok"/>
        </w:rPr>
        <w:t xml:space="preserve"> x </w:t>
      </w:r>
      <w:r>
        <w:rPr>
          <w:rStyle w:val="KeywordTok"/>
        </w:rPr>
        <w:t xml:space="preserve">in</w:t>
      </w:r>
      <w:r>
        <w:rPr>
          <w:rStyle w:val="NormalTok"/>
        </w:rPr>
        <w:t xml:space="preserve"> </w:t>
      </w:r>
      <w:r>
        <w:rPr>
          <w:rStyle w:val="BuiltInTok"/>
        </w:rPr>
        <w:t xml:space="preserve">range</w:t>
      </w:r>
      <w:r>
        <w:rPr>
          <w:rStyle w:val="NormalTok"/>
        </w:rPr>
        <w:t xml:space="preserve">(k </w:t>
      </w:r>
      <w:r>
        <w:rPr>
          <w:rStyle w:val="OperatorTok"/>
        </w:rPr>
        <w:t xml:space="preserve">+</w:t>
      </w:r>
      <w:r>
        <w:rPr>
          <w:rStyle w:val="NormalTok"/>
        </w:rPr>
        <w:t xml:space="preserve"> </w:t>
      </w:r>
      <w:r>
        <w:rPr>
          <w:rStyle w:val="DecValTok"/>
        </w:rPr>
        <w:t xml:space="preserve">1</w:t>
      </w:r>
      <w:r>
        <w:rPr>
          <w:rStyle w:val="NormalTok"/>
        </w:rPr>
        <w:t xml:space="preserve">, k </w:t>
      </w:r>
      <w:r>
        <w:rPr>
          <w:rStyle w:val="OperatorTok"/>
        </w:rPr>
        <w:t xml:space="preserve">+</w:t>
      </w:r>
      <w:r>
        <w:rPr>
          <w:rStyle w:val="NormalTok"/>
        </w:rPr>
        <w:t xml:space="preserve"> m </w:t>
      </w:r>
      <w:r>
        <w:rPr>
          <w:rStyle w:val="OperatorTok"/>
        </w:rPr>
        <w:t xml:space="preserve">+</w:t>
      </w:r>
      <w:r>
        <w:rPr>
          <w:rStyle w:val="NormalTok"/>
        </w:rPr>
        <w:t xml:space="preserve"> </w:t>
      </w:r>
      <w:r>
        <w:rPr>
          <w:rStyle w:val="DecValTok"/>
        </w:rPr>
        <w:t xml:space="preserve">1</w:t>
      </w:r>
      <w:r>
        <w:rPr>
          <w:rStyle w:val="NormalTok"/>
        </w:rPr>
        <w:t xml:space="preserve">)]</w:t>
      </w:r>
      <w:r>
        <w:br/>
      </w:r>
      <w:r>
        <w:br/>
      </w:r>
      <w:r>
        <w:br/>
      </w:r>
      <w:r>
        <w:rPr>
          <w:rStyle w:val="KeywordTok"/>
        </w:rPr>
        <w:t xml:space="preserve">def</w:t>
      </w:r>
      <w:r>
        <w:rPr>
          <w:rStyle w:val="NormalTok"/>
        </w:rPr>
        <w:t xml:space="preserve"> rs_decode(survivors, k):</w:t>
      </w:r>
      <w:r>
        <w:br/>
      </w:r>
      <w:r>
        <w:rPr>
          <w:rStyle w:val="NormalTok"/>
        </w:rPr>
        <w:t xml:space="preserve">    </w:t>
      </w:r>
      <w:r>
        <w:rPr>
          <w:rStyle w:val="CommentTok"/>
        </w:rPr>
        <w:t xml:space="preserve">"""Rebuild the k data symbols from ANY k surviving (index, value) pairs."""</w:t>
      </w:r>
      <w:r>
        <w:br/>
      </w:r>
      <w:r>
        <w:rPr>
          <w:rStyle w:val="NormalTok"/>
        </w:rPr>
        <w:t xml:space="preserve">    pts </w:t>
      </w:r>
      <w:r>
        <w:rPr>
          <w:rStyle w:val="OperatorTok"/>
        </w:rPr>
        <w:t xml:space="preserve">=</w:t>
      </w:r>
      <w:r>
        <w:rPr>
          <w:rStyle w:val="NormalTok"/>
        </w:rPr>
        <w:t xml:space="preserve"> survivors[:k]</w:t>
      </w:r>
      <w:r>
        <w:br/>
      </w:r>
      <w:r>
        <w:rPr>
          <w:rStyle w:val="NormalTok"/>
        </w:rPr>
        <w:t xml:space="preserve">    </w:t>
      </w:r>
      <w:r>
        <w:rPr>
          <w:rStyle w:val="ControlFlowTok"/>
        </w:rPr>
        <w:t xml:space="preserve">return</w:t>
      </w:r>
      <w:r>
        <w:rPr>
          <w:rStyle w:val="NormalTok"/>
        </w:rPr>
        <w:t xml:space="preserve"> [lagrange_at(pts, x) </w:t>
      </w:r>
      <w:r>
        <w:rPr>
          <w:rStyle w:val="ControlFlowTok"/>
        </w:rPr>
        <w:t xml:space="preserve">for</w:t>
      </w:r>
      <w:r>
        <w:rPr>
          <w:rStyle w:val="NormalTok"/>
        </w:rPr>
        <w:t xml:space="preserve"> x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k </w:t>
      </w:r>
      <w:r>
        <w:rPr>
          <w:rStyle w:val="OperatorTok"/>
        </w:rPr>
        <w:t xml:space="preserve">+</w:t>
      </w:r>
      <w:r>
        <w:rPr>
          <w:rStyle w:val="NormalTok"/>
        </w:rPr>
        <w:t xml:space="preserve"> </w:t>
      </w:r>
      <w:r>
        <w:rPr>
          <w:rStyle w:val="DecValTok"/>
        </w:rPr>
        <w:t xml:space="preserve">1</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mmentTok"/>
        </w:rPr>
        <w:t xml:space="preserve"># 1. XOR parity: lose any one block, rebuild it from the others.</w:t>
      </w:r>
      <w:r>
        <w:br/>
      </w:r>
      <w:r>
        <w:rPr>
          <w:rStyle w:val="NormalTok"/>
        </w:rPr>
        <w:t xml:space="preserve">    d </w:t>
      </w:r>
      <w:r>
        <w:rPr>
          <w:rStyle w:val="OperatorTok"/>
        </w:rPr>
        <w:t xml:space="preserve">=</w:t>
      </w:r>
      <w:r>
        <w:rPr>
          <w:rStyle w:val="NormalTok"/>
        </w:rPr>
        <w:t xml:space="preserve"> [</w:t>
      </w:r>
      <w:r>
        <w:rPr>
          <w:rStyle w:val="StringTok"/>
        </w:rPr>
        <w:t xml:space="preserve">b"GFS!"</w:t>
      </w:r>
      <w:r>
        <w:rPr>
          <w:rStyle w:val="NormalTok"/>
        </w:rPr>
        <w:t xml:space="preserve">, </w:t>
      </w:r>
      <w:r>
        <w:rPr>
          <w:rStyle w:val="StringTok"/>
        </w:rPr>
        <w:t xml:space="preserve">b"HDFS"</w:t>
      </w:r>
      <w:r>
        <w:rPr>
          <w:rStyle w:val="NormalTok"/>
        </w:rPr>
        <w:t xml:space="preserve">, </w:t>
      </w:r>
      <w:r>
        <w:rPr>
          <w:rStyle w:val="StringTok"/>
        </w:rPr>
        <w:t xml:space="preserve">b"S3ok"</w:t>
      </w:r>
      <w:r>
        <w:rPr>
          <w:rStyle w:val="NormalTok"/>
        </w:rPr>
        <w:t xml:space="preserve">]</w:t>
      </w:r>
      <w:r>
        <w:br/>
      </w:r>
      <w:r>
        <w:rPr>
          <w:rStyle w:val="NormalTok"/>
        </w:rPr>
        <w:t xml:space="preserve">    p </w:t>
      </w:r>
      <w:r>
        <w:rPr>
          <w:rStyle w:val="OperatorTok"/>
        </w:rPr>
        <w:t xml:space="preserve">=</w:t>
      </w:r>
      <w:r>
        <w:rPr>
          <w:rStyle w:val="NormalTok"/>
        </w:rPr>
        <w:t xml:space="preserve"> xor_parity(d)</w:t>
      </w:r>
      <w:r>
        <w:br/>
      </w:r>
      <w:r>
        <w:rPr>
          <w:rStyle w:val="NormalTok"/>
        </w:rPr>
        <w:t xml:space="preserve">    rebuilt </w:t>
      </w:r>
      <w:r>
        <w:rPr>
          <w:rStyle w:val="OperatorTok"/>
        </w:rPr>
        <w:t xml:space="preserve">=</w:t>
      </w:r>
      <w:r>
        <w:rPr>
          <w:rStyle w:val="NormalTok"/>
        </w:rPr>
        <w:t xml:space="preserve"> xor_parity([d[</w:t>
      </w:r>
      <w:r>
        <w:rPr>
          <w:rStyle w:val="DecValTok"/>
        </w:rPr>
        <w:t xml:space="preserve">0</w:t>
      </w:r>
      <w:r>
        <w:rPr>
          <w:rStyle w:val="NormalTok"/>
        </w:rPr>
        <w:t xml:space="preserve">], d[</w:t>
      </w:r>
      <w:r>
        <w:rPr>
          <w:rStyle w:val="DecValTok"/>
        </w:rPr>
        <w:t xml:space="preserve">2</w:t>
      </w:r>
      <w:r>
        <w:rPr>
          <w:rStyle w:val="NormalTok"/>
        </w:rPr>
        <w:t xml:space="preserve">], p])  </w:t>
      </w:r>
      <w:r>
        <w:rPr>
          <w:rStyle w:val="CommentTok"/>
        </w:rPr>
        <w:t xml:space="preserve"># pretend d[1] was lost</w:t>
      </w:r>
      <w:r>
        <w:br/>
      </w:r>
      <w:r>
        <w:rPr>
          <w:rStyle w:val="NormalTok"/>
        </w:rPr>
        <w:t xml:space="preserve">    </w:t>
      </w:r>
      <w:r>
        <w:rPr>
          <w:rStyle w:val="BuiltInTok"/>
        </w:rPr>
        <w:t xml:space="preserve">print</w:t>
      </w:r>
      <w:r>
        <w:rPr>
          <w:rStyle w:val="NormalTok"/>
        </w:rPr>
        <w:t xml:space="preserve">(</w:t>
      </w:r>
      <w:r>
        <w:rPr>
          <w:rStyle w:val="StringTok"/>
        </w:rPr>
        <w:t xml:space="preserve">"XOR rebuilt block 1:"</w:t>
      </w:r>
      <w:r>
        <w:rPr>
          <w:rStyle w:val="NormalTok"/>
        </w:rPr>
        <w:t xml:space="preserve">, rebuilt, rebuilt </w:t>
      </w:r>
      <w:r>
        <w:rPr>
          <w:rStyle w:val="OperatorTok"/>
        </w:rPr>
        <w:t xml:space="preserve">==</w:t>
      </w:r>
      <w:r>
        <w:rPr>
          <w:rStyle w:val="NormalTok"/>
        </w:rPr>
        <w:t xml:space="preserve"> d[</w:t>
      </w:r>
      <w:r>
        <w:rPr>
          <w:rStyle w:val="DecValTok"/>
        </w:rPr>
        <w:t xml:space="preserve">1</w:t>
      </w:r>
      <w:r>
        <w:rPr>
          <w:rStyle w:val="NormalTok"/>
        </w:rPr>
        <w:t xml:space="preserve">])</w:t>
      </w:r>
      <w:r>
        <w:br/>
      </w:r>
      <w:r>
        <w:br/>
      </w:r>
      <w:r>
        <w:rPr>
          <w:rStyle w:val="NormalTok"/>
        </w:rPr>
        <w:t xml:space="preserve">    </w:t>
      </w:r>
      <w:r>
        <w:rPr>
          <w:rStyle w:val="CommentTok"/>
        </w:rPr>
        <w:t xml:space="preserve"># 2. RS(4, 2): 4 data symbols, 2 parity symbols, survives ANY 2 losses.</w:t>
      </w:r>
      <w:r>
        <w:br/>
      </w:r>
      <w:r>
        <w:rPr>
          <w:rStyle w:val="NormalTok"/>
        </w:rPr>
        <w:t xml:space="preserve">    k, m </w:t>
      </w:r>
      <w:r>
        <w:rPr>
          <w:rStyle w:val="OperatorTok"/>
        </w:rPr>
        <w:t xml:space="preserve">=</w:t>
      </w:r>
      <w:r>
        <w:rPr>
          <w:rStyle w:val="NormalTok"/>
        </w:rPr>
        <w:t xml:space="preserve"> </w:t>
      </w:r>
      <w:r>
        <w:rPr>
          <w:rStyle w:val="DecValTok"/>
        </w:rPr>
        <w:t xml:space="preserve">4</w:t>
      </w:r>
      <w:r>
        <w:rPr>
          <w:rStyle w:val="NormalTok"/>
        </w:rPr>
        <w:t xml:space="preserve">, </w:t>
      </w:r>
      <w:r>
        <w:rPr>
          <w:rStyle w:val="DecValTok"/>
        </w:rPr>
        <w:t xml:space="preserve">2</w:t>
      </w:r>
      <w:r>
        <w:br/>
      </w:r>
      <w:r>
        <w:rPr>
          <w:rStyle w:val="NormalTok"/>
        </w:rPr>
        <w:t xml:space="preserve">    data </w:t>
      </w:r>
      <w:r>
        <w:rPr>
          <w:rStyle w:val="OperatorTok"/>
        </w:rPr>
        <w:t xml:space="preserve">=</w:t>
      </w:r>
      <w:r>
        <w:rPr>
          <w:rStyle w:val="NormalTok"/>
        </w:rPr>
        <w:t xml:space="preserve"> [</w:t>
      </w:r>
      <w:r>
        <w:rPr>
          <w:rStyle w:val="BuiltInTok"/>
        </w:rPr>
        <w:t xml:space="preserve">ord</w:t>
      </w:r>
      <w:r>
        <w:rPr>
          <w:rStyle w:val="NormalTok"/>
        </w:rPr>
        <w:t xml:space="preserve">(c)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StringTok"/>
        </w:rPr>
        <w:t xml:space="preserve">"EC4u"</w:t>
      </w:r>
      <w:r>
        <w:rPr>
          <w:rStyle w:val="NormalTok"/>
        </w:rPr>
        <w:t xml:space="preserve">]</w:t>
      </w:r>
      <w:r>
        <w:br/>
      </w:r>
      <w:r>
        <w:rPr>
          <w:rStyle w:val="NormalTok"/>
        </w:rPr>
        <w:t xml:space="preserve">    stripe </w:t>
      </w:r>
      <w:r>
        <w:rPr>
          <w:rStyle w:val="OperatorTok"/>
        </w:rPr>
        <w:t xml:space="preserve">=</w:t>
      </w:r>
      <w:r>
        <w:rPr>
          <w:rStyle w:val="NormalTok"/>
        </w:rPr>
        <w:t xml:space="preserve"> rs_encode(data, k, m)</w:t>
      </w:r>
      <w:r>
        <w:br/>
      </w:r>
      <w:r>
        <w:rPr>
          <w:rStyle w:val="NormalTok"/>
        </w:rPr>
        <w:t xml:space="preserve">    </w:t>
      </w:r>
      <w:r>
        <w:rPr>
          <w:rStyle w:val="BuiltInTok"/>
        </w:rPr>
        <w:t xml:space="preserve">print</w:t>
      </w:r>
      <w:r>
        <w:rPr>
          <w:rStyle w:val="NormalTok"/>
        </w:rPr>
        <w:t xml:space="preserve">(</w:t>
      </w:r>
      <w:r>
        <w:rPr>
          <w:rStyle w:val="StringTok"/>
        </w:rPr>
        <w:t xml:space="preserve">"stripe (data + parity):"</w:t>
      </w:r>
      <w:r>
        <w:rPr>
          <w:rStyle w:val="NormalTok"/>
        </w:rPr>
        <w:t xml:space="preserve">, stripe)</w:t>
      </w:r>
      <w:r>
        <w:br/>
      </w:r>
      <w:r>
        <w:rPr>
          <w:rStyle w:val="NormalTok"/>
        </w:rPr>
        <w:t xml:space="preserve">    ok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lost </w:t>
      </w:r>
      <w:r>
        <w:rPr>
          <w:rStyle w:val="KeywordTok"/>
        </w:rPr>
        <w:t xml:space="preserve">in</w:t>
      </w:r>
      <w:r>
        <w:rPr>
          <w:rStyle w:val="NormalTok"/>
        </w:rPr>
        <w:t xml:space="preserve"> itertools.combinations(</w:t>
      </w:r>
      <w:r>
        <w:rPr>
          <w:rStyle w:val="BuiltInTok"/>
        </w:rPr>
        <w:t xml:space="preserve">range</w:t>
      </w:r>
      <w:r>
        <w:rPr>
          <w:rStyle w:val="NormalTok"/>
        </w:rPr>
        <w:t xml:space="preserve">(k </w:t>
      </w:r>
      <w:r>
        <w:rPr>
          <w:rStyle w:val="OperatorTok"/>
        </w:rPr>
        <w:t xml:space="preserve">+</w:t>
      </w:r>
      <w:r>
        <w:rPr>
          <w:rStyle w:val="NormalTok"/>
        </w:rPr>
        <w:t xml:space="preserve"> m), m):</w:t>
      </w:r>
      <w:r>
        <w:br/>
      </w:r>
      <w:r>
        <w:rPr>
          <w:rStyle w:val="NormalTok"/>
        </w:rPr>
        <w:t xml:space="preserve">        survivors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 v) </w:t>
      </w:r>
      <w:r>
        <w:rPr>
          <w:rStyle w:val="ControlFlowTok"/>
        </w:rPr>
        <w:t xml:space="preserve">for</w:t>
      </w:r>
      <w:r>
        <w:rPr>
          <w:rStyle w:val="NormalTok"/>
        </w:rPr>
        <w:t xml:space="preserve"> i, v </w:t>
      </w:r>
      <w:r>
        <w:rPr>
          <w:rStyle w:val="KeywordTok"/>
        </w:rPr>
        <w:t xml:space="preserve">in</w:t>
      </w:r>
      <w:r>
        <w:rPr>
          <w:rStyle w:val="NormalTok"/>
        </w:rPr>
        <w:t xml:space="preserve"> </w:t>
      </w:r>
      <w:r>
        <w:rPr>
          <w:rStyle w:val="BuiltInTok"/>
        </w:rPr>
        <w:t xml:space="preserve">enumerate</w:t>
      </w:r>
      <w:r>
        <w:rPr>
          <w:rStyle w:val="NormalTok"/>
        </w:rPr>
        <w:t xml:space="preserve">(stripe) </w:t>
      </w:r>
      <w:r>
        <w:rPr>
          <w:rStyle w:val="ControlFlowTok"/>
        </w:rPr>
        <w:t xml:space="preserve">if</w:t>
      </w:r>
      <w:r>
        <w:rPr>
          <w:rStyle w:val="NormalTok"/>
        </w:rPr>
        <w:t xml:space="preserve"> i </w:t>
      </w:r>
      <w:r>
        <w:rPr>
          <w:rStyle w:val="KeywordTok"/>
        </w:rPr>
        <w:t xml:space="preserve">not</w:t>
      </w:r>
      <w:r>
        <w:rPr>
          <w:rStyle w:val="NormalTok"/>
        </w:rPr>
        <w:t xml:space="preserve"> </w:t>
      </w:r>
      <w:r>
        <w:rPr>
          <w:rStyle w:val="KeywordTok"/>
        </w:rPr>
        <w:t xml:space="preserve">in</w:t>
      </w:r>
      <w:r>
        <w:rPr>
          <w:rStyle w:val="NormalTok"/>
        </w:rPr>
        <w:t xml:space="preserve"> lost]</w:t>
      </w:r>
      <w:r>
        <w:br/>
      </w:r>
      <w:r>
        <w:rPr>
          <w:rStyle w:val="NormalTok"/>
        </w:rPr>
        <w:t xml:space="preserve">        ok </w:t>
      </w:r>
      <w:r>
        <w:rPr>
          <w:rStyle w:val="OperatorTok"/>
        </w:rPr>
        <w:t xml:space="preserve">+=</w:t>
      </w:r>
      <w:r>
        <w:rPr>
          <w:rStyle w:val="NormalTok"/>
        </w:rPr>
        <w:t xml:space="preserve"> rs_decode(survivors, k) </w:t>
      </w:r>
      <w:r>
        <w:rPr>
          <w:rStyle w:val="OperatorTok"/>
        </w:rPr>
        <w:t xml:space="preserve">==</w:t>
      </w:r>
      <w:r>
        <w:rPr>
          <w:rStyle w:val="NormalTok"/>
        </w:rPr>
        <w:t xml:space="preserve"> data</w:t>
      </w:r>
      <w:r>
        <w:br/>
      </w:r>
      <w:r>
        <w:rPr>
          <w:rStyle w:val="NormalTok"/>
        </w:rPr>
        <w:t xml:space="preserve">    </w:t>
      </w:r>
      <w:r>
        <w:rPr>
          <w:rStyle w:val="BuiltInTok"/>
        </w:rPr>
        <w:t xml:space="preserve">print</w:t>
      </w:r>
      <w:r>
        <w:rPr>
          <w:rStyle w:val="NormalTok"/>
        </w:rPr>
        <w:t xml:space="preserve">(</w:t>
      </w:r>
      <w:r>
        <w:rPr>
          <w:rStyle w:val="SpecialStringTok"/>
        </w:rPr>
        <w:t xml:space="preserve">f"RS(</w:t>
      </w:r>
      <w:r>
        <w:rPr>
          <w:rStyle w:val="SpecialCharTok"/>
        </w:rPr>
        <w:t xml:space="preserve">{</w:t>
      </w:r>
      <w:r>
        <w:rPr>
          <w:rStyle w:val="NormalTok"/>
        </w:rPr>
        <w:t xml:space="preserve">k</w:t>
      </w:r>
      <w:r>
        <w:rPr>
          <w:rStyle w:val="SpecialCharTok"/>
        </w:rPr>
        <w:t xml:space="preserve">}</w:t>
      </w:r>
      <w:r>
        <w:rPr>
          <w:rStyle w:val="SpecialStringTok"/>
        </w:rPr>
        <w:t xml:space="preserve">,</w:t>
      </w:r>
      <w:r>
        <w:rPr>
          <w:rStyle w:val="SpecialCharTok"/>
        </w:rPr>
        <w:t xml:space="preserve">{</w:t>
      </w:r>
      <w:r>
        <w:rPr>
          <w:rStyle w:val="NormalTok"/>
        </w:rPr>
        <w:t xml:space="preserve">m</w:t>
      </w:r>
      <w:r>
        <w:rPr>
          <w:rStyle w:val="SpecialCharTok"/>
        </w:rPr>
        <w:t xml:space="preserve">}</w:t>
      </w:r>
      <w:r>
        <w:rPr>
          <w:rStyle w:val="SpecialStringTok"/>
        </w:rPr>
        <w:t xml:space="preserve">) recovered data in </w:t>
      </w:r>
      <w:r>
        <w:rPr>
          <w:rStyle w:val="SpecialCharTok"/>
        </w:rPr>
        <w:t xml:space="preserve">{</w:t>
      </w:r>
      <w:r>
        <w:rPr>
          <w:rStyle w:val="NormalTok"/>
        </w:rPr>
        <w:t xml:space="preserve">ok</w:t>
      </w:r>
      <w:r>
        <w:rPr>
          <w:rStyle w:val="SpecialCharTok"/>
        </w:rPr>
        <w:t xml:space="preserve">}</w:t>
      </w:r>
      <w:r>
        <w:rPr>
          <w:rStyle w:val="SpecialStringTok"/>
        </w:rPr>
        <w:t xml:space="preserve"> of "</w:t>
      </w:r>
      <w:r>
        <w:br/>
      </w:r>
      <w:r>
        <w:rPr>
          <w:rStyle w:val="NormalTok"/>
        </w:rPr>
        <w:t xml:space="preserve">          </w:t>
      </w:r>
      <w:r>
        <w:rPr>
          <w:rStyle w:val="SpecialStringTok"/>
        </w:rPr>
        <w:t xml:space="preserve">f"</w:t>
      </w:r>
      <w:r>
        <w:rPr>
          <w:rStyle w:val="SpecialCharTok"/>
        </w:rPr>
        <w:t xml:space="preserve">{</w:t>
      </w:r>
      <w:r>
        <w:rPr>
          <w:rStyle w:val="BuiltInTok"/>
        </w:rPr>
        <w:t xml:space="preserve">len</w:t>
      </w:r>
      <w:r>
        <w:rPr>
          <w:rStyle w:val="NormalTok"/>
        </w:rPr>
        <w:t xml:space="preserve">(</w:t>
      </w:r>
      <w:r>
        <w:rPr>
          <w:rStyle w:val="BuiltInTok"/>
        </w:rPr>
        <w:t xml:space="preserve">list</w:t>
      </w:r>
      <w:r>
        <w:rPr>
          <w:rStyle w:val="NormalTok"/>
        </w:rPr>
        <w:t xml:space="preserve">(itertools.combinations(</w:t>
      </w:r>
      <w:r>
        <w:rPr>
          <w:rStyle w:val="BuiltInTok"/>
        </w:rPr>
        <w:t xml:space="preserve">range</w:t>
      </w:r>
      <w:r>
        <w:rPr>
          <w:rStyle w:val="NormalTok"/>
        </w:rPr>
        <w:t xml:space="preserve">(k </w:t>
      </w:r>
      <w:r>
        <w:rPr>
          <w:rStyle w:val="OperatorTok"/>
        </w:rPr>
        <w:t xml:space="preserve">+</w:t>
      </w:r>
      <w:r>
        <w:rPr>
          <w:rStyle w:val="NormalTok"/>
        </w:rPr>
        <w:t xml:space="preserve"> m), m)))</w:t>
      </w:r>
      <w:r>
        <w:rPr>
          <w:rStyle w:val="SpecialCharTok"/>
        </w:rPr>
        <w:t xml:space="preserve">}</w:t>
      </w:r>
      <w:r>
        <w:rPr>
          <w:rStyle w:val="SpecialStringTok"/>
        </w:rPr>
        <w:t xml:space="preserve"> two-loss patterns"</w:t>
      </w:r>
      <w:r>
        <w:rPr>
          <w:rStyle w:val="NormalTok"/>
        </w:rPr>
        <w:t xml:space="preserve">)</w:t>
      </w:r>
      <w:r>
        <w:br/>
      </w:r>
      <w:r>
        <w:br/>
      </w:r>
      <w:r>
        <w:rPr>
          <w:rStyle w:val="NormalTok"/>
        </w:rPr>
        <w:t xml:space="preserve">    </w:t>
      </w:r>
      <w:r>
        <w:rPr>
          <w:rStyle w:val="CommentTok"/>
        </w:rPr>
        <w:t xml:space="preserve"># 3. RS(10, 4) on random bytes: lose 4 random fragments, decode, compare.</w:t>
      </w:r>
      <w:r>
        <w:br/>
      </w:r>
      <w:r>
        <w:rPr>
          <w:rStyle w:val="NormalTok"/>
        </w:rPr>
        <w:t xml:space="preserve">    rng </w:t>
      </w:r>
      <w:r>
        <w:rPr>
          <w:rStyle w:val="OperatorTok"/>
        </w:rPr>
        <w:t xml:space="preserve">=</w:t>
      </w:r>
      <w:r>
        <w:rPr>
          <w:rStyle w:val="NormalTok"/>
        </w:rPr>
        <w:t xml:space="preserve"> random.Random(</w:t>
      </w:r>
      <w:r>
        <w:rPr>
          <w:rStyle w:val="DecValTok"/>
        </w:rPr>
        <w:t xml:space="preserve">7</w:t>
      </w:r>
      <w:r>
        <w:rPr>
          <w:rStyle w:val="NormalTok"/>
        </w:rPr>
        <w:t xml:space="preserve">)</w:t>
      </w:r>
      <w:r>
        <w:br/>
      </w:r>
      <w:r>
        <w:rPr>
          <w:rStyle w:val="NormalTok"/>
        </w:rPr>
        <w:t xml:space="preserve">    k, m </w:t>
      </w:r>
      <w:r>
        <w:rPr>
          <w:rStyle w:val="OperatorTok"/>
        </w:rPr>
        <w:t xml:space="preserve">=</w:t>
      </w:r>
      <w:r>
        <w:rPr>
          <w:rStyle w:val="NormalTok"/>
        </w:rPr>
        <w:t xml:space="preserve"> </w:t>
      </w:r>
      <w:r>
        <w:rPr>
          <w:rStyle w:val="DecValTok"/>
        </w:rPr>
        <w:t xml:space="preserve">10</w:t>
      </w:r>
      <w:r>
        <w:rPr>
          <w:rStyle w:val="NormalTok"/>
        </w:rPr>
        <w:t xml:space="preserve">, </w:t>
      </w:r>
      <w:r>
        <w:rPr>
          <w:rStyle w:val="DecValTok"/>
        </w:rPr>
        <w:t xml:space="preserve">4</w:t>
      </w:r>
      <w:r>
        <w:br/>
      </w:r>
      <w:r>
        <w:rPr>
          <w:rStyle w:val="NormalTok"/>
        </w:rPr>
        <w:t xml:space="preserve">    data </w:t>
      </w:r>
      <w:r>
        <w:rPr>
          <w:rStyle w:val="OperatorTok"/>
        </w:rPr>
        <w:t xml:space="preserve">=</w:t>
      </w:r>
      <w:r>
        <w:rPr>
          <w:rStyle w:val="NormalTok"/>
        </w:rPr>
        <w:t xml:space="preserve"> [rng.randrange(</w:t>
      </w:r>
      <w:r>
        <w:rPr>
          <w:rStyle w:val="DecValTok"/>
        </w:rPr>
        <w:t xml:space="preserve">256</w:t>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(k)]</w:t>
      </w:r>
      <w:r>
        <w:br/>
      </w:r>
      <w:r>
        <w:rPr>
          <w:rStyle w:val="NormalTok"/>
        </w:rPr>
        <w:t xml:space="preserve">    stripe </w:t>
      </w:r>
      <w:r>
        <w:rPr>
          <w:rStyle w:val="OperatorTok"/>
        </w:rPr>
        <w:t xml:space="preserve">=</w:t>
      </w:r>
      <w:r>
        <w:rPr>
          <w:rStyle w:val="NormalTok"/>
        </w:rPr>
        <w:t xml:space="preserve"> rs_encode(data, k, m)</w:t>
      </w:r>
      <w:r>
        <w:br/>
      </w:r>
      <w:r>
        <w:rPr>
          <w:rStyle w:val="NormalTok"/>
        </w:rPr>
        <w:t xml:space="preserve">    lost </w:t>
      </w:r>
      <w:r>
        <w:rPr>
          <w:rStyle w:val="OperatorTok"/>
        </w:rPr>
        <w:t xml:space="preserve">=</w:t>
      </w:r>
      <w:r>
        <w:rPr>
          <w:rStyle w:val="NormalTok"/>
        </w:rPr>
        <w:t xml:space="preserve"> </w:t>
      </w:r>
      <w:r>
        <w:rPr>
          <w:rStyle w:val="BuiltInTok"/>
        </w:rPr>
        <w:t xml:space="preserve">set</w:t>
      </w:r>
      <w:r>
        <w:rPr>
          <w:rStyle w:val="NormalTok"/>
        </w:rPr>
        <w:t xml:space="preserve">(rng.sample(</w:t>
      </w:r>
      <w:r>
        <w:rPr>
          <w:rStyle w:val="BuiltInTok"/>
        </w:rPr>
        <w:t xml:space="preserve">range</w:t>
      </w:r>
      <w:r>
        <w:rPr>
          <w:rStyle w:val="NormalTok"/>
        </w:rPr>
        <w:t xml:space="preserve">(k </w:t>
      </w:r>
      <w:r>
        <w:rPr>
          <w:rStyle w:val="OperatorTok"/>
        </w:rPr>
        <w:t xml:space="preserve">+</w:t>
      </w:r>
      <w:r>
        <w:rPr>
          <w:rStyle w:val="NormalTok"/>
        </w:rPr>
        <w:t xml:space="preserve"> m), m))</w:t>
      </w:r>
      <w:r>
        <w:br/>
      </w:r>
      <w:r>
        <w:rPr>
          <w:rStyle w:val="NormalTok"/>
        </w:rPr>
        <w:t xml:space="preserve">    survivors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 v) </w:t>
      </w:r>
      <w:r>
        <w:rPr>
          <w:rStyle w:val="ControlFlowTok"/>
        </w:rPr>
        <w:t xml:space="preserve">for</w:t>
      </w:r>
      <w:r>
        <w:rPr>
          <w:rStyle w:val="NormalTok"/>
        </w:rPr>
        <w:t xml:space="preserve"> i, v </w:t>
      </w:r>
      <w:r>
        <w:rPr>
          <w:rStyle w:val="KeywordTok"/>
        </w:rPr>
        <w:t xml:space="preserve">in</w:t>
      </w:r>
      <w:r>
        <w:rPr>
          <w:rStyle w:val="NormalTok"/>
        </w:rPr>
        <w:t xml:space="preserve"> </w:t>
      </w:r>
      <w:r>
        <w:rPr>
          <w:rStyle w:val="BuiltInTok"/>
        </w:rPr>
        <w:t xml:space="preserve">enumerate</w:t>
      </w:r>
      <w:r>
        <w:rPr>
          <w:rStyle w:val="NormalTok"/>
        </w:rPr>
        <w:t xml:space="preserve">(stripe) </w:t>
      </w:r>
      <w:r>
        <w:rPr>
          <w:rStyle w:val="ControlFlowTok"/>
        </w:rPr>
        <w:t xml:space="preserve">if</w:t>
      </w:r>
      <w:r>
        <w:rPr>
          <w:rStyle w:val="NormalTok"/>
        </w:rPr>
        <w:t xml:space="preserve"> i </w:t>
      </w:r>
      <w:r>
        <w:rPr>
          <w:rStyle w:val="KeywordTok"/>
        </w:rPr>
        <w:t xml:space="preserve">not</w:t>
      </w:r>
      <w:r>
        <w:rPr>
          <w:rStyle w:val="NormalTok"/>
        </w:rPr>
        <w:t xml:space="preserve"> </w:t>
      </w:r>
      <w:r>
        <w:rPr>
          <w:rStyle w:val="KeywordTok"/>
        </w:rPr>
        <w:t xml:space="preserve">in</w:t>
      </w:r>
      <w:r>
        <w:rPr>
          <w:rStyle w:val="NormalTok"/>
        </w:rPr>
        <w:t xml:space="preserve"> lost]</w:t>
      </w:r>
      <w:r>
        <w:br/>
      </w:r>
      <w:r>
        <w:rPr>
          <w:rStyle w:val="NormalTok"/>
        </w:rPr>
        <w:t xml:space="preserve">    </w:t>
      </w:r>
      <w:r>
        <w:rPr>
          <w:rStyle w:val="BuiltInTok"/>
        </w:rPr>
        <w:t xml:space="preserve">print</w:t>
      </w:r>
      <w:r>
        <w:rPr>
          <w:rStyle w:val="NormalTok"/>
        </w:rPr>
        <w:t xml:space="preserve">(</w:t>
      </w:r>
      <w:r>
        <w:rPr>
          <w:rStyle w:val="StringTok"/>
        </w:rPr>
        <w:t xml:space="preserve">"RS(10,4) lost fragments"</w:t>
      </w:r>
      <w:r>
        <w:rPr>
          <w:rStyle w:val="NormalTok"/>
        </w:rPr>
        <w:t xml:space="preserve">, </w:t>
      </w:r>
      <w:r>
        <w:rPr>
          <w:rStyle w:val="BuiltInTok"/>
        </w:rPr>
        <w:t xml:space="preserve">sorted</w:t>
      </w:r>
      <w:r>
        <w:rPr>
          <w:rStyle w:val="NormalTok"/>
        </w:rPr>
        <w:t xml:space="preserve">(lost), </w:t>
      </w:r>
      <w:r>
        <w:rPr>
          <w:rStyle w:val="StringTok"/>
        </w:rPr>
        <w:t xml:space="preserve">"-&gt; recovered:"</w:t>
      </w:r>
      <w:r>
        <w:rPr>
          <w:rStyle w:val="NormalTok"/>
        </w:rPr>
        <w:t xml:space="preserve">,</w:t>
      </w:r>
      <w:r>
        <w:br/>
      </w:r>
      <w:r>
        <w:rPr>
          <w:rStyle w:val="NormalTok"/>
        </w:rPr>
        <w:t xml:space="preserve">          rs_decode(survivors, k) </w:t>
      </w:r>
      <w:r>
        <w:rPr>
          <w:rStyle w:val="OperatorTok"/>
        </w:rPr>
        <w:t xml:space="preserve">==</w:t>
      </w:r>
      <w:r>
        <w:rPr>
          <w:rStyle w:val="NormalTok"/>
        </w:rPr>
        <w:t xml:space="preserve"> data, </w:t>
      </w:r>
      <w:r>
        <w:rPr>
          <w:rStyle w:val="StringTok"/>
        </w:rPr>
        <w:t xml:space="preserve">"| symbols read for repair:"</w:t>
      </w:r>
      <w:r>
        <w:rPr>
          <w:rStyle w:val="NormalTok"/>
        </w:rPr>
        <w:t xml:space="preserve">, k)</w:t>
      </w:r>
    </w:p>
    <w:p>
      <w:pPr>
        <w:pStyle w:val="FirstParagraph"/>
      </w:pPr>
      <w:r>
        <w:t xml:space="preserve">Output (Python 3):</w:t>
      </w:r>
    </w:p>
    <w:p>
      <w:pPr>
        <w:pStyle w:val="SourceCode"/>
      </w:pPr>
      <w:r>
        <w:rPr>
          <w:rStyle w:val="VerbatimChar"/>
        </w:rPr>
        <w:t xml:space="preserve">XOR rebuilt block 1: b'HDFS' True</w:t>
      </w:r>
      <w:r>
        <w:br/>
      </w:r>
      <w:r>
        <w:rPr>
          <w:rStyle w:val="VerbatimChar"/>
        </w:rPr>
        <w:t xml:space="preserve">stripe (data + parity): [69, 67, 52, 117, 98, 88]</w:t>
      </w:r>
      <w:r>
        <w:br/>
      </w:r>
      <w:r>
        <w:rPr>
          <w:rStyle w:val="VerbatimChar"/>
        </w:rPr>
        <w:t xml:space="preserve">RS(4,2) recovered data in 15 of 15 two-loss patterns</w:t>
      </w:r>
      <w:r>
        <w:br/>
      </w:r>
      <w:r>
        <w:rPr>
          <w:rStyle w:val="VerbatimChar"/>
        </w:rPr>
        <w:t xml:space="preserve">RS(10,4) lost fragments [1, 6, 12, 13] -&gt; recovered: True | symbols read for repair: 10</w:t>
      </w:r>
    </w:p>
    <w:p>
      <w:pPr>
        <w:pStyle w:val="FirstParagraph"/>
      </w:pPr>
      <w:r>
        <w:t xml:space="preserve">What to notice:</w:t>
      </w:r>
    </w:p>
    <w:p>
      <w:pPr>
        <w:numPr>
          <w:ilvl w:val="0"/>
          <w:numId w:val="1515"/>
        </w:numPr>
        <w:pStyle w:val="Compact"/>
      </w:pPr>
      <w:r>
        <w:t xml:space="preserve">XOR parity is its own inverse: XOR-ing the survivors with the parity yields the missing block. It tolerates exactly one loss.</w:t>
      </w:r>
    </w:p>
    <w:p>
      <w:pPr>
        <w:numPr>
          <w:ilvl w:val="0"/>
          <w:numId w:val="1515"/>
        </w:numPr>
        <w:pStyle w:val="Compact"/>
      </w:pPr>
      <w:r>
        <w:rPr>
          <w:rStyle w:val="VerbatimChar"/>
        </w:rPr>
        <w:t xml:space="preserve">rs_encode</w:t>
      </w:r>
      <w:r>
        <w:t xml:space="preserve"> </w:t>
      </w:r>
      <w:r>
        <w:t xml:space="preserve">keeps the data unchanged (systematic) and appends parity, so healthy reads never decode.</w:t>
      </w:r>
    </w:p>
    <w:p>
      <w:pPr>
        <w:numPr>
          <w:ilvl w:val="0"/>
          <w:numId w:val="1515"/>
        </w:numPr>
        <w:pStyle w:val="Compact"/>
      </w:pPr>
      <w:r>
        <w:t xml:space="preserve">The RS(4,2) loop tries all</w:t>
      </w:r>
      <w:r>
        <w:t xml:space="preserve"> </w:t>
      </w:r>
      <m:oMath>
        <m:d>
          <m:dPr>
            <m:begChr m:val="("/>
            <m:endChr m:val=")"/>
            <m:sepChr m:val=""/>
            <m:grow/>
          </m:dPr>
          <m:e>
            <m:f>
              <m:fPr>
                <m:type m:val="noBar"/>
              </m:fPr>
              <m:num>
                <m:r>
                  <m:t>6</m:t>
                </m:r>
              </m:num>
              <m:den>
                <m:r>
                  <m:t>2</m:t>
                </m:r>
              </m:den>
            </m:f>
          </m:e>
        </m:d>
        <m:r>
          <m:rPr>
            <m:sty m:val="p"/>
          </m:rPr>
          <m:t>=</m:t>
        </m:r>
        <m:r>
          <m:t>15</m:t>
        </m:r>
      </m:oMath>
      <w:r>
        <w:t xml:space="preserve"> </w:t>
      </w:r>
      <w:r>
        <w:t xml:space="preserve">ways to lose two fragments and recovers every time: the MDS property.</w:t>
      </w:r>
    </w:p>
    <w:p>
      <w:pPr>
        <w:numPr>
          <w:ilvl w:val="0"/>
          <w:numId w:val="1515"/>
        </w:numPr>
        <w:pStyle w:val="Compact"/>
      </w:pPr>
      <w:r>
        <w:t xml:space="preserve">Rebuilding any fragment reads</w:t>
      </w:r>
      <w:r>
        <w:t xml:space="preserve"> </w:t>
      </w:r>
      <m:oMath>
        <m:r>
          <m:t>k</m:t>
        </m:r>
      </m:oMath>
      <w:r>
        <w:t xml:space="preserve"> </w:t>
      </w:r>
      <w:r>
        <w:t xml:space="preserve">others; that is the repair-traffic multiplier of the formula above. Real codes apply this per byte position across fragments of many megabytes.</w:t>
      </w:r>
    </w:p>
    <w:bookmarkEnd w:id="1742"/>
    <w:bookmarkEnd w:id="1743"/>
    <w:bookmarkStart w:id="1749" w:name="local-reconstruction-codes"/>
    <w:p>
      <w:pPr>
        <w:pStyle w:val="Heading3"/>
      </w:pPr>
      <w:r>
        <w:t xml:space="preserve">15.6.2 Local reconstruction codes</w:t>
      </w:r>
    </w:p>
    <w:p>
      <w:pPr>
        <w:pStyle w:val="FirstParagraph"/>
      </w:pPr>
      <w:r>
        <w:t xml:space="preserve">Repair cost led Microsoft to design</w:t>
      </w:r>
      <w:r>
        <w:t xml:space="preserve"> </w:t>
      </w:r>
      <w:r>
        <w:rPr>
          <w:bCs/>
          <w:b/>
        </w:rPr>
        <w:t xml:space="preserve">local reconstruction codes (LRC)</w:t>
      </w:r>
      <w:r>
        <w:t xml:space="preserve"> </w:t>
      </w:r>
      <w:r>
        <w:t xml:space="preserve">for Windows Azure Storage. LRC(</w:t>
      </w:r>
      <m:oMath>
        <m:r>
          <m:t>k</m:t>
        </m:r>
      </m:oMath>
      <w:r>
        <w:t xml:space="preserve">,</w:t>
      </w:r>
      <w:r>
        <w:t xml:space="preserve"> </w:t>
      </w:r>
      <m:oMath>
        <m:r>
          <m:t>l</m:t>
        </m:r>
      </m:oMath>
      <w:r>
        <w:t xml:space="preserve">,</w:t>
      </w:r>
      <w:r>
        <w:t xml:space="preserve"> </w:t>
      </w:r>
      <m:oMath>
        <m:r>
          <m:t>g</m:t>
        </m:r>
      </m:oMath>
      <w:r>
        <w:t xml:space="preserve">) splits the</w:t>
      </w:r>
      <w:r>
        <w:t xml:space="preserve"> </w:t>
      </w:r>
      <m:oMath>
        <m:r>
          <m:t>k</m:t>
        </m:r>
      </m:oMath>
      <w:r>
        <w:t xml:space="preserve"> </w:t>
      </w:r>
      <w:r>
        <w:t xml:space="preserve">data fragments into</w:t>
      </w:r>
      <w:r>
        <w:t xml:space="preserve"> </w:t>
      </w:r>
      <m:oMath>
        <m:r>
          <m:t>l</m:t>
        </m:r>
      </m:oMath>
      <w:r>
        <w:t xml:space="preserve"> </w:t>
      </w:r>
      <w:r>
        <w:t xml:space="preserve">local groups, adds one XOR-like</w:t>
      </w:r>
      <w:r>
        <w:t xml:space="preserve"> </w:t>
      </w:r>
      <w:r>
        <w:rPr>
          <w:bCs/>
          <w:b/>
        </w:rPr>
        <w:t xml:space="preserve">local parity</w:t>
      </w:r>
      <w:r>
        <w:t xml:space="preserve"> </w:t>
      </w:r>
      <w:r>
        <w:t xml:space="preserve">per group, and adds</w:t>
      </w:r>
      <w:r>
        <w:t xml:space="preserve"> </w:t>
      </w:r>
      <m:oMath>
        <m:r>
          <m:t>g</m:t>
        </m:r>
      </m:oMath>
      <w:r>
        <w:t xml:space="preserve"> </w:t>
      </w:r>
      <w:r>
        <w:rPr>
          <w:bCs/>
          <w:b/>
        </w:rPr>
        <w:t xml:space="preserve">global parities</w:t>
      </w:r>
      <w:r>
        <w:t xml:space="preserve"> </w:t>
      </w:r>
      <w:r>
        <w:t xml:space="preserve">computed over all data. A single lost data fragment, by far the most common case, is rebuilt from its local group only. Azure’s LRC(12,2,2) uses two groups of six: overhead</w:t>
      </w:r>
      <w:r>
        <w:t xml:space="preserve"> </w:t>
      </w:r>
      <m:oMath>
        <m:r>
          <m:t>16</m:t>
        </m:r>
        <m:r>
          <m:rPr>
            <m:sty m:val="p"/>
          </m:rPr>
          <m:t>/</m:t>
        </m:r>
        <m:r>
          <m:t>12</m:t>
        </m:r>
        <m:r>
          <m:rPr>
            <m:sty m:val="p"/>
          </m:rPr>
          <m:t>=</m:t>
        </m:r>
        <m:r>
          <m:t>1.33</m:t>
        </m:r>
        <m:r>
          <m:rPr>
            <m:sty m:val="p"/>
          </m:rPr>
          <m:t>×</m:t>
        </m:r>
      </m:oMath>
      <w:r>
        <w:t xml:space="preserve">, a single-fragment repair reads 6 fragments instead of 12, it tolerates any three failures, and it also survives a large fraction of four-failure patterns [Huang et al. 2012]. Compared with RS(6,3), which also reads 6 fragments per repair, LRC(12,2,2) stores less (1.33× against 1.5×) with similar durability.</w:t>
      </w:r>
    </w:p>
    <w:p>
      <w:pPr>
        <w:pStyle w:val="BodyText"/>
      </w:pPr>
      <w:r>
        <w:rPr>
          <w:bCs/>
          <w:b/>
        </w:rPr>
        <w:t xml:space="preserve">Figure 15.7 — Azure-style LRC(12,2,2) stripe.</w:t>
      </w:r>
    </w:p>
    <w:p>
      <w:pPr>
        <w:pStyle w:val="BodyText"/>
      </w:pPr>
      <w:r>
        <w:drawing>
          <wp:inline>
            <wp:extent cx="5334000" cy="2201471"/>
            <wp:effectExtent b="0" l="0" r="0" t="0"/>
            <wp:docPr descr="" title="" id="1745" name="Picture"/>
            <a:graphic>
              <a:graphicData uri="http://schemas.openxmlformats.org/drawingml/2006/picture">
                <pic:pic>
                  <pic:nvPicPr>
                    <pic:cNvPr descr="/home/user/System-Design/build/.cache/diagrams/8ac8a667de36.png" id="1746" name="Picture"/>
                    <pic:cNvPicPr>
                      <a:picLocks noChangeArrowheads="1" noChangeAspect="1"/>
                    </pic:cNvPicPr>
                  </pic:nvPicPr>
                  <pic:blipFill>
                    <a:blip r:embed="rId1744"/>
                    <a:stretch>
                      <a:fillRect/>
                    </a:stretch>
                  </pic:blipFill>
                  <pic:spPr bwMode="auto">
                    <a:xfrm>
                      <a:off x="0" y="0"/>
                      <a:ext cx="5334000" cy="2201471"/>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Twelve data fragments form two</w:t>
      </w:r>
      <w:r>
        <w:t xml:space="preserve"> </w:t>
      </w:r>
      <w:r>
        <w:rPr>
          <w:iCs/>
          <w:i/>
        </w:rPr>
        <w:t xml:space="preserve">local groups</w:t>
      </w:r>
      <w:r>
        <w:t xml:space="preserve"> </w:t>
      </w:r>
      <w:r>
        <w:t xml:space="preserve">of six. Each group has its own</w:t>
      </w:r>
      <w:r>
        <w:t xml:space="preserve"> </w:t>
      </w:r>
      <w:r>
        <w:rPr>
          <w:iCs/>
          <w:i/>
        </w:rPr>
        <w:t xml:space="preserve">local parity</w:t>
      </w:r>
      <w:r>
        <w:t xml:space="preserve">, computed only from that group; the two</w:t>
      </w:r>
      <w:r>
        <w:t xml:space="preserve"> </w:t>
      </w:r>
      <w:r>
        <w:rPr>
          <w:iCs/>
          <w:i/>
        </w:rPr>
        <w:t xml:space="preserve">global parities</w:t>
      </w:r>
      <w:r>
        <w:t xml:space="preserve"> </w:t>
      </w:r>
      <w:r>
        <w:t xml:space="preserve">are computed from all twelve. Arrows are write-time dependencies; all sixteen fragments sit in different failure domains. Failure points and recovery: if</w:t>
      </w:r>
      <w:r>
        <w:t xml:space="preserve"> </w:t>
      </w:r>
      <w:r>
        <w:rPr>
          <w:rStyle w:val="VerbatimChar"/>
        </w:rPr>
        <w:t xml:space="preserve">x3</w:t>
      </w:r>
      <w:r>
        <w:t xml:space="preserve"> </w:t>
      </w:r>
      <w:r>
        <w:t xml:space="preserve">fails, the system reads</w:t>
      </w:r>
      <w:r>
        <w:t xml:space="preserve"> </w:t>
      </w:r>
      <w:r>
        <w:rPr>
          <w:rStyle w:val="VerbatimChar"/>
        </w:rPr>
        <w:t xml:space="preserve">x1</w:t>
      </w:r>
      <w:r>
        <w:t xml:space="preserve">,</w:t>
      </w:r>
      <w:r>
        <w:t xml:space="preserve"> </w:t>
      </w:r>
      <w:r>
        <w:rPr>
          <w:rStyle w:val="VerbatimChar"/>
        </w:rPr>
        <w:t xml:space="preserve">x2</w:t>
      </w:r>
      <w:r>
        <w:t xml:space="preserve">,</w:t>
      </w:r>
      <w:r>
        <w:t xml:space="preserve"> </w:t>
      </w:r>
      <w:r>
        <w:rPr>
          <w:rStyle w:val="VerbatimChar"/>
        </w:rPr>
        <w:t xml:space="preserve">x4</w:t>
      </w:r>
      <w:r>
        <w:t xml:space="preserve">,</w:t>
      </w:r>
      <w:r>
        <w:t xml:space="preserve"> </w:t>
      </w:r>
      <w:r>
        <w:rPr>
          <w:rStyle w:val="VerbatimChar"/>
        </w:rPr>
        <w:t xml:space="preserve">x5</w:t>
      </w:r>
      <w:r>
        <w:t xml:space="preserve">,</w:t>
      </w:r>
      <w:r>
        <w:t xml:space="preserve"> </w:t>
      </w:r>
      <w:r>
        <w:rPr>
          <w:rStyle w:val="VerbatimChar"/>
        </w:rPr>
        <w:t xml:space="preserve">x6</w:t>
      </w:r>
      <w:r>
        <w:t xml:space="preserve"> </w:t>
      </w:r>
      <w:r>
        <w:t xml:space="preserve">and</w:t>
      </w:r>
      <w:r>
        <w:t xml:space="preserve"> </w:t>
      </w:r>
      <w:r>
        <w:rPr>
          <w:rStyle w:val="VerbatimChar"/>
        </w:rPr>
        <w:t xml:space="preserve">px</w:t>
      </w:r>
      <w:r>
        <w:t xml:space="preserve"> </w:t>
      </w:r>
      <w:r>
        <w:t xml:space="preserve">(six fragments) and never touches group 2; only rarer multi-failure patterns need the global parities and wider reads. Scaling: smaller repair reads mean less cross-rack traffic and faster repair, which also shrinks</w:t>
      </w:r>
      <w:r>
        <w:t xml:space="preserve"> </w:t>
      </w:r>
      <m:oMath>
        <m:r>
          <m:t>T</m:t>
        </m:r>
      </m:oMath>
      <w:r>
        <w:t xml:space="preserve"> </w:t>
      </w:r>
      <w:r>
        <w:t xml:space="preserve">in the durability formula.</w:t>
      </w:r>
    </w:p>
    <w:p>
      <w:pPr>
        <w:pStyle w:val="BodyText"/>
      </w:pPr>
      <w:r>
        <w:rPr>
          <w:bCs/>
          <w:b/>
        </w:rPr>
        <w:t xml:space="preserve">Table 15.3 — Redundancy schemes compared (independent failures, AFR 2%,</w:t>
      </w:r>
      <w:r>
        <w:rPr>
          <w:bCs/>
          <w:b/>
        </w:rPr>
        <w:t xml:space="preserve"> </w:t>
      </w:r>
      <m:oMath>
        <m:r>
          <m:t>T</m:t>
        </m:r>
      </m:oMath>
      <w:r>
        <w:rPr>
          <w:bCs/>
          <w:b/>
        </w:rPr>
        <w:t xml:space="preserve"> </w:t>
      </w:r>
      <w:r>
        <w:rPr>
          <w:bCs/>
          <w:b/>
        </w:rPr>
        <w:t xml:space="preserve">= 24 h).</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Scheme</w:t>
            </w:r>
          </w:p>
        </w:tc>
        <w:tc>
          <w:tcPr/>
          <w:p>
            <w:pPr>
              <w:pStyle w:val="Compact"/>
              <w:jc w:val="left"/>
            </w:pPr>
            <w:r>
              <w:t xml:space="preserve">Overhead</w:t>
            </w:r>
          </w:p>
        </w:tc>
        <w:tc>
          <w:tcPr/>
          <w:p>
            <w:pPr>
              <w:pStyle w:val="Compact"/>
              <w:jc w:val="left"/>
            </w:pPr>
            <w:r>
              <w:t xml:space="preserve">Losses tolerated</w:t>
            </w:r>
          </w:p>
        </w:tc>
        <w:tc>
          <w:tcPr/>
          <w:p>
            <w:pPr>
              <w:pStyle w:val="Compact"/>
              <w:jc w:val="left"/>
            </w:pPr>
            <w:r>
              <w:t xml:space="preserve">Reads per single repair</w:t>
            </w:r>
          </w:p>
        </w:tc>
        <w:tc>
          <w:tcPr/>
          <w:p>
            <w:pPr>
              <w:pStyle w:val="Compact"/>
              <w:jc w:val="left"/>
            </w:pPr>
            <w:r>
              <w:t xml:space="preserve">Approx.</w:t>
            </w:r>
            <w:r>
              <w:t xml:space="preserve"> </w:t>
            </w:r>
            <m:oMath>
              <m:sSub>
                <m:e>
                  <m:r>
                    <m:t>P</m:t>
                  </m:r>
                </m:e>
                <m:sub>
                  <m:r>
                    <m:rPr>
                      <m:nor/>
                      <m:sty m:val="p"/>
                    </m:rPr>
                    <m:t>loss/yr</m:t>
                  </m:r>
                </m:sub>
              </m:sSub>
            </m:oMath>
            <w:r>
              <w:t xml:space="preserve"> </w:t>
            </w:r>
            <w:r>
              <w:t xml:space="preserve">per group</w:t>
            </w:r>
          </w:p>
        </w:tc>
        <w:tc>
          <w:tcPr/>
          <w:p>
            <w:pPr>
              <w:pStyle w:val="Compact"/>
              <w:jc w:val="left"/>
            </w:pPr>
            <w:r>
              <w:t xml:space="preserve">Typical use</w:t>
            </w:r>
          </w:p>
        </w:tc>
      </w:tr>
      <w:tr>
        <w:tc>
          <w:tcPr/>
          <w:p>
            <w:pPr>
              <w:pStyle w:val="Compact"/>
              <w:jc w:val="left"/>
            </w:pPr>
            <w:r>
              <w:t xml:space="preserve">3× replication</w:t>
            </w:r>
          </w:p>
        </w:tc>
        <w:tc>
          <w:tcPr/>
          <w:p>
            <w:pPr>
              <w:pStyle w:val="Compact"/>
              <w:jc w:val="left"/>
            </w:pPr>
            <w:r>
              <w:t xml:space="preserve">3.0×</w:t>
            </w:r>
          </w:p>
        </w:tc>
        <w:tc>
          <w:tcPr/>
          <w:p>
            <w:pPr>
              <w:pStyle w:val="Compact"/>
              <w:jc w:val="left"/>
            </w:pPr>
            <w:r>
              <w:t xml:space="preserve">2</w:t>
            </w:r>
          </w:p>
        </w:tc>
        <w:tc>
          <w:tcPr/>
          <w:p>
            <w:pPr>
              <w:pStyle w:val="Compact"/>
              <w:jc w:val="left"/>
            </w:pPr>
            <w:r>
              <w:t xml:space="preserve">1</w:t>
            </w:r>
          </w:p>
        </w:tc>
        <w:tc>
          <w:tcPr/>
          <w:p>
            <w:pPr>
              <w:pStyle w:val="Compact"/>
              <w:jc w:val="left"/>
            </w:pPr>
            <m:oMath>
              <m:r>
                <m:t>3.6</m:t>
              </m:r>
              <m:r>
                <m:rPr>
                  <m:sty m:val="p"/>
                </m:rPr>
                <m:t>×</m:t>
              </m:r>
              <m:sSup>
                <m:e>
                  <m:r>
                    <m:t>10</m:t>
                  </m:r>
                </m:e>
                <m:sup>
                  <m:r>
                    <m:rPr>
                      <m:sty m:val="p"/>
                    </m:rPr>
                    <m:t>−</m:t>
                  </m:r>
                  <m:r>
                    <m:t>10</m:t>
                  </m:r>
                </m:sup>
              </m:sSup>
            </m:oMath>
          </w:p>
        </w:tc>
        <w:tc>
          <w:tcPr/>
          <w:p>
            <w:pPr>
              <w:pStyle w:val="Compact"/>
              <w:jc w:val="left"/>
            </w:pPr>
            <w:r>
              <w:t xml:space="preserve">Hot data, small objects, metadata</w:t>
            </w:r>
          </w:p>
        </w:tc>
      </w:tr>
      <w:tr>
        <w:tc>
          <w:tcPr/>
          <w:p>
            <w:pPr>
              <w:pStyle w:val="Compact"/>
              <w:jc w:val="left"/>
            </w:pPr>
            <w:r>
              <w:t xml:space="preserve">RS(6,3)</w:t>
            </w:r>
          </w:p>
        </w:tc>
        <w:tc>
          <w:tcPr/>
          <w:p>
            <w:pPr>
              <w:pStyle w:val="Compact"/>
              <w:jc w:val="left"/>
            </w:pPr>
            <w:r>
              <w:t xml:space="preserve">1.5×</w:t>
            </w:r>
          </w:p>
        </w:tc>
        <w:tc>
          <w:tcPr/>
          <w:p>
            <w:pPr>
              <w:pStyle w:val="Compact"/>
              <w:jc w:val="left"/>
            </w:pPr>
            <w:r>
              <w:t xml:space="preserve">3</w:t>
            </w:r>
          </w:p>
        </w:tc>
        <w:tc>
          <w:tcPr/>
          <w:p>
            <w:pPr>
              <w:pStyle w:val="Compact"/>
              <w:jc w:val="left"/>
            </w:pPr>
            <w:r>
              <w:t xml:space="preserve">6</w:t>
            </w:r>
          </w:p>
        </w:tc>
        <w:tc>
          <w:tcPr/>
          <w:p>
            <w:pPr>
              <w:pStyle w:val="Compact"/>
              <w:jc w:val="left"/>
            </w:pPr>
            <m:oMath>
              <m:r>
                <m:t>1.0</m:t>
              </m:r>
              <m:r>
                <m:rPr>
                  <m:sty m:val="p"/>
                </m:rPr>
                <m:t>×</m:t>
              </m:r>
              <m:sSup>
                <m:e>
                  <m:r>
                    <m:t>10</m:t>
                  </m:r>
                </m:e>
                <m:sup>
                  <m:r>
                    <m:rPr>
                      <m:sty m:val="p"/>
                    </m:rPr>
                    <m:t>−</m:t>
                  </m:r>
                  <m:r>
                    <m:t>11</m:t>
                  </m:r>
                </m:sup>
              </m:sSup>
            </m:oMath>
          </w:p>
        </w:tc>
        <w:tc>
          <w:tcPr/>
          <w:p>
            <w:pPr>
              <w:pStyle w:val="Compact"/>
              <w:jc w:val="left"/>
            </w:pPr>
            <w:r>
              <w:t xml:space="preserve">HDFS default EC policy (RS-6-3)</w:t>
            </w:r>
          </w:p>
        </w:tc>
      </w:tr>
      <w:tr>
        <w:tc>
          <w:tcPr/>
          <w:p>
            <w:pPr>
              <w:pStyle w:val="Compact"/>
              <w:jc w:val="left"/>
            </w:pPr>
            <w:r>
              <w:t xml:space="preserve">LRC(12,2,2)</w:t>
            </w:r>
          </w:p>
        </w:tc>
        <w:tc>
          <w:tcPr/>
          <w:p>
            <w:pPr>
              <w:pStyle w:val="Compact"/>
              <w:jc w:val="left"/>
            </w:pPr>
            <w:r>
              <w:t xml:space="preserve">1.33×</w:t>
            </w:r>
          </w:p>
        </w:tc>
        <w:tc>
          <w:tcPr/>
          <w:p>
            <w:pPr>
              <w:pStyle w:val="Compact"/>
              <w:jc w:val="left"/>
            </w:pPr>
            <w:r>
              <w:t xml:space="preserve">any 3 (some 4)</w:t>
            </w:r>
          </w:p>
        </w:tc>
        <w:tc>
          <w:tcPr/>
          <w:p>
            <w:pPr>
              <w:pStyle w:val="Compact"/>
              <w:jc w:val="left"/>
            </w:pPr>
            <w:r>
              <w:t xml:space="preserve">6</w:t>
            </w:r>
          </w:p>
        </w:tc>
        <w:tc>
          <w:tcPr/>
          <w:p>
            <w:pPr>
              <w:pStyle w:val="Compact"/>
              <w:jc w:val="left"/>
            </w:pPr>
            <m:oMath>
              <m:r>
                <m:rPr>
                  <m:sty m:val="p"/>
                </m:rPr>
                <m:t>≤</m:t>
              </m:r>
              <m:r>
                <m:t>1.4</m:t>
              </m:r>
              <m:r>
                <m:rPr>
                  <m:sty m:val="p"/>
                </m:rPr>
                <m:t>×</m:t>
              </m:r>
              <m:sSup>
                <m:e>
                  <m:r>
                    <m:t>10</m:t>
                  </m:r>
                </m:e>
                <m:sup>
                  <m:r>
                    <m:rPr>
                      <m:sty m:val="p"/>
                    </m:rPr>
                    <m:t>−</m:t>
                  </m:r>
                  <m:r>
                    <m:t>10</m:t>
                  </m:r>
                </m:sup>
              </m:sSup>
            </m:oMath>
            <w:r>
              <w:t xml:space="preserve"> </w:t>
            </w:r>
            <w:r>
              <w:t xml:space="preserve">(counting only 3-loss tolerance)</w:t>
            </w:r>
          </w:p>
        </w:tc>
        <w:tc>
          <w:tcPr/>
          <w:p>
            <w:pPr>
              <w:pStyle w:val="Compact"/>
              <w:jc w:val="left"/>
            </w:pPr>
            <w:r>
              <w:t xml:space="preserve">Azure storage</w:t>
            </w:r>
          </w:p>
        </w:tc>
      </w:tr>
      <w:tr>
        <w:tc>
          <w:tcPr/>
          <w:p>
            <w:pPr>
              <w:pStyle w:val="Compact"/>
              <w:jc w:val="left"/>
            </w:pPr>
            <w:r>
              <w:t xml:space="preserve">RS(10,4)</w:t>
            </w:r>
          </w:p>
        </w:tc>
        <w:tc>
          <w:tcPr/>
          <w:p>
            <w:pPr>
              <w:pStyle w:val="Compact"/>
              <w:jc w:val="left"/>
            </w:pPr>
            <w:r>
              <w:t xml:space="preserve">1.4×</w:t>
            </w:r>
          </w:p>
        </w:tc>
        <w:tc>
          <w:tcPr/>
          <w:p>
            <w:pPr>
              <w:pStyle w:val="Compact"/>
              <w:jc w:val="left"/>
            </w:pPr>
            <w:r>
              <w:t xml:space="preserve">4</w:t>
            </w:r>
          </w:p>
        </w:tc>
        <w:tc>
          <w:tcPr/>
          <w:p>
            <w:pPr>
              <w:pStyle w:val="Compact"/>
              <w:jc w:val="left"/>
            </w:pPr>
            <w:r>
              <w:t xml:space="preserve">10</w:t>
            </w:r>
          </w:p>
        </w:tc>
        <w:tc>
          <w:tcPr/>
          <w:p>
            <w:pPr>
              <w:pStyle w:val="Compact"/>
              <w:jc w:val="left"/>
            </w:pPr>
            <m:oMath>
              <m:r>
                <m:t>4.3</m:t>
              </m:r>
              <m:r>
                <m:rPr>
                  <m:sty m:val="p"/>
                </m:rPr>
                <m:t>×</m:t>
              </m:r>
              <m:sSup>
                <m:e>
                  <m:r>
                    <m:t>10</m:t>
                  </m:r>
                </m:e>
                <m:sup>
                  <m:r>
                    <m:rPr>
                      <m:sty m:val="p"/>
                    </m:rPr>
                    <m:t>−</m:t>
                  </m:r>
                  <m:r>
                    <m:t>14</m:t>
                  </m:r>
                </m:sup>
              </m:sSup>
            </m:oMath>
          </w:p>
        </w:tc>
        <w:tc>
          <w:tcPr/>
          <w:p>
            <w:pPr>
              <w:pStyle w:val="Compact"/>
              <w:jc w:val="left"/>
            </w:pPr>
            <w:r>
              <w:t xml:space="preserve">f4; HDFS-RAID [Sathiamoorthy et al. 2013]</w:t>
            </w:r>
          </w:p>
        </w:tc>
      </w:tr>
    </w:tbl>
    <w:bookmarkStart w:id="1747" w:name="alternatives-and-trade-offs-8"/>
    <w:p>
      <w:pPr>
        <w:pStyle w:val="Heading4"/>
      </w:pPr>
      <w:r>
        <w:t xml:space="preserve">Alternatives and trade-offs</w:t>
      </w:r>
    </w:p>
    <w:p>
      <w:pPr>
        <w:pStyle w:val="FirstParagraph"/>
      </w:pPr>
      <w:r>
        <w:t xml:space="preserve">Replication wins for small objects (a 4 KB object should not become ten 400-byte fragments), hot data and low write latency. Erasure coding wins for large, warm and cold data. Many systems use both: write new data replicated (fast, simple), then</w:t>
      </w:r>
      <w:r>
        <w:t xml:space="preserve"> </w:t>
      </w:r>
      <w:r>
        <w:rPr>
          <w:bCs/>
          <w:b/>
        </w:rPr>
        <w:t xml:space="preserve">re-encode</w:t>
      </w:r>
      <w:r>
        <w:t xml:space="preserve"> </w:t>
      </w:r>
      <w:r>
        <w:t xml:space="preserve">it asynchronously once it is sealed or cold, as Azure does for sealed extents and as Tectonic does for blob storage [Huang et al. 2012; Pan et al. 2021].</w:t>
      </w:r>
    </w:p>
    <w:bookmarkEnd w:id="1747"/>
    <w:bookmarkStart w:id="1748" w:name="failure-scenarios-44"/>
    <w:p>
      <w:pPr>
        <w:pStyle w:val="Heading4"/>
      </w:pPr>
      <w:r>
        <w:t xml:space="preserve">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Repair saturates the network</w:t>
            </w:r>
          </w:p>
        </w:tc>
        <w:tc>
          <w:tcPr/>
          <w:p>
            <w:pPr>
              <w:pStyle w:val="Compact"/>
              <w:jc w:val="left"/>
            </w:pPr>
            <m:oMath>
              <m:r>
                <m:t>k</m:t>
              </m:r>
            </m:oMath>
            <w:r>
              <w:t xml:space="preserve">-fold repair reads after a rack failure</w:t>
            </w:r>
          </w:p>
        </w:tc>
        <w:tc>
          <w:tcPr/>
          <w:p>
            <w:pPr>
              <w:pStyle w:val="Compact"/>
              <w:jc w:val="left"/>
            </w:pPr>
            <w:r>
              <w:t xml:space="preserve">Cross-rack link utilization, repair queue depth</w:t>
            </w:r>
          </w:p>
        </w:tc>
        <w:tc>
          <w:tcPr/>
          <w:p>
            <w:pPr>
              <w:pStyle w:val="Compact"/>
              <w:jc w:val="left"/>
            </w:pPr>
            <w:r>
              <w:t xml:space="preserve">Throttle and prioritize stripes with the fewest survivors</w:t>
            </w:r>
          </w:p>
        </w:tc>
        <w:tc>
          <w:tcPr/>
          <w:p>
            <w:pPr>
              <w:pStyle w:val="Compact"/>
              <w:jc w:val="left"/>
            </w:pPr>
            <w:r>
              <w:t xml:space="preserve">LRC or smaller</w:t>
            </w:r>
            <w:r>
              <w:t xml:space="preserve"> </w:t>
            </w:r>
            <m:oMath>
              <m:r>
                <m:t>k</m:t>
              </m:r>
            </m:oMath>
            <w:r>
              <w:t xml:space="preserve">; repair bandwidth budget</w:t>
            </w:r>
          </w:p>
        </w:tc>
      </w:tr>
      <w:tr>
        <w:tc>
          <w:tcPr/>
          <w:p>
            <w:pPr>
              <w:pStyle w:val="Compact"/>
              <w:jc w:val="left"/>
            </w:pPr>
            <w:r>
              <w:t xml:space="preserve">Too many fragments in one domain</w:t>
            </w:r>
          </w:p>
        </w:tc>
        <w:tc>
          <w:tcPr/>
          <w:p>
            <w:pPr>
              <w:pStyle w:val="Compact"/>
              <w:jc w:val="left"/>
            </w:pPr>
            <w:r>
              <w:t xml:space="preserve">Placement ignores racks or zones</w:t>
            </w:r>
          </w:p>
        </w:tc>
        <w:tc>
          <w:tcPr/>
          <w:p>
            <w:pPr>
              <w:pStyle w:val="Compact"/>
              <w:jc w:val="left"/>
            </w:pPr>
            <w:r>
              <w:t xml:space="preserve">Placement audit</w:t>
            </w:r>
          </w:p>
        </w:tc>
        <w:tc>
          <w:tcPr/>
          <w:p>
            <w:pPr>
              <w:pStyle w:val="Compact"/>
              <w:jc w:val="left"/>
            </w:pPr>
            <w:r>
              <w:t xml:space="preserve">Migrate fragments</w:t>
            </w:r>
          </w:p>
        </w:tc>
        <w:tc>
          <w:tcPr/>
          <w:p>
            <w:pPr>
              <w:pStyle w:val="Compact"/>
              <w:jc w:val="left"/>
            </w:pPr>
            <w:r>
              <w:t xml:space="preserve">Placement constraint: at most</w:t>
            </w:r>
            <w:r>
              <w:t xml:space="preserve"> </w:t>
            </w:r>
            <m:oMath>
              <m:r>
                <m:t>m</m:t>
              </m:r>
            </m:oMath>
            <w:r>
              <w:t xml:space="preserve"> </w:t>
            </w:r>
            <w:r>
              <w:t xml:space="preserve">per failure domain, ideally fewer</w:t>
            </w:r>
          </w:p>
        </w:tc>
      </w:tr>
    </w:tbl>
    <w:p>
      <w:pPr>
        <w:pStyle w:val="CalloutMistake"/>
      </w:pPr>
      <w:r>
        <w:rPr>
          <w:bCs/>
          <w:b/>
        </w:rPr>
        <w:t xml:space="preserve">COMMON MISTAKE</w:t>
      </w:r>
    </w:p>
    <w:p>
      <w:pPr>
        <w:pStyle w:val="CalloutMistake"/>
      </w:pPr>
      <w:r>
        <w:rPr>
          <w:bCs/>
          <w:b/>
        </w:rPr>
        <w:t xml:space="preserve">“</w:t>
      </w:r>
      <w:r>
        <w:rPr>
          <w:bCs/>
          <w:b/>
        </w:rPr>
        <w:t xml:space="preserve">RS(10,4) means 4 out of 10 can fail.</w:t>
      </w:r>
      <w:r>
        <w:rPr>
          <w:bCs/>
          <w:b/>
        </w:rPr>
        <w:t xml:space="preserve">”</w:t>
      </w:r>
      <w:r>
        <w:t xml:space="preserve"> </w:t>
      </w:r>
      <w:r>
        <w:t xml:space="preserve">It means 4 out of 14 fragments can fail, any 4, data or parity. And it does not mean</w:t>
      </w:r>
      <w:r>
        <w:t xml:space="preserve"> </w:t>
      </w:r>
      <w:r>
        <w:t xml:space="preserve">“</w:t>
      </w:r>
      <w:r>
        <w:t xml:space="preserve">40% overhead buys 4 failures</w:t>
      </w:r>
      <w:r>
        <w:t xml:space="preserve">”</w:t>
      </w:r>
      <w:r>
        <w:t xml:space="preserve"> </w:t>
      </w:r>
      <w:r>
        <w:t xml:space="preserve">for free: every single repair reads 10 fragments.</w:t>
      </w:r>
    </w:p>
    <w:bookmarkEnd w:id="1748"/>
    <w:bookmarkEnd w:id="1749"/>
    <w:bookmarkEnd w:id="1750"/>
    <w:bookmarkStart w:id="1758" w:name="metadata-services"/>
    <w:p>
      <w:pPr>
        <w:pStyle w:val="Heading2"/>
      </w:pPr>
      <w:r>
        <w:t xml:space="preserve">15.7 Metadata services</w:t>
      </w:r>
    </w:p>
    <w:bookmarkStart w:id="1757" w:name="scaling-the-namespace"/>
    <w:p>
      <w:pPr>
        <w:pStyle w:val="Heading3"/>
      </w:pPr>
      <w:r>
        <w:t xml:space="preserve">15.7.1 Scaling the namespace</w:t>
      </w:r>
    </w:p>
    <w:p>
      <w:pPr>
        <w:pStyle w:val="CalloutDefinition"/>
      </w:pPr>
      <w:r>
        <w:rPr>
          <w:bCs/>
          <w:b/>
        </w:rPr>
        <w:t xml:space="preserve">DEFINITION</w:t>
      </w:r>
    </w:p>
    <w:p>
      <w:pPr>
        <w:pStyle w:val="CalloutDefinition"/>
      </w:pPr>
      <w:r>
        <w:rPr>
          <w:bCs/>
          <w:b/>
        </w:rPr>
        <w:t xml:space="preserve">Definition — Metadata service.</w:t>
      </w:r>
      <w:r>
        <w:t xml:space="preserve"> </w:t>
      </w:r>
      <w:r>
        <w:t xml:space="preserve">The component that maps names to data: directory entries, file or object attributes (size, owner, permissions, version, checksum) and the locations of each chunk or fragment. It is on the path of every open, create, list and delete, while the data path bypasses it.</w:t>
      </w:r>
    </w:p>
    <w:bookmarkStart w:id="1751" w:name="first-principles-explanation-99"/>
    <w:p>
      <w:pPr>
        <w:pStyle w:val="Heading4"/>
      </w:pPr>
      <w:r>
        <w:t xml:space="preserve">First-principles explanation</w:t>
      </w:r>
    </w:p>
    <w:p>
      <w:pPr>
        <w:pStyle w:val="FirstParagraph"/>
      </w:pPr>
      <w:r>
        <w:t xml:space="preserve">Return to the library. Adding shelves is easy; the catalog is the hard part, because every reader consults it and every new book changes it. Data scales by adding disks; metadata scales only if the catalog itself can be split without breaking operations that span several entries, such as moving a directory.</w:t>
      </w:r>
    </w:p>
    <w:bookmarkEnd w:id="1751"/>
    <w:bookmarkStart w:id="1755" w:name="how-it-works-internally-64"/>
    <w:p>
      <w:pPr>
        <w:pStyle w:val="Heading4"/>
      </w:pPr>
      <w:r>
        <w:t xml:space="preserve">How it works internally</w:t>
      </w:r>
    </w:p>
    <w:p>
      <w:pPr>
        <w:pStyle w:val="FirstParagraph"/>
      </w:pPr>
      <w:r>
        <w:t xml:space="preserve">Five techniques recur, usually in combination:</w:t>
      </w:r>
    </w:p>
    <w:p>
      <w:pPr>
        <w:numPr>
          <w:ilvl w:val="0"/>
          <w:numId w:val="1516"/>
        </w:numPr>
        <w:pStyle w:val="Compact"/>
      </w:pPr>
      <w:r>
        <w:rPr>
          <w:bCs/>
          <w:b/>
        </w:rPr>
        <w:t xml:space="preserve">One in-memory server plus a replicated log</w:t>
      </w:r>
      <w:r>
        <w:t xml:space="preserve"> </w:t>
      </w:r>
      <w:r>
        <w:t xml:space="preserve">(GFS, HDFS): simple and fast, limited by RAM and request rate (§15.5 example).</w:t>
      </w:r>
    </w:p>
    <w:p>
      <w:pPr>
        <w:numPr>
          <w:ilvl w:val="0"/>
          <w:numId w:val="1516"/>
        </w:numPr>
        <w:pStyle w:val="Compact"/>
      </w:pPr>
      <w:r>
        <w:rPr>
          <w:bCs/>
          <w:b/>
        </w:rPr>
        <w:t xml:space="preserve">Static namespace partitioning</w:t>
      </w:r>
      <w:r>
        <w:t xml:space="preserve">: several independent NameNodes or file systems under one tree (HDFS federation); cross-volume rename becomes a copy and load is balanced by hand.</w:t>
      </w:r>
    </w:p>
    <w:p>
      <w:pPr>
        <w:numPr>
          <w:ilvl w:val="0"/>
          <w:numId w:val="1516"/>
        </w:numPr>
        <w:pStyle w:val="Compact"/>
      </w:pPr>
      <w:r>
        <w:rPr>
          <w:bCs/>
          <w:b/>
        </w:rPr>
        <w:t xml:space="preserve">Dynamic subtree partitioning</w:t>
      </w:r>
      <w:r>
        <w:t xml:space="preserve">: Ceph’s metadata servers migrate hot directory subtrees between servers as load shifts [Weil et al. 2006].</w:t>
      </w:r>
    </w:p>
    <w:p>
      <w:pPr>
        <w:numPr>
          <w:ilvl w:val="0"/>
          <w:numId w:val="1516"/>
        </w:numPr>
        <w:pStyle w:val="Compact"/>
      </w:pPr>
      <w:r>
        <w:rPr>
          <w:bCs/>
          <w:b/>
        </w:rPr>
        <w:t xml:space="preserve">Hash partitioning in a scalable database</w:t>
      </w:r>
      <w:r>
        <w:t xml:space="preserve">: entries keyed by (parent-directory ID, name) and (file ID, block index) in a sharded store, as in Tectonic (ZippyDB) and Colossus (Bigtable). Listing a directory stays on one shard; cross-shard operations such as directory rename need distributed transactions (Chapter 28) or are restricted.</w:t>
      </w:r>
    </w:p>
    <w:p>
      <w:pPr>
        <w:numPr>
          <w:ilvl w:val="0"/>
          <w:numId w:val="1516"/>
        </w:numPr>
        <w:pStyle w:val="Compact"/>
      </w:pPr>
      <w:r>
        <w:rPr>
          <w:bCs/>
          <w:b/>
        </w:rPr>
        <w:t xml:space="preserve">Compute placement instead of storing it</w:t>
      </w:r>
      <w:r>
        <w:t xml:space="preserve">: Ceph’s CRUSH function derives an object’s storage nodes from its name and the cluster map, the same idea as consistent hashing (§14.8), so the metadata service need not store per-object locations at all [Weil et al. 2006].</w:t>
      </w:r>
    </w:p>
    <w:p>
      <w:pPr>
        <w:pStyle w:val="FirstParagraph"/>
      </w:pPr>
      <w:r>
        <w:t xml:space="preserve">Object stores avoid the hardest part, directory semantics, by having a flat namespace partitioned by key range (§15.4).</w:t>
      </w:r>
    </w:p>
    <w:p>
      <w:pPr>
        <w:pStyle w:val="BodyText"/>
      </w:pPr>
      <w:r>
        <w:rPr>
          <w:bCs/>
          <w:b/>
        </w:rPr>
        <w:t xml:space="preserve">Figure 15.8 — Layered, partitioned file-system metadata (after Tectonic).</w:t>
      </w:r>
    </w:p>
    <w:p>
      <w:pPr>
        <w:pStyle w:val="BodyText"/>
      </w:pPr>
      <w:r>
        <w:drawing>
          <wp:inline>
            <wp:extent cx="5334000" cy="2632895"/>
            <wp:effectExtent b="0" l="0" r="0" t="0"/>
            <wp:docPr descr="" title="" id="1753" name="Picture"/>
            <a:graphic>
              <a:graphicData uri="http://schemas.openxmlformats.org/drawingml/2006/picture">
                <pic:pic>
                  <pic:nvPicPr>
                    <pic:cNvPr descr="/home/user/System-Design/build/.cache/diagrams/d1358d95fd72.png" id="1754" name="Picture"/>
                    <pic:cNvPicPr>
                      <a:picLocks noChangeArrowheads="1" noChangeAspect="1"/>
                    </pic:cNvPicPr>
                  </pic:nvPicPr>
                  <pic:blipFill>
                    <a:blip r:embed="rId1752"/>
                    <a:stretch>
                      <a:fillRect/>
                    </a:stretch>
                  </pic:blipFill>
                  <pic:spPr bwMode="auto">
                    <a:xfrm>
                      <a:off x="0" y="0"/>
                      <a:ext cx="5334000" cy="2632895"/>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w:t>
      </w:r>
      <w:r>
        <w:t xml:space="preserve"> </w:t>
      </w:r>
      <w:r>
        <w:rPr>
          <w:iCs/>
          <w:i/>
        </w:rPr>
        <w:t xml:space="preserve">client library</w:t>
      </w:r>
      <w:r>
        <w:t xml:space="preserve"> </w:t>
      </w:r>
      <w:r>
        <w:t xml:space="preserve">resolves a path through a</w:t>
      </w:r>
      <w:r>
        <w:t xml:space="preserve"> </w:t>
      </w:r>
      <w:r>
        <w:rPr>
          <w:iCs/>
          <w:i/>
        </w:rPr>
        <w:t xml:space="preserve">stateless metadata service</w:t>
      </w:r>
      <w:r>
        <w:t xml:space="preserve">, which reads three layers stored in a sharded key-value store: the</w:t>
      </w:r>
      <w:r>
        <w:t xml:space="preserve"> </w:t>
      </w:r>
      <w:r>
        <w:rPr>
          <w:iCs/>
          <w:i/>
        </w:rPr>
        <w:t xml:space="preserve">Name layer</w:t>
      </w:r>
      <w:r>
        <w:t xml:space="preserve"> </w:t>
      </w:r>
      <w:r>
        <w:t xml:space="preserve">(directory entries, sharded by directory ID), the</w:t>
      </w:r>
      <w:r>
        <w:t xml:space="preserve"> </w:t>
      </w:r>
      <w:r>
        <w:rPr>
          <w:iCs/>
          <w:i/>
        </w:rPr>
        <w:t xml:space="preserve">File layer</w:t>
      </w:r>
      <w:r>
        <w:t xml:space="preserve"> </w:t>
      </w:r>
      <w:r>
        <w:t xml:space="preserve">(file → block list, sharded by file ID) and the</w:t>
      </w:r>
      <w:r>
        <w:t xml:space="preserve"> </w:t>
      </w:r>
      <w:r>
        <w:rPr>
          <w:iCs/>
          <w:i/>
        </w:rPr>
        <w:t xml:space="preserve">Block layer</w:t>
      </w:r>
      <w:r>
        <w:t xml:space="preserve"> </w:t>
      </w:r>
      <w:r>
        <w:t xml:space="preserve">(block → chunk locations, sharded by block ID). All metadata calls are synchronous. Data then flows directly between client and</w:t>
      </w:r>
      <w:r>
        <w:t xml:space="preserve"> </w:t>
      </w:r>
      <w:r>
        <w:rPr>
          <w:iCs/>
          <w:i/>
        </w:rPr>
        <w:t xml:space="preserve">chunk store nodes</w:t>
      </w:r>
      <w:r>
        <w:t xml:space="preserve">. Storage boundary: metadata in the key-value store, bytes on chunk nodes. Failure points: a hot directory concentrates load on one Name-layer shard; a multi-shard operation can fail halfway without transactions. Scaling: each layer scales independently by adding shards, and the metadata service scales by adding stateless instances [Pan et al. 2021].</w:t>
      </w:r>
    </w:p>
    <w:bookmarkEnd w:id="1755"/>
    <w:bookmarkStart w:id="1756" w:name="X5803a29f7f2a74384f5d85b34e5cb3dabe1c576"/>
    <w:p>
      <w:pPr>
        <w:pStyle w:val="Heading4"/>
      </w:pPr>
      <w:r>
        <w:t xml:space="preserve">Advantages, disadvantages and failure scenarios</w:t>
      </w:r>
    </w:p>
    <w:p>
      <w:pPr>
        <w:pStyle w:val="FirstParagraph"/>
      </w:pPr>
      <w:r>
        <w:t xml:space="preserve">Partitioned metadata removes the single-server ceiling but brings back every problem of a partitioned database: hot partitions (one directory receiving millions of creates), cross-partition operations and consistency between layers.</w:t>
      </w:r>
    </w:p>
    <w:p>
      <w:pPr>
        <w:pStyle w:val="CalloutRecommendation"/>
      </w:pPr>
      <w:r>
        <w:rPr>
          <w:bCs/>
          <w:b/>
        </w:rPr>
        <w:t xml:space="preserve">RECOMMENDATION</w:t>
      </w:r>
    </w:p>
    <w:p>
      <w:pPr>
        <w:pStyle w:val="CalloutRecommendation"/>
      </w:pPr>
      <w:r>
        <w:rPr>
          <w:bCs/>
          <w:b/>
        </w:rPr>
        <w:t xml:space="preserve">Design for metadata first.</w:t>
      </w:r>
      <w:r>
        <w:t xml:space="preserve"> </w:t>
      </w:r>
      <w:r>
        <w:t xml:space="preserve">Estimate the number of files or objects and the metadata operations per second before estimating bytes. Prefer fewer, larger objects; avoid huge single directories; and avoid workflows that rename or list large trees.</w:t>
      </w:r>
    </w:p>
    <w:bookmarkEnd w:id="1756"/>
    <w:bookmarkEnd w:id="1757"/>
    <w:bookmarkEnd w:id="1758"/>
    <w:bookmarkStart w:id="1770" w:name="X37d9ecabcfbc72751c9fc071316a3bdb1543539"/>
    <w:p>
      <w:pPr>
        <w:pStyle w:val="Heading2"/>
      </w:pPr>
      <w:r>
        <w:t xml:space="preserve">15.8 Multipart upload, chunking and deduplication</w:t>
      </w:r>
    </w:p>
    <w:bookmarkStart w:id="1764" w:name="multipart-upload"/>
    <w:p>
      <w:pPr>
        <w:pStyle w:val="Heading3"/>
      </w:pPr>
      <w:r>
        <w:t xml:space="preserve">15.8.1 Multipart upload</w:t>
      </w:r>
    </w:p>
    <w:p>
      <w:pPr>
        <w:pStyle w:val="CalloutDefinition"/>
      </w:pPr>
      <w:r>
        <w:rPr>
          <w:bCs/>
          <w:b/>
        </w:rPr>
        <w:t xml:space="preserve">DEFINITION</w:t>
      </w:r>
    </w:p>
    <w:p>
      <w:pPr>
        <w:pStyle w:val="CalloutDefinition"/>
      </w:pPr>
      <w:r>
        <w:rPr>
          <w:bCs/>
          <w:b/>
        </w:rPr>
        <w:t xml:space="preserve">Definition — Multipart upload.</w:t>
      </w:r>
      <w:r>
        <w:t xml:space="preserve"> </w:t>
      </w:r>
      <w:r>
        <w:t xml:space="preserve">A protocol for uploading one large object as independently uploaded</w:t>
      </w:r>
      <w:r>
        <w:t xml:space="preserve"> </w:t>
      </w:r>
      <w:r>
        <w:rPr>
          <w:bCs/>
          <w:b/>
        </w:rPr>
        <w:t xml:space="preserve">parts</w:t>
      </w:r>
      <w:r>
        <w:t xml:space="preserve">: the client</w:t>
      </w:r>
      <w:r>
        <w:t xml:space="preserve"> </w:t>
      </w:r>
      <w:r>
        <w:rPr>
          <w:iCs/>
          <w:i/>
        </w:rPr>
        <w:t xml:space="preserve">initiates</w:t>
      </w:r>
      <w:r>
        <w:t xml:space="preserve"> </w:t>
      </w:r>
      <w:r>
        <w:t xml:space="preserve">an upload and receives an upload ID, uploads numbered parts (in any order, in parallel, retrying any part), then</w:t>
      </w:r>
      <w:r>
        <w:t xml:space="preserve"> </w:t>
      </w:r>
      <w:r>
        <w:rPr>
          <w:iCs/>
          <w:i/>
        </w:rPr>
        <w:t xml:space="preserve">completes</w:t>
      </w:r>
      <w:r>
        <w:t xml:space="preserve"> </w:t>
      </w:r>
      <w:r>
        <w:t xml:space="preserve">the upload with the list of part numbers and their ETags, at which point the store assembles the object atomically. Until completion, or after an</w:t>
      </w:r>
      <w:r>
        <w:t xml:space="preserve"> </w:t>
      </w:r>
      <w:r>
        <w:rPr>
          <w:iCs/>
          <w:i/>
        </w:rPr>
        <w:t xml:space="preserve">abort</w:t>
      </w:r>
      <w:r>
        <w:t xml:space="preserve">, the object is not visible.</w:t>
      </w:r>
    </w:p>
    <w:bookmarkStart w:id="1759" w:name="why-does-this-exist-60"/>
    <w:p>
      <w:pPr>
        <w:pStyle w:val="Heading4"/>
      </w:pPr>
      <w:r>
        <w:t xml:space="preserve">Why does this exist?</w:t>
      </w:r>
    </w:p>
    <w:p>
      <w:pPr>
        <w:pStyle w:val="FirstParagraph"/>
      </w:pPr>
      <w:r>
        <w:t xml:space="preserve">A single 200 GB PUT over one connection at 50 MB/s takes over an hour, and a network blip at 95% forces a restart from zero. Splitting the object makes the upload parallel (faster) and restartable (only the failed part is retried). As of 2026, Amazon S3 documents parts of 5 MiB to 5 GiB (the last part may be smaller), up to 10,000 parts per upload, a maximum single PUT of 5 GB, and a maximum object size of about 50 TB (48.8 TiB, raised from the long-standing 5 TB) [AWS S3 multipart docs].</w:t>
      </w:r>
    </w:p>
    <w:bookmarkEnd w:id="1759"/>
    <w:bookmarkStart w:id="1763" w:name="how-it-works-internally-65"/>
    <w:p>
      <w:pPr>
        <w:pStyle w:val="Heading4"/>
      </w:pPr>
      <w:r>
        <w:t xml:space="preserve">How it works internally</w:t>
      </w:r>
    </w:p>
    <w:p>
      <w:pPr>
        <w:pStyle w:val="FirstParagraph"/>
      </w:pPr>
      <w:r>
        <w:rPr>
          <w:bCs/>
          <w:b/>
        </w:rPr>
        <w:t xml:space="preserve">Figure 15.9 — Multipart upload sequence.</w:t>
      </w:r>
    </w:p>
    <w:p>
      <w:pPr>
        <w:pStyle w:val="BodyText"/>
      </w:pPr>
      <w:r>
        <w:drawing>
          <wp:inline>
            <wp:extent cx="5334000" cy="3998996"/>
            <wp:effectExtent b="0" l="0" r="0" t="0"/>
            <wp:docPr descr="" title="" id="1761" name="Picture"/>
            <a:graphic>
              <a:graphicData uri="http://schemas.openxmlformats.org/drawingml/2006/picture">
                <pic:pic>
                  <pic:nvPicPr>
                    <pic:cNvPr descr="/home/user/System-Design/build/.cache/diagrams/817a0a772b67.png" id="1762" name="Picture"/>
                    <pic:cNvPicPr>
                      <a:picLocks noChangeArrowheads="1" noChangeAspect="1"/>
                    </pic:cNvPicPr>
                  </pic:nvPicPr>
                  <pic:blipFill>
                    <a:blip r:embed="rId1760"/>
                    <a:stretch>
                      <a:fillRect/>
                    </a:stretch>
                  </pic:blipFill>
                  <pic:spPr bwMode="auto">
                    <a:xfrm>
                      <a:off x="0" y="0"/>
                      <a:ext cx="5334000" cy="3998996"/>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w:t>
      </w:r>
      <w:r>
        <w:t xml:space="preserve"> </w:t>
      </w:r>
      <w:r>
        <w:rPr>
          <w:iCs/>
          <w:i/>
        </w:rPr>
        <w:t xml:space="preserve">client</w:t>
      </w:r>
      <w:r>
        <w:t xml:space="preserve"> </w:t>
      </w:r>
      <w:r>
        <w:t xml:space="preserve">initiates an upload and receives an</w:t>
      </w:r>
      <w:r>
        <w:t xml:space="preserve"> </w:t>
      </w:r>
      <w:r>
        <w:rPr>
          <w:rStyle w:val="VerbatimChar"/>
        </w:rPr>
        <w:t xml:space="preserve">uploadId</w:t>
      </w:r>
      <w:r>
        <w:t xml:space="preserve">. It then uploads parts concurrently (the</w:t>
      </w:r>
      <w:r>
        <w:t xml:space="preserve"> </w:t>
      </w:r>
      <w:r>
        <w:rPr>
          <w:rStyle w:val="VerbatimChar"/>
        </w:rPr>
        <w:t xml:space="preserve">par</w:t>
      </w:r>
      <w:r>
        <w:t xml:space="preserve"> </w:t>
      </w:r>
      <w:r>
        <w:t xml:space="preserve">block), each a synchronous HTTP request stored durably on</w:t>
      </w:r>
      <w:r>
        <w:t xml:space="preserve"> </w:t>
      </w:r>
      <w:r>
        <w:rPr>
          <w:iCs/>
          <w:i/>
        </w:rPr>
        <w:t xml:space="preserve">storage nodes</w:t>
      </w:r>
      <w:r>
        <w:t xml:space="preserve"> </w:t>
      </w:r>
      <w:r>
        <w:t xml:space="preserve">and acknowledged with an ETag (a checksum the client keeps). The final</w:t>
      </w:r>
      <w:r>
        <w:t xml:space="preserve"> </w:t>
      </w:r>
      <w:r>
        <w:rPr>
          <w:iCs/>
          <w:i/>
        </w:rPr>
        <w:t xml:space="preserve">Complete</w:t>
      </w:r>
      <w:r>
        <w:t xml:space="preserve"> </w:t>
      </w:r>
      <w:r>
        <w:t xml:space="preserve">request is the commit point: the index records the object as the ordered concatenation of the listed parts, and only then does it become visible. Failure points: a failed part is retried; an upload never completed or aborted leaves billed, invisible parts for a lifecycle rule to delete (§15.9). Scaling: parts upload over many connections and land on many storage nodes, so throughput grows until the client’s NIC saturates.</w:t>
      </w:r>
    </w:p>
    <w:p>
      <w:pPr>
        <w:pStyle w:val="CalloutFormula"/>
      </w:pPr>
      <w:r>
        <w:rPr>
          <w:bCs/>
          <w:b/>
        </w:rPr>
        <w:t xml:space="preserve">FORMULA</w:t>
      </w:r>
    </w:p>
    <w:p>
      <w:pPr>
        <w:pStyle w:val="CalloutFormula"/>
      </w:pPr>
      <w:r>
        <w:rPr>
          <w:bCs/>
          <w:b/>
        </w:rPr>
        <w:t xml:space="preserve">Part sizing and upload time</w:t>
      </w:r>
    </w:p>
    <w:p>
      <w:pPr>
        <w:pStyle w:val="CalloutFormula"/>
      </w:pPr>
      <m:oMathPara>
        <m:oMathParaPr>
          <m:jc m:val="center"/>
        </m:oMathParaPr>
        <m:oMath>
          <m:sSub>
            <m:e>
              <m:r>
                <m:t>p</m:t>
              </m:r>
            </m:e>
            <m:sub>
              <m:r>
                <m:rPr>
                  <m:sty m:val="p"/>
                </m:rPr>
                <m:t>min</m:t>
              </m:r>
            </m:sub>
          </m:sSub>
          <m:r>
            <m:rPr>
              <m:sty m:val="p"/>
            </m:rPr>
            <m:t>=</m:t>
          </m:r>
          <m:r>
            <m:rPr>
              <m:sty m:val="p"/>
            </m:rPr>
            <m:t>max</m:t>
          </m:r>
          <m:r>
            <m:t>​</m:t>
          </m:r>
          <m:d>
            <m:dPr>
              <m:begChr m:val="("/>
              <m:endChr m:val=")"/>
              <m:sepChr m:val=""/>
              <m:grow/>
            </m:dPr>
            <m:e>
              <m:r>
                <m:t>5</m:t>
              </m:r>
              <m:r>
                <m:t> </m:t>
              </m:r>
              <m:r>
                <m:rPr>
                  <m:nor/>
                  <m:sty m:val="p"/>
                </m:rPr>
                <m:t>MiB</m:t>
              </m:r>
              <m:r>
                <m:rPr>
                  <m:sty m:val="p"/>
                </m:rPr>
                <m:t>,</m:t>
              </m:r>
              <m:r>
                <m:t> </m:t>
              </m:r>
              <m:f>
                <m:fPr>
                  <m:type m:val="bar"/>
                </m:fPr>
                <m:num>
                  <m:r>
                    <m:t>S</m:t>
                  </m:r>
                </m:num>
                <m:den>
                  <m:sSub>
                    <m:e>
                      <m:r>
                        <m:t>N</m:t>
                      </m:r>
                    </m:e>
                    <m:sub>
                      <m:r>
                        <m:rPr>
                          <m:sty m:val="p"/>
                        </m:rPr>
                        <m:t>max</m:t>
                      </m:r>
                    </m:sub>
                  </m:sSub>
                </m:den>
              </m:f>
            </m:e>
          </m:d>
          <m:r>
            <m:t>  </m:t>
          </m:r>
          <m:r>
            <m:t>N</m:t>
          </m:r>
          <m:r>
            <m:rPr>
              <m:sty m:val="p"/>
            </m:rPr>
            <m:t>=</m:t>
          </m:r>
          <m:d>
            <m:dPr>
              <m:begChr m:val="⌈"/>
              <m:endChr m:val="⌉"/>
              <m:sepChr m:val=""/>
              <m:grow/>
            </m:dPr>
            <m:e>
              <m:f>
                <m:fPr>
                  <m:type m:val="bar"/>
                </m:fPr>
                <m:num>
                  <m:r>
                    <m:t>S</m:t>
                  </m:r>
                </m:num>
                <m:den>
                  <m:r>
                    <m:t>p</m:t>
                  </m:r>
                </m:den>
              </m:f>
            </m:e>
          </m:d>
          <m:r>
            <m:t>  </m:t>
          </m:r>
          <m:r>
            <m:t>t</m:t>
          </m:r>
          <m:r>
            <m:rPr>
              <m:sty m:val="p"/>
            </m:rPr>
            <m:t>≈</m:t>
          </m:r>
          <m:f>
            <m:fPr>
              <m:type m:val="bar"/>
            </m:fPr>
            <m:num>
              <m:r>
                <m:t>S</m:t>
              </m:r>
            </m:num>
            <m:den>
              <m:r>
                <m:rPr>
                  <m:sty m:val="p"/>
                </m:rPr>
                <m:t>min</m:t>
              </m:r>
              <m:d>
                <m:dPr>
                  <m:begChr m:val="("/>
                  <m:endChr m:val=")"/>
                  <m:sepChr m:val=""/>
                  <m:grow/>
                </m:dPr>
                <m:e>
                  <m:r>
                    <m:t>c</m:t>
                  </m:r>
                  <m:r>
                    <m:rPr>
                      <m:sty m:val="p"/>
                    </m:rPr>
                    <m:t>⋅</m:t>
                  </m:r>
                  <m:r>
                    <m:t>b</m:t>
                  </m:r>
                  <m:r>
                    <m:rPr>
                      <m:sty m:val="p"/>
                    </m:rPr>
                    <m:t>,</m:t>
                  </m:r>
                  <m:r>
                    <m:t> </m:t>
                  </m:r>
                  <m:sSub>
                    <m:e>
                      <m:r>
                        <m:t>B</m:t>
                      </m:r>
                    </m:e>
                    <m:sub>
                      <m:r>
                        <m:rPr>
                          <m:nor/>
                          <m:sty m:val="p"/>
                        </m:rPr>
                        <m:t>NIC</m:t>
                      </m:r>
                    </m:sub>
                  </m:sSub>
                </m:e>
              </m:d>
            </m:den>
          </m:f>
        </m:oMath>
      </m:oMathPara>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S</m:t>
              </m:r>
            </m:oMath>
          </w:p>
        </w:tc>
        <w:tc>
          <w:tcPr/>
          <w:p>
            <w:pPr>
              <w:pStyle w:val="Compact"/>
              <w:jc w:val="left"/>
            </w:pPr>
            <w:r>
              <w:t xml:space="preserve">Object size</w:t>
            </w:r>
          </w:p>
        </w:tc>
        <w:tc>
          <w:tcPr/>
          <w:p>
            <w:pPr>
              <w:pStyle w:val="Compact"/>
              <w:jc w:val="left"/>
            </w:pPr>
            <w:r>
              <w:t xml:space="preserve">bytes</w:t>
            </w:r>
          </w:p>
        </w:tc>
      </w:tr>
      <w:tr>
        <w:tc>
          <w:tcPr/>
          <w:p>
            <w:pPr>
              <w:pStyle w:val="Compact"/>
              <w:jc w:val="left"/>
            </w:pPr>
            <m:oMath>
              <m:r>
                <m:t>p</m:t>
              </m:r>
            </m:oMath>
            <w:r>
              <w:t xml:space="preserve">,</w:t>
            </w:r>
            <w:r>
              <w:t xml:space="preserve"> </w:t>
            </w:r>
            <m:oMath>
              <m:sSub>
                <m:e>
                  <m:r>
                    <m:t>p</m:t>
                  </m:r>
                </m:e>
                <m:sub>
                  <m:r>
                    <m:rPr>
                      <m:sty m:val="p"/>
                    </m:rPr>
                    <m:t>min</m:t>
                  </m:r>
                </m:sub>
              </m:sSub>
            </m:oMath>
          </w:p>
        </w:tc>
        <w:tc>
          <w:tcPr/>
          <w:p>
            <w:pPr>
              <w:pStyle w:val="Compact"/>
              <w:jc w:val="left"/>
            </w:pPr>
            <w:r>
              <w:t xml:space="preserve">Chosen and minimum part size</w:t>
            </w:r>
          </w:p>
        </w:tc>
        <w:tc>
          <w:tcPr/>
          <w:p>
            <w:pPr>
              <w:pStyle w:val="Compact"/>
              <w:jc w:val="left"/>
            </w:pPr>
            <w:r>
              <w:t xml:space="preserve">bytes</w:t>
            </w:r>
          </w:p>
        </w:tc>
      </w:tr>
      <w:tr>
        <w:tc>
          <w:tcPr/>
          <w:p>
            <w:pPr>
              <w:pStyle w:val="Compact"/>
              <w:jc w:val="left"/>
            </w:pPr>
            <m:oMath>
              <m:sSub>
                <m:e>
                  <m:r>
                    <m:t>N</m:t>
                  </m:r>
                </m:e>
                <m:sub>
                  <m:r>
                    <m:rPr>
                      <m:sty m:val="p"/>
                    </m:rPr>
                    <m:t>max</m:t>
                  </m:r>
                </m:sub>
              </m:sSub>
            </m:oMath>
          </w:p>
        </w:tc>
        <w:tc>
          <w:tcPr/>
          <w:p>
            <w:pPr>
              <w:pStyle w:val="Compact"/>
              <w:jc w:val="left"/>
            </w:pPr>
            <w:r>
              <w:t xml:space="preserve">Maximum parts per upload (10,000 in S3)</w:t>
            </w:r>
          </w:p>
        </w:tc>
        <w:tc>
          <w:tcPr/>
          <w:p>
            <w:pPr>
              <w:pStyle w:val="Compact"/>
              <w:jc w:val="left"/>
            </w:pPr>
            <w:r>
              <w:t xml:space="preserve">count</w:t>
            </w:r>
          </w:p>
        </w:tc>
      </w:tr>
      <w:tr>
        <w:tc>
          <w:tcPr/>
          <w:p>
            <w:pPr>
              <w:pStyle w:val="Compact"/>
              <w:jc w:val="left"/>
            </w:pPr>
            <m:oMath>
              <m:r>
                <m:t>N</m:t>
              </m:r>
            </m:oMath>
          </w:p>
        </w:tc>
        <w:tc>
          <w:tcPr/>
          <w:p>
            <w:pPr>
              <w:pStyle w:val="Compact"/>
              <w:jc w:val="left"/>
            </w:pPr>
            <w:r>
              <w:t xml:space="preserve">Number of parts</w:t>
            </w:r>
          </w:p>
        </w:tc>
        <w:tc>
          <w:tcPr/>
          <w:p>
            <w:pPr>
              <w:pStyle w:val="Compact"/>
              <w:jc w:val="left"/>
            </w:pPr>
            <w:r>
              <w:t xml:space="preserve">count</w:t>
            </w:r>
          </w:p>
        </w:tc>
      </w:tr>
      <w:tr>
        <w:tc>
          <w:tcPr/>
          <w:p>
            <w:pPr>
              <w:pStyle w:val="Compact"/>
              <w:jc w:val="left"/>
            </w:pPr>
            <m:oMath>
              <m:r>
                <m:t>c</m:t>
              </m:r>
            </m:oMath>
          </w:p>
        </w:tc>
        <w:tc>
          <w:tcPr/>
          <w:p>
            <w:pPr>
              <w:pStyle w:val="Compact"/>
              <w:jc w:val="left"/>
            </w:pPr>
            <w:r>
              <w:t xml:space="preserve">Concurrent part uploads</w:t>
            </w:r>
          </w:p>
        </w:tc>
        <w:tc>
          <w:tcPr/>
          <w:p>
            <w:pPr>
              <w:pStyle w:val="Compact"/>
              <w:jc w:val="left"/>
            </w:pPr>
            <w:r>
              <w:t xml:space="preserve">count</w:t>
            </w:r>
          </w:p>
        </w:tc>
      </w:tr>
      <w:tr>
        <w:tc>
          <w:tcPr/>
          <w:p>
            <w:pPr>
              <w:pStyle w:val="Compact"/>
              <w:jc w:val="left"/>
            </w:pPr>
            <m:oMath>
              <m:r>
                <m:t>b</m:t>
              </m:r>
            </m:oMath>
          </w:p>
        </w:tc>
        <w:tc>
          <w:tcPr/>
          <w:p>
            <w:pPr>
              <w:pStyle w:val="Compact"/>
              <w:jc w:val="left"/>
            </w:pPr>
            <w:r>
              <w:t xml:space="preserve">Throughput per connection</w:t>
            </w:r>
          </w:p>
        </w:tc>
        <w:tc>
          <w:tcPr/>
          <w:p>
            <w:pPr>
              <w:pStyle w:val="Compact"/>
              <w:jc w:val="left"/>
            </w:pPr>
            <w:r>
              <w:t xml:space="preserve">bytes/s</w:t>
            </w:r>
          </w:p>
        </w:tc>
      </w:tr>
      <w:tr>
        <w:tc>
          <w:tcPr/>
          <w:p>
            <w:pPr>
              <w:pStyle w:val="Compact"/>
              <w:jc w:val="left"/>
            </w:pPr>
            <m:oMath>
              <m:sSub>
                <m:e>
                  <m:r>
                    <m:t>B</m:t>
                  </m:r>
                </m:e>
                <m:sub>
                  <m:r>
                    <m:rPr>
                      <m:nor/>
                      <m:sty m:val="p"/>
                    </m:rPr>
                    <m:t>NIC</m:t>
                  </m:r>
                </m:sub>
              </m:sSub>
            </m:oMath>
          </w:p>
        </w:tc>
        <w:tc>
          <w:tcPr/>
          <w:p>
            <w:pPr>
              <w:pStyle w:val="Compact"/>
              <w:jc w:val="left"/>
            </w:pPr>
            <w:r>
              <w:t xml:space="preserve">Client network limit</w:t>
            </w:r>
          </w:p>
        </w:tc>
        <w:tc>
          <w:tcPr/>
          <w:p>
            <w:pPr>
              <w:pStyle w:val="Compact"/>
              <w:jc w:val="left"/>
            </w:pPr>
            <w:r>
              <w:t xml:space="preserve">bytes/s</w:t>
            </w:r>
          </w:p>
        </w:tc>
      </w:tr>
    </w:tbl>
    <w:p>
      <w:pPr>
        <w:pStyle w:val="CalloutExample"/>
      </w:pPr>
      <w:r>
        <w:rPr>
          <w:bCs/>
          <w:b/>
        </w:rPr>
        <w:t xml:space="preserve">WORKED EXAMPLE</w:t>
      </w:r>
    </w:p>
    <w:p>
      <w:pPr>
        <w:pStyle w:val="CalloutExample"/>
      </w:pPr>
      <w:r>
        <w:rPr>
          <w:bCs/>
          <w:b/>
        </w:rPr>
        <w:t xml:space="preserve">Worked example — Uploading a 200 GB database backup.</w:t>
      </w:r>
      <w:r>
        <w:t xml:space="preserve"> </w:t>
      </w:r>
      <w:r>
        <w:t xml:space="preserve">One connection achieves 50 MB/s; the NIC is 10 Gb/s (1.25 GB/s).</w:t>
      </w:r>
    </w:p>
    <w:p>
      <w:pPr>
        <w:numPr>
          <w:ilvl w:val="0"/>
          <w:numId w:val="1517"/>
        </w:numPr>
        <w:pStyle w:val="Compact"/>
      </w:pPr>
      <w:r>
        <w:t xml:space="preserve">Minimum part size:</w:t>
      </w:r>
      <w:r>
        <w:t xml:space="preserve"> </w:t>
      </w:r>
      <m:oMath>
        <m:r>
          <m:t>200</m:t>
        </m:r>
        <m:r>
          <m:rPr>
            <m:sty m:val="p"/>
          </m:rPr>
          <m:t>×</m:t>
        </m:r>
        <m:sSup>
          <m:e>
            <m:r>
              <m:t>10</m:t>
            </m:r>
          </m:e>
          <m:sup>
            <m:r>
              <m:t>9</m:t>
            </m:r>
          </m:sup>
        </m:sSup>
        <m:r>
          <m:rPr>
            <m:sty m:val="p"/>
          </m:rPr>
          <m:t>/</m:t>
        </m:r>
        <m:r>
          <m:t>10</m:t>
        </m:r>
        <m:r>
          <m:rPr>
            <m:sty m:val="p"/>
          </m:rPr>
          <m:t>,</m:t>
        </m:r>
        <m:r>
          <m:t>000</m:t>
        </m:r>
        <m:r>
          <m:rPr>
            <m:sty m:val="p"/>
          </m:rPr>
          <m:t>=</m:t>
        </m:r>
        <m:r>
          <m:t>20</m:t>
        </m:r>
      </m:oMath>
      <w:r>
        <w:t xml:space="preserve"> </w:t>
      </w:r>
      <w:r>
        <w:t xml:space="preserve">MB, which is above 5 MiB (5.24 MB), so</w:t>
      </w:r>
      <w:r>
        <w:t xml:space="preserve"> </w:t>
      </w:r>
      <m:oMath>
        <m:sSub>
          <m:e>
            <m:r>
              <m:t>p</m:t>
            </m:r>
          </m:e>
          <m:sub>
            <m:r>
              <m:rPr>
                <m:sty m:val="p"/>
              </m:rPr>
              <m:t>min</m:t>
            </m:r>
          </m:sub>
        </m:sSub>
        <m:r>
          <m:rPr>
            <m:sty m:val="p"/>
          </m:rPr>
          <m:t>=</m:t>
        </m:r>
        <m:r>
          <m:t>20</m:t>
        </m:r>
      </m:oMath>
      <w:r>
        <w:t xml:space="preserve"> </w:t>
      </w:r>
      <w:r>
        <w:t xml:space="preserve">MB.</w:t>
      </w:r>
    </w:p>
    <w:p>
      <w:pPr>
        <w:numPr>
          <w:ilvl w:val="0"/>
          <w:numId w:val="1517"/>
        </w:numPr>
        <w:pStyle w:val="Compact"/>
      </w:pPr>
      <w:r>
        <w:t xml:space="preserve">Choose</w:t>
      </w:r>
      <w:r>
        <w:t xml:space="preserve"> </w:t>
      </w:r>
      <m:oMath>
        <m:r>
          <m:t>p</m:t>
        </m:r>
        <m:r>
          <m:rPr>
            <m:sty m:val="p"/>
          </m:rPr>
          <m:t>=</m:t>
        </m:r>
        <m:r>
          <m:t>64</m:t>
        </m:r>
      </m:oMath>
      <w:r>
        <w:t xml:space="preserve"> </w:t>
      </w:r>
      <w:r>
        <w:t xml:space="preserve">MiB</w:t>
      </w:r>
      <w:r>
        <w:t xml:space="preserve"> </w:t>
      </w:r>
      <m:oMath>
        <m:r>
          <m:rPr>
            <m:sty m:val="p"/>
          </m:rPr>
          <m:t>=</m:t>
        </m:r>
        <m:r>
          <m:t>67.1</m:t>
        </m:r>
      </m:oMath>
      <w:r>
        <w:t xml:space="preserve"> </w:t>
      </w:r>
      <w:r>
        <w:t xml:space="preserve">MB:</w:t>
      </w:r>
      <w:r>
        <w:t xml:space="preserve"> </w:t>
      </w:r>
      <m:oMath>
        <m:r>
          <m:t>N</m:t>
        </m:r>
        <m:r>
          <m:rPr>
            <m:sty m:val="p"/>
          </m:rPr>
          <m:t>=</m:t>
        </m:r>
        <m:r>
          <m:rPr>
            <m:sty m:val="p"/>
          </m:rPr>
          <m:t>⌈</m:t>
        </m:r>
        <m:r>
          <m:t>2</m:t>
        </m:r>
        <m:r>
          <m:rPr>
            <m:sty m:val="p"/>
          </m:rPr>
          <m:t>×</m:t>
        </m:r>
        <m:sSup>
          <m:e>
            <m:r>
              <m:t>10</m:t>
            </m:r>
          </m:e>
          <m:sup>
            <m:r>
              <m:t>11</m:t>
            </m:r>
          </m:sup>
        </m:sSup>
        <m:r>
          <m:rPr>
            <m:sty m:val="p"/>
          </m:rPr>
          <m:t>/</m:t>
        </m:r>
        <m:r>
          <m:t>6.71</m:t>
        </m:r>
        <m:r>
          <m:rPr>
            <m:sty m:val="p"/>
          </m:rPr>
          <m:t>×</m:t>
        </m:r>
        <m:sSup>
          <m:e>
            <m:r>
              <m:t>10</m:t>
            </m:r>
          </m:e>
          <m:sup>
            <m:r>
              <m:t>7</m:t>
            </m:r>
          </m:sup>
        </m:sSup>
        <m:r>
          <m:rPr>
            <m:sty m:val="p"/>
          </m:rPr>
          <m:t>⌉</m:t>
        </m:r>
        <m:r>
          <m:rPr>
            <m:sty m:val="p"/>
          </m:rPr>
          <m:t>=</m:t>
        </m:r>
        <m:r>
          <m:t>2</m:t>
        </m:r>
        <m:r>
          <m:rPr>
            <m:sty m:val="p"/>
          </m:rPr>
          <m:t>,</m:t>
        </m:r>
        <m:r>
          <m:t>981</m:t>
        </m:r>
      </m:oMath>
      <w:r>
        <w:t xml:space="preserve"> </w:t>
      </w:r>
      <w:r>
        <w:t xml:space="preserve">parts.</w:t>
      </w:r>
    </w:p>
    <w:p>
      <w:pPr>
        <w:numPr>
          <w:ilvl w:val="0"/>
          <w:numId w:val="1517"/>
        </w:numPr>
        <w:pStyle w:val="Compact"/>
      </w:pPr>
      <w:r>
        <w:t xml:space="preserve">Single PUT: not allowed (above 5 GB), and would take</w:t>
      </w:r>
      <w:r>
        <w:t xml:space="preserve"> </w:t>
      </w:r>
      <m:oMath>
        <m:r>
          <m:t>2</m:t>
        </m:r>
        <m:r>
          <m:rPr>
            <m:sty m:val="p"/>
          </m:rPr>
          <m:t>×</m:t>
        </m:r>
        <m:sSup>
          <m:e>
            <m:r>
              <m:t>10</m:t>
            </m:r>
          </m:e>
          <m:sup>
            <m:r>
              <m:t>11</m:t>
            </m:r>
          </m:sup>
        </m:sSup>
        <m:r>
          <m:rPr>
            <m:sty m:val="p"/>
          </m:rPr>
          <m:t>/</m:t>
        </m:r>
        <m:r>
          <m:t>5</m:t>
        </m:r>
        <m:r>
          <m:rPr>
            <m:sty m:val="p"/>
          </m:rPr>
          <m:t>×</m:t>
        </m:r>
        <m:sSup>
          <m:e>
            <m:r>
              <m:t>10</m:t>
            </m:r>
          </m:e>
          <m:sup>
            <m:r>
              <m:t>7</m:t>
            </m:r>
          </m:sup>
        </m:sSup>
        <m:r>
          <m:rPr>
            <m:sty m:val="p"/>
          </m:rPr>
          <m:t>=</m:t>
        </m:r>
        <m:r>
          <m:t>4</m:t>
        </m:r>
        <m:r>
          <m:rPr>
            <m:sty m:val="p"/>
          </m:rPr>
          <m:t>,</m:t>
        </m:r>
        <m:r>
          <m:t>000</m:t>
        </m:r>
      </m:oMath>
      <w:r>
        <w:t xml:space="preserve"> </w:t>
      </w:r>
      <w:r>
        <w:t xml:space="preserve">s.</w:t>
      </w:r>
    </w:p>
    <w:p>
      <w:pPr>
        <w:numPr>
          <w:ilvl w:val="0"/>
          <w:numId w:val="1517"/>
        </w:numPr>
        <w:pStyle w:val="Compact"/>
      </w:pPr>
      <w:r>
        <w:t xml:space="preserve">Sixteen concurrent parts:</w:t>
      </w:r>
      <w:r>
        <w:t xml:space="preserve"> </w:t>
      </w:r>
      <m:oMath>
        <m:r>
          <m:rPr>
            <m:sty m:val="p"/>
          </m:rPr>
          <m:t>min</m:t>
        </m:r>
        <m:d>
          <m:dPr>
            <m:begChr m:val="("/>
            <m:endChr m:val=")"/>
            <m:sepChr m:val=""/>
            <m:grow/>
          </m:dPr>
          <m:e>
            <m:r>
              <m:t>16</m:t>
            </m:r>
            <m:r>
              <m:rPr>
                <m:sty m:val="p"/>
              </m:rPr>
              <m:t>×</m:t>
            </m:r>
            <m:r>
              <m:t>50</m:t>
            </m:r>
            <m:r>
              <m:rPr>
                <m:sty m:val="p"/>
              </m:rPr>
              <m:t>,</m:t>
            </m:r>
            <m:r>
              <m:t>1250</m:t>
            </m:r>
          </m:e>
        </m:d>
        <m:r>
          <m:rPr>
            <m:sty m:val="p"/>
          </m:rPr>
          <m:t>=</m:t>
        </m:r>
        <m:r>
          <m:t>800</m:t>
        </m:r>
      </m:oMath>
      <w:r>
        <w:t xml:space="preserve"> </w:t>
      </w:r>
      <w:r>
        <w:t xml:space="preserve">MB/s, so</w:t>
      </w:r>
      <w:r>
        <w:t xml:space="preserve"> </w:t>
      </w:r>
      <m:oMath>
        <m:r>
          <m:t>t</m:t>
        </m:r>
        <m:r>
          <m:rPr>
            <m:sty m:val="p"/>
          </m:rPr>
          <m:t>=</m:t>
        </m:r>
        <m:r>
          <m:t>2</m:t>
        </m:r>
        <m:r>
          <m:rPr>
            <m:sty m:val="p"/>
          </m:rPr>
          <m:t>×</m:t>
        </m:r>
        <m:sSup>
          <m:e>
            <m:r>
              <m:t>10</m:t>
            </m:r>
          </m:e>
          <m:sup>
            <m:r>
              <m:t>11</m:t>
            </m:r>
          </m:sup>
        </m:sSup>
        <m:r>
          <m:rPr>
            <m:sty m:val="p"/>
          </m:rPr>
          <m:t>/</m:t>
        </m:r>
        <m:r>
          <m:t>8</m:t>
        </m:r>
        <m:r>
          <m:rPr>
            <m:sty m:val="p"/>
          </m:rPr>
          <m:t>×</m:t>
        </m:r>
        <m:sSup>
          <m:e>
            <m:r>
              <m:t>10</m:t>
            </m:r>
          </m:e>
          <m:sup>
            <m:r>
              <m:t>8</m:t>
            </m:r>
          </m:sup>
        </m:sSup>
        <m:r>
          <m:rPr>
            <m:sty m:val="p"/>
          </m:rPr>
          <m:t>=</m:t>
        </m:r>
        <m:r>
          <m:t>250</m:t>
        </m:r>
      </m:oMath>
      <w:r>
        <w:t xml:space="preserve"> </w:t>
      </w:r>
      <w:r>
        <w:t xml:space="preserve">s.</w:t>
      </w:r>
    </w:p>
    <w:p>
      <w:pPr>
        <w:numPr>
          <w:ilvl w:val="0"/>
          <w:numId w:val="1517"/>
        </w:numPr>
        <w:pStyle w:val="Compact"/>
      </w:pPr>
      <w:r>
        <w:t xml:space="preserve">Cost of a network error: retry one 67 MB part, about 1.3 s at 50 MB/s, instead of restarting.</w:t>
      </w:r>
    </w:p>
    <w:p>
      <w:pPr>
        <w:pStyle w:val="CalloutExample"/>
      </w:pPr>
      <w:r>
        <w:rPr>
          <w:bCs/>
          <w:b/>
        </w:rPr>
        <w:t xml:space="preserve">Interpretation.</w:t>
      </w:r>
      <w:r>
        <w:t xml:space="preserve"> </w:t>
      </w:r>
      <w:r>
        <w:t xml:space="preserve">Parallelism gives a 16× speed-up until the NIC is the limit (at 25 connections).</w:t>
      </w:r>
      <w:r>
        <w:t xml:space="preserve"> </w:t>
      </w:r>
      <w:r>
        <w:rPr>
          <w:bCs/>
          <w:b/>
        </w:rPr>
        <w:t xml:space="preserve">Engineering implication.</w:t>
      </w:r>
      <w:r>
        <w:t xml:space="preserve"> </w:t>
      </w:r>
      <w:r>
        <w:t xml:space="preserve">Choose a part size that keeps</w:t>
      </w:r>
      <w:r>
        <w:t xml:space="preserve"> </w:t>
      </w:r>
      <m:oMath>
        <m:r>
          <m:t>N</m:t>
        </m:r>
      </m:oMath>
      <w:r>
        <w:t xml:space="preserve"> </w:t>
      </w:r>
      <w:r>
        <w:t xml:space="preserve">well under 10,000 with headroom for growth, use 8–32 concurrent parts, verify each part’s checksum, and always configure an abort rule for incomplete uploads.</w:t>
      </w:r>
    </w:p>
    <w:bookmarkEnd w:id="1763"/>
    <w:bookmarkEnd w:id="1764"/>
    <w:bookmarkStart w:id="1765" w:name="presigned-urls"/>
    <w:p>
      <w:pPr>
        <w:pStyle w:val="Heading3"/>
      </w:pPr>
      <w:r>
        <w:t xml:space="preserve">15.8.2 Presigned URLs</w:t>
      </w:r>
    </w:p>
    <w:p>
      <w:pPr>
        <w:pStyle w:val="FirstParagraph"/>
      </w:pPr>
      <w:r>
        <w:t xml:space="preserve">A</w:t>
      </w:r>
      <w:r>
        <w:t xml:space="preserve"> </w:t>
      </w:r>
      <w:r>
        <w:rPr>
          <w:bCs/>
          <w:b/>
        </w:rPr>
        <w:t xml:space="preserve">presigned URL</w:t>
      </w:r>
      <w:r>
        <w:t xml:space="preserve"> </w:t>
      </w:r>
      <w:r>
        <w:t xml:space="preserve">is an object URL that carries the bucket, key, HTTP method, an expiry time and a signature computed with the issuer’s credentials (an HMAC under AWS Signature Version 4, §10.4.6). Anyone holding it can perform exactly that operation until expiry (at most seven days with SigV4) [AWS S3 presigned URL docs]. PhotoShare uses them so that a phone uploads a photo</w:t>
      </w:r>
      <w:r>
        <w:t xml:space="preserve"> </w:t>
      </w:r>
      <w:r>
        <w:rPr>
          <w:iCs/>
          <w:i/>
        </w:rPr>
        <w:t xml:space="preserve">directly</w:t>
      </w:r>
      <w:r>
        <w:t xml:space="preserve"> </w:t>
      </w:r>
      <w:r>
        <w:t xml:space="preserve">to object storage: the API server authenticates the user, chooses the key and returns a presigned PUT URL valid for a few minutes, so upload bandwidth never touches the application tier.</w:t>
      </w:r>
    </w:p>
    <w:p>
      <w:pPr>
        <w:pStyle w:val="CalloutWarning"/>
      </w:pPr>
      <w:r>
        <w:rPr>
          <w:bCs/>
          <w:b/>
        </w:rPr>
        <w:t xml:space="preserve">WARNING / TRADE-OFF</w:t>
      </w:r>
    </w:p>
    <w:p>
      <w:pPr>
        <w:pStyle w:val="CalloutWarning"/>
      </w:pPr>
      <w:r>
        <w:rPr>
          <w:bCs/>
          <w:b/>
        </w:rPr>
        <w:t xml:space="preserve">A presigned URL is a bearer token.</w:t>
      </w:r>
      <w:r>
        <w:t xml:space="preserve"> </w:t>
      </w:r>
      <w:r>
        <w:t xml:space="preserve">Keep expiries short, scope each URL to one key and one method, enforce size and content type (for example with signed POST policies or post-upload validation), never log URLs in full, and note that the URL’s power ends when the signing credential is revoked or expires.</w:t>
      </w:r>
    </w:p>
    <w:bookmarkEnd w:id="1765"/>
    <w:bookmarkStart w:id="1769" w:name="X527ffb4923c3f1cdbb31a6dd15120894c8c3624"/>
    <w:p>
      <w:pPr>
        <w:pStyle w:val="Heading3"/>
      </w:pPr>
      <w:r>
        <w:t xml:space="preserve">15.8.3 Content-defined chunking and deduplication</w:t>
      </w:r>
    </w:p>
    <w:p>
      <w:pPr>
        <w:pStyle w:val="CalloutDefinition"/>
      </w:pPr>
      <w:r>
        <w:rPr>
          <w:bCs/>
          <w:b/>
        </w:rPr>
        <w:t xml:space="preserve">DEFINITION</w:t>
      </w:r>
    </w:p>
    <w:p>
      <w:pPr>
        <w:pStyle w:val="CalloutDefinition"/>
      </w:pPr>
      <w:r>
        <w:rPr>
          <w:bCs/>
          <w:b/>
        </w:rPr>
        <w:t xml:space="preserve">Definition — Content-defined chunking (CDC).</w:t>
      </w:r>
      <w:r>
        <w:t xml:space="preserve"> </w:t>
      </w:r>
      <w:r>
        <w:t xml:space="preserve">Splitting a byte stream into variable-size chunks whose boundaries are chosen by the content itself: a rolling hash is computed over a small sliding window, and a boundary is declared wherever the hash matches a pattern (for example, its low 13 bits equal a fixed value). Each chunk is then identified by a cryptographic hash of its bytes, so identical chunks are stored once (</w:t>
      </w:r>
      <w:r>
        <w:rPr>
          <w:bCs/>
          <w:b/>
        </w:rPr>
        <w:t xml:space="preserve">deduplication</w:t>
      </w:r>
      <w:r>
        <w:t xml:space="preserve">).</w:t>
      </w:r>
    </w:p>
    <w:bookmarkStart w:id="1766" w:name="first-principles-explanation-100"/>
    <w:p>
      <w:pPr>
        <w:pStyle w:val="Heading4"/>
      </w:pPr>
      <w:r>
        <w:t xml:space="preserve">First-principles explanation</w:t>
      </w:r>
    </w:p>
    <w:p>
      <w:pPr>
        <w:pStyle w:val="FirstParagraph"/>
      </w:pPr>
      <w:r>
        <w:t xml:space="preserve">Cut a book into pieces of exactly 1,000 characters, insert one word on page 1, and every later piece shifts: a backup system sees a new book. Cut instead after every sentence ending in a particular word, and the insertion changes only the first piece; later cuts stay put relative to the text. That is content-defined chunking. LBFS introduced it for network file systems, using Rabin fingerprints over a 48-byte window and declaring a boundary when the low 13 bits matched, for an expected 8 KB chunk, with minimum and maximum chunk sizes of 2 KB and 64 KB [Muthitacharoen et al. 2001; Rabin 1981].</w:t>
      </w:r>
    </w:p>
    <w:bookmarkEnd w:id="1766"/>
    <w:bookmarkStart w:id="1767" w:name="mathematical-foundations-32"/>
    <w:p>
      <w:pPr>
        <w:pStyle w:val="Heading4"/>
      </w:pPr>
      <w:r>
        <w:t xml:space="preserve">Mathematical foundations</w:t>
      </w:r>
    </w:p>
    <w:p>
      <w:pPr>
        <w:pStyle w:val="CalloutFormula"/>
      </w:pPr>
      <w:r>
        <w:rPr>
          <w:bCs/>
          <w:b/>
        </w:rPr>
        <w:t xml:space="preserve">FORMULA</w:t>
      </w:r>
    </w:p>
    <w:p>
      <w:pPr>
        <w:pStyle w:val="CalloutFormula"/>
      </w:pPr>
      <w:r>
        <w:rPr>
          <w:bCs/>
          <w:b/>
        </w:rPr>
        <w:t xml:space="preserve">Expected chunk size and deduplication index size</w:t>
      </w:r>
    </w:p>
    <w:p>
      <w:pPr>
        <w:pStyle w:val="CalloutFormula"/>
      </w:pPr>
      <m:oMathPara>
        <m:oMathParaPr>
          <m:jc m:val="center"/>
        </m:oMathParaPr>
        <m:oMath>
          <m:r>
            <m:t>E</m:t>
          </m:r>
          <m:d>
            <m:dPr>
              <m:begChr m:val="["/>
              <m:endChr m:val="]"/>
              <m:sepChr m:val=""/>
              <m:grow/>
            </m:dPr>
            <m:e>
              <m:r>
                <m:rPr>
                  <m:nor/>
                  <m:sty m:val="p"/>
                </m:rPr>
                <m:t>chunk</m:t>
              </m:r>
            </m:e>
          </m:d>
          <m:r>
            <m:rPr>
              <m:sty m:val="p"/>
            </m:rPr>
            <m:t>≈</m:t>
          </m:r>
          <m:sSub>
            <m:e>
              <m:r>
                <m:t>s</m:t>
              </m:r>
            </m:e>
            <m:sub>
              <m:r>
                <m:rPr>
                  <m:sty m:val="p"/>
                </m:rPr>
                <m:t>min</m:t>
              </m:r>
            </m:sub>
          </m:sSub>
          <m:r>
            <m:rPr>
              <m:sty m:val="p"/>
            </m:rPr>
            <m:t>+</m:t>
          </m:r>
          <m:sSup>
            <m:e>
              <m:r>
                <m:t>2</m:t>
              </m:r>
            </m:e>
            <m:sup>
              <m:r>
                <m:t>b</m:t>
              </m:r>
            </m:sup>
          </m:sSup>
          <m:r>
            <m:t>  </m:t>
          </m:r>
          <m:sSub>
            <m:e>
              <m:r>
                <m:t>M</m:t>
              </m:r>
            </m:e>
            <m:sub>
              <m:r>
                <m:rPr>
                  <m:nor/>
                  <m:sty m:val="p"/>
                </m:rPr>
                <m:t>index</m:t>
              </m:r>
            </m:sub>
          </m:sSub>
          <m:r>
            <m:rPr>
              <m:sty m:val="p"/>
            </m:rPr>
            <m:t>=</m:t>
          </m:r>
          <m:f>
            <m:fPr>
              <m:type m:val="bar"/>
            </m:fPr>
            <m:num>
              <m:r>
                <m:t>U</m:t>
              </m:r>
            </m:num>
            <m:den>
              <m:r>
                <m:t>E</m:t>
              </m:r>
              <m:d>
                <m:dPr>
                  <m:begChr m:val="["/>
                  <m:endChr m:val="]"/>
                  <m:sepChr m:val=""/>
                  <m:grow/>
                </m:dPr>
                <m:e>
                  <m:r>
                    <m:rPr>
                      <m:nor/>
                      <m:sty m:val="p"/>
                    </m:rPr>
                    <m:t>chunk</m:t>
                  </m:r>
                </m:e>
              </m:d>
            </m:den>
          </m:f>
          <m:r>
            <m:rPr>
              <m:sty m:val="p"/>
            </m:rPr>
            <m:t>×</m:t>
          </m:r>
          <m:r>
            <m:t>e</m:t>
          </m:r>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b</m:t>
              </m:r>
            </m:oMath>
          </w:p>
        </w:tc>
        <w:tc>
          <w:tcPr/>
          <w:p>
            <w:pPr>
              <w:pStyle w:val="Compact"/>
              <w:jc w:val="left"/>
            </w:pPr>
            <w:r>
              <w:t xml:space="preserve">Number of hash bits that must match (boundary probability</w:t>
            </w:r>
            <w:r>
              <w:t xml:space="preserve"> </w:t>
            </w:r>
            <m:oMath>
              <m:sSup>
                <m:e>
                  <m:r>
                    <m:t>2</m:t>
                  </m:r>
                </m:e>
                <m:sup>
                  <m:r>
                    <m:rPr>
                      <m:sty m:val="p"/>
                    </m:rPr>
                    <m:t>−</m:t>
                  </m:r>
                  <m:r>
                    <m:t>b</m:t>
                  </m:r>
                </m:sup>
              </m:sSup>
            </m:oMath>
            <w:r>
              <w:t xml:space="preserve"> </w:t>
            </w:r>
            <w:r>
              <w:t xml:space="preserve">per byte)</w:t>
            </w:r>
          </w:p>
        </w:tc>
        <w:tc>
          <w:tcPr/>
          <w:p>
            <w:pPr>
              <w:pStyle w:val="Compact"/>
              <w:jc w:val="left"/>
            </w:pPr>
            <w:r>
              <w:t xml:space="preserve">bits</w:t>
            </w:r>
          </w:p>
        </w:tc>
      </w:tr>
      <w:tr>
        <w:tc>
          <w:tcPr/>
          <w:p>
            <w:pPr>
              <w:pStyle w:val="Compact"/>
              <w:jc w:val="left"/>
            </w:pPr>
            <m:oMath>
              <m:sSub>
                <m:e>
                  <m:r>
                    <m:t>s</m:t>
                  </m:r>
                </m:e>
                <m:sub>
                  <m:r>
                    <m:rPr>
                      <m:sty m:val="p"/>
                    </m:rPr>
                    <m:t>min</m:t>
                  </m:r>
                </m:sub>
              </m:sSub>
            </m:oMath>
          </w:p>
        </w:tc>
        <w:tc>
          <w:tcPr/>
          <w:p>
            <w:pPr>
              <w:pStyle w:val="Compact"/>
              <w:jc w:val="left"/>
            </w:pPr>
            <w:r>
              <w:t xml:space="preserve">Minimum chunk size (no boundary is accepted earlier)</w:t>
            </w:r>
          </w:p>
        </w:tc>
        <w:tc>
          <w:tcPr/>
          <w:p>
            <w:pPr>
              <w:pStyle w:val="Compact"/>
              <w:jc w:val="left"/>
            </w:pPr>
            <w:r>
              <w:t xml:space="preserve">bytes</w:t>
            </w:r>
          </w:p>
        </w:tc>
      </w:tr>
      <w:tr>
        <w:tc>
          <w:tcPr/>
          <w:p>
            <w:pPr>
              <w:pStyle w:val="Compact"/>
              <w:jc w:val="left"/>
            </w:pPr>
            <m:oMath>
              <m:r>
                <m:t>E</m:t>
              </m:r>
              <m:d>
                <m:dPr>
                  <m:begChr m:val="["/>
                  <m:endChr m:val="]"/>
                  <m:sepChr m:val=""/>
                  <m:grow/>
                </m:dPr>
                <m:e>
                  <m:r>
                    <m:rPr>
                      <m:nor/>
                      <m:sty m:val="p"/>
                    </m:rPr>
                    <m:t>chunk</m:t>
                  </m:r>
                </m:e>
              </m:d>
            </m:oMath>
          </w:p>
        </w:tc>
        <w:tc>
          <w:tcPr/>
          <w:p>
            <w:pPr>
              <w:pStyle w:val="Compact"/>
              <w:jc w:val="left"/>
            </w:pPr>
            <w:r>
              <w:t xml:space="preserve">Expected chunk size (ignoring the maximum cap)</w:t>
            </w:r>
          </w:p>
        </w:tc>
        <w:tc>
          <w:tcPr/>
          <w:p>
            <w:pPr>
              <w:pStyle w:val="Compact"/>
              <w:jc w:val="left"/>
            </w:pPr>
            <w:r>
              <w:t xml:space="preserve">bytes</w:t>
            </w:r>
          </w:p>
        </w:tc>
      </w:tr>
      <w:tr>
        <w:tc>
          <w:tcPr/>
          <w:p>
            <w:pPr>
              <w:pStyle w:val="Compact"/>
              <w:jc w:val="left"/>
            </w:pPr>
            <m:oMath>
              <m:r>
                <m:t>U</m:t>
              </m:r>
            </m:oMath>
          </w:p>
        </w:tc>
        <w:tc>
          <w:tcPr/>
          <w:p>
            <w:pPr>
              <w:pStyle w:val="Compact"/>
              <w:jc w:val="left"/>
            </w:pPr>
            <w:r>
              <w:t xml:space="preserve">Unique data stored</w:t>
            </w:r>
          </w:p>
        </w:tc>
        <w:tc>
          <w:tcPr/>
          <w:p>
            <w:pPr>
              <w:pStyle w:val="Compact"/>
              <w:jc w:val="left"/>
            </w:pPr>
            <w:r>
              <w:t xml:space="preserve">bytes</w:t>
            </w:r>
          </w:p>
        </w:tc>
      </w:tr>
      <w:tr>
        <w:tc>
          <w:tcPr/>
          <w:p>
            <w:pPr>
              <w:pStyle w:val="Compact"/>
              <w:jc w:val="left"/>
            </w:pPr>
            <m:oMath>
              <m:r>
                <m:t>e</m:t>
              </m:r>
            </m:oMath>
          </w:p>
        </w:tc>
        <w:tc>
          <w:tcPr/>
          <w:p>
            <w:pPr>
              <w:pStyle w:val="Compact"/>
              <w:jc w:val="left"/>
            </w:pPr>
            <w:r>
              <w:t xml:space="preserve">Index entry size (hash plus location)</w:t>
            </w:r>
          </w:p>
        </w:tc>
        <w:tc>
          <w:tcPr/>
          <w:p>
            <w:pPr>
              <w:pStyle w:val="Compact"/>
              <w:jc w:val="left"/>
            </w:pPr>
            <w:r>
              <w:t xml:space="preserve">bytes</w:t>
            </w:r>
          </w:p>
        </w:tc>
      </w:tr>
    </w:tbl>
    <w:p>
      <w:pPr>
        <w:pStyle w:val="CalloutExample"/>
      </w:pPr>
      <w:r>
        <w:rPr>
          <w:bCs/>
          <w:b/>
        </w:rPr>
        <w:t xml:space="preserve">WORKED EXAMPLE</w:t>
      </w:r>
    </w:p>
    <w:p>
      <w:pPr>
        <w:pStyle w:val="CalloutExample"/>
      </w:pPr>
      <w:r>
        <w:rPr>
          <w:bCs/>
          <w:b/>
        </w:rPr>
        <w:t xml:space="preserve">Worked example — LBFS parameters and a backup index.</w:t>
      </w:r>
      <w:r>
        <w:t xml:space="preserve"> </w:t>
      </w:r>
      <w:r>
        <w:t xml:space="preserve">With</w:t>
      </w:r>
      <w:r>
        <w:t xml:space="preserve"> </w:t>
      </w:r>
      <m:oMath>
        <m:r>
          <m:t>b</m:t>
        </m:r>
        <m:r>
          <m:rPr>
            <m:sty m:val="p"/>
          </m:rPr>
          <m:t>=</m:t>
        </m:r>
        <m:r>
          <m:t>13</m:t>
        </m:r>
      </m:oMath>
      <w:r>
        <w:t xml:space="preserve"> </w:t>
      </w:r>
      <w:r>
        <w:t xml:space="preserve">and</w:t>
      </w:r>
      <w:r>
        <w:t xml:space="preserve"> </w:t>
      </w:r>
      <m:oMath>
        <m:sSub>
          <m:e>
            <m:r>
              <m:t>s</m:t>
            </m:r>
          </m:e>
          <m:sub>
            <m:r>
              <m:rPr>
                <m:sty m:val="p"/>
              </m:rPr>
              <m:t>min</m:t>
            </m:r>
          </m:sub>
        </m:sSub>
        <m:r>
          <m:rPr>
            <m:sty m:val="p"/>
          </m:rPr>
          <m:t>=</m:t>
        </m:r>
        <m:r>
          <m:t>2</m:t>
        </m:r>
      </m:oMath>
      <w:r>
        <w:t xml:space="preserve"> </w:t>
      </w:r>
      <w:r>
        <w:t xml:space="preserve">KiB:</w:t>
      </w:r>
      <w:r>
        <w:t xml:space="preserve"> </w:t>
      </w:r>
      <m:oMath>
        <m:r>
          <m:t>E</m:t>
        </m:r>
        <m:r>
          <m:rPr>
            <m:sty m:val="p"/>
          </m:rPr>
          <m:t>≈</m:t>
        </m:r>
        <m:r>
          <m:t>2</m:t>
        </m:r>
        <m:r>
          <m:rPr>
            <m:sty m:val="p"/>
          </m:rPr>
          <m:t>,</m:t>
        </m:r>
        <m:r>
          <m:t>048</m:t>
        </m:r>
        <m:r>
          <m:rPr>
            <m:sty m:val="p"/>
          </m:rPr>
          <m:t>+</m:t>
        </m:r>
        <m:r>
          <m:t>8</m:t>
        </m:r>
        <m:r>
          <m:rPr>
            <m:sty m:val="p"/>
          </m:rPr>
          <m:t>,</m:t>
        </m:r>
        <m:r>
          <m:t>192</m:t>
        </m:r>
        <m:r>
          <m:rPr>
            <m:sty m:val="p"/>
          </m:rPr>
          <m:t>=</m:t>
        </m:r>
        <m:r>
          <m:t>10</m:t>
        </m:r>
        <m:r>
          <m:rPr>
            <m:sty m:val="p"/>
          </m:rPr>
          <m:t>,</m:t>
        </m:r>
        <m:r>
          <m:t>240</m:t>
        </m:r>
      </m:oMath>
      <w:r>
        <w:t xml:space="preserve"> </w:t>
      </w:r>
      <w:r>
        <w:t xml:space="preserve">B. A backup service with</w:t>
      </w:r>
      <w:r>
        <w:t xml:space="preserve"> </w:t>
      </w:r>
      <m:oMath>
        <m:r>
          <m:t>U</m:t>
        </m:r>
        <m:r>
          <m:rPr>
            <m:sty m:val="p"/>
          </m:rPr>
          <m:t>=</m:t>
        </m:r>
        <m:r>
          <m:t>100</m:t>
        </m:r>
      </m:oMath>
      <w:r>
        <w:t xml:space="preserve"> </w:t>
      </w:r>
      <w:r>
        <w:t xml:space="preserve">TB of unique data and 40-byte entries (a 32-byte SHA-256 plus an 8-byte location):</w:t>
      </w:r>
    </w:p>
    <w:p>
      <w:pPr>
        <w:numPr>
          <w:ilvl w:val="0"/>
          <w:numId w:val="1518"/>
        </w:numPr>
        <w:pStyle w:val="Compact"/>
      </w:pPr>
      <w:r>
        <w:t xml:space="preserve">Chunks:</w:t>
      </w:r>
      <w:r>
        <w:t xml:space="preserve"> </w:t>
      </w:r>
      <m:oMath>
        <m:sSup>
          <m:e>
            <m:r>
              <m:t>10</m:t>
            </m:r>
          </m:e>
          <m:sup>
            <m:r>
              <m:t>14</m:t>
            </m:r>
          </m:sup>
        </m:sSup>
        <m:r>
          <m:rPr>
            <m:sty m:val="p"/>
          </m:rPr>
          <m:t>/</m:t>
        </m:r>
        <m:r>
          <m:t>10</m:t>
        </m:r>
        <m:r>
          <m:rPr>
            <m:sty m:val="p"/>
          </m:rPr>
          <m:t>,</m:t>
        </m:r>
        <m:r>
          <m:t>240</m:t>
        </m:r>
        <m:r>
          <m:rPr>
            <m:sty m:val="p"/>
          </m:rPr>
          <m:t>=</m:t>
        </m:r>
        <m:r>
          <m:t>9.77</m:t>
        </m:r>
        <m:r>
          <m:rPr>
            <m:sty m:val="p"/>
          </m:rPr>
          <m:t>×</m:t>
        </m:r>
        <m:sSup>
          <m:e>
            <m:r>
              <m:t>10</m:t>
            </m:r>
          </m:e>
          <m:sup>
            <m:r>
              <m:t>9</m:t>
            </m:r>
          </m:sup>
        </m:sSup>
      </m:oMath>
      <w:r>
        <w:t xml:space="preserve">.</w:t>
      </w:r>
    </w:p>
    <w:p>
      <w:pPr>
        <w:numPr>
          <w:ilvl w:val="0"/>
          <w:numId w:val="1518"/>
        </w:numPr>
        <w:pStyle w:val="Compact"/>
      </w:pPr>
      <w:r>
        <w:t xml:space="preserve">Index:</w:t>
      </w:r>
      <w:r>
        <w:t xml:space="preserve"> </w:t>
      </w:r>
      <m:oMath>
        <m:r>
          <m:t>9.77</m:t>
        </m:r>
        <m:r>
          <m:rPr>
            <m:sty m:val="p"/>
          </m:rPr>
          <m:t>×</m:t>
        </m:r>
        <m:sSup>
          <m:e>
            <m:r>
              <m:t>10</m:t>
            </m:r>
          </m:e>
          <m:sup>
            <m:r>
              <m:t>9</m:t>
            </m:r>
          </m:sup>
        </m:sSup>
        <m:r>
          <m:rPr>
            <m:sty m:val="p"/>
          </m:rPr>
          <m:t>×</m:t>
        </m:r>
        <m:r>
          <m:t>40</m:t>
        </m:r>
        <m:r>
          <m:rPr>
            <m:sty m:val="p"/>
          </m:rPr>
          <m:t>=</m:t>
        </m:r>
        <m:r>
          <m:t>3.9</m:t>
        </m:r>
        <m:r>
          <m:rPr>
            <m:sty m:val="p"/>
          </m:rPr>
          <m:t>×</m:t>
        </m:r>
        <m:sSup>
          <m:e>
            <m:r>
              <m:t>10</m:t>
            </m:r>
          </m:e>
          <m:sup>
            <m:r>
              <m:t>11</m:t>
            </m:r>
          </m:sup>
        </m:sSup>
      </m:oMath>
      <w:r>
        <w:t xml:space="preserve"> </w:t>
      </w:r>
      <w:r>
        <w:t xml:space="preserve">B</w:t>
      </w:r>
      <w:r>
        <w:t xml:space="preserve"> </w:t>
      </w:r>
      <m:oMath>
        <m:r>
          <m:rPr>
            <m:sty m:val="p"/>
          </m:rPr>
          <m:t>≈</m:t>
        </m:r>
        <m:r>
          <m:t>391</m:t>
        </m:r>
      </m:oMath>
      <w:r>
        <w:t xml:space="preserve"> </w:t>
      </w:r>
      <w:r>
        <w:t xml:space="preserve">GB.</w:t>
      </w:r>
    </w:p>
    <w:p>
      <w:pPr>
        <w:numPr>
          <w:ilvl w:val="0"/>
          <w:numId w:val="1518"/>
        </w:numPr>
        <w:pStyle w:val="Compact"/>
      </w:pPr>
      <w:r>
        <w:t xml:space="preserve">With</w:t>
      </w:r>
      <w:r>
        <w:t xml:space="preserve"> </w:t>
      </w:r>
      <m:oMath>
        <m:r>
          <m:t>b</m:t>
        </m:r>
        <m:r>
          <m:rPr>
            <m:sty m:val="p"/>
          </m:rPr>
          <m:t>=</m:t>
        </m:r>
        <m:r>
          <m:t>20</m:t>
        </m:r>
      </m:oMath>
      <w:r>
        <w:t xml:space="preserve"> </w:t>
      </w:r>
      <w:r>
        <w:t xml:space="preserve">(about 1 MiB chunks):</w:t>
      </w:r>
      <w:r>
        <w:t xml:space="preserve"> </w:t>
      </w:r>
      <m:oMath>
        <m:sSup>
          <m:e>
            <m:r>
              <m:t>10</m:t>
            </m:r>
          </m:e>
          <m:sup>
            <m:r>
              <m:t>14</m:t>
            </m:r>
          </m:sup>
        </m:sSup>
        <m:r>
          <m:rPr>
            <m:sty m:val="p"/>
          </m:rPr>
          <m:t>/</m:t>
        </m:r>
        <m:d>
          <m:dPr>
            <m:begChr m:val="("/>
            <m:endChr m:val=")"/>
            <m:sepChr m:val=""/>
            <m:grow/>
          </m:dPr>
          <m:e>
            <m:r>
              <m:t>2</m:t>
            </m:r>
            <m:r>
              <m:rPr>
                <m:sty m:val="p"/>
              </m:rPr>
              <m:t>,</m:t>
            </m:r>
            <m:r>
              <m:t>048</m:t>
            </m:r>
            <m:r>
              <m:rPr>
                <m:sty m:val="p"/>
              </m:rPr>
              <m:t>+</m:t>
            </m:r>
            <m:r>
              <m:t>1</m:t>
            </m:r>
            <m:r>
              <m:rPr>
                <m:sty m:val="p"/>
              </m:rPr>
              <m:t>,</m:t>
            </m:r>
            <m:r>
              <m:t>048</m:t>
            </m:r>
            <m:r>
              <m:rPr>
                <m:sty m:val="p"/>
              </m:rPr>
              <m:t>,</m:t>
            </m:r>
            <m:r>
              <m:t>576</m:t>
            </m:r>
          </m:e>
        </m:d>
        <m:r>
          <m:rPr>
            <m:sty m:val="p"/>
          </m:rPr>
          <m:t>×</m:t>
        </m:r>
        <m:r>
          <m:t>40</m:t>
        </m:r>
        <m:r>
          <m:rPr>
            <m:sty m:val="p"/>
          </m:rPr>
          <m:t>≈</m:t>
        </m:r>
        <m:r>
          <m:t>3.8</m:t>
        </m:r>
      </m:oMath>
      <w:r>
        <w:t xml:space="preserve"> </w:t>
      </w:r>
      <w:r>
        <w:t xml:space="preserve">GB.</w:t>
      </w:r>
    </w:p>
    <w:p>
      <w:pPr>
        <w:pStyle w:val="CalloutExample"/>
      </w:pPr>
      <w:r>
        <w:rPr>
          <w:bCs/>
          <w:b/>
        </w:rPr>
        <w:t xml:space="preserve">Interpretation.</w:t>
      </w:r>
      <w:r>
        <w:t xml:space="preserve"> </w:t>
      </w:r>
      <w:r>
        <w:t xml:space="preserve">Smaller chunks find more duplicates but the index grows inversely with chunk size and soon exceeds RAM.</w:t>
      </w:r>
      <w:r>
        <w:t xml:space="preserve"> </w:t>
      </w:r>
      <w:r>
        <w:rPr>
          <w:bCs/>
          <w:b/>
        </w:rPr>
        <w:t xml:space="preserve">Engineering implication.</w:t>
      </w:r>
      <w:r>
        <w:t xml:space="preserve"> </w:t>
      </w:r>
      <w:r>
        <w:t xml:space="preserve">Choose the chunk size from the index budget and the expected edit granularity; large-scale systems use larger chunks, sampled or tiered indexes, and keep only hot index entries in memory.</w:t>
      </w:r>
    </w:p>
    <w:bookmarkEnd w:id="1767"/>
    <w:bookmarkStart w:id="1768" w:name="code-example-16"/>
    <w:p>
      <w:pPr>
        <w:pStyle w:val="Heading4"/>
      </w:pPr>
      <w:r>
        <w:t xml:space="preserve">Code example</w:t>
      </w:r>
    </w:p>
    <w:p>
      <w:pPr>
        <w:pStyle w:val="SourceCode"/>
      </w:pPr>
      <w:r>
        <w:rPr>
          <w:rStyle w:val="CommentTok"/>
        </w:rPr>
        <w:t xml:space="preserve"># Content-defined chunking (CDC) versus fixed-size chunking, LBFS-style parameters.</w:t>
      </w:r>
      <w:r>
        <w:br/>
      </w:r>
      <w:r>
        <w:rPr>
          <w:rStyle w:val="CommentTok"/>
        </w:rPr>
        <w:t xml:space="preserve"># A Rabin-Karp polynomial rolling hash stands in for a true Rabin fingerprint</w:t>
      </w:r>
      <w:r>
        <w:br/>
      </w:r>
      <w:r>
        <w:rPr>
          <w:rStyle w:val="CommentTok"/>
        </w:rPr>
        <w:t xml:space="preserve"># (which uses polynomial arithmetic over GF(2)); the boundary logic is the same.</w:t>
      </w:r>
      <w:r>
        <w:br/>
      </w:r>
      <w:r>
        <w:rPr>
          <w:rStyle w:val="ImportTok"/>
        </w:rPr>
        <w:t xml:space="preserve">import</w:t>
      </w:r>
      <w:r>
        <w:rPr>
          <w:rStyle w:val="NormalTok"/>
        </w:rPr>
        <w:t xml:space="preserve"> hashlib</w:t>
      </w:r>
      <w:r>
        <w:br/>
      </w:r>
      <w:r>
        <w:rPr>
          <w:rStyle w:val="ImportTok"/>
        </w:rPr>
        <w:t xml:space="preserve">import</w:t>
      </w:r>
      <w:r>
        <w:rPr>
          <w:rStyle w:val="NormalTok"/>
        </w:rPr>
        <w:t xml:space="preserve"> random</w:t>
      </w:r>
      <w:r>
        <w:br/>
      </w:r>
      <w:r>
        <w:br/>
      </w:r>
      <w:r>
        <w:rPr>
          <w:rStyle w:val="NormalTok"/>
        </w:rPr>
        <w:t xml:space="preserve">WINDOW </w:t>
      </w:r>
      <w:r>
        <w:rPr>
          <w:rStyle w:val="OperatorTok"/>
        </w:rPr>
        <w:t xml:space="preserve">=</w:t>
      </w:r>
      <w:r>
        <w:rPr>
          <w:rStyle w:val="NormalTok"/>
        </w:rPr>
        <w:t xml:space="preserve"> </w:t>
      </w:r>
      <w:r>
        <w:rPr>
          <w:rStyle w:val="DecValTok"/>
        </w:rPr>
        <w:t xml:space="preserve">48</w:t>
      </w:r>
      <w:r>
        <w:rPr>
          <w:rStyle w:val="NormalTok"/>
        </w:rPr>
        <w:t xml:space="preserve">                      </w:t>
      </w:r>
      <w:r>
        <w:rPr>
          <w:rStyle w:val="CommentTok"/>
        </w:rPr>
        <w:t xml:space="preserve"># bytes in the rolling window (as in LBFS)</w:t>
      </w:r>
      <w:r>
        <w:br/>
      </w:r>
      <w:r>
        <w:rPr>
          <w:rStyle w:val="NormalTok"/>
        </w:rPr>
        <w:t xml:space="preserve">MASK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&lt;&lt;</w:t>
      </w:r>
      <w:r>
        <w:rPr>
          <w:rStyle w:val="NormalTok"/>
        </w:rPr>
        <w:t xml:space="preserve"> </w:t>
      </w:r>
      <w:r>
        <w:rPr>
          <w:rStyle w:val="DecValTok"/>
        </w:rPr>
        <w:t xml:space="preserve">13</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13 low bits -&gt; expected chunk ~ 2^13 = 8 KiB</w:t>
      </w:r>
      <w:r>
        <w:br/>
      </w:r>
      <w:r>
        <w:rPr>
          <w:rStyle w:val="NormalTok"/>
        </w:rPr>
        <w:t xml:space="preserve">MAGIC </w:t>
      </w:r>
      <w:r>
        <w:rPr>
          <w:rStyle w:val="OperatorTok"/>
        </w:rPr>
        <w:t xml:space="preserve">=</w:t>
      </w:r>
      <w:r>
        <w:rPr>
          <w:rStyle w:val="NormalTok"/>
        </w:rPr>
        <w:t xml:space="preserve"> </w:t>
      </w:r>
      <w:r>
        <w:rPr>
          <w:rStyle w:val="BaseNTok"/>
        </w:rPr>
        <w:t xml:space="preserve">0x78</w:t>
      </w:r>
      <w:r>
        <w:rPr>
          <w:rStyle w:val="NormalTok"/>
        </w:rPr>
        <w:t xml:space="preserve">                     </w:t>
      </w:r>
      <w:r>
        <w:rPr>
          <w:rStyle w:val="CommentTok"/>
        </w:rPr>
        <w:t xml:space="preserve"># boundary when (hash &amp; MASK) == MAGIC</w:t>
      </w:r>
      <w:r>
        <w:br/>
      </w:r>
      <w:r>
        <w:rPr>
          <w:rStyle w:val="NormalTok"/>
        </w:rPr>
        <w:t xml:space="preserve">MIN_CHUNK, MAX_CHUNK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DecValTok"/>
        </w:rPr>
        <w:t xml:space="preserve">64</w:t>
      </w:r>
      <w:r>
        <w:rPr>
          <w:rStyle w:val="NormalTok"/>
        </w:rPr>
        <w:t xml:space="preserve"> </w:t>
      </w:r>
      <w:r>
        <w:rPr>
          <w:rStyle w:val="OperatorTok"/>
        </w:rPr>
        <w:t xml:space="preserve">*</w:t>
      </w:r>
      <w:r>
        <w:rPr>
          <w:rStyle w:val="NormalTok"/>
        </w:rPr>
        <w:t xml:space="preserve"> </w:t>
      </w:r>
      <w:r>
        <w:rPr>
          <w:rStyle w:val="DecValTok"/>
        </w:rPr>
        <w:t xml:space="preserve">1024</w:t>
      </w:r>
      <w:r>
        <w:br/>
      </w:r>
      <w:r>
        <w:rPr>
          <w:rStyle w:val="NormalTok"/>
        </w:rPr>
        <w:t xml:space="preserve">BASE, MOD </w:t>
      </w:r>
      <w:r>
        <w:rPr>
          <w:rStyle w:val="OperatorTok"/>
        </w:rPr>
        <w:t xml:space="preserve">=</w:t>
      </w:r>
      <w:r>
        <w:rPr>
          <w:rStyle w:val="NormalTok"/>
        </w:rPr>
        <w:t xml:space="preserve"> </w:t>
      </w:r>
      <w:r>
        <w:rPr>
          <w:rStyle w:val="DecValTok"/>
        </w:rPr>
        <w:t xml:space="preserve">257</w:t>
      </w:r>
      <w:r>
        <w:rPr>
          <w:rStyle w:val="NormalTok"/>
        </w:rPr>
        <w:t xml:space="preserve">, (</w:t>
      </w:r>
      <w:r>
        <w:rPr>
          <w:rStyle w:val="DecValTok"/>
        </w:rPr>
        <w:t xml:space="preserve">1</w:t>
      </w:r>
      <w:r>
        <w:rPr>
          <w:rStyle w:val="NormalTok"/>
        </w:rPr>
        <w:t xml:space="preserve"> </w:t>
      </w:r>
      <w:r>
        <w:rPr>
          <w:rStyle w:val="OperatorTok"/>
        </w:rPr>
        <w:t xml:space="preserve">&lt;&lt;</w:t>
      </w:r>
      <w:r>
        <w:rPr>
          <w:rStyle w:val="NormalTok"/>
        </w:rPr>
        <w:t xml:space="preserve"> </w:t>
      </w:r>
      <w:r>
        <w:rPr>
          <w:rStyle w:val="DecValTok"/>
        </w:rPr>
        <w:t xml:space="preserve">61</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BASE_OUT </w:t>
      </w:r>
      <w:r>
        <w:rPr>
          <w:rStyle w:val="OperatorTok"/>
        </w:rPr>
        <w:t xml:space="preserve">=</w:t>
      </w:r>
      <w:r>
        <w:rPr>
          <w:rStyle w:val="NormalTok"/>
        </w:rPr>
        <w:t xml:space="preserve"> </w:t>
      </w:r>
      <w:r>
        <w:rPr>
          <w:rStyle w:val="BuiltInTok"/>
        </w:rPr>
        <w:t xml:space="preserve">pow</w:t>
      </w:r>
      <w:r>
        <w:rPr>
          <w:rStyle w:val="NormalTok"/>
        </w:rPr>
        <w:t xml:space="preserve">(BASE, WINDOW, MOD)  </w:t>
      </w:r>
      <w:r>
        <w:rPr>
          <w:rStyle w:val="CommentTok"/>
        </w:rPr>
        <w:t xml:space="preserve"># weight of the byte leaving the window</w:t>
      </w:r>
      <w:r>
        <w:br/>
      </w:r>
      <w:r>
        <w:br/>
      </w:r>
      <w:r>
        <w:br/>
      </w:r>
      <w:r>
        <w:rPr>
          <w:rStyle w:val="KeywordTok"/>
        </w:rPr>
        <w:t xml:space="preserve">def</w:t>
      </w:r>
      <w:r>
        <w:rPr>
          <w:rStyle w:val="NormalTok"/>
        </w:rPr>
        <w:t xml:space="preserve"> cdc_chunks(data):</w:t>
      </w:r>
      <w:r>
        <w:br/>
      </w:r>
      <w:r>
        <w:rPr>
          <w:rStyle w:val="NormalTok"/>
        </w:rPr>
        <w:t xml:space="preserve">    chunks, start, h </w:t>
      </w:r>
      <w:r>
        <w:rPr>
          <w:rStyle w:val="OperatorTok"/>
        </w:rPr>
        <w:t xml:space="preserve">=</w:t>
      </w:r>
      <w:r>
        <w:rPr>
          <w:rStyle w:val="NormalTok"/>
        </w:rPr>
        <w:t xml:space="preserve"> [], </w:t>
      </w:r>
      <w:r>
        <w:rPr>
          <w:rStyle w:val="DecValTok"/>
        </w:rPr>
        <w:t xml:space="preserve">0</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i, byte </w:t>
      </w:r>
      <w:r>
        <w:rPr>
          <w:rStyle w:val="KeywordTok"/>
        </w:rPr>
        <w:t xml:space="preserve">in</w:t>
      </w:r>
      <w:r>
        <w:rPr>
          <w:rStyle w:val="NormalTok"/>
        </w:rPr>
        <w:t xml:space="preserve"> </w:t>
      </w:r>
      <w:r>
        <w:rPr>
          <w:rStyle w:val="BuiltInTok"/>
        </w:rPr>
        <w:t xml:space="preserve">enumerate</w:t>
      </w:r>
      <w:r>
        <w:rPr>
          <w:rStyle w:val="NormalTok"/>
        </w:rPr>
        <w:t xml:space="preserve">(data):</w:t>
      </w:r>
      <w:r>
        <w:br/>
      </w:r>
      <w:r>
        <w:rPr>
          <w:rStyle w:val="NormalTok"/>
        </w:rPr>
        <w:t xml:space="preserve">        h </w:t>
      </w:r>
      <w:r>
        <w:rPr>
          <w:rStyle w:val="OperatorTok"/>
        </w:rPr>
        <w:t xml:space="preserve">=</w:t>
      </w:r>
      <w:r>
        <w:rPr>
          <w:rStyle w:val="NormalTok"/>
        </w:rPr>
        <w:t xml:space="preserve"> (h </w:t>
      </w:r>
      <w:r>
        <w:rPr>
          <w:rStyle w:val="OperatorTok"/>
        </w:rPr>
        <w:t xml:space="preserve">*</w:t>
      </w:r>
      <w:r>
        <w:rPr>
          <w:rStyle w:val="NormalTok"/>
        </w:rPr>
        <w:t xml:space="preserve"> BASE </w:t>
      </w:r>
      <w:r>
        <w:rPr>
          <w:rStyle w:val="OperatorTok"/>
        </w:rPr>
        <w:t xml:space="preserve">+</w:t>
      </w:r>
      <w:r>
        <w:rPr>
          <w:rStyle w:val="NormalTok"/>
        </w:rPr>
        <w:t xml:space="preserve"> byte) </w:t>
      </w:r>
      <w:r>
        <w:rPr>
          <w:rStyle w:val="OperatorTok"/>
        </w:rPr>
        <w:t xml:space="preserve">%</w:t>
      </w:r>
      <w:r>
        <w:rPr>
          <w:rStyle w:val="NormalTok"/>
        </w:rPr>
        <w:t xml:space="preserve"> MOD</w:t>
      </w:r>
      <w:r>
        <w:br/>
      </w:r>
      <w:r>
        <w:rPr>
          <w:rStyle w:val="NormalTok"/>
        </w:rPr>
        <w:t xml:space="preserve">        </w:t>
      </w:r>
      <w:r>
        <w:rPr>
          <w:rStyle w:val="ControlFlowTok"/>
        </w:rPr>
        <w:t xml:space="preserve">if</w:t>
      </w:r>
      <w:r>
        <w:rPr>
          <w:rStyle w:val="NormalTok"/>
        </w:rPr>
        <w:t xml:space="preserve"> i </w:t>
      </w:r>
      <w:r>
        <w:rPr>
          <w:rStyle w:val="OperatorTok"/>
        </w:rPr>
        <w:t xml:space="preserve">&gt;=</w:t>
      </w:r>
      <w:r>
        <w:rPr>
          <w:rStyle w:val="NormalTok"/>
        </w:rPr>
        <w:t xml:space="preserve"> WINDOW:</w:t>
      </w:r>
      <w:r>
        <w:br/>
      </w:r>
      <w:r>
        <w:rPr>
          <w:rStyle w:val="NormalTok"/>
        </w:rPr>
        <w:t xml:space="preserve">            h </w:t>
      </w:r>
      <w:r>
        <w:rPr>
          <w:rStyle w:val="OperatorTok"/>
        </w:rPr>
        <w:t xml:space="preserve">=</w:t>
      </w:r>
      <w:r>
        <w:rPr>
          <w:rStyle w:val="NormalTok"/>
        </w:rPr>
        <w:t xml:space="preserve"> (h </w:t>
      </w:r>
      <w:r>
        <w:rPr>
          <w:rStyle w:val="OperatorTok"/>
        </w:rPr>
        <w:t xml:space="preserve">-</w:t>
      </w:r>
      <w:r>
        <w:rPr>
          <w:rStyle w:val="NormalTok"/>
        </w:rPr>
        <w:t xml:space="preserve"> data[i </w:t>
      </w:r>
      <w:r>
        <w:rPr>
          <w:rStyle w:val="OperatorTok"/>
        </w:rPr>
        <w:t xml:space="preserve">-</w:t>
      </w:r>
      <w:r>
        <w:rPr>
          <w:rStyle w:val="NormalTok"/>
        </w:rPr>
        <w:t xml:space="preserve"> WINDOW] </w:t>
      </w:r>
      <w:r>
        <w:rPr>
          <w:rStyle w:val="OperatorTok"/>
        </w:rPr>
        <w:t xml:space="preserve">*</w:t>
      </w:r>
      <w:r>
        <w:rPr>
          <w:rStyle w:val="NormalTok"/>
        </w:rPr>
        <w:t xml:space="preserve"> BASE_OUT) </w:t>
      </w:r>
      <w:r>
        <w:rPr>
          <w:rStyle w:val="OperatorTok"/>
        </w:rPr>
        <w:t xml:space="preserve">%</w:t>
      </w:r>
      <w:r>
        <w:rPr>
          <w:rStyle w:val="NormalTok"/>
        </w:rPr>
        <w:t xml:space="preserve"> MOD   </w:t>
      </w:r>
      <w:r>
        <w:rPr>
          <w:rStyle w:val="CommentTok"/>
        </w:rPr>
        <w:t xml:space="preserve"># roll the oldest byte out</w:t>
      </w:r>
      <w:r>
        <w:br/>
      </w:r>
      <w:r>
        <w:rPr>
          <w:rStyle w:val="NormalTok"/>
        </w:rPr>
        <w:t xml:space="preserve">        size </w:t>
      </w:r>
      <w:r>
        <w:rPr>
          <w:rStyle w:val="OperatorTok"/>
        </w:rPr>
        <w:t xml:space="preserve">=</w:t>
      </w:r>
      <w:r>
        <w:rPr>
          <w:rStyle w:val="NormalTok"/>
        </w:rPr>
        <w:t xml:space="preserve"> i </w:t>
      </w:r>
      <w:r>
        <w:rPr>
          <w:rStyle w:val="OperatorTok"/>
        </w:rPr>
        <w:t xml:space="preserve">-</w:t>
      </w:r>
      <w:r>
        <w:rPr>
          <w:rStyle w:val="NormalTok"/>
        </w:rPr>
        <w:t xml:space="preserve"> start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(size </w:t>
      </w:r>
      <w:r>
        <w:rPr>
          <w:rStyle w:val="OperatorTok"/>
        </w:rPr>
        <w:t xml:space="preserve">&gt;=</w:t>
      </w:r>
      <w:r>
        <w:rPr>
          <w:rStyle w:val="NormalTok"/>
        </w:rPr>
        <w:t xml:space="preserve"> MIN_CHUNK </w:t>
      </w:r>
      <w:r>
        <w:rPr>
          <w:rStyle w:val="KeywordTok"/>
        </w:rPr>
        <w:t xml:space="preserve">and</w:t>
      </w:r>
      <w:r>
        <w:rPr>
          <w:rStyle w:val="NormalTok"/>
        </w:rPr>
        <w:t xml:space="preserve"> (h </w:t>
      </w:r>
      <w:r>
        <w:rPr>
          <w:rStyle w:val="OperatorTok"/>
        </w:rPr>
        <w:t xml:space="preserve">&amp;</w:t>
      </w:r>
      <w:r>
        <w:rPr>
          <w:rStyle w:val="NormalTok"/>
        </w:rPr>
        <w:t xml:space="preserve"> MASK) </w:t>
      </w:r>
      <w:r>
        <w:rPr>
          <w:rStyle w:val="OperatorTok"/>
        </w:rPr>
        <w:t xml:space="preserve">==</w:t>
      </w:r>
      <w:r>
        <w:rPr>
          <w:rStyle w:val="NormalTok"/>
        </w:rPr>
        <w:t xml:space="preserve"> MAGIC) </w:t>
      </w:r>
      <w:r>
        <w:rPr>
          <w:rStyle w:val="KeywordTok"/>
        </w:rPr>
        <w:t xml:space="preserve">or</w:t>
      </w:r>
      <w:r>
        <w:rPr>
          <w:rStyle w:val="NormalTok"/>
        </w:rPr>
        <w:t xml:space="preserve"> size </w:t>
      </w:r>
      <w:r>
        <w:rPr>
          <w:rStyle w:val="OperatorTok"/>
        </w:rPr>
        <w:t xml:space="preserve">&gt;=</w:t>
      </w:r>
      <w:r>
        <w:rPr>
          <w:rStyle w:val="NormalTok"/>
        </w:rPr>
        <w:t xml:space="preserve"> MAX_CHUNK:</w:t>
      </w:r>
      <w:r>
        <w:br/>
      </w:r>
      <w:r>
        <w:rPr>
          <w:rStyle w:val="NormalTok"/>
        </w:rPr>
        <w:t xml:space="preserve">            chunks.append(data[start:i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start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start </w:t>
      </w:r>
      <w:r>
        <w:rPr>
          <w:rStyle w:val="OperatorTok"/>
        </w:rPr>
        <w:t xml:space="preserve">&lt;</w:t>
      </w:r>
      <w:r>
        <w:rPr>
          <w:rStyle w:val="NormalTok"/>
        </w:rPr>
        <w:t xml:space="preserve"> </w:t>
      </w:r>
      <w:r>
        <w:rPr>
          <w:rStyle w:val="BuiltInTok"/>
        </w:rPr>
        <w:t xml:space="preserve">len</w:t>
      </w:r>
      <w:r>
        <w:rPr>
          <w:rStyle w:val="NormalTok"/>
        </w:rPr>
        <w:t xml:space="preserve">(data):</w:t>
      </w:r>
      <w:r>
        <w:br/>
      </w:r>
      <w:r>
        <w:rPr>
          <w:rStyle w:val="NormalTok"/>
        </w:rPr>
        <w:t xml:space="preserve">        chunks.append(data[start:])</w:t>
      </w:r>
      <w:r>
        <w:br/>
      </w:r>
      <w:r>
        <w:rPr>
          <w:rStyle w:val="NormalTok"/>
        </w:rPr>
        <w:t xml:space="preserve">    </w:t>
      </w:r>
      <w:r>
        <w:rPr>
          <w:rStyle w:val="ControlFlowTok"/>
        </w:rPr>
        <w:t xml:space="preserve">return</w:t>
      </w:r>
      <w:r>
        <w:rPr>
          <w:rStyle w:val="NormalTok"/>
        </w:rPr>
        <w:t xml:space="preserve"> chunks</w:t>
      </w:r>
      <w:r>
        <w:br/>
      </w:r>
      <w:r>
        <w:br/>
      </w:r>
      <w:r>
        <w:br/>
      </w:r>
      <w:r>
        <w:rPr>
          <w:rStyle w:val="KeywordTok"/>
        </w:rPr>
        <w:t xml:space="preserve">def</w:t>
      </w:r>
      <w:r>
        <w:rPr>
          <w:rStyle w:val="NormalTok"/>
        </w:rPr>
        <w:t xml:space="preserve"> fixed_chunks(data, size</w:t>
      </w:r>
      <w:r>
        <w:rPr>
          <w:rStyle w:val="OperatorTok"/>
        </w:rPr>
        <w:t xml:space="preserve">=</w:t>
      </w:r>
      <w:r>
        <w:rPr>
          <w:rStyle w:val="DecValTok"/>
        </w:rPr>
        <w:t xml:space="preserve">8</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w:t>
      </w:r>
      <w:r>
        <w:br/>
      </w:r>
      <w:r>
        <w:rPr>
          <w:rStyle w:val="NormalTok"/>
        </w:rPr>
        <w:t xml:space="preserve">    </w:t>
      </w:r>
      <w:r>
        <w:rPr>
          <w:rStyle w:val="ControlFlowTok"/>
        </w:rPr>
        <w:t xml:space="preserve">return</w:t>
      </w:r>
      <w:r>
        <w:rPr>
          <w:rStyle w:val="NormalTok"/>
        </w:rPr>
        <w:t xml:space="preserve"> [data[i:i </w:t>
      </w:r>
      <w:r>
        <w:rPr>
          <w:rStyle w:val="OperatorTok"/>
        </w:rPr>
        <w:t xml:space="preserve">+</w:t>
      </w:r>
      <w:r>
        <w:rPr>
          <w:rStyle w:val="NormalTok"/>
        </w:rPr>
        <w:t xml:space="preserve"> size]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 </w:t>
      </w:r>
      <w:r>
        <w:rPr>
          <w:rStyle w:val="BuiltInTok"/>
        </w:rPr>
        <w:t xml:space="preserve">len</w:t>
      </w:r>
      <w:r>
        <w:rPr>
          <w:rStyle w:val="NormalTok"/>
        </w:rPr>
        <w:t xml:space="preserve">(data), size)]</w:t>
      </w:r>
      <w:r>
        <w:br/>
      </w:r>
      <w:r>
        <w:br/>
      </w:r>
      <w:r>
        <w:br/>
      </w:r>
      <w:r>
        <w:rPr>
          <w:rStyle w:val="KeywordTok"/>
        </w:rPr>
        <w:t xml:space="preserve">def</w:t>
      </w:r>
      <w:r>
        <w:rPr>
          <w:rStyle w:val="NormalTok"/>
        </w:rPr>
        <w:t xml:space="preserve"> shared_fraction(old, new):</w:t>
      </w:r>
      <w:r>
        <w:br/>
      </w:r>
      <w:r>
        <w:rPr>
          <w:rStyle w:val="NormalTok"/>
        </w:rPr>
        <w:t xml:space="preserve">    </w:t>
      </w:r>
      <w:r>
        <w:rPr>
          <w:rStyle w:val="CommentTok"/>
        </w:rPr>
        <w:t xml:space="preserve">"""Fraction of the new version's bytes found in chunks already stored."""</w:t>
      </w:r>
      <w:r>
        <w:br/>
      </w:r>
      <w:r>
        <w:rPr>
          <w:rStyle w:val="NormalTok"/>
        </w:rPr>
        <w:t xml:space="preserve">    stored </w:t>
      </w:r>
      <w:r>
        <w:rPr>
          <w:rStyle w:val="OperatorTok"/>
        </w:rPr>
        <w:t xml:space="preserve">=</w:t>
      </w:r>
      <w:r>
        <w:rPr>
          <w:rStyle w:val="NormalTok"/>
        </w:rPr>
        <w:t xml:space="preserve"> {hashlib.sha256(c).digest() </w:t>
      </w:r>
      <w:r>
        <w:rPr>
          <w:rStyle w:val="ControlFlowTok"/>
        </w:rPr>
        <w:t xml:space="preserve">for</w:t>
      </w:r>
      <w:r>
        <w:rPr>
          <w:rStyle w:val="NormalTok"/>
        </w:rPr>
        <w:t xml:space="preserve"> c </w:t>
      </w:r>
      <w:r>
        <w:rPr>
          <w:rStyle w:val="KeywordTok"/>
        </w:rPr>
        <w:t xml:space="preserve">in</w:t>
      </w:r>
      <w:r>
        <w:rPr>
          <w:rStyle w:val="NormalTok"/>
        </w:rPr>
        <w:t xml:space="preserve"> old}</w:t>
      </w:r>
      <w:r>
        <w:br/>
      </w:r>
      <w:r>
        <w:rPr>
          <w:rStyle w:val="NormalTok"/>
        </w:rPr>
        <w:t xml:space="preserve">    reused </w:t>
      </w:r>
      <w:r>
        <w:rPr>
          <w:rStyle w:val="OperatorTok"/>
        </w:rPr>
        <w:t xml:space="preserve">=</w:t>
      </w:r>
      <w:r>
        <w:rPr>
          <w:rStyle w:val="NormalTok"/>
        </w:rPr>
        <w:t xml:space="preserve"> </w:t>
      </w:r>
      <w:r>
        <w:rPr>
          <w:rStyle w:val="BuiltInTok"/>
        </w:rPr>
        <w:t xml:space="preserve">sum</w:t>
      </w:r>
      <w:r>
        <w:rPr>
          <w:rStyle w:val="NormalTok"/>
        </w:rPr>
        <w:t xml:space="preserve">(</w:t>
      </w:r>
      <w:r>
        <w:rPr>
          <w:rStyle w:val="BuiltInTok"/>
        </w:rPr>
        <w:t xml:space="preserve">len</w:t>
      </w:r>
      <w:r>
        <w:rPr>
          <w:rStyle w:val="NormalTok"/>
        </w:rPr>
        <w:t xml:space="preserve">(c) </w:t>
      </w:r>
      <w:r>
        <w:rPr>
          <w:rStyle w:val="ControlFlowTok"/>
        </w:rPr>
        <w:t xml:space="preserve">for</w:t>
      </w:r>
      <w:r>
        <w:rPr>
          <w:rStyle w:val="NormalTok"/>
        </w:rPr>
        <w:t xml:space="preserve"> c </w:t>
      </w:r>
      <w:r>
        <w:rPr>
          <w:rStyle w:val="KeywordTok"/>
        </w:rPr>
        <w:t xml:space="preserve">in</w:t>
      </w:r>
      <w:r>
        <w:rPr>
          <w:rStyle w:val="NormalTok"/>
        </w:rPr>
        <w:t xml:space="preserve"> new </w:t>
      </w:r>
      <w:r>
        <w:rPr>
          <w:rStyle w:val="ControlFlowTok"/>
        </w:rPr>
        <w:t xml:space="preserve">if</w:t>
      </w:r>
      <w:r>
        <w:rPr>
          <w:rStyle w:val="NormalTok"/>
        </w:rPr>
        <w:t xml:space="preserve"> hashlib.sha256(c).digest() </w:t>
      </w:r>
      <w:r>
        <w:rPr>
          <w:rStyle w:val="KeywordTok"/>
        </w:rPr>
        <w:t xml:space="preserve">in</w:t>
      </w:r>
      <w:r>
        <w:rPr>
          <w:rStyle w:val="NormalTok"/>
        </w:rPr>
        <w:t xml:space="preserve"> stored)</w:t>
      </w:r>
      <w:r>
        <w:br/>
      </w:r>
      <w:r>
        <w:rPr>
          <w:rStyle w:val="NormalTok"/>
        </w:rPr>
        <w:t xml:space="preserve">    </w:t>
      </w:r>
      <w:r>
        <w:rPr>
          <w:rStyle w:val="ControlFlowTok"/>
        </w:rPr>
        <w:t xml:space="preserve">return</w:t>
      </w:r>
      <w:r>
        <w:rPr>
          <w:rStyle w:val="NormalTok"/>
        </w:rPr>
        <w:t xml:space="preserve"> reused </w:t>
      </w:r>
      <w:r>
        <w:rPr>
          <w:rStyle w:val="OperatorTok"/>
        </w:rPr>
        <w:t xml:space="preserve">/</w:t>
      </w:r>
      <w:r>
        <w:rPr>
          <w:rStyle w:val="NormalTok"/>
        </w:rPr>
        <w:t xml:space="preserve"> </w:t>
      </w:r>
      <w:r>
        <w:rPr>
          <w:rStyle w:val="BuiltInTok"/>
        </w:rPr>
        <w:t xml:space="preserve">sum</w:t>
      </w:r>
      <w:r>
        <w:rPr>
          <w:rStyle w:val="NormalTok"/>
        </w:rPr>
        <w:t xml:space="preserve">(</w:t>
      </w:r>
      <w:r>
        <w:rPr>
          <w:rStyle w:val="BuiltInTok"/>
        </w:rPr>
        <w:t xml:space="preserve">len</w:t>
      </w:r>
      <w:r>
        <w:rPr>
          <w:rStyle w:val="NormalTok"/>
        </w:rPr>
        <w:t xml:space="preserve">(c) </w:t>
      </w:r>
      <w:r>
        <w:rPr>
          <w:rStyle w:val="ControlFlowTok"/>
        </w:rPr>
        <w:t xml:space="preserve">for</w:t>
      </w:r>
      <w:r>
        <w:rPr>
          <w:rStyle w:val="NormalTok"/>
        </w:rPr>
        <w:t xml:space="preserve"> c </w:t>
      </w:r>
      <w:r>
        <w:rPr>
          <w:rStyle w:val="KeywordTok"/>
        </w:rPr>
        <w:t xml:space="preserve">in</w:t>
      </w:r>
      <w:r>
        <w:rPr>
          <w:rStyle w:val="NormalTok"/>
        </w:rPr>
        <w:t xml:space="preserve"> new)</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rng </w:t>
      </w:r>
      <w:r>
        <w:rPr>
          <w:rStyle w:val="OperatorTok"/>
        </w:rPr>
        <w:t xml:space="preserve">=</w:t>
      </w:r>
      <w:r>
        <w:rPr>
          <w:rStyle w:val="NormalTok"/>
        </w:rPr>
        <w:t xml:space="preserve"> random.Random(</w:t>
      </w:r>
      <w:r>
        <w:rPr>
          <w:rStyle w:val="DecValTok"/>
        </w:rPr>
        <w:t xml:space="preserve">42</w:t>
      </w:r>
      <w:r>
        <w:rPr>
          <w:rStyle w:val="NormalTok"/>
        </w:rPr>
        <w:t xml:space="preserve">)</w:t>
      </w:r>
      <w:r>
        <w:br/>
      </w:r>
      <w:r>
        <w:rPr>
          <w:rStyle w:val="NormalTok"/>
        </w:rPr>
        <w:t xml:space="preserve">    v1 </w:t>
      </w:r>
      <w:r>
        <w:rPr>
          <w:rStyle w:val="OperatorTok"/>
        </w:rPr>
        <w:t xml:space="preserve">=</w:t>
      </w:r>
      <w:r>
        <w:rPr>
          <w:rStyle w:val="NormalTok"/>
        </w:rPr>
        <w:t xml:space="preserve"> </w:t>
      </w:r>
      <w:r>
        <w:rPr>
          <w:rStyle w:val="BuiltInTok"/>
        </w:rPr>
        <w:t xml:space="preserve">bytes</w:t>
      </w:r>
      <w:r>
        <w:rPr>
          <w:rStyle w:val="NormalTok"/>
        </w:rPr>
        <w:t xml:space="preserve">(rng.randrange(</w:t>
      </w:r>
      <w:r>
        <w:rPr>
          <w:rStyle w:val="DecValTok"/>
        </w:rPr>
        <w:t xml:space="preserve">256</w:t>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2_000_000</w:t>
      </w:r>
      <w:r>
        <w:rPr>
          <w:rStyle w:val="NormalTok"/>
        </w:rPr>
        <w:t xml:space="preserve">))   </w:t>
      </w:r>
      <w:r>
        <w:rPr>
          <w:rStyle w:val="CommentTok"/>
        </w:rPr>
        <w:t xml:space="preserve"># 2 MB "file"</w:t>
      </w:r>
      <w:r>
        <w:br/>
      </w:r>
      <w:r>
        <w:rPr>
          <w:rStyle w:val="NormalTok"/>
        </w:rPr>
        <w:t xml:space="preserve">    v2 </w:t>
      </w:r>
      <w:r>
        <w:rPr>
          <w:rStyle w:val="OperatorTok"/>
        </w:rPr>
        <w:t xml:space="preserve">=</w:t>
      </w:r>
      <w:r>
        <w:rPr>
          <w:rStyle w:val="NormalTok"/>
        </w:rPr>
        <w:t xml:space="preserve"> </w:t>
      </w:r>
      <w:r>
        <w:rPr>
          <w:rStyle w:val="StringTok"/>
        </w:rPr>
        <w:t xml:space="preserve">b"inserted header!"</w:t>
      </w:r>
      <w:r>
        <w:rPr>
          <w:rStyle w:val="NormalTok"/>
        </w:rPr>
        <w:t xml:space="preserve"> </w:t>
      </w:r>
      <w:r>
        <w:rPr>
          <w:rStyle w:val="OperatorTok"/>
        </w:rPr>
        <w:t xml:space="preserve">+</w:t>
      </w:r>
      <w:r>
        <w:rPr>
          <w:rStyle w:val="NormalTok"/>
        </w:rPr>
        <w:t xml:space="preserve"> v1[:</w:t>
      </w:r>
      <w:r>
        <w:rPr>
          <w:rStyle w:val="DecValTok"/>
        </w:rPr>
        <w:t xml:space="preserve">900_000</w:t>
      </w:r>
      <w:r>
        <w:rPr>
          <w:rStyle w:val="NormalTok"/>
        </w:rPr>
        <w:t xml:space="preserve">] </w:t>
      </w:r>
      <w:r>
        <w:rPr>
          <w:rStyle w:val="OperatorTok"/>
        </w:rPr>
        <w:t xml:space="preserve">+</w:t>
      </w:r>
      <w:r>
        <w:rPr>
          <w:rStyle w:val="NormalTok"/>
        </w:rPr>
        <w:t xml:space="preserve"> </w:t>
      </w:r>
      <w:r>
        <w:rPr>
          <w:rStyle w:val="StringTok"/>
        </w:rPr>
        <w:t xml:space="preserve">b"edit"</w:t>
      </w:r>
      <w:r>
        <w:rPr>
          <w:rStyle w:val="NormalTok"/>
        </w:rPr>
        <w:t xml:space="preserve"> </w:t>
      </w:r>
      <w:r>
        <w:rPr>
          <w:rStyle w:val="OperatorTok"/>
        </w:rPr>
        <w:t xml:space="preserve">+</w:t>
      </w:r>
      <w:r>
        <w:rPr>
          <w:rStyle w:val="NormalTok"/>
        </w:rPr>
        <w:t xml:space="preserve"> v1[</w:t>
      </w:r>
      <w:r>
        <w:rPr>
          <w:rStyle w:val="DecValTok"/>
        </w:rPr>
        <w:t xml:space="preserve">900_000</w:t>
      </w:r>
      <w:r>
        <w:rPr>
          <w:rStyle w:val="NormalTok"/>
        </w:rPr>
        <w:t xml:space="preserve">:]</w:t>
      </w:r>
      <w:r>
        <w:br/>
      </w:r>
      <w:r>
        <w:br/>
      </w:r>
      <w:r>
        <w:rPr>
          <w:rStyle w:val="NormalTok"/>
        </w:rPr>
        <w:t xml:space="preserve">    </w:t>
      </w:r>
      <w:r>
        <w:rPr>
          <w:rStyle w:val="ControlFlowTok"/>
        </w:rPr>
        <w:t xml:space="preserve">for</w:t>
      </w:r>
      <w:r>
        <w:rPr>
          <w:rStyle w:val="NormalTok"/>
        </w:rPr>
        <w:t xml:space="preserve"> name, chunker </w:t>
      </w:r>
      <w:r>
        <w:rPr>
          <w:rStyle w:val="KeywordTok"/>
        </w:rPr>
        <w:t xml:space="preserve">in</w:t>
      </w:r>
      <w:r>
        <w:rPr>
          <w:rStyle w:val="NormalTok"/>
        </w:rPr>
        <w:t xml:space="preserve"> ((</w:t>
      </w:r>
      <w:r>
        <w:rPr>
          <w:rStyle w:val="StringTok"/>
        </w:rPr>
        <w:t xml:space="preserve">"fixed 8 KiB"</w:t>
      </w:r>
      <w:r>
        <w:rPr>
          <w:rStyle w:val="NormalTok"/>
        </w:rPr>
        <w:t xml:space="preserve">, fixed_chunks), (</w:t>
      </w:r>
      <w:r>
        <w:rPr>
          <w:rStyle w:val="StringTok"/>
        </w:rPr>
        <w:t xml:space="preserve">"content-defined"</w:t>
      </w:r>
      <w:r>
        <w:rPr>
          <w:rStyle w:val="NormalTok"/>
        </w:rPr>
        <w:t xml:space="preserve">, cdc_chunks)):</w:t>
      </w:r>
      <w:r>
        <w:br/>
      </w:r>
      <w:r>
        <w:rPr>
          <w:rStyle w:val="NormalTok"/>
        </w:rPr>
        <w:t xml:space="preserve">        a, b </w:t>
      </w:r>
      <w:r>
        <w:rPr>
          <w:rStyle w:val="OperatorTok"/>
        </w:rPr>
        <w:t xml:space="preserve">=</w:t>
      </w:r>
      <w:r>
        <w:rPr>
          <w:rStyle w:val="NormalTok"/>
        </w:rPr>
        <w:t xml:space="preserve"> chunker(v1), chunker(v2)</w:t>
      </w:r>
      <w:r>
        <w:br/>
      </w:r>
      <w:r>
        <w:rPr>
          <w:rStyle w:val="NormalTok"/>
        </w:rPr>
        <w:t xml:space="preserve">        avg </w:t>
      </w:r>
      <w:r>
        <w:rPr>
          <w:rStyle w:val="OperatorTok"/>
        </w:rPr>
        <w:t xml:space="preserve">=</w:t>
      </w:r>
      <w:r>
        <w:rPr>
          <w:rStyle w:val="NormalTok"/>
        </w:rPr>
        <w:t xml:space="preserve"> </w:t>
      </w:r>
      <w:r>
        <w:rPr>
          <w:rStyle w:val="BuiltInTok"/>
        </w:rPr>
        <w:t xml:space="preserve">sum</w:t>
      </w:r>
      <w:r>
        <w:rPr>
          <w:rStyle w:val="NormalTok"/>
        </w:rPr>
        <w:t xml:space="preserve">(</w:t>
      </w:r>
      <w:r>
        <w:rPr>
          <w:rStyle w:val="BuiltInTok"/>
        </w:rPr>
        <w:t xml:space="preserve">map</w:t>
      </w:r>
      <w:r>
        <w:rPr>
          <w:rStyle w:val="NormalTok"/>
        </w:rPr>
        <w:t xml:space="preserve">(</w:t>
      </w:r>
      <w:r>
        <w:rPr>
          <w:rStyle w:val="BuiltInTok"/>
        </w:rPr>
        <w:t xml:space="preserve">len</w:t>
      </w:r>
      <w:r>
        <w:rPr>
          <w:rStyle w:val="NormalTok"/>
        </w:rPr>
        <w:t xml:space="preserve">, a)) </w:t>
      </w:r>
      <w:r>
        <w:rPr>
          <w:rStyle w:val="OperatorTok"/>
        </w:rPr>
        <w:t xml:space="preserve">/</w:t>
      </w:r>
      <w:r>
        <w:rPr>
          <w:rStyle w:val="NormalTok"/>
        </w:rPr>
        <w:t xml:space="preserve"> </w:t>
      </w:r>
      <w:r>
        <w:rPr>
          <w:rStyle w:val="BuiltInTok"/>
        </w:rPr>
        <w:t xml:space="preserve">len</w:t>
      </w:r>
      <w:r>
        <w:rPr>
          <w:rStyle w:val="NormalTok"/>
        </w:rPr>
        <w:t xml:space="preserve">(a)</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:16s}</w:t>
      </w:r>
      <w:r>
        <w:rPr>
          <w:rStyle w:val="SpecialStringTok"/>
        </w:rPr>
        <w:t xml:space="preserve"> chunks=</w:t>
      </w:r>
      <w:r>
        <w:rPr>
          <w:rStyle w:val="SpecialCharTok"/>
        </w:rPr>
        <w:t xml:space="preserve">{</w:t>
      </w:r>
      <w:r>
        <w:rPr>
          <w:rStyle w:val="BuiltInTok"/>
        </w:rPr>
        <w:t xml:space="preserve">len</w:t>
      </w:r>
      <w:r>
        <w:rPr>
          <w:rStyle w:val="NormalTok"/>
        </w:rPr>
        <w:t xml:space="preserve">(a)</w:t>
      </w:r>
      <w:r>
        <w:rPr>
          <w:rStyle w:val="SpecialCharTok"/>
        </w:rPr>
        <w:t xml:space="preserve">:4d}</w:t>
      </w:r>
      <w:r>
        <w:rPr>
          <w:rStyle w:val="SpecialStringTok"/>
        </w:rPr>
        <w:t xml:space="preserve"> avg=</w:t>
      </w:r>
      <w:r>
        <w:rPr>
          <w:rStyle w:val="SpecialCharTok"/>
        </w:rPr>
        <w:t xml:space="preserve">{</w:t>
      </w:r>
      <w:r>
        <w:rPr>
          <w:rStyle w:val="NormalTok"/>
        </w:rPr>
        <w:t xml:space="preserve">avg</w:t>
      </w:r>
      <w:r>
        <w:rPr>
          <w:rStyle w:val="SpecialCharTok"/>
        </w:rPr>
        <w:t xml:space="preserve">:8.0f}</w:t>
      </w:r>
      <w:r>
        <w:rPr>
          <w:rStyle w:val="SpecialStringTok"/>
        </w:rPr>
        <w:t xml:space="preserve"> B "</w:t>
      </w:r>
      <w:r>
        <w:br/>
      </w:r>
      <w:r>
        <w:rPr>
          <w:rStyle w:val="NormalTok"/>
        </w:rPr>
        <w:t xml:space="preserve">              </w:t>
      </w:r>
      <w:r>
        <w:rPr>
          <w:rStyle w:val="SpecialStringTok"/>
        </w:rPr>
        <w:t xml:space="preserve">f"reused after edit=</w:t>
      </w:r>
      <w:r>
        <w:rPr>
          <w:rStyle w:val="SpecialCharTok"/>
        </w:rPr>
        <w:t xml:space="preserve">{</w:t>
      </w:r>
      <w:r>
        <w:rPr>
          <w:rStyle w:val="NormalTok"/>
        </w:rPr>
        <w:t xml:space="preserve">shared_fraction(a, b)</w:t>
      </w:r>
      <w:r>
        <w:rPr>
          <w:rStyle w:val="SpecialCharTok"/>
        </w:rPr>
        <w:t xml:space="preserve">:6.1%}</w:t>
      </w:r>
      <w:r>
        <w:rPr>
          <w:rStyle w:val="SpecialStringTok"/>
        </w:rPr>
        <w:t xml:space="preserve">"</w:t>
      </w:r>
      <w:r>
        <w:rPr>
          <w:rStyle w:val="NormalTok"/>
        </w:rPr>
        <w:t xml:space="preserve">)</w:t>
      </w:r>
    </w:p>
    <w:p>
      <w:pPr>
        <w:pStyle w:val="FirstParagraph"/>
      </w:pPr>
      <w:r>
        <w:t xml:space="preserve">Output (Python 3, about 2 s):</w:t>
      </w:r>
    </w:p>
    <w:p>
      <w:pPr>
        <w:pStyle w:val="SourceCode"/>
      </w:pPr>
      <w:r>
        <w:rPr>
          <w:rStyle w:val="VerbatimChar"/>
        </w:rPr>
        <w:t xml:space="preserve">fixed 8 KiB      chunks= 245 avg=    8163 B reused after edit=  0.0%</w:t>
      </w:r>
      <w:r>
        <w:br/>
      </w:r>
      <w:r>
        <w:rPr>
          <w:rStyle w:val="VerbatimChar"/>
        </w:rPr>
        <w:t xml:space="preserve">content-defined  chunks= 185 avg=   10811 B reused after edit= 98.5%</w:t>
      </w:r>
    </w:p>
    <w:p>
      <w:pPr>
        <w:pStyle w:val="FirstParagraph"/>
      </w:pPr>
      <w:r>
        <w:t xml:space="preserve">What to notice:</w:t>
      </w:r>
    </w:p>
    <w:p>
      <w:pPr>
        <w:numPr>
          <w:ilvl w:val="0"/>
          <w:numId w:val="1519"/>
        </w:numPr>
        <w:pStyle w:val="Compact"/>
      </w:pPr>
      <w:r>
        <w:t xml:space="preserve">The hash depends only on the last 48 bytes, so after an insertion the boundaries re-synchronize within one chunk, and every later chunk is byte-identical to before.</w:t>
      </w:r>
    </w:p>
    <w:p>
      <w:pPr>
        <w:numPr>
          <w:ilvl w:val="0"/>
          <w:numId w:val="1519"/>
        </w:numPr>
        <w:pStyle w:val="Compact"/>
      </w:pPr>
      <w:r>
        <w:t xml:space="preserve">Fixed-size chunking reuses nothing: a 16-byte insertion at the front shifts every block boundary.</w:t>
      </w:r>
    </w:p>
    <w:p>
      <w:pPr>
        <w:numPr>
          <w:ilvl w:val="0"/>
          <w:numId w:val="1519"/>
        </w:numPr>
        <w:pStyle w:val="Compact"/>
      </w:pPr>
      <w:r>
        <w:t xml:space="preserve">The measured average (about 10.8 KB) matches</w:t>
      </w:r>
      <w:r>
        <w:t xml:space="preserve"> </w:t>
      </w:r>
      <m:oMath>
        <m:sSub>
          <m:e>
            <m:r>
              <m:t>s</m:t>
            </m:r>
          </m:e>
          <m:sub>
            <m:r>
              <m:rPr>
                <m:sty m:val="p"/>
              </m:rPr>
              <m:t>min</m:t>
            </m:r>
          </m:sub>
        </m:sSub>
        <m:r>
          <m:rPr>
            <m:sty m:val="p"/>
          </m:rPr>
          <m:t>+</m:t>
        </m:r>
        <m:sSup>
          <m:e>
            <m:r>
              <m:t>2</m:t>
            </m:r>
          </m:e>
          <m:sup>
            <m:r>
              <m:t>13</m:t>
            </m:r>
          </m:sup>
        </m:sSup>
        <m:r>
          <m:rPr>
            <m:sty m:val="p"/>
          </m:rPr>
          <m:t>≈</m:t>
        </m:r>
        <m:r>
          <m:t>10.2</m:t>
        </m:r>
      </m:oMath>
      <w:r>
        <w:t xml:space="preserve"> </w:t>
      </w:r>
      <w:r>
        <w:t xml:space="preserve">KB within sampling noise.</w:t>
      </w:r>
    </w:p>
    <w:p>
      <w:pPr>
        <w:pStyle w:val="CalloutMistake"/>
      </w:pPr>
      <w:r>
        <w:rPr>
          <w:bCs/>
          <w:b/>
        </w:rPr>
        <w:t xml:space="preserve">COMMON MISTAKE</w:t>
      </w:r>
    </w:p>
    <w:p>
      <w:pPr>
        <w:pStyle w:val="CalloutMistake"/>
      </w:pPr>
      <w:r>
        <w:rPr>
          <w:bCs/>
          <w:b/>
        </w:rPr>
        <w:t xml:space="preserve">“</w:t>
      </w:r>
      <w:r>
        <w:rPr>
          <w:bCs/>
          <w:b/>
        </w:rPr>
        <w:t xml:space="preserve">Deduplicate everything, including encrypted data.</w:t>
      </w:r>
      <w:r>
        <w:rPr>
          <w:bCs/>
          <w:b/>
        </w:rPr>
        <w:t xml:space="preserve">”</w:t>
      </w:r>
      <w:r>
        <w:t xml:space="preserve"> </w:t>
      </w:r>
      <w:r>
        <w:t xml:space="preserve">Encryption with random IVs makes identical plaintext produce different ciphertext, so deduplication must happen before encryption or use deliberate (and privacy-weakening) convergent encryption. Cross-user deduplication can also leak whether a file exists elsewhere; many services deduplicate only within one account.</w:t>
      </w:r>
    </w:p>
    <w:bookmarkEnd w:id="1768"/>
    <w:bookmarkEnd w:id="1769"/>
    <w:bookmarkEnd w:id="1770"/>
    <w:bookmarkStart w:id="1774" w:name="storage-tiers-and-lifecycle-policies"/>
    <w:p>
      <w:pPr>
        <w:pStyle w:val="Heading2"/>
      </w:pPr>
      <w:r>
        <w:t xml:space="preserve">15.9 Storage tiers and lifecycle policies</w:t>
      </w:r>
    </w:p>
    <w:p>
      <w:pPr>
        <w:pStyle w:val="CalloutDefinition"/>
      </w:pPr>
      <w:r>
        <w:rPr>
          <w:bCs/>
          <w:b/>
        </w:rPr>
        <w:t xml:space="preserve">DEFINITION</w:t>
      </w:r>
    </w:p>
    <w:p>
      <w:pPr>
        <w:pStyle w:val="CalloutDefinition"/>
      </w:pPr>
      <w:r>
        <w:rPr>
          <w:bCs/>
          <w:b/>
        </w:rPr>
        <w:t xml:space="preserve">Definition — Storage tier and lifecycle policy.</w:t>
      </w:r>
      <w:r>
        <w:t xml:space="preserve"> </w:t>
      </w:r>
      <w:r>
        <w:t xml:space="preserve">A</w:t>
      </w:r>
      <w:r>
        <w:t xml:space="preserve"> </w:t>
      </w:r>
      <w:r>
        <w:rPr>
          <w:bCs/>
          <w:b/>
        </w:rPr>
        <w:t xml:space="preserve">storage tier</w:t>
      </w:r>
      <w:r>
        <w:t xml:space="preserve"> </w:t>
      </w:r>
      <w:r>
        <w:t xml:space="preserve">(storage class) is a price/performance point for the same data:</w:t>
      </w:r>
      <w:r>
        <w:t xml:space="preserve"> </w:t>
      </w:r>
      <w:r>
        <w:rPr>
          <w:bCs/>
          <w:b/>
        </w:rPr>
        <w:t xml:space="preserve">hot</w:t>
      </w:r>
      <w:r>
        <w:t xml:space="preserve"> </w:t>
      </w:r>
      <w:r>
        <w:t xml:space="preserve">(frequent access, highest storage price, no retrieval fee),</w:t>
      </w:r>
      <w:r>
        <w:t xml:space="preserve"> </w:t>
      </w:r>
      <w:r>
        <w:rPr>
          <w:bCs/>
          <w:b/>
        </w:rPr>
        <w:t xml:space="preserve">warm</w:t>
      </w:r>
      <w:r>
        <w:t xml:space="preserve"> </w:t>
      </w:r>
      <w:r>
        <w:t xml:space="preserve">or infrequent access (cheaper storage, per-GB retrieval fee, minimum storage duration),</w:t>
      </w:r>
      <w:r>
        <w:t xml:space="preserve"> </w:t>
      </w:r>
      <w:r>
        <w:rPr>
          <w:bCs/>
          <w:b/>
        </w:rPr>
        <w:t xml:space="preserve">cold</w:t>
      </w:r>
      <w:r>
        <w:t xml:space="preserve"> </w:t>
      </w:r>
      <w:r>
        <w:t xml:space="preserve">(cheaper again, slower or costlier retrieval) and</w:t>
      </w:r>
      <w:r>
        <w:t xml:space="preserve"> </w:t>
      </w:r>
      <w:r>
        <w:rPr>
          <w:bCs/>
          <w:b/>
        </w:rPr>
        <w:t xml:space="preserve">archive</w:t>
      </w:r>
      <w:r>
        <w:t xml:space="preserve"> </w:t>
      </w:r>
      <w:r>
        <w:t xml:space="preserve">(cheapest storage, retrieval in hours). A</w:t>
      </w:r>
      <w:r>
        <w:t xml:space="preserve"> </w:t>
      </w:r>
      <w:r>
        <w:rPr>
          <w:bCs/>
          <w:b/>
        </w:rPr>
        <w:t xml:space="preserve">lifecycle policy</w:t>
      </w:r>
      <w:r>
        <w:t xml:space="preserve"> </w:t>
      </w:r>
      <w:r>
        <w:t xml:space="preserve">is a set of rules, usually by prefix, tag or age, that automatically transitions objects between tiers and expires (deletes) them.</w:t>
      </w:r>
    </w:p>
    <w:p>
      <w:pPr>
        <w:pStyle w:val="BodyText"/>
      </w:pPr>
      <w:r>
        <w:t xml:space="preserve">Access frequency falls with age: photos are viewed for days, logs queried for a week and kept for years. Facebook built f4 specifically for such</w:t>
      </w:r>
      <w:r>
        <w:t xml:space="preserve"> </w:t>
      </w:r>
      <w:r>
        <w:t xml:space="preserve">“</w:t>
      </w:r>
      <w:r>
        <w:t xml:space="preserve">warm</w:t>
      </w:r>
      <w:r>
        <w:t xml:space="preserve">”</w:t>
      </w:r>
      <w:r>
        <w:t xml:space="preserve"> </w:t>
      </w:r>
      <w:r>
        <w:t xml:space="preserve">blobs, moving them from triple-replicated Haystack to erasure-coded storage [Muralidhar et al. 2014].</w:t>
      </w:r>
    </w:p>
    <w:p>
      <w:pPr>
        <w:pStyle w:val="BodyText"/>
      </w:pPr>
      <w:r>
        <w:rPr>
          <w:bCs/>
          <w:b/>
        </w:rPr>
        <w:t xml:space="preserve">Figure 15.10 — A lifecycle policy for log objects.</w:t>
      </w:r>
    </w:p>
    <w:p>
      <w:pPr>
        <w:pStyle w:val="BodyText"/>
      </w:pPr>
      <w:r>
        <w:drawing>
          <wp:inline>
            <wp:extent cx="5334000" cy="9639300"/>
            <wp:effectExtent b="0" l="0" r="0" t="0"/>
            <wp:docPr descr="" title="" id="1772" name="Picture"/>
            <a:graphic>
              <a:graphicData uri="http://schemas.openxmlformats.org/drawingml/2006/picture">
                <pic:pic>
                  <pic:nvPicPr>
                    <pic:cNvPr descr="/home/user/System-Design/build/.cache/diagrams/08227ccf5a88.png" id="1773" name="Picture"/>
                    <pic:cNvPicPr>
                      <a:picLocks noChangeArrowheads="1" noChangeAspect="1"/>
                    </pic:cNvPicPr>
                  </pic:nvPicPr>
                  <pic:blipFill>
                    <a:blip r:embed="rId1771"/>
                    <a:stretch>
                      <a:fillRect/>
                    </a:stretch>
                  </pic:blipFill>
                  <pic:spPr bwMode="auto">
                    <a:xfrm>
                      <a:off x="0" y="0"/>
                      <a:ext cx="5334000" cy="9639300"/>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Each state is a storage class; transitions are applied asynchronously by the store’s lifecycle engine, typically once a day, so ages are approximate.</w:t>
      </w:r>
      <w:r>
        <w:t xml:space="preserve"> </w:t>
      </w:r>
      <w:r>
        <w:rPr>
          <w:iCs/>
          <w:i/>
        </w:rPr>
        <w:t xml:space="preserve">Hot</w:t>
      </w:r>
      <w:r>
        <w:t xml:space="preserve"> </w:t>
      </w:r>
      <w:r>
        <w:t xml:space="preserve">serves reads in milliseconds;</w:t>
      </w:r>
      <w:r>
        <w:t xml:space="preserve"> </w:t>
      </w:r>
      <w:r>
        <w:rPr>
          <w:iCs/>
          <w:i/>
        </w:rPr>
        <w:t xml:space="preserve">Warm</w:t>
      </w:r>
      <w:r>
        <w:t xml:space="preserve"> </w:t>
      </w:r>
      <w:r>
        <w:t xml:space="preserve">serves them in milliseconds but charges per GB retrieved;</w:t>
      </w:r>
      <w:r>
        <w:t xml:space="preserve"> </w:t>
      </w:r>
      <w:r>
        <w:rPr>
          <w:iCs/>
          <w:i/>
        </w:rPr>
        <w:t xml:space="preserve">Archive</w:t>
      </w:r>
      <w:r>
        <w:t xml:space="preserve"> </w:t>
      </w:r>
      <w:r>
        <w:t xml:space="preserve">requires a restore that takes hours before the object can be read and creates a temporary hot copy. Failure points: a rule on the wrong prefix makes data unreadable for hours or deletes it; test rules and enable versioning. Every transition is a billed request.</w:t>
      </w:r>
    </w:p>
    <w:p>
      <w:pPr>
        <w:pStyle w:val="BodyText"/>
      </w:pPr>
      <w:r>
        <w:rPr>
          <w:bCs/>
          <w:b/>
        </w:rPr>
        <w:t xml:space="preserve">Table 15.4 — Illustrative object-storage classes (Amazon S3, us-east-1 list prices, as of 2026).</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Tier</w:t>
            </w:r>
          </w:p>
        </w:tc>
        <w:tc>
          <w:tcPr/>
          <w:p>
            <w:pPr>
              <w:pStyle w:val="Compact"/>
              <w:jc w:val="left"/>
            </w:pPr>
            <w:r>
              <w:t xml:space="preserve">Example class</w:t>
            </w:r>
          </w:p>
        </w:tc>
        <w:tc>
          <w:tcPr/>
          <w:p>
            <w:pPr>
              <w:pStyle w:val="Compact"/>
              <w:jc w:val="left"/>
            </w:pPr>
            <w:r>
              <w:t xml:space="preserve">Storage $/GB-month</w:t>
            </w:r>
          </w:p>
        </w:tc>
        <w:tc>
          <w:tcPr/>
          <w:p>
            <w:pPr>
              <w:pStyle w:val="Compact"/>
              <w:jc w:val="left"/>
            </w:pPr>
            <w:r>
              <w:t xml:space="preserve">Retrieval</w:t>
            </w:r>
          </w:p>
        </w:tc>
        <w:tc>
          <w:tcPr/>
          <w:p>
            <w:pPr>
              <w:pStyle w:val="Compact"/>
              <w:jc w:val="left"/>
            </w:pPr>
            <w:r>
              <w:t xml:space="preserve">Minimum duration</w:t>
            </w:r>
          </w:p>
        </w:tc>
      </w:tr>
      <w:tr>
        <w:tc>
          <w:tcPr/>
          <w:p>
            <w:pPr>
              <w:pStyle w:val="Compact"/>
              <w:jc w:val="left"/>
            </w:pPr>
            <w:r>
              <w:t xml:space="preserve">Hot</w:t>
            </w:r>
          </w:p>
        </w:tc>
        <w:tc>
          <w:tcPr/>
          <w:p>
            <w:pPr>
              <w:pStyle w:val="Compact"/>
              <w:jc w:val="left"/>
            </w:pPr>
            <w:r>
              <w:t xml:space="preserve">S3 Standard</w:t>
            </w:r>
          </w:p>
        </w:tc>
        <w:tc>
          <w:tcPr/>
          <w:p>
            <w:pPr>
              <w:pStyle w:val="Compact"/>
              <w:jc w:val="left"/>
            </w:pPr>
            <w:r>
              <w:t xml:space="preserve">0.023</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Warm</w:t>
            </w:r>
          </w:p>
        </w:tc>
        <w:tc>
          <w:tcPr/>
          <w:p>
            <w:pPr>
              <w:pStyle w:val="Compact"/>
              <w:jc w:val="left"/>
            </w:pPr>
            <w:r>
              <w:t xml:space="preserve">S3 Standard-IA</w:t>
            </w:r>
          </w:p>
        </w:tc>
        <w:tc>
          <w:tcPr/>
          <w:p>
            <w:pPr>
              <w:pStyle w:val="Compact"/>
              <w:jc w:val="left"/>
            </w:pPr>
            <w:r>
              <w:t xml:space="preserve">0.0125</w:t>
            </w:r>
          </w:p>
        </w:tc>
        <w:tc>
          <w:tcPr/>
          <w:p>
            <w:pPr>
              <w:pStyle w:val="Compact"/>
              <w:jc w:val="left"/>
            </w:pPr>
            <w:r>
              <w:t xml:space="preserve">$0.01/GB</w:t>
            </w:r>
          </w:p>
        </w:tc>
        <w:tc>
          <w:tcPr/>
          <w:p>
            <w:pPr>
              <w:pStyle w:val="Compact"/>
              <w:jc w:val="left"/>
            </w:pPr>
            <w:r>
              <w:t xml:space="preserve">30 days; 128 KB minimum billable size</w:t>
            </w:r>
          </w:p>
        </w:tc>
      </w:tr>
      <w:tr>
        <w:tc>
          <w:tcPr/>
          <w:p>
            <w:pPr>
              <w:pStyle w:val="Compact"/>
              <w:jc w:val="left"/>
            </w:pPr>
            <w:r>
              <w:t xml:space="preserve">Cold</w:t>
            </w:r>
          </w:p>
        </w:tc>
        <w:tc>
          <w:tcPr/>
          <w:p>
            <w:pPr>
              <w:pStyle w:val="Compact"/>
              <w:jc w:val="left"/>
            </w:pPr>
            <w:r>
              <w:t xml:space="preserve">S3 Glacier Instant Retrieval</w:t>
            </w:r>
          </w:p>
        </w:tc>
        <w:tc>
          <w:tcPr/>
          <w:p>
            <w:pPr>
              <w:pStyle w:val="Compact"/>
              <w:jc w:val="left"/>
            </w:pPr>
            <w:r>
              <w:t xml:space="preserve">0.004</w:t>
            </w:r>
          </w:p>
        </w:tc>
        <w:tc>
          <w:tcPr/>
          <w:p>
            <w:pPr>
              <w:pStyle w:val="Compact"/>
              <w:jc w:val="left"/>
            </w:pPr>
            <w:r>
              <w:t xml:space="preserve">$0.03/GB, milliseconds</w:t>
            </w:r>
          </w:p>
        </w:tc>
        <w:tc>
          <w:tcPr/>
          <w:p>
            <w:pPr>
              <w:pStyle w:val="Compact"/>
              <w:jc w:val="left"/>
            </w:pPr>
            <w:r>
              <w:t xml:space="preserve">90 days</w:t>
            </w:r>
          </w:p>
        </w:tc>
      </w:tr>
      <w:tr>
        <w:tc>
          <w:tcPr/>
          <w:p>
            <w:pPr>
              <w:pStyle w:val="Compact"/>
              <w:jc w:val="left"/>
            </w:pPr>
            <w:r>
              <w:t xml:space="preserve">Archive</w:t>
            </w:r>
          </w:p>
        </w:tc>
        <w:tc>
          <w:tcPr/>
          <w:p>
            <w:pPr>
              <w:pStyle w:val="Compact"/>
              <w:jc w:val="left"/>
            </w:pPr>
            <w:r>
              <w:t xml:space="preserve">S3 Glacier Deep Archive</w:t>
            </w:r>
          </w:p>
        </w:tc>
        <w:tc>
          <w:tcPr/>
          <w:p>
            <w:pPr>
              <w:pStyle w:val="Compact"/>
              <w:jc w:val="left"/>
            </w:pPr>
            <w:r>
              <w:t xml:space="preserve">0.00099</w:t>
            </w:r>
          </w:p>
        </w:tc>
        <w:tc>
          <w:tcPr/>
          <w:p>
            <w:pPr>
              <w:pStyle w:val="Compact"/>
              <w:jc w:val="left"/>
            </w:pPr>
            <w:r>
              <w:t xml:space="preserve">hours (about 12 h standard)</w:t>
            </w:r>
          </w:p>
        </w:tc>
        <w:tc>
          <w:tcPr/>
          <w:p>
            <w:pPr>
              <w:pStyle w:val="Compact"/>
              <w:jc w:val="left"/>
            </w:pPr>
            <w:r>
              <w:t xml:space="preserve">180 days</w:t>
            </w:r>
          </w:p>
        </w:tc>
      </w:tr>
    </w:tbl>
    <w:p>
      <w:pPr>
        <w:pStyle w:val="CalloutFormula"/>
      </w:pPr>
      <w:r>
        <w:rPr>
          <w:bCs/>
          <w:b/>
        </w:rPr>
        <w:t xml:space="preserve">FORMULA</w:t>
      </w:r>
    </w:p>
    <w:p>
      <w:pPr>
        <w:pStyle w:val="CalloutFormula"/>
      </w:pPr>
      <w:r>
        <w:rPr>
          <w:bCs/>
          <w:b/>
        </w:rPr>
        <w:t xml:space="preserve">Cost of one cohort of data over its lifetime</w:t>
      </w:r>
    </w:p>
    <w:p>
      <w:pPr>
        <w:pStyle w:val="CalloutFormula"/>
      </w:pPr>
      <m:oMathPara>
        <m:oMathParaPr>
          <m:jc m:val="center"/>
        </m:oMathParaPr>
        <m:oMath>
          <m:r>
            <m:t>C</m:t>
          </m:r>
          <m:r>
            <m:rPr>
              <m:sty m:val="p"/>
            </m:rPr>
            <m:t>=</m:t>
          </m:r>
          <m:nary>
            <m:naryPr>
              <m:chr m:val="∑"/>
              <m:limLoc m:val="undOvr"/>
              <m:subHide m:val="off"/>
              <m:supHide m:val="on"/>
            </m:naryPr>
            <m:sub>
              <m:r>
                <m:rPr>
                  <m:nor/>
                  <m:sty m:val="p"/>
                </m:rPr>
                <m:t>tiers </m:t>
              </m:r>
              <m:r>
                <m:t>i</m:t>
              </m:r>
            </m:sub>
            <m:sup>
              <m:r>
                <m:t>​</m:t>
              </m:r>
            </m:sup>
            <m:e>
              <m:r>
                <m:t>V</m:t>
              </m:r>
            </m:e>
          </m:nary>
          <m:r>
            <m:rPr>
              <m:sty m:val="p"/>
            </m:rPr>
            <m:t>⋅</m:t>
          </m:r>
          <m:sSub>
            <m:e>
              <m:r>
                <m:t>p</m:t>
              </m:r>
            </m:e>
            <m:sub>
              <m:r>
                <m:t>i</m:t>
              </m:r>
            </m:sub>
          </m:sSub>
          <m:r>
            <m:rPr>
              <m:sty m:val="p"/>
            </m:rPr>
            <m:t>⋅</m:t>
          </m:r>
          <m:sSub>
            <m:e>
              <m:r>
                <m:t>t</m:t>
              </m:r>
            </m:e>
            <m:sub>
              <m:r>
                <m:t>i</m:t>
              </m:r>
            </m:sub>
          </m:sSub>
          <m:r>
            <m:t> </m:t>
          </m:r>
          <m:r>
            <m:rPr>
              <m:sty m:val="p"/>
            </m:rPr>
            <m:t>+</m:t>
          </m:r>
          <m:r>
            <m:t> </m:t>
          </m:r>
          <m:nary>
            <m:naryPr>
              <m:chr m:val="∑"/>
              <m:limLoc m:val="undOvr"/>
              <m:subHide m:val="off"/>
              <m:supHide m:val="on"/>
            </m:naryPr>
            <m:sub>
              <m:r>
                <m:rPr>
                  <m:nor/>
                  <m:sty m:val="p"/>
                </m:rPr>
                <m:t>transitions </m:t>
              </m:r>
              <m:r>
                <m:t>j</m:t>
              </m:r>
            </m:sub>
            <m:sup>
              <m:r>
                <m:t>​</m:t>
              </m:r>
            </m:sup>
            <m:e>
              <m:sSub>
                <m:e>
                  <m:r>
                    <m:t>N</m:t>
                  </m:r>
                </m:e>
                <m:sub>
                  <m:r>
                    <m:rPr>
                      <m:nor/>
                      <m:sty m:val="p"/>
                    </m:rPr>
                    <m:t>obj</m:t>
                  </m:r>
                </m:sub>
              </m:sSub>
            </m:e>
          </m:nary>
          <m:r>
            <m:rPr>
              <m:sty m:val="p"/>
            </m:rPr>
            <m:t>⋅</m:t>
          </m:r>
          <m:sSub>
            <m:e>
              <m:r>
                <m:t>q</m:t>
              </m:r>
            </m:e>
            <m:sub>
              <m:r>
                <m:t>j</m:t>
              </m:r>
            </m:sub>
          </m:sSub>
          <m:r>
            <m:t> </m:t>
          </m:r>
          <m:r>
            <m:rPr>
              <m:sty m:val="p"/>
            </m:rPr>
            <m:t>+</m:t>
          </m:r>
          <m:r>
            <m:t> </m:t>
          </m:r>
          <m:sSub>
            <m:e>
              <m:r>
                <m:t>V</m:t>
              </m:r>
            </m:e>
            <m:sub>
              <m:r>
                <m:rPr>
                  <m:nor/>
                  <m:sty m:val="p"/>
                </m:rPr>
                <m:t>read</m:t>
              </m:r>
            </m:sub>
          </m:sSub>
          <m:r>
            <m:rPr>
              <m:sty m:val="p"/>
            </m:rPr>
            <m:t>⋅</m:t>
          </m:r>
          <m:r>
            <m:t>g</m:t>
          </m:r>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V</m:t>
              </m:r>
            </m:oMath>
          </w:p>
        </w:tc>
        <w:tc>
          <w:tcPr/>
          <w:p>
            <w:pPr>
              <w:pStyle w:val="Compact"/>
              <w:jc w:val="left"/>
            </w:pPr>
            <w:r>
              <w:t xml:space="preserve">Volume of the cohort</w:t>
            </w:r>
          </w:p>
        </w:tc>
        <w:tc>
          <w:tcPr/>
          <w:p>
            <w:pPr>
              <w:pStyle w:val="Compact"/>
              <w:jc w:val="left"/>
            </w:pPr>
            <w:r>
              <w:t xml:space="preserve">GB</w:t>
            </w:r>
          </w:p>
        </w:tc>
      </w:tr>
      <w:tr>
        <w:tc>
          <w:tcPr/>
          <w:p>
            <w:pPr>
              <w:pStyle w:val="Compact"/>
              <w:jc w:val="left"/>
            </w:pPr>
            <m:oMath>
              <m:sSub>
                <m:e>
                  <m:r>
                    <m:t>p</m:t>
                  </m:r>
                </m:e>
                <m:sub>
                  <m:r>
                    <m:t>i</m:t>
                  </m:r>
                </m:sub>
              </m:sSub>
            </m:oMath>
            <w:r>
              <w:t xml:space="preserve">,</w:t>
            </w:r>
            <w:r>
              <w:t xml:space="preserve"> </w:t>
            </w:r>
            <m:oMath>
              <m:sSub>
                <m:e>
                  <m:r>
                    <m:t>t</m:t>
                  </m:r>
                </m:e>
                <m:sub>
                  <m:r>
                    <m:t>i</m:t>
                  </m:r>
                </m:sub>
              </m:sSub>
            </m:oMath>
          </w:p>
        </w:tc>
        <w:tc>
          <w:tcPr/>
          <w:p>
            <w:pPr>
              <w:pStyle w:val="Compact"/>
              <w:jc w:val="left"/>
            </w:pPr>
            <w:r>
              <w:t xml:space="preserve">Storage price and months spent in tier</w:t>
            </w:r>
            <w:r>
              <w:t xml:space="preserve"> </w:t>
            </w:r>
            <m:oMath>
              <m:r>
                <m:t>i</m:t>
              </m:r>
            </m:oMath>
          </w:p>
        </w:tc>
        <w:tc>
          <w:tcPr/>
          <w:p>
            <w:pPr>
              <w:pStyle w:val="Compact"/>
              <w:jc w:val="left"/>
            </w:pPr>
            <w:r>
              <w:t xml:space="preserve">$/GB-month, months</w:t>
            </w:r>
          </w:p>
        </w:tc>
      </w:tr>
      <w:tr>
        <w:tc>
          <w:tcPr/>
          <w:p>
            <w:pPr>
              <w:pStyle w:val="Compact"/>
              <w:jc w:val="left"/>
            </w:pPr>
            <m:oMath>
              <m:sSub>
                <m:e>
                  <m:r>
                    <m:t>N</m:t>
                  </m:r>
                </m:e>
                <m:sub>
                  <m:r>
                    <m:rPr>
                      <m:nor/>
                      <m:sty m:val="p"/>
                    </m:rPr>
                    <m:t>obj</m:t>
                  </m:r>
                </m:sub>
              </m:sSub>
            </m:oMath>
          </w:p>
        </w:tc>
        <w:tc>
          <w:tcPr/>
          <w:p>
            <w:pPr>
              <w:pStyle w:val="Compact"/>
              <w:jc w:val="left"/>
            </w:pPr>
            <w:r>
              <w:t xml:space="preserve">Number of objects</w:t>
            </w:r>
          </w:p>
        </w:tc>
        <w:tc>
          <w:tcPr/>
          <w:p>
            <w:pPr>
              <w:pStyle w:val="Compact"/>
              <w:jc w:val="left"/>
            </w:pPr>
            <w:r>
              <w:t xml:space="preserve">count</w:t>
            </w:r>
          </w:p>
        </w:tc>
      </w:tr>
      <w:tr>
        <w:tc>
          <w:tcPr/>
          <w:p>
            <w:pPr>
              <w:pStyle w:val="Compact"/>
              <w:jc w:val="left"/>
            </w:pPr>
            <m:oMath>
              <m:sSub>
                <m:e>
                  <m:r>
                    <m:t>q</m:t>
                  </m:r>
                </m:e>
                <m:sub>
                  <m:r>
                    <m:t>j</m:t>
                  </m:r>
                </m:sub>
              </m:sSub>
            </m:oMath>
          </w:p>
        </w:tc>
        <w:tc>
          <w:tcPr/>
          <w:p>
            <w:pPr>
              <w:pStyle w:val="Compact"/>
              <w:jc w:val="left"/>
            </w:pPr>
            <w:r>
              <w:t xml:space="preserve">Price per lifecycle transition request into tier</w:t>
            </w:r>
            <w:r>
              <w:t xml:space="preserve"> </w:t>
            </w:r>
            <m:oMath>
              <m:r>
                <m:t>j</m:t>
              </m:r>
            </m:oMath>
          </w:p>
        </w:tc>
        <w:tc>
          <w:tcPr/>
          <w:p>
            <w:pPr>
              <w:pStyle w:val="Compact"/>
              <w:jc w:val="left"/>
            </w:pPr>
            <w:r>
              <w:t xml:space="preserve">$/request</w:t>
            </w:r>
          </w:p>
        </w:tc>
      </w:tr>
      <w:tr>
        <w:tc>
          <w:tcPr/>
          <w:p>
            <w:pPr>
              <w:pStyle w:val="Compact"/>
              <w:jc w:val="left"/>
            </w:pPr>
            <m:oMath>
              <m:sSub>
                <m:e>
                  <m:r>
                    <m:t>V</m:t>
                  </m:r>
                </m:e>
                <m:sub>
                  <m:r>
                    <m:rPr>
                      <m:nor/>
                      <m:sty m:val="p"/>
                    </m:rPr>
                    <m:t>read</m:t>
                  </m:r>
                </m:sub>
              </m:sSub>
            </m:oMath>
            <w:r>
              <w:t xml:space="preserve">,</w:t>
            </w:r>
            <w:r>
              <w:t xml:space="preserve"> </w:t>
            </w:r>
            <m:oMath>
              <m:r>
                <m:t>g</m:t>
              </m:r>
            </m:oMath>
          </w:p>
        </w:tc>
        <w:tc>
          <w:tcPr/>
          <w:p>
            <w:pPr>
              <w:pStyle w:val="Compact"/>
              <w:jc w:val="left"/>
            </w:pPr>
            <w:r>
              <w:t xml:space="preserve">Data retrieved and its per-GB retrieval fee</w:t>
            </w:r>
          </w:p>
        </w:tc>
        <w:tc>
          <w:tcPr/>
          <w:p>
            <w:pPr>
              <w:pStyle w:val="Compact"/>
              <w:jc w:val="left"/>
            </w:pPr>
            <w:r>
              <w:t xml:space="preserve">GB, $/GB</w:t>
            </w:r>
          </w:p>
        </w:tc>
      </w:tr>
    </w:tbl>
    <w:p>
      <w:pPr>
        <w:pStyle w:val="CalloutExample"/>
      </w:pPr>
      <w:r>
        <w:rPr>
          <w:bCs/>
          <w:b/>
        </w:rPr>
        <w:t xml:space="preserve">WORKED EXAMPLE</w:t>
      </w:r>
    </w:p>
    <w:p>
      <w:pPr>
        <w:pStyle w:val="CalloutExample"/>
      </w:pPr>
      <w:r>
        <w:rPr>
          <w:bCs/>
          <w:b/>
        </w:rPr>
        <w:t xml:space="preserve">Worked example — One month of logs kept for a year (as of 2026, illustrative list prices).</w:t>
      </w:r>
      <w:r>
        <w:t xml:space="preserve"> </w:t>
      </w:r>
      <w:r>
        <w:t xml:space="preserve">A cohort of</w:t>
      </w:r>
      <w:r>
        <w:t xml:space="preserve"> </w:t>
      </w:r>
      <m:oMath>
        <m:r>
          <m:t>V</m:t>
        </m:r>
        <m:r>
          <m:rPr>
            <m:sty m:val="p"/>
          </m:rPr>
          <m:t>=</m:t>
        </m:r>
        <m:r>
          <m:t>100</m:t>
        </m:r>
      </m:oMath>
      <w:r>
        <w:t xml:space="preserve"> </w:t>
      </w:r>
      <w:r>
        <w:t xml:space="preserve">TB</w:t>
      </w:r>
      <w:r>
        <w:t xml:space="preserve"> </w:t>
      </w:r>
      <m:oMath>
        <m:r>
          <m:rPr>
            <m:sty m:val="p"/>
          </m:rPr>
          <m:t>=</m:t>
        </m:r>
        <m:r>
          <m:t>100</m:t>
        </m:r>
        <m:r>
          <m:rPr>
            <m:sty m:val="p"/>
          </m:rPr>
          <m:t>,</m:t>
        </m:r>
        <m:r>
          <m:t>000</m:t>
        </m:r>
      </m:oMath>
      <w:r>
        <w:t xml:space="preserve"> </w:t>
      </w:r>
      <w:r>
        <w:t xml:space="preserve">GB of logs in 1 million objects of 100 MB. Assume transition requests cost</w:t>
      </w:r>
      <w:r>
        <w:t xml:space="preserve"> </w:t>
      </w:r>
      <m:oMath>
        <m:r>
          <m:rPr>
            <m:sty m:val="p"/>
          </m:rPr>
          <m:t>$</m:t>
        </m:r>
        <m:r>
          <m:t>0.01</m:t>
        </m:r>
      </m:oMath>
      <w:r>
        <w:t xml:space="preserve"> </w:t>
      </w:r>
      <w:r>
        <w:t xml:space="preserve">per 1,000 into Standard-IA and</w:t>
      </w:r>
      <w:r>
        <w:t xml:space="preserve"> </w:t>
      </w:r>
      <m:oMath>
        <m:r>
          <m:rPr>
            <m:sty m:val="p"/>
          </m:rPr>
          <m:t>$</m:t>
        </m:r>
        <m:r>
          <m:t>0.05</m:t>
        </m:r>
      </m:oMath>
      <w:r>
        <w:t xml:space="preserve"> </w:t>
      </w:r>
      <w:r>
        <w:t xml:space="preserve">per 1,000 into Deep Archive (verify current prices).</w:t>
      </w:r>
    </w:p>
    <w:p>
      <w:pPr>
        <w:numPr>
          <w:ilvl w:val="0"/>
          <w:numId w:val="1520"/>
        </w:numPr>
        <w:pStyle w:val="Compact"/>
      </w:pPr>
      <w:r>
        <w:t xml:space="preserve">All Standard for 12 months:</w:t>
      </w:r>
      <w:r>
        <w:t xml:space="preserve"> </w:t>
      </w:r>
      <m:oMath>
        <m:r>
          <m:t>100</m:t>
        </m:r>
        <m:r>
          <m:rPr>
            <m:sty m:val="p"/>
          </m:rPr>
          <m:t>,</m:t>
        </m:r>
        <m:r>
          <m:t>000</m:t>
        </m:r>
        <m:r>
          <m:rPr>
            <m:sty m:val="p"/>
          </m:rPr>
          <m:t>×</m:t>
        </m:r>
        <m:r>
          <m:t>0.023</m:t>
        </m:r>
        <m:r>
          <m:rPr>
            <m:sty m:val="p"/>
          </m:rPr>
          <m:t>×</m:t>
        </m:r>
        <m:r>
          <m:t>12</m:t>
        </m:r>
        <m:r>
          <m:rPr>
            <m:sty m:val="p"/>
          </m:rPr>
          <m:t>=</m:t>
        </m:r>
        <m:r>
          <m:rPr>
            <m:sty m:val="p"/>
          </m:rPr>
          <m:t>$</m:t>
        </m:r>
        <m:r>
          <m:t>27</m:t>
        </m:r>
        <m:r>
          <m:rPr>
            <m:sty m:val="p"/>
          </m:rPr>
          <m:t>,</m:t>
        </m:r>
        <m:r>
          <m:t>600</m:t>
        </m:r>
      </m:oMath>
      <w:r>
        <w:t xml:space="preserve">.</w:t>
      </w:r>
    </w:p>
    <w:p>
      <w:pPr>
        <w:numPr>
          <w:ilvl w:val="0"/>
          <w:numId w:val="1520"/>
        </w:numPr>
        <w:pStyle w:val="Compact"/>
      </w:pPr>
      <w:r>
        <w:t xml:space="preserve">Lifecycle: 1 month Standard</w:t>
      </w:r>
      <w:r>
        <w:t xml:space="preserve"> </w:t>
      </w:r>
      <m:oMath>
        <m:r>
          <m:rPr>
            <m:sty m:val="p"/>
          </m:rPr>
          <m:t>=</m:t>
        </m:r>
        <m:r>
          <m:rPr>
            <m:sty m:val="p"/>
          </m:rPr>
          <m:t>$</m:t>
        </m:r>
        <m:r>
          <m:t>2</m:t>
        </m:r>
        <m:r>
          <m:rPr>
            <m:sty m:val="p"/>
          </m:rPr>
          <m:t>,</m:t>
        </m:r>
        <m:r>
          <m:t>300</m:t>
        </m:r>
      </m:oMath>
      <w:r>
        <w:t xml:space="preserve">; 2 months Standard-IA</w:t>
      </w:r>
      <w:r>
        <w:t xml:space="preserve"> </w:t>
      </w:r>
      <m:oMath>
        <m:r>
          <m:rPr>
            <m:sty m:val="p"/>
          </m:rPr>
          <m:t>=</m:t>
        </m:r>
        <m:r>
          <m:t>100</m:t>
        </m:r>
        <m:r>
          <m:rPr>
            <m:sty m:val="p"/>
          </m:rPr>
          <m:t>,</m:t>
        </m:r>
        <m:r>
          <m:t>000</m:t>
        </m:r>
        <m:r>
          <m:rPr>
            <m:sty m:val="p"/>
          </m:rPr>
          <m:t>×</m:t>
        </m:r>
        <m:r>
          <m:t>0.0125</m:t>
        </m:r>
        <m:r>
          <m:rPr>
            <m:sty m:val="p"/>
          </m:rPr>
          <m:t>×</m:t>
        </m:r>
        <m:r>
          <m:t>2</m:t>
        </m:r>
        <m:r>
          <m:rPr>
            <m:sty m:val="p"/>
          </m:rPr>
          <m:t>=</m:t>
        </m:r>
        <m:r>
          <m:rPr>
            <m:sty m:val="p"/>
          </m:rPr>
          <m:t>$</m:t>
        </m:r>
        <m:r>
          <m:t>2</m:t>
        </m:r>
        <m:r>
          <m:rPr>
            <m:sty m:val="p"/>
          </m:rPr>
          <m:t>,</m:t>
        </m:r>
        <m:r>
          <m:t>500</m:t>
        </m:r>
      </m:oMath>
      <w:r>
        <w:t xml:space="preserve">; 9 months Deep Archive</w:t>
      </w:r>
      <w:r>
        <w:t xml:space="preserve"> </w:t>
      </w:r>
      <m:oMath>
        <m:r>
          <m:rPr>
            <m:sty m:val="p"/>
          </m:rPr>
          <m:t>=</m:t>
        </m:r>
        <m:r>
          <m:t>100</m:t>
        </m:r>
        <m:r>
          <m:rPr>
            <m:sty m:val="p"/>
          </m:rPr>
          <m:t>,</m:t>
        </m:r>
        <m:r>
          <m:t>000</m:t>
        </m:r>
        <m:r>
          <m:rPr>
            <m:sty m:val="p"/>
          </m:rPr>
          <m:t>×</m:t>
        </m:r>
        <m:r>
          <m:t>0.00099</m:t>
        </m:r>
        <m:r>
          <m:rPr>
            <m:sty m:val="p"/>
          </m:rPr>
          <m:t>×</m:t>
        </m:r>
        <m:r>
          <m:t>9</m:t>
        </m:r>
        <m:r>
          <m:rPr>
            <m:sty m:val="p"/>
          </m:rPr>
          <m:t>=</m:t>
        </m:r>
        <m:r>
          <m:rPr>
            <m:sty m:val="p"/>
          </m:rPr>
          <m:t>$</m:t>
        </m:r>
        <m:r>
          <m:t>891</m:t>
        </m:r>
      </m:oMath>
      <w:r>
        <w:t xml:space="preserve">. Storage subtotal</w:t>
      </w:r>
      <w:r>
        <w:t xml:space="preserve"> </w:t>
      </w:r>
      <m:oMath>
        <m:r>
          <m:rPr>
            <m:sty m:val="p"/>
          </m:rPr>
          <m:t>$</m:t>
        </m:r>
        <m:r>
          <m:t>5</m:t>
        </m:r>
        <m:r>
          <m:rPr>
            <m:sty m:val="p"/>
          </m:rPr>
          <m:t>,</m:t>
        </m:r>
        <m:r>
          <m:t>691</m:t>
        </m:r>
      </m:oMath>
      <w:r>
        <w:t xml:space="preserve">.</w:t>
      </w:r>
    </w:p>
    <w:p>
      <w:pPr>
        <w:numPr>
          <w:ilvl w:val="0"/>
          <w:numId w:val="1520"/>
        </w:numPr>
        <w:pStyle w:val="Compact"/>
      </w:pPr>
      <w:r>
        <w:t xml:space="preserve">Transitions:</w:t>
      </w:r>
      <w:r>
        <w:t xml:space="preserve"> </w:t>
      </w:r>
      <m:oMath>
        <m:sSup>
          <m:e>
            <m:r>
              <m:t>10</m:t>
            </m:r>
          </m:e>
          <m:sup>
            <m:r>
              <m:t>6</m:t>
            </m:r>
          </m:sup>
        </m:sSup>
        <m:r>
          <m:rPr>
            <m:sty m:val="p"/>
          </m:rPr>
          <m:t>×</m:t>
        </m:r>
        <m:r>
          <m:t>0.01</m:t>
        </m:r>
        <m:r>
          <m:rPr>
            <m:sty m:val="p"/>
          </m:rPr>
          <m:t>/</m:t>
        </m:r>
        <m:r>
          <m:t>1000</m:t>
        </m:r>
        <m:r>
          <m:rPr>
            <m:sty m:val="p"/>
          </m:rPr>
          <m:t>+</m:t>
        </m:r>
        <m:sSup>
          <m:e>
            <m:r>
              <m:t>10</m:t>
            </m:r>
          </m:e>
          <m:sup>
            <m:r>
              <m:t>6</m:t>
            </m:r>
          </m:sup>
        </m:sSup>
        <m:r>
          <m:rPr>
            <m:sty m:val="p"/>
          </m:rPr>
          <m:t>×</m:t>
        </m:r>
        <m:r>
          <m:t>0.05</m:t>
        </m:r>
        <m:r>
          <m:rPr>
            <m:sty m:val="p"/>
          </m:rPr>
          <m:t>/</m:t>
        </m:r>
        <m:r>
          <m:t>1000</m:t>
        </m:r>
        <m:r>
          <m:rPr>
            <m:sty m:val="p"/>
          </m:rPr>
          <m:t>=</m:t>
        </m:r>
        <m:r>
          <m:rPr>
            <m:sty m:val="p"/>
          </m:rPr>
          <m:t>$</m:t>
        </m:r>
        <m:r>
          <m:t>10</m:t>
        </m:r>
        <m:r>
          <m:rPr>
            <m:sty m:val="p"/>
          </m:rPr>
          <m:t>+</m:t>
        </m:r>
        <m:r>
          <m:rPr>
            <m:sty m:val="p"/>
          </m:rPr>
          <m:t>$</m:t>
        </m:r>
        <m:r>
          <m:t>50</m:t>
        </m:r>
        <m:r>
          <m:rPr>
            <m:sty m:val="p"/>
          </m:rPr>
          <m:t>=</m:t>
        </m:r>
        <m:r>
          <m:rPr>
            <m:sty m:val="p"/>
          </m:rPr>
          <m:t>$</m:t>
        </m:r>
        <m:r>
          <m:t>60</m:t>
        </m:r>
      </m:oMath>
      <w:r>
        <w:t xml:space="preserve">.</w:t>
      </w:r>
    </w:p>
    <w:p>
      <w:pPr>
        <w:numPr>
          <w:ilvl w:val="0"/>
          <w:numId w:val="1520"/>
        </w:numPr>
        <w:pStyle w:val="Compact"/>
      </w:pPr>
      <w:r>
        <w:t xml:space="preserve">Total</w:t>
      </w:r>
      <w:r>
        <w:t xml:space="preserve"> </w:t>
      </w:r>
      <m:oMath>
        <m:r>
          <m:rPr>
            <m:sty m:val="p"/>
          </m:rPr>
          <m:t>≈</m:t>
        </m:r>
        <m:r>
          <m:rPr>
            <m:sty m:val="p"/>
          </m:rPr>
          <m:t>$</m:t>
        </m:r>
        <m:r>
          <m:t>5</m:t>
        </m:r>
        <m:r>
          <m:rPr>
            <m:sty m:val="p"/>
          </m:rPr>
          <m:t>,</m:t>
        </m:r>
        <m:r>
          <m:t>751</m:t>
        </m:r>
      </m:oMath>
      <w:r>
        <w:t xml:space="preserve">: a 79% saving.</w:t>
      </w:r>
    </w:p>
    <w:p>
      <w:pPr>
        <w:numPr>
          <w:ilvl w:val="0"/>
          <w:numId w:val="1520"/>
        </w:numPr>
        <w:pStyle w:val="Compact"/>
      </w:pPr>
      <w:r>
        <w:t xml:space="preserve">Small-object trap: the same 100 TB as 1 billion 100 KB objects makes the Deep Archive transitions alone cost</w:t>
      </w:r>
      <w:r>
        <w:t xml:space="preserve"> </w:t>
      </w:r>
      <m:oMath>
        <m:sSup>
          <m:e>
            <m:r>
              <m:t>10</m:t>
            </m:r>
          </m:e>
          <m:sup>
            <m:r>
              <m:t>9</m:t>
            </m:r>
          </m:sup>
        </m:sSup>
        <m:r>
          <m:rPr>
            <m:sty m:val="p"/>
          </m:rPr>
          <m:t>×</m:t>
        </m:r>
        <m:r>
          <m:t>0.05</m:t>
        </m:r>
        <m:r>
          <m:rPr>
            <m:sty m:val="p"/>
          </m:rPr>
          <m:t>/</m:t>
        </m:r>
        <m:r>
          <m:t>1000</m:t>
        </m:r>
        <m:r>
          <m:rPr>
            <m:sty m:val="p"/>
          </m:rPr>
          <m:t>=</m:t>
        </m:r>
        <m:r>
          <m:rPr>
            <m:sty m:val="p"/>
          </m:rPr>
          <m:t>$</m:t>
        </m:r>
        <m:r>
          <m:t>50</m:t>
        </m:r>
        <m:r>
          <m:rPr>
            <m:sty m:val="p"/>
          </m:rPr>
          <m:t>,</m:t>
        </m:r>
        <m:r>
          <m:t>000</m:t>
        </m:r>
      </m:oMath>
      <w:r>
        <w:t xml:space="preserve">, more than the whole Standard-only bill, and every 100 KB object in Standard-IA is billed as 128 KB.</w:t>
      </w:r>
    </w:p>
    <w:p>
      <w:pPr>
        <w:pStyle w:val="CalloutExample"/>
      </w:pPr>
      <w:r>
        <w:rPr>
          <w:bCs/>
          <w:b/>
        </w:rPr>
        <w:t xml:space="preserve">Interpretation.</w:t>
      </w:r>
      <w:r>
        <w:t xml:space="preserve"> </w:t>
      </w:r>
      <w:r>
        <w:t xml:space="preserve">Tiering is worth roughly 4–5× for large objects that cool predictably.</w:t>
      </w:r>
      <w:r>
        <w:t xml:space="preserve"> </w:t>
      </w:r>
      <w:r>
        <w:rPr>
          <w:bCs/>
          <w:b/>
        </w:rPr>
        <w:t xml:space="preserve">Engineering implication.</w:t>
      </w:r>
      <w:r>
        <w:t xml:space="preserve"> </w:t>
      </w:r>
      <w:r>
        <w:t xml:space="preserve">Aggregate small objects before tiering them, respect minimum durations (deleting a Deep Archive object after 30 days still bills 180), and use automatic access-based tiering when access patterns are unknown.</w:t>
      </w:r>
    </w:p>
    <w:p>
      <w:pPr>
        <w:pStyle w:val="CalloutRecommendation"/>
      </w:pPr>
      <w:r>
        <w:rPr>
          <w:bCs/>
          <w:b/>
        </w:rPr>
        <w:t xml:space="preserve">RECOMMENDATION</w:t>
      </w:r>
    </w:p>
    <w:p>
      <w:pPr>
        <w:pStyle w:val="CalloutRecommendation"/>
      </w:pPr>
      <w:r>
        <w:rPr>
          <w:bCs/>
          <w:b/>
        </w:rPr>
        <w:t xml:space="preserve">Lifecycle hygiene.</w:t>
      </w:r>
      <w:r>
        <w:t xml:space="preserve"> </w:t>
      </w:r>
      <w:r>
        <w:t xml:space="preserve">Always add rules to abort incomplete multipart uploads after a few days and to expire noncurrent versions in versioned buckets. Without them, invisible parts and old versions quietly become a large share of the bill.</w:t>
      </w:r>
    </w:p>
    <w:bookmarkEnd w:id="1774"/>
    <w:bookmarkStart w:id="1775" w:name="summary-and-revision-notes-14"/>
    <w:p>
      <w:pPr>
        <w:pStyle w:val="Heading2"/>
      </w:pPr>
      <w:r>
        <w:t xml:space="preserve">15.10 Summary and revision notes</w:t>
      </w:r>
    </w:p>
    <w:p>
      <w:pPr>
        <w:pStyle w:val="CalloutSummary"/>
      </w:pPr>
      <w:r>
        <w:rPr>
          <w:bCs/>
          <w:b/>
        </w:rPr>
        <w:t xml:space="preserve">SUMMARY</w:t>
      </w:r>
    </w:p>
    <w:p>
      <w:pPr>
        <w:numPr>
          <w:ilvl w:val="0"/>
          <w:numId w:val="1521"/>
        </w:numPr>
        <w:pStyle w:val="Compact"/>
      </w:pPr>
      <w:r>
        <w:rPr>
          <w:bCs/>
          <w:b/>
        </w:rPr>
        <w:t xml:space="preserve">Block</w:t>
      </w:r>
      <w:r>
        <w:t xml:space="preserve"> </w:t>
      </w:r>
      <w:r>
        <w:t xml:space="preserve">storage exposes numbered blocks to one host (databases, boot disks; sub-millisecond to millisecond latency).</w:t>
      </w:r>
      <w:r>
        <w:t xml:space="preserve"> </w:t>
      </w:r>
      <w:r>
        <w:rPr>
          <w:bCs/>
          <w:b/>
        </w:rPr>
        <w:t xml:space="preserve">File</w:t>
      </w:r>
      <w:r>
        <w:t xml:space="preserve"> </w:t>
      </w:r>
      <w:r>
        <w:t xml:space="preserve">storage exposes a shared POSIX tree (NFS/SMB; shared access, metadata-bound).</w:t>
      </w:r>
      <w:r>
        <w:t xml:space="preserve"> </w:t>
      </w:r>
      <w:r>
        <w:rPr>
          <w:bCs/>
          <w:b/>
        </w:rPr>
        <w:t xml:space="preserve">Object</w:t>
      </w:r>
      <w:r>
        <w:t xml:space="preserve"> </w:t>
      </w:r>
      <w:r>
        <w:t xml:space="preserve">storage exposes immutable key → blob over HTTP (unlimited scale, tens of ms first byte, parallel throughput, cheapest per GB).</w:t>
      </w:r>
    </w:p>
    <w:p>
      <w:pPr>
        <w:numPr>
          <w:ilvl w:val="0"/>
          <w:numId w:val="1521"/>
        </w:numPr>
        <w:pStyle w:val="Compact"/>
      </w:pPr>
      <w:r>
        <w:t xml:space="preserve">An S3-style store separates a stateless</w:t>
      </w:r>
      <w:r>
        <w:t xml:space="preserve"> </w:t>
      </w:r>
      <w:r>
        <w:rPr>
          <w:bCs/>
          <w:b/>
        </w:rPr>
        <w:t xml:space="preserve">front end</w:t>
      </w:r>
      <w:r>
        <w:t xml:space="preserve">, a key-range-partitioned</w:t>
      </w:r>
      <w:r>
        <w:t xml:space="preserve"> </w:t>
      </w:r>
      <w:r>
        <w:rPr>
          <w:bCs/>
          <w:b/>
        </w:rPr>
        <w:t xml:space="preserve">metadata index</w:t>
      </w:r>
      <w:r>
        <w:t xml:space="preserve">, a</w:t>
      </w:r>
      <w:r>
        <w:t xml:space="preserve"> </w:t>
      </w:r>
      <w:r>
        <w:rPr>
          <w:bCs/>
          <w:b/>
        </w:rPr>
        <w:t xml:space="preserve">placement</w:t>
      </w:r>
      <w:r>
        <w:t xml:space="preserve"> </w:t>
      </w:r>
      <w:r>
        <w:t xml:space="preserve">service and</w:t>
      </w:r>
      <w:r>
        <w:t xml:space="preserve"> </w:t>
      </w:r>
      <w:r>
        <w:rPr>
          <w:bCs/>
          <w:b/>
        </w:rPr>
        <w:t xml:space="preserve">storage nodes</w:t>
      </w:r>
      <w:r>
        <w:t xml:space="preserve">. A PUT writes data first and commits metadata last; the commit is the linearization point that gives strong read-after-write consistency (S3 since December 2020).</w:t>
      </w:r>
    </w:p>
    <w:p>
      <w:pPr>
        <w:numPr>
          <w:ilvl w:val="0"/>
          <w:numId w:val="1521"/>
        </w:numPr>
        <w:pStyle w:val="Compact"/>
      </w:pPr>
      <w:r>
        <w:rPr>
          <w:bCs/>
          <w:b/>
        </w:rPr>
        <w:t xml:space="preserve">GFS</w:t>
      </w:r>
      <w:r>
        <w:t xml:space="preserve">: one in-memory master off the data path, 64 MB chunks, three replicas, leases that let a primary order mutations, pipelined data flow, at-least-once record append.</w:t>
      </w:r>
      <w:r>
        <w:t xml:space="preserve"> </w:t>
      </w:r>
      <w:r>
        <w:rPr>
          <w:bCs/>
          <w:b/>
        </w:rPr>
        <w:t xml:space="preserve">HDFS</w:t>
      </w:r>
      <w:r>
        <w:t xml:space="preserve"> </w:t>
      </w:r>
      <w:r>
        <w:t xml:space="preserve">copies the design; HA adds a standby NameNode, a JournalNode quorum and ZooKeeper fencing.</w:t>
      </w:r>
      <w:r>
        <w:t xml:space="preserve"> </w:t>
      </w:r>
      <w:r>
        <w:rPr>
          <w:bCs/>
          <w:b/>
        </w:rPr>
        <w:t xml:space="preserve">Colossus</w:t>
      </w:r>
      <w:r>
        <w:t xml:space="preserve"> </w:t>
      </w:r>
      <w:r>
        <w:t xml:space="preserve">and</w:t>
      </w:r>
      <w:r>
        <w:t xml:space="preserve"> </w:t>
      </w:r>
      <w:r>
        <w:rPr>
          <w:bCs/>
          <w:b/>
        </w:rPr>
        <w:t xml:space="preserve">Tectonic</w:t>
      </w:r>
      <w:r>
        <w:t xml:space="preserve"> </w:t>
      </w:r>
      <w:r>
        <w:t xml:space="preserve">move metadata into scalable databases (Bigtable, ZippyDB).</w:t>
      </w:r>
    </w:p>
    <w:p>
      <w:pPr>
        <w:numPr>
          <w:ilvl w:val="0"/>
          <w:numId w:val="1521"/>
        </w:numPr>
        <w:pStyle w:val="Compact"/>
      </w:pPr>
      <w:r>
        <w:rPr>
          <w:bCs/>
          <w:b/>
        </w:rPr>
        <w:t xml:space="preserve">Erasure coding</w:t>
      </w:r>
      <w:r>
        <w:t xml:space="preserve"> </w:t>
      </w:r>
      <w:r>
        <w:t xml:space="preserve">RS(</w:t>
      </w:r>
      <m:oMath>
        <m:r>
          <m:t>k</m:t>
        </m:r>
      </m:oMath>
      <w:r>
        <w:t xml:space="preserve">,</w:t>
      </w:r>
      <m:oMath>
        <m:r>
          <m:t>m</m:t>
        </m:r>
      </m:oMath>
      <w:r>
        <w:t xml:space="preserve">): overhead</w:t>
      </w:r>
      <w:r>
        <w:t xml:space="preserve"> </w:t>
      </w:r>
      <m:oMath>
        <m:d>
          <m:dPr>
            <m:begChr m:val="("/>
            <m:endChr m:val=")"/>
            <m:sepChr m:val=""/>
            <m:grow/>
          </m:dPr>
          <m:e>
            <m:r>
              <m:t>k</m:t>
            </m:r>
            <m:r>
              <m:rPr>
                <m:sty m:val="p"/>
              </m:rPr>
              <m:t>+</m:t>
            </m:r>
            <m:r>
              <m:t>m</m:t>
            </m:r>
          </m:e>
        </m:d>
        <m:r>
          <m:rPr>
            <m:sty m:val="p"/>
          </m:rPr>
          <m:t>/</m:t>
        </m:r>
        <m:r>
          <m:t>k</m:t>
        </m:r>
      </m:oMath>
      <w:r>
        <w:t xml:space="preserve">, survives any</w:t>
      </w:r>
      <w:r>
        <w:t xml:space="preserve"> </w:t>
      </w:r>
      <m:oMath>
        <m:r>
          <m:t>m</m:t>
        </m:r>
      </m:oMath>
      <w:r>
        <w:t xml:space="preserve"> </w:t>
      </w:r>
      <w:r>
        <w:t xml:space="preserve">losses, repair reads</w:t>
      </w:r>
      <w:r>
        <w:t xml:space="preserve"> </w:t>
      </w:r>
      <m:oMath>
        <m:r>
          <m:t>k</m:t>
        </m:r>
      </m:oMath>
      <w:r>
        <w:t xml:space="preserve"> </w:t>
      </w:r>
      <w:r>
        <w:t xml:space="preserve">fragments. RS(10,4) costs 1.4× versus 3× for replication and, under independence, is far more durable; loss</w:t>
      </w:r>
      <w:r>
        <w:t xml:space="preserve"> </w:t>
      </w:r>
      <m:oMath>
        <m:r>
          <m:rPr>
            <m:sty m:val="p"/>
          </m:rPr>
          <m:t>≈</m:t>
        </m:r>
        <m:f>
          <m:fPr>
            <m:type m:val="bar"/>
          </m:fPr>
          <m:num>
            <m:r>
              <m:t>n</m:t>
            </m:r>
            <m:r>
              <m:rPr>
                <m:sty m:val="p"/>
              </m:rPr>
              <m:t>!</m:t>
            </m:r>
          </m:num>
          <m:den>
            <m:d>
              <m:dPr>
                <m:begChr m:val="("/>
                <m:endChr m:val=")"/>
                <m:sepChr m:val=""/>
                <m:grow/>
              </m:dPr>
              <m:e>
                <m:r>
                  <m:t>n</m:t>
                </m:r>
                <m:r>
                  <m:rPr>
                    <m:sty m:val="p"/>
                  </m:rPr>
                  <m:t>−</m:t>
                </m:r>
                <m:r>
                  <m:t>m</m:t>
                </m:r>
                <m:r>
                  <m:rPr>
                    <m:sty m:val="p"/>
                  </m:rPr>
                  <m:t>−</m:t>
                </m:r>
                <m:r>
                  <m:t>1</m:t>
                </m:r>
              </m:e>
            </m:d>
            <m:r>
              <m:rPr>
                <m:sty m:val="p"/>
              </m:rPr>
              <m:t>!</m:t>
            </m:r>
          </m:den>
        </m:f>
        <m:sSup>
          <m:e>
            <m:r>
              <m:t>λ</m:t>
            </m:r>
          </m:e>
          <m:sup>
            <m:r>
              <m:t>m</m:t>
            </m:r>
            <m:r>
              <m:rPr>
                <m:sty m:val="p"/>
              </m:rPr>
              <m:t>+</m:t>
            </m:r>
            <m:r>
              <m:t>1</m:t>
            </m:r>
          </m:sup>
        </m:sSup>
        <m:sSup>
          <m:e>
            <m:r>
              <m:t>T</m:t>
            </m:r>
          </m:e>
          <m:sup>
            <m:r>
              <m:t>m</m:t>
            </m:r>
          </m:sup>
        </m:sSup>
        <m:r>
          <m:t>H</m:t>
        </m:r>
      </m:oMath>
      <w:r>
        <w:t xml:space="preserve">.</w:t>
      </w:r>
      <w:r>
        <w:t xml:space="preserve"> </w:t>
      </w:r>
      <w:r>
        <w:rPr>
          <w:bCs/>
          <w:b/>
        </w:rPr>
        <w:t xml:space="preserve">LRC</w:t>
      </w:r>
      <w:r>
        <w:t xml:space="preserve"> </w:t>
      </w:r>
      <w:r>
        <w:t xml:space="preserve">cuts single-fragment repair reads (Azure LRC(12,2,2): 1.33×, 6 reads).</w:t>
      </w:r>
    </w:p>
    <w:p>
      <w:pPr>
        <w:numPr>
          <w:ilvl w:val="0"/>
          <w:numId w:val="1521"/>
        </w:numPr>
        <w:pStyle w:val="Compact"/>
      </w:pPr>
      <w:r>
        <w:t xml:space="preserve">Metadata, not bytes, limits scale: memory ≈ objects × bytes per entry. Partition it by subtree, by hash in a sharded store, or compute placement (CRUSH).</w:t>
      </w:r>
    </w:p>
    <w:p>
      <w:pPr>
        <w:numPr>
          <w:ilvl w:val="0"/>
          <w:numId w:val="1521"/>
        </w:numPr>
        <w:pStyle w:val="Compact"/>
      </w:pPr>
      <w:r>
        <w:rPr>
          <w:bCs/>
          <w:b/>
        </w:rPr>
        <w:t xml:space="preserve">Multipart upload</w:t>
      </w:r>
      <w:r>
        <w:t xml:space="preserve"> </w:t>
      </w:r>
      <w:r>
        <w:t xml:space="preserve">makes large uploads parallel and restartable (S3: 5 MiB–5 GiB parts, ≤ 10,000 parts).</w:t>
      </w:r>
      <w:r>
        <w:t xml:space="preserve"> </w:t>
      </w:r>
      <w:r>
        <w:rPr>
          <w:bCs/>
          <w:b/>
        </w:rPr>
        <w:t xml:space="preserve">Presigned URLs</w:t>
      </w:r>
      <w:r>
        <w:t xml:space="preserve"> </w:t>
      </w:r>
      <w:r>
        <w:t xml:space="preserve">delegate one operation for a limited time.</w:t>
      </w:r>
      <w:r>
        <w:t xml:space="preserve"> </w:t>
      </w:r>
      <w:r>
        <w:rPr>
          <w:bCs/>
          <w:b/>
        </w:rPr>
        <w:t xml:space="preserve">Content-defined chunking</w:t>
      </w:r>
      <w:r>
        <w:t xml:space="preserve"> </w:t>
      </w:r>
      <w:r>
        <w:t xml:space="preserve">keeps chunk boundaries stable under insertion, enabling deduplication; index size ∝ 1/chunk size.</w:t>
      </w:r>
    </w:p>
    <w:p>
      <w:pPr>
        <w:numPr>
          <w:ilvl w:val="0"/>
          <w:numId w:val="1521"/>
        </w:numPr>
        <w:pStyle w:val="Compact"/>
      </w:pPr>
      <w:r>
        <w:rPr>
          <w:bCs/>
          <w:b/>
        </w:rPr>
        <w:t xml:space="preserve">Lifecycle policies</w:t>
      </w:r>
      <w:r>
        <w:t xml:space="preserve"> </w:t>
      </w:r>
      <w:r>
        <w:t xml:space="preserve">move cooling data to cheaper tiers (4–5× savings for large objects); minimum durations, transition fees and minimum billable sizes punish small objects.</w:t>
      </w:r>
    </w:p>
    <w:bookmarkEnd w:id="1775"/>
    <w:bookmarkStart w:id="1776" w:name="knowledge-checkpoint-14"/>
    <w:p>
      <w:pPr>
        <w:pStyle w:val="Heading2"/>
      </w:pPr>
      <w:r>
        <w:t xml:space="preserve">15.11 Knowledge checkpoint</w:t>
      </w:r>
    </w:p>
    <w:p>
      <w:pPr>
        <w:numPr>
          <w:ilvl w:val="0"/>
          <w:numId w:val="1522"/>
        </w:numPr>
        <w:pStyle w:val="Compact"/>
      </w:pPr>
      <w:r>
        <w:t xml:space="preserve">Name one workload that fits each of block, file and object storage, and say why.</w:t>
      </w:r>
    </w:p>
    <w:p>
      <w:pPr>
        <w:numPr>
          <w:ilvl w:val="0"/>
          <w:numId w:val="1522"/>
        </w:numPr>
        <w:pStyle w:val="Compact"/>
      </w:pPr>
      <w:r>
        <w:t xml:space="preserve">In an object-store PUT, why is data written before metadata is committed?</w:t>
      </w:r>
    </w:p>
    <w:p>
      <w:pPr>
        <w:numPr>
          <w:ilvl w:val="0"/>
          <w:numId w:val="1522"/>
        </w:numPr>
        <w:pStyle w:val="Compact"/>
      </w:pPr>
      <w:r>
        <w:t xml:space="preserve">What did S3’s December 2020 change guarantee, and what remains asynchronous?</w:t>
      </w:r>
    </w:p>
    <w:p>
      <w:pPr>
        <w:numPr>
          <w:ilvl w:val="0"/>
          <w:numId w:val="1522"/>
        </w:numPr>
        <w:pStyle w:val="Compact"/>
      </w:pPr>
      <w:r>
        <w:t xml:space="preserve">Why did GFS choose 64 MB chunks? Give one benefit and one cost.</w:t>
      </w:r>
    </w:p>
    <w:p>
      <w:pPr>
        <w:numPr>
          <w:ilvl w:val="0"/>
          <w:numId w:val="1522"/>
        </w:numPr>
        <w:pStyle w:val="Compact"/>
      </w:pPr>
      <w:r>
        <w:t xml:space="preserve">What is a lease in GFS and what problem does it solve?</w:t>
      </w:r>
    </w:p>
    <w:p>
      <w:pPr>
        <w:numPr>
          <w:ilvl w:val="0"/>
          <w:numId w:val="1522"/>
        </w:numPr>
        <w:pStyle w:val="Compact"/>
      </w:pPr>
      <w:r>
        <w:t xml:space="preserve">Compute the overhead and tolerated losses of RS(6,3) and RS(10,4).</w:t>
      </w:r>
    </w:p>
    <w:p>
      <w:pPr>
        <w:numPr>
          <w:ilvl w:val="0"/>
          <w:numId w:val="1522"/>
        </w:numPr>
        <w:pStyle w:val="Compact"/>
      </w:pPr>
      <w:r>
        <w:t xml:space="preserve">Why does RS(10,4) generate about ten times the repair traffic of replication?</w:t>
      </w:r>
    </w:p>
    <w:p>
      <w:pPr>
        <w:numPr>
          <w:ilvl w:val="0"/>
          <w:numId w:val="1522"/>
        </w:numPr>
        <w:pStyle w:val="Compact"/>
      </w:pPr>
      <w:r>
        <w:t xml:space="preserve">How does LRC(12,2,2) repair a single lost data fragment?</w:t>
      </w:r>
    </w:p>
    <w:p>
      <w:pPr>
        <w:numPr>
          <w:ilvl w:val="0"/>
          <w:numId w:val="1522"/>
        </w:numPr>
        <w:pStyle w:val="Compact"/>
      </w:pPr>
      <w:r>
        <w:t xml:space="preserve">Estimate NameNode heap for 200 million files of one block each at 150 bytes per object.</w:t>
      </w:r>
    </w:p>
    <w:p>
      <w:pPr>
        <w:numPr>
          <w:ilvl w:val="0"/>
          <w:numId w:val="1522"/>
        </w:numPr>
        <w:pStyle w:val="Compact"/>
      </w:pPr>
      <w:r>
        <w:t xml:space="preserve">What is the minimum part size for a 300 GB object in S3, and why?</w:t>
      </w:r>
    </w:p>
    <w:p>
      <w:pPr>
        <w:numPr>
          <w:ilvl w:val="0"/>
          <w:numId w:val="1522"/>
        </w:numPr>
        <w:pStyle w:val="Compact"/>
      </w:pPr>
      <w:r>
        <w:t xml:space="preserve">Why does inserting one byte at the start of a file defeat fixed-size deduplication but not CDC?</w:t>
      </w:r>
    </w:p>
    <w:p>
      <w:pPr>
        <w:pStyle w:val="FirstParagraph"/>
      </w:pPr>
      <w:r>
        <w:t xml:space="preserve">Answers</w:t>
      </w:r>
    </w:p>
    <w:p>
      <w:pPr>
        <w:numPr>
          <w:ilvl w:val="0"/>
          <w:numId w:val="1523"/>
        </w:numPr>
        <w:pStyle w:val="Compact"/>
      </w:pPr>
      <w:r>
        <w:t xml:space="preserve">Block: a PostgreSQL data directory (random page I/O, one host). File: shared model checkpoints read by many training nodes (POSIX, shared). Object: user photos (immutable, large, HTTP, unlimited).</w:t>
      </w:r>
    </w:p>
    <w:p>
      <w:pPr>
        <w:numPr>
          <w:ilvl w:val="0"/>
          <w:numId w:val="1523"/>
        </w:numPr>
        <w:pStyle w:val="Compact"/>
      </w:pPr>
      <w:r>
        <w:t xml:space="preserve">So that the key never points at incomplete data: the metadata commit is the atomic visibility point, and orphaned data from failed PUTs can be garbage-collected.</w:t>
      </w:r>
    </w:p>
    <w:p>
      <w:pPr>
        <w:numPr>
          <w:ilvl w:val="0"/>
          <w:numId w:val="1523"/>
        </w:numPr>
        <w:pStyle w:val="Compact"/>
      </w:pPr>
      <w:r>
        <w:t xml:space="preserve">Strong read-after-write for PUT and DELETE of objects and for LIST. Bucket configuration changes and cross-region replication remain eventually consistent.</w:t>
      </w:r>
    </w:p>
    <w:p>
      <w:pPr>
        <w:numPr>
          <w:ilvl w:val="0"/>
          <w:numId w:val="1523"/>
        </w:numPr>
        <w:pStyle w:val="Compact"/>
      </w:pPr>
      <w:r>
        <w:t xml:space="preserve">Benefit: few chunks, so small master memory and few master requests. Cost: small files occupy one chunk on few servers and can become hot spots.</w:t>
      </w:r>
    </w:p>
    <w:p>
      <w:pPr>
        <w:numPr>
          <w:ilvl w:val="0"/>
          <w:numId w:val="1523"/>
        </w:numPr>
        <w:pStyle w:val="Compact"/>
      </w:pPr>
      <w:r>
        <w:t xml:space="preserve">A time-limited grant making one replica the primary for a chunk; it orders concurrent mutations without involving the master, and expires safely if the primary fails.</w:t>
      </w:r>
    </w:p>
    <w:p>
      <w:pPr>
        <w:numPr>
          <w:ilvl w:val="0"/>
          <w:numId w:val="1523"/>
        </w:numPr>
        <w:pStyle w:val="Compact"/>
      </w:pPr>
      <w:r>
        <w:t xml:space="preserve">RS(6,3): 1.5×, any 3. RS(10,4): 1.4×, any 4.</w:t>
      </w:r>
    </w:p>
    <w:p>
      <w:pPr>
        <w:numPr>
          <w:ilvl w:val="0"/>
          <w:numId w:val="1523"/>
        </w:numPr>
        <w:pStyle w:val="Compact"/>
      </w:pPr>
      <w:r>
        <w:t xml:space="preserve">Rebuilding one fragment requires reading</w:t>
      </w:r>
      <w:r>
        <w:t xml:space="preserve"> </w:t>
      </w:r>
      <m:oMath>
        <m:r>
          <m:t>k</m:t>
        </m:r>
        <m:r>
          <m:rPr>
            <m:sty m:val="p"/>
          </m:rPr>
          <m:t>=</m:t>
        </m:r>
        <m:r>
          <m:t>10</m:t>
        </m:r>
      </m:oMath>
      <w:r>
        <w:t xml:space="preserve"> </w:t>
      </w:r>
      <w:r>
        <w:t xml:space="preserve">surviving fragments, versus one surviving replica.</w:t>
      </w:r>
    </w:p>
    <w:p>
      <w:pPr>
        <w:numPr>
          <w:ilvl w:val="0"/>
          <w:numId w:val="1523"/>
        </w:numPr>
        <w:pStyle w:val="Compact"/>
      </w:pPr>
      <w:r>
        <w:t xml:space="preserve">It reads the other five data fragments of its local group plus that group’s local parity, six fragments in all.</w:t>
      </w:r>
    </w:p>
    <w:p>
      <w:pPr>
        <w:numPr>
          <w:ilvl w:val="0"/>
          <w:numId w:val="1523"/>
        </w:numPr>
        <w:pStyle w:val="Compact"/>
      </w:pPr>
      <m:oMath>
        <m:d>
          <m:dPr>
            <m:begChr m:val="("/>
            <m:endChr m:val=")"/>
            <m:sepChr m:val=""/>
            <m:grow/>
          </m:dPr>
          <m:e>
            <m:r>
              <m:t>2</m:t>
            </m:r>
            <m:r>
              <m:rPr>
                <m:sty m:val="p"/>
              </m:rPr>
              <m:t>×</m:t>
            </m:r>
            <m:sSup>
              <m:e>
                <m:r>
                  <m:t>10</m:t>
                </m:r>
              </m:e>
              <m:sup>
                <m:r>
                  <m:t>8</m:t>
                </m:r>
              </m:sup>
            </m:sSup>
            <m:r>
              <m:rPr>
                <m:sty m:val="p"/>
              </m:rPr>
              <m:t>+</m:t>
            </m:r>
            <m:r>
              <m:t>2</m:t>
            </m:r>
            <m:r>
              <m:rPr>
                <m:sty m:val="p"/>
              </m:rPr>
              <m:t>×</m:t>
            </m:r>
            <m:sSup>
              <m:e>
                <m:r>
                  <m:t>10</m:t>
                </m:r>
              </m:e>
              <m:sup>
                <m:r>
                  <m:t>8</m:t>
                </m:r>
              </m:sup>
            </m:sSup>
          </m:e>
        </m:d>
        <m:r>
          <m:rPr>
            <m:sty m:val="p"/>
          </m:rPr>
          <m:t>×</m:t>
        </m:r>
        <m:r>
          <m:t>150</m:t>
        </m:r>
        <m:r>
          <m:rPr>
            <m:sty m:val="p"/>
          </m:rPr>
          <m:t>=</m:t>
        </m:r>
        <m:r>
          <m:t>6</m:t>
        </m:r>
        <m:r>
          <m:rPr>
            <m:sty m:val="p"/>
          </m:rPr>
          <m:t>×</m:t>
        </m:r>
        <m:sSup>
          <m:e>
            <m:r>
              <m:t>10</m:t>
            </m:r>
          </m:e>
          <m:sup>
            <m:r>
              <m:t>10</m:t>
            </m:r>
          </m:sup>
        </m:sSup>
      </m:oMath>
      <w:r>
        <w:t xml:space="preserve"> </w:t>
      </w:r>
      <w:r>
        <w:t xml:space="preserve">B, about 60 GB.</w:t>
      </w:r>
    </w:p>
    <w:p>
      <w:pPr>
        <w:numPr>
          <w:ilvl w:val="0"/>
          <w:numId w:val="1523"/>
        </w:numPr>
        <w:pStyle w:val="Compact"/>
      </w:pPr>
      <m:oMath>
        <m:r>
          <m:t>3</m:t>
        </m:r>
        <m:r>
          <m:rPr>
            <m:sty m:val="p"/>
          </m:rPr>
          <m:t>×</m:t>
        </m:r>
        <m:sSup>
          <m:e>
            <m:r>
              <m:t>10</m:t>
            </m:r>
          </m:e>
          <m:sup>
            <m:r>
              <m:t>11</m:t>
            </m:r>
          </m:sup>
        </m:sSup>
        <m:r>
          <m:rPr>
            <m:sty m:val="p"/>
          </m:rPr>
          <m:t>/</m:t>
        </m:r>
        <m:r>
          <m:t>10</m:t>
        </m:r>
        <m:r>
          <m:rPr>
            <m:sty m:val="p"/>
          </m:rPr>
          <m:t>,</m:t>
        </m:r>
        <m:r>
          <m:t>000</m:t>
        </m:r>
        <m:r>
          <m:rPr>
            <m:sty m:val="p"/>
          </m:rPr>
          <m:t>=</m:t>
        </m:r>
        <m:r>
          <m:t>30</m:t>
        </m:r>
      </m:oMath>
      <w:r>
        <w:t xml:space="preserve"> </w:t>
      </w:r>
      <w:r>
        <w:t xml:space="preserve">MB, because at most 10,000 parts are allowed (and 30 MB exceeds the 5 MiB floor).</w:t>
      </w:r>
    </w:p>
    <w:p>
      <w:pPr>
        <w:numPr>
          <w:ilvl w:val="0"/>
          <w:numId w:val="1523"/>
        </w:numPr>
        <w:pStyle w:val="Compact"/>
      </w:pPr>
      <w:r>
        <w:t xml:space="preserve">Fixed boundaries are at fixed offsets, so every block shifts; CDC boundaries depend on local content and re-synchronize after the insertion.</w:t>
      </w:r>
    </w:p>
    <w:bookmarkEnd w:id="1776"/>
    <w:bookmarkStart w:id="1780" w:name="interview-questions-14"/>
    <w:p>
      <w:pPr>
        <w:pStyle w:val="Heading2"/>
      </w:pPr>
      <w:r>
        <w:t xml:space="preserve">15.12 Interview questions</w:t>
      </w:r>
    </w:p>
    <w:bookmarkStart w:id="1777" w:name="basic-14"/>
    <w:p>
      <w:pPr>
        <w:pStyle w:val="Heading3"/>
      </w:pPr>
      <w:r>
        <w:t xml:space="preserve">Basic</w:t>
      </w:r>
    </w:p>
    <w:p>
      <w:pPr>
        <w:pStyle w:val="FirstParagraph"/>
      </w:pPr>
      <w:r>
        <w:rPr>
          <w:bCs/>
          <w:b/>
        </w:rPr>
        <w:t xml:space="preserve">Q1. When would you use object storage rather than a block volume?</w:t>
      </w:r>
      <w:r>
        <w:t xml:space="preserve"> </w:t>
      </w:r>
      <w:r>
        <w:rPr>
          <w:bCs/>
          <w:b/>
        </w:rPr>
        <w:t xml:space="preserve">Answer.</w:t>
      </w:r>
      <w:r>
        <w:t xml:space="preserve"> </w:t>
      </w:r>
      <w:r>
        <w:t xml:space="preserve">For large, immutable, independently addressed data read sequentially or by many clients: media, backups, logs, datasets. It offers unlimited capacity, high durability and parallel throughput at the lowest price, but tens of milliseconds of first-byte latency and no in-place updates. Databases and anything needing low-latency random I/O stay on block storage.</w:t>
      </w:r>
    </w:p>
    <w:p>
      <w:pPr>
        <w:pStyle w:val="BodyText"/>
      </w:pPr>
      <w:r>
        <w:rPr>
          <w:bCs/>
          <w:b/>
        </w:rPr>
        <w:t xml:space="preserve">Q2. How would PhotoShare let users upload photos without loading the API servers?</w:t>
      </w:r>
      <w:r>
        <w:t xml:space="preserve"> </w:t>
      </w:r>
      <w:r>
        <w:rPr>
          <w:bCs/>
          <w:b/>
        </w:rPr>
        <w:t xml:space="preserve">Answer.</w:t>
      </w:r>
      <w:r>
        <w:t xml:space="preserve"> </w:t>
      </w:r>
      <w:r>
        <w:t xml:space="preserve">The API authenticates the user, writes a pending photo row, and returns a short-lived presigned PUT URL for a server-chosen key. The phone uploads directly; an upload event triggers thumbnail jobs and activates the row. Videos use multipart upload. Keep expiries short; validate size and type.</w:t>
      </w:r>
    </w:p>
    <w:bookmarkEnd w:id="1777"/>
    <w:bookmarkStart w:id="1778" w:name="intermediate-14"/>
    <w:p>
      <w:pPr>
        <w:pStyle w:val="Heading3"/>
      </w:pPr>
      <w:r>
        <w:t xml:space="preserve">Intermediate</w:t>
      </w:r>
    </w:p>
    <w:p>
      <w:pPr>
        <w:pStyle w:val="FirstParagraph"/>
      </w:pPr>
      <w:r>
        <w:rPr>
          <w:bCs/>
          <w:b/>
        </w:rPr>
        <w:t xml:space="preserve">Q3. Explain replication versus erasure coding and when you would choose each.</w:t>
      </w:r>
      <w:r>
        <w:t xml:space="preserve"> </w:t>
      </w:r>
      <w:r>
        <w:rPr>
          <w:bCs/>
          <w:b/>
        </w:rPr>
        <w:t xml:space="preserve">Answer.</w:t>
      </w:r>
      <w:r>
        <w:t xml:space="preserve"> </w:t>
      </w:r>
      <w:r>
        <w:t xml:space="preserve">Replication: simple, fast, cheap repair (read one copy), 3× overhead. RS(</w:t>
      </w:r>
      <m:oMath>
        <m:r>
          <m:t>k</m:t>
        </m:r>
      </m:oMath>
      <w:r>
        <w:t xml:space="preserve">,</w:t>
      </w:r>
      <m:oMath>
        <m:r>
          <m:t>m</m:t>
        </m:r>
      </m:oMath>
      <w:r>
        <w:t xml:space="preserve">): overhead</w:t>
      </w:r>
      <w:r>
        <w:t xml:space="preserve"> </w:t>
      </w:r>
      <m:oMath>
        <m:d>
          <m:dPr>
            <m:begChr m:val="("/>
            <m:endChr m:val=")"/>
            <m:sepChr m:val=""/>
            <m:grow/>
          </m:dPr>
          <m:e>
            <m:r>
              <m:t>k</m:t>
            </m:r>
            <m:r>
              <m:rPr>
                <m:sty m:val="p"/>
              </m:rPr>
              <m:t>+</m:t>
            </m:r>
            <m:r>
              <m:t>m</m:t>
            </m:r>
          </m:e>
        </m:d>
        <m:r>
          <m:rPr>
            <m:sty m:val="p"/>
          </m:rPr>
          <m:t>/</m:t>
        </m:r>
        <m:r>
          <m:t>k</m:t>
        </m:r>
      </m:oMath>
      <w:r>
        <w:t xml:space="preserve"> </w:t>
      </w:r>
      <w:r>
        <w:t xml:space="preserve">(1.4× for RS(10,4)), tolerates any</w:t>
      </w:r>
      <w:r>
        <w:t xml:space="preserve"> </w:t>
      </w:r>
      <m:oMath>
        <m:r>
          <m:t>m</m:t>
        </m:r>
      </m:oMath>
      <w:r>
        <w:t xml:space="preserve"> </w:t>
      </w:r>
      <w:r>
        <w:t xml:space="preserve">losses, but repair reads</w:t>
      </w:r>
      <w:r>
        <w:t xml:space="preserve"> </w:t>
      </w:r>
      <m:oMath>
        <m:r>
          <m:t>k</m:t>
        </m:r>
      </m:oMath>
      <w:r>
        <w:t xml:space="preserve"> </w:t>
      </w:r>
      <w:r>
        <w:t xml:space="preserve">fragments and small objects encode poorly. Replicate hot data, small objects and metadata; erasure-code large warm and cold data, often by re-encoding after it is sealed.</w:t>
      </w:r>
    </w:p>
    <w:p>
      <w:pPr>
        <w:pStyle w:val="BodyText"/>
      </w:pPr>
      <w:r>
        <w:rPr>
          <w:bCs/>
          <w:b/>
        </w:rPr>
        <w:t xml:space="preserve">Q4. Walk through a GFS write and explain the role of the lease.</w:t>
      </w:r>
      <w:r>
        <w:t xml:space="preserve"> </w:t>
      </w:r>
      <w:r>
        <w:rPr>
          <w:bCs/>
          <w:b/>
        </w:rPr>
        <w:t xml:space="preserve">Answer.</w:t>
      </w:r>
      <w:r>
        <w:t xml:space="preserve"> </w:t>
      </w:r>
      <w:r>
        <w:t xml:space="preserve">The client asks the master which replica holds the chunk’s lease, pushes data along a chain of all replicas, then sends the write to the primary. The primary assigns a serial order, applies it, forwards it to the secondaries and replies when all apply. The lease (60 s, renewable) lets the primary order mutations without the master and expires safely if it dies.</w:t>
      </w:r>
    </w:p>
    <w:p>
      <w:pPr>
        <w:pStyle w:val="BodyText"/>
      </w:pPr>
      <w:r>
        <w:rPr>
          <w:bCs/>
          <w:b/>
        </w:rPr>
        <w:t xml:space="preserve">Q5. A team writes a million files per hour into one HDFS directory and the cluster slows down. Why, and what do you do?</w:t>
      </w:r>
      <w:r>
        <w:t xml:space="preserve"> </w:t>
      </w:r>
      <w:r>
        <w:rPr>
          <w:bCs/>
          <w:b/>
        </w:rPr>
        <w:t xml:space="preserve">Answer.</w:t>
      </w:r>
      <w:r>
        <w:t xml:space="preserve"> </w:t>
      </w:r>
      <w:r>
        <w:t xml:space="preserve">Every create is a NameNode metadata operation and each small file costs heap. Pack records into larger files (Parquet, hourly compaction), spread directories, use federation, or move to an object store with hashed prefixes.</w:t>
      </w:r>
    </w:p>
    <w:bookmarkEnd w:id="1778"/>
    <w:bookmarkStart w:id="1779" w:name="advanced-14"/>
    <w:p>
      <w:pPr>
        <w:pStyle w:val="Heading3"/>
      </w:pPr>
      <w:r>
        <w:t xml:space="preserve">Advanced</w:t>
      </w:r>
    </w:p>
    <w:p>
      <w:pPr>
        <w:pStyle w:val="FirstParagraph"/>
      </w:pPr>
      <w:r>
        <w:rPr>
          <w:bCs/>
          <w:b/>
        </w:rPr>
        <w:t xml:space="preserve">Q6. Design the durability scheme for a 50 PB archive with eleven-nines durability and minimal cost.</w:t>
      </w:r>
      <w:r>
        <w:t xml:space="preserve"> </w:t>
      </w:r>
      <w:r>
        <w:rPr>
          <w:bCs/>
          <w:b/>
        </w:rPr>
        <w:t xml:space="preserve">Answer.</w:t>
      </w:r>
      <w:r>
        <w:t xml:space="preserve"> </w:t>
      </w:r>
      <w:r>
        <w:t xml:space="preserve">Use a wide erasure code such as RS(10,4) or an LRC, with each stripe’s fragments spread across racks and, for zone failure, across three zones (or a geo-level XOR as in f4). Compute loss probability with the formula of §15.6 using a pessimistic AFR and realistic repair time, then add margin for correlated failures. Budget repair bandwidth, scrub checksums, keep versioning or an offline copy against bugs and deletion, and tier by age.</w:t>
      </w:r>
    </w:p>
    <w:p>
      <w:pPr>
        <w:pStyle w:val="BodyText"/>
      </w:pPr>
      <w:r>
        <w:rPr>
          <w:bCs/>
          <w:b/>
        </w:rPr>
        <w:t xml:space="preserve">Q7. How does an object store provide strong read-after-write consistency at scale?</w:t>
      </w:r>
      <w:r>
        <w:t xml:space="preserve"> </w:t>
      </w:r>
      <w:r>
        <w:rPr>
          <w:bCs/>
          <w:b/>
        </w:rPr>
        <w:t xml:space="preserve">Answer.</w:t>
      </w:r>
      <w:r>
        <w:t xml:space="preserve"> </w:t>
      </w:r>
      <w:r>
        <w:t xml:space="preserve">Make each key’s metadata update a single atomic commit in a linearizable, replicated index partition, after data is durable. Caches in front of the index must not serve stale entries: invalidate or validate them, for example against a component that records the latest change per key, as AWS describes with its witness. Concurrent writers still race; offer conditional writes for compare-and-swap.</w:t>
      </w:r>
    </w:p>
    <w:bookmarkEnd w:id="1779"/>
    <w:bookmarkEnd w:id="1780"/>
    <w:bookmarkStart w:id="1781" w:name="practical-exercises-14"/>
    <w:p>
      <w:pPr>
        <w:pStyle w:val="Heading2"/>
      </w:pPr>
      <w:r>
        <w:t xml:space="preserve">15.13 Practical exercises</w:t>
      </w:r>
    </w:p>
    <w:p>
      <w:pPr>
        <w:numPr>
          <w:ilvl w:val="0"/>
          <w:numId w:val="1524"/>
        </w:numPr>
        <w:pStyle w:val="Compact"/>
      </w:pPr>
      <w:r>
        <w:t xml:space="preserve">Extend the RS program to GF(</w:t>
      </w:r>
      <m:oMath>
        <m:sSup>
          <m:e>
            <m:r>
              <m:t>2</m:t>
            </m:r>
          </m:e>
          <m:sup>
            <m:r>
              <m:t>8</m:t>
            </m:r>
          </m:sup>
        </m:sSup>
      </m:oMath>
      <w:r>
        <w:t xml:space="preserve">) using log and antilog tables and verify that RS(10,4) recovers all</w:t>
      </w:r>
      <w:r>
        <w:t xml:space="preserve"> </w:t>
      </w:r>
      <m:oMath>
        <m:d>
          <m:dPr>
            <m:begChr m:val="("/>
            <m:endChr m:val=")"/>
            <m:sepChr m:val=""/>
            <m:grow/>
          </m:dPr>
          <m:e>
            <m:f>
              <m:fPr>
                <m:type m:val="noBar"/>
              </m:fPr>
              <m:num>
                <m:r>
                  <m:t>14</m:t>
                </m:r>
              </m:num>
              <m:den>
                <m:r>
                  <m:t>4</m:t>
                </m:r>
              </m:den>
            </m:f>
          </m:e>
        </m:d>
        <m:r>
          <m:rPr>
            <m:sty m:val="p"/>
          </m:rPr>
          <m:t>=</m:t>
        </m:r>
        <m:r>
          <m:t>1</m:t>
        </m:r>
        <m:r>
          <m:rPr>
            <m:sty m:val="p"/>
          </m:rPr>
          <m:t>,</m:t>
        </m:r>
        <m:r>
          <m:t>001</m:t>
        </m:r>
      </m:oMath>
      <w:r>
        <w:t xml:space="preserve"> </w:t>
      </w:r>
      <w:r>
        <w:t xml:space="preserve">four-loss patterns.</w:t>
      </w:r>
    </w:p>
    <w:p>
      <w:pPr>
        <w:numPr>
          <w:ilvl w:val="0"/>
          <w:numId w:val="1524"/>
        </w:numPr>
        <w:pStyle w:val="Compact"/>
      </w:pPr>
      <w:r>
        <w:t xml:space="preserve">Using the §15.6 formula, tabulate</w:t>
      </w:r>
      <w:r>
        <w:t xml:space="preserve"> </w:t>
      </w:r>
      <m:oMath>
        <m:sSub>
          <m:e>
            <m:r>
              <m:t>P</m:t>
            </m:r>
          </m:e>
          <m:sub>
            <m:r>
              <m:rPr>
                <m:nor/>
                <m:sty m:val="p"/>
              </m:rPr>
              <m:t>loss/yr</m:t>
            </m:r>
          </m:sub>
        </m:sSub>
      </m:oMath>
      <w:r>
        <w:t xml:space="preserve"> </w:t>
      </w:r>
      <w:r>
        <w:t xml:space="preserve">for RS(6,3), RS(10,4) and 3× replication with</w:t>
      </w:r>
      <w:r>
        <w:t xml:space="preserve"> </w:t>
      </w:r>
      <m:oMath>
        <m:r>
          <m:t>T</m:t>
        </m:r>
      </m:oMath>
      <w:r>
        <w:t xml:space="preserve"> </w:t>
      </w:r>
      <w:r>
        <w:t xml:space="preserve">= 6, 24 and 168 hours.</w:t>
      </w:r>
    </w:p>
    <w:p>
      <w:pPr>
        <w:numPr>
          <w:ilvl w:val="0"/>
          <w:numId w:val="1524"/>
        </w:numPr>
        <w:pStyle w:val="Compact"/>
      </w:pPr>
      <w:r>
        <w:t xml:space="preserve">Write a lifecycle policy for PhotoShare: originals to infrequent access after 60 days, thumbnails kept hot, abort incomplete uploads after 7 days. Estimate the first-year saving for 5 TB/day of new photos.</w:t>
      </w:r>
    </w:p>
    <w:bookmarkEnd w:id="1781"/>
    <w:bookmarkStart w:id="1782" w:name="design-challenges-14"/>
    <w:p>
      <w:pPr>
        <w:pStyle w:val="Heading2"/>
      </w:pPr>
      <w:r>
        <w:t xml:space="preserve">15.14 Design challenges</w:t>
      </w:r>
    </w:p>
    <w:p>
      <w:pPr>
        <w:numPr>
          <w:ilvl w:val="0"/>
          <w:numId w:val="1525"/>
        </w:numPr>
        <w:pStyle w:val="Compact"/>
      </w:pPr>
      <w:r>
        <w:rPr>
          <w:bCs/>
          <w:b/>
        </w:rPr>
        <w:t xml:space="preserve">Video archive.</w:t>
      </w:r>
      <w:r>
        <w:t xml:space="preserve"> </w:t>
      </w:r>
      <w:r>
        <w:t xml:space="preserve">Design storage for a service ingesting 2 PB of video per month, with hot playback of the newest 30 days and rare access afterwards. Choose redundancy per tier, a chunking and upload protocol, metadata design, and a lifecycle policy; estimate raw capacity, repair traffic and monthly cost.</w:t>
      </w:r>
    </w:p>
    <w:p>
      <w:pPr>
        <w:numPr>
          <w:ilvl w:val="0"/>
          <w:numId w:val="1525"/>
        </w:numPr>
        <w:pStyle w:val="Compact"/>
      </w:pPr>
      <w:r>
        <w:rPr>
          <w:bCs/>
          <w:b/>
        </w:rPr>
        <w:t xml:space="preserve">Training-data lake.</w:t>
      </w:r>
      <w:r>
        <w:t xml:space="preserve"> </w:t>
      </w:r>
      <w:r>
        <w:t xml:space="preserve">Thousands of GPU nodes read a 5 PB dataset of 50 billion small images each epoch. Choose a parallel file system or object storage, pack samples into shards, and keep metadata off the critical path (see Chapter 61).</w:t>
      </w:r>
    </w:p>
    <w:bookmarkEnd w:id="1782"/>
    <w:bookmarkStart w:id="1783" w:name="references-14"/>
    <w:p>
      <w:pPr>
        <w:pStyle w:val="Heading2"/>
      </w:pPr>
      <w:r>
        <w:t xml:space="preserve">15.15 References</w:t>
      </w:r>
    </w:p>
    <w:p>
      <w:pPr>
        <w:numPr>
          <w:ilvl w:val="0"/>
          <w:numId w:val="1526"/>
        </w:numPr>
        <w:pStyle w:val="Compact"/>
      </w:pPr>
      <w:r>
        <w:t xml:space="preserve">Ghemawat, S., Gobioff, H., and Leung, S.-T.</w:t>
      </w:r>
      <w:r>
        <w:t xml:space="preserve"> </w:t>
      </w:r>
      <w:r>
        <w:t xml:space="preserve">“</w:t>
      </w:r>
      <w:r>
        <w:t xml:space="preserve">The Google File System.</w:t>
      </w:r>
      <w:r>
        <w:t xml:space="preserve">”</w:t>
      </w:r>
      <w:r>
        <w:t xml:space="preserve"> </w:t>
      </w:r>
      <w:r>
        <w:rPr>
          <w:iCs/>
          <w:i/>
        </w:rPr>
        <w:t xml:space="preserve">SOSP</w:t>
      </w:r>
      <w:r>
        <w:t xml:space="preserve">, 2003.</w:t>
      </w:r>
    </w:p>
    <w:p>
      <w:pPr>
        <w:numPr>
          <w:ilvl w:val="0"/>
          <w:numId w:val="1526"/>
        </w:numPr>
        <w:pStyle w:val="Compact"/>
      </w:pPr>
      <w:r>
        <w:t xml:space="preserve">Shvachko, K., Kuang, H., Radia, S., and Chansler, R.</w:t>
      </w:r>
      <w:r>
        <w:t xml:space="preserve"> </w:t>
      </w:r>
      <w:r>
        <w:t xml:space="preserve">“</w:t>
      </w:r>
      <w:r>
        <w:t xml:space="preserve">The Hadoop Distributed File System.</w:t>
      </w:r>
      <w:r>
        <w:t xml:space="preserve">”</w:t>
      </w:r>
      <w:r>
        <w:t xml:space="preserve"> </w:t>
      </w:r>
      <w:r>
        <w:rPr>
          <w:iCs/>
          <w:i/>
        </w:rPr>
        <w:t xml:space="preserve">IEEE MSST</w:t>
      </w:r>
      <w:r>
        <w:t xml:space="preserve">, 2010.</w:t>
      </w:r>
    </w:p>
    <w:p>
      <w:pPr>
        <w:numPr>
          <w:ilvl w:val="0"/>
          <w:numId w:val="1526"/>
        </w:numPr>
        <w:pStyle w:val="Compact"/>
      </w:pPr>
      <w:r>
        <w:t xml:space="preserve">Huang, C., Simitci, H., Xu, Y., Ogus, A., Calder, B., Gopalan, P., Li, J., and Yekhanin, S.</w:t>
      </w:r>
      <w:r>
        <w:t xml:space="preserve"> </w:t>
      </w:r>
      <w:r>
        <w:t xml:space="preserve">“</w:t>
      </w:r>
      <w:r>
        <w:t xml:space="preserve">Erasure Coding in Windows Azure Storage.</w:t>
      </w:r>
      <w:r>
        <w:t xml:space="preserve">”</w:t>
      </w:r>
      <w:r>
        <w:t xml:space="preserve"> </w:t>
      </w:r>
      <w:r>
        <w:rPr>
          <w:iCs/>
          <w:i/>
        </w:rPr>
        <w:t xml:space="preserve">USENIX ATC</w:t>
      </w:r>
      <w:r>
        <w:t xml:space="preserve">, 2012.</w:t>
      </w:r>
    </w:p>
    <w:p>
      <w:pPr>
        <w:numPr>
          <w:ilvl w:val="0"/>
          <w:numId w:val="1526"/>
        </w:numPr>
        <w:pStyle w:val="Compact"/>
      </w:pPr>
      <w:r>
        <w:t xml:space="preserve">Pan, S., et al. </w:t>
      </w:r>
      <w:r>
        <w:t xml:space="preserve">“</w:t>
      </w:r>
      <w:r>
        <w:t xml:space="preserve">Facebook’s Tectonic Filesystem: Efficiency from Exascale.</w:t>
      </w:r>
      <w:r>
        <w:t xml:space="preserve">”</w:t>
      </w:r>
      <w:r>
        <w:t xml:space="preserve"> </w:t>
      </w:r>
      <w:r>
        <w:rPr>
          <w:iCs/>
          <w:i/>
        </w:rPr>
        <w:t xml:space="preserve">USENIX FAST</w:t>
      </w:r>
      <w:r>
        <w:t xml:space="preserve">, 2021. https://www.usenix.org/conference/fast21/presentation/pan</w:t>
      </w:r>
    </w:p>
    <w:p>
      <w:pPr>
        <w:numPr>
          <w:ilvl w:val="0"/>
          <w:numId w:val="1526"/>
        </w:numPr>
        <w:pStyle w:val="Compact"/>
      </w:pPr>
      <w:r>
        <w:t xml:space="preserve">Muralidhar, S., et al. </w:t>
      </w:r>
      <w:r>
        <w:t xml:space="preserve">“</w:t>
      </w:r>
      <w:r>
        <w:t xml:space="preserve">f4: Facebook’s Warm BLOB Storage System.</w:t>
      </w:r>
      <w:r>
        <w:t xml:space="preserve">”</w:t>
      </w:r>
      <w:r>
        <w:t xml:space="preserve"> </w:t>
      </w:r>
      <w:r>
        <w:rPr>
          <w:iCs/>
          <w:i/>
        </w:rPr>
        <w:t xml:space="preserve">OSDI</w:t>
      </w:r>
      <w:r>
        <w:t xml:space="preserve">, 2014.</w:t>
      </w:r>
    </w:p>
    <w:p>
      <w:pPr>
        <w:numPr>
          <w:ilvl w:val="0"/>
          <w:numId w:val="1526"/>
        </w:numPr>
        <w:pStyle w:val="Compact"/>
      </w:pPr>
      <w:r>
        <w:t xml:space="preserve">Muthitacharoen, A., Chen, B., and Mazières, D.</w:t>
      </w:r>
      <w:r>
        <w:t xml:space="preserve"> </w:t>
      </w:r>
      <w:r>
        <w:t xml:space="preserve">“</w:t>
      </w:r>
      <w:r>
        <w:t xml:space="preserve">A Low-bandwidth Network File System.</w:t>
      </w:r>
      <w:r>
        <w:t xml:space="preserve">”</w:t>
      </w:r>
      <w:r>
        <w:t xml:space="preserve"> </w:t>
      </w:r>
      <w:r>
        <w:rPr>
          <w:iCs/>
          <w:i/>
        </w:rPr>
        <w:t xml:space="preserve">SOSP</w:t>
      </w:r>
      <w:r>
        <w:t xml:space="preserve">, 2001.</w:t>
      </w:r>
    </w:p>
    <w:p>
      <w:pPr>
        <w:numPr>
          <w:ilvl w:val="0"/>
          <w:numId w:val="1526"/>
        </w:numPr>
        <w:pStyle w:val="Compact"/>
      </w:pPr>
      <w:r>
        <w:t xml:space="preserve">Rabin, M. O.</w:t>
      </w:r>
      <w:r>
        <w:t xml:space="preserve"> </w:t>
      </w:r>
      <w:r>
        <w:rPr>
          <w:iCs/>
          <w:i/>
        </w:rPr>
        <w:t xml:space="preserve">Fingerprinting by Random Polynomials</w:t>
      </w:r>
      <w:r>
        <w:t xml:space="preserve">. Technical Report TR-15-81, Harvard University, 1981.</w:t>
      </w:r>
    </w:p>
    <w:p>
      <w:pPr>
        <w:numPr>
          <w:ilvl w:val="0"/>
          <w:numId w:val="1526"/>
        </w:numPr>
        <w:pStyle w:val="Compact"/>
      </w:pPr>
      <w:r>
        <w:t xml:space="preserve">Reed, I. S., and Solomon, G.</w:t>
      </w:r>
      <w:r>
        <w:t xml:space="preserve"> </w:t>
      </w:r>
      <w:r>
        <w:t xml:space="preserve">“</w:t>
      </w:r>
      <w:r>
        <w:t xml:space="preserve">Polynomial Codes over Certain Finite Fields.</w:t>
      </w:r>
      <w:r>
        <w:t xml:space="preserve">”</w:t>
      </w:r>
      <w:r>
        <w:t xml:space="preserve"> </w:t>
      </w:r>
      <w:r>
        <w:rPr>
          <w:iCs/>
          <w:i/>
        </w:rPr>
        <w:t xml:space="preserve">Journal of the Society for Industrial and Applied Mathematics</w:t>
      </w:r>
      <w:r>
        <w:t xml:space="preserve"> </w:t>
      </w:r>
      <w:r>
        <w:t xml:space="preserve">8(2), 1960.</w:t>
      </w:r>
    </w:p>
    <w:p>
      <w:pPr>
        <w:numPr>
          <w:ilvl w:val="0"/>
          <w:numId w:val="1526"/>
        </w:numPr>
        <w:pStyle w:val="Compact"/>
      </w:pPr>
      <w:r>
        <w:t xml:space="preserve">Plank, J. S.</w:t>
      </w:r>
      <w:r>
        <w:t xml:space="preserve"> </w:t>
      </w:r>
      <w:r>
        <w:t xml:space="preserve">“</w:t>
      </w:r>
      <w:r>
        <w:t xml:space="preserve">A Tutorial on Reed-Solomon Coding for Fault-Tolerance in RAID-like Systems.</w:t>
      </w:r>
      <w:r>
        <w:t xml:space="preserve">”</w:t>
      </w:r>
      <w:r>
        <w:t xml:space="preserve"> </w:t>
      </w:r>
      <w:r>
        <w:rPr>
          <w:iCs/>
          <w:i/>
        </w:rPr>
        <w:t xml:space="preserve">Software: Practice and Experience</w:t>
      </w:r>
      <w:r>
        <w:t xml:space="preserve"> </w:t>
      </w:r>
      <w:r>
        <w:t xml:space="preserve">27(9), 1997.</w:t>
      </w:r>
    </w:p>
    <w:p>
      <w:pPr>
        <w:numPr>
          <w:ilvl w:val="0"/>
          <w:numId w:val="1526"/>
        </w:numPr>
        <w:pStyle w:val="Compact"/>
      </w:pPr>
      <w:r>
        <w:t xml:space="preserve">Beaver, D., Kumar, S., Li, H. C., Sobel, J., and Vajgel, P.</w:t>
      </w:r>
      <w:r>
        <w:t xml:space="preserve"> </w:t>
      </w:r>
      <w:r>
        <w:t xml:space="preserve">“</w:t>
      </w:r>
      <w:r>
        <w:t xml:space="preserve">Finding a Needle in Haystack: Facebook’s Photo Storage.</w:t>
      </w:r>
      <w:r>
        <w:t xml:space="preserve">”</w:t>
      </w:r>
      <w:r>
        <w:t xml:space="preserve"> </w:t>
      </w:r>
      <w:r>
        <w:rPr>
          <w:iCs/>
          <w:i/>
        </w:rPr>
        <w:t xml:space="preserve">OSDI</w:t>
      </w:r>
      <w:r>
        <w:t xml:space="preserve">, 2010.</w:t>
      </w:r>
    </w:p>
    <w:p>
      <w:pPr>
        <w:numPr>
          <w:ilvl w:val="0"/>
          <w:numId w:val="1526"/>
        </w:numPr>
        <w:pStyle w:val="Compact"/>
      </w:pPr>
      <w:r>
        <w:t xml:space="preserve">Weil, S. A., Brandt, S. A., Miller, E. L., Long, D. D. E., and Maltzahn, C.</w:t>
      </w:r>
      <w:r>
        <w:t xml:space="preserve"> </w:t>
      </w:r>
      <w:r>
        <w:t xml:space="preserve">“</w:t>
      </w:r>
      <w:r>
        <w:t xml:space="preserve">Ceph: A Scalable, High-Performance Distributed File System.</w:t>
      </w:r>
      <w:r>
        <w:t xml:space="preserve">”</w:t>
      </w:r>
      <w:r>
        <w:t xml:space="preserve"> </w:t>
      </w:r>
      <w:r>
        <w:rPr>
          <w:iCs/>
          <w:i/>
        </w:rPr>
        <w:t xml:space="preserve">OSDI</w:t>
      </w:r>
      <w:r>
        <w:t xml:space="preserve">, 2006.</w:t>
      </w:r>
    </w:p>
    <w:p>
      <w:pPr>
        <w:numPr>
          <w:ilvl w:val="0"/>
          <w:numId w:val="1526"/>
        </w:numPr>
        <w:pStyle w:val="Compact"/>
      </w:pPr>
      <w:r>
        <w:t xml:space="preserve">Rashmi, K. V., Shah, N. B., Gu, D., Kuang, H., Borthakur, D., and Ramchandran, K.</w:t>
      </w:r>
      <w:r>
        <w:t xml:space="preserve"> </w:t>
      </w:r>
      <w:r>
        <w:t xml:space="preserve">“</w:t>
      </w:r>
      <w:r>
        <w:t xml:space="preserve">A Solution to the Network Challenges of Data Recovery in Erasure-coded Distributed Storage Systems: A Study on the Facebook Warehouse Cluster.</w:t>
      </w:r>
      <w:r>
        <w:t xml:space="preserve">”</w:t>
      </w:r>
      <w:r>
        <w:t xml:space="preserve"> </w:t>
      </w:r>
      <w:r>
        <w:rPr>
          <w:iCs/>
          <w:i/>
        </w:rPr>
        <w:t xml:space="preserve">USENIX HotStorage</w:t>
      </w:r>
      <w:r>
        <w:t xml:space="preserve">, 2013.</w:t>
      </w:r>
    </w:p>
    <w:p>
      <w:pPr>
        <w:numPr>
          <w:ilvl w:val="0"/>
          <w:numId w:val="1526"/>
        </w:numPr>
        <w:pStyle w:val="Compact"/>
      </w:pPr>
      <w:r>
        <w:t xml:space="preserve">Bornholt, J., et al. </w:t>
      </w:r>
      <w:r>
        <w:t xml:space="preserve">“</w:t>
      </w:r>
      <w:r>
        <w:t xml:space="preserve">Using Lightweight Formal Methods to Validate a Key-Value Storage Node in Amazon S3.</w:t>
      </w:r>
      <w:r>
        <w:t xml:space="preserve">”</w:t>
      </w:r>
      <w:r>
        <w:t xml:space="preserve"> </w:t>
      </w:r>
      <w:r>
        <w:rPr>
          <w:iCs/>
          <w:i/>
        </w:rPr>
        <w:t xml:space="preserve">SOSP</w:t>
      </w:r>
      <w:r>
        <w:t xml:space="preserve">, 2021.</w:t>
      </w:r>
    </w:p>
    <w:p>
      <w:pPr>
        <w:numPr>
          <w:ilvl w:val="0"/>
          <w:numId w:val="1526"/>
        </w:numPr>
        <w:pStyle w:val="Compact"/>
      </w:pPr>
      <w:r>
        <w:t xml:space="preserve">Vogels, W.</w:t>
      </w:r>
      <w:r>
        <w:t xml:space="preserve"> </w:t>
      </w:r>
      <w:r>
        <w:t xml:space="preserve">“</w:t>
      </w:r>
      <w:r>
        <w:t xml:space="preserve">Diving Deep on S3 Consistency.</w:t>
      </w:r>
      <w:r>
        <w:t xml:space="preserve">”</w:t>
      </w:r>
      <w:r>
        <w:t xml:space="preserve"> </w:t>
      </w:r>
      <w:r>
        <w:rPr>
          <w:iCs/>
          <w:i/>
        </w:rPr>
        <w:t xml:space="preserve">All Things Distributed</w:t>
      </w:r>
      <w:r>
        <w:t xml:space="preserve">, 2021. https://www.allthingsdistributed.com/2021/04/s3-strong-consistency.html</w:t>
      </w:r>
    </w:p>
    <w:p>
      <w:pPr>
        <w:numPr>
          <w:ilvl w:val="0"/>
          <w:numId w:val="1526"/>
        </w:numPr>
        <w:pStyle w:val="Compact"/>
      </w:pPr>
      <w:r>
        <w:t xml:space="preserve">Amazon Web Services.</w:t>
      </w:r>
      <w:r>
        <w:t xml:space="preserve"> </w:t>
      </w:r>
      <w:r>
        <w:rPr>
          <w:iCs/>
          <w:i/>
        </w:rPr>
        <w:t xml:space="preserve">Summary of the Amazon S3 Service Disruption in the Northern Virginia (US-EAST-1) Region</w:t>
      </w:r>
      <w:r>
        <w:t xml:space="preserve">. 2017. https://aws.amazon.com/message/41926/</w:t>
      </w:r>
    </w:p>
    <w:p>
      <w:pPr>
        <w:numPr>
          <w:ilvl w:val="0"/>
          <w:numId w:val="1526"/>
        </w:numPr>
        <w:pStyle w:val="Compact"/>
      </w:pPr>
      <w:r>
        <w:t xml:space="preserve">Hildebrand, D., and Serenyi, D.</w:t>
      </w:r>
      <w:r>
        <w:t xml:space="preserve"> </w:t>
      </w:r>
      <w:r>
        <w:t xml:space="preserve">“</w:t>
      </w:r>
      <w:r>
        <w:t xml:space="preserve">Colossus under the hood: a peek into Google’s scalable storage system.</w:t>
      </w:r>
      <w:r>
        <w:t xml:space="preserve">”</w:t>
      </w:r>
      <w:r>
        <w:t xml:space="preserve"> </w:t>
      </w:r>
      <w:r>
        <w:rPr>
          <w:iCs/>
          <w:i/>
        </w:rPr>
        <w:t xml:space="preserve">Google Cloud Blog</w:t>
      </w:r>
      <w:r>
        <w:t xml:space="preserve">, 2021.</w:t>
      </w:r>
    </w:p>
    <w:p>
      <w:pPr>
        <w:numPr>
          <w:ilvl w:val="0"/>
          <w:numId w:val="1526"/>
        </w:numPr>
        <w:pStyle w:val="Compact"/>
      </w:pPr>
      <w:r>
        <w:t xml:space="preserve">Amazon Web Services.</w:t>
      </w:r>
      <w:r>
        <w:t xml:space="preserve"> </w:t>
      </w:r>
      <w:r>
        <w:rPr>
          <w:iCs/>
          <w:i/>
        </w:rPr>
        <w:t xml:space="preserve">Amazon S3 User Guide</w:t>
      </w:r>
      <w:r>
        <w:t xml:space="preserve">: consistency model; multipart upload limits; performance design patterns; presigned URLs; lifecycle management. https://docs.aws.amazon.com/AmazonS3/latest/userguide/ (accessed 2026).</w:t>
      </w:r>
    </w:p>
    <w:p>
      <w:pPr>
        <w:numPr>
          <w:ilvl w:val="0"/>
          <w:numId w:val="1526"/>
        </w:numPr>
        <w:pStyle w:val="Compact"/>
      </w:pPr>
      <w:r>
        <w:t xml:space="preserve">Amazon Web Services.</w:t>
      </w:r>
      <w:r>
        <w:t xml:space="preserve"> </w:t>
      </w:r>
      <w:r>
        <w:rPr>
          <w:iCs/>
          <w:i/>
        </w:rPr>
        <w:t xml:space="preserve">Amazon EBS User Guide</w:t>
      </w:r>
      <w:r>
        <w:t xml:space="preserve">:</w:t>
      </w:r>
      <w:r>
        <w:t xml:space="preserve"> </w:t>
      </w:r>
      <w:r>
        <w:t xml:space="preserve">“</w:t>
      </w:r>
      <w:r>
        <w:t xml:space="preserve">Amazon EBS volume types</w:t>
      </w:r>
      <w:r>
        <w:t xml:space="preserve">”</w:t>
      </w:r>
      <w:r>
        <w:t xml:space="preserve">. Accessed 2026.</w:t>
      </w:r>
    </w:p>
    <w:p>
      <w:pPr>
        <w:numPr>
          <w:ilvl w:val="0"/>
          <w:numId w:val="1526"/>
        </w:numPr>
        <w:pStyle w:val="Compact"/>
      </w:pPr>
      <w:r>
        <w:t xml:space="preserve">Amazon Web Services.</w:t>
      </w:r>
      <w:r>
        <w:t xml:space="preserve"> </w:t>
      </w:r>
      <w:r>
        <w:rPr>
          <w:iCs/>
          <w:i/>
        </w:rPr>
        <w:t xml:space="preserve">Amazon S3 pricing</w:t>
      </w:r>
      <w:r>
        <w:t xml:space="preserve">. https://aws.amazon.com/s3/pricing/ (accessed 2026).</w:t>
      </w:r>
    </w:p>
    <w:p>
      <w:pPr>
        <w:numPr>
          <w:ilvl w:val="0"/>
          <w:numId w:val="1526"/>
        </w:numPr>
        <w:pStyle w:val="Compact"/>
      </w:pPr>
      <w:r>
        <w:t xml:space="preserve">Google Cloud.</w:t>
      </w:r>
      <w:r>
        <w:t xml:space="preserve"> </w:t>
      </w:r>
      <w:r>
        <w:rPr>
          <w:iCs/>
          <w:i/>
        </w:rPr>
        <w:t xml:space="preserve">Cloud Storage documentation</w:t>
      </w:r>
      <w:r>
        <w:t xml:space="preserve">:</w:t>
      </w:r>
      <w:r>
        <w:t xml:space="preserve"> </w:t>
      </w:r>
      <w:r>
        <w:t xml:space="preserve">“</w:t>
      </w:r>
      <w:r>
        <w:t xml:space="preserve">Consistency</w:t>
      </w:r>
      <w:r>
        <w:t xml:space="preserve">”</w:t>
      </w:r>
      <w:r>
        <w:t xml:space="preserve">. Accessed 2026.</w:t>
      </w:r>
    </w:p>
    <w:p>
      <w:pPr>
        <w:numPr>
          <w:ilvl w:val="0"/>
          <w:numId w:val="1526"/>
        </w:numPr>
        <w:pStyle w:val="Compact"/>
      </w:pPr>
      <w:r>
        <w:t xml:space="preserve">Apache Software Foundation.</w:t>
      </w:r>
      <w:r>
        <w:t xml:space="preserve"> </w:t>
      </w:r>
      <w:r>
        <w:rPr>
          <w:iCs/>
          <w:i/>
        </w:rPr>
        <w:t xml:space="preserve">Apache Hadoop documentation</w:t>
      </w:r>
      <w:r>
        <w:t xml:space="preserve">:</w:t>
      </w:r>
      <w:r>
        <w:t xml:space="preserve"> </w:t>
      </w:r>
      <w:r>
        <w:t xml:space="preserve">“</w:t>
      </w:r>
      <w:r>
        <w:t xml:space="preserve">HDFS High Availability Using the Quorum Journal Manager</w:t>
      </w:r>
      <w:r>
        <w:t xml:space="preserve">”</w:t>
      </w:r>
      <w:r>
        <w:t xml:space="preserve">;</w:t>
      </w:r>
      <w:r>
        <w:t xml:space="preserve"> </w:t>
      </w:r>
      <w:r>
        <w:t xml:space="preserve">“</w:t>
      </w:r>
      <w:r>
        <w:t xml:space="preserve">HDFS Erasure Coding</w:t>
      </w:r>
      <w:r>
        <w:t xml:space="preserve">”</w:t>
      </w:r>
      <w:r>
        <w:t xml:space="preserve">. https://hadoop.apache.org/docs/</w:t>
      </w:r>
    </w:p>
    <w:p>
      <w:pPr>
        <w:numPr>
          <w:ilvl w:val="0"/>
          <w:numId w:val="1526"/>
        </w:numPr>
        <w:pStyle w:val="Compact"/>
      </w:pPr>
      <w:r>
        <w:t xml:space="preserve">Sathiamoorthy, M., et al. </w:t>
      </w:r>
      <w:r>
        <w:t xml:space="preserve">“</w:t>
      </w:r>
      <w:r>
        <w:t xml:space="preserve">XORing Elephants: Novel Erasure Codes for Big Data.</w:t>
      </w:r>
      <w:r>
        <w:t xml:space="preserve">”</w:t>
      </w:r>
      <w:r>
        <w:t xml:space="preserve"> </w:t>
      </w:r>
      <w:r>
        <w:rPr>
          <w:iCs/>
          <w:i/>
        </w:rPr>
        <w:t xml:space="preserve">PVLDB</w:t>
      </w:r>
      <w:r>
        <w:t xml:space="preserve"> </w:t>
      </w:r>
      <w:r>
        <w:t xml:space="preserve">6(5), 2013.</w:t>
      </w:r>
    </w:p>
    <w:p>
      <w:pPr>
        <w:numPr>
          <w:ilvl w:val="0"/>
          <w:numId w:val="1526"/>
        </w:numPr>
        <w:pStyle w:val="Compact"/>
      </w:pPr>
      <w:r>
        <w:t xml:space="preserve">Ford, D., et al. </w:t>
      </w:r>
      <w:r>
        <w:t xml:space="preserve">“</w:t>
      </w:r>
      <w:r>
        <w:t xml:space="preserve">Availability in Globally Distributed Storage Systems.</w:t>
      </w:r>
      <w:r>
        <w:t xml:space="preserve">”</w:t>
      </w:r>
      <w:r>
        <w:t xml:space="preserve"> </w:t>
      </w:r>
      <w:r>
        <w:rPr>
          <w:iCs/>
          <w:i/>
        </w:rPr>
        <w:t xml:space="preserve">OSDI</w:t>
      </w:r>
      <w:r>
        <w:t xml:space="preserve">, 2010.</w:t>
      </w:r>
    </w:p>
    <w:bookmarkEnd w:id="1783"/>
    <w:bookmarkStart w:id="1784" w:name="open-verification-items-14"/>
    <w:p>
      <w:pPr>
        <w:pStyle w:val="Heading2"/>
      </w:pPr>
      <w:r>
        <w:t xml:space="preserve">15.16 Open verification items</w:t>
      </w:r>
    </w:p>
    <w:p>
      <w:pPr>
        <w:numPr>
          <w:ilvl w:val="0"/>
          <w:numId w:val="1527"/>
        </w:numPr>
        <w:pStyle w:val="Compact"/>
      </w:pPr>
      <w:r>
        <w:t xml:space="preserve">S3 maximum object size: AWS pages state both</w:t>
      </w:r>
      <w:r>
        <w:t xml:space="preserve"> </w:t>
      </w:r>
      <w:r>
        <w:t xml:space="preserve">“</w:t>
      </w:r>
      <w:r>
        <w:t xml:space="preserve">50 TB</w:t>
      </w:r>
      <w:r>
        <w:t xml:space="preserve">”</w:t>
      </w:r>
      <w:r>
        <w:t xml:space="preserve"> </w:t>
      </w:r>
      <w:r>
        <w:t xml:space="preserve">and 48.8 TiB (10,000 × 5 GiB); confirm the current figure and announcement date (docs.aws.amazon.com was unreachable from the authoring environment).</w:t>
      </w:r>
    </w:p>
    <w:p>
      <w:pPr>
        <w:numPr>
          <w:ilvl w:val="0"/>
          <w:numId w:val="1527"/>
        </w:numPr>
        <w:pStyle w:val="Compact"/>
      </w:pPr>
      <w:r>
        <w:t xml:space="preserve">S3 conditional writes:</w:t>
      </w:r>
      <w:r>
        <w:t xml:space="preserve"> </w:t>
      </w:r>
      <w:r>
        <w:rPr>
          <w:rStyle w:val="VerbatimChar"/>
        </w:rPr>
        <w:t xml:space="preserve">If-None-Match</w:t>
      </w:r>
      <w:r>
        <w:t xml:space="preserve"> </w:t>
      </w:r>
      <w:r>
        <w:t xml:space="preserve">(2024) and</w:t>
      </w:r>
      <w:r>
        <w:t xml:space="preserve"> </w:t>
      </w:r>
      <w:r>
        <w:rPr>
          <w:rStyle w:val="VerbatimChar"/>
        </w:rPr>
        <w:t xml:space="preserve">If-Match</w:t>
      </w:r>
      <w:r>
        <w:t xml:space="preserve"> </w:t>
      </w:r>
      <w:r>
        <w:t xml:space="preserve">(late 2024) availability dates and scope.</w:t>
      </w:r>
    </w:p>
    <w:p>
      <w:pPr>
        <w:numPr>
          <w:ilvl w:val="0"/>
          <w:numId w:val="1527"/>
        </w:numPr>
        <w:pStyle w:val="Compact"/>
      </w:pPr>
      <w:r>
        <w:t xml:space="preserve">Table 15.4 prices, transition-request prices ($0.01 and $0.05 per 1,000), Deep Archive retrieval times and minimum durations: verify against the AWS pricing page as of 2026.</w:t>
      </w:r>
    </w:p>
    <w:p>
      <w:pPr>
        <w:numPr>
          <w:ilvl w:val="0"/>
          <w:numId w:val="1527"/>
        </w:numPr>
        <w:pStyle w:val="Compact"/>
      </w:pPr>
      <w:r>
        <w:t xml:space="preserve">Exact title and URL of the Google Cloud Colossus blog post [Hildebrand and Serenyi 2021].</w:t>
      </w:r>
    </w:p>
    <w:p>
      <w:pPr>
        <w:numPr>
          <w:ilvl w:val="0"/>
          <w:numId w:val="1527"/>
        </w:numPr>
        <w:pStyle w:val="Compact"/>
      </w:pPr>
      <w:r>
        <w:t xml:space="preserve">HDFS</w:t>
      </w:r>
      <w:r>
        <w:t xml:space="preserve"> </w:t>
      </w:r>
      <w:r>
        <w:t xml:space="preserve">“</w:t>
      </w:r>
      <w:r>
        <w:t xml:space="preserve">about 150 bytes per namespace object</w:t>
      </w:r>
      <w:r>
        <w:t xml:space="preserve">”</w:t>
      </w:r>
      <w:r>
        <w:t xml:space="preserve"> </w:t>
      </w:r>
      <w:r>
        <w:t xml:space="preserve">rule of thumb: confirm a primary source.</w:t>
      </w:r>
    </w:p>
    <w:p>
      <w:pPr>
        <w:numPr>
          <w:ilvl w:val="0"/>
          <w:numId w:val="1527"/>
        </w:numPr>
        <w:pStyle w:val="Compact"/>
      </w:pPr>
      <w:r>
        <w:t xml:space="preserve">Recovery-traffic magnitude in [Rashmi et al. 2013] (</w:t>
      </w:r>
      <w:r>
        <w:t xml:space="preserve">“</w:t>
      </w:r>
      <w:r>
        <w:t xml:space="preserve">on the order of a hundred terabytes per day</w:t>
      </w:r>
      <w:r>
        <w:t xml:space="preserve">”</w:t>
      </w:r>
      <w:r>
        <w:t xml:space="preserve">).</w:t>
      </w:r>
    </w:p>
    <w:p>
      <w:pPr>
        <w:numPr>
          <w:ilvl w:val="0"/>
          <w:numId w:val="1527"/>
        </w:numPr>
        <w:pStyle w:val="Compact"/>
      </w:pPr>
      <w:r>
        <w:t xml:space="preserve">Typical object-store first-byte latency range in Table 15.1.</w:t>
      </w:r>
    </w:p>
    <w:bookmarkEnd w:id="1784"/>
    <w:bookmarkEnd w:id="1785"/>
    <w:bookmarkStart w:id="1904" w:name="chapter-16-search-systems"/>
    <w:p>
      <w:pPr>
        <w:pStyle w:val="Heading1"/>
      </w:pPr>
      <w:r>
        <w:t xml:space="preserve">Chapter 16 — Search Systems</w:t>
      </w:r>
    </w:p>
    <w:p>
      <w:pPr>
        <w:pStyle w:val="BlockText"/>
      </w:pPr>
      <w:r>
        <w:rPr>
          <w:bCs/>
          <w:b/>
        </w:rPr>
        <w:t xml:space="preserve">Level:</w:t>
      </w:r>
      <w:r>
        <w:t xml:space="preserve"> </w:t>
      </w:r>
      <w:r>
        <w:t xml:space="preserve">3 ·</w:t>
      </w:r>
      <w:r>
        <w:t xml:space="preserve"> </w:t>
      </w:r>
      <w:r>
        <w:rPr>
          <w:bCs/>
          <w:b/>
        </w:rPr>
        <w:t xml:space="preserve">Track:</w:t>
      </w:r>
      <w:r>
        <w:t xml:space="preserve"> </w:t>
      </w:r>
      <w:r>
        <w:t xml:space="preserve">A (Traditional) ·</w:t>
      </w:r>
      <w:r>
        <w:t xml:space="preserve"> </w:t>
      </w:r>
      <w:r>
        <w:rPr>
          <w:bCs/>
          <w:b/>
        </w:rPr>
        <w:t xml:space="preserve">Estimated reading time:</w:t>
      </w:r>
      <w:r>
        <w:t xml:space="preserve"> </w:t>
      </w:r>
      <w:r>
        <w:t xml:space="preserve">5 h</w:t>
      </w:r>
    </w:p>
    <w:p>
      <w:pPr>
        <w:pStyle w:val="FirstParagraph"/>
      </w:pPr>
      <w:r>
        <w:t xml:space="preserve">Type</w:t>
      </w:r>
      <w:r>
        <w:t xml:space="preserve"> </w:t>
      </w:r>
      <w:r>
        <w:t xml:space="preserve">“</w:t>
      </w:r>
      <w:r>
        <w:t xml:space="preserve">wireless noise cancelling headphones</w:t>
      </w:r>
      <w:r>
        <w:t xml:space="preserve">”</w:t>
      </w:r>
      <w:r>
        <w:t xml:space="preserve"> </w:t>
      </w:r>
      <w:r>
        <w:t xml:space="preserve">into an online store and, within about a tenth of a second, a ranked list comes back from tens of millions of products. A B-tree index (§11.8) cannot do this: it finds rows whose key</w:t>
      </w:r>
      <w:r>
        <w:t xml:space="preserve"> </w:t>
      </w:r>
      <w:r>
        <w:rPr>
          <w:iCs/>
          <w:i/>
        </w:rPr>
        <w:t xml:space="preserve">equals</w:t>
      </w:r>
      <w:r>
        <w:t xml:space="preserve"> </w:t>
      </w:r>
      <w:r>
        <w:t xml:space="preserve">or</w:t>
      </w:r>
      <w:r>
        <w:t xml:space="preserve"> </w:t>
      </w:r>
      <w:r>
        <w:rPr>
          <w:iCs/>
          <w:i/>
        </w:rPr>
        <w:t xml:space="preserve">starts with</w:t>
      </w:r>
      <w:r>
        <w:t xml:space="preserve"> </w:t>
      </w:r>
      <w:r>
        <w:t xml:space="preserve">a value, so</w:t>
      </w:r>
      <w:r>
        <w:t xml:space="preserve"> </w:t>
      </w:r>
      <w:r>
        <w:rPr>
          <w:rStyle w:val="VerbatimChar"/>
        </w:rPr>
        <w:t xml:space="preserve">WHERE description LIKE '%noise%'</w:t>
      </w:r>
      <w:r>
        <w:t xml:space="preserve"> </w:t>
      </w:r>
      <w:r>
        <w:t xml:space="preserve">reads every row, and even then the database has no notion of which match is</w:t>
      </w:r>
      <w:r>
        <w:t xml:space="preserve"> </w:t>
      </w:r>
      <w:r>
        <w:rPr>
          <w:iCs/>
          <w:i/>
        </w:rPr>
        <w:t xml:space="preserve">best</w:t>
      </w:r>
      <w:r>
        <w:t xml:space="preserve">.</w:t>
      </w:r>
    </w:p>
    <w:p>
      <w:pPr>
        <w:pStyle w:val="BodyText"/>
      </w:pPr>
      <w:r>
        <w:t xml:space="preserve">Search systems solve three problems that ordinary databases do not:</w:t>
      </w:r>
    </w:p>
    <w:p>
      <w:pPr>
        <w:numPr>
          <w:ilvl w:val="0"/>
          <w:numId w:val="1528"/>
        </w:numPr>
        <w:pStyle w:val="Compact"/>
      </w:pPr>
      <w:r>
        <w:rPr>
          <w:bCs/>
          <w:b/>
        </w:rPr>
        <w:t xml:space="preserve">Finding documents by the words inside them</w:t>
      </w:r>
      <w:r>
        <w:t xml:space="preserve">, quickly, across billions of words. The answer is the</w:t>
      </w:r>
      <w:r>
        <w:t xml:space="preserve"> </w:t>
      </w:r>
      <w:r>
        <w:rPr>
          <w:bCs/>
          <w:b/>
        </w:rPr>
        <w:t xml:space="preserve">inverted index</w:t>
      </w:r>
      <w:r>
        <w:t xml:space="preserve"> </w:t>
      </w:r>
      <w:r>
        <w:t xml:space="preserve">(§16.3), together with the text analysis that decides what counts as a</w:t>
      </w:r>
      <w:r>
        <w:t xml:space="preserve"> </w:t>
      </w:r>
      <w:r>
        <w:t xml:space="preserve">“</w:t>
      </w:r>
      <w:r>
        <w:t xml:space="preserve">word</w:t>
      </w:r>
      <w:r>
        <w:t xml:space="preserve">”</w:t>
      </w:r>
      <w:r>
        <w:t xml:space="preserve"> </w:t>
      </w:r>
      <w:r>
        <w:t xml:space="preserve">(§16.4).</w:t>
      </w:r>
    </w:p>
    <w:p>
      <w:pPr>
        <w:numPr>
          <w:ilvl w:val="0"/>
          <w:numId w:val="1528"/>
        </w:numPr>
        <w:pStyle w:val="Compact"/>
      </w:pPr>
      <w:r>
        <w:rPr>
          <w:bCs/>
          <w:b/>
        </w:rPr>
        <w:t xml:space="preserve">Ordering matches by relevance</w:t>
      </w:r>
      <w:r>
        <w:t xml:space="preserve">, so the most useful result comes first. The answer is a scoring function, today usually</w:t>
      </w:r>
      <w:r>
        <w:t xml:space="preserve"> </w:t>
      </w:r>
      <w:r>
        <w:rPr>
          <w:bCs/>
          <w:b/>
        </w:rPr>
        <w:t xml:space="preserve">BM25</w:t>
      </w:r>
      <w:r>
        <w:t xml:space="preserve"> </w:t>
      </w:r>
      <w:r>
        <w:t xml:space="preserve">(§16.5).</w:t>
      </w:r>
    </w:p>
    <w:p>
      <w:pPr>
        <w:numPr>
          <w:ilvl w:val="0"/>
          <w:numId w:val="1528"/>
        </w:numPr>
        <w:pStyle w:val="Compact"/>
      </w:pPr>
      <w:r>
        <w:rPr>
          <w:bCs/>
          <w:b/>
        </w:rPr>
        <w:t xml:space="preserve">Doing both at scale and in near real time</w:t>
      </w:r>
      <w:r>
        <w:t xml:space="preserve">, while documents are being added, changed and deleted. The answer is immutable index segments that are merged in the background (§16.6), partitioned and replicated across nodes (§16.7). Elasticsearch and OpenSearch package all of this (§16.8), and an indexing pipeline keeps the index in step with the source of truth (§16.10).</w:t>
      </w:r>
    </w:p>
    <w:p>
      <w:pPr>
        <w:pStyle w:val="FirstParagraph"/>
      </w:pPr>
      <w:r>
        <w:t xml:space="preserve">Autocomplete (§16.9) has a latency budget so tight that it gets its own data structures, and §16.11 bridges to semantic and hybrid retrieval (Chapters 74–75). These ideas are stable: Brin and Page’s 1998 Google prototype already had an inverted index, position</w:t>
      </w:r>
      <w:r>
        <w:t xml:space="preserve"> </w:t>
      </w:r>
      <w:r>
        <w:t xml:space="preserve">“</w:t>
      </w:r>
      <w:r>
        <w:t xml:space="preserve">hit lists</w:t>
      </w:r>
      <w:r>
        <w:t xml:space="preserve">”</w:t>
      </w:r>
      <w:r>
        <w:t xml:space="preserve"> </w:t>
      </w:r>
      <w:r>
        <w:t xml:space="preserve">and a ranking function combining text scores with PageRank [Brin and Page 1998].</w:t>
      </w:r>
    </w:p>
    <w:p>
      <w:pPr>
        <w:pStyle w:val="BodyText"/>
      </w:pPr>
      <w:r>
        <w:t xml:space="preserve">The running example is product search for an online electronics store. Figure 16.1 shows its two halves.</w:t>
      </w:r>
    </w:p>
    <w:p>
      <w:pPr>
        <w:pStyle w:val="BodyText"/>
      </w:pPr>
      <w:r>
        <w:rPr>
          <w:bCs/>
          <w:b/>
        </w:rPr>
        <w:t xml:space="preserve">Figure 16.1 — The two paths of a search system.</w:t>
      </w:r>
    </w:p>
    <w:p>
      <w:pPr>
        <w:pStyle w:val="BodyText"/>
      </w:pPr>
      <w:r>
        <w:drawing>
          <wp:inline>
            <wp:extent cx="5334000" cy="1190141"/>
            <wp:effectExtent b="0" l="0" r="0" t="0"/>
            <wp:docPr descr="" title="" id="1787" name="Picture"/>
            <a:graphic>
              <a:graphicData uri="http://schemas.openxmlformats.org/drawingml/2006/picture">
                <pic:pic>
                  <pic:nvPicPr>
                    <pic:cNvPr descr="/home/user/System-Design/build/.cache/diagrams/6c2507a80e95.png" id="1788" name="Picture"/>
                    <pic:cNvPicPr>
                      <a:picLocks noChangeArrowheads="1" noChangeAspect="1"/>
                    </pic:cNvPicPr>
                  </pic:nvPicPr>
                  <pic:blipFill>
                    <a:blip r:embed="rId1786"/>
                    <a:stretch>
                      <a:fillRect/>
                    </a:stretch>
                  </pic:blipFill>
                  <pic:spPr bwMode="auto">
                    <a:xfrm>
                      <a:off x="0" y="0"/>
                      <a:ext cx="5334000" cy="1190141"/>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left subgraph is the</w:t>
      </w:r>
      <w:r>
        <w:t xml:space="preserve"> </w:t>
      </w:r>
      <w:r>
        <w:rPr>
          <w:bCs/>
          <w:b/>
        </w:rPr>
        <w:t xml:space="preserve">indexing path</w:t>
      </w:r>
      <w:r>
        <w:t xml:space="preserve">. The product database is the source of truth; change data capture (CDC) publishes every insert, update and delete as an event to a Kafka topic. Those dotted arrows are asynchronous: the shopper never waits for them. The indexer consumes events, runs text analysis and writes to the index in bulk. The right subgraph is the</w:t>
      </w:r>
      <w:r>
        <w:t xml:space="preserve"> </w:t>
      </w:r>
      <w:r>
        <w:rPr>
          <w:bCs/>
          <w:b/>
        </w:rPr>
        <w:t xml:space="preserve">query path</w:t>
      </w:r>
      <w:r>
        <w:t xml:space="preserve">, which is synchronous (solid arrows) from the shopper’s HTTPS request to the ranked response. The query is analyzed with the</w:t>
      </w:r>
      <w:r>
        <w:t xml:space="preserve"> </w:t>
      </w:r>
      <w:r>
        <w:rPr>
          <w:iCs/>
          <w:i/>
        </w:rPr>
        <w:t xml:space="preserve">same</w:t>
      </w:r>
      <w:r>
        <w:t xml:space="preserve"> </w:t>
      </w:r>
      <w:r>
        <w:t xml:space="preserve">rules as the documents, the planner looks up postings lists, and the ranker scores candidates and keeps the top</w:t>
      </w:r>
      <w:r>
        <w:t xml:space="preserve"> </w:t>
      </w:r>
      <w:r>
        <w:rPr>
          <w:iCs/>
          <w:i/>
        </w:rPr>
        <w:t xml:space="preserve">k</w:t>
      </w:r>
      <w:r>
        <w:t xml:space="preserve">. There are two storage boundaries, the product database and the index, and they are eventually consistent with each other; the lag between them is the</w:t>
      </w:r>
      <w:r>
        <w:t xml:space="preserve"> </w:t>
      </w:r>
      <w:r>
        <w:rPr>
          <w:bCs/>
          <w:b/>
        </w:rPr>
        <w:t xml:space="preserve">freshness</w:t>
      </w:r>
      <w:r>
        <w:t xml:space="preserve"> </w:t>
      </w:r>
      <w:r>
        <w:t xml:space="preserve">of search (§16.10). Failure points: if Kafka or the indexer stalls, search keeps serving but grows stale; if the index is unavailable, search fails even though the database is healthy. The two paths scale independently: indexing by adding partitions and indexer consumers, querying by adding replicas (§16.7).</w:t>
      </w:r>
    </w:p>
    <w:bookmarkStart w:id="1789" w:name="learning-objectives-15"/>
    <w:p>
      <w:pPr>
        <w:pStyle w:val="Heading2"/>
      </w:pPr>
      <w:r>
        <w:t xml:space="preserve">16.1 Learning objectives</w:t>
      </w:r>
    </w:p>
    <w:p>
      <w:pPr>
        <w:pStyle w:val="FirstParagraph"/>
      </w:pPr>
      <w:r>
        <w:t xml:space="preserve">After this chapter you should be able to:</w:t>
      </w:r>
    </w:p>
    <w:p>
      <w:pPr>
        <w:numPr>
          <w:ilvl w:val="0"/>
          <w:numId w:val="1529"/>
        </w:numPr>
        <w:pStyle w:val="Compact"/>
      </w:pPr>
      <w:r>
        <w:t xml:space="preserve">Explain how an inverted index, postings lists, positions and skip pointers answer keyword, Boolean and phrase queries, and estimate an index’s size with delta and variable-byte compression.</w:t>
      </w:r>
    </w:p>
    <w:p>
      <w:pPr>
        <w:numPr>
          <w:ilvl w:val="0"/>
          <w:numId w:val="1529"/>
        </w:numPr>
        <w:pStyle w:val="Compact"/>
      </w:pPr>
      <w:r>
        <w:t xml:space="preserve">Design an analysis chain (tokenizer, lowercasing, stemming or lemmatization, stop words, n-grams, synonyms) and predict how each choice changes recall, precision and index size.</w:t>
      </w:r>
    </w:p>
    <w:p>
      <w:pPr>
        <w:numPr>
          <w:ilvl w:val="0"/>
          <w:numId w:val="1529"/>
        </w:numPr>
        <w:pStyle w:val="Compact"/>
      </w:pPr>
      <w:r>
        <w:t xml:space="preserve">Compute TF-IDF and BM25 scores by hand, explain the roles of</w:t>
      </w:r>
      <w:r>
        <w:t xml:space="preserve"> </w:t>
      </w:r>
      <m:oMath>
        <m:sSub>
          <m:e>
            <m:r>
              <m:t>k</m:t>
            </m:r>
          </m:e>
          <m:sub>
            <m:r>
              <m:t>1</m:t>
            </m:r>
          </m:sub>
        </m:sSub>
      </m:oMath>
      <w:r>
        <w:t xml:space="preserve"> </w:t>
      </w:r>
      <w:r>
        <w:t xml:space="preserve">and</w:t>
      </w:r>
      <w:r>
        <w:t xml:space="preserve"> </w:t>
      </w:r>
      <m:oMath>
        <m:r>
          <m:t>b</m:t>
        </m:r>
      </m:oMath>
      <w:r>
        <w:t xml:space="preserve">, and apply field boosting.</w:t>
      </w:r>
    </w:p>
    <w:p>
      <w:pPr>
        <w:numPr>
          <w:ilvl w:val="0"/>
          <w:numId w:val="1529"/>
        </w:numPr>
        <w:pStyle w:val="Compact"/>
      </w:pPr>
      <w:r>
        <w:t xml:space="preserve">Describe how Lucene builds indexes from immutable segments, handles deletes with tombstones, and merges segments, and estimate merge write amplification.</w:t>
      </w:r>
    </w:p>
    <w:p>
      <w:pPr>
        <w:numPr>
          <w:ilvl w:val="0"/>
          <w:numId w:val="1529"/>
        </w:numPr>
        <w:pStyle w:val="Compact"/>
      </w:pPr>
      <w:r>
        <w:t xml:space="preserve">Compare document and term partitioning, compute scatter–gather tail latency, and explain query-then-fetch, deep-pagination cost and the global-versus-local IDF problem.</w:t>
      </w:r>
    </w:p>
    <w:p>
      <w:pPr>
        <w:numPr>
          <w:ilvl w:val="0"/>
          <w:numId w:val="1529"/>
        </w:numPr>
        <w:pStyle w:val="Compact"/>
      </w:pPr>
      <w:r>
        <w:t xml:space="preserve">Describe the Elasticsearch/OpenSearch cluster model: node roles, shards, replicas, the translog, refresh, flush and near-real-time search.</w:t>
      </w:r>
    </w:p>
    <w:p>
      <w:pPr>
        <w:numPr>
          <w:ilvl w:val="0"/>
          <w:numId w:val="1529"/>
        </w:numPr>
        <w:pStyle w:val="Compact"/>
      </w:pPr>
      <w:r>
        <w:t xml:space="preserve">Design an autocomplete service with a trie or FST holding precomputed top-</w:t>
      </w:r>
      <w:r>
        <w:rPr>
          <w:iCs/>
          <w:i/>
        </w:rPr>
        <w:t xml:space="preserve">k</w:t>
      </w:r>
      <w:r>
        <w:t xml:space="preserve"> </w:t>
      </w:r>
      <w:r>
        <w:t xml:space="preserve">completions and meet a 100 ms end-to-end budget.</w:t>
      </w:r>
    </w:p>
    <w:p>
      <w:pPr>
        <w:numPr>
          <w:ilvl w:val="0"/>
          <w:numId w:val="1529"/>
        </w:numPr>
        <w:pStyle w:val="Compact"/>
      </w:pPr>
      <w:r>
        <w:t xml:space="preserve">Build a near-real-time indexing pipeline with CDC and Kafka, and reason about its freshness latency and refresh-interval trade-offs.</w:t>
      </w:r>
    </w:p>
    <w:bookmarkEnd w:id="1789"/>
    <w:bookmarkStart w:id="1790" w:name="prerequisites-15"/>
    <w:p>
      <w:pPr>
        <w:pStyle w:val="Heading2"/>
      </w:pPr>
      <w:r>
        <w:t xml:space="preserve">16.2 Prerequisites</w:t>
      </w:r>
    </w:p>
    <w:p>
      <w:pPr>
        <w:numPr>
          <w:ilvl w:val="0"/>
          <w:numId w:val="1530"/>
        </w:numPr>
        <w:pStyle w:val="Compact"/>
      </w:pPr>
      <w:r>
        <w:t xml:space="preserve">B-trees and secondary indexes — §11.7–§11.8 (the inverted index is a different answer to the same</w:t>
      </w:r>
      <w:r>
        <w:t xml:space="preserve"> </w:t>
      </w:r>
      <w:r>
        <w:t xml:space="preserve">“</w:t>
      </w:r>
      <w:r>
        <w:t xml:space="preserve">avoid a full scan</w:t>
      </w:r>
      <w:r>
        <w:t xml:space="preserve">”</w:t>
      </w:r>
      <w:r>
        <w:t xml:space="preserve"> </w:t>
      </w:r>
      <w:r>
        <w:t xml:space="preserve">problem).</w:t>
      </w:r>
    </w:p>
    <w:p>
      <w:pPr>
        <w:numPr>
          <w:ilvl w:val="0"/>
          <w:numId w:val="1530"/>
        </w:numPr>
        <w:pStyle w:val="Compact"/>
      </w:pPr>
      <w:r>
        <w:t xml:space="preserve">Log-structured storage, LSM trees and compaction — §13.7–§13.9 (Lucene segments are an LSM-like design; this chapter cross-references rather than repeats).</w:t>
      </w:r>
    </w:p>
    <w:p>
      <w:pPr>
        <w:numPr>
          <w:ilvl w:val="0"/>
          <w:numId w:val="1530"/>
        </w:numPr>
        <w:pStyle w:val="Compact"/>
      </w:pPr>
      <w:r>
        <w:t xml:space="preserve">Partitioning and replication — §14.3 and §14.6–§14.7 (search clusters apply them to indexes).</w:t>
      </w:r>
    </w:p>
    <w:p>
      <w:pPr>
        <w:numPr>
          <w:ilvl w:val="0"/>
          <w:numId w:val="1530"/>
        </w:numPr>
        <w:pStyle w:val="Compact"/>
      </w:pPr>
      <w:r>
        <w:t xml:space="preserve">Percentiles and fan-out amplification — §4.8 (scatter–gather latency builds directly on</w:t>
      </w:r>
      <w:r>
        <w:t xml:space="preserve"> </w:t>
      </w:r>
      <m:oMath>
        <m:sSup>
          <m:e>
            <m:r>
              <m:t>p</m:t>
            </m:r>
          </m:e>
          <m:sup>
            <m:r>
              <m:t>N</m:t>
            </m:r>
          </m:sup>
        </m:sSup>
      </m:oMath>
      <w:r>
        <w:t xml:space="preserve">).</w:t>
      </w:r>
    </w:p>
    <w:p>
      <w:pPr>
        <w:numPr>
          <w:ilvl w:val="0"/>
          <w:numId w:val="1530"/>
        </w:numPr>
        <w:pStyle w:val="Compact"/>
      </w:pPr>
      <w:r>
        <w:t xml:space="preserve">Logarithms — §4.4 (IDF and merge-tier arithmetic use them).</w:t>
      </w:r>
    </w:p>
    <w:p>
      <w:pPr>
        <w:numPr>
          <w:ilvl w:val="0"/>
          <w:numId w:val="1530"/>
        </w:numPr>
        <w:pStyle w:val="Compact"/>
      </w:pPr>
      <w:r>
        <w:t xml:space="preserve">Tries — §17.11 gives the data structure; this chapter applies it to autocomplete.</w:t>
      </w:r>
    </w:p>
    <w:p>
      <w:pPr>
        <w:numPr>
          <w:ilvl w:val="0"/>
          <w:numId w:val="1530"/>
        </w:numPr>
        <w:pStyle w:val="Compact"/>
      </w:pPr>
      <w:r>
        <w:t xml:space="preserve">Python 3.10 or later to run the listings; all use only the standard library.</w:t>
      </w:r>
    </w:p>
    <w:bookmarkEnd w:id="1790"/>
    <w:bookmarkStart w:id="1806" w:name="inverted-indexes"/>
    <w:p>
      <w:pPr>
        <w:pStyle w:val="Heading2"/>
      </w:pPr>
      <w:r>
        <w:t xml:space="preserve">16.3 Inverted indexes</w:t>
      </w:r>
    </w:p>
    <w:bookmarkStart w:id="1798" w:name="Xf7978f03e20b3d0797f0640732073256f172884"/>
    <w:p>
      <w:pPr>
        <w:pStyle w:val="Heading3"/>
      </w:pPr>
      <w:r>
        <w:t xml:space="preserve">16.3.1 From the index at the back of a book to an inverted index</w:t>
      </w:r>
    </w:p>
    <w:p>
      <w:pPr>
        <w:pStyle w:val="CalloutDefinition"/>
      </w:pPr>
      <w:r>
        <w:rPr>
          <w:bCs/>
          <w:b/>
        </w:rPr>
        <w:t xml:space="preserve">DEFINITION</w:t>
      </w:r>
    </w:p>
    <w:p>
      <w:pPr>
        <w:pStyle w:val="CalloutDefinition"/>
      </w:pPr>
      <w:r>
        <w:rPr>
          <w:bCs/>
          <w:b/>
        </w:rPr>
        <w:t xml:space="preserve">Definition — Inverted index.</w:t>
      </w:r>
      <w:r>
        <w:t xml:space="preserve"> </w:t>
      </w:r>
      <w:r>
        <w:t xml:space="preserve">A mapping from each distinct</w:t>
      </w:r>
      <w:r>
        <w:t xml:space="preserve"> </w:t>
      </w:r>
      <w:r>
        <w:rPr>
          <w:bCs/>
          <w:b/>
        </w:rPr>
        <w:t xml:space="preserve">term</w:t>
      </w:r>
      <w:r>
        <w:t xml:space="preserve"> </w:t>
      </w:r>
      <w:r>
        <w:t xml:space="preserve">(a normalized word or token) to a</w:t>
      </w:r>
      <w:r>
        <w:t xml:space="preserve"> </w:t>
      </w:r>
      <w:r>
        <w:rPr>
          <w:bCs/>
          <w:b/>
        </w:rPr>
        <w:t xml:space="preserve">postings list</w:t>
      </w:r>
      <w:r>
        <w:t xml:space="preserve">: the sorted list of identifiers of the documents that contain the term, optionally with the term’s frequency and positions in each document. The set of all terms is the</w:t>
      </w:r>
      <w:r>
        <w:t xml:space="preserve"> </w:t>
      </w:r>
      <w:r>
        <w:rPr>
          <w:bCs/>
          <w:b/>
        </w:rPr>
        <w:t xml:space="preserve">dictionary</w:t>
      </w:r>
      <w:r>
        <w:t xml:space="preserve"> </w:t>
      </w:r>
      <w:r>
        <w:t xml:space="preserve">(or</w:t>
      </w:r>
      <w:r>
        <w:t xml:space="preserve"> </w:t>
      </w:r>
      <w:r>
        <w:rPr>
          <w:bCs/>
          <w:b/>
        </w:rPr>
        <w:t xml:space="preserve">vocabulary</w:t>
      </w:r>
      <w:r>
        <w:t xml:space="preserve">, or</w:t>
      </w:r>
      <w:r>
        <w:t xml:space="preserve"> </w:t>
      </w:r>
      <w:r>
        <w:rPr>
          <w:bCs/>
          <w:b/>
        </w:rPr>
        <w:t xml:space="preserve">lexicon</w:t>
      </w:r>
      <w:r>
        <w:t xml:space="preserve">).</w:t>
      </w:r>
    </w:p>
    <w:bookmarkStart w:id="1791" w:name="first-principles-explanation-101"/>
    <w:p>
      <w:pPr>
        <w:pStyle w:val="Heading4"/>
      </w:pPr>
      <w:r>
        <w:t xml:space="preserve">First-principles explanation</w:t>
      </w:r>
    </w:p>
    <w:p>
      <w:pPr>
        <w:pStyle w:val="FirstParagraph"/>
      </w:pPr>
      <w:r>
        <w:t xml:space="preserve">Open a textbook at the back. The index lists</w:t>
      </w:r>
      <w:r>
        <w:t xml:space="preserve"> </w:t>
      </w:r>
      <w:r>
        <w:t xml:space="preserve">“</w:t>
      </w:r>
      <w:r>
        <w:t xml:space="preserve">Bloom filter … 211, 340, 512</w:t>
      </w:r>
      <w:r>
        <w:t xml:space="preserve">”</w:t>
      </w:r>
      <w:r>
        <w:t xml:space="preserve">. Nobody reads the whole book to find Bloom filters; you look up the word and jump to the pages. The book’s body maps</w:t>
      </w:r>
      <w:r>
        <w:t xml:space="preserve"> </w:t>
      </w:r>
      <w:r>
        <w:rPr>
          <w:iCs/>
          <w:i/>
        </w:rPr>
        <w:t xml:space="preserve">page → words</w:t>
      </w:r>
      <w:r>
        <w:t xml:space="preserve">. The index at the back is that mapping turned inside out:</w:t>
      </w:r>
      <w:r>
        <w:t xml:space="preserve"> </w:t>
      </w:r>
      <w:r>
        <w:rPr>
          <w:iCs/>
          <w:i/>
        </w:rPr>
        <w:t xml:space="preserve">word → pages</w:t>
      </w:r>
      <w:r>
        <w:t xml:space="preserve">. That is all an inverted index is. The</w:t>
      </w:r>
      <w:r>
        <w:t xml:space="preserve"> </w:t>
      </w:r>
      <w:r>
        <w:t xml:space="preserve">“</w:t>
      </w:r>
      <w:r>
        <w:t xml:space="preserve">forward</w:t>
      </w:r>
      <w:r>
        <w:t xml:space="preserve">”</w:t>
      </w:r>
      <w:r>
        <w:t xml:space="preserve"> </w:t>
      </w:r>
      <w:r>
        <w:t xml:space="preserve">direction (document → terms) is how documents are written; the</w:t>
      </w:r>
      <w:r>
        <w:t xml:space="preserve"> </w:t>
      </w:r>
      <w:r>
        <w:t xml:space="preserve">“</w:t>
      </w:r>
      <w:r>
        <w:t xml:space="preserve">inverted</w:t>
      </w:r>
      <w:r>
        <w:t xml:space="preserve">”</w:t>
      </w:r>
      <w:r>
        <w:t xml:space="preserve"> </w:t>
      </w:r>
      <w:r>
        <w:t xml:space="preserve">direction (term → documents) is how they are searched.</w:t>
      </w:r>
    </w:p>
    <w:p>
      <w:pPr>
        <w:pStyle w:val="BodyText"/>
      </w:pPr>
      <w:r>
        <w:t xml:space="preserve">Three refinements make it a search index: page numbers become small-integer</w:t>
      </w:r>
      <w:r>
        <w:t xml:space="preserve"> </w:t>
      </w:r>
      <w:r>
        <w:rPr>
          <w:bCs/>
          <w:b/>
        </w:rPr>
        <w:t xml:space="preserve">document identifiers (docIDs)</w:t>
      </w:r>
      <w:r>
        <w:t xml:space="preserve">; each list is kept</w:t>
      </w:r>
      <w:r>
        <w:t xml:space="preserve"> </w:t>
      </w:r>
      <w:r>
        <w:rPr>
          <w:bCs/>
          <w:b/>
        </w:rPr>
        <w:t xml:space="preserve">sorted</w:t>
      </w:r>
      <w:r>
        <w:t xml:space="preserve"> </w:t>
      </w:r>
      <w:r>
        <w:t xml:space="preserve">by docID so lists combine cheaply; and each entry can carry the</w:t>
      </w:r>
      <w:r>
        <w:t xml:space="preserve"> </w:t>
      </w:r>
      <w:r>
        <w:rPr>
          <w:bCs/>
          <w:b/>
        </w:rPr>
        <w:t xml:space="preserve">term frequency</w:t>
      </w:r>
      <w:r>
        <w:t xml:space="preserve"> </w:t>
      </w:r>
      <w:r>
        <w:t xml:space="preserve">(tf) and</w:t>
      </w:r>
      <w:r>
        <w:t xml:space="preserve"> </w:t>
      </w:r>
      <w:r>
        <w:rPr>
          <w:bCs/>
          <w:b/>
        </w:rPr>
        <w:t xml:space="preserve">positions</w:t>
      </w:r>
      <w:r>
        <w:t xml:space="preserve"> </w:t>
      </w:r>
      <w:r>
        <w:t xml:space="preserve">of the word, for ranking and phrase matching.</w:t>
      </w:r>
    </w:p>
    <w:bookmarkEnd w:id="1791"/>
    <w:bookmarkStart w:id="1792" w:name="why-does-this-exist-61"/>
    <w:p>
      <w:pPr>
        <w:pStyle w:val="Heading4"/>
      </w:pPr>
      <w:r>
        <w:t xml:space="preserve">Why does this exist?</w:t>
      </w:r>
    </w:p>
    <w:p>
      <w:pPr>
        <w:pStyle w:val="FirstParagraph"/>
      </w:pPr>
      <w:r>
        <w:t xml:space="preserve">Consider answering</w:t>
      </w:r>
      <w:r>
        <w:t xml:space="preserve"> </w:t>
      </w:r>
      <w:r>
        <w:t xml:space="preserve">“</w:t>
      </w:r>
      <w:r>
        <w:t xml:space="preserve">documents containing</w:t>
      </w:r>
      <w:r>
        <w:t xml:space="preserve"> </w:t>
      </w:r>
      <w:r>
        <w:rPr>
          <w:iCs/>
          <w:i/>
        </w:rPr>
        <w:t xml:space="preserve">noise</w:t>
      </w:r>
      <w:r>
        <w:t xml:space="preserve"> </w:t>
      </w:r>
      <w:r>
        <w:t xml:space="preserve">and</w:t>
      </w:r>
      <w:r>
        <w:t xml:space="preserve"> </w:t>
      </w:r>
      <w:r>
        <w:rPr>
          <w:iCs/>
          <w:i/>
        </w:rPr>
        <w:t xml:space="preserve">headphones</w:t>
      </w:r>
      <w:r>
        <w:t xml:space="preserve">”</w:t>
      </w:r>
      <w:r>
        <w:t xml:space="preserve"> </w:t>
      </w:r>
      <w:r>
        <w:t xml:space="preserve">by scanning. A catalog of 100 million documents averaging 2.4 KB of text is 240 GB. Reading 240 GB at a generous 10 GB/s of memory bandwidth takes 24 s per query on one core, before any matching work. An inverted index instead reads two postings lists. If</w:t>
      </w:r>
      <w:r>
        <w:t xml:space="preserve"> </w:t>
      </w:r>
      <w:r>
        <w:rPr>
          <w:iCs/>
          <w:i/>
        </w:rPr>
        <w:t xml:space="preserve">noise</w:t>
      </w:r>
      <w:r>
        <w:t xml:space="preserve"> </w:t>
      </w:r>
      <w:r>
        <w:t xml:space="preserve">appears in 1 million documents and</w:t>
      </w:r>
      <w:r>
        <w:t xml:space="preserve"> </w:t>
      </w:r>
      <w:r>
        <w:rPr>
          <w:iCs/>
          <w:i/>
        </w:rPr>
        <w:t xml:space="preserve">headphones</w:t>
      </w:r>
      <w:r>
        <w:t xml:space="preserve"> </w:t>
      </w:r>
      <w:r>
        <w:t xml:space="preserve">in 100,000, the engine touches about 1.1 million entries; at roughly 2.4 bytes per compressed entry (§16.3.5) that is about 2.6 MB, read in well under a millisecond. The index trades storage and indexing work for a 10,000-fold reduction in query work.</w:t>
      </w:r>
    </w:p>
    <w:bookmarkEnd w:id="1792"/>
    <w:bookmarkStart w:id="1793" w:name="how-it-works-internally-66"/>
    <w:p>
      <w:pPr>
        <w:pStyle w:val="Heading4"/>
      </w:pPr>
      <w:r>
        <w:t xml:space="preserve">How it works internally</w:t>
      </w:r>
    </w:p>
    <w:p>
      <w:pPr>
        <w:numPr>
          <w:ilvl w:val="0"/>
          <w:numId w:val="1531"/>
        </w:numPr>
        <w:pStyle w:val="Compact"/>
      </w:pPr>
      <w:r>
        <w:rPr>
          <w:bCs/>
          <w:b/>
        </w:rPr>
        <w:t xml:space="preserve">Analyze</w:t>
      </w:r>
      <w:r>
        <w:t xml:space="preserve"> </w:t>
      </w:r>
      <w:r>
        <w:t xml:space="preserve">each document into terms with positions (§16.4).</w:t>
      </w:r>
    </w:p>
    <w:p>
      <w:pPr>
        <w:numPr>
          <w:ilvl w:val="0"/>
          <w:numId w:val="1531"/>
        </w:numPr>
        <w:pStyle w:val="Compact"/>
      </w:pPr>
      <w:r>
        <w:rPr>
          <w:bCs/>
          <w:b/>
        </w:rPr>
        <w:t xml:space="preserve">Assign</w:t>
      </w:r>
      <w:r>
        <w:t xml:space="preserve"> </w:t>
      </w:r>
      <w:r>
        <w:t xml:space="preserve">a docID; Lucene assigns them in insertion order within each segment, so postings are naturally sorted (§16.6).</w:t>
      </w:r>
    </w:p>
    <w:p>
      <w:pPr>
        <w:numPr>
          <w:ilvl w:val="0"/>
          <w:numId w:val="1531"/>
        </w:numPr>
        <w:pStyle w:val="Compact"/>
      </w:pPr>
      <w:r>
        <w:rPr>
          <w:bCs/>
          <w:b/>
        </w:rPr>
        <w:t xml:space="preserve">Append</w:t>
      </w:r>
      <w:r>
        <w:t xml:space="preserve"> </w:t>
      </w:r>
      <w:r>
        <w:t xml:space="preserve">the docID (with tf and positions) to the postings list of each distinct term.</w:t>
      </w:r>
    </w:p>
    <w:p>
      <w:pPr>
        <w:numPr>
          <w:ilvl w:val="0"/>
          <w:numId w:val="1531"/>
        </w:numPr>
        <w:pStyle w:val="Compact"/>
      </w:pPr>
      <w:r>
        <w:rPr>
          <w:bCs/>
          <w:b/>
        </w:rPr>
        <w:t xml:space="preserve">Store</w:t>
      </w:r>
      <w:r>
        <w:t xml:space="preserve"> </w:t>
      </w:r>
      <w:r>
        <w:t xml:space="preserve">the dictionary in a structure supporting exact and prefix lookup; Lucene uses a block tree indexed by a finite-state transducer (§16.9.3).</w:t>
      </w:r>
    </w:p>
    <w:p>
      <w:pPr>
        <w:numPr>
          <w:ilvl w:val="0"/>
          <w:numId w:val="1531"/>
        </w:numPr>
        <w:pStyle w:val="Compact"/>
      </w:pPr>
      <w:r>
        <w:rPr>
          <w:bCs/>
          <w:b/>
        </w:rPr>
        <w:t xml:space="preserve">Compress</w:t>
      </w:r>
      <w:r>
        <w:t xml:space="preserve"> </w:t>
      </w:r>
      <w:r>
        <w:t xml:space="preserve">postings (§16.3.4) and write them sequentially.</w:t>
      </w:r>
    </w:p>
    <w:bookmarkEnd w:id="1793"/>
    <w:bookmarkStart w:id="1797" w:name="architecture-diagram-16"/>
    <w:p>
      <w:pPr>
        <w:pStyle w:val="Heading4"/>
      </w:pPr>
      <w:r>
        <w:t xml:space="preserve">Architecture diagram</w:t>
      </w:r>
    </w:p>
    <w:p>
      <w:pPr>
        <w:pStyle w:val="FirstParagraph"/>
      </w:pPr>
      <w:r>
        <w:rPr>
          <w:bCs/>
          <w:b/>
        </w:rPr>
        <w:t xml:space="preserve">Figure 16.2 — Dictionary, postings lists and positions.</w:t>
      </w:r>
    </w:p>
    <w:p>
      <w:pPr>
        <w:pStyle w:val="BodyText"/>
      </w:pPr>
      <w:r>
        <w:drawing>
          <wp:inline>
            <wp:extent cx="5334000" cy="3634600"/>
            <wp:effectExtent b="0" l="0" r="0" t="0"/>
            <wp:docPr descr="" title="" id="1795" name="Picture"/>
            <a:graphic>
              <a:graphicData uri="http://schemas.openxmlformats.org/drawingml/2006/picture">
                <pic:pic>
                  <pic:nvPicPr>
                    <pic:cNvPr descr="/home/user/System-Design/build/.cache/diagrams/b979d4570251.png" id="1796" name="Picture"/>
                    <pic:cNvPicPr>
                      <a:picLocks noChangeArrowheads="1" noChangeAspect="1"/>
                    </pic:cNvPicPr>
                  </pic:nvPicPr>
                  <pic:blipFill>
                    <a:blip r:embed="rId1794"/>
                    <a:stretch>
                      <a:fillRect/>
                    </a:stretch>
                  </pic:blipFill>
                  <pic:spPr bwMode="auto">
                    <a:xfrm>
                      <a:off x="0" y="0"/>
                      <a:ext cx="5334000" cy="3634600"/>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left subgraph is the dictionary: one entry per distinct term with its</w:t>
      </w:r>
      <w:r>
        <w:t xml:space="preserve"> </w:t>
      </w:r>
      <w:r>
        <w:rPr>
          <w:bCs/>
          <w:b/>
        </w:rPr>
        <w:t xml:space="preserve">document frequency</w:t>
      </w:r>
      <w:r>
        <w:t xml:space="preserve"> </w:t>
      </w:r>
      <w:r>
        <w:t xml:space="preserve">(df, the number of documents containing it). Each solid arrow is a pointer, in practice a file offset, from a dictionary entry to its postings list. The right subgraph shows postings for the body field of this chapter’s eight-product example (§16.5.4):</w:t>
      </w:r>
      <w:r>
        <w:t xml:space="preserve"> </w:t>
      </w:r>
      <w:r>
        <w:rPr>
          <w:iCs/>
          <w:i/>
        </w:rPr>
        <w:t xml:space="preserve">noise</w:t>
      </w:r>
      <w:r>
        <w:t xml:space="preserve"> </w:t>
      </w:r>
      <w:r>
        <w:t xml:space="preserve">occurs in documents 1, 4 and 7, at positions 6, 4 and 10. The dotted arrows show the last step of a query: docIDs are turned into displayable results by fetching stored fields, a separate storage structure. The dictionary is small and usually memory-resident; postings are large and read sequentially; stored documents are read only for the final top results. Failure points are corruption of any of the three structures, which is why Lucene checksums every file. Scaling is by partitioning documents across shards, each with its own complete dictionary and postings (§16.7).</w:t>
      </w:r>
    </w:p>
    <w:bookmarkEnd w:id="1797"/>
    <w:bookmarkEnd w:id="1798"/>
    <w:bookmarkStart w:id="1799" w:name="query-evaluation-with-postings-lists"/>
    <w:p>
      <w:pPr>
        <w:pStyle w:val="Heading3"/>
      </w:pPr>
      <w:r>
        <w:t xml:space="preserve">16.3.2 Query evaluation with postings lists</w:t>
      </w:r>
    </w:p>
    <w:p>
      <w:pPr>
        <w:pStyle w:val="FirstParagraph"/>
      </w:pPr>
      <w:r>
        <w:t xml:space="preserve">Because postings are sorted, Boolean operators become list operations:</w:t>
      </w:r>
    </w:p>
    <w:p>
      <w:pPr>
        <w:numPr>
          <w:ilvl w:val="0"/>
          <w:numId w:val="1532"/>
        </w:numPr>
        <w:pStyle w:val="Compact"/>
      </w:pPr>
      <w:r>
        <w:rPr>
          <w:bCs/>
          <w:b/>
        </w:rPr>
        <w:t xml:space="preserve">AND</w:t>
      </w:r>
      <w:r>
        <w:t xml:space="preserve"> </w:t>
      </w:r>
      <w:r>
        <w:t xml:space="preserve">(</w:t>
      </w:r>
      <w:r>
        <w:rPr>
          <w:iCs/>
          <w:i/>
        </w:rPr>
        <w:t xml:space="preserve">noise</w:t>
      </w:r>
      <w:r>
        <w:t xml:space="preserve"> </w:t>
      </w:r>
      <w:r>
        <w:t xml:space="preserve">AND</w:t>
      </w:r>
      <w:r>
        <w:t xml:space="preserve"> </w:t>
      </w:r>
      <w:r>
        <w:rPr>
          <w:iCs/>
          <w:i/>
        </w:rPr>
        <w:t xml:space="preserve">wireless</w:t>
      </w:r>
      <w:r>
        <w:t xml:space="preserve">) is an</w:t>
      </w:r>
      <w:r>
        <w:t xml:space="preserve"> </w:t>
      </w:r>
      <w:r>
        <w:rPr>
          <w:bCs/>
          <w:b/>
        </w:rPr>
        <w:t xml:space="preserve">intersection</w:t>
      </w:r>
      <w:r>
        <w:t xml:space="preserve">: walk both lists in step, advancing whichever pointer holds the smaller docID, and output docIDs found in both. Cost is</w:t>
      </w:r>
      <w:r>
        <w:t xml:space="preserve"> </w:t>
      </w:r>
      <m:oMath>
        <m:r>
          <m:t>O</m:t>
        </m:r>
        <m:d>
          <m:dPr>
            <m:begChr m:val="("/>
            <m:endChr m:val=")"/>
            <m:sepChr m:val=""/>
            <m:grow/>
          </m:dPr>
          <m:e>
            <m:sSub>
              <m:e>
                <m:r>
                  <m:t>L</m:t>
                </m:r>
              </m:e>
              <m:sub>
                <m:r>
                  <m:t>1</m:t>
                </m:r>
              </m:sub>
            </m:sSub>
            <m:r>
              <m:rPr>
                <m:sty m:val="p"/>
              </m:rPr>
              <m:t>+</m:t>
            </m:r>
            <m:sSub>
              <m:e>
                <m:r>
                  <m:t>L</m:t>
                </m:r>
              </m:e>
              <m:sub>
                <m:r>
                  <m:t>2</m:t>
                </m:r>
              </m:sub>
            </m:sSub>
          </m:e>
        </m:d>
      </m:oMath>
      <w:r>
        <w:t xml:space="preserve"> </w:t>
      </w:r>
      <w:r>
        <w:t xml:space="preserve">for lists of lengths</w:t>
      </w:r>
      <w:r>
        <w:t xml:space="preserve"> </w:t>
      </w:r>
      <m:oMath>
        <m:sSub>
          <m:e>
            <m:r>
              <m:t>L</m:t>
            </m:r>
          </m:e>
          <m:sub>
            <m:r>
              <m:t>1</m:t>
            </m:r>
          </m:sub>
        </m:sSub>
      </m:oMath>
      <w:r>
        <w:t xml:space="preserve"> </w:t>
      </w:r>
      <w:r>
        <w:t xml:space="preserve">and</w:t>
      </w:r>
      <w:r>
        <w:t xml:space="preserve"> </w:t>
      </w:r>
      <m:oMath>
        <m:sSub>
          <m:e>
            <m:r>
              <m:t>L</m:t>
            </m:r>
          </m:e>
          <m:sub>
            <m:r>
              <m:t>2</m:t>
            </m:r>
          </m:sub>
        </m:sSub>
      </m:oMath>
      <w:r>
        <w:t xml:space="preserve">.</w:t>
      </w:r>
    </w:p>
    <w:p>
      <w:pPr>
        <w:numPr>
          <w:ilvl w:val="0"/>
          <w:numId w:val="1532"/>
        </w:numPr>
        <w:pStyle w:val="Compact"/>
      </w:pPr>
      <w:r>
        <w:rPr>
          <w:bCs/>
          <w:b/>
        </w:rPr>
        <w:t xml:space="preserve">OR</w:t>
      </w:r>
      <w:r>
        <w:t xml:space="preserve"> </w:t>
      </w:r>
      <w:r>
        <w:t xml:space="preserve">is a</w:t>
      </w:r>
      <w:r>
        <w:t xml:space="preserve"> </w:t>
      </w:r>
      <w:r>
        <w:rPr>
          <w:bCs/>
          <w:b/>
        </w:rPr>
        <w:t xml:space="preserve">union</w:t>
      </w:r>
      <w:r>
        <w:t xml:space="preserve">, also a linear merge; ranked retrieval is usually OR-like, with scoring sorting candidates.</w:t>
      </w:r>
      <w:r>
        <w:t xml:space="preserve"> </w:t>
      </w:r>
      <w:r>
        <w:rPr>
          <w:bCs/>
          <w:b/>
        </w:rPr>
        <w:t xml:space="preserve">NOT</w:t>
      </w:r>
      <w:r>
        <w:t xml:space="preserve"> </w:t>
      </w:r>
      <w:r>
        <w:t xml:space="preserve">is a list difference.</w:t>
      </w:r>
    </w:p>
    <w:p>
      <w:pPr>
        <w:numPr>
          <w:ilvl w:val="0"/>
          <w:numId w:val="1532"/>
        </w:numPr>
        <w:pStyle w:val="Compact"/>
      </w:pPr>
      <w:r>
        <w:t xml:space="preserve">A</w:t>
      </w:r>
      <w:r>
        <w:t xml:space="preserve"> </w:t>
      </w:r>
      <w:r>
        <w:rPr>
          <w:bCs/>
          <w:b/>
        </w:rPr>
        <w:t xml:space="preserve">phrase query</w:t>
      </w:r>
      <w:r>
        <w:t xml:space="preserve"> </w:t>
      </w:r>
      <w:r>
        <w:t xml:space="preserve">(</w:t>
      </w:r>
      <w:r>
        <w:t xml:space="preserve">“</w:t>
      </w:r>
      <w:r>
        <w:t xml:space="preserve">noise cancelling</w:t>
      </w:r>
      <w:r>
        <w:t xml:space="preserve">”</w:t>
      </w:r>
      <w:r>
        <w:t xml:space="preserve">) first intersects the lists, then checks positions: a document matches only if</w:t>
      </w:r>
      <w:r>
        <w:t xml:space="preserve"> </w:t>
      </w:r>
      <w:r>
        <w:rPr>
          <w:iCs/>
          <w:i/>
        </w:rPr>
        <w:t xml:space="preserve">cancelling</w:t>
      </w:r>
      <w:r>
        <w:t xml:space="preserve"> </w:t>
      </w:r>
      <w:r>
        <w:t xml:space="preserve">occurs at position</w:t>
      </w:r>
      <w:r>
        <w:t xml:space="preserve"> </w:t>
      </w:r>
      <m:oMath>
        <m:r>
          <m:t>p</m:t>
        </m:r>
        <m:r>
          <m:rPr>
            <m:sty m:val="p"/>
          </m:rPr>
          <m:t>+</m:t>
        </m:r>
        <m:r>
          <m:t>1</m:t>
        </m:r>
      </m:oMath>
      <w:r>
        <w:t xml:space="preserve"> </w:t>
      </w:r>
      <w:r>
        <w:t xml:space="preserve">for some position</w:t>
      </w:r>
      <w:r>
        <w:t xml:space="preserve"> </w:t>
      </w:r>
      <m:oMath>
        <m:r>
          <m:t>p</m:t>
        </m:r>
      </m:oMath>
      <w:r>
        <w:t xml:space="preserve"> </w:t>
      </w:r>
      <w:r>
        <w:t xml:space="preserve">of</w:t>
      </w:r>
      <w:r>
        <w:t xml:space="preserve"> </w:t>
      </w:r>
      <w:r>
        <w:rPr>
          <w:iCs/>
          <w:i/>
        </w:rPr>
        <w:t xml:space="preserve">noise</w:t>
      </w:r>
      <w:r>
        <w:t xml:space="preserve">. Positional data typically makes the index two to four times larger, which is why some fields are indexed without positions (in Elasticsearch,</w:t>
      </w:r>
      <w:r>
        <w:t xml:space="preserve"> </w:t>
      </w:r>
      <w:r>
        <w:rPr>
          <w:rStyle w:val="VerbatimChar"/>
        </w:rPr>
        <w:t xml:space="preserve">index_options: docs</w:t>
      </w:r>
      <w:r>
        <w:t xml:space="preserve"> </w:t>
      </w:r>
      <w:r>
        <w:t xml:space="preserve">or</w:t>
      </w:r>
      <w:r>
        <w:t xml:space="preserve"> </w:t>
      </w:r>
      <w:r>
        <w:rPr>
          <w:rStyle w:val="VerbatimChar"/>
        </w:rPr>
        <w:t xml:space="preserve">freqs</w:t>
      </w:r>
      <w:r>
        <w:t xml:space="preserve">).</w:t>
      </w:r>
    </w:p>
    <w:p>
      <w:pPr>
        <w:pStyle w:val="FirstParagraph"/>
      </w:pPr>
      <w:r>
        <w:t xml:space="preserve">Process the</w:t>
      </w:r>
      <w:r>
        <w:t xml:space="preserve"> </w:t>
      </w:r>
      <w:r>
        <w:rPr>
          <w:bCs/>
          <w:b/>
        </w:rPr>
        <w:t xml:space="preserve">rarest term first</w:t>
      </w:r>
      <w:r>
        <w:t xml:space="preserve">: an intersection is never larger than its shortest list.</w:t>
      </w:r>
    </w:p>
    <w:bookmarkEnd w:id="1799"/>
    <w:bookmarkStart w:id="1800" w:name="skip-pointers"/>
    <w:p>
      <w:pPr>
        <w:pStyle w:val="Heading3"/>
      </w:pPr>
      <w:r>
        <w:t xml:space="preserve">16.3.3 Skip pointers</w:t>
      </w:r>
    </w:p>
    <w:p>
      <w:pPr>
        <w:pStyle w:val="FirstParagraph"/>
      </w:pPr>
      <w:r>
        <w:t xml:space="preserve">Intersecting a list of 200,000 docIDs with one of 1,000 by linear merge costs about 200,000 comparisons, almost all of them spent stepping through the long list past docIDs that cannot match.</w:t>
      </w:r>
      <w:r>
        <w:t xml:space="preserve"> </w:t>
      </w:r>
      <w:r>
        <w:rPr>
          <w:bCs/>
          <w:b/>
        </w:rPr>
        <w:t xml:space="preserve">Skip pointers</w:t>
      </w:r>
      <w:r>
        <w:t xml:space="preserve"> </w:t>
      </w:r>
      <w:r>
        <w:t xml:space="preserve">are shortcuts stored every</w:t>
      </w:r>
      <w:r>
        <w:t xml:space="preserve"> </w:t>
      </w:r>
      <m:oMath>
        <m:r>
          <m:t>s</m:t>
        </m:r>
      </m:oMath>
      <w:r>
        <w:t xml:space="preserve"> </w:t>
      </w:r>
      <w:r>
        <w:t xml:space="preserve">entries of a postings list:</w:t>
      </w:r>
      <w:r>
        <w:t xml:space="preserve"> </w:t>
      </w:r>
      <w:r>
        <w:t xml:space="preserve">“</w:t>
      </w:r>
      <w:r>
        <w:t xml:space="preserve">the entry</w:t>
      </w:r>
      <w:r>
        <w:t xml:space="preserve"> </w:t>
      </w:r>
      <m:oMath>
        <m:r>
          <m:t>s</m:t>
        </m:r>
      </m:oMath>
      <w:r>
        <w:t xml:space="preserve"> </w:t>
      </w:r>
      <w:r>
        <w:t xml:space="preserve">positions ahead holds docID</w:t>
      </w:r>
      <w:r>
        <w:t xml:space="preserve"> </w:t>
      </w:r>
      <m:oMath>
        <m:r>
          <m:t>X</m:t>
        </m:r>
      </m:oMath>
      <w:r>
        <w:t xml:space="preserve">”</w:t>
      </w:r>
      <w:r>
        <w:t xml:space="preserve">. When the target docID is beyond</w:t>
      </w:r>
      <w:r>
        <w:t xml:space="preserve"> </w:t>
      </w:r>
      <m:oMath>
        <m:r>
          <m:t>X</m:t>
        </m:r>
      </m:oMath>
      <w:r>
        <w:t xml:space="preserve">, the iterator jumps</w:t>
      </w:r>
      <w:r>
        <w:t xml:space="preserve"> </w:t>
      </w:r>
      <m:oMath>
        <m:r>
          <m:t>s</m:t>
        </m:r>
      </m:oMath>
      <w:r>
        <w:t xml:space="preserve"> </w:t>
      </w:r>
      <w:r>
        <w:t xml:space="preserve">entries at once.</w:t>
      </w:r>
    </w:p>
    <w:p>
      <w:pPr>
        <w:pStyle w:val="BodyText"/>
      </w:pPr>
      <w:r>
        <w:t xml:space="preserve">Lucene exposes this as an iterator operation,</w:t>
      </w:r>
      <w:r>
        <w:t xml:space="preserve"> </w:t>
      </w:r>
      <w:r>
        <w:rPr>
          <w:rStyle w:val="VerbatimChar"/>
        </w:rPr>
        <w:t xml:space="preserve">advance(target)</w:t>
      </w:r>
      <w:r>
        <w:t xml:space="preserve">: move to the first docID</w:t>
      </w:r>
      <w:r>
        <w:t xml:space="preserve"> </w:t>
      </w:r>
      <m:oMath>
        <m:r>
          <m:rPr>
            <m:sty m:val="p"/>
          </m:rPr>
          <m:t>≥</m:t>
        </m:r>
      </m:oMath>
      <w:r>
        <w:t xml:space="preserve"> </w:t>
      </w:r>
      <w:r>
        <w:t xml:space="preserve">target. Its postings formats store multi-level skip data so</w:t>
      </w:r>
      <w:r>
        <w:t xml:space="preserve"> </w:t>
      </w:r>
      <w:r>
        <w:rPr>
          <w:rStyle w:val="VerbatimChar"/>
        </w:rPr>
        <w:t xml:space="preserve">advance</w:t>
      </w:r>
      <w:r>
        <w:t xml:space="preserve"> </w:t>
      </w:r>
      <w:r>
        <w:t xml:space="preserve">can take long jumps, then shorter ones, then scan within one compressed block [Lucene Docs: postings format]. The skip interval trades jump distance against scan length. Manning et al. suggest</w:t>
      </w:r>
      <w:r>
        <w:t xml:space="preserve"> </w:t>
      </w:r>
      <m:oMath>
        <m:rad>
          <m:radPr>
            <m:degHide m:val="on"/>
          </m:radPr>
          <m:deg/>
          <m:e>
            <m:r>
              <m:t>L</m:t>
            </m:r>
          </m:e>
        </m:rad>
      </m:oMath>
      <w:r>
        <w:t xml:space="preserve"> </w:t>
      </w:r>
      <w:r>
        <w:t xml:space="preserve">for a list of length</w:t>
      </w:r>
      <w:r>
        <w:t xml:space="preserve"> </w:t>
      </w:r>
      <m:oMath>
        <m:r>
          <m:t>L</m:t>
        </m:r>
      </m:oMath>
      <w:r>
        <w:t xml:space="preserve"> </w:t>
      </w:r>
      <w:r>
        <w:t xml:space="preserve">[Manning et al. 2008, §2.3], but that heuristic assumes lists of similar length. When a short list of</w:t>
      </w:r>
      <w:r>
        <w:t xml:space="preserve"> </w:t>
      </w:r>
      <m:oMath>
        <m:r>
          <m:t>m</m:t>
        </m:r>
      </m:oMath>
      <w:r>
        <w:t xml:space="preserve"> </w:t>
      </w:r>
      <w:r>
        <w:t xml:space="preserve">targets drives a long list of length</w:t>
      </w:r>
      <w:r>
        <w:t xml:space="preserve"> </w:t>
      </w:r>
      <m:oMath>
        <m:r>
          <m:t>L</m:t>
        </m:r>
      </m:oMath>
      <w:r>
        <w:t xml:space="preserve">, the total cost is roughly</w:t>
      </w:r>
      <w:r>
        <w:t xml:space="preserve"> </w:t>
      </w:r>
      <m:oMath>
        <m:r>
          <m:t>L</m:t>
        </m:r>
        <m:r>
          <m:rPr>
            <m:sty m:val="p"/>
          </m:rPr>
          <m:t>/</m:t>
        </m:r>
        <m:r>
          <m:t>s</m:t>
        </m:r>
      </m:oMath>
      <w:r>
        <w:t xml:space="preserve"> </w:t>
      </w:r>
      <w:r>
        <w:t xml:space="preserve">skip-follows plus</w:t>
      </w:r>
      <w:r>
        <w:t xml:space="preserve"> </w:t>
      </w:r>
      <m:oMath>
        <m:r>
          <m:t>m</m:t>
        </m:r>
        <m:r>
          <m:rPr>
            <m:sty m:val="p"/>
          </m:rPr>
          <m:t>⋅</m:t>
        </m:r>
        <m:r>
          <m:t>s</m:t>
        </m:r>
        <m:r>
          <m:rPr>
            <m:sty m:val="p"/>
          </m:rPr>
          <m:t>/</m:t>
        </m:r>
        <m:r>
          <m:t>2</m:t>
        </m:r>
      </m:oMath>
      <w:r>
        <w:t xml:space="preserve"> </w:t>
      </w:r>
      <w:r>
        <w:t xml:space="preserve">in-block steps, minimized at</w:t>
      </w:r>
      <w:r>
        <w:t xml:space="preserve"> </w:t>
      </w:r>
      <m:oMath>
        <m:r>
          <m:t>s</m:t>
        </m:r>
        <m:r>
          <m:rPr>
            <m:sty m:val="p"/>
          </m:rPr>
          <m:t>=</m:t>
        </m:r>
        <m:rad>
          <m:radPr>
            <m:degHide m:val="on"/>
          </m:radPr>
          <m:deg/>
          <m:e>
            <m:r>
              <m:t>2</m:t>
            </m:r>
            <m:r>
              <m:t>L</m:t>
            </m:r>
            <m:r>
              <m:rPr>
                <m:sty m:val="p"/>
              </m:rPr>
              <m:t>/</m:t>
            </m:r>
            <m:r>
              <m:t>m</m:t>
            </m:r>
          </m:e>
        </m:rad>
      </m:oMath>
      <w:r>
        <w:t xml:space="preserve">.</w:t>
      </w:r>
    </w:p>
    <w:p>
      <w:pPr>
        <w:pStyle w:val="SourceCode"/>
      </w:pPr>
      <w:r>
        <w:rPr>
          <w:rStyle w:val="CommentTok"/>
        </w:rPr>
        <w:t xml:space="preserve">"""Intersect two sorted postings lists (AND query), with and without skip pointers,</w:t>
      </w:r>
      <w:r>
        <w:br/>
      </w:r>
      <w:r>
        <w:rPr>
          <w:rStyle w:val="CommentTok"/>
        </w:rPr>
        <w:t xml:space="preserve">counting comparisons. The skip version drives from the shorter list and calls advance(target),</w:t>
      </w:r>
      <w:r>
        <w:br/>
      </w:r>
      <w:r>
        <w:rPr>
          <w:rStyle w:val="CommentTok"/>
        </w:rPr>
        <w:t xml:space="preserve">the operation Lucene's postings iterators expose."""</w:t>
      </w:r>
      <w:r>
        <w:br/>
      </w:r>
      <w:r>
        <w:rPr>
          <w:rStyle w:val="ImportTok"/>
        </w:rPr>
        <w:t xml:space="preserve">import</w:t>
      </w:r>
      <w:r>
        <w:rPr>
          <w:rStyle w:val="NormalTok"/>
        </w:rPr>
        <w:t xml:space="preserve"> math</w:t>
      </w:r>
      <w:r>
        <w:br/>
      </w:r>
      <w:r>
        <w:rPr>
          <w:rStyle w:val="ImportTok"/>
        </w:rPr>
        <w:t xml:space="preserve">import</w:t>
      </w:r>
      <w:r>
        <w:rPr>
          <w:rStyle w:val="NormalTok"/>
        </w:rPr>
        <w:t xml:space="preserve"> random</w:t>
      </w:r>
      <w:r>
        <w:br/>
      </w:r>
      <w:r>
        <w:br/>
      </w:r>
      <w:r>
        <w:rPr>
          <w:rStyle w:val="KeywordTok"/>
        </w:rPr>
        <w:t xml:space="preserve">def</w:t>
      </w:r>
      <w:r>
        <w:rPr>
          <w:rStyle w:val="NormalTok"/>
        </w:rPr>
        <w:t xml:space="preserve"> intersect_linear(a, b):</w:t>
      </w:r>
      <w:r>
        <w:br/>
      </w:r>
      <w:r>
        <w:rPr>
          <w:rStyle w:val="NormalTok"/>
        </w:rPr>
        <w:t xml:space="preserve">    </w:t>
      </w:r>
      <w:r>
        <w:rPr>
          <w:rStyle w:val="CommentTok"/>
        </w:rPr>
        <w:t xml:space="preserve">"""Textbook merge: step whichever pointer holds the smaller docID."""</w:t>
      </w:r>
      <w:r>
        <w:br/>
      </w:r>
      <w:r>
        <w:rPr>
          <w:rStyle w:val="NormalTok"/>
        </w:rPr>
        <w:t xml:space="preserve">    i </w:t>
      </w:r>
      <w:r>
        <w:rPr>
          <w:rStyle w:val="OperatorTok"/>
        </w:rPr>
        <w:t xml:space="preserve">=</w:t>
      </w:r>
      <w:r>
        <w:rPr>
          <w:rStyle w:val="NormalTok"/>
        </w:rPr>
        <w:t xml:space="preserve"> j </w:t>
      </w:r>
      <w:r>
        <w:rPr>
          <w:rStyle w:val="OperatorTok"/>
        </w:rPr>
        <w:t xml:space="preserve">=</w:t>
      </w:r>
      <w:r>
        <w:rPr>
          <w:rStyle w:val="NormalTok"/>
        </w:rPr>
        <w:t xml:space="preserve"> comparisons </w:t>
      </w:r>
      <w:r>
        <w:rPr>
          <w:rStyle w:val="OperatorTok"/>
        </w:rPr>
        <w:t xml:space="preserve">=</w:t>
      </w:r>
      <w:r>
        <w:rPr>
          <w:rStyle w:val="NormalTok"/>
        </w:rPr>
        <w:t xml:space="preserve"> </w:t>
      </w:r>
      <w:r>
        <w:rPr>
          <w:rStyle w:val="DecValTok"/>
        </w:rPr>
        <w:t xml:space="preserve">0</w:t>
      </w:r>
      <w:r>
        <w:br/>
      </w:r>
      <w:r>
        <w:rPr>
          <w:rStyle w:val="NormalTok"/>
        </w:rPr>
        <w:t xml:space="preserve">    out </w:t>
      </w:r>
      <w:r>
        <w:rPr>
          <w:rStyle w:val="OperatorTok"/>
        </w:rPr>
        <w:t xml:space="preserve">=</w:t>
      </w:r>
      <w:r>
        <w:rPr>
          <w:rStyle w:val="NormalTok"/>
        </w:rPr>
        <w:t xml:space="preserve"> []</w:t>
      </w:r>
      <w:r>
        <w:br/>
      </w:r>
      <w:r>
        <w:rPr>
          <w:rStyle w:val="NormalTok"/>
        </w:rPr>
        <w:t xml:space="preserve">    </w:t>
      </w:r>
      <w:r>
        <w:rPr>
          <w:rStyle w:val="ControlFlowTok"/>
        </w:rPr>
        <w:t xml:space="preserve">while</w:t>
      </w:r>
      <w:r>
        <w:rPr>
          <w:rStyle w:val="NormalTok"/>
        </w:rPr>
        <w:t xml:space="preserve"> i </w:t>
      </w:r>
      <w:r>
        <w:rPr>
          <w:rStyle w:val="OperatorTok"/>
        </w:rPr>
        <w:t xml:space="preserve">&lt;</w:t>
      </w:r>
      <w:r>
        <w:rPr>
          <w:rStyle w:val="NormalTok"/>
        </w:rPr>
        <w:t xml:space="preserve"> </w:t>
      </w:r>
      <w:r>
        <w:rPr>
          <w:rStyle w:val="BuiltInTok"/>
        </w:rPr>
        <w:t xml:space="preserve">len</w:t>
      </w:r>
      <w:r>
        <w:rPr>
          <w:rStyle w:val="NormalTok"/>
        </w:rPr>
        <w:t xml:space="preserve">(a) </w:t>
      </w:r>
      <w:r>
        <w:rPr>
          <w:rStyle w:val="KeywordTok"/>
        </w:rPr>
        <w:t xml:space="preserve">and</w:t>
      </w:r>
      <w:r>
        <w:rPr>
          <w:rStyle w:val="NormalTok"/>
        </w:rPr>
        <w:t xml:space="preserve"> j </w:t>
      </w:r>
      <w:r>
        <w:rPr>
          <w:rStyle w:val="OperatorTok"/>
        </w:rPr>
        <w:t xml:space="preserve">&lt;</w:t>
      </w:r>
      <w:r>
        <w:rPr>
          <w:rStyle w:val="NormalTok"/>
        </w:rPr>
        <w:t xml:space="preserve"> </w:t>
      </w:r>
      <w:r>
        <w:rPr>
          <w:rStyle w:val="BuiltInTok"/>
        </w:rPr>
        <w:t xml:space="preserve">len</w:t>
      </w:r>
      <w:r>
        <w:rPr>
          <w:rStyle w:val="NormalTok"/>
        </w:rPr>
        <w:t xml:space="preserve">(b):</w:t>
      </w:r>
      <w:r>
        <w:br/>
      </w:r>
      <w:r>
        <w:rPr>
          <w:rStyle w:val="NormalTok"/>
        </w:rPr>
        <w:t xml:space="preserve">        comparisons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a[i] </w:t>
      </w:r>
      <w:r>
        <w:rPr>
          <w:rStyle w:val="OperatorTok"/>
        </w:rPr>
        <w:t xml:space="preserve">==</w:t>
      </w:r>
      <w:r>
        <w:rPr>
          <w:rStyle w:val="NormalTok"/>
        </w:rPr>
        <w:t xml:space="preserve"> b[j]:</w:t>
      </w:r>
      <w:r>
        <w:br/>
      </w:r>
      <w:r>
        <w:rPr>
          <w:rStyle w:val="NormalTok"/>
        </w:rPr>
        <w:t xml:space="preserve">            out.append(a[i])</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elif</w:t>
      </w:r>
      <w:r>
        <w:rPr>
          <w:rStyle w:val="NormalTok"/>
        </w:rPr>
        <w:t xml:space="preserve"> a[i] </w:t>
      </w:r>
      <w:r>
        <w:rPr>
          <w:rStyle w:val="OperatorTok"/>
        </w:rPr>
        <w:t xml:space="preserve">&lt;</w:t>
      </w:r>
      <w:r>
        <w:rPr>
          <w:rStyle w:val="NormalTok"/>
        </w:rPr>
        <w:t xml:space="preserve"> b[j]:</w:t>
      </w:r>
      <w:r>
        <w:br/>
      </w:r>
      <w:r>
        <w:rPr>
          <w:rStyle w:val="NormalTok"/>
        </w:rPr>
        <w:t xml:space="preserve">            i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else</w:t>
      </w:r>
      <w:r>
        <w:rPr>
          <w:rStyle w:val="NormalTok"/>
        </w:rPr>
        <w:t xml:space="preserve">:</w:t>
      </w:r>
      <w:r>
        <w:br/>
      </w:r>
      <w:r>
        <w:rPr>
          <w:rStyle w:val="NormalTok"/>
        </w:rPr>
        <w:t xml:space="preserve">            j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out, comparisons</w:t>
      </w:r>
      <w:r>
        <w:br/>
      </w:r>
      <w:r>
        <w:br/>
      </w:r>
      <w:r>
        <w:rPr>
          <w:rStyle w:val="KeywordTok"/>
        </w:rPr>
        <w:t xml:space="preserve">class</w:t>
      </w:r>
      <w:r>
        <w:rPr>
          <w:rStyle w:val="NormalTok"/>
        </w:rPr>
        <w:t xml:space="preserve"> SkipPostings:</w:t>
      </w:r>
      <w:r>
        <w:br/>
      </w:r>
      <w:r>
        <w:rPr>
          <w:rStyle w:val="NormalTok"/>
        </w:rPr>
        <w:t xml:space="preserve">    </w:t>
      </w:r>
      <w:r>
        <w:rPr>
          <w:rStyle w:val="CommentTok"/>
        </w:rPr>
        <w:t xml:space="preserve">"""A postings list with a skip pointer every `step` entries."""</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doc_ids, step</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.ids </w:t>
      </w:r>
      <w:r>
        <w:rPr>
          <w:rStyle w:val="OperatorTok"/>
        </w:rPr>
        <w:t xml:space="preserve">=</w:t>
      </w:r>
      <w:r>
        <w:rPr>
          <w:rStyle w:val="NormalTok"/>
        </w:rPr>
        <w:t xml:space="preserve"> doc_ids</w:t>
      </w:r>
      <w:r>
        <w:br/>
      </w:r>
      <w:r>
        <w:rPr>
          <w:rStyle w:val="NormalTok"/>
        </w:rPr>
        <w:t xml:space="preserve">        </w:t>
      </w:r>
      <w:r>
        <w:rPr>
          <w:rStyle w:val="VariableTok"/>
        </w:rPr>
        <w:t xml:space="preserve">self</w:t>
      </w:r>
      <w:r>
        <w:rPr>
          <w:rStyle w:val="NormalTok"/>
        </w:rPr>
        <w:t xml:space="preserve">.step </w:t>
      </w:r>
      <w:r>
        <w:rPr>
          <w:rStyle w:val="OperatorTok"/>
        </w:rPr>
        <w:t xml:space="preserve">=</w:t>
      </w:r>
      <w:r>
        <w:rPr>
          <w:rStyle w:val="NormalTok"/>
        </w:rPr>
        <w:t xml:space="preserve"> step </w:t>
      </w:r>
      <w:r>
        <w:rPr>
          <w:rStyle w:val="KeywordTok"/>
        </w:rPr>
        <w:t xml:space="preserve">or</w:t>
      </w:r>
      <w:r>
        <w:rPr>
          <w:rStyle w:val="NormalTok"/>
        </w:rPr>
        <w:t xml:space="preserve"> </w:t>
      </w:r>
      <w:r>
        <w:rPr>
          <w:rStyle w:val="BuiltInTok"/>
        </w:rPr>
        <w:t xml:space="preserve">max</w:t>
      </w:r>
      <w:r>
        <w:rPr>
          <w:rStyle w:val="NormalTok"/>
        </w:rPr>
        <w:t xml:space="preserve">(</w:t>
      </w:r>
      <w:r>
        <w:rPr>
          <w:rStyle w:val="DecValTok"/>
        </w:rPr>
        <w:t xml:space="preserve">1</w:t>
      </w:r>
      <w:r>
        <w:rPr>
          <w:rStyle w:val="NormalTok"/>
        </w:rPr>
        <w:t xml:space="preserve">, </w:t>
      </w:r>
      <w:r>
        <w:rPr>
          <w:rStyle w:val="BuiltInTok"/>
        </w:rPr>
        <w:t xml:space="preserve">int</w:t>
      </w:r>
      <w:r>
        <w:rPr>
          <w:rStyle w:val="NormalTok"/>
        </w:rPr>
        <w:t xml:space="preserve">(math.sqrt(</w:t>
      </w:r>
      <w:r>
        <w:rPr>
          <w:rStyle w:val="BuiltInTok"/>
        </w:rPr>
        <w:t xml:space="preserve">len</w:t>
      </w:r>
      <w:r>
        <w:rPr>
          <w:rStyle w:val="NormalTok"/>
        </w:rPr>
        <w:t xml:space="preserve">(doc_ids))))</w:t>
      </w:r>
      <w:r>
        <w:br/>
      </w:r>
      <w:r>
        <w:rPr>
          <w:rStyle w:val="NormalTok"/>
        </w:rPr>
        <w:t xml:space="preserve">        </w:t>
      </w:r>
      <w:r>
        <w:rPr>
          <w:rStyle w:val="VariableTok"/>
        </w:rPr>
        <w:t xml:space="preserve">self</w:t>
      </w:r>
      <w:r>
        <w:rPr>
          <w:rStyle w:val="NormalTok"/>
        </w:rPr>
        <w:t xml:space="preserve">.pos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.comparisons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KeywordTok"/>
        </w:rPr>
        <w:t xml:space="preserve">def</w:t>
      </w:r>
      <w:r>
        <w:rPr>
          <w:rStyle w:val="NormalTok"/>
        </w:rPr>
        <w:t xml:space="preserve"> advance(</w:t>
      </w:r>
      <w:r>
        <w:rPr>
          <w:rStyle w:val="VariableTok"/>
        </w:rPr>
        <w:t xml:space="preserve">self</w:t>
      </w:r>
      <w:r>
        <w:rPr>
          <w:rStyle w:val="NormalTok"/>
        </w:rPr>
        <w:t xml:space="preserve">, target):</w:t>
      </w:r>
      <w:r>
        <w:br/>
      </w:r>
      <w:r>
        <w:rPr>
          <w:rStyle w:val="NormalTok"/>
        </w:rPr>
        <w:t xml:space="preserve">        </w:t>
      </w:r>
      <w:r>
        <w:rPr>
          <w:rStyle w:val="CommentTok"/>
        </w:rPr>
        <w:t xml:space="preserve">"""Move to the first docID &gt;= target; return it (or None when exhausted)."""</w:t>
      </w:r>
      <w:r>
        <w:br/>
      </w:r>
      <w:r>
        <w:rPr>
          <w:rStyle w:val="NormalTok"/>
        </w:rPr>
        <w:t xml:space="preserve">        ids, s </w:t>
      </w:r>
      <w:r>
        <w:rPr>
          <w:rStyle w:val="OperatorTok"/>
        </w:rPr>
        <w:t xml:space="preserve">=</w:t>
      </w:r>
      <w:r>
        <w:rPr>
          <w:rStyle w:val="NormalTok"/>
        </w:rPr>
        <w:t xml:space="preserve"> </w:t>
      </w:r>
      <w:r>
        <w:rPr>
          <w:rStyle w:val="VariableTok"/>
        </w:rPr>
        <w:t xml:space="preserve">self</w:t>
      </w:r>
      <w:r>
        <w:rPr>
          <w:rStyle w:val="NormalTok"/>
        </w:rPr>
        <w:t xml:space="preserve">.ids, </w:t>
      </w:r>
      <w:r>
        <w:rPr>
          <w:rStyle w:val="VariableTok"/>
        </w:rPr>
        <w:t xml:space="preserve">self</w:t>
      </w:r>
      <w:r>
        <w:rPr>
          <w:rStyle w:val="NormalTok"/>
        </w:rPr>
        <w:t xml:space="preserve">.step</w:t>
      </w:r>
      <w:r>
        <w:br/>
      </w:r>
      <w:r>
        <w:rPr>
          <w:rStyle w:val="NormalTok"/>
        </w:rPr>
        <w:t xml:space="preserve">        nxt </w:t>
      </w:r>
      <w:r>
        <w:rPr>
          <w:rStyle w:val="OperatorTok"/>
        </w:rPr>
        <w:t xml:space="preserve">=</w:t>
      </w:r>
      <w:r>
        <w:rPr>
          <w:rStyle w:val="NormalTok"/>
        </w:rPr>
        <w:t xml:space="preserve"> (</w:t>
      </w:r>
      <w:r>
        <w:rPr>
          <w:rStyle w:val="VariableTok"/>
        </w:rPr>
        <w:t xml:space="preserve">self</w:t>
      </w:r>
      <w:r>
        <w:rPr>
          <w:rStyle w:val="NormalTok"/>
        </w:rPr>
        <w:t xml:space="preserve">.pos </w:t>
      </w:r>
      <w:r>
        <w:rPr>
          <w:rStyle w:val="OperatorTok"/>
        </w:rPr>
        <w:t xml:space="preserve">//</w:t>
      </w:r>
      <w:r>
        <w:rPr>
          <w:rStyle w:val="NormalTok"/>
        </w:rPr>
        <w:t xml:space="preserve"> 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s                    </w:t>
      </w:r>
      <w:r>
        <w:rPr>
          <w:rStyle w:val="CommentTok"/>
        </w:rPr>
        <w:t xml:space="preserve"># next skip-pointer position</w:t>
      </w:r>
      <w:r>
        <w:br/>
      </w:r>
      <w:r>
        <w:rPr>
          <w:rStyle w:val="NormalTok"/>
        </w:rPr>
        <w:t xml:space="preserve">        </w:t>
      </w:r>
      <w:r>
        <w:rPr>
          <w:rStyle w:val="ControlFlowTok"/>
        </w:rPr>
        <w:t xml:space="preserve">while</w:t>
      </w:r>
      <w:r>
        <w:rPr>
          <w:rStyle w:val="NormalTok"/>
        </w:rPr>
        <w:t xml:space="preserve"> nxt </w:t>
      </w:r>
      <w:r>
        <w:rPr>
          <w:rStyle w:val="OperatorTok"/>
        </w:rPr>
        <w:t xml:space="preserve">&lt;</w:t>
      </w:r>
      <w:r>
        <w:rPr>
          <w:rStyle w:val="NormalTok"/>
        </w:rPr>
        <w:t xml:space="preserve"> </w:t>
      </w:r>
      <w:r>
        <w:rPr>
          <w:rStyle w:val="BuiltInTok"/>
        </w:rPr>
        <w:t xml:space="preserve">len</w:t>
      </w:r>
      <w:r>
        <w:rPr>
          <w:rStyle w:val="NormalTok"/>
        </w:rPr>
        <w:t xml:space="preserve">(ids) </w:t>
      </w:r>
      <w:r>
        <w:rPr>
          <w:rStyle w:val="KeywordTok"/>
        </w:rPr>
        <w:t xml:space="preserve">and</w:t>
      </w:r>
      <w:r>
        <w:rPr>
          <w:rStyle w:val="NormalTok"/>
        </w:rPr>
        <w:t xml:space="preserve"> ids[nxt] </w:t>
      </w:r>
      <w:r>
        <w:rPr>
          <w:rStyle w:val="OperatorTok"/>
        </w:rPr>
        <w:t xml:space="preserve">&lt;=</w:t>
      </w:r>
      <w:r>
        <w:rPr>
          <w:rStyle w:val="NormalTok"/>
        </w:rPr>
        <w:t xml:space="preserve"> target:     </w:t>
      </w:r>
      <w:r>
        <w:rPr>
          <w:rStyle w:val="CommentTok"/>
        </w:rPr>
        <w:t xml:space="preserve"># follow skips while they do not overshoot</w:t>
      </w:r>
      <w:r>
        <w:br/>
      </w:r>
      <w:r>
        <w:rPr>
          <w:rStyle w:val="NormalTok"/>
        </w:rPr>
        <w:t xml:space="preserve">            </w:t>
      </w:r>
      <w:r>
        <w:rPr>
          <w:rStyle w:val="VariableTok"/>
        </w:rPr>
        <w:t xml:space="preserve">self</w:t>
      </w:r>
      <w:r>
        <w:rPr>
          <w:rStyle w:val="NormalTok"/>
        </w:rPr>
        <w:t xml:space="preserve">.comparisons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VariableTok"/>
        </w:rPr>
        <w:t xml:space="preserve">self</w:t>
      </w:r>
      <w:r>
        <w:rPr>
          <w:rStyle w:val="NormalTok"/>
        </w:rPr>
        <w:t xml:space="preserve">.pos, nxt </w:t>
      </w:r>
      <w:r>
        <w:rPr>
          <w:rStyle w:val="OperatorTok"/>
        </w:rPr>
        <w:t xml:space="preserve">=</w:t>
      </w:r>
      <w:r>
        <w:rPr>
          <w:rStyle w:val="NormalTok"/>
        </w:rPr>
        <w:t xml:space="preserve"> nxt, nxt </w:t>
      </w:r>
      <w:r>
        <w:rPr>
          <w:rStyle w:val="OperatorTok"/>
        </w:rPr>
        <w:t xml:space="preserve">+</w:t>
      </w:r>
      <w:r>
        <w:rPr>
          <w:rStyle w:val="NormalTok"/>
        </w:rPr>
        <w:t xml:space="preserve"> s</w:t>
      </w:r>
      <w:r>
        <w:br/>
      </w:r>
      <w:r>
        <w:rPr>
          <w:rStyle w:val="NormalTok"/>
        </w:rPr>
        <w:t xml:space="preserve">        </w:t>
      </w:r>
      <w:r>
        <w:rPr>
          <w:rStyle w:val="ControlFlowTok"/>
        </w:rPr>
        <w:t xml:space="preserve">while</w:t>
      </w:r>
      <w:r>
        <w:rPr>
          <w:rStyle w:val="NormalTok"/>
        </w:rPr>
        <w:t xml:space="preserve"> </w:t>
      </w:r>
      <w:r>
        <w:rPr>
          <w:rStyle w:val="VariableTok"/>
        </w:rPr>
        <w:t xml:space="preserve">self</w:t>
      </w:r>
      <w:r>
        <w:rPr>
          <w:rStyle w:val="NormalTok"/>
        </w:rPr>
        <w:t xml:space="preserve">.pos </w:t>
      </w:r>
      <w:r>
        <w:rPr>
          <w:rStyle w:val="OperatorTok"/>
        </w:rPr>
        <w:t xml:space="preserve">&lt;</w:t>
      </w:r>
      <w:r>
        <w:rPr>
          <w:rStyle w:val="NormalTok"/>
        </w:rPr>
        <w:t xml:space="preserve"> </w:t>
      </w:r>
      <w:r>
        <w:rPr>
          <w:rStyle w:val="BuiltInTok"/>
        </w:rPr>
        <w:t xml:space="preserve">len</w:t>
      </w:r>
      <w:r>
        <w:rPr>
          <w:rStyle w:val="NormalTok"/>
        </w:rPr>
        <w:t xml:space="preserve">(ids) </w:t>
      </w:r>
      <w:r>
        <w:rPr>
          <w:rStyle w:val="KeywordTok"/>
        </w:rPr>
        <w:t xml:space="preserve">and</w:t>
      </w:r>
      <w:r>
        <w:rPr>
          <w:rStyle w:val="NormalTok"/>
        </w:rPr>
        <w:t xml:space="preserve"> ids[</w:t>
      </w:r>
      <w:r>
        <w:rPr>
          <w:rStyle w:val="VariableTok"/>
        </w:rPr>
        <w:t xml:space="preserve">self</w:t>
      </w:r>
      <w:r>
        <w:rPr>
          <w:rStyle w:val="NormalTok"/>
        </w:rPr>
        <w:t xml:space="preserve">.pos] </w:t>
      </w:r>
      <w:r>
        <w:rPr>
          <w:rStyle w:val="OperatorTok"/>
        </w:rPr>
        <w:t xml:space="preserve">&lt;</w:t>
      </w:r>
      <w:r>
        <w:rPr>
          <w:rStyle w:val="NormalTok"/>
        </w:rPr>
        <w:t xml:space="preserve"> target:   </w:t>
      </w:r>
      <w:r>
        <w:rPr>
          <w:rStyle w:val="CommentTok"/>
        </w:rPr>
        <w:t xml:space="preserve"># then scan inside one block</w:t>
      </w:r>
      <w:r>
        <w:br/>
      </w:r>
      <w:r>
        <w:rPr>
          <w:rStyle w:val="NormalTok"/>
        </w:rPr>
        <w:t xml:space="preserve">            </w:t>
      </w:r>
      <w:r>
        <w:rPr>
          <w:rStyle w:val="VariableTok"/>
        </w:rPr>
        <w:t xml:space="preserve">self</w:t>
      </w:r>
      <w:r>
        <w:rPr>
          <w:rStyle w:val="NormalTok"/>
        </w:rPr>
        <w:t xml:space="preserve">.comparisons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VariableTok"/>
        </w:rPr>
        <w:t xml:space="preserve">self</w:t>
      </w:r>
      <w:r>
        <w:rPr>
          <w:rStyle w:val="NormalTok"/>
        </w:rPr>
        <w:t xml:space="preserve">.pos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ids[</w:t>
      </w:r>
      <w:r>
        <w:rPr>
          <w:rStyle w:val="VariableTok"/>
        </w:rPr>
        <w:t xml:space="preserve">self</w:t>
      </w:r>
      <w:r>
        <w:rPr>
          <w:rStyle w:val="NormalTok"/>
        </w:rPr>
        <w:t xml:space="preserve">.pos] </w:t>
      </w:r>
      <w:r>
        <w:rPr>
          <w:rStyle w:val="ControlFlowTok"/>
        </w:rPr>
        <w:t xml:space="preserve">if</w:t>
      </w:r>
      <w:r>
        <w:rPr>
          <w:rStyle w:val="NormalTok"/>
        </w:rPr>
        <w:t xml:space="preserve"> </w:t>
      </w:r>
      <w:r>
        <w:rPr>
          <w:rStyle w:val="VariableTok"/>
        </w:rPr>
        <w:t xml:space="preserve">self</w:t>
      </w:r>
      <w:r>
        <w:rPr>
          <w:rStyle w:val="NormalTok"/>
        </w:rPr>
        <w:t xml:space="preserve">.pos </w:t>
      </w:r>
      <w:r>
        <w:rPr>
          <w:rStyle w:val="OperatorTok"/>
        </w:rPr>
        <w:t xml:space="preserve">&lt;</w:t>
      </w:r>
      <w:r>
        <w:rPr>
          <w:rStyle w:val="NormalTok"/>
        </w:rPr>
        <w:t xml:space="preserve"> </w:t>
      </w:r>
      <w:r>
        <w:rPr>
          <w:rStyle w:val="BuiltInTok"/>
        </w:rPr>
        <w:t xml:space="preserve">len</w:t>
      </w:r>
      <w:r>
        <w:rPr>
          <w:rStyle w:val="NormalTok"/>
        </w:rPr>
        <w:t xml:space="preserve">(ids) </w:t>
      </w:r>
      <w:r>
        <w:rPr>
          <w:rStyle w:val="ControlFlowTok"/>
        </w:rPr>
        <w:t xml:space="preserve">else</w:t>
      </w:r>
      <w:r>
        <w:rPr>
          <w:rStyle w:val="NormalTok"/>
        </w:rPr>
        <w:t xml:space="preserve"> </w:t>
      </w:r>
      <w:r>
        <w:rPr>
          <w:rStyle w:val="VariableTok"/>
        </w:rPr>
        <w:t xml:space="preserve">None</w:t>
      </w:r>
      <w:r>
        <w:br/>
      </w:r>
      <w:r>
        <w:br/>
      </w:r>
      <w:r>
        <w:rPr>
          <w:rStyle w:val="KeywordTok"/>
        </w:rPr>
        <w:t xml:space="preserve">def</w:t>
      </w:r>
      <w:r>
        <w:rPr>
          <w:rStyle w:val="NormalTok"/>
        </w:rPr>
        <w:t xml:space="preserve"> intersect_with_skips(short, long_list, step</w:t>
      </w:r>
      <w:r>
        <w:rPr>
          <w:rStyle w:val="OperatorTok"/>
        </w:rPr>
        <w:t xml:space="preserve">=</w:t>
      </w:r>
      <w:r>
        <w:rPr>
          <w:rStyle w:val="VariableTok"/>
        </w:rPr>
        <w:t xml:space="preserve">None</w:t>
      </w:r>
      <w:r>
        <w:rPr>
          <w:rStyle w:val="NormalTok"/>
        </w:rPr>
        <w:t xml:space="preserve">):</w:t>
      </w:r>
      <w:r>
        <w:br/>
      </w:r>
      <w:r>
        <w:rPr>
          <w:rStyle w:val="NormalTok"/>
        </w:rPr>
        <w:t xml:space="preserve">    it </w:t>
      </w:r>
      <w:r>
        <w:rPr>
          <w:rStyle w:val="OperatorTok"/>
        </w:rPr>
        <w:t xml:space="preserve">=</w:t>
      </w:r>
      <w:r>
        <w:rPr>
          <w:rStyle w:val="NormalTok"/>
        </w:rPr>
        <w:t xml:space="preserve"> SkipPostings(long_list, step)</w:t>
      </w:r>
      <w:r>
        <w:br/>
      </w:r>
      <w:r>
        <w:rPr>
          <w:rStyle w:val="NormalTok"/>
        </w:rPr>
        <w:t xml:space="preserve">    out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doc </w:t>
      </w:r>
      <w:r>
        <w:rPr>
          <w:rStyle w:val="KeywordTok"/>
        </w:rPr>
        <w:t xml:space="preserve">in</w:t>
      </w:r>
      <w:r>
        <w:rPr>
          <w:rStyle w:val="NormalTok"/>
        </w:rPr>
        <w:t xml:space="preserve"> short:                                    </w:t>
      </w:r>
      <w:r>
        <w:rPr>
          <w:rStyle w:val="CommentTok"/>
        </w:rPr>
        <w:t xml:space="preserve"># drive from the rarer term</w:t>
      </w:r>
      <w:r>
        <w:br/>
      </w:r>
      <w:r>
        <w:rPr>
          <w:rStyle w:val="NormalTok"/>
        </w:rPr>
        <w:t xml:space="preserve">        it.comparisons </w:t>
      </w:r>
      <w:r>
        <w:rPr>
          <w:rStyle w:val="OperatorTok"/>
        </w:rPr>
        <w:t xml:space="preserve">+=</w:t>
      </w:r>
      <w:r>
        <w:rPr>
          <w:rStyle w:val="NormalTok"/>
        </w:rPr>
        <w:t xml:space="preserve"> </w:t>
      </w:r>
      <w:r>
        <w:rPr>
          <w:rStyle w:val="DecValTok"/>
        </w:rPr>
        <w:t xml:space="preserve">1</w:t>
      </w:r>
      <w:r>
        <w:br/>
      </w:r>
      <w:r>
        <w:rPr>
          <w:rStyle w:val="NormalTok"/>
        </w:rPr>
        <w:t xml:space="preserve">        found </w:t>
      </w:r>
      <w:r>
        <w:rPr>
          <w:rStyle w:val="OperatorTok"/>
        </w:rPr>
        <w:t xml:space="preserve">=</w:t>
      </w:r>
      <w:r>
        <w:rPr>
          <w:rStyle w:val="NormalTok"/>
        </w:rPr>
        <w:t xml:space="preserve"> it.advance(doc)</w:t>
      </w:r>
      <w:r>
        <w:br/>
      </w:r>
      <w:r>
        <w:rPr>
          <w:rStyle w:val="NormalTok"/>
        </w:rPr>
        <w:t xml:space="preserve">        </w:t>
      </w:r>
      <w:r>
        <w:rPr>
          <w:rStyle w:val="ControlFlowTok"/>
        </w:rPr>
        <w:t xml:space="preserve">if</w:t>
      </w:r>
      <w:r>
        <w:rPr>
          <w:rStyle w:val="NormalTok"/>
        </w:rPr>
        <w:t xml:space="preserve"> found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break</w:t>
      </w:r>
      <w:r>
        <w:br/>
      </w:r>
      <w:r>
        <w:rPr>
          <w:rStyle w:val="NormalTok"/>
        </w:rPr>
        <w:t xml:space="preserve">        </w:t>
      </w:r>
      <w:r>
        <w:rPr>
          <w:rStyle w:val="ControlFlowTok"/>
        </w:rPr>
        <w:t xml:space="preserve">if</w:t>
      </w:r>
      <w:r>
        <w:rPr>
          <w:rStyle w:val="NormalTok"/>
        </w:rPr>
        <w:t xml:space="preserve"> found </w:t>
      </w:r>
      <w:r>
        <w:rPr>
          <w:rStyle w:val="OperatorTok"/>
        </w:rPr>
        <w:t xml:space="preserve">==</w:t>
      </w:r>
      <w:r>
        <w:rPr>
          <w:rStyle w:val="NormalTok"/>
        </w:rPr>
        <w:t xml:space="preserve"> doc:</w:t>
      </w:r>
      <w:r>
        <w:br/>
      </w:r>
      <w:r>
        <w:rPr>
          <w:rStyle w:val="NormalTok"/>
        </w:rPr>
        <w:t xml:space="preserve">            out.append(doc)</w:t>
      </w:r>
      <w:r>
        <w:br/>
      </w:r>
      <w:r>
        <w:rPr>
          <w:rStyle w:val="NormalTok"/>
        </w:rPr>
        <w:t xml:space="preserve">    </w:t>
      </w:r>
      <w:r>
        <w:rPr>
          <w:rStyle w:val="ControlFlowTok"/>
        </w:rPr>
        <w:t xml:space="preserve">return</w:t>
      </w:r>
      <w:r>
        <w:rPr>
          <w:rStyle w:val="NormalTok"/>
        </w:rPr>
        <w:t xml:space="preserve"> out, it.comparisons</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random.seed(</w:t>
      </w:r>
      <w:r>
        <w:rPr>
          <w:rStyle w:val="DecValTok"/>
        </w:rPr>
        <w:t xml:space="preserve">7</w:t>
      </w:r>
      <w:r>
        <w:rPr>
          <w:rStyle w:val="NormalTok"/>
        </w:rPr>
        <w:t xml:space="preserve">)</w:t>
      </w:r>
      <w:r>
        <w:br/>
      </w:r>
      <w:r>
        <w:rPr>
          <w:rStyle w:val="NormalTok"/>
        </w:rPr>
        <w:t xml:space="preserve">    N </w:t>
      </w:r>
      <w:r>
        <w:rPr>
          <w:rStyle w:val="OperatorTok"/>
        </w:rPr>
        <w:t xml:space="preserve">=</w:t>
      </w:r>
      <w:r>
        <w:rPr>
          <w:rStyle w:val="NormalTok"/>
        </w:rPr>
        <w:t xml:space="preserve"> </w:t>
      </w:r>
      <w:r>
        <w:rPr>
          <w:rStyle w:val="DecValTok"/>
        </w:rPr>
        <w:t xml:space="preserve">1_000_000</w:t>
      </w:r>
      <w:r>
        <w:br/>
      </w:r>
      <w:r>
        <w:rPr>
          <w:rStyle w:val="NormalTok"/>
        </w:rPr>
        <w:t xml:space="preserve">    common </w:t>
      </w:r>
      <w:r>
        <w:rPr>
          <w:rStyle w:val="OperatorTok"/>
        </w:rPr>
        <w:t xml:space="preserve">=</w:t>
      </w:r>
      <w:r>
        <w:rPr>
          <w:rStyle w:val="NormalTok"/>
        </w:rPr>
        <w:t xml:space="preserve"> </w:t>
      </w:r>
      <w:r>
        <w:rPr>
          <w:rStyle w:val="BuiltInTok"/>
        </w:rPr>
        <w:t xml:space="preserve">sorted</w:t>
      </w:r>
      <w:r>
        <w:rPr>
          <w:rStyle w:val="NormalTok"/>
        </w:rPr>
        <w:t xml:space="preserve">(random.sample(</w:t>
      </w:r>
      <w:r>
        <w:rPr>
          <w:rStyle w:val="BuiltInTok"/>
        </w:rPr>
        <w:t xml:space="preserve">range</w:t>
      </w:r>
      <w:r>
        <w:rPr>
          <w:rStyle w:val="NormalTok"/>
        </w:rPr>
        <w:t xml:space="preserve">(N), </w:t>
      </w:r>
      <w:r>
        <w:rPr>
          <w:rStyle w:val="DecValTok"/>
        </w:rPr>
        <w:t xml:space="preserve">200_000</w:t>
      </w:r>
      <w:r>
        <w:rPr>
          <w:rStyle w:val="NormalTok"/>
        </w:rPr>
        <w:t xml:space="preserve">))   </w:t>
      </w:r>
      <w:r>
        <w:rPr>
          <w:rStyle w:val="CommentTok"/>
        </w:rPr>
        <w:t xml:space="preserve"># e.g. "wireless": 20% of docs</w:t>
      </w:r>
      <w:r>
        <w:br/>
      </w:r>
      <w:r>
        <w:rPr>
          <w:rStyle w:val="NormalTok"/>
        </w:rPr>
        <w:t xml:space="preserve">    rare </w:t>
      </w:r>
      <w:r>
        <w:rPr>
          <w:rStyle w:val="OperatorTok"/>
        </w:rPr>
        <w:t xml:space="preserve">=</w:t>
      </w:r>
      <w:r>
        <w:rPr>
          <w:rStyle w:val="NormalTok"/>
        </w:rPr>
        <w:t xml:space="preserve"> </w:t>
      </w:r>
      <w:r>
        <w:rPr>
          <w:rStyle w:val="BuiltInTok"/>
        </w:rPr>
        <w:t xml:space="preserve">sorted</w:t>
      </w:r>
      <w:r>
        <w:rPr>
          <w:rStyle w:val="NormalTok"/>
        </w:rPr>
        <w:t xml:space="preserve">(random.sample(</w:t>
      </w:r>
      <w:r>
        <w:rPr>
          <w:rStyle w:val="BuiltInTok"/>
        </w:rPr>
        <w:t xml:space="preserve">range</w:t>
      </w:r>
      <w:r>
        <w:rPr>
          <w:rStyle w:val="NormalTok"/>
        </w:rPr>
        <w:t xml:space="preserve">(N), </w:t>
      </w:r>
      <w:r>
        <w:rPr>
          <w:rStyle w:val="DecValTok"/>
        </w:rPr>
        <w:t xml:space="preserve">1_000</w:t>
      </w:r>
      <w:r>
        <w:rPr>
          <w:rStyle w:val="NormalTok"/>
        </w:rPr>
        <w:t xml:space="preserve">))       </w:t>
      </w:r>
      <w:r>
        <w:rPr>
          <w:rStyle w:val="CommentTok"/>
        </w:rPr>
        <w:t xml:space="preserve"># e.g. "anc": 0.1% of docs</w:t>
      </w:r>
      <w:r>
        <w:br/>
      </w:r>
      <w:r>
        <w:rPr>
          <w:rStyle w:val="NormalTok"/>
        </w:rPr>
        <w:t xml:space="preserve">    r1, c1 </w:t>
      </w:r>
      <w:r>
        <w:rPr>
          <w:rStyle w:val="OperatorTok"/>
        </w:rPr>
        <w:t xml:space="preserve">=</w:t>
      </w:r>
      <w:r>
        <w:rPr>
          <w:rStyle w:val="NormalTok"/>
        </w:rPr>
        <w:t xml:space="preserve"> intersect_linear(common, rare)</w:t>
      </w:r>
      <w:r>
        <w:br/>
      </w:r>
      <w:r>
        <w:rPr>
          <w:rStyle w:val="NormalTok"/>
        </w:rPr>
        <w:t xml:space="preserve">    </w:t>
      </w:r>
      <w:r>
        <w:rPr>
          <w:rStyle w:val="ControlFlowTok"/>
        </w:rPr>
        <w:t xml:space="preserve">assert</w:t>
      </w:r>
      <w:r>
        <w:rPr>
          <w:rStyle w:val="NormalTok"/>
        </w:rPr>
        <w:t xml:space="preserve"> r1 </w:t>
      </w:r>
      <w:r>
        <w:rPr>
          <w:rStyle w:val="OperatorTok"/>
        </w:rPr>
        <w:t xml:space="preserve">==</w:t>
      </w:r>
      <w:r>
        <w:rPr>
          <w:rStyle w:val="NormalTok"/>
        </w:rPr>
        <w:t xml:space="preserve"> </w:t>
      </w:r>
      <w:r>
        <w:rPr>
          <w:rStyle w:val="BuiltInTok"/>
        </w:rPr>
        <w:t xml:space="preserve">sorted</w:t>
      </w:r>
      <w:r>
        <w:rPr>
          <w:rStyle w:val="NormalTok"/>
        </w:rPr>
        <w:t xml:space="preserve">(</w:t>
      </w:r>
      <w:r>
        <w:rPr>
          <w:rStyle w:val="BuiltInTok"/>
        </w:rPr>
        <w:t xml:space="preserve">set</w:t>
      </w:r>
      <w:r>
        <w:rPr>
          <w:rStyle w:val="NormalTok"/>
        </w:rPr>
        <w:t xml:space="preserve">(common) </w:t>
      </w:r>
      <w:r>
        <w:rPr>
          <w:rStyle w:val="OperatorTok"/>
        </w:rPr>
        <w:t xml:space="preserve">&amp;</w:t>
      </w:r>
      <w:r>
        <w:rPr>
          <w:rStyle w:val="NormalTok"/>
        </w:rPr>
        <w:t xml:space="preserve"> </w:t>
      </w:r>
      <w:r>
        <w:rPr>
          <w:rStyle w:val="BuiltInTok"/>
        </w:rPr>
        <w:t xml:space="preserve">set</w:t>
      </w:r>
      <w:r>
        <w:rPr>
          <w:rStyle w:val="NormalTok"/>
        </w:rPr>
        <w:t xml:space="preserve">(rare))</w:t>
      </w:r>
      <w:r>
        <w:br/>
      </w:r>
      <w:r>
        <w:rPr>
          <w:rStyle w:val="NormalTok"/>
        </w:rPr>
        <w:t xml:space="preserve">    </w:t>
      </w:r>
      <w:r>
        <w:rPr>
          <w:rStyle w:val="BuiltInTok"/>
        </w:rPr>
        <w:t xml:space="preserve">print</w:t>
      </w:r>
      <w:r>
        <w:rPr>
          <w:rStyle w:val="NormalTok"/>
        </w:rPr>
        <w:t xml:space="preserve">(</w:t>
      </w:r>
      <w:r>
        <w:rPr>
          <w:rStyle w:val="SpecialStringTok"/>
        </w:rPr>
        <w:t xml:space="preserve">f"matches=</w:t>
      </w:r>
      <w:r>
        <w:rPr>
          <w:rStyle w:val="SpecialCharTok"/>
        </w:rPr>
        <w:t xml:space="preserve">{</w:t>
      </w:r>
      <w:r>
        <w:rPr>
          <w:rStyle w:val="BuiltInTok"/>
        </w:rPr>
        <w:t xml:space="preserve">len</w:t>
      </w:r>
      <w:r>
        <w:rPr>
          <w:rStyle w:val="NormalTok"/>
        </w:rPr>
        <w:t xml:space="preserve">(r1)</w:t>
      </w:r>
      <w:r>
        <w:rPr>
          <w:rStyle w:val="SpecialCharTok"/>
        </w:rPr>
        <w:t xml:space="preserve">}</w:t>
      </w:r>
      <w:r>
        <w:rPr>
          <w:rStyle w:val="SpecialStringTok"/>
        </w:rPr>
        <w:t xml:space="preserve">  linear merge: </w:t>
      </w:r>
      <w:r>
        <w:rPr>
          <w:rStyle w:val="SpecialCharTok"/>
        </w:rPr>
        <w:t xml:space="preserve">{</w:t>
      </w:r>
      <w:r>
        <w:rPr>
          <w:rStyle w:val="NormalTok"/>
        </w:rPr>
        <w:t xml:space="preserve">c1</w:t>
      </w:r>
      <w:r>
        <w:rPr>
          <w:rStyle w:val="SpecialCharTok"/>
        </w:rPr>
        <w:t xml:space="preserve">:,}</w:t>
      </w:r>
      <w:r>
        <w:rPr>
          <w:rStyle w:val="SpecialStringTok"/>
        </w:rPr>
        <w:t xml:space="preserve"> comparisons"</w:t>
      </w:r>
      <w:r>
        <w:rPr>
          <w:rStyle w:val="NormalTok"/>
        </w:rPr>
        <w:t xml:space="preserve">)</w:t>
      </w:r>
      <w:r>
        <w:br/>
      </w:r>
      <w:r>
        <w:rPr>
          <w:rStyle w:val="NormalTok"/>
        </w:rPr>
        <w:t xml:space="preserve">    </w:t>
      </w:r>
      <w:r>
        <w:rPr>
          <w:rStyle w:val="ControlFlowTok"/>
        </w:rPr>
        <w:t xml:space="preserve">for</w:t>
      </w:r>
      <w:r>
        <w:rPr>
          <w:rStyle w:val="NormalTok"/>
        </w:rPr>
        <w:t xml:space="preserve"> step </w:t>
      </w:r>
      <w:r>
        <w:rPr>
          <w:rStyle w:val="KeywordTok"/>
        </w:rPr>
        <w:t xml:space="preserve">in</w:t>
      </w:r>
      <w:r>
        <w:rPr>
          <w:rStyle w:val="NormalTok"/>
        </w:rPr>
        <w:t xml:space="preserve"> (</w:t>
      </w:r>
      <w:r>
        <w:rPr>
          <w:rStyle w:val="DecValTok"/>
        </w:rPr>
        <w:t xml:space="preserve">447</w:t>
      </w:r>
      <w:r>
        <w:rPr>
          <w:rStyle w:val="NormalTok"/>
        </w:rPr>
        <w:t xml:space="preserve">, </w:t>
      </w:r>
      <w:r>
        <w:rPr>
          <w:rStyle w:val="DecValTok"/>
        </w:rPr>
        <w:t xml:space="preserve">128</w:t>
      </w:r>
      <w:r>
        <w:rPr>
          <w:rStyle w:val="NormalTok"/>
        </w:rPr>
        <w:t xml:space="preserve">, </w:t>
      </w:r>
      <w:r>
        <w:rPr>
          <w:rStyle w:val="DecValTok"/>
        </w:rPr>
        <w:t xml:space="preserve">20</w:t>
      </w:r>
      <w:r>
        <w:rPr>
          <w:rStyle w:val="NormalTok"/>
        </w:rPr>
        <w:t xml:space="preserve">):                       </w:t>
      </w:r>
      <w:r>
        <w:rPr>
          <w:rStyle w:val="CommentTok"/>
        </w:rPr>
        <w:t xml:space="preserve"># sqrt(L), Lucene's block size, sqrt(2L/m)</w:t>
      </w:r>
      <w:r>
        <w:br/>
      </w:r>
      <w:r>
        <w:rPr>
          <w:rStyle w:val="NormalTok"/>
        </w:rPr>
        <w:t xml:space="preserve">        r2, c2 </w:t>
      </w:r>
      <w:r>
        <w:rPr>
          <w:rStyle w:val="OperatorTok"/>
        </w:rPr>
        <w:t xml:space="preserve">=</w:t>
      </w:r>
      <w:r>
        <w:rPr>
          <w:rStyle w:val="NormalTok"/>
        </w:rPr>
        <w:t xml:space="preserve"> intersect_with_skips(rare, common, step)</w:t>
      </w:r>
      <w:r>
        <w:br/>
      </w:r>
      <w:r>
        <w:rPr>
          <w:rStyle w:val="NormalTok"/>
        </w:rPr>
        <w:t xml:space="preserve">        </w:t>
      </w:r>
      <w:r>
        <w:rPr>
          <w:rStyle w:val="ControlFlowTok"/>
        </w:rPr>
        <w:t xml:space="preserve">assert</w:t>
      </w:r>
      <w:r>
        <w:rPr>
          <w:rStyle w:val="NormalTok"/>
        </w:rPr>
        <w:t xml:space="preserve"> r2 </w:t>
      </w:r>
      <w:r>
        <w:rPr>
          <w:rStyle w:val="OperatorTok"/>
        </w:rPr>
        <w:t xml:space="preserve">==</w:t>
      </w:r>
      <w:r>
        <w:rPr>
          <w:rStyle w:val="NormalTok"/>
        </w:rPr>
        <w:t xml:space="preserve"> r1</w:t>
      </w:r>
      <w:r>
        <w:br/>
      </w:r>
      <w:r>
        <w:rPr>
          <w:rStyle w:val="NormalTok"/>
        </w:rPr>
        <w:t xml:space="preserve">        </w:t>
      </w:r>
      <w:r>
        <w:rPr>
          <w:rStyle w:val="BuiltInTok"/>
        </w:rPr>
        <w:t xml:space="preserve">print</w:t>
      </w:r>
      <w:r>
        <w:rPr>
          <w:rStyle w:val="NormalTok"/>
        </w:rPr>
        <w:t xml:space="preserve">(</w:t>
      </w:r>
      <w:r>
        <w:rPr>
          <w:rStyle w:val="SpecialStringTok"/>
        </w:rPr>
        <w:t xml:space="preserve">f"skip every </w:t>
      </w:r>
      <w:r>
        <w:rPr>
          <w:rStyle w:val="SpecialCharTok"/>
        </w:rPr>
        <w:t xml:space="preserve">{</w:t>
      </w:r>
      <w:r>
        <w:rPr>
          <w:rStyle w:val="NormalTok"/>
        </w:rPr>
        <w:t xml:space="preserve">step</w:t>
      </w:r>
      <w:r>
        <w:rPr>
          <w:rStyle w:val="SpecialCharTok"/>
        </w:rPr>
        <w:t xml:space="preserve">:&gt;3}</w:t>
      </w:r>
      <w:r>
        <w:rPr>
          <w:rStyle w:val="SpecialStringTok"/>
        </w:rPr>
        <w:t xml:space="preserve">: </w:t>
      </w:r>
      <w:r>
        <w:rPr>
          <w:rStyle w:val="SpecialCharTok"/>
        </w:rPr>
        <w:t xml:space="preserve">{</w:t>
      </w:r>
      <w:r>
        <w:rPr>
          <w:rStyle w:val="NormalTok"/>
        </w:rPr>
        <w:t xml:space="preserve">c2</w:t>
      </w:r>
      <w:r>
        <w:rPr>
          <w:rStyle w:val="SpecialCharTok"/>
        </w:rPr>
        <w:t xml:space="preserve">:&gt;7,}</w:t>
      </w:r>
      <w:r>
        <w:rPr>
          <w:rStyle w:val="SpecialStringTok"/>
        </w:rPr>
        <w:t xml:space="preserve"> comparisons  (</w:t>
      </w:r>
      <w:r>
        <w:rPr>
          <w:rStyle w:val="SpecialCharTok"/>
        </w:rPr>
        <w:t xml:space="preserve">{</w:t>
      </w:r>
      <w:r>
        <w:rPr>
          <w:rStyle w:val="NormalTok"/>
        </w:rPr>
        <w:t xml:space="preserve">c1 </w:t>
      </w:r>
      <w:r>
        <w:rPr>
          <w:rStyle w:val="OperatorTok"/>
        </w:rPr>
        <w:t xml:space="preserve">/</w:t>
      </w:r>
      <w:r>
        <w:rPr>
          <w:rStyle w:val="NormalTok"/>
        </w:rPr>
        <w:t xml:space="preserve"> c2</w:t>
      </w:r>
      <w:r>
        <w:rPr>
          <w:rStyle w:val="SpecialCharTok"/>
        </w:rPr>
        <w:t xml:space="preserve">:.0f}</w:t>
      </w:r>
      <w:r>
        <w:rPr>
          <w:rStyle w:val="SpecialStringTok"/>
        </w:rPr>
        <w:t xml:space="preserve">x fewer)"</w:t>
      </w:r>
      <w:r>
        <w:rPr>
          <w:rStyle w:val="NormalTok"/>
        </w:rPr>
        <w:t xml:space="preserve">)</w:t>
      </w:r>
    </w:p>
    <w:p>
      <w:pPr>
        <w:pStyle w:val="FirstParagraph"/>
      </w:pPr>
      <w:r>
        <w:t xml:space="preserve">Output (Python 3.13):</w:t>
      </w:r>
    </w:p>
    <w:p>
      <w:pPr>
        <w:pStyle w:val="SourceCode"/>
      </w:pPr>
      <w:r>
        <w:rPr>
          <w:rStyle w:val="VerbatimChar"/>
        </w:rPr>
        <w:t xml:space="preserve">matches=184  linear merge: 200,611 comparisons</w:t>
      </w:r>
      <w:r>
        <w:br/>
      </w:r>
      <w:r>
        <w:rPr>
          <w:rStyle w:val="VerbatimChar"/>
        </w:rPr>
        <w:t xml:space="preserve">skip every 447: 121,210 comparisons  (2x fewer)</w:t>
      </w:r>
      <w:r>
        <w:br/>
      </w:r>
      <w:r>
        <w:rPr>
          <w:rStyle w:val="VerbatimChar"/>
        </w:rPr>
        <w:t xml:space="preserve">skip every 128:  53,587 comparisons  (4x fewer)</w:t>
      </w:r>
      <w:r>
        <w:br/>
      </w:r>
      <w:r>
        <w:rPr>
          <w:rStyle w:val="VerbatimChar"/>
        </w:rPr>
        <w:t xml:space="preserve">skip every  20:  20,909 comparisons  (10x fewer)</w:t>
      </w:r>
    </w:p>
    <w:p>
      <w:pPr>
        <w:pStyle w:val="FirstParagraph"/>
      </w:pPr>
      <w:r>
        <w:t xml:space="preserve">What to notice:</w:t>
      </w:r>
    </w:p>
    <w:p>
      <w:pPr>
        <w:numPr>
          <w:ilvl w:val="0"/>
          <w:numId w:val="1533"/>
        </w:numPr>
        <w:pStyle w:val="Compact"/>
      </w:pPr>
      <w:r>
        <w:t xml:space="preserve">The intersection is</w:t>
      </w:r>
      <w:r>
        <w:t xml:space="preserve"> </w:t>
      </w:r>
      <w:r>
        <w:rPr>
          <w:bCs/>
          <w:b/>
        </w:rPr>
        <w:t xml:space="preserve">driven by the rare list</w:t>
      </w:r>
      <w:r>
        <w:t xml:space="preserve">: 1,000 calls to</w:t>
      </w:r>
      <w:r>
        <w:t xml:space="preserve"> </w:t>
      </w:r>
      <w:r>
        <w:rPr>
          <w:rStyle w:val="VerbatimChar"/>
        </w:rPr>
        <w:t xml:space="preserve">advance</w:t>
      </w:r>
      <w:r>
        <w:t xml:space="preserve">, not 200,000 steps.</w:t>
      </w:r>
    </w:p>
    <w:p>
      <w:pPr>
        <w:numPr>
          <w:ilvl w:val="0"/>
          <w:numId w:val="1533"/>
        </w:numPr>
        <w:pStyle w:val="Compact"/>
      </w:pPr>
      <w:r>
        <w:t xml:space="preserve">The</w:t>
      </w:r>
      <w:r>
        <w:t xml:space="preserve"> </w:t>
      </w:r>
      <m:oMath>
        <m:rad>
          <m:radPr>
            <m:degHide m:val="on"/>
          </m:radPr>
          <m:deg/>
          <m:e>
            <m:r>
              <m:t>L</m:t>
            </m:r>
          </m:e>
        </m:rad>
        <m:r>
          <m:rPr>
            <m:sty m:val="p"/>
          </m:rPr>
          <m:t>=</m:t>
        </m:r>
        <m:r>
          <m:t>447</m:t>
        </m:r>
      </m:oMath>
      <w:r>
        <w:t xml:space="preserve"> </w:t>
      </w:r>
      <w:r>
        <w:t xml:space="preserve">heuristic helps only 2× here because each</w:t>
      </w:r>
      <w:r>
        <w:t xml:space="preserve"> </w:t>
      </w:r>
      <w:r>
        <w:rPr>
          <w:rStyle w:val="VerbatimChar"/>
        </w:rPr>
        <w:t xml:space="preserve">advance</w:t>
      </w:r>
      <w:r>
        <w:t xml:space="preserve"> </w:t>
      </w:r>
      <w:r>
        <w:t xml:space="preserve">then scans about 224 entries inside a block. Spacing tuned to the list-length ratio,</w:t>
      </w:r>
      <w:r>
        <w:t xml:space="preserve"> </w:t>
      </w:r>
      <m:oMath>
        <m:rad>
          <m:radPr>
            <m:degHide m:val="on"/>
          </m:radPr>
          <m:deg/>
          <m:e>
            <m:r>
              <m:t>2</m:t>
            </m:r>
            <m:r>
              <m:rPr>
                <m:sty m:val="p"/>
              </m:rPr>
              <m:t>×</m:t>
            </m:r>
            <m:r>
              <m:t>200</m:t>
            </m:r>
            <m:r>
              <m:rPr>
                <m:sty m:val="p"/>
              </m:rPr>
              <m:t>,</m:t>
            </m:r>
            <m:r>
              <m:t>000</m:t>
            </m:r>
            <m:r>
              <m:rPr>
                <m:sty m:val="p"/>
              </m:rPr>
              <m:t>/</m:t>
            </m:r>
            <m:r>
              <m:t>1</m:t>
            </m:r>
            <m:r>
              <m:rPr>
                <m:sty m:val="p"/>
              </m:rPr>
              <m:t>,</m:t>
            </m:r>
            <m:r>
              <m:t>000</m:t>
            </m:r>
          </m:e>
        </m:rad>
        <m:r>
          <m:rPr>
            <m:sty m:val="p"/>
          </m:rPr>
          <m:t>=</m:t>
        </m:r>
        <m:r>
          <m:t>20</m:t>
        </m:r>
      </m:oMath>
      <w:r>
        <w:t xml:space="preserve">, gives 10×. Multi-level skip lists, as in Lucene, get coarse and fine jumps without choosing one spacing.</w:t>
      </w:r>
    </w:p>
    <w:p>
      <w:pPr>
        <w:numPr>
          <w:ilvl w:val="0"/>
          <w:numId w:val="1533"/>
        </w:numPr>
        <w:pStyle w:val="Compact"/>
      </w:pPr>
      <w:r>
        <w:t xml:space="preserve">In a real engine the bigger win is</w:t>
      </w:r>
      <w:r>
        <w:t xml:space="preserve"> </w:t>
      </w:r>
      <w:r>
        <w:rPr>
          <w:bCs/>
          <w:b/>
        </w:rPr>
        <w:t xml:space="preserve">decoding</w:t>
      </w:r>
      <w:r>
        <w:t xml:space="preserve">: a skipped compressed block is never decompressed.</w:t>
      </w:r>
    </w:p>
    <w:bookmarkEnd w:id="1800"/>
    <w:bookmarkStart w:id="1801" w:name="Xd9fa92605131fddd4d7ad2c64c47754b12db922"/>
    <w:p>
      <w:pPr>
        <w:pStyle w:val="Heading3"/>
      </w:pPr>
      <w:r>
        <w:t xml:space="preserve">16.3.4 Compression: delta encoding and variable-byte codes</w:t>
      </w:r>
    </w:p>
    <w:p>
      <w:pPr>
        <w:pStyle w:val="FirstParagraph"/>
      </w:pPr>
      <w:r>
        <w:t xml:space="preserve">A docID stored as a 32-bit integer costs 4 bytes. Postings lists hold one entry per (term, document) pair, so they dominate index size. Two observations make them highly compressible.</w:t>
      </w:r>
    </w:p>
    <w:p>
      <w:pPr>
        <w:pStyle w:val="BodyText"/>
      </w:pPr>
      <w:r>
        <w:rPr>
          <w:bCs/>
          <w:b/>
        </w:rPr>
        <w:t xml:space="preserve">Delta (gap) encoding.</w:t>
      </w:r>
      <w:r>
        <w:t xml:space="preserve"> </w:t>
      </w:r>
      <w:r>
        <w:t xml:space="preserve">A sorted list such as 824, 829, 215406 can be stored as its first value followed by differences: 824, 5, 214577. A frequent term has small gaps (a term in 20% of documents has an average gap of 5), and small numbers need few bits. Rare terms have large gaps but short lists, so they contribute little to total size.</w:t>
      </w:r>
    </w:p>
    <w:p>
      <w:pPr>
        <w:pStyle w:val="BodyText"/>
      </w:pPr>
      <w:r>
        <w:rPr>
          <w:bCs/>
          <w:b/>
        </w:rPr>
        <w:t xml:space="preserve">Variable-byte (VByte) codes.</w:t>
      </w:r>
      <w:r>
        <w:t xml:space="preserve"> </w:t>
      </w:r>
      <w:r>
        <w:t xml:space="preserve">Encode each gap in as many bytes as it needs, using 7 data bits per byte and the eighth bit as a flag. In Lucene’s</w:t>
      </w:r>
      <w:r>
        <w:t xml:space="preserve"> </w:t>
      </w:r>
      <w:r>
        <w:rPr>
          <w:rStyle w:val="VerbatimChar"/>
        </w:rPr>
        <w:t xml:space="preserve">VInt</w:t>
      </w:r>
      <w:r>
        <w:t xml:space="preserve"> </w:t>
      </w:r>
      <w:r>
        <w:t xml:space="preserve">convention the low-order 7 bits come first and a high bit of 1 means</w:t>
      </w:r>
      <w:r>
        <w:t xml:space="preserve"> </w:t>
      </w:r>
      <w:r>
        <w:t xml:space="preserve">“</w:t>
      </w:r>
      <w:r>
        <w:t xml:space="preserve">more bytes follow</w:t>
      </w:r>
      <w:r>
        <w:t xml:space="preserve">”</w:t>
      </w:r>
      <w:r>
        <w:t xml:space="preserve"> </w:t>
      </w:r>
      <w:r>
        <w:t xml:space="preserve">[Lucene Docs: DataOutput.writeVInt]. Manning et al. describe the same code with the flag set on the</w:t>
      </w:r>
      <w:r>
        <w:t xml:space="preserve"> </w:t>
      </w:r>
      <w:r>
        <w:rPr>
          <w:iCs/>
          <w:i/>
        </w:rPr>
        <w:t xml:space="preserve">last</w:t>
      </w:r>
      <w:r>
        <w:t xml:space="preserve"> </w:t>
      </w:r>
      <w:r>
        <w:t xml:space="preserve">byte instead [Manning et al. 2008, §5.3.1]; the two are equivalent in size.</w:t>
      </w:r>
    </w:p>
    <w:p>
      <w:pPr>
        <w:pStyle w:val="CalloutFormula"/>
      </w:pPr>
      <w:r>
        <w:rPr>
          <w:bCs/>
          <w:b/>
        </w:rPr>
        <w:t xml:space="preserve">FORMULA</w:t>
      </w:r>
    </w:p>
    <w:p>
      <w:pPr>
        <w:pStyle w:val="CalloutFormula"/>
      </w:pPr>
      <w:r>
        <w:rPr>
          <w:bCs/>
          <w:b/>
        </w:rPr>
        <w:t xml:space="preserve">Variable-byte length of an integer</w:t>
      </w:r>
    </w:p>
    <w:p>
      <w:pPr>
        <w:pStyle w:val="CalloutFormula"/>
      </w:pPr>
      <m:oMathPara>
        <m:oMathParaPr>
          <m:jc m:val="center"/>
        </m:oMathParaPr>
        <m:oMath>
          <m:r>
            <m:rPr>
              <m:nor/>
              <m:sty m:val="p"/>
            </m:rPr>
            <m:t>bytes</m:t>
          </m:r>
          <m:d>
            <m:dPr>
              <m:begChr m:val="("/>
              <m:endChr m:val=")"/>
              <m:sepChr m:val=""/>
              <m:grow/>
            </m:dPr>
            <m:e>
              <m:r>
                <m:t>g</m:t>
              </m:r>
            </m:e>
          </m:d>
          <m:r>
            <m:rPr>
              <m:sty m:val="p"/>
            </m:rPr>
            <m:t>=</m:t>
          </m:r>
          <m:r>
            <m:rPr>
              <m:sty m:val="p"/>
            </m:rPr>
            <m:t>max</m:t>
          </m:r>
          <m:r>
            <m:t>​</m:t>
          </m:r>
          <m:d>
            <m:dPr>
              <m:begChr m:val="("/>
              <m:endChr m:val=")"/>
              <m:sepChr m:val=""/>
              <m:grow/>
            </m:dPr>
            <m:e>
              <m:r>
                <m:t>1</m:t>
              </m:r>
              <m:r>
                <m:rPr>
                  <m:sty m:val="p"/>
                </m:rPr>
                <m:t>,</m:t>
              </m:r>
              <m:d>
                <m:dPr>
                  <m:begChr m:val="⌈"/>
                  <m:endChr m:val="⌉"/>
                  <m:sepChr m:val=""/>
                  <m:grow/>
                </m:dPr>
                <m:e>
                  <m:f>
                    <m:fPr>
                      <m:type m:val="bar"/>
                    </m:fPr>
                    <m:num>
                      <m:r>
                        <m:rPr>
                          <m:sty m:val="p"/>
                        </m:rPr>
                        <m:t>⌊</m:t>
                      </m:r>
                      <m:sSub>
                        <m:e>
                          <m:r>
                            <m:rPr>
                              <m:sty m:val="p"/>
                            </m:rPr>
                            <m:t>log</m:t>
                          </m:r>
                        </m:e>
                        <m:sub>
                          <m:r>
                            <m:t>2</m:t>
                          </m:r>
                        </m:sub>
                      </m:sSub>
                      <m:r>
                        <m:t>g</m:t>
                      </m:r>
                      <m:r>
                        <m:rPr>
                          <m:sty m:val="p"/>
                        </m:rPr>
                        <m:t>⌋</m:t>
                      </m:r>
                      <m:r>
                        <m:rPr>
                          <m:sty m:val="p"/>
                        </m:rPr>
                        <m:t>+</m:t>
                      </m:r>
                      <m:r>
                        <m:t>1</m:t>
                      </m:r>
                    </m:num>
                    <m:den>
                      <m:r>
                        <m:t>7</m:t>
                      </m:r>
                    </m:den>
                  </m:f>
                </m:e>
              </m:d>
            </m:e>
          </m:d>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g</m:t>
              </m:r>
            </m:oMath>
          </w:p>
        </w:tc>
        <w:tc>
          <w:tcPr/>
          <w:p>
            <w:pPr>
              <w:pStyle w:val="Compact"/>
              <w:jc w:val="left"/>
            </w:pPr>
            <w:r>
              <w:t xml:space="preserve">The integer to encode, here a docID gap (</w:t>
            </w:r>
            <m:oMath>
              <m:r>
                <m:t>g</m:t>
              </m:r>
              <m:r>
                <m:rPr>
                  <m:sty m:val="p"/>
                </m:rPr>
                <m:t>≥</m:t>
              </m:r>
              <m:r>
                <m:t>1</m:t>
              </m:r>
            </m:oMath>
            <w:r>
              <w:t xml:space="preserve">)</w:t>
            </w:r>
          </w:p>
        </w:tc>
        <w:tc>
          <w:tcPr/>
          <w:p>
            <w:pPr>
              <w:pStyle w:val="Compact"/>
              <w:jc w:val="left"/>
            </w:pPr>
            <w:r>
              <w:t xml:space="preserve">count</w:t>
            </w:r>
          </w:p>
        </w:tc>
      </w:tr>
      <w:tr>
        <w:tc>
          <w:tcPr/>
          <w:p>
            <w:pPr>
              <w:pStyle w:val="Compact"/>
              <w:jc w:val="left"/>
            </w:pPr>
            <m:oMath>
              <m:r>
                <m:rPr>
                  <m:sty m:val="p"/>
                </m:rPr>
                <m:t>⌊</m:t>
              </m:r>
              <m:sSub>
                <m:e>
                  <m:r>
                    <m:rPr>
                      <m:sty m:val="p"/>
                    </m:rPr>
                    <m:t>log</m:t>
                  </m:r>
                </m:e>
                <m:sub>
                  <m:r>
                    <m:t>2</m:t>
                  </m:r>
                </m:sub>
              </m:sSub>
              <m:r>
                <m:t>g</m:t>
              </m:r>
              <m:r>
                <m:rPr>
                  <m:sty m:val="p"/>
                </m:rPr>
                <m:t>⌋</m:t>
              </m:r>
              <m:r>
                <m:rPr>
                  <m:sty m:val="p"/>
                </m:rPr>
                <m:t>+</m:t>
              </m:r>
              <m:r>
                <m:t>1</m:t>
              </m:r>
            </m:oMath>
          </w:p>
        </w:tc>
        <w:tc>
          <w:tcPr/>
          <w:p>
            <w:pPr>
              <w:pStyle w:val="Compact"/>
              <w:jc w:val="left"/>
            </w:pPr>
            <w:r>
              <w:t xml:space="preserve">Number of significant bits in</w:t>
            </w:r>
            <w:r>
              <w:t xml:space="preserve"> </w:t>
            </w:r>
            <m:oMath>
              <m:r>
                <m:t>g</m:t>
              </m:r>
            </m:oMath>
          </w:p>
        </w:tc>
        <w:tc>
          <w:tcPr/>
          <w:p>
            <w:pPr>
              <w:pStyle w:val="Compact"/>
              <w:jc w:val="left"/>
            </w:pPr>
            <w:r>
              <w:t xml:space="preserve">bits</w:t>
            </w:r>
          </w:p>
        </w:tc>
      </w:tr>
      <w:tr>
        <w:tc>
          <w:tcPr/>
          <w:p>
            <w:pPr>
              <w:pStyle w:val="Compact"/>
              <w:jc w:val="left"/>
            </w:pPr>
            <m:oMath>
              <m:r>
                <m:rPr>
                  <m:nor/>
                  <m:sty m:val="p"/>
                </m:rPr>
                <m:t>bytes</m:t>
              </m:r>
              <m:d>
                <m:dPr>
                  <m:begChr m:val="("/>
                  <m:endChr m:val=")"/>
                  <m:sepChr m:val=""/>
                  <m:grow/>
                </m:dPr>
                <m:e>
                  <m:r>
                    <m:t>g</m:t>
                  </m:r>
                </m:e>
              </m:d>
            </m:oMath>
          </w:p>
        </w:tc>
        <w:tc>
          <w:tcPr/>
          <w:p>
            <w:pPr>
              <w:pStyle w:val="Compact"/>
              <w:jc w:val="left"/>
            </w:pPr>
            <w:r>
              <w:t xml:space="preserve">Encoded length, 7 payload bits per byte</w:t>
            </w:r>
          </w:p>
        </w:tc>
        <w:tc>
          <w:tcPr/>
          <w:p>
            <w:pPr>
              <w:pStyle w:val="Compact"/>
              <w:jc w:val="left"/>
            </w:pPr>
            <w:r>
              <w:t xml:space="preserve">bytes</w:t>
            </w:r>
          </w:p>
        </w:tc>
      </w:tr>
    </w:tbl>
    <w:p>
      <w:pPr>
        <w:pStyle w:val="BodyText"/>
      </w:pPr>
      <w:r>
        <w:rPr>
          <w:bCs/>
          <w:b/>
        </w:rPr>
        <w:t xml:space="preserve">Table 16.1 — Variable-byte length by gap size.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Gap range</w:t>
            </w:r>
          </w:p>
        </w:tc>
        <w:tc>
          <w:tcPr/>
          <w:p>
            <w:pPr>
              <w:pStyle w:val="Compact"/>
              <w:jc w:val="left"/>
            </w:pPr>
            <w:r>
              <w:t xml:space="preserve">Significant bits</w:t>
            </w:r>
          </w:p>
        </w:tc>
        <w:tc>
          <w:tcPr/>
          <w:p>
            <w:pPr>
              <w:pStyle w:val="Compact"/>
              <w:jc w:val="left"/>
            </w:pPr>
            <w:r>
              <w:t xml:space="preserve">VByte bytes</w:t>
            </w:r>
          </w:p>
        </w:tc>
        <w:tc>
          <w:tcPr/>
          <w:p>
            <w:pPr>
              <w:pStyle w:val="Compact"/>
              <w:jc w:val="left"/>
            </w:pPr>
            <w:r>
              <w:t xml:space="preserve">Saving versus 4-byte integer</w:t>
            </w:r>
          </w:p>
        </w:tc>
      </w:tr>
      <w:tr>
        <w:tc>
          <w:tcPr/>
          <w:p>
            <w:pPr>
              <w:pStyle w:val="Compact"/>
              <w:jc w:val="left"/>
            </w:pPr>
            <w:r>
              <w:t xml:space="preserve">1–127</w:t>
            </w:r>
          </w:p>
        </w:tc>
        <w:tc>
          <w:tcPr/>
          <w:p>
            <w:pPr>
              <w:pStyle w:val="Compact"/>
              <w:jc w:val="left"/>
            </w:pPr>
            <w:r>
              <w:t xml:space="preserve">1–7</w:t>
            </w:r>
          </w:p>
        </w:tc>
        <w:tc>
          <w:tcPr/>
          <w:p>
            <w:pPr>
              <w:pStyle w:val="Compact"/>
              <w:jc w:val="left"/>
            </w:pPr>
            <w:r>
              <w:t xml:space="preserve">1</w:t>
            </w:r>
          </w:p>
        </w:tc>
        <w:tc>
          <w:tcPr/>
          <w:p>
            <w:pPr>
              <w:pStyle w:val="Compact"/>
              <w:jc w:val="left"/>
            </w:pPr>
            <w:r>
              <w:t xml:space="preserve">75%</w:t>
            </w:r>
          </w:p>
        </w:tc>
      </w:tr>
      <w:tr>
        <w:tc>
          <w:tcPr/>
          <w:p>
            <w:pPr>
              <w:pStyle w:val="Compact"/>
              <w:jc w:val="left"/>
            </w:pPr>
            <w:r>
              <w:t xml:space="preserve">128–16,383</w:t>
            </w:r>
          </w:p>
        </w:tc>
        <w:tc>
          <w:tcPr/>
          <w:p>
            <w:pPr>
              <w:pStyle w:val="Compact"/>
              <w:jc w:val="left"/>
            </w:pPr>
            <w:r>
              <w:t xml:space="preserve">8–14</w:t>
            </w:r>
          </w:p>
        </w:tc>
        <w:tc>
          <w:tcPr/>
          <w:p>
            <w:pPr>
              <w:pStyle w:val="Compact"/>
              <w:jc w:val="left"/>
            </w:pPr>
            <w:r>
              <w:t xml:space="preserve">2</w:t>
            </w:r>
          </w:p>
        </w:tc>
        <w:tc>
          <w:tcPr/>
          <w:p>
            <w:pPr>
              <w:pStyle w:val="Compact"/>
              <w:jc w:val="left"/>
            </w:pPr>
            <w:r>
              <w:t xml:space="preserve">50%</w:t>
            </w:r>
          </w:p>
        </w:tc>
      </w:tr>
      <w:tr>
        <w:tc>
          <w:tcPr/>
          <w:p>
            <w:pPr>
              <w:pStyle w:val="Compact"/>
              <w:jc w:val="left"/>
            </w:pPr>
            <w:r>
              <w:t xml:space="preserve">16,384–2,097,151</w:t>
            </w:r>
          </w:p>
        </w:tc>
        <w:tc>
          <w:tcPr/>
          <w:p>
            <w:pPr>
              <w:pStyle w:val="Compact"/>
              <w:jc w:val="left"/>
            </w:pPr>
            <w:r>
              <w:t xml:space="preserve">15–21</w:t>
            </w:r>
          </w:p>
        </w:tc>
        <w:tc>
          <w:tcPr/>
          <w:p>
            <w:pPr>
              <w:pStyle w:val="Compact"/>
              <w:jc w:val="left"/>
            </w:pPr>
            <w:r>
              <w:t xml:space="preserve">3</w:t>
            </w:r>
          </w:p>
        </w:tc>
        <w:tc>
          <w:tcPr/>
          <w:p>
            <w:pPr>
              <w:pStyle w:val="Compact"/>
              <w:jc w:val="left"/>
            </w:pPr>
            <w:r>
              <w:t xml:space="preserve">25%</w:t>
            </w:r>
          </w:p>
        </w:tc>
      </w:tr>
      <w:tr>
        <w:tc>
          <w:tcPr/>
          <w:p>
            <w:pPr>
              <w:pStyle w:val="Compact"/>
              <w:jc w:val="left"/>
            </w:pPr>
            <w:r>
              <w:t xml:space="preserve">2,097,152–268,435,455</w:t>
            </w:r>
          </w:p>
        </w:tc>
        <w:tc>
          <w:tcPr/>
          <w:p>
            <w:pPr>
              <w:pStyle w:val="Compact"/>
              <w:jc w:val="left"/>
            </w:pPr>
            <w:r>
              <w:t xml:space="preserve">22–28</w:t>
            </w:r>
          </w:p>
        </w:tc>
        <w:tc>
          <w:tcPr/>
          <w:p>
            <w:pPr>
              <w:pStyle w:val="Compact"/>
              <w:jc w:val="left"/>
            </w:pPr>
            <w:r>
              <w:t xml:space="preserve">4</w:t>
            </w:r>
          </w:p>
        </w:tc>
        <w:tc>
          <w:tcPr/>
          <w:p>
            <w:pPr>
              <w:pStyle w:val="Compact"/>
              <w:jc w:val="left"/>
            </w:pPr>
            <w:r>
              <w:t xml:space="preserve">0%</w:t>
            </w:r>
          </w:p>
        </w:tc>
      </w:tr>
    </w:tbl>
    <w:p>
      <w:pPr>
        <w:pStyle w:val="CalloutExample"/>
      </w:pPr>
      <w:r>
        <w:rPr>
          <w:bCs/>
          <w:b/>
        </w:rPr>
        <w:t xml:space="preserve">WORKED EXAMPLE</w:t>
      </w:r>
    </w:p>
    <w:p>
      <w:pPr>
        <w:pStyle w:val="CalloutExample"/>
      </w:pPr>
      <w:r>
        <w:rPr>
          <w:bCs/>
          <w:b/>
        </w:rPr>
        <w:t xml:space="preserve">Worked example — encoding 824, 829, 215406.</w:t>
      </w:r>
    </w:p>
    <w:p>
      <w:pPr>
        <w:numPr>
          <w:ilvl w:val="0"/>
          <w:numId w:val="1534"/>
        </w:numPr>
        <w:pStyle w:val="Compact"/>
      </w:pPr>
      <w:r>
        <w:t xml:space="preserve">Gaps: 824, 829 − 824 = 5, 215406 − 829 = 214577.</w:t>
      </w:r>
    </w:p>
    <w:p>
      <w:pPr>
        <w:numPr>
          <w:ilvl w:val="0"/>
          <w:numId w:val="1534"/>
        </w:numPr>
        <w:pStyle w:val="Compact"/>
      </w:pPr>
      <w:r>
        <w:t xml:space="preserve">824 has 10 significant bits (512 ≤ 824 &lt; 1024), so</w:t>
      </w:r>
      <w:r>
        <w:t xml:space="preserve"> </w:t>
      </w:r>
      <m:oMath>
        <m:r>
          <m:rPr>
            <m:sty m:val="p"/>
          </m:rPr>
          <m:t>⌈</m:t>
        </m:r>
        <m:r>
          <m:t>10</m:t>
        </m:r>
        <m:r>
          <m:rPr>
            <m:sty m:val="p"/>
          </m:rPr>
          <m:t>/</m:t>
        </m:r>
        <m:r>
          <m:t>7</m:t>
        </m:r>
        <m:r>
          <m:rPr>
            <m:sty m:val="p"/>
          </m:rPr>
          <m:t>⌉</m:t>
        </m:r>
        <m:r>
          <m:rPr>
            <m:sty m:val="p"/>
          </m:rPr>
          <m:t>=</m:t>
        </m:r>
        <m:r>
          <m:t>2</m:t>
        </m:r>
      </m:oMath>
      <w:r>
        <w:t xml:space="preserve"> </w:t>
      </w:r>
      <w:r>
        <w:t xml:space="preserve">bytes. Split into 7-bit groups:</w:t>
      </w:r>
      <w:r>
        <w:t xml:space="preserve"> </w:t>
      </w:r>
      <m:oMath>
        <m:r>
          <m:t>824</m:t>
        </m:r>
        <m:r>
          <m:rPr>
            <m:sty m:val="p"/>
          </m:rPr>
          <m:t>=</m:t>
        </m:r>
        <m:r>
          <m:t>6</m:t>
        </m:r>
        <m:r>
          <m:rPr>
            <m:sty m:val="p"/>
          </m:rPr>
          <m:t>×</m:t>
        </m:r>
        <m:r>
          <m:t>128</m:t>
        </m:r>
        <m:r>
          <m:rPr>
            <m:sty m:val="p"/>
          </m:rPr>
          <m:t>+</m:t>
        </m:r>
        <m:r>
          <m:t>56</m:t>
        </m:r>
      </m:oMath>
      <w:r>
        <w:t xml:space="preserve">. Low group first with the continuation bit set:</w:t>
      </w:r>
      <w:r>
        <w:t xml:space="preserve"> </w:t>
      </w:r>
      <m:oMath>
        <m:r>
          <m:t>56</m:t>
        </m:r>
        <m:r>
          <m:rPr>
            <m:sty m:val="p"/>
          </m:rPr>
          <m:t>+</m:t>
        </m:r>
        <m:r>
          <m:t>128</m:t>
        </m:r>
        <m:r>
          <m:rPr>
            <m:sty m:val="p"/>
          </m:rPr>
          <m:t>=</m:t>
        </m:r>
        <m:r>
          <m:t>184</m:t>
        </m:r>
      </m:oMath>
      <w:r>
        <w:t xml:space="preserve"> </w:t>
      </w:r>
      <w:r>
        <w:t xml:space="preserve">=</w:t>
      </w:r>
      <w:r>
        <w:t xml:space="preserve"> </w:t>
      </w:r>
      <w:r>
        <w:rPr>
          <w:rStyle w:val="VerbatimChar"/>
        </w:rPr>
        <w:t xml:space="preserve">10111000</w:t>
      </w:r>
      <w:r>
        <w:t xml:space="preserve">; then</w:t>
      </w:r>
      <w:r>
        <w:t xml:space="preserve"> </w:t>
      </w:r>
      <w:r>
        <w:rPr>
          <w:rStyle w:val="VerbatimChar"/>
        </w:rPr>
        <w:t xml:space="preserve">00000110</w:t>
      </w:r>
      <w:r>
        <w:t xml:space="preserve"> </w:t>
      </w:r>
      <w:r>
        <w:t xml:space="preserve">(6, no continuation).</w:t>
      </w:r>
    </w:p>
    <w:p>
      <w:pPr>
        <w:numPr>
          <w:ilvl w:val="0"/>
          <w:numId w:val="1534"/>
        </w:numPr>
        <w:pStyle w:val="Compact"/>
      </w:pPr>
      <w:r>
        <w:t xml:space="preserve">5 fits in one byte:</w:t>
      </w:r>
      <w:r>
        <w:t xml:space="preserve"> </w:t>
      </w:r>
      <w:r>
        <w:rPr>
          <w:rStyle w:val="VerbatimChar"/>
        </w:rPr>
        <w:t xml:space="preserve">00000101</w:t>
      </w:r>
      <w:r>
        <w:t xml:space="preserve">.</w:t>
      </w:r>
    </w:p>
    <w:p>
      <w:pPr>
        <w:numPr>
          <w:ilvl w:val="0"/>
          <w:numId w:val="1534"/>
        </w:numPr>
        <w:pStyle w:val="Compact"/>
      </w:pPr>
      <w:r>
        <w:t xml:space="preserve">214577 has 18 bits (</w:t>
      </w:r>
      <m:oMath>
        <m:sSup>
          <m:e>
            <m:r>
              <m:t>2</m:t>
            </m:r>
          </m:e>
          <m:sup>
            <m:r>
              <m:t>17</m:t>
            </m:r>
          </m:sup>
        </m:sSup>
        <m:r>
          <m:rPr>
            <m:sty m:val="p"/>
          </m:rPr>
          <m:t>=</m:t>
        </m:r>
        <m:r>
          <m:t>131072</m:t>
        </m:r>
        <m:r>
          <m:rPr>
            <m:sty m:val="p"/>
          </m:rPr>
          <m:t>≤</m:t>
        </m:r>
        <m:r>
          <m:t>214577</m:t>
        </m:r>
        <m:r>
          <m:rPr>
            <m:sty m:val="p"/>
          </m:rPr>
          <m:t>&lt;</m:t>
        </m:r>
        <m:r>
          <m:t>262144</m:t>
        </m:r>
      </m:oMath>
      <w:r>
        <w:t xml:space="preserve">), so 3 bytes.</w:t>
      </w:r>
      <w:r>
        <w:t xml:space="preserve"> </w:t>
      </w:r>
      <m:oMath>
        <m:r>
          <m:t>214577</m:t>
        </m:r>
        <m:r>
          <m:rPr>
            <m:sty m:val="p"/>
          </m:rPr>
          <m:t>=</m:t>
        </m:r>
        <m:r>
          <m:t>13</m:t>
        </m:r>
        <m:r>
          <m:rPr>
            <m:sty m:val="p"/>
          </m:rPr>
          <m:t>×</m:t>
        </m:r>
        <m:r>
          <m:t>16384</m:t>
        </m:r>
        <m:r>
          <m:rPr>
            <m:sty m:val="p"/>
          </m:rPr>
          <m:t>+</m:t>
        </m:r>
        <m:r>
          <m:t>12</m:t>
        </m:r>
        <m:r>
          <m:rPr>
            <m:sty m:val="p"/>
          </m:rPr>
          <m:t>×</m:t>
        </m:r>
        <m:r>
          <m:t>128</m:t>
        </m:r>
        <m:r>
          <m:rPr>
            <m:sty m:val="p"/>
          </m:rPr>
          <m:t>+</m:t>
        </m:r>
        <m:r>
          <m:t>49</m:t>
        </m:r>
      </m:oMath>
      <w:r>
        <w:t xml:space="preserve">, giving</w:t>
      </w:r>
      <w:r>
        <w:t xml:space="preserve"> </w:t>
      </w:r>
      <w:r>
        <w:rPr>
          <w:rStyle w:val="VerbatimChar"/>
        </w:rPr>
        <w:t xml:space="preserve">10110001</w:t>
      </w:r>
      <w:r>
        <w:t xml:space="preserve"> </w:t>
      </w:r>
      <w:r>
        <w:t xml:space="preserve">(49 + 128),</w:t>
      </w:r>
      <w:r>
        <w:t xml:space="preserve"> </w:t>
      </w:r>
      <w:r>
        <w:rPr>
          <w:rStyle w:val="VerbatimChar"/>
        </w:rPr>
        <w:t xml:space="preserve">10001100</w:t>
      </w:r>
      <w:r>
        <w:t xml:space="preserve"> </w:t>
      </w:r>
      <w:r>
        <w:t xml:space="preserve">(12 + 128),</w:t>
      </w:r>
      <w:r>
        <w:t xml:space="preserve"> </w:t>
      </w:r>
      <w:r>
        <w:rPr>
          <w:rStyle w:val="VerbatimChar"/>
        </w:rPr>
        <w:t xml:space="preserve">00001101</w:t>
      </w:r>
      <w:r>
        <w:t xml:space="preserve"> </w:t>
      </w:r>
      <w:r>
        <w:t xml:space="preserve">(13).</w:t>
      </w:r>
    </w:p>
    <w:p>
      <w:pPr>
        <w:numPr>
          <w:ilvl w:val="0"/>
          <w:numId w:val="1534"/>
        </w:numPr>
        <w:pStyle w:val="Compact"/>
      </w:pPr>
      <w:r>
        <w:t xml:space="preserve">Total: 6 bytes instead of 12.</w:t>
      </w:r>
    </w:p>
    <w:p>
      <w:pPr>
        <w:pStyle w:val="CalloutExample"/>
      </w:pPr>
      <w:r>
        <w:rPr>
          <w:bCs/>
          <w:b/>
        </w:rPr>
        <w:t xml:space="preserve">Interpretation.</w:t>
      </w:r>
      <w:r>
        <w:t xml:space="preserve"> </w:t>
      </w:r>
      <w:r>
        <w:t xml:space="preserve">Half the space is saved even here; frequent terms, whose gaps fit in one byte, save 75%.</w:t>
      </w:r>
      <w:r>
        <w:t xml:space="preserve"> </w:t>
      </w:r>
      <w:r>
        <w:rPr>
          <w:bCs/>
          <w:b/>
        </w:rPr>
        <w:t xml:space="preserve">Engineering implication.</w:t>
      </w:r>
      <w:r>
        <w:t xml:space="preserve"> </w:t>
      </w:r>
      <w:r>
        <w:t xml:space="preserve">The postings that make queries slow (common terms) compress best, so compression cuts I/O on the hot path, not just disk.</w:t>
      </w:r>
    </w:p>
    <w:p>
      <w:pPr>
        <w:pStyle w:val="BodyText"/>
      </w:pPr>
      <w:r>
        <w:t xml:space="preserve">The listing below implements delta + VByte, checks the worked example, and measures the average bytes per posting on a synthetic collection of 200,000 documents whose term document frequencies follow Zipf’s law (a few very common terms, a long tail of rare ones).</w:t>
      </w:r>
    </w:p>
    <w:p>
      <w:pPr>
        <w:pStyle w:val="SourceCode"/>
      </w:pPr>
      <w:r>
        <w:rPr>
          <w:rStyle w:val="CommentTok"/>
        </w:rPr>
        <w:t xml:space="preserve">"""Delta (gap) encoding + variable-byte (VByte) compression of a postings list,</w:t>
      </w:r>
      <w:r>
        <w:br/>
      </w:r>
      <w:r>
        <w:rPr>
          <w:rStyle w:val="CommentTok"/>
        </w:rPr>
        <w:t xml:space="preserve">and a measurement of bytes per posting on a synthetic Zipf-distributed collection."""</w:t>
      </w:r>
      <w:r>
        <w:br/>
      </w:r>
      <w:r>
        <w:rPr>
          <w:rStyle w:val="ImportTok"/>
        </w:rPr>
        <w:t xml:space="preserve">import</w:t>
      </w:r>
      <w:r>
        <w:rPr>
          <w:rStyle w:val="NormalTok"/>
        </w:rPr>
        <w:t xml:space="preserve"> random</w:t>
      </w:r>
      <w:r>
        <w:br/>
      </w:r>
      <w:r>
        <w:br/>
      </w:r>
      <w:r>
        <w:rPr>
          <w:rStyle w:val="KeywordTok"/>
        </w:rPr>
        <w:t xml:space="preserve">def</w:t>
      </w:r>
      <w:r>
        <w:rPr>
          <w:rStyle w:val="NormalTok"/>
        </w:rPr>
        <w:t xml:space="preserve"> vbyte_encode(n):</w:t>
      </w:r>
      <w:r>
        <w:br/>
      </w:r>
      <w:r>
        <w:rPr>
          <w:rStyle w:val="NormalTok"/>
        </w:rPr>
        <w:t xml:space="preserve">    </w:t>
      </w:r>
      <w:r>
        <w:rPr>
          <w:rStyle w:val="CommentTok"/>
        </w:rPr>
        <w:t xml:space="preserve">"""Lucene-style VInt: 7 data bits per byte, low-order group first,</w:t>
      </w:r>
      <w:r>
        <w:br/>
      </w:r>
      <w:r>
        <w:rPr>
          <w:rStyle w:val="CommentTok"/>
        </w:rPr>
        <w:t xml:space="preserve">    high bit = 1 means 'more bytes follow'."""</w:t>
      </w:r>
      <w:r>
        <w:br/>
      </w:r>
      <w:r>
        <w:rPr>
          <w:rStyle w:val="NormalTok"/>
        </w:rPr>
        <w:t xml:space="preserve">    out </w:t>
      </w:r>
      <w:r>
        <w:rPr>
          <w:rStyle w:val="OperatorTok"/>
        </w:rPr>
        <w:t xml:space="preserve">=</w:t>
      </w:r>
      <w:r>
        <w:rPr>
          <w:rStyle w:val="NormalTok"/>
        </w:rPr>
        <w:t xml:space="preserve"> </w:t>
      </w:r>
      <w:r>
        <w:rPr>
          <w:rStyle w:val="BuiltInTok"/>
        </w:rPr>
        <w:t xml:space="preserve">bytearray</w:t>
      </w:r>
      <w:r>
        <w:rPr>
          <w:rStyle w:val="NormalTok"/>
        </w:rPr>
        <w:t xml:space="preserve">()</w:t>
      </w:r>
      <w:r>
        <w:br/>
      </w:r>
      <w:r>
        <w:rPr>
          <w:rStyle w:val="NormalTok"/>
        </w:rPr>
        <w:t xml:space="preserve">    </w:t>
      </w:r>
      <w:r>
        <w:rPr>
          <w:rStyle w:val="ControlFlowTok"/>
        </w:rPr>
        <w:t xml:space="preserve">while</w:t>
      </w:r>
      <w:r>
        <w:rPr>
          <w:rStyle w:val="NormalTok"/>
        </w:rPr>
        <w:t xml:space="preserve"> n </w:t>
      </w:r>
      <w:r>
        <w:rPr>
          <w:rStyle w:val="OperatorTok"/>
        </w:rPr>
        <w:t xml:space="preserve">&gt;=</w:t>
      </w:r>
      <w:r>
        <w:rPr>
          <w:rStyle w:val="NormalTok"/>
        </w:rPr>
        <w:t xml:space="preserve"> </w:t>
      </w:r>
      <w:r>
        <w:rPr>
          <w:rStyle w:val="BaseNTok"/>
        </w:rPr>
        <w:t xml:space="preserve">0x80</w:t>
      </w:r>
      <w:r>
        <w:rPr>
          <w:rStyle w:val="NormalTok"/>
        </w:rPr>
        <w:t xml:space="preserve">:</w:t>
      </w:r>
      <w:r>
        <w:br/>
      </w:r>
      <w:r>
        <w:rPr>
          <w:rStyle w:val="NormalTok"/>
        </w:rPr>
        <w:t xml:space="preserve">        out.append((n </w:t>
      </w:r>
      <w:r>
        <w:rPr>
          <w:rStyle w:val="OperatorTok"/>
        </w:rPr>
        <w:t xml:space="preserve">&amp;</w:t>
      </w:r>
      <w:r>
        <w:rPr>
          <w:rStyle w:val="NormalTok"/>
        </w:rPr>
        <w:t xml:space="preserve"> </w:t>
      </w:r>
      <w:r>
        <w:rPr>
          <w:rStyle w:val="BaseNTok"/>
        </w:rPr>
        <w:t xml:space="preserve">0x7F</w:t>
      </w:r>
      <w:r>
        <w:rPr>
          <w:rStyle w:val="NormalTok"/>
        </w:rPr>
        <w:t xml:space="preserve">) </w:t>
      </w:r>
      <w:r>
        <w:rPr>
          <w:rStyle w:val="OperatorTok"/>
        </w:rPr>
        <w:t xml:space="preserve">|</w:t>
      </w:r>
      <w:r>
        <w:rPr>
          <w:rStyle w:val="NormalTok"/>
        </w:rPr>
        <w:t xml:space="preserve"> </w:t>
      </w:r>
      <w:r>
        <w:rPr>
          <w:rStyle w:val="BaseNTok"/>
        </w:rPr>
        <w:t xml:space="preserve">0x80</w:t>
      </w:r>
      <w:r>
        <w:rPr>
          <w:rStyle w:val="NormalTok"/>
        </w:rPr>
        <w:t xml:space="preserve">)</w:t>
      </w:r>
      <w:r>
        <w:br/>
      </w:r>
      <w:r>
        <w:rPr>
          <w:rStyle w:val="NormalTok"/>
        </w:rPr>
        <w:t xml:space="preserve">        n </w:t>
      </w:r>
      <w:r>
        <w:rPr>
          <w:rStyle w:val="OperatorTok"/>
        </w:rPr>
        <w:t xml:space="preserve">&gt;&gt;=</w:t>
      </w:r>
      <w:r>
        <w:rPr>
          <w:rStyle w:val="NormalTok"/>
        </w:rPr>
        <w:t xml:space="preserve"> </w:t>
      </w:r>
      <w:r>
        <w:rPr>
          <w:rStyle w:val="DecValTok"/>
        </w:rPr>
        <w:t xml:space="preserve">7</w:t>
      </w:r>
      <w:r>
        <w:br/>
      </w:r>
      <w:r>
        <w:rPr>
          <w:rStyle w:val="NormalTok"/>
        </w:rPr>
        <w:t xml:space="preserve">    out.append(n)</w:t>
      </w:r>
      <w:r>
        <w:br/>
      </w:r>
      <w:r>
        <w:rPr>
          <w:rStyle w:val="NormalTok"/>
        </w:rPr>
        <w:t xml:space="preserve">    </w:t>
      </w:r>
      <w:r>
        <w:rPr>
          <w:rStyle w:val="ControlFlowTok"/>
        </w:rPr>
        <w:t xml:space="preserve">return</w:t>
      </w:r>
      <w:r>
        <w:rPr>
          <w:rStyle w:val="NormalTok"/>
        </w:rPr>
        <w:t xml:space="preserve"> </w:t>
      </w:r>
      <w:r>
        <w:rPr>
          <w:rStyle w:val="BuiltInTok"/>
        </w:rPr>
        <w:t xml:space="preserve">bytes</w:t>
      </w:r>
      <w:r>
        <w:rPr>
          <w:rStyle w:val="NormalTok"/>
        </w:rPr>
        <w:t xml:space="preserve">(out)</w:t>
      </w:r>
      <w:r>
        <w:br/>
      </w:r>
      <w:r>
        <w:br/>
      </w:r>
      <w:r>
        <w:rPr>
          <w:rStyle w:val="KeywordTok"/>
        </w:rPr>
        <w:t xml:space="preserve">def</w:t>
      </w:r>
      <w:r>
        <w:rPr>
          <w:rStyle w:val="NormalTok"/>
        </w:rPr>
        <w:t xml:space="preserve"> vbyte_decode_all(data):</w:t>
      </w:r>
      <w:r>
        <w:br/>
      </w:r>
      <w:r>
        <w:rPr>
          <w:rStyle w:val="NormalTok"/>
        </w:rPr>
        <w:t xml:space="preserve">    nums, n, shift </w:t>
      </w:r>
      <w:r>
        <w:rPr>
          <w:rStyle w:val="OperatorTok"/>
        </w:rPr>
        <w:t xml:space="preserve">=</w:t>
      </w:r>
      <w:r>
        <w:rPr>
          <w:rStyle w:val="NormalTok"/>
        </w:rPr>
        <w:t xml:space="preserve"> [], </w:t>
      </w:r>
      <w:r>
        <w:rPr>
          <w:rStyle w:val="DecValTok"/>
        </w:rPr>
        <w:t xml:space="preserve">0</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byte </w:t>
      </w:r>
      <w:r>
        <w:rPr>
          <w:rStyle w:val="KeywordTok"/>
        </w:rPr>
        <w:t xml:space="preserve">in</w:t>
      </w:r>
      <w:r>
        <w:rPr>
          <w:rStyle w:val="NormalTok"/>
        </w:rPr>
        <w:t xml:space="preserve"> data:</w:t>
      </w:r>
      <w:r>
        <w:br/>
      </w:r>
      <w:r>
        <w:rPr>
          <w:rStyle w:val="NormalTok"/>
        </w:rPr>
        <w:t xml:space="preserve">        n </w:t>
      </w:r>
      <w:r>
        <w:rPr>
          <w:rStyle w:val="OperatorTok"/>
        </w:rPr>
        <w:t xml:space="preserve">|=</w:t>
      </w:r>
      <w:r>
        <w:rPr>
          <w:rStyle w:val="NormalTok"/>
        </w:rPr>
        <w:t xml:space="preserve"> (byte </w:t>
      </w:r>
      <w:r>
        <w:rPr>
          <w:rStyle w:val="OperatorTok"/>
        </w:rPr>
        <w:t xml:space="preserve">&amp;</w:t>
      </w:r>
      <w:r>
        <w:rPr>
          <w:rStyle w:val="NormalTok"/>
        </w:rPr>
        <w:t xml:space="preserve"> </w:t>
      </w:r>
      <w:r>
        <w:rPr>
          <w:rStyle w:val="BaseNTok"/>
        </w:rPr>
        <w:t xml:space="preserve">0x7F</w:t>
      </w:r>
      <w:r>
        <w:rPr>
          <w:rStyle w:val="NormalTok"/>
        </w:rPr>
        <w:t xml:space="preserve">) </w:t>
      </w:r>
      <w:r>
        <w:rPr>
          <w:rStyle w:val="OperatorTok"/>
        </w:rPr>
        <w:t xml:space="preserve">&lt;&lt;</w:t>
      </w:r>
      <w:r>
        <w:rPr>
          <w:rStyle w:val="NormalTok"/>
        </w:rPr>
        <w:t xml:space="preserve"> shift</w:t>
      </w:r>
      <w:r>
        <w:br/>
      </w:r>
      <w:r>
        <w:rPr>
          <w:rStyle w:val="NormalTok"/>
        </w:rPr>
        <w:t xml:space="preserve">        </w:t>
      </w:r>
      <w:r>
        <w:rPr>
          <w:rStyle w:val="ControlFlowTok"/>
        </w:rPr>
        <w:t xml:space="preserve">if</w:t>
      </w:r>
      <w:r>
        <w:rPr>
          <w:rStyle w:val="NormalTok"/>
        </w:rPr>
        <w:t xml:space="preserve"> byte </w:t>
      </w:r>
      <w:r>
        <w:rPr>
          <w:rStyle w:val="OperatorTok"/>
        </w:rPr>
        <w:t xml:space="preserve">&amp;</w:t>
      </w:r>
      <w:r>
        <w:rPr>
          <w:rStyle w:val="NormalTok"/>
        </w:rPr>
        <w:t xml:space="preserve"> </w:t>
      </w:r>
      <w:r>
        <w:rPr>
          <w:rStyle w:val="BaseNTok"/>
        </w:rPr>
        <w:t xml:space="preserve">0x80</w:t>
      </w:r>
      <w:r>
        <w:rPr>
          <w:rStyle w:val="NormalTok"/>
        </w:rPr>
        <w:t xml:space="preserve">:</w:t>
      </w:r>
      <w:r>
        <w:br/>
      </w:r>
      <w:r>
        <w:rPr>
          <w:rStyle w:val="NormalTok"/>
        </w:rPr>
        <w:t xml:space="preserve">            shift </w:t>
      </w:r>
      <w:r>
        <w:rPr>
          <w:rStyle w:val="OperatorTok"/>
        </w:rPr>
        <w:t xml:space="preserve">+=</w:t>
      </w:r>
      <w:r>
        <w:rPr>
          <w:rStyle w:val="NormalTok"/>
        </w:rPr>
        <w:t xml:space="preserve"> </w:t>
      </w:r>
      <w:r>
        <w:rPr>
          <w:rStyle w:val="DecValTok"/>
        </w:rPr>
        <w:t xml:space="preserve">7</w:t>
      </w:r>
      <w:r>
        <w:br/>
      </w:r>
      <w:r>
        <w:rPr>
          <w:rStyle w:val="NormalTok"/>
        </w:rPr>
        <w:t xml:space="preserve">        </w:t>
      </w:r>
      <w:r>
        <w:rPr>
          <w:rStyle w:val="ControlFlowTok"/>
        </w:rPr>
        <w:t xml:space="preserve">else</w:t>
      </w:r>
      <w:r>
        <w:rPr>
          <w:rStyle w:val="NormalTok"/>
        </w:rPr>
        <w:t xml:space="preserve">:</w:t>
      </w:r>
      <w:r>
        <w:br/>
      </w:r>
      <w:r>
        <w:rPr>
          <w:rStyle w:val="NormalTok"/>
        </w:rPr>
        <w:t xml:space="preserve">            nums.append(n)</w:t>
      </w:r>
      <w:r>
        <w:br/>
      </w:r>
      <w:r>
        <w:rPr>
          <w:rStyle w:val="NormalTok"/>
        </w:rPr>
        <w:t xml:space="preserve">            n, shift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br/>
      </w:r>
      <w:r>
        <w:rPr>
          <w:rStyle w:val="NormalTok"/>
        </w:rPr>
        <w:t xml:space="preserve">    </w:t>
      </w:r>
      <w:r>
        <w:rPr>
          <w:rStyle w:val="ControlFlowTok"/>
        </w:rPr>
        <w:t xml:space="preserve">return</w:t>
      </w:r>
      <w:r>
        <w:rPr>
          <w:rStyle w:val="NormalTok"/>
        </w:rPr>
        <w:t xml:space="preserve"> nums</w:t>
      </w:r>
      <w:r>
        <w:br/>
      </w:r>
      <w:r>
        <w:br/>
      </w:r>
      <w:r>
        <w:rPr>
          <w:rStyle w:val="KeywordTok"/>
        </w:rPr>
        <w:t xml:space="preserve">def</w:t>
      </w:r>
      <w:r>
        <w:rPr>
          <w:rStyle w:val="NormalTok"/>
        </w:rPr>
        <w:t xml:space="preserve"> compress_postings(doc_ids):</w:t>
      </w:r>
      <w:r>
        <w:br/>
      </w:r>
      <w:r>
        <w:rPr>
          <w:rStyle w:val="NormalTok"/>
        </w:rPr>
        <w:t xml:space="preserve">    gaps </w:t>
      </w:r>
      <w:r>
        <w:rPr>
          <w:rStyle w:val="OperatorTok"/>
        </w:rPr>
        <w:t xml:space="preserve">=</w:t>
      </w:r>
      <w:r>
        <w:rPr>
          <w:rStyle w:val="NormalTok"/>
        </w:rPr>
        <w:t xml:space="preserve"> [doc_ids[</w:t>
      </w:r>
      <w:r>
        <w:rPr>
          <w:rStyle w:val="DecValTok"/>
        </w:rPr>
        <w:t xml:space="preserve">0</w:t>
      </w:r>
      <w:r>
        <w:rPr>
          <w:rStyle w:val="NormalTok"/>
        </w:rPr>
        <w:t xml:space="preserve">]] </w:t>
      </w:r>
      <w:r>
        <w:rPr>
          <w:rStyle w:val="OperatorTok"/>
        </w:rPr>
        <w:t xml:space="preserve">+</w:t>
      </w:r>
      <w:r>
        <w:rPr>
          <w:rStyle w:val="NormalTok"/>
        </w:rPr>
        <w:t xml:space="preserve"> [b </w:t>
      </w:r>
      <w:r>
        <w:rPr>
          <w:rStyle w:val="OperatorTok"/>
        </w:rPr>
        <w:t xml:space="preserve">-</w:t>
      </w:r>
      <w:r>
        <w:rPr>
          <w:rStyle w:val="NormalTok"/>
        </w:rPr>
        <w:t xml:space="preserve"> a </w:t>
      </w:r>
      <w:r>
        <w:rPr>
          <w:rStyle w:val="ControlFlowTok"/>
        </w:rPr>
        <w:t xml:space="preserve">for</w:t>
      </w:r>
      <w:r>
        <w:rPr>
          <w:rStyle w:val="NormalTok"/>
        </w:rPr>
        <w:t xml:space="preserve"> a, b </w:t>
      </w:r>
      <w:r>
        <w:rPr>
          <w:rStyle w:val="KeywordTok"/>
        </w:rPr>
        <w:t xml:space="preserve">in</w:t>
      </w:r>
      <w:r>
        <w:rPr>
          <w:rStyle w:val="NormalTok"/>
        </w:rPr>
        <w:t xml:space="preserve"> </w:t>
      </w:r>
      <w:r>
        <w:rPr>
          <w:rStyle w:val="BuiltInTok"/>
        </w:rPr>
        <w:t xml:space="preserve">zip</w:t>
      </w:r>
      <w:r>
        <w:rPr>
          <w:rStyle w:val="NormalTok"/>
        </w:rPr>
        <w:t xml:space="preserve">(doc_ids, doc_ids[</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b""</w:t>
      </w:r>
      <w:r>
        <w:rPr>
          <w:rStyle w:val="NormalTok"/>
        </w:rPr>
        <w:t xml:space="preserve">.join(vbyte_encode(g) </w:t>
      </w:r>
      <w:r>
        <w:rPr>
          <w:rStyle w:val="ControlFlowTok"/>
        </w:rPr>
        <w:t xml:space="preserve">for</w:t>
      </w:r>
      <w:r>
        <w:rPr>
          <w:rStyle w:val="NormalTok"/>
        </w:rPr>
        <w:t xml:space="preserve"> g </w:t>
      </w:r>
      <w:r>
        <w:rPr>
          <w:rStyle w:val="KeywordTok"/>
        </w:rPr>
        <w:t xml:space="preserve">in</w:t>
      </w:r>
      <w:r>
        <w:rPr>
          <w:rStyle w:val="NormalTok"/>
        </w:rPr>
        <w:t xml:space="preserve"> gaps)</w:t>
      </w:r>
      <w:r>
        <w:br/>
      </w:r>
      <w:r>
        <w:br/>
      </w:r>
      <w:r>
        <w:rPr>
          <w:rStyle w:val="KeywordTok"/>
        </w:rPr>
        <w:t xml:space="preserve">def</w:t>
      </w:r>
      <w:r>
        <w:rPr>
          <w:rStyle w:val="NormalTok"/>
        </w:rPr>
        <w:t xml:space="preserve"> decompress_postings(data):</w:t>
      </w:r>
      <w:r>
        <w:br/>
      </w:r>
      <w:r>
        <w:rPr>
          <w:rStyle w:val="NormalTok"/>
        </w:rPr>
        <w:t xml:space="preserve">    doc_ids, total </w:t>
      </w:r>
      <w:r>
        <w:rPr>
          <w:rStyle w:val="OperatorTok"/>
        </w:rPr>
        <w:t xml:space="preserve">=</w:t>
      </w:r>
      <w:r>
        <w:rPr>
          <w:rStyle w:val="NormalTok"/>
        </w:rPr>
        <w:t xml:space="preserve"> [], </w:t>
      </w:r>
      <w:r>
        <w:rPr>
          <w:rStyle w:val="DecValTok"/>
        </w:rPr>
        <w:t xml:space="preserve">0</w:t>
      </w:r>
      <w:r>
        <w:br/>
      </w:r>
      <w:r>
        <w:rPr>
          <w:rStyle w:val="NormalTok"/>
        </w:rPr>
        <w:t xml:space="preserve">    </w:t>
      </w:r>
      <w:r>
        <w:rPr>
          <w:rStyle w:val="ControlFlowTok"/>
        </w:rPr>
        <w:t xml:space="preserve">for</w:t>
      </w:r>
      <w:r>
        <w:rPr>
          <w:rStyle w:val="NormalTok"/>
        </w:rPr>
        <w:t xml:space="preserve"> gap </w:t>
      </w:r>
      <w:r>
        <w:rPr>
          <w:rStyle w:val="KeywordTok"/>
        </w:rPr>
        <w:t xml:space="preserve">in</w:t>
      </w:r>
      <w:r>
        <w:rPr>
          <w:rStyle w:val="NormalTok"/>
        </w:rPr>
        <w:t xml:space="preserve"> vbyte_decode_all(data):</w:t>
      </w:r>
      <w:r>
        <w:br/>
      </w:r>
      <w:r>
        <w:rPr>
          <w:rStyle w:val="NormalTok"/>
        </w:rPr>
        <w:t xml:space="preserve">        total </w:t>
      </w:r>
      <w:r>
        <w:rPr>
          <w:rStyle w:val="OperatorTok"/>
        </w:rPr>
        <w:t xml:space="preserve">+=</w:t>
      </w:r>
      <w:r>
        <w:rPr>
          <w:rStyle w:val="NormalTok"/>
        </w:rPr>
        <w:t xml:space="preserve"> gap</w:t>
      </w:r>
      <w:r>
        <w:br/>
      </w:r>
      <w:r>
        <w:rPr>
          <w:rStyle w:val="NormalTok"/>
        </w:rPr>
        <w:t xml:space="preserve">        doc_ids.append(total)</w:t>
      </w:r>
      <w:r>
        <w:br/>
      </w:r>
      <w:r>
        <w:rPr>
          <w:rStyle w:val="NormalTok"/>
        </w:rPr>
        <w:t xml:space="preserve">    </w:t>
      </w:r>
      <w:r>
        <w:rPr>
          <w:rStyle w:val="ControlFlowTok"/>
        </w:rPr>
        <w:t xml:space="preserve">return</w:t>
      </w:r>
      <w:r>
        <w:rPr>
          <w:rStyle w:val="NormalTok"/>
        </w:rPr>
        <w:t xml:space="preserve"> doc_ids</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ids </w:t>
      </w:r>
      <w:r>
        <w:rPr>
          <w:rStyle w:val="OperatorTok"/>
        </w:rPr>
        <w:t xml:space="preserve">=</w:t>
      </w:r>
      <w:r>
        <w:rPr>
          <w:rStyle w:val="NormalTok"/>
        </w:rPr>
        <w:t xml:space="preserve"> [</w:t>
      </w:r>
      <w:r>
        <w:rPr>
          <w:rStyle w:val="DecValTok"/>
        </w:rPr>
        <w:t xml:space="preserve">824</w:t>
      </w:r>
      <w:r>
        <w:rPr>
          <w:rStyle w:val="NormalTok"/>
        </w:rPr>
        <w:t xml:space="preserve">, </w:t>
      </w:r>
      <w:r>
        <w:rPr>
          <w:rStyle w:val="DecValTok"/>
        </w:rPr>
        <w:t xml:space="preserve">829</w:t>
      </w:r>
      <w:r>
        <w:rPr>
          <w:rStyle w:val="NormalTok"/>
        </w:rPr>
        <w:t xml:space="preserve">, </w:t>
      </w:r>
      <w:r>
        <w:rPr>
          <w:rStyle w:val="DecValTok"/>
        </w:rPr>
        <w:t xml:space="preserve">215406</w:t>
      </w:r>
      <w:r>
        <w:rPr>
          <w:rStyle w:val="NormalTok"/>
        </w:rPr>
        <w:t xml:space="preserve">]            </w:t>
      </w:r>
      <w:r>
        <w:rPr>
          <w:rStyle w:val="CommentTok"/>
        </w:rPr>
        <w:t xml:space="preserve"># the example used in Manning et al. (2008), ch. 5</w:t>
      </w:r>
      <w:r>
        <w:br/>
      </w:r>
      <w:r>
        <w:rPr>
          <w:rStyle w:val="NormalTok"/>
        </w:rPr>
        <w:t xml:space="preserve">    blob </w:t>
      </w:r>
      <w:r>
        <w:rPr>
          <w:rStyle w:val="OperatorTok"/>
        </w:rPr>
        <w:t xml:space="preserve">=</w:t>
      </w:r>
      <w:r>
        <w:rPr>
          <w:rStyle w:val="NormalTok"/>
        </w:rPr>
        <w:t xml:space="preserve"> compress_postings(ids)</w:t>
      </w:r>
      <w:r>
        <w:br/>
      </w:r>
      <w:r>
        <w:rPr>
          <w:rStyle w:val="NormalTok"/>
        </w:rPr>
        <w:t xml:space="preserve">    </w:t>
      </w:r>
      <w:r>
        <w:rPr>
          <w:rStyle w:val="BuiltInTok"/>
        </w:rPr>
        <w:t xml:space="preserve">print</w:t>
      </w:r>
      <w:r>
        <w:rPr>
          <w:rStyle w:val="NormalTok"/>
        </w:rPr>
        <w:t xml:space="preserve">(</w:t>
      </w:r>
      <w:r>
        <w:rPr>
          <w:rStyle w:val="StringTok"/>
        </w:rPr>
        <w:t xml:space="preserve">"gaps:"</w:t>
      </w:r>
      <w:r>
        <w:rPr>
          <w:rStyle w:val="NormalTok"/>
        </w:rPr>
        <w:t xml:space="preserve">, [ids[</w:t>
      </w:r>
      <w:r>
        <w:rPr>
          <w:rStyle w:val="DecValTok"/>
        </w:rPr>
        <w:t xml:space="preserve">0</w:t>
      </w:r>
      <w:r>
        <w:rPr>
          <w:rStyle w:val="NormalTok"/>
        </w:rPr>
        <w:t xml:space="preserve">]] </w:t>
      </w:r>
      <w:r>
        <w:rPr>
          <w:rStyle w:val="OperatorTok"/>
        </w:rPr>
        <w:t xml:space="preserve">+</w:t>
      </w:r>
      <w:r>
        <w:rPr>
          <w:rStyle w:val="NormalTok"/>
        </w:rPr>
        <w:t xml:space="preserve"> [b </w:t>
      </w:r>
      <w:r>
        <w:rPr>
          <w:rStyle w:val="OperatorTok"/>
        </w:rPr>
        <w:t xml:space="preserve">-</w:t>
      </w:r>
      <w:r>
        <w:rPr>
          <w:rStyle w:val="NormalTok"/>
        </w:rPr>
        <w:t xml:space="preserve"> a </w:t>
      </w:r>
      <w:r>
        <w:rPr>
          <w:rStyle w:val="ControlFlowTok"/>
        </w:rPr>
        <w:t xml:space="preserve">for</w:t>
      </w:r>
      <w:r>
        <w:rPr>
          <w:rStyle w:val="NormalTok"/>
        </w:rPr>
        <w:t xml:space="preserve"> a, b </w:t>
      </w:r>
      <w:r>
        <w:rPr>
          <w:rStyle w:val="KeywordTok"/>
        </w:rPr>
        <w:t xml:space="preserve">in</w:t>
      </w:r>
      <w:r>
        <w:rPr>
          <w:rStyle w:val="NormalTok"/>
        </w:rPr>
        <w:t xml:space="preserve"> </w:t>
      </w:r>
      <w:r>
        <w:rPr>
          <w:rStyle w:val="BuiltInTok"/>
        </w:rPr>
        <w:t xml:space="preserve">zip</w:t>
      </w:r>
      <w:r>
        <w:rPr>
          <w:rStyle w:val="NormalTok"/>
        </w:rPr>
        <w:t xml:space="preserve">(ids, ids[</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"bytes:"</w:t>
      </w:r>
      <w:r>
        <w:rPr>
          <w:rStyle w:val="NormalTok"/>
        </w:rPr>
        <w:t xml:space="preserve">, </w:t>
      </w:r>
      <w:r>
        <w:rPr>
          <w:rStyle w:val="StringTok"/>
        </w:rPr>
        <w:t xml:space="preserve">" "</w:t>
      </w:r>
      <w:r>
        <w:rPr>
          <w:rStyle w:val="NormalTok"/>
        </w:rPr>
        <w:t xml:space="preserve">.join(</w:t>
      </w:r>
      <w:r>
        <w:rPr>
          <w:rStyle w:val="SpecialStringTok"/>
        </w:rPr>
        <w:t xml:space="preserve">f"</w:t>
      </w:r>
      <w:r>
        <w:rPr>
          <w:rStyle w:val="SpecialCharTok"/>
        </w:rPr>
        <w:t xml:space="preserve">{</w:t>
      </w:r>
      <w:r>
        <w:rPr>
          <w:rStyle w:val="NormalTok"/>
        </w:rPr>
        <w:t xml:space="preserve">b</w:t>
      </w:r>
      <w:r>
        <w:rPr>
          <w:rStyle w:val="SpecialCharTok"/>
        </w:rPr>
        <w:t xml:space="preserve">:08b}</w:t>
      </w:r>
      <w:r>
        <w:rPr>
          <w:rStyle w:val="SpecialStringTok"/>
        </w:rPr>
        <w:t xml:space="preserve">"</w:t>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blob), </w:t>
      </w:r>
      <w:r>
        <w:rPr>
          <w:rStyle w:val="SpecialStringTok"/>
        </w:rPr>
        <w:t xml:space="preserve">f"(</w:t>
      </w:r>
      <w:r>
        <w:rPr>
          <w:rStyle w:val="SpecialCharTok"/>
        </w:rPr>
        <w:t xml:space="preserve">{</w:t>
      </w:r>
      <w:r>
        <w:rPr>
          <w:rStyle w:val="BuiltInTok"/>
        </w:rPr>
        <w:t xml:space="preserve">len</w:t>
      </w:r>
      <w:r>
        <w:rPr>
          <w:rStyle w:val="NormalTok"/>
        </w:rPr>
        <w:t xml:space="preserve">(blob)</w:t>
      </w:r>
      <w:r>
        <w:rPr>
          <w:rStyle w:val="SpecialCharTok"/>
        </w:rPr>
        <w:t xml:space="preserve">}</w:t>
      </w:r>
      <w:r>
        <w:rPr>
          <w:rStyle w:val="SpecialStringTok"/>
        </w:rPr>
        <w:t xml:space="preserve"> bytes vs </w:t>
      </w:r>
      <w:r>
        <w:rPr>
          <w:rStyle w:val="SpecialCharTok"/>
        </w:rPr>
        <w:t xml:space="preserve">{</w:t>
      </w:r>
      <w:r>
        <w:rPr>
          <w:rStyle w:val="DecValTok"/>
        </w:rPr>
        <w:t xml:space="preserve">4</w:t>
      </w:r>
      <w:r>
        <w:rPr>
          <w:rStyle w:val="OperatorTok"/>
        </w:rPr>
        <w:t xml:space="preserve">*</w:t>
      </w:r>
      <w:r>
        <w:rPr>
          <w:rStyle w:val="BuiltInTok"/>
        </w:rPr>
        <w:t xml:space="preserve">len</w:t>
      </w:r>
      <w:r>
        <w:rPr>
          <w:rStyle w:val="NormalTok"/>
        </w:rPr>
        <w:t xml:space="preserve">(ids)</w:t>
      </w:r>
      <w:r>
        <w:rPr>
          <w:rStyle w:val="SpecialCharTok"/>
        </w:rPr>
        <w:t xml:space="preserve">}</w:t>
      </w:r>
      <w:r>
        <w:rPr>
          <w:rStyle w:val="SpecialStringTok"/>
        </w:rPr>
        <w:t xml:space="preserve"> raw)"</w:t>
      </w:r>
      <w:r>
        <w:rPr>
          <w:rStyle w:val="NormalTok"/>
        </w:rPr>
        <w:t xml:space="preserve">)</w:t>
      </w:r>
      <w:r>
        <w:br/>
      </w:r>
      <w:r>
        <w:rPr>
          <w:rStyle w:val="NormalTok"/>
        </w:rPr>
        <w:t xml:space="preserve">    </w:t>
      </w:r>
      <w:r>
        <w:rPr>
          <w:rStyle w:val="ControlFlowTok"/>
        </w:rPr>
        <w:t xml:space="preserve">assert</w:t>
      </w:r>
      <w:r>
        <w:rPr>
          <w:rStyle w:val="NormalTok"/>
        </w:rPr>
        <w:t xml:space="preserve"> decompress_postings(blob) </w:t>
      </w:r>
      <w:r>
        <w:rPr>
          <w:rStyle w:val="OperatorTok"/>
        </w:rPr>
        <w:t xml:space="preserve">==</w:t>
      </w:r>
      <w:r>
        <w:rPr>
          <w:rStyle w:val="NormalTok"/>
        </w:rPr>
        <w:t xml:space="preserve"> ids</w:t>
      </w:r>
      <w:r>
        <w:br/>
      </w:r>
      <w:r>
        <w:br/>
      </w:r>
      <w:r>
        <w:rPr>
          <w:rStyle w:val="NormalTok"/>
        </w:rPr>
        <w:t xml:space="preserve">    </w:t>
      </w:r>
      <w:r>
        <w:rPr>
          <w:rStyle w:val="CommentTok"/>
        </w:rPr>
        <w:t xml:space="preserve"># Synthetic collection: N docs, vocabulary with Zipfian document frequencies.</w:t>
      </w:r>
      <w:r>
        <w:br/>
      </w:r>
      <w:r>
        <w:rPr>
          <w:rStyle w:val="NormalTok"/>
        </w:rPr>
        <w:t xml:space="preserve">    random.seed(</w:t>
      </w:r>
      <w:r>
        <w:rPr>
          <w:rStyle w:val="DecValTok"/>
        </w:rPr>
        <w:t xml:space="preserve">16</w:t>
      </w:r>
      <w:r>
        <w:rPr>
          <w:rStyle w:val="NormalTok"/>
        </w:rPr>
        <w:t xml:space="preserve">)</w:t>
      </w:r>
      <w:r>
        <w:br/>
      </w:r>
      <w:r>
        <w:rPr>
          <w:rStyle w:val="NormalTok"/>
        </w:rPr>
        <w:t xml:space="preserve">    N, M, total_postings_target </w:t>
      </w:r>
      <w:r>
        <w:rPr>
          <w:rStyle w:val="OperatorTok"/>
        </w:rPr>
        <w:t xml:space="preserve">=</w:t>
      </w:r>
      <w:r>
        <w:rPr>
          <w:rStyle w:val="NormalTok"/>
        </w:rPr>
        <w:t xml:space="preserve"> </w:t>
      </w:r>
      <w:r>
        <w:rPr>
          <w:rStyle w:val="DecValTok"/>
        </w:rPr>
        <w:t xml:space="preserve">200_000</w:t>
      </w:r>
      <w:r>
        <w:rPr>
          <w:rStyle w:val="NormalTok"/>
        </w:rPr>
        <w:t xml:space="preserve">, </w:t>
      </w:r>
      <w:r>
        <w:rPr>
          <w:rStyle w:val="DecValTok"/>
        </w:rPr>
        <w:t xml:space="preserve">50_000</w:t>
      </w:r>
      <w:r>
        <w:rPr>
          <w:rStyle w:val="NormalTok"/>
        </w:rPr>
        <w:t xml:space="preserve">, </w:t>
      </w:r>
      <w:r>
        <w:rPr>
          <w:rStyle w:val="DecValTok"/>
        </w:rPr>
        <w:t xml:space="preserve">10_000_000</w:t>
      </w:r>
      <w:r>
        <w:br/>
      </w:r>
      <w:r>
        <w:rPr>
          <w:rStyle w:val="NormalTok"/>
        </w:rPr>
        <w:t xml:space="preserve">    weights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M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Zipf, exponent 1</w:t>
      </w:r>
      <w:r>
        <w:br/>
      </w:r>
      <w:r>
        <w:rPr>
          <w:rStyle w:val="NormalTok"/>
        </w:rPr>
        <w:t xml:space="preserve">    scale </w:t>
      </w:r>
      <w:r>
        <w:rPr>
          <w:rStyle w:val="OperatorTok"/>
        </w:rPr>
        <w:t xml:space="preserve">=</w:t>
      </w:r>
      <w:r>
        <w:rPr>
          <w:rStyle w:val="NormalTok"/>
        </w:rPr>
        <w:t xml:space="preserve"> total_postings_target </w:t>
      </w:r>
      <w:r>
        <w:rPr>
          <w:rStyle w:val="OperatorTok"/>
        </w:rPr>
        <w:t xml:space="preserve">/</w:t>
      </w:r>
      <w:r>
        <w:rPr>
          <w:rStyle w:val="NormalTok"/>
        </w:rPr>
        <w:t xml:space="preserve"> </w:t>
      </w:r>
      <w:r>
        <w:rPr>
          <w:rStyle w:val="BuiltInTok"/>
        </w:rPr>
        <w:t xml:space="preserve">sum</w:t>
      </w:r>
      <w:r>
        <w:rPr>
          <w:rStyle w:val="NormalTok"/>
        </w:rPr>
        <w:t xml:space="preserve">(weights)</w:t>
      </w:r>
      <w:r>
        <w:br/>
      </w:r>
      <w:r>
        <w:rPr>
          <w:rStyle w:val="NormalTok"/>
        </w:rPr>
        <w:t xml:space="preserve">    raw_bytes </w:t>
      </w:r>
      <w:r>
        <w:rPr>
          <w:rStyle w:val="OperatorTok"/>
        </w:rPr>
        <w:t xml:space="preserve">=</w:t>
      </w:r>
      <w:r>
        <w:rPr>
          <w:rStyle w:val="NormalTok"/>
        </w:rPr>
        <w:t xml:space="preserve"> vb_bytes </w:t>
      </w:r>
      <w:r>
        <w:rPr>
          <w:rStyle w:val="OperatorTok"/>
        </w:rPr>
        <w:t xml:space="preserve">=</w:t>
      </w:r>
      <w:r>
        <w:rPr>
          <w:rStyle w:val="NormalTok"/>
        </w:rPr>
        <w:t xml:space="preserve"> postings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w </w:t>
      </w:r>
      <w:r>
        <w:rPr>
          <w:rStyle w:val="KeywordTok"/>
        </w:rPr>
        <w:t xml:space="preserve">in</w:t>
      </w:r>
      <w:r>
        <w:rPr>
          <w:rStyle w:val="NormalTok"/>
        </w:rPr>
        <w:t xml:space="preserve"> weights:</w:t>
      </w:r>
      <w:r>
        <w:br/>
      </w:r>
      <w:r>
        <w:rPr>
          <w:rStyle w:val="NormalTok"/>
        </w:rPr>
        <w:t xml:space="preserve">        df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1</w:t>
      </w:r>
      <w:r>
        <w:rPr>
          <w:rStyle w:val="NormalTok"/>
        </w:rPr>
        <w:t xml:space="preserve">, </w:t>
      </w:r>
      <w:r>
        <w:rPr>
          <w:rStyle w:val="BuiltInTok"/>
        </w:rPr>
        <w:t xml:space="preserve">min</w:t>
      </w:r>
      <w:r>
        <w:rPr>
          <w:rStyle w:val="NormalTok"/>
        </w:rPr>
        <w:t xml:space="preserve">(N, </w:t>
      </w:r>
      <w:r>
        <w:rPr>
          <w:rStyle w:val="BuiltInTok"/>
        </w:rPr>
        <w:t xml:space="preserve">int</w:t>
      </w:r>
      <w:r>
        <w:rPr>
          <w:rStyle w:val="NormalTok"/>
        </w:rPr>
        <w:t xml:space="preserve">(w </w:t>
      </w:r>
      <w:r>
        <w:rPr>
          <w:rStyle w:val="OperatorTok"/>
        </w:rPr>
        <w:t xml:space="preserve">*</w:t>
      </w:r>
      <w:r>
        <w:rPr>
          <w:rStyle w:val="NormalTok"/>
        </w:rPr>
        <w:t xml:space="preserve"> scale)))</w:t>
      </w:r>
      <w:r>
        <w:br/>
      </w:r>
      <w:r>
        <w:rPr>
          <w:rStyle w:val="NormalTok"/>
        </w:rPr>
        <w:t xml:space="preserve">        doc_ids </w:t>
      </w:r>
      <w:r>
        <w:rPr>
          <w:rStyle w:val="OperatorTok"/>
        </w:rPr>
        <w:t xml:space="preserve">=</w:t>
      </w:r>
      <w:r>
        <w:rPr>
          <w:rStyle w:val="NormalTok"/>
        </w:rPr>
        <w:t xml:space="preserve"> </w:t>
      </w:r>
      <w:r>
        <w:rPr>
          <w:rStyle w:val="BuiltInTok"/>
        </w:rPr>
        <w:t xml:space="preserve">sorted</w:t>
      </w:r>
      <w:r>
        <w:rPr>
          <w:rStyle w:val="NormalTok"/>
        </w:rPr>
        <w:t xml:space="preserve">(random.sample(</w:t>
      </w:r>
      <w:r>
        <w:rPr>
          <w:rStyle w:val="BuiltInTok"/>
        </w:rPr>
        <w:t xml:space="preserve">range</w:t>
      </w:r>
      <w:r>
        <w:rPr>
          <w:rStyle w:val="NormalTok"/>
        </w:rPr>
        <w:t xml:space="preserve">(N), df))</w:t>
      </w:r>
      <w:r>
        <w:br/>
      </w:r>
      <w:r>
        <w:rPr>
          <w:rStyle w:val="NormalTok"/>
        </w:rPr>
        <w:t xml:space="preserve">        vb_bytes </w:t>
      </w:r>
      <w:r>
        <w:rPr>
          <w:rStyle w:val="OperatorTok"/>
        </w:rPr>
        <w:t xml:space="preserve">+=</w:t>
      </w:r>
      <w:r>
        <w:rPr>
          <w:rStyle w:val="NormalTok"/>
        </w:rPr>
        <w:t xml:space="preserve"> </w:t>
      </w:r>
      <w:r>
        <w:rPr>
          <w:rStyle w:val="BuiltInTok"/>
        </w:rPr>
        <w:t xml:space="preserve">len</w:t>
      </w:r>
      <w:r>
        <w:rPr>
          <w:rStyle w:val="NormalTok"/>
        </w:rPr>
        <w:t xml:space="preserve">(compress_postings(doc_ids))</w:t>
      </w:r>
      <w:r>
        <w:br/>
      </w:r>
      <w:r>
        <w:rPr>
          <w:rStyle w:val="NormalTok"/>
        </w:rPr>
        <w:t xml:space="preserve">        raw_bytes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df</w:t>
      </w:r>
      <w:r>
        <w:br/>
      </w:r>
      <w:r>
        <w:rPr>
          <w:rStyle w:val="NormalTok"/>
        </w:rPr>
        <w:t xml:space="preserve">        postings </w:t>
      </w:r>
      <w:r>
        <w:rPr>
          <w:rStyle w:val="OperatorTok"/>
        </w:rPr>
        <w:t xml:space="preserve">+=</w:t>
      </w:r>
      <w:r>
        <w:rPr>
          <w:rStyle w:val="NormalTok"/>
        </w:rPr>
        <w:t xml:space="preserve"> df</w:t>
      </w:r>
      <w:r>
        <w:br/>
      </w:r>
      <w:r>
        <w:rPr>
          <w:rStyle w:val="NormalTok"/>
        </w:rPr>
        <w:t xml:space="preserve">    </w:t>
      </w:r>
      <w:r>
        <w:rPr>
          <w:rStyle w:val="BuiltInTok"/>
        </w:rPr>
        <w:t xml:space="preserve">print</w:t>
      </w:r>
      <w:r>
        <w:rPr>
          <w:rStyle w:val="NormalTok"/>
        </w:rPr>
        <w:t xml:space="preserve">(</w:t>
      </w:r>
      <w:r>
        <w:rPr>
          <w:rStyle w:val="SpecialStringTok"/>
        </w:rPr>
        <w:t xml:space="preserve">f"postings=</w:t>
      </w:r>
      <w:r>
        <w:rPr>
          <w:rStyle w:val="SpecialCharTok"/>
        </w:rPr>
        <w:t xml:space="preserve">{</w:t>
      </w:r>
      <w:r>
        <w:rPr>
          <w:rStyle w:val="NormalTok"/>
        </w:rPr>
        <w:t xml:space="preserve">postings</w:t>
      </w:r>
      <w:r>
        <w:rPr>
          <w:rStyle w:val="SpecialCharTok"/>
        </w:rPr>
        <w:t xml:space="preserve">:,}</w:t>
      </w:r>
      <w:r>
        <w:rPr>
          <w:rStyle w:val="SpecialStringTok"/>
        </w:rPr>
        <w:t xml:space="preserve">  raw=</w:t>
      </w:r>
      <w:r>
        <w:rPr>
          <w:rStyle w:val="SpecialCharTok"/>
        </w:rPr>
        <w:t xml:space="preserve">{</w:t>
      </w:r>
      <w:r>
        <w:rPr>
          <w:rStyle w:val="NormalTok"/>
        </w:rPr>
        <w:t xml:space="preserve">raw_bytes</w:t>
      </w:r>
      <w:r>
        <w:rPr>
          <w:rStyle w:val="OperatorTok"/>
        </w:rPr>
        <w:t xml:space="preserve">/</w:t>
      </w:r>
      <w:r>
        <w:rPr>
          <w:rStyle w:val="FloatTok"/>
        </w:rPr>
        <w:t xml:space="preserve">1e6</w:t>
      </w:r>
      <w:r>
        <w:rPr>
          <w:rStyle w:val="SpecialCharTok"/>
        </w:rPr>
        <w:t xml:space="preserve">:.1f}</w:t>
      </w:r>
      <w:r>
        <w:rPr>
          <w:rStyle w:val="SpecialStringTok"/>
        </w:rPr>
        <w:t xml:space="preserve"> MB  vbyte=</w:t>
      </w:r>
      <w:r>
        <w:rPr>
          <w:rStyle w:val="SpecialCharTok"/>
        </w:rPr>
        <w:t xml:space="preserve">{</w:t>
      </w:r>
      <w:r>
        <w:rPr>
          <w:rStyle w:val="NormalTok"/>
        </w:rPr>
        <w:t xml:space="preserve">vb_bytes</w:t>
      </w:r>
      <w:r>
        <w:rPr>
          <w:rStyle w:val="OperatorTok"/>
        </w:rPr>
        <w:t xml:space="preserve">/</w:t>
      </w:r>
      <w:r>
        <w:rPr>
          <w:rStyle w:val="FloatTok"/>
        </w:rPr>
        <w:t xml:space="preserve">1e6</w:t>
      </w:r>
      <w:r>
        <w:rPr>
          <w:rStyle w:val="SpecialCharTok"/>
        </w:rPr>
        <w:t xml:space="preserve">:.1f}</w:t>
      </w:r>
      <w:r>
        <w:rPr>
          <w:rStyle w:val="SpecialStringTok"/>
        </w:rPr>
        <w:t xml:space="preserve"> MB  "</w:t>
      </w:r>
      <w:r>
        <w:br/>
      </w:r>
      <w:r>
        <w:rPr>
          <w:rStyle w:val="NormalTok"/>
        </w:rPr>
        <w:t xml:space="preserve">          </w:t>
      </w:r>
      <w:r>
        <w:rPr>
          <w:rStyle w:val="SpecialStringTok"/>
        </w:rPr>
        <w:t xml:space="preserve">f"bytes/posting=</w:t>
      </w:r>
      <w:r>
        <w:rPr>
          <w:rStyle w:val="SpecialCharTok"/>
        </w:rPr>
        <w:t xml:space="preserve">{</w:t>
      </w:r>
      <w:r>
        <w:rPr>
          <w:rStyle w:val="NormalTok"/>
        </w:rPr>
        <w:t xml:space="preserve">vb_bytes</w:t>
      </w:r>
      <w:r>
        <w:rPr>
          <w:rStyle w:val="OperatorTok"/>
        </w:rPr>
        <w:t xml:space="preserve">/</w:t>
      </w:r>
      <w:r>
        <w:rPr>
          <w:rStyle w:val="NormalTok"/>
        </w:rPr>
        <w:t xml:space="preserve">postings</w:t>
      </w:r>
      <w:r>
        <w:rPr>
          <w:rStyle w:val="SpecialCharTok"/>
        </w:rPr>
        <w:t xml:space="preserve">:.2f}</w:t>
      </w:r>
      <w:r>
        <w:rPr>
          <w:rStyle w:val="SpecialStringTok"/>
        </w:rPr>
        <w:t xml:space="preserve">  ratio=</w:t>
      </w:r>
      <w:r>
        <w:rPr>
          <w:rStyle w:val="SpecialCharTok"/>
        </w:rPr>
        <w:t xml:space="preserve">{</w:t>
      </w:r>
      <w:r>
        <w:rPr>
          <w:rStyle w:val="NormalTok"/>
        </w:rPr>
        <w:t xml:space="preserve">vb_bytes</w:t>
      </w:r>
      <w:r>
        <w:rPr>
          <w:rStyle w:val="OperatorTok"/>
        </w:rPr>
        <w:t xml:space="preserve">/</w:t>
      </w:r>
      <w:r>
        <w:rPr>
          <w:rStyle w:val="NormalTok"/>
        </w:rPr>
        <w:t xml:space="preserve">raw_bytes</w:t>
      </w:r>
      <w:r>
        <w:rPr>
          <w:rStyle w:val="SpecialCharTok"/>
        </w:rPr>
        <w:t xml:space="preserve">:.2f}</w:t>
      </w:r>
      <w:r>
        <w:rPr>
          <w:rStyle w:val="SpecialStringTok"/>
        </w:rPr>
        <w:t xml:space="preserve">"</w:t>
      </w:r>
      <w:r>
        <w:rPr>
          <w:rStyle w:val="NormalTok"/>
        </w:rPr>
        <w:t xml:space="preserve">)</w:t>
      </w:r>
    </w:p>
    <w:p>
      <w:pPr>
        <w:pStyle w:val="FirstParagraph"/>
      </w:pPr>
      <w:r>
        <w:t xml:space="preserve">Output (about 7 s):</w:t>
      </w:r>
    </w:p>
    <w:p>
      <w:pPr>
        <w:pStyle w:val="SourceCode"/>
      </w:pPr>
      <w:r>
        <w:rPr>
          <w:rStyle w:val="VerbatimChar"/>
        </w:rPr>
        <w:t xml:space="preserve">gaps: [824, 5, 214577]</w:t>
      </w:r>
      <w:r>
        <w:br/>
      </w:r>
      <w:r>
        <w:rPr>
          <w:rStyle w:val="VerbatimChar"/>
        </w:rPr>
        <w:t xml:space="preserve">bytes: 10111000 00000110 00000101 10110001 10001100 00001101 (6 bytes vs 12 raw)</w:t>
      </w:r>
      <w:r>
        <w:br/>
      </w:r>
      <w:r>
        <w:rPr>
          <w:rStyle w:val="VerbatimChar"/>
        </w:rPr>
        <w:t xml:space="preserve">postings=8,946,910  raw=35.8 MB  vbyte=12.5 MB  bytes/posting=1.39  ratio=0.35</w:t>
      </w:r>
    </w:p>
    <w:p>
      <w:pPr>
        <w:pStyle w:val="FirstParagraph"/>
      </w:pPr>
      <w:r>
        <w:t xml:space="preserve">What to notice:</w:t>
      </w:r>
    </w:p>
    <w:p>
      <w:pPr>
        <w:numPr>
          <w:ilvl w:val="0"/>
          <w:numId w:val="1535"/>
        </w:numPr>
        <w:pStyle w:val="Compact"/>
      </w:pPr>
      <w:r>
        <w:t xml:space="preserve">Decoding has a data-dependent branch per byte, which is why production engines moved to</w:t>
      </w:r>
      <w:r>
        <w:t xml:space="preserve"> </w:t>
      </w:r>
      <w:r>
        <w:rPr>
          <w:bCs/>
          <w:b/>
        </w:rPr>
        <w:t xml:space="preserve">block</w:t>
      </w:r>
      <w:r>
        <w:t xml:space="preserve"> </w:t>
      </w:r>
      <w:r>
        <w:t xml:space="preserve">codes.</w:t>
      </w:r>
    </w:p>
    <w:p>
      <w:pPr>
        <w:numPr>
          <w:ilvl w:val="0"/>
          <w:numId w:val="1535"/>
        </w:numPr>
        <w:pStyle w:val="Compact"/>
      </w:pPr>
      <w:r>
        <w:t xml:space="preserve">On the Zipfian collection, docID postings shrink to</w:t>
      </w:r>
      <w:r>
        <w:t xml:space="preserve"> </w:t>
      </w:r>
      <w:r>
        <w:rPr>
          <w:bCs/>
          <w:b/>
        </w:rPr>
        <w:t xml:space="preserve">1.39 bytes each</w:t>
      </w:r>
      <w:r>
        <w:t xml:space="preserve">, 35% of their raw size. Manning et al. report the same order for the Reuters RCV1 collection: about 100 million postings take 400 MB as 32-bit integers and 116 MB with variable-byte gaps [Manning et al. 2008, Table 5.6].</w:t>
      </w:r>
    </w:p>
    <w:p>
      <w:pPr>
        <w:pStyle w:val="FirstParagraph"/>
      </w:pPr>
      <w:r>
        <w:t xml:space="preserve">Lucene’s postings formats (Lucene 5 through at least 9) group docID deltas and frequencies into blocks of 128 and store each block with</w:t>
      </w:r>
      <w:r>
        <w:t xml:space="preserve"> </w:t>
      </w:r>
      <w:r>
        <w:rPr>
          <w:bCs/>
          <w:b/>
        </w:rPr>
        <w:t xml:space="preserve">frame-of-reference bit packing</w:t>
      </w:r>
      <w:r>
        <w:t xml:space="preserve">: every value uses the bit width of the block’s largest value, decoded without branches; list tails use VInt [Lucene Docs: postings format]. Bit packing decodes several times faster than VByte, especially with SIMD [Lemire and Boytsov 2015]. Zobel and Moffat survey the wider family (Elias, Golomb, VByte) and its ratio-versus-speed trade-off [Zobel and Moffat 2006].</w:t>
      </w:r>
    </w:p>
    <w:bookmarkEnd w:id="1801"/>
    <w:bookmarkStart w:id="1805" w:name="estimating-index-size"/>
    <w:p>
      <w:pPr>
        <w:pStyle w:val="Heading3"/>
      </w:pPr>
      <w:r>
        <w:t xml:space="preserve">16.3.5 Estimating index size</w:t>
      </w:r>
    </w:p>
    <w:p>
      <w:pPr>
        <w:pStyle w:val="CalloutFormula"/>
      </w:pPr>
      <w:r>
        <w:rPr>
          <w:bCs/>
          <w:b/>
        </w:rPr>
        <w:t xml:space="preserve">FORMULA</w:t>
      </w:r>
    </w:p>
    <w:p>
      <w:pPr>
        <w:pStyle w:val="CalloutFormula"/>
      </w:pPr>
      <w:r>
        <w:rPr>
          <w:bCs/>
          <w:b/>
        </w:rPr>
        <w:t xml:space="preserve">Inverted index size (one copy)</w:t>
      </w:r>
    </w:p>
    <w:p>
      <w:pPr>
        <w:pStyle w:val="CalloutFormula"/>
      </w:pPr>
      <m:oMathPara>
        <m:oMathParaPr>
          <m:jc m:val="center"/>
        </m:oMathParaPr>
        <m:oMath>
          <m:sSub>
            <m:e>
              <m:r>
                <m:t>S</m:t>
              </m:r>
            </m:e>
            <m:sub>
              <m:r>
                <m:rPr>
                  <m:nor/>
                  <m:sty m:val="p"/>
                </m:rPr>
                <m:t>index</m:t>
              </m:r>
            </m:sub>
          </m:sSub>
          <m:r>
            <m:rPr>
              <m:sty m:val="p"/>
            </m:rPr>
            <m:t>≈</m:t>
          </m:r>
          <m:limLow>
            <m:e>
              <m:limLow>
                <m:e>
                  <m:r>
                    <m:t>N</m:t>
                  </m:r>
                  <m:r>
                    <m:rPr>
                      <m:sty m:val="p"/>
                    </m:rPr>
                    <m:t>⋅</m:t>
                  </m:r>
                  <m:r>
                    <m:t>u</m:t>
                  </m:r>
                  <m:r>
                    <m:rPr>
                      <m:sty m:val="p"/>
                    </m:rPr>
                    <m:t>⋅</m:t>
                  </m:r>
                  <m:d>
                    <m:dPr>
                      <m:begChr m:val="("/>
                      <m:endChr m:val=")"/>
                      <m:sepChr m:val=""/>
                      <m:grow/>
                    </m:dPr>
                    <m:e>
                      <m:sSub>
                        <m:e>
                          <m:r>
                            <m:t>b</m:t>
                          </m:r>
                        </m:e>
                        <m:sub>
                          <m:r>
                            <m:t>d</m:t>
                          </m:r>
                        </m:sub>
                      </m:sSub>
                      <m:r>
                        <m:rPr>
                          <m:sty m:val="p"/>
                        </m:rPr>
                        <m:t>+</m:t>
                      </m:r>
                      <m:sSub>
                        <m:e>
                          <m:r>
                            <m:t>b</m:t>
                          </m:r>
                        </m:e>
                        <m:sub>
                          <m:r>
                            <m:t>f</m:t>
                          </m:r>
                        </m:sub>
                      </m:sSub>
                    </m:e>
                  </m:d>
                </m:e>
                <m:lim>
                  <m:r>
                    <m:rPr>
                      <m:sty m:val="p"/>
                    </m:rPr>
                    <m:t>⏟</m:t>
                  </m:r>
                </m:lim>
              </m:limLow>
            </m:e>
            <m:lim>
              <m:r>
                <m:rPr>
                  <m:nor/>
                  <m:sty m:val="p"/>
                </m:rPr>
                <m:t>docIDs + frequencies</m:t>
              </m:r>
            </m:lim>
          </m:limLow>
          <m:r>
            <m:rPr>
              <m:sty m:val="p"/>
            </m:rPr>
            <m:t>+</m:t>
          </m:r>
          <m:limLow>
            <m:e>
              <m:limLow>
                <m:e>
                  <m:r>
                    <m:t>N</m:t>
                  </m:r>
                  <m:r>
                    <m:rPr>
                      <m:sty m:val="p"/>
                    </m:rPr>
                    <m:t>⋅</m:t>
                  </m:r>
                  <m:r>
                    <m:t>L</m:t>
                  </m:r>
                  <m:r>
                    <m:rPr>
                      <m:sty m:val="p"/>
                    </m:rPr>
                    <m:t>⋅</m:t>
                  </m:r>
                  <m:sSub>
                    <m:e>
                      <m:r>
                        <m:t>b</m:t>
                      </m:r>
                    </m:e>
                    <m:sub>
                      <m:r>
                        <m:t>p</m:t>
                      </m:r>
                    </m:sub>
                  </m:sSub>
                </m:e>
                <m:lim>
                  <m:r>
                    <m:rPr>
                      <m:sty m:val="p"/>
                    </m:rPr>
                    <m:t>⏟</m:t>
                  </m:r>
                </m:lim>
              </m:limLow>
            </m:e>
            <m:lim>
              <m:r>
                <m:rPr>
                  <m:nor/>
                  <m:sty m:val="p"/>
                </m:rPr>
                <m:t>positions</m:t>
              </m:r>
            </m:lim>
          </m:limLow>
          <m:r>
            <m:rPr>
              <m:sty m:val="p"/>
            </m:rPr>
            <m:t>+</m:t>
          </m:r>
          <m:limLow>
            <m:e>
              <m:limLow>
                <m:e>
                  <m:r>
                    <m:t>M</m:t>
                  </m:r>
                  <m:r>
                    <m:rPr>
                      <m:sty m:val="p"/>
                    </m:rPr>
                    <m:t>⋅</m:t>
                  </m:r>
                  <m:sSub>
                    <m:e>
                      <m:r>
                        <m:t>b</m:t>
                      </m:r>
                    </m:e>
                    <m:sub>
                      <m:r>
                        <m:t>t</m:t>
                      </m:r>
                    </m:sub>
                  </m:sSub>
                </m:e>
                <m:lim>
                  <m:r>
                    <m:rPr>
                      <m:sty m:val="p"/>
                    </m:rPr>
                    <m:t>⏟</m:t>
                  </m:r>
                </m:lim>
              </m:limLow>
            </m:e>
            <m:lim>
              <m:r>
                <m:rPr>
                  <m:nor/>
                  <m:sty m:val="p"/>
                </m:rPr>
                <m:t>dictionary</m:t>
              </m:r>
            </m:lim>
          </m:limLow>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N</m:t>
              </m:r>
            </m:oMath>
          </w:p>
        </w:tc>
        <w:tc>
          <w:tcPr/>
          <w:p>
            <w:pPr>
              <w:pStyle w:val="Compact"/>
              <w:jc w:val="left"/>
            </w:pPr>
            <w:r>
              <w:t xml:space="preserve">Number of documents</w:t>
            </w:r>
          </w:p>
        </w:tc>
        <w:tc>
          <w:tcPr/>
          <w:p>
            <w:pPr>
              <w:pStyle w:val="Compact"/>
              <w:jc w:val="left"/>
            </w:pPr>
            <w:r>
              <w:t xml:space="preserve">documents</w:t>
            </w:r>
          </w:p>
        </w:tc>
      </w:tr>
      <w:tr>
        <w:tc>
          <w:tcPr/>
          <w:p>
            <w:pPr>
              <w:pStyle w:val="Compact"/>
              <w:jc w:val="left"/>
            </w:pPr>
            <m:oMath>
              <m:r>
                <m:t>u</m:t>
              </m:r>
            </m:oMath>
          </w:p>
        </w:tc>
        <w:tc>
          <w:tcPr/>
          <w:p>
            <w:pPr>
              <w:pStyle w:val="Compact"/>
              <w:jc w:val="left"/>
            </w:pPr>
            <w:r>
              <w:t xml:space="preserve">Average number of</w:t>
            </w:r>
            <w:r>
              <w:t xml:space="preserve"> </w:t>
            </w:r>
            <w:r>
              <w:rPr>
                <w:iCs/>
                <w:i/>
              </w:rPr>
              <w:t xml:space="preserve">distinct</w:t>
            </w:r>
            <w:r>
              <w:t xml:space="preserve"> </w:t>
            </w:r>
            <w:r>
              <w:t xml:space="preserve">terms per document (postings per document)</w:t>
            </w:r>
          </w:p>
        </w:tc>
        <w:tc>
          <w:tcPr/>
          <w:p>
            <w:pPr>
              <w:pStyle w:val="Compact"/>
              <w:jc w:val="left"/>
            </w:pPr>
            <w:r>
              <w:t xml:space="preserve">postings/document</w:t>
            </w:r>
          </w:p>
        </w:tc>
      </w:tr>
      <w:tr>
        <w:tc>
          <w:tcPr/>
          <w:p>
            <w:pPr>
              <w:pStyle w:val="Compact"/>
              <w:jc w:val="left"/>
            </w:pPr>
            <m:oMath>
              <m:r>
                <m:t>L</m:t>
              </m:r>
            </m:oMath>
          </w:p>
        </w:tc>
        <w:tc>
          <w:tcPr/>
          <w:p>
            <w:pPr>
              <w:pStyle w:val="Compact"/>
              <w:jc w:val="left"/>
            </w:pPr>
            <w:r>
              <w:t xml:space="preserve">Average number of tokens per document (one position each)</w:t>
            </w:r>
          </w:p>
        </w:tc>
        <w:tc>
          <w:tcPr/>
          <w:p>
            <w:pPr>
              <w:pStyle w:val="Compact"/>
              <w:jc w:val="left"/>
            </w:pPr>
            <w:r>
              <w:t xml:space="preserve">tokens/document</w:t>
            </w:r>
          </w:p>
        </w:tc>
      </w:tr>
      <w:tr>
        <w:tc>
          <w:tcPr/>
          <w:p>
            <w:pPr>
              <w:pStyle w:val="Compact"/>
              <w:jc w:val="left"/>
            </w:pPr>
            <m:oMath>
              <m:sSub>
                <m:e>
                  <m:r>
                    <m:t>b</m:t>
                  </m:r>
                </m:e>
                <m:sub>
                  <m:r>
                    <m:t>d</m:t>
                  </m:r>
                </m:sub>
              </m:sSub>
            </m:oMath>
            <w:r>
              <w:t xml:space="preserve">,</w:t>
            </w:r>
            <w:r>
              <w:t xml:space="preserve"> </w:t>
            </w:r>
            <m:oMath>
              <m:sSub>
                <m:e>
                  <m:r>
                    <m:t>b</m:t>
                  </m:r>
                </m:e>
                <m:sub>
                  <m:r>
                    <m:t>f</m:t>
                  </m:r>
                </m:sub>
              </m:sSub>
            </m:oMath>
          </w:p>
        </w:tc>
        <w:tc>
          <w:tcPr/>
          <w:p>
            <w:pPr>
              <w:pStyle w:val="Compact"/>
              <w:jc w:val="left"/>
            </w:pPr>
            <w:r>
              <w:t xml:space="preserve">Compressed bytes per docID gap and per term frequency</w:t>
            </w:r>
          </w:p>
        </w:tc>
        <w:tc>
          <w:tcPr/>
          <w:p>
            <w:pPr>
              <w:pStyle w:val="Compact"/>
              <w:jc w:val="left"/>
            </w:pPr>
            <w:r>
              <w:t xml:space="preserve">bytes</w:t>
            </w:r>
          </w:p>
        </w:tc>
      </w:tr>
      <w:tr>
        <w:tc>
          <w:tcPr/>
          <w:p>
            <w:pPr>
              <w:pStyle w:val="Compact"/>
              <w:jc w:val="left"/>
            </w:pPr>
            <m:oMath>
              <m:sSub>
                <m:e>
                  <m:r>
                    <m:t>b</m:t>
                  </m:r>
                </m:e>
                <m:sub>
                  <m:r>
                    <m:t>p</m:t>
                  </m:r>
                </m:sub>
              </m:sSub>
            </m:oMath>
          </w:p>
        </w:tc>
        <w:tc>
          <w:tcPr/>
          <w:p>
            <w:pPr>
              <w:pStyle w:val="Compact"/>
              <w:jc w:val="left"/>
            </w:pPr>
            <w:r>
              <w:t xml:space="preserve">Compressed bytes per position gap</w:t>
            </w:r>
          </w:p>
        </w:tc>
        <w:tc>
          <w:tcPr/>
          <w:p>
            <w:pPr>
              <w:pStyle w:val="Compact"/>
              <w:jc w:val="left"/>
            </w:pPr>
            <w:r>
              <w:t xml:space="preserve">bytes</w:t>
            </w:r>
          </w:p>
        </w:tc>
      </w:tr>
      <w:tr>
        <w:tc>
          <w:tcPr/>
          <w:p>
            <w:pPr>
              <w:pStyle w:val="Compact"/>
              <w:jc w:val="left"/>
            </w:pPr>
            <m:oMath>
              <m:r>
                <m:t>M</m:t>
              </m:r>
            </m:oMath>
          </w:p>
        </w:tc>
        <w:tc>
          <w:tcPr/>
          <w:p>
            <w:pPr>
              <w:pStyle w:val="Compact"/>
              <w:jc w:val="left"/>
            </w:pPr>
            <w:r>
              <w:t xml:space="preserve">Number of distinct terms in the collection</w:t>
            </w:r>
          </w:p>
        </w:tc>
        <w:tc>
          <w:tcPr/>
          <w:p>
            <w:pPr>
              <w:pStyle w:val="Compact"/>
              <w:jc w:val="left"/>
            </w:pPr>
            <w:r>
              <w:t xml:space="preserve">terms</w:t>
            </w:r>
          </w:p>
        </w:tc>
      </w:tr>
      <w:tr>
        <w:tc>
          <w:tcPr/>
          <w:p>
            <w:pPr>
              <w:pStyle w:val="Compact"/>
              <w:jc w:val="left"/>
            </w:pPr>
            <m:oMath>
              <m:sSub>
                <m:e>
                  <m:r>
                    <m:t>b</m:t>
                  </m:r>
                </m:e>
                <m:sub>
                  <m:r>
                    <m:t>t</m:t>
                  </m:r>
                </m:sub>
              </m:sSub>
            </m:oMath>
          </w:p>
        </w:tc>
        <w:tc>
          <w:tcPr/>
          <w:p>
            <w:pPr>
              <w:pStyle w:val="Compact"/>
              <w:jc w:val="left"/>
            </w:pPr>
            <w:r>
              <w:t xml:space="preserve">Dictionary bytes per term (term text + pointers + statistics)</w:t>
            </w:r>
          </w:p>
        </w:tc>
        <w:tc>
          <w:tcPr/>
          <w:p>
            <w:pPr>
              <w:pStyle w:val="Compact"/>
              <w:jc w:val="left"/>
            </w:pPr>
            <w:r>
              <w:t xml:space="preserve">bytes</w:t>
            </w:r>
          </w:p>
        </w:tc>
      </w:tr>
    </w:tbl>
    <w:p>
      <w:pPr>
        <w:pStyle w:val="CalloutExample"/>
      </w:pPr>
      <w:r>
        <w:rPr>
          <w:bCs/>
          <w:b/>
        </w:rPr>
        <w:t xml:space="preserve">WORKED EXAMPLE</w:t>
      </w:r>
    </w:p>
    <w:p>
      <w:pPr>
        <w:pStyle w:val="CalloutExample"/>
      </w:pPr>
      <w:r>
        <w:rPr>
          <w:bCs/>
          <w:b/>
        </w:rPr>
        <w:t xml:space="preserve">Worked example — 100 million product and review documents.</w:t>
      </w:r>
      <w:r>
        <w:t xml:space="preserve"> </w:t>
      </w:r>
      <w:r>
        <w:t xml:space="preserve">Assume</w:t>
      </w:r>
      <w:r>
        <w:t xml:space="preserve"> </w:t>
      </w:r>
      <m:oMath>
        <m:r>
          <m:t>N</m:t>
        </m:r>
        <m:r>
          <m:rPr>
            <m:sty m:val="p"/>
          </m:rPr>
          <m:t>=</m:t>
        </m:r>
        <m:sSup>
          <m:e>
            <m:r>
              <m:t>10</m:t>
            </m:r>
          </m:e>
          <m:sup>
            <m:r>
              <m:t>8</m:t>
            </m:r>
          </m:sup>
        </m:sSup>
      </m:oMath>
      <w:r>
        <w:t xml:space="preserve">,</w:t>
      </w:r>
      <w:r>
        <w:t xml:space="preserve"> </w:t>
      </w:r>
      <m:oMath>
        <m:r>
          <m:t>L</m:t>
        </m:r>
        <m:r>
          <m:rPr>
            <m:sty m:val="p"/>
          </m:rPr>
          <m:t>=</m:t>
        </m:r>
        <m:r>
          <m:t>400</m:t>
        </m:r>
      </m:oMath>
      <w:r>
        <w:t xml:space="preserve"> </w:t>
      </w:r>
      <w:r>
        <w:t xml:space="preserve">tokens,</w:t>
      </w:r>
      <w:r>
        <w:t xml:space="preserve"> </w:t>
      </w:r>
      <m:oMath>
        <m:r>
          <m:t>u</m:t>
        </m:r>
        <m:r>
          <m:rPr>
            <m:sty m:val="p"/>
          </m:rPr>
          <m:t>=</m:t>
        </m:r>
        <m:r>
          <m:t>200</m:t>
        </m:r>
      </m:oMath>
      <w:r>
        <w:t xml:space="preserve"> </w:t>
      </w:r>
      <w:r>
        <w:t xml:space="preserve">distinct terms per document,</w:t>
      </w:r>
      <w:r>
        <w:t xml:space="preserve"> </w:t>
      </w:r>
      <m:oMath>
        <m:r>
          <m:t>M</m:t>
        </m:r>
        <m:r>
          <m:rPr>
            <m:sty m:val="p"/>
          </m:rPr>
          <m:t>=</m:t>
        </m:r>
        <m:r>
          <m:t>5</m:t>
        </m:r>
        <m:r>
          <m:rPr>
            <m:sty m:val="p"/>
          </m:rPr>
          <m:t>×</m:t>
        </m:r>
        <m:sSup>
          <m:e>
            <m:r>
              <m:t>10</m:t>
            </m:r>
          </m:e>
          <m:sup>
            <m:r>
              <m:t>7</m:t>
            </m:r>
          </m:sup>
        </m:sSup>
      </m:oMath>
      <w:r>
        <w:t xml:space="preserve"> </w:t>
      </w:r>
      <w:r>
        <w:t xml:space="preserve">distinct terms (part numbers and misspellings make vocabularies large),</w:t>
      </w:r>
      <w:r>
        <w:t xml:space="preserve"> </w:t>
      </w:r>
      <m:oMath>
        <m:sSub>
          <m:e>
            <m:r>
              <m:t>b</m:t>
            </m:r>
          </m:e>
          <m:sub>
            <m:r>
              <m:t>d</m:t>
            </m:r>
          </m:sub>
        </m:sSub>
        <m:r>
          <m:rPr>
            <m:sty m:val="p"/>
          </m:rPr>
          <m:t>=</m:t>
        </m:r>
        <m:r>
          <m:t>1.4</m:t>
        </m:r>
      </m:oMath>
      <w:r>
        <w:t xml:space="preserve"> </w:t>
      </w:r>
      <w:r>
        <w:t xml:space="preserve">bytes (measured above),</w:t>
      </w:r>
      <w:r>
        <w:t xml:space="preserve"> </w:t>
      </w:r>
      <m:oMath>
        <m:sSub>
          <m:e>
            <m:r>
              <m:t>b</m:t>
            </m:r>
          </m:e>
          <m:sub>
            <m:r>
              <m:t>f</m:t>
            </m:r>
          </m:sub>
        </m:sSub>
        <m:r>
          <m:rPr>
            <m:sty m:val="p"/>
          </m:rPr>
          <m:t>=</m:t>
        </m:r>
        <m:r>
          <m:t>1</m:t>
        </m:r>
      </m:oMath>
      <w:r>
        <w:t xml:space="preserve"> </w:t>
      </w:r>
      <w:r>
        <w:t xml:space="preserve">byte,</w:t>
      </w:r>
      <w:r>
        <w:t xml:space="preserve"> </w:t>
      </w:r>
      <m:oMath>
        <m:sSub>
          <m:e>
            <m:r>
              <m:t>b</m:t>
            </m:r>
          </m:e>
          <m:sub>
            <m:r>
              <m:t>p</m:t>
            </m:r>
          </m:sub>
        </m:sSub>
        <m:r>
          <m:rPr>
            <m:sty m:val="p"/>
          </m:rPr>
          <m:t>=</m:t>
        </m:r>
        <m:r>
          <m:t>1.5</m:t>
        </m:r>
      </m:oMath>
      <w:r>
        <w:t xml:space="preserve"> </w:t>
      </w:r>
      <w:r>
        <w:t xml:space="preserve">bytes,</w:t>
      </w:r>
      <w:r>
        <w:t xml:space="preserve"> </w:t>
      </w:r>
      <m:oMath>
        <m:sSub>
          <m:e>
            <m:r>
              <m:t>b</m:t>
            </m:r>
          </m:e>
          <m:sub>
            <m:r>
              <m:t>t</m:t>
            </m:r>
          </m:sub>
        </m:sSub>
        <m:r>
          <m:rPr>
            <m:sty m:val="p"/>
          </m:rPr>
          <m:t>=</m:t>
        </m:r>
        <m:r>
          <m:t>20</m:t>
        </m:r>
      </m:oMath>
      <w:r>
        <w:t xml:space="preserve"> </w:t>
      </w:r>
      <w:r>
        <w:t xml:space="preserve">bytes. Sizes in SI units (1 GB =</w:t>
      </w:r>
      <w:r>
        <w:t xml:space="preserve"> </w:t>
      </w:r>
      <m:oMath>
        <m:sSup>
          <m:e>
            <m:r>
              <m:t>10</m:t>
            </m:r>
          </m:e>
          <m:sup>
            <m:r>
              <m:t>9</m:t>
            </m:r>
          </m:sup>
        </m:sSup>
      </m:oMath>
      <w:r>
        <w:t xml:space="preserve"> </w:t>
      </w:r>
      <w:r>
        <w:t xml:space="preserve">bytes).</w:t>
      </w:r>
    </w:p>
    <w:p>
      <w:pPr>
        <w:numPr>
          <w:ilvl w:val="0"/>
          <w:numId w:val="1536"/>
        </w:numPr>
        <w:pStyle w:val="Compact"/>
      </w:pPr>
      <w:r>
        <w:t xml:space="preserve">Postings:</w:t>
      </w:r>
      <w:r>
        <w:t xml:space="preserve"> </w:t>
      </w:r>
      <m:oMath>
        <m:r>
          <m:t>N</m:t>
        </m:r>
        <m:r>
          <m:rPr>
            <m:sty m:val="p"/>
          </m:rPr>
          <m:t>⋅</m:t>
        </m:r>
        <m:r>
          <m:t>u</m:t>
        </m:r>
        <m:r>
          <m:rPr>
            <m:sty m:val="p"/>
          </m:rPr>
          <m:t>=</m:t>
        </m:r>
        <m:sSup>
          <m:e>
            <m:r>
              <m:t>10</m:t>
            </m:r>
          </m:e>
          <m:sup>
            <m:r>
              <m:t>8</m:t>
            </m:r>
          </m:sup>
        </m:sSup>
        <m:r>
          <m:rPr>
            <m:sty m:val="p"/>
          </m:rPr>
          <m:t>×</m:t>
        </m:r>
        <m:r>
          <m:t>200</m:t>
        </m:r>
        <m:r>
          <m:rPr>
            <m:sty m:val="p"/>
          </m:rPr>
          <m:t>=</m:t>
        </m:r>
        <m:r>
          <m:t>2</m:t>
        </m:r>
        <m:r>
          <m:rPr>
            <m:sty m:val="p"/>
          </m:rPr>
          <m:t>×</m:t>
        </m:r>
        <m:sSup>
          <m:e>
            <m:r>
              <m:t>10</m:t>
            </m:r>
          </m:e>
          <m:sup>
            <m:r>
              <m:t>10</m:t>
            </m:r>
          </m:sup>
        </m:sSup>
      </m:oMath>
      <w:r>
        <w:t xml:space="preserve">.</w:t>
      </w:r>
    </w:p>
    <w:p>
      <w:pPr>
        <w:numPr>
          <w:ilvl w:val="0"/>
          <w:numId w:val="1536"/>
        </w:numPr>
        <w:pStyle w:val="Compact"/>
      </w:pPr>
      <w:r>
        <w:t xml:space="preserve">DocIDs and frequencies:</w:t>
      </w:r>
      <w:r>
        <w:t xml:space="preserve"> </w:t>
      </w:r>
      <m:oMath>
        <m:r>
          <m:t>2</m:t>
        </m:r>
        <m:r>
          <m:rPr>
            <m:sty m:val="p"/>
          </m:rPr>
          <m:t>×</m:t>
        </m:r>
        <m:sSup>
          <m:e>
            <m:r>
              <m:t>10</m:t>
            </m:r>
          </m:e>
          <m:sup>
            <m:r>
              <m:t>10</m:t>
            </m:r>
          </m:sup>
        </m:sSup>
        <m:r>
          <m:rPr>
            <m:sty m:val="p"/>
          </m:rPr>
          <m:t>×</m:t>
        </m:r>
        <m:d>
          <m:dPr>
            <m:begChr m:val="("/>
            <m:endChr m:val=")"/>
            <m:sepChr m:val=""/>
            <m:grow/>
          </m:dPr>
          <m:e>
            <m:r>
              <m:t>1.4</m:t>
            </m:r>
            <m:r>
              <m:rPr>
                <m:sty m:val="p"/>
              </m:rPr>
              <m:t>+</m:t>
            </m:r>
            <m:r>
              <m:t>1</m:t>
            </m:r>
          </m:e>
        </m:d>
        <m:r>
          <m:rPr>
            <m:sty m:val="p"/>
          </m:rPr>
          <m:t>=</m:t>
        </m:r>
        <m:r>
          <m:t>4.8</m:t>
        </m:r>
        <m:r>
          <m:rPr>
            <m:sty m:val="p"/>
          </m:rPr>
          <m:t>×</m:t>
        </m:r>
        <m:sSup>
          <m:e>
            <m:r>
              <m:t>10</m:t>
            </m:r>
          </m:e>
          <m:sup>
            <m:r>
              <m:t>10</m:t>
            </m:r>
          </m:sup>
        </m:sSup>
      </m:oMath>
      <w:r>
        <w:t xml:space="preserve"> </w:t>
      </w:r>
      <w:r>
        <w:t xml:space="preserve">bytes = 48 GB.</w:t>
      </w:r>
    </w:p>
    <w:p>
      <w:pPr>
        <w:numPr>
          <w:ilvl w:val="0"/>
          <w:numId w:val="1536"/>
        </w:numPr>
        <w:pStyle w:val="Compact"/>
      </w:pPr>
      <w:r>
        <w:t xml:space="preserve">Positions:</w:t>
      </w:r>
      <w:r>
        <w:t xml:space="preserve"> </w:t>
      </w:r>
      <m:oMath>
        <m:r>
          <m:t>N</m:t>
        </m:r>
        <m:r>
          <m:rPr>
            <m:sty m:val="p"/>
          </m:rPr>
          <m:t>⋅</m:t>
        </m:r>
        <m:r>
          <m:t>L</m:t>
        </m:r>
        <m:r>
          <m:rPr>
            <m:sty m:val="p"/>
          </m:rPr>
          <m:t>=</m:t>
        </m:r>
        <m:r>
          <m:t>4</m:t>
        </m:r>
        <m:r>
          <m:rPr>
            <m:sty m:val="p"/>
          </m:rPr>
          <m:t>×</m:t>
        </m:r>
        <m:sSup>
          <m:e>
            <m:r>
              <m:t>10</m:t>
            </m:r>
          </m:e>
          <m:sup>
            <m:r>
              <m:t>10</m:t>
            </m:r>
          </m:sup>
        </m:sSup>
      </m:oMath>
      <w:r>
        <w:t xml:space="preserve"> </w:t>
      </w:r>
      <w:r>
        <w:t xml:space="preserve">tokens × 1.5 bytes =</w:t>
      </w:r>
      <w:r>
        <w:t xml:space="preserve"> </w:t>
      </w:r>
      <m:oMath>
        <m:r>
          <m:t>6</m:t>
        </m:r>
        <m:r>
          <m:rPr>
            <m:sty m:val="p"/>
          </m:rPr>
          <m:t>×</m:t>
        </m:r>
        <m:sSup>
          <m:e>
            <m:r>
              <m:t>10</m:t>
            </m:r>
          </m:e>
          <m:sup>
            <m:r>
              <m:t>10</m:t>
            </m:r>
          </m:sup>
        </m:sSup>
      </m:oMath>
      <w:r>
        <w:t xml:space="preserve"> </w:t>
      </w:r>
      <w:r>
        <w:t xml:space="preserve">bytes = 60 GB.</w:t>
      </w:r>
    </w:p>
    <w:p>
      <w:pPr>
        <w:numPr>
          <w:ilvl w:val="0"/>
          <w:numId w:val="1536"/>
        </w:numPr>
        <w:pStyle w:val="Compact"/>
      </w:pPr>
      <w:r>
        <w:t xml:space="preserve">Dictionary:</w:t>
      </w:r>
      <w:r>
        <w:t xml:space="preserve"> </w:t>
      </w:r>
      <m:oMath>
        <m:r>
          <m:t>5</m:t>
        </m:r>
        <m:r>
          <m:rPr>
            <m:sty m:val="p"/>
          </m:rPr>
          <m:t>×</m:t>
        </m:r>
        <m:sSup>
          <m:e>
            <m:r>
              <m:t>10</m:t>
            </m:r>
          </m:e>
          <m:sup>
            <m:r>
              <m:t>7</m:t>
            </m:r>
          </m:sup>
        </m:sSup>
        <m:r>
          <m:rPr>
            <m:sty m:val="p"/>
          </m:rPr>
          <m:t>×</m:t>
        </m:r>
        <m:r>
          <m:t>20</m:t>
        </m:r>
        <m:r>
          <m:rPr>
            <m:sty m:val="p"/>
          </m:rPr>
          <m:t>=</m:t>
        </m:r>
        <m:sSup>
          <m:e>
            <m:r>
              <m:t>10</m:t>
            </m:r>
          </m:e>
          <m:sup>
            <m:r>
              <m:t>9</m:t>
            </m:r>
          </m:sup>
        </m:sSup>
      </m:oMath>
      <w:r>
        <w:t xml:space="preserve"> </w:t>
      </w:r>
      <w:r>
        <w:t xml:space="preserve">bytes = 1 GB.</w:t>
      </w:r>
    </w:p>
    <w:p>
      <w:pPr>
        <w:numPr>
          <w:ilvl w:val="0"/>
          <w:numId w:val="1536"/>
        </w:numPr>
        <w:pStyle w:val="Compact"/>
      </w:pPr>
      <w:r>
        <w:t xml:space="preserve">Total inverted index ≈ 48 + 60 + 1 =</w:t>
      </w:r>
      <w:r>
        <w:t xml:space="preserve"> </w:t>
      </w:r>
      <w:r>
        <w:rPr>
          <w:bCs/>
          <w:b/>
        </w:rPr>
        <w:t xml:space="preserve">109 GB</w:t>
      </w:r>
      <w:r>
        <w:t xml:space="preserve">.</w:t>
      </w:r>
    </w:p>
    <w:p>
      <w:pPr>
        <w:numPr>
          <w:ilvl w:val="0"/>
          <w:numId w:val="1536"/>
        </w:numPr>
        <w:pStyle w:val="Compact"/>
      </w:pPr>
      <w:r>
        <w:t xml:space="preserve">Uncompressed for comparison (4-byte docID, tf and position):</w:t>
      </w:r>
      <w:r>
        <w:t xml:space="preserve"> </w:t>
      </w:r>
      <m:oMath>
        <m:r>
          <m:t>2</m:t>
        </m:r>
        <m:r>
          <m:rPr>
            <m:sty m:val="p"/>
          </m:rPr>
          <m:t>×</m:t>
        </m:r>
        <m:sSup>
          <m:e>
            <m:r>
              <m:t>10</m:t>
            </m:r>
          </m:e>
          <m:sup>
            <m:r>
              <m:t>10</m:t>
            </m:r>
          </m:sup>
        </m:sSup>
        <m:r>
          <m:rPr>
            <m:sty m:val="p"/>
          </m:rPr>
          <m:t>×</m:t>
        </m:r>
        <m:r>
          <m:t>8</m:t>
        </m:r>
        <m:r>
          <m:rPr>
            <m:sty m:val="p"/>
          </m:rPr>
          <m:t>+</m:t>
        </m:r>
        <m:r>
          <m:t>4</m:t>
        </m:r>
        <m:r>
          <m:rPr>
            <m:sty m:val="p"/>
          </m:rPr>
          <m:t>×</m:t>
        </m:r>
        <m:sSup>
          <m:e>
            <m:r>
              <m:t>10</m:t>
            </m:r>
          </m:e>
          <m:sup>
            <m:r>
              <m:t>10</m:t>
            </m:r>
          </m:sup>
        </m:sSup>
        <m:r>
          <m:rPr>
            <m:sty m:val="p"/>
          </m:rPr>
          <m:t>×</m:t>
        </m:r>
        <m:r>
          <m:t>4</m:t>
        </m:r>
        <m:r>
          <m:rPr>
            <m:sty m:val="p"/>
          </m:rPr>
          <m:t>=</m:t>
        </m:r>
        <m:r>
          <m:t>160</m:t>
        </m:r>
        <m:r>
          <m:rPr>
            <m:sty m:val="p"/>
          </m:rPr>
          <m:t>+</m:t>
        </m:r>
        <m:r>
          <m:t>160</m:t>
        </m:r>
        <m:r>
          <m:rPr>
            <m:sty m:val="p"/>
          </m:rPr>
          <m:t>=</m:t>
        </m:r>
        <m:r>
          <m:t>320</m:t>
        </m:r>
      </m:oMath>
      <w:r>
        <w:t xml:space="preserve"> </w:t>
      </w:r>
      <w:r>
        <w:t xml:space="preserve">GB, about 3× larger.</w:t>
      </w:r>
    </w:p>
    <w:p>
      <w:pPr>
        <w:numPr>
          <w:ilvl w:val="0"/>
          <w:numId w:val="1536"/>
        </w:numPr>
        <w:pStyle w:val="Compact"/>
      </w:pPr>
      <w:r>
        <w:t xml:space="preserve">The raw text is</w:t>
      </w:r>
      <w:r>
        <w:t xml:space="preserve"> </w:t>
      </w:r>
      <m:oMath>
        <m:r>
          <m:t>4</m:t>
        </m:r>
        <m:r>
          <m:rPr>
            <m:sty m:val="p"/>
          </m:rPr>
          <m:t>×</m:t>
        </m:r>
        <m:sSup>
          <m:e>
            <m:r>
              <m:t>10</m:t>
            </m:r>
          </m:e>
          <m:sup>
            <m:r>
              <m:t>10</m:t>
            </m:r>
          </m:sup>
        </m:sSup>
      </m:oMath>
      <w:r>
        <w:t xml:space="preserve"> </w:t>
      </w:r>
      <w:r>
        <w:t xml:space="preserve">tokens × about 6 bytes = 240 GB, so the positional index is about 45% of the text and the non-positional part about 20%.</w:t>
      </w:r>
    </w:p>
    <w:p>
      <w:pPr>
        <w:pStyle w:val="CalloutExample"/>
      </w:pPr>
      <w:r>
        <w:rPr>
          <w:bCs/>
          <w:b/>
        </w:rPr>
        <w:t xml:space="preserve">Interpretation.</w:t>
      </w:r>
      <w:r>
        <w:t xml:space="preserve"> </w:t>
      </w:r>
      <w:r>
        <w:t xml:space="preserve">Positions cost more than docIDs and frequencies combined.</w:t>
      </w:r>
      <w:r>
        <w:t xml:space="preserve"> </w:t>
      </w:r>
      <w:r>
        <w:rPr>
          <w:bCs/>
          <w:b/>
        </w:rPr>
        <w:t xml:space="preserve">Engineering implication.</w:t>
      </w:r>
      <w:r>
        <w:t xml:space="preserve"> </w:t>
      </w:r>
      <w:r>
        <w:t xml:space="preserve">Elasticsearch also stores the original JSON (</w:t>
      </w:r>
      <w:r>
        <w:rPr>
          <w:rStyle w:val="VerbatimChar"/>
        </w:rPr>
        <w:t xml:space="preserve">_source</w:t>
      </w:r>
      <w:r>
        <w:t xml:space="preserve">),</w:t>
      </w:r>
      <w:r>
        <w:t xml:space="preserve"> </w:t>
      </w:r>
      <w:r>
        <w:rPr>
          <w:bCs/>
          <w:b/>
        </w:rPr>
        <w:t xml:space="preserve">doc values</w:t>
      </w:r>
      <w:r>
        <w:t xml:space="preserve"> </w:t>
      </w:r>
      <w:r>
        <w:t xml:space="preserve">(a column store for sorting and aggregations) and</w:t>
      </w:r>
      <w:r>
        <w:t xml:space="preserve"> </w:t>
      </w:r>
      <w:r>
        <w:rPr>
          <w:bCs/>
          <w:b/>
        </w:rPr>
        <w:t xml:space="preserve">norms</w:t>
      </w:r>
      <w:r>
        <w:t xml:space="preserve"> </w:t>
      </w:r>
      <w:r>
        <w:t xml:space="preserve">(per-field length factors); budget roughly the index again for these, then multiply by</w:t>
      </w:r>
      <w:r>
        <w:t xml:space="preserve"> </w:t>
      </w:r>
      <m:oMath>
        <m:r>
          <m:t>1</m:t>
        </m:r>
        <m:r>
          <m:rPr>
            <m:sty m:val="p"/>
          </m:rPr>
          <m:t>+</m:t>
        </m:r>
        <m:r>
          <m:t>r</m:t>
        </m:r>
      </m:oMath>
      <w:r>
        <w:t xml:space="preserve"> </w:t>
      </w:r>
      <w:r>
        <w:t xml:space="preserve">for</w:t>
      </w:r>
      <w:r>
        <w:t xml:space="preserve"> </w:t>
      </w:r>
      <m:oMath>
        <m:r>
          <m:t>r</m:t>
        </m:r>
      </m:oMath>
      <w:r>
        <w:t xml:space="preserve"> </w:t>
      </w:r>
      <w:r>
        <w:t xml:space="preserve">replicas: about</w:t>
      </w:r>
      <w:r>
        <w:t xml:space="preserve"> </w:t>
      </w:r>
      <m:oMath>
        <m:r>
          <m:t>2</m:t>
        </m:r>
        <m:r>
          <m:rPr>
            <m:sty m:val="p"/>
          </m:rPr>
          <m:t>×</m:t>
        </m:r>
        <m:d>
          <m:dPr>
            <m:begChr m:val="("/>
            <m:endChr m:val=")"/>
            <m:sepChr m:val=""/>
            <m:grow/>
          </m:dPr>
          <m:e>
            <m:r>
              <m:t>109</m:t>
            </m:r>
            <m:r>
              <m:rPr>
                <m:sty m:val="p"/>
              </m:rPr>
              <m:t>+</m:t>
            </m:r>
            <m:r>
              <m:t>110</m:t>
            </m:r>
          </m:e>
        </m:d>
        <m:r>
          <m:rPr>
            <m:sty m:val="p"/>
          </m:rPr>
          <m:t>≈</m:t>
        </m:r>
        <m:r>
          <m:t>440</m:t>
        </m:r>
      </m:oMath>
      <w:r>
        <w:t xml:space="preserve"> </w:t>
      </w:r>
      <w:r>
        <w:t xml:space="preserve">GB with one replica, before merge headroom (§16.6). Dropping positions from fields never used in phrases is the largest single saving.</w:t>
      </w:r>
    </w:p>
    <w:bookmarkStart w:id="1802" w:name="real-world-industry-applications-31"/>
    <w:p>
      <w:pPr>
        <w:pStyle w:val="Heading4"/>
      </w:pPr>
      <w:r>
        <w:t xml:space="preserve">Real-world industry applications</w:t>
      </w:r>
    </w:p>
    <w:p>
      <w:pPr>
        <w:pStyle w:val="CalloutIndustry"/>
      </w:pPr>
      <w:r>
        <w:rPr>
          <w:bCs/>
          <w:b/>
        </w:rPr>
        <w:t xml:space="preserve">INDUSTRY EXAMPLE</w:t>
      </w:r>
    </w:p>
    <w:p>
      <w:pPr>
        <w:pStyle w:val="CalloutIndustry"/>
      </w:pPr>
      <w:r>
        <w:rPr>
          <w:bCs/>
          <w:b/>
        </w:rPr>
        <w:t xml:space="preserve">Early Google: barrels and hit lists.</w:t>
      </w:r>
      <w:r>
        <w:t xml:space="preserve"> </w:t>
      </w:r>
      <w:r>
        <w:t xml:space="preserve">Brin and Page’s prototype partitioned its forward index into 64</w:t>
      </w:r>
      <w:r>
        <w:t xml:space="preserve"> </w:t>
      </w:r>
      <w:r>
        <w:t xml:space="preserve">“</w:t>
      </w:r>
      <w:r>
        <w:t xml:space="preserve">barrels</w:t>
      </w:r>
      <w:r>
        <w:t xml:space="preserve">”</w:t>
      </w:r>
      <w:r>
        <w:t xml:space="preserve"> </w:t>
      </w:r>
      <w:r>
        <w:t xml:space="preserve">by word ID and sorted each barrel to produce the inverted index. Each posting carried a compact</w:t>
      </w:r>
      <w:r>
        <w:t xml:space="preserve"> </w:t>
      </w:r>
      <w:r>
        <w:t xml:space="preserve">“</w:t>
      </w:r>
      <w:r>
        <w:t xml:space="preserve">hit list</w:t>
      </w:r>
      <w:r>
        <w:t xml:space="preserve">”</w:t>
      </w:r>
      <w:r>
        <w:t xml:space="preserve"> </w:t>
      </w:r>
      <w:r>
        <w:t xml:space="preserve">(two bytes per hit, including capitalization and font size), and</w:t>
      </w:r>
      <w:r>
        <w:t xml:space="preserve"> </w:t>
      </w:r>
      <w:r>
        <w:t xml:space="preserve">“</w:t>
      </w:r>
      <w:r>
        <w:t xml:space="preserve">fancy</w:t>
      </w:r>
      <w:r>
        <w:t xml:space="preserve">”</w:t>
      </w:r>
      <w:r>
        <w:t xml:space="preserve"> </w:t>
      </w:r>
      <w:r>
        <w:t xml:space="preserve">hits from titles and anchor text were kept separately so queries could consult short, high-value lists first [Brin and Page 1998]. That idea survives as field-specific and tiered indexes.</w:t>
      </w:r>
      <w:r>
        <w:t xml:space="preserve"> </w:t>
      </w:r>
      <w:r>
        <w:rPr>
          <w:iCs/>
          <w:i/>
        </w:rPr>
        <w:t xml:space="preserve">Evidence: Primary</w:t>
      </w:r>
      <w:r>
        <w:t xml:space="preserve"> </w:t>
      </w:r>
      <w:r>
        <w:t xml:space="preserve">— [Brin and Page 1998]</w:t>
      </w:r>
    </w:p>
    <w:bookmarkEnd w:id="1802"/>
    <w:bookmarkStart w:id="1803" w:name="failure-scenarios-45"/>
    <w:p>
      <w:pPr>
        <w:pStyle w:val="Heading4"/>
      </w:pPr>
      <w:r>
        <w:t xml:space="preserve">Failure scenarios</w:t>
      </w:r>
    </w:p>
    <w:p>
      <w:pPr>
        <w:pStyle w:val="FirstParagraph"/>
      </w:pPr>
      <w:r>
        <w:rPr>
          <w:bCs/>
          <w:b/>
        </w:rPr>
        <w:t xml:space="preserve">Table 16.2 — Inverted index 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Query on a common term is slow</w:t>
            </w:r>
          </w:p>
        </w:tc>
        <w:tc>
          <w:tcPr/>
          <w:p>
            <w:pPr>
              <w:pStyle w:val="Compact"/>
              <w:jc w:val="left"/>
            </w:pPr>
            <w:r>
              <w:t xml:space="preserve">Postings list of tens of millions of entries is fully decoded and scored</w:t>
            </w:r>
          </w:p>
        </w:tc>
        <w:tc>
          <w:tcPr/>
          <w:p>
            <w:pPr>
              <w:pStyle w:val="Compact"/>
              <w:jc w:val="left"/>
            </w:pPr>
            <w:r>
              <w:t xml:space="preserve">Slow-query log; per-term latency</w:t>
            </w:r>
          </w:p>
        </w:tc>
        <w:tc>
          <w:tcPr/>
          <w:p>
            <w:pPr>
              <w:pStyle w:val="Compact"/>
              <w:jc w:val="left"/>
            </w:pPr>
            <w:r>
              <w:t xml:space="preserve">Add top-</w:t>
            </w:r>
            <w:r>
              <w:rPr>
                <w:iCs/>
                <w:i/>
              </w:rPr>
              <w:t xml:space="preserve">k</w:t>
            </w:r>
            <w:r>
              <w:t xml:space="preserve"> </w:t>
            </w:r>
            <w:r>
              <w:t xml:space="preserve">pruning (§16.5.6); cache results</w:t>
            </w:r>
          </w:p>
        </w:tc>
        <w:tc>
          <w:tcPr/>
          <w:p>
            <w:pPr>
              <w:pStyle w:val="Compact"/>
              <w:jc w:val="left"/>
            </w:pPr>
            <w:r>
              <w:t xml:space="preserve">Block-max skipping; avoid stop-word-only queries on huge fields</w:t>
            </w:r>
          </w:p>
        </w:tc>
      </w:tr>
      <w:tr>
        <w:tc>
          <w:tcPr/>
          <w:p>
            <w:pPr>
              <w:pStyle w:val="Compact"/>
              <w:jc w:val="left"/>
            </w:pPr>
            <w:r>
              <w:t xml:space="preserve">Index far larger than estimated</w:t>
            </w:r>
          </w:p>
        </w:tc>
        <w:tc>
          <w:tcPr/>
          <w:p>
            <w:pPr>
              <w:pStyle w:val="Compact"/>
              <w:jc w:val="left"/>
            </w:pPr>
            <w:r>
              <w:t xml:space="preserve">Positions and n-gram fields indexed everywhere</w:t>
            </w:r>
          </w:p>
        </w:tc>
        <w:tc>
          <w:tcPr/>
          <w:p>
            <w:pPr>
              <w:pStyle w:val="Compact"/>
              <w:jc w:val="left"/>
            </w:pPr>
            <w:r>
              <w:t xml:space="preserve">Per-field disk usage API</w:t>
            </w:r>
          </w:p>
        </w:tc>
        <w:tc>
          <w:tcPr/>
          <w:p>
            <w:pPr>
              <w:pStyle w:val="Compact"/>
              <w:jc w:val="left"/>
            </w:pPr>
            <w:r>
              <w:t xml:space="preserve">Reindex with</w:t>
            </w:r>
            <w:r>
              <w:t xml:space="preserve"> </w:t>
            </w:r>
            <w:r>
              <w:rPr>
                <w:rStyle w:val="VerbatimChar"/>
              </w:rPr>
              <w:t xml:space="preserve">index_options: freqs</w:t>
            </w:r>
            <w:r>
              <w:t xml:space="preserve"> </w:t>
            </w:r>
            <w:r>
              <w:t xml:space="preserve">where phrases are unused</w:t>
            </w:r>
          </w:p>
        </w:tc>
        <w:tc>
          <w:tcPr/>
          <w:p>
            <w:pPr>
              <w:pStyle w:val="Compact"/>
              <w:jc w:val="left"/>
            </w:pPr>
            <w:r>
              <w:t xml:space="preserve">Review mappings before launch</w:t>
            </w:r>
          </w:p>
        </w:tc>
      </w:tr>
      <w:tr>
        <w:tc>
          <w:tcPr/>
          <w:p>
            <w:pPr>
              <w:pStyle w:val="Compact"/>
              <w:jc w:val="left"/>
            </w:pPr>
            <w:r>
              <w:t xml:space="preserve">Corrupted segment after disk fault</w:t>
            </w:r>
          </w:p>
        </w:tc>
        <w:tc>
          <w:tcPr/>
          <w:p>
            <w:pPr>
              <w:pStyle w:val="Compact"/>
              <w:jc w:val="left"/>
            </w:pPr>
            <w:r>
              <w:t xml:space="preserve">Bit rot or torn write</w:t>
            </w:r>
          </w:p>
        </w:tc>
        <w:tc>
          <w:tcPr/>
          <w:p>
            <w:pPr>
              <w:pStyle w:val="Compact"/>
              <w:jc w:val="left"/>
            </w:pPr>
            <w:r>
              <w:t xml:space="preserve">Checksum mismatch on open</w:t>
            </w:r>
          </w:p>
        </w:tc>
        <w:tc>
          <w:tcPr/>
          <w:p>
            <w:pPr>
              <w:pStyle w:val="Compact"/>
              <w:jc w:val="left"/>
            </w:pPr>
            <w:r>
              <w:t xml:space="preserve">Recover shard from a replica or snapshot</w:t>
            </w:r>
          </w:p>
        </w:tc>
        <w:tc>
          <w:tcPr/>
          <w:p>
            <w:pPr>
              <w:pStyle w:val="Compact"/>
              <w:jc w:val="left"/>
            </w:pPr>
            <w:r>
              <w:t xml:space="preserve">Replicas on separate failure domains; checksums (Lucene has them)</w:t>
            </w:r>
          </w:p>
        </w:tc>
      </w:tr>
    </w:tbl>
    <w:bookmarkEnd w:id="1803"/>
    <w:bookmarkStart w:id="1804" w:name="common-misconceptions-35"/>
    <w:p>
      <w:pPr>
        <w:pStyle w:val="Heading4"/>
      </w:pPr>
      <w:r>
        <w:t xml:space="preserve">Common misconceptions</w:t>
      </w:r>
    </w:p>
    <w:p>
      <w:pPr>
        <w:pStyle w:val="CalloutMistake"/>
      </w:pPr>
      <w:r>
        <w:rPr>
          <w:bCs/>
          <w:b/>
        </w:rPr>
        <w:t xml:space="preserve">COMMON MISTAKE</w:t>
      </w:r>
    </w:p>
    <w:p>
      <w:pPr>
        <w:pStyle w:val="CalloutMistake"/>
      </w:pPr>
      <w:r>
        <w:rPr>
          <w:bCs/>
          <w:b/>
        </w:rPr>
        <w:t xml:space="preserve">Mistake —</w:t>
      </w:r>
      <w:r>
        <w:rPr>
          <w:bCs/>
          <w:b/>
        </w:rPr>
        <w:t xml:space="preserve"> </w:t>
      </w:r>
      <w:r>
        <w:rPr>
          <w:bCs/>
          <w:b/>
        </w:rPr>
        <w:t xml:space="preserve">“</w:t>
      </w:r>
      <w:r>
        <w:rPr>
          <w:bCs/>
          <w:b/>
        </w:rPr>
        <w:t xml:space="preserve">An inverted index is just a secondary index on a text column.</w:t>
      </w:r>
      <w:r>
        <w:rPr>
          <w:bCs/>
          <w:b/>
        </w:rPr>
        <w:t xml:space="preserve">”</w:t>
      </w:r>
      <w:r>
        <w:t xml:space="preserve"> </w:t>
      </w:r>
      <w:r>
        <w:t xml:space="preserve">A B-tree maps one value per row; an inverted index maps</w:t>
      </w:r>
      <w:r>
        <w:t xml:space="preserve"> </w:t>
      </w:r>
      <w:r>
        <w:rPr>
          <w:iCs/>
          <w:i/>
        </w:rPr>
        <w:t xml:space="preserve">many</w:t>
      </w:r>
      <w:r>
        <w:t xml:space="preserve"> </w:t>
      </w:r>
      <w:r>
        <w:t xml:space="preserve">terms per document, keeps term statistics for ranking and positions for phrases, and is built and compressed in bulk. That is why relational databases ship separate full-text index types (PostgreSQL’s GIN, for example).</w:t>
      </w:r>
    </w:p>
    <w:bookmarkEnd w:id="1804"/>
    <w:bookmarkEnd w:id="1805"/>
    <w:bookmarkEnd w:id="1806"/>
    <w:bookmarkStart w:id="1822" w:name="tokenization-and-analysis"/>
    <w:p>
      <w:pPr>
        <w:pStyle w:val="Heading2"/>
      </w:pPr>
      <w:r>
        <w:t xml:space="preserve">16.4 Tokenization and analysis</w:t>
      </w:r>
    </w:p>
    <w:bookmarkStart w:id="1812" w:name="the-analysis-chain"/>
    <w:p>
      <w:pPr>
        <w:pStyle w:val="Heading3"/>
      </w:pPr>
      <w:r>
        <w:t xml:space="preserve">16.4.1 The analysis chain</w:t>
      </w:r>
    </w:p>
    <w:p>
      <w:pPr>
        <w:pStyle w:val="CalloutDefinition"/>
      </w:pPr>
      <w:r>
        <w:rPr>
          <w:bCs/>
          <w:b/>
        </w:rPr>
        <w:t xml:space="preserve">DEFINITION</w:t>
      </w:r>
    </w:p>
    <w:p>
      <w:pPr>
        <w:pStyle w:val="CalloutDefinition"/>
      </w:pPr>
      <w:r>
        <w:rPr>
          <w:bCs/>
          <w:b/>
        </w:rPr>
        <w:t xml:space="preserve">Definition — Analysis.</w:t>
      </w:r>
      <w:r>
        <w:t xml:space="preserve"> </w:t>
      </w:r>
      <w:r>
        <w:t xml:space="preserve">The process that converts raw text into the terms stored in (or looked up from) an inverted index. An</w:t>
      </w:r>
      <w:r>
        <w:t xml:space="preserve"> </w:t>
      </w:r>
      <w:r>
        <w:rPr>
          <w:bCs/>
          <w:b/>
        </w:rPr>
        <w:t xml:space="preserve">analyzer</w:t>
      </w:r>
      <w:r>
        <w:t xml:space="preserve"> </w:t>
      </w:r>
      <w:r>
        <w:t xml:space="preserve">is a pipeline of zero or more</w:t>
      </w:r>
      <w:r>
        <w:t xml:space="preserve"> </w:t>
      </w:r>
      <w:r>
        <w:rPr>
          <w:bCs/>
          <w:b/>
        </w:rPr>
        <w:t xml:space="preserve">character filters</w:t>
      </w:r>
      <w:r>
        <w:t xml:space="preserve"> </w:t>
      </w:r>
      <w:r>
        <w:t xml:space="preserve">(rewrite the raw character stream), exactly one</w:t>
      </w:r>
      <w:r>
        <w:t xml:space="preserve"> </w:t>
      </w:r>
      <w:r>
        <w:rPr>
          <w:bCs/>
          <w:b/>
        </w:rPr>
        <w:t xml:space="preserve">tokenizer</w:t>
      </w:r>
      <w:r>
        <w:t xml:space="preserve"> </w:t>
      </w:r>
      <w:r>
        <w:t xml:space="preserve">(split the stream into tokens with positions and offsets) and zero or more</w:t>
      </w:r>
      <w:r>
        <w:t xml:space="preserve"> </w:t>
      </w:r>
      <w:r>
        <w:rPr>
          <w:bCs/>
          <w:b/>
        </w:rPr>
        <w:t xml:space="preserve">token filters</w:t>
      </w:r>
      <w:r>
        <w:t xml:space="preserve"> </w:t>
      </w:r>
      <w:r>
        <w:t xml:space="preserve">(modify, remove or add tokens).</w:t>
      </w:r>
    </w:p>
    <w:bookmarkStart w:id="1807" w:name="first-principles-explanation-102"/>
    <w:p>
      <w:pPr>
        <w:pStyle w:val="Heading4"/>
      </w:pPr>
      <w:r>
        <w:t xml:space="preserve">First-principles explanation</w:t>
      </w:r>
    </w:p>
    <w:p>
      <w:pPr>
        <w:pStyle w:val="FirstParagraph"/>
      </w:pPr>
      <w:r>
        <w:t xml:space="preserve">An inverted index matches terms</w:t>
      </w:r>
      <w:r>
        <w:t xml:space="preserve"> </w:t>
      </w:r>
      <w:r>
        <w:rPr>
          <w:iCs/>
          <w:i/>
        </w:rPr>
        <w:t xml:space="preserve">exactly</w:t>
      </w:r>
      <w:r>
        <w:t xml:space="preserve">:</w:t>
      </w:r>
      <w:r>
        <w:t xml:space="preserve"> </w:t>
      </w:r>
      <w:r>
        <w:rPr>
          <w:rStyle w:val="VerbatimChar"/>
        </w:rPr>
        <w:t xml:space="preserve">Headphones</w:t>
      </w:r>
      <w:r>
        <w:t xml:space="preserve"> </w:t>
      </w:r>
      <w:r>
        <w:t xml:space="preserve">and</w:t>
      </w:r>
      <w:r>
        <w:t xml:space="preserve"> </w:t>
      </w:r>
      <w:r>
        <w:rPr>
          <w:rStyle w:val="VerbatimChar"/>
        </w:rPr>
        <w:t xml:space="preserve">headphone</w:t>
      </w:r>
      <w:r>
        <w:t xml:space="preserve"> </w:t>
      </w:r>
      <w:r>
        <w:t xml:space="preserve">are different keys, though a shopper does not care. Analysis decides which strings count as</w:t>
      </w:r>
      <w:r>
        <w:t xml:space="preserve"> </w:t>
      </w:r>
      <w:r>
        <w:t xml:space="preserve">“</w:t>
      </w:r>
      <w:r>
        <w:t xml:space="preserve">the same word</w:t>
      </w:r>
      <w:r>
        <w:t xml:space="preserve">”</w:t>
      </w:r>
      <w:r>
        <w:t xml:space="preserve">, as a librarian filing</w:t>
      </w:r>
      <w:r>
        <w:t xml:space="preserve"> </w:t>
      </w:r>
      <w:r>
        <w:t xml:space="preserve">“</w:t>
      </w:r>
      <w:r>
        <w:t xml:space="preserve">Colour</w:t>
      </w:r>
      <w:r>
        <w:t xml:space="preserve">”</w:t>
      </w:r>
      <w:r>
        <w:t xml:space="preserve">,</w:t>
      </w:r>
      <w:r>
        <w:t xml:space="preserve"> </w:t>
      </w:r>
      <w:r>
        <w:t xml:space="preserve">“</w:t>
      </w:r>
      <w:r>
        <w:t xml:space="preserve">color</w:t>
      </w:r>
      <w:r>
        <w:t xml:space="preserve">”</w:t>
      </w:r>
      <w:r>
        <w:t xml:space="preserve"> </w:t>
      </w:r>
      <w:r>
        <w:t xml:space="preserve">and</w:t>
      </w:r>
      <w:r>
        <w:t xml:space="preserve"> </w:t>
      </w:r>
      <w:r>
        <w:t xml:space="preserve">“</w:t>
      </w:r>
      <w:r>
        <w:t xml:space="preserve">COLORS</w:t>
      </w:r>
      <w:r>
        <w:t xml:space="preserve">”</w:t>
      </w:r>
      <w:r>
        <w:t xml:space="preserve"> </w:t>
      </w:r>
      <w:r>
        <w:t xml:space="preserve">under one card does by hand. Every decision moves the balance between two quality measures.</w:t>
      </w:r>
      <w:r>
        <w:t xml:space="preserve"> </w:t>
      </w:r>
      <w:r>
        <w:rPr>
          <w:bCs/>
          <w:b/>
        </w:rPr>
        <w:t xml:space="preserve">Recall</w:t>
      </w:r>
      <w:r>
        <w:t xml:space="preserve"> </w:t>
      </w:r>
      <w:r>
        <w:t xml:space="preserve">is the fraction of relevant documents that are returned;</w:t>
      </w:r>
      <w:r>
        <w:t xml:space="preserve"> </w:t>
      </w:r>
      <w:r>
        <w:rPr>
          <w:bCs/>
          <w:b/>
        </w:rPr>
        <w:t xml:space="preserve">precision</w:t>
      </w:r>
      <w:r>
        <w:t xml:space="preserve"> </w:t>
      </w:r>
      <w:r>
        <w:t xml:space="preserve">is the fraction of returned documents that are relevant. Aggressive normalization (stemming, synonyms, folding accents) raises recall and risks precision:</w:t>
      </w:r>
      <w:r>
        <w:t xml:space="preserve"> </w:t>
      </w:r>
      <w:r>
        <w:t xml:space="preserve">“</w:t>
      </w:r>
      <w:r>
        <w:t xml:space="preserve">university</w:t>
      </w:r>
      <w:r>
        <w:t xml:space="preserve">”</w:t>
      </w:r>
      <w:r>
        <w:t xml:space="preserve"> </w:t>
      </w:r>
      <w:r>
        <w:t xml:space="preserve">and</w:t>
      </w:r>
      <w:r>
        <w:t xml:space="preserve"> </w:t>
      </w:r>
      <w:r>
        <w:t xml:space="preserve">“</w:t>
      </w:r>
      <w:r>
        <w:t xml:space="preserve">universe</w:t>
      </w:r>
      <w:r>
        <w:t xml:space="preserve">”</w:t>
      </w:r>
      <w:r>
        <w:t xml:space="preserve"> </w:t>
      </w:r>
      <w:r>
        <w:t xml:space="preserve">both stem to</w:t>
      </w:r>
      <w:r>
        <w:t xml:space="preserve"> </w:t>
      </w:r>
      <w:r>
        <w:t xml:space="preserve">“</w:t>
      </w:r>
      <w:r>
        <w:t xml:space="preserve">univers</w:t>
      </w:r>
      <w:r>
        <w:t xml:space="preserve">”</w:t>
      </w:r>
      <w:r>
        <w:t xml:space="preserve"> </w:t>
      </w:r>
      <w:r>
        <w:t xml:space="preserve">under the Porter stemmer. Conservative analysis does the opposite.</w:t>
      </w:r>
    </w:p>
    <w:bookmarkEnd w:id="1807"/>
    <w:bookmarkStart w:id="1811" w:name="how-it-works-internally-67"/>
    <w:p>
      <w:pPr>
        <w:pStyle w:val="Heading4"/>
      </w:pPr>
      <w:r>
        <w:t xml:space="preserve">How it works internally</w:t>
      </w:r>
    </w:p>
    <w:p>
      <w:pPr>
        <w:pStyle w:val="FirstParagraph"/>
      </w:pPr>
      <w:r>
        <w:rPr>
          <w:bCs/>
          <w:b/>
        </w:rPr>
        <w:t xml:space="preserve">Figure 16.3 — An analysis chain applied at index time and at query time.</w:t>
      </w:r>
    </w:p>
    <w:p>
      <w:pPr>
        <w:pStyle w:val="BodyText"/>
      </w:pPr>
      <w:r>
        <w:drawing>
          <wp:inline>
            <wp:extent cx="5334000" cy="722955"/>
            <wp:effectExtent b="0" l="0" r="0" t="0"/>
            <wp:docPr descr="" title="" id="1809" name="Picture"/>
            <a:graphic>
              <a:graphicData uri="http://schemas.openxmlformats.org/drawingml/2006/picture">
                <pic:pic>
                  <pic:nvPicPr>
                    <pic:cNvPr descr="/home/user/System-Design/build/.cache/diagrams/2cf285b29937.png" id="1810" name="Picture"/>
                    <pic:cNvPicPr>
                      <a:picLocks noChangeArrowheads="1" noChangeAspect="1"/>
                    </pic:cNvPicPr>
                  </pic:nvPicPr>
                  <pic:blipFill>
                    <a:blip r:embed="rId1808"/>
                    <a:stretch>
                      <a:fillRect/>
                    </a:stretch>
                  </pic:blipFill>
                  <pic:spPr bwMode="auto">
                    <a:xfrm>
                      <a:off x="0" y="0"/>
                      <a:ext cx="5334000" cy="722955"/>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Two inputs enter the same pipeline: a document at index time (top) and a query at search time (bottom). Character filters run first on raw text (stripping HTML, mapping</w:t>
      </w:r>
      <w:r>
        <w:t xml:space="preserve"> </w:t>
      </w:r>
      <w:r>
        <w:t xml:space="preserve">“</w:t>
      </w:r>
      <w:r>
        <w:t xml:space="preserve">&amp;</w:t>
      </w:r>
      <w:r>
        <w:t xml:space="preserve">”</w:t>
      </w:r>
      <w:r>
        <w:t xml:space="preserve"> </w:t>
      </w:r>
      <w:r>
        <w:t xml:space="preserve">to</w:t>
      </w:r>
      <w:r>
        <w:t xml:space="preserve"> </w:t>
      </w:r>
      <w:r>
        <w:t xml:space="preserve">“</w:t>
      </w:r>
      <w:r>
        <w:t xml:space="preserve">and</w:t>
      </w:r>
      <w:r>
        <w:t xml:space="preserve">”</w:t>
      </w:r>
      <w:r>
        <w:t xml:space="preserve">); the tokenizer then splits text into tokens with positions; token filters normalize them. The index stores terms with positions; the query side only looks terms up. All steps are synchronous, in-process transformations; the only storage boundary is the index. The critical failure point is</w:t>
      </w:r>
      <w:r>
        <w:t xml:space="preserve"> </w:t>
      </w:r>
      <w:r>
        <w:rPr>
          <w:bCs/>
          <w:b/>
        </w:rPr>
        <w:t xml:space="preserve">asymmetry</w:t>
      </w:r>
      <w:r>
        <w:t xml:space="preserve">: if the two pipelines diverge, for example because the index was built with stemming and the query analyzer was changed later, queries look up terms that were never stored and silently return nothing. Changing index-time analysis therefore requires a full reindex (§16.10.2); query-time-only filters such as synonyms can change without one. Analysis is CPU-bound and scales with indexer nodes.</w:t>
      </w:r>
    </w:p>
    <w:p>
      <w:pPr>
        <w:pStyle w:val="BodyText"/>
      </w:pPr>
      <w:r>
        <w:rPr>
          <w:bCs/>
          <w:b/>
        </w:rPr>
        <w:t xml:space="preserve">Table 16.3 — Analysis chain components and their trade-offs.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Component</w:t>
            </w:r>
          </w:p>
        </w:tc>
        <w:tc>
          <w:tcPr/>
          <w:p>
            <w:pPr>
              <w:pStyle w:val="Compact"/>
              <w:jc w:val="left"/>
            </w:pPr>
            <w:r>
              <w:t xml:space="preserve">Example</w:t>
            </w:r>
          </w:p>
        </w:tc>
        <w:tc>
          <w:tcPr/>
          <w:p>
            <w:pPr>
              <w:pStyle w:val="Compact"/>
              <w:jc w:val="left"/>
            </w:pPr>
            <w:r>
              <w:t xml:space="preserve">Raises</w:t>
            </w:r>
          </w:p>
        </w:tc>
        <w:tc>
          <w:tcPr/>
          <w:p>
            <w:pPr>
              <w:pStyle w:val="Compact"/>
              <w:jc w:val="left"/>
            </w:pPr>
            <w:r>
              <w:t xml:space="preserve">Risks</w:t>
            </w:r>
          </w:p>
        </w:tc>
      </w:tr>
      <w:tr>
        <w:tc>
          <w:tcPr/>
          <w:p>
            <w:pPr>
              <w:pStyle w:val="Compact"/>
              <w:jc w:val="left"/>
            </w:pPr>
            <w:r>
              <w:t xml:space="preserve">Char filter</w:t>
            </w:r>
          </w:p>
        </w:tc>
        <w:tc>
          <w:tcPr/>
          <w:p>
            <w:pPr>
              <w:pStyle w:val="Compact"/>
              <w:jc w:val="left"/>
            </w:pPr>
            <w:r>
              <w:t xml:space="preserve">Strip HTML; map</w:t>
            </w:r>
            <w:r>
              <w:t xml:space="preserve"> </w:t>
            </w:r>
            <w:r>
              <w:t xml:space="preserve">“</w:t>
            </w:r>
            <w:r>
              <w:t xml:space="preserve">½</w:t>
            </w:r>
            <w:r>
              <w:t xml:space="preserve">”</w:t>
            </w:r>
            <w:r>
              <w:t xml:space="preserve"> </w:t>
            </w:r>
            <w:r>
              <w:t xml:space="preserve">to</w:t>
            </w:r>
            <w:r>
              <w:t xml:space="preserve"> </w:t>
            </w:r>
            <w:r>
              <w:t xml:space="preserve">“</w:t>
            </w:r>
            <w:r>
              <w:t xml:space="preserve">1/2</w:t>
            </w:r>
            <w:r>
              <w:t xml:space="preserve">”</w:t>
            </w:r>
          </w:p>
        </w:tc>
        <w:tc>
          <w:tcPr/>
          <w:p>
            <w:pPr>
              <w:pStyle w:val="Compact"/>
              <w:jc w:val="left"/>
            </w:pPr>
            <w:r>
              <w:t xml:space="preserve">Clean tokens</w:t>
            </w:r>
          </w:p>
        </w:tc>
        <w:tc>
          <w:tcPr/>
          <w:p>
            <w:pPr>
              <w:pStyle w:val="Compact"/>
              <w:jc w:val="left"/>
            </w:pPr>
            <w:r>
              <w:t xml:space="preserve">Losing meaningful symbols</w:t>
            </w:r>
          </w:p>
        </w:tc>
      </w:tr>
      <w:tr>
        <w:tc>
          <w:tcPr/>
          <w:p>
            <w:pPr>
              <w:pStyle w:val="Compact"/>
              <w:jc w:val="left"/>
            </w:pPr>
            <w:r>
              <w:t xml:space="preserve">Standard tokenizer</w:t>
            </w:r>
          </w:p>
        </w:tc>
        <w:tc>
          <w:tcPr/>
          <w:p>
            <w:pPr>
              <w:pStyle w:val="Compact"/>
              <w:jc w:val="left"/>
            </w:pPr>
            <w:r>
              <w:t xml:space="preserve">Unicode word boundaries (UAX #29)</w:t>
            </w:r>
          </w:p>
        </w:tc>
        <w:tc>
          <w:tcPr/>
          <w:p>
            <w:pPr>
              <w:pStyle w:val="Compact"/>
              <w:jc w:val="left"/>
            </w:pPr>
            <w:r>
              <w:t xml:space="preserve">Language-neutral splitting</w:t>
            </w:r>
          </w:p>
        </w:tc>
        <w:tc>
          <w:tcPr/>
          <w:p>
            <w:pPr>
              <w:pStyle w:val="Compact"/>
              <w:jc w:val="left"/>
            </w:pPr>
            <w:r>
              <w:t xml:space="preserve">“</w:t>
            </w:r>
            <w:r>
              <w:t xml:space="preserve">C++</w:t>
            </w:r>
            <w:r>
              <w:t xml:space="preserve">”</w:t>
            </w:r>
            <w:r>
              <w:t xml:space="preserve">,</w:t>
            </w:r>
            <w:r>
              <w:t xml:space="preserve"> </w:t>
            </w:r>
            <w:r>
              <w:t xml:space="preserve">“</w:t>
            </w:r>
            <w:r>
              <w:t xml:space="preserve">U.S.A.</w:t>
            </w:r>
            <w:r>
              <w:t xml:space="preserve">”</w:t>
            </w:r>
            <w:r>
              <w:t xml:space="preserve">,</w:t>
            </w:r>
            <w:r>
              <w:t xml:space="preserve"> </w:t>
            </w:r>
            <w:r>
              <w:t xml:space="preserve">“</w:t>
            </w:r>
            <w:r>
              <w:t xml:space="preserve">e-mail</w:t>
            </w:r>
            <w:r>
              <w:t xml:space="preserve">”</w:t>
            </w:r>
            <w:r>
              <w:t xml:space="preserve"> </w:t>
            </w:r>
            <w:r>
              <w:t xml:space="preserve">split oddly</w:t>
            </w:r>
          </w:p>
        </w:tc>
      </w:tr>
      <w:tr>
        <w:tc>
          <w:tcPr/>
          <w:p>
            <w:pPr>
              <w:pStyle w:val="Compact"/>
              <w:jc w:val="left"/>
            </w:pPr>
            <w:r>
              <w:t xml:space="preserve">Lowercase</w:t>
            </w:r>
          </w:p>
        </w:tc>
        <w:tc>
          <w:tcPr/>
          <w:p>
            <w:pPr>
              <w:pStyle w:val="Compact"/>
              <w:jc w:val="left"/>
            </w:pPr>
            <w:r>
              <w:t xml:space="preserve">“</w:t>
            </w:r>
            <w:r>
              <w:t xml:space="preserve">Wi-Fi</w:t>
            </w:r>
            <w:r>
              <w:t xml:space="preserve">”</w:t>
            </w:r>
            <w:r>
              <w:t xml:space="preserve"> </w:t>
            </w:r>
            <w:r>
              <w:t xml:space="preserve">→</w:t>
            </w:r>
            <w:r>
              <w:t xml:space="preserve"> </w:t>
            </w:r>
            <w:r>
              <w:t xml:space="preserve">“</w:t>
            </w:r>
            <w:r>
              <w:t xml:space="preserve">wi</w:t>
            </w:r>
            <w:r>
              <w:t xml:space="preserve">”</w:t>
            </w:r>
            <w:r>
              <w:t xml:space="preserve">,</w:t>
            </w:r>
            <w:r>
              <w:t xml:space="preserve"> </w:t>
            </w:r>
            <w:r>
              <w:t xml:space="preserve">“</w:t>
            </w:r>
            <w:r>
              <w:t xml:space="preserve">fi</w:t>
            </w:r>
            <w:r>
              <w:t xml:space="preserve">”</w:t>
            </w:r>
          </w:p>
        </w:tc>
        <w:tc>
          <w:tcPr/>
          <w:p>
            <w:pPr>
              <w:pStyle w:val="Compact"/>
              <w:jc w:val="left"/>
            </w:pPr>
            <w:r>
              <w:t xml:space="preserve">Recall</w:t>
            </w:r>
          </w:p>
        </w:tc>
        <w:tc>
          <w:tcPr/>
          <w:p>
            <w:pPr>
              <w:pStyle w:val="Compact"/>
              <w:jc w:val="left"/>
            </w:pPr>
            <w:r>
              <w:t xml:space="preserve">“</w:t>
            </w:r>
            <w:r>
              <w:t xml:space="preserve">US</w:t>
            </w:r>
            <w:r>
              <w:t xml:space="preserve">”</w:t>
            </w:r>
            <w:r>
              <w:t xml:space="preserve"> </w:t>
            </w:r>
            <w:r>
              <w:t xml:space="preserve">(country) vs</w:t>
            </w:r>
            <w:r>
              <w:t xml:space="preserve"> </w:t>
            </w:r>
            <w:r>
              <w:t xml:space="preserve">“</w:t>
            </w:r>
            <w:r>
              <w:t xml:space="preserve">us</w:t>
            </w:r>
            <w:r>
              <w:t xml:space="preserve">”</w:t>
            </w:r>
            <w:r>
              <w:t xml:space="preserve"> </w:t>
            </w:r>
            <w:r>
              <w:t xml:space="preserve">(pronoun)</w:t>
            </w:r>
          </w:p>
        </w:tc>
      </w:tr>
      <w:tr>
        <w:tc>
          <w:tcPr/>
          <w:p>
            <w:pPr>
              <w:pStyle w:val="Compact"/>
              <w:jc w:val="left"/>
            </w:pPr>
            <w:r>
              <w:t xml:space="preserve">ASCII folding</w:t>
            </w:r>
          </w:p>
        </w:tc>
        <w:tc>
          <w:tcPr/>
          <w:p>
            <w:pPr>
              <w:pStyle w:val="Compact"/>
              <w:jc w:val="left"/>
            </w:pPr>
            <w:r>
              <w:t xml:space="preserve">“</w:t>
            </w:r>
            <w:r>
              <w:t xml:space="preserve">café</w:t>
            </w:r>
            <w:r>
              <w:t xml:space="preserve">”</w:t>
            </w:r>
            <w:r>
              <w:t xml:space="preserve"> </w:t>
            </w:r>
            <w:r>
              <w:t xml:space="preserve">→</w:t>
            </w:r>
            <w:r>
              <w:t xml:space="preserve"> </w:t>
            </w:r>
            <w:r>
              <w:t xml:space="preserve">“</w:t>
            </w:r>
            <w:r>
              <w:t xml:space="preserve">cafe</w:t>
            </w:r>
            <w:r>
              <w:t xml:space="preserve">”</w:t>
            </w:r>
          </w:p>
        </w:tc>
        <w:tc>
          <w:tcPr/>
          <w:p>
            <w:pPr>
              <w:pStyle w:val="Compact"/>
              <w:jc w:val="left"/>
            </w:pPr>
            <w:r>
              <w:t xml:space="preserve">Recall for unaccented queries</w:t>
            </w:r>
          </w:p>
        </w:tc>
        <w:tc>
          <w:tcPr/>
          <w:p>
            <w:pPr>
              <w:pStyle w:val="Compact"/>
              <w:jc w:val="left"/>
            </w:pPr>
            <w:r>
              <w:t xml:space="preserve">Precision in languages where accents matter</w:t>
            </w:r>
          </w:p>
        </w:tc>
      </w:tr>
      <w:tr>
        <w:tc>
          <w:tcPr/>
          <w:p>
            <w:pPr>
              <w:pStyle w:val="Compact"/>
              <w:jc w:val="left"/>
            </w:pPr>
            <w:r>
              <w:t xml:space="preserve">Stop words</w:t>
            </w:r>
          </w:p>
        </w:tc>
        <w:tc>
          <w:tcPr/>
          <w:p>
            <w:pPr>
              <w:pStyle w:val="Compact"/>
              <w:jc w:val="left"/>
            </w:pPr>
            <w:r>
              <w:t xml:space="preserve">Drop</w:t>
            </w:r>
            <w:r>
              <w:t xml:space="preserve"> </w:t>
            </w:r>
            <w:r>
              <w:t xml:space="preserve">“</w:t>
            </w:r>
            <w:r>
              <w:t xml:space="preserve">the</w:t>
            </w:r>
            <w:r>
              <w:t xml:space="preserve">”</w:t>
            </w:r>
            <w:r>
              <w:t xml:space="preserve">,</w:t>
            </w:r>
            <w:r>
              <w:t xml:space="preserve"> </w:t>
            </w:r>
            <w:r>
              <w:t xml:space="preserve">“</w:t>
            </w:r>
            <w:r>
              <w:t xml:space="preserve">of</w:t>
            </w:r>
            <w:r>
              <w:t xml:space="preserve">”</w:t>
            </w:r>
          </w:p>
        </w:tc>
        <w:tc>
          <w:tcPr/>
          <w:p>
            <w:pPr>
              <w:pStyle w:val="Compact"/>
              <w:jc w:val="left"/>
            </w:pPr>
            <w:r>
              <w:t xml:space="preserve">Index size, speed</w:t>
            </w:r>
          </w:p>
        </w:tc>
        <w:tc>
          <w:tcPr/>
          <w:p>
            <w:pPr>
              <w:pStyle w:val="Compact"/>
              <w:jc w:val="left"/>
            </w:pPr>
            <w:r>
              <w:t xml:space="preserve">Queries like</w:t>
            </w:r>
            <w:r>
              <w:t xml:space="preserve"> </w:t>
            </w:r>
            <w:r>
              <w:t xml:space="preserve">“</w:t>
            </w:r>
            <w:r>
              <w:t xml:space="preserve">The Who</w:t>
            </w:r>
            <w:r>
              <w:t xml:space="preserve">”</w:t>
            </w:r>
            <w:r>
              <w:t xml:space="preserve">,</w:t>
            </w:r>
            <w:r>
              <w:t xml:space="preserve"> </w:t>
            </w:r>
            <w:r>
              <w:t xml:space="preserve">“</w:t>
            </w:r>
            <w:r>
              <w:t xml:space="preserve">to be or not to be</w:t>
            </w:r>
            <w:r>
              <w:t xml:space="preserve">”</w:t>
            </w:r>
          </w:p>
        </w:tc>
      </w:tr>
      <w:tr>
        <w:tc>
          <w:tcPr/>
          <w:p>
            <w:pPr>
              <w:pStyle w:val="Compact"/>
              <w:jc w:val="left"/>
            </w:pPr>
            <w:r>
              <w:t xml:space="preserve">Stemming</w:t>
            </w:r>
          </w:p>
        </w:tc>
        <w:tc>
          <w:tcPr/>
          <w:p>
            <w:pPr>
              <w:pStyle w:val="Compact"/>
              <w:jc w:val="left"/>
            </w:pPr>
            <w:r>
              <w:t xml:space="preserve">“</w:t>
            </w:r>
            <w:r>
              <w:t xml:space="preserve">running</w:t>
            </w:r>
            <w:r>
              <w:t xml:space="preserve">”</w:t>
            </w:r>
            <w:r>
              <w:t xml:space="preserve"> </w:t>
            </w:r>
            <w:r>
              <w:t xml:space="preserve">→</w:t>
            </w:r>
            <w:r>
              <w:t xml:space="preserve"> </w:t>
            </w:r>
            <w:r>
              <w:t xml:space="preserve">“</w:t>
            </w:r>
            <w:r>
              <w:t xml:space="preserve">run</w:t>
            </w:r>
            <w:r>
              <w:t xml:space="preserve">”</w:t>
            </w:r>
          </w:p>
        </w:tc>
        <w:tc>
          <w:tcPr/>
          <w:p>
            <w:pPr>
              <w:pStyle w:val="Compact"/>
              <w:jc w:val="left"/>
            </w:pPr>
            <w:r>
              <w:t xml:space="preserve">Recall</w:t>
            </w:r>
          </w:p>
        </w:tc>
        <w:tc>
          <w:tcPr/>
          <w:p>
            <w:pPr>
              <w:pStyle w:val="Compact"/>
              <w:jc w:val="left"/>
            </w:pPr>
            <w:r>
              <w:t xml:space="preserve">Over-stemming (</w:t>
            </w:r>
            <w:r>
              <w:t xml:space="preserve">“</w:t>
            </w:r>
            <w:r>
              <w:t xml:space="preserve">universe</w:t>
            </w:r>
            <w:r>
              <w:t xml:space="preserve">”</w:t>
            </w:r>
            <w:r>
              <w:t xml:space="preserve"> </w:t>
            </w:r>
            <w:r>
              <w:t xml:space="preserve">~</w:t>
            </w:r>
            <w:r>
              <w:t xml:space="preserve"> </w:t>
            </w:r>
            <w:r>
              <w:t xml:space="preserve">“</w:t>
            </w:r>
            <w:r>
              <w:t xml:space="preserve">university</w:t>
            </w:r>
            <w:r>
              <w:t xml:space="preserve">”</w:t>
            </w:r>
            <w:r>
              <w:t xml:space="preserve">)</w:t>
            </w:r>
          </w:p>
        </w:tc>
      </w:tr>
      <w:tr>
        <w:tc>
          <w:tcPr/>
          <w:p>
            <w:pPr>
              <w:pStyle w:val="Compact"/>
              <w:jc w:val="left"/>
            </w:pPr>
            <w:r>
              <w:t xml:space="preserve">Synonyms</w:t>
            </w:r>
          </w:p>
        </w:tc>
        <w:tc>
          <w:tcPr/>
          <w:p>
            <w:pPr>
              <w:pStyle w:val="Compact"/>
              <w:jc w:val="left"/>
            </w:pPr>
            <w:r>
              <w:t xml:space="preserve">“</w:t>
            </w:r>
            <w:r>
              <w:t xml:space="preserve">tv</w:t>
            </w:r>
            <w:r>
              <w:t xml:space="preserve">”</w:t>
            </w:r>
            <w:r>
              <w:t xml:space="preserve"> </w:t>
            </w:r>
            <w:r>
              <w:t xml:space="preserve">→</w:t>
            </w:r>
            <w:r>
              <w:t xml:space="preserve"> </w:t>
            </w:r>
            <w:r>
              <w:t xml:space="preserve">“</w:t>
            </w:r>
            <w:r>
              <w:t xml:space="preserve">television</w:t>
            </w:r>
            <w:r>
              <w:t xml:space="preserve">”</w:t>
            </w:r>
          </w:p>
        </w:tc>
        <w:tc>
          <w:tcPr/>
          <w:p>
            <w:pPr>
              <w:pStyle w:val="Compact"/>
              <w:jc w:val="left"/>
            </w:pPr>
            <w:r>
              <w:t xml:space="preserve">Recall</w:t>
            </w:r>
          </w:p>
        </w:tc>
        <w:tc>
          <w:tcPr/>
          <w:p>
            <w:pPr>
              <w:pStyle w:val="Compact"/>
              <w:jc w:val="left"/>
            </w:pPr>
            <w:r>
              <w:t xml:space="preserve">Drift (</w:t>
            </w:r>
            <w:r>
              <w:t xml:space="preserve">“</w:t>
            </w:r>
            <w:r>
              <w:t xml:space="preserve">apple</w:t>
            </w:r>
            <w:r>
              <w:t xml:space="preserve">”</w:t>
            </w:r>
            <w:r>
              <w:t xml:space="preserve"> </w:t>
            </w:r>
            <w:r>
              <w:t xml:space="preserve">fruit vs company)</w:t>
            </w:r>
          </w:p>
        </w:tc>
      </w:tr>
      <w:tr>
        <w:tc>
          <w:tcPr/>
          <w:p>
            <w:pPr>
              <w:pStyle w:val="Compact"/>
              <w:jc w:val="left"/>
            </w:pPr>
            <w:r>
              <w:t xml:space="preserve">Edge n-grams</w:t>
            </w:r>
          </w:p>
        </w:tc>
        <w:tc>
          <w:tcPr/>
          <w:p>
            <w:pPr>
              <w:pStyle w:val="Compact"/>
              <w:jc w:val="left"/>
            </w:pPr>
            <w:r>
              <w:t xml:space="preserve">“</w:t>
            </w:r>
            <w:r>
              <w:t xml:space="preserve">head</w:t>
            </w:r>
            <w:r>
              <w:t xml:space="preserve">”</w:t>
            </w:r>
            <w:r>
              <w:t xml:space="preserve"> </w:t>
            </w:r>
            <w:r>
              <w:t xml:space="preserve">→ h, he, hea, head</w:t>
            </w:r>
          </w:p>
        </w:tc>
        <w:tc>
          <w:tcPr/>
          <w:p>
            <w:pPr>
              <w:pStyle w:val="Compact"/>
              <w:jc w:val="left"/>
            </w:pPr>
            <w:r>
              <w:t xml:space="preserve">Prefix matching</w:t>
            </w:r>
          </w:p>
        </w:tc>
        <w:tc>
          <w:tcPr/>
          <w:p>
            <w:pPr>
              <w:pStyle w:val="Compact"/>
              <w:jc w:val="left"/>
            </w:pPr>
            <w:r>
              <w:t xml:space="preserve">Index 3–10× larger</w:t>
            </w:r>
          </w:p>
        </w:tc>
      </w:tr>
    </w:tbl>
    <w:bookmarkEnd w:id="1811"/>
    <w:bookmarkEnd w:id="1812"/>
    <w:bookmarkStart w:id="1813" w:name="tokenizers-and-normalization"/>
    <w:p>
      <w:pPr>
        <w:pStyle w:val="Heading3"/>
      </w:pPr>
      <w:r>
        <w:t xml:space="preserve">16.4.2 Tokenizers and normalization</w:t>
      </w:r>
    </w:p>
    <w:p>
      <w:pPr>
        <w:pStyle w:val="FirstParagraph"/>
      </w:pPr>
      <w:r>
        <w:t xml:space="preserve">A</w:t>
      </w:r>
      <w:r>
        <w:t xml:space="preserve"> </w:t>
      </w:r>
      <w:r>
        <w:rPr>
          <w:bCs/>
          <w:b/>
        </w:rPr>
        <w:t xml:space="preserve">whitespace tokenizer</w:t>
      </w:r>
      <w:r>
        <w:t xml:space="preserve"> </w:t>
      </w:r>
      <w:r>
        <w:t xml:space="preserve">splits on spaces and keeps punctuation attached (</w:t>
      </w:r>
      <w:r>
        <w:t xml:space="preserve">“</w:t>
      </w:r>
      <w:r>
        <w:t xml:space="preserve">headphones,</w:t>
      </w:r>
      <w:r>
        <w:t xml:space="preserve">”</w:t>
      </w:r>
      <w:r>
        <w:t xml:space="preserve">). Lucene’s</w:t>
      </w:r>
      <w:r>
        <w:t xml:space="preserve"> </w:t>
      </w:r>
      <w:r>
        <w:rPr>
          <w:bCs/>
          <w:b/>
        </w:rPr>
        <w:t xml:space="preserve">standard tokenizer</w:t>
      </w:r>
      <w:r>
        <w:t xml:space="preserve"> </w:t>
      </w:r>
      <w:r>
        <w:t xml:space="preserve">implements the Unicode word-break rules of UAX #29. Specialized tokenizers handle emails, URLs and paths, and</w:t>
      </w:r>
      <w:r>
        <w:t xml:space="preserve"> </w:t>
      </w:r>
      <w:r>
        <w:rPr>
          <w:rStyle w:val="VerbatimChar"/>
        </w:rPr>
        <w:t xml:space="preserve">keyword</w:t>
      </w:r>
      <w:r>
        <w:t xml:space="preserve"> </w:t>
      </w:r>
      <w:r>
        <w:t xml:space="preserve">fields (SKUs, IDs, tags) keep the whole value as one token.</w:t>
      </w:r>
      <w:r>
        <w:t xml:space="preserve"> </w:t>
      </w:r>
      <w:r>
        <w:rPr>
          <w:bCs/>
          <w:b/>
        </w:rPr>
        <w:t xml:space="preserve">Unicode normalization</w:t>
      </w:r>
      <w:r>
        <w:t xml:space="preserve"> </w:t>
      </w:r>
      <w:r>
        <w:t xml:space="preserve">(NFC/NFKC) makes</w:t>
      </w:r>
      <w:r>
        <w:t xml:space="preserve"> </w:t>
      </w:r>
      <w:r>
        <w:t xml:space="preserve">“</w:t>
      </w:r>
      <w:r>
        <w:t xml:space="preserve">é</w:t>
      </w:r>
      <w:r>
        <w:t xml:space="preserve">”</w:t>
      </w:r>
      <w:r>
        <w:t xml:space="preserve"> </w:t>
      </w:r>
      <w:r>
        <w:t xml:space="preserve">as one code point equal to</w:t>
      </w:r>
      <w:r>
        <w:t xml:space="preserve"> </w:t>
      </w:r>
      <w:r>
        <w:t xml:space="preserve">“</w:t>
      </w:r>
      <w:r>
        <w:t xml:space="preserve">e</w:t>
      </w:r>
      <w:r>
        <w:t xml:space="preserve">”</w:t>
      </w:r>
      <w:r>
        <w:t xml:space="preserve"> </w:t>
      </w:r>
      <w:r>
        <w:t xml:space="preserve">plus a combining accent; normalization bugs are a classic cause of</w:t>
      </w:r>
      <w:r>
        <w:t xml:space="preserve"> </w:t>
      </w:r>
      <w:r>
        <w:t xml:space="preserve">“</w:t>
      </w:r>
      <w:r>
        <w:t xml:space="preserve">the product is indexed but search cannot find it</w:t>
      </w:r>
      <w:r>
        <w:t xml:space="preserve">”</w:t>
      </w:r>
      <w:r>
        <w:t xml:space="preserve">.</w:t>
      </w:r>
    </w:p>
    <w:bookmarkEnd w:id="1813"/>
    <w:bookmarkStart w:id="1814" w:name="stemming-versus-lemmatization"/>
    <w:p>
      <w:pPr>
        <w:pStyle w:val="Heading3"/>
      </w:pPr>
      <w:r>
        <w:t xml:space="preserve">16.4.3 Stemming versus lemmatization</w:t>
      </w:r>
    </w:p>
    <w:p>
      <w:pPr>
        <w:pStyle w:val="FirstParagraph"/>
      </w:pPr>
      <w:r>
        <w:rPr>
          <w:bCs/>
          <w:b/>
        </w:rPr>
        <w:t xml:space="preserve">Stemming</w:t>
      </w:r>
      <w:r>
        <w:t xml:space="preserve"> </w:t>
      </w:r>
      <w:r>
        <w:t xml:space="preserve">chops suffixes by rule. The Porter stemmer [Porter 1980] applies several dozen suffix-rewriting rules in five steps and maps</w:t>
      </w:r>
      <w:r>
        <w:t xml:space="preserve"> </w:t>
      </w:r>
      <w:r>
        <w:t xml:space="preserve">“</w:t>
      </w:r>
      <w:r>
        <w:t xml:space="preserve">connection</w:t>
      </w:r>
      <w:r>
        <w:t xml:space="preserve">”</w:t>
      </w:r>
      <w:r>
        <w:t xml:space="preserve">,</w:t>
      </w:r>
      <w:r>
        <w:t xml:space="preserve"> </w:t>
      </w:r>
      <w:r>
        <w:t xml:space="preserve">“</w:t>
      </w:r>
      <w:r>
        <w:t xml:space="preserve">connected</w:t>
      </w:r>
      <w:r>
        <w:t xml:space="preserve">”</w:t>
      </w:r>
      <w:r>
        <w:t xml:space="preserve"> </w:t>
      </w:r>
      <w:r>
        <w:t xml:space="preserve">and</w:t>
      </w:r>
      <w:r>
        <w:t xml:space="preserve"> </w:t>
      </w:r>
      <w:r>
        <w:t xml:space="preserve">“</w:t>
      </w:r>
      <w:r>
        <w:t xml:space="preserve">connecting</w:t>
      </w:r>
      <w:r>
        <w:t xml:space="preserve">”</w:t>
      </w:r>
      <w:r>
        <w:t xml:space="preserve"> </w:t>
      </w:r>
      <w:r>
        <w:t xml:space="preserve">to</w:t>
      </w:r>
      <w:r>
        <w:t xml:space="preserve"> </w:t>
      </w:r>
      <w:r>
        <w:t xml:space="preserve">“</w:t>
      </w:r>
      <w:r>
        <w:t xml:space="preserve">connect</w:t>
      </w:r>
      <w:r>
        <w:t xml:space="preserve">”</w:t>
      </w:r>
      <w:r>
        <w:t xml:space="preserve">. The</w:t>
      </w:r>
      <w:r>
        <w:t xml:space="preserve"> </w:t>
      </w:r>
      <w:r>
        <w:t xml:space="preserve">“</w:t>
      </w:r>
      <w:r>
        <w:t xml:space="preserve">S</w:t>
      </w:r>
      <w:r>
        <w:t xml:space="preserve">”</w:t>
      </w:r>
      <w:r>
        <w:t xml:space="preserve"> </w:t>
      </w:r>
      <w:r>
        <w:t xml:space="preserve">stemmer removes only plural endings [Harman 1991]; Lucene ships it as a minimal English stemmer, and this chapter’s code uses it.</w:t>
      </w:r>
      <w:r>
        <w:t xml:space="preserve"> </w:t>
      </w:r>
      <w:r>
        <w:rPr>
          <w:bCs/>
          <w:b/>
        </w:rPr>
        <w:t xml:space="preserve">Lemmatization</w:t>
      </w:r>
      <w:r>
        <w:t xml:space="preserve"> </w:t>
      </w:r>
      <w:r>
        <w:t xml:space="preserve">maps a word to its dictionary form (lemma) using a vocabulary and part-of-speech information:</w:t>
      </w:r>
      <w:r>
        <w:t xml:space="preserve"> </w:t>
      </w:r>
      <w:r>
        <w:t xml:space="preserve">“</w:t>
      </w:r>
      <w:r>
        <w:t xml:space="preserve">better</w:t>
      </w:r>
      <w:r>
        <w:t xml:space="preserve">”</w:t>
      </w:r>
      <w:r>
        <w:t xml:space="preserve"> </w:t>
      </w:r>
      <w:r>
        <w:t xml:space="preserve">→</w:t>
      </w:r>
      <w:r>
        <w:t xml:space="preserve"> </w:t>
      </w:r>
      <w:r>
        <w:t xml:space="preserve">“</w:t>
      </w:r>
      <w:r>
        <w:t xml:space="preserve">good</w:t>
      </w:r>
      <w:r>
        <w:t xml:space="preserve">”</w:t>
      </w:r>
      <w:r>
        <w:t xml:space="preserve">,</w:t>
      </w:r>
      <w:r>
        <w:t xml:space="preserve"> </w:t>
      </w:r>
      <w:r>
        <w:t xml:space="preserve">“</w:t>
      </w:r>
      <w:r>
        <w:t xml:space="preserve">mice</w:t>
      </w:r>
      <w:r>
        <w:t xml:space="preserve">”</w:t>
      </w:r>
      <w:r>
        <w:t xml:space="preserve"> </w:t>
      </w:r>
      <w:r>
        <w:t xml:space="preserve">→</w:t>
      </w:r>
      <w:r>
        <w:t xml:space="preserve"> </w:t>
      </w:r>
      <w:r>
        <w:t xml:space="preserve">“</w:t>
      </w:r>
      <w:r>
        <w:t xml:space="preserve">mouse</w:t>
      </w:r>
      <w:r>
        <w:t xml:space="preserve">”</w:t>
      </w:r>
      <w:r>
        <w:t xml:space="preserve">,</w:t>
      </w:r>
      <w:r>
        <w:t xml:space="preserve"> </w:t>
      </w:r>
      <w:r>
        <w:t xml:space="preserve">“</w:t>
      </w:r>
      <w:r>
        <w:t xml:space="preserve">was</w:t>
      </w:r>
      <w:r>
        <w:t xml:space="preserve">”</w:t>
      </w:r>
      <w:r>
        <w:t xml:space="preserve"> </w:t>
      </w:r>
      <w:r>
        <w:t xml:space="preserve">→</w:t>
      </w:r>
      <w:r>
        <w:t xml:space="preserve"> </w:t>
      </w:r>
      <w:r>
        <w:t xml:space="preserve">“</w:t>
      </w:r>
      <w:r>
        <w:t xml:space="preserve">be</w:t>
      </w:r>
      <w:r>
        <w:t xml:space="preserve">”</w:t>
      </w:r>
      <w:r>
        <w:t xml:space="preserve">.</w:t>
      </w:r>
    </w:p>
    <w:p>
      <w:pPr>
        <w:pStyle w:val="BodyText"/>
      </w:pPr>
      <w:r>
        <w:rPr>
          <w:bCs/>
          <w:b/>
        </w:rPr>
        <w:t xml:space="preserve">Table 16.4 — Stemming versus lemmatization.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Stemming</w:t>
            </w:r>
          </w:p>
        </w:tc>
        <w:tc>
          <w:tcPr/>
          <w:p>
            <w:pPr>
              <w:pStyle w:val="Compact"/>
              <w:jc w:val="left"/>
            </w:pPr>
            <w:r>
              <w:t xml:space="preserve">Lemmatization</w:t>
            </w:r>
          </w:p>
        </w:tc>
      </w:tr>
      <w:tr>
        <w:tc>
          <w:tcPr/>
          <w:p>
            <w:pPr>
              <w:pStyle w:val="Compact"/>
              <w:jc w:val="left"/>
            </w:pPr>
            <w:r>
              <w:t xml:space="preserve">What it is</w:t>
            </w:r>
          </w:p>
        </w:tc>
        <w:tc>
          <w:tcPr/>
          <w:p>
            <w:pPr>
              <w:pStyle w:val="Compact"/>
              <w:jc w:val="left"/>
            </w:pPr>
            <w:r>
              <w:t xml:space="preserve">Rule-based suffix stripping</w:t>
            </w:r>
          </w:p>
        </w:tc>
        <w:tc>
          <w:tcPr/>
          <w:p>
            <w:pPr>
              <w:pStyle w:val="Compact"/>
              <w:jc w:val="left"/>
            </w:pPr>
            <w:r>
              <w:t xml:space="preserve">Dictionary + morphology lookup</w:t>
            </w:r>
          </w:p>
        </w:tc>
      </w:tr>
      <w:tr>
        <w:tc>
          <w:tcPr/>
          <w:p>
            <w:pPr>
              <w:pStyle w:val="Compact"/>
              <w:jc w:val="left"/>
            </w:pPr>
            <w:r>
              <w:t xml:space="preserve">Output</w:t>
            </w:r>
          </w:p>
        </w:tc>
        <w:tc>
          <w:tcPr/>
          <w:p>
            <w:pPr>
              <w:pStyle w:val="Compact"/>
              <w:jc w:val="left"/>
            </w:pPr>
            <w:r>
              <w:t xml:space="preserve">A stem, possibly not a word (</w:t>
            </w:r>
            <w:r>
              <w:t xml:space="preserve">“</w:t>
            </w:r>
            <w:r>
              <w:t xml:space="preserve">univers</w:t>
            </w:r>
            <w:r>
              <w:t xml:space="preserve">”</w:t>
            </w:r>
            <w:r>
              <w:t xml:space="preserve">)</w:t>
            </w:r>
          </w:p>
        </w:tc>
        <w:tc>
          <w:tcPr/>
          <w:p>
            <w:pPr>
              <w:pStyle w:val="Compact"/>
              <w:jc w:val="left"/>
            </w:pPr>
            <w:r>
              <w:t xml:space="preserve">A real word (lemma)</w:t>
            </w:r>
          </w:p>
        </w:tc>
      </w:tr>
      <w:tr>
        <w:tc>
          <w:tcPr/>
          <w:p>
            <w:pPr>
              <w:pStyle w:val="Compact"/>
              <w:jc w:val="left"/>
            </w:pPr>
            <w:r>
              <w:t xml:space="preserve">Speed</w:t>
            </w:r>
          </w:p>
        </w:tc>
        <w:tc>
          <w:tcPr/>
          <w:p>
            <w:pPr>
              <w:pStyle w:val="Compact"/>
              <w:jc w:val="left"/>
            </w:pPr>
            <w:r>
              <w:t xml:space="preserve">Very fast, no dictionary</w:t>
            </w:r>
          </w:p>
        </w:tc>
        <w:tc>
          <w:tcPr/>
          <w:p>
            <w:pPr>
              <w:pStyle w:val="Compact"/>
              <w:jc w:val="left"/>
            </w:pPr>
            <w:r>
              <w:t xml:space="preserve">Slower; needs POS tagging for accuracy</w:t>
            </w:r>
          </w:p>
        </w:tc>
      </w:tr>
      <w:tr>
        <w:tc>
          <w:tcPr/>
          <w:p>
            <w:pPr>
              <w:pStyle w:val="Compact"/>
              <w:jc w:val="left"/>
            </w:pPr>
            <w:r>
              <w:t xml:space="preserve">Recall</w:t>
            </w:r>
          </w:p>
        </w:tc>
        <w:tc>
          <w:tcPr/>
          <w:p>
            <w:pPr>
              <w:pStyle w:val="Compact"/>
              <w:jc w:val="left"/>
            </w:pPr>
            <w:r>
              <w:t xml:space="preserve">High (aggressive)</w:t>
            </w:r>
          </w:p>
        </w:tc>
        <w:tc>
          <w:tcPr/>
          <w:p>
            <w:pPr>
              <w:pStyle w:val="Compact"/>
              <w:jc w:val="left"/>
            </w:pPr>
            <w:r>
              <w:t xml:space="preserve">High for irregular forms</w:t>
            </w:r>
          </w:p>
        </w:tc>
      </w:tr>
      <w:tr>
        <w:tc>
          <w:tcPr/>
          <w:p>
            <w:pPr>
              <w:pStyle w:val="Compact"/>
              <w:jc w:val="left"/>
            </w:pPr>
            <w:r>
              <w:t xml:space="preserve">Precision</w:t>
            </w:r>
          </w:p>
        </w:tc>
        <w:tc>
          <w:tcPr/>
          <w:p>
            <w:pPr>
              <w:pStyle w:val="Compact"/>
              <w:jc w:val="left"/>
            </w:pPr>
            <w:r>
              <w:t xml:space="preserve">Can conflate unrelated words</w:t>
            </w:r>
          </w:p>
        </w:tc>
        <w:tc>
          <w:tcPr/>
          <w:p>
            <w:pPr>
              <w:pStyle w:val="Compact"/>
              <w:jc w:val="left"/>
            </w:pPr>
            <w:r>
              <w:t xml:space="preserve">Better</w:t>
            </w:r>
          </w:p>
        </w:tc>
      </w:tr>
      <w:tr>
        <w:tc>
          <w:tcPr/>
          <w:p>
            <w:pPr>
              <w:pStyle w:val="Compact"/>
              <w:jc w:val="left"/>
            </w:pPr>
            <w:r>
              <w:t xml:space="preserve">Languages</w:t>
            </w:r>
          </w:p>
        </w:tc>
        <w:tc>
          <w:tcPr/>
          <w:p>
            <w:pPr>
              <w:pStyle w:val="Compact"/>
              <w:jc w:val="left"/>
            </w:pPr>
            <w:r>
              <w:t xml:space="preserve">Per-language rule sets (Snowball)</w:t>
            </w:r>
          </w:p>
        </w:tc>
        <w:tc>
          <w:tcPr/>
          <w:p>
            <w:pPr>
              <w:pStyle w:val="Compact"/>
              <w:jc w:val="left"/>
            </w:pPr>
            <w:r>
              <w:t xml:space="preserve">Needs a lexicon per language</w:t>
            </w:r>
          </w:p>
        </w:tc>
      </w:tr>
      <w:tr>
        <w:tc>
          <w:tcPr/>
          <w:p>
            <w:pPr>
              <w:pStyle w:val="Compact"/>
              <w:jc w:val="left"/>
            </w:pPr>
            <w:r>
              <w:t xml:space="preserve">Choose when</w:t>
            </w:r>
          </w:p>
        </w:tc>
        <w:tc>
          <w:tcPr/>
          <w:p>
            <w:pPr>
              <w:pStyle w:val="Compact"/>
              <w:jc w:val="left"/>
            </w:pPr>
            <w:r>
              <w:t xml:space="preserve">Large English corpora, speed matters</w:t>
            </w:r>
          </w:p>
        </w:tc>
        <w:tc>
          <w:tcPr/>
          <w:p>
            <w:pPr>
              <w:pStyle w:val="Compact"/>
              <w:jc w:val="left"/>
            </w:pPr>
            <w:r>
              <w:t xml:space="preserve">Morphologically rich languages, precision matters</w:t>
            </w:r>
          </w:p>
        </w:tc>
      </w:tr>
    </w:tbl>
    <w:p>
      <w:pPr>
        <w:pStyle w:val="BodyText"/>
      </w:pPr>
      <w:r>
        <w:t xml:space="preserve">Manning et al. observe that stemming helps recall but hurts precision, and its net effect on English retrieval quality is modest; for languages with richer morphology (Finnish, Hungarian, Arabic) normalization matters much more [Manning et al. 2008, §2.2.4].</w:t>
      </w:r>
    </w:p>
    <w:bookmarkEnd w:id="1814"/>
    <w:bookmarkStart w:id="1815" w:name="stop-words"/>
    <w:p>
      <w:pPr>
        <w:pStyle w:val="Heading3"/>
      </w:pPr>
      <w:r>
        <w:t xml:space="preserve">16.4.4 Stop words</w:t>
      </w:r>
    </w:p>
    <w:p>
      <w:pPr>
        <w:pStyle w:val="FirstParagraph"/>
      </w:pPr>
      <w:r>
        <w:rPr>
          <w:bCs/>
          <w:b/>
        </w:rPr>
        <w:t xml:space="preserve">Stop words</w:t>
      </w:r>
      <w:r>
        <w:t xml:space="preserve"> </w:t>
      </w:r>
      <w:r>
        <w:t xml:space="preserve">(</w:t>
      </w:r>
      <w:r>
        <w:t xml:space="preserve">“</w:t>
      </w:r>
      <w:r>
        <w:t xml:space="preserve">the</w:t>
      </w:r>
      <w:r>
        <w:t xml:space="preserve">”</w:t>
      </w:r>
      <w:r>
        <w:t xml:space="preserve">,</w:t>
      </w:r>
      <w:r>
        <w:t xml:space="preserve"> </w:t>
      </w:r>
      <w:r>
        <w:t xml:space="preserve">“</w:t>
      </w:r>
      <w:r>
        <w:t xml:space="preserve">a</w:t>
      </w:r>
      <w:r>
        <w:t xml:space="preserve">”</w:t>
      </w:r>
      <w:r>
        <w:t xml:space="preserve">,</w:t>
      </w:r>
      <w:r>
        <w:t xml:space="preserve"> </w:t>
      </w:r>
      <w:r>
        <w:t xml:space="preserve">“</w:t>
      </w:r>
      <w:r>
        <w:t xml:space="preserve">of</w:t>
      </w:r>
      <w:r>
        <w:t xml:space="preserve">”</w:t>
      </w:r>
      <w:r>
        <w:t xml:space="preserve">) have the longest postings lists, so dropping them once saved much space. Modern engines usually</w:t>
      </w:r>
      <w:r>
        <w:t xml:space="preserve"> </w:t>
      </w:r>
      <w:r>
        <w:rPr>
          <w:iCs/>
          <w:i/>
        </w:rPr>
        <w:t xml:space="preserve">keep</w:t>
      </w:r>
      <w:r>
        <w:t xml:space="preserve"> </w:t>
      </w:r>
      <w:r>
        <w:t xml:space="preserve">them: their small gaps compress to a byte, BM25’s IDF already gives them near-zero weight (§16.5.3), and dropping them breaks phrases and queries such as</w:t>
      </w:r>
      <w:r>
        <w:t xml:space="preserve"> </w:t>
      </w:r>
      <w:r>
        <w:t xml:space="preserve">“</w:t>
      </w:r>
      <w:r>
        <w:t xml:space="preserve">The Who</w:t>
      </w:r>
      <w:r>
        <w:t xml:space="preserve">”</w:t>
      </w:r>
      <w:r>
        <w:t xml:space="preserve">. Elasticsearch’s standard analyzer keeps them by default. If you remove them, keep the position gaps (as this chapter’s analyzer does) so phrase matching stays correct.</w:t>
      </w:r>
    </w:p>
    <w:bookmarkEnd w:id="1815"/>
    <w:bookmarkStart w:id="1816" w:name="n-grams-and-edge-n-grams"/>
    <w:p>
      <w:pPr>
        <w:pStyle w:val="Heading3"/>
      </w:pPr>
      <w:r>
        <w:t xml:space="preserve">16.4.5 n-grams and edge n-grams</w:t>
      </w:r>
    </w:p>
    <w:p>
      <w:pPr>
        <w:pStyle w:val="FirstParagraph"/>
      </w:pPr>
      <w:r>
        <w:t xml:space="preserve">A</w:t>
      </w:r>
      <w:r>
        <w:t xml:space="preserve"> </w:t>
      </w:r>
      <w:r>
        <w:rPr>
          <w:bCs/>
          <w:b/>
        </w:rPr>
        <w:t xml:space="preserve">character n-gram</w:t>
      </w:r>
      <w:r>
        <w:t xml:space="preserve"> </w:t>
      </w:r>
      <w:r>
        <w:t xml:space="preserve">is a substring of length</w:t>
      </w:r>
      <w:r>
        <w:t xml:space="preserve"> </w:t>
      </w:r>
      <m:oMath>
        <m:r>
          <m:t>n</m:t>
        </m:r>
      </m:oMath>
      <w:r>
        <w:t xml:space="preserve">. Indexing all trigrams of</w:t>
      </w:r>
      <w:r>
        <w:t xml:space="preserve"> </w:t>
      </w:r>
      <w:r>
        <w:t xml:space="preserve">“</w:t>
      </w:r>
      <w:r>
        <w:t xml:space="preserve">headphone</w:t>
      </w:r>
      <w:r>
        <w:t xml:space="preserve">”</w:t>
      </w:r>
      <w:r>
        <w:t xml:space="preserve"> </w:t>
      </w:r>
      <w:r>
        <w:t xml:space="preserve">(hea, ead, adp, dph, …) lets the engine match substrings, misspellings and languages without spaces. An</w:t>
      </w:r>
      <w:r>
        <w:t xml:space="preserve"> </w:t>
      </w:r>
      <w:r>
        <w:rPr>
          <w:bCs/>
          <w:b/>
        </w:rPr>
        <w:t xml:space="preserve">edge n-gram</w:t>
      </w:r>
      <w:r>
        <w:t xml:space="preserve"> </w:t>
      </w:r>
      <w:r>
        <w:t xml:space="preserve">keeps only prefixes (h, he, hea, head, …), which supports search-as-you-type (§16.9.4). Both multiply the number of postings: a word of length</w:t>
      </w:r>
      <w:r>
        <w:t xml:space="preserve"> </w:t>
      </w:r>
      <m:oMath>
        <m:r>
          <m:rPr>
            <m:sty m:val="p"/>
          </m:rPr>
          <m:t>ℓ</m:t>
        </m:r>
      </m:oMath>
      <w:r>
        <w:t xml:space="preserve"> </w:t>
      </w:r>
      <w:r>
        <w:t xml:space="preserve">produces</w:t>
      </w:r>
      <w:r>
        <w:t xml:space="preserve"> </w:t>
      </w:r>
      <m:oMath>
        <m:r>
          <m:rPr>
            <m:sty m:val="p"/>
          </m:rPr>
          <m:t>ℓ</m:t>
        </m:r>
        <m:r>
          <m:rPr>
            <m:sty m:val="p"/>
          </m:rPr>
          <m:t>−</m:t>
        </m:r>
        <m:r>
          <m:t>n</m:t>
        </m:r>
        <m:r>
          <m:rPr>
            <m:sty m:val="p"/>
          </m:rPr>
          <m:t>+</m:t>
        </m:r>
        <m:r>
          <m:t>1</m:t>
        </m:r>
      </m:oMath>
      <w:r>
        <w:t xml:space="preserve"> </w:t>
      </w:r>
      <w:r>
        <w:t xml:space="preserve">n-grams, so a trigram field is several times larger than a word field and its postings lists for common grams are very long.</w:t>
      </w:r>
    </w:p>
    <w:bookmarkEnd w:id="1816"/>
    <w:bookmarkStart w:id="1817" w:name="synonyms"/>
    <w:p>
      <w:pPr>
        <w:pStyle w:val="Heading3"/>
      </w:pPr>
      <w:r>
        <w:t xml:space="preserve">16.4.6 Synonyms</w:t>
      </w:r>
    </w:p>
    <w:p>
      <w:pPr>
        <w:pStyle w:val="FirstParagraph"/>
      </w:pPr>
      <w:r>
        <w:t xml:space="preserve">Synonyms map equivalent terms (</w:t>
      </w:r>
      <w:r>
        <w:t xml:space="preserve">“</w:t>
      </w:r>
      <w:r>
        <w:t xml:space="preserve">tv</w:t>
      </w:r>
      <w:r>
        <w:t xml:space="preserve">”</w:t>
      </w:r>
      <w:r>
        <w:t xml:space="preserve"> </w:t>
      </w:r>
      <w:r>
        <w:t xml:space="preserve">⇔</w:t>
      </w:r>
      <w:r>
        <w:t xml:space="preserve"> </w:t>
      </w:r>
      <w:r>
        <w:t xml:space="preserve">“</w:t>
      </w:r>
      <w:r>
        <w:t xml:space="preserve">television</w:t>
      </w:r>
      <w:r>
        <w:t xml:space="preserve">”</w:t>
      </w:r>
      <w:r>
        <w:t xml:space="preserve">). At</w:t>
      </w:r>
      <w:r>
        <w:t xml:space="preserve"> </w:t>
      </w:r>
      <w:r>
        <w:rPr>
          <w:bCs/>
          <w:b/>
        </w:rPr>
        <w:t xml:space="preserve">index time</w:t>
      </w:r>
      <w:r>
        <w:t xml:space="preserve"> </w:t>
      </w:r>
      <w:r>
        <w:t xml:space="preserve">they enlarge the index and every change needs a reindex; at</w:t>
      </w:r>
      <w:r>
        <w:t xml:space="preserve"> </w:t>
      </w:r>
      <w:r>
        <w:rPr>
          <w:bCs/>
          <w:b/>
        </w:rPr>
        <w:t xml:space="preserve">query time</w:t>
      </w:r>
      <w:r>
        <w:t xml:space="preserve"> </w:t>
      </w:r>
      <w:r>
        <w:t xml:space="preserve">they cost slightly more per query but can be updated freely, so most teams apply them there. Multi-word synonyms (</w:t>
      </w:r>
      <w:r>
        <w:t xml:space="preserve">“</w:t>
      </w:r>
      <w:r>
        <w:t xml:space="preserve">ny</w:t>
      </w:r>
      <w:r>
        <w:t xml:space="preserve">”</w:t>
      </w:r>
      <w:r>
        <w:t xml:space="preserve"> </w:t>
      </w:r>
      <w:r>
        <w:t xml:space="preserve">⇔</w:t>
      </w:r>
      <w:r>
        <w:t xml:space="preserve"> </w:t>
      </w:r>
      <w:r>
        <w:t xml:space="preserve">“</w:t>
      </w:r>
      <w:r>
        <w:t xml:space="preserve">new york</w:t>
      </w:r>
      <w:r>
        <w:t xml:space="preserve">”</w:t>
      </w:r>
      <w:r>
        <w:t xml:space="preserve">) produce expansions of different lengths, which Lucene represents as a token</w:t>
      </w:r>
      <w:r>
        <w:t xml:space="preserve"> </w:t>
      </w:r>
      <w:r>
        <w:rPr>
          <w:iCs/>
          <w:i/>
        </w:rPr>
        <w:t xml:space="preserve">graph</w:t>
      </w:r>
      <w:r>
        <w:t xml:space="preserve">; its synonym-graph filter is meant for query time.</w:t>
      </w:r>
    </w:p>
    <w:bookmarkEnd w:id="1817"/>
    <w:bookmarkStart w:id="1821" w:name="language-issues"/>
    <w:p>
      <w:pPr>
        <w:pStyle w:val="Heading3"/>
      </w:pPr>
      <w:r>
        <w:t xml:space="preserve">16.4.7 Language issues</w:t>
      </w:r>
    </w:p>
    <w:p>
      <w:pPr>
        <w:numPr>
          <w:ilvl w:val="0"/>
          <w:numId w:val="1537"/>
        </w:numPr>
        <w:pStyle w:val="Compact"/>
      </w:pPr>
      <w:r>
        <w:rPr>
          <w:bCs/>
          <w:b/>
        </w:rPr>
        <w:t xml:space="preserve">No word separators.</w:t>
      </w:r>
      <w:r>
        <w:t xml:space="preserve"> </w:t>
      </w:r>
      <w:r>
        <w:t xml:space="preserve">Chinese, Japanese and Thai need dictionary-based segmenters (such as Lucene’s Kuromoji for Japanese) or overlapping character bigrams, which need no dictionary but index more terms.</w:t>
      </w:r>
    </w:p>
    <w:p>
      <w:pPr>
        <w:numPr>
          <w:ilvl w:val="0"/>
          <w:numId w:val="1537"/>
        </w:numPr>
        <w:pStyle w:val="Compact"/>
      </w:pPr>
      <w:r>
        <w:rPr>
          <w:bCs/>
          <w:b/>
        </w:rPr>
        <w:t xml:space="preserve">Compounds.</w:t>
      </w:r>
      <w:r>
        <w:t xml:space="preserve"> </w:t>
      </w:r>
      <w:r>
        <w:t xml:space="preserve">German</w:t>
      </w:r>
      <w:r>
        <w:t xml:space="preserve"> </w:t>
      </w:r>
      <w:r>
        <w:t xml:space="preserve">“</w:t>
      </w:r>
      <w:r>
        <w:t xml:space="preserve">Kopfhörerverstärker</w:t>
      </w:r>
      <w:r>
        <w:t xml:space="preserve">”</w:t>
      </w:r>
      <w:r>
        <w:t xml:space="preserve"> </w:t>
      </w:r>
      <w:r>
        <w:t xml:space="preserve">(headphone amplifier) needs decompounding so that</w:t>
      </w:r>
      <w:r>
        <w:t xml:space="preserve"> </w:t>
      </w:r>
      <w:r>
        <w:t xml:space="preserve">“</w:t>
      </w:r>
      <w:r>
        <w:t xml:space="preserve">Kopfhörer</w:t>
      </w:r>
      <w:r>
        <w:t xml:space="preserve">”</w:t>
      </w:r>
      <w:r>
        <w:t xml:space="preserve"> </w:t>
      </w:r>
      <w:r>
        <w:t xml:space="preserve">finds it.</w:t>
      </w:r>
    </w:p>
    <w:p>
      <w:pPr>
        <w:numPr>
          <w:ilvl w:val="0"/>
          <w:numId w:val="1537"/>
        </w:numPr>
        <w:pStyle w:val="Compact"/>
      </w:pPr>
      <w:r>
        <w:rPr>
          <w:bCs/>
          <w:b/>
        </w:rPr>
        <w:t xml:space="preserve">Script rules.</w:t>
      </w:r>
      <w:r>
        <w:t xml:space="preserve"> </w:t>
      </w:r>
      <w:r>
        <w:t xml:space="preserve">Arabic needs letter-variant and diacritic normalization; Turkish has dotted and dotless</w:t>
      </w:r>
      <w:r>
        <w:t xml:space="preserve"> </w:t>
      </w:r>
      <w:r>
        <w:t xml:space="preserve">“</w:t>
      </w:r>
      <w:r>
        <w:t xml:space="preserve">i</w:t>
      </w:r>
      <w:r>
        <w:t xml:space="preserve">”</w:t>
      </w:r>
      <w:r>
        <w:t xml:space="preserve">, so naive lowercasing is wrong.</w:t>
      </w:r>
    </w:p>
    <w:p>
      <w:pPr>
        <w:numPr>
          <w:ilvl w:val="0"/>
          <w:numId w:val="1537"/>
        </w:numPr>
        <w:pStyle w:val="Compact"/>
      </w:pPr>
      <w:r>
        <w:rPr>
          <w:bCs/>
          <w:b/>
        </w:rPr>
        <w:t xml:space="preserve">Mixed-language catalogs.</w:t>
      </w:r>
      <w:r>
        <w:t xml:space="preserve"> </w:t>
      </w:r>
      <w:r>
        <w:t xml:space="preserve">Give each language its own field and analyzer (</w:t>
      </w:r>
      <w:r>
        <w:rPr>
          <w:rStyle w:val="VerbatimChar"/>
        </w:rPr>
        <w:t xml:space="preserve">title.en</w:t>
      </w:r>
      <w:r>
        <w:t xml:space="preserve">,</w:t>
      </w:r>
      <w:r>
        <w:t xml:space="preserve"> </w:t>
      </w:r>
      <w:r>
        <w:rPr>
          <w:rStyle w:val="VerbatimChar"/>
        </w:rPr>
        <w:t xml:space="preserve">title.de</w:t>
      </w:r>
      <w:r>
        <w:t xml:space="preserve">) rather than forcing one analyzer onto all text.</w:t>
      </w:r>
    </w:p>
    <w:p>
      <w:pPr>
        <w:pStyle w:val="FirstParagraph"/>
      </w:pPr>
      <w:r>
        <w:t xml:space="preserve">An Elasticsearch analyzer is declared in the index settings and attached to fields in the mapping:</w:t>
      </w:r>
    </w:p>
    <w:p>
      <w:pPr>
        <w:pStyle w:val="SourceCode"/>
      </w:pPr>
      <w:r>
        <w:rPr>
          <w:rStyle w:val="FunctionTok"/>
        </w:rPr>
        <w:t xml:space="preserve">{</w:t>
      </w:r>
      <w:r>
        <w:br/>
      </w:r>
      <w:r>
        <w:rPr>
          <w:rStyle w:val="NormalTok"/>
        </w:rPr>
        <w:t xml:space="preserve">  </w:t>
      </w:r>
      <w:r>
        <w:rPr>
          <w:rStyle w:val="DataTypeTok"/>
        </w:rPr>
        <w:t xml:space="preserve">"settings"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"analysis"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"filter"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"product_synonyms"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"synonym_graph"</w:t>
      </w:r>
      <w:r>
        <w:rPr>
          <w:rStyle w:val="FunctionTok"/>
        </w:rPr>
        <w:t xml:space="preserve">,</w:t>
      </w:r>
      <w:r>
        <w:rPr>
          <w:rStyle w:val="NormalTok"/>
        </w:rPr>
        <w:t xml:space="preserve"> </w:t>
      </w:r>
      <w:r>
        <w:rPr>
          <w:rStyle w:val="DataTypeTok"/>
        </w:rPr>
        <w:t xml:space="preserve">"synonyms"</w:t>
      </w:r>
      <w:r>
        <w:rPr>
          <w:rStyle w:val="FunctionTok"/>
        </w:rPr>
        <w:t xml:space="preserve">:</w:t>
      </w:r>
      <w:r>
        <w:rPr>
          <w:rStyle w:val="NormalTok"/>
        </w:rPr>
        <w:t xml:space="preserve"> </w:t>
      </w:r>
      <w:r>
        <w:rPr>
          <w:rStyle w:val="OtherTok"/>
        </w:rPr>
        <w:t xml:space="preserve">[</w:t>
      </w:r>
      <w:r>
        <w:rPr>
          <w:rStyle w:val="StringTok"/>
        </w:rPr>
        <w:t xml:space="preserve">"tv, television"</w:t>
      </w:r>
      <w:r>
        <w:rPr>
          <w:rStyle w:val="OtherTok"/>
        </w:rPr>
        <w:t xml:space="preserve">,</w:t>
      </w:r>
      <w:r>
        <w:rPr>
          <w:rStyle w:val="NormalTok"/>
        </w:rPr>
        <w:t xml:space="preserve"> </w:t>
      </w:r>
      <w:r>
        <w:rPr>
          <w:rStyle w:val="StringTok"/>
        </w:rPr>
        <w:t xml:space="preserve">"anc, noise cancelling"</w:t>
      </w:r>
      <w:r>
        <w:rPr>
          <w:rStyle w:val="Other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"analyzer"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"product_index"</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"tokenizer"</w:t>
      </w:r>
      <w:r>
        <w:rPr>
          <w:rStyle w:val="FunctionTok"/>
        </w:rPr>
        <w:t xml:space="preserve">:</w:t>
      </w:r>
      <w:r>
        <w:rPr>
          <w:rStyle w:val="NormalTok"/>
        </w:rPr>
        <w:t xml:space="preserve"> </w:t>
      </w:r>
      <w:r>
        <w:rPr>
          <w:rStyle w:val="StringTok"/>
        </w:rPr>
        <w:t xml:space="preserve">"standard"</w:t>
      </w:r>
      <w:r>
        <w:rPr>
          <w:rStyle w:val="FunctionTok"/>
        </w:rPr>
        <w:t xml:space="preserve">,</w:t>
      </w:r>
      <w:r>
        <w:rPr>
          <w:rStyle w:val="NormalTok"/>
        </w:rPr>
        <w:t xml:space="preserve"> </w:t>
      </w:r>
      <w:r>
        <w:rPr>
          <w:rStyle w:val="DataTypeTok"/>
        </w:rPr>
        <w:t xml:space="preserve">"filter"</w:t>
      </w:r>
      <w:r>
        <w:rPr>
          <w:rStyle w:val="FunctionTok"/>
        </w:rPr>
        <w:t xml:space="preserve">:</w:t>
      </w:r>
      <w:r>
        <w:rPr>
          <w:rStyle w:val="NormalTok"/>
        </w:rPr>
        <w:t xml:space="preserve"> </w:t>
      </w:r>
      <w:r>
        <w:rPr>
          <w:rStyle w:val="OtherTok"/>
        </w:rPr>
        <w:t xml:space="preserve">[</w:t>
      </w:r>
      <w:r>
        <w:rPr>
          <w:rStyle w:val="StringTok"/>
        </w:rPr>
        <w:t xml:space="preserve">"lowercase"</w:t>
      </w:r>
      <w:r>
        <w:rPr>
          <w:rStyle w:val="OtherTok"/>
        </w:rPr>
        <w:t xml:space="preserve">,</w:t>
      </w:r>
      <w:r>
        <w:rPr>
          <w:rStyle w:val="NormalTok"/>
        </w:rPr>
        <w:t xml:space="preserve"> </w:t>
      </w:r>
      <w:r>
        <w:rPr>
          <w:rStyle w:val="StringTok"/>
        </w:rPr>
        <w:t xml:space="preserve">"asciifolding"</w:t>
      </w:r>
      <w:r>
        <w:rPr>
          <w:rStyle w:val="OtherTok"/>
        </w:rPr>
        <w:t xml:space="preserve">,</w:t>
      </w:r>
      <w:r>
        <w:rPr>
          <w:rStyle w:val="NormalTok"/>
        </w:rPr>
        <w:t xml:space="preserve"> </w:t>
      </w:r>
      <w:r>
        <w:rPr>
          <w:rStyle w:val="StringTok"/>
        </w:rPr>
        <w:t xml:space="preserve">"porter_stem"</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"product_search"</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"tokenizer"</w:t>
      </w:r>
      <w:r>
        <w:rPr>
          <w:rStyle w:val="FunctionTok"/>
        </w:rPr>
        <w:t xml:space="preserve">:</w:t>
      </w:r>
      <w:r>
        <w:rPr>
          <w:rStyle w:val="NormalTok"/>
        </w:rPr>
        <w:t xml:space="preserve"> </w:t>
      </w:r>
      <w:r>
        <w:rPr>
          <w:rStyle w:val="StringTok"/>
        </w:rPr>
        <w:t xml:space="preserve">"standard"</w:t>
      </w:r>
      <w:r>
        <w:rPr>
          <w:rStyle w:val="FunctionTok"/>
        </w:rPr>
        <w:t xml:space="preserve">,</w:t>
      </w:r>
      <w:r>
        <w:rPr>
          <w:rStyle w:val="NormalTok"/>
        </w:rPr>
        <w:t xml:space="preserve"> </w:t>
      </w:r>
      <w:r>
        <w:rPr>
          <w:rStyle w:val="DataTypeTok"/>
        </w:rPr>
        <w:t xml:space="preserve">"filter"</w:t>
      </w:r>
      <w:r>
        <w:rPr>
          <w:rStyle w:val="FunctionTok"/>
        </w:rPr>
        <w:t xml:space="preserve">:</w:t>
      </w:r>
      <w:r>
        <w:rPr>
          <w:rStyle w:val="NormalTok"/>
        </w:rPr>
        <w:t xml:space="preserve"> </w:t>
      </w:r>
      <w:r>
        <w:rPr>
          <w:rStyle w:val="OtherTok"/>
        </w:rPr>
        <w:t xml:space="preserve">[</w:t>
      </w:r>
      <w:r>
        <w:rPr>
          <w:rStyle w:val="StringTok"/>
        </w:rPr>
        <w:t xml:space="preserve">"lowercase"</w:t>
      </w:r>
      <w:r>
        <w:rPr>
          <w:rStyle w:val="OtherTok"/>
        </w:rPr>
        <w:t xml:space="preserve">,</w:t>
      </w:r>
      <w:r>
        <w:rPr>
          <w:rStyle w:val="NormalTok"/>
        </w:rPr>
        <w:t xml:space="preserve"> </w:t>
      </w:r>
      <w:r>
        <w:rPr>
          <w:rStyle w:val="StringTok"/>
        </w:rPr>
        <w:t xml:space="preserve">"asciifolding"</w:t>
      </w:r>
      <w:r>
        <w:rPr>
          <w:rStyle w:val="OtherTok"/>
        </w:rPr>
        <w:t xml:space="preserve">,</w:t>
      </w:r>
      <w:r>
        <w:rPr>
          <w:rStyle w:val="NormalTok"/>
        </w:rPr>
        <w:t xml:space="preserve"> </w:t>
      </w:r>
      <w:r>
        <w:rPr>
          <w:rStyle w:val="StringTok"/>
        </w:rPr>
        <w:t xml:space="preserve">"product_synonyms"</w:t>
      </w:r>
      <w:r>
        <w:rPr>
          <w:rStyle w:val="OtherTok"/>
        </w:rPr>
        <w:t xml:space="preserve">,</w:t>
      </w:r>
      <w:r>
        <w:rPr>
          <w:rStyle w:val="NormalTok"/>
        </w:rPr>
        <w:t xml:space="preserve"> </w:t>
      </w:r>
      <w:r>
        <w:rPr>
          <w:rStyle w:val="StringTok"/>
        </w:rPr>
        <w:t xml:space="preserve">"porter_stem"</w:t>
      </w:r>
      <w:r>
        <w:rPr>
          <w:rStyle w:val="Other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"mappings"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w:t>
      </w:r>
      <w:r>
        <w:rPr>
          <w:rStyle w:val="FunctionTok"/>
        </w:rPr>
        <w:t xml:space="preserve">,</w:t>
      </w:r>
      <w:r>
        <w:rPr>
          <w:rStyle w:val="NormalTok"/>
        </w:rPr>
        <w:t xml:space="preserve"> </w:t>
      </w:r>
      <w:r>
        <w:rPr>
          <w:rStyle w:val="DataTypeTok"/>
        </w:rPr>
        <w:t xml:space="preserve">"analyzer"</w:t>
      </w:r>
      <w:r>
        <w:rPr>
          <w:rStyle w:val="FunctionTok"/>
        </w:rPr>
        <w:t xml:space="preserve">:</w:t>
      </w:r>
      <w:r>
        <w:rPr>
          <w:rStyle w:val="NormalTok"/>
        </w:rPr>
        <w:t xml:space="preserve"> </w:t>
      </w:r>
      <w:r>
        <w:rPr>
          <w:rStyle w:val="StringTok"/>
        </w:rPr>
        <w:t xml:space="preserve">"product_index"</w:t>
      </w:r>
      <w:r>
        <w:rPr>
          <w:rStyle w:val="FunctionTok"/>
        </w:rPr>
        <w:t xml:space="preserve">,</w:t>
      </w:r>
      <w:r>
        <w:rPr>
          <w:rStyle w:val="NormalTok"/>
        </w:rPr>
        <w:t xml:space="preserve"> </w:t>
      </w:r>
      <w:r>
        <w:rPr>
          <w:rStyle w:val="DataTypeTok"/>
        </w:rPr>
        <w:t xml:space="preserve">"search_analyzer"</w:t>
      </w:r>
      <w:r>
        <w:rPr>
          <w:rStyle w:val="FunctionTok"/>
        </w:rPr>
        <w:t xml:space="preserve">:</w:t>
      </w:r>
      <w:r>
        <w:rPr>
          <w:rStyle w:val="NormalTok"/>
        </w:rPr>
        <w:t xml:space="preserve"> </w:t>
      </w:r>
      <w:r>
        <w:rPr>
          <w:rStyle w:val="StringTok"/>
        </w:rPr>
        <w:t xml:space="preserve">"product_search"</w:t>
      </w:r>
      <w:r>
        <w:rPr>
          <w:rStyle w:val="NormalTok"/>
        </w:rPr>
        <w:t xml:space="preserve"> </w:t>
      </w:r>
      <w:r>
        <w:rPr>
          <w:rStyle w:val="FunctionTok"/>
        </w:rPr>
        <w:t xml:space="preserve">},</w:t>
      </w:r>
      <w:r>
        <w:br/>
      </w:r>
      <w:r>
        <w:rPr>
          <w:rStyle w:val="NormalTok"/>
        </w:rPr>
        <w:t xml:space="preserve">      </w:t>
      </w:r>
      <w:r>
        <w:rPr>
          <w:rStyle w:val="DataTypeTok"/>
        </w:rPr>
        <w:t xml:space="preserve">"sku"</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"keyword"</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What to notice: the index and search analyzers share tokenizer and normalization but the synonym graph is applied only at search time;</w:t>
      </w:r>
      <w:r>
        <w:t xml:space="preserve"> </w:t>
      </w:r>
      <w:r>
        <w:rPr>
          <w:rStyle w:val="VerbatimChar"/>
        </w:rPr>
        <w:t xml:space="preserve">sku</w:t>
      </w:r>
      <w:r>
        <w:t xml:space="preserve"> </w:t>
      </w:r>
      <w:r>
        <w:t xml:space="preserve">is a</w:t>
      </w:r>
      <w:r>
        <w:t xml:space="preserve"> </w:t>
      </w:r>
      <w:r>
        <w:rPr>
          <w:rStyle w:val="VerbatimChar"/>
        </w:rPr>
        <w:t xml:space="preserve">keyword</w:t>
      </w:r>
      <w:r>
        <w:t xml:space="preserve"> </w:t>
      </w:r>
      <w:r>
        <w:t xml:space="preserve">field, indexed as a single unanalyzed token for exact matching.</w:t>
      </w:r>
    </w:p>
    <w:bookmarkStart w:id="1818" w:name="real-world-industry-applications-32"/>
    <w:p>
      <w:pPr>
        <w:pStyle w:val="Heading4"/>
      </w:pPr>
      <w:r>
        <w:t xml:space="preserve">Real-world industry applications</w:t>
      </w:r>
    </w:p>
    <w:p>
      <w:pPr>
        <w:pStyle w:val="CalloutIndustry"/>
      </w:pPr>
      <w:r>
        <w:rPr>
          <w:bCs/>
          <w:b/>
        </w:rPr>
        <w:t xml:space="preserve">INDUSTRY EXAMPLE</w:t>
      </w:r>
    </w:p>
    <w:p>
      <w:pPr>
        <w:pStyle w:val="CalloutIndustry"/>
      </w:pPr>
      <w:r>
        <w:rPr>
          <w:bCs/>
          <w:b/>
        </w:rPr>
        <w:t xml:space="preserve">GitHub code search.</w:t>
      </w:r>
      <w:r>
        <w:t xml:space="preserve"> </w:t>
      </w:r>
      <w:r>
        <w:t xml:space="preserve">Source code defeats word analyzers: users search for punctuation (</w:t>
      </w:r>
      <w:r>
        <w:rPr>
          <w:rStyle w:val="VerbatimChar"/>
        </w:rPr>
        <w:t xml:space="preserve">foo(</w:t>
      </w:r>
      <w:r>
        <w:t xml:space="preserve">), want no stemming or stop-word removal, and use regular expressions. GitHub’s engine (Blackbird, written in Rust) therefore indexes character n-grams and answers a query by intersecting the postings lists of the query’s n-grams, then verifying candidate documents; GitHub reported an index of about 25 TB built from 115 TB of source content [Clem 2023]. Trade-off: n-gram postings are numerous and long, which GitHub offset by indexing each unique file content only once and by sharding.</w:t>
      </w:r>
      <w:r>
        <w:t xml:space="preserve"> </w:t>
      </w:r>
      <w:r>
        <w:rPr>
          <w:iCs/>
          <w:i/>
        </w:rPr>
        <w:t xml:space="preserve">Evidence: Primary</w:t>
      </w:r>
      <w:r>
        <w:t xml:space="preserve"> </w:t>
      </w:r>
      <w:r>
        <w:t xml:space="preserve">— [Clem 2023]</w:t>
      </w:r>
    </w:p>
    <w:bookmarkEnd w:id="1818"/>
    <w:bookmarkStart w:id="1819" w:name="failure-scenarios-46"/>
    <w:p>
      <w:pPr>
        <w:pStyle w:val="Heading4"/>
      </w:pPr>
      <w:r>
        <w:t xml:space="preserve">Failure scenarios</w:t>
      </w:r>
    </w:p>
    <w:p>
      <w:pPr>
        <w:pStyle w:val="FirstParagraph"/>
      </w:pPr>
      <w:r>
        <w:rPr>
          <w:bCs/>
          <w:b/>
        </w:rPr>
        <w:t xml:space="preserve">Table 16.5 — Analysis 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Known document not found</w:t>
            </w:r>
          </w:p>
        </w:tc>
        <w:tc>
          <w:tcPr/>
          <w:p>
            <w:pPr>
              <w:pStyle w:val="Compact"/>
              <w:jc w:val="left"/>
            </w:pPr>
            <w:r>
              <w:t xml:space="preserve">Index and query analyzers differ</w:t>
            </w:r>
          </w:p>
        </w:tc>
        <w:tc>
          <w:tcPr/>
          <w:p>
            <w:pPr>
              <w:pStyle w:val="Compact"/>
              <w:jc w:val="left"/>
            </w:pPr>
            <w:r>
              <w:rPr>
                <w:rStyle w:val="VerbatimChar"/>
              </w:rPr>
              <w:t xml:space="preserve">_analyze</w:t>
            </w:r>
            <w:r>
              <w:t xml:space="preserve"> </w:t>
            </w:r>
            <w:r>
              <w:t xml:space="preserve">API on both strings</w:t>
            </w:r>
          </w:p>
        </w:tc>
        <w:tc>
          <w:tcPr/>
          <w:p>
            <w:pPr>
              <w:pStyle w:val="Compact"/>
              <w:jc w:val="left"/>
            </w:pPr>
            <w:r>
              <w:t xml:space="preserve">Align analyzers; reindex</w:t>
            </w:r>
          </w:p>
        </w:tc>
        <w:tc>
          <w:tcPr/>
          <w:p>
            <w:pPr>
              <w:pStyle w:val="Compact"/>
              <w:jc w:val="left"/>
            </w:pPr>
            <w:r>
              <w:t xml:space="preserve">One analyzer definition shared by both sides; tests</w:t>
            </w:r>
          </w:p>
        </w:tc>
      </w:tr>
      <w:tr>
        <w:tc>
          <w:tcPr/>
          <w:p>
            <w:pPr>
              <w:pStyle w:val="Compact"/>
              <w:jc w:val="left"/>
            </w:pPr>
            <w:r>
              <w:t xml:space="preserve">Irrelevant matches after a release</w:t>
            </w:r>
          </w:p>
        </w:tc>
        <w:tc>
          <w:tcPr/>
          <w:p>
            <w:pPr>
              <w:pStyle w:val="Compact"/>
              <w:jc w:val="left"/>
            </w:pPr>
            <w:r>
              <w:t xml:space="preserve">Aggressive stemmer or bad synonym</w:t>
            </w:r>
          </w:p>
        </w:tc>
        <w:tc>
          <w:tcPr/>
          <w:p>
            <w:pPr>
              <w:pStyle w:val="Compact"/>
              <w:jc w:val="left"/>
            </w:pPr>
            <w:r>
              <w:t xml:space="preserve">Relevance test set regression</w:t>
            </w:r>
          </w:p>
        </w:tc>
        <w:tc>
          <w:tcPr/>
          <w:p>
            <w:pPr>
              <w:pStyle w:val="Compact"/>
              <w:jc w:val="left"/>
            </w:pPr>
            <w:r>
              <w:t xml:space="preserve">Roll back query-time synonyms</w:t>
            </w:r>
          </w:p>
        </w:tc>
        <w:tc>
          <w:tcPr/>
          <w:p>
            <w:pPr>
              <w:pStyle w:val="Compact"/>
              <w:jc w:val="left"/>
            </w:pPr>
            <w:r>
              <w:t xml:space="preserve">Offline relevance evaluation gate</w:t>
            </w:r>
          </w:p>
        </w:tc>
      </w:tr>
      <w:tr>
        <w:tc>
          <w:tcPr/>
          <w:p>
            <w:pPr>
              <w:pStyle w:val="Compact"/>
              <w:jc w:val="left"/>
            </w:pPr>
            <w:r>
              <w:t xml:space="preserve">Index size jumps 5×</w:t>
            </w:r>
          </w:p>
        </w:tc>
        <w:tc>
          <w:tcPr/>
          <w:p>
            <w:pPr>
              <w:pStyle w:val="Compact"/>
              <w:jc w:val="left"/>
            </w:pPr>
            <w:r>
              <w:t xml:space="preserve">n-gram filter added to a large field</w:t>
            </w:r>
          </w:p>
        </w:tc>
        <w:tc>
          <w:tcPr/>
          <w:p>
            <w:pPr>
              <w:pStyle w:val="Compact"/>
              <w:jc w:val="left"/>
            </w:pPr>
            <w:r>
              <w:t xml:space="preserve">Disk usage alert</w:t>
            </w:r>
          </w:p>
        </w:tc>
        <w:tc>
          <w:tcPr/>
          <w:p>
            <w:pPr>
              <w:pStyle w:val="Compact"/>
              <w:jc w:val="left"/>
            </w:pPr>
            <w:r>
              <w:t xml:space="preserve">Move n-grams to a dedicated subfield</w:t>
            </w:r>
          </w:p>
        </w:tc>
        <w:tc>
          <w:tcPr/>
          <w:p>
            <w:pPr>
              <w:pStyle w:val="Compact"/>
              <w:jc w:val="left"/>
            </w:pPr>
            <w:r>
              <w:t xml:space="preserve">Size test on a sample before deploy</w:t>
            </w:r>
          </w:p>
        </w:tc>
      </w:tr>
    </w:tbl>
    <w:bookmarkEnd w:id="1819"/>
    <w:bookmarkStart w:id="1820" w:name="common-misconceptions-36"/>
    <w:p>
      <w:pPr>
        <w:pStyle w:val="Heading4"/>
      </w:pPr>
      <w:r>
        <w:t xml:space="preserve">Common misconceptions</w:t>
      </w:r>
    </w:p>
    <w:p>
      <w:pPr>
        <w:pStyle w:val="CalloutMistake"/>
      </w:pPr>
      <w:r>
        <w:rPr>
          <w:bCs/>
          <w:b/>
        </w:rPr>
        <w:t xml:space="preserve">COMMON MISTAKE</w:t>
      </w:r>
    </w:p>
    <w:p>
      <w:pPr>
        <w:pStyle w:val="CalloutMistake"/>
      </w:pPr>
      <w:r>
        <w:rPr>
          <w:bCs/>
          <w:b/>
        </w:rPr>
        <w:t xml:space="preserve">Mistake —</w:t>
      </w:r>
      <w:r>
        <w:rPr>
          <w:bCs/>
          <w:b/>
        </w:rPr>
        <w:t xml:space="preserve"> </w:t>
      </w:r>
      <w:r>
        <w:rPr>
          <w:bCs/>
          <w:b/>
        </w:rPr>
        <w:t xml:space="preserve">“</w:t>
      </w:r>
      <w:r>
        <w:rPr>
          <w:bCs/>
          <w:b/>
        </w:rPr>
        <w:t xml:space="preserve">Better analysis is always more normalization.</w:t>
      </w:r>
      <w:r>
        <w:rPr>
          <w:bCs/>
          <w:b/>
        </w:rPr>
        <w:t xml:space="preserve">”</w:t>
      </w:r>
      <w:r>
        <w:t xml:space="preserve"> </w:t>
      </w:r>
      <w:r>
        <w:t xml:space="preserve">Every normalization merges distinct strings. For SKUs, error codes, names and code, normalization destroys meaning. Analyze each field according to how people search it, and keep an unanalyzed</w:t>
      </w:r>
      <w:r>
        <w:t xml:space="preserve"> </w:t>
      </w:r>
      <w:r>
        <w:rPr>
          <w:rStyle w:val="VerbatimChar"/>
        </w:rPr>
        <w:t xml:space="preserve">keyword</w:t>
      </w:r>
      <w:r>
        <w:t xml:space="preserve"> </w:t>
      </w:r>
      <w:r>
        <w:t xml:space="preserve">subfield for exact matching.</w:t>
      </w:r>
    </w:p>
    <w:bookmarkEnd w:id="1820"/>
    <w:bookmarkEnd w:id="1821"/>
    <w:bookmarkEnd w:id="1822"/>
    <w:bookmarkStart w:id="1836" w:name="ranking-tf-idf-and-bm25"/>
    <w:p>
      <w:pPr>
        <w:pStyle w:val="Heading2"/>
      </w:pPr>
      <w:r>
        <w:t xml:space="preserve">16.5 Ranking: TF-IDF and BM25</w:t>
      </w:r>
    </w:p>
    <w:bookmarkStart w:id="1824" w:name="what-a-ranking-function-does"/>
    <w:p>
      <w:pPr>
        <w:pStyle w:val="Heading3"/>
      </w:pPr>
      <w:r>
        <w:t xml:space="preserve">16.5.1 What a ranking function does</w:t>
      </w:r>
    </w:p>
    <w:p>
      <w:pPr>
        <w:pStyle w:val="CalloutDefinition"/>
      </w:pPr>
      <w:r>
        <w:rPr>
          <w:bCs/>
          <w:b/>
        </w:rPr>
        <w:t xml:space="preserve">DEFINITION</w:t>
      </w:r>
    </w:p>
    <w:p>
      <w:pPr>
        <w:pStyle w:val="CalloutDefinition"/>
      </w:pPr>
      <w:r>
        <w:rPr>
          <w:bCs/>
          <w:b/>
        </w:rPr>
        <w:t xml:space="preserve">Definition — Relevance score.</w:t>
      </w:r>
      <w:r>
        <w:t xml:space="preserve"> </w:t>
      </w:r>
      <w:r>
        <w:t xml:space="preserve">A number computed for each (query, document) pair that estimates how well the document satisfies the query. A</w:t>
      </w:r>
      <w:r>
        <w:t xml:space="preserve"> </w:t>
      </w:r>
      <w:r>
        <w:rPr>
          <w:bCs/>
          <w:b/>
        </w:rPr>
        <w:t xml:space="preserve">ranking function</w:t>
      </w:r>
      <w:r>
        <w:t xml:space="preserve"> </w:t>
      </w:r>
      <w:r>
        <w:t xml:space="preserve">computes it; the engine returns the</w:t>
      </w:r>
      <w:r>
        <w:t xml:space="preserve"> </w:t>
      </w:r>
      <m:oMath>
        <m:r>
          <m:t>k</m:t>
        </m:r>
      </m:oMath>
      <w:r>
        <w:t xml:space="preserve"> </w:t>
      </w:r>
      <w:r>
        <w:t xml:space="preserve">highest-scoring documents.</w:t>
      </w:r>
    </w:p>
    <w:bookmarkStart w:id="1823" w:name="first-principles-explanation-103"/>
    <w:p>
      <w:pPr>
        <w:pStyle w:val="Heading4"/>
      </w:pPr>
      <w:r>
        <w:t xml:space="preserve">First-principles explanation</w:t>
      </w:r>
    </w:p>
    <w:p>
      <w:pPr>
        <w:pStyle w:val="FirstParagraph"/>
      </w:pPr>
      <w:r>
        <w:t xml:space="preserve">A sensible librarian asked for</w:t>
      </w:r>
      <w:r>
        <w:t xml:space="preserve"> </w:t>
      </w:r>
      <w:r>
        <w:t xml:space="preserve">“</w:t>
      </w:r>
      <w:r>
        <w:t xml:space="preserve">noise cancelling headphones</w:t>
      </w:r>
      <w:r>
        <w:t xml:space="preserve">”</w:t>
      </w:r>
      <w:r>
        <w:t xml:space="preserve"> </w:t>
      </w:r>
      <w:r>
        <w:t xml:space="preserve">reasons three ways. A book mentioning</w:t>
      </w:r>
      <w:r>
        <w:t xml:space="preserve"> </w:t>
      </w:r>
      <w:r>
        <w:rPr>
          <w:iCs/>
          <w:i/>
        </w:rPr>
        <w:t xml:space="preserve">noise cancelling</w:t>
      </w:r>
      <w:r>
        <w:t xml:space="preserve"> </w:t>
      </w:r>
      <w:r>
        <w:t xml:space="preserve">ten times is more on topic than one mentioning it once, but not ten times more (</w:t>
      </w:r>
      <w:r>
        <w:rPr>
          <w:bCs/>
          <w:b/>
        </w:rPr>
        <w:t xml:space="preserve">term frequency, with diminishing returns</w:t>
      </w:r>
      <w:r>
        <w:t xml:space="preserve">).</w:t>
      </w:r>
      <w:r>
        <w:t xml:space="preserve"> </w:t>
      </w:r>
      <w:r>
        <w:rPr>
          <w:iCs/>
          <w:i/>
        </w:rPr>
        <w:t xml:space="preserve">Headphones</w:t>
      </w:r>
      <w:r>
        <w:t xml:space="preserve"> </w:t>
      </w:r>
      <w:r>
        <w:t xml:space="preserve">appears in half the catalog, so matching it says little, while rare</w:t>
      </w:r>
      <w:r>
        <w:t xml:space="preserve"> </w:t>
      </w:r>
      <w:r>
        <w:rPr>
          <w:iCs/>
          <w:i/>
        </w:rPr>
        <w:t xml:space="preserve">cancelling</w:t>
      </w:r>
      <w:r>
        <w:t xml:space="preserve"> </w:t>
      </w:r>
      <w:r>
        <w:t xml:space="preserve">is informative (</w:t>
      </w:r>
      <w:r>
        <w:rPr>
          <w:bCs/>
          <w:b/>
        </w:rPr>
        <w:t xml:space="preserve">inverse document frequency</w:t>
      </w:r>
      <w:r>
        <w:t xml:space="preserve">). And a leaflet mentioning</w:t>
      </w:r>
      <w:r>
        <w:t xml:space="preserve"> </w:t>
      </w:r>
      <w:r>
        <w:rPr>
          <w:iCs/>
          <w:i/>
        </w:rPr>
        <w:t xml:space="preserve">noise</w:t>
      </w:r>
      <w:r>
        <w:t xml:space="preserve"> </w:t>
      </w:r>
      <w:r>
        <w:t xml:space="preserve">once is more focused than an encyclopedia mentioning it once (</w:t>
      </w:r>
      <w:r>
        <w:rPr>
          <w:bCs/>
          <w:b/>
        </w:rPr>
        <w:t xml:space="preserve">length normalization</w:t>
      </w:r>
      <w:r>
        <w:t xml:space="preserve">). BM25 writes these three intuitions as one formula.</w:t>
      </w:r>
    </w:p>
    <w:p>
      <w:pPr>
        <w:pStyle w:val="BodyText"/>
      </w:pPr>
      <w:r>
        <w:t xml:space="preserve">The theoretical justification is the</w:t>
      </w:r>
      <w:r>
        <w:t xml:space="preserve"> </w:t>
      </w:r>
      <w:r>
        <w:rPr>
          <w:bCs/>
          <w:b/>
        </w:rPr>
        <w:t xml:space="preserve">probability ranking principle</w:t>
      </w:r>
      <w:r>
        <w:t xml:space="preserve">: if documents are ranked by their probability of relevance to the query, the ranking is optimal for any measure that rewards putting relevant documents first [Robertson 1977]. BM25 approximates that probability from term statistics alone [Robertson and Zaragoza 2009].</w:t>
      </w:r>
    </w:p>
    <w:bookmarkEnd w:id="1823"/>
    <w:bookmarkEnd w:id="1824"/>
    <w:bookmarkStart w:id="1825" w:name="tf-idf"/>
    <w:p>
      <w:pPr>
        <w:pStyle w:val="Heading3"/>
      </w:pPr>
      <w:r>
        <w:t xml:space="preserve">16.5.2 TF-IDF</w:t>
      </w:r>
    </w:p>
    <w:p>
      <w:pPr>
        <w:pStyle w:val="FirstParagraph"/>
      </w:pPr>
      <w:r>
        <w:t xml:space="preserve">Karen Spärck Jones observed in 1972 that a term’s value for retrieval falls as the number of documents containing it rises [Spärck Jones 1972]. Combined with term frequency, this gives the classic</w:t>
      </w:r>
      <w:r>
        <w:t xml:space="preserve"> </w:t>
      </w:r>
      <w:r>
        <w:rPr>
          <w:bCs/>
          <w:b/>
        </w:rPr>
        <w:t xml:space="preserve">TF-IDF</w:t>
      </w:r>
      <w:r>
        <w:t xml:space="preserve"> </w:t>
      </w:r>
      <w:r>
        <w:t xml:space="preserve">weight, the basis of the vector space model in which documents and queries are vectors of term weights compared by cosine similarity (§4.9.2).</w:t>
      </w:r>
    </w:p>
    <w:p>
      <w:pPr>
        <w:pStyle w:val="CalloutFormula"/>
      </w:pPr>
      <w:r>
        <w:rPr>
          <w:bCs/>
          <w:b/>
        </w:rPr>
        <w:t xml:space="preserve">FORMULA</w:t>
      </w:r>
    </w:p>
    <w:p>
      <w:pPr>
        <w:pStyle w:val="CalloutFormula"/>
      </w:pPr>
      <w:r>
        <w:rPr>
          <w:bCs/>
          <w:b/>
        </w:rPr>
        <w:t xml:space="preserve">TF-IDF weight of term</w:t>
      </w:r>
      <w:r>
        <w:rPr>
          <w:bCs/>
          <w:b/>
        </w:rPr>
        <w:t xml:space="preserve"> </w:t>
      </w:r>
      <m:oMath>
        <m:r>
          <m:t>t</m:t>
        </m:r>
      </m:oMath>
      <w:r>
        <w:rPr>
          <w:bCs/>
          <w:b/>
        </w:rPr>
        <w:t xml:space="preserve"> </w:t>
      </w:r>
      <w:r>
        <w:rPr>
          <w:bCs/>
          <w:b/>
        </w:rPr>
        <w:t xml:space="preserve">in document</w:t>
      </w:r>
      <w:r>
        <w:rPr>
          <w:bCs/>
          <w:b/>
        </w:rPr>
        <w:t xml:space="preserve"> </w:t>
      </w:r>
      <m:oMath>
        <m:r>
          <m:t>d</m:t>
        </m:r>
      </m:oMath>
    </w:p>
    <w:p>
      <w:pPr>
        <w:pStyle w:val="CalloutFormula"/>
      </w:pPr>
      <m:oMathPara>
        <m:oMathParaPr>
          <m:jc m:val="center"/>
        </m:oMathParaPr>
        <m:oMath>
          <m:sSub>
            <m:e>
              <m:r>
                <m:t>w</m:t>
              </m:r>
            </m:e>
            <m:sub>
              <m:r>
                <m:t>t</m:t>
              </m:r>
              <m:r>
                <m:rPr>
                  <m:sty m:val="p"/>
                </m:rPr>
                <m:t>,</m:t>
              </m:r>
              <m:r>
                <m:t>d</m:t>
              </m:r>
            </m:sub>
          </m:sSub>
          <m:r>
            <m:rPr>
              <m:sty m:val="p"/>
            </m:rPr>
            <m:t>=</m:t>
          </m:r>
          <m:sSub>
            <m:e>
              <m:r>
                <m:rPr>
                  <m:nor/>
                  <m:sty m:val="p"/>
                </m:rPr>
                <m:t>tf</m:t>
              </m:r>
            </m:e>
            <m:sub>
              <m:r>
                <m:t>t</m:t>
              </m:r>
              <m:r>
                <m:rPr>
                  <m:sty m:val="p"/>
                </m:rPr>
                <m:t>,</m:t>
              </m:r>
              <m:r>
                <m:t>d</m:t>
              </m:r>
            </m:sub>
          </m:sSub>
          <m:r>
            <m:rPr>
              <m:sty m:val="p"/>
            </m:rPr>
            <m:t>×</m:t>
          </m:r>
          <m:sSub>
            <m:e>
              <m:r>
                <m:rPr>
                  <m:sty m:val="p"/>
                </m:rPr>
                <m:t>log</m:t>
              </m:r>
            </m:e>
            <m:sub>
              <m:r>
                <m:t>10</m:t>
              </m:r>
            </m:sub>
          </m:sSub>
          <m:f>
            <m:fPr>
              <m:type m:val="bar"/>
            </m:fPr>
            <m:num>
              <m:r>
                <m:t>N</m:t>
              </m:r>
            </m:num>
            <m:den>
              <m:sSub>
                <m:e>
                  <m:r>
                    <m:rPr>
                      <m:nor/>
                      <m:sty m:val="p"/>
                    </m:rPr>
                    <m:t>df</m:t>
                  </m:r>
                </m:e>
                <m:sub>
                  <m:r>
                    <m:t>t</m:t>
                  </m:r>
                </m:sub>
              </m:sSub>
            </m:den>
          </m:f>
          <m:r>
            <m:t>  </m:t>
          </m:r>
          <m:r>
            <m:rPr>
              <m:nor/>
              <m:sty m:val="p"/>
            </m:rPr>
            <m:t>score</m:t>
          </m:r>
          <m:d>
            <m:dPr>
              <m:begChr m:val="("/>
              <m:endChr m:val=")"/>
              <m:sepChr m:val=""/>
              <m:grow/>
            </m:dPr>
            <m:e>
              <m:r>
                <m:t>q</m:t>
              </m:r>
              <m:r>
                <m:rPr>
                  <m:sty m:val="p"/>
                </m:rPr>
                <m:t>,</m:t>
              </m:r>
              <m:r>
                <m:t>d</m:t>
              </m:r>
            </m:e>
          </m:d>
          <m:r>
            <m:rPr>
              <m:sty m:val="p"/>
            </m:rPr>
            <m:t>=</m:t>
          </m:r>
          <m:nary>
            <m:naryPr>
              <m:chr m:val="∑"/>
              <m:limLoc m:val="undOvr"/>
              <m:subHide m:val="off"/>
              <m:supHide m:val="on"/>
            </m:naryPr>
            <m:sub>
              <m:r>
                <m:t>t</m:t>
              </m:r>
              <m:r>
                <m:rPr>
                  <m:sty m:val="p"/>
                </m:rPr>
                <m:t>∈</m:t>
              </m:r>
              <m:r>
                <m:t>q</m:t>
              </m:r>
            </m:sub>
            <m:sup>
              <m:r>
                <m:t>​</m:t>
              </m:r>
            </m:sup>
            <m:e>
              <m:sSub>
                <m:e>
                  <m:r>
                    <m:t>w</m:t>
                  </m:r>
                </m:e>
                <m:sub>
                  <m:r>
                    <m:t>t</m:t>
                  </m:r>
                  <m:r>
                    <m:rPr>
                      <m:sty m:val="p"/>
                    </m:rPr>
                    <m:t>,</m:t>
                  </m:r>
                  <m:r>
                    <m:t>d</m:t>
                  </m:r>
                </m:sub>
              </m:sSub>
            </m:e>
          </m:nary>
        </m:oMath>
      </m:oMathPara>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rPr>
                      <m:nor/>
                      <m:sty m:val="p"/>
                    </m:rPr>
                    <m:t>tf</m:t>
                  </m:r>
                </m:e>
                <m:sub>
                  <m:r>
                    <m:t>t</m:t>
                  </m:r>
                  <m:r>
                    <m:rPr>
                      <m:sty m:val="p"/>
                    </m:rPr>
                    <m:t>,</m:t>
                  </m:r>
                  <m:r>
                    <m:t>d</m:t>
                  </m:r>
                </m:sub>
              </m:sSub>
            </m:oMath>
          </w:p>
        </w:tc>
        <w:tc>
          <w:tcPr/>
          <w:p>
            <w:pPr>
              <w:pStyle w:val="Compact"/>
              <w:jc w:val="left"/>
            </w:pPr>
            <w:r>
              <w:t xml:space="preserve">Occurrences of term</w:t>
            </w:r>
            <w:r>
              <w:t xml:space="preserve"> </w:t>
            </w:r>
            <m:oMath>
              <m:r>
                <m:t>t</m:t>
              </m:r>
            </m:oMath>
            <w:r>
              <w:t xml:space="preserve"> </w:t>
            </w:r>
            <w:r>
              <w:t xml:space="preserve">in document</w:t>
            </w:r>
            <w:r>
              <w:t xml:space="preserve"> </w:t>
            </w:r>
            <m:oMath>
              <m:r>
                <m:t>d</m:t>
              </m:r>
            </m:oMath>
          </w:p>
        </w:tc>
        <w:tc>
          <w:tcPr/>
          <w:p>
            <w:pPr>
              <w:pStyle w:val="Compact"/>
              <w:jc w:val="left"/>
            </w:pPr>
            <w:r>
              <w:t xml:space="preserve">count</w:t>
            </w:r>
          </w:p>
        </w:tc>
      </w:tr>
      <w:tr>
        <w:tc>
          <w:tcPr/>
          <w:p>
            <w:pPr>
              <w:pStyle w:val="Compact"/>
              <w:jc w:val="left"/>
            </w:pPr>
            <m:oMath>
              <m:r>
                <m:t>N</m:t>
              </m:r>
            </m:oMath>
          </w:p>
        </w:tc>
        <w:tc>
          <w:tcPr/>
          <w:p>
            <w:pPr>
              <w:pStyle w:val="Compact"/>
              <w:jc w:val="left"/>
            </w:pPr>
            <w:r>
              <w:t xml:space="preserve">Documents in the collection</w:t>
            </w:r>
          </w:p>
        </w:tc>
        <w:tc>
          <w:tcPr/>
          <w:p>
            <w:pPr>
              <w:pStyle w:val="Compact"/>
              <w:jc w:val="left"/>
            </w:pPr>
            <w:r>
              <w:t xml:space="preserve">documents</w:t>
            </w:r>
          </w:p>
        </w:tc>
      </w:tr>
      <w:tr>
        <w:tc>
          <w:tcPr/>
          <w:p>
            <w:pPr>
              <w:pStyle w:val="Compact"/>
              <w:jc w:val="left"/>
            </w:pPr>
            <m:oMath>
              <m:sSub>
                <m:e>
                  <m:r>
                    <m:rPr>
                      <m:nor/>
                      <m:sty m:val="p"/>
                    </m:rPr>
                    <m:t>df</m:t>
                  </m:r>
                </m:e>
                <m:sub>
                  <m:r>
                    <m:t>t</m:t>
                  </m:r>
                </m:sub>
              </m:sSub>
            </m:oMath>
          </w:p>
        </w:tc>
        <w:tc>
          <w:tcPr/>
          <w:p>
            <w:pPr>
              <w:pStyle w:val="Compact"/>
              <w:jc w:val="left"/>
            </w:pPr>
            <w:r>
              <w:t xml:space="preserve">Documents containing</w:t>
            </w:r>
            <w:r>
              <w:t xml:space="preserve"> </w:t>
            </w:r>
            <m:oMath>
              <m:r>
                <m:t>t</m:t>
              </m:r>
            </m:oMath>
          </w:p>
        </w:tc>
        <w:tc>
          <w:tcPr/>
          <w:p>
            <w:pPr>
              <w:pStyle w:val="Compact"/>
              <w:jc w:val="left"/>
            </w:pPr>
            <w:r>
              <w:t xml:space="preserve">documents</w:t>
            </w:r>
          </w:p>
        </w:tc>
      </w:tr>
      <w:tr>
        <w:tc>
          <w:tcPr/>
          <w:p>
            <w:pPr>
              <w:pStyle w:val="Compact"/>
              <w:jc w:val="left"/>
            </w:pPr>
            <m:oMath>
              <m:sSub>
                <m:e>
                  <m:r>
                    <m:t>w</m:t>
                  </m:r>
                </m:e>
                <m:sub>
                  <m:r>
                    <m:t>t</m:t>
                  </m:r>
                  <m:r>
                    <m:rPr>
                      <m:sty m:val="p"/>
                    </m:rPr>
                    <m:t>,</m:t>
                  </m:r>
                  <m:r>
                    <m:t>d</m:t>
                  </m:r>
                </m:sub>
              </m:sSub>
            </m:oMath>
          </w:p>
        </w:tc>
        <w:tc>
          <w:tcPr/>
          <w:p>
            <w:pPr>
              <w:pStyle w:val="Compact"/>
              <w:jc w:val="left"/>
            </w:pPr>
            <w:r>
              <w:t xml:space="preserve">Weight of</w:t>
            </w:r>
            <w:r>
              <w:t xml:space="preserve"> </w:t>
            </w:r>
            <m:oMath>
              <m:r>
                <m:t>t</m:t>
              </m:r>
            </m:oMath>
            <w:r>
              <w:t xml:space="preserve"> </w:t>
            </w:r>
            <w:r>
              <w:t xml:space="preserve">in</w:t>
            </w:r>
            <w:r>
              <w:t xml:space="preserve"> </w:t>
            </w:r>
            <m:oMath>
              <m:r>
                <m:t>d</m:t>
              </m:r>
            </m:oMath>
          </w:p>
        </w:tc>
        <w:tc>
          <w:tcPr/>
          <w:p>
            <w:pPr>
              <w:pStyle w:val="Compact"/>
              <w:jc w:val="left"/>
            </w:pPr>
            <w:r>
              <w:t xml:space="preserve">dimensionless</w:t>
            </w:r>
          </w:p>
        </w:tc>
      </w:tr>
    </w:tbl>
    <w:p>
      <w:pPr>
        <w:pStyle w:val="CalloutExample"/>
      </w:pPr>
      <w:r>
        <w:rPr>
          <w:bCs/>
          <w:b/>
        </w:rPr>
        <w:t xml:space="preserve">WORKED EXAMPLE</w:t>
      </w:r>
    </w:p>
    <w:p>
      <w:pPr>
        <w:pStyle w:val="CalloutExample"/>
      </w:pPr>
      <w:r>
        <w:rPr>
          <w:bCs/>
          <w:b/>
        </w:rPr>
        <w:t xml:space="preserve">Worked example — TF-IDF on the product catalog.</w:t>
      </w:r>
      <w:r>
        <w:t xml:space="preserve"> </w:t>
      </w:r>
      <w:r>
        <w:t xml:space="preserve">The body field of the eight-product catalog (§16.5.4) has</w:t>
      </w:r>
      <w:r>
        <w:t xml:space="preserve"> </w:t>
      </w:r>
      <m:oMath>
        <m:r>
          <m:t>N</m:t>
        </m:r>
        <m:r>
          <m:rPr>
            <m:sty m:val="p"/>
          </m:rPr>
          <m:t>=</m:t>
        </m:r>
        <m:r>
          <m:t>8</m:t>
        </m:r>
      </m:oMath>
      <w:r>
        <w:t xml:space="preserve">.</w:t>
      </w:r>
      <w:r>
        <w:t xml:space="preserve"> </w:t>
      </w:r>
      <w:r>
        <w:rPr>
          <w:iCs/>
          <w:i/>
        </w:rPr>
        <w:t xml:space="preserve">noise</w:t>
      </w:r>
      <w:r>
        <w:t xml:space="preserve"> </w:t>
      </w:r>
      <w:r>
        <w:t xml:space="preserve">occurs in 3 documents and</w:t>
      </w:r>
      <w:r>
        <w:t xml:space="preserve"> </w:t>
      </w:r>
      <w:r>
        <w:rPr>
          <w:iCs/>
          <w:i/>
        </w:rPr>
        <w:t xml:space="preserve">headphone</w:t>
      </w:r>
      <w:r>
        <w:t xml:space="preserve"> </w:t>
      </w:r>
      <w:r>
        <w:t xml:space="preserve">in 6.</w:t>
      </w:r>
    </w:p>
    <w:p>
      <w:pPr>
        <w:numPr>
          <w:ilvl w:val="0"/>
          <w:numId w:val="1538"/>
        </w:numPr>
        <w:pStyle w:val="Compact"/>
      </w:pPr>
      <m:oMath>
        <m:r>
          <m:rPr>
            <m:nor/>
            <m:sty m:val="p"/>
          </m:rPr>
          <m:t>idf</m:t>
        </m:r>
        <m:d>
          <m:dPr>
            <m:begChr m:val="("/>
            <m:endChr m:val=")"/>
            <m:sepChr m:val=""/>
            <m:grow/>
          </m:dPr>
          <m:e>
            <m:r>
              <m:rPr>
                <m:nor/>
                <m:sty m:val="i"/>
              </m:rPr>
              <m:t>noise</m:t>
            </m:r>
          </m:e>
        </m:d>
        <m:r>
          <m:rPr>
            <m:sty m:val="p"/>
          </m:rPr>
          <m:t>=</m:t>
        </m:r>
        <m:sSub>
          <m:e>
            <m:r>
              <m:rPr>
                <m:sty m:val="p"/>
              </m:rPr>
              <m:t>log</m:t>
            </m:r>
          </m:e>
          <m:sub>
            <m:r>
              <m:t>10</m:t>
            </m:r>
          </m:sub>
        </m:sSub>
        <m:d>
          <m:dPr>
            <m:begChr m:val="("/>
            <m:endChr m:val=")"/>
            <m:sepChr m:val=""/>
            <m:grow/>
          </m:dPr>
          <m:e>
            <m:r>
              <m:t>8</m:t>
            </m:r>
            <m:r>
              <m:rPr>
                <m:sty m:val="p"/>
              </m:rPr>
              <m:t>/</m:t>
            </m:r>
            <m:r>
              <m:t>3</m:t>
            </m:r>
          </m:e>
        </m:d>
        <m:r>
          <m:rPr>
            <m:sty m:val="p"/>
          </m:rPr>
          <m:t>=</m:t>
        </m:r>
        <m:sSub>
          <m:e>
            <m:r>
              <m:rPr>
                <m:sty m:val="p"/>
              </m:rPr>
              <m:t>log</m:t>
            </m:r>
          </m:e>
          <m:sub>
            <m:r>
              <m:t>10</m:t>
            </m:r>
          </m:sub>
        </m:sSub>
        <m:r>
          <m:t>2.667</m:t>
        </m:r>
        <m:r>
          <m:rPr>
            <m:sty m:val="p"/>
          </m:rPr>
          <m:t>=</m:t>
        </m:r>
        <m:r>
          <m:t>0.426</m:t>
        </m:r>
      </m:oMath>
      <w:r>
        <w:t xml:space="preserve">.</w:t>
      </w:r>
    </w:p>
    <w:p>
      <w:pPr>
        <w:numPr>
          <w:ilvl w:val="0"/>
          <w:numId w:val="1538"/>
        </w:numPr>
        <w:pStyle w:val="Compact"/>
      </w:pPr>
      <m:oMath>
        <m:r>
          <m:rPr>
            <m:nor/>
            <m:sty m:val="p"/>
          </m:rPr>
          <m:t>idf</m:t>
        </m:r>
        <m:d>
          <m:dPr>
            <m:begChr m:val="("/>
            <m:endChr m:val=")"/>
            <m:sepChr m:val=""/>
            <m:grow/>
          </m:dPr>
          <m:e>
            <m:r>
              <m:rPr>
                <m:nor/>
                <m:sty m:val="i"/>
              </m:rPr>
              <m:t>headphone</m:t>
            </m:r>
          </m:e>
        </m:d>
        <m:r>
          <m:rPr>
            <m:sty m:val="p"/>
          </m:rPr>
          <m:t>=</m:t>
        </m:r>
        <m:sSub>
          <m:e>
            <m:r>
              <m:rPr>
                <m:sty m:val="p"/>
              </m:rPr>
              <m:t>log</m:t>
            </m:r>
          </m:e>
          <m:sub>
            <m:r>
              <m:t>10</m:t>
            </m:r>
          </m:sub>
        </m:sSub>
        <m:d>
          <m:dPr>
            <m:begChr m:val="("/>
            <m:endChr m:val=")"/>
            <m:sepChr m:val=""/>
            <m:grow/>
          </m:dPr>
          <m:e>
            <m:r>
              <m:t>8</m:t>
            </m:r>
            <m:r>
              <m:rPr>
                <m:sty m:val="p"/>
              </m:rPr>
              <m:t>/</m:t>
            </m:r>
            <m:r>
              <m:t>6</m:t>
            </m:r>
          </m:e>
        </m:d>
        <m:r>
          <m:rPr>
            <m:sty m:val="p"/>
          </m:rPr>
          <m:t>=</m:t>
        </m:r>
        <m:r>
          <m:t>0.125</m:t>
        </m:r>
      </m:oMath>
      <w:r>
        <w:t xml:space="preserve">.</w:t>
      </w:r>
    </w:p>
    <w:p>
      <w:pPr>
        <w:numPr>
          <w:ilvl w:val="0"/>
          <w:numId w:val="1538"/>
        </w:numPr>
        <w:pStyle w:val="Compact"/>
      </w:pPr>
      <w:r>
        <w:t xml:space="preserve">A document containing</w:t>
      </w:r>
      <w:r>
        <w:t xml:space="preserve"> </w:t>
      </w:r>
      <w:r>
        <w:rPr>
          <w:iCs/>
          <w:i/>
        </w:rPr>
        <w:t xml:space="preserve">noise</w:t>
      </w:r>
      <w:r>
        <w:t xml:space="preserve"> </w:t>
      </w:r>
      <w:r>
        <w:t xml:space="preserve">once scores 0.426 for that term; one containing</w:t>
      </w:r>
      <w:r>
        <w:t xml:space="preserve"> </w:t>
      </w:r>
      <w:r>
        <w:rPr>
          <w:iCs/>
          <w:i/>
        </w:rPr>
        <w:t xml:space="preserve">noise</w:t>
      </w:r>
      <w:r>
        <w:t xml:space="preserve"> </w:t>
      </w:r>
      <w:r>
        <w:t xml:space="preserve">10 times scores 4.26.</w:t>
      </w:r>
    </w:p>
    <w:p>
      <w:pPr>
        <w:pStyle w:val="CalloutExample"/>
      </w:pPr>
      <w:r>
        <w:rPr>
          <w:bCs/>
          <w:b/>
        </w:rPr>
        <w:t xml:space="preserve">Interpretation.</w:t>
      </w:r>
      <w:r>
        <w:t xml:space="preserve"> </w:t>
      </w:r>
      <w:r>
        <w:t xml:space="preserve">IDF makes</w:t>
      </w:r>
      <w:r>
        <w:t xml:space="preserve"> </w:t>
      </w:r>
      <w:r>
        <w:rPr>
          <w:iCs/>
          <w:i/>
        </w:rPr>
        <w:t xml:space="preserve">noise</w:t>
      </w:r>
      <w:r>
        <w:t xml:space="preserve"> </w:t>
      </w:r>
      <w:r>
        <w:t xml:space="preserve">3.4× more valuable than</w:t>
      </w:r>
      <w:r>
        <w:t xml:space="preserve"> </w:t>
      </w:r>
      <w:r>
        <w:rPr>
          <w:iCs/>
          <w:i/>
        </w:rPr>
        <w:t xml:space="preserve">headphone</w:t>
      </w:r>
      <w:r>
        <w:t xml:space="preserve">, as intended, but raw tf grows without limit (keyword stuffing wins) and nothing corrects for length.</w:t>
      </w:r>
      <w:r>
        <w:t xml:space="preserve"> </w:t>
      </w:r>
      <w:r>
        <w:rPr>
          <w:bCs/>
          <w:b/>
        </w:rPr>
        <w:t xml:space="preserve">Engineering implication.</w:t>
      </w:r>
      <w:r>
        <w:t xml:space="preserve"> </w:t>
      </w:r>
      <w:r>
        <w:t xml:space="preserve">Lucene’s TF-IDF variant (with</w:t>
      </w:r>
      <w:r>
        <w:t xml:space="preserve"> </w:t>
      </w:r>
      <m:oMath>
        <m:rad>
          <m:radPr>
            <m:degHide m:val="on"/>
          </m:radPr>
          <m:deg/>
          <m:e>
            <m:r>
              <m:rPr>
                <m:nor/>
                <m:sty m:val="p"/>
              </m:rPr>
              <m:t>tf</m:t>
            </m:r>
          </m:e>
        </m:rad>
      </m:oMath>
      <w:r>
        <w:t xml:space="preserve"> </w:t>
      </w:r>
      <w:r>
        <w:t xml:space="preserve">and length factors) was the default until Lucene 6 and Elasticsearch 5.0 switched to BM25 [Elastic Docs: similarity].</w:t>
      </w:r>
    </w:p>
    <w:bookmarkEnd w:id="1825"/>
    <w:bookmarkStart w:id="1826" w:name="bm25"/>
    <w:p>
      <w:pPr>
        <w:pStyle w:val="Heading3"/>
      </w:pPr>
      <w:r>
        <w:t xml:space="preserve">16.5.3 BM25</w:t>
      </w:r>
    </w:p>
    <w:p>
      <w:pPr>
        <w:pStyle w:val="FirstParagraph"/>
      </w:pPr>
      <w:r>
        <w:rPr>
          <w:bCs/>
          <w:b/>
        </w:rPr>
        <w:t xml:space="preserve">BM25</w:t>
      </w:r>
      <w:r>
        <w:t xml:space="preserve"> </w:t>
      </w:r>
      <w:r>
        <w:t xml:space="preserve">(</w:t>
      </w:r>
      <w:r>
        <w:t xml:space="preserve">“</w:t>
      </w:r>
      <w:r>
        <w:t xml:space="preserve">Best Matching 25</w:t>
      </w:r>
      <w:r>
        <w:t xml:space="preserve">”</w:t>
      </w:r>
      <w:r>
        <w:t xml:space="preserve">, the 25th weighting scheme in the Okapi experiments at City University London) comes from the probabilistic relevance framework [Robertson and Zaragoza 2009]. It keeps IDF, makes term frequency</w:t>
      </w:r>
      <w:r>
        <w:t xml:space="preserve"> </w:t>
      </w:r>
      <w:r>
        <w:rPr>
          <w:bCs/>
          <w:b/>
        </w:rPr>
        <w:t xml:space="preserve">saturate</w:t>
      </w:r>
      <w:r>
        <w:t xml:space="preserve">, and normalizes by document length relative to the average.</w:t>
      </w:r>
    </w:p>
    <w:p>
      <w:pPr>
        <w:pStyle w:val="CalloutFormula"/>
      </w:pPr>
      <w:r>
        <w:rPr>
          <w:bCs/>
          <w:b/>
        </w:rPr>
        <w:t xml:space="preserve">FORMULA</w:t>
      </w:r>
    </w:p>
    <w:p>
      <w:pPr>
        <w:pStyle w:val="CalloutFormula"/>
      </w:pPr>
      <w:r>
        <w:rPr>
          <w:bCs/>
          <w:b/>
        </w:rPr>
        <w:t xml:space="preserve">BM25 inverse document frequency (Lucene form)</w:t>
      </w:r>
    </w:p>
    <w:p>
      <w:pPr>
        <w:pStyle w:val="CalloutFormula"/>
      </w:pPr>
      <m:oMathPara>
        <m:oMathParaPr>
          <m:jc m:val="center"/>
        </m:oMathParaPr>
        <m:oMath>
          <m:r>
            <m:rPr>
              <m:nor/>
              <m:sty m:val="p"/>
            </m:rPr>
            <m:t>IDF</m:t>
          </m:r>
          <m:d>
            <m:dPr>
              <m:begChr m:val="("/>
              <m:endChr m:val=")"/>
              <m:sepChr m:val=""/>
              <m:grow/>
            </m:dPr>
            <m:e>
              <m:r>
                <m:t>t</m:t>
              </m:r>
            </m:e>
          </m:d>
          <m:r>
            <m:rPr>
              <m:sty m:val="p"/>
            </m:rPr>
            <m:t>=</m:t>
          </m:r>
          <m:r>
            <m:rPr>
              <m:sty m:val="p"/>
            </m:rPr>
            <m:t>ln</m:t>
          </m:r>
          <m:r>
            <m:t>​</m:t>
          </m:r>
          <m:d>
            <m:dPr>
              <m:begChr m:val="("/>
              <m:endChr m:val=")"/>
              <m:sepChr m:val=""/>
              <m:grow/>
            </m:dPr>
            <m:e>
              <m:r>
                <m:t>1</m:t>
              </m:r>
              <m:r>
                <m:rPr>
                  <m:sty m:val="p"/>
                </m:rPr>
                <m:t>+</m:t>
              </m:r>
              <m:f>
                <m:fPr>
                  <m:type m:val="bar"/>
                </m:fPr>
                <m:num>
                  <m:r>
                    <m:t>N</m:t>
                  </m:r>
                  <m:r>
                    <m:rPr>
                      <m:sty m:val="p"/>
                    </m:rPr>
                    <m:t>−</m:t>
                  </m:r>
                  <m:sSub>
                    <m:e>
                      <m:r>
                        <m:t>n</m:t>
                      </m:r>
                    </m:e>
                    <m:sub>
                      <m:r>
                        <m:t>t</m:t>
                      </m:r>
                    </m:sub>
                  </m:sSub>
                  <m:r>
                    <m:rPr>
                      <m:sty m:val="p"/>
                    </m:rPr>
                    <m:t>+</m:t>
                  </m:r>
                  <m:r>
                    <m:t>0.5</m:t>
                  </m:r>
                </m:num>
                <m:den>
                  <m:sSub>
                    <m:e>
                      <m:r>
                        <m:t>n</m:t>
                      </m:r>
                    </m:e>
                    <m:sub>
                      <m:r>
                        <m:t>t</m:t>
                      </m:r>
                    </m:sub>
                  </m:sSub>
                  <m:r>
                    <m:rPr>
                      <m:sty m:val="p"/>
                    </m:rPr>
                    <m:t>+</m:t>
                  </m:r>
                  <m:r>
                    <m:t>0.5</m:t>
                  </m:r>
                </m:den>
              </m:f>
            </m:e>
          </m:d>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N</m:t>
              </m:r>
            </m:oMath>
          </w:p>
        </w:tc>
        <w:tc>
          <w:tcPr/>
          <w:p>
            <w:pPr>
              <w:pStyle w:val="Compact"/>
              <w:jc w:val="left"/>
            </w:pPr>
            <w:r>
              <w:t xml:space="preserve">Documents in the collection (or shard; see §16.7.5)</w:t>
            </w:r>
          </w:p>
        </w:tc>
        <w:tc>
          <w:tcPr/>
          <w:p>
            <w:pPr>
              <w:pStyle w:val="Compact"/>
              <w:jc w:val="left"/>
            </w:pPr>
            <w:r>
              <w:t xml:space="preserve">documents</w:t>
            </w:r>
          </w:p>
        </w:tc>
      </w:tr>
      <w:tr>
        <w:tc>
          <w:tcPr/>
          <w:p>
            <w:pPr>
              <w:pStyle w:val="Compact"/>
              <w:jc w:val="left"/>
            </w:pPr>
            <m:oMath>
              <m:sSub>
                <m:e>
                  <m:r>
                    <m:t>n</m:t>
                  </m:r>
                </m:e>
                <m:sub>
                  <m:r>
                    <m:t>t</m:t>
                  </m:r>
                </m:sub>
              </m:sSub>
            </m:oMath>
          </w:p>
        </w:tc>
        <w:tc>
          <w:tcPr/>
          <w:p>
            <w:pPr>
              <w:pStyle w:val="Compact"/>
              <w:jc w:val="left"/>
            </w:pPr>
            <w:r>
              <w:t xml:space="preserve">Documents containing term</w:t>
            </w:r>
            <w:r>
              <w:t xml:space="preserve"> </w:t>
            </w:r>
            <m:oMath>
              <m:r>
                <m:t>t</m:t>
              </m:r>
            </m:oMath>
            <w:r>
              <w:t xml:space="preserve"> </w:t>
            </w:r>
            <w:r>
              <w:t xml:space="preserve">(document frequency)</w:t>
            </w:r>
          </w:p>
        </w:tc>
        <w:tc>
          <w:tcPr/>
          <w:p>
            <w:pPr>
              <w:pStyle w:val="Compact"/>
              <w:jc w:val="left"/>
            </w:pPr>
            <w:r>
              <w:t xml:space="preserve">documents</w:t>
            </w:r>
          </w:p>
        </w:tc>
      </w:tr>
      <w:tr>
        <w:tc>
          <w:tcPr/>
          <w:p>
            <w:pPr>
              <w:pStyle w:val="Compact"/>
              <w:jc w:val="left"/>
            </w:pPr>
            <m:oMath>
              <m:r>
                <m:rPr>
                  <m:nor/>
                  <m:sty m:val="p"/>
                </m:rPr>
                <m:t>IDF</m:t>
              </m:r>
              <m:d>
                <m:dPr>
                  <m:begChr m:val="("/>
                  <m:endChr m:val=")"/>
                  <m:sepChr m:val=""/>
                  <m:grow/>
                </m:dPr>
                <m:e>
                  <m:r>
                    <m:t>t</m:t>
                  </m:r>
                </m:e>
              </m:d>
            </m:oMath>
          </w:p>
        </w:tc>
        <w:tc>
          <w:tcPr/>
          <w:p>
            <w:pPr>
              <w:pStyle w:val="Compact"/>
              <w:jc w:val="left"/>
            </w:pPr>
            <w:r>
              <w:t xml:space="preserve">Weight of a match on</w:t>
            </w:r>
            <w:r>
              <w:t xml:space="preserve"> </w:t>
            </w:r>
            <m:oMath>
              <m:r>
                <m:t>t</m:t>
              </m:r>
            </m:oMath>
          </w:p>
        </w:tc>
        <w:tc>
          <w:tcPr/>
          <w:p>
            <w:pPr>
              <w:pStyle w:val="Compact"/>
              <w:jc w:val="left"/>
            </w:pPr>
            <w:r>
              <w:t xml:space="preserve">dimensionless</w:t>
            </w:r>
          </w:p>
        </w:tc>
      </w:tr>
    </w:tbl>
    <w:p>
      <w:pPr>
        <w:pStyle w:val="BodyText"/>
      </w:pPr>
      <w:r>
        <w:t xml:space="preserve">The classic Robertson–Spärck Jones form,</w:t>
      </w:r>
      <w:r>
        <w:t xml:space="preserve"> </w:t>
      </w:r>
      <m:oMath>
        <m:r>
          <m:rPr>
            <m:sty m:val="p"/>
          </m:rPr>
          <m:t>ln</m:t>
        </m:r>
        <m:f>
          <m:fPr>
            <m:type m:val="bar"/>
          </m:fPr>
          <m:num>
            <m:r>
              <m:t>N</m:t>
            </m:r>
            <m:r>
              <m:rPr>
                <m:sty m:val="p"/>
              </m:rPr>
              <m:t>−</m:t>
            </m:r>
            <m:sSub>
              <m:e>
                <m:r>
                  <m:t>n</m:t>
                </m:r>
              </m:e>
              <m:sub>
                <m:r>
                  <m:t>t</m:t>
                </m:r>
              </m:sub>
            </m:sSub>
            <m:r>
              <m:rPr>
                <m:sty m:val="p"/>
              </m:rPr>
              <m:t>+</m:t>
            </m:r>
            <m:r>
              <m:t>0.5</m:t>
            </m:r>
          </m:num>
          <m:den>
            <m:sSub>
              <m:e>
                <m:r>
                  <m:t>n</m:t>
                </m:r>
              </m:e>
              <m:sub>
                <m:r>
                  <m:t>t</m:t>
                </m:r>
              </m:sub>
            </m:sSub>
            <m:r>
              <m:rPr>
                <m:sty m:val="p"/>
              </m:rPr>
              <m:t>+</m:t>
            </m:r>
            <m:r>
              <m:t>0.5</m:t>
            </m:r>
          </m:den>
        </m:f>
      </m:oMath>
      <w:r>
        <w:t xml:space="preserve">, becomes</w:t>
      </w:r>
      <w:r>
        <w:t xml:space="preserve"> </w:t>
      </w:r>
      <w:r>
        <w:rPr>
          <w:iCs/>
          <w:i/>
        </w:rPr>
        <w:t xml:space="preserve">negative</w:t>
      </w:r>
      <w:r>
        <w:t xml:space="preserve"> </w:t>
      </w:r>
      <w:r>
        <w:t xml:space="preserve">for terms in more than half the documents; Lucene adds 1 inside the logarithm so that every match contributes a small positive amount.</w:t>
      </w:r>
    </w:p>
    <w:p>
      <w:pPr>
        <w:pStyle w:val="CalloutFormula"/>
      </w:pPr>
      <w:r>
        <w:rPr>
          <w:bCs/>
          <w:b/>
        </w:rPr>
        <w:t xml:space="preserve">FORMULA</w:t>
      </w:r>
    </w:p>
    <w:p>
      <w:pPr>
        <w:pStyle w:val="CalloutFormula"/>
      </w:pPr>
      <w:r>
        <w:rPr>
          <w:bCs/>
          <w:b/>
        </w:rPr>
        <w:t xml:space="preserve">BM25 score</w:t>
      </w:r>
    </w:p>
    <w:p>
      <w:pPr>
        <w:pStyle w:val="CalloutFormula"/>
      </w:pPr>
      <m:oMathPara>
        <m:oMathParaPr>
          <m:jc m:val="center"/>
        </m:oMathParaPr>
        <m:oMath>
          <m:r>
            <m:rPr>
              <m:nor/>
              <m:sty m:val="p"/>
            </m:rPr>
            <m:t>score</m:t>
          </m:r>
          <m:d>
            <m:dPr>
              <m:begChr m:val="("/>
              <m:endChr m:val=")"/>
              <m:sepChr m:val=""/>
              <m:grow/>
            </m:dPr>
            <m:e>
              <m:r>
                <m:t>q</m:t>
              </m:r>
              <m:r>
                <m:rPr>
                  <m:sty m:val="p"/>
                </m:rPr>
                <m:t>,</m:t>
              </m:r>
              <m:r>
                <m:t>d</m:t>
              </m:r>
            </m:e>
          </m:d>
          <m:r>
            <m:rPr>
              <m:sty m:val="p"/>
            </m:rPr>
            <m:t>=</m:t>
          </m:r>
          <m:nary>
            <m:naryPr>
              <m:chr m:val="∑"/>
              <m:limLoc m:val="undOvr"/>
              <m:subHide m:val="off"/>
              <m:supHide m:val="on"/>
            </m:naryPr>
            <m:sub>
              <m:r>
                <m:t>t</m:t>
              </m:r>
              <m:r>
                <m:rPr>
                  <m:sty m:val="p"/>
                </m:rPr>
                <m:t>∈</m:t>
              </m:r>
              <m:r>
                <m:t>q</m:t>
              </m:r>
            </m:sub>
            <m:sup>
              <m:r>
                <m:t>​</m:t>
              </m:r>
            </m:sup>
            <m:e>
              <m:r>
                <m:rPr>
                  <m:nor/>
                  <m:sty m:val="p"/>
                </m:rPr>
                <m:t>IDF</m:t>
              </m:r>
            </m:e>
          </m:nary>
          <m:d>
            <m:dPr>
              <m:begChr m:val="("/>
              <m:endChr m:val=")"/>
              <m:sepChr m:val=""/>
              <m:grow/>
            </m:dPr>
            <m:e>
              <m:r>
                <m:t>t</m:t>
              </m:r>
            </m:e>
          </m:d>
          <m:r>
            <m:rPr>
              <m:sty m:val="p"/>
            </m:rPr>
            <m:t>⋅</m:t>
          </m:r>
          <m:f>
            <m:fPr>
              <m:type m:val="bar"/>
            </m:fPr>
            <m:num>
              <m:sSub>
                <m:e>
                  <m:r>
                    <m:t>f</m:t>
                  </m:r>
                </m:e>
                <m:sub>
                  <m:r>
                    <m:t>t</m:t>
                  </m:r>
                  <m:r>
                    <m:rPr>
                      <m:sty m:val="p"/>
                    </m:rPr>
                    <m:t>,</m:t>
                  </m:r>
                  <m:r>
                    <m:t>d</m:t>
                  </m:r>
                </m:sub>
              </m:sSub>
              <m:r>
                <m:t> </m:t>
              </m:r>
              <m:d>
                <m:dPr>
                  <m:begChr m:val="("/>
                  <m:endChr m:val=")"/>
                  <m:sepChr m:val=""/>
                  <m:grow/>
                </m:dPr>
                <m:e>
                  <m:sSub>
                    <m:e>
                      <m:r>
                        <m:t>k</m:t>
                      </m:r>
                    </m:e>
                    <m:sub>
                      <m:r>
                        <m:t>1</m:t>
                      </m:r>
                    </m:sub>
                  </m:sSub>
                  <m:r>
                    <m:rPr>
                      <m:sty m:val="p"/>
                    </m:rPr>
                    <m:t>+</m:t>
                  </m:r>
                  <m:r>
                    <m:t>1</m:t>
                  </m:r>
                </m:e>
              </m:d>
            </m:num>
            <m:den>
              <m:sSub>
                <m:e>
                  <m:r>
                    <m:t>f</m:t>
                  </m:r>
                </m:e>
                <m:sub>
                  <m:r>
                    <m:t>t</m:t>
                  </m:r>
                  <m:r>
                    <m:rPr>
                      <m:sty m:val="p"/>
                    </m:rPr>
                    <m:t>,</m:t>
                  </m:r>
                  <m:r>
                    <m:t>d</m:t>
                  </m:r>
                </m:sub>
              </m:sSub>
              <m:r>
                <m:rPr>
                  <m:sty m:val="p"/>
                </m:rPr>
                <m:t>+</m:t>
              </m:r>
              <m:sSub>
                <m:e>
                  <m:r>
                    <m:t>k</m:t>
                  </m:r>
                </m:e>
                <m:sub>
                  <m:r>
                    <m:t>1</m:t>
                  </m:r>
                </m:sub>
              </m:sSub>
              <m:d>
                <m:dPr>
                  <m:begChr m:val="("/>
                  <m:endChr m:val=")"/>
                  <m:sepChr m:val=""/>
                  <m:grow/>
                </m:dPr>
                <m:e>
                  <m:r>
                    <m:t>1</m:t>
                  </m:r>
                  <m:r>
                    <m:rPr>
                      <m:sty m:val="p"/>
                    </m:rPr>
                    <m:t>−</m:t>
                  </m:r>
                  <m:r>
                    <m:t>b</m:t>
                  </m:r>
                  <m:r>
                    <m:rPr>
                      <m:sty m:val="p"/>
                    </m:rPr>
                    <m:t>+</m:t>
                  </m:r>
                  <m:r>
                    <m:t>b</m:t>
                  </m:r>
                  <m:r>
                    <m:rPr>
                      <m:sty m:val="p"/>
                    </m:rPr>
                    <m:t>⋅</m:t>
                  </m:r>
                  <m:f>
                    <m:fPr>
                      <m:type m:val="bar"/>
                    </m:fPr>
                    <m:num>
                      <m:d>
                        <m:dPr>
                          <m:begChr m:val="|"/>
                          <m:endChr m:val="|"/>
                          <m:sepChr m:val=""/>
                          <m:grow/>
                        </m:dPr>
                        <m:e>
                          <m:r>
                            <m:t>d</m:t>
                          </m:r>
                        </m:e>
                      </m:d>
                    </m:num>
                    <m:den>
                      <m:r>
                        <m:rPr>
                          <m:nor/>
                          <m:sty m:val="p"/>
                        </m:rPr>
                        <m:t>avgdl</m:t>
                      </m:r>
                    </m:den>
                  </m:f>
                </m:e>
              </m:d>
            </m:den>
          </m:f>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f</m:t>
                  </m:r>
                </m:e>
                <m:sub>
                  <m:r>
                    <m:t>t</m:t>
                  </m:r>
                  <m:r>
                    <m:rPr>
                      <m:sty m:val="p"/>
                    </m:rPr>
                    <m:t>,</m:t>
                  </m:r>
                  <m:r>
                    <m:t>d</m:t>
                  </m:r>
                </m:sub>
              </m:sSub>
            </m:oMath>
          </w:p>
        </w:tc>
        <w:tc>
          <w:tcPr/>
          <w:p>
            <w:pPr>
              <w:pStyle w:val="Compact"/>
              <w:jc w:val="left"/>
            </w:pPr>
            <w:r>
              <w:t xml:space="preserve">Frequency of term</w:t>
            </w:r>
            <w:r>
              <w:t xml:space="preserve"> </w:t>
            </w:r>
            <m:oMath>
              <m:r>
                <m:t>t</m:t>
              </m:r>
            </m:oMath>
            <w:r>
              <w:t xml:space="preserve"> </w:t>
            </w:r>
            <w:r>
              <w:t xml:space="preserve">in document (field)</w:t>
            </w:r>
            <w:r>
              <w:t xml:space="preserve"> </w:t>
            </w:r>
            <m:oMath>
              <m:r>
                <m:t>d</m:t>
              </m:r>
            </m:oMath>
          </w:p>
        </w:tc>
        <w:tc>
          <w:tcPr/>
          <w:p>
            <w:pPr>
              <w:pStyle w:val="Compact"/>
              <w:jc w:val="left"/>
            </w:pPr>
            <w:r>
              <w:t xml:space="preserve">count</w:t>
            </w:r>
          </w:p>
        </w:tc>
      </w:tr>
      <w:tr>
        <w:tc>
          <w:tcPr/>
          <w:p>
            <w:pPr>
              <w:pStyle w:val="Compact"/>
              <w:jc w:val="left"/>
            </w:pPr>
            <m:oMath>
              <m:r>
                <m:rPr>
                  <m:sty m:val="p"/>
                </m:rPr>
                <m:t>|</m:t>
              </m:r>
              <m:r>
                <m:t>d</m:t>
              </m:r>
              <m:r>
                <m:rPr>
                  <m:sty m:val="p"/>
                </m:rPr>
                <m:t>|</m:t>
              </m:r>
            </m:oMath>
          </w:p>
        </w:tc>
        <w:tc>
          <w:tcPr/>
          <w:p>
            <w:pPr>
              <w:pStyle w:val="Compact"/>
              <w:jc w:val="left"/>
            </w:pPr>
            <w:r>
              <w:t xml:space="preserve">Length of</w:t>
            </w:r>
            <w:r>
              <w:t xml:space="preserve"> </w:t>
            </w:r>
            <m:oMath>
              <m:r>
                <m:t>d</m:t>
              </m:r>
            </m:oMath>
            <w:r>
              <w:t xml:space="preserve"> </w:t>
            </w:r>
            <w:r>
              <w:t xml:space="preserve">in terms after analysis</w:t>
            </w:r>
          </w:p>
        </w:tc>
        <w:tc>
          <w:tcPr/>
          <w:p>
            <w:pPr>
              <w:pStyle w:val="Compact"/>
              <w:jc w:val="left"/>
            </w:pPr>
            <w:r>
              <w:t xml:space="preserve">terms</w:t>
            </w:r>
          </w:p>
        </w:tc>
      </w:tr>
      <w:tr>
        <w:tc>
          <w:tcPr/>
          <w:p>
            <w:pPr>
              <w:pStyle w:val="Compact"/>
              <w:jc w:val="left"/>
            </w:pPr>
            <m:oMath>
              <m:r>
                <m:rPr>
                  <m:nor/>
                  <m:sty m:val="p"/>
                </m:rPr>
                <m:t>avgdl</m:t>
              </m:r>
            </m:oMath>
          </w:p>
        </w:tc>
        <w:tc>
          <w:tcPr/>
          <w:p>
            <w:pPr>
              <w:pStyle w:val="Compact"/>
              <w:jc w:val="left"/>
            </w:pPr>
            <w:r>
              <w:t xml:space="preserve">Average length of that field across the collection</w:t>
            </w:r>
          </w:p>
        </w:tc>
        <w:tc>
          <w:tcPr/>
          <w:p>
            <w:pPr>
              <w:pStyle w:val="Compact"/>
              <w:jc w:val="left"/>
            </w:pPr>
            <w:r>
              <w:t xml:space="preserve">terms</w:t>
            </w:r>
          </w:p>
        </w:tc>
      </w:tr>
      <w:tr>
        <w:tc>
          <w:tcPr/>
          <w:p>
            <w:pPr>
              <w:pStyle w:val="Compact"/>
              <w:jc w:val="left"/>
            </w:pPr>
            <m:oMath>
              <m:sSub>
                <m:e>
                  <m:r>
                    <m:t>k</m:t>
                  </m:r>
                </m:e>
                <m:sub>
                  <m:r>
                    <m:t>1</m:t>
                  </m:r>
                </m:sub>
              </m:sSub>
            </m:oMath>
          </w:p>
        </w:tc>
        <w:tc>
          <w:tcPr/>
          <w:p>
            <w:pPr>
              <w:pStyle w:val="Compact"/>
              <w:jc w:val="left"/>
            </w:pPr>
            <w:r>
              <w:t xml:space="preserve">Term-frequency saturation parameter; Lucene default 1.2 (typical 1.2–2.0)</w:t>
            </w:r>
          </w:p>
        </w:tc>
        <w:tc>
          <w:tcPr/>
          <w:p>
            <w:pPr>
              <w:pStyle w:val="Compact"/>
              <w:jc w:val="left"/>
            </w:pPr>
            <w:r>
              <w:t xml:space="preserve">dimensionless</w:t>
            </w:r>
          </w:p>
        </w:tc>
      </w:tr>
      <w:tr>
        <w:tc>
          <w:tcPr/>
          <w:p>
            <w:pPr>
              <w:pStyle w:val="Compact"/>
              <w:jc w:val="left"/>
            </w:pPr>
            <m:oMath>
              <m:r>
                <m:t>b</m:t>
              </m:r>
            </m:oMath>
          </w:p>
        </w:tc>
        <w:tc>
          <w:tcPr/>
          <w:p>
            <w:pPr>
              <w:pStyle w:val="Compact"/>
              <w:jc w:val="left"/>
            </w:pPr>
            <w:r>
              <w:t xml:space="preserve">Length-normalization strength, 0 (none) to 1 (full); default 0.75</w:t>
            </w:r>
          </w:p>
        </w:tc>
        <w:tc>
          <w:tcPr/>
          <w:p>
            <w:pPr>
              <w:pStyle w:val="Compact"/>
              <w:jc w:val="left"/>
            </w:pPr>
            <w:r>
              <w:t xml:space="preserve">dimensionless</w:t>
            </w:r>
          </w:p>
        </w:tc>
      </w:tr>
      <w:tr>
        <w:tc>
          <w:tcPr/>
          <w:p>
            <w:pPr>
              <w:pStyle w:val="Compact"/>
              <w:jc w:val="left"/>
            </w:pPr>
            <m:oMath>
              <m:r>
                <m:rPr>
                  <m:nor/>
                  <m:sty m:val="p"/>
                </m:rPr>
                <m:t>score</m:t>
              </m:r>
              <m:d>
                <m:dPr>
                  <m:begChr m:val="("/>
                  <m:endChr m:val=")"/>
                  <m:sepChr m:val=""/>
                  <m:grow/>
                </m:dPr>
                <m:e>
                  <m:r>
                    <m:t>q</m:t>
                  </m:r>
                  <m:r>
                    <m:rPr>
                      <m:sty m:val="p"/>
                    </m:rPr>
                    <m:t>,</m:t>
                  </m:r>
                  <m:r>
                    <m:t>d</m:t>
                  </m:r>
                </m:e>
              </m:d>
            </m:oMath>
          </w:p>
        </w:tc>
        <w:tc>
          <w:tcPr/>
          <w:p>
            <w:pPr>
              <w:pStyle w:val="Compact"/>
              <w:jc w:val="left"/>
            </w:pPr>
            <w:r>
              <w:t xml:space="preserve">Relevance score; only comparable within one query</w:t>
            </w:r>
          </w:p>
        </w:tc>
        <w:tc>
          <w:tcPr/>
          <w:p>
            <w:pPr>
              <w:pStyle w:val="Compact"/>
              <w:jc w:val="left"/>
            </w:pPr>
            <w:r>
              <w:t xml:space="preserve">dimensionless</w:t>
            </w:r>
          </w:p>
        </w:tc>
      </w:tr>
    </w:tbl>
    <w:p>
      <w:pPr>
        <w:pStyle w:val="BodyText"/>
      </w:pPr>
      <w:r>
        <w:t xml:space="preserve">Two properties follow from the formula. As</w:t>
      </w:r>
      <w:r>
        <w:t xml:space="preserve"> </w:t>
      </w:r>
      <m:oMath>
        <m:sSub>
          <m:e>
            <m:r>
              <m:t>f</m:t>
            </m:r>
          </m:e>
          <m:sub>
            <m:r>
              <m:t>t</m:t>
            </m:r>
            <m:r>
              <m:rPr>
                <m:sty m:val="p"/>
              </m:rPr>
              <m:t>,</m:t>
            </m:r>
            <m:r>
              <m:t>d</m:t>
            </m:r>
          </m:sub>
        </m:sSub>
        <m:r>
          <m:rPr>
            <m:sty m:val="p"/>
          </m:rPr>
          <m:t>→</m:t>
        </m:r>
        <m:r>
          <m:rPr>
            <m:sty m:val="p"/>
          </m:rPr>
          <m:t>∞</m:t>
        </m:r>
      </m:oMath>
      <w:r>
        <w:t xml:space="preserve"> </w:t>
      </w:r>
      <w:r>
        <w:t xml:space="preserve">the fraction approaches</w:t>
      </w:r>
      <w:r>
        <w:t xml:space="preserve"> </w:t>
      </w:r>
      <m:oMath>
        <m:sSub>
          <m:e>
            <m:r>
              <m:t>k</m:t>
            </m:r>
          </m:e>
          <m:sub>
            <m:r>
              <m:t>1</m:t>
            </m:r>
          </m:sub>
        </m:sSub>
        <m:r>
          <m:rPr>
            <m:sty m:val="p"/>
          </m:rPr>
          <m:t>+</m:t>
        </m:r>
        <m:r>
          <m:t>1</m:t>
        </m:r>
      </m:oMath>
      <w:r>
        <w:t xml:space="preserve">, so a term can never contribute more than</w:t>
      </w:r>
      <w:r>
        <w:t xml:space="preserve"> </w:t>
      </w:r>
      <m:oMath>
        <m:d>
          <m:dPr>
            <m:begChr m:val="("/>
            <m:endChr m:val=")"/>
            <m:sepChr m:val=""/>
            <m:grow/>
          </m:dPr>
          <m:e>
            <m:sSub>
              <m:e>
                <m:r>
                  <m:t>k</m:t>
                </m:r>
              </m:e>
              <m:sub>
                <m:r>
                  <m:t>1</m:t>
                </m:r>
              </m:sub>
            </m:sSub>
            <m:r>
              <m:rPr>
                <m:sty m:val="p"/>
              </m:rPr>
              <m:t>+</m:t>
            </m:r>
            <m:r>
              <m:t>1</m:t>
            </m:r>
          </m:e>
        </m:d>
        <m:r>
          <m:rPr>
            <m:sty m:val="p"/>
          </m:rPr>
          <m:t>⋅</m:t>
        </m:r>
        <m:r>
          <m:rPr>
            <m:nor/>
            <m:sty m:val="p"/>
          </m:rPr>
          <m:t>IDF</m:t>
        </m:r>
      </m:oMath>
      <w:r>
        <w:t xml:space="preserve">: repetition has diminishing returns. And the denominator grows with</w:t>
      </w:r>
      <w:r>
        <w:t xml:space="preserve"> </w:t>
      </w:r>
      <m:oMath>
        <m:d>
          <m:dPr>
            <m:begChr m:val="|"/>
            <m:endChr m:val="|"/>
            <m:sepChr m:val=""/>
            <m:grow/>
          </m:dPr>
          <m:e>
            <m:r>
              <m:t>d</m:t>
            </m:r>
          </m:e>
        </m:d>
        <m:r>
          <m:rPr>
            <m:sty m:val="p"/>
          </m:rPr>
          <m:t>/</m:t>
        </m:r>
        <m:r>
          <m:rPr>
            <m:nor/>
            <m:sty m:val="p"/>
          </m:rPr>
          <m:t>avgdl</m:t>
        </m:r>
      </m:oMath>
      <w:r>
        <w:t xml:space="preserve">, so the same tf in a longer document scores less;</w:t>
      </w:r>
      <w:r>
        <w:t xml:space="preserve"> </w:t>
      </w:r>
      <m:oMath>
        <m:r>
          <m:t>b</m:t>
        </m:r>
      </m:oMath>
      <w:r>
        <w:t xml:space="preserve"> </w:t>
      </w:r>
      <w:r>
        <w:t xml:space="preserve">controls how strongly.</w:t>
      </w:r>
    </w:p>
    <w:p>
      <w:pPr>
        <w:pStyle w:val="BodyText"/>
      </w:pPr>
      <w:r>
        <w:rPr>
          <w:bCs/>
          <w:b/>
        </w:rPr>
        <w:t xml:space="preserve">Table 16.6 — BM25 term-frequency factor (</w:t>
      </w:r>
      <m:oMath>
        <m:sSub>
          <m:e>
            <m:r>
              <m:t>k</m:t>
            </m:r>
          </m:e>
          <m:sub>
            <m:r>
              <m:t>1</m:t>
            </m:r>
          </m:sub>
        </m:sSub>
        <m:r>
          <m:rPr>
            <m:sty m:val="p"/>
          </m:rPr>
          <m:t>=</m:t>
        </m:r>
        <m:r>
          <m:t>1.2</m:t>
        </m:r>
      </m:oMath>
      <w:r>
        <w:rPr>
          <w:bCs/>
          <w:b/>
        </w:rPr>
        <w:t xml:space="preserve">,</w:t>
      </w:r>
      <w:r>
        <w:rPr>
          <w:bCs/>
          <w:b/>
        </w:rPr>
        <w:t xml:space="preserve"> </w:t>
      </w:r>
      <m:oMath>
        <m:r>
          <m:t>b</m:t>
        </m:r>
        <m:r>
          <m:rPr>
            <m:sty m:val="p"/>
          </m:rPr>
          <m:t>=</m:t>
        </m:r>
        <m:r>
          <m:t>0.75</m:t>
        </m:r>
      </m:oMath>
      <w:r>
        <w:rPr>
          <w:bCs/>
          <w:b/>
        </w:rPr>
        <w:t xml:space="preserve">) versus raw tf.</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tf</w:t>
            </w:r>
          </w:p>
        </w:tc>
        <w:tc>
          <w:tcPr/>
          <w:p>
            <w:pPr>
              <w:pStyle w:val="Compact"/>
              <w:jc w:val="left"/>
            </w:pPr>
            <w:r>
              <w:t xml:space="preserve">Raw TF-IDF factor</w:t>
            </w:r>
          </w:p>
        </w:tc>
        <w:tc>
          <w:tcPr/>
          <w:p>
            <w:pPr>
              <w:pStyle w:val="Compact"/>
              <w:jc w:val="left"/>
            </w:pPr>
            <w:r>
              <w:t xml:space="preserve">BM25,</w:t>
            </w:r>
            <w:r>
              <w:t xml:space="preserve"> </w:t>
            </w:r>
            <m:oMath>
              <m:r>
                <m:rPr>
                  <m:sty m:val="p"/>
                </m:rPr>
                <m:t>|</m:t>
              </m:r>
              <m:r>
                <m:t>d</m:t>
              </m:r>
              <m:r>
                <m:rPr>
                  <m:sty m:val="p"/>
                </m:rPr>
                <m:t>|</m:t>
              </m:r>
            </m:oMath>
            <w:r>
              <w:t xml:space="preserve"> </w:t>
            </w:r>
            <w:r>
              <w:t xml:space="preserve">= 0.5 avgdl</w:t>
            </w:r>
          </w:p>
        </w:tc>
        <w:tc>
          <w:tcPr/>
          <w:p>
            <w:pPr>
              <w:pStyle w:val="Compact"/>
              <w:jc w:val="left"/>
            </w:pPr>
            <w:r>
              <w:t xml:space="preserve">BM25,</w:t>
            </w:r>
            <w:r>
              <w:t xml:space="preserve"> </w:t>
            </w:r>
            <m:oMath>
              <m:r>
                <m:rPr>
                  <m:sty m:val="p"/>
                </m:rPr>
                <m:t>|</m:t>
              </m:r>
              <m:r>
                <m:t>d</m:t>
              </m:r>
              <m:r>
                <m:rPr>
                  <m:sty m:val="p"/>
                </m:rPr>
                <m:t>|</m:t>
              </m:r>
            </m:oMath>
            <w:r>
              <w:t xml:space="preserve"> </w:t>
            </w:r>
            <w:r>
              <w:t xml:space="preserve">= avgdl</w:t>
            </w:r>
          </w:p>
        </w:tc>
        <w:tc>
          <w:tcPr/>
          <w:p>
            <w:pPr>
              <w:pStyle w:val="Compact"/>
              <w:jc w:val="left"/>
            </w:pPr>
            <w:r>
              <w:t xml:space="preserve">BM25,</w:t>
            </w:r>
            <w:r>
              <w:t xml:space="preserve"> </w:t>
            </w:r>
            <m:oMath>
              <m:r>
                <m:rPr>
                  <m:sty m:val="p"/>
                </m:rPr>
                <m:t>|</m:t>
              </m:r>
              <m:r>
                <m:t>d</m:t>
              </m:r>
              <m:r>
                <m:rPr>
                  <m:sty m:val="p"/>
                </m:rPr>
                <m:t>|</m:t>
              </m:r>
            </m:oMath>
            <w:r>
              <w:t xml:space="preserve"> </w:t>
            </w:r>
            <w:r>
              <w:t xml:space="preserve">= 2 avgdl</w:t>
            </w:r>
          </w:p>
        </w:tc>
      </w:tr>
      <w:tr>
        <w:tc>
          <w:tcPr/>
          <w:p>
            <w:pPr>
              <w:pStyle w:val="Compact"/>
              <w:jc w:val="left"/>
            </w:pPr>
            <w:r>
              <w:t xml:space="preserve">1</w:t>
            </w:r>
          </w:p>
        </w:tc>
        <w:tc>
          <w:tcPr/>
          <w:p>
            <w:pPr>
              <w:pStyle w:val="Compact"/>
              <w:jc w:val="left"/>
            </w:pPr>
            <w:r>
              <w:t xml:space="preserve">1</w:t>
            </w:r>
          </w:p>
        </w:tc>
        <w:tc>
          <w:tcPr/>
          <w:p>
            <w:pPr>
              <w:pStyle w:val="Compact"/>
              <w:jc w:val="left"/>
            </w:pPr>
            <w:r>
              <w:t xml:space="preserve">1.257</w:t>
            </w:r>
          </w:p>
        </w:tc>
        <w:tc>
          <w:tcPr/>
          <w:p>
            <w:pPr>
              <w:pStyle w:val="Compact"/>
              <w:jc w:val="left"/>
            </w:pPr>
            <w:r>
              <w:t xml:space="preserve">1.000</w:t>
            </w:r>
          </w:p>
        </w:tc>
        <w:tc>
          <w:tcPr/>
          <w:p>
            <w:pPr>
              <w:pStyle w:val="Compact"/>
              <w:jc w:val="left"/>
            </w:pPr>
            <w:r>
              <w:t xml:space="preserve">0.710</w:t>
            </w:r>
          </w:p>
        </w:tc>
      </w:tr>
      <w:tr>
        <w:tc>
          <w:tcPr/>
          <w:p>
            <w:pPr>
              <w:pStyle w:val="Compact"/>
              <w:jc w:val="left"/>
            </w:pPr>
            <w:r>
              <w:t xml:space="preserve">2</w:t>
            </w:r>
          </w:p>
        </w:tc>
        <w:tc>
          <w:tcPr/>
          <w:p>
            <w:pPr>
              <w:pStyle w:val="Compact"/>
              <w:jc w:val="left"/>
            </w:pPr>
            <w:r>
              <w:t xml:space="preserve">2</w:t>
            </w:r>
          </w:p>
        </w:tc>
        <w:tc>
          <w:tcPr/>
          <w:p>
            <w:pPr>
              <w:pStyle w:val="Compact"/>
              <w:jc w:val="left"/>
            </w:pPr>
            <w:r>
              <w:t xml:space="preserve">1.600</w:t>
            </w:r>
          </w:p>
        </w:tc>
        <w:tc>
          <w:tcPr/>
          <w:p>
            <w:pPr>
              <w:pStyle w:val="Compact"/>
              <w:jc w:val="left"/>
            </w:pPr>
            <w:r>
              <w:t xml:space="preserve">1.375</w:t>
            </w:r>
          </w:p>
        </w:tc>
        <w:tc>
          <w:tcPr/>
          <w:p>
            <w:pPr>
              <w:pStyle w:val="Compact"/>
              <w:jc w:val="left"/>
            </w:pPr>
            <w:r>
              <w:t xml:space="preserve">1.073</w:t>
            </w:r>
          </w:p>
        </w:tc>
      </w:tr>
      <w:tr>
        <w:tc>
          <w:tcPr/>
          <w:p>
            <w:pPr>
              <w:pStyle w:val="Compact"/>
              <w:jc w:val="left"/>
            </w:pPr>
            <w:r>
              <w:t xml:space="preserve">5</w:t>
            </w:r>
          </w:p>
        </w:tc>
        <w:tc>
          <w:tcPr/>
          <w:p>
            <w:pPr>
              <w:pStyle w:val="Compact"/>
              <w:jc w:val="left"/>
            </w:pPr>
            <w:r>
              <w:t xml:space="preserve">5</w:t>
            </w:r>
          </w:p>
        </w:tc>
        <w:tc>
          <w:tcPr/>
          <w:p>
            <w:pPr>
              <w:pStyle w:val="Compact"/>
              <w:jc w:val="left"/>
            </w:pPr>
            <w:r>
              <w:t xml:space="preserve">1.913</w:t>
            </w:r>
          </w:p>
        </w:tc>
        <w:tc>
          <w:tcPr/>
          <w:p>
            <w:pPr>
              <w:pStyle w:val="Compact"/>
              <w:jc w:val="left"/>
            </w:pPr>
            <w:r>
              <w:t xml:space="preserve">1.774</w:t>
            </w:r>
          </w:p>
        </w:tc>
        <w:tc>
          <w:tcPr/>
          <w:p>
            <w:pPr>
              <w:pStyle w:val="Compact"/>
              <w:jc w:val="left"/>
            </w:pPr>
            <w:r>
              <w:t xml:space="preserve">1.549</w:t>
            </w:r>
          </w:p>
        </w:tc>
      </w:tr>
      <w:tr>
        <w:tc>
          <w:tcPr/>
          <w:p>
            <w:pPr>
              <w:pStyle w:val="Compact"/>
              <w:jc w:val="left"/>
            </w:pPr>
            <w:r>
              <w:t xml:space="preserve">10</w:t>
            </w:r>
          </w:p>
        </w:tc>
        <w:tc>
          <w:tcPr/>
          <w:p>
            <w:pPr>
              <w:pStyle w:val="Compact"/>
              <w:jc w:val="left"/>
            </w:pPr>
            <w:r>
              <w:t xml:space="preserve">10</w:t>
            </w:r>
          </w:p>
        </w:tc>
        <w:tc>
          <w:tcPr/>
          <w:p>
            <w:pPr>
              <w:pStyle w:val="Compact"/>
              <w:jc w:val="left"/>
            </w:pPr>
            <w:r>
              <w:t xml:space="preserve">2.047</w:t>
            </w:r>
          </w:p>
        </w:tc>
        <w:tc>
          <w:tcPr/>
          <w:p>
            <w:pPr>
              <w:pStyle w:val="Compact"/>
              <w:jc w:val="left"/>
            </w:pPr>
            <w:r>
              <w:t xml:space="preserve">1.964</w:t>
            </w:r>
          </w:p>
        </w:tc>
        <w:tc>
          <w:tcPr/>
          <w:p>
            <w:pPr>
              <w:pStyle w:val="Compact"/>
              <w:jc w:val="left"/>
            </w:pPr>
            <w:r>
              <w:t xml:space="preserve">1.818</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2.200</w:t>
            </w:r>
          </w:p>
        </w:tc>
        <w:tc>
          <w:tcPr/>
          <w:p>
            <w:pPr>
              <w:pStyle w:val="Compact"/>
              <w:jc w:val="left"/>
            </w:pPr>
            <w:r>
              <w:t xml:space="preserve">2.200</w:t>
            </w:r>
          </w:p>
        </w:tc>
        <w:tc>
          <w:tcPr/>
          <w:p>
            <w:pPr>
              <w:pStyle w:val="Compact"/>
              <w:jc w:val="left"/>
            </w:pPr>
            <w:r>
              <w:t xml:space="preserve">2.200</w:t>
            </w:r>
          </w:p>
        </w:tc>
      </w:tr>
    </w:tbl>
    <w:p>
      <w:pPr>
        <w:pStyle w:val="BodyText"/>
      </w:pPr>
      <w:r>
        <w:t xml:space="preserve">Reading down a column shows saturation: 1 to 10 occurrences raises the BM25 factor by less than 2.6×, against 10× for raw tf. Reading across a row shows length normalization: the same tf is worth less in a longer document.</w:t>
      </w:r>
    </w:p>
    <w:p>
      <w:pPr>
        <w:pStyle w:val="CalloutExample"/>
      </w:pPr>
      <w:r>
        <w:rPr>
          <w:bCs/>
          <w:b/>
        </w:rPr>
        <w:t xml:space="preserve">WORKED EXAMPLE</w:t>
      </w:r>
    </w:p>
    <w:p>
      <w:pPr>
        <w:pStyle w:val="CalloutExample"/>
      </w:pPr>
      <w:r>
        <w:rPr>
          <w:bCs/>
          <w:b/>
        </w:rPr>
        <w:t xml:space="preserve">Worked example — BM25 for</w:t>
      </w:r>
      <w:r>
        <w:rPr>
          <w:bCs/>
          <w:b/>
        </w:rPr>
        <w:t xml:space="preserve"> </w:t>
      </w:r>
      <w:r>
        <w:rPr>
          <w:iCs/>
          <w:i/>
          <w:bCs/>
          <w:b/>
        </w:rPr>
        <w:t xml:space="preserve">noise</w:t>
      </w:r>
      <w:r>
        <w:rPr>
          <w:bCs/>
          <w:b/>
        </w:rPr>
        <w:t xml:space="preserve"> </w:t>
      </w:r>
      <w:r>
        <w:rPr>
          <w:bCs/>
          <w:b/>
        </w:rPr>
        <w:t xml:space="preserve">in two product descriptions.</w:t>
      </w:r>
      <w:r>
        <w:t xml:space="preserve"> </w:t>
      </w:r>
      <w:r>
        <w:t xml:space="preserve">From the catalog in §16.5.4:</w:t>
      </w:r>
      <w:r>
        <w:t xml:space="preserve"> </w:t>
      </w:r>
      <m:oMath>
        <m:r>
          <m:t>N</m:t>
        </m:r>
        <m:r>
          <m:rPr>
            <m:sty m:val="p"/>
          </m:rPr>
          <m:t>=</m:t>
        </m:r>
        <m:r>
          <m:t>8</m:t>
        </m:r>
      </m:oMath>
      <w:r>
        <w:t xml:space="preserve"> </w:t>
      </w:r>
      <w:r>
        <w:t xml:space="preserve">body fields,</w:t>
      </w:r>
      <w:r>
        <w:t xml:space="preserve"> </w:t>
      </w:r>
      <m:oMath>
        <m:sSub>
          <m:e>
            <m:r>
              <m:t>n</m:t>
            </m:r>
          </m:e>
          <m:sub>
            <m:r>
              <m:rPr>
                <m:nor/>
                <m:sty m:val="i"/>
              </m:rPr>
              <m:t>noise</m:t>
            </m:r>
          </m:sub>
        </m:sSub>
        <m:r>
          <m:rPr>
            <m:sty m:val="p"/>
          </m:rPr>
          <m:t>=</m:t>
        </m:r>
        <m:r>
          <m:t>3</m:t>
        </m:r>
      </m:oMath>
      <w:r>
        <w:t xml:space="preserve">,</w:t>
      </w:r>
      <w:r>
        <w:t xml:space="preserve"> </w:t>
      </w:r>
      <m:oMath>
        <m:r>
          <m:rPr>
            <m:nor/>
            <m:sty m:val="p"/>
          </m:rPr>
          <m:t>avgdl</m:t>
        </m:r>
        <m:r>
          <m:rPr>
            <m:sty m:val="p"/>
          </m:rPr>
          <m:t>=</m:t>
        </m:r>
        <m:r>
          <m:t>68</m:t>
        </m:r>
        <m:r>
          <m:rPr>
            <m:sty m:val="p"/>
          </m:rPr>
          <m:t>/</m:t>
        </m:r>
        <m:r>
          <m:t>8</m:t>
        </m:r>
        <m:r>
          <m:rPr>
            <m:sty m:val="p"/>
          </m:rPr>
          <m:t>=</m:t>
        </m:r>
        <m:r>
          <m:t>8.5</m:t>
        </m:r>
      </m:oMath>
      <w:r>
        <w:t xml:space="preserve"> </w:t>
      </w:r>
      <w:r>
        <w:t xml:space="preserve">terms. Document 4 (earbuds) has</w:t>
      </w:r>
      <w:r>
        <w:t xml:space="preserve"> </w:t>
      </w:r>
      <m:oMath>
        <m:d>
          <m:dPr>
            <m:begChr m:val="|"/>
            <m:endChr m:val="|"/>
            <m:sepChr m:val=""/>
            <m:grow/>
          </m:dPr>
          <m:e>
            <m:r>
              <m:t>d</m:t>
            </m:r>
          </m:e>
        </m:d>
        <m:r>
          <m:rPr>
            <m:sty m:val="p"/>
          </m:rPr>
          <m:t>=</m:t>
        </m:r>
        <m:r>
          <m:t>7</m:t>
        </m:r>
      </m:oMath>
      <w:r>
        <w:t xml:space="preserve">; document 7 (kids’ headphones) has</w:t>
      </w:r>
      <w:r>
        <w:t xml:space="preserve"> </w:t>
      </w:r>
      <m:oMath>
        <m:d>
          <m:dPr>
            <m:begChr m:val="|"/>
            <m:endChr m:val="|"/>
            <m:sepChr m:val=""/>
            <m:grow/>
          </m:dPr>
          <m:e>
            <m:r>
              <m:t>d</m:t>
            </m:r>
          </m:e>
        </m:d>
        <m:r>
          <m:rPr>
            <m:sty m:val="p"/>
          </m:rPr>
          <m:t>=</m:t>
        </m:r>
        <m:r>
          <m:t>12</m:t>
        </m:r>
      </m:oMath>
      <w:r>
        <w:t xml:space="preserve">. Each contains</w:t>
      </w:r>
      <w:r>
        <w:t xml:space="preserve"> </w:t>
      </w:r>
      <w:r>
        <w:rPr>
          <w:iCs/>
          <w:i/>
        </w:rPr>
        <w:t xml:space="preserve">noise</w:t>
      </w:r>
      <w:r>
        <w:t xml:space="preserve"> </w:t>
      </w:r>
      <w:r>
        <w:t xml:space="preserve">once.</w:t>
      </w:r>
      <w:r>
        <w:t xml:space="preserve"> </w:t>
      </w:r>
      <m:oMath>
        <m:sSub>
          <m:e>
            <m:r>
              <m:t>k</m:t>
            </m:r>
          </m:e>
          <m:sub>
            <m:r>
              <m:t>1</m:t>
            </m:r>
          </m:sub>
        </m:sSub>
        <m:r>
          <m:rPr>
            <m:sty m:val="p"/>
          </m:rPr>
          <m:t>=</m:t>
        </m:r>
        <m:r>
          <m:t>1.2</m:t>
        </m:r>
      </m:oMath>
      <w:r>
        <w:t xml:space="preserve">,</w:t>
      </w:r>
      <w:r>
        <w:t xml:space="preserve"> </w:t>
      </w:r>
      <m:oMath>
        <m:r>
          <m:t>b</m:t>
        </m:r>
        <m:r>
          <m:rPr>
            <m:sty m:val="p"/>
          </m:rPr>
          <m:t>=</m:t>
        </m:r>
        <m:r>
          <m:t>0.75</m:t>
        </m:r>
      </m:oMath>
      <w:r>
        <w:t xml:space="preserve">.</w:t>
      </w:r>
    </w:p>
    <w:p>
      <w:pPr>
        <w:numPr>
          <w:ilvl w:val="0"/>
          <w:numId w:val="1539"/>
        </w:numPr>
        <w:pStyle w:val="Compact"/>
      </w:pPr>
      <w:r>
        <w:t xml:space="preserve">IDF:</w:t>
      </w:r>
      <w:r>
        <w:t xml:space="preserve"> </w:t>
      </w:r>
      <m:oMath>
        <m:r>
          <m:rPr>
            <m:sty m:val="p"/>
          </m:rPr>
          <m:t>ln</m:t>
        </m:r>
        <m:r>
          <m:t>​</m:t>
        </m:r>
        <m:d>
          <m:dPr>
            <m:begChr m:val="("/>
            <m:endChr m:val=")"/>
            <m:sepChr m:val=""/>
            <m:grow/>
          </m:dPr>
          <m:e>
            <m:r>
              <m:t>1</m:t>
            </m:r>
            <m:r>
              <m:rPr>
                <m:sty m:val="p"/>
              </m:rPr>
              <m:t>+</m:t>
            </m:r>
            <m:f>
              <m:fPr>
                <m:type m:val="bar"/>
              </m:fPr>
              <m:num>
                <m:r>
                  <m:t>8</m:t>
                </m:r>
                <m:r>
                  <m:rPr>
                    <m:sty m:val="p"/>
                  </m:rPr>
                  <m:t>−</m:t>
                </m:r>
                <m:r>
                  <m:t>3</m:t>
                </m:r>
                <m:r>
                  <m:rPr>
                    <m:sty m:val="p"/>
                  </m:rPr>
                  <m:t>+</m:t>
                </m:r>
                <m:r>
                  <m:t>0.5</m:t>
                </m:r>
              </m:num>
              <m:den>
                <m:r>
                  <m:t>3</m:t>
                </m:r>
                <m:r>
                  <m:rPr>
                    <m:sty m:val="p"/>
                  </m:rPr>
                  <m:t>+</m:t>
                </m:r>
                <m:r>
                  <m:t>0.5</m:t>
                </m:r>
              </m:den>
            </m:f>
          </m:e>
        </m:d>
        <m:r>
          <m:rPr>
            <m:sty m:val="p"/>
          </m:rPr>
          <m:t>=</m:t>
        </m:r>
        <m:r>
          <m:rPr>
            <m:sty m:val="p"/>
          </m:rPr>
          <m:t>ln</m:t>
        </m:r>
        <m:d>
          <m:dPr>
            <m:begChr m:val="("/>
            <m:endChr m:val=")"/>
            <m:sepChr m:val=""/>
            <m:grow/>
          </m:dPr>
          <m:e>
            <m:r>
              <m:t>1</m:t>
            </m:r>
            <m:r>
              <m:rPr>
                <m:sty m:val="p"/>
              </m:rPr>
              <m:t>+</m:t>
            </m:r>
            <m:r>
              <m:t>1.5714</m:t>
            </m:r>
          </m:e>
        </m:d>
        <m:r>
          <m:rPr>
            <m:sty m:val="p"/>
          </m:rPr>
          <m:t>=</m:t>
        </m:r>
        <m:r>
          <m:rPr>
            <m:sty m:val="p"/>
          </m:rPr>
          <m:t>ln</m:t>
        </m:r>
        <m:r>
          <m:t>2.5714</m:t>
        </m:r>
        <m:r>
          <m:rPr>
            <m:sty m:val="p"/>
          </m:rPr>
          <m:t>=</m:t>
        </m:r>
        <m:r>
          <m:t>0.9445</m:t>
        </m:r>
      </m:oMath>
      <w:r>
        <w:t xml:space="preserve">.</w:t>
      </w:r>
    </w:p>
    <w:p>
      <w:pPr>
        <w:numPr>
          <w:ilvl w:val="0"/>
          <w:numId w:val="1539"/>
        </w:numPr>
        <w:pStyle w:val="Compact"/>
      </w:pPr>
      <w:r>
        <w:t xml:space="preserve">Length factor, document 4:</w:t>
      </w:r>
      <w:r>
        <w:t xml:space="preserve"> </w:t>
      </w:r>
      <m:oMath>
        <m:sSub>
          <m:e>
            <m:r>
              <m:t>k</m:t>
            </m:r>
          </m:e>
          <m:sub>
            <m:r>
              <m:t>1</m:t>
            </m:r>
          </m:sub>
        </m:sSub>
        <m:d>
          <m:dPr>
            <m:begChr m:val="("/>
            <m:endChr m:val=")"/>
            <m:sepChr m:val=""/>
            <m:grow/>
          </m:dPr>
          <m:e>
            <m:r>
              <m:t>1</m:t>
            </m:r>
            <m:r>
              <m:rPr>
                <m:sty m:val="p"/>
              </m:rPr>
              <m:t>−</m:t>
            </m:r>
            <m:r>
              <m:t>b</m:t>
            </m:r>
            <m:r>
              <m:rPr>
                <m:sty m:val="p"/>
              </m:rPr>
              <m:t>+</m:t>
            </m:r>
            <m:r>
              <m:t>b</m:t>
            </m:r>
            <m:r>
              <m:rPr>
                <m:sty m:val="p"/>
              </m:rPr>
              <m:t>⋅</m:t>
            </m:r>
            <m:r>
              <m:t>7</m:t>
            </m:r>
            <m:r>
              <m:rPr>
                <m:sty m:val="p"/>
              </m:rPr>
              <m:t>/</m:t>
            </m:r>
            <m:r>
              <m:t>8.5</m:t>
            </m:r>
          </m:e>
        </m:d>
        <m:r>
          <m:rPr>
            <m:sty m:val="p"/>
          </m:rPr>
          <m:t>=</m:t>
        </m:r>
        <m:r>
          <m:t>1.2</m:t>
        </m:r>
        <m:r>
          <m:rPr>
            <m:sty m:val="p"/>
          </m:rPr>
          <m:t>×</m:t>
        </m:r>
        <m:d>
          <m:dPr>
            <m:begChr m:val="("/>
            <m:endChr m:val=")"/>
            <m:sepChr m:val=""/>
            <m:grow/>
          </m:dPr>
          <m:e>
            <m:r>
              <m:t>0.25</m:t>
            </m:r>
            <m:r>
              <m:rPr>
                <m:sty m:val="p"/>
              </m:rPr>
              <m:t>+</m:t>
            </m:r>
            <m:r>
              <m:t>0.6176</m:t>
            </m:r>
          </m:e>
        </m:d>
        <m:r>
          <m:rPr>
            <m:sty m:val="p"/>
          </m:rPr>
          <m:t>=</m:t>
        </m:r>
        <m:r>
          <m:t>1.2</m:t>
        </m:r>
        <m:r>
          <m:rPr>
            <m:sty m:val="p"/>
          </m:rPr>
          <m:t>×</m:t>
        </m:r>
        <m:r>
          <m:t>0.8676</m:t>
        </m:r>
        <m:r>
          <m:rPr>
            <m:sty m:val="p"/>
          </m:rPr>
          <m:t>=</m:t>
        </m:r>
        <m:r>
          <m:t>1.0412</m:t>
        </m:r>
      </m:oMath>
      <w:r>
        <w:t xml:space="preserve">.</w:t>
      </w:r>
    </w:p>
    <w:p>
      <w:pPr>
        <w:numPr>
          <w:ilvl w:val="0"/>
          <w:numId w:val="1539"/>
        </w:numPr>
        <w:pStyle w:val="Compact"/>
      </w:pPr>
      <w:r>
        <w:t xml:space="preserve">TF part, document 4:</w:t>
      </w:r>
      <w:r>
        <w:t xml:space="preserve"> </w:t>
      </w:r>
      <m:oMath>
        <m:f>
          <m:fPr>
            <m:type m:val="bar"/>
          </m:fPr>
          <m:num>
            <m:r>
              <m:t>1</m:t>
            </m:r>
            <m:r>
              <m:rPr>
                <m:sty m:val="p"/>
              </m:rPr>
              <m:t>×</m:t>
            </m:r>
            <m:r>
              <m:t>2.2</m:t>
            </m:r>
          </m:num>
          <m:den>
            <m:r>
              <m:t>1</m:t>
            </m:r>
            <m:r>
              <m:rPr>
                <m:sty m:val="p"/>
              </m:rPr>
              <m:t>+</m:t>
            </m:r>
            <m:r>
              <m:t>1.0412</m:t>
            </m:r>
          </m:den>
        </m:f>
        <m:r>
          <m:rPr>
            <m:sty m:val="p"/>
          </m:rPr>
          <m:t>=</m:t>
        </m:r>
        <m:f>
          <m:fPr>
            <m:type m:val="bar"/>
          </m:fPr>
          <m:num>
            <m:r>
              <m:t>2.2</m:t>
            </m:r>
          </m:num>
          <m:den>
            <m:r>
              <m:t>2.0412</m:t>
            </m:r>
          </m:den>
        </m:f>
        <m:r>
          <m:rPr>
            <m:sty m:val="p"/>
          </m:rPr>
          <m:t>=</m:t>
        </m:r>
        <m:r>
          <m:t>1.0778</m:t>
        </m:r>
      </m:oMath>
      <w:r>
        <w:t xml:space="preserve">.</w:t>
      </w:r>
    </w:p>
    <w:p>
      <w:pPr>
        <w:numPr>
          <w:ilvl w:val="0"/>
          <w:numId w:val="1539"/>
        </w:numPr>
        <w:pStyle w:val="Compact"/>
      </w:pPr>
      <w:r>
        <w:t xml:space="preserve">Score, document 4:</w:t>
      </w:r>
      <w:r>
        <w:t xml:space="preserve"> </w:t>
      </w:r>
      <m:oMath>
        <m:r>
          <m:t>0.9445</m:t>
        </m:r>
        <m:r>
          <m:rPr>
            <m:sty m:val="p"/>
          </m:rPr>
          <m:t>×</m:t>
        </m:r>
        <m:r>
          <m:t>1.0778</m:t>
        </m:r>
        <m:r>
          <m:rPr>
            <m:sty m:val="p"/>
          </m:rPr>
          <m:t>=</m:t>
        </m:r>
        <m:r>
          <m:t>1.018</m:t>
        </m:r>
      </m:oMath>
      <w:r>
        <w:t xml:space="preserve">.</w:t>
      </w:r>
    </w:p>
    <w:p>
      <w:pPr>
        <w:numPr>
          <w:ilvl w:val="0"/>
          <w:numId w:val="1539"/>
        </w:numPr>
        <w:pStyle w:val="Compact"/>
      </w:pPr>
      <w:r>
        <w:t xml:space="preserve">Length factor, document 7:</w:t>
      </w:r>
      <w:r>
        <w:t xml:space="preserve"> </w:t>
      </w:r>
      <m:oMath>
        <m:r>
          <m:t>1.2</m:t>
        </m:r>
        <m:r>
          <m:rPr>
            <m:sty m:val="p"/>
          </m:rPr>
          <m:t>×</m:t>
        </m:r>
        <m:d>
          <m:dPr>
            <m:begChr m:val="("/>
            <m:endChr m:val=")"/>
            <m:sepChr m:val=""/>
            <m:grow/>
          </m:dPr>
          <m:e>
            <m:r>
              <m:t>0.25</m:t>
            </m:r>
            <m:r>
              <m:rPr>
                <m:sty m:val="p"/>
              </m:rPr>
              <m:t>+</m:t>
            </m:r>
            <m:r>
              <m:t>0.75</m:t>
            </m:r>
            <m:r>
              <m:rPr>
                <m:sty m:val="p"/>
              </m:rPr>
              <m:t>×</m:t>
            </m:r>
            <m:r>
              <m:t>12</m:t>
            </m:r>
            <m:r>
              <m:rPr>
                <m:sty m:val="p"/>
              </m:rPr>
              <m:t>/</m:t>
            </m:r>
            <m:r>
              <m:t>8.5</m:t>
            </m:r>
          </m:e>
        </m:d>
        <m:r>
          <m:rPr>
            <m:sty m:val="p"/>
          </m:rPr>
          <m:t>=</m:t>
        </m:r>
        <m:r>
          <m:t>1.2</m:t>
        </m:r>
        <m:r>
          <m:rPr>
            <m:sty m:val="p"/>
          </m:rPr>
          <m:t>×</m:t>
        </m:r>
        <m:r>
          <m:t>1.3088</m:t>
        </m:r>
        <m:r>
          <m:rPr>
            <m:sty m:val="p"/>
          </m:rPr>
          <m:t>=</m:t>
        </m:r>
        <m:r>
          <m:t>1.5706</m:t>
        </m:r>
      </m:oMath>
      <w:r>
        <w:t xml:space="preserve">; TF part</w:t>
      </w:r>
      <w:r>
        <w:t xml:space="preserve"> </w:t>
      </w:r>
      <m:oMath>
        <m:r>
          <m:t>2.2</m:t>
        </m:r>
        <m:r>
          <m:rPr>
            <m:sty m:val="p"/>
          </m:rPr>
          <m:t>/</m:t>
        </m:r>
        <m:r>
          <m:t>2.5706</m:t>
        </m:r>
        <m:r>
          <m:rPr>
            <m:sty m:val="p"/>
          </m:rPr>
          <m:t>=</m:t>
        </m:r>
        <m:r>
          <m:t>0.8558</m:t>
        </m:r>
      </m:oMath>
      <w:r>
        <w:t xml:space="preserve">; score</w:t>
      </w:r>
      <w:r>
        <w:t xml:space="preserve"> </w:t>
      </w:r>
      <m:oMath>
        <m:r>
          <m:t>0.9445</m:t>
        </m:r>
        <m:r>
          <m:rPr>
            <m:sty m:val="p"/>
          </m:rPr>
          <m:t>×</m:t>
        </m:r>
        <m:r>
          <m:t>0.8558</m:t>
        </m:r>
        <m:r>
          <m:rPr>
            <m:sty m:val="p"/>
          </m:rPr>
          <m:t>=</m:t>
        </m:r>
        <m:r>
          <m:t>0.808</m:t>
        </m:r>
      </m:oMath>
      <w:r>
        <w:t xml:space="preserve">.</w:t>
      </w:r>
    </w:p>
    <w:p>
      <w:pPr>
        <w:numPr>
          <w:ilvl w:val="0"/>
          <w:numId w:val="1539"/>
        </w:numPr>
        <w:pStyle w:val="Compact"/>
      </w:pPr>
      <w:r>
        <w:t xml:space="preserve">Saturation check for document 4: with tf = 2 the TF part would be</w:t>
      </w:r>
      <w:r>
        <w:t xml:space="preserve"> </w:t>
      </w:r>
      <m:oMath>
        <m:r>
          <m:t>4.4</m:t>
        </m:r>
        <m:r>
          <m:rPr>
            <m:sty m:val="p"/>
          </m:rPr>
          <m:t>/</m:t>
        </m:r>
        <m:r>
          <m:t>3.0412</m:t>
        </m:r>
        <m:r>
          <m:rPr>
            <m:sty m:val="p"/>
          </m:rPr>
          <m:t>=</m:t>
        </m:r>
        <m:r>
          <m:t>1.447</m:t>
        </m:r>
      </m:oMath>
      <w:r>
        <w:t xml:space="preserve">, with tf = 5 it would be</w:t>
      </w:r>
      <w:r>
        <w:t xml:space="preserve"> </w:t>
      </w:r>
      <m:oMath>
        <m:r>
          <m:t>11</m:t>
        </m:r>
        <m:r>
          <m:rPr>
            <m:sty m:val="p"/>
          </m:rPr>
          <m:t>/</m:t>
        </m:r>
        <m:r>
          <m:t>6.0412</m:t>
        </m:r>
        <m:r>
          <m:rPr>
            <m:sty m:val="p"/>
          </m:rPr>
          <m:t>=</m:t>
        </m:r>
        <m:r>
          <m:t>1.821</m:t>
        </m:r>
      </m:oMath>
      <w:r>
        <w:t xml:space="preserve">, never exceeding 2.2.</w:t>
      </w:r>
    </w:p>
    <w:p>
      <w:pPr>
        <w:pStyle w:val="CalloutExample"/>
      </w:pPr>
      <w:r>
        <w:rPr>
          <w:bCs/>
          <w:b/>
        </w:rPr>
        <w:t xml:space="preserve">Interpretation.</w:t>
      </w:r>
      <w:r>
        <w:t xml:space="preserve"> </w:t>
      </w:r>
      <w:r>
        <w:t xml:space="preserve">The same single mention of</w:t>
      </w:r>
      <w:r>
        <w:t xml:space="preserve"> </w:t>
      </w:r>
      <w:r>
        <w:rPr>
          <w:iCs/>
          <w:i/>
        </w:rPr>
        <w:t xml:space="preserve">noise</w:t>
      </w:r>
      <w:r>
        <w:t xml:space="preserve"> </w:t>
      </w:r>
      <w:r>
        <w:t xml:space="preserve">is worth 26% more in the short, focused earbuds description than in the longer kids’ description, and repeating it five times would raise its weight by only 69%. The listing below reproduces 1.0179 and 0.8083.</w:t>
      </w:r>
      <w:r>
        <w:t xml:space="preserve"> </w:t>
      </w:r>
      <w:r>
        <w:rPr>
          <w:bCs/>
          <w:b/>
        </w:rPr>
        <w:t xml:space="preserve">Engineering implication.</w:t>
      </w:r>
      <w:r>
        <w:t xml:space="preserve"> </w:t>
      </w:r>
      <w:r>
        <w:t xml:space="preserve">BM25 resists keyword stuffing and long-document bias out of the box, which is why it is the default in Lucene, Elasticsearch, OpenSearch and Solr. Tune</w:t>
      </w:r>
      <w:r>
        <w:t xml:space="preserve"> </w:t>
      </w:r>
      <m:oMath>
        <m:sSub>
          <m:e>
            <m:r>
              <m:t>k</m:t>
            </m:r>
          </m:e>
          <m:sub>
            <m:r>
              <m:t>1</m:t>
            </m:r>
          </m:sub>
        </m:sSub>
      </m:oMath>
      <w:r>
        <w:t xml:space="preserve"> </w:t>
      </w:r>
      <w:r>
        <w:t xml:space="preserve">and</w:t>
      </w:r>
      <w:r>
        <w:t xml:space="preserve"> </w:t>
      </w:r>
      <m:oMath>
        <m:r>
          <m:t>b</m:t>
        </m:r>
      </m:oMath>
      <w:r>
        <w:t xml:space="preserve"> </w:t>
      </w:r>
      <w:r>
        <w:t xml:space="preserve">per field only against a relevance test set; for very short fields such as titles, a lower</w:t>
      </w:r>
      <w:r>
        <w:t xml:space="preserve"> </w:t>
      </w:r>
      <m:oMath>
        <m:r>
          <m:t>b</m:t>
        </m:r>
      </m:oMath>
      <w:r>
        <w:t xml:space="preserve"> </w:t>
      </w:r>
      <w:r>
        <w:t xml:space="preserve">is common because length differences carry little meaning.</w:t>
      </w:r>
    </w:p>
    <w:p>
      <w:pPr>
        <w:pStyle w:val="CalloutNote"/>
      </w:pPr>
      <w:r>
        <w:rPr>
          <w:bCs/>
          <w:b/>
        </w:rPr>
        <w:t xml:space="preserve">NOTE</w:t>
      </w:r>
    </w:p>
    <w:p>
      <w:pPr>
        <w:pStyle w:val="CalloutNote"/>
      </w:pPr>
      <w:r>
        <w:rPr>
          <w:bCs/>
          <w:b/>
        </w:rPr>
        <w:t xml:space="preserve">Lucene’s scores versus the textbook formula.</w:t>
      </w:r>
      <w:r>
        <w:t xml:space="preserve"> </w:t>
      </w:r>
      <w:r>
        <w:t xml:space="preserve">Lucene 8 removed the constant factor</w:t>
      </w:r>
      <w:r>
        <w:t xml:space="preserve"> </w:t>
      </w:r>
      <m:oMath>
        <m:d>
          <m:dPr>
            <m:begChr m:val="("/>
            <m:endChr m:val=")"/>
            <m:sepChr m:val=""/>
            <m:grow/>
          </m:dPr>
          <m:e>
            <m:sSub>
              <m:e>
                <m:r>
                  <m:t>k</m:t>
                </m:r>
              </m:e>
              <m:sub>
                <m:r>
                  <m:t>1</m:t>
                </m:r>
              </m:sub>
            </m:sSub>
            <m:r>
              <m:rPr>
                <m:sty m:val="p"/>
              </m:rPr>
              <m:t>+</m:t>
            </m:r>
            <m:r>
              <m:t>1</m:t>
            </m:r>
          </m:e>
        </m:d>
      </m:oMath>
      <w:r>
        <w:t xml:space="preserve"> </w:t>
      </w:r>
      <w:r>
        <w:t xml:space="preserve">from the numerator because it does not change the ranking; Elasticsearch preserves the classic score values by applying the constant as a boost, which is why</w:t>
      </w:r>
      <w:r>
        <w:t xml:space="preserve"> </w:t>
      </w:r>
      <w:r>
        <w:rPr>
          <w:rStyle w:val="VerbatimChar"/>
        </w:rPr>
        <w:t xml:space="preserve">explain</w:t>
      </w:r>
      <w:r>
        <w:t xml:space="preserve"> </w:t>
      </w:r>
      <w:r>
        <w:t xml:space="preserve">output in Elasticsearch shows a factor of 2.2 [Lucene MIGRATE notes for 8.0]. Lucene also stores document length in a lossy one-byte</w:t>
      </w:r>
      <w:r>
        <w:t xml:space="preserve"> </w:t>
      </w:r>
      <w:r>
        <w:rPr>
          <w:bCs/>
          <w:b/>
        </w:rPr>
        <w:t xml:space="preserve">norm</w:t>
      </w:r>
      <w:r>
        <w:t xml:space="preserve">, so its scores differ slightly from exact arithmetic.</w:t>
      </w:r>
    </w:p>
    <w:bookmarkEnd w:id="1826"/>
    <w:bookmarkStart w:id="1827" w:name="a-complete-engine-in-one-listing"/>
    <w:p>
      <w:pPr>
        <w:pStyle w:val="Heading3"/>
      </w:pPr>
      <w:r>
        <w:t xml:space="preserve">16.5.4 A complete engine in one listing</w:t>
      </w:r>
    </w:p>
    <w:p>
      <w:pPr>
        <w:pStyle w:val="FirstParagraph"/>
      </w:pPr>
      <w:r>
        <w:t xml:space="preserve">The listing below implements the analysis chain of §16.4 (tokenize, lowercase, stop words keeping position gaps, S-stemmer), a positional inverted index over two fields, BM25 with per-field boosts, and phrase matching.</w:t>
      </w:r>
    </w:p>
    <w:p>
      <w:pPr>
        <w:pStyle w:val="SourceCode"/>
      </w:pPr>
      <w:r>
        <w:rPr>
          <w:rStyle w:val="CommentTok"/>
        </w:rPr>
        <w:t xml:space="preserve">"""A tiny search engine: analysis, a positional inverted index, BM25 with field boosts.</w:t>
      </w:r>
      <w:r>
        <w:br/>
      </w:r>
      <w:r>
        <w:rPr>
          <w:rStyle w:val="CommentTok"/>
        </w:rPr>
        <w:t xml:space="preserve">Standard library only. Run: python3 search_engine.py"""</w:t>
      </w:r>
      <w:r>
        <w:br/>
      </w:r>
      <w:r>
        <w:rPr>
          <w:rStyle w:val="ImportTok"/>
        </w:rPr>
        <w:t xml:space="preserve">import</w:t>
      </w:r>
      <w:r>
        <w:rPr>
          <w:rStyle w:val="NormalTok"/>
        </w:rPr>
        <w:t xml:space="preserve"> math</w:t>
      </w:r>
      <w:r>
        <w:br/>
      </w:r>
      <w:r>
        <w:rPr>
          <w:rStyle w:val="ImportTok"/>
        </w:rPr>
        <w:t xml:space="preserve">import</w:t>
      </w:r>
      <w:r>
        <w:rPr>
          <w:rStyle w:val="NormalTok"/>
        </w:rPr>
        <w:t xml:space="preserve"> re</w:t>
      </w:r>
      <w:r>
        <w:br/>
      </w:r>
      <w:r>
        <w:rPr>
          <w:rStyle w:val="ImportTok"/>
        </w:rPr>
        <w:t xml:space="preserve">from</w:t>
      </w:r>
      <w:r>
        <w:rPr>
          <w:rStyle w:val="NormalTok"/>
        </w:rPr>
        <w:t xml:space="preserve"> collections </w:t>
      </w:r>
      <w:r>
        <w:rPr>
          <w:rStyle w:val="ImportTok"/>
        </w:rPr>
        <w:t xml:space="preserve">import</w:t>
      </w:r>
      <w:r>
        <w:rPr>
          <w:rStyle w:val="NormalTok"/>
        </w:rPr>
        <w:t xml:space="preserve"> defaultdict</w:t>
      </w:r>
      <w:r>
        <w:br/>
      </w:r>
      <w:r>
        <w:br/>
      </w:r>
      <w:r>
        <w:rPr>
          <w:rStyle w:val="NormalTok"/>
        </w:rPr>
        <w:t xml:space="preserve">STOP_WORDS </w:t>
      </w:r>
      <w:r>
        <w:rPr>
          <w:rStyle w:val="OperatorTok"/>
        </w:rPr>
        <w:t xml:space="preserve">=</w:t>
      </w:r>
      <w:r>
        <w:rPr>
          <w:rStyle w:val="NormalTok"/>
        </w:rPr>
        <w:t xml:space="preserve"> {</w:t>
      </w:r>
      <w:r>
        <w:rPr>
          <w:rStyle w:val="StringTok"/>
        </w:rPr>
        <w:t xml:space="preserve">"a"</w:t>
      </w:r>
      <w:r>
        <w:rPr>
          <w:rStyle w:val="NormalTok"/>
        </w:rPr>
        <w:t xml:space="preserve">, </w:t>
      </w:r>
      <w:r>
        <w:rPr>
          <w:rStyle w:val="StringTok"/>
        </w:rPr>
        <w:t xml:space="preserve">"an"</w:t>
      </w:r>
      <w:r>
        <w:rPr>
          <w:rStyle w:val="NormalTok"/>
        </w:rPr>
        <w:t xml:space="preserve">, </w:t>
      </w:r>
      <w:r>
        <w:rPr>
          <w:rStyle w:val="StringTok"/>
        </w:rPr>
        <w:t xml:space="preserve">"and"</w:t>
      </w:r>
      <w:r>
        <w:rPr>
          <w:rStyle w:val="NormalTok"/>
        </w:rPr>
        <w:t xml:space="preserve">, </w:t>
      </w:r>
      <w:r>
        <w:rPr>
          <w:rStyle w:val="StringTok"/>
        </w:rPr>
        <w:t xml:space="preserve">"the"</w:t>
      </w:r>
      <w:r>
        <w:rPr>
          <w:rStyle w:val="NormalTok"/>
        </w:rPr>
        <w:t xml:space="preserve">, </w:t>
      </w:r>
      <w:r>
        <w:rPr>
          <w:rStyle w:val="StringTok"/>
        </w:rPr>
        <w:t xml:space="preserve">"for"</w:t>
      </w:r>
      <w:r>
        <w:rPr>
          <w:rStyle w:val="NormalTok"/>
        </w:rPr>
        <w:t xml:space="preserve">, </w:t>
      </w:r>
      <w:r>
        <w:rPr>
          <w:rStyle w:val="StringTok"/>
        </w:rPr>
        <w:t xml:space="preserve">"with"</w:t>
      </w:r>
      <w:r>
        <w:rPr>
          <w:rStyle w:val="NormalTok"/>
        </w:rPr>
        <w:t xml:space="preserve">, </w:t>
      </w:r>
      <w:r>
        <w:rPr>
          <w:rStyle w:val="StringTok"/>
        </w:rPr>
        <w:t xml:space="preserve">"of"</w:t>
      </w:r>
      <w:r>
        <w:rPr>
          <w:rStyle w:val="NormalTok"/>
        </w:rPr>
        <w:t xml:space="preserve">, </w:t>
      </w:r>
      <w:r>
        <w:rPr>
          <w:rStyle w:val="StringTok"/>
        </w:rPr>
        <w:t xml:space="preserve">"in"</w:t>
      </w:r>
      <w:r>
        <w:rPr>
          <w:rStyle w:val="NormalTok"/>
        </w:rPr>
        <w:t xml:space="preserve">, </w:t>
      </w:r>
      <w:r>
        <w:rPr>
          <w:rStyle w:val="StringTok"/>
        </w:rPr>
        <w:t xml:space="preserve">"to"</w:t>
      </w:r>
      <w:r>
        <w:rPr>
          <w:rStyle w:val="NormalTok"/>
        </w:rPr>
        <w:t xml:space="preserve">, </w:t>
      </w:r>
      <w:r>
        <w:rPr>
          <w:rStyle w:val="StringTok"/>
        </w:rPr>
        <w:t xml:space="preserve">"is"</w:t>
      </w:r>
      <w:r>
        <w:rPr>
          <w:rStyle w:val="NormalTok"/>
        </w:rPr>
        <w:t xml:space="preserve">, </w:t>
      </w:r>
      <w:r>
        <w:rPr>
          <w:rStyle w:val="StringTok"/>
        </w:rPr>
        <w:t xml:space="preserve">"are"</w:t>
      </w:r>
      <w:r>
        <w:rPr>
          <w:rStyle w:val="NormalTok"/>
        </w:rPr>
        <w:t xml:space="preserve">}</w:t>
      </w:r>
      <w:r>
        <w:br/>
      </w:r>
      <w:r>
        <w:br/>
      </w:r>
      <w:r>
        <w:rPr>
          <w:rStyle w:val="KeywordTok"/>
        </w:rPr>
        <w:t xml:space="preserve">def</w:t>
      </w:r>
      <w:r>
        <w:rPr>
          <w:rStyle w:val="NormalTok"/>
        </w:rPr>
        <w:t xml:space="preserve"> s_stem(token):</w:t>
      </w:r>
      <w:r>
        <w:br/>
      </w:r>
      <w:r>
        <w:rPr>
          <w:rStyle w:val="NormalTok"/>
        </w:rPr>
        <w:t xml:space="preserve">    </w:t>
      </w:r>
      <w:r>
        <w:rPr>
          <w:rStyle w:val="CommentTok"/>
        </w:rPr>
        <w:t xml:space="preserve">"""Harman's 'S' stemmer: strips only plural endings (like Lucene's EnglishMinimalStemFilter)."""</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(token) </w:t>
      </w:r>
      <w:r>
        <w:rPr>
          <w:rStyle w:val="OperatorTok"/>
        </w:rPr>
        <w:t xml:space="preserve">&gt;</w:t>
      </w:r>
      <w:r>
        <w:rPr>
          <w:rStyle w:val="NormalTok"/>
        </w:rPr>
        <w:t xml:space="preserve"> </w:t>
      </w:r>
      <w:r>
        <w:rPr>
          <w:rStyle w:val="DecValTok"/>
        </w:rPr>
        <w:t xml:space="preserve">3</w:t>
      </w:r>
      <w:r>
        <w:rPr>
          <w:rStyle w:val="NormalTok"/>
        </w:rPr>
        <w:t xml:space="preserve"> </w:t>
      </w:r>
      <w:r>
        <w:rPr>
          <w:rStyle w:val="KeywordTok"/>
        </w:rPr>
        <w:t xml:space="preserve">and</w:t>
      </w:r>
      <w:r>
        <w:rPr>
          <w:rStyle w:val="NormalTok"/>
        </w:rPr>
        <w:t xml:space="preserve"> token.endswith(</w:t>
      </w:r>
      <w:r>
        <w:rPr>
          <w:rStyle w:val="StringTok"/>
        </w:rPr>
        <w:t xml:space="preserve">"ies"</w:t>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token.endswith((</w:t>
      </w:r>
      <w:r>
        <w:rPr>
          <w:rStyle w:val="StringTok"/>
        </w:rPr>
        <w:t xml:space="preserve">"eies"</w:t>
      </w:r>
      <w:r>
        <w:rPr>
          <w:rStyle w:val="NormalTok"/>
        </w:rPr>
        <w:t xml:space="preserve">, </w:t>
      </w:r>
      <w:r>
        <w:rPr>
          <w:rStyle w:val="StringTok"/>
        </w:rPr>
        <w:t xml:space="preserve">"aies"</w:t>
      </w:r>
      <w:r>
        <w:rPr>
          <w:rStyle w:val="NormalTok"/>
        </w:rPr>
        <w:t xml:space="preserve">)):</w:t>
      </w:r>
      <w:r>
        <w:br/>
      </w:r>
      <w:r>
        <w:rPr>
          <w:rStyle w:val="NormalTok"/>
        </w:rPr>
        <w:t xml:space="preserve">        </w:t>
      </w:r>
      <w:r>
        <w:rPr>
          <w:rStyle w:val="ControlFlowTok"/>
        </w:rPr>
        <w:t xml:space="preserve">return</w:t>
      </w:r>
      <w:r>
        <w:rPr>
          <w:rStyle w:val="NormalTok"/>
        </w:rPr>
        <w:t xml:space="preserve"> token[:</w:t>
      </w:r>
      <w:r>
        <w:rPr>
          <w:rStyle w:val="OperatorTok"/>
        </w:rPr>
        <w:t xml:space="preserve">-</w:t>
      </w:r>
      <w:r>
        <w:rPr>
          <w:rStyle w:val="DecValTok"/>
        </w:rPr>
        <w:t xml:space="preserve">3</w:t>
      </w:r>
      <w:r>
        <w:rPr>
          <w:rStyle w:val="NormalTok"/>
        </w:rPr>
        <w:t xml:space="preserve">] </w:t>
      </w:r>
      <w:r>
        <w:rPr>
          <w:rStyle w:val="OperatorTok"/>
        </w:rPr>
        <w:t xml:space="preserve">+</w:t>
      </w:r>
      <w:r>
        <w:rPr>
          <w:rStyle w:val="NormalTok"/>
        </w:rPr>
        <w:t xml:space="preserve"> </w:t>
      </w:r>
      <w:r>
        <w:rPr>
          <w:rStyle w:val="StringTok"/>
        </w:rPr>
        <w:t xml:space="preserve">"y"</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(token) </w:t>
      </w:r>
      <w:r>
        <w:rPr>
          <w:rStyle w:val="OperatorTok"/>
        </w:rPr>
        <w:t xml:space="preserve">&gt;</w:t>
      </w:r>
      <w:r>
        <w:rPr>
          <w:rStyle w:val="NormalTok"/>
        </w:rPr>
        <w:t xml:space="preserve"> </w:t>
      </w:r>
      <w:r>
        <w:rPr>
          <w:rStyle w:val="DecValTok"/>
        </w:rPr>
        <w:t xml:space="preserve">3</w:t>
      </w:r>
      <w:r>
        <w:rPr>
          <w:rStyle w:val="NormalTok"/>
        </w:rPr>
        <w:t xml:space="preserve"> </w:t>
      </w:r>
      <w:r>
        <w:rPr>
          <w:rStyle w:val="KeywordTok"/>
        </w:rPr>
        <w:t xml:space="preserve">and</w:t>
      </w:r>
      <w:r>
        <w:rPr>
          <w:rStyle w:val="NormalTok"/>
        </w:rPr>
        <w:t xml:space="preserve"> token.endswith(</w:t>
      </w:r>
      <w:r>
        <w:rPr>
          <w:rStyle w:val="StringTok"/>
        </w:rPr>
        <w:t xml:space="preserve">"es"</w:t>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token.endswith((</w:t>
      </w:r>
      <w:r>
        <w:rPr>
          <w:rStyle w:val="StringTok"/>
        </w:rPr>
        <w:t xml:space="preserve">"aes"</w:t>
      </w:r>
      <w:r>
        <w:rPr>
          <w:rStyle w:val="NormalTok"/>
        </w:rPr>
        <w:t xml:space="preserve">, </w:t>
      </w:r>
      <w:r>
        <w:rPr>
          <w:rStyle w:val="StringTok"/>
        </w:rPr>
        <w:t xml:space="preserve">"ees"</w:t>
      </w:r>
      <w:r>
        <w:rPr>
          <w:rStyle w:val="NormalTok"/>
        </w:rPr>
        <w:t xml:space="preserve">, </w:t>
      </w:r>
      <w:r>
        <w:rPr>
          <w:rStyle w:val="StringTok"/>
        </w:rPr>
        <w:t xml:space="preserve">"oes"</w:t>
      </w:r>
      <w:r>
        <w:rPr>
          <w:rStyle w:val="NormalTok"/>
        </w:rPr>
        <w:t xml:space="preserve">)):</w:t>
      </w:r>
      <w:r>
        <w:br/>
      </w:r>
      <w:r>
        <w:rPr>
          <w:rStyle w:val="NormalTok"/>
        </w:rPr>
        <w:t xml:space="preserve">        </w:t>
      </w:r>
      <w:r>
        <w:rPr>
          <w:rStyle w:val="ControlFlowTok"/>
        </w:rPr>
        <w:t xml:space="preserve">return</w:t>
      </w:r>
      <w:r>
        <w:rPr>
          <w:rStyle w:val="NormalTok"/>
        </w:rPr>
        <w:t xml:space="preserve"> token[:</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(token) </w:t>
      </w:r>
      <w:r>
        <w:rPr>
          <w:rStyle w:val="OperatorTok"/>
        </w:rPr>
        <w:t xml:space="preserve">&gt;</w:t>
      </w:r>
      <w:r>
        <w:rPr>
          <w:rStyle w:val="NormalTok"/>
        </w:rPr>
        <w:t xml:space="preserve"> </w:t>
      </w:r>
      <w:r>
        <w:rPr>
          <w:rStyle w:val="DecValTok"/>
        </w:rPr>
        <w:t xml:space="preserve">3</w:t>
      </w:r>
      <w:r>
        <w:rPr>
          <w:rStyle w:val="NormalTok"/>
        </w:rPr>
        <w:t xml:space="preserve"> </w:t>
      </w:r>
      <w:r>
        <w:rPr>
          <w:rStyle w:val="KeywordTok"/>
        </w:rPr>
        <w:t xml:space="preserve">and</w:t>
      </w:r>
      <w:r>
        <w:rPr>
          <w:rStyle w:val="NormalTok"/>
        </w:rPr>
        <w:t xml:space="preserve"> token.endswith(</w:t>
      </w:r>
      <w:r>
        <w:rPr>
          <w:rStyle w:val="StringTok"/>
        </w:rPr>
        <w:t xml:space="preserve">"s"</w:t>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token.endswith((</w:t>
      </w:r>
      <w:r>
        <w:rPr>
          <w:rStyle w:val="StringTok"/>
        </w:rPr>
        <w:t xml:space="preserve">"us"</w:t>
      </w:r>
      <w:r>
        <w:rPr>
          <w:rStyle w:val="NormalTok"/>
        </w:rPr>
        <w:t xml:space="preserve">, </w:t>
      </w:r>
      <w:r>
        <w:rPr>
          <w:rStyle w:val="StringTok"/>
        </w:rPr>
        <w:t xml:space="preserve">"ss"</w:t>
      </w:r>
      <w:r>
        <w:rPr>
          <w:rStyle w:val="NormalTok"/>
        </w:rPr>
        <w:t xml:space="preserve">)):</w:t>
      </w:r>
      <w:r>
        <w:br/>
      </w:r>
      <w:r>
        <w:rPr>
          <w:rStyle w:val="NormalTok"/>
        </w:rPr>
        <w:t xml:space="preserve">        </w:t>
      </w:r>
      <w:r>
        <w:rPr>
          <w:rStyle w:val="ControlFlowTok"/>
        </w:rPr>
        <w:t xml:space="preserve">return</w:t>
      </w:r>
      <w:r>
        <w:rPr>
          <w:rStyle w:val="NormalTok"/>
        </w:rPr>
        <w:t xml:space="preserve"> token[:</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token</w:t>
      </w:r>
      <w:r>
        <w:br/>
      </w:r>
      <w:r>
        <w:br/>
      </w:r>
      <w:r>
        <w:rPr>
          <w:rStyle w:val="KeywordTok"/>
        </w:rPr>
        <w:t xml:space="preserve">def</w:t>
      </w:r>
      <w:r>
        <w:rPr>
          <w:rStyle w:val="NormalTok"/>
        </w:rPr>
        <w:t xml:space="preserve"> analyze(text):</w:t>
      </w:r>
      <w:r>
        <w:br/>
      </w:r>
      <w:r>
        <w:rPr>
          <w:rStyle w:val="NormalTok"/>
        </w:rPr>
        <w:t xml:space="preserve">    </w:t>
      </w:r>
      <w:r>
        <w:rPr>
          <w:rStyle w:val="CommentTok"/>
        </w:rPr>
        <w:t xml:space="preserve">"""Tokenize on non-alphanumerics, lowercase, drop stop words, stem. Keeps positions."""</w:t>
      </w:r>
      <w:r>
        <w:br/>
      </w:r>
      <w:r>
        <w:rPr>
          <w:rStyle w:val="NormalTok"/>
        </w:rPr>
        <w:t xml:space="preserve">    out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pos, raw </w:t>
      </w:r>
      <w:r>
        <w:rPr>
          <w:rStyle w:val="KeywordTok"/>
        </w:rPr>
        <w:t xml:space="preserve">in</w:t>
      </w:r>
      <w:r>
        <w:rPr>
          <w:rStyle w:val="NormalTok"/>
        </w:rPr>
        <w:t xml:space="preserve"> </w:t>
      </w:r>
      <w:r>
        <w:rPr>
          <w:rStyle w:val="BuiltInTok"/>
        </w:rPr>
        <w:t xml:space="preserve">enumerate</w:t>
      </w:r>
      <w:r>
        <w:rPr>
          <w:rStyle w:val="NormalTok"/>
        </w:rPr>
        <w:t xml:space="preserve">(re.findall(</w:t>
      </w:r>
      <w:r>
        <w:rPr>
          <w:rStyle w:val="VerbatimStringTok"/>
        </w:rPr>
        <w:t xml:space="preserve">r"[a-z0-9]+"</w:t>
      </w:r>
      <w:r>
        <w:rPr>
          <w:rStyle w:val="NormalTok"/>
        </w:rPr>
        <w:t xml:space="preserve">, text.lower())):</w:t>
      </w:r>
      <w:r>
        <w:br/>
      </w:r>
      <w:r>
        <w:rPr>
          <w:rStyle w:val="NormalTok"/>
        </w:rPr>
        <w:t xml:space="preserve">        </w:t>
      </w:r>
      <w:r>
        <w:rPr>
          <w:rStyle w:val="ControlFlowTok"/>
        </w:rPr>
        <w:t xml:space="preserve">if</w:t>
      </w:r>
      <w:r>
        <w:rPr>
          <w:rStyle w:val="NormalTok"/>
        </w:rPr>
        <w:t xml:space="preserve"> raw </w:t>
      </w:r>
      <w:r>
        <w:rPr>
          <w:rStyle w:val="KeywordTok"/>
        </w:rPr>
        <w:t xml:space="preserve">not</w:t>
      </w:r>
      <w:r>
        <w:rPr>
          <w:rStyle w:val="NormalTok"/>
        </w:rPr>
        <w:t xml:space="preserve"> </w:t>
      </w:r>
      <w:r>
        <w:rPr>
          <w:rStyle w:val="KeywordTok"/>
        </w:rPr>
        <w:t xml:space="preserve">in</w:t>
      </w:r>
      <w:r>
        <w:rPr>
          <w:rStyle w:val="NormalTok"/>
        </w:rPr>
        <w:t xml:space="preserve"> STOP_WORDS:</w:t>
      </w:r>
      <w:r>
        <w:br/>
      </w:r>
      <w:r>
        <w:rPr>
          <w:rStyle w:val="NormalTok"/>
        </w:rPr>
        <w:t xml:space="preserve">            out.append((s_stem(raw), pos))</w:t>
      </w:r>
      <w:r>
        <w:br/>
      </w:r>
      <w:r>
        <w:rPr>
          <w:rStyle w:val="NormalTok"/>
        </w:rPr>
        <w:t xml:space="preserve">    </w:t>
      </w:r>
      <w:r>
        <w:rPr>
          <w:rStyle w:val="ControlFlowTok"/>
        </w:rPr>
        <w:t xml:space="preserve">return</w:t>
      </w:r>
      <w:r>
        <w:rPr>
          <w:rStyle w:val="NormalTok"/>
        </w:rPr>
        <w:t xml:space="preserve"> out</w:t>
      </w:r>
      <w:r>
        <w:br/>
      </w:r>
      <w:r>
        <w:br/>
      </w:r>
      <w:r>
        <w:rPr>
          <w:rStyle w:val="KeywordTok"/>
        </w:rPr>
        <w:t xml:space="preserve">class</w:t>
      </w:r>
      <w:r>
        <w:rPr>
          <w:rStyle w:val="NormalTok"/>
        </w:rPr>
        <w:t xml:space="preserve"> InvertedIndex:</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fields):</w:t>
      </w:r>
      <w:r>
        <w:br/>
      </w:r>
      <w:r>
        <w:rPr>
          <w:rStyle w:val="NormalTok"/>
        </w:rPr>
        <w:t xml:space="preserve">        </w:t>
      </w:r>
      <w:r>
        <w:rPr>
          <w:rStyle w:val="VariableTok"/>
        </w:rPr>
        <w:t xml:space="preserve">self</w:t>
      </w:r>
      <w:r>
        <w:rPr>
          <w:rStyle w:val="NormalTok"/>
        </w:rPr>
        <w:t xml:space="preserve">.fields </w:t>
      </w:r>
      <w:r>
        <w:rPr>
          <w:rStyle w:val="OperatorTok"/>
        </w:rPr>
        <w:t xml:space="preserve">=</w:t>
      </w:r>
      <w:r>
        <w:rPr>
          <w:rStyle w:val="NormalTok"/>
        </w:rPr>
        <w:t xml:space="preserve"> fields</w:t>
      </w:r>
      <w:r>
        <w:br/>
      </w:r>
      <w:r>
        <w:rPr>
          <w:rStyle w:val="NormalTok"/>
        </w:rPr>
        <w:t xml:space="preserve">        </w:t>
      </w:r>
      <w:r>
        <w:rPr>
          <w:rStyle w:val="CommentTok"/>
        </w:rPr>
        <w:t xml:space="preserve"># postings[field][term] -&gt; {doc_id: [positions]}  (doc_ids inserted in increasing order)</w:t>
      </w:r>
      <w:r>
        <w:br/>
      </w:r>
      <w:r>
        <w:rPr>
          <w:rStyle w:val="NormalTok"/>
        </w:rPr>
        <w:t xml:space="preserve">        </w:t>
      </w:r>
      <w:r>
        <w:rPr>
          <w:rStyle w:val="VariableTok"/>
        </w:rPr>
        <w:t xml:space="preserve">self</w:t>
      </w:r>
      <w:r>
        <w:rPr>
          <w:rStyle w:val="NormalTok"/>
        </w:rPr>
        <w:t xml:space="preserve">.postings </w:t>
      </w:r>
      <w:r>
        <w:rPr>
          <w:rStyle w:val="OperatorTok"/>
        </w:rPr>
        <w:t xml:space="preserve">=</w:t>
      </w:r>
      <w:r>
        <w:rPr>
          <w:rStyle w:val="NormalTok"/>
        </w:rPr>
        <w:t xml:space="preserve"> {f: defaultdict(</w:t>
      </w:r>
      <w:r>
        <w:rPr>
          <w:rStyle w:val="BuiltInTok"/>
        </w:rPr>
        <w:t xml:space="preserve">dict</w:t>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fields}</w:t>
      </w:r>
      <w:r>
        <w:br/>
      </w:r>
      <w:r>
        <w:rPr>
          <w:rStyle w:val="NormalTok"/>
        </w:rPr>
        <w:t xml:space="preserve">        </w:t>
      </w:r>
      <w:r>
        <w:rPr>
          <w:rStyle w:val="VariableTok"/>
        </w:rPr>
        <w:t xml:space="preserve">self</w:t>
      </w:r>
      <w:r>
        <w:rPr>
          <w:rStyle w:val="NormalTok"/>
        </w:rPr>
        <w:t xml:space="preserve">.doc_len </w:t>
      </w:r>
      <w:r>
        <w:rPr>
          <w:rStyle w:val="OperatorTok"/>
        </w:rPr>
        <w:t xml:space="preserve">=</w:t>
      </w:r>
      <w:r>
        <w:rPr>
          <w:rStyle w:val="NormalTok"/>
        </w:rPr>
        <w:t xml:space="preserve"> {f: {} </w:t>
      </w:r>
      <w:r>
        <w:rPr>
          <w:rStyle w:val="ControlFlowTok"/>
        </w:rPr>
        <w:t xml:space="preserve">for</w:t>
      </w:r>
      <w:r>
        <w:rPr>
          <w:rStyle w:val="NormalTok"/>
        </w:rPr>
        <w:t xml:space="preserve"> f </w:t>
      </w:r>
      <w:r>
        <w:rPr>
          <w:rStyle w:val="KeywordTok"/>
        </w:rPr>
        <w:t xml:space="preserve">in</w:t>
      </w:r>
      <w:r>
        <w:rPr>
          <w:rStyle w:val="NormalTok"/>
        </w:rPr>
        <w:t xml:space="preserve"> fields}</w:t>
      </w:r>
      <w:r>
        <w:br/>
      </w:r>
      <w:r>
        <w:rPr>
          <w:rStyle w:val="NormalTok"/>
        </w:rPr>
        <w:t xml:space="preserve">        </w:t>
      </w:r>
      <w:r>
        <w:rPr>
          <w:rStyle w:val="VariableTok"/>
        </w:rPr>
        <w:t xml:space="preserve">self</w:t>
      </w:r>
      <w:r>
        <w:rPr>
          <w:rStyle w:val="NormalTok"/>
        </w:rPr>
        <w:t xml:space="preserve">.n_docs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KeywordTok"/>
        </w:rPr>
        <w:t xml:space="preserve">def</w:t>
      </w:r>
      <w:r>
        <w:rPr>
          <w:rStyle w:val="NormalTok"/>
        </w:rPr>
        <w:t xml:space="preserve"> add(</w:t>
      </w:r>
      <w:r>
        <w:rPr>
          <w:rStyle w:val="VariableTok"/>
        </w:rPr>
        <w:t xml:space="preserve">self</w:t>
      </w:r>
      <w:r>
        <w:rPr>
          <w:rStyle w:val="NormalTok"/>
        </w:rPr>
        <w:t xml:space="preserve">, doc_id, doc):</w:t>
      </w:r>
      <w:r>
        <w:br/>
      </w:r>
      <w:r>
        <w:rPr>
          <w:rStyle w:val="NormalTok"/>
        </w:rPr>
        <w:t xml:space="preserve">        </w:t>
      </w:r>
      <w:r>
        <w:rPr>
          <w:rStyle w:val="VariableTok"/>
        </w:rPr>
        <w:t xml:space="preserve">self</w:t>
      </w:r>
      <w:r>
        <w:rPr>
          <w:rStyle w:val="NormalTok"/>
        </w:rPr>
        <w:t xml:space="preserve">.n_docs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w:t>
      </w:r>
      <w:r>
        <w:rPr>
          <w:rStyle w:val="VariableTok"/>
        </w:rPr>
        <w:t xml:space="preserve">self</w:t>
      </w:r>
      <w:r>
        <w:rPr>
          <w:rStyle w:val="NormalTok"/>
        </w:rPr>
        <w:t xml:space="preserve">.fields:</w:t>
      </w:r>
      <w:r>
        <w:br/>
      </w:r>
      <w:r>
        <w:rPr>
          <w:rStyle w:val="NormalTok"/>
        </w:rPr>
        <w:t xml:space="preserve">            tokens </w:t>
      </w:r>
      <w:r>
        <w:rPr>
          <w:rStyle w:val="OperatorTok"/>
        </w:rPr>
        <w:t xml:space="preserve">=</w:t>
      </w:r>
      <w:r>
        <w:rPr>
          <w:rStyle w:val="NormalTok"/>
        </w:rPr>
        <w:t xml:space="preserve"> analyze(doc[f])</w:t>
      </w:r>
      <w:r>
        <w:br/>
      </w:r>
      <w:r>
        <w:rPr>
          <w:rStyle w:val="NormalTok"/>
        </w:rPr>
        <w:t xml:space="preserve">            </w:t>
      </w:r>
      <w:r>
        <w:rPr>
          <w:rStyle w:val="VariableTok"/>
        </w:rPr>
        <w:t xml:space="preserve">self</w:t>
      </w:r>
      <w:r>
        <w:rPr>
          <w:rStyle w:val="NormalTok"/>
        </w:rPr>
        <w:t xml:space="preserve">.doc_len[f][doc_id] </w:t>
      </w:r>
      <w:r>
        <w:rPr>
          <w:rStyle w:val="OperatorTok"/>
        </w:rPr>
        <w:t xml:space="preserve">=</w:t>
      </w:r>
      <w:r>
        <w:rPr>
          <w:rStyle w:val="NormalTok"/>
        </w:rPr>
        <w:t xml:space="preserve"> </w:t>
      </w:r>
      <w:r>
        <w:rPr>
          <w:rStyle w:val="BuiltInTok"/>
        </w:rPr>
        <w:t xml:space="preserve">len</w:t>
      </w:r>
      <w:r>
        <w:rPr>
          <w:rStyle w:val="NormalTok"/>
        </w:rPr>
        <w:t xml:space="preserve">(tokens)</w:t>
      </w:r>
      <w:r>
        <w:br/>
      </w:r>
      <w:r>
        <w:rPr>
          <w:rStyle w:val="NormalTok"/>
        </w:rPr>
        <w:t xml:space="preserve">            </w:t>
      </w:r>
      <w:r>
        <w:rPr>
          <w:rStyle w:val="ControlFlowTok"/>
        </w:rPr>
        <w:t xml:space="preserve">for</w:t>
      </w:r>
      <w:r>
        <w:rPr>
          <w:rStyle w:val="NormalTok"/>
        </w:rPr>
        <w:t xml:space="preserve"> term, pos </w:t>
      </w:r>
      <w:r>
        <w:rPr>
          <w:rStyle w:val="KeywordTok"/>
        </w:rPr>
        <w:t xml:space="preserve">in</w:t>
      </w:r>
      <w:r>
        <w:rPr>
          <w:rStyle w:val="NormalTok"/>
        </w:rPr>
        <w:t xml:space="preserve"> tokens:</w:t>
      </w:r>
      <w:r>
        <w:br/>
      </w:r>
      <w:r>
        <w:rPr>
          <w:rStyle w:val="NormalTok"/>
        </w:rPr>
        <w:t xml:space="preserve">                </w:t>
      </w:r>
      <w:r>
        <w:rPr>
          <w:rStyle w:val="VariableTok"/>
        </w:rPr>
        <w:t xml:space="preserve">self</w:t>
      </w:r>
      <w:r>
        <w:rPr>
          <w:rStyle w:val="NormalTok"/>
        </w:rPr>
        <w:t xml:space="preserve">.postings[f][term].setdefault(doc_id, []).append(pos)</w:t>
      </w:r>
      <w:r>
        <w:br/>
      </w:r>
      <w:r>
        <w:br/>
      </w:r>
      <w:r>
        <w:rPr>
          <w:rStyle w:val="NormalTok"/>
        </w:rPr>
        <w:t xml:space="preserve">    </w:t>
      </w:r>
      <w:r>
        <w:rPr>
          <w:rStyle w:val="KeywordTok"/>
        </w:rPr>
        <w:t xml:space="preserve">def</w:t>
      </w:r>
      <w:r>
        <w:rPr>
          <w:rStyle w:val="NormalTok"/>
        </w:rPr>
        <w:t xml:space="preserve"> avgdl(</w:t>
      </w:r>
      <w:r>
        <w:rPr>
          <w:rStyle w:val="VariableTok"/>
        </w:rPr>
        <w:t xml:space="preserve">self</w:t>
      </w:r>
      <w:r>
        <w:rPr>
          <w:rStyle w:val="NormalTok"/>
        </w:rPr>
        <w:t xml:space="preserve">, f):</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w:t>
      </w:r>
      <w:r>
        <w:rPr>
          <w:rStyle w:val="VariableTok"/>
        </w:rPr>
        <w:t xml:space="preserve">self</w:t>
      </w:r>
      <w:r>
        <w:rPr>
          <w:rStyle w:val="NormalTok"/>
        </w:rPr>
        <w:t xml:space="preserve">.doc_len[f].values()) </w:t>
      </w:r>
      <w:r>
        <w:rPr>
          <w:rStyle w:val="OperatorTok"/>
        </w:rPr>
        <w:t xml:space="preserve">/</w:t>
      </w:r>
      <w:r>
        <w:rPr>
          <w:rStyle w:val="NormalTok"/>
        </w:rPr>
        <w:t xml:space="preserve"> </w:t>
      </w:r>
      <w:r>
        <w:rPr>
          <w:rStyle w:val="VariableTok"/>
        </w:rPr>
        <w:t xml:space="preserve">self</w:t>
      </w:r>
      <w:r>
        <w:rPr>
          <w:rStyle w:val="NormalTok"/>
        </w:rPr>
        <w:t xml:space="preserve">.n_docs</w:t>
      </w:r>
      <w:r>
        <w:br/>
      </w:r>
      <w:r>
        <w:br/>
      </w:r>
      <w:r>
        <w:rPr>
          <w:rStyle w:val="NormalTok"/>
        </w:rPr>
        <w:t xml:space="preserve">    </w:t>
      </w:r>
      <w:r>
        <w:rPr>
          <w:rStyle w:val="KeywordTok"/>
        </w:rPr>
        <w:t xml:space="preserve">def</w:t>
      </w:r>
      <w:r>
        <w:rPr>
          <w:rStyle w:val="NormalTok"/>
        </w:rPr>
        <w:t xml:space="preserve"> idf(</w:t>
      </w:r>
      <w:r>
        <w:rPr>
          <w:rStyle w:val="VariableTok"/>
        </w:rPr>
        <w:t xml:space="preserve">self</w:t>
      </w:r>
      <w:r>
        <w:rPr>
          <w:rStyle w:val="NormalTok"/>
        </w:rPr>
        <w:t xml:space="preserve">, f, term):</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.postings[f].get(term, {}))</w:t>
      </w:r>
      <w:r>
        <w:br/>
      </w:r>
      <w:r>
        <w:rPr>
          <w:rStyle w:val="NormalTok"/>
        </w:rPr>
        <w:t xml:space="preserve">        </w:t>
      </w:r>
      <w:r>
        <w:rPr>
          <w:rStyle w:val="ControlFlowTok"/>
        </w:rPr>
        <w:t xml:space="preserve">return</w:t>
      </w:r>
      <w:r>
        <w:rPr>
          <w:rStyle w:val="NormalTok"/>
        </w:rPr>
        <w:t xml:space="preserve"> math.log(</w:t>
      </w:r>
      <w:r>
        <w:rPr>
          <w:rStyle w:val="DecValTok"/>
        </w:rPr>
        <w:t xml:space="preserve">1</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.n_docs </w:t>
      </w:r>
      <w:r>
        <w:rPr>
          <w:rStyle w:val="OperatorTok"/>
        </w:rPr>
        <w:t xml:space="preserve">-</w:t>
      </w:r>
      <w:r>
        <w:rPr>
          <w:rStyle w:val="NormalTok"/>
        </w:rPr>
        <w:t xml:space="preserve"> n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w:t>
      </w:r>
      <w:r>
        <w:rPr>
          <w:rStyle w:val="FloatTok"/>
        </w:rPr>
        <w:t xml:space="preserve">0.5</w:t>
      </w:r>
      <w:r>
        <w:rPr>
          <w:rStyle w:val="NormalTok"/>
        </w:rPr>
        <w:t xml:space="preserve">))   </w:t>
      </w:r>
      <w:r>
        <w:rPr>
          <w:rStyle w:val="CommentTok"/>
        </w:rPr>
        <w:t xml:space="preserve"># Lucene's BM25 IDF</w:t>
      </w:r>
      <w:r>
        <w:br/>
      </w:r>
      <w:r>
        <w:br/>
      </w:r>
      <w:r>
        <w:rPr>
          <w:rStyle w:val="NormalTok"/>
        </w:rPr>
        <w:t xml:space="preserve">    </w:t>
      </w:r>
      <w:r>
        <w:rPr>
          <w:rStyle w:val="KeywordTok"/>
        </w:rPr>
        <w:t xml:space="preserve">def</w:t>
      </w:r>
      <w:r>
        <w:rPr>
          <w:rStyle w:val="NormalTok"/>
        </w:rPr>
        <w:t xml:space="preserve"> bm25_term(</w:t>
      </w:r>
      <w:r>
        <w:rPr>
          <w:rStyle w:val="VariableTok"/>
        </w:rPr>
        <w:t xml:space="preserve">self</w:t>
      </w:r>
      <w:r>
        <w:rPr>
          <w:rStyle w:val="NormalTok"/>
        </w:rPr>
        <w:t xml:space="preserve">, f, term, doc_id, k1</w:t>
      </w:r>
      <w:r>
        <w:rPr>
          <w:rStyle w:val="OperatorTok"/>
        </w:rPr>
        <w:t xml:space="preserve">=</w:t>
      </w:r>
      <w:r>
        <w:rPr>
          <w:rStyle w:val="FloatTok"/>
        </w:rPr>
        <w:t xml:space="preserve">1.2</w:t>
      </w:r>
      <w:r>
        <w:rPr>
          <w:rStyle w:val="NormalTok"/>
        </w:rPr>
        <w:t xml:space="preserve">, b</w:t>
      </w:r>
      <w:r>
        <w:rPr>
          <w:rStyle w:val="OperatorTok"/>
        </w:rPr>
        <w:t xml:space="preserve">=</w:t>
      </w:r>
      <w:r>
        <w:rPr>
          <w:rStyle w:val="FloatTok"/>
        </w:rPr>
        <w:t xml:space="preserve">0.75</w:t>
      </w:r>
      <w:r>
        <w:rPr>
          <w:rStyle w:val="NormalTok"/>
        </w:rPr>
        <w:t xml:space="preserve">):</w:t>
      </w:r>
      <w:r>
        <w:br/>
      </w:r>
      <w:r>
        <w:rPr>
          <w:rStyle w:val="NormalTok"/>
        </w:rPr>
        <w:t xml:space="preserve">        tf </w:t>
      </w:r>
      <w:r>
        <w:rPr>
          <w:rStyle w:val="OperatorTok"/>
        </w:rPr>
        <w:t xml:space="preserve">=</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.postings[f].get(term, {}).get(doc_id, []))</w:t>
      </w:r>
      <w:r>
        <w:br/>
      </w:r>
      <w:r>
        <w:rPr>
          <w:rStyle w:val="NormalTok"/>
        </w:rPr>
        <w:t xml:space="preserve">        </w:t>
      </w:r>
      <w:r>
        <w:rPr>
          <w:rStyle w:val="ControlFlowTok"/>
        </w:rPr>
        <w:t xml:space="preserve">if</w:t>
      </w:r>
      <w:r>
        <w:rPr>
          <w:rStyle w:val="NormalTok"/>
        </w:rPr>
        <w:t xml:space="preserve"> tf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rPr>
          <w:rStyle w:val="NormalTok"/>
        </w:rPr>
        <w:t xml:space="preserve">        norm </w:t>
      </w:r>
      <w:r>
        <w:rPr>
          <w:rStyle w:val="OperatorTok"/>
        </w:rPr>
        <w:t xml:space="preserve">=</w:t>
      </w:r>
      <w:r>
        <w:rPr>
          <w:rStyle w:val="NormalTok"/>
        </w:rPr>
        <w:t xml:space="preserve"> k1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b </w:t>
      </w:r>
      <w:r>
        <w:rPr>
          <w:rStyle w:val="OperatorTok"/>
        </w:rPr>
        <w:t xml:space="preserve">+</w:t>
      </w:r>
      <w:r>
        <w:rPr>
          <w:rStyle w:val="NormalTok"/>
        </w:rPr>
        <w:t xml:space="preserve"> b </w:t>
      </w:r>
      <w:r>
        <w:rPr>
          <w:rStyle w:val="OperatorTok"/>
        </w:rPr>
        <w:t xml:space="preserve">*</w:t>
      </w:r>
      <w:r>
        <w:rPr>
          <w:rStyle w:val="NormalTok"/>
        </w:rPr>
        <w:t xml:space="preserve"> </w:t>
      </w:r>
      <w:r>
        <w:rPr>
          <w:rStyle w:val="VariableTok"/>
        </w:rPr>
        <w:t xml:space="preserve">self</w:t>
      </w:r>
      <w:r>
        <w:rPr>
          <w:rStyle w:val="NormalTok"/>
        </w:rPr>
        <w:t xml:space="preserve">.doc_len[f][doc_id] </w:t>
      </w:r>
      <w:r>
        <w:rPr>
          <w:rStyle w:val="OperatorTok"/>
        </w:rPr>
        <w:t xml:space="preserve">/</w:t>
      </w:r>
      <w:r>
        <w:rPr>
          <w:rStyle w:val="NormalTok"/>
        </w:rPr>
        <w:t xml:space="preserve"> </w:t>
      </w:r>
      <w:r>
        <w:rPr>
          <w:rStyle w:val="VariableTok"/>
        </w:rPr>
        <w:t xml:space="preserve">self</w:t>
      </w:r>
      <w:r>
        <w:rPr>
          <w:rStyle w:val="NormalTok"/>
        </w:rPr>
        <w:t xml:space="preserve">.avgdl(f))</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.idf(f, term) </w:t>
      </w:r>
      <w:r>
        <w:rPr>
          <w:rStyle w:val="OperatorTok"/>
        </w:rPr>
        <w:t xml:space="preserve">*</w:t>
      </w:r>
      <w:r>
        <w:rPr>
          <w:rStyle w:val="NormalTok"/>
        </w:rPr>
        <w:t xml:space="preserve"> tf </w:t>
      </w:r>
      <w:r>
        <w:rPr>
          <w:rStyle w:val="OperatorTok"/>
        </w:rPr>
        <w:t xml:space="preserve">*</w:t>
      </w:r>
      <w:r>
        <w:rPr>
          <w:rStyle w:val="NormalTok"/>
        </w:rPr>
        <w:t xml:space="preserve"> (k1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(tf </w:t>
      </w:r>
      <w:r>
        <w:rPr>
          <w:rStyle w:val="OperatorTok"/>
        </w:rPr>
        <w:t xml:space="preserve">+</w:t>
      </w:r>
      <w:r>
        <w:rPr>
          <w:rStyle w:val="NormalTok"/>
        </w:rPr>
        <w:t xml:space="preserve"> norm)</w:t>
      </w:r>
      <w:r>
        <w:br/>
      </w:r>
      <w:r>
        <w:br/>
      </w:r>
      <w:r>
        <w:rPr>
          <w:rStyle w:val="NormalTok"/>
        </w:rPr>
        <w:t xml:space="preserve">    </w:t>
      </w:r>
      <w:r>
        <w:rPr>
          <w:rStyle w:val="KeywordTok"/>
        </w:rPr>
        <w:t xml:space="preserve">def</w:t>
      </w:r>
      <w:r>
        <w:rPr>
          <w:rStyle w:val="NormalTok"/>
        </w:rPr>
        <w:t xml:space="preserve"> search(</w:t>
      </w:r>
      <w:r>
        <w:rPr>
          <w:rStyle w:val="VariableTok"/>
        </w:rPr>
        <w:t xml:space="preserve">self</w:t>
      </w:r>
      <w:r>
        <w:rPr>
          <w:rStyle w:val="NormalTok"/>
        </w:rPr>
        <w:t xml:space="preserve">, query, boosts, k</w:t>
      </w:r>
      <w:r>
        <w:rPr>
          <w:rStyle w:val="OperatorTok"/>
        </w:rPr>
        <w:t xml:space="preserve">=</w:t>
      </w:r>
      <w:r>
        <w:rPr>
          <w:rStyle w:val="DecValTok"/>
        </w:rPr>
        <w:t xml:space="preserve">5</w:t>
      </w:r>
      <w:r>
        <w:rPr>
          <w:rStyle w:val="NormalTok"/>
        </w:rPr>
        <w:t xml:space="preserve">):</w:t>
      </w:r>
      <w:r>
        <w:br/>
      </w:r>
      <w:r>
        <w:rPr>
          <w:rStyle w:val="NormalTok"/>
        </w:rPr>
        <w:t xml:space="preserve">        terms </w:t>
      </w:r>
      <w:r>
        <w:rPr>
          <w:rStyle w:val="OperatorTok"/>
        </w:rPr>
        <w:t xml:space="preserve">=</w:t>
      </w:r>
      <w:r>
        <w:rPr>
          <w:rStyle w:val="NormalTok"/>
        </w:rPr>
        <w:t xml:space="preserve"> [t </w:t>
      </w:r>
      <w:r>
        <w:rPr>
          <w:rStyle w:val="ControlFlowTok"/>
        </w:rPr>
        <w:t xml:space="preserve">for</w:t>
      </w:r>
      <w:r>
        <w:rPr>
          <w:rStyle w:val="NormalTok"/>
        </w:rPr>
        <w:t xml:space="preserve"> t, _ </w:t>
      </w:r>
      <w:r>
        <w:rPr>
          <w:rStyle w:val="KeywordTok"/>
        </w:rPr>
        <w:t xml:space="preserve">in</w:t>
      </w:r>
      <w:r>
        <w:rPr>
          <w:rStyle w:val="NormalTok"/>
        </w:rPr>
        <w:t xml:space="preserve"> analyze(query)]</w:t>
      </w:r>
      <w:r>
        <w:br/>
      </w:r>
      <w:r>
        <w:rPr>
          <w:rStyle w:val="NormalTok"/>
        </w:rPr>
        <w:t xml:space="preserve">        scores </w:t>
      </w:r>
      <w:r>
        <w:rPr>
          <w:rStyle w:val="OperatorTok"/>
        </w:rPr>
        <w:t xml:space="preserve">=</w:t>
      </w:r>
      <w:r>
        <w:rPr>
          <w:rStyle w:val="NormalTok"/>
        </w:rPr>
        <w:t xml:space="preserve"> defaultdict(</w:t>
      </w:r>
      <w:r>
        <w:rPr>
          <w:rStyle w:val="BuiltInTok"/>
        </w:rPr>
        <w:t xml:space="preserve">float</w:t>
      </w:r>
      <w:r>
        <w:rPr>
          <w:rStyle w:val="NormalTok"/>
        </w:rPr>
        <w:t xml:space="preserve">)</w:t>
      </w:r>
      <w:r>
        <w:br/>
      </w:r>
      <w:r>
        <w:rPr>
          <w:rStyle w:val="NormalTok"/>
        </w:rPr>
        <w:t xml:space="preserve">        </w:t>
      </w:r>
      <w:r>
        <w:rPr>
          <w:rStyle w:val="ControlFlowTok"/>
        </w:rPr>
        <w:t xml:space="preserve">for</w:t>
      </w:r>
      <w:r>
        <w:rPr>
          <w:rStyle w:val="NormalTok"/>
        </w:rPr>
        <w:t xml:space="preserve"> f, boost </w:t>
      </w:r>
      <w:r>
        <w:rPr>
          <w:rStyle w:val="KeywordTok"/>
        </w:rPr>
        <w:t xml:space="preserve">in</w:t>
      </w:r>
      <w:r>
        <w:rPr>
          <w:rStyle w:val="NormalTok"/>
        </w:rPr>
        <w:t xml:space="preserve"> boosts.items():</w:t>
      </w:r>
      <w:r>
        <w:br/>
      </w:r>
      <w:r>
        <w:rPr>
          <w:rStyle w:val="NormalTok"/>
        </w:rPr>
        <w:t xml:space="preserve">            </w:t>
      </w:r>
      <w:r>
        <w:rPr>
          <w:rStyle w:val="ControlFlowTok"/>
        </w:rPr>
        <w:t xml:space="preserve">for</w:t>
      </w:r>
      <w:r>
        <w:rPr>
          <w:rStyle w:val="NormalTok"/>
        </w:rPr>
        <w:t xml:space="preserve"> term </w:t>
      </w:r>
      <w:r>
        <w:rPr>
          <w:rStyle w:val="KeywordTok"/>
        </w:rPr>
        <w:t xml:space="preserve">in</w:t>
      </w:r>
      <w:r>
        <w:rPr>
          <w:rStyle w:val="NormalTok"/>
        </w:rPr>
        <w:t xml:space="preserve"> terms:                       </w:t>
      </w:r>
      <w:r>
        <w:rPr>
          <w:rStyle w:val="CommentTok"/>
        </w:rPr>
        <w:t xml:space="preserve"># OR semantics: any matching term scores</w:t>
      </w:r>
      <w:r>
        <w:br/>
      </w:r>
      <w:r>
        <w:rPr>
          <w:rStyle w:val="NormalTok"/>
        </w:rPr>
        <w:t xml:space="preserve">                </w:t>
      </w:r>
      <w:r>
        <w:rPr>
          <w:rStyle w:val="ControlFlowTok"/>
        </w:rPr>
        <w:t xml:space="preserve">for</w:t>
      </w:r>
      <w:r>
        <w:rPr>
          <w:rStyle w:val="NormalTok"/>
        </w:rPr>
        <w:t xml:space="preserve"> doc_id </w:t>
      </w:r>
      <w:r>
        <w:rPr>
          <w:rStyle w:val="KeywordTok"/>
        </w:rPr>
        <w:t xml:space="preserve">in</w:t>
      </w:r>
      <w:r>
        <w:rPr>
          <w:rStyle w:val="NormalTok"/>
        </w:rPr>
        <w:t xml:space="preserve"> </w:t>
      </w:r>
      <w:r>
        <w:rPr>
          <w:rStyle w:val="VariableTok"/>
        </w:rPr>
        <w:t xml:space="preserve">self</w:t>
      </w:r>
      <w:r>
        <w:rPr>
          <w:rStyle w:val="NormalTok"/>
        </w:rPr>
        <w:t xml:space="preserve">.postings[f].get(term, {}):</w:t>
      </w:r>
      <w:r>
        <w:br/>
      </w:r>
      <w:r>
        <w:rPr>
          <w:rStyle w:val="NormalTok"/>
        </w:rPr>
        <w:t xml:space="preserve">                    scores[doc_id] </w:t>
      </w:r>
      <w:r>
        <w:rPr>
          <w:rStyle w:val="OperatorTok"/>
        </w:rPr>
        <w:t xml:space="preserve">+=</w:t>
      </w:r>
      <w:r>
        <w:rPr>
          <w:rStyle w:val="NormalTok"/>
        </w:rPr>
        <w:t xml:space="preserve"> boost </w:t>
      </w:r>
      <w:r>
        <w:rPr>
          <w:rStyle w:val="OperatorTok"/>
        </w:rPr>
        <w:t xml:space="preserve">*</w:t>
      </w:r>
      <w:r>
        <w:rPr>
          <w:rStyle w:val="NormalTok"/>
        </w:rPr>
        <w:t xml:space="preserve"> </w:t>
      </w:r>
      <w:r>
        <w:rPr>
          <w:rStyle w:val="VariableTok"/>
        </w:rPr>
        <w:t xml:space="preserve">self</w:t>
      </w:r>
      <w:r>
        <w:rPr>
          <w:rStyle w:val="NormalTok"/>
        </w:rPr>
        <w:t xml:space="preserve">.bm25_term(f, term, doc_id)</w:t>
      </w:r>
      <w:r>
        <w:br/>
      </w:r>
      <w:r>
        <w:rPr>
          <w:rStyle w:val="NormalTok"/>
        </w:rPr>
        <w:t xml:space="preserve">        </w:t>
      </w:r>
      <w:r>
        <w:rPr>
          <w:rStyle w:val="ControlFlowTok"/>
        </w:rPr>
        <w:t xml:space="preserve">return</w:t>
      </w:r>
      <w:r>
        <w:rPr>
          <w:rStyle w:val="NormalTok"/>
        </w:rPr>
        <w:t xml:space="preserve"> </w:t>
      </w:r>
      <w:r>
        <w:rPr>
          <w:rStyle w:val="BuiltInTok"/>
        </w:rPr>
        <w:t xml:space="preserve">sorted</w:t>
      </w:r>
      <w:r>
        <w:rPr>
          <w:rStyle w:val="NormalTok"/>
        </w:rPr>
        <w:t xml:space="preserve">(scores.items(), key</w:t>
      </w:r>
      <w:r>
        <w:rPr>
          <w:rStyle w:val="OperatorTok"/>
        </w:rPr>
        <w:t xml:space="preserve">=</w:t>
      </w:r>
      <w:r>
        <w:rPr>
          <w:rStyle w:val="KeywordTok"/>
        </w:rPr>
        <w:t xml:space="preserve">lambda</w:t>
      </w:r>
      <w:r>
        <w:rPr>
          <w:rStyle w:val="NormalTok"/>
        </w:rPr>
        <w:t xml:space="preserve"> kv: (</w:t>
      </w:r>
      <w:r>
        <w:rPr>
          <w:rStyle w:val="OperatorTok"/>
        </w:rPr>
        <w:t xml:space="preserve">-</w:t>
      </w:r>
      <w:r>
        <w:rPr>
          <w:rStyle w:val="NormalTok"/>
        </w:rPr>
        <w:t xml:space="preserve">kv[</w:t>
      </w:r>
      <w:r>
        <w:rPr>
          <w:rStyle w:val="DecValTok"/>
        </w:rPr>
        <w:t xml:space="preserve">1</w:t>
      </w:r>
      <w:r>
        <w:rPr>
          <w:rStyle w:val="NormalTok"/>
        </w:rPr>
        <w:t xml:space="preserve">], kv[</w:t>
      </w:r>
      <w:r>
        <w:rPr>
          <w:rStyle w:val="DecValTok"/>
        </w:rPr>
        <w:t xml:space="preserve">0</w:t>
      </w:r>
      <w:r>
        <w:rPr>
          <w:rStyle w:val="NormalTok"/>
        </w:rPr>
        <w:t xml:space="preserve">]))[:k]</w:t>
      </w:r>
      <w:r>
        <w:br/>
      </w:r>
      <w:r>
        <w:br/>
      </w:r>
      <w:r>
        <w:rPr>
          <w:rStyle w:val="NormalTok"/>
        </w:rPr>
        <w:t xml:space="preserve">    </w:t>
      </w:r>
      <w:r>
        <w:rPr>
          <w:rStyle w:val="KeywordTok"/>
        </w:rPr>
        <w:t xml:space="preserve">def</w:t>
      </w:r>
      <w:r>
        <w:rPr>
          <w:rStyle w:val="NormalTok"/>
        </w:rPr>
        <w:t xml:space="preserve"> phrase(</w:t>
      </w:r>
      <w:r>
        <w:rPr>
          <w:rStyle w:val="VariableTok"/>
        </w:rPr>
        <w:t xml:space="preserve">self</w:t>
      </w:r>
      <w:r>
        <w:rPr>
          <w:rStyle w:val="NormalTok"/>
        </w:rPr>
        <w:t xml:space="preserve">, f, phrase):</w:t>
      </w:r>
      <w:r>
        <w:br/>
      </w:r>
      <w:r>
        <w:rPr>
          <w:rStyle w:val="NormalTok"/>
        </w:rPr>
        <w:t xml:space="preserve">        </w:t>
      </w:r>
      <w:r>
        <w:rPr>
          <w:rStyle w:val="CommentTok"/>
        </w:rPr>
        <w:t xml:space="preserve">"""Docs where the analyzed terms appear at consecutive positions (stop-word gaps kept)."""</w:t>
      </w:r>
      <w:r>
        <w:br/>
      </w:r>
      <w:r>
        <w:rPr>
          <w:rStyle w:val="NormalTok"/>
        </w:rPr>
        <w:t xml:space="preserve">        toks </w:t>
      </w:r>
      <w:r>
        <w:rPr>
          <w:rStyle w:val="OperatorTok"/>
        </w:rPr>
        <w:t xml:space="preserve">=</w:t>
      </w:r>
      <w:r>
        <w:rPr>
          <w:rStyle w:val="NormalTok"/>
        </w:rPr>
        <w:t xml:space="preserve"> analyze(phrase)</w:t>
      </w:r>
      <w:r>
        <w:br/>
      </w:r>
      <w:r>
        <w:rPr>
          <w:rStyle w:val="NormalTok"/>
        </w:rPr>
        <w:t xml:space="preserve">        first, offsets </w:t>
      </w:r>
      <w:r>
        <w:rPr>
          <w:rStyle w:val="OperatorTok"/>
        </w:rPr>
        <w:t xml:space="preserve">=</w:t>
      </w:r>
      <w:r>
        <w:rPr>
          <w:rStyle w:val="NormalTok"/>
        </w:rPr>
        <w:t xml:space="preserve"> toks[</w:t>
      </w:r>
      <w:r>
        <w:rPr>
          <w:rStyle w:val="DecValTok"/>
        </w:rPr>
        <w:t xml:space="preserve">0</w:t>
      </w:r>
      <w:r>
        <w:rPr>
          <w:rStyle w:val="NormalTok"/>
        </w:rPr>
        <w:t xml:space="preserve">][</w:t>
      </w:r>
      <w:r>
        <w:rPr>
          <w:rStyle w:val="DecValTok"/>
        </w:rPr>
        <w:t xml:space="preserve">0</w:t>
      </w:r>
      <w:r>
        <w:rPr>
          <w:rStyle w:val="NormalTok"/>
        </w:rPr>
        <w:t xml:space="preserve">], [p </w:t>
      </w:r>
      <w:r>
        <w:rPr>
          <w:rStyle w:val="OperatorTok"/>
        </w:rPr>
        <w:t xml:space="preserve">-</w:t>
      </w:r>
      <w:r>
        <w:rPr>
          <w:rStyle w:val="NormalTok"/>
        </w:rPr>
        <w:t xml:space="preserve"> toks[</w:t>
      </w:r>
      <w:r>
        <w:rPr>
          <w:rStyle w:val="DecValTok"/>
        </w:rPr>
        <w:t xml:space="preserve">0</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_, p </w:t>
      </w:r>
      <w:r>
        <w:rPr>
          <w:rStyle w:val="KeywordTok"/>
        </w:rPr>
        <w:t xml:space="preserve">in</w:t>
      </w:r>
      <w:r>
        <w:rPr>
          <w:rStyle w:val="NormalTok"/>
        </w:rPr>
        <w:t xml:space="preserve"> toks]</w:t>
      </w:r>
      <w:r>
        <w:br/>
      </w:r>
      <w:r>
        <w:rPr>
          <w:rStyle w:val="NormalTok"/>
        </w:rPr>
        <w:t xml:space="preserve">        hits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doc_id, positions </w:t>
      </w:r>
      <w:r>
        <w:rPr>
          <w:rStyle w:val="KeywordTok"/>
        </w:rPr>
        <w:t xml:space="preserve">in</w:t>
      </w:r>
      <w:r>
        <w:rPr>
          <w:rStyle w:val="NormalTok"/>
        </w:rPr>
        <w:t xml:space="preserve"> </w:t>
      </w:r>
      <w:r>
        <w:rPr>
          <w:rStyle w:val="VariableTok"/>
        </w:rPr>
        <w:t xml:space="preserve">self</w:t>
      </w:r>
      <w:r>
        <w:rPr>
          <w:rStyle w:val="NormalTok"/>
        </w:rPr>
        <w:t xml:space="preserve">.postings[f].get(first, {}).items():</w:t>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positions:</w:t>
      </w:r>
      <w:r>
        <w:br/>
      </w:r>
      <w:r>
        <w:rPr>
          <w:rStyle w:val="NormalTok"/>
        </w:rPr>
        <w:t xml:space="preserve">                </w:t>
      </w:r>
      <w:r>
        <w:rPr>
          <w:rStyle w:val="ControlFlowTok"/>
        </w:rPr>
        <w:t xml:space="preserve">if</w:t>
      </w:r>
      <w:r>
        <w:rPr>
          <w:rStyle w:val="NormalTok"/>
        </w:rPr>
        <w:t xml:space="preserve"> </w:t>
      </w:r>
      <w:r>
        <w:rPr>
          <w:rStyle w:val="BuiltInTok"/>
        </w:rPr>
        <w:t xml:space="preserve">all</w:t>
      </w:r>
      <w:r>
        <w:rPr>
          <w:rStyle w:val="NormalTok"/>
        </w:rPr>
        <w:t xml:space="preserve">(p </w:t>
      </w:r>
      <w:r>
        <w:rPr>
          <w:rStyle w:val="OperatorTok"/>
        </w:rPr>
        <w:t xml:space="preserve">+</w:t>
      </w:r>
      <w:r>
        <w:rPr>
          <w:rStyle w:val="NormalTok"/>
        </w:rPr>
        <w:t xml:space="preserve"> off </w:t>
      </w:r>
      <w:r>
        <w:rPr>
          <w:rStyle w:val="KeywordTok"/>
        </w:rPr>
        <w:t xml:space="preserve">in</w:t>
      </w:r>
      <w:r>
        <w:rPr>
          <w:rStyle w:val="NormalTok"/>
        </w:rPr>
        <w:t xml:space="preserve"> </w:t>
      </w:r>
      <w:r>
        <w:rPr>
          <w:rStyle w:val="VariableTok"/>
        </w:rPr>
        <w:t xml:space="preserve">self</w:t>
      </w:r>
      <w:r>
        <w:rPr>
          <w:rStyle w:val="NormalTok"/>
        </w:rPr>
        <w:t xml:space="preserve">.postings[f].get(t, {}).get(doc_id, [])</w:t>
      </w:r>
      <w:r>
        <w:br/>
      </w:r>
      <w:r>
        <w:rPr>
          <w:rStyle w:val="NormalTok"/>
        </w:rPr>
        <w:t xml:space="preserve">                       </w:t>
      </w:r>
      <w:r>
        <w:rPr>
          <w:rStyle w:val="ControlFlowTok"/>
        </w:rPr>
        <w:t xml:space="preserve">for</w:t>
      </w:r>
      <w:r>
        <w:rPr>
          <w:rStyle w:val="NormalTok"/>
        </w:rPr>
        <w:t xml:space="preserve"> (t, _), off </w:t>
      </w:r>
      <w:r>
        <w:rPr>
          <w:rStyle w:val="KeywordTok"/>
        </w:rPr>
        <w:t xml:space="preserve">in</w:t>
      </w:r>
      <w:r>
        <w:rPr>
          <w:rStyle w:val="NormalTok"/>
        </w:rPr>
        <w:t xml:space="preserve"> </w:t>
      </w:r>
      <w:r>
        <w:rPr>
          <w:rStyle w:val="BuiltInTok"/>
        </w:rPr>
        <w:t xml:space="preserve">zip</w:t>
      </w:r>
      <w:r>
        <w:rPr>
          <w:rStyle w:val="NormalTok"/>
        </w:rPr>
        <w:t xml:space="preserve">(toks[</w:t>
      </w:r>
      <w:r>
        <w:rPr>
          <w:rStyle w:val="DecValTok"/>
        </w:rPr>
        <w:t xml:space="preserve">1</w:t>
      </w:r>
      <w:r>
        <w:rPr>
          <w:rStyle w:val="NormalTok"/>
        </w:rPr>
        <w:t xml:space="preserve">:], offsets[</w:t>
      </w:r>
      <w:r>
        <w:rPr>
          <w:rStyle w:val="DecValTok"/>
        </w:rPr>
        <w:t xml:space="preserve">1</w:t>
      </w:r>
      <w:r>
        <w:rPr>
          <w:rStyle w:val="NormalTok"/>
        </w:rPr>
        <w:t xml:space="preserve">:])):</w:t>
      </w:r>
      <w:r>
        <w:br/>
      </w:r>
      <w:r>
        <w:rPr>
          <w:rStyle w:val="NormalTok"/>
        </w:rPr>
        <w:t xml:space="preserve">                    hits.append(doc_id)</w:t>
      </w:r>
      <w:r>
        <w:br/>
      </w:r>
      <w:r>
        <w:rPr>
          <w:rStyle w:val="NormalTok"/>
        </w:rPr>
        <w:t xml:space="preserve">                    </w:t>
      </w:r>
      <w:r>
        <w:rPr>
          <w:rStyle w:val="ControlFlowTok"/>
        </w:rPr>
        <w:t xml:space="preserve">break</w:t>
      </w:r>
      <w:r>
        <w:br/>
      </w:r>
      <w:r>
        <w:rPr>
          <w:rStyle w:val="NormalTok"/>
        </w:rPr>
        <w:t xml:space="preserve">        </w:t>
      </w:r>
      <w:r>
        <w:rPr>
          <w:rStyle w:val="ControlFlowTok"/>
        </w:rPr>
        <w:t xml:space="preserve">return</w:t>
      </w:r>
      <w:r>
        <w:rPr>
          <w:rStyle w:val="NormalTok"/>
        </w:rPr>
        <w:t xml:space="preserve"> </w:t>
      </w:r>
      <w:r>
        <w:rPr>
          <w:rStyle w:val="BuiltInTok"/>
        </w:rPr>
        <w:t xml:space="preserve">sorted</w:t>
      </w:r>
      <w:r>
        <w:rPr>
          <w:rStyle w:val="NormalTok"/>
        </w:rPr>
        <w:t xml:space="preserve">(hits)</w:t>
      </w:r>
      <w:r>
        <w:br/>
      </w:r>
      <w:r>
        <w:br/>
      </w:r>
      <w:r>
        <w:rPr>
          <w:rStyle w:val="NormalTok"/>
        </w:rPr>
        <w:t xml:space="preserve">DOCS </w:t>
      </w:r>
      <w:r>
        <w:rPr>
          <w:rStyle w:val="OperatorTok"/>
        </w:rPr>
        <w:t xml:space="preserve">=</w:t>
      </w:r>
      <w:r>
        <w:rPr>
          <w:rStyle w:val="NormalTok"/>
        </w:rPr>
        <w:t xml:space="preserve"> {</w:t>
      </w:r>
      <w:r>
        <w:br/>
      </w:r>
      <w:r>
        <w:rPr>
          <w:rStyle w:val="NormalTok"/>
        </w:rPr>
        <w:t xml:space="preserve">    </w:t>
      </w:r>
      <w:r>
        <w:rPr>
          <w:rStyle w:val="DecValTok"/>
        </w:rPr>
        <w:t xml:space="preserve">1</w:t>
      </w:r>
      <w:r>
        <w:rPr>
          <w:rStyle w:val="NormalTok"/>
        </w:rPr>
        <w:t xml:space="preserve">: {</w:t>
      </w:r>
      <w:r>
        <w:rPr>
          <w:rStyle w:val="StringTok"/>
        </w:rPr>
        <w:t xml:space="preserve">"title"</w:t>
      </w:r>
      <w:r>
        <w:rPr>
          <w:rStyle w:val="NormalTok"/>
        </w:rPr>
        <w:t xml:space="preserve">: </w:t>
      </w:r>
      <w:r>
        <w:rPr>
          <w:rStyle w:val="StringTok"/>
        </w:rPr>
        <w:t xml:space="preserve">"Wireless noise cancelling headphones"</w:t>
      </w:r>
      <w:r>
        <w:rPr>
          <w:rStyle w:val="NormalTok"/>
        </w:rPr>
        <w:t xml:space="preserve">,</w:t>
      </w:r>
      <w:r>
        <w:br/>
      </w:r>
      <w:r>
        <w:rPr>
          <w:rStyle w:val="NormalTok"/>
        </w:rPr>
        <w:t xml:space="preserve">        </w:t>
      </w:r>
      <w:r>
        <w:rPr>
          <w:rStyle w:val="StringTok"/>
        </w:rPr>
        <w:t xml:space="preserve">"body"</w:t>
      </w:r>
      <w:r>
        <w:rPr>
          <w:rStyle w:val="NormalTok"/>
        </w:rPr>
        <w:t xml:space="preserve">: </w:t>
      </w:r>
      <w:r>
        <w:rPr>
          <w:rStyle w:val="StringTok"/>
        </w:rPr>
        <w:t xml:space="preserve">"Over-ear wireless headphones with active noise cancelling and a 30 hour battery."</w:t>
      </w:r>
      <w:r>
        <w:rPr>
          <w:rStyle w:val="NormalTok"/>
        </w:rPr>
        <w:t xml:space="preserve">},</w:t>
      </w:r>
      <w:r>
        <w:br/>
      </w:r>
      <w:r>
        <w:rPr>
          <w:rStyle w:val="NormalTok"/>
        </w:rPr>
        <w:t xml:space="preserve">    </w:t>
      </w:r>
      <w:r>
        <w:rPr>
          <w:rStyle w:val="DecValTok"/>
        </w:rPr>
        <w:t xml:space="preserve">2</w:t>
      </w:r>
      <w:r>
        <w:rPr>
          <w:rStyle w:val="NormalTok"/>
        </w:rPr>
        <w:t xml:space="preserve">: {</w:t>
      </w:r>
      <w:r>
        <w:rPr>
          <w:rStyle w:val="StringTok"/>
        </w:rPr>
        <w:t xml:space="preserve">"title"</w:t>
      </w:r>
      <w:r>
        <w:rPr>
          <w:rStyle w:val="NormalTok"/>
        </w:rPr>
        <w:t xml:space="preserve">: </w:t>
      </w:r>
      <w:r>
        <w:rPr>
          <w:rStyle w:val="StringTok"/>
        </w:rPr>
        <w:t xml:space="preserve">"Wired studio headphones"</w:t>
      </w:r>
      <w:r>
        <w:rPr>
          <w:rStyle w:val="NormalTok"/>
        </w:rPr>
        <w:t xml:space="preserve">,</w:t>
      </w:r>
      <w:r>
        <w:br/>
      </w:r>
      <w:r>
        <w:rPr>
          <w:rStyle w:val="NormalTok"/>
        </w:rPr>
        <w:t xml:space="preserve">        </w:t>
      </w:r>
      <w:r>
        <w:rPr>
          <w:rStyle w:val="StringTok"/>
        </w:rPr>
        <w:t xml:space="preserve">"body"</w:t>
      </w:r>
      <w:r>
        <w:rPr>
          <w:rStyle w:val="NormalTok"/>
        </w:rPr>
        <w:t xml:space="preserve">: </w:t>
      </w:r>
      <w:r>
        <w:rPr>
          <w:rStyle w:val="StringTok"/>
        </w:rPr>
        <w:t xml:space="preserve">"Closed-back wired headphones for mixing and mastering in the studio."</w:t>
      </w:r>
      <w:r>
        <w:rPr>
          <w:rStyle w:val="NormalTok"/>
        </w:rPr>
        <w:t xml:space="preserve">},</w:t>
      </w:r>
      <w:r>
        <w:br/>
      </w:r>
      <w:r>
        <w:rPr>
          <w:rStyle w:val="NormalTok"/>
        </w:rPr>
        <w:t xml:space="preserve">    </w:t>
      </w:r>
      <w:r>
        <w:rPr>
          <w:rStyle w:val="DecValTok"/>
        </w:rPr>
        <w:t xml:space="preserve">3</w:t>
      </w:r>
      <w:r>
        <w:rPr>
          <w:rStyle w:val="NormalTok"/>
        </w:rPr>
        <w:t xml:space="preserve">: {</w:t>
      </w:r>
      <w:r>
        <w:rPr>
          <w:rStyle w:val="StringTok"/>
        </w:rPr>
        <w:t xml:space="preserve">"title"</w:t>
      </w:r>
      <w:r>
        <w:rPr>
          <w:rStyle w:val="NormalTok"/>
        </w:rPr>
        <w:t xml:space="preserve">: </w:t>
      </w:r>
      <w:r>
        <w:rPr>
          <w:rStyle w:val="StringTok"/>
        </w:rPr>
        <w:t xml:space="preserve">"Portable Bluetooth speaker"</w:t>
      </w:r>
      <w:r>
        <w:rPr>
          <w:rStyle w:val="NormalTok"/>
        </w:rPr>
        <w:t xml:space="preserve">,</w:t>
      </w:r>
      <w:r>
        <w:br/>
      </w:r>
      <w:r>
        <w:rPr>
          <w:rStyle w:val="NormalTok"/>
        </w:rPr>
        <w:t xml:space="preserve">        </w:t>
      </w:r>
      <w:r>
        <w:rPr>
          <w:rStyle w:val="StringTok"/>
        </w:rPr>
        <w:t xml:space="preserve">"body"</w:t>
      </w:r>
      <w:r>
        <w:rPr>
          <w:rStyle w:val="NormalTok"/>
        </w:rPr>
        <w:t xml:space="preserve">: </w:t>
      </w:r>
      <w:r>
        <w:rPr>
          <w:rStyle w:val="StringTok"/>
        </w:rPr>
        <w:t xml:space="preserve">"Waterproof wireless speaker with deep bass. Pairs with phones and headphones."</w:t>
      </w:r>
      <w:r>
        <w:rPr>
          <w:rStyle w:val="NormalTok"/>
        </w:rPr>
        <w:t xml:space="preserve">},</w:t>
      </w:r>
      <w:r>
        <w:br/>
      </w:r>
      <w:r>
        <w:rPr>
          <w:rStyle w:val="NormalTok"/>
        </w:rPr>
        <w:t xml:space="preserve">    </w:t>
      </w:r>
      <w:r>
        <w:rPr>
          <w:rStyle w:val="DecValTok"/>
        </w:rPr>
        <w:t xml:space="preserve">4</w:t>
      </w:r>
      <w:r>
        <w:rPr>
          <w:rStyle w:val="NormalTok"/>
        </w:rPr>
        <w:t xml:space="preserve">: {</w:t>
      </w:r>
      <w:r>
        <w:rPr>
          <w:rStyle w:val="StringTok"/>
        </w:rPr>
        <w:t xml:space="preserve">"title"</w:t>
      </w:r>
      <w:r>
        <w:rPr>
          <w:rStyle w:val="NormalTok"/>
        </w:rPr>
        <w:t xml:space="preserve">: </w:t>
      </w:r>
      <w:r>
        <w:rPr>
          <w:rStyle w:val="StringTok"/>
        </w:rPr>
        <w:t xml:space="preserve">"Noise cancelling wireless earbuds"</w:t>
      </w:r>
      <w:r>
        <w:rPr>
          <w:rStyle w:val="NormalTok"/>
        </w:rPr>
        <w:t xml:space="preserve">,</w:t>
      </w:r>
      <w:r>
        <w:br/>
      </w:r>
      <w:r>
        <w:rPr>
          <w:rStyle w:val="NormalTok"/>
        </w:rPr>
        <w:t xml:space="preserve">        </w:t>
      </w:r>
      <w:r>
        <w:rPr>
          <w:rStyle w:val="StringTok"/>
        </w:rPr>
        <w:t xml:space="preserve">"body"</w:t>
      </w:r>
      <w:r>
        <w:rPr>
          <w:rStyle w:val="NormalTok"/>
        </w:rPr>
        <w:t xml:space="preserve">: </w:t>
      </w:r>
      <w:r>
        <w:rPr>
          <w:rStyle w:val="StringTok"/>
        </w:rPr>
        <w:t xml:space="preserve">"True wireless earbuds with noise cancelling and a charging case."</w:t>
      </w:r>
      <w:r>
        <w:rPr>
          <w:rStyle w:val="NormalTok"/>
        </w:rPr>
        <w:t xml:space="preserve">},</w:t>
      </w:r>
      <w:r>
        <w:br/>
      </w:r>
      <w:r>
        <w:rPr>
          <w:rStyle w:val="NormalTok"/>
        </w:rPr>
        <w:t xml:space="preserve">    </w:t>
      </w:r>
      <w:r>
        <w:rPr>
          <w:rStyle w:val="DecValTok"/>
        </w:rPr>
        <w:t xml:space="preserve">5</w:t>
      </w:r>
      <w:r>
        <w:rPr>
          <w:rStyle w:val="NormalTok"/>
        </w:rPr>
        <w:t xml:space="preserve">: {</w:t>
      </w:r>
      <w:r>
        <w:rPr>
          <w:rStyle w:val="StringTok"/>
        </w:rPr>
        <w:t xml:space="preserve">"title"</w:t>
      </w:r>
      <w:r>
        <w:rPr>
          <w:rStyle w:val="NormalTok"/>
        </w:rPr>
        <w:t xml:space="preserve">: </w:t>
      </w:r>
      <w:r>
        <w:rPr>
          <w:rStyle w:val="StringTok"/>
        </w:rPr>
        <w:t xml:space="preserve">"Headphone stand"</w:t>
      </w:r>
      <w:r>
        <w:rPr>
          <w:rStyle w:val="NormalTok"/>
        </w:rPr>
        <w:t xml:space="preserve">,</w:t>
      </w:r>
      <w:r>
        <w:br/>
      </w:r>
      <w:r>
        <w:rPr>
          <w:rStyle w:val="NormalTok"/>
        </w:rPr>
        <w:t xml:space="preserve">        </w:t>
      </w:r>
      <w:r>
        <w:rPr>
          <w:rStyle w:val="StringTok"/>
        </w:rPr>
        <w:t xml:space="preserve">"body"</w:t>
      </w:r>
      <w:r>
        <w:rPr>
          <w:rStyle w:val="NormalTok"/>
        </w:rPr>
        <w:t xml:space="preserve">: </w:t>
      </w:r>
      <w:r>
        <w:rPr>
          <w:rStyle w:val="StringTok"/>
        </w:rPr>
        <w:t xml:space="preserve">"Aluminum stand for headphones with a cable organizer."</w:t>
      </w:r>
      <w:r>
        <w:rPr>
          <w:rStyle w:val="NormalTok"/>
        </w:rPr>
        <w:t xml:space="preserve">},</w:t>
      </w:r>
      <w:r>
        <w:br/>
      </w:r>
      <w:r>
        <w:rPr>
          <w:rStyle w:val="NormalTok"/>
        </w:rPr>
        <w:t xml:space="preserve">    </w:t>
      </w:r>
      <w:r>
        <w:rPr>
          <w:rStyle w:val="DecValTok"/>
        </w:rPr>
        <w:t xml:space="preserve">6</w:t>
      </w:r>
      <w:r>
        <w:rPr>
          <w:rStyle w:val="NormalTok"/>
        </w:rPr>
        <w:t xml:space="preserve">: {</w:t>
      </w:r>
      <w:r>
        <w:rPr>
          <w:rStyle w:val="StringTok"/>
        </w:rPr>
        <w:t xml:space="preserve">"title"</w:t>
      </w:r>
      <w:r>
        <w:rPr>
          <w:rStyle w:val="NormalTok"/>
        </w:rPr>
        <w:t xml:space="preserve">: </w:t>
      </w:r>
      <w:r>
        <w:rPr>
          <w:rStyle w:val="StringTok"/>
        </w:rPr>
        <w:t xml:space="preserve">"Wireless charging pad"</w:t>
      </w:r>
      <w:r>
        <w:rPr>
          <w:rStyle w:val="NormalTok"/>
        </w:rPr>
        <w:t xml:space="preserve">,</w:t>
      </w:r>
      <w:r>
        <w:br/>
      </w:r>
      <w:r>
        <w:rPr>
          <w:rStyle w:val="NormalTok"/>
        </w:rPr>
        <w:t xml:space="preserve">        </w:t>
      </w:r>
      <w:r>
        <w:rPr>
          <w:rStyle w:val="StringTok"/>
        </w:rPr>
        <w:t xml:space="preserve">"body"</w:t>
      </w:r>
      <w:r>
        <w:rPr>
          <w:rStyle w:val="NormalTok"/>
        </w:rPr>
        <w:t xml:space="preserve">: </w:t>
      </w:r>
      <w:r>
        <w:rPr>
          <w:rStyle w:val="StringTok"/>
        </w:rPr>
        <w:t xml:space="preserve">"Fast wireless charger for phones and earbuds. Charging cable included."</w:t>
      </w:r>
      <w:r>
        <w:rPr>
          <w:rStyle w:val="NormalTok"/>
        </w:rPr>
        <w:t xml:space="preserve">},</w:t>
      </w:r>
      <w:r>
        <w:br/>
      </w:r>
      <w:r>
        <w:rPr>
          <w:rStyle w:val="NormalTok"/>
        </w:rPr>
        <w:t xml:space="preserve">    </w:t>
      </w:r>
      <w:r>
        <w:rPr>
          <w:rStyle w:val="DecValTok"/>
        </w:rPr>
        <w:t xml:space="preserve">7</w:t>
      </w:r>
      <w:r>
        <w:rPr>
          <w:rStyle w:val="NormalTok"/>
        </w:rPr>
        <w:t xml:space="preserve">: {</w:t>
      </w:r>
      <w:r>
        <w:rPr>
          <w:rStyle w:val="StringTok"/>
        </w:rPr>
        <w:t xml:space="preserve">"title"</w:t>
      </w:r>
      <w:r>
        <w:rPr>
          <w:rStyle w:val="NormalTok"/>
        </w:rPr>
        <w:t xml:space="preserve">: </w:t>
      </w:r>
      <w:r>
        <w:rPr>
          <w:rStyle w:val="StringTok"/>
        </w:rPr>
        <w:t xml:space="preserve">"Kids headphones"</w:t>
      </w:r>
      <w:r>
        <w:rPr>
          <w:rStyle w:val="NormalTok"/>
        </w:rPr>
        <w:t xml:space="preserve">,</w:t>
      </w:r>
      <w:r>
        <w:br/>
      </w:r>
      <w:r>
        <w:rPr>
          <w:rStyle w:val="NormalTok"/>
        </w:rPr>
        <w:t xml:space="preserve">        </w:t>
      </w:r>
      <w:r>
        <w:rPr>
          <w:rStyle w:val="StringTok"/>
        </w:rPr>
        <w:t xml:space="preserve">"body"</w:t>
      </w:r>
      <w:r>
        <w:rPr>
          <w:rStyle w:val="NormalTok"/>
        </w:rPr>
        <w:t xml:space="preserve">: </w:t>
      </w:r>
      <w:r>
        <w:rPr>
          <w:rStyle w:val="StringTok"/>
        </w:rPr>
        <w:t xml:space="preserve">"Volume-limited wired headphones for kids. Foldable, light, and less noise on long trips."</w:t>
      </w:r>
      <w:r>
        <w:rPr>
          <w:rStyle w:val="NormalTok"/>
        </w:rPr>
        <w:t xml:space="preserve">},</w:t>
      </w:r>
      <w:r>
        <w:br/>
      </w:r>
      <w:r>
        <w:rPr>
          <w:rStyle w:val="NormalTok"/>
        </w:rPr>
        <w:t xml:space="preserve">    </w:t>
      </w:r>
      <w:r>
        <w:rPr>
          <w:rStyle w:val="DecValTok"/>
        </w:rPr>
        <w:t xml:space="preserve">8</w:t>
      </w:r>
      <w:r>
        <w:rPr>
          <w:rStyle w:val="NormalTok"/>
        </w:rPr>
        <w:t xml:space="preserve">: {</w:t>
      </w:r>
      <w:r>
        <w:rPr>
          <w:rStyle w:val="StringTok"/>
        </w:rPr>
        <w:t xml:space="preserve">"title"</w:t>
      </w:r>
      <w:r>
        <w:rPr>
          <w:rStyle w:val="NormalTok"/>
        </w:rPr>
        <w:t xml:space="preserve">: </w:t>
      </w:r>
      <w:r>
        <w:rPr>
          <w:rStyle w:val="StringTok"/>
        </w:rPr>
        <w:t xml:space="preserve">"Travel case for headphones and earbuds"</w:t>
      </w:r>
      <w:r>
        <w:rPr>
          <w:rStyle w:val="NormalTok"/>
        </w:rPr>
        <w:t xml:space="preserve">,</w:t>
      </w:r>
      <w:r>
        <w:br/>
      </w:r>
      <w:r>
        <w:rPr>
          <w:rStyle w:val="NormalTok"/>
        </w:rPr>
        <w:t xml:space="preserve">        </w:t>
      </w:r>
      <w:r>
        <w:rPr>
          <w:rStyle w:val="StringTok"/>
        </w:rPr>
        <w:t xml:space="preserve">"body"</w:t>
      </w:r>
      <w:r>
        <w:rPr>
          <w:rStyle w:val="NormalTok"/>
        </w:rPr>
        <w:t xml:space="preserve">: </w:t>
      </w:r>
      <w:r>
        <w:rPr>
          <w:rStyle w:val="StringTok"/>
        </w:rPr>
        <w:t xml:space="preserve">"Hard shell case that protects headphones, earbuds, cables and chargers on trips."</w:t>
      </w:r>
      <w:r>
        <w:rPr>
          <w:rStyle w:val="NormalTok"/>
        </w:rPr>
        <w:t xml:space="preserve">},</w:t>
      </w:r>
      <w:r>
        <w:br/>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idx </w:t>
      </w:r>
      <w:r>
        <w:rPr>
          <w:rStyle w:val="OperatorTok"/>
        </w:rPr>
        <w:t xml:space="preserve">=</w:t>
      </w:r>
      <w:r>
        <w:rPr>
          <w:rStyle w:val="NormalTok"/>
        </w:rPr>
        <w:t xml:space="preserve"> InvertedIndex([</w:t>
      </w:r>
      <w:r>
        <w:rPr>
          <w:rStyle w:val="StringTok"/>
        </w:rPr>
        <w:t xml:space="preserve">"title"</w:t>
      </w:r>
      <w:r>
        <w:rPr>
          <w:rStyle w:val="NormalTok"/>
        </w:rPr>
        <w:t xml:space="preserve">, </w:t>
      </w:r>
      <w:r>
        <w:rPr>
          <w:rStyle w:val="StringTok"/>
        </w:rPr>
        <w:t xml:space="preserve">"body"</w:t>
      </w:r>
      <w:r>
        <w:rPr>
          <w:rStyle w:val="NormalTok"/>
        </w:rPr>
        <w:t xml:space="preserve">])</w:t>
      </w:r>
      <w:r>
        <w:br/>
      </w:r>
      <w:r>
        <w:rPr>
          <w:rStyle w:val="NormalTok"/>
        </w:rPr>
        <w:t xml:space="preserve">    </w:t>
      </w:r>
      <w:r>
        <w:rPr>
          <w:rStyle w:val="ControlFlowTok"/>
        </w:rPr>
        <w:t xml:space="preserve">for</w:t>
      </w:r>
      <w:r>
        <w:rPr>
          <w:rStyle w:val="NormalTok"/>
        </w:rPr>
        <w:t xml:space="preserve"> doc_id, doc </w:t>
      </w:r>
      <w:r>
        <w:rPr>
          <w:rStyle w:val="KeywordTok"/>
        </w:rPr>
        <w:t xml:space="preserve">in</w:t>
      </w:r>
      <w:r>
        <w:rPr>
          <w:rStyle w:val="NormalTok"/>
        </w:rPr>
        <w:t xml:space="preserve"> DOCS.items():</w:t>
      </w:r>
      <w:r>
        <w:br/>
      </w:r>
      <w:r>
        <w:rPr>
          <w:rStyle w:val="NormalTok"/>
        </w:rPr>
        <w:t xml:space="preserve">        idx.add(doc_id, doc)</w:t>
      </w:r>
      <w:r>
        <w:br/>
      </w:r>
      <w:r>
        <w:br/>
      </w:r>
      <w:r>
        <w:rPr>
          <w:rStyle w:val="NormalTok"/>
        </w:rPr>
        <w:t xml:space="preserve">    </w:t>
      </w:r>
      <w:r>
        <w:rPr>
          <w:rStyle w:val="BuiltInTok"/>
        </w:rPr>
        <w:t xml:space="preserve">print</w:t>
      </w:r>
      <w:r>
        <w:rPr>
          <w:rStyle w:val="NormalTok"/>
        </w:rPr>
        <w:t xml:space="preserve">(</w:t>
      </w:r>
      <w:r>
        <w:rPr>
          <w:rStyle w:val="StringTok"/>
        </w:rPr>
        <w:t xml:space="preserve">"analyze('Noise-Cancelling Headphones'):"</w:t>
      </w:r>
      <w:r>
        <w:rPr>
          <w:rStyle w:val="NormalTok"/>
        </w:rPr>
        <w:t xml:space="preserve">, analyze(</w:t>
      </w:r>
      <w:r>
        <w:rPr>
          <w:rStyle w:val="StringTok"/>
        </w:rPr>
        <w:t xml:space="preserve">"Noise-Cancelling Headphones"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"postings[body]['noise']:"</w:t>
      </w:r>
      <w:r>
        <w:rPr>
          <w:rStyle w:val="NormalTok"/>
        </w:rPr>
        <w:t xml:space="preserve">, </w:t>
      </w:r>
      <w:r>
        <w:rPr>
          <w:rStyle w:val="BuiltInTok"/>
        </w:rPr>
        <w:t xml:space="preserve">dict</w:t>
      </w:r>
      <w:r>
        <w:rPr>
          <w:rStyle w:val="NormalTok"/>
        </w:rPr>
        <w:t xml:space="preserve">(idx.postings[</w:t>
      </w:r>
      <w:r>
        <w:rPr>
          <w:rStyle w:val="StringTok"/>
        </w:rPr>
        <w:t xml:space="preserve">"body"</w:t>
      </w:r>
      <w:r>
        <w:rPr>
          <w:rStyle w:val="NormalTok"/>
        </w:rPr>
        <w:t xml:space="preserve">][</w:t>
      </w:r>
      <w:r>
        <w:rPr>
          <w:rStyle w:val="StringTok"/>
        </w:rPr>
        <w:t xml:space="preserve">"noise"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f"N=</w:t>
      </w:r>
      <w:r>
        <w:rPr>
          <w:rStyle w:val="SpecialCharTok"/>
        </w:rPr>
        <w:t xml:space="preserve">{</w:t>
      </w:r>
      <w:r>
        <w:rPr>
          <w:rStyle w:val="NormalTok"/>
        </w:rPr>
        <w:t xml:space="preserve">idx</w:t>
      </w:r>
      <w:r>
        <w:rPr>
          <w:rStyle w:val="SpecialCharTok"/>
        </w:rPr>
        <w:t xml:space="preserve">.</w:t>
      </w:r>
      <w:r>
        <w:rPr>
          <w:rStyle w:val="NormalTok"/>
        </w:rPr>
        <w:t xml:space="preserve">n_docs</w:t>
      </w:r>
      <w:r>
        <w:rPr>
          <w:rStyle w:val="SpecialCharTok"/>
        </w:rPr>
        <w:t xml:space="preserve">}</w:t>
      </w:r>
      <w:r>
        <w:rPr>
          <w:rStyle w:val="SpecialStringTok"/>
        </w:rPr>
        <w:t xml:space="preserve">  avgdl(title)=</w:t>
      </w:r>
      <w:r>
        <w:rPr>
          <w:rStyle w:val="SpecialCharTok"/>
        </w:rPr>
        <w:t xml:space="preserve">{</w:t>
      </w:r>
      <w:r>
        <w:rPr>
          <w:rStyle w:val="NormalTok"/>
        </w:rPr>
        <w:t xml:space="preserve">idx</w:t>
      </w:r>
      <w:r>
        <w:rPr>
          <w:rStyle w:val="SpecialCharTok"/>
        </w:rPr>
        <w:t xml:space="preserve">.</w:t>
      </w:r>
      <w:r>
        <w:rPr>
          <w:rStyle w:val="NormalTok"/>
        </w:rPr>
        <w:t xml:space="preserve">avgdl(</w:t>
      </w:r>
      <w:r>
        <w:rPr>
          <w:rStyle w:val="StringTok"/>
        </w:rPr>
        <w:t xml:space="preserve">'title'</w:t>
      </w:r>
      <w:r>
        <w:rPr>
          <w:rStyle w:val="NormalTok"/>
        </w:rPr>
        <w:t xml:space="preserve">)</w:t>
      </w:r>
      <w:r>
        <w:rPr>
          <w:rStyle w:val="SpecialCharTok"/>
        </w:rPr>
        <w:t xml:space="preserve">:.3f}</w:t>
      </w:r>
      <w:r>
        <w:rPr>
          <w:rStyle w:val="SpecialStringTok"/>
        </w:rPr>
        <w:t xml:space="preserve">  avgdl(body)=</w:t>
      </w:r>
      <w:r>
        <w:rPr>
          <w:rStyle w:val="SpecialCharTok"/>
        </w:rPr>
        <w:t xml:space="preserve">{</w:t>
      </w:r>
      <w:r>
        <w:rPr>
          <w:rStyle w:val="NormalTok"/>
        </w:rPr>
        <w:t xml:space="preserve">idx</w:t>
      </w:r>
      <w:r>
        <w:rPr>
          <w:rStyle w:val="SpecialCharTok"/>
        </w:rPr>
        <w:t xml:space="preserve">.</w:t>
      </w:r>
      <w:r>
        <w:rPr>
          <w:rStyle w:val="NormalTok"/>
        </w:rPr>
        <w:t xml:space="preserve">avgdl(</w:t>
      </w:r>
      <w:r>
        <w:rPr>
          <w:rStyle w:val="StringTok"/>
        </w:rPr>
        <w:t xml:space="preserve">'body'</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NormalTok"/>
        </w:rPr>
        <w:t xml:space="preserve">    q </w:t>
      </w:r>
      <w:r>
        <w:rPr>
          <w:rStyle w:val="OperatorTok"/>
        </w:rPr>
        <w:t xml:space="preserve">=</w:t>
      </w:r>
      <w:r>
        <w:rPr>
          <w:rStyle w:val="NormalTok"/>
        </w:rPr>
        <w:t xml:space="preserve"> </w:t>
      </w:r>
      <w:r>
        <w:rPr>
          <w:rStyle w:val="StringTok"/>
        </w:rPr>
        <w:t xml:space="preserve">"wireless noise cancelling headphones"</w:t>
      </w:r>
      <w:r>
        <w:br/>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w:t>
      </w:r>
      <w:r>
        <w:rPr>
          <w:rStyle w:val="StringTok"/>
        </w:rPr>
        <w:t xml:space="preserve">"title"</w:t>
      </w:r>
      <w:r>
        <w:rPr>
          <w:rStyle w:val="NormalTok"/>
        </w:rPr>
        <w:t xml:space="preserve">, </w:t>
      </w:r>
      <w:r>
        <w:rPr>
          <w:rStyle w:val="StringTok"/>
        </w:rPr>
        <w:t xml:space="preserve">"body"</w:t>
      </w:r>
      <w:r>
        <w:rPr>
          <w:rStyle w:val="NormalTok"/>
        </w:rPr>
        <w:t xml:space="preserve">):</w:t>
      </w:r>
      <w:r>
        <w:br/>
      </w:r>
      <w:r>
        <w:rPr>
          <w:rStyle w:val="NormalTok"/>
        </w:rPr>
        <w:t xml:space="preserve">        row </w:t>
      </w:r>
      <w:r>
        <w:rPr>
          <w:rStyle w:val="OperatorTok"/>
        </w:rPr>
        <w:t xml:space="preserve">=</w:t>
      </w:r>
      <w:r>
        <w:rPr>
          <w:rStyle w:val="NormalTok"/>
        </w:rPr>
        <w:t xml:space="preserve"> {t: (</w:t>
      </w:r>
      <w:r>
        <w:rPr>
          <w:rStyle w:val="BuiltInTok"/>
        </w:rPr>
        <w:t xml:space="preserve">len</w:t>
      </w:r>
      <w:r>
        <w:rPr>
          <w:rStyle w:val="NormalTok"/>
        </w:rPr>
        <w:t xml:space="preserve">(idx.postings[f].get(t, {})), </w:t>
      </w:r>
      <w:r>
        <w:rPr>
          <w:rStyle w:val="BuiltInTok"/>
        </w:rPr>
        <w:t xml:space="preserve">round</w:t>
      </w:r>
      <w:r>
        <w:rPr>
          <w:rStyle w:val="NormalTok"/>
        </w:rPr>
        <w:t xml:space="preserve">(idx.idf(f, t), </w:t>
      </w:r>
      <w:r>
        <w:rPr>
          <w:rStyle w:val="DecValTok"/>
        </w:rPr>
        <w:t xml:space="preserve">4</w:t>
      </w:r>
      <w:r>
        <w:rPr>
          <w:rStyle w:val="NormalTok"/>
        </w:rPr>
        <w:t xml:space="preserve">)) </w:t>
      </w:r>
      <w:r>
        <w:rPr>
          <w:rStyle w:val="ControlFlowTok"/>
        </w:rPr>
        <w:t xml:space="preserve">for</w:t>
      </w:r>
      <w:r>
        <w:rPr>
          <w:rStyle w:val="NormalTok"/>
        </w:rPr>
        <w:t xml:space="preserve"> t, _ </w:t>
      </w:r>
      <w:r>
        <w:rPr>
          <w:rStyle w:val="KeywordTok"/>
        </w:rPr>
        <w:t xml:space="preserve">in</w:t>
      </w:r>
      <w:r>
        <w:rPr>
          <w:rStyle w:val="NormalTok"/>
        </w:rPr>
        <w:t xml:space="preserve"> analyze(q)}</w:t>
      </w:r>
      <w:r>
        <w:br/>
      </w:r>
      <w:r>
        <w:rPr>
          <w:rStyle w:val="NormalTok"/>
        </w:rPr>
        <w:t xml:space="preserve">        </w:t>
      </w:r>
      <w:r>
        <w:rPr>
          <w:rStyle w:val="BuiltInTok"/>
        </w:rPr>
        <w:t xml:space="preserve">print</w:t>
      </w:r>
      <w:r>
        <w:rPr>
          <w:rStyle w:val="NormalTok"/>
        </w:rPr>
        <w:t xml:space="preserve">(</w:t>
      </w:r>
      <w:r>
        <w:rPr>
          <w:rStyle w:val="SpecialStringTok"/>
        </w:rPr>
        <w:t xml:space="preserve">f"df, idf in </w:t>
      </w:r>
      <w:r>
        <w:rPr>
          <w:rStyle w:val="SpecialCharTok"/>
        </w:rPr>
        <w:t xml:space="preserve">{</w:t>
      </w:r>
      <w:r>
        <w:rPr>
          <w:rStyle w:val="NormalTok"/>
        </w:rPr>
        <w:t xml:space="preserve">f</w:t>
      </w:r>
      <w:r>
        <w:rPr>
          <w:rStyle w:val="SpecialCharTok"/>
        </w:rPr>
        <w:t xml:space="preserve">}</w:t>
      </w:r>
      <w:r>
        <w:rPr>
          <w:rStyle w:val="SpecialStringTok"/>
        </w:rPr>
        <w:t xml:space="preserve">:"</w:t>
      </w:r>
      <w:r>
        <w:rPr>
          <w:rStyle w:val="NormalTok"/>
        </w:rPr>
        <w:t xml:space="preserve">, row)</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BM25, body only:"</w:t>
      </w:r>
      <w:r>
        <w:rPr>
          <w:rStyle w:val="NormalTok"/>
        </w:rPr>
        <w:t xml:space="preserve">)</w:t>
      </w:r>
      <w:r>
        <w:br/>
      </w:r>
      <w:r>
        <w:rPr>
          <w:rStyle w:val="NormalTok"/>
        </w:rPr>
        <w:t xml:space="preserve">    </w:t>
      </w:r>
      <w:r>
        <w:rPr>
          <w:rStyle w:val="ControlFlowTok"/>
        </w:rPr>
        <w:t xml:space="preserve">for</w:t>
      </w:r>
      <w:r>
        <w:rPr>
          <w:rStyle w:val="NormalTok"/>
        </w:rPr>
        <w:t xml:space="preserve"> d, s </w:t>
      </w:r>
      <w:r>
        <w:rPr>
          <w:rStyle w:val="KeywordTok"/>
        </w:rPr>
        <w:t xml:space="preserve">in</w:t>
      </w:r>
      <w:r>
        <w:rPr>
          <w:rStyle w:val="NormalTok"/>
        </w:rPr>
        <w:t xml:space="preserve"> idx.search(q, {</w:t>
      </w:r>
      <w:r>
        <w:rPr>
          <w:rStyle w:val="StringTok"/>
        </w:rPr>
        <w:t xml:space="preserve">"body"</w:t>
      </w:r>
      <w:r>
        <w:rPr>
          <w:rStyle w:val="NormalTok"/>
        </w:rPr>
        <w:t xml:space="preserve">: </w:t>
      </w:r>
      <w:r>
        <w:rPr>
          <w:rStyle w:val="FloatTok"/>
        </w:rPr>
        <w:t xml:space="preserve">1.0</w:t>
      </w:r>
      <w:r>
        <w:rPr>
          <w:rStyle w:val="NormalTok"/>
        </w:rPr>
        <w:t xml:space="preserve">}, k</w:t>
      </w:r>
      <w:r>
        <w:rPr>
          <w:rStyle w:val="OperatorTok"/>
        </w:rPr>
        <w:t xml:space="preserve">=</w:t>
      </w:r>
      <w:r>
        <w:rPr>
          <w:rStyle w:val="DecValTok"/>
        </w:rPr>
        <w:t xml:space="preserve">8</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doc </w:t>
      </w:r>
      <w:r>
        <w:rPr>
          <w:rStyle w:val="SpecialCharTok"/>
        </w:rPr>
        <w:t xml:space="preserve">{</w:t>
      </w:r>
      <w:r>
        <w:rPr>
          <w:rStyle w:val="NormalTok"/>
        </w:rPr>
        <w:t xml:space="preserve">d</w:t>
      </w:r>
      <w:r>
        <w:rPr>
          <w:rStyle w:val="SpecialCharTok"/>
        </w:rPr>
        <w:t xml:space="preserve">}</w:t>
      </w:r>
      <w:r>
        <w:rPr>
          <w:rStyle w:val="SpecialStringTok"/>
        </w:rPr>
        <w:t xml:space="preserve">: </w:t>
      </w:r>
      <w:r>
        <w:rPr>
          <w:rStyle w:val="SpecialCharTok"/>
        </w:rPr>
        <w:t xml:space="preserve">{</w:t>
      </w:r>
      <w:r>
        <w:rPr>
          <w:rStyle w:val="NormalTok"/>
        </w:rPr>
        <w:t xml:space="preserve">s</w:t>
      </w:r>
      <w:r>
        <w:rPr>
          <w:rStyle w:val="SpecialCharTok"/>
        </w:rPr>
        <w:t xml:space="preserve">:.4f}</w:t>
      </w:r>
      <w:r>
        <w:rPr>
          <w:rStyle w:val="SpecialStringTok"/>
        </w:rPr>
        <w:t xml:space="preserve">  (</w:t>
      </w:r>
      <w:r>
        <w:rPr>
          <w:rStyle w:val="SpecialCharTok"/>
        </w:rPr>
        <w:t xml:space="preserve">{</w:t>
      </w:r>
      <w:r>
        <w:rPr>
          <w:rStyle w:val="NormalTok"/>
        </w:rPr>
        <w:t xml:space="preserve">DOCS[d][</w:t>
      </w:r>
      <w:r>
        <w:rPr>
          <w:rStyle w:val="StringTok"/>
        </w:rPr>
        <w:t xml:space="preserve">'title'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BM25, title^2 + body:"</w:t>
      </w:r>
      <w:r>
        <w:rPr>
          <w:rStyle w:val="NormalTok"/>
        </w:rPr>
        <w:t xml:space="preserve">)</w:t>
      </w:r>
      <w:r>
        <w:br/>
      </w:r>
      <w:r>
        <w:rPr>
          <w:rStyle w:val="NormalTok"/>
        </w:rPr>
        <w:t xml:space="preserve">    </w:t>
      </w:r>
      <w:r>
        <w:rPr>
          <w:rStyle w:val="ControlFlowTok"/>
        </w:rPr>
        <w:t xml:space="preserve">for</w:t>
      </w:r>
      <w:r>
        <w:rPr>
          <w:rStyle w:val="NormalTok"/>
        </w:rPr>
        <w:t xml:space="preserve"> d, s </w:t>
      </w:r>
      <w:r>
        <w:rPr>
          <w:rStyle w:val="KeywordTok"/>
        </w:rPr>
        <w:t xml:space="preserve">in</w:t>
      </w:r>
      <w:r>
        <w:rPr>
          <w:rStyle w:val="NormalTok"/>
        </w:rPr>
        <w:t xml:space="preserve"> idx.search(q, {</w:t>
      </w:r>
      <w:r>
        <w:rPr>
          <w:rStyle w:val="StringTok"/>
        </w:rPr>
        <w:t xml:space="preserve">"title"</w:t>
      </w:r>
      <w:r>
        <w:rPr>
          <w:rStyle w:val="NormalTok"/>
        </w:rPr>
        <w:t xml:space="preserve">: </w:t>
      </w:r>
      <w:r>
        <w:rPr>
          <w:rStyle w:val="FloatTok"/>
        </w:rPr>
        <w:t xml:space="preserve">2.0</w:t>
      </w:r>
      <w:r>
        <w:rPr>
          <w:rStyle w:val="NormalTok"/>
        </w:rPr>
        <w:t xml:space="preserve">, </w:t>
      </w:r>
      <w:r>
        <w:rPr>
          <w:rStyle w:val="StringTok"/>
        </w:rPr>
        <w:t xml:space="preserve">"body"</w:t>
      </w:r>
      <w:r>
        <w:rPr>
          <w:rStyle w:val="NormalTok"/>
        </w:rPr>
        <w:t xml:space="preserve">: </w:t>
      </w:r>
      <w:r>
        <w:rPr>
          <w:rStyle w:val="FloatTok"/>
        </w:rPr>
        <w:t xml:space="preserve">1.0</w:t>
      </w:r>
      <w:r>
        <w:rPr>
          <w:rStyle w:val="NormalTok"/>
        </w:rPr>
        <w:t xml:space="preserve">}, k</w:t>
      </w:r>
      <w:r>
        <w:rPr>
          <w:rStyle w:val="OperatorTok"/>
        </w:rPr>
        <w:t xml:space="preserve">=</w:t>
      </w:r>
      <w:r>
        <w:rPr>
          <w:rStyle w:val="DecValTok"/>
        </w:rPr>
        <w:t xml:space="preserve">8</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doc </w:t>
      </w:r>
      <w:r>
        <w:rPr>
          <w:rStyle w:val="SpecialCharTok"/>
        </w:rPr>
        <w:t xml:space="preserve">{</w:t>
      </w:r>
      <w:r>
        <w:rPr>
          <w:rStyle w:val="NormalTok"/>
        </w:rPr>
        <w:t xml:space="preserve">d</w:t>
      </w:r>
      <w:r>
        <w:rPr>
          <w:rStyle w:val="SpecialCharTok"/>
        </w:rPr>
        <w:t xml:space="preserve">}</w:t>
      </w:r>
      <w:r>
        <w:rPr>
          <w:rStyle w:val="SpecialStringTok"/>
        </w:rPr>
        <w:t xml:space="preserve">: </w:t>
      </w:r>
      <w:r>
        <w:rPr>
          <w:rStyle w:val="SpecialCharTok"/>
        </w:rPr>
        <w:t xml:space="preserve">{</w:t>
      </w:r>
      <w:r>
        <w:rPr>
          <w:rStyle w:val="NormalTok"/>
        </w:rPr>
        <w:t xml:space="preserve">s</w:t>
      </w:r>
      <w:r>
        <w:rPr>
          <w:rStyle w:val="SpecialCharTok"/>
        </w:rPr>
        <w:t xml:space="preserve">:.4f}</w:t>
      </w:r>
      <w:r>
        <w:rPr>
          <w:rStyle w:val="SpecialStringTok"/>
        </w:rPr>
        <w:t xml:space="preserve">  (</w:t>
      </w:r>
      <w:r>
        <w:rPr>
          <w:rStyle w:val="SpecialCharTok"/>
        </w:rPr>
        <w:t xml:space="preserve">{</w:t>
      </w:r>
      <w:r>
        <w:rPr>
          <w:rStyle w:val="NormalTok"/>
        </w:rPr>
        <w:t xml:space="preserve">DOCS[d][</w:t>
      </w:r>
      <w:r>
        <w:rPr>
          <w:rStyle w:val="StringTok"/>
        </w:rPr>
        <w:t xml:space="preserve">'title'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term 'noise' in body of doc 7:"</w:t>
      </w:r>
      <w:r>
        <w:rPr>
          <w:rStyle w:val="NormalTok"/>
        </w:rPr>
        <w:t xml:space="preserve">, </w:t>
      </w:r>
      <w:r>
        <w:rPr>
          <w:rStyle w:val="BuiltInTok"/>
        </w:rPr>
        <w:t xml:space="preserve">round</w:t>
      </w:r>
      <w:r>
        <w:rPr>
          <w:rStyle w:val="NormalTok"/>
        </w:rPr>
        <w:t xml:space="preserve">(idx.bm25_term(</w:t>
      </w:r>
      <w:r>
        <w:rPr>
          <w:rStyle w:val="StringTok"/>
        </w:rPr>
        <w:t xml:space="preserve">"body"</w:t>
      </w:r>
      <w:r>
        <w:rPr>
          <w:rStyle w:val="NormalTok"/>
        </w:rPr>
        <w:t xml:space="preserve">, </w:t>
      </w:r>
      <w:r>
        <w:rPr>
          <w:rStyle w:val="StringTok"/>
        </w:rPr>
        <w:t xml:space="preserve">"noise"</w:t>
      </w:r>
      <w:r>
        <w:rPr>
          <w:rStyle w:val="NormalTok"/>
        </w:rPr>
        <w:t xml:space="preserve">, </w:t>
      </w:r>
      <w:r>
        <w:rPr>
          <w:rStyle w:val="DecValTok"/>
        </w:rPr>
        <w:t xml:space="preserve">7</w:t>
      </w:r>
      <w:r>
        <w:rPr>
          <w:rStyle w:val="NormalTok"/>
        </w:rPr>
        <w:t xml:space="preserve">), </w:t>
      </w:r>
      <w:r>
        <w:rPr>
          <w:rStyle w:val="DecValTok"/>
        </w:rPr>
        <w:t xml:space="preserve">4</w:t>
      </w:r>
      <w:r>
        <w:rPr>
          <w:rStyle w:val="NormalTok"/>
        </w:rPr>
        <w:t xml:space="preserve">),</w:t>
      </w:r>
      <w:r>
        <w:br/>
      </w:r>
      <w:r>
        <w:rPr>
          <w:rStyle w:val="NormalTok"/>
        </w:rPr>
        <w:t xml:space="preserve">          </w:t>
      </w:r>
      <w:r>
        <w:rPr>
          <w:rStyle w:val="StringTok"/>
        </w:rPr>
        <w:t xml:space="preserve">" len ="</w:t>
      </w:r>
      <w:r>
        <w:rPr>
          <w:rStyle w:val="NormalTok"/>
        </w:rPr>
        <w:t xml:space="preserve">, idx.doc_len[</w:t>
      </w:r>
      <w:r>
        <w:rPr>
          <w:rStyle w:val="StringTok"/>
        </w:rPr>
        <w:t xml:space="preserve">"body"</w:t>
      </w:r>
      <w:r>
        <w:rPr>
          <w:rStyle w:val="NormalTok"/>
        </w:rPr>
        <w:t xml:space="preserve">][</w:t>
      </w:r>
      <w:r>
        <w:rPr>
          <w:rStyle w:val="DecValTok"/>
        </w:rPr>
        <w:t xml:space="preserve">7</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"term 'noise' in body of doc 4:"</w:t>
      </w:r>
      <w:r>
        <w:rPr>
          <w:rStyle w:val="NormalTok"/>
        </w:rPr>
        <w:t xml:space="preserve">, </w:t>
      </w:r>
      <w:r>
        <w:rPr>
          <w:rStyle w:val="BuiltInTok"/>
        </w:rPr>
        <w:t xml:space="preserve">round</w:t>
      </w:r>
      <w:r>
        <w:rPr>
          <w:rStyle w:val="NormalTok"/>
        </w:rPr>
        <w:t xml:space="preserve">(idx.bm25_term(</w:t>
      </w:r>
      <w:r>
        <w:rPr>
          <w:rStyle w:val="StringTok"/>
        </w:rPr>
        <w:t xml:space="preserve">"body"</w:t>
      </w:r>
      <w:r>
        <w:rPr>
          <w:rStyle w:val="NormalTok"/>
        </w:rPr>
        <w:t xml:space="preserve">, </w:t>
      </w:r>
      <w:r>
        <w:rPr>
          <w:rStyle w:val="StringTok"/>
        </w:rPr>
        <w:t xml:space="preserve">"noise"</w:t>
      </w:r>
      <w:r>
        <w:rPr>
          <w:rStyle w:val="NormalTok"/>
        </w:rPr>
        <w:t xml:space="preserve">, </w:t>
      </w:r>
      <w:r>
        <w:rPr>
          <w:rStyle w:val="DecValTok"/>
        </w:rPr>
        <w:t xml:space="preserve">4</w:t>
      </w:r>
      <w:r>
        <w:rPr>
          <w:rStyle w:val="NormalTok"/>
        </w:rPr>
        <w:t xml:space="preserve">), </w:t>
      </w:r>
      <w:r>
        <w:rPr>
          <w:rStyle w:val="DecValTok"/>
        </w:rPr>
        <w:t xml:space="preserve">4</w:t>
      </w:r>
      <w:r>
        <w:rPr>
          <w:rStyle w:val="NormalTok"/>
        </w:rPr>
        <w:t xml:space="preserve">),</w:t>
      </w:r>
      <w:r>
        <w:br/>
      </w:r>
      <w:r>
        <w:rPr>
          <w:rStyle w:val="NormalTok"/>
        </w:rPr>
        <w:t xml:space="preserve">          </w:t>
      </w:r>
      <w:r>
        <w:rPr>
          <w:rStyle w:val="StringTok"/>
        </w:rPr>
        <w:t xml:space="preserve">" len ="</w:t>
      </w:r>
      <w:r>
        <w:rPr>
          <w:rStyle w:val="NormalTok"/>
        </w:rPr>
        <w:t xml:space="preserve">, idx.doc_len[</w:t>
      </w:r>
      <w:r>
        <w:rPr>
          <w:rStyle w:val="StringTok"/>
        </w:rPr>
        <w:t xml:space="preserve">"body"</w:t>
      </w:r>
      <w:r>
        <w:rPr>
          <w:rStyle w:val="NormalTok"/>
        </w:rPr>
        <w:t xml:space="preserve">][</w:t>
      </w:r>
      <w:r>
        <w:rPr>
          <w:rStyle w:val="DecValTok"/>
        </w:rPr>
        <w:t xml:space="preserve">4</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"phrase 'noise cancelling' in body:"</w:t>
      </w:r>
      <w:r>
        <w:rPr>
          <w:rStyle w:val="NormalTok"/>
        </w:rPr>
        <w:t xml:space="preserve">, idx.phrase(</w:t>
      </w:r>
      <w:r>
        <w:rPr>
          <w:rStyle w:val="StringTok"/>
        </w:rPr>
        <w:t xml:space="preserve">"body"</w:t>
      </w:r>
      <w:r>
        <w:rPr>
          <w:rStyle w:val="NormalTok"/>
        </w:rPr>
        <w:t xml:space="preserve">, </w:t>
      </w:r>
      <w:r>
        <w:rPr>
          <w:rStyle w:val="StringTok"/>
        </w:rPr>
        <w:t xml:space="preserve">"noise cancelling"</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"phrase 'cancelling noise' in body:"</w:t>
      </w:r>
      <w:r>
        <w:rPr>
          <w:rStyle w:val="NormalTok"/>
        </w:rPr>
        <w:t xml:space="preserve">, idx.phrase(</w:t>
      </w:r>
      <w:r>
        <w:rPr>
          <w:rStyle w:val="StringTok"/>
        </w:rPr>
        <w:t xml:space="preserve">"body"</w:t>
      </w:r>
      <w:r>
        <w:rPr>
          <w:rStyle w:val="NormalTok"/>
        </w:rPr>
        <w:t xml:space="preserve">, </w:t>
      </w:r>
      <w:r>
        <w:rPr>
          <w:rStyle w:val="StringTok"/>
        </w:rPr>
        <w:t xml:space="preserve">"cancelling noise"</w:t>
      </w:r>
      <w:r>
        <w:rPr>
          <w:rStyle w:val="NormalTok"/>
        </w:rPr>
        <w:t xml:space="preserve">))</w:t>
      </w:r>
    </w:p>
    <w:p>
      <w:pPr>
        <w:pStyle w:val="FirstParagraph"/>
      </w:pPr>
      <w:r>
        <w:t xml:space="preserve">Output:</w:t>
      </w:r>
    </w:p>
    <w:p>
      <w:pPr>
        <w:pStyle w:val="SourceCode"/>
      </w:pPr>
      <w:r>
        <w:rPr>
          <w:rStyle w:val="VerbatimChar"/>
        </w:rPr>
        <w:t xml:space="preserve">analyze('Noise-Cancelling Headphones'): [('noise', 0), ('cancelling', 1), ('headphone', 2)]</w:t>
      </w:r>
      <w:r>
        <w:br/>
      </w:r>
      <w:r>
        <w:rPr>
          <w:rStyle w:val="VerbatimChar"/>
        </w:rPr>
        <w:t xml:space="preserve">postings[body]['noise']: {1: [6], 4: [4], 7: [10]}</w:t>
      </w:r>
      <w:r>
        <w:br/>
      </w:r>
      <w:r>
        <w:rPr>
          <w:rStyle w:val="VerbatimChar"/>
        </w:rPr>
        <w:t xml:space="preserve">N=8  avgdl(title)=3.125  avgdl(body)=8.500</w:t>
      </w:r>
      <w:r>
        <w:br/>
      </w:r>
      <w:r>
        <w:rPr>
          <w:rStyle w:val="VerbatimChar"/>
        </w:rPr>
        <w:t xml:space="preserve">df, idf in title: {'wireless': (3, 0.9445), 'noise': (2, 1.2809), 'cancelling': (2, 1.2809), 'headphone': (5, 0.4925)}</w:t>
      </w:r>
      <w:r>
        <w:br/>
      </w:r>
      <w:r>
        <w:rPr>
          <w:rStyle w:val="VerbatimChar"/>
        </w:rPr>
        <w:t xml:space="preserve">df, idf in body: {'wireless': (4, 0.6931), 'noise': (3, 0.9445), 'cancelling': (2, 1.2809), 'headphone': (6, 0.3254)}</w:t>
      </w:r>
      <w:r>
        <w:br/>
      </w:r>
      <w:r>
        <w:br/>
      </w:r>
      <w:r>
        <w:rPr>
          <w:rStyle w:val="VerbatimChar"/>
        </w:rPr>
        <w:t xml:space="preserve">BM25, body only:</w:t>
      </w:r>
      <w:r>
        <w:br/>
      </w:r>
      <w:r>
        <w:rPr>
          <w:rStyle w:val="VerbatimChar"/>
        </w:rPr>
        <w:t xml:space="preserve">  doc 4: 3.1456  (Noise cancelling wireless earbuds)</w:t>
      </w:r>
      <w:r>
        <w:br/>
      </w:r>
      <w:r>
        <w:rPr>
          <w:rStyle w:val="VerbatimChar"/>
        </w:rPr>
        <w:t xml:space="preserve">  doc 1: 3.0255  (Wireless noise cancelling headphones)</w:t>
      </w:r>
      <w:r>
        <w:br/>
      </w:r>
      <w:r>
        <w:rPr>
          <w:rStyle w:val="VerbatimChar"/>
        </w:rPr>
        <w:t xml:space="preserve">  doc 7: 1.0868  (Kids headphones)</w:t>
      </w:r>
      <w:r>
        <w:br/>
      </w:r>
      <w:r>
        <w:rPr>
          <w:rStyle w:val="VerbatimChar"/>
        </w:rPr>
        <w:t xml:space="preserve">  doc 3: 1.0437  (Portable Bluetooth speaker)</w:t>
      </w:r>
      <w:r>
        <w:br/>
      </w:r>
      <w:r>
        <w:rPr>
          <w:rStyle w:val="VerbatimChar"/>
        </w:rPr>
        <w:t xml:space="preserve">  doc 6: 0.7102  (Wireless charging pad)</w:t>
      </w:r>
      <w:r>
        <w:br/>
      </w:r>
      <w:r>
        <w:rPr>
          <w:rStyle w:val="VerbatimChar"/>
        </w:rPr>
        <w:t xml:space="preserve">  doc 5: 0.3913  (Headphone stand)</w:t>
      </w:r>
      <w:r>
        <w:br/>
      </w:r>
      <w:r>
        <w:rPr>
          <w:rStyle w:val="VerbatimChar"/>
        </w:rPr>
        <w:t xml:space="preserve">  doc 2: 0.3507  (Wired studio headphones)</w:t>
      </w:r>
      <w:r>
        <w:br/>
      </w:r>
      <w:r>
        <w:rPr>
          <w:rStyle w:val="VerbatimChar"/>
        </w:rPr>
        <w:t xml:space="preserve">  doc 8: 0.2905  (Travel case for headphones and earbuds)</w:t>
      </w:r>
      <w:r>
        <w:br/>
      </w:r>
      <w:r>
        <w:br/>
      </w:r>
      <w:r>
        <w:rPr>
          <w:rStyle w:val="VerbatimChar"/>
        </w:rPr>
        <w:t xml:space="preserve">BM25, title^2 + body:</w:t>
      </w:r>
      <w:r>
        <w:br/>
      </w:r>
      <w:r>
        <w:rPr>
          <w:rStyle w:val="VerbatimChar"/>
        </w:rPr>
        <w:t xml:space="preserve">  doc 1: 10.2012  (Wireless noise cancelling headphones)</w:t>
      </w:r>
      <w:r>
        <w:br/>
      </w:r>
      <w:r>
        <w:rPr>
          <w:rStyle w:val="VerbatimChar"/>
        </w:rPr>
        <w:t xml:space="preserve">  doc 4: 9.4376  (Noise cancelling wireless earbuds)</w:t>
      </w:r>
      <w:r>
        <w:br/>
      </w:r>
      <w:r>
        <w:rPr>
          <w:rStyle w:val="VerbatimChar"/>
        </w:rPr>
        <w:t xml:space="preserve">  doc 6: 2.6306  (Wireless charging pad)</w:t>
      </w:r>
      <w:r>
        <w:br/>
      </w:r>
      <w:r>
        <w:rPr>
          <w:rStyle w:val="VerbatimChar"/>
        </w:rPr>
        <w:t xml:space="preserve">  doc 7: 2.2419  (Kids headphones)</w:t>
      </w:r>
      <w:r>
        <w:br/>
      </w:r>
      <w:r>
        <w:rPr>
          <w:rStyle w:val="VerbatimChar"/>
        </w:rPr>
        <w:t xml:space="preserve">  doc 5: 1.5464  (Headphone stand)</w:t>
      </w:r>
      <w:r>
        <w:br/>
      </w:r>
      <w:r>
        <w:rPr>
          <w:rStyle w:val="VerbatimChar"/>
        </w:rPr>
        <w:t xml:space="preserve">  doc 2: 1.3521  (Wired studio headphones)</w:t>
      </w:r>
      <w:r>
        <w:br/>
      </w:r>
      <w:r>
        <w:rPr>
          <w:rStyle w:val="VerbatimChar"/>
        </w:rPr>
        <w:t xml:space="preserve">  doc 8: 1.1742  (Travel case for headphones and earbuds)</w:t>
      </w:r>
      <w:r>
        <w:br/>
      </w:r>
      <w:r>
        <w:rPr>
          <w:rStyle w:val="VerbatimChar"/>
        </w:rPr>
        <w:t xml:space="preserve">  doc 3: 1.0437  (Portable Bluetooth speaker)</w:t>
      </w:r>
      <w:r>
        <w:br/>
      </w:r>
      <w:r>
        <w:br/>
      </w:r>
      <w:r>
        <w:rPr>
          <w:rStyle w:val="VerbatimChar"/>
        </w:rPr>
        <w:t xml:space="preserve">term 'noise' in body of doc 7: 0.8083  len = 12</w:t>
      </w:r>
      <w:r>
        <w:br/>
      </w:r>
      <w:r>
        <w:rPr>
          <w:rStyle w:val="VerbatimChar"/>
        </w:rPr>
        <w:t xml:space="preserve">term 'noise' in body of doc 4: 1.0179  len = 7</w:t>
      </w:r>
      <w:r>
        <w:br/>
      </w:r>
      <w:r>
        <w:rPr>
          <w:rStyle w:val="VerbatimChar"/>
        </w:rPr>
        <w:t xml:space="preserve">phrase 'noise cancelling' in body: [1, 4]</w:t>
      </w:r>
      <w:r>
        <w:br/>
      </w:r>
      <w:r>
        <w:rPr>
          <w:rStyle w:val="VerbatimChar"/>
        </w:rPr>
        <w:t xml:space="preserve">phrase 'cancelling noise' in body: []</w:t>
      </w:r>
    </w:p>
    <w:p>
      <w:pPr>
        <w:pStyle w:val="FirstParagraph"/>
      </w:pPr>
      <w:r>
        <w:t xml:space="preserve">What to notice:</w:t>
      </w:r>
    </w:p>
    <w:p>
      <w:pPr>
        <w:numPr>
          <w:ilvl w:val="0"/>
          <w:numId w:val="1540"/>
        </w:numPr>
        <w:pStyle w:val="Compact"/>
      </w:pPr>
      <w:r>
        <w:rPr>
          <w:bCs/>
          <w:b/>
        </w:rPr>
        <w:t xml:space="preserve">Body-only BM25 ranks the earbuds above the headphones</w:t>
      </w:r>
      <w:r>
        <w:t xml:space="preserve"> </w:t>
      </w:r>
      <w:r>
        <w:t xml:space="preserve">that exactly match the query. Document 4’s description is shorter (7 terms versus 10), and</w:t>
      </w:r>
      <w:r>
        <w:t xml:space="preserve"> </w:t>
      </w:r>
      <w:r>
        <w:rPr>
          <w:iCs/>
          <w:i/>
        </w:rPr>
        <w:t xml:space="preserve">headphone</w:t>
      </w:r>
      <w:r>
        <w:t xml:space="preserve"> </w:t>
      </w:r>
      <w:r>
        <w:t xml:space="preserve">is so common (in 6 of 8 bodies, IDF 0.33) that matching it barely helps. Lexical scoring has no idea that headphones are what the shopper wants.</w:t>
      </w:r>
    </w:p>
    <w:p>
      <w:pPr>
        <w:numPr>
          <w:ilvl w:val="0"/>
          <w:numId w:val="1540"/>
        </w:numPr>
        <w:pStyle w:val="Compact"/>
      </w:pPr>
      <w:r>
        <w:rPr>
          <w:bCs/>
          <w:b/>
        </w:rPr>
        <w:t xml:space="preserve">Boosting the title field 2×</w:t>
      </w:r>
      <w:r>
        <w:t xml:space="preserve"> </w:t>
      </w:r>
      <w:r>
        <w:t xml:space="preserve">fixes the order: the title</w:t>
      </w:r>
      <w:r>
        <w:t xml:space="preserve"> </w:t>
      </w:r>
      <w:r>
        <w:t xml:space="preserve">“</w:t>
      </w:r>
      <w:r>
        <w:t xml:space="preserve">Wireless noise cancelling headphones</w:t>
      </w:r>
      <w:r>
        <w:t xml:space="preserve">”</w:t>
      </w:r>
      <w:r>
        <w:t xml:space="preserve"> </w:t>
      </w:r>
      <w:r>
        <w:t xml:space="preserve">matches all four terms, adding</w:t>
      </w:r>
      <w:r>
        <w:t xml:space="preserve"> </w:t>
      </w:r>
      <m:oMath>
        <m:r>
          <m:t>2</m:t>
        </m:r>
        <m:r>
          <m:rPr>
            <m:sty m:val="p"/>
          </m:rPr>
          <m:t>×</m:t>
        </m:r>
        <m:r>
          <m:t>3.588</m:t>
        </m:r>
        <m:r>
          <m:rPr>
            <m:sty m:val="p"/>
          </m:rPr>
          <m:t>=</m:t>
        </m:r>
        <m:r>
          <m:t>7.18</m:t>
        </m:r>
      </m:oMath>
      <w:r>
        <w:t xml:space="preserve"> </w:t>
      </w:r>
      <w:r>
        <w:t xml:space="preserve">to document 1. Field structure is one of the strongest relevance signals available.</w:t>
      </w:r>
    </w:p>
    <w:p>
      <w:pPr>
        <w:numPr>
          <w:ilvl w:val="0"/>
          <w:numId w:val="1540"/>
        </w:numPr>
        <w:pStyle w:val="Compact"/>
      </w:pPr>
      <w:r>
        <w:t xml:space="preserve">The stop word</w:t>
      </w:r>
      <w:r>
        <w:t xml:space="preserve"> </w:t>
      </w:r>
      <w:r>
        <w:t xml:space="preserve">“</w:t>
      </w:r>
      <w:r>
        <w:t xml:space="preserve">with</w:t>
      </w:r>
      <w:r>
        <w:t xml:space="preserve">”</w:t>
      </w:r>
      <w:r>
        <w:t xml:space="preserve"> </w:t>
      </w:r>
      <w:r>
        <w:t xml:space="preserve">was removed, but positions were kept, so</w:t>
      </w:r>
      <w:r>
        <w:t xml:space="preserve"> </w:t>
      </w:r>
      <w:r>
        <w:rPr>
          <w:iCs/>
          <w:i/>
        </w:rPr>
        <w:t xml:space="preserve">noise</w:t>
      </w:r>
      <w:r>
        <w:t xml:space="preserve"> </w:t>
      </w:r>
      <w:r>
        <w:t xml:space="preserve">in document 4 is at position 4, not 3; phrase queries stay correct, and word order matters (</w:t>
      </w:r>
      <w:r>
        <w:t xml:space="preserve">“</w:t>
      </w:r>
      <w:r>
        <w:t xml:space="preserve">cancelling noise</w:t>
      </w:r>
      <w:r>
        <w:t xml:space="preserve">”</w:t>
      </w:r>
      <w:r>
        <w:t xml:space="preserve"> </w:t>
      </w:r>
      <w:r>
        <w:t xml:space="preserve">matches nothing).</w:t>
      </w:r>
    </w:p>
    <w:p>
      <w:pPr>
        <w:numPr>
          <w:ilvl w:val="0"/>
          <w:numId w:val="1540"/>
        </w:numPr>
        <w:pStyle w:val="Compact"/>
      </w:pPr>
      <w:r>
        <w:t xml:space="preserve">A real engine never scores every matching document this way; see §16.5.6.</w:t>
      </w:r>
    </w:p>
    <w:bookmarkEnd w:id="1827"/>
    <w:bookmarkStart w:id="1828" w:name="field-boosting-and-beyond"/>
    <w:p>
      <w:pPr>
        <w:pStyle w:val="Heading3"/>
      </w:pPr>
      <w:r>
        <w:t xml:space="preserve">16.5.5 Field boosting and beyond</w:t>
      </w:r>
    </w:p>
    <w:p>
      <w:pPr>
        <w:pStyle w:val="FirstParagraph"/>
      </w:pPr>
      <w:r>
        <w:t xml:space="preserve">Field boosting weights each field’s score, as in Elasticsearch’s</w:t>
      </w:r>
      <w:r>
        <w:t xml:space="preserve"> </w:t>
      </w:r>
      <w:r>
        <w:rPr>
          <w:rStyle w:val="VerbatimChar"/>
        </w:rPr>
        <w:t xml:space="preserve">multi_match</w:t>
      </w:r>
      <w:r>
        <w:t xml:space="preserve"> </w:t>
      </w:r>
      <w:r>
        <w:t xml:space="preserve">with</w:t>
      </w:r>
      <w:r>
        <w:t xml:space="preserve"> </w:t>
      </w:r>
      <w:r>
        <w:rPr>
          <w:rStyle w:val="VerbatimChar"/>
        </w:rPr>
        <w:t xml:space="preserve">"fields": ["title^2", "body"]</w:t>
      </w:r>
      <w:r>
        <w:t xml:space="preserve">. Summing per-field scores double-counts a term that appears in both fields, each saturating separately;</w:t>
      </w:r>
      <w:r>
        <w:t xml:space="preserve"> </w:t>
      </w:r>
      <w:r>
        <w:rPr>
          <w:bCs/>
          <w:b/>
        </w:rPr>
        <w:t xml:space="preserve">BM25F</w:t>
      </w:r>
      <w:r>
        <w:t xml:space="preserve"> </w:t>
      </w:r>
      <w:r>
        <w:t xml:space="preserve">combines weighted term frequencies across fields</w:t>
      </w:r>
      <w:r>
        <w:t xml:space="preserve"> </w:t>
      </w:r>
      <w:r>
        <w:rPr>
          <w:iCs/>
          <w:i/>
        </w:rPr>
        <w:t xml:space="preserve">before</w:t>
      </w:r>
      <w:r>
        <w:t xml:space="preserve"> </w:t>
      </w:r>
      <w:r>
        <w:t xml:space="preserve">saturation [Robertson et al. 2004], as Elasticsearch’s</w:t>
      </w:r>
      <w:r>
        <w:t xml:space="preserve"> </w:t>
      </w:r>
      <w:r>
        <w:rPr>
          <w:rStyle w:val="VerbatimChar"/>
        </w:rPr>
        <w:t xml:space="preserve">combined_fields</w:t>
      </w:r>
      <w:r>
        <w:t xml:space="preserve"> </w:t>
      </w:r>
      <w:r>
        <w:t xml:space="preserve">query does. Text relevance is rarely the whole ranking:</w:t>
      </w:r>
      <w:r>
        <w:t xml:space="preserve"> </w:t>
      </w:r>
      <w:r>
        <w:rPr>
          <w:bCs/>
          <w:b/>
        </w:rPr>
        <w:t xml:space="preserve">function scoring</w:t>
      </w:r>
      <w:r>
        <w:t xml:space="preserve"> </w:t>
      </w:r>
      <w:r>
        <w:t xml:space="preserve">adds signals such as</w:t>
      </w:r>
      <w:r>
        <w:t xml:space="preserve"> </w:t>
      </w:r>
      <m:oMath>
        <m:r>
          <m:rPr>
            <m:sty m:val="p"/>
          </m:rPr>
          <m:t>log</m:t>
        </m:r>
        <m:d>
          <m:dPr>
            <m:begChr m:val="("/>
            <m:endChr m:val=")"/>
            <m:sepChr m:val=""/>
            <m:grow/>
          </m:dPr>
          <m:e>
            <m:r>
              <m:t>1</m:t>
            </m:r>
            <m:r>
              <m:rPr>
                <m:sty m:val="p"/>
              </m:rPr>
              <m:t>+</m:t>
            </m:r>
            <m:r>
              <m:rPr>
                <m:nor/>
                <m:sty m:val="p"/>
              </m:rPr>
              <m:t>sales</m:t>
            </m:r>
          </m:e>
        </m:d>
      </m:oMath>
      <w:r>
        <w:t xml:space="preserve">, and</w:t>
      </w:r>
      <w:r>
        <w:t xml:space="preserve"> </w:t>
      </w:r>
      <w:r>
        <w:rPr>
          <w:bCs/>
          <w:b/>
        </w:rPr>
        <w:t xml:space="preserve">learning to rank</w:t>
      </w:r>
      <w:r>
        <w:t xml:space="preserve"> </w:t>
      </w:r>
      <w:r>
        <w:t xml:space="preserve">reorders a few hundred BM25 candidates with a trained model (Chapter 81).</w:t>
      </w:r>
    </w:p>
    <w:bookmarkEnd w:id="1828"/>
    <w:bookmarkStart w:id="1835" w:name="retrieving-the-top-k-efficiently"/>
    <w:p>
      <w:pPr>
        <w:pStyle w:val="Heading3"/>
      </w:pPr>
      <w:r>
        <w:t xml:space="preserve">16.5.6 Retrieving the top</w:t>
      </w:r>
      <w:r>
        <w:t xml:space="preserve"> </w:t>
      </w:r>
      <w:r>
        <w:rPr>
          <w:iCs/>
          <w:i/>
        </w:rPr>
        <w:t xml:space="preserve">k</w:t>
      </w:r>
      <w:r>
        <w:t xml:space="preserve"> </w:t>
      </w:r>
      <w:r>
        <w:t xml:space="preserve">efficiently</w:t>
      </w:r>
    </w:p>
    <w:p>
      <w:pPr>
        <w:pStyle w:val="FirstParagraph"/>
      </w:pPr>
      <w:r>
        <w:t xml:space="preserve">Scoring every document that matches any query term is wasteful: an OR query containing</w:t>
      </w:r>
      <w:r>
        <w:t xml:space="preserve"> </w:t>
      </w:r>
      <w:r>
        <w:rPr>
          <w:iCs/>
          <w:i/>
        </w:rPr>
        <w:t xml:space="preserve">headphone</w:t>
      </w:r>
      <w:r>
        <w:t xml:space="preserve"> </w:t>
      </w:r>
      <w:r>
        <w:t xml:space="preserve">may match millions of documents, but the user sees ten. Because each term’s contribution is bounded by</w:t>
      </w:r>
      <w:r>
        <w:t xml:space="preserve"> </w:t>
      </w:r>
      <m:oMath>
        <m:d>
          <m:dPr>
            <m:begChr m:val="("/>
            <m:endChr m:val=")"/>
            <m:sepChr m:val=""/>
            <m:grow/>
          </m:dPr>
          <m:e>
            <m:sSub>
              <m:e>
                <m:r>
                  <m:t>k</m:t>
                </m:r>
              </m:e>
              <m:sub>
                <m:r>
                  <m:t>1</m:t>
                </m:r>
              </m:sub>
            </m:sSub>
            <m:r>
              <m:rPr>
                <m:sty m:val="p"/>
              </m:rPr>
              <m:t>+</m:t>
            </m:r>
            <m:r>
              <m:t>1</m:t>
            </m:r>
          </m:e>
        </m:d>
        <m:r>
          <m:rPr>
            <m:sty m:val="p"/>
          </m:rPr>
          <m:t>⋅</m:t>
        </m:r>
        <m:r>
          <m:rPr>
            <m:nor/>
            <m:sty m:val="p"/>
          </m:rPr>
          <m:t>IDF</m:t>
        </m:r>
        <m:d>
          <m:dPr>
            <m:begChr m:val="("/>
            <m:endChr m:val=")"/>
            <m:sepChr m:val=""/>
            <m:grow/>
          </m:dPr>
          <m:e>
            <m:r>
              <m:t>t</m:t>
            </m:r>
          </m:e>
        </m:d>
      </m:oMath>
      <w:r>
        <w:t xml:space="preserve">, an engine can compute an upper bound on any document’s score and skip documents that cannot beat the current</w:t>
      </w:r>
      <w:r>
        <w:t xml:space="preserve"> </w:t>
      </w:r>
      <m:oMath>
        <m:r>
          <m:t>k</m:t>
        </m:r>
      </m:oMath>
      <w:r>
        <w:t xml:space="preserve">-th best score.</w:t>
      </w:r>
      <w:r>
        <w:t xml:space="preserve"> </w:t>
      </w:r>
      <w:r>
        <w:rPr>
          <w:bCs/>
          <w:b/>
        </w:rPr>
        <w:t xml:space="preserve">WAND</w:t>
      </w:r>
      <w:r>
        <w:t xml:space="preserve"> </w:t>
      </w:r>
      <w:r>
        <w:t xml:space="preserve">and its refinement</w:t>
      </w:r>
      <w:r>
        <w:t xml:space="preserve"> </w:t>
      </w:r>
      <w:r>
        <w:rPr>
          <w:bCs/>
          <w:b/>
        </w:rPr>
        <w:t xml:space="preserve">Block-Max WAND</w:t>
      </w:r>
      <w:r>
        <w:t xml:space="preserve"> </w:t>
      </w:r>
      <w:r>
        <w:t xml:space="preserve">store the maximum score per postings block and skip whole blocks [Ding and Suel 2011]. Lucene 8 added block-max WAND, and Elasticsearch 7 accordingly stopped counting total hits exactly by default (</w:t>
      </w:r>
      <w:r>
        <w:rPr>
          <w:rStyle w:val="VerbatimChar"/>
        </w:rPr>
        <w:t xml:space="preserve">track_total_hits</w:t>
      </w:r>
      <w:r>
        <w:t xml:space="preserve"> </w:t>
      </w:r>
      <w:r>
        <w:t xml:space="preserve">defaults to 10,000), since an exact count would force every match to be visited [Elastic Docs: track_total_hits].</w:t>
      </w:r>
    </w:p>
    <w:p>
      <w:pPr>
        <w:pStyle w:val="BodyText"/>
      </w:pPr>
      <w:r>
        <w:rPr>
          <w:bCs/>
          <w:b/>
        </w:rPr>
        <w:t xml:space="preserve">Figure 16.4 — Ranked query pipeline inside one shard.</w:t>
      </w:r>
    </w:p>
    <w:p>
      <w:pPr>
        <w:pStyle w:val="BodyText"/>
      </w:pPr>
      <w:r>
        <w:drawing>
          <wp:inline>
            <wp:extent cx="5334000" cy="662925"/>
            <wp:effectExtent b="0" l="0" r="0" t="0"/>
            <wp:docPr descr="" title="" id="1830" name="Picture"/>
            <a:graphic>
              <a:graphicData uri="http://schemas.openxmlformats.org/drawingml/2006/picture">
                <pic:pic>
                  <pic:nvPicPr>
                    <pic:cNvPr descr="/home/user/System-Design/build/.cache/diagrams/436e6c047e2f.png" id="1831" name="Picture"/>
                    <pic:cNvPicPr>
                      <a:picLocks noChangeArrowheads="1" noChangeAspect="1"/>
                    </pic:cNvPicPr>
                  </pic:nvPicPr>
                  <pic:blipFill>
                    <a:blip r:embed="rId1829"/>
                    <a:stretch>
                      <a:fillRect/>
                    </a:stretch>
                  </pic:blipFill>
                  <pic:spPr bwMode="auto">
                    <a:xfrm>
                      <a:off x="0" y="0"/>
                      <a:ext cx="5334000" cy="662925"/>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Each query term opens an iterator over its postings list. Before fully scoring a candidate, the WAND decision compares the sum of per-block maximum scores with the score of the current</w:t>
      </w:r>
      <w:r>
        <w:t xml:space="preserve"> </w:t>
      </w:r>
      <m:oMath>
        <m:r>
          <m:t>k</m:t>
        </m:r>
      </m:oMath>
      <w:r>
        <w:t xml:space="preserve">-th best document held in a min-heap; if the bound is too low, whole blocks are skipped (the loop back to the iterators). Survivors are scored exactly and offered to the heap, an in-memory structure of size</w:t>
      </w:r>
      <w:r>
        <w:t xml:space="preserve"> </w:t>
      </w:r>
      <m:oMath>
        <m:r>
          <m:t>k</m:t>
        </m:r>
      </m:oMath>
      <w:r>
        <w:t xml:space="preserve">. An optional rescoring stage applies more expensive signals (phrase proximity, a learned model) to only the top few hundred. All steps are synchronous and CPU-bound within one shard; the storage boundary is the postings files, usually served from the operating system page cache. Failure points are queries whose terms are all very common (little skipping possible) and very large</w:t>
      </w:r>
      <w:r>
        <w:t xml:space="preserve"> </w:t>
      </w:r>
      <m:oMath>
        <m:r>
          <m:t>k</m:t>
        </m:r>
      </m:oMath>
      <w:r>
        <w:t xml:space="preserve"> </w:t>
      </w:r>
      <w:r>
        <w:t xml:space="preserve">(deep pagination, §16.7.4). Scaling is by splitting the index into more shards, each running this pipeline in parallel.</w:t>
      </w:r>
    </w:p>
    <w:bookmarkStart w:id="1832" w:name="real-world-industry-applications-33"/>
    <w:p>
      <w:pPr>
        <w:pStyle w:val="Heading4"/>
      </w:pPr>
      <w:r>
        <w:t xml:space="preserve">Real-world industry applications</w:t>
      </w:r>
    </w:p>
    <w:p>
      <w:pPr>
        <w:pStyle w:val="CalloutIndustry"/>
      </w:pPr>
      <w:r>
        <w:rPr>
          <w:bCs/>
          <w:b/>
        </w:rPr>
        <w:t xml:space="preserve">INDUSTRY EXAMPLE</w:t>
      </w:r>
    </w:p>
    <w:p>
      <w:pPr>
        <w:pStyle w:val="CalloutIndustry"/>
      </w:pPr>
      <w:r>
        <w:rPr>
          <w:bCs/>
          <w:b/>
        </w:rPr>
        <w:t xml:space="preserve">Wikipedia’s CirrusSearch.</w:t>
      </w:r>
      <w:r>
        <w:t xml:space="preserve"> </w:t>
      </w:r>
      <w:r>
        <w:t xml:space="preserve">Wikimedia runs on-wiki search for Wikipedia and its sister projects with CirrusSearch, a MediaWiki extension backed by Elasticsearch. Pages are indexed with per-language analysis chains, and ranking combines text relevance with signals such as incoming links and page popularity, with rescoring profiles configurable per wiki [MediaWiki: CirrusSearch].</w:t>
      </w:r>
      <w:r>
        <w:t xml:space="preserve"> </w:t>
      </w:r>
      <w:r>
        <w:rPr>
          <w:iCs/>
          <w:i/>
        </w:rPr>
        <w:t xml:space="preserve">Evidence: Primary</w:t>
      </w:r>
      <w:r>
        <w:t xml:space="preserve"> </w:t>
      </w:r>
      <w:r>
        <w:t xml:space="preserve">— [MediaWiki: CirrusSearch]</w:t>
      </w:r>
    </w:p>
    <w:bookmarkEnd w:id="1832"/>
    <w:bookmarkStart w:id="1833" w:name="failure-scenarios-47"/>
    <w:p>
      <w:pPr>
        <w:pStyle w:val="Heading4"/>
      </w:pPr>
      <w:r>
        <w:t xml:space="preserve">Failure scenarios</w:t>
      </w:r>
    </w:p>
    <w:p>
      <w:pPr>
        <w:pStyle w:val="FirstParagraph"/>
      </w:pPr>
      <w:r>
        <w:rPr>
          <w:bCs/>
          <w:b/>
        </w:rPr>
        <w:t xml:space="preserve">Table 16.7 — Ranking 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Accessories outrank the product searched for</w:t>
            </w:r>
          </w:p>
        </w:tc>
        <w:tc>
          <w:tcPr/>
          <w:p>
            <w:pPr>
              <w:pStyle w:val="Compact"/>
              <w:jc w:val="left"/>
            </w:pPr>
            <w:r>
              <w:t xml:space="preserve">Text match ignores intent; short bodies win</w:t>
            </w:r>
          </w:p>
        </w:tc>
        <w:tc>
          <w:tcPr/>
          <w:p>
            <w:pPr>
              <w:pStyle w:val="Compact"/>
              <w:jc w:val="left"/>
            </w:pPr>
            <w:r>
              <w:t xml:space="preserve">Click-through and relevance judgments</w:t>
            </w:r>
          </w:p>
        </w:tc>
        <w:tc>
          <w:tcPr/>
          <w:p>
            <w:pPr>
              <w:pStyle w:val="Compact"/>
              <w:jc w:val="left"/>
            </w:pPr>
            <w:r>
              <w:t xml:space="preserve">Boost title; add category signals</w:t>
            </w:r>
          </w:p>
        </w:tc>
        <w:tc>
          <w:tcPr/>
          <w:p>
            <w:pPr>
              <w:pStyle w:val="Compact"/>
              <w:jc w:val="left"/>
            </w:pPr>
            <w:r>
              <w:t xml:space="preserve">Offline evaluation set (NDCG)</w:t>
            </w:r>
          </w:p>
        </w:tc>
      </w:tr>
      <w:tr>
        <w:tc>
          <w:tcPr/>
          <w:p>
            <w:pPr>
              <w:pStyle w:val="Compact"/>
              <w:jc w:val="left"/>
            </w:pPr>
            <w:r>
              <w:t xml:space="preserve">Keyword stuffing by sellers</w:t>
            </w:r>
          </w:p>
        </w:tc>
        <w:tc>
          <w:tcPr/>
          <w:p>
            <w:pPr>
              <w:pStyle w:val="Compact"/>
              <w:jc w:val="left"/>
            </w:pPr>
            <w:r>
              <w:t xml:space="preserve">Unbounded tf in a custom scorer</w:t>
            </w:r>
          </w:p>
        </w:tc>
        <w:tc>
          <w:tcPr/>
          <w:p>
            <w:pPr>
              <w:pStyle w:val="Compact"/>
              <w:jc w:val="left"/>
            </w:pPr>
            <w:r>
              <w:t xml:space="preserve">Manual review, anomaly scores</w:t>
            </w:r>
          </w:p>
        </w:tc>
        <w:tc>
          <w:tcPr/>
          <w:p>
            <w:pPr>
              <w:pStyle w:val="Compact"/>
              <w:jc w:val="left"/>
            </w:pPr>
            <w:r>
              <w:t xml:space="preserve">Switch to BM25; cap field length</w:t>
            </w:r>
          </w:p>
        </w:tc>
        <w:tc>
          <w:tcPr/>
          <w:p>
            <w:pPr>
              <w:pStyle w:val="Compact"/>
              <w:jc w:val="left"/>
            </w:pPr>
            <w:r>
              <w:t xml:space="preserve">BM25 saturation; quality signals</w:t>
            </w:r>
          </w:p>
        </w:tc>
      </w:tr>
    </w:tbl>
    <w:bookmarkEnd w:id="1833"/>
    <w:bookmarkStart w:id="1834" w:name="common-misconceptions-37"/>
    <w:p>
      <w:pPr>
        <w:pStyle w:val="Heading4"/>
      </w:pPr>
      <w:r>
        <w:t xml:space="preserve">Common misconceptions</w:t>
      </w:r>
    </w:p>
    <w:p>
      <w:pPr>
        <w:pStyle w:val="CalloutMistake"/>
      </w:pPr>
      <w:r>
        <w:rPr>
          <w:bCs/>
          <w:b/>
        </w:rPr>
        <w:t xml:space="preserve">COMMON MISTAKE</w:t>
      </w:r>
    </w:p>
    <w:p>
      <w:pPr>
        <w:pStyle w:val="CalloutMistake"/>
      </w:pPr>
      <w:r>
        <w:rPr>
          <w:bCs/>
          <w:b/>
        </w:rPr>
        <w:t xml:space="preserve">Mistake —</w:t>
      </w:r>
      <w:r>
        <w:rPr>
          <w:bCs/>
          <w:b/>
        </w:rPr>
        <w:t xml:space="preserve"> </w:t>
      </w:r>
      <w:r>
        <w:rPr>
          <w:bCs/>
          <w:b/>
        </w:rPr>
        <w:t xml:space="preserve">“</w:t>
      </w:r>
      <w:r>
        <w:rPr>
          <w:bCs/>
          <w:b/>
        </w:rPr>
        <w:t xml:space="preserve">A BM25 score of 12 means a better match than a score of 6 on another query.</w:t>
      </w:r>
      <w:r>
        <w:rPr>
          <w:bCs/>
          <w:b/>
        </w:rPr>
        <w:t xml:space="preserve">”</w:t>
      </w:r>
      <w:r>
        <w:t xml:space="preserve"> </w:t>
      </w:r>
      <w:r>
        <w:t xml:space="preserve">BM25 scores depend on the query’s terms, their IDF and the collection statistics. They rank documents</w:t>
      </w:r>
      <w:r>
        <w:t xml:space="preserve"> </w:t>
      </w:r>
      <w:r>
        <w:rPr>
          <w:iCs/>
          <w:i/>
        </w:rPr>
        <w:t xml:space="preserve">within</w:t>
      </w:r>
      <w:r>
        <w:t xml:space="preserve"> </w:t>
      </w:r>
      <w:r>
        <w:t xml:space="preserve">one query and have no absolute meaning; never threshold them globally or compare them across queries or indexes. Normalize, or use rank positions, when fusing result lists (§16.11).</w:t>
      </w:r>
    </w:p>
    <w:bookmarkEnd w:id="1834"/>
    <w:bookmarkEnd w:id="1835"/>
    <w:bookmarkEnd w:id="1836"/>
    <w:bookmarkStart w:id="1845" w:name="index-construction-and-segment-merging"/>
    <w:p>
      <w:pPr>
        <w:pStyle w:val="Heading2"/>
      </w:pPr>
      <w:r>
        <w:t xml:space="preserve">16.6 Index construction and segment merging</w:t>
      </w:r>
    </w:p>
    <w:bookmarkStart w:id="1842" w:name="X3c007058175421fe2053c61f1c3ce3a2b985c6e"/>
    <w:p>
      <w:pPr>
        <w:pStyle w:val="Heading3"/>
      </w:pPr>
      <w:r>
        <w:t xml:space="preserve">16.6.1 Why indexes are built from immutable segments</w:t>
      </w:r>
    </w:p>
    <w:p>
      <w:pPr>
        <w:pStyle w:val="CalloutDefinition"/>
      </w:pPr>
      <w:r>
        <w:rPr>
          <w:bCs/>
          <w:b/>
        </w:rPr>
        <w:t xml:space="preserve">DEFINITION</w:t>
      </w:r>
    </w:p>
    <w:p>
      <w:pPr>
        <w:pStyle w:val="CalloutDefinition"/>
      </w:pPr>
      <w:r>
        <w:rPr>
          <w:bCs/>
          <w:b/>
        </w:rPr>
        <w:t xml:space="preserve">Definition — Segment.</w:t>
      </w:r>
      <w:r>
        <w:t xml:space="preserve"> </w:t>
      </w:r>
      <w:r>
        <w:t xml:space="preserve">A self-contained, immutable mini-index (its own dictionary, postings, stored fields, norms and doc values) covering a subset of documents. A Lucene index is a set of segments plus a</w:t>
      </w:r>
      <w:r>
        <w:t xml:space="preserve"> </w:t>
      </w:r>
      <w:r>
        <w:rPr>
          <w:bCs/>
          <w:b/>
        </w:rPr>
        <w:t xml:space="preserve">commit point</w:t>
      </w:r>
      <w:r>
        <w:t xml:space="preserve"> </w:t>
      </w:r>
      <w:r>
        <w:t xml:space="preserve">file (</w:t>
      </w:r>
      <w:r>
        <w:rPr>
          <w:rStyle w:val="VerbatimChar"/>
        </w:rPr>
        <w:t xml:space="preserve">segments_N</w:t>
      </w:r>
      <w:r>
        <w:t xml:space="preserve">) listing which segments are live; a search runs over every live segment and combines the results.</w:t>
      </w:r>
    </w:p>
    <w:bookmarkStart w:id="1837" w:name="first-principles-explanation-104"/>
    <w:p>
      <w:pPr>
        <w:pStyle w:val="Heading4"/>
      </w:pPr>
      <w:r>
        <w:t xml:space="preserve">First-principles explanation</w:t>
      </w:r>
    </w:p>
    <w:p>
      <w:pPr>
        <w:pStyle w:val="FirstParagraph"/>
      </w:pPr>
      <w:r>
        <w:t xml:space="preserve">Compressed, sorted postings are excellent to read and terrible to update: inserting a docID mid-list means rewriting it. So search engines do what log-structured databases do (§13.7–§13.8): buffer new documents in memory, write the buffer out as a new small segment, and</w:t>
      </w:r>
      <w:r>
        <w:t xml:space="preserve"> </w:t>
      </w:r>
      <w:r>
        <w:rPr>
          <w:bCs/>
          <w:b/>
        </w:rPr>
        <w:t xml:space="preserve">merge</w:t>
      </w:r>
      <w:r>
        <w:t xml:space="preserve"> </w:t>
      </w:r>
      <w:r>
        <w:t xml:space="preserve">small segments into larger ones in the background, with segments playing the role of SSTables. Manning et al. describe the batch ancestors, blocked sort-based and single-pass in-memory indexing [Manning et al. 2008, ch. 4]. Immutable segments can be cached without invalidation, read without locks, copied as plain files for backup or replication, and compressed aggressively.</w:t>
      </w:r>
    </w:p>
    <w:bookmarkEnd w:id="1837"/>
    <w:bookmarkStart w:id="1841" w:name="how-it-works-internally-68"/>
    <w:p>
      <w:pPr>
        <w:pStyle w:val="Heading4"/>
      </w:pPr>
      <w:r>
        <w:t xml:space="preserve">How it works internally</w:t>
      </w:r>
    </w:p>
    <w:p>
      <w:pPr>
        <w:numPr>
          <w:ilvl w:val="0"/>
          <w:numId w:val="1541"/>
        </w:numPr>
        <w:pStyle w:val="Compact"/>
      </w:pPr>
      <w:r>
        <w:rPr>
          <w:bCs/>
          <w:b/>
        </w:rPr>
        <w:t xml:space="preserve">Buffer.</w:t>
      </w:r>
      <w:r>
        <w:t xml:space="preserve"> </w:t>
      </w:r>
      <w:r>
        <w:t xml:space="preserve">The index writer analyzes incoming documents into an in-memory buffer. Documents in the buffer are</w:t>
      </w:r>
      <w:r>
        <w:t xml:space="preserve"> </w:t>
      </w:r>
      <w:r>
        <w:rPr>
          <w:iCs/>
          <w:i/>
        </w:rPr>
        <w:t xml:space="preserve">not</w:t>
      </w:r>
      <w:r>
        <w:t xml:space="preserve"> </w:t>
      </w:r>
      <w:r>
        <w:t xml:space="preserve">searchable.</w:t>
      </w:r>
    </w:p>
    <w:p>
      <w:pPr>
        <w:numPr>
          <w:ilvl w:val="0"/>
          <w:numId w:val="1541"/>
        </w:numPr>
        <w:pStyle w:val="Compact"/>
      </w:pPr>
      <w:r>
        <w:rPr>
          <w:bCs/>
          <w:b/>
        </w:rPr>
        <w:t xml:space="preserve">Refresh (flush to a segment).</w:t>
      </w:r>
      <w:r>
        <w:t xml:space="preserve"> </w:t>
      </w:r>
      <w:r>
        <w:t xml:space="preserve">The buffer is written as a new segment and a new searcher is opened that includes it. In Lucene terms this is opening a near-real-time reader; Elasticsearch calls it a</w:t>
      </w:r>
      <w:r>
        <w:t xml:space="preserve"> </w:t>
      </w:r>
      <w:r>
        <w:rPr>
          <w:bCs/>
          <w:b/>
        </w:rPr>
        <w:t xml:space="preserve">refresh</w:t>
      </w:r>
      <w:r>
        <w:t xml:space="preserve"> </w:t>
      </w:r>
      <w:r>
        <w:t xml:space="preserve">and by default does it every second (§16.8.4). The segment may sit only in the operating system’s page cache: it is searchable but not yet durable.</w:t>
      </w:r>
    </w:p>
    <w:p>
      <w:pPr>
        <w:numPr>
          <w:ilvl w:val="0"/>
          <w:numId w:val="1541"/>
        </w:numPr>
        <w:pStyle w:val="Compact"/>
      </w:pPr>
      <w:r>
        <w:rPr>
          <w:bCs/>
          <w:b/>
        </w:rPr>
        <w:t xml:space="preserve">Commit.</w:t>
      </w:r>
      <w:r>
        <w:t xml:space="preserve"> </w:t>
      </w:r>
      <w:r>
        <w:t xml:space="preserve">Periodically, segment files are fsynced and a new</w:t>
      </w:r>
      <w:r>
        <w:t xml:space="preserve"> </w:t>
      </w:r>
      <w:r>
        <w:rPr>
          <w:rStyle w:val="VerbatimChar"/>
        </w:rPr>
        <w:t xml:space="preserve">segments_N</w:t>
      </w:r>
      <w:r>
        <w:t xml:space="preserve"> </w:t>
      </w:r>
      <w:r>
        <w:t xml:space="preserve">file is written atomically. Only committed segments survive a crash without replay; Elasticsearch covers the gap with its translog (§16.8.3).</w:t>
      </w:r>
    </w:p>
    <w:p>
      <w:pPr>
        <w:numPr>
          <w:ilvl w:val="0"/>
          <w:numId w:val="1541"/>
        </w:numPr>
        <w:pStyle w:val="Compact"/>
      </w:pPr>
      <w:r>
        <w:rPr>
          <w:bCs/>
          <w:b/>
        </w:rPr>
        <w:t xml:space="preserve">Merge.</w:t>
      </w:r>
      <w:r>
        <w:t xml:space="preserve"> </w:t>
      </w:r>
      <w:r>
        <w:t xml:space="preserve">A background merge scheduler picks groups of segments, merges their postings into one new segment (dropping deleted documents), then swaps it in and deletes the old files once no reader uses them.</w:t>
      </w:r>
    </w:p>
    <w:p>
      <w:pPr>
        <w:pStyle w:val="FirstParagraph"/>
      </w:pPr>
      <w:r>
        <w:rPr>
          <w:bCs/>
          <w:b/>
        </w:rPr>
        <w:t xml:space="preserve">Figure 16.5 — Lifecycle of a Lucene segment.</w:t>
      </w:r>
    </w:p>
    <w:p>
      <w:pPr>
        <w:pStyle w:val="BodyText"/>
      </w:pPr>
      <w:r>
        <w:drawing>
          <wp:inline>
            <wp:extent cx="5334000" cy="9177402"/>
            <wp:effectExtent b="0" l="0" r="0" t="0"/>
            <wp:docPr descr="" title="" id="1839" name="Picture"/>
            <a:graphic>
              <a:graphicData uri="http://schemas.openxmlformats.org/drawingml/2006/picture">
                <pic:pic>
                  <pic:nvPicPr>
                    <pic:cNvPr descr="/home/user/System-Design/build/.cache/diagrams/34dadd571fc1.png" id="1840" name="Picture"/>
                    <pic:cNvPicPr>
                      <a:picLocks noChangeArrowheads="1" noChangeAspect="1"/>
                    </pic:cNvPicPr>
                  </pic:nvPicPr>
                  <pic:blipFill>
                    <a:blip r:embed="rId1838"/>
                    <a:stretch>
                      <a:fillRect/>
                    </a:stretch>
                  </pic:blipFill>
                  <pic:spPr bwMode="auto">
                    <a:xfrm>
                      <a:off x="0" y="0"/>
                      <a:ext cx="5334000" cy="9177402"/>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A document enters the in-memory buffer (not yet visible). A refresh writes the buffer out as a segment that searches can see, a cheap operation because it need not wait for the disk. A commit fsyncs segment files and records them in the commit point, making them crash-durable; this is the expensive storage boundary. Either a searchable or a committed segment can be chosen for merging; once the merged segment is in place, the originals are marked deleted and their files removed when the last reader using them closes. All transitions are asynchronous background work relative to queries. Failure points: a crash loses searchable-but-uncommitted segments (recovered from the translog in Elasticsearch); a merge that runs out of disk fails and must be retried. Merging is throttled so it does not starve queries of I/O.</w:t>
      </w:r>
    </w:p>
    <w:bookmarkEnd w:id="1841"/>
    <w:bookmarkEnd w:id="1842"/>
    <w:bookmarkStart w:id="1843" w:name="deletes-and-updates-as-tombstones"/>
    <w:p>
      <w:pPr>
        <w:pStyle w:val="Heading3"/>
      </w:pPr>
      <w:r>
        <w:t xml:space="preserve">16.6.2 Deletes and updates as tombstones</w:t>
      </w:r>
    </w:p>
    <w:p>
      <w:pPr>
        <w:pStyle w:val="FirstParagraph"/>
      </w:pPr>
      <w:r>
        <w:t xml:space="preserve">Immutable segments cannot remove a document. Instead Lucene records deletions in a per-segment</w:t>
      </w:r>
      <w:r>
        <w:t xml:space="preserve"> </w:t>
      </w:r>
      <w:r>
        <w:rPr>
          <w:bCs/>
          <w:b/>
        </w:rPr>
        <w:t xml:space="preserve">live-docs bitset</w:t>
      </w:r>
      <w:r>
        <w:t xml:space="preserve"> </w:t>
      </w:r>
      <w:r>
        <w:t xml:space="preserve">(one bit per document) written as a separate small file: a</w:t>
      </w:r>
      <w:r>
        <w:t xml:space="preserve"> </w:t>
      </w:r>
      <w:r>
        <w:rPr>
          <w:bCs/>
          <w:b/>
        </w:rPr>
        <w:t xml:space="preserve">tombstone</w:t>
      </w:r>
      <w:r>
        <w:t xml:space="preserve">. Searches skip documents whose bit is cleared. An</w:t>
      </w:r>
      <w:r>
        <w:t xml:space="preserve"> </w:t>
      </w:r>
      <w:r>
        <w:rPr>
          <w:bCs/>
          <w:b/>
        </w:rPr>
        <w:t xml:space="preserve">update</w:t>
      </w:r>
      <w:r>
        <w:t xml:space="preserve"> </w:t>
      </w:r>
      <w:r>
        <w:t xml:space="preserve">is a delete of the old version plus an add of the new one, which lands in a new segment. The space and the CPU spent iterating past deleted postings are reclaimed only when the segment is merged.</w:t>
      </w:r>
    </w:p>
    <w:p>
      <w:pPr>
        <w:pStyle w:val="BodyText"/>
      </w:pPr>
      <w:r>
        <w:t xml:space="preserve">Consequences: deleted documents still count in term statistics until merged away, so replicas with different merge histories can score slightly differently; and update-heavy fields (prices, stock) generate many deletes, so keep volatile fields out of the text index where possible.</w:t>
      </w:r>
    </w:p>
    <w:bookmarkEnd w:id="1843"/>
    <w:bookmarkStart w:id="1844" w:name="merge-policy"/>
    <w:p>
      <w:pPr>
        <w:pStyle w:val="Heading3"/>
      </w:pPr>
      <w:r>
        <w:t xml:space="preserve">16.6.3 Merge policy</w:t>
      </w:r>
    </w:p>
    <w:p>
      <w:pPr>
        <w:pStyle w:val="FirstParagraph"/>
      </w:pPr>
      <w:r>
        <w:t xml:space="preserve">A</w:t>
      </w:r>
      <w:r>
        <w:t xml:space="preserve"> </w:t>
      </w:r>
      <w:r>
        <w:rPr>
          <w:bCs/>
          <w:b/>
        </w:rPr>
        <w:t xml:space="preserve">merge policy</w:t>
      </w:r>
      <w:r>
        <w:t xml:space="preserve"> </w:t>
      </w:r>
      <w:r>
        <w:t xml:space="preserve">decides which segments to merge. Lucene’s default,</w:t>
      </w:r>
      <w:r>
        <w:t xml:space="preserve"> </w:t>
      </w:r>
      <w:r>
        <w:rPr>
          <w:rStyle w:val="VerbatimChar"/>
        </w:rPr>
        <w:t xml:space="preserve">TieredMergePolicy</w:t>
      </w:r>
      <w:r>
        <w:t xml:space="preserve">, groups segments into size tiers, allows about 10 segments per tier, merges up to 10 similar-sized segments at a time, favors merges that reclaim many deletes, and by default stops producing segments larger than about 5 GB [Lucene Docs: TieredMergePolicy]. The analysis is the same as size-tiered compaction in LSM stores (§13.9): each byte is rewritten once per tier it climbs.</w:t>
      </w:r>
    </w:p>
    <w:p>
      <w:pPr>
        <w:pStyle w:val="CalloutFormula"/>
      </w:pPr>
      <w:r>
        <w:rPr>
          <w:bCs/>
          <w:b/>
        </w:rPr>
        <w:t xml:space="preserve">FORMULA</w:t>
      </w:r>
    </w:p>
    <w:p>
      <w:pPr>
        <w:pStyle w:val="CalloutFormula"/>
      </w:pPr>
      <w:r>
        <w:rPr>
          <w:bCs/>
          <w:b/>
        </w:rPr>
        <w:t xml:space="preserve">Write amplification of tiered merging</w:t>
      </w:r>
    </w:p>
    <w:p>
      <w:pPr>
        <w:pStyle w:val="CalloutFormula"/>
      </w:pPr>
      <m:oMathPara>
        <m:oMathParaPr>
          <m:jc m:val="center"/>
        </m:oMathParaPr>
        <m:oMath>
          <m:r>
            <m:t>W</m:t>
          </m:r>
          <m:r>
            <m:rPr>
              <m:sty m:val="p"/>
            </m:rPr>
            <m:t>≈</m:t>
          </m:r>
          <m:r>
            <m:t>1</m:t>
          </m:r>
          <m:r>
            <m:rPr>
              <m:sty m:val="p"/>
            </m:rPr>
            <m:t>+</m:t>
          </m:r>
          <m:sSub>
            <m:e>
              <m:r>
                <m:rPr>
                  <m:sty m:val="p"/>
                </m:rPr>
                <m:t>log</m:t>
              </m:r>
            </m:e>
            <m:sub>
              <m:r>
                <m:t>m</m:t>
              </m:r>
            </m:sub>
          </m:sSub>
          <m:f>
            <m:fPr>
              <m:type m:val="bar"/>
            </m:fPr>
            <m:num>
              <m:sSub>
                <m:e>
                  <m:r>
                    <m:t>S</m:t>
                  </m:r>
                </m:e>
                <m:sub>
                  <m:r>
                    <m:rPr>
                      <m:sty m:val="p"/>
                    </m:rPr>
                    <m:t>max</m:t>
                  </m:r>
                </m:sub>
              </m:sSub>
            </m:num>
            <m:den>
              <m:sSub>
                <m:e>
                  <m:r>
                    <m:t>S</m:t>
                  </m:r>
                </m:e>
                <m:sub>
                  <m:r>
                    <m:rPr>
                      <m:nor/>
                      <m:sty m:val="p"/>
                    </m:rPr>
                    <m:t>flush</m:t>
                  </m:r>
                </m:sub>
              </m:sSub>
            </m:den>
          </m:f>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W</m:t>
              </m:r>
            </m:oMath>
          </w:p>
        </w:tc>
        <w:tc>
          <w:tcPr/>
          <w:p>
            <w:pPr>
              <w:pStyle w:val="Compact"/>
              <w:jc w:val="left"/>
            </w:pPr>
            <w:r>
              <w:t xml:space="preserve">Bytes written to disk per byte of new index data</w:t>
            </w:r>
          </w:p>
        </w:tc>
        <w:tc>
          <w:tcPr/>
          <w:p>
            <w:pPr>
              <w:pStyle w:val="Compact"/>
              <w:jc w:val="left"/>
            </w:pPr>
            <w:r>
              <w:t xml:space="preserve">dimensionless</w:t>
            </w:r>
          </w:p>
        </w:tc>
      </w:tr>
      <w:tr>
        <w:tc>
          <w:tcPr/>
          <w:p>
            <w:pPr>
              <w:pStyle w:val="Compact"/>
              <w:jc w:val="left"/>
            </w:pPr>
            <m:oMath>
              <m:r>
                <m:t>m</m:t>
              </m:r>
            </m:oMath>
          </w:p>
        </w:tc>
        <w:tc>
          <w:tcPr/>
          <w:p>
            <w:pPr>
              <w:pStyle w:val="Compact"/>
              <w:jc w:val="left"/>
            </w:pPr>
            <w:r>
              <w:t xml:space="preserve">Merge factor: segments merged together per tier</w:t>
            </w:r>
          </w:p>
        </w:tc>
        <w:tc>
          <w:tcPr/>
          <w:p>
            <w:pPr>
              <w:pStyle w:val="Compact"/>
              <w:jc w:val="left"/>
            </w:pPr>
            <w:r>
              <w:t xml:space="preserve">count</w:t>
            </w:r>
          </w:p>
        </w:tc>
      </w:tr>
      <w:tr>
        <w:tc>
          <w:tcPr/>
          <w:p>
            <w:pPr>
              <w:pStyle w:val="Compact"/>
              <w:jc w:val="left"/>
            </w:pPr>
            <m:oMath>
              <m:sSub>
                <m:e>
                  <m:r>
                    <m:t>S</m:t>
                  </m:r>
                </m:e>
                <m:sub>
                  <m:r>
                    <m:rPr>
                      <m:sty m:val="p"/>
                    </m:rPr>
                    <m:t>max</m:t>
                  </m:r>
                </m:sub>
              </m:sSub>
            </m:oMath>
          </w:p>
        </w:tc>
        <w:tc>
          <w:tcPr/>
          <w:p>
            <w:pPr>
              <w:pStyle w:val="Compact"/>
              <w:jc w:val="left"/>
            </w:pPr>
            <w:r>
              <w:t xml:space="preserve">Maximum merged segment size</w:t>
            </w:r>
          </w:p>
        </w:tc>
        <w:tc>
          <w:tcPr/>
          <w:p>
            <w:pPr>
              <w:pStyle w:val="Compact"/>
              <w:jc w:val="left"/>
            </w:pPr>
            <w:r>
              <w:t xml:space="preserve">bytes</w:t>
            </w:r>
          </w:p>
        </w:tc>
      </w:tr>
      <w:tr>
        <w:tc>
          <w:tcPr/>
          <w:p>
            <w:pPr>
              <w:pStyle w:val="Compact"/>
              <w:jc w:val="left"/>
            </w:pPr>
            <m:oMath>
              <m:sSub>
                <m:e>
                  <m:r>
                    <m:t>S</m:t>
                  </m:r>
                </m:e>
                <m:sub>
                  <m:r>
                    <m:rPr>
                      <m:nor/>
                      <m:sty m:val="p"/>
                    </m:rPr>
                    <m:t>flush</m:t>
                  </m:r>
                </m:sub>
              </m:sSub>
            </m:oMath>
          </w:p>
        </w:tc>
        <w:tc>
          <w:tcPr/>
          <w:p>
            <w:pPr>
              <w:pStyle w:val="Compact"/>
              <w:jc w:val="left"/>
            </w:pPr>
            <w:r>
              <w:t xml:space="preserve">Typical size of a newly flushed segment</w:t>
            </w:r>
          </w:p>
        </w:tc>
        <w:tc>
          <w:tcPr/>
          <w:p>
            <w:pPr>
              <w:pStyle w:val="Compact"/>
              <w:jc w:val="left"/>
            </w:pPr>
            <w:r>
              <w:t xml:space="preserve">bytes</w:t>
            </w:r>
          </w:p>
        </w:tc>
      </w:tr>
    </w:tbl>
    <w:p>
      <w:pPr>
        <w:pStyle w:val="CalloutExample"/>
      </w:pPr>
      <w:r>
        <w:rPr>
          <w:bCs/>
          <w:b/>
        </w:rPr>
        <w:t xml:space="preserve">WORKED EXAMPLE</w:t>
      </w:r>
    </w:p>
    <w:p>
      <w:pPr>
        <w:pStyle w:val="CalloutExample"/>
      </w:pPr>
      <w:r>
        <w:rPr>
          <w:bCs/>
          <w:b/>
        </w:rPr>
        <w:t xml:space="preserve">Worked example — merge cost at a 1-second refresh.</w:t>
      </w:r>
      <w:r>
        <w:t xml:space="preserve"> </w:t>
      </w:r>
      <w:r>
        <w:t xml:space="preserve">An index receives 2,000 documents/s; each adds about 1 KB to the index; refresh every 1 s gives</w:t>
      </w:r>
      <w:r>
        <w:t xml:space="preserve"> </w:t>
      </w:r>
      <m:oMath>
        <m:sSub>
          <m:e>
            <m:r>
              <m:t>S</m:t>
            </m:r>
          </m:e>
          <m:sub>
            <m:r>
              <m:rPr>
                <m:nor/>
                <m:sty m:val="p"/>
              </m:rPr>
              <m:t>flush</m:t>
            </m:r>
          </m:sub>
        </m:sSub>
        <m:r>
          <m:rPr>
            <m:sty m:val="p"/>
          </m:rPr>
          <m:t>=</m:t>
        </m:r>
        <m:r>
          <m:t>2</m:t>
        </m:r>
      </m:oMath>
      <w:r>
        <w:t xml:space="preserve"> </w:t>
      </w:r>
      <w:r>
        <w:t xml:space="preserve">MB.</w:t>
      </w:r>
      <w:r>
        <w:t xml:space="preserve"> </w:t>
      </w:r>
      <m:oMath>
        <m:sSub>
          <m:e>
            <m:r>
              <m:t>S</m:t>
            </m:r>
          </m:e>
          <m:sub>
            <m:r>
              <m:rPr>
                <m:sty m:val="p"/>
              </m:rPr>
              <m:t>max</m:t>
            </m:r>
          </m:sub>
        </m:sSub>
        <m:r>
          <m:rPr>
            <m:sty m:val="p"/>
          </m:rPr>
          <m:t>=</m:t>
        </m:r>
        <m:r>
          <m:t>5</m:t>
        </m:r>
      </m:oMath>
      <w:r>
        <w:t xml:space="preserve"> </w:t>
      </w:r>
      <w:r>
        <w:t xml:space="preserve">GB,</w:t>
      </w:r>
      <w:r>
        <w:t xml:space="preserve"> </w:t>
      </w:r>
      <m:oMath>
        <m:r>
          <m:t>m</m:t>
        </m:r>
        <m:r>
          <m:rPr>
            <m:sty m:val="p"/>
          </m:rPr>
          <m:t>=</m:t>
        </m:r>
        <m:r>
          <m:t>10</m:t>
        </m:r>
      </m:oMath>
      <w:r>
        <w:t xml:space="preserve">.</w:t>
      </w:r>
    </w:p>
    <w:p>
      <w:pPr>
        <w:numPr>
          <w:ilvl w:val="0"/>
          <w:numId w:val="1542"/>
        </w:numPr>
        <w:pStyle w:val="Compact"/>
      </w:pPr>
      <m:oMath>
        <m:sSub>
          <m:e>
            <m:r>
              <m:t>S</m:t>
            </m:r>
          </m:e>
          <m:sub>
            <m:r>
              <m:rPr>
                <m:sty m:val="p"/>
              </m:rPr>
              <m:t>max</m:t>
            </m:r>
          </m:sub>
        </m:sSub>
        <m:r>
          <m:rPr>
            <m:sty m:val="p"/>
          </m:rPr>
          <m:t>/</m:t>
        </m:r>
        <m:sSub>
          <m:e>
            <m:r>
              <m:t>S</m:t>
            </m:r>
          </m:e>
          <m:sub>
            <m:r>
              <m:rPr>
                <m:nor/>
                <m:sty m:val="p"/>
              </m:rPr>
              <m:t>flush</m:t>
            </m:r>
          </m:sub>
        </m:sSub>
        <m:r>
          <m:rPr>
            <m:sty m:val="p"/>
          </m:rPr>
          <m:t>=</m:t>
        </m:r>
        <m:r>
          <m:t>5</m:t>
        </m:r>
        <m:r>
          <m:rPr>
            <m:sty m:val="p"/>
          </m:rPr>
          <m:t>,</m:t>
        </m:r>
        <m:r>
          <m:t>000</m:t>
        </m:r>
        <m:r>
          <m:rPr>
            <m:sty m:val="p"/>
          </m:rPr>
          <m:t>/</m:t>
        </m:r>
        <m:r>
          <m:t>2</m:t>
        </m:r>
        <m:r>
          <m:rPr>
            <m:sty m:val="p"/>
          </m:rPr>
          <m:t>=</m:t>
        </m:r>
        <m:r>
          <m:t>2</m:t>
        </m:r>
        <m:r>
          <m:rPr>
            <m:sty m:val="p"/>
          </m:rPr>
          <m:t>,</m:t>
        </m:r>
        <m:r>
          <m:t>500</m:t>
        </m:r>
      </m:oMath>
      <w:r>
        <w:t xml:space="preserve">.</w:t>
      </w:r>
    </w:p>
    <w:p>
      <w:pPr>
        <w:numPr>
          <w:ilvl w:val="0"/>
          <w:numId w:val="1542"/>
        </w:numPr>
        <w:pStyle w:val="Compact"/>
      </w:pPr>
      <m:oMath>
        <m:sSub>
          <m:e>
            <m:r>
              <m:rPr>
                <m:sty m:val="p"/>
              </m:rPr>
              <m:t>log</m:t>
            </m:r>
          </m:e>
          <m:sub>
            <m:r>
              <m:t>10</m:t>
            </m:r>
          </m:sub>
        </m:sSub>
        <m:r>
          <m:t>2</m:t>
        </m:r>
        <m:r>
          <m:rPr>
            <m:sty m:val="p"/>
          </m:rPr>
          <m:t>,</m:t>
        </m:r>
        <m:r>
          <m:t>500</m:t>
        </m:r>
        <m:r>
          <m:rPr>
            <m:sty m:val="p"/>
          </m:rPr>
          <m:t>=</m:t>
        </m:r>
        <m:r>
          <m:t>3.40</m:t>
        </m:r>
      </m:oMath>
      <w:r>
        <w:t xml:space="preserve">, so</w:t>
      </w:r>
      <w:r>
        <w:t xml:space="preserve"> </w:t>
      </w:r>
      <m:oMath>
        <m:r>
          <m:t>W</m:t>
        </m:r>
        <m:r>
          <m:rPr>
            <m:sty m:val="p"/>
          </m:rPr>
          <m:t>≈</m:t>
        </m:r>
        <m:r>
          <m:t>4.4</m:t>
        </m:r>
      </m:oMath>
      <w:r>
        <w:t xml:space="preserve">.</w:t>
      </w:r>
    </w:p>
    <w:p>
      <w:pPr>
        <w:numPr>
          <w:ilvl w:val="0"/>
          <w:numId w:val="1542"/>
        </w:numPr>
        <w:pStyle w:val="Compact"/>
      </w:pPr>
      <w:r>
        <w:t xml:space="preserve">Write bandwidth:</w:t>
      </w:r>
      <w:r>
        <w:t xml:space="preserve"> </w:t>
      </w:r>
      <m:oMath>
        <m:r>
          <m:t>2</m:t>
        </m:r>
        <m:r>
          <m:rPr>
            <m:sty m:val="p"/>
          </m:rPr>
          <m:t>,</m:t>
        </m:r>
        <m:r>
          <m:t>000</m:t>
        </m:r>
        <m:r>
          <m:rPr>
            <m:sty m:val="p"/>
          </m:rPr>
          <m:t>×</m:t>
        </m:r>
        <m:r>
          <m:t>1</m:t>
        </m:r>
        <m:r>
          <m:t> </m:t>
        </m:r>
        <m:r>
          <m:rPr>
            <m:nor/>
            <m:sty m:val="p"/>
          </m:rPr>
          <m:t>KB</m:t>
        </m:r>
        <m:r>
          <m:rPr>
            <m:sty m:val="p"/>
          </m:rPr>
          <m:t>×</m:t>
        </m:r>
        <m:r>
          <m:t>4.4</m:t>
        </m:r>
        <m:r>
          <m:rPr>
            <m:sty m:val="p"/>
          </m:rPr>
          <m:t>=</m:t>
        </m:r>
        <m:r>
          <m:t>8.8</m:t>
        </m:r>
      </m:oMath>
      <w:r>
        <w:t xml:space="preserve"> </w:t>
      </w:r>
      <w:r>
        <w:t xml:space="preserve">MB/s, plus the translog.</w:t>
      </w:r>
    </w:p>
    <w:p>
      <w:pPr>
        <w:numPr>
          <w:ilvl w:val="0"/>
          <w:numId w:val="1542"/>
        </w:numPr>
        <w:pStyle w:val="Compact"/>
      </w:pPr>
      <w:r>
        <w:t xml:space="preserve">With a 30-second refresh,</w:t>
      </w:r>
      <w:r>
        <w:t xml:space="preserve"> </w:t>
      </w:r>
      <m:oMath>
        <m:sSub>
          <m:e>
            <m:r>
              <m:t>S</m:t>
            </m:r>
          </m:e>
          <m:sub>
            <m:r>
              <m:rPr>
                <m:nor/>
                <m:sty m:val="p"/>
              </m:rPr>
              <m:t>flush</m:t>
            </m:r>
          </m:sub>
        </m:sSub>
        <m:r>
          <m:rPr>
            <m:sty m:val="p"/>
          </m:rPr>
          <m:t>=</m:t>
        </m:r>
        <m:r>
          <m:t>60</m:t>
        </m:r>
      </m:oMath>
      <w:r>
        <w:t xml:space="preserve"> </w:t>
      </w:r>
      <w:r>
        <w:t xml:space="preserve">MB, ratio 83,</w:t>
      </w:r>
      <w:r>
        <w:t xml:space="preserve"> </w:t>
      </w:r>
      <m:oMath>
        <m:sSub>
          <m:e>
            <m:r>
              <m:rPr>
                <m:sty m:val="p"/>
              </m:rPr>
              <m:t>log</m:t>
            </m:r>
          </m:e>
          <m:sub>
            <m:r>
              <m:t>10</m:t>
            </m:r>
          </m:sub>
        </m:sSub>
        <m:r>
          <m:t>83</m:t>
        </m:r>
        <m:r>
          <m:rPr>
            <m:sty m:val="p"/>
          </m:rPr>
          <m:t>=</m:t>
        </m:r>
        <m:r>
          <m:t>1.92</m:t>
        </m:r>
      </m:oMath>
      <w:r>
        <w:t xml:space="preserve">,</w:t>
      </w:r>
      <w:r>
        <w:t xml:space="preserve"> </w:t>
      </w:r>
      <m:oMath>
        <m:r>
          <m:t>W</m:t>
        </m:r>
        <m:r>
          <m:rPr>
            <m:sty m:val="p"/>
          </m:rPr>
          <m:t>≈</m:t>
        </m:r>
        <m:r>
          <m:t>2.9</m:t>
        </m:r>
      </m:oMath>
      <w:r>
        <w:t xml:space="preserve">: one-third less merge I/O.</w:t>
      </w:r>
    </w:p>
    <w:p>
      <w:pPr>
        <w:pStyle w:val="CalloutExample"/>
      </w:pPr>
      <w:r>
        <w:rPr>
          <w:bCs/>
          <w:b/>
        </w:rPr>
        <w:t xml:space="preserve">Interpretation.</w:t>
      </w:r>
      <w:r>
        <w:t xml:space="preserve"> </w:t>
      </w:r>
      <w:r>
        <w:t xml:space="preserve">Frequent refreshes create many tiny segments that are rewritten several times.</w:t>
      </w:r>
      <w:r>
        <w:t xml:space="preserve"> </w:t>
      </w:r>
      <w:r>
        <w:rPr>
          <w:bCs/>
          <w:b/>
        </w:rPr>
        <w:t xml:space="preserve">Engineering implication.</w:t>
      </w:r>
      <w:r>
        <w:t xml:space="preserve"> </w:t>
      </w:r>
      <w:r>
        <w:t xml:space="preserve">For bulk loads and write-heavy indexes, lengthen or disable refresh (§16.10.1). For read-only indexes (yesterday’s logs),</w:t>
      </w:r>
      <w:r>
        <w:t xml:space="preserve"> </w:t>
      </w:r>
      <w:r>
        <w:rPr>
          <w:bCs/>
          <w:b/>
        </w:rPr>
        <w:t xml:space="preserve">force-merge</w:t>
      </w:r>
      <w:r>
        <w:t xml:space="preserve"> </w:t>
      </w:r>
      <w:r>
        <w:t xml:space="preserve">to one segment once: queries then search one dictionary instead of dozens.</w:t>
      </w:r>
    </w:p>
    <w:p>
      <w:pPr>
        <w:pStyle w:val="BodyText"/>
      </w:pPr>
      <w:r>
        <w:t xml:space="preserve">The following simulation of an idealized tiered policy confirms the formula: with three tiers above the flush size and</w:t>
      </w:r>
      <w:r>
        <w:t xml:space="preserve"> </w:t>
      </w:r>
      <m:oMath>
        <m:r>
          <m:t>m</m:t>
        </m:r>
        <m:r>
          <m:rPr>
            <m:sty m:val="p"/>
          </m:rPr>
          <m:t>=</m:t>
        </m:r>
        <m:r>
          <m:t>10</m:t>
        </m:r>
      </m:oMath>
      <w:r>
        <w:t xml:space="preserve">, every unit of data is written exactly four times.</w:t>
      </w:r>
    </w:p>
    <w:p>
      <w:pPr>
        <w:pStyle w:val="SourceCode"/>
      </w:pPr>
      <w:r>
        <w:rPr>
          <w:rStyle w:val="CommentTok"/>
        </w:rPr>
        <w:t xml:space="preserve">"""Simulate a simplified tiered merge policy and measure write amplification:</w:t>
      </w:r>
      <w:r>
        <w:br/>
      </w:r>
      <w:r>
        <w:rPr>
          <w:rStyle w:val="CommentTok"/>
        </w:rPr>
        <w:t xml:space="preserve">every refresh flushes one small segment; whenever `merge_factor` segments of the same tier</w:t>
      </w:r>
      <w:r>
        <w:br/>
      </w:r>
      <w:r>
        <w:rPr>
          <w:rStyle w:val="CommentTok"/>
        </w:rPr>
        <w:t xml:space="preserve">exist they are merged into one segment of the next tier, until the size cap is reached."""</w:t>
      </w:r>
      <w:r>
        <w:br/>
      </w:r>
      <w:r>
        <w:rPr>
          <w:rStyle w:val="ImportTok"/>
        </w:rPr>
        <w:t xml:space="preserve">import</w:t>
      </w:r>
      <w:r>
        <w:rPr>
          <w:rStyle w:val="NormalTok"/>
        </w:rPr>
        <w:t xml:space="preserve"> math</w:t>
      </w:r>
      <w:r>
        <w:br/>
      </w:r>
      <w:r>
        <w:br/>
      </w:r>
      <w:r>
        <w:rPr>
          <w:rStyle w:val="KeywordTok"/>
        </w:rPr>
        <w:t xml:space="preserve">def</w:t>
      </w:r>
      <w:r>
        <w:rPr>
          <w:rStyle w:val="NormalTok"/>
        </w:rPr>
        <w:t xml:space="preserve"> simulate(flushes, merge_factor</w:t>
      </w:r>
      <w:r>
        <w:rPr>
          <w:rStyle w:val="OperatorTok"/>
        </w:rPr>
        <w:t xml:space="preserve">=</w:t>
      </w:r>
      <w:r>
        <w:rPr>
          <w:rStyle w:val="DecValTok"/>
        </w:rPr>
        <w:t xml:space="preserve">10</w:t>
      </w:r>
      <w:r>
        <w:rPr>
          <w:rStyle w:val="NormalTok"/>
        </w:rPr>
        <w:t xml:space="preserve">, max_tier</w:t>
      </w:r>
      <w:r>
        <w:rPr>
          <w:rStyle w:val="OperatorTok"/>
        </w:rPr>
        <w:t xml:space="preserve">=</w:t>
      </w:r>
      <w:r>
        <w:rPr>
          <w:rStyle w:val="DecValTok"/>
        </w:rPr>
        <w:t xml:space="preserve">3</w:t>
      </w:r>
      <w:r>
        <w:rPr>
          <w:rStyle w:val="NormalTok"/>
        </w:rPr>
        <w:t xml:space="preserve">):</w:t>
      </w:r>
      <w:r>
        <w:br/>
      </w:r>
      <w:r>
        <w:rPr>
          <w:rStyle w:val="NormalTok"/>
        </w:rPr>
        <w:t xml:space="preserve">    tiers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(max_tier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number of live segments in each tier</w:t>
      </w:r>
      <w:r>
        <w:br/>
      </w:r>
      <w:r>
        <w:rPr>
          <w:rStyle w:val="NormalTok"/>
        </w:rPr>
        <w:t xml:space="preserve">    written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units written: flushes + merge output</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(flushes):</w:t>
      </w:r>
      <w:r>
        <w:br/>
      </w:r>
      <w:r>
        <w:rPr>
          <w:rStyle w:val="NormalTok"/>
        </w:rPr>
        <w:t xml:space="preserve">        tiers[</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written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the flush itself writes one unit</w:t>
      </w:r>
      <w:r>
        <w:br/>
      </w:r>
      <w:r>
        <w:rPr>
          <w:rStyle w:val="NormalTok"/>
        </w:rPr>
        <w:t xml:space="preserve">        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while</w:t>
      </w:r>
      <w:r>
        <w:rPr>
          <w:rStyle w:val="NormalTok"/>
        </w:rPr>
        <w:t xml:space="preserve"> t </w:t>
      </w:r>
      <w:r>
        <w:rPr>
          <w:rStyle w:val="OperatorTok"/>
        </w:rPr>
        <w:t xml:space="preserve">&lt;</w:t>
      </w:r>
      <w:r>
        <w:rPr>
          <w:rStyle w:val="NormalTok"/>
        </w:rPr>
        <w:t xml:space="preserve"> max_tier </w:t>
      </w:r>
      <w:r>
        <w:rPr>
          <w:rStyle w:val="KeywordTok"/>
        </w:rPr>
        <w:t xml:space="preserve">and</w:t>
      </w:r>
      <w:r>
        <w:rPr>
          <w:rStyle w:val="NormalTok"/>
        </w:rPr>
        <w:t xml:space="preserve"> tiers[t] </w:t>
      </w:r>
      <w:r>
        <w:rPr>
          <w:rStyle w:val="OperatorTok"/>
        </w:rPr>
        <w:t xml:space="preserve">==</w:t>
      </w:r>
      <w:r>
        <w:rPr>
          <w:rStyle w:val="NormalTok"/>
        </w:rPr>
        <w:t xml:space="preserve"> merge_factor:</w:t>
      </w:r>
      <w:r>
        <w:br/>
      </w:r>
      <w:r>
        <w:rPr>
          <w:rStyle w:val="NormalTok"/>
        </w:rPr>
        <w:t xml:space="preserve">            tiers[t] </w:t>
      </w:r>
      <w:r>
        <w:rPr>
          <w:rStyle w:val="OperatorTok"/>
        </w:rPr>
        <w:t xml:space="preserve">=</w:t>
      </w:r>
      <w:r>
        <w:rPr>
          <w:rStyle w:val="NormalTok"/>
        </w:rPr>
        <w:t xml:space="preserve"> </w:t>
      </w:r>
      <w:r>
        <w:rPr>
          <w:rStyle w:val="DecValTok"/>
        </w:rPr>
        <w:t xml:space="preserve">0</w:t>
      </w:r>
      <w:r>
        <w:br/>
      </w:r>
      <w:r>
        <w:rPr>
          <w:rStyle w:val="NormalTok"/>
        </w:rPr>
        <w:t xml:space="preserve">            tiers[t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written </w:t>
      </w:r>
      <w:r>
        <w:rPr>
          <w:rStyle w:val="OperatorTok"/>
        </w:rPr>
        <w:t xml:space="preserve">+=</w:t>
      </w:r>
      <w:r>
        <w:rPr>
          <w:rStyle w:val="NormalTok"/>
        </w:rPr>
        <w:t xml:space="preserve"> merge_factor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merged segment size in units</w:t>
      </w:r>
      <w:r>
        <w:br/>
      </w:r>
      <w:r>
        <w:rPr>
          <w:rStyle w:val="NormalTok"/>
        </w:rPr>
        <w:t xml:space="preserve">            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written </w:t>
      </w:r>
      <w:r>
        <w:rPr>
          <w:rStyle w:val="OperatorTok"/>
        </w:rPr>
        <w:t xml:space="preserve">/</w:t>
      </w:r>
      <w:r>
        <w:rPr>
          <w:rStyle w:val="NormalTok"/>
        </w:rPr>
        <w:t xml:space="preserve"> flushes, </w:t>
      </w:r>
      <w:r>
        <w:rPr>
          <w:rStyle w:val="BuiltInTok"/>
        </w:rPr>
        <w:t xml:space="preserve">sum</w:t>
      </w:r>
      <w:r>
        <w:rPr>
          <w:rStyle w:val="NormalTok"/>
        </w:rPr>
        <w:t xml:space="preserve">(tiers)</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ntrolFlowTok"/>
        </w:rPr>
        <w:t xml:space="preserve">for</w:t>
      </w:r>
      <w:r>
        <w:rPr>
          <w:rStyle w:val="NormalTok"/>
        </w:rPr>
        <w:t xml:space="preserve"> flushes </w:t>
      </w:r>
      <w:r>
        <w:rPr>
          <w:rStyle w:val="KeywordTok"/>
        </w:rPr>
        <w:t xml:space="preserve">in</w:t>
      </w:r>
      <w:r>
        <w:rPr>
          <w:rStyle w:val="NormalTok"/>
        </w:rPr>
        <w:t xml:space="preserve"> (</w:t>
      </w:r>
      <w:r>
        <w:rPr>
          <w:rStyle w:val="DecValTok"/>
        </w:rPr>
        <w:t xml:space="preserve">1_000</w:t>
      </w:r>
      <w:r>
        <w:rPr>
          <w:rStyle w:val="NormalTok"/>
        </w:rPr>
        <w:t xml:space="preserve">, </w:t>
      </w:r>
      <w:r>
        <w:rPr>
          <w:rStyle w:val="DecValTok"/>
        </w:rPr>
        <w:t xml:space="preserve">100_000</w:t>
      </w:r>
      <w:r>
        <w:rPr>
          <w:rStyle w:val="NormalTok"/>
        </w:rPr>
        <w:t xml:space="preserve">):</w:t>
      </w:r>
      <w:r>
        <w:br/>
      </w:r>
      <w:r>
        <w:rPr>
          <w:rStyle w:val="NormalTok"/>
        </w:rPr>
        <w:t xml:space="preserve">        wa, live </w:t>
      </w:r>
      <w:r>
        <w:rPr>
          <w:rStyle w:val="OperatorTok"/>
        </w:rPr>
        <w:t xml:space="preserve">=</w:t>
      </w:r>
      <w:r>
        <w:rPr>
          <w:rStyle w:val="NormalTok"/>
        </w:rPr>
        <w:t xml:space="preserve"> simulate(flushes)</w:t>
      </w:r>
      <w:r>
        <w:br/>
      </w:r>
      <w:r>
        <w:rPr>
          <w:rStyle w:val="NormalTok"/>
        </w:rPr>
        <w:t xml:space="preserve">        </w:t>
      </w:r>
      <w:r>
        <w:rPr>
          <w:rStyle w:val="BuiltInTok"/>
        </w:rPr>
        <w:t xml:space="preserve">print</w:t>
      </w:r>
      <w:r>
        <w:rPr>
          <w:rStyle w:val="NormalTok"/>
        </w:rPr>
        <w:t xml:space="preserve">(</w:t>
      </w:r>
      <w:r>
        <w:rPr>
          <w:rStyle w:val="SpecialStringTok"/>
        </w:rPr>
        <w:t xml:space="preserve">f"flushes=</w:t>
      </w:r>
      <w:r>
        <w:rPr>
          <w:rStyle w:val="SpecialCharTok"/>
        </w:rPr>
        <w:t xml:space="preserve">{</w:t>
      </w:r>
      <w:r>
        <w:rPr>
          <w:rStyle w:val="NormalTok"/>
        </w:rPr>
        <w:t xml:space="preserve">flushes</w:t>
      </w:r>
      <w:r>
        <w:rPr>
          <w:rStyle w:val="SpecialCharTok"/>
        </w:rPr>
        <w:t xml:space="preserve">:&gt;7,}</w:t>
      </w:r>
      <w:r>
        <w:rPr>
          <w:rStyle w:val="SpecialStringTok"/>
        </w:rPr>
        <w:t xml:space="preserve">  write amplification=</w:t>
      </w:r>
      <w:r>
        <w:rPr>
          <w:rStyle w:val="SpecialCharTok"/>
        </w:rPr>
        <w:t xml:space="preserve">{</w:t>
      </w:r>
      <w:r>
        <w:rPr>
          <w:rStyle w:val="NormalTok"/>
        </w:rPr>
        <w:t xml:space="preserve">wa</w:t>
      </w:r>
      <w:r>
        <w:rPr>
          <w:rStyle w:val="SpecialCharTok"/>
        </w:rPr>
        <w:t xml:space="preserve">:.2f}</w:t>
      </w:r>
      <w:r>
        <w:rPr>
          <w:rStyle w:val="SpecialStringTok"/>
        </w:rPr>
        <w:t xml:space="preserve">  live segments=</w:t>
      </w:r>
      <w:r>
        <w:rPr>
          <w:rStyle w:val="SpecialCharTok"/>
        </w:rPr>
        <w:t xml:space="preserve">{</w:t>
      </w:r>
      <w:r>
        <w:rPr>
          <w:rStyle w:val="NormalTok"/>
        </w:rPr>
        <w:t xml:space="preserve">live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"predicted 1 + log10(max/min) ="</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math.log10(</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w:t>
      </w:r>
    </w:p>
    <w:p>
      <w:pPr>
        <w:pStyle w:val="FirstParagraph"/>
      </w:pPr>
      <w:r>
        <w:t xml:space="preserve">Output:</w:t>
      </w:r>
    </w:p>
    <w:p>
      <w:pPr>
        <w:pStyle w:val="SourceCode"/>
      </w:pPr>
      <w:r>
        <w:rPr>
          <w:rStyle w:val="VerbatimChar"/>
        </w:rPr>
        <w:t xml:space="preserve">flushes=  1,000  write amplification=4.00  live segments=1</w:t>
      </w:r>
      <w:r>
        <w:br/>
      </w:r>
      <w:r>
        <w:rPr>
          <w:rStyle w:val="VerbatimChar"/>
        </w:rPr>
        <w:t xml:space="preserve">flushes=100,000  write amplification=4.00  live segments=100</w:t>
      </w:r>
      <w:r>
        <w:br/>
      </w:r>
      <w:r>
        <w:rPr>
          <w:rStyle w:val="VerbatimChar"/>
        </w:rPr>
        <w:t xml:space="preserve">predicted 1 + log10(max/min) = 4.0</w:t>
      </w:r>
    </w:p>
    <w:p>
      <w:pPr>
        <w:pStyle w:val="FirstParagraph"/>
      </w:pPr>
      <w:r>
        <w:t xml:space="preserve">What to notice: once segments reach the cap they stop merging, so the number of live segments grows linearly with data (100 capped segments after 100,000 flushes); that is why large indexes are split into shards and time-based indexes rather than grown without bound.</w:t>
      </w:r>
    </w:p>
    <w:p>
      <w:pPr>
        <w:pStyle w:val="CalloutMistake"/>
      </w:pPr>
      <w:r>
        <w:rPr>
          <w:bCs/>
          <w:b/>
        </w:rPr>
        <w:t xml:space="preserve">COMMON MISTAKE</w:t>
      </w:r>
    </w:p>
    <w:p>
      <w:pPr>
        <w:pStyle w:val="CalloutMistake"/>
      </w:pPr>
      <w:r>
        <w:rPr>
          <w:bCs/>
          <w:b/>
        </w:rPr>
        <w:t xml:space="preserve">Mistake —</w:t>
      </w:r>
      <w:r>
        <w:rPr>
          <w:bCs/>
          <w:b/>
        </w:rPr>
        <w:t xml:space="preserve"> </w:t>
      </w:r>
      <w:r>
        <w:rPr>
          <w:bCs/>
          <w:b/>
        </w:rPr>
        <w:t xml:space="preserve">“</w:t>
      </w:r>
      <w:r>
        <w:rPr>
          <w:bCs/>
          <w:b/>
        </w:rPr>
        <w:t xml:space="preserve">Deleting documents frees disk space immediately.</w:t>
      </w:r>
      <w:r>
        <w:rPr>
          <w:bCs/>
          <w:b/>
        </w:rPr>
        <w:t xml:space="preserve">”</w:t>
      </w:r>
      <w:r>
        <w:t xml:space="preserve"> </w:t>
      </w:r>
      <w:r>
        <w:t xml:space="preserve">A delete sets a bit. Disk is reclaimed only when a merge rewrites the segment, and a merge temporarily needs space for both old and new segments. Clusters that are nearly full can fail to merge, accumulate deletes, and degrade; keep at least 15–20% free disk on data nodes and watch Elasticsearch’s disk watermarks.</w:t>
      </w:r>
    </w:p>
    <w:bookmarkEnd w:id="1844"/>
    <w:bookmarkEnd w:id="1845"/>
    <w:bookmarkStart w:id="1858" w:name="distributed-search"/>
    <w:p>
      <w:pPr>
        <w:pStyle w:val="Heading2"/>
      </w:pPr>
      <w:r>
        <w:t xml:space="preserve">16.7 Distributed search</w:t>
      </w:r>
    </w:p>
    <w:bookmarkStart w:id="1849" w:name="Xf2484bb07179838c3aebf8674e7535e48359d43"/>
    <w:p>
      <w:pPr>
        <w:pStyle w:val="Heading3"/>
      </w:pPr>
      <w:r>
        <w:t xml:space="preserve">16.7.1 Document partitioning versus term partitioning</w:t>
      </w:r>
    </w:p>
    <w:p>
      <w:pPr>
        <w:pStyle w:val="FirstParagraph"/>
      </w:pPr>
      <w:r>
        <w:t xml:space="preserve">When an index outgrows one node, or one node cannot serve the query rate, the index is partitioned. Search engines use the word</w:t>
      </w:r>
      <w:r>
        <w:t xml:space="preserve"> </w:t>
      </w:r>
      <w:r>
        <w:rPr>
          <w:bCs/>
          <w:b/>
        </w:rPr>
        <w:t xml:space="preserve">shard</w:t>
      </w:r>
      <w:r>
        <w:t xml:space="preserve"> </w:t>
      </w:r>
      <w:r>
        <w:t xml:space="preserve">for a partition (§14.6); this chapter uses the two interchangeably. There are two ways to cut an inverted index [Manning et al. 2008, §20.3].</w:t>
      </w:r>
    </w:p>
    <w:p>
      <w:pPr>
        <w:numPr>
          <w:ilvl w:val="0"/>
          <w:numId w:val="1543"/>
        </w:numPr>
        <w:pStyle w:val="Compact"/>
      </w:pPr>
      <w:r>
        <w:rPr>
          <w:bCs/>
          <w:b/>
        </w:rPr>
        <w:t xml:space="preserve">Document partitioning</w:t>
      </w:r>
      <w:r>
        <w:t xml:space="preserve"> </w:t>
      </w:r>
      <w:r>
        <w:t xml:space="preserve">(local index): each shard holds</w:t>
      </w:r>
      <w:r>
        <w:t xml:space="preserve"> </w:t>
      </w:r>
      <w:r>
        <w:rPr>
          <w:iCs/>
          <w:i/>
        </w:rPr>
        <w:t xml:space="preserve">all</w:t>
      </w:r>
      <w:r>
        <w:t xml:space="preserve"> </w:t>
      </w:r>
      <w:r>
        <w:t xml:space="preserve">terms for a subset of documents, a complete small index. Every query goes to every shard, and a coordinator merges the per-shard top-</w:t>
      </w:r>
      <w:r>
        <w:rPr>
          <w:iCs/>
          <w:i/>
        </w:rPr>
        <w:t xml:space="preserve">k</w:t>
      </w:r>
      <w:r>
        <w:t xml:space="preserve"> </w:t>
      </w:r>
      <w:r>
        <w:t xml:space="preserve">lists.</w:t>
      </w:r>
    </w:p>
    <w:p>
      <w:pPr>
        <w:numPr>
          <w:ilvl w:val="0"/>
          <w:numId w:val="1543"/>
        </w:numPr>
        <w:pStyle w:val="Compact"/>
      </w:pPr>
      <w:r>
        <w:rPr>
          <w:bCs/>
          <w:b/>
        </w:rPr>
        <w:t xml:space="preserve">Term partitioning</w:t>
      </w:r>
      <w:r>
        <w:t xml:space="preserve"> </w:t>
      </w:r>
      <w:r>
        <w:t xml:space="preserve">(global index): each shard holds the</w:t>
      </w:r>
      <w:r>
        <w:t xml:space="preserve"> </w:t>
      </w:r>
      <w:r>
        <w:rPr>
          <w:iCs/>
          <w:i/>
        </w:rPr>
        <w:t xml:space="preserve">complete</w:t>
      </w:r>
      <w:r>
        <w:t xml:space="preserve"> </w:t>
      </w:r>
      <w:r>
        <w:t xml:space="preserve">postings lists for a subset of terms. A query visits only the shards owning its terms, but a multi-term query must ship long postings lists between nodes to intersect or score them.</w:t>
      </w:r>
    </w:p>
    <w:p>
      <w:pPr>
        <w:pStyle w:val="FirstParagraph"/>
      </w:pPr>
      <w:r>
        <w:rPr>
          <w:bCs/>
          <w:b/>
        </w:rPr>
        <w:t xml:space="preserve">Figure 16.6 — Document partitioning versus term partitioning.</w:t>
      </w:r>
    </w:p>
    <w:p>
      <w:pPr>
        <w:pStyle w:val="BodyText"/>
      </w:pPr>
      <w:r>
        <w:drawing>
          <wp:inline>
            <wp:extent cx="5334000" cy="838699"/>
            <wp:effectExtent b="0" l="0" r="0" t="0"/>
            <wp:docPr descr="" title="" id="1847" name="Picture"/>
            <a:graphic>
              <a:graphicData uri="http://schemas.openxmlformats.org/drawingml/2006/picture">
                <pic:pic>
                  <pic:nvPicPr>
                    <pic:cNvPr descr="/home/user/System-Design/build/.cache/diagrams/b8b4c600535e.png" id="1848" name="Picture"/>
                    <pic:cNvPicPr>
                      <a:picLocks noChangeArrowheads="1" noChangeAspect="1"/>
                    </pic:cNvPicPr>
                  </pic:nvPicPr>
                  <pic:blipFill>
                    <a:blip r:embed="rId1846"/>
                    <a:stretch>
                      <a:fillRect/>
                    </a:stretch>
                  </pic:blipFill>
                  <pic:spPr bwMode="auto">
                    <a:xfrm>
                      <a:off x="0" y="0"/>
                      <a:ext cx="5334000" cy="838699"/>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In the upper subgraph the query fans out synchronously to every document shard; each shard runs the complete pipeline of Figure 16.4 on its own documents and returns only its top</w:t>
      </w:r>
      <w:r>
        <w:t xml:space="preserve"> </w:t>
      </w:r>
      <w:r>
        <w:rPr>
          <w:iCs/>
          <w:i/>
        </w:rPr>
        <w:t xml:space="preserve">k</w:t>
      </w:r>
      <w:r>
        <w:t xml:space="preserve"> </w:t>
      </w:r>
      <w:r>
        <w:t xml:space="preserve">(a few kilobytes), which a coordinator merges. In the lower subgraph the query goes only to the shards that own its terms, but each returns an entire postings list, potentially megabytes, which must be intersected and scored centrally. Each shard is its own storage boundary. Failure points: under document partitioning a slow or dead shard affects every query (mitigated by replicas); under term partitioning a hot term overloads one shard, and a dead shard makes every query containing its terms incomplete. Document partitioning scales by adding shards and replicas; term partitioning scales poorly for multi-term queries because network transfer grows with postings length.</w:t>
      </w:r>
    </w:p>
    <w:p>
      <w:pPr>
        <w:pStyle w:val="BodyText"/>
      </w:pPr>
      <w:r>
        <w:rPr>
          <w:bCs/>
          <w:b/>
        </w:rPr>
        <w:t xml:space="preserve">Table 16.8 — Document versus term partitioning.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Document partitioning</w:t>
            </w:r>
          </w:p>
        </w:tc>
        <w:tc>
          <w:tcPr/>
          <w:p>
            <w:pPr>
              <w:pStyle w:val="Compact"/>
              <w:jc w:val="left"/>
            </w:pPr>
            <w:r>
              <w:t xml:space="preserve">Term partitioning</w:t>
            </w:r>
          </w:p>
        </w:tc>
      </w:tr>
      <w:tr>
        <w:tc>
          <w:tcPr/>
          <w:p>
            <w:pPr>
              <w:pStyle w:val="Compact"/>
              <w:jc w:val="left"/>
            </w:pPr>
            <w:r>
              <w:t xml:space="preserve">What it is</w:t>
            </w:r>
          </w:p>
        </w:tc>
        <w:tc>
          <w:tcPr/>
          <w:p>
            <w:pPr>
              <w:pStyle w:val="Compact"/>
              <w:jc w:val="left"/>
            </w:pPr>
            <w:r>
              <w:t xml:space="preserve">Each shard indexes a subset of documents</w:t>
            </w:r>
          </w:p>
        </w:tc>
        <w:tc>
          <w:tcPr/>
          <w:p>
            <w:pPr>
              <w:pStyle w:val="Compact"/>
              <w:jc w:val="left"/>
            </w:pPr>
            <w:r>
              <w:t xml:space="preserve">Each shard owns all postings of a subset of terms</w:t>
            </w:r>
          </w:p>
        </w:tc>
      </w:tr>
      <w:tr>
        <w:tc>
          <w:tcPr/>
          <w:p>
            <w:pPr>
              <w:pStyle w:val="Compact"/>
              <w:jc w:val="left"/>
            </w:pPr>
            <w:r>
              <w:t xml:space="preserve">Query fan-out</w:t>
            </w:r>
          </w:p>
        </w:tc>
        <w:tc>
          <w:tcPr/>
          <w:p>
            <w:pPr>
              <w:pStyle w:val="Compact"/>
              <w:jc w:val="left"/>
            </w:pPr>
            <w:r>
              <w:t xml:space="preserve">All shards</w:t>
            </w:r>
          </w:p>
        </w:tc>
        <w:tc>
          <w:tcPr/>
          <w:p>
            <w:pPr>
              <w:pStyle w:val="Compact"/>
              <w:jc w:val="left"/>
            </w:pPr>
            <w:r>
              <w:t xml:space="preserve">Only shards owning query terms</w:t>
            </w:r>
          </w:p>
        </w:tc>
      </w:tr>
      <w:tr>
        <w:tc>
          <w:tcPr/>
          <w:p>
            <w:pPr>
              <w:pStyle w:val="Compact"/>
              <w:jc w:val="left"/>
            </w:pPr>
            <w:r>
              <w:t xml:space="preserve">Network per query</w:t>
            </w:r>
          </w:p>
        </w:tc>
        <w:tc>
          <w:tcPr/>
          <w:p>
            <w:pPr>
              <w:pStyle w:val="Compact"/>
              <w:jc w:val="left"/>
            </w:pPr>
            <w:r>
              <w:t xml:space="preserve">Small (top-</w:t>
            </w:r>
            <w:r>
              <w:rPr>
                <w:iCs/>
                <w:i/>
              </w:rPr>
              <w:t xml:space="preserve">k</w:t>
            </w:r>
            <w:r>
              <w:t xml:space="preserve"> </w:t>
            </w:r>
            <w:r>
              <w:t xml:space="preserve">per shard)</w:t>
            </w:r>
          </w:p>
        </w:tc>
        <w:tc>
          <w:tcPr/>
          <w:p>
            <w:pPr>
              <w:pStyle w:val="Compact"/>
              <w:jc w:val="left"/>
            </w:pPr>
            <w:r>
              <w:t xml:space="preserve">Large (full postings lists)</w:t>
            </w:r>
          </w:p>
        </w:tc>
      </w:tr>
      <w:tr>
        <w:tc>
          <w:tcPr/>
          <w:p>
            <w:pPr>
              <w:pStyle w:val="Compact"/>
              <w:jc w:val="left"/>
            </w:pPr>
            <w:r>
              <w:t xml:space="preserve">Load balance</w:t>
            </w:r>
          </w:p>
        </w:tc>
        <w:tc>
          <w:tcPr/>
          <w:p>
            <w:pPr>
              <w:pStyle w:val="Compact"/>
              <w:jc w:val="left"/>
            </w:pPr>
            <w:r>
              <w:t xml:space="preserve">Even (random document assignment)</w:t>
            </w:r>
          </w:p>
        </w:tc>
        <w:tc>
          <w:tcPr/>
          <w:p>
            <w:pPr>
              <w:pStyle w:val="Compact"/>
              <w:jc w:val="left"/>
            </w:pPr>
            <w:r>
              <w:t xml:space="preserve">Skewed (Zipfian term popularity)</w:t>
            </w:r>
          </w:p>
        </w:tc>
      </w:tr>
      <w:tr>
        <w:tc>
          <w:tcPr/>
          <w:p>
            <w:pPr>
              <w:pStyle w:val="Compact"/>
              <w:jc w:val="left"/>
            </w:pPr>
            <w:r>
              <w:t xml:space="preserve">Indexing a document</w:t>
            </w:r>
          </w:p>
        </w:tc>
        <w:tc>
          <w:tcPr/>
          <w:p>
            <w:pPr>
              <w:pStyle w:val="Compact"/>
              <w:jc w:val="left"/>
            </w:pPr>
            <w:r>
              <w:t xml:space="preserve">Writes to one shard</w:t>
            </w:r>
          </w:p>
        </w:tc>
        <w:tc>
          <w:tcPr/>
          <w:p>
            <w:pPr>
              <w:pStyle w:val="Compact"/>
              <w:jc w:val="left"/>
            </w:pPr>
            <w:r>
              <w:t xml:space="preserve">Writes to many shards (one per term)</w:t>
            </w:r>
          </w:p>
        </w:tc>
      </w:tr>
      <w:tr>
        <w:tc>
          <w:tcPr/>
          <w:p>
            <w:pPr>
              <w:pStyle w:val="Compact"/>
              <w:jc w:val="left"/>
            </w:pPr>
            <w:r>
              <w:t xml:space="preserve">Tail latency</w:t>
            </w:r>
          </w:p>
        </w:tc>
        <w:tc>
          <w:tcPr/>
          <w:p>
            <w:pPr>
              <w:pStyle w:val="Compact"/>
              <w:jc w:val="left"/>
            </w:pPr>
            <w:r>
              <w:t xml:space="preserve">Max of</w:t>
            </w:r>
            <w:r>
              <w:t xml:space="preserve"> </w:t>
            </w:r>
            <m:oMath>
              <m:r>
                <m:t>S</m:t>
              </m:r>
            </m:oMath>
            <w:r>
              <w:t xml:space="preserve"> </w:t>
            </w:r>
            <w:r>
              <w:t xml:space="preserve">shard latencies</w:t>
            </w:r>
          </w:p>
        </w:tc>
        <w:tc>
          <w:tcPr/>
          <w:p>
            <w:pPr>
              <w:pStyle w:val="Compact"/>
              <w:jc w:val="left"/>
            </w:pPr>
            <w:r>
              <w:t xml:space="preserve">Fewer shards, but long transfers</w:t>
            </w:r>
          </w:p>
        </w:tc>
      </w:tr>
      <w:tr>
        <w:tc>
          <w:tcPr/>
          <w:p>
            <w:pPr>
              <w:pStyle w:val="Compact"/>
              <w:jc w:val="left"/>
            </w:pPr>
            <w:r>
              <w:t xml:space="preserve">Used by</w:t>
            </w:r>
          </w:p>
        </w:tc>
        <w:tc>
          <w:tcPr/>
          <w:p>
            <w:pPr>
              <w:pStyle w:val="Compact"/>
              <w:jc w:val="left"/>
            </w:pPr>
            <w:r>
              <w:t xml:space="preserve">Lucene-based engines, Google (as published), Earlybird</w:t>
            </w:r>
          </w:p>
        </w:tc>
        <w:tc>
          <w:tcPr/>
          <w:p>
            <w:pPr>
              <w:pStyle w:val="Compact"/>
              <w:jc w:val="left"/>
            </w:pPr>
            <w:r>
              <w:t xml:space="preserve">Research systems; rarely in production</w:t>
            </w:r>
          </w:p>
        </w:tc>
      </w:tr>
      <w:tr>
        <w:tc>
          <w:tcPr/>
          <w:p>
            <w:pPr>
              <w:pStyle w:val="Compact"/>
              <w:jc w:val="left"/>
            </w:pPr>
            <w:r>
              <w:t xml:space="preserve">Choose when</w:t>
            </w:r>
          </w:p>
        </w:tc>
        <w:tc>
          <w:tcPr/>
          <w:p>
            <w:pPr>
              <w:pStyle w:val="Compact"/>
              <w:jc w:val="left"/>
            </w:pPr>
            <w:r>
              <w:t xml:space="preserve">Almost always</w:t>
            </w:r>
          </w:p>
        </w:tc>
        <w:tc>
          <w:tcPr/>
          <w:p>
            <w:pPr>
              <w:pStyle w:val="Compact"/>
              <w:jc w:val="left"/>
            </w:pPr>
            <w:r>
              <w:t xml:space="preserve">Very high query rate of single-term lookups</w:t>
            </w:r>
          </w:p>
        </w:tc>
      </w:tr>
    </w:tbl>
    <w:p>
      <w:pPr>
        <w:pStyle w:val="BodyText"/>
      </w:pPr>
      <w:r>
        <w:t xml:space="preserve">Document partitioning wins in practice because it is simple, balanced and fault-tolerant; Dean’s retrospective describes Google’s serving system as replicated document-partitioned shards behind fan-out servers [Dean 2009].</w:t>
      </w:r>
    </w:p>
    <w:bookmarkEnd w:id="1849"/>
    <w:bookmarkStart w:id="1850" w:name="replicas"/>
    <w:p>
      <w:pPr>
        <w:pStyle w:val="Heading3"/>
      </w:pPr>
      <w:r>
        <w:t xml:space="preserve">16.7.2 Replicas</w:t>
      </w:r>
    </w:p>
    <w:p>
      <w:pPr>
        <w:pStyle w:val="FirstParagraph"/>
      </w:pPr>
      <w:r>
        <w:t xml:space="preserve">Each shard has</w:t>
      </w:r>
      <w:r>
        <w:t xml:space="preserve"> </w:t>
      </w:r>
      <m:oMath>
        <m:r>
          <m:t>r</m:t>
        </m:r>
      </m:oMath>
      <w:r>
        <w:t xml:space="preserve"> </w:t>
      </w:r>
      <w:r>
        <w:rPr>
          <w:bCs/>
          <w:b/>
        </w:rPr>
        <w:t xml:space="preserve">replicas</w:t>
      </w:r>
      <w:r>
        <w:t xml:space="preserve"> </w:t>
      </w:r>
      <w:r>
        <w:t xml:space="preserve">on other nodes and zones, for</w:t>
      </w:r>
      <w:r>
        <w:t xml:space="preserve"> </w:t>
      </w:r>
      <w:r>
        <w:rPr>
          <w:bCs/>
          <w:b/>
        </w:rPr>
        <w:t xml:space="preserve">availability</w:t>
      </w:r>
      <w:r>
        <w:t xml:space="preserve"> </w:t>
      </w:r>
      <w:r>
        <w:t xml:space="preserve">and</w:t>
      </w:r>
      <w:r>
        <w:t xml:space="preserve"> </w:t>
      </w:r>
      <w:r>
        <w:rPr>
          <w:bCs/>
          <w:b/>
        </w:rPr>
        <w:t xml:space="preserve">query throughput</w:t>
      </w:r>
      <w:r>
        <w:t xml:space="preserve"> </w:t>
      </w:r>
      <w:r>
        <w:t xml:space="preserve">(any copy can answer). Replicas do not speed up indexing: every copy indexes every write. If each query costs</w:t>
      </w:r>
      <w:r>
        <w:t xml:space="preserve"> </w:t>
      </w:r>
      <m:oMath>
        <m:r>
          <m:t>c</m:t>
        </m:r>
      </m:oMath>
      <w:r>
        <w:t xml:space="preserve"> </w:t>
      </w:r>
      <w:r>
        <w:t xml:space="preserve">CPU-seconds on each of</w:t>
      </w:r>
      <w:r>
        <w:t xml:space="preserve"> </w:t>
      </w:r>
      <m:oMath>
        <m:r>
          <m:t>S</m:t>
        </m:r>
      </m:oMath>
      <w:r>
        <w:t xml:space="preserve"> </w:t>
      </w:r>
      <w:r>
        <w:t xml:space="preserve">shards at peak rate</w:t>
      </w:r>
      <w:r>
        <w:t xml:space="preserve"> </w:t>
      </w:r>
      <m:oMath>
        <m:r>
          <m:t>λ</m:t>
        </m:r>
      </m:oMath>
      <w:r>
        <w:t xml:space="preserve">, the cluster needs about</w:t>
      </w:r>
      <w:r>
        <w:t xml:space="preserve"> </w:t>
      </w:r>
      <m:oMath>
        <m:r>
          <m:t>λ</m:t>
        </m:r>
        <m:r>
          <m:t>S</m:t>
        </m:r>
        <m:r>
          <m:t>c</m:t>
        </m:r>
        <m:r>
          <m:rPr>
            <m:sty m:val="p"/>
          </m:rPr>
          <m:t>/</m:t>
        </m:r>
        <m:r>
          <m:t>U</m:t>
        </m:r>
      </m:oMath>
      <w:r>
        <w:t xml:space="preserve"> </w:t>
      </w:r>
      <w:r>
        <w:t xml:space="preserve">cores at utilization</w:t>
      </w:r>
      <w:r>
        <w:t xml:space="preserve"> </w:t>
      </w:r>
      <m:oMath>
        <m:r>
          <m:t>U</m:t>
        </m:r>
      </m:oMath>
      <w:r>
        <w:t xml:space="preserve">: 2,000 queries/s × 10 shards × 4 ms ÷ 0.5 = 160 cores, or 10 sixteen-core nodes holding, say, 20 shard copies.</w:t>
      </w:r>
    </w:p>
    <w:bookmarkEnd w:id="1850"/>
    <w:bookmarkStart w:id="1851" w:name="scattergather-and-tail-latency"/>
    <w:p>
      <w:pPr>
        <w:pStyle w:val="Heading3"/>
      </w:pPr>
      <w:r>
        <w:t xml:space="preserve">16.7.3 Scatter–gather and tail latency</w:t>
      </w:r>
    </w:p>
    <w:p>
      <w:pPr>
        <w:pStyle w:val="FirstParagraph"/>
      </w:pPr>
      <w:r>
        <w:t xml:space="preserve">A document-partitioned query is a</w:t>
      </w:r>
      <w:r>
        <w:t xml:space="preserve"> </w:t>
      </w:r>
      <w:r>
        <w:rPr>
          <w:bCs/>
          <w:b/>
        </w:rPr>
        <w:t xml:space="preserve">scatter–gather</w:t>
      </w:r>
      <w:r>
        <w:t xml:space="preserve">: a coordinator scatters the query to one copy of each of</w:t>
      </w:r>
      <w:r>
        <w:t xml:space="preserve"> </w:t>
      </w:r>
      <m:oMath>
        <m:r>
          <m:t>S</m:t>
        </m:r>
      </m:oMath>
      <w:r>
        <w:t xml:space="preserve"> </w:t>
      </w:r>
      <w:r>
        <w:t xml:space="preserve">shards and gathers their answers. The response time is the</w:t>
      </w:r>
      <w:r>
        <w:t xml:space="preserve"> </w:t>
      </w:r>
      <w:r>
        <w:rPr>
          <w:iCs/>
          <w:i/>
        </w:rPr>
        <w:t xml:space="preserve">maximum</w:t>
      </w:r>
      <w:r>
        <w:t xml:space="preserve"> </w:t>
      </w:r>
      <w:r>
        <w:t xml:space="preserve">of</w:t>
      </w:r>
      <w:r>
        <w:t xml:space="preserve"> </w:t>
      </w:r>
      <m:oMath>
        <m:r>
          <m:t>S</m:t>
        </m:r>
      </m:oMath>
      <w:r>
        <w:t xml:space="preserve"> </w:t>
      </w:r>
      <w:r>
        <w:t xml:space="preserve">shard latencies, so the fan-out amplification of §4.8.4 applies directly.</w:t>
      </w:r>
    </w:p>
    <w:p>
      <w:pPr>
        <w:pStyle w:val="CalloutFormula"/>
      </w:pPr>
      <w:r>
        <w:rPr>
          <w:bCs/>
          <w:b/>
        </w:rPr>
        <w:t xml:space="preserve">FORMULA</w:t>
      </w:r>
    </w:p>
    <w:p>
      <w:pPr>
        <w:pStyle w:val="CalloutFormula"/>
      </w:pPr>
      <w:r>
        <w:rPr>
          <w:bCs/>
          <w:b/>
        </w:rPr>
        <w:t xml:space="preserve">Scatter–gather tail latency</w:t>
      </w:r>
    </w:p>
    <w:p>
      <w:pPr>
        <w:pStyle w:val="CalloutFormula"/>
      </w:pPr>
      <m:oMathPara>
        <m:oMathParaPr>
          <m:jc m:val="center"/>
        </m:oMathParaPr>
        <m:oMath>
          <m:r>
            <m:t>P</m:t>
          </m:r>
          <m:d>
            <m:dPr>
              <m:begChr m:val="("/>
              <m:endChr m:val=")"/>
              <m:sepChr m:val=""/>
              <m:grow/>
            </m:dPr>
            <m:e>
              <m:r>
                <m:rPr>
                  <m:nor/>
                  <m:sty m:val="p"/>
                </m:rPr>
                <m:t>query fast</m:t>
              </m:r>
            </m:e>
          </m:d>
          <m:r>
            <m:rPr>
              <m:sty m:val="p"/>
            </m:rPr>
            <m:t>=</m:t>
          </m:r>
          <m:sSup>
            <m:e>
              <m:r>
                <m:t>p</m:t>
              </m:r>
            </m:e>
            <m:sup>
              <m:r>
                <m:t>S</m:t>
              </m:r>
            </m:sup>
          </m:sSup>
          <m:r>
            <m:t>  </m:t>
          </m:r>
          <m:sSub>
            <m:e>
              <m:r>
                <m:t>q</m:t>
              </m:r>
            </m:e>
            <m:sub>
              <m:r>
                <m:rPr>
                  <m:nor/>
                  <m:sty m:val="p"/>
                </m:rPr>
                <m:t>shard</m:t>
              </m:r>
            </m:sub>
          </m:sSub>
          <m:r>
            <m:rPr>
              <m:sty m:val="p"/>
            </m:rPr>
            <m:t>=</m:t>
          </m:r>
          <m:sSubSup>
            <m:e>
              <m:r>
                <m:t>q</m:t>
              </m:r>
            </m:e>
            <m:sub>
              <m:r>
                <m:rPr>
                  <m:nor/>
                  <m:sty m:val="p"/>
                </m:rPr>
                <m:t>query</m:t>
              </m:r>
            </m:sub>
            <m:sup>
              <m:r>
                <m:t>1</m:t>
              </m:r>
              <m:r>
                <m:rPr>
                  <m:sty m:val="p"/>
                </m:rPr>
                <m:t>/</m:t>
              </m:r>
              <m:r>
                <m:t>S</m:t>
              </m:r>
            </m:sup>
          </m:sSubSup>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p</m:t>
              </m:r>
            </m:oMath>
          </w:p>
        </w:tc>
        <w:tc>
          <w:tcPr/>
          <w:p>
            <w:pPr>
              <w:pStyle w:val="Compact"/>
              <w:jc w:val="left"/>
            </w:pPr>
            <w:r>
              <w:t xml:space="preserve">Probability one shard answers within threshold</w:t>
            </w:r>
            <w:r>
              <w:t xml:space="preserve"> </w:t>
            </w:r>
            <m:oMath>
              <m:r>
                <m:t>T</m:t>
              </m:r>
            </m:oMath>
          </w:p>
        </w:tc>
        <w:tc>
          <w:tcPr/>
          <w:p>
            <w:pPr>
              <w:pStyle w:val="Compact"/>
              <w:jc w:val="left"/>
            </w:pPr>
            <w:r>
              <w:t xml:space="preserve">dimensionless</w:t>
            </w:r>
          </w:p>
        </w:tc>
      </w:tr>
      <w:tr>
        <w:tc>
          <w:tcPr/>
          <w:p>
            <w:pPr>
              <w:pStyle w:val="Compact"/>
              <w:jc w:val="left"/>
            </w:pPr>
            <m:oMath>
              <m:r>
                <m:t>S</m:t>
              </m:r>
            </m:oMath>
          </w:p>
        </w:tc>
        <w:tc>
          <w:tcPr/>
          <w:p>
            <w:pPr>
              <w:pStyle w:val="Compact"/>
              <w:jc w:val="left"/>
            </w:pPr>
            <w:r>
              <w:t xml:space="preserve">Number of shards the query waits for</w:t>
            </w:r>
          </w:p>
        </w:tc>
        <w:tc>
          <w:tcPr/>
          <w:p>
            <w:pPr>
              <w:pStyle w:val="Compact"/>
              <w:jc w:val="left"/>
            </w:pPr>
            <w:r>
              <w:t xml:space="preserve">count</w:t>
            </w:r>
          </w:p>
        </w:tc>
      </w:tr>
      <w:tr>
        <w:tc>
          <w:tcPr/>
          <w:p>
            <w:pPr>
              <w:pStyle w:val="Compact"/>
              <w:jc w:val="left"/>
            </w:pPr>
            <m:oMath>
              <m:r>
                <m:t>P</m:t>
              </m:r>
              <m:d>
                <m:dPr>
                  <m:begChr m:val="("/>
                  <m:endChr m:val=")"/>
                  <m:sepChr m:val=""/>
                  <m:grow/>
                </m:dPr>
                <m:e>
                  <m:r>
                    <m:rPr>
                      <m:nor/>
                      <m:sty m:val="p"/>
                    </m:rPr>
                    <m:t>query fast</m:t>
                  </m:r>
                </m:e>
              </m:d>
            </m:oMath>
          </w:p>
        </w:tc>
        <w:tc>
          <w:tcPr/>
          <w:p>
            <w:pPr>
              <w:pStyle w:val="Compact"/>
              <w:jc w:val="left"/>
            </w:pPr>
            <w:r>
              <w:t xml:space="preserve">Probability all</w:t>
            </w:r>
            <w:r>
              <w:t xml:space="preserve"> </w:t>
            </w:r>
            <m:oMath>
              <m:r>
                <m:t>S</m:t>
              </m:r>
            </m:oMath>
            <w:r>
              <w:t xml:space="preserve"> </w:t>
            </w:r>
            <w:r>
              <w:t xml:space="preserve">shards answer within</w:t>
            </w:r>
            <w:r>
              <w:t xml:space="preserve"> </w:t>
            </w:r>
            <m:oMath>
              <m:r>
                <m:t>T</m:t>
              </m:r>
            </m:oMath>
          </w:p>
        </w:tc>
        <w:tc>
          <w:tcPr/>
          <w:p>
            <w:pPr>
              <w:pStyle w:val="Compact"/>
              <w:jc w:val="left"/>
            </w:pPr>
            <w:r>
              <w:t xml:space="preserve">dimensionless</w:t>
            </w:r>
          </w:p>
        </w:tc>
      </w:tr>
      <w:tr>
        <w:tc>
          <w:tcPr/>
          <w:p>
            <w:pPr>
              <w:pStyle w:val="Compact"/>
              <w:jc w:val="left"/>
            </w:pPr>
            <m:oMath>
              <m:sSub>
                <m:e>
                  <m:r>
                    <m:t>q</m:t>
                  </m:r>
                </m:e>
                <m:sub>
                  <m:r>
                    <m:rPr>
                      <m:nor/>
                      <m:sty m:val="p"/>
                    </m:rPr>
                    <m:t>query</m:t>
                  </m:r>
                </m:sub>
              </m:sSub>
            </m:oMath>
          </w:p>
        </w:tc>
        <w:tc>
          <w:tcPr/>
          <w:p>
            <w:pPr>
              <w:pStyle w:val="Compact"/>
              <w:jc w:val="left"/>
            </w:pPr>
            <w:r>
              <w:t xml:space="preserve">Target percentile for the whole query (e.g. 0.99)</w:t>
            </w:r>
          </w:p>
        </w:tc>
        <w:tc>
          <w:tcPr/>
          <w:p>
            <w:pPr>
              <w:pStyle w:val="Compact"/>
              <w:jc w:val="left"/>
            </w:pPr>
            <w:r>
              <w:t xml:space="preserve">dimensionless</w:t>
            </w:r>
          </w:p>
        </w:tc>
      </w:tr>
      <w:tr>
        <w:tc>
          <w:tcPr/>
          <w:p>
            <w:pPr>
              <w:pStyle w:val="Compact"/>
              <w:jc w:val="left"/>
            </w:pPr>
            <m:oMath>
              <m:sSub>
                <m:e>
                  <m:r>
                    <m:t>q</m:t>
                  </m:r>
                </m:e>
                <m:sub>
                  <m:r>
                    <m:rPr>
                      <m:nor/>
                      <m:sty m:val="p"/>
                    </m:rPr>
                    <m:t>shard</m:t>
                  </m:r>
                </m:sub>
              </m:sSub>
            </m:oMath>
          </w:p>
        </w:tc>
        <w:tc>
          <w:tcPr/>
          <w:p>
            <w:pPr>
              <w:pStyle w:val="Compact"/>
              <w:jc w:val="left"/>
            </w:pPr>
            <w:r>
              <w:t xml:space="preserve">Percentile each shard must meet at</w:t>
            </w:r>
            <w:r>
              <w:t xml:space="preserve"> </w:t>
            </w:r>
            <m:oMath>
              <m:r>
                <m:t>T</m:t>
              </m:r>
            </m:oMath>
          </w:p>
        </w:tc>
        <w:tc>
          <w:tcPr/>
          <w:p>
            <w:pPr>
              <w:pStyle w:val="Compact"/>
              <w:jc w:val="left"/>
            </w:pPr>
            <w:r>
              <w:t xml:space="preserve">dimensionless</w:t>
            </w:r>
          </w:p>
        </w:tc>
      </w:tr>
    </w:tbl>
    <w:p>
      <w:pPr>
        <w:pStyle w:val="CalloutExample"/>
      </w:pPr>
      <w:r>
        <w:rPr>
          <w:bCs/>
          <w:b/>
        </w:rPr>
        <w:t xml:space="preserve">WORKED EXAMPLE</w:t>
      </w:r>
    </w:p>
    <w:p>
      <w:pPr>
        <w:pStyle w:val="CalloutExample"/>
      </w:pPr>
      <w:r>
        <w:rPr>
          <w:bCs/>
          <w:b/>
        </w:rPr>
        <w:t xml:space="preserve">Worked example — 20 and 100 shards.</w:t>
      </w:r>
      <w:r>
        <w:t xml:space="preserve"> </w:t>
      </w:r>
      <w:r>
        <w:t xml:space="preserve">Each shard’s latency is log-normal with median 8 ms and p99 25.6 ms (simulated below). Assume independence.</w:t>
      </w:r>
    </w:p>
    <w:p>
      <w:pPr>
        <w:numPr>
          <w:ilvl w:val="0"/>
          <w:numId w:val="1544"/>
        </w:numPr>
        <w:pStyle w:val="Compact"/>
      </w:pPr>
      <m:oMath>
        <m:r>
          <m:t>S</m:t>
        </m:r>
        <m:r>
          <m:rPr>
            <m:sty m:val="p"/>
          </m:rPr>
          <m:t>=</m:t>
        </m:r>
        <m:r>
          <m:t>20</m:t>
        </m:r>
      </m:oMath>
      <w:r>
        <w:t xml:space="preserve">:</w:t>
      </w:r>
      <w:r>
        <w:t xml:space="preserve"> </w:t>
      </w:r>
      <m:oMath>
        <m:r>
          <m:t>P</m:t>
        </m:r>
        <m:d>
          <m:dPr>
            <m:begChr m:val="("/>
            <m:endChr m:val=")"/>
            <m:sepChr m:val=""/>
            <m:grow/>
          </m:dPr>
          <m:e>
            <m:r>
              <m:rPr>
                <m:nor/>
                <m:sty m:val="p"/>
              </m:rPr>
              <m:t>all</m:t>
            </m:r>
            <m:r>
              <m:rPr>
                <m:sty m:val="p"/>
              </m:rPr>
              <m:t>≤</m:t>
            </m:r>
            <m:r>
              <m:t>25.6</m:t>
            </m:r>
            <m:r>
              <m:t> </m:t>
            </m:r>
            <m:r>
              <m:rPr>
                <m:nor/>
                <m:sty m:val="p"/>
              </m:rPr>
              <m:t>ms</m:t>
            </m:r>
          </m:e>
        </m:d>
        <m:r>
          <m:rPr>
            <m:sty m:val="p"/>
          </m:rPr>
          <m:t>=</m:t>
        </m:r>
        <m:sSup>
          <m:e>
            <m:r>
              <m:t>0.99</m:t>
            </m:r>
          </m:e>
          <m:sup>
            <m:r>
              <m:t>20</m:t>
            </m:r>
          </m:sup>
        </m:sSup>
        <m:r>
          <m:rPr>
            <m:sty m:val="p"/>
          </m:rPr>
          <m:t>=</m:t>
        </m:r>
        <m:r>
          <m:t>0.818</m:t>
        </m:r>
      </m:oMath>
      <w:r>
        <w:t xml:space="preserve">; 18% of queries wait longer than the shard p99.</w:t>
      </w:r>
    </w:p>
    <w:p>
      <w:pPr>
        <w:numPr>
          <w:ilvl w:val="0"/>
          <w:numId w:val="1544"/>
        </w:numPr>
        <w:pStyle w:val="Compact"/>
      </w:pPr>
      <w:r>
        <w:t xml:space="preserve">For the</w:t>
      </w:r>
      <w:r>
        <w:t xml:space="preserve"> </w:t>
      </w:r>
      <w:r>
        <w:rPr>
          <w:iCs/>
          <w:i/>
        </w:rPr>
        <w:t xml:space="preserve">query</w:t>
      </w:r>
      <w:r>
        <w:t xml:space="preserve"> </w:t>
      </w:r>
      <w:r>
        <w:t xml:space="preserve">p99 to be 25.6 ms, each shard needs</w:t>
      </w:r>
      <w:r>
        <w:t xml:space="preserve"> </w:t>
      </w:r>
      <m:oMath>
        <m:sSup>
          <m:e>
            <m:r>
              <m:t>0.99</m:t>
            </m:r>
          </m:e>
          <m:sup>
            <m:r>
              <m:t>1</m:t>
            </m:r>
            <m:r>
              <m:rPr>
                <m:sty m:val="p"/>
              </m:rPr>
              <m:t>/</m:t>
            </m:r>
            <m:r>
              <m:t>20</m:t>
            </m:r>
          </m:sup>
        </m:sSup>
        <m:r>
          <m:rPr>
            <m:sty m:val="p"/>
          </m:rPr>
          <m:t>=</m:t>
        </m:r>
        <m:r>
          <m:t>0.99950</m:t>
        </m:r>
      </m:oMath>
      <w:r>
        <w:t xml:space="preserve">, its p99.95 at 25.6 ms.</w:t>
      </w:r>
    </w:p>
    <w:p>
      <w:pPr>
        <w:numPr>
          <w:ilvl w:val="0"/>
          <w:numId w:val="1544"/>
        </w:numPr>
        <w:pStyle w:val="Compact"/>
      </w:pPr>
      <m:oMath>
        <m:r>
          <m:t>S</m:t>
        </m:r>
        <m:r>
          <m:rPr>
            <m:sty m:val="p"/>
          </m:rPr>
          <m:t>=</m:t>
        </m:r>
        <m:r>
          <m:t>100</m:t>
        </m:r>
      </m:oMath>
      <w:r>
        <w:t xml:space="preserve">:</w:t>
      </w:r>
      <w:r>
        <w:t xml:space="preserve"> </w:t>
      </w:r>
      <m:oMath>
        <m:sSup>
          <m:e>
            <m:r>
              <m:t>0.99</m:t>
            </m:r>
          </m:e>
          <m:sup>
            <m:r>
              <m:t>100</m:t>
            </m:r>
          </m:sup>
        </m:sSup>
        <m:r>
          <m:rPr>
            <m:sty m:val="p"/>
          </m:rPr>
          <m:t>=</m:t>
        </m:r>
        <m:r>
          <m:t>0.366</m:t>
        </m:r>
      </m:oMath>
      <w:r>
        <w:t xml:space="preserve">. The query median becomes the shard’s $0.5^{1/100} = $ p99.3, which is 27.4 ms, more than three times the shard median, and the query p99 is about 51 ms.</w:t>
      </w:r>
    </w:p>
    <w:p>
      <w:pPr>
        <w:pStyle w:val="CalloutExample"/>
      </w:pPr>
      <w:r>
        <w:rPr>
          <w:bCs/>
          <w:b/>
        </w:rPr>
        <w:t xml:space="preserve">Interpretation.</w:t>
      </w:r>
      <w:r>
        <w:t xml:space="preserve"> </w:t>
      </w:r>
      <w:r>
        <w:t xml:space="preserve">Adding shards makes every shard’s work smaller but makes the query wait for the unluckiest of more shards.</w:t>
      </w:r>
      <w:r>
        <w:t xml:space="preserve"> </w:t>
      </w:r>
      <w:r>
        <w:rPr>
          <w:bCs/>
          <w:b/>
        </w:rPr>
        <w:t xml:space="preserve">Engineering implication.</w:t>
      </w:r>
      <w:r>
        <w:t xml:space="preserve"> </w:t>
      </w:r>
      <w:r>
        <w:t xml:space="preserve">Use the fewest shards that meet size and throughput needs (§16.8.2), and use tail-tolerant techniques:</w:t>
      </w:r>
      <w:r>
        <w:t xml:space="preserve"> </w:t>
      </w:r>
      <w:r>
        <w:rPr>
          <w:bCs/>
          <w:b/>
        </w:rPr>
        <w:t xml:space="preserve">hedged requests</w:t>
      </w:r>
      <w:r>
        <w:t xml:space="preserve"> </w:t>
      </w:r>
      <w:r>
        <w:t xml:space="preserve">to a second replica after a delay [Dean and Barroso 2013],</w:t>
      </w:r>
      <w:r>
        <w:t xml:space="preserve"> </w:t>
      </w:r>
      <w:r>
        <w:rPr>
          <w:bCs/>
          <w:b/>
        </w:rPr>
        <w:t xml:space="preserve">adaptive replica selection</w:t>
      </w:r>
      <w:r>
        <w:t xml:space="preserve"> </w:t>
      </w:r>
      <w:r>
        <w:t xml:space="preserve">that routes to the replica with the best recent latency and queue length (on by default in Elasticsearch since 7.0, based on the C3 algorithm [Suresh et al. 2015]), and per-shard</w:t>
      </w:r>
      <w:r>
        <w:t xml:space="preserve"> </w:t>
      </w:r>
      <w:r>
        <w:rPr>
          <w:bCs/>
          <w:b/>
        </w:rPr>
        <w:t xml:space="preserve">timeouts with partial results</w:t>
      </w:r>
      <w:r>
        <w:t xml:space="preserve">, accepting slightly incomplete answers rather than slow ones.</w:t>
      </w:r>
    </w:p>
    <w:p>
      <w:pPr>
        <w:pStyle w:val="SourceCode"/>
      </w:pPr>
      <w:r>
        <w:rPr>
          <w:rStyle w:val="CommentTok"/>
        </w:rPr>
        <w:t xml:space="preserve">"""Scatter-gather tail latency: a query waits for the slowest of S shards.</w:t>
      </w:r>
      <w:r>
        <w:br/>
      </w:r>
      <w:r>
        <w:rPr>
          <w:rStyle w:val="CommentTok"/>
        </w:rPr>
        <w:t xml:space="preserve">Monte Carlo check of P(all fast) = p**S, and the latency percentiles of max(S shard latencies)."""</w:t>
      </w:r>
      <w:r>
        <w:br/>
      </w:r>
      <w:r>
        <w:rPr>
          <w:rStyle w:val="ImportTok"/>
        </w:rPr>
        <w:t xml:space="preserve">import</w:t>
      </w:r>
      <w:r>
        <w:rPr>
          <w:rStyle w:val="NormalTok"/>
        </w:rPr>
        <w:t xml:space="preserve"> math</w:t>
      </w:r>
      <w:r>
        <w:br/>
      </w:r>
      <w:r>
        <w:rPr>
          <w:rStyle w:val="ImportTok"/>
        </w:rPr>
        <w:t xml:space="preserve">import</w:t>
      </w:r>
      <w:r>
        <w:rPr>
          <w:rStyle w:val="NormalTok"/>
        </w:rPr>
        <w:t xml:space="preserve"> random</w:t>
      </w:r>
      <w:r>
        <w:br/>
      </w:r>
      <w:r>
        <w:br/>
      </w:r>
      <w:r>
        <w:rPr>
          <w:rStyle w:val="KeywordTok"/>
        </w:rPr>
        <w:t xml:space="preserve">def</w:t>
      </w:r>
      <w:r>
        <w:rPr>
          <w:rStyle w:val="NormalTok"/>
        </w:rPr>
        <w:t xml:space="preserve"> shard_latency_ms(rng):</w:t>
      </w:r>
      <w:r>
        <w:br/>
      </w:r>
      <w:r>
        <w:rPr>
          <w:rStyle w:val="NormalTok"/>
        </w:rPr>
        <w:t xml:space="preserve">    </w:t>
      </w:r>
      <w:r>
        <w:rPr>
          <w:rStyle w:val="CommentTok"/>
        </w:rPr>
        <w:t xml:space="preserve"># Log-normal per-shard latency: median 8 ms, a heavy-ish right tail (p99 ~ 25.6 ms).</w:t>
      </w:r>
      <w:r>
        <w:br/>
      </w:r>
      <w:r>
        <w:rPr>
          <w:rStyle w:val="NormalTok"/>
        </w:rPr>
        <w:t xml:space="preserve">    </w:t>
      </w:r>
      <w:r>
        <w:rPr>
          <w:rStyle w:val="ControlFlowTok"/>
        </w:rPr>
        <w:t xml:space="preserve">return</w:t>
      </w:r>
      <w:r>
        <w:rPr>
          <w:rStyle w:val="NormalTok"/>
        </w:rPr>
        <w:t xml:space="preserve"> </w:t>
      </w:r>
      <w:r>
        <w:rPr>
          <w:rStyle w:val="FloatTok"/>
        </w:rPr>
        <w:t xml:space="preserve">8.0</w:t>
      </w:r>
      <w:r>
        <w:rPr>
          <w:rStyle w:val="NormalTok"/>
        </w:rPr>
        <w:t xml:space="preserve"> </w:t>
      </w:r>
      <w:r>
        <w:rPr>
          <w:rStyle w:val="OperatorTok"/>
        </w:rPr>
        <w:t xml:space="preserve">*</w:t>
      </w:r>
      <w:r>
        <w:rPr>
          <w:rStyle w:val="NormalTok"/>
        </w:rPr>
        <w:t xml:space="preserve"> math.exp(rng.gauss(</w:t>
      </w:r>
      <w:r>
        <w:rPr>
          <w:rStyle w:val="FloatTok"/>
        </w:rPr>
        <w:t xml:space="preserve">0.0</w:t>
      </w:r>
      <w:r>
        <w:rPr>
          <w:rStyle w:val="NormalTok"/>
        </w:rPr>
        <w:t xml:space="preserve">, </w:t>
      </w:r>
      <w:r>
        <w:rPr>
          <w:rStyle w:val="FloatTok"/>
        </w:rPr>
        <w:t xml:space="preserve">0.5</w:t>
      </w:r>
      <w:r>
        <w:rPr>
          <w:rStyle w:val="NormalTok"/>
        </w:rPr>
        <w:t xml:space="preserve">))</w:t>
      </w:r>
      <w:r>
        <w:br/>
      </w:r>
      <w:r>
        <w:br/>
      </w:r>
      <w:r>
        <w:rPr>
          <w:rStyle w:val="KeywordTok"/>
        </w:rPr>
        <w:t xml:space="preserve">def</w:t>
      </w:r>
      <w:r>
        <w:rPr>
          <w:rStyle w:val="NormalTok"/>
        </w:rPr>
        <w:t xml:space="preserve"> percentile(sorted_vals, q):</w:t>
      </w:r>
      <w:r>
        <w:br/>
      </w:r>
      <w:r>
        <w:rPr>
          <w:rStyle w:val="NormalTok"/>
        </w:rPr>
        <w:t xml:space="preserve">    </w:t>
      </w:r>
      <w:r>
        <w:rPr>
          <w:rStyle w:val="ControlFlowTok"/>
        </w:rPr>
        <w:t xml:space="preserve">return</w:t>
      </w:r>
      <w:r>
        <w:rPr>
          <w:rStyle w:val="NormalTok"/>
        </w:rPr>
        <w:t xml:space="preserve"> sorted_vals[</w:t>
      </w:r>
      <w:r>
        <w:rPr>
          <w:rStyle w:val="BuiltInTok"/>
        </w:rPr>
        <w:t xml:space="preserve">min</w:t>
      </w:r>
      <w:r>
        <w:rPr>
          <w:rStyle w:val="NormalTok"/>
        </w:rPr>
        <w:t xml:space="preserve">(</w:t>
      </w:r>
      <w:r>
        <w:rPr>
          <w:rStyle w:val="BuiltInTok"/>
        </w:rPr>
        <w:t xml:space="preserve">len</w:t>
      </w:r>
      <w:r>
        <w:rPr>
          <w:rStyle w:val="NormalTok"/>
        </w:rPr>
        <w:t xml:space="preserve">(sorted_vals) </w:t>
      </w:r>
      <w:r>
        <w:rPr>
          <w:rStyle w:val="OperatorTok"/>
        </w:rPr>
        <w:t xml:space="preserve">-</w:t>
      </w:r>
      <w:r>
        <w:rPr>
          <w:rStyle w:val="NormalTok"/>
        </w:rPr>
        <w:t xml:space="preserve"> </w:t>
      </w:r>
      <w:r>
        <w:rPr>
          <w:rStyle w:val="DecValTok"/>
        </w:rPr>
        <w:t xml:space="preserve">1</w:t>
      </w:r>
      <w:r>
        <w:rPr>
          <w:rStyle w:val="NormalTok"/>
        </w:rPr>
        <w:t xml:space="preserve">, </w:t>
      </w:r>
      <w:r>
        <w:rPr>
          <w:rStyle w:val="BuiltInTok"/>
        </w:rPr>
        <w:t xml:space="preserve">int</w:t>
      </w:r>
      <w:r>
        <w:rPr>
          <w:rStyle w:val="NormalTok"/>
        </w:rPr>
        <w:t xml:space="preserve">(q </w:t>
      </w:r>
      <w:r>
        <w:rPr>
          <w:rStyle w:val="OperatorTok"/>
        </w:rPr>
        <w:t xml:space="preserve">*</w:t>
      </w:r>
      <w:r>
        <w:rPr>
          <w:rStyle w:val="NormalTok"/>
        </w:rPr>
        <w:t xml:space="preserve"> </w:t>
      </w:r>
      <w:r>
        <w:rPr>
          <w:rStyle w:val="BuiltInTok"/>
        </w:rPr>
        <w:t xml:space="preserve">len</w:t>
      </w:r>
      <w:r>
        <w:rPr>
          <w:rStyle w:val="NormalTok"/>
        </w:rPr>
        <w:t xml:space="preserve">(sorted_vals)))]</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rng </w:t>
      </w:r>
      <w:r>
        <w:rPr>
          <w:rStyle w:val="OperatorTok"/>
        </w:rPr>
        <w:t xml:space="preserve">=</w:t>
      </w:r>
      <w:r>
        <w:rPr>
          <w:rStyle w:val="NormalTok"/>
        </w:rPr>
        <w:t xml:space="preserve"> random.Random(</w:t>
      </w:r>
      <w:r>
        <w:rPr>
          <w:rStyle w:val="DecValTok"/>
        </w:rPr>
        <w:t xml:space="preserve">42</w:t>
      </w:r>
      <w:r>
        <w:rPr>
          <w:rStyle w:val="NormalTok"/>
        </w:rPr>
        <w:t xml:space="preserve">)</w:t>
      </w:r>
      <w:r>
        <w:br/>
      </w:r>
      <w:r>
        <w:rPr>
          <w:rStyle w:val="NormalTok"/>
        </w:rPr>
        <w:t xml:space="preserve">    trials </w:t>
      </w:r>
      <w:r>
        <w:rPr>
          <w:rStyle w:val="OperatorTok"/>
        </w:rPr>
        <w:t xml:space="preserve">=</w:t>
      </w:r>
      <w:r>
        <w:rPr>
          <w:rStyle w:val="NormalTok"/>
        </w:rPr>
        <w:t xml:space="preserve"> </w:t>
      </w:r>
      <w:r>
        <w:rPr>
          <w:rStyle w:val="DecValTok"/>
        </w:rPr>
        <w:t xml:space="preserve">20_000</w:t>
      </w:r>
      <w:r>
        <w:br/>
      </w:r>
      <w:r>
        <w:rPr>
          <w:rStyle w:val="NormalTok"/>
        </w:rPr>
        <w:t xml:space="preserve">    single </w:t>
      </w:r>
      <w:r>
        <w:rPr>
          <w:rStyle w:val="OperatorTok"/>
        </w:rPr>
        <w:t xml:space="preserve">=</w:t>
      </w:r>
      <w:r>
        <w:rPr>
          <w:rStyle w:val="NormalTok"/>
        </w:rPr>
        <w:t xml:space="preserve"> </w:t>
      </w:r>
      <w:r>
        <w:rPr>
          <w:rStyle w:val="BuiltInTok"/>
        </w:rPr>
        <w:t xml:space="preserve">sorted</w:t>
      </w:r>
      <w:r>
        <w:rPr>
          <w:rStyle w:val="NormalTok"/>
        </w:rPr>
        <w:t xml:space="preserve">(shard_latency_ms(rng)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200_000</w:t>
      </w:r>
      <w:r>
        <w:rPr>
          <w:rStyle w:val="NormalTok"/>
        </w:rPr>
        <w:t xml:space="preserve">))</w:t>
      </w:r>
      <w:r>
        <w:br/>
      </w:r>
      <w:r>
        <w:rPr>
          <w:rStyle w:val="NormalTok"/>
        </w:rPr>
        <w:t xml:space="preserve">    t99 </w:t>
      </w:r>
      <w:r>
        <w:rPr>
          <w:rStyle w:val="OperatorTok"/>
        </w:rPr>
        <w:t xml:space="preserve">=</w:t>
      </w:r>
      <w:r>
        <w:rPr>
          <w:rStyle w:val="NormalTok"/>
        </w:rPr>
        <w:t xml:space="preserve"> percentile(single, </w:t>
      </w:r>
      <w:r>
        <w:rPr>
          <w:rStyle w:val="FloatTok"/>
        </w:rPr>
        <w:t xml:space="preserve">0.99</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f"one shard: p50=</w:t>
      </w:r>
      <w:r>
        <w:rPr>
          <w:rStyle w:val="SpecialCharTok"/>
        </w:rPr>
        <w:t xml:space="preserve">{</w:t>
      </w:r>
      <w:r>
        <w:rPr>
          <w:rStyle w:val="NormalTok"/>
        </w:rPr>
        <w:t xml:space="preserve">percentile(single, </w:t>
      </w:r>
      <w:r>
        <w:rPr>
          <w:rStyle w:val="FloatTok"/>
        </w:rPr>
        <w:t xml:space="preserve">0.50</w:t>
      </w:r>
      <w:r>
        <w:rPr>
          <w:rStyle w:val="NormalTok"/>
        </w:rPr>
        <w:t xml:space="preserve">)</w:t>
      </w:r>
      <w:r>
        <w:rPr>
          <w:rStyle w:val="SpecialCharTok"/>
        </w:rPr>
        <w:t xml:space="preserve">:.1f}</w:t>
      </w:r>
      <w:r>
        <w:rPr>
          <w:rStyle w:val="SpecialStringTok"/>
        </w:rPr>
        <w:t xml:space="preserve"> ms  p99=</w:t>
      </w:r>
      <w:r>
        <w:rPr>
          <w:rStyle w:val="SpecialCharTok"/>
        </w:rPr>
        <w:t xml:space="preserve">{</w:t>
      </w:r>
      <w:r>
        <w:rPr>
          <w:rStyle w:val="NormalTok"/>
        </w:rPr>
        <w:t xml:space="preserve">t99</w:t>
      </w:r>
      <w:r>
        <w:rPr>
          <w:rStyle w:val="SpecialCharTok"/>
        </w:rPr>
        <w:t xml:space="preserve">:.1f}</w:t>
      </w:r>
      <w:r>
        <w:rPr>
          <w:rStyle w:val="SpecialStringTok"/>
        </w:rPr>
        <w:t xml:space="preserve"> ms"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S   P(all&lt;shard p99) sim  0.99**S   query p50   query p99"</w:t>
      </w:r>
      <w:r>
        <w:rPr>
          <w:rStyle w:val="NormalTok"/>
        </w:rPr>
        <w:t xml:space="preserve">)</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DecValTok"/>
        </w:rPr>
        <w:t xml:space="preserve">1</w:t>
      </w:r>
      <w:r>
        <w:rPr>
          <w:rStyle w:val="NormalTok"/>
        </w:rPr>
        <w:t xml:space="preserve">, </w:t>
      </w:r>
      <w:r>
        <w:rPr>
          <w:rStyle w:val="DecValTok"/>
        </w:rPr>
        <w:t xml:space="preserve">10</w:t>
      </w:r>
      <w:r>
        <w:rPr>
          <w:rStyle w:val="NormalTok"/>
        </w:rPr>
        <w:t xml:space="preserve">, </w:t>
      </w:r>
      <w:r>
        <w:rPr>
          <w:rStyle w:val="DecValTok"/>
        </w:rPr>
        <w:t xml:space="preserve">50</w:t>
      </w:r>
      <w:r>
        <w:rPr>
          <w:rStyle w:val="NormalTok"/>
        </w:rPr>
        <w:t xml:space="preserve">, </w:t>
      </w:r>
      <w:r>
        <w:rPr>
          <w:rStyle w:val="DecValTok"/>
        </w:rPr>
        <w:t xml:space="preserve">100</w:t>
      </w:r>
      <w:r>
        <w:rPr>
          <w:rStyle w:val="NormalTok"/>
        </w:rPr>
        <w:t xml:space="preserve">, </w:t>
      </w:r>
      <w:r>
        <w:rPr>
          <w:rStyle w:val="DecValTok"/>
        </w:rPr>
        <w:t xml:space="preserve">200</w:t>
      </w:r>
      <w:r>
        <w:rPr>
          <w:rStyle w:val="NormalTok"/>
        </w:rPr>
        <w:t xml:space="preserve">):</w:t>
      </w:r>
      <w:r>
        <w:br/>
      </w:r>
      <w:r>
        <w:rPr>
          <w:rStyle w:val="NormalTok"/>
        </w:rPr>
        <w:t xml:space="preserve">        maxes </w:t>
      </w:r>
      <w:r>
        <w:rPr>
          <w:rStyle w:val="OperatorTok"/>
        </w:rPr>
        <w:t xml:space="preserve">=</w:t>
      </w:r>
      <w:r>
        <w:rPr>
          <w:rStyle w:val="NormalTok"/>
        </w:rPr>
        <w:t xml:space="preserve"> </w:t>
      </w:r>
      <w:r>
        <w:rPr>
          <w:rStyle w:val="BuiltInTok"/>
        </w:rPr>
        <w:t xml:space="preserve">sorted</w:t>
      </w:r>
      <w:r>
        <w:rPr>
          <w:rStyle w:val="NormalTok"/>
        </w:rPr>
        <w:t xml:space="preserve">(</w:t>
      </w:r>
      <w:r>
        <w:rPr>
          <w:rStyle w:val="BuiltInTok"/>
        </w:rPr>
        <w:t xml:space="preserve">max</w:t>
      </w:r>
      <w:r>
        <w:rPr>
          <w:rStyle w:val="NormalTok"/>
        </w:rPr>
        <w:t xml:space="preserve">(shard_latency_ms(rng)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(S))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(trials))</w:t>
      </w:r>
      <w:r>
        <w:br/>
      </w:r>
      <w:r>
        <w:rPr>
          <w:rStyle w:val="NormalTok"/>
        </w:rPr>
        <w:t xml:space="preserve">        fast </w:t>
      </w:r>
      <w:r>
        <w:rPr>
          <w:rStyle w:val="OperatorTok"/>
        </w:rPr>
        <w:t xml:space="preserve">=</w:t>
      </w:r>
      <w:r>
        <w:rPr>
          <w:rStyle w:val="NormalTok"/>
        </w:rPr>
        <w:t xml:space="preserve"> </w:t>
      </w:r>
      <w:r>
        <w:rPr>
          <w:rStyle w:val="BuiltInTok"/>
        </w:rPr>
        <w:t xml:space="preserve">sum</w:t>
      </w:r>
      <w:r>
        <w:rPr>
          <w:rStyle w:val="NormalTok"/>
        </w:rPr>
        <w:t xml:space="preserve">(m </w:t>
      </w:r>
      <w:r>
        <w:rPr>
          <w:rStyle w:val="OperatorTok"/>
        </w:rPr>
        <w:t xml:space="preserve">&lt;=</w:t>
      </w:r>
      <w:r>
        <w:rPr>
          <w:rStyle w:val="NormalTok"/>
        </w:rPr>
        <w:t xml:space="preserve"> t99 </w:t>
      </w:r>
      <w:r>
        <w:rPr>
          <w:rStyle w:val="ControlFlowTok"/>
        </w:rPr>
        <w:t xml:space="preserve">for</w:t>
      </w:r>
      <w:r>
        <w:rPr>
          <w:rStyle w:val="NormalTok"/>
        </w:rPr>
        <w:t xml:space="preserve"> m </w:t>
      </w:r>
      <w:r>
        <w:rPr>
          <w:rStyle w:val="KeywordTok"/>
        </w:rPr>
        <w:t xml:space="preserve">in</w:t>
      </w:r>
      <w:r>
        <w:rPr>
          <w:rStyle w:val="NormalTok"/>
        </w:rPr>
        <w:t xml:space="preserve"> maxes) </w:t>
      </w:r>
      <w:r>
        <w:rPr>
          <w:rStyle w:val="OperatorTok"/>
        </w:rPr>
        <w:t xml:space="preserve">/</w:t>
      </w:r>
      <w:r>
        <w:rPr>
          <w:rStyle w:val="NormalTok"/>
        </w:rPr>
        <w:t xml:space="preserve"> trials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S</w:t>
      </w:r>
      <w:r>
        <w:rPr>
          <w:rStyle w:val="SpecialCharTok"/>
        </w:rPr>
        <w:t xml:space="preserve">:&gt;3}</w:t>
      </w:r>
      <w:r>
        <w:rPr>
          <w:rStyle w:val="SpecialStringTok"/>
        </w:rPr>
        <w:t xml:space="preserve">   </w:t>
      </w:r>
      <w:r>
        <w:rPr>
          <w:rStyle w:val="SpecialCharTok"/>
        </w:rPr>
        <w:t xml:space="preserve">{</w:t>
      </w:r>
      <w:r>
        <w:rPr>
          <w:rStyle w:val="NormalTok"/>
        </w:rPr>
        <w:t xml:space="preserve">fast</w:t>
      </w:r>
      <w:r>
        <w:rPr>
          <w:rStyle w:val="SpecialCharTok"/>
        </w:rPr>
        <w:t xml:space="preserve">:&gt;18.3f}</w:t>
      </w:r>
      <w:r>
        <w:rPr>
          <w:rStyle w:val="SpecialStringTok"/>
        </w:rPr>
        <w:t xml:space="preserve">  </w:t>
      </w:r>
      <w:r>
        <w:rPr>
          <w:rStyle w:val="SpecialCharTok"/>
        </w:rPr>
        <w:t xml:space="preserve">{</w:t>
      </w:r>
      <w:r>
        <w:rPr>
          <w:rStyle w:val="FloatTok"/>
        </w:rPr>
        <w:t xml:space="preserve">0.99</w:t>
      </w:r>
      <w:r>
        <w:rPr>
          <w:rStyle w:val="NormalTok"/>
        </w:rPr>
        <w:t xml:space="preserve"> </w:t>
      </w:r>
      <w:r>
        <w:rPr>
          <w:rStyle w:val="OperatorTok"/>
        </w:rPr>
        <w:t xml:space="preserve">**</w:t>
      </w:r>
      <w:r>
        <w:rPr>
          <w:rStyle w:val="NormalTok"/>
        </w:rPr>
        <w:t xml:space="preserve"> S</w:t>
      </w:r>
      <w:r>
        <w:rPr>
          <w:rStyle w:val="SpecialCharTok"/>
        </w:rPr>
        <w:t xml:space="preserve">:&gt;7.3f}</w:t>
      </w:r>
      <w:r>
        <w:rPr>
          <w:rStyle w:val="SpecialStringTok"/>
        </w:rPr>
        <w:t xml:space="preserve">   </w:t>
      </w:r>
      <w:r>
        <w:rPr>
          <w:rStyle w:val="SpecialCharTok"/>
        </w:rPr>
        <w:t xml:space="preserve">{</w:t>
      </w:r>
      <w:r>
        <w:rPr>
          <w:rStyle w:val="NormalTok"/>
        </w:rPr>
        <w:t xml:space="preserve">percentile(maxes, </w:t>
      </w:r>
      <w:r>
        <w:rPr>
          <w:rStyle w:val="FloatTok"/>
        </w:rPr>
        <w:t xml:space="preserve">0.5</w:t>
      </w:r>
      <w:r>
        <w:rPr>
          <w:rStyle w:val="NormalTok"/>
        </w:rPr>
        <w:t xml:space="preserve">)</w:t>
      </w:r>
      <w:r>
        <w:rPr>
          <w:rStyle w:val="SpecialCharTok"/>
        </w:rPr>
        <w:t xml:space="preserve">:&gt;6.1f}</w:t>
      </w:r>
      <w:r>
        <w:rPr>
          <w:rStyle w:val="SpecialStringTok"/>
        </w:rPr>
        <w:t xml:space="preserve"> ms"</w:t>
      </w:r>
      <w:r>
        <w:br/>
      </w:r>
      <w:r>
        <w:rPr>
          <w:rStyle w:val="NormalTok"/>
        </w:rPr>
        <w:t xml:space="preserve">              </w:t>
      </w:r>
      <w:r>
        <w:rPr>
          <w:rStyle w:val="SpecialStringTok"/>
        </w:rPr>
        <w:t xml:space="preserve">f"   </w:t>
      </w:r>
      <w:r>
        <w:rPr>
          <w:rStyle w:val="SpecialCharTok"/>
        </w:rPr>
        <w:t xml:space="preserve">{</w:t>
      </w:r>
      <w:r>
        <w:rPr>
          <w:rStyle w:val="NormalTok"/>
        </w:rPr>
        <w:t xml:space="preserve">percentile(maxes, </w:t>
      </w:r>
      <w:r>
        <w:rPr>
          <w:rStyle w:val="FloatTok"/>
        </w:rPr>
        <w:t xml:space="preserve">0.99</w:t>
      </w:r>
      <w:r>
        <w:rPr>
          <w:rStyle w:val="NormalTok"/>
        </w:rPr>
        <w:t xml:space="preserve">)</w:t>
      </w:r>
      <w:r>
        <w:rPr>
          <w:rStyle w:val="SpecialCharTok"/>
        </w:rPr>
        <w:t xml:space="preserve">:&gt;6.1f}</w:t>
      </w:r>
      <w:r>
        <w:rPr>
          <w:rStyle w:val="SpecialStringTok"/>
        </w:rPr>
        <w:t xml:space="preserve"> ms"</w:t>
      </w:r>
      <w:r>
        <w:rPr>
          <w:rStyle w:val="NormalTok"/>
        </w:rPr>
        <w:t xml:space="preserve">)</w:t>
      </w:r>
    </w:p>
    <w:p>
      <w:pPr>
        <w:pStyle w:val="FirstParagraph"/>
      </w:pPr>
      <w:r>
        <w:t xml:space="preserve">Output:</w:t>
      </w:r>
    </w:p>
    <w:p>
      <w:pPr>
        <w:pStyle w:val="SourceCode"/>
      </w:pPr>
      <w:r>
        <w:rPr>
          <w:rStyle w:val="VerbatimChar"/>
        </w:rPr>
        <w:t xml:space="preserve">one shard: p50=8.0 ms  p99=25.6 ms</w:t>
      </w:r>
      <w:r>
        <w:br/>
      </w:r>
      <w:r>
        <w:rPr>
          <w:rStyle w:val="VerbatimChar"/>
        </w:rPr>
        <w:t xml:space="preserve"> S   P(all&lt;shard p99) sim  0.99**S   query p50   query p99</w:t>
      </w:r>
      <w:r>
        <w:br/>
      </w:r>
      <w:r>
        <w:rPr>
          <w:rStyle w:val="VerbatimChar"/>
        </w:rPr>
        <w:t xml:space="preserve">  1                0.991    0.990      8.0 ms     25.2 ms</w:t>
      </w:r>
      <w:r>
        <w:br/>
      </w:r>
      <w:r>
        <w:rPr>
          <w:rStyle w:val="VerbatimChar"/>
        </w:rPr>
        <w:t xml:space="preserve"> 10                0.904    0.904     16.9 ms     37.7 ms</w:t>
      </w:r>
      <w:r>
        <w:br/>
      </w:r>
      <w:r>
        <w:rPr>
          <w:rStyle w:val="VerbatimChar"/>
        </w:rPr>
        <w:t xml:space="preserve"> 50                0.614    0.605     24.0 ms     46.9 ms</w:t>
      </w:r>
      <w:r>
        <w:br/>
      </w:r>
      <w:r>
        <w:rPr>
          <w:rStyle w:val="VerbatimChar"/>
        </w:rPr>
        <w:t xml:space="preserve">100                0.367    0.366     27.4 ms     51.1 ms</w:t>
      </w:r>
      <w:r>
        <w:br/>
      </w:r>
      <w:r>
        <w:rPr>
          <w:rStyle w:val="VerbatimChar"/>
        </w:rPr>
        <w:t xml:space="preserve">200                0.136    0.134     30.9 ms     56.3 ms</w:t>
      </w:r>
    </w:p>
    <w:p>
      <w:pPr>
        <w:pStyle w:val="FirstParagraph"/>
      </w:pPr>
      <w:r>
        <w:t xml:space="preserve">What to notice: the simulation matches</w:t>
      </w:r>
      <w:r>
        <w:t xml:space="preserve"> </w:t>
      </w:r>
      <m:oMath>
        <m:sSup>
          <m:e>
            <m:r>
              <m:t>0.99</m:t>
            </m:r>
          </m:e>
          <m:sup>
            <m:r>
              <m:t>S</m:t>
            </m:r>
          </m:sup>
        </m:sSup>
      </m:oMath>
      <w:r>
        <w:t xml:space="preserve">; the query</w:t>
      </w:r>
      <w:r>
        <w:t xml:space="preserve"> </w:t>
      </w:r>
      <w:r>
        <w:rPr>
          <w:iCs/>
          <w:i/>
        </w:rPr>
        <w:t xml:space="preserve">median</w:t>
      </w:r>
      <w:r>
        <w:t xml:space="preserve"> </w:t>
      </w:r>
      <w:r>
        <w:t xml:space="preserve">at 100 shards (27.4 ms) is worse than a single shard’s p99. Real shard latencies are also correlated (garbage-collection pauses, merges, a noisy neighbor), which makes the tail worse than the independent model.</w:t>
      </w:r>
    </w:p>
    <w:bookmarkEnd w:id="1851"/>
    <w:bookmarkStart w:id="1855" w:name="two-phase-query-then-fetch"/>
    <w:p>
      <w:pPr>
        <w:pStyle w:val="Heading3"/>
      </w:pPr>
      <w:r>
        <w:t xml:space="preserve">16.7.4 Two-phase query-then-fetch</w:t>
      </w:r>
    </w:p>
    <w:p>
      <w:pPr>
        <w:pStyle w:val="FirstParagraph"/>
      </w:pPr>
      <w:r>
        <w:t xml:space="preserve">Shipping full documents from every shard would waste bandwidth, since most are discarded during the merge. Elasticsearch therefore runs a search in two phases [Elastic Docs: search_type].</w:t>
      </w:r>
    </w:p>
    <w:p>
      <w:pPr>
        <w:pStyle w:val="BodyText"/>
      </w:pPr>
      <w:r>
        <w:rPr>
          <w:bCs/>
          <w:b/>
        </w:rPr>
        <w:t xml:space="preserve">Figure 16.7 — Query-then-fetch across three shards.</w:t>
      </w:r>
    </w:p>
    <w:p>
      <w:pPr>
        <w:pStyle w:val="BodyText"/>
      </w:pPr>
      <w:r>
        <w:drawing>
          <wp:inline>
            <wp:extent cx="5334000" cy="3958651"/>
            <wp:effectExtent b="0" l="0" r="0" t="0"/>
            <wp:docPr descr="" title="" id="1853" name="Picture"/>
            <a:graphic>
              <a:graphicData uri="http://schemas.openxmlformats.org/drawingml/2006/picture">
                <pic:pic>
                  <pic:nvPicPr>
                    <pic:cNvPr descr="/home/user/System-Design/build/.cache/diagrams/de60c14c5e20.png" id="1854" name="Picture"/>
                    <pic:cNvPicPr>
                      <a:picLocks noChangeArrowheads="1" noChangeAspect="1"/>
                    </pic:cNvPicPr>
                  </pic:nvPicPr>
                  <pic:blipFill>
                    <a:blip r:embed="rId1852"/>
                    <a:stretch>
                      <a:fillRect/>
                    </a:stretch>
                  </pic:blipFill>
                  <pic:spPr bwMode="auto">
                    <a:xfrm>
                      <a:off x="0" y="0"/>
                      <a:ext cx="5334000" cy="3958651"/>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client sends one request to any node, which acts as</w:t>
      </w:r>
      <w:r>
        <w:t xml:space="preserve"> </w:t>
      </w:r>
      <w:r>
        <w:rPr>
          <w:bCs/>
          <w:b/>
        </w:rPr>
        <w:t xml:space="preserve">coordinating node</w:t>
      </w:r>
      <w:r>
        <w:t xml:space="preserve">. In the</w:t>
      </w:r>
      <w:r>
        <w:t xml:space="preserve"> </w:t>
      </w:r>
      <w:r>
        <w:rPr>
          <w:bCs/>
          <w:b/>
        </w:rPr>
        <w:t xml:space="preserve">query phase</w:t>
      </w:r>
      <w:r>
        <w:t xml:space="preserve"> </w:t>
      </w:r>
      <w:r>
        <w:t xml:space="preserve">it sends the query in parallel to one copy of every shard; each returns only docIDs and scores for its local top 10. The coordinator merges the 30 entries into a global top 10. In the</w:t>
      </w:r>
      <w:r>
        <w:t xml:space="preserve"> </w:t>
      </w:r>
      <w:r>
        <w:rPr>
          <w:bCs/>
          <w:b/>
        </w:rPr>
        <w:t xml:space="preserve">fetch phase</w:t>
      </w:r>
      <w:r>
        <w:t xml:space="preserve"> </w:t>
      </w:r>
      <w:r>
        <w:t xml:space="preserve">it asks only the shards that own those 10 documents for stored fields (</w:t>
      </w:r>
      <w:r>
        <w:rPr>
          <w:rStyle w:val="VerbatimChar"/>
        </w:rPr>
        <w:t xml:space="preserve">_source</w:t>
      </w:r>
      <w:r>
        <w:t xml:space="preserve">) and highlighted snippets; shard B contributed nothing to the top 10, so it is not contacted. All calls are synchronous RPCs over the cluster transport protocol; each shard copy is a storage boundary. Failure points: a slow shard delays the query phase for everyone (§16.7.3); a shard copy that fails between phases forces a retry on another replica. The design scales because the expensive document payload is read for only</w:t>
      </w:r>
      <w:r>
        <w:t xml:space="preserve"> </w:t>
      </w:r>
      <m:oMath>
        <m:r>
          <m:t>k</m:t>
        </m:r>
      </m:oMath>
      <w:r>
        <w:t xml:space="preserve"> </w:t>
      </w:r>
      <w:r>
        <w:t xml:space="preserve">documents, not</w:t>
      </w:r>
      <w:r>
        <w:t xml:space="preserve"> </w:t>
      </w:r>
      <m:oMath>
        <m:r>
          <m:t>S</m:t>
        </m:r>
        <m:r>
          <m:rPr>
            <m:sty m:val="p"/>
          </m:rPr>
          <m:t>×</m:t>
        </m:r>
        <m:r>
          <m:t>k</m:t>
        </m:r>
      </m:oMath>
      <w:r>
        <w:t xml:space="preserve">.</w:t>
      </w:r>
    </w:p>
    <w:p>
      <w:pPr>
        <w:pStyle w:val="CalloutFormula"/>
      </w:pPr>
      <w:r>
        <w:rPr>
          <w:bCs/>
          <w:b/>
        </w:rPr>
        <w:t xml:space="preserve">FORMULA</w:t>
      </w:r>
    </w:p>
    <w:p>
      <w:pPr>
        <w:pStyle w:val="CalloutFormula"/>
      </w:pPr>
      <w:r>
        <w:rPr>
          <w:bCs/>
          <w:b/>
        </w:rPr>
        <w:t xml:space="preserve">Deep pagination cost at the coordinator</w:t>
      </w:r>
    </w:p>
    <w:p>
      <w:pPr>
        <w:pStyle w:val="CalloutFormula"/>
      </w:pPr>
      <m:oMathPara>
        <m:oMathParaPr>
          <m:jc m:val="center"/>
        </m:oMathParaPr>
        <m:oMath>
          <m:r>
            <m:t>E</m:t>
          </m:r>
          <m:r>
            <m:rPr>
              <m:sty m:val="p"/>
            </m:rPr>
            <m:t>=</m:t>
          </m:r>
          <m:r>
            <m:t>S</m:t>
          </m:r>
          <m:r>
            <m:rPr>
              <m:sty m:val="p"/>
            </m:rPr>
            <m:t>⋅</m:t>
          </m:r>
          <m:d>
            <m:dPr>
              <m:begChr m:val="("/>
              <m:endChr m:val=")"/>
              <m:sepChr m:val=""/>
              <m:grow/>
            </m:dPr>
            <m:e>
              <m:r>
                <m:rPr>
                  <m:nor/>
                  <m:sty m:val="i"/>
                </m:rPr>
                <m:t>from</m:t>
              </m:r>
              <m:r>
                <m:rPr>
                  <m:sty m:val="p"/>
                </m:rPr>
                <m:t>+</m:t>
              </m:r>
              <m:r>
                <m:rPr>
                  <m:nor/>
                  <m:sty m:val="i"/>
                </m:rPr>
                <m:t>size</m:t>
              </m:r>
            </m:e>
          </m:d>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S</m:t>
              </m:r>
            </m:oMath>
          </w:p>
        </w:tc>
        <w:tc>
          <w:tcPr/>
          <w:p>
            <w:pPr>
              <w:pStyle w:val="Compact"/>
              <w:jc w:val="left"/>
            </w:pPr>
            <w:r>
              <w:t xml:space="preserve">Shards queried</w:t>
            </w:r>
          </w:p>
        </w:tc>
        <w:tc>
          <w:tcPr/>
          <w:p>
            <w:pPr>
              <w:pStyle w:val="Compact"/>
              <w:jc w:val="left"/>
            </w:pPr>
            <w:r>
              <w:t xml:space="preserve">count</w:t>
            </w:r>
          </w:p>
        </w:tc>
      </w:tr>
      <w:tr>
        <w:tc>
          <w:tcPr/>
          <w:p>
            <w:pPr>
              <w:pStyle w:val="Compact"/>
              <w:jc w:val="left"/>
            </w:pPr>
            <m:oMath>
              <m:r>
                <m:rPr>
                  <m:nor/>
                  <m:sty m:val="i"/>
                </m:rPr>
                <m:t>from</m:t>
              </m:r>
            </m:oMath>
          </w:p>
        </w:tc>
        <w:tc>
          <w:tcPr/>
          <w:p>
            <w:pPr>
              <w:pStyle w:val="Compact"/>
              <w:jc w:val="left"/>
            </w:pPr>
            <w:r>
              <w:t xml:space="preserve">Offset of the first requested result</w:t>
            </w:r>
          </w:p>
        </w:tc>
        <w:tc>
          <w:tcPr/>
          <w:p>
            <w:pPr>
              <w:pStyle w:val="Compact"/>
              <w:jc w:val="left"/>
            </w:pPr>
            <w:r>
              <w:t xml:space="preserve">results</w:t>
            </w:r>
          </w:p>
        </w:tc>
      </w:tr>
      <w:tr>
        <w:tc>
          <w:tcPr/>
          <w:p>
            <w:pPr>
              <w:pStyle w:val="Compact"/>
              <w:jc w:val="left"/>
            </w:pPr>
            <m:oMath>
              <m:r>
                <m:rPr>
                  <m:nor/>
                  <m:sty m:val="i"/>
                </m:rPr>
                <m:t>size</m:t>
              </m:r>
            </m:oMath>
          </w:p>
        </w:tc>
        <w:tc>
          <w:tcPr/>
          <w:p>
            <w:pPr>
              <w:pStyle w:val="Compact"/>
              <w:jc w:val="left"/>
            </w:pPr>
            <w:r>
              <w:t xml:space="preserve">Results per page</w:t>
            </w:r>
          </w:p>
        </w:tc>
        <w:tc>
          <w:tcPr/>
          <w:p>
            <w:pPr>
              <w:pStyle w:val="Compact"/>
              <w:jc w:val="left"/>
            </w:pPr>
            <w:r>
              <w:t xml:space="preserve">results</w:t>
            </w:r>
          </w:p>
        </w:tc>
      </w:tr>
      <w:tr>
        <w:tc>
          <w:tcPr/>
          <w:p>
            <w:pPr>
              <w:pStyle w:val="Compact"/>
              <w:jc w:val="left"/>
            </w:pPr>
            <m:oMath>
              <m:r>
                <m:t>E</m:t>
              </m:r>
            </m:oMath>
          </w:p>
        </w:tc>
        <w:tc>
          <w:tcPr/>
          <w:p>
            <w:pPr>
              <w:pStyle w:val="Compact"/>
              <w:jc w:val="left"/>
            </w:pPr>
            <w:r>
              <w:t xml:space="preserve">Entries every query phase must return and the coordinator must merge</w:t>
            </w:r>
          </w:p>
        </w:tc>
        <w:tc>
          <w:tcPr/>
          <w:p>
            <w:pPr>
              <w:pStyle w:val="Compact"/>
              <w:jc w:val="left"/>
            </w:pPr>
            <w:r>
              <w:t xml:space="preserve">entries</w:t>
            </w:r>
          </w:p>
        </w:tc>
      </w:tr>
    </w:tbl>
    <w:p>
      <w:pPr>
        <w:pStyle w:val="CalloutExample"/>
      </w:pPr>
      <w:r>
        <w:rPr>
          <w:bCs/>
          <w:b/>
        </w:rPr>
        <w:t xml:space="preserve">WORKED EXAMPLE</w:t>
      </w:r>
    </w:p>
    <w:p>
      <w:pPr>
        <w:pStyle w:val="CalloutExample"/>
      </w:pPr>
      <w:r>
        <w:rPr>
          <w:bCs/>
          <w:b/>
        </w:rPr>
        <w:t xml:space="preserve">Worked example — page 500.</w:t>
      </w:r>
      <w:r>
        <w:t xml:space="preserve"> </w:t>
      </w:r>
      <m:oMath>
        <m:r>
          <m:t>S</m:t>
        </m:r>
        <m:r>
          <m:rPr>
            <m:sty m:val="p"/>
          </m:rPr>
          <m:t>=</m:t>
        </m:r>
        <m:r>
          <m:t>20</m:t>
        </m:r>
      </m:oMath>
      <w:r>
        <w:t xml:space="preserve"> </w:t>
      </w:r>
      <w:r>
        <w:t xml:space="preserve">shards, 20 results per page.</w:t>
      </w:r>
    </w:p>
    <w:p>
      <w:pPr>
        <w:numPr>
          <w:ilvl w:val="0"/>
          <w:numId w:val="1545"/>
        </w:numPr>
        <w:pStyle w:val="Compact"/>
      </w:pPr>
      <w:r>
        <w:t xml:space="preserve">Page 1:</w:t>
      </w:r>
      <w:r>
        <w:t xml:space="preserve"> </w:t>
      </w:r>
      <m:oMath>
        <m:r>
          <m:t>E</m:t>
        </m:r>
        <m:r>
          <m:rPr>
            <m:sty m:val="p"/>
          </m:rPr>
          <m:t>=</m:t>
        </m:r>
        <m:r>
          <m:t>20</m:t>
        </m:r>
        <m:r>
          <m:rPr>
            <m:sty m:val="p"/>
          </m:rPr>
          <m:t>×</m:t>
        </m:r>
        <m:d>
          <m:dPr>
            <m:begChr m:val="("/>
            <m:endChr m:val=")"/>
            <m:sepChr m:val=""/>
            <m:grow/>
          </m:dPr>
          <m:e>
            <m:r>
              <m:t>0</m:t>
            </m:r>
            <m:r>
              <m:rPr>
                <m:sty m:val="p"/>
              </m:rPr>
              <m:t>+</m:t>
            </m:r>
            <m:r>
              <m:t>20</m:t>
            </m:r>
          </m:e>
        </m:d>
        <m:r>
          <m:rPr>
            <m:sty m:val="p"/>
          </m:rPr>
          <m:t>=</m:t>
        </m:r>
        <m:r>
          <m:t>400</m:t>
        </m:r>
      </m:oMath>
      <w:r>
        <w:t xml:space="preserve"> </w:t>
      </w:r>
      <w:r>
        <w:t xml:space="preserve">entries.</w:t>
      </w:r>
    </w:p>
    <w:p>
      <w:pPr>
        <w:numPr>
          <w:ilvl w:val="0"/>
          <w:numId w:val="1545"/>
        </w:numPr>
        <w:pStyle w:val="Compact"/>
      </w:pPr>
      <w:r>
        <w:t xml:space="preserve">Page 500:</w:t>
      </w:r>
      <w:r>
        <w:t xml:space="preserve"> </w:t>
      </w:r>
      <m:oMath>
        <m:r>
          <m:rPr>
            <m:nor/>
            <m:sty m:val="i"/>
          </m:rPr>
          <m:t>from</m:t>
        </m:r>
        <m:r>
          <m:rPr>
            <m:sty m:val="p"/>
          </m:rPr>
          <m:t>=</m:t>
        </m:r>
        <m:r>
          <m:t>499</m:t>
        </m:r>
        <m:r>
          <m:rPr>
            <m:sty m:val="p"/>
          </m:rPr>
          <m:t>×</m:t>
        </m:r>
        <m:r>
          <m:t>20</m:t>
        </m:r>
        <m:r>
          <m:rPr>
            <m:sty m:val="p"/>
          </m:rPr>
          <m:t>=</m:t>
        </m:r>
        <m:r>
          <m:t>9</m:t>
        </m:r>
        <m:r>
          <m:rPr>
            <m:sty m:val="p"/>
          </m:rPr>
          <m:t>,</m:t>
        </m:r>
        <m:r>
          <m:t>980</m:t>
        </m:r>
      </m:oMath>
      <w:r>
        <w:t xml:space="preserve">, so</w:t>
      </w:r>
      <w:r>
        <w:t xml:space="preserve"> </w:t>
      </w:r>
      <m:oMath>
        <m:r>
          <m:t>E</m:t>
        </m:r>
        <m:r>
          <m:rPr>
            <m:sty m:val="p"/>
          </m:rPr>
          <m:t>=</m:t>
        </m:r>
        <m:r>
          <m:t>20</m:t>
        </m:r>
        <m:r>
          <m:rPr>
            <m:sty m:val="p"/>
          </m:rPr>
          <m:t>×</m:t>
        </m:r>
        <m:r>
          <m:t>10</m:t>
        </m:r>
        <m:r>
          <m:rPr>
            <m:sty m:val="p"/>
          </m:rPr>
          <m:t>,</m:t>
        </m:r>
        <m:r>
          <m:t>000</m:t>
        </m:r>
        <m:r>
          <m:rPr>
            <m:sty m:val="p"/>
          </m:rPr>
          <m:t>=</m:t>
        </m:r>
        <m:r>
          <m:t>200</m:t>
        </m:r>
        <m:r>
          <m:rPr>
            <m:sty m:val="p"/>
          </m:rPr>
          <m:t>,</m:t>
        </m:r>
        <m:r>
          <m:t>000</m:t>
        </m:r>
      </m:oMath>
      <w:r>
        <w:t xml:space="preserve"> </w:t>
      </w:r>
      <w:r>
        <w:t xml:space="preserve">entries, 500× more, and each shard must also keep a heap of 10,000.</w:t>
      </w:r>
    </w:p>
    <w:p>
      <w:pPr>
        <w:pStyle w:val="CalloutExample"/>
      </w:pPr>
      <w:r>
        <w:rPr>
          <w:bCs/>
          <w:b/>
        </w:rPr>
        <w:t xml:space="preserve">Interpretation.</w:t>
      </w:r>
      <w:r>
        <w:t xml:space="preserve"> </w:t>
      </w:r>
      <w:r>
        <w:t xml:space="preserve">Deep pages cost in proportion to their depth.</w:t>
      </w:r>
      <w:r>
        <w:t xml:space="preserve"> </w:t>
      </w:r>
      <w:r>
        <w:rPr>
          <w:bCs/>
          <w:b/>
        </w:rPr>
        <w:t xml:space="preserve">Engineering implication.</w:t>
      </w:r>
      <w:r>
        <w:t xml:space="preserve"> </w:t>
      </w:r>
      <w:r>
        <w:t xml:space="preserve">Elasticsearch rejects requests with</w:t>
      </w:r>
      <w:r>
        <w:t xml:space="preserve"> </w:t>
      </w:r>
      <m:oMath>
        <m:r>
          <m:rPr>
            <m:nor/>
            <m:sty m:val="i"/>
          </m:rPr>
          <m:t>from</m:t>
        </m:r>
        <m:r>
          <m:rPr>
            <m:sty m:val="p"/>
          </m:rPr>
          <m:t>+</m:t>
        </m:r>
        <m:r>
          <m:rPr>
            <m:nor/>
            <m:sty m:val="i"/>
          </m:rPr>
          <m:t>size</m:t>
        </m:r>
      </m:oMath>
      <w:r>
        <w:t xml:space="preserve"> </w:t>
      </w:r>
      <w:r>
        <w:t xml:space="preserve">above</w:t>
      </w:r>
      <w:r>
        <w:t xml:space="preserve"> </w:t>
      </w:r>
      <w:r>
        <w:rPr>
          <w:rStyle w:val="VerbatimChar"/>
        </w:rPr>
        <w:t xml:space="preserve">index.max_result_window</w:t>
      </w:r>
      <w:r>
        <w:t xml:space="preserve">, 10,000 by default. Use</w:t>
      </w:r>
      <w:r>
        <w:t xml:space="preserve"> </w:t>
      </w:r>
      <w:r>
        <w:rPr>
          <w:rStyle w:val="VerbatimChar"/>
        </w:rPr>
        <w:t xml:space="preserve">search_after</w:t>
      </w:r>
      <w:r>
        <w:t xml:space="preserve"> </w:t>
      </w:r>
      <w:r>
        <w:t xml:space="preserve">with a sort tiebreaker (and a point-in-time snapshot) for deep scrolling, and the scroll or point-in-time APIs for exports.</w:t>
      </w:r>
    </w:p>
    <w:bookmarkEnd w:id="1855"/>
    <w:bookmarkStart w:id="1857" w:name="global-versus-local-idf"/>
    <w:p>
      <w:pPr>
        <w:pStyle w:val="Heading3"/>
      </w:pPr>
      <w:r>
        <w:t xml:space="preserve">16.7.5 Global versus local IDF</w:t>
      </w:r>
    </w:p>
    <w:p>
      <w:pPr>
        <w:pStyle w:val="FirstParagraph"/>
      </w:pPr>
      <w:r>
        <w:t xml:space="preserve">Each shard computes BM25 with its own</w:t>
      </w:r>
      <w:r>
        <w:t xml:space="preserve"> </w:t>
      </w:r>
      <m:oMath>
        <m:r>
          <m:t>N</m:t>
        </m:r>
      </m:oMath>
      <w:r>
        <w:t xml:space="preserve">,</w:t>
      </w:r>
      <w:r>
        <w:t xml:space="preserve"> </w:t>
      </w:r>
      <m:oMath>
        <m:sSub>
          <m:e>
            <m:r>
              <m:t>n</m:t>
            </m:r>
          </m:e>
          <m:sub>
            <m:r>
              <m:t>t</m:t>
            </m:r>
          </m:sub>
        </m:sSub>
      </m:oMath>
      <w:r>
        <w:t xml:space="preserve"> </w:t>
      </w:r>
      <w:r>
        <w:t xml:space="preserve">and avgdl. When documents are spread uniformly at random, local statistics are close to global ones. When they are not, scores from different shards are not comparable.</w:t>
      </w:r>
    </w:p>
    <w:p>
      <w:pPr>
        <w:pStyle w:val="CalloutExample"/>
      </w:pPr>
      <w:r>
        <w:rPr>
          <w:bCs/>
          <w:b/>
        </w:rPr>
        <w:t xml:space="preserve">WORKED EXAMPLE</w:t>
      </w:r>
    </w:p>
    <w:p>
      <w:pPr>
        <w:pStyle w:val="CalloutExample"/>
      </w:pPr>
      <w:r>
        <w:rPr>
          <w:bCs/>
          <w:b/>
        </w:rPr>
        <w:t xml:space="preserve">Worked example — skewed term distribution.</w:t>
      </w:r>
      <w:r>
        <w:t xml:space="preserve"> </w:t>
      </w:r>
      <w:r>
        <w:t xml:space="preserve">Two shards hold 1,000,000 documents each. Custom routing by seller put most</w:t>
      </w:r>
      <w:r>
        <w:t xml:space="preserve"> </w:t>
      </w:r>
      <w:r>
        <w:t xml:space="preserve">“</w:t>
      </w:r>
      <w:r>
        <w:t xml:space="preserve">anc</w:t>
      </w:r>
      <w:r>
        <w:t xml:space="preserve">”</w:t>
      </w:r>
      <w:r>
        <w:t xml:space="preserve"> </w:t>
      </w:r>
      <w:r>
        <w:t xml:space="preserve">listings on shard B: shard A has 10 documents containing</w:t>
      </w:r>
      <w:r>
        <w:t xml:space="preserve"> </w:t>
      </w:r>
      <w:r>
        <w:rPr>
          <w:iCs/>
          <w:i/>
        </w:rPr>
        <w:t xml:space="preserve">anc</w:t>
      </w:r>
      <w:r>
        <w:t xml:space="preserve">, shard B has 1,000.</w:t>
      </w:r>
    </w:p>
    <w:p>
      <w:pPr>
        <w:numPr>
          <w:ilvl w:val="0"/>
          <w:numId w:val="1546"/>
        </w:numPr>
        <w:pStyle w:val="Compact"/>
      </w:pPr>
      <w:r>
        <w:t xml:space="preserve">Local IDF on A:</w:t>
      </w:r>
      <w:r>
        <w:t xml:space="preserve"> </w:t>
      </w:r>
      <m:oMath>
        <m:r>
          <m:rPr>
            <m:sty m:val="p"/>
          </m:rPr>
          <m:t>ln</m:t>
        </m:r>
        <m:d>
          <m:dPr>
            <m:begChr m:val="("/>
            <m:endChr m:val=")"/>
            <m:sepChr m:val=""/>
            <m:grow/>
          </m:dPr>
          <m:e>
            <m:r>
              <m:t>1</m:t>
            </m:r>
            <m:r>
              <m:rPr>
                <m:sty m:val="p"/>
              </m:rPr>
              <m:t>+</m:t>
            </m:r>
            <m:r>
              <m:t>999</m:t>
            </m:r>
            <m:r>
              <m:rPr>
                <m:sty m:val="p"/>
              </m:rPr>
              <m:t>,</m:t>
            </m:r>
            <m:r>
              <m:t>990.5</m:t>
            </m:r>
            <m:r>
              <m:rPr>
                <m:sty m:val="p"/>
              </m:rPr>
              <m:t>/</m:t>
            </m:r>
            <m:r>
              <m:t>10.5</m:t>
            </m:r>
          </m:e>
        </m:d>
        <m:r>
          <m:rPr>
            <m:sty m:val="p"/>
          </m:rPr>
          <m:t>=</m:t>
        </m:r>
        <m:r>
          <m:t>11.46</m:t>
        </m:r>
      </m:oMath>
      <w:r>
        <w:t xml:space="preserve">.</w:t>
      </w:r>
    </w:p>
    <w:p>
      <w:pPr>
        <w:numPr>
          <w:ilvl w:val="0"/>
          <w:numId w:val="1546"/>
        </w:numPr>
        <w:pStyle w:val="Compact"/>
      </w:pPr>
      <w:r>
        <w:t xml:space="preserve">Local IDF on B:</w:t>
      </w:r>
      <w:r>
        <w:t xml:space="preserve"> </w:t>
      </w:r>
      <m:oMath>
        <m:r>
          <m:rPr>
            <m:sty m:val="p"/>
          </m:rPr>
          <m:t>ln</m:t>
        </m:r>
        <m:d>
          <m:dPr>
            <m:begChr m:val="("/>
            <m:endChr m:val=")"/>
            <m:sepChr m:val=""/>
            <m:grow/>
          </m:dPr>
          <m:e>
            <m:r>
              <m:t>1</m:t>
            </m:r>
            <m:r>
              <m:rPr>
                <m:sty m:val="p"/>
              </m:rPr>
              <m:t>+</m:t>
            </m:r>
            <m:r>
              <m:t>999</m:t>
            </m:r>
            <m:r>
              <m:rPr>
                <m:sty m:val="p"/>
              </m:rPr>
              <m:t>,</m:t>
            </m:r>
            <m:r>
              <m:t>000.5</m:t>
            </m:r>
            <m:r>
              <m:rPr>
                <m:sty m:val="p"/>
              </m:rPr>
              <m:t>/</m:t>
            </m:r>
            <m:r>
              <m:t>1</m:t>
            </m:r>
            <m:r>
              <m:rPr>
                <m:sty m:val="p"/>
              </m:rPr>
              <m:t>,</m:t>
            </m:r>
            <m:r>
              <m:t>000.5</m:t>
            </m:r>
          </m:e>
        </m:d>
        <m:r>
          <m:rPr>
            <m:sty m:val="p"/>
          </m:rPr>
          <m:t>=</m:t>
        </m:r>
        <m:r>
          <m:t>6.91</m:t>
        </m:r>
      </m:oMath>
      <w:r>
        <w:t xml:space="preserve">.</w:t>
      </w:r>
    </w:p>
    <w:p>
      <w:pPr>
        <w:numPr>
          <w:ilvl w:val="0"/>
          <w:numId w:val="1546"/>
        </w:numPr>
        <w:pStyle w:val="Compact"/>
      </w:pPr>
      <w:r>
        <w:t xml:space="preserve">Global IDF (</w:t>
      </w:r>
      <m:oMath>
        <m:r>
          <m:t>N</m:t>
        </m:r>
        <m:r>
          <m:rPr>
            <m:sty m:val="p"/>
          </m:rPr>
          <m:t>=</m:t>
        </m:r>
        <m:r>
          <m:t>2</m:t>
        </m:r>
        <m:r>
          <m:rPr>
            <m:sty m:val="p"/>
          </m:rPr>
          <m:t>,</m:t>
        </m:r>
        <m:r>
          <m:t>000</m:t>
        </m:r>
        <m:r>
          <m:rPr>
            <m:sty m:val="p"/>
          </m:rPr>
          <m:t>,</m:t>
        </m:r>
        <m:r>
          <m:t>000</m:t>
        </m:r>
      </m:oMath>
      <w:r>
        <w:t xml:space="preserve">,</w:t>
      </w:r>
      <w:r>
        <w:t xml:space="preserve"> </w:t>
      </w:r>
      <m:oMath>
        <m:r>
          <m:t>n</m:t>
        </m:r>
        <m:r>
          <m:rPr>
            <m:sty m:val="p"/>
          </m:rPr>
          <m:t>=</m:t>
        </m:r>
        <m:r>
          <m:t>1</m:t>
        </m:r>
        <m:r>
          <m:rPr>
            <m:sty m:val="p"/>
          </m:rPr>
          <m:t>,</m:t>
        </m:r>
        <m:r>
          <m:t>010</m:t>
        </m:r>
      </m:oMath>
      <w:r>
        <w:t xml:space="preserve">):</w:t>
      </w:r>
      <w:r>
        <w:t xml:space="preserve"> </w:t>
      </w:r>
      <m:oMath>
        <m:r>
          <m:rPr>
            <m:sty m:val="p"/>
          </m:rPr>
          <m:t>ln</m:t>
        </m:r>
        <m:d>
          <m:dPr>
            <m:begChr m:val="("/>
            <m:endChr m:val=")"/>
            <m:sepChr m:val=""/>
            <m:grow/>
          </m:dPr>
          <m:e>
            <m:r>
              <m:t>1</m:t>
            </m:r>
            <m:r>
              <m:rPr>
                <m:sty m:val="p"/>
              </m:rPr>
              <m:t>+</m:t>
            </m:r>
            <m:r>
              <m:t>1</m:t>
            </m:r>
            <m:r>
              <m:rPr>
                <m:sty m:val="p"/>
              </m:rPr>
              <m:t>,</m:t>
            </m:r>
            <m:r>
              <m:t>998</m:t>
            </m:r>
            <m:r>
              <m:rPr>
                <m:sty m:val="p"/>
              </m:rPr>
              <m:t>,</m:t>
            </m:r>
            <m:r>
              <m:t>990.5</m:t>
            </m:r>
            <m:r>
              <m:rPr>
                <m:sty m:val="p"/>
              </m:rPr>
              <m:t>/</m:t>
            </m:r>
            <m:r>
              <m:t>1</m:t>
            </m:r>
            <m:r>
              <m:rPr>
                <m:sty m:val="p"/>
              </m:rPr>
              <m:t>,</m:t>
            </m:r>
            <m:r>
              <m:t>010.5</m:t>
            </m:r>
          </m:e>
        </m:d>
        <m:r>
          <m:rPr>
            <m:sty m:val="p"/>
          </m:rPr>
          <m:t>=</m:t>
        </m:r>
        <m:r>
          <m:t>7.59</m:t>
        </m:r>
      </m:oMath>
      <w:r>
        <w:t xml:space="preserve">.</w:t>
      </w:r>
    </w:p>
    <w:p>
      <w:pPr>
        <w:pStyle w:val="CalloutExample"/>
      </w:pPr>
      <w:r>
        <w:rPr>
          <w:bCs/>
          <w:b/>
        </w:rPr>
        <w:t xml:space="preserve">Interpretation.</w:t>
      </w:r>
      <w:r>
        <w:t xml:space="preserve"> </w:t>
      </w:r>
      <w:r>
        <w:t xml:space="preserve">An</w:t>
      </w:r>
      <w:r>
        <w:t xml:space="preserve"> </w:t>
      </w:r>
      <w:r>
        <w:rPr>
          <w:iCs/>
          <w:i/>
        </w:rPr>
        <w:t xml:space="preserve">anc</w:t>
      </w:r>
      <w:r>
        <w:t xml:space="preserve"> </w:t>
      </w:r>
      <w:r>
        <w:t xml:space="preserve">match on shard A scores 66% higher than an identical match on shard B, purely because of where documents live, so shard A’s weak matches crowd out shard B’s strong ones.</w:t>
      </w:r>
      <w:r>
        <w:t xml:space="preserve"> </w:t>
      </w:r>
      <w:r>
        <w:rPr>
          <w:bCs/>
          <w:b/>
        </w:rPr>
        <w:t xml:space="preserve">Engineering implication.</w:t>
      </w:r>
      <w:r>
        <w:t xml:space="preserve"> </w:t>
      </w:r>
      <w:r>
        <w:t xml:space="preserve">Elasticsearch’s default</w:t>
      </w:r>
      <w:r>
        <w:t xml:space="preserve"> </w:t>
      </w:r>
      <w:r>
        <w:rPr>
          <w:rStyle w:val="VerbatimChar"/>
        </w:rPr>
        <w:t xml:space="preserve">query_then_fetch</w:t>
      </w:r>
      <w:r>
        <w:t xml:space="preserve"> </w:t>
      </w:r>
      <w:r>
        <w:t xml:space="preserve">uses local statistics.</w:t>
      </w:r>
      <w:r>
        <w:t xml:space="preserve"> </w:t>
      </w:r>
      <w:r>
        <w:rPr>
          <w:rStyle w:val="VerbatimChar"/>
        </w:rPr>
        <w:t xml:space="preserve">dfs_query_then_fetch</w:t>
      </w:r>
      <w:r>
        <w:t xml:space="preserve"> </w:t>
      </w:r>
      <w:r>
        <w:t xml:space="preserve">adds a preliminary round trip that collects term statistics from all shards and scores with global values, at the cost of extra latency [Elastic Docs: search_type]. Prefer random document routing so local statistics converge; use DFS for small or skewed indexes and in relevance tests.</w:t>
      </w:r>
    </w:p>
    <w:p>
      <w:pPr>
        <w:pStyle w:val="BodyText"/>
      </w:pPr>
      <w:r>
        <w:rPr>
          <w:bCs/>
          <w:b/>
        </w:rPr>
        <w:t xml:space="preserve">Routing</w:t>
      </w:r>
      <w:r>
        <w:t xml:space="preserve"> </w:t>
      </w:r>
      <w:r>
        <w:t xml:space="preserve">is the other side of the trade-off. By default Elasticsearch places a document on a shard by hashing its ID. A custom routing key (tenant ID, seller ID) places all of one tenant’s documents on one shard, so a tenant-scoped query hits one shard instead of</w:t>
      </w:r>
      <w:r>
        <w:t xml:space="preserve"> </w:t>
      </w:r>
      <m:oMath>
        <m:r>
          <m:t>S</m:t>
        </m:r>
      </m:oMath>
      <w:r>
        <w:t xml:space="preserve">, removing fan-out at the cost of skew and the IDF effect above.</w:t>
      </w:r>
    </w:p>
    <w:bookmarkStart w:id="1856" w:name="real-world-industry-applications-34"/>
    <w:p>
      <w:pPr>
        <w:pStyle w:val="Heading4"/>
      </w:pPr>
      <w:r>
        <w:t xml:space="preserve">Real-world industry applications</w:t>
      </w:r>
    </w:p>
    <w:p>
      <w:pPr>
        <w:pStyle w:val="CalloutIndustry"/>
      </w:pPr>
      <w:r>
        <w:rPr>
          <w:bCs/>
          <w:b/>
        </w:rPr>
        <w:t xml:space="preserve">INDUSTRY EXAMPLE</w:t>
      </w:r>
    </w:p>
    <w:p>
      <w:pPr>
        <w:pStyle w:val="CalloutIndustry"/>
      </w:pPr>
      <w:r>
        <w:rPr>
          <w:bCs/>
          <w:b/>
        </w:rPr>
        <w:t xml:space="preserve">Twitter Earlybird.</w:t>
      </w:r>
      <w:r>
        <w:t xml:space="preserve"> </w:t>
      </w:r>
      <w:r>
        <w:t xml:space="preserve">Twitter’s real-time search engine kept recent tweets in in-memory inverted indexes partitioned by document across many Earlybird servers, with a front-end (Blender) scattering each query and merging results. Indexing used a single writer and many concurrent readers per index, coordinated with memory barriers rather than locks, so that tweets became searchable within about 10 seconds of creation while queries averaged about 50 ms at billions of queries per day (2012 figures) [Busch et al. 2012].</w:t>
      </w:r>
      <w:r>
        <w:t xml:space="preserve"> </w:t>
      </w:r>
      <w:r>
        <w:rPr>
          <w:iCs/>
          <w:i/>
        </w:rPr>
        <w:t xml:space="preserve">Evidence: Primary</w:t>
      </w:r>
      <w:r>
        <w:t xml:space="preserve"> </w:t>
      </w:r>
      <w:r>
        <w:t xml:space="preserve">— [Busch et al. 2012]</w:t>
      </w:r>
    </w:p>
    <w:bookmarkEnd w:id="1856"/>
    <w:bookmarkEnd w:id="1857"/>
    <w:bookmarkEnd w:id="1858"/>
    <w:bookmarkStart w:id="1870" w:name="Xa77803ac57e479ec230824fd08a226dfa484d25"/>
    <w:p>
      <w:pPr>
        <w:pStyle w:val="Heading2"/>
      </w:pPr>
      <w:r>
        <w:t xml:space="preserve">16.8 Elasticsearch and OpenSearch architecture</w:t>
      </w:r>
    </w:p>
    <w:p>
      <w:pPr>
        <w:pStyle w:val="FirstParagraph"/>
      </w:pPr>
      <w:r>
        <w:t xml:space="preserve">Elasticsearch wraps Lucene in a distributed system: a JSON-over-HTTP API, cluster membership, shard placement, replication and recovery. OpenSearch is a fork of Elasticsearch 7.10.2 created in 2021 after Elastic changed its license; the two share the architecture described here, though they have diverged in features since [OpenSearch Docs].</w:t>
      </w:r>
    </w:p>
    <w:bookmarkStart w:id="1862" w:name="cluster-nodes-and-roles"/>
    <w:p>
      <w:pPr>
        <w:pStyle w:val="Heading3"/>
      </w:pPr>
      <w:r>
        <w:t xml:space="preserve">16.8.1 Cluster, nodes and roles</w:t>
      </w:r>
    </w:p>
    <w:p>
      <w:pPr>
        <w:pStyle w:val="CalloutDefinition"/>
      </w:pPr>
      <w:r>
        <w:rPr>
          <w:bCs/>
          <w:b/>
        </w:rPr>
        <w:t xml:space="preserve">DEFINITION</w:t>
      </w:r>
    </w:p>
    <w:p>
      <w:pPr>
        <w:pStyle w:val="CalloutDefinition"/>
      </w:pPr>
      <w:r>
        <w:rPr>
          <w:bCs/>
          <w:b/>
        </w:rPr>
        <w:t xml:space="preserve">Definition — Elasticsearch cluster.</w:t>
      </w:r>
      <w:r>
        <w:t xml:space="preserve"> </w:t>
      </w:r>
      <w:r>
        <w:t xml:space="preserve">A set of nodes that share one cluster state (index definitions, mappings and the location of every shard copy). An</w:t>
      </w:r>
      <w:r>
        <w:t xml:space="preserve"> </w:t>
      </w:r>
      <w:r>
        <w:rPr>
          <w:bCs/>
          <w:b/>
        </w:rPr>
        <w:t xml:space="preserve">index</w:t>
      </w:r>
      <w:r>
        <w:t xml:space="preserve"> </w:t>
      </w:r>
      <w:r>
        <w:t xml:space="preserve">is a logical collection of documents divided into</w:t>
      </w:r>
      <w:r>
        <w:t xml:space="preserve"> </w:t>
      </w:r>
      <w:r>
        <w:rPr>
          <w:bCs/>
          <w:b/>
        </w:rPr>
        <w:t xml:space="preserve">primary shards</w:t>
      </w:r>
      <w:r>
        <w:t xml:space="preserve">; each primary has zero or more</w:t>
      </w:r>
      <w:r>
        <w:t xml:space="preserve"> </w:t>
      </w:r>
      <w:r>
        <w:rPr>
          <w:bCs/>
          <w:b/>
        </w:rPr>
        <w:t xml:space="preserve">replica shards</w:t>
      </w:r>
      <w:r>
        <w:t xml:space="preserve">; every shard is one Lucene index.</w:t>
      </w:r>
    </w:p>
    <w:p>
      <w:pPr>
        <w:pStyle w:val="BodyText"/>
      </w:pPr>
      <w:r>
        <w:t xml:space="preserve">Nodes take one or more</w:t>
      </w:r>
      <w:r>
        <w:t xml:space="preserve"> </w:t>
      </w:r>
      <w:r>
        <w:rPr>
          <w:bCs/>
          <w:b/>
        </w:rPr>
        <w:t xml:space="preserve">roles</w:t>
      </w:r>
      <w:r>
        <w:t xml:space="preserve"> </w:t>
      </w:r>
      <w:r>
        <w:t xml:space="preserve">[Elastic Docs: node roles]:</w:t>
      </w:r>
      <w:r>
        <w:t xml:space="preserve"> </w:t>
      </w:r>
      <w:r>
        <w:rPr>
          <w:bCs/>
          <w:b/>
        </w:rPr>
        <w:t xml:space="preserve">master-eligible</w:t>
      </w:r>
      <w:r>
        <w:t xml:space="preserve"> </w:t>
      </w:r>
      <w:r>
        <w:t xml:space="preserve">nodes elect one elected master that owns and publishes the cluster state (a quorum-based protocol since 7.0, so three master-eligible nodes tolerate the loss of one);</w:t>
      </w:r>
      <w:r>
        <w:t xml:space="preserve"> </w:t>
      </w:r>
      <w:r>
        <w:rPr>
          <w:bCs/>
          <w:b/>
        </w:rPr>
        <w:t xml:space="preserve">data</w:t>
      </w:r>
      <w:r>
        <w:t xml:space="preserve"> </w:t>
      </w:r>
      <w:r>
        <w:t xml:space="preserve">nodes hold shards and execute queries and indexing (subdivided into hot, warm, cold and frozen tiers for time-based data);</w:t>
      </w:r>
      <w:r>
        <w:t xml:space="preserve"> </w:t>
      </w:r>
      <w:r>
        <w:rPr>
          <w:bCs/>
          <w:b/>
        </w:rPr>
        <w:t xml:space="preserve">ingest</w:t>
      </w:r>
      <w:r>
        <w:t xml:space="preserve"> </w:t>
      </w:r>
      <w:r>
        <w:t xml:space="preserve">nodes run preprocessing pipelines; and</w:t>
      </w:r>
      <w:r>
        <w:t xml:space="preserve"> </w:t>
      </w:r>
      <w:r>
        <w:rPr>
          <w:bCs/>
          <w:b/>
        </w:rPr>
        <w:t xml:space="preserve">coordinating-only</w:t>
      </w:r>
      <w:r>
        <w:t xml:space="preserve"> </w:t>
      </w:r>
      <w:r>
        <w:t xml:space="preserve">nodes route requests and merge results.</w:t>
      </w:r>
    </w:p>
    <w:p>
      <w:pPr>
        <w:pStyle w:val="BodyText"/>
      </w:pPr>
      <w:r>
        <w:rPr>
          <w:bCs/>
          <w:b/>
        </w:rPr>
        <w:t xml:space="preserve">Figure 16.8 — A three-zone Elasticsearch cluster with two primaries and one replica each.</w:t>
      </w:r>
    </w:p>
    <w:p>
      <w:pPr>
        <w:pStyle w:val="BodyText"/>
      </w:pPr>
      <w:r>
        <w:drawing>
          <wp:inline>
            <wp:extent cx="5334000" cy="3075608"/>
            <wp:effectExtent b="0" l="0" r="0" t="0"/>
            <wp:docPr descr="" title="" id="1860" name="Picture"/>
            <a:graphic>
              <a:graphicData uri="http://schemas.openxmlformats.org/drawingml/2006/picture">
                <pic:pic>
                  <pic:nvPicPr>
                    <pic:cNvPr descr="/home/user/System-Design/build/.cache/diagrams/0264d0d13f6c.png" id="1861" name="Picture"/>
                    <pic:cNvPicPr>
                      <a:picLocks noChangeArrowheads="1" noChangeAspect="1"/>
                    </pic:cNvPicPr>
                  </pic:nvPicPr>
                  <pic:blipFill>
                    <a:blip r:embed="rId1859"/>
                    <a:stretch>
                      <a:fillRect/>
                    </a:stretch>
                  </pic:blipFill>
                  <pic:spPr bwMode="auto">
                    <a:xfrm>
                      <a:off x="0" y="0"/>
                      <a:ext cx="5334000" cy="3075608"/>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Clients call coordinating nodes over HTTPS; coordinating nodes talk to data nodes over Elasticsearch’s binary transport protocol (synchronous RPCs, solid arrows). The index has two primary shards, P0 and P1, and one replica of each, R0 and R1; the allocator never places a primary and its replica on the same node and, with allocation awareness configured, not in the same zone. The elected master publishes cluster-state updates asynchronously (dotted arrows) to every node; it does not sit on the data path. Storage boundaries are the data nodes’ local disks. Failure points: losing data node 2 promotes R1 to primary and starts rebuilding a replica elsewhere; losing one master-eligible node leaves a quorum of two; losing a whole zone still leaves one copy of each shard. Scaling: add data nodes (shards rebalance automatically), add replicas for query throughput, and add coordinating nodes for heavy aggregations.</w:t>
      </w:r>
    </w:p>
    <w:bookmarkEnd w:id="1862"/>
    <w:bookmarkStart w:id="1863" w:name="shards-routing-and-sizing"/>
    <w:p>
      <w:pPr>
        <w:pStyle w:val="Heading3"/>
      </w:pPr>
      <w:r>
        <w:t xml:space="preserve">16.8.2 Shards, routing and sizing</w:t>
      </w:r>
    </w:p>
    <w:p>
      <w:pPr>
        <w:pStyle w:val="FirstParagraph"/>
      </w:pPr>
      <w:r>
        <w:t xml:space="preserve">A document goes to shard</w:t>
      </w:r>
      <w:r>
        <w:t xml:space="preserve"> </w:t>
      </w:r>
      <m:oMath>
        <m:r>
          <m:rPr>
            <m:nor/>
            <m:sty m:val="p"/>
          </m:rPr>
          <m:t>hash</m:t>
        </m:r>
        <m:d>
          <m:dPr>
            <m:begChr m:val="("/>
            <m:endChr m:val=")"/>
            <m:sepChr m:val=""/>
            <m:grow/>
          </m:dPr>
          <m:e>
            <m:r>
              <m:rPr>
                <m:nor/>
                <m:sty m:val="i"/>
              </m:rPr>
              <m:t>routing</m:t>
            </m:r>
          </m:e>
        </m:d>
        <m:r>
          <m:t> </m:t>
        </m:r>
        <m:r>
          <m:rPr>
            <m:sty m:val="p"/>
          </m:rPr>
          <m:t>mod</m:t>
        </m:r>
        <m:r>
          <m:t> </m:t>
        </m:r>
        <m:sSub>
          <m:e>
            <m:r>
              <m:t>N</m:t>
            </m:r>
          </m:e>
          <m:sub>
            <m:r>
              <m:rPr>
                <m:nor/>
                <m:sty m:val="p"/>
              </m:rPr>
              <m:t>primaries</m:t>
            </m:r>
          </m:sub>
        </m:sSub>
      </m:oMath>
      <w:r>
        <w:t xml:space="preserve">, where routing defaults to the document ID and the hash is Murmur3 [Elastic Docs: _routing]. Because the formula depends on the number of primaries, that number is fixed when the index is created; changing it requires the split or shrink APIs (by integer factors) or a reindex. Replica count can be changed at any time. Since Elasticsearch 7.0 a new index has one primary and one replica by default.</w:t>
      </w:r>
    </w:p>
    <w:p>
      <w:pPr>
        <w:pStyle w:val="BodyText"/>
      </w:pPr>
      <w:r>
        <w:t xml:space="preserve">Elastic’s sizing guidance (as of 2025) is to aim for shards of roughly 10–50 GB and fewer than about 200 million documents each [Elastic Docs: size your shards]. Too-large shards recover slowly after node failure; too many small shards waste per-shard memory and inflate fan-out (§16.7.3). For the 440 GB catalog of §16.3.5 (about 220 GB of primary data), five primaries of roughly 44 GB fit the guidance. For logs and events, use</w:t>
      </w:r>
      <w:r>
        <w:t xml:space="preserve"> </w:t>
      </w:r>
      <w:r>
        <w:rPr>
          <w:bCs/>
          <w:b/>
        </w:rPr>
        <w:t xml:space="preserve">time-based indexes</w:t>
      </w:r>
      <w:r>
        <w:t xml:space="preserve"> </w:t>
      </w:r>
      <w:r>
        <w:t xml:space="preserve">with rollover and lifecycle policies, so old indexes can be force-merged, moved to cheaper tiers and deleted whole.</w:t>
      </w:r>
    </w:p>
    <w:bookmarkEnd w:id="1863"/>
    <w:bookmarkStart w:id="1867" w:name="Xeecd790ce99c7b8781e34d9b5cd79bd633a7b9b"/>
    <w:p>
      <w:pPr>
        <w:pStyle w:val="Heading3"/>
      </w:pPr>
      <w:r>
        <w:t xml:space="preserve">16.8.3 The write path: primary–backup replication and the translog</w:t>
      </w:r>
    </w:p>
    <w:p>
      <w:pPr>
        <w:pStyle w:val="FirstParagraph"/>
      </w:pPr>
      <w:r>
        <w:t xml:space="preserve">Elasticsearch uses primary–backup replication, modeled on Microsoft’s PacificA protocol [Elastic Docs: data replication model].</w:t>
      </w:r>
    </w:p>
    <w:p>
      <w:pPr>
        <w:pStyle w:val="BodyText"/>
      </w:pPr>
      <w:r>
        <w:rPr>
          <w:bCs/>
          <w:b/>
        </w:rPr>
        <w:t xml:space="preserve">Figure 16.9 — Indexing one document with one replica.</w:t>
      </w:r>
    </w:p>
    <w:p>
      <w:pPr>
        <w:pStyle w:val="BodyText"/>
      </w:pPr>
      <w:r>
        <w:drawing>
          <wp:inline>
            <wp:extent cx="5334000" cy="3511046"/>
            <wp:effectExtent b="0" l="0" r="0" t="0"/>
            <wp:docPr descr="" title="" id="1865" name="Picture"/>
            <a:graphic>
              <a:graphicData uri="http://schemas.openxmlformats.org/drawingml/2006/picture">
                <pic:pic>
                  <pic:nvPicPr>
                    <pic:cNvPr descr="/home/user/System-Design/build/.cache/diagrams/ceb36f4bc495.png" id="1866" name="Picture"/>
                    <pic:cNvPicPr>
                      <a:picLocks noChangeArrowheads="1" noChangeAspect="1"/>
                    </pic:cNvPicPr>
                  </pic:nvPicPr>
                  <pic:blipFill>
                    <a:blip r:embed="rId1864"/>
                    <a:stretch>
                      <a:fillRect/>
                    </a:stretch>
                  </pic:blipFill>
                  <pic:spPr bwMode="auto">
                    <a:xfrm>
                      <a:off x="0" y="0"/>
                      <a:ext cx="5334000" cy="3511046"/>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coordinating node computes the shard and forwards the request to the node holding that shard’s primary. The primary validates the document, assigns a sequence number (used to bring replicas back in sync after failures), indexes it into Lucene’s in-memory buffer and appends it to the</w:t>
      </w:r>
      <w:r>
        <w:t xml:space="preserve"> </w:t>
      </w:r>
      <w:r>
        <w:rPr>
          <w:bCs/>
          <w:b/>
        </w:rPr>
        <w:t xml:space="preserve">translog</w:t>
      </w:r>
      <w:r>
        <w:t xml:space="preserve">, a per-shard write-ahead log (§13.5) that by default is fsynced before the request is acknowledged (</w:t>
      </w:r>
      <w:r>
        <w:rPr>
          <w:rStyle w:val="VerbatimChar"/>
        </w:rPr>
        <w:t xml:space="preserve">index.translog.durability: request</w:t>
      </w:r>
      <w:r>
        <w:t xml:space="preserve">). The primary then forwards the operation to all</w:t>
      </w:r>
      <w:r>
        <w:t xml:space="preserve"> </w:t>
      </w:r>
      <w:r>
        <w:rPr>
          <w:bCs/>
          <w:b/>
        </w:rPr>
        <w:t xml:space="preserve">in-sync</w:t>
      </w:r>
      <w:r>
        <w:t xml:space="preserve"> </w:t>
      </w:r>
      <w:r>
        <w:t xml:space="preserve">replicas in parallel and acknowledges only when they have all responded. Every arrow is synchronous; the disk boundary is the translog fsync on each copy. Failure points: a replica that fails to respond is reported to the master and removed from the in-sync set rather than blocking writes; a primary failure promotes an in-sync replica. The acknowledged document is durable but not yet visible to search; visibility comes at the next refresh. Indexing throughput scales with primaries, not replicas.</w:t>
      </w:r>
    </w:p>
    <w:p>
      <w:pPr>
        <w:pStyle w:val="BodyText"/>
      </w:pPr>
      <w:r>
        <w:rPr>
          <w:bCs/>
          <w:b/>
        </w:rPr>
        <w:t xml:space="preserve">Table 16.9 — Refresh, flush and merge in Elasticsearch.</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Operation</w:t>
            </w:r>
          </w:p>
        </w:tc>
        <w:tc>
          <w:tcPr/>
          <w:p>
            <w:pPr>
              <w:pStyle w:val="Compact"/>
              <w:jc w:val="left"/>
            </w:pPr>
            <w:r>
              <w:t xml:space="preserve">What it does</w:t>
            </w:r>
          </w:p>
        </w:tc>
        <w:tc>
          <w:tcPr/>
          <w:p>
            <w:pPr>
              <w:pStyle w:val="Compact"/>
              <w:jc w:val="left"/>
            </w:pPr>
            <w:r>
              <w:t xml:space="preserve">Default trigger</w:t>
            </w:r>
          </w:p>
        </w:tc>
        <w:tc>
          <w:tcPr/>
          <w:p>
            <w:pPr>
              <w:pStyle w:val="Compact"/>
              <w:jc w:val="left"/>
            </w:pPr>
            <w:r>
              <w:t xml:space="preserve">Makes data</w:t>
            </w:r>
          </w:p>
        </w:tc>
        <w:tc>
          <w:tcPr/>
          <w:p>
            <w:pPr>
              <w:pStyle w:val="Compact"/>
              <w:jc w:val="left"/>
            </w:pPr>
            <w:r>
              <w:t xml:space="preserve">Cost</w:t>
            </w:r>
          </w:p>
        </w:tc>
      </w:tr>
      <w:tr>
        <w:tc>
          <w:tcPr/>
          <w:p>
            <w:pPr>
              <w:pStyle w:val="Compact"/>
              <w:jc w:val="left"/>
            </w:pPr>
            <w:r>
              <w:t xml:space="preserve">Index (ack)</w:t>
            </w:r>
          </w:p>
        </w:tc>
        <w:tc>
          <w:tcPr/>
          <w:p>
            <w:pPr>
              <w:pStyle w:val="Compact"/>
              <w:jc w:val="left"/>
            </w:pPr>
            <w:r>
              <w:t xml:space="preserve">Buffer + translog fsync</w:t>
            </w:r>
          </w:p>
        </w:tc>
        <w:tc>
          <w:tcPr/>
          <w:p>
            <w:pPr>
              <w:pStyle w:val="Compact"/>
              <w:jc w:val="left"/>
            </w:pPr>
            <w:r>
              <w:t xml:space="preserve">Each request</w:t>
            </w:r>
          </w:p>
        </w:tc>
        <w:tc>
          <w:tcPr/>
          <w:p>
            <w:pPr>
              <w:pStyle w:val="Compact"/>
              <w:jc w:val="left"/>
            </w:pPr>
            <w:r>
              <w:t xml:space="preserve">Durable, not searchable</w:t>
            </w:r>
          </w:p>
        </w:tc>
        <w:tc>
          <w:tcPr/>
          <w:p>
            <w:pPr>
              <w:pStyle w:val="Compact"/>
              <w:jc w:val="left"/>
            </w:pPr>
            <w:r>
              <w:t xml:space="preserve">One fsync per request or bulk</w:t>
            </w:r>
          </w:p>
        </w:tc>
      </w:tr>
      <w:tr>
        <w:tc>
          <w:tcPr/>
          <w:p>
            <w:pPr>
              <w:pStyle w:val="Compact"/>
              <w:jc w:val="left"/>
            </w:pPr>
            <w:r>
              <w:t xml:space="preserve">Refresh</w:t>
            </w:r>
          </w:p>
        </w:tc>
        <w:tc>
          <w:tcPr/>
          <w:p>
            <w:pPr>
              <w:pStyle w:val="Compact"/>
              <w:jc w:val="left"/>
            </w:pPr>
            <w:r>
              <w:t xml:space="preserve">Write buffer as segment, reopen searcher</w:t>
            </w:r>
          </w:p>
        </w:tc>
        <w:tc>
          <w:tcPr/>
          <w:p>
            <w:pPr>
              <w:pStyle w:val="Compact"/>
              <w:jc w:val="left"/>
            </w:pPr>
            <w:r>
              <w:t xml:space="preserve">Every 1 s if the index was searched in the last 30 s</w:t>
            </w:r>
          </w:p>
        </w:tc>
        <w:tc>
          <w:tcPr/>
          <w:p>
            <w:pPr>
              <w:pStyle w:val="Compact"/>
              <w:jc w:val="left"/>
            </w:pPr>
            <w:r>
              <w:t xml:space="preserve">Searchable</w:t>
            </w:r>
          </w:p>
        </w:tc>
        <w:tc>
          <w:tcPr/>
          <w:p>
            <w:pPr>
              <w:pStyle w:val="Compact"/>
              <w:jc w:val="left"/>
            </w:pPr>
            <w:r>
              <w:t xml:space="preserve">New small segment; merge load</w:t>
            </w:r>
          </w:p>
        </w:tc>
      </w:tr>
      <w:tr>
        <w:tc>
          <w:tcPr/>
          <w:p>
            <w:pPr>
              <w:pStyle w:val="Compact"/>
              <w:jc w:val="left"/>
            </w:pPr>
            <w:r>
              <w:t xml:space="preserve">Flush</w:t>
            </w:r>
          </w:p>
        </w:tc>
        <w:tc>
          <w:tcPr/>
          <w:p>
            <w:pPr>
              <w:pStyle w:val="Compact"/>
              <w:jc w:val="left"/>
            </w:pPr>
            <w:r>
              <w:t xml:space="preserve">Lucene commit (fsync segments), trim translog</w:t>
            </w:r>
          </w:p>
        </w:tc>
        <w:tc>
          <w:tcPr/>
          <w:p>
            <w:pPr>
              <w:pStyle w:val="Compact"/>
              <w:jc w:val="left"/>
            </w:pPr>
            <w:r>
              <w:t xml:space="preserve">Translog size threshold</w:t>
            </w:r>
          </w:p>
        </w:tc>
        <w:tc>
          <w:tcPr/>
          <w:p>
            <w:pPr>
              <w:pStyle w:val="Compact"/>
              <w:jc w:val="left"/>
            </w:pPr>
            <w:r>
              <w:t xml:space="preserve">Durable without replay</w:t>
            </w:r>
          </w:p>
        </w:tc>
        <w:tc>
          <w:tcPr/>
          <w:p>
            <w:pPr>
              <w:pStyle w:val="Compact"/>
              <w:jc w:val="left"/>
            </w:pPr>
            <w:r>
              <w:t xml:space="preserve">Heavy fsync</w:t>
            </w:r>
          </w:p>
        </w:tc>
      </w:tr>
      <w:tr>
        <w:tc>
          <w:tcPr/>
          <w:p>
            <w:pPr>
              <w:pStyle w:val="Compact"/>
              <w:jc w:val="left"/>
            </w:pPr>
            <w:r>
              <w:t xml:space="preserve">Merge</w:t>
            </w:r>
          </w:p>
        </w:tc>
        <w:tc>
          <w:tcPr/>
          <w:p>
            <w:pPr>
              <w:pStyle w:val="Compact"/>
              <w:jc w:val="left"/>
            </w:pPr>
            <w:r>
              <w:t xml:space="preserve">Combine segments, drop deletes</w:t>
            </w:r>
          </w:p>
        </w:tc>
        <w:tc>
          <w:tcPr/>
          <w:p>
            <w:pPr>
              <w:pStyle w:val="Compact"/>
              <w:jc w:val="left"/>
            </w:pPr>
            <w:r>
              <w:t xml:space="preserve">Merge policy</w:t>
            </w:r>
          </w:p>
        </w:tc>
        <w:tc>
          <w:tcPr/>
          <w:p>
            <w:pPr>
              <w:pStyle w:val="Compact"/>
              <w:jc w:val="left"/>
            </w:pPr>
            <w:r>
              <w:t xml:space="preserve">Smaller, faster index</w:t>
            </w:r>
          </w:p>
        </w:tc>
        <w:tc>
          <w:tcPr/>
          <w:p>
            <w:pPr>
              <w:pStyle w:val="Compact"/>
              <w:jc w:val="left"/>
            </w:pPr>
            <w:r>
              <w:t xml:space="preserve">Background I/O and CPU</w:t>
            </w:r>
          </w:p>
        </w:tc>
      </w:tr>
    </w:tbl>
    <w:p>
      <w:pPr>
        <w:pStyle w:val="BodyText"/>
      </w:pPr>
      <w:r>
        <w:t xml:space="preserve">This split is what</w:t>
      </w:r>
      <w:r>
        <w:t xml:space="preserve"> </w:t>
      </w:r>
      <w:r>
        <w:rPr>
          <w:bCs/>
          <w:b/>
        </w:rPr>
        <w:t xml:space="preserve">near-real-time</w:t>
      </w:r>
      <w:r>
        <w:t xml:space="preserve"> </w:t>
      </w:r>
      <w:r>
        <w:t xml:space="preserve">means: a write is durable at acknowledgement (thanks to the translog) and searchable about one refresh interval later, without paying for a Lucene commit on every write [Elastic Docs: near real-time search]. A client that must read its own write can pass</w:t>
      </w:r>
      <w:r>
        <w:t xml:space="preserve"> </w:t>
      </w:r>
      <w:r>
        <w:rPr>
          <w:rStyle w:val="VerbatimChar"/>
        </w:rPr>
        <w:t xml:space="preserve">refresh=wait_for</w:t>
      </w:r>
      <w:r>
        <w:t xml:space="preserve">, which blocks the response until the next scheduled refresh.</w:t>
      </w:r>
    </w:p>
    <w:bookmarkEnd w:id="1867"/>
    <w:bookmarkStart w:id="1869" w:name="read-path-and-memory"/>
    <w:p>
      <w:pPr>
        <w:pStyle w:val="Heading3"/>
      </w:pPr>
      <w:r>
        <w:t xml:space="preserve">16.8.4 Read path and memory</w:t>
      </w:r>
    </w:p>
    <w:p>
      <w:pPr>
        <w:pStyle w:val="FirstParagraph"/>
      </w:pPr>
      <w:r>
        <w:t xml:space="preserve">Queries rely on the operating system</w:t>
      </w:r>
      <w:r>
        <w:t xml:space="preserve"> </w:t>
      </w:r>
      <w:r>
        <w:rPr>
          <w:bCs/>
          <w:b/>
        </w:rPr>
        <w:t xml:space="preserve">page cache</w:t>
      </w:r>
      <w:r>
        <w:t xml:space="preserve"> </w:t>
      </w:r>
      <w:r>
        <w:t xml:space="preserve">for segment files (leave about half of RAM outside the JVM heap for it), the</w:t>
      </w:r>
      <w:r>
        <w:t xml:space="preserve"> </w:t>
      </w:r>
      <w:r>
        <w:rPr>
          <w:bCs/>
          <w:b/>
        </w:rPr>
        <w:t xml:space="preserve">shard request cache</w:t>
      </w:r>
      <w:r>
        <w:t xml:space="preserve"> </w:t>
      </w:r>
      <w:r>
        <w:t xml:space="preserve">for aggregations and the</w:t>
      </w:r>
      <w:r>
        <w:t xml:space="preserve"> </w:t>
      </w:r>
      <w:r>
        <w:rPr>
          <w:bCs/>
          <w:b/>
        </w:rPr>
        <w:t xml:space="preserve">node query cache</w:t>
      </w:r>
      <w:r>
        <w:t xml:space="preserve"> </w:t>
      </w:r>
      <w:r>
        <w:t xml:space="preserve">for filter bitsets. Elastic recommends a heap of at most half of RAM and below the roughly 31 GB compressed-pointer limit [Elastic Docs: heap size];</w:t>
      </w:r>
      <w:r>
        <w:t xml:space="preserve"> </w:t>
      </w:r>
      <w:r>
        <w:rPr>
          <w:bCs/>
          <w:b/>
        </w:rPr>
        <w:t xml:space="preserve">doc values</w:t>
      </w:r>
      <w:r>
        <w:t xml:space="preserve"> </w:t>
      </w:r>
      <w:r>
        <w:t xml:space="preserve">serve sorting and aggregations from disk-based columns rather than heap.</w:t>
      </w:r>
    </w:p>
    <w:p>
      <w:pPr>
        <w:pStyle w:val="BodyText"/>
      </w:pPr>
      <w:r>
        <w:rPr>
          <w:bCs/>
          <w:b/>
        </w:rPr>
        <w:t xml:space="preserve">Table 16.10 — Elasticsearch, OpenSearch and Solr compared (as of 2025).</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Elasticsearch</w:t>
            </w:r>
          </w:p>
        </w:tc>
        <w:tc>
          <w:tcPr/>
          <w:p>
            <w:pPr>
              <w:pStyle w:val="Compact"/>
              <w:jc w:val="left"/>
            </w:pPr>
            <w:r>
              <w:t xml:space="preserve">OpenSearch</w:t>
            </w:r>
          </w:p>
        </w:tc>
        <w:tc>
          <w:tcPr/>
          <w:p>
            <w:pPr>
              <w:pStyle w:val="Compact"/>
              <w:jc w:val="left"/>
            </w:pPr>
            <w:r>
              <w:t xml:space="preserve">Apache Solr</w:t>
            </w:r>
          </w:p>
        </w:tc>
      </w:tr>
      <w:tr>
        <w:tc>
          <w:tcPr/>
          <w:p>
            <w:pPr>
              <w:pStyle w:val="Compact"/>
              <w:jc w:val="left"/>
            </w:pPr>
            <w:r>
              <w:t xml:space="preserve">What it is</w:t>
            </w:r>
          </w:p>
        </w:tc>
        <w:tc>
          <w:tcPr/>
          <w:p>
            <w:pPr>
              <w:pStyle w:val="Compact"/>
              <w:jc w:val="left"/>
            </w:pPr>
            <w:r>
              <w:t xml:space="preserve">Lucene-based distributed engine by Elastic</w:t>
            </w:r>
          </w:p>
        </w:tc>
        <w:tc>
          <w:tcPr/>
          <w:p>
            <w:pPr>
              <w:pStyle w:val="Compact"/>
              <w:jc w:val="left"/>
            </w:pPr>
            <w:r>
              <w:t xml:space="preserve">Community fork of Elasticsearch 7.10.2 (Linux Foundation)</w:t>
            </w:r>
          </w:p>
        </w:tc>
        <w:tc>
          <w:tcPr/>
          <w:p>
            <w:pPr>
              <w:pStyle w:val="Compact"/>
              <w:jc w:val="left"/>
            </w:pPr>
            <w:r>
              <w:t xml:space="preserve">Apache Lucene project’s search server</w:t>
            </w:r>
          </w:p>
        </w:tc>
      </w:tr>
      <w:tr>
        <w:tc>
          <w:tcPr/>
          <w:p>
            <w:pPr>
              <w:pStyle w:val="Compact"/>
              <w:jc w:val="left"/>
            </w:pPr>
            <w:r>
              <w:t xml:space="preserve">Coordination</w:t>
            </w:r>
          </w:p>
        </w:tc>
        <w:tc>
          <w:tcPr/>
          <w:p>
            <w:pPr>
              <w:pStyle w:val="Compact"/>
              <w:jc w:val="left"/>
            </w:pPr>
            <w:r>
              <w:t xml:space="preserve">Built-in quorum-based cluster coordination</w:t>
            </w:r>
          </w:p>
        </w:tc>
        <w:tc>
          <w:tcPr/>
          <w:p>
            <w:pPr>
              <w:pStyle w:val="Compact"/>
              <w:jc w:val="left"/>
            </w:pPr>
            <w:r>
              <w:t xml:space="preserve">Inherited from Elasticsearch</w:t>
            </w:r>
          </w:p>
        </w:tc>
        <w:tc>
          <w:tcPr/>
          <w:p>
            <w:pPr>
              <w:pStyle w:val="Compact"/>
              <w:jc w:val="left"/>
            </w:pPr>
            <w:r>
              <w:t xml:space="preserve">ZooKeeper (SolrCloud)</w:t>
            </w:r>
          </w:p>
        </w:tc>
      </w:tr>
      <w:tr>
        <w:tc>
          <w:tcPr/>
          <w:p>
            <w:pPr>
              <w:pStyle w:val="Compact"/>
              <w:jc w:val="left"/>
            </w:pPr>
            <w:r>
              <w:t xml:space="preserve">Replication</w:t>
            </w:r>
          </w:p>
        </w:tc>
        <w:tc>
          <w:tcPr/>
          <w:p>
            <w:pPr>
              <w:pStyle w:val="Compact"/>
              <w:jc w:val="left"/>
            </w:pPr>
            <w:r>
              <w:t xml:space="preserve">Document replication; stateless serverless offering</w:t>
            </w:r>
          </w:p>
        </w:tc>
        <w:tc>
          <w:tcPr/>
          <w:p>
            <w:pPr>
              <w:pStyle w:val="Compact"/>
              <w:jc w:val="left"/>
            </w:pPr>
            <w:r>
              <w:t xml:space="preserve">Document or segment replication</w:t>
            </w:r>
          </w:p>
        </w:tc>
        <w:tc>
          <w:tcPr/>
          <w:p>
            <w:pPr>
              <w:pStyle w:val="Compact"/>
              <w:jc w:val="left"/>
            </w:pPr>
            <w:r>
              <w:t xml:space="preserve">Replica types NRT, TLOG, PULL</w:t>
            </w:r>
          </w:p>
        </w:tc>
      </w:tr>
      <w:tr>
        <w:tc>
          <w:tcPr/>
          <w:p>
            <w:pPr>
              <w:pStyle w:val="Compact"/>
              <w:jc w:val="left"/>
            </w:pPr>
            <w:r>
              <w:t xml:space="preserve">Advantages</w:t>
            </w:r>
          </w:p>
        </w:tc>
        <w:tc>
          <w:tcPr/>
          <w:p>
            <w:pPr>
              <w:pStyle w:val="Compact"/>
              <w:jc w:val="left"/>
            </w:pPr>
            <w:r>
              <w:t xml:space="preserve">Feature velocity, ecosystem</w:t>
            </w:r>
          </w:p>
        </w:tc>
        <w:tc>
          <w:tcPr/>
          <w:p>
            <w:pPr>
              <w:pStyle w:val="Compact"/>
              <w:jc w:val="left"/>
            </w:pPr>
            <w:r>
              <w:t xml:space="preserve">Open-source license, AWS managed service</w:t>
            </w:r>
          </w:p>
        </w:tc>
        <w:tc>
          <w:tcPr/>
          <w:p>
            <w:pPr>
              <w:pStyle w:val="Compact"/>
              <w:jc w:val="left"/>
            </w:pPr>
            <w:r>
              <w:t xml:space="preserve">Mature, flexible configuration</w:t>
            </w:r>
          </w:p>
        </w:tc>
      </w:tr>
      <w:tr>
        <w:tc>
          <w:tcPr/>
          <w:p>
            <w:pPr>
              <w:pStyle w:val="Compact"/>
              <w:jc w:val="left"/>
            </w:pPr>
            <w:r>
              <w:t xml:space="preserve">Disadvantages</w:t>
            </w:r>
          </w:p>
        </w:tc>
        <w:tc>
          <w:tcPr/>
          <w:p>
            <w:pPr>
              <w:pStyle w:val="Compact"/>
              <w:jc w:val="left"/>
            </w:pPr>
            <w:r>
              <w:t xml:space="preserve">Licensing changes over time</w:t>
            </w:r>
          </w:p>
        </w:tc>
        <w:tc>
          <w:tcPr/>
          <w:p>
            <w:pPr>
              <w:pStyle w:val="Compact"/>
              <w:jc w:val="left"/>
            </w:pPr>
            <w:r>
              <w:t xml:space="preserve">Features lag or differ from Elasticsearch</w:t>
            </w:r>
          </w:p>
        </w:tc>
        <w:tc>
          <w:tcPr/>
          <w:p>
            <w:pPr>
              <w:pStyle w:val="Compact"/>
              <w:jc w:val="left"/>
            </w:pPr>
            <w:r>
              <w:t xml:space="preserve">Smaller operational ecosystem today</w:t>
            </w:r>
          </w:p>
        </w:tc>
      </w:tr>
      <w:tr>
        <w:tc>
          <w:tcPr/>
          <w:p>
            <w:pPr>
              <w:pStyle w:val="Compact"/>
              <w:jc w:val="left"/>
            </w:pPr>
            <w:r>
              <w:t xml:space="preserve">Choose when</w:t>
            </w:r>
          </w:p>
        </w:tc>
        <w:tc>
          <w:tcPr/>
          <w:p>
            <w:pPr>
              <w:pStyle w:val="Compact"/>
              <w:jc w:val="left"/>
            </w:pPr>
            <w:r>
              <w:t xml:space="preserve">You want the reference product and its tooling</w:t>
            </w:r>
          </w:p>
        </w:tc>
        <w:tc>
          <w:tcPr/>
          <w:p>
            <w:pPr>
              <w:pStyle w:val="Compact"/>
              <w:jc w:val="left"/>
            </w:pPr>
            <w:r>
              <w:t xml:space="preserve">You want Apache-licensed software or AWS OpenSearch Service</w:t>
            </w:r>
          </w:p>
        </w:tc>
        <w:tc>
          <w:tcPr/>
          <w:p>
            <w:pPr>
              <w:pStyle w:val="Compact"/>
              <w:jc w:val="left"/>
            </w:pPr>
            <w:r>
              <w:t xml:space="preserve">Existing Solr expertise or ZooKeeper-based operations</w:t>
            </w:r>
          </w:p>
        </w:tc>
      </w:tr>
    </w:tbl>
    <w:p>
      <w:pPr>
        <w:pStyle w:val="BodyText"/>
      </w:pPr>
      <w:r>
        <w:t xml:space="preserve">OpenSearch’s</w:t>
      </w:r>
      <w:r>
        <w:t xml:space="preserve"> </w:t>
      </w:r>
      <w:r>
        <w:rPr>
          <w:bCs/>
          <w:b/>
        </w:rPr>
        <w:t xml:space="preserve">segment replication</w:t>
      </w:r>
      <w:r>
        <w:t xml:space="preserve"> </w:t>
      </w:r>
      <w:r>
        <w:t xml:space="preserve">copies segment files from primary to replicas instead of re-indexing each document on every replica, trading replica freshness for lower replica CPU [OpenSearch Docs: segment replication].</w:t>
      </w:r>
    </w:p>
    <w:bookmarkStart w:id="1868" w:name="failure-scenarios-48"/>
    <w:p>
      <w:pPr>
        <w:pStyle w:val="Heading4"/>
      </w:pPr>
      <w:r>
        <w:t xml:space="preserve">Failure scenarios</w:t>
      </w:r>
    </w:p>
    <w:p>
      <w:pPr>
        <w:pStyle w:val="FirstParagraph"/>
      </w:pPr>
      <w:r>
        <w:rPr>
          <w:bCs/>
          <w:b/>
        </w:rPr>
        <w:t xml:space="preserve">Table 16.11 — Distributed search and cluster 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Cluster status red</w:t>
            </w:r>
          </w:p>
        </w:tc>
        <w:tc>
          <w:tcPr/>
          <w:p>
            <w:pPr>
              <w:pStyle w:val="Compact"/>
              <w:jc w:val="left"/>
            </w:pPr>
            <w:r>
              <w:t xml:space="preserve">All copies of a primary lost</w:t>
            </w:r>
          </w:p>
        </w:tc>
        <w:tc>
          <w:tcPr/>
          <w:p>
            <w:pPr>
              <w:pStyle w:val="Compact"/>
              <w:jc w:val="left"/>
            </w:pPr>
            <w:r>
              <w:t xml:space="preserve">Cluster health API</w:t>
            </w:r>
          </w:p>
        </w:tc>
        <w:tc>
          <w:tcPr/>
          <w:p>
            <w:pPr>
              <w:pStyle w:val="Compact"/>
              <w:jc w:val="left"/>
            </w:pPr>
            <w:r>
              <w:t xml:space="preserve">Restore shard from snapshot; reindex from source</w:t>
            </w:r>
          </w:p>
        </w:tc>
        <w:tc>
          <w:tcPr/>
          <w:p>
            <w:pPr>
              <w:pStyle w:val="Compact"/>
              <w:jc w:val="left"/>
            </w:pPr>
            <w:r>
              <w:t xml:space="preserve">Replicas across zones; snapshots</w:t>
            </w:r>
          </w:p>
        </w:tc>
      </w:tr>
      <w:tr>
        <w:tc>
          <w:tcPr/>
          <w:p>
            <w:pPr>
              <w:pStyle w:val="Compact"/>
              <w:jc w:val="left"/>
            </w:pPr>
            <w:r>
              <w:t xml:space="preserve">Mapping explosion</w:t>
            </w:r>
          </w:p>
        </w:tc>
        <w:tc>
          <w:tcPr/>
          <w:p>
            <w:pPr>
              <w:pStyle w:val="Compact"/>
              <w:jc w:val="left"/>
            </w:pPr>
            <w:r>
              <w:t xml:space="preserve">Dynamic mapping of arbitrary JSON keys creates thousands of fields</w:t>
            </w:r>
          </w:p>
        </w:tc>
        <w:tc>
          <w:tcPr/>
          <w:p>
            <w:pPr>
              <w:pStyle w:val="Compact"/>
              <w:jc w:val="left"/>
            </w:pPr>
            <w:r>
              <w:t xml:space="preserve">Field count; cluster-state size</w:t>
            </w:r>
          </w:p>
        </w:tc>
        <w:tc>
          <w:tcPr/>
          <w:p>
            <w:pPr>
              <w:pStyle w:val="Compact"/>
              <w:jc w:val="left"/>
            </w:pPr>
            <w:r>
              <w:t xml:space="preserve">Reindex with strict mapping</w:t>
            </w:r>
          </w:p>
        </w:tc>
        <w:tc>
          <w:tcPr/>
          <w:p>
            <w:pPr>
              <w:pStyle w:val="Compact"/>
              <w:jc w:val="left"/>
            </w:pPr>
            <w:r>
              <w:rPr>
                <w:rStyle w:val="VerbatimChar"/>
              </w:rPr>
              <w:t xml:space="preserve">dynamic: strict</w:t>
            </w:r>
            <w:r>
              <w:t xml:space="preserve">; field limits</w:t>
            </w:r>
          </w:p>
        </w:tc>
      </w:tr>
      <w:tr>
        <w:tc>
          <w:tcPr/>
          <w:p>
            <w:pPr>
              <w:pStyle w:val="Compact"/>
              <w:jc w:val="left"/>
            </w:pPr>
            <w:r>
              <w:t xml:space="preserve">Hot shard</w:t>
            </w:r>
          </w:p>
        </w:tc>
        <w:tc>
          <w:tcPr/>
          <w:p>
            <w:pPr>
              <w:pStyle w:val="Compact"/>
              <w:jc w:val="left"/>
            </w:pPr>
            <w:r>
              <w:t xml:space="preserve">Custom routing on a skewed key</w:t>
            </w:r>
          </w:p>
        </w:tc>
        <w:tc>
          <w:tcPr/>
          <w:p>
            <w:pPr>
              <w:pStyle w:val="Compact"/>
              <w:jc w:val="left"/>
            </w:pPr>
            <w:r>
              <w:t xml:space="preserve">Per-shard latency and CPU</w:t>
            </w:r>
          </w:p>
        </w:tc>
        <w:tc>
          <w:tcPr/>
          <w:p>
            <w:pPr>
              <w:pStyle w:val="Compact"/>
              <w:jc w:val="left"/>
            </w:pPr>
            <w:r>
              <w:t xml:space="preserve">Reroute; split shard</w:t>
            </w:r>
          </w:p>
        </w:tc>
        <w:tc>
          <w:tcPr/>
          <w:p>
            <w:pPr>
              <w:pStyle w:val="Compact"/>
              <w:jc w:val="left"/>
            </w:pPr>
            <w:r>
              <w:t xml:space="preserve">Random routing; routing partitions</w:t>
            </w:r>
          </w:p>
        </w:tc>
      </w:tr>
      <w:tr>
        <w:tc>
          <w:tcPr/>
          <w:p>
            <w:pPr>
              <w:pStyle w:val="Compact"/>
              <w:jc w:val="left"/>
            </w:pPr>
            <w:r>
              <w:t xml:space="preserve">Long GC pauses, node drops out</w:t>
            </w:r>
          </w:p>
        </w:tc>
        <w:tc>
          <w:tcPr/>
          <w:p>
            <w:pPr>
              <w:pStyle w:val="Compact"/>
              <w:jc w:val="left"/>
            </w:pPr>
            <w:r>
              <w:t xml:space="preserve">Heap too large or full</w:t>
            </w:r>
          </w:p>
        </w:tc>
        <w:tc>
          <w:tcPr/>
          <w:p>
            <w:pPr>
              <w:pStyle w:val="Compact"/>
              <w:jc w:val="left"/>
            </w:pPr>
            <w:r>
              <w:t xml:space="preserve">GC logs; node-left events</w:t>
            </w:r>
          </w:p>
        </w:tc>
        <w:tc>
          <w:tcPr/>
          <w:p>
            <w:pPr>
              <w:pStyle w:val="Compact"/>
              <w:jc w:val="left"/>
            </w:pPr>
            <w:r>
              <w:t xml:space="preserve">Reduce heap pressure; restart</w:t>
            </w:r>
          </w:p>
        </w:tc>
        <w:tc>
          <w:tcPr/>
          <w:p>
            <w:pPr>
              <w:pStyle w:val="Compact"/>
              <w:jc w:val="left"/>
            </w:pPr>
            <w:r>
              <w:t xml:space="preserve">Heap ≤ 50% RAM; circuit breakers</w:t>
            </w:r>
          </w:p>
        </w:tc>
      </w:tr>
      <w:tr>
        <w:tc>
          <w:tcPr/>
          <w:p>
            <w:pPr>
              <w:pStyle w:val="Compact"/>
              <w:jc w:val="left"/>
            </w:pPr>
            <w:r>
              <w:t xml:space="preserve">Stale results</w:t>
            </w:r>
          </w:p>
        </w:tc>
        <w:tc>
          <w:tcPr/>
          <w:p>
            <w:pPr>
              <w:pStyle w:val="Compact"/>
              <w:jc w:val="left"/>
            </w:pPr>
            <w:r>
              <w:t xml:space="preserve">Indexing pipeline lag</w:t>
            </w:r>
          </w:p>
        </w:tc>
        <w:tc>
          <w:tcPr/>
          <w:p>
            <w:pPr>
              <w:pStyle w:val="Compact"/>
              <w:jc w:val="left"/>
            </w:pPr>
            <w:r>
              <w:t xml:space="preserve">Freshness metric (§16.10.3)</w:t>
            </w:r>
          </w:p>
        </w:tc>
        <w:tc>
          <w:tcPr/>
          <w:p>
            <w:pPr>
              <w:pStyle w:val="Compact"/>
              <w:jc w:val="left"/>
            </w:pPr>
            <w:r>
              <w:t xml:space="preserve">Scale consumers</w:t>
            </w:r>
          </w:p>
        </w:tc>
        <w:tc>
          <w:tcPr/>
          <w:p>
            <w:pPr>
              <w:pStyle w:val="Compact"/>
              <w:jc w:val="left"/>
            </w:pPr>
            <w:r>
              <w:t xml:space="preserve">Alert on consumer lag</w:t>
            </w:r>
          </w:p>
        </w:tc>
      </w:tr>
    </w:tbl>
    <w:p>
      <w:pPr>
        <w:pStyle w:val="CalloutMistake"/>
      </w:pPr>
      <w:r>
        <w:rPr>
          <w:bCs/>
          <w:b/>
        </w:rPr>
        <w:t xml:space="preserve">COMMON MISTAKE</w:t>
      </w:r>
    </w:p>
    <w:p>
      <w:pPr>
        <w:pStyle w:val="CalloutMistake"/>
      </w:pPr>
      <w:r>
        <w:rPr>
          <w:bCs/>
          <w:b/>
        </w:rPr>
        <w:t xml:space="preserve">Mistake —</w:t>
      </w:r>
      <w:r>
        <w:rPr>
          <w:bCs/>
          <w:b/>
        </w:rPr>
        <w:t xml:space="preserve"> </w:t>
      </w:r>
      <w:r>
        <w:rPr>
          <w:bCs/>
          <w:b/>
        </w:rPr>
        <w:t xml:space="preserve">“</w:t>
      </w:r>
      <w:r>
        <w:rPr>
          <w:bCs/>
          <w:b/>
        </w:rPr>
        <w:t xml:space="preserve">Elasticsearch can be our primary database.</w:t>
      </w:r>
      <w:r>
        <w:rPr>
          <w:bCs/>
          <w:b/>
        </w:rPr>
        <w:t xml:space="preserve">”</w:t>
      </w:r>
      <w:r>
        <w:t xml:space="preserve"> </w:t>
      </w:r>
      <w:r>
        <w:t xml:space="preserve">It is durable per shard and replicated, but it has no multi-document transactions, near-real-time rather than immediate visibility, and mapping changes often require reindexing. Treat it as a derived, rebuildable view of a system of record (§16.10.2).</w:t>
      </w:r>
    </w:p>
    <w:bookmarkEnd w:id="1868"/>
    <w:bookmarkEnd w:id="1869"/>
    <w:bookmarkEnd w:id="1870"/>
    <w:bookmarkStart w:id="1882" w:name="typeahead-and-autocomplete"/>
    <w:p>
      <w:pPr>
        <w:pStyle w:val="Heading2"/>
      </w:pPr>
      <w:r>
        <w:t xml:space="preserve">16.9 Typeahead and autocomplete</w:t>
      </w:r>
    </w:p>
    <w:bookmarkStart w:id="1872" w:name="requirements-and-the-latency-budget"/>
    <w:p>
      <w:pPr>
        <w:pStyle w:val="Heading3"/>
      </w:pPr>
      <w:r>
        <w:t xml:space="preserve">16.9.1 Requirements and the latency budget</w:t>
      </w:r>
    </w:p>
    <w:p>
      <w:pPr>
        <w:pStyle w:val="CalloutDefinition"/>
      </w:pPr>
      <w:r>
        <w:rPr>
          <w:bCs/>
          <w:b/>
        </w:rPr>
        <w:t xml:space="preserve">DEFINITION</w:t>
      </w:r>
    </w:p>
    <w:p>
      <w:pPr>
        <w:pStyle w:val="CalloutDefinition"/>
      </w:pPr>
      <w:r>
        <w:rPr>
          <w:bCs/>
          <w:b/>
        </w:rPr>
        <w:t xml:space="preserve">Definition — Autocomplete (typeahead).</w:t>
      </w:r>
      <w:r>
        <w:t xml:space="preserve"> </w:t>
      </w:r>
      <w:r>
        <w:t xml:space="preserve">A service that, given the prefix a user has typed so far, returns a short ranked list (typically 5–10) of likely completions, usually popular past queries or entity names, on every keystroke or after a short pause.</w:t>
      </w:r>
    </w:p>
    <w:bookmarkStart w:id="1871" w:name="first-principles-explanation-105"/>
    <w:p>
      <w:pPr>
        <w:pStyle w:val="Heading4"/>
      </w:pPr>
      <w:r>
        <w:t xml:space="preserve">First-principles explanation</w:t>
      </w:r>
    </w:p>
    <w:p>
      <w:pPr>
        <w:pStyle w:val="FirstParagraph"/>
      </w:pPr>
      <w:r>
        <w:t xml:space="preserve">Autocomplete is a friend finishing your sentences: useful only if the suggestion arrives before your next keystroke, 150–300 ms later. Nielsen’s guideline is that about 0.1 s feels instantaneous [Nielsen 1993], so the whole round trip must fit in roughly 100 ms. That pushes design toward precomputation: answers for popular prefixes are computed offline and looked up, not searched.</w:t>
      </w:r>
    </w:p>
    <w:p>
      <w:pPr>
        <w:pStyle w:val="BodyText"/>
      </w:pPr>
      <w:r>
        <w:rPr>
          <w:bCs/>
          <w:b/>
        </w:rPr>
        <w:t xml:space="preserve">Table 16.12 — End-to-end latency budget for one suggestion request.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Stage</w:t>
            </w:r>
          </w:p>
        </w:tc>
        <w:tc>
          <w:tcPr/>
          <w:p>
            <w:pPr>
              <w:pStyle w:val="Compact"/>
              <w:jc w:val="left"/>
            </w:pPr>
            <w:r>
              <w:t xml:space="preserve">Budget</w:t>
            </w:r>
          </w:p>
        </w:tc>
        <w:tc>
          <w:tcPr/>
          <w:p>
            <w:pPr>
              <w:pStyle w:val="Compact"/>
              <w:jc w:val="left"/>
            </w:pPr>
            <w:r>
              <w:t xml:space="preserve">Notes</w:t>
            </w:r>
          </w:p>
        </w:tc>
      </w:tr>
      <w:tr>
        <w:tc>
          <w:tcPr/>
          <w:p>
            <w:pPr>
              <w:pStyle w:val="Compact"/>
              <w:jc w:val="left"/>
            </w:pPr>
            <w:r>
              <w:t xml:space="preserve">Client event handling</w:t>
            </w:r>
          </w:p>
        </w:tc>
        <w:tc>
          <w:tcPr/>
          <w:p>
            <w:pPr>
              <w:pStyle w:val="Compact"/>
              <w:jc w:val="left"/>
            </w:pPr>
            <w:r>
              <w:t xml:space="preserve">≤ 5 ms</w:t>
            </w:r>
          </w:p>
        </w:tc>
        <w:tc>
          <w:tcPr/>
          <w:p>
            <w:pPr>
              <w:pStyle w:val="Compact"/>
              <w:jc w:val="left"/>
            </w:pPr>
            <w:r>
              <w:t xml:space="preserve">Plus an optional 30–50 ms debounce, outside the budget</w:t>
            </w:r>
          </w:p>
        </w:tc>
      </w:tr>
      <w:tr>
        <w:tc>
          <w:tcPr/>
          <w:p>
            <w:pPr>
              <w:pStyle w:val="Compact"/>
              <w:jc w:val="left"/>
            </w:pPr>
            <w:r>
              <w:t xml:space="preserve">Network round trip</w:t>
            </w:r>
          </w:p>
        </w:tc>
        <w:tc>
          <w:tcPr/>
          <w:p>
            <w:pPr>
              <w:pStyle w:val="Compact"/>
              <w:jc w:val="left"/>
            </w:pPr>
            <w:r>
              <w:t xml:space="preserve">30–50 ms</w:t>
            </w:r>
          </w:p>
        </w:tc>
        <w:tc>
          <w:tcPr/>
          <w:p>
            <w:pPr>
              <w:pStyle w:val="Compact"/>
              <w:jc w:val="left"/>
            </w:pPr>
            <w:r>
              <w:t xml:space="preserve">Reused HTTP/2 or HTTP/3 connection; nearby edge</w:t>
            </w:r>
          </w:p>
        </w:tc>
      </w:tr>
      <w:tr>
        <w:tc>
          <w:tcPr/>
          <w:p>
            <w:pPr>
              <w:pStyle w:val="Compact"/>
              <w:jc w:val="left"/>
            </w:pPr>
            <w:r>
              <w:t xml:space="preserve">Load balancer and gateway</w:t>
            </w:r>
          </w:p>
        </w:tc>
        <w:tc>
          <w:tcPr/>
          <w:p>
            <w:pPr>
              <w:pStyle w:val="Compact"/>
              <w:jc w:val="left"/>
            </w:pPr>
            <w:r>
              <w:t xml:space="preserve">2–5 ms</w:t>
            </w:r>
          </w:p>
        </w:tc>
        <w:tc>
          <w:tcPr/>
          <w:p>
            <w:pPr>
              <w:pStyle w:val="Compact"/>
              <w:jc w:val="left"/>
            </w:pPr>
            <w:r>
              <w:t xml:space="preserve">No per-request authentication call</w:t>
            </w:r>
          </w:p>
        </w:tc>
      </w:tr>
      <w:tr>
        <w:tc>
          <w:tcPr/>
          <w:p>
            <w:pPr>
              <w:pStyle w:val="Compact"/>
              <w:jc w:val="left"/>
            </w:pPr>
            <w:r>
              <w:t xml:space="preserve">Suggestion lookup</w:t>
            </w:r>
          </w:p>
        </w:tc>
        <w:tc>
          <w:tcPr/>
          <w:p>
            <w:pPr>
              <w:pStyle w:val="Compact"/>
              <w:jc w:val="left"/>
            </w:pPr>
            <w:r>
              <w:t xml:space="preserve">≤ 5 ms at p99</w:t>
            </w:r>
          </w:p>
        </w:tc>
        <w:tc>
          <w:tcPr/>
          <w:p>
            <w:pPr>
              <w:pStyle w:val="Compact"/>
              <w:jc w:val="left"/>
            </w:pPr>
            <w:r>
              <w:t xml:space="preserve">In-memory trie or FST; no disk</w:t>
            </w:r>
          </w:p>
        </w:tc>
      </w:tr>
      <w:tr>
        <w:tc>
          <w:tcPr/>
          <w:p>
            <w:pPr>
              <w:pStyle w:val="Compact"/>
              <w:jc w:val="left"/>
            </w:pPr>
            <w:r>
              <w:t xml:space="preserve">Serialization and render</w:t>
            </w:r>
          </w:p>
        </w:tc>
        <w:tc>
          <w:tcPr/>
          <w:p>
            <w:pPr>
              <w:pStyle w:val="Compact"/>
              <w:jc w:val="left"/>
            </w:pPr>
            <w:r>
              <w:t xml:space="preserve">~16 ms</w:t>
            </w:r>
          </w:p>
        </w:tc>
        <w:tc>
          <w:tcPr/>
          <w:p>
            <w:pPr>
              <w:pStyle w:val="Compact"/>
              <w:jc w:val="left"/>
            </w:pPr>
            <w:r>
              <w:t xml:space="preserve">One frame at 60 Hz</w:t>
            </w:r>
          </w:p>
        </w:tc>
      </w:tr>
      <w:tr>
        <w:tc>
          <w:tcPr/>
          <w:p>
            <w:pPr>
              <w:pStyle w:val="Compact"/>
              <w:jc w:val="left"/>
            </w:pPr>
            <w:r>
              <w:rPr>
                <w:bCs/>
                <w:b/>
              </w:rPr>
              <w:t xml:space="preserve">Total</w:t>
            </w:r>
          </w:p>
        </w:tc>
        <w:tc>
          <w:tcPr/>
          <w:p>
            <w:pPr>
              <w:pStyle w:val="Compact"/>
              <w:jc w:val="left"/>
            </w:pPr>
            <w:r>
              <w:rPr>
                <w:bCs/>
                <w:b/>
              </w:rPr>
              <w:t xml:space="preserve">≈ 55–80 ms</w:t>
            </w:r>
          </w:p>
        </w:tc>
        <w:tc>
          <w:tcPr/>
          <w:p>
            <w:pPr>
              <w:pStyle w:val="Compact"/>
              <w:jc w:val="left"/>
            </w:pPr>
            <w:r>
              <w:t xml:space="preserve">Leaves headroom under 100 ms</w:t>
            </w:r>
          </w:p>
        </w:tc>
      </w:tr>
    </w:tbl>
    <w:p>
      <w:pPr>
        <w:pStyle w:val="CalloutFormula"/>
      </w:pPr>
      <w:r>
        <w:rPr>
          <w:bCs/>
          <w:b/>
        </w:rPr>
        <w:t xml:space="preserve">FORMULA</w:t>
      </w:r>
    </w:p>
    <w:p>
      <w:pPr>
        <w:pStyle w:val="CalloutFormula"/>
      </w:pPr>
      <w:r>
        <w:rPr>
          <w:bCs/>
          <w:b/>
        </w:rPr>
        <w:t xml:space="preserve">Autocomplete load and precomputed-index memory</w:t>
      </w:r>
    </w:p>
    <w:p>
      <w:pPr>
        <w:pStyle w:val="CalloutFormula"/>
      </w:pPr>
      <m:oMathPara>
        <m:oMathParaPr>
          <m:jc m:val="center"/>
        </m:oMathParaPr>
        <m:oMath>
          <m:sSub>
            <m:e>
              <m:r>
                <m:t>λ</m:t>
              </m:r>
            </m:e>
            <m:sub>
              <m:r>
                <m:rPr>
                  <m:nor/>
                  <m:sty m:val="p"/>
                </m:rPr>
                <m:t>ac</m:t>
              </m:r>
            </m:sub>
          </m:sSub>
          <m:r>
            <m:rPr>
              <m:sty m:val="p"/>
            </m:rPr>
            <m:t>=</m:t>
          </m:r>
          <m:sSub>
            <m:e>
              <m:r>
                <m:t>λ</m:t>
              </m:r>
            </m:e>
            <m:sub>
              <m:r>
                <m:rPr>
                  <m:nor/>
                  <m:sty m:val="p"/>
                </m:rPr>
                <m:t>search</m:t>
              </m:r>
            </m:sub>
          </m:sSub>
          <m:r>
            <m:rPr>
              <m:sty m:val="p"/>
            </m:rPr>
            <m:t>⋅</m:t>
          </m:r>
          <m:r>
            <m:t>c</m:t>
          </m:r>
          <m:r>
            <m:rPr>
              <m:sty m:val="p"/>
            </m:rPr>
            <m:t>⋅</m:t>
          </m:r>
          <m:r>
            <m:t>f</m:t>
          </m:r>
          <m:r>
            <m:t>  </m:t>
          </m:r>
          <m:sSub>
            <m:e>
              <m:r>
                <m:t>M</m:t>
              </m:r>
            </m:e>
            <m:sub>
              <m:r>
                <m:rPr>
                  <m:nor/>
                  <m:sty m:val="p"/>
                </m:rPr>
                <m:t>top-</m:t>
              </m:r>
              <m:r>
                <m:t>k</m:t>
              </m:r>
            </m:sub>
          </m:sSub>
          <m:r>
            <m:rPr>
              <m:sty m:val="p"/>
            </m:rPr>
            <m:t>≈</m:t>
          </m:r>
          <m:r>
            <m:t>P</m:t>
          </m:r>
          <m:r>
            <m:rPr>
              <m:sty m:val="p"/>
            </m:rPr>
            <m:t>⋅</m:t>
          </m:r>
          <m:r>
            <m:t>k</m:t>
          </m:r>
          <m:r>
            <m:rPr>
              <m:sty m:val="p"/>
            </m:rPr>
            <m:t>⋅</m:t>
          </m:r>
          <m:r>
            <m:t>b</m:t>
          </m:r>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λ</m:t>
                  </m:r>
                </m:e>
                <m:sub>
                  <m:r>
                    <m:rPr>
                      <m:nor/>
                      <m:sty m:val="p"/>
                    </m:rPr>
                    <m:t>search</m:t>
                  </m:r>
                </m:sub>
              </m:sSub>
            </m:oMath>
          </w:p>
        </w:tc>
        <w:tc>
          <w:tcPr/>
          <w:p>
            <w:pPr>
              <w:pStyle w:val="Compact"/>
              <w:jc w:val="left"/>
            </w:pPr>
            <w:r>
              <w:t xml:space="preserve">Searches started per second</w:t>
            </w:r>
          </w:p>
        </w:tc>
        <w:tc>
          <w:tcPr/>
          <w:p>
            <w:pPr>
              <w:pStyle w:val="Compact"/>
              <w:jc w:val="left"/>
            </w:pPr>
            <w:r>
              <w:t xml:space="preserve">searches/s</w:t>
            </w:r>
          </w:p>
        </w:tc>
      </w:tr>
      <w:tr>
        <w:tc>
          <w:tcPr/>
          <w:p>
            <w:pPr>
              <w:pStyle w:val="Compact"/>
              <w:jc w:val="left"/>
            </w:pPr>
            <m:oMath>
              <m:r>
                <m:t>c</m:t>
              </m:r>
            </m:oMath>
          </w:p>
        </w:tc>
        <w:tc>
          <w:tcPr/>
          <w:p>
            <w:pPr>
              <w:pStyle w:val="Compact"/>
              <w:jc w:val="left"/>
            </w:pPr>
            <w:r>
              <w:t xml:space="preserve">Characters typed per search before selecting or submitting</w:t>
            </w:r>
          </w:p>
        </w:tc>
        <w:tc>
          <w:tcPr/>
          <w:p>
            <w:pPr>
              <w:pStyle w:val="Compact"/>
              <w:jc w:val="left"/>
            </w:pPr>
            <w:r>
              <w:t xml:space="preserve">characters</w:t>
            </w:r>
          </w:p>
        </w:tc>
      </w:tr>
      <w:tr>
        <w:tc>
          <w:tcPr/>
          <w:p>
            <w:pPr>
              <w:pStyle w:val="Compact"/>
              <w:jc w:val="left"/>
            </w:pPr>
            <m:oMath>
              <m:r>
                <m:t>f</m:t>
              </m:r>
            </m:oMath>
          </w:p>
        </w:tc>
        <w:tc>
          <w:tcPr/>
          <w:p>
            <w:pPr>
              <w:pStyle w:val="Compact"/>
              <w:jc w:val="left"/>
            </w:pPr>
            <w:r>
              <w:t xml:space="preserve">Fraction of keystrokes that send a request (after debounce and client caching)</w:t>
            </w:r>
          </w:p>
        </w:tc>
        <w:tc>
          <w:tcPr/>
          <w:p>
            <w:pPr>
              <w:pStyle w:val="Compact"/>
              <w:jc w:val="left"/>
            </w:pPr>
            <w:r>
              <w:t xml:space="preserve">dimensionless</w:t>
            </w:r>
          </w:p>
        </w:tc>
      </w:tr>
      <w:tr>
        <w:tc>
          <w:tcPr/>
          <w:p>
            <w:pPr>
              <w:pStyle w:val="Compact"/>
              <w:jc w:val="left"/>
            </w:pPr>
            <m:oMath>
              <m:sSub>
                <m:e>
                  <m:r>
                    <m:t>λ</m:t>
                  </m:r>
                </m:e>
                <m:sub>
                  <m:r>
                    <m:rPr>
                      <m:nor/>
                      <m:sty m:val="p"/>
                    </m:rPr>
                    <m:t>ac</m:t>
                  </m:r>
                </m:sub>
              </m:sSub>
            </m:oMath>
          </w:p>
        </w:tc>
        <w:tc>
          <w:tcPr/>
          <w:p>
            <w:pPr>
              <w:pStyle w:val="Compact"/>
              <w:jc w:val="left"/>
            </w:pPr>
            <w:r>
              <w:t xml:space="preserve">Suggestion request rate</w:t>
            </w:r>
          </w:p>
        </w:tc>
        <w:tc>
          <w:tcPr/>
          <w:p>
            <w:pPr>
              <w:pStyle w:val="Compact"/>
              <w:jc w:val="left"/>
            </w:pPr>
            <w:r>
              <w:t xml:space="preserve">requests/s</w:t>
            </w:r>
          </w:p>
        </w:tc>
      </w:tr>
      <w:tr>
        <w:tc>
          <w:tcPr/>
          <w:p>
            <w:pPr>
              <w:pStyle w:val="Compact"/>
              <w:jc w:val="left"/>
            </w:pPr>
            <m:oMath>
              <m:r>
                <m:t>P</m:t>
              </m:r>
            </m:oMath>
          </w:p>
        </w:tc>
        <w:tc>
          <w:tcPr/>
          <w:p>
            <w:pPr>
              <w:pStyle w:val="Compact"/>
              <w:jc w:val="left"/>
            </w:pPr>
            <w:r>
              <w:t xml:space="preserve">Number of trie nodes (distinct prefixes) with stored suggestions</w:t>
            </w:r>
          </w:p>
        </w:tc>
        <w:tc>
          <w:tcPr/>
          <w:p>
            <w:pPr>
              <w:pStyle w:val="Compact"/>
              <w:jc w:val="left"/>
            </w:pPr>
            <w:r>
              <w:t xml:space="preserve">nodes</w:t>
            </w:r>
          </w:p>
        </w:tc>
      </w:tr>
      <w:tr>
        <w:tc>
          <w:tcPr/>
          <w:p>
            <w:pPr>
              <w:pStyle w:val="Compact"/>
              <w:jc w:val="left"/>
            </w:pPr>
            <m:oMath>
              <m:r>
                <m:t>k</m:t>
              </m:r>
            </m:oMath>
          </w:p>
        </w:tc>
        <w:tc>
          <w:tcPr/>
          <w:p>
            <w:pPr>
              <w:pStyle w:val="Compact"/>
              <w:jc w:val="left"/>
            </w:pPr>
            <w:r>
              <w:t xml:space="preserve">Suggestions stored per prefix</w:t>
            </w:r>
          </w:p>
        </w:tc>
        <w:tc>
          <w:tcPr/>
          <w:p>
            <w:pPr>
              <w:pStyle w:val="Compact"/>
              <w:jc w:val="left"/>
            </w:pPr>
            <w:r>
              <w:t xml:space="preserve">count</w:t>
            </w:r>
          </w:p>
        </w:tc>
      </w:tr>
      <w:tr>
        <w:tc>
          <w:tcPr/>
          <w:p>
            <w:pPr>
              <w:pStyle w:val="Compact"/>
              <w:jc w:val="left"/>
            </w:pPr>
            <m:oMath>
              <m:r>
                <m:t>b</m:t>
              </m:r>
            </m:oMath>
          </w:p>
        </w:tc>
        <w:tc>
          <w:tcPr/>
          <w:p>
            <w:pPr>
              <w:pStyle w:val="Compact"/>
              <w:jc w:val="left"/>
            </w:pPr>
            <w:r>
              <w:t xml:space="preserve">Bytes per stored suggestion reference</w:t>
            </w:r>
          </w:p>
        </w:tc>
        <w:tc>
          <w:tcPr/>
          <w:p>
            <w:pPr>
              <w:pStyle w:val="Compact"/>
              <w:jc w:val="left"/>
            </w:pPr>
            <w:r>
              <w:t xml:space="preserve">bytes</w:t>
            </w:r>
          </w:p>
        </w:tc>
      </w:tr>
      <w:tr>
        <w:tc>
          <w:tcPr/>
          <w:p>
            <w:pPr>
              <w:pStyle w:val="Compact"/>
              <w:jc w:val="left"/>
            </w:pPr>
            <m:oMath>
              <m:sSub>
                <m:e>
                  <m:r>
                    <m:t>M</m:t>
                  </m:r>
                </m:e>
                <m:sub>
                  <m:r>
                    <m:rPr>
                      <m:nor/>
                      <m:sty m:val="p"/>
                    </m:rPr>
                    <m:t>top-</m:t>
                  </m:r>
                  <m:r>
                    <m:t>k</m:t>
                  </m:r>
                </m:sub>
              </m:sSub>
            </m:oMath>
          </w:p>
        </w:tc>
        <w:tc>
          <w:tcPr/>
          <w:p>
            <w:pPr>
              <w:pStyle w:val="Compact"/>
              <w:jc w:val="left"/>
            </w:pPr>
            <w:r>
              <w:t xml:space="preserve">Memory for the precomputed lists</w:t>
            </w:r>
          </w:p>
        </w:tc>
        <w:tc>
          <w:tcPr/>
          <w:p>
            <w:pPr>
              <w:pStyle w:val="Compact"/>
              <w:jc w:val="left"/>
            </w:pPr>
            <w:r>
              <w:t xml:space="preserve">bytes</w:t>
            </w:r>
          </w:p>
        </w:tc>
      </w:tr>
    </w:tbl>
    <w:p>
      <w:pPr>
        <w:pStyle w:val="CalloutExample"/>
      </w:pPr>
      <w:r>
        <w:rPr>
          <w:bCs/>
          <w:b/>
        </w:rPr>
        <w:t xml:space="preserve">WORKED EXAMPLE</w:t>
      </w:r>
    </w:p>
    <w:p>
      <w:pPr>
        <w:pStyle w:val="CalloutExample"/>
      </w:pPr>
      <w:r>
        <w:rPr>
          <w:bCs/>
          <w:b/>
        </w:rPr>
        <w:t xml:space="preserve">Worked example — sizing typeahead for the store.</w:t>
      </w:r>
      <w:r>
        <w:t xml:space="preserve"> </w:t>
      </w:r>
      <w:r>
        <w:t xml:space="preserve">50 million searches/day, peak-to-average ratio 2,</w:t>
      </w:r>
      <w:r>
        <w:t xml:space="preserve"> </w:t>
      </w:r>
      <m:oMath>
        <m:r>
          <m:t>c</m:t>
        </m:r>
        <m:r>
          <m:rPr>
            <m:sty m:val="p"/>
          </m:rPr>
          <m:t>=</m:t>
        </m:r>
        <m:r>
          <m:t>8</m:t>
        </m:r>
      </m:oMath>
      <w:r>
        <w:t xml:space="preserve">,</w:t>
      </w:r>
      <w:r>
        <w:t xml:space="preserve"> </w:t>
      </w:r>
      <m:oMath>
        <m:r>
          <m:t>f</m:t>
        </m:r>
        <m:r>
          <m:rPr>
            <m:sty m:val="p"/>
          </m:rPr>
          <m:t>=</m:t>
        </m:r>
        <m:r>
          <m:t>0.5</m:t>
        </m:r>
      </m:oMath>
      <w:r>
        <w:t xml:space="preserve">. The suggestion corpus is 10 million distinct past queries, giving an assumed</w:t>
      </w:r>
      <w:r>
        <w:t xml:space="preserve"> </w:t>
      </w:r>
      <m:oMath>
        <m:r>
          <m:t>P</m:t>
        </m:r>
        <m:r>
          <m:rPr>
            <m:sty m:val="p"/>
          </m:rPr>
          <m:t>=</m:t>
        </m:r>
        <m:r>
          <m:t>6</m:t>
        </m:r>
        <m:r>
          <m:rPr>
            <m:sty m:val="p"/>
          </m:rPr>
          <m:t>×</m:t>
        </m:r>
        <m:sSup>
          <m:e>
            <m:r>
              <m:t>10</m:t>
            </m:r>
          </m:e>
          <m:sup>
            <m:r>
              <m:t>7</m:t>
            </m:r>
          </m:sup>
        </m:sSup>
      </m:oMath>
      <w:r>
        <w:t xml:space="preserve"> </w:t>
      </w:r>
      <w:r>
        <w:t xml:space="preserve">trie nodes after prefix sharing;</w:t>
      </w:r>
      <w:r>
        <w:t xml:space="preserve"> </w:t>
      </w:r>
      <m:oMath>
        <m:r>
          <m:t>k</m:t>
        </m:r>
        <m:r>
          <m:rPr>
            <m:sty m:val="p"/>
          </m:rPr>
          <m:t>=</m:t>
        </m:r>
        <m:r>
          <m:t>10</m:t>
        </m:r>
      </m:oMath>
      <w:r>
        <w:t xml:space="preserve">,</w:t>
      </w:r>
      <w:r>
        <w:t xml:space="preserve"> </w:t>
      </w:r>
      <m:oMath>
        <m:r>
          <m:t>b</m:t>
        </m:r>
        <m:r>
          <m:rPr>
            <m:sty m:val="p"/>
          </m:rPr>
          <m:t>=</m:t>
        </m:r>
        <m:r>
          <m:t>4</m:t>
        </m:r>
      </m:oMath>
      <w:r>
        <w:t xml:space="preserve"> </w:t>
      </w:r>
      <w:r>
        <w:t xml:space="preserve">bytes (a query ID).</w:t>
      </w:r>
    </w:p>
    <w:p>
      <w:pPr>
        <w:numPr>
          <w:ilvl w:val="0"/>
          <w:numId w:val="1547"/>
        </w:numPr>
        <w:pStyle w:val="Compact"/>
      </w:pPr>
      <w:r>
        <w:t xml:space="preserve">Average search rate:</w:t>
      </w:r>
      <w:r>
        <w:t xml:space="preserve"> </w:t>
      </w:r>
      <m:oMath>
        <m:r>
          <m:t>5</m:t>
        </m:r>
        <m:r>
          <m:rPr>
            <m:sty m:val="p"/>
          </m:rPr>
          <m:t>×</m:t>
        </m:r>
        <m:sSup>
          <m:e>
            <m:r>
              <m:t>10</m:t>
            </m:r>
          </m:e>
          <m:sup>
            <m:r>
              <m:t>7</m:t>
            </m:r>
          </m:sup>
        </m:sSup>
        <m:r>
          <m:rPr>
            <m:sty m:val="p"/>
          </m:rPr>
          <m:t>/</m:t>
        </m:r>
        <m:r>
          <m:t>86</m:t>
        </m:r>
        <m:r>
          <m:rPr>
            <m:sty m:val="p"/>
          </m:rPr>
          <m:t>,</m:t>
        </m:r>
        <m:r>
          <m:t>400</m:t>
        </m:r>
        <m:r>
          <m:rPr>
            <m:sty m:val="p"/>
          </m:rPr>
          <m:t>=</m:t>
        </m:r>
        <m:r>
          <m:t>579</m:t>
        </m:r>
      </m:oMath>
      <w:r>
        <w:t xml:space="preserve"> </w:t>
      </w:r>
      <w:r>
        <w:t xml:space="preserve">searches/s; peak</w:t>
      </w:r>
      <w:r>
        <w:t xml:space="preserve"> </w:t>
      </w:r>
      <m:oMath>
        <m:r>
          <m:rPr>
            <m:sty m:val="p"/>
          </m:rPr>
          <m:t>≈</m:t>
        </m:r>
        <m:r>
          <m:t>1</m:t>
        </m:r>
        <m:r>
          <m:rPr>
            <m:sty m:val="p"/>
          </m:rPr>
          <m:t>,</m:t>
        </m:r>
        <m:r>
          <m:t>157</m:t>
        </m:r>
      </m:oMath>
      <w:r>
        <w:t xml:space="preserve">/s.</w:t>
      </w:r>
    </w:p>
    <w:p>
      <w:pPr>
        <w:numPr>
          <w:ilvl w:val="0"/>
          <w:numId w:val="1547"/>
        </w:numPr>
        <w:pStyle w:val="Compact"/>
      </w:pPr>
      <w:r>
        <w:t xml:space="preserve">Peak suggestion rate:</w:t>
      </w:r>
      <w:r>
        <w:t xml:space="preserve"> </w:t>
      </w:r>
      <m:oMath>
        <m:r>
          <m:t>1</m:t>
        </m:r>
        <m:r>
          <m:rPr>
            <m:sty m:val="p"/>
          </m:rPr>
          <m:t>,</m:t>
        </m:r>
        <m:r>
          <m:t>157</m:t>
        </m:r>
        <m:r>
          <m:rPr>
            <m:sty m:val="p"/>
          </m:rPr>
          <m:t>×</m:t>
        </m:r>
        <m:r>
          <m:t>8</m:t>
        </m:r>
        <m:r>
          <m:rPr>
            <m:sty m:val="p"/>
          </m:rPr>
          <m:t>×</m:t>
        </m:r>
        <m:r>
          <m:t>0.5</m:t>
        </m:r>
        <m:r>
          <m:rPr>
            <m:sty m:val="p"/>
          </m:rPr>
          <m:t>≈</m:t>
        </m:r>
        <m:r>
          <m:t>4</m:t>
        </m:r>
        <m:r>
          <m:rPr>
            <m:sty m:val="p"/>
          </m:rPr>
          <m:t>,</m:t>
        </m:r>
        <m:r>
          <m:t>630</m:t>
        </m:r>
      </m:oMath>
      <w:r>
        <w:t xml:space="preserve"> </w:t>
      </w:r>
      <w:r>
        <w:t xml:space="preserve">requests/s, four times the search rate.</w:t>
      </w:r>
    </w:p>
    <w:p>
      <w:pPr>
        <w:numPr>
          <w:ilvl w:val="0"/>
          <w:numId w:val="1547"/>
        </w:numPr>
        <w:pStyle w:val="Compact"/>
      </w:pPr>
      <w:r>
        <w:t xml:space="preserve">Memory for top-10 lists:</w:t>
      </w:r>
      <w:r>
        <w:t xml:space="preserve"> </w:t>
      </w:r>
      <m:oMath>
        <m:r>
          <m:t>6</m:t>
        </m:r>
        <m:r>
          <m:rPr>
            <m:sty m:val="p"/>
          </m:rPr>
          <m:t>×</m:t>
        </m:r>
        <m:sSup>
          <m:e>
            <m:r>
              <m:t>10</m:t>
            </m:r>
          </m:e>
          <m:sup>
            <m:r>
              <m:t>7</m:t>
            </m:r>
          </m:sup>
        </m:sSup>
        <m:r>
          <m:rPr>
            <m:sty m:val="p"/>
          </m:rPr>
          <m:t>×</m:t>
        </m:r>
        <m:r>
          <m:t>10</m:t>
        </m:r>
        <m:r>
          <m:rPr>
            <m:sty m:val="p"/>
          </m:rPr>
          <m:t>×</m:t>
        </m:r>
        <m:r>
          <m:t>4</m:t>
        </m:r>
        <m:r>
          <m:rPr>
            <m:sty m:val="p"/>
          </m:rPr>
          <m:t>=</m:t>
        </m:r>
        <m:r>
          <m:t>2.4</m:t>
        </m:r>
        <m:r>
          <m:rPr>
            <m:sty m:val="p"/>
          </m:rPr>
          <m:t>×</m:t>
        </m:r>
        <m:sSup>
          <m:e>
            <m:r>
              <m:t>10</m:t>
            </m:r>
          </m:e>
          <m:sup>
            <m:r>
              <m:t>9</m:t>
            </m:r>
          </m:sup>
        </m:sSup>
      </m:oMath>
      <w:r>
        <w:t xml:space="preserve"> </w:t>
      </w:r>
      <w:r>
        <w:t xml:space="preserve">bytes = 2.4 GB, plus the trie nodes themselves and the query strings (10 M × ~20 bytes = 200 MB).</w:t>
      </w:r>
    </w:p>
    <w:p>
      <w:pPr>
        <w:pStyle w:val="CalloutExample"/>
      </w:pPr>
      <w:r>
        <w:rPr>
          <w:bCs/>
          <w:b/>
        </w:rPr>
        <w:t xml:space="preserve">Interpretation.</w:t>
      </w:r>
      <w:r>
        <w:t xml:space="preserve"> </w:t>
      </w:r>
      <w:r>
        <w:t xml:space="preserve">Autocomplete usually generates more requests than search itself, but each is a memory lookup.</w:t>
      </w:r>
      <w:r>
        <w:t xml:space="preserve"> </w:t>
      </w:r>
      <w:r>
        <w:rPr>
          <w:bCs/>
          <w:b/>
        </w:rPr>
        <w:t xml:space="preserve">Engineering implication.</w:t>
      </w:r>
      <w:r>
        <w:t xml:space="preserve"> </w:t>
      </w:r>
      <w:r>
        <w:t xml:space="preserve">A few replicated in-memory nodes handle this load. Memory, not CPU, is the constraint, so cap precomputation at short prefixes (for example up to 10 characters), drop rare queries, and cache the responses for the most popular one- and two-character prefixes at the CDN or in the client.</w:t>
      </w:r>
    </w:p>
    <w:bookmarkEnd w:id="1871"/>
    <w:bookmarkEnd w:id="1872"/>
    <w:bookmarkStart w:id="1876" w:name="tries-with-precomputed-top-k"/>
    <w:p>
      <w:pPr>
        <w:pStyle w:val="Heading3"/>
      </w:pPr>
      <w:r>
        <w:t xml:space="preserve">16.9.2 Tries with precomputed top-</w:t>
      </w:r>
      <w:r>
        <w:rPr>
          <w:iCs/>
          <w:i/>
        </w:rPr>
        <w:t xml:space="preserve">k</w:t>
      </w:r>
    </w:p>
    <w:p>
      <w:pPr>
        <w:pStyle w:val="FirstParagraph"/>
      </w:pPr>
      <w:r>
        <w:t xml:space="preserve">A</w:t>
      </w:r>
      <w:r>
        <w:t xml:space="preserve"> </w:t>
      </w:r>
      <w:r>
        <w:rPr>
          <w:bCs/>
          <w:b/>
        </w:rPr>
        <w:t xml:space="preserve">trie</w:t>
      </w:r>
      <w:r>
        <w:t xml:space="preserve"> </w:t>
      </w:r>
      <w:r>
        <w:t xml:space="preserve">(§17.11) stores strings as paths from the root, one character per edge; all strings with a given prefix live under one node. Finding that node takes</w:t>
      </w:r>
      <w:r>
        <w:t xml:space="preserve"> </w:t>
      </w:r>
      <m:oMath>
        <m:r>
          <m:t>O</m:t>
        </m:r>
        <m:d>
          <m:dPr>
            <m:begChr m:val="("/>
            <m:endChr m:val=")"/>
            <m:sepChr m:val=""/>
            <m:grow/>
          </m:dPr>
          <m:e>
            <m:r>
              <m:rPr>
                <m:sty m:val="p"/>
              </m:rPr>
              <m:t>ℓ</m:t>
            </m:r>
          </m:e>
        </m:d>
      </m:oMath>
      <w:r>
        <w:t xml:space="preserve"> </w:t>
      </w:r>
      <w:r>
        <w:t xml:space="preserve">steps for a prefix of length</w:t>
      </w:r>
      <w:r>
        <w:t xml:space="preserve"> </w:t>
      </w:r>
      <m:oMath>
        <m:r>
          <m:rPr>
            <m:sty m:val="p"/>
          </m:rPr>
          <m:t>ℓ</m:t>
        </m:r>
      </m:oMath>
      <w:r>
        <w:t xml:space="preserve">. The naive next step, walking the whole subtree to find the most popular completions, can touch millions of nodes for a one-letter prefix. The fix is to</w:t>
      </w:r>
      <w:r>
        <w:t xml:space="preserve"> </w:t>
      </w:r>
      <w:r>
        <w:rPr>
          <w:bCs/>
          <w:b/>
        </w:rPr>
        <w:t xml:space="preserve">store the top-</w:t>
      </w:r>
      <w:r>
        <w:rPr>
          <w:iCs/>
          <w:i/>
          <w:bCs/>
          <w:b/>
        </w:rPr>
        <w:t xml:space="preserve">k</w:t>
      </w:r>
      <w:r>
        <w:rPr>
          <w:bCs/>
          <w:b/>
        </w:rPr>
        <w:t xml:space="preserve"> </w:t>
      </w:r>
      <w:r>
        <w:rPr>
          <w:bCs/>
          <w:b/>
        </w:rPr>
        <w:t xml:space="preserve">completions at every node</w:t>
      </w:r>
      <w:r>
        <w:t xml:space="preserve">, computed bottom-up offline: a node’s list is the best</w:t>
      </w:r>
      <w:r>
        <w:t xml:space="preserve"> </w:t>
      </w:r>
      <m:oMath>
        <m:r>
          <m:t>k</m:t>
        </m:r>
      </m:oMath>
      <w:r>
        <w:t xml:space="preserve"> </w:t>
      </w:r>
      <w:r>
        <w:t xml:space="preserve">among its own query (if one ends there) and its children’s lists.</w:t>
      </w:r>
    </w:p>
    <w:p>
      <w:pPr>
        <w:pStyle w:val="BodyText"/>
      </w:pPr>
      <w:r>
        <w:rPr>
          <w:bCs/>
          <w:b/>
        </w:rPr>
        <w:t xml:space="preserve">Figure 16.10 — A trie with top-2 completions stored at each node.</w:t>
      </w:r>
    </w:p>
    <w:p>
      <w:pPr>
        <w:pStyle w:val="BodyText"/>
      </w:pPr>
      <w:r>
        <w:drawing>
          <wp:inline>
            <wp:extent cx="5334000" cy="4756905"/>
            <wp:effectExtent b="0" l="0" r="0" t="0"/>
            <wp:docPr descr="" title="" id="1874" name="Picture"/>
            <a:graphic>
              <a:graphicData uri="http://schemas.openxmlformats.org/drawingml/2006/picture">
                <pic:pic>
                  <pic:nvPicPr>
                    <pic:cNvPr descr="/home/user/System-Design/build/.cache/diagrams/6dd9819759cd.png" id="1875" name="Picture"/>
                    <pic:cNvPicPr>
                      <a:picLocks noChangeArrowheads="1" noChangeAspect="1"/>
                    </pic:cNvPicPr>
                  </pic:nvPicPr>
                  <pic:blipFill>
                    <a:blip r:embed="rId1873"/>
                    <a:stretch>
                      <a:fillRect/>
                    </a:stretch>
                  </pic:blipFill>
                  <pic:spPr bwMode="auto">
                    <a:xfrm>
                      <a:off x="0" y="0"/>
                      <a:ext cx="5334000" cy="4756905"/>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Each node is a prefix; edges are labeled with the next character. Each node stores its precomputed top-2 list with popularity counts from the query log. A lookup for</w:t>
      </w:r>
      <w:r>
        <w:t xml:space="preserve"> </w:t>
      </w:r>
      <w:r>
        <w:t xml:space="preserve">“</w:t>
      </w:r>
      <w:r>
        <w:t xml:space="preserve">hea</w:t>
      </w:r>
      <w:r>
        <w:t xml:space="preserve">”</w:t>
      </w:r>
      <w:r>
        <w:t xml:space="preserve"> </w:t>
      </w:r>
      <w:r>
        <w:t xml:space="preserve">follows three edges from the root and returns the list stored at that node with no further traversal.</w:t>
      </w:r>
      <w:r>
        <w:t xml:space="preserve"> </w:t>
      </w:r>
      <w:r>
        <w:t xml:space="preserve">“</w:t>
      </w:r>
      <w:r>
        <w:t xml:space="preserve">heated blanket</w:t>
      </w:r>
      <w:r>
        <w:t xml:space="preserve">”</w:t>
      </w:r>
      <w:r>
        <w:t xml:space="preserve"> </w:t>
      </w:r>
      <w:r>
        <w:t xml:space="preserve">lives under</w:t>
      </w:r>
      <w:r>
        <w:t xml:space="preserve"> </w:t>
      </w:r>
      <w:r>
        <w:t xml:space="preserve">“</w:t>
      </w:r>
      <w:r>
        <w:t xml:space="preserve">heat</w:t>
      </w:r>
      <w:r>
        <w:t xml:space="preserve">”</w:t>
      </w:r>
      <w:r>
        <w:t xml:space="preserve"> </w:t>
      </w:r>
      <w:r>
        <w:t xml:space="preserve">and appears in the lists of</w:t>
      </w:r>
      <w:r>
        <w:t xml:space="preserve"> </w:t>
      </w:r>
      <w:r>
        <w:t xml:space="preserve">“</w:t>
      </w:r>
      <w:r>
        <w:t xml:space="preserve">he</w:t>
      </w:r>
      <w:r>
        <w:t xml:space="preserve">”</w:t>
      </w:r>
      <w:r>
        <w:t xml:space="preserve"> </w:t>
      </w:r>
      <w:r>
        <w:t xml:space="preserve">and</w:t>
      </w:r>
      <w:r>
        <w:t xml:space="preserve"> </w:t>
      </w:r>
      <w:r>
        <w:t xml:space="preserve">“</w:t>
      </w:r>
      <w:r>
        <w:t xml:space="preserve">hea</w:t>
      </w:r>
      <w:r>
        <w:t xml:space="preserve">”</w:t>
      </w:r>
      <w:r>
        <w:t xml:space="preserve"> </w:t>
      </w:r>
      <w:r>
        <w:t xml:space="preserve">only when</w:t>
      </w:r>
      <w:r>
        <w:t xml:space="preserve"> </w:t>
      </w:r>
      <m:oMath>
        <m:r>
          <m:t>k</m:t>
        </m:r>
        <m:r>
          <m:rPr>
            <m:sty m:val="p"/>
          </m:rPr>
          <m:t>≥</m:t>
        </m:r>
        <m:r>
          <m:t>3</m:t>
        </m:r>
      </m:oMath>
      <w:r>
        <w:t xml:space="preserve">, because two headphone queries outrank it. The structure is read-only in memory; it is rebuilt offline and swapped in atomically. Failure points: an outdated build (stale trends) and memory exhaustion as the corpus grows. It scales by replication, and by partitioning on the first character or two of the prefix if one node cannot hold it.</w:t>
      </w:r>
    </w:p>
    <w:p>
      <w:pPr>
        <w:pStyle w:val="SourceCode"/>
      </w:pPr>
      <w:r>
        <w:rPr>
          <w:rStyle w:val="CommentTok"/>
        </w:rPr>
        <w:t xml:space="preserve">"""Trie-based autocomplete with the top-k completions precomputed at every node.</w:t>
      </w:r>
      <w:r>
        <w:br/>
      </w:r>
      <w:r>
        <w:rPr>
          <w:rStyle w:val="CommentTok"/>
        </w:rPr>
        <w:t xml:space="preserve">Lookup cost is O(len(prefix)) and independent of how many queries share the prefix."""</w:t>
      </w:r>
      <w:r>
        <w:br/>
      </w:r>
      <w:r>
        <w:rPr>
          <w:rStyle w:val="ImportTok"/>
        </w:rPr>
        <w:t xml:space="preserve">import</w:t>
      </w:r>
      <w:r>
        <w:rPr>
          <w:rStyle w:val="NormalTok"/>
        </w:rPr>
        <w:t xml:space="preserve"> heapq</w:t>
      </w:r>
      <w:r>
        <w:br/>
      </w:r>
      <w:r>
        <w:br/>
      </w:r>
      <w:r>
        <w:rPr>
          <w:rStyle w:val="KeywordTok"/>
        </w:rPr>
        <w:t xml:space="preserve">class</w:t>
      </w:r>
      <w:r>
        <w:rPr>
          <w:rStyle w:val="NormalTok"/>
        </w:rPr>
        <w:t xml:space="preserve"> Node:</w:t>
      </w:r>
      <w:r>
        <w:br/>
      </w:r>
      <w:r>
        <w:rPr>
          <w:rStyle w:val="NormalTok"/>
        </w:rPr>
        <w:t xml:space="preserve">    </w:t>
      </w:r>
      <w:r>
        <w:rPr>
          <w:rStyle w:val="FunctionTok"/>
        </w:rPr>
        <w:t xml:space="preserve">__slots__</w:t>
      </w:r>
      <w:r>
        <w:rPr>
          <w:rStyle w:val="NormalTok"/>
        </w:rPr>
        <w:t xml:space="preserve"> </w:t>
      </w:r>
      <w:r>
        <w:rPr>
          <w:rStyle w:val="OperatorTok"/>
        </w:rPr>
        <w:t xml:space="preserve">=</w:t>
      </w:r>
      <w:r>
        <w:rPr>
          <w:rStyle w:val="NormalTok"/>
        </w:rPr>
        <w:t xml:space="preserve"> (</w:t>
      </w:r>
      <w:r>
        <w:rPr>
          <w:rStyle w:val="StringTok"/>
        </w:rPr>
        <w:t xml:space="preserve">"children"</w:t>
      </w:r>
      <w:r>
        <w:rPr>
          <w:rStyle w:val="NormalTok"/>
        </w:rPr>
        <w:t xml:space="preserve">, </w:t>
      </w:r>
      <w:r>
        <w:rPr>
          <w:rStyle w:val="StringTok"/>
        </w:rPr>
        <w:t xml:space="preserve">"count"</w:t>
      </w:r>
      <w:r>
        <w:rPr>
          <w:rStyle w:val="NormalTok"/>
        </w:rPr>
        <w:t xml:space="preserve">, </w:t>
      </w:r>
      <w:r>
        <w:rPr>
          <w:rStyle w:val="StringTok"/>
        </w:rPr>
        <w:t xml:space="preserve">"top"</w:t>
      </w:r>
      <w:r>
        <w:rPr>
          <w:rStyle w:val="NormalTok"/>
        </w:rPr>
        <w:t xml:space="preserv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.children </w:t>
      </w:r>
      <w:r>
        <w:rPr>
          <w:rStyle w:val="OperatorTok"/>
        </w:rPr>
        <w:t xml:space="preserve">=</w:t>
      </w:r>
      <w:r>
        <w:rPr>
          <w:rStyle w:val="NormalTok"/>
        </w:rPr>
        <w:t xml:space="preserve"> {}      </w:t>
      </w:r>
      <w:r>
        <w:rPr>
          <w:rStyle w:val="CommentTok"/>
        </w:rPr>
        <w:t xml:space="preserve"># char -&gt; Node</w:t>
      </w:r>
      <w:r>
        <w:br/>
      </w:r>
      <w:r>
        <w:rPr>
          <w:rStyle w:val="NormalTok"/>
        </w:rPr>
        <w:t xml:space="preserve">        </w:t>
      </w:r>
      <w:r>
        <w:rPr>
          <w:rStyle w:val="VariableTok"/>
        </w:rPr>
        <w:t xml:space="preserve">self</w:t>
      </w:r>
      <w:r>
        <w:rPr>
          <w:rStyle w:val="NormalTok"/>
        </w:rPr>
        <w:t xml:space="preserve">.count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popularity if a query ends here, else 0</w:t>
      </w:r>
      <w:r>
        <w:br/>
      </w:r>
      <w:r>
        <w:rPr>
          <w:rStyle w:val="NormalTok"/>
        </w:rPr>
        <w:t xml:space="preserve">        </w:t>
      </w:r>
      <w:r>
        <w:rPr>
          <w:rStyle w:val="VariableTok"/>
        </w:rPr>
        <w:t xml:space="preserve">self</w:t>
      </w:r>
      <w:r>
        <w:rPr>
          <w:rStyle w:val="NormalTok"/>
        </w:rPr>
        <w:t xml:space="preserve">.top </w:t>
      </w:r>
      <w:r>
        <w:rPr>
          <w:rStyle w:val="OperatorTok"/>
        </w:rPr>
        <w:t xml:space="preserve">=</w:t>
      </w:r>
      <w:r>
        <w:rPr>
          <w:rStyle w:val="NormalTok"/>
        </w:rPr>
        <w:t xml:space="preserve"> []           </w:t>
      </w:r>
      <w:r>
        <w:rPr>
          <w:rStyle w:val="CommentTok"/>
        </w:rPr>
        <w:t xml:space="preserve"># precomputed [(count, query)] best-first, length &lt;= k</w:t>
      </w:r>
      <w:r>
        <w:br/>
      </w:r>
      <w:r>
        <w:br/>
      </w:r>
      <w:r>
        <w:rPr>
          <w:rStyle w:val="KeywordTok"/>
        </w:rPr>
        <w:t xml:space="preserve">class</w:t>
      </w:r>
      <w:r>
        <w:rPr>
          <w:rStyle w:val="NormalTok"/>
        </w:rPr>
        <w:t xml:space="preserve"> Autocomplete: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k</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VariableTok"/>
        </w:rPr>
        <w:t xml:space="preserve">self</w:t>
      </w:r>
      <w:r>
        <w:rPr>
          <w:rStyle w:val="NormalTok"/>
        </w:rPr>
        <w:t xml:space="preserve">.root, </w:t>
      </w:r>
      <w:r>
        <w:rPr>
          <w:rStyle w:val="VariableTok"/>
        </w:rPr>
        <w:t xml:space="preserve">self</w:t>
      </w:r>
      <w:r>
        <w:rPr>
          <w:rStyle w:val="NormalTok"/>
        </w:rPr>
        <w:t xml:space="preserve">.k, </w:t>
      </w:r>
      <w:r>
        <w:rPr>
          <w:rStyle w:val="VariableTok"/>
        </w:rPr>
        <w:t xml:space="preserve">self</w:t>
      </w:r>
      <w:r>
        <w:rPr>
          <w:rStyle w:val="NormalTok"/>
        </w:rPr>
        <w:t xml:space="preserve">.nodes </w:t>
      </w:r>
      <w:r>
        <w:rPr>
          <w:rStyle w:val="OperatorTok"/>
        </w:rPr>
        <w:t xml:space="preserve">=</w:t>
      </w:r>
      <w:r>
        <w:rPr>
          <w:rStyle w:val="NormalTok"/>
        </w:rPr>
        <w:t xml:space="preserve"> Node(), k, </w:t>
      </w:r>
      <w:r>
        <w:rPr>
          <w:rStyle w:val="DecValTok"/>
        </w:rPr>
        <w:t xml:space="preserve">1</w:t>
      </w:r>
      <w:r>
        <w:br/>
      </w:r>
      <w:r>
        <w:br/>
      </w:r>
      <w:r>
        <w:rPr>
          <w:rStyle w:val="NormalTok"/>
        </w:rPr>
        <w:t xml:space="preserve">    </w:t>
      </w:r>
      <w:r>
        <w:rPr>
          <w:rStyle w:val="KeywordTok"/>
        </w:rPr>
        <w:t xml:space="preserve">def</w:t>
      </w:r>
      <w:r>
        <w:rPr>
          <w:rStyle w:val="NormalTok"/>
        </w:rPr>
        <w:t xml:space="preserve"> insert(</w:t>
      </w:r>
      <w:r>
        <w:rPr>
          <w:rStyle w:val="VariableTok"/>
        </w:rPr>
        <w:t xml:space="preserve">self</w:t>
      </w:r>
      <w:r>
        <w:rPr>
          <w:rStyle w:val="NormalTok"/>
        </w:rPr>
        <w:t xml:space="preserve">, query, count):</w:t>
      </w:r>
      <w:r>
        <w:br/>
      </w:r>
      <w:r>
        <w:rPr>
          <w:rStyle w:val="NormalTok"/>
        </w:rPr>
        <w:t xml:space="preserve">        node </w:t>
      </w:r>
      <w:r>
        <w:rPr>
          <w:rStyle w:val="OperatorTok"/>
        </w:rPr>
        <w:t xml:space="preserve">=</w:t>
      </w:r>
      <w:r>
        <w:rPr>
          <w:rStyle w:val="NormalTok"/>
        </w:rPr>
        <w:t xml:space="preserve"> </w:t>
      </w:r>
      <w:r>
        <w:rPr>
          <w:rStyle w:val="VariableTok"/>
        </w:rPr>
        <w:t xml:space="preserve">self</w:t>
      </w:r>
      <w:r>
        <w:rPr>
          <w:rStyle w:val="NormalTok"/>
        </w:rPr>
        <w:t xml:space="preserve">.root</w:t>
      </w:r>
      <w:r>
        <w:br/>
      </w:r>
      <w:r>
        <w:rPr>
          <w:rStyle w:val="NormalTok"/>
        </w:rPr>
        <w:t xml:space="preserve">        </w:t>
      </w:r>
      <w:r>
        <w:rPr>
          <w:rStyle w:val="ControlFlowTok"/>
        </w:rPr>
        <w:t xml:space="preserve">for</w:t>
      </w:r>
      <w:r>
        <w:rPr>
          <w:rStyle w:val="NormalTok"/>
        </w:rPr>
        <w:t xml:space="preserve"> ch </w:t>
      </w:r>
      <w:r>
        <w:rPr>
          <w:rStyle w:val="KeywordTok"/>
        </w:rPr>
        <w:t xml:space="preserve">in</w:t>
      </w:r>
      <w:r>
        <w:rPr>
          <w:rStyle w:val="NormalTok"/>
        </w:rPr>
        <w:t xml:space="preserve"> query:</w:t>
      </w:r>
      <w:r>
        <w:br/>
      </w:r>
      <w:r>
        <w:rPr>
          <w:rStyle w:val="NormalTok"/>
        </w:rPr>
        <w:t xml:space="preserve">            </w:t>
      </w:r>
      <w:r>
        <w:rPr>
          <w:rStyle w:val="ControlFlowTok"/>
        </w:rPr>
        <w:t xml:space="preserve">if</w:t>
      </w:r>
      <w:r>
        <w:rPr>
          <w:rStyle w:val="NormalTok"/>
        </w:rPr>
        <w:t xml:space="preserve"> ch </w:t>
      </w:r>
      <w:r>
        <w:rPr>
          <w:rStyle w:val="KeywordTok"/>
        </w:rPr>
        <w:t xml:space="preserve">not</w:t>
      </w:r>
      <w:r>
        <w:rPr>
          <w:rStyle w:val="NormalTok"/>
        </w:rPr>
        <w:t xml:space="preserve"> </w:t>
      </w:r>
      <w:r>
        <w:rPr>
          <w:rStyle w:val="KeywordTok"/>
        </w:rPr>
        <w:t xml:space="preserve">in</w:t>
      </w:r>
      <w:r>
        <w:rPr>
          <w:rStyle w:val="NormalTok"/>
        </w:rPr>
        <w:t xml:space="preserve"> node.children:</w:t>
      </w:r>
      <w:r>
        <w:br/>
      </w:r>
      <w:r>
        <w:rPr>
          <w:rStyle w:val="NormalTok"/>
        </w:rPr>
        <w:t xml:space="preserve">                node.children[ch] </w:t>
      </w:r>
      <w:r>
        <w:rPr>
          <w:rStyle w:val="OperatorTok"/>
        </w:rPr>
        <w:t xml:space="preserve">=</w:t>
      </w:r>
      <w:r>
        <w:rPr>
          <w:rStyle w:val="NormalTok"/>
        </w:rPr>
        <w:t xml:space="preserve"> Node()</w:t>
      </w:r>
      <w:r>
        <w:br/>
      </w:r>
      <w:r>
        <w:rPr>
          <w:rStyle w:val="NormalTok"/>
        </w:rPr>
        <w:t xml:space="preserve">                </w:t>
      </w:r>
      <w:r>
        <w:rPr>
          <w:rStyle w:val="VariableTok"/>
        </w:rPr>
        <w:t xml:space="preserve">self</w:t>
      </w:r>
      <w:r>
        <w:rPr>
          <w:rStyle w:val="NormalTok"/>
        </w:rPr>
        <w:t xml:space="preserve">.nodes </w:t>
      </w:r>
      <w:r>
        <w:rPr>
          <w:rStyle w:val="OperatorTok"/>
        </w:rPr>
        <w:t xml:space="preserve">+=</w:t>
      </w:r>
      <w:r>
        <w:rPr>
          <w:rStyle w:val="NormalTok"/>
        </w:rPr>
        <w:t xml:space="preserve"> </w:t>
      </w:r>
      <w:r>
        <w:rPr>
          <w:rStyle w:val="DecValTok"/>
        </w:rPr>
        <w:t xml:space="preserve">1</w:t>
      </w:r>
      <w:r>
        <w:br/>
      </w:r>
      <w:r>
        <w:rPr>
          <w:rStyle w:val="NormalTok"/>
        </w:rPr>
        <w:t xml:space="preserve">            node </w:t>
      </w:r>
      <w:r>
        <w:rPr>
          <w:rStyle w:val="OperatorTok"/>
        </w:rPr>
        <w:t xml:space="preserve">=</w:t>
      </w:r>
      <w:r>
        <w:rPr>
          <w:rStyle w:val="NormalTok"/>
        </w:rPr>
        <w:t xml:space="preserve"> node.children[ch]</w:t>
      </w:r>
      <w:r>
        <w:br/>
      </w:r>
      <w:r>
        <w:rPr>
          <w:rStyle w:val="NormalTok"/>
        </w:rPr>
        <w:t xml:space="preserve">        node.count </w:t>
      </w:r>
      <w:r>
        <w:rPr>
          <w:rStyle w:val="OperatorTok"/>
        </w:rPr>
        <w:t xml:space="preserve">+=</w:t>
      </w:r>
      <w:r>
        <w:rPr>
          <w:rStyle w:val="NormalTok"/>
        </w:rPr>
        <w:t xml:space="preserve"> count</w:t>
      </w:r>
      <w:r>
        <w:br/>
      </w:r>
      <w:r>
        <w:br/>
      </w:r>
      <w:r>
        <w:rPr>
          <w:rStyle w:val="NormalTok"/>
        </w:rPr>
        <w:t xml:space="preserve">    </w:t>
      </w:r>
      <w:r>
        <w:rPr>
          <w:rStyle w:val="KeywordTok"/>
        </w:rPr>
        <w:t xml:space="preserve">def</w:t>
      </w:r>
      <w:r>
        <w:rPr>
          <w:rStyle w:val="NormalTok"/>
        </w:rPr>
        <w:t xml:space="preserve"> build_top_k(</w:t>
      </w:r>
      <w:r>
        <w:rPr>
          <w:rStyle w:val="VariableTok"/>
        </w:rPr>
        <w:t xml:space="preserve">self</w:t>
      </w:r>
      <w:r>
        <w:rPr>
          <w:rStyle w:val="NormalTok"/>
        </w:rPr>
        <w:t xml:space="preserve">, node</w:t>
      </w:r>
      <w:r>
        <w:rPr>
          <w:rStyle w:val="OperatorTok"/>
        </w:rPr>
        <w:t xml:space="preserve">=</w:t>
      </w:r>
      <w:r>
        <w:rPr>
          <w:rStyle w:val="VariableTok"/>
        </w:rPr>
        <w:t xml:space="preserve">None</w:t>
      </w:r>
      <w:r>
        <w:rPr>
          <w:rStyle w:val="NormalTok"/>
        </w:rPr>
        <w:t xml:space="preserve">, prefix</w:t>
      </w:r>
      <w:r>
        <w:rPr>
          <w:rStyle w:val="OperatorTok"/>
        </w:rPr>
        <w:t xml:space="preserve">=</w:t>
      </w:r>
      <w:r>
        <w:rPr>
          <w:rStyle w:val="StringTok"/>
        </w:rPr>
        <w:t xml:space="preserve">""</w:t>
      </w:r>
      <w:r>
        <w:rPr>
          <w:rStyle w:val="NormalTok"/>
        </w:rPr>
        <w:t xml:space="preserve">):</w:t>
      </w:r>
      <w:r>
        <w:br/>
      </w:r>
      <w:r>
        <w:rPr>
          <w:rStyle w:val="NormalTok"/>
        </w:rPr>
        <w:t xml:space="preserve">        </w:t>
      </w:r>
      <w:r>
        <w:rPr>
          <w:rStyle w:val="CommentTok"/>
        </w:rPr>
        <w:t xml:space="preserve">"""Post-order pass: a node's top-k = best k of (itself, children's top-k lists)."""</w:t>
      </w:r>
      <w:r>
        <w:br/>
      </w:r>
      <w:r>
        <w:rPr>
          <w:rStyle w:val="NormalTok"/>
        </w:rPr>
        <w:t xml:space="preserve">        node </w:t>
      </w:r>
      <w:r>
        <w:rPr>
          <w:rStyle w:val="OperatorTok"/>
        </w:rPr>
        <w:t xml:space="preserve">=</w:t>
      </w:r>
      <w:r>
        <w:rPr>
          <w:rStyle w:val="NormalTok"/>
        </w:rPr>
        <w:t xml:space="preserve"> node </w:t>
      </w:r>
      <w:r>
        <w:rPr>
          <w:rStyle w:val="KeywordTok"/>
        </w:rPr>
        <w:t xml:space="preserve">or</w:t>
      </w:r>
      <w:r>
        <w:rPr>
          <w:rStyle w:val="NormalTok"/>
        </w:rPr>
        <w:t xml:space="preserve"> </w:t>
      </w:r>
      <w:r>
        <w:rPr>
          <w:rStyle w:val="VariableTok"/>
        </w:rPr>
        <w:t xml:space="preserve">self</w:t>
      </w:r>
      <w:r>
        <w:rPr>
          <w:rStyle w:val="NormalTok"/>
        </w:rPr>
        <w:t xml:space="preserve">.root</w:t>
      </w:r>
      <w:r>
        <w:br/>
      </w:r>
      <w:r>
        <w:rPr>
          <w:rStyle w:val="NormalTok"/>
        </w:rPr>
        <w:t xml:space="preserve">        candidates </w:t>
      </w:r>
      <w:r>
        <w:rPr>
          <w:rStyle w:val="OperatorTok"/>
        </w:rPr>
        <w:t xml:space="preserve">=</w:t>
      </w:r>
      <w:r>
        <w:rPr>
          <w:rStyle w:val="NormalTok"/>
        </w:rPr>
        <w:t xml:space="preserve"> [(node.count, prefix)] </w:t>
      </w:r>
      <w:r>
        <w:rPr>
          <w:rStyle w:val="ControlFlowTok"/>
        </w:rPr>
        <w:t xml:space="preserve">if</w:t>
      </w:r>
      <w:r>
        <w:rPr>
          <w:rStyle w:val="NormalTok"/>
        </w:rPr>
        <w:t xml:space="preserve"> node.count </w:t>
      </w:r>
      <w:r>
        <w:rPr>
          <w:rStyle w:val="ControlFlowTok"/>
        </w:rPr>
        <w:t xml:space="preserve">else</w:t>
      </w:r>
      <w:r>
        <w:rPr>
          <w:rStyle w:val="NormalTok"/>
        </w:rPr>
        <w:t xml:space="preserve"> []</w:t>
      </w:r>
      <w:r>
        <w:br/>
      </w:r>
      <w:r>
        <w:rPr>
          <w:rStyle w:val="NormalTok"/>
        </w:rPr>
        <w:t xml:space="preserve">        </w:t>
      </w:r>
      <w:r>
        <w:rPr>
          <w:rStyle w:val="ControlFlowTok"/>
        </w:rPr>
        <w:t xml:space="preserve">for</w:t>
      </w:r>
      <w:r>
        <w:rPr>
          <w:rStyle w:val="NormalTok"/>
        </w:rPr>
        <w:t xml:space="preserve"> ch, child </w:t>
      </w:r>
      <w:r>
        <w:rPr>
          <w:rStyle w:val="KeywordTok"/>
        </w:rPr>
        <w:t xml:space="preserve">in</w:t>
      </w:r>
      <w:r>
        <w:rPr>
          <w:rStyle w:val="NormalTok"/>
        </w:rPr>
        <w:t xml:space="preserve"> node.children.items():</w:t>
      </w:r>
      <w:r>
        <w:br/>
      </w:r>
      <w:r>
        <w:rPr>
          <w:rStyle w:val="NormalTok"/>
        </w:rPr>
        <w:t xml:space="preserve">            </w:t>
      </w:r>
      <w:r>
        <w:rPr>
          <w:rStyle w:val="VariableTok"/>
        </w:rPr>
        <w:t xml:space="preserve">self</w:t>
      </w:r>
      <w:r>
        <w:rPr>
          <w:rStyle w:val="NormalTok"/>
        </w:rPr>
        <w:t xml:space="preserve">.build_top_k(child, prefix </w:t>
      </w:r>
      <w:r>
        <w:rPr>
          <w:rStyle w:val="OperatorTok"/>
        </w:rPr>
        <w:t xml:space="preserve">+</w:t>
      </w:r>
      <w:r>
        <w:rPr>
          <w:rStyle w:val="NormalTok"/>
        </w:rPr>
        <w:t xml:space="preserve"> ch)</w:t>
      </w:r>
      <w:r>
        <w:br/>
      </w:r>
      <w:r>
        <w:rPr>
          <w:rStyle w:val="NormalTok"/>
        </w:rPr>
        <w:t xml:space="preserve">            candidates.extend(child.top)</w:t>
      </w:r>
      <w:r>
        <w:br/>
      </w:r>
      <w:r>
        <w:rPr>
          <w:rStyle w:val="NormalTok"/>
        </w:rPr>
        <w:t xml:space="preserve">        node.top </w:t>
      </w:r>
      <w:r>
        <w:rPr>
          <w:rStyle w:val="OperatorTok"/>
        </w:rPr>
        <w:t xml:space="preserve">=</w:t>
      </w:r>
      <w:r>
        <w:rPr>
          <w:rStyle w:val="NormalTok"/>
        </w:rPr>
        <w:t xml:space="preserve"> heapq.nlargest(</w:t>
      </w:r>
      <w:r>
        <w:rPr>
          <w:rStyle w:val="VariableTok"/>
        </w:rPr>
        <w:t xml:space="preserve">self</w:t>
      </w:r>
      <w:r>
        <w:rPr>
          <w:rStyle w:val="NormalTok"/>
        </w:rPr>
        <w:t xml:space="preserve">.k, candidates, key</w:t>
      </w:r>
      <w:r>
        <w:rPr>
          <w:rStyle w:val="OperatorTok"/>
        </w:rPr>
        <w:t xml:space="preserve">=</w:t>
      </w:r>
      <w:r>
        <w:rPr>
          <w:rStyle w:val="KeywordTok"/>
        </w:rPr>
        <w:t xml:space="preserve">lambda</w:t>
      </w:r>
      <w:r>
        <w:rPr>
          <w:rStyle w:val="NormalTok"/>
        </w:rPr>
        <w:t xml:space="preserve"> c: c[</w:t>
      </w:r>
      <w:r>
        <w:rPr>
          <w:rStyle w:val="DecValTok"/>
        </w:rPr>
        <w:t xml:space="preserve">0</w:t>
      </w:r>
      <w:r>
        <w:rPr>
          <w:rStyle w:val="NormalTok"/>
        </w:rPr>
        <w:t xml:space="preserve">])</w:t>
      </w:r>
      <w:r>
        <w:br/>
      </w:r>
      <w:r>
        <w:br/>
      </w:r>
      <w:r>
        <w:rPr>
          <w:rStyle w:val="NormalTok"/>
        </w:rPr>
        <w:t xml:space="preserve">    </w:t>
      </w:r>
      <w:r>
        <w:rPr>
          <w:rStyle w:val="KeywordTok"/>
        </w:rPr>
        <w:t xml:space="preserve">def</w:t>
      </w:r>
      <w:r>
        <w:rPr>
          <w:rStyle w:val="NormalTok"/>
        </w:rPr>
        <w:t xml:space="preserve"> suggest(</w:t>
      </w:r>
      <w:r>
        <w:rPr>
          <w:rStyle w:val="VariableTok"/>
        </w:rPr>
        <w:t xml:space="preserve">self</w:t>
      </w:r>
      <w:r>
        <w:rPr>
          <w:rStyle w:val="NormalTok"/>
        </w:rPr>
        <w:t xml:space="preserve">, prefix):</w:t>
      </w:r>
      <w:r>
        <w:br/>
      </w:r>
      <w:r>
        <w:rPr>
          <w:rStyle w:val="NormalTok"/>
        </w:rPr>
        <w:t xml:space="preserve">        node </w:t>
      </w:r>
      <w:r>
        <w:rPr>
          <w:rStyle w:val="OperatorTok"/>
        </w:rPr>
        <w:t xml:space="preserve">=</w:t>
      </w:r>
      <w:r>
        <w:rPr>
          <w:rStyle w:val="NormalTok"/>
        </w:rPr>
        <w:t xml:space="preserve"> </w:t>
      </w:r>
      <w:r>
        <w:rPr>
          <w:rStyle w:val="VariableTok"/>
        </w:rPr>
        <w:t xml:space="preserve">self</w:t>
      </w:r>
      <w:r>
        <w:rPr>
          <w:rStyle w:val="NormalTok"/>
        </w:rPr>
        <w:t xml:space="preserve">.root</w:t>
      </w:r>
      <w:r>
        <w:br/>
      </w:r>
      <w:r>
        <w:rPr>
          <w:rStyle w:val="NormalTok"/>
        </w:rPr>
        <w:t xml:space="preserve">        </w:t>
      </w:r>
      <w:r>
        <w:rPr>
          <w:rStyle w:val="ControlFlowTok"/>
        </w:rPr>
        <w:t xml:space="preserve">for</w:t>
      </w:r>
      <w:r>
        <w:rPr>
          <w:rStyle w:val="NormalTok"/>
        </w:rPr>
        <w:t xml:space="preserve"> ch </w:t>
      </w:r>
      <w:r>
        <w:rPr>
          <w:rStyle w:val="KeywordTok"/>
        </w:rPr>
        <w:t xml:space="preserve">in</w:t>
      </w:r>
      <w:r>
        <w:rPr>
          <w:rStyle w:val="NormalTok"/>
        </w:rPr>
        <w:t xml:space="preserve"> prefix.lower():</w:t>
      </w:r>
      <w:r>
        <w:br/>
      </w:r>
      <w:r>
        <w:rPr>
          <w:rStyle w:val="NormalTok"/>
        </w:rPr>
        <w:t xml:space="preserve">            node </w:t>
      </w:r>
      <w:r>
        <w:rPr>
          <w:rStyle w:val="OperatorTok"/>
        </w:rPr>
        <w:t xml:space="preserve">=</w:t>
      </w:r>
      <w:r>
        <w:rPr>
          <w:rStyle w:val="NormalTok"/>
        </w:rPr>
        <w:t xml:space="preserve"> node.children.get(ch)</w:t>
      </w:r>
      <w:r>
        <w:br/>
      </w:r>
      <w:r>
        <w:rPr>
          <w:rStyle w:val="NormalTok"/>
        </w:rPr>
        <w:t xml:space="preserve">            </w:t>
      </w:r>
      <w:r>
        <w:rPr>
          <w:rStyle w:val="ControlFlowTok"/>
        </w:rPr>
        <w:t xml:space="preserve">if</w:t>
      </w:r>
      <w:r>
        <w:rPr>
          <w:rStyle w:val="NormalTok"/>
        </w:rPr>
        <w:t xml:space="preserve"> node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ControlFlowTok"/>
        </w:rPr>
        <w:t xml:space="preserve">return</w:t>
      </w:r>
      <w:r>
        <w:rPr>
          <w:rStyle w:val="NormalTok"/>
        </w:rPr>
        <w:t xml:space="preserve"> [q </w:t>
      </w:r>
      <w:r>
        <w:rPr>
          <w:rStyle w:val="ControlFlowTok"/>
        </w:rPr>
        <w:t xml:space="preserve">for</w:t>
      </w:r>
      <w:r>
        <w:rPr>
          <w:rStyle w:val="NormalTok"/>
        </w:rPr>
        <w:t xml:space="preserve"> _, q </w:t>
      </w:r>
      <w:r>
        <w:rPr>
          <w:rStyle w:val="KeywordTok"/>
        </w:rPr>
        <w:t xml:space="preserve">in</w:t>
      </w:r>
      <w:r>
        <w:rPr>
          <w:rStyle w:val="NormalTok"/>
        </w:rPr>
        <w:t xml:space="preserve"> node.top]</w:t>
      </w:r>
      <w:r>
        <w:br/>
      </w:r>
      <w:r>
        <w:br/>
      </w:r>
      <w:r>
        <w:rPr>
          <w:rStyle w:val="NormalTok"/>
        </w:rPr>
        <w:t xml:space="preserve">    </w:t>
      </w:r>
      <w:r>
        <w:rPr>
          <w:rStyle w:val="KeywordTok"/>
        </w:rPr>
        <w:t xml:space="preserve">def</w:t>
      </w:r>
      <w:r>
        <w:rPr>
          <w:rStyle w:val="NormalTok"/>
        </w:rPr>
        <w:t xml:space="preserve"> suggest_by_dfs(</w:t>
      </w:r>
      <w:r>
        <w:rPr>
          <w:rStyle w:val="VariableTok"/>
        </w:rPr>
        <w:t xml:space="preserve">self</w:t>
      </w:r>
      <w:r>
        <w:rPr>
          <w:rStyle w:val="NormalTok"/>
        </w:rPr>
        <w:t xml:space="preserve">, prefix):</w:t>
      </w:r>
      <w:r>
        <w:br/>
      </w:r>
      <w:r>
        <w:rPr>
          <w:rStyle w:val="NormalTok"/>
        </w:rPr>
        <w:t xml:space="preserve">        </w:t>
      </w:r>
      <w:r>
        <w:rPr>
          <w:rStyle w:val="CommentTok"/>
        </w:rPr>
        <w:t xml:space="preserve">"""Without precomputation: walk the whole subtree. Returns (suggestions, nodes visited)."""</w:t>
      </w:r>
      <w:r>
        <w:br/>
      </w:r>
      <w:r>
        <w:rPr>
          <w:rStyle w:val="NormalTok"/>
        </w:rPr>
        <w:t xml:space="preserve">        node </w:t>
      </w:r>
      <w:r>
        <w:rPr>
          <w:rStyle w:val="OperatorTok"/>
        </w:rPr>
        <w:t xml:space="preserve">=</w:t>
      </w:r>
      <w:r>
        <w:rPr>
          <w:rStyle w:val="NormalTok"/>
        </w:rPr>
        <w:t xml:space="preserve"> </w:t>
      </w:r>
      <w:r>
        <w:rPr>
          <w:rStyle w:val="VariableTok"/>
        </w:rPr>
        <w:t xml:space="preserve">self</w:t>
      </w:r>
      <w:r>
        <w:rPr>
          <w:rStyle w:val="NormalTok"/>
        </w:rPr>
        <w:t xml:space="preserve">.root</w:t>
      </w:r>
      <w:r>
        <w:br/>
      </w:r>
      <w:r>
        <w:rPr>
          <w:rStyle w:val="NormalTok"/>
        </w:rPr>
        <w:t xml:space="preserve">        </w:t>
      </w:r>
      <w:r>
        <w:rPr>
          <w:rStyle w:val="ControlFlowTok"/>
        </w:rPr>
        <w:t xml:space="preserve">for</w:t>
      </w:r>
      <w:r>
        <w:rPr>
          <w:rStyle w:val="NormalTok"/>
        </w:rPr>
        <w:t xml:space="preserve"> ch </w:t>
      </w:r>
      <w:r>
        <w:rPr>
          <w:rStyle w:val="KeywordTok"/>
        </w:rPr>
        <w:t xml:space="preserve">in</w:t>
      </w:r>
      <w:r>
        <w:rPr>
          <w:rStyle w:val="NormalTok"/>
        </w:rPr>
        <w:t xml:space="preserve"> prefix:</w:t>
      </w:r>
      <w:r>
        <w:br/>
      </w:r>
      <w:r>
        <w:rPr>
          <w:rStyle w:val="NormalTok"/>
        </w:rPr>
        <w:t xml:space="preserve">            node </w:t>
      </w:r>
      <w:r>
        <w:rPr>
          <w:rStyle w:val="OperatorTok"/>
        </w:rPr>
        <w:t xml:space="preserve">=</w:t>
      </w:r>
      <w:r>
        <w:rPr>
          <w:rStyle w:val="NormalTok"/>
        </w:rPr>
        <w:t xml:space="preserve"> node.children.get(ch)</w:t>
      </w:r>
      <w:r>
        <w:br/>
      </w:r>
      <w:r>
        <w:rPr>
          <w:rStyle w:val="NormalTok"/>
        </w:rPr>
        <w:t xml:space="preserve">            </w:t>
      </w:r>
      <w:r>
        <w:rPr>
          <w:rStyle w:val="ControlFlowTok"/>
        </w:rPr>
        <w:t xml:space="preserve">if</w:t>
      </w:r>
      <w:r>
        <w:rPr>
          <w:rStyle w:val="NormalTok"/>
        </w:rPr>
        <w:t xml:space="preserve"> node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 </w:t>
      </w:r>
      <w:r>
        <w:rPr>
          <w:rStyle w:val="DecValTok"/>
        </w:rPr>
        <w:t xml:space="preserve">0</w:t>
      </w:r>
      <w:r>
        <w:br/>
      </w:r>
      <w:r>
        <w:rPr>
          <w:rStyle w:val="NormalTok"/>
        </w:rPr>
        <w:t xml:space="preserve">        found, stack, visited </w:t>
      </w:r>
      <w:r>
        <w:rPr>
          <w:rStyle w:val="OperatorTok"/>
        </w:rPr>
        <w:t xml:space="preserve">=</w:t>
      </w:r>
      <w:r>
        <w:rPr>
          <w:rStyle w:val="NormalTok"/>
        </w:rPr>
        <w:t xml:space="preserve"> [], [(node, prefix)], </w:t>
      </w:r>
      <w:r>
        <w:rPr>
          <w:rStyle w:val="DecValTok"/>
        </w:rPr>
        <w:t xml:space="preserve">0</w:t>
      </w:r>
      <w:r>
        <w:br/>
      </w:r>
      <w:r>
        <w:rPr>
          <w:rStyle w:val="NormalTok"/>
        </w:rPr>
        <w:t xml:space="preserve">        </w:t>
      </w:r>
      <w:r>
        <w:rPr>
          <w:rStyle w:val="ControlFlowTok"/>
        </w:rPr>
        <w:t xml:space="preserve">while</w:t>
      </w:r>
      <w:r>
        <w:rPr>
          <w:rStyle w:val="NormalTok"/>
        </w:rPr>
        <w:t xml:space="preserve"> stack:</w:t>
      </w:r>
      <w:r>
        <w:br/>
      </w:r>
      <w:r>
        <w:rPr>
          <w:rStyle w:val="NormalTok"/>
        </w:rPr>
        <w:t xml:space="preserve">            n, p </w:t>
      </w:r>
      <w:r>
        <w:rPr>
          <w:rStyle w:val="OperatorTok"/>
        </w:rPr>
        <w:t xml:space="preserve">=</w:t>
      </w:r>
      <w:r>
        <w:rPr>
          <w:rStyle w:val="NormalTok"/>
        </w:rPr>
        <w:t xml:space="preserve"> stack.pop()</w:t>
      </w:r>
      <w:r>
        <w:br/>
      </w:r>
      <w:r>
        <w:rPr>
          <w:rStyle w:val="NormalTok"/>
        </w:rPr>
        <w:t xml:space="preserve">            visited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n.count:</w:t>
      </w:r>
      <w:r>
        <w:br/>
      </w:r>
      <w:r>
        <w:rPr>
          <w:rStyle w:val="NormalTok"/>
        </w:rPr>
        <w:t xml:space="preserve">                found.append((n.count, p))</w:t>
      </w:r>
      <w:r>
        <w:br/>
      </w:r>
      <w:r>
        <w:rPr>
          <w:rStyle w:val="NormalTok"/>
        </w:rPr>
        <w:t xml:space="preserve">            stack.extend((c, p </w:t>
      </w:r>
      <w:r>
        <w:rPr>
          <w:rStyle w:val="OperatorTok"/>
        </w:rPr>
        <w:t xml:space="preserve">+</w:t>
      </w:r>
      <w:r>
        <w:rPr>
          <w:rStyle w:val="NormalTok"/>
        </w:rPr>
        <w:t xml:space="preserve"> ch) </w:t>
      </w:r>
      <w:r>
        <w:rPr>
          <w:rStyle w:val="ControlFlowTok"/>
        </w:rPr>
        <w:t xml:space="preserve">for</w:t>
      </w:r>
      <w:r>
        <w:rPr>
          <w:rStyle w:val="NormalTok"/>
        </w:rPr>
        <w:t xml:space="preserve"> ch, c </w:t>
      </w:r>
      <w:r>
        <w:rPr>
          <w:rStyle w:val="KeywordTok"/>
        </w:rPr>
        <w:t xml:space="preserve">in</w:t>
      </w:r>
      <w:r>
        <w:rPr>
          <w:rStyle w:val="NormalTok"/>
        </w:rPr>
        <w:t xml:space="preserve"> n.children.items())</w:t>
      </w:r>
      <w:r>
        <w:br/>
      </w:r>
      <w:r>
        <w:rPr>
          <w:rStyle w:val="NormalTok"/>
        </w:rPr>
        <w:t xml:space="preserve">        best </w:t>
      </w:r>
      <w:r>
        <w:rPr>
          <w:rStyle w:val="OperatorTok"/>
        </w:rPr>
        <w:t xml:space="preserve">=</w:t>
      </w:r>
      <w:r>
        <w:rPr>
          <w:rStyle w:val="NormalTok"/>
        </w:rPr>
        <w:t xml:space="preserve"> heapq.nlargest(</w:t>
      </w:r>
      <w:r>
        <w:rPr>
          <w:rStyle w:val="VariableTok"/>
        </w:rPr>
        <w:t xml:space="preserve">self</w:t>
      </w:r>
      <w:r>
        <w:rPr>
          <w:rStyle w:val="NormalTok"/>
        </w:rPr>
        <w:t xml:space="preserve">.k, found, key</w:t>
      </w:r>
      <w:r>
        <w:rPr>
          <w:rStyle w:val="OperatorTok"/>
        </w:rPr>
        <w:t xml:space="preserve">=</w:t>
      </w:r>
      <w:r>
        <w:rPr>
          <w:rStyle w:val="KeywordTok"/>
        </w:rPr>
        <w:t xml:space="preserve">lambda</w:t>
      </w:r>
      <w:r>
        <w:rPr>
          <w:rStyle w:val="NormalTok"/>
        </w:rPr>
        <w:t xml:space="preserve"> c: c[</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[q </w:t>
      </w:r>
      <w:r>
        <w:rPr>
          <w:rStyle w:val="ControlFlowTok"/>
        </w:rPr>
        <w:t xml:space="preserve">for</w:t>
      </w:r>
      <w:r>
        <w:rPr>
          <w:rStyle w:val="NormalTok"/>
        </w:rPr>
        <w:t xml:space="preserve"> _, q </w:t>
      </w:r>
      <w:r>
        <w:rPr>
          <w:rStyle w:val="KeywordTok"/>
        </w:rPr>
        <w:t xml:space="preserve">in</w:t>
      </w:r>
      <w:r>
        <w:rPr>
          <w:rStyle w:val="NormalTok"/>
        </w:rPr>
        <w:t xml:space="preserve"> best], visited</w:t>
      </w:r>
      <w:r>
        <w:br/>
      </w:r>
      <w:r>
        <w:br/>
      </w:r>
      <w:r>
        <w:rPr>
          <w:rStyle w:val="NormalTok"/>
        </w:rPr>
        <w:t xml:space="preserve">QUERY_LOG </w:t>
      </w:r>
      <w:r>
        <w:rPr>
          <w:rStyle w:val="OperatorTok"/>
        </w:rPr>
        <w:t xml:space="preserve">=</w:t>
      </w:r>
      <w:r>
        <w:rPr>
          <w:rStyle w:val="NormalTok"/>
        </w:rPr>
        <w:t xml:space="preserve"> {   </w:t>
      </w:r>
      <w:r>
        <w:rPr>
          <w:rStyle w:val="CommentTok"/>
        </w:rPr>
        <w:t xml:space="preserve"># query -&gt; times searched in the last 7 days (illustrative)</w:t>
      </w:r>
      <w:r>
        <w:br/>
      </w:r>
      <w:r>
        <w:rPr>
          <w:rStyle w:val="NormalTok"/>
        </w:rPr>
        <w:t xml:space="preserve">    </w:t>
      </w:r>
      <w:r>
        <w:rPr>
          <w:rStyle w:val="StringTok"/>
        </w:rPr>
        <w:t xml:space="preserve">"headphones"</w:t>
      </w:r>
      <w:r>
        <w:rPr>
          <w:rStyle w:val="NormalTok"/>
        </w:rPr>
        <w:t xml:space="preserve">: </w:t>
      </w:r>
      <w:r>
        <w:rPr>
          <w:rStyle w:val="DecValTok"/>
        </w:rPr>
        <w:t xml:space="preserve">9200</w:t>
      </w:r>
      <w:r>
        <w:rPr>
          <w:rStyle w:val="NormalTok"/>
        </w:rPr>
        <w:t xml:space="preserve">, </w:t>
      </w:r>
      <w:r>
        <w:rPr>
          <w:rStyle w:val="StringTok"/>
        </w:rPr>
        <w:t xml:space="preserve">"headphones wireless"</w:t>
      </w:r>
      <w:r>
        <w:rPr>
          <w:rStyle w:val="NormalTok"/>
        </w:rPr>
        <w:t xml:space="preserve">: </w:t>
      </w:r>
      <w:r>
        <w:rPr>
          <w:rStyle w:val="DecValTok"/>
        </w:rPr>
        <w:t xml:space="preserve">4100</w:t>
      </w:r>
      <w:r>
        <w:rPr>
          <w:rStyle w:val="NormalTok"/>
        </w:rPr>
        <w:t xml:space="preserve">, </w:t>
      </w:r>
      <w:r>
        <w:rPr>
          <w:rStyle w:val="StringTok"/>
        </w:rPr>
        <w:t xml:space="preserve">"headphone stand"</w:t>
      </w:r>
      <w:r>
        <w:rPr>
          <w:rStyle w:val="NormalTok"/>
        </w:rPr>
        <w:t xml:space="preserve">: </w:t>
      </w:r>
      <w:r>
        <w:rPr>
          <w:rStyle w:val="DecValTok"/>
        </w:rPr>
        <w:t xml:space="preserve">800</w:t>
      </w:r>
      <w:r>
        <w:rPr>
          <w:rStyle w:val="NormalTok"/>
        </w:rPr>
        <w:t xml:space="preserve">,</w:t>
      </w:r>
      <w:r>
        <w:br/>
      </w:r>
      <w:r>
        <w:rPr>
          <w:rStyle w:val="NormalTok"/>
        </w:rPr>
        <w:t xml:space="preserve">    </w:t>
      </w:r>
      <w:r>
        <w:rPr>
          <w:rStyle w:val="StringTok"/>
        </w:rPr>
        <w:t xml:space="preserve">"headphones for kids"</w:t>
      </w:r>
      <w:r>
        <w:rPr>
          <w:rStyle w:val="NormalTok"/>
        </w:rPr>
        <w:t xml:space="preserve">: </w:t>
      </w:r>
      <w:r>
        <w:rPr>
          <w:rStyle w:val="DecValTok"/>
        </w:rPr>
        <w:t xml:space="preserve">1500</w:t>
      </w:r>
      <w:r>
        <w:rPr>
          <w:rStyle w:val="NormalTok"/>
        </w:rPr>
        <w:t xml:space="preserve">, </w:t>
      </w:r>
      <w:r>
        <w:rPr>
          <w:rStyle w:val="StringTok"/>
        </w:rPr>
        <w:t xml:space="preserve">"head torch"</w:t>
      </w:r>
      <w:r>
        <w:rPr>
          <w:rStyle w:val="NormalTok"/>
        </w:rPr>
        <w:t xml:space="preserve">: </w:t>
      </w:r>
      <w:r>
        <w:rPr>
          <w:rStyle w:val="DecValTok"/>
        </w:rPr>
        <w:t xml:space="preserve">650</w:t>
      </w:r>
      <w:r>
        <w:rPr>
          <w:rStyle w:val="NormalTok"/>
        </w:rPr>
        <w:t xml:space="preserve">, </w:t>
      </w:r>
      <w:r>
        <w:rPr>
          <w:rStyle w:val="StringTok"/>
        </w:rPr>
        <w:t xml:space="preserve">"heated blanket"</w:t>
      </w:r>
      <w:r>
        <w:rPr>
          <w:rStyle w:val="NormalTok"/>
        </w:rPr>
        <w:t xml:space="preserve">: </w:t>
      </w:r>
      <w:r>
        <w:rPr>
          <w:rStyle w:val="DecValTok"/>
        </w:rPr>
        <w:t xml:space="preserve">2100</w:t>
      </w:r>
      <w:r>
        <w:rPr>
          <w:rStyle w:val="NormalTok"/>
        </w:rPr>
        <w:t xml:space="preserve">,</w:t>
      </w:r>
      <w:r>
        <w:br/>
      </w:r>
      <w:r>
        <w:rPr>
          <w:rStyle w:val="NormalTok"/>
        </w:rPr>
        <w:t xml:space="preserve">    </w:t>
      </w:r>
      <w:r>
        <w:rPr>
          <w:rStyle w:val="StringTok"/>
        </w:rPr>
        <w:t xml:space="preserve">"hdmi cable"</w:t>
      </w:r>
      <w:r>
        <w:rPr>
          <w:rStyle w:val="NormalTok"/>
        </w:rPr>
        <w:t xml:space="preserve">: </w:t>
      </w:r>
      <w:r>
        <w:rPr>
          <w:rStyle w:val="DecValTok"/>
        </w:rPr>
        <w:t xml:space="preserve">5300</w:t>
      </w:r>
      <w:r>
        <w:rPr>
          <w:rStyle w:val="NormalTok"/>
        </w:rPr>
        <w:t xml:space="preserve">, </w:t>
      </w:r>
      <w:r>
        <w:rPr>
          <w:rStyle w:val="StringTok"/>
        </w:rPr>
        <w:t xml:space="preserve">"hard drive"</w:t>
      </w:r>
      <w:r>
        <w:rPr>
          <w:rStyle w:val="NormalTok"/>
        </w:rPr>
        <w:t xml:space="preserve">: </w:t>
      </w:r>
      <w:r>
        <w:rPr>
          <w:rStyle w:val="DecValTok"/>
        </w:rPr>
        <w:t xml:space="preserve">3900</w:t>
      </w:r>
      <w:r>
        <w:rPr>
          <w:rStyle w:val="NormalTok"/>
        </w:rPr>
        <w:t xml:space="preserve">, </w:t>
      </w:r>
      <w:r>
        <w:rPr>
          <w:rStyle w:val="StringTok"/>
        </w:rPr>
        <w:t xml:space="preserve">"hair dryer"</w:t>
      </w:r>
      <w:r>
        <w:rPr>
          <w:rStyle w:val="NormalTok"/>
        </w:rPr>
        <w:t xml:space="preserve">: </w:t>
      </w:r>
      <w:r>
        <w:rPr>
          <w:rStyle w:val="DecValTok"/>
        </w:rPr>
        <w:t xml:space="preserve">4800</w:t>
      </w:r>
      <w:r>
        <w:rPr>
          <w:rStyle w:val="NormalTok"/>
        </w:rPr>
        <w:t xml:space="preserve">, </w:t>
      </w:r>
      <w:r>
        <w:rPr>
          <w:rStyle w:val="StringTok"/>
        </w:rPr>
        <w:t xml:space="preserve">"hammock"</w:t>
      </w:r>
      <w:r>
        <w:rPr>
          <w:rStyle w:val="NormalTok"/>
        </w:rPr>
        <w:t xml:space="preserve">: </w:t>
      </w:r>
      <w:r>
        <w:rPr>
          <w:rStyle w:val="DecValTok"/>
        </w:rPr>
        <w:t xml:space="preserve">300</w:t>
      </w:r>
      <w:r>
        <w:rPr>
          <w:rStyle w:val="NormalTok"/>
        </w:rPr>
        <w:t xml:space="preserve">,</w:t>
      </w:r>
      <w:r>
        <w:br/>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ac </w:t>
      </w:r>
      <w:r>
        <w:rPr>
          <w:rStyle w:val="OperatorTok"/>
        </w:rPr>
        <w:t xml:space="preserve">=</w:t>
      </w:r>
      <w:r>
        <w:rPr>
          <w:rStyle w:val="NormalTok"/>
        </w:rPr>
        <w:t xml:space="preserve"> Autocomplete(k</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ControlFlowTok"/>
        </w:rPr>
        <w:t xml:space="preserve">for</w:t>
      </w:r>
      <w:r>
        <w:rPr>
          <w:rStyle w:val="NormalTok"/>
        </w:rPr>
        <w:t xml:space="preserve"> q, c </w:t>
      </w:r>
      <w:r>
        <w:rPr>
          <w:rStyle w:val="KeywordTok"/>
        </w:rPr>
        <w:t xml:space="preserve">in</w:t>
      </w:r>
      <w:r>
        <w:rPr>
          <w:rStyle w:val="NormalTok"/>
        </w:rPr>
        <w:t xml:space="preserve"> QUERY_LOG.items():</w:t>
      </w:r>
      <w:r>
        <w:br/>
      </w:r>
      <w:r>
        <w:rPr>
          <w:rStyle w:val="NormalTok"/>
        </w:rPr>
        <w:t xml:space="preserve">        ac.insert(q, c)</w:t>
      </w:r>
      <w:r>
        <w:br/>
      </w:r>
      <w:r>
        <w:rPr>
          <w:rStyle w:val="NormalTok"/>
        </w:rPr>
        <w:t xml:space="preserve">    ac.build_top_k()</w:t>
      </w:r>
      <w:r>
        <w:br/>
      </w:r>
      <w:r>
        <w:rPr>
          <w:rStyle w:val="NormalTok"/>
        </w:rPr>
        <w:t xml:space="preserve">    </w:t>
      </w:r>
      <w:r>
        <w:rPr>
          <w:rStyle w:val="ControlFlowTok"/>
        </w:rPr>
        <w:t xml:space="preserve">for</w:t>
      </w:r>
      <w:r>
        <w:rPr>
          <w:rStyle w:val="NormalTok"/>
        </w:rPr>
        <w:t xml:space="preserve"> prefix </w:t>
      </w:r>
      <w:r>
        <w:rPr>
          <w:rStyle w:val="KeywordTok"/>
        </w:rPr>
        <w:t xml:space="preserve">in</w:t>
      </w:r>
      <w:r>
        <w:rPr>
          <w:rStyle w:val="NormalTok"/>
        </w:rPr>
        <w:t xml:space="preserve"> (</w:t>
      </w:r>
      <w:r>
        <w:rPr>
          <w:rStyle w:val="StringTok"/>
        </w:rPr>
        <w:t xml:space="preserve">"h"</w:t>
      </w:r>
      <w:r>
        <w:rPr>
          <w:rStyle w:val="NormalTok"/>
        </w:rPr>
        <w:t xml:space="preserve">, </w:t>
      </w:r>
      <w:r>
        <w:rPr>
          <w:rStyle w:val="StringTok"/>
        </w:rPr>
        <w:t xml:space="preserve">"he"</w:t>
      </w:r>
      <w:r>
        <w:rPr>
          <w:rStyle w:val="NormalTok"/>
        </w:rPr>
        <w:t xml:space="preserve">, </w:t>
      </w:r>
      <w:r>
        <w:rPr>
          <w:rStyle w:val="StringTok"/>
        </w:rPr>
        <w:t xml:space="preserve">"hea"</w:t>
      </w:r>
      <w:r>
        <w:rPr>
          <w:rStyle w:val="NormalTok"/>
        </w:rPr>
        <w:t xml:space="preserve">, </w:t>
      </w:r>
      <w:r>
        <w:rPr>
          <w:rStyle w:val="StringTok"/>
        </w:rPr>
        <w:t xml:space="preserve">"head"</w:t>
      </w:r>
      <w:r>
        <w:rPr>
          <w:rStyle w:val="NormalTok"/>
        </w:rPr>
        <w:t xml:space="preserve">, </w:t>
      </w:r>
      <w:r>
        <w:rPr>
          <w:rStyle w:val="StringTok"/>
        </w:rPr>
        <w:t xml:space="preserve">"headphones "</w:t>
      </w:r>
      <w:r>
        <w:rPr>
          <w:rStyle w:val="NormalTok"/>
        </w:rPr>
        <w:t xml:space="preserve">, </w:t>
      </w:r>
      <w:r>
        <w:rPr>
          <w:rStyle w:val="StringTok"/>
        </w:rPr>
        <w:t xml:space="preserve">"x"</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prefix</w:t>
      </w:r>
      <w:r>
        <w:rPr>
          <w:rStyle w:val="SpecialCharTok"/>
        </w:rPr>
        <w:t xml:space="preserve">!r:&gt;15}</w:t>
      </w:r>
      <w:r>
        <w:rPr>
          <w:rStyle w:val="SpecialStringTok"/>
        </w:rPr>
        <w:t xml:space="preserve"> -&gt; </w:t>
      </w:r>
      <w:r>
        <w:rPr>
          <w:rStyle w:val="SpecialCharTok"/>
        </w:rPr>
        <w:t xml:space="preserve">{</w:t>
      </w:r>
      <w:r>
        <w:rPr>
          <w:rStyle w:val="NormalTok"/>
        </w:rPr>
        <w:t xml:space="preserve">ac</w:t>
      </w:r>
      <w:r>
        <w:rPr>
          <w:rStyle w:val="SpecialCharTok"/>
        </w:rPr>
        <w:t xml:space="preserve">.</w:t>
      </w:r>
      <w:r>
        <w:rPr>
          <w:rStyle w:val="NormalTok"/>
        </w:rPr>
        <w:t xml:space="preserve">suggest(prefix)</w:t>
      </w:r>
      <w:r>
        <w:rPr>
          <w:rStyle w:val="SpecialCharTok"/>
        </w:rPr>
        <w:t xml:space="preserve">}</w:t>
      </w:r>
      <w:r>
        <w:rPr>
          <w:rStyle w:val="SpecialStringTok"/>
        </w:rPr>
        <w:t xml:space="preserve">"</w:t>
      </w:r>
      <w:r>
        <w:rPr>
          <w:rStyle w:val="NormalTok"/>
        </w:rPr>
        <w:t xml:space="preserve">)</w:t>
      </w:r>
      <w:r>
        <w:br/>
      </w:r>
      <w:r>
        <w:rPr>
          <w:rStyle w:val="NormalTok"/>
        </w:rPr>
        <w:t xml:space="preserve">    dfs, visited </w:t>
      </w:r>
      <w:r>
        <w:rPr>
          <w:rStyle w:val="OperatorTok"/>
        </w:rPr>
        <w:t xml:space="preserve">=</w:t>
      </w:r>
      <w:r>
        <w:rPr>
          <w:rStyle w:val="NormalTok"/>
        </w:rPr>
        <w:t xml:space="preserve"> ac.suggest_by_dfs(</w:t>
      </w:r>
      <w:r>
        <w:rPr>
          <w:rStyle w:val="StringTok"/>
        </w:rPr>
        <w:t xml:space="preserve">"h"</w:t>
      </w:r>
      <w:r>
        <w:rPr>
          <w:rStyle w:val="NormalTok"/>
        </w:rPr>
        <w:t xml:space="preserve">)</w:t>
      </w:r>
      <w:r>
        <w:br/>
      </w:r>
      <w:r>
        <w:rPr>
          <w:rStyle w:val="NormalTok"/>
        </w:rPr>
        <w:t xml:space="preserve">    </w:t>
      </w:r>
      <w:r>
        <w:rPr>
          <w:rStyle w:val="ControlFlowTok"/>
        </w:rPr>
        <w:t xml:space="preserve">assert</w:t>
      </w:r>
      <w:r>
        <w:rPr>
          <w:rStyle w:val="NormalTok"/>
        </w:rPr>
        <w:t xml:space="preserve"> dfs </w:t>
      </w:r>
      <w:r>
        <w:rPr>
          <w:rStyle w:val="OperatorTok"/>
        </w:rPr>
        <w:t xml:space="preserve">==</w:t>
      </w:r>
      <w:r>
        <w:rPr>
          <w:rStyle w:val="NormalTok"/>
        </w:rPr>
        <w:t xml:space="preserve"> ac.suggest(</w:t>
      </w:r>
      <w:r>
        <w:rPr>
          <w:rStyle w:val="StringTok"/>
        </w:rPr>
        <w:t xml:space="preserve">"h"</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f"trie nodes=</w:t>
      </w:r>
      <w:r>
        <w:rPr>
          <w:rStyle w:val="SpecialCharTok"/>
        </w:rPr>
        <w:t xml:space="preserve">{</w:t>
      </w:r>
      <w:r>
        <w:rPr>
          <w:rStyle w:val="NormalTok"/>
        </w:rPr>
        <w:t xml:space="preserve">ac</w:t>
      </w:r>
      <w:r>
        <w:rPr>
          <w:rStyle w:val="SpecialCharTok"/>
        </w:rPr>
        <w:t xml:space="preserve">.</w:t>
      </w:r>
      <w:r>
        <w:rPr>
          <w:rStyle w:val="NormalTok"/>
        </w:rPr>
        <w:t xml:space="preserve">nodes</w:t>
      </w:r>
      <w:r>
        <w:rPr>
          <w:rStyle w:val="SpecialCharTok"/>
        </w:rPr>
        <w:t xml:space="preserve">}</w:t>
      </w:r>
      <w:r>
        <w:rPr>
          <w:rStyle w:val="SpecialStringTok"/>
        </w:rPr>
        <w:t xml:space="preserve">; DFS for 'h' visits </w:t>
      </w:r>
      <w:r>
        <w:rPr>
          <w:rStyle w:val="SpecialCharTok"/>
        </w:rPr>
        <w:t xml:space="preserve">{</w:t>
      </w:r>
      <w:r>
        <w:rPr>
          <w:rStyle w:val="NormalTok"/>
        </w:rPr>
        <w:t xml:space="preserve">visited</w:t>
      </w:r>
      <w:r>
        <w:rPr>
          <w:rStyle w:val="SpecialCharTok"/>
        </w:rPr>
        <w:t xml:space="preserve">}</w:t>
      </w:r>
      <w:r>
        <w:rPr>
          <w:rStyle w:val="SpecialStringTok"/>
        </w:rPr>
        <w:t xml:space="preserve"> nodes, precomputed lookup reads 1 node"</w:t>
      </w:r>
      <w:r>
        <w:rPr>
          <w:rStyle w:val="NormalTok"/>
        </w:rPr>
        <w:t xml:space="preserve">)</w:t>
      </w:r>
    </w:p>
    <w:p>
      <w:pPr>
        <w:pStyle w:val="FirstParagraph"/>
      </w:pPr>
      <w:r>
        <w:t xml:space="preserve">Output:</w:t>
      </w:r>
    </w:p>
    <w:p>
      <w:pPr>
        <w:pStyle w:val="SourceCode"/>
      </w:pPr>
      <w:r>
        <w:rPr>
          <w:rStyle w:val="VerbatimChar"/>
        </w:rPr>
        <w:t xml:space="preserve">            'h' -&gt; ['headphones', 'hdmi cable', 'hair dryer']</w:t>
      </w:r>
      <w:r>
        <w:br/>
      </w:r>
      <w:r>
        <w:rPr>
          <w:rStyle w:val="VerbatimChar"/>
        </w:rPr>
        <w:t xml:space="preserve">           'he' -&gt; ['headphones', 'headphones wireless', 'heated blanket']</w:t>
      </w:r>
      <w:r>
        <w:br/>
      </w:r>
      <w:r>
        <w:rPr>
          <w:rStyle w:val="VerbatimChar"/>
        </w:rPr>
        <w:t xml:space="preserve">          'hea' -&gt; ['headphones', 'headphones wireless', 'heated blanket']</w:t>
      </w:r>
      <w:r>
        <w:br/>
      </w:r>
      <w:r>
        <w:rPr>
          <w:rStyle w:val="VerbatimChar"/>
        </w:rPr>
        <w:t xml:space="preserve">         'head' -&gt; ['headphones', 'headphones wireless', 'headphones for kids']</w:t>
      </w:r>
      <w:r>
        <w:br/>
      </w:r>
      <w:r>
        <w:rPr>
          <w:rStyle w:val="VerbatimChar"/>
        </w:rPr>
        <w:t xml:space="preserve">  'headphones ' -&gt; ['headphones wireless', 'headphones for kids']</w:t>
      </w:r>
      <w:r>
        <w:br/>
      </w:r>
      <w:r>
        <w:rPr>
          <w:rStyle w:val="VerbatimChar"/>
        </w:rPr>
        <w:t xml:space="preserve">            'x' -&gt; []</w:t>
      </w:r>
      <w:r>
        <w:br/>
      </w:r>
      <w:r>
        <w:rPr>
          <w:rStyle w:val="VerbatimChar"/>
        </w:rPr>
        <w:t xml:space="preserve">trie nodes=82; DFS for 'h' visits 81 nodes, precomputed lookup reads 1 node</w:t>
      </w:r>
    </w:p>
    <w:p>
      <w:pPr>
        <w:pStyle w:val="FirstParagraph"/>
      </w:pPr>
      <w:r>
        <w:t xml:space="preserve">What to notice: the build pass is one post-order traversal costing</w:t>
      </w:r>
      <w:r>
        <w:t xml:space="preserve"> </w:t>
      </w:r>
      <m:oMath>
        <m:r>
          <m:t>O</m:t>
        </m:r>
        <m:d>
          <m:dPr>
            <m:begChr m:val="("/>
            <m:endChr m:val=")"/>
            <m:sepChr m:val=""/>
            <m:grow/>
          </m:dPr>
          <m:e>
            <m:r>
              <m:rPr>
                <m:nor/>
                <m:sty m:val="p"/>
              </m:rPr>
              <m:t>nodes</m:t>
            </m:r>
            <m:r>
              <m:rPr>
                <m:sty m:val="p"/>
              </m:rPr>
              <m:t>⋅</m:t>
            </m:r>
            <m:r>
              <m:t>k</m:t>
            </m:r>
            <m:r>
              <m:rPr>
                <m:sty m:val="p"/>
              </m:rPr>
              <m:t>log</m:t>
            </m:r>
            <m:r>
              <m:t>k</m:t>
            </m:r>
          </m:e>
        </m:d>
      </m:oMath>
      <w:r>
        <w:t xml:space="preserve">, done offline; the online lookup reads</w:t>
      </w:r>
      <w:r>
        <w:t xml:space="preserve"> </w:t>
      </w:r>
      <m:oMath>
        <m:r>
          <m:rPr>
            <m:sty m:val="p"/>
          </m:rPr>
          <m:t>ℓ</m:t>
        </m:r>
      </m:oMath>
      <w:r>
        <w:t xml:space="preserve"> </w:t>
      </w:r>
      <w:r>
        <w:t xml:space="preserve">nodes regardless of corpus size; and a ten-query log already needs 82 nodes, which is why production systems compress the trie.</w:t>
      </w:r>
    </w:p>
    <w:bookmarkEnd w:id="1876"/>
    <w:bookmarkStart w:id="1877" w:name="finite-state-transducers-in-lucene"/>
    <w:p>
      <w:pPr>
        <w:pStyle w:val="Heading3"/>
      </w:pPr>
      <w:r>
        <w:t xml:space="preserve">16.9.3 Finite-state transducers in Lucene</w:t>
      </w:r>
    </w:p>
    <w:p>
      <w:pPr>
        <w:pStyle w:val="FirstParagraph"/>
      </w:pPr>
      <w:r>
        <w:t xml:space="preserve">A trie shares common</w:t>
      </w:r>
      <w:r>
        <w:t xml:space="preserve"> </w:t>
      </w:r>
      <w:r>
        <w:rPr>
          <w:iCs/>
          <w:i/>
        </w:rPr>
        <w:t xml:space="preserve">prefixes</w:t>
      </w:r>
      <w:r>
        <w:t xml:space="preserve"> </w:t>
      </w:r>
      <w:r>
        <w:t xml:space="preserve">only. A</w:t>
      </w:r>
      <w:r>
        <w:t xml:space="preserve"> </w:t>
      </w:r>
      <w:r>
        <w:rPr>
          <w:bCs/>
          <w:b/>
        </w:rPr>
        <w:t xml:space="preserve">finite-state transducer (FST)</w:t>
      </w:r>
      <w:r>
        <w:t xml:space="preserve"> </w:t>
      </w:r>
      <w:r>
        <w:t xml:space="preserve">is a minimal automaton that shares both prefixes and suffixes (</w:t>
      </w:r>
      <w:r>
        <w:t xml:space="preserve">“</w:t>
      </w:r>
      <w:r>
        <w:t xml:space="preserve">-phones</w:t>
      </w:r>
      <w:r>
        <w:t xml:space="preserve">”</w:t>
      </w:r>
      <w:r>
        <w:t xml:space="preserve">,</w:t>
      </w:r>
      <w:r>
        <w:t xml:space="preserve"> </w:t>
      </w:r>
      <w:r>
        <w:t xml:space="preserve">“</w:t>
      </w:r>
      <w:r>
        <w:t xml:space="preserve">-ing</w:t>
      </w:r>
      <w:r>
        <w:t xml:space="preserve">”</w:t>
      </w:r>
      <w:r>
        <w:t xml:space="preserve">) and attaches an output, such as a weight or an ordinal, to each accepted string. Minimal acyclic automata can be built incrementally from sorted input in linear time [Daciuk et al. 2000]. Lucene uses FSTs for its term-dictionary index, and Elasticsearch’s</w:t>
      </w:r>
      <w:r>
        <w:t xml:space="preserve"> </w:t>
      </w:r>
      <w:r>
        <w:rPr>
          <w:bCs/>
          <w:b/>
        </w:rPr>
        <w:t xml:space="preserve">completion suggester</w:t>
      </w:r>
      <w:r>
        <w:t xml:space="preserve"> </w:t>
      </w:r>
      <w:r>
        <w:t xml:space="preserve">(the</w:t>
      </w:r>
      <w:r>
        <w:t xml:space="preserve"> </w:t>
      </w:r>
      <w:r>
        <w:rPr>
          <w:rStyle w:val="VerbatimChar"/>
        </w:rPr>
        <w:t xml:space="preserve">completion</w:t>
      </w:r>
      <w:r>
        <w:t xml:space="preserve"> </w:t>
      </w:r>
      <w:r>
        <w:t xml:space="preserve">field type) stores weighted suggestions in a per-segment FST held in memory, giving top-</w:t>
      </w:r>
      <w:r>
        <w:rPr>
          <w:iCs/>
          <w:i/>
        </w:rPr>
        <w:t xml:space="preserve">k</w:t>
      </w:r>
      <w:r>
        <w:t xml:space="preserve"> </w:t>
      </w:r>
      <w:r>
        <w:t xml:space="preserve">lookups in microseconds with optional fuzzy matching and context filters [Elastic Docs: completion suggester]. Because the FST lives inside segments, suggestions update through normal indexing and refresh.</w:t>
      </w:r>
    </w:p>
    <w:p>
      <w:pPr>
        <w:pStyle w:val="BodyText"/>
      </w:pPr>
      <w:r>
        <w:rPr>
          <w:bCs/>
          <w:b/>
        </w:rPr>
        <w:t xml:space="preserve">Table 16.13 — Autocomplete approaches.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Approach</w:t>
            </w:r>
          </w:p>
        </w:tc>
        <w:tc>
          <w:tcPr/>
          <w:p>
            <w:pPr>
              <w:pStyle w:val="Compact"/>
              <w:jc w:val="left"/>
            </w:pPr>
            <w:r>
              <w:t xml:space="preserve">How it works</w:t>
            </w:r>
          </w:p>
        </w:tc>
        <w:tc>
          <w:tcPr/>
          <w:p>
            <w:pPr>
              <w:pStyle w:val="Compact"/>
              <w:jc w:val="left"/>
            </w:pPr>
            <w:r>
              <w:t xml:space="preserve">Advantages</w:t>
            </w:r>
          </w:p>
        </w:tc>
        <w:tc>
          <w:tcPr/>
          <w:p>
            <w:pPr>
              <w:pStyle w:val="Compact"/>
              <w:jc w:val="left"/>
            </w:pPr>
            <w:r>
              <w:t xml:space="preserve">Disadvantages</w:t>
            </w:r>
          </w:p>
        </w:tc>
        <w:tc>
          <w:tcPr/>
          <w:p>
            <w:pPr>
              <w:pStyle w:val="Compact"/>
              <w:jc w:val="left"/>
            </w:pPr>
            <w:r>
              <w:t xml:space="preserve">Choose when</w:t>
            </w:r>
          </w:p>
        </w:tc>
      </w:tr>
      <w:tr>
        <w:tc>
          <w:tcPr/>
          <w:p>
            <w:pPr>
              <w:pStyle w:val="Compact"/>
              <w:jc w:val="left"/>
            </w:pPr>
            <w:r>
              <w:t xml:space="preserve">Trie with top-</w:t>
            </w:r>
            <w:r>
              <w:rPr>
                <w:iCs/>
                <w:i/>
              </w:rPr>
              <w:t xml:space="preserve">k</w:t>
            </w:r>
            <w:r>
              <w:t xml:space="preserve"> </w:t>
            </w:r>
            <w:r>
              <w:t xml:space="preserve">per node</w:t>
            </w:r>
          </w:p>
        </w:tc>
        <w:tc>
          <w:tcPr/>
          <w:p>
            <w:pPr>
              <w:pStyle w:val="Compact"/>
              <w:jc w:val="left"/>
            </w:pPr>
            <w:r>
              <w:t xml:space="preserve">Offline build from query logs</w:t>
            </w:r>
          </w:p>
        </w:tc>
        <w:tc>
          <w:tcPr/>
          <w:p>
            <w:pPr>
              <w:pStyle w:val="Compact"/>
              <w:jc w:val="left"/>
            </w:pPr>
            <w:r>
              <w:t xml:space="preserve">Fastest; full control of ranking</w:t>
            </w:r>
          </w:p>
        </w:tc>
        <w:tc>
          <w:tcPr/>
          <w:p>
            <w:pPr>
              <w:pStyle w:val="Compact"/>
              <w:jc w:val="left"/>
            </w:pPr>
            <w:r>
              <w:t xml:space="preserve">Custom service; rebuilds</w:t>
            </w:r>
          </w:p>
        </w:tc>
        <w:tc>
          <w:tcPr/>
          <w:p>
            <w:pPr>
              <w:pStyle w:val="Compact"/>
              <w:jc w:val="left"/>
            </w:pPr>
            <w:r>
              <w:t xml:space="preserve">Very high traffic; query-log suggestions</w:t>
            </w:r>
          </w:p>
        </w:tc>
      </w:tr>
      <w:tr>
        <w:tc>
          <w:tcPr/>
          <w:p>
            <w:pPr>
              <w:pStyle w:val="Compact"/>
              <w:jc w:val="left"/>
            </w:pPr>
            <w:r>
              <w:t xml:space="preserve">FST completion suggester</w:t>
            </w:r>
          </w:p>
        </w:tc>
        <w:tc>
          <w:tcPr/>
          <w:p>
            <w:pPr>
              <w:pStyle w:val="Compact"/>
              <w:jc w:val="left"/>
            </w:pPr>
            <w:r>
              <w:t xml:space="preserve">Weighted FST per segment</w:t>
            </w:r>
          </w:p>
        </w:tc>
        <w:tc>
          <w:tcPr/>
          <w:p>
            <w:pPr>
              <w:pStyle w:val="Compact"/>
              <w:jc w:val="left"/>
            </w:pPr>
            <w:r>
              <w:t xml:space="preserve">Built in; compact; fuzzy</w:t>
            </w:r>
          </w:p>
        </w:tc>
        <w:tc>
          <w:tcPr/>
          <w:p>
            <w:pPr>
              <w:pStyle w:val="Compact"/>
              <w:jc w:val="left"/>
            </w:pPr>
            <w:r>
              <w:t xml:space="preserve">Prefix-only; weights static per document</w:t>
            </w:r>
          </w:p>
        </w:tc>
        <w:tc>
          <w:tcPr/>
          <w:p>
            <w:pPr>
              <w:pStyle w:val="Compact"/>
              <w:jc w:val="left"/>
            </w:pPr>
            <w:r>
              <w:t xml:space="preserve">Entity names in Elasticsearch</w:t>
            </w:r>
          </w:p>
        </w:tc>
      </w:tr>
      <w:tr>
        <w:tc>
          <w:tcPr/>
          <w:p>
            <w:pPr>
              <w:pStyle w:val="Compact"/>
              <w:jc w:val="left"/>
            </w:pPr>
            <w:r>
              <w:t xml:space="preserve">Edge n-gram field</w:t>
            </w:r>
          </w:p>
        </w:tc>
        <w:tc>
          <w:tcPr/>
          <w:p>
            <w:pPr>
              <w:pStyle w:val="Compact"/>
              <w:jc w:val="left"/>
            </w:pPr>
            <w:r>
              <w:t xml:space="preserve">Index every prefix as a term</w:t>
            </w:r>
          </w:p>
        </w:tc>
        <w:tc>
          <w:tcPr/>
          <w:p>
            <w:pPr>
              <w:pStyle w:val="Compact"/>
              <w:jc w:val="left"/>
            </w:pPr>
            <w:r>
              <w:t xml:space="preserve">Matches inner words, full query features</w:t>
            </w:r>
          </w:p>
        </w:tc>
        <w:tc>
          <w:tcPr/>
          <w:p>
            <w:pPr>
              <w:pStyle w:val="Compact"/>
              <w:jc w:val="left"/>
            </w:pPr>
            <w:r>
              <w:t xml:space="preserve">Index 3–10× larger; slower</w:t>
            </w:r>
          </w:p>
        </w:tc>
        <w:tc>
          <w:tcPr/>
          <w:p>
            <w:pPr>
              <w:pStyle w:val="Compact"/>
              <w:jc w:val="left"/>
            </w:pPr>
            <w:r>
              <w:t xml:space="preserve">Suggestions need filters and scoring</w:t>
            </w:r>
          </w:p>
        </w:tc>
      </w:tr>
      <w:tr>
        <w:tc>
          <w:tcPr/>
          <w:p>
            <w:pPr>
              <w:pStyle w:val="Compact"/>
              <w:jc w:val="left"/>
            </w:pPr>
            <w:r>
              <w:rPr>
                <w:rStyle w:val="VerbatimChar"/>
              </w:rPr>
              <w:t xml:space="preserve">search_as_you_type</w:t>
            </w:r>
            <w:r>
              <w:t xml:space="preserve"> </w:t>
            </w:r>
            <w:r>
              <w:t xml:space="preserve">field</w:t>
            </w:r>
          </w:p>
        </w:tc>
        <w:tc>
          <w:tcPr/>
          <w:p>
            <w:pPr>
              <w:pStyle w:val="Compact"/>
              <w:jc w:val="left"/>
            </w:pPr>
            <w:r>
              <w:t xml:space="preserve">Managed shingles and edge n-grams</w:t>
            </w:r>
          </w:p>
        </w:tc>
        <w:tc>
          <w:tcPr/>
          <w:p>
            <w:pPr>
              <w:pStyle w:val="Compact"/>
              <w:jc w:val="left"/>
            </w:pPr>
            <w:r>
              <w:t xml:space="preserve">Easy, infix-friendly</w:t>
            </w:r>
          </w:p>
        </w:tc>
        <w:tc>
          <w:tcPr/>
          <w:p>
            <w:pPr>
              <w:pStyle w:val="Compact"/>
              <w:jc w:val="left"/>
            </w:pPr>
            <w:r>
              <w:t xml:space="preserve">Same costs as edge n-grams</w:t>
            </w:r>
          </w:p>
        </w:tc>
        <w:tc>
          <w:tcPr/>
          <w:p>
            <w:pPr>
              <w:pStyle w:val="Compact"/>
              <w:jc w:val="left"/>
            </w:pPr>
            <w:r>
              <w:t xml:space="preserve">Small to medium catalogs</w:t>
            </w:r>
          </w:p>
        </w:tc>
      </w:tr>
    </w:tbl>
    <w:bookmarkEnd w:id="1877"/>
    <w:bookmarkStart w:id="1881" w:name="serving-architecture"/>
    <w:p>
      <w:pPr>
        <w:pStyle w:val="Heading3"/>
      </w:pPr>
      <w:r>
        <w:t xml:space="preserve">16.9.4 Serving architecture</w:t>
      </w:r>
    </w:p>
    <w:p>
      <w:pPr>
        <w:pStyle w:val="FirstParagraph"/>
      </w:pPr>
      <w:r>
        <w:rPr>
          <w:bCs/>
          <w:b/>
        </w:rPr>
        <w:t xml:space="preserve">Figure 16.11 — Autocomplete: offline build and online serving.</w:t>
      </w:r>
    </w:p>
    <w:p>
      <w:pPr>
        <w:pStyle w:val="BodyText"/>
      </w:pPr>
      <w:r>
        <w:drawing>
          <wp:inline>
            <wp:extent cx="5334000" cy="953031"/>
            <wp:effectExtent b="0" l="0" r="0" t="0"/>
            <wp:docPr descr="" title="" id="1879" name="Picture"/>
            <a:graphic>
              <a:graphicData uri="http://schemas.openxmlformats.org/drawingml/2006/picture">
                <pic:pic>
                  <pic:nvPicPr>
                    <pic:cNvPr descr="/home/user/System-Design/build/.cache/diagrams/1d9c7b6a8a34.png" id="1880" name="Picture"/>
                    <pic:cNvPicPr>
                      <a:picLocks noChangeArrowheads="1" noChangeAspect="1"/>
                    </pic:cNvPicPr>
                  </pic:nvPicPr>
                  <pic:blipFill>
                    <a:blip r:embed="rId1878"/>
                    <a:stretch>
                      <a:fillRect/>
                    </a:stretch>
                  </pic:blipFill>
                  <pic:spPr bwMode="auto">
                    <a:xfrm>
                      <a:off x="0" y="0"/>
                      <a:ext cx="5334000" cy="953031"/>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offline subgraph runs asynchronously (dotted arrows): query logs are aggregated with time decay so trends surface, filtered against a blocklist of offensive or unsafe completions, built into a trie or FST, and published as a versioned snapshot to object storage. Online, the user’s prefix goes over HTTPS to a CDN that caches responses for popular short prefixes; misses reach stateless suggest-service replicas that hold the whole structure in memory and swap in new snapshots atomically. The user’s eventual query flows back into the log, closing the loop. Storage boundaries are the log, object storage and each replica’s memory. Failure points: a bad snapshot (roll back to the previous version), a poisoned log (rate-limit and filter per user), and stale caches during breaking news (short TTLs). Scaling: add replicas; partition by prefix if memory runs out; personalize by blending global suggestions with the user’s own recent queries at request time.</w:t>
      </w:r>
    </w:p>
    <w:bookmarkEnd w:id="1881"/>
    <w:bookmarkEnd w:id="1882"/>
    <w:bookmarkStart w:id="1889" w:name="near-real-time-indexing"/>
    <w:p>
      <w:pPr>
        <w:pStyle w:val="Heading2"/>
      </w:pPr>
      <w:r>
        <w:t xml:space="preserve">16.10 Near-real-time indexing</w:t>
      </w:r>
    </w:p>
    <w:bookmarkStart w:id="1883" w:name="the-refresh-interval-trade-off"/>
    <w:p>
      <w:pPr>
        <w:pStyle w:val="Heading3"/>
      </w:pPr>
      <w:r>
        <w:t xml:space="preserve">16.10.1 The refresh interval trade-off</w:t>
      </w:r>
    </w:p>
    <w:p>
      <w:pPr>
        <w:pStyle w:val="CalloutDefinition"/>
      </w:pPr>
      <w:r>
        <w:rPr>
          <w:bCs/>
          <w:b/>
        </w:rPr>
        <w:t xml:space="preserve">DEFINITION</w:t>
      </w:r>
    </w:p>
    <w:p>
      <w:pPr>
        <w:pStyle w:val="CalloutDefinition"/>
      </w:pPr>
      <w:r>
        <w:rPr>
          <w:bCs/>
          <w:b/>
        </w:rPr>
        <w:t xml:space="preserve">Definition — Near-real-time (NRT) search.</w:t>
      </w:r>
      <w:r>
        <w:t xml:space="preserve"> </w:t>
      </w:r>
      <w:r>
        <w:t xml:space="preserve">A search system in which newly written documents become searchable after a short, bounded delay (typically one second to a minute) rather than immediately, because making them visible requires creating a new segment and reopening the searcher.</w:t>
      </w:r>
    </w:p>
    <w:p>
      <w:pPr>
        <w:pStyle w:val="BodyText"/>
      </w:pPr>
      <w:r>
        <w:t xml:space="preserve">Each refresh creates a segment and a new searcher; refreshing more often gives fresher results but more tiny segments, more merging (§16.6.3) and lower indexing throughput.</w:t>
      </w:r>
    </w:p>
    <w:p>
      <w:pPr>
        <w:pStyle w:val="BodyText"/>
      </w:pPr>
      <w:r>
        <w:rPr>
          <w:bCs/>
          <w:b/>
        </w:rPr>
        <w:t xml:space="preserve">Table 16.14 — Choosing a refresh interval.</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Setting</w:t>
            </w:r>
          </w:p>
        </w:tc>
        <w:tc>
          <w:tcPr/>
          <w:p>
            <w:pPr>
              <w:pStyle w:val="Compact"/>
              <w:jc w:val="left"/>
            </w:pPr>
            <w:r>
              <w:t xml:space="preserve">Freshness</w:t>
            </w:r>
          </w:p>
        </w:tc>
        <w:tc>
          <w:tcPr/>
          <w:p>
            <w:pPr>
              <w:pStyle w:val="Compact"/>
              <w:jc w:val="left"/>
            </w:pPr>
            <w:r>
              <w:t xml:space="preserve">Indexing throughput</w:t>
            </w:r>
          </w:p>
        </w:tc>
        <w:tc>
          <w:tcPr/>
          <w:p>
            <w:pPr>
              <w:pStyle w:val="Compact"/>
              <w:jc w:val="left"/>
            </w:pPr>
            <w:r>
              <w:t xml:space="preserve">Merge load</w:t>
            </w:r>
          </w:p>
        </w:tc>
        <w:tc>
          <w:tcPr/>
          <w:p>
            <w:pPr>
              <w:pStyle w:val="Compact"/>
              <w:jc w:val="left"/>
            </w:pPr>
            <w:r>
              <w:t xml:space="preserve">Typical use</w:t>
            </w:r>
          </w:p>
        </w:tc>
      </w:tr>
      <w:tr>
        <w:tc>
          <w:tcPr/>
          <w:p>
            <w:pPr>
              <w:pStyle w:val="Compact"/>
              <w:jc w:val="left"/>
            </w:pPr>
            <w:r>
              <w:t xml:space="preserve">1 s (default)</w:t>
            </w:r>
          </w:p>
        </w:tc>
        <w:tc>
          <w:tcPr/>
          <w:p>
            <w:pPr>
              <w:pStyle w:val="Compact"/>
              <w:jc w:val="left"/>
            </w:pPr>
            <w:r>
              <w:t xml:space="preserve">~1 s</w:t>
            </w:r>
          </w:p>
        </w:tc>
        <w:tc>
          <w:tcPr/>
          <w:p>
            <w:pPr>
              <w:pStyle w:val="Compact"/>
              <w:jc w:val="left"/>
            </w:pPr>
            <w:r>
              <w:t xml:space="preserve">Lowest</w:t>
            </w:r>
          </w:p>
        </w:tc>
        <w:tc>
          <w:tcPr/>
          <w:p>
            <w:pPr>
              <w:pStyle w:val="Compact"/>
              <w:jc w:val="left"/>
            </w:pPr>
            <w:r>
              <w:t xml:space="preserve">Highest (</w:t>
            </w:r>
            <m:oMath>
              <m:r>
                <m:t>W</m:t>
              </m:r>
              <m:r>
                <m:rPr>
                  <m:sty m:val="p"/>
                </m:rPr>
                <m:t>≈</m:t>
              </m:r>
              <m:r>
                <m:t>4.4</m:t>
              </m:r>
            </m:oMath>
            <w:r>
              <w:t xml:space="preserve"> </w:t>
            </w:r>
            <w:r>
              <w:t xml:space="preserve">in §16.6.3)</w:t>
            </w:r>
          </w:p>
        </w:tc>
        <w:tc>
          <w:tcPr/>
          <w:p>
            <w:pPr>
              <w:pStyle w:val="Compact"/>
              <w:jc w:val="left"/>
            </w:pPr>
            <w:r>
              <w:t xml:space="preserve">Product, user-facing content</w:t>
            </w:r>
          </w:p>
        </w:tc>
      </w:tr>
      <w:tr>
        <w:tc>
          <w:tcPr/>
          <w:p>
            <w:pPr>
              <w:pStyle w:val="Compact"/>
              <w:jc w:val="left"/>
            </w:pPr>
            <w:r>
              <w:t xml:space="preserve">30 s</w:t>
            </w:r>
          </w:p>
        </w:tc>
        <w:tc>
          <w:tcPr/>
          <w:p>
            <w:pPr>
              <w:pStyle w:val="Compact"/>
              <w:jc w:val="left"/>
            </w:pPr>
            <w:r>
              <w:t xml:space="preserve">~30 s</w:t>
            </w:r>
          </w:p>
        </w:tc>
        <w:tc>
          <w:tcPr/>
          <w:p>
            <w:pPr>
              <w:pStyle w:val="Compact"/>
              <w:jc w:val="left"/>
            </w:pPr>
            <w:r>
              <w:t xml:space="preserve">Higher</w:t>
            </w:r>
          </w:p>
        </w:tc>
        <w:tc>
          <w:tcPr/>
          <w:p>
            <w:pPr>
              <w:pStyle w:val="Compact"/>
              <w:jc w:val="left"/>
            </w:pPr>
            <w:r>
              <w:t xml:space="preserve">Lower (</w:t>
            </w:r>
            <m:oMath>
              <m:r>
                <m:t>W</m:t>
              </m:r>
              <m:r>
                <m:rPr>
                  <m:sty m:val="p"/>
                </m:rPr>
                <m:t>≈</m:t>
              </m:r>
              <m:r>
                <m:t>2.9</m:t>
              </m:r>
            </m:oMath>
            <w:r>
              <w:t xml:space="preserve">)</w:t>
            </w:r>
          </w:p>
        </w:tc>
        <w:tc>
          <w:tcPr/>
          <w:p>
            <w:pPr>
              <w:pStyle w:val="Compact"/>
              <w:jc w:val="left"/>
            </w:pPr>
            <w:r>
              <w:t xml:space="preserve">Logs, metrics, analytics</w:t>
            </w:r>
          </w:p>
        </w:tc>
      </w:tr>
      <w:tr>
        <w:tc>
          <w:tcPr/>
          <w:p>
            <w:pPr>
              <w:pStyle w:val="Compact"/>
              <w:jc w:val="left"/>
            </w:pPr>
            <w:r>
              <w:rPr>
                <w:rStyle w:val="VerbatimChar"/>
              </w:rPr>
              <w:t xml:space="preserve">-1</w:t>
            </w:r>
            <w:r>
              <w:t xml:space="preserve"> </w:t>
            </w:r>
            <w:r>
              <w:t xml:space="preserve">(disabled) during bulk load, replicas 0</w:t>
            </w:r>
          </w:p>
        </w:tc>
        <w:tc>
          <w:tcPr/>
          <w:p>
            <w:pPr>
              <w:pStyle w:val="Compact"/>
              <w:jc w:val="left"/>
            </w:pPr>
            <w:r>
              <w:t xml:space="preserve">None until re-enabled</w:t>
            </w:r>
          </w:p>
        </w:tc>
        <w:tc>
          <w:tcPr/>
          <w:p>
            <w:pPr>
              <w:pStyle w:val="Compact"/>
              <w:jc w:val="left"/>
            </w:pPr>
            <w:r>
              <w:t xml:space="preserve">Highest</w:t>
            </w:r>
          </w:p>
        </w:tc>
        <w:tc>
          <w:tcPr/>
          <w:p>
            <w:pPr>
              <w:pStyle w:val="Compact"/>
              <w:jc w:val="left"/>
            </w:pPr>
            <w:r>
              <w:t xml:space="preserve">Lowest</w:t>
            </w:r>
          </w:p>
        </w:tc>
        <w:tc>
          <w:tcPr/>
          <w:p>
            <w:pPr>
              <w:pStyle w:val="Compact"/>
              <w:jc w:val="left"/>
            </w:pPr>
            <w:r>
              <w:t xml:space="preserve">Initial load or full reindex</w:t>
            </w:r>
          </w:p>
        </w:tc>
      </w:tr>
      <w:tr>
        <w:tc>
          <w:tcPr/>
          <w:p>
            <w:pPr>
              <w:pStyle w:val="Compact"/>
              <w:jc w:val="left"/>
            </w:pPr>
            <w:r>
              <w:rPr>
                <w:rStyle w:val="VerbatimChar"/>
              </w:rPr>
              <w:t xml:space="preserve">refresh=wait_for</w:t>
            </w:r>
            <w:r>
              <w:t xml:space="preserve"> </w:t>
            </w:r>
            <w:r>
              <w:t xml:space="preserve">on a request</w:t>
            </w:r>
          </w:p>
        </w:tc>
        <w:tc>
          <w:tcPr/>
          <w:p>
            <w:pPr>
              <w:pStyle w:val="Compact"/>
              <w:jc w:val="left"/>
            </w:pPr>
            <w:r>
              <w:t xml:space="preserve">Caller waits for next refresh</w:t>
            </w:r>
          </w:p>
        </w:tc>
        <w:tc>
          <w:tcPr/>
          <w:p>
            <w:pPr>
              <w:pStyle w:val="Compact"/>
              <w:jc w:val="left"/>
            </w:pPr>
            <w:r>
              <w:t xml:space="preserve">Unchanged</w:t>
            </w:r>
          </w:p>
        </w:tc>
        <w:tc>
          <w:tcPr/>
          <w:p>
            <w:pPr>
              <w:pStyle w:val="Compact"/>
              <w:jc w:val="left"/>
            </w:pPr>
            <w:r>
              <w:t xml:space="preserve">Unchanged</w:t>
            </w:r>
          </w:p>
        </w:tc>
        <w:tc>
          <w:tcPr/>
          <w:p>
            <w:pPr>
              <w:pStyle w:val="Compact"/>
              <w:jc w:val="left"/>
            </w:pPr>
            <w:r>
              <w:t xml:space="preserve">Read-your-writes for one client</w:t>
            </w:r>
          </w:p>
        </w:tc>
      </w:tr>
    </w:tbl>
    <w:p>
      <w:pPr>
        <w:pStyle w:val="BodyText"/>
      </w:pPr>
      <w:r>
        <w:t xml:space="preserve">Never call an explicit refresh after every write: it turns each document into its own segment and can collapse indexing throughput.</w:t>
      </w:r>
    </w:p>
    <w:bookmarkEnd w:id="1883"/>
    <w:bookmarkStart w:id="1887" w:name="the-indexing-pipeline-cdc-and-kafka"/>
    <w:p>
      <w:pPr>
        <w:pStyle w:val="Heading3"/>
      </w:pPr>
      <w:r>
        <w:t xml:space="preserve">16.10.2 The indexing pipeline: CDC and Kafka</w:t>
      </w:r>
    </w:p>
    <w:p>
      <w:pPr>
        <w:pStyle w:val="FirstParagraph"/>
      </w:pPr>
      <w:r>
        <w:t xml:space="preserve">The source of truth is usually a relational database. Writing to the database</w:t>
      </w:r>
      <w:r>
        <w:t xml:space="preserve"> </w:t>
      </w:r>
      <w:r>
        <w:rPr>
          <w:iCs/>
          <w:i/>
        </w:rPr>
        <w:t xml:space="preserve">and</w:t>
      </w:r>
      <w:r>
        <w:t xml:space="preserve"> </w:t>
      </w:r>
      <w:r>
        <w:t xml:space="preserve">to the search index from application code (</w:t>
      </w:r>
      <w:r>
        <w:rPr>
          <w:bCs/>
          <w:b/>
        </w:rPr>
        <w:t xml:space="preserve">dual writes</w:t>
      </w:r>
      <w:r>
        <w:t xml:space="preserve">) loses updates whenever one write succeeds and the other fails, and can apply concurrent updates in different orders to the two stores [Kleppmann 2017, ch. 11]. The robust pattern is to derive the index from the database’s own change log.</w:t>
      </w:r>
    </w:p>
    <w:p>
      <w:pPr>
        <w:pStyle w:val="BodyText"/>
      </w:pPr>
      <w:r>
        <w:rPr>
          <w:bCs/>
          <w:b/>
        </w:rPr>
        <w:t xml:space="preserve">Figure 16.12 — Near-real-time indexing pipeline with CDC and Kafka.</w:t>
      </w:r>
    </w:p>
    <w:p>
      <w:pPr>
        <w:pStyle w:val="BodyText"/>
      </w:pPr>
      <w:r>
        <w:drawing>
          <wp:inline>
            <wp:extent cx="5334000" cy="819982"/>
            <wp:effectExtent b="0" l="0" r="0" t="0"/>
            <wp:docPr descr="" title="" id="1885" name="Picture"/>
            <a:graphic>
              <a:graphicData uri="http://schemas.openxmlformats.org/drawingml/2006/picture">
                <pic:pic>
                  <pic:nvPicPr>
                    <pic:cNvPr descr="/home/user/System-Design/build/.cache/diagrams/591d1f35f323.png" id="1886" name="Picture"/>
                    <pic:cNvPicPr>
                      <a:picLocks noChangeArrowheads="1" noChangeAspect="1"/>
                    </pic:cNvPicPr>
                  </pic:nvPicPr>
                  <pic:blipFill>
                    <a:blip r:embed="rId1884"/>
                    <a:stretch>
                      <a:fillRect/>
                    </a:stretch>
                  </pic:blipFill>
                  <pic:spPr bwMode="auto">
                    <a:xfrm>
                      <a:off x="0" y="0"/>
                      <a:ext cx="5334000" cy="819982"/>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catalog service writes only to PostgreSQL, synchronously. Debezium reads the write-ahead log through logical decoding and publishes each committed change to Kafka asynchronously, keyed by product ID so that all changes to one product land in one partition, in order. The indexer consumes partitions, enriches each event into a complete search document (prices, stock, review counts from other stores), and writes in bulk through an</w:t>
      </w:r>
      <w:r>
        <w:t xml:space="preserve"> </w:t>
      </w:r>
      <w:r>
        <w:rPr>
          <w:bCs/>
          <w:b/>
        </w:rPr>
        <w:t xml:space="preserve">alias</w:t>
      </w:r>
      <w:r>
        <w:t xml:space="preserve">, a stable name pointing at the current physical index. Each write carries an external version (for example the source log sequence number), so a replayed or reordered older event is rejected and the pipeline stays idempotent under at-least-once delivery (§22.15). Deletes arrive as delete events and become delete requests. Storage boundaries: the database, the Kafka log, the enrichment stores and the index. Failure points: indexer lag (search becomes stale, never wrong), poison events (send to a dead-letter topic), and Kafka retention shorter than a rebuild. Scaling: more Kafka partitions and indexer consumers. The lower path shows a full</w:t>
      </w:r>
      <w:r>
        <w:t xml:space="preserve"> </w:t>
      </w:r>
      <w:r>
        <w:rPr>
          <w:bCs/>
          <w:b/>
        </w:rPr>
        <w:t xml:space="preserve">rebuild</w:t>
      </w:r>
      <w:r>
        <w:t xml:space="preserve">: a job replays the topic (or a snapshot plus the topic) into</w:t>
      </w:r>
      <w:r>
        <w:t xml:space="preserve"> </w:t>
      </w:r>
      <w:r>
        <w:rPr>
          <w:rStyle w:val="VerbatimChar"/>
        </w:rPr>
        <w:t xml:space="preserve">products_v3</w:t>
      </w:r>
      <w:r>
        <w:t xml:space="preserve"> </w:t>
      </w:r>
      <w:r>
        <w:t xml:space="preserve">with refresh disabled; when it catches up, the alias is switched atomically from v2 to v3, a zero-downtime reindex used for analyzer or mapping changes.</w:t>
      </w:r>
    </w:p>
    <w:bookmarkEnd w:id="1887"/>
    <w:bookmarkStart w:id="1888" w:name="freshness-budget"/>
    <w:p>
      <w:pPr>
        <w:pStyle w:val="Heading3"/>
      </w:pPr>
      <w:r>
        <w:t xml:space="preserve">16.10.3 Freshness budget</w:t>
      </w:r>
    </w:p>
    <w:p>
      <w:pPr>
        <w:pStyle w:val="CalloutFormula"/>
      </w:pPr>
      <w:r>
        <w:rPr>
          <w:bCs/>
          <w:b/>
        </w:rPr>
        <w:t xml:space="preserve">FORMULA</w:t>
      </w:r>
    </w:p>
    <w:p>
      <w:pPr>
        <w:pStyle w:val="CalloutFormula"/>
      </w:pPr>
      <w:r>
        <w:rPr>
          <w:bCs/>
          <w:b/>
        </w:rPr>
        <w:t xml:space="preserve">End-to-end freshness latency</w:t>
      </w:r>
    </w:p>
    <w:p>
      <w:pPr>
        <w:pStyle w:val="CalloutFormula"/>
      </w:pPr>
      <m:oMathPara>
        <m:oMathParaPr>
          <m:jc m:val="center"/>
        </m:oMathParaPr>
        <m:oMath>
          <m:sSub>
            <m:e>
              <m:r>
                <m:t>T</m:t>
              </m:r>
            </m:e>
            <m:sub>
              <m:r>
                <m:rPr>
                  <m:nor/>
                  <m:sty m:val="p"/>
                </m:rPr>
                <m:t>fresh</m:t>
              </m:r>
            </m:sub>
          </m:sSub>
          <m:r>
            <m:rPr>
              <m:sty m:val="p"/>
            </m:rPr>
            <m:t>≈</m:t>
          </m:r>
          <m:sSub>
            <m:e>
              <m:r>
                <m:t>T</m:t>
              </m:r>
            </m:e>
            <m:sub>
              <m:r>
                <m:rPr>
                  <m:nor/>
                  <m:sty m:val="p"/>
                </m:rPr>
                <m:t>cdc</m:t>
              </m:r>
            </m:sub>
          </m:sSub>
          <m:r>
            <m:rPr>
              <m:sty m:val="p"/>
            </m:rPr>
            <m:t>+</m:t>
          </m:r>
          <m:sSub>
            <m:e>
              <m:r>
                <m:t>T</m:t>
              </m:r>
            </m:e>
            <m:sub>
              <m:r>
                <m:rPr>
                  <m:nor/>
                  <m:sty m:val="p"/>
                </m:rPr>
                <m:t>queue</m:t>
              </m:r>
            </m:sub>
          </m:sSub>
          <m:r>
            <m:rPr>
              <m:sty m:val="p"/>
            </m:rPr>
            <m:t>+</m:t>
          </m:r>
          <m:sSub>
            <m:e>
              <m:r>
                <m:t>T</m:t>
              </m:r>
            </m:e>
            <m:sub>
              <m:r>
                <m:rPr>
                  <m:nor/>
                  <m:sty m:val="p"/>
                </m:rPr>
                <m:t>batch</m:t>
              </m:r>
            </m:sub>
          </m:sSub>
          <m:r>
            <m:rPr>
              <m:sty m:val="p"/>
            </m:rPr>
            <m:t>+</m:t>
          </m:r>
          <m:sSub>
            <m:e>
              <m:r>
                <m:t>T</m:t>
              </m:r>
            </m:e>
            <m:sub>
              <m:r>
                <m:rPr>
                  <m:nor/>
                  <m:sty m:val="p"/>
                </m:rPr>
                <m:t>index</m:t>
              </m:r>
            </m:sub>
          </m:sSub>
          <m:r>
            <m:rPr>
              <m:sty m:val="p"/>
            </m:rPr>
            <m:t>+</m:t>
          </m:r>
          <m:sSub>
            <m:e>
              <m:r>
                <m:t>T</m:t>
              </m:r>
            </m:e>
            <m:sub>
              <m:r>
                <m:rPr>
                  <m:nor/>
                  <m:sty m:val="p"/>
                </m:rPr>
                <m:t>refresh</m:t>
              </m:r>
            </m:sub>
          </m:sSub>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T</m:t>
                  </m:r>
                </m:e>
                <m:sub>
                  <m:r>
                    <m:rPr>
                      <m:nor/>
                      <m:sty m:val="p"/>
                    </m:rPr>
                    <m:t>cdc</m:t>
                  </m:r>
                </m:sub>
              </m:sSub>
            </m:oMath>
          </w:p>
        </w:tc>
        <w:tc>
          <w:tcPr/>
          <w:p>
            <w:pPr>
              <w:pStyle w:val="Compact"/>
              <w:jc w:val="left"/>
            </w:pPr>
            <w:r>
              <w:t xml:space="preserve">Commit to event published in Kafka</w:t>
            </w:r>
          </w:p>
        </w:tc>
        <w:tc>
          <w:tcPr/>
          <w:p>
            <w:pPr>
              <w:pStyle w:val="Compact"/>
              <w:jc w:val="left"/>
            </w:pPr>
            <w:r>
              <w:t xml:space="preserve">s</w:t>
            </w:r>
          </w:p>
        </w:tc>
      </w:tr>
      <w:tr>
        <w:tc>
          <w:tcPr/>
          <w:p>
            <w:pPr>
              <w:pStyle w:val="Compact"/>
              <w:jc w:val="left"/>
            </w:pPr>
            <m:oMath>
              <m:sSub>
                <m:e>
                  <m:r>
                    <m:t>T</m:t>
                  </m:r>
                </m:e>
                <m:sub>
                  <m:r>
                    <m:rPr>
                      <m:nor/>
                      <m:sty m:val="p"/>
                    </m:rPr>
                    <m:t>queue</m:t>
                  </m:r>
                </m:sub>
              </m:sSub>
            </m:oMath>
          </w:p>
        </w:tc>
        <w:tc>
          <w:tcPr/>
          <w:p>
            <w:pPr>
              <w:pStyle w:val="Compact"/>
              <w:jc w:val="left"/>
            </w:pPr>
            <w:r>
              <w:t xml:space="preserve">Time the event waits for the indexer (consumer lag)</w:t>
            </w:r>
          </w:p>
        </w:tc>
        <w:tc>
          <w:tcPr/>
          <w:p>
            <w:pPr>
              <w:pStyle w:val="Compact"/>
              <w:jc w:val="left"/>
            </w:pPr>
            <w:r>
              <w:t xml:space="preserve">s</w:t>
            </w:r>
          </w:p>
        </w:tc>
      </w:tr>
      <w:tr>
        <w:tc>
          <w:tcPr/>
          <w:p>
            <w:pPr>
              <w:pStyle w:val="Compact"/>
              <w:jc w:val="left"/>
            </w:pPr>
            <m:oMath>
              <m:sSub>
                <m:e>
                  <m:r>
                    <m:t>T</m:t>
                  </m:r>
                </m:e>
                <m:sub>
                  <m:r>
                    <m:rPr>
                      <m:nor/>
                      <m:sty m:val="p"/>
                    </m:rPr>
                    <m:t>batch</m:t>
                  </m:r>
                </m:sub>
              </m:sSub>
            </m:oMath>
          </w:p>
        </w:tc>
        <w:tc>
          <w:tcPr/>
          <w:p>
            <w:pPr>
              <w:pStyle w:val="Compact"/>
              <w:jc w:val="left"/>
            </w:pPr>
            <w:r>
              <w:t xml:space="preserve">Wait for a bulk request to fill or its timer to fire</w:t>
            </w:r>
          </w:p>
        </w:tc>
        <w:tc>
          <w:tcPr/>
          <w:p>
            <w:pPr>
              <w:pStyle w:val="Compact"/>
              <w:jc w:val="left"/>
            </w:pPr>
            <w:r>
              <w:t xml:space="preserve">s</w:t>
            </w:r>
          </w:p>
        </w:tc>
      </w:tr>
      <w:tr>
        <w:tc>
          <w:tcPr/>
          <w:p>
            <w:pPr>
              <w:pStyle w:val="Compact"/>
              <w:jc w:val="left"/>
            </w:pPr>
            <m:oMath>
              <m:sSub>
                <m:e>
                  <m:r>
                    <m:t>T</m:t>
                  </m:r>
                </m:e>
                <m:sub>
                  <m:r>
                    <m:rPr>
                      <m:nor/>
                      <m:sty m:val="p"/>
                    </m:rPr>
                    <m:t>index</m:t>
                  </m:r>
                </m:sub>
              </m:sSub>
            </m:oMath>
          </w:p>
        </w:tc>
        <w:tc>
          <w:tcPr/>
          <w:p>
            <w:pPr>
              <w:pStyle w:val="Compact"/>
              <w:jc w:val="left"/>
            </w:pPr>
            <w:r>
              <w:t xml:space="preserve">Bulk request execution on primary and replicas</w:t>
            </w:r>
          </w:p>
        </w:tc>
        <w:tc>
          <w:tcPr/>
          <w:p>
            <w:pPr>
              <w:pStyle w:val="Compact"/>
              <w:jc w:val="left"/>
            </w:pPr>
            <w:r>
              <w:t xml:space="preserve">s</w:t>
            </w:r>
          </w:p>
        </w:tc>
      </w:tr>
      <w:tr>
        <w:tc>
          <w:tcPr/>
          <w:p>
            <w:pPr>
              <w:pStyle w:val="Compact"/>
              <w:jc w:val="left"/>
            </w:pPr>
            <m:oMath>
              <m:sSub>
                <m:e>
                  <m:r>
                    <m:t>T</m:t>
                  </m:r>
                </m:e>
                <m:sub>
                  <m:r>
                    <m:rPr>
                      <m:nor/>
                      <m:sty m:val="p"/>
                    </m:rPr>
                    <m:t>refresh</m:t>
                  </m:r>
                </m:sub>
              </m:sSub>
            </m:oMath>
          </w:p>
        </w:tc>
        <w:tc>
          <w:tcPr/>
          <w:p>
            <w:pPr>
              <w:pStyle w:val="Compact"/>
              <w:jc w:val="left"/>
            </w:pPr>
            <w:r>
              <w:t xml:space="preserve">Wait for the next refresh: uniform in</w:t>
            </w:r>
            <w:r>
              <w:t xml:space="preserve"> </w:t>
            </w:r>
            <m:oMath>
              <m:d>
                <m:dPr>
                  <m:begChr m:val="["/>
                  <m:endChr m:val="]"/>
                  <m:sepChr m:val=""/>
                  <m:grow/>
                </m:dPr>
                <m:e>
                  <m:r>
                    <m:t>0</m:t>
                  </m:r>
                  <m:r>
                    <m:rPr>
                      <m:sty m:val="p"/>
                    </m:rPr>
                    <m:t>,</m:t>
                  </m:r>
                  <m:r>
                    <m:t>I</m:t>
                  </m:r>
                </m:e>
              </m:d>
            </m:oMath>
            <w:r>
              <w:t xml:space="preserve">, mean</w:t>
            </w:r>
            <w:r>
              <w:t xml:space="preserve"> </w:t>
            </w:r>
            <m:oMath>
              <m:r>
                <m:t>I</m:t>
              </m:r>
              <m:r>
                <m:rPr>
                  <m:sty m:val="p"/>
                </m:rPr>
                <m:t>/</m:t>
              </m:r>
              <m:r>
                <m:t>2</m:t>
              </m:r>
            </m:oMath>
          </w:p>
        </w:tc>
        <w:tc>
          <w:tcPr/>
          <w:p>
            <w:pPr>
              <w:pStyle w:val="Compact"/>
              <w:jc w:val="left"/>
            </w:pPr>
            <w:r>
              <w:t xml:space="preserve">s</w:t>
            </w:r>
          </w:p>
        </w:tc>
      </w:tr>
      <w:tr>
        <w:tc>
          <w:tcPr/>
          <w:p>
            <w:pPr>
              <w:pStyle w:val="Compact"/>
              <w:jc w:val="left"/>
            </w:pPr>
            <m:oMath>
              <m:sSub>
                <m:e>
                  <m:r>
                    <m:t>T</m:t>
                  </m:r>
                </m:e>
                <m:sub>
                  <m:r>
                    <m:rPr>
                      <m:nor/>
                      <m:sty m:val="p"/>
                    </m:rPr>
                    <m:t>fresh</m:t>
                  </m:r>
                </m:sub>
              </m:sSub>
            </m:oMath>
          </w:p>
        </w:tc>
        <w:tc>
          <w:tcPr/>
          <w:p>
            <w:pPr>
              <w:pStyle w:val="Compact"/>
              <w:jc w:val="left"/>
            </w:pPr>
            <w:r>
              <w:t xml:space="preserve">Commit in source database to searchable</w:t>
            </w:r>
          </w:p>
        </w:tc>
        <w:tc>
          <w:tcPr/>
          <w:p>
            <w:pPr>
              <w:pStyle w:val="Compact"/>
              <w:jc w:val="left"/>
            </w:pPr>
            <w:r>
              <w:t xml:space="preserve">s</w:t>
            </w:r>
          </w:p>
        </w:tc>
      </w:tr>
    </w:tbl>
    <w:p>
      <w:pPr>
        <w:pStyle w:val="CalloutExample"/>
      </w:pPr>
      <w:r>
        <w:rPr>
          <w:bCs/>
          <w:b/>
        </w:rPr>
        <w:t xml:space="preserve">WORKED EXAMPLE</w:t>
      </w:r>
    </w:p>
    <w:p>
      <w:pPr>
        <w:pStyle w:val="CalloutExample"/>
      </w:pPr>
      <w:r>
        <w:rPr>
          <w:bCs/>
          <w:b/>
        </w:rPr>
        <w:t xml:space="preserve">Worked example — how fresh is a price change?</w:t>
      </w:r>
      <w:r>
        <w:t xml:space="preserve"> </w:t>
      </w:r>
      <m:oMath>
        <m:sSub>
          <m:e>
            <m:r>
              <m:t>T</m:t>
            </m:r>
          </m:e>
          <m:sub>
            <m:r>
              <m:rPr>
                <m:nor/>
                <m:sty m:val="p"/>
              </m:rPr>
              <m:t>cdc</m:t>
            </m:r>
          </m:sub>
        </m:sSub>
        <m:r>
          <m:rPr>
            <m:sty m:val="p"/>
          </m:rPr>
          <m:t>=</m:t>
        </m:r>
        <m:r>
          <m:t>0.2</m:t>
        </m:r>
      </m:oMath>
      <w:r>
        <w:t xml:space="preserve"> </w:t>
      </w:r>
      <w:r>
        <w:t xml:space="preserve">s,</w:t>
      </w:r>
      <w:r>
        <w:t xml:space="preserve"> </w:t>
      </w:r>
      <m:oMath>
        <m:sSub>
          <m:e>
            <m:r>
              <m:t>T</m:t>
            </m:r>
          </m:e>
          <m:sub>
            <m:r>
              <m:rPr>
                <m:nor/>
                <m:sty m:val="p"/>
              </m:rPr>
              <m:t>queue</m:t>
            </m:r>
          </m:sub>
        </m:sSub>
        <m:r>
          <m:rPr>
            <m:sty m:val="p"/>
          </m:rPr>
          <m:t>=</m:t>
        </m:r>
        <m:r>
          <m:t>0.3</m:t>
        </m:r>
      </m:oMath>
      <w:r>
        <w:t xml:space="preserve"> </w:t>
      </w:r>
      <w:r>
        <w:t xml:space="preserve">s at normal load, bulk requests flush every 1 s (mean wait 0.5 s, worst 1 s),</w:t>
      </w:r>
      <w:r>
        <w:t xml:space="preserve"> </w:t>
      </w:r>
      <m:oMath>
        <m:sSub>
          <m:e>
            <m:r>
              <m:t>T</m:t>
            </m:r>
          </m:e>
          <m:sub>
            <m:r>
              <m:rPr>
                <m:nor/>
                <m:sty m:val="p"/>
              </m:rPr>
              <m:t>index</m:t>
            </m:r>
          </m:sub>
        </m:sSub>
        <m:r>
          <m:rPr>
            <m:sty m:val="p"/>
          </m:rPr>
          <m:t>=</m:t>
        </m:r>
        <m:r>
          <m:t>0.1</m:t>
        </m:r>
      </m:oMath>
      <w:r>
        <w:t xml:space="preserve"> </w:t>
      </w:r>
      <w:r>
        <w:t xml:space="preserve">s, refresh interval</w:t>
      </w:r>
      <w:r>
        <w:t xml:space="preserve"> </w:t>
      </w:r>
      <m:oMath>
        <m:r>
          <m:t>I</m:t>
        </m:r>
        <m:r>
          <m:rPr>
            <m:sty m:val="p"/>
          </m:rPr>
          <m:t>=</m:t>
        </m:r>
        <m:r>
          <m:t>1</m:t>
        </m:r>
      </m:oMath>
      <w:r>
        <w:t xml:space="preserve"> </w:t>
      </w:r>
      <w:r>
        <w:t xml:space="preserve">s (mean 0.5 s, worst 1 s).</w:t>
      </w:r>
    </w:p>
    <w:p>
      <w:pPr>
        <w:numPr>
          <w:ilvl w:val="0"/>
          <w:numId w:val="1548"/>
        </w:numPr>
        <w:pStyle w:val="Compact"/>
      </w:pPr>
      <w:r>
        <w:t xml:space="preserve">Mean:</w:t>
      </w:r>
      <w:r>
        <w:t xml:space="preserve"> </w:t>
      </w:r>
      <m:oMath>
        <m:r>
          <m:t>0.2</m:t>
        </m:r>
        <m:r>
          <m:rPr>
            <m:sty m:val="p"/>
          </m:rPr>
          <m:t>+</m:t>
        </m:r>
        <m:r>
          <m:t>0.3</m:t>
        </m:r>
        <m:r>
          <m:rPr>
            <m:sty m:val="p"/>
          </m:rPr>
          <m:t>+</m:t>
        </m:r>
        <m:r>
          <m:t>0.5</m:t>
        </m:r>
        <m:r>
          <m:rPr>
            <m:sty m:val="p"/>
          </m:rPr>
          <m:t>+</m:t>
        </m:r>
        <m:r>
          <m:t>0.1</m:t>
        </m:r>
        <m:r>
          <m:rPr>
            <m:sty m:val="p"/>
          </m:rPr>
          <m:t>+</m:t>
        </m:r>
        <m:r>
          <m:t>0.5</m:t>
        </m:r>
        <m:r>
          <m:rPr>
            <m:sty m:val="p"/>
          </m:rPr>
          <m:t>=</m:t>
        </m:r>
        <m:r>
          <m:t>1.6</m:t>
        </m:r>
      </m:oMath>
      <w:r>
        <w:t xml:space="preserve"> </w:t>
      </w:r>
      <w:r>
        <w:t xml:space="preserve">s.</w:t>
      </w:r>
    </w:p>
    <w:p>
      <w:pPr>
        <w:numPr>
          <w:ilvl w:val="0"/>
          <w:numId w:val="1548"/>
        </w:numPr>
        <w:pStyle w:val="Compact"/>
      </w:pPr>
      <w:r>
        <w:t xml:space="preserve">Worst case without backlog:</w:t>
      </w:r>
      <w:r>
        <w:t xml:space="preserve"> </w:t>
      </w:r>
      <m:oMath>
        <m:r>
          <m:t>0.2</m:t>
        </m:r>
        <m:r>
          <m:rPr>
            <m:sty m:val="p"/>
          </m:rPr>
          <m:t>+</m:t>
        </m:r>
        <m:r>
          <m:t>0.3</m:t>
        </m:r>
        <m:r>
          <m:rPr>
            <m:sty m:val="p"/>
          </m:rPr>
          <m:t>+</m:t>
        </m:r>
        <m:r>
          <m:t>1</m:t>
        </m:r>
        <m:r>
          <m:rPr>
            <m:sty m:val="p"/>
          </m:rPr>
          <m:t>+</m:t>
        </m:r>
        <m:r>
          <m:t>0.1</m:t>
        </m:r>
        <m:r>
          <m:rPr>
            <m:sty m:val="p"/>
          </m:rPr>
          <m:t>+</m:t>
        </m:r>
        <m:r>
          <m:t>1</m:t>
        </m:r>
        <m:r>
          <m:rPr>
            <m:sty m:val="p"/>
          </m:rPr>
          <m:t>=</m:t>
        </m:r>
        <m:r>
          <m:t>2.6</m:t>
        </m:r>
      </m:oMath>
      <w:r>
        <w:t xml:space="preserve"> </w:t>
      </w:r>
      <w:r>
        <w:t xml:space="preserve">s.</w:t>
      </w:r>
    </w:p>
    <w:p>
      <w:pPr>
        <w:numPr>
          <w:ilvl w:val="0"/>
          <w:numId w:val="1548"/>
        </w:numPr>
        <w:pStyle w:val="Compact"/>
      </w:pPr>
      <w:r>
        <w:t xml:space="preserve">With</w:t>
      </w:r>
      <w:r>
        <w:t xml:space="preserve"> </w:t>
      </w:r>
      <m:oMath>
        <m:r>
          <m:t>I</m:t>
        </m:r>
        <m:r>
          <m:rPr>
            <m:sty m:val="p"/>
          </m:rPr>
          <m:t>=</m:t>
        </m:r>
        <m:r>
          <m:t>30</m:t>
        </m:r>
      </m:oMath>
      <w:r>
        <w:t xml:space="preserve"> </w:t>
      </w:r>
      <w:r>
        <w:t xml:space="preserve">s: mean</w:t>
      </w:r>
      <w:r>
        <w:t xml:space="preserve"> </w:t>
      </w:r>
      <m:oMath>
        <m:r>
          <m:t>1.1</m:t>
        </m:r>
        <m:r>
          <m:rPr>
            <m:sty m:val="p"/>
          </m:rPr>
          <m:t>+</m:t>
        </m:r>
        <m:r>
          <m:t>15</m:t>
        </m:r>
        <m:r>
          <m:rPr>
            <m:sty m:val="p"/>
          </m:rPr>
          <m:t>=</m:t>
        </m:r>
        <m:r>
          <m:t>16.1</m:t>
        </m:r>
      </m:oMath>
      <w:r>
        <w:t xml:space="preserve"> </w:t>
      </w:r>
      <w:r>
        <w:t xml:space="preserve">s, worst</w:t>
      </w:r>
      <w:r>
        <w:t xml:space="preserve"> </w:t>
      </w:r>
      <m:oMath>
        <m:r>
          <m:t>31.6</m:t>
        </m:r>
      </m:oMath>
      <w:r>
        <w:t xml:space="preserve"> </w:t>
      </w:r>
      <w:r>
        <w:t xml:space="preserve">s.</w:t>
      </w:r>
    </w:p>
    <w:p>
      <w:pPr>
        <w:numPr>
          <w:ilvl w:val="0"/>
          <w:numId w:val="1548"/>
        </w:numPr>
        <w:pStyle w:val="Compact"/>
      </w:pPr>
      <w:r>
        <w:t xml:space="preserve">During a backlog of 600,000 events drained at 5,000 events/s:</w:t>
      </w:r>
      <w:r>
        <w:t xml:space="preserve"> </w:t>
      </w:r>
      <m:oMath>
        <m:sSub>
          <m:e>
            <m:r>
              <m:t>T</m:t>
            </m:r>
          </m:e>
          <m:sub>
            <m:r>
              <m:rPr>
                <m:nor/>
                <m:sty m:val="p"/>
              </m:rPr>
              <m:t>queue</m:t>
            </m:r>
          </m:sub>
        </m:sSub>
      </m:oMath>
      <w:r>
        <w:t xml:space="preserve"> </w:t>
      </w:r>
      <w:r>
        <w:t xml:space="preserve">grows by 120 s.</w:t>
      </w:r>
    </w:p>
    <w:p>
      <w:pPr>
        <w:pStyle w:val="CalloutExample"/>
      </w:pPr>
      <w:r>
        <w:rPr>
          <w:bCs/>
          <w:b/>
        </w:rPr>
        <w:t xml:space="preserve">Interpretation.</w:t>
      </w:r>
      <w:r>
        <w:t xml:space="preserve"> </w:t>
      </w:r>
      <w:r>
        <w:t xml:space="preserve">At default settings the pipeline, not Lucene, dominates freshness, and backlog dominates everything.</w:t>
      </w:r>
      <w:r>
        <w:t xml:space="preserve"> </w:t>
      </w:r>
      <w:r>
        <w:rPr>
          <w:bCs/>
          <w:b/>
        </w:rPr>
        <w:t xml:space="preserve">Engineering implication.</w:t>
      </w:r>
      <w:r>
        <w:t xml:space="preserve"> </w:t>
      </w:r>
      <w:r>
        <w:t xml:space="preserve">Publish freshness as a service-level objective (for example 99% of changes searchable within 5 s), measure it end to end by writing canary documents and timing when they become searchable, and alert on consumer lag.</w:t>
      </w:r>
    </w:p>
    <w:p>
      <w:pPr>
        <w:pStyle w:val="CalloutMistake"/>
      </w:pPr>
      <w:r>
        <w:rPr>
          <w:bCs/>
          <w:b/>
        </w:rPr>
        <w:t xml:space="preserve">COMMON MISTAKE</w:t>
      </w:r>
    </w:p>
    <w:p>
      <w:pPr>
        <w:pStyle w:val="CalloutMistake"/>
      </w:pPr>
      <w:r>
        <w:rPr>
          <w:bCs/>
          <w:b/>
        </w:rPr>
        <w:t xml:space="preserve">Mistake —</w:t>
      </w:r>
      <w:r>
        <w:rPr>
          <w:bCs/>
          <w:b/>
        </w:rPr>
        <w:t xml:space="preserve"> </w:t>
      </w:r>
      <w:r>
        <w:rPr>
          <w:bCs/>
          <w:b/>
        </w:rPr>
        <w:t xml:space="preserve">“</w:t>
      </w:r>
      <w:r>
        <w:rPr>
          <w:bCs/>
          <w:b/>
        </w:rPr>
        <w:t xml:space="preserve">Kafka gives us exactly-once, so the index is always consistent.</w:t>
      </w:r>
      <w:r>
        <w:rPr>
          <w:bCs/>
          <w:b/>
        </w:rPr>
        <w:t xml:space="preserve">”</w:t>
      </w:r>
      <w:r>
        <w:t xml:space="preserve"> </w:t>
      </w:r>
      <w:r>
        <w:t xml:space="preserve">Consumers see events at least once and may restart from older offsets; enrichment lookups may read newer data than the event. Make every index write idempotent with external versions, design documents to be fully rebuilt from current source state, and reconcile periodically by comparing counts or checksums between source and index.</w:t>
      </w:r>
    </w:p>
    <w:bookmarkEnd w:id="1888"/>
    <w:bookmarkEnd w:id="1889"/>
    <w:bookmarkStart w:id="1893" w:name="Xf053acd5e10f2f1fdc176f76617c331a7f63718"/>
    <w:p>
      <w:pPr>
        <w:pStyle w:val="Heading2"/>
      </w:pPr>
      <w:r>
        <w:t xml:space="preserve">16.11 Beyond lexical matching: a bridge to semantic and hybrid search</w:t>
      </w:r>
    </w:p>
    <w:p>
      <w:pPr>
        <w:pStyle w:val="FirstParagraph"/>
      </w:pPr>
      <w:r>
        <w:t xml:space="preserve">BM25 matches</w:t>
      </w:r>
      <w:r>
        <w:t xml:space="preserve"> </w:t>
      </w:r>
      <w:r>
        <w:rPr>
          <w:iCs/>
          <w:i/>
        </w:rPr>
        <w:t xml:space="preserve">words</w:t>
      </w:r>
      <w:r>
        <w:t xml:space="preserve">. It cannot know that</w:t>
      </w:r>
      <w:r>
        <w:t xml:space="preserve"> </w:t>
      </w:r>
      <w:r>
        <w:t xml:space="preserve">“</w:t>
      </w:r>
      <w:r>
        <w:t xml:space="preserve">ANC earbuds</w:t>
      </w:r>
      <w:r>
        <w:t xml:space="preserve">”</w:t>
      </w:r>
      <w:r>
        <w:t xml:space="preserve"> </w:t>
      </w:r>
      <w:r>
        <w:t xml:space="preserve">and</w:t>
      </w:r>
      <w:r>
        <w:t xml:space="preserve"> </w:t>
      </w:r>
      <w:r>
        <w:t xml:space="preserve">“</w:t>
      </w:r>
      <w:r>
        <w:t xml:space="preserve">noise cancelling in-ear headphones</w:t>
      </w:r>
      <w:r>
        <w:t xml:space="preserve">”</w:t>
      </w:r>
      <w:r>
        <w:t xml:space="preserve"> </w:t>
      </w:r>
      <w:r>
        <w:t xml:space="preserve">describe the same thing unless synonyms are configured by hand, and the listing in §16.5.4 ranked earbuds above headphones because it understands nothing.</w:t>
      </w:r>
      <w:r>
        <w:t xml:space="preserve"> </w:t>
      </w:r>
      <w:r>
        <w:rPr>
          <w:bCs/>
          <w:b/>
        </w:rPr>
        <w:t xml:space="preserve">Semantic (dense) retrieval</w:t>
      </w:r>
      <w:r>
        <w:t xml:space="preserve"> </w:t>
      </w:r>
      <w:r>
        <w:t xml:space="preserve">encodes queries and documents as embedding vectors with a neural model and retrieves nearest neighbors by cosine similarity (§4.9.2), using approximate nearest neighbor (ANN) indexes such as HNSW. It captures meaning but can miss exact identifiers (part numbers, error codes) that BM25 matches perfectly.</w:t>
      </w:r>
    </w:p>
    <w:p>
      <w:pPr>
        <w:pStyle w:val="BodyText"/>
      </w:pPr>
      <w:r>
        <w:rPr>
          <w:bCs/>
          <w:b/>
        </w:rPr>
        <w:t xml:space="preserve">Hybrid retrieval</w:t>
      </w:r>
      <w:r>
        <w:t xml:space="preserve"> </w:t>
      </w:r>
      <w:r>
        <w:t xml:space="preserve">runs both and fuses the lists. Because BM25 scores and cosine similarities live on different scales (§16.5 misconception), fusion usually uses ranks:</w:t>
      </w:r>
      <w:r>
        <w:t xml:space="preserve"> </w:t>
      </w:r>
      <w:r>
        <w:rPr>
          <w:bCs/>
          <w:b/>
        </w:rPr>
        <w:t xml:space="preserve">reciprocal rank fusion</w:t>
      </w:r>
      <w:r>
        <w:t xml:space="preserve"> </w:t>
      </w:r>
      <w:r>
        <w:t xml:space="preserve">adds</w:t>
      </w:r>
      <w:r>
        <w:t xml:space="preserve"> </w:t>
      </w:r>
      <m:oMath>
        <m:r>
          <m:t>1</m:t>
        </m:r>
        <m:r>
          <m:rPr>
            <m:sty m:val="p"/>
          </m:rPr>
          <m:t>/</m:t>
        </m:r>
        <m:d>
          <m:dPr>
            <m:begChr m:val="("/>
            <m:endChr m:val=")"/>
            <m:sepChr m:val=""/>
            <m:grow/>
          </m:dPr>
          <m:e>
            <m:r>
              <m:t>60</m:t>
            </m:r>
            <m:r>
              <m:rPr>
                <m:sty m:val="p"/>
              </m:rPr>
              <m:t>+</m:t>
            </m:r>
            <m:r>
              <m:rPr>
                <m:nor/>
                <m:sty m:val="p"/>
              </m:rPr>
              <m:t>rank</m:t>
            </m:r>
          </m:e>
        </m:d>
      </m:oMath>
      <w:r>
        <w:t xml:space="preserve"> </w:t>
      </w:r>
      <w:r>
        <w:t xml:space="preserve">from each list [Cormack et al. 2009]. A cross-encoder reranker may then reorder the top few dozen. Lucene, Elasticsearch and OpenSearch now include vector fields and ANN search alongside inverted indexes, so one cluster can serve both (as of 2025).</w:t>
      </w:r>
    </w:p>
    <w:p>
      <w:pPr>
        <w:pStyle w:val="BodyText"/>
      </w:pPr>
      <w:r>
        <w:rPr>
          <w:bCs/>
          <w:b/>
        </w:rPr>
        <w:t xml:space="preserve">Figure 16.13 — Hybrid retrieval (preview of Chapters 74–75).</w:t>
      </w:r>
    </w:p>
    <w:p>
      <w:pPr>
        <w:pStyle w:val="BodyText"/>
      </w:pPr>
      <w:r>
        <w:drawing>
          <wp:inline>
            <wp:extent cx="5334000" cy="682352"/>
            <wp:effectExtent b="0" l="0" r="0" t="0"/>
            <wp:docPr descr="" title="" id="1891" name="Picture"/>
            <a:graphic>
              <a:graphicData uri="http://schemas.openxmlformats.org/drawingml/2006/picture">
                <pic:pic>
                  <pic:nvPicPr>
                    <pic:cNvPr descr="/home/user/System-Design/build/.cache/diagrams/c0dc8e3268f5.png" id="1892" name="Picture"/>
                    <pic:cNvPicPr>
                      <a:picLocks noChangeArrowheads="1" noChangeAspect="1"/>
                    </pic:cNvPicPr>
                  </pic:nvPicPr>
                  <pic:blipFill>
                    <a:blip r:embed="rId1890"/>
                    <a:stretch>
                      <a:fillRect/>
                    </a:stretch>
                  </pic:blipFill>
                  <pic:spPr bwMode="auto">
                    <a:xfrm>
                      <a:off x="0" y="0"/>
                      <a:ext cx="5334000" cy="682352"/>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query takes two synchronous paths in parallel: lexical retrieval over the inverted index of this chapter, and an embedding model followed by ANN search over a vector index. Each returns its top 100 candidates; rank fusion merges them without comparing raw scores, and an optional reranker spends expensive model inference on only the top 50. The two indexes are separate storage boundaries that must be kept in step by the same indexing pipeline (§16.10.2), with embeddings computed at indexing time. Failure points: the embedding model adds latency and a GPU or CPU dependency on the query path; if it fails, falling back to BM25 alone keeps search available. Chapter 74 covers vector indexes and Chapter 75 covers hybrid retrieval, fusion and reranking in depth.</w:t>
      </w:r>
    </w:p>
    <w:bookmarkEnd w:id="1893"/>
    <w:bookmarkStart w:id="1894" w:name="summary-and-revision-notes-15"/>
    <w:p>
      <w:pPr>
        <w:pStyle w:val="Heading2"/>
      </w:pPr>
      <w:r>
        <w:t xml:space="preserve">16.12 Summary and revision notes</w:t>
      </w:r>
    </w:p>
    <w:p>
      <w:pPr>
        <w:pStyle w:val="CalloutSummary"/>
      </w:pPr>
      <w:r>
        <w:rPr>
          <w:bCs/>
          <w:b/>
        </w:rPr>
        <w:t xml:space="preserve">SUMMARY</w:t>
      </w:r>
    </w:p>
    <w:p>
      <w:pPr>
        <w:numPr>
          <w:ilvl w:val="0"/>
          <w:numId w:val="1549"/>
        </w:numPr>
        <w:pStyle w:val="Compact"/>
      </w:pPr>
      <w:r>
        <w:t xml:space="preserve">An</w:t>
      </w:r>
      <w:r>
        <w:t xml:space="preserve"> </w:t>
      </w:r>
      <w:r>
        <w:rPr>
          <w:bCs/>
          <w:b/>
        </w:rPr>
        <w:t xml:space="preserve">inverted index</w:t>
      </w:r>
      <w:r>
        <w:t xml:space="preserve"> </w:t>
      </w:r>
      <w:r>
        <w:t xml:space="preserve">maps each term to a sorted postings list of docIDs (with tf and positions). AND is intersection, OR is union, phrases check positions; evaluate the rarest term first.</w:t>
      </w:r>
      <w:r>
        <w:t xml:space="preserve"> </w:t>
      </w:r>
      <w:r>
        <w:rPr>
          <w:bCs/>
          <w:b/>
        </w:rPr>
        <w:t xml:space="preserve">Skip pointers</w:t>
      </w:r>
      <w:r>
        <w:t xml:space="preserve"> </w:t>
      </w:r>
      <w:r>
        <w:t xml:space="preserve">(</w:t>
      </w:r>
      <w:r>
        <w:rPr>
          <w:rStyle w:val="VerbatimChar"/>
        </w:rPr>
        <w:t xml:space="preserve">advance(target)</w:t>
      </w:r>
      <w:r>
        <w:t xml:space="preserve">) let a short list drive a long one; spacing near</w:t>
      </w:r>
      <w:r>
        <w:t xml:space="preserve"> </w:t>
      </w:r>
      <m:oMath>
        <m:rad>
          <m:radPr>
            <m:degHide m:val="on"/>
          </m:radPr>
          <m:deg/>
          <m:e>
            <m:r>
              <m:t>2</m:t>
            </m:r>
            <m:r>
              <m:t>L</m:t>
            </m:r>
            <m:r>
              <m:rPr>
                <m:sty m:val="p"/>
              </m:rPr>
              <m:t>/</m:t>
            </m:r>
            <m:r>
              <m:t>m</m:t>
            </m:r>
          </m:e>
        </m:rad>
      </m:oMath>
      <w:r>
        <w:t xml:space="preserve"> </w:t>
      </w:r>
      <w:r>
        <w:t xml:space="preserve">beats the</w:t>
      </w:r>
      <w:r>
        <w:t xml:space="preserve"> </w:t>
      </w:r>
      <m:oMath>
        <m:rad>
          <m:radPr>
            <m:degHide m:val="on"/>
          </m:radPr>
          <m:deg/>
          <m:e>
            <m:r>
              <m:t>L</m:t>
            </m:r>
          </m:e>
        </m:rad>
      </m:oMath>
      <w:r>
        <w:t xml:space="preserve"> </w:t>
      </w:r>
      <w:r>
        <w:t xml:space="preserve">heuristic for unequal lists.</w:t>
      </w:r>
    </w:p>
    <w:p>
      <w:pPr>
        <w:numPr>
          <w:ilvl w:val="0"/>
          <w:numId w:val="1549"/>
        </w:numPr>
        <w:pStyle w:val="Compact"/>
      </w:pPr>
      <w:r>
        <w:rPr>
          <w:bCs/>
          <w:b/>
        </w:rPr>
        <w:t xml:space="preserve">Compression:</w:t>
      </w:r>
      <w:r>
        <w:t xml:space="preserve"> </w:t>
      </w:r>
      <w:r>
        <w:t xml:space="preserve">delta-encode docIDs, then VByte (7 bits per byte) or block bit-packing (Lucene: blocks of 128). Measured ≈ 1.4 bytes per docID posting. Index size</w:t>
      </w:r>
      <w:r>
        <w:t xml:space="preserve"> </w:t>
      </w:r>
      <m:oMath>
        <m:r>
          <m:rPr>
            <m:sty m:val="p"/>
          </m:rPr>
          <m:t>≈</m:t>
        </m:r>
        <m:r>
          <m:t>N</m:t>
        </m:r>
        <m:r>
          <m:t>u</m:t>
        </m:r>
        <m:d>
          <m:dPr>
            <m:begChr m:val="("/>
            <m:endChr m:val=")"/>
            <m:sepChr m:val=""/>
            <m:grow/>
          </m:dPr>
          <m:e>
            <m:sSub>
              <m:e>
                <m:r>
                  <m:t>b</m:t>
                </m:r>
              </m:e>
              <m:sub>
                <m:r>
                  <m:t>d</m:t>
                </m:r>
              </m:sub>
            </m:sSub>
            <m:r>
              <m:rPr>
                <m:sty m:val="p"/>
              </m:rPr>
              <m:t>+</m:t>
            </m:r>
            <m:sSub>
              <m:e>
                <m:r>
                  <m:t>b</m:t>
                </m:r>
              </m:e>
              <m:sub>
                <m:r>
                  <m:t>f</m:t>
                </m:r>
              </m:sub>
            </m:sSub>
          </m:e>
        </m:d>
        <m:r>
          <m:rPr>
            <m:sty m:val="p"/>
          </m:rPr>
          <m:t>+</m:t>
        </m:r>
        <m:r>
          <m:t>N</m:t>
        </m:r>
        <m:r>
          <m:t>L</m:t>
        </m:r>
        <m:sSub>
          <m:e>
            <m:r>
              <m:t>b</m:t>
            </m:r>
          </m:e>
          <m:sub>
            <m:r>
              <m:t>p</m:t>
            </m:r>
          </m:sub>
        </m:sSub>
        <m:r>
          <m:rPr>
            <m:sty m:val="p"/>
          </m:rPr>
          <m:t>+</m:t>
        </m:r>
        <m:r>
          <m:t>M</m:t>
        </m:r>
        <m:sSub>
          <m:e>
            <m:r>
              <m:t>b</m:t>
            </m:r>
          </m:e>
          <m:sub>
            <m:r>
              <m:t>t</m:t>
            </m:r>
          </m:sub>
        </m:sSub>
      </m:oMath>
      <w:r>
        <w:t xml:space="preserve">; positions often cost more than docIDs; budget again as much for</w:t>
      </w:r>
      <w:r>
        <w:t xml:space="preserve"> </w:t>
      </w:r>
      <w:r>
        <w:rPr>
          <w:rStyle w:val="VerbatimChar"/>
        </w:rPr>
        <w:t xml:space="preserve">_source</w:t>
      </w:r>
      <w:r>
        <w:t xml:space="preserve">, doc values and norms, then multiply by replicas.</w:t>
      </w:r>
    </w:p>
    <w:p>
      <w:pPr>
        <w:numPr>
          <w:ilvl w:val="0"/>
          <w:numId w:val="1549"/>
        </w:numPr>
        <w:pStyle w:val="Compact"/>
      </w:pPr>
      <w:r>
        <w:rPr>
          <w:bCs/>
          <w:b/>
        </w:rPr>
        <w:t xml:space="preserve">Analysis</w:t>
      </w:r>
      <w:r>
        <w:t xml:space="preserve"> </w:t>
      </w:r>
      <w:r>
        <w:t xml:space="preserve">(char filters → tokenizer → token filters) must match at index and query time. Stemming raises recall and risks precision; lemmatization is more precise and costlier; keep stop words but preserve positions; n-grams enable substring and prefix search at large size cost; apply synonyms at query time; analyze each language in its own field.</w:t>
      </w:r>
    </w:p>
    <w:p>
      <w:pPr>
        <w:numPr>
          <w:ilvl w:val="0"/>
          <w:numId w:val="1549"/>
        </w:numPr>
        <w:pStyle w:val="Compact"/>
      </w:pPr>
      <w:r>
        <w:rPr>
          <w:bCs/>
          <w:b/>
        </w:rPr>
        <w:t xml:space="preserve">BM25:</w:t>
      </w:r>
      <w:r>
        <w:t xml:space="preserve"> </w:t>
      </w:r>
      <m:oMath>
        <m:r>
          <m:rPr>
            <m:nor/>
            <m:sty m:val="p"/>
          </m:rPr>
          <m:t>IDF</m:t>
        </m:r>
        <m:r>
          <m:rPr>
            <m:sty m:val="p"/>
          </m:rPr>
          <m:t>=</m:t>
        </m:r>
        <m:r>
          <m:rPr>
            <m:sty m:val="p"/>
          </m:rPr>
          <m:t>ln</m:t>
        </m:r>
        <m:d>
          <m:dPr>
            <m:begChr m:val="("/>
            <m:endChr m:val=")"/>
            <m:sepChr m:val=""/>
            <m:grow/>
          </m:dPr>
          <m:e>
            <m:r>
              <m:t>1</m:t>
            </m:r>
            <m:r>
              <m:rPr>
                <m:sty m:val="p"/>
              </m:rPr>
              <m:t>+</m:t>
            </m:r>
            <m:d>
              <m:dPr>
                <m:begChr m:val="("/>
                <m:endChr m:val=")"/>
                <m:sepChr m:val=""/>
                <m:grow/>
              </m:dPr>
              <m:e>
                <m:r>
                  <m:t>N</m:t>
                </m:r>
                <m:r>
                  <m:rPr>
                    <m:sty m:val="p"/>
                  </m:rPr>
                  <m:t>−</m:t>
                </m:r>
                <m:r>
                  <m:t>n</m:t>
                </m:r>
                <m:r>
                  <m:rPr>
                    <m:sty m:val="p"/>
                  </m:rPr>
                  <m:t>+</m:t>
                </m:r>
                <m:r>
                  <m:t>0.5</m:t>
                </m:r>
              </m:e>
            </m:d>
            <m:r>
              <m:rPr>
                <m:sty m:val="p"/>
              </m:rPr>
              <m:t>/</m:t>
            </m:r>
            <m:d>
              <m:dPr>
                <m:begChr m:val="("/>
                <m:endChr m:val=")"/>
                <m:sepChr m:val=""/>
                <m:grow/>
              </m:dPr>
              <m:e>
                <m:r>
                  <m:t>n</m:t>
                </m:r>
                <m:r>
                  <m:rPr>
                    <m:sty m:val="p"/>
                  </m:rPr>
                  <m:t>+</m:t>
                </m:r>
                <m:r>
                  <m:t>0.5</m:t>
                </m:r>
              </m:e>
            </m:d>
          </m:e>
        </m:d>
      </m:oMath>
      <w:r>
        <w:t xml:space="preserve">; tf saturates at</w:t>
      </w:r>
      <w:r>
        <w:t xml:space="preserve"> </w:t>
      </w:r>
      <m:oMath>
        <m:sSub>
          <m:e>
            <m:r>
              <m:t>k</m:t>
            </m:r>
          </m:e>
          <m:sub>
            <m:r>
              <m:t>1</m:t>
            </m:r>
          </m:sub>
        </m:sSub>
        <m:r>
          <m:rPr>
            <m:sty m:val="p"/>
          </m:rPr>
          <m:t>+</m:t>
        </m:r>
        <m:r>
          <m:t>1</m:t>
        </m:r>
      </m:oMath>
      <w:r>
        <w:t xml:space="preserve"> </w:t>
      </w:r>
      <w:r>
        <w:t xml:space="preserve">(</w:t>
      </w:r>
      <m:oMath>
        <m:sSub>
          <m:e>
            <m:r>
              <m:t>k</m:t>
            </m:r>
          </m:e>
          <m:sub>
            <m:r>
              <m:t>1</m:t>
            </m:r>
          </m:sub>
        </m:sSub>
        <m:r>
          <m:rPr>
            <m:sty m:val="p"/>
          </m:rPr>
          <m:t>=</m:t>
        </m:r>
        <m:r>
          <m:t>1.2</m:t>
        </m:r>
      </m:oMath>
      <w:r>
        <w:t xml:space="preserve">); length normalization via</w:t>
      </w:r>
      <w:r>
        <w:t xml:space="preserve"> </w:t>
      </w:r>
      <m:oMath>
        <m:r>
          <m:t>b</m:t>
        </m:r>
        <m:r>
          <m:rPr>
            <m:sty m:val="p"/>
          </m:rPr>
          <m:t>=</m:t>
        </m:r>
        <m:r>
          <m:t>0.75</m:t>
        </m:r>
      </m:oMath>
      <w:r>
        <w:t xml:space="preserve">. Scores are comparable only within one query. Field boosts or BM25F add structure; WAND and Block-Max WAND skip blocks that cannot reach the top</w:t>
      </w:r>
      <w:r>
        <w:t xml:space="preserve"> </w:t>
      </w:r>
      <w:r>
        <w:rPr>
          <w:iCs/>
          <w:i/>
        </w:rPr>
        <w:t xml:space="preserve">k</w:t>
      </w:r>
      <w:r>
        <w:t xml:space="preserve">.</w:t>
      </w:r>
    </w:p>
    <w:p>
      <w:pPr>
        <w:numPr>
          <w:ilvl w:val="0"/>
          <w:numId w:val="1549"/>
        </w:numPr>
        <w:pStyle w:val="Compact"/>
      </w:pPr>
      <w:r>
        <w:rPr>
          <w:bCs/>
          <w:b/>
        </w:rPr>
        <w:t xml:space="preserve">Segments</w:t>
      </w:r>
      <w:r>
        <w:t xml:space="preserve"> </w:t>
      </w:r>
      <w:r>
        <w:t xml:space="preserve">are immutable; refresh makes them searchable, commit makes them durable; deletes are live-docs tombstones; updates are delete + add; tiered merging rewrites each byte about</w:t>
      </w:r>
      <w:r>
        <w:t xml:space="preserve"> </w:t>
      </w:r>
      <m:oMath>
        <m:r>
          <m:t>1</m:t>
        </m:r>
        <m:r>
          <m:rPr>
            <m:sty m:val="p"/>
          </m:rPr>
          <m:t>+</m:t>
        </m:r>
        <m:sSub>
          <m:e>
            <m:r>
              <m:rPr>
                <m:sty m:val="p"/>
              </m:rPr>
              <m:t>log</m:t>
            </m:r>
          </m:e>
          <m:sub>
            <m:r>
              <m:t>m</m:t>
            </m:r>
          </m:sub>
        </m:sSub>
        <m:d>
          <m:dPr>
            <m:begChr m:val="("/>
            <m:endChr m:val=")"/>
            <m:sepChr m:val=""/>
            <m:grow/>
          </m:dPr>
          <m:e>
            <m:sSub>
              <m:e>
                <m:r>
                  <m:t>S</m:t>
                </m:r>
              </m:e>
              <m:sub>
                <m:r>
                  <m:rPr>
                    <m:sty m:val="p"/>
                  </m:rPr>
                  <m:t>max</m:t>
                </m:r>
              </m:sub>
            </m:sSub>
            <m:r>
              <m:rPr>
                <m:sty m:val="p"/>
              </m:rPr>
              <m:t>/</m:t>
            </m:r>
            <m:sSub>
              <m:e>
                <m:r>
                  <m:t>S</m:t>
                </m:r>
              </m:e>
              <m:sub>
                <m:r>
                  <m:rPr>
                    <m:nor/>
                    <m:sty m:val="p"/>
                  </m:rPr>
                  <m:t>flush</m:t>
                </m:r>
              </m:sub>
            </m:sSub>
          </m:e>
        </m:d>
      </m:oMath>
      <w:r>
        <w:t xml:space="preserve"> </w:t>
      </w:r>
      <w:r>
        <w:t xml:space="preserve">times.</w:t>
      </w:r>
    </w:p>
    <w:p>
      <w:pPr>
        <w:numPr>
          <w:ilvl w:val="0"/>
          <w:numId w:val="1549"/>
        </w:numPr>
        <w:pStyle w:val="Compact"/>
      </w:pPr>
      <w:r>
        <w:rPr>
          <w:bCs/>
          <w:b/>
        </w:rPr>
        <w:t xml:space="preserve">Distributed search</w:t>
      </w:r>
      <w:r>
        <w:t xml:space="preserve"> </w:t>
      </w:r>
      <w:r>
        <w:t xml:space="preserve">uses document partitioning, replicas for availability and throughput, scatter–gather (</w:t>
      </w:r>
      <m:oMath>
        <m:r>
          <m:t>P</m:t>
        </m:r>
        <m:r>
          <m:rPr>
            <m:sty m:val="p"/>
          </m:rPr>
          <m:t>=</m:t>
        </m:r>
        <m:sSup>
          <m:e>
            <m:r>
              <m:t>p</m:t>
            </m:r>
          </m:e>
          <m:sup>
            <m:r>
              <m:t>S</m:t>
            </m:r>
          </m:sup>
        </m:sSup>
      </m:oMath>
      <w:r>
        <w:t xml:space="preserve">, so use few shards and tail-tolerant techniques), query-then-fetch, bounded pagination (</w:t>
      </w:r>
      <m:oMath>
        <m:r>
          <m:t>S</m:t>
        </m:r>
        <m:d>
          <m:dPr>
            <m:begChr m:val="("/>
            <m:endChr m:val=")"/>
            <m:sepChr m:val=""/>
            <m:grow/>
          </m:dPr>
          <m:e>
            <m:r>
              <m:rPr>
                <m:nor/>
                <m:sty m:val="i"/>
              </m:rPr>
              <m:t>from</m:t>
            </m:r>
            <m:r>
              <m:rPr>
                <m:sty m:val="p"/>
              </m:rPr>
              <m:t>+</m:t>
            </m:r>
            <m:r>
              <m:rPr>
                <m:nor/>
                <m:sty m:val="i"/>
              </m:rPr>
              <m:t>size</m:t>
            </m:r>
          </m:e>
        </m:d>
      </m:oMath>
      <w:r>
        <w:t xml:space="preserve">), and local IDF unless</w:t>
      </w:r>
      <w:r>
        <w:t xml:space="preserve"> </w:t>
      </w:r>
      <w:r>
        <w:rPr>
          <w:rStyle w:val="VerbatimChar"/>
        </w:rPr>
        <w:t xml:space="preserve">dfs_query_then_fetch</w:t>
      </w:r>
      <w:r>
        <w:t xml:space="preserve"> </w:t>
      </w:r>
      <w:r>
        <w:t xml:space="preserve">is used.</w:t>
      </w:r>
    </w:p>
    <w:p>
      <w:pPr>
        <w:numPr>
          <w:ilvl w:val="0"/>
          <w:numId w:val="1549"/>
        </w:numPr>
        <w:pStyle w:val="Compact"/>
      </w:pPr>
      <w:r>
        <w:rPr>
          <w:bCs/>
          <w:b/>
        </w:rPr>
        <w:t xml:space="preserve">Elasticsearch/OpenSearch:</w:t>
      </w:r>
      <w:r>
        <w:t xml:space="preserve"> </w:t>
      </w:r>
      <w:r>
        <w:t xml:space="preserve">master-eligible, data, ingest and coordinating roles; shard = hash(routing) mod primaries; shards of about 10–50 GB; primary–backup replication with a fsynced translog; refresh every 1 s gives near-real-time visibility.</w:t>
      </w:r>
    </w:p>
    <w:p>
      <w:pPr>
        <w:numPr>
          <w:ilvl w:val="0"/>
          <w:numId w:val="1549"/>
        </w:numPr>
        <w:pStyle w:val="Compact"/>
      </w:pPr>
      <w:r>
        <w:rPr>
          <w:bCs/>
          <w:b/>
        </w:rPr>
        <w:t xml:space="preserve">Autocomplete</w:t>
      </w:r>
      <w:r>
        <w:t xml:space="preserve"> </w:t>
      </w:r>
      <w:r>
        <w:t xml:space="preserve">must fit ≈ 100 ms end to end: precompute top-</w:t>
      </w:r>
      <w:r>
        <w:rPr>
          <w:iCs/>
          <w:i/>
        </w:rPr>
        <w:t xml:space="preserve">k</w:t>
      </w:r>
      <w:r>
        <w:t xml:space="preserve"> </w:t>
      </w:r>
      <w:r>
        <w:t xml:space="preserve">per prefix in a trie or FST, serve from memory, cache short prefixes, rebuild offline from query logs with decay and blocklists.</w:t>
      </w:r>
    </w:p>
    <w:p>
      <w:pPr>
        <w:numPr>
          <w:ilvl w:val="0"/>
          <w:numId w:val="1549"/>
        </w:numPr>
        <w:pStyle w:val="Compact"/>
      </w:pPr>
      <w:r>
        <w:rPr>
          <w:bCs/>
          <w:b/>
        </w:rPr>
        <w:t xml:space="preserve">NRT pipeline:</w:t>
      </w:r>
      <w:r>
        <w:t xml:space="preserve"> </w:t>
      </w:r>
      <w:r>
        <w:t xml:space="preserve">CDC → Kafka (keyed by document ID) → indexer with external versions → alias; freshness ≈ CDC + lag + batch + index + refresh; reindex by replay into a new index and alias swap.</w:t>
      </w:r>
    </w:p>
    <w:bookmarkEnd w:id="1894"/>
    <w:bookmarkStart w:id="1895" w:name="knowledge-checkpoint-15"/>
    <w:p>
      <w:pPr>
        <w:pStyle w:val="Heading2"/>
      </w:pPr>
      <w:r>
        <w:t xml:space="preserve">16.13 Knowledge checkpoint</w:t>
      </w:r>
    </w:p>
    <w:p>
      <w:pPr>
        <w:numPr>
          <w:ilvl w:val="0"/>
          <w:numId w:val="1550"/>
        </w:numPr>
        <w:pStyle w:val="Compact"/>
      </w:pPr>
      <w:r>
        <w:t xml:space="preserve">Why can a B-tree index not answer</w:t>
      </w:r>
      <w:r>
        <w:t xml:space="preserve"> </w:t>
      </w:r>
      <w:r>
        <w:rPr>
          <w:rStyle w:val="VerbatimChar"/>
        </w:rPr>
        <w:t xml:space="preserve">LIKE '%noise%'</w:t>
      </w:r>
      <w:r>
        <w:t xml:space="preserve"> </w:t>
      </w:r>
      <w:r>
        <w:t xml:space="preserve">efficiently, and what does an inverted index store instead?</w:t>
      </w:r>
    </w:p>
    <w:p>
      <w:pPr>
        <w:numPr>
          <w:ilvl w:val="0"/>
          <w:numId w:val="1550"/>
        </w:numPr>
        <w:pStyle w:val="Compact"/>
      </w:pPr>
      <w:r>
        <w:t xml:space="preserve">Encode the postings list 3, 130, 131 with delta + VByte. How many bytes?</w:t>
      </w:r>
    </w:p>
    <w:p>
      <w:pPr>
        <w:numPr>
          <w:ilvl w:val="0"/>
          <w:numId w:val="1550"/>
        </w:numPr>
        <w:pStyle w:val="Compact"/>
      </w:pPr>
      <w:r>
        <w:t xml:space="preserve">When does a skip pointer help an intersection, and what spacing suits a 1,000-entry list driving a 1,000,000-entry list?</w:t>
      </w:r>
    </w:p>
    <w:p>
      <w:pPr>
        <w:numPr>
          <w:ilvl w:val="0"/>
          <w:numId w:val="1550"/>
        </w:numPr>
        <w:pStyle w:val="Compact"/>
      </w:pPr>
      <w:r>
        <w:t xml:space="preserve">Give one risk each of stemming, stop-word removal and index-time synonyms.</w:t>
      </w:r>
    </w:p>
    <w:p>
      <w:pPr>
        <w:numPr>
          <w:ilvl w:val="0"/>
          <w:numId w:val="1550"/>
        </w:numPr>
        <w:pStyle w:val="Compact"/>
      </w:pPr>
      <w:r>
        <w:t xml:space="preserve">What happens if the query analyzer applies a stemmer that the index analyzer did not?</w:t>
      </w:r>
    </w:p>
    <w:p>
      <w:pPr>
        <w:numPr>
          <w:ilvl w:val="0"/>
          <w:numId w:val="1550"/>
        </w:numPr>
        <w:pStyle w:val="Compact"/>
      </w:pPr>
      <w:r>
        <w:t xml:space="preserve">Compute the BM25 IDF of a term in 1 of 8 documents.</w:t>
      </w:r>
    </w:p>
    <w:p>
      <w:pPr>
        <w:numPr>
          <w:ilvl w:val="0"/>
          <w:numId w:val="1550"/>
        </w:numPr>
        <w:pStyle w:val="Compact"/>
      </w:pPr>
      <w:r>
        <w:t xml:space="preserve">What value does the BM25 term-frequency factor approach as tf grows, and why does that matter?</w:t>
      </w:r>
    </w:p>
    <w:p>
      <w:pPr>
        <w:numPr>
          <w:ilvl w:val="0"/>
          <w:numId w:val="1550"/>
        </w:numPr>
        <w:pStyle w:val="Compact"/>
      </w:pPr>
      <w:r>
        <w:t xml:space="preserve">Why is an update in Lucene more expensive than an insert?</w:t>
      </w:r>
    </w:p>
    <w:p>
      <w:pPr>
        <w:numPr>
          <w:ilvl w:val="0"/>
          <w:numId w:val="1550"/>
        </w:numPr>
        <w:pStyle w:val="Compact"/>
      </w:pPr>
      <w:r>
        <w:t xml:space="preserve">A cluster refreshes every 1 s with 1 MB flushes and a 5 GB segment cap, merge factor 10. Estimate write amplification.</w:t>
      </w:r>
    </w:p>
    <w:p>
      <w:pPr>
        <w:numPr>
          <w:ilvl w:val="0"/>
          <w:numId w:val="1550"/>
        </w:numPr>
        <w:pStyle w:val="Compact"/>
      </w:pPr>
      <w:r>
        <w:t xml:space="preserve">A query fans out to 50 shards whose p99 is 30 ms. What fraction of queries wait longer than 30 ms?</w:t>
      </w:r>
    </w:p>
    <w:p>
      <w:pPr>
        <w:numPr>
          <w:ilvl w:val="0"/>
          <w:numId w:val="1550"/>
        </w:numPr>
        <w:pStyle w:val="Compact"/>
      </w:pPr>
      <w:r>
        <w:t xml:space="preserve">Why does Elasticsearch limit</w:t>
      </w:r>
      <w:r>
        <w:t xml:space="preserve"> </w:t>
      </w:r>
      <w:r>
        <w:rPr>
          <w:rStyle w:val="VerbatimChar"/>
        </w:rPr>
        <w:t xml:space="preserve">from + size</w:t>
      </w:r>
      <w:r>
        <w:t xml:space="preserve"> </w:t>
      </w:r>
      <w:r>
        <w:t xml:space="preserve">to 10,000 by default?</w:t>
      </w:r>
    </w:p>
    <w:p>
      <w:pPr>
        <w:numPr>
          <w:ilvl w:val="0"/>
          <w:numId w:val="1550"/>
        </w:numPr>
        <w:pStyle w:val="Compact"/>
      </w:pPr>
      <w:r>
        <w:t xml:space="preserve">When does local IDF distort ranking, and what is the fix?</w:t>
      </w:r>
    </w:p>
    <w:p>
      <w:pPr>
        <w:numPr>
          <w:ilvl w:val="0"/>
          <w:numId w:val="1550"/>
        </w:numPr>
        <w:pStyle w:val="Compact"/>
      </w:pPr>
      <w:r>
        <w:t xml:space="preserve">Why is the number of primary shards fixed at index creation?</w:t>
      </w:r>
    </w:p>
    <w:p>
      <w:pPr>
        <w:numPr>
          <w:ilvl w:val="0"/>
          <w:numId w:val="1550"/>
        </w:numPr>
        <w:pStyle w:val="Compact"/>
      </w:pPr>
      <w:r>
        <w:t xml:space="preserve">Why is autocomplete precomputed rather than searched per keystroke?</w:t>
      </w:r>
    </w:p>
    <w:p>
      <w:pPr>
        <w:numPr>
          <w:ilvl w:val="0"/>
          <w:numId w:val="1550"/>
        </w:numPr>
        <w:pStyle w:val="Compact"/>
      </w:pPr>
      <w:r>
        <w:t xml:space="preserve">Name two ways the indexing pipeline stays correct under at-least-once delivery.</w:t>
      </w:r>
    </w:p>
    <w:p>
      <w:pPr>
        <w:pStyle w:val="FirstParagraph"/>
      </w:pPr>
      <w:r>
        <w:t xml:space="preserve">Answers</w:t>
      </w:r>
    </w:p>
    <w:p>
      <w:pPr>
        <w:numPr>
          <w:ilvl w:val="0"/>
          <w:numId w:val="1551"/>
        </w:numPr>
        <w:pStyle w:val="Compact"/>
      </w:pPr>
      <w:r>
        <w:t xml:space="preserve">A B-tree orders whole keys, so it helps only with equality or prefix predicates; an infix pattern forces a full scan. An inverted index stores term → sorted docIDs, so each word is a direct lookup.</w:t>
      </w:r>
    </w:p>
    <w:p>
      <w:pPr>
        <w:numPr>
          <w:ilvl w:val="0"/>
          <w:numId w:val="1551"/>
        </w:numPr>
        <w:pStyle w:val="Compact"/>
      </w:pPr>
      <w:r>
        <w:t xml:space="preserve">Gaps 3, 127, 1 → each fits in 7 bits → 3 bytes (</w:t>
      </w:r>
      <w:r>
        <w:rPr>
          <w:rStyle w:val="VerbatimChar"/>
        </w:rPr>
        <w:t xml:space="preserve">00000011 01111111 00000001</w:t>
      </w:r>
      <w:r>
        <w:t xml:space="preserve">), versus 12 bytes raw.</w:t>
      </w:r>
    </w:p>
    <w:p>
      <w:pPr>
        <w:numPr>
          <w:ilvl w:val="0"/>
          <w:numId w:val="1551"/>
        </w:numPr>
        <w:pStyle w:val="Compact"/>
      </w:pPr>
      <w:r>
        <w:t xml:space="preserve">When one list is much shorter, so many entries of the long list can be jumped.</w:t>
      </w:r>
      <w:r>
        <w:t xml:space="preserve"> </w:t>
      </w:r>
      <m:oMath>
        <m:rad>
          <m:radPr>
            <m:degHide m:val="on"/>
          </m:radPr>
          <m:deg/>
          <m:e>
            <m:r>
              <m:t>2</m:t>
            </m:r>
            <m:r>
              <m:rPr>
                <m:sty m:val="p"/>
              </m:rPr>
              <m:t>×</m:t>
            </m:r>
            <m:sSup>
              <m:e>
                <m:r>
                  <m:t>10</m:t>
                </m:r>
              </m:e>
              <m:sup>
                <m:r>
                  <m:t>6</m:t>
                </m:r>
              </m:sup>
            </m:sSup>
            <m:r>
              <m:rPr>
                <m:sty m:val="p"/>
              </m:rPr>
              <m:t>/</m:t>
            </m:r>
            <m:sSup>
              <m:e>
                <m:r>
                  <m:t>10</m:t>
                </m:r>
              </m:e>
              <m:sup>
                <m:r>
                  <m:t>3</m:t>
                </m:r>
              </m:sup>
            </m:sSup>
          </m:e>
        </m:rad>
        <m:r>
          <m:rPr>
            <m:sty m:val="p"/>
          </m:rPr>
          <m:t>≈</m:t>
        </m:r>
        <m:r>
          <m:t>45</m:t>
        </m:r>
      </m:oMath>
      <w:r>
        <w:t xml:space="preserve">.</w:t>
      </w:r>
    </w:p>
    <w:p>
      <w:pPr>
        <w:numPr>
          <w:ilvl w:val="0"/>
          <w:numId w:val="1551"/>
        </w:numPr>
        <w:pStyle w:val="Compact"/>
      </w:pPr>
      <w:r>
        <w:t xml:space="preserve">Stemming: conflates unrelated words (</w:t>
      </w:r>
      <w:r>
        <w:t xml:space="preserve">“</w:t>
      </w:r>
      <w:r>
        <w:t xml:space="preserve">universe</w:t>
      </w:r>
      <w:r>
        <w:t xml:space="preserve">”</w:t>
      </w:r>
      <w:r>
        <w:t xml:space="preserve">/</w:t>
      </w:r>
      <w:r>
        <w:t xml:space="preserve">“</w:t>
      </w:r>
      <w:r>
        <w:t xml:space="preserve">university</w:t>
      </w:r>
      <w:r>
        <w:t xml:space="preserve">”</w:t>
      </w:r>
      <w:r>
        <w:t xml:space="preserve">). Stop words: breaks queries like</w:t>
      </w:r>
      <w:r>
        <w:t xml:space="preserve"> </w:t>
      </w:r>
      <w:r>
        <w:t xml:space="preserve">“</w:t>
      </w:r>
      <w:r>
        <w:t xml:space="preserve">The Who</w:t>
      </w:r>
      <w:r>
        <w:t xml:space="preserve">”</w:t>
      </w:r>
      <w:r>
        <w:t xml:space="preserve">. Index-time synonyms: changes need a full reindex and inflate the index.</w:t>
      </w:r>
    </w:p>
    <w:p>
      <w:pPr>
        <w:numPr>
          <w:ilvl w:val="0"/>
          <w:numId w:val="1551"/>
        </w:numPr>
        <w:pStyle w:val="Compact"/>
      </w:pPr>
      <w:r>
        <w:t xml:space="preserve">Query terms are stems that were never indexed in that form, so matches silently disappear.</w:t>
      </w:r>
    </w:p>
    <w:p>
      <w:pPr>
        <w:numPr>
          <w:ilvl w:val="0"/>
          <w:numId w:val="1551"/>
        </w:numPr>
        <w:pStyle w:val="Compact"/>
      </w:pPr>
      <m:oMath>
        <m:r>
          <m:rPr>
            <m:sty m:val="p"/>
          </m:rPr>
          <m:t>ln</m:t>
        </m:r>
        <m:d>
          <m:dPr>
            <m:begChr m:val="("/>
            <m:endChr m:val=")"/>
            <m:sepChr m:val=""/>
            <m:grow/>
          </m:dPr>
          <m:e>
            <m:r>
              <m:t>1</m:t>
            </m:r>
            <m:r>
              <m:rPr>
                <m:sty m:val="p"/>
              </m:rPr>
              <m:t>+</m:t>
            </m:r>
            <m:r>
              <m:t>7.5</m:t>
            </m:r>
            <m:r>
              <m:rPr>
                <m:sty m:val="p"/>
              </m:rPr>
              <m:t>/</m:t>
            </m:r>
            <m:r>
              <m:t>1.5</m:t>
            </m:r>
          </m:e>
        </m:d>
        <m:r>
          <m:rPr>
            <m:sty m:val="p"/>
          </m:rPr>
          <m:t>=</m:t>
        </m:r>
        <m:r>
          <m:rPr>
            <m:sty m:val="p"/>
          </m:rPr>
          <m:t>ln</m:t>
        </m:r>
        <m:r>
          <m:t>6</m:t>
        </m:r>
        <m:r>
          <m:rPr>
            <m:sty m:val="p"/>
          </m:rPr>
          <m:t>=</m:t>
        </m:r>
        <m:r>
          <m:t>1.79</m:t>
        </m:r>
      </m:oMath>
      <w:r>
        <w:t xml:space="preserve">.</w:t>
      </w:r>
    </w:p>
    <w:p>
      <w:pPr>
        <w:numPr>
          <w:ilvl w:val="0"/>
          <w:numId w:val="1551"/>
        </w:numPr>
        <w:pStyle w:val="Compact"/>
      </w:pPr>
      <m:oMath>
        <m:sSub>
          <m:e>
            <m:r>
              <m:t>k</m:t>
            </m:r>
          </m:e>
          <m:sub>
            <m:r>
              <m:t>1</m:t>
            </m:r>
          </m:sub>
        </m:sSub>
        <m:r>
          <m:rPr>
            <m:sty m:val="p"/>
          </m:rPr>
          <m:t>+</m:t>
        </m:r>
        <m:r>
          <m:t>1</m:t>
        </m:r>
      </m:oMath>
      <w:r>
        <w:t xml:space="preserve"> </w:t>
      </w:r>
      <w:r>
        <w:t xml:space="preserve">(2.2 at default). It caps the benefit of repetition, defeating keyword stuffing.</w:t>
      </w:r>
    </w:p>
    <w:p>
      <w:pPr>
        <w:numPr>
          <w:ilvl w:val="0"/>
          <w:numId w:val="1551"/>
        </w:numPr>
        <w:pStyle w:val="Compact"/>
      </w:pPr>
      <w:r>
        <w:t xml:space="preserve">It is a delete (tombstone bit in the old segment) plus a full re-index of the new version into a new segment, and the dead copy occupies space until merged.</w:t>
      </w:r>
    </w:p>
    <w:p>
      <w:pPr>
        <w:numPr>
          <w:ilvl w:val="0"/>
          <w:numId w:val="1551"/>
        </w:numPr>
        <w:pStyle w:val="Compact"/>
      </w:pPr>
      <m:oMath>
        <m:r>
          <m:t>1</m:t>
        </m:r>
        <m:r>
          <m:rPr>
            <m:sty m:val="p"/>
          </m:rPr>
          <m:t>+</m:t>
        </m:r>
        <m:sSub>
          <m:e>
            <m:r>
              <m:rPr>
                <m:sty m:val="p"/>
              </m:rPr>
              <m:t>log</m:t>
            </m:r>
          </m:e>
          <m:sub>
            <m:r>
              <m:t>10</m:t>
            </m:r>
          </m:sub>
        </m:sSub>
        <m:d>
          <m:dPr>
            <m:begChr m:val="("/>
            <m:endChr m:val=")"/>
            <m:sepChr m:val=""/>
            <m:grow/>
          </m:dPr>
          <m:e>
            <m:r>
              <m:t>5</m:t>
            </m:r>
            <m:r>
              <m:rPr>
                <m:sty m:val="p"/>
              </m:rPr>
              <m:t>,</m:t>
            </m:r>
            <m:r>
              <m:t>000</m:t>
            </m:r>
            <m:r>
              <m:rPr>
                <m:sty m:val="p"/>
              </m:rPr>
              <m:t>/</m:t>
            </m:r>
            <m:r>
              <m:t>1</m:t>
            </m:r>
          </m:e>
        </m:d>
        <m:r>
          <m:rPr>
            <m:sty m:val="p"/>
          </m:rPr>
          <m:t>=</m:t>
        </m:r>
        <m:r>
          <m:t>1</m:t>
        </m:r>
        <m:r>
          <m:rPr>
            <m:sty m:val="p"/>
          </m:rPr>
          <m:t>+</m:t>
        </m:r>
        <m:r>
          <m:t>3.7</m:t>
        </m:r>
        <m:r>
          <m:rPr>
            <m:sty m:val="p"/>
          </m:rPr>
          <m:t>=</m:t>
        </m:r>
        <m:r>
          <m:t>4.7</m:t>
        </m:r>
      </m:oMath>
      <w:r>
        <w:t xml:space="preserve">.</w:t>
      </w:r>
    </w:p>
    <w:p>
      <w:pPr>
        <w:numPr>
          <w:ilvl w:val="0"/>
          <w:numId w:val="1551"/>
        </w:numPr>
        <w:pStyle w:val="Compact"/>
      </w:pPr>
      <m:oMath>
        <m:r>
          <m:t>1</m:t>
        </m:r>
        <m:r>
          <m:rPr>
            <m:sty m:val="p"/>
          </m:rPr>
          <m:t>−</m:t>
        </m:r>
        <m:sSup>
          <m:e>
            <m:r>
              <m:t>0.99</m:t>
            </m:r>
          </m:e>
          <m:sup>
            <m:r>
              <m:t>50</m:t>
            </m:r>
          </m:sup>
        </m:sSup>
        <m:r>
          <m:rPr>
            <m:sty m:val="p"/>
          </m:rPr>
          <m:t>=</m:t>
        </m:r>
        <m:r>
          <m:t>1</m:t>
        </m:r>
        <m:r>
          <m:rPr>
            <m:sty m:val="p"/>
          </m:rPr>
          <m:t>−</m:t>
        </m:r>
        <m:r>
          <m:t>0.605</m:t>
        </m:r>
        <m:r>
          <m:rPr>
            <m:sty m:val="p"/>
          </m:rPr>
          <m:t>=</m:t>
        </m:r>
        <m:r>
          <m:t>39.5</m:t>
        </m:r>
        <m:r>
          <m:rPr>
            <m:sty m:val="p"/>
          </m:rPr>
          <m:t>%</m:t>
        </m:r>
      </m:oMath>
      <w:r>
        <w:t xml:space="preserve">.</w:t>
      </w:r>
    </w:p>
    <w:p>
      <w:pPr>
        <w:numPr>
          <w:ilvl w:val="0"/>
          <w:numId w:val="1551"/>
        </w:numPr>
        <w:pStyle w:val="Compact"/>
      </w:pPr>
      <w:r>
        <w:t xml:space="preserve">Every shard must return and the coordinator must merge</w:t>
      </w:r>
      <w:r>
        <w:t xml:space="preserve"> </w:t>
      </w:r>
      <m:oMath>
        <m:r>
          <m:t>S</m:t>
        </m:r>
        <m:r>
          <m:rPr>
            <m:sty m:val="p"/>
          </m:rPr>
          <m:t>×</m:t>
        </m:r>
        <m:d>
          <m:dPr>
            <m:begChr m:val="("/>
            <m:endChr m:val=")"/>
            <m:sepChr m:val=""/>
            <m:grow/>
          </m:dPr>
          <m:e>
            <m:r>
              <m:rPr>
                <m:nor/>
                <m:sty m:val="i"/>
              </m:rPr>
              <m:t>from</m:t>
            </m:r>
            <m:r>
              <m:rPr>
                <m:sty m:val="p"/>
              </m:rPr>
              <m:t>+</m:t>
            </m:r>
            <m:r>
              <m:rPr>
                <m:nor/>
                <m:sty m:val="i"/>
              </m:rPr>
              <m:t>size</m:t>
            </m:r>
          </m:e>
        </m:d>
      </m:oMath>
      <w:r>
        <w:t xml:space="preserve"> </w:t>
      </w:r>
      <w:r>
        <w:t xml:space="preserve">entries; deep pages are expensive and can exhaust memory. Use</w:t>
      </w:r>
      <w:r>
        <w:t xml:space="preserve"> </w:t>
      </w:r>
      <w:r>
        <w:rPr>
          <w:rStyle w:val="VerbatimChar"/>
        </w:rPr>
        <w:t xml:space="preserve">search_after</w:t>
      </w:r>
      <w:r>
        <w:t xml:space="preserve"> </w:t>
      </w:r>
      <w:r>
        <w:t xml:space="preserve">instead.</w:t>
      </w:r>
    </w:p>
    <w:p>
      <w:pPr>
        <w:numPr>
          <w:ilvl w:val="0"/>
          <w:numId w:val="1551"/>
        </w:numPr>
        <w:pStyle w:val="Compact"/>
      </w:pPr>
      <w:r>
        <w:t xml:space="preserve">When a term’s documents are unevenly spread across shards (custom routing, small indexes); use</w:t>
      </w:r>
      <w:r>
        <w:t xml:space="preserve"> </w:t>
      </w:r>
      <w:r>
        <w:rPr>
          <w:rStyle w:val="VerbatimChar"/>
        </w:rPr>
        <w:t xml:space="preserve">dfs_query_then_fetch</w:t>
      </w:r>
      <w:r>
        <w:t xml:space="preserve"> </w:t>
      </w:r>
      <w:r>
        <w:t xml:space="preserve">or random routing.</w:t>
      </w:r>
    </w:p>
    <w:p>
      <w:pPr>
        <w:numPr>
          <w:ilvl w:val="0"/>
          <w:numId w:val="1551"/>
        </w:numPr>
        <w:pStyle w:val="Compact"/>
      </w:pPr>
      <w:r>
        <w:t xml:space="preserve">Routing computes hash(routing) mod number of primaries; changing it would move most documents. Split/shrink by integer factors or reindex.</w:t>
      </w:r>
    </w:p>
    <w:p>
      <w:pPr>
        <w:numPr>
          <w:ilvl w:val="0"/>
          <w:numId w:val="1551"/>
        </w:numPr>
        <w:pStyle w:val="Compact"/>
      </w:pPr>
      <w:r>
        <w:t xml:space="preserve">The budget is ≈ 100 ms end to end, request rate exceeds search rate, and answers for a prefix change slowly, so a memory lookup of a precomputed list is cheaper and faster.</w:t>
      </w:r>
    </w:p>
    <w:p>
      <w:pPr>
        <w:numPr>
          <w:ilvl w:val="0"/>
          <w:numId w:val="1551"/>
        </w:numPr>
        <w:pStyle w:val="Compact"/>
      </w:pPr>
      <w:r>
        <w:t xml:space="preserve">Key events by document ID for per-document ordering, and write with external versions so stale or replayed events are rejected; additionally reconcile periodically.</w:t>
      </w:r>
    </w:p>
    <w:bookmarkEnd w:id="1895"/>
    <w:bookmarkStart w:id="1899" w:name="interview-questions-15"/>
    <w:p>
      <w:pPr>
        <w:pStyle w:val="Heading2"/>
      </w:pPr>
      <w:r>
        <w:t xml:space="preserve">16.14 Interview questions</w:t>
      </w:r>
    </w:p>
    <w:bookmarkStart w:id="1896" w:name="basic-15"/>
    <w:p>
      <w:pPr>
        <w:pStyle w:val="Heading3"/>
      </w:pPr>
      <w:r>
        <w:t xml:space="preserve">Basic</w:t>
      </w:r>
    </w:p>
    <w:p>
      <w:pPr>
        <w:pStyle w:val="FirstParagraph"/>
      </w:pPr>
      <w:r>
        <w:rPr>
          <w:bCs/>
          <w:b/>
        </w:rPr>
        <w:t xml:space="preserve">Q1. Explain how a search engine finds documents containing two words.</w:t>
      </w:r>
    </w:p>
    <w:p>
      <w:pPr>
        <w:pStyle w:val="BodyText"/>
      </w:pPr>
      <w:r>
        <w:rPr>
          <w:bCs/>
          <w:b/>
        </w:rPr>
        <w:t xml:space="preserve">Answer.</w:t>
      </w:r>
      <w:r>
        <w:t xml:space="preserve"> </w:t>
      </w:r>
      <w:r>
        <w:t xml:space="preserve">Text is analyzed into terms, and an inverted index maps each term to a sorted postings list of docIDs. The query is analyzed the same way, both postings lists are fetched, and they are intersected by walking them in docID order, starting from the shorter list and using skip pointers to jump through the longer one. Matching docIDs are scored (BM25) and the top</w:t>
      </w:r>
      <w:r>
        <w:t xml:space="preserve"> </w:t>
      </w:r>
      <w:r>
        <w:rPr>
          <w:iCs/>
          <w:i/>
        </w:rPr>
        <w:t xml:space="preserve">k</w:t>
      </w:r>
      <w:r>
        <w:t xml:space="preserve"> </w:t>
      </w:r>
      <w:r>
        <w:t xml:space="preserve">are returned, with stored fields fetched only for those.</w:t>
      </w:r>
    </w:p>
    <w:p>
      <w:pPr>
        <w:pStyle w:val="BodyText"/>
      </w:pPr>
      <w:r>
        <w:rPr>
          <w:bCs/>
          <w:b/>
        </w:rPr>
        <w:t xml:space="preserve">Q2. What is BM25 and how does it improve on TF-IDF?</w:t>
      </w:r>
    </w:p>
    <w:p>
      <w:pPr>
        <w:pStyle w:val="BodyText"/>
      </w:pPr>
      <w:r>
        <w:rPr>
          <w:bCs/>
          <w:b/>
        </w:rPr>
        <w:t xml:space="preserve">Answer.</w:t>
      </w:r>
      <w:r>
        <w:t xml:space="preserve"> </w:t>
      </w:r>
      <w:r>
        <w:t xml:space="preserve">BM25 sums, over query terms, IDF times a term-frequency factor</w:t>
      </w:r>
      <w:r>
        <w:t xml:space="preserve"> </w:t>
      </w:r>
      <m:oMath>
        <m:r>
          <m:t>f</m:t>
        </m:r>
        <m:d>
          <m:dPr>
            <m:begChr m:val="("/>
            <m:endChr m:val=")"/>
            <m:sepChr m:val=""/>
            <m:grow/>
          </m:dPr>
          <m:e>
            <m:sSub>
              <m:e>
                <m:r>
                  <m:t>k</m:t>
                </m:r>
              </m:e>
              <m:sub>
                <m:r>
                  <m:t>1</m:t>
                </m:r>
              </m:sub>
            </m:sSub>
            <m:r>
              <m:rPr>
                <m:sty m:val="p"/>
              </m:rPr>
              <m:t>+</m:t>
            </m:r>
            <m:r>
              <m:t>1</m:t>
            </m:r>
          </m:e>
        </m:d>
        <m:r>
          <m:rPr>
            <m:sty m:val="p"/>
          </m:rPr>
          <m:t>/</m:t>
        </m:r>
        <m:d>
          <m:dPr>
            <m:begChr m:val="("/>
            <m:endChr m:val=")"/>
            <m:sepChr m:val=""/>
            <m:grow/>
          </m:dPr>
          <m:e>
            <m:r>
              <m:t>f</m:t>
            </m:r>
            <m:r>
              <m:rPr>
                <m:sty m:val="p"/>
              </m:rPr>
              <m:t>+</m:t>
            </m:r>
            <m:sSub>
              <m:e>
                <m:r>
                  <m:t>k</m:t>
                </m:r>
              </m:e>
              <m:sub>
                <m:r>
                  <m:t>1</m:t>
                </m:r>
              </m:sub>
            </m:sSub>
            <m:d>
              <m:dPr>
                <m:begChr m:val="("/>
                <m:endChr m:val=")"/>
                <m:sepChr m:val=""/>
                <m:grow/>
              </m:dPr>
              <m:e>
                <m:r>
                  <m:t>1</m:t>
                </m:r>
                <m:r>
                  <m:rPr>
                    <m:sty m:val="p"/>
                  </m:rPr>
                  <m:t>−</m:t>
                </m:r>
                <m:r>
                  <m:t>b</m:t>
                </m:r>
                <m:r>
                  <m:rPr>
                    <m:sty m:val="p"/>
                  </m:rPr>
                  <m:t>+</m:t>
                </m:r>
                <m:r>
                  <m:t>b</m:t>
                </m:r>
                <m:d>
                  <m:dPr>
                    <m:begChr m:val="|"/>
                    <m:endChr m:val="|"/>
                    <m:sepChr m:val=""/>
                    <m:grow/>
                  </m:dPr>
                  <m:e>
                    <m:r>
                      <m:t>d</m:t>
                    </m:r>
                  </m:e>
                </m:d>
                <m:r>
                  <m:rPr>
                    <m:sty m:val="p"/>
                  </m:rPr>
                  <m:t>/</m:t>
                </m:r>
                <m:r>
                  <m:rPr>
                    <m:nor/>
                    <m:sty m:val="p"/>
                  </m:rPr>
                  <m:t>avgdl</m:t>
                </m:r>
              </m:e>
            </m:d>
          </m:e>
        </m:d>
      </m:oMath>
      <w:r>
        <w:t xml:space="preserve">. Unlike raw TF-IDF, term frequency saturates (repetition has diminishing returns, bounded by</w:t>
      </w:r>
      <w:r>
        <w:t xml:space="preserve"> </w:t>
      </w:r>
      <m:oMath>
        <m:sSub>
          <m:e>
            <m:r>
              <m:t>k</m:t>
            </m:r>
          </m:e>
          <m:sub>
            <m:r>
              <m:t>1</m:t>
            </m:r>
          </m:sub>
        </m:sSub>
        <m:r>
          <m:rPr>
            <m:sty m:val="p"/>
          </m:rPr>
          <m:t>+</m:t>
        </m:r>
        <m:r>
          <m:t>1</m:t>
        </m:r>
      </m:oMath>
      <w:r>
        <w:t xml:space="preserve">), and document length is normalized against the average with strength</w:t>
      </w:r>
      <w:r>
        <w:t xml:space="preserve"> </w:t>
      </w:r>
      <m:oMath>
        <m:r>
          <m:t>b</m:t>
        </m:r>
      </m:oMath>
      <w:r>
        <w:t xml:space="preserve">. Defaults</w:t>
      </w:r>
      <w:r>
        <w:t xml:space="preserve"> </w:t>
      </w:r>
      <m:oMath>
        <m:sSub>
          <m:e>
            <m:r>
              <m:t>k</m:t>
            </m:r>
          </m:e>
          <m:sub>
            <m:r>
              <m:t>1</m:t>
            </m:r>
          </m:sub>
        </m:sSub>
        <m:r>
          <m:rPr>
            <m:sty m:val="p"/>
          </m:rPr>
          <m:t>=</m:t>
        </m:r>
        <m:r>
          <m:t>1.2</m:t>
        </m:r>
      </m:oMath>
      <w:r>
        <w:t xml:space="preserve">,</w:t>
      </w:r>
      <w:r>
        <w:t xml:space="preserve"> </w:t>
      </w:r>
      <m:oMath>
        <m:r>
          <m:t>b</m:t>
        </m:r>
        <m:r>
          <m:rPr>
            <m:sty m:val="p"/>
          </m:rPr>
          <m:t>=</m:t>
        </m:r>
        <m:r>
          <m:t>0.75</m:t>
        </m:r>
      </m:oMath>
      <w:r>
        <w:t xml:space="preserve"> </w:t>
      </w:r>
      <w:r>
        <w:t xml:space="preserve">work well and are tuned per field against a relevance set.</w:t>
      </w:r>
    </w:p>
    <w:bookmarkEnd w:id="1896"/>
    <w:bookmarkStart w:id="1897" w:name="intermediate-15"/>
    <w:p>
      <w:pPr>
        <w:pStyle w:val="Heading3"/>
      </w:pPr>
      <w:r>
        <w:t xml:space="preserve">Intermediate</w:t>
      </w:r>
    </w:p>
    <w:p>
      <w:pPr>
        <w:pStyle w:val="FirstParagraph"/>
      </w:pPr>
      <w:r>
        <w:rPr>
          <w:bCs/>
          <w:b/>
        </w:rPr>
        <w:t xml:space="preserve">Q3. Search results take up to 30 seconds to reflect product edits. Where do you look?</w:t>
      </w:r>
    </w:p>
    <w:p>
      <w:pPr>
        <w:pStyle w:val="BodyText"/>
      </w:pPr>
      <w:r>
        <w:rPr>
          <w:bCs/>
          <w:b/>
        </w:rPr>
        <w:t xml:space="preserve">Answer.</w:t>
      </w:r>
      <w:r>
        <w:t xml:space="preserve"> </w:t>
      </w:r>
      <w:r>
        <w:t xml:space="preserve">Decompose freshness into CDC lag, Kafka consumer lag, bulk batching, indexing time and refresh interval. Check whether the index has</w:t>
      </w:r>
      <w:r>
        <w:t xml:space="preserve"> </w:t>
      </w:r>
      <w:r>
        <w:rPr>
          <w:rStyle w:val="VerbatimChar"/>
        </w:rPr>
        <w:t xml:space="preserve">refresh_interval: 30s</w:t>
      </w:r>
      <w:r>
        <w:t xml:space="preserve"> </w:t>
      </w:r>
      <w:r>
        <w:t xml:space="preserve">(common copy-paste from logging setups) or is search-idle; check consumer lag and whether a hot partition or slow enrichment lookups throttle the indexer; check for bulk rejections and retries. Fix the dominant term, add an end-to-end canary freshness metric and alert on lag.</w:t>
      </w:r>
    </w:p>
    <w:p>
      <w:pPr>
        <w:pStyle w:val="BodyText"/>
      </w:pPr>
      <w:r>
        <w:rPr>
          <w:bCs/>
          <w:b/>
        </w:rPr>
        <w:t xml:space="preserve">Q4. How many shards would you give a 300 GB product index serving 3,000 queries per second?</w:t>
      </w:r>
    </w:p>
    <w:p>
      <w:pPr>
        <w:pStyle w:val="BodyText"/>
      </w:pPr>
      <w:r>
        <w:rPr>
          <w:bCs/>
          <w:b/>
        </w:rPr>
        <w:t xml:space="preserve">Answer.</w:t>
      </w:r>
      <w:r>
        <w:t xml:space="preserve"> </w:t>
      </w:r>
      <w:r>
        <w:t xml:space="preserve">Size shards by data first: with 10–50 GB guidance, 6–10 primaries (say 8 of about 37 GB). Then size copies for throughput: measure per-shard query cost, e.g. 5 ms CPU;</w:t>
      </w:r>
      <w:r>
        <w:t xml:space="preserve"> </w:t>
      </w:r>
      <m:oMath>
        <m:r>
          <m:t>3</m:t>
        </m:r>
        <m:r>
          <m:rPr>
            <m:sty m:val="p"/>
          </m:rPr>
          <m:t>,</m:t>
        </m:r>
        <m:r>
          <m:t>000</m:t>
        </m:r>
        <m:r>
          <m:rPr>
            <m:sty m:val="p"/>
          </m:rPr>
          <m:t>×</m:t>
        </m:r>
        <m:r>
          <m:t>8</m:t>
        </m:r>
        <m:r>
          <m:rPr>
            <m:sty m:val="p"/>
          </m:rPr>
          <m:t>×</m:t>
        </m:r>
        <m:r>
          <m:t>5</m:t>
        </m:r>
        <m:r>
          <m:t> </m:t>
        </m:r>
        <m:r>
          <m:rPr>
            <m:nor/>
            <m:sty m:val="p"/>
          </m:rPr>
          <m:t>ms</m:t>
        </m:r>
        <m:r>
          <m:rPr>
            <m:sty m:val="p"/>
          </m:rPr>
          <m:t>=</m:t>
        </m:r>
        <m:r>
          <m:t>120</m:t>
        </m:r>
      </m:oMath>
      <w:r>
        <w:t xml:space="preserve"> </w:t>
      </w:r>
      <w:r>
        <w:t xml:space="preserve">core-seconds/s, so 240 cores at 50% utilization, about 15 sixteen-core nodes, so 8 primaries with enough replicas (for example 2 replicas, 24 copies) spread across three zones. Avoid many small shards: fan-out raises tail latency as</w:t>
      </w:r>
      <w:r>
        <w:t xml:space="preserve"> </w:t>
      </w:r>
      <m:oMath>
        <m:sSup>
          <m:e>
            <m:r>
              <m:t>p</m:t>
            </m:r>
          </m:e>
          <m:sup>
            <m:r>
              <m:t>S</m:t>
            </m:r>
          </m:sup>
        </m:sSup>
      </m:oMath>
      <w:r>
        <w:t xml:space="preserve">. Validate with a load test.</w:t>
      </w:r>
    </w:p>
    <w:bookmarkEnd w:id="1897"/>
    <w:bookmarkStart w:id="1898" w:name="advanced-15"/>
    <w:p>
      <w:pPr>
        <w:pStyle w:val="Heading3"/>
      </w:pPr>
      <w:r>
        <w:t xml:space="preserve">Advanced</w:t>
      </w:r>
    </w:p>
    <w:p>
      <w:pPr>
        <w:pStyle w:val="FirstParagraph"/>
      </w:pPr>
      <w:r>
        <w:rPr>
          <w:bCs/>
          <w:b/>
        </w:rPr>
        <w:t xml:space="preserve">Q5. Design search for a multi-tenant SaaS with 50,000 tenants of very different sizes.</w:t>
      </w:r>
    </w:p>
    <w:p>
      <w:pPr>
        <w:pStyle w:val="BodyText"/>
      </w:pPr>
      <w:r>
        <w:rPr>
          <w:bCs/>
          <w:b/>
        </w:rPr>
        <w:t xml:space="preserve">Answer.</w:t>
      </w:r>
      <w:r>
        <w:t xml:space="preserve"> </w:t>
      </w:r>
      <w:r>
        <w:t xml:space="preserve">Shared indexes with tenant ID filters are efficient for small tenants; route by tenant ID so a tenant’s query hits one shard, using routing partitions (</w:t>
      </w:r>
      <w:r>
        <w:rPr>
          <w:rStyle w:val="VerbatimChar"/>
        </w:rPr>
        <w:t xml:space="preserve">routing_partition_size</w:t>
      </w:r>
      <w:r>
        <w:t xml:space="preserve">) so large tenants spread over several shards. Give the largest tenants dedicated indexes to isolate load and allow custom analyzers. Watch the local-IDF problem: per-tenant statistics differ, so test relevance per tenant or accept local statistics. Enforce tenant filters in the search API, never in the client; cap per-tenant request rates; and use aliases with filters per tenant for migrations between shared and dedicated indexes.</w:t>
      </w:r>
    </w:p>
    <w:p>
      <w:pPr>
        <w:pStyle w:val="BodyText"/>
      </w:pPr>
      <w:r>
        <w:rPr>
          <w:bCs/>
          <w:b/>
        </w:rPr>
        <w:t xml:space="preserve">Q6. Your 200-shard cluster’s p99 latency is 400 ms while median shard latency is 10 ms. Diagnose and fix.</w:t>
      </w:r>
    </w:p>
    <w:p>
      <w:pPr>
        <w:pStyle w:val="BodyText"/>
      </w:pPr>
      <w:r>
        <w:rPr>
          <w:bCs/>
          <w:b/>
        </w:rPr>
        <w:t xml:space="preserve">Answer.</w:t>
      </w:r>
      <w:r>
        <w:t xml:space="preserve"> </w:t>
      </w:r>
      <w:r>
        <w:t xml:space="preserve">Scatter–gather means each query waits for the slowest of 200 shards:</w:t>
      </w:r>
      <w:r>
        <w:t xml:space="preserve"> </w:t>
      </w:r>
      <m:oMath>
        <m:sSup>
          <m:e>
            <m:r>
              <m:t>0.99</m:t>
            </m:r>
          </m:e>
          <m:sup>
            <m:r>
              <m:t>200</m:t>
            </m:r>
          </m:sup>
        </m:sSup>
        <m:r>
          <m:rPr>
            <m:sty m:val="p"/>
          </m:rPr>
          <m:t>=</m:t>
        </m:r>
        <m:r>
          <m:t>13</m:t>
        </m:r>
        <m:r>
          <m:rPr>
            <m:sty m:val="p"/>
          </m:rPr>
          <m:t>%</m:t>
        </m:r>
      </m:oMath>
      <w:r>
        <w:t xml:space="preserve"> </w:t>
      </w:r>
      <w:r>
        <w:t xml:space="preserve">of queries are fully fast at the shard p99. Look for correlated stalls (GC pauses, merges, hot nodes, uneven shard placement) using per-node latency. Fixes in order: reduce shard count by merging small indexes (shrink API, larger shards); enable or tune adaptive replica selection and add replicas so slow copies are avoided; hedge requests after the shard p95; set per-shard timeouts with partial results; and move heavy aggregations to separate coordinating nodes.</w:t>
      </w:r>
    </w:p>
    <w:bookmarkEnd w:id="1898"/>
    <w:bookmarkEnd w:id="1899"/>
    <w:bookmarkStart w:id="1900" w:name="practical-exercises-15"/>
    <w:p>
      <w:pPr>
        <w:pStyle w:val="Heading2"/>
      </w:pPr>
      <w:r>
        <w:t xml:space="preserve">16.15 Practical exercises</w:t>
      </w:r>
    </w:p>
    <w:p>
      <w:pPr>
        <w:numPr>
          <w:ilvl w:val="0"/>
          <w:numId w:val="1552"/>
        </w:numPr>
        <w:pStyle w:val="Compact"/>
      </w:pPr>
      <w:r>
        <w:rPr>
          <w:bCs/>
          <w:b/>
        </w:rPr>
        <w:t xml:space="preserve">Extend the engine.</w:t>
      </w:r>
      <w:r>
        <w:t xml:space="preserve"> </w:t>
      </w:r>
      <w:r>
        <w:t xml:space="preserve">Add Boolean AND with skip-pointer intersection to the §16.5.4 listing, then add BM25F-style scoring (combine weighted tf across fields before saturation) and compare the ranking for</w:t>
      </w:r>
      <w:r>
        <w:t xml:space="preserve"> </w:t>
      </w:r>
      <w:r>
        <w:t xml:space="preserve">“</w:t>
      </w:r>
      <w:r>
        <w:t xml:space="preserve">wireless noise cancelling headphones</w:t>
      </w:r>
      <w:r>
        <w:t xml:space="preserve">”</w:t>
      </w:r>
      <w:r>
        <w:t xml:space="preserve">.</w:t>
      </w:r>
    </w:p>
    <w:p>
      <w:pPr>
        <w:numPr>
          <w:ilvl w:val="0"/>
          <w:numId w:val="1552"/>
        </w:numPr>
        <w:pStyle w:val="Compact"/>
      </w:pPr>
      <w:r>
        <w:rPr>
          <w:bCs/>
          <w:b/>
        </w:rPr>
        <w:t xml:space="preserve">Measure compression.</w:t>
      </w:r>
      <w:r>
        <w:t xml:space="preserve"> </w:t>
      </w:r>
      <w:r>
        <w:t xml:space="preserve">Change the Zipf exponent in the §16.3.4 listing to 0.8 and 1.2 and report bytes per posting; then implement frame-of-reference bit packing for blocks of 128 gaps and compare size and decoding time with VByte.</w:t>
      </w:r>
    </w:p>
    <w:p>
      <w:pPr>
        <w:numPr>
          <w:ilvl w:val="0"/>
          <w:numId w:val="1552"/>
        </w:numPr>
        <w:pStyle w:val="Compact"/>
      </w:pPr>
      <w:r>
        <w:rPr>
          <w:bCs/>
          <w:b/>
        </w:rPr>
        <w:t xml:space="preserve">Analyzer laboratory.</w:t>
      </w:r>
      <w:r>
        <w:t xml:space="preserve"> </w:t>
      </w:r>
      <w:r>
        <w:t xml:space="preserve">Run Elasticsearch or OpenSearch locally and use the</w:t>
      </w:r>
      <w:r>
        <w:t xml:space="preserve"> </w:t>
      </w:r>
      <w:r>
        <w:rPr>
          <w:rStyle w:val="VerbatimChar"/>
        </w:rPr>
        <w:t xml:space="preserve">_analyze</w:t>
      </w:r>
      <w:r>
        <w:t xml:space="preserve"> </w:t>
      </w:r>
      <w:r>
        <w:t xml:space="preserve">API to compare the standard, English and a custom analyzer on ten product titles containing hyphens, accents, model numbers and plurals.</w:t>
      </w:r>
    </w:p>
    <w:p>
      <w:pPr>
        <w:numPr>
          <w:ilvl w:val="0"/>
          <w:numId w:val="1552"/>
        </w:numPr>
        <w:pStyle w:val="Compact"/>
      </w:pPr>
      <w:r>
        <w:rPr>
          <w:bCs/>
          <w:b/>
        </w:rPr>
        <w:t xml:space="preserve">Refresh experiment.</w:t>
      </w:r>
      <w:r>
        <w:t xml:space="preserve"> </w:t>
      </w:r>
      <w:r>
        <w:t xml:space="preserve">Bulk-index one million synthetic documents with refresh intervals of 1 s, 30 s and disabled; record indexing throughput, segment counts over time and merge statistics, and compare with the write-amplification formula.</w:t>
      </w:r>
    </w:p>
    <w:p>
      <w:pPr>
        <w:numPr>
          <w:ilvl w:val="0"/>
          <w:numId w:val="1552"/>
        </w:numPr>
        <w:pStyle w:val="Compact"/>
      </w:pPr>
      <w:r>
        <w:rPr>
          <w:bCs/>
          <w:b/>
        </w:rPr>
        <w:t xml:space="preserve">Autocomplete from logs.</w:t>
      </w:r>
      <w:r>
        <w:t xml:space="preserve"> </w:t>
      </w:r>
      <w:r>
        <w:t xml:space="preserve">Feed a real or synthetic query log into the §16.9.2 trie with exponential time decay on counts and a blocklist; measure memory per million queries and lookup latency.</w:t>
      </w:r>
    </w:p>
    <w:bookmarkEnd w:id="1900"/>
    <w:bookmarkStart w:id="1901" w:name="design-challenges-15"/>
    <w:p>
      <w:pPr>
        <w:pStyle w:val="Heading2"/>
      </w:pPr>
      <w:r>
        <w:t xml:space="preserve">16.16 Design challenges</w:t>
      </w:r>
    </w:p>
    <w:p>
      <w:pPr>
        <w:numPr>
          <w:ilvl w:val="0"/>
          <w:numId w:val="1553"/>
        </w:numPr>
        <w:pStyle w:val="Compact"/>
      </w:pPr>
      <w:r>
        <w:rPr>
          <w:bCs/>
          <w:b/>
        </w:rPr>
        <w:t xml:space="preserve">Marketplace product search.</w:t>
      </w:r>
      <w:r>
        <w:t xml:space="preserve"> </w:t>
      </w:r>
      <w:r>
        <w:t xml:space="preserve">200 million listings, 20,000 searches/s peak, prices and stock updated 5,000 times/s, freshness SLO of 5 s for stock. Decide what goes in the text index versus a fast-changing side store, shard and replica counts, the CDC pipeline and how stock filters are applied without reindexing documents for every change.</w:t>
      </w:r>
    </w:p>
    <w:p>
      <w:pPr>
        <w:numPr>
          <w:ilvl w:val="0"/>
          <w:numId w:val="1553"/>
        </w:numPr>
        <w:pStyle w:val="Compact"/>
      </w:pPr>
      <w:r>
        <w:rPr>
          <w:bCs/>
          <w:b/>
        </w:rPr>
        <w:t xml:space="preserve">Log search.</w:t>
      </w:r>
      <w:r>
        <w:t xml:space="preserve"> </w:t>
      </w:r>
      <w:r>
        <w:t xml:space="preserve">2 TB/day of application logs, 30-day retention, most queries over the last hour. Design time-based indexes, rollover size, hot/warm tiers, refresh interval and force-merge policy, and compute the storage footprint with one replica.</w:t>
      </w:r>
    </w:p>
    <w:p>
      <w:pPr>
        <w:numPr>
          <w:ilvl w:val="0"/>
          <w:numId w:val="1553"/>
        </w:numPr>
        <w:pStyle w:val="Compact"/>
      </w:pPr>
      <w:r>
        <w:rPr>
          <w:bCs/>
          <w:b/>
        </w:rPr>
        <w:t xml:space="preserve">Global autocomplete.</w:t>
      </w:r>
      <w:r>
        <w:t xml:space="preserve"> </w:t>
      </w:r>
      <w:r>
        <w:t xml:space="preserve">300 million users in 40 languages, suggestions within 100 ms p99 worldwide, trending queries reflected within 15 minutes, unsafe suggestions filtered. Design the build pipeline, per-language tries or FSTs, edge caching and the rollback mechanism.</w:t>
      </w:r>
    </w:p>
    <w:bookmarkEnd w:id="1901"/>
    <w:bookmarkStart w:id="1902" w:name="references-15"/>
    <w:p>
      <w:pPr>
        <w:pStyle w:val="Heading2"/>
      </w:pPr>
      <w:r>
        <w:t xml:space="preserve">16.17 References</w:t>
      </w:r>
    </w:p>
    <w:p>
      <w:pPr>
        <w:numPr>
          <w:ilvl w:val="0"/>
          <w:numId w:val="1554"/>
        </w:numPr>
        <w:pStyle w:val="Compact"/>
      </w:pPr>
      <w:r>
        <w:t xml:space="preserve">Manning, C. D., Raghavan, P., Schütze, H.</w:t>
      </w:r>
      <w:r>
        <w:t xml:space="preserve"> </w:t>
      </w:r>
      <w:r>
        <w:rPr>
          <w:iCs/>
          <w:i/>
        </w:rPr>
        <w:t xml:space="preserve">Introduction to Information Retrieval</w:t>
      </w:r>
      <w:r>
        <w:t xml:space="preserve">. Cambridge University Press, 2008. https://nlp.stanford.edu/IR-book/</w:t>
      </w:r>
    </w:p>
    <w:p>
      <w:pPr>
        <w:numPr>
          <w:ilvl w:val="0"/>
          <w:numId w:val="1554"/>
        </w:numPr>
        <w:pStyle w:val="Compact"/>
      </w:pPr>
      <w:r>
        <w:t xml:space="preserve">Robertson, S., Zaragoza, H.</w:t>
      </w:r>
      <w:r>
        <w:t xml:space="preserve"> </w:t>
      </w:r>
      <w:r>
        <w:rPr>
          <w:iCs/>
          <w:i/>
        </w:rPr>
        <w:t xml:space="preserve">The Probabilistic Relevance Framework: BM25 and Beyond</w:t>
      </w:r>
      <w:r>
        <w:t xml:space="preserve">. Foundations and Trends in Information Retrieval 3(4), 2009.</w:t>
      </w:r>
    </w:p>
    <w:p>
      <w:pPr>
        <w:numPr>
          <w:ilvl w:val="0"/>
          <w:numId w:val="1554"/>
        </w:numPr>
        <w:pStyle w:val="Compact"/>
      </w:pPr>
      <w:r>
        <w:t xml:space="preserve">Zobel, J., Moffat, A.</w:t>
      </w:r>
      <w:r>
        <w:t xml:space="preserve"> </w:t>
      </w:r>
      <w:r>
        <w:rPr>
          <w:iCs/>
          <w:i/>
        </w:rPr>
        <w:t xml:space="preserve">Inverted Files for Text Search Engines</w:t>
      </w:r>
      <w:r>
        <w:t xml:space="preserve">. ACM Computing Surveys 38(2), 2006.</w:t>
      </w:r>
    </w:p>
    <w:p>
      <w:pPr>
        <w:numPr>
          <w:ilvl w:val="0"/>
          <w:numId w:val="1554"/>
        </w:numPr>
        <w:pStyle w:val="Compact"/>
      </w:pPr>
      <w:r>
        <w:t xml:space="preserve">Brin, S., Page, L.</w:t>
      </w:r>
      <w:r>
        <w:t xml:space="preserve"> </w:t>
      </w:r>
      <w:r>
        <w:rPr>
          <w:iCs/>
          <w:i/>
        </w:rPr>
        <w:t xml:space="preserve">The Anatomy of a Large-Scale Hypertextual Web Search Engine</w:t>
      </w:r>
      <w:r>
        <w:t xml:space="preserve">. Computer Networks and ISDN Systems 30(1–7), 1998.</w:t>
      </w:r>
    </w:p>
    <w:p>
      <w:pPr>
        <w:numPr>
          <w:ilvl w:val="0"/>
          <w:numId w:val="1554"/>
        </w:numPr>
        <w:pStyle w:val="Compact"/>
      </w:pPr>
      <w:r>
        <w:t xml:space="preserve">Spärck Jones, K.</w:t>
      </w:r>
      <w:r>
        <w:t xml:space="preserve"> </w:t>
      </w:r>
      <w:r>
        <w:rPr>
          <w:iCs/>
          <w:i/>
        </w:rPr>
        <w:t xml:space="preserve">A Statistical Interpretation of Term Specificity and Its Application in Retrieval</w:t>
      </w:r>
      <w:r>
        <w:t xml:space="preserve">. Journal of Documentation 28(1), 1972.</w:t>
      </w:r>
    </w:p>
    <w:p>
      <w:pPr>
        <w:numPr>
          <w:ilvl w:val="0"/>
          <w:numId w:val="1554"/>
        </w:numPr>
        <w:pStyle w:val="Compact"/>
      </w:pPr>
      <w:r>
        <w:t xml:space="preserve">Robertson, S. E.</w:t>
      </w:r>
      <w:r>
        <w:t xml:space="preserve"> </w:t>
      </w:r>
      <w:r>
        <w:rPr>
          <w:iCs/>
          <w:i/>
        </w:rPr>
        <w:t xml:space="preserve">The Probability Ranking Principle in IR</w:t>
      </w:r>
      <w:r>
        <w:t xml:space="preserve">. Journal of Documentation 33(4), 1977.</w:t>
      </w:r>
    </w:p>
    <w:p>
      <w:pPr>
        <w:numPr>
          <w:ilvl w:val="0"/>
          <w:numId w:val="1554"/>
        </w:numPr>
        <w:pStyle w:val="Compact"/>
      </w:pPr>
      <w:r>
        <w:t xml:space="preserve">Robertson, S., Zaragoza, H., Taylor, M.</w:t>
      </w:r>
      <w:r>
        <w:t xml:space="preserve"> </w:t>
      </w:r>
      <w:r>
        <w:rPr>
          <w:iCs/>
          <w:i/>
        </w:rPr>
        <w:t xml:space="preserve">Simple BM25 Extension to Multiple Weighted Fields</w:t>
      </w:r>
      <w:r>
        <w:t xml:space="preserve">. Proceedings of CIKM, 2004.</w:t>
      </w:r>
    </w:p>
    <w:p>
      <w:pPr>
        <w:numPr>
          <w:ilvl w:val="0"/>
          <w:numId w:val="1554"/>
        </w:numPr>
        <w:pStyle w:val="Compact"/>
      </w:pPr>
      <w:r>
        <w:t xml:space="preserve">Porter, M. F.</w:t>
      </w:r>
      <w:r>
        <w:t xml:space="preserve"> </w:t>
      </w:r>
      <w:r>
        <w:rPr>
          <w:iCs/>
          <w:i/>
        </w:rPr>
        <w:t xml:space="preserve">An Algorithm for Suffix Stripping</w:t>
      </w:r>
      <w:r>
        <w:t xml:space="preserve">. Program 14(3), 1980.</w:t>
      </w:r>
    </w:p>
    <w:p>
      <w:pPr>
        <w:numPr>
          <w:ilvl w:val="0"/>
          <w:numId w:val="1554"/>
        </w:numPr>
        <w:pStyle w:val="Compact"/>
      </w:pPr>
      <w:r>
        <w:t xml:space="preserve">Harman, D.</w:t>
      </w:r>
      <w:r>
        <w:t xml:space="preserve"> </w:t>
      </w:r>
      <w:r>
        <w:rPr>
          <w:iCs/>
          <w:i/>
        </w:rPr>
        <w:t xml:space="preserve">How Effective Is Suffixing?</w:t>
      </w:r>
      <w:r>
        <w:t xml:space="preserve"> </w:t>
      </w:r>
      <w:r>
        <w:t xml:space="preserve">Journal of the American Society for Information Science 42(1), 1991.</w:t>
      </w:r>
    </w:p>
    <w:p>
      <w:pPr>
        <w:numPr>
          <w:ilvl w:val="0"/>
          <w:numId w:val="1554"/>
        </w:numPr>
        <w:pStyle w:val="Compact"/>
      </w:pPr>
      <w:r>
        <w:t xml:space="preserve">Ding, S., Suel, T.</w:t>
      </w:r>
      <w:r>
        <w:t xml:space="preserve"> </w:t>
      </w:r>
      <w:r>
        <w:rPr>
          <w:iCs/>
          <w:i/>
        </w:rPr>
        <w:t xml:space="preserve">Faster Top-k Document Retrieval Using Block-Max Indexes</w:t>
      </w:r>
      <w:r>
        <w:t xml:space="preserve">. Proceedings of SIGIR, 2011.</w:t>
      </w:r>
    </w:p>
    <w:p>
      <w:pPr>
        <w:numPr>
          <w:ilvl w:val="0"/>
          <w:numId w:val="1554"/>
        </w:numPr>
        <w:pStyle w:val="Compact"/>
      </w:pPr>
      <w:r>
        <w:t xml:space="preserve">Lemire, D., Boytsov, L.</w:t>
      </w:r>
      <w:r>
        <w:t xml:space="preserve"> </w:t>
      </w:r>
      <w:r>
        <w:rPr>
          <w:iCs/>
          <w:i/>
        </w:rPr>
        <w:t xml:space="preserve">Decoding Billions of Integers per Second through Vectorization</w:t>
      </w:r>
      <w:r>
        <w:t xml:space="preserve">. Software: Practice and Experience 45(1), 2015.</w:t>
      </w:r>
    </w:p>
    <w:p>
      <w:pPr>
        <w:numPr>
          <w:ilvl w:val="0"/>
          <w:numId w:val="1554"/>
        </w:numPr>
        <w:pStyle w:val="Compact"/>
      </w:pPr>
      <w:r>
        <w:t xml:space="preserve">Daciuk, J., Mihov, S., Watson, B. W., Watson, R. E.</w:t>
      </w:r>
      <w:r>
        <w:t xml:space="preserve"> </w:t>
      </w:r>
      <w:r>
        <w:rPr>
          <w:iCs/>
          <w:i/>
        </w:rPr>
        <w:t xml:space="preserve">Incremental Construction of Minimal Acyclic Finite-State Automata</w:t>
      </w:r>
      <w:r>
        <w:t xml:space="preserve">. Computational Linguistics 26(1), 2000.</w:t>
      </w:r>
    </w:p>
    <w:p>
      <w:pPr>
        <w:numPr>
          <w:ilvl w:val="0"/>
          <w:numId w:val="1554"/>
        </w:numPr>
        <w:pStyle w:val="Compact"/>
      </w:pPr>
      <w:r>
        <w:t xml:space="preserve">Dean, J., Barroso, L. A.</w:t>
      </w:r>
      <w:r>
        <w:t xml:space="preserve"> </w:t>
      </w:r>
      <w:r>
        <w:rPr>
          <w:iCs/>
          <w:i/>
        </w:rPr>
        <w:t xml:space="preserve">The Tail at Scale</w:t>
      </w:r>
      <w:r>
        <w:t xml:space="preserve">. Communications of the ACM 56(2), 2013.</w:t>
      </w:r>
    </w:p>
    <w:p>
      <w:pPr>
        <w:numPr>
          <w:ilvl w:val="0"/>
          <w:numId w:val="1554"/>
        </w:numPr>
        <w:pStyle w:val="Compact"/>
      </w:pPr>
      <w:r>
        <w:t xml:space="preserve">Dean, J.</w:t>
      </w:r>
      <w:r>
        <w:t xml:space="preserve"> </w:t>
      </w:r>
      <w:r>
        <w:rPr>
          <w:iCs/>
          <w:i/>
        </w:rPr>
        <w:t xml:space="preserve">Challenges in Building Large-Scale Information Retrieval Systems</w:t>
      </w:r>
      <w:r>
        <w:t xml:space="preserve">. Keynote, ACM WSDM, 2009.</w:t>
      </w:r>
    </w:p>
    <w:p>
      <w:pPr>
        <w:numPr>
          <w:ilvl w:val="0"/>
          <w:numId w:val="1554"/>
        </w:numPr>
        <w:pStyle w:val="Compact"/>
      </w:pPr>
      <w:r>
        <w:t xml:space="preserve">Suresh, L., Canini, M., Schmid, S., Feldmann, A.</w:t>
      </w:r>
      <w:r>
        <w:t xml:space="preserve"> </w:t>
      </w:r>
      <w:r>
        <w:rPr>
          <w:iCs/>
          <w:i/>
        </w:rPr>
        <w:t xml:space="preserve">C3: Cutting Tail Latency in Cloud Data Stores via Adaptive Replica Selection</w:t>
      </w:r>
      <w:r>
        <w:t xml:space="preserve">. USENIX NSDI, 2015.</w:t>
      </w:r>
    </w:p>
    <w:p>
      <w:pPr>
        <w:numPr>
          <w:ilvl w:val="0"/>
          <w:numId w:val="1554"/>
        </w:numPr>
        <w:pStyle w:val="Compact"/>
      </w:pPr>
      <w:r>
        <w:t xml:space="preserve">Busch, M., Gade, K., Larson, B., Lok, P., Luckenbill, S., Lin, J.</w:t>
      </w:r>
      <w:r>
        <w:t xml:space="preserve"> </w:t>
      </w:r>
      <w:r>
        <w:rPr>
          <w:iCs/>
          <w:i/>
        </w:rPr>
        <w:t xml:space="preserve">Earlybird: Real-Time Search at Twitter</w:t>
      </w:r>
      <w:r>
        <w:t xml:space="preserve">. IEEE ICDE, 2012.</w:t>
      </w:r>
    </w:p>
    <w:p>
      <w:pPr>
        <w:numPr>
          <w:ilvl w:val="0"/>
          <w:numId w:val="1554"/>
        </w:numPr>
        <w:pStyle w:val="Compact"/>
      </w:pPr>
      <w:r>
        <w:t xml:space="preserve">Clem, T.</w:t>
      </w:r>
      <w:r>
        <w:t xml:space="preserve"> </w:t>
      </w:r>
      <w:r>
        <w:rPr>
          <w:iCs/>
          <w:i/>
        </w:rPr>
        <w:t xml:space="preserve">The Technology behind GitHub’s New Code Search</w:t>
      </w:r>
      <w:r>
        <w:t xml:space="preserve">. GitHub Blog, 2023. https://github.blog/engineering/architecture-optimization/the-technology-behind-githubs-new-code-search/</w:t>
      </w:r>
    </w:p>
    <w:p>
      <w:pPr>
        <w:numPr>
          <w:ilvl w:val="0"/>
          <w:numId w:val="1554"/>
        </w:numPr>
        <w:pStyle w:val="Compact"/>
      </w:pPr>
      <w:r>
        <w:t xml:space="preserve">Cormack, G. V., Clarke, C. L. A., Büttcher, S.</w:t>
      </w:r>
      <w:r>
        <w:t xml:space="preserve"> </w:t>
      </w:r>
      <w:r>
        <w:rPr>
          <w:iCs/>
          <w:i/>
        </w:rPr>
        <w:t xml:space="preserve">Reciprocal Rank Fusion Outperforms Condorcet and Individual Rank Learning Methods</w:t>
      </w:r>
      <w:r>
        <w:t xml:space="preserve">. Proceedings of SIGIR, 2009.</w:t>
      </w:r>
    </w:p>
    <w:p>
      <w:pPr>
        <w:numPr>
          <w:ilvl w:val="0"/>
          <w:numId w:val="1554"/>
        </w:numPr>
        <w:pStyle w:val="Compact"/>
      </w:pPr>
      <w:r>
        <w:t xml:space="preserve">Kleppmann, M.</w:t>
      </w:r>
      <w:r>
        <w:t xml:space="preserve"> </w:t>
      </w:r>
      <w:r>
        <w:rPr>
          <w:iCs/>
          <w:i/>
        </w:rPr>
        <w:t xml:space="preserve">Designing Data-Intensive Applications</w:t>
      </w:r>
      <w:r>
        <w:t xml:space="preserve">. O’Reilly Media, 2017.</w:t>
      </w:r>
    </w:p>
    <w:p>
      <w:pPr>
        <w:numPr>
          <w:ilvl w:val="0"/>
          <w:numId w:val="1554"/>
        </w:numPr>
        <w:pStyle w:val="Compact"/>
      </w:pPr>
      <w:r>
        <w:t xml:space="preserve">Nielsen, J.</w:t>
      </w:r>
      <w:r>
        <w:t xml:space="preserve"> </w:t>
      </w:r>
      <w:r>
        <w:rPr>
          <w:iCs/>
          <w:i/>
        </w:rPr>
        <w:t xml:space="preserve">Usability Engineering</w:t>
      </w:r>
      <w:r>
        <w:t xml:space="preserve">. Academic Press, 1993 (response-time limits; also</w:t>
      </w:r>
      <w:r>
        <w:t xml:space="preserve"> </w:t>
      </w:r>
      <w:r>
        <w:t xml:space="preserve">“</w:t>
      </w:r>
      <w:r>
        <w:t xml:space="preserve">Response Times: The 3 Important Limits</w:t>
      </w:r>
      <w:r>
        <w:t xml:space="preserve">”</w:t>
      </w:r>
      <w:r>
        <w:t xml:space="preserve">, Nielsen Norman Group).</w:t>
      </w:r>
    </w:p>
    <w:p>
      <w:pPr>
        <w:numPr>
          <w:ilvl w:val="0"/>
          <w:numId w:val="1554"/>
        </w:numPr>
        <w:pStyle w:val="Compact"/>
      </w:pPr>
      <w:r>
        <w:t xml:space="preserve">Apache Lucene.</w:t>
      </w:r>
      <w:r>
        <w:t xml:space="preserve"> </w:t>
      </w:r>
      <w:r>
        <w:rPr>
          <w:iCs/>
          <w:i/>
        </w:rPr>
        <w:t xml:space="preserve">Lucene documentation: postings format, DataOutput.writeVInt, TieredMergePolicy, BM25Similarity, MIGRATE notes for 8.0</w:t>
      </w:r>
      <w:r>
        <w:t xml:space="preserve">. https://lucene.apache.org/core/</w:t>
      </w:r>
    </w:p>
    <w:p>
      <w:pPr>
        <w:numPr>
          <w:ilvl w:val="0"/>
          <w:numId w:val="1554"/>
        </w:numPr>
        <w:pStyle w:val="Compact"/>
      </w:pPr>
      <w:r>
        <w:t xml:space="preserve">Elastic. *Elasticsearch Reference: near real-time search; data replication model; search_type; track_total_hits; _routing; node roles; similarity; completion suggester; heap size*. https://www.elastic.co/guide/en/elasticsearch/reference/current/index.html</w:t>
      </w:r>
    </w:p>
    <w:p>
      <w:pPr>
        <w:numPr>
          <w:ilvl w:val="0"/>
          <w:numId w:val="1554"/>
        </w:numPr>
        <w:pStyle w:val="Compact"/>
      </w:pPr>
      <w:r>
        <w:t xml:space="preserve">Elastic.</w:t>
      </w:r>
      <w:r>
        <w:t xml:space="preserve"> </w:t>
      </w:r>
      <w:r>
        <w:rPr>
          <w:iCs/>
          <w:i/>
        </w:rPr>
        <w:t xml:space="preserve">Size your shards</w:t>
      </w:r>
      <w:r>
        <w:t xml:space="preserve">. Elastic documentation. https://www.elastic.co/docs/deploy-manage/production-guidance/optimize-performance/size-shards</w:t>
      </w:r>
    </w:p>
    <w:p>
      <w:pPr>
        <w:numPr>
          <w:ilvl w:val="0"/>
          <w:numId w:val="1554"/>
        </w:numPr>
        <w:pStyle w:val="Compact"/>
      </w:pPr>
      <w:r>
        <w:t xml:space="preserve">OpenSearch Project.</w:t>
      </w:r>
      <w:r>
        <w:t xml:space="preserve"> </w:t>
      </w:r>
      <w:r>
        <w:rPr>
          <w:iCs/>
          <w:i/>
        </w:rPr>
        <w:t xml:space="preserve">OpenSearch documentation, including segment replication</w:t>
      </w:r>
      <w:r>
        <w:t xml:space="preserve">. https://opensearch.org/docs/latest/</w:t>
      </w:r>
    </w:p>
    <w:p>
      <w:pPr>
        <w:numPr>
          <w:ilvl w:val="0"/>
          <w:numId w:val="1554"/>
        </w:numPr>
        <w:pStyle w:val="Compact"/>
      </w:pPr>
      <w:r>
        <w:t xml:space="preserve">Wikimedia.</w:t>
      </w:r>
      <w:r>
        <w:t xml:space="preserve"> </w:t>
      </w:r>
      <w:r>
        <w:rPr>
          <w:iCs/>
          <w:i/>
        </w:rPr>
        <w:t xml:space="preserve">Extension:CirrusSearch</w:t>
      </w:r>
      <w:r>
        <w:t xml:space="preserve">. MediaWiki. https://www.mediawiki.org/wiki/Extension:CirrusSearch</w:t>
      </w:r>
    </w:p>
    <w:bookmarkEnd w:id="1902"/>
    <w:bookmarkStart w:id="1903" w:name="open-verification-items-15"/>
    <w:p>
      <w:pPr>
        <w:pStyle w:val="Heading2"/>
      </w:pPr>
      <w:r>
        <w:t xml:space="preserve">16.18 Open verification items</w:t>
      </w:r>
    </w:p>
    <w:p>
      <w:pPr>
        <w:numPr>
          <w:ilvl w:val="0"/>
          <w:numId w:val="1555"/>
        </w:numPr>
        <w:pStyle w:val="Compact"/>
      </w:pPr>
      <w:r>
        <w:t xml:space="preserve">Lucene postings layout (blocks of 128 with frame-of-reference packing, multi-level skip data) is stated for Lucene 5–9; confirm against Lucene 10’s current postings format.</w:t>
      </w:r>
    </w:p>
    <w:p>
      <w:pPr>
        <w:numPr>
          <w:ilvl w:val="0"/>
          <w:numId w:val="1555"/>
        </w:numPr>
        <w:pStyle w:val="Compact"/>
      </w:pPr>
      <w:r>
        <w:rPr>
          <w:rStyle w:val="VerbatimChar"/>
        </w:rPr>
        <w:t xml:space="preserve">TieredMergePolicy</w:t>
      </w:r>
      <w:r>
        <w:t xml:space="preserve"> </w:t>
      </w:r>
      <w:r>
        <w:t xml:space="preserve">defaults (about 10 segments per tier, merge 10 at once, 5 GB maximum merged segment) — confirm current Lucene values.</w:t>
      </w:r>
    </w:p>
    <w:p>
      <w:pPr>
        <w:numPr>
          <w:ilvl w:val="0"/>
          <w:numId w:val="1555"/>
        </w:numPr>
        <w:pStyle w:val="Compact"/>
      </w:pPr>
      <w:r>
        <w:t xml:space="preserve">Lucene 8 removal of</w:t>
      </w:r>
      <w:r>
        <w:t xml:space="preserve"> </w:t>
      </w:r>
      <m:oMath>
        <m:d>
          <m:dPr>
            <m:begChr m:val="("/>
            <m:endChr m:val=")"/>
            <m:sepChr m:val=""/>
            <m:grow/>
          </m:dPr>
          <m:e>
            <m:sSub>
              <m:e>
                <m:r>
                  <m:t>k</m:t>
                </m:r>
              </m:e>
              <m:sub>
                <m:r>
                  <m:t>1</m:t>
                </m:r>
              </m:sub>
            </m:sSub>
            <m:r>
              <m:rPr>
                <m:sty m:val="p"/>
              </m:rPr>
              <m:t>+</m:t>
            </m:r>
            <m:r>
              <m:t>1</m:t>
            </m:r>
          </m:e>
        </m:d>
      </m:oMath>
      <w:r>
        <w:t xml:space="preserve"> </w:t>
      </w:r>
      <w:r>
        <w:t xml:space="preserve">(LUCENE-8563) and Elasticsearch’s compensating 2.2 boost in</w:t>
      </w:r>
      <w:r>
        <w:t xml:space="preserve"> </w:t>
      </w:r>
      <w:r>
        <w:rPr>
          <w:rStyle w:val="VerbatimChar"/>
        </w:rPr>
        <w:t xml:space="preserve">explain</w:t>
      </w:r>
      <w:r>
        <w:t xml:space="preserve"> </w:t>
      </w:r>
      <w:r>
        <w:t xml:space="preserve">— confirmed via issue tracker and forum summaries only.</w:t>
      </w:r>
    </w:p>
    <w:p>
      <w:pPr>
        <w:numPr>
          <w:ilvl w:val="0"/>
          <w:numId w:val="1555"/>
        </w:numPr>
        <w:pStyle w:val="Compact"/>
      </w:pPr>
      <w:r>
        <w:t xml:space="preserve">Manning et al. Table 5.6 figures (400 MB raw, 116 MB VByte for RCV1) quoted from memory.</w:t>
      </w:r>
    </w:p>
    <w:p>
      <w:pPr>
        <w:numPr>
          <w:ilvl w:val="0"/>
          <w:numId w:val="1555"/>
        </w:numPr>
        <w:pStyle w:val="Compact"/>
      </w:pPr>
      <w:r>
        <w:t xml:space="preserve">Earlybird</w:t>
      </w:r>
      <w:r>
        <w:t xml:space="preserve"> </w:t>
      </w:r>
      <w:r>
        <w:t xml:space="preserve">“</w:t>
      </w:r>
      <w:r>
        <w:t xml:space="preserve">within 10 seconds</w:t>
      </w:r>
      <w:r>
        <w:t xml:space="preserve">”</w:t>
      </w:r>
      <w:r>
        <w:t xml:space="preserve"> </w:t>
      </w:r>
      <w:r>
        <w:t xml:space="preserve">and</w:t>
      </w:r>
      <w:r>
        <w:t xml:space="preserve"> </w:t>
      </w:r>
      <w:r>
        <w:t xml:space="preserve">“</w:t>
      </w:r>
      <w:r>
        <w:t xml:space="preserve">50 ms average</w:t>
      </w:r>
      <w:r>
        <w:t xml:space="preserve">”</w:t>
      </w:r>
      <w:r>
        <w:t xml:space="preserve"> </w:t>
      </w:r>
      <w:r>
        <w:t xml:space="preserve">confirmed via search snippets, not full text.</w:t>
      </w:r>
    </w:p>
    <w:p>
      <w:pPr>
        <w:numPr>
          <w:ilvl w:val="0"/>
          <w:numId w:val="1555"/>
        </w:numPr>
        <w:pStyle w:val="Compact"/>
      </w:pPr>
      <w:r>
        <w:t xml:space="preserve">GitHub 25 TB / 115 TB figures from search summaries of the blog.</w:t>
      </w:r>
    </w:p>
    <w:p>
      <w:pPr>
        <w:numPr>
          <w:ilvl w:val="0"/>
          <w:numId w:val="1555"/>
        </w:numPr>
        <w:pStyle w:val="Compact"/>
      </w:pPr>
      <w:r>
        <w:t xml:space="preserve">Elastic Cloud Serverless</w:t>
      </w:r>
      <w:r>
        <w:t xml:space="preserve"> </w:t>
      </w:r>
      <w:r>
        <w:t xml:space="preserve">“</w:t>
      </w:r>
      <w:r>
        <w:t xml:space="preserve">stateless</w:t>
      </w:r>
      <w:r>
        <w:t xml:space="preserve">”</w:t>
      </w:r>
      <w:r>
        <w:t xml:space="preserve"> </w:t>
      </w:r>
      <w:r>
        <w:t xml:space="preserve">description and Elasticsearch BM25 switch version (5.0) — check docs.</w:t>
      </w:r>
    </w:p>
    <w:p>
      <w:pPr>
        <w:numPr>
          <w:ilvl w:val="0"/>
          <w:numId w:val="1555"/>
        </w:numPr>
        <w:pStyle w:val="Compact"/>
      </w:pPr>
      <w:r>
        <w:t xml:space="preserve">Workload numbers in worked examples (catalog size, query rates,</w:t>
      </w:r>
      <w:r>
        <w:t xml:space="preserve"> </w:t>
      </w:r>
      <m:oMath>
        <m:r>
          <m:t>P</m:t>
        </m:r>
        <m:r>
          <m:rPr>
            <m:sty m:val="p"/>
          </m:rPr>
          <m:t>=</m:t>
        </m:r>
        <m:r>
          <m:t>6</m:t>
        </m:r>
        <m:r>
          <m:rPr>
            <m:sty m:val="p"/>
          </m:rPr>
          <m:t>×</m:t>
        </m:r>
        <m:sSup>
          <m:e>
            <m:r>
              <m:t>10</m:t>
            </m:r>
          </m:e>
          <m:sup>
            <m:r>
              <m:t>7</m:t>
            </m:r>
          </m:sup>
        </m:sSup>
      </m:oMath>
      <w:r>
        <w:t xml:space="preserve"> </w:t>
      </w:r>
      <w:r>
        <w:t xml:space="preserve">trie nodes) are Illustrative.</w:t>
      </w:r>
    </w:p>
    <w:bookmarkEnd w:id="1903"/>
    <w:bookmarkEnd w:id="1904"/>
    <w:bookmarkStart w:id="2046" w:name="Xff36e7989e8cff064f9577be8fc884e88b24990"/>
    <w:p>
      <w:pPr>
        <w:pStyle w:val="Heading1"/>
      </w:pPr>
      <w:r>
        <w:t xml:space="preserve">Chapter 17 — Data Structures and Algorithms for Scale</w:t>
      </w:r>
    </w:p>
    <w:p>
      <w:pPr>
        <w:pStyle w:val="BlockText"/>
      </w:pPr>
      <w:r>
        <w:rPr>
          <w:bCs/>
          <w:b/>
        </w:rPr>
        <w:t xml:space="preserve">Level:</w:t>
      </w:r>
      <w:r>
        <w:t xml:space="preserve"> </w:t>
      </w:r>
      <w:r>
        <w:t xml:space="preserve">2–3 ·</w:t>
      </w:r>
      <w:r>
        <w:t xml:space="preserve"> </w:t>
      </w:r>
      <w:r>
        <w:rPr>
          <w:bCs/>
          <w:b/>
        </w:rPr>
        <w:t xml:space="preserve">Track:</w:t>
      </w:r>
      <w:r>
        <w:t xml:space="preserve"> </w:t>
      </w:r>
      <w:r>
        <w:t xml:space="preserve">A (Traditional) ·</w:t>
      </w:r>
      <w:r>
        <w:t xml:space="preserve"> </w:t>
      </w:r>
      <w:r>
        <w:rPr>
          <w:bCs/>
          <w:b/>
        </w:rPr>
        <w:t xml:space="preserve">Estimated reading time:</w:t>
      </w:r>
      <w:r>
        <w:t xml:space="preserve"> </w:t>
      </w:r>
      <w:r>
        <w:t xml:space="preserve">6 h</w:t>
      </w:r>
    </w:p>
    <w:p>
      <w:pPr>
        <w:pStyle w:val="FirstParagraph"/>
      </w:pPr>
      <w:r>
        <w:t xml:space="preserve">A hash table, a sorted array and a B-tree will carry you a long way. Then the numbers grow. You need to know whether one of 3 billion usernames is taken without reading a disk. You need to count the distinct visitors to a site that gets 50 billion page views a day. You need the 100 most-shared links of the last hour in a stream of a million events per second. You need every driver within a kilometer of a rider, out of a million moving cars. And you need IDs for all of these things, generated on a thousand machines at once, without the machines talking to each other.</w:t>
      </w:r>
    </w:p>
    <w:p>
      <w:pPr>
        <w:pStyle w:val="BodyText"/>
      </w:pPr>
      <w:r>
        <w:t xml:space="preserve">Exact answers cost memory, disk reads or coordination in proportion to the data. The structures in this chapter accept a small,</w:t>
      </w:r>
      <w:r>
        <w:t xml:space="preserve"> </w:t>
      </w:r>
      <w:r>
        <w:rPr>
          <w:iCs/>
          <w:i/>
        </w:rPr>
        <w:t xml:space="preserve">bounded</w:t>
      </w:r>
      <w:r>
        <w:t xml:space="preserve"> </w:t>
      </w:r>
      <w:r>
        <w:t xml:space="preserve">and</w:t>
      </w:r>
      <w:r>
        <w:t xml:space="preserve"> </w:t>
      </w:r>
      <w:r>
        <w:rPr>
          <w:iCs/>
          <w:i/>
        </w:rPr>
        <w:t xml:space="preserve">quantifiable</w:t>
      </w:r>
      <w:r>
        <w:t xml:space="preserve"> </w:t>
      </w:r>
      <w:r>
        <w:t xml:space="preserve">error, or a little randomness, in exchange for kilobytes of memory, constant-time operations and no coordination. A Bloom filter answers</w:t>
      </w:r>
      <w:r>
        <w:t xml:space="preserve"> </w:t>
      </w:r>
      <w:r>
        <w:t xml:space="preserve">“</w:t>
      </w:r>
      <w:r>
        <w:t xml:space="preserve">have I seen this?</w:t>
      </w:r>
      <w:r>
        <w:t xml:space="preserve">”</w:t>
      </w:r>
      <w:r>
        <w:t xml:space="preserve"> </w:t>
      </w:r>
      <w:r>
        <w:t xml:space="preserve">in about 10 bits per item at a 1% false-positive rate. A HyperLogLog counts a billion distinct items in 12 KB with 0.81% standard error. A Snowflake ID lets a thousand machines mint 4 billion IDs per second without talking to one another.</w:t>
      </w:r>
    </w:p>
    <w:p>
      <w:pPr>
        <w:pStyle w:val="BodyText"/>
      </w:pPr>
      <w:r>
        <w:t xml:space="preserve">For each structure you get the idea, the mechanism, the sizing formula, a worked example and runnable Python that checks the formula against a measurement.</w:t>
      </w:r>
    </w:p>
    <w:bookmarkStart w:id="1905" w:name="learning-objectives-16"/>
    <w:p>
      <w:pPr>
        <w:pStyle w:val="Heading2"/>
      </w:pPr>
      <w:r>
        <w:t xml:space="preserve">17.1 Learning objectives</w:t>
      </w:r>
    </w:p>
    <w:p>
      <w:pPr>
        <w:pStyle w:val="FirstParagraph"/>
      </w:pPr>
      <w:r>
        <w:t xml:space="preserve">After this chapter you should be able to:</w:t>
      </w:r>
    </w:p>
    <w:p>
      <w:pPr>
        <w:numPr>
          <w:ilvl w:val="0"/>
          <w:numId w:val="1556"/>
        </w:numPr>
        <w:pStyle w:val="Compact"/>
      </w:pPr>
      <w:r>
        <w:t xml:space="preserve">State the properties a non-cryptographic hash function must have, measure uniformity with a chi-square test, and explain how hash flooding works and how keyed hashes such as SipHash stop it.</w:t>
      </w:r>
    </w:p>
    <w:p>
      <w:pPr>
        <w:numPr>
          <w:ilvl w:val="0"/>
          <w:numId w:val="1556"/>
        </w:numPr>
        <w:pStyle w:val="Compact"/>
      </w:pPr>
      <w:r>
        <w:t xml:space="preserve">Size a Bloom filter for a target false-positive rate (bits per element and number of hash functions), predict its false-positive rate, and verify the prediction by measurement.</w:t>
      </w:r>
    </w:p>
    <w:p>
      <w:pPr>
        <w:numPr>
          <w:ilvl w:val="0"/>
          <w:numId w:val="1556"/>
        </w:numPr>
        <w:pStyle w:val="Compact"/>
      </w:pPr>
      <w:r>
        <w:t xml:space="preserve">Choose between Bloom, counting Bloom and cuckoo filters when deletions are needed.</w:t>
      </w:r>
    </w:p>
    <w:p>
      <w:pPr>
        <w:numPr>
          <w:ilvl w:val="0"/>
          <w:numId w:val="1556"/>
        </w:numPr>
        <w:pStyle w:val="Compact"/>
      </w:pPr>
      <w:r>
        <w:t xml:space="preserve">Explain how HyperLogLog estimates cardinality from leading zeros, compute its memory and standard error, and merge sketches across servers.</w:t>
      </w:r>
    </w:p>
    <w:p>
      <w:pPr>
        <w:numPr>
          <w:ilvl w:val="0"/>
          <w:numId w:val="1556"/>
        </w:numPr>
        <w:pStyle w:val="Compact"/>
      </w:pPr>
      <w:r>
        <w:t xml:space="preserve">Size a Count-Min sketch from an error target</w:t>
      </w:r>
      <w:r>
        <w:t xml:space="preserve"> </w:t>
      </w:r>
      <m:oMath>
        <m:r>
          <m:t>ε</m:t>
        </m:r>
      </m:oMath>
      <w:r>
        <w:t xml:space="preserve"> </w:t>
      </w:r>
      <w:r>
        <w:t xml:space="preserve">and confidence</w:t>
      </w:r>
      <w:r>
        <w:t xml:space="preserve"> </w:t>
      </w:r>
      <m:oMath>
        <m:r>
          <m:t>δ</m:t>
        </m:r>
      </m:oMath>
      <w:r>
        <w:t xml:space="preserve">, and build a heavy-hitters (top-</w:t>
      </w:r>
      <w:r>
        <w:rPr>
          <w:iCs/>
          <w:i/>
        </w:rPr>
        <w:t xml:space="preserve">k</w:t>
      </w:r>
      <w:r>
        <w:t xml:space="preserve">) pipeline with a heap or the Space-Saving algorithm.</w:t>
      </w:r>
    </w:p>
    <w:p>
      <w:pPr>
        <w:numPr>
          <w:ilvl w:val="0"/>
          <w:numId w:val="1556"/>
        </w:numPr>
        <w:pStyle w:val="Compact"/>
      </w:pPr>
      <w:r>
        <w:t xml:space="preserve">Explain why skip lists give expected</w:t>
      </w:r>
      <w:r>
        <w:t xml:space="preserve"> </w:t>
      </w:r>
      <m:oMath>
        <m:r>
          <m:t>O</m:t>
        </m:r>
        <m:d>
          <m:dPr>
            <m:begChr m:val="("/>
            <m:endChr m:val=")"/>
            <m:sepChr m:val=""/>
            <m:grow/>
          </m:dPr>
          <m:e>
            <m:r>
              <m:rPr>
                <m:sty m:val="p"/>
              </m:rPr>
              <m:t>log</m:t>
            </m:r>
            <m:r>
              <m:t>n</m:t>
            </m:r>
          </m:e>
        </m:d>
      </m:oMath>
      <w:r>
        <w:t xml:space="preserve"> </w:t>
      </w:r>
      <w:r>
        <w:t xml:space="preserve">search and why Redis uses them for sorted sets.</w:t>
      </w:r>
    </w:p>
    <w:p>
      <w:pPr>
        <w:numPr>
          <w:ilvl w:val="0"/>
          <w:numId w:val="1556"/>
        </w:numPr>
        <w:pStyle w:val="Compact"/>
      </w:pPr>
      <w:r>
        <w:t xml:space="preserve">Build a Merkle tree, produce and verify an inclusion proof, and explain how replicas use Merkle trees for anti-entropy.</w:t>
      </w:r>
    </w:p>
    <w:p>
      <w:pPr>
        <w:numPr>
          <w:ilvl w:val="0"/>
          <w:numId w:val="1556"/>
        </w:numPr>
        <w:pStyle w:val="Compact"/>
      </w:pPr>
      <w:r>
        <w:t xml:space="preserve">Encode a geohash, choose a precision for a search radius, and compare geohash, quadtrees, S2 and H3 for proximity search.</w:t>
      </w:r>
    </w:p>
    <w:p>
      <w:pPr>
        <w:numPr>
          <w:ilvl w:val="0"/>
          <w:numId w:val="1556"/>
        </w:numPr>
        <w:pStyle w:val="Compact"/>
      </w:pPr>
      <w:r>
        <w:t xml:space="preserve">Compare UUIDv4, UUIDv7, Snowflake, ULID and ticket servers, and compute the capacity and lifetime of a Snowflake bit layout.</w:t>
      </w:r>
    </w:p>
    <w:p>
      <w:pPr>
        <w:numPr>
          <w:ilvl w:val="0"/>
          <w:numId w:val="1556"/>
        </w:numPr>
        <w:pStyle w:val="Compact"/>
      </w:pPr>
      <w:r>
        <w:t xml:space="preserve">Use a trie for prefix lookup and reservoir sampling for uniform samples from a stream of unknown length.</w:t>
      </w:r>
    </w:p>
    <w:bookmarkEnd w:id="1905"/>
    <w:bookmarkStart w:id="1906" w:name="prerequisites-16"/>
    <w:p>
      <w:pPr>
        <w:pStyle w:val="Heading2"/>
      </w:pPr>
      <w:r>
        <w:t xml:space="preserve">17.2 Prerequisites</w:t>
      </w:r>
    </w:p>
    <w:p>
      <w:pPr>
        <w:numPr>
          <w:ilvl w:val="0"/>
          <w:numId w:val="1557"/>
        </w:numPr>
        <w:pStyle w:val="Compact"/>
      </w:pPr>
      <w:r>
        <w:t xml:space="preserve">Powers of two and logarithms — §4.3, §4.4 (every sizing formula here is a logarithm or an exponent).</w:t>
      </w:r>
    </w:p>
    <w:p>
      <w:pPr>
        <w:numPr>
          <w:ilvl w:val="0"/>
          <w:numId w:val="1557"/>
        </w:numPr>
        <w:pStyle w:val="Compact"/>
      </w:pPr>
      <w:r>
        <w:t xml:space="preserve">Probability essentials: complement, independence, expected value — §4.6 (false-positive rates and error bounds are probabilities).</w:t>
      </w:r>
    </w:p>
    <w:p>
      <w:pPr>
        <w:numPr>
          <w:ilvl w:val="0"/>
          <w:numId w:val="1557"/>
        </w:numPr>
        <w:pStyle w:val="Compact"/>
      </w:pPr>
      <w:r>
        <w:t xml:space="preserve">Cryptographic hash functions and the birthday bound — §10.4.1 (this chapter covers the fast, non-cryptographic kind and reuses the birthday bound for IDs).</w:t>
      </w:r>
    </w:p>
    <w:p>
      <w:pPr>
        <w:numPr>
          <w:ilvl w:val="0"/>
          <w:numId w:val="1557"/>
        </w:numPr>
        <w:pStyle w:val="Compact"/>
      </w:pPr>
      <w:r>
        <w:t xml:space="preserve">B-trees and indexes — §11.7, §11.8 (geospatial indexes reduce two dimensions to one so that a B-tree or sorted set can serve them).</w:t>
      </w:r>
    </w:p>
    <w:p>
      <w:pPr>
        <w:numPr>
          <w:ilvl w:val="0"/>
          <w:numId w:val="1557"/>
        </w:numPr>
        <w:pStyle w:val="Compact"/>
      </w:pPr>
      <w:r>
        <w:t xml:space="preserve">LSM trees, memtables and SSTables — §13.8 (the most common home of Bloom filters and skip lists).</w:t>
      </w:r>
    </w:p>
    <w:p>
      <w:pPr>
        <w:numPr>
          <w:ilvl w:val="0"/>
          <w:numId w:val="1557"/>
        </w:numPr>
        <w:pStyle w:val="Compact"/>
      </w:pPr>
      <w:r>
        <w:t xml:space="preserve">Partitioning by hash — §14.6 (hash quality decides partition balance).</w:t>
      </w:r>
    </w:p>
    <w:bookmarkEnd w:id="1906"/>
    <w:bookmarkStart w:id="1922" w:name="hash-functions-at-scale"/>
    <w:p>
      <w:pPr>
        <w:pStyle w:val="Heading2"/>
      </w:pPr>
      <w:r>
        <w:t xml:space="preserve">17.3 Hash functions at scale</w:t>
      </w:r>
    </w:p>
    <w:bookmarkStart w:id="1910" w:name="what-a-hash-function-must-do"/>
    <w:p>
      <w:pPr>
        <w:pStyle w:val="Heading3"/>
      </w:pPr>
      <w:r>
        <w:t xml:space="preserve">17.3.1 What a hash function must do</w:t>
      </w:r>
    </w:p>
    <w:p>
      <w:pPr>
        <w:pStyle w:val="CalloutDefinition"/>
      </w:pPr>
      <w:r>
        <w:rPr>
          <w:bCs/>
          <w:b/>
        </w:rPr>
        <w:t xml:space="preserve">DEFINITION</w:t>
      </w:r>
    </w:p>
    <w:p>
      <w:pPr>
        <w:pStyle w:val="CalloutDefinition"/>
      </w:pPr>
      <w:r>
        <w:rPr>
          <w:bCs/>
          <w:b/>
        </w:rPr>
        <w:t xml:space="preserve">Definition — Hash function.</w:t>
      </w:r>
      <w:r>
        <w:t xml:space="preserve"> </w:t>
      </w:r>
      <w:r>
        <w:t xml:space="preserve">A deterministic function</w:t>
      </w:r>
      <w:r>
        <w:t xml:space="preserve"> </w:t>
      </w:r>
      <m:oMath>
        <m:r>
          <m:t>h</m:t>
        </m:r>
      </m:oMath>
      <w:r>
        <w:t xml:space="preserve"> </w:t>
      </w:r>
      <w:r>
        <w:t xml:space="preserve">that maps an input of any length to a fixed-size integer (for example 32, 64 or 128 bits), called the</w:t>
      </w:r>
      <w:r>
        <w:t xml:space="preserve"> </w:t>
      </w:r>
      <w:r>
        <w:rPr>
          <w:bCs/>
          <w:b/>
        </w:rPr>
        <w:t xml:space="preserve">hash</w:t>
      </w:r>
      <w:r>
        <w:t xml:space="preserve"> </w:t>
      </w:r>
      <w:r>
        <w:t xml:space="preserve">or</w:t>
      </w:r>
      <w:r>
        <w:t xml:space="preserve"> </w:t>
      </w:r>
      <w:r>
        <w:rPr>
          <w:bCs/>
          <w:b/>
        </w:rPr>
        <w:t xml:space="preserve">digest</w:t>
      </w:r>
      <w:r>
        <w:t xml:space="preserve">. A</w:t>
      </w:r>
      <w:r>
        <w:t xml:space="preserve"> </w:t>
      </w:r>
      <w:r>
        <w:rPr>
          <w:bCs/>
          <w:b/>
        </w:rPr>
        <w:t xml:space="preserve">non-cryptographic hash function</w:t>
      </w:r>
      <w:r>
        <w:t xml:space="preserve"> </w:t>
      </w:r>
      <w:r>
        <w:t xml:space="preserve">is designed for speed and statistical uniformity on ordinary inputs. A</w:t>
      </w:r>
      <w:r>
        <w:t xml:space="preserve"> </w:t>
      </w:r>
      <w:r>
        <w:rPr>
          <w:bCs/>
          <w:b/>
        </w:rPr>
        <w:t xml:space="preserve">cryptographic hash function</w:t>
      </w:r>
      <w:r>
        <w:t xml:space="preserve"> </w:t>
      </w:r>
      <w:r>
        <w:t xml:space="preserve">additionally resists an adversary who tries to find collisions or preimages (§10.4.1).</w:t>
      </w:r>
    </w:p>
    <w:bookmarkStart w:id="1907" w:name="first-principles-explanation-106"/>
    <w:p>
      <w:pPr>
        <w:pStyle w:val="Heading4"/>
      </w:pPr>
      <w:r>
        <w:t xml:space="preserve">First-principles explanation</w:t>
      </w:r>
    </w:p>
    <w:p>
      <w:pPr>
        <w:pStyle w:val="FirstParagraph"/>
      </w:pPr>
      <w:r>
        <w:t xml:space="preserve">Imagine a cloakroom with 1,000 numbered hooks. You want to hang each coat on a hook chosen by a rule, so that later you can go straight to the right hook instead of searching all of them. A good rule looks at the whole ticket and scatters tickets evenly: no hook gets 50 coats while others are empty. It must give the same hook for the same ticket every time. And it must be fast, because the queue is long. That rule is a hash function, and the hooks are</w:t>
      </w:r>
      <w:r>
        <w:t xml:space="preserve"> </w:t>
      </w:r>
      <w:r>
        <w:rPr>
          <w:bCs/>
          <w:b/>
        </w:rPr>
        <w:t xml:space="preserve">buckets</w:t>
      </w:r>
      <w:r>
        <w:t xml:space="preserve">.</w:t>
      </w:r>
    </w:p>
    <w:p>
      <w:pPr>
        <w:pStyle w:val="BodyText"/>
      </w:pPr>
      <w:r>
        <w:t xml:space="preserve">Every structure in this chapter starts with a hash: hash tables pick buckets, partitioned databases pick nodes (§14.6), Bloom filters pick bits, HyperLogLog reads output bits as coin flips. A poor hash passes its flaw to all of them.</w:t>
      </w:r>
    </w:p>
    <w:bookmarkEnd w:id="1907"/>
    <w:bookmarkStart w:id="1908" w:name="why-does-this-exist-62"/>
    <w:p>
      <w:pPr>
        <w:pStyle w:val="Heading4"/>
      </w:pPr>
      <w:r>
        <w:t xml:space="preserve">Why does this exist?</w:t>
      </w:r>
    </w:p>
    <w:p>
      <w:pPr>
        <w:pStyle w:val="FirstParagraph"/>
      </w:pPr>
      <w:r>
        <w:t xml:space="preserve">At scale three demands sharpen.</w:t>
      </w:r>
      <w:r>
        <w:t xml:space="preserve"> </w:t>
      </w:r>
      <w:r>
        <w:rPr>
          <w:bCs/>
          <w:b/>
        </w:rPr>
        <w:t xml:space="preserve">Throughput</w:t>
      </w:r>
      <w:r>
        <w:t xml:space="preserve">: a cache node may hash millions of keys per second.</w:t>
      </w:r>
      <w:r>
        <w:t xml:space="preserve"> </w:t>
      </w:r>
      <w:r>
        <w:rPr>
          <w:bCs/>
          <w:b/>
        </w:rPr>
        <w:t xml:space="preserve">Uniformity on structured input</w:t>
      </w:r>
      <w:r>
        <w:t xml:space="preserve">: real keys look like</w:t>
      </w:r>
      <w:r>
        <w:t xml:space="preserve"> </w:t>
      </w:r>
      <w:r>
        <w:rPr>
          <w:rStyle w:val="VerbatimChar"/>
        </w:rPr>
        <w:t xml:space="preserve">user:1</w:t>
      </w:r>
      <w:r>
        <w:t xml:space="preserve">,</w:t>
      </w:r>
      <w:r>
        <w:t xml:space="preserve"> </w:t>
      </w:r>
      <w:r>
        <w:rPr>
          <w:rStyle w:val="VerbatimChar"/>
        </w:rPr>
        <w:t xml:space="preserve">user:2</w:t>
      </w:r>
      <w:r>
        <w:t xml:space="preserve">, and a weak hash maps near-identical keys to near-identical outputs.</w:t>
      </w:r>
      <w:r>
        <w:t xml:space="preserve"> </w:t>
      </w:r>
      <w:r>
        <w:rPr>
          <w:bCs/>
          <w:b/>
        </w:rPr>
        <w:t xml:space="preserve">Adversarial input</w:t>
      </w:r>
      <w:r>
        <w:t xml:space="preserve">: an attacker who controls keys (HTTP parameters, JSON field names) can choose keys that all collide (§17.3.4).</w:t>
      </w:r>
    </w:p>
    <w:bookmarkEnd w:id="1908"/>
    <w:bookmarkStart w:id="1909" w:name="how-it-works-internally-69"/>
    <w:p>
      <w:pPr>
        <w:pStyle w:val="Heading4"/>
      </w:pPr>
      <w:r>
        <w:t xml:space="preserve">How it works internally</w:t>
      </w:r>
    </w:p>
    <w:p>
      <w:pPr>
        <w:pStyle w:val="FirstParagraph"/>
      </w:pPr>
      <w:r>
        <w:t xml:space="preserve">MurmurHash3 and its relatives process the input in fixed-size blocks, repeatedly multiplying by large odd constants, rotating bits and XOR-ing into a running state; a</w:t>
      </w:r>
      <w:r>
        <w:t xml:space="preserve"> </w:t>
      </w:r>
      <w:r>
        <w:rPr>
          <w:bCs/>
          <w:b/>
        </w:rPr>
        <w:t xml:space="preserve">finalizer</w:t>
      </w:r>
      <w:r>
        <w:t xml:space="preserve"> </w:t>
      </w:r>
      <w:r>
        <w:t xml:space="preserve">then scrambles the state so that every input bit affects every output bit. Four properties matter:</w:t>
      </w:r>
    </w:p>
    <w:p>
      <w:pPr>
        <w:numPr>
          <w:ilvl w:val="0"/>
          <w:numId w:val="1558"/>
        </w:numPr>
        <w:pStyle w:val="Compact"/>
      </w:pPr>
      <w:r>
        <w:rPr>
          <w:bCs/>
          <w:b/>
        </w:rPr>
        <w:t xml:space="preserve">Determinism.</w:t>
      </w:r>
      <w:r>
        <w:t xml:space="preserve"> </w:t>
      </w:r>
      <w:r>
        <w:t xml:space="preserve">Same input and seed, same output, on every machine and run. A hash that changes between versions re-routes every key.</w:t>
      </w:r>
    </w:p>
    <w:p>
      <w:pPr>
        <w:numPr>
          <w:ilvl w:val="0"/>
          <w:numId w:val="1558"/>
        </w:numPr>
        <w:pStyle w:val="Compact"/>
      </w:pPr>
      <w:r>
        <w:rPr>
          <w:bCs/>
          <w:b/>
        </w:rPr>
        <w:t xml:space="preserve">Uniformity.</w:t>
      </w:r>
      <w:r>
        <w:t xml:space="preserve"> </w:t>
      </w:r>
      <w:r>
        <w:t xml:space="preserve">For realistic key sets, outputs are spread evenly over the output range, so</w:t>
      </w:r>
      <w:r>
        <w:t xml:space="preserve"> </w:t>
      </w:r>
      <w:r>
        <w:rPr>
          <w:rStyle w:val="VerbatimChar"/>
        </w:rPr>
        <w:t xml:space="preserve">h(key) mod B</w:t>
      </w:r>
      <w:r>
        <w:t xml:space="preserve"> </w:t>
      </w:r>
      <w:r>
        <w:t xml:space="preserve">spreads evenly over</w:t>
      </w:r>
      <w:r>
        <w:t xml:space="preserve"> </w:t>
      </w:r>
      <m:oMath>
        <m:r>
          <m:t>B</m:t>
        </m:r>
      </m:oMath>
      <w:r>
        <w:t xml:space="preserve"> </w:t>
      </w:r>
      <w:r>
        <w:t xml:space="preserve">buckets.</w:t>
      </w:r>
    </w:p>
    <w:p>
      <w:pPr>
        <w:numPr>
          <w:ilvl w:val="0"/>
          <w:numId w:val="1558"/>
        </w:numPr>
        <w:pStyle w:val="Compact"/>
      </w:pPr>
      <w:r>
        <w:rPr>
          <w:bCs/>
          <w:b/>
        </w:rPr>
        <w:t xml:space="preserve">Avalanche.</w:t>
      </w:r>
      <w:r>
        <w:t xml:space="preserve"> </w:t>
      </w:r>
      <w:r>
        <w:t xml:space="preserve">Flipping one input bit flips each output bit with probability close to 1/2. This is what makes</w:t>
      </w:r>
      <w:r>
        <w:t xml:space="preserve"> </w:t>
      </w:r>
      <w:r>
        <w:rPr>
          <w:rStyle w:val="VerbatimChar"/>
        </w:rPr>
        <w:t xml:space="preserve">user:1</w:t>
      </w:r>
      <w:r>
        <w:t xml:space="preserve"> </w:t>
      </w:r>
      <w:r>
        <w:t xml:space="preserve">and</w:t>
      </w:r>
      <w:r>
        <w:t xml:space="preserve"> </w:t>
      </w:r>
      <w:r>
        <w:rPr>
          <w:rStyle w:val="VerbatimChar"/>
        </w:rPr>
        <w:t xml:space="preserve">user:2</w:t>
      </w:r>
      <w:r>
        <w:t xml:space="preserve"> </w:t>
      </w:r>
      <w:r>
        <w:t xml:space="preserve">land far apart.</w:t>
      </w:r>
    </w:p>
    <w:p>
      <w:pPr>
        <w:numPr>
          <w:ilvl w:val="0"/>
          <w:numId w:val="1558"/>
        </w:numPr>
        <w:pStyle w:val="Compact"/>
      </w:pPr>
      <w:r>
        <w:rPr>
          <w:bCs/>
          <w:b/>
        </w:rPr>
        <w:t xml:space="preserve">Speed.</w:t>
      </w:r>
      <w:r>
        <w:t xml:space="preserve"> </w:t>
      </w:r>
      <w:r>
        <w:t xml:space="preserve">A few CPU cycles per byte and low overhead for short keys.</w:t>
      </w:r>
    </w:p>
    <w:p>
      <w:pPr>
        <w:pStyle w:val="FirstParagraph"/>
      </w:pPr>
      <w:r>
        <w:t xml:space="preserve">A</w:t>
      </w:r>
      <w:r>
        <w:t xml:space="preserve"> </w:t>
      </w:r>
      <w:r>
        <w:rPr>
          <w:bCs/>
          <w:b/>
        </w:rPr>
        <w:t xml:space="preserve">seed</w:t>
      </w:r>
      <w:r>
        <w:t xml:space="preserve"> </w:t>
      </w:r>
      <w:r>
        <w:t xml:space="preserve">mixed into the initial state gives effectively independent hash functions from the same code; keyed hashes (§17.3.4) keep the seed secret.</w:t>
      </w:r>
    </w:p>
    <w:bookmarkEnd w:id="1909"/>
    <w:bookmarkEnd w:id="1910"/>
    <w:bookmarkStart w:id="1911" w:name="murmurhash3-and-xxhash"/>
    <w:p>
      <w:pPr>
        <w:pStyle w:val="Heading3"/>
      </w:pPr>
      <w:r>
        <w:t xml:space="preserve">17.3.2 MurmurHash3 and xxHash</w:t>
      </w:r>
    </w:p>
    <w:p>
      <w:pPr>
        <w:pStyle w:val="FirstParagraph"/>
      </w:pPr>
      <w:r>
        <w:rPr>
          <w:bCs/>
          <w:b/>
        </w:rPr>
        <w:t xml:space="preserve">MurmurHash3</w:t>
      </w:r>
      <w:r>
        <w:t xml:space="preserve"> </w:t>
      </w:r>
      <w:r>
        <w:t xml:space="preserve">(Austin Appleby, published with the SMHasher test suite) has 32- and 128-bit variants and is Apache Cassandra’s default partitioner hash (</w:t>
      </w:r>
      <w:r>
        <w:rPr>
          <w:rStyle w:val="VerbatimChar"/>
        </w:rPr>
        <w:t xml:space="preserve">Murmur3Partitioner</w:t>
      </w:r>
      <w:r>
        <w:t xml:space="preserve">) [Appleby: SMHasher; Apache Cassandra Docs].</w:t>
      </w:r>
      <w:r>
        <w:t xml:space="preserve"> </w:t>
      </w:r>
      <w:r>
        <w:rPr>
          <w:bCs/>
          <w:b/>
        </w:rPr>
        <w:t xml:space="preserve">xxHash</w:t>
      </w:r>
      <w:r>
        <w:t xml:space="preserve"> </w:t>
      </w:r>
      <w:r>
        <w:t xml:space="preserve">(Yann Collet) offers XXH32, XXH64 and XXH3; its author reports higher throughput than MurmurHash3, especially on long inputs [Collet: xxHash]. Both pass SMHasher’s statistical tests, and neither is cryptographic.</w:t>
      </w:r>
    </w:p>
    <w:p>
      <w:pPr>
        <w:pStyle w:val="BodyText"/>
      </w:pPr>
      <w:r>
        <w:rPr>
          <w:bCs/>
          <w:b/>
        </w:rPr>
        <w:t xml:space="preserve">Table 17.1 — Hash functions you will meet in system design.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Function</w:t>
            </w:r>
          </w:p>
        </w:tc>
        <w:tc>
          <w:tcPr/>
          <w:p>
            <w:pPr>
              <w:pStyle w:val="Compact"/>
              <w:jc w:val="left"/>
            </w:pPr>
            <w:r>
              <w:t xml:space="preserve">Output</w:t>
            </w:r>
          </w:p>
        </w:tc>
        <w:tc>
          <w:tcPr/>
          <w:p>
            <w:pPr>
              <w:pStyle w:val="Compact"/>
              <w:jc w:val="left"/>
            </w:pPr>
            <w:r>
              <w:t xml:space="preserve">Keyed / adversary-resistant?</w:t>
            </w:r>
          </w:p>
        </w:tc>
        <w:tc>
          <w:tcPr/>
          <w:p>
            <w:pPr>
              <w:pStyle w:val="Compact"/>
              <w:jc w:val="left"/>
            </w:pPr>
            <w:r>
              <w:t xml:space="preserve">Relative speed</w:t>
            </w:r>
          </w:p>
        </w:tc>
        <w:tc>
          <w:tcPr/>
          <w:p>
            <w:pPr>
              <w:pStyle w:val="Compact"/>
              <w:jc w:val="left"/>
            </w:pPr>
            <w:r>
              <w:t xml:space="preserve">Typical use</w:t>
            </w:r>
          </w:p>
        </w:tc>
      </w:tr>
      <w:tr>
        <w:tc>
          <w:tcPr/>
          <w:p>
            <w:pPr>
              <w:pStyle w:val="Compact"/>
              <w:jc w:val="left"/>
            </w:pPr>
            <w:r>
              <w:t xml:space="preserve">CRC32</w:t>
            </w:r>
          </w:p>
        </w:tc>
        <w:tc>
          <w:tcPr/>
          <w:p>
            <w:pPr>
              <w:pStyle w:val="Compact"/>
              <w:jc w:val="left"/>
            </w:pPr>
            <w:r>
              <w:t xml:space="preserve">32 bits</w:t>
            </w:r>
          </w:p>
        </w:tc>
        <w:tc>
          <w:tcPr/>
          <w:p>
            <w:pPr>
              <w:pStyle w:val="Compact"/>
              <w:jc w:val="left"/>
            </w:pPr>
            <w:r>
              <w:t xml:space="preserve">No; designed for error detection</w:t>
            </w:r>
          </w:p>
        </w:tc>
        <w:tc>
          <w:tcPr/>
          <w:p>
            <w:pPr>
              <w:pStyle w:val="Compact"/>
              <w:jc w:val="left"/>
            </w:pPr>
            <w:r>
              <w:t xml:space="preserve">Very fast (hardware instruction)</w:t>
            </w:r>
          </w:p>
        </w:tc>
        <w:tc>
          <w:tcPr/>
          <w:p>
            <w:pPr>
              <w:pStyle w:val="Compact"/>
              <w:jc w:val="left"/>
            </w:pPr>
            <w:r>
              <w:t xml:space="preserve">Checksums, some sharding (Redis Cluster uses CRC16)</w:t>
            </w:r>
          </w:p>
        </w:tc>
      </w:tr>
      <w:tr>
        <w:tc>
          <w:tcPr/>
          <w:p>
            <w:pPr>
              <w:pStyle w:val="Compact"/>
              <w:jc w:val="left"/>
            </w:pPr>
            <w:r>
              <w:t xml:space="preserve">FNV-1a</w:t>
            </w:r>
          </w:p>
        </w:tc>
        <w:tc>
          <w:tcPr/>
          <w:p>
            <w:pPr>
              <w:pStyle w:val="Compact"/>
              <w:jc w:val="left"/>
            </w:pPr>
            <w:r>
              <w:t xml:space="preserve">32/64 bits</w:t>
            </w:r>
          </w:p>
        </w:tc>
        <w:tc>
          <w:tcPr/>
          <w:p>
            <w:pPr>
              <w:pStyle w:val="Compact"/>
              <w:jc w:val="left"/>
            </w:pPr>
            <w:r>
              <w:t xml:space="preserve">No</w:t>
            </w:r>
          </w:p>
        </w:tc>
        <w:tc>
          <w:tcPr/>
          <w:p>
            <w:pPr>
              <w:pStyle w:val="Compact"/>
              <w:jc w:val="left"/>
            </w:pPr>
            <w:r>
              <w:t xml:space="preserve">Fast for short keys, weak mixing</w:t>
            </w:r>
          </w:p>
        </w:tc>
        <w:tc>
          <w:tcPr/>
          <w:p>
            <w:pPr>
              <w:pStyle w:val="Compact"/>
              <w:jc w:val="left"/>
            </w:pPr>
            <w:r>
              <w:t xml:space="preserve">Small in-process tables</w:t>
            </w:r>
          </w:p>
        </w:tc>
      </w:tr>
      <w:tr>
        <w:tc>
          <w:tcPr/>
          <w:p>
            <w:pPr>
              <w:pStyle w:val="Compact"/>
              <w:jc w:val="left"/>
            </w:pPr>
            <w:r>
              <w:t xml:space="preserve">MurmurHash3</w:t>
            </w:r>
          </w:p>
        </w:tc>
        <w:tc>
          <w:tcPr/>
          <w:p>
            <w:pPr>
              <w:pStyle w:val="Compact"/>
              <w:jc w:val="left"/>
            </w:pPr>
            <w:r>
              <w:t xml:space="preserve">32/128 bits</w:t>
            </w:r>
          </w:p>
        </w:tc>
        <w:tc>
          <w:tcPr/>
          <w:p>
            <w:pPr>
              <w:pStyle w:val="Compact"/>
              <w:jc w:val="left"/>
            </w:pPr>
            <w:r>
              <w:t xml:space="preserve">No (seeded, not secret)</w:t>
            </w:r>
          </w:p>
        </w:tc>
        <w:tc>
          <w:tcPr/>
          <w:p>
            <w:pPr>
              <w:pStyle w:val="Compact"/>
              <w:jc w:val="left"/>
            </w:pPr>
            <w:r>
              <w:t xml:space="preserve">Fast</w:t>
            </w:r>
          </w:p>
        </w:tc>
        <w:tc>
          <w:tcPr/>
          <w:p>
            <w:pPr>
              <w:pStyle w:val="Compact"/>
              <w:jc w:val="left"/>
            </w:pPr>
            <w:r>
              <w:t xml:space="preserve">Partitioners, Bloom filters, sketches</w:t>
            </w:r>
          </w:p>
        </w:tc>
      </w:tr>
      <w:tr>
        <w:tc>
          <w:tcPr/>
          <w:p>
            <w:pPr>
              <w:pStyle w:val="Compact"/>
              <w:jc w:val="left"/>
            </w:pPr>
            <w:r>
              <w:t xml:space="preserve">xxHash (XXH64, XXH3)</w:t>
            </w:r>
          </w:p>
        </w:tc>
        <w:tc>
          <w:tcPr/>
          <w:p>
            <w:pPr>
              <w:pStyle w:val="Compact"/>
              <w:jc w:val="left"/>
            </w:pPr>
            <w:r>
              <w:t xml:space="preserve">64/128 bits</w:t>
            </w:r>
          </w:p>
        </w:tc>
        <w:tc>
          <w:tcPr/>
          <w:p>
            <w:pPr>
              <w:pStyle w:val="Compact"/>
              <w:jc w:val="left"/>
            </w:pPr>
            <w:r>
              <w:t xml:space="preserve">No</w:t>
            </w:r>
          </w:p>
        </w:tc>
        <w:tc>
          <w:tcPr/>
          <w:p>
            <w:pPr>
              <w:pStyle w:val="Compact"/>
              <w:jc w:val="left"/>
            </w:pPr>
            <w:r>
              <w:t xml:space="preserve">Very fast</w:t>
            </w:r>
          </w:p>
        </w:tc>
        <w:tc>
          <w:tcPr/>
          <w:p>
            <w:pPr>
              <w:pStyle w:val="Compact"/>
              <w:jc w:val="left"/>
            </w:pPr>
            <w:r>
              <w:t xml:space="preserve">Checksums, sketches, deduplication</w:t>
            </w:r>
          </w:p>
        </w:tc>
      </w:tr>
      <w:tr>
        <w:tc>
          <w:tcPr/>
          <w:p>
            <w:pPr>
              <w:pStyle w:val="Compact"/>
              <w:jc w:val="left"/>
            </w:pPr>
            <w:r>
              <w:t xml:space="preserve">SipHash</w:t>
            </w:r>
          </w:p>
        </w:tc>
        <w:tc>
          <w:tcPr/>
          <w:p>
            <w:pPr>
              <w:pStyle w:val="Compact"/>
              <w:jc w:val="left"/>
            </w:pPr>
            <w:r>
              <w:t xml:space="preserve">64 bits</w:t>
            </w:r>
          </w:p>
        </w:tc>
        <w:tc>
          <w:tcPr/>
          <w:p>
            <w:pPr>
              <w:pStyle w:val="Compact"/>
              <w:jc w:val="left"/>
            </w:pPr>
            <w:r>
              <w:t xml:space="preserve">Yes, with a secret 128-bit key</w:t>
            </w:r>
          </w:p>
        </w:tc>
        <w:tc>
          <w:tcPr/>
          <w:p>
            <w:pPr>
              <w:pStyle w:val="Compact"/>
              <w:jc w:val="left"/>
            </w:pPr>
            <w:r>
              <w:t xml:space="preserve">Moderate</w:t>
            </w:r>
          </w:p>
        </w:tc>
        <w:tc>
          <w:tcPr/>
          <w:p>
            <w:pPr>
              <w:pStyle w:val="Compact"/>
              <w:jc w:val="left"/>
            </w:pPr>
            <w:r>
              <w:t xml:space="preserve">Hash tables exposed to untrusted keys</w:t>
            </w:r>
          </w:p>
        </w:tc>
      </w:tr>
      <w:tr>
        <w:tc>
          <w:tcPr/>
          <w:p>
            <w:pPr>
              <w:pStyle w:val="Compact"/>
              <w:jc w:val="left"/>
            </w:pPr>
            <w:r>
              <w:t xml:space="preserve">SHA-256, BLAKE2/BLAKE3</w:t>
            </w:r>
          </w:p>
        </w:tc>
        <w:tc>
          <w:tcPr/>
          <w:p>
            <w:pPr>
              <w:pStyle w:val="Compact"/>
              <w:jc w:val="left"/>
            </w:pPr>
            <w:r>
              <w:t xml:space="preserve">256 bits</w:t>
            </w:r>
          </w:p>
        </w:tc>
        <w:tc>
          <w:tcPr/>
          <w:p>
            <w:pPr>
              <w:pStyle w:val="Compact"/>
              <w:jc w:val="left"/>
            </w:pPr>
            <w:r>
              <w:t xml:space="preserve">Yes (cryptographic)</w:t>
            </w:r>
          </w:p>
        </w:tc>
        <w:tc>
          <w:tcPr/>
          <w:p>
            <w:pPr>
              <w:pStyle w:val="Compact"/>
              <w:jc w:val="left"/>
            </w:pPr>
            <w:r>
              <w:t xml:space="preserve">Slowest of these, still GB/s for BLAKE3</w:t>
            </w:r>
          </w:p>
        </w:tc>
        <w:tc>
          <w:tcPr/>
          <w:p>
            <w:pPr>
              <w:pStyle w:val="Compact"/>
              <w:jc w:val="left"/>
            </w:pPr>
            <w:r>
              <w:t xml:space="preserve">Content addressing, Merkle trees, integrity</w:t>
            </w:r>
          </w:p>
        </w:tc>
      </w:tr>
    </w:tbl>
    <w:p>
      <w:pPr>
        <w:pStyle w:val="BodyText"/>
      </w:pPr>
      <w:r>
        <w:t xml:space="preserve">Speeds are qualitative (as of 2025); benchmark on your hardware. This chapter’s code uses BLAKE2b from Python’s standard library for portability, not speed.</w:t>
      </w:r>
    </w:p>
    <w:p>
      <w:pPr>
        <w:pStyle w:val="CalloutRecommendation"/>
      </w:pPr>
      <w:r>
        <w:rPr>
          <w:bCs/>
          <w:b/>
        </w:rPr>
        <w:t xml:space="preserve">RECOMMENDATION</w:t>
      </w:r>
    </w:p>
    <w:p>
      <w:pPr>
        <w:pStyle w:val="CalloutRecommendation"/>
      </w:pPr>
      <w:r>
        <w:rPr>
          <w:bCs/>
          <w:b/>
        </w:rPr>
        <w:t xml:space="preserve">Pick the hash by threat model, then by speed.</w:t>
      </w:r>
      <w:r>
        <w:t xml:space="preserve"> </w:t>
      </w:r>
      <w:r>
        <w:t xml:space="preserve">Untrusted keys in an in-memory table: SipHash or a bounded-worst-case structure. Keys from your own system (partitioning, sketches, filters): MurmurHash3 or xxHash. Integrity: a cryptographic hash. Never change a live system’s partitioning hash without a migration plan.</w:t>
      </w:r>
    </w:p>
    <w:bookmarkEnd w:id="1911"/>
    <w:bookmarkStart w:id="1914" w:name="measuring-uniformity"/>
    <w:p>
      <w:pPr>
        <w:pStyle w:val="Heading3"/>
      </w:pPr>
      <w:r>
        <w:t xml:space="preserve">17.3.3 Measuring uniformity</w:t>
      </w:r>
    </w:p>
    <w:bookmarkStart w:id="1912" w:name="mathematical-foundations-33"/>
    <w:p>
      <w:pPr>
        <w:pStyle w:val="Heading4"/>
      </w:pPr>
      <w:r>
        <w:t xml:space="preserve">Mathematical foundations</w:t>
      </w:r>
    </w:p>
    <w:p>
      <w:pPr>
        <w:pStyle w:val="FirstParagraph"/>
      </w:pPr>
      <w:r>
        <w:t xml:space="preserve">Under a uniform hash, bucket counts are binomial, close to Poisson with mean</w:t>
      </w:r>
      <w:r>
        <w:t xml:space="preserve"> </w:t>
      </w:r>
      <m:oMath>
        <m:r>
          <m:t>n</m:t>
        </m:r>
        <m:r>
          <m:rPr>
            <m:sty m:val="p"/>
          </m:rPr>
          <m:t>/</m:t>
        </m:r>
        <m:r>
          <m:t>B</m:t>
        </m:r>
      </m:oMath>
      <w:r>
        <w:t xml:space="preserve">.</w:t>
      </w:r>
    </w:p>
    <w:p>
      <w:pPr>
        <w:pStyle w:val="CalloutFormula"/>
      </w:pPr>
      <w:r>
        <w:rPr>
          <w:bCs/>
          <w:b/>
        </w:rPr>
        <w:t xml:space="preserve">FORMULA</w:t>
      </w:r>
    </w:p>
    <w:p>
      <w:pPr>
        <w:pStyle w:val="CalloutFormula"/>
      </w:pPr>
      <w:r>
        <w:rPr>
          <w:bCs/>
          <w:b/>
        </w:rPr>
        <w:t xml:space="preserve">Expected bucket load and the chi-square uniformity test</w:t>
      </w:r>
    </w:p>
    <w:p>
      <w:pPr>
        <w:pStyle w:val="CalloutFormula"/>
      </w:pPr>
      <m:oMathPara>
        <m:oMathParaPr>
          <m:jc m:val="center"/>
        </m:oMathParaPr>
        <m:oMath>
          <m:r>
            <m:t>μ</m:t>
          </m:r>
          <m:r>
            <m:rPr>
              <m:sty m:val="p"/>
            </m:rPr>
            <m:t>=</m:t>
          </m:r>
          <m:f>
            <m:fPr>
              <m:type m:val="bar"/>
            </m:fPr>
            <m:num>
              <m:r>
                <m:t>n</m:t>
              </m:r>
            </m:num>
            <m:den>
              <m:r>
                <m:t>B</m:t>
              </m:r>
            </m:den>
          </m:f>
          <m:r>
            <m:rPr>
              <m:sty m:val="p"/>
            </m:rPr>
            <m:t>,</m:t>
          </m:r>
          <m:r>
            <m:t>  </m:t>
          </m:r>
          <m:r>
            <m:t>σ</m:t>
          </m:r>
          <m:r>
            <m:rPr>
              <m:sty m:val="p"/>
            </m:rPr>
            <m:t>≈</m:t>
          </m:r>
          <m:rad>
            <m:radPr>
              <m:degHide m:val="on"/>
            </m:radPr>
            <m:deg/>
            <m:e>
              <m:f>
                <m:fPr>
                  <m:type m:val="bar"/>
                </m:fPr>
                <m:num>
                  <m:r>
                    <m:t>n</m:t>
                  </m:r>
                </m:num>
                <m:den>
                  <m:r>
                    <m:t>B</m:t>
                  </m:r>
                </m:den>
              </m:f>
            </m:e>
          </m:rad>
          <m:r>
            <m:rPr>
              <m:sty m:val="p"/>
            </m:rPr>
            <m:t>,</m:t>
          </m:r>
          <m:r>
            <m:t>  </m:t>
          </m:r>
          <m:sSup>
            <m:e>
              <m:r>
                <m:t>χ</m:t>
              </m:r>
            </m:e>
            <m:sup>
              <m:r>
                <m:t>2</m:t>
              </m:r>
            </m:sup>
          </m:sSup>
          <m:r>
            <m:rPr>
              <m:sty m:val="p"/>
            </m:rPr>
            <m:t>=</m:t>
          </m:r>
          <m:nary>
            <m:naryPr>
              <m:chr m:val="∑"/>
              <m:limLoc m:val="undOvr"/>
              <m:subHide m:val="off"/>
              <m:supHide m:val="off"/>
            </m:naryPr>
            <m:sub>
              <m:r>
                <m:t>i</m:t>
              </m:r>
              <m:r>
                <m:rPr>
                  <m:sty m:val="p"/>
                </m:rPr>
                <m:t>=</m:t>
              </m:r>
              <m:r>
                <m:t>1</m:t>
              </m:r>
            </m:sub>
            <m:sup>
              <m:r>
                <m:t>B</m:t>
              </m:r>
            </m:sup>
            <m:e>
              <m:f>
                <m:fPr>
                  <m:type m:val="bar"/>
                </m:fPr>
                <m:num>
                  <m:sSup>
                    <m:e>
                      <m:d>
                        <m:dPr>
                          <m:begChr m:val="("/>
                          <m:endChr m:val=")"/>
                          <m:sepChr m:val=""/>
                          <m:grow/>
                        </m:dPr>
                        <m:e>
                          <m:sSub>
                            <m:e>
                              <m:r>
                                <m:t>c</m:t>
                              </m:r>
                            </m:e>
                            <m:sub>
                              <m:r>
                                <m:t>i</m:t>
                              </m:r>
                            </m:sub>
                          </m:sSub>
                          <m:r>
                            <m:rPr>
                              <m:sty m:val="p"/>
                            </m:rPr>
                            <m:t>−</m:t>
                          </m:r>
                          <m:r>
                            <m:t>μ</m:t>
                          </m:r>
                        </m:e>
                      </m:d>
                    </m:e>
                    <m:sup>
                      <m:r>
                        <m:t>2</m:t>
                      </m:r>
                    </m:sup>
                  </m:sSup>
                </m:num>
                <m:den>
                  <m:r>
                    <m:t>μ</m:t>
                  </m:r>
                </m:den>
              </m:f>
            </m:e>
          </m:nary>
          <m:r>
            <m:rPr>
              <m:sty m:val="p"/>
            </m:rPr>
            <m:t>,</m:t>
          </m:r>
          <m:r>
            <m:t>  </m:t>
          </m:r>
          <m:r>
            <m:rPr>
              <m:sty m:val="p"/>
              <m:scr m:val="double-struck"/>
            </m:rPr>
            <m:t>E</m:t>
          </m:r>
          <m:d>
            <m:dPr>
              <m:begChr m:val="["/>
              <m:endChr m:val="]"/>
              <m:sepChr m:val=""/>
              <m:grow/>
            </m:dPr>
            <m:e>
              <m:sSup>
                <m:e>
                  <m:r>
                    <m:t>χ</m:t>
                  </m:r>
                </m:e>
                <m:sup>
                  <m:r>
                    <m:t>2</m:t>
                  </m:r>
                </m:sup>
              </m:sSup>
            </m:e>
          </m:d>
          <m:r>
            <m:rPr>
              <m:sty m:val="p"/>
            </m:rPr>
            <m:t>≈</m:t>
          </m:r>
          <m:r>
            <m:t>B</m:t>
          </m:r>
          <m:r>
            <m:rPr>
              <m:sty m:val="p"/>
            </m:rPr>
            <m:t>−</m:t>
          </m:r>
          <m:r>
            <m:t>1</m:t>
          </m:r>
          <m:r>
            <m:rPr>
              <m:sty m:val="p"/>
            </m:rPr>
            <m:t>,</m:t>
          </m:r>
          <m:r>
            <m:t> </m:t>
          </m:r>
          <m:r>
            <m:rPr>
              <m:sty m:val="p"/>
            </m:rPr>
            <m:t>s</m:t>
          </m:r>
          <m:r>
            <m:rPr>
              <m:sty m:val="p"/>
            </m:rPr>
            <m:t>d</m:t>
          </m:r>
          <m:d>
            <m:dPr>
              <m:begChr m:val="("/>
              <m:endChr m:val=")"/>
              <m:sepChr m:val=""/>
              <m:grow/>
            </m:dPr>
            <m:e>
              <m:sSup>
                <m:e>
                  <m:r>
                    <m:t>χ</m:t>
                  </m:r>
                </m:e>
                <m:sup>
                  <m:r>
                    <m:t>2</m:t>
                  </m:r>
                </m:sup>
              </m:sSup>
            </m:e>
          </m:d>
          <m:r>
            <m:rPr>
              <m:sty m:val="p"/>
            </m:rPr>
            <m:t>≈</m:t>
          </m:r>
          <m:rad>
            <m:radPr>
              <m:degHide m:val="on"/>
            </m:radPr>
            <m:deg/>
            <m:e>
              <m:r>
                <m:t>2</m:t>
              </m:r>
              <m:d>
                <m:dPr>
                  <m:begChr m:val="("/>
                  <m:endChr m:val=")"/>
                  <m:sepChr m:val=""/>
                  <m:grow/>
                </m:dPr>
                <m:e>
                  <m:r>
                    <m:t>B</m:t>
                  </m:r>
                  <m:r>
                    <m:rPr>
                      <m:sty m:val="p"/>
                    </m:rPr>
                    <m:t>−</m:t>
                  </m:r>
                  <m:r>
                    <m:t>1</m:t>
                  </m:r>
                </m:e>
              </m:d>
            </m:e>
          </m:rad>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n</m:t>
              </m:r>
            </m:oMath>
          </w:p>
        </w:tc>
        <w:tc>
          <w:tcPr/>
          <w:p>
            <w:pPr>
              <w:pStyle w:val="Compact"/>
              <w:jc w:val="left"/>
            </w:pPr>
            <w:r>
              <w:t xml:space="preserve">Number of keys hashed</w:t>
            </w:r>
          </w:p>
        </w:tc>
        <w:tc>
          <w:tcPr/>
          <w:p>
            <w:pPr>
              <w:pStyle w:val="Compact"/>
              <w:jc w:val="left"/>
            </w:pPr>
            <w:r>
              <w:t xml:space="preserve">keys</w:t>
            </w:r>
          </w:p>
        </w:tc>
      </w:tr>
      <w:tr>
        <w:tc>
          <w:tcPr/>
          <w:p>
            <w:pPr>
              <w:pStyle w:val="Compact"/>
              <w:jc w:val="left"/>
            </w:pPr>
            <m:oMath>
              <m:r>
                <m:t>B</m:t>
              </m:r>
            </m:oMath>
          </w:p>
        </w:tc>
        <w:tc>
          <w:tcPr/>
          <w:p>
            <w:pPr>
              <w:pStyle w:val="Compact"/>
              <w:jc w:val="left"/>
            </w:pPr>
            <w:r>
              <w:t xml:space="preserve">Number of buckets</w:t>
            </w:r>
          </w:p>
        </w:tc>
        <w:tc>
          <w:tcPr/>
          <w:p>
            <w:pPr>
              <w:pStyle w:val="Compact"/>
              <w:jc w:val="left"/>
            </w:pPr>
            <w:r>
              <w:t xml:space="preserve">buckets</w:t>
            </w:r>
          </w:p>
        </w:tc>
      </w:tr>
      <w:tr>
        <w:tc>
          <w:tcPr/>
          <w:p>
            <w:pPr>
              <w:pStyle w:val="Compact"/>
              <w:jc w:val="left"/>
            </w:pPr>
            <m:oMath>
              <m:r>
                <m:t>μ</m:t>
              </m:r>
            </m:oMath>
          </w:p>
        </w:tc>
        <w:tc>
          <w:tcPr/>
          <w:p>
            <w:pPr>
              <w:pStyle w:val="Compact"/>
              <w:jc w:val="left"/>
            </w:pPr>
            <w:r>
              <w:t xml:space="preserve">Expected keys per bucket</w:t>
            </w:r>
          </w:p>
        </w:tc>
        <w:tc>
          <w:tcPr/>
          <w:p>
            <w:pPr>
              <w:pStyle w:val="Compact"/>
              <w:jc w:val="left"/>
            </w:pPr>
            <w:r>
              <w:t xml:space="preserve">keys/bucket</w:t>
            </w:r>
          </w:p>
        </w:tc>
      </w:tr>
      <w:tr>
        <w:tc>
          <w:tcPr/>
          <w:p>
            <w:pPr>
              <w:pStyle w:val="Compact"/>
              <w:jc w:val="left"/>
            </w:pPr>
            <m:oMath>
              <m:r>
                <m:t>σ</m:t>
              </m:r>
            </m:oMath>
          </w:p>
        </w:tc>
        <w:tc>
          <w:tcPr/>
          <w:p>
            <w:pPr>
              <w:pStyle w:val="Compact"/>
              <w:jc w:val="left"/>
            </w:pPr>
            <w:r>
              <w:t xml:space="preserve">Standard deviation of a bucket’s count under a uniform hash</w:t>
            </w:r>
          </w:p>
        </w:tc>
        <w:tc>
          <w:tcPr/>
          <w:p>
            <w:pPr>
              <w:pStyle w:val="Compact"/>
              <w:jc w:val="left"/>
            </w:pPr>
            <w:r>
              <w:t xml:space="preserve">keys/bucket</w:t>
            </w:r>
          </w:p>
        </w:tc>
      </w:tr>
      <w:tr>
        <w:tc>
          <w:tcPr/>
          <w:p>
            <w:pPr>
              <w:pStyle w:val="Compact"/>
              <w:jc w:val="left"/>
            </w:pPr>
            <m:oMath>
              <m:sSub>
                <m:e>
                  <m:r>
                    <m:t>c</m:t>
                  </m:r>
                </m:e>
                <m:sub>
                  <m:r>
                    <m:t>i</m:t>
                  </m:r>
                </m:sub>
              </m:sSub>
            </m:oMath>
          </w:p>
        </w:tc>
        <w:tc>
          <w:tcPr/>
          <w:p>
            <w:pPr>
              <w:pStyle w:val="Compact"/>
              <w:jc w:val="left"/>
            </w:pPr>
            <w:r>
              <w:t xml:space="preserve">Observed number of keys in bucket</w:t>
            </w:r>
            <w:r>
              <w:t xml:space="preserve"> </w:t>
            </w:r>
            <m:oMath>
              <m:r>
                <m:t>i</m:t>
              </m:r>
            </m:oMath>
          </w:p>
        </w:tc>
        <w:tc>
          <w:tcPr/>
          <w:p>
            <w:pPr>
              <w:pStyle w:val="Compact"/>
              <w:jc w:val="left"/>
            </w:pPr>
            <w:r>
              <w:t xml:space="preserve">keys</w:t>
            </w:r>
          </w:p>
        </w:tc>
      </w:tr>
      <w:tr>
        <w:tc>
          <w:tcPr/>
          <w:p>
            <w:pPr>
              <w:pStyle w:val="Compact"/>
              <w:jc w:val="left"/>
            </w:pPr>
            <m:oMath>
              <m:sSup>
                <m:e>
                  <m:r>
                    <m:t>χ</m:t>
                  </m:r>
                </m:e>
                <m:sup>
                  <m:r>
                    <m:t>2</m:t>
                  </m:r>
                </m:sup>
              </m:sSup>
            </m:oMath>
          </w:p>
        </w:tc>
        <w:tc>
          <w:tcPr/>
          <w:p>
            <w:pPr>
              <w:pStyle w:val="Compact"/>
              <w:jc w:val="left"/>
            </w:pPr>
            <w:r>
              <w:t xml:space="preserve">Chi-square statistic: total squared deviation from uniform</w:t>
            </w:r>
          </w:p>
        </w:tc>
        <w:tc>
          <w:tcPr/>
          <w:p>
            <w:pPr>
              <w:pStyle w:val="Compact"/>
              <w:jc w:val="left"/>
            </w:pPr>
            <w:r>
              <w:t xml:space="preserve">dimensionless</w:t>
            </w:r>
          </w:p>
        </w:tc>
      </w:tr>
    </w:tbl>
    <w:p>
      <w:pPr>
        <w:pStyle w:val="CalloutExample"/>
      </w:pPr>
      <w:r>
        <w:rPr>
          <w:bCs/>
          <w:b/>
        </w:rPr>
        <w:t xml:space="preserve">WORKED EXAMPLE</w:t>
      </w:r>
    </w:p>
    <w:p>
      <w:pPr>
        <w:pStyle w:val="CalloutExample"/>
      </w:pPr>
      <w:r>
        <w:rPr>
          <w:bCs/>
          <w:b/>
        </w:rPr>
        <w:t xml:space="preserve">Worked example — what</w:t>
      </w:r>
      <w:r>
        <w:rPr>
          <w:bCs/>
          <w:b/>
        </w:rPr>
        <w:t xml:space="preserve"> </w:t>
      </w:r>
      <w:r>
        <w:rPr>
          <w:bCs/>
          <w:b/>
        </w:rPr>
        <w:t xml:space="preserve">“</w:t>
      </w:r>
      <w:r>
        <w:rPr>
          <w:bCs/>
          <w:b/>
        </w:rPr>
        <w:t xml:space="preserve">uniform</w:t>
      </w:r>
      <w:r>
        <w:rPr>
          <w:bCs/>
          <w:b/>
        </w:rPr>
        <w:t xml:space="preserve">”</w:t>
      </w:r>
      <w:r>
        <w:rPr>
          <w:bCs/>
          <w:b/>
        </w:rPr>
        <w:t xml:space="preserve"> </w:t>
      </w:r>
      <w:r>
        <w:rPr>
          <w:bCs/>
          <w:b/>
        </w:rPr>
        <w:t xml:space="preserve">looks like for 100,000 keys in 1,024 buckets.</w:t>
      </w:r>
    </w:p>
    <w:p>
      <w:pPr>
        <w:numPr>
          <w:ilvl w:val="0"/>
          <w:numId w:val="1559"/>
        </w:numPr>
        <w:pStyle w:val="Compact"/>
      </w:pPr>
      <w:r>
        <w:t xml:space="preserve">Mean load:</w:t>
      </w:r>
      <w:r>
        <w:t xml:space="preserve"> </w:t>
      </w:r>
      <m:oMath>
        <m:r>
          <m:t>μ</m:t>
        </m:r>
        <m:r>
          <m:rPr>
            <m:sty m:val="p"/>
          </m:rPr>
          <m:t>=</m:t>
        </m:r>
        <m:r>
          <m:t>100</m:t>
        </m:r>
        <m:r>
          <m:rPr>
            <m:sty m:val="p"/>
          </m:rPr>
          <m:t>,</m:t>
        </m:r>
        <m:r>
          <m:t>000</m:t>
        </m:r>
        <m:r>
          <m:rPr>
            <m:sty m:val="p"/>
          </m:rPr>
          <m:t>/</m:t>
        </m:r>
        <m:r>
          <m:t>1</m:t>
        </m:r>
        <m:r>
          <m:rPr>
            <m:sty m:val="p"/>
          </m:rPr>
          <m:t>,</m:t>
        </m:r>
        <m:r>
          <m:t>024</m:t>
        </m:r>
        <m:r>
          <m:rPr>
            <m:sty m:val="p"/>
          </m:rPr>
          <m:t>=</m:t>
        </m:r>
        <m:r>
          <m:t>97.7</m:t>
        </m:r>
      </m:oMath>
      <w:r>
        <w:t xml:space="preserve"> </w:t>
      </w:r>
      <w:r>
        <w:t xml:space="preserve">keys per bucket.</w:t>
      </w:r>
    </w:p>
    <w:p>
      <w:pPr>
        <w:numPr>
          <w:ilvl w:val="0"/>
          <w:numId w:val="1559"/>
        </w:numPr>
        <w:pStyle w:val="Compact"/>
      </w:pPr>
      <w:r>
        <w:t xml:space="preserve">Spread:</w:t>
      </w:r>
      <w:r>
        <w:t xml:space="preserve"> </w:t>
      </w:r>
      <m:oMath>
        <m:r>
          <m:t>σ</m:t>
        </m:r>
        <m:r>
          <m:rPr>
            <m:sty m:val="p"/>
          </m:rPr>
          <m:t>≈</m:t>
        </m:r>
        <m:rad>
          <m:radPr>
            <m:degHide m:val="on"/>
          </m:radPr>
          <m:deg/>
          <m:e>
            <m:r>
              <m:t>97.7</m:t>
            </m:r>
          </m:e>
        </m:rad>
        <m:r>
          <m:rPr>
            <m:sty m:val="p"/>
          </m:rPr>
          <m:t>=</m:t>
        </m:r>
        <m:r>
          <m:t>9.9</m:t>
        </m:r>
      </m:oMath>
      <w:r>
        <w:t xml:space="preserve">. About 95% of buckets should hold between</w:t>
      </w:r>
      <w:r>
        <w:t xml:space="preserve"> </w:t>
      </w:r>
      <m:oMath>
        <m:r>
          <m:t>97.7</m:t>
        </m:r>
        <m:r>
          <m:rPr>
            <m:sty m:val="p"/>
          </m:rPr>
          <m:t>−</m:t>
        </m:r>
        <m:r>
          <m:t>2</m:t>
        </m:r>
        <m:r>
          <m:rPr>
            <m:sty m:val="p"/>
          </m:rPr>
          <m:t>×</m:t>
        </m:r>
        <m:r>
          <m:t>9.9</m:t>
        </m:r>
        <m:r>
          <m:rPr>
            <m:sty m:val="p"/>
          </m:rPr>
          <m:t>=</m:t>
        </m:r>
        <m:r>
          <m:t>78</m:t>
        </m:r>
      </m:oMath>
      <w:r>
        <w:t xml:space="preserve"> </w:t>
      </w:r>
      <w:r>
        <w:t xml:space="preserve">and</w:t>
      </w:r>
      <w:r>
        <w:t xml:space="preserve"> </w:t>
      </w:r>
      <m:oMath>
        <m:r>
          <m:t>97.7</m:t>
        </m:r>
        <m:r>
          <m:rPr>
            <m:sty m:val="p"/>
          </m:rPr>
          <m:t>+</m:t>
        </m:r>
        <m:r>
          <m:t>2</m:t>
        </m:r>
        <m:r>
          <m:rPr>
            <m:sty m:val="p"/>
          </m:rPr>
          <m:t>×</m:t>
        </m:r>
        <m:r>
          <m:t>9.9</m:t>
        </m:r>
        <m:r>
          <m:rPr>
            <m:sty m:val="p"/>
          </m:rPr>
          <m:t>=</m:t>
        </m:r>
        <m:r>
          <m:t>118</m:t>
        </m:r>
      </m:oMath>
      <w:r>
        <w:t xml:space="preserve"> </w:t>
      </w:r>
      <w:r>
        <w:t xml:space="preserve">keys.</w:t>
      </w:r>
    </w:p>
    <w:p>
      <w:pPr>
        <w:numPr>
          <w:ilvl w:val="0"/>
          <w:numId w:val="1559"/>
        </w:numPr>
        <w:pStyle w:val="Compact"/>
      </w:pPr>
      <w:r>
        <w:t xml:space="preserve">The fullest of 1,024 buckets is typically about 3.2 standard deviations above the mean:</w:t>
      </w:r>
      <w:r>
        <w:t xml:space="preserve"> </w:t>
      </w:r>
      <m:oMath>
        <m:r>
          <m:t>97.7</m:t>
        </m:r>
        <m:r>
          <m:rPr>
            <m:sty m:val="p"/>
          </m:rPr>
          <m:t>+</m:t>
        </m:r>
        <m:r>
          <m:t>3.2</m:t>
        </m:r>
        <m:r>
          <m:rPr>
            <m:sty m:val="p"/>
          </m:rPr>
          <m:t>×</m:t>
        </m:r>
        <m:r>
          <m:t>9.9</m:t>
        </m:r>
        <m:r>
          <m:rPr>
            <m:sty m:val="p"/>
          </m:rPr>
          <m:t>≈</m:t>
        </m:r>
        <m:r>
          <m:t>129</m:t>
        </m:r>
      </m:oMath>
      <w:r>
        <w:t xml:space="preserve"> </w:t>
      </w:r>
      <w:r>
        <w:t xml:space="preserve">keys.</w:t>
      </w:r>
    </w:p>
    <w:p>
      <w:pPr>
        <w:numPr>
          <w:ilvl w:val="0"/>
          <w:numId w:val="1559"/>
        </w:numPr>
        <w:pStyle w:val="Compact"/>
      </w:pPr>
      <w:r>
        <w:t xml:space="preserve">The chi-square statistic for a uniform hash should be near</w:t>
      </w:r>
      <w:r>
        <w:t xml:space="preserve"> </w:t>
      </w:r>
      <m:oMath>
        <m:r>
          <m:t>B</m:t>
        </m:r>
        <m:r>
          <m:rPr>
            <m:sty m:val="p"/>
          </m:rPr>
          <m:t>−</m:t>
        </m:r>
        <m:r>
          <m:t>1</m:t>
        </m:r>
        <m:r>
          <m:rPr>
            <m:sty m:val="p"/>
          </m:rPr>
          <m:t>=</m:t>
        </m:r>
        <m:r>
          <m:t>1</m:t>
        </m:r>
        <m:r>
          <m:rPr>
            <m:sty m:val="p"/>
          </m:rPr>
          <m:t>,</m:t>
        </m:r>
        <m:r>
          <m:t>023</m:t>
        </m:r>
      </m:oMath>
      <w:r>
        <w:t xml:space="preserve">, with standard deviation</w:t>
      </w:r>
      <w:r>
        <w:t xml:space="preserve"> </w:t>
      </w:r>
      <m:oMath>
        <m:rad>
          <m:radPr>
            <m:degHide m:val="on"/>
          </m:radPr>
          <m:deg/>
          <m:e>
            <m:r>
              <m:t>2</m:t>
            </m:r>
            <m:r>
              <m:rPr>
                <m:sty m:val="p"/>
              </m:rPr>
              <m:t>×</m:t>
            </m:r>
            <m:r>
              <m:t>1</m:t>
            </m:r>
            <m:r>
              <m:rPr>
                <m:sty m:val="p"/>
              </m:rPr>
              <m:t>,</m:t>
            </m:r>
            <m:r>
              <m:t>023</m:t>
            </m:r>
          </m:e>
        </m:rad>
        <m:r>
          <m:rPr>
            <m:sty m:val="p"/>
          </m:rPr>
          <m:t>=</m:t>
        </m:r>
        <m:r>
          <m:t>45</m:t>
        </m:r>
      </m:oMath>
      <w:r>
        <w:t xml:space="preserve">. Values above about</w:t>
      </w:r>
      <w:r>
        <w:t xml:space="preserve"> </w:t>
      </w:r>
      <m:oMath>
        <m:r>
          <m:t>1</m:t>
        </m:r>
        <m:r>
          <m:rPr>
            <m:sty m:val="p"/>
          </m:rPr>
          <m:t>,</m:t>
        </m:r>
        <m:r>
          <m:t>023</m:t>
        </m:r>
        <m:r>
          <m:rPr>
            <m:sty m:val="p"/>
          </m:rPr>
          <m:t>+</m:t>
        </m:r>
        <m:r>
          <m:t>3</m:t>
        </m:r>
        <m:r>
          <m:rPr>
            <m:sty m:val="p"/>
          </m:rPr>
          <m:t>×</m:t>
        </m:r>
        <m:r>
          <m:t>45</m:t>
        </m:r>
        <m:r>
          <m:rPr>
            <m:sty m:val="p"/>
          </m:rPr>
          <m:t>=</m:t>
        </m:r>
        <m:r>
          <m:t>1</m:t>
        </m:r>
        <m:r>
          <m:rPr>
            <m:sty m:val="p"/>
          </m:rPr>
          <m:t>,</m:t>
        </m:r>
        <m:r>
          <m:t>158</m:t>
        </m:r>
      </m:oMath>
      <w:r>
        <w:t xml:space="preserve"> </w:t>
      </w:r>
      <w:r>
        <w:t xml:space="preserve">suggest non-uniformity.</w:t>
      </w:r>
    </w:p>
    <w:p>
      <w:pPr>
        <w:pStyle w:val="CalloutExample"/>
      </w:pPr>
      <w:r>
        <w:rPr>
          <w:iCs/>
          <w:i/>
        </w:rPr>
        <w:t xml:space="preserve">Interpretation.</w:t>
      </w:r>
      <w:r>
        <w:t xml:space="preserve"> </w:t>
      </w:r>
      <w:r>
        <w:t xml:space="preserve">Even a perfect hash leaves a 30% spread between emptiest and fullest bucket.</w:t>
      </w:r>
      <w:r>
        <w:t xml:space="preserve"> </w:t>
      </w:r>
      <w:r>
        <w:rPr>
          <w:iCs/>
          <w:i/>
        </w:rPr>
        <w:t xml:space="preserve">Engineering implication.</w:t>
      </w:r>
      <w:r>
        <w:t xml:space="preserve"> </w:t>
      </w:r>
      <w:r>
        <w:t xml:space="preserve">Provision partitions for the fullest one, not the average; the relative spread</w:t>
      </w:r>
      <w:r>
        <w:t xml:space="preserve"> </w:t>
      </w:r>
      <m:oMath>
        <m:r>
          <m:t>1</m:t>
        </m:r>
        <m:r>
          <m:rPr>
            <m:sty m:val="p"/>
          </m:rPr>
          <m:t>/</m:t>
        </m:r>
        <m:rad>
          <m:radPr>
            <m:degHide m:val="on"/>
          </m:radPr>
          <m:deg/>
          <m:e>
            <m:r>
              <m:t>μ</m:t>
            </m:r>
          </m:e>
        </m:rad>
      </m:oMath>
      <w:r>
        <w:t xml:space="preserve"> </w:t>
      </w:r>
      <w:r>
        <w:t xml:space="preserve">is one reason systems use many virtual nodes per server (§14.8).</w:t>
      </w:r>
    </w:p>
    <w:bookmarkEnd w:id="1912"/>
    <w:bookmarkStart w:id="1913" w:name="code-example-17"/>
    <w:p>
      <w:pPr>
        <w:pStyle w:val="Heading4"/>
      </w:pPr>
      <w:r>
        <w:t xml:space="preserve">Code example</w:t>
      </w:r>
    </w:p>
    <w:p>
      <w:pPr>
        <w:pStyle w:val="FirstParagraph"/>
      </w:pPr>
      <w:r>
        <w:t xml:space="preserve">The program implements MurmurHash3 (x86, 32-bit) and compares it with a deliberately bad hash on 100,000 structured keys.</w:t>
      </w:r>
    </w:p>
    <w:p>
      <w:pPr>
        <w:pStyle w:val="SourceCode"/>
      </w:pPr>
      <w:r>
        <w:rPr>
          <w:rStyle w:val="KeywordTok"/>
        </w:rPr>
        <w:t xml:space="preserve">def</w:t>
      </w:r>
      <w:r>
        <w:rPr>
          <w:rStyle w:val="NormalTok"/>
        </w:rPr>
        <w:t xml:space="preserve"> murmur3_32(data: </w:t>
      </w:r>
      <w:r>
        <w:rPr>
          <w:rStyle w:val="BuiltInTok"/>
        </w:rPr>
        <w:t xml:space="preserve">bytes</w:t>
      </w:r>
      <w:r>
        <w:rPr>
          <w:rStyle w:val="NormalTok"/>
        </w:rPr>
        <w:t xml:space="preserve">, seed: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"""MurmurHash3 x86_32 (Appleby), pure Python. Returns an unsigned 32-bit int."""</w:t>
      </w:r>
      <w:r>
        <w:br/>
      </w:r>
      <w:r>
        <w:rPr>
          <w:rStyle w:val="NormalTok"/>
        </w:rPr>
        <w:t xml:space="preserve">    c1, c2, mask </w:t>
      </w:r>
      <w:r>
        <w:rPr>
          <w:rStyle w:val="OperatorTok"/>
        </w:rPr>
        <w:t xml:space="preserve">=</w:t>
      </w:r>
      <w:r>
        <w:rPr>
          <w:rStyle w:val="NormalTok"/>
        </w:rPr>
        <w:t xml:space="preserve"> </w:t>
      </w:r>
      <w:r>
        <w:rPr>
          <w:rStyle w:val="BaseNTok"/>
        </w:rPr>
        <w:t xml:space="preserve">0xCC9E2D51</w:t>
      </w:r>
      <w:r>
        <w:rPr>
          <w:rStyle w:val="NormalTok"/>
        </w:rPr>
        <w:t xml:space="preserve">, </w:t>
      </w:r>
      <w:r>
        <w:rPr>
          <w:rStyle w:val="BaseNTok"/>
        </w:rPr>
        <w:t xml:space="preserve">0x1B873593</w:t>
      </w:r>
      <w:r>
        <w:rPr>
          <w:rStyle w:val="NormalTok"/>
        </w:rPr>
        <w:t xml:space="preserve">, </w:t>
      </w:r>
      <w:r>
        <w:rPr>
          <w:rStyle w:val="BaseNTok"/>
        </w:rPr>
        <w:t xml:space="preserve">0xFFFFFFFF</w:t>
      </w:r>
      <w:r>
        <w:br/>
      </w:r>
      <w:r>
        <w:rPr>
          <w:rStyle w:val="NormalTok"/>
        </w:rPr>
        <w:t xml:space="preserve">    h </w:t>
      </w:r>
      <w:r>
        <w:rPr>
          <w:rStyle w:val="OperatorTok"/>
        </w:rPr>
        <w:t xml:space="preserve">=</w:t>
      </w:r>
      <w:r>
        <w:rPr>
          <w:rStyle w:val="NormalTok"/>
        </w:rPr>
        <w:t xml:space="preserve"> seed </w:t>
      </w:r>
      <w:r>
        <w:rPr>
          <w:rStyle w:val="OperatorTok"/>
        </w:rPr>
        <w:t xml:space="preserve">&amp;</w:t>
      </w:r>
      <w:r>
        <w:rPr>
          <w:rStyle w:val="NormalTok"/>
        </w:rPr>
        <w:t xml:space="preserve"> mask</w:t>
      </w:r>
      <w:r>
        <w:br/>
      </w:r>
      <w:r>
        <w:rPr>
          <w:rStyle w:val="NormalTok"/>
        </w:rPr>
        <w:t xml:space="preserve">    n_blocks </w:t>
      </w:r>
      <w:r>
        <w:rPr>
          <w:rStyle w:val="OperatorTok"/>
        </w:rPr>
        <w:t xml:space="preserve">=</w:t>
      </w:r>
      <w:r>
        <w:rPr>
          <w:rStyle w:val="NormalTok"/>
        </w:rPr>
        <w:t xml:space="preserve"> </w:t>
      </w:r>
      <w:r>
        <w:rPr>
          <w:rStyle w:val="BuiltInTok"/>
        </w:rPr>
        <w:t xml:space="preserve">len</w:t>
      </w:r>
      <w:r>
        <w:rPr>
          <w:rStyle w:val="NormalTok"/>
        </w:rPr>
        <w:t xml:space="preserve">(data) </w:t>
      </w:r>
      <w:r>
        <w:rPr>
          <w:rStyle w:val="OperatorTok"/>
        </w:rPr>
        <w:t xml:space="preserve">//</w:t>
      </w:r>
      <w:r>
        <w:rPr>
          <w:rStyle w:val="NormalTok"/>
        </w:rPr>
        <w:t xml:space="preserve"> </w:t>
      </w:r>
      <w:r>
        <w:rPr>
          <w:rStyle w:val="DecValTok"/>
        </w:rPr>
        <w:t xml:space="preserve">4</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(n_blocks):                      </w:t>
      </w:r>
      <w:r>
        <w:rPr>
          <w:rStyle w:val="CommentTok"/>
        </w:rPr>
        <w:t xml:space="preserve"># body: 4-byte little-endian blocks</w:t>
      </w:r>
      <w:r>
        <w:br/>
      </w:r>
      <w:r>
        <w:rPr>
          <w:rStyle w:val="NormalTok"/>
        </w:rPr>
        <w:t xml:space="preserve">        k </w:t>
      </w:r>
      <w:r>
        <w:rPr>
          <w:rStyle w:val="OperatorTok"/>
        </w:rPr>
        <w:t xml:space="preserve">=</w:t>
      </w:r>
      <w:r>
        <w:rPr>
          <w:rStyle w:val="NormalTok"/>
        </w:rPr>
        <w:t xml:space="preserve"> </w:t>
      </w:r>
      <w:r>
        <w:rPr>
          <w:rStyle w:val="BuiltInTok"/>
        </w:rPr>
        <w:t xml:space="preserve">int</w:t>
      </w:r>
      <w:r>
        <w:rPr>
          <w:rStyle w:val="NormalTok"/>
        </w:rPr>
        <w:t xml:space="preserve">.from_bytes(data[</w:t>
      </w:r>
      <w:r>
        <w:rPr>
          <w:rStyle w:val="DecValTok"/>
        </w:rPr>
        <w:t xml:space="preserve">4</w:t>
      </w:r>
      <w:r>
        <w:rPr>
          <w:rStyle w:val="NormalTok"/>
        </w:rPr>
        <w:t xml:space="preserve"> </w:t>
      </w:r>
      <w:r>
        <w:rPr>
          <w:rStyle w:val="OperatorTok"/>
        </w:rPr>
        <w:t xml:space="preserve">*</w:t>
      </w:r>
      <w:r>
        <w:rPr>
          <w:rStyle w:val="NormalTok"/>
        </w:rPr>
        <w:t xml:space="preserve"> i:</w:t>
      </w:r>
      <w:r>
        <w:rPr>
          <w:rStyle w:val="DecValTok"/>
        </w:rPr>
        <w:t xml:space="preserve">4</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4</w:t>
      </w:r>
      <w:r>
        <w:rPr>
          <w:rStyle w:val="NormalTok"/>
        </w:rPr>
        <w:t xml:space="preserve">], </w:t>
      </w:r>
      <w:r>
        <w:rPr>
          <w:rStyle w:val="StringTok"/>
        </w:rPr>
        <w:t xml:space="preserve">"little"</w:t>
      </w:r>
      <w:r>
        <w:rPr>
          <w:rStyle w:val="NormalTok"/>
        </w:rPr>
        <w:t xml:space="preserve">)</w:t>
      </w:r>
      <w:r>
        <w:br/>
      </w:r>
      <w:r>
        <w:rPr>
          <w:rStyle w:val="NormalTok"/>
        </w:rPr>
        <w:t xml:space="preserve">        k </w:t>
      </w:r>
      <w:r>
        <w:rPr>
          <w:rStyle w:val="OperatorTok"/>
        </w:rPr>
        <w:t xml:space="preserve">=</w:t>
      </w:r>
      <w:r>
        <w:rPr>
          <w:rStyle w:val="NormalTok"/>
        </w:rPr>
        <w:t xml:space="preserve"> (k </w:t>
      </w:r>
      <w:r>
        <w:rPr>
          <w:rStyle w:val="OperatorTok"/>
        </w:rPr>
        <w:t xml:space="preserve">*</w:t>
      </w:r>
      <w:r>
        <w:rPr>
          <w:rStyle w:val="NormalTok"/>
        </w:rPr>
        <w:t xml:space="preserve"> c1) </w:t>
      </w:r>
      <w:r>
        <w:rPr>
          <w:rStyle w:val="OperatorTok"/>
        </w:rPr>
        <w:t xml:space="preserve">&amp;</w:t>
      </w:r>
      <w:r>
        <w:rPr>
          <w:rStyle w:val="NormalTok"/>
        </w:rPr>
        <w:t xml:space="preserve"> mask</w:t>
      </w:r>
      <w:r>
        <w:br/>
      </w:r>
      <w:r>
        <w:rPr>
          <w:rStyle w:val="NormalTok"/>
        </w:rPr>
        <w:t xml:space="preserve">        k </w:t>
      </w:r>
      <w:r>
        <w:rPr>
          <w:rStyle w:val="OperatorTok"/>
        </w:rPr>
        <w:t xml:space="preserve">=</w:t>
      </w:r>
      <w:r>
        <w:rPr>
          <w:rStyle w:val="NormalTok"/>
        </w:rPr>
        <w:t xml:space="preserve"> ((k </w:t>
      </w:r>
      <w:r>
        <w:rPr>
          <w:rStyle w:val="OperatorTok"/>
        </w:rPr>
        <w:t xml:space="preserve">&lt;&lt;</w:t>
      </w:r>
      <w:r>
        <w:rPr>
          <w:rStyle w:val="NormalTok"/>
        </w:rPr>
        <w:t xml:space="preserve"> </w:t>
      </w:r>
      <w:r>
        <w:rPr>
          <w:rStyle w:val="DecValTok"/>
        </w:rPr>
        <w:t xml:space="preserve">15</w:t>
      </w:r>
      <w:r>
        <w:rPr>
          <w:rStyle w:val="NormalTok"/>
        </w:rPr>
        <w:t xml:space="preserve">) </w:t>
      </w:r>
      <w:r>
        <w:rPr>
          <w:rStyle w:val="OperatorTok"/>
        </w:rPr>
        <w:t xml:space="preserve">|</w:t>
      </w:r>
      <w:r>
        <w:rPr>
          <w:rStyle w:val="NormalTok"/>
        </w:rPr>
        <w:t xml:space="preserve"> (k </w:t>
      </w:r>
      <w:r>
        <w:rPr>
          <w:rStyle w:val="OperatorTok"/>
        </w:rPr>
        <w:t xml:space="preserve">&gt;&gt;</w:t>
      </w:r>
      <w:r>
        <w:rPr>
          <w:rStyle w:val="NormalTok"/>
        </w:rPr>
        <w:t xml:space="preserve"> </w:t>
      </w:r>
      <w:r>
        <w:rPr>
          <w:rStyle w:val="DecValTok"/>
        </w:rPr>
        <w:t xml:space="preserve">17</w:t>
      </w:r>
      <w:r>
        <w:rPr>
          <w:rStyle w:val="NormalTok"/>
        </w:rPr>
        <w:t xml:space="preserve">)) </w:t>
      </w:r>
      <w:r>
        <w:rPr>
          <w:rStyle w:val="OperatorTok"/>
        </w:rPr>
        <w:t xml:space="preserve">&amp;</w:t>
      </w:r>
      <w:r>
        <w:rPr>
          <w:rStyle w:val="NormalTok"/>
        </w:rPr>
        <w:t xml:space="preserve"> mask         </w:t>
      </w:r>
      <w:r>
        <w:rPr>
          <w:rStyle w:val="CommentTok"/>
        </w:rPr>
        <w:t xml:space="preserve"># rotl32(k, 15)</w:t>
      </w:r>
      <w:r>
        <w:br/>
      </w:r>
      <w:r>
        <w:rPr>
          <w:rStyle w:val="NormalTok"/>
        </w:rPr>
        <w:t xml:space="preserve">        k </w:t>
      </w:r>
      <w:r>
        <w:rPr>
          <w:rStyle w:val="OperatorTok"/>
        </w:rPr>
        <w:t xml:space="preserve">=</w:t>
      </w:r>
      <w:r>
        <w:rPr>
          <w:rStyle w:val="NormalTok"/>
        </w:rPr>
        <w:t xml:space="preserve"> (k </w:t>
      </w:r>
      <w:r>
        <w:rPr>
          <w:rStyle w:val="OperatorTok"/>
        </w:rPr>
        <w:t xml:space="preserve">*</w:t>
      </w:r>
      <w:r>
        <w:rPr>
          <w:rStyle w:val="NormalTok"/>
        </w:rPr>
        <w:t xml:space="preserve"> c2) </w:t>
      </w:r>
      <w:r>
        <w:rPr>
          <w:rStyle w:val="OperatorTok"/>
        </w:rPr>
        <w:t xml:space="preserve">&amp;</w:t>
      </w:r>
      <w:r>
        <w:rPr>
          <w:rStyle w:val="NormalTok"/>
        </w:rPr>
        <w:t xml:space="preserve"> mask</w:t>
      </w:r>
      <w:r>
        <w:br/>
      </w:r>
      <w:r>
        <w:rPr>
          <w:rStyle w:val="NormalTok"/>
        </w:rPr>
        <w:t xml:space="preserve">        h </w:t>
      </w:r>
      <w:r>
        <w:rPr>
          <w:rStyle w:val="OperatorTok"/>
        </w:rPr>
        <w:t xml:space="preserve">^=</w:t>
      </w:r>
      <w:r>
        <w:rPr>
          <w:rStyle w:val="NormalTok"/>
        </w:rPr>
        <w:t xml:space="preserve"> k</w:t>
      </w:r>
      <w:r>
        <w:br/>
      </w:r>
      <w:r>
        <w:rPr>
          <w:rStyle w:val="NormalTok"/>
        </w:rPr>
        <w:t xml:space="preserve">        h </w:t>
      </w:r>
      <w:r>
        <w:rPr>
          <w:rStyle w:val="OperatorTok"/>
        </w:rPr>
        <w:t xml:space="preserve">=</w:t>
      </w:r>
      <w:r>
        <w:rPr>
          <w:rStyle w:val="NormalTok"/>
        </w:rPr>
        <w:t xml:space="preserve"> ((h </w:t>
      </w:r>
      <w:r>
        <w:rPr>
          <w:rStyle w:val="OperatorTok"/>
        </w:rPr>
        <w:t xml:space="preserve">&lt;&lt;</w:t>
      </w:r>
      <w:r>
        <w:rPr>
          <w:rStyle w:val="NormalTok"/>
        </w:rPr>
        <w:t xml:space="preserve"> </w:t>
      </w:r>
      <w:r>
        <w:rPr>
          <w:rStyle w:val="DecValTok"/>
        </w:rPr>
        <w:t xml:space="preserve">13</w:t>
      </w:r>
      <w:r>
        <w:rPr>
          <w:rStyle w:val="NormalTok"/>
        </w:rPr>
        <w:t xml:space="preserve">) </w:t>
      </w:r>
      <w:r>
        <w:rPr>
          <w:rStyle w:val="OperatorTok"/>
        </w:rPr>
        <w:t xml:space="preserve">|</w:t>
      </w:r>
      <w:r>
        <w:rPr>
          <w:rStyle w:val="NormalTok"/>
        </w:rPr>
        <w:t xml:space="preserve"> (h </w:t>
      </w:r>
      <w:r>
        <w:rPr>
          <w:rStyle w:val="OperatorTok"/>
        </w:rPr>
        <w:t xml:space="preserve">&gt;&gt;</w:t>
      </w:r>
      <w:r>
        <w:rPr>
          <w:rStyle w:val="NormalTok"/>
        </w:rPr>
        <w:t xml:space="preserve"> </w:t>
      </w:r>
      <w:r>
        <w:rPr>
          <w:rStyle w:val="DecValTok"/>
        </w:rPr>
        <w:t xml:space="preserve">19</w:t>
      </w:r>
      <w:r>
        <w:rPr>
          <w:rStyle w:val="NormalTok"/>
        </w:rPr>
        <w:t xml:space="preserve">)) </w:t>
      </w:r>
      <w:r>
        <w:rPr>
          <w:rStyle w:val="OperatorTok"/>
        </w:rPr>
        <w:t xml:space="preserve">&amp;</w:t>
      </w:r>
      <w:r>
        <w:rPr>
          <w:rStyle w:val="NormalTok"/>
        </w:rPr>
        <w:t xml:space="preserve"> mask         </w:t>
      </w:r>
      <w:r>
        <w:rPr>
          <w:rStyle w:val="CommentTok"/>
        </w:rPr>
        <w:t xml:space="preserve"># rotl32(h, 13)</w:t>
      </w:r>
      <w:r>
        <w:br/>
      </w:r>
      <w:r>
        <w:rPr>
          <w:rStyle w:val="NormalTok"/>
        </w:rPr>
        <w:t xml:space="preserve">        h </w:t>
      </w:r>
      <w:r>
        <w:rPr>
          <w:rStyle w:val="OperatorTok"/>
        </w:rPr>
        <w:t xml:space="preserve">=</w:t>
      </w:r>
      <w:r>
        <w:rPr>
          <w:rStyle w:val="NormalTok"/>
        </w:rPr>
        <w:t xml:space="preserve"> (h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BaseNTok"/>
        </w:rPr>
        <w:t xml:space="preserve">0xE6546B64</w:t>
      </w:r>
      <w:r>
        <w:rPr>
          <w:rStyle w:val="NormalTok"/>
        </w:rPr>
        <w:t xml:space="preserve">) </w:t>
      </w:r>
      <w:r>
        <w:rPr>
          <w:rStyle w:val="OperatorTok"/>
        </w:rPr>
        <w:t xml:space="preserve">&amp;</w:t>
      </w:r>
      <w:r>
        <w:rPr>
          <w:rStyle w:val="NormalTok"/>
        </w:rPr>
        <w:t xml:space="preserve"> mask</w:t>
      </w:r>
      <w:r>
        <w:br/>
      </w:r>
      <w:r>
        <w:rPr>
          <w:rStyle w:val="NormalTok"/>
        </w:rPr>
        <w:t xml:space="preserve">    tail, k </w:t>
      </w:r>
      <w:r>
        <w:rPr>
          <w:rStyle w:val="OperatorTok"/>
        </w:rPr>
        <w:t xml:space="preserve">=</w:t>
      </w:r>
      <w:r>
        <w:rPr>
          <w:rStyle w:val="NormalTok"/>
        </w:rPr>
        <w:t xml:space="preserve"> data[</w:t>
      </w:r>
      <w:r>
        <w:rPr>
          <w:rStyle w:val="DecValTok"/>
        </w:rPr>
        <w:t xml:space="preserve">4</w:t>
      </w:r>
      <w:r>
        <w:rPr>
          <w:rStyle w:val="NormalTok"/>
        </w:rPr>
        <w:t xml:space="preserve"> </w:t>
      </w:r>
      <w:r>
        <w:rPr>
          <w:rStyle w:val="OperatorTok"/>
        </w:rPr>
        <w:t xml:space="preserve">*</w:t>
      </w:r>
      <w:r>
        <w:rPr>
          <w:rStyle w:val="NormalTok"/>
        </w:rPr>
        <w:t xml:space="preserve"> n_blocks:], </w:t>
      </w:r>
      <w:r>
        <w:rPr>
          <w:rStyle w:val="DecValTok"/>
        </w:rPr>
        <w:t xml:space="preserve">0</w:t>
      </w:r>
      <w:r>
        <w:rPr>
          <w:rStyle w:val="NormalTok"/>
        </w:rPr>
        <w:t xml:space="preserve">               </w:t>
      </w:r>
      <w:r>
        <w:rPr>
          <w:rStyle w:val="CommentTok"/>
        </w:rPr>
        <w:t xml:space="preserve"># tail: remaining 1-3 bytes</w:t>
      </w:r>
      <w:r>
        <w:br/>
      </w:r>
      <w:r>
        <w:rPr>
          <w:rStyle w:val="NormalTok"/>
        </w:rPr>
        <w:t xml:space="preserve">    </w:t>
      </w:r>
      <w:r>
        <w:rPr>
          <w:rStyle w:val="ControlFlowTok"/>
        </w:rPr>
        <w:t xml:space="preserve">for</w:t>
      </w:r>
      <w:r>
        <w:rPr>
          <w:rStyle w:val="NormalTok"/>
        </w:rPr>
        <w:t xml:space="preserve"> i, byte </w:t>
      </w:r>
      <w:r>
        <w:rPr>
          <w:rStyle w:val="KeywordTok"/>
        </w:rPr>
        <w:t xml:space="preserve">in</w:t>
      </w:r>
      <w:r>
        <w:rPr>
          <w:rStyle w:val="NormalTok"/>
        </w:rPr>
        <w:t xml:space="preserve"> </w:t>
      </w:r>
      <w:r>
        <w:rPr>
          <w:rStyle w:val="BuiltInTok"/>
        </w:rPr>
        <w:t xml:space="preserve">enumerate</w:t>
      </w:r>
      <w:r>
        <w:rPr>
          <w:rStyle w:val="NormalTok"/>
        </w:rPr>
        <w:t xml:space="preserve">(tail):</w:t>
      </w:r>
      <w:r>
        <w:br/>
      </w:r>
      <w:r>
        <w:rPr>
          <w:rStyle w:val="NormalTok"/>
        </w:rPr>
        <w:t xml:space="preserve">        k </w:t>
      </w:r>
      <w:r>
        <w:rPr>
          <w:rStyle w:val="OperatorTok"/>
        </w:rPr>
        <w:t xml:space="preserve">|=</w:t>
      </w:r>
      <w:r>
        <w:rPr>
          <w:rStyle w:val="NormalTok"/>
        </w:rPr>
        <w:t xml:space="preserve"> byte </w:t>
      </w:r>
      <w:r>
        <w:rPr>
          <w:rStyle w:val="OperatorTok"/>
        </w:rPr>
        <w:t xml:space="preserve">&lt;&lt;</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i)</w:t>
      </w:r>
      <w:r>
        <w:br/>
      </w:r>
      <w:r>
        <w:rPr>
          <w:rStyle w:val="NormalTok"/>
        </w:rPr>
        <w:t xml:space="preserve">    </w:t>
      </w:r>
      <w:r>
        <w:rPr>
          <w:rStyle w:val="ControlFlowTok"/>
        </w:rPr>
        <w:t xml:space="preserve">if</w:t>
      </w:r>
      <w:r>
        <w:rPr>
          <w:rStyle w:val="NormalTok"/>
        </w:rPr>
        <w:t xml:space="preserve"> tail:</w:t>
      </w:r>
      <w:r>
        <w:br/>
      </w:r>
      <w:r>
        <w:rPr>
          <w:rStyle w:val="NormalTok"/>
        </w:rPr>
        <w:t xml:space="preserve">        k </w:t>
      </w:r>
      <w:r>
        <w:rPr>
          <w:rStyle w:val="OperatorTok"/>
        </w:rPr>
        <w:t xml:space="preserve">=</w:t>
      </w:r>
      <w:r>
        <w:rPr>
          <w:rStyle w:val="NormalTok"/>
        </w:rPr>
        <w:t xml:space="preserve"> (k </w:t>
      </w:r>
      <w:r>
        <w:rPr>
          <w:rStyle w:val="OperatorTok"/>
        </w:rPr>
        <w:t xml:space="preserve">*</w:t>
      </w:r>
      <w:r>
        <w:rPr>
          <w:rStyle w:val="NormalTok"/>
        </w:rPr>
        <w:t xml:space="preserve"> c1) </w:t>
      </w:r>
      <w:r>
        <w:rPr>
          <w:rStyle w:val="OperatorTok"/>
        </w:rPr>
        <w:t xml:space="preserve">&amp;</w:t>
      </w:r>
      <w:r>
        <w:rPr>
          <w:rStyle w:val="NormalTok"/>
        </w:rPr>
        <w:t xml:space="preserve"> mask</w:t>
      </w:r>
      <w:r>
        <w:br/>
      </w:r>
      <w:r>
        <w:rPr>
          <w:rStyle w:val="NormalTok"/>
        </w:rPr>
        <w:t xml:space="preserve">        k </w:t>
      </w:r>
      <w:r>
        <w:rPr>
          <w:rStyle w:val="OperatorTok"/>
        </w:rPr>
        <w:t xml:space="preserve">=</w:t>
      </w:r>
      <w:r>
        <w:rPr>
          <w:rStyle w:val="NormalTok"/>
        </w:rPr>
        <w:t xml:space="preserve"> ((k </w:t>
      </w:r>
      <w:r>
        <w:rPr>
          <w:rStyle w:val="OperatorTok"/>
        </w:rPr>
        <w:t xml:space="preserve">&lt;&lt;</w:t>
      </w:r>
      <w:r>
        <w:rPr>
          <w:rStyle w:val="NormalTok"/>
        </w:rPr>
        <w:t xml:space="preserve"> </w:t>
      </w:r>
      <w:r>
        <w:rPr>
          <w:rStyle w:val="DecValTok"/>
        </w:rPr>
        <w:t xml:space="preserve">15</w:t>
      </w:r>
      <w:r>
        <w:rPr>
          <w:rStyle w:val="NormalTok"/>
        </w:rPr>
        <w:t xml:space="preserve">) </w:t>
      </w:r>
      <w:r>
        <w:rPr>
          <w:rStyle w:val="OperatorTok"/>
        </w:rPr>
        <w:t xml:space="preserve">|</w:t>
      </w:r>
      <w:r>
        <w:rPr>
          <w:rStyle w:val="NormalTok"/>
        </w:rPr>
        <w:t xml:space="preserve"> (k </w:t>
      </w:r>
      <w:r>
        <w:rPr>
          <w:rStyle w:val="OperatorTok"/>
        </w:rPr>
        <w:t xml:space="preserve">&gt;&gt;</w:t>
      </w:r>
      <w:r>
        <w:rPr>
          <w:rStyle w:val="NormalTok"/>
        </w:rPr>
        <w:t xml:space="preserve"> </w:t>
      </w:r>
      <w:r>
        <w:rPr>
          <w:rStyle w:val="DecValTok"/>
        </w:rPr>
        <w:t xml:space="preserve">17</w:t>
      </w:r>
      <w:r>
        <w:rPr>
          <w:rStyle w:val="NormalTok"/>
        </w:rPr>
        <w:t xml:space="preserve">)) </w:t>
      </w:r>
      <w:r>
        <w:rPr>
          <w:rStyle w:val="OperatorTok"/>
        </w:rPr>
        <w:t xml:space="preserve">&amp;</w:t>
      </w:r>
      <w:r>
        <w:rPr>
          <w:rStyle w:val="NormalTok"/>
        </w:rPr>
        <w:t xml:space="preserve"> mask</w:t>
      </w:r>
      <w:r>
        <w:br/>
      </w:r>
      <w:r>
        <w:rPr>
          <w:rStyle w:val="NormalTok"/>
        </w:rPr>
        <w:t xml:space="preserve">        k </w:t>
      </w:r>
      <w:r>
        <w:rPr>
          <w:rStyle w:val="OperatorTok"/>
        </w:rPr>
        <w:t xml:space="preserve">=</w:t>
      </w:r>
      <w:r>
        <w:rPr>
          <w:rStyle w:val="NormalTok"/>
        </w:rPr>
        <w:t xml:space="preserve"> (k </w:t>
      </w:r>
      <w:r>
        <w:rPr>
          <w:rStyle w:val="OperatorTok"/>
        </w:rPr>
        <w:t xml:space="preserve">*</w:t>
      </w:r>
      <w:r>
        <w:rPr>
          <w:rStyle w:val="NormalTok"/>
        </w:rPr>
        <w:t xml:space="preserve"> c2) </w:t>
      </w:r>
      <w:r>
        <w:rPr>
          <w:rStyle w:val="OperatorTok"/>
        </w:rPr>
        <w:t xml:space="preserve">&amp;</w:t>
      </w:r>
      <w:r>
        <w:rPr>
          <w:rStyle w:val="NormalTok"/>
        </w:rPr>
        <w:t xml:space="preserve"> mask</w:t>
      </w:r>
      <w:r>
        <w:br/>
      </w:r>
      <w:r>
        <w:rPr>
          <w:rStyle w:val="NormalTok"/>
        </w:rPr>
        <w:t xml:space="preserve">        h </w:t>
      </w:r>
      <w:r>
        <w:rPr>
          <w:rStyle w:val="OperatorTok"/>
        </w:rPr>
        <w:t xml:space="preserve">^=</w:t>
      </w:r>
      <w:r>
        <w:rPr>
          <w:rStyle w:val="NormalTok"/>
        </w:rPr>
        <w:t xml:space="preserve"> k</w:t>
      </w:r>
      <w:r>
        <w:br/>
      </w:r>
      <w:r>
        <w:rPr>
          <w:rStyle w:val="NormalTok"/>
        </w:rPr>
        <w:t xml:space="preserve">    h </w:t>
      </w:r>
      <w:r>
        <w:rPr>
          <w:rStyle w:val="OperatorTok"/>
        </w:rPr>
        <w:t xml:space="preserve">^=</w:t>
      </w:r>
      <w:r>
        <w:rPr>
          <w:rStyle w:val="NormalTok"/>
        </w:rPr>
        <w:t xml:space="preserve"> </w:t>
      </w:r>
      <w:r>
        <w:rPr>
          <w:rStyle w:val="BuiltInTok"/>
        </w:rPr>
        <w:t xml:space="preserve">len</w:t>
      </w:r>
      <w:r>
        <w:rPr>
          <w:rStyle w:val="NormalTok"/>
        </w:rPr>
        <w:t xml:space="preserve">(data)                                 </w:t>
      </w:r>
      <w:r>
        <w:rPr>
          <w:rStyle w:val="CommentTok"/>
        </w:rPr>
        <w:t xml:space="preserve"># finalization ("fmix32")</w:t>
      </w:r>
      <w:r>
        <w:br/>
      </w:r>
      <w:r>
        <w:rPr>
          <w:rStyle w:val="NormalTok"/>
        </w:rPr>
        <w:t xml:space="preserve">    h </w:t>
      </w:r>
      <w:r>
        <w:rPr>
          <w:rStyle w:val="OperatorTok"/>
        </w:rPr>
        <w:t xml:space="preserve">^=</w:t>
      </w:r>
      <w:r>
        <w:rPr>
          <w:rStyle w:val="NormalTok"/>
        </w:rPr>
        <w:t xml:space="preserve"> h </w:t>
      </w:r>
      <w:r>
        <w:rPr>
          <w:rStyle w:val="OperatorTok"/>
        </w:rPr>
        <w:t xml:space="preserve">&gt;&gt;</w:t>
      </w:r>
      <w:r>
        <w:rPr>
          <w:rStyle w:val="NormalTok"/>
        </w:rPr>
        <w:t xml:space="preserve"> </w:t>
      </w:r>
      <w:r>
        <w:rPr>
          <w:rStyle w:val="DecValTok"/>
        </w:rPr>
        <w:t xml:space="preserve">16</w:t>
      </w:r>
      <w:r>
        <w:br/>
      </w:r>
      <w:r>
        <w:rPr>
          <w:rStyle w:val="NormalTok"/>
        </w:rPr>
        <w:t xml:space="preserve">    h </w:t>
      </w:r>
      <w:r>
        <w:rPr>
          <w:rStyle w:val="OperatorTok"/>
        </w:rPr>
        <w:t xml:space="preserve">=</w:t>
      </w:r>
      <w:r>
        <w:rPr>
          <w:rStyle w:val="NormalTok"/>
        </w:rPr>
        <w:t xml:space="preserve"> (h </w:t>
      </w:r>
      <w:r>
        <w:rPr>
          <w:rStyle w:val="OperatorTok"/>
        </w:rPr>
        <w:t xml:space="preserve">*</w:t>
      </w:r>
      <w:r>
        <w:rPr>
          <w:rStyle w:val="NormalTok"/>
        </w:rPr>
        <w:t xml:space="preserve"> </w:t>
      </w:r>
      <w:r>
        <w:rPr>
          <w:rStyle w:val="BaseNTok"/>
        </w:rPr>
        <w:t xml:space="preserve">0x85EBCA6B</w:t>
      </w:r>
      <w:r>
        <w:rPr>
          <w:rStyle w:val="NormalTok"/>
        </w:rPr>
        <w:t xml:space="preserve">) </w:t>
      </w:r>
      <w:r>
        <w:rPr>
          <w:rStyle w:val="OperatorTok"/>
        </w:rPr>
        <w:t xml:space="preserve">&amp;</w:t>
      </w:r>
      <w:r>
        <w:rPr>
          <w:rStyle w:val="NormalTok"/>
        </w:rPr>
        <w:t xml:space="preserve"> mask</w:t>
      </w:r>
      <w:r>
        <w:br/>
      </w:r>
      <w:r>
        <w:rPr>
          <w:rStyle w:val="NormalTok"/>
        </w:rPr>
        <w:t xml:space="preserve">    h </w:t>
      </w:r>
      <w:r>
        <w:rPr>
          <w:rStyle w:val="OperatorTok"/>
        </w:rPr>
        <w:t xml:space="preserve">^=</w:t>
      </w:r>
      <w:r>
        <w:rPr>
          <w:rStyle w:val="NormalTok"/>
        </w:rPr>
        <w:t xml:space="preserve"> h </w:t>
      </w:r>
      <w:r>
        <w:rPr>
          <w:rStyle w:val="OperatorTok"/>
        </w:rPr>
        <w:t xml:space="preserve">&gt;&gt;</w:t>
      </w:r>
      <w:r>
        <w:rPr>
          <w:rStyle w:val="NormalTok"/>
        </w:rPr>
        <w:t xml:space="preserve"> </w:t>
      </w:r>
      <w:r>
        <w:rPr>
          <w:rStyle w:val="DecValTok"/>
        </w:rPr>
        <w:t xml:space="preserve">13</w:t>
      </w:r>
      <w:r>
        <w:br/>
      </w:r>
      <w:r>
        <w:rPr>
          <w:rStyle w:val="NormalTok"/>
        </w:rPr>
        <w:t xml:space="preserve">    h </w:t>
      </w:r>
      <w:r>
        <w:rPr>
          <w:rStyle w:val="OperatorTok"/>
        </w:rPr>
        <w:t xml:space="preserve">=</w:t>
      </w:r>
      <w:r>
        <w:rPr>
          <w:rStyle w:val="NormalTok"/>
        </w:rPr>
        <w:t xml:space="preserve"> (h </w:t>
      </w:r>
      <w:r>
        <w:rPr>
          <w:rStyle w:val="OperatorTok"/>
        </w:rPr>
        <w:t xml:space="preserve">*</w:t>
      </w:r>
      <w:r>
        <w:rPr>
          <w:rStyle w:val="NormalTok"/>
        </w:rPr>
        <w:t xml:space="preserve"> </w:t>
      </w:r>
      <w:r>
        <w:rPr>
          <w:rStyle w:val="BaseNTok"/>
        </w:rPr>
        <w:t xml:space="preserve">0xC2B2AE35</w:t>
      </w:r>
      <w:r>
        <w:rPr>
          <w:rStyle w:val="NormalTok"/>
        </w:rPr>
        <w:t xml:space="preserve">) </w:t>
      </w:r>
      <w:r>
        <w:rPr>
          <w:rStyle w:val="OperatorTok"/>
        </w:rPr>
        <w:t xml:space="preserve">&amp;</w:t>
      </w:r>
      <w:r>
        <w:rPr>
          <w:rStyle w:val="NormalTok"/>
        </w:rPr>
        <w:t xml:space="preserve"> mask</w:t>
      </w:r>
      <w:r>
        <w:br/>
      </w:r>
      <w:r>
        <w:rPr>
          <w:rStyle w:val="NormalTok"/>
        </w:rPr>
        <w:t xml:space="preserve">    h </w:t>
      </w:r>
      <w:r>
        <w:rPr>
          <w:rStyle w:val="OperatorTok"/>
        </w:rPr>
        <w:t xml:space="preserve">^=</w:t>
      </w:r>
      <w:r>
        <w:rPr>
          <w:rStyle w:val="NormalTok"/>
        </w:rPr>
        <w:t xml:space="preserve"> h </w:t>
      </w:r>
      <w:r>
        <w:rPr>
          <w:rStyle w:val="OperatorTok"/>
        </w:rPr>
        <w:t xml:space="preserve">&gt;&gt;</w:t>
      </w:r>
      <w:r>
        <w:rPr>
          <w:rStyle w:val="NormalTok"/>
        </w:rPr>
        <w:t xml:space="preserve"> </w:t>
      </w:r>
      <w:r>
        <w:rPr>
          <w:rStyle w:val="DecValTok"/>
        </w:rPr>
        <w:t xml:space="preserve">16</w:t>
      </w:r>
      <w:r>
        <w:br/>
      </w:r>
      <w:r>
        <w:rPr>
          <w:rStyle w:val="NormalTok"/>
        </w:rPr>
        <w:t xml:space="preserve">    </w:t>
      </w:r>
      <w:r>
        <w:rPr>
          <w:rStyle w:val="ControlFlowTok"/>
        </w:rPr>
        <w:t xml:space="preserve">return</w:t>
      </w:r>
      <w:r>
        <w:rPr>
          <w:rStyle w:val="NormalTok"/>
        </w:rPr>
        <w:t xml:space="preserve"> h</w:t>
      </w:r>
      <w:r>
        <w:br/>
      </w:r>
      <w:r>
        <w:br/>
      </w:r>
      <w:r>
        <w:rPr>
          <w:rStyle w:val="KeywordTok"/>
        </w:rPr>
        <w:t xml:space="preserve">def</w:t>
      </w:r>
      <w:r>
        <w:rPr>
          <w:rStyle w:val="NormalTok"/>
        </w:rPr>
        <w:t xml:space="preserve"> additive_hash(data: </w:t>
      </w:r>
      <w:r>
        <w:rPr>
          <w:rStyle w:val="BuiltInTok"/>
        </w:rPr>
        <w:t xml:space="preserve">bytes</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"""A deliberately bad hash: sum of byte values."""</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(data)</w:t>
      </w:r>
      <w:r>
        <w:br/>
      </w:r>
      <w:r>
        <w:br/>
      </w:r>
      <w:r>
        <w:rPr>
          <w:rStyle w:val="KeywordTok"/>
        </w:rPr>
        <w:t xml:space="preserve">def</w:t>
      </w:r>
      <w:r>
        <w:rPr>
          <w:rStyle w:val="NormalTok"/>
        </w:rPr>
        <w:t xml:space="preserve"> bucket_stats(hash_fn, keys, buckets):</w:t>
      </w:r>
      <w:r>
        <w:br/>
      </w:r>
      <w:r>
        <w:rPr>
          <w:rStyle w:val="NormalTok"/>
        </w:rPr>
        <w:t xml:space="preserve">    counts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buckets</w:t>
      </w:r>
      <w:r>
        <w:br/>
      </w:r>
      <w:r>
        <w:rPr>
          <w:rStyle w:val="NormalTok"/>
        </w:rPr>
        <w:t xml:space="preserve">    </w:t>
      </w:r>
      <w:r>
        <w:rPr>
          <w:rStyle w:val="ControlFlowTok"/>
        </w:rPr>
        <w:t xml:space="preserve">for</w:t>
      </w:r>
      <w:r>
        <w:rPr>
          <w:rStyle w:val="NormalTok"/>
        </w:rPr>
        <w:t xml:space="preserve"> key </w:t>
      </w:r>
      <w:r>
        <w:rPr>
          <w:rStyle w:val="KeywordTok"/>
        </w:rPr>
        <w:t xml:space="preserve">in</w:t>
      </w:r>
      <w:r>
        <w:rPr>
          <w:rStyle w:val="NormalTok"/>
        </w:rPr>
        <w:t xml:space="preserve"> keys:</w:t>
      </w:r>
      <w:r>
        <w:br/>
      </w:r>
      <w:r>
        <w:rPr>
          <w:rStyle w:val="NormalTok"/>
        </w:rPr>
        <w:t xml:space="preserve">        counts[hash_fn(key) </w:t>
      </w:r>
      <w:r>
        <w:rPr>
          <w:rStyle w:val="OperatorTok"/>
        </w:rPr>
        <w:t xml:space="preserve">%</w:t>
      </w:r>
      <w:r>
        <w:rPr>
          <w:rStyle w:val="NormalTok"/>
        </w:rPr>
        <w:t xml:space="preserve"> buckets] </w:t>
      </w:r>
      <w:r>
        <w:rPr>
          <w:rStyle w:val="OperatorTok"/>
        </w:rPr>
        <w:t xml:space="preserve">+=</w:t>
      </w:r>
      <w:r>
        <w:rPr>
          <w:rStyle w:val="NormalTok"/>
        </w:rPr>
        <w:t xml:space="preserve"> </w:t>
      </w:r>
      <w:r>
        <w:rPr>
          <w:rStyle w:val="DecValTok"/>
        </w:rPr>
        <w:t xml:space="preserve">1</w:t>
      </w:r>
      <w:r>
        <w:br/>
      </w:r>
      <w:r>
        <w:rPr>
          <w:rStyle w:val="NormalTok"/>
        </w:rPr>
        <w:t xml:space="preserve">    expected </w:t>
      </w:r>
      <w:r>
        <w:rPr>
          <w:rStyle w:val="OperatorTok"/>
        </w:rPr>
        <w:t xml:space="preserve">=</w:t>
      </w:r>
      <w:r>
        <w:rPr>
          <w:rStyle w:val="NormalTok"/>
        </w:rPr>
        <w:t xml:space="preserve"> </w:t>
      </w:r>
      <w:r>
        <w:rPr>
          <w:rStyle w:val="BuiltInTok"/>
        </w:rPr>
        <w:t xml:space="preserve">len</w:t>
      </w:r>
      <w:r>
        <w:rPr>
          <w:rStyle w:val="NormalTok"/>
        </w:rPr>
        <w:t xml:space="preserve">(keys) </w:t>
      </w:r>
      <w:r>
        <w:rPr>
          <w:rStyle w:val="OperatorTok"/>
        </w:rPr>
        <w:t xml:space="preserve">/</w:t>
      </w:r>
      <w:r>
        <w:rPr>
          <w:rStyle w:val="NormalTok"/>
        </w:rPr>
        <w:t xml:space="preserve"> buckets</w:t>
      </w:r>
      <w:r>
        <w:br/>
      </w:r>
      <w:r>
        <w:rPr>
          <w:rStyle w:val="NormalTok"/>
        </w:rPr>
        <w:t xml:space="preserve">    chi2 </w:t>
      </w:r>
      <w:r>
        <w:rPr>
          <w:rStyle w:val="OperatorTok"/>
        </w:rPr>
        <w:t xml:space="preserve">=</w:t>
      </w:r>
      <w:r>
        <w:rPr>
          <w:rStyle w:val="NormalTok"/>
        </w:rPr>
        <w:t xml:space="preserve"> </w:t>
      </w:r>
      <w:r>
        <w:rPr>
          <w:rStyle w:val="BuiltInTok"/>
        </w:rPr>
        <w:t xml:space="preserve">sum</w:t>
      </w:r>
      <w:r>
        <w:rPr>
          <w:rStyle w:val="NormalTok"/>
        </w:rPr>
        <w:t xml:space="preserve">((c </w:t>
      </w:r>
      <w:r>
        <w:rPr>
          <w:rStyle w:val="OperatorTok"/>
        </w:rPr>
        <w:t xml:space="preserve">-</w:t>
      </w:r>
      <w:r>
        <w:rPr>
          <w:rStyle w:val="NormalTok"/>
        </w:rPr>
        <w:t xml:space="preserve"> expected)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expected </w:t>
      </w:r>
      <w:r>
        <w:rPr>
          <w:rStyle w:val="ControlFlowTok"/>
        </w:rPr>
        <w:t xml:space="preserve">for</w:t>
      </w:r>
      <w:r>
        <w:rPr>
          <w:rStyle w:val="NormalTok"/>
        </w:rPr>
        <w:t xml:space="preserve"> c </w:t>
      </w:r>
      <w:r>
        <w:rPr>
          <w:rStyle w:val="KeywordTok"/>
        </w:rPr>
        <w:t xml:space="preserve">in</w:t>
      </w:r>
      <w:r>
        <w:rPr>
          <w:rStyle w:val="NormalTok"/>
        </w:rPr>
        <w:t xml:space="preserve"> counts)</w:t>
      </w:r>
      <w:r>
        <w:br/>
      </w:r>
      <w:r>
        <w:rPr>
          <w:rStyle w:val="NormalTok"/>
        </w:rPr>
        <w:t xml:space="preserve">    </w:t>
      </w:r>
      <w:r>
        <w:rPr>
          <w:rStyle w:val="ControlFlowTok"/>
        </w:rPr>
        <w:t xml:space="preserve">return</w:t>
      </w:r>
      <w:r>
        <w:rPr>
          <w:rStyle w:val="NormalTok"/>
        </w:rPr>
        <w:t xml:space="preserve"> </w:t>
      </w:r>
      <w:r>
        <w:rPr>
          <w:rStyle w:val="BuiltInTok"/>
        </w:rPr>
        <w:t xml:space="preserve">max</w:t>
      </w:r>
      <w:r>
        <w:rPr>
          <w:rStyle w:val="NormalTok"/>
        </w:rPr>
        <w:t xml:space="preserve">(counts),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counts </w:t>
      </w:r>
      <w:r>
        <w:rPr>
          <w:rStyle w:val="ControlFlowTok"/>
        </w:rPr>
        <w:t xml:space="preserve">if</w:t>
      </w:r>
      <w:r>
        <w:rPr>
          <w:rStyle w:val="NormalTok"/>
        </w:rPr>
        <w:t xml:space="preserve"> c </w:t>
      </w:r>
      <w:r>
        <w:rPr>
          <w:rStyle w:val="OperatorTok"/>
        </w:rPr>
        <w:t xml:space="preserve">==</w:t>
      </w:r>
      <w:r>
        <w:rPr>
          <w:rStyle w:val="NormalTok"/>
        </w:rPr>
        <w:t xml:space="preserve"> </w:t>
      </w:r>
      <w:r>
        <w:rPr>
          <w:rStyle w:val="DecValTok"/>
        </w:rPr>
        <w:t xml:space="preserve">0</w:t>
      </w:r>
      <w:r>
        <w:rPr>
          <w:rStyle w:val="NormalTok"/>
        </w:rPr>
        <w:t xml:space="preserve">), chi2</w:t>
      </w:r>
      <w:r>
        <w:br/>
      </w:r>
      <w:r>
        <w:br/>
      </w:r>
      <w:r>
        <w:rPr>
          <w:rStyle w:val="BuiltInTok"/>
        </w:rPr>
        <w:t xml:space="preserve">print</w:t>
      </w:r>
      <w:r>
        <w:rPr>
          <w:rStyle w:val="NormalTok"/>
        </w:rPr>
        <w:t xml:space="preserve">(</w:t>
      </w:r>
      <w:r>
        <w:rPr>
          <w:rStyle w:val="SpecialStringTok"/>
        </w:rPr>
        <w:t xml:space="preserve">f"murmur3_32('hello') = </w:t>
      </w:r>
      <w:r>
        <w:rPr>
          <w:rStyle w:val="SpecialCharTok"/>
        </w:rPr>
        <w:t xml:space="preserve">{</w:t>
      </w:r>
      <w:r>
        <w:rPr>
          <w:rStyle w:val="NormalTok"/>
        </w:rPr>
        <w:t xml:space="preserve">murmur3_32(</w:t>
      </w:r>
      <w:r>
        <w:rPr>
          <w:rStyle w:val="StringTok"/>
        </w:rPr>
        <w:t xml:space="preserve">b'hello'</w:t>
      </w:r>
      <w:r>
        <w:rPr>
          <w:rStyle w:val="NormalTok"/>
        </w:rPr>
        <w:t xml:space="preserve">)</w:t>
      </w:r>
      <w:r>
        <w:rPr>
          <w:rStyle w:val="SpecialCharTok"/>
        </w:rPr>
        <w:t xml:space="preserve">:#010x}</w:t>
      </w:r>
      <w:r>
        <w:rPr>
          <w:rStyle w:val="SpecialStringTok"/>
        </w:rPr>
        <w:t xml:space="preserve">"</w:t>
      </w:r>
      <w:r>
        <w:rPr>
          <w:rStyle w:val="NormalTok"/>
        </w:rPr>
        <w:t xml:space="preserve">)   </w:t>
      </w:r>
      <w:r>
        <w:rPr>
          <w:rStyle w:val="CommentTok"/>
        </w:rPr>
        <w:t xml:space="preserve"># reference: 0x248bfa47</w:t>
      </w:r>
      <w:r>
        <w:br/>
      </w:r>
      <w:r>
        <w:br/>
      </w:r>
      <w:r>
        <w:rPr>
          <w:rStyle w:val="CommentTok"/>
        </w:rPr>
        <w:t xml:space="preserve"># 100,000 realistic, highly structured keys: "user:0" ... "user:99999"</w:t>
      </w:r>
      <w:r>
        <w:br/>
      </w:r>
      <w:r>
        <w:rPr>
          <w:rStyle w:val="NormalTok"/>
        </w:rPr>
        <w:t xml:space="preserve">keys </w:t>
      </w:r>
      <w:r>
        <w:rPr>
          <w:rStyle w:val="OperatorTok"/>
        </w:rPr>
        <w:t xml:space="preserve">=</w:t>
      </w:r>
      <w:r>
        <w:rPr>
          <w:rStyle w:val="NormalTok"/>
        </w:rPr>
        <w:t xml:space="preserve"> [</w:t>
      </w:r>
      <w:r>
        <w:rPr>
          <w:rStyle w:val="SpecialStringTok"/>
        </w:rPr>
        <w:t xml:space="preserve">f"user:</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.encode()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100_000</w:t>
      </w:r>
      <w:r>
        <w:rPr>
          <w:rStyle w:val="NormalTok"/>
        </w:rPr>
        <w:t xml:space="preserve">)]</w:t>
      </w:r>
      <w:r>
        <w:br/>
      </w:r>
      <w:r>
        <w:rPr>
          <w:rStyle w:val="NormalTok"/>
        </w:rPr>
        <w:t xml:space="preserve">B </w:t>
      </w:r>
      <w:r>
        <w:rPr>
          <w:rStyle w:val="OperatorTok"/>
        </w:rPr>
        <w:t xml:space="preserve">=</w:t>
      </w:r>
      <w:r>
        <w:rPr>
          <w:rStyle w:val="NormalTok"/>
        </w:rPr>
        <w:t xml:space="preserve"> </w:t>
      </w:r>
      <w:r>
        <w:rPr>
          <w:rStyle w:val="DecValTok"/>
        </w:rPr>
        <w:t xml:space="preserve">1024</w:t>
      </w:r>
      <w:r>
        <w:rPr>
          <w:rStyle w:val="NormalTok"/>
        </w:rPr>
        <w:t xml:space="preserve">                                           </w:t>
      </w:r>
      <w:r>
        <w:rPr>
          <w:rStyle w:val="CommentTok"/>
        </w:rPr>
        <w:t xml:space="preserve"># expected ~97.7 keys per bucket</w:t>
      </w:r>
      <w:r>
        <w:br/>
      </w:r>
      <w:r>
        <w:rPr>
          <w:rStyle w:val="ControlFlowTok"/>
        </w:rPr>
        <w:t xml:space="preserve">for</w:t>
      </w:r>
      <w:r>
        <w:rPr>
          <w:rStyle w:val="NormalTok"/>
        </w:rPr>
        <w:t xml:space="preserve"> name, fn </w:t>
      </w:r>
      <w:r>
        <w:rPr>
          <w:rStyle w:val="KeywordTok"/>
        </w:rPr>
        <w:t xml:space="preserve">in</w:t>
      </w:r>
      <w:r>
        <w:rPr>
          <w:rStyle w:val="NormalTok"/>
        </w:rPr>
        <w:t xml:space="preserve"> [(</w:t>
      </w:r>
      <w:r>
        <w:rPr>
          <w:rStyle w:val="StringTok"/>
        </w:rPr>
        <w:t xml:space="preserve">"additive"</w:t>
      </w:r>
      <w:r>
        <w:rPr>
          <w:rStyle w:val="NormalTok"/>
        </w:rPr>
        <w:t xml:space="preserve">, additive_hash), (</w:t>
      </w:r>
      <w:r>
        <w:rPr>
          <w:rStyle w:val="StringTok"/>
        </w:rPr>
        <w:t xml:space="preserve">"murmur3"</w:t>
      </w:r>
      <w:r>
        <w:rPr>
          <w:rStyle w:val="NormalTok"/>
        </w:rPr>
        <w:t xml:space="preserve">, murmur3_32)]:</w:t>
      </w:r>
      <w:r>
        <w:br/>
      </w:r>
      <w:r>
        <w:rPr>
          <w:rStyle w:val="NormalTok"/>
        </w:rPr>
        <w:t xml:space="preserve">    mx, empty, chi2 </w:t>
      </w:r>
      <w:r>
        <w:rPr>
          <w:rStyle w:val="OperatorTok"/>
        </w:rPr>
        <w:t xml:space="preserve">=</w:t>
      </w:r>
      <w:r>
        <w:rPr>
          <w:rStyle w:val="NormalTok"/>
        </w:rPr>
        <w:t xml:space="preserve"> bucket_stats(fn, keys, B)</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:9s}</w:t>
      </w:r>
      <w:r>
        <w:rPr>
          <w:rStyle w:val="SpecialStringTok"/>
        </w:rPr>
        <w:t xml:space="preserve"> max bucket = </w:t>
      </w:r>
      <w:r>
        <w:rPr>
          <w:rStyle w:val="SpecialCharTok"/>
        </w:rPr>
        <w:t xml:space="preserve">{</w:t>
      </w:r>
      <w:r>
        <w:rPr>
          <w:rStyle w:val="NormalTok"/>
        </w:rPr>
        <w:t xml:space="preserve">mx</w:t>
      </w:r>
      <w:r>
        <w:rPr>
          <w:rStyle w:val="SpecialCharTok"/>
        </w:rPr>
        <w:t xml:space="preserve">:6d}</w:t>
      </w:r>
      <w:r>
        <w:rPr>
          <w:rStyle w:val="SpecialStringTok"/>
        </w:rPr>
        <w:t xml:space="preserve">  empty buckets = </w:t>
      </w:r>
      <w:r>
        <w:rPr>
          <w:rStyle w:val="SpecialCharTok"/>
        </w:rPr>
        <w:t xml:space="preserve">{</w:t>
      </w:r>
      <w:r>
        <w:rPr>
          <w:rStyle w:val="NormalTok"/>
        </w:rPr>
        <w:t xml:space="preserve">empty</w:t>
      </w:r>
      <w:r>
        <w:rPr>
          <w:rStyle w:val="SpecialCharTok"/>
        </w:rPr>
        <w:t xml:space="preserve">:4d}</w:t>
      </w:r>
      <w:r>
        <w:rPr>
          <w:rStyle w:val="SpecialStringTok"/>
        </w:rPr>
        <w:t xml:space="preserve">  chi-square = </w:t>
      </w:r>
      <w:r>
        <w:rPr>
          <w:rStyle w:val="SpecialCharTok"/>
        </w:rPr>
        <w:t xml:space="preserve">{</w:t>
      </w:r>
      <w:r>
        <w:rPr>
          <w:rStyle w:val="NormalTok"/>
        </w:rPr>
        <w:t xml:space="preserve">chi2</w:t>
      </w:r>
      <w:r>
        <w:rPr>
          <w:rStyle w:val="SpecialCharTok"/>
        </w:rPr>
        <w:t xml:space="preserve">:12.0f}</w:t>
      </w:r>
      <w:r>
        <w:rPr>
          <w:rStyle w:val="SpecialStringTok"/>
        </w:rPr>
        <w:t xml:space="preserve">"</w:t>
      </w:r>
      <w:r>
        <w:rPr>
          <w:rStyle w:val="NormalTok"/>
        </w:rPr>
        <w:t xml:space="preserve">)</w:t>
      </w:r>
    </w:p>
    <w:p>
      <w:pPr>
        <w:pStyle w:val="FirstParagraph"/>
      </w:pPr>
      <w:r>
        <w:t xml:space="preserve">Output (Python 3.13):</w:t>
      </w:r>
    </w:p>
    <w:p>
      <w:pPr>
        <w:pStyle w:val="SourceCode"/>
      </w:pPr>
      <w:r>
        <w:rPr>
          <w:rStyle w:val="VerbatimChar"/>
        </w:rPr>
        <w:t xml:space="preserve">murmur3_32('hello') = 0x248bfa47</w:t>
      </w:r>
      <w:r>
        <w:br/>
      </w:r>
      <w:r>
        <w:rPr>
          <w:rStyle w:val="VerbatimChar"/>
        </w:rPr>
        <w:t xml:space="preserve">additive  max bucket =   5520  empty buckets =  888  chi-square =      3598840</w:t>
      </w:r>
      <w:r>
        <w:br/>
      </w:r>
      <w:r>
        <w:rPr>
          <w:rStyle w:val="VerbatimChar"/>
        </w:rPr>
        <w:t xml:space="preserve">murmur3   max bucket =    132  empty buckets =    0  chi-square =         1105</w:t>
      </w:r>
    </w:p>
    <w:p>
      <w:pPr>
        <w:pStyle w:val="FirstParagraph"/>
      </w:pPr>
      <w:r>
        <w:t xml:space="preserve">What to notice:</w:t>
      </w:r>
    </w:p>
    <w:p>
      <w:pPr>
        <w:numPr>
          <w:ilvl w:val="0"/>
          <w:numId w:val="1560"/>
        </w:numPr>
        <w:pStyle w:val="Compact"/>
      </w:pPr>
      <w:r>
        <w:t xml:space="preserve">The implementation matches the reference value</w:t>
      </w:r>
      <w:r>
        <w:t xml:space="preserve"> </w:t>
      </w:r>
      <w:r>
        <w:rPr>
          <w:rStyle w:val="VerbatimChar"/>
        </w:rPr>
        <w:t xml:space="preserve">0x248bfa47</w:t>
      </w:r>
      <w:r>
        <w:t xml:space="preserve"> </w:t>
      </w:r>
      <w:r>
        <w:t xml:space="preserve">for</w:t>
      </w:r>
      <w:r>
        <w:t xml:space="preserve"> </w:t>
      </w:r>
      <w:r>
        <w:rPr>
          <w:rStyle w:val="VerbatimChar"/>
        </w:rPr>
        <w:t xml:space="preserve">"hello"</w:t>
      </w:r>
      <w:r>
        <w:t xml:space="preserve"> </w:t>
      </w:r>
      <w:r>
        <w:t xml:space="preserve">(and matched the C library on further test strings).</w:t>
      </w:r>
    </w:p>
    <w:p>
      <w:pPr>
        <w:numPr>
          <w:ilvl w:val="0"/>
          <w:numId w:val="1560"/>
        </w:numPr>
        <w:pStyle w:val="Compact"/>
      </w:pPr>
      <w:r>
        <w:t xml:space="preserve">MurmurHash3’s fullest bucket (132) is close to the predicted ~129, and its chi-square (1,105) is within two standard deviations of 1,023: statistically indistinguishable from uniform.</w:t>
      </w:r>
    </w:p>
    <w:p>
      <w:pPr>
        <w:numPr>
          <w:ilvl w:val="0"/>
          <w:numId w:val="1560"/>
        </w:numPr>
        <w:pStyle w:val="Compact"/>
      </w:pPr>
      <w:r>
        <w:t xml:space="preserve">The additive hash leaves 888 buckets empty: the byte sums of</w:t>
      </w:r>
      <w:r>
        <w:t xml:space="preserve"> </w:t>
      </w:r>
      <w:r>
        <w:rPr>
          <w:rStyle w:val="VerbatimChar"/>
        </w:rPr>
        <w:t xml:space="preserve">user:NNNNN</w:t>
      </w:r>
      <w:r>
        <w:t xml:space="preserve"> </w:t>
      </w:r>
      <w:r>
        <w:t xml:space="preserve">take fewer than 150 distinct values (553–790), so one bucket holds 5,520 keys.</w:t>
      </w:r>
    </w:p>
    <w:p>
      <w:pPr>
        <w:numPr>
          <w:ilvl w:val="0"/>
          <w:numId w:val="1560"/>
        </w:numPr>
        <w:pStyle w:val="Compact"/>
      </w:pPr>
      <w:r>
        <w:t xml:space="preserve">With a power-of-two</w:t>
      </w:r>
      <w:r>
        <w:t xml:space="preserve"> </w:t>
      </w:r>
      <m:oMath>
        <m:r>
          <m:t>B</m:t>
        </m:r>
      </m:oMath>
      <w:r>
        <w:t xml:space="preserve">,</w:t>
      </w:r>
      <w:r>
        <w:t xml:space="preserve"> </w:t>
      </w:r>
      <w:r>
        <w:rPr>
          <w:rStyle w:val="VerbatimChar"/>
        </w:rPr>
        <w:t xml:space="preserve">mod</w:t>
      </w:r>
      <w:r>
        <w:t xml:space="preserve"> </w:t>
      </w:r>
      <w:r>
        <w:t xml:space="preserve">keeps only low bits, which is safe only for hashes that mix well into them.</w:t>
      </w:r>
    </w:p>
    <w:bookmarkEnd w:id="1913"/>
    <w:bookmarkEnd w:id="1914"/>
    <w:bookmarkStart w:id="1918" w:name="hash-flooding-and-keyed-hashes"/>
    <w:p>
      <w:pPr>
        <w:pStyle w:val="Heading3"/>
      </w:pPr>
      <w:r>
        <w:t xml:space="preserve">17.3.4 Hash flooding and keyed hashes</w:t>
      </w:r>
    </w:p>
    <w:p>
      <w:pPr>
        <w:pStyle w:val="FirstParagraph"/>
      </w:pPr>
      <w:r>
        <w:t xml:space="preserve">A chained hash table does</w:t>
      </w:r>
      <w:r>
        <w:t xml:space="preserve"> </w:t>
      </w:r>
      <m:oMath>
        <m:r>
          <m:t>O</m:t>
        </m:r>
        <m:d>
          <m:dPr>
            <m:begChr m:val="("/>
            <m:endChr m:val=")"/>
            <m:sepChr m:val=""/>
            <m:grow/>
          </m:dPr>
          <m:e>
            <m:r>
              <m:t>1</m:t>
            </m:r>
          </m:e>
        </m:d>
      </m:oMath>
      <w:r>
        <w:t xml:space="preserve"> </w:t>
      </w:r>
      <w:r>
        <w:t xml:space="preserve">work per operation</w:t>
      </w:r>
      <w:r>
        <w:t xml:space="preserve"> </w:t>
      </w:r>
      <w:r>
        <w:rPr>
          <w:iCs/>
          <w:i/>
        </w:rPr>
        <w:t xml:space="preserve">on average</w:t>
      </w:r>
      <w:r>
        <w:t xml:space="preserve">. If every key lands in one bucket, each insert walks a chain of all earlier keys, and inserting</w:t>
      </w:r>
      <w:r>
        <w:t xml:space="preserve"> </w:t>
      </w:r>
      <m:oMath>
        <m:r>
          <m:t>n</m:t>
        </m:r>
      </m:oMath>
      <w:r>
        <w:t xml:space="preserve"> </w:t>
      </w:r>
      <w:r>
        <w:t xml:space="preserve">keys costs</w:t>
      </w:r>
      <w:r>
        <w:t xml:space="preserve"> </w:t>
      </w:r>
      <m:oMath>
        <m:nary>
          <m:naryPr>
            <m:chr m:val="∑"/>
            <m:limLoc m:val="undOvr"/>
            <m:subHide m:val="off"/>
            <m:supHide m:val="off"/>
          </m:naryPr>
          <m:sub>
            <m:r>
              <m:t>i</m:t>
            </m:r>
            <m:r>
              <m:rPr>
                <m:sty m:val="p"/>
              </m:rPr>
              <m:t>=</m:t>
            </m:r>
            <m:r>
              <m:t>1</m:t>
            </m:r>
          </m:sub>
          <m:sup>
            <m:r>
              <m:t>n</m:t>
            </m:r>
          </m:sup>
          <m:e>
            <m:r>
              <m:t>i</m:t>
            </m:r>
          </m:e>
        </m:nary>
        <m:r>
          <m:rPr>
            <m:sty m:val="p"/>
          </m:rPr>
          <m:t>≈</m:t>
        </m:r>
        <m:sSup>
          <m:e>
            <m:r>
              <m:t>n</m:t>
            </m:r>
          </m:e>
          <m:sup>
            <m:r>
              <m:t>2</m:t>
            </m:r>
          </m:sup>
        </m:sSup>
        <m:r>
          <m:rPr>
            <m:sty m:val="p"/>
          </m:rPr>
          <m:t>/</m:t>
        </m:r>
        <m:r>
          <m:t>2</m:t>
        </m:r>
      </m:oMath>
      <w:r>
        <w:t xml:space="preserve"> </w:t>
      </w:r>
      <w:r>
        <w:t xml:space="preserve">comparisons. Crosby and Wallach showed in 2003 that attackers can exploit this</w:t>
      </w:r>
      <w:r>
        <w:t xml:space="preserve"> </w:t>
      </w:r>
      <w:r>
        <w:rPr>
          <w:bCs/>
          <w:b/>
        </w:rPr>
        <w:t xml:space="preserve">algorithmic complexity attack</w:t>
      </w:r>
      <w:r>
        <w:t xml:space="preserve"> </w:t>
      </w:r>
      <w:r>
        <w:t xml:space="preserve">by sending inputs crafted to collide [Crosby &amp; Wallach 2003]. In December 2011, Klink and Wälde demonstrated it against the hash tables that web frameworks in PHP, Java, Python, Ruby and ASP.NET used to store HTTP form parameters [Klink &amp; Wälde 2011]. A single request with many colliding parameter names could occupy a CPU core for a long time. This is</w:t>
      </w:r>
      <w:r>
        <w:t xml:space="preserve"> </w:t>
      </w:r>
      <w:r>
        <w:rPr>
          <w:bCs/>
          <w:b/>
        </w:rPr>
        <w:t xml:space="preserve">hash flooding</w:t>
      </w:r>
      <w:r>
        <w:t xml:space="preserve">.</w:t>
      </w:r>
    </w:p>
    <w:p>
      <w:pPr>
        <w:pStyle w:val="CalloutExample"/>
      </w:pPr>
      <w:r>
        <w:rPr>
          <w:bCs/>
          <w:b/>
        </w:rPr>
        <w:t xml:space="preserve">WORKED EXAMPLE</w:t>
      </w:r>
    </w:p>
    <w:p>
      <w:pPr>
        <w:pStyle w:val="CalloutExample"/>
      </w:pPr>
      <w:r>
        <w:rPr>
          <w:bCs/>
          <w:b/>
        </w:rPr>
        <w:t xml:space="preserve">Worked example — the cost of 100,000 colliding keys.</w:t>
      </w:r>
    </w:p>
    <w:p>
      <w:pPr>
        <w:numPr>
          <w:ilvl w:val="0"/>
          <w:numId w:val="1561"/>
        </w:numPr>
        <w:pStyle w:val="Compact"/>
      </w:pPr>
      <w:r>
        <w:t xml:space="preserve">Uniform hash: about</w:t>
      </w:r>
      <w:r>
        <w:t xml:space="preserve"> </w:t>
      </w:r>
      <m:oMath>
        <m:r>
          <m:t>100</m:t>
        </m:r>
        <m:r>
          <m:rPr>
            <m:sty m:val="p"/>
          </m:rPr>
          <m:t>,</m:t>
        </m:r>
        <m:r>
          <m:t>000</m:t>
        </m:r>
        <m:r>
          <m:rPr>
            <m:sty m:val="p"/>
          </m:rPr>
          <m:t>×</m:t>
        </m:r>
        <m:r>
          <m:t>1</m:t>
        </m:r>
        <m:r>
          <m:rPr>
            <m:sty m:val="p"/>
          </m:rPr>
          <m:t>=</m:t>
        </m:r>
        <m:sSup>
          <m:e>
            <m:r>
              <m:t>10</m:t>
            </m:r>
          </m:e>
          <m:sup>
            <m:r>
              <m:t>5</m:t>
            </m:r>
          </m:sup>
        </m:sSup>
      </m:oMath>
      <w:r>
        <w:t xml:space="preserve"> </w:t>
      </w:r>
      <w:r>
        <w:t xml:space="preserve">bucket operations.</w:t>
      </w:r>
    </w:p>
    <w:p>
      <w:pPr>
        <w:numPr>
          <w:ilvl w:val="0"/>
          <w:numId w:val="1561"/>
        </w:numPr>
        <w:pStyle w:val="Compact"/>
      </w:pPr>
      <w:r>
        <w:t xml:space="preserve">All keys colliding: about</w:t>
      </w:r>
      <w:r>
        <w:t xml:space="preserve"> </w:t>
      </w:r>
      <m:oMath>
        <m:sSup>
          <m:e>
            <m:r>
              <m:t>n</m:t>
            </m:r>
          </m:e>
          <m:sup>
            <m:r>
              <m:t>2</m:t>
            </m:r>
          </m:sup>
        </m:sSup>
        <m:r>
          <m:rPr>
            <m:sty m:val="p"/>
          </m:rPr>
          <m:t>/</m:t>
        </m:r>
        <m:r>
          <m:t>2</m:t>
        </m:r>
        <m:r>
          <m:rPr>
            <m:sty m:val="p"/>
          </m:rPr>
          <m:t>=</m:t>
        </m:r>
        <m:sSup>
          <m:e>
            <m:d>
              <m:dPr>
                <m:begChr m:val="("/>
                <m:endChr m:val=")"/>
                <m:sepChr m:val=""/>
                <m:grow/>
              </m:dPr>
              <m:e>
                <m:sSup>
                  <m:e>
                    <m:r>
                      <m:t>10</m:t>
                    </m:r>
                  </m:e>
                  <m:sup>
                    <m:r>
                      <m:t>5</m:t>
                    </m:r>
                  </m:sup>
                </m:sSup>
              </m:e>
            </m:d>
          </m:e>
          <m:sup>
            <m:r>
              <m:t>2</m:t>
            </m:r>
          </m:sup>
        </m:sSup>
        <m:r>
          <m:rPr>
            <m:sty m:val="p"/>
          </m:rPr>
          <m:t>/</m:t>
        </m:r>
        <m:r>
          <m:t>2</m:t>
        </m:r>
        <m:r>
          <m:rPr>
            <m:sty m:val="p"/>
          </m:rPr>
          <m:t>=</m:t>
        </m:r>
        <m:r>
          <m:t>5</m:t>
        </m:r>
        <m:r>
          <m:rPr>
            <m:sty m:val="p"/>
          </m:rPr>
          <m:t>×</m:t>
        </m:r>
        <m:sSup>
          <m:e>
            <m:r>
              <m:t>10</m:t>
            </m:r>
          </m:e>
          <m:sup>
            <m:r>
              <m:t>9</m:t>
            </m:r>
          </m:sup>
        </m:sSup>
      </m:oMath>
      <w:r>
        <w:t xml:space="preserve"> </w:t>
      </w:r>
      <w:r>
        <w:t xml:space="preserve">key comparisons.</w:t>
      </w:r>
    </w:p>
    <w:p>
      <w:pPr>
        <w:numPr>
          <w:ilvl w:val="0"/>
          <w:numId w:val="1561"/>
        </w:numPr>
        <w:pStyle w:val="Compact"/>
      </w:pPr>
      <w:r>
        <w:t xml:space="preserve">At an optimistic</w:t>
      </w:r>
      <w:r>
        <w:t xml:space="preserve"> </w:t>
      </w:r>
      <m:oMath>
        <m:sSup>
          <m:e>
            <m:r>
              <m:t>10</m:t>
            </m:r>
          </m:e>
          <m:sup>
            <m:r>
              <m:t>9</m:t>
            </m:r>
          </m:sup>
        </m:sSup>
      </m:oMath>
      <w:r>
        <w:t xml:space="preserve"> </w:t>
      </w:r>
      <w:r>
        <w:t xml:space="preserve">comparisons per second per core, that is 5 s of CPU for one request; at a more realistic</w:t>
      </w:r>
      <w:r>
        <w:t xml:space="preserve"> </w:t>
      </w:r>
      <m:oMath>
        <m:sSup>
          <m:e>
            <m:r>
              <m:t>10</m:t>
            </m:r>
          </m:e>
          <m:sup>
            <m:r>
              <m:t>8</m:t>
            </m:r>
          </m:sup>
        </m:sSup>
      </m:oMath>
      <w:r>
        <w:t xml:space="preserve"> </w:t>
      </w:r>
      <w:r>
        <w:t xml:space="preserve">per second for string comparisons in an interpreted runtime, 50 s.</w:t>
      </w:r>
    </w:p>
    <w:p>
      <w:pPr>
        <w:pStyle w:val="CalloutExample"/>
      </w:pPr>
      <w:r>
        <w:rPr>
          <w:iCs/>
          <w:i/>
        </w:rPr>
        <w:t xml:space="preserve">Interpretation.</w:t>
      </w:r>
      <w:r>
        <w:t xml:space="preserve"> </w:t>
      </w:r>
      <w:r>
        <w:t xml:space="preserve">One request of a few megabytes costs you seconds of CPU.</w:t>
      </w:r>
      <w:r>
        <w:t xml:space="preserve"> </w:t>
      </w:r>
      <w:r>
        <w:rPr>
          <w:iCs/>
          <w:i/>
        </w:rPr>
        <w:t xml:space="preserve">Engineering implication.</w:t>
      </w:r>
      <w:r>
        <w:t xml:space="preserve"> </w:t>
      </w:r>
      <w:r>
        <w:t xml:space="preserve">Any hash table filled from untrusted input needs a secret-keyed hash or a bounded worst case.</w:t>
      </w:r>
    </w:p>
    <w:p>
      <w:pPr>
        <w:pStyle w:val="BodyText"/>
      </w:pPr>
      <w:r>
        <w:t xml:space="preserve">Three defenses are used in practice:</w:t>
      </w:r>
    </w:p>
    <w:p>
      <w:pPr>
        <w:numPr>
          <w:ilvl w:val="0"/>
          <w:numId w:val="1562"/>
        </w:numPr>
        <w:pStyle w:val="Compact"/>
      </w:pPr>
      <w:r>
        <w:rPr>
          <w:bCs/>
          <w:b/>
        </w:rPr>
        <w:t xml:space="preserve">Keyed hashes.</w:t>
      </w:r>
      <w:r>
        <w:t xml:space="preserve"> </w:t>
      </w:r>
      <w:r>
        <w:t xml:space="preserve">SipHash is a fast pseudorandom function keyed with a 128-bit secret chosen at process start, so attackers cannot predict collisions [Aumasson &amp; Bernstein 2012]. Python uses it for</w:t>
      </w:r>
      <w:r>
        <w:t xml:space="preserve"> </w:t>
      </w:r>
      <w:r>
        <w:rPr>
          <w:rStyle w:val="VerbatimChar"/>
        </w:rPr>
        <w:t xml:space="preserve">str</w:t>
      </w:r>
      <w:r>
        <w:t xml:space="preserve"> </w:t>
      </w:r>
      <w:r>
        <w:t xml:space="preserve">and</w:t>
      </w:r>
      <w:r>
        <w:t xml:space="preserve"> </w:t>
      </w:r>
      <w:r>
        <w:rPr>
          <w:rStyle w:val="VerbatimChar"/>
        </w:rPr>
        <w:t xml:space="preserve">bytes</w:t>
      </w:r>
      <w:r>
        <w:t xml:space="preserve"> </w:t>
      </w:r>
      <w:r>
        <w:t xml:space="preserve">since 3.4 [PEP 456]; Rust’s</w:t>
      </w:r>
      <w:r>
        <w:t xml:space="preserve"> </w:t>
      </w:r>
      <w:r>
        <w:rPr>
          <w:rStyle w:val="VerbatimChar"/>
        </w:rPr>
        <w:t xml:space="preserve">HashMap</w:t>
      </w:r>
      <w:r>
        <w:t xml:space="preserve"> </w:t>
      </w:r>
      <w:r>
        <w:t xml:space="preserve">uses a SipHash variant. Consequence: Python’s</w:t>
      </w:r>
      <w:r>
        <w:t xml:space="preserve"> </w:t>
      </w:r>
      <w:r>
        <w:rPr>
          <w:rStyle w:val="VerbatimChar"/>
        </w:rPr>
        <w:t xml:space="preserve">hash()</w:t>
      </w:r>
      <w:r>
        <w:t xml:space="preserve"> </w:t>
      </w:r>
      <w:r>
        <w:t xml:space="preserve">differs between processes, so never use it for partitioning or persistence.</w:t>
      </w:r>
    </w:p>
    <w:p>
      <w:pPr>
        <w:numPr>
          <w:ilvl w:val="0"/>
          <w:numId w:val="1562"/>
        </w:numPr>
        <w:pStyle w:val="Compact"/>
      </w:pPr>
      <w:r>
        <w:rPr>
          <w:bCs/>
          <w:b/>
        </w:rPr>
        <w:t xml:space="preserve">Bounded worst case.</w:t>
      </w:r>
      <w:r>
        <w:t xml:space="preserve"> </w:t>
      </w:r>
      <w:r>
        <w:t xml:space="preserve">Since Java 8,</w:t>
      </w:r>
      <w:r>
        <w:t xml:space="preserve"> </w:t>
      </w:r>
      <w:r>
        <w:rPr>
          <w:rStyle w:val="VerbatimChar"/>
        </w:rPr>
        <w:t xml:space="preserve">HashMap</w:t>
      </w:r>
      <w:r>
        <w:t xml:space="preserve"> </w:t>
      </w:r>
      <w:r>
        <w:t xml:space="preserve">turns long bucket chains into balanced trees,</w:t>
      </w:r>
      <w:r>
        <w:t xml:space="preserve"> </w:t>
      </w:r>
      <m:oMath>
        <m:r>
          <m:t>O</m:t>
        </m:r>
        <m:d>
          <m:dPr>
            <m:begChr m:val="("/>
            <m:endChr m:val=")"/>
            <m:sepChr m:val=""/>
            <m:grow/>
          </m:dPr>
          <m:e>
            <m:r>
              <m:rPr>
                <m:sty m:val="p"/>
              </m:rPr>
              <m:t>log</m:t>
            </m:r>
            <m:r>
              <m:t>n</m:t>
            </m:r>
          </m:e>
        </m:d>
      </m:oMath>
      <w:r>
        <w:t xml:space="preserve"> </w:t>
      </w:r>
      <w:r>
        <w:t xml:space="preserve">per operation [JEP 180].</w:t>
      </w:r>
    </w:p>
    <w:p>
      <w:pPr>
        <w:numPr>
          <w:ilvl w:val="0"/>
          <w:numId w:val="1562"/>
        </w:numPr>
        <w:pStyle w:val="Compact"/>
      </w:pPr>
      <w:r>
        <w:rPr>
          <w:bCs/>
          <w:b/>
        </w:rPr>
        <w:t xml:space="preserve">Input limits.</w:t>
      </w:r>
      <w:r>
        <w:t xml:space="preserve"> </w:t>
      </w:r>
      <w:r>
        <w:t xml:space="preserve">Cap parameters, JSON keys and headers per request.</w:t>
      </w:r>
    </w:p>
    <w:p>
      <w:pPr>
        <w:pStyle w:val="FirstParagraph"/>
      </w:pPr>
      <w:r>
        <w:rPr>
          <w:bCs/>
          <w:b/>
        </w:rPr>
        <w:t xml:space="preserve">Figure 17.1 — Uniform hashing versus hash flooding.</w:t>
      </w:r>
    </w:p>
    <w:p>
      <w:pPr>
        <w:pStyle w:val="BodyText"/>
      </w:pPr>
      <w:r>
        <w:drawing>
          <wp:inline>
            <wp:extent cx="5334000" cy="3635102"/>
            <wp:effectExtent b="0" l="0" r="0" t="0"/>
            <wp:docPr descr="" title="" id="1916" name="Picture"/>
            <a:graphic>
              <a:graphicData uri="http://schemas.openxmlformats.org/drawingml/2006/picture">
                <pic:pic>
                  <pic:nvPicPr>
                    <pic:cNvPr descr="/home/user/System-Design/build/.cache/diagrams/1f5001eb29bf.png" id="1917" name="Picture"/>
                    <pic:cNvPicPr>
                      <a:picLocks noChangeArrowheads="1" noChangeAspect="1"/>
                    </pic:cNvPicPr>
                  </pic:nvPicPr>
                  <pic:blipFill>
                    <a:blip r:embed="rId1915"/>
                    <a:stretch>
                      <a:fillRect/>
                    </a:stretch>
                  </pic:blipFill>
                  <pic:spPr bwMode="auto">
                    <a:xfrm>
                      <a:off x="0" y="0"/>
                      <a:ext cx="5334000" cy="3635102"/>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Upper group: three structured keys pass through MurmurHash3 and, thanks to avalanche, land in unrelated buckets, so operations stay constant-time. Lower group: an attacker who knows an unkeyed hash precomputes keys that all map to bucket 5; every insert walks the whole chain and total work grows quadratically (the hexagon is the external effect, CPU exhaustion). Arrows are synchronous in-process calls; buckets are in-memory storage. The failure point is the hash function, not capacity, so adding servers does not help; the fixes are an unpredictable bucket choice (secret SipHash key) or bounded per-bucket cost (tree bins).</w:t>
      </w:r>
    </w:p>
    <w:bookmarkEnd w:id="1918"/>
    <w:bookmarkStart w:id="1921" w:name="from-hashes-to-partitions"/>
    <w:p>
      <w:pPr>
        <w:pStyle w:val="Heading3"/>
      </w:pPr>
      <w:r>
        <w:t xml:space="preserve">17.3.5 From hashes to partitions</w:t>
      </w:r>
    </w:p>
    <w:p>
      <w:pPr>
        <w:pStyle w:val="FirstParagraph"/>
      </w:pPr>
      <w:r>
        <w:t xml:space="preserve">With</w:t>
      </w:r>
      <w:r>
        <w:t xml:space="preserve"> </w:t>
      </w:r>
      <w:r>
        <w:rPr>
          <w:rStyle w:val="VerbatimChar"/>
        </w:rPr>
        <w:t xml:space="preserve">hash mod N</w:t>
      </w:r>
      <w:r>
        <w:t xml:space="preserve">, changing</w:t>
      </w:r>
      <w:r>
        <w:t xml:space="preserve"> </w:t>
      </w:r>
      <m:oMath>
        <m:r>
          <m:t>N</m:t>
        </m:r>
      </m:oMath>
      <w:r>
        <w:t xml:space="preserve"> </w:t>
      </w:r>
      <w:r>
        <w:t xml:space="preserve">moves almost every key (a key stays only if</w:t>
      </w:r>
      <w:r>
        <w:t xml:space="preserve"> </w:t>
      </w:r>
      <w:r>
        <w:rPr>
          <w:rStyle w:val="VerbatimChar"/>
        </w:rPr>
        <w:t xml:space="preserve">h mod N</w:t>
      </w:r>
      <w:r>
        <w:t xml:space="preserve"> </w:t>
      </w:r>
      <w:r>
        <w:t xml:space="preserve">equals</w:t>
      </w:r>
      <w:r>
        <w:t xml:space="preserve"> </w:t>
      </w:r>
      <w:r>
        <w:rPr>
          <w:rStyle w:val="VerbatimChar"/>
        </w:rPr>
        <w:t xml:space="preserve">h mod (N+1)</w:t>
      </w:r>
      <w:r>
        <w:t xml:space="preserve">, about</w:t>
      </w:r>
      <w:r>
        <w:t xml:space="preserve"> </w:t>
      </w:r>
      <m:oMath>
        <m:r>
          <m:t>1</m:t>
        </m:r>
        <m:r>
          <m:rPr>
            <m:sty m:val="p"/>
          </m:rPr>
          <m:t>/</m:t>
        </m:r>
        <m:d>
          <m:dPr>
            <m:begChr m:val="("/>
            <m:endChr m:val=")"/>
            <m:sepChr m:val=""/>
            <m:grow/>
          </m:dPr>
          <m:e>
            <m:r>
              <m:t>N</m:t>
            </m:r>
            <m:r>
              <m:rPr>
                <m:sty m:val="p"/>
              </m:rPr>
              <m:t>+</m:t>
            </m:r>
            <m:r>
              <m:t>1</m:t>
            </m:r>
          </m:e>
        </m:d>
      </m:oMath>
      <w:r>
        <w:t xml:space="preserve"> </w:t>
      </w:r>
      <w:r>
        <w:t xml:space="preserve">of keys).</w:t>
      </w:r>
      <w:r>
        <w:t xml:space="preserve"> </w:t>
      </w:r>
      <w:r>
        <w:rPr>
          <w:bCs/>
          <w:b/>
        </w:rPr>
        <w:t xml:space="preserve">Consistent hashing</w:t>
      </w:r>
      <w:r>
        <w:t xml:space="preserve"> </w:t>
      </w:r>
      <w:r>
        <w:t xml:space="preserve">places nodes and keys on a ring so a membership change moves only about</w:t>
      </w:r>
      <w:r>
        <w:t xml:space="preserve"> </w:t>
      </w:r>
      <m:oMath>
        <m:r>
          <m:t>1</m:t>
        </m:r>
        <m:r>
          <m:rPr>
            <m:sty m:val="p"/>
          </m:rPr>
          <m:t>/</m:t>
        </m:r>
        <m:r>
          <m:t>N</m:t>
        </m:r>
      </m:oMath>
      <w:r>
        <w:t xml:space="preserve"> </w:t>
      </w:r>
      <w:r>
        <w:t xml:space="preserve">of keys; jump and rendezvous hashing are alternatives. Chapter 14 owns this topic (§14.8; walk-through in §3.3.2). It assumes a uniform underlying hash.</w:t>
      </w:r>
    </w:p>
    <w:bookmarkStart w:id="1919" w:name="failure-scenarios-49"/>
    <w:p>
      <w:pPr>
        <w:pStyle w:val="Heading4"/>
      </w:pPr>
      <w:r>
        <w:t xml:space="preserve">Failure scenarios</w:t>
      </w:r>
    </w:p>
    <w:p>
      <w:pPr>
        <w:pStyle w:val="FirstParagraph"/>
      </w:pPr>
      <w:r>
        <w:rPr>
          <w:bCs/>
          <w:b/>
        </w:rPr>
        <w:t xml:space="preserve">Table 17.2 — Hash-function 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One partition gets 5× the traffic of others</w:t>
            </w:r>
          </w:p>
        </w:tc>
        <w:tc>
          <w:tcPr/>
          <w:p>
            <w:pPr>
              <w:pStyle w:val="Compact"/>
              <w:jc w:val="left"/>
            </w:pPr>
            <w:r>
              <w:t xml:space="preserve">Weak hash on structured keys, or</w:t>
            </w:r>
            <w:r>
              <w:t xml:space="preserve"> </w:t>
            </w:r>
            <w:r>
              <w:rPr>
                <w:rStyle w:val="VerbatimChar"/>
              </w:rPr>
              <w:t xml:space="preserve">mod</w:t>
            </w:r>
            <w:r>
              <w:t xml:space="preserve"> </w:t>
            </w:r>
            <w:r>
              <w:t xml:space="preserve">of a power of two keeping poorly mixed low bits</w:t>
            </w:r>
          </w:p>
        </w:tc>
        <w:tc>
          <w:tcPr/>
          <w:p>
            <w:pPr>
              <w:pStyle w:val="Compact"/>
              <w:jc w:val="left"/>
            </w:pPr>
            <w:r>
              <w:t xml:space="preserve">Per-partition request and size metrics; chi-square on a key sample</w:t>
            </w:r>
          </w:p>
        </w:tc>
        <w:tc>
          <w:tcPr/>
          <w:p>
            <w:pPr>
              <w:pStyle w:val="Compact"/>
              <w:jc w:val="left"/>
            </w:pPr>
            <w:r>
              <w:t xml:space="preserve">Re-hash with a better function (requires data migration)</w:t>
            </w:r>
          </w:p>
        </w:tc>
        <w:tc>
          <w:tcPr/>
          <w:p>
            <w:pPr>
              <w:pStyle w:val="Compact"/>
              <w:jc w:val="left"/>
            </w:pPr>
            <w:r>
              <w:t xml:space="preserve">Use MurmurHash3/xxHash; test with real key samples</w:t>
            </w:r>
          </w:p>
        </w:tc>
      </w:tr>
      <w:tr>
        <w:tc>
          <w:tcPr/>
          <w:p>
            <w:pPr>
              <w:pStyle w:val="Compact"/>
              <w:jc w:val="left"/>
            </w:pPr>
            <w:r>
              <w:t xml:space="preserve">CPU pinned by a few requests</w:t>
            </w:r>
          </w:p>
        </w:tc>
        <w:tc>
          <w:tcPr/>
          <w:p>
            <w:pPr>
              <w:pStyle w:val="Compact"/>
              <w:jc w:val="left"/>
            </w:pPr>
            <w:r>
              <w:t xml:space="preserve">Hash flooding of an unkeyed table</w:t>
            </w:r>
          </w:p>
        </w:tc>
        <w:tc>
          <w:tcPr/>
          <w:p>
            <w:pPr>
              <w:pStyle w:val="Compact"/>
              <w:jc w:val="left"/>
            </w:pPr>
            <w:r>
              <w:t xml:space="preserve">Profiling shows time inside hash-table insert; requests with thousands of parameters</w:t>
            </w:r>
          </w:p>
        </w:tc>
        <w:tc>
          <w:tcPr/>
          <w:p>
            <w:pPr>
              <w:pStyle w:val="Compact"/>
              <w:jc w:val="left"/>
            </w:pPr>
            <w:r>
              <w:t xml:space="preserve">Rate-limit offending clients; restart with patched runtime</w:t>
            </w:r>
          </w:p>
        </w:tc>
        <w:tc>
          <w:tcPr/>
          <w:p>
            <w:pPr>
              <w:pStyle w:val="Compact"/>
              <w:jc w:val="left"/>
            </w:pPr>
            <w:r>
              <w:t xml:space="preserve">Keyed hash (SipHash), tree bins, parameter-count limits</w:t>
            </w:r>
          </w:p>
        </w:tc>
      </w:tr>
      <w:tr>
        <w:tc>
          <w:tcPr/>
          <w:p>
            <w:pPr>
              <w:pStyle w:val="Compact"/>
              <w:jc w:val="left"/>
            </w:pPr>
            <w:r>
              <w:t xml:space="preserve">Keys</w:t>
            </w:r>
            <w:r>
              <w:t xml:space="preserve"> </w:t>
            </w:r>
            <w:r>
              <w:t xml:space="preserve">“</w:t>
            </w:r>
            <w:r>
              <w:t xml:space="preserve">move</w:t>
            </w:r>
            <w:r>
              <w:t xml:space="preserve">”</w:t>
            </w:r>
            <w:r>
              <w:t xml:space="preserve"> </w:t>
            </w:r>
            <w:r>
              <w:t xml:space="preserve">after a deploy</w:t>
            </w:r>
          </w:p>
        </w:tc>
        <w:tc>
          <w:tcPr/>
          <w:p>
            <w:pPr>
              <w:pStyle w:val="Compact"/>
              <w:jc w:val="left"/>
            </w:pPr>
            <w:r>
              <w:t xml:space="preserve">Language runtime’s built-in</w:t>
            </w:r>
            <w:r>
              <w:t xml:space="preserve"> </w:t>
            </w:r>
            <w:r>
              <w:rPr>
                <w:rStyle w:val="VerbatimChar"/>
              </w:rPr>
              <w:t xml:space="preserve">hash()</w:t>
            </w:r>
            <w:r>
              <w:t xml:space="preserve"> </w:t>
            </w:r>
            <w:r>
              <w:t xml:space="preserve">is randomized per process or changed between versions</w:t>
            </w:r>
          </w:p>
        </w:tc>
        <w:tc>
          <w:tcPr/>
          <w:p>
            <w:pPr>
              <w:pStyle w:val="Compact"/>
              <w:jc w:val="left"/>
            </w:pPr>
            <w:r>
              <w:t xml:space="preserve">Cache hit ratio collapses after a deploy; data written under one hash not found</w:t>
            </w:r>
          </w:p>
        </w:tc>
        <w:tc>
          <w:tcPr/>
          <w:p>
            <w:pPr>
              <w:pStyle w:val="Compact"/>
              <w:jc w:val="left"/>
            </w:pPr>
            <w:r>
              <w:t xml:space="preserve">Roll back; rebuild index</w:t>
            </w:r>
          </w:p>
        </w:tc>
        <w:tc>
          <w:tcPr/>
          <w:p>
            <w:pPr>
              <w:pStyle w:val="Compact"/>
              <w:jc w:val="left"/>
            </w:pPr>
            <w:r>
              <w:t xml:space="preserve">Use an explicitly specified, versioned hash for anything persisted or shared</w:t>
            </w:r>
          </w:p>
        </w:tc>
      </w:tr>
      <w:tr>
        <w:tc>
          <w:tcPr/>
          <w:p>
            <w:pPr>
              <w:pStyle w:val="Compact"/>
              <w:jc w:val="left"/>
            </w:pPr>
            <w:r>
              <w:t xml:space="preserve">Different services disagree on a key’s partition</w:t>
            </w:r>
          </w:p>
        </w:tc>
        <w:tc>
          <w:tcPr/>
          <w:p>
            <w:pPr>
              <w:pStyle w:val="Compact"/>
              <w:jc w:val="left"/>
            </w:pPr>
            <w:r>
              <w:t xml:space="preserve">One service hashes UTF-8 bytes, another UTF-16, or seeds differ</w:t>
            </w:r>
          </w:p>
        </w:tc>
        <w:tc>
          <w:tcPr/>
          <w:p>
            <w:pPr>
              <w:pStyle w:val="Compact"/>
              <w:jc w:val="left"/>
            </w:pPr>
            <w:r>
              <w:t xml:space="preserve">Cross-service lookups miss</w:t>
            </w:r>
          </w:p>
        </w:tc>
        <w:tc>
          <w:tcPr/>
          <w:p>
            <w:pPr>
              <w:pStyle w:val="Compact"/>
              <w:jc w:val="left"/>
            </w:pPr>
            <w:r>
              <w:t xml:space="preserve">Fix encoding and seed; backfill</w:t>
            </w:r>
          </w:p>
        </w:tc>
        <w:tc>
          <w:tcPr/>
          <w:p>
            <w:pPr>
              <w:pStyle w:val="Compact"/>
              <w:jc w:val="left"/>
            </w:pPr>
            <w:r>
              <w:t xml:space="preserve">Specify encoding, algorithm, seed and byte order in the interface contract</w:t>
            </w:r>
          </w:p>
        </w:tc>
      </w:tr>
    </w:tbl>
    <w:bookmarkEnd w:id="1919"/>
    <w:bookmarkStart w:id="1920" w:name="common-misconceptions-38"/>
    <w:p>
      <w:pPr>
        <w:pStyle w:val="Heading4"/>
      </w:pPr>
      <w:r>
        <w:t xml:space="preserve">Common misconceptions</w:t>
      </w:r>
    </w:p>
    <w:p>
      <w:pPr>
        <w:pStyle w:val="CalloutMistake"/>
      </w:pPr>
      <w:r>
        <w:rPr>
          <w:bCs/>
          <w:b/>
        </w:rPr>
        <w:t xml:space="preserve">COMMON MISTAKE</w:t>
      </w:r>
    </w:p>
    <w:p>
      <w:pPr>
        <w:pStyle w:val="CalloutMistake"/>
      </w:pPr>
      <w:r>
        <w:rPr>
          <w:bCs/>
          <w:b/>
        </w:rPr>
        <w:t xml:space="preserve">“</w:t>
      </w:r>
      <w:r>
        <w:rPr>
          <w:bCs/>
          <w:b/>
        </w:rPr>
        <w:t xml:space="preserve">A 64-bit hash never collides, so I can use it as a unique ID.</w:t>
      </w:r>
      <w:r>
        <w:rPr>
          <w:bCs/>
          <w:b/>
        </w:rPr>
        <w:t xml:space="preserve">”</w:t>
      </w:r>
      <w:r>
        <w:t xml:space="preserve"> </w:t>
      </w:r>
      <w:r>
        <w:t xml:space="preserve">By the birthday bound (§10.4.1), collisions among random 64-bit values become likely at about</w:t>
      </w:r>
      <w:r>
        <w:t xml:space="preserve"> </w:t>
      </w:r>
      <m:oMath>
        <m:sSup>
          <m:e>
            <m:r>
              <m:t>2</m:t>
            </m:r>
          </m:e>
          <m:sup>
            <m:r>
              <m:t>32</m:t>
            </m:r>
          </m:sup>
        </m:sSup>
        <m:r>
          <m:rPr>
            <m:sty m:val="p"/>
          </m:rPr>
          <m:t>≈</m:t>
        </m:r>
        <m:r>
          <m:t>4.3</m:t>
        </m:r>
      </m:oMath>
      <w:r>
        <w:t xml:space="preserve"> </w:t>
      </w:r>
      <w:r>
        <w:t xml:space="preserve">billion items. A fingerprint is fine for sharding or deduplication hints, but anything that must be unique needs either a collision check or a much larger space (§17.10).</w:t>
      </w:r>
    </w:p>
    <w:p>
      <w:pPr>
        <w:pStyle w:val="CalloutMistake"/>
      </w:pPr>
      <w:r>
        <w:rPr>
          <w:bCs/>
          <w:b/>
        </w:rPr>
        <w:t xml:space="preserve">COMMON MISTAKE</w:t>
      </w:r>
    </w:p>
    <w:p>
      <w:pPr>
        <w:pStyle w:val="CalloutMistake"/>
      </w:pPr>
      <w:r>
        <w:rPr>
          <w:bCs/>
          <w:b/>
        </w:rPr>
        <w:t xml:space="preserve">“</w:t>
      </w:r>
      <w:r>
        <w:rPr>
          <w:bCs/>
          <w:b/>
        </w:rPr>
        <w:t xml:space="preserve">Cryptographic hashes are always better.</w:t>
      </w:r>
      <w:r>
        <w:rPr>
          <w:bCs/>
          <w:b/>
        </w:rPr>
        <w:t xml:space="preserve">”</w:t>
      </w:r>
      <w:r>
        <w:t xml:space="preserve"> </w:t>
      </w:r>
      <w:r>
        <w:t xml:space="preserve">They are slower and solve a different problem; for bucketing ordinary keys they are no more uniform than MurmurHash3. Use them where an adversary benefits from a collision.</w:t>
      </w:r>
    </w:p>
    <w:bookmarkEnd w:id="1920"/>
    <w:bookmarkEnd w:id="1921"/>
    <w:bookmarkEnd w:id="1922"/>
    <w:bookmarkStart w:id="1948" w:name="bloom-filters-and-cuckoo-filters"/>
    <w:p>
      <w:pPr>
        <w:pStyle w:val="Heading2"/>
      </w:pPr>
      <w:r>
        <w:t xml:space="preserve">17.4 Bloom filters and cuckoo filters</w:t>
      </w:r>
    </w:p>
    <w:bookmarkStart w:id="1925" w:name="the-membership-problem"/>
    <w:p>
      <w:pPr>
        <w:pStyle w:val="Heading3"/>
      </w:pPr>
      <w:r>
        <w:t xml:space="preserve">17.4.1 The membership problem</w:t>
      </w:r>
    </w:p>
    <w:p>
      <w:pPr>
        <w:pStyle w:val="CalloutDefinition"/>
      </w:pPr>
      <w:r>
        <w:rPr>
          <w:bCs/>
          <w:b/>
        </w:rPr>
        <w:t xml:space="preserve">DEFINITION</w:t>
      </w:r>
    </w:p>
    <w:p>
      <w:pPr>
        <w:pStyle w:val="CalloutDefinition"/>
      </w:pPr>
      <w:r>
        <w:rPr>
          <w:bCs/>
          <w:b/>
        </w:rPr>
        <w:t xml:space="preserve">Definition — Bloom filter.</w:t>
      </w:r>
      <w:r>
        <w:t xml:space="preserve"> </w:t>
      </w:r>
      <w:r>
        <w:t xml:space="preserve">A probabilistic data structure for set membership, introduced by Burton Bloom in 1970, that stores a set of</w:t>
      </w:r>
      <w:r>
        <w:t xml:space="preserve"> </w:t>
      </w:r>
      <m:oMath>
        <m:r>
          <m:t>n</m:t>
        </m:r>
      </m:oMath>
      <w:r>
        <w:t xml:space="preserve"> </w:t>
      </w:r>
      <w:r>
        <w:t xml:space="preserve">items in an array of</w:t>
      </w:r>
      <w:r>
        <w:t xml:space="preserve"> </w:t>
      </w:r>
      <m:oMath>
        <m:r>
          <m:t>m</m:t>
        </m:r>
      </m:oMath>
      <w:r>
        <w:t xml:space="preserve"> </w:t>
      </w:r>
      <w:r>
        <w:t xml:space="preserve">bits using</w:t>
      </w:r>
      <w:r>
        <w:t xml:space="preserve"> </w:t>
      </w:r>
      <m:oMath>
        <m:r>
          <m:t>k</m:t>
        </m:r>
      </m:oMath>
      <w:r>
        <w:t xml:space="preserve"> </w:t>
      </w:r>
      <w:r>
        <w:t xml:space="preserve">hash functions [Bloom 1970]. A query answers either</w:t>
      </w:r>
      <w:r>
        <w:t xml:space="preserve"> </w:t>
      </w:r>
      <w:r>
        <w:t xml:space="preserve">“</w:t>
      </w:r>
      <w:r>
        <w:t xml:space="preserve">definitely not in the set</w:t>
      </w:r>
      <w:r>
        <w:t xml:space="preserve">”</w:t>
      </w:r>
      <w:r>
        <w:t xml:space="preserve"> </w:t>
      </w:r>
      <w:r>
        <w:t xml:space="preserve">or</w:t>
      </w:r>
      <w:r>
        <w:t xml:space="preserve"> </w:t>
      </w:r>
      <w:r>
        <w:t xml:space="preserve">“</w:t>
      </w:r>
      <w:r>
        <w:t xml:space="preserve">probably in the set</w:t>
      </w:r>
      <w:r>
        <w:t xml:space="preserve">”</w:t>
      </w:r>
      <w:r>
        <w:t xml:space="preserve">. It never gives a</w:t>
      </w:r>
      <w:r>
        <w:t xml:space="preserve"> </w:t>
      </w:r>
      <w:r>
        <w:rPr>
          <w:bCs/>
          <w:b/>
        </w:rPr>
        <w:t xml:space="preserve">false negative</w:t>
      </w:r>
      <w:r>
        <w:t xml:space="preserve"> </w:t>
      </w:r>
      <w:r>
        <w:t xml:space="preserve">(saying</w:t>
      </w:r>
      <w:r>
        <w:t xml:space="preserve"> </w:t>
      </w:r>
      <w:r>
        <w:t xml:space="preserve">“</w:t>
      </w:r>
      <w:r>
        <w:t xml:space="preserve">no</w:t>
      </w:r>
      <w:r>
        <w:t xml:space="preserve">”</w:t>
      </w:r>
      <w:r>
        <w:t xml:space="preserve"> </w:t>
      </w:r>
      <w:r>
        <w:t xml:space="preserve">for an item that was added), and gives a</w:t>
      </w:r>
      <w:r>
        <w:t xml:space="preserve"> </w:t>
      </w:r>
      <w:r>
        <w:rPr>
          <w:bCs/>
          <w:b/>
        </w:rPr>
        <w:t xml:space="preserve">false positive</w:t>
      </w:r>
      <w:r>
        <w:t xml:space="preserve"> </w:t>
      </w:r>
      <w:r>
        <w:t xml:space="preserve">(saying</w:t>
      </w:r>
      <w:r>
        <w:t xml:space="preserve"> </w:t>
      </w:r>
      <w:r>
        <w:t xml:space="preserve">“</w:t>
      </w:r>
      <w:r>
        <w:t xml:space="preserve">yes</w:t>
      </w:r>
      <w:r>
        <w:t xml:space="preserve">”</w:t>
      </w:r>
      <w:r>
        <w:t xml:space="preserve"> </w:t>
      </w:r>
      <w:r>
        <w:t xml:space="preserve">for an item that was not added) with a probability</w:t>
      </w:r>
      <w:r>
        <w:t xml:space="preserve"> </w:t>
      </w:r>
      <m:oMath>
        <m:r>
          <m:t>p</m:t>
        </m:r>
      </m:oMath>
      <w:r>
        <w:t xml:space="preserve"> </w:t>
      </w:r>
      <w:r>
        <w:t xml:space="preserve">that depends on</w:t>
      </w:r>
      <w:r>
        <w:t xml:space="preserve"> </w:t>
      </w:r>
      <m:oMath>
        <m:r>
          <m:t>m</m:t>
        </m:r>
      </m:oMath>
      <w:r>
        <w:t xml:space="preserve">,</w:t>
      </w:r>
      <w:r>
        <w:t xml:space="preserve"> </w:t>
      </w:r>
      <m:oMath>
        <m:r>
          <m:t>n</m:t>
        </m:r>
      </m:oMath>
      <w:r>
        <w:t xml:space="preserve"> </w:t>
      </w:r>
      <w:r>
        <w:t xml:space="preserve">and</w:t>
      </w:r>
      <w:r>
        <w:t xml:space="preserve"> </w:t>
      </w:r>
      <m:oMath>
        <m:r>
          <m:t>k</m:t>
        </m:r>
      </m:oMath>
      <w:r>
        <w:t xml:space="preserve">.</w:t>
      </w:r>
    </w:p>
    <w:bookmarkStart w:id="1923" w:name="first-principles-explanation-107"/>
    <w:p>
      <w:pPr>
        <w:pStyle w:val="Heading4"/>
      </w:pPr>
      <w:r>
        <w:t xml:space="preserve">First-principles explanation</w:t>
      </w:r>
    </w:p>
    <w:p>
      <w:pPr>
        <w:pStyle w:val="FirstParagraph"/>
      </w:pPr>
      <w:r>
        <w:t xml:space="preserve">Picture a bouncer with a terrible memory but a stamp pad. Each guest who enters stamps three positions on a wall chart, chosen by the letters of their name. Asked</w:t>
      </w:r>
      <w:r>
        <w:t xml:space="preserve"> </w:t>
      </w:r>
      <w:r>
        <w:t xml:space="preserve">“</w:t>
      </w:r>
      <w:r>
        <w:t xml:space="preserve">Was Alice here?</w:t>
      </w:r>
      <w:r>
        <w:t xml:space="preserve">”</w:t>
      </w:r>
      <w:r>
        <w:t xml:space="preserve">, the bouncer checks Alice’s three positions. If any is blank, she was certainly never here. If all are stamped, she was</w:t>
      </w:r>
      <w:r>
        <w:t xml:space="preserve"> </w:t>
      </w:r>
      <w:r>
        <w:rPr>
          <w:iCs/>
          <w:i/>
        </w:rPr>
        <w:t xml:space="preserve">probably</w:t>
      </w:r>
      <w:r>
        <w:t xml:space="preserve"> </w:t>
      </w:r>
      <w:r>
        <w:t xml:space="preserve">here, though other guests’ stamps might happen to cover her positions. The chart is tiny, never forgets an entrant, and occasionally vouches for a stranger.</w:t>
      </w:r>
    </w:p>
    <w:p>
      <w:pPr>
        <w:pStyle w:val="BodyText"/>
      </w:pPr>
      <w:r>
        <w:t xml:space="preserve">A Bloom filter is useful wherever</w:t>
      </w:r>
      <w:r>
        <w:t xml:space="preserve"> </w:t>
      </w:r>
      <w:r>
        <w:t xml:space="preserve">“</w:t>
      </w:r>
      <w:r>
        <w:t xml:space="preserve">definitely not</w:t>
      </w:r>
      <w:r>
        <w:t xml:space="preserve">”</w:t>
      </w:r>
      <w:r>
        <w:t xml:space="preserve"> </w:t>
      </w:r>
      <w:r>
        <w:t xml:space="preserve">lets you skip something expensive and an occasional</w:t>
      </w:r>
      <w:r>
        <w:t xml:space="preserve"> </w:t>
      </w:r>
      <w:r>
        <w:t xml:space="preserve">“</w:t>
      </w:r>
      <w:r>
        <w:t xml:space="preserve">maybe</w:t>
      </w:r>
      <w:r>
        <w:t xml:space="preserve">”</w:t>
      </w:r>
      <w:r>
        <w:t xml:space="preserve"> </w:t>
      </w:r>
      <w:r>
        <w:t xml:space="preserve">costs only a little wasted work.</w:t>
      </w:r>
    </w:p>
    <w:bookmarkEnd w:id="1923"/>
    <w:bookmarkStart w:id="1924" w:name="why-does-this-exist-63"/>
    <w:p>
      <w:pPr>
        <w:pStyle w:val="Heading4"/>
      </w:pPr>
      <w:r>
        <w:t xml:space="preserve">Why does this exist?</w:t>
      </w:r>
    </w:p>
    <w:p>
      <w:pPr>
        <w:pStyle w:val="FirstParagraph"/>
      </w:pPr>
      <w:r>
        <w:t xml:space="preserve">Bloom’s 1970 paper used a small in-memory filter so a hyphenation program could skip a disk-resident dictionary for most words [Bloom 1970]. The same shape recurs at scale:</w:t>
      </w:r>
    </w:p>
    <w:p>
      <w:pPr>
        <w:numPr>
          <w:ilvl w:val="0"/>
          <w:numId w:val="1563"/>
        </w:numPr>
        <w:pStyle w:val="Compact"/>
      </w:pPr>
      <w:r>
        <w:t xml:space="preserve">An LSM-tree database (§13.8) keeps many immutable files; a per-file filter in memory says</w:t>
      </w:r>
      <w:r>
        <w:t xml:space="preserve"> </w:t>
      </w:r>
      <w:r>
        <w:t xml:space="preserve">“</w:t>
      </w:r>
      <w:r>
        <w:t xml:space="preserve">not in this file</w:t>
      </w:r>
      <w:r>
        <w:t xml:space="preserve">”</w:t>
      </w:r>
      <w:r>
        <w:t xml:space="preserve"> </w:t>
      </w:r>
      <w:r>
        <w:t xml:space="preserve">for most of them.</w:t>
      </w:r>
    </w:p>
    <w:p>
      <w:pPr>
        <w:numPr>
          <w:ilvl w:val="0"/>
          <w:numId w:val="1563"/>
        </w:numPr>
        <w:pStyle w:val="Compact"/>
      </w:pPr>
      <w:r>
        <w:t xml:space="preserve">A crawler must not refetch any of billions of URLs; an exact URL set would take hundreds of gigabytes.</w:t>
      </w:r>
    </w:p>
    <w:p>
      <w:pPr>
        <w:numPr>
          <w:ilvl w:val="0"/>
          <w:numId w:val="1563"/>
        </w:numPr>
        <w:pStyle w:val="Compact"/>
      </w:pPr>
      <w:r>
        <w:t xml:space="preserve">A CDN should not write an object to disk on its first request, because most objects are never requested again.</w:t>
      </w:r>
    </w:p>
    <w:p>
      <w:pPr>
        <w:pStyle w:val="FirstParagraph"/>
      </w:pPr>
      <w:r>
        <w:t xml:space="preserve">In each case the filter turns most memory- or I/O-heavy exact lookups into a check of a few bits.</w:t>
      </w:r>
    </w:p>
    <w:bookmarkEnd w:id="1924"/>
    <w:bookmarkEnd w:id="1925"/>
    <w:bookmarkStart w:id="1930" w:name="how-it-works-internally-70"/>
    <w:p>
      <w:pPr>
        <w:pStyle w:val="Heading3"/>
      </w:pPr>
      <w:r>
        <w:t xml:space="preserve">17.4.2 How it works internally</w:t>
      </w:r>
    </w:p>
    <w:p>
      <w:pPr>
        <w:numPr>
          <w:ilvl w:val="0"/>
          <w:numId w:val="1564"/>
        </w:numPr>
        <w:pStyle w:val="Compact"/>
      </w:pPr>
      <w:r>
        <w:rPr>
          <w:bCs/>
          <w:b/>
        </w:rPr>
        <w:t xml:space="preserve">Create</w:t>
      </w:r>
      <w:r>
        <w:t xml:space="preserve"> </w:t>
      </w:r>
      <w:r>
        <w:t xml:space="preserve">an array of</w:t>
      </w:r>
      <w:r>
        <w:t xml:space="preserve"> </w:t>
      </w:r>
      <m:oMath>
        <m:r>
          <m:t>m</m:t>
        </m:r>
      </m:oMath>
      <w:r>
        <w:t xml:space="preserve"> </w:t>
      </w:r>
      <w:r>
        <w:t xml:space="preserve">bits, all 0, and choose</w:t>
      </w:r>
      <w:r>
        <w:t xml:space="preserve"> </w:t>
      </w:r>
      <m:oMath>
        <m:r>
          <m:t>k</m:t>
        </m:r>
      </m:oMath>
      <w:r>
        <w:t xml:space="preserve"> </w:t>
      </w:r>
      <w:r>
        <w:t xml:space="preserve">independent hash functions</w:t>
      </w:r>
      <w:r>
        <w:t xml:space="preserve"> </w:t>
      </w:r>
      <m:oMath>
        <m:sSub>
          <m:e>
            <m:r>
              <m:t>h</m:t>
            </m:r>
          </m:e>
          <m:sub>
            <m:r>
              <m:t>1</m:t>
            </m:r>
          </m:sub>
        </m:sSub>
        <m:r>
          <m:rPr>
            <m:sty m:val="p"/>
          </m:rPr>
          <m:t>,</m:t>
        </m:r>
        <m:r>
          <m:rPr>
            <m:sty m:val="p"/>
          </m:rPr>
          <m:t>…</m:t>
        </m:r>
        <m:r>
          <m:rPr>
            <m:sty m:val="p"/>
          </m:rPr>
          <m:t>,</m:t>
        </m:r>
        <m:sSub>
          <m:e>
            <m:r>
              <m:t>h</m:t>
            </m:r>
          </m:e>
          <m:sub>
            <m:r>
              <m:t>k</m:t>
            </m:r>
          </m:sub>
        </m:sSub>
      </m:oMath>
      <w:r>
        <w:t xml:space="preserve">, each mapping an item to a position in</w:t>
      </w:r>
      <w:r>
        <w:t xml:space="preserve"> </w:t>
      </w:r>
      <m:oMath>
        <m:r>
          <m:rPr>
            <m:sty m:val="p"/>
          </m:rPr>
          <m:t>[</m:t>
        </m:r>
        <m:r>
          <m:t>0</m:t>
        </m:r>
        <m:r>
          <m:rPr>
            <m:sty m:val="p"/>
          </m:rPr>
          <m:t>,</m:t>
        </m:r>
        <m:r>
          <m:t>m</m:t>
        </m:r>
        <m:r>
          <m:rPr>
            <m:sty m:val="p"/>
          </m:rPr>
          <m:t>)</m:t>
        </m:r>
      </m:oMath>
      <w:r>
        <w:t xml:space="preserve">.</w:t>
      </w:r>
    </w:p>
    <w:p>
      <w:pPr>
        <w:numPr>
          <w:ilvl w:val="0"/>
          <w:numId w:val="1564"/>
        </w:numPr>
        <w:pStyle w:val="Compact"/>
      </w:pPr>
      <w:r>
        <w:rPr>
          <w:bCs/>
          <w:b/>
        </w:rPr>
        <w:t xml:space="preserve">Insert</w:t>
      </w:r>
      <w:r>
        <w:t xml:space="preserve"> </w:t>
      </w:r>
      <w:r>
        <w:t xml:space="preserve">item</w:t>
      </w:r>
      <w:r>
        <w:t xml:space="preserve"> </w:t>
      </w:r>
      <m:oMath>
        <m:r>
          <m:t>x</m:t>
        </m:r>
      </m:oMath>
      <w:r>
        <w:t xml:space="preserve">: compute</w:t>
      </w:r>
      <w:r>
        <w:t xml:space="preserve"> </w:t>
      </w:r>
      <m:oMath>
        <m:sSub>
          <m:e>
            <m:r>
              <m:t>h</m:t>
            </m:r>
          </m:e>
          <m:sub>
            <m:r>
              <m:t>1</m:t>
            </m:r>
          </m:sub>
        </m:sSub>
        <m:d>
          <m:dPr>
            <m:begChr m:val="("/>
            <m:endChr m:val=")"/>
            <m:sepChr m:val=""/>
            <m:grow/>
          </m:dPr>
          <m:e>
            <m:r>
              <m:t>x</m:t>
            </m:r>
          </m:e>
        </m:d>
        <m:r>
          <m:rPr>
            <m:sty m:val="p"/>
          </m:rPr>
          <m:t>,</m:t>
        </m:r>
        <m:r>
          <m:rPr>
            <m:sty m:val="p"/>
          </m:rPr>
          <m:t>…</m:t>
        </m:r>
        <m:r>
          <m:rPr>
            <m:sty m:val="p"/>
          </m:rPr>
          <m:t>,</m:t>
        </m:r>
        <m:sSub>
          <m:e>
            <m:r>
              <m:t>h</m:t>
            </m:r>
          </m:e>
          <m:sub>
            <m:r>
              <m:t>k</m:t>
            </m:r>
          </m:sub>
        </m:sSub>
        <m:d>
          <m:dPr>
            <m:begChr m:val="("/>
            <m:endChr m:val=")"/>
            <m:sepChr m:val=""/>
            <m:grow/>
          </m:dPr>
          <m:e>
            <m:r>
              <m:t>x</m:t>
            </m:r>
          </m:e>
        </m:d>
      </m:oMath>
      <w:r>
        <w:t xml:space="preserve"> </w:t>
      </w:r>
      <w:r>
        <w:t xml:space="preserve">and set those</w:t>
      </w:r>
      <w:r>
        <w:t xml:space="preserve"> </w:t>
      </w:r>
      <m:oMath>
        <m:r>
          <m:t>k</m:t>
        </m:r>
      </m:oMath>
      <w:r>
        <w:t xml:space="preserve"> </w:t>
      </w:r>
      <w:r>
        <w:t xml:space="preserve">bits to 1. Bits already set stay set.</w:t>
      </w:r>
    </w:p>
    <w:p>
      <w:pPr>
        <w:numPr>
          <w:ilvl w:val="0"/>
          <w:numId w:val="1564"/>
        </w:numPr>
        <w:pStyle w:val="Compact"/>
      </w:pPr>
      <w:r>
        <w:rPr>
          <w:bCs/>
          <w:b/>
        </w:rPr>
        <w:t xml:space="preserve">Query</w:t>
      </w:r>
      <w:r>
        <w:t xml:space="preserve"> </w:t>
      </w:r>
      <w:r>
        <w:t xml:space="preserve">item</w:t>
      </w:r>
      <w:r>
        <w:t xml:space="preserve"> </w:t>
      </w:r>
      <m:oMath>
        <m:r>
          <m:t>y</m:t>
        </m:r>
      </m:oMath>
      <w:r>
        <w:t xml:space="preserve">: compute the same</w:t>
      </w:r>
      <w:r>
        <w:t xml:space="preserve"> </w:t>
      </w:r>
      <m:oMath>
        <m:r>
          <m:t>k</m:t>
        </m:r>
      </m:oMath>
      <w:r>
        <w:t xml:space="preserve"> </w:t>
      </w:r>
      <w:r>
        <w:t xml:space="preserve">positions. If any bit is 0, answer</w:t>
      </w:r>
      <w:r>
        <w:t xml:space="preserve"> </w:t>
      </w:r>
      <w:r>
        <w:t xml:space="preserve">“</w:t>
      </w:r>
      <w:r>
        <w:t xml:space="preserve">definitely not present</w:t>
      </w:r>
      <w:r>
        <w:t xml:space="preserve">”</w:t>
      </w:r>
      <w:r>
        <w:t xml:space="preserve">. If all are 1, answer</w:t>
      </w:r>
      <w:r>
        <w:t xml:space="preserve"> </w:t>
      </w:r>
      <w:r>
        <w:t xml:space="preserve">“</w:t>
      </w:r>
      <w:r>
        <w:t xml:space="preserve">probably present</w:t>
      </w:r>
      <w:r>
        <w:t xml:space="preserve">”</w:t>
      </w:r>
      <w:r>
        <w:t xml:space="preserve">.</w:t>
      </w:r>
    </w:p>
    <w:p>
      <w:pPr>
        <w:numPr>
          <w:ilvl w:val="0"/>
          <w:numId w:val="1564"/>
        </w:numPr>
        <w:pStyle w:val="Compact"/>
      </w:pPr>
      <w:r>
        <w:rPr>
          <w:bCs/>
          <w:b/>
        </w:rPr>
        <w:t xml:space="preserve">Never delete</w:t>
      </w:r>
      <w:r>
        <w:t xml:space="preserve"> </w:t>
      </w:r>
      <w:r>
        <w:t xml:space="preserve">by clearing bits: a bit may belong to several items, so clearing it creates false negatives (§17.4.6 covers deletable variants).</w:t>
      </w:r>
    </w:p>
    <w:p>
      <w:pPr>
        <w:pStyle w:val="FirstParagraph"/>
      </w:pPr>
      <w:r>
        <w:t xml:space="preserve">You do not need</w:t>
      </w:r>
      <w:r>
        <w:t xml:space="preserve"> </w:t>
      </w:r>
      <m:oMath>
        <m:r>
          <m:t>k</m:t>
        </m:r>
      </m:oMath>
      <w:r>
        <w:t xml:space="preserve"> </w:t>
      </w:r>
      <w:r>
        <w:t xml:space="preserve">unrelated hash functions: two hashes combined as</w:t>
      </w:r>
      <w:r>
        <w:t xml:space="preserve"> </w:t>
      </w:r>
      <m:oMath>
        <m:sSub>
          <m:e>
            <m:r>
              <m:t>g</m:t>
            </m:r>
          </m:e>
          <m:sub>
            <m:r>
              <m:t>i</m:t>
            </m:r>
          </m:sub>
        </m:sSub>
        <m:d>
          <m:dPr>
            <m:begChr m:val="("/>
            <m:endChr m:val=")"/>
            <m:sepChr m:val=""/>
            <m:grow/>
          </m:dPr>
          <m:e>
            <m:r>
              <m:t>x</m:t>
            </m:r>
          </m:e>
        </m:d>
        <m:r>
          <m:rPr>
            <m:sty m:val="p"/>
          </m:rPr>
          <m:t>=</m:t>
        </m:r>
        <m:sSub>
          <m:e>
            <m:r>
              <m:t>h</m:t>
            </m:r>
          </m:e>
          <m:sub>
            <m:r>
              <m:t>a</m:t>
            </m:r>
          </m:sub>
        </m:sSub>
        <m:d>
          <m:dPr>
            <m:begChr m:val="("/>
            <m:endChr m:val=")"/>
            <m:sepChr m:val=""/>
            <m:grow/>
          </m:dPr>
          <m:e>
            <m:r>
              <m:t>x</m:t>
            </m:r>
          </m:e>
        </m:d>
        <m:r>
          <m:rPr>
            <m:sty m:val="p"/>
          </m:rPr>
          <m:t>+</m:t>
        </m:r>
        <m:r>
          <m:t>i</m:t>
        </m:r>
        <m:r>
          <m:rPr>
            <m:sty m:val="p"/>
          </m:rPr>
          <m:t>⋅</m:t>
        </m:r>
        <m:sSub>
          <m:e>
            <m:r>
              <m:t>h</m:t>
            </m:r>
          </m:e>
          <m:sub>
            <m:r>
              <m:t>b</m:t>
            </m:r>
          </m:sub>
        </m:sSub>
        <m:d>
          <m:dPr>
            <m:begChr m:val="("/>
            <m:endChr m:val=")"/>
            <m:sepChr m:val=""/>
            <m:grow/>
          </m:dPr>
          <m:e>
            <m:r>
              <m:t>x</m:t>
            </m:r>
          </m:e>
        </m:d>
        <m:r>
          <m:t> </m:t>
        </m:r>
        <m:r>
          <m:rPr>
            <m:sty m:val="p"/>
          </m:rPr>
          <m:t>mod</m:t>
        </m:r>
        <m:r>
          <m:t> </m:t>
        </m:r>
        <m:r>
          <m:t>m</m:t>
        </m:r>
      </m:oMath>
      <w:r>
        <w:t xml:space="preserve"> </w:t>
      </w:r>
      <w:r>
        <w:t xml:space="preserve">give the same asymptotic false-positive rate [Kirsch &amp; Mitzenmacher 2006], so one 128-bit hash split in two suffices. Filters with identical</w:t>
      </w:r>
      <w:r>
        <w:t xml:space="preserve"> </w:t>
      </w:r>
      <m:oMath>
        <m:r>
          <m:t>m</m:t>
        </m:r>
      </m:oMath>
      <w:r>
        <w:t xml:space="preserve">,</w:t>
      </w:r>
      <w:r>
        <w:t xml:space="preserve"> </w:t>
      </w:r>
      <m:oMath>
        <m:r>
          <m:t>k</m:t>
        </m:r>
      </m:oMath>
      <w:r>
        <w:t xml:space="preserve"> </w:t>
      </w:r>
      <w:r>
        <w:t xml:space="preserve">and hashes merge by bitwise OR into a filter of the</w:t>
      </w:r>
      <w:r>
        <w:t xml:space="preserve"> </w:t>
      </w:r>
      <w:r>
        <w:rPr>
          <w:bCs/>
          <w:b/>
        </w:rPr>
        <w:t xml:space="preserve">union</w:t>
      </w:r>
      <w:r>
        <w:t xml:space="preserve">.</w:t>
      </w:r>
    </w:p>
    <w:bookmarkStart w:id="1929" w:name="architecture-diagram-17"/>
    <w:p>
      <w:pPr>
        <w:pStyle w:val="Heading4"/>
      </w:pPr>
      <w:r>
        <w:t xml:space="preserve">Architecture diagram</w:t>
      </w:r>
    </w:p>
    <w:p>
      <w:pPr>
        <w:pStyle w:val="FirstParagraph"/>
      </w:pPr>
      <w:r>
        <w:rPr>
          <w:bCs/>
          <w:b/>
        </w:rPr>
        <w:t xml:space="preserve">Figure 17.2 — Inserting and querying a Bloom filter with k = 3.</w:t>
      </w:r>
    </w:p>
    <w:p>
      <w:pPr>
        <w:pStyle w:val="BodyText"/>
      </w:pPr>
      <w:r>
        <w:drawing>
          <wp:inline>
            <wp:extent cx="5334000" cy="1069554"/>
            <wp:effectExtent b="0" l="0" r="0" t="0"/>
            <wp:docPr descr="" title="" id="1927" name="Picture"/>
            <a:graphic>
              <a:graphicData uri="http://schemas.openxmlformats.org/drawingml/2006/picture">
                <pic:pic>
                  <pic:nvPicPr>
                    <pic:cNvPr descr="/home/user/System-Design/build/.cache/diagrams/9fb417e41414.png" id="1928" name="Picture"/>
                    <pic:cNvPicPr>
                      <a:picLocks noChangeArrowheads="1" noChangeAspect="1"/>
                    </pic:cNvPicPr>
                  </pic:nvPicPr>
                  <pic:blipFill>
                    <a:blip r:embed="rId1926"/>
                    <a:stretch>
                      <a:fillRect/>
                    </a:stretch>
                  </pic:blipFill>
                  <pic:spPr bwMode="auto">
                    <a:xfrm>
                      <a:off x="0" y="0"/>
                      <a:ext cx="5334000" cy="1069554"/>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Inserting</w:t>
      </w:r>
      <w:r>
        <w:t xml:space="preserve"> </w:t>
      </w:r>
      <w:r>
        <w:rPr>
          <w:rStyle w:val="VerbatimChar"/>
        </w:rPr>
        <w:t xml:space="preserve">alice</w:t>
      </w:r>
      <w:r>
        <w:t xml:space="preserve"> </w:t>
      </w:r>
      <w:r>
        <w:t xml:space="preserve">sets bits 2, 7 and 13; an earlier insert set 5 and 9. A query for</w:t>
      </w:r>
      <w:r>
        <w:t xml:space="preserve"> </w:t>
      </w:r>
      <w:r>
        <w:rPr>
          <w:rStyle w:val="VerbatimChar"/>
        </w:rPr>
        <w:t xml:space="preserve">bob</w:t>
      </w:r>
      <w:r>
        <w:t xml:space="preserve"> </w:t>
      </w:r>
      <w:r>
        <w:t xml:space="preserve">hits 5, 9 and 13, all set, so the filter says</w:t>
      </w:r>
      <w:r>
        <w:t xml:space="preserve"> </w:t>
      </w:r>
      <w:r>
        <w:t xml:space="preserve">“</w:t>
      </w:r>
      <w:r>
        <w:t xml:space="preserve">probably present</w:t>
      </w:r>
      <w:r>
        <w:t xml:space="preserve">”</w:t>
      </w:r>
      <w:r>
        <w:t xml:space="preserve"> </w:t>
      </w:r>
      <w:r>
        <w:t xml:space="preserve">although</w:t>
      </w:r>
      <w:r>
        <w:t xml:space="preserve"> </w:t>
      </w:r>
      <w:r>
        <w:rPr>
          <w:rStyle w:val="VerbatimChar"/>
        </w:rPr>
        <w:t xml:space="preserve">bob</w:t>
      </w:r>
      <w:r>
        <w:t xml:space="preserve"> </w:t>
      </w:r>
      <w:r>
        <w:t xml:space="preserve">was never inserted: a false positive whose only cost is an unnecessary check against the authoritative store. A query for</w:t>
      </w:r>
      <w:r>
        <w:t xml:space="preserve"> </w:t>
      </w:r>
      <w:r>
        <w:rPr>
          <w:rStyle w:val="VerbatimChar"/>
        </w:rPr>
        <w:t xml:space="preserve">carol</w:t>
      </w:r>
      <w:r>
        <w:t xml:space="preserve"> </w:t>
      </w:r>
      <w:r>
        <w:t xml:space="preserve">hits bit 1, which is 0, so the expensive lookup is skipped. All arrows are synchronous in-memory operations costing nanoseconds; the only I/O is the confirmation. Losing the filter never harms correctness (rebuild it from the data); undersizing it makes</w:t>
      </w:r>
      <w:r>
        <w:t xml:space="preserve"> </w:t>
      </w:r>
      <w:r>
        <w:t xml:space="preserve">“</w:t>
      </w:r>
      <w:r>
        <w:t xml:space="preserve">maybe</w:t>
      </w:r>
      <w:r>
        <w:t xml:space="preserve">”</w:t>
      </w:r>
      <w:r>
        <w:t xml:space="preserve"> </w:t>
      </w:r>
      <w:r>
        <w:t xml:space="preserve">frequent and erases the savings. Scale it by partitioning alongside the data it summarizes, one filter per file or shard.</w:t>
      </w:r>
    </w:p>
    <w:bookmarkEnd w:id="1929"/>
    <w:bookmarkEnd w:id="1930"/>
    <w:bookmarkStart w:id="1931" w:name="mathematical-foundations-34"/>
    <w:p>
      <w:pPr>
        <w:pStyle w:val="Heading3"/>
      </w:pPr>
      <w:r>
        <w:t xml:space="preserve">17.4.3 Mathematical foundations</w:t>
      </w:r>
    </w:p>
    <w:p>
      <w:pPr>
        <w:pStyle w:val="FirstParagraph"/>
      </w:pPr>
      <w:r>
        <w:t xml:space="preserve">After inserting</w:t>
      </w:r>
      <w:r>
        <w:t xml:space="preserve"> </w:t>
      </w:r>
      <m:oMath>
        <m:r>
          <m:t>n</m:t>
        </m:r>
      </m:oMath>
      <w:r>
        <w:t xml:space="preserve"> </w:t>
      </w:r>
      <w:r>
        <w:t xml:space="preserve">items with</w:t>
      </w:r>
      <w:r>
        <w:t xml:space="preserve"> </w:t>
      </w:r>
      <m:oMath>
        <m:r>
          <m:t>k</m:t>
        </m:r>
      </m:oMath>
      <w:r>
        <w:t xml:space="preserve"> </w:t>
      </w:r>
      <w:r>
        <w:t xml:space="preserve">hashes into</w:t>
      </w:r>
      <w:r>
        <w:t xml:space="preserve"> </w:t>
      </w:r>
      <m:oMath>
        <m:r>
          <m:t>m</m:t>
        </m:r>
      </m:oMath>
      <w:r>
        <w:t xml:space="preserve"> </w:t>
      </w:r>
      <w:r>
        <w:t xml:space="preserve">bits, the probability that a particular bit is still 0 is</w:t>
      </w:r>
      <w:r>
        <w:t xml:space="preserve"> </w:t>
      </w:r>
      <m:oMath>
        <m:sSup>
          <m:e>
            <m:d>
              <m:dPr>
                <m:begChr m:val="("/>
                <m:endChr m:val=")"/>
                <m:sepChr m:val=""/>
                <m:grow/>
              </m:dPr>
              <m:e>
                <m:r>
                  <m:t>1</m:t>
                </m:r>
                <m:r>
                  <m:rPr>
                    <m:sty m:val="p"/>
                  </m:rPr>
                  <m:t>−</m:t>
                </m:r>
                <m:r>
                  <m:t>1</m:t>
                </m:r>
                <m:r>
                  <m:rPr>
                    <m:sty m:val="p"/>
                  </m:rPr>
                  <m:t>/</m:t>
                </m:r>
                <m:r>
                  <m:t>m</m:t>
                </m:r>
              </m:e>
            </m:d>
          </m:e>
          <m:sup>
            <m:r>
              <m:t>k</m:t>
            </m:r>
            <m:r>
              <m:t>n</m:t>
            </m:r>
          </m:sup>
        </m:sSup>
        <m:r>
          <m:rPr>
            <m:sty m:val="p"/>
          </m:rPr>
          <m:t>≈</m:t>
        </m:r>
        <m:sSup>
          <m:e>
            <m:r>
              <m:t>e</m:t>
            </m:r>
          </m:e>
          <m:sup>
            <m:r>
              <m:rPr>
                <m:sty m:val="p"/>
              </m:rPr>
              <m:t>−</m:t>
            </m:r>
            <m:r>
              <m:t>k</m:t>
            </m:r>
            <m:r>
              <m:t>n</m:t>
            </m:r>
            <m:r>
              <m:rPr>
                <m:sty m:val="p"/>
              </m:rPr>
              <m:t>/</m:t>
            </m:r>
            <m:r>
              <m:t>m</m:t>
            </m:r>
          </m:sup>
        </m:sSup>
      </m:oMath>
      <w:r>
        <w:t xml:space="preserve">, because each of the</w:t>
      </w:r>
      <w:r>
        <w:t xml:space="preserve"> </w:t>
      </w:r>
      <m:oMath>
        <m:r>
          <m:t>k</m:t>
        </m:r>
        <m:r>
          <m:t>n</m:t>
        </m:r>
      </m:oMath>
      <w:r>
        <w:t xml:space="preserve"> </w:t>
      </w:r>
      <w:r>
        <w:t xml:space="preserve">bit-settings misses that bit with probability</w:t>
      </w:r>
      <w:r>
        <w:t xml:space="preserve"> </w:t>
      </w:r>
      <m:oMath>
        <m:r>
          <m:t>1</m:t>
        </m:r>
        <m:r>
          <m:rPr>
            <m:sty m:val="p"/>
          </m:rPr>
          <m:t>−</m:t>
        </m:r>
        <m:r>
          <m:t>1</m:t>
        </m:r>
        <m:r>
          <m:rPr>
            <m:sty m:val="p"/>
          </m:rPr>
          <m:t>/</m:t>
        </m:r>
        <m:r>
          <m:t>m</m:t>
        </m:r>
      </m:oMath>
      <w:r>
        <w:t xml:space="preserve">. A false positive needs all</w:t>
      </w:r>
      <w:r>
        <w:t xml:space="preserve"> </w:t>
      </w:r>
      <m:oMath>
        <m:r>
          <m:t>k</m:t>
        </m:r>
      </m:oMath>
      <w:r>
        <w:t xml:space="preserve"> </w:t>
      </w:r>
      <w:r>
        <w:t xml:space="preserve">positions of a new item to be 1. Treating the positions as independent gives the standard approximation [Bloom 1970; Broder &amp; Mitzenmacher 2004].</w:t>
      </w:r>
    </w:p>
    <w:p>
      <w:pPr>
        <w:pStyle w:val="CalloutFormula"/>
      </w:pPr>
      <w:r>
        <w:rPr>
          <w:bCs/>
          <w:b/>
        </w:rPr>
        <w:t xml:space="preserve">FORMULA</w:t>
      </w:r>
    </w:p>
    <w:p>
      <w:pPr>
        <w:pStyle w:val="CalloutFormula"/>
      </w:pPr>
      <w:r>
        <w:rPr>
          <w:bCs/>
          <w:b/>
        </w:rPr>
        <w:t xml:space="preserve">Bloom filter false-positive rate</w:t>
      </w:r>
    </w:p>
    <w:p>
      <w:pPr>
        <w:pStyle w:val="CalloutFormula"/>
      </w:pPr>
      <m:oMathPara>
        <m:oMathParaPr>
          <m:jc m:val="center"/>
        </m:oMathParaPr>
        <m:oMath>
          <m:r>
            <m:t>p</m:t>
          </m:r>
          <m:r>
            <m:rPr>
              <m:sty m:val="p"/>
            </m:rPr>
            <m:t>≈</m:t>
          </m:r>
          <m:sSup>
            <m:e>
              <m:d>
                <m:dPr>
                  <m:begChr m:val="("/>
                  <m:endChr m:val=")"/>
                  <m:sepChr m:val=""/>
                  <m:grow/>
                </m:dPr>
                <m:e>
                  <m:r>
                    <m:t>1</m:t>
                  </m:r>
                  <m:r>
                    <m:rPr>
                      <m:sty m:val="p"/>
                    </m:rPr>
                    <m:t>−</m:t>
                  </m:r>
                  <m:sSup>
                    <m:e>
                      <m:r>
                        <m:t>e</m:t>
                      </m:r>
                    </m:e>
                    <m:sup>
                      <m:r>
                        <m:rPr>
                          <m:sty m:val="p"/>
                        </m:rPr>
                        <m:t>−</m:t>
                      </m:r>
                      <m:r>
                        <m:t>k</m:t>
                      </m:r>
                      <m:r>
                        <m:t>n</m:t>
                      </m:r>
                      <m:r>
                        <m:rPr>
                          <m:sty m:val="p"/>
                        </m:rPr>
                        <m:t>/</m:t>
                      </m:r>
                      <m:r>
                        <m:t>m</m:t>
                      </m:r>
                    </m:sup>
                  </m:sSup>
                </m:e>
              </m:d>
            </m:e>
            <m:sup>
              <m:r>
                <m:t>k</m:t>
              </m:r>
            </m:sup>
          </m:sSup>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p</m:t>
              </m:r>
            </m:oMath>
          </w:p>
        </w:tc>
        <w:tc>
          <w:tcPr/>
          <w:p>
            <w:pPr>
              <w:pStyle w:val="Compact"/>
              <w:jc w:val="left"/>
            </w:pPr>
            <w:r>
              <w:t xml:space="preserve">Probability that a query for an item not in the set returns</w:t>
            </w:r>
            <w:r>
              <w:t xml:space="preserve"> </w:t>
            </w:r>
            <w:r>
              <w:t xml:space="preserve">“</w:t>
            </w:r>
            <w:r>
              <w:t xml:space="preserve">probably present</w:t>
            </w:r>
            <w:r>
              <w:t xml:space="preserve">”</w:t>
            </w:r>
          </w:p>
        </w:tc>
        <w:tc>
          <w:tcPr/>
          <w:p>
            <w:pPr>
              <w:pStyle w:val="Compact"/>
              <w:jc w:val="left"/>
            </w:pPr>
            <w:r>
              <w:t xml:space="preserve">probability (0–1)</w:t>
            </w:r>
          </w:p>
        </w:tc>
      </w:tr>
      <w:tr>
        <w:tc>
          <w:tcPr/>
          <w:p>
            <w:pPr>
              <w:pStyle w:val="Compact"/>
              <w:jc w:val="left"/>
            </w:pPr>
            <m:oMath>
              <m:r>
                <m:t>n</m:t>
              </m:r>
            </m:oMath>
          </w:p>
        </w:tc>
        <w:tc>
          <w:tcPr/>
          <w:p>
            <w:pPr>
              <w:pStyle w:val="Compact"/>
              <w:jc w:val="left"/>
            </w:pPr>
            <w:r>
              <w:t xml:space="preserve">Number of items inserted</w:t>
            </w:r>
          </w:p>
        </w:tc>
        <w:tc>
          <w:tcPr/>
          <w:p>
            <w:pPr>
              <w:pStyle w:val="Compact"/>
              <w:jc w:val="left"/>
            </w:pPr>
            <w:r>
              <w:t xml:space="preserve">items</w:t>
            </w:r>
          </w:p>
        </w:tc>
      </w:tr>
      <w:tr>
        <w:tc>
          <w:tcPr/>
          <w:p>
            <w:pPr>
              <w:pStyle w:val="Compact"/>
              <w:jc w:val="left"/>
            </w:pPr>
            <m:oMath>
              <m:r>
                <m:t>m</m:t>
              </m:r>
            </m:oMath>
          </w:p>
        </w:tc>
        <w:tc>
          <w:tcPr/>
          <w:p>
            <w:pPr>
              <w:pStyle w:val="Compact"/>
              <w:jc w:val="left"/>
            </w:pPr>
            <w:r>
              <w:t xml:space="preserve">Size of the bit array</w:t>
            </w:r>
          </w:p>
        </w:tc>
        <w:tc>
          <w:tcPr/>
          <w:p>
            <w:pPr>
              <w:pStyle w:val="Compact"/>
              <w:jc w:val="left"/>
            </w:pPr>
            <w:r>
              <w:t xml:space="preserve">bits</w:t>
            </w:r>
          </w:p>
        </w:tc>
      </w:tr>
      <w:tr>
        <w:tc>
          <w:tcPr/>
          <w:p>
            <w:pPr>
              <w:pStyle w:val="Compact"/>
              <w:jc w:val="left"/>
            </w:pPr>
            <m:oMath>
              <m:r>
                <m:t>k</m:t>
              </m:r>
            </m:oMath>
          </w:p>
        </w:tc>
        <w:tc>
          <w:tcPr/>
          <w:p>
            <w:pPr>
              <w:pStyle w:val="Compact"/>
              <w:jc w:val="left"/>
            </w:pPr>
            <w:r>
              <w:t xml:space="preserve">Number of hash functions (bit positions per item)</w:t>
            </w:r>
          </w:p>
        </w:tc>
        <w:tc>
          <w:tcPr/>
          <w:p>
            <w:pPr>
              <w:pStyle w:val="Compact"/>
              <w:jc w:val="left"/>
            </w:pPr>
            <w:r>
              <w:t xml:space="preserve">count</w:t>
            </w:r>
          </w:p>
        </w:tc>
      </w:tr>
      <w:tr>
        <w:tc>
          <w:tcPr/>
          <w:p>
            <w:pPr>
              <w:pStyle w:val="Compact"/>
              <w:jc w:val="left"/>
            </w:pPr>
            <m:oMath>
              <m:sSup>
                <m:e>
                  <m:r>
                    <m:t>e</m:t>
                  </m:r>
                </m:e>
                <m:sup>
                  <m:r>
                    <m:rPr>
                      <m:sty m:val="p"/>
                    </m:rPr>
                    <m:t>−</m:t>
                  </m:r>
                  <m:r>
                    <m:t>k</m:t>
                  </m:r>
                  <m:r>
                    <m:t>n</m:t>
                  </m:r>
                  <m:r>
                    <m:rPr>
                      <m:sty m:val="p"/>
                    </m:rPr>
                    <m:t>/</m:t>
                  </m:r>
                  <m:r>
                    <m:t>m</m:t>
                  </m:r>
                </m:sup>
              </m:sSup>
            </m:oMath>
          </w:p>
        </w:tc>
        <w:tc>
          <w:tcPr/>
          <w:p>
            <w:pPr>
              <w:pStyle w:val="Compact"/>
              <w:jc w:val="left"/>
            </w:pPr>
            <w:r>
              <w:t xml:space="preserve">Approximate fraction of bits still 0</w:t>
            </w:r>
          </w:p>
        </w:tc>
        <w:tc>
          <w:tcPr/>
          <w:p>
            <w:pPr>
              <w:pStyle w:val="Compact"/>
              <w:jc w:val="left"/>
            </w:pPr>
            <w:r>
              <w:t xml:space="preserve">fraction</w:t>
            </w:r>
          </w:p>
        </w:tc>
      </w:tr>
    </w:tbl>
    <w:p>
      <w:pPr>
        <w:pStyle w:val="CalloutExample"/>
      </w:pPr>
      <w:r>
        <w:rPr>
          <w:bCs/>
          <w:b/>
        </w:rPr>
        <w:t xml:space="preserve">WORKED EXAMPLE</w:t>
      </w:r>
    </w:p>
    <w:p>
      <w:pPr>
        <w:pStyle w:val="CalloutExample"/>
      </w:pPr>
      <w:r>
        <w:rPr>
          <w:bCs/>
          <w:b/>
        </w:rPr>
        <w:t xml:space="preserve">Worked example — predicting the false-positive rate.</w:t>
      </w:r>
      <w:r>
        <w:t xml:space="preserve"> </w:t>
      </w:r>
      <w:r>
        <w:t xml:space="preserve">You allocate</w:t>
      </w:r>
      <w:r>
        <w:t xml:space="preserve"> </w:t>
      </w:r>
      <m:oMath>
        <m:r>
          <m:t>m</m:t>
        </m:r>
        <m:r>
          <m:rPr>
            <m:sty m:val="p"/>
          </m:rPr>
          <m:t>=</m:t>
        </m:r>
        <m:r>
          <m:t>10</m:t>
        </m:r>
        <m:r>
          <m:rPr>
            <m:sty m:val="p"/>
          </m:rPr>
          <m:t>,</m:t>
        </m:r>
        <m:r>
          <m:t>000</m:t>
        </m:r>
        <m:r>
          <m:rPr>
            <m:sty m:val="p"/>
          </m:rPr>
          <m:t>,</m:t>
        </m:r>
        <m:r>
          <m:t>000</m:t>
        </m:r>
      </m:oMath>
      <w:r>
        <w:t xml:space="preserve"> </w:t>
      </w:r>
      <w:r>
        <w:t xml:space="preserve">bits (1.25 MB) for</w:t>
      </w:r>
      <w:r>
        <w:t xml:space="preserve"> </w:t>
      </w:r>
      <m:oMath>
        <m:r>
          <m:t>n</m:t>
        </m:r>
        <m:r>
          <m:rPr>
            <m:sty m:val="p"/>
          </m:rPr>
          <m:t>=</m:t>
        </m:r>
        <m:r>
          <m:t>1</m:t>
        </m:r>
        <m:r>
          <m:rPr>
            <m:sty m:val="p"/>
          </m:rPr>
          <m:t>,</m:t>
        </m:r>
        <m:r>
          <m:t>000</m:t>
        </m:r>
        <m:r>
          <m:rPr>
            <m:sty m:val="p"/>
          </m:rPr>
          <m:t>,</m:t>
        </m:r>
        <m:r>
          <m:t>000</m:t>
        </m:r>
      </m:oMath>
      <w:r>
        <w:t xml:space="preserve"> </w:t>
      </w:r>
      <w:r>
        <w:t xml:space="preserve">items with</w:t>
      </w:r>
      <w:r>
        <w:t xml:space="preserve"> </w:t>
      </w:r>
      <m:oMath>
        <m:r>
          <m:t>k</m:t>
        </m:r>
        <m:r>
          <m:rPr>
            <m:sty m:val="p"/>
          </m:rPr>
          <m:t>=</m:t>
        </m:r>
        <m:r>
          <m:t>7</m:t>
        </m:r>
      </m:oMath>
      <w:r>
        <w:t xml:space="preserve">.</w:t>
      </w:r>
    </w:p>
    <w:p>
      <w:pPr>
        <w:numPr>
          <w:ilvl w:val="0"/>
          <w:numId w:val="1565"/>
        </w:numPr>
        <w:pStyle w:val="Compact"/>
      </w:pPr>
      <w:r>
        <w:t xml:space="preserve">Exponent:</w:t>
      </w:r>
      <w:r>
        <w:t xml:space="preserve"> </w:t>
      </w:r>
      <m:oMath>
        <m:r>
          <m:t>k</m:t>
        </m:r>
        <m:r>
          <m:t>n</m:t>
        </m:r>
        <m:r>
          <m:rPr>
            <m:sty m:val="p"/>
          </m:rPr>
          <m:t>/</m:t>
        </m:r>
        <m:r>
          <m:t>m</m:t>
        </m:r>
        <m:r>
          <m:rPr>
            <m:sty m:val="p"/>
          </m:rPr>
          <m:t>=</m:t>
        </m:r>
        <m:r>
          <m:t>7</m:t>
        </m:r>
        <m:r>
          <m:rPr>
            <m:sty m:val="p"/>
          </m:rPr>
          <m:t>×</m:t>
        </m:r>
        <m:sSup>
          <m:e>
            <m:r>
              <m:t>10</m:t>
            </m:r>
          </m:e>
          <m:sup>
            <m:r>
              <m:t>6</m:t>
            </m:r>
          </m:sup>
        </m:sSup>
        <m:r>
          <m:rPr>
            <m:sty m:val="p"/>
          </m:rPr>
          <m:t>/</m:t>
        </m:r>
        <m:sSup>
          <m:e>
            <m:r>
              <m:t>10</m:t>
            </m:r>
          </m:e>
          <m:sup>
            <m:r>
              <m:t>7</m:t>
            </m:r>
          </m:sup>
        </m:sSup>
        <m:r>
          <m:rPr>
            <m:sty m:val="p"/>
          </m:rPr>
          <m:t>=</m:t>
        </m:r>
        <m:r>
          <m:t>0.7</m:t>
        </m:r>
      </m:oMath>
      <w:r>
        <w:t xml:space="preserve">.</w:t>
      </w:r>
    </w:p>
    <w:p>
      <w:pPr>
        <w:numPr>
          <w:ilvl w:val="0"/>
          <w:numId w:val="1565"/>
        </w:numPr>
        <w:pStyle w:val="Compact"/>
      </w:pPr>
      <w:r>
        <w:t xml:space="preserve">Fraction of bits still 0:</w:t>
      </w:r>
      <w:r>
        <w:t xml:space="preserve"> </w:t>
      </w:r>
      <m:oMath>
        <m:sSup>
          <m:e>
            <m:r>
              <m:t>e</m:t>
            </m:r>
          </m:e>
          <m:sup>
            <m:r>
              <m:rPr>
                <m:sty m:val="p"/>
              </m:rPr>
              <m:t>−</m:t>
            </m:r>
            <m:r>
              <m:t>0.7</m:t>
            </m:r>
          </m:sup>
        </m:sSup>
        <m:r>
          <m:rPr>
            <m:sty m:val="p"/>
          </m:rPr>
          <m:t>=</m:t>
        </m:r>
        <m:r>
          <m:t>0.4966</m:t>
        </m:r>
      </m:oMath>
      <w:r>
        <w:t xml:space="preserve">. So</w:t>
      </w:r>
      <w:r>
        <w:t xml:space="preserve"> </w:t>
      </w:r>
      <m:oMath>
        <m:r>
          <m:t>1</m:t>
        </m:r>
        <m:r>
          <m:rPr>
            <m:sty m:val="p"/>
          </m:rPr>
          <m:t>−</m:t>
        </m:r>
        <m:r>
          <m:t>0.4966</m:t>
        </m:r>
        <m:r>
          <m:rPr>
            <m:sty m:val="p"/>
          </m:rPr>
          <m:t>=</m:t>
        </m:r>
        <m:r>
          <m:t>0.5034</m:t>
        </m:r>
      </m:oMath>
      <w:r>
        <w:t xml:space="preserve"> </w:t>
      </w:r>
      <w:r>
        <w:t xml:space="preserve">of the bits are 1, which is about half.</w:t>
      </w:r>
    </w:p>
    <w:p>
      <w:pPr>
        <w:numPr>
          <w:ilvl w:val="0"/>
          <w:numId w:val="1565"/>
        </w:numPr>
        <w:pStyle w:val="Compact"/>
      </w:pPr>
      <w:r>
        <w:t xml:space="preserve">False-positive rate:</w:t>
      </w:r>
      <w:r>
        <w:t xml:space="preserve"> </w:t>
      </w:r>
      <m:oMath>
        <m:sSup>
          <m:e>
            <m:r>
              <m:t>0.5034</m:t>
            </m:r>
          </m:e>
          <m:sup>
            <m:r>
              <m:t>7</m:t>
            </m:r>
          </m:sup>
        </m:sSup>
      </m:oMath>
      <w:r>
        <w:t xml:space="preserve">. Take logs:</w:t>
      </w:r>
      <w:r>
        <w:t xml:space="preserve"> </w:t>
      </w:r>
      <m:oMath>
        <m:r>
          <m:t>7</m:t>
        </m:r>
        <m:r>
          <m:rPr>
            <m:sty m:val="p"/>
          </m:rPr>
          <m:t>×</m:t>
        </m:r>
        <m:r>
          <m:rPr>
            <m:sty m:val="p"/>
          </m:rPr>
          <m:t>ln</m:t>
        </m:r>
        <m:r>
          <m:t>0.5034</m:t>
        </m:r>
        <m:r>
          <m:rPr>
            <m:sty m:val="p"/>
          </m:rPr>
          <m:t>=</m:t>
        </m:r>
        <m:r>
          <m:t>7</m:t>
        </m:r>
        <m:r>
          <m:rPr>
            <m:sty m:val="p"/>
          </m:rPr>
          <m:t>×</m:t>
        </m:r>
        <m:d>
          <m:dPr>
            <m:begChr m:val="("/>
            <m:endChr m:val=")"/>
            <m:sepChr m:val=""/>
            <m:grow/>
          </m:dPr>
          <m:e>
            <m:r>
              <m:rPr>
                <m:sty m:val="p"/>
              </m:rPr>
              <m:t>−</m:t>
            </m:r>
            <m:r>
              <m:t>0.6864</m:t>
            </m:r>
          </m:e>
        </m:d>
        <m:r>
          <m:rPr>
            <m:sty m:val="p"/>
          </m:rPr>
          <m:t>=</m:t>
        </m:r>
        <m:r>
          <m:rPr>
            <m:sty m:val="p"/>
          </m:rPr>
          <m:t>−</m:t>
        </m:r>
        <m:r>
          <m:t>4.805</m:t>
        </m:r>
      </m:oMath>
      <w:r>
        <w:t xml:space="preserve">;</w:t>
      </w:r>
      <w:r>
        <w:t xml:space="preserve"> </w:t>
      </w:r>
      <m:oMath>
        <m:sSup>
          <m:e>
            <m:r>
              <m:t>e</m:t>
            </m:r>
          </m:e>
          <m:sup>
            <m:r>
              <m:rPr>
                <m:sty m:val="p"/>
              </m:rPr>
              <m:t>−</m:t>
            </m:r>
            <m:r>
              <m:t>4.805</m:t>
            </m:r>
          </m:sup>
        </m:sSup>
        <m:r>
          <m:rPr>
            <m:sty m:val="p"/>
          </m:rPr>
          <m:t>=</m:t>
        </m:r>
        <m:r>
          <m:t>0.0082</m:t>
        </m:r>
      </m:oMath>
      <w:r>
        <w:t xml:space="preserve">.</w:t>
      </w:r>
    </w:p>
    <w:p>
      <w:pPr>
        <w:pStyle w:val="CalloutExample"/>
      </w:pPr>
      <w:r>
        <w:rPr>
          <w:iCs/>
          <w:i/>
        </w:rPr>
        <w:t xml:space="preserve">Interpretation.</w:t>
      </w:r>
      <w:r>
        <w:t xml:space="preserve"> </w:t>
      </w:r>
      <w:r>
        <w:t xml:space="preserve">82 in 10,000 absent-item queries return</w:t>
      </w:r>
      <w:r>
        <w:t xml:space="preserve"> </w:t>
      </w:r>
      <w:r>
        <w:t xml:space="preserve">“</w:t>
      </w:r>
      <w:r>
        <w:t xml:space="preserve">maybe</w:t>
      </w:r>
      <w:r>
        <w:t xml:space="preserve">”</w:t>
      </w:r>
      <w:r>
        <w:t xml:space="preserve">.</w:t>
      </w:r>
      <w:r>
        <w:t xml:space="preserve"> </w:t>
      </w:r>
      <w:r>
        <w:rPr>
          <w:iCs/>
          <w:i/>
        </w:rPr>
        <w:t xml:space="preserve">Engineering implication.</w:t>
      </w:r>
      <w:r>
        <w:t xml:space="preserve"> </w:t>
      </w:r>
      <w:r>
        <w:t xml:space="preserve">At 10,000 absent-key queries per second, each</w:t>
      </w:r>
      <w:r>
        <w:t xml:space="preserve"> </w:t>
      </w:r>
      <w:r>
        <w:t xml:space="preserve">“</w:t>
      </w:r>
      <w:r>
        <w:t xml:space="preserve">maybe</w:t>
      </w:r>
      <w:r>
        <w:t xml:space="preserve">”</w:t>
      </w:r>
      <w:r>
        <w:t xml:space="preserve"> </w:t>
      </w:r>
      <w:r>
        <w:t xml:space="preserve">costing a 10 ms disk read, the filter turns 10,000 disk reads per second into 82 for 1.25 MB of memory.</w:t>
      </w:r>
    </w:p>
    <w:p>
      <w:pPr>
        <w:pStyle w:val="BodyText"/>
      </w:pPr>
      <w:r>
        <w:t xml:space="preserve">More hashes check more bits per query (lowering</w:t>
      </w:r>
      <w:r>
        <w:t xml:space="preserve"> </w:t>
      </w:r>
      <m:oMath>
        <m:r>
          <m:t>p</m:t>
        </m:r>
      </m:oMath>
      <w:r>
        <w:t xml:space="preserve">) but set more bits per insert (raising it). Minimizing</w:t>
      </w:r>
      <w:r>
        <w:t xml:space="preserve"> </w:t>
      </w:r>
      <m:oMath>
        <m:r>
          <m:t>p</m:t>
        </m:r>
      </m:oMath>
      <w:r>
        <w:t xml:space="preserve"> </w:t>
      </w:r>
      <w:r>
        <w:t xml:space="preserve">over</w:t>
      </w:r>
      <w:r>
        <w:t xml:space="preserve"> </w:t>
      </w:r>
      <m:oMath>
        <m:r>
          <m:t>k</m:t>
        </m:r>
      </m:oMath>
      <w:r>
        <w:t xml:space="preserve"> </w:t>
      </w:r>
      <w:r>
        <w:t xml:space="preserve">gives:</w:t>
      </w:r>
    </w:p>
    <w:p>
      <w:pPr>
        <w:pStyle w:val="CalloutFormula"/>
      </w:pPr>
      <w:r>
        <w:rPr>
          <w:bCs/>
          <w:b/>
        </w:rPr>
        <w:t xml:space="preserve">FORMULA</w:t>
      </w:r>
    </w:p>
    <w:p>
      <w:pPr>
        <w:pStyle w:val="CalloutFormula"/>
      </w:pPr>
      <w:r>
        <w:rPr>
          <w:bCs/>
          <w:b/>
        </w:rPr>
        <w:t xml:space="preserve">Optimal number of hash functions</w:t>
      </w:r>
    </w:p>
    <w:p>
      <w:pPr>
        <w:pStyle w:val="CalloutFormula"/>
      </w:pPr>
      <m:oMathPara>
        <m:oMathParaPr>
          <m:jc m:val="center"/>
        </m:oMathParaPr>
        <m:oMath>
          <m:sSup>
            <m:e>
              <m:r>
                <m:t>k</m:t>
              </m:r>
            </m:e>
            <m:sup>
              <m:r>
                <m:rPr>
                  <m:sty m:val="p"/>
                </m:rPr>
                <m:t>*</m:t>
              </m:r>
            </m:sup>
          </m:sSup>
          <m:r>
            <m:rPr>
              <m:sty m:val="p"/>
            </m:rPr>
            <m:t>=</m:t>
          </m:r>
          <m:f>
            <m:fPr>
              <m:type m:val="bar"/>
            </m:fPr>
            <m:num>
              <m:r>
                <m:t>m</m:t>
              </m:r>
            </m:num>
            <m:den>
              <m:r>
                <m:t>n</m:t>
              </m:r>
            </m:den>
          </m:f>
          <m:r>
            <m:rPr>
              <m:sty m:val="p"/>
            </m:rPr>
            <m:t>ln</m:t>
          </m:r>
          <m:r>
            <m:t>2</m:t>
          </m:r>
          <m:r>
            <m:rPr>
              <m:sty m:val="p"/>
            </m:rPr>
            <m:t>≈</m:t>
          </m:r>
          <m:r>
            <m:t>0.693</m:t>
          </m:r>
          <m:r>
            <m:t> </m:t>
          </m:r>
          <m:f>
            <m:fPr>
              <m:type m:val="bar"/>
            </m:fPr>
            <m:num>
              <m:r>
                <m:t>m</m:t>
              </m:r>
            </m:num>
            <m:den>
              <m:r>
                <m:t>n</m:t>
              </m:r>
            </m:den>
          </m:f>
          <m:r>
            <m:rPr>
              <m:sty m:val="p"/>
            </m:rPr>
            <m:t>,</m:t>
          </m:r>
          <m:r>
            <m:t>  </m:t>
          </m:r>
          <m:r>
            <m:t>p</m:t>
          </m:r>
          <m:sSub>
            <m:e>
              <m:r>
                <m:rPr>
                  <m:sty m:val="p"/>
                </m:rPr>
                <m:t>|</m:t>
              </m:r>
            </m:e>
            <m:sub>
              <m:r>
                <m:t>k</m:t>
              </m:r>
              <m:r>
                <m:rPr>
                  <m:sty m:val="p"/>
                </m:rPr>
                <m:t>=</m:t>
              </m:r>
              <m:sSup>
                <m:e>
                  <m:r>
                    <m:t>k</m:t>
                  </m:r>
                </m:e>
                <m:sup>
                  <m:r>
                    <m:rPr>
                      <m:sty m:val="p"/>
                    </m:rPr>
                    <m:t>*</m:t>
                  </m:r>
                </m:sup>
              </m:sSup>
            </m:sub>
          </m:sSub>
          <m:r>
            <m:rPr>
              <m:sty m:val="p"/>
            </m:rPr>
            <m:t>=</m:t>
          </m:r>
          <m:sSup>
            <m:e>
              <m:d>
                <m:dPr>
                  <m:begChr m:val="("/>
                  <m:endChr m:val=")"/>
                  <m:sepChr m:val=""/>
                  <m:grow/>
                </m:dPr>
                <m:e>
                  <m:f>
                    <m:fPr>
                      <m:type m:val="lin"/>
                    </m:fPr>
                    <m:num>
                      <m:r>
                        <m:t>1</m:t>
                      </m:r>
                    </m:num>
                    <m:den>
                      <m:r>
                        <m:t>2</m:t>
                      </m:r>
                    </m:den>
                  </m:f>
                </m:e>
              </m:d>
            </m:e>
            <m:sup>
              <m:sSup>
                <m:e>
                  <m:r>
                    <m:t>k</m:t>
                  </m:r>
                </m:e>
                <m:sup>
                  <m:r>
                    <m:rPr>
                      <m:sty m:val="p"/>
                    </m:rPr>
                    <m:t>*</m:t>
                  </m:r>
                </m:sup>
              </m:sSup>
            </m:sup>
          </m:sSup>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p>
                <m:e>
                  <m:r>
                    <m:t>k</m:t>
                  </m:r>
                </m:e>
                <m:sup>
                  <m:r>
                    <m:rPr>
                      <m:sty m:val="p"/>
                    </m:rPr>
                    <m:t>*</m:t>
                  </m:r>
                </m:sup>
              </m:sSup>
            </m:oMath>
          </w:p>
        </w:tc>
        <w:tc>
          <w:tcPr/>
          <w:p>
            <w:pPr>
              <w:pStyle w:val="Compact"/>
              <w:jc w:val="left"/>
            </w:pPr>
            <w:r>
              <w:t xml:space="preserve">Number of hash functions that minimizes</w:t>
            </w:r>
            <w:r>
              <w:t xml:space="preserve"> </w:t>
            </w:r>
            <m:oMath>
              <m:r>
                <m:t>p</m:t>
              </m:r>
            </m:oMath>
            <w:r>
              <w:t xml:space="preserve"> </w:t>
            </w:r>
            <w:r>
              <w:t xml:space="preserve">(round to an integer)</w:t>
            </w:r>
          </w:p>
        </w:tc>
        <w:tc>
          <w:tcPr/>
          <w:p>
            <w:pPr>
              <w:pStyle w:val="Compact"/>
              <w:jc w:val="left"/>
            </w:pPr>
            <w:r>
              <w:t xml:space="preserve">count</w:t>
            </w:r>
          </w:p>
        </w:tc>
      </w:tr>
      <w:tr>
        <w:tc>
          <w:tcPr/>
          <w:p>
            <w:pPr>
              <w:pStyle w:val="Compact"/>
              <w:jc w:val="left"/>
            </w:pPr>
            <m:oMath>
              <m:r>
                <m:t>m</m:t>
              </m:r>
              <m:r>
                <m:rPr>
                  <m:sty m:val="p"/>
                </m:rPr>
                <m:t>/</m:t>
              </m:r>
              <m:r>
                <m:t>n</m:t>
              </m:r>
            </m:oMath>
          </w:p>
        </w:tc>
        <w:tc>
          <w:tcPr/>
          <w:p>
            <w:pPr>
              <w:pStyle w:val="Compact"/>
              <w:jc w:val="left"/>
            </w:pPr>
            <w:r>
              <w:t xml:space="preserve">Bits per element</w:t>
            </w:r>
          </w:p>
        </w:tc>
        <w:tc>
          <w:tcPr/>
          <w:p>
            <w:pPr>
              <w:pStyle w:val="Compact"/>
              <w:jc w:val="left"/>
            </w:pPr>
            <w:r>
              <w:t xml:space="preserve">bits/item</w:t>
            </w:r>
          </w:p>
        </w:tc>
      </w:tr>
      <w:tr>
        <w:tc>
          <w:tcPr/>
          <w:p>
            <w:pPr>
              <w:pStyle w:val="Compact"/>
              <w:jc w:val="left"/>
            </w:pPr>
            <m:oMath>
              <m:r>
                <m:rPr>
                  <m:sty m:val="p"/>
                </m:rPr>
                <m:t>ln</m:t>
              </m:r>
              <m:r>
                <m:t>2</m:t>
              </m:r>
            </m:oMath>
          </w:p>
        </w:tc>
        <w:tc>
          <w:tcPr/>
          <w:p>
            <w:pPr>
              <w:pStyle w:val="Compact"/>
              <w:jc w:val="left"/>
            </w:pPr>
            <w:r>
              <w:t xml:space="preserve">Natural logarithm of 2, ≈ 0.693</w:t>
            </w:r>
          </w:p>
        </w:tc>
        <w:tc>
          <w:tcPr/>
          <w:p>
            <w:pPr>
              <w:pStyle w:val="Compact"/>
              <w:jc w:val="left"/>
            </w:pPr>
            <w:r>
              <w:t xml:space="preserve">dimensionless</w:t>
            </w:r>
          </w:p>
        </w:tc>
      </w:tr>
    </w:tbl>
    <w:p>
      <w:pPr>
        <w:pStyle w:val="CalloutExample"/>
      </w:pPr>
      <w:r>
        <w:rPr>
          <w:bCs/>
          <w:b/>
        </w:rPr>
        <w:t xml:space="preserve">WORKED EXAMPLE</w:t>
      </w:r>
    </w:p>
    <w:p>
      <w:pPr>
        <w:pStyle w:val="CalloutExample"/>
      </w:pPr>
      <w:r>
        <w:rPr>
          <w:bCs/>
          <w:b/>
        </w:rPr>
        <w:t xml:space="preserve">Worked example — choosing k.</w:t>
      </w:r>
      <w:r>
        <w:t xml:space="preserve"> </w:t>
      </w:r>
      <w:r>
        <w:t xml:space="preserve">With</w:t>
      </w:r>
      <w:r>
        <w:t xml:space="preserve"> </w:t>
      </w:r>
      <m:oMath>
        <m:r>
          <m:t>m</m:t>
        </m:r>
        <m:r>
          <m:rPr>
            <m:sty m:val="p"/>
          </m:rPr>
          <m:t>/</m:t>
        </m:r>
        <m:r>
          <m:t>n</m:t>
        </m:r>
        <m:r>
          <m:rPr>
            <m:sty m:val="p"/>
          </m:rPr>
          <m:t>=</m:t>
        </m:r>
        <m:r>
          <m:t>10</m:t>
        </m:r>
      </m:oMath>
      <w:r>
        <w:t xml:space="preserve"> </w:t>
      </w:r>
      <w:r>
        <w:t xml:space="preserve">bits per element:</w:t>
      </w:r>
      <w:r>
        <w:t xml:space="preserve"> </w:t>
      </w:r>
      <m:oMath>
        <m:sSup>
          <m:e>
            <m:r>
              <m:t>k</m:t>
            </m:r>
          </m:e>
          <m:sup>
            <m:r>
              <m:rPr>
                <m:sty m:val="p"/>
              </m:rPr>
              <m:t>*</m:t>
            </m:r>
          </m:sup>
        </m:sSup>
        <m:r>
          <m:rPr>
            <m:sty m:val="p"/>
          </m:rPr>
          <m:t>=</m:t>
        </m:r>
        <m:r>
          <m:t>10</m:t>
        </m:r>
        <m:r>
          <m:rPr>
            <m:sty m:val="p"/>
          </m:rPr>
          <m:t>×</m:t>
        </m:r>
        <m:r>
          <m:t>0.693</m:t>
        </m:r>
        <m:r>
          <m:rPr>
            <m:sty m:val="p"/>
          </m:rPr>
          <m:t>=</m:t>
        </m:r>
        <m:r>
          <m:t>6.93</m:t>
        </m:r>
      </m:oMath>
      <w:r>
        <w:t xml:space="preserve">, so use</w:t>
      </w:r>
      <w:r>
        <w:t xml:space="preserve"> </w:t>
      </w:r>
      <m:oMath>
        <m:r>
          <m:t>k</m:t>
        </m:r>
        <m:r>
          <m:rPr>
            <m:sty m:val="p"/>
          </m:rPr>
          <m:t>=</m:t>
        </m:r>
        <m:r>
          <m:t>7</m:t>
        </m:r>
      </m:oMath>
      <w:r>
        <w:t xml:space="preserve">. At the optimum, exactly half of the bits are 1 (</w:t>
      </w:r>
      <m:oMath>
        <m:sSup>
          <m:e>
            <m:r>
              <m:t>e</m:t>
            </m:r>
          </m:e>
          <m:sup>
            <m:r>
              <m:rPr>
                <m:sty m:val="p"/>
              </m:rPr>
              <m:t>−</m:t>
            </m:r>
            <m:sSup>
              <m:e>
                <m:r>
                  <m:t>k</m:t>
                </m:r>
              </m:e>
              <m:sup>
                <m:r>
                  <m:rPr>
                    <m:sty m:val="p"/>
                  </m:rPr>
                  <m:t>*</m:t>
                </m:r>
              </m:sup>
            </m:sSup>
            <m:r>
              <m:t>n</m:t>
            </m:r>
            <m:r>
              <m:rPr>
                <m:sty m:val="p"/>
              </m:rPr>
              <m:t>/</m:t>
            </m:r>
            <m:r>
              <m:t>m</m:t>
            </m:r>
          </m:sup>
        </m:sSup>
        <m:r>
          <m:rPr>
            <m:sty m:val="p"/>
          </m:rPr>
          <m:t>=</m:t>
        </m:r>
        <m:sSup>
          <m:e>
            <m:r>
              <m:t>e</m:t>
            </m:r>
          </m:e>
          <m:sup>
            <m:r>
              <m:rPr>
                <m:sty m:val="p"/>
              </m:rPr>
              <m:t>−</m:t>
            </m:r>
            <m:r>
              <m:rPr>
                <m:sty m:val="p"/>
              </m:rPr>
              <m:t>ln</m:t>
            </m:r>
            <m:r>
              <m:t>2</m:t>
            </m:r>
          </m:sup>
        </m:sSup>
        <m:r>
          <m:rPr>
            <m:sty m:val="p"/>
          </m:rPr>
          <m:t>=</m:t>
        </m:r>
        <m:r>
          <m:t>1</m:t>
        </m:r>
        <m:r>
          <m:rPr>
            <m:sty m:val="p"/>
          </m:rPr>
          <m:t>/</m:t>
        </m:r>
        <m:r>
          <m:t>2</m:t>
        </m:r>
      </m:oMath>
      <w:r>
        <w:t xml:space="preserve">) and</w:t>
      </w:r>
      <w:r>
        <w:t xml:space="preserve"> </w:t>
      </w:r>
      <m:oMath>
        <m:r>
          <m:t>p</m:t>
        </m:r>
        <m:r>
          <m:rPr>
            <m:sty m:val="p"/>
          </m:rPr>
          <m:t>=</m:t>
        </m:r>
        <m:sSup>
          <m:e>
            <m:r>
              <m:t>0.5</m:t>
            </m:r>
          </m:e>
          <m:sup>
            <m:r>
              <m:t>6.93</m:t>
            </m:r>
          </m:sup>
        </m:sSup>
        <m:r>
          <m:rPr>
            <m:sty m:val="p"/>
          </m:rPr>
          <m:t>=</m:t>
        </m:r>
        <m:r>
          <m:t>0.0082</m:t>
        </m:r>
      </m:oMath>
      <w:r>
        <w:t xml:space="preserve">, matching the previous example.</w:t>
      </w:r>
    </w:p>
    <w:p>
      <w:pPr>
        <w:pStyle w:val="CalloutExample"/>
      </w:pPr>
      <w:r>
        <w:rPr>
          <w:iCs/>
          <w:i/>
        </w:rPr>
        <w:t xml:space="preserve">Interpretation.</w:t>
      </w:r>
      <w:r>
        <w:t xml:space="preserve"> </w:t>
      </w:r>
      <w:r>
        <w:t xml:space="preserve">At the optimum the array is half full.</w:t>
      </w:r>
      <w:r>
        <w:t xml:space="preserve"> </w:t>
      </w:r>
      <w:r>
        <w:rPr>
          <w:iCs/>
          <w:i/>
        </w:rPr>
        <w:t xml:space="preserve">Engineering implication.</w:t>
      </w:r>
      <w:r>
        <w:t xml:space="preserve"> </w:t>
      </w:r>
      <w:r>
        <w:t xml:space="preserve">The fraction of 1 bits is a cheap health metric: alert when it passes about 0.5.</w:t>
      </w:r>
    </w:p>
    <w:p>
      <w:pPr>
        <w:pStyle w:val="BodyText"/>
      </w:pPr>
      <w:r>
        <w:t xml:space="preserve">Usually you start from a tolerable</w:t>
      </w:r>
      <w:r>
        <w:t xml:space="preserve"> </w:t>
      </w:r>
      <m:oMath>
        <m:r>
          <m:t>p</m:t>
        </m:r>
      </m:oMath>
      <w:r>
        <w:t xml:space="preserve"> </w:t>
      </w:r>
      <w:r>
        <w:t xml:space="preserve">and solve for memory:</w:t>
      </w:r>
    </w:p>
    <w:p>
      <w:pPr>
        <w:pStyle w:val="CalloutFormula"/>
      </w:pPr>
      <w:r>
        <w:rPr>
          <w:bCs/>
          <w:b/>
        </w:rPr>
        <w:t xml:space="preserve">FORMULA</w:t>
      </w:r>
    </w:p>
    <w:p>
      <w:pPr>
        <w:pStyle w:val="CalloutFormula"/>
      </w:pPr>
      <w:r>
        <w:rPr>
          <w:bCs/>
          <w:b/>
        </w:rPr>
        <w:t xml:space="preserve">Bits per element for a target false-positive rate</w:t>
      </w:r>
    </w:p>
    <w:p>
      <w:pPr>
        <w:pStyle w:val="CalloutFormula"/>
      </w:pPr>
      <m:oMathPara>
        <m:oMathParaPr>
          <m:jc m:val="center"/>
        </m:oMathParaPr>
        <m:oMath>
          <m:f>
            <m:fPr>
              <m:type m:val="bar"/>
            </m:fPr>
            <m:num>
              <m:r>
                <m:t>m</m:t>
              </m:r>
            </m:num>
            <m:den>
              <m:r>
                <m:t>n</m:t>
              </m:r>
            </m:den>
          </m:f>
          <m:r>
            <m:rPr>
              <m:sty m:val="p"/>
            </m:rPr>
            <m:t>=</m:t>
          </m:r>
          <m:f>
            <m:fPr>
              <m:type m:val="bar"/>
            </m:fPr>
            <m:num>
              <m:r>
                <m:rPr>
                  <m:sty m:val="p"/>
                </m:rPr>
                <m:t>−</m:t>
              </m:r>
              <m:r>
                <m:rPr>
                  <m:sty m:val="p"/>
                </m:rPr>
                <m:t>ln</m:t>
              </m:r>
              <m:r>
                <m:t>p</m:t>
              </m:r>
            </m:num>
            <m:den>
              <m:sSup>
                <m:e>
                  <m:d>
                    <m:dPr>
                      <m:begChr m:val="("/>
                      <m:endChr m:val=")"/>
                      <m:sepChr m:val=""/>
                      <m:grow/>
                    </m:dPr>
                    <m:e>
                      <m:r>
                        <m:rPr>
                          <m:sty m:val="p"/>
                        </m:rPr>
                        <m:t>ln</m:t>
                      </m:r>
                      <m:r>
                        <m:t>2</m:t>
                      </m:r>
                    </m:e>
                  </m:d>
                </m:e>
                <m:sup>
                  <m:r>
                    <m:t>2</m:t>
                  </m:r>
                </m:sup>
              </m:sSup>
            </m:den>
          </m:f>
          <m:r>
            <m:rPr>
              <m:sty m:val="p"/>
            </m:rPr>
            <m:t>≈</m:t>
          </m:r>
          <m:r>
            <m:t>1.44</m:t>
          </m:r>
          <m:sSub>
            <m:e>
              <m:r>
                <m:rPr>
                  <m:sty m:val="p"/>
                </m:rPr>
                <m:t>log</m:t>
              </m:r>
            </m:e>
            <m:sub>
              <m:r>
                <m:t>2</m:t>
              </m:r>
            </m:sub>
          </m:sSub>
          <m:f>
            <m:fPr>
              <m:type m:val="bar"/>
            </m:fPr>
            <m:num>
              <m:r>
                <m:t>1</m:t>
              </m:r>
            </m:num>
            <m:den>
              <m:r>
                <m:t>p</m:t>
              </m:r>
            </m:den>
          </m:f>
          <m:r>
            <m:rPr>
              <m:sty m:val="p"/>
            </m:rPr>
            <m:t>,</m:t>
          </m:r>
          <m:r>
            <m:t>  </m:t>
          </m:r>
          <m:r>
            <m:t>k</m:t>
          </m:r>
          <m:r>
            <m:rPr>
              <m:sty m:val="p"/>
            </m:rPr>
            <m:t>=</m:t>
          </m:r>
          <m:r>
            <m:rPr>
              <m:sty m:val="p"/>
            </m:rPr>
            <m:t>−</m:t>
          </m:r>
          <m:sSub>
            <m:e>
              <m:r>
                <m:rPr>
                  <m:sty m:val="p"/>
                </m:rPr>
                <m:t>log</m:t>
              </m:r>
            </m:e>
            <m:sub>
              <m:r>
                <m:t>2</m:t>
              </m:r>
            </m:sub>
          </m:sSub>
          <m:r>
            <m:t>p</m:t>
          </m:r>
        </m:oMath>
      </m:oMathPara>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m</m:t>
              </m:r>
              <m:r>
                <m:rPr>
                  <m:sty m:val="p"/>
                </m:rPr>
                <m:t>/</m:t>
              </m:r>
              <m:r>
                <m:t>n</m:t>
              </m:r>
            </m:oMath>
          </w:p>
        </w:tc>
        <w:tc>
          <w:tcPr/>
          <w:p>
            <w:pPr>
              <w:pStyle w:val="Compact"/>
              <w:jc w:val="left"/>
            </w:pPr>
            <w:r>
              <w:t xml:space="preserve">Bits of filter needed per inserted item</w:t>
            </w:r>
          </w:p>
        </w:tc>
        <w:tc>
          <w:tcPr/>
          <w:p>
            <w:pPr>
              <w:pStyle w:val="Compact"/>
              <w:jc w:val="left"/>
            </w:pPr>
            <w:r>
              <w:t xml:space="preserve">bits/item</w:t>
            </w:r>
          </w:p>
        </w:tc>
      </w:tr>
      <w:tr>
        <w:tc>
          <w:tcPr/>
          <w:p>
            <w:pPr>
              <w:pStyle w:val="Compact"/>
              <w:jc w:val="left"/>
            </w:pPr>
            <m:oMath>
              <m:r>
                <m:t>p</m:t>
              </m:r>
            </m:oMath>
          </w:p>
        </w:tc>
        <w:tc>
          <w:tcPr/>
          <w:p>
            <w:pPr>
              <w:pStyle w:val="Compact"/>
              <w:jc w:val="left"/>
            </w:pPr>
            <w:r>
              <w:t xml:space="preserve">Target false-positive rate</w:t>
            </w:r>
          </w:p>
        </w:tc>
        <w:tc>
          <w:tcPr/>
          <w:p>
            <w:pPr>
              <w:pStyle w:val="Compact"/>
              <w:jc w:val="left"/>
            </w:pPr>
            <w:r>
              <w:t xml:space="preserve">probability</w:t>
            </w:r>
          </w:p>
        </w:tc>
      </w:tr>
      <w:tr>
        <w:tc>
          <w:tcPr/>
          <w:p>
            <w:pPr>
              <w:pStyle w:val="Compact"/>
              <w:jc w:val="left"/>
            </w:pPr>
            <m:oMath>
              <m:sSup>
                <m:e>
                  <m:d>
                    <m:dPr>
                      <m:begChr m:val="("/>
                      <m:endChr m:val=")"/>
                      <m:sepChr m:val=""/>
                      <m:grow/>
                    </m:dPr>
                    <m:e>
                      <m:r>
                        <m:rPr>
                          <m:sty m:val="p"/>
                        </m:rPr>
                        <m:t>ln</m:t>
                      </m:r>
                      <m:r>
                        <m:t>2</m:t>
                      </m:r>
                    </m:e>
                  </m:d>
                </m:e>
                <m:sup>
                  <m:r>
                    <m:t>2</m:t>
                  </m:r>
                </m:sup>
              </m:sSup>
            </m:oMath>
          </w:p>
        </w:tc>
        <w:tc>
          <w:tcPr/>
          <w:p>
            <w:pPr>
              <w:pStyle w:val="Compact"/>
              <w:jc w:val="left"/>
            </w:pPr>
            <w:r>
              <w:t xml:space="preserve">≈ 0.4805</w:t>
            </w:r>
          </w:p>
        </w:tc>
        <w:tc>
          <w:tcPr/>
          <w:p>
            <w:pPr>
              <w:pStyle w:val="Compact"/>
              <w:jc w:val="left"/>
            </w:pPr>
            <w:r>
              <w:t xml:space="preserve">dimensionless</w:t>
            </w:r>
          </w:p>
        </w:tc>
      </w:tr>
      <w:tr>
        <w:tc>
          <w:tcPr/>
          <w:p>
            <w:pPr>
              <w:pStyle w:val="Compact"/>
              <w:jc w:val="left"/>
            </w:pPr>
            <m:oMath>
              <m:r>
                <m:t>k</m:t>
              </m:r>
            </m:oMath>
          </w:p>
        </w:tc>
        <w:tc>
          <w:tcPr/>
          <w:p>
            <w:pPr>
              <w:pStyle w:val="Compact"/>
              <w:jc w:val="left"/>
            </w:pPr>
            <w:r>
              <w:t xml:space="preserve">Matching number of hash functions (rounded)</w:t>
            </w:r>
          </w:p>
        </w:tc>
        <w:tc>
          <w:tcPr/>
          <w:p>
            <w:pPr>
              <w:pStyle w:val="Compact"/>
              <w:jc w:val="left"/>
            </w:pPr>
            <w:r>
              <w:t xml:space="preserve">count</w:t>
            </w:r>
          </w:p>
        </w:tc>
      </w:tr>
    </w:tbl>
    <w:p>
      <w:pPr>
        <w:pStyle w:val="CalloutExample"/>
      </w:pPr>
      <w:r>
        <w:rPr>
          <w:bCs/>
          <w:b/>
        </w:rPr>
        <w:t xml:space="preserve">WORKED EXAMPLE</w:t>
      </w:r>
    </w:p>
    <w:p>
      <w:pPr>
        <w:pStyle w:val="CalloutExample"/>
      </w:pPr>
      <w:r>
        <w:rPr>
          <w:bCs/>
          <w:b/>
        </w:rPr>
        <w:t xml:space="preserve">Worked example — a username-availability filter for 1 billion accounts.</w:t>
      </w:r>
      <w:r>
        <w:t xml:space="preserve"> </w:t>
      </w:r>
      <w:r>
        <w:t xml:space="preserve">You want</w:t>
      </w:r>
      <w:r>
        <w:t xml:space="preserve"> </w:t>
      </w:r>
      <w:r>
        <w:t xml:space="preserve">“</w:t>
      </w:r>
      <w:r>
        <w:t xml:space="preserve">is this username taken?</w:t>
      </w:r>
      <w:r>
        <w:t xml:space="preserve">”</w:t>
      </w:r>
      <w:r>
        <w:t xml:space="preserve"> </w:t>
      </w:r>
      <w:r>
        <w:t xml:space="preserve">answered in memory with a 1% false-positive rate.</w:t>
      </w:r>
    </w:p>
    <w:p>
      <w:pPr>
        <w:numPr>
          <w:ilvl w:val="0"/>
          <w:numId w:val="1566"/>
        </w:numPr>
        <w:pStyle w:val="Compact"/>
      </w:pPr>
      <w:r>
        <w:t xml:space="preserve">Bits per element:</w:t>
      </w:r>
      <w:r>
        <w:t xml:space="preserve"> </w:t>
      </w:r>
      <m:oMath>
        <m:r>
          <m:rPr>
            <m:sty m:val="p"/>
          </m:rPr>
          <m:t>−</m:t>
        </m:r>
        <m:r>
          <m:rPr>
            <m:sty m:val="p"/>
          </m:rPr>
          <m:t>ln</m:t>
        </m:r>
        <m:r>
          <m:t>0.01</m:t>
        </m:r>
        <m:r>
          <m:rPr>
            <m:sty m:val="p"/>
          </m:rPr>
          <m:t>/</m:t>
        </m:r>
        <m:r>
          <m:t>0.4805</m:t>
        </m:r>
        <m:r>
          <m:rPr>
            <m:sty m:val="p"/>
          </m:rPr>
          <m:t>=</m:t>
        </m:r>
        <m:r>
          <m:t>4.605</m:t>
        </m:r>
        <m:r>
          <m:rPr>
            <m:sty m:val="p"/>
          </m:rPr>
          <m:t>/</m:t>
        </m:r>
        <m:r>
          <m:t>0.4805</m:t>
        </m:r>
        <m:r>
          <m:rPr>
            <m:sty m:val="p"/>
          </m:rPr>
          <m:t>=</m:t>
        </m:r>
        <m:r>
          <m:t>9.585</m:t>
        </m:r>
      </m:oMath>
      <w:r>
        <w:t xml:space="preserve"> </w:t>
      </w:r>
      <w:r>
        <w:t xml:space="preserve">bits.</w:t>
      </w:r>
    </w:p>
    <w:p>
      <w:pPr>
        <w:numPr>
          <w:ilvl w:val="0"/>
          <w:numId w:val="1566"/>
        </w:numPr>
        <w:pStyle w:val="Compact"/>
      </w:pPr>
      <w:r>
        <w:t xml:space="preserve">Total:</w:t>
      </w:r>
      <w:r>
        <w:t xml:space="preserve"> </w:t>
      </w:r>
      <m:oMath>
        <m:r>
          <m:t>9.585</m:t>
        </m:r>
        <m:r>
          <m:rPr>
            <m:sty m:val="p"/>
          </m:rPr>
          <m:t>×</m:t>
        </m:r>
        <m:sSup>
          <m:e>
            <m:r>
              <m:t>10</m:t>
            </m:r>
          </m:e>
          <m:sup>
            <m:r>
              <m:t>9</m:t>
            </m:r>
          </m:sup>
        </m:sSup>
      </m:oMath>
      <w:r>
        <w:t xml:space="preserve"> </w:t>
      </w:r>
      <w:r>
        <w:t xml:space="preserve">bits</w:t>
      </w:r>
      <w:r>
        <w:t xml:space="preserve"> </w:t>
      </w:r>
      <m:oMath>
        <m:r>
          <m:rPr>
            <m:sty m:val="p"/>
          </m:rPr>
          <m:t>=</m:t>
        </m:r>
        <m:r>
          <m:t>1.198</m:t>
        </m:r>
        <m:r>
          <m:rPr>
            <m:sty m:val="p"/>
          </m:rPr>
          <m:t>×</m:t>
        </m:r>
        <m:sSup>
          <m:e>
            <m:r>
              <m:t>10</m:t>
            </m:r>
          </m:e>
          <m:sup>
            <m:r>
              <m:t>9</m:t>
            </m:r>
          </m:sup>
        </m:sSup>
      </m:oMath>
      <w:r>
        <w:t xml:space="preserve"> </w:t>
      </w:r>
      <w:r>
        <w:t xml:space="preserve">bytes</w:t>
      </w:r>
      <w:r>
        <w:t xml:space="preserve"> </w:t>
      </w:r>
      <m:oMath>
        <m:r>
          <m:rPr>
            <m:sty m:val="p"/>
          </m:rPr>
          <m:t>≈</m:t>
        </m:r>
        <m:r>
          <m:t>1.2</m:t>
        </m:r>
      </m:oMath>
      <w:r>
        <w:t xml:space="preserve"> </w:t>
      </w:r>
      <w:r>
        <w:t xml:space="preserve">GB (decimal).</w:t>
      </w:r>
    </w:p>
    <w:p>
      <w:pPr>
        <w:numPr>
          <w:ilvl w:val="0"/>
          <w:numId w:val="1566"/>
        </w:numPr>
        <w:pStyle w:val="Compact"/>
      </w:pPr>
      <w:r>
        <w:t xml:space="preserve">Hash functions:</w:t>
      </w:r>
      <w:r>
        <w:t xml:space="preserve"> </w:t>
      </w:r>
      <m:oMath>
        <m:r>
          <m:t>k</m:t>
        </m:r>
        <m:r>
          <m:rPr>
            <m:sty m:val="p"/>
          </m:rPr>
          <m:t>=</m:t>
        </m:r>
        <m:r>
          <m:rPr>
            <m:sty m:val="p"/>
          </m:rPr>
          <m:t>−</m:t>
        </m:r>
        <m:sSub>
          <m:e>
            <m:r>
              <m:rPr>
                <m:sty m:val="p"/>
              </m:rPr>
              <m:t>log</m:t>
            </m:r>
          </m:e>
          <m:sub>
            <m:r>
              <m:t>2</m:t>
            </m:r>
          </m:sub>
        </m:sSub>
        <m:r>
          <m:t>0.01</m:t>
        </m:r>
        <m:r>
          <m:rPr>
            <m:sty m:val="p"/>
          </m:rPr>
          <m:t>=</m:t>
        </m:r>
        <m:r>
          <m:t>6.64</m:t>
        </m:r>
      </m:oMath>
      <w:r>
        <w:t xml:space="preserve">, so 7.</w:t>
      </w:r>
    </w:p>
    <w:p>
      <w:pPr>
        <w:numPr>
          <w:ilvl w:val="0"/>
          <w:numId w:val="1566"/>
        </w:numPr>
        <w:pStyle w:val="Compact"/>
      </w:pPr>
      <w:r>
        <w:t xml:space="preserve">For 0.1%:</w:t>
      </w:r>
      <w:r>
        <w:t xml:space="preserve"> </w:t>
      </w:r>
      <m:oMath>
        <m:r>
          <m:rPr>
            <m:sty m:val="p"/>
          </m:rPr>
          <m:t>−</m:t>
        </m:r>
        <m:r>
          <m:rPr>
            <m:sty m:val="p"/>
          </m:rPr>
          <m:t>ln</m:t>
        </m:r>
        <m:r>
          <m:t>0.001</m:t>
        </m:r>
        <m:r>
          <m:rPr>
            <m:sty m:val="p"/>
          </m:rPr>
          <m:t>/</m:t>
        </m:r>
        <m:r>
          <m:t>0.4805</m:t>
        </m:r>
        <m:r>
          <m:rPr>
            <m:sty m:val="p"/>
          </m:rPr>
          <m:t>=</m:t>
        </m:r>
        <m:r>
          <m:t>6.908</m:t>
        </m:r>
        <m:r>
          <m:rPr>
            <m:sty m:val="p"/>
          </m:rPr>
          <m:t>/</m:t>
        </m:r>
        <m:r>
          <m:t>0.4805</m:t>
        </m:r>
        <m:r>
          <m:rPr>
            <m:sty m:val="p"/>
          </m:rPr>
          <m:t>=</m:t>
        </m:r>
        <m:r>
          <m:t>14.38</m:t>
        </m:r>
      </m:oMath>
      <w:r>
        <w:t xml:space="preserve"> </w:t>
      </w:r>
      <w:r>
        <w:t xml:space="preserve">bits per element, 1.8 GB,</w:t>
      </w:r>
      <w:r>
        <w:t xml:space="preserve"> </w:t>
      </w:r>
      <m:oMath>
        <m:r>
          <m:t>k</m:t>
        </m:r>
        <m:r>
          <m:rPr>
            <m:sty m:val="p"/>
          </m:rPr>
          <m:t>=</m:t>
        </m:r>
        <m:r>
          <m:t>10</m:t>
        </m:r>
      </m:oMath>
      <w:r>
        <w:t xml:space="preserve">.</w:t>
      </w:r>
    </w:p>
    <w:p>
      <w:pPr>
        <w:numPr>
          <w:ilvl w:val="0"/>
          <w:numId w:val="1566"/>
        </w:numPr>
        <w:pStyle w:val="Compact"/>
      </w:pPr>
      <w:r>
        <w:t xml:space="preserve">Compare with an exact set: 1 billion usernames averaging 12 bytes, plus about 40 bytes of hash-table and object overhead each, is roughly</w:t>
      </w:r>
      <w:r>
        <w:t xml:space="preserve"> </w:t>
      </w:r>
      <m:oMath>
        <m:r>
          <m:t>52</m:t>
        </m:r>
        <m:r>
          <m:rPr>
            <m:sty m:val="p"/>
          </m:rPr>
          <m:t>×</m:t>
        </m:r>
        <m:sSup>
          <m:e>
            <m:r>
              <m:t>10</m:t>
            </m:r>
          </m:e>
          <m:sup>
            <m:r>
              <m:t>9</m:t>
            </m:r>
          </m:sup>
        </m:sSup>
      </m:oMath>
      <w:r>
        <w:t xml:space="preserve"> </w:t>
      </w:r>
      <w:r>
        <w:t xml:space="preserve">bytes = 52 GB.</w:t>
      </w:r>
    </w:p>
    <w:p>
      <w:pPr>
        <w:pStyle w:val="CalloutExample"/>
      </w:pPr>
      <w:r>
        <w:rPr>
          <w:iCs/>
          <w:i/>
        </w:rPr>
        <w:t xml:space="preserve">Interpretation.</w:t>
      </w:r>
      <w:r>
        <w:t xml:space="preserve"> </w:t>
      </w:r>
      <w:r>
        <w:t xml:space="preserve">Each 10× reduction in</w:t>
      </w:r>
      <w:r>
        <w:t xml:space="preserve"> </w:t>
      </w:r>
      <m:oMath>
        <m:r>
          <m:t>p</m:t>
        </m:r>
      </m:oMath>
      <w:r>
        <w:t xml:space="preserve"> </w:t>
      </w:r>
      <w:r>
        <w:t xml:space="preserve">costs a fixed</w:t>
      </w:r>
      <w:r>
        <w:t xml:space="preserve"> </w:t>
      </w:r>
      <m:oMath>
        <m:r>
          <m:rPr>
            <m:sty m:val="p"/>
          </m:rPr>
          <m:t>ln</m:t>
        </m:r>
        <m:r>
          <m:t>10</m:t>
        </m:r>
        <m:r>
          <m:rPr>
            <m:sty m:val="p"/>
          </m:rPr>
          <m:t>/</m:t>
        </m:r>
        <m:sSup>
          <m:e>
            <m:d>
              <m:dPr>
                <m:begChr m:val="("/>
                <m:endChr m:val=")"/>
                <m:sepChr m:val=""/>
                <m:grow/>
              </m:dPr>
              <m:e>
                <m:r>
                  <m:rPr>
                    <m:sty m:val="p"/>
                  </m:rPr>
                  <m:t>ln</m:t>
                </m:r>
                <m:r>
                  <m:t>2</m:t>
                </m:r>
              </m:e>
            </m:d>
          </m:e>
          <m:sup>
            <m:r>
              <m:t>2</m:t>
            </m:r>
          </m:sup>
        </m:sSup>
        <m:r>
          <m:rPr>
            <m:sty m:val="p"/>
          </m:rPr>
          <m:t>=</m:t>
        </m:r>
        <m:r>
          <m:t>4.79</m:t>
        </m:r>
      </m:oMath>
      <w:r>
        <w:t xml:space="preserve"> </w:t>
      </w:r>
      <w:r>
        <w:t xml:space="preserve">extra bits per element, whatever the item size.</w:t>
      </w:r>
      <w:r>
        <w:t xml:space="preserve"> </w:t>
      </w:r>
      <w:r>
        <w:rPr>
          <w:iCs/>
          <w:i/>
        </w:rPr>
        <w:t xml:space="preserve">Engineering implication.</w:t>
      </w:r>
      <w:r>
        <w:t xml:space="preserve"> </w:t>
      </w:r>
      <w:r>
        <w:t xml:space="preserve">The filter fits in one server’s memory (or on every API node), where the exact set needs a cluster.</w:t>
      </w:r>
      <w:r>
        <w:t xml:space="preserve"> </w:t>
      </w:r>
      <w:r>
        <w:t xml:space="preserve">“</w:t>
      </w:r>
      <w:r>
        <w:t xml:space="preserve">Taken</w:t>
      </w:r>
      <w:r>
        <w:t xml:space="preserve">”</w:t>
      </w:r>
      <w:r>
        <w:t xml:space="preserve"> </w:t>
      </w:r>
      <w:r>
        <w:t xml:space="preserve">answers are confirmed against the database;</w:t>
      </w:r>
      <w:r>
        <w:t xml:space="preserve"> </w:t>
      </w:r>
      <w:r>
        <w:t xml:space="preserve">“</w:t>
      </w:r>
      <w:r>
        <w:t xml:space="preserve">free</w:t>
      </w:r>
      <w:r>
        <w:t xml:space="preserve">”</w:t>
      </w:r>
      <w:r>
        <w:t xml:space="preserve"> </w:t>
      </w:r>
      <w:r>
        <w:t xml:space="preserve">answers are always correct, and those are the ones that must be fast while the user types.</w:t>
      </w:r>
    </w:p>
    <w:p>
      <w:pPr>
        <w:pStyle w:val="BodyText"/>
      </w:pPr>
      <w:r>
        <w:rPr>
          <w:bCs/>
          <w:b/>
        </w:rPr>
        <w:t xml:space="preserve">Table 17.3 — Bloom filter sizing at the optimal k.</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Target</w:t>
            </w:r>
            <w:r>
              <w:t xml:space="preserve"> </w:t>
            </w:r>
            <m:oMath>
              <m:r>
                <m:t>p</m:t>
              </m:r>
            </m:oMath>
          </w:p>
        </w:tc>
        <w:tc>
          <w:tcPr/>
          <w:p>
            <w:pPr>
              <w:pStyle w:val="Compact"/>
              <w:jc w:val="left"/>
            </w:pPr>
            <w:r>
              <w:t xml:space="preserve">Bits per element</w:t>
            </w:r>
          </w:p>
        </w:tc>
        <w:tc>
          <w:tcPr/>
          <w:p>
            <w:pPr>
              <w:pStyle w:val="Compact"/>
              <w:jc w:val="left"/>
            </w:pPr>
            <w:r>
              <w:t xml:space="preserve">Hash functions</w:t>
            </w:r>
            <w:r>
              <w:t xml:space="preserve"> </w:t>
            </w:r>
            <m:oMath>
              <m:r>
                <m:t>k</m:t>
              </m:r>
            </m:oMath>
          </w:p>
        </w:tc>
        <w:tc>
          <w:tcPr/>
          <w:p>
            <w:pPr>
              <w:pStyle w:val="Compact"/>
              <w:jc w:val="left"/>
            </w:pPr>
            <w:r>
              <w:t xml:space="preserve">Memory for</w:t>
            </w:r>
            <w:r>
              <w:t xml:space="preserve"> </w:t>
            </w:r>
            <m:oMath>
              <m:sSup>
                <m:e>
                  <m:r>
                    <m:t>10</m:t>
                  </m:r>
                </m:e>
                <m:sup>
                  <m:r>
                    <m:t>9</m:t>
                  </m:r>
                </m:sup>
              </m:sSup>
            </m:oMath>
            <w:r>
              <w:t xml:space="preserve"> </w:t>
            </w:r>
            <w:r>
              <w:t xml:space="preserve">items</w:t>
            </w:r>
          </w:p>
        </w:tc>
      </w:tr>
      <w:tr>
        <w:tc>
          <w:tcPr/>
          <w:p>
            <w:pPr>
              <w:pStyle w:val="Compact"/>
              <w:jc w:val="left"/>
            </w:pPr>
            <w:r>
              <w:t xml:space="preserve">10%</w:t>
            </w:r>
          </w:p>
        </w:tc>
        <w:tc>
          <w:tcPr/>
          <w:p>
            <w:pPr>
              <w:pStyle w:val="Compact"/>
              <w:jc w:val="left"/>
            </w:pPr>
            <w:r>
              <w:t xml:space="preserve">4.79</w:t>
            </w:r>
          </w:p>
        </w:tc>
        <w:tc>
          <w:tcPr/>
          <w:p>
            <w:pPr>
              <w:pStyle w:val="Compact"/>
              <w:jc w:val="left"/>
            </w:pPr>
            <w:r>
              <w:t xml:space="preserve">3</w:t>
            </w:r>
          </w:p>
        </w:tc>
        <w:tc>
          <w:tcPr/>
          <w:p>
            <w:pPr>
              <w:pStyle w:val="Compact"/>
              <w:jc w:val="left"/>
            </w:pPr>
            <w:r>
              <w:t xml:space="preserve">0.60 GB</w:t>
            </w:r>
          </w:p>
        </w:tc>
      </w:tr>
      <w:tr>
        <w:tc>
          <w:tcPr/>
          <w:p>
            <w:pPr>
              <w:pStyle w:val="Compact"/>
              <w:jc w:val="left"/>
            </w:pPr>
            <w:r>
              <w:t xml:space="preserve">1%</w:t>
            </w:r>
          </w:p>
        </w:tc>
        <w:tc>
          <w:tcPr/>
          <w:p>
            <w:pPr>
              <w:pStyle w:val="Compact"/>
              <w:jc w:val="left"/>
            </w:pPr>
            <w:r>
              <w:t xml:space="preserve">9.59</w:t>
            </w:r>
          </w:p>
        </w:tc>
        <w:tc>
          <w:tcPr/>
          <w:p>
            <w:pPr>
              <w:pStyle w:val="Compact"/>
              <w:jc w:val="left"/>
            </w:pPr>
            <w:r>
              <w:t xml:space="preserve">7</w:t>
            </w:r>
          </w:p>
        </w:tc>
        <w:tc>
          <w:tcPr/>
          <w:p>
            <w:pPr>
              <w:pStyle w:val="Compact"/>
              <w:jc w:val="left"/>
            </w:pPr>
            <w:r>
              <w:t xml:space="preserve">1.20 GB</w:t>
            </w:r>
          </w:p>
        </w:tc>
      </w:tr>
      <w:tr>
        <w:tc>
          <w:tcPr/>
          <w:p>
            <w:pPr>
              <w:pStyle w:val="Compact"/>
              <w:jc w:val="left"/>
            </w:pPr>
            <w:r>
              <w:t xml:space="preserve">0.1%</w:t>
            </w:r>
          </w:p>
        </w:tc>
        <w:tc>
          <w:tcPr/>
          <w:p>
            <w:pPr>
              <w:pStyle w:val="Compact"/>
              <w:jc w:val="left"/>
            </w:pPr>
            <w:r>
              <w:t xml:space="preserve">14.38</w:t>
            </w:r>
          </w:p>
        </w:tc>
        <w:tc>
          <w:tcPr/>
          <w:p>
            <w:pPr>
              <w:pStyle w:val="Compact"/>
              <w:jc w:val="left"/>
            </w:pPr>
            <w:r>
              <w:t xml:space="preserve">10</w:t>
            </w:r>
          </w:p>
        </w:tc>
        <w:tc>
          <w:tcPr/>
          <w:p>
            <w:pPr>
              <w:pStyle w:val="Compact"/>
              <w:jc w:val="left"/>
            </w:pPr>
            <w:r>
              <w:t xml:space="preserve">1.80 GB</w:t>
            </w:r>
          </w:p>
        </w:tc>
      </w:tr>
      <w:tr>
        <w:tc>
          <w:tcPr/>
          <w:p>
            <w:pPr>
              <w:pStyle w:val="Compact"/>
              <w:jc w:val="left"/>
            </w:pPr>
            <w:r>
              <w:t xml:space="preserve">0.01%</w:t>
            </w:r>
          </w:p>
        </w:tc>
        <w:tc>
          <w:tcPr/>
          <w:p>
            <w:pPr>
              <w:pStyle w:val="Compact"/>
              <w:jc w:val="left"/>
            </w:pPr>
            <w:r>
              <w:t xml:space="preserve">19.17</w:t>
            </w:r>
          </w:p>
        </w:tc>
        <w:tc>
          <w:tcPr/>
          <w:p>
            <w:pPr>
              <w:pStyle w:val="Compact"/>
              <w:jc w:val="left"/>
            </w:pPr>
            <w:r>
              <w:t xml:space="preserve">13</w:t>
            </w:r>
          </w:p>
        </w:tc>
        <w:tc>
          <w:tcPr/>
          <w:p>
            <w:pPr>
              <w:pStyle w:val="Compact"/>
              <w:jc w:val="left"/>
            </w:pPr>
            <w:r>
              <w:t xml:space="preserve">2.40 GB</w:t>
            </w:r>
          </w:p>
        </w:tc>
      </w:tr>
      <w:tr>
        <w:tc>
          <w:tcPr/>
          <w:p>
            <w:pPr>
              <w:pStyle w:val="Compact"/>
              <w:jc w:val="left"/>
            </w:pPr>
            <w:r>
              <w:t xml:space="preserve">0.001%</w:t>
            </w:r>
          </w:p>
        </w:tc>
        <w:tc>
          <w:tcPr/>
          <w:p>
            <w:pPr>
              <w:pStyle w:val="Compact"/>
              <w:jc w:val="left"/>
            </w:pPr>
            <w:r>
              <w:t xml:space="preserve">23.96</w:t>
            </w:r>
          </w:p>
        </w:tc>
        <w:tc>
          <w:tcPr/>
          <w:p>
            <w:pPr>
              <w:pStyle w:val="Compact"/>
              <w:jc w:val="left"/>
            </w:pPr>
            <w:r>
              <w:t xml:space="preserve">17</w:t>
            </w:r>
          </w:p>
        </w:tc>
        <w:tc>
          <w:tcPr/>
          <w:p>
            <w:pPr>
              <w:pStyle w:val="Compact"/>
              <w:jc w:val="left"/>
            </w:pPr>
            <w:r>
              <w:t xml:space="preserve">3.00 GB</w:t>
            </w:r>
          </w:p>
        </w:tc>
      </w:tr>
    </w:tbl>
    <w:p>
      <w:pPr>
        <w:pStyle w:val="BodyText"/>
      </w:pPr>
      <w:r>
        <w:t xml:space="preserve">The approximation assumes independent bit positions; it slightly underestimates the true rate for small filters [Bose et al. 2008], negligibly at millions of bits.</w:t>
      </w:r>
    </w:p>
    <w:bookmarkEnd w:id="1931"/>
    <w:bookmarkStart w:id="1932" w:name="implementation-and-measured-validation"/>
    <w:p>
      <w:pPr>
        <w:pStyle w:val="Heading3"/>
      </w:pPr>
      <w:r>
        <w:t xml:space="preserve">17.4.4 Implementation and measured validation</w:t>
      </w:r>
    </w:p>
    <w:p>
      <w:pPr>
        <w:pStyle w:val="SourceCode"/>
      </w:pPr>
      <w:r>
        <w:rPr>
          <w:rStyle w:val="ImportTok"/>
        </w:rPr>
        <w:t xml:space="preserve">import</w:t>
      </w:r>
      <w:r>
        <w:rPr>
          <w:rStyle w:val="NormalTok"/>
        </w:rPr>
        <w:t xml:space="preserve"> hashlib</w:t>
      </w:r>
      <w:r>
        <w:br/>
      </w:r>
      <w:r>
        <w:rPr>
          <w:rStyle w:val="ImportTok"/>
        </w:rPr>
        <w:t xml:space="preserve">import</w:t>
      </w:r>
      <w:r>
        <w:rPr>
          <w:rStyle w:val="NormalTok"/>
        </w:rPr>
        <w:t xml:space="preserve"> math</w:t>
      </w:r>
      <w:r>
        <w:br/>
      </w:r>
      <w:r>
        <w:br/>
      </w:r>
      <w:r>
        <w:rPr>
          <w:rStyle w:val="KeywordTok"/>
        </w:rPr>
        <w:t xml:space="preserve">class</w:t>
      </w:r>
      <w:r>
        <w:rPr>
          <w:rStyle w:val="NormalTok"/>
        </w:rPr>
        <w:t xml:space="preserve"> BloomFilter:</w:t>
      </w:r>
      <w:r>
        <w:br/>
      </w:r>
      <w:r>
        <w:rPr>
          <w:rStyle w:val="NormalTok"/>
        </w:rPr>
        <w:t xml:space="preserve">    </w:t>
      </w:r>
      <w:r>
        <w:rPr>
          <w:rStyle w:val="CommentTok"/>
        </w:rPr>
        <w:t xml:space="preserve">"""Standard Bloom filter using Kirsch-Mitzenmacher double hashing."""</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n_expected: </w:t>
      </w:r>
      <w:r>
        <w:rPr>
          <w:rStyle w:val="BuiltInTok"/>
        </w:rPr>
        <w:t xml:space="preserve">int</w:t>
      </w:r>
      <w:r>
        <w:rPr>
          <w:rStyle w:val="NormalTok"/>
        </w:rPr>
        <w:t xml:space="preserve">, fp_target: </w:t>
      </w:r>
      <w:r>
        <w:rPr>
          <w:rStyle w:val="BuiltInTok"/>
        </w:rPr>
        <w:t xml:space="preserve">float</w:t>
      </w:r>
      <w:r>
        <w:rPr>
          <w:rStyle w:val="NormalTok"/>
        </w:rPr>
        <w:t xml:space="preserve">):</w:t>
      </w:r>
      <w:r>
        <w:br/>
      </w:r>
      <w:r>
        <w:rPr>
          <w:rStyle w:val="NormalTok"/>
        </w:rPr>
        <w:t xml:space="preserve">        </w:t>
      </w:r>
      <w:r>
        <w:rPr>
          <w:rStyle w:val="CommentTok"/>
        </w:rPr>
        <w:t xml:space="preserve"># m = -n ln p / (ln 2)^2 ; k = (m / n) ln 2</w:t>
      </w:r>
      <w:r>
        <w:br/>
      </w:r>
      <w:r>
        <w:rPr>
          <w:rStyle w:val="NormalTok"/>
        </w:rPr>
        <w:t xml:space="preserve">        </w:t>
      </w:r>
      <w:r>
        <w:rPr>
          <w:rStyle w:val="VariableTok"/>
        </w:rPr>
        <w:t xml:space="preserve">self</w:t>
      </w:r>
      <w:r>
        <w:rPr>
          <w:rStyle w:val="NormalTok"/>
        </w:rPr>
        <w:t xml:space="preserve">.m </w:t>
      </w:r>
      <w:r>
        <w:rPr>
          <w:rStyle w:val="OperatorTok"/>
        </w:rPr>
        <w:t xml:space="preserve">=</w:t>
      </w:r>
      <w:r>
        <w:rPr>
          <w:rStyle w:val="NormalTok"/>
        </w:rPr>
        <w:t xml:space="preserve"> math.ceil(</w:t>
      </w:r>
      <w:r>
        <w:rPr>
          <w:rStyle w:val="OperatorTok"/>
        </w:rPr>
        <w:t xml:space="preserve">-</w:t>
      </w:r>
      <w:r>
        <w:rPr>
          <w:rStyle w:val="NormalTok"/>
        </w:rPr>
        <w:t xml:space="preserve">n_expected </w:t>
      </w:r>
      <w:r>
        <w:rPr>
          <w:rStyle w:val="OperatorTok"/>
        </w:rPr>
        <w:t xml:space="preserve">*</w:t>
      </w:r>
      <w:r>
        <w:rPr>
          <w:rStyle w:val="NormalTok"/>
        </w:rPr>
        <w:t xml:space="preserve"> math.log(fp_target) </w:t>
      </w:r>
      <w:r>
        <w:rPr>
          <w:rStyle w:val="OperatorTok"/>
        </w:rPr>
        <w:t xml:space="preserve">/</w:t>
      </w:r>
      <w:r>
        <w:rPr>
          <w:rStyle w:val="NormalTok"/>
        </w:rPr>
        <w:t xml:space="preserve"> math.log(</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VariableTok"/>
        </w:rPr>
        <w:t xml:space="preserve">self</w:t>
      </w:r>
      <w:r>
        <w:rPr>
          <w:rStyle w:val="NormalTok"/>
        </w:rPr>
        <w:t xml:space="preserve">.k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1</w:t>
      </w:r>
      <w:r>
        <w:rPr>
          <w:rStyle w:val="NormalTok"/>
        </w:rPr>
        <w:t xml:space="preserve">, </w:t>
      </w:r>
      <w:r>
        <w:rPr>
          <w:rStyle w:val="BuiltInTok"/>
        </w:rPr>
        <w:t xml:space="preserve">round</w:t>
      </w:r>
      <w:r>
        <w:rPr>
          <w:rStyle w:val="NormalTok"/>
        </w:rPr>
        <w:t xml:space="preserve">(</w:t>
      </w:r>
      <w:r>
        <w:rPr>
          <w:rStyle w:val="VariableTok"/>
        </w:rPr>
        <w:t xml:space="preserve">self</w:t>
      </w:r>
      <w:r>
        <w:rPr>
          <w:rStyle w:val="NormalTok"/>
        </w:rPr>
        <w:t xml:space="preserve">.m </w:t>
      </w:r>
      <w:r>
        <w:rPr>
          <w:rStyle w:val="OperatorTok"/>
        </w:rPr>
        <w:t xml:space="preserve">/</w:t>
      </w:r>
      <w:r>
        <w:rPr>
          <w:rStyle w:val="NormalTok"/>
        </w:rPr>
        <w:t xml:space="preserve"> n_expected </w:t>
      </w:r>
      <w:r>
        <w:rPr>
          <w:rStyle w:val="OperatorTok"/>
        </w:rPr>
        <w:t xml:space="preserve">*</w:t>
      </w:r>
      <w:r>
        <w:rPr>
          <w:rStyle w:val="NormalTok"/>
        </w:rPr>
        <w:t xml:space="preserve"> math.log(</w:t>
      </w:r>
      <w:r>
        <w:rPr>
          <w:rStyle w:val="DecValTok"/>
        </w:rPr>
        <w:t xml:space="preserve">2</w:t>
      </w:r>
      <w:r>
        <w:rPr>
          <w:rStyle w:val="NormalTok"/>
        </w:rPr>
        <w:t xml:space="preserve">)))</w:t>
      </w:r>
      <w:r>
        <w:br/>
      </w:r>
      <w:r>
        <w:rPr>
          <w:rStyle w:val="NormalTok"/>
        </w:rPr>
        <w:t xml:space="preserve">        </w:t>
      </w:r>
      <w:r>
        <w:rPr>
          <w:rStyle w:val="VariableTok"/>
        </w:rPr>
        <w:t xml:space="preserve">self</w:t>
      </w:r>
      <w:r>
        <w:rPr>
          <w:rStyle w:val="NormalTok"/>
        </w:rPr>
        <w:t xml:space="preserve">.bits </w:t>
      </w:r>
      <w:r>
        <w:rPr>
          <w:rStyle w:val="OperatorTok"/>
        </w:rPr>
        <w:t xml:space="preserve">=</w:t>
      </w:r>
      <w:r>
        <w:rPr>
          <w:rStyle w:val="NormalTok"/>
        </w:rPr>
        <w:t xml:space="preserve"> </w:t>
      </w:r>
      <w:r>
        <w:rPr>
          <w:rStyle w:val="BuiltInTok"/>
        </w:rPr>
        <w:t xml:space="preserve">bytearray</w:t>
      </w:r>
      <w:r>
        <w:rPr>
          <w:rStyle w:val="NormalTok"/>
        </w:rPr>
        <w:t xml:space="preserve">((</w:t>
      </w:r>
      <w:r>
        <w:rPr>
          <w:rStyle w:val="VariableTok"/>
        </w:rPr>
        <w:t xml:space="preserve">self</w:t>
      </w:r>
      <w:r>
        <w:rPr>
          <w:rStyle w:val="NormalTok"/>
        </w:rPr>
        <w:t xml:space="preserve">.m </w:t>
      </w:r>
      <w:r>
        <w:rPr>
          <w:rStyle w:val="OperatorTok"/>
        </w:rPr>
        <w:t xml:space="preserve">+</w:t>
      </w:r>
      <w:r>
        <w:rPr>
          <w:rStyle w:val="NormalTok"/>
        </w:rPr>
        <w:t xml:space="preserve"> </w:t>
      </w:r>
      <w:r>
        <w:rPr>
          <w:rStyle w:val="DecValTok"/>
        </w:rPr>
        <w:t xml:space="preserve">7</w:t>
      </w:r>
      <w:r>
        <w:rPr>
          <w:rStyle w:val="NormalTok"/>
        </w:rPr>
        <w:t xml:space="preserve">) </w:t>
      </w:r>
      <w:r>
        <w:rPr>
          <w:rStyle w:val="OperatorTok"/>
        </w:rPr>
        <w:t xml:space="preserve">//</w:t>
      </w:r>
      <w:r>
        <w:rPr>
          <w:rStyle w:val="NormalTok"/>
        </w:rPr>
        <w:t xml:space="preserve"> </w:t>
      </w:r>
      <w:r>
        <w:rPr>
          <w:rStyle w:val="DecValTok"/>
        </w:rPr>
        <w:t xml:space="preserve">8</w:t>
      </w:r>
      <w:r>
        <w:rPr>
          <w:rStyle w:val="NormalTok"/>
        </w:rPr>
        <w:t xml:space="preserve">)</w:t>
      </w:r>
      <w:r>
        <w:br/>
      </w:r>
      <w:r>
        <w:br/>
      </w:r>
      <w:r>
        <w:rPr>
          <w:rStyle w:val="NormalTok"/>
        </w:rPr>
        <w:t xml:space="preserve">    </w:t>
      </w:r>
      <w:r>
        <w:rPr>
          <w:rStyle w:val="KeywordTok"/>
        </w:rPr>
        <w:t xml:space="preserve">def</w:t>
      </w:r>
      <w:r>
        <w:rPr>
          <w:rStyle w:val="NormalTok"/>
        </w:rPr>
        <w:t xml:space="preserve"> _positions(</w:t>
      </w:r>
      <w:r>
        <w:rPr>
          <w:rStyle w:val="VariableTok"/>
        </w:rPr>
        <w:t xml:space="preserve">self</w:t>
      </w:r>
      <w:r>
        <w:rPr>
          <w:rStyle w:val="NormalTok"/>
        </w:rPr>
        <w:t xml:space="preserve">, item: </w:t>
      </w:r>
      <w:r>
        <w:rPr>
          <w:rStyle w:val="BuiltInTok"/>
        </w:rPr>
        <w:t xml:space="preserve">str</w:t>
      </w:r>
      <w:r>
        <w:rPr>
          <w:rStyle w:val="NormalTok"/>
        </w:rPr>
        <w:t xml:space="preserve">):</w:t>
      </w:r>
      <w:r>
        <w:br/>
      </w:r>
      <w:r>
        <w:rPr>
          <w:rStyle w:val="NormalTok"/>
        </w:rPr>
        <w:t xml:space="preserve">        digest </w:t>
      </w:r>
      <w:r>
        <w:rPr>
          <w:rStyle w:val="OperatorTok"/>
        </w:rPr>
        <w:t xml:space="preserve">=</w:t>
      </w:r>
      <w:r>
        <w:rPr>
          <w:rStyle w:val="NormalTok"/>
        </w:rPr>
        <w:t xml:space="preserve"> hashlib.blake2b(item.encode(), digest_size</w:t>
      </w:r>
      <w:r>
        <w:rPr>
          <w:rStyle w:val="OperatorTok"/>
        </w:rPr>
        <w:t xml:space="preserve">=</w:t>
      </w:r>
      <w:r>
        <w:rPr>
          <w:rStyle w:val="DecValTok"/>
        </w:rPr>
        <w:t xml:space="preserve">16</w:t>
      </w:r>
      <w:r>
        <w:rPr>
          <w:rStyle w:val="NormalTok"/>
        </w:rPr>
        <w:t xml:space="preserve">).digest()</w:t>
      </w:r>
      <w:r>
        <w:br/>
      </w:r>
      <w:r>
        <w:rPr>
          <w:rStyle w:val="NormalTok"/>
        </w:rPr>
        <w:t xml:space="preserve">        h1 </w:t>
      </w:r>
      <w:r>
        <w:rPr>
          <w:rStyle w:val="OperatorTok"/>
        </w:rPr>
        <w:t xml:space="preserve">=</w:t>
      </w:r>
      <w:r>
        <w:rPr>
          <w:rStyle w:val="NormalTok"/>
        </w:rPr>
        <w:t xml:space="preserve"> </w:t>
      </w:r>
      <w:r>
        <w:rPr>
          <w:rStyle w:val="BuiltInTok"/>
        </w:rPr>
        <w:t xml:space="preserve">int</w:t>
      </w:r>
      <w:r>
        <w:rPr>
          <w:rStyle w:val="NormalTok"/>
        </w:rPr>
        <w:t xml:space="preserve">.from_bytes(digest[:</w:t>
      </w:r>
      <w:r>
        <w:rPr>
          <w:rStyle w:val="DecValTok"/>
        </w:rPr>
        <w:t xml:space="preserve">8</w:t>
      </w:r>
      <w:r>
        <w:rPr>
          <w:rStyle w:val="NormalTok"/>
        </w:rPr>
        <w:t xml:space="preserve">], </w:t>
      </w:r>
      <w:r>
        <w:rPr>
          <w:rStyle w:val="StringTok"/>
        </w:rPr>
        <w:t xml:space="preserve">"little"</w:t>
      </w:r>
      <w:r>
        <w:rPr>
          <w:rStyle w:val="NormalTok"/>
        </w:rPr>
        <w:t xml:space="preserve">)</w:t>
      </w:r>
      <w:r>
        <w:br/>
      </w:r>
      <w:r>
        <w:rPr>
          <w:rStyle w:val="NormalTok"/>
        </w:rPr>
        <w:t xml:space="preserve">        h2 </w:t>
      </w:r>
      <w:r>
        <w:rPr>
          <w:rStyle w:val="OperatorTok"/>
        </w:rPr>
        <w:t xml:space="preserve">=</w:t>
      </w:r>
      <w:r>
        <w:rPr>
          <w:rStyle w:val="NormalTok"/>
        </w:rPr>
        <w:t xml:space="preserve"> </w:t>
      </w:r>
      <w:r>
        <w:rPr>
          <w:rStyle w:val="BuiltInTok"/>
        </w:rPr>
        <w:t xml:space="preserve">int</w:t>
      </w:r>
      <w:r>
        <w:rPr>
          <w:rStyle w:val="NormalTok"/>
        </w:rPr>
        <w:t xml:space="preserve">.from_bytes(digest[</w:t>
      </w:r>
      <w:r>
        <w:rPr>
          <w:rStyle w:val="DecValTok"/>
        </w:rPr>
        <w:t xml:space="preserve">8</w:t>
      </w:r>
      <w:r>
        <w:rPr>
          <w:rStyle w:val="NormalTok"/>
        </w:rPr>
        <w:t xml:space="preserve">:], </w:t>
      </w:r>
      <w:r>
        <w:rPr>
          <w:rStyle w:val="StringTok"/>
        </w:rPr>
        <w:t xml:space="preserve">"little"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odd, so it never sticks at h1</w:t>
      </w:r>
      <w:r>
        <w:br/>
      </w:r>
      <w:r>
        <w:rPr>
          <w:rStyle w:val="NormalTok"/>
        </w:rPr>
        <w:t xml:space="preserve">        </w:t>
      </w:r>
      <w:r>
        <w:rPr>
          <w:rStyle w:val="ControlFlowTok"/>
        </w:rPr>
        <w:t xml:space="preserve">return</w:t>
      </w:r>
      <w:r>
        <w:rPr>
          <w:rStyle w:val="NormalTok"/>
        </w:rPr>
        <w:t xml:space="preserve"> [(h1 </w:t>
      </w:r>
      <w:r>
        <w:rPr>
          <w:rStyle w:val="OperatorTok"/>
        </w:rPr>
        <w:t xml:space="preserve">+</w:t>
      </w:r>
      <w:r>
        <w:rPr>
          <w:rStyle w:val="NormalTok"/>
        </w:rPr>
        <w:t xml:space="preserve"> i </w:t>
      </w:r>
      <w:r>
        <w:rPr>
          <w:rStyle w:val="OperatorTok"/>
        </w:rPr>
        <w:t xml:space="preserve">*</w:t>
      </w:r>
      <w:r>
        <w:rPr>
          <w:rStyle w:val="NormalTok"/>
        </w:rPr>
        <w:t xml:space="preserve"> h2) </w:t>
      </w:r>
      <w:r>
        <w:rPr>
          <w:rStyle w:val="OperatorTok"/>
        </w:rPr>
        <w:t xml:space="preserve">%</w:t>
      </w:r>
      <w:r>
        <w:rPr>
          <w:rStyle w:val="NormalTok"/>
        </w:rPr>
        <w:t xml:space="preserve"> </w:t>
      </w:r>
      <w:r>
        <w:rPr>
          <w:rStyle w:val="VariableTok"/>
        </w:rPr>
        <w:t xml:space="preserve">self</w:t>
      </w:r>
      <w:r>
        <w:rPr>
          <w:rStyle w:val="NormalTok"/>
        </w:rPr>
        <w:t xml:space="preserve">.m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.k)]</w:t>
      </w:r>
      <w:r>
        <w:br/>
      </w:r>
      <w:r>
        <w:br/>
      </w:r>
      <w:r>
        <w:rPr>
          <w:rStyle w:val="NormalTok"/>
        </w:rPr>
        <w:t xml:space="preserve">    </w:t>
      </w:r>
      <w:r>
        <w:rPr>
          <w:rStyle w:val="KeywordTok"/>
        </w:rPr>
        <w:t xml:space="preserve">def</w:t>
      </w:r>
      <w:r>
        <w:rPr>
          <w:rStyle w:val="NormalTok"/>
        </w:rPr>
        <w:t xml:space="preserve"> add(</w:t>
      </w:r>
      <w:r>
        <w:rPr>
          <w:rStyle w:val="VariableTok"/>
        </w:rPr>
        <w:t xml:space="preserve">self</w:t>
      </w:r>
      <w:r>
        <w:rPr>
          <w:rStyle w:val="NormalTok"/>
        </w:rPr>
        <w:t xml:space="preserve">, item: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for</w:t>
      </w:r>
      <w:r>
        <w:rPr>
          <w:rStyle w:val="NormalTok"/>
        </w:rPr>
        <w:t xml:space="preserve"> pos </w:t>
      </w:r>
      <w:r>
        <w:rPr>
          <w:rStyle w:val="KeywordTok"/>
        </w:rPr>
        <w:t xml:space="preserve">in</w:t>
      </w:r>
      <w:r>
        <w:rPr>
          <w:rStyle w:val="NormalTok"/>
        </w:rPr>
        <w:t xml:space="preserve"> </w:t>
      </w:r>
      <w:r>
        <w:rPr>
          <w:rStyle w:val="VariableTok"/>
        </w:rPr>
        <w:t xml:space="preserve">self</w:t>
      </w:r>
      <w:r>
        <w:rPr>
          <w:rStyle w:val="NormalTok"/>
        </w:rPr>
        <w:t xml:space="preserve">._positions(item):</w:t>
      </w:r>
      <w:r>
        <w:br/>
      </w:r>
      <w:r>
        <w:rPr>
          <w:rStyle w:val="NormalTok"/>
        </w:rPr>
        <w:t xml:space="preserve">            </w:t>
      </w:r>
      <w:r>
        <w:rPr>
          <w:rStyle w:val="VariableTok"/>
        </w:rPr>
        <w:t xml:space="preserve">self</w:t>
      </w:r>
      <w:r>
        <w:rPr>
          <w:rStyle w:val="NormalTok"/>
        </w:rPr>
        <w:t xml:space="preserve">.bits[pos </w:t>
      </w:r>
      <w:r>
        <w:rPr>
          <w:rStyle w:val="OperatorTok"/>
        </w:rPr>
        <w:t xml:space="preserve">&gt;&gt;</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&lt;&lt;</w:t>
      </w:r>
      <w:r>
        <w:rPr>
          <w:rStyle w:val="NormalTok"/>
        </w:rPr>
        <w:t xml:space="preserve"> (pos </w:t>
      </w:r>
      <w:r>
        <w:rPr>
          <w:rStyle w:val="OperatorTok"/>
        </w:rPr>
        <w:t xml:space="preserve">&amp;</w:t>
      </w:r>
      <w:r>
        <w:rPr>
          <w:rStyle w:val="NormalTok"/>
        </w:rPr>
        <w:t xml:space="preserve"> </w:t>
      </w:r>
      <w:r>
        <w:rPr>
          <w:rStyle w:val="DecValTok"/>
        </w:rPr>
        <w:t xml:space="preserve">7</w:t>
      </w:r>
      <w:r>
        <w:rPr>
          <w:rStyle w:val="NormalTok"/>
        </w:rPr>
        <w:t xml:space="preserve">)</w:t>
      </w:r>
      <w:r>
        <w:br/>
      </w:r>
      <w:r>
        <w:br/>
      </w:r>
      <w:r>
        <w:rPr>
          <w:rStyle w:val="NormalTok"/>
        </w:rPr>
        <w:t xml:space="preserve">    </w:t>
      </w:r>
      <w:r>
        <w:rPr>
          <w:rStyle w:val="KeywordTok"/>
        </w:rPr>
        <w:t xml:space="preserve">def</w:t>
      </w:r>
      <w:r>
        <w:rPr>
          <w:rStyle w:val="NormalTok"/>
        </w:rPr>
        <w:t xml:space="preserve"> </w:t>
      </w:r>
      <w:r>
        <w:rPr>
          <w:rStyle w:val="FunctionTok"/>
        </w:rPr>
        <w:t xml:space="preserve">__contains__</w:t>
      </w:r>
      <w:r>
        <w:rPr>
          <w:rStyle w:val="NormalTok"/>
        </w:rPr>
        <w:t xml:space="preserve">(</w:t>
      </w:r>
      <w:r>
        <w:rPr>
          <w:rStyle w:val="VariableTok"/>
        </w:rPr>
        <w:t xml:space="preserve">self</w:t>
      </w:r>
      <w:r>
        <w:rPr>
          <w:rStyle w:val="NormalTok"/>
        </w:rPr>
        <w:t xml:space="preserve">, item: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all</w:t>
      </w:r>
      <w:r>
        <w:rPr>
          <w:rStyle w:val="NormalTok"/>
        </w:rPr>
        <w:t xml:space="preserve">(</w:t>
      </w:r>
      <w:r>
        <w:rPr>
          <w:rStyle w:val="VariableTok"/>
        </w:rPr>
        <w:t xml:space="preserve">self</w:t>
      </w:r>
      <w:r>
        <w:rPr>
          <w:rStyle w:val="NormalTok"/>
        </w:rPr>
        <w:t xml:space="preserve">.bits[pos </w:t>
      </w:r>
      <w:r>
        <w:rPr>
          <w:rStyle w:val="OperatorTok"/>
        </w:rPr>
        <w:t xml:space="preserve">&gt;&gt;</w:t>
      </w:r>
      <w:r>
        <w:rPr>
          <w:rStyle w:val="NormalTok"/>
        </w:rPr>
        <w:t xml:space="preserve"> </w:t>
      </w:r>
      <w:r>
        <w:rPr>
          <w:rStyle w:val="DecValTok"/>
        </w:rPr>
        <w:t xml:space="preserve">3</w:t>
      </w:r>
      <w:r>
        <w:rPr>
          <w:rStyle w:val="NormalTok"/>
        </w:rPr>
        <w:t xml:space="preserve">] </w:t>
      </w:r>
      <w:r>
        <w:rPr>
          <w:rStyle w:val="OperatorTok"/>
        </w:rPr>
        <w:t xml:space="preserve">&amp;</w:t>
      </w:r>
      <w:r>
        <w:rPr>
          <w:rStyle w:val="NormalTok"/>
        </w:rPr>
        <w:t xml:space="preserve"> (</w:t>
      </w:r>
      <w:r>
        <w:rPr>
          <w:rStyle w:val="DecValTok"/>
        </w:rPr>
        <w:t xml:space="preserve">1</w:t>
      </w:r>
      <w:r>
        <w:rPr>
          <w:rStyle w:val="NormalTok"/>
        </w:rPr>
        <w:t xml:space="preserve"> </w:t>
      </w:r>
      <w:r>
        <w:rPr>
          <w:rStyle w:val="OperatorTok"/>
        </w:rPr>
        <w:t xml:space="preserve">&lt;&lt;</w:t>
      </w:r>
      <w:r>
        <w:rPr>
          <w:rStyle w:val="NormalTok"/>
        </w:rPr>
        <w:t xml:space="preserve"> (pos </w:t>
      </w:r>
      <w:r>
        <w:rPr>
          <w:rStyle w:val="OperatorTok"/>
        </w:rPr>
        <w:t xml:space="preserve">&amp;</w:t>
      </w:r>
      <w:r>
        <w:rPr>
          <w:rStyle w:val="NormalTok"/>
        </w:rPr>
        <w:t xml:space="preserve"> </w:t>
      </w:r>
      <w:r>
        <w:rPr>
          <w:rStyle w:val="DecValTok"/>
        </w:rPr>
        <w:t xml:space="preserve">7</w:t>
      </w:r>
      <w:r>
        <w:rPr>
          <w:rStyle w:val="NormalTok"/>
        </w:rPr>
        <w:t xml:space="preserve">)) </w:t>
      </w:r>
      <w:r>
        <w:rPr>
          <w:rStyle w:val="ControlFlowTok"/>
        </w:rPr>
        <w:t xml:space="preserve">for</w:t>
      </w:r>
      <w:r>
        <w:rPr>
          <w:rStyle w:val="NormalTok"/>
        </w:rPr>
        <w:t xml:space="preserve"> pos </w:t>
      </w:r>
      <w:r>
        <w:rPr>
          <w:rStyle w:val="KeywordTok"/>
        </w:rPr>
        <w:t xml:space="preserve">in</w:t>
      </w:r>
      <w:r>
        <w:rPr>
          <w:rStyle w:val="NormalTok"/>
        </w:rPr>
        <w:t xml:space="preserve"> </w:t>
      </w:r>
      <w:r>
        <w:rPr>
          <w:rStyle w:val="VariableTok"/>
        </w:rPr>
        <w:t xml:space="preserve">self</w:t>
      </w:r>
      <w:r>
        <w:rPr>
          <w:rStyle w:val="NormalTok"/>
        </w:rPr>
        <w:t xml:space="preserve">._positions(item))</w:t>
      </w:r>
      <w:r>
        <w:br/>
      </w:r>
      <w:r>
        <w:br/>
      </w:r>
      <w:r>
        <w:rPr>
          <w:rStyle w:val="KeywordTok"/>
        </w:rPr>
        <w:t xml:space="preserve">def</w:t>
      </w:r>
      <w:r>
        <w:rPr>
          <w:rStyle w:val="NormalTok"/>
        </w:rPr>
        <w:t xml:space="preserve"> predicted_fp(m: </w:t>
      </w:r>
      <w:r>
        <w:rPr>
          <w:rStyle w:val="BuiltInTok"/>
        </w:rPr>
        <w:t xml:space="preserve">int</w:t>
      </w:r>
      <w:r>
        <w:rPr>
          <w:rStyle w:val="NormalTok"/>
        </w:rPr>
        <w:t xml:space="preserve">, n: </w:t>
      </w:r>
      <w:r>
        <w:rPr>
          <w:rStyle w:val="BuiltInTok"/>
        </w:rPr>
        <w:t xml:space="preserve">int</w:t>
      </w:r>
      <w:r>
        <w:rPr>
          <w:rStyle w:val="NormalTok"/>
        </w:rPr>
        <w:t xml:space="preserve">, k: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math.exp(</w:t>
      </w:r>
      <w:r>
        <w:rPr>
          <w:rStyle w:val="OperatorTok"/>
        </w:rPr>
        <w:t xml:space="preserve">-</w:t>
      </w:r>
      <w:r>
        <w:rPr>
          <w:rStyle w:val="NormalTok"/>
        </w:rPr>
        <w:t xml:space="preserve">k </w:t>
      </w:r>
      <w:r>
        <w:rPr>
          <w:rStyle w:val="OperatorTok"/>
        </w:rPr>
        <w:t xml:space="preserve">*</w:t>
      </w:r>
      <w:r>
        <w:rPr>
          <w:rStyle w:val="NormalTok"/>
        </w:rPr>
        <w:t xml:space="preserve"> n </w:t>
      </w:r>
      <w:r>
        <w:rPr>
          <w:rStyle w:val="OperatorTok"/>
        </w:rPr>
        <w:t xml:space="preserve">/</w:t>
      </w:r>
      <w:r>
        <w:rPr>
          <w:rStyle w:val="NormalTok"/>
        </w:rPr>
        <w:t xml:space="preserve"> m)) </w:t>
      </w:r>
      <w:r>
        <w:rPr>
          <w:rStyle w:val="OperatorTok"/>
        </w:rPr>
        <w:t xml:space="preserve">**</w:t>
      </w:r>
      <w:r>
        <w:rPr>
          <w:rStyle w:val="NormalTok"/>
        </w:rPr>
        <w:t xml:space="preserve"> k</w:t>
      </w:r>
      <w:r>
        <w:br/>
      </w:r>
      <w:r>
        <w:br/>
      </w:r>
      <w:r>
        <w:rPr>
          <w:rStyle w:val="NormalTok"/>
        </w:rPr>
        <w:t xml:space="preserve">n, probes </w:t>
      </w:r>
      <w:r>
        <w:rPr>
          <w:rStyle w:val="OperatorTok"/>
        </w:rPr>
        <w:t xml:space="preserve">=</w:t>
      </w:r>
      <w:r>
        <w:rPr>
          <w:rStyle w:val="NormalTok"/>
        </w:rPr>
        <w:t xml:space="preserve"> </w:t>
      </w:r>
      <w:r>
        <w:rPr>
          <w:rStyle w:val="DecValTok"/>
        </w:rPr>
        <w:t xml:space="preserve">100_000</w:t>
      </w:r>
      <w:r>
        <w:rPr>
          <w:rStyle w:val="NormalTok"/>
        </w:rPr>
        <w:t xml:space="preserve">, </w:t>
      </w:r>
      <w:r>
        <w:rPr>
          <w:rStyle w:val="DecValTok"/>
        </w:rPr>
        <w:t xml:space="preserve">1_000_000</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'target p'</w:t>
      </w:r>
      <w:r>
        <w:rPr>
          <w:rStyle w:val="SpecialCharTok"/>
        </w:rPr>
        <w:t xml:space="preserve">:&gt;9}</w:t>
      </w:r>
      <w:r>
        <w:rPr>
          <w:rStyle w:val="SpecialStringTok"/>
        </w:rPr>
        <w:t xml:space="preserve"> </w:t>
      </w:r>
      <w:r>
        <w:rPr>
          <w:rStyle w:val="SpecialCharTok"/>
        </w:rPr>
        <w:t xml:space="preserve">{</w:t>
      </w:r>
      <w:r>
        <w:rPr>
          <w:rStyle w:val="StringTok"/>
        </w:rPr>
        <w:t xml:space="preserve">'m (bits)'</w:t>
      </w:r>
      <w:r>
        <w:rPr>
          <w:rStyle w:val="SpecialCharTok"/>
        </w:rPr>
        <w:t xml:space="preserve">:&gt;10}</w:t>
      </w:r>
      <w:r>
        <w:rPr>
          <w:rStyle w:val="SpecialStringTok"/>
        </w:rPr>
        <w:t xml:space="preserve"> </w:t>
      </w:r>
      <w:r>
        <w:rPr>
          <w:rStyle w:val="SpecialCharTok"/>
        </w:rPr>
        <w:t xml:space="preserve">{</w:t>
      </w:r>
      <w:r>
        <w:rPr>
          <w:rStyle w:val="StringTok"/>
        </w:rPr>
        <w:t xml:space="preserve">'bits/item'</w:t>
      </w:r>
      <w:r>
        <w:rPr>
          <w:rStyle w:val="SpecialCharTok"/>
        </w:rPr>
        <w:t xml:space="preserve">:&gt;9}</w:t>
      </w:r>
      <w:r>
        <w:rPr>
          <w:rStyle w:val="SpecialStringTok"/>
        </w:rPr>
        <w:t xml:space="preserve"> </w:t>
      </w:r>
      <w:r>
        <w:rPr>
          <w:rStyle w:val="SpecialCharTok"/>
        </w:rPr>
        <w:t xml:space="preserve">{</w:t>
      </w:r>
      <w:r>
        <w:rPr>
          <w:rStyle w:val="StringTok"/>
        </w:rPr>
        <w:t xml:space="preserve">'k'</w:t>
      </w:r>
      <w:r>
        <w:rPr>
          <w:rStyle w:val="SpecialCharTok"/>
        </w:rPr>
        <w:t xml:space="preserve">:&gt;3}</w:t>
      </w:r>
      <w:r>
        <w:rPr>
          <w:rStyle w:val="SpecialStringTok"/>
        </w:rPr>
        <w:t xml:space="preserve"> </w:t>
      </w:r>
      <w:r>
        <w:rPr>
          <w:rStyle w:val="SpecialCharTok"/>
        </w:rPr>
        <w:t xml:space="preserve">{</w:t>
      </w:r>
      <w:r>
        <w:rPr>
          <w:rStyle w:val="StringTok"/>
        </w:rPr>
        <w:t xml:space="preserve">'predicted'</w:t>
      </w:r>
      <w:r>
        <w:rPr>
          <w:rStyle w:val="SpecialCharTok"/>
        </w:rPr>
        <w:t xml:space="preserve">:&gt;10}</w:t>
      </w:r>
      <w:r>
        <w:rPr>
          <w:rStyle w:val="SpecialStringTok"/>
        </w:rPr>
        <w:t xml:space="preserve"> </w:t>
      </w:r>
      <w:r>
        <w:rPr>
          <w:rStyle w:val="SpecialCharTok"/>
        </w:rPr>
        <w:t xml:space="preserve">{</w:t>
      </w:r>
      <w:r>
        <w:rPr>
          <w:rStyle w:val="StringTok"/>
        </w:rPr>
        <w:t xml:space="preserve">'measured'</w:t>
      </w:r>
      <w:r>
        <w:rPr>
          <w:rStyle w:val="SpecialCharTok"/>
        </w:rPr>
        <w:t xml:space="preserve">:&gt;10}</w:t>
      </w:r>
      <w:r>
        <w:rPr>
          <w:rStyle w:val="SpecialStringTok"/>
        </w:rPr>
        <w:t xml:space="preserve">"</w:t>
      </w:r>
      <w:r>
        <w:rPr>
          <w:rStyle w:val="NormalTok"/>
        </w:rPr>
        <w:t xml:space="preserve">)</w:t>
      </w:r>
      <w:r>
        <w:br/>
      </w:r>
      <w:r>
        <w:rPr>
          <w:rStyle w:val="ControlFlowTok"/>
        </w:rPr>
        <w:t xml:space="preserve">for</w:t>
      </w:r>
      <w:r>
        <w:rPr>
          <w:rStyle w:val="NormalTok"/>
        </w:rPr>
        <w:t xml:space="preserve"> target </w:t>
      </w:r>
      <w:r>
        <w:rPr>
          <w:rStyle w:val="KeywordTok"/>
        </w:rPr>
        <w:t xml:space="preserve">in</w:t>
      </w:r>
      <w:r>
        <w:rPr>
          <w:rStyle w:val="NormalTok"/>
        </w:rPr>
        <w:t xml:space="preserve"> (</w:t>
      </w:r>
      <w:r>
        <w:rPr>
          <w:rStyle w:val="FloatTok"/>
        </w:rPr>
        <w:t xml:space="preserve">0.05</w:t>
      </w:r>
      <w:r>
        <w:rPr>
          <w:rStyle w:val="NormalTok"/>
        </w:rPr>
        <w:t xml:space="preserve">, </w:t>
      </w:r>
      <w:r>
        <w:rPr>
          <w:rStyle w:val="FloatTok"/>
        </w:rPr>
        <w:t xml:space="preserve">0.01</w:t>
      </w:r>
      <w:r>
        <w:rPr>
          <w:rStyle w:val="NormalTok"/>
        </w:rPr>
        <w:t xml:space="preserve">, </w:t>
      </w:r>
      <w:r>
        <w:rPr>
          <w:rStyle w:val="FloatTok"/>
        </w:rPr>
        <w:t xml:space="preserve">0.001</w:t>
      </w:r>
      <w:r>
        <w:rPr>
          <w:rStyle w:val="NormalTok"/>
        </w:rPr>
        <w:t xml:space="preserve">):</w:t>
      </w:r>
      <w:r>
        <w:br/>
      </w:r>
      <w:r>
        <w:rPr>
          <w:rStyle w:val="NormalTok"/>
        </w:rPr>
        <w:t xml:space="preserve">    bf </w:t>
      </w:r>
      <w:r>
        <w:rPr>
          <w:rStyle w:val="OperatorTok"/>
        </w:rPr>
        <w:t xml:space="preserve">=</w:t>
      </w:r>
      <w:r>
        <w:rPr>
          <w:rStyle w:val="NormalTok"/>
        </w:rPr>
        <w:t xml:space="preserve"> BloomFilter(n, target)</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bf.add(</w:t>
      </w:r>
      <w:r>
        <w:rPr>
          <w:rStyle w:val="SpecialStringTok"/>
        </w:rPr>
        <w:t xml:space="preserve">f"member-</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BuiltInTok"/>
        </w:rPr>
        <w:t xml:space="preserve">all</w:t>
      </w:r>
      <w:r>
        <w:rPr>
          <w:rStyle w:val="NormalTok"/>
        </w:rPr>
        <w:t xml:space="preserve">(</w:t>
      </w:r>
      <w:r>
        <w:rPr>
          <w:rStyle w:val="SpecialStringTok"/>
        </w:rPr>
        <w:t xml:space="preserve">f"member-</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KeywordTok"/>
        </w:rPr>
        <w:t xml:space="preserve">in</w:t>
      </w:r>
      <w:r>
        <w:rPr>
          <w:rStyle w:val="NormalTok"/>
        </w:rPr>
        <w:t xml:space="preserve"> bf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    </w:t>
      </w:r>
      <w:r>
        <w:rPr>
          <w:rStyle w:val="CommentTok"/>
        </w:rPr>
        <w:t xml:space="preserve"># no false negatives, ever</w:t>
      </w:r>
      <w:r>
        <w:br/>
      </w:r>
      <w:r>
        <w:rPr>
          <w:rStyle w:val="NormalTok"/>
        </w:rPr>
        <w:t xml:space="preserve">    fps </w:t>
      </w:r>
      <w:r>
        <w:rPr>
          <w:rStyle w:val="OperatorTok"/>
        </w:rPr>
        <w:t xml:space="preserve">=</w:t>
      </w:r>
      <w:r>
        <w:rPr>
          <w:rStyle w:val="NormalTok"/>
        </w:rPr>
        <w:t xml:space="preserve"> </w:t>
      </w:r>
      <w:r>
        <w:rPr>
          <w:rStyle w:val="BuiltInTok"/>
        </w:rPr>
        <w:t xml:space="preserve">sum</w:t>
      </w:r>
      <w:r>
        <w:rPr>
          <w:rStyle w:val="NormalTok"/>
        </w:rPr>
        <w:t xml:space="preserve">(</w:t>
      </w:r>
      <w:r>
        <w:rPr>
          <w:rStyle w:val="SpecialStringTok"/>
        </w:rPr>
        <w:t xml:space="preserve">f"stranger-</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KeywordTok"/>
        </w:rPr>
        <w:t xml:space="preserve">in</w:t>
      </w:r>
      <w:r>
        <w:rPr>
          <w:rStyle w:val="NormalTok"/>
        </w:rPr>
        <w:t xml:space="preserve"> bf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(probes))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target</w:t>
      </w:r>
      <w:r>
        <w:rPr>
          <w:rStyle w:val="SpecialCharTok"/>
        </w:rPr>
        <w:t xml:space="preserve">:9.3f}</w:t>
      </w:r>
      <w:r>
        <w:rPr>
          <w:rStyle w:val="SpecialStringTok"/>
        </w:rPr>
        <w:t xml:space="preserve"> </w:t>
      </w:r>
      <w:r>
        <w:rPr>
          <w:rStyle w:val="SpecialCharTok"/>
        </w:rPr>
        <w:t xml:space="preserve">{</w:t>
      </w:r>
      <w:r>
        <w:rPr>
          <w:rStyle w:val="NormalTok"/>
        </w:rPr>
        <w:t xml:space="preserve">bf</w:t>
      </w:r>
      <w:r>
        <w:rPr>
          <w:rStyle w:val="SpecialCharTok"/>
        </w:rPr>
        <w:t xml:space="preserve">.</w:t>
      </w:r>
      <w:r>
        <w:rPr>
          <w:rStyle w:val="NormalTok"/>
        </w:rPr>
        <w:t xml:space="preserve">m</w:t>
      </w:r>
      <w:r>
        <w:rPr>
          <w:rStyle w:val="SpecialCharTok"/>
        </w:rPr>
        <w:t xml:space="preserve">:10d}</w:t>
      </w:r>
      <w:r>
        <w:rPr>
          <w:rStyle w:val="SpecialStringTok"/>
        </w:rPr>
        <w:t xml:space="preserve"> </w:t>
      </w:r>
      <w:r>
        <w:rPr>
          <w:rStyle w:val="SpecialCharTok"/>
        </w:rPr>
        <w:t xml:space="preserve">{</w:t>
      </w:r>
      <w:r>
        <w:rPr>
          <w:rStyle w:val="NormalTok"/>
        </w:rPr>
        <w:t xml:space="preserve">bf</w:t>
      </w:r>
      <w:r>
        <w:rPr>
          <w:rStyle w:val="SpecialCharTok"/>
        </w:rPr>
        <w:t xml:space="preserve">.</w:t>
      </w:r>
      <w:r>
        <w:rPr>
          <w:rStyle w:val="NormalTok"/>
        </w:rPr>
        <w:t xml:space="preserve">m </w:t>
      </w:r>
      <w:r>
        <w:rPr>
          <w:rStyle w:val="OperatorTok"/>
        </w:rPr>
        <w:t xml:space="preserve">/</w:t>
      </w:r>
      <w:r>
        <w:rPr>
          <w:rStyle w:val="NormalTok"/>
        </w:rPr>
        <w:t xml:space="preserve"> n</w:t>
      </w:r>
      <w:r>
        <w:rPr>
          <w:rStyle w:val="SpecialCharTok"/>
        </w:rPr>
        <w:t xml:space="preserve">:9.2f}</w:t>
      </w:r>
      <w:r>
        <w:rPr>
          <w:rStyle w:val="SpecialStringTok"/>
        </w:rPr>
        <w:t xml:space="preserve"> </w:t>
      </w:r>
      <w:r>
        <w:rPr>
          <w:rStyle w:val="SpecialCharTok"/>
        </w:rPr>
        <w:t xml:space="preserve">{</w:t>
      </w:r>
      <w:r>
        <w:rPr>
          <w:rStyle w:val="NormalTok"/>
        </w:rPr>
        <w:t xml:space="preserve">bf</w:t>
      </w:r>
      <w:r>
        <w:rPr>
          <w:rStyle w:val="SpecialCharTok"/>
        </w:rPr>
        <w:t xml:space="preserve">.</w:t>
      </w:r>
      <w:r>
        <w:rPr>
          <w:rStyle w:val="NormalTok"/>
        </w:rPr>
        <w:t xml:space="preserve">k</w:t>
      </w:r>
      <w:r>
        <w:rPr>
          <w:rStyle w:val="SpecialCharTok"/>
        </w:rPr>
        <w:t xml:space="preserve">:3d}</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predicted_fp(bf.m, n, bf.k)</w:t>
      </w:r>
      <w:r>
        <w:rPr>
          <w:rStyle w:val="SpecialCharTok"/>
        </w:rPr>
        <w:t xml:space="preserve">:10.5f}</w:t>
      </w:r>
      <w:r>
        <w:rPr>
          <w:rStyle w:val="SpecialStringTok"/>
        </w:rPr>
        <w:t xml:space="preserve"> </w:t>
      </w:r>
      <w:r>
        <w:rPr>
          <w:rStyle w:val="SpecialCharTok"/>
        </w:rPr>
        <w:t xml:space="preserve">{</w:t>
      </w:r>
      <w:r>
        <w:rPr>
          <w:rStyle w:val="NormalTok"/>
        </w:rPr>
        <w:t xml:space="preserve">fps </w:t>
      </w:r>
      <w:r>
        <w:rPr>
          <w:rStyle w:val="OperatorTok"/>
        </w:rPr>
        <w:t xml:space="preserve">/</w:t>
      </w:r>
      <w:r>
        <w:rPr>
          <w:rStyle w:val="NormalTok"/>
        </w:rPr>
        <w:t xml:space="preserve"> probes</w:t>
      </w:r>
      <w:r>
        <w:rPr>
          <w:rStyle w:val="SpecialCharTok"/>
        </w:rPr>
        <w:t xml:space="preserve">:10.5f}</w:t>
      </w:r>
      <w:r>
        <w:rPr>
          <w:rStyle w:val="SpecialStringTok"/>
        </w:rPr>
        <w:t xml:space="preserve">"</w:t>
      </w:r>
      <w:r>
        <w:rPr>
          <w:rStyle w:val="NormalTok"/>
        </w:rPr>
        <w:t xml:space="preserve">)</w:t>
      </w:r>
      <w:r>
        <w:br/>
      </w:r>
      <w:r>
        <w:br/>
      </w:r>
      <w:r>
        <w:rPr>
          <w:rStyle w:val="CommentTok"/>
        </w:rPr>
        <w:t xml:space="preserve"># What happens if you insert 3x more items than the filter was sized for?</w:t>
      </w:r>
      <w:r>
        <w:br/>
      </w:r>
      <w:r>
        <w:rPr>
          <w:rStyle w:val="NormalTok"/>
        </w:rPr>
        <w:t xml:space="preserve">bf </w:t>
      </w:r>
      <w:r>
        <w:rPr>
          <w:rStyle w:val="OperatorTok"/>
        </w:rPr>
        <w:t xml:space="preserve">=</w:t>
      </w:r>
      <w:r>
        <w:rPr>
          <w:rStyle w:val="NormalTok"/>
        </w:rPr>
        <w:t xml:space="preserve"> BloomFilter(n, </w:t>
      </w:r>
      <w:r>
        <w:rPr>
          <w:rStyle w:val="FloatTok"/>
        </w:rPr>
        <w:t xml:space="preserve">0.01</w:t>
      </w:r>
      <w:r>
        <w:rPr>
          <w:rStyle w:val="NormalTok"/>
        </w:rPr>
        <w:t xml:space="preserve">)</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 </w:t>
      </w:r>
      <w:r>
        <w:rPr>
          <w:rStyle w:val="OperatorTok"/>
        </w:rPr>
        <w:t xml:space="preserve">*</w:t>
      </w:r>
      <w:r>
        <w:rPr>
          <w:rStyle w:val="NormalTok"/>
        </w:rPr>
        <w:t xml:space="preserve"> n):</w:t>
      </w:r>
      <w:r>
        <w:br/>
      </w:r>
      <w:r>
        <w:rPr>
          <w:rStyle w:val="NormalTok"/>
        </w:rPr>
        <w:t xml:space="preserve">    bf.add(</w:t>
      </w:r>
      <w:r>
        <w:rPr>
          <w:rStyle w:val="SpecialStringTok"/>
        </w:rPr>
        <w:t xml:space="preserve">f"member-</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w:t>
      </w:r>
      <w:r>
        <w:br/>
      </w:r>
      <w:r>
        <w:rPr>
          <w:rStyle w:val="NormalTok"/>
        </w:rPr>
        <w:t xml:space="preserve">fps </w:t>
      </w:r>
      <w:r>
        <w:rPr>
          <w:rStyle w:val="OperatorTok"/>
        </w:rPr>
        <w:t xml:space="preserve">=</w:t>
      </w:r>
      <w:r>
        <w:rPr>
          <w:rStyle w:val="NormalTok"/>
        </w:rPr>
        <w:t xml:space="preserve"> </w:t>
      </w:r>
      <w:r>
        <w:rPr>
          <w:rStyle w:val="BuiltInTok"/>
        </w:rPr>
        <w:t xml:space="preserve">sum</w:t>
      </w:r>
      <w:r>
        <w:rPr>
          <w:rStyle w:val="NormalTok"/>
        </w:rPr>
        <w:t xml:space="preserve">(</w:t>
      </w:r>
      <w:r>
        <w:rPr>
          <w:rStyle w:val="SpecialStringTok"/>
        </w:rPr>
        <w:t xml:space="preserve">f"stranger-</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KeywordTok"/>
        </w:rPr>
        <w:t xml:space="preserve">in</w:t>
      </w:r>
      <w:r>
        <w:rPr>
          <w:rStyle w:val="NormalTok"/>
        </w:rPr>
        <w:t xml:space="preserve"> bf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(probes))</w:t>
      </w:r>
      <w:r>
        <w:br/>
      </w:r>
      <w:r>
        <w:rPr>
          <w:rStyle w:val="BuiltInTok"/>
        </w:rPr>
        <w:t xml:space="preserve">print</w:t>
      </w:r>
      <w:r>
        <w:rPr>
          <w:rStyle w:val="NormalTok"/>
        </w:rPr>
        <w:t xml:space="preserve">(</w:t>
      </w:r>
      <w:r>
        <w:rPr>
          <w:rStyle w:val="SpecialStringTok"/>
        </w:rPr>
        <w:t xml:space="preserve">f"overfilled 3x: predicted </w:t>
      </w:r>
      <w:r>
        <w:rPr>
          <w:rStyle w:val="SpecialCharTok"/>
        </w:rPr>
        <w:t xml:space="preserve">{</w:t>
      </w:r>
      <w:r>
        <w:rPr>
          <w:rStyle w:val="NormalTok"/>
        </w:rPr>
        <w:t xml:space="preserve">predicted_fp(bf.m, </w:t>
      </w:r>
      <w:r>
        <w:rPr>
          <w:rStyle w:val="DecValTok"/>
        </w:rPr>
        <w:t xml:space="preserve">3</w:t>
      </w:r>
      <w:r>
        <w:rPr>
          <w:rStyle w:val="NormalTok"/>
        </w:rPr>
        <w:t xml:space="preserve"> </w:t>
      </w:r>
      <w:r>
        <w:rPr>
          <w:rStyle w:val="OperatorTok"/>
        </w:rPr>
        <w:t xml:space="preserve">*</w:t>
      </w:r>
      <w:r>
        <w:rPr>
          <w:rStyle w:val="NormalTok"/>
        </w:rPr>
        <w:t xml:space="preserve"> n, bf.k)</w:t>
      </w:r>
      <w:r>
        <w:rPr>
          <w:rStyle w:val="SpecialCharTok"/>
        </w:rPr>
        <w:t xml:space="preserve">:.4f}</w:t>
      </w:r>
      <w:r>
        <w:rPr>
          <w:rStyle w:val="SpecialStringTok"/>
        </w:rPr>
        <w:t xml:space="preserve">, measured </w:t>
      </w:r>
      <w:r>
        <w:rPr>
          <w:rStyle w:val="SpecialCharTok"/>
        </w:rPr>
        <w:t xml:space="preserve">{</w:t>
      </w:r>
      <w:r>
        <w:rPr>
          <w:rStyle w:val="NormalTok"/>
        </w:rPr>
        <w:t xml:space="preserve">fps </w:t>
      </w:r>
      <w:r>
        <w:rPr>
          <w:rStyle w:val="OperatorTok"/>
        </w:rPr>
        <w:t xml:space="preserve">/</w:t>
      </w:r>
      <w:r>
        <w:rPr>
          <w:rStyle w:val="NormalTok"/>
        </w:rPr>
        <w:t xml:space="preserve"> probes</w:t>
      </w:r>
      <w:r>
        <w:rPr>
          <w:rStyle w:val="SpecialCharTok"/>
        </w:rPr>
        <w:t xml:space="preserve">:.4f}</w:t>
      </w:r>
      <w:r>
        <w:rPr>
          <w:rStyle w:val="SpecialStringTok"/>
        </w:rPr>
        <w:t xml:space="preserve">"</w:t>
      </w:r>
      <w:r>
        <w:rPr>
          <w:rStyle w:val="NormalTok"/>
        </w:rPr>
        <w:t xml:space="preserve">)</w:t>
      </w:r>
    </w:p>
    <w:p>
      <w:pPr>
        <w:pStyle w:val="FirstParagraph"/>
      </w:pPr>
      <w:r>
        <w:t xml:space="preserve">Output:</w:t>
      </w:r>
    </w:p>
    <w:p>
      <w:pPr>
        <w:pStyle w:val="SourceCode"/>
      </w:pPr>
      <w:r>
        <w:rPr>
          <w:rStyle w:val="VerbatimChar"/>
        </w:rPr>
        <w:t xml:space="preserve"> target p   m (bits) bits/item   k  predicted   measured</w:t>
      </w:r>
      <w:r>
        <w:br/>
      </w:r>
      <w:r>
        <w:rPr>
          <w:rStyle w:val="VerbatimChar"/>
        </w:rPr>
        <w:t xml:space="preserve">    0.050     623523      6.24   4    0.05027    0.05044</w:t>
      </w:r>
      <w:r>
        <w:br/>
      </w:r>
      <w:r>
        <w:rPr>
          <w:rStyle w:val="VerbatimChar"/>
        </w:rPr>
        <w:t xml:space="preserve">    0.010     958506      9.59   7    0.01004    0.01018</w:t>
      </w:r>
      <w:r>
        <w:br/>
      </w:r>
      <w:r>
        <w:rPr>
          <w:rStyle w:val="VerbatimChar"/>
        </w:rPr>
        <w:t xml:space="preserve">    0.001    1437759     14.38  10    0.00100    0.00098</w:t>
      </w:r>
      <w:r>
        <w:br/>
      </w:r>
      <w:r>
        <w:rPr>
          <w:rStyle w:val="VerbatimChar"/>
        </w:rPr>
        <w:t xml:space="preserve">overfilled 3x: predicted 0.4360, measured 0.4376</w:t>
      </w:r>
    </w:p>
    <w:p>
      <w:pPr>
        <w:pStyle w:val="FirstParagraph"/>
      </w:pPr>
      <w:r>
        <w:t xml:space="preserve">What to notice:</w:t>
      </w:r>
    </w:p>
    <w:p>
      <w:pPr>
        <w:numPr>
          <w:ilvl w:val="0"/>
          <w:numId w:val="1567"/>
        </w:numPr>
        <w:pStyle w:val="Compact"/>
      </w:pPr>
      <w:r>
        <w:t xml:space="preserve">The sizing rule reproduces Table 17.3: 9.59 bits and</w:t>
      </w:r>
      <w:r>
        <w:t xml:space="preserve"> </w:t>
      </w:r>
      <m:oMath>
        <m:r>
          <m:t>k</m:t>
        </m:r>
        <m:r>
          <m:rPr>
            <m:sty m:val="p"/>
          </m:rPr>
          <m:t>=</m:t>
        </m:r>
        <m:r>
          <m:t>7</m:t>
        </m:r>
      </m:oMath>
      <w:r>
        <w:t xml:space="preserve"> </w:t>
      </w:r>
      <w:r>
        <w:t xml:space="preserve">for 1%, 14.38 bits and</w:t>
      </w:r>
      <w:r>
        <w:t xml:space="preserve"> </w:t>
      </w:r>
      <m:oMath>
        <m:r>
          <m:t>k</m:t>
        </m:r>
        <m:r>
          <m:rPr>
            <m:sty m:val="p"/>
          </m:rPr>
          <m:t>=</m:t>
        </m:r>
        <m:r>
          <m:t>10</m:t>
        </m:r>
      </m:oMath>
      <w:r>
        <w:t xml:space="preserve"> </w:t>
      </w:r>
      <w:r>
        <w:t xml:space="preserve">for 0.1%.</w:t>
      </w:r>
    </w:p>
    <w:p>
      <w:pPr>
        <w:numPr>
          <w:ilvl w:val="0"/>
          <w:numId w:val="1567"/>
        </w:numPr>
        <w:pStyle w:val="Compact"/>
      </w:pPr>
      <w:r>
        <w:t xml:space="preserve">Measured rates match predictions within sampling noise: with</w:t>
      </w:r>
      <w:r>
        <w:t xml:space="preserve"> </w:t>
      </w:r>
      <m:oMath>
        <m:sSup>
          <m:e>
            <m:r>
              <m:t>10</m:t>
            </m:r>
          </m:e>
          <m:sup>
            <m:r>
              <m:t>6</m:t>
            </m:r>
          </m:sup>
        </m:sSup>
      </m:oMath>
      <w:r>
        <w:t xml:space="preserve"> </w:t>
      </w:r>
      <w:r>
        <w:t xml:space="preserve">probes at</w:t>
      </w:r>
      <w:r>
        <w:t xml:space="preserve"> </w:t>
      </w:r>
      <m:oMath>
        <m:r>
          <m:t>p</m:t>
        </m:r>
        <m:r>
          <m:rPr>
            <m:sty m:val="p"/>
          </m:rPr>
          <m:t>=</m:t>
        </m:r>
        <m:r>
          <m:t>0.001</m:t>
        </m:r>
      </m:oMath>
      <w:r>
        <w:t xml:space="preserve"> </w:t>
      </w:r>
      <w:r>
        <w:t xml:space="preserve">you expect</w:t>
      </w:r>
      <w:r>
        <w:t xml:space="preserve"> </w:t>
      </w:r>
      <m:oMath>
        <m:r>
          <m:t>1</m:t>
        </m:r>
        <m:r>
          <m:rPr>
            <m:sty m:val="p"/>
          </m:rPr>
          <m:t>,</m:t>
        </m:r>
        <m:r>
          <m:t>000</m:t>
        </m:r>
        <m:r>
          <m:rPr>
            <m:sty m:val="p"/>
          </m:rPr>
          <m:t>±</m:t>
        </m:r>
        <m:r>
          <m:t>32</m:t>
        </m:r>
      </m:oMath>
      <w:r>
        <w:t xml:space="preserve"> </w:t>
      </w:r>
      <w:r>
        <w:t xml:space="preserve">false positives, and 980 is inside that. (A 200,000-probe run measured 0.00117, 2.4 standard deviations high; use enough probes to resolve the rate.)</w:t>
      </w:r>
    </w:p>
    <w:p>
      <w:pPr>
        <w:numPr>
          <w:ilvl w:val="0"/>
          <w:numId w:val="1567"/>
        </w:numPr>
        <w:pStyle w:val="Compact"/>
      </w:pPr>
      <w:r>
        <w:t xml:space="preserve">The</w:t>
      </w:r>
      <w:r>
        <w:t xml:space="preserve"> </w:t>
      </w:r>
      <w:r>
        <w:rPr>
          <w:rStyle w:val="VerbatimChar"/>
        </w:rPr>
        <w:t xml:space="preserve">assert</w:t>
      </w:r>
      <w:r>
        <w:t xml:space="preserve"> </w:t>
      </w:r>
      <w:r>
        <w:t xml:space="preserve">confirms the defining guarantee: every inserted item is found.</w:t>
      </w:r>
    </w:p>
    <w:p>
      <w:pPr>
        <w:numPr>
          <w:ilvl w:val="0"/>
          <w:numId w:val="1567"/>
        </w:numPr>
        <w:pStyle w:val="Compact"/>
      </w:pPr>
      <w:r>
        <w:t xml:space="preserve">Overfilling is the most common real failure: 3× the design load gives 44% false positives. Size for peak</w:t>
      </w:r>
      <w:r>
        <w:t xml:space="preserve"> </w:t>
      </w:r>
      <m:oMath>
        <m:r>
          <m:t>n</m:t>
        </m:r>
      </m:oMath>
      <w:r>
        <w:t xml:space="preserve"> </w:t>
      </w:r>
      <w:r>
        <w:t xml:space="preserve">or rebuild as</w:t>
      </w:r>
      <w:r>
        <w:t xml:space="preserve"> </w:t>
      </w:r>
      <m:oMath>
        <m:r>
          <m:t>n</m:t>
        </m:r>
      </m:oMath>
      <w:r>
        <w:t xml:space="preserve"> </w:t>
      </w:r>
      <w:r>
        <w:t xml:space="preserve">grows.</w:t>
      </w:r>
    </w:p>
    <w:bookmarkEnd w:id="1932"/>
    <w:bookmarkStart w:id="1936" w:name="bloom-filters-in-system-architecture"/>
    <w:p>
      <w:pPr>
        <w:pStyle w:val="Heading3"/>
      </w:pPr>
      <w:r>
        <w:t xml:space="preserve">17.4.5 Bloom filters in system architecture</w:t>
      </w:r>
    </w:p>
    <w:p>
      <w:pPr>
        <w:pStyle w:val="FirstParagraph"/>
      </w:pPr>
      <w:r>
        <w:rPr>
          <w:bCs/>
          <w:b/>
        </w:rPr>
        <w:t xml:space="preserve">Figure 17.3 — Bloom filters on the read path of an LSM-tree storage engine.</w:t>
      </w:r>
    </w:p>
    <w:p>
      <w:pPr>
        <w:pStyle w:val="BodyText"/>
      </w:pPr>
      <w:r>
        <w:drawing>
          <wp:inline>
            <wp:extent cx="5334000" cy="2410987"/>
            <wp:effectExtent b="0" l="0" r="0" t="0"/>
            <wp:docPr descr="" title="" id="1934" name="Picture"/>
            <a:graphic>
              <a:graphicData uri="http://schemas.openxmlformats.org/drawingml/2006/picture">
                <pic:pic>
                  <pic:nvPicPr>
                    <pic:cNvPr descr="/home/user/System-Design/build/.cache/diagrams/6e75dbecb440.png" id="1935" name="Picture"/>
                    <pic:cNvPicPr>
                      <a:picLocks noChangeArrowheads="1" noChangeAspect="1"/>
                    </pic:cNvPicPr>
                  </pic:nvPicPr>
                  <pic:blipFill>
                    <a:blip r:embed="rId1933"/>
                    <a:stretch>
                      <a:fillRect/>
                    </a:stretch>
                  </pic:blipFill>
                  <pic:spPr bwMode="auto">
                    <a:xfrm>
                      <a:off x="0" y="0"/>
                      <a:ext cx="5334000" cy="2410987"/>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After a memtable miss (§13.8), the engine would otherwise search every SSTable on disk. Instead it tests the key against each SSTable’s RAM-resident filter (well under a microsecond each); nine say</w:t>
      </w:r>
      <w:r>
        <w:t xml:space="preserve"> </w:t>
      </w:r>
      <w:r>
        <w:t xml:space="preserve">“</w:t>
      </w:r>
      <w:r>
        <w:t xml:space="preserve">absent</w:t>
      </w:r>
      <w:r>
        <w:t xml:space="preserve">”</w:t>
      </w:r>
      <w:r>
        <w:t xml:space="preserve"> </w:t>
      </w:r>
      <w:r>
        <w:t xml:space="preserve">and are never touched, and only SSTable 7 costs disk reads. All calls are synchronous; the storage boundary separates RAM (memtable, filters) from disk (SSTables). For a missing key, ten files at</w:t>
      </w:r>
      <w:r>
        <w:t xml:space="preserve"> </w:t>
      </w:r>
      <m:oMath>
        <m:r>
          <m:t>p</m:t>
        </m:r>
        <m:r>
          <m:rPr>
            <m:sty m:val="p"/>
          </m:rPr>
          <m:t>=</m:t>
        </m:r>
        <m:r>
          <m:t>1</m:t>
        </m:r>
        <m:r>
          <m:rPr>
            <m:sty m:val="p"/>
          </m:rPr>
          <m:t>%</m:t>
        </m:r>
      </m:oMath>
      <w:r>
        <w:t xml:space="preserve"> </w:t>
      </w:r>
      <w:r>
        <w:t xml:space="preserve">waste</w:t>
      </w:r>
      <w:r>
        <w:t xml:space="preserve"> </w:t>
      </w:r>
      <m:oMath>
        <m:r>
          <m:t>10</m:t>
        </m:r>
        <m:r>
          <m:rPr>
            <m:sty m:val="p"/>
          </m:rPr>
          <m:t>×</m:t>
        </m:r>
        <m:r>
          <m:t>0.01</m:t>
        </m:r>
        <m:r>
          <m:rPr>
            <m:sty m:val="p"/>
          </m:rPr>
          <m:t>=</m:t>
        </m:r>
        <m:r>
          <m:t>0.1</m:t>
        </m:r>
      </m:oMath>
      <w:r>
        <w:t xml:space="preserve"> </w:t>
      </w:r>
      <w:r>
        <w:t xml:space="preserve">reads instead of 10. Failure points: filters evicted from memory turn lookups back into disk reads, and range scans cannot use point filters (prefix Bloom filters help within a known prefix). Scaling is automatic: each new SSTable carries its own filter. §13.10 covers the storage-engine side.</w:t>
      </w:r>
    </w:p>
    <w:p>
      <w:pPr>
        <w:pStyle w:val="CalloutIndustry"/>
      </w:pPr>
      <w:r>
        <w:rPr>
          <w:bCs/>
          <w:b/>
        </w:rPr>
        <w:t xml:space="preserve">INDUSTRY EXAMPLE</w:t>
      </w:r>
    </w:p>
    <w:p>
      <w:pPr>
        <w:pStyle w:val="CalloutIndustry"/>
      </w:pPr>
      <w:r>
        <w:rPr>
          <w:bCs/>
          <w:b/>
        </w:rPr>
        <w:t xml:space="preserve">Google Bigtable and Apache Cassandra.</w:t>
      </w:r>
      <w:r>
        <w:t xml:space="preserve"> </w:t>
      </w:r>
      <w:r>
        <w:t xml:space="preserve">Bigtable lets clients enable Bloom filters per locality group so that most lookups for non-existent rows or columns never touch disk [Chang et al. 2006]. Cassandra keeps a Bloom filter per SSTable, tuned by the table option</w:t>
      </w:r>
      <w:r>
        <w:t xml:space="preserve"> </w:t>
      </w:r>
      <w:r>
        <w:rPr>
          <w:rStyle w:val="VerbatimChar"/>
        </w:rPr>
        <w:t xml:space="preserve">bloom_filter_fp_chance</w:t>
      </w:r>
      <w:r>
        <w:t xml:space="preserve"> </w:t>
      </w:r>
      <w:r>
        <w:t xml:space="preserve">[Apache Cassandra Docs].</w:t>
      </w:r>
      <w:r>
        <w:t xml:space="preserve"> </w:t>
      </w:r>
      <w:r>
        <w:rPr>
          <w:iCs/>
          <w:i/>
        </w:rPr>
        <w:t xml:space="preserve">Evidence: Primary</w:t>
      </w:r>
      <w:r>
        <w:t xml:space="preserve"> </w:t>
      </w:r>
      <w:r>
        <w:t xml:space="preserve">— [Chang et al. 2006; Apache Cassandra Docs]</w:t>
      </w:r>
    </w:p>
    <w:p>
      <w:pPr>
        <w:pStyle w:val="CalloutIndustry"/>
      </w:pPr>
      <w:r>
        <w:rPr>
          <w:bCs/>
          <w:b/>
        </w:rPr>
        <w:t xml:space="preserve">INDUSTRY EXAMPLE</w:t>
      </w:r>
    </w:p>
    <w:p>
      <w:pPr>
        <w:pStyle w:val="CalloutIndustry"/>
      </w:pPr>
      <w:r>
        <w:rPr>
          <w:bCs/>
          <w:b/>
        </w:rPr>
        <w:t xml:space="preserve">Akamai’s</w:t>
      </w:r>
      <w:r>
        <w:rPr>
          <w:bCs/>
          <w:b/>
        </w:rPr>
        <w:t xml:space="preserve"> </w:t>
      </w:r>
      <w:r>
        <w:rPr>
          <w:bCs/>
          <w:b/>
        </w:rPr>
        <w:t xml:space="preserve">“</w:t>
      </w:r>
      <w:r>
        <w:rPr>
          <w:bCs/>
          <w:b/>
        </w:rPr>
        <w:t xml:space="preserve">one-hit wonders</w:t>
      </w:r>
      <w:r>
        <w:rPr>
          <w:bCs/>
          <w:b/>
        </w:rPr>
        <w:t xml:space="preserve">”</w:t>
      </w:r>
      <w:r>
        <w:rPr>
          <w:bCs/>
          <w:b/>
        </w:rPr>
        <w:t xml:space="preserve">.</w:t>
      </w:r>
      <w:r>
        <w:t xml:space="preserve"> </w:t>
      </w:r>
      <w:r>
        <w:t xml:space="preserve">Akamai engineers reported that a large share of objects requested from their CDN servers are requested only once, so caching on first request wastes disk bandwidth and evicts useful content. Their servers record first requests in a Bloom filter and cache an object only on its second request [Maggs &amp; Sitaraman 2015].</w:t>
      </w:r>
      <w:r>
        <w:t xml:space="preserve"> </w:t>
      </w:r>
      <w:r>
        <w:rPr>
          <w:iCs/>
          <w:i/>
        </w:rPr>
        <w:t xml:space="preserve">Evidence: Primary</w:t>
      </w:r>
      <w:r>
        <w:t xml:space="preserve"> </w:t>
      </w:r>
      <w:r>
        <w:t xml:space="preserve">— [Maggs &amp; Sitaraman 2015]</w:t>
      </w:r>
    </w:p>
    <w:bookmarkEnd w:id="1936"/>
    <w:bookmarkStart w:id="1937" w:name="counting-bloom-filters"/>
    <w:p>
      <w:pPr>
        <w:pStyle w:val="Heading3"/>
      </w:pPr>
      <w:r>
        <w:t xml:space="preserve">17.4.6 Counting Bloom filters</w:t>
      </w:r>
    </w:p>
    <w:p>
      <w:pPr>
        <w:pStyle w:val="FirstParagraph"/>
      </w:pPr>
      <w:r>
        <w:t xml:space="preserve">A</w:t>
      </w:r>
      <w:r>
        <w:t xml:space="preserve"> </w:t>
      </w:r>
      <w:r>
        <w:rPr>
          <w:bCs/>
          <w:b/>
        </w:rPr>
        <w:t xml:space="preserve">counting Bloom filter</w:t>
      </w:r>
      <w:r>
        <w:t xml:space="preserve"> </w:t>
      </w:r>
      <w:r>
        <w:t xml:space="preserve">replaces each bit with a small counter, typically 4 bits [Fan et al. 2000]. Insert increments the</w:t>
      </w:r>
      <w:r>
        <w:t xml:space="preserve"> </w:t>
      </w:r>
      <m:oMath>
        <m:r>
          <m:t>k</m:t>
        </m:r>
      </m:oMath>
      <w:r>
        <w:t xml:space="preserve"> </w:t>
      </w:r>
      <w:r>
        <w:t xml:space="preserve">counters, delete decrements them, and a query checks that all are non-zero, so the false-positive rate equals that of a bit filter with the same</w:t>
      </w:r>
      <w:r>
        <w:t xml:space="preserve"> </w:t>
      </w:r>
      <m:oMath>
        <m:r>
          <m:t>m</m:t>
        </m:r>
      </m:oMath>
      <w:r>
        <w:t xml:space="preserve"> </w:t>
      </w:r>
      <w:r>
        <w:t xml:space="preserve">and</w:t>
      </w:r>
      <w:r>
        <w:t xml:space="preserve"> </w:t>
      </w:r>
      <m:oMath>
        <m:r>
          <m:t>k</m:t>
        </m:r>
      </m:oMath>
      <w:r>
        <w:t xml:space="preserve">. Costs: 4× the memory; counter overflow, which is astronomically unlikely with optimal</w:t>
      </w:r>
      <w:r>
        <w:t xml:space="preserve"> </w:t>
      </w:r>
      <m:oMath>
        <m:r>
          <m:t>k</m:t>
        </m:r>
      </m:oMath>
      <w:r>
        <w:t xml:space="preserve"> </w:t>
      </w:r>
      <w:r>
        <w:t xml:space="preserve">and 4-bit counters [Fan et al. 2000; Broder &amp; Mitzenmacher 2004]; and false negatives if you delete an item that was never inserted. Fan and colleagues introduced it for the</w:t>
      </w:r>
      <w:r>
        <w:t xml:space="preserve"> </w:t>
      </w:r>
      <w:r>
        <w:rPr>
          <w:bCs/>
          <w:b/>
        </w:rPr>
        <w:t xml:space="preserve">Summary Cache</w:t>
      </w:r>
      <w:r>
        <w:t xml:space="preserve"> </w:t>
      </w:r>
      <w:r>
        <w:t xml:space="preserve">protocol, in which web proxies exchanged compact, constantly changing summaries of their cache contents.</w:t>
      </w:r>
    </w:p>
    <w:bookmarkEnd w:id="1937"/>
    <w:bookmarkStart w:id="1947" w:name="cuckoo-filters"/>
    <w:p>
      <w:pPr>
        <w:pStyle w:val="Heading3"/>
      </w:pPr>
      <w:r>
        <w:t xml:space="preserve">17.4.7 Cuckoo filters</w:t>
      </w:r>
    </w:p>
    <w:p>
      <w:pPr>
        <w:pStyle w:val="FirstParagraph"/>
      </w:pPr>
      <w:r>
        <w:t xml:space="preserve">A</w:t>
      </w:r>
      <w:r>
        <w:t xml:space="preserve"> </w:t>
      </w:r>
      <w:r>
        <w:rPr>
          <w:bCs/>
          <w:b/>
        </w:rPr>
        <w:t xml:space="preserve">cuckoo filter</w:t>
      </w:r>
      <w:r>
        <w:t xml:space="preserve"> </w:t>
      </w:r>
      <w:r>
        <w:t xml:space="preserve">supports deletion with less memory than a counting Bloom filter and, at low false-positive rates, less than a plain Bloom filter [Fan et al. 2014].</w:t>
      </w:r>
    </w:p>
    <w:p>
      <w:pPr>
        <w:pStyle w:val="CalloutDefinition"/>
      </w:pPr>
      <w:r>
        <w:rPr>
          <w:bCs/>
          <w:b/>
        </w:rPr>
        <w:t xml:space="preserve">DEFINITION</w:t>
      </w:r>
    </w:p>
    <w:p>
      <w:pPr>
        <w:pStyle w:val="CalloutDefinition"/>
      </w:pPr>
      <w:r>
        <w:rPr>
          <w:bCs/>
          <w:b/>
        </w:rPr>
        <w:t xml:space="preserve">Definition — Cuckoo filter.</w:t>
      </w:r>
      <w:r>
        <w:t xml:space="preserve"> </w:t>
      </w:r>
      <w:r>
        <w:t xml:space="preserve">A hash table of</w:t>
      </w:r>
      <w:r>
        <w:t xml:space="preserve"> </w:t>
      </w:r>
      <m:oMath>
        <m:r>
          <m:t>b</m:t>
        </m:r>
      </m:oMath>
      <w:r>
        <w:t xml:space="preserve">-slot buckets that stores a short</w:t>
      </w:r>
      <w:r>
        <w:t xml:space="preserve"> </w:t>
      </w:r>
      <w:r>
        <w:rPr>
          <w:bCs/>
          <w:b/>
        </w:rPr>
        <w:t xml:space="preserve">fingerprint</w:t>
      </w:r>
      <w:r>
        <w:t xml:space="preserve"> </w:t>
      </w:r>
      <w:r>
        <w:t xml:space="preserve">of each item (an</w:t>
      </w:r>
      <w:r>
        <w:t xml:space="preserve"> </w:t>
      </w:r>
      <m:oMath>
        <m:r>
          <m:t>f</m:t>
        </m:r>
      </m:oMath>
      <w:r>
        <w:t xml:space="preserve">-bit hash) in one of two candidate buckets. Membership checks two buckets for a matching fingerprint; deletion removes one copy of the fingerprint.</w:t>
      </w:r>
    </w:p>
    <w:bookmarkStart w:id="1941" w:name="how-it-works-internally-71"/>
    <w:p>
      <w:pPr>
        <w:pStyle w:val="Heading4"/>
      </w:pPr>
      <w:r>
        <w:t xml:space="preserve">How it works internally</w:t>
      </w:r>
    </w:p>
    <w:p>
      <w:pPr>
        <w:pStyle w:val="FirstParagraph"/>
      </w:pPr>
      <w:r>
        <w:t xml:space="preserve">The name comes from the cuckoo bird, which lays its egg in another bird’s nest and pushes an existing egg out.</w:t>
      </w:r>
    </w:p>
    <w:p>
      <w:pPr>
        <w:numPr>
          <w:ilvl w:val="0"/>
          <w:numId w:val="1568"/>
        </w:numPr>
        <w:pStyle w:val="Compact"/>
      </w:pPr>
      <w:r>
        <w:t xml:space="preserve">For item</w:t>
      </w:r>
      <w:r>
        <w:t xml:space="preserve"> </w:t>
      </w:r>
      <m:oMath>
        <m:r>
          <m:t>x</m:t>
        </m:r>
      </m:oMath>
      <w:r>
        <w:t xml:space="preserve">, compute a fingerprint $</w:t>
      </w:r>
      <w:r>
        <w:t xml:space="preserve"> </w:t>
      </w:r>
      <w:r>
        <w:t xml:space="preserve">= $ an</w:t>
      </w:r>
      <w:r>
        <w:t xml:space="preserve"> </w:t>
      </w:r>
      <m:oMath>
        <m:r>
          <m:t>f</m:t>
        </m:r>
      </m:oMath>
      <w:r>
        <w:t xml:space="preserve">-bit hash of</w:t>
      </w:r>
      <w:r>
        <w:t xml:space="preserve"> </w:t>
      </w:r>
      <m:oMath>
        <m:r>
          <m:t>x</m:t>
        </m:r>
      </m:oMath>
      <w:r>
        <w:t xml:space="preserve">, and the first bucket</w:t>
      </w:r>
      <w:r>
        <w:t xml:space="preserve"> </w:t>
      </w:r>
      <m:oMath>
        <m:sSub>
          <m:e>
            <m:r>
              <m:t>i</m:t>
            </m:r>
          </m:e>
          <m:sub>
            <m:r>
              <m:t>1</m:t>
            </m:r>
          </m:sub>
        </m:sSub>
        <m:r>
          <m:rPr>
            <m:sty m:val="p"/>
          </m:rPr>
          <m:t>=</m:t>
        </m:r>
        <m:r>
          <m:t>h</m:t>
        </m:r>
        <m:d>
          <m:dPr>
            <m:begChr m:val="("/>
            <m:endChr m:val=")"/>
            <m:sepChr m:val=""/>
            <m:grow/>
          </m:dPr>
          <m:e>
            <m:r>
              <m:t>x</m:t>
            </m:r>
          </m:e>
        </m:d>
        <m:r>
          <m:t> </m:t>
        </m:r>
        <m:r>
          <m:rPr>
            <m:sty m:val="p"/>
          </m:rPr>
          <m:t>mod</m:t>
        </m:r>
        <m:r>
          <m:t> </m:t>
        </m:r>
        <m:r>
          <m:t>B</m:t>
        </m:r>
      </m:oMath>
      <w:r>
        <w:t xml:space="preserve">.</w:t>
      </w:r>
    </w:p>
    <w:p>
      <w:pPr>
        <w:numPr>
          <w:ilvl w:val="0"/>
          <w:numId w:val="1568"/>
        </w:numPr>
        <w:pStyle w:val="Compact"/>
      </w:pPr>
      <w:r>
        <w:t xml:space="preserve">Compute the alternate bucket</w:t>
      </w:r>
      <w:r>
        <w:t xml:space="preserve"> </w:t>
      </w:r>
      <m:oMath>
        <m:sSub>
          <m:e>
            <m:r>
              <m:t>i</m:t>
            </m:r>
          </m:e>
          <m:sub>
            <m:r>
              <m:t>2</m:t>
            </m:r>
          </m:sub>
        </m:sSub>
        <m:r>
          <m:rPr>
            <m:sty m:val="p"/>
          </m:rPr>
          <m:t>=</m:t>
        </m:r>
        <m:sSub>
          <m:e>
            <m:r>
              <m:t>i</m:t>
            </m:r>
          </m:e>
          <m:sub>
            <m:r>
              <m:t>1</m:t>
            </m:r>
          </m:sub>
        </m:sSub>
        <m:r>
          <m:rPr>
            <m:sty m:val="p"/>
          </m:rPr>
          <m:t>⊕</m:t>
        </m:r>
        <m:r>
          <m:t>h</m:t>
        </m:r>
        <m:d>
          <m:dPr>
            <m:begChr m:val="("/>
            <m:endChr m:val=")"/>
            <m:sepChr m:val=""/>
            <m:grow/>
          </m:dPr>
          <m:e>
            <m:r>
              <m:rPr>
                <m:sty m:val="i"/>
              </m:rPr>
              <m:t>f</m:t>
            </m:r>
            <m:r>
              <m:rPr>
                <m:sty m:val="i"/>
              </m:rPr>
              <m:t>p</m:t>
            </m:r>
          </m:e>
        </m:d>
      </m:oMath>
      <w:r>
        <w:t xml:space="preserve">. This is</w:t>
      </w:r>
      <w:r>
        <w:t xml:space="preserve"> </w:t>
      </w:r>
      <w:r>
        <w:rPr>
          <w:bCs/>
          <w:b/>
        </w:rPr>
        <w:t xml:space="preserve">partial-key cuckoo hashing</w:t>
      </w:r>
      <w:r>
        <w:t xml:space="preserve">: because XOR is its own inverse,</w:t>
      </w:r>
      <w:r>
        <w:t xml:space="preserve"> </w:t>
      </w:r>
      <m:oMath>
        <m:sSub>
          <m:e>
            <m:r>
              <m:t>i</m:t>
            </m:r>
          </m:e>
          <m:sub>
            <m:r>
              <m:t>1</m:t>
            </m:r>
          </m:sub>
        </m:sSub>
        <m:r>
          <m:rPr>
            <m:sty m:val="p"/>
          </m:rPr>
          <m:t>=</m:t>
        </m:r>
        <m:sSub>
          <m:e>
            <m:r>
              <m:t>i</m:t>
            </m:r>
          </m:e>
          <m:sub>
            <m:r>
              <m:t>2</m:t>
            </m:r>
          </m:sub>
        </m:sSub>
        <m:r>
          <m:rPr>
            <m:sty m:val="p"/>
          </m:rPr>
          <m:t>⊕</m:t>
        </m:r>
        <m:r>
          <m:t>h</m:t>
        </m:r>
        <m:d>
          <m:dPr>
            <m:begChr m:val="("/>
            <m:endChr m:val=")"/>
            <m:sepChr m:val=""/>
            <m:grow/>
          </m:dPr>
          <m:e>
            <m:r>
              <m:rPr>
                <m:sty m:val="i"/>
              </m:rPr>
              <m:t>f</m:t>
            </m:r>
            <m:r>
              <m:rPr>
                <m:sty m:val="i"/>
              </m:rPr>
              <m:t>p</m:t>
            </m:r>
          </m:e>
        </m:d>
      </m:oMath>
      <w:r>
        <w:t xml:space="preserve">, so you can find an entry’s other bucket from the fingerprint alone, without the original item.</w:t>
      </w:r>
    </w:p>
    <w:p>
      <w:pPr>
        <w:numPr>
          <w:ilvl w:val="0"/>
          <w:numId w:val="1568"/>
        </w:numPr>
        <w:pStyle w:val="Compact"/>
      </w:pPr>
      <w:r>
        <w:rPr>
          <w:bCs/>
          <w:b/>
        </w:rPr>
        <w:t xml:space="preserve">Insert</w:t>
      </w:r>
      <w:r>
        <w:t xml:space="preserve">: if either bucket has a free slot, store</w:t>
      </w:r>
      <w:r>
        <w:t xml:space="preserve"> </w:t>
      </w:r>
      <m:oMath>
        <m:r>
          <m:rPr>
            <m:sty m:val="i"/>
          </m:rPr>
          <m:t>f</m:t>
        </m:r>
        <m:r>
          <m:rPr>
            <m:sty m:val="i"/>
          </m:rPr>
          <m:t>p</m:t>
        </m:r>
      </m:oMath>
      <w:r>
        <w:t xml:space="preserve"> </w:t>
      </w:r>
      <w:r>
        <w:t xml:space="preserve">there. Otherwise pick one of the two buckets, evict a random fingerprint from it, store</w:t>
      </w:r>
      <w:r>
        <w:t xml:space="preserve"> </w:t>
      </w:r>
      <m:oMath>
        <m:r>
          <m:rPr>
            <m:sty m:val="i"/>
          </m:rPr>
          <m:t>f</m:t>
        </m:r>
        <m:r>
          <m:rPr>
            <m:sty m:val="i"/>
          </m:rPr>
          <m:t>p</m:t>
        </m:r>
      </m:oMath>
      <w:r>
        <w:t xml:space="preserve"> </w:t>
      </w:r>
      <w:r>
        <w:t xml:space="preserve">in its place, and move the evicted fingerprint to</w:t>
      </w:r>
      <w:r>
        <w:t xml:space="preserve"> </w:t>
      </w:r>
      <w:r>
        <w:rPr>
          <w:iCs/>
          <w:i/>
        </w:rPr>
        <w:t xml:space="preserve">its</w:t>
      </w:r>
      <w:r>
        <w:t xml:space="preserve"> </w:t>
      </w:r>
      <w:r>
        <w:t xml:space="preserve">alternate bucket, repeating up to a limit (for example 500 kicks). If the limit is reached, the table is full.</w:t>
      </w:r>
    </w:p>
    <w:p>
      <w:pPr>
        <w:numPr>
          <w:ilvl w:val="0"/>
          <w:numId w:val="1568"/>
        </w:numPr>
        <w:pStyle w:val="Compact"/>
      </w:pPr>
      <w:r>
        <w:rPr>
          <w:bCs/>
          <w:b/>
        </w:rPr>
        <w:t xml:space="preserve">Lookup</w:t>
      </w:r>
      <w:r>
        <w:t xml:space="preserve">: return true if either bucket contains</w:t>
      </w:r>
      <w:r>
        <w:t xml:space="preserve"> </w:t>
      </w:r>
      <m:oMath>
        <m:r>
          <m:rPr>
            <m:sty m:val="i"/>
          </m:rPr>
          <m:t>f</m:t>
        </m:r>
        <m:r>
          <m:rPr>
            <m:sty m:val="i"/>
          </m:rPr>
          <m:t>p</m:t>
        </m:r>
      </m:oMath>
      <w:r>
        <w:t xml:space="preserve">.</w:t>
      </w:r>
    </w:p>
    <w:p>
      <w:pPr>
        <w:numPr>
          <w:ilvl w:val="0"/>
          <w:numId w:val="1568"/>
        </w:numPr>
        <w:pStyle w:val="Compact"/>
      </w:pPr>
      <w:r>
        <w:rPr>
          <w:bCs/>
          <w:b/>
        </w:rPr>
        <w:t xml:space="preserve">Delete</w:t>
      </w:r>
      <w:r>
        <w:t xml:space="preserve">: remove one copy of</w:t>
      </w:r>
      <w:r>
        <w:t xml:space="preserve"> </w:t>
      </w:r>
      <m:oMath>
        <m:r>
          <m:rPr>
            <m:sty m:val="i"/>
          </m:rPr>
          <m:t>f</m:t>
        </m:r>
        <m:r>
          <m:rPr>
            <m:sty m:val="i"/>
          </m:rPr>
          <m:t>p</m:t>
        </m:r>
      </m:oMath>
      <w:r>
        <w:t xml:space="preserve"> </w:t>
      </w:r>
      <w:r>
        <w:t xml:space="preserve">from whichever bucket holds it.</w:t>
      </w:r>
    </w:p>
    <w:p>
      <w:pPr>
        <w:pStyle w:val="FirstParagraph"/>
      </w:pPr>
      <w:r>
        <w:rPr>
          <w:bCs/>
          <w:b/>
        </w:rPr>
        <w:t xml:space="preserve">Figure 17.4 — Inserting into a full cuckoo filter by relocation.</w:t>
      </w:r>
    </w:p>
    <w:p>
      <w:pPr>
        <w:pStyle w:val="BodyText"/>
      </w:pPr>
      <w:r>
        <w:drawing>
          <wp:inline>
            <wp:extent cx="5334000" cy="971275"/>
            <wp:effectExtent b="0" l="0" r="0" t="0"/>
            <wp:docPr descr="" title="" id="1939" name="Picture"/>
            <a:graphic>
              <a:graphicData uri="http://schemas.openxmlformats.org/drawingml/2006/picture">
                <pic:pic>
                  <pic:nvPicPr>
                    <pic:cNvPr descr="/home/user/System-Design/build/.cache/diagrams/d5535db1e07f.png" id="1940" name="Picture"/>
                    <pic:cNvPicPr>
                      <a:picLocks noChangeArrowheads="1" noChangeAspect="1"/>
                    </pic:cNvPicPr>
                  </pic:nvPicPr>
                  <pic:blipFill>
                    <a:blip r:embed="rId1938"/>
                    <a:stretch>
                      <a:fillRect/>
                    </a:stretch>
                  </pic:blipFill>
                  <pic:spPr bwMode="auto">
                    <a:xfrm>
                      <a:off x="0" y="0"/>
                      <a:ext cx="5334000" cy="971275"/>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If either candidate bucket has room, the insert ends at once, the common case below about 90% load. Otherwise the filter displaces</w:t>
      </w:r>
      <w:r>
        <w:t xml:space="preserve"> </w:t>
      </w:r>
      <w:r>
        <w:rPr>
          <w:rStyle w:val="VerbatimChar"/>
        </w:rPr>
        <w:t xml:space="preserve">fp_y</w:t>
      </w:r>
      <w:r>
        <w:t xml:space="preserve"> </w:t>
      </w:r>
      <w:r>
        <w:t xml:space="preserve">and moves it to its alternate bucket, computed from</w:t>
      </w:r>
      <w:r>
        <w:t xml:space="preserve"> </w:t>
      </w:r>
      <w:r>
        <w:rPr>
          <w:rStyle w:val="VerbatimChar"/>
        </w:rPr>
        <w:t xml:space="preserve">fp_y</w:t>
      </w:r>
      <w:r>
        <w:t xml:space="preserve"> </w:t>
      </w:r>
      <w:r>
        <w:t xml:space="preserve">alone, repeating until a slot frees up. All steps are synchronous memory operations. Insert latency climbs as the table fills, and the dotted edge marks the failure point: after the kick limit the filter is full and must be rebuilt larger, since original items are not stored. Lookups and deletes always touch exactly two buckets.</w:t>
      </w:r>
    </w:p>
    <w:bookmarkEnd w:id="1941"/>
    <w:bookmarkStart w:id="1942" w:name="mathematical-foundations-35"/>
    <w:p>
      <w:pPr>
        <w:pStyle w:val="Heading4"/>
      </w:pPr>
      <w:r>
        <w:t xml:space="preserve">Mathematical foundations</w:t>
      </w:r>
    </w:p>
    <w:p>
      <w:pPr>
        <w:pStyle w:val="FirstParagraph"/>
      </w:pPr>
      <w:r>
        <w:t xml:space="preserve">A lookup compares against up to</w:t>
      </w:r>
      <w:r>
        <w:t xml:space="preserve"> </w:t>
      </w:r>
      <m:oMath>
        <m:r>
          <m:t>2</m:t>
        </m:r>
        <m:r>
          <m:t>b</m:t>
        </m:r>
      </m:oMath>
      <w:r>
        <w:t xml:space="preserve"> </w:t>
      </w:r>
      <w:r>
        <w:t xml:space="preserve">stored fingerprints, each matching by chance with probability</w:t>
      </w:r>
      <w:r>
        <w:t xml:space="preserve"> </w:t>
      </w:r>
      <m:oMath>
        <m:sSup>
          <m:e>
            <m:r>
              <m:t>2</m:t>
            </m:r>
          </m:e>
          <m:sup>
            <m:r>
              <m:rPr>
                <m:sty m:val="p"/>
              </m:rPr>
              <m:t>−</m:t>
            </m:r>
            <m:r>
              <m:t>f</m:t>
            </m:r>
          </m:sup>
        </m:sSup>
      </m:oMath>
      <w:r>
        <w:t xml:space="preserve">.</w:t>
      </w:r>
    </w:p>
    <w:p>
      <w:pPr>
        <w:pStyle w:val="CalloutFormula"/>
      </w:pPr>
      <w:r>
        <w:rPr>
          <w:bCs/>
          <w:b/>
        </w:rPr>
        <w:t xml:space="preserve">FORMULA</w:t>
      </w:r>
    </w:p>
    <w:p>
      <w:pPr>
        <w:pStyle w:val="CalloutFormula"/>
      </w:pPr>
      <w:r>
        <w:rPr>
          <w:bCs/>
          <w:b/>
        </w:rPr>
        <w:t xml:space="preserve">Cuckoo filter false-positive bound and space cost</w:t>
      </w:r>
    </w:p>
    <w:p>
      <w:pPr>
        <w:pStyle w:val="CalloutFormula"/>
      </w:pPr>
      <m:oMathPara>
        <m:oMathParaPr>
          <m:jc m:val="center"/>
        </m:oMathParaPr>
        <m:oMath>
          <m:r>
            <m:t>ε</m:t>
          </m:r>
          <m:r>
            <m:rPr>
              <m:sty m:val="p"/>
            </m:rPr>
            <m:t>≤</m:t>
          </m:r>
          <m:f>
            <m:fPr>
              <m:type m:val="bar"/>
            </m:fPr>
            <m:num>
              <m:r>
                <m:t>2</m:t>
              </m:r>
              <m:r>
                <m:t>b</m:t>
              </m:r>
            </m:num>
            <m:den>
              <m:sSup>
                <m:e>
                  <m:r>
                    <m:t>2</m:t>
                  </m:r>
                </m:e>
                <m:sup>
                  <m:r>
                    <m:t>f</m:t>
                  </m:r>
                </m:sup>
              </m:sSup>
            </m:den>
          </m:f>
          <m:r>
            <m:rPr>
              <m:sty m:val="p"/>
            </m:rPr>
            <m:t>,</m:t>
          </m:r>
          <m:r>
            <m:t>  </m:t>
          </m:r>
          <m:r>
            <m:t>f</m:t>
          </m:r>
          <m:r>
            <m:rPr>
              <m:sty m:val="p"/>
            </m:rPr>
            <m:t>≥</m:t>
          </m:r>
          <m:sSub>
            <m:e>
              <m:r>
                <m:rPr>
                  <m:sty m:val="p"/>
                </m:rPr>
                <m:t>log</m:t>
              </m:r>
            </m:e>
            <m:sub>
              <m:r>
                <m:t>2</m:t>
              </m:r>
            </m:sub>
          </m:sSub>
          <m:f>
            <m:fPr>
              <m:type m:val="bar"/>
            </m:fPr>
            <m:num>
              <m:r>
                <m:t>2</m:t>
              </m:r>
              <m:r>
                <m:t>b</m:t>
              </m:r>
            </m:num>
            <m:den>
              <m:r>
                <m:t>ε</m:t>
              </m:r>
            </m:den>
          </m:f>
          <m:r>
            <m:rPr>
              <m:sty m:val="p"/>
            </m:rPr>
            <m:t>,</m:t>
          </m:r>
          <m:r>
            <m:t>  </m:t>
          </m:r>
          <m:r>
            <m:rPr>
              <m:nor/>
              <m:sty m:val="p"/>
            </m:rPr>
            <m:t>bits per item</m:t>
          </m:r>
          <m:r>
            <m:rPr>
              <m:sty m:val="p"/>
            </m:rPr>
            <m:t>=</m:t>
          </m:r>
          <m:f>
            <m:fPr>
              <m:type m:val="bar"/>
            </m:fPr>
            <m:num>
              <m:r>
                <m:t>f</m:t>
              </m:r>
            </m:num>
            <m:den>
              <m:r>
                <m:t>α</m:t>
              </m:r>
            </m:den>
          </m:f>
          <m:r>
            <m:rPr>
              <m:sty m:val="p"/>
            </m:rPr>
            <m:t>≈</m:t>
          </m:r>
          <m:f>
            <m:fPr>
              <m:type m:val="bar"/>
            </m:fPr>
            <m:num>
              <m:sSub>
                <m:e>
                  <m:r>
                    <m:rPr>
                      <m:sty m:val="p"/>
                    </m:rPr>
                    <m:t>log</m:t>
                  </m:r>
                </m:e>
                <m:sub>
                  <m:r>
                    <m:t>2</m:t>
                  </m:r>
                </m:sub>
              </m:sSub>
              <m:d>
                <m:dPr>
                  <m:begChr m:val="("/>
                  <m:endChr m:val=")"/>
                  <m:sepChr m:val=""/>
                  <m:grow/>
                </m:dPr>
                <m:e>
                  <m:r>
                    <m:t>1</m:t>
                  </m:r>
                  <m:r>
                    <m:rPr>
                      <m:sty m:val="p"/>
                    </m:rPr>
                    <m:t>/</m:t>
                  </m:r>
                  <m:r>
                    <m:t>ε</m:t>
                  </m:r>
                </m:e>
              </m:d>
              <m:r>
                <m:rPr>
                  <m:sty m:val="p"/>
                </m:rPr>
                <m:t>+</m:t>
              </m:r>
              <m:sSub>
                <m:e>
                  <m:r>
                    <m:rPr>
                      <m:sty m:val="p"/>
                    </m:rPr>
                    <m:t>log</m:t>
                  </m:r>
                </m:e>
                <m:sub>
                  <m:r>
                    <m:t>2</m:t>
                  </m:r>
                </m:sub>
              </m:sSub>
              <m:d>
                <m:dPr>
                  <m:begChr m:val="("/>
                  <m:endChr m:val=")"/>
                  <m:sepChr m:val=""/>
                  <m:grow/>
                </m:dPr>
                <m:e>
                  <m:r>
                    <m:t>2</m:t>
                  </m:r>
                  <m:r>
                    <m:t>b</m:t>
                  </m:r>
                </m:e>
              </m:d>
            </m:num>
            <m:den>
              <m:r>
                <m:t>α</m:t>
              </m:r>
            </m:den>
          </m:f>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ε</m:t>
              </m:r>
            </m:oMath>
          </w:p>
        </w:tc>
        <w:tc>
          <w:tcPr/>
          <w:p>
            <w:pPr>
              <w:pStyle w:val="Compact"/>
              <w:jc w:val="left"/>
            </w:pPr>
            <w:r>
              <w:t xml:space="preserve">False-positive rate</w:t>
            </w:r>
          </w:p>
        </w:tc>
        <w:tc>
          <w:tcPr/>
          <w:p>
            <w:pPr>
              <w:pStyle w:val="Compact"/>
              <w:jc w:val="left"/>
            </w:pPr>
            <w:r>
              <w:t xml:space="preserve">probability</w:t>
            </w:r>
          </w:p>
        </w:tc>
      </w:tr>
      <w:tr>
        <w:tc>
          <w:tcPr/>
          <w:p>
            <w:pPr>
              <w:pStyle w:val="Compact"/>
              <w:jc w:val="left"/>
            </w:pPr>
            <m:oMath>
              <m:r>
                <m:t>b</m:t>
              </m:r>
            </m:oMath>
          </w:p>
        </w:tc>
        <w:tc>
          <w:tcPr/>
          <w:p>
            <w:pPr>
              <w:pStyle w:val="Compact"/>
              <w:jc w:val="left"/>
            </w:pPr>
            <w:r>
              <w:t xml:space="preserve">Slots per bucket (4 is the common choice)</w:t>
            </w:r>
          </w:p>
        </w:tc>
        <w:tc>
          <w:tcPr/>
          <w:p>
            <w:pPr>
              <w:pStyle w:val="Compact"/>
              <w:jc w:val="left"/>
            </w:pPr>
            <w:r>
              <w:t xml:space="preserve">slots</w:t>
            </w:r>
          </w:p>
        </w:tc>
      </w:tr>
      <w:tr>
        <w:tc>
          <w:tcPr/>
          <w:p>
            <w:pPr>
              <w:pStyle w:val="Compact"/>
              <w:jc w:val="left"/>
            </w:pPr>
            <m:oMath>
              <m:r>
                <m:t>f</m:t>
              </m:r>
            </m:oMath>
          </w:p>
        </w:tc>
        <w:tc>
          <w:tcPr/>
          <w:p>
            <w:pPr>
              <w:pStyle w:val="Compact"/>
              <w:jc w:val="left"/>
            </w:pPr>
            <w:r>
              <w:t xml:space="preserve">Fingerprint length</w:t>
            </w:r>
          </w:p>
        </w:tc>
        <w:tc>
          <w:tcPr/>
          <w:p>
            <w:pPr>
              <w:pStyle w:val="Compact"/>
              <w:jc w:val="left"/>
            </w:pPr>
            <w:r>
              <w:t xml:space="preserve">bits</w:t>
            </w:r>
          </w:p>
        </w:tc>
      </w:tr>
      <w:tr>
        <w:tc>
          <w:tcPr/>
          <w:p>
            <w:pPr>
              <w:pStyle w:val="Compact"/>
              <w:jc w:val="left"/>
            </w:pPr>
            <m:oMath>
              <m:r>
                <m:t>α</m:t>
              </m:r>
            </m:oMath>
          </w:p>
        </w:tc>
        <w:tc>
          <w:tcPr/>
          <w:p>
            <w:pPr>
              <w:pStyle w:val="Compact"/>
              <w:jc w:val="left"/>
            </w:pPr>
            <w:r>
              <w:t xml:space="preserve">Load factor reached before inserts fail (≈ 0.95 for</w:t>
            </w:r>
            <w:r>
              <w:t xml:space="preserve"> </w:t>
            </w:r>
            <m:oMath>
              <m:r>
                <m:t>b</m:t>
              </m:r>
              <m:r>
                <m:rPr>
                  <m:sty m:val="p"/>
                </m:rPr>
                <m:t>=</m:t>
              </m:r>
              <m:r>
                <m:t>4</m:t>
              </m:r>
            </m:oMath>
            <w:r>
              <w:t xml:space="preserve">)</w:t>
            </w:r>
          </w:p>
        </w:tc>
        <w:tc>
          <w:tcPr/>
          <w:p>
            <w:pPr>
              <w:pStyle w:val="Compact"/>
              <w:jc w:val="left"/>
            </w:pPr>
            <w:r>
              <w:t xml:space="preserve">fraction</w:t>
            </w:r>
          </w:p>
        </w:tc>
      </w:tr>
    </w:tbl>
    <w:p>
      <w:pPr>
        <w:pStyle w:val="CalloutExample"/>
      </w:pPr>
      <w:r>
        <w:rPr>
          <w:bCs/>
          <w:b/>
        </w:rPr>
        <w:t xml:space="preserve">WORKED EXAMPLE</w:t>
      </w:r>
    </w:p>
    <w:p>
      <w:pPr>
        <w:pStyle w:val="CalloutExample"/>
      </w:pPr>
      <w:r>
        <w:rPr>
          <w:bCs/>
          <w:b/>
        </w:rPr>
        <w:t xml:space="preserve">Worked example — cuckoo versus Bloom at 1% and 0.1%.</w:t>
      </w:r>
      <w:r>
        <w:t xml:space="preserve"> </w:t>
      </w:r>
      <w:r>
        <w:t xml:space="preserve">Take</w:t>
      </w:r>
      <w:r>
        <w:t xml:space="preserve"> </w:t>
      </w:r>
      <m:oMath>
        <m:r>
          <m:t>b</m:t>
        </m:r>
        <m:r>
          <m:rPr>
            <m:sty m:val="p"/>
          </m:rPr>
          <m:t>=</m:t>
        </m:r>
        <m:r>
          <m:t>4</m:t>
        </m:r>
      </m:oMath>
      <w:r>
        <w:t xml:space="preserve"> </w:t>
      </w:r>
      <w:r>
        <w:t xml:space="preserve">and</w:t>
      </w:r>
      <w:r>
        <w:t xml:space="preserve"> </w:t>
      </w:r>
      <m:oMath>
        <m:r>
          <m:t>α</m:t>
        </m:r>
        <m:r>
          <m:rPr>
            <m:sty m:val="p"/>
          </m:rPr>
          <m:t>=</m:t>
        </m:r>
        <m:r>
          <m:t>0.95</m:t>
        </m:r>
      </m:oMath>
      <w:r>
        <w:t xml:space="preserve">, so</w:t>
      </w:r>
      <w:r>
        <w:t xml:space="preserve"> </w:t>
      </w:r>
      <m:oMath>
        <m:sSub>
          <m:e>
            <m:r>
              <m:rPr>
                <m:sty m:val="p"/>
              </m:rPr>
              <m:t>log</m:t>
            </m:r>
          </m:e>
          <m:sub>
            <m:r>
              <m:t>2</m:t>
            </m:r>
          </m:sub>
        </m:sSub>
        <m:d>
          <m:dPr>
            <m:begChr m:val="("/>
            <m:endChr m:val=")"/>
            <m:sepChr m:val=""/>
            <m:grow/>
          </m:dPr>
          <m:e>
            <m:r>
              <m:t>2</m:t>
            </m:r>
            <m:r>
              <m:t>b</m:t>
            </m:r>
          </m:e>
        </m:d>
        <m:r>
          <m:rPr>
            <m:sty m:val="p"/>
          </m:rPr>
          <m:t>=</m:t>
        </m:r>
        <m:r>
          <m:t>3</m:t>
        </m:r>
      </m:oMath>
      <w:r>
        <w:t xml:space="preserve">.</w:t>
      </w:r>
    </w:p>
    <w:p>
      <w:pPr>
        <w:numPr>
          <w:ilvl w:val="0"/>
          <w:numId w:val="1569"/>
        </w:numPr>
        <w:pStyle w:val="Compact"/>
      </w:pPr>
      <w:r>
        <w:t xml:space="preserve">At</w:t>
      </w:r>
      <w:r>
        <w:t xml:space="preserve"> </w:t>
      </w:r>
      <m:oMath>
        <m:r>
          <m:t>ε</m:t>
        </m:r>
        <m:r>
          <m:rPr>
            <m:sty m:val="p"/>
          </m:rPr>
          <m:t>=</m:t>
        </m:r>
        <m:r>
          <m:t>1</m:t>
        </m:r>
        <m:r>
          <m:rPr>
            <m:sty m:val="p"/>
          </m:rPr>
          <m:t>%</m:t>
        </m:r>
      </m:oMath>
      <w:r>
        <w:t xml:space="preserve">:</w:t>
      </w:r>
      <w:r>
        <w:t xml:space="preserve"> </w:t>
      </w:r>
      <m:oMath>
        <m:sSub>
          <m:e>
            <m:r>
              <m:rPr>
                <m:sty m:val="p"/>
              </m:rPr>
              <m:t>log</m:t>
            </m:r>
          </m:e>
          <m:sub>
            <m:r>
              <m:t>2</m:t>
            </m:r>
          </m:sub>
        </m:sSub>
        <m:r>
          <m:t>100</m:t>
        </m:r>
        <m:r>
          <m:rPr>
            <m:sty m:val="p"/>
          </m:rPr>
          <m:t>=</m:t>
        </m:r>
        <m:r>
          <m:t>6.64</m:t>
        </m:r>
      </m:oMath>
      <w:r>
        <w:t xml:space="preserve">; cuckoo needs</w:t>
      </w:r>
      <w:r>
        <w:t xml:space="preserve"> </w:t>
      </w:r>
      <m:oMath>
        <m:d>
          <m:dPr>
            <m:begChr m:val="("/>
            <m:endChr m:val=")"/>
            <m:sepChr m:val=""/>
            <m:grow/>
          </m:dPr>
          <m:e>
            <m:r>
              <m:t>6.64</m:t>
            </m:r>
            <m:r>
              <m:rPr>
                <m:sty m:val="p"/>
              </m:rPr>
              <m:t>+</m:t>
            </m:r>
            <m:r>
              <m:t>3</m:t>
            </m:r>
          </m:e>
        </m:d>
        <m:r>
          <m:rPr>
            <m:sty m:val="p"/>
          </m:rPr>
          <m:t>/</m:t>
        </m:r>
        <m:r>
          <m:t>0.95</m:t>
        </m:r>
        <m:r>
          <m:rPr>
            <m:sty m:val="p"/>
          </m:rPr>
          <m:t>=</m:t>
        </m:r>
        <m:r>
          <m:t>10.1</m:t>
        </m:r>
      </m:oMath>
      <w:r>
        <w:t xml:space="preserve"> </w:t>
      </w:r>
      <w:r>
        <w:t xml:space="preserve">bits per item. Bloom needs 9.59.</w:t>
      </w:r>
    </w:p>
    <w:p>
      <w:pPr>
        <w:numPr>
          <w:ilvl w:val="0"/>
          <w:numId w:val="1569"/>
        </w:numPr>
        <w:pStyle w:val="Compact"/>
      </w:pPr>
      <w:r>
        <w:t xml:space="preserve">At</w:t>
      </w:r>
      <w:r>
        <w:t xml:space="preserve"> </w:t>
      </w:r>
      <m:oMath>
        <m:r>
          <m:t>ε</m:t>
        </m:r>
        <m:r>
          <m:rPr>
            <m:sty m:val="p"/>
          </m:rPr>
          <m:t>=</m:t>
        </m:r>
        <m:r>
          <m:t>0.1</m:t>
        </m:r>
        <m:r>
          <m:rPr>
            <m:sty m:val="p"/>
          </m:rPr>
          <m:t>%</m:t>
        </m:r>
      </m:oMath>
      <w:r>
        <w:t xml:space="preserve">:</w:t>
      </w:r>
      <w:r>
        <w:t xml:space="preserve"> </w:t>
      </w:r>
      <m:oMath>
        <m:sSub>
          <m:e>
            <m:r>
              <m:rPr>
                <m:sty m:val="p"/>
              </m:rPr>
              <m:t>log</m:t>
            </m:r>
          </m:e>
          <m:sub>
            <m:r>
              <m:t>2</m:t>
            </m:r>
          </m:sub>
        </m:sSub>
        <m:r>
          <m:t>1000</m:t>
        </m:r>
        <m:r>
          <m:rPr>
            <m:sty m:val="p"/>
          </m:rPr>
          <m:t>=</m:t>
        </m:r>
        <m:r>
          <m:t>9.97</m:t>
        </m:r>
      </m:oMath>
      <w:r>
        <w:t xml:space="preserve">; cuckoo needs</w:t>
      </w:r>
      <w:r>
        <w:t xml:space="preserve"> </w:t>
      </w:r>
      <m:oMath>
        <m:d>
          <m:dPr>
            <m:begChr m:val="("/>
            <m:endChr m:val=")"/>
            <m:sepChr m:val=""/>
            <m:grow/>
          </m:dPr>
          <m:e>
            <m:r>
              <m:t>9.97</m:t>
            </m:r>
            <m:r>
              <m:rPr>
                <m:sty m:val="p"/>
              </m:rPr>
              <m:t>+</m:t>
            </m:r>
            <m:r>
              <m:t>3</m:t>
            </m:r>
          </m:e>
        </m:d>
        <m:r>
          <m:rPr>
            <m:sty m:val="p"/>
          </m:rPr>
          <m:t>/</m:t>
        </m:r>
        <m:r>
          <m:t>0.95</m:t>
        </m:r>
        <m:r>
          <m:rPr>
            <m:sty m:val="p"/>
          </m:rPr>
          <m:t>=</m:t>
        </m:r>
        <m:r>
          <m:t>13.7</m:t>
        </m:r>
      </m:oMath>
      <w:r>
        <w:t xml:space="preserve"> </w:t>
      </w:r>
      <w:r>
        <w:t xml:space="preserve">bits. Bloom needs 14.38.</w:t>
      </w:r>
    </w:p>
    <w:p>
      <w:pPr>
        <w:numPr>
          <w:ilvl w:val="0"/>
          <w:numId w:val="1569"/>
        </w:numPr>
        <w:pStyle w:val="Compact"/>
      </w:pPr>
      <w:r>
        <w:t xml:space="preserve">Crossover: cuckoo wins when</w:t>
      </w:r>
      <w:r>
        <w:t xml:space="preserve"> </w:t>
      </w:r>
      <m:oMath>
        <m:r>
          <m:t>1.44</m:t>
        </m:r>
        <m:r>
          <m:t>x</m:t>
        </m:r>
        <m:r>
          <m:rPr>
            <m:sty m:val="p"/>
          </m:rPr>
          <m:t>&gt;</m:t>
        </m:r>
        <m:d>
          <m:dPr>
            <m:begChr m:val="("/>
            <m:endChr m:val=")"/>
            <m:sepChr m:val=""/>
            <m:grow/>
          </m:dPr>
          <m:e>
            <m:r>
              <m:t>x</m:t>
            </m:r>
            <m:r>
              <m:rPr>
                <m:sty m:val="p"/>
              </m:rPr>
              <m:t>+</m:t>
            </m:r>
            <m:r>
              <m:t>3</m:t>
            </m:r>
          </m:e>
        </m:d>
        <m:r>
          <m:rPr>
            <m:sty m:val="p"/>
          </m:rPr>
          <m:t>/</m:t>
        </m:r>
        <m:r>
          <m:t>0.95</m:t>
        </m:r>
      </m:oMath>
      <w:r>
        <w:t xml:space="preserve">, where</w:t>
      </w:r>
      <w:r>
        <w:t xml:space="preserve"> </w:t>
      </w:r>
      <m:oMath>
        <m:r>
          <m:t>x</m:t>
        </m:r>
        <m:r>
          <m:rPr>
            <m:sty m:val="p"/>
          </m:rPr>
          <m:t>=</m:t>
        </m:r>
        <m:sSub>
          <m:e>
            <m:r>
              <m:rPr>
                <m:sty m:val="p"/>
              </m:rPr>
              <m:t>log</m:t>
            </m:r>
          </m:e>
          <m:sub>
            <m:r>
              <m:t>2</m:t>
            </m:r>
          </m:sub>
        </m:sSub>
        <m:d>
          <m:dPr>
            <m:begChr m:val="("/>
            <m:endChr m:val=")"/>
            <m:sepChr m:val=""/>
            <m:grow/>
          </m:dPr>
          <m:e>
            <m:r>
              <m:t>1</m:t>
            </m:r>
            <m:r>
              <m:rPr>
                <m:sty m:val="p"/>
              </m:rPr>
              <m:t>/</m:t>
            </m:r>
            <m:r>
              <m:t>ε</m:t>
            </m:r>
          </m:e>
        </m:d>
      </m:oMath>
      <w:r>
        <w:t xml:space="preserve">, i.e. </w:t>
      </w:r>
      <m:oMath>
        <m:r>
          <m:t>1.37</m:t>
        </m:r>
        <m:r>
          <m:t>x</m:t>
        </m:r>
        <m:r>
          <m:rPr>
            <m:sty m:val="p"/>
          </m:rPr>
          <m:t>&gt;</m:t>
        </m:r>
        <m:r>
          <m:t>x</m:t>
        </m:r>
        <m:r>
          <m:rPr>
            <m:sty m:val="p"/>
          </m:rPr>
          <m:t>+</m:t>
        </m:r>
        <m:r>
          <m:t>3</m:t>
        </m:r>
      </m:oMath>
      <w:r>
        <w:t xml:space="preserve">, so</w:t>
      </w:r>
      <w:r>
        <w:t xml:space="preserve"> </w:t>
      </w:r>
      <m:oMath>
        <m:r>
          <m:t>x</m:t>
        </m:r>
        <m:r>
          <m:rPr>
            <m:sty m:val="p"/>
          </m:rPr>
          <m:t>&gt;</m:t>
        </m:r>
        <m:r>
          <m:t>8.1</m:t>
        </m:r>
      </m:oMath>
      <w:r>
        <w:t xml:space="preserve"> </w:t>
      </w:r>
      <w:r>
        <w:t xml:space="preserve">and</w:t>
      </w:r>
      <w:r>
        <w:t xml:space="preserve"> </w:t>
      </w:r>
      <m:oMath>
        <m:r>
          <m:t>ε</m:t>
        </m:r>
        <m:r>
          <m:rPr>
            <m:sty m:val="p"/>
          </m:rPr>
          <m:t>&lt;</m:t>
        </m:r>
        <m:r>
          <m:t>0.4</m:t>
        </m:r>
        <m:r>
          <m:rPr>
            <m:sty m:val="p"/>
          </m:rPr>
          <m:t>%</m:t>
        </m:r>
      </m:oMath>
      <w:r>
        <w:t xml:space="preserve">. Fan and colleagues’</w:t>
      </w:r>
      <w:r>
        <w:t xml:space="preserve"> </w:t>
      </w:r>
      <w:r>
        <w:rPr>
          <w:bCs/>
          <w:b/>
        </w:rPr>
        <w:t xml:space="preserve">semi-sorting</w:t>
      </w:r>
      <w:r>
        <w:t xml:space="preserve"> </w:t>
      </w:r>
      <w:r>
        <w:t xml:space="preserve">optimization saves one bit per item, which moves the crossover to about 3% [Fan et al. 2014].</w:t>
      </w:r>
    </w:p>
    <w:p>
      <w:pPr>
        <w:pStyle w:val="CalloutExample"/>
      </w:pPr>
      <w:r>
        <w:rPr>
          <w:iCs/>
          <w:i/>
        </w:rPr>
        <w:t xml:space="preserve">Interpretation.</w:t>
      </w:r>
      <w:r>
        <w:t xml:space="preserve"> </w:t>
      </w:r>
      <w:r>
        <w:t xml:space="preserve">Bloom filters pay 44% over the minimum</w:t>
      </w:r>
      <w:r>
        <w:t xml:space="preserve"> </w:t>
      </w:r>
      <m:oMath>
        <m:sSub>
          <m:e>
            <m:r>
              <m:rPr>
                <m:sty m:val="p"/>
              </m:rPr>
              <m:t>log</m:t>
            </m:r>
          </m:e>
          <m:sub>
            <m:r>
              <m:t>2</m:t>
            </m:r>
          </m:sub>
        </m:sSub>
        <m:d>
          <m:dPr>
            <m:begChr m:val="("/>
            <m:endChr m:val=")"/>
            <m:sepChr m:val=""/>
            <m:grow/>
          </m:dPr>
          <m:e>
            <m:r>
              <m:t>1</m:t>
            </m:r>
            <m:r>
              <m:rPr>
                <m:sty m:val="p"/>
              </m:rPr>
              <m:t>/</m:t>
            </m:r>
            <m:r>
              <m:t>ε</m:t>
            </m:r>
          </m:e>
        </m:d>
      </m:oMath>
      <w:r>
        <w:t xml:space="preserve">; cuckoo filters pay 2–3 bits plus load-factor loss.</w:t>
      </w:r>
      <w:r>
        <w:t xml:space="preserve"> </w:t>
      </w:r>
      <w:r>
        <w:rPr>
          <w:iCs/>
          <w:i/>
        </w:rPr>
        <w:t xml:space="preserve">Engineering implication.</w:t>
      </w:r>
      <w:r>
        <w:t xml:space="preserve"> </w:t>
      </w:r>
      <w:r>
        <w:t xml:space="preserve">For low rates or deletion, prefer a cuckoo filter; for rates of 3% or more on append-only sets, a Bloom filter is smaller, simpler, and degrades gracefully when overfilled instead of refusing inserts.</w:t>
      </w:r>
    </w:p>
    <w:bookmarkEnd w:id="1942"/>
    <w:bookmarkStart w:id="1943" w:name="code-example-18"/>
    <w:p>
      <w:pPr>
        <w:pStyle w:val="Heading4"/>
      </w:pPr>
      <w:r>
        <w:t xml:space="preserve">Code example</w:t>
      </w:r>
    </w:p>
    <w:p>
      <w:pPr>
        <w:pStyle w:val="SourceCode"/>
      </w:pPr>
      <w:r>
        <w:rPr>
          <w:rStyle w:val="ImportTok"/>
        </w:rPr>
        <w:t xml:space="preserve">import</w:t>
      </w:r>
      <w:r>
        <w:rPr>
          <w:rStyle w:val="NormalTok"/>
        </w:rPr>
        <w:t xml:space="preserve"> hashlib</w:t>
      </w:r>
      <w:r>
        <w:br/>
      </w:r>
      <w:r>
        <w:rPr>
          <w:rStyle w:val="ImportTok"/>
        </w:rPr>
        <w:t xml:space="preserve">import</w:t>
      </w:r>
      <w:r>
        <w:rPr>
          <w:rStyle w:val="NormalTok"/>
        </w:rPr>
        <w:t xml:space="preserve"> random</w:t>
      </w:r>
      <w:r>
        <w:br/>
      </w:r>
      <w:r>
        <w:br/>
      </w:r>
      <w:r>
        <w:rPr>
          <w:rStyle w:val="KeywordTok"/>
        </w:rPr>
        <w:t xml:space="preserve">class</w:t>
      </w:r>
      <w:r>
        <w:rPr>
          <w:rStyle w:val="NormalTok"/>
        </w:rPr>
        <w:t xml:space="preserve"> CuckooFilter:</w:t>
      </w:r>
      <w:r>
        <w:br/>
      </w:r>
      <w:r>
        <w:rPr>
          <w:rStyle w:val="NormalTok"/>
        </w:rPr>
        <w:t xml:space="preserve">    </w:t>
      </w:r>
      <w:r>
        <w:rPr>
          <w:rStyle w:val="CommentTok"/>
        </w:rPr>
        <w:t xml:space="preserve">"""Cuckoo filter (Fan et al. 2014): b slots per bucket, f-bit fingerprints,</w:t>
      </w:r>
      <w:r>
        <w:br/>
      </w:r>
      <w:r>
        <w:rPr>
          <w:rStyle w:val="CommentTok"/>
        </w:rPr>
        <w:t xml:space="preserve">    partial-key cuckoo hashing. Supports delete. num_buckets must be a power of two."""</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num_buckets: </w:t>
      </w:r>
      <w:r>
        <w:rPr>
          <w:rStyle w:val="BuiltInTok"/>
        </w:rPr>
        <w:t xml:space="preserve">int</w:t>
      </w:r>
      <w:r>
        <w:rPr>
          <w:rStyle w:val="NormalTok"/>
        </w:rPr>
        <w:t xml:space="preserve">, bucket_size: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fp_bits: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8</w:t>
      </w:r>
      <w:r>
        <w:rPr>
          <w:rStyle w:val="NormalTok"/>
        </w:rPr>
        <w:t xml:space="preserve">, max_kicks: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500</w:t>
      </w:r>
      <w:r>
        <w:rPr>
          <w:rStyle w:val="NormalTok"/>
        </w:rPr>
        <w:t xml:space="preserve">):</w:t>
      </w:r>
      <w:r>
        <w:br/>
      </w:r>
      <w:r>
        <w:rPr>
          <w:rStyle w:val="NormalTok"/>
        </w:rPr>
        <w:t xml:space="preserve">        </w:t>
      </w:r>
      <w:r>
        <w:rPr>
          <w:rStyle w:val="ControlFlowTok"/>
        </w:rPr>
        <w:t xml:space="preserve">assert</w:t>
      </w:r>
      <w:r>
        <w:rPr>
          <w:rStyle w:val="NormalTok"/>
        </w:rPr>
        <w:t xml:space="preserve"> num_buckets </w:t>
      </w:r>
      <w:r>
        <w:rPr>
          <w:rStyle w:val="OperatorTok"/>
        </w:rPr>
        <w:t xml:space="preserve">&amp;</w:t>
      </w:r>
      <w:r>
        <w:rPr>
          <w:rStyle w:val="NormalTok"/>
        </w:rPr>
        <w:t xml:space="preserve"> (num_buckets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.nb, </w:t>
      </w:r>
      <w:r>
        <w:rPr>
          <w:rStyle w:val="VariableTok"/>
        </w:rPr>
        <w:t xml:space="preserve">self</w:t>
      </w:r>
      <w:r>
        <w:rPr>
          <w:rStyle w:val="NormalTok"/>
        </w:rPr>
        <w:t xml:space="preserve">.b, </w:t>
      </w:r>
      <w:r>
        <w:rPr>
          <w:rStyle w:val="VariableTok"/>
        </w:rPr>
        <w:t xml:space="preserve">self</w:t>
      </w:r>
      <w:r>
        <w:rPr>
          <w:rStyle w:val="NormalTok"/>
        </w:rPr>
        <w:t xml:space="preserve">.f, </w:t>
      </w:r>
      <w:r>
        <w:rPr>
          <w:rStyle w:val="VariableTok"/>
        </w:rPr>
        <w:t xml:space="preserve">self</w:t>
      </w:r>
      <w:r>
        <w:rPr>
          <w:rStyle w:val="NormalTok"/>
        </w:rPr>
        <w:t xml:space="preserve">.max_kicks </w:t>
      </w:r>
      <w:r>
        <w:rPr>
          <w:rStyle w:val="OperatorTok"/>
        </w:rPr>
        <w:t xml:space="preserve">=</w:t>
      </w:r>
      <w:r>
        <w:rPr>
          <w:rStyle w:val="NormalTok"/>
        </w:rPr>
        <w:t xml:space="preserve"> num_buckets, bucket_size, fp_bits, max_kicks</w:t>
      </w:r>
      <w:r>
        <w:br/>
      </w:r>
      <w:r>
        <w:rPr>
          <w:rStyle w:val="NormalTok"/>
        </w:rPr>
        <w:t xml:space="preserve">        </w:t>
      </w:r>
      <w:r>
        <w:rPr>
          <w:rStyle w:val="VariableTok"/>
        </w:rPr>
        <w:t xml:space="preserve">self</w:t>
      </w:r>
      <w:r>
        <w:rPr>
          <w:rStyle w:val="NormalTok"/>
        </w:rPr>
        <w:t xml:space="preserve">.buckets </w:t>
      </w:r>
      <w:r>
        <w:rPr>
          <w:rStyle w:val="OperatorTok"/>
        </w:rPr>
        <w:t xml:space="preserve">=</w:t>
      </w:r>
      <w:r>
        <w:rPr>
          <w:rStyle w:val="NormalTok"/>
        </w:rPr>
        <w:t xml:space="preserve"> [[]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(num_buckets)]</w:t>
      </w:r>
      <w:r>
        <w:br/>
      </w:r>
      <w:r>
        <w:rPr>
          <w:rStyle w:val="NormalTok"/>
        </w:rPr>
        <w:t xml:space="preserve">        </w:t>
      </w:r>
      <w:r>
        <w:rPr>
          <w:rStyle w:val="VariableTok"/>
        </w:rPr>
        <w:t xml:space="preserve">self</w:t>
      </w:r>
      <w:r>
        <w:rPr>
          <w:rStyle w:val="NormalTok"/>
        </w:rPr>
        <w:t xml:space="preserve">.count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.victim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(bucket, fp) left homeless by a failed insert</w:t>
      </w:r>
      <w:r>
        <w:br/>
      </w:r>
      <w:r>
        <w:rPr>
          <w:rStyle w:val="NormalTok"/>
        </w:rPr>
        <w:t xml:space="preserve">        </w:t>
      </w:r>
      <w:r>
        <w:rPr>
          <w:rStyle w:val="VariableTok"/>
        </w:rPr>
        <w:t xml:space="preserve">self</w:t>
      </w:r>
      <w:r>
        <w:rPr>
          <w:rStyle w:val="NormalTok"/>
        </w:rPr>
        <w:t xml:space="preserve">.rng </w:t>
      </w:r>
      <w:r>
        <w:rPr>
          <w:rStyle w:val="OperatorTok"/>
        </w:rPr>
        <w:t xml:space="preserve">=</w:t>
      </w:r>
      <w:r>
        <w:rPr>
          <w:rStyle w:val="NormalTok"/>
        </w:rPr>
        <w:t xml:space="preserve"> random.Random(</w:t>
      </w:r>
      <w:r>
        <w:rPr>
          <w:rStyle w:val="DecValTok"/>
        </w:rPr>
        <w:t xml:space="preserve">7</w:t>
      </w:r>
      <w:r>
        <w:rPr>
          <w:rStyle w:val="NormalTok"/>
        </w:rPr>
        <w:t xml:space="preserve">)</w:t>
      </w:r>
      <w:r>
        <w:br/>
      </w:r>
      <w:r>
        <w:br/>
      </w:r>
      <w:r>
        <w:rPr>
          <w:rStyle w:val="NormalTok"/>
        </w:rPr>
        <w:t xml:space="preserve">    </w:t>
      </w:r>
      <w:r>
        <w:rPr>
          <w:rStyle w:val="KeywordTok"/>
        </w:rPr>
        <w:t xml:space="preserve">def</w:t>
      </w:r>
      <w:r>
        <w:rPr>
          <w:rStyle w:val="NormalTok"/>
        </w:rPr>
        <w:t xml:space="preserve"> _hash(</w:t>
      </w:r>
      <w:r>
        <w:rPr>
          <w:rStyle w:val="VariableTok"/>
        </w:rPr>
        <w:t xml:space="preserve">self</w:t>
      </w:r>
      <w:r>
        <w:rPr>
          <w:rStyle w:val="NormalTok"/>
        </w:rPr>
        <w:t xml:space="preserve">, data: </w:t>
      </w:r>
      <w:r>
        <w:rPr>
          <w:rStyle w:val="BuiltInTok"/>
        </w:rPr>
        <w:t xml:space="preserve">bytes</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int</w:t>
      </w:r>
      <w:r>
        <w:rPr>
          <w:rStyle w:val="NormalTok"/>
        </w:rPr>
        <w:t xml:space="preserve">.from_bytes(hashlib.blake2b(data, digest_size</w:t>
      </w:r>
      <w:r>
        <w:rPr>
          <w:rStyle w:val="OperatorTok"/>
        </w:rPr>
        <w:t xml:space="preserve">=</w:t>
      </w:r>
      <w:r>
        <w:rPr>
          <w:rStyle w:val="DecValTok"/>
        </w:rPr>
        <w:t xml:space="preserve">8</w:t>
      </w:r>
      <w:r>
        <w:rPr>
          <w:rStyle w:val="NormalTok"/>
        </w:rPr>
        <w:t xml:space="preserve">).digest(), </w:t>
      </w:r>
      <w:r>
        <w:rPr>
          <w:rStyle w:val="StringTok"/>
        </w:rPr>
        <w:t xml:space="preserve">"little"</w:t>
      </w:r>
      <w:r>
        <w:rPr>
          <w:rStyle w:val="NormalTok"/>
        </w:rPr>
        <w:t xml:space="preserve">)</w:t>
      </w:r>
      <w:r>
        <w:br/>
      </w:r>
      <w:r>
        <w:br/>
      </w:r>
      <w:r>
        <w:rPr>
          <w:rStyle w:val="NormalTok"/>
        </w:rPr>
        <w:t xml:space="preserve">    </w:t>
      </w:r>
      <w:r>
        <w:rPr>
          <w:rStyle w:val="KeywordTok"/>
        </w:rPr>
        <w:t xml:space="preserve">def</w:t>
      </w:r>
      <w:r>
        <w:rPr>
          <w:rStyle w:val="NormalTok"/>
        </w:rPr>
        <w:t xml:space="preserve"> _fingerprint_and_index(</w:t>
      </w:r>
      <w:r>
        <w:rPr>
          <w:rStyle w:val="VariableTok"/>
        </w:rPr>
        <w:t xml:space="preserve">self</w:t>
      </w:r>
      <w:r>
        <w:rPr>
          <w:rStyle w:val="NormalTok"/>
        </w:rPr>
        <w:t xml:space="preserve">, item: </w:t>
      </w:r>
      <w:r>
        <w:rPr>
          <w:rStyle w:val="BuiltInTok"/>
        </w:rPr>
        <w:t xml:space="preserve">str</w:t>
      </w:r>
      <w:r>
        <w:rPr>
          <w:rStyle w:val="NormalTok"/>
        </w:rPr>
        <w:t xml:space="preserve">):</w:t>
      </w:r>
      <w:r>
        <w:br/>
      </w:r>
      <w:r>
        <w:rPr>
          <w:rStyle w:val="NormalTok"/>
        </w:rPr>
        <w:t xml:space="preserve">        h </w:t>
      </w:r>
      <w:r>
        <w:rPr>
          <w:rStyle w:val="OperatorTok"/>
        </w:rPr>
        <w:t xml:space="preserve">=</w:t>
      </w:r>
      <w:r>
        <w:rPr>
          <w:rStyle w:val="NormalTok"/>
        </w:rPr>
        <w:t xml:space="preserve"> </w:t>
      </w:r>
      <w:r>
        <w:rPr>
          <w:rStyle w:val="VariableTok"/>
        </w:rPr>
        <w:t xml:space="preserve">self</w:t>
      </w:r>
      <w:r>
        <w:rPr>
          <w:rStyle w:val="NormalTok"/>
        </w:rPr>
        <w:t xml:space="preserve">._hash(item.encode())</w:t>
      </w:r>
      <w:r>
        <w:br/>
      </w:r>
      <w:r>
        <w:rPr>
          <w:rStyle w:val="NormalTok"/>
        </w:rPr>
        <w:t xml:space="preserve">        fp </w:t>
      </w:r>
      <w:r>
        <w:rPr>
          <w:rStyle w:val="OperatorTok"/>
        </w:rPr>
        <w:t xml:space="preserve">=</w:t>
      </w:r>
      <w:r>
        <w:rPr>
          <w:rStyle w:val="NormalTok"/>
        </w:rPr>
        <w:t xml:space="preserve"> (h </w:t>
      </w:r>
      <w:r>
        <w:rPr>
          <w:rStyle w:val="OperatorTok"/>
        </w:rPr>
        <w:t xml:space="preserve">&gt;&gt;</w:t>
      </w:r>
      <w:r>
        <w:rPr>
          <w:rStyle w:val="NormalTok"/>
        </w:rPr>
        <w:t xml:space="preserve"> </w:t>
      </w:r>
      <w:r>
        <w:rPr>
          <w:rStyle w:val="DecValTok"/>
        </w:rPr>
        <w:t xml:space="preserve">32</w:t>
      </w:r>
      <w:r>
        <w:rPr>
          <w:rStyle w:val="NormalTok"/>
        </w:rPr>
        <w:t xml:space="preserve">) </w:t>
      </w:r>
      <w:r>
        <w:rPr>
          <w:rStyle w:val="OperatorTok"/>
        </w:rPr>
        <w:t xml:space="preserve">&amp;</w:t>
      </w:r>
      <w:r>
        <w:rPr>
          <w:rStyle w:val="NormalTok"/>
        </w:rPr>
        <w:t xml:space="preserve"> ((</w:t>
      </w:r>
      <w:r>
        <w:rPr>
          <w:rStyle w:val="DecValTok"/>
        </w:rPr>
        <w:t xml:space="preserve">1</w:t>
      </w:r>
      <w:r>
        <w:rPr>
          <w:rStyle w:val="NormalTok"/>
        </w:rPr>
        <w:t xml:space="preserve"> </w:t>
      </w:r>
      <w:r>
        <w:rPr>
          <w:rStyle w:val="OperatorTok"/>
        </w:rPr>
        <w:t xml:space="preserve">&lt;&lt;</w:t>
      </w:r>
      <w:r>
        <w:rPr>
          <w:rStyle w:val="NormalTok"/>
        </w:rPr>
        <w:t xml:space="preserve"> </w:t>
      </w:r>
      <w:r>
        <w:rPr>
          <w:rStyle w:val="VariableTok"/>
        </w:rPr>
        <w:t xml:space="preserve">self</w:t>
      </w:r>
      <w:r>
        <w:rPr>
          <w:rStyle w:val="NormalTok"/>
        </w:rPr>
        <w:t xml:space="preserve">.f) </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or</w:t>
      </w:r>
      <w:r>
        <w:rPr>
          <w:rStyle w:val="NormalTok"/>
        </w:rPr>
        <w:t xml:space="preserve"> </w:t>
      </w:r>
      <w:r>
        <w:rPr>
          <w:rStyle w:val="DecValTok"/>
        </w:rPr>
        <w:t xml:space="preserve">1</w:t>
      </w:r>
      <w:r>
        <w:rPr>
          <w:rStyle w:val="NormalTok"/>
        </w:rPr>
        <w:t xml:space="preserve">       </w:t>
      </w:r>
      <w:r>
        <w:rPr>
          <w:rStyle w:val="CommentTok"/>
        </w:rPr>
        <w:t xml:space="preserve"># fingerprint 0 is reserved for "empty"</w:t>
      </w:r>
      <w:r>
        <w:br/>
      </w:r>
      <w:r>
        <w:rPr>
          <w:rStyle w:val="NormalTok"/>
        </w:rPr>
        <w:t xml:space="preserve">        </w:t>
      </w:r>
      <w:r>
        <w:rPr>
          <w:rStyle w:val="ControlFlowTok"/>
        </w:rPr>
        <w:t xml:space="preserve">return</w:t>
      </w:r>
      <w:r>
        <w:rPr>
          <w:rStyle w:val="NormalTok"/>
        </w:rPr>
        <w:t xml:space="preserve"> fp, (h </w:t>
      </w:r>
      <w:r>
        <w:rPr>
          <w:rStyle w:val="OperatorTok"/>
        </w:rPr>
        <w:t xml:space="preserve">&amp;</w:t>
      </w:r>
      <w:r>
        <w:rPr>
          <w:rStyle w:val="NormalTok"/>
        </w:rPr>
        <w:t xml:space="preserve"> </w:t>
      </w:r>
      <w:r>
        <w:rPr>
          <w:rStyle w:val="BaseNTok"/>
        </w:rPr>
        <w:t xml:space="preserve">0xFFFFFFFF</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.nb</w:t>
      </w:r>
      <w:r>
        <w:br/>
      </w:r>
      <w:r>
        <w:br/>
      </w:r>
      <w:r>
        <w:rPr>
          <w:rStyle w:val="NormalTok"/>
        </w:rPr>
        <w:t xml:space="preserve">    </w:t>
      </w:r>
      <w:r>
        <w:rPr>
          <w:rStyle w:val="KeywordTok"/>
        </w:rPr>
        <w:t xml:space="preserve">def</w:t>
      </w:r>
      <w:r>
        <w:rPr>
          <w:rStyle w:val="NormalTok"/>
        </w:rPr>
        <w:t xml:space="preserve"> _alt_index(</w:t>
      </w:r>
      <w:r>
        <w:rPr>
          <w:rStyle w:val="VariableTok"/>
        </w:rPr>
        <w:t xml:space="preserve">self</w:t>
      </w:r>
      <w:r>
        <w:rPr>
          <w:rStyle w:val="NormalTok"/>
        </w:rPr>
        <w:t xml:space="preserve">, index: </w:t>
      </w:r>
      <w:r>
        <w:rPr>
          <w:rStyle w:val="BuiltInTok"/>
        </w:rPr>
        <w:t xml:space="preserve">int</w:t>
      </w:r>
      <w:r>
        <w:rPr>
          <w:rStyle w:val="NormalTok"/>
        </w:rPr>
        <w:t xml:space="preserve">, fp: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 i2 = i1 XOR hash(fp): applying it twice returns the original bucket</w:t>
      </w:r>
      <w:r>
        <w:br/>
      </w:r>
      <w:r>
        <w:rPr>
          <w:rStyle w:val="NormalTok"/>
        </w:rPr>
        <w:t xml:space="preserve">        </w:t>
      </w:r>
      <w:r>
        <w:rPr>
          <w:rStyle w:val="ControlFlowTok"/>
        </w:rPr>
        <w:t xml:space="preserve">return</w:t>
      </w:r>
      <w:r>
        <w:rPr>
          <w:rStyle w:val="NormalTok"/>
        </w:rPr>
        <w:t xml:space="preserve"> (index </w:t>
      </w:r>
      <w:r>
        <w:rPr>
          <w:rStyle w:val="OperatorTok"/>
        </w:rPr>
        <w:t xml:space="preserve">^</w:t>
      </w:r>
      <w:r>
        <w:rPr>
          <w:rStyle w:val="NormalTok"/>
        </w:rPr>
        <w:t xml:space="preserve"> </w:t>
      </w:r>
      <w:r>
        <w:rPr>
          <w:rStyle w:val="VariableTok"/>
        </w:rPr>
        <w:t xml:space="preserve">self</w:t>
      </w:r>
      <w:r>
        <w:rPr>
          <w:rStyle w:val="NormalTok"/>
        </w:rPr>
        <w:t xml:space="preserve">._hash(fp.to_bytes(</w:t>
      </w:r>
      <w:r>
        <w:rPr>
          <w:rStyle w:val="DecValTok"/>
        </w:rPr>
        <w:t xml:space="preserve">4</w:t>
      </w:r>
      <w:r>
        <w:rPr>
          <w:rStyle w:val="NormalTok"/>
        </w:rPr>
        <w:t xml:space="preserve">, </w:t>
      </w:r>
      <w:r>
        <w:rPr>
          <w:rStyle w:val="StringTok"/>
        </w:rPr>
        <w:t xml:space="preserve">"little"</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.nb</w:t>
      </w:r>
      <w:r>
        <w:br/>
      </w:r>
      <w:r>
        <w:br/>
      </w:r>
      <w:r>
        <w:rPr>
          <w:rStyle w:val="NormalTok"/>
        </w:rPr>
        <w:t xml:space="preserve">    </w:t>
      </w:r>
      <w:r>
        <w:rPr>
          <w:rStyle w:val="KeywordTok"/>
        </w:rPr>
        <w:t xml:space="preserve">def</w:t>
      </w:r>
      <w:r>
        <w:rPr>
          <w:rStyle w:val="NormalTok"/>
        </w:rPr>
        <w:t xml:space="preserve"> add(</w:t>
      </w:r>
      <w:r>
        <w:rPr>
          <w:rStyle w:val="VariableTok"/>
        </w:rPr>
        <w:t xml:space="preserve">self</w:t>
      </w:r>
      <w:r>
        <w:rPr>
          <w:rStyle w:val="NormalTok"/>
        </w:rPr>
        <w:t xml:space="preserve">, item: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.victim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CommentTok"/>
        </w:rPr>
        <w:t xml:space="preserve"># full: refuse further inserts</w:t>
      </w:r>
      <w:r>
        <w:br/>
      </w:r>
      <w:r>
        <w:rPr>
          <w:rStyle w:val="NormalTok"/>
        </w:rPr>
        <w:t xml:space="preserve">        fp, i1 </w:t>
      </w:r>
      <w:r>
        <w:rPr>
          <w:rStyle w:val="OperatorTok"/>
        </w:rPr>
        <w:t xml:space="preserve">=</w:t>
      </w:r>
      <w:r>
        <w:rPr>
          <w:rStyle w:val="NormalTok"/>
        </w:rPr>
        <w:t xml:space="preserve"> </w:t>
      </w:r>
      <w:r>
        <w:rPr>
          <w:rStyle w:val="VariableTok"/>
        </w:rPr>
        <w:t xml:space="preserve">self</w:t>
      </w:r>
      <w:r>
        <w:rPr>
          <w:rStyle w:val="NormalTok"/>
        </w:rPr>
        <w:t xml:space="preserve">._fingerprint_and_index(item)</w:t>
      </w:r>
      <w:r>
        <w:br/>
      </w:r>
      <w:r>
        <w:rPr>
          <w:rStyle w:val="NormalTok"/>
        </w:rPr>
        <w:t xml:space="preserve">        i2 </w:t>
      </w:r>
      <w:r>
        <w:rPr>
          <w:rStyle w:val="OperatorTok"/>
        </w:rPr>
        <w:t xml:space="preserve">=</w:t>
      </w:r>
      <w:r>
        <w:rPr>
          <w:rStyle w:val="NormalTok"/>
        </w:rPr>
        <w:t xml:space="preserve"> </w:t>
      </w:r>
      <w:r>
        <w:rPr>
          <w:rStyle w:val="VariableTok"/>
        </w:rPr>
        <w:t xml:space="preserve">self</w:t>
      </w:r>
      <w:r>
        <w:rPr>
          <w:rStyle w:val="NormalTok"/>
        </w:rPr>
        <w:t xml:space="preserve">._alt_index(i1, fp)</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(i1, i2):</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.buckets[i]) </w:t>
      </w:r>
      <w:r>
        <w:rPr>
          <w:rStyle w:val="OperatorTok"/>
        </w:rPr>
        <w:t xml:space="preserve">&lt;</w:t>
      </w:r>
      <w:r>
        <w:rPr>
          <w:rStyle w:val="NormalTok"/>
        </w:rPr>
        <w:t xml:space="preserve"> </w:t>
      </w:r>
      <w:r>
        <w:rPr>
          <w:rStyle w:val="VariableTok"/>
        </w:rPr>
        <w:t xml:space="preserve">self</w:t>
      </w:r>
      <w:r>
        <w:rPr>
          <w:rStyle w:val="NormalTok"/>
        </w:rPr>
        <w:t xml:space="preserve">.b:</w:t>
      </w:r>
      <w:r>
        <w:br/>
      </w:r>
      <w:r>
        <w:rPr>
          <w:rStyle w:val="NormalTok"/>
        </w:rPr>
        <w:t xml:space="preserve">                </w:t>
      </w:r>
      <w:r>
        <w:rPr>
          <w:rStyle w:val="VariableTok"/>
        </w:rPr>
        <w:t xml:space="preserve">self</w:t>
      </w:r>
      <w:r>
        <w:rPr>
          <w:rStyle w:val="NormalTok"/>
        </w:rPr>
        <w:t xml:space="preserve">.buckets[i].append(fp)</w:t>
      </w:r>
      <w:r>
        <w:br/>
      </w:r>
      <w:r>
        <w:rPr>
          <w:rStyle w:val="NormalTok"/>
        </w:rPr>
        <w:t xml:space="preserve">                </w:t>
      </w:r>
      <w:r>
        <w:rPr>
          <w:rStyle w:val="VariableTok"/>
        </w:rPr>
        <w:t xml:space="preserve">self</w:t>
      </w:r>
      <w:r>
        <w:rPr>
          <w:rStyle w:val="NormalTok"/>
        </w:rPr>
        <w:t xml:space="preserve">.count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i </w:t>
      </w:r>
      <w:r>
        <w:rPr>
          <w:rStyle w:val="OperatorTok"/>
        </w:rPr>
        <w:t xml:space="preserve">=</w:t>
      </w:r>
      <w:r>
        <w:rPr>
          <w:rStyle w:val="NormalTok"/>
        </w:rPr>
        <w:t xml:space="preserve"> </w:t>
      </w:r>
      <w:r>
        <w:rPr>
          <w:rStyle w:val="VariableTok"/>
        </w:rPr>
        <w:t xml:space="preserve">self</w:t>
      </w:r>
      <w:r>
        <w:rPr>
          <w:rStyle w:val="NormalTok"/>
        </w:rPr>
        <w:t xml:space="preserve">.rng.choice((i1, i2))                    </w:t>
      </w:r>
      <w:r>
        <w:rPr>
          <w:rStyle w:val="CommentTok"/>
        </w:rPr>
        <w:t xml:space="preserve"># both full: evict ("kick") a victim</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.max_kicks):</w:t>
      </w:r>
      <w:r>
        <w:br/>
      </w:r>
      <w:r>
        <w:rPr>
          <w:rStyle w:val="NormalTok"/>
        </w:rPr>
        <w:t xml:space="preserve">            j </w:t>
      </w:r>
      <w:r>
        <w:rPr>
          <w:rStyle w:val="OperatorTok"/>
        </w:rPr>
        <w:t xml:space="preserve">=</w:t>
      </w:r>
      <w:r>
        <w:rPr>
          <w:rStyle w:val="NormalTok"/>
        </w:rPr>
        <w:t xml:space="preserve"> </w:t>
      </w:r>
      <w:r>
        <w:rPr>
          <w:rStyle w:val="VariableTok"/>
        </w:rPr>
        <w:t xml:space="preserve">self</w:t>
      </w:r>
      <w:r>
        <w:rPr>
          <w:rStyle w:val="NormalTok"/>
        </w:rPr>
        <w:t xml:space="preserve">.rng.randrange(</w:t>
      </w:r>
      <w:r>
        <w:rPr>
          <w:rStyle w:val="VariableTok"/>
        </w:rPr>
        <w:t xml:space="preserve">self</w:t>
      </w:r>
      <w:r>
        <w:rPr>
          <w:rStyle w:val="NormalTok"/>
        </w:rPr>
        <w:t xml:space="preserve">.b)</w:t>
      </w:r>
      <w:r>
        <w:br/>
      </w:r>
      <w:r>
        <w:rPr>
          <w:rStyle w:val="NormalTok"/>
        </w:rPr>
        <w:t xml:space="preserve">            fp, </w:t>
      </w:r>
      <w:r>
        <w:rPr>
          <w:rStyle w:val="VariableTok"/>
        </w:rPr>
        <w:t xml:space="preserve">self</w:t>
      </w:r>
      <w:r>
        <w:rPr>
          <w:rStyle w:val="NormalTok"/>
        </w:rPr>
        <w:t xml:space="preserve">.buckets[i][j] </w:t>
      </w:r>
      <w:r>
        <w:rPr>
          <w:rStyle w:val="OperatorTok"/>
        </w:rPr>
        <w:t xml:space="preserve">=</w:t>
      </w:r>
      <w:r>
        <w:rPr>
          <w:rStyle w:val="NormalTok"/>
        </w:rPr>
        <w:t xml:space="preserve"> </w:t>
      </w:r>
      <w:r>
        <w:rPr>
          <w:rStyle w:val="VariableTok"/>
        </w:rPr>
        <w:t xml:space="preserve">self</w:t>
      </w:r>
      <w:r>
        <w:rPr>
          <w:rStyle w:val="NormalTok"/>
        </w:rPr>
        <w:t xml:space="preserve">.buckets[i][j], fp</w:t>
      </w:r>
      <w:r>
        <w:br/>
      </w:r>
      <w:r>
        <w:rPr>
          <w:rStyle w:val="NormalTok"/>
        </w:rPr>
        <w:t xml:space="preserve">            i </w:t>
      </w:r>
      <w:r>
        <w:rPr>
          <w:rStyle w:val="OperatorTok"/>
        </w:rPr>
        <w:t xml:space="preserve">=</w:t>
      </w:r>
      <w:r>
        <w:rPr>
          <w:rStyle w:val="NormalTok"/>
        </w:rPr>
        <w:t xml:space="preserve"> </w:t>
      </w:r>
      <w:r>
        <w:rPr>
          <w:rStyle w:val="VariableTok"/>
        </w:rPr>
        <w:t xml:space="preserve">self</w:t>
      </w:r>
      <w:r>
        <w:rPr>
          <w:rStyle w:val="NormalTok"/>
        </w:rPr>
        <w:t xml:space="preserve">._alt_index(i, fp)</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.buckets[i]) </w:t>
      </w:r>
      <w:r>
        <w:rPr>
          <w:rStyle w:val="OperatorTok"/>
        </w:rPr>
        <w:t xml:space="preserve">&lt;</w:t>
      </w:r>
      <w:r>
        <w:rPr>
          <w:rStyle w:val="NormalTok"/>
        </w:rPr>
        <w:t xml:space="preserve"> </w:t>
      </w:r>
      <w:r>
        <w:rPr>
          <w:rStyle w:val="VariableTok"/>
        </w:rPr>
        <w:t xml:space="preserve">self</w:t>
      </w:r>
      <w:r>
        <w:rPr>
          <w:rStyle w:val="NormalTok"/>
        </w:rPr>
        <w:t xml:space="preserve">.b:</w:t>
      </w:r>
      <w:r>
        <w:br/>
      </w:r>
      <w:r>
        <w:rPr>
          <w:rStyle w:val="NormalTok"/>
        </w:rPr>
        <w:t xml:space="preserve">                </w:t>
      </w:r>
      <w:r>
        <w:rPr>
          <w:rStyle w:val="VariableTok"/>
        </w:rPr>
        <w:t xml:space="preserve">self</w:t>
      </w:r>
      <w:r>
        <w:rPr>
          <w:rStyle w:val="NormalTok"/>
        </w:rPr>
        <w:t xml:space="preserve">.buckets[i].append(fp)</w:t>
      </w:r>
      <w:r>
        <w:br/>
      </w:r>
      <w:r>
        <w:rPr>
          <w:rStyle w:val="NormalTok"/>
        </w:rPr>
        <w:t xml:space="preserve">                </w:t>
      </w:r>
      <w:r>
        <w:rPr>
          <w:rStyle w:val="VariableTok"/>
        </w:rPr>
        <w:t xml:space="preserve">self</w:t>
      </w:r>
      <w:r>
        <w:rPr>
          <w:rStyle w:val="NormalTok"/>
        </w:rPr>
        <w:t xml:space="preserve">.count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VariableTok"/>
        </w:rPr>
        <w:t xml:space="preserve">self</w:t>
      </w:r>
      <w:r>
        <w:rPr>
          <w:rStyle w:val="NormalTok"/>
        </w:rPr>
        <w:t xml:space="preserve">.victim </w:t>
      </w:r>
      <w:r>
        <w:rPr>
          <w:rStyle w:val="OperatorTok"/>
        </w:rPr>
        <w:t xml:space="preserve">=</w:t>
      </w:r>
      <w:r>
        <w:rPr>
          <w:rStyle w:val="NormalTok"/>
        </w:rPr>
        <w:t xml:space="preserve"> (i, fp)                            </w:t>
      </w:r>
      <w:r>
        <w:rPr>
          <w:rStyle w:val="CommentTok"/>
        </w:rPr>
        <w:t xml:space="preserve"># keep the homeless fingerprint</w:t>
      </w:r>
      <w:r>
        <w:br/>
      </w:r>
      <w:r>
        <w:rPr>
          <w:rStyle w:val="NormalTok"/>
        </w:rPr>
        <w:t xml:space="preserve">        </w:t>
      </w:r>
      <w:r>
        <w:rPr>
          <w:rStyle w:val="VariableTok"/>
        </w:rPr>
        <w:t xml:space="preserve">self</w:t>
      </w:r>
      <w:r>
        <w:rPr>
          <w:rStyle w:val="NormalTok"/>
        </w:rPr>
        <w:t xml:space="preserve">.count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so nothing is ever lost</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    </w:t>
      </w:r>
      <w:r>
        <w:rPr>
          <w:rStyle w:val="KeywordTok"/>
        </w:rPr>
        <w:t xml:space="preserve">def</w:t>
      </w:r>
      <w:r>
        <w:rPr>
          <w:rStyle w:val="NormalTok"/>
        </w:rPr>
        <w:t xml:space="preserve"> </w:t>
      </w:r>
      <w:r>
        <w:rPr>
          <w:rStyle w:val="FunctionTok"/>
        </w:rPr>
        <w:t xml:space="preserve">__contains__</w:t>
      </w:r>
      <w:r>
        <w:rPr>
          <w:rStyle w:val="NormalTok"/>
        </w:rPr>
        <w:t xml:space="preserve">(</w:t>
      </w:r>
      <w:r>
        <w:rPr>
          <w:rStyle w:val="VariableTok"/>
        </w:rPr>
        <w:t xml:space="preserve">self</w:t>
      </w:r>
      <w:r>
        <w:rPr>
          <w:rStyle w:val="NormalTok"/>
        </w:rPr>
        <w:t xml:space="preserve">, item: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fp, i1 </w:t>
      </w:r>
      <w:r>
        <w:rPr>
          <w:rStyle w:val="OperatorTok"/>
        </w:rPr>
        <w:t xml:space="preserve">=</w:t>
      </w:r>
      <w:r>
        <w:rPr>
          <w:rStyle w:val="NormalTok"/>
        </w:rPr>
        <w:t xml:space="preserve"> </w:t>
      </w:r>
      <w:r>
        <w:rPr>
          <w:rStyle w:val="VariableTok"/>
        </w:rPr>
        <w:t xml:space="preserve">self</w:t>
      </w:r>
      <w:r>
        <w:rPr>
          <w:rStyle w:val="NormalTok"/>
        </w:rPr>
        <w:t xml:space="preserve">._fingerprint_and_index(item)</w:t>
      </w:r>
      <w:r>
        <w:br/>
      </w:r>
      <w:r>
        <w:rPr>
          <w:rStyle w:val="NormalTok"/>
        </w:rPr>
        <w:t xml:space="preserve">        i2 </w:t>
      </w:r>
      <w:r>
        <w:rPr>
          <w:rStyle w:val="OperatorTok"/>
        </w:rPr>
        <w:t xml:space="preserve">=</w:t>
      </w:r>
      <w:r>
        <w:rPr>
          <w:rStyle w:val="NormalTok"/>
        </w:rPr>
        <w:t xml:space="preserve"> </w:t>
      </w:r>
      <w:r>
        <w:rPr>
          <w:rStyle w:val="VariableTok"/>
        </w:rPr>
        <w:t xml:space="preserve">self</w:t>
      </w:r>
      <w:r>
        <w:rPr>
          <w:rStyle w:val="NormalTok"/>
        </w:rPr>
        <w:t xml:space="preserve">._alt_index(i1, fp)</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.victim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w:t>
      </w:r>
      <w:r>
        <w:rPr>
          <w:rStyle w:val="VariableTok"/>
        </w:rPr>
        <w:t xml:space="preserve">self</w:t>
      </w:r>
      <w:r>
        <w:rPr>
          <w:rStyle w:val="NormalTok"/>
        </w:rPr>
        <w:t xml:space="preserve">.victim[</w:t>
      </w:r>
      <w:r>
        <w:rPr>
          <w:rStyle w:val="DecValTok"/>
        </w:rPr>
        <w:t xml:space="preserve">1</w:t>
      </w:r>
      <w:r>
        <w:rPr>
          <w:rStyle w:val="NormalTok"/>
        </w:rPr>
        <w:t xml:space="preserve">] </w:t>
      </w:r>
      <w:r>
        <w:rPr>
          <w:rStyle w:val="OperatorTok"/>
        </w:rPr>
        <w:t xml:space="preserve">==</w:t>
      </w:r>
      <w:r>
        <w:rPr>
          <w:rStyle w:val="NormalTok"/>
        </w:rPr>
        <w:t xml:space="preserve"> fp </w:t>
      </w:r>
      <w:r>
        <w:rPr>
          <w:rStyle w:val="KeywordTok"/>
        </w:rPr>
        <w:t xml:space="preserve">and</w:t>
      </w:r>
      <w:r>
        <w:rPr>
          <w:rStyle w:val="NormalTok"/>
        </w:rPr>
        <w:t xml:space="preserve"> </w:t>
      </w:r>
      <w:r>
        <w:rPr>
          <w:rStyle w:val="VariableTok"/>
        </w:rPr>
        <w:t xml:space="preserve">self</w:t>
      </w:r>
      <w:r>
        <w:rPr>
          <w:rStyle w:val="NormalTok"/>
        </w:rPr>
        <w:t xml:space="preserve">.victim[</w:t>
      </w:r>
      <w:r>
        <w:rPr>
          <w:rStyle w:val="DecValTok"/>
        </w:rPr>
        <w:t xml:space="preserve">0</w:t>
      </w:r>
      <w:r>
        <w:rPr>
          <w:rStyle w:val="NormalTok"/>
        </w:rPr>
        <w:t xml:space="preserve">] </w:t>
      </w:r>
      <w:r>
        <w:rPr>
          <w:rStyle w:val="KeywordTok"/>
        </w:rPr>
        <w:t xml:space="preserve">in</w:t>
      </w:r>
      <w:r>
        <w:rPr>
          <w:rStyle w:val="NormalTok"/>
        </w:rPr>
        <w:t xml:space="preserve"> (i1, i2):</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return</w:t>
      </w:r>
      <w:r>
        <w:rPr>
          <w:rStyle w:val="NormalTok"/>
        </w:rPr>
        <w:t xml:space="preserve"> fp </w:t>
      </w:r>
      <w:r>
        <w:rPr>
          <w:rStyle w:val="KeywordTok"/>
        </w:rPr>
        <w:t xml:space="preserve">in</w:t>
      </w:r>
      <w:r>
        <w:rPr>
          <w:rStyle w:val="NormalTok"/>
        </w:rPr>
        <w:t xml:space="preserve"> </w:t>
      </w:r>
      <w:r>
        <w:rPr>
          <w:rStyle w:val="VariableTok"/>
        </w:rPr>
        <w:t xml:space="preserve">self</w:t>
      </w:r>
      <w:r>
        <w:rPr>
          <w:rStyle w:val="NormalTok"/>
        </w:rPr>
        <w:t xml:space="preserve">.buckets[i1] </w:t>
      </w:r>
      <w:r>
        <w:rPr>
          <w:rStyle w:val="KeywordTok"/>
        </w:rPr>
        <w:t xml:space="preserve">or</w:t>
      </w:r>
      <w:r>
        <w:rPr>
          <w:rStyle w:val="NormalTok"/>
        </w:rPr>
        <w:t xml:space="preserve"> fp </w:t>
      </w:r>
      <w:r>
        <w:rPr>
          <w:rStyle w:val="KeywordTok"/>
        </w:rPr>
        <w:t xml:space="preserve">in</w:t>
      </w:r>
      <w:r>
        <w:rPr>
          <w:rStyle w:val="NormalTok"/>
        </w:rPr>
        <w:t xml:space="preserve"> </w:t>
      </w:r>
      <w:r>
        <w:rPr>
          <w:rStyle w:val="VariableTok"/>
        </w:rPr>
        <w:t xml:space="preserve">self</w:t>
      </w:r>
      <w:r>
        <w:rPr>
          <w:rStyle w:val="NormalTok"/>
        </w:rPr>
        <w:t xml:space="preserve">.buckets[i2]</w:t>
      </w:r>
      <w:r>
        <w:br/>
      </w:r>
      <w:r>
        <w:br/>
      </w:r>
      <w:r>
        <w:rPr>
          <w:rStyle w:val="NormalTok"/>
        </w:rPr>
        <w:t xml:space="preserve">    </w:t>
      </w:r>
      <w:r>
        <w:rPr>
          <w:rStyle w:val="KeywordTok"/>
        </w:rPr>
        <w:t xml:space="preserve">def</w:t>
      </w:r>
      <w:r>
        <w:rPr>
          <w:rStyle w:val="NormalTok"/>
        </w:rPr>
        <w:t xml:space="preserve"> delete(</w:t>
      </w:r>
      <w:r>
        <w:rPr>
          <w:rStyle w:val="VariableTok"/>
        </w:rPr>
        <w:t xml:space="preserve">self</w:t>
      </w:r>
      <w:r>
        <w:rPr>
          <w:rStyle w:val="NormalTok"/>
        </w:rPr>
        <w:t xml:space="preserve">, item: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fp, i1 </w:t>
      </w:r>
      <w:r>
        <w:rPr>
          <w:rStyle w:val="OperatorTok"/>
        </w:rPr>
        <w:t xml:space="preserve">=</w:t>
      </w:r>
      <w:r>
        <w:rPr>
          <w:rStyle w:val="NormalTok"/>
        </w:rPr>
        <w:t xml:space="preserve"> </w:t>
      </w:r>
      <w:r>
        <w:rPr>
          <w:rStyle w:val="VariableTok"/>
        </w:rPr>
        <w:t xml:space="preserve">self</w:t>
      </w:r>
      <w:r>
        <w:rPr>
          <w:rStyle w:val="NormalTok"/>
        </w:rPr>
        <w:t xml:space="preserve">._fingerprint_and_index(item)</w:t>
      </w:r>
      <w:r>
        <w:br/>
      </w:r>
      <w:r>
        <w:rPr>
          <w:rStyle w:val="NormalTok"/>
        </w:rPr>
        <w:t xml:space="preserve">        i2 </w:t>
      </w:r>
      <w:r>
        <w:rPr>
          <w:rStyle w:val="OperatorTok"/>
        </w:rPr>
        <w:t xml:space="preserve">=</w:t>
      </w:r>
      <w:r>
        <w:rPr>
          <w:rStyle w:val="NormalTok"/>
        </w:rPr>
        <w:t xml:space="preserve"> </w:t>
      </w:r>
      <w:r>
        <w:rPr>
          <w:rStyle w:val="VariableTok"/>
        </w:rPr>
        <w:t xml:space="preserve">self</w:t>
      </w:r>
      <w:r>
        <w:rPr>
          <w:rStyle w:val="NormalTok"/>
        </w:rPr>
        <w:t xml:space="preserve">._alt_index(i1, fp)</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.victim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w:t>
      </w:r>
      <w:r>
        <w:rPr>
          <w:rStyle w:val="VariableTok"/>
        </w:rPr>
        <w:t xml:space="preserve">self</w:t>
      </w:r>
      <w:r>
        <w:rPr>
          <w:rStyle w:val="NormalTok"/>
        </w:rPr>
        <w:t xml:space="preserve">.victim[</w:t>
      </w:r>
      <w:r>
        <w:rPr>
          <w:rStyle w:val="DecValTok"/>
        </w:rPr>
        <w:t xml:space="preserve">1</w:t>
      </w:r>
      <w:r>
        <w:rPr>
          <w:rStyle w:val="NormalTok"/>
        </w:rPr>
        <w:t xml:space="preserve">] </w:t>
      </w:r>
      <w:r>
        <w:rPr>
          <w:rStyle w:val="OperatorTok"/>
        </w:rPr>
        <w:t xml:space="preserve">==</w:t>
      </w:r>
      <w:r>
        <w:rPr>
          <w:rStyle w:val="NormalTok"/>
        </w:rPr>
        <w:t xml:space="preserve"> fp </w:t>
      </w:r>
      <w:r>
        <w:rPr>
          <w:rStyle w:val="KeywordTok"/>
        </w:rPr>
        <w:t xml:space="preserve">and</w:t>
      </w:r>
      <w:r>
        <w:rPr>
          <w:rStyle w:val="NormalTok"/>
        </w:rPr>
        <w:t xml:space="preserve"> </w:t>
      </w:r>
      <w:r>
        <w:rPr>
          <w:rStyle w:val="VariableTok"/>
        </w:rPr>
        <w:t xml:space="preserve">self</w:t>
      </w:r>
      <w:r>
        <w:rPr>
          <w:rStyle w:val="NormalTok"/>
        </w:rPr>
        <w:t xml:space="preserve">.victim[</w:t>
      </w:r>
      <w:r>
        <w:rPr>
          <w:rStyle w:val="DecValTok"/>
        </w:rPr>
        <w:t xml:space="preserve">0</w:t>
      </w:r>
      <w:r>
        <w:rPr>
          <w:rStyle w:val="NormalTok"/>
        </w:rPr>
        <w:t xml:space="preserve">] </w:t>
      </w:r>
      <w:r>
        <w:rPr>
          <w:rStyle w:val="KeywordTok"/>
        </w:rPr>
        <w:t xml:space="preserve">in</w:t>
      </w:r>
      <w:r>
        <w:rPr>
          <w:rStyle w:val="NormalTok"/>
        </w:rPr>
        <w:t xml:space="preserve"> (i1, i2):</w:t>
      </w:r>
      <w:r>
        <w:br/>
      </w:r>
      <w:r>
        <w:rPr>
          <w:rStyle w:val="NormalTok"/>
        </w:rPr>
        <w:t xml:space="preserve">            </w:t>
      </w:r>
      <w:r>
        <w:rPr>
          <w:rStyle w:val="VariableTok"/>
        </w:rPr>
        <w:t xml:space="preserve">self</w:t>
      </w:r>
      <w:r>
        <w:rPr>
          <w:rStyle w:val="NormalTok"/>
        </w:rPr>
        <w:t xml:space="preserve">.victim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.count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(i1, i2):</w:t>
      </w:r>
      <w:r>
        <w:br/>
      </w:r>
      <w:r>
        <w:rPr>
          <w:rStyle w:val="NormalTok"/>
        </w:rPr>
        <w:t xml:space="preserve">            </w:t>
      </w:r>
      <w:r>
        <w:rPr>
          <w:rStyle w:val="ControlFlowTok"/>
        </w:rPr>
        <w:t xml:space="preserve">if</w:t>
      </w:r>
      <w:r>
        <w:rPr>
          <w:rStyle w:val="NormalTok"/>
        </w:rPr>
        <w:t xml:space="preserve"> fp </w:t>
      </w:r>
      <w:r>
        <w:rPr>
          <w:rStyle w:val="KeywordTok"/>
        </w:rPr>
        <w:t xml:space="preserve">in</w:t>
      </w:r>
      <w:r>
        <w:rPr>
          <w:rStyle w:val="NormalTok"/>
        </w:rPr>
        <w:t xml:space="preserve"> </w:t>
      </w:r>
      <w:r>
        <w:rPr>
          <w:rStyle w:val="VariableTok"/>
        </w:rPr>
        <w:t xml:space="preserve">self</w:t>
      </w:r>
      <w:r>
        <w:rPr>
          <w:rStyle w:val="NormalTok"/>
        </w:rPr>
        <w:t xml:space="preserve">.buckets[i]:</w:t>
      </w:r>
      <w:r>
        <w:br/>
      </w:r>
      <w:r>
        <w:rPr>
          <w:rStyle w:val="NormalTok"/>
        </w:rPr>
        <w:t xml:space="preserve">                </w:t>
      </w:r>
      <w:r>
        <w:rPr>
          <w:rStyle w:val="VariableTok"/>
        </w:rPr>
        <w:t xml:space="preserve">self</w:t>
      </w:r>
      <w:r>
        <w:rPr>
          <w:rStyle w:val="NormalTok"/>
        </w:rPr>
        <w:t xml:space="preserve">.buckets[i].remove(fp)</w:t>
      </w:r>
      <w:r>
        <w:br/>
      </w:r>
      <w:r>
        <w:rPr>
          <w:rStyle w:val="NormalTok"/>
        </w:rPr>
        <w:t xml:space="preserve">                </w:t>
      </w:r>
      <w:r>
        <w:rPr>
          <w:rStyle w:val="VariableTok"/>
        </w:rPr>
        <w:t xml:space="preserve">self</w:t>
      </w:r>
      <w:r>
        <w:rPr>
          <w:rStyle w:val="NormalTok"/>
        </w:rPr>
        <w:t xml:space="preserve">.count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cf </w:t>
      </w:r>
      <w:r>
        <w:rPr>
          <w:rStyle w:val="OperatorTok"/>
        </w:rPr>
        <w:t xml:space="preserve">=</w:t>
      </w:r>
      <w:r>
        <w:rPr>
          <w:rStyle w:val="NormalTok"/>
        </w:rPr>
        <w:t xml:space="preserve"> CuckooFilter(num_buckets</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15</w:t>
      </w:r>
      <w:r>
        <w:rPr>
          <w:rStyle w:val="NormalTok"/>
        </w:rPr>
        <w:t xml:space="preserve">, bucket_size</w:t>
      </w:r>
      <w:r>
        <w:rPr>
          <w:rStyle w:val="OperatorTok"/>
        </w:rPr>
        <w:t xml:space="preserve">=</w:t>
      </w:r>
      <w:r>
        <w:rPr>
          <w:rStyle w:val="DecValTok"/>
        </w:rPr>
        <w:t xml:space="preserve">4</w:t>
      </w:r>
      <w:r>
        <w:rPr>
          <w:rStyle w:val="NormalTok"/>
        </w:rPr>
        <w:t xml:space="preserve">, fp_bits</w:t>
      </w:r>
      <w:r>
        <w:rPr>
          <w:rStyle w:val="OperatorTok"/>
        </w:rPr>
        <w:t xml:space="preserve">=</w:t>
      </w:r>
      <w:r>
        <w:rPr>
          <w:rStyle w:val="DecValTok"/>
        </w:rPr>
        <w:t xml:space="preserve">8</w:t>
      </w:r>
      <w:r>
        <w:rPr>
          <w:rStyle w:val="NormalTok"/>
        </w:rPr>
        <w:t xml:space="preserve">)   </w:t>
      </w:r>
      <w:r>
        <w:rPr>
          <w:rStyle w:val="CommentTok"/>
        </w:rPr>
        <w:t xml:space="preserve"># 131,072 slots</w:t>
      </w:r>
      <w:r>
        <w:br/>
      </w:r>
      <w:r>
        <w:rPr>
          <w:rStyle w:val="NormalTok"/>
        </w:rPr>
        <w:t xml:space="preserve">capacity </w:t>
      </w:r>
      <w:r>
        <w:rPr>
          <w:rStyle w:val="OperatorTok"/>
        </w:rPr>
        <w:t xml:space="preserve">=</w:t>
      </w:r>
      <w:r>
        <w:rPr>
          <w:rStyle w:val="NormalTok"/>
        </w:rPr>
        <w:t xml:space="preserve"> cf.nb </w:t>
      </w:r>
      <w:r>
        <w:rPr>
          <w:rStyle w:val="OperatorTok"/>
        </w:rPr>
        <w:t xml:space="preserve">*</w:t>
      </w:r>
      <w:r>
        <w:rPr>
          <w:rStyle w:val="NormalTok"/>
        </w:rPr>
        <w:t xml:space="preserve"> cf.b</w:t>
      </w:r>
      <w:r>
        <w:br/>
      </w:r>
      <w:r>
        <w:rPr>
          <w:rStyle w:val="NormalTok"/>
        </w:rPr>
        <w:t xml:space="preserve">inserted </w:t>
      </w:r>
      <w:r>
        <w:rPr>
          <w:rStyle w:val="OperatorTok"/>
        </w:rPr>
        <w:t xml:space="preserve">=</w:t>
      </w:r>
      <w:r>
        <w:rPr>
          <w:rStyle w:val="NormalTok"/>
        </w:rPr>
        <w:t xml:space="preserve"> </w:t>
      </w:r>
      <w:r>
        <w:rPr>
          <w:rStyle w:val="DecValTok"/>
        </w:rPr>
        <w:t xml:space="preserve">0</w:t>
      </w:r>
      <w:r>
        <w:br/>
      </w:r>
      <w:r>
        <w:rPr>
          <w:rStyle w:val="ControlFlowTok"/>
        </w:rPr>
        <w:t xml:space="preserve">while</w:t>
      </w:r>
      <w:r>
        <w:rPr>
          <w:rStyle w:val="NormalTok"/>
        </w:rPr>
        <w:t xml:space="preserve"> cf.add(</w:t>
      </w:r>
      <w:r>
        <w:rPr>
          <w:rStyle w:val="SpecialStringTok"/>
        </w:rPr>
        <w:t xml:space="preserve">f"member-</w:t>
      </w:r>
      <w:r>
        <w:rPr>
          <w:rStyle w:val="SpecialCharTok"/>
        </w:rPr>
        <w:t xml:space="preserve">{</w:t>
      </w:r>
      <w:r>
        <w:rPr>
          <w:rStyle w:val="NormalTok"/>
        </w:rPr>
        <w:t xml:space="preserve">inserted</w:t>
      </w:r>
      <w:r>
        <w:rPr>
          <w:rStyle w:val="SpecialCharTok"/>
        </w:rPr>
        <w:t xml:space="preserve">}</w:t>
      </w:r>
      <w:r>
        <w:rPr>
          <w:rStyle w:val="SpecialStringTok"/>
        </w:rPr>
        <w:t xml:space="preserve">"</w:t>
      </w:r>
      <w:r>
        <w:rPr>
          <w:rStyle w:val="NormalTok"/>
        </w:rPr>
        <w:t xml:space="preserve">):</w:t>
      </w:r>
      <w:r>
        <w:br/>
      </w:r>
      <w:r>
        <w:rPr>
          <w:rStyle w:val="NormalTok"/>
        </w:rPr>
        <w:t xml:space="preserve">    inserted </w:t>
      </w:r>
      <w:r>
        <w:rPr>
          <w:rStyle w:val="OperatorTok"/>
        </w:rPr>
        <w:t xml:space="preserve">+=</w:t>
      </w:r>
      <w:r>
        <w:rPr>
          <w:rStyle w:val="NormalTok"/>
        </w:rPr>
        <w:t xml:space="preserve"> </w:t>
      </w:r>
      <w:r>
        <w:rPr>
          <w:rStyle w:val="DecValTok"/>
        </w:rPr>
        <w:t xml:space="preserve">1</w:t>
      </w:r>
      <w:r>
        <w:br/>
      </w:r>
      <w:r>
        <w:rPr>
          <w:rStyle w:val="NormalTok"/>
        </w:rPr>
        <w:t xml:space="preserve">inserted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the failed item is held as the victim</w:t>
      </w:r>
      <w:r>
        <w:br/>
      </w:r>
      <w:r>
        <w:rPr>
          <w:rStyle w:val="BuiltInTok"/>
        </w:rPr>
        <w:t xml:space="preserve">print</w:t>
      </w:r>
      <w:r>
        <w:rPr>
          <w:rStyle w:val="NormalTok"/>
        </w:rPr>
        <w:t xml:space="preserve">(</w:t>
      </w:r>
      <w:r>
        <w:rPr>
          <w:rStyle w:val="SpecialStringTok"/>
        </w:rPr>
        <w:t xml:space="preserve">f"filter full at load factor </w:t>
      </w:r>
      <w:r>
        <w:rPr>
          <w:rStyle w:val="SpecialCharTok"/>
        </w:rPr>
        <w:t xml:space="preserve">{</w:t>
      </w:r>
      <w:r>
        <w:rPr>
          <w:rStyle w:val="NormalTok"/>
        </w:rPr>
        <w:t xml:space="preserve">inserted </w:t>
      </w:r>
      <w:r>
        <w:rPr>
          <w:rStyle w:val="OperatorTok"/>
        </w:rPr>
        <w:t xml:space="preserve">/</w:t>
      </w:r>
      <w:r>
        <w:rPr>
          <w:rStyle w:val="NormalTok"/>
        </w:rPr>
        <w:t xml:space="preserve"> capacity</w:t>
      </w:r>
      <w:r>
        <w:rPr>
          <w:rStyle w:val="SpecialCharTok"/>
        </w:rPr>
        <w:t xml:space="preserve">:.3f}</w:t>
      </w:r>
      <w:r>
        <w:rPr>
          <w:rStyle w:val="SpecialStringTok"/>
        </w:rPr>
        <w:t xml:space="preserve">"</w:t>
      </w:r>
      <w:r>
        <w:rPr>
          <w:rStyle w:val="NormalTok"/>
        </w:rPr>
        <w:t xml:space="preserve">)</w:t>
      </w:r>
      <w:r>
        <w:br/>
      </w:r>
      <w:r>
        <w:rPr>
          <w:rStyle w:val="ControlFlowTok"/>
        </w:rPr>
        <w:t xml:space="preserve">assert</w:t>
      </w:r>
      <w:r>
        <w:rPr>
          <w:rStyle w:val="NormalTok"/>
        </w:rPr>
        <w:t xml:space="preserve"> </w:t>
      </w:r>
      <w:r>
        <w:rPr>
          <w:rStyle w:val="BuiltInTok"/>
        </w:rPr>
        <w:t xml:space="preserve">all</w:t>
      </w:r>
      <w:r>
        <w:rPr>
          <w:rStyle w:val="NormalTok"/>
        </w:rPr>
        <w:t xml:space="preserve">(</w:t>
      </w:r>
      <w:r>
        <w:rPr>
          <w:rStyle w:val="SpecialStringTok"/>
        </w:rPr>
        <w:t xml:space="preserve">f"member-</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KeywordTok"/>
        </w:rPr>
        <w:t xml:space="preserve">in</w:t>
      </w:r>
      <w:r>
        <w:rPr>
          <w:rStyle w:val="NormalTok"/>
        </w:rPr>
        <w:t xml:space="preserve"> cf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(inserted))  </w:t>
      </w:r>
      <w:r>
        <w:rPr>
          <w:rStyle w:val="CommentTok"/>
        </w:rPr>
        <w:t xml:space="preserve"># no false negatives</w:t>
      </w:r>
      <w:r>
        <w:br/>
      </w:r>
      <w:r>
        <w:br/>
      </w:r>
      <w:r>
        <w:rPr>
          <w:rStyle w:val="NormalTok"/>
        </w:rPr>
        <w:t xml:space="preserve">probes </w:t>
      </w:r>
      <w:r>
        <w:rPr>
          <w:rStyle w:val="OperatorTok"/>
        </w:rPr>
        <w:t xml:space="preserve">=</w:t>
      </w:r>
      <w:r>
        <w:rPr>
          <w:rStyle w:val="NormalTok"/>
        </w:rPr>
        <w:t xml:space="preserve"> </w:t>
      </w:r>
      <w:r>
        <w:rPr>
          <w:rStyle w:val="DecValTok"/>
        </w:rPr>
        <w:t xml:space="preserve">500_000</w:t>
      </w:r>
      <w:r>
        <w:br/>
      </w:r>
      <w:r>
        <w:rPr>
          <w:rStyle w:val="NormalTok"/>
        </w:rPr>
        <w:t xml:space="preserve">fps </w:t>
      </w:r>
      <w:r>
        <w:rPr>
          <w:rStyle w:val="OperatorTok"/>
        </w:rPr>
        <w:t xml:space="preserve">=</w:t>
      </w:r>
      <w:r>
        <w:rPr>
          <w:rStyle w:val="NormalTok"/>
        </w:rPr>
        <w:t xml:space="preserve"> </w:t>
      </w:r>
      <w:r>
        <w:rPr>
          <w:rStyle w:val="BuiltInTok"/>
        </w:rPr>
        <w:t xml:space="preserve">sum</w:t>
      </w:r>
      <w:r>
        <w:rPr>
          <w:rStyle w:val="NormalTok"/>
        </w:rPr>
        <w:t xml:space="preserve">(</w:t>
      </w:r>
      <w:r>
        <w:rPr>
          <w:rStyle w:val="SpecialStringTok"/>
        </w:rPr>
        <w:t xml:space="preserve">f"stranger-</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KeywordTok"/>
        </w:rPr>
        <w:t xml:space="preserve">in</w:t>
      </w:r>
      <w:r>
        <w:rPr>
          <w:rStyle w:val="NormalTok"/>
        </w:rPr>
        <w:t xml:space="preserve"> cf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(probes))</w:t>
      </w:r>
      <w:r>
        <w:br/>
      </w:r>
      <w:r>
        <w:rPr>
          <w:rStyle w:val="NormalTok"/>
        </w:rPr>
        <w:t xml:space="preserve">bound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cf.b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cf.f</w:t>
      </w:r>
      <w:r>
        <w:br/>
      </w:r>
      <w:r>
        <w:rPr>
          <w:rStyle w:val="BuiltInTok"/>
        </w:rPr>
        <w:t xml:space="preserve">print</w:t>
      </w:r>
      <w:r>
        <w:rPr>
          <w:rStyle w:val="NormalTok"/>
        </w:rPr>
        <w:t xml:space="preserve">(</w:t>
      </w:r>
      <w:r>
        <w:rPr>
          <w:rStyle w:val="SpecialStringTok"/>
        </w:rPr>
        <w:t xml:space="preserve">f"false-positive rate: measured </w:t>
      </w:r>
      <w:r>
        <w:rPr>
          <w:rStyle w:val="SpecialCharTok"/>
        </w:rPr>
        <w:t xml:space="preserve">{</w:t>
      </w:r>
      <w:r>
        <w:rPr>
          <w:rStyle w:val="NormalTok"/>
        </w:rPr>
        <w:t xml:space="preserve">fps </w:t>
      </w:r>
      <w:r>
        <w:rPr>
          <w:rStyle w:val="OperatorTok"/>
        </w:rPr>
        <w:t xml:space="preserve">/</w:t>
      </w:r>
      <w:r>
        <w:rPr>
          <w:rStyle w:val="NormalTok"/>
        </w:rPr>
        <w:t xml:space="preserve"> probes</w:t>
      </w:r>
      <w:r>
        <w:rPr>
          <w:rStyle w:val="SpecialCharTok"/>
        </w:rPr>
        <w:t xml:space="preserve">:.4f}</w:t>
      </w:r>
      <w:r>
        <w:rPr>
          <w:rStyle w:val="SpecialStringTok"/>
        </w:rPr>
        <w:t xml:space="preserve">, bound 2b/2^f = </w:t>
      </w:r>
      <w:r>
        <w:rPr>
          <w:rStyle w:val="SpecialCharTok"/>
        </w:rPr>
        <w:t xml:space="preserve">{</w:t>
      </w:r>
      <w:r>
        <w:rPr>
          <w:rStyle w:val="NormalTok"/>
        </w:rPr>
        <w:t xml:space="preserve">bound</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f"bits per stored item: </w:t>
      </w:r>
      <w:r>
        <w:rPr>
          <w:rStyle w:val="SpecialCharTok"/>
        </w:rPr>
        <w:t xml:space="preserve">{</w:t>
      </w:r>
      <w:r>
        <w:rPr>
          <w:rStyle w:val="NormalTok"/>
        </w:rPr>
        <w:t xml:space="preserve">cf</w:t>
      </w:r>
      <w:r>
        <w:rPr>
          <w:rStyle w:val="SpecialCharTok"/>
        </w:rPr>
        <w:t xml:space="preserve">.</w:t>
      </w:r>
      <w:r>
        <w:rPr>
          <w:rStyle w:val="NormalTok"/>
        </w:rPr>
        <w:t xml:space="preserve">f </w:t>
      </w:r>
      <w:r>
        <w:rPr>
          <w:rStyle w:val="OperatorTok"/>
        </w:rPr>
        <w:t xml:space="preserve">*</w:t>
      </w:r>
      <w:r>
        <w:rPr>
          <w:rStyle w:val="NormalTok"/>
        </w:rPr>
        <w:t xml:space="preserve"> capacity </w:t>
      </w:r>
      <w:r>
        <w:rPr>
          <w:rStyle w:val="OperatorTok"/>
        </w:rPr>
        <w:t xml:space="preserve">/</w:t>
      </w:r>
      <w:r>
        <w:rPr>
          <w:rStyle w:val="NormalTok"/>
        </w:rPr>
        <w:t xml:space="preserve"> inserted</w:t>
      </w:r>
      <w:r>
        <w:rPr>
          <w:rStyle w:val="SpecialCharTok"/>
        </w:rPr>
        <w:t xml:space="preserve">:.2f}</w:t>
      </w:r>
      <w:r>
        <w:rPr>
          <w:rStyle w:val="SpecialStringTok"/>
        </w:rPr>
        <w:t xml:space="preserve">"</w:t>
      </w:r>
      <w:r>
        <w:rPr>
          <w:rStyle w:val="NormalTok"/>
        </w:rPr>
        <w:t xml:space="preserve">)</w:t>
      </w:r>
      <w:r>
        <w:br/>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 inserted, </w:t>
      </w:r>
      <w:r>
        <w:rPr>
          <w:rStyle w:val="DecValTok"/>
        </w:rPr>
        <w:t xml:space="preserve">2</w:t>
      </w:r>
      <w:r>
        <w:rPr>
          <w:rStyle w:val="NormalTok"/>
        </w:rPr>
        <w:t xml:space="preserve">):                          </w:t>
      </w:r>
      <w:r>
        <w:rPr>
          <w:rStyle w:val="CommentTok"/>
        </w:rPr>
        <w:t xml:space="preserve"># delete every second member</w:t>
      </w:r>
      <w:r>
        <w:br/>
      </w:r>
      <w:r>
        <w:rPr>
          <w:rStyle w:val="NormalTok"/>
        </w:rPr>
        <w:t xml:space="preserve">    </w:t>
      </w:r>
      <w:r>
        <w:rPr>
          <w:rStyle w:val="ControlFlowTok"/>
        </w:rPr>
        <w:t xml:space="preserve">assert</w:t>
      </w:r>
      <w:r>
        <w:rPr>
          <w:rStyle w:val="NormalTok"/>
        </w:rPr>
        <w:t xml:space="preserve"> cf.delete(</w:t>
      </w:r>
      <w:r>
        <w:rPr>
          <w:rStyle w:val="SpecialStringTok"/>
        </w:rPr>
        <w:t xml:space="preserve">f"member-</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w:t>
      </w:r>
      <w:r>
        <w:br/>
      </w:r>
      <w:r>
        <w:rPr>
          <w:rStyle w:val="NormalTok"/>
        </w:rPr>
        <w:t xml:space="preserve">still_there </w:t>
      </w:r>
      <w:r>
        <w:rPr>
          <w:rStyle w:val="OperatorTok"/>
        </w:rPr>
        <w:t xml:space="preserve">=</w:t>
      </w:r>
      <w:r>
        <w:rPr>
          <w:rStyle w:val="NormalTok"/>
        </w:rPr>
        <w:t xml:space="preserve"> </w:t>
      </w:r>
      <w:r>
        <w:rPr>
          <w:rStyle w:val="BuiltInTok"/>
        </w:rPr>
        <w:t xml:space="preserve">all</w:t>
      </w:r>
      <w:r>
        <w:rPr>
          <w:rStyle w:val="NormalTok"/>
        </w:rPr>
        <w:t xml:space="preserve">(</w:t>
      </w:r>
      <w:r>
        <w:rPr>
          <w:rStyle w:val="SpecialStringTok"/>
        </w:rPr>
        <w:t xml:space="preserve">f"member-</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KeywordTok"/>
        </w:rPr>
        <w:t xml:space="preserve">in</w:t>
      </w:r>
      <w:r>
        <w:rPr>
          <w:rStyle w:val="NormalTok"/>
        </w:rPr>
        <w:t xml:space="preserve"> cf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inserted, </w:t>
      </w:r>
      <w:r>
        <w:rPr>
          <w:rStyle w:val="DecValTok"/>
        </w:rPr>
        <w:t xml:space="preserve">2</w:t>
      </w:r>
      <w:r>
        <w:rPr>
          <w:rStyle w:val="NormalTok"/>
        </w:rPr>
        <w:t xml:space="preserve">))</w:t>
      </w:r>
      <w:r>
        <w:br/>
      </w:r>
      <w:r>
        <w:rPr>
          <w:rStyle w:val="BuiltInTok"/>
        </w:rPr>
        <w:t xml:space="preserve">print</w:t>
      </w:r>
      <w:r>
        <w:rPr>
          <w:rStyle w:val="NormalTok"/>
        </w:rPr>
        <w:t xml:space="preserve">(</w:t>
      </w:r>
      <w:r>
        <w:rPr>
          <w:rStyle w:val="SpecialStringTok"/>
        </w:rPr>
        <w:t xml:space="preserve">f"after deleting half: count = </w:t>
      </w:r>
      <w:r>
        <w:rPr>
          <w:rStyle w:val="SpecialCharTok"/>
        </w:rPr>
        <w:t xml:space="preserve">{</w:t>
      </w:r>
      <w:r>
        <w:rPr>
          <w:rStyle w:val="NormalTok"/>
        </w:rPr>
        <w:t xml:space="preserve">cf</w:t>
      </w:r>
      <w:r>
        <w:rPr>
          <w:rStyle w:val="SpecialCharTok"/>
        </w:rPr>
        <w:t xml:space="preserve">.</w:t>
      </w:r>
      <w:r>
        <w:rPr>
          <w:rStyle w:val="NormalTok"/>
        </w:rPr>
        <w:t xml:space="preserve">count</w:t>
      </w:r>
      <w:r>
        <w:rPr>
          <w:rStyle w:val="SpecialCharTok"/>
        </w:rPr>
        <w:t xml:space="preserve">}</w:t>
      </w:r>
      <w:r>
        <w:rPr>
          <w:rStyle w:val="SpecialStringTok"/>
        </w:rPr>
        <w:t xml:space="preserve">, all survivors found = </w:t>
      </w:r>
      <w:r>
        <w:rPr>
          <w:rStyle w:val="SpecialCharTok"/>
        </w:rPr>
        <w:t xml:space="preserve">{</w:t>
      </w:r>
      <w:r>
        <w:rPr>
          <w:rStyle w:val="NormalTok"/>
        </w:rPr>
        <w:t xml:space="preserve">still_there</w:t>
      </w:r>
      <w:r>
        <w:rPr>
          <w:rStyle w:val="SpecialCharTok"/>
        </w:rPr>
        <w:t xml:space="preserve">}</w:t>
      </w:r>
      <w:r>
        <w:rPr>
          <w:rStyle w:val="SpecialStringTok"/>
        </w:rPr>
        <w:t xml:space="preserve">"</w:t>
      </w:r>
      <w:r>
        <w:rPr>
          <w:rStyle w:val="NormalTok"/>
        </w:rPr>
        <w:t xml:space="preserve">)</w:t>
      </w:r>
    </w:p>
    <w:p>
      <w:pPr>
        <w:pStyle w:val="FirstParagraph"/>
      </w:pPr>
      <w:r>
        <w:t xml:space="preserve">Output:</w:t>
      </w:r>
    </w:p>
    <w:p>
      <w:pPr>
        <w:pStyle w:val="SourceCode"/>
      </w:pPr>
      <w:r>
        <w:rPr>
          <w:rStyle w:val="VerbatimChar"/>
        </w:rPr>
        <w:t xml:space="preserve">filter full at load factor 0.963</w:t>
      </w:r>
      <w:r>
        <w:br/>
      </w:r>
      <w:r>
        <w:rPr>
          <w:rStyle w:val="VerbatimChar"/>
        </w:rPr>
        <w:t xml:space="preserve">false-positive rate: measured 0.0298, bound 2b/2^f = 0.0312</w:t>
      </w:r>
      <w:r>
        <w:br/>
      </w:r>
      <w:r>
        <w:rPr>
          <w:rStyle w:val="VerbatimChar"/>
        </w:rPr>
        <w:t xml:space="preserve">bits per stored item: 8.30</w:t>
      </w:r>
      <w:r>
        <w:br/>
      </w:r>
      <w:r>
        <w:rPr>
          <w:rStyle w:val="VerbatimChar"/>
        </w:rPr>
        <w:t xml:space="preserve">after deleting half: count = 63135, all survivors found = True</w:t>
      </w:r>
    </w:p>
    <w:p>
      <w:pPr>
        <w:pStyle w:val="FirstParagraph"/>
      </w:pPr>
      <w:r>
        <w:t xml:space="preserve">What to notice:</w:t>
      </w:r>
    </w:p>
    <w:p>
      <w:pPr>
        <w:numPr>
          <w:ilvl w:val="0"/>
          <w:numId w:val="1570"/>
        </w:numPr>
        <w:pStyle w:val="Compact"/>
      </w:pPr>
      <w:r>
        <w:t xml:space="preserve">With</w:t>
      </w:r>
      <w:r>
        <w:t xml:space="preserve"> </w:t>
      </w:r>
      <m:oMath>
        <m:r>
          <m:t>b</m:t>
        </m:r>
        <m:r>
          <m:rPr>
            <m:sty m:val="p"/>
          </m:rPr>
          <m:t>=</m:t>
        </m:r>
        <m:r>
          <m:t>4</m:t>
        </m:r>
      </m:oMath>
      <w:r>
        <w:t xml:space="preserve"> </w:t>
      </w:r>
      <w:r>
        <w:t xml:space="preserve">the table reached 96.3% load before the first failure, consistent with Fan and colleagues’ ~95%.</w:t>
      </w:r>
    </w:p>
    <w:p>
      <w:pPr>
        <w:numPr>
          <w:ilvl w:val="0"/>
          <w:numId w:val="1570"/>
        </w:numPr>
        <w:pStyle w:val="Compact"/>
      </w:pPr>
      <w:r>
        <w:t xml:space="preserve">The measured rate (2.98%) sits under the bound</w:t>
      </w:r>
      <w:r>
        <w:t xml:space="preserve"> </w:t>
      </w:r>
      <m:oMath>
        <m:r>
          <m:t>8</m:t>
        </m:r>
        <m:r>
          <m:rPr>
            <m:sty m:val="p"/>
          </m:rPr>
          <m:t>/</m:t>
        </m:r>
        <m:r>
          <m:t>256</m:t>
        </m:r>
        <m:r>
          <m:rPr>
            <m:sty m:val="p"/>
          </m:rPr>
          <m:t>=</m:t>
        </m:r>
        <m:r>
          <m:t>3.1</m:t>
        </m:r>
        <m:r>
          <m:rPr>
            <m:sty m:val="p"/>
          </m:rPr>
          <m:t>%</m:t>
        </m:r>
      </m:oMath>
      <w:r>
        <w:t xml:space="preserve">, which assumes every slot is full.</w:t>
      </w:r>
    </w:p>
    <w:p>
      <w:pPr>
        <w:numPr>
          <w:ilvl w:val="0"/>
          <w:numId w:val="1570"/>
        </w:numPr>
        <w:pStyle w:val="Compact"/>
      </w:pPr>
      <w:r>
        <w:t xml:space="preserve">Deletion works, but deleting a never-inserted item could remove another item’s matching fingerprint; delete only known members.</w:t>
      </w:r>
    </w:p>
    <w:p>
      <w:pPr>
        <w:numPr>
          <w:ilvl w:val="0"/>
          <w:numId w:val="1570"/>
        </w:numPr>
        <w:pStyle w:val="Compact"/>
      </w:pPr>
      <w:r>
        <w:t xml:space="preserve">The</w:t>
      </w:r>
      <w:r>
        <w:t xml:space="preserve"> </w:t>
      </w:r>
      <w:r>
        <w:rPr>
          <w:rStyle w:val="VerbatimChar"/>
        </w:rPr>
        <w:t xml:space="preserve">victim</w:t>
      </w:r>
      <w:r>
        <w:t xml:space="preserve"> </w:t>
      </w:r>
      <w:r>
        <w:t xml:space="preserve">slot, as in the reference implementation, keeps the last displaced fingerprint so a failed insert never causes a false negative.</w:t>
      </w:r>
    </w:p>
    <w:bookmarkEnd w:id="1943"/>
    <w:bookmarkStart w:id="1944" w:name="alternatives-and-trade-offs-9"/>
    <w:p>
      <w:pPr>
        <w:pStyle w:val="Heading4"/>
      </w:pPr>
      <w:r>
        <w:t xml:space="preserve">Alternatives and trade-offs</w:t>
      </w:r>
    </w:p>
    <w:p>
      <w:pPr>
        <w:pStyle w:val="FirstParagraph"/>
      </w:pPr>
      <w:r>
        <w:rPr>
          <w:bCs/>
          <w:b/>
        </w:rPr>
        <w:t xml:space="preserve">Table 17.4 — Approximate membership filters compared.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pPr>
          </w:p>
        </w:tc>
        <w:tc>
          <w:tcPr/>
          <w:p>
            <w:pPr>
              <w:pStyle w:val="Compact"/>
              <w:jc w:val="left"/>
            </w:pPr>
            <w:r>
              <w:t xml:space="preserve">Bloom</w:t>
            </w:r>
          </w:p>
        </w:tc>
        <w:tc>
          <w:tcPr/>
          <w:p>
            <w:pPr>
              <w:pStyle w:val="Compact"/>
              <w:jc w:val="left"/>
            </w:pPr>
            <w:r>
              <w:t xml:space="preserve">Counting Bloom</w:t>
            </w:r>
          </w:p>
        </w:tc>
        <w:tc>
          <w:tcPr/>
          <w:p>
            <w:pPr>
              <w:pStyle w:val="Compact"/>
              <w:jc w:val="left"/>
            </w:pPr>
            <w:r>
              <w:t xml:space="preserve">Cuckoo</w:t>
            </w:r>
          </w:p>
        </w:tc>
        <w:tc>
          <w:tcPr/>
          <w:p>
            <w:pPr>
              <w:pStyle w:val="Compact"/>
              <w:jc w:val="left"/>
            </w:pPr>
            <w:r>
              <w:t xml:space="preserve">Static filters (XOR, ribbon)</w:t>
            </w:r>
          </w:p>
        </w:tc>
      </w:tr>
      <w:tr>
        <w:tc>
          <w:tcPr/>
          <w:p>
            <w:pPr>
              <w:pStyle w:val="Compact"/>
              <w:jc w:val="left"/>
            </w:pPr>
            <w:r>
              <w:t xml:space="preserve">What it is</w:t>
            </w:r>
          </w:p>
        </w:tc>
        <w:tc>
          <w:tcPr/>
          <w:p>
            <w:pPr>
              <w:pStyle w:val="Compact"/>
              <w:jc w:val="left"/>
            </w:pPr>
            <w:r>
              <w:t xml:space="preserve">Bit array,</w:t>
            </w:r>
            <w:r>
              <w:t xml:space="preserve"> </w:t>
            </w:r>
            <m:oMath>
              <m:r>
                <m:t>k</m:t>
              </m:r>
            </m:oMath>
            <w:r>
              <w:t xml:space="preserve"> </w:t>
            </w:r>
            <w:r>
              <w:t xml:space="preserve">hashes</w:t>
            </w:r>
          </w:p>
        </w:tc>
        <w:tc>
          <w:tcPr/>
          <w:p>
            <w:pPr>
              <w:pStyle w:val="Compact"/>
              <w:jc w:val="left"/>
            </w:pPr>
            <w:r>
              <w:t xml:space="preserve">Bloom with 4-bit counters</w:t>
            </w:r>
          </w:p>
        </w:tc>
        <w:tc>
          <w:tcPr/>
          <w:p>
            <w:pPr>
              <w:pStyle w:val="Compact"/>
              <w:jc w:val="left"/>
            </w:pPr>
            <w:r>
              <w:t xml:space="preserve">Fingerprints in 2 candidate buckets</w:t>
            </w:r>
          </w:p>
        </w:tc>
        <w:tc>
          <w:tcPr/>
          <w:p>
            <w:pPr>
              <w:pStyle w:val="Compact"/>
              <w:jc w:val="left"/>
            </w:pPr>
            <w:r>
              <w:t xml:space="preserve">Fingerprints placed by solving equations over a fixed set</w:t>
            </w:r>
          </w:p>
        </w:tc>
      </w:tr>
      <w:tr>
        <w:tc>
          <w:tcPr/>
          <w:p>
            <w:pPr>
              <w:pStyle w:val="Compact"/>
              <w:jc w:val="left"/>
            </w:pPr>
            <w:r>
              <w:t xml:space="preserve">Delete</w:t>
            </w:r>
          </w:p>
        </w:tc>
        <w:tc>
          <w:tcPr/>
          <w:p>
            <w:pPr>
              <w:pStyle w:val="Compact"/>
              <w:jc w:val="left"/>
            </w:pPr>
            <w:r>
              <w:t xml:space="preserve">No</w:t>
            </w:r>
          </w:p>
        </w:tc>
        <w:tc>
          <w:tcPr/>
          <w:p>
            <w:pPr>
              <w:pStyle w:val="Compact"/>
              <w:jc w:val="left"/>
            </w:pPr>
            <w:r>
              <w:t xml:space="preserve">Yes (only items present)</w:t>
            </w:r>
          </w:p>
        </w:tc>
        <w:tc>
          <w:tcPr/>
          <w:p>
            <w:pPr>
              <w:pStyle w:val="Compact"/>
              <w:jc w:val="left"/>
            </w:pPr>
            <w:r>
              <w:t xml:space="preserve">Yes (only items present)</w:t>
            </w:r>
          </w:p>
        </w:tc>
        <w:tc>
          <w:tcPr/>
          <w:p>
            <w:pPr>
              <w:pStyle w:val="Compact"/>
              <w:jc w:val="left"/>
            </w:pPr>
            <w:r>
              <w:t xml:space="preserve">No; rebuild</w:t>
            </w:r>
          </w:p>
        </w:tc>
      </w:tr>
      <w:tr>
        <w:tc>
          <w:tcPr/>
          <w:p>
            <w:pPr>
              <w:pStyle w:val="Compact"/>
              <w:jc w:val="left"/>
            </w:pPr>
            <w:r>
              <w:t xml:space="preserve">Bits per item at 1%</w:t>
            </w:r>
          </w:p>
        </w:tc>
        <w:tc>
          <w:tcPr/>
          <w:p>
            <w:pPr>
              <w:pStyle w:val="Compact"/>
              <w:jc w:val="left"/>
            </w:pPr>
            <w:r>
              <w:t xml:space="preserve">9.6</w:t>
            </w:r>
          </w:p>
        </w:tc>
        <w:tc>
          <w:tcPr/>
          <w:p>
            <w:pPr>
              <w:pStyle w:val="Compact"/>
              <w:jc w:val="left"/>
            </w:pPr>
            <w:r>
              <w:t xml:space="preserve">~38</w:t>
            </w:r>
          </w:p>
        </w:tc>
        <w:tc>
          <w:tcPr/>
          <w:p>
            <w:pPr>
              <w:pStyle w:val="Compact"/>
              <w:jc w:val="left"/>
            </w:pPr>
            <w:r>
              <w:t xml:space="preserve">~10 (~9 with semi-sorting)</w:t>
            </w:r>
          </w:p>
        </w:tc>
        <w:tc>
          <w:tcPr/>
          <w:p>
            <w:pPr>
              <w:pStyle w:val="Compact"/>
              <w:jc w:val="left"/>
            </w:pPr>
            <w:r>
              <w:t xml:space="preserve">~8–9.8</w:t>
            </w:r>
          </w:p>
        </w:tc>
      </w:tr>
      <w:tr>
        <w:tc>
          <w:tcPr/>
          <w:p>
            <w:pPr>
              <w:pStyle w:val="Compact"/>
              <w:jc w:val="left"/>
            </w:pPr>
            <w:r>
              <w:t xml:space="preserve">Lookup memory accesses</w:t>
            </w:r>
          </w:p>
        </w:tc>
        <w:tc>
          <w:tcPr/>
          <w:p>
            <w:pPr>
              <w:pStyle w:val="Compact"/>
              <w:jc w:val="left"/>
            </w:pPr>
            <m:oMath>
              <m:r>
                <m:t>k</m:t>
              </m:r>
            </m:oMath>
            <w:r>
              <w:t xml:space="preserve"> </w:t>
            </w:r>
            <w:r>
              <w:t xml:space="preserve">(scattered)</w:t>
            </w:r>
          </w:p>
        </w:tc>
        <w:tc>
          <w:tcPr/>
          <w:p>
            <w:pPr>
              <w:pStyle w:val="Compact"/>
              <w:jc w:val="left"/>
            </w:pPr>
            <m:oMath>
              <m:r>
                <m:t>k</m:t>
              </m:r>
            </m:oMath>
          </w:p>
        </w:tc>
        <w:tc>
          <w:tcPr/>
          <w:p>
            <w:pPr>
              <w:pStyle w:val="Compact"/>
              <w:jc w:val="left"/>
            </w:pPr>
            <w:r>
              <w:t xml:space="preserve">2 buckets</w:t>
            </w:r>
          </w:p>
        </w:tc>
        <w:tc>
          <w:tcPr/>
          <w:p>
            <w:pPr>
              <w:pStyle w:val="Compact"/>
              <w:jc w:val="left"/>
            </w:pPr>
            <w:r>
              <w:t xml:space="preserve">~3</w:t>
            </w:r>
          </w:p>
        </w:tc>
      </w:tr>
      <w:tr>
        <w:tc>
          <w:tcPr/>
          <w:p>
            <w:pPr>
              <w:pStyle w:val="Compact"/>
              <w:jc w:val="left"/>
            </w:pPr>
            <w:r>
              <w:t xml:space="preserve">Behavior when overfilled</w:t>
            </w:r>
          </w:p>
        </w:tc>
        <w:tc>
          <w:tcPr/>
          <w:p>
            <w:pPr>
              <w:pStyle w:val="Compact"/>
              <w:jc w:val="left"/>
            </w:pPr>
            <w:r>
              <w:t xml:space="preserve">Degrades smoothly (</w:t>
            </w:r>
            <m:oMath>
              <m:r>
                <m:t>p</m:t>
              </m:r>
            </m:oMath>
            <w:r>
              <w:t xml:space="preserve"> </w:t>
            </w:r>
            <w:r>
              <w:t xml:space="preserve">rises)</w:t>
            </w:r>
          </w:p>
        </w:tc>
        <w:tc>
          <w:tcPr/>
          <w:p>
            <w:pPr>
              <w:pStyle w:val="Compact"/>
              <w:jc w:val="left"/>
            </w:pPr>
            <w:r>
              <w:t xml:space="preserve">Degrades; counters may overflow</w:t>
            </w:r>
          </w:p>
        </w:tc>
        <w:tc>
          <w:tcPr/>
          <w:p>
            <w:pPr>
              <w:pStyle w:val="Compact"/>
              <w:jc w:val="left"/>
            </w:pPr>
            <w:r>
              <w:t xml:space="preserve">Inserts fail</w:t>
            </w:r>
          </w:p>
        </w:tc>
        <w:tc>
          <w:tcPr/>
          <w:p>
            <w:pPr>
              <w:pStyle w:val="Compact"/>
              <w:jc w:val="left"/>
            </w:pPr>
            <w:r>
              <w:t xml:space="preserve">Must know the set in advance</w:t>
            </w:r>
          </w:p>
        </w:tc>
      </w:tr>
      <w:tr>
        <w:tc>
          <w:tcPr/>
          <w:p>
            <w:pPr>
              <w:pStyle w:val="Compact"/>
              <w:jc w:val="left"/>
            </w:pPr>
            <w:r>
              <w:t xml:space="preserve">Union of two filters</w:t>
            </w:r>
          </w:p>
        </w:tc>
        <w:tc>
          <w:tcPr/>
          <w:p>
            <w:pPr>
              <w:pStyle w:val="Compact"/>
              <w:jc w:val="left"/>
            </w:pPr>
            <w:r>
              <w:t xml:space="preserve">Bitwise OR</w:t>
            </w:r>
          </w:p>
        </w:tc>
        <w:tc>
          <w:tcPr/>
          <w:p>
            <w:pPr>
              <w:pStyle w:val="Compact"/>
              <w:jc w:val="left"/>
            </w:pPr>
            <w:r>
              <w:t xml:space="preserve">Add counters</w:t>
            </w:r>
          </w:p>
        </w:tc>
        <w:tc>
          <w:tcPr/>
          <w:p>
            <w:pPr>
              <w:pStyle w:val="Compact"/>
              <w:jc w:val="left"/>
            </w:pPr>
            <w:r>
              <w:t xml:space="preserve">Not directly</w:t>
            </w:r>
          </w:p>
        </w:tc>
        <w:tc>
          <w:tcPr/>
          <w:p>
            <w:pPr>
              <w:pStyle w:val="Compact"/>
              <w:jc w:val="left"/>
            </w:pPr>
            <w:r>
              <w:t xml:space="preserve">Not directly</w:t>
            </w:r>
          </w:p>
        </w:tc>
      </w:tr>
      <w:tr>
        <w:tc>
          <w:tcPr/>
          <w:p>
            <w:pPr>
              <w:pStyle w:val="Compact"/>
              <w:jc w:val="left"/>
            </w:pPr>
            <w:r>
              <w:t xml:space="preserve">Choose when</w:t>
            </w:r>
          </w:p>
        </w:tc>
        <w:tc>
          <w:tcPr/>
          <w:p>
            <w:pPr>
              <w:pStyle w:val="Compact"/>
              <w:jc w:val="left"/>
            </w:pPr>
            <w:r>
              <w:t xml:space="preserve">Append-only sets, simplicity, mergeability</w:t>
            </w:r>
          </w:p>
        </w:tc>
        <w:tc>
          <w:tcPr/>
          <w:p>
            <w:pPr>
              <w:pStyle w:val="Compact"/>
              <w:jc w:val="left"/>
            </w:pPr>
            <w:r>
              <w:t xml:space="preserve">Deletion with modest memory pressure</w:t>
            </w:r>
          </w:p>
        </w:tc>
        <w:tc>
          <w:tcPr/>
          <w:p>
            <w:pPr>
              <w:pStyle w:val="Compact"/>
              <w:jc w:val="left"/>
            </w:pPr>
            <w:r>
              <w:t xml:space="preserve">Deletion; low</w:t>
            </w:r>
            <w:r>
              <w:t xml:space="preserve"> </w:t>
            </w:r>
            <m:oMath>
              <m:r>
                <m:t>p</m:t>
              </m:r>
            </m:oMath>
          </w:p>
        </w:tc>
        <w:tc>
          <w:tcPr/>
          <w:p>
            <w:pPr>
              <w:pStyle w:val="Compact"/>
              <w:jc w:val="left"/>
            </w:pPr>
            <w:r>
              <w:t xml:space="preserve">Immutable sets, e.g. per-file filters</w:t>
            </w:r>
          </w:p>
        </w:tc>
      </w:tr>
    </w:tbl>
    <w:p>
      <w:pPr>
        <w:pStyle w:val="BodyText"/>
      </w:pPr>
      <w:r>
        <w:t xml:space="preserve">XOR filters [Graf &amp; Lemire 2020] and RocksDB’s ribbon filters are built once for a known set, which suits immutable per-file filters. Quotient filters are another fingerprint design supporting deletes and merges.</w:t>
      </w:r>
    </w:p>
    <w:bookmarkEnd w:id="1944"/>
    <w:bookmarkStart w:id="1945" w:name="failure-scenarios-50"/>
    <w:p>
      <w:pPr>
        <w:pStyle w:val="Heading4"/>
      </w:pPr>
      <w:r>
        <w:t xml:space="preserve">Failure scenarios</w:t>
      </w:r>
    </w:p>
    <w:p>
      <w:pPr>
        <w:pStyle w:val="FirstParagraph"/>
      </w:pPr>
      <w:r>
        <w:rPr>
          <w:bCs/>
          <w:b/>
        </w:rPr>
        <w:t xml:space="preserve">Table 17.5 — Bloom and cuckoo filter 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False-positive rate far above target</w:t>
            </w:r>
          </w:p>
        </w:tc>
        <w:tc>
          <w:tcPr/>
          <w:p>
            <w:pPr>
              <w:pStyle w:val="Compact"/>
              <w:jc w:val="left"/>
            </w:pPr>
            <w:r>
              <w:t xml:space="preserve">More items inserted than the filter was sized for</w:t>
            </w:r>
          </w:p>
        </w:tc>
        <w:tc>
          <w:tcPr/>
          <w:p>
            <w:pPr>
              <w:pStyle w:val="Compact"/>
              <w:jc w:val="left"/>
            </w:pPr>
            <w:r>
              <w:t xml:space="preserve">Fraction of 1 bits &gt; 0.5; measured</w:t>
            </w:r>
            <w:r>
              <w:t xml:space="preserve"> </w:t>
            </w:r>
            <w:r>
              <w:t xml:space="preserve">“</w:t>
            </w:r>
            <w:r>
              <w:t xml:space="preserve">maybe then not found</w:t>
            </w:r>
            <w:r>
              <w:t xml:space="preserve">”</w:t>
            </w:r>
            <w:r>
              <w:t xml:space="preserve"> </w:t>
            </w:r>
            <w:r>
              <w:t xml:space="preserve">ratio</w:t>
            </w:r>
          </w:p>
        </w:tc>
        <w:tc>
          <w:tcPr/>
          <w:p>
            <w:pPr>
              <w:pStyle w:val="Compact"/>
              <w:jc w:val="left"/>
            </w:pPr>
            <w:r>
              <w:t xml:space="preserve">Rebuild a larger filter from the source data</w:t>
            </w:r>
          </w:p>
        </w:tc>
        <w:tc>
          <w:tcPr/>
          <w:p>
            <w:pPr>
              <w:pStyle w:val="Compact"/>
              <w:jc w:val="left"/>
            </w:pPr>
            <w:r>
              <w:t xml:space="preserve">Size for peak</w:t>
            </w:r>
            <w:r>
              <w:t xml:space="preserve"> </w:t>
            </w:r>
            <m:oMath>
              <m:r>
                <m:t>n</m:t>
              </m:r>
            </m:oMath>
            <w:r>
              <w:t xml:space="preserve"> </w:t>
            </w:r>
            <w:r>
              <w:t xml:space="preserve">with headroom; scalable (layered) filters that add a new filter when one fills</w:t>
            </w:r>
          </w:p>
        </w:tc>
      </w:tr>
      <w:tr>
        <w:tc>
          <w:tcPr/>
          <w:p>
            <w:pPr>
              <w:pStyle w:val="Compact"/>
              <w:jc w:val="left"/>
            </w:pPr>
            <w:r>
              <w:t xml:space="preserve">False negatives appear</w:t>
            </w:r>
          </w:p>
        </w:tc>
        <w:tc>
          <w:tcPr/>
          <w:p>
            <w:pPr>
              <w:pStyle w:val="Compact"/>
              <w:jc w:val="left"/>
            </w:pPr>
            <w:r>
              <w:t xml:space="preserve">Bits cleared on delete, or counting-filter delete of a non-member</w:t>
            </w:r>
          </w:p>
        </w:tc>
        <w:tc>
          <w:tcPr/>
          <w:p>
            <w:pPr>
              <w:pStyle w:val="Compact"/>
              <w:jc w:val="left"/>
            </w:pPr>
            <w:r>
              <w:t xml:space="preserve">Items known to exist are reported absent</w:t>
            </w:r>
          </w:p>
        </w:tc>
        <w:tc>
          <w:tcPr/>
          <w:p>
            <w:pPr>
              <w:pStyle w:val="Compact"/>
              <w:jc w:val="left"/>
            </w:pPr>
            <w:r>
              <w:t xml:space="preserve">Rebuild from source</w:t>
            </w:r>
          </w:p>
        </w:tc>
        <w:tc>
          <w:tcPr/>
          <w:p>
            <w:pPr>
              <w:pStyle w:val="Compact"/>
              <w:jc w:val="left"/>
            </w:pPr>
            <w:r>
              <w:t xml:space="preserve">Never clear bits; delete only confirmed members</w:t>
            </w:r>
          </w:p>
        </w:tc>
      </w:tr>
      <w:tr>
        <w:tc>
          <w:tcPr/>
          <w:p>
            <w:pPr>
              <w:pStyle w:val="Compact"/>
              <w:jc w:val="left"/>
            </w:pPr>
            <w:r>
              <w:t xml:space="preserve">Disk reads spike after restart or memory pressure</w:t>
            </w:r>
          </w:p>
        </w:tc>
        <w:tc>
          <w:tcPr/>
          <w:p>
            <w:pPr>
              <w:pStyle w:val="Compact"/>
              <w:jc w:val="left"/>
            </w:pPr>
            <w:r>
              <w:t xml:space="preserve">Filters evicted from RAM or not yet loaded</w:t>
            </w:r>
          </w:p>
        </w:tc>
        <w:tc>
          <w:tcPr/>
          <w:p>
            <w:pPr>
              <w:pStyle w:val="Compact"/>
              <w:jc w:val="left"/>
            </w:pPr>
            <w:r>
              <w:t xml:space="preserve">Block-cache misses; read latency up</w:t>
            </w:r>
          </w:p>
        </w:tc>
        <w:tc>
          <w:tcPr/>
          <w:p>
            <w:pPr>
              <w:pStyle w:val="Compact"/>
              <w:jc w:val="left"/>
            </w:pPr>
            <w:r>
              <w:t xml:space="preserve">Pin filter blocks in memory</w:t>
            </w:r>
          </w:p>
        </w:tc>
        <w:tc>
          <w:tcPr/>
          <w:p>
            <w:pPr>
              <w:pStyle w:val="Compact"/>
              <w:jc w:val="left"/>
            </w:pPr>
            <w:r>
              <w:t xml:space="preserve">Budget filter memory explicitly (≈ 1.2 bytes/key at 1%)</w:t>
            </w:r>
          </w:p>
        </w:tc>
      </w:tr>
      <w:tr>
        <w:tc>
          <w:tcPr/>
          <w:p>
            <w:pPr>
              <w:pStyle w:val="Compact"/>
              <w:jc w:val="left"/>
            </w:pPr>
            <w:r>
              <w:t xml:space="preserve">Union gives garbage</w:t>
            </w:r>
          </w:p>
        </w:tc>
        <w:tc>
          <w:tcPr/>
          <w:p>
            <w:pPr>
              <w:pStyle w:val="Compact"/>
              <w:jc w:val="left"/>
            </w:pPr>
            <w:r>
              <w:t xml:space="preserve">Filters built with different</w:t>
            </w:r>
            <w:r>
              <w:t xml:space="preserve"> </w:t>
            </w:r>
            <m:oMath>
              <m:r>
                <m:t>m</m:t>
              </m:r>
            </m:oMath>
            <w:r>
              <w:t xml:space="preserve">,</w:t>
            </w:r>
            <w:r>
              <w:t xml:space="preserve"> </w:t>
            </w:r>
            <m:oMath>
              <m:r>
                <m:t>k</m:t>
              </m:r>
            </m:oMath>
            <w:r>
              <w:t xml:space="preserve"> </w:t>
            </w:r>
            <w:r>
              <w:t xml:space="preserve">or hash seeds were OR-ed</w:t>
            </w:r>
          </w:p>
        </w:tc>
        <w:tc>
          <w:tcPr/>
          <w:p>
            <w:pPr>
              <w:pStyle w:val="Compact"/>
              <w:jc w:val="left"/>
            </w:pPr>
            <w:r>
              <w:t xml:space="preserve">Union reports nearly everything present</w:t>
            </w:r>
          </w:p>
        </w:tc>
        <w:tc>
          <w:tcPr/>
          <w:p>
            <w:pPr>
              <w:pStyle w:val="Compact"/>
              <w:jc w:val="left"/>
            </w:pPr>
            <w:r>
              <w:t xml:space="preserve">Rebuild with shared parameters</w:t>
            </w:r>
          </w:p>
        </w:tc>
        <w:tc>
          <w:tcPr/>
          <w:p>
            <w:pPr>
              <w:pStyle w:val="Compact"/>
              <w:jc w:val="left"/>
            </w:pPr>
            <w:r>
              <w:t xml:space="preserve">Version the parameters with the filter</w:t>
            </w:r>
          </w:p>
        </w:tc>
      </w:tr>
      <w:tr>
        <w:tc>
          <w:tcPr/>
          <w:p>
            <w:pPr>
              <w:pStyle w:val="Compact"/>
              <w:jc w:val="left"/>
            </w:pPr>
            <w:r>
              <w:t xml:space="preserve">Cuckoo insert fails in production</w:t>
            </w:r>
          </w:p>
        </w:tc>
        <w:tc>
          <w:tcPr/>
          <w:p>
            <w:pPr>
              <w:pStyle w:val="Compact"/>
              <w:jc w:val="left"/>
            </w:pPr>
            <w:r>
              <w:t xml:space="preserve">Table reached ~95% load</w:t>
            </w:r>
          </w:p>
        </w:tc>
        <w:tc>
          <w:tcPr/>
          <w:p>
            <w:pPr>
              <w:pStyle w:val="Compact"/>
              <w:jc w:val="left"/>
            </w:pPr>
            <w:r>
              <w:t xml:space="preserve">Insert error rate &gt; 0</w:t>
            </w:r>
          </w:p>
        </w:tc>
        <w:tc>
          <w:tcPr/>
          <w:p>
            <w:pPr>
              <w:pStyle w:val="Compact"/>
              <w:jc w:val="left"/>
            </w:pPr>
            <w:r>
              <w:t xml:space="preserve">Allocate a larger filter and re-insert</w:t>
            </w:r>
          </w:p>
        </w:tc>
        <w:tc>
          <w:tcPr/>
          <w:p>
            <w:pPr>
              <w:pStyle w:val="Compact"/>
              <w:jc w:val="left"/>
            </w:pPr>
            <w:r>
              <w:t xml:space="preserve">Monitor load factor; resize at 80–90%</w:t>
            </w:r>
          </w:p>
        </w:tc>
      </w:tr>
    </w:tbl>
    <w:bookmarkEnd w:id="1945"/>
    <w:bookmarkStart w:id="1946" w:name="common-misconceptions-39"/>
    <w:p>
      <w:pPr>
        <w:pStyle w:val="Heading4"/>
      </w:pPr>
      <w:r>
        <w:t xml:space="preserve">Common misconceptions</w:t>
      </w:r>
    </w:p>
    <w:p>
      <w:pPr>
        <w:pStyle w:val="CalloutMistake"/>
      </w:pPr>
      <w:r>
        <w:rPr>
          <w:bCs/>
          <w:b/>
        </w:rPr>
        <w:t xml:space="preserve">COMMON MISTAKE</w:t>
      </w:r>
    </w:p>
    <w:p>
      <w:pPr>
        <w:pStyle w:val="CalloutMistake"/>
      </w:pPr>
      <w:r>
        <w:rPr>
          <w:bCs/>
          <w:b/>
        </w:rPr>
        <w:t xml:space="preserve">“</w:t>
      </w:r>
      <w:r>
        <w:rPr>
          <w:bCs/>
          <w:b/>
        </w:rPr>
        <w:t xml:space="preserve">A Bloom filter tells me an item is in the set.</w:t>
      </w:r>
      <w:r>
        <w:rPr>
          <w:bCs/>
          <w:b/>
        </w:rPr>
        <w:t xml:space="preserve">”</w:t>
      </w:r>
      <w:r>
        <w:t xml:space="preserve"> </w:t>
      </w:r>
      <w:r>
        <w:t xml:space="preserve">Only</w:t>
      </w:r>
      <w:r>
        <w:t xml:space="preserve"> </w:t>
      </w:r>
      <w:r>
        <w:rPr>
          <w:iCs/>
          <w:i/>
        </w:rPr>
        <w:t xml:space="preserve">probably</w:t>
      </w:r>
      <w:r>
        <w:t xml:space="preserve">; the useful answer is the negative one. Acting on a positive without confirmation means being wrong</w:t>
      </w:r>
      <w:r>
        <w:t xml:space="preserve"> </w:t>
      </w:r>
      <m:oMath>
        <m:r>
          <m:t>p</m:t>
        </m:r>
      </m:oMath>
      <w:r>
        <w:t xml:space="preserve"> </w:t>
      </w:r>
      <w:r>
        <w:t xml:space="preserve">of the time.</w:t>
      </w:r>
    </w:p>
    <w:p>
      <w:pPr>
        <w:pStyle w:val="CalloutMistake"/>
      </w:pPr>
      <w:r>
        <w:rPr>
          <w:bCs/>
          <w:b/>
        </w:rPr>
        <w:t xml:space="preserve">COMMON MISTAKE</w:t>
      </w:r>
    </w:p>
    <w:p>
      <w:pPr>
        <w:pStyle w:val="CalloutMistake"/>
      </w:pPr>
      <w:r>
        <w:rPr>
          <w:bCs/>
          <w:b/>
        </w:rPr>
        <w:t xml:space="preserve">“</w:t>
      </w:r>
      <w:r>
        <w:rPr>
          <w:bCs/>
          <w:b/>
        </w:rPr>
        <w:t xml:space="preserve">Bigger items need bigger filters.</w:t>
      </w:r>
      <w:r>
        <w:rPr>
          <w:bCs/>
          <w:b/>
        </w:rPr>
        <w:t xml:space="preserve">”</w:t>
      </w:r>
      <w:r>
        <w:t xml:space="preserve"> </w:t>
      </w:r>
      <w:r>
        <w:t xml:space="preserve">Filter size depends only on the number of items and the target false-positive rate, not on item size. A 2 KB URL and an 8-byte integer each cost 9.6 bits at 1%.</w:t>
      </w:r>
    </w:p>
    <w:bookmarkEnd w:id="1946"/>
    <w:bookmarkEnd w:id="1947"/>
    <w:bookmarkEnd w:id="1948"/>
    <w:bookmarkStart w:id="1959" w:name="hyperloglog"/>
    <w:p>
      <w:pPr>
        <w:pStyle w:val="Heading2"/>
      </w:pPr>
      <w:r>
        <w:t xml:space="preserve">17.5 HyperLogLog</w:t>
      </w:r>
    </w:p>
    <w:bookmarkStart w:id="1958" w:name="X9f7807972b1b5d7f76340219eb92574b7a11202"/>
    <w:p>
      <w:pPr>
        <w:pStyle w:val="Heading3"/>
      </w:pPr>
      <w:r>
        <w:t xml:space="preserve">17.5.1 Counting distinct items from leading zeros</w:t>
      </w:r>
    </w:p>
    <w:p>
      <w:pPr>
        <w:pStyle w:val="CalloutDefinition"/>
      </w:pPr>
      <w:r>
        <w:rPr>
          <w:bCs/>
          <w:b/>
        </w:rPr>
        <w:t xml:space="preserve">DEFINITION</w:t>
      </w:r>
    </w:p>
    <w:p>
      <w:pPr>
        <w:pStyle w:val="CalloutDefinition"/>
      </w:pPr>
      <w:r>
        <w:rPr>
          <w:bCs/>
          <w:b/>
        </w:rPr>
        <w:t xml:space="preserve">Definition — HyperLogLog (HLL).</w:t>
      </w:r>
      <w:r>
        <w:t xml:space="preserve"> </w:t>
      </w:r>
      <w:r>
        <w:t xml:space="preserve">A probabilistic algorithm that estimates the number of distinct items (the</w:t>
      </w:r>
      <w:r>
        <w:t xml:space="preserve"> </w:t>
      </w:r>
      <w:r>
        <w:rPr>
          <w:bCs/>
          <w:b/>
        </w:rPr>
        <w:t xml:space="preserve">cardinality</w:t>
      </w:r>
      <w:r>
        <w:t xml:space="preserve">) in a multiset using</w:t>
      </w:r>
      <w:r>
        <w:t xml:space="preserve"> </w:t>
      </w:r>
      <m:oMath>
        <m:r>
          <m:t>m</m:t>
        </m:r>
      </m:oMath>
      <w:r>
        <w:t xml:space="preserve"> </w:t>
      </w:r>
      <w:r>
        <w:t xml:space="preserve">small registers, with relative standard error about</w:t>
      </w:r>
      <w:r>
        <w:t xml:space="preserve"> </w:t>
      </w:r>
      <m:oMath>
        <m:r>
          <m:t>1.04</m:t>
        </m:r>
        <m:r>
          <m:rPr>
            <m:sty m:val="p"/>
          </m:rPr>
          <m:t>/</m:t>
        </m:r>
        <m:rad>
          <m:radPr>
            <m:degHide m:val="on"/>
          </m:radPr>
          <m:deg/>
          <m:e>
            <m:r>
              <m:t>m</m:t>
            </m:r>
          </m:e>
        </m:rad>
      </m:oMath>
      <w:r>
        <w:t xml:space="preserve">, independent of the cardinality itself [Flajolet et al. 2007].</w:t>
      </w:r>
    </w:p>
    <w:bookmarkStart w:id="1949" w:name="first-principles-explanation-108"/>
    <w:p>
      <w:pPr>
        <w:pStyle w:val="Heading4"/>
      </w:pPr>
      <w:r>
        <w:t xml:space="preserve">First-principles explanation</w:t>
      </w:r>
    </w:p>
    <w:p>
      <w:pPr>
        <w:pStyle w:val="FirstParagraph"/>
      </w:pPr>
      <w:r>
        <w:t xml:space="preserve">A friend flips coins in sessions and reports only the longest opening run of heads. Five heads in a row has probability</w:t>
      </w:r>
      <w:r>
        <w:t xml:space="preserve"> </w:t>
      </w:r>
      <m:oMath>
        <m:r>
          <m:t>1</m:t>
        </m:r>
        <m:r>
          <m:rPr>
            <m:sty m:val="p"/>
          </m:rPr>
          <m:t>/</m:t>
        </m:r>
        <m:r>
          <m:t>32</m:t>
        </m:r>
      </m:oMath>
      <w:r>
        <w:t xml:space="preserve">, so they probably ran about 32 sessions; twenty heads suggests about a million.</w:t>
      </w:r>
    </w:p>
    <w:p>
      <w:pPr>
        <w:pStyle w:val="BodyText"/>
      </w:pPr>
      <w:r>
        <w:t xml:space="preserve">Read each item’s hash as coin flips. The chance that its first 1-bit is at position</w:t>
      </w:r>
      <w:r>
        <w:t xml:space="preserve"> </w:t>
      </w:r>
      <m:oMath>
        <m:r>
          <m:t>r</m:t>
        </m:r>
      </m:oMath>
      <w:r>
        <w:t xml:space="preserve"> </w:t>
      </w:r>
      <w:r>
        <w:t xml:space="preserve">or later is</w:t>
      </w:r>
      <w:r>
        <w:t xml:space="preserve"> </w:t>
      </w:r>
      <m:oMath>
        <m:sSup>
          <m:e>
            <m:r>
              <m:t>2</m:t>
            </m:r>
          </m:e>
          <m:sup>
            <m:r>
              <m:rPr>
                <m:sty m:val="p"/>
              </m:rPr>
              <m:t>−</m:t>
            </m:r>
            <m:d>
              <m:dPr>
                <m:begChr m:val="("/>
                <m:endChr m:val=")"/>
                <m:sepChr m:val=""/>
                <m:grow/>
              </m:dPr>
              <m:e>
                <m:r>
                  <m:t>r</m:t>
                </m:r>
                <m:r>
                  <m:rPr>
                    <m:sty m:val="p"/>
                  </m:rPr>
                  <m:t>−</m:t>
                </m:r>
                <m:r>
                  <m:t>1</m:t>
                </m:r>
              </m:e>
            </m:d>
          </m:sup>
        </m:sSup>
      </m:oMath>
      <w:r>
        <w:t xml:space="preserve">, so if the largest such position over all items is</w:t>
      </w:r>
      <w:r>
        <w:t xml:space="preserve"> </w:t>
      </w:r>
      <m:oMath>
        <m:r>
          <m:t>R</m:t>
        </m:r>
      </m:oMath>
      <w:r>
        <w:t xml:space="preserve">, there were about</w:t>
      </w:r>
      <w:r>
        <w:t xml:space="preserve"> </w:t>
      </w:r>
      <m:oMath>
        <m:sSup>
          <m:e>
            <m:r>
              <m:t>2</m:t>
            </m:r>
          </m:e>
          <m:sup>
            <m:r>
              <m:t>R</m:t>
            </m:r>
          </m:sup>
        </m:sSup>
      </m:oMath>
      <w:r>
        <w:t xml:space="preserve"> </w:t>
      </w:r>
      <w:r>
        <w:rPr>
          <w:iCs/>
          <w:i/>
        </w:rPr>
        <w:t xml:space="preserve">distinct</w:t>
      </w:r>
      <w:r>
        <w:t xml:space="preserve"> </w:t>
      </w:r>
      <w:r>
        <w:t xml:space="preserve">items; duplicates hash identically and cannot raise the maximum. One maximum is very noisy, so HLL keeps many and averages them.</w:t>
      </w:r>
    </w:p>
    <w:bookmarkEnd w:id="1949"/>
    <w:bookmarkStart w:id="1950" w:name="why-does-this-exist-64"/>
    <w:p>
      <w:pPr>
        <w:pStyle w:val="Heading4"/>
      </w:pPr>
      <w:r>
        <w:t xml:space="preserve">Why does this exist?</w:t>
      </w:r>
    </w:p>
    <w:p>
      <w:pPr>
        <w:pStyle w:val="FirstParagraph"/>
      </w:pPr>
      <w:r>
        <w:t xml:space="preserve">Exact distinct counting needs memory proportional to the distinct items: 1 billion 8-byte user IDs is at least 8 GB, per page, per day, per country. Summing per-server distinct counts double-counts users seen by two servers; HLL sketches merge without double counting.</w:t>
      </w:r>
    </w:p>
    <w:bookmarkEnd w:id="1950"/>
    <w:bookmarkStart w:id="1954" w:name="how-it-works-internally-72"/>
    <w:p>
      <w:pPr>
        <w:pStyle w:val="Heading4"/>
      </w:pPr>
      <w:r>
        <w:t xml:space="preserve">How it works internally</w:t>
      </w:r>
    </w:p>
    <w:p>
      <w:pPr>
        <w:numPr>
          <w:ilvl w:val="0"/>
          <w:numId w:val="1571"/>
        </w:numPr>
        <w:pStyle w:val="Compact"/>
      </w:pPr>
      <w:r>
        <w:t xml:space="preserve">Choose precision</w:t>
      </w:r>
      <w:r>
        <w:t xml:space="preserve"> </w:t>
      </w:r>
      <m:oMath>
        <m:r>
          <m:t>p</m:t>
        </m:r>
      </m:oMath>
      <w:r>
        <w:t xml:space="preserve">; allocate</w:t>
      </w:r>
      <w:r>
        <w:t xml:space="preserve"> </w:t>
      </w:r>
      <m:oMath>
        <m:r>
          <m:t>m</m:t>
        </m:r>
        <m:r>
          <m:rPr>
            <m:sty m:val="p"/>
          </m:rPr>
          <m:t>=</m:t>
        </m:r>
        <m:sSup>
          <m:e>
            <m:r>
              <m:t>2</m:t>
            </m:r>
          </m:e>
          <m:sup>
            <m:r>
              <m:t>p</m:t>
            </m:r>
          </m:sup>
        </m:sSup>
      </m:oMath>
      <w:r>
        <w:t xml:space="preserve"> </w:t>
      </w:r>
      <w:r>
        <w:t xml:space="preserve">registers, all 0.</w:t>
      </w:r>
    </w:p>
    <w:p>
      <w:pPr>
        <w:numPr>
          <w:ilvl w:val="0"/>
          <w:numId w:val="1571"/>
        </w:numPr>
        <w:pStyle w:val="Compact"/>
      </w:pPr>
      <w:r>
        <w:t xml:space="preserve">For each item, compute a 64-bit hash. The first</w:t>
      </w:r>
      <w:r>
        <w:t xml:space="preserve"> </w:t>
      </w:r>
      <m:oMath>
        <m:r>
          <m:t>p</m:t>
        </m:r>
      </m:oMath>
      <w:r>
        <w:t xml:space="preserve"> </w:t>
      </w:r>
      <w:r>
        <w:t xml:space="preserve">bits choose register</w:t>
      </w:r>
      <w:r>
        <w:t xml:space="preserve"> </w:t>
      </w:r>
      <m:oMath>
        <m:r>
          <m:t>j</m:t>
        </m:r>
      </m:oMath>
      <w:r>
        <w:t xml:space="preserve">. In the remaining</w:t>
      </w:r>
      <w:r>
        <w:t xml:space="preserve"> </w:t>
      </w:r>
      <m:oMath>
        <m:r>
          <m:t>64</m:t>
        </m:r>
        <m:r>
          <m:rPr>
            <m:sty m:val="p"/>
          </m:rPr>
          <m:t>−</m:t>
        </m:r>
        <m:r>
          <m:t>p</m:t>
        </m:r>
      </m:oMath>
      <w:r>
        <w:t xml:space="preserve"> </w:t>
      </w:r>
      <w:r>
        <w:t xml:space="preserve">bits, find</w:t>
      </w:r>
      <w:r>
        <w:t xml:space="preserve"> </w:t>
      </w:r>
      <m:oMath>
        <m:r>
          <m:t>ρ</m:t>
        </m:r>
      </m:oMath>
      <w:r>
        <w:t xml:space="preserve">, the position of the leftmost 1-bit (1 if the first bit is 1).</w:t>
      </w:r>
    </w:p>
    <w:p>
      <w:pPr>
        <w:numPr>
          <w:ilvl w:val="0"/>
          <w:numId w:val="1571"/>
        </w:numPr>
        <w:pStyle w:val="Compact"/>
      </w:pPr>
      <w:r>
        <w:t xml:space="preserve">Set</w:t>
      </w:r>
      <w:r>
        <w:t xml:space="preserve"> </w:t>
      </w:r>
      <m:oMath>
        <m:r>
          <m:t>M</m:t>
        </m:r>
        <m:d>
          <m:dPr>
            <m:begChr m:val="["/>
            <m:endChr m:val="]"/>
            <m:sepChr m:val=""/>
            <m:grow/>
          </m:dPr>
          <m:e>
            <m:r>
              <m:t>j</m:t>
            </m:r>
          </m:e>
        </m:d>
        <m:r>
          <m:rPr>
            <m:sty m:val="p"/>
          </m:rPr>
          <m:t>=</m:t>
        </m:r>
        <m:r>
          <m:rPr>
            <m:sty m:val="p"/>
          </m:rPr>
          <m:t>max</m:t>
        </m:r>
        <m:d>
          <m:dPr>
            <m:begChr m:val="("/>
            <m:endChr m:val=")"/>
            <m:sepChr m:val=""/>
            <m:grow/>
          </m:dPr>
          <m:e>
            <m:r>
              <m:t>M</m:t>
            </m:r>
            <m:d>
              <m:dPr>
                <m:begChr m:val="["/>
                <m:endChr m:val="]"/>
                <m:sepChr m:val=""/>
                <m:grow/>
              </m:dPr>
              <m:e>
                <m:r>
                  <m:t>j</m:t>
                </m:r>
              </m:e>
            </m:d>
            <m:r>
              <m:rPr>
                <m:sty m:val="p"/>
              </m:rPr>
              <m:t>,</m:t>
            </m:r>
            <m:r>
              <m:t>ρ</m:t>
            </m:r>
          </m:e>
        </m:d>
      </m:oMath>
      <w:r>
        <w:t xml:space="preserve">.</w:t>
      </w:r>
    </w:p>
    <w:p>
      <w:pPr>
        <w:numPr>
          <w:ilvl w:val="0"/>
          <w:numId w:val="1571"/>
        </w:numPr>
        <w:pStyle w:val="Compact"/>
      </w:pPr>
      <w:r>
        <w:t xml:space="preserve">Estimate with a bias-corrected</w:t>
      </w:r>
      <w:r>
        <w:t xml:space="preserve"> </w:t>
      </w:r>
      <w:r>
        <w:rPr>
          <w:bCs/>
          <w:b/>
        </w:rPr>
        <w:t xml:space="preserve">harmonic mean</w:t>
      </w:r>
      <w:r>
        <w:t xml:space="preserve"> </w:t>
      </w:r>
      <w:r>
        <w:t xml:space="preserve">of</w:t>
      </w:r>
      <w:r>
        <w:t xml:space="preserve"> </w:t>
      </w:r>
      <m:oMath>
        <m:sSup>
          <m:e>
            <m:r>
              <m:t>2</m:t>
            </m:r>
          </m:e>
          <m:sup>
            <m:r>
              <m:t>M</m:t>
            </m:r>
            <m:d>
              <m:dPr>
                <m:begChr m:val="["/>
                <m:endChr m:val="]"/>
                <m:sepChr m:val=""/>
                <m:grow/>
              </m:dPr>
              <m:e>
                <m:r>
                  <m:t>j</m:t>
                </m:r>
              </m:e>
            </m:d>
          </m:sup>
        </m:sSup>
      </m:oMath>
      <w:r>
        <w:t xml:space="preserve">, which damps a few unusually large registers.</w:t>
      </w:r>
    </w:p>
    <w:p>
      <w:pPr>
        <w:numPr>
          <w:ilvl w:val="0"/>
          <w:numId w:val="1571"/>
        </w:numPr>
        <w:pStyle w:val="Compact"/>
      </w:pPr>
      <w:r>
        <w:t xml:space="preserve">For small cardinalities, when many registers are still 0, switch to</w:t>
      </w:r>
      <w:r>
        <w:t xml:space="preserve"> </w:t>
      </w:r>
      <w:r>
        <w:rPr>
          <w:bCs/>
          <w:b/>
        </w:rPr>
        <w:t xml:space="preserve">linear counting</w:t>
      </w:r>
      <w:r>
        <w:t xml:space="preserve">:</w:t>
      </w:r>
      <w:r>
        <w:t xml:space="preserve"> </w:t>
      </w:r>
      <m:oMath>
        <m:r>
          <m:t>m</m:t>
        </m:r>
        <m:r>
          <m:rPr>
            <m:sty m:val="p"/>
          </m:rPr>
          <m:t>ln</m:t>
        </m:r>
        <m:d>
          <m:dPr>
            <m:begChr m:val="("/>
            <m:endChr m:val=")"/>
            <m:sepChr m:val=""/>
            <m:grow/>
          </m:dPr>
          <m:e>
            <m:r>
              <m:t>m</m:t>
            </m:r>
            <m:r>
              <m:rPr>
                <m:sty m:val="p"/>
              </m:rPr>
              <m:t>/</m:t>
            </m:r>
            <m:r>
              <m:t>V</m:t>
            </m:r>
          </m:e>
        </m:d>
      </m:oMath>
      <w:r>
        <w:t xml:space="preserve">, where</w:t>
      </w:r>
      <w:r>
        <w:t xml:space="preserve"> </w:t>
      </w:r>
      <m:oMath>
        <m:r>
          <m:t>V</m:t>
        </m:r>
      </m:oMath>
      <w:r>
        <w:t xml:space="preserve"> </w:t>
      </w:r>
      <w:r>
        <w:t xml:space="preserve">is the number of zero registers.</w:t>
      </w:r>
    </w:p>
    <w:p>
      <w:pPr>
        <w:numPr>
          <w:ilvl w:val="0"/>
          <w:numId w:val="1571"/>
        </w:numPr>
        <w:pStyle w:val="Compact"/>
      </w:pPr>
      <w:r>
        <w:rPr>
          <w:bCs/>
          <w:b/>
        </w:rPr>
        <w:t xml:space="preserve">Merge</w:t>
      </w:r>
      <w:r>
        <w:t xml:space="preserve"> </w:t>
      </w:r>
      <w:r>
        <w:t xml:space="preserve">sketches by register-wise maximum, which equals the sketch of the combined stream.</w:t>
      </w:r>
    </w:p>
    <w:p>
      <w:pPr>
        <w:pStyle w:val="FirstParagraph"/>
      </w:pPr>
      <w:r>
        <w:rPr>
          <w:bCs/>
          <w:b/>
        </w:rPr>
        <w:t xml:space="preserve">Figure 17.5 — The HyperLogLog update and estimate path.</w:t>
      </w:r>
    </w:p>
    <w:p>
      <w:pPr>
        <w:pStyle w:val="BodyText"/>
      </w:pPr>
      <w:r>
        <w:drawing>
          <wp:inline>
            <wp:extent cx="5334000" cy="673223"/>
            <wp:effectExtent b="0" l="0" r="0" t="0"/>
            <wp:docPr descr="" title="" id="1952" name="Picture"/>
            <a:graphic>
              <a:graphicData uri="http://schemas.openxmlformats.org/drawingml/2006/picture">
                <pic:pic>
                  <pic:nvPicPr>
                    <pic:cNvPr descr="/home/user/System-Design/build/.cache/diagrams/161f3da6081f.png" id="1953" name="Picture"/>
                    <pic:cNvPicPr>
                      <a:picLocks noChangeArrowheads="1" noChangeAspect="1"/>
                    </pic:cNvPicPr>
                  </pic:nvPicPr>
                  <pic:blipFill>
                    <a:blip r:embed="rId1951"/>
                    <a:stretch>
                      <a:fillRect/>
                    </a:stretch>
                  </pic:blipFill>
                  <pic:spPr bwMode="auto">
                    <a:xfrm>
                      <a:off x="0" y="0"/>
                      <a:ext cx="5334000" cy="673223"/>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Each item is hashed once; the leading</w:t>
      </w:r>
      <w:r>
        <w:t xml:space="preserve"> </w:t>
      </w:r>
      <m:oMath>
        <m:r>
          <m:t>p</m:t>
        </m:r>
      </m:oMath>
      <w:r>
        <w:t xml:space="preserve"> </w:t>
      </w:r>
      <w:r>
        <w:t xml:space="preserve">bits pick a register and the first-1-bit position of the rest is the observation, kept only if it exceeds the register’s maximum, so memory never grows. Updates are synchronous constant-time memory operations. The dotted edge is the asynchronous merge path: sketches from other servers or hours combine by register-wise max in a batch or query layer, with the same accuracy as one sketch. Failure points: a poor hash breaks the coin-flip assumption, and merging sketches with different hashes or precisions gives nonsense. Scale by sharding the stream freely and merging later.</w:t>
      </w:r>
    </w:p>
    <w:bookmarkEnd w:id="1954"/>
    <w:bookmarkStart w:id="1955" w:name="mathematical-foundations-36"/>
    <w:p>
      <w:pPr>
        <w:pStyle w:val="Heading4"/>
      </w:pPr>
      <w:r>
        <w:t xml:space="preserve">Mathematical foundations</w:t>
      </w:r>
    </w:p>
    <w:p>
      <w:pPr>
        <w:pStyle w:val="CalloutFormula"/>
      </w:pPr>
      <w:r>
        <w:rPr>
          <w:bCs/>
          <w:b/>
        </w:rPr>
        <w:t xml:space="preserve">FORMULA</w:t>
      </w:r>
    </w:p>
    <w:p>
      <w:pPr>
        <w:pStyle w:val="CalloutFormula"/>
      </w:pPr>
      <w:r>
        <w:rPr>
          <w:bCs/>
          <w:b/>
        </w:rPr>
        <w:t xml:space="preserve">HyperLogLog estimate and standard error</w:t>
      </w:r>
    </w:p>
    <w:p>
      <w:pPr>
        <w:pStyle w:val="CalloutFormula"/>
      </w:pPr>
      <m:oMathPara>
        <m:oMathParaPr>
          <m:jc m:val="center"/>
        </m:oMathParaPr>
        <m:oMath>
          <m:r>
            <m:t>E</m:t>
          </m:r>
          <m:r>
            <m:rPr>
              <m:sty m:val="p"/>
            </m:rPr>
            <m:t>=</m:t>
          </m:r>
          <m:sSub>
            <m:e>
              <m:r>
                <m:t>α</m:t>
              </m:r>
            </m:e>
            <m:sub>
              <m:r>
                <m:t>m</m:t>
              </m:r>
            </m:sub>
          </m:sSub>
          <m:r>
            <m:t> </m:t>
          </m:r>
          <m:sSup>
            <m:e>
              <m:r>
                <m:t>m</m:t>
              </m:r>
            </m:e>
            <m:sup>
              <m:r>
                <m:t>2</m:t>
              </m:r>
            </m:sup>
          </m:sSup>
          <m:sSup>
            <m:e>
              <m:d>
                <m:dPr>
                  <m:begChr m:val="("/>
                  <m:endChr m:val=")"/>
                  <m:sepChr m:val=""/>
                  <m:grow/>
                </m:dPr>
                <m:e>
                  <m:nary>
                    <m:naryPr>
                      <m:chr m:val="∑"/>
                      <m:limLoc m:val="undOvr"/>
                      <m:subHide m:val="off"/>
                      <m:supHide m:val="off"/>
                    </m:naryPr>
                    <m:sub>
                      <m:r>
                        <m:t>j</m:t>
                      </m:r>
                      <m:r>
                        <m:rPr>
                          <m:sty m:val="p"/>
                        </m:rPr>
                        <m:t>=</m:t>
                      </m:r>
                      <m:r>
                        <m:t>1</m:t>
                      </m:r>
                    </m:sub>
                    <m:sup>
                      <m:r>
                        <m:t>m</m:t>
                      </m:r>
                    </m:sup>
                    <m:e>
                      <m:sSup>
                        <m:e>
                          <m:r>
                            <m:t>2</m:t>
                          </m:r>
                        </m:e>
                        <m:sup>
                          <m:r>
                            <m:rPr>
                              <m:sty m:val="p"/>
                            </m:rPr>
                            <m:t>−</m:t>
                          </m:r>
                          <m:r>
                            <m:t>M</m:t>
                          </m:r>
                          <m:d>
                            <m:dPr>
                              <m:begChr m:val="["/>
                              <m:endChr m:val="]"/>
                              <m:sepChr m:val=""/>
                              <m:grow/>
                            </m:dPr>
                            <m:e>
                              <m:r>
                                <m:t>j</m:t>
                              </m:r>
                            </m:e>
                          </m:d>
                        </m:sup>
                      </m:sSup>
                    </m:e>
                  </m:nary>
                </m:e>
              </m:d>
            </m:e>
            <m:sup>
              <m:r>
                <m:rPr>
                  <m:sty m:val="p"/>
                </m:rPr>
                <m:t>−</m:t>
              </m:r>
              <m:r>
                <m:t>1</m:t>
              </m:r>
            </m:sup>
          </m:sSup>
          <m:r>
            <m:rPr>
              <m:sty m:val="p"/>
            </m:rPr>
            <m:t>,</m:t>
          </m:r>
          <m:r>
            <m:t>  </m:t>
          </m:r>
          <m:sSub>
            <m:e>
              <m:r>
                <m:t>α</m:t>
              </m:r>
            </m:e>
            <m:sub>
              <m:r>
                <m:t>m</m:t>
              </m:r>
            </m:sub>
          </m:sSub>
          <m:r>
            <m:rPr>
              <m:sty m:val="p"/>
            </m:rPr>
            <m:t>≈</m:t>
          </m:r>
          <m:f>
            <m:fPr>
              <m:type m:val="bar"/>
            </m:fPr>
            <m:num>
              <m:r>
                <m:t>0.7213</m:t>
              </m:r>
            </m:num>
            <m:den>
              <m:r>
                <m:t>1</m:t>
              </m:r>
              <m:r>
                <m:rPr>
                  <m:sty m:val="p"/>
                </m:rPr>
                <m:t>+</m:t>
              </m:r>
              <m:r>
                <m:t>1.079</m:t>
              </m:r>
              <m:r>
                <m:rPr>
                  <m:sty m:val="p"/>
                </m:rPr>
                <m:t>/</m:t>
              </m:r>
              <m:r>
                <m:t>m</m:t>
              </m:r>
            </m:den>
          </m:f>
          <m:r>
            <m:rPr>
              <m:sty m:val="p"/>
            </m:rPr>
            <m:t>,</m:t>
          </m:r>
          <m:r>
            <m:t>  </m:t>
          </m:r>
          <m:r>
            <m:rPr>
              <m:sty m:val="p"/>
            </m:rPr>
            <m:t>S</m:t>
          </m:r>
          <m:r>
            <m:rPr>
              <m:sty m:val="p"/>
            </m:rPr>
            <m:t>E</m:t>
          </m:r>
          <m:r>
            <m:rPr>
              <m:sty m:val="p"/>
            </m:rPr>
            <m:t>≈</m:t>
          </m:r>
          <m:f>
            <m:fPr>
              <m:type m:val="bar"/>
            </m:fPr>
            <m:num>
              <m:r>
                <m:t>1.04</m:t>
              </m:r>
            </m:num>
            <m:den>
              <m:rad>
                <m:radPr>
                  <m:degHide m:val="on"/>
                </m:radPr>
                <m:deg/>
                <m:e>
                  <m:r>
                    <m:t>m</m:t>
                  </m:r>
                </m:e>
              </m:rad>
            </m:den>
          </m:f>
          <m:r>
            <m:rPr>
              <m:sty m:val="p"/>
            </m:rPr>
            <m:t>,</m:t>
          </m:r>
          <m:r>
            <m:t>  </m:t>
          </m:r>
          <m:r>
            <m:rPr>
              <m:nor/>
              <m:sty m:val="p"/>
            </m:rPr>
            <m:t>memory</m:t>
          </m:r>
          <m:r>
            <m:rPr>
              <m:sty m:val="p"/>
            </m:rPr>
            <m:t>=</m:t>
          </m:r>
          <m:r>
            <m:t>m</m:t>
          </m:r>
          <m:r>
            <m:rPr>
              <m:sty m:val="p"/>
            </m:rPr>
            <m:t>×</m:t>
          </m:r>
          <m:r>
            <m:t>6</m:t>
          </m:r>
          <m:r>
            <m:rPr>
              <m:nor/>
              <m:sty m:val="p"/>
            </m:rPr>
            <m:t> bits</m:t>
          </m:r>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E</m:t>
              </m:r>
            </m:oMath>
          </w:p>
        </w:tc>
        <w:tc>
          <w:tcPr/>
          <w:p>
            <w:pPr>
              <w:pStyle w:val="Compact"/>
              <w:jc w:val="left"/>
            </w:pPr>
            <w:r>
              <w:t xml:space="preserve">Estimated number of distinct items</w:t>
            </w:r>
          </w:p>
        </w:tc>
        <w:tc>
          <w:tcPr/>
          <w:p>
            <w:pPr>
              <w:pStyle w:val="Compact"/>
              <w:jc w:val="left"/>
            </w:pPr>
            <w:r>
              <w:t xml:space="preserve">items</w:t>
            </w:r>
          </w:p>
        </w:tc>
      </w:tr>
      <w:tr>
        <w:tc>
          <w:tcPr/>
          <w:p>
            <w:pPr>
              <w:pStyle w:val="Compact"/>
              <w:jc w:val="left"/>
            </w:pPr>
            <m:oMath>
              <m:r>
                <m:t>m</m:t>
              </m:r>
            </m:oMath>
          </w:p>
        </w:tc>
        <w:tc>
          <w:tcPr/>
          <w:p>
            <w:pPr>
              <w:pStyle w:val="Compact"/>
              <w:jc w:val="left"/>
            </w:pPr>
            <w:r>
              <w:t xml:space="preserve">Number of registers,</w:t>
            </w:r>
            <w:r>
              <w:t xml:space="preserve"> </w:t>
            </w:r>
            <m:oMath>
              <m:r>
                <m:t>m</m:t>
              </m:r>
              <m:r>
                <m:rPr>
                  <m:sty m:val="p"/>
                </m:rPr>
                <m:t>=</m:t>
              </m:r>
              <m:sSup>
                <m:e>
                  <m:r>
                    <m:t>2</m:t>
                  </m:r>
                </m:e>
                <m:sup>
                  <m:r>
                    <m:t>p</m:t>
                  </m:r>
                </m:sup>
              </m:sSup>
            </m:oMath>
          </w:p>
        </w:tc>
        <w:tc>
          <w:tcPr/>
          <w:p>
            <w:pPr>
              <w:pStyle w:val="Compact"/>
              <w:jc w:val="left"/>
            </w:pPr>
            <w:r>
              <w:t xml:space="preserve">registers</w:t>
            </w:r>
          </w:p>
        </w:tc>
      </w:tr>
      <w:tr>
        <w:tc>
          <w:tcPr/>
          <w:p>
            <w:pPr>
              <w:pStyle w:val="Compact"/>
              <w:jc w:val="left"/>
            </w:pPr>
            <m:oMath>
              <m:r>
                <m:t>M</m:t>
              </m:r>
              <m:d>
                <m:dPr>
                  <m:begChr m:val="["/>
                  <m:endChr m:val="]"/>
                  <m:sepChr m:val=""/>
                  <m:grow/>
                </m:dPr>
                <m:e>
                  <m:r>
                    <m:t>j</m:t>
                  </m:r>
                </m:e>
              </m:d>
            </m:oMath>
          </w:p>
        </w:tc>
        <w:tc>
          <w:tcPr/>
          <w:p>
            <w:pPr>
              <w:pStyle w:val="Compact"/>
              <w:jc w:val="left"/>
            </w:pPr>
            <w:r>
              <w:t xml:space="preserve">Value of register</w:t>
            </w:r>
            <w:r>
              <w:t xml:space="preserve"> </w:t>
            </w:r>
            <m:oMath>
              <m:r>
                <m:t>j</m:t>
              </m:r>
            </m:oMath>
            <w:r>
              <w:t xml:space="preserve">: the largest first-1-bit position seen</w:t>
            </w:r>
          </w:p>
        </w:tc>
        <w:tc>
          <w:tcPr/>
          <w:p>
            <w:pPr>
              <w:pStyle w:val="Compact"/>
              <w:jc w:val="left"/>
            </w:pPr>
            <w:r>
              <w:t xml:space="preserve">count</w:t>
            </w:r>
          </w:p>
        </w:tc>
      </w:tr>
      <w:tr>
        <w:tc>
          <w:tcPr/>
          <w:p>
            <w:pPr>
              <w:pStyle w:val="Compact"/>
              <w:jc w:val="left"/>
            </w:pPr>
            <m:oMath>
              <m:sSub>
                <m:e>
                  <m:r>
                    <m:t>α</m:t>
                  </m:r>
                </m:e>
                <m:sub>
                  <m:r>
                    <m:t>m</m:t>
                  </m:r>
                </m:sub>
              </m:sSub>
            </m:oMath>
          </w:p>
        </w:tc>
        <w:tc>
          <w:tcPr/>
          <w:p>
            <w:pPr>
              <w:pStyle w:val="Compact"/>
              <w:jc w:val="left"/>
            </w:pPr>
            <w:r>
              <w:t xml:space="preserve">Bias-correction constant (valid for</w:t>
            </w:r>
            <w:r>
              <w:t xml:space="preserve"> </w:t>
            </w:r>
            <m:oMath>
              <m:r>
                <m:t>m</m:t>
              </m:r>
              <m:r>
                <m:rPr>
                  <m:sty m:val="p"/>
                </m:rPr>
                <m:t>≥</m:t>
              </m:r>
              <m:r>
                <m:t>128</m:t>
              </m:r>
            </m:oMath>
            <w:r>
              <w:t xml:space="preserve">)</w:t>
            </w:r>
          </w:p>
        </w:tc>
        <w:tc>
          <w:tcPr/>
          <w:p>
            <w:pPr>
              <w:pStyle w:val="Compact"/>
              <w:jc w:val="left"/>
            </w:pPr>
            <w:r>
              <w:t xml:space="preserve">dimensionless</w:t>
            </w:r>
          </w:p>
        </w:tc>
      </w:tr>
      <w:tr>
        <w:tc>
          <w:tcPr/>
          <w:p>
            <w:pPr>
              <w:pStyle w:val="Compact"/>
              <w:jc w:val="left"/>
            </w:pPr>
            <m:oMath>
              <m:r>
                <m:rPr>
                  <m:sty m:val="p"/>
                </m:rPr>
                <m:t>S</m:t>
              </m:r>
              <m:r>
                <m:rPr>
                  <m:sty m:val="p"/>
                </m:rPr>
                <m:t>E</m:t>
              </m:r>
            </m:oMath>
          </w:p>
        </w:tc>
        <w:tc>
          <w:tcPr/>
          <w:p>
            <w:pPr>
              <w:pStyle w:val="Compact"/>
              <w:jc w:val="left"/>
            </w:pPr>
            <w:r>
              <w:t xml:space="preserve">Relative standard error of</w:t>
            </w:r>
            <w:r>
              <w:t xml:space="preserve"> </w:t>
            </w:r>
            <m:oMath>
              <m:r>
                <m:t>E</m:t>
              </m:r>
            </m:oMath>
          </w:p>
        </w:tc>
        <w:tc>
          <w:tcPr/>
          <w:p>
            <w:pPr>
              <w:pStyle w:val="Compact"/>
              <w:jc w:val="left"/>
            </w:pPr>
            <w:r>
              <w:t xml:space="preserve">fraction</w:t>
            </w:r>
          </w:p>
        </w:tc>
      </w:tr>
      <w:tr>
        <w:tc>
          <w:tcPr/>
          <w:p>
            <w:pPr>
              <w:pStyle w:val="Compact"/>
              <w:jc w:val="left"/>
            </w:pPr>
            <w:r>
              <w:t xml:space="preserve">6 bits</w:t>
            </w:r>
          </w:p>
        </w:tc>
        <w:tc>
          <w:tcPr/>
          <w:p>
            <w:pPr>
              <w:pStyle w:val="Compact"/>
              <w:jc w:val="left"/>
            </w:pPr>
            <w:r>
              <w:t xml:space="preserve">Register width: enough to hold values up to 63, sufficient for a 64-bit hash</w:t>
            </w:r>
          </w:p>
        </w:tc>
        <w:tc>
          <w:tcPr/>
          <w:p>
            <w:pPr>
              <w:pStyle w:val="Compact"/>
              <w:jc w:val="left"/>
            </w:pPr>
            <w:r>
              <w:t xml:space="preserve">bits</w:t>
            </w:r>
          </w:p>
        </w:tc>
      </w:tr>
    </w:tbl>
    <w:p>
      <w:pPr>
        <w:pStyle w:val="CalloutExample"/>
      </w:pPr>
      <w:r>
        <w:rPr>
          <w:bCs/>
          <w:b/>
        </w:rPr>
        <w:t xml:space="preserve">WORKED EXAMPLE</w:t>
      </w:r>
    </w:p>
    <w:p>
      <w:pPr>
        <w:pStyle w:val="CalloutExample"/>
      </w:pPr>
      <w:r>
        <w:rPr>
          <w:bCs/>
          <w:b/>
        </w:rPr>
        <w:t xml:space="preserve">Worked example — Redis’s HyperLogLog.</w:t>
      </w:r>
      <w:r>
        <w:t xml:space="preserve"> </w:t>
      </w:r>
      <w:r>
        <w:t xml:space="preserve">Redis uses</w:t>
      </w:r>
      <w:r>
        <w:t xml:space="preserve"> </w:t>
      </w:r>
      <m:oMath>
        <m:r>
          <m:t>p</m:t>
        </m:r>
        <m:r>
          <m:rPr>
            <m:sty m:val="p"/>
          </m:rPr>
          <m:t>=</m:t>
        </m:r>
        <m:r>
          <m:t>14</m:t>
        </m:r>
      </m:oMath>
      <w:r>
        <w:t xml:space="preserve">.</w:t>
      </w:r>
    </w:p>
    <w:p>
      <w:pPr>
        <w:numPr>
          <w:ilvl w:val="0"/>
          <w:numId w:val="1572"/>
        </w:numPr>
        <w:pStyle w:val="Compact"/>
      </w:pPr>
      <w:r>
        <w:t xml:space="preserve">Registers:</w:t>
      </w:r>
      <w:r>
        <w:t xml:space="preserve"> </w:t>
      </w:r>
      <m:oMath>
        <m:r>
          <m:t>m</m:t>
        </m:r>
        <m:r>
          <m:rPr>
            <m:sty m:val="p"/>
          </m:rPr>
          <m:t>=</m:t>
        </m:r>
        <m:sSup>
          <m:e>
            <m:r>
              <m:t>2</m:t>
            </m:r>
          </m:e>
          <m:sup>
            <m:r>
              <m:t>14</m:t>
            </m:r>
          </m:sup>
        </m:sSup>
        <m:r>
          <m:rPr>
            <m:sty m:val="p"/>
          </m:rPr>
          <m:t>=</m:t>
        </m:r>
        <m:r>
          <m:t>16</m:t>
        </m:r>
        <m:r>
          <m:rPr>
            <m:sty m:val="p"/>
          </m:rPr>
          <m:t>,</m:t>
        </m:r>
        <m:r>
          <m:t>384</m:t>
        </m:r>
      </m:oMath>
      <w:r>
        <w:t xml:space="preserve">.</w:t>
      </w:r>
    </w:p>
    <w:p>
      <w:pPr>
        <w:numPr>
          <w:ilvl w:val="0"/>
          <w:numId w:val="1572"/>
        </w:numPr>
        <w:pStyle w:val="Compact"/>
      </w:pPr>
      <w:r>
        <w:t xml:space="preserve">Standard error:</w:t>
      </w:r>
      <w:r>
        <w:t xml:space="preserve"> </w:t>
      </w:r>
      <m:oMath>
        <m:r>
          <m:t>1.04</m:t>
        </m:r>
        <m:r>
          <m:rPr>
            <m:sty m:val="p"/>
          </m:rPr>
          <m:t>/</m:t>
        </m:r>
        <m:rad>
          <m:radPr>
            <m:degHide m:val="on"/>
          </m:radPr>
          <m:deg/>
          <m:e>
            <m:r>
              <m:t>16</m:t>
            </m:r>
            <m:r>
              <m:rPr>
                <m:sty m:val="p"/>
              </m:rPr>
              <m:t>,</m:t>
            </m:r>
            <m:r>
              <m:t>384</m:t>
            </m:r>
          </m:e>
        </m:rad>
        <m:r>
          <m:rPr>
            <m:sty m:val="p"/>
          </m:rPr>
          <m:t>=</m:t>
        </m:r>
        <m:r>
          <m:t>1.04</m:t>
        </m:r>
        <m:r>
          <m:rPr>
            <m:sty m:val="p"/>
          </m:rPr>
          <m:t>/</m:t>
        </m:r>
        <m:r>
          <m:t>128</m:t>
        </m:r>
        <m:r>
          <m:rPr>
            <m:sty m:val="p"/>
          </m:rPr>
          <m:t>=</m:t>
        </m:r>
        <m:r>
          <m:t>0.0081</m:t>
        </m:r>
      </m:oMath>
      <w:r>
        <w:t xml:space="preserve">, i.e. 0.81%.</w:t>
      </w:r>
    </w:p>
    <w:p>
      <w:pPr>
        <w:numPr>
          <w:ilvl w:val="0"/>
          <w:numId w:val="1572"/>
        </w:numPr>
        <w:pStyle w:val="Compact"/>
      </w:pPr>
      <w:r>
        <w:t xml:space="preserve">Memory:</w:t>
      </w:r>
      <w:r>
        <w:t xml:space="preserve"> </w:t>
      </w:r>
      <m:oMath>
        <m:r>
          <m:t>16</m:t>
        </m:r>
        <m:r>
          <m:rPr>
            <m:sty m:val="p"/>
          </m:rPr>
          <m:t>,</m:t>
        </m:r>
        <m:r>
          <m:t>384</m:t>
        </m:r>
        <m:r>
          <m:rPr>
            <m:sty m:val="p"/>
          </m:rPr>
          <m:t>×</m:t>
        </m:r>
        <m:r>
          <m:t>6</m:t>
        </m:r>
        <m:r>
          <m:rPr>
            <m:sty m:val="p"/>
          </m:rPr>
          <m:t>=</m:t>
        </m:r>
        <m:r>
          <m:t>98</m:t>
        </m:r>
        <m:r>
          <m:rPr>
            <m:sty m:val="p"/>
          </m:rPr>
          <m:t>,</m:t>
        </m:r>
        <m:r>
          <m:t>304</m:t>
        </m:r>
      </m:oMath>
      <w:r>
        <w:t xml:space="preserve"> </w:t>
      </w:r>
      <w:r>
        <w:t xml:space="preserve">bits</w:t>
      </w:r>
      <w:r>
        <w:t xml:space="preserve"> </w:t>
      </w:r>
      <m:oMath>
        <m:r>
          <m:rPr>
            <m:sty m:val="p"/>
          </m:rPr>
          <m:t>=</m:t>
        </m:r>
        <m:r>
          <m:t>12</m:t>
        </m:r>
        <m:r>
          <m:rPr>
            <m:sty m:val="p"/>
          </m:rPr>
          <m:t>,</m:t>
        </m:r>
        <m:r>
          <m:t>288</m:t>
        </m:r>
      </m:oMath>
      <w:r>
        <w:t xml:space="preserve"> </w:t>
      </w:r>
      <w:r>
        <w:t xml:space="preserve">bytes</w:t>
      </w:r>
      <w:r>
        <w:t xml:space="preserve"> </w:t>
      </w:r>
      <m:oMath>
        <m:r>
          <m:rPr>
            <m:sty m:val="p"/>
          </m:rPr>
          <m:t>=</m:t>
        </m:r>
        <m:r>
          <m:t>12</m:t>
        </m:r>
      </m:oMath>
      <w:r>
        <w:t xml:space="preserve"> </w:t>
      </w:r>
      <w:r>
        <w:t xml:space="preserve">KiB.</w:t>
      </w:r>
    </w:p>
    <w:p>
      <w:pPr>
        <w:numPr>
          <w:ilvl w:val="0"/>
          <w:numId w:val="1572"/>
        </w:numPr>
        <w:pStyle w:val="Compact"/>
      </w:pPr>
      <w:r>
        <w:t xml:space="preserve">For 1 billion distinct users, one standard error is</w:t>
      </w:r>
      <w:r>
        <w:t xml:space="preserve"> </w:t>
      </w:r>
      <m:oMath>
        <m:r>
          <m:rPr>
            <m:sty m:val="p"/>
          </m:rPr>
          <m:t>±</m:t>
        </m:r>
        <m:r>
          <m:t>8.1</m:t>
        </m:r>
      </m:oMath>
      <w:r>
        <w:t xml:space="preserve"> </w:t>
      </w:r>
      <w:r>
        <w:t xml:space="preserve">million, and about 95% of estimates fall within two standard errors,</w:t>
      </w:r>
      <w:r>
        <w:t xml:space="preserve"> </w:t>
      </w:r>
      <m:oMath>
        <m:r>
          <m:rPr>
            <m:sty m:val="p"/>
          </m:rPr>
          <m:t>±</m:t>
        </m:r>
        <m:r>
          <m:t>16.3</m:t>
        </m:r>
      </m:oMath>
      <w:r>
        <w:t xml:space="preserve"> </w:t>
      </w:r>
      <w:r>
        <w:t xml:space="preserve">million.</w:t>
      </w:r>
    </w:p>
    <w:p>
      <w:pPr>
        <w:numPr>
          <w:ilvl w:val="0"/>
          <w:numId w:val="1572"/>
        </w:numPr>
        <w:pStyle w:val="Compact"/>
      </w:pPr>
      <w:r>
        <w:t xml:space="preserve">An exact set of 1 billion 8-byte IDs needs at least 8 GB, about 650,000 times more memory.</w:t>
      </w:r>
    </w:p>
    <w:p>
      <w:pPr>
        <w:numPr>
          <w:ilvl w:val="0"/>
          <w:numId w:val="1572"/>
        </w:numPr>
        <w:pStyle w:val="Compact"/>
      </w:pPr>
      <w:r>
        <w:t xml:space="preserve">Daily uniques for 1 million pages: about 12.3 GB dense, far less with the</w:t>
      </w:r>
      <w:r>
        <w:t xml:space="preserve"> </w:t>
      </w:r>
      <w:r>
        <w:rPr>
          <w:bCs/>
          <w:b/>
        </w:rPr>
        <w:t xml:space="preserve">sparse representation</w:t>
      </w:r>
      <w:r>
        <w:t xml:space="preserve"> </w:t>
      </w:r>
      <w:r>
        <w:t xml:space="preserve">most small sketches use.</w:t>
      </w:r>
    </w:p>
    <w:p>
      <w:pPr>
        <w:pStyle w:val="CalloutExample"/>
      </w:pPr>
      <w:r>
        <w:rPr>
          <w:iCs/>
          <w:i/>
        </w:rPr>
        <w:t xml:space="preserve">Interpretation.</w:t>
      </w:r>
      <w:r>
        <w:t xml:space="preserve"> </w:t>
      </w:r>
      <w:r>
        <w:t xml:space="preserve">Accuracy depends only on</w:t>
      </w:r>
      <w:r>
        <w:t xml:space="preserve"> </w:t>
      </w:r>
      <m:oMath>
        <m:r>
          <m:t>m</m:t>
        </m:r>
      </m:oMath>
      <w:r>
        <w:t xml:space="preserve">; quadrupling memory halves the error (</w:t>
      </w:r>
      <m:oMath>
        <m:r>
          <m:t>p</m:t>
        </m:r>
        <m:r>
          <m:rPr>
            <m:sty m:val="p"/>
          </m:rPr>
          <m:t>=</m:t>
        </m:r>
        <m:r>
          <m:t>16</m:t>
        </m:r>
      </m:oMath>
      <w:r>
        <w:t xml:space="preserve">: 48 KiB, 0.41%).</w:t>
      </w:r>
      <w:r>
        <w:t xml:space="preserve"> </w:t>
      </w:r>
      <w:r>
        <w:rPr>
          <w:iCs/>
          <w:i/>
        </w:rPr>
        <w:t xml:space="preserve">Engineering implication.</w:t>
      </w:r>
      <w:r>
        <w:t xml:space="preserve"> </w:t>
      </w:r>
      <w:r>
        <w:t xml:space="preserve">0.81% is invisible on dashboards; billing needs exact counts.</w:t>
      </w:r>
    </w:p>
    <w:p>
      <w:pPr>
        <w:pStyle w:val="BodyText"/>
      </w:pPr>
      <w:r>
        <w:rPr>
          <w:bCs/>
          <w:b/>
        </w:rPr>
        <w:t xml:space="preserve">HyperLogLog++</w:t>
      </w:r>
      <w:r>
        <w:t xml:space="preserve"> </w:t>
      </w:r>
      <w:r>
        <w:t xml:space="preserve">[Heule et al. 2013], used by most production systems, adds a 64-bit hash (removing the large-range correction of the 32-bit original), empirical bias correction below about</w:t>
      </w:r>
      <w:r>
        <w:t xml:space="preserve"> </w:t>
      </w:r>
      <m:oMath>
        <m:r>
          <m:t>5</m:t>
        </m:r>
        <m:r>
          <m:t>m</m:t>
        </m:r>
      </m:oMath>
      <w:r>
        <w:t xml:space="preserve">, and a sparse, higher-precision representation for small sets.</w:t>
      </w:r>
    </w:p>
    <w:bookmarkEnd w:id="1955"/>
    <w:bookmarkStart w:id="1956" w:name="code-example-19"/>
    <w:p>
      <w:pPr>
        <w:pStyle w:val="Heading4"/>
      </w:pPr>
      <w:r>
        <w:t xml:space="preserve">Code example</w:t>
      </w:r>
    </w:p>
    <w:p>
      <w:pPr>
        <w:pStyle w:val="SourceCode"/>
      </w:pPr>
      <w:r>
        <w:rPr>
          <w:rStyle w:val="ImportTok"/>
        </w:rPr>
        <w:t xml:space="preserve">import</w:t>
      </w:r>
      <w:r>
        <w:rPr>
          <w:rStyle w:val="NormalTok"/>
        </w:rPr>
        <w:t xml:space="preserve"> hashlib</w:t>
      </w:r>
      <w:r>
        <w:br/>
      </w:r>
      <w:r>
        <w:rPr>
          <w:rStyle w:val="ImportTok"/>
        </w:rPr>
        <w:t xml:space="preserve">import</w:t>
      </w:r>
      <w:r>
        <w:rPr>
          <w:rStyle w:val="NormalTok"/>
        </w:rPr>
        <w:t xml:space="preserve"> math</w:t>
      </w:r>
      <w:r>
        <w:br/>
      </w:r>
      <w:r>
        <w:br/>
      </w:r>
      <w:r>
        <w:rPr>
          <w:rStyle w:val="KeywordTok"/>
        </w:rPr>
        <w:t xml:space="preserve">class</w:t>
      </w:r>
      <w:r>
        <w:rPr>
          <w:rStyle w:val="NormalTok"/>
        </w:rPr>
        <w:t xml:space="preserve"> HyperLogLog:</w:t>
      </w:r>
      <w:r>
        <w:br/>
      </w:r>
      <w:r>
        <w:rPr>
          <w:rStyle w:val="NormalTok"/>
        </w:rPr>
        <w:t xml:space="preserve">    </w:t>
      </w:r>
      <w:r>
        <w:rPr>
          <w:rStyle w:val="CommentTok"/>
        </w:rPr>
        <w:t xml:space="preserve">"""HyperLogLog (Flajolet et al. 2007) with 2^p registers and a 64-bit hash.</w:t>
      </w:r>
      <w:r>
        <w:br/>
      </w:r>
      <w:r>
        <w:rPr>
          <w:rStyle w:val="CommentTok"/>
        </w:rPr>
        <w:t xml:space="preserve">    Includes the linear-counting correction for small cardinalities."""</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p: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14</w:t>
      </w:r>
      <w:r>
        <w:rPr>
          <w:rStyle w:val="NormalTok"/>
        </w:rPr>
        <w:t xml:space="preserve">, salt: </w:t>
      </w:r>
      <w:r>
        <w:rPr>
          <w:rStyle w:val="BuiltInTok"/>
        </w:rPr>
        <w:t xml:space="preserve">bytes</w:t>
      </w:r>
      <w:r>
        <w:rPr>
          <w:rStyle w:val="NormalTok"/>
        </w:rPr>
        <w:t xml:space="preserve"> </w:t>
      </w:r>
      <w:r>
        <w:rPr>
          <w:rStyle w:val="OperatorTok"/>
        </w:rPr>
        <w:t xml:space="preserve">=</w:t>
      </w:r>
      <w:r>
        <w:rPr>
          <w:rStyle w:val="NormalTok"/>
        </w:rPr>
        <w:t xml:space="preserve"> </w:t>
      </w:r>
      <w:r>
        <w:rPr>
          <w:rStyle w:val="StringTok"/>
        </w:rPr>
        <w:t xml:space="preserve">b""</w:t>
      </w:r>
      <w:r>
        <w:rPr>
          <w:rStyle w:val="NormalTok"/>
        </w:rPr>
        <w:t xml:space="preserve">):</w:t>
      </w:r>
      <w:r>
        <w:br/>
      </w:r>
      <w:r>
        <w:rPr>
          <w:rStyle w:val="NormalTok"/>
        </w:rPr>
        <w:t xml:space="preserve">        </w:t>
      </w:r>
      <w:r>
        <w:rPr>
          <w:rStyle w:val="VariableTok"/>
        </w:rPr>
        <w:t xml:space="preserve">self</w:t>
      </w:r>
      <w:r>
        <w:rPr>
          <w:rStyle w:val="NormalTok"/>
        </w:rPr>
        <w:t xml:space="preserve">.p, </w:t>
      </w:r>
      <w:r>
        <w:rPr>
          <w:rStyle w:val="VariableTok"/>
        </w:rPr>
        <w:t xml:space="preserve">self</w:t>
      </w:r>
      <w:r>
        <w:rPr>
          <w:rStyle w:val="NormalTok"/>
        </w:rPr>
        <w:t xml:space="preserve">.m </w:t>
      </w:r>
      <w:r>
        <w:rPr>
          <w:rStyle w:val="OperatorTok"/>
        </w:rPr>
        <w:t xml:space="preserve">=</w:t>
      </w:r>
      <w:r>
        <w:rPr>
          <w:rStyle w:val="NormalTok"/>
        </w:rPr>
        <w:t xml:space="preserve"> p, </w:t>
      </w:r>
      <w:r>
        <w:rPr>
          <w:rStyle w:val="DecValTok"/>
        </w:rPr>
        <w:t xml:space="preserve">1</w:t>
      </w:r>
      <w:r>
        <w:rPr>
          <w:rStyle w:val="NormalTok"/>
        </w:rPr>
        <w:t xml:space="preserve"> </w:t>
      </w:r>
      <w:r>
        <w:rPr>
          <w:rStyle w:val="OperatorTok"/>
        </w:rPr>
        <w:t xml:space="preserve">&lt;&lt;</w:t>
      </w:r>
      <w:r>
        <w:rPr>
          <w:rStyle w:val="NormalTok"/>
        </w:rPr>
        <w:t xml:space="preserve"> p</w:t>
      </w:r>
      <w:r>
        <w:br/>
      </w:r>
      <w:r>
        <w:rPr>
          <w:rStyle w:val="NormalTok"/>
        </w:rPr>
        <w:t xml:space="preserve">        </w:t>
      </w:r>
      <w:r>
        <w:rPr>
          <w:rStyle w:val="VariableTok"/>
        </w:rPr>
        <w:t xml:space="preserve">self</w:t>
      </w:r>
      <w:r>
        <w:rPr>
          <w:rStyle w:val="NormalTok"/>
        </w:rPr>
        <w:t xml:space="preserve">.registers </w:t>
      </w:r>
      <w:r>
        <w:rPr>
          <w:rStyle w:val="OperatorTok"/>
        </w:rPr>
        <w:t xml:space="preserve">=</w:t>
      </w:r>
      <w:r>
        <w:rPr>
          <w:rStyle w:val="NormalTok"/>
        </w:rPr>
        <w:t xml:space="preserve"> </w:t>
      </w:r>
      <w:r>
        <w:rPr>
          <w:rStyle w:val="BuiltInTok"/>
        </w:rPr>
        <w:t xml:space="preserve">bytearray</w:t>
      </w:r>
      <w:r>
        <w:rPr>
          <w:rStyle w:val="NormalTok"/>
        </w:rPr>
        <w:t xml:space="preserve">(</w:t>
      </w:r>
      <w:r>
        <w:rPr>
          <w:rStyle w:val="VariableTok"/>
        </w:rPr>
        <w:t xml:space="preserve">self</w:t>
      </w:r>
      <w:r>
        <w:rPr>
          <w:rStyle w:val="NormalTok"/>
        </w:rPr>
        <w:t xml:space="preserve">.m)</w:t>
      </w:r>
      <w:r>
        <w:br/>
      </w:r>
      <w:r>
        <w:rPr>
          <w:rStyle w:val="NormalTok"/>
        </w:rPr>
        <w:t xml:space="preserve">        </w:t>
      </w:r>
      <w:r>
        <w:rPr>
          <w:rStyle w:val="VariableTok"/>
        </w:rPr>
        <w:t xml:space="preserve">self</w:t>
      </w:r>
      <w:r>
        <w:rPr>
          <w:rStyle w:val="NormalTok"/>
        </w:rPr>
        <w:t xml:space="preserve">.salt </w:t>
      </w:r>
      <w:r>
        <w:rPr>
          <w:rStyle w:val="OperatorTok"/>
        </w:rPr>
        <w:t xml:space="preserve">=</w:t>
      </w:r>
      <w:r>
        <w:rPr>
          <w:rStyle w:val="NormalTok"/>
        </w:rPr>
        <w:t xml:space="preserve"> salt</w:t>
      </w:r>
      <w:r>
        <w:br/>
      </w:r>
      <w:r>
        <w:rPr>
          <w:rStyle w:val="NormalTok"/>
        </w:rPr>
        <w:t xml:space="preserve">        </w:t>
      </w:r>
      <w:r>
        <w:rPr>
          <w:rStyle w:val="VariableTok"/>
        </w:rPr>
        <w:t xml:space="preserve">self</w:t>
      </w:r>
      <w:r>
        <w:rPr>
          <w:rStyle w:val="NormalTok"/>
        </w:rPr>
        <w:t xml:space="preserve">.alpha </w:t>
      </w:r>
      <w:r>
        <w:rPr>
          <w:rStyle w:val="OperatorTok"/>
        </w:rPr>
        <w:t xml:space="preserve">=</w:t>
      </w:r>
      <w:r>
        <w:rPr>
          <w:rStyle w:val="NormalTok"/>
        </w:rPr>
        <w:t xml:space="preserve"> </w:t>
      </w:r>
      <w:r>
        <w:rPr>
          <w:rStyle w:val="FloatTok"/>
        </w:rPr>
        <w:t xml:space="preserve">0.7213</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1.079</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.m)        </w:t>
      </w:r>
      <w:r>
        <w:rPr>
          <w:rStyle w:val="CommentTok"/>
        </w:rPr>
        <w:t xml:space="preserve"># bias constant for m &gt;= 128</w:t>
      </w:r>
      <w:r>
        <w:br/>
      </w:r>
      <w:r>
        <w:br/>
      </w:r>
      <w:r>
        <w:rPr>
          <w:rStyle w:val="NormalTok"/>
        </w:rPr>
        <w:t xml:space="preserve">    </w:t>
      </w:r>
      <w:r>
        <w:rPr>
          <w:rStyle w:val="KeywordTok"/>
        </w:rPr>
        <w:t xml:space="preserve">def</w:t>
      </w:r>
      <w:r>
        <w:rPr>
          <w:rStyle w:val="NormalTok"/>
        </w:rPr>
        <w:t xml:space="preserve"> add(</w:t>
      </w:r>
      <w:r>
        <w:rPr>
          <w:rStyle w:val="VariableTok"/>
        </w:rPr>
        <w:t xml:space="preserve">self</w:t>
      </w:r>
      <w:r>
        <w:rPr>
          <w:rStyle w:val="NormalTok"/>
        </w:rPr>
        <w:t xml:space="preserve">, item: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x </w:t>
      </w:r>
      <w:r>
        <w:rPr>
          <w:rStyle w:val="OperatorTok"/>
        </w:rPr>
        <w:t xml:space="preserve">=</w:t>
      </w:r>
      <w:r>
        <w:rPr>
          <w:rStyle w:val="NormalTok"/>
        </w:rPr>
        <w:t xml:space="preserve"> </w:t>
      </w:r>
      <w:r>
        <w:rPr>
          <w:rStyle w:val="BuiltInTok"/>
        </w:rPr>
        <w:t xml:space="preserve">int</w:t>
      </w:r>
      <w:r>
        <w:rPr>
          <w:rStyle w:val="NormalTok"/>
        </w:rPr>
        <w:t xml:space="preserve">.from_bytes(hashlib.blake2b(item.encode(), digest_size</w:t>
      </w:r>
      <w:r>
        <w:rPr>
          <w:rStyle w:val="OperatorTok"/>
        </w:rPr>
        <w:t xml:space="preserve">=</w:t>
      </w:r>
      <w:r>
        <w:rPr>
          <w:rStyle w:val="DecValTok"/>
        </w:rPr>
        <w:t xml:space="preserve">8</w:t>
      </w:r>
      <w:r>
        <w:rPr>
          <w:rStyle w:val="NormalTok"/>
        </w:rPr>
        <w:t xml:space="preserve">, salt</w:t>
      </w:r>
      <w:r>
        <w:rPr>
          <w:rStyle w:val="OperatorTok"/>
        </w:rPr>
        <w:t xml:space="preserve">=</w:t>
      </w:r>
      <w:r>
        <w:rPr>
          <w:rStyle w:val="VariableTok"/>
        </w:rPr>
        <w:t xml:space="preserve">self</w:t>
      </w:r>
      <w:r>
        <w:rPr>
          <w:rStyle w:val="NormalTok"/>
        </w:rPr>
        <w:t xml:space="preserve">.salt).digest(), </w:t>
      </w:r>
      <w:r>
        <w:rPr>
          <w:rStyle w:val="StringTok"/>
        </w:rPr>
        <w:t xml:space="preserve">"big"</w:t>
      </w:r>
      <w:r>
        <w:rPr>
          <w:rStyle w:val="NormalTok"/>
        </w:rPr>
        <w:t xml:space="preserve">)</w:t>
      </w:r>
      <w:r>
        <w:br/>
      </w:r>
      <w:r>
        <w:rPr>
          <w:rStyle w:val="NormalTok"/>
        </w:rPr>
        <w:t xml:space="preserve">        j </w:t>
      </w:r>
      <w:r>
        <w:rPr>
          <w:rStyle w:val="OperatorTok"/>
        </w:rPr>
        <w:t xml:space="preserve">=</w:t>
      </w:r>
      <w:r>
        <w:rPr>
          <w:rStyle w:val="NormalTok"/>
        </w:rPr>
        <w:t xml:space="preserve"> x </w:t>
      </w:r>
      <w:r>
        <w:rPr>
          <w:rStyle w:val="OperatorTok"/>
        </w:rPr>
        <w:t xml:space="preserve">&gt;&gt;</w:t>
      </w:r>
      <w:r>
        <w:rPr>
          <w:rStyle w:val="NormalTok"/>
        </w:rPr>
        <w:t xml:space="preserve"> (</w:t>
      </w:r>
      <w:r>
        <w:rPr>
          <w:rStyle w:val="DecValTok"/>
        </w:rPr>
        <w:t xml:space="preserve">64</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.p)                            </w:t>
      </w:r>
      <w:r>
        <w:rPr>
          <w:rStyle w:val="CommentTok"/>
        </w:rPr>
        <w:t xml:space="preserve"># first p bits choose the register</w:t>
      </w:r>
      <w:r>
        <w:br/>
      </w:r>
      <w:r>
        <w:rPr>
          <w:rStyle w:val="NormalTok"/>
        </w:rPr>
        <w:t xml:space="preserve">        w </w:t>
      </w:r>
      <w:r>
        <w:rPr>
          <w:rStyle w:val="OperatorTok"/>
        </w:rPr>
        <w:t xml:space="preserve">=</w:t>
      </w:r>
      <w:r>
        <w:rPr>
          <w:rStyle w:val="NormalTok"/>
        </w:rPr>
        <w:t xml:space="preserve"> x </w:t>
      </w:r>
      <w:r>
        <w:rPr>
          <w:rStyle w:val="OperatorTok"/>
        </w:rPr>
        <w:t xml:space="preserve">&amp;</w:t>
      </w:r>
      <w:r>
        <w:rPr>
          <w:rStyle w:val="NormalTok"/>
        </w:rPr>
        <w:t xml:space="preserve"> ((</w:t>
      </w:r>
      <w:r>
        <w:rPr>
          <w:rStyle w:val="DecValTok"/>
        </w:rPr>
        <w:t xml:space="preserve">1</w:t>
      </w:r>
      <w:r>
        <w:rPr>
          <w:rStyle w:val="NormalTok"/>
        </w:rPr>
        <w:t xml:space="preserve"> </w:t>
      </w:r>
      <w:r>
        <w:rPr>
          <w:rStyle w:val="OperatorTok"/>
        </w:rPr>
        <w:t xml:space="preserve">&lt;&lt;</w:t>
      </w:r>
      <w:r>
        <w:rPr>
          <w:rStyle w:val="NormalTok"/>
        </w:rPr>
        <w:t xml:space="preserve"> (</w:t>
      </w:r>
      <w:r>
        <w:rPr>
          <w:rStyle w:val="DecValTok"/>
        </w:rPr>
        <w:t xml:space="preserve">64</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.p))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remaining 64 - p bits</w:t>
      </w:r>
      <w:r>
        <w:br/>
      </w:r>
      <w:r>
        <w:rPr>
          <w:rStyle w:val="NormalTok"/>
        </w:rPr>
        <w:t xml:space="preserve">        rank </w:t>
      </w:r>
      <w:r>
        <w:rPr>
          <w:rStyle w:val="OperatorTok"/>
        </w:rPr>
        <w:t xml:space="preserve">=</w:t>
      </w:r>
      <w:r>
        <w:rPr>
          <w:rStyle w:val="NormalTok"/>
        </w:rPr>
        <w:t xml:space="preserve"> (</w:t>
      </w:r>
      <w:r>
        <w:rPr>
          <w:rStyle w:val="DecValTok"/>
        </w:rPr>
        <w:t xml:space="preserve">64</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.p) </w:t>
      </w:r>
      <w:r>
        <w:rPr>
          <w:rStyle w:val="OperatorTok"/>
        </w:rPr>
        <w:t xml:space="preserve">-</w:t>
      </w:r>
      <w:r>
        <w:rPr>
          <w:rStyle w:val="NormalTok"/>
        </w:rPr>
        <w:t xml:space="preserve"> w.bit_length()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position of the leftmost 1-bit</w:t>
      </w:r>
      <w:r>
        <w:br/>
      </w:r>
      <w:r>
        <w:rPr>
          <w:rStyle w:val="NormalTok"/>
        </w:rPr>
        <w:t xml:space="preserve">        </w:t>
      </w:r>
      <w:r>
        <w:rPr>
          <w:rStyle w:val="ControlFlowTok"/>
        </w:rPr>
        <w:t xml:space="preserve">if</w:t>
      </w:r>
      <w:r>
        <w:rPr>
          <w:rStyle w:val="NormalTok"/>
        </w:rPr>
        <w:t xml:space="preserve"> rank </w:t>
      </w:r>
      <w:r>
        <w:rPr>
          <w:rStyle w:val="OperatorTok"/>
        </w:rPr>
        <w:t xml:space="preserve">&gt;</w:t>
      </w:r>
      <w:r>
        <w:rPr>
          <w:rStyle w:val="NormalTok"/>
        </w:rPr>
        <w:t xml:space="preserve"> </w:t>
      </w:r>
      <w:r>
        <w:rPr>
          <w:rStyle w:val="VariableTok"/>
        </w:rPr>
        <w:t xml:space="preserve">self</w:t>
      </w:r>
      <w:r>
        <w:rPr>
          <w:rStyle w:val="NormalTok"/>
        </w:rPr>
        <w:t xml:space="preserve">.registers[j]:</w:t>
      </w:r>
      <w:r>
        <w:br/>
      </w:r>
      <w:r>
        <w:rPr>
          <w:rStyle w:val="NormalTok"/>
        </w:rPr>
        <w:t xml:space="preserve">            </w:t>
      </w:r>
      <w:r>
        <w:rPr>
          <w:rStyle w:val="VariableTok"/>
        </w:rPr>
        <w:t xml:space="preserve">self</w:t>
      </w:r>
      <w:r>
        <w:rPr>
          <w:rStyle w:val="NormalTok"/>
        </w:rPr>
        <w:t xml:space="preserve">.registers[j] </w:t>
      </w:r>
      <w:r>
        <w:rPr>
          <w:rStyle w:val="OperatorTok"/>
        </w:rPr>
        <w:t xml:space="preserve">=</w:t>
      </w:r>
      <w:r>
        <w:rPr>
          <w:rStyle w:val="NormalTok"/>
        </w:rPr>
        <w:t xml:space="preserve"> rank</w:t>
      </w:r>
      <w:r>
        <w:br/>
      </w:r>
      <w:r>
        <w:br/>
      </w:r>
      <w:r>
        <w:rPr>
          <w:rStyle w:val="NormalTok"/>
        </w:rPr>
        <w:t xml:space="preserve">    </w:t>
      </w:r>
      <w:r>
        <w:rPr>
          <w:rStyle w:val="KeywordTok"/>
        </w:rPr>
        <w:t xml:space="preserve">def</w:t>
      </w:r>
      <w:r>
        <w:rPr>
          <w:rStyle w:val="NormalTok"/>
        </w:rPr>
        <w:t xml:space="preserve"> count(</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z </w:t>
      </w:r>
      <w:r>
        <w:rPr>
          <w:rStyle w:val="OperatorTok"/>
        </w:rPr>
        <w:t xml:space="preserve">=</w:t>
      </w:r>
      <w:r>
        <w:rPr>
          <w:rStyle w:val="NormalTok"/>
        </w:rPr>
        <w:t xml:space="preserve"> </w:t>
      </w:r>
      <w:r>
        <w:rPr>
          <w:rStyle w:val="BuiltInTok"/>
        </w:rPr>
        <w:t xml:space="preserve">sum</w:t>
      </w:r>
      <w:r>
        <w:rPr>
          <w:rStyle w:val="NormalTok"/>
        </w:rPr>
        <w:t xml:space="preserve">(</w:t>
      </w:r>
      <w:r>
        <w:rPr>
          <w:rStyle w:val="FloatTok"/>
        </w:rPr>
        <w:t xml:space="preserve">2.0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r </w:t>
      </w:r>
      <w:r>
        <w:rPr>
          <w:rStyle w:val="ControlFlowTok"/>
        </w:rPr>
        <w:t xml:space="preserve">for</w:t>
      </w:r>
      <w:r>
        <w:rPr>
          <w:rStyle w:val="NormalTok"/>
        </w:rPr>
        <w:t xml:space="preserve"> r </w:t>
      </w:r>
      <w:r>
        <w:rPr>
          <w:rStyle w:val="KeywordTok"/>
        </w:rPr>
        <w:t xml:space="preserve">in</w:t>
      </w:r>
      <w:r>
        <w:rPr>
          <w:rStyle w:val="NormalTok"/>
        </w:rPr>
        <w:t xml:space="preserve"> </w:t>
      </w:r>
      <w:r>
        <w:rPr>
          <w:rStyle w:val="VariableTok"/>
        </w:rPr>
        <w:t xml:space="preserve">self</w:t>
      </w:r>
      <w:r>
        <w:rPr>
          <w:rStyle w:val="NormalTok"/>
        </w:rPr>
        <w:t xml:space="preserve">.registers)</w:t>
      </w:r>
      <w:r>
        <w:br/>
      </w:r>
      <w:r>
        <w:rPr>
          <w:rStyle w:val="NormalTok"/>
        </w:rPr>
        <w:t xml:space="preserve">        estimate </w:t>
      </w:r>
      <w:r>
        <w:rPr>
          <w:rStyle w:val="OperatorTok"/>
        </w:rPr>
        <w:t xml:space="preserve">=</w:t>
      </w:r>
      <w:r>
        <w:rPr>
          <w:rStyle w:val="NormalTok"/>
        </w:rPr>
        <w:t xml:space="preserve"> </w:t>
      </w:r>
      <w:r>
        <w:rPr>
          <w:rStyle w:val="VariableTok"/>
        </w:rPr>
        <w:t xml:space="preserve">self</w:t>
      </w:r>
      <w:r>
        <w:rPr>
          <w:rStyle w:val="NormalTok"/>
        </w:rPr>
        <w:t xml:space="preserve">.alpha </w:t>
      </w:r>
      <w:r>
        <w:rPr>
          <w:rStyle w:val="OperatorTok"/>
        </w:rPr>
        <w:t xml:space="preserve">*</w:t>
      </w:r>
      <w:r>
        <w:rPr>
          <w:rStyle w:val="NormalTok"/>
        </w:rPr>
        <w:t xml:space="preserve"> </w:t>
      </w:r>
      <w:r>
        <w:rPr>
          <w:rStyle w:val="VariableTok"/>
        </w:rPr>
        <w:t xml:space="preserve">self</w:t>
      </w:r>
      <w:r>
        <w:rPr>
          <w:rStyle w:val="NormalTok"/>
        </w:rPr>
        <w:t xml:space="preserve">.m </w:t>
      </w:r>
      <w:r>
        <w:rPr>
          <w:rStyle w:val="OperatorTok"/>
        </w:rPr>
        <w:t xml:space="preserve">*</w:t>
      </w:r>
      <w:r>
        <w:rPr>
          <w:rStyle w:val="NormalTok"/>
        </w:rPr>
        <w:t xml:space="preserve"> </w:t>
      </w:r>
      <w:r>
        <w:rPr>
          <w:rStyle w:val="VariableTok"/>
        </w:rPr>
        <w:t xml:space="preserve">self</w:t>
      </w:r>
      <w:r>
        <w:rPr>
          <w:rStyle w:val="NormalTok"/>
        </w:rPr>
        <w:t xml:space="preserve">.m </w:t>
      </w:r>
      <w:r>
        <w:rPr>
          <w:rStyle w:val="OperatorTok"/>
        </w:rPr>
        <w:t xml:space="preserve">/</w:t>
      </w:r>
      <w:r>
        <w:rPr>
          <w:rStyle w:val="NormalTok"/>
        </w:rPr>
        <w:t xml:space="preserve"> z       </w:t>
      </w:r>
      <w:r>
        <w:rPr>
          <w:rStyle w:val="CommentTok"/>
        </w:rPr>
        <w:t xml:space="preserve"># normalized harmonic mean</w:t>
      </w:r>
      <w:r>
        <w:br/>
      </w:r>
      <w:r>
        <w:rPr>
          <w:rStyle w:val="NormalTok"/>
        </w:rPr>
        <w:t xml:space="preserve">        zeros </w:t>
      </w:r>
      <w:r>
        <w:rPr>
          <w:rStyle w:val="OperatorTok"/>
        </w:rPr>
        <w:t xml:space="preserve">=</w:t>
      </w:r>
      <w:r>
        <w:rPr>
          <w:rStyle w:val="NormalTok"/>
        </w:rPr>
        <w:t xml:space="preserve"> </w:t>
      </w:r>
      <w:r>
        <w:rPr>
          <w:rStyle w:val="VariableTok"/>
        </w:rPr>
        <w:t xml:space="preserve">self</w:t>
      </w:r>
      <w:r>
        <w:rPr>
          <w:rStyle w:val="NormalTok"/>
        </w:rPr>
        <w:t xml:space="preserve">.registers.count(</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estimate </w:t>
      </w:r>
      <w:r>
        <w:rPr>
          <w:rStyle w:val="OperatorTok"/>
        </w:rPr>
        <w:t xml:space="preserve">&lt;=</w:t>
      </w:r>
      <w:r>
        <w:rPr>
          <w:rStyle w:val="NormalTok"/>
        </w:rPr>
        <w:t xml:space="preserve"> </w:t>
      </w:r>
      <w:r>
        <w:rPr>
          <w:rStyle w:val="FloatTok"/>
        </w:rPr>
        <w:t xml:space="preserve">2.5</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.m </w:t>
      </w:r>
      <w:r>
        <w:rPr>
          <w:rStyle w:val="KeywordTok"/>
        </w:rPr>
        <w:t xml:space="preserve">and</w:t>
      </w:r>
      <w:r>
        <w:rPr>
          <w:rStyle w:val="NormalTok"/>
        </w:rPr>
        <w:t xml:space="preserve"> zeros:            </w:t>
      </w:r>
      <w:r>
        <w:rPr>
          <w:rStyle w:val="CommentTok"/>
        </w:rPr>
        <w:t xml:space="preserve"># small range: linear counting</w:t>
      </w:r>
      <w:r>
        <w:br/>
      </w:r>
      <w:r>
        <w:rPr>
          <w:rStyle w:val="NormalTok"/>
        </w:rPr>
        <w:t xml:space="preserve">            estimate </w:t>
      </w:r>
      <w:r>
        <w:rPr>
          <w:rStyle w:val="OperatorTok"/>
        </w:rPr>
        <w:t xml:space="preserve">=</w:t>
      </w:r>
      <w:r>
        <w:rPr>
          <w:rStyle w:val="NormalTok"/>
        </w:rPr>
        <w:t xml:space="preserve"> </w:t>
      </w:r>
      <w:r>
        <w:rPr>
          <w:rStyle w:val="VariableTok"/>
        </w:rPr>
        <w:t xml:space="preserve">self</w:t>
      </w:r>
      <w:r>
        <w:rPr>
          <w:rStyle w:val="NormalTok"/>
        </w:rPr>
        <w:t xml:space="preserve">.m </w:t>
      </w:r>
      <w:r>
        <w:rPr>
          <w:rStyle w:val="OperatorTok"/>
        </w:rPr>
        <w:t xml:space="preserve">*</w:t>
      </w:r>
      <w:r>
        <w:rPr>
          <w:rStyle w:val="NormalTok"/>
        </w:rPr>
        <w:t xml:space="preserve"> math.log(</w:t>
      </w:r>
      <w:r>
        <w:rPr>
          <w:rStyle w:val="VariableTok"/>
        </w:rPr>
        <w:t xml:space="preserve">self</w:t>
      </w:r>
      <w:r>
        <w:rPr>
          <w:rStyle w:val="NormalTok"/>
        </w:rPr>
        <w:t xml:space="preserve">.m </w:t>
      </w:r>
      <w:r>
        <w:rPr>
          <w:rStyle w:val="OperatorTok"/>
        </w:rPr>
        <w:t xml:space="preserve">/</w:t>
      </w:r>
      <w:r>
        <w:rPr>
          <w:rStyle w:val="NormalTok"/>
        </w:rPr>
        <w:t xml:space="preserve"> zeros)</w:t>
      </w:r>
      <w:r>
        <w:br/>
      </w:r>
      <w:r>
        <w:rPr>
          <w:rStyle w:val="NormalTok"/>
        </w:rPr>
        <w:t xml:space="preserve">        </w:t>
      </w:r>
      <w:r>
        <w:rPr>
          <w:rStyle w:val="ControlFlowTok"/>
        </w:rPr>
        <w:t xml:space="preserve">return</w:t>
      </w:r>
      <w:r>
        <w:rPr>
          <w:rStyle w:val="NormalTok"/>
        </w:rPr>
        <w:t xml:space="preserve"> estimate</w:t>
      </w:r>
      <w:r>
        <w:br/>
      </w:r>
      <w:r>
        <w:br/>
      </w:r>
      <w:r>
        <w:rPr>
          <w:rStyle w:val="NormalTok"/>
        </w:rPr>
        <w:t xml:space="preserve">    </w:t>
      </w:r>
      <w:r>
        <w:rPr>
          <w:rStyle w:val="KeywordTok"/>
        </w:rPr>
        <w:t xml:space="preserve">def</w:t>
      </w:r>
      <w:r>
        <w:rPr>
          <w:rStyle w:val="NormalTok"/>
        </w:rPr>
        <w:t xml:space="preserve"> merge(</w:t>
      </w:r>
      <w:r>
        <w:rPr>
          <w:rStyle w:val="VariableTok"/>
        </w:rPr>
        <w:t xml:space="preserve">self</w:t>
      </w:r>
      <w:r>
        <w:rPr>
          <w:rStyle w:val="NormalTok"/>
        </w:rPr>
        <w:t xml:space="preserve">, other: </w:t>
      </w:r>
      <w:r>
        <w:rPr>
          <w:rStyle w:val="StringTok"/>
        </w:rPr>
        <w:t xml:space="preserve">"HyperLogLog"</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.registers </w:t>
      </w:r>
      <w:r>
        <w:rPr>
          <w:rStyle w:val="OperatorTok"/>
        </w:rPr>
        <w:t xml:space="preserve">=</w:t>
      </w:r>
      <w:r>
        <w:rPr>
          <w:rStyle w:val="NormalTok"/>
        </w:rPr>
        <w:t xml:space="preserve"> </w:t>
      </w:r>
      <w:r>
        <w:rPr>
          <w:rStyle w:val="BuiltInTok"/>
        </w:rPr>
        <w:t xml:space="preserve">bytearray</w:t>
      </w:r>
      <w:r>
        <w:rPr>
          <w:rStyle w:val="NormalTok"/>
        </w:rPr>
        <w:t xml:space="preserve">(</w:t>
      </w:r>
      <w:r>
        <w:rPr>
          <w:rStyle w:val="BuiltInTok"/>
        </w:rPr>
        <w:t xml:space="preserve">max</w:t>
      </w:r>
      <w:r>
        <w:rPr>
          <w:rStyle w:val="NormalTok"/>
        </w:rPr>
        <w:t xml:space="preserve">(a, b) </w:t>
      </w:r>
      <w:r>
        <w:rPr>
          <w:rStyle w:val="ControlFlowTok"/>
        </w:rPr>
        <w:t xml:space="preserve">for</w:t>
      </w:r>
      <w:r>
        <w:rPr>
          <w:rStyle w:val="NormalTok"/>
        </w:rPr>
        <w:t xml:space="preserve"> a, b </w:t>
      </w:r>
      <w:r>
        <w:rPr>
          <w:rStyle w:val="KeywordTok"/>
        </w:rPr>
        <w:t xml:space="preserve">in</w:t>
      </w:r>
      <w:r>
        <w:rPr>
          <w:rStyle w:val="NormalTok"/>
        </w:rPr>
        <w:t xml:space="preserve"> </w:t>
      </w:r>
      <w:r>
        <w:rPr>
          <w:rStyle w:val="BuiltInTok"/>
        </w:rPr>
        <w:t xml:space="preserve">zip</w:t>
      </w:r>
      <w:r>
        <w:rPr>
          <w:rStyle w:val="NormalTok"/>
        </w:rPr>
        <w:t xml:space="preserve">(</w:t>
      </w:r>
      <w:r>
        <w:rPr>
          <w:rStyle w:val="VariableTok"/>
        </w:rPr>
        <w:t xml:space="preserve">self</w:t>
      </w:r>
      <w:r>
        <w:rPr>
          <w:rStyle w:val="NormalTok"/>
        </w:rPr>
        <w:t xml:space="preserve">.registers, other.registers))</w:t>
      </w:r>
      <w:r>
        <w:br/>
      </w:r>
      <w:r>
        <w:br/>
      </w:r>
      <w:r>
        <w:rPr>
          <w:rStyle w:val="NormalTok"/>
        </w:rPr>
        <w:t xml:space="preserve">n, trials </w:t>
      </w:r>
      <w:r>
        <w:rPr>
          <w:rStyle w:val="OperatorTok"/>
        </w:rPr>
        <w:t xml:space="preserve">=</w:t>
      </w:r>
      <w:r>
        <w:rPr>
          <w:rStyle w:val="NormalTok"/>
        </w:rPr>
        <w:t xml:space="preserve"> </w:t>
      </w:r>
      <w:r>
        <w:rPr>
          <w:rStyle w:val="DecValTok"/>
        </w:rPr>
        <w:t xml:space="preserve">100_000</w:t>
      </w:r>
      <w:r>
        <w:rPr>
          <w:rStyle w:val="NormalTok"/>
        </w:rPr>
        <w:t xml:space="preserve">, </w:t>
      </w:r>
      <w:r>
        <w:rPr>
          <w:rStyle w:val="DecValTok"/>
        </w:rPr>
        <w:t xml:space="preserve">50</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'p'</w:t>
      </w:r>
      <w:r>
        <w:rPr>
          <w:rStyle w:val="SpecialCharTok"/>
        </w:rPr>
        <w:t xml:space="preserve">:&gt;3}</w:t>
      </w:r>
      <w:r>
        <w:rPr>
          <w:rStyle w:val="SpecialStringTok"/>
        </w:rPr>
        <w:t xml:space="preserve"> </w:t>
      </w:r>
      <w:r>
        <w:rPr>
          <w:rStyle w:val="SpecialCharTok"/>
        </w:rPr>
        <w:t xml:space="preserve">{</w:t>
      </w:r>
      <w:r>
        <w:rPr>
          <w:rStyle w:val="StringTok"/>
        </w:rPr>
        <w:t xml:space="preserve">'registers'</w:t>
      </w:r>
      <w:r>
        <w:rPr>
          <w:rStyle w:val="SpecialCharTok"/>
        </w:rPr>
        <w:t xml:space="preserve">:&gt;9}</w:t>
      </w:r>
      <w:r>
        <w:rPr>
          <w:rStyle w:val="SpecialStringTok"/>
        </w:rPr>
        <w:t xml:space="preserve"> </w:t>
      </w:r>
      <w:r>
        <w:rPr>
          <w:rStyle w:val="SpecialCharTok"/>
        </w:rPr>
        <w:t xml:space="preserve">{</w:t>
      </w:r>
      <w:r>
        <w:rPr>
          <w:rStyle w:val="StringTok"/>
        </w:rPr>
        <w:t xml:space="preserve">'memory'</w:t>
      </w:r>
      <w:r>
        <w:rPr>
          <w:rStyle w:val="SpecialCharTok"/>
        </w:rPr>
        <w:t xml:space="preserve">:&gt;9}</w:t>
      </w:r>
      <w:r>
        <w:rPr>
          <w:rStyle w:val="SpecialStringTok"/>
        </w:rPr>
        <w:t xml:space="preserve"> </w:t>
      </w:r>
      <w:r>
        <w:rPr>
          <w:rStyle w:val="SpecialCharTok"/>
        </w:rPr>
        <w:t xml:space="preserve">{</w:t>
      </w:r>
      <w:r>
        <w:rPr>
          <w:rStyle w:val="StringTok"/>
        </w:rPr>
        <w:t xml:space="preserve">'predicted SE'</w:t>
      </w:r>
      <w:r>
        <w:rPr>
          <w:rStyle w:val="SpecialCharTok"/>
        </w:rPr>
        <w:t xml:space="preserve">:&gt;12}</w:t>
      </w:r>
      <w:r>
        <w:rPr>
          <w:rStyle w:val="SpecialStringTok"/>
        </w:rPr>
        <w:t xml:space="preserve"> </w:t>
      </w:r>
      <w:r>
        <w:rPr>
          <w:rStyle w:val="SpecialCharTok"/>
        </w:rPr>
        <w:t xml:space="preserve">{</w:t>
      </w:r>
      <w:r>
        <w:rPr>
          <w:rStyle w:val="StringTok"/>
        </w:rPr>
        <w:t xml:space="preserve">'measured RMS err'</w:t>
      </w:r>
      <w:r>
        <w:rPr>
          <w:rStyle w:val="SpecialCharTok"/>
        </w:rPr>
        <w:t xml:space="preserve">:&gt;16}</w:t>
      </w:r>
      <w:r>
        <w:rPr>
          <w:rStyle w:val="SpecialStringTok"/>
        </w:rPr>
        <w:t xml:space="preserve">"</w:t>
      </w:r>
      <w:r>
        <w:rPr>
          <w:rStyle w:val="NormalTok"/>
        </w:rPr>
        <w:t xml:space="preserve">)</w:t>
      </w:r>
      <w:r>
        <w:br/>
      </w:r>
      <w:r>
        <w:rPr>
          <w:rStyle w:val="ControlFlowTok"/>
        </w:rPr>
        <w:t xml:space="preserve">for</w:t>
      </w:r>
      <w:r>
        <w:rPr>
          <w:rStyle w:val="NormalTok"/>
        </w:rPr>
        <w:t xml:space="preserve"> p </w:t>
      </w:r>
      <w:r>
        <w:rPr>
          <w:rStyle w:val="KeywordTok"/>
        </w:rPr>
        <w:t xml:space="preserve">in</w:t>
      </w:r>
      <w:r>
        <w:rPr>
          <w:rStyle w:val="NormalTok"/>
        </w:rPr>
        <w:t xml:space="preserve"> (</w:t>
      </w:r>
      <w:r>
        <w:rPr>
          <w:rStyle w:val="DecValTok"/>
        </w:rPr>
        <w:t xml:space="preserve">10</w:t>
      </w:r>
      <w:r>
        <w:rPr>
          <w:rStyle w:val="NormalTok"/>
        </w:rPr>
        <w:t xml:space="preserve">, </w:t>
      </w:r>
      <w:r>
        <w:rPr>
          <w:rStyle w:val="DecValTok"/>
        </w:rPr>
        <w:t xml:space="preserve">12</w:t>
      </w:r>
      <w:r>
        <w:rPr>
          <w:rStyle w:val="NormalTok"/>
        </w:rPr>
        <w:t xml:space="preserve">, </w:t>
      </w:r>
      <w:r>
        <w:rPr>
          <w:rStyle w:val="DecValTok"/>
        </w:rPr>
        <w:t xml:space="preserve">14</w:t>
      </w:r>
      <w:r>
        <w:rPr>
          <w:rStyle w:val="NormalTok"/>
        </w:rPr>
        <w:t xml:space="preserve">):</w:t>
      </w:r>
      <w:r>
        <w:br/>
      </w:r>
      <w:r>
        <w:rPr>
          <w:rStyle w:val="NormalTok"/>
        </w:rPr>
        <w:t xml:space="preserve">    errors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(trials):</w:t>
      </w:r>
      <w:r>
        <w:br/>
      </w:r>
      <w:r>
        <w:rPr>
          <w:rStyle w:val="NormalTok"/>
        </w:rPr>
        <w:t xml:space="preserve">        h </w:t>
      </w:r>
      <w:r>
        <w:rPr>
          <w:rStyle w:val="OperatorTok"/>
        </w:rPr>
        <w:t xml:space="preserve">=</w:t>
      </w:r>
      <w:r>
        <w:rPr>
          <w:rStyle w:val="NormalTok"/>
        </w:rPr>
        <w:t xml:space="preserve"> HyperLogLog(p, salt</w:t>
      </w:r>
      <w:r>
        <w:rPr>
          <w:rStyle w:val="OperatorTok"/>
        </w:rPr>
        <w:t xml:space="preserve">=</w:t>
      </w:r>
      <w:r>
        <w:rPr>
          <w:rStyle w:val="NormalTok"/>
        </w:rPr>
        <w:t xml:space="preserve">t.to_bytes(</w:t>
      </w:r>
      <w:r>
        <w:rPr>
          <w:rStyle w:val="DecValTok"/>
        </w:rPr>
        <w:t xml:space="preserve">4</w:t>
      </w:r>
      <w:r>
        <w:rPr>
          <w:rStyle w:val="NormalTok"/>
        </w:rPr>
        <w:t xml:space="preserve">, </w:t>
      </w:r>
      <w:r>
        <w:rPr>
          <w:rStyle w:val="StringTok"/>
        </w:rPr>
        <w:t xml:space="preserve">"little"</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h.add(</w:t>
      </w:r>
      <w:r>
        <w:rPr>
          <w:rStyle w:val="SpecialStringTok"/>
        </w:rPr>
        <w:t xml:space="preserve">f"user-</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w:t>
      </w:r>
      <w:r>
        <w:br/>
      </w:r>
      <w:r>
        <w:rPr>
          <w:rStyle w:val="NormalTok"/>
        </w:rPr>
        <w:t xml:space="preserve">        errors.append((h.count() </w:t>
      </w:r>
      <w:r>
        <w:rPr>
          <w:rStyle w:val="OperatorTok"/>
        </w:rPr>
        <w:t xml:space="preserve">-</w:t>
      </w:r>
      <w:r>
        <w:rPr>
          <w:rStyle w:val="NormalTok"/>
        </w:rPr>
        <w:t xml:space="preserve"> n) </w:t>
      </w:r>
      <w:r>
        <w:rPr>
          <w:rStyle w:val="OperatorTok"/>
        </w:rPr>
        <w:t xml:space="preserve">/</w:t>
      </w:r>
      <w:r>
        <w:rPr>
          <w:rStyle w:val="NormalTok"/>
        </w:rPr>
        <w:t xml:space="preserve"> n)</w:t>
      </w:r>
      <w:r>
        <w:br/>
      </w:r>
      <w:r>
        <w:rPr>
          <w:rStyle w:val="NormalTok"/>
        </w:rPr>
        <w:t xml:space="preserve">    rms </w:t>
      </w:r>
      <w:r>
        <w:rPr>
          <w:rStyle w:val="OperatorTok"/>
        </w:rPr>
        <w:t xml:space="preserve">=</w:t>
      </w:r>
      <w:r>
        <w:rPr>
          <w:rStyle w:val="NormalTok"/>
        </w:rPr>
        <w:t xml:space="preserve"> math.sqrt(</w:t>
      </w:r>
      <w:r>
        <w:rPr>
          <w:rStyle w:val="BuiltInTok"/>
        </w:rPr>
        <w:t xml:space="preserve">sum</w:t>
      </w:r>
      <w:r>
        <w:rPr>
          <w:rStyle w:val="NormalTok"/>
        </w:rPr>
        <w:t xml:space="preserve">(e </w:t>
      </w:r>
      <w:r>
        <w:rPr>
          <w:rStyle w:val="OperatorTok"/>
        </w:rPr>
        <w:t xml:space="preserve">*</w:t>
      </w:r>
      <w:r>
        <w:rPr>
          <w:rStyle w:val="NormalTok"/>
        </w:rPr>
        <w:t xml:space="preserve"> e </w:t>
      </w:r>
      <w:r>
        <w:rPr>
          <w:rStyle w:val="ControlFlowTok"/>
        </w:rPr>
        <w:t xml:space="preserve">for</w:t>
      </w:r>
      <w:r>
        <w:rPr>
          <w:rStyle w:val="NormalTok"/>
        </w:rPr>
        <w:t xml:space="preserve"> e </w:t>
      </w:r>
      <w:r>
        <w:rPr>
          <w:rStyle w:val="KeywordTok"/>
        </w:rPr>
        <w:t xml:space="preserve">in</w:t>
      </w:r>
      <w:r>
        <w:rPr>
          <w:rStyle w:val="NormalTok"/>
        </w:rPr>
        <w:t xml:space="preserve"> errors) </w:t>
      </w:r>
      <w:r>
        <w:rPr>
          <w:rStyle w:val="OperatorTok"/>
        </w:rPr>
        <w:t xml:space="preserve">/</w:t>
      </w:r>
      <w:r>
        <w:rPr>
          <w:rStyle w:val="NormalTok"/>
        </w:rPr>
        <w:t xml:space="preserve"> trials)</w:t>
      </w:r>
      <w:r>
        <w:br/>
      </w:r>
      <w:r>
        <w:rPr>
          <w:rStyle w:val="NormalTok"/>
        </w:rPr>
        <w:t xml:space="preserve">    mem </w:t>
      </w:r>
      <w:r>
        <w:rPr>
          <w:rStyle w:val="OperatorTok"/>
        </w:rPr>
        <w:t xml:space="preserve">=</w:t>
      </w:r>
      <w:r>
        <w:rPr>
          <w:rStyle w:val="NormalTok"/>
        </w:rPr>
        <w:t xml:space="preserve"> h.m </w:t>
      </w:r>
      <w:r>
        <w:rPr>
          <w:rStyle w:val="OperatorTok"/>
        </w:rPr>
        <w:t xml:space="preserve">*</w:t>
      </w:r>
      <w:r>
        <w:rPr>
          <w:rStyle w:val="NormalTok"/>
        </w:rPr>
        <w:t xml:space="preserve"> </w:t>
      </w:r>
      <w:r>
        <w:rPr>
          <w:rStyle w:val="DecValTok"/>
        </w:rPr>
        <w:t xml:space="preserve">6</w:t>
      </w:r>
      <w:r>
        <w:rPr>
          <w:rStyle w:val="NormalTok"/>
        </w:rPr>
        <w:t xml:space="preserve"> </w:t>
      </w:r>
      <w:r>
        <w:rPr>
          <w:rStyle w:val="OperatorTok"/>
        </w:rPr>
        <w:t xml:space="preserve">/</w:t>
      </w:r>
      <w:r>
        <w:rPr>
          <w:rStyle w:val="NormalTok"/>
        </w:rPr>
        <w:t xml:space="preserve"> </w:t>
      </w:r>
      <w:r>
        <w:rPr>
          <w:rStyle w:val="DecValTok"/>
        </w:rPr>
        <w:t xml:space="preserve">8</w:t>
      </w:r>
      <w:r>
        <w:rPr>
          <w:rStyle w:val="NormalTok"/>
        </w:rPr>
        <w:t xml:space="preserve">                                     </w:t>
      </w:r>
      <w:r>
        <w:rPr>
          <w:rStyle w:val="CommentTok"/>
        </w:rPr>
        <w:t xml:space="preserve"># 6-bit registers, as in Redis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p</w:t>
      </w:r>
      <w:r>
        <w:rPr>
          <w:rStyle w:val="SpecialCharTok"/>
        </w:rPr>
        <w:t xml:space="preserve">:3d}</w:t>
      </w:r>
      <w:r>
        <w:rPr>
          <w:rStyle w:val="SpecialStringTok"/>
        </w:rPr>
        <w:t xml:space="preserve"> </w:t>
      </w:r>
      <w:r>
        <w:rPr>
          <w:rStyle w:val="SpecialCharTok"/>
        </w:rPr>
        <w:t xml:space="preserve">{</w:t>
      </w:r>
      <w:r>
        <w:rPr>
          <w:rStyle w:val="NormalTok"/>
        </w:rPr>
        <w:t xml:space="preserve">h</w:t>
      </w:r>
      <w:r>
        <w:rPr>
          <w:rStyle w:val="SpecialCharTok"/>
        </w:rPr>
        <w:t xml:space="preserve">.</w:t>
      </w:r>
      <w:r>
        <w:rPr>
          <w:rStyle w:val="NormalTok"/>
        </w:rPr>
        <w:t xml:space="preserve">m</w:t>
      </w:r>
      <w:r>
        <w:rPr>
          <w:rStyle w:val="SpecialCharTok"/>
        </w:rPr>
        <w:t xml:space="preserve">:9d}</w:t>
      </w:r>
      <w:r>
        <w:rPr>
          <w:rStyle w:val="SpecialStringTok"/>
        </w:rPr>
        <w:t xml:space="preserve"> </w:t>
      </w:r>
      <w:r>
        <w:rPr>
          <w:rStyle w:val="SpecialCharTok"/>
        </w:rPr>
        <w:t xml:space="preserve">{</w:t>
      </w:r>
      <w:r>
        <w:rPr>
          <w:rStyle w:val="NormalTok"/>
        </w:rPr>
        <w:t xml:space="preserve">mem</w:t>
      </w:r>
      <w:r>
        <w:rPr>
          <w:rStyle w:val="SpecialCharTok"/>
        </w:rPr>
        <w:t xml:space="preserve">:7.0f}</w:t>
      </w:r>
      <w:r>
        <w:rPr>
          <w:rStyle w:val="SpecialStringTok"/>
        </w:rPr>
        <w:t xml:space="preserve"> B </w:t>
      </w:r>
      <w:r>
        <w:rPr>
          <w:rStyle w:val="SpecialCharTok"/>
        </w:rPr>
        <w:t xml:space="preserve">{</w:t>
      </w:r>
      <w:r>
        <w:rPr>
          <w:rStyle w:val="FloatTok"/>
        </w:rPr>
        <w:t xml:space="preserve">1.04</w:t>
      </w:r>
      <w:r>
        <w:rPr>
          <w:rStyle w:val="NormalTok"/>
        </w:rPr>
        <w:t xml:space="preserve"> </w:t>
      </w:r>
      <w:r>
        <w:rPr>
          <w:rStyle w:val="OperatorTok"/>
        </w:rPr>
        <w:t xml:space="preserve">/</w:t>
      </w:r>
      <w:r>
        <w:rPr>
          <w:rStyle w:val="NormalTok"/>
        </w:rPr>
        <w:t xml:space="preserve"> math</w:t>
      </w:r>
      <w:r>
        <w:rPr>
          <w:rStyle w:val="SpecialCharTok"/>
        </w:rPr>
        <w:t xml:space="preserve">.</w:t>
      </w:r>
      <w:r>
        <w:rPr>
          <w:rStyle w:val="NormalTok"/>
        </w:rPr>
        <w:t xml:space="preserve">sqrt(h.m)</w:t>
      </w:r>
      <w:r>
        <w:rPr>
          <w:rStyle w:val="SpecialCharTok"/>
        </w:rPr>
        <w:t xml:space="preserve">:12.4f}</w:t>
      </w:r>
      <w:r>
        <w:rPr>
          <w:rStyle w:val="SpecialStringTok"/>
        </w:rPr>
        <w:t xml:space="preserve"> </w:t>
      </w:r>
      <w:r>
        <w:rPr>
          <w:rStyle w:val="SpecialCharTok"/>
        </w:rPr>
        <w:t xml:space="preserve">{</w:t>
      </w:r>
      <w:r>
        <w:rPr>
          <w:rStyle w:val="NormalTok"/>
        </w:rPr>
        <w:t xml:space="preserve">rms</w:t>
      </w:r>
      <w:r>
        <w:rPr>
          <w:rStyle w:val="SpecialCharTok"/>
        </w:rPr>
        <w:t xml:space="preserve">:16.4f}</w:t>
      </w:r>
      <w:r>
        <w:rPr>
          <w:rStyle w:val="SpecialStringTok"/>
        </w:rPr>
        <w:t xml:space="preserve">"</w:t>
      </w:r>
      <w:r>
        <w:rPr>
          <w:rStyle w:val="NormalTok"/>
        </w:rPr>
        <w:t xml:space="preserve">)</w:t>
      </w:r>
      <w:r>
        <w:br/>
      </w:r>
      <w:r>
        <w:br/>
      </w:r>
      <w:r>
        <w:rPr>
          <w:rStyle w:val="CommentTok"/>
        </w:rPr>
        <w:t xml:space="preserve"># Mergeability: two days of visitors with 50,000 in common</w:t>
      </w:r>
      <w:r>
        <w:br/>
      </w:r>
      <w:r>
        <w:rPr>
          <w:rStyle w:val="NormalTok"/>
        </w:rPr>
        <w:t xml:space="preserve">day1, day2 </w:t>
      </w:r>
      <w:r>
        <w:rPr>
          <w:rStyle w:val="OperatorTok"/>
        </w:rPr>
        <w:t xml:space="preserve">=</w:t>
      </w:r>
      <w:r>
        <w:rPr>
          <w:rStyle w:val="NormalTok"/>
        </w:rPr>
        <w:t xml:space="preserve"> HyperLogLog(</w:t>
      </w:r>
      <w:r>
        <w:rPr>
          <w:rStyle w:val="DecValTok"/>
        </w:rPr>
        <w:t xml:space="preserve">14</w:t>
      </w:r>
      <w:r>
        <w:rPr>
          <w:rStyle w:val="NormalTok"/>
        </w:rPr>
        <w:t xml:space="preserve">), HyperLogLog(</w:t>
      </w:r>
      <w:r>
        <w:rPr>
          <w:rStyle w:val="DecValTok"/>
        </w:rPr>
        <w:t xml:space="preserve">14</w:t>
      </w:r>
      <w:r>
        <w:rPr>
          <w:rStyle w:val="NormalTok"/>
        </w:rPr>
        <w:t xml:space="preserve">)</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 </w:t>
      </w:r>
      <w:r>
        <w:rPr>
          <w:rStyle w:val="DecValTok"/>
        </w:rPr>
        <w:t xml:space="preserve">150_000</w:t>
      </w:r>
      <w:r>
        <w:rPr>
          <w:rStyle w:val="NormalTok"/>
        </w:rPr>
        <w:t xml:space="preserve">):</w:t>
      </w:r>
      <w:r>
        <w:br/>
      </w:r>
      <w:r>
        <w:rPr>
          <w:rStyle w:val="NormalTok"/>
        </w:rPr>
        <w:t xml:space="preserve">    day1.add(</w:t>
      </w:r>
      <w:r>
        <w:rPr>
          <w:rStyle w:val="SpecialStringTok"/>
        </w:rPr>
        <w:t xml:space="preserve">f"user-</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100_000</w:t>
      </w:r>
      <w:r>
        <w:rPr>
          <w:rStyle w:val="NormalTok"/>
        </w:rPr>
        <w:t xml:space="preserve">, </w:t>
      </w:r>
      <w:r>
        <w:rPr>
          <w:rStyle w:val="DecValTok"/>
        </w:rPr>
        <w:t xml:space="preserve">250_000</w:t>
      </w:r>
      <w:r>
        <w:rPr>
          <w:rStyle w:val="NormalTok"/>
        </w:rPr>
        <w:t xml:space="preserve">):</w:t>
      </w:r>
      <w:r>
        <w:br/>
      </w:r>
      <w:r>
        <w:rPr>
          <w:rStyle w:val="NormalTok"/>
        </w:rPr>
        <w:t xml:space="preserve">    day2.add(</w:t>
      </w:r>
      <w:r>
        <w:rPr>
          <w:rStyle w:val="SpecialStringTok"/>
        </w:rPr>
        <w:t xml:space="preserve">f"user-</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w:t>
      </w:r>
      <w:r>
        <w:br/>
      </w:r>
      <w:r>
        <w:rPr>
          <w:rStyle w:val="NormalTok"/>
        </w:rPr>
        <w:t xml:space="preserve">day1.merge(day2)</w:t>
      </w:r>
      <w:r>
        <w:br/>
      </w:r>
      <w:r>
        <w:rPr>
          <w:rStyle w:val="BuiltInTok"/>
        </w:rPr>
        <w:t xml:space="preserve">print</w:t>
      </w:r>
      <w:r>
        <w:rPr>
          <w:rStyle w:val="NormalTok"/>
        </w:rPr>
        <w:t xml:space="preserve">(</w:t>
      </w:r>
      <w:r>
        <w:rPr>
          <w:rStyle w:val="SpecialStringTok"/>
        </w:rPr>
        <w:t xml:space="preserve">f"union estimate </w:t>
      </w:r>
      <w:r>
        <w:rPr>
          <w:rStyle w:val="SpecialCharTok"/>
        </w:rPr>
        <w:t xml:space="preserve">{</w:t>
      </w:r>
      <w:r>
        <w:rPr>
          <w:rStyle w:val="NormalTok"/>
        </w:rPr>
        <w:t xml:space="preserve">day1</w:t>
      </w:r>
      <w:r>
        <w:rPr>
          <w:rStyle w:val="SpecialCharTok"/>
        </w:rPr>
        <w:t xml:space="preserve">.</w:t>
      </w:r>
      <w:r>
        <w:rPr>
          <w:rStyle w:val="NormalTok"/>
        </w:rPr>
        <w:t xml:space="preserve">count()</w:t>
      </w:r>
      <w:r>
        <w:rPr>
          <w:rStyle w:val="SpecialCharTok"/>
        </w:rPr>
        <w:t xml:space="preserve">:,.0f}</w:t>
      </w:r>
      <w:r>
        <w:rPr>
          <w:rStyle w:val="SpecialStringTok"/>
        </w:rPr>
        <w:t xml:space="preserve"> (true 250,000)"</w:t>
      </w:r>
      <w:r>
        <w:rPr>
          <w:rStyle w:val="NormalTok"/>
        </w:rPr>
        <w:t xml:space="preserve">)</w:t>
      </w:r>
    </w:p>
    <w:p>
      <w:pPr>
        <w:pStyle w:val="FirstParagraph"/>
      </w:pPr>
      <w:r>
        <w:t xml:space="preserve">Output:</w:t>
      </w:r>
    </w:p>
    <w:p>
      <w:pPr>
        <w:pStyle w:val="SourceCode"/>
      </w:pPr>
      <w:r>
        <w:rPr>
          <w:rStyle w:val="VerbatimChar"/>
        </w:rPr>
        <w:t xml:space="preserve">  p registers    memory predicted SE measured RMS err</w:t>
      </w:r>
      <w:r>
        <w:br/>
      </w:r>
      <w:r>
        <w:rPr>
          <w:rStyle w:val="VerbatimChar"/>
        </w:rPr>
        <w:t xml:space="preserve"> 10      1024     768 B       0.0325           0.0383</w:t>
      </w:r>
      <w:r>
        <w:br/>
      </w:r>
      <w:r>
        <w:rPr>
          <w:rStyle w:val="VerbatimChar"/>
        </w:rPr>
        <w:t xml:space="preserve"> 12      4096    3072 B       0.0163           0.0162</w:t>
      </w:r>
      <w:r>
        <w:br/>
      </w:r>
      <w:r>
        <w:rPr>
          <w:rStyle w:val="VerbatimChar"/>
        </w:rPr>
        <w:t xml:space="preserve"> 14     16384   12288 B       0.0081           0.0073</w:t>
      </w:r>
      <w:r>
        <w:br/>
      </w:r>
      <w:r>
        <w:rPr>
          <w:rStyle w:val="VerbatimChar"/>
        </w:rPr>
        <w:t xml:space="preserve">union estimate 248,111 (true 250,000)</w:t>
      </w:r>
    </w:p>
    <w:p>
      <w:pPr>
        <w:pStyle w:val="FirstParagraph"/>
      </w:pPr>
      <w:r>
        <w:t xml:space="preserve">What to notice:</w:t>
      </w:r>
    </w:p>
    <w:p>
      <w:pPr>
        <w:numPr>
          <w:ilvl w:val="0"/>
          <w:numId w:val="1573"/>
        </w:numPr>
        <w:pStyle w:val="Compact"/>
      </w:pPr>
      <w:r>
        <w:t xml:space="preserve">Each trial uses a different salt (an independent hash), so the RMS error over trials estimates the standard error, itself uncertain by about ±10% with 50 trials. Rows</w:t>
      </w:r>
      <w:r>
        <w:t xml:space="preserve"> </w:t>
      </w:r>
      <m:oMath>
        <m:r>
          <m:t>p</m:t>
        </m:r>
        <m:r>
          <m:rPr>
            <m:sty m:val="p"/>
          </m:rPr>
          <m:t>=</m:t>
        </m:r>
        <m:r>
          <m:t>12</m:t>
        </m:r>
      </m:oMath>
      <w:r>
        <w:t xml:space="preserve"> </w:t>
      </w:r>
      <w:r>
        <w:t xml:space="preserve">and 14 match;</w:t>
      </w:r>
      <w:r>
        <w:t xml:space="preserve"> </w:t>
      </w:r>
      <m:oMath>
        <m:r>
          <m:t>p</m:t>
        </m:r>
        <m:r>
          <m:rPr>
            <m:sty m:val="p"/>
          </m:rPr>
          <m:t>=</m:t>
        </m:r>
        <m:r>
          <m:t>10</m:t>
        </m:r>
      </m:oMath>
      <w:r>
        <w:t xml:space="preserve"> </w:t>
      </w:r>
      <w:r>
        <w:t xml:space="preserve">is 18% high, and a 200-trial run at</w:t>
      </w:r>
      <w:r>
        <w:t xml:space="preserve"> </w:t>
      </w:r>
      <m:oMath>
        <m:r>
          <m:t>n</m:t>
        </m:r>
        <m:r>
          <m:rPr>
            <m:sty m:val="p"/>
          </m:rPr>
          <m:t>=</m:t>
        </m:r>
        <m:r>
          <m:t>20</m:t>
        </m:r>
        <m:r>
          <m:rPr>
            <m:sty m:val="p"/>
          </m:rPr>
          <m:t>,</m:t>
        </m:r>
        <m:r>
          <m:t>000</m:t>
        </m:r>
      </m:oMath>
      <w:r>
        <w:t xml:space="preserve"> </w:t>
      </w:r>
      <w:r>
        <w:t xml:space="preserve">measured 0.0330 against 0.0325.</w:t>
      </w:r>
    </w:p>
    <w:p>
      <w:pPr>
        <w:numPr>
          <w:ilvl w:val="0"/>
          <w:numId w:val="1573"/>
        </w:numPr>
        <w:pStyle w:val="Compact"/>
      </w:pPr>
      <w:r>
        <w:t xml:space="preserve">The sketch for 100,000 distinct users is 12 KB whether the stream has 100,000 events or 100 billion.</w:t>
      </w:r>
    </w:p>
    <w:p>
      <w:pPr>
        <w:numPr>
          <w:ilvl w:val="0"/>
          <w:numId w:val="1573"/>
        </w:numPr>
        <w:pStyle w:val="Compact"/>
      </w:pPr>
      <w:r>
        <w:t xml:space="preserve">The merged sketch estimates the two-day union at 248,111, an error of −0.76%, without double-counting the 50,000 users present on both days.</w:t>
      </w:r>
    </w:p>
    <w:p>
      <w:pPr>
        <w:numPr>
          <w:ilvl w:val="0"/>
          <w:numId w:val="1573"/>
        </w:numPr>
        <w:pStyle w:val="Compact"/>
      </w:pPr>
      <w:r>
        <w:rPr>
          <w:rStyle w:val="VerbatimChar"/>
        </w:rPr>
        <w:t xml:space="preserve">salt</w:t>
      </w:r>
      <w:r>
        <w:t xml:space="preserve"> </w:t>
      </w:r>
      <w:r>
        <w:t xml:space="preserve">is a keyed BLAKE2b parameter. Every sketch that you intend to merge must use the same hash and salt.</w:t>
      </w:r>
    </w:p>
    <w:p>
      <w:pPr>
        <w:pStyle w:val="CalloutIndustry"/>
      </w:pPr>
      <w:r>
        <w:rPr>
          <w:bCs/>
          <w:b/>
        </w:rPr>
        <w:t xml:space="preserve">INDUSTRY EXAMPLE</w:t>
      </w:r>
    </w:p>
    <w:p>
      <w:pPr>
        <w:pStyle w:val="CalloutIndustry"/>
      </w:pPr>
      <w:r>
        <w:rPr>
          <w:bCs/>
          <w:b/>
        </w:rPr>
        <w:t xml:space="preserve">Redis</w:t>
      </w:r>
      <w:r>
        <w:rPr>
          <w:bCs/>
          <w:b/>
        </w:rPr>
        <w:t xml:space="preserve"> </w:t>
      </w:r>
      <w:r>
        <w:rPr>
          <w:rStyle w:val="VerbatimChar"/>
          <w:bCs/>
          <w:b/>
        </w:rPr>
        <w:t xml:space="preserve">PFADD</w:t>
      </w:r>
      <w:r>
        <w:rPr>
          <w:bCs/>
          <w:b/>
        </w:rPr>
        <w:t xml:space="preserve">,</w:t>
      </w:r>
      <w:r>
        <w:rPr>
          <w:bCs/>
          <w:b/>
        </w:rPr>
        <w:t xml:space="preserve"> </w:t>
      </w:r>
      <w:r>
        <w:rPr>
          <w:rStyle w:val="VerbatimChar"/>
          <w:bCs/>
          <w:b/>
        </w:rPr>
        <w:t xml:space="preserve">PFCOUNT</w:t>
      </w:r>
      <w:r>
        <w:rPr>
          <w:bCs/>
          <w:b/>
        </w:rPr>
        <w:t xml:space="preserve">,</w:t>
      </w:r>
      <w:r>
        <w:rPr>
          <w:bCs/>
          <w:b/>
        </w:rPr>
        <w:t xml:space="preserve"> </w:t>
      </w:r>
      <w:r>
        <w:rPr>
          <w:rStyle w:val="VerbatimChar"/>
          <w:bCs/>
          <w:b/>
        </w:rPr>
        <w:t xml:space="preserve">PFMERGE</w:t>
      </w:r>
      <w:r>
        <w:rPr>
          <w:bCs/>
          <w:b/>
        </w:rPr>
        <w:t xml:space="preserve">.</w:t>
      </w:r>
      <w:r>
        <w:t xml:space="preserve"> </w:t>
      </w:r>
      <w:r>
        <w:t xml:space="preserve">Redis stores an HLL as a string of 16,384 6-bit registers (12 KB) with a sparse encoding for small sets, and documents a 0.81% standard error [Redis Docs: HyperLogLog; Sanfilippo 2014]. A typical pattern is one key per page per day, merged with</w:t>
      </w:r>
      <w:r>
        <w:t xml:space="preserve"> </w:t>
      </w:r>
      <w:r>
        <w:rPr>
          <w:rStyle w:val="VerbatimChar"/>
        </w:rPr>
        <w:t xml:space="preserve">PFMERGE</w:t>
      </w:r>
      <w:r>
        <w:t xml:space="preserve"> </w:t>
      </w:r>
      <w:r>
        <w:t xml:space="preserve">into weekly keys. Google BigQuery exposes HyperLogLog++ through</w:t>
      </w:r>
      <w:r>
        <w:t xml:space="preserve"> </w:t>
      </w:r>
      <w:r>
        <w:rPr>
          <w:rStyle w:val="VerbatimChar"/>
        </w:rPr>
        <w:t xml:space="preserve">HLL_COUNT</w:t>
      </w:r>
      <w:r>
        <w:t xml:space="preserve"> </w:t>
      </w:r>
      <w:r>
        <w:t xml:space="preserve">functions so partial sketches can be stored and merged later [Google Cloud Docs: BigQuery HLL functions].</w:t>
      </w:r>
      <w:r>
        <w:t xml:space="preserve"> </w:t>
      </w:r>
      <w:r>
        <w:rPr>
          <w:iCs/>
          <w:i/>
        </w:rPr>
        <w:t xml:space="preserve">Evidence: Primary</w:t>
      </w:r>
      <w:r>
        <w:t xml:space="preserve"> </w:t>
      </w:r>
      <w:r>
        <w:t xml:space="preserve">— [Redis Docs: HyperLogLog; Google Cloud Docs]</w:t>
      </w:r>
    </w:p>
    <w:bookmarkEnd w:id="1956"/>
    <w:bookmarkStart w:id="1957" w:name="failure-scenarios-and-misconceptions-3"/>
    <w:p>
      <w:pPr>
        <w:pStyle w:val="Heading4"/>
      </w:pPr>
      <w:r>
        <w:t xml:space="preserve">Failure scenarios and misconceptions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Intersection estimate is meaningless</w:t>
            </w:r>
          </w:p>
        </w:tc>
        <w:tc>
          <w:tcPr/>
          <w:p>
            <w:pPr>
              <w:pStyle w:val="Compact"/>
              <w:jc w:val="left"/>
            </w:pPr>
            <w:r>
              <w:t xml:space="preserve">Computed as</w:t>
            </w:r>
            <w:r>
              <w:t xml:space="preserve"> </w:t>
            </w:r>
            <m:oMath>
              <m:r>
                <m:rPr>
                  <m:sty m:val="p"/>
                </m:rPr>
                <m:t>|</m:t>
              </m:r>
              <m:r>
                <m:t>A</m:t>
              </m:r>
              <m:r>
                <m:rPr>
                  <m:sty m:val="p"/>
                </m:rPr>
                <m:t>|</m:t>
              </m:r>
              <m:r>
                <m:rPr>
                  <m:sty m:val="p"/>
                </m:rPr>
                <m:t>+</m:t>
              </m:r>
              <m:r>
                <m:rPr>
                  <m:sty m:val="p"/>
                </m:rPr>
                <m:t>|</m:t>
              </m:r>
              <m:r>
                <m:t>B</m:t>
              </m:r>
              <m:r>
                <m:rPr>
                  <m:sty m:val="p"/>
                </m:rPr>
                <m:t>|</m:t>
              </m:r>
              <m:r>
                <m:rPr>
                  <m:sty m:val="p"/>
                </m:rPr>
                <m:t>−</m:t>
              </m:r>
              <m:r>
                <m:rPr>
                  <m:sty m:val="p"/>
                </m:rPr>
                <m:t>|</m:t>
              </m:r>
              <m:r>
                <m:t>A</m:t>
              </m:r>
              <m:r>
                <m:rPr>
                  <m:sty m:val="p"/>
                </m:rPr>
                <m:t>∪</m:t>
              </m:r>
              <m:r>
                <m:t>B</m:t>
              </m:r>
              <m:r>
                <m:rPr>
                  <m:sty m:val="p"/>
                </m:rPr>
                <m:t>|</m:t>
              </m:r>
            </m:oMath>
            <w:r>
              <w:t xml:space="preserve">; errors scale with the large sets</w:t>
            </w:r>
          </w:p>
        </w:tc>
        <w:tc>
          <w:tcPr/>
          <w:p>
            <w:pPr>
              <w:pStyle w:val="Compact"/>
              <w:jc w:val="left"/>
            </w:pPr>
            <w:r>
              <w:t xml:space="preserve">Negative or wildly varying estimates</w:t>
            </w:r>
          </w:p>
        </w:tc>
        <w:tc>
          <w:tcPr/>
          <w:p>
            <w:pPr>
              <w:pStyle w:val="Compact"/>
              <w:jc w:val="left"/>
            </w:pPr>
            <w:r>
              <w:t xml:space="preserve">Use exact counts or MinHash-based estimates for intersections</w:t>
            </w:r>
          </w:p>
        </w:tc>
        <w:tc>
          <w:tcPr/>
          <w:p>
            <w:pPr>
              <w:pStyle w:val="Compact"/>
              <w:jc w:val="left"/>
            </w:pPr>
            <w:r>
              <w:t xml:space="preserve">Only rely on HLL for unions and single-set counts</w:t>
            </w:r>
          </w:p>
        </w:tc>
      </w:tr>
      <w:tr>
        <w:tc>
          <w:tcPr/>
          <w:p>
            <w:pPr>
              <w:pStyle w:val="Compact"/>
              <w:jc w:val="left"/>
            </w:pPr>
            <w:r>
              <w:t xml:space="preserve">Merged count is far too high</w:t>
            </w:r>
          </w:p>
        </w:tc>
        <w:tc>
          <w:tcPr/>
          <w:p>
            <w:pPr>
              <w:pStyle w:val="Compact"/>
              <w:jc w:val="left"/>
            </w:pPr>
            <w:r>
              <w:t xml:space="preserve">Sketches built with different hashes, salts or precisions</w:t>
            </w:r>
          </w:p>
        </w:tc>
        <w:tc>
          <w:tcPr/>
          <w:p>
            <w:pPr>
              <w:pStyle w:val="Compact"/>
              <w:jc w:val="left"/>
            </w:pPr>
            <w:r>
              <w:t xml:space="preserve">Union exceeds sum of parts</w:t>
            </w:r>
          </w:p>
        </w:tc>
        <w:tc>
          <w:tcPr/>
          <w:p>
            <w:pPr>
              <w:pStyle w:val="Compact"/>
              <w:jc w:val="left"/>
            </w:pPr>
            <w:r>
              <w:t xml:space="preserve">Rebuild from raw data</w:t>
            </w:r>
          </w:p>
        </w:tc>
        <w:tc>
          <w:tcPr/>
          <w:p>
            <w:pPr>
              <w:pStyle w:val="Compact"/>
              <w:jc w:val="left"/>
            </w:pPr>
            <w:r>
              <w:t xml:space="preserve">Version the hash and</w:t>
            </w:r>
            <w:r>
              <w:t xml:space="preserve"> </w:t>
            </w:r>
            <m:oMath>
              <m:r>
                <m:t>p</m:t>
              </m:r>
            </m:oMath>
            <w:r>
              <w:t xml:space="preserve"> </w:t>
            </w:r>
            <w:r>
              <w:t xml:space="preserve">with the sketch</w:t>
            </w:r>
          </w:p>
        </w:tc>
      </w:tr>
      <w:tr>
        <w:tc>
          <w:tcPr/>
          <w:p>
            <w:pPr>
              <w:pStyle w:val="Compact"/>
              <w:jc w:val="left"/>
            </w:pPr>
            <w:r>
              <w:t xml:space="preserve">Small counts are biased</w:t>
            </w:r>
          </w:p>
        </w:tc>
        <w:tc>
          <w:tcPr/>
          <w:p>
            <w:pPr>
              <w:pStyle w:val="Compact"/>
              <w:jc w:val="left"/>
            </w:pPr>
            <w:r>
              <w:t xml:space="preserve">Raw estimator range below ~</w:t>
            </w:r>
            <m:oMath>
              <m:r>
                <m:t>5</m:t>
              </m:r>
              <m:r>
                <m:t>m</m:t>
              </m:r>
            </m:oMath>
          </w:p>
        </w:tc>
        <w:tc>
          <w:tcPr/>
          <w:p>
            <w:pPr>
              <w:pStyle w:val="Compact"/>
              <w:jc w:val="left"/>
            </w:pPr>
            <w:r>
              <w:t xml:space="preserve">Systematic error in tests with known small sets</w:t>
            </w:r>
          </w:p>
        </w:tc>
        <w:tc>
          <w:tcPr/>
          <w:p>
            <w:pPr>
              <w:pStyle w:val="Compact"/>
              <w:jc w:val="left"/>
            </w:pPr>
            <w:r>
              <w:t xml:space="preserve">Use HLL++ bias correction or linear counting</w:t>
            </w:r>
          </w:p>
        </w:tc>
        <w:tc>
          <w:tcPr/>
          <w:p>
            <w:pPr>
              <w:pStyle w:val="Compact"/>
              <w:jc w:val="left"/>
            </w:pPr>
            <w:r>
              <w:t xml:space="preserve">Use a library that implements HLL++</w:t>
            </w:r>
          </w:p>
        </w:tc>
      </w:tr>
    </w:tbl>
    <w:p>
      <w:pPr>
        <w:pStyle w:val="CalloutMistake"/>
      </w:pPr>
      <w:r>
        <w:rPr>
          <w:bCs/>
          <w:b/>
        </w:rPr>
        <w:t xml:space="preserve">COMMON MISTAKE</w:t>
      </w:r>
    </w:p>
    <w:p>
      <w:pPr>
        <w:pStyle w:val="CalloutMistake"/>
      </w:pPr>
      <w:r>
        <w:rPr>
          <w:bCs/>
          <w:b/>
        </w:rPr>
        <w:t xml:space="preserve">“</w:t>
      </w:r>
      <w:r>
        <w:rPr>
          <w:bCs/>
          <w:b/>
        </w:rPr>
        <w:t xml:space="preserve">HLL counts events.</w:t>
      </w:r>
      <w:r>
        <w:rPr>
          <w:bCs/>
          <w:b/>
        </w:rPr>
        <w:t xml:space="preserve">”</w:t>
      </w:r>
      <w:r>
        <w:t xml:space="preserve"> </w:t>
      </w:r>
      <w:r>
        <w:t xml:space="preserve">It counts</w:t>
      </w:r>
      <w:r>
        <w:t xml:space="preserve"> </w:t>
      </w:r>
      <w:r>
        <w:rPr>
          <w:iCs/>
          <w:i/>
        </w:rPr>
        <w:t xml:space="preserve">distinct</w:t>
      </w:r>
      <w:r>
        <w:t xml:space="preserve"> </w:t>
      </w:r>
      <w:r>
        <w:t xml:space="preserve">items; adding a user a million times changes nothing. For per-item frequencies use Count-Min (§17.6).</w:t>
      </w:r>
    </w:p>
    <w:p>
      <w:pPr>
        <w:pStyle w:val="CalloutMistake"/>
      </w:pPr>
      <w:r>
        <w:rPr>
          <w:bCs/>
          <w:b/>
        </w:rPr>
        <w:t xml:space="preserve">COMMON MISTAKE</w:t>
      </w:r>
    </w:p>
    <w:p>
      <w:pPr>
        <w:pStyle w:val="CalloutMistake"/>
      </w:pPr>
      <w:r>
        <w:rPr>
          <w:bCs/>
          <w:b/>
        </w:rPr>
        <w:t xml:space="preserve">“</w:t>
      </w:r>
      <w:r>
        <w:rPr>
          <w:bCs/>
          <w:b/>
        </w:rPr>
        <w:t xml:space="preserve">Intersections work like unions.</w:t>
      </w:r>
      <w:r>
        <w:rPr>
          <w:bCs/>
          <w:b/>
        </w:rPr>
        <w:t xml:space="preserve">”</w:t>
      </w:r>
      <w:r>
        <w:t xml:space="preserve"> </w:t>
      </w:r>
      <w:r>
        <w:t xml:space="preserve">With two 10-million-user sets overlapping by 100,000, each count’s standard error at</w:t>
      </w:r>
      <w:r>
        <w:t xml:space="preserve"> </w:t>
      </w:r>
      <m:oMath>
        <m:r>
          <m:t>p</m:t>
        </m:r>
        <m:r>
          <m:rPr>
            <m:sty m:val="p"/>
          </m:rPr>
          <m:t>=</m:t>
        </m:r>
        <m:r>
          <m:t>14</m:t>
        </m:r>
      </m:oMath>
      <w:r>
        <w:t xml:space="preserve"> </w:t>
      </w:r>
      <w:r>
        <w:t xml:space="preserve">is about 81,000, so the inclusion–exclusion estimate’s error exceeds the intersection itself.</w:t>
      </w:r>
    </w:p>
    <w:bookmarkEnd w:id="1957"/>
    <w:bookmarkEnd w:id="1958"/>
    <w:bookmarkEnd w:id="1959"/>
    <w:bookmarkStart w:id="1973" w:name="count-min-sketch-and-heavy-hitters"/>
    <w:p>
      <w:pPr>
        <w:pStyle w:val="Heading2"/>
      </w:pPr>
      <w:r>
        <w:t xml:space="preserve">17.6 Count-Min sketch and heavy hitters</w:t>
      </w:r>
    </w:p>
    <w:bookmarkStart w:id="1967" w:name="the-count-min-sketch"/>
    <w:p>
      <w:pPr>
        <w:pStyle w:val="Heading3"/>
      </w:pPr>
      <w:r>
        <w:t xml:space="preserve">17.6.1 The Count-Min sketch</w:t>
      </w:r>
    </w:p>
    <w:p>
      <w:pPr>
        <w:pStyle w:val="CalloutDefinition"/>
      </w:pPr>
      <w:r>
        <w:rPr>
          <w:bCs/>
          <w:b/>
        </w:rPr>
        <w:t xml:space="preserve">DEFINITION</w:t>
      </w:r>
    </w:p>
    <w:p>
      <w:pPr>
        <w:pStyle w:val="CalloutDefinition"/>
      </w:pPr>
      <w:r>
        <w:rPr>
          <w:bCs/>
          <w:b/>
        </w:rPr>
        <w:t xml:space="preserve">Definition — Count-Min sketch.</w:t>
      </w:r>
      <w:r>
        <w:t xml:space="preserve"> </w:t>
      </w:r>
      <w:r>
        <w:t xml:space="preserve">A</w:t>
      </w:r>
      <w:r>
        <w:t xml:space="preserve"> </w:t>
      </w:r>
      <m:oMath>
        <m:r>
          <m:t>d</m:t>
        </m:r>
        <m:r>
          <m:rPr>
            <m:sty m:val="p"/>
          </m:rPr>
          <m:t>×</m:t>
        </m:r>
        <m:r>
          <m:t>w</m:t>
        </m:r>
      </m:oMath>
      <w:r>
        <w:t xml:space="preserve"> </w:t>
      </w:r>
      <w:r>
        <w:t xml:space="preserve">array of counters with one hash function per row that estimates the frequency of any item in a stream. Each update increments one counter per row; each query returns the minimum of the item’s</w:t>
      </w:r>
      <w:r>
        <w:t xml:space="preserve"> </w:t>
      </w:r>
      <m:oMath>
        <m:r>
          <m:t>d</m:t>
        </m:r>
      </m:oMath>
      <w:r>
        <w:t xml:space="preserve"> </w:t>
      </w:r>
      <w:r>
        <w:t xml:space="preserve">counters. The estimate never underestimates and, with probability at least</w:t>
      </w:r>
      <w:r>
        <w:t xml:space="preserve"> </w:t>
      </w:r>
      <m:oMath>
        <m:r>
          <m:t>1</m:t>
        </m:r>
        <m:r>
          <m:rPr>
            <m:sty m:val="p"/>
          </m:rPr>
          <m:t>−</m:t>
        </m:r>
        <m:r>
          <m:t>δ</m:t>
        </m:r>
      </m:oMath>
      <w:r>
        <w:t xml:space="preserve">, overestimates by at most</w:t>
      </w:r>
      <w:r>
        <w:t xml:space="preserve"> </w:t>
      </w:r>
      <m:oMath>
        <m:r>
          <m:t>ε</m:t>
        </m:r>
        <m:r>
          <m:t>N</m:t>
        </m:r>
      </m:oMath>
      <w:r>
        <w:t xml:space="preserve">, where</w:t>
      </w:r>
      <w:r>
        <w:t xml:space="preserve"> </w:t>
      </w:r>
      <m:oMath>
        <m:r>
          <m:t>N</m:t>
        </m:r>
      </m:oMath>
      <w:r>
        <w:t xml:space="preserve"> </w:t>
      </w:r>
      <w:r>
        <w:t xml:space="preserve">is the total of all updates [Cormode &amp; Muthukrishnan 2005].</w:t>
      </w:r>
    </w:p>
    <w:bookmarkStart w:id="1960" w:name="first-principles-explanation-109"/>
    <w:p>
      <w:pPr>
        <w:pStyle w:val="Heading4"/>
      </w:pPr>
      <w:r>
        <w:t xml:space="preserve">First-principles explanation</w:t>
      </w:r>
    </w:p>
    <w:p>
      <w:pPr>
        <w:pStyle w:val="FirstParagraph"/>
      </w:pPr>
      <w:r>
        <w:t xml:space="preserve">Imagine counting votes on a few small tally sheets, each assigning every candidate to one shared box by a different rule. Every box overcounts, but a candidate’s box-mates differ between sheets, so the least-inflated box, the minimum, is close to the truth. More boxes per sheet reduce inflation; more sheets reduce the chance that every box is badly inflated.</w:t>
      </w:r>
    </w:p>
    <w:bookmarkEnd w:id="1960"/>
    <w:bookmarkStart w:id="1961" w:name="why-does-this-exist-65"/>
    <w:p>
      <w:pPr>
        <w:pStyle w:val="Heading4"/>
      </w:pPr>
      <w:r>
        <w:t xml:space="preserve">Why does this exist?</w:t>
      </w:r>
    </w:p>
    <w:p>
      <w:pPr>
        <w:pStyle w:val="FirstParagraph"/>
      </w:pPr>
      <w:r>
        <w:t xml:space="preserve">Per-item counts over millions of distinct keys (requests per IP, plays per song) need a hash map proportional to the key count, and attackers can create unbounded keys. The sketch has a fixed size, merges by adding arrays (same hashes) and carries a guaranteed bound.</w:t>
      </w:r>
    </w:p>
    <w:bookmarkEnd w:id="1961"/>
    <w:bookmarkStart w:id="1965" w:name="architecture-diagram-18"/>
    <w:p>
      <w:pPr>
        <w:pStyle w:val="Heading4"/>
      </w:pPr>
      <w:r>
        <w:t xml:space="preserve">Architecture diagram</w:t>
      </w:r>
    </w:p>
    <w:p>
      <w:pPr>
        <w:pStyle w:val="FirstParagraph"/>
      </w:pPr>
      <w:r>
        <w:rPr>
          <w:bCs/>
          <w:b/>
        </w:rPr>
        <w:t xml:space="preserve">Figure 17.6 — A Count-Min sketch with d = 3 rows.</w:t>
      </w:r>
    </w:p>
    <w:p>
      <w:pPr>
        <w:pStyle w:val="BodyText"/>
      </w:pPr>
      <w:r>
        <w:drawing>
          <wp:inline>
            <wp:extent cx="5334000" cy="2139185"/>
            <wp:effectExtent b="0" l="0" r="0" t="0"/>
            <wp:docPr descr="" title="" id="1963" name="Picture"/>
            <a:graphic>
              <a:graphicData uri="http://schemas.openxmlformats.org/drawingml/2006/picture">
                <pic:pic>
                  <pic:nvPicPr>
                    <pic:cNvPr descr="/home/user/System-Design/build/.cache/diagrams/35e41bc90506.png" id="1964" name="Picture"/>
                    <pic:cNvPicPr>
                      <a:picLocks noChangeArrowheads="1" noChangeAspect="1"/>
                    </pic:cNvPicPr>
                  </pic:nvPicPr>
                  <pic:blipFill>
                    <a:blip r:embed="rId1962"/>
                    <a:stretch>
                      <a:fillRect/>
                    </a:stretch>
                  </pic:blipFill>
                  <pic:spPr bwMode="auto">
                    <a:xfrm>
                      <a:off x="0" y="0"/>
                      <a:ext cx="5334000" cy="2139185"/>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An update increments one counter per row,</w:t>
      </w:r>
      <w:r>
        <w:t xml:space="preserve"> </w:t>
      </w:r>
      <m:oMath>
        <m:r>
          <m:t>d</m:t>
        </m:r>
      </m:oMath>
      <w:r>
        <w:t xml:space="preserve"> </w:t>
      </w:r>
      <w:r>
        <w:t xml:space="preserve">memory writes regardless of how many distinct items exist. A query (dotted, typically from a separate reader such as a rate limiter) reads the same</w:t>
      </w:r>
      <w:r>
        <w:t xml:space="preserve"> </w:t>
      </w:r>
      <m:oMath>
        <m:r>
          <m:t>d</m:t>
        </m:r>
      </m:oMath>
      <w:r>
        <w:t xml:space="preserve"> </w:t>
      </w:r>
      <w:r>
        <w:t xml:space="preserve">counters and returns the minimum; counters are shared storage cells, so estimates only err upward. Partitions keep their own sketches with identical hashes and a merger adds the arrays. Failure points: counter overflow (use 64-bit counters), merging sketches with different seeds, and error growing with</w:t>
      </w:r>
      <w:r>
        <w:t xml:space="preserve"> </w:t>
      </w:r>
      <m:oMath>
        <m:r>
          <m:t>N</m:t>
        </m:r>
      </m:oMath>
      <w:r>
        <w:t xml:space="preserve"> </w:t>
      </w:r>
      <w:r>
        <w:t xml:space="preserve">in a sketch that is never reset or decayed.</w:t>
      </w:r>
    </w:p>
    <w:bookmarkEnd w:id="1965"/>
    <w:bookmarkStart w:id="1966" w:name="mathematical-foundations-37"/>
    <w:p>
      <w:pPr>
        <w:pStyle w:val="Heading4"/>
      </w:pPr>
      <w:r>
        <w:t xml:space="preserve">Mathematical foundations</w:t>
      </w:r>
    </w:p>
    <w:p>
      <w:pPr>
        <w:pStyle w:val="CalloutFormula"/>
      </w:pPr>
      <w:r>
        <w:rPr>
          <w:bCs/>
          <w:b/>
        </w:rPr>
        <w:t xml:space="preserve">FORMULA</w:t>
      </w:r>
    </w:p>
    <w:p>
      <w:pPr>
        <w:pStyle w:val="CalloutFormula"/>
      </w:pPr>
      <w:r>
        <w:rPr>
          <w:bCs/>
          <w:b/>
        </w:rPr>
        <w:t xml:space="preserve">Count-Min sizing and error bound</w:t>
      </w:r>
    </w:p>
    <w:p>
      <w:pPr>
        <w:pStyle w:val="CalloutFormula"/>
      </w:pPr>
      <m:oMathPara>
        <m:oMathParaPr>
          <m:jc m:val="center"/>
        </m:oMathParaPr>
        <m:oMath>
          <m:r>
            <m:t>w</m:t>
          </m:r>
          <m:r>
            <m:rPr>
              <m:sty m:val="p"/>
            </m:rPr>
            <m:t>=</m:t>
          </m:r>
          <m:d>
            <m:dPr>
              <m:begChr m:val="⌈"/>
              <m:endChr m:val="⌉"/>
              <m:sepChr m:val=""/>
              <m:grow/>
            </m:dPr>
            <m:e>
              <m:f>
                <m:fPr>
                  <m:type m:val="bar"/>
                </m:fPr>
                <m:num>
                  <m:r>
                    <m:t>e</m:t>
                  </m:r>
                </m:num>
                <m:den>
                  <m:r>
                    <m:t>ε</m:t>
                  </m:r>
                </m:den>
              </m:f>
            </m:e>
          </m:d>
          <m:r>
            <m:rPr>
              <m:sty m:val="p"/>
            </m:rPr>
            <m:t>,</m:t>
          </m:r>
          <m:r>
            <m:t>  </m:t>
          </m:r>
          <m:r>
            <m:t>d</m:t>
          </m:r>
          <m:r>
            <m:rPr>
              <m:sty m:val="p"/>
            </m:rPr>
            <m:t>=</m:t>
          </m:r>
          <m:d>
            <m:dPr>
              <m:begChr m:val="⌈"/>
              <m:endChr m:val="⌉"/>
              <m:sepChr m:val=""/>
              <m:grow/>
            </m:dPr>
            <m:e>
              <m:r>
                <m:rPr>
                  <m:sty m:val="p"/>
                </m:rPr>
                <m:t>ln</m:t>
              </m:r>
              <m:f>
                <m:fPr>
                  <m:type m:val="bar"/>
                </m:fPr>
                <m:num>
                  <m:r>
                    <m:t>1</m:t>
                  </m:r>
                </m:num>
                <m:den>
                  <m:r>
                    <m:t>δ</m:t>
                  </m:r>
                </m:den>
              </m:f>
            </m:e>
          </m:d>
          <m:r>
            <m:rPr>
              <m:sty m:val="p"/>
            </m:rPr>
            <m:t>,</m:t>
          </m:r>
          <m:r>
            <m:t>  </m:t>
          </m:r>
          <m:sSub>
            <m:e>
              <m:r>
                <m:t>f</m:t>
              </m:r>
            </m:e>
            <m:sub>
              <m:r>
                <m:t>x</m:t>
              </m:r>
            </m:sub>
          </m:sSub>
          <m:r>
            <m:rPr>
              <m:sty m:val="p"/>
            </m:rPr>
            <m:t>≤</m:t>
          </m:r>
          <m:sSub>
            <m:e>
              <m:acc>
                <m:accPr>
                  <m:chr m:val="̂"/>
                </m:accPr>
                <m:e>
                  <m:r>
                    <m:t>f</m:t>
                  </m:r>
                </m:e>
              </m:acc>
            </m:e>
            <m:sub>
              <m:r>
                <m:t>x</m:t>
              </m:r>
            </m:sub>
          </m:sSub>
          <m:r>
            <m:rPr>
              <m:sty m:val="p"/>
            </m:rPr>
            <m:t>≤</m:t>
          </m:r>
          <m:sSub>
            <m:e>
              <m:r>
                <m:t>f</m:t>
              </m:r>
            </m:e>
            <m:sub>
              <m:r>
                <m:t>x</m:t>
              </m:r>
            </m:sub>
          </m:sSub>
          <m:r>
            <m:rPr>
              <m:sty m:val="p"/>
            </m:rPr>
            <m:t>+</m:t>
          </m:r>
          <m:r>
            <m:t>ε</m:t>
          </m:r>
          <m:r>
            <m:t>N</m:t>
          </m:r>
          <m:r>
            <m:rPr>
              <m:nor/>
              <m:sty m:val="p"/>
            </m:rPr>
            <m:t> with probability </m:t>
          </m:r>
          <m:r>
            <m:rPr>
              <m:sty m:val="p"/>
            </m:rPr>
            <m:t>≥</m:t>
          </m:r>
          <m:r>
            <m:t>1</m:t>
          </m:r>
          <m:r>
            <m:rPr>
              <m:sty m:val="p"/>
            </m:rPr>
            <m:t>−</m:t>
          </m:r>
          <m:r>
            <m:t>δ</m:t>
          </m:r>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w</m:t>
              </m:r>
            </m:oMath>
          </w:p>
        </w:tc>
        <w:tc>
          <w:tcPr/>
          <w:p>
            <w:pPr>
              <w:pStyle w:val="Compact"/>
              <w:jc w:val="left"/>
            </w:pPr>
            <w:r>
              <w:t xml:space="preserve">Counters per row (width)</w:t>
            </w:r>
          </w:p>
        </w:tc>
        <w:tc>
          <w:tcPr/>
          <w:p>
            <w:pPr>
              <w:pStyle w:val="Compact"/>
              <w:jc w:val="left"/>
            </w:pPr>
            <w:r>
              <w:t xml:space="preserve">counters</w:t>
            </w:r>
          </w:p>
        </w:tc>
      </w:tr>
      <w:tr>
        <w:tc>
          <w:tcPr/>
          <w:p>
            <w:pPr>
              <w:pStyle w:val="Compact"/>
              <w:jc w:val="left"/>
            </w:pPr>
            <m:oMath>
              <m:r>
                <m:t>d</m:t>
              </m:r>
            </m:oMath>
          </w:p>
        </w:tc>
        <w:tc>
          <w:tcPr/>
          <w:p>
            <w:pPr>
              <w:pStyle w:val="Compact"/>
              <w:jc w:val="left"/>
            </w:pPr>
            <w:r>
              <w:t xml:space="preserve">Rows, one hash function each (depth)</w:t>
            </w:r>
          </w:p>
        </w:tc>
        <w:tc>
          <w:tcPr/>
          <w:p>
            <w:pPr>
              <w:pStyle w:val="Compact"/>
              <w:jc w:val="left"/>
            </w:pPr>
            <w:r>
              <w:t xml:space="preserve">rows</w:t>
            </w:r>
          </w:p>
        </w:tc>
      </w:tr>
      <w:tr>
        <w:tc>
          <w:tcPr/>
          <w:p>
            <w:pPr>
              <w:pStyle w:val="Compact"/>
              <w:jc w:val="left"/>
            </w:pPr>
            <m:oMath>
              <m:r>
                <m:t>ε</m:t>
              </m:r>
            </m:oMath>
          </w:p>
        </w:tc>
        <w:tc>
          <w:tcPr/>
          <w:p>
            <w:pPr>
              <w:pStyle w:val="Compact"/>
              <w:jc w:val="left"/>
            </w:pPr>
            <w:r>
              <w:t xml:space="preserve">Error as a fraction of the stream total</w:t>
            </w:r>
          </w:p>
        </w:tc>
        <w:tc>
          <w:tcPr/>
          <w:p>
            <w:pPr>
              <w:pStyle w:val="Compact"/>
              <w:jc w:val="left"/>
            </w:pPr>
            <w:r>
              <w:t xml:space="preserve">fraction</w:t>
            </w:r>
          </w:p>
        </w:tc>
      </w:tr>
      <w:tr>
        <w:tc>
          <w:tcPr/>
          <w:p>
            <w:pPr>
              <w:pStyle w:val="Compact"/>
              <w:jc w:val="left"/>
            </w:pPr>
            <m:oMath>
              <m:r>
                <m:t>δ</m:t>
              </m:r>
            </m:oMath>
          </w:p>
        </w:tc>
        <w:tc>
          <w:tcPr/>
          <w:p>
            <w:pPr>
              <w:pStyle w:val="Compact"/>
              <w:jc w:val="left"/>
            </w:pPr>
            <w:r>
              <w:t xml:space="preserve">Probability that the error bound is exceeded for a given query</w:t>
            </w:r>
          </w:p>
        </w:tc>
        <w:tc>
          <w:tcPr/>
          <w:p>
            <w:pPr>
              <w:pStyle w:val="Compact"/>
              <w:jc w:val="left"/>
            </w:pPr>
            <w:r>
              <w:t xml:space="preserve">probability</w:t>
            </w:r>
          </w:p>
        </w:tc>
      </w:tr>
      <w:tr>
        <w:tc>
          <w:tcPr/>
          <w:p>
            <w:pPr>
              <w:pStyle w:val="Compact"/>
              <w:jc w:val="left"/>
            </w:pPr>
            <m:oMath>
              <m:r>
                <m:t>N</m:t>
              </m:r>
            </m:oMath>
          </w:p>
        </w:tc>
        <w:tc>
          <w:tcPr/>
          <w:p>
            <w:pPr>
              <w:pStyle w:val="Compact"/>
              <w:jc w:val="left"/>
            </w:pPr>
            <w:r>
              <w:t xml:space="preserve">Sum of all updates in the stream</w:t>
            </w:r>
          </w:p>
        </w:tc>
        <w:tc>
          <w:tcPr/>
          <w:p>
            <w:pPr>
              <w:pStyle w:val="Compact"/>
              <w:jc w:val="left"/>
            </w:pPr>
            <w:r>
              <w:t xml:space="preserve">events</w:t>
            </w:r>
          </w:p>
        </w:tc>
      </w:tr>
      <w:tr>
        <w:tc>
          <w:tcPr/>
          <w:p>
            <w:pPr>
              <w:pStyle w:val="Compact"/>
              <w:jc w:val="left"/>
            </w:pPr>
            <m:oMath>
              <m:sSub>
                <m:e>
                  <m:r>
                    <m:t>f</m:t>
                  </m:r>
                </m:e>
                <m:sub>
                  <m:r>
                    <m:t>x</m:t>
                  </m:r>
                </m:sub>
              </m:sSub>
            </m:oMath>
            <w:r>
              <w:t xml:space="preserve">,</w:t>
            </w:r>
            <w:r>
              <w:t xml:space="preserve"> </w:t>
            </w:r>
            <m:oMath>
              <m:sSub>
                <m:e>
                  <m:acc>
                    <m:accPr>
                      <m:chr m:val="̂"/>
                    </m:accPr>
                    <m:e>
                      <m:r>
                        <m:t>f</m:t>
                      </m:r>
                    </m:e>
                  </m:acc>
                </m:e>
                <m:sub>
                  <m:r>
                    <m:t>x</m:t>
                  </m:r>
                </m:sub>
              </m:sSub>
            </m:oMath>
          </w:p>
        </w:tc>
        <w:tc>
          <w:tcPr/>
          <w:p>
            <w:pPr>
              <w:pStyle w:val="Compact"/>
              <w:jc w:val="left"/>
            </w:pPr>
            <w:r>
              <w:t xml:space="preserve">True and estimated count of item</w:t>
            </w:r>
            <w:r>
              <w:t xml:space="preserve"> </w:t>
            </w:r>
            <m:oMath>
              <m:r>
                <m:t>x</m:t>
              </m:r>
            </m:oMath>
          </w:p>
        </w:tc>
        <w:tc>
          <w:tcPr/>
          <w:p>
            <w:pPr>
              <w:pStyle w:val="Compact"/>
              <w:jc w:val="left"/>
            </w:pPr>
            <w:r>
              <w:t xml:space="preserve">events</w:t>
            </w:r>
          </w:p>
        </w:tc>
      </w:tr>
      <w:tr>
        <w:tc>
          <w:tcPr/>
          <w:p>
            <w:pPr>
              <w:pStyle w:val="Compact"/>
              <w:jc w:val="left"/>
            </w:pPr>
            <m:oMath>
              <m:r>
                <m:t>e</m:t>
              </m:r>
            </m:oMath>
          </w:p>
        </w:tc>
        <w:tc>
          <w:tcPr/>
          <w:p>
            <w:pPr>
              <w:pStyle w:val="Compact"/>
              <w:jc w:val="left"/>
            </w:pPr>
            <w:r>
              <w:t xml:space="preserve">Euler’s number, ≈ 2.718</w:t>
            </w:r>
          </w:p>
        </w:tc>
        <w:tc>
          <w:tcPr/>
          <w:p>
            <w:pPr>
              <w:pStyle w:val="Compact"/>
              <w:jc w:val="left"/>
            </w:pPr>
            <w:r>
              <w:t xml:space="preserve">dimensionless</w:t>
            </w:r>
          </w:p>
        </w:tc>
      </w:tr>
    </w:tbl>
    <w:p>
      <w:pPr>
        <w:pStyle w:val="CalloutExample"/>
      </w:pPr>
      <w:r>
        <w:rPr>
          <w:bCs/>
          <w:b/>
        </w:rPr>
        <w:t xml:space="preserve">WORKED EXAMPLE</w:t>
      </w:r>
    </w:p>
    <w:p>
      <w:pPr>
        <w:pStyle w:val="CalloutExample"/>
      </w:pPr>
      <w:r>
        <w:rPr>
          <w:bCs/>
          <w:b/>
        </w:rPr>
        <w:t xml:space="preserve">Worked example — sizing a per-URL request counter.</w:t>
      </w:r>
      <w:r>
        <w:t xml:space="preserve"> </w:t>
      </w:r>
      <w:r>
        <w:t xml:space="preserve">You want errors of at most 0.1% of traffic (</w:t>
      </w:r>
      <m:oMath>
        <m:r>
          <m:t>ε</m:t>
        </m:r>
        <m:r>
          <m:rPr>
            <m:sty m:val="p"/>
          </m:rPr>
          <m:t>=</m:t>
        </m:r>
        <m:r>
          <m:t>0.001</m:t>
        </m:r>
      </m:oMath>
      <w:r>
        <w:t xml:space="preserve">) with 99% confidence (</w:t>
      </w:r>
      <m:oMath>
        <m:r>
          <m:t>δ</m:t>
        </m:r>
        <m:r>
          <m:rPr>
            <m:sty m:val="p"/>
          </m:rPr>
          <m:t>=</m:t>
        </m:r>
        <m:r>
          <m:t>0.01</m:t>
        </m:r>
      </m:oMath>
      <w:r>
        <w:t xml:space="preserve">).</w:t>
      </w:r>
    </w:p>
    <w:p>
      <w:pPr>
        <w:numPr>
          <w:ilvl w:val="0"/>
          <w:numId w:val="1574"/>
        </w:numPr>
        <w:pStyle w:val="Compact"/>
      </w:pPr>
      <w:r>
        <w:t xml:space="preserve">Width:</w:t>
      </w:r>
      <w:r>
        <w:t xml:space="preserve"> </w:t>
      </w:r>
      <m:oMath>
        <m:r>
          <m:t>w</m:t>
        </m:r>
        <m:r>
          <m:rPr>
            <m:sty m:val="p"/>
          </m:rPr>
          <m:t>=</m:t>
        </m:r>
        <m:r>
          <m:rPr>
            <m:sty m:val="p"/>
          </m:rPr>
          <m:t>⌈</m:t>
        </m:r>
        <m:r>
          <m:t>2.718</m:t>
        </m:r>
        <m:r>
          <m:rPr>
            <m:sty m:val="p"/>
          </m:rPr>
          <m:t>/</m:t>
        </m:r>
        <m:r>
          <m:t>0.001</m:t>
        </m:r>
        <m:r>
          <m:rPr>
            <m:sty m:val="p"/>
          </m:rPr>
          <m:t>⌉</m:t>
        </m:r>
        <m:r>
          <m:rPr>
            <m:sty m:val="p"/>
          </m:rPr>
          <m:t>=</m:t>
        </m:r>
        <m:r>
          <m:t>2</m:t>
        </m:r>
        <m:r>
          <m:rPr>
            <m:sty m:val="p"/>
          </m:rPr>
          <m:t>,</m:t>
        </m:r>
        <m:r>
          <m:t>719</m:t>
        </m:r>
      </m:oMath>
      <w:r>
        <w:t xml:space="preserve">.</w:t>
      </w:r>
    </w:p>
    <w:p>
      <w:pPr>
        <w:numPr>
          <w:ilvl w:val="0"/>
          <w:numId w:val="1574"/>
        </w:numPr>
        <w:pStyle w:val="Compact"/>
      </w:pPr>
      <w:r>
        <w:t xml:space="preserve">Depth:</w:t>
      </w:r>
      <w:r>
        <w:t xml:space="preserve"> </w:t>
      </w:r>
      <m:oMath>
        <m:r>
          <m:t>d</m:t>
        </m:r>
        <m:r>
          <m:rPr>
            <m:sty m:val="p"/>
          </m:rPr>
          <m:t>=</m:t>
        </m:r>
        <m:r>
          <m:rPr>
            <m:sty m:val="p"/>
          </m:rPr>
          <m:t>⌈</m:t>
        </m:r>
        <m:r>
          <m:rPr>
            <m:sty m:val="p"/>
          </m:rPr>
          <m:t>ln</m:t>
        </m:r>
        <m:r>
          <m:t>100</m:t>
        </m:r>
        <m:r>
          <m:rPr>
            <m:sty m:val="p"/>
          </m:rPr>
          <m:t>⌉</m:t>
        </m:r>
        <m:r>
          <m:rPr>
            <m:sty m:val="p"/>
          </m:rPr>
          <m:t>=</m:t>
        </m:r>
        <m:r>
          <m:rPr>
            <m:sty m:val="p"/>
          </m:rPr>
          <m:t>⌈</m:t>
        </m:r>
        <m:r>
          <m:t>4.605</m:t>
        </m:r>
        <m:r>
          <m:rPr>
            <m:sty m:val="p"/>
          </m:rPr>
          <m:t>⌉</m:t>
        </m:r>
        <m:r>
          <m:rPr>
            <m:sty m:val="p"/>
          </m:rPr>
          <m:t>=</m:t>
        </m:r>
        <m:r>
          <m:t>5</m:t>
        </m:r>
      </m:oMath>
      <w:r>
        <w:t xml:space="preserve">.</w:t>
      </w:r>
    </w:p>
    <w:p>
      <w:pPr>
        <w:numPr>
          <w:ilvl w:val="0"/>
          <w:numId w:val="1574"/>
        </w:numPr>
        <w:pStyle w:val="Compact"/>
      </w:pPr>
      <w:r>
        <w:t xml:space="preserve">Counters:</w:t>
      </w:r>
      <w:r>
        <w:t xml:space="preserve"> </w:t>
      </w:r>
      <m:oMath>
        <m:r>
          <m:t>2</m:t>
        </m:r>
        <m:r>
          <m:rPr>
            <m:sty m:val="p"/>
          </m:rPr>
          <m:t>,</m:t>
        </m:r>
        <m:r>
          <m:t>719</m:t>
        </m:r>
        <m:r>
          <m:rPr>
            <m:sty m:val="p"/>
          </m:rPr>
          <m:t>×</m:t>
        </m:r>
        <m:r>
          <m:t>5</m:t>
        </m:r>
        <m:r>
          <m:rPr>
            <m:sty m:val="p"/>
          </m:rPr>
          <m:t>=</m:t>
        </m:r>
        <m:r>
          <m:t>13</m:t>
        </m:r>
        <m:r>
          <m:rPr>
            <m:sty m:val="p"/>
          </m:rPr>
          <m:t>,</m:t>
        </m:r>
        <m:r>
          <m:t>595</m:t>
        </m:r>
      </m:oMath>
      <w:r>
        <w:t xml:space="preserve">; with 4-byte counters, 54.4 KB.</w:t>
      </w:r>
    </w:p>
    <w:p>
      <w:pPr>
        <w:numPr>
          <w:ilvl w:val="0"/>
          <w:numId w:val="1574"/>
        </w:numPr>
        <w:pStyle w:val="Compact"/>
      </w:pPr>
      <w:r>
        <w:t xml:space="preserve">For a stream of</w:t>
      </w:r>
      <w:r>
        <w:t xml:space="preserve"> </w:t>
      </w:r>
      <m:oMath>
        <m:r>
          <m:t>N</m:t>
        </m:r>
        <m:r>
          <m:rPr>
            <m:sty m:val="p"/>
          </m:rPr>
          <m:t>=</m:t>
        </m:r>
        <m:sSup>
          <m:e>
            <m:r>
              <m:t>10</m:t>
            </m:r>
          </m:e>
          <m:sup>
            <m:r>
              <m:t>6</m:t>
            </m:r>
          </m:sup>
        </m:sSup>
      </m:oMath>
      <w:r>
        <w:t xml:space="preserve"> </w:t>
      </w:r>
      <w:r>
        <w:t xml:space="preserve">requests, each estimate is within</w:t>
      </w:r>
      <w:r>
        <w:t xml:space="preserve"> </w:t>
      </w:r>
      <m:oMath>
        <m:r>
          <m:rPr>
            <m:sty m:val="p"/>
          </m:rPr>
          <m:t>+</m:t>
        </m:r>
        <m:r>
          <m:t>1</m:t>
        </m:r>
        <m:r>
          <m:rPr>
            <m:sty m:val="p"/>
          </m:rPr>
          <m:t>,</m:t>
        </m:r>
        <m:r>
          <m:t>000</m:t>
        </m:r>
      </m:oMath>
      <w:r>
        <w:t xml:space="preserve"> </w:t>
      </w:r>
      <w:r>
        <w:t xml:space="preserve">of the truth with probability 99%.</w:t>
      </w:r>
    </w:p>
    <w:p>
      <w:pPr>
        <w:numPr>
          <w:ilvl w:val="0"/>
          <w:numId w:val="1574"/>
        </w:numPr>
        <w:pStyle w:val="Compact"/>
      </w:pPr>
      <w:r>
        <w:t xml:space="preserve">A day of</w:t>
      </w:r>
      <w:r>
        <w:t xml:space="preserve"> </w:t>
      </w:r>
      <m:oMath>
        <m:r>
          <m:t>N</m:t>
        </m:r>
        <m:r>
          <m:rPr>
            <m:sty m:val="p"/>
          </m:rPr>
          <m:t>=</m:t>
        </m:r>
        <m:sSup>
          <m:e>
            <m:r>
              <m:t>10</m:t>
            </m:r>
          </m:e>
          <m:sup>
            <m:r>
              <m:t>10</m:t>
            </m:r>
          </m:sup>
        </m:sSup>
      </m:oMath>
      <w:r>
        <w:t xml:space="preserve"> </w:t>
      </w:r>
      <w:r>
        <w:t xml:space="preserve">requests gives a bound of</w:t>
      </w:r>
      <w:r>
        <w:t xml:space="preserve"> </w:t>
      </w:r>
      <m:oMath>
        <m:sSup>
          <m:e>
            <m:r>
              <m:t>10</m:t>
            </m:r>
          </m:e>
          <m:sup>
            <m:r>
              <m:t>7</m:t>
            </m:r>
          </m:sup>
        </m:sSup>
      </m:oMath>
      <w:r>
        <w:t xml:space="preserve">: a URL with 50,000 requests is lost in noise; one with</w:t>
      </w:r>
      <w:r>
        <w:t xml:space="preserve"> </w:t>
      </w:r>
      <m:oMath>
        <m:sSup>
          <m:e>
            <m:r>
              <m:t>10</m:t>
            </m:r>
          </m:e>
          <m:sup>
            <m:r>
              <m:t>8</m:t>
            </m:r>
          </m:sup>
        </m:sSup>
      </m:oMath>
      <w:r>
        <w:t xml:space="preserve"> </w:t>
      </w:r>
      <w:r>
        <w:t xml:space="preserve">is within 10%.</w:t>
      </w:r>
    </w:p>
    <w:p>
      <w:pPr>
        <w:pStyle w:val="CalloutExample"/>
      </w:pPr>
      <w:r>
        <w:rPr>
          <w:iCs/>
          <w:i/>
        </w:rPr>
        <w:t xml:space="preserve">Interpretation.</w:t>
      </w:r>
      <w:r>
        <w:t xml:space="preserve"> </w:t>
      </w:r>
      <w:r>
        <w:t xml:space="preserve">The error is additive and proportional to the</w:t>
      </w:r>
      <w:r>
        <w:t xml:space="preserve"> </w:t>
      </w:r>
      <w:r>
        <w:rPr>
          <w:iCs/>
          <w:i/>
        </w:rPr>
        <w:t xml:space="preserve">whole stream</w:t>
      </w:r>
      <w:r>
        <w:t xml:space="preserve">: accurate for heavy items, useless for rare ones.</w:t>
      </w:r>
      <w:r>
        <w:t xml:space="preserve"> </w:t>
      </w:r>
      <w:r>
        <w:rPr>
          <w:iCs/>
          <w:i/>
        </w:rPr>
        <w:t xml:space="preserve">Engineering implication.</w:t>
      </w:r>
      <w:r>
        <w:t xml:space="preserve"> </w:t>
      </w:r>
      <w:r>
        <w:t xml:space="preserve">Use it for heavy hitters, abusive-key rate limiting and frequency-based cache admission (TinyLFU, §20.9), and reset or decay it per window.</w:t>
      </w:r>
    </w:p>
    <w:p>
      <w:pPr>
        <w:pStyle w:val="BodyText"/>
      </w:pPr>
      <w:r>
        <w:rPr>
          <w:bCs/>
          <w:b/>
        </w:rPr>
        <w:t xml:space="preserve">Conservative update</w:t>
      </w:r>
      <w:r>
        <w:t xml:space="preserve"> </w:t>
      </w:r>
      <w:r>
        <w:t xml:space="preserve">increments only counters equal to the current minimum, reducing overestimation substantially while keeping the no-underestimate guarantee; such sketches no longer merge exactly by addition.</w:t>
      </w:r>
    </w:p>
    <w:bookmarkEnd w:id="1966"/>
    <w:bookmarkEnd w:id="1967"/>
    <w:bookmarkStart w:id="1972" w:name="heavy-hitters-and-top-k"/>
    <w:p>
      <w:pPr>
        <w:pStyle w:val="Heading3"/>
      </w:pPr>
      <w:r>
        <w:t xml:space="preserve">17.6.2 Heavy hitters and top-k</w:t>
      </w:r>
    </w:p>
    <w:p>
      <w:pPr>
        <w:pStyle w:val="FirstParagraph"/>
      </w:pPr>
      <w:r>
        <w:rPr>
          <w:bCs/>
          <w:b/>
        </w:rPr>
        <w:t xml:space="preserve">Heavy hitters</w:t>
      </w:r>
      <w:r>
        <w:t xml:space="preserve"> </w:t>
      </w:r>
      <w:r>
        <w:t xml:space="preserve">exceed a frequency threshold (say 0.1% of traffic);</w:t>
      </w:r>
      <w:r>
        <w:t xml:space="preserve"> </w:t>
      </w:r>
      <w:r>
        <w:rPr>
          <w:bCs/>
          <w:b/>
        </w:rPr>
        <w:t xml:space="preserve">top-</w:t>
      </w:r>
      <w:r>
        <w:rPr>
          <w:iCs/>
          <w:i/>
          <w:bCs/>
          <w:b/>
        </w:rPr>
        <w:t xml:space="preserve">k</w:t>
      </w:r>
      <w:r>
        <w:t xml:space="preserve"> </w:t>
      </w:r>
      <w:r>
        <w:t xml:space="preserve">asks for the</w:t>
      </w:r>
      <w:r>
        <w:t xml:space="preserve"> </w:t>
      </w:r>
      <m:oMath>
        <m:r>
          <m:t>k</m:t>
        </m:r>
      </m:oMath>
      <w:r>
        <w:t xml:space="preserve"> </w:t>
      </w:r>
      <w:r>
        <w:t xml:space="preserve">most frequent items.</w:t>
      </w:r>
    </w:p>
    <w:p>
      <w:pPr>
        <w:numPr>
          <w:ilvl w:val="0"/>
          <w:numId w:val="1575"/>
        </w:numPr>
        <w:pStyle w:val="Compact"/>
      </w:pPr>
      <w:r>
        <w:rPr>
          <w:bCs/>
          <w:b/>
        </w:rPr>
        <w:t xml:space="preserve">Count-Min plus a min-heap.</w:t>
      </w:r>
      <w:r>
        <w:t xml:space="preserve"> </w:t>
      </w:r>
      <w:r>
        <w:t xml:space="preserve">After each update, if the item’s estimate exceeds the heap minimum, replace that minimum. Memory: the sketch plus</w:t>
      </w:r>
      <w:r>
        <w:t xml:space="preserve"> </w:t>
      </w:r>
      <m:oMath>
        <m:r>
          <m:t>k</m:t>
        </m:r>
      </m:oMath>
      <w:r>
        <w:t xml:space="preserve"> </w:t>
      </w:r>
      <w:r>
        <w:t xml:space="preserve">entries.</w:t>
      </w:r>
    </w:p>
    <w:p>
      <w:pPr>
        <w:numPr>
          <w:ilvl w:val="0"/>
          <w:numId w:val="1575"/>
        </w:numPr>
        <w:pStyle w:val="Compact"/>
      </w:pPr>
      <w:r>
        <w:rPr>
          <w:bCs/>
          <w:b/>
        </w:rPr>
        <w:t xml:space="preserve">Space-Saving</w:t>
      </w:r>
      <w:r>
        <w:t xml:space="preserve"> </w:t>
      </w:r>
      <w:r>
        <w:t xml:space="preserve">[Metwally et al. 2005]. Keep</w:t>
      </w:r>
      <w:r>
        <w:t xml:space="preserve"> </w:t>
      </w:r>
      <m:oMath>
        <m:r>
          <m:t>k</m:t>
        </m:r>
      </m:oMath>
      <w:r>
        <w:t xml:space="preserve"> </w:t>
      </w:r>
      <w:r>
        <w:t xml:space="preserve">(item, count) counters. Increment a monitored item; otherwise take a free counter, or evict the smallest count</w:t>
      </w:r>
      <w:r>
        <w:t xml:space="preserve"> </w:t>
      </w:r>
      <m:oMath>
        <m:sSub>
          <m:e>
            <m:r>
              <m:t>c</m:t>
            </m:r>
          </m:e>
          <m:sub>
            <m:r>
              <m:rPr>
                <m:sty m:val="p"/>
              </m:rPr>
              <m:t>min</m:t>
            </m:r>
          </m:sub>
        </m:sSub>
      </m:oMath>
      <w:r>
        <w:t xml:space="preserve"> </w:t>
      </w:r>
      <w:r>
        <w:t xml:space="preserve">and give the newcomer</w:t>
      </w:r>
      <w:r>
        <w:t xml:space="preserve"> </w:t>
      </w:r>
      <m:oMath>
        <m:sSub>
          <m:e>
            <m:r>
              <m:t>c</m:t>
            </m:r>
          </m:e>
          <m:sub>
            <m:r>
              <m:rPr>
                <m:sty m:val="p"/>
              </m:rPr>
              <m:t>min</m:t>
            </m:r>
          </m:sub>
        </m:sSub>
        <m:r>
          <m:rPr>
            <m:sty m:val="p"/>
          </m:rPr>
          <m:t>+</m:t>
        </m:r>
        <m:r>
          <m:t>1</m:t>
        </m:r>
      </m:oMath>
      <w:r>
        <w:t xml:space="preserve">, an upper bound on its unseen occurrences.</w:t>
      </w:r>
    </w:p>
    <w:p>
      <w:pPr>
        <w:pStyle w:val="CalloutFormula"/>
      </w:pPr>
      <w:r>
        <w:rPr>
          <w:bCs/>
          <w:b/>
        </w:rPr>
        <w:t xml:space="preserve">FORMULA</w:t>
      </w:r>
    </w:p>
    <w:p>
      <w:pPr>
        <w:pStyle w:val="CalloutFormula"/>
      </w:pPr>
      <w:r>
        <w:rPr>
          <w:bCs/>
          <w:b/>
        </w:rPr>
        <w:t xml:space="preserve">Space-Saving guarantee</w:t>
      </w:r>
    </w:p>
    <w:p>
      <w:pPr>
        <w:pStyle w:val="CalloutFormula"/>
      </w:pPr>
      <m:oMathPara>
        <m:oMathParaPr>
          <m:jc m:val="center"/>
        </m:oMathParaPr>
        <m:oMath>
          <m:sSub>
            <m:e>
              <m:r>
                <m:t>c</m:t>
              </m:r>
            </m:e>
            <m:sub>
              <m:r>
                <m:t>x</m:t>
              </m:r>
            </m:sub>
          </m:sSub>
          <m:r>
            <m:rPr>
              <m:sty m:val="p"/>
            </m:rPr>
            <m:t>−</m:t>
          </m:r>
          <m:sSub>
            <m:e>
              <m:r>
                <m:t>f</m:t>
              </m:r>
            </m:e>
            <m:sub>
              <m:r>
                <m:t>x</m:t>
              </m:r>
            </m:sub>
          </m:sSub>
          <m:r>
            <m:rPr>
              <m:sty m:val="p"/>
            </m:rPr>
            <m:t>≤</m:t>
          </m:r>
          <m:sSub>
            <m:e>
              <m:r>
                <m:t>c</m:t>
              </m:r>
            </m:e>
            <m:sub>
              <m:r>
                <m:rPr>
                  <m:sty m:val="p"/>
                </m:rPr>
                <m:t>min</m:t>
              </m:r>
            </m:sub>
          </m:sSub>
          <m:r>
            <m:rPr>
              <m:sty m:val="p"/>
            </m:rPr>
            <m:t>≤</m:t>
          </m:r>
          <m:f>
            <m:fPr>
              <m:type m:val="bar"/>
            </m:fPr>
            <m:num>
              <m:r>
                <m:t>N</m:t>
              </m:r>
            </m:num>
            <m:den>
              <m:r>
                <m:t>k</m:t>
              </m:r>
            </m:den>
          </m:f>
          <m:r>
            <m:rPr>
              <m:sty m:val="p"/>
            </m:rPr>
            <m:t>,</m:t>
          </m:r>
          <m:r>
            <m:t>  </m:t>
          </m:r>
          <m:sSub>
            <m:e>
              <m:r>
                <m:t>f</m:t>
              </m:r>
            </m:e>
            <m:sub>
              <m:r>
                <m:t>x</m:t>
              </m:r>
            </m:sub>
          </m:sSub>
          <m:r>
            <m:rPr>
              <m:sty m:val="p"/>
            </m:rPr>
            <m:t>&gt;</m:t>
          </m:r>
          <m:f>
            <m:fPr>
              <m:type m:val="bar"/>
            </m:fPr>
            <m:num>
              <m:r>
                <m:t>N</m:t>
              </m:r>
            </m:num>
            <m:den>
              <m:r>
                <m:t>k</m:t>
              </m:r>
            </m:den>
          </m:f>
          <m:r>
            <m:rPr>
              <m:sty m:val="p"/>
            </m:rPr>
            <m:t>⇒</m:t>
          </m:r>
          <m:r>
            <m:t>x</m:t>
          </m:r>
          <m:r>
            <m:rPr>
              <m:nor/>
              <m:sty m:val="p"/>
            </m:rPr>
            <m:t> is monitored</m:t>
          </m:r>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k</m:t>
              </m:r>
            </m:oMath>
          </w:p>
        </w:tc>
        <w:tc>
          <w:tcPr/>
          <w:p>
            <w:pPr>
              <w:pStyle w:val="Compact"/>
              <w:jc w:val="left"/>
            </w:pPr>
            <w:r>
              <w:t xml:space="preserve">Number of counters</w:t>
            </w:r>
          </w:p>
        </w:tc>
        <w:tc>
          <w:tcPr/>
          <w:p>
            <w:pPr>
              <w:pStyle w:val="Compact"/>
              <w:jc w:val="left"/>
            </w:pPr>
            <w:r>
              <w:t xml:space="preserve">counters</w:t>
            </w:r>
          </w:p>
        </w:tc>
      </w:tr>
      <w:tr>
        <w:tc>
          <w:tcPr/>
          <w:p>
            <w:pPr>
              <w:pStyle w:val="Compact"/>
              <w:jc w:val="left"/>
            </w:pPr>
            <m:oMath>
              <m:r>
                <m:t>N</m:t>
              </m:r>
            </m:oMath>
          </w:p>
        </w:tc>
        <w:tc>
          <w:tcPr/>
          <w:p>
            <w:pPr>
              <w:pStyle w:val="Compact"/>
              <w:jc w:val="left"/>
            </w:pPr>
            <w:r>
              <w:t xml:space="preserve">Stream length</w:t>
            </w:r>
          </w:p>
        </w:tc>
        <w:tc>
          <w:tcPr/>
          <w:p>
            <w:pPr>
              <w:pStyle w:val="Compact"/>
              <w:jc w:val="left"/>
            </w:pPr>
            <w:r>
              <w:t xml:space="preserve">events</w:t>
            </w:r>
          </w:p>
        </w:tc>
      </w:tr>
      <w:tr>
        <w:tc>
          <w:tcPr/>
          <w:p>
            <w:pPr>
              <w:pStyle w:val="Compact"/>
              <w:jc w:val="left"/>
            </w:pPr>
            <m:oMath>
              <m:sSub>
                <m:e>
                  <m:r>
                    <m:t>c</m:t>
                  </m:r>
                </m:e>
                <m:sub>
                  <m:r>
                    <m:t>x</m:t>
                  </m:r>
                </m:sub>
              </m:sSub>
            </m:oMath>
            <w:r>
              <w:t xml:space="preserve">,</w:t>
            </w:r>
            <w:r>
              <w:t xml:space="preserve"> </w:t>
            </w:r>
            <m:oMath>
              <m:sSub>
                <m:e>
                  <m:r>
                    <m:t>f</m:t>
                  </m:r>
                </m:e>
                <m:sub>
                  <m:r>
                    <m:t>x</m:t>
                  </m:r>
                </m:sub>
              </m:sSub>
            </m:oMath>
          </w:p>
        </w:tc>
        <w:tc>
          <w:tcPr/>
          <w:p>
            <w:pPr>
              <w:pStyle w:val="Compact"/>
              <w:jc w:val="left"/>
            </w:pPr>
            <w:r>
              <w:t xml:space="preserve">Reported and true count of monitored item</w:t>
            </w:r>
            <w:r>
              <w:t xml:space="preserve"> </w:t>
            </w:r>
            <m:oMath>
              <m:r>
                <m:t>x</m:t>
              </m:r>
            </m:oMath>
          </w:p>
        </w:tc>
        <w:tc>
          <w:tcPr/>
          <w:p>
            <w:pPr>
              <w:pStyle w:val="Compact"/>
              <w:jc w:val="left"/>
            </w:pPr>
            <w:r>
              <w:t xml:space="preserve">events</w:t>
            </w:r>
          </w:p>
        </w:tc>
      </w:tr>
      <w:tr>
        <w:tc>
          <w:tcPr/>
          <w:p>
            <w:pPr>
              <w:pStyle w:val="Compact"/>
              <w:jc w:val="left"/>
            </w:pPr>
            <m:oMath>
              <m:sSub>
                <m:e>
                  <m:r>
                    <m:t>c</m:t>
                  </m:r>
                </m:e>
                <m:sub>
                  <m:r>
                    <m:rPr>
                      <m:sty m:val="p"/>
                    </m:rPr>
                    <m:t>min</m:t>
                  </m:r>
                </m:sub>
              </m:sSub>
            </m:oMath>
          </w:p>
        </w:tc>
        <w:tc>
          <w:tcPr/>
          <w:p>
            <w:pPr>
              <w:pStyle w:val="Compact"/>
              <w:jc w:val="left"/>
            </w:pPr>
            <w:r>
              <w:t xml:space="preserve">Smallest counter value</w:t>
            </w:r>
          </w:p>
        </w:tc>
        <w:tc>
          <w:tcPr/>
          <w:p>
            <w:pPr>
              <w:pStyle w:val="Compact"/>
              <w:jc w:val="left"/>
            </w:pPr>
            <w:r>
              <w:t xml:space="preserve">events</w:t>
            </w:r>
          </w:p>
        </w:tc>
      </w:tr>
    </w:tbl>
    <w:p>
      <w:pPr>
        <w:pStyle w:val="CalloutExample"/>
      </w:pPr>
      <w:r>
        <w:rPr>
          <w:bCs/>
          <w:b/>
        </w:rPr>
        <w:t xml:space="preserve">WORKED EXAMPLE</w:t>
      </w:r>
    </w:p>
    <w:p>
      <w:pPr>
        <w:pStyle w:val="CalloutExample"/>
      </w:pPr>
      <w:r>
        <w:rPr>
          <w:bCs/>
          <w:b/>
        </w:rPr>
        <w:t xml:space="preserve">Worked example — 100 counters over 1 million events.</w:t>
      </w:r>
      <w:r>
        <w:t xml:space="preserve"> </w:t>
      </w:r>
      <m:oMath>
        <m:r>
          <m:t>N</m:t>
        </m:r>
        <m:r>
          <m:rPr>
            <m:sty m:val="p"/>
          </m:rPr>
          <m:t>/</m:t>
        </m:r>
        <m:r>
          <m:t>k</m:t>
        </m:r>
        <m:r>
          <m:rPr>
            <m:sty m:val="p"/>
          </m:rPr>
          <m:t>=</m:t>
        </m:r>
        <m:sSup>
          <m:e>
            <m:r>
              <m:t>10</m:t>
            </m:r>
          </m:e>
          <m:sup>
            <m:r>
              <m:t>6</m:t>
            </m:r>
          </m:sup>
        </m:sSup>
        <m:r>
          <m:rPr>
            <m:sty m:val="p"/>
          </m:rPr>
          <m:t>/</m:t>
        </m:r>
        <m:r>
          <m:t>100</m:t>
        </m:r>
        <m:r>
          <m:rPr>
            <m:sty m:val="p"/>
          </m:rPr>
          <m:t>=</m:t>
        </m:r>
        <m:r>
          <m:t>10</m:t>
        </m:r>
        <m:r>
          <m:rPr>
            <m:sty m:val="p"/>
          </m:rPr>
          <m:t>,</m:t>
        </m:r>
        <m:r>
          <m:t>000</m:t>
        </m:r>
      </m:oMath>
      <w:r>
        <w:t xml:space="preserve">: every URL with over 10,000 requests (1% of traffic) is guaranteed monitored, and reported counts overestimate by at most 10,000.</w:t>
      </w:r>
      <w:r>
        <w:t xml:space="preserve"> </w:t>
      </w:r>
      <w:r>
        <w:rPr>
          <w:iCs/>
          <w:i/>
        </w:rPr>
        <w:t xml:space="preserve">Interpretation.</w:t>
      </w:r>
      <w:r>
        <w:t xml:space="preserve"> </w:t>
      </w:r>
      <w:r>
        <w:t xml:space="preserve">Error is relative to the stream; memory is</w:t>
      </w:r>
      <w:r>
        <w:t xml:space="preserve"> </w:t>
      </w:r>
      <m:oMath>
        <m:r>
          <m:t>k</m:t>
        </m:r>
      </m:oMath>
      <w:r>
        <w:t xml:space="preserve"> </w:t>
      </w:r>
      <w:r>
        <w:t xml:space="preserve">entries.</w:t>
      </w:r>
      <w:r>
        <w:t xml:space="preserve"> </w:t>
      </w:r>
      <w:r>
        <w:rPr>
          <w:iCs/>
          <w:i/>
        </w:rPr>
        <w:t xml:space="preserve">Engineering implication.</w:t>
      </w:r>
      <w:r>
        <w:t xml:space="preserve"> </w:t>
      </w:r>
      <w:r>
        <w:t xml:space="preserve">For a reliable top 10, monitor several times more than 10 counters so ranks 11–100 absorb churn.</w:t>
      </w:r>
    </w:p>
    <w:p>
      <w:pPr>
        <w:pStyle w:val="BodyText"/>
      </w:pPr>
      <w:r>
        <w:rPr>
          <w:bCs/>
          <w:b/>
        </w:rPr>
        <w:t xml:space="preserve">Figure 17.7 — A distributed top-k pipeline.</w:t>
      </w:r>
    </w:p>
    <w:p>
      <w:pPr>
        <w:pStyle w:val="BodyText"/>
      </w:pPr>
      <w:r>
        <w:drawing>
          <wp:inline>
            <wp:extent cx="5334000" cy="799392"/>
            <wp:effectExtent b="0" l="0" r="0" t="0"/>
            <wp:docPr descr="" title="" id="1969" name="Picture"/>
            <a:graphic>
              <a:graphicData uri="http://schemas.openxmlformats.org/drawingml/2006/picture">
                <pic:pic>
                  <pic:nvPicPr>
                    <pic:cNvPr descr="/home/user/System-Design/build/.cache/diagrams/aa9b5e394579.png" id="1970" name="Picture"/>
                    <pic:cNvPicPr>
                      <a:picLocks noChangeArrowheads="1" noChangeAspect="1"/>
                    </pic:cNvPicPr>
                  </pic:nvPicPr>
                  <pic:blipFill>
                    <a:blip r:embed="rId1968"/>
                    <a:stretch>
                      <a:fillRect/>
                    </a:stretch>
                  </pic:blipFill>
                  <pic:spPr bwMode="auto">
                    <a:xfrm>
                      <a:off x="0" y="0"/>
                      <a:ext cx="5334000" cy="799392"/>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Workers consume partitions of the event log (Chapter 30), each keeping a local Count-Min sketch and candidate heap. Every 10 seconds they ship sketches and candidates asynchronously (dotted) to an aggregator, which adds the sketches, re-estimates candidates and writes the global top 100 to a store the API reads synchronously. An item moderately frequent everywhere can miss every local top-</w:t>
      </w:r>
      <w:r>
        <w:rPr>
          <w:iCs/>
          <w:i/>
        </w:rPr>
        <w:t xml:space="preserve">k</w:t>
      </w:r>
      <w:r>
        <w:t xml:space="preserve">; ship more candidates (top 1,000 for a global top 100) or partition the log by item key. Failure points: slow workers delay windows (event-time windows with lateness bounds, §29.8), and the aggregator must restart from the log. Scale by adding workers and partitions.</w:t>
      </w:r>
    </w:p>
    <w:bookmarkStart w:id="1971" w:name="code-example-20"/>
    <w:p>
      <w:pPr>
        <w:pStyle w:val="Heading4"/>
      </w:pPr>
      <w:r>
        <w:t xml:space="preserve">Code example</w:t>
      </w:r>
    </w:p>
    <w:p>
      <w:pPr>
        <w:pStyle w:val="SourceCode"/>
      </w:pPr>
      <w:r>
        <w:rPr>
          <w:rStyle w:val="ImportTok"/>
        </w:rPr>
        <w:t xml:space="preserve">import</w:t>
      </w:r>
      <w:r>
        <w:rPr>
          <w:rStyle w:val="NormalTok"/>
        </w:rPr>
        <w:t xml:space="preserve"> hashlib</w:t>
      </w:r>
      <w:r>
        <w:br/>
      </w:r>
      <w:r>
        <w:rPr>
          <w:rStyle w:val="ImportTok"/>
        </w:rPr>
        <w:t xml:space="preserve">import</w:t>
      </w:r>
      <w:r>
        <w:rPr>
          <w:rStyle w:val="NormalTok"/>
        </w:rPr>
        <w:t xml:space="preserve"> heapq</w:t>
      </w:r>
      <w:r>
        <w:br/>
      </w:r>
      <w:r>
        <w:rPr>
          <w:rStyle w:val="ImportTok"/>
        </w:rPr>
        <w:t xml:space="preserve">import</w:t>
      </w:r>
      <w:r>
        <w:rPr>
          <w:rStyle w:val="NormalTok"/>
        </w:rPr>
        <w:t xml:space="preserve"> math</w:t>
      </w:r>
      <w:r>
        <w:br/>
      </w:r>
      <w:r>
        <w:rPr>
          <w:rStyle w:val="ImportTok"/>
        </w:rPr>
        <w:t xml:space="preserve">import</w:t>
      </w:r>
      <w:r>
        <w:rPr>
          <w:rStyle w:val="NormalTok"/>
        </w:rPr>
        <w:t xml:space="preserve"> random</w:t>
      </w:r>
      <w:r>
        <w:br/>
      </w:r>
      <w:r>
        <w:rPr>
          <w:rStyle w:val="ImportTok"/>
        </w:rPr>
        <w:t xml:space="preserve">from</w:t>
      </w:r>
      <w:r>
        <w:rPr>
          <w:rStyle w:val="NormalTok"/>
        </w:rPr>
        <w:t xml:space="preserve"> collections </w:t>
      </w:r>
      <w:r>
        <w:rPr>
          <w:rStyle w:val="ImportTok"/>
        </w:rPr>
        <w:t xml:space="preserve">import</w:t>
      </w:r>
      <w:r>
        <w:rPr>
          <w:rStyle w:val="NormalTok"/>
        </w:rPr>
        <w:t xml:space="preserve"> Counter</w:t>
      </w:r>
      <w:r>
        <w:br/>
      </w:r>
      <w:r>
        <w:br/>
      </w:r>
      <w:r>
        <w:rPr>
          <w:rStyle w:val="KeywordTok"/>
        </w:rPr>
        <w:t xml:space="preserve">class</w:t>
      </w:r>
      <w:r>
        <w:rPr>
          <w:rStyle w:val="NormalTok"/>
        </w:rPr>
        <w:t xml:space="preserve"> CountMinSketch:</w:t>
      </w:r>
      <w:r>
        <w:br/>
      </w:r>
      <w:r>
        <w:rPr>
          <w:rStyle w:val="NormalTok"/>
        </w:rPr>
        <w:t xml:space="preserve">    </w:t>
      </w:r>
      <w:r>
        <w:rPr>
          <w:rStyle w:val="CommentTok"/>
        </w:rPr>
        <w:t xml:space="preserve">"""Count-Min sketch (Cormode &amp; Muthukrishnan 2005): d rows x w counters."""</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epsilon: </w:t>
      </w:r>
      <w:r>
        <w:rPr>
          <w:rStyle w:val="BuiltInTok"/>
        </w:rPr>
        <w:t xml:space="preserve">float</w:t>
      </w:r>
      <w:r>
        <w:rPr>
          <w:rStyle w:val="NormalTok"/>
        </w:rPr>
        <w:t xml:space="preserve">, delta: </w:t>
      </w:r>
      <w:r>
        <w:rPr>
          <w:rStyle w:val="BuiltInTok"/>
        </w:rPr>
        <w:t xml:space="preserve">float</w:t>
      </w:r>
      <w:r>
        <w:rPr>
          <w:rStyle w:val="NormalTok"/>
        </w:rPr>
        <w:t xml:space="preserve">):</w:t>
      </w:r>
      <w:r>
        <w:br/>
      </w:r>
      <w:r>
        <w:rPr>
          <w:rStyle w:val="NormalTok"/>
        </w:rPr>
        <w:t xml:space="preserve">        </w:t>
      </w:r>
      <w:r>
        <w:rPr>
          <w:rStyle w:val="VariableTok"/>
        </w:rPr>
        <w:t xml:space="preserve">self</w:t>
      </w:r>
      <w:r>
        <w:rPr>
          <w:rStyle w:val="NormalTok"/>
        </w:rPr>
        <w:t xml:space="preserve">.w </w:t>
      </w:r>
      <w:r>
        <w:rPr>
          <w:rStyle w:val="OperatorTok"/>
        </w:rPr>
        <w:t xml:space="preserve">=</w:t>
      </w:r>
      <w:r>
        <w:rPr>
          <w:rStyle w:val="NormalTok"/>
        </w:rPr>
        <w:t xml:space="preserve"> math.ceil(math.e </w:t>
      </w:r>
      <w:r>
        <w:rPr>
          <w:rStyle w:val="OperatorTok"/>
        </w:rPr>
        <w:t xml:space="preserve">/</w:t>
      </w:r>
      <w:r>
        <w:rPr>
          <w:rStyle w:val="NormalTok"/>
        </w:rPr>
        <w:t xml:space="preserve"> epsilon)               </w:t>
      </w:r>
      <w:r>
        <w:rPr>
          <w:rStyle w:val="CommentTok"/>
        </w:rPr>
        <w:t xml:space="preserve"># width from accuracy</w:t>
      </w:r>
      <w:r>
        <w:br/>
      </w:r>
      <w:r>
        <w:rPr>
          <w:rStyle w:val="NormalTok"/>
        </w:rPr>
        <w:t xml:space="preserve">        </w:t>
      </w:r>
      <w:r>
        <w:rPr>
          <w:rStyle w:val="VariableTok"/>
        </w:rPr>
        <w:t xml:space="preserve">self</w:t>
      </w:r>
      <w:r>
        <w:rPr>
          <w:rStyle w:val="NormalTok"/>
        </w:rPr>
        <w:t xml:space="preserve">.d </w:t>
      </w:r>
      <w:r>
        <w:rPr>
          <w:rStyle w:val="OperatorTok"/>
        </w:rPr>
        <w:t xml:space="preserve">=</w:t>
      </w:r>
      <w:r>
        <w:rPr>
          <w:rStyle w:val="NormalTok"/>
        </w:rPr>
        <w:t xml:space="preserve"> math.ceil(math.log(</w:t>
      </w:r>
      <w:r>
        <w:rPr>
          <w:rStyle w:val="DecValTok"/>
        </w:rPr>
        <w:t xml:space="preserve">1</w:t>
      </w:r>
      <w:r>
        <w:rPr>
          <w:rStyle w:val="NormalTok"/>
        </w:rPr>
        <w:t xml:space="preserve"> </w:t>
      </w:r>
      <w:r>
        <w:rPr>
          <w:rStyle w:val="OperatorTok"/>
        </w:rPr>
        <w:t xml:space="preserve">/</w:t>
      </w:r>
      <w:r>
        <w:rPr>
          <w:rStyle w:val="NormalTok"/>
        </w:rPr>
        <w:t xml:space="preserve"> delta))            </w:t>
      </w:r>
      <w:r>
        <w:rPr>
          <w:rStyle w:val="CommentTok"/>
        </w:rPr>
        <w:t xml:space="preserve"># depth from confidence</w:t>
      </w:r>
      <w:r>
        <w:br/>
      </w:r>
      <w:r>
        <w:rPr>
          <w:rStyle w:val="NormalTok"/>
        </w:rPr>
        <w:t xml:space="preserve">        </w:t>
      </w:r>
      <w:r>
        <w:rPr>
          <w:rStyle w:val="VariableTok"/>
        </w:rPr>
        <w:t xml:space="preserve">self</w:t>
      </w:r>
      <w:r>
        <w:rPr>
          <w:rStyle w:val="NormalTok"/>
        </w:rPr>
        <w:t xml:space="preserve">.table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.w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.d)]</w:t>
      </w:r>
      <w:r>
        <w:br/>
      </w:r>
      <w:r>
        <w:rPr>
          <w:rStyle w:val="NormalTok"/>
        </w:rPr>
        <w:t xml:space="preserve">        </w:t>
      </w:r>
      <w:r>
        <w:rPr>
          <w:rStyle w:val="VariableTok"/>
        </w:rPr>
        <w:t xml:space="preserve">self</w:t>
      </w:r>
      <w:r>
        <w:rPr>
          <w:rStyle w:val="NormalTok"/>
        </w:rPr>
        <w:t xml:space="preserve">.total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KeywordTok"/>
        </w:rPr>
        <w:t xml:space="preserve">def</w:t>
      </w:r>
      <w:r>
        <w:rPr>
          <w:rStyle w:val="NormalTok"/>
        </w:rPr>
        <w:t xml:space="preserve"> _columns(</w:t>
      </w:r>
      <w:r>
        <w:rPr>
          <w:rStyle w:val="VariableTok"/>
        </w:rPr>
        <w:t xml:space="preserve">self</w:t>
      </w:r>
      <w:r>
        <w:rPr>
          <w:rStyle w:val="NormalTok"/>
        </w:rPr>
        <w:t xml:space="preserve">, item: </w:t>
      </w:r>
      <w:r>
        <w:rPr>
          <w:rStyle w:val="BuiltInTok"/>
        </w:rPr>
        <w:t xml:space="preserve">str</w:t>
      </w:r>
      <w:r>
        <w:rPr>
          <w:rStyle w:val="NormalTok"/>
        </w:rPr>
        <w:t xml:space="preserve">):</w:t>
      </w:r>
      <w:r>
        <w:br/>
      </w:r>
      <w:r>
        <w:rPr>
          <w:rStyle w:val="NormalTok"/>
        </w:rPr>
        <w:t xml:space="preserve">        digest </w:t>
      </w:r>
      <w:r>
        <w:rPr>
          <w:rStyle w:val="OperatorTok"/>
        </w:rPr>
        <w:t xml:space="preserve">=</w:t>
      </w:r>
      <w:r>
        <w:rPr>
          <w:rStyle w:val="NormalTok"/>
        </w:rPr>
        <w:t xml:space="preserve"> hashlib.blake2b(item.encode(), digest_size</w:t>
      </w:r>
      <w:r>
        <w:rPr>
          <w:rStyle w:val="OperatorTok"/>
        </w:rPr>
        <w:t xml:space="preserve">=</w:t>
      </w:r>
      <w:r>
        <w:rPr>
          <w:rStyle w:val="DecValTok"/>
        </w:rPr>
        <w:t xml:space="preserve">16</w:t>
      </w:r>
      <w:r>
        <w:rPr>
          <w:rStyle w:val="NormalTok"/>
        </w:rPr>
        <w:t xml:space="preserve">).digest()</w:t>
      </w:r>
      <w:r>
        <w:br/>
      </w:r>
      <w:r>
        <w:rPr>
          <w:rStyle w:val="NormalTok"/>
        </w:rPr>
        <w:t xml:space="preserve">        h1 </w:t>
      </w:r>
      <w:r>
        <w:rPr>
          <w:rStyle w:val="OperatorTok"/>
        </w:rPr>
        <w:t xml:space="preserve">=</w:t>
      </w:r>
      <w:r>
        <w:rPr>
          <w:rStyle w:val="NormalTok"/>
        </w:rPr>
        <w:t xml:space="preserve"> </w:t>
      </w:r>
      <w:r>
        <w:rPr>
          <w:rStyle w:val="BuiltInTok"/>
        </w:rPr>
        <w:t xml:space="preserve">int</w:t>
      </w:r>
      <w:r>
        <w:rPr>
          <w:rStyle w:val="NormalTok"/>
        </w:rPr>
        <w:t xml:space="preserve">.from_bytes(digest[:</w:t>
      </w:r>
      <w:r>
        <w:rPr>
          <w:rStyle w:val="DecValTok"/>
        </w:rPr>
        <w:t xml:space="preserve">8</w:t>
      </w:r>
      <w:r>
        <w:rPr>
          <w:rStyle w:val="NormalTok"/>
        </w:rPr>
        <w:t xml:space="preserve">], </w:t>
      </w:r>
      <w:r>
        <w:rPr>
          <w:rStyle w:val="StringTok"/>
        </w:rPr>
        <w:t xml:space="preserve">"little"</w:t>
      </w:r>
      <w:r>
        <w:rPr>
          <w:rStyle w:val="NormalTok"/>
        </w:rPr>
        <w:t xml:space="preserve">)</w:t>
      </w:r>
      <w:r>
        <w:br/>
      </w:r>
      <w:r>
        <w:rPr>
          <w:rStyle w:val="NormalTok"/>
        </w:rPr>
        <w:t xml:space="preserve">        h2 </w:t>
      </w:r>
      <w:r>
        <w:rPr>
          <w:rStyle w:val="OperatorTok"/>
        </w:rPr>
        <w:t xml:space="preserve">=</w:t>
      </w:r>
      <w:r>
        <w:rPr>
          <w:rStyle w:val="NormalTok"/>
        </w:rPr>
        <w:t xml:space="preserve"> </w:t>
      </w:r>
      <w:r>
        <w:rPr>
          <w:rStyle w:val="BuiltInTok"/>
        </w:rPr>
        <w:t xml:space="preserve">int</w:t>
      </w:r>
      <w:r>
        <w:rPr>
          <w:rStyle w:val="NormalTok"/>
        </w:rPr>
        <w:t xml:space="preserve">.from_bytes(digest[</w:t>
      </w:r>
      <w:r>
        <w:rPr>
          <w:rStyle w:val="DecValTok"/>
        </w:rPr>
        <w:t xml:space="preserve">8</w:t>
      </w:r>
      <w:r>
        <w:rPr>
          <w:rStyle w:val="NormalTok"/>
        </w:rPr>
        <w:t xml:space="preserve">:], </w:t>
      </w:r>
      <w:r>
        <w:rPr>
          <w:rStyle w:val="StringTok"/>
        </w:rPr>
        <w:t xml:space="preserve">"little"</w:t>
      </w:r>
      <w:r>
        <w:rPr>
          <w:rStyle w:val="NormalTok"/>
        </w:rPr>
        <w:t xml:space="preserve">)</w:t>
      </w:r>
      <w:r>
        <w:br/>
      </w:r>
      <w:r>
        <w:rPr>
          <w:rStyle w:val="NormalTok"/>
        </w:rPr>
        <w:t xml:space="preserve">        </w:t>
      </w:r>
      <w:r>
        <w:rPr>
          <w:rStyle w:val="ControlFlowTok"/>
        </w:rPr>
        <w:t xml:space="preserve">return</w:t>
      </w:r>
      <w:r>
        <w:rPr>
          <w:rStyle w:val="NormalTok"/>
        </w:rPr>
        <w:t xml:space="preserve"> [(h1 </w:t>
      </w:r>
      <w:r>
        <w:rPr>
          <w:rStyle w:val="OperatorTok"/>
        </w:rPr>
        <w:t xml:space="preserve">+</w:t>
      </w:r>
      <w:r>
        <w:rPr>
          <w:rStyle w:val="NormalTok"/>
        </w:rPr>
        <w:t xml:space="preserve"> r </w:t>
      </w:r>
      <w:r>
        <w:rPr>
          <w:rStyle w:val="OperatorTok"/>
        </w:rPr>
        <w:t xml:space="preserve">*</w:t>
      </w:r>
      <w:r>
        <w:rPr>
          <w:rStyle w:val="NormalTok"/>
        </w:rPr>
        <w:t xml:space="preserve"> h2) </w:t>
      </w:r>
      <w:r>
        <w:rPr>
          <w:rStyle w:val="OperatorTok"/>
        </w:rPr>
        <w:t xml:space="preserve">%</w:t>
      </w:r>
      <w:r>
        <w:rPr>
          <w:rStyle w:val="NormalTok"/>
        </w:rPr>
        <w:t xml:space="preserve"> </w:t>
      </w:r>
      <w:r>
        <w:rPr>
          <w:rStyle w:val="VariableTok"/>
        </w:rPr>
        <w:t xml:space="preserve">self</w:t>
      </w:r>
      <w:r>
        <w:rPr>
          <w:rStyle w:val="NormalTok"/>
        </w:rPr>
        <w:t xml:space="preserve">.w </w:t>
      </w:r>
      <w:r>
        <w:rPr>
          <w:rStyle w:val="ControlFlowTok"/>
        </w:rPr>
        <w:t xml:space="preserve">for</w:t>
      </w:r>
      <w:r>
        <w:rPr>
          <w:rStyle w:val="NormalTok"/>
        </w:rPr>
        <w:t xml:space="preserve"> r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.d)]</w:t>
      </w:r>
      <w:r>
        <w:br/>
      </w:r>
      <w:r>
        <w:br/>
      </w:r>
      <w:r>
        <w:rPr>
          <w:rStyle w:val="NormalTok"/>
        </w:rPr>
        <w:t xml:space="preserve">    </w:t>
      </w:r>
      <w:r>
        <w:rPr>
          <w:rStyle w:val="KeywordTok"/>
        </w:rPr>
        <w:t xml:space="preserve">def</w:t>
      </w:r>
      <w:r>
        <w:rPr>
          <w:rStyle w:val="NormalTok"/>
        </w:rPr>
        <w:t xml:space="preserve"> add(</w:t>
      </w:r>
      <w:r>
        <w:rPr>
          <w:rStyle w:val="VariableTok"/>
        </w:rPr>
        <w:t xml:space="preserve">self</w:t>
      </w:r>
      <w:r>
        <w:rPr>
          <w:rStyle w:val="NormalTok"/>
        </w:rPr>
        <w:t xml:space="preserve">, item: </w:t>
      </w:r>
      <w:r>
        <w:rPr>
          <w:rStyle w:val="BuiltInTok"/>
        </w:rPr>
        <w:t xml:space="preserve">str</w:t>
      </w:r>
      <w:r>
        <w:rPr>
          <w:rStyle w:val="NormalTok"/>
        </w:rPr>
        <w:t xml:space="preserve">, count: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.total </w:t>
      </w:r>
      <w:r>
        <w:rPr>
          <w:rStyle w:val="OperatorTok"/>
        </w:rPr>
        <w:t xml:space="preserve">+=</w:t>
      </w:r>
      <w:r>
        <w:rPr>
          <w:rStyle w:val="NormalTok"/>
        </w:rPr>
        <w:t xml:space="preserve"> count</w:t>
      </w:r>
      <w:r>
        <w:br/>
      </w:r>
      <w:r>
        <w:rPr>
          <w:rStyle w:val="NormalTok"/>
        </w:rPr>
        <w:t xml:space="preserve">        </w:t>
      </w:r>
      <w:r>
        <w:rPr>
          <w:rStyle w:val="ControlFlowTok"/>
        </w:rPr>
        <w:t xml:space="preserve">for</w:t>
      </w:r>
      <w:r>
        <w:rPr>
          <w:rStyle w:val="NormalTok"/>
        </w:rPr>
        <w:t xml:space="preserve"> row, col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VariableTok"/>
        </w:rPr>
        <w:t xml:space="preserve">self</w:t>
      </w:r>
      <w:r>
        <w:rPr>
          <w:rStyle w:val="NormalTok"/>
        </w:rPr>
        <w:t xml:space="preserve">._columns(item)):</w:t>
      </w:r>
      <w:r>
        <w:br/>
      </w:r>
      <w:r>
        <w:rPr>
          <w:rStyle w:val="NormalTok"/>
        </w:rPr>
        <w:t xml:space="preserve">            </w:t>
      </w:r>
      <w:r>
        <w:rPr>
          <w:rStyle w:val="VariableTok"/>
        </w:rPr>
        <w:t xml:space="preserve">self</w:t>
      </w:r>
      <w:r>
        <w:rPr>
          <w:rStyle w:val="NormalTok"/>
        </w:rPr>
        <w:t xml:space="preserve">.table[row][col] </w:t>
      </w:r>
      <w:r>
        <w:rPr>
          <w:rStyle w:val="OperatorTok"/>
        </w:rPr>
        <w:t xml:space="preserve">+=</w:t>
      </w:r>
      <w:r>
        <w:rPr>
          <w:rStyle w:val="NormalTok"/>
        </w:rPr>
        <w:t xml:space="preserve"> count</w:t>
      </w:r>
      <w:r>
        <w:br/>
      </w:r>
      <w:r>
        <w:br/>
      </w:r>
      <w:r>
        <w:rPr>
          <w:rStyle w:val="NormalTok"/>
        </w:rPr>
        <w:t xml:space="preserve">    </w:t>
      </w:r>
      <w:r>
        <w:rPr>
          <w:rStyle w:val="KeywordTok"/>
        </w:rPr>
        <w:t xml:space="preserve">def</w:t>
      </w:r>
      <w:r>
        <w:rPr>
          <w:rStyle w:val="NormalTok"/>
        </w:rPr>
        <w:t xml:space="preserve"> estimate(</w:t>
      </w:r>
      <w:r>
        <w:rPr>
          <w:rStyle w:val="VariableTok"/>
        </w:rPr>
        <w:t xml:space="preserve">self</w:t>
      </w:r>
      <w:r>
        <w:rPr>
          <w:rStyle w:val="NormalTok"/>
        </w:rPr>
        <w:t xml:space="preserve">, item: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min</w:t>
      </w:r>
      <w:r>
        <w:rPr>
          <w:rStyle w:val="NormalTok"/>
        </w:rPr>
        <w:t xml:space="preserve">(</w:t>
      </w:r>
      <w:r>
        <w:rPr>
          <w:rStyle w:val="VariableTok"/>
        </w:rPr>
        <w:t xml:space="preserve">self</w:t>
      </w:r>
      <w:r>
        <w:rPr>
          <w:rStyle w:val="NormalTok"/>
        </w:rPr>
        <w:t xml:space="preserve">.table[row][col] </w:t>
      </w:r>
      <w:r>
        <w:rPr>
          <w:rStyle w:val="ControlFlowTok"/>
        </w:rPr>
        <w:t xml:space="preserve">for</w:t>
      </w:r>
      <w:r>
        <w:rPr>
          <w:rStyle w:val="NormalTok"/>
        </w:rPr>
        <w:t xml:space="preserve"> row, col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VariableTok"/>
        </w:rPr>
        <w:t xml:space="preserve">self</w:t>
      </w:r>
      <w:r>
        <w:rPr>
          <w:rStyle w:val="NormalTok"/>
        </w:rPr>
        <w:t xml:space="preserve">._columns(item)))</w:t>
      </w:r>
      <w:r>
        <w:br/>
      </w:r>
      <w:r>
        <w:br/>
      </w:r>
      <w:r>
        <w:rPr>
          <w:rStyle w:val="KeywordTok"/>
        </w:rPr>
        <w:t xml:space="preserve">class</w:t>
      </w:r>
      <w:r>
        <w:rPr>
          <w:rStyle w:val="NormalTok"/>
        </w:rPr>
        <w:t xml:space="preserve"> TopK:</w:t>
      </w:r>
      <w:r>
        <w:br/>
      </w:r>
      <w:r>
        <w:rPr>
          <w:rStyle w:val="NormalTok"/>
        </w:rPr>
        <w:t xml:space="preserve">    </w:t>
      </w:r>
      <w:r>
        <w:rPr>
          <w:rStyle w:val="CommentTok"/>
        </w:rPr>
        <w:t xml:space="preserve">"""Heavy hitters: a Count-Min sketch plus a min-heap of the k largest estimates."""</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k: </w:t>
      </w:r>
      <w:r>
        <w:rPr>
          <w:rStyle w:val="BuiltInTok"/>
        </w:rPr>
        <w:t xml:space="preserve">int</w:t>
      </w:r>
      <w:r>
        <w:rPr>
          <w:rStyle w:val="NormalTok"/>
        </w:rPr>
        <w:t xml:space="preserve">, epsilon: </w:t>
      </w:r>
      <w:r>
        <w:rPr>
          <w:rStyle w:val="BuiltInTok"/>
        </w:rPr>
        <w:t xml:space="preserve">float</w:t>
      </w:r>
      <w:r>
        <w:rPr>
          <w:rStyle w:val="NormalTok"/>
        </w:rPr>
        <w:t xml:space="preserve">, delta: </w:t>
      </w:r>
      <w:r>
        <w:rPr>
          <w:rStyle w:val="BuiltInTok"/>
        </w:rPr>
        <w:t xml:space="preserve">float</w:t>
      </w:r>
      <w:r>
        <w:rPr>
          <w:rStyle w:val="NormalTok"/>
        </w:rPr>
        <w:t xml:space="preserve">):</w:t>
      </w:r>
      <w:r>
        <w:br/>
      </w:r>
      <w:r>
        <w:rPr>
          <w:rStyle w:val="NormalTok"/>
        </w:rPr>
        <w:t xml:space="preserve">        </w:t>
      </w:r>
      <w:r>
        <w:rPr>
          <w:rStyle w:val="VariableTok"/>
        </w:rPr>
        <w:t xml:space="preserve">self</w:t>
      </w:r>
      <w:r>
        <w:rPr>
          <w:rStyle w:val="NormalTok"/>
        </w:rPr>
        <w:t xml:space="preserve">.k, </w:t>
      </w:r>
      <w:r>
        <w:rPr>
          <w:rStyle w:val="VariableTok"/>
        </w:rPr>
        <w:t xml:space="preserve">self</w:t>
      </w:r>
      <w:r>
        <w:rPr>
          <w:rStyle w:val="NormalTok"/>
        </w:rPr>
        <w:t xml:space="preserve">.cms </w:t>
      </w:r>
      <w:r>
        <w:rPr>
          <w:rStyle w:val="OperatorTok"/>
        </w:rPr>
        <w:t xml:space="preserve">=</w:t>
      </w:r>
      <w:r>
        <w:rPr>
          <w:rStyle w:val="NormalTok"/>
        </w:rPr>
        <w:t xml:space="preserve"> k, CountMinSketch(epsilon, delta)</w:t>
      </w:r>
      <w:r>
        <w:br/>
      </w:r>
      <w:r>
        <w:rPr>
          <w:rStyle w:val="NormalTok"/>
        </w:rPr>
        <w:t xml:space="preserve">        </w:t>
      </w:r>
      <w:r>
        <w:rPr>
          <w:rStyle w:val="VariableTok"/>
        </w:rPr>
        <w:t xml:space="preserve">self</w:t>
      </w:r>
      <w:r>
        <w:rPr>
          <w:rStyle w:val="NormalTok"/>
        </w:rPr>
        <w:t xml:space="preserve">.heap, </w:t>
      </w:r>
      <w:r>
        <w:rPr>
          <w:rStyle w:val="VariableTok"/>
        </w:rPr>
        <w:t xml:space="preserve">self</w:t>
      </w:r>
      <w:r>
        <w:rPr>
          <w:rStyle w:val="NormalTok"/>
        </w:rPr>
        <w:t xml:space="preserve">.members </w:t>
      </w:r>
      <w:r>
        <w:rPr>
          <w:rStyle w:val="OperatorTok"/>
        </w:rPr>
        <w:t xml:space="preserve">=</w:t>
      </w:r>
      <w:r>
        <w:rPr>
          <w:rStyle w:val="NormalTok"/>
        </w:rPr>
        <w:t xml:space="preserve"> [], {}                   </w:t>
      </w:r>
      <w:r>
        <w:rPr>
          <w:rStyle w:val="CommentTok"/>
        </w:rPr>
        <w:t xml:space="preserve"># heap of (estimate, item)</w:t>
      </w:r>
      <w:r>
        <w:br/>
      </w:r>
      <w:r>
        <w:br/>
      </w:r>
      <w:r>
        <w:rPr>
          <w:rStyle w:val="NormalTok"/>
        </w:rPr>
        <w:t xml:space="preserve">    </w:t>
      </w:r>
      <w:r>
        <w:rPr>
          <w:rStyle w:val="KeywordTok"/>
        </w:rPr>
        <w:t xml:space="preserve">def</w:t>
      </w:r>
      <w:r>
        <w:rPr>
          <w:rStyle w:val="NormalTok"/>
        </w:rPr>
        <w:t xml:space="preserve"> add(</w:t>
      </w:r>
      <w:r>
        <w:rPr>
          <w:rStyle w:val="VariableTok"/>
        </w:rPr>
        <w:t xml:space="preserve">self</w:t>
      </w:r>
      <w:r>
        <w:rPr>
          <w:rStyle w:val="NormalTok"/>
        </w:rPr>
        <w:t xml:space="preserve">, item: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.cms.add(item)</w:t>
      </w:r>
      <w:r>
        <w:br/>
      </w:r>
      <w:r>
        <w:rPr>
          <w:rStyle w:val="NormalTok"/>
        </w:rPr>
        <w:t xml:space="preserve">        est </w:t>
      </w:r>
      <w:r>
        <w:rPr>
          <w:rStyle w:val="OperatorTok"/>
        </w:rPr>
        <w:t xml:space="preserve">=</w:t>
      </w:r>
      <w:r>
        <w:rPr>
          <w:rStyle w:val="NormalTok"/>
        </w:rPr>
        <w:t xml:space="preserve"> </w:t>
      </w:r>
      <w:r>
        <w:rPr>
          <w:rStyle w:val="VariableTok"/>
        </w:rPr>
        <w:t xml:space="preserve">self</w:t>
      </w:r>
      <w:r>
        <w:rPr>
          <w:rStyle w:val="NormalTok"/>
        </w:rPr>
        <w:t xml:space="preserve">.cms.estimate(item)</w:t>
      </w:r>
      <w:r>
        <w:br/>
      </w:r>
      <w:r>
        <w:rPr>
          <w:rStyle w:val="NormalTok"/>
        </w:rPr>
        <w:t xml:space="preserve">        </w:t>
      </w:r>
      <w:r>
        <w:rPr>
          <w:rStyle w:val="ControlFlowTok"/>
        </w:rPr>
        <w:t xml:space="preserve">if</w:t>
      </w:r>
      <w:r>
        <w:rPr>
          <w:rStyle w:val="NormalTok"/>
        </w:rPr>
        <w:t xml:space="preserve"> item </w:t>
      </w:r>
      <w:r>
        <w:rPr>
          <w:rStyle w:val="KeywordTok"/>
        </w:rPr>
        <w:t xml:space="preserve">in</w:t>
      </w:r>
      <w:r>
        <w:rPr>
          <w:rStyle w:val="NormalTok"/>
        </w:rPr>
        <w:t xml:space="preserve"> </w:t>
      </w:r>
      <w:r>
        <w:rPr>
          <w:rStyle w:val="VariableTok"/>
        </w:rPr>
        <w:t xml:space="preserve">self</w:t>
      </w:r>
      <w:r>
        <w:rPr>
          <w:rStyle w:val="NormalTok"/>
        </w:rPr>
        <w:t xml:space="preserve">.members:</w:t>
      </w:r>
      <w:r>
        <w:br/>
      </w:r>
      <w:r>
        <w:rPr>
          <w:rStyle w:val="NormalTok"/>
        </w:rPr>
        <w:t xml:space="preserve">            </w:t>
      </w:r>
      <w:r>
        <w:rPr>
          <w:rStyle w:val="VariableTok"/>
        </w:rPr>
        <w:t xml:space="preserve">self</w:t>
      </w:r>
      <w:r>
        <w:rPr>
          <w:rStyle w:val="NormalTok"/>
        </w:rPr>
        <w:t xml:space="preserve">.members[item] </w:t>
      </w:r>
      <w:r>
        <w:rPr>
          <w:rStyle w:val="OperatorTok"/>
        </w:rPr>
        <w:t xml:space="preserve">=</w:t>
      </w:r>
      <w:r>
        <w:rPr>
          <w:rStyle w:val="NormalTok"/>
        </w:rPr>
        <w:t xml:space="preserve"> est                       </w:t>
      </w:r>
      <w:r>
        <w:rPr>
          <w:rStyle w:val="CommentTok"/>
        </w:rPr>
        <w:t xml:space="preserve"># lazily refreshed below</w:t>
      </w:r>
      <w:r>
        <w:br/>
      </w:r>
      <w:r>
        <w:rPr>
          <w:rStyle w:val="NormalTok"/>
        </w:rPr>
        <w:t xml:space="preserve">        </w:t>
      </w:r>
      <w:r>
        <w:rPr>
          <w:rStyle w:val="ControlFlowTok"/>
        </w:rPr>
        <w:t xml:space="preserve">elif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.heap) </w:t>
      </w:r>
      <w:r>
        <w:rPr>
          <w:rStyle w:val="OperatorTok"/>
        </w:rPr>
        <w:t xml:space="preserve">&lt;</w:t>
      </w:r>
      <w:r>
        <w:rPr>
          <w:rStyle w:val="NormalTok"/>
        </w:rPr>
        <w:t xml:space="preserve"> </w:t>
      </w:r>
      <w:r>
        <w:rPr>
          <w:rStyle w:val="VariableTok"/>
        </w:rPr>
        <w:t xml:space="preserve">self</w:t>
      </w:r>
      <w:r>
        <w:rPr>
          <w:rStyle w:val="NormalTok"/>
        </w:rPr>
        <w:t xml:space="preserve">.k:</w:t>
      </w:r>
      <w:r>
        <w:br/>
      </w:r>
      <w:r>
        <w:rPr>
          <w:rStyle w:val="NormalTok"/>
        </w:rPr>
        <w:t xml:space="preserve">            </w:t>
      </w:r>
      <w:r>
        <w:rPr>
          <w:rStyle w:val="VariableTok"/>
        </w:rPr>
        <w:t xml:space="preserve">self</w:t>
      </w:r>
      <w:r>
        <w:rPr>
          <w:rStyle w:val="NormalTok"/>
        </w:rPr>
        <w:t xml:space="preserve">.members[item] </w:t>
      </w:r>
      <w:r>
        <w:rPr>
          <w:rStyle w:val="OperatorTok"/>
        </w:rPr>
        <w:t xml:space="preserve">=</w:t>
      </w:r>
      <w:r>
        <w:rPr>
          <w:rStyle w:val="NormalTok"/>
        </w:rPr>
        <w:t xml:space="preserve"> est</w:t>
      </w:r>
      <w:r>
        <w:br/>
      </w:r>
      <w:r>
        <w:rPr>
          <w:rStyle w:val="NormalTok"/>
        </w:rPr>
        <w:t xml:space="preserve">            heapq.heappush(</w:t>
      </w:r>
      <w:r>
        <w:rPr>
          <w:rStyle w:val="VariableTok"/>
        </w:rPr>
        <w:t xml:space="preserve">self</w:t>
      </w:r>
      <w:r>
        <w:rPr>
          <w:rStyle w:val="NormalTok"/>
        </w:rPr>
        <w:t xml:space="preserve">.heap, (est, item))</w:t>
      </w:r>
      <w:r>
        <w:br/>
      </w:r>
      <w:r>
        <w:rPr>
          <w:rStyle w:val="NormalTok"/>
        </w:rPr>
        <w:t xml:space="preserve">        </w:t>
      </w:r>
      <w:r>
        <w:rPr>
          <w:rStyle w:val="ControlFlowTok"/>
        </w:rPr>
        <w:t xml:space="preserve">elif</w:t>
      </w:r>
      <w:r>
        <w:rPr>
          <w:rStyle w:val="NormalTok"/>
        </w:rPr>
        <w:t xml:space="preserve"> est </w:t>
      </w:r>
      <w:r>
        <w:rPr>
          <w:rStyle w:val="OperatorTok"/>
        </w:rPr>
        <w:t xml:space="preserve">&gt;</w:t>
      </w:r>
      <w:r>
        <w:rPr>
          <w:rStyle w:val="NormalTok"/>
        </w:rPr>
        <w:t xml:space="preserve"> </w:t>
      </w:r>
      <w:r>
        <w:rPr>
          <w:rStyle w:val="VariableTok"/>
        </w:rPr>
        <w:t xml:space="preserve">self</w:t>
      </w:r>
      <w:r>
        <w:rPr>
          <w:rStyle w:val="NormalTok"/>
        </w:rPr>
        <w:t xml:space="preserve">.heap[</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            </w:t>
      </w:r>
      <w:r>
        <w:rPr>
          <w:rStyle w:val="CommentTok"/>
        </w:rPr>
        <w:t xml:space="preserve"># refresh stale heap entries before deciding whom to evict</w:t>
      </w:r>
      <w:r>
        <w:br/>
      </w:r>
      <w:r>
        <w:rPr>
          <w:rStyle w:val="NormalTok"/>
        </w:rPr>
        <w:t xml:space="preserve">            </w:t>
      </w:r>
      <w:r>
        <w:rPr>
          <w:rStyle w:val="VariableTok"/>
        </w:rPr>
        <w:t xml:space="preserve">self</w:t>
      </w:r>
      <w:r>
        <w:rPr>
          <w:rStyle w:val="NormalTok"/>
        </w:rPr>
        <w:t xml:space="preserve">.heap </w:t>
      </w:r>
      <w:r>
        <w:rPr>
          <w:rStyle w:val="OperatorTok"/>
        </w:rPr>
        <w:t xml:space="preserve">=</w:t>
      </w:r>
      <w:r>
        <w:rPr>
          <w:rStyle w:val="NormalTok"/>
        </w:rPr>
        <w:t xml:space="preserve"> [(</w:t>
      </w:r>
      <w:r>
        <w:rPr>
          <w:rStyle w:val="VariableTok"/>
        </w:rPr>
        <w:t xml:space="preserve">self</w:t>
      </w:r>
      <w:r>
        <w:rPr>
          <w:rStyle w:val="NormalTok"/>
        </w:rPr>
        <w:t xml:space="preserve">.members[i], i) </w:t>
      </w:r>
      <w:r>
        <w:rPr>
          <w:rStyle w:val="ControlFlowTok"/>
        </w:rPr>
        <w:t xml:space="preserve">for</w:t>
      </w:r>
      <w:r>
        <w:rPr>
          <w:rStyle w:val="NormalTok"/>
        </w:rPr>
        <w:t xml:space="preserve"> _, i </w:t>
      </w:r>
      <w:r>
        <w:rPr>
          <w:rStyle w:val="KeywordTok"/>
        </w:rPr>
        <w:t xml:space="preserve">in</w:t>
      </w:r>
      <w:r>
        <w:rPr>
          <w:rStyle w:val="NormalTok"/>
        </w:rPr>
        <w:t xml:space="preserve"> </w:t>
      </w:r>
      <w:r>
        <w:rPr>
          <w:rStyle w:val="VariableTok"/>
        </w:rPr>
        <w:t xml:space="preserve">self</w:t>
      </w:r>
      <w:r>
        <w:rPr>
          <w:rStyle w:val="NormalTok"/>
        </w:rPr>
        <w:t xml:space="preserve">.heap]</w:t>
      </w:r>
      <w:r>
        <w:br/>
      </w:r>
      <w:r>
        <w:rPr>
          <w:rStyle w:val="NormalTok"/>
        </w:rPr>
        <w:t xml:space="preserve">            heapq.heapify(</w:t>
      </w:r>
      <w:r>
        <w:rPr>
          <w:rStyle w:val="VariableTok"/>
        </w:rPr>
        <w:t xml:space="preserve">self</w:t>
      </w:r>
      <w:r>
        <w:rPr>
          <w:rStyle w:val="NormalTok"/>
        </w:rPr>
        <w:t xml:space="preserve">.heap)</w:t>
      </w:r>
      <w:r>
        <w:br/>
      </w:r>
      <w:r>
        <w:rPr>
          <w:rStyle w:val="NormalTok"/>
        </w:rPr>
        <w:t xml:space="preserve">            </w:t>
      </w:r>
      <w:r>
        <w:rPr>
          <w:rStyle w:val="ControlFlowTok"/>
        </w:rPr>
        <w:t xml:space="preserve">if</w:t>
      </w:r>
      <w:r>
        <w:rPr>
          <w:rStyle w:val="NormalTok"/>
        </w:rPr>
        <w:t xml:space="preserve"> est </w:t>
      </w:r>
      <w:r>
        <w:rPr>
          <w:rStyle w:val="OperatorTok"/>
        </w:rPr>
        <w:t xml:space="preserve">&gt;</w:t>
      </w:r>
      <w:r>
        <w:rPr>
          <w:rStyle w:val="NormalTok"/>
        </w:rPr>
        <w:t xml:space="preserve"> </w:t>
      </w:r>
      <w:r>
        <w:rPr>
          <w:rStyle w:val="VariableTok"/>
        </w:rPr>
        <w:t xml:space="preserve">self</w:t>
      </w:r>
      <w:r>
        <w:rPr>
          <w:rStyle w:val="NormalTok"/>
        </w:rPr>
        <w:t xml:space="preserve">.heap[</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                _, evicted </w:t>
      </w:r>
      <w:r>
        <w:rPr>
          <w:rStyle w:val="OperatorTok"/>
        </w:rPr>
        <w:t xml:space="preserve">=</w:t>
      </w:r>
      <w:r>
        <w:rPr>
          <w:rStyle w:val="NormalTok"/>
        </w:rPr>
        <w:t xml:space="preserve"> heapq.heapreplace(</w:t>
      </w:r>
      <w:r>
        <w:rPr>
          <w:rStyle w:val="VariableTok"/>
        </w:rPr>
        <w:t xml:space="preserve">self</w:t>
      </w:r>
      <w:r>
        <w:rPr>
          <w:rStyle w:val="NormalTok"/>
        </w:rPr>
        <w:t xml:space="preserve">.heap, (est, item))</w:t>
      </w:r>
      <w:r>
        <w:br/>
      </w:r>
      <w:r>
        <w:rPr>
          <w:rStyle w:val="NormalTok"/>
        </w:rPr>
        <w:t xml:space="preserve">                </w:t>
      </w:r>
      <w:r>
        <w:rPr>
          <w:rStyle w:val="KeywordTok"/>
        </w:rPr>
        <w:t xml:space="preserve">del</w:t>
      </w:r>
      <w:r>
        <w:rPr>
          <w:rStyle w:val="NormalTok"/>
        </w:rPr>
        <w:t xml:space="preserve"> </w:t>
      </w:r>
      <w:r>
        <w:rPr>
          <w:rStyle w:val="VariableTok"/>
        </w:rPr>
        <w:t xml:space="preserve">self</w:t>
      </w:r>
      <w:r>
        <w:rPr>
          <w:rStyle w:val="NormalTok"/>
        </w:rPr>
        <w:t xml:space="preserve">.members[evicted]</w:t>
      </w:r>
      <w:r>
        <w:br/>
      </w:r>
      <w:r>
        <w:rPr>
          <w:rStyle w:val="NormalTok"/>
        </w:rPr>
        <w:t xml:space="preserve">                </w:t>
      </w:r>
      <w:r>
        <w:rPr>
          <w:rStyle w:val="VariableTok"/>
        </w:rPr>
        <w:t xml:space="preserve">self</w:t>
      </w:r>
      <w:r>
        <w:rPr>
          <w:rStyle w:val="NormalTok"/>
        </w:rPr>
        <w:t xml:space="preserve">.members[item] </w:t>
      </w:r>
      <w:r>
        <w:rPr>
          <w:rStyle w:val="OperatorTok"/>
        </w:rPr>
        <w:t xml:space="preserve">=</w:t>
      </w:r>
      <w:r>
        <w:rPr>
          <w:rStyle w:val="NormalTok"/>
        </w:rPr>
        <w:t xml:space="preserve"> est</w:t>
      </w:r>
      <w:r>
        <w:br/>
      </w:r>
      <w:r>
        <w:br/>
      </w:r>
      <w:r>
        <w:rPr>
          <w:rStyle w:val="NormalTok"/>
        </w:rPr>
        <w:t xml:space="preserve">    </w:t>
      </w:r>
      <w:r>
        <w:rPr>
          <w:rStyle w:val="KeywordTok"/>
        </w:rPr>
        <w:t xml:space="preserve">def</w:t>
      </w:r>
      <w:r>
        <w:rPr>
          <w:rStyle w:val="NormalTok"/>
        </w:rPr>
        <w:t xml:space="preserve"> top(</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sorted</w:t>
      </w:r>
      <w:r>
        <w:rPr>
          <w:rStyle w:val="NormalTok"/>
        </w:rPr>
        <w:t xml:space="preserve">(((c, i) </w:t>
      </w:r>
      <w:r>
        <w:rPr>
          <w:rStyle w:val="ControlFlowTok"/>
        </w:rPr>
        <w:t xml:space="preserve">for</w:t>
      </w:r>
      <w:r>
        <w:rPr>
          <w:rStyle w:val="NormalTok"/>
        </w:rPr>
        <w:t xml:space="preserve"> i, c </w:t>
      </w:r>
      <w:r>
        <w:rPr>
          <w:rStyle w:val="KeywordTok"/>
        </w:rPr>
        <w:t xml:space="preserve">in</w:t>
      </w:r>
      <w:r>
        <w:rPr>
          <w:rStyle w:val="NormalTok"/>
        </w:rPr>
        <w:t xml:space="preserve"> </w:t>
      </w:r>
      <w:r>
        <w:rPr>
          <w:rStyle w:val="VariableTok"/>
        </w:rPr>
        <w:t xml:space="preserve">self</w:t>
      </w:r>
      <w:r>
        <w:rPr>
          <w:rStyle w:val="NormalTok"/>
        </w:rPr>
        <w:t xml:space="preserve">.members.items()), reverse</w:t>
      </w:r>
      <w:r>
        <w:rPr>
          <w:rStyle w:val="OperatorTok"/>
        </w:rPr>
        <w:t xml:space="preserve">=</w:t>
      </w:r>
      <w:r>
        <w:rPr>
          <w:rStyle w:val="VariableTok"/>
        </w:rPr>
        <w:t xml:space="preserve">True</w:t>
      </w:r>
      <w:r>
        <w:rPr>
          <w:rStyle w:val="NormalTok"/>
        </w:rPr>
        <w:t xml:space="preserve">)</w:t>
      </w:r>
      <w:r>
        <w:br/>
      </w:r>
      <w:r>
        <w:br/>
      </w:r>
      <w:r>
        <w:rPr>
          <w:rStyle w:val="KeywordTok"/>
        </w:rPr>
        <w:t xml:space="preserve">def</w:t>
      </w:r>
      <w:r>
        <w:rPr>
          <w:rStyle w:val="NormalTok"/>
        </w:rPr>
        <w:t xml:space="preserve"> space_saving(stream, k):</w:t>
      </w:r>
      <w:r>
        <w:br/>
      </w:r>
      <w:r>
        <w:rPr>
          <w:rStyle w:val="NormalTok"/>
        </w:rPr>
        <w:t xml:space="preserve">    </w:t>
      </w:r>
      <w:r>
        <w:rPr>
          <w:rStyle w:val="CommentTok"/>
        </w:rPr>
        <w:t xml:space="preserve">"""Metwally et al. 2005: k counters; the newcomer replaces the minimum and inherits its count."""</w:t>
      </w:r>
      <w:r>
        <w:br/>
      </w:r>
      <w:r>
        <w:rPr>
          <w:rStyle w:val="NormalTok"/>
        </w:rPr>
        <w:t xml:space="preserve">    counters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item </w:t>
      </w:r>
      <w:r>
        <w:rPr>
          <w:rStyle w:val="KeywordTok"/>
        </w:rPr>
        <w:t xml:space="preserve">in</w:t>
      </w:r>
      <w:r>
        <w:rPr>
          <w:rStyle w:val="NormalTok"/>
        </w:rPr>
        <w:t xml:space="preserve"> stream:</w:t>
      </w:r>
      <w:r>
        <w:br/>
      </w:r>
      <w:r>
        <w:rPr>
          <w:rStyle w:val="NormalTok"/>
        </w:rPr>
        <w:t xml:space="preserve">        </w:t>
      </w:r>
      <w:r>
        <w:rPr>
          <w:rStyle w:val="ControlFlowTok"/>
        </w:rPr>
        <w:t xml:space="preserve">if</w:t>
      </w:r>
      <w:r>
        <w:rPr>
          <w:rStyle w:val="NormalTok"/>
        </w:rPr>
        <w:t xml:space="preserve"> item </w:t>
      </w:r>
      <w:r>
        <w:rPr>
          <w:rStyle w:val="KeywordTok"/>
        </w:rPr>
        <w:t xml:space="preserve">in</w:t>
      </w:r>
      <w:r>
        <w:rPr>
          <w:rStyle w:val="NormalTok"/>
        </w:rPr>
        <w:t xml:space="preserve"> counters:</w:t>
      </w:r>
      <w:r>
        <w:br/>
      </w:r>
      <w:r>
        <w:rPr>
          <w:rStyle w:val="NormalTok"/>
        </w:rPr>
        <w:t xml:space="preserve">            counters[item]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elif</w:t>
      </w:r>
      <w:r>
        <w:rPr>
          <w:rStyle w:val="NormalTok"/>
        </w:rPr>
        <w:t xml:space="preserve"> </w:t>
      </w:r>
      <w:r>
        <w:rPr>
          <w:rStyle w:val="BuiltInTok"/>
        </w:rPr>
        <w:t xml:space="preserve">len</w:t>
      </w:r>
      <w:r>
        <w:rPr>
          <w:rStyle w:val="NormalTok"/>
        </w:rPr>
        <w:t xml:space="preserve">(counters) </w:t>
      </w:r>
      <w:r>
        <w:rPr>
          <w:rStyle w:val="OperatorTok"/>
        </w:rPr>
        <w:t xml:space="preserve">&lt;</w:t>
      </w:r>
      <w:r>
        <w:rPr>
          <w:rStyle w:val="NormalTok"/>
        </w:rPr>
        <w:t xml:space="preserve"> k:</w:t>
      </w:r>
      <w:r>
        <w:br/>
      </w:r>
      <w:r>
        <w:rPr>
          <w:rStyle w:val="NormalTok"/>
        </w:rPr>
        <w:t xml:space="preserve">            counters[item]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else</w:t>
      </w:r>
      <w:r>
        <w:rPr>
          <w:rStyle w:val="NormalTok"/>
        </w:rPr>
        <w:t xml:space="preserve">:</w:t>
      </w:r>
      <w:r>
        <w:br/>
      </w:r>
      <w:r>
        <w:rPr>
          <w:rStyle w:val="NormalTok"/>
        </w:rPr>
        <w:t xml:space="preserve">            victim </w:t>
      </w:r>
      <w:r>
        <w:rPr>
          <w:rStyle w:val="OperatorTok"/>
        </w:rPr>
        <w:t xml:space="preserve">=</w:t>
      </w:r>
      <w:r>
        <w:rPr>
          <w:rStyle w:val="NormalTok"/>
        </w:rPr>
        <w:t xml:space="preserve"> </w:t>
      </w:r>
      <w:r>
        <w:rPr>
          <w:rStyle w:val="BuiltInTok"/>
        </w:rPr>
        <w:t xml:space="preserve">min</w:t>
      </w:r>
      <w:r>
        <w:rPr>
          <w:rStyle w:val="NormalTok"/>
        </w:rPr>
        <w:t xml:space="preserve">(counters, key</w:t>
      </w:r>
      <w:r>
        <w:rPr>
          <w:rStyle w:val="OperatorTok"/>
        </w:rPr>
        <w:t xml:space="preserve">=</w:t>
      </w:r>
      <w:r>
        <w:rPr>
          <w:rStyle w:val="NormalTok"/>
        </w:rPr>
        <w:t xml:space="preserve">counters.get)      </w:t>
      </w:r>
      <w:r>
        <w:rPr>
          <w:rStyle w:val="CommentTok"/>
        </w:rPr>
        <w:t xml:space="preserve"># O(k); production uses a stream-summary list</w:t>
      </w:r>
      <w:r>
        <w:br/>
      </w:r>
      <w:r>
        <w:rPr>
          <w:rStyle w:val="NormalTok"/>
        </w:rPr>
        <w:t xml:space="preserve">            counters[item] </w:t>
      </w:r>
      <w:r>
        <w:rPr>
          <w:rStyle w:val="OperatorTok"/>
        </w:rPr>
        <w:t xml:space="preserve">=</w:t>
      </w:r>
      <w:r>
        <w:rPr>
          <w:rStyle w:val="NormalTok"/>
        </w:rPr>
        <w:t xml:space="preserve"> counters.pop(victim)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w:t>
      </w:r>
      <w:r>
        <w:rPr>
          <w:rStyle w:val="BuiltInTok"/>
        </w:rPr>
        <w:t xml:space="preserve">sorted</w:t>
      </w:r>
      <w:r>
        <w:rPr>
          <w:rStyle w:val="NormalTok"/>
        </w:rPr>
        <w:t xml:space="preserve">(((c, i) </w:t>
      </w:r>
      <w:r>
        <w:rPr>
          <w:rStyle w:val="ControlFlowTok"/>
        </w:rPr>
        <w:t xml:space="preserve">for</w:t>
      </w:r>
      <w:r>
        <w:rPr>
          <w:rStyle w:val="NormalTok"/>
        </w:rPr>
        <w:t xml:space="preserve"> i, c </w:t>
      </w:r>
      <w:r>
        <w:rPr>
          <w:rStyle w:val="KeywordTok"/>
        </w:rPr>
        <w:t xml:space="preserve">in</w:t>
      </w:r>
      <w:r>
        <w:rPr>
          <w:rStyle w:val="NormalTok"/>
        </w:rPr>
        <w:t xml:space="preserve"> counters.items()), reverse</w:t>
      </w:r>
      <w:r>
        <w:rPr>
          <w:rStyle w:val="OperatorTok"/>
        </w:rPr>
        <w:t xml:space="preserve">=</w:t>
      </w:r>
      <w:r>
        <w:rPr>
          <w:rStyle w:val="VariableTok"/>
        </w:rPr>
        <w:t xml:space="preserve">True</w:t>
      </w:r>
      <w:r>
        <w:rPr>
          <w:rStyle w:val="NormalTok"/>
        </w:rPr>
        <w:t xml:space="preserve">)</w:t>
      </w:r>
      <w:r>
        <w:br/>
      </w:r>
      <w:r>
        <w:br/>
      </w:r>
      <w:r>
        <w:rPr>
          <w:rStyle w:val="CommentTok"/>
        </w:rPr>
        <w:t xml:space="preserve"># A Zipf-like stream: 1,000,000 events over 100,000 distinct URLs (exponent 1.1)</w:t>
      </w:r>
      <w:r>
        <w:br/>
      </w:r>
      <w:r>
        <w:rPr>
          <w:rStyle w:val="NormalTok"/>
        </w:rPr>
        <w:t xml:space="preserve">rng </w:t>
      </w:r>
      <w:r>
        <w:rPr>
          <w:rStyle w:val="OperatorTok"/>
        </w:rPr>
        <w:t xml:space="preserve">=</w:t>
      </w:r>
      <w:r>
        <w:rPr>
          <w:rStyle w:val="NormalTok"/>
        </w:rPr>
        <w:t xml:space="preserve"> random.Random(</w:t>
      </w:r>
      <w:r>
        <w:rPr>
          <w:rStyle w:val="DecValTok"/>
        </w:rPr>
        <w:t xml:space="preserve">1</w:t>
      </w:r>
      <w:r>
        <w:rPr>
          <w:rStyle w:val="NormalTok"/>
        </w:rPr>
        <w:t xml:space="preserve">)</w:t>
      </w:r>
      <w:r>
        <w:br/>
      </w:r>
      <w:r>
        <w:rPr>
          <w:rStyle w:val="NormalTok"/>
        </w:rPr>
        <w:t xml:space="preserve">universe </w:t>
      </w:r>
      <w:r>
        <w:rPr>
          <w:rStyle w:val="OperatorTok"/>
        </w:rPr>
        <w:t xml:space="preserve">=</w:t>
      </w:r>
      <w:r>
        <w:rPr>
          <w:rStyle w:val="NormalTok"/>
        </w:rPr>
        <w:t xml:space="preserve"> </w:t>
      </w:r>
      <w:r>
        <w:rPr>
          <w:rStyle w:val="DecValTok"/>
        </w:rPr>
        <w:t xml:space="preserve">100_000</w:t>
      </w:r>
      <w:r>
        <w:br/>
      </w:r>
      <w:r>
        <w:rPr>
          <w:rStyle w:val="NormalTok"/>
        </w:rPr>
        <w:t xml:space="preserve">weights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(r </w:t>
      </w:r>
      <w:r>
        <w:rPr>
          <w:rStyle w:val="OperatorTok"/>
        </w:rPr>
        <w:t xml:space="preserve">**</w:t>
      </w:r>
      <w:r>
        <w:rPr>
          <w:rStyle w:val="NormalTok"/>
        </w:rPr>
        <w:t xml:space="preserve"> </w:t>
      </w:r>
      <w:r>
        <w:rPr>
          <w:rStyle w:val="FloatTok"/>
        </w:rPr>
        <w:t xml:space="preserve">1.1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universe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stream </w:t>
      </w:r>
      <w:r>
        <w:rPr>
          <w:rStyle w:val="OperatorTok"/>
        </w:rPr>
        <w:t xml:space="preserve">=</w:t>
      </w:r>
      <w:r>
        <w:rPr>
          <w:rStyle w:val="NormalTok"/>
        </w:rPr>
        <w:t xml:space="preserve"> [</w:t>
      </w:r>
      <w:r>
        <w:rPr>
          <w:rStyle w:val="SpecialStringTok"/>
        </w:rPr>
        <w:t xml:space="preserve">f"/page/</w:t>
      </w:r>
      <w:r>
        <w:rPr>
          <w:rStyle w:val="SpecialCharTok"/>
        </w:rPr>
        <w:t xml:space="preserve">{</w:t>
      </w:r>
      <w:r>
        <w:rPr>
          <w:rStyle w:val="NormalTok"/>
        </w:rPr>
        <w:t xml:space="preserve">r</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rng.choices(</w:t>
      </w:r>
      <w:r>
        <w:rPr>
          <w:rStyle w:val="BuiltInTok"/>
        </w:rPr>
        <w:t xml:space="preserve">range</w:t>
      </w:r>
      <w:r>
        <w:rPr>
          <w:rStyle w:val="NormalTok"/>
        </w:rPr>
        <w:t xml:space="preserve">(</w:t>
      </w:r>
      <w:r>
        <w:rPr>
          <w:rStyle w:val="DecValTok"/>
        </w:rPr>
        <w:t xml:space="preserve">1</w:t>
      </w:r>
      <w:r>
        <w:rPr>
          <w:rStyle w:val="NormalTok"/>
        </w:rPr>
        <w:t xml:space="preserve">, universe </w:t>
      </w:r>
      <w:r>
        <w:rPr>
          <w:rStyle w:val="OperatorTok"/>
        </w:rPr>
        <w:t xml:space="preserve">+</w:t>
      </w:r>
      <w:r>
        <w:rPr>
          <w:rStyle w:val="NormalTok"/>
        </w:rPr>
        <w:t xml:space="preserve"> </w:t>
      </w:r>
      <w:r>
        <w:rPr>
          <w:rStyle w:val="DecValTok"/>
        </w:rPr>
        <w:t xml:space="preserve">1</w:t>
      </w:r>
      <w:r>
        <w:rPr>
          <w:rStyle w:val="NormalTok"/>
        </w:rPr>
        <w:t xml:space="preserve">), weights</w:t>
      </w:r>
      <w:r>
        <w:rPr>
          <w:rStyle w:val="OperatorTok"/>
        </w:rPr>
        <w:t xml:space="preserve">=</w:t>
      </w:r>
      <w:r>
        <w:rPr>
          <w:rStyle w:val="NormalTok"/>
        </w:rPr>
        <w:t xml:space="preserve">weights, k</w:t>
      </w:r>
      <w:r>
        <w:rPr>
          <w:rStyle w:val="OperatorTok"/>
        </w:rPr>
        <w:t xml:space="preserve">=</w:t>
      </w:r>
      <w:r>
        <w:rPr>
          <w:rStyle w:val="DecValTok"/>
        </w:rPr>
        <w:t xml:space="preserve">1_000_000</w:t>
      </w:r>
      <w:r>
        <w:rPr>
          <w:rStyle w:val="NormalTok"/>
        </w:rPr>
        <w:t xml:space="preserve">)]</w:t>
      </w:r>
      <w:r>
        <w:br/>
      </w:r>
      <w:r>
        <w:rPr>
          <w:rStyle w:val="NormalTok"/>
        </w:rPr>
        <w:t xml:space="preserve">truth </w:t>
      </w:r>
      <w:r>
        <w:rPr>
          <w:rStyle w:val="OperatorTok"/>
        </w:rPr>
        <w:t xml:space="preserve">=</w:t>
      </w:r>
      <w:r>
        <w:rPr>
          <w:rStyle w:val="NormalTok"/>
        </w:rPr>
        <w:t xml:space="preserve"> Counter(stream)</w:t>
      </w:r>
      <w:r>
        <w:br/>
      </w:r>
      <w:r>
        <w:br/>
      </w:r>
      <w:r>
        <w:rPr>
          <w:rStyle w:val="NormalTok"/>
        </w:rPr>
        <w:t xml:space="preserve">eps, delta </w:t>
      </w:r>
      <w:r>
        <w:rPr>
          <w:rStyle w:val="OperatorTok"/>
        </w:rPr>
        <w:t xml:space="preserve">=</w:t>
      </w:r>
      <w:r>
        <w:rPr>
          <w:rStyle w:val="NormalTok"/>
        </w:rPr>
        <w:t xml:space="preserve"> </w:t>
      </w:r>
      <w:r>
        <w:rPr>
          <w:rStyle w:val="FloatTok"/>
        </w:rPr>
        <w:t xml:space="preserve">0.001</w:t>
      </w:r>
      <w:r>
        <w:rPr>
          <w:rStyle w:val="NormalTok"/>
        </w:rPr>
        <w:t xml:space="preserve">, </w:t>
      </w:r>
      <w:r>
        <w:rPr>
          <w:rStyle w:val="FloatTok"/>
        </w:rPr>
        <w:t xml:space="preserve">0.01</w:t>
      </w:r>
      <w:r>
        <w:br/>
      </w:r>
      <w:r>
        <w:rPr>
          <w:rStyle w:val="NormalTok"/>
        </w:rPr>
        <w:t xml:space="preserve">cms </w:t>
      </w:r>
      <w:r>
        <w:rPr>
          <w:rStyle w:val="OperatorTok"/>
        </w:rPr>
        <w:t xml:space="preserve">=</w:t>
      </w:r>
      <w:r>
        <w:rPr>
          <w:rStyle w:val="NormalTok"/>
        </w:rPr>
        <w:t xml:space="preserve"> CountMinSketch(eps, delta)</w:t>
      </w:r>
      <w:r>
        <w:br/>
      </w:r>
      <w:r>
        <w:rPr>
          <w:rStyle w:val="ControlFlowTok"/>
        </w:rPr>
        <w:t xml:space="preserve">for</w:t>
      </w:r>
      <w:r>
        <w:rPr>
          <w:rStyle w:val="NormalTok"/>
        </w:rPr>
        <w:t xml:space="preserve"> item </w:t>
      </w:r>
      <w:r>
        <w:rPr>
          <w:rStyle w:val="KeywordTok"/>
        </w:rPr>
        <w:t xml:space="preserve">in</w:t>
      </w:r>
      <w:r>
        <w:rPr>
          <w:rStyle w:val="NormalTok"/>
        </w:rPr>
        <w:t xml:space="preserve"> stream:</w:t>
      </w:r>
      <w:r>
        <w:br/>
      </w:r>
      <w:r>
        <w:rPr>
          <w:rStyle w:val="NormalTok"/>
        </w:rPr>
        <w:t xml:space="preserve">    cms.add(item)</w:t>
      </w:r>
      <w:r>
        <w:br/>
      </w:r>
      <w:r>
        <w:rPr>
          <w:rStyle w:val="NormalTok"/>
        </w:rPr>
        <w:t xml:space="preserve">N </w:t>
      </w:r>
      <w:r>
        <w:rPr>
          <w:rStyle w:val="OperatorTok"/>
        </w:rPr>
        <w:t xml:space="preserve">=</w:t>
      </w:r>
      <w:r>
        <w:rPr>
          <w:rStyle w:val="NormalTok"/>
        </w:rPr>
        <w:t xml:space="preserve"> cms.total</w:t>
      </w:r>
      <w:r>
        <w:br/>
      </w:r>
      <w:r>
        <w:rPr>
          <w:rStyle w:val="NormalTok"/>
        </w:rPr>
        <w:t xml:space="preserve">errors </w:t>
      </w:r>
      <w:r>
        <w:rPr>
          <w:rStyle w:val="OperatorTok"/>
        </w:rPr>
        <w:t xml:space="preserve">=</w:t>
      </w:r>
      <w:r>
        <w:rPr>
          <w:rStyle w:val="NormalTok"/>
        </w:rPr>
        <w:t xml:space="preserve"> [cms.estimate(x) </w:t>
      </w:r>
      <w:r>
        <w:rPr>
          <w:rStyle w:val="OperatorTok"/>
        </w:rPr>
        <w:t xml:space="preserve">-</w:t>
      </w:r>
      <w:r>
        <w:rPr>
          <w:rStyle w:val="NormalTok"/>
        </w:rPr>
        <w:t xml:space="preserve"> c </w:t>
      </w:r>
      <w:r>
        <w:rPr>
          <w:rStyle w:val="ControlFlowTok"/>
        </w:rPr>
        <w:t xml:space="preserve">for</w:t>
      </w:r>
      <w:r>
        <w:rPr>
          <w:rStyle w:val="NormalTok"/>
        </w:rPr>
        <w:t xml:space="preserve"> x, c </w:t>
      </w:r>
      <w:r>
        <w:rPr>
          <w:rStyle w:val="KeywordTok"/>
        </w:rPr>
        <w:t xml:space="preserve">in</w:t>
      </w:r>
      <w:r>
        <w:rPr>
          <w:rStyle w:val="NormalTok"/>
        </w:rPr>
        <w:t xml:space="preserve"> truth.items()]</w:t>
      </w:r>
      <w:r>
        <w:br/>
      </w:r>
      <w:r>
        <w:rPr>
          <w:rStyle w:val="ControlFlowTok"/>
        </w:rPr>
        <w:t xml:space="preserve">assert</w:t>
      </w:r>
      <w:r>
        <w:rPr>
          <w:rStyle w:val="NormalTok"/>
        </w:rPr>
        <w:t xml:space="preserve"> </w:t>
      </w:r>
      <w:r>
        <w:rPr>
          <w:rStyle w:val="BuiltInTok"/>
        </w:rPr>
        <w:t xml:space="preserve">min</w:t>
      </w:r>
      <w:r>
        <w:rPr>
          <w:rStyle w:val="NormalTok"/>
        </w:rPr>
        <w:t xml:space="preserve">(errors) </w:t>
      </w:r>
      <w:r>
        <w:rPr>
          <w:rStyle w:val="OperatorTok"/>
        </w:rPr>
        <w:t xml:space="preserve">&gt;=</w:t>
      </w:r>
      <w:r>
        <w:rPr>
          <w:rStyle w:val="NormalTok"/>
        </w:rPr>
        <w:t xml:space="preserve"> </w:t>
      </w:r>
      <w:r>
        <w:rPr>
          <w:rStyle w:val="DecValTok"/>
        </w:rPr>
        <w:t xml:space="preserve">0</w:t>
      </w:r>
      <w:r>
        <w:rPr>
          <w:rStyle w:val="NormalTok"/>
        </w:rPr>
        <w:t xml:space="preserve">                                     </w:t>
      </w:r>
      <w:r>
        <w:rPr>
          <w:rStyle w:val="CommentTok"/>
        </w:rPr>
        <w:t xml:space="preserve"># never underestimates</w:t>
      </w:r>
      <w:r>
        <w:br/>
      </w:r>
      <w:r>
        <w:rPr>
          <w:rStyle w:val="BuiltInTok"/>
        </w:rPr>
        <w:t xml:space="preserve">print</w:t>
      </w:r>
      <w:r>
        <w:rPr>
          <w:rStyle w:val="NormalTok"/>
        </w:rPr>
        <w:t xml:space="preserve">(</w:t>
      </w:r>
      <w:r>
        <w:rPr>
          <w:rStyle w:val="SpecialStringTok"/>
        </w:rPr>
        <w:t xml:space="preserve">f"w = </w:t>
      </w:r>
      <w:r>
        <w:rPr>
          <w:rStyle w:val="SpecialCharTok"/>
        </w:rPr>
        <w:t xml:space="preserve">{</w:t>
      </w:r>
      <w:r>
        <w:rPr>
          <w:rStyle w:val="NormalTok"/>
        </w:rPr>
        <w:t xml:space="preserve">cms</w:t>
      </w:r>
      <w:r>
        <w:rPr>
          <w:rStyle w:val="SpecialCharTok"/>
        </w:rPr>
        <w:t xml:space="preserve">.</w:t>
      </w:r>
      <w:r>
        <w:rPr>
          <w:rStyle w:val="NormalTok"/>
        </w:rPr>
        <w:t xml:space="preserve">w</w:t>
      </w:r>
      <w:r>
        <w:rPr>
          <w:rStyle w:val="SpecialCharTok"/>
        </w:rPr>
        <w:t xml:space="preserve">}</w:t>
      </w:r>
      <w:r>
        <w:rPr>
          <w:rStyle w:val="SpecialStringTok"/>
        </w:rPr>
        <w:t xml:space="preserve">, d = </w:t>
      </w:r>
      <w:r>
        <w:rPr>
          <w:rStyle w:val="SpecialCharTok"/>
        </w:rPr>
        <w:t xml:space="preserve">{</w:t>
      </w:r>
      <w:r>
        <w:rPr>
          <w:rStyle w:val="NormalTok"/>
        </w:rPr>
        <w:t xml:space="preserve">cms</w:t>
      </w:r>
      <w:r>
        <w:rPr>
          <w:rStyle w:val="SpecialCharTok"/>
        </w:rPr>
        <w:t xml:space="preserve">.</w:t>
      </w:r>
      <w:r>
        <w:rPr>
          <w:rStyle w:val="NormalTok"/>
        </w:rPr>
        <w:t xml:space="preserve">d</w:t>
      </w:r>
      <w:r>
        <w:rPr>
          <w:rStyle w:val="SpecialCharTok"/>
        </w:rPr>
        <w:t xml:space="preserve">}</w:t>
      </w:r>
      <w:r>
        <w:rPr>
          <w:rStyle w:val="SpecialStringTok"/>
        </w:rPr>
        <w:t xml:space="preserve">, counters = </w:t>
      </w:r>
      <w:r>
        <w:rPr>
          <w:rStyle w:val="SpecialCharTok"/>
        </w:rPr>
        <w:t xml:space="preserve">{</w:t>
      </w:r>
      <w:r>
        <w:rPr>
          <w:rStyle w:val="NormalTok"/>
        </w:rPr>
        <w:t xml:space="preserve">cms</w:t>
      </w:r>
      <w:r>
        <w:rPr>
          <w:rStyle w:val="SpecialCharTok"/>
        </w:rPr>
        <w:t xml:space="preserve">.</w:t>
      </w:r>
      <w:r>
        <w:rPr>
          <w:rStyle w:val="NormalTok"/>
        </w:rPr>
        <w:t xml:space="preserve">w </w:t>
      </w:r>
      <w:r>
        <w:rPr>
          <w:rStyle w:val="OperatorTok"/>
        </w:rPr>
        <w:t xml:space="preserve">*</w:t>
      </w:r>
      <w:r>
        <w:rPr>
          <w:rStyle w:val="NormalTok"/>
        </w:rPr>
        <w:t xml:space="preserve"> cms</w:t>
      </w:r>
      <w:r>
        <w:rPr>
          <w:rStyle w:val="SpecialCharTok"/>
        </w:rPr>
        <w:t xml:space="preserve">.</w:t>
      </w:r>
      <w:r>
        <w:rPr>
          <w:rStyle w:val="NormalTok"/>
        </w:rPr>
        <w:t xml:space="preserve">d</w:t>
      </w:r>
      <w:r>
        <w:rPr>
          <w:rStyle w:val="SpecialCharTok"/>
        </w:rPr>
        <w:t xml:space="preserve">:,}</w:t>
      </w:r>
      <w:r>
        <w:rPr>
          <w:rStyle w:val="SpecialStringTok"/>
        </w:rPr>
        <w:t xml:space="preserve"> vs distinct items = </w:t>
      </w:r>
      <w:r>
        <w:rPr>
          <w:rStyle w:val="SpecialCharTok"/>
        </w:rPr>
        <w:t xml:space="preserve">{</w:t>
      </w:r>
      <w:r>
        <w:rPr>
          <w:rStyle w:val="BuiltInTok"/>
        </w:rPr>
        <w:t xml:space="preserve">len</w:t>
      </w:r>
      <w:r>
        <w:rPr>
          <w:rStyle w:val="NormalTok"/>
        </w:rPr>
        <w:t xml:space="preserve">(truth)</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f"error bound eps*N = </w:t>
      </w:r>
      <w:r>
        <w:rPr>
          <w:rStyle w:val="SpecialCharTok"/>
        </w:rPr>
        <w:t xml:space="preserve">{</w:t>
      </w:r>
      <w:r>
        <w:rPr>
          <w:rStyle w:val="NormalTok"/>
        </w:rPr>
        <w:t xml:space="preserve">eps </w:t>
      </w:r>
      <w:r>
        <w:rPr>
          <w:rStyle w:val="OperatorTok"/>
        </w:rPr>
        <w:t xml:space="preserve">*</w:t>
      </w:r>
      <w:r>
        <w:rPr>
          <w:rStyle w:val="NormalTok"/>
        </w:rPr>
        <w:t xml:space="preserve"> N</w:t>
      </w:r>
      <w:r>
        <w:rPr>
          <w:rStyle w:val="SpecialCharTok"/>
        </w:rPr>
        <w:t xml:space="preserve">:,.0f}</w:t>
      </w:r>
      <w:r>
        <w:rPr>
          <w:rStyle w:val="SpecialStringTok"/>
        </w:rPr>
        <w:t xml:space="preserve">; max error = </w:t>
      </w:r>
      <w:r>
        <w:rPr>
          <w:rStyle w:val="SpecialCharTok"/>
        </w:rPr>
        <w:t xml:space="preserve">{</w:t>
      </w:r>
      <w:r>
        <w:rPr>
          <w:rStyle w:val="BuiltInTok"/>
        </w:rPr>
        <w:t xml:space="preserve">max</w:t>
      </w:r>
      <w:r>
        <w:rPr>
          <w:rStyle w:val="NormalTok"/>
        </w:rPr>
        <w:t xml:space="preserve">(errors)</w:t>
      </w:r>
      <w:r>
        <w:rPr>
          <w:rStyle w:val="SpecialCharTok"/>
        </w:rPr>
        <w:t xml:space="preserve">}</w:t>
      </w:r>
      <w:r>
        <w:rPr>
          <w:rStyle w:val="SpecialStringTok"/>
        </w:rPr>
        <w:t xml:space="preserve">; "</w:t>
      </w:r>
      <w:r>
        <w:br/>
      </w:r>
      <w:r>
        <w:rPr>
          <w:rStyle w:val="NormalTok"/>
        </w:rPr>
        <w:t xml:space="preserve">      </w:t>
      </w:r>
      <w:r>
        <w:rPr>
          <w:rStyle w:val="SpecialStringTok"/>
        </w:rPr>
        <w:t xml:space="preserve">f"mean error = </w:t>
      </w:r>
      <w:r>
        <w:rPr>
          <w:rStyle w:val="SpecialCharTok"/>
        </w:rPr>
        <w:t xml:space="preserve">{</w:t>
      </w:r>
      <w:r>
        <w:rPr>
          <w:rStyle w:val="BuiltInTok"/>
        </w:rPr>
        <w:t xml:space="preserve">sum</w:t>
      </w:r>
      <w:r>
        <w:rPr>
          <w:rStyle w:val="NormalTok"/>
        </w:rPr>
        <w:t xml:space="preserve">(errors) </w:t>
      </w:r>
      <w:r>
        <w:rPr>
          <w:rStyle w:val="OperatorTok"/>
        </w:rPr>
        <w:t xml:space="preserve">/</w:t>
      </w:r>
      <w:r>
        <w:rPr>
          <w:rStyle w:val="NormalTok"/>
        </w:rPr>
        <w:t xml:space="preserve"> </w:t>
      </w:r>
      <w:r>
        <w:rPr>
          <w:rStyle w:val="BuiltInTok"/>
        </w:rPr>
        <w:t xml:space="preserve">len</w:t>
      </w:r>
      <w:r>
        <w:rPr>
          <w:rStyle w:val="NormalTok"/>
        </w:rPr>
        <w:t xml:space="preserve">(errors)</w:t>
      </w:r>
      <w:r>
        <w:rPr>
          <w:rStyle w:val="SpecialCharTok"/>
        </w:rPr>
        <w:t xml:space="preserve">:.1f}</w:t>
      </w:r>
      <w:r>
        <w:rPr>
          <w:rStyle w:val="SpecialStringTok"/>
        </w:rPr>
        <w:t xml:space="preserve">; "</w:t>
      </w:r>
      <w:r>
        <w:br/>
      </w:r>
      <w:r>
        <w:rPr>
          <w:rStyle w:val="NormalTok"/>
        </w:rPr>
        <w:t xml:space="preserve">      </w:t>
      </w:r>
      <w:r>
        <w:rPr>
          <w:rStyle w:val="SpecialStringTok"/>
        </w:rPr>
        <w:t xml:space="preserve">f"items over bound = </w:t>
      </w:r>
      <w:r>
        <w:rPr>
          <w:rStyle w:val="SpecialCharTok"/>
        </w:rPr>
        <w:t xml:space="preserve">{</w:t>
      </w:r>
      <w:r>
        <w:rPr>
          <w:rStyle w:val="BuiltInTok"/>
        </w:rPr>
        <w:t xml:space="preserve">sum</w:t>
      </w:r>
      <w:r>
        <w:rPr>
          <w:rStyle w:val="NormalTok"/>
        </w:rPr>
        <w:t xml:space="preserve">(e </w:t>
      </w:r>
      <w:r>
        <w:rPr>
          <w:rStyle w:val="OperatorTok"/>
        </w:rPr>
        <w:t xml:space="preserve">&gt;</w:t>
      </w:r>
      <w:r>
        <w:rPr>
          <w:rStyle w:val="NormalTok"/>
        </w:rPr>
        <w:t xml:space="preserve"> eps </w:t>
      </w:r>
      <w:r>
        <w:rPr>
          <w:rStyle w:val="OperatorTok"/>
        </w:rPr>
        <w:t xml:space="preserve">*</w:t>
      </w:r>
      <w:r>
        <w:rPr>
          <w:rStyle w:val="NormalTok"/>
        </w:rPr>
        <w:t xml:space="preserve"> N </w:t>
      </w:r>
      <w:r>
        <w:rPr>
          <w:rStyle w:val="ControlFlowTok"/>
        </w:rPr>
        <w:t xml:space="preserve">for</w:t>
      </w:r>
      <w:r>
        <w:rPr>
          <w:rStyle w:val="NormalTok"/>
        </w:rPr>
        <w:t xml:space="preserve"> e </w:t>
      </w:r>
      <w:r>
        <w:rPr>
          <w:rStyle w:val="KeywordTok"/>
        </w:rPr>
        <w:t xml:space="preserve">in</w:t>
      </w:r>
      <w:r>
        <w:rPr>
          <w:rStyle w:val="NormalTok"/>
        </w:rPr>
        <w:t xml:space="preserve"> errors)</w:t>
      </w:r>
      <w:r>
        <w:rPr>
          <w:rStyle w:val="SpecialCharTok"/>
        </w:rPr>
        <w:t xml:space="preserve">}</w:t>
      </w:r>
      <w:r>
        <w:rPr>
          <w:rStyle w:val="SpecialStringTok"/>
        </w:rPr>
        <w:t xml:space="preserve"> of </w:t>
      </w:r>
      <w:r>
        <w:rPr>
          <w:rStyle w:val="SpecialCharTok"/>
        </w:rPr>
        <w:t xml:space="preserve">{</w:t>
      </w:r>
      <w:r>
        <w:rPr>
          <w:rStyle w:val="BuiltInTok"/>
        </w:rPr>
        <w:t xml:space="preserve">len</w:t>
      </w:r>
      <w:r>
        <w:rPr>
          <w:rStyle w:val="NormalTok"/>
        </w:rPr>
        <w:t xml:space="preserve">(errors)</w:t>
      </w:r>
      <w:r>
        <w:rPr>
          <w:rStyle w:val="SpecialCharTok"/>
        </w:rPr>
        <w:t xml:space="preserve">:,}</w:t>
      </w:r>
      <w:r>
        <w:rPr>
          <w:rStyle w:val="SpecialStringTok"/>
        </w:rPr>
        <w:t xml:space="preserve"> (delta allows </w:t>
      </w:r>
      <w:r>
        <w:rPr>
          <w:rStyle w:val="SpecialCharTok"/>
        </w:rPr>
        <w:t xml:space="preserve">{</w:t>
      </w:r>
      <w:r>
        <w:rPr>
          <w:rStyle w:val="NormalTok"/>
        </w:rPr>
        <w:t xml:space="preserve">delta</w:t>
      </w:r>
      <w:r>
        <w:rPr>
          <w:rStyle w:val="SpecialCharTok"/>
        </w:rPr>
        <w:t xml:space="preserve">:.0%}</w:t>
      </w:r>
      <w:r>
        <w:rPr>
          <w:rStyle w:val="SpecialStringTok"/>
        </w:rPr>
        <w:t xml:space="preserve">)"</w:t>
      </w:r>
      <w:r>
        <w:rPr>
          <w:rStyle w:val="NormalTok"/>
        </w:rPr>
        <w:t xml:space="preserve">)</w:t>
      </w:r>
      <w:r>
        <w:br/>
      </w:r>
      <w:r>
        <w:br/>
      </w:r>
      <w:r>
        <w:rPr>
          <w:rStyle w:val="NormalTok"/>
        </w:rPr>
        <w:t xml:space="preserve">tk </w:t>
      </w:r>
      <w:r>
        <w:rPr>
          <w:rStyle w:val="OperatorTok"/>
        </w:rPr>
        <w:t xml:space="preserve">=</w:t>
      </w:r>
      <w:r>
        <w:rPr>
          <w:rStyle w:val="NormalTok"/>
        </w:rPr>
        <w:t xml:space="preserve"> TopK(</w:t>
      </w:r>
      <w:r>
        <w:rPr>
          <w:rStyle w:val="DecValTok"/>
        </w:rPr>
        <w:t xml:space="preserve">10</w:t>
      </w:r>
      <w:r>
        <w:rPr>
          <w:rStyle w:val="NormalTok"/>
        </w:rPr>
        <w:t xml:space="preserve">, eps, delta)</w:t>
      </w:r>
      <w:r>
        <w:br/>
      </w:r>
      <w:r>
        <w:rPr>
          <w:rStyle w:val="ControlFlowTok"/>
        </w:rPr>
        <w:t xml:space="preserve">for</w:t>
      </w:r>
      <w:r>
        <w:rPr>
          <w:rStyle w:val="NormalTok"/>
        </w:rPr>
        <w:t xml:space="preserve"> item </w:t>
      </w:r>
      <w:r>
        <w:rPr>
          <w:rStyle w:val="KeywordTok"/>
        </w:rPr>
        <w:t xml:space="preserve">in</w:t>
      </w:r>
      <w:r>
        <w:rPr>
          <w:rStyle w:val="NormalTok"/>
        </w:rPr>
        <w:t xml:space="preserve"> stream:</w:t>
      </w:r>
      <w:r>
        <w:br/>
      </w:r>
      <w:r>
        <w:rPr>
          <w:rStyle w:val="NormalTok"/>
        </w:rPr>
        <w:t xml:space="preserve">    tk.add(item)</w:t>
      </w:r>
      <w:r>
        <w:br/>
      </w:r>
      <w:r>
        <w:rPr>
          <w:rStyle w:val="NormalTok"/>
        </w:rPr>
        <w:t xml:space="preserve">true_top </w:t>
      </w:r>
      <w:r>
        <w:rPr>
          <w:rStyle w:val="OperatorTok"/>
        </w:rPr>
        <w:t xml:space="preserve">=</w:t>
      </w:r>
      <w:r>
        <w:rPr>
          <w:rStyle w:val="NormalTok"/>
        </w:rPr>
        <w:t xml:space="preserve"> [i </w:t>
      </w:r>
      <w:r>
        <w:rPr>
          <w:rStyle w:val="ControlFlowTok"/>
        </w:rPr>
        <w:t xml:space="preserve">for</w:t>
      </w:r>
      <w:r>
        <w:rPr>
          <w:rStyle w:val="NormalTok"/>
        </w:rPr>
        <w:t xml:space="preserve"> i, _ </w:t>
      </w:r>
      <w:r>
        <w:rPr>
          <w:rStyle w:val="KeywordTok"/>
        </w:rPr>
        <w:t xml:space="preserve">in</w:t>
      </w:r>
      <w:r>
        <w:rPr>
          <w:rStyle w:val="NormalTok"/>
        </w:rPr>
        <w:t xml:space="preserve"> truth.most_common(</w:t>
      </w:r>
      <w:r>
        <w:rPr>
          <w:rStyle w:val="DecValTok"/>
        </w:rPr>
        <w:t xml:space="preserve">10</w:t>
      </w:r>
      <w:r>
        <w:rPr>
          <w:rStyle w:val="NormalTok"/>
        </w:rPr>
        <w:t xml:space="preserve">)]</w:t>
      </w:r>
      <w:r>
        <w:br/>
      </w:r>
      <w:r>
        <w:rPr>
          <w:rStyle w:val="BuiltInTok"/>
        </w:rPr>
        <w:t xml:space="preserve">print</w:t>
      </w:r>
      <w:r>
        <w:rPr>
          <w:rStyle w:val="NormalTok"/>
        </w:rPr>
        <w:t xml:space="preserve">(</w:t>
      </w:r>
      <w:r>
        <w:rPr>
          <w:rStyle w:val="StringTok"/>
        </w:rPr>
        <w:t xml:space="preserve">"CMS+heap top-10 recall:"</w:t>
      </w:r>
      <w:r>
        <w:rPr>
          <w:rStyle w:val="NormalTok"/>
        </w:rPr>
        <w:t xml:space="preserve">, </w:t>
      </w:r>
      <w:r>
        <w:rPr>
          <w:rStyle w:val="BuiltInTok"/>
        </w:rPr>
        <w:t xml:space="preserve">len</w:t>
      </w:r>
      <w:r>
        <w:rPr>
          <w:rStyle w:val="NormalTok"/>
        </w:rPr>
        <w:t xml:space="preserve">(</w:t>
      </w:r>
      <w:r>
        <w:rPr>
          <w:rStyle w:val="BuiltInTok"/>
        </w:rPr>
        <w:t xml:space="preserve">set</w:t>
      </w:r>
      <w:r>
        <w:rPr>
          <w:rStyle w:val="NormalTok"/>
        </w:rPr>
        <w:t xml:space="preserve">(i </w:t>
      </w:r>
      <w:r>
        <w:rPr>
          <w:rStyle w:val="ControlFlowTok"/>
        </w:rPr>
        <w:t xml:space="preserve">for</w:t>
      </w:r>
      <w:r>
        <w:rPr>
          <w:rStyle w:val="NormalTok"/>
        </w:rPr>
        <w:t xml:space="preserve"> _, i </w:t>
      </w:r>
      <w:r>
        <w:rPr>
          <w:rStyle w:val="KeywordTok"/>
        </w:rPr>
        <w:t xml:space="preserve">in</w:t>
      </w:r>
      <w:r>
        <w:rPr>
          <w:rStyle w:val="NormalTok"/>
        </w:rPr>
        <w:t xml:space="preserve"> tk.top()) </w:t>
      </w:r>
      <w:r>
        <w:rPr>
          <w:rStyle w:val="OperatorTok"/>
        </w:rPr>
        <w:t xml:space="preserve">&amp;</w:t>
      </w:r>
      <w:r>
        <w:rPr>
          <w:rStyle w:val="NormalTok"/>
        </w:rPr>
        <w:t xml:space="preserve"> </w:t>
      </w:r>
      <w:r>
        <w:rPr>
          <w:rStyle w:val="BuiltInTok"/>
        </w:rPr>
        <w:t xml:space="preserve">set</w:t>
      </w:r>
      <w:r>
        <w:rPr>
          <w:rStyle w:val="NormalTok"/>
        </w:rPr>
        <w:t xml:space="preserve">(true_top)) </w:t>
      </w:r>
      <w:r>
        <w:rPr>
          <w:rStyle w:val="OperatorTok"/>
        </w:rPr>
        <w:t xml:space="preserve">/</w:t>
      </w:r>
      <w:r>
        <w:rPr>
          <w:rStyle w:val="NormalTok"/>
        </w:rPr>
        <w:t xml:space="preserve"> </w:t>
      </w:r>
      <w:r>
        <w:rPr>
          <w:rStyle w:val="DecValTok"/>
        </w:rPr>
        <w:t xml:space="preserve">10</w:t>
      </w:r>
      <w:r>
        <w:rPr>
          <w:rStyle w:val="NormalTok"/>
        </w:rPr>
        <w:t xml:space="preserve">)</w:t>
      </w:r>
      <w:r>
        <w:br/>
      </w:r>
      <w:r>
        <w:rPr>
          <w:rStyle w:val="NormalTok"/>
        </w:rPr>
        <w:t xml:space="preserve">ss </w:t>
      </w:r>
      <w:r>
        <w:rPr>
          <w:rStyle w:val="OperatorTok"/>
        </w:rPr>
        <w:t xml:space="preserve">=</w:t>
      </w:r>
      <w:r>
        <w:rPr>
          <w:rStyle w:val="NormalTok"/>
        </w:rPr>
        <w:t xml:space="preserve"> space_saving(stream, </w:t>
      </w:r>
      <w:r>
        <w:rPr>
          <w:rStyle w:val="DecValTok"/>
        </w:rPr>
        <w:t xml:space="preserve">100</w:t>
      </w:r>
      <w:r>
        <w:rPr>
          <w:rStyle w:val="NormalTok"/>
        </w:rPr>
        <w:t xml:space="preserve">)</w:t>
      </w:r>
      <w:r>
        <w:br/>
      </w:r>
      <w:r>
        <w:rPr>
          <w:rStyle w:val="BuiltInTok"/>
        </w:rPr>
        <w:t xml:space="preserve">print</w:t>
      </w:r>
      <w:r>
        <w:rPr>
          <w:rStyle w:val="NormalTok"/>
        </w:rPr>
        <w:t xml:space="preserve">(</w:t>
      </w:r>
      <w:r>
        <w:rPr>
          <w:rStyle w:val="StringTok"/>
        </w:rPr>
        <w:t xml:space="preserve">"Space-Saving (100 counters) top-10 recall:"</w:t>
      </w:r>
      <w:r>
        <w:rPr>
          <w:rStyle w:val="NormalTok"/>
        </w:rPr>
        <w:t xml:space="preserve">, </w:t>
      </w:r>
      <w:r>
        <w:rPr>
          <w:rStyle w:val="BuiltInTok"/>
        </w:rPr>
        <w:t xml:space="preserve">len</w:t>
      </w:r>
      <w:r>
        <w:rPr>
          <w:rStyle w:val="NormalTok"/>
        </w:rPr>
        <w:t xml:space="preserve">(</w:t>
      </w:r>
      <w:r>
        <w:rPr>
          <w:rStyle w:val="BuiltInTok"/>
        </w:rPr>
        <w:t xml:space="preserve">set</w:t>
      </w:r>
      <w:r>
        <w:rPr>
          <w:rStyle w:val="NormalTok"/>
        </w:rPr>
        <w:t xml:space="preserve">(i </w:t>
      </w:r>
      <w:r>
        <w:rPr>
          <w:rStyle w:val="ControlFlowTok"/>
        </w:rPr>
        <w:t xml:space="preserve">for</w:t>
      </w:r>
      <w:r>
        <w:rPr>
          <w:rStyle w:val="NormalTok"/>
        </w:rPr>
        <w:t xml:space="preserve"> _, i </w:t>
      </w:r>
      <w:r>
        <w:rPr>
          <w:rStyle w:val="KeywordTok"/>
        </w:rPr>
        <w:t xml:space="preserve">in</w:t>
      </w:r>
      <w:r>
        <w:rPr>
          <w:rStyle w:val="NormalTok"/>
        </w:rPr>
        <w:t xml:space="preserve"> ss[:</w:t>
      </w:r>
      <w:r>
        <w:rPr>
          <w:rStyle w:val="DecValTok"/>
        </w:rPr>
        <w:t xml:space="preserve">10</w:t>
      </w:r>
      <w:r>
        <w:rPr>
          <w:rStyle w:val="NormalTok"/>
        </w:rPr>
        <w:t xml:space="preserve">]) </w:t>
      </w:r>
      <w:r>
        <w:rPr>
          <w:rStyle w:val="OperatorTok"/>
        </w:rPr>
        <w:t xml:space="preserve">&amp;</w:t>
      </w:r>
      <w:r>
        <w:rPr>
          <w:rStyle w:val="NormalTok"/>
        </w:rPr>
        <w:t xml:space="preserve"> </w:t>
      </w:r>
      <w:r>
        <w:rPr>
          <w:rStyle w:val="BuiltInTok"/>
        </w:rPr>
        <w:t xml:space="preserve">set</w:t>
      </w:r>
      <w:r>
        <w:rPr>
          <w:rStyle w:val="NormalTok"/>
        </w:rPr>
        <w:t xml:space="preserve">(true_top)) </w:t>
      </w:r>
      <w:r>
        <w:rPr>
          <w:rStyle w:val="OperatorTok"/>
        </w:rPr>
        <w:t xml:space="preserve">/</w:t>
      </w:r>
      <w:r>
        <w:rPr>
          <w:rStyle w:val="NormalTok"/>
        </w:rPr>
        <w:t xml:space="preserve"> </w:t>
      </w:r>
      <w:r>
        <w:rPr>
          <w:rStyle w:val="DecValTok"/>
        </w:rPr>
        <w:t xml:space="preserve">10</w:t>
      </w:r>
      <w:r>
        <w:rPr>
          <w:rStyle w:val="NormalTok"/>
        </w:rPr>
        <w:t xml:space="preserve">)</w:t>
      </w:r>
      <w:r>
        <w:br/>
      </w:r>
      <w:r>
        <w:rPr>
          <w:rStyle w:val="BuiltInTok"/>
        </w:rPr>
        <w:t xml:space="preserve">print</w:t>
      </w:r>
      <w:r>
        <w:rPr>
          <w:rStyle w:val="NormalTok"/>
        </w:rPr>
        <w:t xml:space="preserve">(</w:t>
      </w:r>
      <w:r>
        <w:rPr>
          <w:rStyle w:val="StringTok"/>
        </w:rPr>
        <w:t xml:space="preserve">"true top-3:"</w:t>
      </w:r>
      <w:r>
        <w:rPr>
          <w:rStyle w:val="NormalTok"/>
        </w:rPr>
        <w:t xml:space="preserve">, truth.most_common(</w:t>
      </w:r>
      <w:r>
        <w:rPr>
          <w:rStyle w:val="DecValTok"/>
        </w:rPr>
        <w:t xml:space="preserve">3</w:t>
      </w:r>
      <w:r>
        <w:rPr>
          <w:rStyle w:val="NormalTok"/>
        </w:rPr>
        <w:t xml:space="preserve">))</w:t>
      </w:r>
      <w:r>
        <w:br/>
      </w:r>
      <w:r>
        <w:rPr>
          <w:rStyle w:val="BuiltInTok"/>
        </w:rPr>
        <w:t xml:space="preserve">print</w:t>
      </w:r>
      <w:r>
        <w:rPr>
          <w:rStyle w:val="NormalTok"/>
        </w:rPr>
        <w:t xml:space="preserve">(</w:t>
      </w:r>
      <w:r>
        <w:rPr>
          <w:rStyle w:val="StringTok"/>
        </w:rPr>
        <w:t xml:space="preserve">"Space-Saving top-3:"</w:t>
      </w:r>
      <w:r>
        <w:rPr>
          <w:rStyle w:val="NormalTok"/>
        </w:rPr>
        <w:t xml:space="preserve">, [(i, c) </w:t>
      </w:r>
      <w:r>
        <w:rPr>
          <w:rStyle w:val="ControlFlowTok"/>
        </w:rPr>
        <w:t xml:space="preserve">for</w:t>
      </w:r>
      <w:r>
        <w:rPr>
          <w:rStyle w:val="NormalTok"/>
        </w:rPr>
        <w:t xml:space="preserve"> c, i </w:t>
      </w:r>
      <w:r>
        <w:rPr>
          <w:rStyle w:val="KeywordTok"/>
        </w:rPr>
        <w:t xml:space="preserve">in</w:t>
      </w:r>
      <w:r>
        <w:rPr>
          <w:rStyle w:val="NormalTok"/>
        </w:rPr>
        <w:t xml:space="preserve"> ss[:</w:t>
      </w:r>
      <w:r>
        <w:rPr>
          <w:rStyle w:val="DecValTok"/>
        </w:rPr>
        <w:t xml:space="preserve">3</w:t>
      </w:r>
      <w:r>
        <w:rPr>
          <w:rStyle w:val="NormalTok"/>
        </w:rPr>
        <w:t xml:space="preserve">]])</w:t>
      </w:r>
    </w:p>
    <w:p>
      <w:pPr>
        <w:pStyle w:val="FirstParagraph"/>
      </w:pPr>
      <w:r>
        <w:t xml:space="preserve">Output:</w:t>
      </w:r>
    </w:p>
    <w:p>
      <w:pPr>
        <w:pStyle w:val="SourceCode"/>
      </w:pPr>
      <w:r>
        <w:rPr>
          <w:rStyle w:val="VerbatimChar"/>
        </w:rPr>
        <w:t xml:space="preserve">w = 2719, d = 5, counters = 13,595 vs distinct items = 64,589</w:t>
      </w:r>
      <w:r>
        <w:br/>
      </w:r>
      <w:r>
        <w:rPr>
          <w:rStyle w:val="VerbatimChar"/>
        </w:rPr>
        <w:t xml:space="preserve">error bound eps*N = 1,000; max error = 2474; mean error = 61.1; items over bound = 1 of 64,589 (delta allows 1%)</w:t>
      </w:r>
      <w:r>
        <w:br/>
      </w:r>
      <w:r>
        <w:rPr>
          <w:rStyle w:val="VerbatimChar"/>
        </w:rPr>
        <w:t xml:space="preserve">CMS+heap top-10 recall: 1.0</w:t>
      </w:r>
      <w:r>
        <w:br/>
      </w:r>
      <w:r>
        <w:rPr>
          <w:rStyle w:val="VerbatimChar"/>
        </w:rPr>
        <w:t xml:space="preserve">Space-Saving (100 counters) top-10 recall: 1.0</w:t>
      </w:r>
      <w:r>
        <w:br/>
      </w:r>
      <w:r>
        <w:rPr>
          <w:rStyle w:val="VerbatimChar"/>
        </w:rPr>
        <w:t xml:space="preserve">true top-3: [('/page/1', 134738), ('/page/2', 63178), ('/page/3', 40195)]</w:t>
      </w:r>
      <w:r>
        <w:br/>
      </w:r>
      <w:r>
        <w:rPr>
          <w:rStyle w:val="VerbatimChar"/>
        </w:rPr>
        <w:t xml:space="preserve">Space-Saving top-3: [('/page/1', 134738), ('/page/2', 63178), ('/page/3', 40195)]</w:t>
      </w:r>
    </w:p>
    <w:p>
      <w:pPr>
        <w:pStyle w:val="FirstParagraph"/>
      </w:pPr>
      <w:r>
        <w:t xml:space="preserve">What to notice:</w:t>
      </w:r>
    </w:p>
    <w:p>
      <w:pPr>
        <w:numPr>
          <w:ilvl w:val="0"/>
          <w:numId w:val="1576"/>
        </w:numPr>
        <w:pStyle w:val="Compact"/>
      </w:pPr>
      <w:r>
        <w:t xml:space="preserve">Width 2,719 and depth 5 reproduce the worked example. The</w:t>
      </w:r>
      <w:r>
        <w:t xml:space="preserve"> </w:t>
      </w:r>
      <w:r>
        <w:rPr>
          <w:rStyle w:val="VerbatimChar"/>
        </w:rPr>
        <w:t xml:space="preserve">assert</w:t>
      </w:r>
      <w:r>
        <w:t xml:space="preserve"> </w:t>
      </w:r>
      <w:r>
        <w:t xml:space="preserve">confirms that no estimate is below the truth.</w:t>
      </w:r>
    </w:p>
    <w:p>
      <w:pPr>
        <w:numPr>
          <w:ilvl w:val="0"/>
          <w:numId w:val="1576"/>
        </w:numPr>
        <w:pStyle w:val="Compact"/>
      </w:pPr>
      <w:r>
        <w:t xml:space="preserve">Only 1 of 64,589 items exceeded the</w:t>
      </w:r>
      <w:r>
        <w:t xml:space="preserve"> </w:t>
      </w:r>
      <m:oMath>
        <m:r>
          <m:t>ε</m:t>
        </m:r>
        <m:r>
          <m:t>N</m:t>
        </m:r>
        <m:r>
          <m:rPr>
            <m:sty m:val="p"/>
          </m:rPr>
          <m:t>=</m:t>
        </m:r>
        <m:r>
          <m:t>1</m:t>
        </m:r>
        <m:r>
          <m:rPr>
            <m:sty m:val="p"/>
          </m:rPr>
          <m:t>,</m:t>
        </m:r>
        <m:r>
          <m:t>000</m:t>
        </m:r>
      </m:oMath>
      <w:r>
        <w:t xml:space="preserve"> </w:t>
      </w:r>
      <w:r>
        <w:t xml:space="preserve">bound, far below the 1% that</w:t>
      </w:r>
      <w:r>
        <w:t xml:space="preserve"> </w:t>
      </w:r>
      <m:oMath>
        <m:r>
          <m:t>δ</m:t>
        </m:r>
      </m:oMath>
      <w:r>
        <w:t xml:space="preserve"> </w:t>
      </w:r>
      <w:r>
        <w:t xml:space="preserve">allows; the mean overestimate is 61.</w:t>
      </w:r>
    </w:p>
    <w:p>
      <w:pPr>
        <w:numPr>
          <w:ilvl w:val="0"/>
          <w:numId w:val="1576"/>
        </w:numPr>
        <w:pStyle w:val="Compact"/>
      </w:pPr>
      <w:r>
        <w:t xml:space="preserve">Both methods recover the true top 10 on this skewed (Zipf) stream, typical of real traffic; on a near-uniform stream there are no heavy hitters to find.</w:t>
      </w:r>
    </w:p>
    <w:p>
      <w:pPr>
        <w:numPr>
          <w:ilvl w:val="0"/>
          <w:numId w:val="1576"/>
        </w:numPr>
        <w:pStyle w:val="Compact"/>
      </w:pPr>
      <w:r>
        <w:t xml:space="preserve">Space-Saving’s top three counts are exact because those items were never evicted. Production code uses a</w:t>
      </w:r>
      <w:r>
        <w:t xml:space="preserve"> </w:t>
      </w:r>
      <w:r>
        <w:t xml:space="preserve">“</w:t>
      </w:r>
      <w:r>
        <w:t xml:space="preserve">stream-summary</w:t>
      </w:r>
      <w:r>
        <w:t xml:space="preserve">”</w:t>
      </w:r>
      <w:r>
        <w:t xml:space="preserve"> </w:t>
      </w:r>
      <w:r>
        <w:t xml:space="preserve">structure for</w:t>
      </w:r>
      <w:r>
        <w:t xml:space="preserve"> </w:t>
      </w:r>
      <m:oMath>
        <m:r>
          <m:t>O</m:t>
        </m:r>
        <m:d>
          <m:dPr>
            <m:begChr m:val="("/>
            <m:endChr m:val=")"/>
            <m:sepChr m:val=""/>
            <m:grow/>
          </m:dPr>
          <m:e>
            <m:r>
              <m:t>1</m:t>
            </m:r>
          </m:e>
        </m:d>
      </m:oMath>
      <w:r>
        <w:t xml:space="preserve"> </w:t>
      </w:r>
      <w:r>
        <w:t xml:space="preserve">eviction.</w:t>
      </w:r>
    </w:p>
    <w:p>
      <w:pPr>
        <w:pStyle w:val="CalloutIndustry"/>
      </w:pPr>
      <w:r>
        <w:rPr>
          <w:bCs/>
          <w:b/>
        </w:rPr>
        <w:t xml:space="preserve">INDUSTRY EXAMPLE</w:t>
      </w:r>
    </w:p>
    <w:p>
      <w:pPr>
        <w:pStyle w:val="CalloutIndustry"/>
      </w:pPr>
      <w:r>
        <w:rPr>
          <w:bCs/>
          <w:b/>
        </w:rPr>
        <w:t xml:space="preserve">Twitter Algebird and RedisBloom.</w:t>
      </w:r>
      <w:r>
        <w:t xml:space="preserve"> </w:t>
      </w:r>
      <w:r>
        <w:t xml:space="preserve">Twitter’s open-source Algebird library provides mergeable Count-Min sketches, HyperLogLog and Bloom filters for Hadoop, Scalding and Storm jobs: each partition builds a sketch and the framework adds them [Twitter: Algebird]. The RedisBloom module (in Redis Stack, and in Redis Open Source from Redis 8, as of 2025) provides</w:t>
      </w:r>
      <w:r>
        <w:t xml:space="preserve"> </w:t>
      </w:r>
      <w:r>
        <w:rPr>
          <w:rStyle w:val="VerbatimChar"/>
        </w:rPr>
        <w:t xml:space="preserve">CMS.INCRBY</w:t>
      </w:r>
      <w:r>
        <w:t xml:space="preserve">/</w:t>
      </w:r>
      <w:r>
        <w:rPr>
          <w:rStyle w:val="VerbatimChar"/>
        </w:rPr>
        <w:t xml:space="preserve">CMS.QUERY</w:t>
      </w:r>
      <w:r>
        <w:t xml:space="preserve"> </w:t>
      </w:r>
      <w:r>
        <w:t xml:space="preserve">and</w:t>
      </w:r>
      <w:r>
        <w:t xml:space="preserve"> </w:t>
      </w:r>
      <w:r>
        <w:rPr>
          <w:rStyle w:val="VerbatimChar"/>
        </w:rPr>
        <w:t xml:space="preserve">TOPK.ADD</w:t>
      </w:r>
      <w:r>
        <w:t xml:space="preserve">/</w:t>
      </w:r>
      <w:r>
        <w:rPr>
          <w:rStyle w:val="VerbatimChar"/>
        </w:rPr>
        <w:t xml:space="preserve">TOPK.LIST</w:t>
      </w:r>
      <w:r>
        <w:t xml:space="preserve"> </w:t>
      </w:r>
      <w:r>
        <w:t xml:space="preserve">[Redis Docs: Count-min sketch; Top-K].</w:t>
      </w:r>
      <w:r>
        <w:t xml:space="preserve"> </w:t>
      </w:r>
      <w:r>
        <w:rPr>
          <w:iCs/>
          <w:i/>
        </w:rPr>
        <w:t xml:space="preserve">Evidence: Primary</w:t>
      </w:r>
      <w:r>
        <w:t xml:space="preserve"> </w:t>
      </w:r>
      <w:r>
        <w:t xml:space="preserve">— [Twitter: Algebird; Redis Docs]</w:t>
      </w:r>
    </w:p>
    <w:p>
      <w:pPr>
        <w:pStyle w:val="CalloutMistake"/>
      </w:pPr>
      <w:r>
        <w:rPr>
          <w:bCs/>
          <w:b/>
        </w:rPr>
        <w:t xml:space="preserve">COMMON MISTAKE</w:t>
      </w:r>
    </w:p>
    <w:p>
      <w:pPr>
        <w:pStyle w:val="CalloutMistake"/>
      </w:pPr>
      <w:r>
        <w:rPr>
          <w:bCs/>
          <w:b/>
        </w:rPr>
        <w:t xml:space="preserve">“</w:t>
      </w:r>
      <w:r>
        <w:rPr>
          <w:bCs/>
          <w:b/>
        </w:rPr>
        <w:t xml:space="preserve">Count-Min gives each item’s count within ε percent.</w:t>
      </w:r>
      <w:r>
        <w:rPr>
          <w:bCs/>
          <w:b/>
        </w:rPr>
        <w:t xml:space="preserve">”</w:t>
      </w:r>
      <w:r>
        <w:t xml:space="preserve"> </w:t>
      </w:r>
      <w:r>
        <w:t xml:space="preserve">The bound is</w:t>
      </w:r>
      <w:r>
        <w:t xml:space="preserve"> </w:t>
      </w:r>
      <m:oMath>
        <m:r>
          <m:t>ε</m:t>
        </m:r>
        <m:r>
          <m:t>N</m:t>
        </m:r>
      </m:oMath>
      <w:r>
        <w:t xml:space="preserve">, a fraction of the</w:t>
      </w:r>
      <w:r>
        <w:t xml:space="preserve"> </w:t>
      </w:r>
      <w:r>
        <w:rPr>
          <w:iCs/>
          <w:i/>
        </w:rPr>
        <w:t xml:space="preserve">entire stream</w:t>
      </w:r>
      <w:r>
        <w:t xml:space="preserve">; a rare item can be overestimated 100-fold. Report estimates only for items well above</w:t>
      </w:r>
      <w:r>
        <w:t xml:space="preserve"> </w:t>
      </w:r>
      <m:oMath>
        <m:r>
          <m:t>ε</m:t>
        </m:r>
        <m:r>
          <m:t>N</m:t>
        </m:r>
      </m:oMath>
      <w:r>
        <w:t xml:space="preserve">.</w:t>
      </w:r>
    </w:p>
    <w:bookmarkEnd w:id="1971"/>
    <w:bookmarkEnd w:id="1972"/>
    <w:bookmarkEnd w:id="1973"/>
    <w:bookmarkStart w:id="1983" w:name="skip-lists"/>
    <w:p>
      <w:pPr>
        <w:pStyle w:val="Heading2"/>
      </w:pPr>
      <w:r>
        <w:t xml:space="preserve">17.7 Skip lists</w:t>
      </w:r>
    </w:p>
    <w:bookmarkStart w:id="1982" w:name="X6decbb351040a642b36126227b4697587256667"/>
    <w:p>
      <w:pPr>
        <w:pStyle w:val="Heading3"/>
      </w:pPr>
      <w:r>
        <w:t xml:space="preserve">17.7.1 Probabilistic levels instead of rebalancing</w:t>
      </w:r>
    </w:p>
    <w:p>
      <w:pPr>
        <w:pStyle w:val="CalloutDefinition"/>
      </w:pPr>
      <w:r>
        <w:rPr>
          <w:bCs/>
          <w:b/>
        </w:rPr>
        <w:t xml:space="preserve">DEFINITION</w:t>
      </w:r>
    </w:p>
    <w:p>
      <w:pPr>
        <w:pStyle w:val="CalloutDefinition"/>
      </w:pPr>
      <w:r>
        <w:rPr>
          <w:bCs/>
          <w:b/>
        </w:rPr>
        <w:t xml:space="preserve">Definition — Skip list.</w:t>
      </w:r>
      <w:r>
        <w:t xml:space="preserve"> </w:t>
      </w:r>
      <w:r>
        <w:t xml:space="preserve">An ordered linked list augmented with extra levels of</w:t>
      </w:r>
      <w:r>
        <w:t xml:space="preserve"> </w:t>
      </w:r>
      <w:r>
        <w:t xml:space="preserve">“</w:t>
      </w:r>
      <w:r>
        <w:t xml:space="preserve">express</w:t>
      </w:r>
      <w:r>
        <w:t xml:space="preserve">”</w:t>
      </w:r>
      <w:r>
        <w:t xml:space="preserve"> </w:t>
      </w:r>
      <w:r>
        <w:t xml:space="preserve">pointers. Each node is promoted to the next level with probability</w:t>
      </w:r>
      <w:r>
        <w:t xml:space="preserve"> </w:t>
      </w:r>
      <m:oMath>
        <m:r>
          <m:t>p</m:t>
        </m:r>
      </m:oMath>
      <w:r>
        <w:t xml:space="preserve"> </w:t>
      </w:r>
      <w:r>
        <w:t xml:space="preserve">(typically 1/2 or 1/4), so level</w:t>
      </w:r>
      <w:r>
        <w:t xml:space="preserve"> </w:t>
      </w:r>
      <m:oMath>
        <m:r>
          <m:t>i</m:t>
        </m:r>
      </m:oMath>
      <w:r>
        <w:t xml:space="preserve"> </w:t>
      </w:r>
      <w:r>
        <w:t xml:space="preserve">contains about a fraction</w:t>
      </w:r>
      <w:r>
        <w:t xml:space="preserve"> </w:t>
      </w:r>
      <m:oMath>
        <m:sSup>
          <m:e>
            <m:r>
              <m:t>p</m:t>
            </m:r>
          </m:e>
          <m:sup>
            <m:r>
              <m:t>i</m:t>
            </m:r>
          </m:sup>
        </m:sSup>
      </m:oMath>
      <w:r>
        <w:t xml:space="preserve"> </w:t>
      </w:r>
      <w:r>
        <w:t xml:space="preserve">of the nodes. Search, insert and delete take expected</w:t>
      </w:r>
      <w:r>
        <w:t xml:space="preserve"> </w:t>
      </w:r>
      <m:oMath>
        <m:r>
          <m:t>O</m:t>
        </m:r>
        <m:d>
          <m:dPr>
            <m:begChr m:val="("/>
            <m:endChr m:val=")"/>
            <m:sepChr m:val=""/>
            <m:grow/>
          </m:dPr>
          <m:e>
            <m:r>
              <m:rPr>
                <m:sty m:val="p"/>
              </m:rPr>
              <m:t>log</m:t>
            </m:r>
            <m:r>
              <m:t>n</m:t>
            </m:r>
          </m:e>
        </m:d>
      </m:oMath>
      <w:r>
        <w:t xml:space="preserve"> </w:t>
      </w:r>
      <w:r>
        <w:t xml:space="preserve">time [Pugh 1990].</w:t>
      </w:r>
    </w:p>
    <w:bookmarkStart w:id="1974" w:name="first-principles-explanation-110"/>
    <w:p>
      <w:pPr>
        <w:pStyle w:val="Heading4"/>
      </w:pPr>
      <w:r>
        <w:t xml:space="preserve">First-principles explanation</w:t>
      </w:r>
    </w:p>
    <w:p>
      <w:pPr>
        <w:pStyle w:val="FirstParagraph"/>
      </w:pPr>
      <w:r>
        <w:t xml:space="preserve">A subway has local trains stopping everywhere and express trains stopping at every fourth station: ride the express to the last stop before your destination, then switch to the local. A skip list stacks several express lines and picks each station’s express status by coin flip, so nothing needs rebalancing as stations are added.</w:t>
      </w:r>
    </w:p>
    <w:bookmarkEnd w:id="1974"/>
    <w:bookmarkStart w:id="1975" w:name="why-does-this-exist-66"/>
    <w:p>
      <w:pPr>
        <w:pStyle w:val="Heading4"/>
      </w:pPr>
      <w:r>
        <w:t xml:space="preserve">Why does this exist?</w:t>
      </w:r>
    </w:p>
    <w:p>
      <w:pPr>
        <w:pStyle w:val="FirstParagraph"/>
      </w:pPr>
      <w:r>
        <w:t xml:space="preserve">Balanced trees (red–black, AVL) guarantee</w:t>
      </w:r>
      <w:r>
        <w:t xml:space="preserve"> </w:t>
      </w:r>
      <m:oMath>
        <m:r>
          <m:t>O</m:t>
        </m:r>
        <m:d>
          <m:dPr>
            <m:begChr m:val="("/>
            <m:endChr m:val=")"/>
            <m:sepChr m:val=""/>
            <m:grow/>
          </m:dPr>
          <m:e>
            <m:r>
              <m:rPr>
                <m:sty m:val="p"/>
              </m:rPr>
              <m:t>log</m:t>
            </m:r>
            <m:r>
              <m:t>n</m:t>
            </m:r>
          </m:e>
        </m:d>
      </m:oMath>
      <w:r>
        <w:t xml:space="preserve">, but their rotations are intricate and hard to make concurrent. Pugh showed that randomization gives the same</w:t>
      </w:r>
      <w:r>
        <w:t xml:space="preserve"> </w:t>
      </w:r>
      <w:r>
        <w:rPr>
          <w:iCs/>
          <w:i/>
        </w:rPr>
        <w:t xml:space="preserve">expected</w:t>
      </w:r>
      <w:r>
        <w:t xml:space="preserve"> </w:t>
      </w:r>
      <w:r>
        <w:t xml:space="preserve">cost with a far simpler algorithm: an insert changes only its predecessors’ pointers [Pugh 1990].</w:t>
      </w:r>
    </w:p>
    <w:bookmarkEnd w:id="1975"/>
    <w:bookmarkStart w:id="1979" w:name="how-it-works-internally-73"/>
    <w:p>
      <w:pPr>
        <w:pStyle w:val="Heading4"/>
      </w:pPr>
      <w:r>
        <w:t xml:space="preserve">How it works internally</w:t>
      </w:r>
    </w:p>
    <w:p>
      <w:pPr>
        <w:numPr>
          <w:ilvl w:val="0"/>
          <w:numId w:val="1577"/>
        </w:numPr>
        <w:pStyle w:val="Compact"/>
      </w:pPr>
      <w:r>
        <w:rPr>
          <w:bCs/>
          <w:b/>
        </w:rPr>
        <w:t xml:space="preserve">Search</w:t>
      </w:r>
      <w:r>
        <w:t xml:space="preserve"> </w:t>
      </w:r>
      <w:r>
        <w:t xml:space="preserve">for key</w:t>
      </w:r>
      <w:r>
        <w:t xml:space="preserve"> </w:t>
      </w:r>
      <m:oMath>
        <m:r>
          <m:t>x</m:t>
        </m:r>
      </m:oMath>
      <w:r>
        <w:t xml:space="preserve">: start at the head’s top level. Move right while the next key is less than</w:t>
      </w:r>
      <w:r>
        <w:t xml:space="preserve"> </w:t>
      </w:r>
      <m:oMath>
        <m:r>
          <m:t>x</m:t>
        </m:r>
      </m:oMath>
      <w:r>
        <w:t xml:space="preserve">; when it is not, drop down a level. At level 0, the next node is</w:t>
      </w:r>
      <w:r>
        <w:t xml:space="preserve"> </w:t>
      </w:r>
      <m:oMath>
        <m:r>
          <m:t>x</m:t>
        </m:r>
      </m:oMath>
      <w:r>
        <w:t xml:space="preserve"> </w:t>
      </w:r>
      <w:r>
        <w:t xml:space="preserve">if</w:t>
      </w:r>
      <w:r>
        <w:t xml:space="preserve"> </w:t>
      </w:r>
      <m:oMath>
        <m:r>
          <m:t>x</m:t>
        </m:r>
      </m:oMath>
      <w:r>
        <w:t xml:space="preserve"> </w:t>
      </w:r>
      <w:r>
        <w:t xml:space="preserve">is present.</w:t>
      </w:r>
    </w:p>
    <w:p>
      <w:pPr>
        <w:numPr>
          <w:ilvl w:val="0"/>
          <w:numId w:val="1577"/>
        </w:numPr>
        <w:pStyle w:val="Compact"/>
      </w:pPr>
      <w:r>
        <w:rPr>
          <w:bCs/>
          <w:b/>
        </w:rPr>
        <w:t xml:space="preserve">Insert</w:t>
      </w:r>
      <w:r>
        <w:t xml:space="preserve"> </w:t>
      </w:r>
      <m:oMath>
        <m:r>
          <m:t>x</m:t>
        </m:r>
      </m:oMath>
      <w:r>
        <w:t xml:space="preserve">: search as above, remembering the last node visited on each level (the update path). Draw a random level</w:t>
      </w:r>
      <w:r>
        <w:t xml:space="preserve"> </w:t>
      </w:r>
      <m:oMath>
        <m:r>
          <m:rPr>
            <m:sty m:val="p"/>
          </m:rPr>
          <m:t>ℓ</m:t>
        </m:r>
      </m:oMath>
      <w:r>
        <w:t xml:space="preserve">: start at 1 and add a level while a coin with probability</w:t>
      </w:r>
      <w:r>
        <w:t xml:space="preserve"> </w:t>
      </w:r>
      <m:oMath>
        <m:r>
          <m:t>p</m:t>
        </m:r>
      </m:oMath>
      <w:r>
        <w:t xml:space="preserve"> </w:t>
      </w:r>
      <w:r>
        <w:t xml:space="preserve">comes up heads. Splice the new node in after the remembered node on each of levels</w:t>
      </w:r>
      <w:r>
        <w:t xml:space="preserve"> </w:t>
      </w:r>
      <m:oMath>
        <m:r>
          <m:t>1</m:t>
        </m:r>
        <m:r>
          <m:rPr>
            <m:sty m:val="p"/>
          </m:rPr>
          <m:t>.</m:t>
        </m:r>
        <m:r>
          <m:rPr>
            <m:sty m:val="p"/>
          </m:rPr>
          <m:t>.</m:t>
        </m:r>
        <m:r>
          <m:rPr>
            <m:sty m:val="p"/>
          </m:rPr>
          <m:t>ℓ</m:t>
        </m:r>
      </m:oMath>
      <w:r>
        <w:t xml:space="preserve">.</w:t>
      </w:r>
    </w:p>
    <w:p>
      <w:pPr>
        <w:numPr>
          <w:ilvl w:val="0"/>
          <w:numId w:val="1577"/>
        </w:numPr>
        <w:pStyle w:val="Compact"/>
      </w:pPr>
      <w:r>
        <w:rPr>
          <w:bCs/>
          <w:b/>
        </w:rPr>
        <w:t xml:space="preserve">Delete</w:t>
      </w:r>
      <w:r>
        <w:t xml:space="preserve">: search, then unlink the node from each level it occupies.</w:t>
      </w:r>
    </w:p>
    <w:p>
      <w:pPr>
        <w:numPr>
          <w:ilvl w:val="0"/>
          <w:numId w:val="1577"/>
        </w:numPr>
        <w:pStyle w:val="Compact"/>
      </w:pPr>
      <w:r>
        <w:rPr>
          <w:bCs/>
          <w:b/>
        </w:rPr>
        <w:t xml:space="preserve">Range scan</w:t>
      </w:r>
      <w:r>
        <w:t xml:space="preserve"> </w:t>
      </w:r>
      <m:oMath>
        <m:d>
          <m:dPr>
            <m:begChr m:val="["/>
            <m:endChr m:val="]"/>
            <m:sepChr m:val=""/>
            <m:grow/>
          </m:dPr>
          <m:e>
            <m:r>
              <m:t>a</m:t>
            </m:r>
            <m:r>
              <m:rPr>
                <m:sty m:val="p"/>
              </m:rPr>
              <m:t>,</m:t>
            </m:r>
            <m:r>
              <m:t>b</m:t>
            </m:r>
          </m:e>
        </m:d>
      </m:oMath>
      <w:r>
        <w:t xml:space="preserve">: search for</w:t>
      </w:r>
      <w:r>
        <w:t xml:space="preserve"> </w:t>
      </w:r>
      <m:oMath>
        <m:r>
          <m:t>a</m:t>
        </m:r>
      </m:oMath>
      <w:r>
        <w:t xml:space="preserve">, then walk level 0 until passing</w:t>
      </w:r>
      <w:r>
        <w:t xml:space="preserve"> </w:t>
      </w:r>
      <m:oMath>
        <m:r>
          <m:t>b</m:t>
        </m:r>
      </m:oMath>
      <w:r>
        <w:t xml:space="preserve">. This is why skip lists suit ordered data such as leaderboards and memtables.</w:t>
      </w:r>
    </w:p>
    <w:p>
      <w:pPr>
        <w:pStyle w:val="FirstParagraph"/>
      </w:pPr>
      <w:r>
        <w:rPr>
          <w:bCs/>
          <w:b/>
        </w:rPr>
        <w:t xml:space="preserve">Figure 17.8 — A skip list with three levels; the bold path finds 40.</w:t>
      </w:r>
    </w:p>
    <w:p>
      <w:pPr>
        <w:pStyle w:val="BodyText"/>
      </w:pPr>
      <w:r>
        <w:drawing>
          <wp:inline>
            <wp:extent cx="5334000" cy="1002720"/>
            <wp:effectExtent b="0" l="0" r="0" t="0"/>
            <wp:docPr descr="" title="" id="1977" name="Picture"/>
            <a:graphic>
              <a:graphicData uri="http://schemas.openxmlformats.org/drawingml/2006/picture">
                <pic:pic>
                  <pic:nvPicPr>
                    <pic:cNvPr descr="/home/user/System-Design/build/.cache/diagrams/2e6d5dd6aafe.png" id="1978" name="Picture"/>
                    <pic:cNvPicPr>
                      <a:picLocks noChangeArrowheads="1" noChangeAspect="1"/>
                    </pic:cNvPicPr>
                  </pic:nvPicPr>
                  <pic:blipFill>
                    <a:blip r:embed="rId1976"/>
                    <a:stretch>
                      <a:fillRect/>
                    </a:stretch>
                  </pic:blipFill>
                  <pic:spPr bwMode="auto">
                    <a:xfrm>
                      <a:off x="0" y="0"/>
                      <a:ext cx="5334000" cy="1002720"/>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Each box is one node, labeled with the levels it occupies; each arrow is a forward pointer labeled with its level (L1 links every node, L2 about a quarter to a half of them, L3 fewer still). Searching for 40 follows the bold path: at level 3 the head jumps straight to 30; the next L3 and L2 pointers from 30 overshoot (end, 50), so the search drops to level 1 and steps once to 40, two moves instead of four along the bottom list, a saving that grows with</w:t>
      </w:r>
      <w:r>
        <w:t xml:space="preserve"> </w:t>
      </w:r>
      <m:oMath>
        <m:r>
          <m:t>n</m:t>
        </m:r>
      </m:oMath>
      <w:r>
        <w:t xml:space="preserve">. Everything is in memory and every step is a synchronous pointer read. Failure points: unlucky coin flips can slow one search (the guarantee is probabilistic), and pointer chasing causes CPU cache misses (§5.4), which is why on-disk indexes prefer B-trees. Concurrency scales well because an insert changes only a few predecessor pointers.</w:t>
      </w:r>
    </w:p>
    <w:bookmarkEnd w:id="1979"/>
    <w:bookmarkStart w:id="1980" w:name="mathematical-foundations-38"/>
    <w:p>
      <w:pPr>
        <w:pStyle w:val="Heading4"/>
      </w:pPr>
      <w:r>
        <w:t xml:space="preserve">Mathematical foundations</w:t>
      </w:r>
    </w:p>
    <w:p>
      <w:pPr>
        <w:pStyle w:val="CalloutFormula"/>
      </w:pPr>
      <w:r>
        <w:rPr>
          <w:bCs/>
          <w:b/>
        </w:rPr>
        <w:t xml:space="preserve">FORMULA</w:t>
      </w:r>
    </w:p>
    <w:p>
      <w:pPr>
        <w:pStyle w:val="CalloutFormula"/>
      </w:pPr>
      <w:r>
        <w:rPr>
          <w:bCs/>
          <w:b/>
        </w:rPr>
        <w:t xml:space="preserve">Skip list levels, search cost and memory</w:t>
      </w:r>
    </w:p>
    <w:p>
      <w:pPr>
        <w:pStyle w:val="CalloutFormula"/>
      </w:pPr>
      <m:oMathPara>
        <m:oMathParaPr>
          <m:jc m:val="center"/>
        </m:oMathParaPr>
        <m:oMath>
          <m:r>
            <m:t>L</m:t>
          </m:r>
          <m:d>
            <m:dPr>
              <m:begChr m:val="("/>
              <m:endChr m:val=")"/>
              <m:sepChr m:val=""/>
              <m:grow/>
            </m:dPr>
            <m:e>
              <m:r>
                <m:t>n</m:t>
              </m:r>
            </m:e>
          </m:d>
          <m:r>
            <m:rPr>
              <m:sty m:val="p"/>
            </m:rPr>
            <m:t>=</m:t>
          </m:r>
          <m:sSub>
            <m:e>
              <m:r>
                <m:rPr>
                  <m:sty m:val="p"/>
                </m:rPr>
                <m:t>log</m:t>
              </m:r>
            </m:e>
            <m:sub>
              <m:r>
                <m:t>1</m:t>
              </m:r>
              <m:r>
                <m:rPr>
                  <m:sty m:val="p"/>
                </m:rPr>
                <m:t>/</m:t>
              </m:r>
              <m:r>
                <m:t>p</m:t>
              </m:r>
            </m:sub>
          </m:sSub>
          <m:r>
            <m:t>n</m:t>
          </m:r>
          <m:r>
            <m:rPr>
              <m:sty m:val="p"/>
            </m:rPr>
            <m:t>,</m:t>
          </m:r>
          <m:r>
            <m:t>  </m:t>
          </m:r>
          <m:r>
            <m:rPr>
              <m:sty m:val="p"/>
              <m:scr m:val="double-struck"/>
            </m:rPr>
            <m:t>E</m:t>
          </m:r>
          <m:d>
            <m:dPr>
              <m:begChr m:val="["/>
              <m:endChr m:val="]"/>
              <m:sepChr m:val=""/>
              <m:grow/>
            </m:dPr>
            <m:e>
              <m:r>
                <m:rPr>
                  <m:nor/>
                  <m:sty m:val="p"/>
                </m:rPr>
                <m:t>search path</m:t>
              </m:r>
            </m:e>
          </m:d>
          <m:r>
            <m:rPr>
              <m:sty m:val="p"/>
            </m:rPr>
            <m:t>≤</m:t>
          </m:r>
          <m:f>
            <m:fPr>
              <m:type m:val="bar"/>
            </m:fPr>
            <m:num>
              <m:r>
                <m:t>L</m:t>
              </m:r>
              <m:d>
                <m:dPr>
                  <m:begChr m:val="("/>
                  <m:endChr m:val=")"/>
                  <m:sepChr m:val=""/>
                  <m:grow/>
                </m:dPr>
                <m:e>
                  <m:r>
                    <m:t>n</m:t>
                  </m:r>
                </m:e>
              </m:d>
            </m:num>
            <m:den>
              <m:r>
                <m:t>p</m:t>
              </m:r>
            </m:den>
          </m:f>
          <m:r>
            <m:rPr>
              <m:sty m:val="p"/>
            </m:rPr>
            <m:t>+</m:t>
          </m:r>
          <m:f>
            <m:fPr>
              <m:type m:val="bar"/>
            </m:fPr>
            <m:num>
              <m:r>
                <m:t>1</m:t>
              </m:r>
            </m:num>
            <m:den>
              <m:r>
                <m:t>1</m:t>
              </m:r>
              <m:r>
                <m:rPr>
                  <m:sty m:val="p"/>
                </m:rPr>
                <m:t>−</m:t>
              </m:r>
              <m:r>
                <m:t>p</m:t>
              </m:r>
            </m:den>
          </m:f>
          <m:r>
            <m:rPr>
              <m:sty m:val="p"/>
            </m:rPr>
            <m:t>,</m:t>
          </m:r>
          <m:r>
            <m:t>  </m:t>
          </m:r>
          <m:r>
            <m:rPr>
              <m:sty m:val="p"/>
              <m:scr m:val="double-struck"/>
            </m:rPr>
            <m:t>E</m:t>
          </m:r>
          <m:d>
            <m:dPr>
              <m:begChr m:val="["/>
              <m:endChr m:val="]"/>
              <m:sepChr m:val=""/>
              <m:grow/>
            </m:dPr>
            <m:e>
              <m:r>
                <m:rPr>
                  <m:nor/>
                  <m:sty m:val="p"/>
                </m:rPr>
                <m:t>pointers per node</m:t>
              </m:r>
            </m:e>
          </m:d>
          <m:r>
            <m:rPr>
              <m:sty m:val="p"/>
            </m:rPr>
            <m:t>=</m:t>
          </m:r>
          <m:f>
            <m:fPr>
              <m:type m:val="bar"/>
            </m:fPr>
            <m:num>
              <m:r>
                <m:t>1</m:t>
              </m:r>
            </m:num>
            <m:den>
              <m:r>
                <m:t>1</m:t>
              </m:r>
              <m:r>
                <m:rPr>
                  <m:sty m:val="p"/>
                </m:rPr>
                <m:t>−</m:t>
              </m:r>
              <m:r>
                <m:t>p</m:t>
              </m:r>
            </m:den>
          </m:f>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n</m:t>
              </m:r>
            </m:oMath>
          </w:p>
        </w:tc>
        <w:tc>
          <w:tcPr/>
          <w:p>
            <w:pPr>
              <w:pStyle w:val="Compact"/>
              <w:jc w:val="left"/>
            </w:pPr>
            <w:r>
              <w:t xml:space="preserve">Number of elements</w:t>
            </w:r>
          </w:p>
        </w:tc>
        <w:tc>
          <w:tcPr/>
          <w:p>
            <w:pPr>
              <w:pStyle w:val="Compact"/>
              <w:jc w:val="left"/>
            </w:pPr>
            <w:r>
              <w:t xml:space="preserve">elements</w:t>
            </w:r>
          </w:p>
        </w:tc>
      </w:tr>
      <w:tr>
        <w:tc>
          <w:tcPr/>
          <w:p>
            <w:pPr>
              <w:pStyle w:val="Compact"/>
              <w:jc w:val="left"/>
            </w:pPr>
            <m:oMath>
              <m:r>
                <m:t>p</m:t>
              </m:r>
            </m:oMath>
          </w:p>
        </w:tc>
        <w:tc>
          <w:tcPr/>
          <w:p>
            <w:pPr>
              <w:pStyle w:val="Compact"/>
              <w:jc w:val="left"/>
            </w:pPr>
            <w:r>
              <w:t xml:space="preserve">Probability of promoting a node to the next level</w:t>
            </w:r>
          </w:p>
        </w:tc>
        <w:tc>
          <w:tcPr/>
          <w:p>
            <w:pPr>
              <w:pStyle w:val="Compact"/>
              <w:jc w:val="left"/>
            </w:pPr>
            <w:r>
              <w:t xml:space="preserve">probability</w:t>
            </w:r>
          </w:p>
        </w:tc>
      </w:tr>
      <w:tr>
        <w:tc>
          <w:tcPr/>
          <w:p>
            <w:pPr>
              <w:pStyle w:val="Compact"/>
              <w:jc w:val="left"/>
            </w:pPr>
            <m:oMath>
              <m:r>
                <m:t>L</m:t>
              </m:r>
              <m:d>
                <m:dPr>
                  <m:begChr m:val="("/>
                  <m:endChr m:val=")"/>
                  <m:sepChr m:val=""/>
                  <m:grow/>
                </m:dPr>
                <m:e>
                  <m:r>
                    <m:t>n</m:t>
                  </m:r>
                </m:e>
              </m:d>
            </m:oMath>
          </w:p>
        </w:tc>
        <w:tc>
          <w:tcPr/>
          <w:p>
            <w:pPr>
              <w:pStyle w:val="Compact"/>
              <w:jc w:val="left"/>
            </w:pPr>
            <w:r>
              <w:t xml:space="preserve">Expected number of levels in use</w:t>
            </w:r>
          </w:p>
        </w:tc>
        <w:tc>
          <w:tcPr/>
          <w:p>
            <w:pPr>
              <w:pStyle w:val="Compact"/>
              <w:jc w:val="left"/>
            </w:pPr>
            <w:r>
              <w:t xml:space="preserve">levels</w:t>
            </w:r>
          </w:p>
        </w:tc>
      </w:tr>
      <w:tr>
        <w:tc>
          <w:tcPr/>
          <w:p>
            <w:pPr>
              <w:pStyle w:val="Compact"/>
              <w:jc w:val="left"/>
            </w:pPr>
            <w:r>
              <w:t xml:space="preserve">Search path</w:t>
            </w:r>
          </w:p>
        </w:tc>
        <w:tc>
          <w:tcPr/>
          <w:p>
            <w:pPr>
              <w:pStyle w:val="Compact"/>
              <w:jc w:val="left"/>
            </w:pPr>
            <w:r>
              <w:t xml:space="preserve">Forward moves plus level drops during one search</w:t>
            </w:r>
          </w:p>
        </w:tc>
        <w:tc>
          <w:tcPr/>
          <w:p>
            <w:pPr>
              <w:pStyle w:val="Compact"/>
              <w:jc w:val="left"/>
            </w:pPr>
            <w:r>
              <w:t xml:space="preserve">steps</w:t>
            </w:r>
          </w:p>
        </w:tc>
      </w:tr>
      <w:tr>
        <w:tc>
          <w:tcPr/>
          <w:p>
            <w:pPr>
              <w:pStyle w:val="Compact"/>
              <w:jc w:val="left"/>
            </w:pPr>
            <w:r>
              <w:t xml:space="preserve">Pointers per node</w:t>
            </w:r>
          </w:p>
        </w:tc>
        <w:tc>
          <w:tcPr/>
          <w:p>
            <w:pPr>
              <w:pStyle w:val="Compact"/>
              <w:jc w:val="left"/>
            </w:pPr>
            <w:r>
              <w:t xml:space="preserve">Average forward pointers stored per element</w:t>
            </w:r>
          </w:p>
        </w:tc>
        <w:tc>
          <w:tcPr/>
          <w:p>
            <w:pPr>
              <w:pStyle w:val="Compact"/>
              <w:jc w:val="left"/>
            </w:pPr>
            <w:r>
              <w:t xml:space="preserve">pointers</w:t>
            </w:r>
          </w:p>
        </w:tc>
      </w:tr>
    </w:tbl>
    <w:p>
      <w:pPr>
        <w:pStyle w:val="CalloutExample"/>
      </w:pPr>
      <w:r>
        <w:rPr>
          <w:bCs/>
          <w:b/>
        </w:rPr>
        <w:t xml:space="preserve">WORKED EXAMPLE</w:t>
      </w:r>
    </w:p>
    <w:p>
      <w:pPr>
        <w:pStyle w:val="CalloutExample"/>
      </w:pPr>
      <w:r>
        <w:rPr>
          <w:bCs/>
          <w:b/>
        </w:rPr>
        <w:t xml:space="preserve">Worked example — choosing p for one million elements.</w:t>
      </w:r>
    </w:p>
    <w:p>
      <w:pPr>
        <w:numPr>
          <w:ilvl w:val="0"/>
          <w:numId w:val="1578"/>
        </w:numPr>
        <w:pStyle w:val="Compact"/>
      </w:pPr>
      <m:oMath>
        <m:r>
          <m:t>p</m:t>
        </m:r>
        <m:r>
          <m:rPr>
            <m:sty m:val="p"/>
          </m:rPr>
          <m:t>=</m:t>
        </m:r>
        <m:r>
          <m:t>1</m:t>
        </m:r>
        <m:r>
          <m:rPr>
            <m:sty m:val="p"/>
          </m:rPr>
          <m:t>/</m:t>
        </m:r>
        <m:r>
          <m:t>2</m:t>
        </m:r>
      </m:oMath>
      <w:r>
        <w:t xml:space="preserve">:</w:t>
      </w:r>
      <w:r>
        <w:t xml:space="preserve"> </w:t>
      </w:r>
      <m:oMath>
        <m:r>
          <m:t>L</m:t>
        </m:r>
        <m:r>
          <m:rPr>
            <m:sty m:val="p"/>
          </m:rPr>
          <m:t>=</m:t>
        </m:r>
        <m:sSub>
          <m:e>
            <m:r>
              <m:rPr>
                <m:sty m:val="p"/>
              </m:rPr>
              <m:t>log</m:t>
            </m:r>
          </m:e>
          <m:sub>
            <m:r>
              <m:t>2</m:t>
            </m:r>
          </m:sub>
        </m:sSub>
        <m:sSup>
          <m:e>
            <m:r>
              <m:t>10</m:t>
            </m:r>
          </m:e>
          <m:sup>
            <m:r>
              <m:t>6</m:t>
            </m:r>
          </m:sup>
        </m:sSup>
        <m:r>
          <m:rPr>
            <m:sty m:val="p"/>
          </m:rPr>
          <m:t>=</m:t>
        </m:r>
        <m:r>
          <m:t>19.9</m:t>
        </m:r>
      </m:oMath>
      <w:r>
        <w:t xml:space="preserve"> </w:t>
      </w:r>
      <w:r>
        <w:t xml:space="preserve">levels; search path</w:t>
      </w:r>
      <w:r>
        <w:t xml:space="preserve"> </w:t>
      </w:r>
      <m:oMath>
        <m:r>
          <m:rPr>
            <m:sty m:val="p"/>
          </m:rPr>
          <m:t>≤</m:t>
        </m:r>
        <m:r>
          <m:t>19.9</m:t>
        </m:r>
        <m:r>
          <m:rPr>
            <m:sty m:val="p"/>
          </m:rPr>
          <m:t>/</m:t>
        </m:r>
        <m:r>
          <m:t>0.5</m:t>
        </m:r>
        <m:r>
          <m:rPr>
            <m:sty m:val="p"/>
          </m:rPr>
          <m:t>+</m:t>
        </m:r>
        <m:r>
          <m:t>1</m:t>
        </m:r>
        <m:r>
          <m:rPr>
            <m:sty m:val="p"/>
          </m:rPr>
          <m:t>/</m:t>
        </m:r>
        <m:r>
          <m:t>0.5</m:t>
        </m:r>
        <m:r>
          <m:rPr>
            <m:sty m:val="p"/>
          </m:rPr>
          <m:t>=</m:t>
        </m:r>
        <m:r>
          <m:t>41.9</m:t>
        </m:r>
      </m:oMath>
      <w:r>
        <w:t xml:space="preserve"> </w:t>
      </w:r>
      <w:r>
        <w:t xml:space="preserve">steps; 2.00 pointers per node.</w:t>
      </w:r>
    </w:p>
    <w:p>
      <w:pPr>
        <w:numPr>
          <w:ilvl w:val="0"/>
          <w:numId w:val="1578"/>
        </w:numPr>
        <w:pStyle w:val="Compact"/>
      </w:pPr>
      <m:oMath>
        <m:r>
          <m:t>p</m:t>
        </m:r>
        <m:r>
          <m:rPr>
            <m:sty m:val="p"/>
          </m:rPr>
          <m:t>=</m:t>
        </m:r>
        <m:r>
          <m:t>1</m:t>
        </m:r>
        <m:r>
          <m:rPr>
            <m:sty m:val="p"/>
          </m:rPr>
          <m:t>/</m:t>
        </m:r>
        <m:r>
          <m:t>4</m:t>
        </m:r>
      </m:oMath>
      <w:r>
        <w:t xml:space="preserve">:</w:t>
      </w:r>
      <w:r>
        <w:t xml:space="preserve"> </w:t>
      </w:r>
      <m:oMath>
        <m:r>
          <m:t>L</m:t>
        </m:r>
        <m:r>
          <m:rPr>
            <m:sty m:val="p"/>
          </m:rPr>
          <m:t>=</m:t>
        </m:r>
        <m:sSub>
          <m:e>
            <m:r>
              <m:rPr>
                <m:sty m:val="p"/>
              </m:rPr>
              <m:t>log</m:t>
            </m:r>
          </m:e>
          <m:sub>
            <m:r>
              <m:t>4</m:t>
            </m:r>
          </m:sub>
        </m:sSub>
        <m:sSup>
          <m:e>
            <m:r>
              <m:t>10</m:t>
            </m:r>
          </m:e>
          <m:sup>
            <m:r>
              <m:t>6</m:t>
            </m:r>
          </m:sup>
        </m:sSup>
        <m:r>
          <m:rPr>
            <m:sty m:val="p"/>
          </m:rPr>
          <m:t>=</m:t>
        </m:r>
        <m:r>
          <m:t>6</m:t>
        </m:r>
        <m:r>
          <m:rPr>
            <m:sty m:val="p"/>
          </m:rPr>
          <m:t>/</m:t>
        </m:r>
        <m:sSub>
          <m:e>
            <m:r>
              <m:rPr>
                <m:sty m:val="p"/>
              </m:rPr>
              <m:t>log</m:t>
            </m:r>
          </m:e>
          <m:sub>
            <m:r>
              <m:t>10</m:t>
            </m:r>
          </m:sub>
        </m:sSub>
        <m:r>
          <m:t>4</m:t>
        </m:r>
        <m:r>
          <m:rPr>
            <m:sty m:val="p"/>
          </m:rPr>
          <m:t>=</m:t>
        </m:r>
        <m:r>
          <m:t>6</m:t>
        </m:r>
        <m:r>
          <m:rPr>
            <m:sty m:val="p"/>
          </m:rPr>
          <m:t>/</m:t>
        </m:r>
        <m:r>
          <m:t>0.602</m:t>
        </m:r>
        <m:r>
          <m:rPr>
            <m:sty m:val="p"/>
          </m:rPr>
          <m:t>=</m:t>
        </m:r>
        <m:r>
          <m:t>9.97</m:t>
        </m:r>
      </m:oMath>
      <w:r>
        <w:t xml:space="preserve"> </w:t>
      </w:r>
      <w:r>
        <w:t xml:space="preserve">levels; search path</w:t>
      </w:r>
      <w:r>
        <w:t xml:space="preserve"> </w:t>
      </w:r>
      <m:oMath>
        <m:r>
          <m:rPr>
            <m:sty m:val="p"/>
          </m:rPr>
          <m:t>≤</m:t>
        </m:r>
        <m:r>
          <m:t>9.97</m:t>
        </m:r>
        <m:r>
          <m:rPr>
            <m:sty m:val="p"/>
          </m:rPr>
          <m:t>/</m:t>
        </m:r>
        <m:r>
          <m:t>0.25</m:t>
        </m:r>
        <m:r>
          <m:rPr>
            <m:sty m:val="p"/>
          </m:rPr>
          <m:t>+</m:t>
        </m:r>
        <m:r>
          <m:t>1</m:t>
        </m:r>
        <m:r>
          <m:rPr>
            <m:sty m:val="p"/>
          </m:rPr>
          <m:t>/</m:t>
        </m:r>
        <m:r>
          <m:t>0.75</m:t>
        </m:r>
        <m:r>
          <m:rPr>
            <m:sty m:val="p"/>
          </m:rPr>
          <m:t>=</m:t>
        </m:r>
        <m:r>
          <m:t>41.2</m:t>
        </m:r>
      </m:oMath>
      <w:r>
        <w:t xml:space="preserve"> </w:t>
      </w:r>
      <w:r>
        <w:t xml:space="preserve">steps; 1.33 pointers per node.</w:t>
      </w:r>
    </w:p>
    <w:p>
      <w:pPr>
        <w:pStyle w:val="CalloutExample"/>
      </w:pPr>
      <w:r>
        <w:rPr>
          <w:iCs/>
          <w:i/>
        </w:rPr>
        <w:t xml:space="preserve">Interpretation.</w:t>
      </w:r>
      <w:r>
        <w:t xml:space="preserve"> </w:t>
      </w:r>
      <w:r>
        <w:t xml:space="preserve">Both give about 40 steps, but</w:t>
      </w:r>
      <w:r>
        <w:t xml:space="preserve"> </w:t>
      </w:r>
      <m:oMath>
        <m:r>
          <m:t>p</m:t>
        </m:r>
        <m:r>
          <m:rPr>
            <m:sty m:val="p"/>
          </m:rPr>
          <m:t>=</m:t>
        </m:r>
        <m:r>
          <m:t>1</m:t>
        </m:r>
        <m:r>
          <m:rPr>
            <m:sty m:val="p"/>
          </m:rPr>
          <m:t>/</m:t>
        </m:r>
        <m:r>
          <m:t>4</m:t>
        </m:r>
      </m:oMath>
      <w:r>
        <w:t xml:space="preserve"> </w:t>
      </w:r>
      <w:r>
        <w:t xml:space="preserve">stores a third fewer pointers.</w:t>
      </w:r>
      <w:r>
        <w:t xml:space="preserve"> </w:t>
      </w:r>
      <w:r>
        <w:rPr>
          <w:iCs/>
          <w:i/>
        </w:rPr>
        <w:t xml:space="preserve">Engineering implication.</w:t>
      </w:r>
      <w:r>
        <w:t xml:space="preserve"> </w:t>
      </w:r>
      <w:r>
        <w:t xml:space="preserve">That is why Redis uses</w:t>
      </w:r>
      <w:r>
        <w:t xml:space="preserve"> </w:t>
      </w:r>
      <m:oMath>
        <m:r>
          <m:t>p</m:t>
        </m:r>
        <m:r>
          <m:rPr>
            <m:sty m:val="p"/>
          </m:rPr>
          <m:t>=</m:t>
        </m:r>
        <m:r>
          <m:t>1</m:t>
        </m:r>
        <m:r>
          <m:rPr>
            <m:sty m:val="p"/>
          </m:rPr>
          <m:t>/</m:t>
        </m:r>
        <m:r>
          <m:t>4</m:t>
        </m:r>
      </m:oMath>
      <w:r>
        <w:t xml:space="preserve">.</w:t>
      </w:r>
    </w:p>
    <w:bookmarkEnd w:id="1980"/>
    <w:bookmarkStart w:id="1981" w:name="code-example-and-measured-validation"/>
    <w:p>
      <w:pPr>
        <w:pStyle w:val="Heading4"/>
      </w:pPr>
      <w:r>
        <w:t xml:space="preserve">Code example and measured validation</w:t>
      </w:r>
    </w:p>
    <w:p>
      <w:pPr>
        <w:pStyle w:val="SourceCode"/>
      </w:pPr>
      <w:r>
        <w:rPr>
          <w:rStyle w:val="ImportTok"/>
        </w:rPr>
        <w:t xml:space="preserve">import</w:t>
      </w:r>
      <w:r>
        <w:rPr>
          <w:rStyle w:val="NormalTok"/>
        </w:rPr>
        <w:t xml:space="preserve"> math</w:t>
      </w:r>
      <w:r>
        <w:br/>
      </w:r>
      <w:r>
        <w:rPr>
          <w:rStyle w:val="ImportTok"/>
        </w:rPr>
        <w:t xml:space="preserve">import</w:t>
      </w:r>
      <w:r>
        <w:rPr>
          <w:rStyle w:val="NormalTok"/>
        </w:rPr>
        <w:t xml:space="preserve"> random</w:t>
      </w:r>
      <w:r>
        <w:br/>
      </w:r>
      <w:r>
        <w:br/>
      </w:r>
      <w:r>
        <w:rPr>
          <w:rStyle w:val="KeywordTok"/>
        </w:rPr>
        <w:t xml:space="preserve">class</w:t>
      </w:r>
      <w:r>
        <w:rPr>
          <w:rStyle w:val="NormalTok"/>
        </w:rPr>
        <w:t xml:space="preserve"> Node:</w:t>
      </w:r>
      <w:r>
        <w:br/>
      </w:r>
      <w:r>
        <w:rPr>
          <w:rStyle w:val="NormalTok"/>
        </w:rPr>
        <w:t xml:space="preserve">    </w:t>
      </w:r>
      <w:r>
        <w:rPr>
          <w:rStyle w:val="FunctionTok"/>
        </w:rPr>
        <w:t xml:space="preserve">__slots__</w:t>
      </w:r>
      <w:r>
        <w:rPr>
          <w:rStyle w:val="NormalTok"/>
        </w:rPr>
        <w:t xml:space="preserve"> </w:t>
      </w:r>
      <w:r>
        <w:rPr>
          <w:rStyle w:val="OperatorTok"/>
        </w:rPr>
        <w:t xml:space="preserve">=</w:t>
      </w:r>
      <w:r>
        <w:rPr>
          <w:rStyle w:val="NormalTok"/>
        </w:rPr>
        <w:t xml:space="preserve"> (</w:t>
      </w:r>
      <w:r>
        <w:rPr>
          <w:rStyle w:val="StringTok"/>
        </w:rPr>
        <w:t xml:space="preserve">"key"</w:t>
      </w:r>
      <w:r>
        <w:rPr>
          <w:rStyle w:val="NormalTok"/>
        </w:rPr>
        <w:t xml:space="preserve">, </w:t>
      </w:r>
      <w:r>
        <w:rPr>
          <w:rStyle w:val="StringTok"/>
        </w:rPr>
        <w:t xml:space="preserve">"forward"</w:t>
      </w:r>
      <w:r>
        <w:rPr>
          <w:rStyle w:val="NormalTok"/>
        </w:rPr>
        <w:t xml:space="preserv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key, level):</w:t>
      </w:r>
      <w:r>
        <w:br/>
      </w:r>
      <w:r>
        <w:rPr>
          <w:rStyle w:val="NormalTok"/>
        </w:rPr>
        <w:t xml:space="preserve">        </w:t>
      </w:r>
      <w:r>
        <w:rPr>
          <w:rStyle w:val="VariableTok"/>
        </w:rPr>
        <w:t xml:space="preserve">self</w:t>
      </w:r>
      <w:r>
        <w:rPr>
          <w:rStyle w:val="NormalTok"/>
        </w:rPr>
        <w:t xml:space="preserve">.key, </w:t>
      </w:r>
      <w:r>
        <w:rPr>
          <w:rStyle w:val="VariableTok"/>
        </w:rPr>
        <w:t xml:space="preserve">self</w:t>
      </w:r>
      <w:r>
        <w:rPr>
          <w:rStyle w:val="NormalTok"/>
        </w:rPr>
        <w:t xml:space="preserve">.forward </w:t>
      </w:r>
      <w:r>
        <w:rPr>
          <w:rStyle w:val="OperatorTok"/>
        </w:rPr>
        <w:t xml:space="preserve">=</w:t>
      </w:r>
      <w:r>
        <w:rPr>
          <w:rStyle w:val="NormalTok"/>
        </w:rPr>
        <w:t xml:space="preserve"> key, [</w:t>
      </w:r>
      <w:r>
        <w:rPr>
          <w:rStyle w:val="VariableTok"/>
        </w:rPr>
        <w:t xml:space="preserve">None</w:t>
      </w:r>
      <w:r>
        <w:rPr>
          <w:rStyle w:val="NormalTok"/>
        </w:rPr>
        <w:t xml:space="preserve">] </w:t>
      </w:r>
      <w:r>
        <w:rPr>
          <w:rStyle w:val="OperatorTok"/>
        </w:rPr>
        <w:t xml:space="preserve">*</w:t>
      </w:r>
      <w:r>
        <w:rPr>
          <w:rStyle w:val="NormalTok"/>
        </w:rPr>
        <w:t xml:space="preserve"> level</w:t>
      </w:r>
      <w:r>
        <w:br/>
      </w:r>
      <w:r>
        <w:br/>
      </w:r>
      <w:r>
        <w:rPr>
          <w:rStyle w:val="KeywordTok"/>
        </w:rPr>
        <w:t xml:space="preserve">class</w:t>
      </w:r>
      <w:r>
        <w:rPr>
          <w:rStyle w:val="NormalTok"/>
        </w:rPr>
        <w:t xml:space="preserve"> SkipList:</w:t>
      </w:r>
      <w:r>
        <w:br/>
      </w:r>
      <w:r>
        <w:rPr>
          <w:rStyle w:val="NormalTok"/>
        </w:rPr>
        <w:t xml:space="preserve">    </w:t>
      </w:r>
      <w:r>
        <w:rPr>
          <w:rStyle w:val="CommentTok"/>
        </w:rPr>
        <w:t xml:space="preserve">"""Pugh's skip list with promotion probability p (Redis uses p = 0.25, max level 32)."""</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p: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0.25</w:t>
      </w:r>
      <w:r>
        <w:rPr>
          <w:rStyle w:val="NormalTok"/>
        </w:rPr>
        <w:t xml:space="preserve">, max_level: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32</w:t>
      </w:r>
      <w:r>
        <w:rPr>
          <w:rStyle w:val="NormalTok"/>
        </w:rPr>
        <w:t xml:space="preserve">, seed: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.p, </w:t>
      </w:r>
      <w:r>
        <w:rPr>
          <w:rStyle w:val="VariableTok"/>
        </w:rPr>
        <w:t xml:space="preserve">self</w:t>
      </w:r>
      <w:r>
        <w:rPr>
          <w:rStyle w:val="NormalTok"/>
        </w:rPr>
        <w:t xml:space="preserve">.max_level </w:t>
      </w:r>
      <w:r>
        <w:rPr>
          <w:rStyle w:val="OperatorTok"/>
        </w:rPr>
        <w:t xml:space="preserve">=</w:t>
      </w:r>
      <w:r>
        <w:rPr>
          <w:rStyle w:val="NormalTok"/>
        </w:rPr>
        <w:t xml:space="preserve"> p, max_level</w:t>
      </w:r>
      <w:r>
        <w:br/>
      </w:r>
      <w:r>
        <w:rPr>
          <w:rStyle w:val="NormalTok"/>
        </w:rPr>
        <w:t xml:space="preserve">        </w:t>
      </w:r>
      <w:r>
        <w:rPr>
          <w:rStyle w:val="VariableTok"/>
        </w:rPr>
        <w:t xml:space="preserve">self</w:t>
      </w:r>
      <w:r>
        <w:rPr>
          <w:rStyle w:val="NormalTok"/>
        </w:rPr>
        <w:t xml:space="preserve">.head </w:t>
      </w:r>
      <w:r>
        <w:rPr>
          <w:rStyle w:val="OperatorTok"/>
        </w:rPr>
        <w:t xml:space="preserve">=</w:t>
      </w:r>
      <w:r>
        <w:rPr>
          <w:rStyle w:val="NormalTok"/>
        </w:rPr>
        <w:t xml:space="preserve"> Node(</w:t>
      </w:r>
      <w:r>
        <w:rPr>
          <w:rStyle w:val="VariableTok"/>
        </w:rPr>
        <w:t xml:space="preserve">None</w:t>
      </w:r>
      <w:r>
        <w:rPr>
          <w:rStyle w:val="NormalTok"/>
        </w:rPr>
        <w:t xml:space="preserve">, max_level)</w:t>
      </w:r>
      <w:r>
        <w:br/>
      </w:r>
      <w:r>
        <w:rPr>
          <w:rStyle w:val="NormalTok"/>
        </w:rPr>
        <w:t xml:space="preserve">        </w:t>
      </w:r>
      <w:r>
        <w:rPr>
          <w:rStyle w:val="VariableTok"/>
        </w:rPr>
        <w:t xml:space="preserve">self</w:t>
      </w:r>
      <w:r>
        <w:rPr>
          <w:rStyle w:val="NormalTok"/>
        </w:rPr>
        <w:t xml:space="preserve">.level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VariableTok"/>
        </w:rPr>
        <w:t xml:space="preserve">self</w:t>
      </w:r>
      <w:r>
        <w:rPr>
          <w:rStyle w:val="NormalTok"/>
        </w:rPr>
        <w:t xml:space="preserve">.pointers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total forward pointers allocated</w:t>
      </w:r>
      <w:r>
        <w:br/>
      </w:r>
      <w:r>
        <w:rPr>
          <w:rStyle w:val="NormalTok"/>
        </w:rPr>
        <w:t xml:space="preserve">        </w:t>
      </w:r>
      <w:r>
        <w:rPr>
          <w:rStyle w:val="VariableTok"/>
        </w:rPr>
        <w:t xml:space="preserve">self</w:t>
      </w:r>
      <w:r>
        <w:rPr>
          <w:rStyle w:val="NormalTok"/>
        </w:rPr>
        <w:t xml:space="preserve">.rng </w:t>
      </w:r>
      <w:r>
        <w:rPr>
          <w:rStyle w:val="OperatorTok"/>
        </w:rPr>
        <w:t xml:space="preserve">=</w:t>
      </w:r>
      <w:r>
        <w:rPr>
          <w:rStyle w:val="NormalTok"/>
        </w:rPr>
        <w:t xml:space="preserve"> random.Random(seed)</w:t>
      </w:r>
      <w:r>
        <w:br/>
      </w:r>
      <w:r>
        <w:br/>
      </w:r>
      <w:r>
        <w:rPr>
          <w:rStyle w:val="NormalTok"/>
        </w:rPr>
        <w:t xml:space="preserve">    </w:t>
      </w:r>
      <w:r>
        <w:rPr>
          <w:rStyle w:val="KeywordTok"/>
        </w:rPr>
        <w:t xml:space="preserve">def</w:t>
      </w:r>
      <w:r>
        <w:rPr>
          <w:rStyle w:val="NormalTok"/>
        </w:rPr>
        <w:t xml:space="preserve"> _random_level(</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lvl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while</w:t>
      </w:r>
      <w:r>
        <w:rPr>
          <w:rStyle w:val="NormalTok"/>
        </w:rPr>
        <w:t xml:space="preserve"> </w:t>
      </w:r>
      <w:r>
        <w:rPr>
          <w:rStyle w:val="VariableTok"/>
        </w:rPr>
        <w:t xml:space="preserve">self</w:t>
      </w:r>
      <w:r>
        <w:rPr>
          <w:rStyle w:val="NormalTok"/>
        </w:rPr>
        <w:t xml:space="preserve">.rng.random() </w:t>
      </w:r>
      <w:r>
        <w:rPr>
          <w:rStyle w:val="OperatorTok"/>
        </w:rPr>
        <w:t xml:space="preserve">&lt;</w:t>
      </w:r>
      <w:r>
        <w:rPr>
          <w:rStyle w:val="NormalTok"/>
        </w:rPr>
        <w:t xml:space="preserve"> </w:t>
      </w:r>
      <w:r>
        <w:rPr>
          <w:rStyle w:val="VariableTok"/>
        </w:rPr>
        <w:t xml:space="preserve">self</w:t>
      </w:r>
      <w:r>
        <w:rPr>
          <w:rStyle w:val="NormalTok"/>
        </w:rPr>
        <w:t xml:space="preserve">.p </w:t>
      </w:r>
      <w:r>
        <w:rPr>
          <w:rStyle w:val="KeywordTok"/>
        </w:rPr>
        <w:t xml:space="preserve">and</w:t>
      </w:r>
      <w:r>
        <w:rPr>
          <w:rStyle w:val="NormalTok"/>
        </w:rPr>
        <w:t xml:space="preserve"> lvl </w:t>
      </w:r>
      <w:r>
        <w:rPr>
          <w:rStyle w:val="OperatorTok"/>
        </w:rPr>
        <w:t xml:space="preserve">&lt;</w:t>
      </w:r>
      <w:r>
        <w:rPr>
          <w:rStyle w:val="NormalTok"/>
        </w:rPr>
        <w:t xml:space="preserve"> </w:t>
      </w:r>
      <w:r>
        <w:rPr>
          <w:rStyle w:val="VariableTok"/>
        </w:rPr>
        <w:t xml:space="preserve">self</w:t>
      </w:r>
      <w:r>
        <w:rPr>
          <w:rStyle w:val="NormalTok"/>
        </w:rPr>
        <w:t xml:space="preserve">.max_level:</w:t>
      </w:r>
      <w:r>
        <w:br/>
      </w:r>
      <w:r>
        <w:rPr>
          <w:rStyle w:val="NormalTok"/>
        </w:rPr>
        <w:t xml:space="preserve">            lvl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lvl</w:t>
      </w:r>
      <w:r>
        <w:br/>
      </w:r>
      <w:r>
        <w:br/>
      </w:r>
      <w:r>
        <w:rPr>
          <w:rStyle w:val="NormalTok"/>
        </w:rPr>
        <w:t xml:space="preserve">    </w:t>
      </w:r>
      <w:r>
        <w:rPr>
          <w:rStyle w:val="KeywordTok"/>
        </w:rPr>
        <w:t xml:space="preserve">def</w:t>
      </w:r>
      <w:r>
        <w:rPr>
          <w:rStyle w:val="NormalTok"/>
        </w:rPr>
        <w:t xml:space="preserve"> insert(</w:t>
      </w:r>
      <w:r>
        <w:rPr>
          <w:rStyle w:val="VariableTok"/>
        </w:rPr>
        <w:t xml:space="preserve">self</w:t>
      </w:r>
      <w:r>
        <w:rPr>
          <w:rStyle w:val="NormalTok"/>
        </w:rPr>
        <w:t xml:space="preserve">, key)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update, x </w:t>
      </w:r>
      <w:r>
        <w:rPr>
          <w:rStyle w:val="OperatorTok"/>
        </w:rPr>
        <w:t xml:space="preserve">=</w:t>
      </w:r>
      <w:r>
        <w:rPr>
          <w:rStyle w:val="NormalTok"/>
        </w:rPr>
        <w:t xml:space="preserve"> [</w:t>
      </w:r>
      <w:r>
        <w:rPr>
          <w:rStyle w:val="VariableTok"/>
        </w:rPr>
        <w:t xml:space="preserve">self</w:t>
      </w:r>
      <w:r>
        <w:rPr>
          <w:rStyle w:val="NormalTok"/>
        </w:rPr>
        <w:t xml:space="preserve">.head] </w:t>
      </w:r>
      <w:r>
        <w:rPr>
          <w:rStyle w:val="OperatorTok"/>
        </w:rPr>
        <w:t xml:space="preserve">*</w:t>
      </w:r>
      <w:r>
        <w:rPr>
          <w:rStyle w:val="NormalTok"/>
        </w:rPr>
        <w:t xml:space="preserve"> </w:t>
      </w:r>
      <w:r>
        <w:rPr>
          <w:rStyle w:val="VariableTok"/>
        </w:rPr>
        <w:t xml:space="preserve">self</w:t>
      </w:r>
      <w:r>
        <w:rPr>
          <w:rStyle w:val="NormalTok"/>
        </w:rPr>
        <w:t xml:space="preserve">.max_level, </w:t>
      </w:r>
      <w:r>
        <w:rPr>
          <w:rStyle w:val="VariableTok"/>
        </w:rPr>
        <w:t xml:space="preserve">self</w:t>
      </w:r>
      <w:r>
        <w:rPr>
          <w:rStyle w:val="NormalTok"/>
        </w:rPr>
        <w:t xml:space="preserve">.head</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reversed</w:t>
      </w:r>
      <w:r>
        <w:rPr>
          <w:rStyle w:val="NormalTok"/>
        </w:rPr>
        <w:t xml:space="preserve">(</w:t>
      </w:r>
      <w:r>
        <w:rPr>
          <w:rStyle w:val="BuiltInTok"/>
        </w:rPr>
        <w:t xml:space="preserve">range</w:t>
      </w:r>
      <w:r>
        <w:rPr>
          <w:rStyle w:val="NormalTok"/>
        </w:rPr>
        <w:t xml:space="preserve">(</w:t>
      </w:r>
      <w:r>
        <w:rPr>
          <w:rStyle w:val="VariableTok"/>
        </w:rPr>
        <w:t xml:space="preserve">self</w:t>
      </w:r>
      <w:r>
        <w:rPr>
          <w:rStyle w:val="NormalTok"/>
        </w:rPr>
        <w:t xml:space="preserve">.level)):           </w:t>
      </w:r>
      <w:r>
        <w:rPr>
          <w:rStyle w:val="CommentTok"/>
        </w:rPr>
        <w:t xml:space="preserve"># descend, remembering the last node per level</w:t>
      </w:r>
      <w:r>
        <w:br/>
      </w:r>
      <w:r>
        <w:rPr>
          <w:rStyle w:val="NormalTok"/>
        </w:rPr>
        <w:t xml:space="preserve">            </w:t>
      </w:r>
      <w:r>
        <w:rPr>
          <w:rStyle w:val="ControlFlowTok"/>
        </w:rPr>
        <w:t xml:space="preserve">while</w:t>
      </w:r>
      <w:r>
        <w:rPr>
          <w:rStyle w:val="NormalTok"/>
        </w:rPr>
        <w:t xml:space="preserve"> x.forward[i] </w:t>
      </w:r>
      <w:r>
        <w:rPr>
          <w:rStyle w:val="KeywordTok"/>
        </w:rPr>
        <w:t xml:space="preserve">and</w:t>
      </w:r>
      <w:r>
        <w:rPr>
          <w:rStyle w:val="NormalTok"/>
        </w:rPr>
        <w:t xml:space="preserve"> x.forward[i].key </w:t>
      </w:r>
      <w:r>
        <w:rPr>
          <w:rStyle w:val="OperatorTok"/>
        </w:rPr>
        <w:t xml:space="preserve">&lt;</w:t>
      </w:r>
      <w:r>
        <w:rPr>
          <w:rStyle w:val="NormalTok"/>
        </w:rPr>
        <w:t xml:space="preserve"> key:</w:t>
      </w:r>
      <w:r>
        <w:br/>
      </w:r>
      <w:r>
        <w:rPr>
          <w:rStyle w:val="NormalTok"/>
        </w:rPr>
        <w:t xml:space="preserve">                x </w:t>
      </w:r>
      <w:r>
        <w:rPr>
          <w:rStyle w:val="OperatorTok"/>
        </w:rPr>
        <w:t xml:space="preserve">=</w:t>
      </w:r>
      <w:r>
        <w:rPr>
          <w:rStyle w:val="NormalTok"/>
        </w:rPr>
        <w:t xml:space="preserve"> x.forward[i]</w:t>
      </w:r>
      <w:r>
        <w:br/>
      </w:r>
      <w:r>
        <w:rPr>
          <w:rStyle w:val="NormalTok"/>
        </w:rPr>
        <w:t xml:space="preserve">            update[i] </w:t>
      </w:r>
      <w:r>
        <w:rPr>
          <w:rStyle w:val="OperatorTok"/>
        </w:rPr>
        <w:t xml:space="preserve">=</w:t>
      </w:r>
      <w:r>
        <w:rPr>
          <w:rStyle w:val="NormalTok"/>
        </w:rPr>
        <w:t xml:space="preserve"> x</w:t>
      </w:r>
      <w:r>
        <w:br/>
      </w:r>
      <w:r>
        <w:rPr>
          <w:rStyle w:val="NormalTok"/>
        </w:rPr>
        <w:t xml:space="preserve">        lvl </w:t>
      </w:r>
      <w:r>
        <w:rPr>
          <w:rStyle w:val="OperatorTok"/>
        </w:rPr>
        <w:t xml:space="preserve">=</w:t>
      </w:r>
      <w:r>
        <w:rPr>
          <w:rStyle w:val="NormalTok"/>
        </w:rPr>
        <w:t xml:space="preserve"> </w:t>
      </w:r>
      <w:r>
        <w:rPr>
          <w:rStyle w:val="VariableTok"/>
        </w:rPr>
        <w:t xml:space="preserve">self</w:t>
      </w:r>
      <w:r>
        <w:rPr>
          <w:rStyle w:val="NormalTok"/>
        </w:rPr>
        <w:t xml:space="preserve">._random_level()</w:t>
      </w:r>
      <w:r>
        <w:br/>
      </w:r>
      <w:r>
        <w:rPr>
          <w:rStyle w:val="NormalTok"/>
        </w:rPr>
        <w:t xml:space="preserve">        </w:t>
      </w:r>
      <w:r>
        <w:rPr>
          <w:rStyle w:val="VariableTok"/>
        </w:rPr>
        <w:t xml:space="preserve">self</w:t>
      </w:r>
      <w:r>
        <w:rPr>
          <w:rStyle w:val="NormalTok"/>
        </w:rPr>
        <w:t xml:space="preserve">.level </w:t>
      </w:r>
      <w:r>
        <w:rPr>
          <w:rStyle w:val="OperatorTok"/>
        </w:rPr>
        <w:t xml:space="preserve">=</w:t>
      </w:r>
      <w:r>
        <w:rPr>
          <w:rStyle w:val="NormalTok"/>
        </w:rPr>
        <w:t xml:space="preserve"> </w:t>
      </w:r>
      <w:r>
        <w:rPr>
          <w:rStyle w:val="BuiltInTok"/>
        </w:rPr>
        <w:t xml:space="preserve">max</w:t>
      </w:r>
      <w:r>
        <w:rPr>
          <w:rStyle w:val="NormalTok"/>
        </w:rPr>
        <w:t xml:space="preserve">(</w:t>
      </w:r>
      <w:r>
        <w:rPr>
          <w:rStyle w:val="VariableTok"/>
        </w:rPr>
        <w:t xml:space="preserve">self</w:t>
      </w:r>
      <w:r>
        <w:rPr>
          <w:rStyle w:val="NormalTok"/>
        </w:rPr>
        <w:t xml:space="preserve">.level, lvl)</w:t>
      </w:r>
      <w:r>
        <w:br/>
      </w:r>
      <w:r>
        <w:rPr>
          <w:rStyle w:val="NormalTok"/>
        </w:rPr>
        <w:t xml:space="preserve">        node </w:t>
      </w:r>
      <w:r>
        <w:rPr>
          <w:rStyle w:val="OperatorTok"/>
        </w:rPr>
        <w:t xml:space="preserve">=</w:t>
      </w:r>
      <w:r>
        <w:rPr>
          <w:rStyle w:val="NormalTok"/>
        </w:rPr>
        <w:t xml:space="preserve"> Node(key, lvl)</w:t>
      </w:r>
      <w:r>
        <w:br/>
      </w:r>
      <w:r>
        <w:rPr>
          <w:rStyle w:val="NormalTok"/>
        </w:rPr>
        <w:t xml:space="preserve">        </w:t>
      </w:r>
      <w:r>
        <w:rPr>
          <w:rStyle w:val="VariableTok"/>
        </w:rPr>
        <w:t xml:space="preserve">self</w:t>
      </w:r>
      <w:r>
        <w:rPr>
          <w:rStyle w:val="NormalTok"/>
        </w:rPr>
        <w:t xml:space="preserve">.pointers </w:t>
      </w:r>
      <w:r>
        <w:rPr>
          <w:rStyle w:val="OperatorTok"/>
        </w:rPr>
        <w:t xml:space="preserve">+=</w:t>
      </w:r>
      <w:r>
        <w:rPr>
          <w:rStyle w:val="NormalTok"/>
        </w:rPr>
        <w:t xml:space="preserve"> lvl</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(lvl):                             </w:t>
      </w:r>
      <w:r>
        <w:rPr>
          <w:rStyle w:val="CommentTok"/>
        </w:rPr>
        <w:t xml:space="preserve"># splice in at each of its levels</w:t>
      </w:r>
      <w:r>
        <w:br/>
      </w:r>
      <w:r>
        <w:rPr>
          <w:rStyle w:val="NormalTok"/>
        </w:rPr>
        <w:t xml:space="preserve">            node.forward[i], update[i].forward[i] </w:t>
      </w:r>
      <w:r>
        <w:rPr>
          <w:rStyle w:val="OperatorTok"/>
        </w:rPr>
        <w:t xml:space="preserve">=</w:t>
      </w:r>
      <w:r>
        <w:rPr>
          <w:rStyle w:val="NormalTok"/>
        </w:rPr>
        <w:t xml:space="preserve"> update[i].forward[i], node</w:t>
      </w:r>
      <w:r>
        <w:br/>
      </w:r>
      <w:r>
        <w:br/>
      </w:r>
      <w:r>
        <w:rPr>
          <w:rStyle w:val="NormalTok"/>
        </w:rPr>
        <w:t xml:space="preserve">    </w:t>
      </w:r>
      <w:r>
        <w:rPr>
          <w:rStyle w:val="KeywordTok"/>
        </w:rPr>
        <w:t xml:space="preserve">def</w:t>
      </w:r>
      <w:r>
        <w:rPr>
          <w:rStyle w:val="NormalTok"/>
        </w:rPr>
        <w:t xml:space="preserve"> search(</w:t>
      </w:r>
      <w:r>
        <w:rPr>
          <w:rStyle w:val="VariableTok"/>
        </w:rPr>
        <w:t xml:space="preserve">self</w:t>
      </w:r>
      <w:r>
        <w:rPr>
          <w:rStyle w:val="NormalTok"/>
        </w:rPr>
        <w:t xml:space="preserve">, key):</w:t>
      </w:r>
      <w:r>
        <w:br/>
      </w:r>
      <w:r>
        <w:rPr>
          <w:rStyle w:val="NormalTok"/>
        </w:rPr>
        <w:t xml:space="preserve">        </w:t>
      </w:r>
      <w:r>
        <w:rPr>
          <w:rStyle w:val="CommentTok"/>
        </w:rPr>
        <w:t xml:space="preserve">"""Return (found, number of key comparisons)."""</w:t>
      </w:r>
      <w:r>
        <w:br/>
      </w:r>
      <w:r>
        <w:rPr>
          <w:rStyle w:val="NormalTok"/>
        </w:rPr>
        <w:t xml:space="preserve">        x, steps </w:t>
      </w:r>
      <w:r>
        <w:rPr>
          <w:rStyle w:val="OperatorTok"/>
        </w:rPr>
        <w:t xml:space="preserve">=</w:t>
      </w:r>
      <w:r>
        <w:rPr>
          <w:rStyle w:val="NormalTok"/>
        </w:rPr>
        <w:t xml:space="preserve"> </w:t>
      </w:r>
      <w:r>
        <w:rPr>
          <w:rStyle w:val="VariableTok"/>
        </w:rPr>
        <w:t xml:space="preserve">self</w:t>
      </w:r>
      <w:r>
        <w:rPr>
          <w:rStyle w:val="NormalTok"/>
        </w:rPr>
        <w:t xml:space="preserve">.head, </w:t>
      </w:r>
      <w:r>
        <w:rPr>
          <w:rStyle w:val="DecValTok"/>
        </w:rPr>
        <w:t xml:space="preserve">0</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reversed</w:t>
      </w:r>
      <w:r>
        <w:rPr>
          <w:rStyle w:val="NormalTok"/>
        </w:rPr>
        <w:t xml:space="preserve">(</w:t>
      </w:r>
      <w:r>
        <w:rPr>
          <w:rStyle w:val="BuiltInTok"/>
        </w:rPr>
        <w:t xml:space="preserve">range</w:t>
      </w:r>
      <w:r>
        <w:rPr>
          <w:rStyle w:val="NormalTok"/>
        </w:rPr>
        <w:t xml:space="preserve">(</w:t>
      </w:r>
      <w:r>
        <w:rPr>
          <w:rStyle w:val="VariableTok"/>
        </w:rPr>
        <w:t xml:space="preserve">self</w:t>
      </w:r>
      <w:r>
        <w:rPr>
          <w:rStyle w:val="NormalTok"/>
        </w:rPr>
        <w:t xml:space="preserve">.level)):</w:t>
      </w:r>
      <w:r>
        <w:br/>
      </w:r>
      <w:r>
        <w:rPr>
          <w:rStyle w:val="NormalTok"/>
        </w:rPr>
        <w:t xml:space="preserve">            </w:t>
      </w:r>
      <w:r>
        <w:rPr>
          <w:rStyle w:val="ControlFlowTok"/>
        </w:rPr>
        <w:t xml:space="preserve">while</w:t>
      </w:r>
      <w:r>
        <w:rPr>
          <w:rStyle w:val="NormalTok"/>
        </w:rPr>
        <w:t xml:space="preserve"> x.forward[i] </w:t>
      </w:r>
      <w:r>
        <w:rPr>
          <w:rStyle w:val="KeywordTok"/>
        </w:rPr>
        <w:t xml:space="preserve">and</w:t>
      </w:r>
      <w:r>
        <w:rPr>
          <w:rStyle w:val="NormalTok"/>
        </w:rPr>
        <w:t xml:space="preserve"> x.forward[i].key </w:t>
      </w:r>
      <w:r>
        <w:rPr>
          <w:rStyle w:val="OperatorTok"/>
        </w:rPr>
        <w:t xml:space="preserve">&lt;</w:t>
      </w:r>
      <w:r>
        <w:rPr>
          <w:rStyle w:val="NormalTok"/>
        </w:rPr>
        <w:t xml:space="preserve"> key:</w:t>
      </w:r>
      <w:r>
        <w:br/>
      </w:r>
      <w:r>
        <w:rPr>
          <w:rStyle w:val="NormalTok"/>
        </w:rPr>
        <w:t xml:space="preserve">                x, steps </w:t>
      </w:r>
      <w:r>
        <w:rPr>
          <w:rStyle w:val="OperatorTok"/>
        </w:rPr>
        <w:t xml:space="preserve">=</w:t>
      </w:r>
      <w:r>
        <w:rPr>
          <w:rStyle w:val="NormalTok"/>
        </w:rPr>
        <w:t xml:space="preserve"> x.forward[i], steps </w:t>
      </w:r>
      <w:r>
        <w:rPr>
          <w:rStyle w:val="OperatorTok"/>
        </w:rPr>
        <w:t xml:space="preserve">+</w:t>
      </w:r>
      <w:r>
        <w:rPr>
          <w:rStyle w:val="NormalTok"/>
        </w:rPr>
        <w:t xml:space="preserve"> </w:t>
      </w:r>
      <w:r>
        <w:rPr>
          <w:rStyle w:val="DecValTok"/>
        </w:rPr>
        <w:t xml:space="preserve">1</w:t>
      </w:r>
      <w:r>
        <w:br/>
      </w:r>
      <w:r>
        <w:rPr>
          <w:rStyle w:val="NormalTok"/>
        </w:rPr>
        <w:t xml:space="preserve">            steps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the comparison that stopped us</w:t>
      </w:r>
      <w:r>
        <w:br/>
      </w:r>
      <w:r>
        <w:rPr>
          <w:rStyle w:val="NormalTok"/>
        </w:rPr>
        <w:t xml:space="preserve">        x </w:t>
      </w:r>
      <w:r>
        <w:rPr>
          <w:rStyle w:val="OperatorTok"/>
        </w:rPr>
        <w:t xml:space="preserve">=</w:t>
      </w:r>
      <w:r>
        <w:rPr>
          <w:rStyle w:val="NormalTok"/>
        </w:rPr>
        <w:t xml:space="preserve"> x.forward[</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(x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x.key </w:t>
      </w:r>
      <w:r>
        <w:rPr>
          <w:rStyle w:val="OperatorTok"/>
        </w:rPr>
        <w:t xml:space="preserve">==</w:t>
      </w:r>
      <w:r>
        <w:rPr>
          <w:rStyle w:val="NormalTok"/>
        </w:rPr>
        <w:t xml:space="preserve"> key), steps</w:t>
      </w:r>
      <w:r>
        <w:br/>
      </w:r>
      <w:r>
        <w:br/>
      </w:r>
      <w:r>
        <w:rPr>
          <w:rStyle w:val="NormalTok"/>
        </w:rPr>
        <w:t xml:space="preserve">    </w:t>
      </w:r>
      <w:r>
        <w:rPr>
          <w:rStyle w:val="KeywordTok"/>
        </w:rPr>
        <w:t xml:space="preserve">def</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 lo, hi):</w:t>
      </w:r>
      <w:r>
        <w:br/>
      </w:r>
      <w:r>
        <w:rPr>
          <w:rStyle w:val="NormalTok"/>
        </w:rPr>
        <w:t xml:space="preserve">        </w:t>
      </w:r>
      <w:r>
        <w:rPr>
          <w:rStyle w:val="CommentTok"/>
        </w:rPr>
        <w:t xml:space="preserve">"""All keys in [lo, hi]: find lo in O(log n), then walk level 0."""</w:t>
      </w:r>
      <w:r>
        <w:br/>
      </w:r>
      <w:r>
        <w:rPr>
          <w:rStyle w:val="NormalTok"/>
        </w:rPr>
        <w:t xml:space="preserve">        x </w:t>
      </w:r>
      <w:r>
        <w:rPr>
          <w:rStyle w:val="OperatorTok"/>
        </w:rPr>
        <w:t xml:space="preserve">=</w:t>
      </w:r>
      <w:r>
        <w:rPr>
          <w:rStyle w:val="NormalTok"/>
        </w:rPr>
        <w:t xml:space="preserve"> </w:t>
      </w:r>
      <w:r>
        <w:rPr>
          <w:rStyle w:val="VariableTok"/>
        </w:rPr>
        <w:t xml:space="preserve">self</w:t>
      </w:r>
      <w:r>
        <w:rPr>
          <w:rStyle w:val="NormalTok"/>
        </w:rPr>
        <w:t xml:space="preserve">.head</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reversed</w:t>
      </w:r>
      <w:r>
        <w:rPr>
          <w:rStyle w:val="NormalTok"/>
        </w:rPr>
        <w:t xml:space="preserve">(</w:t>
      </w:r>
      <w:r>
        <w:rPr>
          <w:rStyle w:val="BuiltInTok"/>
        </w:rPr>
        <w:t xml:space="preserve">range</w:t>
      </w:r>
      <w:r>
        <w:rPr>
          <w:rStyle w:val="NormalTok"/>
        </w:rPr>
        <w:t xml:space="preserve">(</w:t>
      </w:r>
      <w:r>
        <w:rPr>
          <w:rStyle w:val="VariableTok"/>
        </w:rPr>
        <w:t xml:space="preserve">self</w:t>
      </w:r>
      <w:r>
        <w:rPr>
          <w:rStyle w:val="NormalTok"/>
        </w:rPr>
        <w:t xml:space="preserve">.level)):</w:t>
      </w:r>
      <w:r>
        <w:br/>
      </w:r>
      <w:r>
        <w:rPr>
          <w:rStyle w:val="NormalTok"/>
        </w:rPr>
        <w:t xml:space="preserve">            </w:t>
      </w:r>
      <w:r>
        <w:rPr>
          <w:rStyle w:val="ControlFlowTok"/>
        </w:rPr>
        <w:t xml:space="preserve">while</w:t>
      </w:r>
      <w:r>
        <w:rPr>
          <w:rStyle w:val="NormalTok"/>
        </w:rPr>
        <w:t xml:space="preserve"> x.forward[i] </w:t>
      </w:r>
      <w:r>
        <w:rPr>
          <w:rStyle w:val="KeywordTok"/>
        </w:rPr>
        <w:t xml:space="preserve">and</w:t>
      </w:r>
      <w:r>
        <w:rPr>
          <w:rStyle w:val="NormalTok"/>
        </w:rPr>
        <w:t xml:space="preserve"> x.forward[i].key </w:t>
      </w:r>
      <w:r>
        <w:rPr>
          <w:rStyle w:val="OperatorTok"/>
        </w:rPr>
        <w:t xml:space="preserve">&lt;</w:t>
      </w:r>
      <w:r>
        <w:rPr>
          <w:rStyle w:val="NormalTok"/>
        </w:rPr>
        <w:t xml:space="preserve"> lo:</w:t>
      </w:r>
      <w:r>
        <w:br/>
      </w:r>
      <w:r>
        <w:rPr>
          <w:rStyle w:val="NormalTok"/>
        </w:rPr>
        <w:t xml:space="preserve">                x </w:t>
      </w:r>
      <w:r>
        <w:rPr>
          <w:rStyle w:val="OperatorTok"/>
        </w:rPr>
        <w:t xml:space="preserve">=</w:t>
      </w:r>
      <w:r>
        <w:rPr>
          <w:rStyle w:val="NormalTok"/>
        </w:rPr>
        <w:t xml:space="preserve"> x.forward[i]</w:t>
      </w:r>
      <w:r>
        <w:br/>
      </w:r>
      <w:r>
        <w:rPr>
          <w:rStyle w:val="NormalTok"/>
        </w:rPr>
        <w:t xml:space="preserve">        x, out </w:t>
      </w:r>
      <w:r>
        <w:rPr>
          <w:rStyle w:val="OperatorTok"/>
        </w:rPr>
        <w:t xml:space="preserve">=</w:t>
      </w:r>
      <w:r>
        <w:rPr>
          <w:rStyle w:val="NormalTok"/>
        </w:rPr>
        <w:t xml:space="preserve"> x.forward[</w:t>
      </w:r>
      <w:r>
        <w:rPr>
          <w:rStyle w:val="DecValTok"/>
        </w:rPr>
        <w:t xml:space="preserve">0</w:t>
      </w:r>
      <w:r>
        <w:rPr>
          <w:rStyle w:val="NormalTok"/>
        </w:rPr>
        <w:t xml:space="preserve">], []</w:t>
      </w:r>
      <w:r>
        <w:br/>
      </w:r>
      <w:r>
        <w:rPr>
          <w:rStyle w:val="NormalTok"/>
        </w:rPr>
        <w:t xml:space="preserve">        </w:t>
      </w:r>
      <w:r>
        <w:rPr>
          <w:rStyle w:val="ControlFlowTok"/>
        </w:rPr>
        <w:t xml:space="preserve">while</w:t>
      </w:r>
      <w:r>
        <w:rPr>
          <w:rStyle w:val="NormalTok"/>
        </w:rPr>
        <w:t xml:space="preserve"> x </w:t>
      </w:r>
      <w:r>
        <w:rPr>
          <w:rStyle w:val="KeywordTok"/>
        </w:rPr>
        <w:t xml:space="preserve">and</w:t>
      </w:r>
      <w:r>
        <w:rPr>
          <w:rStyle w:val="NormalTok"/>
        </w:rPr>
        <w:t xml:space="preserve"> x.key </w:t>
      </w:r>
      <w:r>
        <w:rPr>
          <w:rStyle w:val="OperatorTok"/>
        </w:rPr>
        <w:t xml:space="preserve">&lt;=</w:t>
      </w:r>
      <w:r>
        <w:rPr>
          <w:rStyle w:val="NormalTok"/>
        </w:rPr>
        <w:t xml:space="preserve"> hi:</w:t>
      </w:r>
      <w:r>
        <w:br/>
      </w:r>
      <w:r>
        <w:rPr>
          <w:rStyle w:val="NormalTok"/>
        </w:rPr>
        <w:t xml:space="preserve">            out.append(x.key)</w:t>
      </w:r>
      <w:r>
        <w:br/>
      </w:r>
      <w:r>
        <w:rPr>
          <w:rStyle w:val="NormalTok"/>
        </w:rPr>
        <w:t xml:space="preserve">            x </w:t>
      </w:r>
      <w:r>
        <w:rPr>
          <w:rStyle w:val="OperatorTok"/>
        </w:rPr>
        <w:t xml:space="preserve">=</w:t>
      </w:r>
      <w:r>
        <w:rPr>
          <w:rStyle w:val="NormalTok"/>
        </w:rPr>
        <w:t xml:space="preserve"> x.forward[</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out</w:t>
      </w:r>
      <w:r>
        <w:br/>
      </w:r>
      <w:r>
        <w:br/>
      </w:r>
      <w:r>
        <w:rPr>
          <w:rStyle w:val="ControlFlowTok"/>
        </w:rPr>
        <w:t xml:space="preserve">for</w:t>
      </w:r>
      <w:r>
        <w:rPr>
          <w:rStyle w:val="NormalTok"/>
        </w:rPr>
        <w:t xml:space="preserve"> p </w:t>
      </w:r>
      <w:r>
        <w:rPr>
          <w:rStyle w:val="KeywordTok"/>
        </w:rPr>
        <w:t xml:space="preserve">in</w:t>
      </w:r>
      <w:r>
        <w:rPr>
          <w:rStyle w:val="NormalTok"/>
        </w:rPr>
        <w:t xml:space="preserve"> (</w:t>
      </w:r>
      <w:r>
        <w:rPr>
          <w:rStyle w:val="FloatTok"/>
        </w:rPr>
        <w:t xml:space="preserve">0.5</w:t>
      </w:r>
      <w:r>
        <w:rPr>
          <w:rStyle w:val="NormalTok"/>
        </w:rPr>
        <w:t xml:space="preserve">, </w:t>
      </w:r>
      <w:r>
        <w:rPr>
          <w:rStyle w:val="FloatTok"/>
        </w:rPr>
        <w:t xml:space="preserve">0.25</w:t>
      </w:r>
      <w:r>
        <w:rPr>
          <w:rStyle w:val="NormalTok"/>
        </w:rPr>
        <w:t xml:space="preserve">):</w:t>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DecValTok"/>
        </w:rPr>
        <w:t xml:space="preserve">10_000</w:t>
      </w:r>
      <w:r>
        <w:rPr>
          <w:rStyle w:val="NormalTok"/>
        </w:rPr>
        <w:t xml:space="preserve">, </w:t>
      </w:r>
      <w:r>
        <w:rPr>
          <w:rStyle w:val="DecValTok"/>
        </w:rPr>
        <w:t xml:space="preserve">100_000</w:t>
      </w:r>
      <w:r>
        <w:rPr>
          <w:rStyle w:val="NormalTok"/>
        </w:rPr>
        <w:t xml:space="preserve">, </w:t>
      </w:r>
      <w:r>
        <w:rPr>
          <w:rStyle w:val="DecValTok"/>
        </w:rPr>
        <w:t xml:space="preserve">1_000_000</w:t>
      </w:r>
      <w:r>
        <w:rPr>
          <w:rStyle w:val="NormalTok"/>
        </w:rPr>
        <w:t xml:space="preserve">):</w:t>
      </w:r>
      <w:r>
        <w:br/>
      </w:r>
      <w:r>
        <w:rPr>
          <w:rStyle w:val="NormalTok"/>
        </w:rPr>
        <w:t xml:space="preserve">        sl </w:t>
      </w:r>
      <w:r>
        <w:rPr>
          <w:rStyle w:val="OperatorTok"/>
        </w:rPr>
        <w:t xml:space="preserve">=</w:t>
      </w:r>
      <w:r>
        <w:rPr>
          <w:rStyle w:val="NormalTok"/>
        </w:rPr>
        <w:t xml:space="preserve"> SkipList(p</w:t>
      </w:r>
      <w:r>
        <w:rPr>
          <w:rStyle w:val="OperatorTok"/>
        </w:rPr>
        <w:t xml:space="preserve">=</w:t>
      </w:r>
      <w:r>
        <w:rPr>
          <w:rStyle w:val="NormalTok"/>
        </w:rPr>
        <w:t xml:space="preserve">p, seed</w:t>
      </w:r>
      <w:r>
        <w:rPr>
          <w:rStyle w:val="OperatorTok"/>
        </w:rPr>
        <w:t xml:space="preserve">=</w:t>
      </w:r>
      <w:r>
        <w:rPr>
          <w:rStyle w:val="DecValTok"/>
        </w:rPr>
        <w:t xml:space="preserve">42</w:t>
      </w:r>
      <w:r>
        <w:rPr>
          <w:rStyle w:val="NormalTok"/>
        </w:rPr>
        <w:t xml:space="preserve">)</w:t>
      </w:r>
      <w:r>
        <w:br/>
      </w:r>
      <w:r>
        <w:rPr>
          <w:rStyle w:val="NormalTok"/>
        </w:rPr>
        <w:t xml:space="preserve">        keys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range</w:t>
      </w:r>
      <w:r>
        <w:rPr>
          <w:rStyle w:val="NormalTok"/>
        </w:rPr>
        <w:t xml:space="preserve">(n))</w:t>
      </w:r>
      <w:r>
        <w:br/>
      </w:r>
      <w:r>
        <w:rPr>
          <w:rStyle w:val="NormalTok"/>
        </w:rPr>
        <w:t xml:space="preserve">        random.Random(</w:t>
      </w:r>
      <w:r>
        <w:rPr>
          <w:rStyle w:val="DecValTok"/>
        </w:rPr>
        <w:t xml:space="preserve">1</w:t>
      </w:r>
      <w:r>
        <w:rPr>
          <w:rStyle w:val="NormalTok"/>
        </w:rPr>
        <w:t xml:space="preserve">).shuffle(keys)</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keys:</w:t>
      </w:r>
      <w:r>
        <w:br/>
      </w:r>
      <w:r>
        <w:rPr>
          <w:rStyle w:val="NormalTok"/>
        </w:rPr>
        <w:t xml:space="preserve">            sl.insert(k)</w:t>
      </w:r>
      <w:r>
        <w:br/>
      </w:r>
      <w:r>
        <w:rPr>
          <w:rStyle w:val="NormalTok"/>
        </w:rPr>
        <w:t xml:space="preserve">        probe </w:t>
      </w:r>
      <w:r>
        <w:rPr>
          <w:rStyle w:val="OperatorTok"/>
        </w:rPr>
        <w:t xml:space="preserve">=</w:t>
      </w:r>
      <w:r>
        <w:rPr>
          <w:rStyle w:val="NormalTok"/>
        </w:rPr>
        <w:t xml:space="preserve"> random.Random(</w:t>
      </w:r>
      <w:r>
        <w:rPr>
          <w:rStyle w:val="DecValTok"/>
        </w:rPr>
        <w:t xml:space="preserve">2</w:t>
      </w:r>
      <w:r>
        <w:rPr>
          <w:rStyle w:val="NormalTok"/>
        </w:rPr>
        <w:t xml:space="preserve">).sample(</w:t>
      </w:r>
      <w:r>
        <w:rPr>
          <w:rStyle w:val="BuiltInTok"/>
        </w:rPr>
        <w:t xml:space="preserve">range</w:t>
      </w:r>
      <w:r>
        <w:rPr>
          <w:rStyle w:val="NormalTok"/>
        </w:rPr>
        <w:t xml:space="preserve">(n), </w:t>
      </w:r>
      <w:r>
        <w:rPr>
          <w:rStyle w:val="DecValTok"/>
        </w:rPr>
        <w:t xml:space="preserve">2_000</w:t>
      </w:r>
      <w:r>
        <w:rPr>
          <w:rStyle w:val="NormalTok"/>
        </w:rPr>
        <w:t xml:space="preserve">)</w:t>
      </w:r>
      <w:r>
        <w:br/>
      </w:r>
      <w:r>
        <w:rPr>
          <w:rStyle w:val="NormalTok"/>
        </w:rPr>
        <w:t xml:space="preserve">        avg </w:t>
      </w:r>
      <w:r>
        <w:rPr>
          <w:rStyle w:val="OperatorTok"/>
        </w:rPr>
        <w:t xml:space="preserve">=</w:t>
      </w:r>
      <w:r>
        <w:rPr>
          <w:rStyle w:val="NormalTok"/>
        </w:rPr>
        <w:t xml:space="preserve"> </w:t>
      </w:r>
      <w:r>
        <w:rPr>
          <w:rStyle w:val="BuiltInTok"/>
        </w:rPr>
        <w:t xml:space="preserve">sum</w:t>
      </w:r>
      <w:r>
        <w:rPr>
          <w:rStyle w:val="NormalTok"/>
        </w:rPr>
        <w:t xml:space="preserve">(sl.search(k)[</w:t>
      </w:r>
      <w:r>
        <w:rPr>
          <w:rStyle w:val="DecValTok"/>
        </w:rPr>
        <w:t xml:space="preserve">1</w:t>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probe) </w:t>
      </w:r>
      <w:r>
        <w:rPr>
          <w:rStyle w:val="OperatorTok"/>
        </w:rPr>
        <w:t xml:space="preserve">/</w:t>
      </w:r>
      <w:r>
        <w:rPr>
          <w:rStyle w:val="NormalTok"/>
        </w:rPr>
        <w:t xml:space="preserve"> </w:t>
      </w:r>
      <w:r>
        <w:rPr>
          <w:rStyle w:val="BuiltInTok"/>
        </w:rPr>
        <w:t xml:space="preserve">len</w:t>
      </w:r>
      <w:r>
        <w:rPr>
          <w:rStyle w:val="NormalTok"/>
        </w:rPr>
        <w:t xml:space="preserve">(probe)</w:t>
      </w:r>
      <w:r>
        <w:br/>
      </w:r>
      <w:r>
        <w:rPr>
          <w:rStyle w:val="NormalTok"/>
        </w:rPr>
        <w:t xml:space="preserve">        L </w:t>
      </w:r>
      <w:r>
        <w:rPr>
          <w:rStyle w:val="OperatorTok"/>
        </w:rPr>
        <w:t xml:space="preserve">=</w:t>
      </w:r>
      <w:r>
        <w:rPr>
          <w:rStyle w:val="NormalTok"/>
        </w:rPr>
        <w:t xml:space="preserve"> math.log(n, </w:t>
      </w:r>
      <w:r>
        <w:rPr>
          <w:rStyle w:val="DecValTok"/>
        </w:rPr>
        <w:t xml:space="preserve">1</w:t>
      </w:r>
      <w:r>
        <w:rPr>
          <w:rStyle w:val="NormalTok"/>
        </w:rPr>
        <w:t xml:space="preserve"> </w:t>
      </w:r>
      <w:r>
        <w:rPr>
          <w:rStyle w:val="OperatorTok"/>
        </w:rPr>
        <w:t xml:space="preserve">/</w:t>
      </w:r>
      <w:r>
        <w:rPr>
          <w:rStyle w:val="NormalTok"/>
        </w:rPr>
        <w:t xml:space="preserve"> p)</w:t>
      </w:r>
      <w:r>
        <w:br/>
      </w:r>
      <w:r>
        <w:rPr>
          <w:rStyle w:val="NormalTok"/>
        </w:rPr>
        <w:t xml:space="preserve">        bound </w:t>
      </w:r>
      <w:r>
        <w:rPr>
          <w:rStyle w:val="OperatorTok"/>
        </w:rPr>
        <w:t xml:space="preserve">=</w:t>
      </w:r>
      <w:r>
        <w:rPr>
          <w:rStyle w:val="NormalTok"/>
        </w:rPr>
        <w:t xml:space="preserve"> L </w:t>
      </w:r>
      <w:r>
        <w:rPr>
          <w:rStyle w:val="OperatorTok"/>
        </w:rPr>
        <w:t xml:space="preserve">/</w:t>
      </w:r>
      <w:r>
        <w:rPr>
          <w:rStyle w:val="NormalTok"/>
        </w:rPr>
        <w:t xml:space="preserve"> p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                       </w:t>
      </w:r>
      <w:r>
        <w:rPr>
          <w:rStyle w:val="CommentTok"/>
        </w:rPr>
        <w:t xml:space="preserve"># Pugh's expected-cost bound</w:t>
      </w:r>
      <w:r>
        <w:br/>
      </w:r>
      <w:r>
        <w:rPr>
          <w:rStyle w:val="NormalTok"/>
        </w:rPr>
        <w:t xml:space="preserve">        </w:t>
      </w:r>
      <w:r>
        <w:rPr>
          <w:rStyle w:val="BuiltInTok"/>
        </w:rPr>
        <w:t xml:space="preserve">print</w:t>
      </w:r>
      <w:r>
        <w:rPr>
          <w:rStyle w:val="NormalTok"/>
        </w:rPr>
        <w:t xml:space="preserve">(</w:t>
      </w:r>
      <w:r>
        <w:rPr>
          <w:rStyle w:val="SpecialStringTok"/>
        </w:rPr>
        <w:t xml:space="preserve">f"p=</w:t>
      </w:r>
      <w:r>
        <w:rPr>
          <w:rStyle w:val="SpecialCharTok"/>
        </w:rPr>
        <w:t xml:space="preserve">{</w:t>
      </w:r>
      <w:r>
        <w:rPr>
          <w:rStyle w:val="NormalTok"/>
        </w:rPr>
        <w:t xml:space="preserve">p</w:t>
      </w:r>
      <w:r>
        <w:rPr>
          <w:rStyle w:val="SpecialCharTok"/>
        </w:rPr>
        <w:t xml:space="preserve">:&lt;4}</w:t>
      </w:r>
      <w:r>
        <w:rPr>
          <w:rStyle w:val="SpecialStringTok"/>
        </w:rPr>
        <w:t xml:space="preserve"> n=</w:t>
      </w:r>
      <w:r>
        <w:rPr>
          <w:rStyle w:val="SpecialCharTok"/>
        </w:rPr>
        <w:t xml:space="preserve">{</w:t>
      </w:r>
      <w:r>
        <w:rPr>
          <w:rStyle w:val="NormalTok"/>
        </w:rPr>
        <w:t xml:space="preserve">n</w:t>
      </w:r>
      <w:r>
        <w:rPr>
          <w:rStyle w:val="SpecialCharTok"/>
        </w:rPr>
        <w:t xml:space="preserve">:&gt;9,}</w:t>
      </w:r>
      <w:r>
        <w:rPr>
          <w:rStyle w:val="SpecialStringTok"/>
        </w:rPr>
        <w:t xml:space="preserve">  levels=</w:t>
      </w:r>
      <w:r>
        <w:rPr>
          <w:rStyle w:val="SpecialCharTok"/>
        </w:rPr>
        <w:t xml:space="preserve">{</w:t>
      </w:r>
      <w:r>
        <w:rPr>
          <w:rStyle w:val="NormalTok"/>
        </w:rPr>
        <w:t xml:space="preserve">sl</w:t>
      </w:r>
      <w:r>
        <w:rPr>
          <w:rStyle w:val="SpecialCharTok"/>
        </w:rPr>
        <w:t xml:space="preserve">.</w:t>
      </w:r>
      <w:r>
        <w:rPr>
          <w:rStyle w:val="NormalTok"/>
        </w:rPr>
        <w:t xml:space="preserve">level</w:t>
      </w:r>
      <w:r>
        <w:rPr>
          <w:rStyle w:val="SpecialCharTok"/>
        </w:rPr>
        <w:t xml:space="preserve">:2d}</w:t>
      </w:r>
      <w:r>
        <w:rPr>
          <w:rStyle w:val="SpecialStringTok"/>
        </w:rPr>
        <w:t xml:space="preserve">  log_1/p(n)=</w:t>
      </w:r>
      <w:r>
        <w:rPr>
          <w:rStyle w:val="SpecialCharTok"/>
        </w:rPr>
        <w:t xml:space="preserve">{</w:t>
      </w:r>
      <w:r>
        <w:rPr>
          <w:rStyle w:val="NormalTok"/>
        </w:rPr>
        <w:t xml:space="preserve">L</w:t>
      </w:r>
      <w:r>
        <w:rPr>
          <w:rStyle w:val="SpecialCharTok"/>
        </w:rPr>
        <w:t xml:space="preserve">:5.1f}</w:t>
      </w:r>
      <w:r>
        <w:rPr>
          <w:rStyle w:val="SpecialStringTok"/>
        </w:rPr>
        <w:t xml:space="preserve">  "</w:t>
      </w:r>
      <w:r>
        <w:br/>
      </w:r>
      <w:r>
        <w:rPr>
          <w:rStyle w:val="NormalTok"/>
        </w:rPr>
        <w:t xml:space="preserve">              </w:t>
      </w:r>
      <w:r>
        <w:rPr>
          <w:rStyle w:val="SpecialStringTok"/>
        </w:rPr>
        <w:t xml:space="preserve">f"avg comparisons=</w:t>
      </w:r>
      <w:r>
        <w:rPr>
          <w:rStyle w:val="SpecialCharTok"/>
        </w:rPr>
        <w:t xml:space="preserve">{</w:t>
      </w:r>
      <w:r>
        <w:rPr>
          <w:rStyle w:val="NormalTok"/>
        </w:rPr>
        <w:t xml:space="preserve">avg</w:t>
      </w:r>
      <w:r>
        <w:rPr>
          <w:rStyle w:val="SpecialCharTok"/>
        </w:rPr>
        <w:t xml:space="preserve">:5.1f}</w:t>
      </w:r>
      <w:r>
        <w:rPr>
          <w:rStyle w:val="SpecialStringTok"/>
        </w:rPr>
        <w:t xml:space="preserve">  Pugh bound=</w:t>
      </w:r>
      <w:r>
        <w:rPr>
          <w:rStyle w:val="SpecialCharTok"/>
        </w:rPr>
        <w:t xml:space="preserve">{</w:t>
      </w:r>
      <w:r>
        <w:rPr>
          <w:rStyle w:val="NormalTok"/>
        </w:rPr>
        <w:t xml:space="preserve">bound</w:t>
      </w:r>
      <w:r>
        <w:rPr>
          <w:rStyle w:val="SpecialCharTok"/>
        </w:rPr>
        <w:t xml:space="preserve">:5.1f}</w:t>
      </w:r>
      <w:r>
        <w:rPr>
          <w:rStyle w:val="SpecialStringTok"/>
        </w:rPr>
        <w:t xml:space="preserve">  "</w:t>
      </w:r>
      <w:r>
        <w:br/>
      </w:r>
      <w:r>
        <w:rPr>
          <w:rStyle w:val="NormalTok"/>
        </w:rPr>
        <w:t xml:space="preserve">              </w:t>
      </w:r>
      <w:r>
        <w:rPr>
          <w:rStyle w:val="SpecialStringTok"/>
        </w:rPr>
        <w:t xml:space="preserve">f"pointers/node=</w:t>
      </w:r>
      <w:r>
        <w:rPr>
          <w:rStyle w:val="SpecialCharTok"/>
        </w:rPr>
        <w:t xml:space="preserve">{</w:t>
      </w:r>
      <w:r>
        <w:rPr>
          <w:rStyle w:val="NormalTok"/>
        </w:rPr>
        <w:t xml:space="preserve">sl</w:t>
      </w:r>
      <w:r>
        <w:rPr>
          <w:rStyle w:val="SpecialCharTok"/>
        </w:rPr>
        <w:t xml:space="preserve">.</w:t>
      </w:r>
      <w:r>
        <w:rPr>
          <w:rStyle w:val="NormalTok"/>
        </w:rPr>
        <w:t xml:space="preserve">pointers </w:t>
      </w:r>
      <w:r>
        <w:rPr>
          <w:rStyle w:val="OperatorTok"/>
        </w:rPr>
        <w:t xml:space="preserve">/</w:t>
      </w:r>
      <w:r>
        <w:rPr>
          <w:rStyle w:val="NormalTok"/>
        </w:rPr>
        <w:t xml:space="preserve"> n</w:t>
      </w:r>
      <w:r>
        <w:rPr>
          <w:rStyle w:val="SpecialCharTok"/>
        </w:rPr>
        <w:t xml:space="preserve">:4.2f}</w:t>
      </w:r>
      <w:r>
        <w:rPr>
          <w:rStyle w:val="SpecialStringTok"/>
        </w:rPr>
        <w:t xml:space="preserve"> (expect </w:t>
      </w:r>
      <w:r>
        <w:rPr>
          <w:rStyle w:val="SpecialCha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w:t>
      </w:r>
      <w:r>
        <w:rPr>
          <w:rStyle w:val="SpecialCharTok"/>
        </w:rPr>
        <w:t xml:space="preserve">:4.2f}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"range(500, 505):"</w:t>
      </w:r>
      <w:r>
        <w:rPr>
          <w:rStyle w:val="NormalTok"/>
        </w:rPr>
        <w:t xml:space="preserve">, sl.</w:t>
      </w:r>
      <w:r>
        <w:rPr>
          <w:rStyle w:val="BuiltInTok"/>
        </w:rPr>
        <w:t xml:space="preserve">range</w:t>
      </w:r>
      <w:r>
        <w:rPr>
          <w:rStyle w:val="NormalTok"/>
        </w:rPr>
        <w:t xml:space="preserve">(</w:t>
      </w:r>
      <w:r>
        <w:rPr>
          <w:rStyle w:val="DecValTok"/>
        </w:rPr>
        <w:t xml:space="preserve">500</w:t>
      </w:r>
      <w:r>
        <w:rPr>
          <w:rStyle w:val="NormalTok"/>
        </w:rPr>
        <w:t xml:space="preserve">, </w:t>
      </w:r>
      <w:r>
        <w:rPr>
          <w:rStyle w:val="DecValTok"/>
        </w:rPr>
        <w:t xml:space="preserve">505</w:t>
      </w:r>
      <w:r>
        <w:rPr>
          <w:rStyle w:val="NormalTok"/>
        </w:rPr>
        <w:t xml:space="preserve">))</w:t>
      </w:r>
    </w:p>
    <w:p>
      <w:pPr>
        <w:pStyle w:val="FirstParagraph"/>
      </w:pPr>
      <w:r>
        <w:t xml:space="preserve">Output (about 40 s in CPython):</w:t>
      </w:r>
    </w:p>
    <w:p>
      <w:pPr>
        <w:pStyle w:val="SourceCode"/>
      </w:pPr>
      <w:r>
        <w:rPr>
          <w:rStyle w:val="VerbatimChar"/>
        </w:rPr>
        <w:t xml:space="preserve">p=0.5  n=   10,000  levels=14  log_1/p(n)= 13.3  avg comparisons= 27.5  Pugh bound= 28.6  pointers/node=1.98 (expect 2.00)</w:t>
      </w:r>
      <w:r>
        <w:br/>
      </w:r>
      <w:r>
        <w:rPr>
          <w:rStyle w:val="VerbatimChar"/>
        </w:rPr>
        <w:t xml:space="preserve">p=0.5  n=  100,000  levels=17  log_1/p(n)= 16.6  avg comparisons= 32.7  Pugh bound= 35.2  pointers/node=2.00 (expect 2.00)</w:t>
      </w:r>
      <w:r>
        <w:br/>
      </w:r>
      <w:r>
        <w:rPr>
          <w:rStyle w:val="VerbatimChar"/>
        </w:rPr>
        <w:t xml:space="preserve">p=0.5  n=1,000,000  levels=20  log_1/p(n)= 19.9  avg comparisons= 38.4  Pugh bound= 41.9  pointers/node=2.00 (expect 2.00)</w:t>
      </w:r>
      <w:r>
        <w:br/>
      </w:r>
      <w:r>
        <w:rPr>
          <w:rStyle w:val="VerbatimChar"/>
        </w:rPr>
        <w:t xml:space="preserve">p=0.25 n=   10,000  levels= 7  log_1/p(n)=  6.6  avg comparisons= 23.8  Pugh bound= 27.9  pointers/node=1.33 (expect 1.33)</w:t>
      </w:r>
      <w:r>
        <w:br/>
      </w:r>
      <w:r>
        <w:rPr>
          <w:rStyle w:val="VerbatimChar"/>
        </w:rPr>
        <w:t xml:space="preserve">p=0.25 n=  100,000  levels= 9  log_1/p(n)=  8.3  avg comparisons= 31.9  Pugh bound= 34.6  pointers/node=1.34 (expect 1.33)</w:t>
      </w:r>
      <w:r>
        <w:br/>
      </w:r>
      <w:r>
        <w:rPr>
          <w:rStyle w:val="VerbatimChar"/>
        </w:rPr>
        <w:t xml:space="preserve">p=0.25 n=1,000,000  levels=11  log_1/p(n)= 10.0  avg comparisons= 37.4  Pugh bound= 41.2  pointers/node=1.33 (expect 1.33)</w:t>
      </w:r>
      <w:r>
        <w:br/>
      </w:r>
      <w:r>
        <w:rPr>
          <w:rStyle w:val="VerbatimChar"/>
        </w:rPr>
        <w:t xml:space="preserve">range(500, 505): [500, 501, 502, 503, 504, 505]</w:t>
      </w:r>
    </w:p>
    <w:p>
      <w:pPr>
        <w:pStyle w:val="FirstParagraph"/>
      </w:pPr>
      <w:r>
        <w:t xml:space="preserve">What to notice:</w:t>
      </w:r>
    </w:p>
    <w:p>
      <w:pPr>
        <w:numPr>
          <w:ilvl w:val="0"/>
          <w:numId w:val="1579"/>
        </w:numPr>
        <w:pStyle w:val="Compact"/>
      </w:pPr>
      <w:r>
        <w:t xml:space="preserve">The number of levels in use tracks</w:t>
      </w:r>
      <w:r>
        <w:t xml:space="preserve"> </w:t>
      </w:r>
      <m:oMath>
        <m:sSub>
          <m:e>
            <m:r>
              <m:rPr>
                <m:sty m:val="p"/>
              </m:rPr>
              <m:t>log</m:t>
            </m:r>
          </m:e>
          <m:sub>
            <m:r>
              <m:t>1</m:t>
            </m:r>
            <m:r>
              <m:rPr>
                <m:sty m:val="p"/>
              </m:rPr>
              <m:t>/</m:t>
            </m:r>
            <m:r>
              <m:t>p</m:t>
            </m:r>
          </m:sub>
        </m:sSub>
        <m:r>
          <m:t>n</m:t>
        </m:r>
      </m:oMath>
      <w:r>
        <w:t xml:space="preserve">, and the measured search path stays below Pugh’s bound at every size.</w:t>
      </w:r>
    </w:p>
    <w:p>
      <w:pPr>
        <w:numPr>
          <w:ilvl w:val="0"/>
          <w:numId w:val="1579"/>
        </w:numPr>
        <w:pStyle w:val="Compact"/>
      </w:pPr>
      <w:r>
        <w:t xml:space="preserve">Going from</w:t>
      </w:r>
      <w:r>
        <w:t xml:space="preserve"> </w:t>
      </w:r>
      <m:oMath>
        <m:sSup>
          <m:e>
            <m:r>
              <m:t>10</m:t>
            </m:r>
          </m:e>
          <m:sup>
            <m:r>
              <m:t>4</m:t>
            </m:r>
          </m:sup>
        </m:sSup>
      </m:oMath>
      <w:r>
        <w:t xml:space="preserve"> </w:t>
      </w:r>
      <w:r>
        <w:t xml:space="preserve">to</w:t>
      </w:r>
      <w:r>
        <w:t xml:space="preserve"> </w:t>
      </w:r>
      <m:oMath>
        <m:sSup>
          <m:e>
            <m:r>
              <m:t>10</m:t>
            </m:r>
          </m:e>
          <m:sup>
            <m:r>
              <m:t>6</m:t>
            </m:r>
          </m:sup>
        </m:sSup>
      </m:oMath>
      <w:r>
        <w:t xml:space="preserve"> </w:t>
      </w:r>
      <w:r>
        <w:t xml:space="preserve">elements (100×) adds only about 11–14 comparisons: logarithmic growth.</w:t>
      </w:r>
    </w:p>
    <w:p>
      <w:pPr>
        <w:numPr>
          <w:ilvl w:val="0"/>
          <w:numId w:val="1579"/>
        </w:numPr>
        <w:pStyle w:val="Compact"/>
      </w:pPr>
      <w:r>
        <w:t xml:space="preserve">Pointers per node match</w:t>
      </w:r>
      <w:r>
        <w:t xml:space="preserve"> </w:t>
      </w:r>
      <m:oMath>
        <m:r>
          <m:t>1</m:t>
        </m:r>
        <m:r>
          <m:rPr>
            <m:sty m:val="p"/>
          </m:rPr>
          <m:t>/</m:t>
        </m:r>
        <m:d>
          <m:dPr>
            <m:begChr m:val="("/>
            <m:endChr m:val=")"/>
            <m:sepChr m:val=""/>
            <m:grow/>
          </m:dPr>
          <m:e>
            <m:r>
              <m:t>1</m:t>
            </m:r>
            <m:r>
              <m:rPr>
                <m:sty m:val="p"/>
              </m:rPr>
              <m:t>−</m:t>
            </m:r>
            <m:r>
              <m:t>p</m:t>
            </m:r>
          </m:e>
        </m:d>
      </m:oMath>
      <w:r>
        <w:t xml:space="preserve"> </w:t>
      </w:r>
      <w:r>
        <w:t xml:space="preserve">exactly, confirming the memory saving of</w:t>
      </w:r>
      <w:r>
        <w:t xml:space="preserve"> </w:t>
      </w:r>
      <m:oMath>
        <m:r>
          <m:t>p</m:t>
        </m:r>
        <m:r>
          <m:rPr>
            <m:sty m:val="p"/>
          </m:rPr>
          <m:t>=</m:t>
        </m:r>
        <m:r>
          <m:t>1</m:t>
        </m:r>
        <m:r>
          <m:rPr>
            <m:sty m:val="p"/>
          </m:rPr>
          <m:t>/</m:t>
        </m:r>
        <m:r>
          <m:t>4</m:t>
        </m:r>
      </m:oMath>
      <w:r>
        <w:t xml:space="preserve">.</w:t>
      </w:r>
    </w:p>
    <w:p>
      <w:pPr>
        <w:pStyle w:val="CalloutIndustry"/>
      </w:pPr>
      <w:r>
        <w:rPr>
          <w:bCs/>
          <w:b/>
        </w:rPr>
        <w:t xml:space="preserve">INDUSTRY EXAMPLE</w:t>
      </w:r>
    </w:p>
    <w:p>
      <w:pPr>
        <w:pStyle w:val="CalloutIndustry"/>
      </w:pPr>
      <w:r>
        <w:rPr>
          <w:bCs/>
          <w:b/>
        </w:rPr>
        <w:t xml:space="preserve">Redis sorted sets and LSM memtables.</w:t>
      </w:r>
      <w:r>
        <w:t xml:space="preserve"> </w:t>
      </w:r>
      <w:r>
        <w:t xml:space="preserve">A large Redis sorted set is a hash table (member → score) plus a skip list ordered by (score, member) with</w:t>
      </w:r>
      <w:r>
        <w:t xml:space="preserve"> </w:t>
      </w:r>
      <m:oMath>
        <m:r>
          <m:t>p</m:t>
        </m:r>
        <m:r>
          <m:rPr>
            <m:sty m:val="p"/>
          </m:rPr>
          <m:t>=</m:t>
        </m:r>
        <m:r>
          <m:t>1</m:t>
        </m:r>
        <m:r>
          <m:rPr>
            <m:sty m:val="p"/>
          </m:rPr>
          <m:t>/</m:t>
        </m:r>
        <m:r>
          <m:t>4</m:t>
        </m:r>
      </m:oMath>
      <w:r>
        <w:t xml:space="preserve"> </w:t>
      </w:r>
      <w:r>
        <w:t xml:space="preserve">and up to 32 levels; each forward pointer stores a</w:t>
      </w:r>
      <w:r>
        <w:t xml:space="preserve"> </w:t>
      </w:r>
      <w:r>
        <w:rPr>
          <w:iCs/>
          <w:i/>
        </w:rPr>
        <w:t xml:space="preserve">span</w:t>
      </w:r>
      <w:r>
        <w:t xml:space="preserve"> </w:t>
      </w:r>
      <w:r>
        <w:t xml:space="preserve">so</w:t>
      </w:r>
      <w:r>
        <w:t xml:space="preserve"> </w:t>
      </w:r>
      <w:r>
        <w:rPr>
          <w:rStyle w:val="VerbatimChar"/>
        </w:rPr>
        <w:t xml:space="preserve">ZRANK</w:t>
      </w:r>
      <w:r>
        <w:t xml:space="preserve"> </w:t>
      </w:r>
      <w:r>
        <w:t xml:space="preserve">sums spans along the search path in</w:t>
      </w:r>
      <w:r>
        <w:t xml:space="preserve"> </w:t>
      </w:r>
      <m:oMath>
        <m:r>
          <m:t>O</m:t>
        </m:r>
        <m:d>
          <m:dPr>
            <m:begChr m:val="("/>
            <m:endChr m:val=")"/>
            <m:sepChr m:val=""/>
            <m:grow/>
          </m:dPr>
          <m:e>
            <m:r>
              <m:rPr>
                <m:sty m:val="p"/>
              </m:rPr>
              <m:t>log</m:t>
            </m:r>
            <m:r>
              <m:t>n</m:t>
            </m:r>
          </m:e>
        </m:d>
      </m:oMath>
      <w:r>
        <w:t xml:space="preserve">. Small sets use a compact listpack [Redis Docs: Sorted sets; Redis source</w:t>
      </w:r>
      <w:r>
        <w:t xml:space="preserve"> </w:t>
      </w:r>
      <w:r>
        <w:rPr>
          <w:rStyle w:val="VerbatimChar"/>
        </w:rPr>
        <w:t xml:space="preserve">t_zset.c</w:t>
      </w:r>
      <w:r>
        <w:t xml:space="preserve">]. LevelDB and RocksDB use a skip list as the default memtable, for concurrent inserts and ordered flushing to SSTables [RocksDB Wiki: MemTable]; Java’s</w:t>
      </w:r>
      <w:r>
        <w:t xml:space="preserve"> </w:t>
      </w:r>
      <w:r>
        <w:rPr>
          <w:rStyle w:val="VerbatimChar"/>
        </w:rPr>
        <w:t xml:space="preserve">ConcurrentSkipListMap</w:t>
      </w:r>
      <w:r>
        <w:t xml:space="preserve"> </w:t>
      </w:r>
      <w:r>
        <w:t xml:space="preserve">is a lock-free sorted map on the same idea.</w:t>
      </w:r>
      <w:r>
        <w:t xml:space="preserve"> </w:t>
      </w:r>
      <w:r>
        <w:rPr>
          <w:iCs/>
          <w:i/>
        </w:rPr>
        <w:t xml:space="preserve">Evidence: Primary</w:t>
      </w:r>
      <w:r>
        <w:t xml:space="preserve"> </w:t>
      </w:r>
      <w:r>
        <w:t xml:space="preserve">— [Redis Docs; RocksDB Wiki]</w:t>
      </w:r>
    </w:p>
    <w:p>
      <w:pPr>
        <w:pStyle w:val="CalloutMistake"/>
      </w:pPr>
      <w:r>
        <w:rPr>
          <w:bCs/>
          <w:b/>
        </w:rPr>
        <w:t xml:space="preserve">COMMON MISTAKE</w:t>
      </w:r>
    </w:p>
    <w:p>
      <w:pPr>
        <w:pStyle w:val="CalloutMistake"/>
      </w:pPr>
      <w:r>
        <w:rPr>
          <w:bCs/>
          <w:b/>
        </w:rPr>
        <w:t xml:space="preserve">“</w:t>
      </w:r>
      <w:r>
        <w:rPr>
          <w:bCs/>
          <w:b/>
        </w:rPr>
        <w:t xml:space="preserve">Skip lists guarantee O(log n).</w:t>
      </w:r>
      <w:r>
        <w:rPr>
          <w:bCs/>
          <w:b/>
        </w:rPr>
        <w:t xml:space="preserve">”</w:t>
      </w:r>
      <w:r>
        <w:t xml:space="preserve"> </w:t>
      </w:r>
      <w:r>
        <w:t xml:space="preserve">Only in expectation over the coin flips; slow searches are exponentially unlikely, unless an adversary can predict your random generator.</w:t>
      </w:r>
    </w:p>
    <w:bookmarkEnd w:id="1981"/>
    <w:bookmarkEnd w:id="1982"/>
    <w:bookmarkEnd w:id="1983"/>
    <w:bookmarkStart w:id="1994" w:name="merkle-trees"/>
    <w:p>
      <w:pPr>
        <w:pStyle w:val="Heading2"/>
      </w:pPr>
      <w:r>
        <w:t xml:space="preserve">17.8 Merkle trees</w:t>
      </w:r>
    </w:p>
    <w:bookmarkStart w:id="1993" w:name="Xd61da851a022d9f2d22b05bac76d43164819cc7"/>
    <w:p>
      <w:pPr>
        <w:pStyle w:val="Heading3"/>
      </w:pPr>
      <w:r>
        <w:t xml:space="preserve">17.8.1 Hash trees for verification and anti-entropy</w:t>
      </w:r>
    </w:p>
    <w:p>
      <w:pPr>
        <w:pStyle w:val="CalloutDefinition"/>
      </w:pPr>
      <w:r>
        <w:rPr>
          <w:bCs/>
          <w:b/>
        </w:rPr>
        <w:t xml:space="preserve">DEFINITION</w:t>
      </w:r>
    </w:p>
    <w:p>
      <w:pPr>
        <w:pStyle w:val="CalloutDefinition"/>
      </w:pPr>
      <w:r>
        <w:rPr>
          <w:bCs/>
          <w:b/>
        </w:rPr>
        <w:t xml:space="preserve">Definition — Merkle tree (hash tree).</w:t>
      </w:r>
      <w:r>
        <w:t xml:space="preserve"> </w:t>
      </w:r>
      <w:r>
        <w:t xml:space="preserve">A tree in which every leaf holds the hash of a data block and every interior node holds the hash of its children’s hashes. The</w:t>
      </w:r>
      <w:r>
        <w:t xml:space="preserve"> </w:t>
      </w:r>
      <w:r>
        <w:rPr>
          <w:bCs/>
          <w:b/>
        </w:rPr>
        <w:t xml:space="preserve">root hash</w:t>
      </w:r>
      <w:r>
        <w:t xml:space="preserve"> </w:t>
      </w:r>
      <w:r>
        <w:t xml:space="preserve">summarizes the entire data set: changing any block changes the root [Merkle 1987].</w:t>
      </w:r>
    </w:p>
    <w:bookmarkStart w:id="1984" w:name="first-principles-explanation-111"/>
    <w:p>
      <w:pPr>
        <w:pStyle w:val="Heading4"/>
      </w:pPr>
      <w:r>
        <w:t xml:space="preserve">First-principles explanation</w:t>
      </w:r>
    </w:p>
    <w:p>
      <w:pPr>
        <w:pStyle w:val="FirstParagraph"/>
      </w:pPr>
      <w:r>
        <w:t xml:space="preserve">Two libraries want to confirm their 1-million-book catalogs match without reading every entry over the phone. Each writes a summary per shelf, then per aisle from shelf summaries, then per floor, then for the building. They compare building summaries; on a mismatch they compare floors, then only aisles on mismatched floors, and so on. Work grows with the number of</w:t>
      </w:r>
      <w:r>
        <w:t xml:space="preserve"> </w:t>
      </w:r>
      <w:r>
        <w:rPr>
          <w:iCs/>
          <w:i/>
        </w:rPr>
        <w:t xml:space="preserve">differences</w:t>
      </w:r>
      <w:r>
        <w:t xml:space="preserve"> </w:t>
      </w:r>
      <w:r>
        <w:t xml:space="preserve">times the tree depth, not with catalog size.</w:t>
      </w:r>
    </w:p>
    <w:bookmarkEnd w:id="1984"/>
    <w:bookmarkStart w:id="1985" w:name="why-does-this-exist-67"/>
    <w:p>
      <w:pPr>
        <w:pStyle w:val="Heading4"/>
      </w:pPr>
      <w:r>
        <w:t xml:space="preserve">Why does this exist?</w:t>
      </w:r>
    </w:p>
    <w:p>
      <w:pPr>
        <w:pStyle w:val="FirstParagraph"/>
      </w:pPr>
      <w:r>
        <w:t xml:space="preserve">Merkle introduced hash trees so one signature over a root could authenticate many values [Merkle 1987]. Distributed systems use them for</w:t>
      </w:r>
      <w:r>
        <w:t xml:space="preserve"> </w:t>
      </w:r>
      <w:r>
        <w:rPr>
          <w:bCs/>
          <w:b/>
        </w:rPr>
        <w:t xml:space="preserve">verification</w:t>
      </w:r>
      <w:r>
        <w:t xml:space="preserve"> </w:t>
      </w:r>
      <w:r>
        <w:t xml:space="preserve">(prove a record belongs to a data set with a trusted root) and</w:t>
      </w:r>
      <w:r>
        <w:t xml:space="preserve"> </w:t>
      </w:r>
      <w:r>
        <w:rPr>
          <w:bCs/>
          <w:b/>
        </w:rPr>
        <w:t xml:space="preserve">anti-entropy</w:t>
      </w:r>
      <w:r>
        <w:t xml:space="preserve"> </w:t>
      </w:r>
      <w:r>
        <w:t xml:space="preserve">(find where replicas differ by exchanging a few hashes).</w:t>
      </w:r>
    </w:p>
    <w:bookmarkEnd w:id="1985"/>
    <w:bookmarkStart w:id="1992" w:name="how-it-works-internally-74"/>
    <w:p>
      <w:pPr>
        <w:pStyle w:val="Heading4"/>
      </w:pPr>
      <w:r>
        <w:t xml:space="preserve">How it works internally</w:t>
      </w:r>
    </w:p>
    <w:p>
      <w:pPr>
        <w:numPr>
          <w:ilvl w:val="0"/>
          <w:numId w:val="1580"/>
        </w:numPr>
        <w:pStyle w:val="Compact"/>
      </w:pPr>
      <w:r>
        <w:t xml:space="preserve">Hash each record into a leaf: a cryptographic hash such as SHA-256 if forgery matters, a cheaper one if only accidental divergence does.</w:t>
      </w:r>
    </w:p>
    <w:p>
      <w:pPr>
        <w:numPr>
          <w:ilvl w:val="0"/>
          <w:numId w:val="1580"/>
        </w:numPr>
        <w:pStyle w:val="Compact"/>
      </w:pPr>
      <w:r>
        <w:t xml:space="preserve">Hash adjacent pairs level by level up to the root, prefixing leaf and interior inputs with different bytes (</w:t>
      </w:r>
      <w:r>
        <w:rPr>
          <w:rStyle w:val="VerbatimChar"/>
        </w:rPr>
        <w:t xml:space="preserve">0x00</w:t>
      </w:r>
      <w:r>
        <w:t xml:space="preserve">,</w:t>
      </w:r>
      <w:r>
        <w:t xml:space="preserve"> </w:t>
      </w:r>
      <w:r>
        <w:rPr>
          <w:rStyle w:val="VerbatimChar"/>
        </w:rPr>
        <w:t xml:space="preserve">0x01</w:t>
      </w:r>
      <w:r>
        <w:t xml:space="preserve">, as in Certificate Transparency [RFC 6962]) so interior nodes cannot pose as leaves.</w:t>
      </w:r>
    </w:p>
    <w:p>
      <w:pPr>
        <w:numPr>
          <w:ilvl w:val="0"/>
          <w:numId w:val="1580"/>
        </w:numPr>
        <w:pStyle w:val="Compact"/>
      </w:pPr>
      <w:r>
        <w:rPr>
          <w:bCs/>
          <w:b/>
        </w:rPr>
        <w:t xml:space="preserve">Inclusion proof</w:t>
      </w:r>
      <w:r>
        <w:t xml:space="preserve"> </w:t>
      </w:r>
      <w:r>
        <w:t xml:space="preserve">for record</w:t>
      </w:r>
      <w:r>
        <w:t xml:space="preserve"> </w:t>
      </w:r>
      <m:oMath>
        <m:r>
          <m:t>i</m:t>
        </m:r>
      </m:oMath>
      <w:r>
        <w:t xml:space="preserve">: the sibling hash at each level on the path from leaf</w:t>
      </w:r>
      <w:r>
        <w:t xml:space="preserve"> </w:t>
      </w:r>
      <m:oMath>
        <m:r>
          <m:t>i</m:t>
        </m:r>
      </m:oMath>
      <w:r>
        <w:t xml:space="preserve"> </w:t>
      </w:r>
      <w:r>
        <w:t xml:space="preserve">to the root. A verifier recomputes the root from the record and the siblings and compares it with the trusted root.</w:t>
      </w:r>
    </w:p>
    <w:p>
      <w:pPr>
        <w:numPr>
          <w:ilvl w:val="0"/>
          <w:numId w:val="1580"/>
        </w:numPr>
        <w:pStyle w:val="Compact"/>
      </w:pPr>
      <w:r>
        <w:rPr>
          <w:bCs/>
          <w:b/>
        </w:rPr>
        <w:t xml:space="preserve">Anti-entropy</w:t>
      </w:r>
      <w:r>
        <w:t xml:space="preserve">: two replicas compare roots; if they differ, they compare children and descend only into subtrees whose hashes differ, until they reach the divergent leaves.</w:t>
      </w:r>
    </w:p>
    <w:p>
      <w:pPr>
        <w:pStyle w:val="FirstParagraph"/>
      </w:pPr>
      <w:r>
        <w:rPr>
          <w:bCs/>
          <w:b/>
        </w:rPr>
        <w:t xml:space="preserve">Figure 17.9 — A Merkle tree over four records and the inclusion proof for record C.</w:t>
      </w:r>
    </w:p>
    <w:p>
      <w:pPr>
        <w:pStyle w:val="BodyText"/>
      </w:pPr>
      <w:r>
        <w:drawing>
          <wp:inline>
            <wp:extent cx="5334000" cy="2372122"/>
            <wp:effectExtent b="0" l="0" r="0" t="0"/>
            <wp:docPr descr="" title="" id="1987" name="Picture"/>
            <a:graphic>
              <a:graphicData uri="http://schemas.openxmlformats.org/drawingml/2006/picture">
                <pic:pic>
                  <pic:nvPicPr>
                    <pic:cNvPr descr="/home/user/System-Design/build/.cache/diagrams/5e2b9e81dddd.png" id="1988" name="Picture"/>
                    <pic:cNvPicPr>
                      <a:picLocks noChangeArrowheads="1" noChangeAspect="1"/>
                    </pic:cNvPicPr>
                  </pic:nvPicPr>
                  <pic:blipFill>
                    <a:blip r:embed="rId1986"/>
                    <a:stretch>
                      <a:fillRect/>
                    </a:stretch>
                  </pic:blipFill>
                  <pic:spPr bwMode="auto">
                    <a:xfrm>
                      <a:off x="0" y="0"/>
                      <a:ext cx="5334000" cy="2372122"/>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Leaves hash records, parents hash children, the root summarizes all. To prove C is present, the server sends C plus the two siblings marked as proof items,</w:t>
      </w:r>
      <w:r>
        <w:t xml:space="preserve"> </w:t>
      </w:r>
      <m:oMath>
        <m:sSub>
          <m:e>
            <m:r>
              <m:t>H</m:t>
            </m:r>
          </m:e>
          <m:sub>
            <m:r>
              <m:t>D</m:t>
            </m:r>
          </m:sub>
        </m:sSub>
      </m:oMath>
      <w:r>
        <w:t xml:space="preserve"> </w:t>
      </w:r>
      <w:r>
        <w:t xml:space="preserve">and</w:t>
      </w:r>
      <w:r>
        <w:t xml:space="preserve"> </w:t>
      </w:r>
      <m:oMath>
        <m:sSub>
          <m:e>
            <m:r>
              <m:t>H</m:t>
            </m:r>
          </m:e>
          <m:sub>
            <m:r>
              <m:t>A</m:t>
            </m:r>
            <m:r>
              <m:t>B</m:t>
            </m:r>
          </m:sub>
        </m:sSub>
      </m:oMath>
      <w:r>
        <w:t xml:space="preserve">; the verifier recomputes</w:t>
      </w:r>
      <w:r>
        <w:t xml:space="preserve"> </w:t>
      </w:r>
      <m:oMath>
        <m:sSub>
          <m:e>
            <m:r>
              <m:t>H</m:t>
            </m:r>
          </m:e>
          <m:sub>
            <m:r>
              <m:t>C</m:t>
            </m:r>
          </m:sub>
        </m:sSub>
      </m:oMath>
      <w:r>
        <w:t xml:space="preserve">,</w:t>
      </w:r>
      <w:r>
        <w:t xml:space="preserve"> </w:t>
      </w:r>
      <m:oMath>
        <m:sSub>
          <m:e>
            <m:r>
              <m:t>H</m:t>
            </m:r>
          </m:e>
          <m:sub>
            <m:r>
              <m:t>C</m:t>
            </m:r>
            <m:r>
              <m:t>D</m:t>
            </m:r>
          </m:sub>
        </m:sSub>
      </m:oMath>
      <w:r>
        <w:t xml:space="preserve"> </w:t>
      </w:r>
      <w:r>
        <w:t xml:space="preserve">and the root and compares it with a root obtained through a trusted channel (signed log head, block header), all synchronously and locally. Records live in storage; hashes can be cached or stored beside them. Failure points: a stale or untrusted root, and rebuild cost after many updates (incremental trees rehash only the changed leaf’s path). Proofs grow logarithmically: 30 hashes for a billion records.</w:t>
      </w:r>
    </w:p>
    <w:p>
      <w:pPr>
        <w:pStyle w:val="CalloutFormula"/>
      </w:pPr>
      <w:r>
        <w:rPr>
          <w:bCs/>
          <w:b/>
        </w:rPr>
        <w:t xml:space="preserve">FORMULA</w:t>
      </w:r>
    </w:p>
    <w:p>
      <w:pPr>
        <w:pStyle w:val="CalloutFormula"/>
      </w:pPr>
      <w:r>
        <w:rPr>
          <w:bCs/>
          <w:b/>
        </w:rPr>
        <w:t xml:space="preserve">Merkle proof size and anti-entropy cost</w:t>
      </w:r>
    </w:p>
    <w:p>
      <w:pPr>
        <w:pStyle w:val="CalloutFormula"/>
      </w:pPr>
      <m:oMathPara>
        <m:oMathParaPr>
          <m:jc m:val="center"/>
        </m:oMathParaPr>
        <m:oMath>
          <m:r>
            <m:t>h</m:t>
          </m:r>
          <m:r>
            <m:rPr>
              <m:sty m:val="p"/>
            </m:rPr>
            <m:t>=</m:t>
          </m:r>
          <m:r>
            <m:rPr>
              <m:sty m:val="p"/>
            </m:rPr>
            <m:t>⌈</m:t>
          </m:r>
          <m:sSub>
            <m:e>
              <m:r>
                <m:rPr>
                  <m:sty m:val="p"/>
                </m:rPr>
                <m:t>log</m:t>
              </m:r>
            </m:e>
            <m:sub>
              <m:r>
                <m:t>2</m:t>
              </m:r>
            </m:sub>
          </m:sSub>
          <m:r>
            <m:t>n</m:t>
          </m:r>
          <m:r>
            <m:rPr>
              <m:sty m:val="p"/>
            </m:rPr>
            <m:t>⌉</m:t>
          </m:r>
          <m:r>
            <m:rPr>
              <m:sty m:val="p"/>
            </m:rPr>
            <m:t>,</m:t>
          </m:r>
          <m:r>
            <m:t>  </m:t>
          </m:r>
          <m:r>
            <m:rPr>
              <m:nor/>
              <m:sty m:val="p"/>
            </m:rPr>
            <m:t>proof size</m:t>
          </m:r>
          <m:r>
            <m:rPr>
              <m:sty m:val="p"/>
            </m:rPr>
            <m:t>=</m:t>
          </m:r>
          <m:r>
            <m:t>h</m:t>
          </m:r>
          <m:r>
            <m:rPr>
              <m:sty m:val="p"/>
            </m:rPr>
            <m:t>×</m:t>
          </m:r>
          <m:sSub>
            <m:e>
              <m:r>
                <m:t>H</m:t>
              </m:r>
            </m:e>
            <m:sub>
              <m:r>
                <m:rPr>
                  <m:nor/>
                  <m:sty m:val="p"/>
                </m:rPr>
                <m:t>bytes</m:t>
              </m:r>
            </m:sub>
          </m:sSub>
          <m:r>
            <m:rPr>
              <m:sty m:val="p"/>
            </m:rPr>
            <m:t>,</m:t>
          </m:r>
          <m:r>
            <m:t>  </m:t>
          </m:r>
          <m:r>
            <m:rPr>
              <m:nor/>
              <m:sty m:val="p"/>
            </m:rPr>
            <m:t>hashes compared</m:t>
          </m:r>
          <m:r>
            <m:rPr>
              <m:sty m:val="p"/>
            </m:rPr>
            <m:t>≤</m:t>
          </m:r>
          <m:r>
            <m:t>1</m:t>
          </m:r>
          <m:r>
            <m:rPr>
              <m:sty m:val="p"/>
            </m:rPr>
            <m:t>+</m:t>
          </m:r>
          <m:r>
            <m:t>2</m:t>
          </m:r>
          <m:r>
            <m:t> </m:t>
          </m:r>
          <m:r>
            <m:t>k</m:t>
          </m:r>
          <m:r>
            <m:t> </m:t>
          </m:r>
          <m:r>
            <m:t>h</m:t>
          </m:r>
        </m:oMath>
      </m:oMathPara>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n</m:t>
              </m:r>
            </m:oMath>
          </w:p>
        </w:tc>
        <w:tc>
          <w:tcPr/>
          <w:p>
            <w:pPr>
              <w:pStyle w:val="Compact"/>
              <w:jc w:val="left"/>
            </w:pPr>
            <w:r>
              <w:t xml:space="preserve">Number of leaves (records or key ranges)</w:t>
            </w:r>
          </w:p>
        </w:tc>
        <w:tc>
          <w:tcPr/>
          <w:p>
            <w:pPr>
              <w:pStyle w:val="Compact"/>
              <w:jc w:val="left"/>
            </w:pPr>
            <w:r>
              <w:t xml:space="preserve">leaves</w:t>
            </w:r>
          </w:p>
        </w:tc>
      </w:tr>
      <w:tr>
        <w:tc>
          <w:tcPr/>
          <w:p>
            <w:pPr>
              <w:pStyle w:val="Compact"/>
              <w:jc w:val="left"/>
            </w:pPr>
            <m:oMath>
              <m:r>
                <m:t>h</m:t>
              </m:r>
            </m:oMath>
          </w:p>
        </w:tc>
        <w:tc>
          <w:tcPr/>
          <w:p>
            <w:pPr>
              <w:pStyle w:val="Compact"/>
              <w:jc w:val="left"/>
            </w:pPr>
            <w:r>
              <w:t xml:space="preserve">Tree height</w:t>
            </w:r>
          </w:p>
        </w:tc>
        <w:tc>
          <w:tcPr/>
          <w:p>
            <w:pPr>
              <w:pStyle w:val="Compact"/>
              <w:jc w:val="left"/>
            </w:pPr>
            <w:r>
              <w:t xml:space="preserve">levels</w:t>
            </w:r>
          </w:p>
        </w:tc>
      </w:tr>
      <w:tr>
        <w:tc>
          <w:tcPr/>
          <w:p>
            <w:pPr>
              <w:pStyle w:val="Compact"/>
              <w:jc w:val="left"/>
            </w:pPr>
            <m:oMath>
              <m:sSub>
                <m:e>
                  <m:r>
                    <m:t>H</m:t>
                  </m:r>
                </m:e>
                <m:sub>
                  <m:r>
                    <m:rPr>
                      <m:nor/>
                      <m:sty m:val="p"/>
                    </m:rPr>
                    <m:t>bytes</m:t>
                  </m:r>
                </m:sub>
              </m:sSub>
            </m:oMath>
          </w:p>
        </w:tc>
        <w:tc>
          <w:tcPr/>
          <w:p>
            <w:pPr>
              <w:pStyle w:val="Compact"/>
              <w:jc w:val="left"/>
            </w:pPr>
            <w:r>
              <w:t xml:space="preserve">Size of one hash (32 for SHA-256)</w:t>
            </w:r>
          </w:p>
        </w:tc>
        <w:tc>
          <w:tcPr/>
          <w:p>
            <w:pPr>
              <w:pStyle w:val="Compact"/>
              <w:jc w:val="left"/>
            </w:pPr>
            <w:r>
              <w:t xml:space="preserve">bytes</w:t>
            </w:r>
          </w:p>
        </w:tc>
      </w:tr>
      <w:tr>
        <w:tc>
          <w:tcPr/>
          <w:p>
            <w:pPr>
              <w:pStyle w:val="Compact"/>
              <w:jc w:val="left"/>
            </w:pPr>
            <m:oMath>
              <m:r>
                <m:t>k</m:t>
              </m:r>
            </m:oMath>
          </w:p>
        </w:tc>
        <w:tc>
          <w:tcPr/>
          <w:p>
            <w:pPr>
              <w:pStyle w:val="Compact"/>
              <w:jc w:val="left"/>
            </w:pPr>
            <w:r>
              <w:t xml:space="preserve">Number of divergent leaves between two replicas</w:t>
            </w:r>
          </w:p>
        </w:tc>
        <w:tc>
          <w:tcPr/>
          <w:p>
            <w:pPr>
              <w:pStyle w:val="Compact"/>
              <w:jc w:val="left"/>
            </w:pPr>
            <w:r>
              <w:t xml:space="preserve">leaves</w:t>
            </w:r>
          </w:p>
        </w:tc>
      </w:tr>
    </w:tbl>
    <w:p>
      <w:pPr>
        <w:pStyle w:val="CalloutExample"/>
      </w:pPr>
      <w:r>
        <w:rPr>
          <w:bCs/>
          <w:b/>
        </w:rPr>
        <w:t xml:space="preserve">WORKED EXAMPLE</w:t>
      </w:r>
    </w:p>
    <w:p>
      <w:pPr>
        <w:pStyle w:val="CalloutExample"/>
      </w:pPr>
      <w:r>
        <w:rPr>
          <w:bCs/>
          <w:b/>
        </w:rPr>
        <w:t xml:space="preserve">Worked example — 1,048,576 records on two replicas.</w:t>
      </w:r>
    </w:p>
    <w:p>
      <w:pPr>
        <w:numPr>
          <w:ilvl w:val="0"/>
          <w:numId w:val="1581"/>
        </w:numPr>
        <w:pStyle w:val="Compact"/>
      </w:pPr>
      <w:r>
        <w:t xml:space="preserve">Height:</w:t>
      </w:r>
      <w:r>
        <w:t xml:space="preserve"> </w:t>
      </w:r>
      <m:oMath>
        <m:r>
          <m:t>h</m:t>
        </m:r>
        <m:r>
          <m:rPr>
            <m:sty m:val="p"/>
          </m:rPr>
          <m:t>=</m:t>
        </m:r>
        <m:sSub>
          <m:e>
            <m:r>
              <m:rPr>
                <m:sty m:val="p"/>
              </m:rPr>
              <m:t>log</m:t>
            </m:r>
          </m:e>
          <m:sub>
            <m:r>
              <m:t>2</m:t>
            </m:r>
          </m:sub>
        </m:sSub>
        <m:sSup>
          <m:e>
            <m:r>
              <m:t>2</m:t>
            </m:r>
          </m:e>
          <m:sup>
            <m:r>
              <m:t>20</m:t>
            </m:r>
          </m:sup>
        </m:sSup>
        <m:r>
          <m:rPr>
            <m:sty m:val="p"/>
          </m:rPr>
          <m:t>=</m:t>
        </m:r>
        <m:r>
          <m:t>20</m:t>
        </m:r>
      </m:oMath>
      <w:r>
        <w:t xml:space="preserve">.</w:t>
      </w:r>
    </w:p>
    <w:p>
      <w:pPr>
        <w:numPr>
          <w:ilvl w:val="0"/>
          <w:numId w:val="1581"/>
        </w:numPr>
        <w:pStyle w:val="Compact"/>
      </w:pPr>
      <w:r>
        <w:t xml:space="preserve">Inclusion proof:</w:t>
      </w:r>
      <w:r>
        <w:t xml:space="preserve"> </w:t>
      </w:r>
      <m:oMath>
        <m:r>
          <m:t>20</m:t>
        </m:r>
        <m:r>
          <m:rPr>
            <m:sty m:val="p"/>
          </m:rPr>
          <m:t>×</m:t>
        </m:r>
        <m:r>
          <m:t>32</m:t>
        </m:r>
        <m:r>
          <m:rPr>
            <m:sty m:val="p"/>
          </m:rPr>
          <m:t>=</m:t>
        </m:r>
        <m:r>
          <m:t>640</m:t>
        </m:r>
      </m:oMath>
      <w:r>
        <w:t xml:space="preserve"> </w:t>
      </w:r>
      <w:r>
        <w:t xml:space="preserve">bytes, compared with sending all leaf hashes (</w:t>
      </w:r>
      <m:oMath>
        <m:sSup>
          <m:e>
            <m:r>
              <m:t>2</m:t>
            </m:r>
          </m:e>
          <m:sup>
            <m:r>
              <m:t>20</m:t>
            </m:r>
          </m:sup>
        </m:sSup>
        <m:r>
          <m:rPr>
            <m:sty m:val="p"/>
          </m:rPr>
          <m:t>×</m:t>
        </m:r>
        <m:r>
          <m:t>32</m:t>
        </m:r>
      </m:oMath>
      <w:r>
        <w:t xml:space="preserve"> </w:t>
      </w:r>
      <w:r>
        <w:t xml:space="preserve">B = 33.6 MB) or the data itself.</w:t>
      </w:r>
    </w:p>
    <w:p>
      <w:pPr>
        <w:numPr>
          <w:ilvl w:val="0"/>
          <w:numId w:val="1581"/>
        </w:numPr>
        <w:pStyle w:val="Compact"/>
      </w:pPr>
      <w:r>
        <w:t xml:space="preserve">Anti-entropy with</w:t>
      </w:r>
      <w:r>
        <w:t xml:space="preserve"> </w:t>
      </w:r>
      <m:oMath>
        <m:r>
          <m:t>k</m:t>
        </m:r>
        <m:r>
          <m:rPr>
            <m:sty m:val="p"/>
          </m:rPr>
          <m:t>=</m:t>
        </m:r>
        <m:r>
          <m:t>2</m:t>
        </m:r>
      </m:oMath>
      <w:r>
        <w:t xml:space="preserve"> </w:t>
      </w:r>
      <w:r>
        <w:t xml:space="preserve">divergent records: at most</w:t>
      </w:r>
      <w:r>
        <w:t xml:space="preserve"> </w:t>
      </w:r>
      <m:oMath>
        <m:r>
          <m:t>1</m:t>
        </m:r>
        <m:r>
          <m:rPr>
            <m:sty m:val="p"/>
          </m:rPr>
          <m:t>+</m:t>
        </m:r>
        <m:r>
          <m:t>2</m:t>
        </m:r>
        <m:r>
          <m:rPr>
            <m:sty m:val="p"/>
          </m:rPr>
          <m:t>×</m:t>
        </m:r>
        <m:r>
          <m:t>2</m:t>
        </m:r>
        <m:r>
          <m:rPr>
            <m:sty m:val="p"/>
          </m:rPr>
          <m:t>×</m:t>
        </m:r>
        <m:r>
          <m:t>20</m:t>
        </m:r>
        <m:r>
          <m:rPr>
            <m:sty m:val="p"/>
          </m:rPr>
          <m:t>=</m:t>
        </m:r>
        <m:r>
          <m:t>81</m:t>
        </m:r>
      </m:oMath>
      <w:r>
        <w:t xml:space="preserve"> </w:t>
      </w:r>
      <w:r>
        <w:t xml:space="preserve">hash comparisons out of about 2.1 million tree nodes.</w:t>
      </w:r>
    </w:p>
    <w:p>
      <w:pPr>
        <w:pStyle w:val="CalloutExample"/>
      </w:pPr>
      <w:r>
        <w:rPr>
          <w:iCs/>
          <w:i/>
        </w:rPr>
        <w:t xml:space="preserve">Interpretation.</w:t>
      </w:r>
      <w:r>
        <w:t xml:space="preserve"> </w:t>
      </w:r>
      <w:r>
        <w:t xml:space="preserve">Both costs grow with</w:t>
      </w:r>
      <w:r>
        <w:t xml:space="preserve"> </w:t>
      </w:r>
      <m:oMath>
        <m:r>
          <m:rPr>
            <m:sty m:val="p"/>
          </m:rPr>
          <m:t>log</m:t>
        </m:r>
        <m:r>
          <m:t>n</m:t>
        </m:r>
      </m:oMath>
      <w:r>
        <w:t xml:space="preserve">, and anti-entropy cost with the number of differences.</w:t>
      </w:r>
      <w:r>
        <w:t xml:space="preserve"> </w:t>
      </w:r>
      <w:r>
        <w:rPr>
          <w:iCs/>
          <w:i/>
        </w:rPr>
        <w:t xml:space="preserve">Engineering implication.</w:t>
      </w:r>
      <w:r>
        <w:t xml:space="preserve"> </w:t>
      </w:r>
      <w:r>
        <w:t xml:space="preserve">Replicas can run anti-entropy continuously at negligible network cost when mostly in sync.</w:t>
      </w:r>
    </w:p>
    <w:p>
      <w:pPr>
        <w:pStyle w:val="SourceCode"/>
      </w:pPr>
      <w:r>
        <w:rPr>
          <w:rStyle w:val="ImportTok"/>
        </w:rPr>
        <w:t xml:space="preserve">import</w:t>
      </w:r>
      <w:r>
        <w:rPr>
          <w:rStyle w:val="NormalTok"/>
        </w:rPr>
        <w:t xml:space="preserve"> hashlib</w:t>
      </w:r>
      <w:r>
        <w:br/>
      </w:r>
      <w:r>
        <w:br/>
      </w:r>
      <w:r>
        <w:rPr>
          <w:rStyle w:val="KeywordTok"/>
        </w:rPr>
        <w:t xml:space="preserve">def</w:t>
      </w:r>
      <w:r>
        <w:rPr>
          <w:rStyle w:val="NormalTok"/>
        </w:rPr>
        <w:t xml:space="preserve"> h(data: </w:t>
      </w:r>
      <w:r>
        <w:rPr>
          <w:rStyle w:val="BuiltInTok"/>
        </w:rPr>
        <w:t xml:space="preserve">bytes</w:t>
      </w:r>
      <w:r>
        <w:rPr>
          <w:rStyle w:val="NormalTok"/>
        </w:rPr>
        <w:t xml:space="preserve">) </w:t>
      </w:r>
      <w:r>
        <w:rPr>
          <w:rStyle w:val="OperatorTok"/>
        </w:rPr>
        <w:t xml:space="preserve">-&gt;</w:t>
      </w:r>
      <w:r>
        <w:rPr>
          <w:rStyle w:val="NormalTok"/>
        </w:rPr>
        <w:t xml:space="preserve"> </w:t>
      </w:r>
      <w:r>
        <w:rPr>
          <w:rStyle w:val="BuiltInTok"/>
        </w:rPr>
        <w:t xml:space="preserve">bytes</w:t>
      </w:r>
      <w:r>
        <w:rPr>
          <w:rStyle w:val="NormalTok"/>
        </w:rPr>
        <w:t xml:space="preserve">:</w:t>
      </w:r>
      <w:r>
        <w:br/>
      </w:r>
      <w:r>
        <w:rPr>
          <w:rStyle w:val="NormalTok"/>
        </w:rPr>
        <w:t xml:space="preserve">    </w:t>
      </w:r>
      <w:r>
        <w:rPr>
          <w:rStyle w:val="ControlFlowTok"/>
        </w:rPr>
        <w:t xml:space="preserve">return</w:t>
      </w:r>
      <w:r>
        <w:rPr>
          <w:rStyle w:val="NormalTok"/>
        </w:rPr>
        <w:t xml:space="preserve"> hashlib.sha256(data).digest()</w:t>
      </w:r>
      <w:r>
        <w:br/>
      </w:r>
      <w:r>
        <w:br/>
      </w:r>
      <w:r>
        <w:rPr>
          <w:rStyle w:val="KeywordTok"/>
        </w:rPr>
        <w:t xml:space="preserve">def</w:t>
      </w:r>
      <w:r>
        <w:rPr>
          <w:rStyle w:val="NormalTok"/>
        </w:rPr>
        <w:t xml:space="preserve"> leaf_hash(record: </w:t>
      </w:r>
      <w:r>
        <w:rPr>
          <w:rStyle w:val="BuiltInTok"/>
        </w:rPr>
        <w:t xml:space="preserve">bytes</w:t>
      </w:r>
      <w:r>
        <w:rPr>
          <w:rStyle w:val="NormalTok"/>
        </w:rPr>
        <w:t xml:space="preserve">) </w:t>
      </w:r>
      <w:r>
        <w:rPr>
          <w:rStyle w:val="OperatorTok"/>
        </w:rPr>
        <w:t xml:space="preserve">-&gt;</w:t>
      </w:r>
      <w:r>
        <w:rPr>
          <w:rStyle w:val="NormalTok"/>
        </w:rPr>
        <w:t xml:space="preserve"> </w:t>
      </w:r>
      <w:r>
        <w:rPr>
          <w:rStyle w:val="BuiltInTok"/>
        </w:rPr>
        <w:t xml:space="preserve">bytes</w:t>
      </w:r>
      <w:r>
        <w:rPr>
          <w:rStyle w:val="NormalTok"/>
        </w:rPr>
        <w:t xml:space="preserve">:</w:t>
      </w:r>
      <w:r>
        <w:br/>
      </w:r>
      <w:r>
        <w:rPr>
          <w:rStyle w:val="NormalTok"/>
        </w:rPr>
        <w:t xml:space="preserve">    </w:t>
      </w:r>
      <w:r>
        <w:rPr>
          <w:rStyle w:val="ControlFlowTok"/>
        </w:rPr>
        <w:t xml:space="preserve">return</w:t>
      </w:r>
      <w:r>
        <w:rPr>
          <w:rStyle w:val="NormalTok"/>
        </w:rPr>
        <w:t xml:space="preserve"> h(</w:t>
      </w:r>
      <w:r>
        <w:rPr>
          <w:rStyle w:val="StringTok"/>
        </w:rPr>
        <w:t xml:space="preserve">b"</w:t>
      </w:r>
      <w:r>
        <w:rPr>
          <w:rStyle w:val="CharTok"/>
        </w:rPr>
        <w:t xml:space="preserve">\x00</w:t>
      </w:r>
      <w:r>
        <w:rPr>
          <w:rStyle w:val="StringTok"/>
        </w:rPr>
        <w:t xml:space="preserve">"</w:t>
      </w:r>
      <w:r>
        <w:rPr>
          <w:rStyle w:val="NormalTok"/>
        </w:rPr>
        <w:t xml:space="preserve"> </w:t>
      </w:r>
      <w:r>
        <w:rPr>
          <w:rStyle w:val="OperatorTok"/>
        </w:rPr>
        <w:t xml:space="preserve">+</w:t>
      </w:r>
      <w:r>
        <w:rPr>
          <w:rStyle w:val="NormalTok"/>
        </w:rPr>
        <w:t xml:space="preserve"> record)          </w:t>
      </w:r>
      <w:r>
        <w:rPr>
          <w:rStyle w:val="CommentTok"/>
        </w:rPr>
        <w:t xml:space="preserve"># domain separation: leaves and interior nodes</w:t>
      </w:r>
      <w:r>
        <w:br/>
      </w:r>
      <w:r>
        <w:rPr>
          <w:rStyle w:val="KeywordTok"/>
        </w:rPr>
        <w:t xml:space="preserve">def</w:t>
      </w:r>
      <w:r>
        <w:rPr>
          <w:rStyle w:val="NormalTok"/>
        </w:rPr>
        <w:t xml:space="preserve"> node_hash(left: </w:t>
      </w:r>
      <w:r>
        <w:rPr>
          <w:rStyle w:val="BuiltInTok"/>
        </w:rPr>
        <w:t xml:space="preserve">bytes</w:t>
      </w:r>
      <w:r>
        <w:rPr>
          <w:rStyle w:val="NormalTok"/>
        </w:rPr>
        <w:t xml:space="preserve">, right: </w:t>
      </w:r>
      <w:r>
        <w:rPr>
          <w:rStyle w:val="BuiltInTok"/>
        </w:rPr>
        <w:t xml:space="preserve">bytes</w:t>
      </w:r>
      <w:r>
        <w:rPr>
          <w:rStyle w:val="NormalTok"/>
        </w:rPr>
        <w:t xml:space="preserve">) </w:t>
      </w:r>
      <w:r>
        <w:rPr>
          <w:rStyle w:val="OperatorTok"/>
        </w:rPr>
        <w:t xml:space="preserve">-&gt;</w:t>
      </w:r>
      <w:r>
        <w:rPr>
          <w:rStyle w:val="NormalTok"/>
        </w:rPr>
        <w:t xml:space="preserve"> </w:t>
      </w:r>
      <w:r>
        <w:rPr>
          <w:rStyle w:val="BuiltInTok"/>
        </w:rPr>
        <w:t xml:space="preserve">bytes</w:t>
      </w:r>
      <w:r>
        <w:rPr>
          <w:rStyle w:val="NormalTok"/>
        </w:rPr>
        <w:t xml:space="preserve">:</w:t>
      </w:r>
      <w:r>
        <w:br/>
      </w:r>
      <w:r>
        <w:rPr>
          <w:rStyle w:val="NormalTok"/>
        </w:rPr>
        <w:t xml:space="preserve">    </w:t>
      </w:r>
      <w:r>
        <w:rPr>
          <w:rStyle w:val="ControlFlowTok"/>
        </w:rPr>
        <w:t xml:space="preserve">return</w:t>
      </w:r>
      <w:r>
        <w:rPr>
          <w:rStyle w:val="NormalTok"/>
        </w:rPr>
        <w:t xml:space="preserve"> h(</w:t>
      </w:r>
      <w:r>
        <w:rPr>
          <w:rStyle w:val="StringTok"/>
        </w:rPr>
        <w:t xml:space="preserve">b"</w:t>
      </w:r>
      <w:r>
        <w:rPr>
          <w:rStyle w:val="CharTok"/>
        </w:rPr>
        <w:t xml:space="preserve">\x01</w:t>
      </w:r>
      <w:r>
        <w:rPr>
          <w:rStyle w:val="StringTok"/>
        </w:rPr>
        <w:t xml:space="preserve">"</w:t>
      </w:r>
      <w:r>
        <w:rPr>
          <w:rStyle w:val="NormalTok"/>
        </w:rPr>
        <w:t xml:space="preserve"> </w:t>
      </w:r>
      <w:r>
        <w:rPr>
          <w:rStyle w:val="OperatorTok"/>
        </w:rPr>
        <w:t xml:space="preserve">+</w:t>
      </w:r>
      <w:r>
        <w:rPr>
          <w:rStyle w:val="NormalTok"/>
        </w:rPr>
        <w:t xml:space="preserve"> left </w:t>
      </w:r>
      <w:r>
        <w:rPr>
          <w:rStyle w:val="OperatorTok"/>
        </w:rPr>
        <w:t xml:space="preserve">+</w:t>
      </w:r>
      <w:r>
        <w:rPr>
          <w:rStyle w:val="NormalTok"/>
        </w:rPr>
        <w:t xml:space="preserve"> right)    </w:t>
      </w:r>
      <w:r>
        <w:rPr>
          <w:rStyle w:val="CommentTok"/>
        </w:rPr>
        <w:t xml:space="preserve"># can never be confused (cf. RFC 6962)</w:t>
      </w:r>
      <w:r>
        <w:br/>
      </w:r>
      <w:r>
        <w:br/>
      </w:r>
      <w:r>
        <w:rPr>
          <w:rStyle w:val="KeywordTok"/>
        </w:rPr>
        <w:t xml:space="preserve">def</w:t>
      </w:r>
      <w:r>
        <w:rPr>
          <w:rStyle w:val="NormalTok"/>
        </w:rPr>
        <w:t xml:space="preserve"> build(records):</w:t>
      </w:r>
      <w:r>
        <w:br/>
      </w:r>
      <w:r>
        <w:rPr>
          <w:rStyle w:val="NormalTok"/>
        </w:rPr>
        <w:t xml:space="preserve">    </w:t>
      </w:r>
      <w:r>
        <w:rPr>
          <w:rStyle w:val="CommentTok"/>
        </w:rPr>
        <w:t xml:space="preserve">"""Return all levels, leaves first. An odd node is promoted unchanged."""</w:t>
      </w:r>
      <w:r>
        <w:br/>
      </w:r>
      <w:r>
        <w:rPr>
          <w:rStyle w:val="NormalTok"/>
        </w:rPr>
        <w:t xml:space="preserve">    level </w:t>
      </w:r>
      <w:r>
        <w:rPr>
          <w:rStyle w:val="OperatorTok"/>
        </w:rPr>
        <w:t xml:space="preserve">=</w:t>
      </w:r>
      <w:r>
        <w:rPr>
          <w:rStyle w:val="NormalTok"/>
        </w:rPr>
        <w:t xml:space="preserve"> [leaf_hash(r) </w:t>
      </w:r>
      <w:r>
        <w:rPr>
          <w:rStyle w:val="ControlFlowTok"/>
        </w:rPr>
        <w:t xml:space="preserve">for</w:t>
      </w:r>
      <w:r>
        <w:rPr>
          <w:rStyle w:val="NormalTok"/>
        </w:rPr>
        <w:t xml:space="preserve"> r </w:t>
      </w:r>
      <w:r>
        <w:rPr>
          <w:rStyle w:val="KeywordTok"/>
        </w:rPr>
        <w:t xml:space="preserve">in</w:t>
      </w:r>
      <w:r>
        <w:rPr>
          <w:rStyle w:val="NormalTok"/>
        </w:rPr>
        <w:t xml:space="preserve"> records]</w:t>
      </w:r>
      <w:r>
        <w:br/>
      </w:r>
      <w:r>
        <w:rPr>
          <w:rStyle w:val="NormalTok"/>
        </w:rPr>
        <w:t xml:space="preserve">    levels </w:t>
      </w:r>
      <w:r>
        <w:rPr>
          <w:rStyle w:val="OperatorTok"/>
        </w:rPr>
        <w:t xml:space="preserve">=</w:t>
      </w:r>
      <w:r>
        <w:rPr>
          <w:rStyle w:val="NormalTok"/>
        </w:rPr>
        <w:t xml:space="preserve"> [level]</w:t>
      </w:r>
      <w:r>
        <w:br/>
      </w:r>
      <w:r>
        <w:rPr>
          <w:rStyle w:val="NormalTok"/>
        </w:rPr>
        <w:t xml:space="preserve">    </w:t>
      </w:r>
      <w:r>
        <w:rPr>
          <w:rStyle w:val="ControlFlowTok"/>
        </w:rPr>
        <w:t xml:space="preserve">while</w:t>
      </w:r>
      <w:r>
        <w:rPr>
          <w:rStyle w:val="NormalTok"/>
        </w:rPr>
        <w:t xml:space="preserve"> </w:t>
      </w:r>
      <w:r>
        <w:rPr>
          <w:rStyle w:val="BuiltInTok"/>
        </w:rPr>
        <w:t xml:space="preserve">len</w:t>
      </w:r>
      <w:r>
        <w:rPr>
          <w:rStyle w:val="NormalTok"/>
        </w:rPr>
        <w:t xml:space="preserve">(level)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nxt </w:t>
      </w:r>
      <w:r>
        <w:rPr>
          <w:rStyle w:val="OperatorTok"/>
        </w:rPr>
        <w:t xml:space="preserve">=</w:t>
      </w:r>
      <w:r>
        <w:rPr>
          <w:rStyle w:val="NormalTok"/>
        </w:rPr>
        <w:t xml:space="preserve"> [node_hash(level[i], level[i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 </w:t>
      </w:r>
      <w:r>
        <w:rPr>
          <w:rStyle w:val="BuiltInTok"/>
        </w:rPr>
        <w:t xml:space="preserve">len</w:t>
      </w:r>
      <w:r>
        <w:rPr>
          <w:rStyle w:val="NormalTok"/>
        </w:rPr>
        <w:t xml:space="preserve">(level)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(level)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nxt.append(level[</w:t>
      </w:r>
      <w:r>
        <w:rPr>
          <w:rStyle w:val="OperatorTok"/>
        </w:rPr>
        <w:t xml:space="preserve">-</w:t>
      </w:r>
      <w:r>
        <w:rPr>
          <w:rStyle w:val="DecValTok"/>
        </w:rPr>
        <w:t xml:space="preserve">1</w:t>
      </w:r>
      <w:r>
        <w:rPr>
          <w:rStyle w:val="NormalTok"/>
        </w:rPr>
        <w:t xml:space="preserve">])</w:t>
      </w:r>
      <w:r>
        <w:br/>
      </w:r>
      <w:r>
        <w:rPr>
          <w:rStyle w:val="NormalTok"/>
        </w:rPr>
        <w:t xml:space="preserve">        levels.append(nxt)</w:t>
      </w:r>
      <w:r>
        <w:br/>
      </w:r>
      <w:r>
        <w:rPr>
          <w:rStyle w:val="NormalTok"/>
        </w:rPr>
        <w:t xml:space="preserve">        level </w:t>
      </w:r>
      <w:r>
        <w:rPr>
          <w:rStyle w:val="OperatorTok"/>
        </w:rPr>
        <w:t xml:space="preserve">=</w:t>
      </w:r>
      <w:r>
        <w:rPr>
          <w:rStyle w:val="NormalTok"/>
        </w:rPr>
        <w:t xml:space="preserve"> nxt</w:t>
      </w:r>
      <w:r>
        <w:br/>
      </w:r>
      <w:r>
        <w:rPr>
          <w:rStyle w:val="NormalTok"/>
        </w:rPr>
        <w:t xml:space="preserve">    </w:t>
      </w:r>
      <w:r>
        <w:rPr>
          <w:rStyle w:val="ControlFlowTok"/>
        </w:rPr>
        <w:t xml:space="preserve">return</w:t>
      </w:r>
      <w:r>
        <w:rPr>
          <w:rStyle w:val="NormalTok"/>
        </w:rPr>
        <w:t xml:space="preserve"> levels</w:t>
      </w:r>
      <w:r>
        <w:br/>
      </w:r>
      <w:r>
        <w:br/>
      </w:r>
      <w:r>
        <w:rPr>
          <w:rStyle w:val="KeywordTok"/>
        </w:rPr>
        <w:t xml:space="preserve">def</w:t>
      </w:r>
      <w:r>
        <w:rPr>
          <w:rStyle w:val="NormalTok"/>
        </w:rPr>
        <w:t xml:space="preserve"> proof(levels, index):</w:t>
      </w:r>
      <w:r>
        <w:br/>
      </w:r>
      <w:r>
        <w:rPr>
          <w:rStyle w:val="NormalTok"/>
        </w:rPr>
        <w:t xml:space="preserve">    </w:t>
      </w:r>
      <w:r>
        <w:rPr>
          <w:rStyle w:val="CommentTok"/>
        </w:rPr>
        <w:t xml:space="preserve">"""Sibling hashes from leaf to root: the audit path for one record."""</w:t>
      </w:r>
      <w:r>
        <w:br/>
      </w:r>
      <w:r>
        <w:rPr>
          <w:rStyle w:val="NormalTok"/>
        </w:rPr>
        <w:t xml:space="preserve">    path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level </w:t>
      </w:r>
      <w:r>
        <w:rPr>
          <w:rStyle w:val="KeywordTok"/>
        </w:rPr>
        <w:t xml:space="preserve">in</w:t>
      </w:r>
      <w:r>
        <w:rPr>
          <w:rStyle w:val="NormalTok"/>
        </w:rPr>
        <w:t xml:space="preserve"> levels[:</w:t>
      </w:r>
      <w:r>
        <w:rPr>
          <w:rStyle w:val="OperatorTok"/>
        </w:rPr>
        <w:t xml:space="preserve">-</w:t>
      </w:r>
      <w:r>
        <w:rPr>
          <w:rStyle w:val="DecValTok"/>
        </w:rPr>
        <w:t xml:space="preserve">1</w:t>
      </w:r>
      <w:r>
        <w:rPr>
          <w:rStyle w:val="NormalTok"/>
        </w:rPr>
        <w:t xml:space="preserve">]:</w:t>
      </w:r>
      <w:r>
        <w:br/>
      </w:r>
      <w:r>
        <w:rPr>
          <w:rStyle w:val="NormalTok"/>
        </w:rPr>
        <w:t xml:space="preserve">        sibling </w:t>
      </w:r>
      <w:r>
        <w:rPr>
          <w:rStyle w:val="OperatorTok"/>
        </w:rPr>
        <w:t xml:space="preserve">=</w:t>
      </w:r>
      <w:r>
        <w:rPr>
          <w:rStyle w:val="NormalTok"/>
        </w:rPr>
        <w:t xml:space="preserve"> index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sibling </w:t>
      </w:r>
      <w:r>
        <w:rPr>
          <w:rStyle w:val="OperatorTok"/>
        </w:rPr>
        <w:t xml:space="preserve">&lt;</w:t>
      </w:r>
      <w:r>
        <w:rPr>
          <w:rStyle w:val="NormalTok"/>
        </w:rPr>
        <w:t xml:space="preserve"> </w:t>
      </w:r>
      <w:r>
        <w:rPr>
          <w:rStyle w:val="BuiltInTok"/>
        </w:rPr>
        <w:t xml:space="preserve">len</w:t>
      </w:r>
      <w:r>
        <w:rPr>
          <w:rStyle w:val="NormalTok"/>
        </w:rPr>
        <w:t xml:space="preserve">(level):</w:t>
      </w:r>
      <w:r>
        <w:br/>
      </w:r>
      <w:r>
        <w:rPr>
          <w:rStyle w:val="NormalTok"/>
        </w:rPr>
        <w:t xml:space="preserve">            path.append((sibling </w:t>
      </w:r>
      <w:r>
        <w:rPr>
          <w:rStyle w:val="OperatorTok"/>
        </w:rPr>
        <w:t xml:space="preserve">&lt;</w:t>
      </w:r>
      <w:r>
        <w:rPr>
          <w:rStyle w:val="NormalTok"/>
        </w:rPr>
        <w:t xml:space="preserve"> index, level[sibling]))   </w:t>
      </w:r>
      <w:r>
        <w:rPr>
          <w:rStyle w:val="CommentTok"/>
        </w:rPr>
        <w:t xml:space="preserve"># (sibling is on the left?, hash)</w:t>
      </w:r>
      <w:r>
        <w:br/>
      </w:r>
      <w:r>
        <w:rPr>
          <w:rStyle w:val="NormalTok"/>
        </w:rPr>
        <w:t xml:space="preserve">        index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ntrolFlowTok"/>
        </w:rPr>
        <w:t xml:space="preserve">return</w:t>
      </w:r>
      <w:r>
        <w:rPr>
          <w:rStyle w:val="NormalTok"/>
        </w:rPr>
        <w:t xml:space="preserve"> path</w:t>
      </w:r>
      <w:r>
        <w:br/>
      </w:r>
      <w:r>
        <w:br/>
      </w:r>
      <w:r>
        <w:rPr>
          <w:rStyle w:val="KeywordTok"/>
        </w:rPr>
        <w:t xml:space="preserve">def</w:t>
      </w:r>
      <w:r>
        <w:rPr>
          <w:rStyle w:val="NormalTok"/>
        </w:rPr>
        <w:t xml:space="preserve"> verify(record, path, root):</w:t>
      </w:r>
      <w:r>
        <w:br/>
      </w:r>
      <w:r>
        <w:rPr>
          <w:rStyle w:val="NormalTok"/>
        </w:rPr>
        <w:t xml:space="preserve">    acc </w:t>
      </w:r>
      <w:r>
        <w:rPr>
          <w:rStyle w:val="OperatorTok"/>
        </w:rPr>
        <w:t xml:space="preserve">=</w:t>
      </w:r>
      <w:r>
        <w:rPr>
          <w:rStyle w:val="NormalTok"/>
        </w:rPr>
        <w:t xml:space="preserve"> leaf_hash(record)</w:t>
      </w:r>
      <w:r>
        <w:br/>
      </w:r>
      <w:r>
        <w:rPr>
          <w:rStyle w:val="NormalTok"/>
        </w:rPr>
        <w:t xml:space="preserve">    </w:t>
      </w:r>
      <w:r>
        <w:rPr>
          <w:rStyle w:val="ControlFlowTok"/>
        </w:rPr>
        <w:t xml:space="preserve">for</w:t>
      </w:r>
      <w:r>
        <w:rPr>
          <w:rStyle w:val="NormalTok"/>
        </w:rPr>
        <w:t xml:space="preserve"> sibling_is_left, sib </w:t>
      </w:r>
      <w:r>
        <w:rPr>
          <w:rStyle w:val="KeywordTok"/>
        </w:rPr>
        <w:t xml:space="preserve">in</w:t>
      </w:r>
      <w:r>
        <w:rPr>
          <w:rStyle w:val="NormalTok"/>
        </w:rPr>
        <w:t xml:space="preserve"> path:</w:t>
      </w:r>
      <w:r>
        <w:br/>
      </w:r>
      <w:r>
        <w:rPr>
          <w:rStyle w:val="NormalTok"/>
        </w:rPr>
        <w:t xml:space="preserve">        acc </w:t>
      </w:r>
      <w:r>
        <w:rPr>
          <w:rStyle w:val="OperatorTok"/>
        </w:rPr>
        <w:t xml:space="preserve">=</w:t>
      </w:r>
      <w:r>
        <w:rPr>
          <w:rStyle w:val="NormalTok"/>
        </w:rPr>
        <w:t xml:space="preserve"> node_hash(sib, acc) </w:t>
      </w:r>
      <w:r>
        <w:rPr>
          <w:rStyle w:val="ControlFlowTok"/>
        </w:rPr>
        <w:t xml:space="preserve">if</w:t>
      </w:r>
      <w:r>
        <w:rPr>
          <w:rStyle w:val="NormalTok"/>
        </w:rPr>
        <w:t xml:space="preserve"> sibling_is_left </w:t>
      </w:r>
      <w:r>
        <w:rPr>
          <w:rStyle w:val="ControlFlowTok"/>
        </w:rPr>
        <w:t xml:space="preserve">else</w:t>
      </w:r>
      <w:r>
        <w:rPr>
          <w:rStyle w:val="NormalTok"/>
        </w:rPr>
        <w:t xml:space="preserve"> node_hash(acc, sib)</w:t>
      </w:r>
      <w:r>
        <w:br/>
      </w:r>
      <w:r>
        <w:rPr>
          <w:rStyle w:val="NormalTok"/>
        </w:rPr>
        <w:t xml:space="preserve">    </w:t>
      </w:r>
      <w:r>
        <w:rPr>
          <w:rStyle w:val="ControlFlowTok"/>
        </w:rPr>
        <w:t xml:space="preserve">return</w:t>
      </w:r>
      <w:r>
        <w:rPr>
          <w:rStyle w:val="NormalTok"/>
        </w:rPr>
        <w:t xml:space="preserve"> acc </w:t>
      </w:r>
      <w:r>
        <w:rPr>
          <w:rStyle w:val="OperatorTok"/>
        </w:rPr>
        <w:t xml:space="preserve">==</w:t>
      </w:r>
      <w:r>
        <w:rPr>
          <w:rStyle w:val="NormalTok"/>
        </w:rPr>
        <w:t xml:space="preserve"> root</w:t>
      </w:r>
      <w:r>
        <w:br/>
      </w:r>
      <w:r>
        <w:br/>
      </w:r>
      <w:r>
        <w:rPr>
          <w:rStyle w:val="KeywordTok"/>
        </w:rPr>
        <w:t xml:space="preserve">def</w:t>
      </w:r>
      <w:r>
        <w:rPr>
          <w:rStyle w:val="NormalTok"/>
        </w:rPr>
        <w:t xml:space="preserve"> diff(a, b, level</w:t>
      </w:r>
      <w:r>
        <w:rPr>
          <w:rStyle w:val="OperatorTok"/>
        </w:rPr>
        <w:t xml:space="preserve">=</w:t>
      </w:r>
      <w:r>
        <w:rPr>
          <w:rStyle w:val="VariableTok"/>
        </w:rPr>
        <w:t xml:space="preserve">None</w:t>
      </w:r>
      <w:r>
        <w:rPr>
          <w:rStyle w:val="NormalTok"/>
        </w:rPr>
        <w:t xml:space="preserve">, index</w:t>
      </w:r>
      <w:r>
        <w:rPr>
          <w:rStyle w:val="OperatorTok"/>
        </w:rPr>
        <w:t xml:space="preserve">=</w:t>
      </w:r>
      <w:r>
        <w:rPr>
          <w:rStyle w:val="DecValTok"/>
        </w:rPr>
        <w:t xml:space="preserve">0</w:t>
      </w:r>
      <w:r>
        <w:rPr>
          <w:rStyle w:val="NormalTok"/>
        </w:rPr>
        <w:t xml:space="preserve">, found</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"""Anti-entropy: descend only into subtrees whose hashes differ. Returns (leaf indexes, hashes compared)."""</w:t>
      </w:r>
      <w:r>
        <w:br/>
      </w:r>
      <w:r>
        <w:rPr>
          <w:rStyle w:val="NormalTok"/>
        </w:rPr>
        <w:t xml:space="preserve">    </w:t>
      </w:r>
      <w:r>
        <w:rPr>
          <w:rStyle w:val="ControlFlowTok"/>
        </w:rPr>
        <w:t xml:space="preserve">if</w:t>
      </w:r>
      <w:r>
        <w:rPr>
          <w:rStyle w:val="NormalTok"/>
        </w:rPr>
        <w:t xml:space="preserve"> found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level, found </w:t>
      </w:r>
      <w:r>
        <w:rPr>
          <w:rStyle w:val="OperatorTok"/>
        </w:rPr>
        <w:t xml:space="preserve">=</w:t>
      </w:r>
      <w:r>
        <w:rPr>
          <w:rStyle w:val="NormalTok"/>
        </w:rPr>
        <w:t xml:space="preserve"> </w:t>
      </w:r>
      <w:r>
        <w:rPr>
          <w:rStyle w:val="BuiltInTok"/>
        </w:rPr>
        <w:t xml:space="preserve">len</w:t>
      </w:r>
      <w:r>
        <w:rPr>
          <w:rStyle w:val="NormalTok"/>
        </w:rPr>
        <w:t xml:space="preserve">(a) </w:t>
      </w:r>
      <w:r>
        <w:rPr>
          <w:rStyle w:val="OperatorTok"/>
        </w:rPr>
        <w:t xml:space="preserve">-</w:t>
      </w:r>
      <w:r>
        <w:rPr>
          <w:rStyle w:val="NormalTok"/>
        </w:rPr>
        <w:t xml:space="preserve"> </w:t>
      </w:r>
      <w:r>
        <w:rPr>
          <w:rStyle w:val="DecValTok"/>
        </w:rPr>
        <w:t xml:space="preserve">1</w:t>
      </w:r>
      <w:r>
        <w:rPr>
          <w:rStyle w:val="NormalTok"/>
        </w:rPr>
        <w:t xml:space="preserve">, ([], [</w:t>
      </w:r>
      <w:r>
        <w:rPr>
          <w:rStyle w:val="DecValTok"/>
        </w:rPr>
        <w:t xml:space="preserve">0</w:t>
      </w:r>
      <w:r>
        <w:rPr>
          <w:rStyle w:val="NormalTok"/>
        </w:rPr>
        <w:t xml:space="preserve">])</w:t>
      </w:r>
      <w:r>
        <w:br/>
      </w:r>
      <w:r>
        <w:rPr>
          <w:rStyle w:val="NormalTok"/>
        </w:rPr>
        <w:t xml:space="preserve">    found[</w:t>
      </w:r>
      <w:r>
        <w:rPr>
          <w:rStyle w:val="DecValTok"/>
        </w:rPr>
        <w:t xml:space="preserve">1</w:t>
      </w:r>
      <w:r>
        <w:rPr>
          <w:rStyle w:val="NormalTok"/>
        </w:rPr>
        <w:t xml:space="preserve">][</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a[level][index] </w:t>
      </w:r>
      <w:r>
        <w:rPr>
          <w:rStyle w:val="OperatorTok"/>
        </w:rPr>
        <w:t xml:space="preserve">==</w:t>
      </w:r>
      <w:r>
        <w:rPr>
          <w:rStyle w:val="NormalTok"/>
        </w:rPr>
        <w:t xml:space="preserve"> b[level][index]:</w:t>
      </w:r>
      <w:r>
        <w:br/>
      </w:r>
      <w:r>
        <w:rPr>
          <w:rStyle w:val="NormalTok"/>
        </w:rPr>
        <w:t xml:space="preserve">        </w:t>
      </w:r>
      <w:r>
        <w:rPr>
          <w:rStyle w:val="ControlFlowTok"/>
        </w:rPr>
        <w:t xml:space="preserve">return</w:t>
      </w:r>
      <w:r>
        <w:rPr>
          <w:rStyle w:val="NormalTok"/>
        </w:rPr>
        <w:t xml:space="preserve"> found</w:t>
      </w:r>
      <w:r>
        <w:br/>
      </w:r>
      <w:r>
        <w:rPr>
          <w:rStyle w:val="NormalTok"/>
        </w:rPr>
        <w:t xml:space="preserve">    </w:t>
      </w:r>
      <w:r>
        <w:rPr>
          <w:rStyle w:val="ControlFlowTok"/>
        </w:rPr>
        <w:t xml:space="preserve">if</w:t>
      </w:r>
      <w:r>
        <w:rPr>
          <w:rStyle w:val="NormalTok"/>
        </w:rPr>
        <w:t xml:space="preserve"> level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found[</w:t>
      </w:r>
      <w:r>
        <w:rPr>
          <w:rStyle w:val="DecValTok"/>
        </w:rPr>
        <w:t xml:space="preserve">0</w:t>
      </w:r>
      <w:r>
        <w:rPr>
          <w:rStyle w:val="NormalTok"/>
        </w:rPr>
        <w:t xml:space="preserve">].append(index)</w:t>
      </w:r>
      <w:r>
        <w:br/>
      </w:r>
      <w:r>
        <w:rPr>
          <w:rStyle w:val="NormalTok"/>
        </w:rPr>
        <w:t xml:space="preserve">        </w:t>
      </w:r>
      <w:r>
        <w:rPr>
          <w:rStyle w:val="ControlFlowTok"/>
        </w:rPr>
        <w:t xml:space="preserve">return</w:t>
      </w:r>
      <w:r>
        <w:rPr>
          <w:rStyle w:val="NormalTok"/>
        </w:rPr>
        <w:t xml:space="preserve"> found</w:t>
      </w:r>
      <w:r>
        <w:br/>
      </w:r>
      <w:r>
        <w:rPr>
          <w:rStyle w:val="NormalTok"/>
        </w:rPr>
        <w:t xml:space="preserve">    </w:t>
      </w:r>
      <w:r>
        <w:rPr>
          <w:rStyle w:val="ControlFlowTok"/>
        </w:rPr>
        <w:t xml:space="preserve">for</w:t>
      </w:r>
      <w:r>
        <w:rPr>
          <w:rStyle w:val="NormalTok"/>
        </w:rPr>
        <w:t xml:space="preserve"> child </w:t>
      </w:r>
      <w:r>
        <w:rPr>
          <w:rStyle w:val="KeywordTok"/>
        </w:rPr>
        <w:t xml:space="preserve">in</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index, </w:t>
      </w:r>
      <w:r>
        <w:rPr>
          <w:rStyle w:val="DecValTok"/>
        </w:rPr>
        <w:t xml:space="preserve">2</w:t>
      </w:r>
      <w:r>
        <w:rPr>
          <w:rStyle w:val="NormalTok"/>
        </w:rPr>
        <w:t xml:space="preserve"> </w:t>
      </w:r>
      <w:r>
        <w:rPr>
          <w:rStyle w:val="OperatorTok"/>
        </w:rPr>
        <w:t xml:space="preserve">*</w:t>
      </w:r>
      <w:r>
        <w:rPr>
          <w:rStyle w:val="NormalTok"/>
        </w:rPr>
        <w:t xml:space="preserve"> index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child </w:t>
      </w:r>
      <w:r>
        <w:rPr>
          <w:rStyle w:val="OperatorTok"/>
        </w:rPr>
        <w:t xml:space="preserve">&lt;</w:t>
      </w:r>
      <w:r>
        <w:rPr>
          <w:rStyle w:val="NormalTok"/>
        </w:rPr>
        <w:t xml:space="preserve"> </w:t>
      </w:r>
      <w:r>
        <w:rPr>
          <w:rStyle w:val="BuiltInTok"/>
        </w:rPr>
        <w:t xml:space="preserve">len</w:t>
      </w:r>
      <w:r>
        <w:rPr>
          <w:rStyle w:val="NormalTok"/>
        </w:rPr>
        <w:t xml:space="preserve">(a[level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diff(a, b, level </w:t>
      </w:r>
      <w:r>
        <w:rPr>
          <w:rStyle w:val="OperatorTok"/>
        </w:rPr>
        <w:t xml:space="preserve">-</w:t>
      </w:r>
      <w:r>
        <w:rPr>
          <w:rStyle w:val="NormalTok"/>
        </w:rPr>
        <w:t xml:space="preserve"> </w:t>
      </w:r>
      <w:r>
        <w:rPr>
          <w:rStyle w:val="DecValTok"/>
        </w:rPr>
        <w:t xml:space="preserve">1</w:t>
      </w:r>
      <w:r>
        <w:rPr>
          <w:rStyle w:val="NormalTok"/>
        </w:rPr>
        <w:t xml:space="preserve">, child, found)</w:t>
      </w:r>
      <w:r>
        <w:br/>
      </w:r>
      <w:r>
        <w:rPr>
          <w:rStyle w:val="NormalTok"/>
        </w:rPr>
        <w:t xml:space="preserve">    </w:t>
      </w:r>
      <w:r>
        <w:rPr>
          <w:rStyle w:val="ControlFlowTok"/>
        </w:rPr>
        <w:t xml:space="preserve">return</w:t>
      </w:r>
      <w:r>
        <w:rPr>
          <w:rStyle w:val="NormalTok"/>
        </w:rPr>
        <w:t xml:space="preserve"> found</w:t>
      </w:r>
      <w:r>
        <w:br/>
      </w:r>
      <w:r>
        <w:br/>
      </w:r>
      <w:r>
        <w:rPr>
          <w:rStyle w:val="NormalTok"/>
        </w:rPr>
        <w:t xml:space="preserve">records </w:t>
      </w:r>
      <w:r>
        <w:rPr>
          <w:rStyle w:val="OperatorTok"/>
        </w:rPr>
        <w:t xml:space="preserve">=</w:t>
      </w:r>
      <w:r>
        <w:rPr>
          <w:rStyle w:val="NormalTok"/>
        </w:rPr>
        <w:t xml:space="preserve"> [</w:t>
      </w:r>
      <w:r>
        <w:rPr>
          <w:rStyle w:val="SpecialStringTok"/>
        </w:rPr>
        <w:t xml:space="preserve">f"key-</w:t>
      </w:r>
      <w:r>
        <w:rPr>
          <w:rStyle w:val="SpecialCharTok"/>
        </w:rPr>
        <w:t xml:space="preserve">{</w:t>
      </w:r>
      <w:r>
        <w:rPr>
          <w:rStyle w:val="NormalTok"/>
        </w:rPr>
        <w:t xml:space="preserve">i</w:t>
      </w:r>
      <w:r>
        <w:rPr>
          <w:rStyle w:val="SpecialCharTok"/>
        </w:rPr>
        <w:t xml:space="preserve">}</w:t>
      </w:r>
      <w:r>
        <w:rPr>
          <w:rStyle w:val="SpecialStringTok"/>
        </w:rPr>
        <w:t xml:space="preserve">=value-</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.encode()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OperatorTok"/>
        </w:rPr>
        <w:t xml:space="preserve">&lt;&lt;</w:t>
      </w:r>
      <w:r>
        <w:rPr>
          <w:rStyle w:val="NormalTok"/>
        </w:rPr>
        <w:t xml:space="preserve"> </w:t>
      </w:r>
      <w:r>
        <w:rPr>
          <w:rStyle w:val="DecValTok"/>
        </w:rPr>
        <w:t xml:space="preserve">20</w:t>
      </w:r>
      <w:r>
        <w:rPr>
          <w:rStyle w:val="NormalTok"/>
        </w:rPr>
        <w:t xml:space="preserve">)]       </w:t>
      </w:r>
      <w:r>
        <w:rPr>
          <w:rStyle w:val="CommentTok"/>
        </w:rPr>
        <w:t xml:space="preserve"># 1,048,576 records</w:t>
      </w:r>
      <w:r>
        <w:br/>
      </w:r>
      <w:r>
        <w:rPr>
          <w:rStyle w:val="NormalTok"/>
        </w:rPr>
        <w:t xml:space="preserve">replica_a </w:t>
      </w:r>
      <w:r>
        <w:rPr>
          <w:rStyle w:val="OperatorTok"/>
        </w:rPr>
        <w:t xml:space="preserve">=</w:t>
      </w:r>
      <w:r>
        <w:rPr>
          <w:rStyle w:val="NormalTok"/>
        </w:rPr>
        <w:t xml:space="preserve"> build(records)</w:t>
      </w:r>
      <w:r>
        <w:br/>
      </w:r>
      <w:r>
        <w:rPr>
          <w:rStyle w:val="NormalTok"/>
        </w:rPr>
        <w:t xml:space="preserve">records_b </w:t>
      </w:r>
      <w:r>
        <w:rPr>
          <w:rStyle w:val="OperatorTok"/>
        </w:rPr>
        <w:t xml:space="preserve">=</w:t>
      </w:r>
      <w:r>
        <w:rPr>
          <w:rStyle w:val="NormalTok"/>
        </w:rPr>
        <w:t xml:space="preserve"> </w:t>
      </w:r>
      <w:r>
        <w:rPr>
          <w:rStyle w:val="BuiltInTok"/>
        </w:rPr>
        <w:t xml:space="preserve">list</w:t>
      </w:r>
      <w:r>
        <w:rPr>
          <w:rStyle w:val="NormalTok"/>
        </w:rPr>
        <w:t xml:space="preserve">(records)</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DecValTok"/>
        </w:rPr>
        <w:t xml:space="preserve">12_345</w:t>
      </w:r>
      <w:r>
        <w:rPr>
          <w:rStyle w:val="NormalTok"/>
        </w:rPr>
        <w:t xml:space="preserve">, </w:t>
      </w:r>
      <w:r>
        <w:rPr>
          <w:rStyle w:val="DecValTok"/>
        </w:rPr>
        <w:t xml:space="preserve">777_777</w:t>
      </w:r>
      <w:r>
        <w:rPr>
          <w:rStyle w:val="NormalTok"/>
        </w:rPr>
        <w:t xml:space="preserve">):                                               </w:t>
      </w:r>
      <w:r>
        <w:rPr>
          <w:rStyle w:val="CommentTok"/>
        </w:rPr>
        <w:t xml:space="preserve"># two divergent records</w:t>
      </w:r>
      <w:r>
        <w:br/>
      </w:r>
      <w:r>
        <w:rPr>
          <w:rStyle w:val="NormalTok"/>
        </w:rPr>
        <w:t xml:space="preserve">    records_b[i] </w:t>
      </w:r>
      <w:r>
        <w:rPr>
          <w:rStyle w:val="OperatorTok"/>
        </w:rPr>
        <w:t xml:space="preserve">=</w:t>
      </w:r>
      <w:r>
        <w:rPr>
          <w:rStyle w:val="NormalTok"/>
        </w:rPr>
        <w:t xml:space="preserve"> </w:t>
      </w:r>
      <w:r>
        <w:rPr>
          <w:rStyle w:val="StringTok"/>
        </w:rPr>
        <w:t xml:space="preserve">b"stale"</w:t>
      </w:r>
      <w:r>
        <w:br/>
      </w:r>
      <w:r>
        <w:rPr>
          <w:rStyle w:val="NormalTok"/>
        </w:rPr>
        <w:t xml:space="preserve">replica_b </w:t>
      </w:r>
      <w:r>
        <w:rPr>
          <w:rStyle w:val="OperatorTok"/>
        </w:rPr>
        <w:t xml:space="preserve">=</w:t>
      </w:r>
      <w:r>
        <w:rPr>
          <w:rStyle w:val="NormalTok"/>
        </w:rPr>
        <w:t xml:space="preserve"> build(records_b)</w:t>
      </w:r>
      <w:r>
        <w:br/>
      </w:r>
      <w:r>
        <w:br/>
      </w:r>
      <w:r>
        <w:rPr>
          <w:rStyle w:val="NormalTok"/>
        </w:rPr>
        <w:t xml:space="preserve">root </w:t>
      </w:r>
      <w:r>
        <w:rPr>
          <w:rStyle w:val="OperatorTok"/>
        </w:rPr>
        <w:t xml:space="preserve">=</w:t>
      </w:r>
      <w:r>
        <w:rPr>
          <w:rStyle w:val="NormalTok"/>
        </w:rPr>
        <w:t xml:space="preserve"> replica_a[</w:t>
      </w:r>
      <w:r>
        <w:rPr>
          <w:rStyle w:val="Operator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p </w:t>
      </w:r>
      <w:r>
        <w:rPr>
          <w:rStyle w:val="OperatorTok"/>
        </w:rPr>
        <w:t xml:space="preserve">=</w:t>
      </w:r>
      <w:r>
        <w:rPr>
          <w:rStyle w:val="NormalTok"/>
        </w:rPr>
        <w:t xml:space="preserve"> proof(replica_a, </w:t>
      </w:r>
      <w:r>
        <w:rPr>
          <w:rStyle w:val="DecValTok"/>
        </w:rPr>
        <w:t xml:space="preserve">424_242</w:t>
      </w:r>
      <w:r>
        <w:rPr>
          <w:rStyle w:val="NormalTok"/>
        </w:rPr>
        <w:t xml:space="preserve">)</w:t>
      </w:r>
      <w:r>
        <w:br/>
      </w:r>
      <w:r>
        <w:rPr>
          <w:rStyle w:val="BuiltInTok"/>
        </w:rPr>
        <w:t xml:space="preserve">print</w:t>
      </w:r>
      <w:r>
        <w:rPr>
          <w:rStyle w:val="NormalTok"/>
        </w:rPr>
        <w:t xml:space="preserve">(</w:t>
      </w:r>
      <w:r>
        <w:rPr>
          <w:rStyle w:val="SpecialStringTok"/>
        </w:rPr>
        <w:t xml:space="preserve">f"tree height = </w:t>
      </w:r>
      <w:r>
        <w:rPr>
          <w:rStyle w:val="SpecialCharTok"/>
        </w:rPr>
        <w:t xml:space="preserve">{</w:t>
      </w:r>
      <w:r>
        <w:rPr>
          <w:rStyle w:val="BuiltInTok"/>
        </w:rPr>
        <w:t xml:space="preserve">len</w:t>
      </w:r>
      <w:r>
        <w:rPr>
          <w:rStyle w:val="NormalTok"/>
        </w:rPr>
        <w:t xml:space="preserve">(replica_a) </w:t>
      </w:r>
      <w:r>
        <w:rPr>
          <w:rStyle w:val="OperatorTok"/>
        </w:rPr>
        <w:t xml:space="preserve">-</w:t>
      </w:r>
      <w:r>
        <w:rPr>
          <w:rStyle w:val="NormalTok"/>
        </w:rPr>
        <w:t xml:space="preserve"> </w:t>
      </w:r>
      <w:r>
        <w:rPr>
          <w:rStyle w:val="DecValTok"/>
        </w:rPr>
        <w:t xml:space="preserve">1</w:t>
      </w:r>
      <w:r>
        <w:rPr>
          <w:rStyle w:val="SpecialCharTok"/>
        </w:rPr>
        <w:t xml:space="preserve">}</w:t>
      </w:r>
      <w:r>
        <w:rPr>
          <w:rStyle w:val="SpecialStringTok"/>
        </w:rPr>
        <w:t xml:space="preserve">, proof length = </w:t>
      </w:r>
      <w:r>
        <w:rPr>
          <w:rStyle w:val="SpecialCharTok"/>
        </w:rPr>
        <w:t xml:space="preserve">{</w:t>
      </w:r>
      <w:r>
        <w:rPr>
          <w:rStyle w:val="BuiltInTok"/>
        </w:rPr>
        <w:t xml:space="preserve">len</w:t>
      </w:r>
      <w:r>
        <w:rPr>
          <w:rStyle w:val="NormalTok"/>
        </w:rPr>
        <w:t xml:space="preserve">(p)</w:t>
      </w:r>
      <w:r>
        <w:rPr>
          <w:rStyle w:val="SpecialCharTok"/>
        </w:rPr>
        <w:t xml:space="preserve">}</w:t>
      </w:r>
      <w:r>
        <w:rPr>
          <w:rStyle w:val="SpecialStringTok"/>
        </w:rPr>
        <w:t xml:space="preserve"> hashes = </w:t>
      </w:r>
      <w:r>
        <w:rPr>
          <w:rStyle w:val="SpecialCharTok"/>
        </w:rPr>
        <w:t xml:space="preserve">{</w:t>
      </w:r>
      <w:r>
        <w:rPr>
          <w:rStyle w:val="DecValTok"/>
        </w:rPr>
        <w:t xml:space="preserve">32</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(p)</w:t>
      </w:r>
      <w:r>
        <w:rPr>
          <w:rStyle w:val="SpecialCharTok"/>
        </w:rPr>
        <w:t xml:space="preserve">}</w:t>
      </w:r>
      <w:r>
        <w:rPr>
          <w:rStyle w:val="SpecialStringTok"/>
        </w:rPr>
        <w:t xml:space="preserve"> bytes"</w:t>
      </w:r>
      <w:r>
        <w:rPr>
          <w:rStyle w:val="NormalTok"/>
        </w:rPr>
        <w:t xml:space="preserve">)</w:t>
      </w:r>
      <w:r>
        <w:br/>
      </w:r>
      <w:r>
        <w:rPr>
          <w:rStyle w:val="BuiltInTok"/>
        </w:rPr>
        <w:t xml:space="preserve">print</w:t>
      </w:r>
      <w:r>
        <w:rPr>
          <w:rStyle w:val="NormalTok"/>
        </w:rPr>
        <w:t xml:space="preserve">(</w:t>
      </w:r>
      <w:r>
        <w:rPr>
          <w:rStyle w:val="StringTok"/>
        </w:rPr>
        <w:t xml:space="preserve">"valid record verifies:"</w:t>
      </w:r>
      <w:r>
        <w:rPr>
          <w:rStyle w:val="NormalTok"/>
        </w:rPr>
        <w:t xml:space="preserve">, verify(records[</w:t>
      </w:r>
      <w:r>
        <w:rPr>
          <w:rStyle w:val="DecValTok"/>
        </w:rPr>
        <w:t xml:space="preserve">424_242</w:t>
      </w:r>
      <w:r>
        <w:rPr>
          <w:rStyle w:val="NormalTok"/>
        </w:rPr>
        <w:t xml:space="preserve">], p, root))</w:t>
      </w:r>
      <w:r>
        <w:br/>
      </w:r>
      <w:r>
        <w:rPr>
          <w:rStyle w:val="BuiltInTok"/>
        </w:rPr>
        <w:t xml:space="preserve">print</w:t>
      </w:r>
      <w:r>
        <w:rPr>
          <w:rStyle w:val="NormalTok"/>
        </w:rPr>
        <w:t xml:space="preserve">(</w:t>
      </w:r>
      <w:r>
        <w:rPr>
          <w:rStyle w:val="StringTok"/>
        </w:rPr>
        <w:t xml:space="preserve">"tampered record verifies:"</w:t>
      </w:r>
      <w:r>
        <w:rPr>
          <w:rStyle w:val="NormalTok"/>
        </w:rPr>
        <w:t xml:space="preserve">, verify(</w:t>
      </w:r>
      <w:r>
        <w:rPr>
          <w:rStyle w:val="StringTok"/>
        </w:rPr>
        <w:t xml:space="preserve">b"key-424242=forged"</w:t>
      </w:r>
      <w:r>
        <w:rPr>
          <w:rStyle w:val="NormalTok"/>
        </w:rPr>
        <w:t xml:space="preserve">, p, root))</w:t>
      </w:r>
      <w:r>
        <w:br/>
      </w:r>
      <w:r>
        <w:rPr>
          <w:rStyle w:val="NormalTok"/>
        </w:rPr>
        <w:t xml:space="preserve">leaves, compared </w:t>
      </w:r>
      <w:r>
        <w:rPr>
          <w:rStyle w:val="OperatorTok"/>
        </w:rPr>
        <w:t xml:space="preserve">=</w:t>
      </w:r>
      <w:r>
        <w:rPr>
          <w:rStyle w:val="NormalTok"/>
        </w:rPr>
        <w:t xml:space="preserve"> diff(replica_a, replica_b)</w:t>
      </w:r>
      <w:r>
        <w:br/>
      </w:r>
      <w:r>
        <w:rPr>
          <w:rStyle w:val="BuiltInTok"/>
        </w:rPr>
        <w:t xml:space="preserve">print</w:t>
      </w:r>
      <w:r>
        <w:rPr>
          <w:rStyle w:val="NormalTok"/>
        </w:rPr>
        <w:t xml:space="preserve">(</w:t>
      </w:r>
      <w:r>
        <w:rPr>
          <w:rStyle w:val="SpecialStringTok"/>
        </w:rPr>
        <w:t xml:space="preserve">f"roots equal: </w:t>
      </w:r>
      <w:r>
        <w:rPr>
          <w:rStyle w:val="SpecialCharTok"/>
        </w:rPr>
        <w:t xml:space="preserve">{</w:t>
      </w:r>
      <w:r>
        <w:rPr>
          <w:rStyle w:val="NormalTok"/>
        </w:rPr>
        <w:t xml:space="preserve">replica_a[</w:t>
      </w:r>
      <w:r>
        <w:rPr>
          <w:rStyle w:val="OperatorTok"/>
        </w:rPr>
        <w:t xml:space="preserve">-</w:t>
      </w:r>
      <w:r>
        <w:rPr>
          <w:rStyle w:val="DecValTok"/>
        </w:rPr>
        <w:t xml:space="preserve">1</w:t>
      </w:r>
      <w:r>
        <w:rPr>
          <w:rStyle w:val="NormalTok"/>
        </w:rPr>
        <w:t xml:space="preserve">][</w:t>
      </w:r>
      <w:r>
        <w:rPr>
          <w:rStyle w:val="DecValTok"/>
        </w:rPr>
        <w:t xml:space="preserve">0</w:t>
      </w:r>
      <w:r>
        <w:rPr>
          <w:rStyle w:val="NormalTok"/>
        </w:rPr>
        <w:t xml:space="preserve">] </w:t>
      </w:r>
      <w:r>
        <w:rPr>
          <w:rStyle w:val="OperatorTok"/>
        </w:rPr>
        <w:t xml:space="preserve">==</w:t>
      </w:r>
      <w:r>
        <w:rPr>
          <w:rStyle w:val="NormalTok"/>
        </w:rPr>
        <w:t xml:space="preserve"> replica_b[</w:t>
      </w:r>
      <w:r>
        <w:rPr>
          <w:rStyle w:val="Operator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rPr>
          <w:rStyle w:val="SpecialCharTok"/>
        </w:rPr>
        <w:t xml:space="preserve">}</w:t>
      </w:r>
      <w:r>
        <w:rPr>
          <w:rStyle w:val="SpecialStringTok"/>
        </w:rPr>
        <w:t xml:space="preserve">; divergent leaves: </w:t>
      </w:r>
      <w:r>
        <w:rPr>
          <w:rStyle w:val="SpecialCharTok"/>
        </w:rPr>
        <w:t xml:space="preserve">{</w:t>
      </w:r>
      <w:r>
        <w:rPr>
          <w:rStyle w:val="NormalTok"/>
        </w:rPr>
        <w:t xml:space="preserve">leaves</w:t>
      </w:r>
      <w:r>
        <w:rPr>
          <w:rStyle w:val="SpecialCharTok"/>
        </w:rPr>
        <w:t xml:space="preserve">}</w:t>
      </w:r>
      <w:r>
        <w:rPr>
          <w:rStyle w:val="SpecialStringTok"/>
        </w:rPr>
        <w:t xml:space="preserve">; "</w:t>
      </w:r>
      <w:r>
        <w:br/>
      </w:r>
      <w:r>
        <w:rPr>
          <w:rStyle w:val="NormalTok"/>
        </w:rPr>
        <w:t xml:space="preserve">      </w:t>
      </w:r>
      <w:r>
        <w:rPr>
          <w:rStyle w:val="SpecialStringTok"/>
        </w:rPr>
        <w:t xml:space="preserve">f"hashes compared: </w:t>
      </w:r>
      <w:r>
        <w:rPr>
          <w:rStyle w:val="SpecialCharTok"/>
        </w:rPr>
        <w:t xml:space="preserve">{</w:t>
      </w:r>
      <w:r>
        <w:rPr>
          <w:rStyle w:val="NormalTok"/>
        </w:rPr>
        <w:t xml:space="preserve">compared[</w:t>
      </w:r>
      <w:r>
        <w:rPr>
          <w:rStyle w:val="DecValTok"/>
        </w:rPr>
        <w:t xml:space="preserve">0</w:t>
      </w:r>
      <w:r>
        <w:rPr>
          <w:rStyle w:val="NormalTok"/>
        </w:rPr>
        <w:t xml:space="preserve">]</w:t>
      </w:r>
      <w:r>
        <w:rPr>
          <w:rStyle w:val="SpecialCharTok"/>
        </w:rPr>
        <w:t xml:space="preserve">}</w:t>
      </w:r>
      <w:r>
        <w:rPr>
          <w:rStyle w:val="SpecialStringTok"/>
        </w:rPr>
        <w:t xml:space="preserve"> of </w:t>
      </w:r>
      <w:r>
        <w:rPr>
          <w:rStyle w:val="SpecialCharTok"/>
        </w:rPr>
        <w:t xml:space="preserve">{</w:t>
      </w:r>
      <w:r>
        <w:rPr>
          <w:rStyle w:val="BuiltInTok"/>
        </w:rPr>
        <w:t xml:space="preserve">sum</w:t>
      </w:r>
      <w:r>
        <w:rPr>
          <w:rStyle w:val="NormalTok"/>
        </w:rPr>
        <w:t xml:space="preserve">(</w:t>
      </w:r>
      <w:r>
        <w:rPr>
          <w:rStyle w:val="BuiltInTok"/>
        </w:rPr>
        <w:t xml:space="preserve">len</w:t>
      </w:r>
      <w:r>
        <w:rPr>
          <w:rStyle w:val="NormalTok"/>
        </w:rPr>
        <w:t xml:space="preserve">(l) </w:t>
      </w:r>
      <w:r>
        <w:rPr>
          <w:rStyle w:val="ControlFlowTok"/>
        </w:rPr>
        <w:t xml:space="preserve">for</w:t>
      </w:r>
      <w:r>
        <w:rPr>
          <w:rStyle w:val="NormalTok"/>
        </w:rPr>
        <w:t xml:space="preserve"> l </w:t>
      </w:r>
      <w:r>
        <w:rPr>
          <w:rStyle w:val="KeywordTok"/>
        </w:rPr>
        <w:t xml:space="preserve">in</w:t>
      </w:r>
      <w:r>
        <w:rPr>
          <w:rStyle w:val="NormalTok"/>
        </w:rPr>
        <w:t xml:space="preserve"> replica_a)</w:t>
      </w:r>
      <w:r>
        <w:rPr>
          <w:rStyle w:val="SpecialCharTok"/>
        </w:rPr>
        <w:t xml:space="preserve">:,}</w:t>
      </w:r>
      <w:r>
        <w:rPr>
          <w:rStyle w:val="SpecialStringTok"/>
        </w:rPr>
        <w:t xml:space="preserve">"</w:t>
      </w:r>
      <w:r>
        <w:rPr>
          <w:rStyle w:val="NormalTok"/>
        </w:rPr>
        <w:t xml:space="preserve">)</w:t>
      </w:r>
    </w:p>
    <w:p>
      <w:pPr>
        <w:pStyle w:val="FirstParagraph"/>
      </w:pPr>
      <w:r>
        <w:t xml:space="preserve">Output:</w:t>
      </w:r>
    </w:p>
    <w:p>
      <w:pPr>
        <w:pStyle w:val="SourceCode"/>
      </w:pPr>
      <w:r>
        <w:rPr>
          <w:rStyle w:val="VerbatimChar"/>
        </w:rPr>
        <w:t xml:space="preserve">tree height = 20, proof length = 20 hashes = 640 bytes</w:t>
      </w:r>
      <w:r>
        <w:br/>
      </w:r>
      <w:r>
        <w:rPr>
          <w:rStyle w:val="VerbatimChar"/>
        </w:rPr>
        <w:t xml:space="preserve">valid record verifies: True</w:t>
      </w:r>
      <w:r>
        <w:br/>
      </w:r>
      <w:r>
        <w:rPr>
          <w:rStyle w:val="VerbatimChar"/>
        </w:rPr>
        <w:t xml:space="preserve">tampered record verifies: False</w:t>
      </w:r>
      <w:r>
        <w:br/>
      </w:r>
      <w:r>
        <w:rPr>
          <w:rStyle w:val="VerbatimChar"/>
        </w:rPr>
        <w:t xml:space="preserve">roots equal: False; divergent leaves: [12345, 777777]; hashes compared: 79 of 2,097,151</w:t>
      </w:r>
    </w:p>
    <w:p>
      <w:pPr>
        <w:pStyle w:val="FirstParagraph"/>
      </w:pPr>
      <w:r>
        <w:t xml:space="preserve">What to notice: the proof is exactly 20 hashes (640 bytes); a forged record fails verification against the same proof; and the anti-entropy walk finds both divergent records after 79 comparisons, just under the bound of 81.</w:t>
      </w:r>
    </w:p>
    <w:p>
      <w:pPr>
        <w:pStyle w:val="BodyText"/>
      </w:pPr>
      <w:r>
        <w:rPr>
          <w:bCs/>
          <w:b/>
        </w:rPr>
        <w:t xml:space="preserve">Figure 17.10 — Merkle-tree anti-entropy between two replicas.</w:t>
      </w:r>
    </w:p>
    <w:p>
      <w:pPr>
        <w:pStyle w:val="BodyText"/>
      </w:pPr>
      <w:r>
        <w:drawing>
          <wp:inline>
            <wp:extent cx="5334000" cy="4938888"/>
            <wp:effectExtent b="0" l="0" r="0" t="0"/>
            <wp:docPr descr="" title="" id="1990" name="Picture"/>
            <a:graphic>
              <a:graphicData uri="http://schemas.openxmlformats.org/drawingml/2006/picture">
                <pic:pic>
                  <pic:nvPicPr>
                    <pic:cNvPr descr="/home/user/System-Design/build/.cache/diagrams/571f4f0ee737.png" id="1991" name="Picture"/>
                    <pic:cNvPicPr>
                      <a:picLocks noChangeArrowheads="1" noChangeAspect="1"/>
                    </pic:cNvPicPr>
                  </pic:nvPicPr>
                  <pic:blipFill>
                    <a:blip r:embed="rId1989"/>
                    <a:stretch>
                      <a:fillRect/>
                    </a:stretch>
                  </pic:blipFill>
                  <pic:spPr bwMode="auto">
                    <a:xfrm>
                      <a:off x="0" y="0"/>
                      <a:ext cx="5334000" cy="4938888"/>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Replica A starts a background repair of one key range by sending its root; B returns its children; A finds only the right subtree differs and descends there, about 20 levels along differing paths only. At the leaves the replicas stream the divergent rows and keep the newer versions (§27.14). Each message is synchronous request/response, but repair is asynchronous to client traffic. Trees are built by scanning local data, an I/O-heavy step. Failure points: tree building competes with client reads; coarse leaves cause</w:t>
      </w:r>
      <w:r>
        <w:t xml:space="preserve"> </w:t>
      </w:r>
      <w:r>
        <w:t xml:space="preserve">“</w:t>
      </w:r>
      <w:r>
        <w:t xml:space="preserve">overstreaming</w:t>
      </w:r>
      <w:r>
        <w:t xml:space="preserve">”</w:t>
      </w:r>
      <w:r>
        <w:t xml:space="preserve"> </w:t>
      </w:r>
      <w:r>
        <w:t xml:space="preserve">of whole ranges for one changed row; and trees built at different moments show spurious differences for in-flight writes. Systems repair ranges incrementally on a schedule.</w:t>
      </w:r>
    </w:p>
    <w:p>
      <w:pPr>
        <w:pStyle w:val="CalloutIndustry"/>
      </w:pPr>
      <w:r>
        <w:rPr>
          <w:bCs/>
          <w:b/>
        </w:rPr>
        <w:t xml:space="preserve">INDUSTRY EXAMPLE</w:t>
      </w:r>
    </w:p>
    <w:p>
      <w:pPr>
        <w:pStyle w:val="CalloutIndustry"/>
      </w:pPr>
      <w:r>
        <w:rPr>
          <w:bCs/>
          <w:b/>
        </w:rPr>
        <w:t xml:space="preserve">Dynamo, Cassandra, Git and Certificate Transparency.</w:t>
      </w:r>
      <w:r>
        <w:t xml:space="preserve"> </w:t>
      </w:r>
      <w:r>
        <w:t xml:space="preserve">Dynamo keeps a Merkle tree per key range and uses it to repair replicas after failures [DeCandia et al. 2007]. Cassandra’s</w:t>
      </w:r>
      <w:r>
        <w:t xml:space="preserve"> </w:t>
      </w:r>
      <w:r>
        <w:rPr>
          <w:rStyle w:val="VerbatimChar"/>
        </w:rPr>
        <w:t xml:space="preserve">nodetool repair</w:t>
      </w:r>
      <w:r>
        <w:t xml:space="preserve"> </w:t>
      </w:r>
      <w:r>
        <w:t xml:space="preserve">builds Merkle trees over token ranges, compares them and streams mismatched ranges [Apache Cassandra Docs: Repair]. Git names every file, directory and commit by the hash of its content, so equal commit hashes imply identical histories [Chacon &amp; Straub 2014]. Certificate Transparency logs give logarithmic proofs of inclusion and append-only growth (§10.5) [RFC 6962].</w:t>
      </w:r>
      <w:r>
        <w:t xml:space="preserve"> </w:t>
      </w:r>
      <w:r>
        <w:rPr>
          <w:iCs/>
          <w:i/>
        </w:rPr>
        <w:t xml:space="preserve">Evidence: Primary</w:t>
      </w:r>
      <w:r>
        <w:t xml:space="preserve"> </w:t>
      </w:r>
      <w:r>
        <w:t xml:space="preserve">— [DeCandia et al. 2007; Apache Cassandra Docs; Chacon &amp; Straub 2014; RFC 6962]</w:t>
      </w:r>
    </w:p>
    <w:p>
      <w:pPr>
        <w:pStyle w:val="BodyText"/>
      </w:pPr>
      <w:r>
        <w:t xml:space="preserve">Chapter 27 (§27.13) places Merkle-tree anti-entropy alongside read repair and hinted handoff in leaderless replication.</w:t>
      </w:r>
    </w:p>
    <w:bookmarkEnd w:id="1992"/>
    <w:bookmarkEnd w:id="1993"/>
    <w:bookmarkEnd w:id="1994"/>
    <w:bookmarkStart w:id="2012" w:name="geospatial-indexing"/>
    <w:p>
      <w:pPr>
        <w:pStyle w:val="Heading2"/>
      </w:pPr>
      <w:r>
        <w:t xml:space="preserve">17.9 Geospatial indexing</w:t>
      </w:r>
    </w:p>
    <w:bookmarkStart w:id="1995" w:name="why-location-needs-its-own-index"/>
    <w:p>
      <w:pPr>
        <w:pStyle w:val="Heading3"/>
      </w:pPr>
      <w:r>
        <w:t xml:space="preserve">17.9.1 Why location needs its own index</w:t>
      </w:r>
    </w:p>
    <w:p>
      <w:pPr>
        <w:pStyle w:val="FirstParagraph"/>
      </w:pPr>
      <w:r>
        <w:t xml:space="preserve">“</w:t>
      </w:r>
      <w:r>
        <w:t xml:space="preserve">Find all drivers within 1 km</w:t>
      </w:r>
      <w:r>
        <w:t xml:space="preserve">”</w:t>
      </w:r>
      <w:r>
        <w:t xml:space="preserve"> </w:t>
      </w:r>
      <w:r>
        <w:t xml:space="preserve">looks like</w:t>
      </w:r>
      <w:r>
        <w:t xml:space="preserve"> </w:t>
      </w:r>
      <w:r>
        <w:rPr>
          <w:rStyle w:val="VerbatimChar"/>
        </w:rPr>
        <w:t xml:space="preserve">WHERE lat BETWEEN ... AND lon BETWEEN ...</w:t>
      </w:r>
      <w:r>
        <w:t xml:space="preserve">, but a B-tree orders keys along one dimension: an index on</w:t>
      </w:r>
      <w:r>
        <w:t xml:space="preserve"> </w:t>
      </w:r>
      <w:r>
        <w:rPr>
          <w:rStyle w:val="VerbatimChar"/>
        </w:rPr>
        <w:t xml:space="preserve">lat</w:t>
      </w:r>
      <w:r>
        <w:t xml:space="preserve"> </w:t>
      </w:r>
      <w:r>
        <w:t xml:space="preserve">(or</w:t>
      </w:r>
      <w:r>
        <w:t xml:space="preserve"> </w:t>
      </w:r>
      <w:r>
        <w:rPr>
          <w:rStyle w:val="VerbatimChar"/>
        </w:rPr>
        <w:t xml:space="preserve">(lat, lon)</w:t>
      </w:r>
      <w:r>
        <w:t xml:space="preserve">) returns a strip around the planet, filtered afterwards by longitude. The fix is a</w:t>
      </w:r>
      <w:r>
        <w:t xml:space="preserve"> </w:t>
      </w:r>
      <w:r>
        <w:rPr>
          <w:bCs/>
          <w:b/>
        </w:rPr>
        <w:t xml:space="preserve">space-filling curve</w:t>
      </w:r>
      <w:r>
        <w:t xml:space="preserve">: divide the map into</w:t>
      </w:r>
      <w:r>
        <w:t xml:space="preserve"> </w:t>
      </w:r>
      <w:r>
        <w:rPr>
          <w:bCs/>
          <w:b/>
        </w:rPr>
        <w:t xml:space="preserve">cells</w:t>
      </w:r>
      <w:r>
        <w:t xml:space="preserve"> </w:t>
      </w:r>
      <w:r>
        <w:t xml:space="preserve">whose IDs are close when the cells are close, index points by cell ID, look up a few cells per query and filter candidates by exact distance.</w:t>
      </w:r>
    </w:p>
    <w:bookmarkEnd w:id="1995"/>
    <w:bookmarkStart w:id="2001" w:name="geohash"/>
    <w:p>
      <w:pPr>
        <w:pStyle w:val="Heading3"/>
      </w:pPr>
      <w:r>
        <w:t xml:space="preserve">17.9.2 Geohash</w:t>
      </w:r>
    </w:p>
    <w:p>
      <w:pPr>
        <w:pStyle w:val="CalloutDefinition"/>
      </w:pPr>
      <w:r>
        <w:rPr>
          <w:bCs/>
          <w:b/>
        </w:rPr>
        <w:t xml:space="preserve">DEFINITION</w:t>
      </w:r>
    </w:p>
    <w:p>
      <w:pPr>
        <w:pStyle w:val="CalloutDefinition"/>
      </w:pPr>
      <w:r>
        <w:rPr>
          <w:bCs/>
          <w:b/>
        </w:rPr>
        <w:t xml:space="preserve">Definition — Geohash.</w:t>
      </w:r>
      <w:r>
        <w:t xml:space="preserve"> </w:t>
      </w:r>
      <w:r>
        <w:t xml:space="preserve">A string encoding of a latitude/longitude cell, published by Gustavo Niemeyer in 2008, formed by alternately bisecting the longitude and latitude ranges, interleaving the resulting bits (longitude first) and writing every 5 bits as one base-32 character [Niemeyer 2008]. Each additional character subdivides the cell into 32 smaller cells, so a geohash that is a prefix of another names a cell containing it.</w:t>
      </w:r>
    </w:p>
    <w:bookmarkStart w:id="1999" w:name="how-it-works-internally-75"/>
    <w:p>
      <w:pPr>
        <w:pStyle w:val="Heading4"/>
      </w:pPr>
      <w:r>
        <w:t xml:space="preserve">How it works internally</w:t>
      </w:r>
    </w:p>
    <w:p>
      <w:pPr>
        <w:numPr>
          <w:ilvl w:val="0"/>
          <w:numId w:val="1582"/>
        </w:numPr>
        <w:pStyle w:val="Compact"/>
      </w:pPr>
      <w:r>
        <w:t xml:space="preserve">Start with longitude range</w:t>
      </w:r>
      <w:r>
        <w:t xml:space="preserve"> </w:t>
      </w:r>
      <m:oMath>
        <m:d>
          <m:dPr>
            <m:begChr m:val="["/>
            <m:endChr m:val="]"/>
            <m:sepChr m:val=""/>
            <m:grow/>
          </m:dPr>
          <m:e>
            <m:r>
              <m:rPr>
                <m:sty m:val="p"/>
              </m:rPr>
              <m:t>−</m:t>
            </m:r>
            <m:r>
              <m:t>180</m:t>
            </m:r>
            <m:r>
              <m:rPr>
                <m:sty m:val="p"/>
              </m:rPr>
              <m:t>,</m:t>
            </m:r>
            <m:r>
              <m:t>180</m:t>
            </m:r>
          </m:e>
        </m:d>
      </m:oMath>
      <w:r>
        <w:t xml:space="preserve"> </w:t>
      </w:r>
      <w:r>
        <w:t xml:space="preserve">and latitude range</w:t>
      </w:r>
      <w:r>
        <w:t xml:space="preserve"> </w:t>
      </w:r>
      <m:oMath>
        <m:d>
          <m:dPr>
            <m:begChr m:val="["/>
            <m:endChr m:val="]"/>
            <m:sepChr m:val=""/>
            <m:grow/>
          </m:dPr>
          <m:e>
            <m:r>
              <m:rPr>
                <m:sty m:val="p"/>
              </m:rPr>
              <m:t>−</m:t>
            </m:r>
            <m:r>
              <m:t>90</m:t>
            </m:r>
            <m:r>
              <m:rPr>
                <m:sty m:val="p"/>
              </m:rPr>
              <m:t>,</m:t>
            </m:r>
            <m:r>
              <m:t>90</m:t>
            </m:r>
          </m:e>
        </m:d>
      </m:oMath>
      <w:r>
        <w:t xml:space="preserve">.</w:t>
      </w:r>
    </w:p>
    <w:p>
      <w:pPr>
        <w:numPr>
          <w:ilvl w:val="0"/>
          <w:numId w:val="1582"/>
        </w:numPr>
        <w:pStyle w:val="Compact"/>
      </w:pPr>
      <w:r>
        <w:t xml:space="preserve">Take the longitude midpoint. If the point is east of it, emit bit 1 and keep the upper half; otherwise emit 0 and keep the lower half.</w:t>
      </w:r>
    </w:p>
    <w:p>
      <w:pPr>
        <w:numPr>
          <w:ilvl w:val="0"/>
          <w:numId w:val="1582"/>
        </w:numPr>
        <w:pStyle w:val="Compact"/>
      </w:pPr>
      <w:r>
        <w:t xml:space="preserve">Do the same with latitude, and keep alternating.</w:t>
      </w:r>
    </w:p>
    <w:p>
      <w:pPr>
        <w:numPr>
          <w:ilvl w:val="0"/>
          <w:numId w:val="1582"/>
        </w:numPr>
        <w:pStyle w:val="Compact"/>
      </w:pPr>
      <w:r>
        <w:t xml:space="preserve">Group bits in fives and map each group to the alphabet</w:t>
      </w:r>
      <w:r>
        <w:t xml:space="preserve"> </w:t>
      </w:r>
      <w:r>
        <w:rPr>
          <w:rStyle w:val="VerbatimChar"/>
        </w:rPr>
        <w:t xml:space="preserve">0123456789bcdefghjkmnpqrstuvwxyz</w:t>
      </w:r>
      <w:r>
        <w:t xml:space="preserve"> </w:t>
      </w:r>
      <w:r>
        <w:t xml:space="preserve">(the letters a, i, l and o are omitted to avoid confusion with digits).</w:t>
      </w:r>
    </w:p>
    <w:p>
      <w:pPr>
        <w:pStyle w:val="FirstParagraph"/>
      </w:pPr>
      <w:r>
        <w:t xml:space="preserve">The interleaving traces a</w:t>
      </w:r>
      <w:r>
        <w:t xml:space="preserve"> </w:t>
      </w:r>
      <w:r>
        <w:rPr>
          <w:bCs/>
          <w:b/>
        </w:rPr>
        <w:t xml:space="preserve">Z-order (Morton) curve</w:t>
      </w:r>
      <w:r>
        <w:t xml:space="preserve">. A long shared prefix means nearby points, but not conversely: points a meter apart across a major boundary (the equator, the prime meridian) can share no prefix. Proximity search must always examine neighboring cells, never a prefix alone.</w:t>
      </w:r>
    </w:p>
    <w:p>
      <w:pPr>
        <w:pStyle w:val="BodyText"/>
      </w:pPr>
      <w:r>
        <w:rPr>
          <w:bCs/>
          <w:b/>
        </w:rPr>
        <w:t xml:space="preserve">Figure 17.11 — Geohash refinement: each character narrows the cell.</w:t>
      </w:r>
    </w:p>
    <w:p>
      <w:pPr>
        <w:pStyle w:val="BodyText"/>
      </w:pPr>
      <w:r>
        <w:drawing>
          <wp:inline>
            <wp:extent cx="5334000" cy="21060103"/>
            <wp:effectExtent b="0" l="0" r="0" t="0"/>
            <wp:docPr descr="" title="" id="1997" name="Picture"/>
            <a:graphic>
              <a:graphicData uri="http://schemas.openxmlformats.org/drawingml/2006/picture">
                <pic:pic>
                  <pic:nvPicPr>
                    <pic:cNvPr descr="/home/user/System-Design/build/.cache/diagrams/a3034ce77e40.png" id="1998" name="Picture"/>
                    <pic:cNvPicPr>
                      <a:picLocks noChangeArrowheads="1" noChangeAspect="1"/>
                    </pic:cNvPicPr>
                  </pic:nvPicPr>
                  <pic:blipFill>
                    <a:blip r:embed="rId1996"/>
                    <a:stretch>
                      <a:fillRect/>
                    </a:stretch>
                  </pic:blipFill>
                  <pic:spPr bwMode="auto">
                    <a:xfrm>
                      <a:off x="0" y="0"/>
                      <a:ext cx="5334000" cy="21060103"/>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Each arrow appends one character, shrinking the cell’s area 32-fold (sizes at the equator; widths shrink by</w:t>
      </w:r>
      <w:r>
        <w:t xml:space="preserve"> </w:t>
      </w:r>
      <m:oMath>
        <m:r>
          <m:rPr>
            <m:sty m:val="p"/>
          </m:rPr>
          <m:t>cos</m:t>
        </m:r>
        <m:d>
          <m:dPr>
            <m:begChr m:val="("/>
            <m:endChr m:val=")"/>
            <m:sepChr m:val=""/>
            <m:grow/>
          </m:dPr>
          <m:e>
            <m:r>
              <m:rPr>
                <m:nor/>
                <m:sty m:val="p"/>
              </m:rPr>
              <m:t>latitude</m:t>
            </m:r>
          </m:e>
        </m:d>
      </m:oMath>
      <w:r>
        <w:t xml:space="preserve">). Because a longer geohash extends a shorter one, a range scan over keys starting</w:t>
      </w:r>
      <w:r>
        <w:t xml:space="preserve"> </w:t>
      </w:r>
      <w:r>
        <w:rPr>
          <w:rStyle w:val="VerbatimChar"/>
        </w:rPr>
        <w:t xml:space="preserve">9q8yy</w:t>
      </w:r>
      <w:r>
        <w:t xml:space="preserve"> </w:t>
      </w:r>
      <w:r>
        <w:t xml:space="preserve">in any ordered store (B-tree, sorted set, LSM tree) returns every point in that 4.9 km cell: a 2-D query becomes 1-D range scans. Encoding is pure computation; the only storage is the index. The failure point is the boundary effect; the scaling decision is precision, trading cells scanned against false candidates per cell.</w:t>
      </w:r>
    </w:p>
    <w:p>
      <w:pPr>
        <w:pStyle w:val="CalloutFormula"/>
      </w:pPr>
      <w:r>
        <w:rPr>
          <w:bCs/>
          <w:b/>
        </w:rPr>
        <w:t xml:space="preserve">FORMULA</w:t>
      </w:r>
    </w:p>
    <w:p>
      <w:pPr>
        <w:pStyle w:val="CalloutFormula"/>
      </w:pPr>
      <w:r>
        <w:rPr>
          <w:bCs/>
          <w:b/>
        </w:rPr>
        <w:t xml:space="preserve">Geohash cell size</w:t>
      </w:r>
    </w:p>
    <w:p>
      <w:pPr>
        <w:pStyle w:val="CalloutFormula"/>
      </w:pPr>
      <m:oMathPara>
        <m:oMathParaPr>
          <m:jc m:val="center"/>
        </m:oMathParaPr>
        <m:oMath>
          <m:sSub>
            <m:e>
              <m:r>
                <m:t>b</m:t>
              </m:r>
            </m:e>
            <m:sub>
              <m:r>
                <m:rPr>
                  <m:nor/>
                  <m:sty m:val="p"/>
                </m:rPr>
                <m:t>lon</m:t>
              </m:r>
            </m:sub>
          </m:sSub>
          <m:r>
            <m:rPr>
              <m:sty m:val="p"/>
            </m:rPr>
            <m:t>=</m:t>
          </m:r>
          <m:d>
            <m:dPr>
              <m:begChr m:val="⌈"/>
              <m:endChr m:val="⌉"/>
              <m:sepChr m:val=""/>
              <m:grow/>
            </m:dPr>
            <m:e>
              <m:f>
                <m:fPr>
                  <m:type m:val="bar"/>
                </m:fPr>
                <m:num>
                  <m:r>
                    <m:t>5</m:t>
                  </m:r>
                  <m:r>
                    <m:t>L</m:t>
                  </m:r>
                </m:num>
                <m:den>
                  <m:r>
                    <m:t>2</m:t>
                  </m:r>
                </m:den>
              </m:f>
            </m:e>
          </m:d>
          <m:r>
            <m:rPr>
              <m:sty m:val="p"/>
            </m:rPr>
            <m:t>,</m:t>
          </m:r>
          <m:r>
            <m:t> </m:t>
          </m:r>
          <m:sSub>
            <m:e>
              <m:r>
                <m:t>b</m:t>
              </m:r>
            </m:e>
            <m:sub>
              <m:r>
                <m:rPr>
                  <m:nor/>
                  <m:sty m:val="p"/>
                </m:rPr>
                <m:t>lat</m:t>
              </m:r>
            </m:sub>
          </m:sSub>
          <m:r>
            <m:rPr>
              <m:sty m:val="p"/>
            </m:rPr>
            <m:t>=</m:t>
          </m:r>
          <m:d>
            <m:dPr>
              <m:begChr m:val="⌊"/>
              <m:endChr m:val="⌋"/>
              <m:sepChr m:val=""/>
              <m:grow/>
            </m:dPr>
            <m:e>
              <m:f>
                <m:fPr>
                  <m:type m:val="bar"/>
                </m:fPr>
                <m:num>
                  <m:r>
                    <m:t>5</m:t>
                  </m:r>
                  <m:r>
                    <m:t>L</m:t>
                  </m:r>
                </m:num>
                <m:den>
                  <m:r>
                    <m:t>2</m:t>
                  </m:r>
                </m:den>
              </m:f>
            </m:e>
          </m:d>
          <m:r>
            <m:rPr>
              <m:sty m:val="p"/>
            </m:rPr>
            <m:t>,</m:t>
          </m:r>
          <m:r>
            <m:t> </m:t>
          </m:r>
          <m:r>
            <m:t>W</m:t>
          </m:r>
          <m:r>
            <m:rPr>
              <m:sty m:val="p"/>
            </m:rPr>
            <m:t>=</m:t>
          </m:r>
          <m:f>
            <m:fPr>
              <m:type m:val="bar"/>
            </m:fPr>
            <m:num>
              <m:sSup>
                <m:e>
                  <m:r>
                    <m:t>360</m:t>
                  </m:r>
                </m:e>
                <m:sup>
                  <m:r>
                    <m:rPr>
                      <m:sty m:val="p"/>
                    </m:rPr>
                    <m:t>∘</m:t>
                  </m:r>
                </m:sup>
              </m:sSup>
            </m:num>
            <m:den>
              <m:sSup>
                <m:e>
                  <m:r>
                    <m:t>2</m:t>
                  </m:r>
                </m:e>
                <m:sup>
                  <m:sSub>
                    <m:e>
                      <m:r>
                        <m:t>b</m:t>
                      </m:r>
                    </m:e>
                    <m:sub>
                      <m:r>
                        <m:rPr>
                          <m:nor/>
                          <m:sty m:val="p"/>
                        </m:rPr>
                        <m:t>lon</m:t>
                      </m:r>
                    </m:sub>
                  </m:sSub>
                </m:sup>
              </m:sSup>
            </m:den>
          </m:f>
          <m:r>
            <m:rPr>
              <m:sty m:val="p"/>
            </m:rPr>
            <m:t>×</m:t>
          </m:r>
          <m:r>
            <m:t>111.32</m:t>
          </m:r>
          <m:r>
            <m:rPr>
              <m:sty m:val="p"/>
            </m:rPr>
            <m:t>cos</m:t>
          </m:r>
          <m:r>
            <m:t>φ</m:t>
          </m:r>
          <m:r>
            <m:t> </m:t>
          </m:r>
          <m:r>
            <m:rPr>
              <m:nor/>
              <m:sty m:val="p"/>
            </m:rPr>
            <m:t>km</m:t>
          </m:r>
          <m:r>
            <m:rPr>
              <m:sty m:val="p"/>
            </m:rPr>
            <m:t>,</m:t>
          </m:r>
          <m:r>
            <m:t> </m:t>
          </m:r>
          <m:r>
            <m:t>H</m:t>
          </m:r>
          <m:r>
            <m:rPr>
              <m:sty m:val="p"/>
            </m:rPr>
            <m:t>=</m:t>
          </m:r>
          <m:f>
            <m:fPr>
              <m:type m:val="bar"/>
            </m:fPr>
            <m:num>
              <m:sSup>
                <m:e>
                  <m:r>
                    <m:t>180</m:t>
                  </m:r>
                </m:e>
                <m:sup>
                  <m:r>
                    <m:rPr>
                      <m:sty m:val="p"/>
                    </m:rPr>
                    <m:t>∘</m:t>
                  </m:r>
                </m:sup>
              </m:sSup>
            </m:num>
            <m:den>
              <m:sSup>
                <m:e>
                  <m:r>
                    <m:t>2</m:t>
                  </m:r>
                </m:e>
                <m:sup>
                  <m:sSub>
                    <m:e>
                      <m:r>
                        <m:t>b</m:t>
                      </m:r>
                    </m:e>
                    <m:sub>
                      <m:r>
                        <m:rPr>
                          <m:nor/>
                          <m:sty m:val="p"/>
                        </m:rPr>
                        <m:t>lat</m:t>
                      </m:r>
                    </m:sub>
                  </m:sSub>
                </m:sup>
              </m:sSup>
            </m:den>
          </m:f>
          <m:r>
            <m:rPr>
              <m:sty m:val="p"/>
            </m:rPr>
            <m:t>×</m:t>
          </m:r>
          <m:r>
            <m:t>110.57</m:t>
          </m:r>
          <m:r>
            <m:t> </m:t>
          </m:r>
          <m:r>
            <m:rPr>
              <m:nor/>
              <m:sty m:val="p"/>
            </m:rPr>
            <m:t>km</m:t>
          </m:r>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L</m:t>
              </m:r>
            </m:oMath>
          </w:p>
        </w:tc>
        <w:tc>
          <w:tcPr/>
          <w:p>
            <w:pPr>
              <w:pStyle w:val="Compact"/>
              <w:jc w:val="left"/>
            </w:pPr>
            <w:r>
              <w:t xml:space="preserve">Geohash length</w:t>
            </w:r>
          </w:p>
        </w:tc>
        <w:tc>
          <w:tcPr/>
          <w:p>
            <w:pPr>
              <w:pStyle w:val="Compact"/>
              <w:jc w:val="left"/>
            </w:pPr>
            <w:r>
              <w:t xml:space="preserve">characters</w:t>
            </w:r>
          </w:p>
        </w:tc>
      </w:tr>
      <w:tr>
        <w:tc>
          <w:tcPr/>
          <w:p>
            <w:pPr>
              <w:pStyle w:val="Compact"/>
              <w:jc w:val="left"/>
            </w:pPr>
            <m:oMath>
              <m:sSub>
                <m:e>
                  <m:r>
                    <m:t>b</m:t>
                  </m:r>
                </m:e>
                <m:sub>
                  <m:r>
                    <m:rPr>
                      <m:nor/>
                      <m:sty m:val="p"/>
                    </m:rPr>
                    <m:t>lon</m:t>
                  </m:r>
                </m:sub>
              </m:sSub>
            </m:oMath>
            <w:r>
              <w:t xml:space="preserve">,</w:t>
            </w:r>
            <w:r>
              <w:t xml:space="preserve"> </w:t>
            </w:r>
            <m:oMath>
              <m:sSub>
                <m:e>
                  <m:r>
                    <m:t>b</m:t>
                  </m:r>
                </m:e>
                <m:sub>
                  <m:r>
                    <m:rPr>
                      <m:nor/>
                      <m:sty m:val="p"/>
                    </m:rPr>
                    <m:t>lat</m:t>
                  </m:r>
                </m:sub>
              </m:sSub>
            </m:oMath>
          </w:p>
        </w:tc>
        <w:tc>
          <w:tcPr/>
          <w:p>
            <w:pPr>
              <w:pStyle w:val="Compact"/>
              <w:jc w:val="left"/>
            </w:pPr>
            <w:r>
              <w:t xml:space="preserve">Bits spent on longitude and latitude</w:t>
            </w:r>
          </w:p>
        </w:tc>
        <w:tc>
          <w:tcPr/>
          <w:p>
            <w:pPr>
              <w:pStyle w:val="Compact"/>
              <w:jc w:val="left"/>
            </w:pPr>
            <w:r>
              <w:t xml:space="preserve">bits</w:t>
            </w:r>
          </w:p>
        </w:tc>
      </w:tr>
      <w:tr>
        <w:tc>
          <w:tcPr/>
          <w:p>
            <w:pPr>
              <w:pStyle w:val="Compact"/>
              <w:jc w:val="left"/>
            </w:pPr>
            <m:oMath>
              <m:r>
                <m:t>W</m:t>
              </m:r>
            </m:oMath>
            <w:r>
              <w:t xml:space="preserve">,</w:t>
            </w:r>
            <w:r>
              <w:t xml:space="preserve"> </w:t>
            </w:r>
            <m:oMath>
              <m:r>
                <m:t>H</m:t>
              </m:r>
            </m:oMath>
          </w:p>
        </w:tc>
        <w:tc>
          <w:tcPr/>
          <w:p>
            <w:pPr>
              <w:pStyle w:val="Compact"/>
              <w:jc w:val="left"/>
            </w:pPr>
            <w:r>
              <w:t xml:space="preserve">Cell width (east–west) and height (north–south)</w:t>
            </w:r>
          </w:p>
        </w:tc>
        <w:tc>
          <w:tcPr/>
          <w:p>
            <w:pPr>
              <w:pStyle w:val="Compact"/>
              <w:jc w:val="left"/>
            </w:pPr>
            <w:r>
              <w:t xml:space="preserve">km</w:t>
            </w:r>
          </w:p>
        </w:tc>
      </w:tr>
      <w:tr>
        <w:tc>
          <w:tcPr/>
          <w:p>
            <w:pPr>
              <w:pStyle w:val="Compact"/>
              <w:jc w:val="left"/>
            </w:pPr>
            <m:oMath>
              <m:r>
                <m:t>φ</m:t>
              </m:r>
            </m:oMath>
          </w:p>
        </w:tc>
        <w:tc>
          <w:tcPr/>
          <w:p>
            <w:pPr>
              <w:pStyle w:val="Compact"/>
              <w:jc w:val="left"/>
            </w:pPr>
            <w:r>
              <w:t xml:space="preserve">Latitude of the cell</w:t>
            </w:r>
          </w:p>
        </w:tc>
        <w:tc>
          <w:tcPr/>
          <w:p>
            <w:pPr>
              <w:pStyle w:val="Compact"/>
              <w:jc w:val="left"/>
            </w:pPr>
            <w:r>
              <w:t xml:space="preserve">degrees</w:t>
            </w:r>
          </w:p>
        </w:tc>
      </w:tr>
      <w:tr>
        <w:tc>
          <w:tcPr/>
          <w:p>
            <w:pPr>
              <w:pStyle w:val="Compact"/>
              <w:jc w:val="left"/>
            </w:pPr>
            <w:r>
              <w:t xml:space="preserve">111.32, 110.57</w:t>
            </w:r>
          </w:p>
        </w:tc>
        <w:tc>
          <w:tcPr/>
          <w:p>
            <w:pPr>
              <w:pStyle w:val="Compact"/>
              <w:jc w:val="left"/>
            </w:pPr>
            <w:r>
              <w:t xml:space="preserve">Approximate km per degree of longitude at the equator and of latitude</w:t>
            </w:r>
          </w:p>
        </w:tc>
        <w:tc>
          <w:tcPr/>
          <w:p>
            <w:pPr>
              <w:pStyle w:val="Compact"/>
              <w:jc w:val="left"/>
            </w:pPr>
            <w:r>
              <w:t xml:space="preserve">km/degree</w:t>
            </w:r>
          </w:p>
        </w:tc>
      </w:tr>
    </w:tbl>
    <w:p>
      <w:pPr>
        <w:pStyle w:val="CalloutExample"/>
      </w:pPr>
      <w:r>
        <w:rPr>
          <w:bCs/>
          <w:b/>
        </w:rPr>
        <w:t xml:space="preserve">WORKED EXAMPLE</w:t>
      </w:r>
    </w:p>
    <w:p>
      <w:pPr>
        <w:pStyle w:val="CalloutExample"/>
      </w:pPr>
      <w:r>
        <w:rPr>
          <w:bCs/>
          <w:b/>
        </w:rPr>
        <w:t xml:space="preserve">Worked example — a 6-character cell in San Francisco (</w:t>
      </w:r>
      <m:oMath>
        <m:r>
          <m:t>φ</m:t>
        </m:r>
        <m:r>
          <m:rPr>
            <m:sty m:val="p"/>
          </m:rPr>
          <m:t>=</m:t>
        </m:r>
        <m:sSup>
          <m:e>
            <m:r>
              <m:t>37.77</m:t>
            </m:r>
          </m:e>
          <m:sup>
            <m:r>
              <m:rPr>
                <m:sty m:val="p"/>
              </m:rPr>
              <m:t>∘</m:t>
            </m:r>
          </m:sup>
        </m:sSup>
      </m:oMath>
      <w:r>
        <w:rPr>
          <w:bCs/>
          <w:b/>
        </w:rPr>
        <w:t xml:space="preserve">).</w:t>
      </w:r>
    </w:p>
    <w:p>
      <w:pPr>
        <w:numPr>
          <w:ilvl w:val="0"/>
          <w:numId w:val="1583"/>
        </w:numPr>
        <w:pStyle w:val="Compact"/>
      </w:pPr>
      <w:r>
        <w:t xml:space="preserve">Bits:</w:t>
      </w:r>
      <w:r>
        <w:t xml:space="preserve"> </w:t>
      </w:r>
      <m:oMath>
        <m:r>
          <m:t>5</m:t>
        </m:r>
        <m:r>
          <m:rPr>
            <m:sty m:val="p"/>
          </m:rPr>
          <m:t>×</m:t>
        </m:r>
        <m:r>
          <m:t>6</m:t>
        </m:r>
        <m:r>
          <m:rPr>
            <m:sty m:val="p"/>
          </m:rPr>
          <m:t>=</m:t>
        </m:r>
        <m:r>
          <m:t>30</m:t>
        </m:r>
      </m:oMath>
      <w:r>
        <w:t xml:space="preserve">, so</w:t>
      </w:r>
      <w:r>
        <w:t xml:space="preserve"> </w:t>
      </w:r>
      <m:oMath>
        <m:sSub>
          <m:e>
            <m:r>
              <m:t>b</m:t>
            </m:r>
          </m:e>
          <m:sub>
            <m:r>
              <m:rPr>
                <m:nor/>
                <m:sty m:val="p"/>
              </m:rPr>
              <m:t>lon</m:t>
            </m:r>
          </m:sub>
        </m:sSub>
        <m:r>
          <m:rPr>
            <m:sty m:val="p"/>
          </m:rPr>
          <m:t>=</m:t>
        </m:r>
        <m:r>
          <m:t>15</m:t>
        </m:r>
      </m:oMath>
      <w:r>
        <w:t xml:space="preserve">,</w:t>
      </w:r>
      <w:r>
        <w:t xml:space="preserve"> </w:t>
      </w:r>
      <m:oMath>
        <m:sSub>
          <m:e>
            <m:r>
              <m:t>b</m:t>
            </m:r>
          </m:e>
          <m:sub>
            <m:r>
              <m:rPr>
                <m:nor/>
                <m:sty m:val="p"/>
              </m:rPr>
              <m:t>lat</m:t>
            </m:r>
          </m:sub>
        </m:sSub>
        <m:r>
          <m:rPr>
            <m:sty m:val="p"/>
          </m:rPr>
          <m:t>=</m:t>
        </m:r>
        <m:r>
          <m:t>15</m:t>
        </m:r>
      </m:oMath>
      <w:r>
        <w:t xml:space="preserve">.</w:t>
      </w:r>
    </w:p>
    <w:p>
      <w:pPr>
        <w:numPr>
          <w:ilvl w:val="0"/>
          <w:numId w:val="1583"/>
        </w:numPr>
        <w:pStyle w:val="Compact"/>
      </w:pPr>
      <w:r>
        <w:t xml:space="preserve">Width:</w:t>
      </w:r>
      <w:r>
        <w:t xml:space="preserve"> </w:t>
      </w:r>
      <m:oMath>
        <m:r>
          <m:t>360</m:t>
        </m:r>
        <m:r>
          <m:rPr>
            <m:sty m:val="p"/>
          </m:rPr>
          <m:t>/</m:t>
        </m:r>
        <m:r>
          <m:t>32</m:t>
        </m:r>
        <m:r>
          <m:rPr>
            <m:sty m:val="p"/>
          </m:rPr>
          <m:t>,</m:t>
        </m:r>
        <m:r>
          <m:t>768</m:t>
        </m:r>
        <m:r>
          <m:rPr>
            <m:sty m:val="p"/>
          </m:rPr>
          <m:t>=</m:t>
        </m:r>
        <m:sSup>
          <m:e>
            <m:r>
              <m:t>0.010986</m:t>
            </m:r>
          </m:e>
          <m:sup>
            <m:r>
              <m:rPr>
                <m:sty m:val="p"/>
              </m:rPr>
              <m:t>∘</m:t>
            </m:r>
          </m:sup>
        </m:sSup>
      </m:oMath>
      <w:r>
        <w:t xml:space="preserve">;</w:t>
      </w:r>
      <w:r>
        <w:t xml:space="preserve"> </w:t>
      </w:r>
      <m:oMath>
        <m:r>
          <m:rPr>
            <m:sty m:val="p"/>
          </m:rPr>
          <m:t>×</m:t>
        </m:r>
        <m:r>
          <m:t>111.32</m:t>
        </m:r>
        <m:r>
          <m:rPr>
            <m:sty m:val="p"/>
          </m:rPr>
          <m:t>=</m:t>
        </m:r>
        <m:r>
          <m:t>1.223</m:t>
        </m:r>
      </m:oMath>
      <w:r>
        <w:t xml:space="preserve"> </w:t>
      </w:r>
      <w:r>
        <w:t xml:space="preserve">km at the equator;</w:t>
      </w:r>
      <w:r>
        <w:t xml:space="preserve"> </w:t>
      </w:r>
      <m:oMath>
        <m:r>
          <m:rPr>
            <m:sty m:val="p"/>
          </m:rPr>
          <m:t>×</m:t>
        </m:r>
        <m:r>
          <m:rPr>
            <m:sty m:val="p"/>
          </m:rPr>
          <m:t>cos</m:t>
        </m:r>
        <m:sSup>
          <m:e>
            <m:r>
              <m:t>37.77</m:t>
            </m:r>
          </m:e>
          <m:sup>
            <m:r>
              <m:rPr>
                <m:sty m:val="p"/>
              </m:rPr>
              <m:t>∘</m:t>
            </m:r>
          </m:sup>
        </m:sSup>
        <m:r>
          <m:rPr>
            <m:sty m:val="p"/>
          </m:rPr>
          <m:t>=</m:t>
        </m:r>
        <m:r>
          <m:t>0.7905</m:t>
        </m:r>
      </m:oMath>
      <w:r>
        <w:t xml:space="preserve"> </w:t>
      </w:r>
      <w:r>
        <w:t xml:space="preserve">gives 0.967 km.</w:t>
      </w:r>
    </w:p>
    <w:p>
      <w:pPr>
        <w:numPr>
          <w:ilvl w:val="0"/>
          <w:numId w:val="1583"/>
        </w:numPr>
        <w:pStyle w:val="Compact"/>
      </w:pPr>
      <w:r>
        <w:t xml:space="preserve">Height:</w:t>
      </w:r>
      <w:r>
        <w:t xml:space="preserve"> </w:t>
      </w:r>
      <m:oMath>
        <m:r>
          <m:t>180</m:t>
        </m:r>
        <m:r>
          <m:rPr>
            <m:sty m:val="p"/>
          </m:rPr>
          <m:t>/</m:t>
        </m:r>
        <m:r>
          <m:t>32</m:t>
        </m:r>
        <m:r>
          <m:rPr>
            <m:sty m:val="p"/>
          </m:rPr>
          <m:t>,</m:t>
        </m:r>
        <m:r>
          <m:t>768</m:t>
        </m:r>
        <m:r>
          <m:rPr>
            <m:sty m:val="p"/>
          </m:rPr>
          <m:t>=</m:t>
        </m:r>
        <m:sSup>
          <m:e>
            <m:r>
              <m:t>0.005493</m:t>
            </m:r>
          </m:e>
          <m:sup>
            <m:r>
              <m:rPr>
                <m:sty m:val="p"/>
              </m:rPr>
              <m:t>∘</m:t>
            </m:r>
          </m:sup>
        </m:sSup>
        <m:r>
          <m:rPr>
            <m:sty m:val="p"/>
          </m:rPr>
          <m:t>×</m:t>
        </m:r>
        <m:r>
          <m:t>110.57</m:t>
        </m:r>
        <m:r>
          <m:rPr>
            <m:sty m:val="p"/>
          </m:rPr>
          <m:t>=</m:t>
        </m:r>
        <m:r>
          <m:t>0.607</m:t>
        </m:r>
      </m:oMath>
      <w:r>
        <w:t xml:space="preserve"> </w:t>
      </w:r>
      <w:r>
        <w:t xml:space="preserve">km.</w:t>
      </w:r>
    </w:p>
    <w:p>
      <w:pPr>
        <w:pStyle w:val="CalloutExample"/>
      </w:pPr>
      <w:r>
        <w:rPr>
          <w:iCs/>
          <w:i/>
        </w:rPr>
        <w:t xml:space="preserve">Interpretation.</w:t>
      </w:r>
      <w:r>
        <w:t xml:space="preserve"> </w:t>
      </w:r>
      <w:r>
        <w:t xml:space="preserve">The cell is about 970 m × 610 m, not square.</w:t>
      </w:r>
      <w:r>
        <w:t xml:space="preserve"> </w:t>
      </w:r>
      <w:r>
        <w:rPr>
          <w:iCs/>
          <w:i/>
        </w:rPr>
        <w:t xml:space="preserve">Engineering implication.</w:t>
      </w:r>
      <w:r>
        <w:t xml:space="preserve"> </w:t>
      </w:r>
      <w:r>
        <w:t xml:space="preserve">The 3 × 3 block around a point reaches at least 610 m in every direction: enough for a 500 m radius,</w:t>
      </w:r>
      <w:r>
        <w:t xml:space="preserve"> </w:t>
      </w:r>
      <w:r>
        <w:rPr>
          <w:bCs/>
          <w:b/>
        </w:rPr>
        <w:t xml:space="preserve">not</w:t>
      </w:r>
      <w:r>
        <w:t xml:space="preserve"> </w:t>
      </w:r>
      <w:r>
        <w:t xml:space="preserve">for 1 km. The program below measures the consequence.</w:t>
      </w:r>
    </w:p>
    <w:p>
      <w:pPr>
        <w:pStyle w:val="BodyText"/>
      </w:pPr>
      <w:r>
        <w:rPr>
          <w:bCs/>
          <w:b/>
        </w:rPr>
        <w:t xml:space="preserve">Table 17.6 — Geohash precision (cell size at the equator, computed by the program below).</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Length</w:t>
            </w:r>
          </w:p>
        </w:tc>
        <w:tc>
          <w:tcPr/>
          <w:p>
            <w:pPr>
              <w:pStyle w:val="Compact"/>
              <w:jc w:val="left"/>
            </w:pPr>
            <w:r>
              <w:t xml:space="preserve">Bits</w:t>
            </w:r>
          </w:p>
        </w:tc>
        <w:tc>
          <w:tcPr/>
          <w:p>
            <w:pPr>
              <w:pStyle w:val="Compact"/>
              <w:jc w:val="left"/>
            </w:pPr>
            <w:r>
              <w:t xml:space="preserve">Width</w:t>
            </w:r>
          </w:p>
        </w:tc>
        <w:tc>
          <w:tcPr/>
          <w:p>
            <w:pPr>
              <w:pStyle w:val="Compact"/>
              <w:jc w:val="left"/>
            </w:pPr>
            <w:r>
              <w:t xml:space="preserve">Height</w:t>
            </w:r>
          </w:p>
        </w:tc>
        <w:tc>
          <w:tcPr/>
          <w:p>
            <w:pPr>
              <w:pStyle w:val="Compact"/>
              <w:jc w:val="left"/>
            </w:pPr>
            <w:r>
              <w:t xml:space="preserve">Typical use</w:t>
            </w:r>
          </w:p>
        </w:tc>
      </w:tr>
      <w:tr>
        <w:tc>
          <w:tcPr/>
          <w:p>
            <w:pPr>
              <w:pStyle w:val="Compact"/>
              <w:jc w:val="left"/>
            </w:pPr>
            <w:r>
              <w:t xml:space="preserve">1</w:t>
            </w:r>
          </w:p>
        </w:tc>
        <w:tc>
          <w:tcPr/>
          <w:p>
            <w:pPr>
              <w:pStyle w:val="Compact"/>
              <w:jc w:val="left"/>
            </w:pPr>
            <w:r>
              <w:t xml:space="preserve">5</w:t>
            </w:r>
          </w:p>
        </w:tc>
        <w:tc>
          <w:tcPr/>
          <w:p>
            <w:pPr>
              <w:pStyle w:val="Compact"/>
              <w:jc w:val="left"/>
            </w:pPr>
            <w:r>
              <w:t xml:space="preserve">5,009 km</w:t>
            </w:r>
          </w:p>
        </w:tc>
        <w:tc>
          <w:tcPr/>
          <w:p>
            <w:pPr>
              <w:pStyle w:val="Compact"/>
              <w:jc w:val="left"/>
            </w:pPr>
            <w:r>
              <w:t xml:space="preserve">4,976 km</w:t>
            </w:r>
          </w:p>
        </w:tc>
        <w:tc>
          <w:tcPr/>
          <w:p>
            <w:pPr>
              <w:pStyle w:val="Compact"/>
              <w:jc w:val="left"/>
            </w:pPr>
            <w:r>
              <w:t xml:space="preserve">Continent</w:t>
            </w:r>
          </w:p>
        </w:tc>
      </w:tr>
      <w:tr>
        <w:tc>
          <w:tcPr/>
          <w:p>
            <w:pPr>
              <w:pStyle w:val="Compact"/>
              <w:jc w:val="left"/>
            </w:pPr>
            <w:r>
              <w:t xml:space="preserve">2</w:t>
            </w:r>
          </w:p>
        </w:tc>
        <w:tc>
          <w:tcPr/>
          <w:p>
            <w:pPr>
              <w:pStyle w:val="Compact"/>
              <w:jc w:val="left"/>
            </w:pPr>
            <w:r>
              <w:t xml:space="preserve">10</w:t>
            </w:r>
          </w:p>
        </w:tc>
        <w:tc>
          <w:tcPr/>
          <w:p>
            <w:pPr>
              <w:pStyle w:val="Compact"/>
              <w:jc w:val="left"/>
            </w:pPr>
            <w:r>
              <w:t xml:space="preserve">1,252 km</w:t>
            </w:r>
          </w:p>
        </w:tc>
        <w:tc>
          <w:tcPr/>
          <w:p>
            <w:pPr>
              <w:pStyle w:val="Compact"/>
              <w:jc w:val="left"/>
            </w:pPr>
            <w:r>
              <w:t xml:space="preserve">622 km</w:t>
            </w:r>
          </w:p>
        </w:tc>
        <w:tc>
          <w:tcPr/>
          <w:p>
            <w:pPr>
              <w:pStyle w:val="Compact"/>
              <w:jc w:val="left"/>
            </w:pPr>
            <w:r>
              <w:t xml:space="preserve">Large country region</w:t>
            </w:r>
          </w:p>
        </w:tc>
      </w:tr>
      <w:tr>
        <w:tc>
          <w:tcPr/>
          <w:p>
            <w:pPr>
              <w:pStyle w:val="Compact"/>
              <w:jc w:val="left"/>
            </w:pPr>
            <w:r>
              <w:t xml:space="preserve">3</w:t>
            </w:r>
          </w:p>
        </w:tc>
        <w:tc>
          <w:tcPr/>
          <w:p>
            <w:pPr>
              <w:pStyle w:val="Compact"/>
              <w:jc w:val="left"/>
            </w:pPr>
            <w:r>
              <w:t xml:space="preserve">15</w:t>
            </w:r>
          </w:p>
        </w:tc>
        <w:tc>
          <w:tcPr/>
          <w:p>
            <w:pPr>
              <w:pStyle w:val="Compact"/>
              <w:jc w:val="left"/>
            </w:pPr>
            <w:r>
              <w:t xml:space="preserve">157 km</w:t>
            </w:r>
          </w:p>
        </w:tc>
        <w:tc>
          <w:tcPr/>
          <w:p>
            <w:pPr>
              <w:pStyle w:val="Compact"/>
              <w:jc w:val="left"/>
            </w:pPr>
            <w:r>
              <w:t xml:space="preserve">156 km</w:t>
            </w:r>
          </w:p>
        </w:tc>
        <w:tc>
          <w:tcPr/>
          <w:p>
            <w:pPr>
              <w:pStyle w:val="Compact"/>
              <w:jc w:val="left"/>
            </w:pPr>
            <w:r>
              <w:t xml:space="preserve">Metropolitan region</w:t>
            </w:r>
          </w:p>
        </w:tc>
      </w:tr>
      <w:tr>
        <w:tc>
          <w:tcPr/>
          <w:p>
            <w:pPr>
              <w:pStyle w:val="Compact"/>
              <w:jc w:val="left"/>
            </w:pPr>
            <w:r>
              <w:t xml:space="preserve">4</w:t>
            </w:r>
          </w:p>
        </w:tc>
        <w:tc>
          <w:tcPr/>
          <w:p>
            <w:pPr>
              <w:pStyle w:val="Compact"/>
              <w:jc w:val="left"/>
            </w:pPr>
            <w:r>
              <w:t xml:space="preserve">20</w:t>
            </w:r>
          </w:p>
        </w:tc>
        <w:tc>
          <w:tcPr/>
          <w:p>
            <w:pPr>
              <w:pStyle w:val="Compact"/>
              <w:jc w:val="left"/>
            </w:pPr>
            <w:r>
              <w:t xml:space="preserve">39.1 km</w:t>
            </w:r>
          </w:p>
        </w:tc>
        <w:tc>
          <w:tcPr/>
          <w:p>
            <w:pPr>
              <w:pStyle w:val="Compact"/>
              <w:jc w:val="left"/>
            </w:pPr>
            <w:r>
              <w:t xml:space="preserve">19.4 km</w:t>
            </w:r>
          </w:p>
        </w:tc>
        <w:tc>
          <w:tcPr/>
          <w:p>
            <w:pPr>
              <w:pStyle w:val="Compact"/>
              <w:jc w:val="left"/>
            </w:pPr>
            <w:r>
              <w:t xml:space="preserve">City</w:t>
            </w:r>
          </w:p>
        </w:tc>
      </w:tr>
      <w:tr>
        <w:tc>
          <w:tcPr/>
          <w:p>
            <w:pPr>
              <w:pStyle w:val="Compact"/>
              <w:jc w:val="left"/>
            </w:pPr>
            <w:r>
              <w:t xml:space="preserve">5</w:t>
            </w:r>
          </w:p>
        </w:tc>
        <w:tc>
          <w:tcPr/>
          <w:p>
            <w:pPr>
              <w:pStyle w:val="Compact"/>
              <w:jc w:val="left"/>
            </w:pPr>
            <w:r>
              <w:t xml:space="preserve">25</w:t>
            </w:r>
          </w:p>
        </w:tc>
        <w:tc>
          <w:tcPr/>
          <w:p>
            <w:pPr>
              <w:pStyle w:val="Compact"/>
              <w:jc w:val="left"/>
            </w:pPr>
            <w:r>
              <w:t xml:space="preserve">4.9 km</w:t>
            </w:r>
          </w:p>
        </w:tc>
        <w:tc>
          <w:tcPr/>
          <w:p>
            <w:pPr>
              <w:pStyle w:val="Compact"/>
              <w:jc w:val="left"/>
            </w:pPr>
            <w:r>
              <w:t xml:space="preserve">4.9 km</w:t>
            </w:r>
          </w:p>
        </w:tc>
        <w:tc>
          <w:tcPr/>
          <w:p>
            <w:pPr>
              <w:pStyle w:val="Compact"/>
              <w:jc w:val="left"/>
            </w:pPr>
            <w:r>
              <w:t xml:space="preserve">District; 1–2 km searches</w:t>
            </w:r>
          </w:p>
        </w:tc>
      </w:tr>
      <w:tr>
        <w:tc>
          <w:tcPr/>
          <w:p>
            <w:pPr>
              <w:pStyle w:val="Compact"/>
              <w:jc w:val="left"/>
            </w:pPr>
            <w:r>
              <w:t xml:space="preserve">6</w:t>
            </w:r>
          </w:p>
        </w:tc>
        <w:tc>
          <w:tcPr/>
          <w:p>
            <w:pPr>
              <w:pStyle w:val="Compact"/>
              <w:jc w:val="left"/>
            </w:pPr>
            <w:r>
              <w:t xml:space="preserve">30</w:t>
            </w:r>
          </w:p>
        </w:tc>
        <w:tc>
          <w:tcPr/>
          <w:p>
            <w:pPr>
              <w:pStyle w:val="Compact"/>
              <w:jc w:val="left"/>
            </w:pPr>
            <w:r>
              <w:t xml:space="preserve">1.2 km</w:t>
            </w:r>
          </w:p>
        </w:tc>
        <w:tc>
          <w:tcPr/>
          <w:p>
            <w:pPr>
              <w:pStyle w:val="Compact"/>
              <w:jc w:val="left"/>
            </w:pPr>
            <w:r>
              <w:t xml:space="preserve">0.61 km</w:t>
            </w:r>
          </w:p>
        </w:tc>
        <w:tc>
          <w:tcPr/>
          <w:p>
            <w:pPr>
              <w:pStyle w:val="Compact"/>
              <w:jc w:val="left"/>
            </w:pPr>
            <w:r>
              <w:t xml:space="preserve">Neighborhood; ~500 m searches</w:t>
            </w:r>
          </w:p>
        </w:tc>
      </w:tr>
      <w:tr>
        <w:tc>
          <w:tcPr/>
          <w:p>
            <w:pPr>
              <w:pStyle w:val="Compact"/>
              <w:jc w:val="left"/>
            </w:pPr>
            <w:r>
              <w:t xml:space="preserve">7</w:t>
            </w:r>
          </w:p>
        </w:tc>
        <w:tc>
          <w:tcPr/>
          <w:p>
            <w:pPr>
              <w:pStyle w:val="Compact"/>
              <w:jc w:val="left"/>
            </w:pPr>
            <w:r>
              <w:t xml:space="preserve">35</w:t>
            </w:r>
          </w:p>
        </w:tc>
        <w:tc>
          <w:tcPr/>
          <w:p>
            <w:pPr>
              <w:pStyle w:val="Compact"/>
              <w:jc w:val="left"/>
            </w:pPr>
            <w:r>
              <w:t xml:space="preserve">153 m</w:t>
            </w:r>
          </w:p>
        </w:tc>
        <w:tc>
          <w:tcPr/>
          <w:p>
            <w:pPr>
              <w:pStyle w:val="Compact"/>
              <w:jc w:val="left"/>
            </w:pPr>
            <w:r>
              <w:t xml:space="preserve">152 m</w:t>
            </w:r>
          </w:p>
        </w:tc>
        <w:tc>
          <w:tcPr/>
          <w:p>
            <w:pPr>
              <w:pStyle w:val="Compact"/>
              <w:jc w:val="left"/>
            </w:pPr>
            <w:r>
              <w:t xml:space="preserve">Block</w:t>
            </w:r>
          </w:p>
        </w:tc>
      </w:tr>
      <w:tr>
        <w:tc>
          <w:tcPr/>
          <w:p>
            <w:pPr>
              <w:pStyle w:val="Compact"/>
              <w:jc w:val="left"/>
            </w:pPr>
            <w:r>
              <w:t xml:space="preserve">8</w:t>
            </w:r>
          </w:p>
        </w:tc>
        <w:tc>
          <w:tcPr/>
          <w:p>
            <w:pPr>
              <w:pStyle w:val="Compact"/>
              <w:jc w:val="left"/>
            </w:pPr>
            <w:r>
              <w:t xml:space="preserve">40</w:t>
            </w:r>
          </w:p>
        </w:tc>
        <w:tc>
          <w:tcPr/>
          <w:p>
            <w:pPr>
              <w:pStyle w:val="Compact"/>
              <w:jc w:val="left"/>
            </w:pPr>
            <w:r>
              <w:t xml:space="preserve">38 m</w:t>
            </w:r>
          </w:p>
        </w:tc>
        <w:tc>
          <w:tcPr/>
          <w:p>
            <w:pPr>
              <w:pStyle w:val="Compact"/>
              <w:jc w:val="left"/>
            </w:pPr>
            <w:r>
              <w:t xml:space="preserve">19 m</w:t>
            </w:r>
          </w:p>
        </w:tc>
        <w:tc>
          <w:tcPr/>
          <w:p>
            <w:pPr>
              <w:pStyle w:val="Compact"/>
              <w:jc w:val="left"/>
            </w:pPr>
            <w:r>
              <w:t xml:space="preserve">Building</w:t>
            </w:r>
          </w:p>
        </w:tc>
      </w:tr>
      <w:tr>
        <w:tc>
          <w:tcPr/>
          <w:p>
            <w:pPr>
              <w:pStyle w:val="Compact"/>
              <w:jc w:val="left"/>
            </w:pPr>
            <w:r>
              <w:t xml:space="preserve">9</w:t>
            </w:r>
          </w:p>
        </w:tc>
        <w:tc>
          <w:tcPr/>
          <w:p>
            <w:pPr>
              <w:pStyle w:val="Compact"/>
              <w:jc w:val="left"/>
            </w:pPr>
            <w:r>
              <w:t xml:space="preserve">45</w:t>
            </w:r>
          </w:p>
        </w:tc>
        <w:tc>
          <w:tcPr/>
          <w:p>
            <w:pPr>
              <w:pStyle w:val="Compact"/>
              <w:jc w:val="left"/>
            </w:pPr>
            <w:r>
              <w:t xml:space="preserve">4.8 m</w:t>
            </w:r>
          </w:p>
        </w:tc>
        <w:tc>
          <w:tcPr/>
          <w:p>
            <w:pPr>
              <w:pStyle w:val="Compact"/>
              <w:jc w:val="left"/>
            </w:pPr>
            <w:r>
              <w:t xml:space="preserve">4.8 m</w:t>
            </w:r>
          </w:p>
        </w:tc>
        <w:tc>
          <w:tcPr/>
          <w:p>
            <w:pPr>
              <w:pStyle w:val="Compact"/>
              <w:jc w:val="left"/>
            </w:pPr>
            <w:r>
              <w:t xml:space="preserve">Doorway (beyond typical GPS accuracy)</w:t>
            </w:r>
          </w:p>
        </w:tc>
      </w:tr>
      <w:tr>
        <w:tc>
          <w:tcPr/>
          <w:p>
            <w:pPr>
              <w:pStyle w:val="Compact"/>
              <w:jc w:val="left"/>
            </w:pPr>
            <w:r>
              <w:t xml:space="preserve">10</w:t>
            </w:r>
          </w:p>
        </w:tc>
        <w:tc>
          <w:tcPr/>
          <w:p>
            <w:pPr>
              <w:pStyle w:val="Compact"/>
              <w:jc w:val="left"/>
            </w:pPr>
            <w:r>
              <w:t xml:space="preserve">50</w:t>
            </w:r>
          </w:p>
        </w:tc>
        <w:tc>
          <w:tcPr/>
          <w:p>
            <w:pPr>
              <w:pStyle w:val="Compact"/>
              <w:jc w:val="left"/>
            </w:pPr>
            <w:r>
              <w:t xml:space="preserve">1.2 m</w:t>
            </w:r>
          </w:p>
        </w:tc>
        <w:tc>
          <w:tcPr/>
          <w:p>
            <w:pPr>
              <w:pStyle w:val="Compact"/>
              <w:jc w:val="left"/>
            </w:pPr>
            <w:r>
              <w:t xml:space="preserve">0.59 m</w:t>
            </w:r>
          </w:p>
        </w:tc>
        <w:tc>
          <w:tcPr/>
          <w:p>
            <w:pPr>
              <w:pStyle w:val="Compact"/>
              <w:jc w:val="left"/>
            </w:pPr>
            <w:r>
              <w:t xml:space="preserve">Below GPS accuracy</w:t>
            </w:r>
          </w:p>
        </w:tc>
      </w:tr>
    </w:tbl>
    <w:bookmarkEnd w:id="1999"/>
    <w:bookmarkStart w:id="2000" w:name="X7ddf5dac1ce2b29d3ab67949d7b04ab81b1c21c"/>
    <w:p>
      <w:pPr>
        <w:pStyle w:val="Heading4"/>
      </w:pPr>
      <w:r>
        <w:t xml:space="preserve">Code example: geohash encoding and a proximity search</w:t>
      </w:r>
    </w:p>
    <w:p>
      <w:pPr>
        <w:pStyle w:val="SourceCode"/>
      </w:pPr>
      <w:r>
        <w:rPr>
          <w:rStyle w:val="ImportTok"/>
        </w:rPr>
        <w:t xml:space="preserve">import</w:t>
      </w:r>
      <w:r>
        <w:rPr>
          <w:rStyle w:val="NormalTok"/>
        </w:rPr>
        <w:t xml:space="preserve"> math</w:t>
      </w:r>
      <w:r>
        <w:br/>
      </w:r>
      <w:r>
        <w:rPr>
          <w:rStyle w:val="ImportTok"/>
        </w:rPr>
        <w:t xml:space="preserve">import</w:t>
      </w:r>
      <w:r>
        <w:rPr>
          <w:rStyle w:val="NormalTok"/>
        </w:rPr>
        <w:t xml:space="preserve"> random</w:t>
      </w:r>
      <w:r>
        <w:br/>
      </w:r>
      <w:r>
        <w:rPr>
          <w:rStyle w:val="ImportTok"/>
        </w:rPr>
        <w:t xml:space="preserve">from</w:t>
      </w:r>
      <w:r>
        <w:rPr>
          <w:rStyle w:val="NormalTok"/>
        </w:rPr>
        <w:t xml:space="preserve"> collections </w:t>
      </w:r>
      <w:r>
        <w:rPr>
          <w:rStyle w:val="ImportTok"/>
        </w:rPr>
        <w:t xml:space="preserve">import</w:t>
      </w:r>
      <w:r>
        <w:rPr>
          <w:rStyle w:val="NormalTok"/>
        </w:rPr>
        <w:t xml:space="preserve"> defaultdict</w:t>
      </w:r>
      <w:r>
        <w:br/>
      </w:r>
      <w:r>
        <w:br/>
      </w:r>
      <w:r>
        <w:rPr>
          <w:rStyle w:val="NormalTok"/>
        </w:rPr>
        <w:t xml:space="preserve">BASE32 </w:t>
      </w:r>
      <w:r>
        <w:rPr>
          <w:rStyle w:val="OperatorTok"/>
        </w:rPr>
        <w:t xml:space="preserve">=</w:t>
      </w:r>
      <w:r>
        <w:rPr>
          <w:rStyle w:val="NormalTok"/>
        </w:rPr>
        <w:t xml:space="preserve"> </w:t>
      </w:r>
      <w:r>
        <w:rPr>
          <w:rStyle w:val="StringTok"/>
        </w:rPr>
        <w:t xml:space="preserve">"0123456789bcdefghjkmnpqrstuvwxyz"</w:t>
      </w:r>
      <w:r>
        <w:rPr>
          <w:rStyle w:val="NormalTok"/>
        </w:rPr>
        <w:t xml:space="preserve">          </w:t>
      </w:r>
      <w:r>
        <w:rPr>
          <w:rStyle w:val="CommentTok"/>
        </w:rPr>
        <w:t xml:space="preserve"># no a, i, l, o</w:t>
      </w:r>
      <w:r>
        <w:br/>
      </w:r>
      <w:r>
        <w:br/>
      </w:r>
      <w:r>
        <w:rPr>
          <w:rStyle w:val="KeywordTok"/>
        </w:rPr>
        <w:t xml:space="preserve">def</w:t>
      </w:r>
      <w:r>
        <w:rPr>
          <w:rStyle w:val="NormalTok"/>
        </w:rPr>
        <w:t xml:space="preserve"> encode(lat: </w:t>
      </w:r>
      <w:r>
        <w:rPr>
          <w:rStyle w:val="BuiltInTok"/>
        </w:rPr>
        <w:t xml:space="preserve">float</w:t>
      </w:r>
      <w:r>
        <w:rPr>
          <w:rStyle w:val="NormalTok"/>
        </w:rPr>
        <w:t xml:space="preserve">, lon: </w:t>
      </w:r>
      <w:r>
        <w:rPr>
          <w:rStyle w:val="BuiltInTok"/>
        </w:rPr>
        <w:t xml:space="preserve">float</w:t>
      </w:r>
      <w:r>
        <w:rPr>
          <w:rStyle w:val="NormalTok"/>
        </w:rPr>
        <w:t xml:space="preserve">, length: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"""Interleave longitude and latitude bisection bits (longitude first), 5 bits per character."""</w:t>
      </w:r>
      <w:r>
        <w:br/>
      </w:r>
      <w:r>
        <w:rPr>
          <w:rStyle w:val="NormalTok"/>
        </w:rPr>
        <w:t xml:space="preserve">    lat_rng, lon_rng </w:t>
      </w:r>
      <w:r>
        <w:rPr>
          <w:rStyle w:val="OperatorTok"/>
        </w:rPr>
        <w:t xml:space="preserve">=</w:t>
      </w:r>
      <w:r>
        <w:rPr>
          <w:rStyle w:val="NormalTok"/>
        </w:rPr>
        <w:t xml:space="preserve"> [</w:t>
      </w:r>
      <w:r>
        <w:rPr>
          <w:rStyle w:val="OperatorTok"/>
        </w:rPr>
        <w:t xml:space="preserve">-</w:t>
      </w:r>
      <w:r>
        <w:rPr>
          <w:rStyle w:val="FloatTok"/>
        </w:rPr>
        <w:t xml:space="preserve">90.0</w:t>
      </w:r>
      <w:r>
        <w:rPr>
          <w:rStyle w:val="NormalTok"/>
        </w:rPr>
        <w:t xml:space="preserve">, </w:t>
      </w:r>
      <w:r>
        <w:rPr>
          <w:rStyle w:val="FloatTok"/>
        </w:rPr>
        <w:t xml:space="preserve">90.0</w:t>
      </w:r>
      <w:r>
        <w:rPr>
          <w:rStyle w:val="NormalTok"/>
        </w:rPr>
        <w:t xml:space="preserve">], [</w:t>
      </w:r>
      <w:r>
        <w:rPr>
          <w:rStyle w:val="OperatorTok"/>
        </w:rPr>
        <w:t xml:space="preserve">-</w:t>
      </w:r>
      <w:r>
        <w:rPr>
          <w:rStyle w:val="FloatTok"/>
        </w:rPr>
        <w:t xml:space="preserve">180.0</w:t>
      </w:r>
      <w:r>
        <w:rPr>
          <w:rStyle w:val="NormalTok"/>
        </w:rPr>
        <w:t xml:space="preserve">, </w:t>
      </w:r>
      <w:r>
        <w:rPr>
          <w:rStyle w:val="FloatTok"/>
        </w:rPr>
        <w:t xml:space="preserve">180.0</w:t>
      </w:r>
      <w:r>
        <w:rPr>
          <w:rStyle w:val="NormalTok"/>
        </w:rPr>
        <w:t xml:space="preserve">]</w:t>
      </w:r>
      <w:r>
        <w:br/>
      </w:r>
      <w:r>
        <w:rPr>
          <w:rStyle w:val="NormalTok"/>
        </w:rPr>
        <w:t xml:space="preserve">    out, bits, bit_count, even </w:t>
      </w:r>
      <w:r>
        <w:rPr>
          <w:rStyle w:val="OperatorTok"/>
        </w:rPr>
        <w:t xml:space="preserve">=</w:t>
      </w:r>
      <w:r>
        <w:rPr>
          <w:rStyle w:val="NormalTok"/>
        </w:rPr>
        <w:t xml:space="preserve"> [], </w:t>
      </w:r>
      <w:r>
        <w:rPr>
          <w:rStyle w:val="DecValTok"/>
        </w:rPr>
        <w:t xml:space="preserve">0</w:t>
      </w:r>
      <w:r>
        <w:rPr>
          <w:rStyle w:val="NormalTok"/>
        </w:rPr>
        <w:t xml:space="preserve">, </w:t>
      </w:r>
      <w:r>
        <w:rPr>
          <w:rStyle w:val="DecValTok"/>
        </w:rPr>
        <w:t xml:space="preserve">0</w:t>
      </w:r>
      <w:r>
        <w:rPr>
          <w:rStyle w:val="NormalTok"/>
        </w:rPr>
        <w:t xml:space="preserve">, </w:t>
      </w:r>
      <w:r>
        <w:rPr>
          <w:rStyle w:val="VariableTok"/>
        </w:rPr>
        <w:t xml:space="preserve">True</w:t>
      </w:r>
      <w:r>
        <w:br/>
      </w:r>
      <w:r>
        <w:rPr>
          <w:rStyle w:val="NormalTok"/>
        </w:rPr>
        <w:t xml:space="preserve">    </w:t>
      </w:r>
      <w:r>
        <w:rPr>
          <w:rStyle w:val="ControlFlowTok"/>
        </w:rPr>
        <w:t xml:space="preserve">while</w:t>
      </w:r>
      <w:r>
        <w:rPr>
          <w:rStyle w:val="NormalTok"/>
        </w:rPr>
        <w:t xml:space="preserve"> </w:t>
      </w:r>
      <w:r>
        <w:rPr>
          <w:rStyle w:val="BuiltInTok"/>
        </w:rPr>
        <w:t xml:space="preserve">len</w:t>
      </w:r>
      <w:r>
        <w:rPr>
          <w:rStyle w:val="NormalTok"/>
        </w:rPr>
        <w:t xml:space="preserve">(out) </w:t>
      </w:r>
      <w:r>
        <w:rPr>
          <w:rStyle w:val="OperatorTok"/>
        </w:rPr>
        <w:t xml:space="preserve">&lt;</w:t>
      </w:r>
      <w:r>
        <w:rPr>
          <w:rStyle w:val="NormalTok"/>
        </w:rPr>
        <w:t xml:space="preserve"> length:</w:t>
      </w:r>
      <w:r>
        <w:br/>
      </w:r>
      <w:r>
        <w:rPr>
          <w:rStyle w:val="NormalTok"/>
        </w:rPr>
        <w:t xml:space="preserve">        rng, val </w:t>
      </w:r>
      <w:r>
        <w:rPr>
          <w:rStyle w:val="OperatorTok"/>
        </w:rPr>
        <w:t xml:space="preserve">=</w:t>
      </w:r>
      <w:r>
        <w:rPr>
          <w:rStyle w:val="NormalTok"/>
        </w:rPr>
        <w:t xml:space="preserve"> (lon_rng, lon) </w:t>
      </w:r>
      <w:r>
        <w:rPr>
          <w:rStyle w:val="ControlFlowTok"/>
        </w:rPr>
        <w:t xml:space="preserve">if</w:t>
      </w:r>
      <w:r>
        <w:rPr>
          <w:rStyle w:val="NormalTok"/>
        </w:rPr>
        <w:t xml:space="preserve"> even </w:t>
      </w:r>
      <w:r>
        <w:rPr>
          <w:rStyle w:val="ControlFlowTok"/>
        </w:rPr>
        <w:t xml:space="preserve">else</w:t>
      </w:r>
      <w:r>
        <w:rPr>
          <w:rStyle w:val="NormalTok"/>
        </w:rPr>
        <w:t xml:space="preserve"> (lat_rng, lat)</w:t>
      </w:r>
      <w:r>
        <w:br/>
      </w:r>
      <w:r>
        <w:rPr>
          <w:rStyle w:val="NormalTok"/>
        </w:rPr>
        <w:t xml:space="preserve">        mid </w:t>
      </w:r>
      <w:r>
        <w:rPr>
          <w:rStyle w:val="OperatorTok"/>
        </w:rPr>
        <w:t xml:space="preserve">=</w:t>
      </w:r>
      <w:r>
        <w:rPr>
          <w:rStyle w:val="NormalTok"/>
        </w:rPr>
        <w:t xml:space="preserve"> (rng[</w:t>
      </w:r>
      <w:r>
        <w:rPr>
          <w:rStyle w:val="DecValTok"/>
        </w:rPr>
        <w:t xml:space="preserve">0</w:t>
      </w:r>
      <w:r>
        <w:rPr>
          <w:rStyle w:val="NormalTok"/>
        </w:rPr>
        <w:t xml:space="preserve">] </w:t>
      </w:r>
      <w:r>
        <w:rPr>
          <w:rStyle w:val="OperatorTok"/>
        </w:rPr>
        <w:t xml:space="preserve">+</w:t>
      </w:r>
      <w:r>
        <w:rPr>
          <w:rStyle w:val="NormalTok"/>
        </w:rPr>
        <w:t xml:space="preserve"> rng[</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ntrolFlowTok"/>
        </w:rPr>
        <w:t xml:space="preserve">if</w:t>
      </w:r>
      <w:r>
        <w:rPr>
          <w:rStyle w:val="NormalTok"/>
        </w:rPr>
        <w:t xml:space="preserve"> val </w:t>
      </w:r>
      <w:r>
        <w:rPr>
          <w:rStyle w:val="OperatorTok"/>
        </w:rPr>
        <w:t xml:space="preserve">&gt;=</w:t>
      </w:r>
      <w:r>
        <w:rPr>
          <w:rStyle w:val="NormalTok"/>
        </w:rPr>
        <w:t xml:space="preserve"> mid:</w:t>
      </w:r>
      <w:r>
        <w:br/>
      </w:r>
      <w:r>
        <w:rPr>
          <w:rStyle w:val="NormalTok"/>
        </w:rPr>
        <w:t xml:space="preserve">            bits, rng[</w:t>
      </w:r>
      <w:r>
        <w:rPr>
          <w:rStyle w:val="DecValTok"/>
        </w:rPr>
        <w:t xml:space="preserve">0</w:t>
      </w:r>
      <w:r>
        <w:rPr>
          <w:rStyle w:val="NormalTok"/>
        </w:rPr>
        <w:t xml:space="preserve">] </w:t>
      </w:r>
      <w:r>
        <w:rPr>
          <w:rStyle w:val="OperatorTok"/>
        </w:rPr>
        <w:t xml:space="preserve">=</w:t>
      </w:r>
      <w:r>
        <w:rPr>
          <w:rStyle w:val="NormalTok"/>
        </w:rPr>
        <w:t xml:space="preserve"> (bits </w:t>
      </w:r>
      <w:r>
        <w:rPr>
          <w:rStyle w:val="OperatorTok"/>
        </w:rPr>
        <w:t xml:space="preserve">&lt;&lt;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mid</w:t>
      </w:r>
      <w:r>
        <w:br/>
      </w:r>
      <w:r>
        <w:rPr>
          <w:rStyle w:val="NormalTok"/>
        </w:rPr>
        <w:t xml:space="preserve">        </w:t>
      </w:r>
      <w:r>
        <w:rPr>
          <w:rStyle w:val="ControlFlowTok"/>
        </w:rPr>
        <w:t xml:space="preserve">else</w:t>
      </w:r>
      <w:r>
        <w:rPr>
          <w:rStyle w:val="NormalTok"/>
        </w:rPr>
        <w:t xml:space="preserve">:</w:t>
      </w:r>
      <w:r>
        <w:br/>
      </w:r>
      <w:r>
        <w:rPr>
          <w:rStyle w:val="NormalTok"/>
        </w:rPr>
        <w:t xml:space="preserve">            bits, rng[</w:t>
      </w:r>
      <w:r>
        <w:rPr>
          <w:rStyle w:val="DecValTok"/>
        </w:rPr>
        <w:t xml:space="preserve">1</w:t>
      </w:r>
      <w:r>
        <w:rPr>
          <w:rStyle w:val="NormalTok"/>
        </w:rPr>
        <w:t xml:space="preserve">] </w:t>
      </w:r>
      <w:r>
        <w:rPr>
          <w:rStyle w:val="OperatorTok"/>
        </w:rPr>
        <w:t xml:space="preserve">=</w:t>
      </w:r>
      <w:r>
        <w:rPr>
          <w:rStyle w:val="NormalTok"/>
        </w:rPr>
        <w:t xml:space="preserve"> bits </w:t>
      </w:r>
      <w:r>
        <w:rPr>
          <w:rStyle w:val="OperatorTok"/>
        </w:rPr>
        <w:t xml:space="preserve">&lt;&lt;</w:t>
      </w:r>
      <w:r>
        <w:rPr>
          <w:rStyle w:val="NormalTok"/>
        </w:rPr>
        <w:t xml:space="preserve"> </w:t>
      </w:r>
      <w:r>
        <w:rPr>
          <w:rStyle w:val="DecValTok"/>
        </w:rPr>
        <w:t xml:space="preserve">1</w:t>
      </w:r>
      <w:r>
        <w:rPr>
          <w:rStyle w:val="NormalTok"/>
        </w:rPr>
        <w:t xml:space="preserve">, mid</w:t>
      </w:r>
      <w:r>
        <w:br/>
      </w:r>
      <w:r>
        <w:rPr>
          <w:rStyle w:val="NormalTok"/>
        </w:rPr>
        <w:t xml:space="preserve">        even, bit_count </w:t>
      </w:r>
      <w:r>
        <w:rPr>
          <w:rStyle w:val="OperatorTok"/>
        </w:rPr>
        <w:t xml:space="preserve">=</w:t>
      </w:r>
      <w:r>
        <w:rPr>
          <w:rStyle w:val="NormalTok"/>
        </w:rPr>
        <w:t xml:space="preserve"> </w:t>
      </w:r>
      <w:r>
        <w:rPr>
          <w:rStyle w:val="KeywordTok"/>
        </w:rPr>
        <w:t xml:space="preserve">not</w:t>
      </w:r>
      <w:r>
        <w:rPr>
          <w:rStyle w:val="NormalTok"/>
        </w:rPr>
        <w:t xml:space="preserve"> even, bit_count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bit_count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out.append(BASE32[bits])</w:t>
      </w:r>
      <w:r>
        <w:br/>
      </w:r>
      <w:r>
        <w:rPr>
          <w:rStyle w:val="NormalTok"/>
        </w:rPr>
        <w:t xml:space="preserve">            bits, bit_count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NormalTok"/>
        </w:rPr>
        <w:t xml:space="preserve">.join(out)</w:t>
      </w:r>
      <w:r>
        <w:br/>
      </w:r>
      <w:r>
        <w:br/>
      </w:r>
      <w:r>
        <w:rPr>
          <w:rStyle w:val="KeywordTok"/>
        </w:rPr>
        <w:t xml:space="preserve">def</w:t>
      </w:r>
      <w:r>
        <w:rPr>
          <w:rStyle w:val="NormalTok"/>
        </w:rPr>
        <w:t xml:space="preserve"> decode_box(gh: </w:t>
      </w:r>
      <w:r>
        <w:rPr>
          <w:rStyle w:val="BuiltInTok"/>
        </w:rPr>
        <w:t xml:space="preserve">str</w:t>
      </w:r>
      <w:r>
        <w:rPr>
          <w:rStyle w:val="NormalTok"/>
        </w:rPr>
        <w:t xml:space="preserve">):</w:t>
      </w:r>
      <w:r>
        <w:br/>
      </w:r>
      <w:r>
        <w:rPr>
          <w:rStyle w:val="NormalTok"/>
        </w:rPr>
        <w:t xml:space="preserve">    </w:t>
      </w:r>
      <w:r>
        <w:rPr>
          <w:rStyle w:val="CommentTok"/>
        </w:rPr>
        <w:t xml:space="preserve">"""Return (lat_min, lat_max, lon_min, lon_max) of a geohash cell."""</w:t>
      </w:r>
      <w:r>
        <w:br/>
      </w:r>
      <w:r>
        <w:rPr>
          <w:rStyle w:val="NormalTok"/>
        </w:rPr>
        <w:t xml:space="preserve">    lat_rng, lon_rng, even </w:t>
      </w:r>
      <w:r>
        <w:rPr>
          <w:rStyle w:val="OperatorTok"/>
        </w:rPr>
        <w:t xml:space="preserve">=</w:t>
      </w:r>
      <w:r>
        <w:rPr>
          <w:rStyle w:val="NormalTok"/>
        </w:rPr>
        <w:t xml:space="preserve"> [</w:t>
      </w:r>
      <w:r>
        <w:rPr>
          <w:rStyle w:val="OperatorTok"/>
        </w:rPr>
        <w:t xml:space="preserve">-</w:t>
      </w:r>
      <w:r>
        <w:rPr>
          <w:rStyle w:val="FloatTok"/>
        </w:rPr>
        <w:t xml:space="preserve">90.0</w:t>
      </w:r>
      <w:r>
        <w:rPr>
          <w:rStyle w:val="NormalTok"/>
        </w:rPr>
        <w:t xml:space="preserve">, </w:t>
      </w:r>
      <w:r>
        <w:rPr>
          <w:rStyle w:val="FloatTok"/>
        </w:rPr>
        <w:t xml:space="preserve">90.0</w:t>
      </w:r>
      <w:r>
        <w:rPr>
          <w:rStyle w:val="NormalTok"/>
        </w:rPr>
        <w:t xml:space="preserve">], [</w:t>
      </w:r>
      <w:r>
        <w:rPr>
          <w:rStyle w:val="OperatorTok"/>
        </w:rPr>
        <w:t xml:space="preserve">-</w:t>
      </w:r>
      <w:r>
        <w:rPr>
          <w:rStyle w:val="FloatTok"/>
        </w:rPr>
        <w:t xml:space="preserve">180.0</w:t>
      </w:r>
      <w:r>
        <w:rPr>
          <w:rStyle w:val="NormalTok"/>
        </w:rPr>
        <w:t xml:space="preserve">, </w:t>
      </w:r>
      <w:r>
        <w:rPr>
          <w:rStyle w:val="FloatTok"/>
        </w:rPr>
        <w:t xml:space="preserve">180.0</w:t>
      </w:r>
      <w:r>
        <w:rPr>
          <w:rStyle w:val="NormalTok"/>
        </w:rPr>
        <w:t xml:space="preserve">], </w:t>
      </w:r>
      <w:r>
        <w:rPr>
          <w:rStyle w:val="VariableTok"/>
        </w:rPr>
        <w:t xml:space="preserve">True</w:t>
      </w:r>
      <w:r>
        <w:br/>
      </w:r>
      <w:r>
        <w:rPr>
          <w:rStyle w:val="NormalTok"/>
        </w:rPr>
        <w:t xml:space="preserve">    </w:t>
      </w:r>
      <w:r>
        <w:rPr>
          <w:rStyle w:val="ControlFlowTok"/>
        </w:rPr>
        <w:t xml:space="preserve">for</w:t>
      </w:r>
      <w:r>
        <w:rPr>
          <w:rStyle w:val="NormalTok"/>
        </w:rPr>
        <w:t xml:space="preserve"> ch </w:t>
      </w:r>
      <w:r>
        <w:rPr>
          <w:rStyle w:val="KeywordTok"/>
        </w:rPr>
        <w:t xml:space="preserve">in</w:t>
      </w:r>
      <w:r>
        <w:rPr>
          <w:rStyle w:val="NormalTok"/>
        </w:rPr>
        <w:t xml:space="preserve"> gh:</w:t>
      </w:r>
      <w:r>
        <w:br/>
      </w:r>
      <w:r>
        <w:rPr>
          <w:rStyle w:val="NormalTok"/>
        </w:rPr>
        <w:t xml:space="preserve">        v </w:t>
      </w:r>
      <w:r>
        <w:rPr>
          <w:rStyle w:val="OperatorTok"/>
        </w:rPr>
        <w:t xml:space="preserve">=</w:t>
      </w:r>
      <w:r>
        <w:rPr>
          <w:rStyle w:val="NormalTok"/>
        </w:rPr>
        <w:t xml:space="preserve"> BASE32.index(ch)</w:t>
      </w:r>
      <w:r>
        <w:br/>
      </w:r>
      <w:r>
        <w:rPr>
          <w:rStyle w:val="NormalTok"/>
        </w:rPr>
        <w:t xml:space="preserve">        </w:t>
      </w:r>
      <w:r>
        <w:rPr>
          <w:rStyle w:val="ControlFlowTok"/>
        </w:rPr>
        <w:t xml:space="preserve">for</w:t>
      </w:r>
      <w:r>
        <w:rPr>
          <w:rStyle w:val="NormalTok"/>
        </w:rPr>
        <w:t xml:space="preserve"> shift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4</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rng </w:t>
      </w:r>
      <w:r>
        <w:rPr>
          <w:rStyle w:val="OperatorTok"/>
        </w:rPr>
        <w:t xml:space="preserve">=</w:t>
      </w:r>
      <w:r>
        <w:rPr>
          <w:rStyle w:val="NormalTok"/>
        </w:rPr>
        <w:t xml:space="preserve"> lon_rng </w:t>
      </w:r>
      <w:r>
        <w:rPr>
          <w:rStyle w:val="ControlFlowTok"/>
        </w:rPr>
        <w:t xml:space="preserve">if</w:t>
      </w:r>
      <w:r>
        <w:rPr>
          <w:rStyle w:val="NormalTok"/>
        </w:rPr>
        <w:t xml:space="preserve"> even </w:t>
      </w:r>
      <w:r>
        <w:rPr>
          <w:rStyle w:val="ControlFlowTok"/>
        </w:rPr>
        <w:t xml:space="preserve">else</w:t>
      </w:r>
      <w:r>
        <w:rPr>
          <w:rStyle w:val="NormalTok"/>
        </w:rPr>
        <w:t xml:space="preserve"> lat_rng</w:t>
      </w:r>
      <w:r>
        <w:br/>
      </w:r>
      <w:r>
        <w:rPr>
          <w:rStyle w:val="NormalTok"/>
        </w:rPr>
        <w:t xml:space="preserve">            mid </w:t>
      </w:r>
      <w:r>
        <w:rPr>
          <w:rStyle w:val="OperatorTok"/>
        </w:rPr>
        <w:t xml:space="preserve">=</w:t>
      </w:r>
      <w:r>
        <w:rPr>
          <w:rStyle w:val="NormalTok"/>
        </w:rPr>
        <w:t xml:space="preserve"> (rng[</w:t>
      </w:r>
      <w:r>
        <w:rPr>
          <w:rStyle w:val="DecValTok"/>
        </w:rPr>
        <w:t xml:space="preserve">0</w:t>
      </w:r>
      <w:r>
        <w:rPr>
          <w:rStyle w:val="NormalTok"/>
        </w:rPr>
        <w:t xml:space="preserve">] </w:t>
      </w:r>
      <w:r>
        <w:rPr>
          <w:rStyle w:val="OperatorTok"/>
        </w:rPr>
        <w:t xml:space="preserve">+</w:t>
      </w:r>
      <w:r>
        <w:rPr>
          <w:rStyle w:val="NormalTok"/>
        </w:rPr>
        <w:t xml:space="preserve"> rng[</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ntrolFlowTok"/>
        </w:rPr>
        <w:t xml:space="preserve">if</w:t>
      </w:r>
      <w:r>
        <w:rPr>
          <w:rStyle w:val="NormalTok"/>
        </w:rPr>
        <w:t xml:space="preserve"> (v </w:t>
      </w:r>
      <w:r>
        <w:rPr>
          <w:rStyle w:val="OperatorTok"/>
        </w:rPr>
        <w:t xml:space="preserve">&gt;&gt;</w:t>
      </w:r>
      <w:r>
        <w:rPr>
          <w:rStyle w:val="NormalTok"/>
        </w:rPr>
        <w:t xml:space="preserve"> shift) </w:t>
      </w:r>
      <w:r>
        <w:rPr>
          <w:rStyle w:val="OperatorTok"/>
        </w:rPr>
        <w:t xml:space="preserve">&amp;</w:t>
      </w:r>
      <w:r>
        <w:rPr>
          <w:rStyle w:val="NormalTok"/>
        </w:rPr>
        <w:t xml:space="preserve"> </w:t>
      </w:r>
      <w:r>
        <w:rPr>
          <w:rStyle w:val="DecValTok"/>
        </w:rPr>
        <w:t xml:space="preserve">1</w:t>
      </w:r>
      <w:r>
        <w:rPr>
          <w:rStyle w:val="NormalTok"/>
        </w:rPr>
        <w:t xml:space="preserve">:</w:t>
      </w:r>
      <w:r>
        <w:br/>
      </w:r>
      <w:r>
        <w:rPr>
          <w:rStyle w:val="NormalTok"/>
        </w:rPr>
        <w:t xml:space="preserve">                rng[</w:t>
      </w:r>
      <w:r>
        <w:rPr>
          <w:rStyle w:val="DecValTok"/>
        </w:rPr>
        <w:t xml:space="preserve">0</w:t>
      </w:r>
      <w:r>
        <w:rPr>
          <w:rStyle w:val="NormalTok"/>
        </w:rPr>
        <w:t xml:space="preserve">] </w:t>
      </w:r>
      <w:r>
        <w:rPr>
          <w:rStyle w:val="OperatorTok"/>
        </w:rPr>
        <w:t xml:space="preserve">=</w:t>
      </w:r>
      <w:r>
        <w:rPr>
          <w:rStyle w:val="NormalTok"/>
        </w:rPr>
        <w:t xml:space="preserve"> mid</w:t>
      </w:r>
      <w:r>
        <w:br/>
      </w:r>
      <w:r>
        <w:rPr>
          <w:rStyle w:val="NormalTok"/>
        </w:rPr>
        <w:t xml:space="preserve">            </w:t>
      </w:r>
      <w:r>
        <w:rPr>
          <w:rStyle w:val="ControlFlowTok"/>
        </w:rPr>
        <w:t xml:space="preserve">else</w:t>
      </w:r>
      <w:r>
        <w:rPr>
          <w:rStyle w:val="NormalTok"/>
        </w:rPr>
        <w:t xml:space="preserve">:</w:t>
      </w:r>
      <w:r>
        <w:br/>
      </w:r>
      <w:r>
        <w:rPr>
          <w:rStyle w:val="NormalTok"/>
        </w:rPr>
        <w:t xml:space="preserve">                rng[</w:t>
      </w:r>
      <w:r>
        <w:rPr>
          <w:rStyle w:val="DecValTok"/>
        </w:rPr>
        <w:t xml:space="preserve">1</w:t>
      </w:r>
      <w:r>
        <w:rPr>
          <w:rStyle w:val="NormalTok"/>
        </w:rPr>
        <w:t xml:space="preserve">] </w:t>
      </w:r>
      <w:r>
        <w:rPr>
          <w:rStyle w:val="OperatorTok"/>
        </w:rPr>
        <w:t xml:space="preserve">=</w:t>
      </w:r>
      <w:r>
        <w:rPr>
          <w:rStyle w:val="NormalTok"/>
        </w:rPr>
        <w:t xml:space="preserve"> mid</w:t>
      </w:r>
      <w:r>
        <w:br/>
      </w:r>
      <w:r>
        <w:rPr>
          <w:rStyle w:val="NormalTok"/>
        </w:rPr>
        <w:t xml:space="preserve">            even </w:t>
      </w:r>
      <w:r>
        <w:rPr>
          <w:rStyle w:val="OperatorTok"/>
        </w:rPr>
        <w:t xml:space="preserve">=</w:t>
      </w:r>
      <w:r>
        <w:rPr>
          <w:rStyle w:val="NormalTok"/>
        </w:rPr>
        <w:t xml:space="preserve"> </w:t>
      </w:r>
      <w:r>
        <w:rPr>
          <w:rStyle w:val="KeywordTok"/>
        </w:rPr>
        <w:t xml:space="preserve">not</w:t>
      </w:r>
      <w:r>
        <w:rPr>
          <w:rStyle w:val="NormalTok"/>
        </w:rPr>
        <w:t xml:space="preserve"> even</w:t>
      </w:r>
      <w:r>
        <w:br/>
      </w:r>
      <w:r>
        <w:rPr>
          <w:rStyle w:val="NormalTok"/>
        </w:rPr>
        <w:t xml:space="preserve">    </w:t>
      </w:r>
      <w:r>
        <w:rPr>
          <w:rStyle w:val="ControlFlowTok"/>
        </w:rPr>
        <w:t xml:space="preserve">return</w:t>
      </w:r>
      <w:r>
        <w:rPr>
          <w:rStyle w:val="NormalTok"/>
        </w:rPr>
        <w:t xml:space="preserve"> lat_rng[</w:t>
      </w:r>
      <w:r>
        <w:rPr>
          <w:rStyle w:val="DecValTok"/>
        </w:rPr>
        <w:t xml:space="preserve">0</w:t>
      </w:r>
      <w:r>
        <w:rPr>
          <w:rStyle w:val="NormalTok"/>
        </w:rPr>
        <w:t xml:space="preserve">], lat_rng[</w:t>
      </w:r>
      <w:r>
        <w:rPr>
          <w:rStyle w:val="DecValTok"/>
        </w:rPr>
        <w:t xml:space="preserve">1</w:t>
      </w:r>
      <w:r>
        <w:rPr>
          <w:rStyle w:val="NormalTok"/>
        </w:rPr>
        <w:t xml:space="preserve">], lon_rng[</w:t>
      </w:r>
      <w:r>
        <w:rPr>
          <w:rStyle w:val="DecValTok"/>
        </w:rPr>
        <w:t xml:space="preserve">0</w:t>
      </w:r>
      <w:r>
        <w:rPr>
          <w:rStyle w:val="NormalTok"/>
        </w:rPr>
        <w:t xml:space="preserve">], lon_rng[</w:t>
      </w:r>
      <w:r>
        <w:rPr>
          <w:rStyle w:val="DecValTok"/>
        </w:rPr>
        <w:t xml:space="preserve">1</w:t>
      </w:r>
      <w:r>
        <w:rPr>
          <w:rStyle w:val="NormalTok"/>
        </w:rPr>
        <w:t xml:space="preserve">]</w:t>
      </w:r>
      <w:r>
        <w:br/>
      </w:r>
      <w:r>
        <w:br/>
      </w:r>
      <w:r>
        <w:rPr>
          <w:rStyle w:val="KeywordTok"/>
        </w:rPr>
        <w:t xml:space="preserve">def</w:t>
      </w:r>
      <w:r>
        <w:rPr>
          <w:rStyle w:val="NormalTok"/>
        </w:rPr>
        <w:t xml:space="preserve"> neighbors(gh: </w:t>
      </w:r>
      <w:r>
        <w:rPr>
          <w:rStyle w:val="BuiltInTok"/>
        </w:rPr>
        <w:t xml:space="preserve">str</w:t>
      </w:r>
      <w:r>
        <w:rPr>
          <w:rStyle w:val="NormalTok"/>
        </w:rPr>
        <w:t xml:space="preserve">):</w:t>
      </w:r>
      <w:r>
        <w:br/>
      </w:r>
      <w:r>
        <w:rPr>
          <w:rStyle w:val="NormalTok"/>
        </w:rPr>
        <w:t xml:space="preserve">    </w:t>
      </w:r>
      <w:r>
        <w:rPr>
          <w:rStyle w:val="CommentTok"/>
        </w:rPr>
        <w:t xml:space="preserve">"""The 8 surrounding cells (center-offset method; ignores the poles and the antimeridian)."""</w:t>
      </w:r>
      <w:r>
        <w:br/>
      </w:r>
      <w:r>
        <w:rPr>
          <w:rStyle w:val="NormalTok"/>
        </w:rPr>
        <w:t xml:space="preserve">    la0, la1, lo0, lo1 </w:t>
      </w:r>
      <w:r>
        <w:rPr>
          <w:rStyle w:val="OperatorTok"/>
        </w:rPr>
        <w:t xml:space="preserve">=</w:t>
      </w:r>
      <w:r>
        <w:rPr>
          <w:rStyle w:val="NormalTok"/>
        </w:rPr>
        <w:t xml:space="preserve"> decode_box(gh)</w:t>
      </w:r>
      <w:r>
        <w:br/>
      </w:r>
      <w:r>
        <w:rPr>
          <w:rStyle w:val="NormalTok"/>
        </w:rPr>
        <w:t xml:space="preserve">    dlat, dlon </w:t>
      </w:r>
      <w:r>
        <w:rPr>
          <w:rStyle w:val="OperatorTok"/>
        </w:rPr>
        <w:t xml:space="preserve">=</w:t>
      </w:r>
      <w:r>
        <w:rPr>
          <w:rStyle w:val="NormalTok"/>
        </w:rPr>
        <w:t xml:space="preserve"> la1 </w:t>
      </w:r>
      <w:r>
        <w:rPr>
          <w:rStyle w:val="OperatorTok"/>
        </w:rPr>
        <w:t xml:space="preserve">-</w:t>
      </w:r>
      <w:r>
        <w:rPr>
          <w:rStyle w:val="NormalTok"/>
        </w:rPr>
        <w:t xml:space="preserve"> la0, lo1 </w:t>
      </w:r>
      <w:r>
        <w:rPr>
          <w:rStyle w:val="OperatorTok"/>
        </w:rPr>
        <w:t xml:space="preserve">-</w:t>
      </w:r>
      <w:r>
        <w:rPr>
          <w:rStyle w:val="NormalTok"/>
        </w:rPr>
        <w:t xml:space="preserve"> lo0</w:t>
      </w:r>
      <w:r>
        <w:br/>
      </w:r>
      <w:r>
        <w:rPr>
          <w:rStyle w:val="NormalTok"/>
        </w:rPr>
        <w:t xml:space="preserve">    clat, clon </w:t>
      </w:r>
      <w:r>
        <w:rPr>
          <w:rStyle w:val="OperatorTok"/>
        </w:rPr>
        <w:t xml:space="preserve">=</w:t>
      </w:r>
      <w:r>
        <w:rPr>
          <w:rStyle w:val="NormalTok"/>
        </w:rPr>
        <w:t xml:space="preserve"> (la0 </w:t>
      </w:r>
      <w:r>
        <w:rPr>
          <w:rStyle w:val="OperatorTok"/>
        </w:rPr>
        <w:t xml:space="preserve">+</w:t>
      </w:r>
      <w:r>
        <w:rPr>
          <w:rStyle w:val="NormalTok"/>
        </w:rPr>
        <w:t xml:space="preserve"> la1) </w:t>
      </w:r>
      <w:r>
        <w:rPr>
          <w:rStyle w:val="OperatorTok"/>
        </w:rPr>
        <w:t xml:space="preserve">/</w:t>
      </w:r>
      <w:r>
        <w:rPr>
          <w:rStyle w:val="NormalTok"/>
        </w:rPr>
        <w:t xml:space="preserve"> </w:t>
      </w:r>
      <w:r>
        <w:rPr>
          <w:rStyle w:val="DecValTok"/>
        </w:rPr>
        <w:t xml:space="preserve">2</w:t>
      </w:r>
      <w:r>
        <w:rPr>
          <w:rStyle w:val="NormalTok"/>
        </w:rPr>
        <w:t xml:space="preserve">, (lo0 </w:t>
      </w:r>
      <w:r>
        <w:rPr>
          <w:rStyle w:val="OperatorTok"/>
        </w:rPr>
        <w:t xml:space="preserve">+</w:t>
      </w:r>
      <w:r>
        <w:rPr>
          <w:rStyle w:val="NormalTok"/>
        </w:rPr>
        <w:t xml:space="preserve"> lo1)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ntrolFlowTok"/>
        </w:rPr>
        <w:t xml:space="preserve">return</w:t>
      </w:r>
      <w:r>
        <w:rPr>
          <w:rStyle w:val="NormalTok"/>
        </w:rPr>
        <w:t xml:space="preserve"> [encode(clat </w:t>
      </w:r>
      <w:r>
        <w:rPr>
          <w:rStyle w:val="OperatorTok"/>
        </w:rPr>
        <w:t xml:space="preserve">+</w:t>
      </w:r>
      <w:r>
        <w:rPr>
          <w:rStyle w:val="NormalTok"/>
        </w:rPr>
        <w:t xml:space="preserve"> i </w:t>
      </w:r>
      <w:r>
        <w:rPr>
          <w:rStyle w:val="OperatorTok"/>
        </w:rPr>
        <w:t xml:space="preserve">*</w:t>
      </w:r>
      <w:r>
        <w:rPr>
          <w:rStyle w:val="NormalTok"/>
        </w:rPr>
        <w:t xml:space="preserve"> dlat, clon </w:t>
      </w:r>
      <w:r>
        <w:rPr>
          <w:rStyle w:val="OperatorTok"/>
        </w:rPr>
        <w:t xml:space="preserve">+</w:t>
      </w:r>
      <w:r>
        <w:rPr>
          <w:rStyle w:val="NormalTok"/>
        </w:rPr>
        <w:t xml:space="preserve"> j </w:t>
      </w:r>
      <w:r>
        <w:rPr>
          <w:rStyle w:val="OperatorTok"/>
        </w:rPr>
        <w:t xml:space="preserve">*</w:t>
      </w:r>
      <w:r>
        <w:rPr>
          <w:rStyle w:val="NormalTok"/>
        </w:rPr>
        <w:t xml:space="preserve"> dlon, </w:t>
      </w:r>
      <w:r>
        <w:rPr>
          <w:rStyle w:val="BuiltInTok"/>
        </w:rPr>
        <w:t xml:space="preserve">len</w:t>
      </w:r>
      <w:r>
        <w:rPr>
          <w:rStyle w:val="NormalTok"/>
        </w:rPr>
        <w:t xml:space="preserve">(gh))</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ControlFlowTok"/>
        </w:rPr>
        <w:t xml:space="preserve">if</w:t>
      </w:r>
      <w:r>
        <w:rPr>
          <w:rStyle w:val="NormalTok"/>
        </w:rPr>
        <w:t xml:space="preserve"> (i, j)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br/>
      </w:r>
      <w:r>
        <w:rPr>
          <w:rStyle w:val="KeywordTok"/>
        </w:rPr>
        <w:t xml:space="preserve">def</w:t>
      </w:r>
      <w:r>
        <w:rPr>
          <w:rStyle w:val="NormalTok"/>
        </w:rPr>
        <w:t xml:space="preserve"> covering(lat: </w:t>
      </w:r>
      <w:r>
        <w:rPr>
          <w:rStyle w:val="BuiltInTok"/>
        </w:rPr>
        <w:t xml:space="preserve">float</w:t>
      </w:r>
      <w:r>
        <w:rPr>
          <w:rStyle w:val="NormalTok"/>
        </w:rPr>
        <w:t xml:space="preserve">, lon: </w:t>
      </w:r>
      <w:r>
        <w:rPr>
          <w:rStyle w:val="BuiltInTok"/>
        </w:rPr>
        <w:t xml:space="preserve">float</w:t>
      </w:r>
      <w:r>
        <w:rPr>
          <w:rStyle w:val="NormalTok"/>
        </w:rPr>
        <w:t xml:space="preserve">, radius_km: </w:t>
      </w:r>
      <w:r>
        <w:rPr>
          <w:rStyle w:val="BuiltInTok"/>
        </w:rPr>
        <w:t xml:space="preserve">float</w:t>
      </w:r>
      <w:r>
        <w:rPr>
          <w:rStyle w:val="NormalTok"/>
        </w:rPr>
        <w:t xml:space="preserve">, length: </w:t>
      </w:r>
      <w:r>
        <w:rPr>
          <w:rStyle w:val="BuiltInTok"/>
        </w:rPr>
        <w:t xml:space="preserve">int</w:t>
      </w:r>
      <w:r>
        <w:rPr>
          <w:rStyle w:val="NormalTok"/>
        </w:rPr>
        <w:t xml:space="preserve">):</w:t>
      </w:r>
      <w:r>
        <w:br/>
      </w:r>
      <w:r>
        <w:rPr>
          <w:rStyle w:val="NormalTok"/>
        </w:rPr>
        <w:t xml:space="preserve">    </w:t>
      </w:r>
      <w:r>
        <w:rPr>
          <w:rStyle w:val="CommentTok"/>
        </w:rPr>
        <w:t xml:space="preserve">"""All cells of this length that intersect the circle's bounding box (exact recall)."""</w:t>
      </w:r>
      <w:r>
        <w:br/>
      </w:r>
      <w:r>
        <w:rPr>
          <w:rStyle w:val="NormalTok"/>
        </w:rPr>
        <w:t xml:space="preserve">    la0, la1, lo0, lo1 </w:t>
      </w:r>
      <w:r>
        <w:rPr>
          <w:rStyle w:val="OperatorTok"/>
        </w:rPr>
        <w:t xml:space="preserve">=</w:t>
      </w:r>
      <w:r>
        <w:rPr>
          <w:rStyle w:val="NormalTok"/>
        </w:rPr>
        <w:t xml:space="preserve"> decode_box(encode(lat, lon, length))</w:t>
      </w:r>
      <w:r>
        <w:br/>
      </w:r>
      <w:r>
        <w:rPr>
          <w:rStyle w:val="NormalTok"/>
        </w:rPr>
        <w:t xml:space="preserve">    dlat, dlon </w:t>
      </w:r>
      <w:r>
        <w:rPr>
          <w:rStyle w:val="OperatorTok"/>
        </w:rPr>
        <w:t xml:space="preserve">=</w:t>
      </w:r>
      <w:r>
        <w:rPr>
          <w:rStyle w:val="NormalTok"/>
        </w:rPr>
        <w:t xml:space="preserve"> la1 </w:t>
      </w:r>
      <w:r>
        <w:rPr>
          <w:rStyle w:val="OperatorTok"/>
        </w:rPr>
        <w:t xml:space="preserve">-</w:t>
      </w:r>
      <w:r>
        <w:rPr>
          <w:rStyle w:val="NormalTok"/>
        </w:rPr>
        <w:t xml:space="preserve"> la0, lo1 </w:t>
      </w:r>
      <w:r>
        <w:rPr>
          <w:rStyle w:val="OperatorTok"/>
        </w:rPr>
        <w:t xml:space="preserve">-</w:t>
      </w:r>
      <w:r>
        <w:rPr>
          <w:rStyle w:val="NormalTok"/>
        </w:rPr>
        <w:t xml:space="preserve"> lo0</w:t>
      </w:r>
      <w:r>
        <w:br/>
      </w:r>
      <w:r>
        <w:rPr>
          <w:rStyle w:val="NormalTok"/>
        </w:rPr>
        <w:t xml:space="preserve">    ri </w:t>
      </w:r>
      <w:r>
        <w:rPr>
          <w:rStyle w:val="OperatorTok"/>
        </w:rPr>
        <w:t xml:space="preserve">=</w:t>
      </w:r>
      <w:r>
        <w:rPr>
          <w:rStyle w:val="NormalTok"/>
        </w:rPr>
        <w:t xml:space="preserve"> math.ceil(radius_km </w:t>
      </w:r>
      <w:r>
        <w:rPr>
          <w:rStyle w:val="OperatorTok"/>
        </w:rPr>
        <w:t xml:space="preserve">/</w:t>
      </w:r>
      <w:r>
        <w:rPr>
          <w:rStyle w:val="NormalTok"/>
        </w:rPr>
        <w:t xml:space="preserve"> (dlat </w:t>
      </w:r>
      <w:r>
        <w:rPr>
          <w:rStyle w:val="OperatorTok"/>
        </w:rPr>
        <w:t xml:space="preserve">*</w:t>
      </w:r>
      <w:r>
        <w:rPr>
          <w:rStyle w:val="NormalTok"/>
        </w:rPr>
        <w:t xml:space="preserve"> </w:t>
      </w:r>
      <w:r>
        <w:rPr>
          <w:rStyle w:val="FloatTok"/>
        </w:rPr>
        <w:t xml:space="preserve">111.0</w:t>
      </w:r>
      <w:r>
        <w:rPr>
          <w:rStyle w:val="NormalTok"/>
        </w:rPr>
        <w:t xml:space="preserve">))             </w:t>
      </w:r>
      <w:r>
        <w:rPr>
          <w:rStyle w:val="CommentTok"/>
        </w:rPr>
        <w:t xml:space="preserve"># rows needed above and below</w:t>
      </w:r>
      <w:r>
        <w:br/>
      </w:r>
      <w:r>
        <w:rPr>
          <w:rStyle w:val="NormalTok"/>
        </w:rPr>
        <w:t xml:space="preserve">    rj </w:t>
      </w:r>
      <w:r>
        <w:rPr>
          <w:rStyle w:val="OperatorTok"/>
        </w:rPr>
        <w:t xml:space="preserve">=</w:t>
      </w:r>
      <w:r>
        <w:rPr>
          <w:rStyle w:val="NormalTok"/>
        </w:rPr>
        <w:t xml:space="preserve"> math.ceil(radius_km </w:t>
      </w:r>
      <w:r>
        <w:rPr>
          <w:rStyle w:val="OperatorTok"/>
        </w:rPr>
        <w:t xml:space="preserve">/</w:t>
      </w:r>
      <w:r>
        <w:rPr>
          <w:rStyle w:val="NormalTok"/>
        </w:rPr>
        <w:t xml:space="preserve"> (dlon </w:t>
      </w:r>
      <w:r>
        <w:rPr>
          <w:rStyle w:val="OperatorTok"/>
        </w:rPr>
        <w:t xml:space="preserve">*</w:t>
      </w:r>
      <w:r>
        <w:rPr>
          <w:rStyle w:val="NormalTok"/>
        </w:rPr>
        <w:t xml:space="preserve"> </w:t>
      </w:r>
      <w:r>
        <w:rPr>
          <w:rStyle w:val="FloatTok"/>
        </w:rPr>
        <w:t xml:space="preserve">111.0</w:t>
      </w:r>
      <w:r>
        <w:rPr>
          <w:rStyle w:val="NormalTok"/>
        </w:rPr>
        <w:t xml:space="preserve"> </w:t>
      </w:r>
      <w:r>
        <w:rPr>
          <w:rStyle w:val="OperatorTok"/>
        </w:rPr>
        <w:t xml:space="preserve">*</w:t>
      </w:r>
      <w:r>
        <w:rPr>
          <w:rStyle w:val="NormalTok"/>
        </w:rPr>
        <w:t xml:space="preserve"> math.cos(math.radians(lat))))</w:t>
      </w:r>
      <w:r>
        <w:br/>
      </w:r>
      <w:r>
        <w:rPr>
          <w:rStyle w:val="NormalTok"/>
        </w:rPr>
        <w:t xml:space="preserve">    clat, clon </w:t>
      </w:r>
      <w:r>
        <w:rPr>
          <w:rStyle w:val="OperatorTok"/>
        </w:rPr>
        <w:t xml:space="preserve">=</w:t>
      </w:r>
      <w:r>
        <w:rPr>
          <w:rStyle w:val="NormalTok"/>
        </w:rPr>
        <w:t xml:space="preserve"> (la0 </w:t>
      </w:r>
      <w:r>
        <w:rPr>
          <w:rStyle w:val="OperatorTok"/>
        </w:rPr>
        <w:t xml:space="preserve">+</w:t>
      </w:r>
      <w:r>
        <w:rPr>
          <w:rStyle w:val="NormalTok"/>
        </w:rPr>
        <w:t xml:space="preserve"> la1) </w:t>
      </w:r>
      <w:r>
        <w:rPr>
          <w:rStyle w:val="OperatorTok"/>
        </w:rPr>
        <w:t xml:space="preserve">/</w:t>
      </w:r>
      <w:r>
        <w:rPr>
          <w:rStyle w:val="NormalTok"/>
        </w:rPr>
        <w:t xml:space="preserve"> </w:t>
      </w:r>
      <w:r>
        <w:rPr>
          <w:rStyle w:val="DecValTok"/>
        </w:rPr>
        <w:t xml:space="preserve">2</w:t>
      </w:r>
      <w:r>
        <w:rPr>
          <w:rStyle w:val="NormalTok"/>
        </w:rPr>
        <w:t xml:space="preserve">, (lo0 </w:t>
      </w:r>
      <w:r>
        <w:rPr>
          <w:rStyle w:val="OperatorTok"/>
        </w:rPr>
        <w:t xml:space="preserve">+</w:t>
      </w:r>
      <w:r>
        <w:rPr>
          <w:rStyle w:val="NormalTok"/>
        </w:rPr>
        <w:t xml:space="preserve"> lo1)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ntrolFlowTok"/>
        </w:rPr>
        <w:t xml:space="preserve">return</w:t>
      </w:r>
      <w:r>
        <w:rPr>
          <w:rStyle w:val="NormalTok"/>
        </w:rPr>
        <w:t xml:space="preserve"> [encode(clat </w:t>
      </w:r>
      <w:r>
        <w:rPr>
          <w:rStyle w:val="OperatorTok"/>
        </w:rPr>
        <w:t xml:space="preserve">+</w:t>
      </w:r>
      <w:r>
        <w:rPr>
          <w:rStyle w:val="NormalTok"/>
        </w:rPr>
        <w:t xml:space="preserve"> i </w:t>
      </w:r>
      <w:r>
        <w:rPr>
          <w:rStyle w:val="OperatorTok"/>
        </w:rPr>
        <w:t xml:space="preserve">*</w:t>
      </w:r>
      <w:r>
        <w:rPr>
          <w:rStyle w:val="NormalTok"/>
        </w:rPr>
        <w:t xml:space="preserve"> dlat, clon </w:t>
      </w:r>
      <w:r>
        <w:rPr>
          <w:rStyle w:val="OperatorTok"/>
        </w:rPr>
        <w:t xml:space="preserve">+</w:t>
      </w:r>
      <w:r>
        <w:rPr>
          <w:rStyle w:val="NormalTok"/>
        </w:rPr>
        <w:t xml:space="preserve"> j </w:t>
      </w:r>
      <w:r>
        <w:rPr>
          <w:rStyle w:val="OperatorTok"/>
        </w:rPr>
        <w:t xml:space="preserve">*</w:t>
      </w:r>
      <w:r>
        <w:rPr>
          <w:rStyle w:val="NormalTok"/>
        </w:rPr>
        <w:t xml:space="preserve"> dlon, length)</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OperatorTok"/>
        </w:rPr>
        <w:t xml:space="preserve">-</w:t>
      </w:r>
      <w:r>
        <w:rPr>
          <w:rStyle w:val="NormalTok"/>
        </w:rPr>
        <w:t xml:space="preserve">ri, ri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OperatorTok"/>
        </w:rPr>
        <w:t xml:space="preserve">-</w:t>
      </w:r>
      <w:r>
        <w:rPr>
          <w:rStyle w:val="NormalTok"/>
        </w:rPr>
        <w:t xml:space="preserve">rj, rj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KeywordTok"/>
        </w:rPr>
        <w:t xml:space="preserve">def</w:t>
      </w:r>
      <w:r>
        <w:rPr>
          <w:rStyle w:val="NormalTok"/>
        </w:rPr>
        <w:t xml:space="preserve"> haversine_km(lat1, lon1, lat2, lon2):</w:t>
      </w:r>
      <w:r>
        <w:br/>
      </w:r>
      <w:r>
        <w:rPr>
          <w:rStyle w:val="NormalTok"/>
        </w:rPr>
        <w:t xml:space="preserve">    r </w:t>
      </w:r>
      <w:r>
        <w:rPr>
          <w:rStyle w:val="OperatorTok"/>
        </w:rPr>
        <w:t xml:space="preserve">=</w:t>
      </w:r>
      <w:r>
        <w:rPr>
          <w:rStyle w:val="NormalTok"/>
        </w:rPr>
        <w:t xml:space="preserve"> </w:t>
      </w:r>
      <w:r>
        <w:rPr>
          <w:rStyle w:val="FloatTok"/>
        </w:rPr>
        <w:t xml:space="preserve">6371.0088</w:t>
      </w:r>
      <w:r>
        <w:br/>
      </w:r>
      <w:r>
        <w:rPr>
          <w:rStyle w:val="NormalTok"/>
        </w:rPr>
        <w:t xml:space="preserve">    p1, p2 </w:t>
      </w:r>
      <w:r>
        <w:rPr>
          <w:rStyle w:val="OperatorTok"/>
        </w:rPr>
        <w:t xml:space="preserve">=</w:t>
      </w:r>
      <w:r>
        <w:rPr>
          <w:rStyle w:val="NormalTok"/>
        </w:rPr>
        <w:t xml:space="preserve"> math.radians(lat1), math.radians(lat2)</w:t>
      </w:r>
      <w:r>
        <w:br/>
      </w:r>
      <w:r>
        <w:rPr>
          <w:rStyle w:val="NormalTok"/>
        </w:rPr>
        <w:t xml:space="preserve">    dp, dl </w:t>
      </w:r>
      <w:r>
        <w:rPr>
          <w:rStyle w:val="OperatorTok"/>
        </w:rPr>
        <w:t xml:space="preserve">=</w:t>
      </w:r>
      <w:r>
        <w:rPr>
          <w:rStyle w:val="NormalTok"/>
        </w:rPr>
        <w:t xml:space="preserve"> p2 </w:t>
      </w:r>
      <w:r>
        <w:rPr>
          <w:rStyle w:val="OperatorTok"/>
        </w:rPr>
        <w:t xml:space="preserve">-</w:t>
      </w:r>
      <w:r>
        <w:rPr>
          <w:rStyle w:val="NormalTok"/>
        </w:rPr>
        <w:t xml:space="preserve"> p1, math.radians(lon2 </w:t>
      </w:r>
      <w:r>
        <w:rPr>
          <w:rStyle w:val="OperatorTok"/>
        </w:rPr>
        <w:t xml:space="preserve">-</w:t>
      </w:r>
      <w:r>
        <w:rPr>
          <w:rStyle w:val="NormalTok"/>
        </w:rPr>
        <w:t xml:space="preserve"> lon1)</w:t>
      </w:r>
      <w:r>
        <w:br/>
      </w:r>
      <w:r>
        <w:rPr>
          <w:rStyle w:val="NormalTok"/>
        </w:rPr>
        <w:t xml:space="preserve">    a </w:t>
      </w:r>
      <w:r>
        <w:rPr>
          <w:rStyle w:val="OperatorTok"/>
        </w:rPr>
        <w:t xml:space="preserve">=</w:t>
      </w:r>
      <w:r>
        <w:rPr>
          <w:rStyle w:val="NormalTok"/>
        </w:rPr>
        <w:t xml:space="preserve"> math.sin(dp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math.cos(p1) </w:t>
      </w:r>
      <w:r>
        <w:rPr>
          <w:rStyle w:val="OperatorTok"/>
        </w:rPr>
        <w:t xml:space="preserve">*</w:t>
      </w:r>
      <w:r>
        <w:rPr>
          <w:rStyle w:val="NormalTok"/>
        </w:rPr>
        <w:t xml:space="preserve"> math.cos(p2) </w:t>
      </w:r>
      <w:r>
        <w:rPr>
          <w:rStyle w:val="OperatorTok"/>
        </w:rPr>
        <w:t xml:space="preserve">*</w:t>
      </w:r>
      <w:r>
        <w:rPr>
          <w:rStyle w:val="NormalTok"/>
        </w:rPr>
        <w:t xml:space="preserve"> math.sin(dl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r </w:t>
      </w:r>
      <w:r>
        <w:rPr>
          <w:rStyle w:val="OperatorTok"/>
        </w:rPr>
        <w:t xml:space="preserve">*</w:t>
      </w:r>
      <w:r>
        <w:rPr>
          <w:rStyle w:val="NormalTok"/>
        </w:rPr>
        <w:t xml:space="preserve"> math.asin(math.sqrt(a))</w:t>
      </w:r>
      <w:r>
        <w:br/>
      </w:r>
      <w:r>
        <w:br/>
      </w:r>
      <w:r>
        <w:rPr>
          <w:rStyle w:val="BuiltInTok"/>
        </w:rPr>
        <w:t xml:space="preserve">print</w:t>
      </w:r>
      <w:r>
        <w:rPr>
          <w:rStyle w:val="NormalTok"/>
        </w:rPr>
        <w:t xml:space="preserve">(</w:t>
      </w:r>
      <w:r>
        <w:rPr>
          <w:rStyle w:val="StringTok"/>
        </w:rPr>
        <w:t xml:space="preserve">"encode(57.64911, 10.40744, 11) ="</w:t>
      </w:r>
      <w:r>
        <w:rPr>
          <w:rStyle w:val="NormalTok"/>
        </w:rPr>
        <w:t xml:space="preserve">, encode(</w:t>
      </w:r>
      <w:r>
        <w:rPr>
          <w:rStyle w:val="FloatTok"/>
        </w:rPr>
        <w:t xml:space="preserve">57.64911</w:t>
      </w:r>
      <w:r>
        <w:rPr>
          <w:rStyle w:val="NormalTok"/>
        </w:rPr>
        <w:t xml:space="preserve">, </w:t>
      </w:r>
      <w:r>
        <w:rPr>
          <w:rStyle w:val="FloatTok"/>
        </w:rPr>
        <w:t xml:space="preserve">10.40744</w:t>
      </w:r>
      <w:r>
        <w:rPr>
          <w:rStyle w:val="NormalTok"/>
        </w:rPr>
        <w:t xml:space="preserve">, </w:t>
      </w:r>
      <w:r>
        <w:rPr>
          <w:rStyle w:val="DecValTok"/>
        </w:rPr>
        <w:t xml:space="preserve">11</w:t>
      </w:r>
      <w:r>
        <w:rPr>
          <w:rStyle w:val="NormalTok"/>
        </w:rPr>
        <w:t xml:space="preserve">))   </w:t>
      </w:r>
      <w:r>
        <w:rPr>
          <w:rStyle w:val="CommentTok"/>
        </w:rPr>
        <w:t xml:space="preserve"># reference: u4pruydqqvj</w:t>
      </w:r>
      <w:r>
        <w:br/>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'len'</w:t>
      </w:r>
      <w:r>
        <w:rPr>
          <w:rStyle w:val="SpecialCharTok"/>
        </w:rPr>
        <w:t xml:space="preserve">:&gt;3}</w:t>
      </w:r>
      <w:r>
        <w:rPr>
          <w:rStyle w:val="SpecialStringTok"/>
        </w:rPr>
        <w:t xml:space="preserve"> </w:t>
      </w:r>
      <w:r>
        <w:rPr>
          <w:rStyle w:val="SpecialCharTok"/>
        </w:rPr>
        <w:t xml:space="preserve">{</w:t>
      </w:r>
      <w:r>
        <w:rPr>
          <w:rStyle w:val="StringTok"/>
        </w:rPr>
        <w:t xml:space="preserve">'bits'</w:t>
      </w:r>
      <w:r>
        <w:rPr>
          <w:rStyle w:val="SpecialCharTok"/>
        </w:rPr>
        <w:t xml:space="preserve">:&gt;4}</w:t>
      </w:r>
      <w:r>
        <w:rPr>
          <w:rStyle w:val="SpecialStringTok"/>
        </w:rPr>
        <w:t xml:space="preserve"> </w:t>
      </w:r>
      <w:r>
        <w:rPr>
          <w:rStyle w:val="SpecialCharTok"/>
        </w:rPr>
        <w:t xml:space="preserve">{</w:t>
      </w:r>
      <w:r>
        <w:rPr>
          <w:rStyle w:val="StringTok"/>
        </w:rPr>
        <w:t xml:space="preserve">'cell width (equator)'</w:t>
      </w:r>
      <w:r>
        <w:rPr>
          <w:rStyle w:val="SpecialCharTok"/>
        </w:rPr>
        <w:t xml:space="preserve">:&gt;21}</w:t>
      </w:r>
      <w:r>
        <w:rPr>
          <w:rStyle w:val="SpecialStringTok"/>
        </w:rPr>
        <w:t xml:space="preserve"> </w:t>
      </w:r>
      <w:r>
        <w:rPr>
          <w:rStyle w:val="SpecialCharTok"/>
        </w:rPr>
        <w:t xml:space="preserve">{</w:t>
      </w:r>
      <w:r>
        <w:rPr>
          <w:rStyle w:val="StringTok"/>
        </w:rPr>
        <w:t xml:space="preserve">'cell height'</w:t>
      </w:r>
      <w:r>
        <w:rPr>
          <w:rStyle w:val="SpecialCharTok"/>
        </w:rPr>
        <w:t xml:space="preserve">:&gt;12}</w:t>
      </w:r>
      <w:r>
        <w:rPr>
          <w:rStyle w:val="SpecialStringTok"/>
        </w:rPr>
        <w:t xml:space="preserve">"</w:t>
      </w:r>
      <w:r>
        <w:rPr>
          <w:rStyle w:val="NormalTok"/>
        </w:rPr>
        <w:t xml:space="preserve">)</w:t>
      </w:r>
      <w:r>
        <w:br/>
      </w:r>
      <w:r>
        <w:rPr>
          <w:rStyle w:val="ControlFlowTok"/>
        </w:rPr>
        <w:t xml:space="preserve">for</w:t>
      </w:r>
      <w:r>
        <w:rPr>
          <w:rStyle w:val="NormalTok"/>
        </w:rPr>
        <w:t xml:space="preserve"> length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11</w:t>
      </w:r>
      <w:r>
        <w:rPr>
          <w:rStyle w:val="NormalTok"/>
        </w:rPr>
        <w:t xml:space="preserve">):</w:t>
      </w:r>
      <w:r>
        <w:br/>
      </w:r>
      <w:r>
        <w:rPr>
          <w:rStyle w:val="NormalTok"/>
        </w:rPr>
        <w:t xml:space="preserve">    lon_bits </w:t>
      </w:r>
      <w:r>
        <w:rPr>
          <w:rStyle w:val="OperatorTok"/>
        </w:rPr>
        <w:t xml:space="preserve">=</w:t>
      </w:r>
      <w:r>
        <w:rPr>
          <w:rStyle w:val="NormalTok"/>
        </w:rPr>
        <w:t xml:space="preserve"> math.ceil(</w:t>
      </w:r>
      <w:r>
        <w:rPr>
          <w:rStyle w:val="DecValTok"/>
        </w:rPr>
        <w:t xml:space="preserve">5</w:t>
      </w:r>
      <w:r>
        <w:rPr>
          <w:rStyle w:val="NormalTok"/>
        </w:rPr>
        <w:t xml:space="preserve"> </w:t>
      </w:r>
      <w:r>
        <w:rPr>
          <w:rStyle w:val="OperatorTok"/>
        </w:rPr>
        <w:t xml:space="preserve">*</w:t>
      </w:r>
      <w:r>
        <w:rPr>
          <w:rStyle w:val="NormalTok"/>
        </w:rPr>
        <w:t xml:space="preserve"> length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lat_bits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length </w:t>
      </w:r>
      <w:r>
        <w:rPr>
          <w:rStyle w:val="OperatorTok"/>
        </w:rPr>
        <w:t xml:space="preserve">//</w:t>
      </w:r>
      <w:r>
        <w:rPr>
          <w:rStyle w:val="NormalTok"/>
        </w:rPr>
        <w:t xml:space="preserve"> </w:t>
      </w:r>
      <w:r>
        <w:rPr>
          <w:rStyle w:val="DecValTok"/>
        </w:rPr>
        <w:t xml:space="preserve">2</w:t>
      </w:r>
      <w:r>
        <w:br/>
      </w:r>
      <w:r>
        <w:rPr>
          <w:rStyle w:val="NormalTok"/>
        </w:rPr>
        <w:t xml:space="preserve">    w_km </w:t>
      </w:r>
      <w:r>
        <w:rPr>
          <w:rStyle w:val="OperatorTok"/>
        </w:rPr>
        <w:t xml:space="preserve">=</w:t>
      </w:r>
      <w:r>
        <w:rPr>
          <w:rStyle w:val="NormalTok"/>
        </w:rPr>
        <w:t xml:space="preserve"> </w:t>
      </w:r>
      <w:r>
        <w:rPr>
          <w:rStyle w:val="DecValTok"/>
        </w:rPr>
        <w:t xml:space="preserve">360</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lon_bits </w:t>
      </w:r>
      <w:r>
        <w:rPr>
          <w:rStyle w:val="OperatorTok"/>
        </w:rPr>
        <w:t xml:space="preserve">*</w:t>
      </w:r>
      <w:r>
        <w:rPr>
          <w:rStyle w:val="NormalTok"/>
        </w:rPr>
        <w:t xml:space="preserve"> </w:t>
      </w:r>
      <w:r>
        <w:rPr>
          <w:rStyle w:val="FloatTok"/>
        </w:rPr>
        <w:t xml:space="preserve">111.32</w:t>
      </w:r>
      <w:r>
        <w:br/>
      </w:r>
      <w:r>
        <w:rPr>
          <w:rStyle w:val="NormalTok"/>
        </w:rPr>
        <w:t xml:space="preserve">    h_km </w:t>
      </w:r>
      <w:r>
        <w:rPr>
          <w:rStyle w:val="OperatorTok"/>
        </w:rPr>
        <w:t xml:space="preserve">=</w:t>
      </w:r>
      <w:r>
        <w:rPr>
          <w:rStyle w:val="NormalTok"/>
        </w:rPr>
        <w:t xml:space="preserve"> </w:t>
      </w:r>
      <w:r>
        <w:rPr>
          <w:rStyle w:val="DecValTok"/>
        </w:rPr>
        <w:t xml:space="preserve">180</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lat_bits </w:t>
      </w:r>
      <w:r>
        <w:rPr>
          <w:rStyle w:val="OperatorTok"/>
        </w:rPr>
        <w:t xml:space="preserve">*</w:t>
      </w:r>
      <w:r>
        <w:rPr>
          <w:rStyle w:val="NormalTok"/>
        </w:rPr>
        <w:t xml:space="preserve"> </w:t>
      </w:r>
      <w:r>
        <w:rPr>
          <w:rStyle w:val="FloatTok"/>
        </w:rPr>
        <w:t xml:space="preserve">110.57</w:t>
      </w:r>
      <w:r>
        <w:br/>
      </w:r>
      <w:r>
        <w:rPr>
          <w:rStyle w:val="NormalTok"/>
        </w:rPr>
        <w:t xml:space="preserve">    fmt </w:t>
      </w:r>
      <w:r>
        <w:rPr>
          <w:rStyle w:val="OperatorTok"/>
        </w:rPr>
        <w:t xml:space="preserve">=</w:t>
      </w:r>
      <w:r>
        <w:rPr>
          <w:rStyle w:val="NormalTok"/>
        </w:rPr>
        <w:t xml:space="preserve"> </w:t>
      </w:r>
      <w:r>
        <w:rPr>
          <w:rStyle w:val="KeywordTok"/>
        </w:rPr>
        <w:t xml:space="preserve">lambda</w:t>
      </w:r>
      <w:r>
        <w:rPr>
          <w:rStyle w:val="NormalTok"/>
        </w:rPr>
        <w:t xml:space="preserve"> km: </w:t>
      </w:r>
      <w:r>
        <w:rPr>
          <w:rStyle w:val="SpecialStringTok"/>
        </w:rPr>
        <w:t xml:space="preserve">f"</w:t>
      </w:r>
      <w:r>
        <w:rPr>
          <w:rStyle w:val="SpecialCharTok"/>
        </w:rPr>
        <w:t xml:space="preserve">{</w:t>
      </w:r>
      <w:r>
        <w:rPr>
          <w:rStyle w:val="NormalTok"/>
        </w:rPr>
        <w:t xml:space="preserve">km</w:t>
      </w:r>
      <w:r>
        <w:rPr>
          <w:rStyle w:val="SpecialCharTok"/>
        </w:rPr>
        <w:t xml:space="preserve">:,.1f}</w:t>
      </w:r>
      <w:r>
        <w:rPr>
          <w:rStyle w:val="SpecialStringTok"/>
        </w:rPr>
        <w:t xml:space="preserve"> km"</w:t>
      </w:r>
      <w:r>
        <w:rPr>
          <w:rStyle w:val="NormalTok"/>
        </w:rPr>
        <w:t xml:space="preserve"> </w:t>
      </w:r>
      <w:r>
        <w:rPr>
          <w:rStyle w:val="ControlFlowTok"/>
        </w:rPr>
        <w:t xml:space="preserve">if</w:t>
      </w:r>
      <w:r>
        <w:rPr>
          <w:rStyle w:val="NormalTok"/>
        </w:rPr>
        <w:t xml:space="preserve"> km </w:t>
      </w:r>
      <w:r>
        <w:rPr>
          <w:rStyle w:val="OperatorTok"/>
        </w:rPr>
        <w:t xml:space="preserve">&gt;=</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SpecialStringTok"/>
        </w:rPr>
        <w:t xml:space="preserve">f"</w:t>
      </w:r>
      <w:r>
        <w:rPr>
          <w:rStyle w:val="SpecialCharTok"/>
        </w:rPr>
        <w:t xml:space="preserve">{</w:t>
      </w:r>
      <w:r>
        <w:rPr>
          <w:rStyle w:val="NormalTok"/>
        </w:rPr>
        <w:t xml:space="preserve">km </w:t>
      </w:r>
      <w:r>
        <w:rPr>
          <w:rStyle w:val="OperatorTok"/>
        </w:rPr>
        <w:t xml:space="preserve">*</w:t>
      </w:r>
      <w:r>
        <w:rPr>
          <w:rStyle w:val="NormalTok"/>
        </w:rPr>
        <w:t xml:space="preserve"> </w:t>
      </w:r>
      <w:r>
        <w:rPr>
          <w:rStyle w:val="DecValTok"/>
        </w:rPr>
        <w:t xml:space="preserve">1000</w:t>
      </w:r>
      <w:r>
        <w:rPr>
          <w:rStyle w:val="SpecialCharTok"/>
        </w:rPr>
        <w:t xml:space="preserve">:,.2f}</w:t>
      </w:r>
      <w:r>
        <w:rPr>
          <w:rStyle w:val="SpecialStringTok"/>
        </w:rPr>
        <w:t xml:space="preserve"> m"</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length</w:t>
      </w:r>
      <w:r>
        <w:rPr>
          <w:rStyle w:val="SpecialCharTok"/>
        </w:rPr>
        <w:t xml:space="preserve">:3d}</w:t>
      </w:r>
      <w:r>
        <w:rPr>
          <w:rStyle w:val="SpecialStringTok"/>
        </w:rPr>
        <w:t xml:space="preserve"> </w:t>
      </w:r>
      <w:r>
        <w:rPr>
          <w:rStyle w:val="SpecialCharTok"/>
        </w:rPr>
        <w:t xml:space="preserve">{</w:t>
      </w:r>
      <w:r>
        <w:rPr>
          <w:rStyle w:val="DecValTok"/>
        </w:rPr>
        <w:t xml:space="preserve">5</w:t>
      </w:r>
      <w:r>
        <w:rPr>
          <w:rStyle w:val="NormalTok"/>
        </w:rPr>
        <w:t xml:space="preserve"> </w:t>
      </w:r>
      <w:r>
        <w:rPr>
          <w:rStyle w:val="OperatorTok"/>
        </w:rPr>
        <w:t xml:space="preserve">*</w:t>
      </w:r>
      <w:r>
        <w:rPr>
          <w:rStyle w:val="NormalTok"/>
        </w:rPr>
        <w:t xml:space="preserve"> length</w:t>
      </w:r>
      <w:r>
        <w:rPr>
          <w:rStyle w:val="SpecialCharTok"/>
        </w:rPr>
        <w:t xml:space="preserve">:4d}</w:t>
      </w:r>
      <w:r>
        <w:rPr>
          <w:rStyle w:val="SpecialStringTok"/>
        </w:rPr>
        <w:t xml:space="preserve"> </w:t>
      </w:r>
      <w:r>
        <w:rPr>
          <w:rStyle w:val="SpecialCharTok"/>
        </w:rPr>
        <w:t xml:space="preserve">{</w:t>
      </w:r>
      <w:r>
        <w:rPr>
          <w:rStyle w:val="NormalTok"/>
        </w:rPr>
        <w:t xml:space="preserve">fmt(w_km)</w:t>
      </w:r>
      <w:r>
        <w:rPr>
          <w:rStyle w:val="SpecialCharTok"/>
        </w:rPr>
        <w:t xml:space="preserve">:&gt;21}</w:t>
      </w:r>
      <w:r>
        <w:rPr>
          <w:rStyle w:val="SpecialStringTok"/>
        </w:rPr>
        <w:t xml:space="preserve"> </w:t>
      </w:r>
      <w:r>
        <w:rPr>
          <w:rStyle w:val="SpecialCharTok"/>
        </w:rPr>
        <w:t xml:space="preserve">{</w:t>
      </w:r>
      <w:r>
        <w:rPr>
          <w:rStyle w:val="NormalTok"/>
        </w:rPr>
        <w:t xml:space="preserve">fmt(h_km)</w:t>
      </w:r>
      <w:r>
        <w:rPr>
          <w:rStyle w:val="SpecialCharTok"/>
        </w:rPr>
        <w:t xml:space="preserve">:&gt;12}</w:t>
      </w:r>
      <w:r>
        <w:rPr>
          <w:rStyle w:val="SpecialStringTok"/>
        </w:rPr>
        <w:t xml:space="preserve">"</w:t>
      </w:r>
      <w:r>
        <w:rPr>
          <w:rStyle w:val="NormalTok"/>
        </w:rPr>
        <w:t xml:space="preserve">)</w:t>
      </w:r>
      <w:r>
        <w:br/>
      </w:r>
      <w:r>
        <w:br/>
      </w:r>
      <w:r>
        <w:rPr>
          <w:rStyle w:val="CommentTok"/>
        </w:rPr>
        <w:t xml:space="preserve"># Proximity search: 200,000 drivers around San Francisco; find those within 1 km of a rider</w:t>
      </w:r>
      <w:r>
        <w:br/>
      </w:r>
      <w:r>
        <w:rPr>
          <w:rStyle w:val="NormalTok"/>
        </w:rPr>
        <w:t xml:space="preserve">rng </w:t>
      </w:r>
      <w:r>
        <w:rPr>
          <w:rStyle w:val="OperatorTok"/>
        </w:rPr>
        <w:t xml:space="preserve">=</w:t>
      </w:r>
      <w:r>
        <w:rPr>
          <w:rStyle w:val="NormalTok"/>
        </w:rPr>
        <w:t xml:space="preserve"> random.Random(</w:t>
      </w:r>
      <w:r>
        <w:rPr>
          <w:rStyle w:val="DecValTok"/>
        </w:rPr>
        <w:t xml:space="preserve">3</w:t>
      </w:r>
      <w:r>
        <w:rPr>
          <w:rStyle w:val="NormalTok"/>
        </w:rPr>
        <w:t xml:space="preserve">)</w:t>
      </w:r>
      <w:r>
        <w:br/>
      </w:r>
      <w:r>
        <w:rPr>
          <w:rStyle w:val="NormalTok"/>
        </w:rPr>
        <w:t xml:space="preserve">drivers </w:t>
      </w:r>
      <w:r>
        <w:rPr>
          <w:rStyle w:val="OperatorTok"/>
        </w:rPr>
        <w:t xml:space="preserve">=</w:t>
      </w:r>
      <w:r>
        <w:rPr>
          <w:rStyle w:val="NormalTok"/>
        </w:rPr>
        <w:t xml:space="preserve"> [(</w:t>
      </w:r>
      <w:r>
        <w:rPr>
          <w:rStyle w:val="FloatTok"/>
        </w:rPr>
        <w:t xml:space="preserve">37.70</w:t>
      </w:r>
      <w:r>
        <w:rPr>
          <w:rStyle w:val="NormalTok"/>
        </w:rPr>
        <w:t xml:space="preserve"> </w:t>
      </w:r>
      <w:r>
        <w:rPr>
          <w:rStyle w:val="OperatorTok"/>
        </w:rPr>
        <w:t xml:space="preserve">+</w:t>
      </w:r>
      <w:r>
        <w:rPr>
          <w:rStyle w:val="NormalTok"/>
        </w:rPr>
        <w:t xml:space="preserve"> rng.random() </w:t>
      </w:r>
      <w:r>
        <w:rPr>
          <w:rStyle w:val="OperatorTok"/>
        </w:rPr>
        <w:t xml:space="preserve">*</w:t>
      </w:r>
      <w:r>
        <w:rPr>
          <w:rStyle w:val="NormalTok"/>
        </w:rPr>
        <w:t xml:space="preserve"> </w:t>
      </w:r>
      <w:r>
        <w:rPr>
          <w:rStyle w:val="FloatTok"/>
        </w:rPr>
        <w:t xml:space="preserve">0.12</w:t>
      </w:r>
      <w:r>
        <w:rPr>
          <w:rStyle w:val="NormalTok"/>
        </w:rPr>
        <w:t xml:space="preserve">, </w:t>
      </w:r>
      <w:r>
        <w:rPr>
          <w:rStyle w:val="OperatorTok"/>
        </w:rPr>
        <w:t xml:space="preserve">-</w:t>
      </w:r>
      <w:r>
        <w:rPr>
          <w:rStyle w:val="FloatTok"/>
        </w:rPr>
        <w:t xml:space="preserve">122.52</w:t>
      </w:r>
      <w:r>
        <w:rPr>
          <w:rStyle w:val="NormalTok"/>
        </w:rPr>
        <w:t xml:space="preserve"> </w:t>
      </w:r>
      <w:r>
        <w:rPr>
          <w:rStyle w:val="OperatorTok"/>
        </w:rPr>
        <w:t xml:space="preserve">+</w:t>
      </w:r>
      <w:r>
        <w:rPr>
          <w:rStyle w:val="NormalTok"/>
        </w:rPr>
        <w:t xml:space="preserve"> rng.random() </w:t>
      </w:r>
      <w:r>
        <w:rPr>
          <w:rStyle w:val="OperatorTok"/>
        </w:rPr>
        <w:t xml:space="preserve">*</w:t>
      </w:r>
      <w:r>
        <w:rPr>
          <w:rStyle w:val="NormalTok"/>
        </w:rPr>
        <w:t xml:space="preserve"> </w:t>
      </w:r>
      <w:r>
        <w:rPr>
          <w:rStyle w:val="FloatTok"/>
        </w:rPr>
        <w:t xml:space="preserve">0.14</w:t>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200_000</w:t>
      </w:r>
      <w:r>
        <w:rPr>
          <w:rStyle w:val="NormalTok"/>
        </w:rPr>
        <w:t xml:space="preserve">)]</w:t>
      </w:r>
      <w:r>
        <w:br/>
      </w:r>
      <w:r>
        <w:rPr>
          <w:rStyle w:val="NormalTok"/>
        </w:rPr>
        <w:t xml:space="preserve">rider </w:t>
      </w:r>
      <w:r>
        <w:rPr>
          <w:rStyle w:val="OperatorTok"/>
        </w:rPr>
        <w:t xml:space="preserve">=</w:t>
      </w:r>
      <w:r>
        <w:rPr>
          <w:rStyle w:val="NormalTok"/>
        </w:rPr>
        <w:t xml:space="preserve"> (</w:t>
      </w:r>
      <w:r>
        <w:rPr>
          <w:rStyle w:val="FloatTok"/>
        </w:rPr>
        <w:t xml:space="preserve">37.7749</w:t>
      </w:r>
      <w:r>
        <w:rPr>
          <w:rStyle w:val="NormalTok"/>
        </w:rPr>
        <w:t xml:space="preserve">, </w:t>
      </w:r>
      <w:r>
        <w:rPr>
          <w:rStyle w:val="OperatorTok"/>
        </w:rPr>
        <w:t xml:space="preserve">-</w:t>
      </w:r>
      <w:r>
        <w:rPr>
          <w:rStyle w:val="FloatTok"/>
        </w:rPr>
        <w:t xml:space="preserve">122.4194</w:t>
      </w:r>
      <w:r>
        <w:rPr>
          <w:rStyle w:val="NormalTok"/>
        </w:rPr>
        <w:t xml:space="preserve">)</w:t>
      </w:r>
      <w:r>
        <w:br/>
      </w:r>
      <w:r>
        <w:rPr>
          <w:rStyle w:val="NormalTok"/>
        </w:rPr>
        <w:t xml:space="preserve">truth </w:t>
      </w:r>
      <w:r>
        <w:rPr>
          <w:rStyle w:val="OperatorTok"/>
        </w:rPr>
        <w:t xml:space="preserve">=</w:t>
      </w:r>
      <w:r>
        <w:rPr>
          <w:rStyle w:val="NormalTok"/>
        </w:rPr>
        <w:t xml:space="preserve"> {i </w:t>
      </w:r>
      <w:r>
        <w:rPr>
          <w:rStyle w:val="ControlFlowTok"/>
        </w:rPr>
        <w:t xml:space="preserve">for</w:t>
      </w:r>
      <w:r>
        <w:rPr>
          <w:rStyle w:val="NormalTok"/>
        </w:rPr>
        <w:t xml:space="preserve"> i, d </w:t>
      </w:r>
      <w:r>
        <w:rPr>
          <w:rStyle w:val="KeywordTok"/>
        </w:rPr>
        <w:t xml:space="preserve">in</w:t>
      </w:r>
      <w:r>
        <w:rPr>
          <w:rStyle w:val="NormalTok"/>
        </w:rPr>
        <w:t xml:space="preserve"> </w:t>
      </w:r>
      <w:r>
        <w:rPr>
          <w:rStyle w:val="BuiltInTok"/>
        </w:rPr>
        <w:t xml:space="preserve">enumerate</w:t>
      </w:r>
      <w:r>
        <w:rPr>
          <w:rStyle w:val="NormalTok"/>
        </w:rPr>
        <w:t xml:space="preserve">(drivers) </w:t>
      </w:r>
      <w:r>
        <w:rPr>
          <w:rStyle w:val="ControlFlowTok"/>
        </w:rPr>
        <w:t xml:space="preserve">if</w:t>
      </w:r>
      <w:r>
        <w:rPr>
          <w:rStyle w:val="NormalTok"/>
        </w:rPr>
        <w:t xml:space="preserve"> haversine_km(</w:t>
      </w:r>
      <w:r>
        <w:rPr>
          <w:rStyle w:val="OperatorTok"/>
        </w:rPr>
        <w:t xml:space="preserve">*</w:t>
      </w:r>
      <w:r>
        <w:rPr>
          <w:rStyle w:val="NormalTok"/>
        </w:rPr>
        <w:t xml:space="preserve">rider, </w:t>
      </w:r>
      <w:r>
        <w:rPr>
          <w:rStyle w:val="OperatorTok"/>
        </w:rPr>
        <w:t xml:space="preserve">*</w:t>
      </w:r>
      <w:r>
        <w:rPr>
          <w:rStyle w:val="NormalTok"/>
        </w:rPr>
        <w:t xml:space="preserve">d) </w:t>
      </w:r>
      <w:r>
        <w:rPr>
          <w:rStyle w:val="OperatorTok"/>
        </w:rPr>
        <w:t xml:space="preserve">&lt;=</w:t>
      </w:r>
      <w:r>
        <w:rPr>
          <w:rStyle w:val="NormalTok"/>
        </w:rPr>
        <w:t xml:space="preserve"> </w:t>
      </w:r>
      <w:r>
        <w:rPr>
          <w:rStyle w:val="FloatTok"/>
        </w:rPr>
        <w:t xml:space="preserve">1.0</w:t>
      </w:r>
      <w:r>
        <w:rPr>
          <w:rStyle w:val="NormalTok"/>
        </w:rPr>
        <w:t xml:space="preserve">}</w:t>
      </w:r>
      <w:r>
        <w:br/>
      </w:r>
      <w:r>
        <w:rPr>
          <w:rStyle w:val="ControlFlowTok"/>
        </w:rPr>
        <w:t xml:space="preserve">for</w:t>
      </w:r>
      <w:r>
        <w:rPr>
          <w:rStyle w:val="NormalTok"/>
        </w:rPr>
        <w:t xml:space="preserve"> P, method </w:t>
      </w:r>
      <w:r>
        <w:rPr>
          <w:rStyle w:val="KeywordTok"/>
        </w:rPr>
        <w:t xml:space="preserve">in</w:t>
      </w:r>
      <w:r>
        <w:rPr>
          <w:rStyle w:val="NormalTok"/>
        </w:rPr>
        <w:t xml:space="preserve"> ((</w:t>
      </w:r>
      <w:r>
        <w:rPr>
          <w:rStyle w:val="DecValTok"/>
        </w:rPr>
        <w:t xml:space="preserve">6</w:t>
      </w:r>
      <w:r>
        <w:rPr>
          <w:rStyle w:val="NormalTok"/>
        </w:rPr>
        <w:t xml:space="preserve">, </w:t>
      </w:r>
      <w:r>
        <w:rPr>
          <w:rStyle w:val="StringTok"/>
        </w:rPr>
        <w:t xml:space="preserve">"3x3"</w:t>
      </w:r>
      <w:r>
        <w:rPr>
          <w:rStyle w:val="NormalTok"/>
        </w:rPr>
        <w:t xml:space="preserve">), (</w:t>
      </w:r>
      <w:r>
        <w:rPr>
          <w:rStyle w:val="DecValTok"/>
        </w:rPr>
        <w:t xml:space="preserve">5</w:t>
      </w:r>
      <w:r>
        <w:rPr>
          <w:rStyle w:val="NormalTok"/>
        </w:rPr>
        <w:t xml:space="preserve">, </w:t>
      </w:r>
      <w:r>
        <w:rPr>
          <w:rStyle w:val="StringTok"/>
        </w:rPr>
        <w:t xml:space="preserve">"3x3"</w:t>
      </w:r>
      <w:r>
        <w:rPr>
          <w:rStyle w:val="NormalTok"/>
        </w:rPr>
        <w:t xml:space="preserve">), (</w:t>
      </w:r>
      <w:r>
        <w:rPr>
          <w:rStyle w:val="DecValTok"/>
        </w:rPr>
        <w:t xml:space="preserve">6</w:t>
      </w:r>
      <w:r>
        <w:rPr>
          <w:rStyle w:val="NormalTok"/>
        </w:rPr>
        <w:t xml:space="preserve">, </w:t>
      </w:r>
      <w:r>
        <w:rPr>
          <w:rStyle w:val="StringTok"/>
        </w:rPr>
        <w:t xml:space="preserve">"cover"</w:t>
      </w:r>
      <w:r>
        <w:rPr>
          <w:rStyle w:val="NormalTok"/>
        </w:rPr>
        <w:t xml:space="preserve">)):</w:t>
      </w:r>
      <w:r>
        <w:br/>
      </w:r>
      <w:r>
        <w:rPr>
          <w:rStyle w:val="NormalTok"/>
        </w:rPr>
        <w:t xml:space="preserve">    index </w:t>
      </w:r>
      <w:r>
        <w:rPr>
          <w:rStyle w:val="OperatorTok"/>
        </w:rPr>
        <w:t xml:space="preserve">=</w:t>
      </w:r>
      <w:r>
        <w:rPr>
          <w:rStyle w:val="NormalTok"/>
        </w:rPr>
        <w:t xml:space="preserve"> defaultdict(</w:t>
      </w:r>
      <w:r>
        <w:rPr>
          <w:rStyle w:val="BuiltInTok"/>
        </w:rPr>
        <w:t xml:space="preserve">list</w:t>
      </w:r>
      <w:r>
        <w:rPr>
          <w:rStyle w:val="NormalTok"/>
        </w:rPr>
        <w:t xml:space="preserve">)                        </w:t>
      </w:r>
      <w:r>
        <w:rPr>
          <w:rStyle w:val="CommentTok"/>
        </w:rPr>
        <w:t xml:space="preserve"># geohash -&gt; driver ids (in production: a sorted key range)</w:t>
      </w:r>
      <w:r>
        <w:br/>
      </w:r>
      <w:r>
        <w:rPr>
          <w:rStyle w:val="NormalTok"/>
        </w:rPr>
        <w:t xml:space="preserve">    </w:t>
      </w:r>
      <w:r>
        <w:rPr>
          <w:rStyle w:val="ControlFlowTok"/>
        </w:rPr>
        <w:t xml:space="preserve">for</w:t>
      </w:r>
      <w:r>
        <w:rPr>
          <w:rStyle w:val="NormalTok"/>
        </w:rPr>
        <w:t xml:space="preserve"> i, (lat, lon) </w:t>
      </w:r>
      <w:r>
        <w:rPr>
          <w:rStyle w:val="KeywordTok"/>
        </w:rPr>
        <w:t xml:space="preserve">in</w:t>
      </w:r>
      <w:r>
        <w:rPr>
          <w:rStyle w:val="NormalTok"/>
        </w:rPr>
        <w:t xml:space="preserve"> </w:t>
      </w:r>
      <w:r>
        <w:rPr>
          <w:rStyle w:val="BuiltInTok"/>
        </w:rPr>
        <w:t xml:space="preserve">enumerate</w:t>
      </w:r>
      <w:r>
        <w:rPr>
          <w:rStyle w:val="NormalTok"/>
        </w:rPr>
        <w:t xml:space="preserve">(drivers):</w:t>
      </w:r>
      <w:r>
        <w:br/>
      </w:r>
      <w:r>
        <w:rPr>
          <w:rStyle w:val="NormalTok"/>
        </w:rPr>
        <w:t xml:space="preserve">        index[encode(lat, lon, P)].append(i)</w:t>
      </w:r>
      <w:r>
        <w:br/>
      </w:r>
      <w:r>
        <w:rPr>
          <w:rStyle w:val="NormalTok"/>
        </w:rPr>
        <w:t xml:space="preserve">    cell </w:t>
      </w:r>
      <w:r>
        <w:rPr>
          <w:rStyle w:val="OperatorTok"/>
        </w:rPr>
        <w:t xml:space="preserve">=</w:t>
      </w:r>
      <w:r>
        <w:rPr>
          <w:rStyle w:val="NormalTok"/>
        </w:rPr>
        <w:t xml:space="preserve"> encode(</w:t>
      </w:r>
      <w:r>
        <w:rPr>
          <w:rStyle w:val="OperatorTok"/>
        </w:rPr>
        <w:t xml:space="preserve">*</w:t>
      </w:r>
      <w:r>
        <w:rPr>
          <w:rStyle w:val="NormalTok"/>
        </w:rPr>
        <w:t xml:space="preserve">rider, P)</w:t>
      </w:r>
      <w:r>
        <w:br/>
      </w:r>
      <w:r>
        <w:rPr>
          <w:rStyle w:val="NormalTok"/>
        </w:rPr>
        <w:t xml:space="preserve">    cells </w:t>
      </w:r>
      <w:r>
        <w:rPr>
          <w:rStyle w:val="OperatorTok"/>
        </w:rPr>
        <w:t xml:space="preserve">=</w:t>
      </w:r>
      <w:r>
        <w:rPr>
          <w:rStyle w:val="NormalTok"/>
        </w:rPr>
        <w:t xml:space="preserve"> [cell] </w:t>
      </w:r>
      <w:r>
        <w:rPr>
          <w:rStyle w:val="OperatorTok"/>
        </w:rPr>
        <w:t xml:space="preserve">+</w:t>
      </w:r>
      <w:r>
        <w:rPr>
          <w:rStyle w:val="NormalTok"/>
        </w:rPr>
        <w:t xml:space="preserve"> neighbors(cell) </w:t>
      </w:r>
      <w:r>
        <w:rPr>
          <w:rStyle w:val="ControlFlowTok"/>
        </w:rPr>
        <w:t xml:space="preserve">if</w:t>
      </w:r>
      <w:r>
        <w:rPr>
          <w:rStyle w:val="NormalTok"/>
        </w:rPr>
        <w:t xml:space="preserve"> method </w:t>
      </w:r>
      <w:r>
        <w:rPr>
          <w:rStyle w:val="OperatorTok"/>
        </w:rPr>
        <w:t xml:space="preserve">==</w:t>
      </w:r>
      <w:r>
        <w:rPr>
          <w:rStyle w:val="NormalTok"/>
        </w:rPr>
        <w:t xml:space="preserve"> </w:t>
      </w:r>
      <w:r>
        <w:rPr>
          <w:rStyle w:val="StringTok"/>
        </w:rPr>
        <w:t xml:space="preserve">"3x3"</w:t>
      </w:r>
      <w:r>
        <w:rPr>
          <w:rStyle w:val="NormalTok"/>
        </w:rPr>
        <w:t xml:space="preserve"> </w:t>
      </w:r>
      <w:r>
        <w:rPr>
          <w:rStyle w:val="ControlFlowTok"/>
        </w:rPr>
        <w:t xml:space="preserve">else</w:t>
      </w:r>
      <w:r>
        <w:rPr>
          <w:rStyle w:val="NormalTok"/>
        </w:rPr>
        <w:t xml:space="preserve"> covering(</w:t>
      </w:r>
      <w:r>
        <w:rPr>
          <w:rStyle w:val="OperatorTok"/>
        </w:rPr>
        <w:t xml:space="preserve">*</w:t>
      </w:r>
      <w:r>
        <w:rPr>
          <w:rStyle w:val="NormalTok"/>
        </w:rPr>
        <w:t xml:space="preserve">rider, </w:t>
      </w:r>
      <w:r>
        <w:rPr>
          <w:rStyle w:val="FloatTok"/>
        </w:rPr>
        <w:t xml:space="preserve">1.0</w:t>
      </w:r>
      <w:r>
        <w:rPr>
          <w:rStyle w:val="NormalTok"/>
        </w:rPr>
        <w:t xml:space="preserve">, P)</w:t>
      </w:r>
      <w:r>
        <w:br/>
      </w:r>
      <w:r>
        <w:rPr>
          <w:rStyle w:val="NormalTok"/>
        </w:rPr>
        <w:t xml:space="preserve">    candidates </w:t>
      </w:r>
      <w:r>
        <w:rPr>
          <w:rStyle w:val="OperatorTok"/>
        </w:rPr>
        <w:t xml:space="preserve">=</w:t>
      </w:r>
      <w:r>
        <w:rPr>
          <w:rStyle w:val="NormalTok"/>
        </w:rPr>
        <w:t xml:space="preserve"> [i </w:t>
      </w:r>
      <w:r>
        <w:rPr>
          <w:rStyle w:val="ControlFlowTok"/>
        </w:rPr>
        <w:t xml:space="preserve">for</w:t>
      </w:r>
      <w:r>
        <w:rPr>
          <w:rStyle w:val="NormalTok"/>
        </w:rPr>
        <w:t xml:space="preserve"> c </w:t>
      </w:r>
      <w:r>
        <w:rPr>
          <w:rStyle w:val="KeywordTok"/>
        </w:rPr>
        <w:t xml:space="preserve">in</w:t>
      </w:r>
      <w:r>
        <w:rPr>
          <w:rStyle w:val="NormalTok"/>
        </w:rPr>
        <w:t xml:space="preserve"> cells </w:t>
      </w:r>
      <w:r>
        <w:rPr>
          <w:rStyle w:val="ControlFlowTok"/>
        </w:rPr>
        <w:t xml:space="preserve">for</w:t>
      </w:r>
      <w:r>
        <w:rPr>
          <w:rStyle w:val="NormalTok"/>
        </w:rPr>
        <w:t xml:space="preserve"> i </w:t>
      </w:r>
      <w:r>
        <w:rPr>
          <w:rStyle w:val="KeywordTok"/>
        </w:rPr>
        <w:t xml:space="preserve">in</w:t>
      </w:r>
      <w:r>
        <w:rPr>
          <w:rStyle w:val="NormalTok"/>
        </w:rPr>
        <w:t xml:space="preserve"> index[c]]</w:t>
      </w:r>
      <w:r>
        <w:br/>
      </w:r>
      <w:r>
        <w:rPr>
          <w:rStyle w:val="NormalTok"/>
        </w:rPr>
        <w:t xml:space="preserve">    hits </w:t>
      </w:r>
      <w:r>
        <w:rPr>
          <w:rStyle w:val="OperatorTok"/>
        </w:rPr>
        <w:t xml:space="preserve">=</w:t>
      </w:r>
      <w:r>
        <w:rPr>
          <w:rStyle w:val="NormalTok"/>
        </w:rPr>
        <w:t xml:space="preserve"> {i </w:t>
      </w:r>
      <w:r>
        <w:rPr>
          <w:rStyle w:val="ControlFlowTok"/>
        </w:rPr>
        <w:t xml:space="preserve">for</w:t>
      </w:r>
      <w:r>
        <w:rPr>
          <w:rStyle w:val="NormalTok"/>
        </w:rPr>
        <w:t xml:space="preserve"> i </w:t>
      </w:r>
      <w:r>
        <w:rPr>
          <w:rStyle w:val="KeywordTok"/>
        </w:rPr>
        <w:t xml:space="preserve">in</w:t>
      </w:r>
      <w:r>
        <w:rPr>
          <w:rStyle w:val="NormalTok"/>
        </w:rPr>
        <w:t xml:space="preserve"> candidates </w:t>
      </w:r>
      <w:r>
        <w:rPr>
          <w:rStyle w:val="ControlFlowTok"/>
        </w:rPr>
        <w:t xml:space="preserve">if</w:t>
      </w:r>
      <w:r>
        <w:rPr>
          <w:rStyle w:val="NormalTok"/>
        </w:rPr>
        <w:t xml:space="preserve"> haversine_km(</w:t>
      </w:r>
      <w:r>
        <w:rPr>
          <w:rStyle w:val="OperatorTok"/>
        </w:rPr>
        <w:t xml:space="preserve">*</w:t>
      </w:r>
      <w:r>
        <w:rPr>
          <w:rStyle w:val="NormalTok"/>
        </w:rPr>
        <w:t xml:space="preserve">rider, </w:t>
      </w:r>
      <w:r>
        <w:rPr>
          <w:rStyle w:val="OperatorTok"/>
        </w:rPr>
        <w:t xml:space="preserve">*</w:t>
      </w:r>
      <w:r>
        <w:rPr>
          <w:rStyle w:val="NormalTok"/>
        </w:rPr>
        <w:t xml:space="preserve">drivers[i]) </w:t>
      </w:r>
      <w:r>
        <w:rPr>
          <w:rStyle w:val="OperatorTok"/>
        </w:rPr>
        <w:t xml:space="preserve">&lt;=</w:t>
      </w:r>
      <w:r>
        <w:rPr>
          <w:rStyle w:val="NormalTok"/>
        </w:rPr>
        <w:t xml:space="preserve"> </w:t>
      </w:r>
      <w:r>
        <w:rPr>
          <w:rStyle w:val="FloatTok"/>
        </w:rPr>
        <w:t xml:space="preserve">1.0</w:t>
      </w:r>
      <w:r>
        <w:rPr>
          <w:rStyle w:val="NormalTok"/>
        </w:rPr>
        <w:t xml:space="preserve">}</w:t>
      </w:r>
      <w:r>
        <w:br/>
      </w:r>
      <w:r>
        <w:rPr>
          <w:rStyle w:val="NormalTok"/>
        </w:rPr>
        <w:t xml:space="preserve">    la0, la1, lo0, lo1 </w:t>
      </w:r>
      <w:r>
        <w:rPr>
          <w:rStyle w:val="OperatorTok"/>
        </w:rPr>
        <w:t xml:space="preserve">=</w:t>
      </w:r>
      <w:r>
        <w:rPr>
          <w:rStyle w:val="NormalTok"/>
        </w:rPr>
        <w:t xml:space="preserve"> decode_box(cell)</w:t>
      </w:r>
      <w:r>
        <w:br/>
      </w:r>
      <w:r>
        <w:rPr>
          <w:rStyle w:val="NormalTok"/>
        </w:rPr>
        <w:t xml:space="preserve">    </w:t>
      </w:r>
      <w:r>
        <w:rPr>
          <w:rStyle w:val="BuiltInTok"/>
        </w:rPr>
        <w:t xml:space="preserve">print</w:t>
      </w:r>
      <w:r>
        <w:rPr>
          <w:rStyle w:val="NormalTok"/>
        </w:rPr>
        <w:t xml:space="preserve">(</w:t>
      </w:r>
      <w:r>
        <w:rPr>
          <w:rStyle w:val="SpecialStringTok"/>
        </w:rPr>
        <w:t xml:space="preserve">f"P=</w:t>
      </w:r>
      <w:r>
        <w:rPr>
          <w:rStyle w:val="SpecialCharTok"/>
        </w:rPr>
        <w:t xml:space="preserve">{</w:t>
      </w:r>
      <w:r>
        <w:rPr>
          <w:rStyle w:val="NormalTok"/>
        </w:rPr>
        <w:t xml:space="preserve">P</w:t>
      </w:r>
      <w:r>
        <w:rPr>
          <w:rStyle w:val="SpecialCharTok"/>
        </w:rPr>
        <w:t xml:space="preserve">}</w:t>
      </w:r>
      <w:r>
        <w:rPr>
          <w:rStyle w:val="SpecialStringTok"/>
        </w:rPr>
        <w:t xml:space="preserve"> </w:t>
      </w:r>
      <w:r>
        <w:rPr>
          <w:rStyle w:val="SpecialCharTok"/>
        </w:rPr>
        <w:t xml:space="preserve">{</w:t>
      </w:r>
      <w:r>
        <w:rPr>
          <w:rStyle w:val="NormalTok"/>
        </w:rPr>
        <w:t xml:space="preserve">method</w:t>
      </w:r>
      <w:r>
        <w:rPr>
          <w:rStyle w:val="SpecialCharTok"/>
        </w:rPr>
        <w:t xml:space="preserve">:5s}</w:t>
      </w:r>
      <w:r>
        <w:rPr>
          <w:rStyle w:val="SpecialStringTok"/>
        </w:rPr>
        <w:t xml:space="preserve"> cell </w:t>
      </w:r>
      <w:r>
        <w:rPr>
          <w:rStyle w:val="SpecialCharTok"/>
        </w:rPr>
        <w:t xml:space="preserve">{</w:t>
      </w:r>
      <w:r>
        <w:rPr>
          <w:rStyle w:val="NormalTok"/>
        </w:rPr>
        <w:t xml:space="preserve">cell</w:t>
      </w:r>
      <w:r>
        <w:rPr>
          <w:rStyle w:val="SpecialCharTok"/>
        </w:rPr>
        <w:t xml:space="preserve">}</w:t>
      </w:r>
      <w:r>
        <w:rPr>
          <w:rStyle w:val="SpecialStringTok"/>
        </w:rPr>
        <w:t xml:space="preserve">: </w:t>
      </w:r>
      <w:r>
        <w:rPr>
          <w:rStyle w:val="SpecialCharTok"/>
        </w:rPr>
        <w:t xml:space="preserve">{</w:t>
      </w:r>
      <w:r>
        <w:rPr>
          <w:rStyle w:val="NormalTok"/>
        </w:rPr>
        <w:t xml:space="preserve">haversine_km(la0, lo0, la0, lo1) </w:t>
      </w:r>
      <w:r>
        <w:rPr>
          <w:rStyle w:val="OperatorTok"/>
        </w:rPr>
        <w:t xml:space="preserve">*</w:t>
      </w:r>
      <w:r>
        <w:rPr>
          <w:rStyle w:val="NormalTok"/>
        </w:rPr>
        <w:t xml:space="preserve"> </w:t>
      </w:r>
      <w:r>
        <w:rPr>
          <w:rStyle w:val="DecValTok"/>
        </w:rPr>
        <w:t xml:space="preserve">1000</w:t>
      </w:r>
      <w:r>
        <w:rPr>
          <w:rStyle w:val="SpecialCharTok"/>
        </w:rPr>
        <w:t xml:space="preserve">:,.0f}</w:t>
      </w:r>
      <w:r>
        <w:rPr>
          <w:rStyle w:val="SpecialStringTok"/>
        </w:rPr>
        <w:t xml:space="preserve"> m x "</w:t>
      </w:r>
      <w:r>
        <w:br/>
      </w:r>
      <w:r>
        <w:rPr>
          <w:rStyle w:val="NormalTok"/>
        </w:rPr>
        <w:t xml:space="preserve">          </w:t>
      </w:r>
      <w:r>
        <w:rPr>
          <w:rStyle w:val="SpecialStringTok"/>
        </w:rPr>
        <w:t xml:space="preserve">f"</w:t>
      </w:r>
      <w:r>
        <w:rPr>
          <w:rStyle w:val="SpecialCharTok"/>
        </w:rPr>
        <w:t xml:space="preserve">{</w:t>
      </w:r>
      <w:r>
        <w:rPr>
          <w:rStyle w:val="NormalTok"/>
        </w:rPr>
        <w:t xml:space="preserve">haversine_km(la0, lo0, la1, lo0) </w:t>
      </w:r>
      <w:r>
        <w:rPr>
          <w:rStyle w:val="OperatorTok"/>
        </w:rPr>
        <w:t xml:space="preserve">*</w:t>
      </w:r>
      <w:r>
        <w:rPr>
          <w:rStyle w:val="NormalTok"/>
        </w:rPr>
        <w:t xml:space="preserve"> </w:t>
      </w:r>
      <w:r>
        <w:rPr>
          <w:rStyle w:val="DecValTok"/>
        </w:rPr>
        <w:t xml:space="preserve">1000</w:t>
      </w:r>
      <w:r>
        <w:rPr>
          <w:rStyle w:val="SpecialCharTok"/>
        </w:rPr>
        <w:t xml:space="preserve">:,.0f}</w:t>
      </w:r>
      <w:r>
        <w:rPr>
          <w:rStyle w:val="SpecialStringTok"/>
        </w:rPr>
        <w:t xml:space="preserve"> m; </w:t>
      </w:r>
      <w:r>
        <w:rPr>
          <w:rStyle w:val="SpecialCharTok"/>
        </w:rPr>
        <w:t xml:space="preserve">{</w:t>
      </w:r>
      <w:r>
        <w:rPr>
          <w:rStyle w:val="BuiltInTok"/>
        </w:rPr>
        <w:t xml:space="preserve">len</w:t>
      </w:r>
      <w:r>
        <w:rPr>
          <w:rStyle w:val="NormalTok"/>
        </w:rPr>
        <w:t xml:space="preserve">(cells)</w:t>
      </w:r>
      <w:r>
        <w:rPr>
          <w:rStyle w:val="SpecialCharTok"/>
        </w:rPr>
        <w:t xml:space="preserve">}</w:t>
      </w:r>
      <w:r>
        <w:rPr>
          <w:rStyle w:val="SpecialStringTok"/>
        </w:rPr>
        <w:t xml:space="preserve"> cells -&gt; "</w:t>
      </w:r>
      <w:r>
        <w:br/>
      </w:r>
      <w:r>
        <w:rPr>
          <w:rStyle w:val="NormalTok"/>
        </w:rPr>
        <w:t xml:space="preserve">          </w:t>
      </w:r>
      <w:r>
        <w:rPr>
          <w:rStyle w:val="SpecialStringTok"/>
        </w:rPr>
        <w:t xml:space="preserve">f"</w:t>
      </w:r>
      <w:r>
        <w:rPr>
          <w:rStyle w:val="SpecialCharTok"/>
        </w:rPr>
        <w:t xml:space="preserve">{</w:t>
      </w:r>
      <w:r>
        <w:rPr>
          <w:rStyle w:val="BuiltInTok"/>
        </w:rPr>
        <w:t xml:space="preserve">len</w:t>
      </w:r>
      <w:r>
        <w:rPr>
          <w:rStyle w:val="NormalTok"/>
        </w:rPr>
        <w:t xml:space="preserve">(candidates)</w:t>
      </w:r>
      <w:r>
        <w:rPr>
          <w:rStyle w:val="SpecialCharTok"/>
        </w:rPr>
        <w:t xml:space="preserve">:,}</w:t>
      </w:r>
      <w:r>
        <w:rPr>
          <w:rStyle w:val="SpecialStringTok"/>
        </w:rPr>
        <w:t xml:space="preserve"> candidates, </w:t>
      </w:r>
      <w:r>
        <w:rPr>
          <w:rStyle w:val="SpecialCharTok"/>
        </w:rPr>
        <w:t xml:space="preserve">{</w:t>
      </w:r>
      <w:r>
        <w:rPr>
          <w:rStyle w:val="BuiltInTok"/>
        </w:rPr>
        <w:t xml:space="preserve">len</w:t>
      </w:r>
      <w:r>
        <w:rPr>
          <w:rStyle w:val="NormalTok"/>
        </w:rPr>
        <w:t xml:space="preserve">(hits)</w:t>
      </w:r>
      <w:r>
        <w:rPr>
          <w:rStyle w:val="SpecialCharTok"/>
        </w:rPr>
        <w:t xml:space="preserve">:,}</w:t>
      </w:r>
      <w:r>
        <w:rPr>
          <w:rStyle w:val="SpecialStringTok"/>
        </w:rPr>
        <w:t xml:space="preserve"> within 1 km, "</w:t>
      </w:r>
      <w:r>
        <w:br/>
      </w:r>
      <w:r>
        <w:rPr>
          <w:rStyle w:val="NormalTok"/>
        </w:rPr>
        <w:t xml:space="preserve">          </w:t>
      </w:r>
      <w:r>
        <w:rPr>
          <w:rStyle w:val="SpecialStringTok"/>
        </w:rPr>
        <w:t xml:space="preserve">f"recall </w:t>
      </w:r>
      <w:r>
        <w:rPr>
          <w:rStyle w:val="SpecialCharTok"/>
        </w:rPr>
        <w:t xml:space="preserve">{</w:t>
      </w:r>
      <w:r>
        <w:rPr>
          <w:rStyle w:val="BuiltInTok"/>
        </w:rPr>
        <w:t xml:space="preserve">len</w:t>
      </w:r>
      <w:r>
        <w:rPr>
          <w:rStyle w:val="NormalTok"/>
        </w:rPr>
        <w:t xml:space="preserve">(hits) </w:t>
      </w:r>
      <w:r>
        <w:rPr>
          <w:rStyle w:val="OperatorTok"/>
        </w:rPr>
        <w:t xml:space="preserve">/</w:t>
      </w:r>
      <w:r>
        <w:rPr>
          <w:rStyle w:val="NormalTok"/>
        </w:rPr>
        <w:t xml:space="preserve"> </w:t>
      </w:r>
      <w:r>
        <w:rPr>
          <w:rStyle w:val="BuiltInTok"/>
        </w:rPr>
        <w:t xml:space="preserve">len</w:t>
      </w:r>
      <w:r>
        <w:rPr>
          <w:rStyle w:val="NormalTok"/>
        </w:rPr>
        <w:t xml:space="preserve">(truth)</w:t>
      </w:r>
      <w:r>
        <w:rPr>
          <w:rStyle w:val="SpecialCharTok"/>
        </w:rPr>
        <w:t xml:space="preserve">:.3f}</w:t>
      </w:r>
      <w:r>
        <w:rPr>
          <w:rStyle w:val="SpecialStringTok"/>
        </w:rPr>
        <w:t xml:space="preserve"> (brute force finds </w:t>
      </w:r>
      <w:r>
        <w:rPr>
          <w:rStyle w:val="SpecialCharTok"/>
        </w:rPr>
        <w:t xml:space="preserve">{</w:t>
      </w:r>
      <w:r>
        <w:rPr>
          <w:rStyle w:val="BuiltInTok"/>
        </w:rPr>
        <w:t xml:space="preserve">len</w:t>
      </w:r>
      <w:r>
        <w:rPr>
          <w:rStyle w:val="NormalTok"/>
        </w:rPr>
        <w:t xml:space="preserve">(truth)</w:t>
      </w:r>
      <w:r>
        <w:rPr>
          <w:rStyle w:val="SpecialCharTok"/>
        </w:rPr>
        <w:t xml:space="preserve">:,}</w:t>
      </w:r>
      <w:r>
        <w:rPr>
          <w:rStyle w:val="SpecialStringTok"/>
        </w:rPr>
        <w:t xml:space="preserve">)"</w:t>
      </w:r>
      <w:r>
        <w:rPr>
          <w:rStyle w:val="NormalTok"/>
        </w:rPr>
        <w:t xml:space="preserve">)</w:t>
      </w:r>
    </w:p>
    <w:p>
      <w:pPr>
        <w:pStyle w:val="FirstParagraph"/>
      </w:pPr>
      <w:r>
        <w:t xml:space="preserve">Output:</w:t>
      </w:r>
    </w:p>
    <w:p>
      <w:pPr>
        <w:pStyle w:val="SourceCode"/>
      </w:pPr>
      <w:r>
        <w:rPr>
          <w:rStyle w:val="VerbatimChar"/>
        </w:rPr>
        <w:t xml:space="preserve">encode(57.64911, 10.40744, 11) = u4pruydqqvj</w:t>
      </w:r>
      <w:r>
        <w:br/>
      </w:r>
      <w:r>
        <w:rPr>
          <w:rStyle w:val="VerbatimChar"/>
        </w:rPr>
        <w:t xml:space="preserve">len bits  cell width (equator)  cell height</w:t>
      </w:r>
      <w:r>
        <w:br/>
      </w:r>
      <w:r>
        <w:rPr>
          <w:rStyle w:val="VerbatimChar"/>
        </w:rPr>
        <w:t xml:space="preserve">  1    5            5,009.4 km   4,975.6 km</w:t>
      </w:r>
      <w:r>
        <w:br/>
      </w:r>
      <w:r>
        <w:rPr>
          <w:rStyle w:val="VerbatimChar"/>
        </w:rPr>
        <w:t xml:space="preserve">  2   10            1,252.3 km     622.0 km</w:t>
      </w:r>
      <w:r>
        <w:br/>
      </w:r>
      <w:r>
        <w:rPr>
          <w:rStyle w:val="VerbatimChar"/>
        </w:rPr>
        <w:t xml:space="preserve">  3   15              156.5 km     155.5 km</w:t>
      </w:r>
      <w:r>
        <w:br/>
      </w:r>
      <w:r>
        <w:rPr>
          <w:rStyle w:val="VerbatimChar"/>
        </w:rPr>
        <w:t xml:space="preserve">  4   20               39.1 km      19.4 km</w:t>
      </w:r>
      <w:r>
        <w:br/>
      </w:r>
      <w:r>
        <w:rPr>
          <w:rStyle w:val="VerbatimChar"/>
        </w:rPr>
        <w:t xml:space="preserve">  5   25                4.9 km       4.9 km</w:t>
      </w:r>
      <w:r>
        <w:br/>
      </w:r>
      <w:r>
        <w:rPr>
          <w:rStyle w:val="VerbatimChar"/>
        </w:rPr>
        <w:t xml:space="preserve">  6   30                1.2 km     607.38 m</w:t>
      </w:r>
      <w:r>
        <w:br/>
      </w:r>
      <w:r>
        <w:rPr>
          <w:rStyle w:val="VerbatimChar"/>
        </w:rPr>
        <w:t xml:space="preserve">  7   35              152.87 m     151.84 m</w:t>
      </w:r>
      <w:r>
        <w:br/>
      </w:r>
      <w:r>
        <w:rPr>
          <w:rStyle w:val="VerbatimChar"/>
        </w:rPr>
        <w:t xml:space="preserve">  8   40               38.22 m      18.98 m</w:t>
      </w:r>
      <w:r>
        <w:br/>
      </w:r>
      <w:r>
        <w:rPr>
          <w:rStyle w:val="VerbatimChar"/>
        </w:rPr>
        <w:t xml:space="preserve">  9   45                4.78 m       4.75 m</w:t>
      </w:r>
      <w:r>
        <w:br/>
      </w:r>
      <w:r>
        <w:rPr>
          <w:rStyle w:val="VerbatimChar"/>
        </w:rPr>
        <w:t xml:space="preserve"> 10   50                1.19 m       0.59 m</w:t>
      </w:r>
      <w:r>
        <w:br/>
      </w:r>
      <w:r>
        <w:rPr>
          <w:rStyle w:val="VerbatimChar"/>
        </w:rPr>
        <w:t xml:space="preserve">P=6 3x3   cell 9q8yyk: 966 m x 611 m; 9 cells -&gt; 6,470 candidates, 3,601 within 1 km, recall 0.942 (brute force finds 3,822)</w:t>
      </w:r>
      <w:r>
        <w:br/>
      </w:r>
      <w:r>
        <w:rPr>
          <w:rStyle w:val="VerbatimChar"/>
        </w:rPr>
        <w:t xml:space="preserve">P=5 3x3   cell 9q8yy: 3,864 m x 4,887 m; 9 cells -&gt; 130,946 candidates, 3,822 within 1 km, recall 1.000 (brute force finds 3,822)</w:t>
      </w:r>
      <w:r>
        <w:br/>
      </w:r>
      <w:r>
        <w:rPr>
          <w:rStyle w:val="VerbatimChar"/>
        </w:rPr>
        <w:t xml:space="preserve">P=6 cover cell 9q8yyk: 966 m x 611 m; 25 cells -&gt; 17,908 candidates, 3,822 within 1 km, recall 1.000 (brute force finds 3,822)</w:t>
      </w:r>
    </w:p>
    <w:p>
      <w:pPr>
        <w:pStyle w:val="FirstParagraph"/>
      </w:pPr>
      <w:r>
        <w:t xml:space="preserve">What to notice:</w:t>
      </w:r>
    </w:p>
    <w:p>
      <w:pPr>
        <w:numPr>
          <w:ilvl w:val="0"/>
          <w:numId w:val="1584"/>
        </w:numPr>
        <w:pStyle w:val="Compact"/>
      </w:pPr>
      <w:r>
        <w:t xml:space="preserve">The encoder reproduces the widely used reference geohash</w:t>
      </w:r>
      <w:r>
        <w:t xml:space="preserve"> </w:t>
      </w:r>
      <w:r>
        <w:rPr>
          <w:rStyle w:val="VerbatimChar"/>
        </w:rPr>
        <w:t xml:space="preserve">u4pruydqqvj</w:t>
      </w:r>
      <w:r>
        <w:t xml:space="preserve"> </w:t>
      </w:r>
      <w:r>
        <w:t xml:space="preserve">for (57.64911, 10.40744), and the precision table reproduces Table 17.6.</w:t>
      </w:r>
    </w:p>
    <w:p>
      <w:pPr>
        <w:numPr>
          <w:ilvl w:val="0"/>
          <w:numId w:val="1584"/>
        </w:numPr>
        <w:pStyle w:val="Compact"/>
      </w:pPr>
      <w:r>
        <w:rPr>
          <w:bCs/>
          <w:b/>
        </w:rPr>
        <w:t xml:space="preserve">The 3 × 3 trick at 6 characters silently misses 5.8% of drivers within 1 km</w:t>
      </w:r>
      <w:r>
        <w:t xml:space="preserve">, exactly as the worked example predicted: the cells are only 611 m tall.</w:t>
      </w:r>
    </w:p>
    <w:p>
      <w:pPr>
        <w:numPr>
          <w:ilvl w:val="0"/>
          <w:numId w:val="1584"/>
        </w:numPr>
        <w:pStyle w:val="Compact"/>
      </w:pPr>
      <w:r>
        <w:t xml:space="preserve">Dropping to 5 characters restores full recall but scans 130,946 candidates, 65% of all drivers, because each cell is now about 4 km on a side.</w:t>
      </w:r>
    </w:p>
    <w:p>
      <w:pPr>
        <w:numPr>
          <w:ilvl w:val="0"/>
          <w:numId w:val="1584"/>
        </w:numPr>
        <w:pStyle w:val="Compact"/>
      </w:pPr>
      <w:r>
        <w:t xml:space="preserve">Covering the circle’s bounding box with 25 six-character cells gives full recall with 17,908 candidates, 7× fewer. Rule: pick precision from the radius, then cover the area with as many cells as needed.</w:t>
      </w:r>
    </w:p>
    <w:p>
      <w:pPr>
        <w:numPr>
          <w:ilvl w:val="0"/>
          <w:numId w:val="1584"/>
        </w:numPr>
        <w:pStyle w:val="Compact"/>
      </w:pPr>
      <w:r>
        <w:t xml:space="preserve">Drivers are uniformly spread at about 1,220 per km² in this test, so the expected count within 1 km is</w:t>
      </w:r>
      <w:r>
        <w:t xml:space="preserve"> </w:t>
      </w:r>
      <m:oMath>
        <m:r>
          <m:t>π</m:t>
        </m:r>
        <m:r>
          <m:rPr>
            <m:sty m:val="p"/>
          </m:rPr>
          <m:t>×</m:t>
        </m:r>
        <m:sSup>
          <m:e>
            <m:r>
              <m:t>1</m:t>
            </m:r>
          </m:e>
          <m:sup>
            <m:r>
              <m:t>2</m:t>
            </m:r>
          </m:sup>
        </m:sSup>
        <m:r>
          <m:rPr>
            <m:sty m:val="p"/>
          </m:rPr>
          <m:t>×</m:t>
        </m:r>
        <m:r>
          <m:t>1</m:t>
        </m:r>
        <m:r>
          <m:rPr>
            <m:sty m:val="p"/>
          </m:rPr>
          <m:t>,</m:t>
        </m:r>
        <m:r>
          <m:t>220</m:t>
        </m:r>
        <m:r>
          <m:rPr>
            <m:sty m:val="p"/>
          </m:rPr>
          <m:t>≈</m:t>
        </m:r>
        <m:r>
          <m:t>3</m:t>
        </m:r>
        <m:r>
          <m:rPr>
            <m:sty m:val="p"/>
          </m:rPr>
          <m:t>,</m:t>
        </m:r>
        <m:r>
          <m:t>830</m:t>
        </m:r>
      </m:oMath>
      <w:r>
        <w:t xml:space="preserve">; brute force found 3,822.</w:t>
      </w:r>
    </w:p>
    <w:bookmarkEnd w:id="2000"/>
    <w:bookmarkEnd w:id="2001"/>
    <w:bookmarkStart w:id="2005" w:name="quadtrees"/>
    <w:p>
      <w:pPr>
        <w:pStyle w:val="Heading3"/>
      </w:pPr>
      <w:r>
        <w:t xml:space="preserve">17.9.3 Quadtrees</w:t>
      </w:r>
    </w:p>
    <w:p>
      <w:pPr>
        <w:pStyle w:val="FirstParagraph"/>
      </w:pPr>
      <w:r>
        <w:t xml:space="preserve">A geohash grid is fixed, so a downtown cell may hold thousands of drivers and a lake cell none. A</w:t>
      </w:r>
      <w:r>
        <w:t xml:space="preserve"> </w:t>
      </w:r>
      <w:r>
        <w:rPr>
          <w:bCs/>
          <w:b/>
        </w:rPr>
        <w:t xml:space="preserve">quadtree</w:t>
      </w:r>
      <w:r>
        <w:t xml:space="preserve"> </w:t>
      </w:r>
      <w:r>
        <w:t xml:space="preserve">adapts [Finkel &amp; Bentley 1974]: each node covers a rectangle holding up to a capacity (say 100 points) and splits into four children when it overflows. Dense areas grow deep, empty ones stay shallow, and queries descend only into nodes intersecting the search circle.</w:t>
      </w:r>
    </w:p>
    <w:p>
      <w:pPr>
        <w:pStyle w:val="BodyText"/>
      </w:pPr>
      <w:r>
        <w:rPr>
          <w:bCs/>
          <w:b/>
        </w:rPr>
        <w:t xml:space="preserve">Figure 17.12 — An adaptive quadtree: dense areas split further.</w:t>
      </w:r>
    </w:p>
    <w:p>
      <w:pPr>
        <w:pStyle w:val="BodyText"/>
      </w:pPr>
      <w:r>
        <w:drawing>
          <wp:inline>
            <wp:extent cx="5334000" cy="2115312"/>
            <wp:effectExtent b="0" l="0" r="0" t="0"/>
            <wp:docPr descr="" title="" id="2003" name="Picture"/>
            <a:graphic>
              <a:graphicData uri="http://schemas.openxmlformats.org/drawingml/2006/picture">
                <pic:pic>
                  <pic:nvPicPr>
                    <pic:cNvPr descr="/home/user/System-Design/build/.cache/diagrams/83279df1dbe3.png" id="2004" name="Picture"/>
                    <pic:cNvPicPr>
                      <a:picLocks noChangeArrowheads="1" noChangeAspect="1"/>
                    </pic:cNvPicPr>
                  </pic:nvPicPr>
                  <pic:blipFill>
                    <a:blip r:embed="rId2002"/>
                    <a:stretch>
                      <a:fillRect/>
                    </a:stretch>
                  </pic:blipFill>
                  <pic:spPr bwMode="auto">
                    <a:xfrm>
                      <a:off x="0" y="0"/>
                      <a:ext cx="5334000" cy="2115312"/>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root split on overflow; three quadrants are leaves, downtown split again and its financial district a third time, so a query near the park reads one leaf while a downtown query descends three levels. The tree lives in memory and is walked synchronously by parent–child pointers. Failure points: moving points force constant reinsertion, splits and merges, complicating concurrency; a single in-memory tree is a single point of failure, so production systems shard by region and rebuild from the location stream after restart. For persistent indexes in ordinary databases, fixed cells (geohash, S2) fit B-trees better.</w:t>
      </w:r>
    </w:p>
    <w:bookmarkEnd w:id="2005"/>
    <w:bookmarkStart w:id="2006" w:name="google-s2"/>
    <w:p>
      <w:pPr>
        <w:pStyle w:val="Heading3"/>
      </w:pPr>
      <w:r>
        <w:t xml:space="preserve">17.9.4 Google S2</w:t>
      </w:r>
    </w:p>
    <w:p>
      <w:pPr>
        <w:pStyle w:val="FirstParagraph"/>
      </w:pPr>
      <w:r>
        <w:rPr>
          <w:bCs/>
          <w:b/>
        </w:rPr>
        <w:t xml:space="preserve">S2</w:t>
      </w:r>
      <w:r>
        <w:t xml:space="preserve"> </w:t>
      </w:r>
      <w:r>
        <w:t xml:space="preserve">is Google’s open-source spherical geometry library [S2 Geometry Docs]. It projects the sphere onto a cube’s six faces, divides each face as a quadtree and orders cells along a</w:t>
      </w:r>
      <w:r>
        <w:t xml:space="preserve"> </w:t>
      </w:r>
      <w:r>
        <w:rPr>
          <w:bCs/>
          <w:b/>
        </w:rPr>
        <w:t xml:space="preserve">Hilbert curve</w:t>
      </w:r>
      <w:r>
        <w:t xml:space="preserve">, whose consecutive cells always share an edge (the Z-curve jumps). A 64-bit</w:t>
      </w:r>
      <w:r>
        <w:t xml:space="preserve"> </w:t>
      </w:r>
      <w:r>
        <w:rPr>
          <w:bCs/>
          <w:b/>
        </w:rPr>
        <w:t xml:space="preserve">cell ID</w:t>
      </w:r>
      <w:r>
        <w:t xml:space="preserve"> </w:t>
      </w:r>
      <w:r>
        <w:t xml:space="preserve">encodes face, path and level (0–30); a cell’s descendants form a contiguous ID range, so</w:t>
      </w:r>
      <w:r>
        <w:t xml:space="preserve"> </w:t>
      </w:r>
      <w:r>
        <w:t xml:space="preserve">“</w:t>
      </w:r>
      <w:r>
        <w:t xml:space="preserve">points in this cell</w:t>
      </w:r>
      <w:r>
        <w:t xml:space="preserve">”</w:t>
      </w:r>
      <w:r>
        <w:t xml:space="preserve"> </w:t>
      </w:r>
      <w:r>
        <w:t xml:space="preserve">is an integer range scan. A</w:t>
      </w:r>
      <w:r>
        <w:t xml:space="preserve"> </w:t>
      </w:r>
      <w:r>
        <w:rPr>
          <w:bCs/>
          <w:b/>
        </w:rPr>
        <w:t xml:space="preserve">region coverer</w:t>
      </w:r>
      <w:r>
        <w:t xml:space="preserve"> </w:t>
      </w:r>
      <w:r>
        <w:t xml:space="preserve">approximates any circle or polygon with a few cells at mixed levels.</w:t>
      </w:r>
    </w:p>
    <w:p>
      <w:pPr>
        <w:pStyle w:val="CalloutFormula"/>
      </w:pPr>
      <w:r>
        <w:rPr>
          <w:bCs/>
          <w:b/>
        </w:rPr>
        <w:t xml:space="preserve">FORMULA</w:t>
      </w:r>
    </w:p>
    <w:p>
      <w:pPr>
        <w:pStyle w:val="CalloutFormula"/>
      </w:pPr>
      <w:r>
        <w:rPr>
          <w:bCs/>
          <w:b/>
        </w:rPr>
        <w:t xml:space="preserve">Average S2 cell area at level L</w:t>
      </w:r>
    </w:p>
    <w:p>
      <w:pPr>
        <w:pStyle w:val="CalloutFormula"/>
      </w:pPr>
      <m:oMathPara>
        <m:oMathParaPr>
          <m:jc m:val="center"/>
        </m:oMathParaPr>
        <m:oMath>
          <m:sSub>
            <m:e>
              <m:acc>
                <m:accPr>
                  <m:chr m:val="‾"/>
                </m:accPr>
                <m:e>
                  <m:r>
                    <m:t>A</m:t>
                  </m:r>
                </m:e>
              </m:acc>
            </m:e>
            <m:sub>
              <m:r>
                <m:t>L</m:t>
              </m:r>
            </m:sub>
          </m:sSub>
          <m:r>
            <m:rPr>
              <m:sty m:val="p"/>
            </m:rPr>
            <m:t>≈</m:t>
          </m:r>
          <m:f>
            <m:fPr>
              <m:type m:val="bar"/>
            </m:fPr>
            <m:num>
              <m:r>
                <m:t>4</m:t>
              </m:r>
              <m:r>
                <m:t>π</m:t>
              </m:r>
              <m:sSup>
                <m:e>
                  <m:r>
                    <m:t>R</m:t>
                  </m:r>
                </m:e>
                <m:sup>
                  <m:r>
                    <m:t>2</m:t>
                  </m:r>
                </m:sup>
              </m:sSup>
            </m:num>
            <m:den>
              <m:r>
                <m:t>6</m:t>
              </m:r>
              <m:r>
                <m:rPr>
                  <m:sty m:val="p"/>
                </m:rPr>
                <m:t>×</m:t>
              </m:r>
              <m:sSup>
                <m:e>
                  <m:r>
                    <m:t>4</m:t>
                  </m:r>
                </m:e>
                <m:sup>
                  <m:r>
                    <m:t>L</m:t>
                  </m:r>
                </m:sup>
              </m:sSup>
            </m:den>
          </m:f>
          <m:r>
            <m:rPr>
              <m:sty m:val="p"/>
            </m:rPr>
            <m:t>=</m:t>
          </m:r>
          <m:f>
            <m:fPr>
              <m:type m:val="bar"/>
            </m:fPr>
            <m:num>
              <m:r>
                <m:t>510.1</m:t>
              </m:r>
              <m:r>
                <m:rPr>
                  <m:sty m:val="p"/>
                </m:rPr>
                <m:t>×</m:t>
              </m:r>
              <m:sSup>
                <m:e>
                  <m:r>
                    <m:t>10</m:t>
                  </m:r>
                </m:e>
                <m:sup>
                  <m:r>
                    <m:t>6</m:t>
                  </m:r>
                </m:sup>
              </m:sSup>
              <m:sSup>
                <m:e>
                  <m:r>
                    <m:rPr>
                      <m:nor/>
                      <m:sty m:val="p"/>
                    </m:rPr>
                    <m:t> km</m:t>
                  </m:r>
                </m:e>
                <m:sup>
                  <m:r>
                    <m:t>2</m:t>
                  </m:r>
                </m:sup>
              </m:sSup>
            </m:num>
            <m:den>
              <m:r>
                <m:t>6</m:t>
              </m:r>
              <m:r>
                <m:rPr>
                  <m:sty m:val="p"/>
                </m:rPr>
                <m:t>×</m:t>
              </m:r>
              <m:sSup>
                <m:e>
                  <m:r>
                    <m:t>4</m:t>
                  </m:r>
                </m:e>
                <m:sup>
                  <m:r>
                    <m:t>L</m:t>
                  </m:r>
                </m:sup>
              </m:sSup>
            </m:den>
          </m:f>
        </m:oMath>
      </m:oMathPara>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acc>
                    <m:accPr>
                      <m:chr m:val="‾"/>
                    </m:accPr>
                    <m:e>
                      <m:r>
                        <m:t>A</m:t>
                      </m:r>
                    </m:e>
                  </m:acc>
                </m:e>
                <m:sub>
                  <m:r>
                    <m:t>L</m:t>
                  </m:r>
                </m:sub>
              </m:sSub>
            </m:oMath>
          </w:p>
        </w:tc>
        <w:tc>
          <w:tcPr/>
          <w:p>
            <w:pPr>
              <w:pStyle w:val="Compact"/>
              <w:jc w:val="left"/>
            </w:pPr>
            <w:r>
              <w:t xml:space="preserve">Average area of a level-</w:t>
            </w:r>
            <m:oMath>
              <m:r>
                <m:t>L</m:t>
              </m:r>
            </m:oMath>
            <w:r>
              <w:t xml:space="preserve"> </w:t>
            </w:r>
            <w:r>
              <w:t xml:space="preserve">cell</w:t>
            </w:r>
          </w:p>
        </w:tc>
        <w:tc>
          <w:tcPr/>
          <w:p>
            <w:pPr>
              <w:pStyle w:val="Compact"/>
              <w:jc w:val="left"/>
            </w:pPr>
            <w:r>
              <w:t xml:space="preserve">km²</w:t>
            </w:r>
          </w:p>
        </w:tc>
      </w:tr>
      <w:tr>
        <w:tc>
          <w:tcPr/>
          <w:p>
            <w:pPr>
              <w:pStyle w:val="Compact"/>
              <w:jc w:val="left"/>
            </w:pPr>
            <m:oMath>
              <m:r>
                <m:t>R</m:t>
              </m:r>
            </m:oMath>
          </w:p>
        </w:tc>
        <w:tc>
          <w:tcPr/>
          <w:p>
            <w:pPr>
              <w:pStyle w:val="Compact"/>
              <w:jc w:val="left"/>
            </w:pPr>
            <w:r>
              <w:t xml:space="preserve">Earth’s mean radius, ≈ 6,371 km</w:t>
            </w:r>
          </w:p>
        </w:tc>
        <w:tc>
          <w:tcPr/>
          <w:p>
            <w:pPr>
              <w:pStyle w:val="Compact"/>
              <w:jc w:val="left"/>
            </w:pPr>
            <w:r>
              <w:t xml:space="preserve">km</w:t>
            </w:r>
          </w:p>
        </w:tc>
      </w:tr>
      <w:tr>
        <w:tc>
          <w:tcPr/>
          <w:p>
            <w:pPr>
              <w:pStyle w:val="Compact"/>
              <w:jc w:val="left"/>
            </w:pPr>
            <m:oMath>
              <m:r>
                <m:t>L</m:t>
              </m:r>
            </m:oMath>
          </w:p>
        </w:tc>
        <w:tc>
          <w:tcPr/>
          <w:p>
            <w:pPr>
              <w:pStyle w:val="Compact"/>
              <w:jc w:val="left"/>
            </w:pPr>
            <w:r>
              <w:t xml:space="preserve">Cell level, 0 (a cube face) to 30</w:t>
            </w:r>
          </w:p>
        </w:tc>
        <w:tc>
          <w:tcPr/>
          <w:p>
            <w:pPr>
              <w:pStyle w:val="Compact"/>
              <w:jc w:val="left"/>
            </w:pPr>
            <w:r>
              <w:t xml:space="preserve">level</w:t>
            </w:r>
          </w:p>
        </w:tc>
      </w:tr>
    </w:tbl>
    <w:p>
      <w:pPr>
        <w:pStyle w:val="CalloutExample"/>
      </w:pPr>
      <w:r>
        <w:rPr>
          <w:bCs/>
          <w:b/>
        </w:rPr>
        <w:t xml:space="preserve">WORKED EXAMPLE</w:t>
      </w:r>
    </w:p>
    <w:p>
      <w:pPr>
        <w:pStyle w:val="CalloutExample"/>
      </w:pPr>
      <w:r>
        <w:rPr>
          <w:bCs/>
          <w:b/>
        </w:rPr>
        <w:t xml:space="preserve">Worked example — which S2 level for a 1 km search?</w:t>
      </w:r>
      <w:r>
        <w:t xml:space="preserve"> </w:t>
      </w:r>
      <w:r>
        <w:t xml:space="preserve">Level 12:</w:t>
      </w:r>
      <w:r>
        <w:t xml:space="preserve"> </w:t>
      </w:r>
      <m:oMath>
        <m:r>
          <m:t>85.0</m:t>
        </m:r>
        <m:r>
          <m:rPr>
            <m:sty m:val="p"/>
          </m:rPr>
          <m:t>×</m:t>
        </m:r>
        <m:sSup>
          <m:e>
            <m:r>
              <m:t>10</m:t>
            </m:r>
          </m:e>
          <m:sup>
            <m:r>
              <m:t>6</m:t>
            </m:r>
          </m:sup>
        </m:sSup>
        <m:r>
          <m:rPr>
            <m:sty m:val="p"/>
          </m:rPr>
          <m:t>/</m:t>
        </m:r>
        <m:sSup>
          <m:e>
            <m:r>
              <m:t>4</m:t>
            </m:r>
          </m:e>
          <m:sup>
            <m:r>
              <m:t>12</m:t>
            </m:r>
          </m:sup>
        </m:sSup>
        <m:r>
          <m:rPr>
            <m:sty m:val="p"/>
          </m:rPr>
          <m:t>=</m:t>
        </m:r>
        <m:r>
          <m:t>85.0</m:t>
        </m:r>
        <m:r>
          <m:rPr>
            <m:sty m:val="p"/>
          </m:rPr>
          <m:t>×</m:t>
        </m:r>
        <m:sSup>
          <m:e>
            <m:r>
              <m:t>10</m:t>
            </m:r>
          </m:e>
          <m:sup>
            <m:r>
              <m:t>6</m:t>
            </m:r>
          </m:sup>
        </m:sSup>
        <m:r>
          <m:rPr>
            <m:sty m:val="p"/>
          </m:rPr>
          <m:t>/</m:t>
        </m:r>
        <m:r>
          <m:t>16</m:t>
        </m:r>
        <m:r>
          <m:rPr>
            <m:sty m:val="p"/>
          </m:rPr>
          <m:t>,</m:t>
        </m:r>
        <m:r>
          <m:t>777</m:t>
        </m:r>
        <m:r>
          <m:rPr>
            <m:sty m:val="p"/>
          </m:rPr>
          <m:t>,</m:t>
        </m:r>
        <m:r>
          <m:t>216</m:t>
        </m:r>
        <m:r>
          <m:rPr>
            <m:sty m:val="p"/>
          </m:rPr>
          <m:t>=</m:t>
        </m:r>
        <m:r>
          <m:t>5.07</m:t>
        </m:r>
      </m:oMath>
      <w:r>
        <w:t xml:space="preserve"> </w:t>
      </w:r>
      <w:r>
        <w:t xml:space="preserve">km², about 2.3 km across. Level 13: 1.27 km², about 1.1 km across. Level 30:</w:t>
      </w:r>
      <w:r>
        <w:t xml:space="preserve"> </w:t>
      </w:r>
      <m:oMath>
        <m:r>
          <m:t>7.4</m:t>
        </m:r>
        <m:r>
          <m:rPr>
            <m:sty m:val="p"/>
          </m:rPr>
          <m:t>×</m:t>
        </m:r>
        <m:sSup>
          <m:e>
            <m:r>
              <m:t>10</m:t>
            </m:r>
          </m:e>
          <m:sup>
            <m:r>
              <m:rPr>
                <m:sty m:val="p"/>
              </m:rPr>
              <m:t>−</m:t>
            </m:r>
            <m:r>
              <m:t>11</m:t>
            </m:r>
          </m:sup>
        </m:sSup>
      </m:oMath>
      <w:r>
        <w:t xml:space="preserve"> </w:t>
      </w:r>
      <w:r>
        <w:t xml:space="preserve">km²</w:t>
      </w:r>
      <w:r>
        <w:t xml:space="preserve"> </w:t>
      </w:r>
      <m:oMath>
        <m:r>
          <m:rPr>
            <m:sty m:val="p"/>
          </m:rPr>
          <m:t>≈</m:t>
        </m:r>
        <m:r>
          <m:t>0.74</m:t>
        </m:r>
      </m:oMath>
      <w:r>
        <w:t xml:space="preserve"> </w:t>
      </w:r>
      <w:r>
        <w:t xml:space="preserve">cm².</w:t>
      </w:r>
      <w:r>
        <w:t xml:space="preserve"> </w:t>
      </w:r>
      <w:r>
        <w:rPr>
          <w:iCs/>
          <w:i/>
        </w:rPr>
        <w:t xml:space="preserve">Interpretation.</w:t>
      </w:r>
      <w:r>
        <w:t xml:space="preserve"> </w:t>
      </w:r>
      <w:r>
        <w:t xml:space="preserve">Each level quarters the area; 31 levels span a sixth of the planet to under a square centimeter.</w:t>
      </w:r>
      <w:r>
        <w:t xml:space="preserve"> </w:t>
      </w:r>
      <w:r>
        <w:rPr>
          <w:iCs/>
          <w:i/>
        </w:rPr>
        <w:t xml:space="preserve">Engineering implication.</w:t>
      </w:r>
      <w:r>
        <w:t xml:space="preserve"> </w:t>
      </w:r>
      <w:r>
        <w:t xml:space="preserve">Index points at a fine level and let the coverer choose coarse query cells, so one index serves every radius.</w:t>
      </w:r>
    </w:p>
    <w:bookmarkEnd w:id="2006"/>
    <w:bookmarkStart w:id="2007" w:name="uber-h3"/>
    <w:p>
      <w:pPr>
        <w:pStyle w:val="Heading3"/>
      </w:pPr>
      <w:r>
        <w:t xml:space="preserve">17.9.5 Uber H3</w:t>
      </w:r>
    </w:p>
    <w:p>
      <w:pPr>
        <w:pStyle w:val="FirstParagraph"/>
      </w:pPr>
      <w:r>
        <w:rPr>
          <w:bCs/>
          <w:b/>
        </w:rPr>
        <w:t xml:space="preserve">H3</w:t>
      </w:r>
      <w:r>
        <w:t xml:space="preserve"> </w:t>
      </w:r>
      <w:r>
        <w:t xml:space="preserve">is Uber’s open-source hexagonal grid [H3 Docs; Brodsky 2018]. It projects the globe onto an icosahedron and tiles it with hexagons at 16 resolutions (0–15): 122 base cells, about 7× more cells per finer resolution, and 12 unavoidable pentagons per resolution. A hexagon’s six neighbors all share an edge and are equidistant, whereas a square has edge and corner neighbors at different distances, so hexagons suit movement analysis, neighborhood smoothing and area pricing. The trade-off: seven children do not exactly tile their parent, so containment is approximate.</w:t>
      </w:r>
    </w:p>
    <w:p>
      <w:pPr>
        <w:pStyle w:val="BodyText"/>
      </w:pPr>
      <w:r>
        <w:rPr>
          <w:bCs/>
          <w:b/>
        </w:rPr>
        <w:t xml:space="preserve">Table 17.7 — Selected H3 resolutions (average hexagon, from the H3 library version 4).</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Resolution</w:t>
            </w:r>
          </w:p>
        </w:tc>
        <w:tc>
          <w:tcPr/>
          <w:p>
            <w:pPr>
              <w:pStyle w:val="Compact"/>
              <w:jc w:val="left"/>
            </w:pPr>
            <w:r>
              <w:t xml:space="preserve">Average area</w:t>
            </w:r>
          </w:p>
        </w:tc>
        <w:tc>
          <w:tcPr/>
          <w:p>
            <w:pPr>
              <w:pStyle w:val="Compact"/>
              <w:jc w:val="left"/>
            </w:pPr>
            <w:r>
              <w:t xml:space="preserve">Average edge length</w:t>
            </w:r>
          </w:p>
        </w:tc>
        <w:tc>
          <w:tcPr/>
          <w:p>
            <w:pPr>
              <w:pStyle w:val="Compact"/>
              <w:jc w:val="left"/>
            </w:pPr>
            <w:r>
              <w:t xml:space="preserve">Cells on Earth</w:t>
            </w:r>
          </w:p>
        </w:tc>
        <w:tc>
          <w:tcPr/>
          <w:p>
            <w:pPr>
              <w:pStyle w:val="Compact"/>
              <w:jc w:val="left"/>
            </w:pPr>
            <w:r>
              <w:t xml:space="preserve">Typical use</w:t>
            </w:r>
          </w:p>
        </w:tc>
      </w:tr>
      <w:tr>
        <w:tc>
          <w:tcPr/>
          <w:p>
            <w:pPr>
              <w:pStyle w:val="Compact"/>
              <w:jc w:val="left"/>
            </w:pPr>
            <w:r>
              <w:t xml:space="preserve">0</w:t>
            </w:r>
          </w:p>
        </w:tc>
        <w:tc>
          <w:tcPr/>
          <w:p>
            <w:pPr>
              <w:pStyle w:val="Compact"/>
              <w:jc w:val="left"/>
            </w:pPr>
            <w:r>
              <w:t xml:space="preserve">4,357,449 km²</w:t>
            </w:r>
          </w:p>
        </w:tc>
        <w:tc>
          <w:tcPr/>
          <w:p>
            <w:pPr>
              <w:pStyle w:val="Compact"/>
              <w:jc w:val="left"/>
            </w:pPr>
            <w:r>
              <w:t xml:space="preserve">1,281 km</w:t>
            </w:r>
          </w:p>
        </w:tc>
        <w:tc>
          <w:tcPr/>
          <w:p>
            <w:pPr>
              <w:pStyle w:val="Compact"/>
              <w:jc w:val="left"/>
            </w:pPr>
            <w:r>
              <w:t xml:space="preserve">122</w:t>
            </w:r>
          </w:p>
        </w:tc>
        <w:tc>
          <w:tcPr/>
          <w:p>
            <w:pPr>
              <w:pStyle w:val="Compact"/>
              <w:jc w:val="left"/>
            </w:pPr>
            <w:r>
              <w:t xml:space="preserve">Continental</w:t>
            </w:r>
          </w:p>
        </w:tc>
      </w:tr>
      <w:tr>
        <w:tc>
          <w:tcPr/>
          <w:p>
            <w:pPr>
              <w:pStyle w:val="Compact"/>
              <w:jc w:val="left"/>
            </w:pPr>
            <w:r>
              <w:t xml:space="preserve">5</w:t>
            </w:r>
          </w:p>
        </w:tc>
        <w:tc>
          <w:tcPr/>
          <w:p>
            <w:pPr>
              <w:pStyle w:val="Compact"/>
              <w:jc w:val="left"/>
            </w:pPr>
            <w:r>
              <w:t xml:space="preserve">252.9 km²</w:t>
            </w:r>
          </w:p>
        </w:tc>
        <w:tc>
          <w:tcPr/>
          <w:p>
            <w:pPr>
              <w:pStyle w:val="Compact"/>
              <w:jc w:val="left"/>
            </w:pPr>
            <w:r>
              <w:t xml:space="preserve">9.85 km</w:t>
            </w:r>
          </w:p>
        </w:tc>
        <w:tc>
          <w:tcPr/>
          <w:p>
            <w:pPr>
              <w:pStyle w:val="Compact"/>
              <w:jc w:val="left"/>
            </w:pPr>
            <w:r>
              <w:t xml:space="preserve">2,016,842</w:t>
            </w:r>
          </w:p>
        </w:tc>
        <w:tc>
          <w:tcPr/>
          <w:p>
            <w:pPr>
              <w:pStyle w:val="Compact"/>
              <w:jc w:val="left"/>
            </w:pPr>
            <w:r>
              <w:t xml:space="preserve">Regional demand</w:t>
            </w:r>
          </w:p>
        </w:tc>
      </w:tr>
      <w:tr>
        <w:tc>
          <w:tcPr/>
          <w:p>
            <w:pPr>
              <w:pStyle w:val="Compact"/>
              <w:jc w:val="left"/>
            </w:pPr>
            <w:r>
              <w:t xml:space="preserve">7</w:t>
            </w:r>
          </w:p>
        </w:tc>
        <w:tc>
          <w:tcPr/>
          <w:p>
            <w:pPr>
              <w:pStyle w:val="Compact"/>
              <w:jc w:val="left"/>
            </w:pPr>
            <w:r>
              <w:t xml:space="preserve">5.16 km²</w:t>
            </w:r>
          </w:p>
        </w:tc>
        <w:tc>
          <w:tcPr/>
          <w:p>
            <w:pPr>
              <w:pStyle w:val="Compact"/>
              <w:jc w:val="left"/>
            </w:pPr>
            <w:r>
              <w:t xml:space="preserve">1.41 km</w:t>
            </w:r>
          </w:p>
        </w:tc>
        <w:tc>
          <w:tcPr/>
          <w:p>
            <w:pPr>
              <w:pStyle w:val="Compact"/>
              <w:jc w:val="left"/>
            </w:pPr>
            <w:r>
              <w:t xml:space="preserve">98,825,162</w:t>
            </w:r>
          </w:p>
        </w:tc>
        <w:tc>
          <w:tcPr/>
          <w:p>
            <w:pPr>
              <w:pStyle w:val="Compact"/>
              <w:jc w:val="left"/>
            </w:pPr>
            <w:r>
              <w:t xml:space="preserve">City districts</w:t>
            </w:r>
          </w:p>
        </w:tc>
      </w:tr>
      <w:tr>
        <w:tc>
          <w:tcPr/>
          <w:p>
            <w:pPr>
              <w:pStyle w:val="Compact"/>
              <w:jc w:val="left"/>
            </w:pPr>
            <w:r>
              <w:t xml:space="preserve">8</w:t>
            </w:r>
          </w:p>
        </w:tc>
        <w:tc>
          <w:tcPr/>
          <w:p>
            <w:pPr>
              <w:pStyle w:val="Compact"/>
              <w:jc w:val="left"/>
            </w:pPr>
            <w:r>
              <w:t xml:space="preserve">0.737 km²</w:t>
            </w:r>
          </w:p>
        </w:tc>
        <w:tc>
          <w:tcPr/>
          <w:p>
            <w:pPr>
              <w:pStyle w:val="Compact"/>
              <w:jc w:val="left"/>
            </w:pPr>
            <w:r>
              <w:t xml:space="preserve">531 m</w:t>
            </w:r>
          </w:p>
        </w:tc>
        <w:tc>
          <w:tcPr/>
          <w:p>
            <w:pPr>
              <w:pStyle w:val="Compact"/>
              <w:jc w:val="left"/>
            </w:pPr>
            <w:r>
              <w:t xml:space="preserve">691,776,122</w:t>
            </w:r>
          </w:p>
        </w:tc>
        <w:tc>
          <w:tcPr/>
          <w:p>
            <w:pPr>
              <w:pStyle w:val="Compact"/>
              <w:jc w:val="left"/>
            </w:pPr>
            <w:r>
              <w:t xml:space="preserve">Neighborhood supply and demand</w:t>
            </w:r>
          </w:p>
        </w:tc>
      </w:tr>
      <w:tr>
        <w:tc>
          <w:tcPr/>
          <w:p>
            <w:pPr>
              <w:pStyle w:val="Compact"/>
              <w:jc w:val="left"/>
            </w:pPr>
            <w:r>
              <w:t xml:space="preserve">9</w:t>
            </w:r>
          </w:p>
        </w:tc>
        <w:tc>
          <w:tcPr/>
          <w:p>
            <w:pPr>
              <w:pStyle w:val="Compact"/>
              <w:jc w:val="left"/>
            </w:pPr>
            <w:r>
              <w:t xml:space="preserve">0.105 km²</w:t>
            </w:r>
          </w:p>
        </w:tc>
        <w:tc>
          <w:tcPr/>
          <w:p>
            <w:pPr>
              <w:pStyle w:val="Compact"/>
              <w:jc w:val="left"/>
            </w:pPr>
            <w:r>
              <w:t xml:space="preserve">201 m</w:t>
            </w:r>
          </w:p>
        </w:tc>
        <w:tc>
          <w:tcPr/>
          <w:p>
            <w:pPr>
              <w:pStyle w:val="Compact"/>
              <w:jc w:val="left"/>
            </w:pPr>
            <w:r>
              <w:t xml:space="preserve">4,842,432,842</w:t>
            </w:r>
          </w:p>
        </w:tc>
        <w:tc>
          <w:tcPr/>
          <w:p>
            <w:pPr>
              <w:pStyle w:val="Compact"/>
              <w:jc w:val="left"/>
            </w:pPr>
            <w:r>
              <w:t xml:space="preserve">Pickup zones, street blocks</w:t>
            </w:r>
          </w:p>
        </w:tc>
      </w:tr>
      <w:tr>
        <w:tc>
          <w:tcPr/>
          <w:p>
            <w:pPr>
              <w:pStyle w:val="Compact"/>
              <w:jc w:val="left"/>
            </w:pPr>
            <w:r>
              <w:t xml:space="preserve">10</w:t>
            </w:r>
          </w:p>
        </w:tc>
        <w:tc>
          <w:tcPr/>
          <w:p>
            <w:pPr>
              <w:pStyle w:val="Compact"/>
              <w:jc w:val="left"/>
            </w:pPr>
            <w:r>
              <w:t xml:space="preserve">0.0150 km²</w:t>
            </w:r>
          </w:p>
        </w:tc>
        <w:tc>
          <w:tcPr/>
          <w:p>
            <w:pPr>
              <w:pStyle w:val="Compact"/>
              <w:jc w:val="left"/>
            </w:pPr>
            <w:r>
              <w:t xml:space="preserve">75.9 m</w:t>
            </w:r>
          </w:p>
        </w:tc>
        <w:tc>
          <w:tcPr/>
          <w:p>
            <w:pPr>
              <w:pStyle w:val="Compact"/>
              <w:jc w:val="left"/>
            </w:pPr>
            <w:r>
              <w:t xml:space="preserve">33,897,029,882</w:t>
            </w:r>
          </w:p>
        </w:tc>
        <w:tc>
          <w:tcPr/>
          <w:p>
            <w:pPr>
              <w:pStyle w:val="Compact"/>
              <w:jc w:val="left"/>
            </w:pPr>
            <w:r>
              <w:t xml:space="preserve">Fine-grained locations</w:t>
            </w:r>
          </w:p>
        </w:tc>
      </w:tr>
      <w:tr>
        <w:tc>
          <w:tcPr/>
          <w:p>
            <w:pPr>
              <w:pStyle w:val="Compact"/>
              <w:jc w:val="left"/>
            </w:pPr>
            <w:r>
              <w:t xml:space="preserve">15</w:t>
            </w:r>
          </w:p>
        </w:tc>
        <w:tc>
          <w:tcPr/>
          <w:p>
            <w:pPr>
              <w:pStyle w:val="Compact"/>
              <w:jc w:val="left"/>
            </w:pPr>
            <w:r>
              <w:t xml:space="preserve">0.90 m²</w:t>
            </w:r>
          </w:p>
        </w:tc>
        <w:tc>
          <w:tcPr/>
          <w:p>
            <w:pPr>
              <w:pStyle w:val="Compact"/>
              <w:jc w:val="left"/>
            </w:pPr>
            <w:r>
              <w:t xml:space="preserve">0.58 m</w:t>
            </w:r>
          </w:p>
        </w:tc>
        <w:tc>
          <w:tcPr/>
          <w:p>
            <w:pPr>
              <w:pStyle w:val="Compact"/>
              <w:jc w:val="left"/>
            </w:pPr>
            <w:r>
              <w:t xml:space="preserve">about</w:t>
            </w:r>
            <w:r>
              <w:t xml:space="preserve"> </w:t>
            </w:r>
            <m:oMath>
              <m:r>
                <m:t>5.7</m:t>
              </m:r>
              <m:r>
                <m:rPr>
                  <m:sty m:val="p"/>
                </m:rPr>
                <m:t>×</m:t>
              </m:r>
              <m:sSup>
                <m:e>
                  <m:r>
                    <m:t>10</m:t>
                  </m:r>
                </m:e>
                <m:sup>
                  <m:r>
                    <m:t>14</m:t>
                  </m:r>
                </m:sup>
              </m:sSup>
            </m:oMath>
          </w:p>
        </w:tc>
        <w:tc>
          <w:tcPr/>
          <w:p>
            <w:pPr>
              <w:pStyle w:val="Compact"/>
              <w:jc w:val="left"/>
            </w:pPr>
            <w:r>
              <w:t xml:space="preserve">Sub-meter (beyond GPS accuracy)</w:t>
            </w:r>
          </w:p>
        </w:tc>
      </w:tr>
    </w:tbl>
    <w:p>
      <w:pPr>
        <w:pStyle w:val="BodyText"/>
      </w:pPr>
      <w:r>
        <w:t xml:space="preserve">A k-ring query (</w:t>
      </w:r>
      <w:r>
        <w:rPr>
          <w:rStyle w:val="VerbatimChar"/>
        </w:rPr>
        <w:t xml:space="preserve">grid_disk</w:t>
      </w:r>
      <w:r>
        <w:t xml:space="preserve"> </w:t>
      </w:r>
      <w:r>
        <w:t xml:space="preserve">in H3 v4) returns a hexagon and all hexagons within</w:t>
      </w:r>
      <w:r>
        <w:t xml:space="preserve"> </w:t>
      </w:r>
      <m:oMath>
        <m:r>
          <m:t>k</m:t>
        </m:r>
      </m:oMath>
      <w:r>
        <w:t xml:space="preserve"> </w:t>
      </w:r>
      <w:r>
        <w:t xml:space="preserve">steps: 7 cells for</w:t>
      </w:r>
      <w:r>
        <w:t xml:space="preserve"> </w:t>
      </w:r>
      <m:oMath>
        <m:r>
          <m:t>k</m:t>
        </m:r>
        <m:r>
          <m:rPr>
            <m:sty m:val="p"/>
          </m:rPr>
          <m:t>=</m:t>
        </m:r>
        <m:r>
          <m:t>1</m:t>
        </m:r>
      </m:oMath>
      <w:r>
        <w:t xml:space="preserve"> </w:t>
      </w:r>
      <w:r>
        <w:t xml:space="preserve">and 19 for</w:t>
      </w:r>
      <w:r>
        <w:t xml:space="preserve"> </w:t>
      </w:r>
      <m:oMath>
        <m:r>
          <m:t>k</m:t>
        </m:r>
        <m:r>
          <m:rPr>
            <m:sty m:val="p"/>
          </m:rPr>
          <m:t>=</m:t>
        </m:r>
        <m:r>
          <m:t>2</m:t>
        </m:r>
      </m:oMath>
      <w:r>
        <w:t xml:space="preserve"> </w:t>
      </w:r>
      <w:r>
        <w:t xml:space="preserve">(</w:t>
      </w:r>
      <m:oMath>
        <m:r>
          <m:t>1</m:t>
        </m:r>
        <m:r>
          <m:rPr>
            <m:sty m:val="p"/>
          </m:rPr>
          <m:t>+</m:t>
        </m:r>
        <m:r>
          <m:t>3</m:t>
        </m:r>
        <m:r>
          <m:t>k</m:t>
        </m:r>
        <m:d>
          <m:dPr>
            <m:begChr m:val="("/>
            <m:endChr m:val=")"/>
            <m:sepChr m:val=""/>
            <m:grow/>
          </m:dPr>
          <m:e>
            <m:r>
              <m:t>k</m:t>
            </m:r>
            <m:r>
              <m:rPr>
                <m:sty m:val="p"/>
              </m:rPr>
              <m:t>+</m:t>
            </m:r>
            <m:r>
              <m:t>1</m:t>
            </m:r>
          </m:e>
        </m:d>
      </m:oMath>
      <w:r>
        <w:t xml:space="preserve">).</w:t>
      </w:r>
    </w:p>
    <w:p>
      <w:pPr>
        <w:pStyle w:val="CalloutIndustry"/>
      </w:pPr>
      <w:r>
        <w:rPr>
          <w:bCs/>
          <w:b/>
        </w:rPr>
        <w:t xml:space="preserve">INDUSTRY EXAMPLE</w:t>
      </w:r>
    </w:p>
    <w:p>
      <w:pPr>
        <w:pStyle w:val="CalloutIndustry"/>
      </w:pPr>
      <w:r>
        <w:rPr>
          <w:bCs/>
          <w:b/>
        </w:rPr>
        <w:t xml:space="preserve">Uber and Redis.</w:t>
      </w:r>
      <w:r>
        <w:t xml:space="preserve"> </w:t>
      </w:r>
      <w:r>
        <w:t xml:space="preserve">Uber built H3 to analyze supply, demand and pricing by hexagon, using equidistant neighbors to smooth across adjacent areas, and open-sourced it in 2018 [Brodsky 2018; H3 Docs]. Redis’s</w:t>
      </w:r>
      <w:r>
        <w:t xml:space="preserve"> </w:t>
      </w:r>
      <w:r>
        <w:rPr>
          <w:rStyle w:val="VerbatimChar"/>
        </w:rPr>
        <w:t xml:space="preserve">GEOADD</w:t>
      </w:r>
      <w:r>
        <w:t xml:space="preserve">/</w:t>
      </w:r>
      <w:r>
        <w:rPr>
          <w:rStyle w:val="VerbatimChar"/>
        </w:rPr>
        <w:t xml:space="preserve">GEOSEARCH</w:t>
      </w:r>
      <w:r>
        <w:t xml:space="preserve"> </w:t>
      </w:r>
      <w:r>
        <w:t xml:space="preserve">store each member’s 52-bit interleaved geohash as its sorted-set score, so a radius search becomes range scans over covering cells plus a distance filter [Redis Docs: Geospatial].</w:t>
      </w:r>
      <w:r>
        <w:t xml:space="preserve"> </w:t>
      </w:r>
      <w:r>
        <w:rPr>
          <w:iCs/>
          <w:i/>
        </w:rPr>
        <w:t xml:space="preserve">Evidence: Primary</w:t>
      </w:r>
      <w:r>
        <w:t xml:space="preserve"> </w:t>
      </w:r>
      <w:r>
        <w:t xml:space="preserve">— [Brodsky 2018; H3 Docs; Redis Docs]</w:t>
      </w:r>
    </w:p>
    <w:bookmarkEnd w:id="2007"/>
    <w:bookmarkStart w:id="2011" w:name="putting-it-together-a-proximity-service"/>
    <w:p>
      <w:pPr>
        <w:pStyle w:val="Heading3"/>
      </w:pPr>
      <w:r>
        <w:t xml:space="preserve">17.9.6 Putting it together: a proximity service</w:t>
      </w:r>
    </w:p>
    <w:p>
      <w:pPr>
        <w:pStyle w:val="FirstParagraph"/>
      </w:pPr>
      <w:r>
        <w:rPr>
          <w:bCs/>
          <w:b/>
        </w:rPr>
        <w:t xml:space="preserve">Figure 17.13 — A nearby-drivers service built on a cell index.</w:t>
      </w:r>
    </w:p>
    <w:p>
      <w:pPr>
        <w:pStyle w:val="BodyText"/>
      </w:pPr>
      <w:r>
        <w:drawing>
          <wp:inline>
            <wp:extent cx="5334000" cy="346524"/>
            <wp:effectExtent b="0" l="0" r="0" t="0"/>
            <wp:docPr descr="" title="" id="2009" name="Picture"/>
            <a:graphic>
              <a:graphicData uri="http://schemas.openxmlformats.org/drawingml/2006/picture">
                <pic:pic>
                  <pic:nvPicPr>
                    <pic:cNvPr descr="/home/user/System-Design/build/.cache/diagrams/729046120c2f.png" id="2010" name="Picture"/>
                    <pic:cNvPicPr>
                      <a:picLocks noChangeArrowheads="1" noChangeAspect="1"/>
                    </pic:cNvPicPr>
                  </pic:nvPicPr>
                  <pic:blipFill>
                    <a:blip r:embed="rId2008"/>
                    <a:stretch>
                      <a:fillRect/>
                    </a:stretch>
                  </pic:blipFill>
                  <pic:spPr bwMode="auto">
                    <a:xfrm>
                      <a:off x="0" y="0"/>
                      <a:ext cx="5334000" cy="346524"/>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Drivers report every 4 seconds; the location service computes each position’s cell and moves the driver between cells in an in-memory geo index sharded by region. Updates are also appended asynchronously (dotted) to a location stream for analytics and for rebuilding a failed shard. A rider’s request is synchronous: the query service covers the circle with cells, reads candidates, filters by exact distance and ranks by arrival time. Load: 1 million drivers every 4 s is 250,000 writes per second, hence memory and partitioning. Failure points: stale entries from dead apps (use a TTL), hot shards during events (finer cells or shard splits), and circles straddling shard boundaries (two-shard fan-out). Chapter 55 (§55.1, §55.2) develops the full design.</w:t>
      </w:r>
    </w:p>
    <w:p>
      <w:pPr>
        <w:pStyle w:val="BodyText"/>
      </w:pPr>
      <w:r>
        <w:rPr>
          <w:bCs/>
          <w:b/>
        </w:rPr>
        <w:t xml:space="preserve">Table 17.8 — Geospatial indexes compared.</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pPr>
          </w:p>
        </w:tc>
        <w:tc>
          <w:tcPr/>
          <w:p>
            <w:pPr>
              <w:pStyle w:val="Compact"/>
              <w:jc w:val="left"/>
            </w:pPr>
            <w:r>
              <w:t xml:space="preserve">Geohash</w:t>
            </w:r>
          </w:p>
        </w:tc>
        <w:tc>
          <w:tcPr/>
          <w:p>
            <w:pPr>
              <w:pStyle w:val="Compact"/>
              <w:jc w:val="left"/>
            </w:pPr>
            <w:r>
              <w:t xml:space="preserve">Quadtree</w:t>
            </w:r>
          </w:p>
        </w:tc>
        <w:tc>
          <w:tcPr/>
          <w:p>
            <w:pPr>
              <w:pStyle w:val="Compact"/>
              <w:jc w:val="left"/>
            </w:pPr>
            <w:r>
              <w:t xml:space="preserve">S2</w:t>
            </w:r>
          </w:p>
        </w:tc>
        <w:tc>
          <w:tcPr/>
          <w:p>
            <w:pPr>
              <w:pStyle w:val="Compact"/>
              <w:jc w:val="left"/>
            </w:pPr>
            <w:r>
              <w:t xml:space="preserve">H3</w:t>
            </w:r>
          </w:p>
        </w:tc>
        <w:tc>
          <w:tcPr/>
          <w:p>
            <w:pPr>
              <w:pStyle w:val="Compact"/>
              <w:jc w:val="left"/>
            </w:pPr>
            <w:r>
              <w:t xml:space="preserve">R-tree</w:t>
            </w:r>
          </w:p>
        </w:tc>
      </w:tr>
      <w:tr>
        <w:tc>
          <w:tcPr/>
          <w:p>
            <w:pPr>
              <w:pStyle w:val="Compact"/>
              <w:jc w:val="left"/>
            </w:pPr>
            <w:r>
              <w:t xml:space="preserve">Cell shape</w:t>
            </w:r>
          </w:p>
        </w:tc>
        <w:tc>
          <w:tcPr/>
          <w:p>
            <w:pPr>
              <w:pStyle w:val="Compact"/>
              <w:jc w:val="left"/>
            </w:pPr>
            <w:r>
              <w:t xml:space="preserve">Lat/lon rectangles</w:t>
            </w:r>
          </w:p>
        </w:tc>
        <w:tc>
          <w:tcPr/>
          <w:p>
            <w:pPr>
              <w:pStyle w:val="Compact"/>
              <w:jc w:val="left"/>
            </w:pPr>
            <w:r>
              <w:t xml:space="preserve">Adaptive rectangles</w:t>
            </w:r>
          </w:p>
        </w:tc>
        <w:tc>
          <w:tcPr/>
          <w:p>
            <w:pPr>
              <w:pStyle w:val="Compact"/>
              <w:jc w:val="left"/>
            </w:pPr>
            <w:r>
              <w:t xml:space="preserve">Spherical quadrilaterals</w:t>
            </w:r>
          </w:p>
        </w:tc>
        <w:tc>
          <w:tcPr/>
          <w:p>
            <w:pPr>
              <w:pStyle w:val="Compact"/>
              <w:jc w:val="left"/>
            </w:pPr>
            <w:r>
              <w:t xml:space="preserve">Hexagons (+12 pentagons)</w:t>
            </w:r>
          </w:p>
        </w:tc>
        <w:tc>
          <w:tcPr/>
          <w:p>
            <w:pPr>
              <w:pStyle w:val="Compact"/>
              <w:jc w:val="left"/>
            </w:pPr>
            <w:r>
              <w:t xml:space="preserve">Bounding boxes of data</w:t>
            </w:r>
          </w:p>
        </w:tc>
      </w:tr>
      <w:tr>
        <w:tc>
          <w:tcPr/>
          <w:p>
            <w:pPr>
              <w:pStyle w:val="Compact"/>
              <w:jc w:val="left"/>
            </w:pPr>
            <w:r>
              <w:t xml:space="preserve">Key</w:t>
            </w:r>
          </w:p>
        </w:tc>
        <w:tc>
          <w:tcPr/>
          <w:p>
            <w:pPr>
              <w:pStyle w:val="Compact"/>
              <w:jc w:val="left"/>
            </w:pPr>
            <w:r>
              <w:t xml:space="preserve">Base-32 string (prefix = parent)</w:t>
            </w:r>
          </w:p>
        </w:tc>
        <w:tc>
          <w:tcPr/>
          <w:p>
            <w:pPr>
              <w:pStyle w:val="Compact"/>
              <w:jc w:val="left"/>
            </w:pPr>
            <w:r>
              <w:t xml:space="preserve">Tree path</w:t>
            </w:r>
          </w:p>
        </w:tc>
        <w:tc>
          <w:tcPr/>
          <w:p>
            <w:pPr>
              <w:pStyle w:val="Compact"/>
              <w:jc w:val="left"/>
            </w:pPr>
            <w:r>
              <w:t xml:space="preserve">64-bit ID (range = parent)</w:t>
            </w:r>
          </w:p>
        </w:tc>
        <w:tc>
          <w:tcPr/>
          <w:p>
            <w:pPr>
              <w:pStyle w:val="Compact"/>
              <w:jc w:val="left"/>
            </w:pPr>
            <w:r>
              <w:t xml:space="preserve">64-bit ID</w:t>
            </w:r>
          </w:p>
        </w:tc>
        <w:tc>
          <w:tcPr/>
          <w:p>
            <w:pPr>
              <w:pStyle w:val="Compact"/>
              <w:jc w:val="left"/>
            </w:pPr>
            <w:r>
              <w:t xml:space="preserve">None (tree pages)</w:t>
            </w:r>
          </w:p>
        </w:tc>
      </w:tr>
      <w:tr>
        <w:tc>
          <w:tcPr/>
          <w:p>
            <w:pPr>
              <w:pStyle w:val="Compact"/>
              <w:jc w:val="left"/>
            </w:pPr>
            <w:r>
              <w:t xml:space="preserve">Adapts to density</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 (coverer mixes levels)</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Works in any ordered store</w:t>
            </w:r>
          </w:p>
        </w:tc>
        <w:tc>
          <w:tcPr/>
          <w:p>
            <w:pPr>
              <w:pStyle w:val="Compact"/>
              <w:jc w:val="left"/>
            </w:pPr>
            <w:r>
              <w:t xml:space="preserve">Yes</w:t>
            </w:r>
          </w:p>
        </w:tc>
        <w:tc>
          <w:tcPr/>
          <w:p>
            <w:pPr>
              <w:pStyle w:val="Compact"/>
              <w:jc w:val="left"/>
            </w:pPr>
            <w:r>
              <w:t xml:space="preserve">No (in memory)</w:t>
            </w:r>
          </w:p>
        </w:tc>
        <w:tc>
          <w:tcPr/>
          <w:p>
            <w:pPr>
              <w:pStyle w:val="Compact"/>
              <w:jc w:val="left"/>
            </w:pPr>
            <w:r>
              <w:t xml:space="preserve">Yes</w:t>
            </w:r>
          </w:p>
        </w:tc>
        <w:tc>
          <w:tcPr/>
          <w:p>
            <w:pPr>
              <w:pStyle w:val="Compact"/>
              <w:jc w:val="left"/>
            </w:pPr>
            <w:r>
              <w:t xml:space="preserve">Yes (exact match per cell)</w:t>
            </w:r>
          </w:p>
        </w:tc>
        <w:tc>
          <w:tcPr/>
          <w:p>
            <w:pPr>
              <w:pStyle w:val="Compact"/>
              <w:jc w:val="left"/>
            </w:pPr>
            <w:r>
              <w:t xml:space="preserve">No (specialized index)</w:t>
            </w:r>
          </w:p>
        </w:tc>
      </w:tr>
      <w:tr>
        <w:tc>
          <w:tcPr/>
          <w:p>
            <w:pPr>
              <w:pStyle w:val="Compact"/>
              <w:jc w:val="left"/>
            </w:pPr>
            <w:r>
              <w:t xml:space="preserve">Distortion</w:t>
            </w:r>
          </w:p>
        </w:tc>
        <w:tc>
          <w:tcPr/>
          <w:p>
            <w:pPr>
              <w:pStyle w:val="Compact"/>
              <w:jc w:val="left"/>
            </w:pPr>
            <w:r>
              <w:t xml:space="preserve">High near poles</w:t>
            </w:r>
          </w:p>
        </w:tc>
        <w:tc>
          <w:tcPr/>
          <w:p>
            <w:pPr>
              <w:pStyle w:val="Compact"/>
              <w:jc w:val="left"/>
            </w:pPr>
            <w:r>
              <w:t xml:space="preserve">Depends on projection</w:t>
            </w:r>
          </w:p>
        </w:tc>
        <w:tc>
          <w:tcPr/>
          <w:p>
            <w:pPr>
              <w:pStyle w:val="Compact"/>
              <w:jc w:val="left"/>
            </w:pPr>
            <w:r>
              <w:t xml:space="preserve">Low</w:t>
            </w:r>
          </w:p>
        </w:tc>
        <w:tc>
          <w:tcPr/>
          <w:p>
            <w:pPr>
              <w:pStyle w:val="Compact"/>
              <w:jc w:val="left"/>
            </w:pPr>
            <w:r>
              <w:t xml:space="preserve">Low</w:t>
            </w:r>
          </w:p>
        </w:tc>
        <w:tc>
          <w:tcPr/>
          <w:p>
            <w:pPr>
              <w:pStyle w:val="Compact"/>
              <w:jc w:val="left"/>
            </w:pPr>
            <w:r>
              <w:t xml:space="preserve">—</w:t>
            </w:r>
          </w:p>
        </w:tc>
      </w:tr>
      <w:tr>
        <w:tc>
          <w:tcPr/>
          <w:p>
            <w:pPr>
              <w:pStyle w:val="Compact"/>
              <w:jc w:val="left"/>
            </w:pPr>
            <w:r>
              <w:t xml:space="preserve">Neighbor queries</w:t>
            </w:r>
          </w:p>
        </w:tc>
        <w:tc>
          <w:tcPr/>
          <w:p>
            <w:pPr>
              <w:pStyle w:val="Compact"/>
              <w:jc w:val="left"/>
            </w:pPr>
            <w:r>
              <w:t xml:space="preserve">8 neighbors, boundary quirks</w:t>
            </w:r>
          </w:p>
        </w:tc>
        <w:tc>
          <w:tcPr/>
          <w:p>
            <w:pPr>
              <w:pStyle w:val="Compact"/>
              <w:jc w:val="left"/>
            </w:pPr>
            <w:r>
              <w:t xml:space="preserve">Tree walk</w:t>
            </w:r>
          </w:p>
        </w:tc>
        <w:tc>
          <w:tcPr/>
          <w:p>
            <w:pPr>
              <w:pStyle w:val="Compact"/>
              <w:jc w:val="left"/>
            </w:pPr>
            <w:r>
              <w:t xml:space="preserve">Edge neighbors</w:t>
            </w:r>
          </w:p>
        </w:tc>
        <w:tc>
          <w:tcPr/>
          <w:p>
            <w:pPr>
              <w:pStyle w:val="Compact"/>
              <w:jc w:val="left"/>
            </w:pPr>
            <w:r>
              <w:t xml:space="preserve">Uniform rings</w:t>
            </w:r>
          </w:p>
        </w:tc>
        <w:tc>
          <w:tcPr/>
          <w:p>
            <w:pPr>
              <w:pStyle w:val="Compact"/>
              <w:jc w:val="left"/>
            </w:pPr>
            <w:r>
              <w:t xml:space="preserve">Box overlap</w:t>
            </w:r>
          </w:p>
        </w:tc>
      </w:tr>
      <w:tr>
        <w:tc>
          <w:tcPr/>
          <w:p>
            <w:pPr>
              <w:pStyle w:val="Compact"/>
              <w:jc w:val="left"/>
            </w:pPr>
            <w:r>
              <w:t xml:space="preserve">Choose when</w:t>
            </w:r>
          </w:p>
        </w:tc>
        <w:tc>
          <w:tcPr/>
          <w:p>
            <w:pPr>
              <w:pStyle w:val="Compact"/>
              <w:jc w:val="left"/>
            </w:pPr>
            <w:r>
              <w:t xml:space="preserve">Simple prefix/range scans, Redis, Elasticsearch</w:t>
            </w:r>
          </w:p>
        </w:tc>
        <w:tc>
          <w:tcPr/>
          <w:p>
            <w:pPr>
              <w:pStyle w:val="Compact"/>
              <w:jc w:val="left"/>
            </w:pPr>
            <w:r>
              <w:t xml:space="preserve">In-memory dynamic points</w:t>
            </w:r>
          </w:p>
        </w:tc>
        <w:tc>
          <w:tcPr/>
          <w:p>
            <w:pPr>
              <w:pStyle w:val="Compact"/>
              <w:jc w:val="left"/>
            </w:pPr>
            <w:r>
              <w:t xml:space="preserve">Global coverage, polygons, ranges on integers</w:t>
            </w:r>
          </w:p>
        </w:tc>
        <w:tc>
          <w:tcPr/>
          <w:p>
            <w:pPr>
              <w:pStyle w:val="Compact"/>
              <w:jc w:val="left"/>
            </w:pPr>
            <w:r>
              <w:t xml:space="preserve">Movement analytics, aggregation, pricing</w:t>
            </w:r>
          </w:p>
        </w:tc>
        <w:tc>
          <w:tcPr/>
          <w:p>
            <w:pPr>
              <w:pStyle w:val="Compact"/>
              <w:jc w:val="left"/>
            </w:pPr>
            <w:r>
              <w:t xml:space="preserve">Polygons and shapes in PostGIS (GiST)</w:t>
            </w:r>
          </w:p>
        </w:tc>
      </w:tr>
    </w:tbl>
    <w:p>
      <w:pPr>
        <w:pStyle w:val="CalloutMistake"/>
      </w:pPr>
      <w:r>
        <w:rPr>
          <w:bCs/>
          <w:b/>
        </w:rPr>
        <w:t xml:space="preserve">COMMON MISTAKE</w:t>
      </w:r>
    </w:p>
    <w:p>
      <w:pPr>
        <w:pStyle w:val="CalloutMistake"/>
      </w:pPr>
      <w:r>
        <w:rPr>
          <w:bCs/>
          <w:b/>
        </w:rPr>
        <w:t xml:space="preserve">“</w:t>
      </w:r>
      <w:r>
        <w:rPr>
          <w:bCs/>
          <w:b/>
        </w:rPr>
        <w:t xml:space="preserve">Searching the 3 × 3 block of geohash cells finds everything within the radius.</w:t>
      </w:r>
      <w:r>
        <w:rPr>
          <w:bCs/>
          <w:b/>
        </w:rPr>
        <w:t xml:space="preserve">”</w:t>
      </w:r>
      <w:r>
        <w:t xml:space="preserve"> </w:t>
      </w:r>
      <w:r>
        <w:t xml:space="preserve">Only if the cell’s smaller side is at least the radius, and widths shrink with latitude; the measurement above lost 5.8% at 1 km. Derive precision from radius and latitude, or use a region coverer.</w:t>
      </w:r>
    </w:p>
    <w:bookmarkEnd w:id="2011"/>
    <w:bookmarkEnd w:id="2012"/>
    <w:bookmarkStart w:id="2025" w:name="unique-id-generation"/>
    <w:p>
      <w:pPr>
        <w:pStyle w:val="Heading2"/>
      </w:pPr>
      <w:r>
        <w:t xml:space="preserve">17.10 Unique ID generation</w:t>
      </w:r>
    </w:p>
    <w:bookmarkStart w:id="2013" w:name="what-an-id-scheme-must-provide"/>
    <w:p>
      <w:pPr>
        <w:pStyle w:val="Heading3"/>
      </w:pPr>
      <w:r>
        <w:t xml:space="preserve">17.10.1 What an ID scheme must provide</w:t>
      </w:r>
    </w:p>
    <w:p>
      <w:pPr>
        <w:pStyle w:val="FirstParagraph"/>
      </w:pPr>
      <w:r>
        <w:t xml:space="preserve">Every row, message, order and event needs an identifier. On one database, an auto-increment column does the job. Across hundreds of services and partitioned databases, you need IDs that are:</w:t>
      </w:r>
    </w:p>
    <w:p>
      <w:pPr>
        <w:numPr>
          <w:ilvl w:val="0"/>
          <w:numId w:val="1585"/>
        </w:numPr>
        <w:pStyle w:val="Compact"/>
      </w:pPr>
      <w:r>
        <w:rPr>
          <w:bCs/>
          <w:b/>
        </w:rPr>
        <w:t xml:space="preserve">Unique</w:t>
      </w:r>
      <w:r>
        <w:t xml:space="preserve"> </w:t>
      </w:r>
      <w:r>
        <w:t xml:space="preserve">across all generators, forever.</w:t>
      </w:r>
    </w:p>
    <w:p>
      <w:pPr>
        <w:numPr>
          <w:ilvl w:val="0"/>
          <w:numId w:val="1585"/>
        </w:numPr>
        <w:pStyle w:val="Compact"/>
      </w:pPr>
      <w:r>
        <w:rPr>
          <w:bCs/>
          <w:b/>
        </w:rPr>
        <w:t xml:space="preserve">Generated without coordination</w:t>
      </w:r>
      <w:r>
        <w:t xml:space="preserve"> </w:t>
      </w:r>
      <w:r>
        <w:t xml:space="preserve">on the hot path, so that ID creation adds no network round trip and survives the loss of any central service.</w:t>
      </w:r>
    </w:p>
    <w:p>
      <w:pPr>
        <w:numPr>
          <w:ilvl w:val="0"/>
          <w:numId w:val="1585"/>
        </w:numPr>
        <w:pStyle w:val="Compact"/>
      </w:pPr>
      <w:r>
        <w:rPr>
          <w:bCs/>
          <w:b/>
        </w:rPr>
        <w:t xml:space="preserve">Roughly time-ordered</w:t>
      </w:r>
      <w:r>
        <w:t xml:space="preserve"> </w:t>
      </w:r>
      <w:r>
        <w:t xml:space="preserve">(</w:t>
      </w:r>
      <w:r>
        <w:rPr>
          <w:bCs/>
          <w:b/>
        </w:rPr>
        <w:t xml:space="preserve">k-sortable</w:t>
      </w:r>
      <w:r>
        <w:t xml:space="preserve">): later IDs sort later, keeping B-tree inserts at the index’s right edge (§11.8, §13.6) and enabling pagination and recent-item range scans.</w:t>
      </w:r>
    </w:p>
    <w:p>
      <w:pPr>
        <w:numPr>
          <w:ilvl w:val="0"/>
          <w:numId w:val="1585"/>
        </w:numPr>
        <w:pStyle w:val="Compact"/>
      </w:pPr>
      <w:r>
        <w:rPr>
          <w:bCs/>
          <w:b/>
        </w:rPr>
        <w:t xml:space="preserve">Compact</w:t>
      </w:r>
      <w:r>
        <w:t xml:space="preserve">: 64 bits fits a</w:t>
      </w:r>
      <w:r>
        <w:t xml:space="preserve"> </w:t>
      </w:r>
      <w:r>
        <w:rPr>
          <w:rStyle w:val="VerbatimChar"/>
        </w:rPr>
        <w:t xml:space="preserve">BIGINT</w:t>
      </w:r>
      <w:r>
        <w:t xml:space="preserve"> </w:t>
      </w:r>
      <w:r>
        <w:t xml:space="preserve">and halves index size compared with 128 bits.</w:t>
      </w:r>
    </w:p>
    <w:p>
      <w:pPr>
        <w:numPr>
          <w:ilvl w:val="0"/>
          <w:numId w:val="1585"/>
        </w:numPr>
        <w:pStyle w:val="Compact"/>
      </w:pPr>
      <w:r>
        <w:rPr>
          <w:bCs/>
          <w:b/>
        </w:rPr>
        <w:t xml:space="preserve">Not leaking</w:t>
      </w:r>
      <w:r>
        <w:t xml:space="preserve"> </w:t>
      </w:r>
      <w:r>
        <w:t xml:space="preserve">information you would rather hide, such as exact creation time, order volume or which machine created the record.</w:t>
      </w:r>
    </w:p>
    <w:p>
      <w:pPr>
        <w:pStyle w:val="FirstParagraph"/>
      </w:pPr>
      <w:r>
        <w:t xml:space="preserve">No scheme maximizes all five. The rest of this section compares the main families.</w:t>
      </w:r>
    </w:p>
    <w:bookmarkEnd w:id="2013"/>
    <w:bookmarkStart w:id="2014" w:name="uuidv4-and-uuidv7"/>
    <w:p>
      <w:pPr>
        <w:pStyle w:val="Heading3"/>
      </w:pPr>
      <w:r>
        <w:t xml:space="preserve">17.10.2 UUIDv4 and UUIDv7</w:t>
      </w:r>
    </w:p>
    <w:p>
      <w:pPr>
        <w:pStyle w:val="FirstParagraph"/>
      </w:pPr>
      <w:r>
        <w:t xml:space="preserve">RFC 9562 (May 2024) defines the current 128-bit</w:t>
      </w:r>
      <w:r>
        <w:t xml:space="preserve"> </w:t>
      </w:r>
      <w:r>
        <w:rPr>
          <w:bCs/>
          <w:b/>
        </w:rPr>
        <w:t xml:space="preserve">UUID</w:t>
      </w:r>
      <w:r>
        <w:t xml:space="preserve"> </w:t>
      </w:r>
      <w:r>
        <w:t xml:space="preserve">versions and replaces RFC 4122 [RFC 9562].</w:t>
      </w:r>
      <w:r>
        <w:t xml:space="preserve"> </w:t>
      </w:r>
      <w:r>
        <w:rPr>
          <w:bCs/>
          <w:b/>
        </w:rPr>
        <w:t xml:space="preserve">UUIDv4</w:t>
      </w:r>
      <w:r>
        <w:t xml:space="preserve"> </w:t>
      </w:r>
      <w:r>
        <w:t xml:space="preserve">is 122 random bits plus version and variant bits.</w:t>
      </w:r>
      <w:r>
        <w:t xml:space="preserve"> </w:t>
      </w:r>
      <w:r>
        <w:rPr>
          <w:bCs/>
          <w:b/>
        </w:rPr>
        <w:t xml:space="preserve">UUIDv7</w:t>
      </w:r>
      <w:r>
        <w:t xml:space="preserve"> </w:t>
      </w:r>
      <w:r>
        <w:t xml:space="preserve">starts with a 48-bit Unix millisecond timestamp, then the version, 12 bits of randomness or sub-millisecond counter, the variant and 62 random bits, so it sorts by creation time. Random UUIDv4 keys hit a random B-tree leaf on every insert; once the index exceeds memory, most inserts read a page and split pages all over the tree. UUIDv7 inserts land on the hot rightmost pages.</w:t>
      </w:r>
    </w:p>
    <w:p>
      <w:pPr>
        <w:pStyle w:val="BodyText"/>
      </w:pPr>
      <w:r>
        <w:t xml:space="preserve">Collisions between random IDs are governed by the birthday bound (§10.4.1).</w:t>
      </w:r>
    </w:p>
    <w:p>
      <w:pPr>
        <w:pStyle w:val="CalloutFormula"/>
      </w:pPr>
      <w:r>
        <w:rPr>
          <w:bCs/>
          <w:b/>
        </w:rPr>
        <w:t xml:space="preserve">FORMULA</w:t>
      </w:r>
    </w:p>
    <w:p>
      <w:pPr>
        <w:pStyle w:val="CalloutFormula"/>
      </w:pPr>
      <w:r>
        <w:rPr>
          <w:bCs/>
          <w:b/>
        </w:rPr>
        <w:t xml:space="preserve">Birthday bound for random identifiers</w:t>
      </w:r>
    </w:p>
    <w:p>
      <w:pPr>
        <w:pStyle w:val="CalloutFormula"/>
      </w:pPr>
      <m:oMathPara>
        <m:oMathParaPr>
          <m:jc m:val="center"/>
        </m:oMathParaPr>
        <m:oMath>
          <m:sSub>
            <m:e>
              <m:r>
                <m:t>P</m:t>
              </m:r>
            </m:e>
            <m:sub>
              <m:r>
                <m:rPr>
                  <m:nor/>
                  <m:sty m:val="p"/>
                </m:rPr>
                <m:t>collision</m:t>
              </m:r>
            </m:sub>
          </m:sSub>
          <m:r>
            <m:rPr>
              <m:sty m:val="p"/>
            </m:rPr>
            <m:t>≈</m:t>
          </m:r>
          <m:r>
            <m:t>1</m:t>
          </m:r>
          <m:r>
            <m:rPr>
              <m:sty m:val="p"/>
            </m:rPr>
            <m:t>−</m:t>
          </m:r>
          <m:sSup>
            <m:e>
              <m:r>
                <m:t>e</m:t>
              </m:r>
            </m:e>
            <m:sup>
              <m:r>
                <m:rPr>
                  <m:sty m:val="p"/>
                </m:rPr>
                <m:t>−</m:t>
              </m:r>
              <m:sSup>
                <m:e>
                  <m:r>
                    <m:t>n</m:t>
                  </m:r>
                </m:e>
                <m:sup>
                  <m:r>
                    <m:t>2</m:t>
                  </m:r>
                </m:sup>
              </m:sSup>
              <m:r>
                <m:rPr>
                  <m:sty m:val="p"/>
                </m:rPr>
                <m:t>/</m:t>
              </m:r>
              <m:d>
                <m:dPr>
                  <m:begChr m:val="("/>
                  <m:endChr m:val=")"/>
                  <m:sepChr m:val=""/>
                  <m:grow/>
                </m:dPr>
                <m:e>
                  <m:r>
                    <m:t>2</m:t>
                  </m:r>
                  <m:r>
                    <m:t>N</m:t>
                  </m:r>
                </m:e>
              </m:d>
            </m:sup>
          </m:sSup>
          <m:r>
            <m:rPr>
              <m:sty m:val="p"/>
            </m:rPr>
            <m:t>≈</m:t>
          </m:r>
          <m:f>
            <m:fPr>
              <m:type m:val="bar"/>
            </m:fPr>
            <m:num>
              <m:sSup>
                <m:e>
                  <m:r>
                    <m:t>n</m:t>
                  </m:r>
                </m:e>
                <m:sup>
                  <m:r>
                    <m:t>2</m:t>
                  </m:r>
                </m:sup>
              </m:sSup>
            </m:num>
            <m:den>
              <m:r>
                <m:t>2</m:t>
              </m:r>
              <m:r>
                <m:t>N</m:t>
              </m:r>
            </m:den>
          </m:f>
          <m:r>
            <m:t> </m:t>
          </m:r>
          <m:r>
            <m:t> </m:t>
          </m:r>
          <m:d>
            <m:dPr>
              <m:begChr m:val="("/>
              <m:endChr m:val=")"/>
              <m:sepChr m:val=""/>
              <m:grow/>
            </m:dPr>
            <m:e>
              <m:r>
                <m:rPr>
                  <m:nor/>
                  <m:sty m:val="p"/>
                </m:rPr>
                <m:t>when small</m:t>
              </m:r>
            </m:e>
          </m:d>
          <m:r>
            <m:rPr>
              <m:sty m:val="p"/>
            </m:rPr>
            <m:t>,</m:t>
          </m:r>
          <m:r>
            <m:t>  </m:t>
          </m:r>
          <m:sSub>
            <m:e>
              <m:r>
                <m:t>n</m:t>
              </m:r>
            </m:e>
            <m:sub>
              <m:r>
                <m:t>50</m:t>
              </m:r>
              <m:r>
                <m:rPr>
                  <m:sty m:val="p"/>
                </m:rPr>
                <m:t>%</m:t>
              </m:r>
            </m:sub>
          </m:sSub>
          <m:r>
            <m:rPr>
              <m:sty m:val="p"/>
            </m:rPr>
            <m:t>≈</m:t>
          </m:r>
          <m:rad>
            <m:radPr>
              <m:degHide m:val="on"/>
            </m:radPr>
            <m:deg/>
            <m:e>
              <m:r>
                <m:t>2</m:t>
              </m:r>
              <m:r>
                <m:t>N</m:t>
              </m:r>
              <m:r>
                <m:rPr>
                  <m:sty m:val="p"/>
                </m:rPr>
                <m:t>ln</m:t>
              </m:r>
              <m:r>
                <m:t>2</m:t>
              </m:r>
            </m:e>
          </m:rad>
          <m:r>
            <m:rPr>
              <m:sty m:val="p"/>
            </m:rPr>
            <m:t>≈</m:t>
          </m:r>
          <m:r>
            <m:t>1.18</m:t>
          </m:r>
          <m:rad>
            <m:radPr>
              <m:degHide m:val="on"/>
            </m:radPr>
            <m:deg/>
            <m:e>
              <m:r>
                <m:t>N</m:t>
              </m:r>
            </m:e>
          </m:rad>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n</m:t>
              </m:r>
            </m:oMath>
          </w:p>
        </w:tc>
        <w:tc>
          <w:tcPr/>
          <w:p>
            <w:pPr>
              <w:pStyle w:val="Compact"/>
              <w:jc w:val="left"/>
            </w:pPr>
            <w:r>
              <w:t xml:space="preserve">Number of IDs generated within one collision domain</w:t>
            </w:r>
          </w:p>
        </w:tc>
        <w:tc>
          <w:tcPr/>
          <w:p>
            <w:pPr>
              <w:pStyle w:val="Compact"/>
              <w:jc w:val="left"/>
            </w:pPr>
            <w:r>
              <w:t xml:space="preserve">IDs</w:t>
            </w:r>
          </w:p>
        </w:tc>
      </w:tr>
      <w:tr>
        <w:tc>
          <w:tcPr/>
          <w:p>
            <w:pPr>
              <w:pStyle w:val="Compact"/>
              <w:jc w:val="left"/>
            </w:pPr>
            <m:oMath>
              <m:r>
                <m:t>N</m:t>
              </m:r>
            </m:oMath>
          </w:p>
        </w:tc>
        <w:tc>
          <w:tcPr/>
          <w:p>
            <w:pPr>
              <w:pStyle w:val="Compact"/>
              <w:jc w:val="left"/>
            </w:pPr>
            <w:r>
              <w:t xml:space="preserve">Number of possible values,</w:t>
            </w:r>
            <w:r>
              <w:t xml:space="preserve"> </w:t>
            </w:r>
            <m:oMath>
              <m:sSup>
                <m:e>
                  <m:r>
                    <m:t>2</m:t>
                  </m:r>
                </m:e>
                <m:sup>
                  <m:r>
                    <m:rPr>
                      <m:nor/>
                      <m:sty m:val="p"/>
                    </m:rPr>
                    <m:t>random bits</m:t>
                  </m:r>
                </m:sup>
              </m:sSup>
            </m:oMath>
          </w:p>
        </w:tc>
        <w:tc>
          <w:tcPr/>
          <w:p>
            <w:pPr>
              <w:pStyle w:val="Compact"/>
              <w:jc w:val="left"/>
            </w:pPr>
            <w:r>
              <w:t xml:space="preserve">values</w:t>
            </w:r>
          </w:p>
        </w:tc>
      </w:tr>
      <w:tr>
        <w:tc>
          <w:tcPr/>
          <w:p>
            <w:pPr>
              <w:pStyle w:val="Compact"/>
              <w:jc w:val="left"/>
            </w:pPr>
            <m:oMath>
              <m:sSub>
                <m:e>
                  <m:r>
                    <m:t>P</m:t>
                  </m:r>
                </m:e>
                <m:sub>
                  <m:r>
                    <m:rPr>
                      <m:nor/>
                      <m:sty m:val="p"/>
                    </m:rPr>
                    <m:t>collision</m:t>
                  </m:r>
                </m:sub>
              </m:sSub>
            </m:oMath>
          </w:p>
        </w:tc>
        <w:tc>
          <w:tcPr/>
          <w:p>
            <w:pPr>
              <w:pStyle w:val="Compact"/>
              <w:jc w:val="left"/>
            </w:pPr>
            <w:r>
              <w:t xml:space="preserve">Probability that at least two IDs are equal</w:t>
            </w:r>
          </w:p>
        </w:tc>
        <w:tc>
          <w:tcPr/>
          <w:p>
            <w:pPr>
              <w:pStyle w:val="Compact"/>
              <w:jc w:val="left"/>
            </w:pPr>
            <w:r>
              <w:t xml:space="preserve">probability</w:t>
            </w:r>
          </w:p>
        </w:tc>
      </w:tr>
      <w:tr>
        <w:tc>
          <w:tcPr/>
          <w:p>
            <w:pPr>
              <w:pStyle w:val="Compact"/>
              <w:jc w:val="left"/>
            </w:pPr>
            <m:oMath>
              <m:sSub>
                <m:e>
                  <m:r>
                    <m:t>n</m:t>
                  </m:r>
                </m:e>
                <m:sub>
                  <m:r>
                    <m:t>50</m:t>
                  </m:r>
                  <m:r>
                    <m:rPr>
                      <m:sty m:val="p"/>
                    </m:rPr>
                    <m:t>%</m:t>
                  </m:r>
                </m:sub>
              </m:sSub>
            </m:oMath>
          </w:p>
        </w:tc>
        <w:tc>
          <w:tcPr/>
          <w:p>
            <w:pPr>
              <w:pStyle w:val="Compact"/>
              <w:jc w:val="left"/>
            </w:pPr>
            <w:r>
              <w:t xml:space="preserve">Number of IDs at which a collision becomes a coin flip</w:t>
            </w:r>
          </w:p>
        </w:tc>
        <w:tc>
          <w:tcPr/>
          <w:p>
            <w:pPr>
              <w:pStyle w:val="Compact"/>
              <w:jc w:val="left"/>
            </w:pPr>
            <w:r>
              <w:t xml:space="preserve">IDs</w:t>
            </w:r>
          </w:p>
        </w:tc>
      </w:tr>
    </w:tbl>
    <w:p>
      <w:pPr>
        <w:pStyle w:val="CalloutExample"/>
      </w:pPr>
      <w:r>
        <w:rPr>
          <w:bCs/>
          <w:b/>
        </w:rPr>
        <w:t xml:space="preserve">WORKED EXAMPLE</w:t>
      </w:r>
    </w:p>
    <w:p>
      <w:pPr>
        <w:pStyle w:val="CalloutExample"/>
      </w:pPr>
      <w:r>
        <w:rPr>
          <w:bCs/>
          <w:b/>
        </w:rPr>
        <w:t xml:space="preserve">Worked example — how safe are UUIDv4 and UUIDv7?</w:t>
      </w:r>
    </w:p>
    <w:p>
      <w:pPr>
        <w:numPr>
          <w:ilvl w:val="0"/>
          <w:numId w:val="1586"/>
        </w:numPr>
        <w:pStyle w:val="Compact"/>
      </w:pPr>
      <w:r>
        <w:t xml:space="preserve">UUIDv4:</w:t>
      </w:r>
      <w:r>
        <w:t xml:space="preserve"> </w:t>
      </w:r>
      <m:oMath>
        <m:r>
          <m:t>N</m:t>
        </m:r>
        <m:r>
          <m:rPr>
            <m:sty m:val="p"/>
          </m:rPr>
          <m:t>=</m:t>
        </m:r>
        <m:sSup>
          <m:e>
            <m:r>
              <m:t>2</m:t>
            </m:r>
          </m:e>
          <m:sup>
            <m:r>
              <m:t>122</m:t>
            </m:r>
          </m:sup>
        </m:sSup>
        <m:r>
          <m:rPr>
            <m:sty m:val="p"/>
          </m:rPr>
          <m:t>=</m:t>
        </m:r>
        <m:r>
          <m:t>5.3</m:t>
        </m:r>
        <m:r>
          <m:rPr>
            <m:sty m:val="p"/>
          </m:rPr>
          <m:t>×</m:t>
        </m:r>
        <m:sSup>
          <m:e>
            <m:r>
              <m:t>10</m:t>
            </m:r>
          </m:e>
          <m:sup>
            <m:r>
              <m:t>36</m:t>
            </m:r>
          </m:sup>
        </m:sSup>
      </m:oMath>
      <w:r>
        <w:t xml:space="preserve">. For one trillion IDs,</w:t>
      </w:r>
      <w:r>
        <w:t xml:space="preserve"> </w:t>
      </w:r>
      <m:oMath>
        <m:sSup>
          <m:e>
            <m:r>
              <m:t>n</m:t>
            </m:r>
          </m:e>
          <m:sup>
            <m:r>
              <m:t>2</m:t>
            </m:r>
          </m:sup>
        </m:sSup>
        <m:r>
          <m:rPr>
            <m:sty m:val="p"/>
          </m:rPr>
          <m:t>/</m:t>
        </m:r>
        <m:d>
          <m:dPr>
            <m:begChr m:val="("/>
            <m:endChr m:val=")"/>
            <m:sepChr m:val=""/>
            <m:grow/>
          </m:dPr>
          <m:e>
            <m:r>
              <m:t>2</m:t>
            </m:r>
            <m:r>
              <m:t>N</m:t>
            </m:r>
          </m:e>
        </m:d>
        <m:r>
          <m:rPr>
            <m:sty m:val="p"/>
          </m:rPr>
          <m:t>=</m:t>
        </m:r>
        <m:sSup>
          <m:e>
            <m:r>
              <m:t>10</m:t>
            </m:r>
          </m:e>
          <m:sup>
            <m:r>
              <m:t>24</m:t>
            </m:r>
          </m:sup>
        </m:sSup>
        <m:r>
          <m:rPr>
            <m:sty m:val="p"/>
          </m:rPr>
          <m:t>/</m:t>
        </m:r>
        <m:d>
          <m:dPr>
            <m:begChr m:val="("/>
            <m:endChr m:val=")"/>
            <m:sepChr m:val=""/>
            <m:grow/>
          </m:dPr>
          <m:e>
            <m:r>
              <m:t>1.06</m:t>
            </m:r>
            <m:r>
              <m:rPr>
                <m:sty m:val="p"/>
              </m:rPr>
              <m:t>×</m:t>
            </m:r>
            <m:sSup>
              <m:e>
                <m:r>
                  <m:t>10</m:t>
                </m:r>
              </m:e>
              <m:sup>
                <m:r>
                  <m:t>37</m:t>
                </m:r>
              </m:sup>
            </m:sSup>
          </m:e>
        </m:d>
        <m:r>
          <m:rPr>
            <m:sty m:val="p"/>
          </m:rPr>
          <m:t>=</m:t>
        </m:r>
        <m:r>
          <m:t>9.4</m:t>
        </m:r>
        <m:r>
          <m:rPr>
            <m:sty m:val="p"/>
          </m:rPr>
          <m:t>×</m:t>
        </m:r>
        <m:sSup>
          <m:e>
            <m:r>
              <m:t>10</m:t>
            </m:r>
          </m:e>
          <m:sup>
            <m:r>
              <m:rPr>
                <m:sty m:val="p"/>
              </m:rPr>
              <m:t>−</m:t>
            </m:r>
            <m:r>
              <m:t>14</m:t>
            </m:r>
          </m:sup>
        </m:sSup>
      </m:oMath>
      <w:r>
        <w:t xml:space="preserve">. A coin-flip collision needs</w:t>
      </w:r>
      <w:r>
        <w:t xml:space="preserve"> </w:t>
      </w:r>
      <m:oMath>
        <m:sSub>
          <m:e>
            <m:r>
              <m:t>n</m:t>
            </m:r>
          </m:e>
          <m:sub>
            <m:r>
              <m:t>50</m:t>
            </m:r>
            <m:r>
              <m:rPr>
                <m:sty m:val="p"/>
              </m:rPr>
              <m:t>%</m:t>
            </m:r>
          </m:sub>
        </m:sSub>
        <m:r>
          <m:rPr>
            <m:sty m:val="p"/>
          </m:rPr>
          <m:t>=</m:t>
        </m:r>
        <m:r>
          <m:t>1.18</m:t>
        </m:r>
        <m:r>
          <m:rPr>
            <m:sty m:val="p"/>
          </m:rPr>
          <m:t>×</m:t>
        </m:r>
        <m:rad>
          <m:radPr>
            <m:degHide m:val="on"/>
          </m:radPr>
          <m:deg/>
          <m:e>
            <m:r>
              <m:t>5.3</m:t>
            </m:r>
            <m:r>
              <m:rPr>
                <m:sty m:val="p"/>
              </m:rPr>
              <m:t>×</m:t>
            </m:r>
            <m:sSup>
              <m:e>
                <m:r>
                  <m:t>10</m:t>
                </m:r>
              </m:e>
              <m:sup>
                <m:r>
                  <m:t>36</m:t>
                </m:r>
              </m:sup>
            </m:sSup>
          </m:e>
        </m:rad>
        <m:r>
          <m:rPr>
            <m:sty m:val="p"/>
          </m:rPr>
          <m:t>=</m:t>
        </m:r>
        <m:r>
          <m:t>2.7</m:t>
        </m:r>
        <m:r>
          <m:rPr>
            <m:sty m:val="p"/>
          </m:rPr>
          <m:t>×</m:t>
        </m:r>
        <m:sSup>
          <m:e>
            <m:r>
              <m:t>10</m:t>
            </m:r>
          </m:e>
          <m:sup>
            <m:r>
              <m:t>18</m:t>
            </m:r>
          </m:sup>
        </m:sSup>
      </m:oMath>
      <w:r>
        <w:t xml:space="preserve"> </w:t>
      </w:r>
      <w:r>
        <w:t xml:space="preserve">IDs.</w:t>
      </w:r>
    </w:p>
    <w:p>
      <w:pPr>
        <w:numPr>
          <w:ilvl w:val="0"/>
          <w:numId w:val="1586"/>
        </w:numPr>
        <w:pStyle w:val="Compact"/>
      </w:pPr>
      <w:r>
        <w:t xml:space="preserve">UUIDv7 with all 74 non-timestamp bits random: only IDs created in the same millisecond can collide, so</w:t>
      </w:r>
      <w:r>
        <w:t xml:space="preserve"> </w:t>
      </w:r>
      <m:oMath>
        <m:r>
          <m:t>N</m:t>
        </m:r>
        <m:r>
          <m:rPr>
            <m:sty m:val="p"/>
          </m:rPr>
          <m:t>=</m:t>
        </m:r>
        <m:sSup>
          <m:e>
            <m:r>
              <m:t>2</m:t>
            </m:r>
          </m:e>
          <m:sup>
            <m:r>
              <m:t>74</m:t>
            </m:r>
          </m:sup>
        </m:sSup>
        <m:r>
          <m:rPr>
            <m:sty m:val="p"/>
          </m:rPr>
          <m:t>=</m:t>
        </m:r>
        <m:r>
          <m:t>1.9</m:t>
        </m:r>
        <m:r>
          <m:rPr>
            <m:sty m:val="p"/>
          </m:rPr>
          <m:t>×</m:t>
        </m:r>
        <m:sSup>
          <m:e>
            <m:r>
              <m:t>10</m:t>
            </m:r>
          </m:e>
          <m:sup>
            <m:r>
              <m:t>22</m:t>
            </m:r>
          </m:sup>
        </m:sSup>
      </m:oMath>
      <w:r>
        <w:t xml:space="preserve"> </w:t>
      </w:r>
      <w:r>
        <w:t xml:space="preserve">per millisecond. At 1 million IDs per second (1,000 per ms):</w:t>
      </w:r>
      <w:r>
        <w:t xml:space="preserve"> </w:t>
      </w:r>
      <m:oMath>
        <m:sSup>
          <m:e>
            <m:r>
              <m:t>10</m:t>
            </m:r>
          </m:e>
          <m:sup>
            <m:r>
              <m:t>6</m:t>
            </m:r>
          </m:sup>
        </m:sSup>
        <m:r>
          <m:rPr>
            <m:sty m:val="p"/>
          </m:rPr>
          <m:t>/</m:t>
        </m:r>
        <m:d>
          <m:dPr>
            <m:begChr m:val="("/>
            <m:endChr m:val=")"/>
            <m:sepChr m:val=""/>
            <m:grow/>
          </m:dPr>
          <m:e>
            <m:r>
              <m:t>3.8</m:t>
            </m:r>
            <m:r>
              <m:rPr>
                <m:sty m:val="p"/>
              </m:rPr>
              <m:t>×</m:t>
            </m:r>
            <m:sSup>
              <m:e>
                <m:r>
                  <m:t>10</m:t>
                </m:r>
              </m:e>
              <m:sup>
                <m:r>
                  <m:t>22</m:t>
                </m:r>
              </m:sup>
            </m:sSup>
          </m:e>
        </m:d>
        <m:r>
          <m:rPr>
            <m:sty m:val="p"/>
          </m:rPr>
          <m:t>=</m:t>
        </m:r>
        <m:r>
          <m:t>2.6</m:t>
        </m:r>
        <m:r>
          <m:rPr>
            <m:sty m:val="p"/>
          </m:rPr>
          <m:t>×</m:t>
        </m:r>
        <m:sSup>
          <m:e>
            <m:r>
              <m:t>10</m:t>
            </m:r>
          </m:e>
          <m:sup>
            <m:r>
              <m:rPr>
                <m:sty m:val="p"/>
              </m:rPr>
              <m:t>−</m:t>
            </m:r>
            <m:r>
              <m:t>17</m:t>
            </m:r>
          </m:sup>
        </m:sSup>
      </m:oMath>
      <w:r>
        <w:t xml:space="preserve"> </w:t>
      </w:r>
      <w:r>
        <w:t xml:space="preserve">per millisecond; over a year of</w:t>
      </w:r>
      <w:r>
        <w:t xml:space="preserve"> </w:t>
      </w:r>
      <m:oMath>
        <m:r>
          <m:t>3.16</m:t>
        </m:r>
        <m:r>
          <m:rPr>
            <m:sty m:val="p"/>
          </m:rPr>
          <m:t>×</m:t>
        </m:r>
        <m:sSup>
          <m:e>
            <m:r>
              <m:t>10</m:t>
            </m:r>
          </m:e>
          <m:sup>
            <m:r>
              <m:t>10</m:t>
            </m:r>
          </m:sup>
        </m:sSup>
      </m:oMath>
      <w:r>
        <w:t xml:space="preserve"> </w:t>
      </w:r>
      <w:r>
        <w:t xml:space="preserve">ms,</w:t>
      </w:r>
      <w:r>
        <w:t xml:space="preserve"> </w:t>
      </w:r>
      <m:oMath>
        <m:r>
          <m:t>8.3</m:t>
        </m:r>
        <m:r>
          <m:rPr>
            <m:sty m:val="p"/>
          </m:rPr>
          <m:t>×</m:t>
        </m:r>
        <m:sSup>
          <m:e>
            <m:r>
              <m:t>10</m:t>
            </m:r>
          </m:e>
          <m:sup>
            <m:r>
              <m:rPr>
                <m:sty m:val="p"/>
              </m:rPr>
              <m:t>−</m:t>
            </m:r>
            <m:r>
              <m:t>7</m:t>
            </m:r>
          </m:sup>
        </m:sSup>
      </m:oMath>
      <w:r>
        <w:t xml:space="preserve">.</w:t>
      </w:r>
    </w:p>
    <w:p>
      <w:pPr>
        <w:pStyle w:val="CalloutExample"/>
      </w:pPr>
      <w:r>
        <w:rPr>
          <w:iCs/>
          <w:i/>
        </w:rPr>
        <w:t xml:space="preserve">Interpretation.</w:t>
      </w:r>
      <w:r>
        <w:t xml:space="preserve"> </w:t>
      </w:r>
      <w:r>
        <w:t xml:space="preserve">Both are safe for realistic systems.</w:t>
      </w:r>
      <w:r>
        <w:t xml:space="preserve"> </w:t>
      </w:r>
      <w:r>
        <w:rPr>
          <w:iCs/>
          <w:i/>
        </w:rPr>
        <w:t xml:space="preserve">Engineering implication.</w:t>
      </w:r>
      <w:r>
        <w:t xml:space="preserve"> </w:t>
      </w:r>
      <w:r>
        <w:t xml:space="preserve">The real risk is bad randomness (cloned VM random state, time-seeded generators); use the OS cryptographic source and keep a unique constraint.</w:t>
      </w:r>
    </w:p>
    <w:bookmarkEnd w:id="2014"/>
    <w:bookmarkStart w:id="2019" w:name="twitter-snowflake"/>
    <w:p>
      <w:pPr>
        <w:pStyle w:val="Heading3"/>
      </w:pPr>
      <w:r>
        <w:t xml:space="preserve">17.10.3 Twitter Snowflake</w:t>
      </w:r>
    </w:p>
    <w:p>
      <w:pPr>
        <w:pStyle w:val="FirstParagraph"/>
      </w:pPr>
      <w:r>
        <w:t xml:space="preserve">In 2010, as Twitter moved storage from MySQL toward Cassandra, it needed roughly time-ordered 64-bit IDs generated at high rate without coordination.</w:t>
      </w:r>
      <w:r>
        <w:t xml:space="preserve"> </w:t>
      </w:r>
      <w:r>
        <w:rPr>
          <w:bCs/>
          <w:b/>
        </w:rPr>
        <w:t xml:space="preserve">Snowflake</w:t>
      </w:r>
      <w:r>
        <w:t xml:space="preserve">, a small Thrift service, composed IDs from a timestamp, a machine number and a counter, with requirements of at least 10,000 IDs per second per process and 2 ms response time plus network latency [Twitter: Snowflake 2010].</w:t>
      </w:r>
    </w:p>
    <w:p>
      <w:pPr>
        <w:pStyle w:val="BodyText"/>
      </w:pPr>
      <w:r>
        <w:rPr>
          <w:bCs/>
          <w:b/>
        </w:rPr>
        <w:t xml:space="preserve">Figure 17.14 — The Snowflake 64-bit ID layout.</w:t>
      </w:r>
    </w:p>
    <w:p>
      <w:pPr>
        <w:pStyle w:val="BodyText"/>
      </w:pPr>
      <w:r>
        <w:drawing>
          <wp:inline>
            <wp:extent cx="5334000" cy="525517"/>
            <wp:effectExtent b="0" l="0" r="0" t="0"/>
            <wp:docPr descr="" title="" id="2016" name="Picture"/>
            <a:graphic>
              <a:graphicData uri="http://schemas.openxmlformats.org/drawingml/2006/picture">
                <pic:pic>
                  <pic:nvPicPr>
                    <pic:cNvPr descr="/home/user/System-Design/build/.cache/diagrams/f792b223adfd.png" id="2017" name="Picture"/>
                    <pic:cNvPicPr>
                      <a:picLocks noChangeArrowheads="1" noChangeAspect="1"/>
                    </pic:cNvPicPr>
                  </pic:nvPicPr>
                  <pic:blipFill>
                    <a:blip r:embed="rId2015"/>
                    <a:stretch>
                      <a:fillRect/>
                    </a:stretch>
                  </pic:blipFill>
                  <pic:spPr bwMode="auto">
                    <a:xfrm>
                      <a:off x="0" y="0"/>
                      <a:ext cx="5334000" cy="525517"/>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Fields run from the most significant bit (left) to the least. The sign bit stays 0 so IDs are positive in signed 64-bit types. The 41-bit timestamp counts milliseconds since a custom epoch (Twitter’s is 1288834974657, 4 November 2010 01:42:54.657 UTC [Twitter: Snowflake IdWorker]); in the high bits it makes IDs sort by time across machines, within clock skew. The 10-bit machine ID separates generators, so they never communicate; the only coordination is assigning machine IDs once, by configuration or a coordination service (§26.8). The 12-bit sequence counts IDs per millisecond per machine. Failure points: duplicated machine IDs, a clock moving backward, and exhausting 4,096 IDs in one millisecond (wait for the next).</w:t>
      </w:r>
    </w:p>
    <w:p>
      <w:pPr>
        <w:pStyle w:val="CalloutFormula"/>
      </w:pPr>
      <w:r>
        <w:rPr>
          <w:bCs/>
          <w:b/>
        </w:rPr>
        <w:t xml:space="preserve">FORMULA</w:t>
      </w:r>
    </w:p>
    <w:p>
      <w:pPr>
        <w:pStyle w:val="CalloutFormula"/>
      </w:pPr>
      <w:r>
        <w:rPr>
          <w:bCs/>
          <w:b/>
        </w:rPr>
        <w:t xml:space="preserve">Snowflake capacity and lifetime</w:t>
      </w:r>
    </w:p>
    <w:p>
      <w:pPr>
        <w:pStyle w:val="CalloutFormula"/>
      </w:pPr>
      <m:oMathPara>
        <m:oMathParaPr>
          <m:jc m:val="center"/>
        </m:oMathParaPr>
        <m:oMath>
          <m:sSub>
            <m:e>
              <m:r>
                <m:rPr>
                  <m:nor/>
                  <m:sty m:val="p"/>
                </m:rPr>
                <m:t>rate</m:t>
              </m:r>
            </m:e>
            <m:sub>
              <m:r>
                <m:rPr>
                  <m:nor/>
                  <m:sty m:val="p"/>
                </m:rPr>
                <m:t>machine</m:t>
              </m:r>
            </m:sub>
          </m:sSub>
          <m:r>
            <m:rPr>
              <m:sty m:val="p"/>
            </m:rPr>
            <m:t>=</m:t>
          </m:r>
          <m:sSup>
            <m:e>
              <m:r>
                <m:t>2</m:t>
              </m:r>
            </m:e>
            <m:sup>
              <m:r>
                <m:t>S</m:t>
              </m:r>
            </m:sup>
          </m:sSup>
          <m:r>
            <m:rPr>
              <m:sty m:val="p"/>
            </m:rPr>
            <m:t>×</m:t>
          </m:r>
          <m:r>
            <m:t>1000</m:t>
          </m:r>
          <m:r>
            <m:t> </m:t>
          </m:r>
          <m:r>
            <m:rPr>
              <m:nor/>
              <m:sty m:val="p"/>
            </m:rPr>
            <m:t>IDs/s</m:t>
          </m:r>
          <m:r>
            <m:rPr>
              <m:sty m:val="p"/>
            </m:rPr>
            <m:t>,</m:t>
          </m:r>
          <m:r>
            <m:t>  </m:t>
          </m:r>
          <m:sSub>
            <m:e>
              <m:r>
                <m:rPr>
                  <m:nor/>
                  <m:sty m:val="p"/>
                </m:rPr>
                <m:t>rate</m:t>
              </m:r>
            </m:e>
            <m:sub>
              <m:r>
                <m:rPr>
                  <m:nor/>
                  <m:sty m:val="p"/>
                </m:rPr>
                <m:t>cluster</m:t>
              </m:r>
            </m:sub>
          </m:sSub>
          <m:r>
            <m:rPr>
              <m:sty m:val="p"/>
            </m:rPr>
            <m:t>=</m:t>
          </m:r>
          <m:sSup>
            <m:e>
              <m:r>
                <m:t>2</m:t>
              </m:r>
            </m:e>
            <m:sup>
              <m:r>
                <m:t>M</m:t>
              </m:r>
            </m:sup>
          </m:sSup>
          <m:r>
            <m:rPr>
              <m:sty m:val="p"/>
            </m:rPr>
            <m:t>×</m:t>
          </m:r>
          <m:sSub>
            <m:e>
              <m:r>
                <m:rPr>
                  <m:nor/>
                  <m:sty m:val="p"/>
                </m:rPr>
                <m:t>rate</m:t>
              </m:r>
            </m:e>
            <m:sub>
              <m:r>
                <m:rPr>
                  <m:nor/>
                  <m:sty m:val="p"/>
                </m:rPr>
                <m:t>machine</m:t>
              </m:r>
            </m:sub>
          </m:sSub>
          <m:r>
            <m:rPr>
              <m:sty m:val="p"/>
            </m:rPr>
            <m:t>,</m:t>
          </m:r>
          <m:r>
            <m:t>  </m:t>
          </m:r>
          <m:r>
            <m:rPr>
              <m:nor/>
              <m:sty m:val="p"/>
            </m:rPr>
            <m:t>lifetime</m:t>
          </m:r>
          <m:r>
            <m:rPr>
              <m:sty m:val="p"/>
            </m:rPr>
            <m:t>=</m:t>
          </m:r>
          <m:f>
            <m:fPr>
              <m:type m:val="bar"/>
            </m:fPr>
            <m:num>
              <m:sSup>
                <m:e>
                  <m:r>
                    <m:t>2</m:t>
                  </m:r>
                </m:e>
                <m:sup>
                  <m:r>
                    <m:t>T</m:t>
                  </m:r>
                </m:sup>
              </m:sSup>
            </m:num>
            <m:den>
              <m:r>
                <m:t>1000</m:t>
              </m:r>
              <m:r>
                <m:rPr>
                  <m:sty m:val="p"/>
                </m:rPr>
                <m:t>×</m:t>
              </m:r>
              <m:r>
                <m:t>3600</m:t>
              </m:r>
              <m:r>
                <m:rPr>
                  <m:sty m:val="p"/>
                </m:rPr>
                <m:t>×</m:t>
              </m:r>
              <m:r>
                <m:t>24</m:t>
              </m:r>
              <m:r>
                <m:rPr>
                  <m:sty m:val="p"/>
                </m:rPr>
                <m:t>×</m:t>
              </m:r>
              <m:r>
                <m:t>365.25</m:t>
              </m:r>
            </m:den>
          </m:f>
          <m:r>
            <m:t> </m:t>
          </m:r>
          <m:r>
            <m:rPr>
              <m:nor/>
              <m:sty m:val="p"/>
            </m:rPr>
            <m:t>years</m:t>
          </m:r>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T</m:t>
              </m:r>
            </m:oMath>
          </w:p>
        </w:tc>
        <w:tc>
          <w:tcPr/>
          <w:p>
            <w:pPr>
              <w:pStyle w:val="Compact"/>
              <w:jc w:val="left"/>
            </w:pPr>
            <w:r>
              <w:t xml:space="preserve">Timestamp bits (millisecond resolution)</w:t>
            </w:r>
          </w:p>
        </w:tc>
        <w:tc>
          <w:tcPr/>
          <w:p>
            <w:pPr>
              <w:pStyle w:val="Compact"/>
              <w:jc w:val="left"/>
            </w:pPr>
            <w:r>
              <w:t xml:space="preserve">bits</w:t>
            </w:r>
          </w:p>
        </w:tc>
      </w:tr>
      <w:tr>
        <w:tc>
          <w:tcPr/>
          <w:p>
            <w:pPr>
              <w:pStyle w:val="Compact"/>
              <w:jc w:val="left"/>
            </w:pPr>
            <m:oMath>
              <m:r>
                <m:t>M</m:t>
              </m:r>
            </m:oMath>
          </w:p>
        </w:tc>
        <w:tc>
          <w:tcPr/>
          <w:p>
            <w:pPr>
              <w:pStyle w:val="Compact"/>
              <w:jc w:val="left"/>
            </w:pPr>
            <w:r>
              <w:t xml:space="preserve">Machine-ID bits</w:t>
            </w:r>
          </w:p>
        </w:tc>
        <w:tc>
          <w:tcPr/>
          <w:p>
            <w:pPr>
              <w:pStyle w:val="Compact"/>
              <w:jc w:val="left"/>
            </w:pPr>
            <w:r>
              <w:t xml:space="preserve">bits</w:t>
            </w:r>
          </w:p>
        </w:tc>
      </w:tr>
      <w:tr>
        <w:tc>
          <w:tcPr/>
          <w:p>
            <w:pPr>
              <w:pStyle w:val="Compact"/>
              <w:jc w:val="left"/>
            </w:pPr>
            <m:oMath>
              <m:r>
                <m:t>S</m:t>
              </m:r>
            </m:oMath>
          </w:p>
        </w:tc>
        <w:tc>
          <w:tcPr/>
          <w:p>
            <w:pPr>
              <w:pStyle w:val="Compact"/>
              <w:jc w:val="left"/>
            </w:pPr>
            <w:r>
              <w:t xml:space="preserve">Sequence bits</w:t>
            </w:r>
          </w:p>
        </w:tc>
        <w:tc>
          <w:tcPr/>
          <w:p>
            <w:pPr>
              <w:pStyle w:val="Compact"/>
              <w:jc w:val="left"/>
            </w:pPr>
            <w:r>
              <w:t xml:space="preserve">bits</w:t>
            </w:r>
          </w:p>
        </w:tc>
      </w:tr>
      <w:tr>
        <w:tc>
          <w:tcPr/>
          <w:p>
            <w:pPr>
              <w:pStyle w:val="Compact"/>
              <w:jc w:val="left"/>
            </w:pPr>
            <m:oMath>
              <m:r>
                <m:rPr>
                  <m:nor/>
                  <m:sty m:val="p"/>
                </m:rPr>
                <m:t>rate</m:t>
              </m:r>
            </m:oMath>
          </w:p>
        </w:tc>
        <w:tc>
          <w:tcPr/>
          <w:p>
            <w:pPr>
              <w:pStyle w:val="Compact"/>
              <w:jc w:val="left"/>
            </w:pPr>
            <w:r>
              <w:t xml:space="preserve">Maximum sustained ID generation rate</w:t>
            </w:r>
          </w:p>
        </w:tc>
        <w:tc>
          <w:tcPr/>
          <w:p>
            <w:pPr>
              <w:pStyle w:val="Compact"/>
              <w:jc w:val="left"/>
            </w:pPr>
            <w:r>
              <w:t xml:space="preserve">IDs/s</w:t>
            </w:r>
          </w:p>
        </w:tc>
      </w:tr>
      <w:tr>
        <w:tc>
          <w:tcPr/>
          <w:p>
            <w:pPr>
              <w:pStyle w:val="Compact"/>
              <w:jc w:val="left"/>
            </w:pPr>
            <w:r>
              <w:t xml:space="preserve">lifetime</w:t>
            </w:r>
          </w:p>
        </w:tc>
        <w:tc>
          <w:tcPr/>
          <w:p>
            <w:pPr>
              <w:pStyle w:val="Compact"/>
              <w:jc w:val="left"/>
            </w:pPr>
            <w:r>
              <w:t xml:space="preserve">Time from the epoch until the timestamp field overflows</w:t>
            </w:r>
          </w:p>
        </w:tc>
        <w:tc>
          <w:tcPr/>
          <w:p>
            <w:pPr>
              <w:pStyle w:val="Compact"/>
              <w:jc w:val="left"/>
            </w:pPr>
            <w:r>
              <w:t xml:space="preserve">years</w:t>
            </w:r>
          </w:p>
        </w:tc>
      </w:tr>
    </w:tbl>
    <w:p>
      <w:pPr>
        <w:pStyle w:val="CalloutExample"/>
      </w:pPr>
      <w:r>
        <w:rPr>
          <w:bCs/>
          <w:b/>
        </w:rPr>
        <w:t xml:space="preserve">WORKED EXAMPLE</w:t>
      </w:r>
    </w:p>
    <w:p>
      <w:pPr>
        <w:pStyle w:val="CalloutExample"/>
      </w:pPr>
      <w:r>
        <w:rPr>
          <w:bCs/>
          <w:b/>
        </w:rPr>
        <w:t xml:space="preserve">Worked example — the 41/10/12 layout.</w:t>
      </w:r>
    </w:p>
    <w:p>
      <w:pPr>
        <w:numPr>
          <w:ilvl w:val="0"/>
          <w:numId w:val="1587"/>
        </w:numPr>
        <w:pStyle w:val="Compact"/>
      </w:pPr>
      <w:r>
        <w:t xml:space="preserve">Per machine:</w:t>
      </w:r>
      <w:r>
        <w:t xml:space="preserve"> </w:t>
      </w:r>
      <m:oMath>
        <m:sSup>
          <m:e>
            <m:r>
              <m:t>2</m:t>
            </m:r>
          </m:e>
          <m:sup>
            <m:r>
              <m:t>12</m:t>
            </m:r>
          </m:sup>
        </m:sSup>
        <m:r>
          <m:rPr>
            <m:sty m:val="p"/>
          </m:rPr>
          <m:t>=</m:t>
        </m:r>
        <m:r>
          <m:t>4</m:t>
        </m:r>
        <m:r>
          <m:rPr>
            <m:sty m:val="p"/>
          </m:rPr>
          <m:t>,</m:t>
        </m:r>
        <m:r>
          <m:t>096</m:t>
        </m:r>
      </m:oMath>
      <w:r>
        <w:t xml:space="preserve"> </w:t>
      </w:r>
      <w:r>
        <w:t xml:space="preserve">IDs per millisecond, or</w:t>
      </w:r>
      <w:r>
        <w:t xml:space="preserve"> </w:t>
      </w:r>
      <m:oMath>
        <m:r>
          <m:t>4</m:t>
        </m:r>
        <m:r>
          <m:rPr>
            <m:sty m:val="p"/>
          </m:rPr>
          <m:t>,</m:t>
        </m:r>
        <m:r>
          <m:t>096</m:t>
        </m:r>
        <m:r>
          <m:rPr>
            <m:sty m:val="p"/>
          </m:rPr>
          <m:t>,</m:t>
        </m:r>
        <m:r>
          <m:t>000</m:t>
        </m:r>
      </m:oMath>
      <w:r>
        <w:t xml:space="preserve"> </w:t>
      </w:r>
      <w:r>
        <w:t xml:space="preserve">IDs/s.</w:t>
      </w:r>
    </w:p>
    <w:p>
      <w:pPr>
        <w:numPr>
          <w:ilvl w:val="0"/>
          <w:numId w:val="1587"/>
        </w:numPr>
        <w:pStyle w:val="Compact"/>
      </w:pPr>
      <w:r>
        <w:t xml:space="preserve">Cluster:</w:t>
      </w:r>
      <w:r>
        <w:t xml:space="preserve"> </w:t>
      </w:r>
      <m:oMath>
        <m:sSup>
          <m:e>
            <m:r>
              <m:t>2</m:t>
            </m:r>
          </m:e>
          <m:sup>
            <m:r>
              <m:t>10</m:t>
            </m:r>
          </m:sup>
        </m:sSup>
        <m:r>
          <m:rPr>
            <m:sty m:val="p"/>
          </m:rPr>
          <m:t>=</m:t>
        </m:r>
        <m:r>
          <m:t>1</m:t>
        </m:r>
        <m:r>
          <m:rPr>
            <m:sty m:val="p"/>
          </m:rPr>
          <m:t>,</m:t>
        </m:r>
        <m:r>
          <m:t>024</m:t>
        </m:r>
      </m:oMath>
      <w:r>
        <w:t xml:space="preserve"> </w:t>
      </w:r>
      <w:r>
        <w:t xml:space="preserve">machines × 4,096,000 =</w:t>
      </w:r>
      <w:r>
        <w:t xml:space="preserve"> </w:t>
      </w:r>
      <m:oMath>
        <m:r>
          <m:t>4.19</m:t>
        </m:r>
        <m:r>
          <m:rPr>
            <m:sty m:val="p"/>
          </m:rPr>
          <m:t>×</m:t>
        </m:r>
        <m:sSup>
          <m:e>
            <m:r>
              <m:t>10</m:t>
            </m:r>
          </m:e>
          <m:sup>
            <m:r>
              <m:t>9</m:t>
            </m:r>
          </m:sup>
        </m:sSup>
      </m:oMath>
      <w:r>
        <w:t xml:space="preserve"> </w:t>
      </w:r>
      <w:r>
        <w:t xml:space="preserve">IDs/s.</w:t>
      </w:r>
    </w:p>
    <w:p>
      <w:pPr>
        <w:numPr>
          <w:ilvl w:val="0"/>
          <w:numId w:val="1587"/>
        </w:numPr>
        <w:pStyle w:val="Compact"/>
      </w:pPr>
      <w:r>
        <w:t xml:space="preserve">Lifetime:</w:t>
      </w:r>
      <w:r>
        <w:t xml:space="preserve"> </w:t>
      </w:r>
      <m:oMath>
        <m:sSup>
          <m:e>
            <m:r>
              <m:t>2</m:t>
            </m:r>
          </m:e>
          <m:sup>
            <m:r>
              <m:t>41</m:t>
            </m:r>
          </m:sup>
        </m:sSup>
        <m:r>
          <m:rPr>
            <m:sty m:val="p"/>
          </m:rPr>
          <m:t>=</m:t>
        </m:r>
        <m:r>
          <m:t>2</m:t>
        </m:r>
        <m:r>
          <m:rPr>
            <m:sty m:val="p"/>
          </m:rPr>
          <m:t>,</m:t>
        </m:r>
        <m:r>
          <m:t>199</m:t>
        </m:r>
        <m:r>
          <m:rPr>
            <m:sty m:val="p"/>
          </m:rPr>
          <m:t>,</m:t>
        </m:r>
        <m:r>
          <m:t>023</m:t>
        </m:r>
        <m:r>
          <m:rPr>
            <m:sty m:val="p"/>
          </m:rPr>
          <m:t>,</m:t>
        </m:r>
        <m:r>
          <m:t>255</m:t>
        </m:r>
        <m:r>
          <m:rPr>
            <m:sty m:val="p"/>
          </m:rPr>
          <m:t>,</m:t>
        </m:r>
        <m:r>
          <m:t>552</m:t>
        </m:r>
      </m:oMath>
      <w:r>
        <w:t xml:space="preserve"> </w:t>
      </w:r>
      <w:r>
        <w:t xml:space="preserve">ms</w:t>
      </w:r>
      <w:r>
        <w:t xml:space="preserve"> </w:t>
      </w:r>
      <m:oMath>
        <m:r>
          <m:rPr>
            <m:sty m:val="p"/>
          </m:rPr>
          <m:t>=</m:t>
        </m:r>
        <m:r>
          <m:t>2.199</m:t>
        </m:r>
        <m:r>
          <m:rPr>
            <m:sty m:val="p"/>
          </m:rPr>
          <m:t>×</m:t>
        </m:r>
        <m:sSup>
          <m:e>
            <m:r>
              <m:t>10</m:t>
            </m:r>
          </m:e>
          <m:sup>
            <m:r>
              <m:t>12</m:t>
            </m:r>
          </m:sup>
        </m:sSup>
        <m:r>
          <m:rPr>
            <m:sty m:val="p"/>
          </m:rPr>
          <m:t>/</m:t>
        </m:r>
        <m:r>
          <m:t>3.156</m:t>
        </m:r>
        <m:r>
          <m:rPr>
            <m:sty m:val="p"/>
          </m:rPr>
          <m:t>×</m:t>
        </m:r>
        <m:sSup>
          <m:e>
            <m:r>
              <m:t>10</m:t>
            </m:r>
          </m:e>
          <m:sup>
            <m:r>
              <m:t>10</m:t>
            </m:r>
          </m:sup>
        </m:sSup>
        <m:r>
          <m:rPr>
            <m:sty m:val="p"/>
          </m:rPr>
          <m:t>=</m:t>
        </m:r>
        <m:r>
          <m:t>69.7</m:t>
        </m:r>
      </m:oMath>
      <w:r>
        <w:t xml:space="preserve"> </w:t>
      </w:r>
      <w:r>
        <w:t xml:space="preserve">years. From Twitter’s 2010 epoch, IDs run out in July 2080.</w:t>
      </w:r>
    </w:p>
    <w:p>
      <w:pPr>
        <w:numPr>
          <w:ilvl w:val="0"/>
          <w:numId w:val="1587"/>
        </w:numPr>
        <w:pStyle w:val="Compact"/>
      </w:pPr>
      <w:r>
        <w:t xml:space="preserve">Instagram’s variant uses 41 timestamp bits, 13 bits of logical shard ID and 10 sequence bits, generated inside PostgreSQL [Instagram Engineering 2012]: 8,192 shards × 1,024 IDs per millisecond each.</w:t>
      </w:r>
    </w:p>
    <w:p>
      <w:pPr>
        <w:pStyle w:val="CalloutExample"/>
      </w:pPr>
      <w:r>
        <w:rPr>
          <w:iCs/>
          <w:i/>
        </w:rPr>
        <w:t xml:space="preserve">Interpretation.</w:t>
      </w:r>
      <w:r>
        <w:t xml:space="preserve"> </w:t>
      </w:r>
      <w:r>
        <w:t xml:space="preserve">Moving a bit between fields doubles one limit and halves another.</w:t>
      </w:r>
      <w:r>
        <w:t xml:space="preserve"> </w:t>
      </w:r>
      <w:r>
        <w:rPr>
          <w:iCs/>
          <w:i/>
        </w:rPr>
        <w:t xml:space="preserve">Engineering implication.</w:t>
      </w:r>
      <w:r>
        <w:t xml:space="preserve"> </w:t>
      </w:r>
      <w:r>
        <w:t xml:space="preserve">Choose a late epoch, size machine bits for your largest fleet including short-lived containers, and document the layout: once clients store IDs it is a public contract.</w:t>
      </w:r>
    </w:p>
    <w:bookmarkStart w:id="2018" w:name="code-example-21"/>
    <w:p>
      <w:pPr>
        <w:pStyle w:val="Heading4"/>
      </w:pPr>
      <w:r>
        <w:t xml:space="preserve">Code example</w:t>
      </w:r>
    </w:p>
    <w:p>
      <w:pPr>
        <w:pStyle w:val="SourceCode"/>
      </w:pPr>
      <w:r>
        <w:rPr>
          <w:rStyle w:val="ImportTok"/>
        </w:rPr>
        <w:t xml:space="preserve">import</w:t>
      </w:r>
      <w:r>
        <w:rPr>
          <w:rStyle w:val="NormalTok"/>
        </w:rPr>
        <w:t xml:space="preserve"> datetime </w:t>
      </w:r>
      <w:r>
        <w:rPr>
          <w:rStyle w:val="ImportTok"/>
        </w:rPr>
        <w:t xml:space="preserve">as</w:t>
      </w:r>
      <w:r>
        <w:rPr>
          <w:rStyle w:val="NormalTok"/>
        </w:rPr>
        <w:t xml:space="preserve"> dt</w:t>
      </w:r>
      <w:r>
        <w:br/>
      </w:r>
      <w:r>
        <w:rPr>
          <w:rStyle w:val="ImportTok"/>
        </w:rPr>
        <w:t xml:space="preserve">import</w:t>
      </w:r>
      <w:r>
        <w:rPr>
          <w:rStyle w:val="NormalTok"/>
        </w:rPr>
        <w:t xml:space="preserve"> os</w:t>
      </w:r>
      <w:r>
        <w:br/>
      </w:r>
      <w:r>
        <w:rPr>
          <w:rStyle w:val="ImportTok"/>
        </w:rPr>
        <w:t xml:space="preserve">import</w:t>
      </w:r>
      <w:r>
        <w:rPr>
          <w:rStyle w:val="NormalTok"/>
        </w:rPr>
        <w:t xml:space="preserve"> threading</w:t>
      </w:r>
      <w:r>
        <w:br/>
      </w:r>
      <w:r>
        <w:rPr>
          <w:rStyle w:val="ImportTok"/>
        </w:rPr>
        <w:t xml:space="preserve">import</w:t>
      </w:r>
      <w:r>
        <w:rPr>
          <w:rStyle w:val="NormalTok"/>
        </w:rPr>
        <w:t xml:space="preserve"> time</w:t>
      </w:r>
      <w:r>
        <w:br/>
      </w:r>
      <w:r>
        <w:rPr>
          <w:rStyle w:val="ImportTok"/>
        </w:rPr>
        <w:t xml:space="preserve">import</w:t>
      </w:r>
      <w:r>
        <w:rPr>
          <w:rStyle w:val="NormalTok"/>
        </w:rPr>
        <w:t xml:space="preserve"> uuid</w:t>
      </w:r>
      <w:r>
        <w:br/>
      </w:r>
      <w:r>
        <w:br/>
      </w:r>
      <w:r>
        <w:rPr>
          <w:rStyle w:val="NormalTok"/>
        </w:rPr>
        <w:t xml:space="preserve">TWITTER_EPOCH_MS </w:t>
      </w:r>
      <w:r>
        <w:rPr>
          <w:rStyle w:val="OperatorTok"/>
        </w:rPr>
        <w:t xml:space="preserve">=</w:t>
      </w:r>
      <w:r>
        <w:rPr>
          <w:rStyle w:val="NormalTok"/>
        </w:rPr>
        <w:t xml:space="preserve"> </w:t>
      </w:r>
      <w:r>
        <w:rPr>
          <w:rStyle w:val="DecValTok"/>
        </w:rPr>
        <w:t xml:space="preserve">1288834974657</w:t>
      </w:r>
      <w:r>
        <w:rPr>
          <w:rStyle w:val="NormalTok"/>
        </w:rPr>
        <w:t xml:space="preserve">           </w:t>
      </w:r>
      <w:r>
        <w:rPr>
          <w:rStyle w:val="CommentTok"/>
        </w:rPr>
        <w:t xml:space="preserve"># 2010-11-04 01:42:54.657 UTC, from Twitter's IdWorker</w:t>
      </w:r>
      <w:r>
        <w:br/>
      </w:r>
      <w:r>
        <w:rPr>
          <w:rStyle w:val="NormalTok"/>
        </w:rPr>
        <w:t xml:space="preserve">TIMESTAMP_BITS, MACHINE_BITS, SEQUENCE_BITS </w:t>
      </w:r>
      <w:r>
        <w:rPr>
          <w:rStyle w:val="OperatorTok"/>
        </w:rPr>
        <w:t xml:space="preserve">=</w:t>
      </w:r>
      <w:r>
        <w:rPr>
          <w:rStyle w:val="NormalTok"/>
        </w:rPr>
        <w:t xml:space="preserve"> </w:t>
      </w:r>
      <w:r>
        <w:rPr>
          <w:rStyle w:val="DecValTok"/>
        </w:rPr>
        <w:t xml:space="preserve">41</w:t>
      </w:r>
      <w:r>
        <w:rPr>
          <w:rStyle w:val="NormalTok"/>
        </w:rPr>
        <w:t xml:space="preserve">, </w:t>
      </w:r>
      <w:r>
        <w:rPr>
          <w:rStyle w:val="DecValTok"/>
        </w:rPr>
        <w:t xml:space="preserve">10</w:t>
      </w:r>
      <w:r>
        <w:rPr>
          <w:rStyle w:val="NormalTok"/>
        </w:rPr>
        <w:t xml:space="preserve">, </w:t>
      </w:r>
      <w:r>
        <w:rPr>
          <w:rStyle w:val="DecValTok"/>
        </w:rPr>
        <w:t xml:space="preserve">12</w:t>
      </w:r>
      <w:r>
        <w:br/>
      </w:r>
      <w:r>
        <w:rPr>
          <w:rStyle w:val="NormalTok"/>
        </w:rPr>
        <w:t xml:space="preserve">MAX_MACHINE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&lt;&lt;</w:t>
      </w:r>
      <w:r>
        <w:rPr>
          <w:rStyle w:val="NormalTok"/>
        </w:rPr>
        <w:t xml:space="preserve"> MACHINE_BITS)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1023</w:t>
      </w:r>
      <w:r>
        <w:br/>
      </w:r>
      <w:r>
        <w:rPr>
          <w:rStyle w:val="NormalTok"/>
        </w:rPr>
        <w:t xml:space="preserve">MAX_SEQUENCE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&lt;&lt;</w:t>
      </w:r>
      <w:r>
        <w:rPr>
          <w:rStyle w:val="NormalTok"/>
        </w:rPr>
        <w:t xml:space="preserve"> SEQUENCE_BITS)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4095</w:t>
      </w:r>
      <w:r>
        <w:br/>
      </w:r>
      <w:r>
        <w:br/>
      </w:r>
      <w:r>
        <w:rPr>
          <w:rStyle w:val="KeywordTok"/>
        </w:rPr>
        <w:t xml:space="preserve">class</w:t>
      </w:r>
      <w:r>
        <w:rPr>
          <w:rStyle w:val="NormalTok"/>
        </w:rPr>
        <w:t xml:space="preserve"> ClockMovedBackwards(</w:t>
      </w:r>
      <w:r>
        <w:rPr>
          <w:rStyle w:val="PreprocessorTok"/>
        </w:rPr>
        <w:t xml:space="preserve">Exception</w:t>
      </w:r>
      <w:r>
        <w:rPr>
          <w:rStyle w:val="NormalTok"/>
        </w:rPr>
        <w:t xml:space="preserve">):</w:t>
      </w:r>
      <w:r>
        <w:br/>
      </w:r>
      <w:r>
        <w:rPr>
          <w:rStyle w:val="NormalTok"/>
        </w:rPr>
        <w:t xml:space="preserve">    </w:t>
      </w:r>
      <w:r>
        <w:rPr>
          <w:rStyle w:val="ControlFlowTok"/>
        </w:rPr>
        <w:t xml:space="preserve">pass</w:t>
      </w:r>
      <w:r>
        <w:br/>
      </w:r>
      <w:r>
        <w:br/>
      </w:r>
      <w:r>
        <w:rPr>
          <w:rStyle w:val="KeywordTok"/>
        </w:rPr>
        <w:t xml:space="preserve">class</w:t>
      </w:r>
      <w:r>
        <w:rPr>
          <w:rStyle w:val="NormalTok"/>
        </w:rPr>
        <w:t xml:space="preserve"> Snowflake:</w:t>
      </w:r>
      <w:r>
        <w:br/>
      </w:r>
      <w:r>
        <w:rPr>
          <w:rStyle w:val="NormalTok"/>
        </w:rPr>
        <w:t xml:space="preserve">    </w:t>
      </w:r>
      <w:r>
        <w:rPr>
          <w:rStyle w:val="CommentTok"/>
        </w:rPr>
        <w:t xml:space="preserve">"""64-bit IDs: 1 unused sign bit | 41-bit ms timestamp | 10-bit machine id | 12-bit sequence."""</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machine_id: </w:t>
      </w:r>
      <w:r>
        <w:rPr>
          <w:rStyle w:val="BuiltInTok"/>
        </w:rPr>
        <w:t xml:space="preserve">int</w:t>
      </w:r>
      <w:r>
        <w:rPr>
          <w:rStyle w:val="NormalTok"/>
        </w:rPr>
        <w:t xml:space="preserve">, epoch_ms: </w:t>
      </w:r>
      <w:r>
        <w:rPr>
          <w:rStyle w:val="BuiltInTok"/>
        </w:rPr>
        <w:t xml:space="preserve">int</w:t>
      </w:r>
      <w:r>
        <w:rPr>
          <w:rStyle w:val="NormalTok"/>
        </w:rPr>
        <w:t xml:space="preserve"> </w:t>
      </w:r>
      <w:r>
        <w:rPr>
          <w:rStyle w:val="OperatorTok"/>
        </w:rPr>
        <w:t xml:space="preserve">=</w:t>
      </w:r>
      <w:r>
        <w:rPr>
          <w:rStyle w:val="NormalTok"/>
        </w:rPr>
        <w:t xml:space="preserve"> TWITTER_EPOCH_MS, clock</w:t>
      </w:r>
      <w:r>
        <w:rPr>
          <w:rStyle w:val="OperatorTok"/>
        </w:rPr>
        <w:t xml:space="preserve">=</w:t>
      </w:r>
      <w:r>
        <w:rPr>
          <w:rStyle w:val="KeywordTok"/>
        </w:rPr>
        <w:t xml:space="preserve">lambda</w:t>
      </w:r>
      <w:r>
        <w:rPr>
          <w:rStyle w:val="NormalTok"/>
        </w:rPr>
        <w:t xml:space="preserve">: time.time_ns() </w:t>
      </w:r>
      <w:r>
        <w:rPr>
          <w:rStyle w:val="OperatorTok"/>
        </w:rPr>
        <w:t xml:space="preserve">//</w:t>
      </w:r>
      <w:r>
        <w:rPr>
          <w:rStyle w:val="NormalTok"/>
        </w:rPr>
        <w:t xml:space="preserve"> </w:t>
      </w:r>
      <w:r>
        <w:rPr>
          <w:rStyle w:val="DecValTok"/>
        </w:rPr>
        <w:t xml:space="preserve">1_000_000</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DecValTok"/>
        </w:rPr>
        <w:t xml:space="preserve">0</w:t>
      </w:r>
      <w:r>
        <w:rPr>
          <w:rStyle w:val="NormalTok"/>
        </w:rPr>
        <w:t xml:space="preserve"> </w:t>
      </w:r>
      <w:r>
        <w:rPr>
          <w:rStyle w:val="OperatorTok"/>
        </w:rPr>
        <w:t xml:space="preserve">&lt;=</w:t>
      </w:r>
      <w:r>
        <w:rPr>
          <w:rStyle w:val="NormalTok"/>
        </w:rPr>
        <w:t xml:space="preserve"> machine_id </w:t>
      </w:r>
      <w:r>
        <w:rPr>
          <w:rStyle w:val="OperatorTok"/>
        </w:rPr>
        <w:t xml:space="preserve">&lt;=</w:t>
      </w:r>
      <w:r>
        <w:rPr>
          <w:rStyle w:val="NormalTok"/>
        </w:rPr>
        <w:t xml:space="preserve"> MAX_MACHINE: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"machine id must fit in 10 bits"</w:t>
      </w:r>
      <w:r>
        <w:rPr>
          <w:rStyle w:val="NormalTok"/>
        </w:rPr>
        <w:t xml:space="preserve">)</w:t>
      </w:r>
      <w:r>
        <w:br/>
      </w:r>
      <w:r>
        <w:rPr>
          <w:rStyle w:val="NormalTok"/>
        </w:rPr>
        <w:t xml:space="preserve">        </w:t>
      </w:r>
      <w:r>
        <w:rPr>
          <w:rStyle w:val="VariableTok"/>
        </w:rPr>
        <w:t xml:space="preserve">self</w:t>
      </w:r>
      <w:r>
        <w:rPr>
          <w:rStyle w:val="NormalTok"/>
        </w:rPr>
        <w:t xml:space="preserve">.machine_id, </w:t>
      </w:r>
      <w:r>
        <w:rPr>
          <w:rStyle w:val="VariableTok"/>
        </w:rPr>
        <w:t xml:space="preserve">self</w:t>
      </w:r>
      <w:r>
        <w:rPr>
          <w:rStyle w:val="NormalTok"/>
        </w:rPr>
        <w:t xml:space="preserve">.epoch_ms, </w:t>
      </w:r>
      <w:r>
        <w:rPr>
          <w:rStyle w:val="VariableTok"/>
        </w:rPr>
        <w:t xml:space="preserve">self</w:t>
      </w:r>
      <w:r>
        <w:rPr>
          <w:rStyle w:val="NormalTok"/>
        </w:rPr>
        <w:t xml:space="preserve">.clock </w:t>
      </w:r>
      <w:r>
        <w:rPr>
          <w:rStyle w:val="OperatorTok"/>
        </w:rPr>
        <w:t xml:space="preserve">=</w:t>
      </w:r>
      <w:r>
        <w:rPr>
          <w:rStyle w:val="NormalTok"/>
        </w:rPr>
        <w:t xml:space="preserve"> machine_id, epoch_ms, clock</w:t>
      </w:r>
      <w:r>
        <w:br/>
      </w:r>
      <w:r>
        <w:rPr>
          <w:rStyle w:val="NormalTok"/>
        </w:rPr>
        <w:t xml:space="preserve">        </w:t>
      </w:r>
      <w:r>
        <w:rPr>
          <w:rStyle w:val="VariableTok"/>
        </w:rPr>
        <w:t xml:space="preserve">self</w:t>
      </w:r>
      <w:r>
        <w:rPr>
          <w:rStyle w:val="NormalTok"/>
        </w:rPr>
        <w:t xml:space="preserve">.last_ms, </w:t>
      </w:r>
      <w:r>
        <w:rPr>
          <w:rStyle w:val="VariableTok"/>
        </w:rPr>
        <w:t xml:space="preserve">self</w:t>
      </w:r>
      <w:r>
        <w:rPr>
          <w:rStyle w:val="NormalTok"/>
        </w:rPr>
        <w:t xml:space="preserve">.sequence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.lock </w:t>
      </w:r>
      <w:r>
        <w:rPr>
          <w:rStyle w:val="OperatorTok"/>
        </w:rPr>
        <w:t xml:space="preserve">=</w:t>
      </w:r>
      <w:r>
        <w:rPr>
          <w:rStyle w:val="NormalTok"/>
        </w:rPr>
        <w:t xml:space="preserve"> threading.Lock()</w:t>
      </w:r>
      <w:r>
        <w:br/>
      </w:r>
      <w:r>
        <w:br/>
      </w:r>
      <w:r>
        <w:rPr>
          <w:rStyle w:val="NormalTok"/>
        </w:rPr>
        <w:t xml:space="preserve">    </w:t>
      </w:r>
      <w:r>
        <w:rPr>
          <w:rStyle w:val="KeywordTok"/>
        </w:rPr>
        <w:t xml:space="preserve">def</w:t>
      </w:r>
      <w:r>
        <w:rPr>
          <w:rStyle w:val="NormalTok"/>
        </w:rPr>
        <w:t xml:space="preserve"> next_id(</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.lock:</w:t>
      </w:r>
      <w:r>
        <w:br/>
      </w:r>
      <w:r>
        <w:rPr>
          <w:rStyle w:val="NormalTok"/>
        </w:rPr>
        <w:t xml:space="preserve">            now </w:t>
      </w:r>
      <w:r>
        <w:rPr>
          <w:rStyle w:val="OperatorTok"/>
        </w:rPr>
        <w:t xml:space="preserve">=</w:t>
      </w:r>
      <w:r>
        <w:rPr>
          <w:rStyle w:val="NormalTok"/>
        </w:rPr>
        <w:t xml:space="preserve"> </w:t>
      </w:r>
      <w:r>
        <w:rPr>
          <w:rStyle w:val="VariableTok"/>
        </w:rPr>
        <w:t xml:space="preserve">self</w:t>
      </w:r>
      <w:r>
        <w:rPr>
          <w:rStyle w:val="NormalTok"/>
        </w:rPr>
        <w:t xml:space="preserve">.clock()</w:t>
      </w:r>
      <w:r>
        <w:br/>
      </w:r>
      <w:r>
        <w:rPr>
          <w:rStyle w:val="NormalTok"/>
        </w:rPr>
        <w:t xml:space="preserve">            </w:t>
      </w:r>
      <w:r>
        <w:rPr>
          <w:rStyle w:val="ControlFlowTok"/>
        </w:rPr>
        <w:t xml:space="preserve">if</w:t>
      </w:r>
      <w:r>
        <w:rPr>
          <w:rStyle w:val="NormalTok"/>
        </w:rPr>
        <w:t xml:space="preserve"> now </w:t>
      </w:r>
      <w:r>
        <w:rPr>
          <w:rStyle w:val="OperatorTok"/>
        </w:rPr>
        <w:t xml:space="preserve">&lt;</w:t>
      </w:r>
      <w:r>
        <w:rPr>
          <w:rStyle w:val="NormalTok"/>
        </w:rPr>
        <w:t xml:space="preserve"> </w:t>
      </w:r>
      <w:r>
        <w:rPr>
          <w:rStyle w:val="VariableTok"/>
        </w:rPr>
        <w:t xml:space="preserve">self</w:t>
      </w:r>
      <w:r>
        <w:rPr>
          <w:rStyle w:val="NormalTok"/>
        </w:rPr>
        <w:t xml:space="preserve">.last_ms:                      </w:t>
      </w:r>
      <w:r>
        <w:rPr>
          <w:rStyle w:val="CommentTok"/>
        </w:rPr>
        <w:t xml:space="preserve"># NTP stepped the clock back</w:t>
      </w:r>
      <w:r>
        <w:br/>
      </w:r>
      <w:r>
        <w:rPr>
          <w:rStyle w:val="NormalTok"/>
        </w:rPr>
        <w:t xml:space="preserve">                </w:t>
      </w:r>
      <w:r>
        <w:rPr>
          <w:rStyle w:val="ControlFlowTok"/>
        </w:rPr>
        <w:t xml:space="preserve">raise</w:t>
      </w:r>
      <w:r>
        <w:rPr>
          <w:rStyle w:val="NormalTok"/>
        </w:rPr>
        <w:t xml:space="preserve"> ClockMovedBackwards(</w:t>
      </w:r>
      <w:r>
        <w:rPr>
          <w:rStyle w:val="SpecialStringTok"/>
        </w:rPr>
        <w:t xml:space="preserve">f"refusing to issue IDs for </w:t>
      </w:r>
      <w:r>
        <w:rPr>
          <w:rStyle w:val="SpecialCharTok"/>
        </w:rPr>
        <w:t xml:space="preserve">{</w:t>
      </w:r>
      <w:r>
        <w:rPr>
          <w:rStyle w:val="VariableTok"/>
        </w:rPr>
        <w:t xml:space="preserve">self</w:t>
      </w:r>
      <w:r>
        <w:rPr>
          <w:rStyle w:val="SpecialCharTok"/>
        </w:rPr>
        <w:t xml:space="preserve">.</w:t>
      </w:r>
      <w:r>
        <w:rPr>
          <w:rStyle w:val="NormalTok"/>
        </w:rPr>
        <w:t xml:space="preserve">last_ms </w:t>
      </w:r>
      <w:r>
        <w:rPr>
          <w:rStyle w:val="OperatorTok"/>
        </w:rPr>
        <w:t xml:space="preserve">-</w:t>
      </w:r>
      <w:r>
        <w:rPr>
          <w:rStyle w:val="NormalTok"/>
        </w:rPr>
        <w:t xml:space="preserve"> now</w:t>
      </w:r>
      <w:r>
        <w:rPr>
          <w:rStyle w:val="SpecialCharTok"/>
        </w:rPr>
        <w:t xml:space="preserve">}</w:t>
      </w:r>
      <w:r>
        <w:rPr>
          <w:rStyle w:val="SpecialStringTok"/>
        </w:rPr>
        <w:t xml:space="preserve"> ms"</w:t>
      </w:r>
      <w:r>
        <w:rPr>
          <w:rStyle w:val="NormalTok"/>
        </w:rPr>
        <w:t xml:space="preserve">)</w:t>
      </w:r>
      <w:r>
        <w:br/>
      </w:r>
      <w:r>
        <w:rPr>
          <w:rStyle w:val="NormalTok"/>
        </w:rPr>
        <w:t xml:space="preserve">            </w:t>
      </w:r>
      <w:r>
        <w:rPr>
          <w:rStyle w:val="ControlFlowTok"/>
        </w:rPr>
        <w:t xml:space="preserve">if</w:t>
      </w:r>
      <w:r>
        <w:rPr>
          <w:rStyle w:val="NormalTok"/>
        </w:rPr>
        <w:t xml:space="preserve"> now </w:t>
      </w:r>
      <w:r>
        <w:rPr>
          <w:rStyle w:val="OperatorTok"/>
        </w:rPr>
        <w:t xml:space="preserve">==</w:t>
      </w:r>
      <w:r>
        <w:rPr>
          <w:rStyle w:val="NormalTok"/>
        </w:rPr>
        <w:t xml:space="preserve"> </w:t>
      </w:r>
      <w:r>
        <w:rPr>
          <w:rStyle w:val="VariableTok"/>
        </w:rPr>
        <w:t xml:space="preserve">self</w:t>
      </w:r>
      <w:r>
        <w:rPr>
          <w:rStyle w:val="NormalTok"/>
        </w:rPr>
        <w:t xml:space="preserve">.last_ms:</w:t>
      </w:r>
      <w:r>
        <w:br/>
      </w:r>
      <w:r>
        <w:rPr>
          <w:rStyle w:val="NormalTok"/>
        </w:rPr>
        <w:t xml:space="preserve">                </w:t>
      </w:r>
      <w:r>
        <w:rPr>
          <w:rStyle w:val="VariableTok"/>
        </w:rPr>
        <w:t xml:space="preserve">self</w:t>
      </w:r>
      <w:r>
        <w:rPr>
          <w:rStyle w:val="NormalTok"/>
        </w:rPr>
        <w:t xml:space="preserve">.sequence </w:t>
      </w:r>
      <w:r>
        <w:rPr>
          <w:rStyle w:val="OperatorTok"/>
        </w:rPr>
        <w:t xml:space="preserve">=</w:t>
      </w:r>
      <w:r>
        <w:rPr>
          <w:rStyle w:val="NormalTok"/>
        </w:rPr>
        <w:t xml:space="preserve"> (</w:t>
      </w:r>
      <w:r>
        <w:rPr>
          <w:rStyle w:val="VariableTok"/>
        </w:rPr>
        <w:t xml:space="preserve">self</w:t>
      </w:r>
      <w:r>
        <w:rPr>
          <w:rStyle w:val="NormalTok"/>
        </w:rPr>
        <w:t xml:space="preserve">.sequence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&amp;</w:t>
      </w:r>
      <w:r>
        <w:rPr>
          <w:rStyle w:val="NormalTok"/>
        </w:rPr>
        <w:t xml:space="preserve"> MAX_SEQUENCE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.sequence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4,096 IDs used this ms: wait for the next</w:t>
      </w:r>
      <w:r>
        <w:br/>
      </w:r>
      <w:r>
        <w:rPr>
          <w:rStyle w:val="NormalTok"/>
        </w:rPr>
        <w:t xml:space="preserve">                    </w:t>
      </w:r>
      <w:r>
        <w:rPr>
          <w:rStyle w:val="ControlFlowTok"/>
        </w:rPr>
        <w:t xml:space="preserve">while</w:t>
      </w:r>
      <w:r>
        <w:rPr>
          <w:rStyle w:val="NormalTok"/>
        </w:rPr>
        <w:t xml:space="preserve"> now </w:t>
      </w:r>
      <w:r>
        <w:rPr>
          <w:rStyle w:val="OperatorTok"/>
        </w:rPr>
        <w:t xml:space="preserve">&lt;=</w:t>
      </w:r>
      <w:r>
        <w:rPr>
          <w:rStyle w:val="NormalTok"/>
        </w:rPr>
        <w:t xml:space="preserve"> </w:t>
      </w:r>
      <w:r>
        <w:rPr>
          <w:rStyle w:val="VariableTok"/>
        </w:rPr>
        <w:t xml:space="preserve">self</w:t>
      </w:r>
      <w:r>
        <w:rPr>
          <w:rStyle w:val="NormalTok"/>
        </w:rPr>
        <w:t xml:space="preserve">.last_ms:</w:t>
      </w:r>
      <w:r>
        <w:br/>
      </w:r>
      <w:r>
        <w:rPr>
          <w:rStyle w:val="NormalTok"/>
        </w:rPr>
        <w:t xml:space="preserve">                        now </w:t>
      </w:r>
      <w:r>
        <w:rPr>
          <w:rStyle w:val="OperatorTok"/>
        </w:rPr>
        <w:t xml:space="preserve">=</w:t>
      </w:r>
      <w:r>
        <w:rPr>
          <w:rStyle w:val="NormalTok"/>
        </w:rPr>
        <w:t xml:space="preserve"> </w:t>
      </w:r>
      <w:r>
        <w:rPr>
          <w:rStyle w:val="VariableTok"/>
        </w:rPr>
        <w:t xml:space="preserve">self</w:t>
      </w:r>
      <w:r>
        <w:rPr>
          <w:rStyle w:val="NormalTok"/>
        </w:rPr>
        <w:t xml:space="preserve">.clock()</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VariableTok"/>
        </w:rPr>
        <w:t xml:space="preserve">self</w:t>
      </w:r>
      <w:r>
        <w:rPr>
          <w:rStyle w:val="NormalTok"/>
        </w:rPr>
        <w:t xml:space="preserve">.sequence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.last_ms </w:t>
      </w:r>
      <w:r>
        <w:rPr>
          <w:rStyle w:val="OperatorTok"/>
        </w:rPr>
        <w:t xml:space="preserve">=</w:t>
      </w:r>
      <w:r>
        <w:rPr>
          <w:rStyle w:val="NormalTok"/>
        </w:rPr>
        <w:t xml:space="preserve"> now</w:t>
      </w:r>
      <w:r>
        <w:br/>
      </w:r>
      <w:r>
        <w:rPr>
          <w:rStyle w:val="NormalTok"/>
        </w:rPr>
        <w:t xml:space="preserve">            </w:t>
      </w:r>
      <w:r>
        <w:rPr>
          <w:rStyle w:val="ControlFlowTok"/>
        </w:rPr>
        <w:t xml:space="preserve">return</w:t>
      </w:r>
      <w:r>
        <w:rPr>
          <w:rStyle w:val="NormalTok"/>
        </w:rPr>
        <w:t xml:space="preserve"> ((now </w:t>
      </w:r>
      <w:r>
        <w:rPr>
          <w:rStyle w:val="OperatorTok"/>
        </w:rPr>
        <w:t xml:space="preserve">-</w:t>
      </w:r>
      <w:r>
        <w:rPr>
          <w:rStyle w:val="NormalTok"/>
        </w:rPr>
        <w:t xml:space="preserve"> </w:t>
      </w:r>
      <w:r>
        <w:rPr>
          <w:rStyle w:val="VariableTok"/>
        </w:rPr>
        <w:t xml:space="preserve">self</w:t>
      </w:r>
      <w:r>
        <w:rPr>
          <w:rStyle w:val="NormalTok"/>
        </w:rPr>
        <w:t xml:space="preserve">.epoch_ms) </w:t>
      </w:r>
      <w:r>
        <w:rPr>
          <w:rStyle w:val="OperatorTok"/>
        </w:rPr>
        <w:t xml:space="preserve">&lt;&lt;</w:t>
      </w:r>
      <w:r>
        <w:rPr>
          <w:rStyle w:val="NormalTok"/>
        </w:rPr>
        <w:t xml:space="preserve"> (MACHINE_BITS </w:t>
      </w:r>
      <w:r>
        <w:rPr>
          <w:rStyle w:val="OperatorTok"/>
        </w:rPr>
        <w:t xml:space="preserve">+</w:t>
      </w:r>
      <w:r>
        <w:rPr>
          <w:rStyle w:val="NormalTok"/>
        </w:rPr>
        <w:t xml:space="preserve"> SEQUENCE_BITS))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.machine_id </w:t>
      </w:r>
      <w:r>
        <w:rPr>
          <w:rStyle w:val="OperatorTok"/>
        </w:rPr>
        <w:t xml:space="preserve">&lt;&lt;</w:t>
      </w:r>
      <w:r>
        <w:rPr>
          <w:rStyle w:val="NormalTok"/>
        </w:rPr>
        <w:t xml:space="preserve"> SEQUENCE_BITS) </w:t>
      </w:r>
      <w:r>
        <w:rPr>
          <w:rStyle w:val="OperatorTok"/>
        </w:rPr>
        <w:t xml:space="preserve">|</w:t>
      </w:r>
      <w:r>
        <w:rPr>
          <w:rStyle w:val="NormalTok"/>
        </w:rPr>
        <w:t xml:space="preserve"> </w:t>
      </w:r>
      <w:r>
        <w:rPr>
          <w:rStyle w:val="VariableTok"/>
        </w:rPr>
        <w:t xml:space="preserve">self</w:t>
      </w:r>
      <w:r>
        <w:rPr>
          <w:rStyle w:val="NormalTok"/>
        </w:rPr>
        <w:t xml:space="preserve">.sequence</w:t>
      </w:r>
      <w:r>
        <w:br/>
      </w:r>
      <w:r>
        <w:br/>
      </w:r>
      <w:r>
        <w:rPr>
          <w:rStyle w:val="KeywordTok"/>
        </w:rPr>
        <w:t xml:space="preserve">def</w:t>
      </w:r>
      <w:r>
        <w:rPr>
          <w:rStyle w:val="NormalTok"/>
        </w:rPr>
        <w:t xml:space="preserve"> decode(snowflake_id: </w:t>
      </w:r>
      <w:r>
        <w:rPr>
          <w:rStyle w:val="BuiltInTok"/>
        </w:rPr>
        <w:t xml:space="preserve">int</w:t>
      </w:r>
      <w:r>
        <w:rPr>
          <w:rStyle w:val="NormalTok"/>
        </w:rPr>
        <w:t xml:space="preserve">, epoch_ms: </w:t>
      </w:r>
      <w:r>
        <w:rPr>
          <w:rStyle w:val="BuiltInTok"/>
        </w:rPr>
        <w:t xml:space="preserve">int</w:t>
      </w:r>
      <w:r>
        <w:rPr>
          <w:rStyle w:val="NormalTok"/>
        </w:rPr>
        <w:t xml:space="preserve"> </w:t>
      </w:r>
      <w:r>
        <w:rPr>
          <w:rStyle w:val="OperatorTok"/>
        </w:rPr>
        <w:t xml:space="preserve">=</w:t>
      </w:r>
      <w:r>
        <w:rPr>
          <w:rStyle w:val="NormalTok"/>
        </w:rPr>
        <w:t xml:space="preserve"> TWITTER_EPOCH_MS):</w:t>
      </w:r>
      <w:r>
        <w:br/>
      </w:r>
      <w:r>
        <w:rPr>
          <w:rStyle w:val="NormalTok"/>
        </w:rPr>
        <w:t xml:space="preserve">    ms </w:t>
      </w:r>
      <w:r>
        <w:rPr>
          <w:rStyle w:val="OperatorTok"/>
        </w:rPr>
        <w:t xml:space="preserve">=</w:t>
      </w:r>
      <w:r>
        <w:rPr>
          <w:rStyle w:val="NormalTok"/>
        </w:rPr>
        <w:t xml:space="preserve"> (snowflake_id </w:t>
      </w:r>
      <w:r>
        <w:rPr>
          <w:rStyle w:val="OperatorTok"/>
        </w:rPr>
        <w:t xml:space="preserve">&gt;&gt;</w:t>
      </w:r>
      <w:r>
        <w:rPr>
          <w:rStyle w:val="NormalTok"/>
        </w:rPr>
        <w:t xml:space="preserve"> (MACHINE_BITS </w:t>
      </w:r>
      <w:r>
        <w:rPr>
          <w:rStyle w:val="OperatorTok"/>
        </w:rPr>
        <w:t xml:space="preserve">+</w:t>
      </w:r>
      <w:r>
        <w:rPr>
          <w:rStyle w:val="NormalTok"/>
        </w:rPr>
        <w:t xml:space="preserve"> SEQUENCE_BITS)) </w:t>
      </w:r>
      <w:r>
        <w:rPr>
          <w:rStyle w:val="OperatorTok"/>
        </w:rPr>
        <w:t xml:space="preserve">+</w:t>
      </w:r>
      <w:r>
        <w:rPr>
          <w:rStyle w:val="NormalTok"/>
        </w:rPr>
        <w:t xml:space="preserve"> epoch_ms</w:t>
      </w:r>
      <w:r>
        <w:br/>
      </w:r>
      <w:r>
        <w:rPr>
          <w:rStyle w:val="NormalTok"/>
        </w:rPr>
        <w:t xml:space="preserve">    machine </w:t>
      </w:r>
      <w:r>
        <w:rPr>
          <w:rStyle w:val="OperatorTok"/>
        </w:rPr>
        <w:t xml:space="preserve">=</w:t>
      </w:r>
      <w:r>
        <w:rPr>
          <w:rStyle w:val="NormalTok"/>
        </w:rPr>
        <w:t xml:space="preserve"> (snowflake_id </w:t>
      </w:r>
      <w:r>
        <w:rPr>
          <w:rStyle w:val="OperatorTok"/>
        </w:rPr>
        <w:t xml:space="preserve">&gt;&gt;</w:t>
      </w:r>
      <w:r>
        <w:rPr>
          <w:rStyle w:val="NormalTok"/>
        </w:rPr>
        <w:t xml:space="preserve"> SEQUENCE_BITS) </w:t>
      </w:r>
      <w:r>
        <w:rPr>
          <w:rStyle w:val="OperatorTok"/>
        </w:rPr>
        <w:t xml:space="preserve">&amp;</w:t>
      </w:r>
      <w:r>
        <w:rPr>
          <w:rStyle w:val="NormalTok"/>
        </w:rPr>
        <w:t xml:space="preserve"> MAX_MACHINE</w:t>
      </w:r>
      <w:r>
        <w:br/>
      </w:r>
      <w:r>
        <w:rPr>
          <w:rStyle w:val="NormalTok"/>
        </w:rPr>
        <w:t xml:space="preserve">    seq </w:t>
      </w:r>
      <w:r>
        <w:rPr>
          <w:rStyle w:val="OperatorTok"/>
        </w:rPr>
        <w:t xml:space="preserve">=</w:t>
      </w:r>
      <w:r>
        <w:rPr>
          <w:rStyle w:val="NormalTok"/>
        </w:rPr>
        <w:t xml:space="preserve"> snowflake_id </w:t>
      </w:r>
      <w:r>
        <w:rPr>
          <w:rStyle w:val="OperatorTok"/>
        </w:rPr>
        <w:t xml:space="preserve">&amp;</w:t>
      </w:r>
      <w:r>
        <w:rPr>
          <w:rStyle w:val="NormalTok"/>
        </w:rPr>
        <w:t xml:space="preserve"> MAX_SEQUENCE</w:t>
      </w:r>
      <w:r>
        <w:br/>
      </w:r>
      <w:r>
        <w:rPr>
          <w:rStyle w:val="NormalTok"/>
        </w:rPr>
        <w:t xml:space="preserve">    </w:t>
      </w:r>
      <w:r>
        <w:rPr>
          <w:rStyle w:val="ControlFlowTok"/>
        </w:rPr>
        <w:t xml:space="preserve">return</w:t>
      </w:r>
      <w:r>
        <w:rPr>
          <w:rStyle w:val="NormalTok"/>
        </w:rPr>
        <w:t xml:space="preserve"> dt.datetime.fromtimestamp(ms </w:t>
      </w:r>
      <w:r>
        <w:rPr>
          <w:rStyle w:val="OperatorTok"/>
        </w:rPr>
        <w:t xml:space="preserve">/</w:t>
      </w:r>
      <w:r>
        <w:rPr>
          <w:rStyle w:val="NormalTok"/>
        </w:rPr>
        <w:t xml:space="preserve"> </w:t>
      </w:r>
      <w:r>
        <w:rPr>
          <w:rStyle w:val="DecValTok"/>
        </w:rPr>
        <w:t xml:space="preserve">1000</w:t>
      </w:r>
      <w:r>
        <w:rPr>
          <w:rStyle w:val="NormalTok"/>
        </w:rPr>
        <w:t xml:space="preserve">, dt.timezone.utc), machine, seq</w:t>
      </w:r>
      <w:r>
        <w:br/>
      </w:r>
      <w:r>
        <w:br/>
      </w:r>
      <w:r>
        <w:rPr>
          <w:rStyle w:val="KeywordTok"/>
        </w:rPr>
        <w:t xml:space="preserve">def</w:t>
      </w:r>
      <w:r>
        <w:rPr>
          <w:rStyle w:val="NormalTok"/>
        </w:rPr>
        <w:t xml:space="preserve"> uuid7() </w:t>
      </w:r>
      <w:r>
        <w:rPr>
          <w:rStyle w:val="OperatorTok"/>
        </w:rPr>
        <w:t xml:space="preserve">-&gt;</w:t>
      </w:r>
      <w:r>
        <w:rPr>
          <w:rStyle w:val="NormalTok"/>
        </w:rPr>
        <w:t xml:space="preserve"> uuid.UUID:</w:t>
      </w:r>
      <w:r>
        <w:br/>
      </w:r>
      <w:r>
        <w:rPr>
          <w:rStyle w:val="NormalTok"/>
        </w:rPr>
        <w:t xml:space="preserve">    </w:t>
      </w:r>
      <w:r>
        <w:rPr>
          <w:rStyle w:val="CommentTok"/>
        </w:rPr>
        <w:t xml:space="preserve">"""RFC 9562 UUIDv7: 48-bit Unix ms | ver=7 | 12 random bits | var=10 | 62 random bits."""</w:t>
      </w:r>
      <w:r>
        <w:br/>
      </w:r>
      <w:r>
        <w:rPr>
          <w:rStyle w:val="NormalTok"/>
        </w:rPr>
        <w:t xml:space="preserve">    ms </w:t>
      </w:r>
      <w:r>
        <w:rPr>
          <w:rStyle w:val="OperatorTok"/>
        </w:rPr>
        <w:t xml:space="preserve">=</w:t>
      </w:r>
      <w:r>
        <w:rPr>
          <w:rStyle w:val="NormalTok"/>
        </w:rPr>
        <w:t xml:space="preserve"> time.time_ns() </w:t>
      </w:r>
      <w:r>
        <w:rPr>
          <w:rStyle w:val="OperatorTok"/>
        </w:rPr>
        <w:t xml:space="preserve">//</w:t>
      </w:r>
      <w:r>
        <w:rPr>
          <w:rStyle w:val="NormalTok"/>
        </w:rPr>
        <w:t xml:space="preserve"> </w:t>
      </w:r>
      <w:r>
        <w:rPr>
          <w:rStyle w:val="DecValTok"/>
        </w:rPr>
        <w:t xml:space="preserve">1_000_000</w:t>
      </w:r>
      <w:r>
        <w:br/>
      </w:r>
      <w:r>
        <w:rPr>
          <w:rStyle w:val="NormalTok"/>
        </w:rPr>
        <w:t xml:space="preserve">    rand </w:t>
      </w:r>
      <w:r>
        <w:rPr>
          <w:rStyle w:val="OperatorTok"/>
        </w:rPr>
        <w:t xml:space="preserve">=</w:t>
      </w:r>
      <w:r>
        <w:rPr>
          <w:rStyle w:val="NormalTok"/>
        </w:rPr>
        <w:t xml:space="preserve"> </w:t>
      </w:r>
      <w:r>
        <w:rPr>
          <w:rStyle w:val="BuiltInTok"/>
        </w:rPr>
        <w:t xml:space="preserve">int</w:t>
      </w:r>
      <w:r>
        <w:rPr>
          <w:rStyle w:val="NormalTok"/>
        </w:rPr>
        <w:t xml:space="preserve">.from_bytes(os.urandom(</w:t>
      </w:r>
      <w:r>
        <w:rPr>
          <w:rStyle w:val="DecValTok"/>
        </w:rPr>
        <w:t xml:space="preserve">10</w:t>
      </w:r>
      <w:r>
        <w:rPr>
          <w:rStyle w:val="NormalTok"/>
        </w:rPr>
        <w:t xml:space="preserve">), </w:t>
      </w:r>
      <w:r>
        <w:rPr>
          <w:rStyle w:val="StringTok"/>
        </w:rPr>
        <w:t xml:space="preserve">"big"</w:t>
      </w:r>
      <w:r>
        <w:rPr>
          <w:rStyle w:val="NormalTok"/>
        </w:rPr>
        <w:t xml:space="preserve">)      </w:t>
      </w:r>
      <w:r>
        <w:rPr>
          <w:rStyle w:val="CommentTok"/>
        </w:rPr>
        <w:t xml:space="preserve"># 80 random bits, 74 of them used</w:t>
      </w:r>
      <w:r>
        <w:br/>
      </w:r>
      <w:r>
        <w:rPr>
          <w:rStyle w:val="NormalTok"/>
        </w:rPr>
        <w:t xml:space="preserve">    value </w:t>
      </w:r>
      <w:r>
        <w:rPr>
          <w:rStyle w:val="OperatorTok"/>
        </w:rPr>
        <w:t xml:space="preserve">=</w:t>
      </w:r>
      <w:r>
        <w:rPr>
          <w:rStyle w:val="NormalTok"/>
        </w:rPr>
        <w:t xml:space="preserve"> (ms </w:t>
      </w:r>
      <w:r>
        <w:rPr>
          <w:rStyle w:val="OperatorTok"/>
        </w:rPr>
        <w:t xml:space="preserve">&amp;</w:t>
      </w:r>
      <w:r>
        <w:rPr>
          <w:rStyle w:val="NormalTok"/>
        </w:rPr>
        <w:t xml:space="preserve"> ((</w:t>
      </w:r>
      <w:r>
        <w:rPr>
          <w:rStyle w:val="DecValTok"/>
        </w:rPr>
        <w:t xml:space="preserve">1</w:t>
      </w:r>
      <w:r>
        <w:rPr>
          <w:rStyle w:val="NormalTok"/>
        </w:rPr>
        <w:t xml:space="preserve"> </w:t>
      </w:r>
      <w:r>
        <w:rPr>
          <w:rStyle w:val="OperatorTok"/>
        </w:rPr>
        <w:t xml:space="preserve">&lt;&lt;</w:t>
      </w:r>
      <w:r>
        <w:rPr>
          <w:rStyle w:val="NormalTok"/>
        </w:rPr>
        <w:t xml:space="preserve"> </w:t>
      </w:r>
      <w:r>
        <w:rPr>
          <w:rStyle w:val="DecValTok"/>
        </w:rPr>
        <w:t xml:space="preserve">48</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&lt;&lt;</w:t>
      </w:r>
      <w:r>
        <w:rPr>
          <w:rStyle w:val="NormalTok"/>
        </w:rPr>
        <w:t xml:space="preserve"> </w:t>
      </w:r>
      <w:r>
        <w:rPr>
          <w:rStyle w:val="DecValTok"/>
        </w:rPr>
        <w:t xml:space="preserve">80</w:t>
      </w:r>
      <w:r>
        <w:br/>
      </w:r>
      <w:r>
        <w:rPr>
          <w:rStyle w:val="NormalTok"/>
        </w:rPr>
        <w:t xml:space="preserve">    value </w:t>
      </w:r>
      <w:r>
        <w:rPr>
          <w:rStyle w:val="OperatorTok"/>
        </w:rPr>
        <w:t xml:space="preserve">|=</w:t>
      </w:r>
      <w:r>
        <w:rPr>
          <w:rStyle w:val="NormalTok"/>
        </w:rPr>
        <w:t xml:space="preserve"> </w:t>
      </w:r>
      <w:r>
        <w:rPr>
          <w:rStyle w:val="BaseNTok"/>
        </w:rPr>
        <w:t xml:space="preserve">0x7</w:t>
      </w:r>
      <w:r>
        <w:rPr>
          <w:rStyle w:val="NormalTok"/>
        </w:rPr>
        <w:t xml:space="preserve"> </w:t>
      </w:r>
      <w:r>
        <w:rPr>
          <w:rStyle w:val="OperatorTok"/>
        </w:rPr>
        <w:t xml:space="preserve">&lt;&lt;</w:t>
      </w:r>
      <w:r>
        <w:rPr>
          <w:rStyle w:val="NormalTok"/>
        </w:rPr>
        <w:t xml:space="preserve"> </w:t>
      </w:r>
      <w:r>
        <w:rPr>
          <w:rStyle w:val="DecValTok"/>
        </w:rPr>
        <w:t xml:space="preserve">76</w:t>
      </w:r>
      <w:r>
        <w:rPr>
          <w:rStyle w:val="NormalTok"/>
        </w:rPr>
        <w:t xml:space="preserve">                                 </w:t>
      </w:r>
      <w:r>
        <w:rPr>
          <w:rStyle w:val="CommentTok"/>
        </w:rPr>
        <w:t xml:space="preserve"># version</w:t>
      </w:r>
      <w:r>
        <w:br/>
      </w:r>
      <w:r>
        <w:rPr>
          <w:rStyle w:val="NormalTok"/>
        </w:rPr>
        <w:t xml:space="preserve">    value </w:t>
      </w:r>
      <w:r>
        <w:rPr>
          <w:rStyle w:val="OperatorTok"/>
        </w:rPr>
        <w:t xml:space="preserve">|=</w:t>
      </w:r>
      <w:r>
        <w:rPr>
          <w:rStyle w:val="NormalTok"/>
        </w:rPr>
        <w:t xml:space="preserve"> ((rand </w:t>
      </w:r>
      <w:r>
        <w:rPr>
          <w:rStyle w:val="OperatorTok"/>
        </w:rPr>
        <w:t xml:space="preserve">&gt;&gt;</w:t>
      </w:r>
      <w:r>
        <w:rPr>
          <w:rStyle w:val="NormalTok"/>
        </w:rPr>
        <w:t xml:space="preserve"> </w:t>
      </w:r>
      <w:r>
        <w:rPr>
          <w:rStyle w:val="DecValTok"/>
        </w:rPr>
        <w:t xml:space="preserve">62</w:t>
      </w:r>
      <w:r>
        <w:rPr>
          <w:rStyle w:val="NormalTok"/>
        </w:rPr>
        <w:t xml:space="preserve">) </w:t>
      </w:r>
      <w:r>
        <w:rPr>
          <w:rStyle w:val="OperatorTok"/>
        </w:rPr>
        <w:t xml:space="preserve">&amp;</w:t>
      </w:r>
      <w:r>
        <w:rPr>
          <w:rStyle w:val="NormalTok"/>
        </w:rPr>
        <w:t xml:space="preserve"> </w:t>
      </w:r>
      <w:r>
        <w:rPr>
          <w:rStyle w:val="BaseNTok"/>
        </w:rPr>
        <w:t xml:space="preserve">0xFFF</w:t>
      </w:r>
      <w:r>
        <w:rPr>
          <w:rStyle w:val="NormalTok"/>
        </w:rPr>
        <w:t xml:space="preserve">) </w:t>
      </w:r>
      <w:r>
        <w:rPr>
          <w:rStyle w:val="OperatorTok"/>
        </w:rPr>
        <w:t xml:space="preserve">&lt;&lt;</w:t>
      </w:r>
      <w:r>
        <w:rPr>
          <w:rStyle w:val="NormalTok"/>
        </w:rPr>
        <w:t xml:space="preserve"> </w:t>
      </w:r>
      <w:r>
        <w:rPr>
          <w:rStyle w:val="DecValTok"/>
        </w:rPr>
        <w:t xml:space="preserve">64</w:t>
      </w:r>
      <w:r>
        <w:rPr>
          <w:rStyle w:val="NormalTok"/>
        </w:rPr>
        <w:t xml:space="preserve">              </w:t>
      </w:r>
      <w:r>
        <w:rPr>
          <w:rStyle w:val="CommentTok"/>
        </w:rPr>
        <w:t xml:space="preserve"># rand_a (12 bits)</w:t>
      </w:r>
      <w:r>
        <w:br/>
      </w:r>
      <w:r>
        <w:rPr>
          <w:rStyle w:val="NormalTok"/>
        </w:rPr>
        <w:t xml:space="preserve">    value </w:t>
      </w:r>
      <w:r>
        <w:rPr>
          <w:rStyle w:val="OperatorTok"/>
        </w:rPr>
        <w:t xml:space="preserve">|=</w:t>
      </w:r>
      <w:r>
        <w:rPr>
          <w:rStyle w:val="NormalTok"/>
        </w:rPr>
        <w:t xml:space="preserve"> </w:t>
      </w:r>
      <w:r>
        <w:rPr>
          <w:rStyle w:val="BaseNTok"/>
        </w:rPr>
        <w:t xml:space="preserve">0b10</w:t>
      </w:r>
      <w:r>
        <w:rPr>
          <w:rStyle w:val="NormalTok"/>
        </w:rPr>
        <w:t xml:space="preserve"> </w:t>
      </w:r>
      <w:r>
        <w:rPr>
          <w:rStyle w:val="OperatorTok"/>
        </w:rPr>
        <w:t xml:space="preserve">&lt;&lt;</w:t>
      </w:r>
      <w:r>
        <w:rPr>
          <w:rStyle w:val="NormalTok"/>
        </w:rPr>
        <w:t xml:space="preserve"> </w:t>
      </w:r>
      <w:r>
        <w:rPr>
          <w:rStyle w:val="DecValTok"/>
        </w:rPr>
        <w:t xml:space="preserve">62</w:t>
      </w:r>
      <w:r>
        <w:rPr>
          <w:rStyle w:val="NormalTok"/>
        </w:rPr>
        <w:t xml:space="preserve">                                </w:t>
      </w:r>
      <w:r>
        <w:rPr>
          <w:rStyle w:val="CommentTok"/>
        </w:rPr>
        <w:t xml:space="preserve"># variant</w:t>
      </w:r>
      <w:r>
        <w:br/>
      </w:r>
      <w:r>
        <w:rPr>
          <w:rStyle w:val="NormalTok"/>
        </w:rPr>
        <w:t xml:space="preserve">    value </w:t>
      </w:r>
      <w:r>
        <w:rPr>
          <w:rStyle w:val="OperatorTok"/>
        </w:rPr>
        <w:t xml:space="preserve">|=</w:t>
      </w:r>
      <w:r>
        <w:rPr>
          <w:rStyle w:val="NormalTok"/>
        </w:rPr>
        <w:t xml:space="preserve"> rand </w:t>
      </w:r>
      <w:r>
        <w:rPr>
          <w:rStyle w:val="OperatorTok"/>
        </w:rPr>
        <w:t xml:space="preserve">&amp;</w:t>
      </w:r>
      <w:r>
        <w:rPr>
          <w:rStyle w:val="NormalTok"/>
        </w:rPr>
        <w:t xml:space="preserve"> ((</w:t>
      </w:r>
      <w:r>
        <w:rPr>
          <w:rStyle w:val="DecValTok"/>
        </w:rPr>
        <w:t xml:space="preserve">1</w:t>
      </w:r>
      <w:r>
        <w:rPr>
          <w:rStyle w:val="NormalTok"/>
        </w:rPr>
        <w:t xml:space="preserve"> </w:t>
      </w:r>
      <w:r>
        <w:rPr>
          <w:rStyle w:val="OperatorTok"/>
        </w:rPr>
        <w:t xml:space="preserve">&lt;&lt;</w:t>
      </w:r>
      <w:r>
        <w:rPr>
          <w:rStyle w:val="NormalTok"/>
        </w:rPr>
        <w:t xml:space="preserve"> </w:t>
      </w:r>
      <w:r>
        <w:rPr>
          <w:rStyle w:val="DecValTok"/>
        </w:rPr>
        <w:t xml:space="preserve">62</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rand_b (62 bits)</w:t>
      </w:r>
      <w:r>
        <w:br/>
      </w:r>
      <w:r>
        <w:rPr>
          <w:rStyle w:val="NormalTok"/>
        </w:rPr>
        <w:t xml:space="preserve">    </w:t>
      </w:r>
      <w:r>
        <w:rPr>
          <w:rStyle w:val="ControlFlowTok"/>
        </w:rPr>
        <w:t xml:space="preserve">return</w:t>
      </w:r>
      <w:r>
        <w:rPr>
          <w:rStyle w:val="NormalTok"/>
        </w:rPr>
        <w:t xml:space="preserve"> uuid.UUID(</w:t>
      </w:r>
      <w:r>
        <w:rPr>
          <w:rStyle w:val="BuiltInTok"/>
        </w:rPr>
        <w:t xml:space="preserve">int</w:t>
      </w:r>
      <w:r>
        <w:rPr>
          <w:rStyle w:val="OperatorTok"/>
        </w:rPr>
        <w:t xml:space="preserve">=</w:t>
      </w:r>
      <w:r>
        <w:rPr>
          <w:rStyle w:val="NormalTok"/>
        </w:rPr>
        <w:t xml:space="preserve">value)</w:t>
      </w:r>
      <w:r>
        <w:br/>
      </w:r>
      <w:r>
        <w:br/>
      </w:r>
      <w:r>
        <w:rPr>
          <w:rStyle w:val="NormalTok"/>
        </w:rPr>
        <w:t xml:space="preserve">gen </w:t>
      </w:r>
      <w:r>
        <w:rPr>
          <w:rStyle w:val="OperatorTok"/>
        </w:rPr>
        <w:t xml:space="preserve">=</w:t>
      </w:r>
      <w:r>
        <w:rPr>
          <w:rStyle w:val="NormalTok"/>
        </w:rPr>
        <w:t xml:space="preserve"> Snowflake(machine_id</w:t>
      </w:r>
      <w:r>
        <w:rPr>
          <w:rStyle w:val="OperatorTok"/>
        </w:rPr>
        <w:t xml:space="preserve">=</w:t>
      </w:r>
      <w:r>
        <w:rPr>
          <w:rStyle w:val="DecValTok"/>
        </w:rPr>
        <w:t xml:space="preserve">37</w:t>
      </w:r>
      <w:r>
        <w:rPr>
          <w:rStyle w:val="NormalTok"/>
        </w:rPr>
        <w:t xml:space="preserve">)</w:t>
      </w:r>
      <w:r>
        <w:br/>
      </w:r>
      <w:r>
        <w:rPr>
          <w:rStyle w:val="NormalTok"/>
        </w:rPr>
        <w:t xml:space="preserve">ids </w:t>
      </w:r>
      <w:r>
        <w:rPr>
          <w:rStyle w:val="OperatorTok"/>
        </w:rPr>
        <w:t xml:space="preserve">=</w:t>
      </w:r>
      <w:r>
        <w:rPr>
          <w:rStyle w:val="NormalTok"/>
        </w:rPr>
        <w:t xml:space="preserve"> [gen.next_id()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200_000</w:t>
      </w:r>
      <w:r>
        <w:rPr>
          <w:rStyle w:val="NormalTok"/>
        </w:rPr>
        <w:t xml:space="preserve">)]</w:t>
      </w:r>
      <w:r>
        <w:br/>
      </w:r>
      <w:r>
        <w:rPr>
          <w:rStyle w:val="ControlFlowTok"/>
        </w:rPr>
        <w:t xml:space="preserve">assert</w:t>
      </w:r>
      <w:r>
        <w:rPr>
          <w:rStyle w:val="NormalTok"/>
        </w:rPr>
        <w:t xml:space="preserve"> </w:t>
      </w:r>
      <w:r>
        <w:rPr>
          <w:rStyle w:val="BuiltInTok"/>
        </w:rPr>
        <w:t xml:space="preserve">len</w:t>
      </w:r>
      <w:r>
        <w:rPr>
          <w:rStyle w:val="NormalTok"/>
        </w:rPr>
        <w:t xml:space="preserve">(</w:t>
      </w:r>
      <w:r>
        <w:rPr>
          <w:rStyle w:val="BuiltInTok"/>
        </w:rPr>
        <w:t xml:space="preserve">set</w:t>
      </w:r>
      <w:r>
        <w:rPr>
          <w:rStyle w:val="NormalTok"/>
        </w:rPr>
        <w:t xml:space="preserve">(ids)) </w:t>
      </w:r>
      <w:r>
        <w:rPr>
          <w:rStyle w:val="OperatorTok"/>
        </w:rPr>
        <w:t xml:space="preserve">==</w:t>
      </w:r>
      <w:r>
        <w:rPr>
          <w:rStyle w:val="NormalTok"/>
        </w:rPr>
        <w:t xml:space="preserve"> </w:t>
      </w:r>
      <w:r>
        <w:rPr>
          <w:rStyle w:val="BuiltInTok"/>
        </w:rPr>
        <w:t xml:space="preserve">len</w:t>
      </w:r>
      <w:r>
        <w:rPr>
          <w:rStyle w:val="NormalTok"/>
        </w:rPr>
        <w:t xml:space="preserve">(ids) </w:t>
      </w:r>
      <w:r>
        <w:rPr>
          <w:rStyle w:val="KeywordTok"/>
        </w:rPr>
        <w:t xml:space="preserve">and</w:t>
      </w:r>
      <w:r>
        <w:rPr>
          <w:rStyle w:val="NormalTok"/>
        </w:rPr>
        <w:t xml:space="preserve"> ids </w:t>
      </w:r>
      <w:r>
        <w:rPr>
          <w:rStyle w:val="OperatorTok"/>
        </w:rPr>
        <w:t xml:space="preserve">==</w:t>
      </w:r>
      <w:r>
        <w:rPr>
          <w:rStyle w:val="NormalTok"/>
        </w:rPr>
        <w:t xml:space="preserve"> </w:t>
      </w:r>
      <w:r>
        <w:rPr>
          <w:rStyle w:val="BuiltInTok"/>
        </w:rPr>
        <w:t xml:space="preserve">sorted</w:t>
      </w:r>
      <w:r>
        <w:rPr>
          <w:rStyle w:val="NormalTok"/>
        </w:rPr>
        <w:t xml:space="preserve">(ids)   </w:t>
      </w:r>
      <w:r>
        <w:rPr>
          <w:rStyle w:val="CommentTok"/>
        </w:rPr>
        <w:t xml:space="preserve"># unique and strictly increasing</w:t>
      </w:r>
      <w:r>
        <w:br/>
      </w:r>
      <w:r>
        <w:rPr>
          <w:rStyle w:val="BuiltInTok"/>
        </w:rPr>
        <w:t xml:space="preserve">print</w:t>
      </w:r>
      <w:r>
        <w:rPr>
          <w:rStyle w:val="NormalTok"/>
        </w:rPr>
        <w:t xml:space="preserve">(</w:t>
      </w:r>
      <w:r>
        <w:rPr>
          <w:rStyle w:val="StringTok"/>
        </w:rPr>
        <w:t xml:space="preserve">"sample id:"</w:t>
      </w:r>
      <w:r>
        <w:rPr>
          <w:rStyle w:val="NormalTok"/>
        </w:rPr>
        <w:t xml:space="preserve">, ids[</w:t>
      </w:r>
      <w:r>
        <w:rPr>
          <w:rStyle w:val="OperatorTok"/>
        </w:rPr>
        <w:t xml:space="preserve">-</w:t>
      </w:r>
      <w:r>
        <w:rPr>
          <w:rStyle w:val="DecValTok"/>
        </w:rPr>
        <w:t xml:space="preserve">1</w:t>
      </w:r>
      <w:r>
        <w:rPr>
          <w:rStyle w:val="NormalTok"/>
        </w:rPr>
        <w:t xml:space="preserve">], </w:t>
      </w:r>
      <w:r>
        <w:rPr>
          <w:rStyle w:val="StringTok"/>
        </w:rPr>
        <w:t xml:space="preserve">"-&gt;"</w:t>
      </w:r>
      <w:r>
        <w:rPr>
          <w:rStyle w:val="NormalTok"/>
        </w:rPr>
        <w:t xml:space="preserve">, decode(ids[</w:t>
      </w:r>
      <w:r>
        <w:rPr>
          <w:rStyle w:val="OperatorTok"/>
        </w:rPr>
        <w:t xml:space="preserve">-</w:t>
      </w:r>
      <w:r>
        <w:rPr>
          <w:rStyle w:val="DecValTok"/>
        </w:rPr>
        <w:t xml:space="preserve">1</w:t>
      </w:r>
      <w:r>
        <w:rPr>
          <w:rStyle w:val="NormalTok"/>
        </w:rPr>
        <w:t xml:space="preserve">]))</w:t>
      </w:r>
      <w:r>
        <w:br/>
      </w:r>
      <w:r>
        <w:rPr>
          <w:rStyle w:val="NormalTok"/>
        </w:rPr>
        <w:t xml:space="preserve">start </w:t>
      </w:r>
      <w:r>
        <w:rPr>
          <w:rStyle w:val="OperatorTok"/>
        </w:rPr>
        <w:t xml:space="preserve">=</w:t>
      </w:r>
      <w:r>
        <w:rPr>
          <w:rStyle w:val="NormalTok"/>
        </w:rPr>
        <w:t xml:space="preserve"> time.perf_counter()</w:t>
      </w:r>
      <w:r>
        <w:br/>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200_000</w:t>
      </w:r>
      <w:r>
        <w:rPr>
          <w:rStyle w:val="NormalTok"/>
        </w:rPr>
        <w:t xml:space="preserve">):</w:t>
      </w:r>
      <w:r>
        <w:br/>
      </w:r>
      <w:r>
        <w:rPr>
          <w:rStyle w:val="NormalTok"/>
        </w:rPr>
        <w:t xml:space="preserve">    gen.next_id()</w:t>
      </w:r>
      <w:r>
        <w:br/>
      </w:r>
      <w:r>
        <w:rPr>
          <w:rStyle w:val="BuiltInTok"/>
        </w:rPr>
        <w:t xml:space="preserve">print</w:t>
      </w:r>
      <w:r>
        <w:rPr>
          <w:rStyle w:val="NormalTok"/>
        </w:rPr>
        <w:t xml:space="preserve">(</w:t>
      </w:r>
      <w:r>
        <w:rPr>
          <w:rStyle w:val="SpecialStringTok"/>
        </w:rPr>
        <w:t xml:space="preserve">f"this Python generator: </w:t>
      </w:r>
      <w:r>
        <w:rPr>
          <w:rStyle w:val="SpecialCharTok"/>
        </w:rPr>
        <w:t xml:space="preserve">{</w:t>
      </w:r>
      <w:r>
        <w:rPr>
          <w:rStyle w:val="DecValTok"/>
        </w:rPr>
        <w:t xml:space="preserve">200_000</w:t>
      </w:r>
      <w:r>
        <w:rPr>
          <w:rStyle w:val="NormalTok"/>
        </w:rPr>
        <w:t xml:space="preserve"> </w:t>
      </w:r>
      <w:r>
        <w:rPr>
          <w:rStyle w:val="OperatorTok"/>
        </w:rPr>
        <w:t xml:space="preserve">/</w:t>
      </w:r>
      <w:r>
        <w:rPr>
          <w:rStyle w:val="NormalTok"/>
        </w:rPr>
        <w:t xml:space="preserve"> (time.perf_counter() </w:t>
      </w:r>
      <w:r>
        <w:rPr>
          <w:rStyle w:val="OperatorTok"/>
        </w:rPr>
        <w:t xml:space="preserve">-</w:t>
      </w:r>
      <w:r>
        <w:rPr>
          <w:rStyle w:val="NormalTok"/>
        </w:rPr>
        <w:t xml:space="preserve"> start)</w:t>
      </w:r>
      <w:r>
        <w:rPr>
          <w:rStyle w:val="SpecialCharTok"/>
        </w:rPr>
        <w:t xml:space="preserve">:,.0f}</w:t>
      </w:r>
      <w:r>
        <w:rPr>
          <w:rStyle w:val="SpecialStringTok"/>
        </w:rPr>
        <w:t xml:space="preserve"> IDs/s"</w:t>
      </w:r>
      <w:r>
        <w:rPr>
          <w:rStyle w:val="NormalTok"/>
        </w:rPr>
        <w:t xml:space="preserve">)</w:t>
      </w:r>
      <w:r>
        <w:br/>
      </w:r>
      <w:r>
        <w:br/>
      </w:r>
      <w:r>
        <w:rPr>
          <w:rStyle w:val="NormalTok"/>
        </w:rPr>
        <w:t xml:space="preserve">per_machine </w:t>
      </w:r>
      <w:r>
        <w:rPr>
          <w:rStyle w:val="OperatorTok"/>
        </w:rPr>
        <w:t xml:space="preserve">=</w:t>
      </w:r>
      <w:r>
        <w:rPr>
          <w:rStyle w:val="NormalTok"/>
        </w:rPr>
        <w:t xml:space="preserve"> (MAX_SEQUENCE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1000</w:t>
      </w:r>
      <w:r>
        <w:br/>
      </w:r>
      <w:r>
        <w:rPr>
          <w:rStyle w:val="BuiltInTok"/>
        </w:rPr>
        <w:t xml:space="preserve">print</w:t>
      </w:r>
      <w:r>
        <w:rPr>
          <w:rStyle w:val="NormalTok"/>
        </w:rPr>
        <w:t xml:space="preserve">(</w:t>
      </w:r>
      <w:r>
        <w:rPr>
          <w:rStyle w:val="SpecialStringTok"/>
        </w:rPr>
        <w:t xml:space="preserve">f"capacity: </w:t>
      </w:r>
      <w:r>
        <w:rPr>
          <w:rStyle w:val="SpecialCharTok"/>
        </w:rPr>
        <w:t xml:space="preserve">{</w:t>
      </w:r>
      <w:r>
        <w:rPr>
          <w:rStyle w:val="NormalTok"/>
        </w:rPr>
        <w:t xml:space="preserve">per_machine</w:t>
      </w:r>
      <w:r>
        <w:rPr>
          <w:rStyle w:val="SpecialCharTok"/>
        </w:rPr>
        <w:t xml:space="preserve">:,}</w:t>
      </w:r>
      <w:r>
        <w:rPr>
          <w:rStyle w:val="SpecialStringTok"/>
        </w:rPr>
        <w:t xml:space="preserve"> IDs/s per machine, </w:t>
      </w:r>
      <w:r>
        <w:rPr>
          <w:rStyle w:val="SpecialCharTok"/>
        </w:rPr>
        <w:t xml:space="preserve">{</w:t>
      </w:r>
      <w:r>
        <w:rPr>
          <w:rStyle w:val="NormalTok"/>
        </w:rPr>
        <w:t xml:space="preserve">per_machine </w:t>
      </w:r>
      <w:r>
        <w:rPr>
          <w:rStyle w:val="OperatorTok"/>
        </w:rPr>
        <w:t xml:space="preserve">*</w:t>
      </w:r>
      <w:r>
        <w:rPr>
          <w:rStyle w:val="NormalTok"/>
        </w:rPr>
        <w:t xml:space="preserve"> (MAX_MACHINE </w:t>
      </w:r>
      <w:r>
        <w:rPr>
          <w:rStyle w:val="OperatorTok"/>
        </w:rPr>
        <w:t xml:space="preserve">+</w:t>
      </w:r>
      <w:r>
        <w:rPr>
          <w:rStyle w:val="NormalTok"/>
        </w:rPr>
        <w:t xml:space="preserve"> </w:t>
      </w:r>
      <w:r>
        <w:rPr>
          <w:rStyle w:val="DecValTok"/>
        </w:rPr>
        <w:t xml:space="preserve">1</w:t>
      </w:r>
      <w:r>
        <w:rPr>
          <w:rStyle w:val="NormalTok"/>
        </w:rPr>
        <w:t xml:space="preserve">)</w:t>
      </w:r>
      <w:r>
        <w:rPr>
          <w:rStyle w:val="SpecialCharTok"/>
        </w:rPr>
        <w:t xml:space="preserve">:,}</w:t>
      </w:r>
      <w:r>
        <w:rPr>
          <w:rStyle w:val="SpecialStringTok"/>
        </w:rPr>
        <w:t xml:space="preserve"> IDs/s cluster"</w:t>
      </w:r>
      <w:r>
        <w:rPr>
          <w:rStyle w:val="NormalTok"/>
        </w:rPr>
        <w:t xml:space="preserve">)</w:t>
      </w:r>
      <w:r>
        <w:br/>
      </w:r>
      <w:r>
        <w:rPr>
          <w:rStyle w:val="NormalTok"/>
        </w:rPr>
        <w:t xml:space="preserve">lifetime_ms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&lt;&lt;</w:t>
      </w:r>
      <w:r>
        <w:rPr>
          <w:rStyle w:val="NormalTok"/>
        </w:rPr>
        <w:t xml:space="preserve"> TIMESTAMP_BITS</w:t>
      </w:r>
      <w:r>
        <w:br/>
      </w:r>
      <w:r>
        <w:rPr>
          <w:rStyle w:val="NormalTok"/>
        </w:rPr>
        <w:t xml:space="preserve">years </w:t>
      </w:r>
      <w:r>
        <w:rPr>
          <w:rStyle w:val="OperatorTok"/>
        </w:rPr>
        <w:t xml:space="preserve">=</w:t>
      </w:r>
      <w:r>
        <w:rPr>
          <w:rStyle w:val="NormalTok"/>
        </w:rPr>
        <w:t xml:space="preserve"> lifetime_ms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w:t>
      </w:r>
      <w:r>
        <w:rPr>
          <w:rStyle w:val="DecValTok"/>
        </w:rPr>
        <w:t xml:space="preserve">3600</w:t>
      </w:r>
      <w:r>
        <w:rPr>
          <w:rStyle w:val="NormalTok"/>
        </w:rPr>
        <w:t xml:space="preserve"> </w:t>
      </w:r>
      <w:r>
        <w:rPr>
          <w:rStyle w:val="OperatorTok"/>
        </w:rPr>
        <w:t xml:space="preserve">*</w:t>
      </w:r>
      <w:r>
        <w:rPr>
          <w:rStyle w:val="NormalTok"/>
        </w:rPr>
        <w:t xml:space="preserve"> </w:t>
      </w:r>
      <w:r>
        <w:rPr>
          <w:rStyle w:val="DecValTok"/>
        </w:rPr>
        <w:t xml:space="preserve">24</w:t>
      </w:r>
      <w:r>
        <w:rPr>
          <w:rStyle w:val="NormalTok"/>
        </w:rPr>
        <w:t xml:space="preserve"> </w:t>
      </w:r>
      <w:r>
        <w:rPr>
          <w:rStyle w:val="OperatorTok"/>
        </w:rPr>
        <w:t xml:space="preserve">*</w:t>
      </w:r>
      <w:r>
        <w:rPr>
          <w:rStyle w:val="NormalTok"/>
        </w:rPr>
        <w:t xml:space="preserve"> </w:t>
      </w:r>
      <w:r>
        <w:rPr>
          <w:rStyle w:val="FloatTok"/>
        </w:rPr>
        <w:t xml:space="preserve">365.25</w:t>
      </w:r>
      <w:r>
        <w:rPr>
          <w:rStyle w:val="NormalTok"/>
        </w:rPr>
        <w:t xml:space="preserve">)</w:t>
      </w:r>
      <w:r>
        <w:br/>
      </w:r>
      <w:r>
        <w:rPr>
          <w:rStyle w:val="NormalTok"/>
        </w:rPr>
        <w:t xml:space="preserve">end </w:t>
      </w:r>
      <w:r>
        <w:rPr>
          <w:rStyle w:val="OperatorTok"/>
        </w:rPr>
        <w:t xml:space="preserve">=</w:t>
      </w:r>
      <w:r>
        <w:rPr>
          <w:rStyle w:val="NormalTok"/>
        </w:rPr>
        <w:t xml:space="preserve"> dt.datetime.fromtimestamp((TWITTER_EPOCH_MS </w:t>
      </w:r>
      <w:r>
        <w:rPr>
          <w:rStyle w:val="OperatorTok"/>
        </w:rPr>
        <w:t xml:space="preserve">+</w:t>
      </w:r>
      <w:r>
        <w:rPr>
          <w:rStyle w:val="NormalTok"/>
        </w:rPr>
        <w:t xml:space="preserve"> lifetime_ms) </w:t>
      </w:r>
      <w:r>
        <w:rPr>
          <w:rStyle w:val="OperatorTok"/>
        </w:rPr>
        <w:t xml:space="preserve">/</w:t>
      </w:r>
      <w:r>
        <w:rPr>
          <w:rStyle w:val="NormalTok"/>
        </w:rPr>
        <w:t xml:space="preserve"> </w:t>
      </w:r>
      <w:r>
        <w:rPr>
          <w:rStyle w:val="DecValTok"/>
        </w:rPr>
        <w:t xml:space="preserve">1000</w:t>
      </w:r>
      <w:r>
        <w:rPr>
          <w:rStyle w:val="NormalTok"/>
        </w:rPr>
        <w:t xml:space="preserve">, dt.timezone.utc)</w:t>
      </w:r>
      <w:r>
        <w:br/>
      </w:r>
      <w:r>
        <w:rPr>
          <w:rStyle w:val="BuiltInTok"/>
        </w:rPr>
        <w:t xml:space="preserve">print</w:t>
      </w:r>
      <w:r>
        <w:rPr>
          <w:rStyle w:val="NormalTok"/>
        </w:rPr>
        <w:t xml:space="preserve">(</w:t>
      </w:r>
      <w:r>
        <w:rPr>
          <w:rStyle w:val="SpecialStringTok"/>
        </w:rPr>
        <w:t xml:space="preserve">f"lifetime: 2^41 ms = </w:t>
      </w:r>
      <w:r>
        <w:rPr>
          <w:rStyle w:val="SpecialCharTok"/>
        </w:rPr>
        <w:t xml:space="preserve">{</w:t>
      </w:r>
      <w:r>
        <w:rPr>
          <w:rStyle w:val="NormalTok"/>
        </w:rPr>
        <w:t xml:space="preserve">lifetime_ms</w:t>
      </w:r>
      <w:r>
        <w:rPr>
          <w:rStyle w:val="SpecialCharTok"/>
        </w:rPr>
        <w:t xml:space="preserve">:,}</w:t>
      </w:r>
      <w:r>
        <w:rPr>
          <w:rStyle w:val="SpecialStringTok"/>
        </w:rPr>
        <w:t xml:space="preserve"> ms = </w:t>
      </w:r>
      <w:r>
        <w:rPr>
          <w:rStyle w:val="SpecialCharTok"/>
        </w:rPr>
        <w:t xml:space="preserve">{</w:t>
      </w:r>
      <w:r>
        <w:rPr>
          <w:rStyle w:val="NormalTok"/>
        </w:rPr>
        <w:t xml:space="preserve">years</w:t>
      </w:r>
      <w:r>
        <w:rPr>
          <w:rStyle w:val="SpecialCharTok"/>
        </w:rPr>
        <w:t xml:space="preserve">:.1f}</w:t>
      </w:r>
      <w:r>
        <w:rPr>
          <w:rStyle w:val="SpecialStringTok"/>
        </w:rPr>
        <w:t xml:space="preserve"> years; Twitter-epoch IDs run out </w:t>
      </w:r>
      <w:r>
        <w:rPr>
          <w:rStyle w:val="SpecialCharTok"/>
        </w:rPr>
        <w:t xml:space="preserve">{</w:t>
      </w:r>
      <w:r>
        <w:rPr>
          <w:rStyle w:val="NormalTok"/>
        </w:rPr>
        <w:t xml:space="preserve">end</w:t>
      </w:r>
      <w:r>
        <w:rPr>
          <w:rStyle w:val="SpecialCharTok"/>
        </w:rPr>
        <w:t xml:space="preserve">:</w:t>
      </w:r>
      <w:r>
        <w:rPr>
          <w:rStyle w:val="OperatorTok"/>
        </w:rPr>
        <w:t xml:space="preserve">%</w:t>
      </w:r>
      <w:r>
        <w:rPr>
          <w:rStyle w:val="NormalTok"/>
        </w:rPr>
        <w:t xml:space="preserve">Y</w:t>
      </w:r>
      <w:r>
        <w:rPr>
          <w:rStyle w:val="OperatorTok"/>
        </w:rPr>
        <w:t xml:space="preserve">-%</w:t>
      </w:r>
      <w:r>
        <w:rPr>
          <w:rStyle w:val="NormalTok"/>
        </w:rPr>
        <w:t xml:space="preserve">m</w:t>
      </w:r>
      <w:r>
        <w:rPr>
          <w:rStyle w:val="OperatorTok"/>
        </w:rPr>
        <w:t xml:space="preserve">-%</w:t>
      </w:r>
      <w:r>
        <w:rPr>
          <w:rStyle w:val="NormalTok"/>
        </w:rPr>
        <w:t xml:space="preserve">d</w:t>
      </w:r>
      <w:r>
        <w:rPr>
          <w:rStyle w:val="SpecialCharTok"/>
        </w:rPr>
        <w:t xml:space="preserve">}</w:t>
      </w:r>
      <w:r>
        <w:rPr>
          <w:rStyle w:val="SpecialStringTok"/>
        </w:rPr>
        <w:t xml:space="preserve">"</w:t>
      </w:r>
      <w:r>
        <w:rPr>
          <w:rStyle w:val="NormalTok"/>
        </w:rPr>
        <w:t xml:space="preserve">)</w:t>
      </w:r>
      <w:r>
        <w:br/>
      </w:r>
      <w:r>
        <w:br/>
      </w:r>
      <w:r>
        <w:rPr>
          <w:rStyle w:val="CommentTok"/>
        </w:rPr>
        <w:t xml:space="preserve"># A clock that jumps back 5 ms</w:t>
      </w:r>
      <w:r>
        <w:br/>
      </w:r>
      <w:r>
        <w:rPr>
          <w:rStyle w:val="NormalTok"/>
        </w:rPr>
        <w:t xml:space="preserve">fake </w:t>
      </w:r>
      <w:r>
        <w:rPr>
          <w:rStyle w:val="OperatorTok"/>
        </w:rPr>
        <w:t xml:space="preserve">=</w:t>
      </w:r>
      <w:r>
        <w:rPr>
          <w:rStyle w:val="NormalTok"/>
        </w:rPr>
        <w:t xml:space="preserve"> </w:t>
      </w:r>
      <w:r>
        <w:rPr>
          <w:rStyle w:val="BuiltInTok"/>
        </w:rPr>
        <w:t xml:space="preserve">iter</w:t>
      </w:r>
      <w:r>
        <w:rPr>
          <w:rStyle w:val="NormalTok"/>
        </w:rPr>
        <w:t xml:space="preserve">([</w:t>
      </w:r>
      <w:r>
        <w:rPr>
          <w:rStyle w:val="DecValTok"/>
        </w:rPr>
        <w:t xml:space="preserve">1000</w:t>
      </w:r>
      <w:r>
        <w:rPr>
          <w:rStyle w:val="NormalTok"/>
        </w:rPr>
        <w:t xml:space="preserve">, </w:t>
      </w:r>
      <w:r>
        <w:rPr>
          <w:rStyle w:val="DecValTok"/>
        </w:rPr>
        <w:t xml:space="preserve">1001</w:t>
      </w:r>
      <w:r>
        <w:rPr>
          <w:rStyle w:val="NormalTok"/>
        </w:rPr>
        <w:t xml:space="preserve">, </w:t>
      </w:r>
      <w:r>
        <w:rPr>
          <w:rStyle w:val="DecValTok"/>
        </w:rPr>
        <w:t xml:space="preserve">996</w:t>
      </w:r>
      <w:r>
        <w:rPr>
          <w:rStyle w:val="NormalTok"/>
        </w:rPr>
        <w:t xml:space="preserve">, </w:t>
      </w:r>
      <w:r>
        <w:rPr>
          <w:rStyle w:val="DecValTok"/>
        </w:rPr>
        <w:t xml:space="preserve">1002</w:t>
      </w:r>
      <w:r>
        <w:rPr>
          <w:rStyle w:val="NormalTok"/>
        </w:rPr>
        <w:t xml:space="preserve">])</w:t>
      </w:r>
      <w:r>
        <w:br/>
      </w:r>
      <w:r>
        <w:rPr>
          <w:rStyle w:val="NormalTok"/>
        </w:rPr>
        <w:t xml:space="preserve">g </w:t>
      </w:r>
      <w:r>
        <w:rPr>
          <w:rStyle w:val="OperatorTok"/>
        </w:rPr>
        <w:t xml:space="preserve">=</w:t>
      </w:r>
      <w:r>
        <w:rPr>
          <w:rStyle w:val="NormalTok"/>
        </w:rPr>
        <w:t xml:space="preserve"> Snowflake(</w:t>
      </w:r>
      <w:r>
        <w:rPr>
          <w:rStyle w:val="DecValTok"/>
        </w:rPr>
        <w:t xml:space="preserve">1</w:t>
      </w:r>
      <w:r>
        <w:rPr>
          <w:rStyle w:val="NormalTok"/>
        </w:rPr>
        <w:t xml:space="preserve">, epoch_ms</w:t>
      </w:r>
      <w:r>
        <w:rPr>
          <w:rStyle w:val="OperatorTok"/>
        </w:rPr>
        <w:t xml:space="preserve">=</w:t>
      </w:r>
      <w:r>
        <w:rPr>
          <w:rStyle w:val="DecValTok"/>
        </w:rPr>
        <w:t xml:space="preserve">0</w:t>
      </w:r>
      <w:r>
        <w:rPr>
          <w:rStyle w:val="NormalTok"/>
        </w:rPr>
        <w:t xml:space="preserve">, clock</w:t>
      </w:r>
      <w:r>
        <w:rPr>
          <w:rStyle w:val="OperatorTok"/>
        </w:rPr>
        <w:t xml:space="preserve">=</w:t>
      </w:r>
      <w:r>
        <w:rPr>
          <w:rStyle w:val="KeywordTok"/>
        </w:rPr>
        <w:t xml:space="preserve">lambda</w:t>
      </w:r>
      <w:r>
        <w:rPr>
          <w:rStyle w:val="NormalTok"/>
        </w:rPr>
        <w:t xml:space="preserve">: </w:t>
      </w:r>
      <w:r>
        <w:rPr>
          <w:rStyle w:val="BuiltInTok"/>
        </w:rPr>
        <w:t xml:space="preserve">next</w:t>
      </w:r>
      <w:r>
        <w:rPr>
          <w:rStyle w:val="NormalTok"/>
        </w:rPr>
        <w:t xml:space="preserve">(fake))</w:t>
      </w:r>
      <w:r>
        <w:br/>
      </w:r>
      <w:r>
        <w:rPr>
          <w:rStyle w:val="NormalTok"/>
        </w:rPr>
        <w:t xml:space="preserve">g.next_id()</w:t>
      </w:r>
      <w:r>
        <w:rPr>
          <w:rStyle w:val="OperatorTok"/>
        </w:rPr>
        <w:t xml:space="preserve">;</w:t>
      </w:r>
      <w:r>
        <w:rPr>
          <w:rStyle w:val="NormalTok"/>
        </w:rPr>
        <w:t xml:space="preserve"> g.next_id()</w:t>
      </w:r>
      <w:r>
        <w:br/>
      </w:r>
      <w:r>
        <w:rPr>
          <w:rStyle w:val="ControlFlowTok"/>
        </w:rPr>
        <w:t xml:space="preserve">try</w:t>
      </w:r>
      <w:r>
        <w:rPr>
          <w:rStyle w:val="NormalTok"/>
        </w:rPr>
        <w:t xml:space="preserve">:</w:t>
      </w:r>
      <w:r>
        <w:br/>
      </w:r>
      <w:r>
        <w:rPr>
          <w:rStyle w:val="NormalTok"/>
        </w:rPr>
        <w:t xml:space="preserve">    g.next_id()</w:t>
      </w:r>
      <w:r>
        <w:br/>
      </w:r>
      <w:r>
        <w:rPr>
          <w:rStyle w:val="ControlFlowTok"/>
        </w:rPr>
        <w:t xml:space="preserve">except</w:t>
      </w:r>
      <w:r>
        <w:rPr>
          <w:rStyle w:val="NormalTok"/>
        </w:rPr>
        <w:t xml:space="preserve"> ClockMovedBackwards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tringTok"/>
        </w:rPr>
        <w:t xml:space="preserve">"clock step:"</w:t>
      </w:r>
      <w:r>
        <w:rPr>
          <w:rStyle w:val="NormalTok"/>
        </w:rPr>
        <w:t xml:space="preserve">, e)</w:t>
      </w:r>
      <w:r>
        <w:br/>
      </w:r>
      <w:r>
        <w:br/>
      </w:r>
      <w:r>
        <w:rPr>
          <w:rStyle w:val="NormalTok"/>
        </w:rPr>
        <w:t xml:space="preserve">u </w:t>
      </w:r>
      <w:r>
        <w:rPr>
          <w:rStyle w:val="OperatorTok"/>
        </w:rPr>
        <w:t xml:space="preserve">=</w:t>
      </w:r>
      <w:r>
        <w:rPr>
          <w:rStyle w:val="NormalTok"/>
        </w:rPr>
        <w:t xml:space="preserve"> [uuid7()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BuiltInTok"/>
        </w:rPr>
        <w:t xml:space="preserve">print</w:t>
      </w:r>
      <w:r>
        <w:rPr>
          <w:rStyle w:val="NormalTok"/>
        </w:rPr>
        <w:t xml:space="preserve">(</w:t>
      </w:r>
      <w:r>
        <w:rPr>
          <w:rStyle w:val="StringTok"/>
        </w:rPr>
        <w:t xml:space="preserve">"uuid7:"</w:t>
      </w:r>
      <w:r>
        <w:rPr>
          <w:rStyle w:val="NormalTok"/>
        </w:rPr>
        <w:t xml:space="preserve">, u[</w:t>
      </w:r>
      <w:r>
        <w:rPr>
          <w:rStyle w:val="DecValTok"/>
        </w:rPr>
        <w:t xml:space="preserve">0</w:t>
      </w:r>
      <w:r>
        <w:rPr>
          <w:rStyle w:val="NormalTok"/>
        </w:rPr>
        <w:t xml:space="preserve">], </w:t>
      </w:r>
      <w:r>
        <w:rPr>
          <w:rStyle w:val="StringTok"/>
        </w:rPr>
        <w:t xml:space="preserve">"version"</w:t>
      </w:r>
      <w:r>
        <w:rPr>
          <w:rStyle w:val="NormalTok"/>
        </w:rPr>
        <w:t xml:space="preserve">, u[</w:t>
      </w:r>
      <w:r>
        <w:rPr>
          <w:rStyle w:val="DecValTok"/>
        </w:rPr>
        <w:t xml:space="preserve">0</w:t>
      </w:r>
      <w:r>
        <w:rPr>
          <w:rStyle w:val="NormalTok"/>
        </w:rPr>
        <w:t xml:space="preserve">].version, </w:t>
      </w:r>
      <w:r>
        <w:rPr>
          <w:rStyle w:val="StringTok"/>
        </w:rPr>
        <w:t xml:space="preserve">"| uuid4:"</w:t>
      </w:r>
      <w:r>
        <w:rPr>
          <w:rStyle w:val="NormalTok"/>
        </w:rPr>
        <w:t xml:space="preserve">, uuid.uuid4())</w:t>
      </w:r>
    </w:p>
    <w:p>
      <w:pPr>
        <w:pStyle w:val="FirstParagraph"/>
      </w:pPr>
      <w:r>
        <w:t xml:space="preserve">Output (IDs, dates and the rate vary by run and machine):</w:t>
      </w:r>
    </w:p>
    <w:p>
      <w:pPr>
        <w:pStyle w:val="SourceCode"/>
      </w:pPr>
      <w:r>
        <w:rPr>
          <w:rStyle w:val="VerbatimChar"/>
        </w:rPr>
        <w:t xml:space="preserve">sample id: 2116059594966061194 -&gt; (datetime.datetime(2026, 10, 30, 6, 48, 16, 583000, tzinfo=datetime.timezone.utc), 37, 138)</w:t>
      </w:r>
      <w:r>
        <w:br/>
      </w:r>
      <w:r>
        <w:rPr>
          <w:rStyle w:val="VerbatimChar"/>
        </w:rPr>
        <w:t xml:space="preserve">this Python generator: 1,671,382 IDs/s</w:t>
      </w:r>
      <w:r>
        <w:br/>
      </w:r>
      <w:r>
        <w:rPr>
          <w:rStyle w:val="VerbatimChar"/>
        </w:rPr>
        <w:t xml:space="preserve">capacity: 4,096,000 IDs/s per machine, 4,194,304,000 IDs/s cluster</w:t>
      </w:r>
      <w:r>
        <w:br/>
      </w:r>
      <w:r>
        <w:rPr>
          <w:rStyle w:val="VerbatimChar"/>
        </w:rPr>
        <w:t xml:space="preserve">lifetime: 2^41 ms = 2,199,023,255,552 ms = 69.7 years; Twitter-epoch IDs run out 2080-07-10</w:t>
      </w:r>
      <w:r>
        <w:br/>
      </w:r>
      <w:r>
        <w:rPr>
          <w:rStyle w:val="VerbatimChar"/>
        </w:rPr>
        <w:t xml:space="preserve">clock step: refusing to issue IDs for 5 ms</w:t>
      </w:r>
      <w:r>
        <w:br/>
      </w:r>
      <w:r>
        <w:rPr>
          <w:rStyle w:val="VerbatimChar"/>
        </w:rPr>
        <w:t xml:space="preserve">uuid7: 01a18b90-fa5a-78bc-a410-f69281e34317 version 7 | uuid4: 07ac5358-bdb5-42c6-bed7-46d2df7a34d6</w:t>
      </w:r>
    </w:p>
    <w:p>
      <w:pPr>
        <w:pStyle w:val="FirstParagraph"/>
      </w:pPr>
      <w:r>
        <w:t xml:space="preserve">What to notice:</w:t>
      </w:r>
    </w:p>
    <w:p>
      <w:pPr>
        <w:numPr>
          <w:ilvl w:val="0"/>
          <w:numId w:val="1588"/>
        </w:numPr>
        <w:pStyle w:val="Compact"/>
      </w:pPr>
      <w:r>
        <w:t xml:space="preserve">200,000 IDs from one generator are unique and strictly increasing, and decoding recovers the creation time, machine 37 and the sequence number.</w:t>
      </w:r>
    </w:p>
    <w:p>
      <w:pPr>
        <w:numPr>
          <w:ilvl w:val="0"/>
          <w:numId w:val="1588"/>
        </w:numPr>
        <w:pStyle w:val="Compact"/>
      </w:pPr>
      <w:r>
        <w:t xml:space="preserve">Even this Python generator manages about 1.7 million IDs per second; the real ceiling is 4,096 per millisecond.</w:t>
      </w:r>
    </w:p>
    <w:p>
      <w:pPr>
        <w:numPr>
          <w:ilvl w:val="0"/>
          <w:numId w:val="1588"/>
        </w:numPr>
        <w:pStyle w:val="Compact"/>
      </w:pPr>
      <w:r>
        <w:t xml:space="preserve">On a 5 ms backward clock step the generator refuses to issue IDs, as Twitter’s</w:t>
      </w:r>
      <w:r>
        <w:t xml:space="preserve"> </w:t>
      </w:r>
      <w:r>
        <w:rPr>
          <w:rStyle w:val="VerbatimChar"/>
        </w:rPr>
        <w:t xml:space="preserve">IdWorker</w:t>
      </w:r>
      <w:r>
        <w:t xml:space="preserve"> </w:t>
      </w:r>
      <w:r>
        <w:t xml:space="preserve">does [Twitter: Snowflake IdWorker]. Alternatives: wait out small steps, or reuse the last timestamp and borrow sequence numbers. Configure NTP to slew rather than step (§24.9).</w:t>
      </w:r>
    </w:p>
    <w:p>
      <w:pPr>
        <w:numPr>
          <w:ilvl w:val="0"/>
          <w:numId w:val="1588"/>
        </w:numPr>
        <w:pStyle w:val="Compact"/>
      </w:pPr>
      <w:r>
        <w:t xml:space="preserve">This</w:t>
      </w:r>
      <w:r>
        <w:t xml:space="preserve"> </w:t>
      </w:r>
      <w:r>
        <w:rPr>
          <w:rStyle w:val="VerbatimChar"/>
        </w:rPr>
        <w:t xml:space="preserve">uuid7()</w:t>
      </w:r>
      <w:r>
        <w:t xml:space="preserve"> </w:t>
      </w:r>
      <w:r>
        <w:t xml:space="preserve">does not guarantee ordering among IDs created in the same millisecond. RFC 9562 §6.2 describes counter-based methods that do.</w:t>
      </w:r>
    </w:p>
    <w:bookmarkEnd w:id="2018"/>
    <w:bookmarkEnd w:id="2019"/>
    <w:bookmarkStart w:id="2020" w:name="ulid"/>
    <w:p>
      <w:pPr>
        <w:pStyle w:val="Heading3"/>
      </w:pPr>
      <w:r>
        <w:t xml:space="preserve">17.10.4 ULID</w:t>
      </w:r>
    </w:p>
    <w:p>
      <w:pPr>
        <w:pStyle w:val="FirstParagraph"/>
      </w:pPr>
      <w:r>
        <w:t xml:space="preserve">A</w:t>
      </w:r>
      <w:r>
        <w:t xml:space="preserve"> </w:t>
      </w:r>
      <w:r>
        <w:rPr>
          <w:bCs/>
          <w:b/>
        </w:rPr>
        <w:t xml:space="preserve">ULID</w:t>
      </w:r>
      <w:r>
        <w:t xml:space="preserve"> </w:t>
      </w:r>
      <w:r>
        <w:t xml:space="preserve">is 128 bits: a 48-bit millisecond timestamp and 80 random bits, written as 26 Crockford base-32 characters that sort in time order [ULID Spec], convenient for string keys (object paths, sort keys). Its timestamp lasts until the year 10889, and a monotonic mode increments the random part within a millisecond. UUIDv7 now offers the same properties in standard form.</w:t>
      </w:r>
    </w:p>
    <w:bookmarkEnd w:id="2020"/>
    <w:bookmarkStart w:id="2024" w:name="database-sequences-and-ticket-servers"/>
    <w:p>
      <w:pPr>
        <w:pStyle w:val="Heading3"/>
      </w:pPr>
      <w:r>
        <w:t xml:space="preserve">17.10.5 Database sequences and ticket servers</w:t>
      </w:r>
    </w:p>
    <w:p>
      <w:pPr>
        <w:pStyle w:val="FirstParagraph"/>
      </w:pPr>
      <w:r>
        <w:t xml:space="preserve">Flickr scaled database sequences with</w:t>
      </w:r>
      <w:r>
        <w:t xml:space="preserve"> </w:t>
      </w:r>
      <w:r>
        <w:rPr>
          <w:bCs/>
          <w:b/>
        </w:rPr>
        <w:t xml:space="preserve">ticket servers</w:t>
      </w:r>
      <w:r>
        <w:t xml:space="preserve">: dedicated MySQL instances that only hand out numbers via</w:t>
      </w:r>
      <w:r>
        <w:t xml:space="preserve"> </w:t>
      </w:r>
      <w:r>
        <w:rPr>
          <w:rStyle w:val="VerbatimChar"/>
        </w:rPr>
        <w:t xml:space="preserve">REPLACE INTO Tickets64 (stub) VALUES ('a'); SELECT LAST_INSERT_ID();</w:t>
      </w:r>
      <w:r>
        <w:t xml:space="preserve"> </w:t>
      </w:r>
      <w:r>
        <w:t xml:space="preserve">on a one-row auto-increment table [Flickr: Ticket Servers 2010]. Two servers issue odd and even numbers (</w:t>
      </w:r>
      <w:r>
        <w:rPr>
          <w:rStyle w:val="VerbatimChar"/>
        </w:rPr>
        <w:t xml:space="preserve">auto_increment_increment = 2</w:t>
      </w:r>
      <w:r>
        <w:t xml:space="preserve">, offsets 1 and 2), so either can fail without stopping ID generation.</w:t>
      </w:r>
    </w:p>
    <w:p>
      <w:pPr>
        <w:pStyle w:val="BodyText"/>
      </w:pPr>
      <w:r>
        <w:rPr>
          <w:bCs/>
          <w:b/>
        </w:rPr>
        <w:t xml:space="preserve">Figure 17.15 — Flickr-style ticket servers.</w:t>
      </w:r>
    </w:p>
    <w:p>
      <w:pPr>
        <w:pStyle w:val="BodyText"/>
      </w:pPr>
      <w:r>
        <w:drawing>
          <wp:inline>
            <wp:extent cx="5334000" cy="3243286"/>
            <wp:effectExtent b="0" l="0" r="0" t="0"/>
            <wp:docPr descr="" title="" id="2022" name="Picture"/>
            <a:graphic>
              <a:graphicData uri="http://schemas.openxmlformats.org/drawingml/2006/picture">
                <pic:pic>
                  <pic:nvPicPr>
                    <pic:cNvPr descr="/home/user/System-Design/build/.cache/diagrams/6a996990b7c0.png" id="2023" name="Picture"/>
                    <pic:cNvPicPr>
                      <a:picLocks noChangeArrowheads="1" noChangeAspect="1"/>
                    </pic:cNvPicPr>
                  </pic:nvPicPr>
                  <pic:blipFill>
                    <a:blip r:embed="rId2021"/>
                    <a:stretch>
                      <a:fillRect/>
                    </a:stretch>
                  </pic:blipFill>
                  <pic:spPr bwMode="auto">
                    <a:xfrm>
                      <a:off x="0" y="0"/>
                      <a:ext cx="5334000" cy="3243286"/>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App servers fetch an ID with one synchronous SQL round trip, then insert rows into the sharded databases. The ticket servers never communicate, since odd and even cannot collide; on failure clients switch servers (cross arrows), losing global ordering. Failure points: a round trip per ID and a write-path dependency whose capacity is one single-row MySQL update stream. Fetching</w:t>
      </w:r>
      <w:r>
        <w:t xml:space="preserve"> </w:t>
      </w:r>
      <w:r>
        <w:rPr>
          <w:bCs/>
          <w:b/>
        </w:rPr>
        <w:t xml:space="preserve">blocks</w:t>
      </w:r>
      <w:r>
        <w:t xml:space="preserve"> </w:t>
      </w:r>
      <w:r>
        <w:t xml:space="preserve">of, say, 1,000 IDs divides load by the block size at the cost of only rough ordering.</w:t>
      </w:r>
    </w:p>
    <w:p>
      <w:pPr>
        <w:pStyle w:val="BodyText"/>
      </w:pPr>
      <w:r>
        <w:rPr>
          <w:bCs/>
          <w:b/>
        </w:rPr>
        <w:t xml:space="preserve">Table 17.9 — Unique ID schemes compared.</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pPr>
          </w:p>
        </w:tc>
        <w:tc>
          <w:tcPr/>
          <w:p>
            <w:pPr>
              <w:pStyle w:val="Compact"/>
              <w:jc w:val="left"/>
            </w:pPr>
            <w:r>
              <w:t xml:space="preserve">UUIDv4</w:t>
            </w:r>
          </w:p>
        </w:tc>
        <w:tc>
          <w:tcPr/>
          <w:p>
            <w:pPr>
              <w:pStyle w:val="Compact"/>
              <w:jc w:val="left"/>
            </w:pPr>
            <w:r>
              <w:t xml:space="preserve">UUIDv7</w:t>
            </w:r>
          </w:p>
        </w:tc>
        <w:tc>
          <w:tcPr/>
          <w:p>
            <w:pPr>
              <w:pStyle w:val="Compact"/>
              <w:jc w:val="left"/>
            </w:pPr>
            <w:r>
              <w:t xml:space="preserve">Snowflake-style</w:t>
            </w:r>
          </w:p>
        </w:tc>
        <w:tc>
          <w:tcPr/>
          <w:p>
            <w:pPr>
              <w:pStyle w:val="Compact"/>
              <w:jc w:val="left"/>
            </w:pPr>
            <w:r>
              <w:t xml:space="preserve">ULID</w:t>
            </w:r>
          </w:p>
        </w:tc>
        <w:tc>
          <w:tcPr/>
          <w:p>
            <w:pPr>
              <w:pStyle w:val="Compact"/>
              <w:jc w:val="left"/>
            </w:pPr>
            <w:r>
              <w:t xml:space="preserve">Sequence / ticket server</w:t>
            </w:r>
          </w:p>
        </w:tc>
      </w:tr>
      <w:tr>
        <w:tc>
          <w:tcPr/>
          <w:p>
            <w:pPr>
              <w:pStyle w:val="Compact"/>
              <w:jc w:val="left"/>
            </w:pPr>
            <w:r>
              <w:t xml:space="preserve">Size</w:t>
            </w:r>
          </w:p>
        </w:tc>
        <w:tc>
          <w:tcPr/>
          <w:p>
            <w:pPr>
              <w:pStyle w:val="Compact"/>
              <w:jc w:val="left"/>
            </w:pPr>
            <w:r>
              <w:t xml:space="preserve">128 bits</w:t>
            </w:r>
          </w:p>
        </w:tc>
        <w:tc>
          <w:tcPr/>
          <w:p>
            <w:pPr>
              <w:pStyle w:val="Compact"/>
              <w:jc w:val="left"/>
            </w:pPr>
            <w:r>
              <w:t xml:space="preserve">128 bits</w:t>
            </w:r>
          </w:p>
        </w:tc>
        <w:tc>
          <w:tcPr/>
          <w:p>
            <w:pPr>
              <w:pStyle w:val="Compact"/>
              <w:jc w:val="left"/>
            </w:pPr>
            <w:r>
              <w:t xml:space="preserve">64 bits</w:t>
            </w:r>
          </w:p>
        </w:tc>
        <w:tc>
          <w:tcPr/>
          <w:p>
            <w:pPr>
              <w:pStyle w:val="Compact"/>
              <w:jc w:val="left"/>
            </w:pPr>
            <w:r>
              <w:t xml:space="preserve">128 bits (26 chars)</w:t>
            </w:r>
          </w:p>
        </w:tc>
        <w:tc>
          <w:tcPr/>
          <w:p>
            <w:pPr>
              <w:pStyle w:val="Compact"/>
              <w:jc w:val="left"/>
            </w:pPr>
            <w:r>
              <w:t xml:space="preserve">64 bits</w:t>
            </w:r>
          </w:p>
        </w:tc>
      </w:tr>
      <w:tr>
        <w:tc>
          <w:tcPr/>
          <w:p>
            <w:pPr>
              <w:pStyle w:val="Compact"/>
              <w:jc w:val="left"/>
            </w:pPr>
            <w:r>
              <w:t xml:space="preserve">Time-ordered</w:t>
            </w:r>
          </w:p>
        </w:tc>
        <w:tc>
          <w:tcPr/>
          <w:p>
            <w:pPr>
              <w:pStyle w:val="Compact"/>
              <w:jc w:val="left"/>
            </w:pPr>
            <w:r>
              <w:t xml:space="preserve">No</w:t>
            </w:r>
          </w:p>
        </w:tc>
        <w:tc>
          <w:tcPr/>
          <w:p>
            <w:pPr>
              <w:pStyle w:val="Compact"/>
              <w:jc w:val="left"/>
            </w:pPr>
            <w:r>
              <w:t xml:space="preserve">Yes (ms)</w:t>
            </w:r>
          </w:p>
        </w:tc>
        <w:tc>
          <w:tcPr/>
          <w:p>
            <w:pPr>
              <w:pStyle w:val="Compact"/>
              <w:jc w:val="left"/>
            </w:pPr>
            <w:r>
              <w:t xml:space="preserve">Yes (ms, within clock skew)</w:t>
            </w:r>
          </w:p>
        </w:tc>
        <w:tc>
          <w:tcPr/>
          <w:p>
            <w:pPr>
              <w:pStyle w:val="Compact"/>
              <w:jc w:val="left"/>
            </w:pPr>
            <w:r>
              <w:t xml:space="preserve">Yes (ms)</w:t>
            </w:r>
          </w:p>
        </w:tc>
        <w:tc>
          <w:tcPr/>
          <w:p>
            <w:pPr>
              <w:pStyle w:val="Compact"/>
              <w:jc w:val="left"/>
            </w:pPr>
            <w:r>
              <w:t xml:space="preserve">Yes per server; roughly with blocks</w:t>
            </w:r>
          </w:p>
        </w:tc>
      </w:tr>
      <w:tr>
        <w:tc>
          <w:tcPr/>
          <w:p>
            <w:pPr>
              <w:pStyle w:val="Compact"/>
              <w:jc w:val="left"/>
            </w:pPr>
            <w:r>
              <w:t xml:space="preserve">Coordination</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Assign machine IDs once</w:t>
            </w:r>
          </w:p>
        </w:tc>
        <w:tc>
          <w:tcPr/>
          <w:p>
            <w:pPr>
              <w:pStyle w:val="Compact"/>
              <w:jc w:val="left"/>
            </w:pPr>
            <w:r>
              <w:t xml:space="preserve">None</w:t>
            </w:r>
          </w:p>
        </w:tc>
        <w:tc>
          <w:tcPr/>
          <w:p>
            <w:pPr>
              <w:pStyle w:val="Compact"/>
              <w:jc w:val="left"/>
            </w:pPr>
            <w:r>
              <w:t xml:space="preserve">Round trip per ID or block</w:t>
            </w:r>
          </w:p>
        </w:tc>
      </w:tr>
      <w:tr>
        <w:tc>
          <w:tcPr/>
          <w:p>
            <w:pPr>
              <w:pStyle w:val="Compact"/>
              <w:jc w:val="left"/>
            </w:pPr>
            <w:r>
              <w:t xml:space="preserve">Uniqueness</w:t>
            </w:r>
          </w:p>
        </w:tc>
        <w:tc>
          <w:tcPr/>
          <w:p>
            <w:pPr>
              <w:pStyle w:val="Compact"/>
              <w:jc w:val="left"/>
            </w:pPr>
            <w:r>
              <w:t xml:space="preserve">Probabilistic (122 bits)</w:t>
            </w:r>
          </w:p>
        </w:tc>
        <w:tc>
          <w:tcPr/>
          <w:p>
            <w:pPr>
              <w:pStyle w:val="Compact"/>
              <w:jc w:val="left"/>
            </w:pPr>
            <w:r>
              <w:t xml:space="preserve">Probabilistic per ms (74 bits)</w:t>
            </w:r>
          </w:p>
        </w:tc>
        <w:tc>
          <w:tcPr/>
          <w:p>
            <w:pPr>
              <w:pStyle w:val="Compact"/>
              <w:jc w:val="left"/>
            </w:pPr>
            <w:r>
              <w:t xml:space="preserve">Guaranteed if machine IDs unique and clock monotonic</w:t>
            </w:r>
          </w:p>
        </w:tc>
        <w:tc>
          <w:tcPr/>
          <w:p>
            <w:pPr>
              <w:pStyle w:val="Compact"/>
              <w:jc w:val="left"/>
            </w:pPr>
            <w:r>
              <w:t xml:space="preserve">Probabilistic per ms (80 bits)</w:t>
            </w:r>
          </w:p>
        </w:tc>
        <w:tc>
          <w:tcPr/>
          <w:p>
            <w:pPr>
              <w:pStyle w:val="Compact"/>
              <w:jc w:val="left"/>
            </w:pPr>
            <w:r>
              <w:t xml:space="preserve">Guaranteed</w:t>
            </w:r>
          </w:p>
        </w:tc>
      </w:tr>
      <w:tr>
        <w:tc>
          <w:tcPr/>
          <w:p>
            <w:pPr>
              <w:pStyle w:val="Compact"/>
              <w:jc w:val="left"/>
            </w:pPr>
            <w:r>
              <w:t xml:space="preserve">Leaks</w:t>
            </w:r>
          </w:p>
        </w:tc>
        <w:tc>
          <w:tcPr/>
          <w:p>
            <w:pPr>
              <w:pStyle w:val="Compact"/>
              <w:jc w:val="left"/>
            </w:pPr>
            <w:r>
              <w:t xml:space="preserve">Nothing</w:t>
            </w:r>
          </w:p>
        </w:tc>
        <w:tc>
          <w:tcPr/>
          <w:p>
            <w:pPr>
              <w:pStyle w:val="Compact"/>
              <w:jc w:val="left"/>
            </w:pPr>
            <w:r>
              <w:t xml:space="preserve">Creation time</w:t>
            </w:r>
          </w:p>
        </w:tc>
        <w:tc>
          <w:tcPr/>
          <w:p>
            <w:pPr>
              <w:pStyle w:val="Compact"/>
              <w:jc w:val="left"/>
            </w:pPr>
            <w:r>
              <w:t xml:space="preserve">Creation time, machine, volume</w:t>
            </w:r>
          </w:p>
        </w:tc>
        <w:tc>
          <w:tcPr/>
          <w:p>
            <w:pPr>
              <w:pStyle w:val="Compact"/>
              <w:jc w:val="left"/>
            </w:pPr>
            <w:r>
              <w:t xml:space="preserve">Creation time</w:t>
            </w:r>
          </w:p>
        </w:tc>
        <w:tc>
          <w:tcPr/>
          <w:p>
            <w:pPr>
              <w:pStyle w:val="Compact"/>
              <w:jc w:val="left"/>
            </w:pPr>
            <w:r>
              <w:t xml:space="preserve">Volume (sequential)</w:t>
            </w:r>
          </w:p>
        </w:tc>
      </w:tr>
      <w:tr>
        <w:tc>
          <w:tcPr/>
          <w:p>
            <w:pPr>
              <w:pStyle w:val="Compact"/>
              <w:jc w:val="left"/>
            </w:pPr>
            <w:r>
              <w:t xml:space="preserve">Index locality</w:t>
            </w:r>
          </w:p>
        </w:tc>
        <w:tc>
          <w:tcPr/>
          <w:p>
            <w:pPr>
              <w:pStyle w:val="Compact"/>
              <w:jc w:val="left"/>
            </w:pPr>
            <w:r>
              <w:t xml:space="preserve">Poor (random inserts)</w:t>
            </w:r>
          </w:p>
        </w:tc>
        <w:tc>
          <w:tcPr/>
          <w:p>
            <w:pPr>
              <w:pStyle w:val="Compact"/>
              <w:jc w:val="left"/>
            </w:pPr>
            <w:r>
              <w:t xml:space="preserve">Good</w:t>
            </w:r>
          </w:p>
        </w:tc>
        <w:tc>
          <w:tcPr/>
          <w:p>
            <w:pPr>
              <w:pStyle w:val="Compact"/>
              <w:jc w:val="left"/>
            </w:pPr>
            <w:r>
              <w:t xml:space="preserve">Good</w:t>
            </w:r>
          </w:p>
        </w:tc>
        <w:tc>
          <w:tcPr/>
          <w:p>
            <w:pPr>
              <w:pStyle w:val="Compact"/>
              <w:jc w:val="left"/>
            </w:pPr>
            <w:r>
              <w:t xml:space="preserve">Good</w:t>
            </w:r>
          </w:p>
        </w:tc>
        <w:tc>
          <w:tcPr/>
          <w:p>
            <w:pPr>
              <w:pStyle w:val="Compact"/>
              <w:jc w:val="left"/>
            </w:pPr>
            <w:r>
              <w:t xml:space="preserve">Best</w:t>
            </w:r>
          </w:p>
        </w:tc>
      </w:tr>
      <w:tr>
        <w:tc>
          <w:tcPr/>
          <w:p>
            <w:pPr>
              <w:pStyle w:val="Compact"/>
              <w:jc w:val="left"/>
            </w:pPr>
            <w:r>
              <w:t xml:space="preserve">Main failure mode</w:t>
            </w:r>
          </w:p>
        </w:tc>
        <w:tc>
          <w:tcPr/>
          <w:p>
            <w:pPr>
              <w:pStyle w:val="Compact"/>
              <w:jc w:val="left"/>
            </w:pPr>
            <w:r>
              <w:t xml:space="preserve">Bad randomness</w:t>
            </w:r>
          </w:p>
        </w:tc>
        <w:tc>
          <w:tcPr/>
          <w:p>
            <w:pPr>
              <w:pStyle w:val="Compact"/>
              <w:jc w:val="left"/>
            </w:pPr>
            <w:r>
              <w:t xml:space="preserve">Bad randomness</w:t>
            </w:r>
          </w:p>
        </w:tc>
        <w:tc>
          <w:tcPr/>
          <w:p>
            <w:pPr>
              <w:pStyle w:val="Compact"/>
              <w:jc w:val="left"/>
            </w:pPr>
            <w:r>
              <w:t xml:space="preserve">Duplicate machine ID; clock steps</w:t>
            </w:r>
          </w:p>
        </w:tc>
        <w:tc>
          <w:tcPr/>
          <w:p>
            <w:pPr>
              <w:pStyle w:val="Compact"/>
              <w:jc w:val="left"/>
            </w:pPr>
            <w:r>
              <w:t xml:space="preserve">Bad randomness</w:t>
            </w:r>
          </w:p>
        </w:tc>
        <w:tc>
          <w:tcPr/>
          <w:p>
            <w:pPr>
              <w:pStyle w:val="Compact"/>
              <w:jc w:val="left"/>
            </w:pPr>
            <w:r>
              <w:t xml:space="preserve">Ticket tier outage</w:t>
            </w:r>
          </w:p>
        </w:tc>
      </w:tr>
      <w:tr>
        <w:tc>
          <w:tcPr/>
          <w:p>
            <w:pPr>
              <w:pStyle w:val="Compact"/>
              <w:jc w:val="left"/>
            </w:pPr>
            <w:r>
              <w:t xml:space="preserve">Choose when</w:t>
            </w:r>
          </w:p>
        </w:tc>
        <w:tc>
          <w:tcPr/>
          <w:p>
            <w:pPr>
              <w:pStyle w:val="Compact"/>
              <w:jc w:val="left"/>
            </w:pPr>
            <w:r>
              <w:t xml:space="preserve">Unguessable public IDs; low insert rates</w:t>
            </w:r>
          </w:p>
        </w:tc>
        <w:tc>
          <w:tcPr/>
          <w:p>
            <w:pPr>
              <w:pStyle w:val="Compact"/>
              <w:jc w:val="left"/>
            </w:pPr>
            <w:r>
              <w:t xml:space="preserve">Default 128-bit key</w:t>
            </w:r>
          </w:p>
        </w:tc>
        <w:tc>
          <w:tcPr/>
          <w:p>
            <w:pPr>
              <w:pStyle w:val="Compact"/>
              <w:jc w:val="left"/>
            </w:pPr>
            <w:r>
              <w:t xml:space="preserve">Compact keys at very high rates</w:t>
            </w:r>
          </w:p>
        </w:tc>
        <w:tc>
          <w:tcPr/>
          <w:p>
            <w:pPr>
              <w:pStyle w:val="Compact"/>
              <w:jc w:val="left"/>
            </w:pPr>
            <w:r>
              <w:t xml:space="preserve">String keys that must sort</w:t>
            </w:r>
          </w:p>
        </w:tc>
        <w:tc>
          <w:tcPr/>
          <w:p>
            <w:pPr>
              <w:pStyle w:val="Compact"/>
              <w:jc w:val="left"/>
            </w:pPr>
            <w:r>
              <w:t xml:space="preserve">Small systems; strict ordering needed</w:t>
            </w:r>
          </w:p>
        </w:tc>
      </w:tr>
    </w:tbl>
    <w:p>
      <w:pPr>
        <w:pStyle w:val="CalloutMistake"/>
      </w:pPr>
      <w:r>
        <w:rPr>
          <w:bCs/>
          <w:b/>
        </w:rPr>
        <w:t xml:space="preserve">COMMON MISTAKE</w:t>
      </w:r>
    </w:p>
    <w:p>
      <w:pPr>
        <w:pStyle w:val="CalloutMistake"/>
      </w:pPr>
      <w:r>
        <w:rPr>
          <w:bCs/>
          <w:b/>
        </w:rPr>
        <w:t xml:space="preserve">“</w:t>
      </w:r>
      <w:r>
        <w:rPr>
          <w:bCs/>
          <w:b/>
        </w:rPr>
        <w:t xml:space="preserve">Time-ordered IDs give a total order of events.</w:t>
      </w:r>
      <w:r>
        <w:rPr>
          <w:bCs/>
          <w:b/>
        </w:rPr>
        <w:t xml:space="preserve">”</w:t>
      </w:r>
      <w:r>
        <w:t xml:space="preserve"> </w:t>
      </w:r>
      <w:r>
        <w:t xml:space="preserve">IDs from different machines are ordered only within clock skew (§24.9); for causal order use logical clocks or a single sequencer (§24.10).</w:t>
      </w:r>
    </w:p>
    <w:p>
      <w:pPr>
        <w:pStyle w:val="CalloutMistake"/>
      </w:pPr>
      <w:r>
        <w:rPr>
          <w:bCs/>
          <w:b/>
        </w:rPr>
        <w:t xml:space="preserve">COMMON MISTAKE</w:t>
      </w:r>
    </w:p>
    <w:p>
      <w:pPr>
        <w:pStyle w:val="CalloutMistake"/>
      </w:pPr>
      <w:r>
        <w:rPr>
          <w:bCs/>
          <w:b/>
        </w:rPr>
        <w:t xml:space="preserve">“</w:t>
      </w:r>
      <w:r>
        <w:rPr>
          <w:bCs/>
          <w:b/>
        </w:rPr>
        <w:t xml:space="preserve">Sequential IDs in URLs are harmless.</w:t>
      </w:r>
      <w:r>
        <w:rPr>
          <w:bCs/>
          <w:b/>
        </w:rPr>
        <w:t xml:space="preserve">”</w:t>
      </w:r>
      <w:r>
        <w:t xml:space="preserve"> </w:t>
      </w:r>
      <w:r>
        <w:t xml:space="preserve">They reveal growth and invite enumeration. Authorization must stop access either way (§10.7.1), but an opaque public ID mapped to the internal key removes the leak.</w:t>
      </w:r>
    </w:p>
    <w:bookmarkEnd w:id="2024"/>
    <w:bookmarkEnd w:id="2025"/>
    <w:bookmarkStart w:id="2030" w:name="tries"/>
    <w:p>
      <w:pPr>
        <w:pStyle w:val="Heading2"/>
      </w:pPr>
      <w:r>
        <w:t xml:space="preserve">17.11 Tries</w:t>
      </w:r>
    </w:p>
    <w:bookmarkStart w:id="2029" w:name="prefix-trees"/>
    <w:p>
      <w:pPr>
        <w:pStyle w:val="Heading3"/>
      </w:pPr>
      <w:r>
        <w:t xml:space="preserve">17.11.1 Prefix trees</w:t>
      </w:r>
    </w:p>
    <w:p>
      <w:pPr>
        <w:pStyle w:val="CalloutDefinition"/>
      </w:pPr>
      <w:r>
        <w:rPr>
          <w:bCs/>
          <w:b/>
        </w:rPr>
        <w:t xml:space="preserve">DEFINITION</w:t>
      </w:r>
    </w:p>
    <w:p>
      <w:pPr>
        <w:pStyle w:val="CalloutDefinition"/>
      </w:pPr>
      <w:r>
        <w:rPr>
          <w:bCs/>
          <w:b/>
        </w:rPr>
        <w:t xml:space="preserve">Definition — Trie (prefix tree).</w:t>
      </w:r>
      <w:r>
        <w:t xml:space="preserve"> </w:t>
      </w:r>
      <w:r>
        <w:t xml:space="preserve">A tree in which each edge is labeled with a character and each node represents the string spelled by the path from the root; nodes that end a stored key are marked. Looking up a key or a prefix of length</w:t>
      </w:r>
      <w:r>
        <w:t xml:space="preserve"> </w:t>
      </w:r>
      <m:oMath>
        <m:r>
          <m:t>L</m:t>
        </m:r>
      </m:oMath>
      <w:r>
        <w:t xml:space="preserve"> </w:t>
      </w:r>
      <w:r>
        <w:t xml:space="preserve">takes</w:t>
      </w:r>
      <w:r>
        <w:t xml:space="preserve"> </w:t>
      </w:r>
      <m:oMath>
        <m:r>
          <m:t>O</m:t>
        </m:r>
        <m:d>
          <m:dPr>
            <m:begChr m:val="("/>
            <m:endChr m:val=")"/>
            <m:sepChr m:val=""/>
            <m:grow/>
          </m:dPr>
          <m:e>
            <m:r>
              <m:t>L</m:t>
            </m:r>
          </m:e>
        </m:d>
      </m:oMath>
      <w:r>
        <w:t xml:space="preserve"> </w:t>
      </w:r>
      <w:r>
        <w:t xml:space="preserve">steps, independent of how many keys are stored [Fredkin 1960].</w:t>
      </w:r>
    </w:p>
    <w:p>
      <w:pPr>
        <w:pStyle w:val="BodyText"/>
      </w:pPr>
      <w:r>
        <w:t xml:space="preserve">A trie answers the question a hash table cannot:</w:t>
      </w:r>
      <w:r>
        <w:t xml:space="preserve"> </w:t>
      </w:r>
      <w:r>
        <w:t xml:space="preserve">“</w:t>
      </w:r>
      <w:r>
        <w:t xml:space="preserve">which stored keys</w:t>
      </w:r>
      <w:r>
        <w:t xml:space="preserve"> </w:t>
      </w:r>
      <w:r>
        <w:rPr>
          <w:iCs/>
          <w:i/>
        </w:rPr>
        <w:t xml:space="preserve">start with</w:t>
      </w:r>
      <w:r>
        <w:t xml:space="preserve"> </w:t>
      </w:r>
      <w:r>
        <w:t xml:space="preserve">this prefix?</w:t>
      </w:r>
      <w:r>
        <w:t xml:space="preserve">”</w:t>
      </w:r>
      <w:r>
        <w:t xml:space="preserve"> </w:t>
      </w:r>
      <w:r>
        <w:t xml:space="preserve">Walk down</w:t>
      </w:r>
      <w:r>
        <w:t xml:space="preserve"> </w:t>
      </w:r>
      <m:oMath>
        <m:r>
          <m:t>L</m:t>
        </m:r>
      </m:oMath>
      <w:r>
        <w:t xml:space="preserve"> </w:t>
      </w:r>
      <w:r>
        <w:t xml:space="preserve">edges to the prefix node; its subtree holds every completion.</w:t>
      </w:r>
      <w:r>
        <w:t xml:space="preserve"> </w:t>
      </w:r>
      <w:r>
        <w:rPr>
          <w:bCs/>
          <w:b/>
        </w:rPr>
        <w:t xml:space="preserve">Radix trees</w:t>
      </w:r>
      <w:r>
        <w:t xml:space="preserve"> </w:t>
      </w:r>
      <w:r>
        <w:t xml:space="preserve">(Patricia tries) compress chains of single-child nodes into one edge labeled with a string, which cuts node count and pointer overhead dramatically. Tries are used for autocomplete, longest-prefix matching in IP routing tables, and as compact sorted dictionaries; Redis uses a radix tree internally for streams [Redis Docs: Streams]. Chapter 16 (§16.9) builds a production autocomplete on tries and finite-state transducers, including precomputed top-</w:t>
      </w:r>
      <w:r>
        <w:rPr>
          <w:iCs/>
          <w:i/>
        </w:rPr>
        <w:t xml:space="preserve">k</w:t>
      </w:r>
      <w:r>
        <w:t xml:space="preserve"> </w:t>
      </w:r>
      <w:r>
        <w:t xml:space="preserve">completions at each node; this section gives only the structure.</w:t>
      </w:r>
    </w:p>
    <w:p>
      <w:pPr>
        <w:pStyle w:val="BodyText"/>
      </w:pPr>
      <w:r>
        <w:rPr>
          <w:bCs/>
          <w:b/>
        </w:rPr>
        <w:t xml:space="preserve">Figure 17.16 — A trie holding sync, syntax, system and scale.</w:t>
      </w:r>
    </w:p>
    <w:p>
      <w:pPr>
        <w:pStyle w:val="BodyText"/>
      </w:pPr>
      <w:r>
        <w:drawing>
          <wp:inline>
            <wp:extent cx="5334000" cy="6052038"/>
            <wp:effectExtent b="0" l="0" r="0" t="0"/>
            <wp:docPr descr="" title="" id="2027" name="Picture"/>
            <a:graphic>
              <a:graphicData uri="http://schemas.openxmlformats.org/drawingml/2006/picture">
                <pic:pic>
                  <pic:nvPicPr>
                    <pic:cNvPr descr="/home/user/System-Design/build/.cache/diagrams/211be6ed33db.png" id="2028" name="Picture"/>
                    <pic:cNvPicPr>
                      <a:picLocks noChangeArrowheads="1" noChangeAspect="1"/>
                    </pic:cNvPicPr>
                  </pic:nvPicPr>
                  <pic:blipFill>
                    <a:blip r:embed="rId2026"/>
                    <a:stretch>
                      <a:fillRect/>
                    </a:stretch>
                  </pic:blipFill>
                  <pic:spPr bwMode="auto">
                    <a:xfrm>
                      <a:off x="0" y="0"/>
                      <a:ext cx="5334000" cy="6052038"/>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Each edge adds one character; the ellipses abbreviate chains of single-child nodes that a radix tree would store as one edge. A query for the prefix</w:t>
      </w:r>
      <w:r>
        <w:t xml:space="preserve"> </w:t>
      </w:r>
      <w:r>
        <w:rPr>
          <w:rStyle w:val="VerbatimChar"/>
        </w:rPr>
        <w:t xml:space="preserve">syn</w:t>
      </w:r>
      <w:r>
        <w:t xml:space="preserve"> </w:t>
      </w:r>
      <w:r>
        <w:t xml:space="preserve">follows three edges and then enumerates the subtree:</w:t>
      </w:r>
      <w:r>
        <w:t xml:space="preserve"> </w:t>
      </w:r>
      <w:r>
        <w:rPr>
          <w:rStyle w:val="VerbatimChar"/>
        </w:rPr>
        <w:t xml:space="preserve">sync</w:t>
      </w:r>
      <w:r>
        <w:t xml:space="preserve"> </w:t>
      </w:r>
      <w:r>
        <w:t xml:space="preserve">and</w:t>
      </w:r>
      <w:r>
        <w:t xml:space="preserve"> </w:t>
      </w:r>
      <w:r>
        <w:rPr>
          <w:rStyle w:val="VerbatimChar"/>
        </w:rPr>
        <w:t xml:space="preserve">syntax</w:t>
      </w:r>
      <w:r>
        <w:t xml:space="preserve">. All operations are in-memory pointer walks. The main failure point is memory: a naive trie with one node per character can use tens of bytes per character, so large dictionaries use radix trees, arrays of children, or succinct encodings. Tries scale by sharding on the first characters of the key, with care for skewed prefixes (many queries start with</w:t>
      </w:r>
      <w:r>
        <w:t xml:space="preserve"> </w:t>
      </w:r>
      <w:r>
        <w:t xml:space="preserve">“</w:t>
      </w:r>
      <w:r>
        <w:t xml:space="preserve">s</w:t>
      </w:r>
      <w:r>
        <w:t xml:space="preserve">”</w:t>
      </w:r>
      <w:r>
        <w:t xml:space="preserve"> </w:t>
      </w:r>
      <w:r>
        <w:t xml:space="preserve">and few with</w:t>
      </w:r>
      <w:r>
        <w:t xml:space="preserve"> </w:t>
      </w:r>
      <w:r>
        <w:t xml:space="preserve">“</w:t>
      </w:r>
      <w:r>
        <w:t xml:space="preserve">x</w:t>
      </w:r>
      <w:r>
        <w:t xml:space="preserve">”</w:t>
      </w:r>
      <w:r>
        <w:t xml:space="preserve">).</w:t>
      </w:r>
    </w:p>
    <w:p>
      <w:pPr>
        <w:pStyle w:val="SourceCode"/>
      </w:pPr>
      <w:r>
        <w:rPr>
          <w:rStyle w:val="ImportTok"/>
        </w:rPr>
        <w:t xml:space="preserve">import</w:t>
      </w:r>
      <w:r>
        <w:rPr>
          <w:rStyle w:val="NormalTok"/>
        </w:rPr>
        <w:t xml:space="preserve"> heapq</w:t>
      </w:r>
      <w:r>
        <w:br/>
      </w:r>
      <w:r>
        <w:br/>
      </w:r>
      <w:r>
        <w:rPr>
          <w:rStyle w:val="KeywordTok"/>
        </w:rPr>
        <w:t xml:space="preserve">class</w:t>
      </w:r>
      <w:r>
        <w:rPr>
          <w:rStyle w:val="NormalTok"/>
        </w:rPr>
        <w:t xml:space="preserve"> TrieNode:</w:t>
      </w:r>
      <w:r>
        <w:br/>
      </w:r>
      <w:r>
        <w:rPr>
          <w:rStyle w:val="NormalTok"/>
        </w:rPr>
        <w:t xml:space="preserve">    </w:t>
      </w:r>
      <w:r>
        <w:rPr>
          <w:rStyle w:val="FunctionTok"/>
        </w:rPr>
        <w:t xml:space="preserve">__slots__</w:t>
      </w:r>
      <w:r>
        <w:rPr>
          <w:rStyle w:val="NormalTok"/>
        </w:rPr>
        <w:t xml:space="preserve"> </w:t>
      </w:r>
      <w:r>
        <w:rPr>
          <w:rStyle w:val="OperatorTok"/>
        </w:rPr>
        <w:t xml:space="preserve">=</w:t>
      </w:r>
      <w:r>
        <w:rPr>
          <w:rStyle w:val="NormalTok"/>
        </w:rPr>
        <w:t xml:space="preserve"> (</w:t>
      </w:r>
      <w:r>
        <w:rPr>
          <w:rStyle w:val="StringTok"/>
        </w:rPr>
        <w:t xml:space="preserve">"children"</w:t>
      </w:r>
      <w:r>
        <w:rPr>
          <w:rStyle w:val="NormalTok"/>
        </w:rPr>
        <w:t xml:space="preserve">, </w:t>
      </w:r>
      <w:r>
        <w:rPr>
          <w:rStyle w:val="StringTok"/>
        </w:rPr>
        <w:t xml:space="preserve">"weight"</w:t>
      </w:r>
      <w:r>
        <w:rPr>
          <w:rStyle w:val="NormalTok"/>
        </w:rPr>
        <w:t xml:space="preserv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.children, </w:t>
      </w:r>
      <w:r>
        <w:rPr>
          <w:rStyle w:val="VariableTok"/>
        </w:rPr>
        <w:t xml:space="preserve">self</w:t>
      </w:r>
      <w:r>
        <w:rPr>
          <w:rStyle w:val="NormalTok"/>
        </w:rPr>
        <w:t xml:space="preserve">.weight </w:t>
      </w:r>
      <w:r>
        <w:rPr>
          <w:rStyle w:val="OperatorTok"/>
        </w:rPr>
        <w:t xml:space="preserve">=</w:t>
      </w:r>
      <w:r>
        <w:rPr>
          <w:rStyle w:val="NormalTok"/>
        </w:rPr>
        <w:t xml:space="preserve"> {}, </w:t>
      </w:r>
      <w:r>
        <w:rPr>
          <w:rStyle w:val="DecValTok"/>
        </w:rPr>
        <w:t xml:space="preserve">0</w:t>
      </w:r>
      <w:r>
        <w:rPr>
          <w:rStyle w:val="NormalTok"/>
        </w:rPr>
        <w:t xml:space="preserve">              </w:t>
      </w:r>
      <w:r>
        <w:rPr>
          <w:rStyle w:val="CommentTok"/>
        </w:rPr>
        <w:t xml:space="preserve"># weight &gt; 0 marks the end of a stored word</w:t>
      </w:r>
      <w:r>
        <w:br/>
      </w:r>
      <w:r>
        <w:br/>
      </w:r>
      <w:r>
        <w:rPr>
          <w:rStyle w:val="KeywordTok"/>
        </w:rPr>
        <w:t xml:space="preserve">class</w:t>
      </w:r>
      <w:r>
        <w:rPr>
          <w:rStyle w:val="NormalTok"/>
        </w:rPr>
        <w:t xml:space="preserve"> Trie: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.root, </w:t>
      </w:r>
      <w:r>
        <w:rPr>
          <w:rStyle w:val="VariableTok"/>
        </w:rPr>
        <w:t xml:space="preserve">self</w:t>
      </w:r>
      <w:r>
        <w:rPr>
          <w:rStyle w:val="NormalTok"/>
        </w:rPr>
        <w:t xml:space="preserve">.nodes </w:t>
      </w:r>
      <w:r>
        <w:rPr>
          <w:rStyle w:val="OperatorTok"/>
        </w:rPr>
        <w:t xml:space="preserve">=</w:t>
      </w:r>
      <w:r>
        <w:rPr>
          <w:rStyle w:val="NormalTok"/>
        </w:rPr>
        <w:t xml:space="preserve"> TrieNode(), </w:t>
      </w:r>
      <w:r>
        <w:rPr>
          <w:rStyle w:val="DecValTok"/>
        </w:rPr>
        <w:t xml:space="preserve">1</w:t>
      </w:r>
      <w:r>
        <w:br/>
      </w:r>
      <w:r>
        <w:br/>
      </w:r>
      <w:r>
        <w:rPr>
          <w:rStyle w:val="NormalTok"/>
        </w:rPr>
        <w:t xml:space="preserve">    </w:t>
      </w:r>
      <w:r>
        <w:rPr>
          <w:rStyle w:val="KeywordTok"/>
        </w:rPr>
        <w:t xml:space="preserve">def</w:t>
      </w:r>
      <w:r>
        <w:rPr>
          <w:rStyle w:val="NormalTok"/>
        </w:rPr>
        <w:t xml:space="preserve"> insert(</w:t>
      </w:r>
      <w:r>
        <w:rPr>
          <w:rStyle w:val="VariableTok"/>
        </w:rPr>
        <w:t xml:space="preserve">self</w:t>
      </w:r>
      <w:r>
        <w:rPr>
          <w:rStyle w:val="NormalTok"/>
        </w:rPr>
        <w:t xml:space="preserve">, word: </w:t>
      </w:r>
      <w:r>
        <w:rPr>
          <w:rStyle w:val="BuiltInTok"/>
        </w:rPr>
        <w:t xml:space="preserve">str</w:t>
      </w:r>
      <w:r>
        <w:rPr>
          <w:rStyle w:val="NormalTok"/>
        </w:rPr>
        <w:t xml:space="preserve">, weight: </w:t>
      </w:r>
      <w:r>
        <w:rPr>
          <w:rStyle w:val="BuiltInTok"/>
        </w:rPr>
        <w:t xml:space="preserve">int</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node </w:t>
      </w:r>
      <w:r>
        <w:rPr>
          <w:rStyle w:val="OperatorTok"/>
        </w:rPr>
        <w:t xml:space="preserve">=</w:t>
      </w:r>
      <w:r>
        <w:rPr>
          <w:rStyle w:val="NormalTok"/>
        </w:rPr>
        <w:t xml:space="preserve"> </w:t>
      </w:r>
      <w:r>
        <w:rPr>
          <w:rStyle w:val="VariableTok"/>
        </w:rPr>
        <w:t xml:space="preserve">self</w:t>
      </w:r>
      <w:r>
        <w:rPr>
          <w:rStyle w:val="NormalTok"/>
        </w:rPr>
        <w:t xml:space="preserve">.root</w:t>
      </w:r>
      <w:r>
        <w:br/>
      </w:r>
      <w:r>
        <w:rPr>
          <w:rStyle w:val="NormalTok"/>
        </w:rPr>
        <w:t xml:space="preserve">        </w:t>
      </w:r>
      <w:r>
        <w:rPr>
          <w:rStyle w:val="ControlFlowTok"/>
        </w:rPr>
        <w:t xml:space="preserve">for</w:t>
      </w:r>
      <w:r>
        <w:rPr>
          <w:rStyle w:val="NormalTok"/>
        </w:rPr>
        <w:t xml:space="preserve"> ch </w:t>
      </w:r>
      <w:r>
        <w:rPr>
          <w:rStyle w:val="KeywordTok"/>
        </w:rPr>
        <w:t xml:space="preserve">in</w:t>
      </w:r>
      <w:r>
        <w:rPr>
          <w:rStyle w:val="NormalTok"/>
        </w:rPr>
        <w:t xml:space="preserve"> word:</w:t>
      </w:r>
      <w:r>
        <w:br/>
      </w:r>
      <w:r>
        <w:rPr>
          <w:rStyle w:val="NormalTok"/>
        </w:rPr>
        <w:t xml:space="preserve">            </w:t>
      </w:r>
      <w:r>
        <w:rPr>
          <w:rStyle w:val="ControlFlowTok"/>
        </w:rPr>
        <w:t xml:space="preserve">if</w:t>
      </w:r>
      <w:r>
        <w:rPr>
          <w:rStyle w:val="NormalTok"/>
        </w:rPr>
        <w:t xml:space="preserve"> ch </w:t>
      </w:r>
      <w:r>
        <w:rPr>
          <w:rStyle w:val="KeywordTok"/>
        </w:rPr>
        <w:t xml:space="preserve">not</w:t>
      </w:r>
      <w:r>
        <w:rPr>
          <w:rStyle w:val="NormalTok"/>
        </w:rPr>
        <w:t xml:space="preserve"> </w:t>
      </w:r>
      <w:r>
        <w:rPr>
          <w:rStyle w:val="KeywordTok"/>
        </w:rPr>
        <w:t xml:space="preserve">in</w:t>
      </w:r>
      <w:r>
        <w:rPr>
          <w:rStyle w:val="NormalTok"/>
        </w:rPr>
        <w:t xml:space="preserve"> node.children:</w:t>
      </w:r>
      <w:r>
        <w:br/>
      </w:r>
      <w:r>
        <w:rPr>
          <w:rStyle w:val="NormalTok"/>
        </w:rPr>
        <w:t xml:space="preserve">                node.children[ch] </w:t>
      </w:r>
      <w:r>
        <w:rPr>
          <w:rStyle w:val="OperatorTok"/>
        </w:rPr>
        <w:t xml:space="preserve">=</w:t>
      </w:r>
      <w:r>
        <w:rPr>
          <w:rStyle w:val="NormalTok"/>
        </w:rPr>
        <w:t xml:space="preserve"> TrieNode()</w:t>
      </w:r>
      <w:r>
        <w:br/>
      </w:r>
      <w:r>
        <w:rPr>
          <w:rStyle w:val="NormalTok"/>
        </w:rPr>
        <w:t xml:space="preserve">                </w:t>
      </w:r>
      <w:r>
        <w:rPr>
          <w:rStyle w:val="VariableTok"/>
        </w:rPr>
        <w:t xml:space="preserve">self</w:t>
      </w:r>
      <w:r>
        <w:rPr>
          <w:rStyle w:val="NormalTok"/>
        </w:rPr>
        <w:t xml:space="preserve">.nodes </w:t>
      </w:r>
      <w:r>
        <w:rPr>
          <w:rStyle w:val="OperatorTok"/>
        </w:rPr>
        <w:t xml:space="preserve">+=</w:t>
      </w:r>
      <w:r>
        <w:rPr>
          <w:rStyle w:val="NormalTok"/>
        </w:rPr>
        <w:t xml:space="preserve"> </w:t>
      </w:r>
      <w:r>
        <w:rPr>
          <w:rStyle w:val="DecValTok"/>
        </w:rPr>
        <w:t xml:space="preserve">1</w:t>
      </w:r>
      <w:r>
        <w:br/>
      </w:r>
      <w:r>
        <w:rPr>
          <w:rStyle w:val="NormalTok"/>
        </w:rPr>
        <w:t xml:space="preserve">            node </w:t>
      </w:r>
      <w:r>
        <w:rPr>
          <w:rStyle w:val="OperatorTok"/>
        </w:rPr>
        <w:t xml:space="preserve">=</w:t>
      </w:r>
      <w:r>
        <w:rPr>
          <w:rStyle w:val="NormalTok"/>
        </w:rPr>
        <w:t xml:space="preserve"> node.children[ch]</w:t>
      </w:r>
      <w:r>
        <w:br/>
      </w:r>
      <w:r>
        <w:rPr>
          <w:rStyle w:val="NormalTok"/>
        </w:rPr>
        <w:t xml:space="preserve">        node.weight </w:t>
      </w:r>
      <w:r>
        <w:rPr>
          <w:rStyle w:val="OperatorTok"/>
        </w:rPr>
        <w:t xml:space="preserve">+=</w:t>
      </w:r>
      <w:r>
        <w:rPr>
          <w:rStyle w:val="NormalTok"/>
        </w:rPr>
        <w:t xml:space="preserve"> weight</w:t>
      </w:r>
      <w:r>
        <w:br/>
      </w:r>
      <w:r>
        <w:br/>
      </w:r>
      <w:r>
        <w:rPr>
          <w:rStyle w:val="NormalTok"/>
        </w:rPr>
        <w:t xml:space="preserve">    </w:t>
      </w:r>
      <w:r>
        <w:rPr>
          <w:rStyle w:val="KeywordTok"/>
        </w:rPr>
        <w:t xml:space="preserve">def</w:t>
      </w:r>
      <w:r>
        <w:rPr>
          <w:rStyle w:val="NormalTok"/>
        </w:rPr>
        <w:t xml:space="preserve"> top_k(</w:t>
      </w:r>
      <w:r>
        <w:rPr>
          <w:rStyle w:val="VariableTok"/>
        </w:rPr>
        <w:t xml:space="preserve">self</w:t>
      </w:r>
      <w:r>
        <w:rPr>
          <w:rStyle w:val="NormalTok"/>
        </w:rPr>
        <w:t xml:space="preserve">, prefix: </w:t>
      </w:r>
      <w:r>
        <w:rPr>
          <w:rStyle w:val="BuiltInTok"/>
        </w:rPr>
        <w:t xml:space="preserve">str</w:t>
      </w:r>
      <w:r>
        <w:rPr>
          <w:rStyle w:val="NormalTok"/>
        </w:rPr>
        <w:t xml:space="preserve">, k: </w:t>
      </w:r>
      <w:r>
        <w:rPr>
          <w:rStyle w:val="BuiltInTok"/>
        </w:rPr>
        <w:t xml:space="preserve">int</w:t>
      </w:r>
      <w:r>
        <w:rPr>
          <w:rStyle w:val="NormalTok"/>
        </w:rPr>
        <w:t xml:space="preserve">):</w:t>
      </w:r>
      <w:r>
        <w:br/>
      </w:r>
      <w:r>
        <w:rPr>
          <w:rStyle w:val="NormalTok"/>
        </w:rPr>
        <w:t xml:space="preserve">        </w:t>
      </w:r>
      <w:r>
        <w:rPr>
          <w:rStyle w:val="CommentTok"/>
        </w:rPr>
        <w:t xml:space="preserve">"""Walk to the prefix node (O(len(prefix))), then collect its subtree's k heaviest words."""</w:t>
      </w:r>
      <w:r>
        <w:br/>
      </w:r>
      <w:r>
        <w:rPr>
          <w:rStyle w:val="NormalTok"/>
        </w:rPr>
        <w:t xml:space="preserve">        node </w:t>
      </w:r>
      <w:r>
        <w:rPr>
          <w:rStyle w:val="OperatorTok"/>
        </w:rPr>
        <w:t xml:space="preserve">=</w:t>
      </w:r>
      <w:r>
        <w:rPr>
          <w:rStyle w:val="NormalTok"/>
        </w:rPr>
        <w:t xml:space="preserve"> </w:t>
      </w:r>
      <w:r>
        <w:rPr>
          <w:rStyle w:val="VariableTok"/>
        </w:rPr>
        <w:t xml:space="preserve">self</w:t>
      </w:r>
      <w:r>
        <w:rPr>
          <w:rStyle w:val="NormalTok"/>
        </w:rPr>
        <w:t xml:space="preserve">.root</w:t>
      </w:r>
      <w:r>
        <w:br/>
      </w:r>
      <w:r>
        <w:rPr>
          <w:rStyle w:val="NormalTok"/>
        </w:rPr>
        <w:t xml:space="preserve">        </w:t>
      </w:r>
      <w:r>
        <w:rPr>
          <w:rStyle w:val="ControlFlowTok"/>
        </w:rPr>
        <w:t xml:space="preserve">for</w:t>
      </w:r>
      <w:r>
        <w:rPr>
          <w:rStyle w:val="NormalTok"/>
        </w:rPr>
        <w:t xml:space="preserve"> ch </w:t>
      </w:r>
      <w:r>
        <w:rPr>
          <w:rStyle w:val="KeywordTok"/>
        </w:rPr>
        <w:t xml:space="preserve">in</w:t>
      </w:r>
      <w:r>
        <w:rPr>
          <w:rStyle w:val="NormalTok"/>
        </w:rPr>
        <w:t xml:space="preserve"> prefix:</w:t>
      </w:r>
      <w:r>
        <w:br/>
      </w:r>
      <w:r>
        <w:rPr>
          <w:rStyle w:val="NormalTok"/>
        </w:rPr>
        <w:t xml:space="preserve">            node </w:t>
      </w:r>
      <w:r>
        <w:rPr>
          <w:rStyle w:val="OperatorTok"/>
        </w:rPr>
        <w:t xml:space="preserve">=</w:t>
      </w:r>
      <w:r>
        <w:rPr>
          <w:rStyle w:val="NormalTok"/>
        </w:rPr>
        <w:t xml:space="preserve"> node.children.get(ch)</w:t>
      </w:r>
      <w:r>
        <w:br/>
      </w:r>
      <w:r>
        <w:rPr>
          <w:rStyle w:val="NormalTok"/>
        </w:rPr>
        <w:t xml:space="preserve">            </w:t>
      </w:r>
      <w:r>
        <w:rPr>
          <w:rStyle w:val="ControlFlowTok"/>
        </w:rPr>
        <w:t xml:space="preserve">if</w:t>
      </w:r>
      <w:r>
        <w:rPr>
          <w:rStyle w:val="NormalTok"/>
        </w:rPr>
        <w:t xml:space="preserve"> node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found, stack </w:t>
      </w:r>
      <w:r>
        <w:rPr>
          <w:rStyle w:val="OperatorTok"/>
        </w:rPr>
        <w:t xml:space="preserve">=</w:t>
      </w:r>
      <w:r>
        <w:rPr>
          <w:rStyle w:val="NormalTok"/>
        </w:rPr>
        <w:t xml:space="preserve"> [], [(node, prefix)]</w:t>
      </w:r>
      <w:r>
        <w:br/>
      </w:r>
      <w:r>
        <w:rPr>
          <w:rStyle w:val="NormalTok"/>
        </w:rPr>
        <w:t xml:space="preserve">        </w:t>
      </w:r>
      <w:r>
        <w:rPr>
          <w:rStyle w:val="ControlFlowTok"/>
        </w:rPr>
        <w:t xml:space="preserve">while</w:t>
      </w:r>
      <w:r>
        <w:rPr>
          <w:rStyle w:val="NormalTok"/>
        </w:rPr>
        <w:t xml:space="preserve"> stack:</w:t>
      </w:r>
      <w:r>
        <w:br/>
      </w:r>
      <w:r>
        <w:rPr>
          <w:rStyle w:val="NormalTok"/>
        </w:rPr>
        <w:t xml:space="preserve">            cur, word </w:t>
      </w:r>
      <w:r>
        <w:rPr>
          <w:rStyle w:val="OperatorTok"/>
        </w:rPr>
        <w:t xml:space="preserve">=</w:t>
      </w:r>
      <w:r>
        <w:rPr>
          <w:rStyle w:val="NormalTok"/>
        </w:rPr>
        <w:t xml:space="preserve"> stack.pop()</w:t>
      </w:r>
      <w:r>
        <w:br/>
      </w:r>
      <w:r>
        <w:rPr>
          <w:rStyle w:val="NormalTok"/>
        </w:rPr>
        <w:t xml:space="preserve">            </w:t>
      </w:r>
      <w:r>
        <w:rPr>
          <w:rStyle w:val="ControlFlowTok"/>
        </w:rPr>
        <w:t xml:space="preserve">if</w:t>
      </w:r>
      <w:r>
        <w:rPr>
          <w:rStyle w:val="NormalTok"/>
        </w:rPr>
        <w:t xml:space="preserve"> cur.weight:</w:t>
      </w:r>
      <w:r>
        <w:br/>
      </w:r>
      <w:r>
        <w:rPr>
          <w:rStyle w:val="NormalTok"/>
        </w:rPr>
        <w:t xml:space="preserve">                found.append((cur.weight, word))</w:t>
      </w:r>
      <w:r>
        <w:br/>
      </w:r>
      <w:r>
        <w:rPr>
          <w:rStyle w:val="NormalTok"/>
        </w:rPr>
        <w:t xml:space="preserve">            stack.extend((child, word </w:t>
      </w:r>
      <w:r>
        <w:rPr>
          <w:rStyle w:val="OperatorTok"/>
        </w:rPr>
        <w:t xml:space="preserve">+</w:t>
      </w:r>
      <w:r>
        <w:rPr>
          <w:rStyle w:val="NormalTok"/>
        </w:rPr>
        <w:t xml:space="preserve"> ch) </w:t>
      </w:r>
      <w:r>
        <w:rPr>
          <w:rStyle w:val="ControlFlowTok"/>
        </w:rPr>
        <w:t xml:space="preserve">for</w:t>
      </w:r>
      <w:r>
        <w:rPr>
          <w:rStyle w:val="NormalTok"/>
        </w:rPr>
        <w:t xml:space="preserve"> ch, child </w:t>
      </w:r>
      <w:r>
        <w:rPr>
          <w:rStyle w:val="KeywordTok"/>
        </w:rPr>
        <w:t xml:space="preserve">in</w:t>
      </w:r>
      <w:r>
        <w:rPr>
          <w:rStyle w:val="NormalTok"/>
        </w:rPr>
        <w:t xml:space="preserve"> cur.children.items())</w:t>
      </w:r>
      <w:r>
        <w:br/>
      </w:r>
      <w:r>
        <w:rPr>
          <w:rStyle w:val="NormalTok"/>
        </w:rPr>
        <w:t xml:space="preserve">        </w:t>
      </w:r>
      <w:r>
        <w:rPr>
          <w:rStyle w:val="ControlFlowTok"/>
        </w:rPr>
        <w:t xml:space="preserve">return</w:t>
      </w:r>
      <w:r>
        <w:rPr>
          <w:rStyle w:val="NormalTok"/>
        </w:rPr>
        <w:t xml:space="preserve"> heapq.nlargest(k, found)</w:t>
      </w:r>
      <w:r>
        <w:br/>
      </w:r>
      <w:r>
        <w:br/>
      </w:r>
      <w:r>
        <w:rPr>
          <w:rStyle w:val="NormalTok"/>
        </w:rPr>
        <w:t xml:space="preserve">t </w:t>
      </w:r>
      <w:r>
        <w:rPr>
          <w:rStyle w:val="OperatorTok"/>
        </w:rPr>
        <w:t xml:space="preserve">=</w:t>
      </w:r>
      <w:r>
        <w:rPr>
          <w:rStyle w:val="NormalTok"/>
        </w:rPr>
        <w:t xml:space="preserve"> Trie()</w:t>
      </w:r>
      <w:r>
        <w:br/>
      </w:r>
      <w:r>
        <w:rPr>
          <w:rStyle w:val="ControlFlowTok"/>
        </w:rPr>
        <w:t xml:space="preserve">for</w:t>
      </w:r>
      <w:r>
        <w:rPr>
          <w:rStyle w:val="NormalTok"/>
        </w:rPr>
        <w:t xml:space="preserve"> word, w </w:t>
      </w:r>
      <w:r>
        <w:rPr>
          <w:rStyle w:val="KeywordTok"/>
        </w:rPr>
        <w:t xml:space="preserve">in</w:t>
      </w:r>
      <w:r>
        <w:rPr>
          <w:rStyle w:val="NormalTok"/>
        </w:rPr>
        <w:t xml:space="preserve"> [(</w:t>
      </w:r>
      <w:r>
        <w:rPr>
          <w:rStyle w:val="StringTok"/>
        </w:rPr>
        <w:t xml:space="preserve">"system"</w:t>
      </w:r>
      <w:r>
        <w:rPr>
          <w:rStyle w:val="NormalTok"/>
        </w:rPr>
        <w:t xml:space="preserve">, </w:t>
      </w:r>
      <w:r>
        <w:rPr>
          <w:rStyle w:val="DecValTok"/>
        </w:rPr>
        <w:t xml:space="preserve">90</w:t>
      </w:r>
      <w:r>
        <w:rPr>
          <w:rStyle w:val="NormalTok"/>
        </w:rPr>
        <w:t xml:space="preserve">), (</w:t>
      </w:r>
      <w:r>
        <w:rPr>
          <w:rStyle w:val="StringTok"/>
        </w:rPr>
        <w:t xml:space="preserve">"systems"</w:t>
      </w:r>
      <w:r>
        <w:rPr>
          <w:rStyle w:val="NormalTok"/>
        </w:rPr>
        <w:t xml:space="preserve">, </w:t>
      </w:r>
      <w:r>
        <w:rPr>
          <w:rStyle w:val="DecValTok"/>
        </w:rPr>
        <w:t xml:space="preserve">40</w:t>
      </w:r>
      <w:r>
        <w:rPr>
          <w:rStyle w:val="NormalTok"/>
        </w:rPr>
        <w:t xml:space="preserve">), (</w:t>
      </w:r>
      <w:r>
        <w:rPr>
          <w:rStyle w:val="StringTok"/>
        </w:rPr>
        <w:t xml:space="preserve">"syscall"</w:t>
      </w:r>
      <w:r>
        <w:rPr>
          <w:rStyle w:val="NormalTok"/>
        </w:rPr>
        <w:t xml:space="preserve">, </w:t>
      </w:r>
      <w:r>
        <w:rPr>
          <w:rStyle w:val="DecValTok"/>
        </w:rPr>
        <w:t xml:space="preserve">25</w:t>
      </w:r>
      <w:r>
        <w:rPr>
          <w:rStyle w:val="NormalTok"/>
        </w:rPr>
        <w:t xml:space="preserve">), (</w:t>
      </w:r>
      <w:r>
        <w:rPr>
          <w:rStyle w:val="StringTok"/>
        </w:rPr>
        <w:t xml:space="preserve">"sync"</w:t>
      </w:r>
      <w:r>
        <w:rPr>
          <w:rStyle w:val="NormalTok"/>
        </w:rPr>
        <w:t xml:space="preserve">, </w:t>
      </w:r>
      <w:r>
        <w:rPr>
          <w:rStyle w:val="DecValTok"/>
        </w:rPr>
        <w:t xml:space="preserve">60</w:t>
      </w:r>
      <w:r>
        <w:rPr>
          <w:rStyle w:val="NormalTok"/>
        </w:rPr>
        <w:t xml:space="preserve">),</w:t>
      </w:r>
      <w:r>
        <w:br/>
      </w:r>
      <w:r>
        <w:rPr>
          <w:rStyle w:val="NormalTok"/>
        </w:rPr>
        <w:t xml:space="preserve">                (</w:t>
      </w:r>
      <w:r>
        <w:rPr>
          <w:rStyle w:val="StringTok"/>
        </w:rPr>
        <w:t xml:space="preserve">"synchronous"</w:t>
      </w:r>
      <w:r>
        <w:rPr>
          <w:rStyle w:val="NormalTok"/>
        </w:rPr>
        <w:t xml:space="preserve">, </w:t>
      </w:r>
      <w:r>
        <w:rPr>
          <w:rStyle w:val="DecValTok"/>
        </w:rPr>
        <w:t xml:space="preserve">30</w:t>
      </w:r>
      <w:r>
        <w:rPr>
          <w:rStyle w:val="NormalTok"/>
        </w:rPr>
        <w:t xml:space="preserve">), (</w:t>
      </w:r>
      <w:r>
        <w:rPr>
          <w:rStyle w:val="StringTok"/>
        </w:rPr>
        <w:t xml:space="preserve">"syntax"</w:t>
      </w:r>
      <w:r>
        <w:rPr>
          <w:rStyle w:val="NormalTok"/>
        </w:rPr>
        <w:t xml:space="preserve">, </w:t>
      </w:r>
      <w:r>
        <w:rPr>
          <w:rStyle w:val="DecValTok"/>
        </w:rPr>
        <w:t xml:space="preserve">20</w:t>
      </w:r>
      <w:r>
        <w:rPr>
          <w:rStyle w:val="NormalTok"/>
        </w:rPr>
        <w:t xml:space="preserve">), (</w:t>
      </w:r>
      <w:r>
        <w:rPr>
          <w:rStyle w:val="StringTok"/>
        </w:rPr>
        <w:t xml:space="preserve">"scale"</w:t>
      </w:r>
      <w:r>
        <w:rPr>
          <w:rStyle w:val="NormalTok"/>
        </w:rPr>
        <w:t xml:space="preserve">, </w:t>
      </w:r>
      <w:r>
        <w:rPr>
          <w:rStyle w:val="DecValTok"/>
        </w:rPr>
        <w:t xml:space="preserve">80</w:t>
      </w:r>
      <w:r>
        <w:rPr>
          <w:rStyle w:val="NormalTok"/>
        </w:rPr>
        <w:t xml:space="preserve">), (</w:t>
      </w:r>
      <w:r>
        <w:rPr>
          <w:rStyle w:val="StringTok"/>
        </w:rPr>
        <w:t xml:space="preserve">"schema"</w:t>
      </w:r>
      <w:r>
        <w:rPr>
          <w:rStyle w:val="NormalTok"/>
        </w:rPr>
        <w:t xml:space="preserve">, </w:t>
      </w:r>
      <w:r>
        <w:rPr>
          <w:rStyle w:val="DecValTok"/>
        </w:rPr>
        <w:t xml:space="preserve">50</w:t>
      </w:r>
      <w:r>
        <w:rPr>
          <w:rStyle w:val="NormalTok"/>
        </w:rPr>
        <w:t xml:space="preserve">)]:</w:t>
      </w:r>
      <w:r>
        <w:br/>
      </w:r>
      <w:r>
        <w:rPr>
          <w:rStyle w:val="NormalTok"/>
        </w:rPr>
        <w:t xml:space="preserve">    t.insert(word, w)</w:t>
      </w:r>
      <w:r>
        <w:br/>
      </w:r>
      <w:r>
        <w:rPr>
          <w:rStyle w:val="BuiltInTok"/>
        </w:rPr>
        <w:t xml:space="preserve">print</w:t>
      </w:r>
      <w:r>
        <w:rPr>
          <w:rStyle w:val="NormalTok"/>
        </w:rPr>
        <w:t xml:space="preserve">(t.top_k(</w:t>
      </w:r>
      <w:r>
        <w:rPr>
          <w:rStyle w:val="StringTok"/>
        </w:rPr>
        <w:t xml:space="preserve">"sy"</w:t>
      </w:r>
      <w:r>
        <w:rPr>
          <w:rStyle w:val="NormalTok"/>
        </w:rPr>
        <w:t xml:space="preserve">, </w:t>
      </w:r>
      <w:r>
        <w:rPr>
          <w:rStyle w:val="DecValTok"/>
        </w:rPr>
        <w:t xml:space="preserve">3</w:t>
      </w:r>
      <w:r>
        <w:rPr>
          <w:rStyle w:val="NormalTok"/>
        </w:rPr>
        <w:t xml:space="preserve">))</w:t>
      </w:r>
      <w:r>
        <w:br/>
      </w:r>
      <w:r>
        <w:rPr>
          <w:rStyle w:val="BuiltInTok"/>
        </w:rPr>
        <w:t xml:space="preserve">print</w:t>
      </w:r>
      <w:r>
        <w:rPr>
          <w:rStyle w:val="NormalTok"/>
        </w:rPr>
        <w:t xml:space="preserve">(t.top_k(</w:t>
      </w:r>
      <w:r>
        <w:rPr>
          <w:rStyle w:val="StringTok"/>
        </w:rPr>
        <w:t xml:space="preserve">"syn"</w:t>
      </w:r>
      <w:r>
        <w:rPr>
          <w:rStyle w:val="NormalTok"/>
        </w:rPr>
        <w:t xml:space="preserve">, </w:t>
      </w:r>
      <w:r>
        <w:rPr>
          <w:rStyle w:val="DecValTok"/>
        </w:rPr>
        <w:t xml:space="preserve">5</w:t>
      </w:r>
      <w:r>
        <w:rPr>
          <w:rStyle w:val="NormalTok"/>
        </w:rPr>
        <w:t xml:space="preserve">))</w:t>
      </w:r>
      <w:r>
        <w:br/>
      </w:r>
      <w:r>
        <w:rPr>
          <w:rStyle w:val="BuiltInTok"/>
        </w:rPr>
        <w:t xml:space="preserve">print</w:t>
      </w:r>
      <w:r>
        <w:rPr>
          <w:rStyle w:val="NormalTok"/>
        </w:rPr>
        <w:t xml:space="preserve">(</w:t>
      </w:r>
      <w:r>
        <w:rPr>
          <w:rStyle w:val="StringTok"/>
        </w:rPr>
        <w:t xml:space="preserve">"nodes:"</w:t>
      </w:r>
      <w:r>
        <w:rPr>
          <w:rStyle w:val="NormalTok"/>
        </w:rPr>
        <w:t xml:space="preserve">, t.nodes, </w:t>
      </w:r>
      <w:r>
        <w:rPr>
          <w:rStyle w:val="StringTok"/>
        </w:rPr>
        <w:t xml:space="preserve">"for"</w:t>
      </w:r>
      <w:r>
        <w:rPr>
          <w:rStyle w:val="NormalTok"/>
        </w:rPr>
        <w:t xml:space="preserve">, </w:t>
      </w:r>
      <w:r>
        <w:rPr>
          <w:rStyle w:val="BuiltInTok"/>
        </w:rPr>
        <w:t xml:space="preserve">sum</w:t>
      </w:r>
      <w:r>
        <w:rPr>
          <w:rStyle w:val="NormalTok"/>
        </w:rPr>
        <w:t xml:space="preserve">(</w:t>
      </w:r>
      <w:r>
        <w:rPr>
          <w:rStyle w:val="BuiltInTok"/>
        </w:rPr>
        <w:t xml:space="preserve">len</w:t>
      </w:r>
      <w:r>
        <w:rPr>
          <w:rStyle w:val="NormalTok"/>
        </w:rPr>
        <w:t xml:space="preserve">(w) </w:t>
      </w:r>
      <w:r>
        <w:rPr>
          <w:rStyle w:val="ControlFlowTok"/>
        </w:rPr>
        <w:t xml:space="preserve">for</w:t>
      </w:r>
      <w:r>
        <w:rPr>
          <w:rStyle w:val="NormalTok"/>
        </w:rPr>
        <w:t xml:space="preserve"> w </w:t>
      </w:r>
      <w:r>
        <w:rPr>
          <w:rStyle w:val="KeywordTok"/>
        </w:rPr>
        <w:t xml:space="preserve">in</w:t>
      </w:r>
      <w:r>
        <w:rPr>
          <w:rStyle w:val="NormalTok"/>
        </w:rPr>
        <w:t xml:space="preserve"> [</w:t>
      </w:r>
      <w:r>
        <w:rPr>
          <w:rStyle w:val="StringTok"/>
        </w:rPr>
        <w:t xml:space="preserve">"system"</w:t>
      </w:r>
      <w:r>
        <w:rPr>
          <w:rStyle w:val="NormalTok"/>
        </w:rPr>
        <w:t xml:space="preserve">, </w:t>
      </w:r>
      <w:r>
        <w:rPr>
          <w:rStyle w:val="StringTok"/>
        </w:rPr>
        <w:t xml:space="preserve">"systems"</w:t>
      </w:r>
      <w:r>
        <w:rPr>
          <w:rStyle w:val="NormalTok"/>
        </w:rPr>
        <w:t xml:space="preserve">, </w:t>
      </w:r>
      <w:r>
        <w:rPr>
          <w:rStyle w:val="StringTok"/>
        </w:rPr>
        <w:t xml:space="preserve">"syscall"</w:t>
      </w:r>
      <w:r>
        <w:rPr>
          <w:rStyle w:val="NormalTok"/>
        </w:rPr>
        <w:t xml:space="preserve">, </w:t>
      </w:r>
      <w:r>
        <w:rPr>
          <w:rStyle w:val="StringTok"/>
        </w:rPr>
        <w:t xml:space="preserve">"sync"</w:t>
      </w:r>
      <w:r>
        <w:rPr>
          <w:rStyle w:val="NormalTok"/>
        </w:rPr>
        <w:t xml:space="preserve">,</w:t>
      </w:r>
      <w:r>
        <w:br/>
      </w:r>
      <w:r>
        <w:rPr>
          <w:rStyle w:val="NormalTok"/>
        </w:rPr>
        <w:t xml:space="preserve">      </w:t>
      </w:r>
      <w:r>
        <w:rPr>
          <w:rStyle w:val="StringTok"/>
        </w:rPr>
        <w:t xml:space="preserve">"synchronous"</w:t>
      </w:r>
      <w:r>
        <w:rPr>
          <w:rStyle w:val="NormalTok"/>
        </w:rPr>
        <w:t xml:space="preserve">, </w:t>
      </w:r>
      <w:r>
        <w:rPr>
          <w:rStyle w:val="StringTok"/>
        </w:rPr>
        <w:t xml:space="preserve">"syntax"</w:t>
      </w:r>
      <w:r>
        <w:rPr>
          <w:rStyle w:val="NormalTok"/>
        </w:rPr>
        <w:t xml:space="preserve">, </w:t>
      </w:r>
      <w:r>
        <w:rPr>
          <w:rStyle w:val="StringTok"/>
        </w:rPr>
        <w:t xml:space="preserve">"scale"</w:t>
      </w:r>
      <w:r>
        <w:rPr>
          <w:rStyle w:val="NormalTok"/>
        </w:rPr>
        <w:t xml:space="preserve">, </w:t>
      </w:r>
      <w:r>
        <w:rPr>
          <w:rStyle w:val="StringTok"/>
        </w:rPr>
        <w:t xml:space="preserve">"schema"</w:t>
      </w:r>
      <w:r>
        <w:rPr>
          <w:rStyle w:val="NormalTok"/>
        </w:rPr>
        <w:t xml:space="preserve">]), </w:t>
      </w:r>
      <w:r>
        <w:rPr>
          <w:rStyle w:val="StringTok"/>
        </w:rPr>
        <w:t xml:space="preserve">"characters"</w:t>
      </w:r>
      <w:r>
        <w:rPr>
          <w:rStyle w:val="NormalTok"/>
        </w:rPr>
        <w:t xml:space="preserve">)</w:t>
      </w:r>
    </w:p>
    <w:p>
      <w:pPr>
        <w:pStyle w:val="FirstParagraph"/>
      </w:pPr>
      <w:r>
        <w:t xml:space="preserve">Output:</w:t>
      </w:r>
    </w:p>
    <w:p>
      <w:pPr>
        <w:pStyle w:val="SourceCode"/>
      </w:pPr>
      <w:r>
        <w:rPr>
          <w:rStyle w:val="VerbatimChar"/>
        </w:rPr>
        <w:t xml:space="preserve">[(90, 'system'), (60, 'sync'), (40, 'systems')]</w:t>
      </w:r>
      <w:r>
        <w:br/>
      </w:r>
      <w:r>
        <w:rPr>
          <w:rStyle w:val="VerbatimChar"/>
        </w:rPr>
        <w:t xml:space="preserve">[(60, 'sync'), (30, 'synchronous'), (20, 'syntax')]</w:t>
      </w:r>
      <w:r>
        <w:br/>
      </w:r>
      <w:r>
        <w:rPr>
          <w:rStyle w:val="VerbatimChar"/>
        </w:rPr>
        <w:t xml:space="preserve">nodes: 32 for 52 characters</w:t>
      </w:r>
    </w:p>
    <w:p>
      <w:pPr>
        <w:pStyle w:val="FirstParagraph"/>
      </w:pPr>
      <w:r>
        <w:t xml:space="preserve">What to notice: shared prefixes are stored once (32 nodes for 52 characters), and the cost of</w:t>
      </w:r>
      <w:r>
        <w:t xml:space="preserve"> </w:t>
      </w:r>
      <w:r>
        <w:rPr>
          <w:rStyle w:val="VerbatimChar"/>
        </w:rPr>
        <w:t xml:space="preserve">top_k</w:t>
      </w:r>
      <w:r>
        <w:t xml:space="preserve"> </w:t>
      </w:r>
      <w:r>
        <w:t xml:space="preserve">is the prefix walk plus the size of the subtree. For a short prefix such as</w:t>
      </w:r>
      <w:r>
        <w:t xml:space="preserve"> </w:t>
      </w:r>
      <w:r>
        <w:t xml:space="preserve">“</w:t>
      </w:r>
      <w:r>
        <w:t xml:space="preserve">s</w:t>
      </w:r>
      <w:r>
        <w:t xml:space="preserve">”</w:t>
      </w:r>
      <w:r>
        <w:t xml:space="preserve"> </w:t>
      </w:r>
      <w:r>
        <w:t xml:space="preserve">in a large dictionary the subtree is huge, which is why production autocomplete stores precomputed top-</w:t>
      </w:r>
      <w:r>
        <w:rPr>
          <w:iCs/>
          <w:i/>
        </w:rPr>
        <w:t xml:space="preserve">k</w:t>
      </w:r>
      <w:r>
        <w:t xml:space="preserve"> </w:t>
      </w:r>
      <w:r>
        <w:t xml:space="preserve">lists at each node (§16.9).</w:t>
      </w:r>
    </w:p>
    <w:bookmarkEnd w:id="2029"/>
    <w:bookmarkEnd w:id="2030"/>
    <w:bookmarkStart w:id="2035" w:name="Xa6ebd2cd414981a8927fa44eb9038b8fdac0cf6"/>
    <w:p>
      <w:pPr>
        <w:pStyle w:val="Heading2"/>
      </w:pPr>
      <w:r>
        <w:t xml:space="preserve">17.12 Reservoir sampling and streaming algorithms</w:t>
      </w:r>
    </w:p>
    <w:bookmarkStart w:id="2033" w:name="reservoir-sampling"/>
    <w:p>
      <w:pPr>
        <w:pStyle w:val="Heading3"/>
      </w:pPr>
      <w:r>
        <w:t xml:space="preserve">17.12.1 Reservoir sampling</w:t>
      </w:r>
    </w:p>
    <w:p>
      <w:pPr>
        <w:pStyle w:val="CalloutDefinition"/>
      </w:pPr>
      <w:r>
        <w:rPr>
          <w:bCs/>
          <w:b/>
        </w:rPr>
        <w:t xml:space="preserve">DEFINITION</w:t>
      </w:r>
    </w:p>
    <w:p>
      <w:pPr>
        <w:pStyle w:val="CalloutDefinition"/>
      </w:pPr>
      <w:r>
        <w:rPr>
          <w:bCs/>
          <w:b/>
        </w:rPr>
        <w:t xml:space="preserve">Definition — Reservoir sampling.</w:t>
      </w:r>
      <w:r>
        <w:t xml:space="preserve"> </w:t>
      </w:r>
      <w:r>
        <w:t xml:space="preserve">An algorithm that maintains a uniform random sample of</w:t>
      </w:r>
      <w:r>
        <w:t xml:space="preserve"> </w:t>
      </w:r>
      <m:oMath>
        <m:r>
          <m:t>k</m:t>
        </m:r>
      </m:oMath>
      <w:r>
        <w:t xml:space="preserve"> </w:t>
      </w:r>
      <w:r>
        <w:t xml:space="preserve">items from a stream whose length</w:t>
      </w:r>
      <w:r>
        <w:t xml:space="preserve"> </w:t>
      </w:r>
      <m:oMath>
        <m:r>
          <m:t>n</m:t>
        </m:r>
      </m:oMath>
      <w:r>
        <w:t xml:space="preserve"> </w:t>
      </w:r>
      <w:r>
        <w:t xml:space="preserve">is not known in advance, using</w:t>
      </w:r>
      <w:r>
        <w:t xml:space="preserve"> </w:t>
      </w:r>
      <m:oMath>
        <m:r>
          <m:t>O</m:t>
        </m:r>
        <m:d>
          <m:dPr>
            <m:begChr m:val="("/>
            <m:endChr m:val=")"/>
            <m:sepChr m:val=""/>
            <m:grow/>
          </m:dPr>
          <m:e>
            <m:r>
              <m:t>k</m:t>
            </m:r>
          </m:e>
        </m:d>
      </m:oMath>
      <w:r>
        <w:t xml:space="preserve"> </w:t>
      </w:r>
      <w:r>
        <w:t xml:space="preserve">memory and a single pass: after any number of items, every item seen so far is in the sample with probability</w:t>
      </w:r>
      <w:r>
        <w:t xml:space="preserve"> </w:t>
      </w:r>
      <m:oMath>
        <m:r>
          <m:t>k</m:t>
        </m:r>
        <m:r>
          <m:rPr>
            <m:sty m:val="p"/>
          </m:rPr>
          <m:t>/</m:t>
        </m:r>
        <m:r>
          <m:t>n</m:t>
        </m:r>
      </m:oMath>
      <w:r>
        <w:t xml:space="preserve"> </w:t>
      </w:r>
      <w:r>
        <w:t xml:space="preserve">[Vitter 1985].</w:t>
      </w:r>
    </w:p>
    <w:bookmarkStart w:id="2031" w:name="X5b18b509676ef8c6c48145c83bf412d75643e8e"/>
    <w:p>
      <w:pPr>
        <w:pStyle w:val="Heading4"/>
      </w:pPr>
      <w:r>
        <w:t xml:space="preserve">First-principles explanation and mechanism</w:t>
      </w:r>
    </w:p>
    <w:p>
      <w:pPr>
        <w:pStyle w:val="FirstParagraph"/>
      </w:pPr>
      <w:r>
        <w:t xml:space="preserve">You want 1,000 representative requests from a day of traffic for debugging, but you do not know how many requests the day will bring, and you cannot store them all. Sampling each request with a fixed probability gives the wrong sample size if traffic differs from your guess. Reservoir sampling (</w:t>
      </w:r>
      <w:r>
        <w:rPr>
          <w:bCs/>
          <w:b/>
        </w:rPr>
        <w:t xml:space="preserve">Algorithm R</w:t>
      </w:r>
      <w:r>
        <w:t xml:space="preserve">, which Knuth attributes to Alan Waterman) adjusts as it goes:</w:t>
      </w:r>
    </w:p>
    <w:p>
      <w:pPr>
        <w:numPr>
          <w:ilvl w:val="0"/>
          <w:numId w:val="1589"/>
        </w:numPr>
        <w:pStyle w:val="Compact"/>
      </w:pPr>
      <w:r>
        <w:t xml:space="preserve">Put the first</w:t>
      </w:r>
      <w:r>
        <w:t xml:space="preserve"> </w:t>
      </w:r>
      <m:oMath>
        <m:r>
          <m:t>k</m:t>
        </m:r>
      </m:oMath>
      <w:r>
        <w:t xml:space="preserve"> </w:t>
      </w:r>
      <w:r>
        <w:t xml:space="preserve">items in the reservoir.</w:t>
      </w:r>
    </w:p>
    <w:p>
      <w:pPr>
        <w:numPr>
          <w:ilvl w:val="0"/>
          <w:numId w:val="1589"/>
        </w:numPr>
        <w:pStyle w:val="Compact"/>
      </w:pPr>
      <w:r>
        <w:t xml:space="preserve">For the</w:t>
      </w:r>
      <w:r>
        <w:t xml:space="preserve"> </w:t>
      </w:r>
      <m:oMath>
        <m:r>
          <m:t>n</m:t>
        </m:r>
      </m:oMath>
      <w:r>
        <w:t xml:space="preserve">-th item (</w:t>
      </w:r>
      <m:oMath>
        <m:r>
          <m:t>n</m:t>
        </m:r>
        <m:r>
          <m:rPr>
            <m:sty m:val="p"/>
          </m:rPr>
          <m:t>&gt;</m:t>
        </m:r>
        <m:r>
          <m:t>k</m:t>
        </m:r>
      </m:oMath>
      <w:r>
        <w:t xml:space="preserve">), draw a random integer</w:t>
      </w:r>
      <w:r>
        <w:t xml:space="preserve"> </w:t>
      </w:r>
      <m:oMath>
        <m:r>
          <m:t>j</m:t>
        </m:r>
      </m:oMath>
      <w:r>
        <w:t xml:space="preserve"> </w:t>
      </w:r>
      <w:r>
        <w:t xml:space="preserve">in</w:t>
      </w:r>
      <w:r>
        <w:t xml:space="preserve"> </w:t>
      </w:r>
      <m:oMath>
        <m:r>
          <m:rPr>
            <m:sty m:val="p"/>
          </m:rPr>
          <m:t>[</m:t>
        </m:r>
        <m:r>
          <m:t>0</m:t>
        </m:r>
        <m:r>
          <m:rPr>
            <m:sty m:val="p"/>
          </m:rPr>
          <m:t>,</m:t>
        </m:r>
        <m:r>
          <m:t>n</m:t>
        </m:r>
        <m:r>
          <m:rPr>
            <m:sty m:val="p"/>
          </m:rPr>
          <m:t>)</m:t>
        </m:r>
      </m:oMath>
      <w:r>
        <w:t xml:space="preserve">. If</w:t>
      </w:r>
      <w:r>
        <w:t xml:space="preserve"> </w:t>
      </w:r>
      <m:oMath>
        <m:r>
          <m:t>j</m:t>
        </m:r>
        <m:r>
          <m:rPr>
            <m:sty m:val="p"/>
          </m:rPr>
          <m:t>&lt;</m:t>
        </m:r>
        <m:r>
          <m:t>k</m:t>
        </m:r>
      </m:oMath>
      <w:r>
        <w:t xml:space="preserve">, replace reservoir slot</w:t>
      </w:r>
      <w:r>
        <w:t xml:space="preserve"> </w:t>
      </w:r>
      <m:oMath>
        <m:r>
          <m:t>j</m:t>
        </m:r>
      </m:oMath>
      <w:r>
        <w:t xml:space="preserve"> </w:t>
      </w:r>
      <w:r>
        <w:t xml:space="preserve">with the new item; otherwise discard it.</w:t>
      </w:r>
    </w:p>
    <w:p>
      <w:pPr>
        <w:pStyle w:val="CalloutFormula"/>
      </w:pPr>
      <w:r>
        <w:rPr>
          <w:bCs/>
          <w:b/>
        </w:rPr>
        <w:t xml:space="preserve">FORMULA</w:t>
      </w:r>
    </w:p>
    <w:p>
      <w:pPr>
        <w:pStyle w:val="CalloutFormula"/>
      </w:pPr>
      <w:r>
        <w:rPr>
          <w:bCs/>
          <w:b/>
        </w:rPr>
        <w:t xml:space="preserve">Reservoir sampling inclusion probability</w:t>
      </w:r>
    </w:p>
    <w:p>
      <w:pPr>
        <w:pStyle w:val="CalloutFormula"/>
      </w:pPr>
      <m:oMathPara>
        <m:oMathParaPr>
          <m:jc m:val="center"/>
        </m:oMathParaPr>
        <m:oMath>
          <m:r>
            <m:t>P</m:t>
          </m:r>
          <m:d>
            <m:dPr>
              <m:begChr m:val="("/>
              <m:endChr m:val=")"/>
              <m:sepChr m:val=""/>
              <m:grow/>
            </m:dPr>
            <m:e>
              <m:r>
                <m:rPr>
                  <m:nor/>
                  <m:sty m:val="p"/>
                </m:rPr>
                <m:t>item </m:t>
              </m:r>
              <m:r>
                <m:t>i</m:t>
              </m:r>
              <m:r>
                <m:rPr>
                  <m:nor/>
                  <m:sty m:val="p"/>
                </m:rPr>
                <m:t> in sample after </m:t>
              </m:r>
              <m:r>
                <m:t>n</m:t>
              </m:r>
              <m:r>
                <m:rPr>
                  <m:nor/>
                  <m:sty m:val="p"/>
                </m:rPr>
                <m:t> items</m:t>
              </m:r>
            </m:e>
          </m:d>
          <m:r>
            <m:rPr>
              <m:sty m:val="p"/>
            </m:rPr>
            <m:t>=</m:t>
          </m:r>
          <m:f>
            <m:fPr>
              <m:type m:val="bar"/>
            </m:fPr>
            <m:num>
              <m:r>
                <m:t>k</m:t>
              </m:r>
            </m:num>
            <m:den>
              <m:r>
                <m:t>i</m:t>
              </m:r>
            </m:den>
          </m:f>
          <m:r>
            <m:rPr>
              <m:sty m:val="p"/>
            </m:rPr>
            <m:t>×</m:t>
          </m:r>
          <m:nary>
            <m:naryPr>
              <m:chr m:val="∏"/>
              <m:limLoc m:val="undOvr"/>
              <m:subHide m:val="off"/>
              <m:supHide m:val="off"/>
            </m:naryPr>
            <m:sub>
              <m:r>
                <m:t>j</m:t>
              </m:r>
              <m:r>
                <m:rPr>
                  <m:sty m:val="p"/>
                </m:rPr>
                <m:t>=</m:t>
              </m:r>
              <m:r>
                <m:t>i</m:t>
              </m:r>
              <m:r>
                <m:rPr>
                  <m:sty m:val="p"/>
                </m:rPr>
                <m:t>+</m:t>
              </m:r>
              <m:r>
                <m:t>1</m:t>
              </m:r>
            </m:sub>
            <m:sup>
              <m:r>
                <m:t>n</m:t>
              </m:r>
            </m:sup>
            <m:e>
              <m:d>
                <m:dPr>
                  <m:begChr m:val="("/>
                  <m:endChr m:val=")"/>
                  <m:sepChr m:val=""/>
                  <m:grow/>
                </m:dPr>
                <m:e>
                  <m:r>
                    <m:t>1</m:t>
                  </m:r>
                  <m:r>
                    <m:rPr>
                      <m:sty m:val="p"/>
                    </m:rPr>
                    <m:t>−</m:t>
                  </m:r>
                  <m:f>
                    <m:fPr>
                      <m:type m:val="bar"/>
                    </m:fPr>
                    <m:num>
                      <m:r>
                        <m:t>1</m:t>
                      </m:r>
                    </m:num>
                    <m:den>
                      <m:r>
                        <m:t>j</m:t>
                      </m:r>
                    </m:den>
                  </m:f>
                </m:e>
              </m:d>
            </m:e>
          </m:nary>
          <m:r>
            <m:rPr>
              <m:sty m:val="p"/>
            </m:rPr>
            <m:t>=</m:t>
          </m:r>
          <m:f>
            <m:fPr>
              <m:type m:val="bar"/>
            </m:fPr>
            <m:num>
              <m:r>
                <m:t>k</m:t>
              </m:r>
            </m:num>
            <m:den>
              <m:r>
                <m:t>i</m:t>
              </m:r>
            </m:den>
          </m:f>
          <m:r>
            <m:rPr>
              <m:sty m:val="p"/>
            </m:rPr>
            <m:t>×</m:t>
          </m:r>
          <m:f>
            <m:fPr>
              <m:type m:val="bar"/>
            </m:fPr>
            <m:num>
              <m:r>
                <m:t>i</m:t>
              </m:r>
            </m:num>
            <m:den>
              <m:r>
                <m:t>n</m:t>
              </m:r>
            </m:den>
          </m:f>
          <m:r>
            <m:rPr>
              <m:sty m:val="p"/>
            </m:rPr>
            <m:t>=</m:t>
          </m:r>
          <m:f>
            <m:fPr>
              <m:type m:val="bar"/>
            </m:fPr>
            <m:num>
              <m:r>
                <m:t>k</m:t>
              </m:r>
            </m:num>
            <m:den>
              <m:r>
                <m:t>n</m:t>
              </m:r>
            </m:den>
          </m:f>
          <m:r>
            <m:rPr>
              <m:sty m:val="p"/>
            </m:rPr>
            <m:t>,</m:t>
          </m:r>
          <m:r>
            <m:t>  </m:t>
          </m:r>
          <m:r>
            <m:rPr>
              <m:sty m:val="p"/>
              <m:scr m:val="double-struck"/>
            </m:rPr>
            <m:t>E</m:t>
          </m:r>
          <m:d>
            <m:dPr>
              <m:begChr m:val="["/>
              <m:endChr m:val="]"/>
              <m:sepChr m:val=""/>
              <m:grow/>
            </m:dPr>
            <m:e>
              <m:r>
                <m:rPr>
                  <m:nor/>
                  <m:sty m:val="p"/>
                </m:rPr>
                <m:t>replacements</m:t>
              </m:r>
            </m:e>
          </m:d>
          <m:r>
            <m:rPr>
              <m:sty m:val="p"/>
            </m:rPr>
            <m:t>≈</m:t>
          </m:r>
          <m:r>
            <m:t>k</m:t>
          </m:r>
          <m:r>
            <m:rPr>
              <m:sty m:val="p"/>
            </m:rPr>
            <m:t>ln</m:t>
          </m:r>
          <m:f>
            <m:fPr>
              <m:type m:val="bar"/>
            </m:fPr>
            <m:num>
              <m:r>
                <m:t>n</m:t>
              </m:r>
            </m:num>
            <m:den>
              <m:r>
                <m:t>k</m:t>
              </m:r>
            </m:den>
          </m:f>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k</m:t>
              </m:r>
            </m:oMath>
          </w:p>
        </w:tc>
        <w:tc>
          <w:tcPr/>
          <w:p>
            <w:pPr>
              <w:pStyle w:val="Compact"/>
              <w:jc w:val="left"/>
            </w:pPr>
            <w:r>
              <w:t xml:space="preserve">Reservoir size</w:t>
            </w:r>
          </w:p>
        </w:tc>
        <w:tc>
          <w:tcPr/>
          <w:p>
            <w:pPr>
              <w:pStyle w:val="Compact"/>
              <w:jc w:val="left"/>
            </w:pPr>
            <w:r>
              <w:t xml:space="preserve">items</w:t>
            </w:r>
          </w:p>
        </w:tc>
      </w:tr>
      <w:tr>
        <w:tc>
          <w:tcPr/>
          <w:p>
            <w:pPr>
              <w:pStyle w:val="Compact"/>
              <w:jc w:val="left"/>
            </w:pPr>
            <m:oMath>
              <m:r>
                <m:t>n</m:t>
              </m:r>
            </m:oMath>
          </w:p>
        </w:tc>
        <w:tc>
          <w:tcPr/>
          <w:p>
            <w:pPr>
              <w:pStyle w:val="Compact"/>
              <w:jc w:val="left"/>
            </w:pPr>
            <w:r>
              <w:t xml:space="preserve">Items seen so far</w:t>
            </w:r>
          </w:p>
        </w:tc>
        <w:tc>
          <w:tcPr/>
          <w:p>
            <w:pPr>
              <w:pStyle w:val="Compact"/>
              <w:jc w:val="left"/>
            </w:pPr>
            <w:r>
              <w:t xml:space="preserve">items</w:t>
            </w:r>
          </w:p>
        </w:tc>
      </w:tr>
      <w:tr>
        <w:tc>
          <w:tcPr/>
          <w:p>
            <w:pPr>
              <w:pStyle w:val="Compact"/>
              <w:jc w:val="left"/>
            </w:pPr>
            <m:oMath>
              <m:r>
                <m:t>i</m:t>
              </m:r>
            </m:oMath>
          </w:p>
        </w:tc>
        <w:tc>
          <w:tcPr/>
          <w:p>
            <w:pPr>
              <w:pStyle w:val="Compact"/>
              <w:jc w:val="left"/>
            </w:pPr>
            <w:r>
              <w:t xml:space="preserve">Arrival position of a particular item (</w:t>
            </w:r>
            <m:oMath>
              <m:r>
                <m:t>i</m:t>
              </m:r>
              <m:r>
                <m:rPr>
                  <m:sty m:val="p"/>
                </m:rPr>
                <m:t>&gt;</m:t>
              </m:r>
              <m:r>
                <m:t>k</m:t>
              </m:r>
            </m:oMath>
            <w:r>
              <w:t xml:space="preserve">)</w:t>
            </w:r>
          </w:p>
        </w:tc>
        <w:tc>
          <w:tcPr/>
          <w:p>
            <w:pPr>
              <w:pStyle w:val="Compact"/>
              <w:jc w:val="left"/>
            </w:pPr>
            <w:r>
              <w:t xml:space="preserve">position</w:t>
            </w:r>
          </w:p>
        </w:tc>
      </w:tr>
      <w:tr>
        <w:tc>
          <w:tcPr/>
          <w:p>
            <w:pPr>
              <w:pStyle w:val="Compact"/>
              <w:jc w:val="left"/>
            </w:pPr>
            <m:oMath>
              <m:r>
                <m:t>1</m:t>
              </m:r>
              <m:r>
                <m:rPr>
                  <m:sty m:val="p"/>
                </m:rPr>
                <m:t>−</m:t>
              </m:r>
              <m:r>
                <m:t>1</m:t>
              </m:r>
              <m:r>
                <m:rPr>
                  <m:sty m:val="p"/>
                </m:rPr>
                <m:t>/</m:t>
              </m:r>
              <m:r>
                <m:t>j</m:t>
              </m:r>
            </m:oMath>
          </w:p>
        </w:tc>
        <w:tc>
          <w:tcPr/>
          <w:p>
            <w:pPr>
              <w:pStyle w:val="Compact"/>
              <w:jc w:val="left"/>
            </w:pPr>
            <w:r>
              <w:t xml:space="preserve">Probability that item</w:t>
            </w:r>
            <w:r>
              <w:t xml:space="preserve"> </w:t>
            </w:r>
            <m:oMath>
              <m:r>
                <m:t>j</m:t>
              </m:r>
            </m:oMath>
            <w:r>
              <w:t xml:space="preserve"> </w:t>
            </w:r>
            <w:r>
              <w:t xml:space="preserve">does not evict this item: it is chosen with probability</w:t>
            </w:r>
            <w:r>
              <w:t xml:space="preserve"> </w:t>
            </w:r>
            <m:oMath>
              <m:r>
                <m:t>k</m:t>
              </m:r>
              <m:r>
                <m:rPr>
                  <m:sty m:val="p"/>
                </m:rPr>
                <m:t>/</m:t>
              </m:r>
              <m:r>
                <m:t>j</m:t>
              </m:r>
            </m:oMath>
            <w:r>
              <w:t xml:space="preserve"> </w:t>
            </w:r>
            <w:r>
              <w:t xml:space="preserve">and then evicts one of</w:t>
            </w:r>
            <w:r>
              <w:t xml:space="preserve"> </w:t>
            </w:r>
            <m:oMath>
              <m:r>
                <m:t>k</m:t>
              </m:r>
            </m:oMath>
            <w:r>
              <w:t xml:space="preserve"> </w:t>
            </w:r>
            <w:r>
              <w:t xml:space="preserve">slots</w:t>
            </w:r>
          </w:p>
        </w:tc>
        <w:tc>
          <w:tcPr/>
          <w:p>
            <w:pPr>
              <w:pStyle w:val="Compact"/>
              <w:jc w:val="left"/>
            </w:pPr>
            <w:r>
              <w:t xml:space="preserve">probability</w:t>
            </w:r>
          </w:p>
        </w:tc>
      </w:tr>
    </w:tbl>
    <w:p>
      <w:pPr>
        <w:pStyle w:val="CalloutExample"/>
      </w:pPr>
      <w:r>
        <w:rPr>
          <w:bCs/>
          <w:b/>
        </w:rPr>
        <w:t xml:space="preserve">WORKED EXAMPLE</w:t>
      </w:r>
    </w:p>
    <w:p>
      <w:pPr>
        <w:pStyle w:val="CalloutExample"/>
      </w:pPr>
      <w:r>
        <w:rPr>
          <w:bCs/>
          <w:b/>
        </w:rPr>
        <w:t xml:space="preserve">Worked example — sampling traces.</w:t>
      </w:r>
      <w:r>
        <w:t xml:space="preserve"> </w:t>
      </w:r>
      <w:r>
        <w:t xml:space="preserve">A service handles 600,000 requests per minute and keeps a reservoir of</w:t>
      </w:r>
      <w:r>
        <w:t xml:space="preserve"> </w:t>
      </w:r>
      <m:oMath>
        <m:r>
          <m:t>k</m:t>
        </m:r>
        <m:r>
          <m:rPr>
            <m:sty m:val="p"/>
          </m:rPr>
          <m:t>=</m:t>
        </m:r>
        <m:r>
          <m:t>1</m:t>
        </m:r>
        <m:r>
          <m:rPr>
            <m:sty m:val="p"/>
          </m:rPr>
          <m:t>,</m:t>
        </m:r>
        <m:r>
          <m:t>000</m:t>
        </m:r>
      </m:oMath>
      <w:r>
        <w:t xml:space="preserve"> </w:t>
      </w:r>
      <w:r>
        <w:t xml:space="preserve">per minute. Each request is kept with probability</w:t>
      </w:r>
      <w:r>
        <w:t xml:space="preserve"> </w:t>
      </w:r>
      <m:oMath>
        <m:r>
          <m:t>1</m:t>
        </m:r>
        <m:r>
          <m:rPr>
            <m:sty m:val="p"/>
          </m:rPr>
          <m:t>,</m:t>
        </m:r>
        <m:r>
          <m:t>000</m:t>
        </m:r>
        <m:r>
          <m:rPr>
            <m:sty m:val="p"/>
          </m:rPr>
          <m:t>/</m:t>
        </m:r>
        <m:r>
          <m:t>600</m:t>
        </m:r>
        <m:r>
          <m:rPr>
            <m:sty m:val="p"/>
          </m:rPr>
          <m:t>,</m:t>
        </m:r>
        <m:r>
          <m:t>000</m:t>
        </m:r>
        <m:r>
          <m:rPr>
            <m:sty m:val="p"/>
          </m:rPr>
          <m:t>=</m:t>
        </m:r>
        <m:r>
          <m:t>1</m:t>
        </m:r>
        <m:r>
          <m:rPr>
            <m:sty m:val="p"/>
          </m:rPr>
          <m:t>/</m:t>
        </m:r>
        <m:r>
          <m:t>600</m:t>
        </m:r>
      </m:oMath>
      <w:r>
        <w:t xml:space="preserve">. The expected number of reservoir writes per minute is about</w:t>
      </w:r>
      <w:r>
        <w:t xml:space="preserve"> </w:t>
      </w:r>
      <m:oMath>
        <m:r>
          <m:t>1</m:t>
        </m:r>
        <m:r>
          <m:rPr>
            <m:sty m:val="p"/>
          </m:rPr>
          <m:t>,</m:t>
        </m:r>
        <m:r>
          <m:t>000</m:t>
        </m:r>
        <m:r>
          <m:rPr>
            <m:sty m:val="p"/>
          </m:rPr>
          <m:t>+</m:t>
        </m:r>
        <m:r>
          <m:t>1</m:t>
        </m:r>
        <m:r>
          <m:rPr>
            <m:sty m:val="p"/>
          </m:rPr>
          <m:t>,</m:t>
        </m:r>
        <m:r>
          <m:t>000</m:t>
        </m:r>
        <m:r>
          <m:rPr>
            <m:sty m:val="p"/>
          </m:rPr>
          <m:t>×</m:t>
        </m:r>
        <m:r>
          <m:rPr>
            <m:sty m:val="p"/>
          </m:rPr>
          <m:t>ln</m:t>
        </m:r>
        <m:d>
          <m:dPr>
            <m:begChr m:val="("/>
            <m:endChr m:val=")"/>
            <m:sepChr m:val=""/>
            <m:grow/>
          </m:dPr>
          <m:e>
            <m:r>
              <m:t>600</m:t>
            </m:r>
            <m:r>
              <m:rPr>
                <m:sty m:val="p"/>
              </m:rPr>
              <m:t>,</m:t>
            </m:r>
            <m:r>
              <m:t>000</m:t>
            </m:r>
            <m:r>
              <m:rPr>
                <m:sty m:val="p"/>
              </m:rPr>
              <m:t>/</m:t>
            </m:r>
            <m:r>
              <m:t>1</m:t>
            </m:r>
            <m:r>
              <m:rPr>
                <m:sty m:val="p"/>
              </m:rPr>
              <m:t>,</m:t>
            </m:r>
            <m:r>
              <m:t>000</m:t>
            </m:r>
          </m:e>
        </m:d>
        <m:r>
          <m:rPr>
            <m:sty m:val="p"/>
          </m:rPr>
          <m:t>=</m:t>
        </m:r>
        <m:r>
          <m:t>1</m:t>
        </m:r>
        <m:r>
          <m:rPr>
            <m:sty m:val="p"/>
          </m:rPr>
          <m:t>,</m:t>
        </m:r>
        <m:r>
          <m:t>000</m:t>
        </m:r>
        <m:r>
          <m:rPr>
            <m:sty m:val="p"/>
          </m:rPr>
          <m:t>+</m:t>
        </m:r>
        <m:r>
          <m:t>1</m:t>
        </m:r>
        <m:r>
          <m:rPr>
            <m:sty m:val="p"/>
          </m:rPr>
          <m:t>,</m:t>
        </m:r>
        <m:r>
          <m:t>000</m:t>
        </m:r>
        <m:r>
          <m:rPr>
            <m:sty m:val="p"/>
          </m:rPr>
          <m:t>×</m:t>
        </m:r>
        <m:r>
          <m:t>6.40</m:t>
        </m:r>
        <m:r>
          <m:rPr>
            <m:sty m:val="p"/>
          </m:rPr>
          <m:t>=</m:t>
        </m:r>
        <m:r>
          <m:t>7</m:t>
        </m:r>
        <m:r>
          <m:rPr>
            <m:sty m:val="p"/>
          </m:rPr>
          <m:t>,</m:t>
        </m:r>
        <m:r>
          <m:t>400</m:t>
        </m:r>
      </m:oMath>
      <w:r>
        <w:t xml:space="preserve">, not 600,000.</w:t>
      </w:r>
      <w:r>
        <w:t xml:space="preserve"> </w:t>
      </w:r>
      <w:r>
        <w:rPr>
          <w:iCs/>
          <w:i/>
        </w:rPr>
        <w:t xml:space="preserve">Interpretation.</w:t>
      </w:r>
      <w:r>
        <w:t xml:space="preserve"> </w:t>
      </w:r>
      <w:r>
        <w:t xml:space="preserve">Late items are rarely written, so the cost is dominated by drawing a random number per item.</w:t>
      </w:r>
      <w:r>
        <w:t xml:space="preserve"> </w:t>
      </w:r>
      <w:r>
        <w:rPr>
          <w:iCs/>
          <w:i/>
        </w:rPr>
        <w:t xml:space="preserve">Engineering implication.</w:t>
      </w:r>
      <w:r>
        <w:t xml:space="preserve"> </w:t>
      </w:r>
      <w:r>
        <w:t xml:space="preserve">Vitter’s Algorithm Z [Vitter 1985] and Li’s Algorithm L [Li 1994] compute how many items to</w:t>
      </w:r>
      <w:r>
        <w:t xml:space="preserve"> </w:t>
      </w:r>
      <w:r>
        <w:rPr>
          <w:iCs/>
          <w:i/>
        </w:rPr>
        <w:t xml:space="preserve">skip</w:t>
      </w:r>
      <w:r>
        <w:t xml:space="preserve"> </w:t>
      </w:r>
      <w:r>
        <w:t xml:space="preserve">before the next replacement, drawing about</w:t>
      </w:r>
      <w:r>
        <w:t xml:space="preserve"> </w:t>
      </w:r>
      <m:oMath>
        <m:r>
          <m:t>O</m:t>
        </m:r>
        <m:d>
          <m:dPr>
            <m:begChr m:val="("/>
            <m:endChr m:val=")"/>
            <m:sepChr m:val=""/>
            <m:grow/>
          </m:dPr>
          <m:e>
            <m:r>
              <m:t>k</m:t>
            </m:r>
            <m:r>
              <m:rPr>
                <m:sty m:val="p"/>
              </m:rPr>
              <m:t>log</m:t>
            </m:r>
            <m:d>
              <m:dPr>
                <m:begChr m:val="("/>
                <m:endChr m:val=")"/>
                <m:sepChr m:val=""/>
                <m:grow/>
              </m:dPr>
              <m:e>
                <m:r>
                  <m:t>n</m:t>
                </m:r>
                <m:r>
                  <m:rPr>
                    <m:sty m:val="p"/>
                  </m:rPr>
                  <m:t>/</m:t>
                </m:r>
                <m:r>
                  <m:t>k</m:t>
                </m:r>
              </m:e>
            </m:d>
          </m:e>
        </m:d>
      </m:oMath>
      <w:r>
        <w:t xml:space="preserve"> </w:t>
      </w:r>
      <w:r>
        <w:t xml:space="preserve">random numbers instead of</w:t>
      </w:r>
      <w:r>
        <w:t xml:space="preserve"> </w:t>
      </w:r>
      <m:oMath>
        <m:r>
          <m:t>n</m:t>
        </m:r>
      </m:oMath>
      <w:r>
        <w:t xml:space="preserve">; use them when random-number generation dominates.</w:t>
      </w:r>
    </w:p>
    <w:bookmarkEnd w:id="2031"/>
    <w:bookmarkStart w:id="2032" w:name="code-example-and-measured-validation-1"/>
    <w:p>
      <w:pPr>
        <w:pStyle w:val="Heading4"/>
      </w:pPr>
      <w:r>
        <w:t xml:space="preserve">Code example and measured validation</w:t>
      </w:r>
    </w:p>
    <w:p>
      <w:pPr>
        <w:pStyle w:val="SourceCode"/>
      </w:pPr>
      <w:r>
        <w:rPr>
          <w:rStyle w:val="ImportTok"/>
        </w:rPr>
        <w:t xml:space="preserve">import</w:t>
      </w:r>
      <w:r>
        <w:rPr>
          <w:rStyle w:val="NormalTok"/>
        </w:rPr>
        <w:t xml:space="preserve"> math</w:t>
      </w:r>
      <w:r>
        <w:br/>
      </w:r>
      <w:r>
        <w:rPr>
          <w:rStyle w:val="ImportTok"/>
        </w:rPr>
        <w:t xml:space="preserve">import</w:t>
      </w:r>
      <w:r>
        <w:rPr>
          <w:rStyle w:val="NormalTok"/>
        </w:rPr>
        <w:t xml:space="preserve"> random</w:t>
      </w:r>
      <w:r>
        <w:br/>
      </w:r>
      <w:r>
        <w:rPr>
          <w:rStyle w:val="ImportTok"/>
        </w:rPr>
        <w:t xml:space="preserve">from</w:t>
      </w:r>
      <w:r>
        <w:rPr>
          <w:rStyle w:val="NormalTok"/>
        </w:rPr>
        <w:t xml:space="preserve"> collections </w:t>
      </w:r>
      <w:r>
        <w:rPr>
          <w:rStyle w:val="ImportTok"/>
        </w:rPr>
        <w:t xml:space="preserve">import</w:t>
      </w:r>
      <w:r>
        <w:rPr>
          <w:rStyle w:val="NormalTok"/>
        </w:rPr>
        <w:t xml:space="preserve"> Counter</w:t>
      </w:r>
      <w:r>
        <w:br/>
      </w:r>
      <w:r>
        <w:br/>
      </w:r>
      <w:r>
        <w:rPr>
          <w:rStyle w:val="KeywordTok"/>
        </w:rPr>
        <w:t xml:space="preserve">def</w:t>
      </w:r>
      <w:r>
        <w:rPr>
          <w:rStyle w:val="NormalTok"/>
        </w:rPr>
        <w:t xml:space="preserve"> reservoir_sample(stream, k, rng</w:t>
      </w:r>
      <w:r>
        <w:rPr>
          <w:rStyle w:val="OperatorTok"/>
        </w:rPr>
        <w:t xml:space="preserve">=</w:t>
      </w:r>
      <w:r>
        <w:rPr>
          <w:rStyle w:val="NormalTok"/>
        </w:rPr>
        <w:t xml:space="preserve">random):</w:t>
      </w:r>
      <w:r>
        <w:br/>
      </w:r>
      <w:r>
        <w:rPr>
          <w:rStyle w:val="NormalTok"/>
        </w:rPr>
        <w:t xml:space="preserve">    </w:t>
      </w:r>
      <w:r>
        <w:rPr>
          <w:rStyle w:val="CommentTok"/>
        </w:rPr>
        <w:t xml:space="preserve">"""Algorithm R: a uniform sample of k items from a stream of unknown length, in O(k) memory."""</w:t>
      </w:r>
      <w:r>
        <w:br/>
      </w:r>
      <w:r>
        <w:rPr>
          <w:rStyle w:val="NormalTok"/>
        </w:rPr>
        <w:t xml:space="preserve">    reservoir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 item </w:t>
      </w:r>
      <w:r>
        <w:rPr>
          <w:rStyle w:val="KeywordTok"/>
        </w:rPr>
        <w:t xml:space="preserve">in</w:t>
      </w:r>
      <w:r>
        <w:rPr>
          <w:rStyle w:val="NormalTok"/>
        </w:rPr>
        <w:t xml:space="preserve"> </w:t>
      </w:r>
      <w:r>
        <w:rPr>
          <w:rStyle w:val="BuiltInTok"/>
        </w:rPr>
        <w:t xml:space="preserve">enumerate</w:t>
      </w:r>
      <w:r>
        <w:rPr>
          <w:rStyle w:val="NormalTok"/>
        </w:rPr>
        <w:t xml:space="preserve">(stream, start</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n </w:t>
      </w:r>
      <w:r>
        <w:rPr>
          <w:rStyle w:val="OperatorTok"/>
        </w:rPr>
        <w:t xml:space="preserve">&lt;=</w:t>
      </w:r>
      <w:r>
        <w:rPr>
          <w:rStyle w:val="NormalTok"/>
        </w:rPr>
        <w:t xml:space="preserve"> k:</w:t>
      </w:r>
      <w:r>
        <w:br/>
      </w:r>
      <w:r>
        <w:rPr>
          <w:rStyle w:val="NormalTok"/>
        </w:rPr>
        <w:t xml:space="preserve">            reservoir.append(item)                     </w:t>
      </w:r>
      <w:r>
        <w:rPr>
          <w:rStyle w:val="CommentTok"/>
        </w:rPr>
        <w:t xml:space="preserve"># fill the reservoir first</w:t>
      </w:r>
      <w:r>
        <w:br/>
      </w:r>
      <w:r>
        <w:rPr>
          <w:rStyle w:val="NormalTok"/>
        </w:rPr>
        <w:t xml:space="preserve">        </w:t>
      </w:r>
      <w:r>
        <w:rPr>
          <w:rStyle w:val="ControlFlowTok"/>
        </w:rPr>
        <w:t xml:space="preserve">else</w:t>
      </w:r>
      <w:r>
        <w:rPr>
          <w:rStyle w:val="NormalTok"/>
        </w:rPr>
        <w:t xml:space="preserve">:</w:t>
      </w:r>
      <w:r>
        <w:br/>
      </w:r>
      <w:r>
        <w:rPr>
          <w:rStyle w:val="NormalTok"/>
        </w:rPr>
        <w:t xml:space="preserve">            j </w:t>
      </w:r>
      <w:r>
        <w:rPr>
          <w:rStyle w:val="OperatorTok"/>
        </w:rPr>
        <w:t xml:space="preserve">=</w:t>
      </w:r>
      <w:r>
        <w:rPr>
          <w:rStyle w:val="NormalTok"/>
        </w:rPr>
        <w:t xml:space="preserve"> rng.randrange(n)                       </w:t>
      </w:r>
      <w:r>
        <w:rPr>
          <w:rStyle w:val="CommentTok"/>
        </w:rPr>
        <w:t xml:space="preserve"># uniform in [0, n)</w:t>
      </w:r>
      <w:r>
        <w:br/>
      </w:r>
      <w:r>
        <w:rPr>
          <w:rStyle w:val="NormalTok"/>
        </w:rPr>
        <w:t xml:space="preserve">            </w:t>
      </w:r>
      <w:r>
        <w:rPr>
          <w:rStyle w:val="ControlFlowTok"/>
        </w:rPr>
        <w:t xml:space="preserve">if</w:t>
      </w:r>
      <w:r>
        <w:rPr>
          <w:rStyle w:val="NormalTok"/>
        </w:rPr>
        <w:t xml:space="preserve"> j </w:t>
      </w:r>
      <w:r>
        <w:rPr>
          <w:rStyle w:val="OperatorTok"/>
        </w:rPr>
        <w:t xml:space="preserve">&lt;</w:t>
      </w:r>
      <w:r>
        <w:rPr>
          <w:rStyle w:val="NormalTok"/>
        </w:rPr>
        <w:t xml:space="preserve"> k:                                  </w:t>
      </w:r>
      <w:r>
        <w:rPr>
          <w:rStyle w:val="CommentTok"/>
        </w:rPr>
        <w:t xml:space="preserve"># happens with probability k / n</w:t>
      </w:r>
      <w:r>
        <w:br/>
      </w:r>
      <w:r>
        <w:rPr>
          <w:rStyle w:val="NormalTok"/>
        </w:rPr>
        <w:t xml:space="preserve">                reservoir[j] </w:t>
      </w:r>
      <w:r>
        <w:rPr>
          <w:rStyle w:val="OperatorTok"/>
        </w:rPr>
        <w:t xml:space="preserve">=</w:t>
      </w:r>
      <w:r>
        <w:rPr>
          <w:rStyle w:val="NormalTok"/>
        </w:rPr>
        <w:t xml:space="preserve"> item                    </w:t>
      </w:r>
      <w:r>
        <w:rPr>
          <w:rStyle w:val="CommentTok"/>
        </w:rPr>
        <w:t xml:space="preserve"># evict a uniformly chosen resident</w:t>
      </w:r>
      <w:r>
        <w:br/>
      </w:r>
      <w:r>
        <w:rPr>
          <w:rStyle w:val="NormalTok"/>
        </w:rPr>
        <w:t xml:space="preserve">    </w:t>
      </w:r>
      <w:r>
        <w:rPr>
          <w:rStyle w:val="ControlFlowTok"/>
        </w:rPr>
        <w:t xml:space="preserve">return</w:t>
      </w:r>
      <w:r>
        <w:rPr>
          <w:rStyle w:val="NormalTok"/>
        </w:rPr>
        <w:t xml:space="preserve"> reservoir</w:t>
      </w:r>
      <w:r>
        <w:br/>
      </w:r>
      <w:r>
        <w:br/>
      </w:r>
      <w:r>
        <w:rPr>
          <w:rStyle w:val="KeywordTok"/>
        </w:rPr>
        <w:t xml:space="preserve">def</w:t>
      </w:r>
      <w:r>
        <w:rPr>
          <w:rStyle w:val="NormalTok"/>
        </w:rPr>
        <w:t xml:space="preserve"> reservoir_sample_skip(stream, k, rng</w:t>
      </w:r>
      <w:r>
        <w:rPr>
          <w:rStyle w:val="OperatorTok"/>
        </w:rPr>
        <w:t xml:space="preserve">=</w:t>
      </w:r>
      <w:r>
        <w:rPr>
          <w:rStyle w:val="NormalTok"/>
        </w:rPr>
        <w:t xml:space="preserve">random):</w:t>
      </w:r>
      <w:r>
        <w:br/>
      </w:r>
      <w:r>
        <w:rPr>
          <w:rStyle w:val="NormalTok"/>
        </w:rPr>
        <w:t xml:space="preserve">    </w:t>
      </w:r>
      <w:r>
        <w:rPr>
          <w:rStyle w:val="CommentTok"/>
        </w:rPr>
        <w:t xml:space="preserve">"""Algorithm L (Li 1994): same distribution, but jumps over items, so it draws</w:t>
      </w:r>
      <w:r>
        <w:br/>
      </w:r>
      <w:r>
        <w:rPr>
          <w:rStyle w:val="CommentTok"/>
        </w:rPr>
        <w:t xml:space="preserve">    O(k log(n/k)) random numbers instead of n."""</w:t>
      </w:r>
      <w:r>
        <w:br/>
      </w:r>
      <w:r>
        <w:rPr>
          <w:rStyle w:val="NormalTok"/>
        </w:rPr>
        <w:t xml:space="preserve">    it </w:t>
      </w:r>
      <w:r>
        <w:rPr>
          <w:rStyle w:val="OperatorTok"/>
        </w:rPr>
        <w:t xml:space="preserve">=</w:t>
      </w:r>
      <w:r>
        <w:rPr>
          <w:rStyle w:val="NormalTok"/>
        </w:rPr>
        <w:t xml:space="preserve"> </w:t>
      </w:r>
      <w:r>
        <w:rPr>
          <w:rStyle w:val="BuiltInTok"/>
        </w:rPr>
        <w:t xml:space="preserve">iter</w:t>
      </w:r>
      <w:r>
        <w:rPr>
          <w:rStyle w:val="NormalTok"/>
        </w:rPr>
        <w:t xml:space="preserve">(stream)</w:t>
      </w:r>
      <w:r>
        <w:br/>
      </w:r>
      <w:r>
        <w:rPr>
          <w:rStyle w:val="NormalTok"/>
        </w:rPr>
        <w:t xml:space="preserve">    reservoir </w:t>
      </w:r>
      <w:r>
        <w:rPr>
          <w:rStyle w:val="OperatorTok"/>
        </w:rPr>
        <w:t xml:space="preserve">=</w:t>
      </w:r>
      <w:r>
        <w:rPr>
          <w:rStyle w:val="NormalTok"/>
        </w:rPr>
        <w:t xml:space="preserve"> [x </w:t>
      </w:r>
      <w:r>
        <w:rPr>
          <w:rStyle w:val="ControlFlowTok"/>
        </w:rPr>
        <w:t xml:space="preserve">for</w:t>
      </w:r>
      <w:r>
        <w:rPr>
          <w:rStyle w:val="NormalTok"/>
        </w:rPr>
        <w:t xml:space="preserve"> _, x </w:t>
      </w:r>
      <w:r>
        <w:rPr>
          <w:rStyle w:val="KeywordTok"/>
        </w:rPr>
        <w:t xml:space="preserve">in</w:t>
      </w:r>
      <w:r>
        <w:rPr>
          <w:rStyle w:val="NormalTok"/>
        </w:rPr>
        <w:t xml:space="preserve"> </w:t>
      </w:r>
      <w:r>
        <w:rPr>
          <w:rStyle w:val="BuiltInTok"/>
        </w:rPr>
        <w:t xml:space="preserve">zip</w:t>
      </w:r>
      <w:r>
        <w:rPr>
          <w:rStyle w:val="NormalTok"/>
        </w:rPr>
        <w:t xml:space="preserve">(</w:t>
      </w:r>
      <w:r>
        <w:rPr>
          <w:rStyle w:val="BuiltInTok"/>
        </w:rPr>
        <w:t xml:space="preserve">range</w:t>
      </w:r>
      <w:r>
        <w:rPr>
          <w:rStyle w:val="NormalTok"/>
        </w:rPr>
        <w:t xml:space="preserve">(k), it)]</w:t>
      </w:r>
      <w:r>
        <w:br/>
      </w:r>
      <w:r>
        <w:rPr>
          <w:rStyle w:val="NormalTok"/>
        </w:rPr>
        <w:t xml:space="preserve">    w </w:t>
      </w:r>
      <w:r>
        <w:rPr>
          <w:rStyle w:val="OperatorTok"/>
        </w:rPr>
        <w:t xml:space="preserve">=</w:t>
      </w:r>
      <w:r>
        <w:rPr>
          <w:rStyle w:val="NormalTok"/>
        </w:rPr>
        <w:t xml:space="preserve"> math.exp(math.log(rng.random()) </w:t>
      </w:r>
      <w:r>
        <w:rPr>
          <w:rStyle w:val="OperatorTok"/>
        </w:rPr>
        <w:t xml:space="preserve">/</w:t>
      </w:r>
      <w:r>
        <w:rPr>
          <w:rStyle w:val="NormalTok"/>
        </w:rPr>
        <w:t xml:space="preserve"> k)</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skip </w:t>
      </w:r>
      <w:r>
        <w:rPr>
          <w:rStyle w:val="OperatorTok"/>
        </w:rPr>
        <w:t xml:space="preserve">=</w:t>
      </w:r>
      <w:r>
        <w:rPr>
          <w:rStyle w:val="NormalTok"/>
        </w:rPr>
        <w:t xml:space="preserve"> math.floor(math.log(rng.random()) </w:t>
      </w:r>
      <w:r>
        <w:rPr>
          <w:rStyle w:val="OperatorTok"/>
        </w:rPr>
        <w:t xml:space="preserve">/</w:t>
      </w:r>
      <w:r>
        <w:rPr>
          <w:rStyle w:val="NormalTok"/>
        </w:rPr>
        <w:t xml:space="preserve"> math.log(</w:t>
      </w:r>
      <w:r>
        <w:rPr>
          <w:rStyle w:val="DecValTok"/>
        </w:rPr>
        <w:t xml:space="preserve">1</w:t>
      </w:r>
      <w:r>
        <w:rPr>
          <w:rStyle w:val="NormalTok"/>
        </w:rPr>
        <w:t xml:space="preserve"> </w:t>
      </w:r>
      <w:r>
        <w:rPr>
          <w:rStyle w:val="OperatorTok"/>
        </w:rPr>
        <w:t xml:space="preserve">-</w:t>
      </w:r>
      <w:r>
        <w:rPr>
          <w:rStyle w:val="NormalTok"/>
        </w:rPr>
        <w:t xml:space="preserve"> w))</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(skip):                          </w:t>
      </w:r>
      <w:r>
        <w:rPr>
          <w:rStyle w:val="CommentTok"/>
        </w:rPr>
        <w:t xml:space="preserve"># discard without drawing randomness</w:t>
      </w:r>
      <w:r>
        <w:br/>
      </w:r>
      <w:r>
        <w:rPr>
          <w:rStyle w:val="NormalTok"/>
        </w:rPr>
        <w:t xml:space="preserve">            </w:t>
      </w:r>
      <w:r>
        <w:rPr>
          <w:rStyle w:val="ControlFlowTok"/>
        </w:rPr>
        <w:t xml:space="preserve">if</w:t>
      </w:r>
      <w:r>
        <w:rPr>
          <w:rStyle w:val="NormalTok"/>
        </w:rPr>
        <w:t xml:space="preserve"> </w:t>
      </w:r>
      <w:r>
        <w:rPr>
          <w:rStyle w:val="BuiltInTok"/>
        </w:rPr>
        <w:t xml:space="preserve">next</w:t>
      </w:r>
      <w:r>
        <w:rPr>
          <w:rStyle w:val="NormalTok"/>
        </w:rPr>
        <w:t xml:space="preserve">(it, </w:t>
      </w:r>
      <w:r>
        <w:rPr>
          <w:rStyle w:val="VariableTok"/>
        </w:rPr>
        <w:t xml:space="preserve">None</w:t>
      </w:r>
      <w:r>
        <w:rPr>
          <w:rStyle w:val="NormalTok"/>
        </w:rPr>
        <w:t xml:space="preserv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reservoir</w:t>
      </w:r>
      <w:r>
        <w:br/>
      </w:r>
      <w:r>
        <w:rPr>
          <w:rStyle w:val="NormalTok"/>
        </w:rPr>
        <w:t xml:space="preserve">        item </w:t>
      </w:r>
      <w:r>
        <w:rPr>
          <w:rStyle w:val="OperatorTok"/>
        </w:rPr>
        <w:t xml:space="preserve">=</w:t>
      </w:r>
      <w:r>
        <w:rPr>
          <w:rStyle w:val="NormalTok"/>
        </w:rPr>
        <w:t xml:space="preserve"> </w:t>
      </w:r>
      <w:r>
        <w:rPr>
          <w:rStyle w:val="BuiltInTok"/>
        </w:rPr>
        <w:t xml:space="preserve">next</w:t>
      </w:r>
      <w:r>
        <w:rPr>
          <w:rStyle w:val="NormalTok"/>
        </w:rPr>
        <w:t xml:space="preserve">(it,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item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reservoir</w:t>
      </w:r>
      <w:r>
        <w:br/>
      </w:r>
      <w:r>
        <w:rPr>
          <w:rStyle w:val="NormalTok"/>
        </w:rPr>
        <w:t xml:space="preserve">        reservoir[rng.randrange(k)] </w:t>
      </w:r>
      <w:r>
        <w:rPr>
          <w:rStyle w:val="OperatorTok"/>
        </w:rPr>
        <w:t xml:space="preserve">=</w:t>
      </w:r>
      <w:r>
        <w:rPr>
          <w:rStyle w:val="NormalTok"/>
        </w:rPr>
        <w:t xml:space="preserve"> item</w:t>
      </w:r>
      <w:r>
        <w:br/>
      </w:r>
      <w:r>
        <w:rPr>
          <w:rStyle w:val="NormalTok"/>
        </w:rPr>
        <w:t xml:space="preserve">        w </w:t>
      </w:r>
      <w:r>
        <w:rPr>
          <w:rStyle w:val="OperatorTok"/>
        </w:rPr>
        <w:t xml:space="preserve">*=</w:t>
      </w:r>
      <w:r>
        <w:rPr>
          <w:rStyle w:val="NormalTok"/>
        </w:rPr>
        <w:t xml:space="preserve"> math.exp(math.log(rng.random()) </w:t>
      </w:r>
      <w:r>
        <w:rPr>
          <w:rStyle w:val="OperatorTok"/>
        </w:rPr>
        <w:t xml:space="preserve">/</w:t>
      </w:r>
      <w:r>
        <w:rPr>
          <w:rStyle w:val="NormalTok"/>
        </w:rPr>
        <w:t xml:space="preserve"> k)</w:t>
      </w:r>
      <w:r>
        <w:br/>
      </w:r>
      <w:r>
        <w:br/>
      </w:r>
      <w:r>
        <w:rPr>
          <w:rStyle w:val="CommentTok"/>
        </w:rPr>
        <w:t xml:space="preserve"># Validate uniformity: every one of n = 1,000 items should be chosen with probability k/n = 0.01</w:t>
      </w:r>
      <w:r>
        <w:br/>
      </w:r>
      <w:r>
        <w:rPr>
          <w:rStyle w:val="NormalTok"/>
        </w:rPr>
        <w:t xml:space="preserve">n, k, trials </w:t>
      </w:r>
      <w:r>
        <w:rPr>
          <w:rStyle w:val="OperatorTok"/>
        </w:rPr>
        <w:t xml:space="preserve">=</w:t>
      </w:r>
      <w:r>
        <w:rPr>
          <w:rStyle w:val="NormalTok"/>
        </w:rPr>
        <w:t xml:space="preserve"> </w:t>
      </w:r>
      <w:r>
        <w:rPr>
          <w:rStyle w:val="DecValTok"/>
        </w:rPr>
        <w:t xml:space="preserve">1_000</w:t>
      </w:r>
      <w:r>
        <w:rPr>
          <w:rStyle w:val="NormalTok"/>
        </w:rPr>
        <w:t xml:space="preserve">, </w:t>
      </w:r>
      <w:r>
        <w:rPr>
          <w:rStyle w:val="DecValTok"/>
        </w:rPr>
        <w:t xml:space="preserve">10</w:t>
      </w:r>
      <w:r>
        <w:rPr>
          <w:rStyle w:val="NormalTok"/>
        </w:rPr>
        <w:t xml:space="preserve">, </w:t>
      </w:r>
      <w:r>
        <w:rPr>
          <w:rStyle w:val="DecValTok"/>
        </w:rPr>
        <w:t xml:space="preserve">50_000</w:t>
      </w:r>
      <w:r>
        <w:br/>
      </w:r>
      <w:r>
        <w:rPr>
          <w:rStyle w:val="NormalTok"/>
        </w:rPr>
        <w:t xml:space="preserve">rng </w:t>
      </w:r>
      <w:r>
        <w:rPr>
          <w:rStyle w:val="OperatorTok"/>
        </w:rPr>
        <w:t xml:space="preserve">=</w:t>
      </w:r>
      <w:r>
        <w:rPr>
          <w:rStyle w:val="NormalTok"/>
        </w:rPr>
        <w:t xml:space="preserve"> random.Random(</w:t>
      </w:r>
      <w:r>
        <w:rPr>
          <w:rStyle w:val="DecValTok"/>
        </w:rPr>
        <w:t xml:space="preserve">5</w:t>
      </w:r>
      <w:r>
        <w:rPr>
          <w:rStyle w:val="NormalTok"/>
        </w:rPr>
        <w:t xml:space="preserve">)</w:t>
      </w:r>
      <w:r>
        <w:br/>
      </w:r>
      <w:r>
        <w:rPr>
          <w:rStyle w:val="ControlFlowTok"/>
        </w:rPr>
        <w:t xml:space="preserve">for</w:t>
      </w:r>
      <w:r>
        <w:rPr>
          <w:rStyle w:val="NormalTok"/>
        </w:rPr>
        <w:t xml:space="preserve"> name, fn </w:t>
      </w:r>
      <w:r>
        <w:rPr>
          <w:rStyle w:val="KeywordTok"/>
        </w:rPr>
        <w:t xml:space="preserve">in</w:t>
      </w:r>
      <w:r>
        <w:rPr>
          <w:rStyle w:val="NormalTok"/>
        </w:rPr>
        <w:t xml:space="preserve"> ((</w:t>
      </w:r>
      <w:r>
        <w:rPr>
          <w:rStyle w:val="StringTok"/>
        </w:rPr>
        <w:t xml:space="preserve">"Algorithm R"</w:t>
      </w:r>
      <w:r>
        <w:rPr>
          <w:rStyle w:val="NormalTok"/>
        </w:rPr>
        <w:t xml:space="preserve">, reservoir_sample), (</w:t>
      </w:r>
      <w:r>
        <w:rPr>
          <w:rStyle w:val="StringTok"/>
        </w:rPr>
        <w:t xml:space="preserve">"Algorithm L"</w:t>
      </w:r>
      <w:r>
        <w:rPr>
          <w:rStyle w:val="NormalTok"/>
        </w:rPr>
        <w:t xml:space="preserve">, reservoir_sample_skip)):</w:t>
      </w:r>
      <w:r>
        <w:br/>
      </w:r>
      <w:r>
        <w:rPr>
          <w:rStyle w:val="NormalTok"/>
        </w:rPr>
        <w:t xml:space="preserve">    counts </w:t>
      </w:r>
      <w:r>
        <w:rPr>
          <w:rStyle w:val="OperatorTok"/>
        </w:rPr>
        <w:t xml:space="preserve">=</w:t>
      </w:r>
      <w:r>
        <w:rPr>
          <w:rStyle w:val="NormalTok"/>
        </w:rPr>
        <w:t xml:space="preserve"> Counter()</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(trials):</w:t>
      </w:r>
      <w:r>
        <w:br/>
      </w:r>
      <w:r>
        <w:rPr>
          <w:rStyle w:val="NormalTok"/>
        </w:rPr>
        <w:t xml:space="preserve">        counts.update(fn(</w:t>
      </w:r>
      <w:r>
        <w:rPr>
          <w:rStyle w:val="BuiltInTok"/>
        </w:rPr>
        <w:t xml:space="preserve">range</w:t>
      </w:r>
      <w:r>
        <w:rPr>
          <w:rStyle w:val="NormalTok"/>
        </w:rPr>
        <w:t xml:space="preserve">(n), k, rng))</w:t>
      </w:r>
      <w:r>
        <w:br/>
      </w:r>
      <w:r>
        <w:rPr>
          <w:rStyle w:val="NormalTok"/>
        </w:rPr>
        <w:t xml:space="preserve">    freqs </w:t>
      </w:r>
      <w:r>
        <w:rPr>
          <w:rStyle w:val="OperatorTok"/>
        </w:rPr>
        <w:t xml:space="preserve">=</w:t>
      </w:r>
      <w:r>
        <w:rPr>
          <w:rStyle w:val="NormalTok"/>
        </w:rPr>
        <w:t xml:space="preserve"> [counts[i] </w:t>
      </w:r>
      <w:r>
        <w:rPr>
          <w:rStyle w:val="OperatorTok"/>
        </w:rPr>
        <w:t xml:space="preserve">/</w:t>
      </w:r>
      <w:r>
        <w:rPr>
          <w:rStyle w:val="NormalTok"/>
        </w:rPr>
        <w:t xml:space="preserve"> trials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expected </w:t>
      </w:r>
      <w:r>
        <w:rPr>
          <w:rStyle w:val="OperatorTok"/>
        </w:rPr>
        <w:t xml:space="preserve">=</w:t>
      </w:r>
      <w:r>
        <w:rPr>
          <w:rStyle w:val="NormalTok"/>
        </w:rPr>
        <w:t xml:space="preserve"> k </w:t>
      </w:r>
      <w:r>
        <w:rPr>
          <w:rStyle w:val="OperatorTok"/>
        </w:rPr>
        <w:t xml:space="preserve">*</w:t>
      </w:r>
      <w:r>
        <w:rPr>
          <w:rStyle w:val="NormalTok"/>
        </w:rPr>
        <w:t xml:space="preserve"> trials </w:t>
      </w:r>
      <w:r>
        <w:rPr>
          <w:rStyle w:val="OperatorTok"/>
        </w:rPr>
        <w:t xml:space="preserve">/</w:t>
      </w:r>
      <w:r>
        <w:rPr>
          <w:rStyle w:val="NormalTok"/>
        </w:rPr>
        <w:t xml:space="preserve"> n                          </w:t>
      </w:r>
      <w:r>
        <w:rPr>
          <w:rStyle w:val="CommentTok"/>
        </w:rPr>
        <w:t xml:space="preserve"># 500 selections per item</w:t>
      </w:r>
      <w:r>
        <w:br/>
      </w:r>
      <w:r>
        <w:rPr>
          <w:rStyle w:val="NormalTok"/>
        </w:rPr>
        <w:t xml:space="preserve">    chi2 </w:t>
      </w:r>
      <w:r>
        <w:rPr>
          <w:rStyle w:val="OperatorTok"/>
        </w:rPr>
        <w:t xml:space="preserve">=</w:t>
      </w:r>
      <w:r>
        <w:rPr>
          <w:rStyle w:val="NormalTok"/>
        </w:rPr>
        <w:t xml:space="preserve"> </w:t>
      </w:r>
      <w:r>
        <w:rPr>
          <w:rStyle w:val="BuiltInTok"/>
        </w:rPr>
        <w:t xml:space="preserve">sum</w:t>
      </w:r>
      <w:r>
        <w:rPr>
          <w:rStyle w:val="NormalTok"/>
        </w:rPr>
        <w:t xml:space="preserve">((counts[i] </w:t>
      </w:r>
      <w:r>
        <w:rPr>
          <w:rStyle w:val="OperatorTok"/>
        </w:rPr>
        <w:t xml:space="preserve">-</w:t>
      </w:r>
      <w:r>
        <w:rPr>
          <w:rStyle w:val="NormalTok"/>
        </w:rPr>
        <w:t xml:space="preserve"> expected)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expected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inclusion prob. min </w:t>
      </w:r>
      <w:r>
        <w:rPr>
          <w:rStyle w:val="SpecialCharTok"/>
        </w:rPr>
        <w:t xml:space="preserve">{</w:t>
      </w:r>
      <w:r>
        <w:rPr>
          <w:rStyle w:val="BuiltInTok"/>
        </w:rPr>
        <w:t xml:space="preserve">min</w:t>
      </w:r>
      <w:r>
        <w:rPr>
          <w:rStyle w:val="NormalTok"/>
        </w:rPr>
        <w:t xml:space="preserve">(freqs)</w:t>
      </w:r>
      <w:r>
        <w:rPr>
          <w:rStyle w:val="SpecialCharTok"/>
        </w:rPr>
        <w:t xml:space="preserve">:.4f}</w:t>
      </w:r>
      <w:r>
        <w:rPr>
          <w:rStyle w:val="SpecialStringTok"/>
        </w:rPr>
        <w:t xml:space="preserve">  max </w:t>
      </w:r>
      <w:r>
        <w:rPr>
          <w:rStyle w:val="SpecialCharTok"/>
        </w:rPr>
        <w:t xml:space="preserve">{</w:t>
      </w:r>
      <w:r>
        <w:rPr>
          <w:rStyle w:val="BuiltInTok"/>
        </w:rPr>
        <w:t xml:space="preserve">max</w:t>
      </w:r>
      <w:r>
        <w:rPr>
          <w:rStyle w:val="NormalTok"/>
        </w:rPr>
        <w:t xml:space="preserve">(freqs)</w:t>
      </w:r>
      <w:r>
        <w:rPr>
          <w:rStyle w:val="SpecialCharTok"/>
        </w:rPr>
        <w:t xml:space="preserve">:.4f}</w:t>
      </w:r>
      <w:r>
        <w:rPr>
          <w:rStyle w:val="SpecialStringTok"/>
        </w:rPr>
        <w:t xml:space="preserve">  "</w:t>
      </w:r>
      <w:r>
        <w:br/>
      </w:r>
      <w:r>
        <w:rPr>
          <w:rStyle w:val="NormalTok"/>
        </w:rPr>
        <w:t xml:space="preserve">          </w:t>
      </w:r>
      <w:r>
        <w:rPr>
          <w:rStyle w:val="SpecialStringTok"/>
        </w:rPr>
        <w:t xml:space="preserve">f"(target </w:t>
      </w:r>
      <w:r>
        <w:rPr>
          <w:rStyle w:val="SpecialCharTok"/>
        </w:rPr>
        <w:t xml:space="preserve">{</w:t>
      </w:r>
      <w:r>
        <w:rPr>
          <w:rStyle w:val="NormalTok"/>
        </w:rPr>
        <w:t xml:space="preserve">k </w:t>
      </w:r>
      <w:r>
        <w:rPr>
          <w:rStyle w:val="OperatorTok"/>
        </w:rPr>
        <w:t xml:space="preserve">/</w:t>
      </w:r>
      <w:r>
        <w:rPr>
          <w:rStyle w:val="NormalTok"/>
        </w:rPr>
        <w:t xml:space="preserve"> n</w:t>
      </w:r>
      <w:r>
        <w:rPr>
          <w:rStyle w:val="SpecialCharTok"/>
        </w:rPr>
        <w:t xml:space="preserve">:.4f}</w:t>
      </w:r>
      <w:r>
        <w:rPr>
          <w:rStyle w:val="SpecialStringTok"/>
        </w:rPr>
        <w:t xml:space="preserve">); first decile </w:t>
      </w:r>
      <w:r>
        <w:rPr>
          <w:rStyle w:val="SpecialCharTok"/>
        </w:rPr>
        <w:t xml:space="preserve">{</w:t>
      </w:r>
      <w:r>
        <w:rPr>
          <w:rStyle w:val="BuiltInTok"/>
        </w:rPr>
        <w:t xml:space="preserve">sum</w:t>
      </w:r>
      <w:r>
        <w:rPr>
          <w:rStyle w:val="NormalTok"/>
        </w:rPr>
        <w:t xml:space="preserve">(freqs[:</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100</w:t>
      </w:r>
      <w:r>
        <w:rPr>
          <w:rStyle w:val="SpecialCharTok"/>
        </w:rPr>
        <w:t xml:space="preserve">:.4f}</w:t>
      </w:r>
      <w:r>
        <w:rPr>
          <w:rStyle w:val="SpecialStringTok"/>
        </w:rPr>
        <w:t xml:space="preserve">, "</w:t>
      </w:r>
      <w:r>
        <w:br/>
      </w:r>
      <w:r>
        <w:rPr>
          <w:rStyle w:val="NormalTok"/>
        </w:rPr>
        <w:t xml:space="preserve">          </w:t>
      </w:r>
      <w:r>
        <w:rPr>
          <w:rStyle w:val="SpecialStringTok"/>
        </w:rPr>
        <w:t xml:space="preserve">f"last decile </w:t>
      </w:r>
      <w:r>
        <w:rPr>
          <w:rStyle w:val="SpecialCharTok"/>
        </w:rPr>
        <w:t xml:space="preserve">{</w:t>
      </w:r>
      <w:r>
        <w:rPr>
          <w:rStyle w:val="BuiltInTok"/>
        </w:rPr>
        <w:t xml:space="preserve">sum</w:t>
      </w:r>
      <w:r>
        <w:rPr>
          <w:rStyle w:val="NormalTok"/>
        </w:rPr>
        <w:t xml:space="preserve">(freqs[</w:t>
      </w:r>
      <w:r>
        <w:rPr>
          <w:rStyle w:val="OperatorTok"/>
        </w:rPr>
        <w:t xml:space="preserve">-</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100</w:t>
      </w:r>
      <w:r>
        <w:rPr>
          <w:rStyle w:val="SpecialCharTok"/>
        </w:rPr>
        <w:t xml:space="preserve">:.4f}</w:t>
      </w:r>
      <w:r>
        <w:rPr>
          <w:rStyle w:val="SpecialStringTok"/>
        </w:rPr>
        <w:t xml:space="preserve">; chi-square </w:t>
      </w:r>
      <w:r>
        <w:rPr>
          <w:rStyle w:val="SpecialCharTok"/>
        </w:rPr>
        <w:t xml:space="preserve">{</w:t>
      </w:r>
      <w:r>
        <w:rPr>
          <w:rStyle w:val="NormalTok"/>
        </w:rPr>
        <w:t xml:space="preserve">chi2</w:t>
      </w:r>
      <w:r>
        <w:rPr>
          <w:rStyle w:val="SpecialCharTok"/>
        </w:rPr>
        <w:t xml:space="preserve">:.0f}</w:t>
      </w:r>
      <w:r>
        <w:rPr>
          <w:rStyle w:val="SpecialStringTok"/>
        </w:rPr>
        <w:t xml:space="preserve"> on </w:t>
      </w:r>
      <w:r>
        <w:rPr>
          <w:rStyle w:val="SpecialCharTok"/>
        </w:rPr>
        <w:t xml:space="preserve">{</w:t>
      </w:r>
      <w:r>
        <w:rPr>
          <w:rStyle w:val="NormalTok"/>
        </w:rPr>
        <w:t xml:space="preserve">n </w:t>
      </w:r>
      <w:r>
        <w:rPr>
          <w:rStyle w:val="OperatorTok"/>
        </w:rPr>
        <w:t xml:space="preserve">-</w:t>
      </w:r>
      <w:r>
        <w:rPr>
          <w:rStyle w:val="NormalTok"/>
        </w:rPr>
        <w:t xml:space="preserve"> </w:t>
      </w:r>
      <w:r>
        <w:rPr>
          <w:rStyle w:val="DecValTok"/>
        </w:rPr>
        <w:t xml:space="preserve">1</w:t>
      </w:r>
      <w:r>
        <w:rPr>
          <w:rStyle w:val="SpecialCharTok"/>
        </w:rPr>
        <w:t xml:space="preserve">}</w:t>
      </w:r>
      <w:r>
        <w:rPr>
          <w:rStyle w:val="SpecialStringTok"/>
        </w:rPr>
        <w:t xml:space="preserve"> dof"</w:t>
      </w:r>
      <w:r>
        <w:rPr>
          <w:rStyle w:val="NormalTok"/>
        </w:rPr>
        <w:t xml:space="preserve">)</w:t>
      </w:r>
    </w:p>
    <w:p>
      <w:pPr>
        <w:pStyle w:val="FirstParagraph"/>
      </w:pPr>
      <w:r>
        <w:t xml:space="preserve">Output:</w:t>
      </w:r>
    </w:p>
    <w:p>
      <w:pPr>
        <w:pStyle w:val="SourceCode"/>
      </w:pPr>
      <w:r>
        <w:rPr>
          <w:rStyle w:val="VerbatimChar"/>
        </w:rPr>
        <w:t xml:space="preserve">Algorithm R: inclusion prob. min 0.0087  max 0.0115  (target 0.0100); first decile 0.0100, last decile 0.0100; chi-square 957 on 999 dof</w:t>
      </w:r>
      <w:r>
        <w:br/>
      </w:r>
      <w:r>
        <w:rPr>
          <w:rStyle w:val="VerbatimChar"/>
        </w:rPr>
        <w:t xml:space="preserve">Algorithm L: inclusion prob. min 0.0087  max 0.0113  (target 0.0100); first decile 0.0100, last decile 0.0100; chi-square 969 on 999 dof</w:t>
      </w:r>
    </w:p>
    <w:p>
      <w:pPr>
        <w:pStyle w:val="FirstParagraph"/>
      </w:pPr>
      <w:r>
        <w:t xml:space="preserve">What to notice: early and late items are equally likely to be chosen (first and last deciles both 0.0100), and the chi-square statistics (957 and 969 on 999 degrees of freedom) are what a uniform sample produces. The spread from 0.0087 to 0.0115 is ordinary sampling noise over 50,000 trials. The skip-based Algorithm L produces the same distribution with far fewer random draws. (The</w:t>
      </w:r>
      <w:r>
        <w:t xml:space="preserve"> </w:t>
      </w:r>
      <w:r>
        <w:rPr>
          <w:rStyle w:val="VerbatimChar"/>
        </w:rPr>
        <w:t xml:space="preserve">None</w:t>
      </w:r>
      <w:r>
        <w:t xml:space="preserve"> </w:t>
      </w:r>
      <w:r>
        <w:t xml:space="preserve">sentinel in this sketch assumes the stream contains no</w:t>
      </w:r>
      <w:r>
        <w:t xml:space="preserve"> </w:t>
      </w:r>
      <w:r>
        <w:rPr>
          <w:rStyle w:val="VerbatimChar"/>
        </w:rPr>
        <w:t xml:space="preserve">None</w:t>
      </w:r>
      <w:r>
        <w:t xml:space="preserve"> </w:t>
      </w:r>
      <w:r>
        <w:t xml:space="preserve">items.)</w:t>
      </w:r>
    </w:p>
    <w:p>
      <w:pPr>
        <w:pStyle w:val="BodyText"/>
      </w:pPr>
      <w:r>
        <w:t xml:space="preserve">Two extensions are common.</w:t>
      </w:r>
      <w:r>
        <w:t xml:space="preserve"> </w:t>
      </w:r>
      <w:r>
        <w:rPr>
          <w:bCs/>
          <w:b/>
        </w:rPr>
        <w:t xml:space="preserve">Weighted reservoir sampling</w:t>
      </w:r>
      <w:r>
        <w:t xml:space="preserve"> </w:t>
      </w:r>
      <w:r>
        <w:t xml:space="preserve">keeps items with probability proportional to a weight, for example to oversample slow or failed requests [Efraimidis &amp; Spirakis 2006].</w:t>
      </w:r>
      <w:r>
        <w:t xml:space="preserve"> </w:t>
      </w:r>
      <w:r>
        <w:rPr>
          <w:bCs/>
          <w:b/>
        </w:rPr>
        <w:t xml:space="preserve">Distributed reservoir sampling</w:t>
      </w:r>
      <w:r>
        <w:t xml:space="preserve"> </w:t>
      </w:r>
      <w:r>
        <w:t xml:space="preserve">tags each item with a random key and keeps the</w:t>
      </w:r>
      <w:r>
        <w:t xml:space="preserve"> </w:t>
      </w:r>
      <m:oMath>
        <m:r>
          <m:t>k</m:t>
        </m:r>
      </m:oMath>
      <w:r>
        <w:t xml:space="preserve"> </w:t>
      </w:r>
      <w:r>
        <w:t xml:space="preserve">items with the smallest keys; because</w:t>
      </w:r>
      <w:r>
        <w:t xml:space="preserve"> </w:t>
      </w:r>
      <w:r>
        <w:t xml:space="preserve">“</w:t>
      </w:r>
      <w:r>
        <w:t xml:space="preserve">smallest</w:t>
      </w:r>
      <w:r>
        <w:t xml:space="preserve"> </w:t>
      </w:r>
      <m:oMath>
        <m:r>
          <m:t>k</m:t>
        </m:r>
      </m:oMath>
      <w:r>
        <w:t xml:space="preserve"> </w:t>
      </w:r>
      <w:r>
        <w:t xml:space="preserve">keys</w:t>
      </w:r>
      <w:r>
        <w:t xml:space="preserve">”</w:t>
      </w:r>
      <w:r>
        <w:t xml:space="preserve"> </w:t>
      </w:r>
      <w:r>
        <w:t xml:space="preserve">merges across partitions, each partition samples independently and a coordinator merges the results.</w:t>
      </w:r>
    </w:p>
    <w:bookmarkEnd w:id="2032"/>
    <w:bookmarkEnd w:id="2033"/>
    <w:bookmarkStart w:id="2034" w:name="the-streaming-toolbox"/>
    <w:p>
      <w:pPr>
        <w:pStyle w:val="Heading3"/>
      </w:pPr>
      <w:r>
        <w:t xml:space="preserve">17.12.2 The streaming toolbox</w:t>
      </w:r>
    </w:p>
    <w:p>
      <w:pPr>
        <w:pStyle w:val="FirstParagraph"/>
      </w:pPr>
      <w:r>
        <w:t xml:space="preserve">Every structure in this chapter is a</w:t>
      </w:r>
      <w:r>
        <w:t xml:space="preserve"> </w:t>
      </w:r>
      <w:r>
        <w:rPr>
          <w:bCs/>
          <w:b/>
        </w:rPr>
        <w:t xml:space="preserve">streaming algorithm</w:t>
      </w:r>
      <w:r>
        <w:t xml:space="preserve">: one pass, memory far smaller than the data, and an answer whose error you can state in advance. Most are also</w:t>
      </w:r>
      <w:r>
        <w:t xml:space="preserve"> </w:t>
      </w:r>
      <w:r>
        <w:rPr>
          <w:bCs/>
          <w:b/>
        </w:rPr>
        <w:t xml:space="preserve">mergeable</w:t>
      </w:r>
      <w:r>
        <w:t xml:space="preserve">, which is what makes them fit distributed systems: compute per partition, combine centrally.</w:t>
      </w:r>
    </w:p>
    <w:p>
      <w:pPr>
        <w:pStyle w:val="BodyText"/>
      </w:pPr>
      <w:r>
        <w:rPr>
          <w:bCs/>
          <w:b/>
        </w:rPr>
        <w:t xml:space="preserve">Table 17.10 — Streaming and probabilistic structures at a glance.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Question</w:t>
            </w:r>
          </w:p>
        </w:tc>
        <w:tc>
          <w:tcPr/>
          <w:p>
            <w:pPr>
              <w:pStyle w:val="Compact"/>
              <w:jc w:val="left"/>
            </w:pPr>
            <w:r>
              <w:t xml:space="preserve">Structure</w:t>
            </w:r>
          </w:p>
        </w:tc>
        <w:tc>
          <w:tcPr/>
          <w:p>
            <w:pPr>
              <w:pStyle w:val="Compact"/>
              <w:jc w:val="left"/>
            </w:pPr>
            <w:r>
              <w:t xml:space="preserve">Memory</w:t>
            </w:r>
          </w:p>
        </w:tc>
        <w:tc>
          <w:tcPr/>
          <w:p>
            <w:pPr>
              <w:pStyle w:val="Compact"/>
              <w:jc w:val="left"/>
            </w:pPr>
            <w:r>
              <w:t xml:space="preserve">Error</w:t>
            </w:r>
          </w:p>
        </w:tc>
        <w:tc>
          <w:tcPr/>
          <w:p>
            <w:pPr>
              <w:pStyle w:val="Compact"/>
              <w:jc w:val="left"/>
            </w:pPr>
            <w:r>
              <w:t xml:space="preserve">Mergeable</w:t>
            </w:r>
          </w:p>
        </w:tc>
        <w:tc>
          <w:tcPr/>
          <w:p>
            <w:pPr>
              <w:pStyle w:val="Compact"/>
              <w:jc w:val="left"/>
            </w:pPr>
            <w:r>
              <w:t xml:space="preserve">Section</w:t>
            </w:r>
          </w:p>
        </w:tc>
      </w:tr>
      <w:tr>
        <w:tc>
          <w:tcPr/>
          <w:p>
            <w:pPr>
              <w:pStyle w:val="Compact"/>
              <w:jc w:val="left"/>
            </w:pPr>
            <w:r>
              <w:t xml:space="preserve">Have I seen</w:t>
            </w:r>
            <w:r>
              <w:t xml:space="preserve"> </w:t>
            </w:r>
            <m:oMath>
              <m:r>
                <m:t>x</m:t>
              </m:r>
            </m:oMath>
            <w:r>
              <w:t xml:space="preserve">?</w:t>
            </w:r>
          </w:p>
        </w:tc>
        <w:tc>
          <w:tcPr/>
          <w:p>
            <w:pPr>
              <w:pStyle w:val="Compact"/>
              <w:jc w:val="left"/>
            </w:pPr>
            <w:r>
              <w:t xml:space="preserve">Bloom / cuckoo filter</w:t>
            </w:r>
          </w:p>
        </w:tc>
        <w:tc>
          <w:tcPr/>
          <w:p>
            <w:pPr>
              <w:pStyle w:val="Compact"/>
              <w:jc w:val="left"/>
            </w:pPr>
            <w:r>
              <w:t xml:space="preserve">~10 bits per item at 1%</w:t>
            </w:r>
          </w:p>
        </w:tc>
        <w:tc>
          <w:tcPr/>
          <w:p>
            <w:pPr>
              <w:pStyle w:val="Compact"/>
              <w:jc w:val="left"/>
            </w:pPr>
            <w:r>
              <w:t xml:space="preserve">False positives only</w:t>
            </w:r>
          </w:p>
        </w:tc>
        <w:tc>
          <w:tcPr/>
          <w:p>
            <w:pPr>
              <w:pStyle w:val="Compact"/>
              <w:jc w:val="left"/>
            </w:pPr>
            <w:r>
              <w:t xml:space="preserve">Bloom: OR</w:t>
            </w:r>
          </w:p>
        </w:tc>
        <w:tc>
          <w:tcPr/>
          <w:p>
            <w:pPr>
              <w:pStyle w:val="Compact"/>
              <w:jc w:val="left"/>
            </w:pPr>
            <w:r>
              <w:t xml:space="preserve">§17.4</w:t>
            </w:r>
          </w:p>
        </w:tc>
      </w:tr>
      <w:tr>
        <w:tc>
          <w:tcPr/>
          <w:p>
            <w:pPr>
              <w:pStyle w:val="Compact"/>
              <w:jc w:val="left"/>
            </w:pPr>
            <w:r>
              <w:t xml:space="preserve">How many distinct items?</w:t>
            </w:r>
          </w:p>
        </w:tc>
        <w:tc>
          <w:tcPr/>
          <w:p>
            <w:pPr>
              <w:pStyle w:val="Compact"/>
              <w:jc w:val="left"/>
            </w:pPr>
            <w:r>
              <w:t xml:space="preserve">HyperLogLog</w:t>
            </w:r>
          </w:p>
        </w:tc>
        <w:tc>
          <w:tcPr/>
          <w:p>
            <w:pPr>
              <w:pStyle w:val="Compact"/>
              <w:jc w:val="left"/>
            </w:pPr>
            <w:r>
              <w:t xml:space="preserve">12 KB for 0.81%</w:t>
            </w:r>
          </w:p>
        </w:tc>
        <w:tc>
          <w:tcPr/>
          <w:p>
            <w:pPr>
              <w:pStyle w:val="Compact"/>
              <w:jc w:val="left"/>
            </w:pPr>
            <w:r>
              <w:t xml:space="preserve">±</w:t>
            </w:r>
            <m:oMath>
              <m:r>
                <m:t>1.04</m:t>
              </m:r>
              <m:r>
                <m:rPr>
                  <m:sty m:val="p"/>
                </m:rPr>
                <m:t>/</m:t>
              </m:r>
              <m:rad>
                <m:radPr>
                  <m:degHide m:val="on"/>
                </m:radPr>
                <m:deg/>
                <m:e>
                  <m:r>
                    <m:t>m</m:t>
                  </m:r>
                </m:e>
              </m:rad>
            </m:oMath>
            <w:r>
              <w:t xml:space="preserve"> </w:t>
            </w:r>
            <w:r>
              <w:t xml:space="preserve">relative</w:t>
            </w:r>
          </w:p>
        </w:tc>
        <w:tc>
          <w:tcPr/>
          <w:p>
            <w:pPr>
              <w:pStyle w:val="Compact"/>
              <w:jc w:val="left"/>
            </w:pPr>
            <w:r>
              <w:t xml:space="preserve">Register max</w:t>
            </w:r>
          </w:p>
        </w:tc>
        <w:tc>
          <w:tcPr/>
          <w:p>
            <w:pPr>
              <w:pStyle w:val="Compact"/>
              <w:jc w:val="left"/>
            </w:pPr>
            <w:r>
              <w:t xml:space="preserve">§17.5</w:t>
            </w:r>
          </w:p>
        </w:tc>
      </w:tr>
      <w:tr>
        <w:tc>
          <w:tcPr/>
          <w:p>
            <w:pPr>
              <w:pStyle w:val="Compact"/>
              <w:jc w:val="left"/>
            </w:pPr>
            <w:r>
              <w:t xml:space="preserve">How often did</w:t>
            </w:r>
            <w:r>
              <w:t xml:space="preserve"> </w:t>
            </w:r>
            <m:oMath>
              <m:r>
                <m:t>x</m:t>
              </m:r>
            </m:oMath>
            <w:r>
              <w:t xml:space="preserve"> </w:t>
            </w:r>
            <w:r>
              <w:t xml:space="preserve">occur?</w:t>
            </w:r>
          </w:p>
        </w:tc>
        <w:tc>
          <w:tcPr/>
          <w:p>
            <w:pPr>
              <w:pStyle w:val="Compact"/>
              <w:jc w:val="left"/>
            </w:pPr>
            <w:r>
              <w:t xml:space="preserve">Count-Min sketch</w:t>
            </w:r>
          </w:p>
        </w:tc>
        <w:tc>
          <w:tcPr/>
          <w:p>
            <w:pPr>
              <w:pStyle w:val="Compact"/>
              <w:jc w:val="left"/>
            </w:pPr>
            <m:oMath>
              <m:r>
                <m:rPr>
                  <m:sty m:val="p"/>
                </m:rPr>
                <m:t>⌈</m:t>
              </m:r>
              <m:r>
                <m:t>e</m:t>
              </m:r>
              <m:r>
                <m:rPr>
                  <m:sty m:val="p"/>
                </m:rPr>
                <m:t>/</m:t>
              </m:r>
              <m:r>
                <m:t>ε</m:t>
              </m:r>
              <m:r>
                <m:rPr>
                  <m:sty m:val="p"/>
                </m:rPr>
                <m:t>⌉</m:t>
              </m:r>
              <m:r>
                <m:rPr>
                  <m:sty m:val="p"/>
                </m:rPr>
                <m:t>×</m:t>
              </m:r>
              <m:r>
                <m:rPr>
                  <m:sty m:val="p"/>
                </m:rPr>
                <m:t>⌈</m:t>
              </m:r>
              <m:r>
                <m:rPr>
                  <m:sty m:val="p"/>
                </m:rPr>
                <m:t>ln</m:t>
              </m:r>
              <m:d>
                <m:dPr>
                  <m:begChr m:val="("/>
                  <m:endChr m:val=")"/>
                  <m:sepChr m:val=""/>
                  <m:grow/>
                </m:dPr>
                <m:e>
                  <m:r>
                    <m:t>1</m:t>
                  </m:r>
                  <m:r>
                    <m:rPr>
                      <m:sty m:val="p"/>
                    </m:rPr>
                    <m:t>/</m:t>
                  </m:r>
                  <m:r>
                    <m:t>δ</m:t>
                  </m:r>
                </m:e>
              </m:d>
              <m:r>
                <m:rPr>
                  <m:sty m:val="p"/>
                </m:rPr>
                <m:t>⌉</m:t>
              </m:r>
            </m:oMath>
            <w:r>
              <w:t xml:space="preserve"> </w:t>
            </w:r>
            <w:r>
              <w:t xml:space="preserve">counters</w:t>
            </w:r>
          </w:p>
        </w:tc>
        <w:tc>
          <w:tcPr/>
          <w:p>
            <w:pPr>
              <w:pStyle w:val="Compact"/>
              <w:jc w:val="left"/>
            </w:pPr>
            <m:oMath>
              <m:r>
                <m:rPr>
                  <m:sty m:val="p"/>
                </m:rPr>
                <m:t>+</m:t>
              </m:r>
              <m:r>
                <m:t>ε</m:t>
              </m:r>
              <m:r>
                <m:t>N</m:t>
              </m:r>
            </m:oMath>
            <w:r>
              <w:t xml:space="preserve">, probability</w:t>
            </w:r>
            <w:r>
              <w:t xml:space="preserve"> </w:t>
            </w:r>
            <m:oMath>
              <m:r>
                <m:t>1</m:t>
              </m:r>
              <m:r>
                <m:rPr>
                  <m:sty m:val="p"/>
                </m:rPr>
                <m:t>−</m:t>
              </m:r>
              <m:r>
                <m:t>δ</m:t>
              </m:r>
            </m:oMath>
          </w:p>
        </w:tc>
        <w:tc>
          <w:tcPr/>
          <w:p>
            <w:pPr>
              <w:pStyle w:val="Compact"/>
              <w:jc w:val="left"/>
            </w:pPr>
            <w:r>
              <w:t xml:space="preserve">Add arrays</w:t>
            </w:r>
          </w:p>
        </w:tc>
        <w:tc>
          <w:tcPr/>
          <w:p>
            <w:pPr>
              <w:pStyle w:val="Compact"/>
              <w:jc w:val="left"/>
            </w:pPr>
            <w:r>
              <w:t xml:space="preserve">§17.6</w:t>
            </w:r>
          </w:p>
        </w:tc>
      </w:tr>
      <w:tr>
        <w:tc>
          <w:tcPr/>
          <w:p>
            <w:pPr>
              <w:pStyle w:val="Compact"/>
              <w:jc w:val="left"/>
            </w:pPr>
            <w:r>
              <w:t xml:space="preserve">Which items are most frequent?</w:t>
            </w:r>
          </w:p>
        </w:tc>
        <w:tc>
          <w:tcPr/>
          <w:p>
            <w:pPr>
              <w:pStyle w:val="Compact"/>
              <w:jc w:val="left"/>
            </w:pPr>
            <w:r>
              <w:t xml:space="preserve">Space-Saving; CMS + heap</w:t>
            </w:r>
          </w:p>
        </w:tc>
        <w:tc>
          <w:tcPr/>
          <w:p>
            <w:pPr>
              <w:pStyle w:val="Compact"/>
              <w:jc w:val="left"/>
            </w:pPr>
            <m:oMath>
              <m:r>
                <m:t>k</m:t>
              </m:r>
            </m:oMath>
            <w:r>
              <w:t xml:space="preserve"> </w:t>
            </w:r>
            <w:r>
              <w:t xml:space="preserve">counters</w:t>
            </w:r>
          </w:p>
        </w:tc>
        <w:tc>
          <w:tcPr/>
          <w:p>
            <w:pPr>
              <w:pStyle w:val="Compact"/>
              <w:jc w:val="left"/>
            </w:pPr>
            <m:oMath>
              <m:r>
                <m:rPr>
                  <m:sty m:val="p"/>
                </m:rPr>
                <m:t>≤</m:t>
              </m:r>
              <m:r>
                <m:t>N</m:t>
              </m:r>
              <m:r>
                <m:rPr>
                  <m:sty m:val="p"/>
                </m:rPr>
                <m:t>/</m:t>
              </m:r>
              <m:r>
                <m:t>k</m:t>
              </m:r>
            </m:oMath>
          </w:p>
        </w:tc>
        <w:tc>
          <w:tcPr/>
          <w:p>
            <w:pPr>
              <w:pStyle w:val="Compact"/>
              <w:jc w:val="left"/>
            </w:pPr>
            <w:r>
              <w:t xml:space="preserve">Approximately</w:t>
            </w:r>
          </w:p>
        </w:tc>
        <w:tc>
          <w:tcPr/>
          <w:p>
            <w:pPr>
              <w:pStyle w:val="Compact"/>
              <w:jc w:val="left"/>
            </w:pPr>
            <w:r>
              <w:t xml:space="preserve">§17.6.2</w:t>
            </w:r>
          </w:p>
        </w:tc>
      </w:tr>
      <w:tr>
        <w:tc>
          <w:tcPr/>
          <w:p>
            <w:pPr>
              <w:pStyle w:val="Compact"/>
              <w:jc w:val="left"/>
            </w:pPr>
            <w:r>
              <w:t xml:space="preserve">What is the p99?</w:t>
            </w:r>
          </w:p>
        </w:tc>
        <w:tc>
          <w:tcPr/>
          <w:p>
            <w:pPr>
              <w:pStyle w:val="Compact"/>
              <w:jc w:val="left"/>
            </w:pPr>
            <w:r>
              <w:t xml:space="preserve">HDR histogram, t-digest, KLL sketch</w:t>
            </w:r>
          </w:p>
        </w:tc>
        <w:tc>
          <w:tcPr/>
          <w:p>
            <w:pPr>
              <w:pStyle w:val="Compact"/>
              <w:jc w:val="left"/>
            </w:pPr>
            <w:r>
              <w:t xml:space="preserve">KBs</w:t>
            </w:r>
          </w:p>
        </w:tc>
        <w:tc>
          <w:tcPr/>
          <w:p>
            <w:pPr>
              <w:pStyle w:val="Compact"/>
              <w:jc w:val="left"/>
            </w:pPr>
            <w:r>
              <w:t xml:space="preserve">Bounded relative or rank error</w:t>
            </w:r>
          </w:p>
        </w:tc>
        <w:tc>
          <w:tcPr/>
          <w:p>
            <w:pPr>
              <w:pStyle w:val="Compact"/>
              <w:jc w:val="left"/>
            </w:pPr>
            <w:r>
              <w:t xml:space="preserve">Yes</w:t>
            </w:r>
          </w:p>
        </w:tc>
        <w:tc>
          <w:tcPr/>
          <w:p>
            <w:pPr>
              <w:pStyle w:val="Compact"/>
              <w:jc w:val="left"/>
            </w:pPr>
            <w:r>
              <w:t xml:space="preserve">§4.8, Chapter 40</w:t>
            </w:r>
          </w:p>
        </w:tc>
      </w:tr>
      <w:tr>
        <w:tc>
          <w:tcPr/>
          <w:p>
            <w:pPr>
              <w:pStyle w:val="Compact"/>
              <w:jc w:val="left"/>
            </w:pPr>
            <w:r>
              <w:t xml:space="preserve">Give me a fair sample</w:t>
            </w:r>
          </w:p>
        </w:tc>
        <w:tc>
          <w:tcPr/>
          <w:p>
            <w:pPr>
              <w:pStyle w:val="Compact"/>
              <w:jc w:val="left"/>
            </w:pPr>
            <w:r>
              <w:t xml:space="preserve">Reservoir sampling</w:t>
            </w:r>
          </w:p>
        </w:tc>
        <w:tc>
          <w:tcPr/>
          <w:p>
            <w:pPr>
              <w:pStyle w:val="Compact"/>
              <w:jc w:val="left"/>
            </w:pPr>
            <m:oMath>
              <m:r>
                <m:t>k</m:t>
              </m:r>
            </m:oMath>
            <w:r>
              <w:t xml:space="preserve"> </w:t>
            </w:r>
            <w:r>
              <w:t xml:space="preserve">items</w:t>
            </w:r>
          </w:p>
        </w:tc>
        <w:tc>
          <w:tcPr/>
          <w:p>
            <w:pPr>
              <w:pStyle w:val="Compact"/>
              <w:jc w:val="left"/>
            </w:pPr>
            <w:r>
              <w:t xml:space="preserve">Exact distribution</w:t>
            </w:r>
          </w:p>
        </w:tc>
        <w:tc>
          <w:tcPr/>
          <w:p>
            <w:pPr>
              <w:pStyle w:val="Compact"/>
              <w:jc w:val="left"/>
            </w:pPr>
            <w:r>
              <w:t xml:space="preserve">Smallest-</w:t>
            </w:r>
            <m:oMath>
              <m:r>
                <m:t>k</m:t>
              </m:r>
            </m:oMath>
            <w:r>
              <w:t xml:space="preserve"> </w:t>
            </w:r>
            <w:r>
              <w:t xml:space="preserve">random keys</w:t>
            </w:r>
          </w:p>
        </w:tc>
        <w:tc>
          <w:tcPr/>
          <w:p>
            <w:pPr>
              <w:pStyle w:val="Compact"/>
              <w:jc w:val="left"/>
            </w:pPr>
            <w:r>
              <w:t xml:space="preserve">§17.12.1</w:t>
            </w:r>
          </w:p>
        </w:tc>
      </w:tr>
      <w:tr>
        <w:tc>
          <w:tcPr/>
          <w:p>
            <w:pPr>
              <w:pStyle w:val="Compact"/>
              <w:jc w:val="left"/>
            </w:pPr>
            <w:r>
              <w:t xml:space="preserve">Do two replicas differ?</w:t>
            </w:r>
          </w:p>
        </w:tc>
        <w:tc>
          <w:tcPr/>
          <w:p>
            <w:pPr>
              <w:pStyle w:val="Compact"/>
              <w:jc w:val="left"/>
            </w:pPr>
            <w:r>
              <w:t xml:space="preserve">Merkle tree</w:t>
            </w:r>
          </w:p>
        </w:tc>
        <w:tc>
          <w:tcPr/>
          <w:p>
            <w:pPr>
              <w:pStyle w:val="Compact"/>
              <w:jc w:val="left"/>
            </w:pPr>
            <w:r>
              <w:t xml:space="preserve">Hash per range</w:t>
            </w:r>
          </w:p>
        </w:tc>
        <w:tc>
          <w:tcPr/>
          <w:p>
            <w:pPr>
              <w:pStyle w:val="Compact"/>
              <w:jc w:val="left"/>
            </w:pPr>
            <w:r>
              <w:t xml:space="preserve">Exact (with cryptographic hash)</w:t>
            </w:r>
          </w:p>
        </w:tc>
        <w:tc>
          <w:tcPr/>
          <w:p>
            <w:pPr>
              <w:pStyle w:val="Compact"/>
              <w:jc w:val="left"/>
            </w:pPr>
            <w:r>
              <w:t xml:space="preserve">—</w:t>
            </w:r>
          </w:p>
        </w:tc>
        <w:tc>
          <w:tcPr/>
          <w:p>
            <w:pPr>
              <w:pStyle w:val="Compact"/>
              <w:jc w:val="left"/>
            </w:pPr>
            <w:r>
              <w:t xml:space="preserve">§17.8</w:t>
            </w:r>
          </w:p>
        </w:tc>
      </w:tr>
    </w:tbl>
    <w:bookmarkEnd w:id="2034"/>
    <w:bookmarkEnd w:id="2035"/>
    <w:bookmarkStart w:id="2036" w:name="summary-and-revision-notes-16"/>
    <w:p>
      <w:pPr>
        <w:pStyle w:val="Heading2"/>
      </w:pPr>
      <w:r>
        <w:t xml:space="preserve">17.13 Summary and revision notes</w:t>
      </w:r>
    </w:p>
    <w:p>
      <w:pPr>
        <w:pStyle w:val="CalloutSummary"/>
      </w:pPr>
      <w:r>
        <w:rPr>
          <w:bCs/>
          <w:b/>
        </w:rPr>
        <w:t xml:space="preserve">SUMMARY</w:t>
      </w:r>
    </w:p>
    <w:p>
      <w:pPr>
        <w:numPr>
          <w:ilvl w:val="0"/>
          <w:numId w:val="1590"/>
        </w:numPr>
        <w:pStyle w:val="Compact"/>
      </w:pPr>
      <w:r>
        <w:rPr>
          <w:bCs/>
          <w:b/>
        </w:rPr>
        <w:t xml:space="preserve">Hashing.</w:t>
      </w:r>
      <w:r>
        <w:t xml:space="preserve"> </w:t>
      </w:r>
      <w:r>
        <w:t xml:space="preserve">Good non-cryptographic hashes (MurmurHash3, xxHash) are deterministic, uniform and avalanche well. Test uniformity with chi-square (</w:t>
      </w:r>
      <m:oMath>
        <m:r>
          <m:rPr>
            <m:sty m:val="p"/>
          </m:rPr>
          <m:t>≈</m:t>
        </m:r>
        <m:r>
          <m:t>B</m:t>
        </m:r>
        <m:r>
          <m:rPr>
            <m:sty m:val="p"/>
          </m:rPr>
          <m:t>−</m:t>
        </m:r>
        <m:r>
          <m:t>1</m:t>
        </m:r>
      </m:oMath>
      <w:r>
        <w:t xml:space="preserve"> </w:t>
      </w:r>
      <w:r>
        <w:t xml:space="preserve">for a good hash). Use keyed SipHash for tables filled from untrusted input (hash flooding), cryptographic hashes for integrity. Consistent hashing is in §14.8.</w:t>
      </w:r>
    </w:p>
    <w:p>
      <w:pPr>
        <w:numPr>
          <w:ilvl w:val="0"/>
          <w:numId w:val="1590"/>
        </w:numPr>
        <w:pStyle w:val="Compact"/>
      </w:pPr>
      <w:r>
        <w:rPr>
          <w:bCs/>
          <w:b/>
        </w:rPr>
        <w:t xml:space="preserve">Bloom filters.</w:t>
      </w:r>
      <w:r>
        <w:t xml:space="preserve"> </w:t>
      </w:r>
      <m:oMath>
        <m:r>
          <m:t>p</m:t>
        </m:r>
        <m:r>
          <m:rPr>
            <m:sty m:val="p"/>
          </m:rPr>
          <m:t>≈</m:t>
        </m:r>
        <m:sSup>
          <m:e>
            <m:d>
              <m:dPr>
                <m:begChr m:val="("/>
                <m:endChr m:val=")"/>
                <m:sepChr m:val=""/>
                <m:grow/>
              </m:dPr>
              <m:e>
                <m:r>
                  <m:t>1</m:t>
                </m:r>
                <m:r>
                  <m:rPr>
                    <m:sty m:val="p"/>
                  </m:rPr>
                  <m:t>−</m:t>
                </m:r>
                <m:sSup>
                  <m:e>
                    <m:r>
                      <m:t>e</m:t>
                    </m:r>
                  </m:e>
                  <m:sup>
                    <m:r>
                      <m:rPr>
                        <m:sty m:val="p"/>
                      </m:rPr>
                      <m:t>−</m:t>
                    </m:r>
                    <m:r>
                      <m:t>k</m:t>
                    </m:r>
                    <m:r>
                      <m:t>n</m:t>
                    </m:r>
                    <m:r>
                      <m:rPr>
                        <m:sty m:val="p"/>
                      </m:rPr>
                      <m:t>/</m:t>
                    </m:r>
                    <m:r>
                      <m:t>m</m:t>
                    </m:r>
                  </m:sup>
                </m:sSup>
              </m:e>
            </m:d>
          </m:e>
          <m:sup>
            <m:r>
              <m:t>k</m:t>
            </m:r>
          </m:sup>
        </m:sSup>
      </m:oMath>
      <w:r>
        <w:t xml:space="preserve">; optimal</w:t>
      </w:r>
      <w:r>
        <w:t xml:space="preserve"> </w:t>
      </w:r>
      <m:oMath>
        <m:r>
          <m:t>k</m:t>
        </m:r>
        <m:r>
          <m:rPr>
            <m:sty m:val="p"/>
          </m:rPr>
          <m:t>=</m:t>
        </m:r>
        <m:d>
          <m:dPr>
            <m:begChr m:val="("/>
            <m:endChr m:val=")"/>
            <m:sepChr m:val=""/>
            <m:grow/>
          </m:dPr>
          <m:e>
            <m:r>
              <m:t>m</m:t>
            </m:r>
            <m:r>
              <m:rPr>
                <m:sty m:val="p"/>
              </m:rPr>
              <m:t>/</m:t>
            </m:r>
            <m:r>
              <m:t>n</m:t>
            </m:r>
          </m:e>
        </m:d>
        <m:r>
          <m:rPr>
            <m:sty m:val="p"/>
          </m:rPr>
          <m:t>ln</m:t>
        </m:r>
        <m:r>
          <m:t>2</m:t>
        </m:r>
      </m:oMath>
      <w:r>
        <w:t xml:space="preserve">, where half the bits are set;</w:t>
      </w:r>
      <w:r>
        <w:t xml:space="preserve"> </w:t>
      </w:r>
      <m:oMath>
        <m:r>
          <m:t>m</m:t>
        </m:r>
        <m:r>
          <m:rPr>
            <m:sty m:val="p"/>
          </m:rPr>
          <m:t>/</m:t>
        </m:r>
        <m:r>
          <m:t>n</m:t>
        </m:r>
        <m:r>
          <m:rPr>
            <m:sty m:val="p"/>
          </m:rPr>
          <m:t>=</m:t>
        </m:r>
        <m:r>
          <m:rPr>
            <m:sty m:val="p"/>
          </m:rPr>
          <m:t>−</m:t>
        </m:r>
        <m:r>
          <m:rPr>
            <m:sty m:val="p"/>
          </m:rPr>
          <m:t>ln</m:t>
        </m:r>
        <m:r>
          <m:t>p</m:t>
        </m:r>
        <m:r>
          <m:rPr>
            <m:sty m:val="p"/>
          </m:rPr>
          <m:t>/</m:t>
        </m:r>
        <m:sSup>
          <m:e>
            <m:d>
              <m:dPr>
                <m:begChr m:val="("/>
                <m:endChr m:val=")"/>
                <m:sepChr m:val=""/>
                <m:grow/>
              </m:dPr>
              <m:e>
                <m:r>
                  <m:rPr>
                    <m:sty m:val="p"/>
                  </m:rPr>
                  <m:t>ln</m:t>
                </m:r>
                <m:r>
                  <m:t>2</m:t>
                </m:r>
              </m:e>
            </m:d>
          </m:e>
          <m:sup>
            <m:r>
              <m:t>2</m:t>
            </m:r>
          </m:sup>
        </m:sSup>
      </m:oMath>
      <w:r>
        <w:t xml:space="preserve">: 9.6 bits at 1%, +4.8 bits per 10× lower</w:t>
      </w:r>
      <w:r>
        <w:t xml:space="preserve"> </w:t>
      </w:r>
      <m:oMath>
        <m:r>
          <m:t>p</m:t>
        </m:r>
      </m:oMath>
      <w:r>
        <w:t xml:space="preserve">. No false negatives; no deletes; OR merges. Overfilling 3× pushed a 1% filter to 44%.</w:t>
      </w:r>
    </w:p>
    <w:p>
      <w:pPr>
        <w:numPr>
          <w:ilvl w:val="0"/>
          <w:numId w:val="1590"/>
        </w:numPr>
        <w:pStyle w:val="Compact"/>
      </w:pPr>
      <w:r>
        <w:rPr>
          <w:bCs/>
          <w:b/>
        </w:rPr>
        <w:t xml:space="preserve">Deletion.</w:t>
      </w:r>
      <w:r>
        <w:t xml:space="preserve"> </w:t>
      </w:r>
      <w:r>
        <w:t xml:space="preserve">Counting Bloom filters (4-bit counters, 4× memory) or cuckoo filters (fingerprints in two buckets, ~95% load,</w:t>
      </w:r>
      <w:r>
        <w:t xml:space="preserve"> </w:t>
      </w:r>
      <m:oMath>
        <m:r>
          <m:t>ε</m:t>
        </m:r>
        <m:r>
          <m:rPr>
            <m:sty m:val="p"/>
          </m:rPr>
          <m:t>≤</m:t>
        </m:r>
        <m:r>
          <m:t>2</m:t>
        </m:r>
        <m:r>
          <m:t>b</m:t>
        </m:r>
        <m:r>
          <m:rPr>
            <m:sty m:val="p"/>
          </m:rPr>
          <m:t>/</m:t>
        </m:r>
        <m:sSup>
          <m:e>
            <m:r>
              <m:t>2</m:t>
            </m:r>
          </m:e>
          <m:sup>
            <m:r>
              <m:t>f</m:t>
            </m:r>
          </m:sup>
        </m:sSup>
      </m:oMath>
      <w:r>
        <w:t xml:space="preserve">, smaller than Bloom below about 3% with semi-sorting).</w:t>
      </w:r>
    </w:p>
    <w:p>
      <w:pPr>
        <w:numPr>
          <w:ilvl w:val="0"/>
          <w:numId w:val="1590"/>
        </w:numPr>
        <w:pStyle w:val="Compact"/>
      </w:pPr>
      <w:r>
        <w:rPr>
          <w:bCs/>
          <w:b/>
        </w:rPr>
        <w:t xml:space="preserve">HyperLogLog.</w:t>
      </w:r>
      <w:r>
        <w:t xml:space="preserve"> </w:t>
      </w:r>
      <w:r>
        <w:t xml:space="preserve">Leading zeros of hashes estimate cardinality;</w:t>
      </w:r>
      <w:r>
        <w:t xml:space="preserve"> </w:t>
      </w:r>
      <m:oMath>
        <m:r>
          <m:t>m</m:t>
        </m:r>
        <m:r>
          <m:rPr>
            <m:sty m:val="p"/>
          </m:rPr>
          <m:t>=</m:t>
        </m:r>
        <m:sSup>
          <m:e>
            <m:r>
              <m:t>2</m:t>
            </m:r>
          </m:e>
          <m:sup>
            <m:r>
              <m:t>p</m:t>
            </m:r>
          </m:sup>
        </m:sSup>
      </m:oMath>
      <w:r>
        <w:t xml:space="preserve"> </w:t>
      </w:r>
      <w:r>
        <w:t xml:space="preserve">registers, SE</w:t>
      </w:r>
      <w:r>
        <w:t xml:space="preserve"> </w:t>
      </w:r>
      <m:oMath>
        <m:r>
          <m:rPr>
            <m:sty m:val="p"/>
          </m:rPr>
          <m:t>=</m:t>
        </m:r>
        <m:r>
          <m:t>1.04</m:t>
        </m:r>
        <m:r>
          <m:rPr>
            <m:sty m:val="p"/>
          </m:rPr>
          <m:t>/</m:t>
        </m:r>
        <m:rad>
          <m:radPr>
            <m:degHide m:val="on"/>
          </m:radPr>
          <m:deg/>
          <m:e>
            <m:r>
              <m:t>m</m:t>
            </m:r>
          </m:e>
        </m:rad>
      </m:oMath>
      <w:r>
        <w:t xml:space="preserve">; Redis: 12 KB, 0.81%. Merge by register-wise max; unions are accurate, intersections are not. HLL++ adds 64-bit hashing, bias correction and sparse storage.</w:t>
      </w:r>
    </w:p>
    <w:p>
      <w:pPr>
        <w:numPr>
          <w:ilvl w:val="0"/>
          <w:numId w:val="1590"/>
        </w:numPr>
        <w:pStyle w:val="Compact"/>
      </w:pPr>
      <w:r>
        <w:rPr>
          <w:bCs/>
          <w:b/>
        </w:rPr>
        <w:t xml:space="preserve">Count-Min.</w:t>
      </w:r>
      <w:r>
        <w:t xml:space="preserve"> </w:t>
      </w:r>
      <m:oMath>
        <m:r>
          <m:t>w</m:t>
        </m:r>
        <m:r>
          <m:rPr>
            <m:sty m:val="p"/>
          </m:rPr>
          <m:t>=</m:t>
        </m:r>
        <m:r>
          <m:rPr>
            <m:sty m:val="p"/>
          </m:rPr>
          <m:t>⌈</m:t>
        </m:r>
        <m:r>
          <m:t>e</m:t>
        </m:r>
        <m:r>
          <m:rPr>
            <m:sty m:val="p"/>
          </m:rPr>
          <m:t>/</m:t>
        </m:r>
        <m:r>
          <m:t>ε</m:t>
        </m:r>
        <m:r>
          <m:rPr>
            <m:sty m:val="p"/>
          </m:rPr>
          <m:t>⌉</m:t>
        </m:r>
      </m:oMath>
      <w:r>
        <w:t xml:space="preserve">,</w:t>
      </w:r>
      <w:r>
        <w:t xml:space="preserve"> </w:t>
      </w:r>
      <m:oMath>
        <m:r>
          <m:t>d</m:t>
        </m:r>
        <m:r>
          <m:rPr>
            <m:sty m:val="p"/>
          </m:rPr>
          <m:t>=</m:t>
        </m:r>
        <m:r>
          <m:rPr>
            <m:sty m:val="p"/>
          </m:rPr>
          <m:t>⌈</m:t>
        </m:r>
        <m:r>
          <m:rPr>
            <m:sty m:val="p"/>
          </m:rPr>
          <m:t>ln</m:t>
        </m:r>
        <m:d>
          <m:dPr>
            <m:begChr m:val="("/>
            <m:endChr m:val=")"/>
            <m:sepChr m:val=""/>
            <m:grow/>
          </m:dPr>
          <m:e>
            <m:r>
              <m:t>1</m:t>
            </m:r>
            <m:r>
              <m:rPr>
                <m:sty m:val="p"/>
              </m:rPr>
              <m:t>/</m:t>
            </m:r>
            <m:r>
              <m:t>δ</m:t>
            </m:r>
          </m:e>
        </m:d>
        <m:r>
          <m:rPr>
            <m:sty m:val="p"/>
          </m:rPr>
          <m:t>⌉</m:t>
        </m:r>
      </m:oMath>
      <w:r>
        <w:t xml:space="preserve">; never underestimates; error</w:t>
      </w:r>
      <w:r>
        <w:t xml:space="preserve"> </w:t>
      </w:r>
      <m:oMath>
        <m:r>
          <m:rPr>
            <m:sty m:val="p"/>
          </m:rPr>
          <m:t>≤</m:t>
        </m:r>
        <m:r>
          <m:t>ε</m:t>
        </m:r>
        <m:r>
          <m:t>N</m:t>
        </m:r>
      </m:oMath>
      <w:r>
        <w:t xml:space="preserve"> </w:t>
      </w:r>
      <w:r>
        <w:t xml:space="preserve">with probability</w:t>
      </w:r>
      <w:r>
        <w:t xml:space="preserve"> </w:t>
      </w:r>
      <m:oMath>
        <m:r>
          <m:t>1</m:t>
        </m:r>
        <m:r>
          <m:rPr>
            <m:sty m:val="p"/>
          </m:rPr>
          <m:t>−</m:t>
        </m:r>
        <m:r>
          <m:t>δ</m:t>
        </m:r>
      </m:oMath>
      <w:r>
        <w:t xml:space="preserve">, relative to the whole stream. Heavy hitters: CMS + heap, or Space-Saving with error</w:t>
      </w:r>
      <w:r>
        <w:t xml:space="preserve"> </w:t>
      </w:r>
      <m:oMath>
        <m:r>
          <m:rPr>
            <m:sty m:val="p"/>
          </m:rPr>
          <m:t>≤</m:t>
        </m:r>
        <m:r>
          <m:t>N</m:t>
        </m:r>
        <m:r>
          <m:rPr>
            <m:sty m:val="p"/>
          </m:rPr>
          <m:t>/</m:t>
        </m:r>
        <m:r>
          <m:t>k</m:t>
        </m:r>
      </m:oMath>
      <w:r>
        <w:t xml:space="preserve">.</w:t>
      </w:r>
    </w:p>
    <w:p>
      <w:pPr>
        <w:numPr>
          <w:ilvl w:val="0"/>
          <w:numId w:val="1590"/>
        </w:numPr>
        <w:pStyle w:val="Compact"/>
      </w:pPr>
      <w:r>
        <w:rPr>
          <w:bCs/>
          <w:b/>
        </w:rPr>
        <w:t xml:space="preserve">Skip lists.</w:t>
      </w:r>
      <w:r>
        <w:t xml:space="preserve"> </w:t>
      </w:r>
      <w:r>
        <w:t xml:space="preserve">Random levels with probability</w:t>
      </w:r>
      <w:r>
        <w:t xml:space="preserve"> </w:t>
      </w:r>
      <m:oMath>
        <m:r>
          <m:t>p</m:t>
        </m:r>
      </m:oMath>
      <w:r>
        <w:t xml:space="preserve">; expected</w:t>
      </w:r>
      <w:r>
        <w:t xml:space="preserve"> </w:t>
      </w:r>
      <m:oMath>
        <m:r>
          <m:t>O</m:t>
        </m:r>
        <m:d>
          <m:dPr>
            <m:begChr m:val="("/>
            <m:endChr m:val=")"/>
            <m:sepChr m:val=""/>
            <m:grow/>
          </m:dPr>
          <m:e>
            <m:r>
              <m:rPr>
                <m:sty m:val="p"/>
              </m:rPr>
              <m:t>log</m:t>
            </m:r>
            <m:r>
              <m:t>n</m:t>
            </m:r>
          </m:e>
        </m:d>
      </m:oMath>
      <w:r>
        <w:t xml:space="preserve">;</w:t>
      </w:r>
      <w:r>
        <w:t xml:space="preserve"> </w:t>
      </w:r>
      <m:oMath>
        <m:r>
          <m:t>1</m:t>
        </m:r>
        <m:r>
          <m:rPr>
            <m:sty m:val="p"/>
          </m:rPr>
          <m:t>/</m:t>
        </m:r>
        <m:d>
          <m:dPr>
            <m:begChr m:val="("/>
            <m:endChr m:val=")"/>
            <m:sepChr m:val=""/>
            <m:grow/>
          </m:dPr>
          <m:e>
            <m:r>
              <m:t>1</m:t>
            </m:r>
            <m:r>
              <m:rPr>
                <m:sty m:val="p"/>
              </m:rPr>
              <m:t>−</m:t>
            </m:r>
            <m:r>
              <m:t>p</m:t>
            </m:r>
          </m:e>
        </m:d>
      </m:oMath>
      <w:r>
        <w:t xml:space="preserve"> </w:t>
      </w:r>
      <w:r>
        <w:t xml:space="preserve">pointers per node. Redis sorted sets (</w:t>
      </w:r>
      <m:oMath>
        <m:r>
          <m:t>p</m:t>
        </m:r>
        <m:r>
          <m:rPr>
            <m:sty m:val="p"/>
          </m:rPr>
          <m:t>=</m:t>
        </m:r>
        <m:r>
          <m:t>1</m:t>
        </m:r>
        <m:r>
          <m:rPr>
            <m:sty m:val="p"/>
          </m:rPr>
          <m:t>/</m:t>
        </m:r>
        <m:r>
          <m:t>4</m:t>
        </m:r>
      </m:oMath>
      <w:r>
        <w:t xml:space="preserve">, spans for rank) and LSM memtables.</w:t>
      </w:r>
    </w:p>
    <w:p>
      <w:pPr>
        <w:numPr>
          <w:ilvl w:val="0"/>
          <w:numId w:val="1590"/>
        </w:numPr>
        <w:pStyle w:val="Compact"/>
      </w:pPr>
      <w:r>
        <w:rPr>
          <w:bCs/>
          <w:b/>
        </w:rPr>
        <w:t xml:space="preserve">Merkle trees.</w:t>
      </w:r>
      <w:r>
        <w:t xml:space="preserve"> </w:t>
      </w:r>
      <w:r>
        <w:t xml:space="preserve">Root hash summarizes data; inclusion proofs of</w:t>
      </w:r>
      <w:r>
        <w:t xml:space="preserve"> </w:t>
      </w:r>
      <m:oMath>
        <m:r>
          <m:rPr>
            <m:sty m:val="p"/>
          </m:rPr>
          <m:t>⌈</m:t>
        </m:r>
        <m:sSub>
          <m:e>
            <m:r>
              <m:rPr>
                <m:sty m:val="p"/>
              </m:rPr>
              <m:t>log</m:t>
            </m:r>
          </m:e>
          <m:sub>
            <m:r>
              <m:t>2</m:t>
            </m:r>
          </m:sub>
        </m:sSub>
        <m:r>
          <m:t>n</m:t>
        </m:r>
        <m:r>
          <m:rPr>
            <m:sty m:val="p"/>
          </m:rPr>
          <m:t>⌉</m:t>
        </m:r>
      </m:oMath>
      <w:r>
        <w:t xml:space="preserve"> </w:t>
      </w:r>
      <w:r>
        <w:t xml:space="preserve">hashes; anti-entropy cost grows with differences × depth (Dynamo, Cassandra, Git, Certificate Transparency).</w:t>
      </w:r>
    </w:p>
    <w:p>
      <w:pPr>
        <w:numPr>
          <w:ilvl w:val="0"/>
          <w:numId w:val="1590"/>
        </w:numPr>
        <w:pStyle w:val="Compact"/>
      </w:pPr>
      <w:r>
        <w:rPr>
          <w:bCs/>
          <w:b/>
        </w:rPr>
        <w:t xml:space="preserve">Geospatial.</w:t>
      </w:r>
      <w:r>
        <w:t xml:space="preserve"> </w:t>
      </w:r>
      <w:r>
        <w:t xml:space="preserve">Map 2-D to 1-D cells. Geohash: interleaved bits, base-32, prefix = containment, boundary quirks; choose precision from radius and latitude or cover the area. Quadtrees adapt to density. S2: cube + Hilbert curve + 64-bit IDs, area</w:t>
      </w:r>
      <w:r>
        <w:t xml:space="preserve"> </w:t>
      </w:r>
      <m:oMath>
        <m:r>
          <m:rPr>
            <m:sty m:val="p"/>
          </m:rPr>
          <m:t>/</m:t>
        </m:r>
        <m:r>
          <m:t>4</m:t>
        </m:r>
      </m:oMath>
      <w:r>
        <w:t xml:space="preserve"> </w:t>
      </w:r>
      <w:r>
        <w:t xml:space="preserve">per level. H3: hexagons, aperture 7, uniform neighbors.</w:t>
      </w:r>
    </w:p>
    <w:p>
      <w:pPr>
        <w:numPr>
          <w:ilvl w:val="0"/>
          <w:numId w:val="1590"/>
        </w:numPr>
        <w:pStyle w:val="Compact"/>
      </w:pPr>
      <w:r>
        <w:rPr>
          <w:bCs/>
          <w:b/>
        </w:rPr>
        <w:t xml:space="preserve">IDs.</w:t>
      </w:r>
      <w:r>
        <w:t xml:space="preserve"> </w:t>
      </w:r>
      <w:r>
        <w:t xml:space="preserve">UUIDv4 (random, poor index locality), UUIDv7 (time-ordered, RFC 9562), Snowflake (41/10/12 bits: 4.1 M IDs/s per machine, 69.7 years), ULID, ticket servers. Time-ordered IDs are ordered only within clock skew.</w:t>
      </w:r>
    </w:p>
    <w:p>
      <w:pPr>
        <w:numPr>
          <w:ilvl w:val="0"/>
          <w:numId w:val="1590"/>
        </w:numPr>
        <w:pStyle w:val="Compact"/>
      </w:pPr>
      <w:r>
        <w:rPr>
          <w:bCs/>
          <w:b/>
        </w:rPr>
        <w:t xml:space="preserve">Streaming.</w:t>
      </w:r>
      <w:r>
        <w:t xml:space="preserve"> </w:t>
      </w:r>
      <w:r>
        <w:t xml:space="preserve">Tries answer prefix queries in</w:t>
      </w:r>
      <w:r>
        <w:t xml:space="preserve"> </w:t>
      </w:r>
      <m:oMath>
        <m:r>
          <m:t>O</m:t>
        </m:r>
        <m:d>
          <m:dPr>
            <m:begChr m:val="("/>
            <m:endChr m:val=")"/>
            <m:sepChr m:val=""/>
            <m:grow/>
          </m:dPr>
          <m:e>
            <m:r>
              <m:t>L</m:t>
            </m:r>
          </m:e>
        </m:d>
      </m:oMath>
      <w:r>
        <w:t xml:space="preserve">. Reservoir sampling keeps a uniform</w:t>
      </w:r>
      <w:r>
        <w:t xml:space="preserve"> </w:t>
      </w:r>
      <m:oMath>
        <m:r>
          <m:t>k</m:t>
        </m:r>
      </m:oMath>
      <w:r>
        <w:t xml:space="preserve">-sample with probability</w:t>
      </w:r>
      <w:r>
        <w:t xml:space="preserve"> </w:t>
      </w:r>
      <m:oMath>
        <m:r>
          <m:t>k</m:t>
        </m:r>
        <m:r>
          <m:rPr>
            <m:sty m:val="p"/>
          </m:rPr>
          <m:t>/</m:t>
        </m:r>
        <m:r>
          <m:t>n</m:t>
        </m:r>
      </m:oMath>
      <w:r>
        <w:t xml:space="preserve"> </w:t>
      </w:r>
      <w:r>
        <w:t xml:space="preserve">in one pass. Prefer mergeable sketches in distributed systems: compute per partition, combine centrally.</w:t>
      </w:r>
    </w:p>
    <w:bookmarkEnd w:id="2036"/>
    <w:bookmarkStart w:id="2037" w:name="knowledge-checkpoint-16"/>
    <w:p>
      <w:pPr>
        <w:pStyle w:val="Heading2"/>
      </w:pPr>
      <w:r>
        <w:t xml:space="preserve">17.14 Knowledge checkpoint</w:t>
      </w:r>
    </w:p>
    <w:p>
      <w:pPr>
        <w:numPr>
          <w:ilvl w:val="0"/>
          <w:numId w:val="1591"/>
        </w:numPr>
        <w:pStyle w:val="Compact"/>
      </w:pPr>
      <w:r>
        <w:t xml:space="preserve">Why does the sum-of-bytes hash perform so badly on keys such as</w:t>
      </w:r>
      <w:r>
        <w:t xml:space="preserve"> </w:t>
      </w:r>
      <w:r>
        <w:rPr>
          <w:rStyle w:val="VerbatimChar"/>
        </w:rPr>
        <w:t xml:space="preserve">user:12345</w:t>
      </w:r>
      <w:r>
        <w:t xml:space="preserve">?</w:t>
      </w:r>
    </w:p>
    <w:p>
      <w:pPr>
        <w:numPr>
          <w:ilvl w:val="0"/>
          <w:numId w:val="1591"/>
        </w:numPr>
        <w:pStyle w:val="Compact"/>
      </w:pPr>
      <w:r>
        <w:t xml:space="preserve">What is hash flooding, and name two defenses.</w:t>
      </w:r>
    </w:p>
    <w:p>
      <w:pPr>
        <w:numPr>
          <w:ilvl w:val="0"/>
          <w:numId w:val="1591"/>
        </w:numPr>
        <w:pStyle w:val="Compact"/>
      </w:pPr>
      <w:r>
        <w:t xml:space="preserve">A Bloom filter has</w:t>
      </w:r>
      <w:r>
        <w:t xml:space="preserve"> </w:t>
      </w:r>
      <m:oMath>
        <m:r>
          <m:t>m</m:t>
        </m:r>
        <m:r>
          <m:rPr>
            <m:sty m:val="p"/>
          </m:rPr>
          <m:t>=</m:t>
        </m:r>
        <m:r>
          <m:t>8</m:t>
        </m:r>
        <m:r>
          <m:rPr>
            <m:sty m:val="p"/>
          </m:rPr>
          <m:t>×</m:t>
        </m:r>
        <m:sSup>
          <m:e>
            <m:r>
              <m:t>10</m:t>
            </m:r>
          </m:e>
          <m:sup>
            <m:r>
              <m:t>6</m:t>
            </m:r>
          </m:sup>
        </m:sSup>
      </m:oMath>
      <w:r>
        <w:t xml:space="preserve"> </w:t>
      </w:r>
      <w:r>
        <w:t xml:space="preserve">bits,</w:t>
      </w:r>
      <w:r>
        <w:t xml:space="preserve"> </w:t>
      </w:r>
      <m:oMath>
        <m:r>
          <m:t>n</m:t>
        </m:r>
        <m:r>
          <m:rPr>
            <m:sty m:val="p"/>
          </m:rPr>
          <m:t>=</m:t>
        </m:r>
        <m:sSup>
          <m:e>
            <m:r>
              <m:t>10</m:t>
            </m:r>
          </m:e>
          <m:sup>
            <m:r>
              <m:t>6</m:t>
            </m:r>
          </m:sup>
        </m:sSup>
      </m:oMath>
      <w:r>
        <w:t xml:space="preserve"> </w:t>
      </w:r>
      <w:r>
        <w:t xml:space="preserve">items and</w:t>
      </w:r>
      <w:r>
        <w:t xml:space="preserve"> </w:t>
      </w:r>
      <m:oMath>
        <m:r>
          <m:t>k</m:t>
        </m:r>
        <m:r>
          <m:rPr>
            <m:sty m:val="p"/>
          </m:rPr>
          <m:t>=</m:t>
        </m:r>
        <m:r>
          <m:t>6</m:t>
        </m:r>
      </m:oMath>
      <w:r>
        <w:t xml:space="preserve">. What is its false-positive rate?</w:t>
      </w:r>
    </w:p>
    <w:p>
      <w:pPr>
        <w:numPr>
          <w:ilvl w:val="0"/>
          <w:numId w:val="1591"/>
        </w:numPr>
        <w:pStyle w:val="Compact"/>
      </w:pPr>
      <w:r>
        <w:t xml:space="preserve">How many bits per element and how many hash functions do you need for</w:t>
      </w:r>
      <w:r>
        <w:t xml:space="preserve"> </w:t>
      </w:r>
      <m:oMath>
        <m:r>
          <m:t>p</m:t>
        </m:r>
        <m:r>
          <m:rPr>
            <m:sty m:val="p"/>
          </m:rPr>
          <m:t>=</m:t>
        </m:r>
        <m:r>
          <m:t>0.1</m:t>
        </m:r>
        <m:r>
          <m:rPr>
            <m:sty m:val="p"/>
          </m:rPr>
          <m:t>%</m:t>
        </m:r>
      </m:oMath>
      <w:r>
        <w:t xml:space="preserve">?</w:t>
      </w:r>
    </w:p>
    <w:p>
      <w:pPr>
        <w:numPr>
          <w:ilvl w:val="0"/>
          <w:numId w:val="1591"/>
        </w:numPr>
        <w:pStyle w:val="Compact"/>
      </w:pPr>
      <w:r>
        <w:t xml:space="preserve">Why can you not delete from a standard Bloom filter?</w:t>
      </w:r>
    </w:p>
    <w:p>
      <w:pPr>
        <w:numPr>
          <w:ilvl w:val="0"/>
          <w:numId w:val="1591"/>
        </w:numPr>
        <w:pStyle w:val="Compact"/>
      </w:pPr>
      <w:r>
        <w:t xml:space="preserve">In a cuckoo filter, why is the alternate bucket computed as</w:t>
      </w:r>
      <w:r>
        <w:t xml:space="preserve"> </w:t>
      </w:r>
      <m:oMath>
        <m:sSub>
          <m:e>
            <m:r>
              <m:t>i</m:t>
            </m:r>
          </m:e>
          <m:sub>
            <m:r>
              <m:t>1</m:t>
            </m:r>
          </m:sub>
        </m:sSub>
        <m:r>
          <m:rPr>
            <m:sty m:val="p"/>
          </m:rPr>
          <m:t>⊕</m:t>
        </m:r>
        <m:r>
          <m:t>h</m:t>
        </m:r>
        <m:d>
          <m:dPr>
            <m:begChr m:val="("/>
            <m:endChr m:val=")"/>
            <m:sepChr m:val=""/>
            <m:grow/>
          </m:dPr>
          <m:e>
            <m:r>
              <m:rPr>
                <m:sty m:val="i"/>
              </m:rPr>
              <m:t>f</m:t>
            </m:r>
            <m:r>
              <m:rPr>
                <m:sty m:val="i"/>
              </m:rPr>
              <m:t>p</m:t>
            </m:r>
          </m:e>
        </m:d>
      </m:oMath>
      <w:r>
        <w:t xml:space="preserve"> </w:t>
      </w:r>
      <w:r>
        <w:t xml:space="preserve">rather than from the original item?</w:t>
      </w:r>
    </w:p>
    <w:p>
      <w:pPr>
        <w:numPr>
          <w:ilvl w:val="0"/>
          <w:numId w:val="1591"/>
        </w:numPr>
        <w:pStyle w:val="Compact"/>
      </w:pPr>
      <w:r>
        <w:t xml:space="preserve">What are the memory and standard error of a HyperLogLog with</w:t>
      </w:r>
      <w:r>
        <w:t xml:space="preserve"> </w:t>
      </w:r>
      <m:oMath>
        <m:r>
          <m:t>p</m:t>
        </m:r>
        <m:r>
          <m:rPr>
            <m:sty m:val="p"/>
          </m:rPr>
          <m:t>=</m:t>
        </m:r>
        <m:r>
          <m:t>12</m:t>
        </m:r>
      </m:oMath>
      <w:r>
        <w:t xml:space="preserve">?</w:t>
      </w:r>
    </w:p>
    <w:p>
      <w:pPr>
        <w:numPr>
          <w:ilvl w:val="0"/>
          <w:numId w:val="1591"/>
        </w:numPr>
        <w:pStyle w:val="Compact"/>
      </w:pPr>
      <w:r>
        <w:t xml:space="preserve">Why can HyperLogLog sketches be merged without double counting?</w:t>
      </w:r>
    </w:p>
    <w:p>
      <w:pPr>
        <w:numPr>
          <w:ilvl w:val="0"/>
          <w:numId w:val="1591"/>
        </w:numPr>
        <w:pStyle w:val="Compact"/>
      </w:pPr>
      <w:r>
        <w:t xml:space="preserve">Size a Count-Min sketch for</w:t>
      </w:r>
      <w:r>
        <w:t xml:space="preserve"> </w:t>
      </w:r>
      <m:oMath>
        <m:r>
          <m:t>ε</m:t>
        </m:r>
        <m:r>
          <m:rPr>
            <m:sty m:val="p"/>
          </m:rPr>
          <m:t>=</m:t>
        </m:r>
        <m:r>
          <m:t>0.0001</m:t>
        </m:r>
      </m:oMath>
      <w:r>
        <w:t xml:space="preserve"> </w:t>
      </w:r>
      <w:r>
        <w:t xml:space="preserve">and</w:t>
      </w:r>
      <w:r>
        <w:t xml:space="preserve"> </w:t>
      </w:r>
      <m:oMath>
        <m:r>
          <m:t>δ</m:t>
        </m:r>
        <m:r>
          <m:rPr>
            <m:sty m:val="p"/>
          </m:rPr>
          <m:t>=</m:t>
        </m:r>
        <m:r>
          <m:t>0.001</m:t>
        </m:r>
      </m:oMath>
      <w:r>
        <w:t xml:space="preserve">.</w:t>
      </w:r>
    </w:p>
    <w:p>
      <w:pPr>
        <w:numPr>
          <w:ilvl w:val="0"/>
          <w:numId w:val="1591"/>
        </w:numPr>
        <w:pStyle w:val="Compact"/>
      </w:pPr>
      <w:r>
        <w:t xml:space="preserve">With Space-Saving and</w:t>
      </w:r>
      <w:r>
        <w:t xml:space="preserve"> </w:t>
      </w:r>
      <m:oMath>
        <m:r>
          <m:t>k</m:t>
        </m:r>
        <m:r>
          <m:rPr>
            <m:sty m:val="p"/>
          </m:rPr>
          <m:t>=</m:t>
        </m:r>
        <m:r>
          <m:t>500</m:t>
        </m:r>
      </m:oMath>
      <w:r>
        <w:t xml:space="preserve"> </w:t>
      </w:r>
      <w:r>
        <w:t xml:space="preserve">counters over</w:t>
      </w:r>
      <w:r>
        <w:t xml:space="preserve"> </w:t>
      </w:r>
      <m:oMath>
        <m:r>
          <m:t>N</m:t>
        </m:r>
        <m:r>
          <m:rPr>
            <m:sty m:val="p"/>
          </m:rPr>
          <m:t>=</m:t>
        </m:r>
        <m:sSup>
          <m:e>
            <m:r>
              <m:t>10</m:t>
            </m:r>
          </m:e>
          <m:sup>
            <m:r>
              <m:t>7</m:t>
            </m:r>
          </m:sup>
        </m:sSup>
      </m:oMath>
      <w:r>
        <w:t xml:space="preserve"> </w:t>
      </w:r>
      <w:r>
        <w:t xml:space="preserve">events, what is the maximum overestimate?</w:t>
      </w:r>
    </w:p>
    <w:p>
      <w:pPr>
        <w:numPr>
          <w:ilvl w:val="0"/>
          <w:numId w:val="1591"/>
        </w:numPr>
        <w:pStyle w:val="Compact"/>
      </w:pPr>
      <w:r>
        <w:t xml:space="preserve">What are the expected levels and pointers per node of a skip list with</w:t>
      </w:r>
      <w:r>
        <w:t xml:space="preserve"> </w:t>
      </w:r>
      <m:oMath>
        <m:r>
          <m:t>p</m:t>
        </m:r>
        <m:r>
          <m:rPr>
            <m:sty m:val="p"/>
          </m:rPr>
          <m:t>=</m:t>
        </m:r>
        <m:r>
          <m:t>1</m:t>
        </m:r>
        <m:r>
          <m:rPr>
            <m:sty m:val="p"/>
          </m:rPr>
          <m:t>/</m:t>
        </m:r>
        <m:r>
          <m:t>4</m:t>
        </m:r>
      </m:oMath>
      <w:r>
        <w:t xml:space="preserve"> </w:t>
      </w:r>
      <w:r>
        <w:t xml:space="preserve">and</w:t>
      </w:r>
      <w:r>
        <w:t xml:space="preserve"> </w:t>
      </w:r>
      <m:oMath>
        <m:r>
          <m:t>n</m:t>
        </m:r>
        <m:r>
          <m:rPr>
            <m:sty m:val="p"/>
          </m:rPr>
          <m:t>=</m:t>
        </m:r>
        <m:sSup>
          <m:e>
            <m:r>
              <m:t>4</m:t>
            </m:r>
          </m:e>
          <m:sup>
            <m:r>
              <m:t>10</m:t>
            </m:r>
          </m:sup>
        </m:sSup>
      </m:oMath>
      <w:r>
        <w:t xml:space="preserve">?</w:t>
      </w:r>
    </w:p>
    <w:p>
      <w:pPr>
        <w:numPr>
          <w:ilvl w:val="0"/>
          <w:numId w:val="1591"/>
        </w:numPr>
        <w:pStyle w:val="Compact"/>
      </w:pPr>
      <w:r>
        <w:t xml:space="preserve">How many hashes are in a Merkle inclusion proof for</w:t>
      </w:r>
      <w:r>
        <w:t xml:space="preserve"> </w:t>
      </w:r>
      <m:oMath>
        <m:sSup>
          <m:e>
            <m:r>
              <m:t>10</m:t>
            </m:r>
          </m:e>
          <m:sup>
            <m:r>
              <m:t>9</m:t>
            </m:r>
          </m:sup>
        </m:sSup>
      </m:oMath>
      <w:r>
        <w:t xml:space="preserve"> </w:t>
      </w:r>
      <w:r>
        <w:t xml:space="preserve">records?</w:t>
      </w:r>
    </w:p>
    <w:p>
      <w:pPr>
        <w:numPr>
          <w:ilvl w:val="0"/>
          <w:numId w:val="1591"/>
        </w:numPr>
        <w:pStyle w:val="Compact"/>
      </w:pPr>
      <w:r>
        <w:t xml:space="preserve">How large is a 6-character geohash cell at latitude 60°?</w:t>
      </w:r>
    </w:p>
    <w:p>
      <w:pPr>
        <w:numPr>
          <w:ilvl w:val="0"/>
          <w:numId w:val="1591"/>
        </w:numPr>
        <w:pStyle w:val="Compact"/>
      </w:pPr>
      <w:r>
        <w:t xml:space="preserve">Why do H3 hexagons suit neighborhood smoothing better than square cells?</w:t>
      </w:r>
    </w:p>
    <w:p>
      <w:pPr>
        <w:numPr>
          <w:ilvl w:val="0"/>
          <w:numId w:val="1591"/>
        </w:numPr>
        <w:pStyle w:val="Compact"/>
      </w:pPr>
      <w:r>
        <w:t xml:space="preserve">How long do 41-bit millisecond timestamps last, and how many IDs per second can one Snowflake machine issue?</w:t>
      </w:r>
    </w:p>
    <w:p>
      <w:pPr>
        <w:numPr>
          <w:ilvl w:val="0"/>
          <w:numId w:val="1591"/>
        </w:numPr>
        <w:pStyle w:val="Compact"/>
      </w:pPr>
      <w:r>
        <w:t xml:space="preserve">Why do random UUIDv4 primary keys slow down inserts into a large B-tree?</w:t>
      </w:r>
    </w:p>
    <w:p>
      <w:pPr>
        <w:numPr>
          <w:ilvl w:val="0"/>
          <w:numId w:val="1591"/>
        </w:numPr>
        <w:pStyle w:val="Compact"/>
      </w:pPr>
      <w:r>
        <w:t xml:space="preserve">What is the probability that the 10th item of a stream is in a reservoir of size 5 after 1,000 items?</w:t>
      </w:r>
    </w:p>
    <w:p>
      <w:pPr>
        <w:pStyle w:val="FirstParagraph"/>
      </w:pPr>
      <w:r>
        <w:t xml:space="preserve">Answers</w:t>
      </w:r>
    </w:p>
    <w:p>
      <w:pPr>
        <w:numPr>
          <w:ilvl w:val="0"/>
          <w:numId w:val="1592"/>
        </w:numPr>
        <w:pStyle w:val="Compact"/>
      </w:pPr>
      <w:r>
        <w:t xml:space="preserve">The sum takes fewer than 150 distinct values for these keys, so they crowd into a few buckets; there is no avalanche.</w:t>
      </w:r>
    </w:p>
    <w:p>
      <w:pPr>
        <w:numPr>
          <w:ilvl w:val="0"/>
          <w:numId w:val="1592"/>
        </w:numPr>
        <w:pStyle w:val="Compact"/>
      </w:pPr>
      <w:r>
        <w:t xml:space="preserve">An attacker sends keys that all collide in an unkeyed hash table, making inserts</w:t>
      </w:r>
      <w:r>
        <w:t xml:space="preserve"> </w:t>
      </w:r>
      <m:oMath>
        <m:r>
          <m:t>O</m:t>
        </m:r>
        <m:d>
          <m:dPr>
            <m:begChr m:val="("/>
            <m:endChr m:val=")"/>
            <m:sepChr m:val=""/>
            <m:grow/>
          </m:dPr>
          <m:e>
            <m:r>
              <m:t>n</m:t>
            </m:r>
          </m:e>
        </m:d>
      </m:oMath>
      <w:r>
        <w:t xml:space="preserve"> </w:t>
      </w:r>
      <w:r>
        <w:t xml:space="preserve">each and total work</w:t>
      </w:r>
      <w:r>
        <w:t xml:space="preserve"> </w:t>
      </w:r>
      <m:oMath>
        <m:r>
          <m:t>O</m:t>
        </m:r>
        <m:d>
          <m:dPr>
            <m:begChr m:val="("/>
            <m:endChr m:val=")"/>
            <m:sepChr m:val=""/>
            <m:grow/>
          </m:dPr>
          <m:e>
            <m:sSup>
              <m:e>
                <m:r>
                  <m:t>n</m:t>
                </m:r>
              </m:e>
              <m:sup>
                <m:r>
                  <m:t>2</m:t>
                </m:r>
              </m:sup>
            </m:sSup>
          </m:e>
        </m:d>
      </m:oMath>
      <w:r>
        <w:t xml:space="preserve">. Defenses: a keyed hash with a secret per-process key (SipHash), tree-structured buckets (Java 8), and limits on parameter counts.</w:t>
      </w:r>
    </w:p>
    <w:p>
      <w:pPr>
        <w:numPr>
          <w:ilvl w:val="0"/>
          <w:numId w:val="1592"/>
        </w:numPr>
        <w:pStyle w:val="Compact"/>
      </w:pPr>
      <m:oMath>
        <m:r>
          <m:t>k</m:t>
        </m:r>
        <m:r>
          <m:t>n</m:t>
        </m:r>
        <m:r>
          <m:rPr>
            <m:sty m:val="p"/>
          </m:rPr>
          <m:t>/</m:t>
        </m:r>
        <m:r>
          <m:t>m</m:t>
        </m:r>
        <m:r>
          <m:rPr>
            <m:sty m:val="p"/>
          </m:rPr>
          <m:t>=</m:t>
        </m:r>
        <m:r>
          <m:t>0.75</m:t>
        </m:r>
      </m:oMath>
      <w:r>
        <w:t xml:space="preserve">;</w:t>
      </w:r>
      <w:r>
        <w:t xml:space="preserve"> </w:t>
      </w:r>
      <m:oMath>
        <m:r>
          <m:t>1</m:t>
        </m:r>
        <m:r>
          <m:rPr>
            <m:sty m:val="p"/>
          </m:rPr>
          <m:t>−</m:t>
        </m:r>
        <m:sSup>
          <m:e>
            <m:r>
              <m:t>e</m:t>
            </m:r>
          </m:e>
          <m:sup>
            <m:r>
              <m:rPr>
                <m:sty m:val="p"/>
              </m:rPr>
              <m:t>−</m:t>
            </m:r>
            <m:r>
              <m:t>0.75</m:t>
            </m:r>
          </m:sup>
        </m:sSup>
        <m:r>
          <m:rPr>
            <m:sty m:val="p"/>
          </m:rPr>
          <m:t>=</m:t>
        </m:r>
        <m:r>
          <m:t>0.5276</m:t>
        </m:r>
      </m:oMath>
      <w:r>
        <w:t xml:space="preserve">;</w:t>
      </w:r>
      <w:r>
        <w:t xml:space="preserve"> </w:t>
      </w:r>
      <m:oMath>
        <m:sSup>
          <m:e>
            <m:r>
              <m:t>0.5276</m:t>
            </m:r>
          </m:e>
          <m:sup>
            <m:r>
              <m:t>6</m:t>
            </m:r>
          </m:sup>
        </m:sSup>
        <m:r>
          <m:rPr>
            <m:sty m:val="p"/>
          </m:rPr>
          <m:t>=</m:t>
        </m:r>
        <m:r>
          <m:t>0.0216</m:t>
        </m:r>
      </m:oMath>
      <w:r>
        <w:t xml:space="preserve">, about 2.2%.</w:t>
      </w:r>
    </w:p>
    <w:p>
      <w:pPr>
        <w:numPr>
          <w:ilvl w:val="0"/>
          <w:numId w:val="1592"/>
        </w:numPr>
        <w:pStyle w:val="Compact"/>
      </w:pPr>
      <m:oMath>
        <m:r>
          <m:t>6.908</m:t>
        </m:r>
        <m:r>
          <m:rPr>
            <m:sty m:val="p"/>
          </m:rPr>
          <m:t>/</m:t>
        </m:r>
        <m:r>
          <m:t>0.4805</m:t>
        </m:r>
        <m:r>
          <m:rPr>
            <m:sty m:val="p"/>
          </m:rPr>
          <m:t>=</m:t>
        </m:r>
        <m:r>
          <m:t>14.4</m:t>
        </m:r>
      </m:oMath>
      <w:r>
        <w:t xml:space="preserve"> </w:t>
      </w:r>
      <w:r>
        <w:t xml:space="preserve">bits per element;</w:t>
      </w:r>
      <w:r>
        <w:t xml:space="preserve"> </w:t>
      </w:r>
      <m:oMath>
        <m:r>
          <m:t>k</m:t>
        </m:r>
        <m:r>
          <m:rPr>
            <m:sty m:val="p"/>
          </m:rPr>
          <m:t>=</m:t>
        </m:r>
        <m:r>
          <m:t>10</m:t>
        </m:r>
      </m:oMath>
      <w:r>
        <w:t xml:space="preserve">.</w:t>
      </w:r>
    </w:p>
    <w:p>
      <w:pPr>
        <w:numPr>
          <w:ilvl w:val="0"/>
          <w:numId w:val="1592"/>
        </w:numPr>
        <w:pStyle w:val="Compact"/>
      </w:pPr>
      <w:r>
        <w:t xml:space="preserve">A bit may have been set by several items; clearing it for one would cause false negatives for others.</w:t>
      </w:r>
    </w:p>
    <w:p>
      <w:pPr>
        <w:numPr>
          <w:ilvl w:val="0"/>
          <w:numId w:val="1592"/>
        </w:numPr>
        <w:pStyle w:val="Compact"/>
      </w:pPr>
      <w:r>
        <w:t xml:space="preserve">Because only the fingerprint is stored. XOR with the fingerprint’s hash is its own inverse, so either bucket can compute the other from the fingerprint alone during relocation.</w:t>
      </w:r>
    </w:p>
    <w:p>
      <w:pPr>
        <w:numPr>
          <w:ilvl w:val="0"/>
          <w:numId w:val="1592"/>
        </w:numPr>
        <w:pStyle w:val="Compact"/>
      </w:pPr>
      <m:oMath>
        <m:r>
          <m:t>m</m:t>
        </m:r>
        <m:r>
          <m:rPr>
            <m:sty m:val="p"/>
          </m:rPr>
          <m:t>=</m:t>
        </m:r>
        <m:r>
          <m:t>4</m:t>
        </m:r>
        <m:r>
          <m:rPr>
            <m:sty m:val="p"/>
          </m:rPr>
          <m:t>,</m:t>
        </m:r>
        <m:r>
          <m:t>096</m:t>
        </m:r>
      </m:oMath>
      <w:r>
        <w:t xml:space="preserve"> </w:t>
      </w:r>
      <w:r>
        <w:t xml:space="preserve">registers × 6 bits = 3,072 bytes; SE</w:t>
      </w:r>
      <w:r>
        <w:t xml:space="preserve"> </w:t>
      </w:r>
      <m:oMath>
        <m:r>
          <m:rPr>
            <m:sty m:val="p"/>
          </m:rPr>
          <m:t>=</m:t>
        </m:r>
        <m:r>
          <m:t>1.04</m:t>
        </m:r>
        <m:r>
          <m:rPr>
            <m:sty m:val="p"/>
          </m:rPr>
          <m:t>/</m:t>
        </m:r>
        <m:r>
          <m:t>64</m:t>
        </m:r>
        <m:r>
          <m:rPr>
            <m:sty m:val="p"/>
          </m:rPr>
          <m:t>=</m:t>
        </m:r>
        <m:r>
          <m:t>1.63</m:t>
        </m:r>
        <m:r>
          <m:rPr>
            <m:sty m:val="p"/>
          </m:rPr>
          <m:t>%</m:t>
        </m:r>
      </m:oMath>
      <w:r>
        <w:t xml:space="preserve">.</w:t>
      </w:r>
    </w:p>
    <w:p>
      <w:pPr>
        <w:numPr>
          <w:ilvl w:val="0"/>
          <w:numId w:val="1592"/>
        </w:numPr>
        <w:pStyle w:val="Compact"/>
      </w:pPr>
      <w:r>
        <w:t xml:space="preserve">Registers keep maxima, and the maximum is idempotent and order-independent: a register-wise max equals the sketch of the combined stream.</w:t>
      </w:r>
    </w:p>
    <w:p>
      <w:pPr>
        <w:numPr>
          <w:ilvl w:val="0"/>
          <w:numId w:val="1592"/>
        </w:numPr>
        <w:pStyle w:val="Compact"/>
      </w:pPr>
      <m:oMath>
        <m:r>
          <m:t>w</m:t>
        </m:r>
        <m:r>
          <m:rPr>
            <m:sty m:val="p"/>
          </m:rPr>
          <m:t>=</m:t>
        </m:r>
        <m:r>
          <m:rPr>
            <m:sty m:val="p"/>
          </m:rPr>
          <m:t>⌈</m:t>
        </m:r>
        <m:r>
          <m:t>2.718</m:t>
        </m:r>
        <m:r>
          <m:rPr>
            <m:sty m:val="p"/>
          </m:rPr>
          <m:t>/</m:t>
        </m:r>
        <m:r>
          <m:t>0.0001</m:t>
        </m:r>
        <m:r>
          <m:rPr>
            <m:sty m:val="p"/>
          </m:rPr>
          <m:t>⌉</m:t>
        </m:r>
        <m:r>
          <m:rPr>
            <m:sty m:val="p"/>
          </m:rPr>
          <m:t>=</m:t>
        </m:r>
        <m:r>
          <m:t>27</m:t>
        </m:r>
        <m:r>
          <m:rPr>
            <m:sty m:val="p"/>
          </m:rPr>
          <m:t>,</m:t>
        </m:r>
        <m:r>
          <m:t>183</m:t>
        </m:r>
      </m:oMath>
      <w:r>
        <w:t xml:space="preserve">;</w:t>
      </w:r>
      <w:r>
        <w:t xml:space="preserve"> </w:t>
      </w:r>
      <m:oMath>
        <m:r>
          <m:t>d</m:t>
        </m:r>
        <m:r>
          <m:rPr>
            <m:sty m:val="p"/>
          </m:rPr>
          <m:t>=</m:t>
        </m:r>
        <m:r>
          <m:rPr>
            <m:sty m:val="p"/>
          </m:rPr>
          <m:t>⌈</m:t>
        </m:r>
        <m:r>
          <m:rPr>
            <m:sty m:val="p"/>
          </m:rPr>
          <m:t>ln</m:t>
        </m:r>
        <m:r>
          <m:t>1000</m:t>
        </m:r>
        <m:r>
          <m:rPr>
            <m:sty m:val="p"/>
          </m:rPr>
          <m:t>⌉</m:t>
        </m:r>
        <m:r>
          <m:rPr>
            <m:sty m:val="p"/>
          </m:rPr>
          <m:t>=</m:t>
        </m:r>
        <m:r>
          <m:t>7</m:t>
        </m:r>
      </m:oMath>
      <w:r>
        <w:t xml:space="preserve">; 190,281 counters.</w:t>
      </w:r>
    </w:p>
    <w:p>
      <w:pPr>
        <w:numPr>
          <w:ilvl w:val="0"/>
          <w:numId w:val="1592"/>
        </w:numPr>
        <w:pStyle w:val="Compact"/>
      </w:pPr>
      <m:oMath>
        <m:r>
          <m:t>N</m:t>
        </m:r>
        <m:r>
          <m:rPr>
            <m:sty m:val="p"/>
          </m:rPr>
          <m:t>/</m:t>
        </m:r>
        <m:r>
          <m:t>k</m:t>
        </m:r>
        <m:r>
          <m:rPr>
            <m:sty m:val="p"/>
          </m:rPr>
          <m:t>=</m:t>
        </m:r>
        <m:sSup>
          <m:e>
            <m:r>
              <m:t>10</m:t>
            </m:r>
          </m:e>
          <m:sup>
            <m:r>
              <m:t>7</m:t>
            </m:r>
          </m:sup>
        </m:sSup>
        <m:r>
          <m:rPr>
            <m:sty m:val="p"/>
          </m:rPr>
          <m:t>/</m:t>
        </m:r>
        <m:r>
          <m:t>500</m:t>
        </m:r>
        <m:r>
          <m:rPr>
            <m:sty m:val="p"/>
          </m:rPr>
          <m:t>=</m:t>
        </m:r>
        <m:r>
          <m:t>20</m:t>
        </m:r>
        <m:r>
          <m:rPr>
            <m:sty m:val="p"/>
          </m:rPr>
          <m:t>,</m:t>
        </m:r>
        <m:r>
          <m:t>000</m:t>
        </m:r>
      </m:oMath>
      <w:r>
        <w:t xml:space="preserve">.</w:t>
      </w:r>
    </w:p>
    <w:p>
      <w:pPr>
        <w:numPr>
          <w:ilvl w:val="0"/>
          <w:numId w:val="1592"/>
        </w:numPr>
        <w:pStyle w:val="Compact"/>
      </w:pPr>
      <m:oMath>
        <m:sSub>
          <m:e>
            <m:r>
              <m:rPr>
                <m:sty m:val="p"/>
              </m:rPr>
              <m:t>log</m:t>
            </m:r>
          </m:e>
          <m:sub>
            <m:r>
              <m:t>4</m:t>
            </m:r>
          </m:sub>
        </m:sSub>
        <m:sSup>
          <m:e>
            <m:r>
              <m:t>4</m:t>
            </m:r>
          </m:e>
          <m:sup>
            <m:r>
              <m:t>10</m:t>
            </m:r>
          </m:sup>
        </m:sSup>
        <m:r>
          <m:rPr>
            <m:sty m:val="p"/>
          </m:rPr>
          <m:t>=</m:t>
        </m:r>
        <m:r>
          <m:t>10</m:t>
        </m:r>
      </m:oMath>
      <w:r>
        <w:t xml:space="preserve"> </w:t>
      </w:r>
      <w:r>
        <w:t xml:space="preserve">levels;</w:t>
      </w:r>
      <w:r>
        <w:t xml:space="preserve"> </w:t>
      </w:r>
      <m:oMath>
        <m:r>
          <m:t>1</m:t>
        </m:r>
        <m:r>
          <m:rPr>
            <m:sty m:val="p"/>
          </m:rPr>
          <m:t>/</m:t>
        </m:r>
        <m:d>
          <m:dPr>
            <m:begChr m:val="("/>
            <m:endChr m:val=")"/>
            <m:sepChr m:val=""/>
            <m:grow/>
          </m:dPr>
          <m:e>
            <m:r>
              <m:t>1</m:t>
            </m:r>
            <m:r>
              <m:rPr>
                <m:sty m:val="p"/>
              </m:rPr>
              <m:t>−</m:t>
            </m:r>
            <m:r>
              <m:t>0.25</m:t>
            </m:r>
          </m:e>
        </m:d>
        <m:r>
          <m:rPr>
            <m:sty m:val="p"/>
          </m:rPr>
          <m:t>=</m:t>
        </m:r>
        <m:r>
          <m:t>1.33</m:t>
        </m:r>
      </m:oMath>
      <w:r>
        <w:t xml:space="preserve"> </w:t>
      </w:r>
      <w:r>
        <w:t xml:space="preserve">pointers per node.</w:t>
      </w:r>
    </w:p>
    <w:p>
      <w:pPr>
        <w:numPr>
          <w:ilvl w:val="0"/>
          <w:numId w:val="1592"/>
        </w:numPr>
        <w:pStyle w:val="Compact"/>
      </w:pPr>
      <m:oMath>
        <m:r>
          <m:rPr>
            <m:sty m:val="p"/>
          </m:rPr>
          <m:t>⌈</m:t>
        </m:r>
        <m:sSub>
          <m:e>
            <m:r>
              <m:rPr>
                <m:sty m:val="p"/>
              </m:rPr>
              <m:t>log</m:t>
            </m:r>
          </m:e>
          <m:sub>
            <m:r>
              <m:t>2</m:t>
            </m:r>
          </m:sub>
        </m:sSub>
        <m:sSup>
          <m:e>
            <m:r>
              <m:t>10</m:t>
            </m:r>
          </m:e>
          <m:sup>
            <m:r>
              <m:t>9</m:t>
            </m:r>
          </m:sup>
        </m:sSup>
        <m:r>
          <m:rPr>
            <m:sty m:val="p"/>
          </m:rPr>
          <m:t>⌉</m:t>
        </m:r>
        <m:r>
          <m:rPr>
            <m:sty m:val="p"/>
          </m:rPr>
          <m:t>=</m:t>
        </m:r>
        <m:r>
          <m:t>30</m:t>
        </m:r>
      </m:oMath>
      <w:r>
        <w:t xml:space="preserve"> </w:t>
      </w:r>
      <w:r>
        <w:t xml:space="preserve">hashes (960 bytes with SHA-256).</w:t>
      </w:r>
    </w:p>
    <w:p>
      <w:pPr>
        <w:numPr>
          <w:ilvl w:val="0"/>
          <w:numId w:val="1592"/>
        </w:numPr>
        <w:pStyle w:val="Compact"/>
      </w:pPr>
      <w:r>
        <w:t xml:space="preserve">Width</w:t>
      </w:r>
      <w:r>
        <w:t xml:space="preserve"> </w:t>
      </w:r>
      <m:oMath>
        <m:r>
          <m:t>1.223</m:t>
        </m:r>
        <m:r>
          <m:rPr>
            <m:sty m:val="p"/>
          </m:rPr>
          <m:t>×</m:t>
        </m:r>
        <m:r>
          <m:rPr>
            <m:sty m:val="p"/>
          </m:rPr>
          <m:t>cos</m:t>
        </m:r>
        <m:sSup>
          <m:e>
            <m:r>
              <m:t>60</m:t>
            </m:r>
          </m:e>
          <m:sup>
            <m:r>
              <m:rPr>
                <m:sty m:val="p"/>
              </m:rPr>
              <m:t>∘</m:t>
            </m:r>
          </m:sup>
        </m:sSup>
        <m:r>
          <m:rPr>
            <m:sty m:val="p"/>
          </m:rPr>
          <m:t>=</m:t>
        </m:r>
        <m:r>
          <m:t>0.61</m:t>
        </m:r>
      </m:oMath>
      <w:r>
        <w:t xml:space="preserve"> </w:t>
      </w:r>
      <w:r>
        <w:t xml:space="preserve">km; height 0.61 km, about 610 m × 610 m.</w:t>
      </w:r>
    </w:p>
    <w:p>
      <w:pPr>
        <w:numPr>
          <w:ilvl w:val="0"/>
          <w:numId w:val="1592"/>
        </w:numPr>
        <w:pStyle w:val="Compact"/>
      </w:pPr>
      <w:r>
        <w:t xml:space="preserve">All six neighbors share an edge and are equidistant from the center, so a</w:t>
      </w:r>
      <w:r>
        <w:t xml:space="preserve"> </w:t>
      </w:r>
      <m:oMath>
        <m:r>
          <m:t>k</m:t>
        </m:r>
      </m:oMath>
      <w:r>
        <w:t xml:space="preserve">-ring is a uniform neighborhood; squares have edge and corner neighbors at different distances.</w:t>
      </w:r>
    </w:p>
    <w:p>
      <w:pPr>
        <w:numPr>
          <w:ilvl w:val="0"/>
          <w:numId w:val="1592"/>
        </w:numPr>
        <w:pStyle w:val="Compact"/>
      </w:pPr>
      <m:oMath>
        <m:sSup>
          <m:e>
            <m:r>
              <m:t>2</m:t>
            </m:r>
          </m:e>
          <m:sup>
            <m:r>
              <m:t>41</m:t>
            </m:r>
          </m:sup>
        </m:sSup>
      </m:oMath>
      <w:r>
        <w:t xml:space="preserve"> </w:t>
      </w:r>
      <w:r>
        <w:t xml:space="preserve">ms = 69.7 years;</w:t>
      </w:r>
      <w:r>
        <w:t xml:space="preserve"> </w:t>
      </w:r>
      <m:oMath>
        <m:r>
          <m:t>4</m:t>
        </m:r>
        <m:r>
          <m:rPr>
            <m:sty m:val="p"/>
          </m:rPr>
          <m:t>,</m:t>
        </m:r>
        <m:r>
          <m:t>096</m:t>
        </m:r>
        <m:r>
          <m:rPr>
            <m:sty m:val="p"/>
          </m:rPr>
          <m:t>×</m:t>
        </m:r>
        <m:r>
          <m:t>1</m:t>
        </m:r>
        <m:r>
          <m:rPr>
            <m:sty m:val="p"/>
          </m:rPr>
          <m:t>,</m:t>
        </m:r>
        <m:r>
          <m:t>000</m:t>
        </m:r>
        <m:r>
          <m:rPr>
            <m:sty m:val="p"/>
          </m:rPr>
          <m:t>=</m:t>
        </m:r>
        <m:r>
          <m:t>4</m:t>
        </m:r>
        <m:r>
          <m:rPr>
            <m:sty m:val="p"/>
          </m:rPr>
          <m:t>,</m:t>
        </m:r>
        <m:r>
          <m:t>096</m:t>
        </m:r>
        <m:r>
          <m:rPr>
            <m:sty m:val="p"/>
          </m:rPr>
          <m:t>,</m:t>
        </m:r>
        <m:r>
          <m:t>000</m:t>
        </m:r>
      </m:oMath>
      <w:r>
        <w:t xml:space="preserve"> </w:t>
      </w:r>
      <w:r>
        <w:t xml:space="preserve">IDs per second.</w:t>
      </w:r>
    </w:p>
    <w:p>
      <w:pPr>
        <w:numPr>
          <w:ilvl w:val="0"/>
          <w:numId w:val="1592"/>
        </w:numPr>
        <w:pStyle w:val="Compact"/>
      </w:pPr>
      <w:r>
        <w:t xml:space="preserve">Each insert targets a random leaf page; once the index exceeds memory, most inserts need a disk read and cause page splits across the tree. Time-ordered keys append near the rightmost pages, which stay cached.</w:t>
      </w:r>
    </w:p>
    <w:p>
      <w:pPr>
        <w:numPr>
          <w:ilvl w:val="0"/>
          <w:numId w:val="1592"/>
        </w:numPr>
        <w:pStyle w:val="Compact"/>
      </w:pPr>
      <m:oMath>
        <m:r>
          <m:t>k</m:t>
        </m:r>
        <m:r>
          <m:rPr>
            <m:sty m:val="p"/>
          </m:rPr>
          <m:t>/</m:t>
        </m:r>
        <m:r>
          <m:t>n</m:t>
        </m:r>
        <m:r>
          <m:rPr>
            <m:sty m:val="p"/>
          </m:rPr>
          <m:t>=</m:t>
        </m:r>
        <m:r>
          <m:t>5</m:t>
        </m:r>
        <m:r>
          <m:rPr>
            <m:sty m:val="p"/>
          </m:rPr>
          <m:t>/</m:t>
        </m:r>
        <m:r>
          <m:t>1</m:t>
        </m:r>
        <m:r>
          <m:rPr>
            <m:sty m:val="p"/>
          </m:rPr>
          <m:t>,</m:t>
        </m:r>
        <m:r>
          <m:t>000</m:t>
        </m:r>
        <m:r>
          <m:rPr>
            <m:sty m:val="p"/>
          </m:rPr>
          <m:t>=</m:t>
        </m:r>
        <m:r>
          <m:t>0.5</m:t>
        </m:r>
        <m:r>
          <m:rPr>
            <m:sty m:val="p"/>
          </m:rPr>
          <m:t>%</m:t>
        </m:r>
      </m:oMath>
      <w:r>
        <w:t xml:space="preserve">, the same as every other item.</w:t>
      </w:r>
    </w:p>
    <w:bookmarkEnd w:id="2037"/>
    <w:bookmarkStart w:id="2041" w:name="interview-questions-16"/>
    <w:p>
      <w:pPr>
        <w:pStyle w:val="Heading2"/>
      </w:pPr>
      <w:r>
        <w:t xml:space="preserve">17.15 Interview questions</w:t>
      </w:r>
    </w:p>
    <w:bookmarkStart w:id="2038" w:name="basic-16"/>
    <w:p>
      <w:pPr>
        <w:pStyle w:val="Heading3"/>
      </w:pPr>
      <w:r>
        <w:t xml:space="preserve">Basic</w:t>
      </w:r>
    </w:p>
    <w:p>
      <w:pPr>
        <w:pStyle w:val="FirstParagraph"/>
      </w:pPr>
      <w:r>
        <w:rPr>
          <w:bCs/>
          <w:b/>
        </w:rPr>
        <w:t xml:space="preserve">Q1. How would you check username availability for 1 billion users as the user types?</w:t>
      </w:r>
      <w:r>
        <w:t xml:space="preserve"> </w:t>
      </w:r>
      <w:r>
        <w:rPr>
          <w:bCs/>
          <w:b/>
        </w:rPr>
        <w:t xml:space="preserve">Answer.</w:t>
      </w:r>
      <w:r>
        <w:t xml:space="preserve"> </w:t>
      </w:r>
      <w:r>
        <w:t xml:space="preserve">Put a Bloom filter of all usernames in memory on each API node: at 1% false positives that is 9.6 bits per name, about 1.2 GB, with</w:t>
      </w:r>
      <w:r>
        <w:t xml:space="preserve"> </w:t>
      </w:r>
      <m:oMath>
        <m:r>
          <m:t>k</m:t>
        </m:r>
        <m:r>
          <m:rPr>
            <m:sty m:val="p"/>
          </m:rPr>
          <m:t>=</m:t>
        </m:r>
        <m:r>
          <m:t>7</m:t>
        </m:r>
      </m:oMath>
      <w:r>
        <w:t xml:space="preserve">. A</w:t>
      </w:r>
      <w:r>
        <w:t xml:space="preserve"> </w:t>
      </w:r>
      <w:r>
        <w:t xml:space="preserve">“</w:t>
      </w:r>
      <w:r>
        <w:t xml:space="preserve">definitely absent</w:t>
      </w:r>
      <w:r>
        <w:t xml:space="preserve">”</w:t>
      </w:r>
      <w:r>
        <w:t xml:space="preserve"> </w:t>
      </w:r>
      <w:r>
        <w:t xml:space="preserve">answer is shown immediately; a</w:t>
      </w:r>
      <w:r>
        <w:t xml:space="preserve"> </w:t>
      </w:r>
      <w:r>
        <w:t xml:space="preserve">“</w:t>
      </w:r>
      <w:r>
        <w:t xml:space="preserve">maybe taken</w:t>
      </w:r>
      <w:r>
        <w:t xml:space="preserve">”</w:t>
      </w:r>
      <w:r>
        <w:t xml:space="preserve"> </w:t>
      </w:r>
      <w:r>
        <w:t xml:space="preserve">answer is confirmed against the database (a unique index on the username column), which also handles races at sign-up time. Rebuild or grow the filter as the user base grows, and add new names to it on sign-up.</w:t>
      </w:r>
    </w:p>
    <w:p>
      <w:pPr>
        <w:pStyle w:val="BodyText"/>
      </w:pPr>
      <w:r>
        <w:rPr>
          <w:bCs/>
          <w:b/>
        </w:rPr>
        <w:t xml:space="preserve">Q2. How would you count daily unique visitors per page for a site with 10 million pages?</w:t>
      </w:r>
      <w:r>
        <w:t xml:space="preserve"> </w:t>
      </w:r>
      <w:r>
        <w:rPr>
          <w:bCs/>
          <w:b/>
        </w:rPr>
        <w:t xml:space="preserve">Answer.</w:t>
      </w:r>
      <w:r>
        <w:t xml:space="preserve"> </w:t>
      </w:r>
      <w:r>
        <w:t xml:space="preserve">One HyperLogLog per page per day (Redis</w:t>
      </w:r>
      <w:r>
        <w:t xml:space="preserve"> </w:t>
      </w:r>
      <w:r>
        <w:rPr>
          <w:rStyle w:val="VerbatimChar"/>
        </w:rPr>
        <w:t xml:space="preserve">PFADD</w:t>
      </w:r>
      <w:r>
        <w:t xml:space="preserve">), 12 KB dense at 0.81% error, much less for small pages thanks to the sparse encoding. Weekly and monthly uniques come from</w:t>
      </w:r>
      <w:r>
        <w:t xml:space="preserve"> </w:t>
      </w:r>
      <w:r>
        <w:rPr>
          <w:rStyle w:val="VerbatimChar"/>
        </w:rPr>
        <w:t xml:space="preserve">PFMERGE</w:t>
      </w:r>
      <w:r>
        <w:t xml:space="preserve">, not from summing daily counts. Exact counts are needed only for billing-grade metrics.</w:t>
      </w:r>
    </w:p>
    <w:p>
      <w:pPr>
        <w:pStyle w:val="BodyText"/>
      </w:pPr>
      <w:r>
        <w:rPr>
          <w:bCs/>
          <w:b/>
        </w:rPr>
        <w:t xml:space="preserve">Q3. Why might you choose UUIDv7 over UUIDv4 for primary keys?</w:t>
      </w:r>
      <w:r>
        <w:t xml:space="preserve"> </w:t>
      </w:r>
      <w:r>
        <w:rPr>
          <w:bCs/>
          <w:b/>
        </w:rPr>
        <w:t xml:space="preserve">Answer.</w:t>
      </w:r>
      <w:r>
        <w:t xml:space="preserve"> </w:t>
      </w:r>
      <w:r>
        <w:t xml:space="preserve">UUIDv7 is time-ordered, so inserts go to the right edge of the B-tree index, keeping hot pages in memory and reducing page splits; it also allows rough time-range queries and pagination by ID. UUIDv4 is better when IDs must reveal nothing, including creation time.</w:t>
      </w:r>
    </w:p>
    <w:bookmarkEnd w:id="2038"/>
    <w:bookmarkStart w:id="2039" w:name="intermediate-16"/>
    <w:p>
      <w:pPr>
        <w:pStyle w:val="Heading3"/>
      </w:pPr>
      <w:r>
        <w:t xml:space="preserve">Intermediate</w:t>
      </w:r>
    </w:p>
    <w:p>
      <w:pPr>
        <w:pStyle w:val="FirstParagraph"/>
      </w:pPr>
      <w:r>
        <w:rPr>
          <w:bCs/>
          <w:b/>
        </w:rPr>
        <w:t xml:space="preserve">Q4. Design a</w:t>
      </w:r>
      <w:r>
        <w:rPr>
          <w:bCs/>
          <w:b/>
        </w:rPr>
        <w:t xml:space="preserve"> </w:t>
      </w:r>
      <w:r>
        <w:rPr>
          <w:bCs/>
          <w:b/>
        </w:rPr>
        <w:t xml:space="preserve">“</w:t>
      </w:r>
      <w:r>
        <w:rPr>
          <w:bCs/>
          <w:b/>
        </w:rPr>
        <w:t xml:space="preserve">trending hashtags in the last 10 minutes</w:t>
      </w:r>
      <w:r>
        <w:rPr>
          <w:bCs/>
          <w:b/>
        </w:rPr>
        <w:t xml:space="preserve">”</w:t>
      </w:r>
      <w:r>
        <w:rPr>
          <w:bCs/>
          <w:b/>
        </w:rPr>
        <w:t xml:space="preserve"> </w:t>
      </w:r>
      <w:r>
        <w:rPr>
          <w:bCs/>
          <w:b/>
        </w:rPr>
        <w:t xml:space="preserve">feature for 500,000 tweets per second.</w:t>
      </w:r>
      <w:r>
        <w:t xml:space="preserve"> </w:t>
      </w:r>
      <w:r>
        <w:rPr>
          <w:bCs/>
          <w:b/>
        </w:rPr>
        <w:t xml:space="preserve">Answer.</w:t>
      </w:r>
      <w:r>
        <w:t xml:space="preserve"> </w:t>
      </w:r>
      <w:r>
        <w:t xml:space="preserve">Partition the stream (by hashtag, so each tag’s counts land on one worker). Each worker keeps per-minute Count-Min sketches and a Space-Saving or CMS-plus-heap candidate list. Every few seconds workers send their top candidates to an aggregator, which sums the last ten one-minute windows and ranks by a velocity score (current versus baseline rate) rather than raw counts, so permanently popular tags do not dominate. With</w:t>
      </w:r>
      <w:r>
        <w:t xml:space="preserve"> </w:t>
      </w:r>
      <m:oMath>
        <m:r>
          <m:t>ε</m:t>
        </m:r>
        <m:r>
          <m:rPr>
            <m:sty m:val="p"/>
          </m:rPr>
          <m:t>=</m:t>
        </m:r>
        <m:sSup>
          <m:e>
            <m:r>
              <m:t>10</m:t>
            </m:r>
          </m:e>
          <m:sup>
            <m:r>
              <m:rPr>
                <m:sty m:val="p"/>
              </m:rPr>
              <m:t>−</m:t>
            </m:r>
            <m:r>
              <m:t>5</m:t>
            </m:r>
          </m:sup>
        </m:sSup>
      </m:oMath>
      <w:r>
        <w:t xml:space="preserve"> </w:t>
      </w:r>
      <w:r>
        <w:t xml:space="preserve">the per-window error is</w:t>
      </w:r>
      <w:r>
        <w:t xml:space="preserve"> </w:t>
      </w:r>
      <m:oMath>
        <m:sSup>
          <m:e>
            <m:r>
              <m:t>10</m:t>
            </m:r>
          </m:e>
          <m:sup>
            <m:r>
              <m:rPr>
                <m:sty m:val="p"/>
              </m:rPr>
              <m:t>−</m:t>
            </m:r>
            <m:r>
              <m:t>5</m:t>
            </m:r>
          </m:sup>
        </m:sSup>
        <m:r>
          <m:rPr>
            <m:sty m:val="p"/>
          </m:rPr>
          <m:t>×</m:t>
        </m:r>
        <m:r>
          <m:t>3</m:t>
        </m:r>
        <m:r>
          <m:rPr>
            <m:sty m:val="p"/>
          </m:rPr>
          <m:t>×</m:t>
        </m:r>
        <m:sSup>
          <m:e>
            <m:r>
              <m:t>10</m:t>
            </m:r>
          </m:e>
          <m:sup>
            <m:r>
              <m:t>7</m:t>
            </m:r>
          </m:sup>
        </m:sSup>
        <m:r>
          <m:rPr>
            <m:sty m:val="p"/>
          </m:rPr>
          <m:t>=</m:t>
        </m:r>
        <m:r>
          <m:t>300</m:t>
        </m:r>
      </m:oMath>
      <w:r>
        <w:t xml:space="preserve"> </w:t>
      </w:r>
      <w:r>
        <w:t xml:space="preserve">mentions, small next to trending tags with tens of thousands. Discuss spam filtering and late events.</w:t>
      </w:r>
    </w:p>
    <w:p>
      <w:pPr>
        <w:pStyle w:val="BodyText"/>
      </w:pPr>
      <w:r>
        <w:rPr>
          <w:bCs/>
          <w:b/>
        </w:rPr>
        <w:t xml:space="preserve">Q5. Your geohash-based</w:t>
      </w:r>
      <w:r>
        <w:rPr>
          <w:bCs/>
          <w:b/>
        </w:rPr>
        <w:t xml:space="preserve"> </w:t>
      </w:r>
      <w:r>
        <w:rPr>
          <w:bCs/>
          <w:b/>
        </w:rPr>
        <w:t xml:space="preserve">“</w:t>
      </w:r>
      <w:r>
        <w:rPr>
          <w:bCs/>
          <w:b/>
        </w:rPr>
        <w:t xml:space="preserve">nearby restaurants</w:t>
      </w:r>
      <w:r>
        <w:rPr>
          <w:bCs/>
          <w:b/>
        </w:rPr>
        <w:t xml:space="preserve">”</w:t>
      </w:r>
      <w:r>
        <w:rPr>
          <w:bCs/>
          <w:b/>
        </w:rPr>
        <w:t xml:space="preserve"> </w:t>
      </w:r>
      <w:r>
        <w:rPr>
          <w:bCs/>
          <w:b/>
        </w:rPr>
        <w:t xml:space="preserve">search misses results near cell edges. Why, and how do you fix it?</w:t>
      </w:r>
      <w:r>
        <w:t xml:space="preserve"> </w:t>
      </w:r>
      <w:r>
        <w:rPr>
          <w:bCs/>
          <w:b/>
        </w:rPr>
        <w:t xml:space="preserve">Answer.</w:t>
      </w:r>
      <w:r>
        <w:t xml:space="preserve"> </w:t>
      </w:r>
      <w:r>
        <w:t xml:space="preserve">Points close to the query point but across a cell boundary have different prefixes, and a 3 × 3 block covers less than the radius when cells are smaller than the radius. Fix: choose precision from the radius and latitude, compute the full set of cells covering the circle’s bounding box, scan all of them, then filter by exact distance. Or use S2’s region coverer.</w:t>
      </w:r>
    </w:p>
    <w:p>
      <w:pPr>
        <w:pStyle w:val="BodyText"/>
      </w:pPr>
      <w:r>
        <w:rPr>
          <w:bCs/>
          <w:b/>
        </w:rPr>
        <w:t xml:space="preserve">Q6. Two replicas of a 2 TB key-value store may have diverged after a network partition. How do you find and fix the differences efficiently?</w:t>
      </w:r>
      <w:r>
        <w:t xml:space="preserve"> </w:t>
      </w:r>
      <w:r>
        <w:rPr>
          <w:bCs/>
          <w:b/>
        </w:rPr>
        <w:t xml:space="preserve">Answer.</w:t>
      </w:r>
      <w:r>
        <w:t xml:space="preserve"> </w:t>
      </w:r>
      <w:r>
        <w:t xml:space="preserve">Build a Merkle tree per token range on each replica, compare roots, and descend into differing subtrees; at the leaves, stream only the differing ranges and resolve conflicts with the system’s rule (timestamps, vector clocks, §27.14). Cost scales with the number of differences times tree depth. Leaf granularity trades tree size against overstreaming. Throttle tree building, which requires scanning data.</w:t>
      </w:r>
    </w:p>
    <w:bookmarkEnd w:id="2039"/>
    <w:bookmarkStart w:id="2040" w:name="advanced-16"/>
    <w:p>
      <w:pPr>
        <w:pStyle w:val="Heading3"/>
      </w:pPr>
      <w:r>
        <w:t xml:space="preserve">Advanced</w:t>
      </w:r>
    </w:p>
    <w:p>
      <w:pPr>
        <w:pStyle w:val="FirstParagraph"/>
      </w:pPr>
      <w:r>
        <w:rPr>
          <w:bCs/>
          <w:b/>
        </w:rPr>
        <w:t xml:space="preserve">Q7. An LSM-based store’s read latency for missing keys doubled after a data-size increase. What could be wrong with the Bloom filters?</w:t>
      </w:r>
      <w:r>
        <w:t xml:space="preserve"> </w:t>
      </w:r>
      <w:r>
        <w:rPr>
          <w:bCs/>
          <w:b/>
        </w:rPr>
        <w:t xml:space="preserve">Answer.</w:t>
      </w:r>
      <w:r>
        <w:t xml:space="preserve"> </w:t>
      </w:r>
      <w:r>
        <w:t xml:space="preserve">Possibilities: filters sized by an outdated</w:t>
      </w:r>
      <w:r>
        <w:t xml:space="preserve"> </w:t>
      </w:r>
      <m:oMath>
        <m:r>
          <m:t>n</m:t>
        </m:r>
      </m:oMath>
      <w:r>
        <w:t xml:space="preserve"> </w:t>
      </w:r>
      <w:r>
        <w:t xml:space="preserve">or a configured bits-per-key too low for the new number of SSTables (expected wasted reads = files ×</w:t>
      </w:r>
      <w:r>
        <w:t xml:space="preserve"> </w:t>
      </w:r>
      <m:oMath>
        <m:r>
          <m:t>p</m:t>
        </m:r>
      </m:oMath>
      <w:r>
        <w:t xml:space="preserve">); filter blocks evicted from the block cache because total filter memory grew (≈ 1.2 bytes per key at 1%), so filters themselves now cost disk reads; or many more levels/files after compaction changes. Check filter-useful and filter-miss metrics and block-cache hit ratio, pin filter and index blocks, lower</w:t>
      </w:r>
      <w:r>
        <w:t xml:space="preserve"> </w:t>
      </w:r>
      <m:oMath>
        <m:r>
          <m:t>p</m:t>
        </m:r>
      </m:oMath>
      <w:r>
        <w:t xml:space="preserve"> </w:t>
      </w:r>
      <w:r>
        <w:t xml:space="preserve">for the deepest level, or use a partitioned filter.</w:t>
      </w:r>
    </w:p>
    <w:p>
      <w:pPr>
        <w:pStyle w:val="BodyText"/>
      </w:pPr>
      <w:r>
        <w:rPr>
          <w:bCs/>
          <w:b/>
        </w:rPr>
        <w:t xml:space="preserve">Q8. Design ID generation for a multi-region payments platform producing 2 million IDs per second.</w:t>
      </w:r>
      <w:r>
        <w:t xml:space="preserve"> </w:t>
      </w:r>
      <w:r>
        <w:rPr>
          <w:bCs/>
          <w:b/>
        </w:rPr>
        <w:t xml:space="preserve">Answer.</w:t>
      </w:r>
      <w:r>
        <w:t xml:space="preserve"> </w:t>
      </w:r>
      <w:r>
        <w:t xml:space="preserve">A Snowflake-style 64-bit layout with an explicit region field: for example 41 bits of milliseconds from a 2026 epoch (69.7 years), 3 bits of region, 7 bits of worker within the region, 12 bits of sequence (</w:t>
      </w:r>
      <m:oMath>
        <m:sSup>
          <m:e>
            <m:r>
              <m:t>2</m:t>
            </m:r>
          </m:e>
          <m:sup>
            <m:r>
              <m:t>10</m:t>
            </m:r>
          </m:sup>
        </m:sSup>
      </m:oMath>
      <w:r>
        <w:t xml:space="preserve"> </w:t>
      </w:r>
      <w:r>
        <w:t xml:space="preserve">generators × 4.1 M/s gives ample headroom). Assign worker IDs through a lease in a coordination service so that two processes never share one, and refuse to issue IDs while a lease is lost. Handle clock steps by waiting out small ones and failing over large ones. Expose IDs externally only through opaque tokens if volume should stay private. Keep a unique constraint on storage as a final defense.</w:t>
      </w:r>
    </w:p>
    <w:p>
      <w:pPr>
        <w:pStyle w:val="BodyText"/>
      </w:pPr>
      <w:r>
        <w:rPr>
          <w:bCs/>
          <w:b/>
        </w:rPr>
        <w:t xml:space="preserve">Q9. A product manager wants</w:t>
      </w:r>
      <w:r>
        <w:rPr>
          <w:bCs/>
          <w:b/>
        </w:rPr>
        <w:t xml:space="preserve"> </w:t>
      </w:r>
      <w:r>
        <w:rPr>
          <w:bCs/>
          <w:b/>
        </w:rPr>
        <w:t xml:space="preserve">“</w:t>
      </w:r>
      <w:r>
        <w:rPr>
          <w:bCs/>
          <w:b/>
        </w:rPr>
        <w:t xml:space="preserve">users who visited both page A and page B this month</w:t>
      </w:r>
      <w:r>
        <w:rPr>
          <w:bCs/>
          <w:b/>
        </w:rPr>
        <w:t xml:space="preserve">”</w:t>
      </w:r>
      <w:r>
        <w:rPr>
          <w:bCs/>
          <w:b/>
        </w:rPr>
        <w:t xml:space="preserve"> </w:t>
      </w:r>
      <w:r>
        <w:rPr>
          <w:bCs/>
          <w:b/>
        </w:rPr>
        <w:t xml:space="preserve">from your HyperLogLog sketches. What do you say?</w:t>
      </w:r>
      <w:r>
        <w:t xml:space="preserve"> </w:t>
      </w:r>
      <w:r>
        <w:rPr>
          <w:bCs/>
          <w:b/>
        </w:rPr>
        <w:t xml:space="preserve">Answer.</w:t>
      </w:r>
      <w:r>
        <w:t xml:space="preserve"> </w:t>
      </w:r>
      <w:r>
        <w:t xml:space="preserve">HLL estimates unions well, but an intersection via inclusion–exclusion has an absolute error on the order of the errors of the large sets: with 10 M users each and a 100,000-user overlap at 0.81%, the noise exceeds the answer. Options: MinHash-based sketches (estimate the Jaccard similarity, then multiply by the union), exact computation in a batch job over the raw logs, or theta sketches that support set operations with stated error.</w:t>
      </w:r>
    </w:p>
    <w:bookmarkEnd w:id="2040"/>
    <w:bookmarkEnd w:id="2041"/>
    <w:bookmarkStart w:id="2042" w:name="practical-exercises-16"/>
    <w:p>
      <w:pPr>
        <w:pStyle w:val="Heading2"/>
      </w:pPr>
      <w:r>
        <w:t xml:space="preserve">17.16 Practical exercises</w:t>
      </w:r>
    </w:p>
    <w:p>
      <w:pPr>
        <w:numPr>
          <w:ilvl w:val="0"/>
          <w:numId w:val="1593"/>
        </w:numPr>
        <w:pStyle w:val="Compact"/>
      </w:pPr>
      <w:r>
        <w:rPr>
          <w:bCs/>
          <w:b/>
        </w:rPr>
        <w:t xml:space="preserve">Hash uniformity.</w:t>
      </w:r>
      <w:r>
        <w:t xml:space="preserve"> </w:t>
      </w:r>
      <w:r>
        <w:t xml:space="preserve">Replace</w:t>
      </w:r>
      <w:r>
        <w:t xml:space="preserve"> </w:t>
      </w:r>
      <w:r>
        <w:rPr>
          <w:rStyle w:val="VerbatimChar"/>
        </w:rPr>
        <w:t xml:space="preserve">murmur3_32</w:t>
      </w:r>
      <w:r>
        <w:t xml:space="preserve"> </w:t>
      </w:r>
      <w:r>
        <w:t xml:space="preserve">in §17.3.3 with Python’s FNV-1a and with CRC32 (</w:t>
      </w:r>
      <w:r>
        <w:rPr>
          <w:rStyle w:val="VerbatimChar"/>
        </w:rPr>
        <w:t xml:space="preserve">zlib.crc32</w:t>
      </w:r>
      <w:r>
        <w:t xml:space="preserve">). Compare chi-square values on</w:t>
      </w:r>
      <w:r>
        <w:t xml:space="preserve"> </w:t>
      </w:r>
      <w:r>
        <w:rPr>
          <w:rStyle w:val="VerbatimChar"/>
        </w:rPr>
        <w:t xml:space="preserve">user:N</w:t>
      </w:r>
      <w:r>
        <w:t xml:space="preserve"> </w:t>
      </w:r>
      <w:r>
        <w:t xml:space="preserve">keys and on 100,000 random UUID strings.</w:t>
      </w:r>
    </w:p>
    <w:p>
      <w:pPr>
        <w:numPr>
          <w:ilvl w:val="0"/>
          <w:numId w:val="1593"/>
        </w:numPr>
        <w:pStyle w:val="Compact"/>
      </w:pPr>
      <w:r>
        <w:rPr>
          <w:bCs/>
          <w:b/>
        </w:rPr>
        <w:t xml:space="preserve">Bloom filter health.</w:t>
      </w:r>
      <w:r>
        <w:t xml:space="preserve"> </w:t>
      </w:r>
      <w:r>
        <w:t xml:space="preserve">Extend the §17.4.4 program to print the fraction of 1 bits as you insert from 0 to 3× the design capacity, and plot it against the measured false-positive rate.</w:t>
      </w:r>
    </w:p>
    <w:p>
      <w:pPr>
        <w:numPr>
          <w:ilvl w:val="0"/>
          <w:numId w:val="1593"/>
        </w:numPr>
        <w:pStyle w:val="Compact"/>
      </w:pPr>
      <w:r>
        <w:rPr>
          <w:bCs/>
          <w:b/>
        </w:rPr>
        <w:t xml:space="preserve">Scalable Bloom filter.</w:t>
      </w:r>
      <w:r>
        <w:t xml:space="preserve"> </w:t>
      </w:r>
      <w:r>
        <w:t xml:space="preserve">Implement a filter that adds a new, larger Bloom filter with a tighter</w:t>
      </w:r>
      <w:r>
        <w:t xml:space="preserve"> </w:t>
      </w:r>
      <m:oMath>
        <m:r>
          <m:t>p</m:t>
        </m:r>
      </m:oMath>
      <w:r>
        <w:t xml:space="preserve"> </w:t>
      </w:r>
      <w:r>
        <w:t xml:space="preserve">each time the current one reaches capacity, so the overall false-positive rate stays below a target.</w:t>
      </w:r>
    </w:p>
    <w:p>
      <w:pPr>
        <w:numPr>
          <w:ilvl w:val="0"/>
          <w:numId w:val="1593"/>
        </w:numPr>
        <w:pStyle w:val="Compact"/>
      </w:pPr>
      <w:r>
        <w:rPr>
          <w:bCs/>
          <w:b/>
        </w:rPr>
        <w:t xml:space="preserve">HyperLogLog bias.</w:t>
      </w:r>
      <w:r>
        <w:t xml:space="preserve"> </w:t>
      </w:r>
      <w:r>
        <w:t xml:space="preserve">Run the §17.5 program for</w:t>
      </w:r>
      <w:r>
        <w:t xml:space="preserve"> </w:t>
      </w:r>
      <m:oMath>
        <m:r>
          <m:t>n</m:t>
        </m:r>
      </m:oMath>
      <w:r>
        <w:t xml:space="preserve"> </w:t>
      </w:r>
      <w:r>
        <w:t xml:space="preserve">from 100 to 200,000 with</w:t>
      </w:r>
      <w:r>
        <w:t xml:space="preserve"> </w:t>
      </w:r>
      <m:oMath>
        <m:r>
          <m:t>p</m:t>
        </m:r>
        <m:r>
          <m:rPr>
            <m:sty m:val="p"/>
          </m:rPr>
          <m:t>=</m:t>
        </m:r>
        <m:r>
          <m:t>12</m:t>
        </m:r>
      </m:oMath>
      <w:r>
        <w:t xml:space="preserve"> </w:t>
      </w:r>
      <w:r>
        <w:t xml:space="preserve">and plot the relative error. Find where the raw estimator is biased and where linear counting takes over.</w:t>
      </w:r>
    </w:p>
    <w:p>
      <w:pPr>
        <w:numPr>
          <w:ilvl w:val="0"/>
          <w:numId w:val="1593"/>
        </w:numPr>
        <w:pStyle w:val="Compact"/>
      </w:pPr>
      <w:r>
        <w:rPr>
          <w:bCs/>
          <w:b/>
        </w:rPr>
        <w:t xml:space="preserve">Conservative update.</w:t>
      </w:r>
      <w:r>
        <w:t xml:space="preserve"> </w:t>
      </w:r>
      <w:r>
        <w:t xml:space="preserve">Modify the Count-Min sketch to use conservative update and compare mean and maximum error on the Zipf stream.</w:t>
      </w:r>
    </w:p>
    <w:p>
      <w:pPr>
        <w:numPr>
          <w:ilvl w:val="0"/>
          <w:numId w:val="1593"/>
        </w:numPr>
        <w:pStyle w:val="Compact"/>
      </w:pPr>
      <w:r>
        <w:rPr>
          <w:bCs/>
          <w:b/>
        </w:rPr>
        <w:t xml:space="preserve">Geohash versus H3.</w:t>
      </w:r>
      <w:r>
        <w:t xml:space="preserve"> </w:t>
      </w:r>
      <w:r>
        <w:t xml:space="preserve">Repeat the proximity search with H3 (</w:t>
      </w:r>
      <w:r>
        <w:rPr>
          <w:rStyle w:val="VerbatimChar"/>
        </w:rPr>
        <w:t xml:space="preserve">pip install h3</w:t>
      </w:r>
      <w:r>
        <w:t xml:space="preserve">) at resolution 8 using</w:t>
      </w:r>
      <w:r>
        <w:t xml:space="preserve"> </w:t>
      </w:r>
      <w:r>
        <w:rPr>
          <w:rStyle w:val="VerbatimChar"/>
        </w:rPr>
        <w:t xml:space="preserve">grid_disk</w:t>
      </w:r>
      <w:r>
        <w:t xml:space="preserve">, and compare candidate counts with the geohash covering approach.</w:t>
      </w:r>
    </w:p>
    <w:bookmarkEnd w:id="2042"/>
    <w:bookmarkStart w:id="2043" w:name="design-challenges-16"/>
    <w:p>
      <w:pPr>
        <w:pStyle w:val="Heading2"/>
      </w:pPr>
      <w:r>
        <w:t xml:space="preserve">17.17 Design challenges</w:t>
      </w:r>
    </w:p>
    <w:p>
      <w:pPr>
        <w:numPr>
          <w:ilvl w:val="0"/>
          <w:numId w:val="1594"/>
        </w:numPr>
        <w:pStyle w:val="Compact"/>
      </w:pPr>
      <w:r>
        <w:rPr>
          <w:bCs/>
          <w:b/>
        </w:rPr>
        <w:t xml:space="preserve">Web crawler frontier.</w:t>
      </w:r>
      <w:r>
        <w:t xml:space="preserve"> </w:t>
      </w:r>
      <w:r>
        <w:t xml:space="preserve">Design deduplication of URLs for a crawler that discovers 5 billion URLs per day and keeps 100 billion known URLs. Size the filter (or filters), decide how to handle false positives (missed pages) versus false negatives (impossible by design), and explain how the filter is partitioned across crawler nodes.</w:t>
      </w:r>
    </w:p>
    <w:p>
      <w:pPr>
        <w:numPr>
          <w:ilvl w:val="0"/>
          <w:numId w:val="1594"/>
        </w:numPr>
        <w:pStyle w:val="Compact"/>
      </w:pPr>
      <w:r>
        <w:rPr>
          <w:bCs/>
          <w:b/>
        </w:rPr>
        <w:t xml:space="preserve">Real-time analytics.</w:t>
      </w:r>
      <w:r>
        <w:t xml:space="preserve"> </w:t>
      </w:r>
      <w:r>
        <w:t xml:space="preserve">A product analytics service ingests 2 million events per second and must answer, within 5 seconds of an event: unique users per feature per hour, the top 50 features by usage, and p99 latency per endpoint. Choose a sketch for each, size it, show how per-partition sketches are merged, and state the error each answer carries.</w:t>
      </w:r>
    </w:p>
    <w:p>
      <w:pPr>
        <w:numPr>
          <w:ilvl w:val="0"/>
          <w:numId w:val="1594"/>
        </w:numPr>
        <w:pStyle w:val="Compact"/>
      </w:pPr>
      <w:r>
        <w:rPr>
          <w:bCs/>
          <w:b/>
        </w:rPr>
        <w:t xml:space="preserve">Nearby search at global scale.</w:t>
      </w:r>
      <w:r>
        <w:t xml:space="preserve"> </w:t>
      </w:r>
      <w:r>
        <w:t xml:space="preserve">Design the location index for a delivery app with 3 million active couriers in 800 cities, updates every 5 seconds, and queries for the 20 nearest couriers within 3 km. Compare geohash, S2 and H3 for this use, choose a cell size, estimate write load and memory per shard, and describe how the system behaves when a stadium event concentrates 20,000 couriers in a few cells.</w:t>
      </w:r>
    </w:p>
    <w:bookmarkEnd w:id="2043"/>
    <w:bookmarkStart w:id="2044" w:name="references-16"/>
    <w:p>
      <w:pPr>
        <w:pStyle w:val="Heading2"/>
      </w:pPr>
      <w:r>
        <w:t xml:space="preserve">17.18 References</w:t>
      </w:r>
    </w:p>
    <w:p>
      <w:pPr>
        <w:numPr>
          <w:ilvl w:val="0"/>
          <w:numId w:val="1595"/>
        </w:numPr>
        <w:pStyle w:val="Compact"/>
      </w:pPr>
      <w:r>
        <w:t xml:space="preserve">Apache Cassandra Documentation. Bloom filters; Repair; Partitioners. https://cassandra.apache.org/doc/latest/</w:t>
      </w:r>
    </w:p>
    <w:p>
      <w:pPr>
        <w:numPr>
          <w:ilvl w:val="0"/>
          <w:numId w:val="1595"/>
        </w:numPr>
        <w:pStyle w:val="Compact"/>
      </w:pPr>
      <w:r>
        <w:t xml:space="preserve">Appleby, A.</w:t>
      </w:r>
      <w:r>
        <w:t xml:space="preserve"> </w:t>
      </w:r>
      <w:r>
        <w:rPr>
          <w:iCs/>
          <w:i/>
        </w:rPr>
        <w:t xml:space="preserve">SMHasher</w:t>
      </w:r>
      <w:r>
        <w:t xml:space="preserve"> </w:t>
      </w:r>
      <w:r>
        <w:t xml:space="preserve">(MurmurHash3 reference implementation and test suite). https://github.com/aappleby/smhasher</w:t>
      </w:r>
    </w:p>
    <w:p>
      <w:pPr>
        <w:numPr>
          <w:ilvl w:val="0"/>
          <w:numId w:val="1595"/>
        </w:numPr>
        <w:pStyle w:val="Compact"/>
      </w:pPr>
      <w:r>
        <w:t xml:space="preserve">Aumasson, J.-P., Bernstein, D. J.</w:t>
      </w:r>
      <w:r>
        <w:t xml:space="preserve"> </w:t>
      </w:r>
      <w:r>
        <w:t xml:space="preserve">“</w:t>
      </w:r>
      <w:r>
        <w:t xml:space="preserve">SipHash: A Fast Short-Input PRF.</w:t>
      </w:r>
      <w:r>
        <w:t xml:space="preserve">”</w:t>
      </w:r>
      <w:r>
        <w:t xml:space="preserve"> </w:t>
      </w:r>
      <w:r>
        <w:rPr>
          <w:iCs/>
          <w:i/>
        </w:rPr>
        <w:t xml:space="preserve">INDOCRYPT 2012</w:t>
      </w:r>
      <w:r>
        <w:t xml:space="preserve">, LNCS 7668. Springer, 2012.</w:t>
      </w:r>
    </w:p>
    <w:p>
      <w:pPr>
        <w:numPr>
          <w:ilvl w:val="0"/>
          <w:numId w:val="1595"/>
        </w:numPr>
        <w:pStyle w:val="Compact"/>
      </w:pPr>
      <w:r>
        <w:t xml:space="preserve">Bloom, B. H.</w:t>
      </w:r>
      <w:r>
        <w:t xml:space="preserve"> </w:t>
      </w:r>
      <w:r>
        <w:t xml:space="preserve">“</w:t>
      </w:r>
      <w:r>
        <w:t xml:space="preserve">Space/Time Trade-offs in Hash Coding with Allowable Errors.</w:t>
      </w:r>
      <w:r>
        <w:t xml:space="preserve">”</w:t>
      </w:r>
      <w:r>
        <w:t xml:space="preserve"> </w:t>
      </w:r>
      <w:r>
        <w:rPr>
          <w:iCs/>
          <w:i/>
        </w:rPr>
        <w:t xml:space="preserve">Communications of the ACM</w:t>
      </w:r>
      <w:r>
        <w:t xml:space="preserve"> </w:t>
      </w:r>
      <w:r>
        <w:t xml:space="preserve">13(7):422–426, 1970.</w:t>
      </w:r>
    </w:p>
    <w:p>
      <w:pPr>
        <w:numPr>
          <w:ilvl w:val="0"/>
          <w:numId w:val="1595"/>
        </w:numPr>
        <w:pStyle w:val="Compact"/>
      </w:pPr>
      <w:r>
        <w:t xml:space="preserve">Bose, P., Guo, H., Kranakis, E., Maheshwari, A., Morin, P., Morrison, J., Smid, M., Tang, Y.</w:t>
      </w:r>
      <w:r>
        <w:t xml:space="preserve"> </w:t>
      </w:r>
      <w:r>
        <w:t xml:space="preserve">“</w:t>
      </w:r>
      <w:r>
        <w:t xml:space="preserve">On the False-Positive Rate of Bloom Filters.</w:t>
      </w:r>
      <w:r>
        <w:t xml:space="preserve">”</w:t>
      </w:r>
      <w:r>
        <w:t xml:space="preserve"> </w:t>
      </w:r>
      <w:r>
        <w:rPr>
          <w:iCs/>
          <w:i/>
        </w:rPr>
        <w:t xml:space="preserve">Information Processing Letters</w:t>
      </w:r>
      <w:r>
        <w:t xml:space="preserve"> </w:t>
      </w:r>
      <w:r>
        <w:t xml:space="preserve">108(4):210–213, 2008.</w:t>
      </w:r>
    </w:p>
    <w:p>
      <w:pPr>
        <w:numPr>
          <w:ilvl w:val="0"/>
          <w:numId w:val="1595"/>
        </w:numPr>
        <w:pStyle w:val="Compact"/>
      </w:pPr>
      <w:r>
        <w:t xml:space="preserve">Brodsky, I.</w:t>
      </w:r>
      <w:r>
        <w:t xml:space="preserve"> </w:t>
      </w:r>
      <w:r>
        <w:t xml:space="preserve">“</w:t>
      </w:r>
      <w:r>
        <w:t xml:space="preserve">H3: Uber’s Hexagonal Hierarchical Spatial Index.</w:t>
      </w:r>
      <w:r>
        <w:t xml:space="preserve">”</w:t>
      </w:r>
      <w:r>
        <w:t xml:space="preserve"> </w:t>
      </w:r>
      <w:r>
        <w:t xml:space="preserve">Uber Engineering Blog, 2018. https://www.uber.com/blog/h3/</w:t>
      </w:r>
    </w:p>
    <w:p>
      <w:pPr>
        <w:numPr>
          <w:ilvl w:val="0"/>
          <w:numId w:val="1595"/>
        </w:numPr>
        <w:pStyle w:val="Compact"/>
      </w:pPr>
      <w:r>
        <w:t xml:space="preserve">Broder, A., Mitzenmacher, M.</w:t>
      </w:r>
      <w:r>
        <w:t xml:space="preserve"> </w:t>
      </w:r>
      <w:r>
        <w:t xml:space="preserve">“</w:t>
      </w:r>
      <w:r>
        <w:t xml:space="preserve">Network Applications of Bloom Filters: A Survey.</w:t>
      </w:r>
      <w:r>
        <w:t xml:space="preserve">”</w:t>
      </w:r>
      <w:r>
        <w:t xml:space="preserve"> </w:t>
      </w:r>
      <w:r>
        <w:rPr>
          <w:iCs/>
          <w:i/>
        </w:rPr>
        <w:t xml:space="preserve">Internet Mathematics</w:t>
      </w:r>
      <w:r>
        <w:t xml:space="preserve"> </w:t>
      </w:r>
      <w:r>
        <w:t xml:space="preserve">1(4):485–509, 2004.</w:t>
      </w:r>
    </w:p>
    <w:p>
      <w:pPr>
        <w:numPr>
          <w:ilvl w:val="0"/>
          <w:numId w:val="1595"/>
        </w:numPr>
        <w:pStyle w:val="Compact"/>
      </w:pPr>
      <w:r>
        <w:t xml:space="preserve">Chacon, S., Straub, B.</w:t>
      </w:r>
      <w:r>
        <w:t xml:space="preserve"> </w:t>
      </w:r>
      <w:r>
        <w:rPr>
          <w:iCs/>
          <w:i/>
        </w:rPr>
        <w:t xml:space="preserve">Pro Git</w:t>
      </w:r>
      <w:r>
        <w:t xml:space="preserve">, 2nd ed. Apress, 2014. https://git-scm.com/book</w:t>
      </w:r>
    </w:p>
    <w:p>
      <w:pPr>
        <w:numPr>
          <w:ilvl w:val="0"/>
          <w:numId w:val="1595"/>
        </w:numPr>
        <w:pStyle w:val="Compact"/>
      </w:pPr>
      <w:r>
        <w:t xml:space="preserve">Chang, F., Dean, J., Ghemawat, S., Hsieh, W. C., Wallach, D. A., Burrows, M., Chandra, T., Fikes, A., Gruber, R. E.</w:t>
      </w:r>
      <w:r>
        <w:t xml:space="preserve"> </w:t>
      </w:r>
      <w:r>
        <w:t xml:space="preserve">“</w:t>
      </w:r>
      <w:r>
        <w:t xml:space="preserve">Bigtable: A Distributed Storage System for Structured Data.</w:t>
      </w:r>
      <w:r>
        <w:t xml:space="preserve">”</w:t>
      </w:r>
      <w:r>
        <w:t xml:space="preserve"> </w:t>
      </w:r>
      <w:r>
        <w:rPr>
          <w:iCs/>
          <w:i/>
        </w:rPr>
        <w:t xml:space="preserve">OSDI</w:t>
      </w:r>
      <w:r>
        <w:t xml:space="preserve">, 2006.</w:t>
      </w:r>
    </w:p>
    <w:p>
      <w:pPr>
        <w:numPr>
          <w:ilvl w:val="0"/>
          <w:numId w:val="1595"/>
        </w:numPr>
        <w:pStyle w:val="Compact"/>
      </w:pPr>
      <w:r>
        <w:t xml:space="preserve">Collet, Y.</w:t>
      </w:r>
      <w:r>
        <w:t xml:space="preserve"> </w:t>
      </w:r>
      <w:r>
        <w:rPr>
          <w:iCs/>
          <w:i/>
        </w:rPr>
        <w:t xml:space="preserve">xxHash</w:t>
      </w:r>
      <w:r>
        <w:t xml:space="preserve">. https://github.com/Cyan4973/xxHash</w:t>
      </w:r>
    </w:p>
    <w:p>
      <w:pPr>
        <w:numPr>
          <w:ilvl w:val="0"/>
          <w:numId w:val="1595"/>
        </w:numPr>
        <w:pStyle w:val="Compact"/>
      </w:pPr>
      <w:r>
        <w:t xml:space="preserve">Cormode, G., Muthukrishnan, S.</w:t>
      </w:r>
      <w:r>
        <w:t xml:space="preserve"> </w:t>
      </w:r>
      <w:r>
        <w:t xml:space="preserve">“</w:t>
      </w:r>
      <w:r>
        <w:t xml:space="preserve">An Improved Data Stream Summary: The Count-Min Sketch and Its Applications.</w:t>
      </w:r>
      <w:r>
        <w:t xml:space="preserve">”</w:t>
      </w:r>
      <w:r>
        <w:t xml:space="preserve"> </w:t>
      </w:r>
      <w:r>
        <w:rPr>
          <w:iCs/>
          <w:i/>
        </w:rPr>
        <w:t xml:space="preserve">Journal of Algorithms</w:t>
      </w:r>
      <w:r>
        <w:t xml:space="preserve"> </w:t>
      </w:r>
      <w:r>
        <w:t xml:space="preserve">55(1):58–75, 2005.</w:t>
      </w:r>
    </w:p>
    <w:p>
      <w:pPr>
        <w:numPr>
          <w:ilvl w:val="0"/>
          <w:numId w:val="1595"/>
        </w:numPr>
        <w:pStyle w:val="Compact"/>
      </w:pPr>
      <w:r>
        <w:t xml:space="preserve">Crosby, S. A., Wallach, D. S.</w:t>
      </w:r>
      <w:r>
        <w:t xml:space="preserve"> </w:t>
      </w:r>
      <w:r>
        <w:t xml:space="preserve">“</w:t>
      </w:r>
      <w:r>
        <w:t xml:space="preserve">Denial of Service via Algorithmic Complexity Attacks.</w:t>
      </w:r>
      <w:r>
        <w:t xml:space="preserve">”</w:t>
      </w:r>
      <w:r>
        <w:t xml:space="preserve"> </w:t>
      </w:r>
      <w:r>
        <w:rPr>
          <w:iCs/>
          <w:i/>
        </w:rPr>
        <w:t xml:space="preserve">USENIX Security Symposium</w:t>
      </w:r>
      <w:r>
        <w:t xml:space="preserve">, 2003.</w:t>
      </w:r>
    </w:p>
    <w:p>
      <w:pPr>
        <w:numPr>
          <w:ilvl w:val="0"/>
          <w:numId w:val="1595"/>
        </w:numPr>
        <w:pStyle w:val="Compact"/>
      </w:pPr>
      <w:r>
        <w:t xml:space="preserve">DeCandia, G., Hastorun, D., Jampani, M., Kakulapati, G., Lakshman, A., Pilchin, A., Sivasubramanian, S., Vosshall, P., Vogels, W.</w:t>
      </w:r>
      <w:r>
        <w:t xml:space="preserve"> </w:t>
      </w:r>
      <w:r>
        <w:t xml:space="preserve">“</w:t>
      </w:r>
      <w:r>
        <w:t xml:space="preserve">Dynamo: Amazon’s Highly Available Key-Value Store.</w:t>
      </w:r>
      <w:r>
        <w:t xml:space="preserve">”</w:t>
      </w:r>
      <w:r>
        <w:t xml:space="preserve"> </w:t>
      </w:r>
      <w:r>
        <w:rPr>
          <w:iCs/>
          <w:i/>
        </w:rPr>
        <w:t xml:space="preserve">SOSP</w:t>
      </w:r>
      <w:r>
        <w:t xml:space="preserve">, 2007.</w:t>
      </w:r>
    </w:p>
    <w:p>
      <w:pPr>
        <w:numPr>
          <w:ilvl w:val="0"/>
          <w:numId w:val="1595"/>
        </w:numPr>
        <w:pStyle w:val="Compact"/>
      </w:pPr>
      <w:r>
        <w:t xml:space="preserve">Efraimidis, P. S., Spirakis, P. G.</w:t>
      </w:r>
      <w:r>
        <w:t xml:space="preserve"> </w:t>
      </w:r>
      <w:r>
        <w:t xml:space="preserve">“</w:t>
      </w:r>
      <w:r>
        <w:t xml:space="preserve">Weighted Random Sampling with a Reservoir.</w:t>
      </w:r>
      <w:r>
        <w:t xml:space="preserve">”</w:t>
      </w:r>
      <w:r>
        <w:t xml:space="preserve"> </w:t>
      </w:r>
      <w:r>
        <w:rPr>
          <w:iCs/>
          <w:i/>
        </w:rPr>
        <w:t xml:space="preserve">Information Processing Letters</w:t>
      </w:r>
      <w:r>
        <w:t xml:space="preserve"> </w:t>
      </w:r>
      <w:r>
        <w:t xml:space="preserve">97(5):181–185, 2006.</w:t>
      </w:r>
    </w:p>
    <w:p>
      <w:pPr>
        <w:numPr>
          <w:ilvl w:val="0"/>
          <w:numId w:val="1595"/>
        </w:numPr>
        <w:pStyle w:val="Compact"/>
      </w:pPr>
      <w:r>
        <w:t xml:space="preserve">Fan, B., Andersen, D. G., Kaminsky, M., Mitzenmacher, M. D.</w:t>
      </w:r>
      <w:r>
        <w:t xml:space="preserve"> </w:t>
      </w:r>
      <w:r>
        <w:t xml:space="preserve">“</w:t>
      </w:r>
      <w:r>
        <w:t xml:space="preserve">Cuckoo Filter: Practically Better Than Bloom.</w:t>
      </w:r>
      <w:r>
        <w:t xml:space="preserve">”</w:t>
      </w:r>
      <w:r>
        <w:t xml:space="preserve"> </w:t>
      </w:r>
      <w:r>
        <w:rPr>
          <w:iCs/>
          <w:i/>
        </w:rPr>
        <w:t xml:space="preserve">ACM CoNEXT</w:t>
      </w:r>
      <w:r>
        <w:t xml:space="preserve">, 2014.</w:t>
      </w:r>
    </w:p>
    <w:p>
      <w:pPr>
        <w:numPr>
          <w:ilvl w:val="0"/>
          <w:numId w:val="1595"/>
        </w:numPr>
        <w:pStyle w:val="Compact"/>
      </w:pPr>
      <w:r>
        <w:t xml:space="preserve">Fan, L., Cao, P., Almeida, J., Broder, A. Z.</w:t>
      </w:r>
      <w:r>
        <w:t xml:space="preserve"> </w:t>
      </w:r>
      <w:r>
        <w:t xml:space="preserve">“</w:t>
      </w:r>
      <w:r>
        <w:t xml:space="preserve">Summary Cache: A Scalable Wide-Area Web Cache Sharing Protocol.</w:t>
      </w:r>
      <w:r>
        <w:t xml:space="preserve">”</w:t>
      </w:r>
      <w:r>
        <w:t xml:space="preserve"> </w:t>
      </w:r>
      <w:r>
        <w:rPr>
          <w:iCs/>
          <w:i/>
        </w:rPr>
        <w:t xml:space="preserve">IEEE/ACM Transactions on Networking</w:t>
      </w:r>
      <w:r>
        <w:t xml:space="preserve"> </w:t>
      </w:r>
      <w:r>
        <w:t xml:space="preserve">8(3):281–293, 2000.</w:t>
      </w:r>
    </w:p>
    <w:p>
      <w:pPr>
        <w:numPr>
          <w:ilvl w:val="0"/>
          <w:numId w:val="1595"/>
        </w:numPr>
        <w:pStyle w:val="Compact"/>
      </w:pPr>
      <w:r>
        <w:t xml:space="preserve">Finkel, R. A., Bentley, J. L.</w:t>
      </w:r>
      <w:r>
        <w:t xml:space="preserve"> </w:t>
      </w:r>
      <w:r>
        <w:t xml:space="preserve">“</w:t>
      </w:r>
      <w:r>
        <w:t xml:space="preserve">Quad Trees: A Data Structure for Retrieval on Composite Keys.</w:t>
      </w:r>
      <w:r>
        <w:t xml:space="preserve">”</w:t>
      </w:r>
      <w:r>
        <w:t xml:space="preserve"> </w:t>
      </w:r>
      <w:r>
        <w:rPr>
          <w:iCs/>
          <w:i/>
        </w:rPr>
        <w:t xml:space="preserve">Acta Informatica</w:t>
      </w:r>
      <w:r>
        <w:t xml:space="preserve"> </w:t>
      </w:r>
      <w:r>
        <w:t xml:space="preserve">4(1):1–9, 1974.</w:t>
      </w:r>
    </w:p>
    <w:p>
      <w:pPr>
        <w:numPr>
          <w:ilvl w:val="0"/>
          <w:numId w:val="1595"/>
        </w:numPr>
        <w:pStyle w:val="Compact"/>
      </w:pPr>
      <w:r>
        <w:t xml:space="preserve">Flajolet, P., Fusy, É., Gandouet, O., Meunier, F.</w:t>
      </w:r>
      <w:r>
        <w:t xml:space="preserve"> </w:t>
      </w:r>
      <w:r>
        <w:t xml:space="preserve">“</w:t>
      </w:r>
      <w:r>
        <w:t xml:space="preserve">HyperLogLog: The Analysis of a Near-Optimal Cardinality Estimation Algorithm.</w:t>
      </w:r>
      <w:r>
        <w:t xml:space="preserve">”</w:t>
      </w:r>
      <w:r>
        <w:t xml:space="preserve"> </w:t>
      </w:r>
      <w:r>
        <w:rPr>
          <w:iCs/>
          <w:i/>
        </w:rPr>
        <w:t xml:space="preserve">Analysis of Algorithms (AofA)</w:t>
      </w:r>
      <w:r>
        <w:t xml:space="preserve">, DMTCS Proceedings, 2007.</w:t>
      </w:r>
    </w:p>
    <w:p>
      <w:pPr>
        <w:numPr>
          <w:ilvl w:val="0"/>
          <w:numId w:val="1595"/>
        </w:numPr>
        <w:pStyle w:val="Compact"/>
      </w:pPr>
      <w:r>
        <w:t xml:space="preserve">Flickr Engineering.</w:t>
      </w:r>
      <w:r>
        <w:t xml:space="preserve"> </w:t>
      </w:r>
      <w:r>
        <w:t xml:space="preserve">“</w:t>
      </w:r>
      <w:r>
        <w:t xml:space="preserve">Ticket Servers: Distributed Unique Primary Keys on the Cheap.</w:t>
      </w:r>
      <w:r>
        <w:t xml:space="preserve">”</w:t>
      </w:r>
      <w:r>
        <w:t xml:space="preserve"> </w:t>
      </w:r>
      <w:r>
        <w:t xml:space="preserve">code.flickr.net, 2010.</w:t>
      </w:r>
    </w:p>
    <w:p>
      <w:pPr>
        <w:numPr>
          <w:ilvl w:val="0"/>
          <w:numId w:val="1595"/>
        </w:numPr>
        <w:pStyle w:val="Compact"/>
      </w:pPr>
      <w:r>
        <w:t xml:space="preserve">Fredkin, E.</w:t>
      </w:r>
      <w:r>
        <w:t xml:space="preserve"> </w:t>
      </w:r>
      <w:r>
        <w:t xml:space="preserve">“</w:t>
      </w:r>
      <w:r>
        <w:t xml:space="preserve">Trie Memory.</w:t>
      </w:r>
      <w:r>
        <w:t xml:space="preserve">”</w:t>
      </w:r>
      <w:r>
        <w:t xml:space="preserve"> </w:t>
      </w:r>
      <w:r>
        <w:rPr>
          <w:iCs/>
          <w:i/>
        </w:rPr>
        <w:t xml:space="preserve">Communications of the ACM</w:t>
      </w:r>
      <w:r>
        <w:t xml:space="preserve"> </w:t>
      </w:r>
      <w:r>
        <w:t xml:space="preserve">3(9):490–499, 1960.</w:t>
      </w:r>
    </w:p>
    <w:p>
      <w:pPr>
        <w:numPr>
          <w:ilvl w:val="0"/>
          <w:numId w:val="1595"/>
        </w:numPr>
        <w:pStyle w:val="Compact"/>
      </w:pPr>
      <w:r>
        <w:t xml:space="preserve">Google Cloud.</w:t>
      </w:r>
      <w:r>
        <w:t xml:space="preserve"> </w:t>
      </w:r>
      <w:r>
        <w:rPr>
          <w:iCs/>
          <w:i/>
        </w:rPr>
        <w:t xml:space="preserve">BigQuery documentation: HyperLogLog++ functions</w:t>
      </w:r>
      <w:r>
        <w:t xml:space="preserve">. https://cloud.google.com/bigquery/docs/reference/standard-sql/hll_functions</w:t>
      </w:r>
    </w:p>
    <w:p>
      <w:pPr>
        <w:numPr>
          <w:ilvl w:val="0"/>
          <w:numId w:val="1595"/>
        </w:numPr>
        <w:pStyle w:val="Compact"/>
      </w:pPr>
      <w:r>
        <w:t xml:space="preserve">Graf, T. M., Lemire, D.</w:t>
      </w:r>
      <w:r>
        <w:t xml:space="preserve"> </w:t>
      </w:r>
      <w:r>
        <w:t xml:space="preserve">“</w:t>
      </w:r>
      <w:r>
        <w:t xml:space="preserve">Xor Filters: Faster and Smaller Than Bloom and Cuckoo Filters.</w:t>
      </w:r>
      <w:r>
        <w:t xml:space="preserve">”</w:t>
      </w:r>
      <w:r>
        <w:t xml:space="preserve"> </w:t>
      </w:r>
      <w:r>
        <w:rPr>
          <w:iCs/>
          <w:i/>
        </w:rPr>
        <w:t xml:space="preserve">ACM Journal of Experimental Algorithmics</w:t>
      </w:r>
      <w:r>
        <w:t xml:space="preserve"> </w:t>
      </w:r>
      <w:r>
        <w:t xml:space="preserve">25, 2020.</w:t>
      </w:r>
    </w:p>
    <w:p>
      <w:pPr>
        <w:numPr>
          <w:ilvl w:val="0"/>
          <w:numId w:val="1595"/>
        </w:numPr>
        <w:pStyle w:val="Compact"/>
      </w:pPr>
      <w:r>
        <w:t xml:space="preserve">H3 Project.</w:t>
      </w:r>
      <w:r>
        <w:t xml:space="preserve"> </w:t>
      </w:r>
      <w:r>
        <w:rPr>
          <w:iCs/>
          <w:i/>
        </w:rPr>
        <w:t xml:space="preserve">H3 documentation</w:t>
      </w:r>
      <w:r>
        <w:t xml:space="preserve">. https://h3geo.org/docs/</w:t>
      </w:r>
    </w:p>
    <w:p>
      <w:pPr>
        <w:numPr>
          <w:ilvl w:val="0"/>
          <w:numId w:val="1595"/>
        </w:numPr>
        <w:pStyle w:val="Compact"/>
      </w:pPr>
      <w:r>
        <w:t xml:space="preserve">Heule, S., Nunkesser, M., Hall, A.</w:t>
      </w:r>
      <w:r>
        <w:t xml:space="preserve"> </w:t>
      </w:r>
      <w:r>
        <w:t xml:space="preserve">“</w:t>
      </w:r>
      <w:r>
        <w:t xml:space="preserve">HyperLogLog in Practice: Algorithmic Engineering of a State of the Art Cardinality Estimation Algorithm.</w:t>
      </w:r>
      <w:r>
        <w:t xml:space="preserve">”</w:t>
      </w:r>
      <w:r>
        <w:t xml:space="preserve"> </w:t>
      </w:r>
      <w:r>
        <w:rPr>
          <w:iCs/>
          <w:i/>
        </w:rPr>
        <w:t xml:space="preserve">EDBT</w:t>
      </w:r>
      <w:r>
        <w:t xml:space="preserve">, 2013.</w:t>
      </w:r>
    </w:p>
    <w:p>
      <w:pPr>
        <w:numPr>
          <w:ilvl w:val="0"/>
          <w:numId w:val="1595"/>
        </w:numPr>
        <w:pStyle w:val="Compact"/>
      </w:pPr>
      <w:r>
        <w:t xml:space="preserve">Instagram Engineering.</w:t>
      </w:r>
      <w:r>
        <w:t xml:space="preserve"> </w:t>
      </w:r>
      <w:r>
        <w:t xml:space="preserve">“</w:t>
      </w:r>
      <w:r>
        <w:t xml:space="preserve">Sharding &amp; IDs at Instagram.</w:t>
      </w:r>
      <w:r>
        <w:t xml:space="preserve">”</w:t>
      </w:r>
      <w:r>
        <w:t xml:space="preserve"> </w:t>
      </w:r>
      <w:r>
        <w:t xml:space="preserve">Instagram Engineering Blog, 2012.</w:t>
      </w:r>
    </w:p>
    <w:p>
      <w:pPr>
        <w:numPr>
          <w:ilvl w:val="0"/>
          <w:numId w:val="1595"/>
        </w:numPr>
        <w:pStyle w:val="Compact"/>
      </w:pPr>
      <w:r>
        <w:t xml:space="preserve">Kirsch, A., Mitzenmacher, M.</w:t>
      </w:r>
      <w:r>
        <w:t xml:space="preserve"> </w:t>
      </w:r>
      <w:r>
        <w:t xml:space="preserve">“</w:t>
      </w:r>
      <w:r>
        <w:t xml:space="preserve">Less Hashing, Same Performance: Building a Better Bloom Filter.</w:t>
      </w:r>
      <w:r>
        <w:t xml:space="preserve">”</w:t>
      </w:r>
      <w:r>
        <w:t xml:space="preserve"> </w:t>
      </w:r>
      <w:r>
        <w:rPr>
          <w:iCs/>
          <w:i/>
        </w:rPr>
        <w:t xml:space="preserve">European Symposium on Algorithms (ESA)</w:t>
      </w:r>
      <w:r>
        <w:t xml:space="preserve">, 2006.</w:t>
      </w:r>
    </w:p>
    <w:p>
      <w:pPr>
        <w:numPr>
          <w:ilvl w:val="0"/>
          <w:numId w:val="1595"/>
        </w:numPr>
        <w:pStyle w:val="Compact"/>
      </w:pPr>
      <w:r>
        <w:t xml:space="preserve">Klink, A., Wälde, J.</w:t>
      </w:r>
      <w:r>
        <w:t xml:space="preserve"> </w:t>
      </w:r>
      <w:r>
        <w:t xml:space="preserve">“</w:t>
      </w:r>
      <w:r>
        <w:t xml:space="preserve">Efficient Denial of Service Attacks on Web Application Platforms.</w:t>
      </w:r>
      <w:r>
        <w:t xml:space="preserve">”</w:t>
      </w:r>
      <w:r>
        <w:t xml:space="preserve"> </w:t>
      </w:r>
      <w:r>
        <w:rPr>
          <w:iCs/>
          <w:i/>
        </w:rPr>
        <w:t xml:space="preserve">28th Chaos Communication Congress (28C3)</w:t>
      </w:r>
      <w:r>
        <w:t xml:space="preserve">, 2011.</w:t>
      </w:r>
    </w:p>
    <w:p>
      <w:pPr>
        <w:numPr>
          <w:ilvl w:val="0"/>
          <w:numId w:val="1595"/>
        </w:numPr>
        <w:pStyle w:val="Compact"/>
      </w:pPr>
      <w:r>
        <w:t xml:space="preserve">Li, K.-H.</w:t>
      </w:r>
      <w:r>
        <w:t xml:space="preserve"> </w:t>
      </w:r>
      <w:r>
        <w:t xml:space="preserve">“</w:t>
      </w:r>
      <w:r>
        <w:t xml:space="preserve">Reservoir-Sampling Algorithms of Time Complexity O(n(1 + log(N/n))).</w:t>
      </w:r>
      <w:r>
        <w:t xml:space="preserve">”</w:t>
      </w:r>
      <w:r>
        <w:t xml:space="preserve"> </w:t>
      </w:r>
      <w:r>
        <w:rPr>
          <w:iCs/>
          <w:i/>
        </w:rPr>
        <w:t xml:space="preserve">ACM Transactions on Mathematical Software</w:t>
      </w:r>
      <w:r>
        <w:t xml:space="preserve"> </w:t>
      </w:r>
      <w:r>
        <w:t xml:space="preserve">20(4):481–493, 1994.</w:t>
      </w:r>
    </w:p>
    <w:p>
      <w:pPr>
        <w:numPr>
          <w:ilvl w:val="0"/>
          <w:numId w:val="1595"/>
        </w:numPr>
        <w:pStyle w:val="Compact"/>
      </w:pPr>
      <w:r>
        <w:t xml:space="preserve">Maggs, B. M., Sitaraman, R. K.</w:t>
      </w:r>
      <w:r>
        <w:t xml:space="preserve"> </w:t>
      </w:r>
      <w:r>
        <w:t xml:space="preserve">“</w:t>
      </w:r>
      <w:r>
        <w:t xml:space="preserve">Algorithmic Nuggets in Content Delivery.</w:t>
      </w:r>
      <w:r>
        <w:t xml:space="preserve">”</w:t>
      </w:r>
      <w:r>
        <w:t xml:space="preserve"> </w:t>
      </w:r>
      <w:r>
        <w:rPr>
          <w:iCs/>
          <w:i/>
        </w:rPr>
        <w:t xml:space="preserve">ACM SIGCOMM Computer Communication Review</w:t>
      </w:r>
      <w:r>
        <w:t xml:space="preserve"> </w:t>
      </w:r>
      <w:r>
        <w:t xml:space="preserve">45(3), 2015.</w:t>
      </w:r>
    </w:p>
    <w:p>
      <w:pPr>
        <w:numPr>
          <w:ilvl w:val="0"/>
          <w:numId w:val="1595"/>
        </w:numPr>
        <w:pStyle w:val="Compact"/>
      </w:pPr>
      <w:r>
        <w:t xml:space="preserve">Merkle, R. C.</w:t>
      </w:r>
      <w:r>
        <w:t xml:space="preserve"> </w:t>
      </w:r>
      <w:r>
        <w:t xml:space="preserve">“</w:t>
      </w:r>
      <w:r>
        <w:t xml:space="preserve">A Digital Signature Based on a Conventional Encryption Function.</w:t>
      </w:r>
      <w:r>
        <w:t xml:space="preserve">”</w:t>
      </w:r>
      <w:r>
        <w:t xml:space="preserve"> </w:t>
      </w:r>
      <w:r>
        <w:rPr>
          <w:iCs/>
          <w:i/>
        </w:rPr>
        <w:t xml:space="preserve">Advances in Cryptology — CRYPTO ’87</w:t>
      </w:r>
      <w:r>
        <w:t xml:space="preserve">, LNCS 293. Springer, 1988.</w:t>
      </w:r>
    </w:p>
    <w:p>
      <w:pPr>
        <w:numPr>
          <w:ilvl w:val="0"/>
          <w:numId w:val="1595"/>
        </w:numPr>
        <w:pStyle w:val="Compact"/>
      </w:pPr>
      <w:r>
        <w:t xml:space="preserve">Metwally, A., Agrawal, D., El Abbadi, A.</w:t>
      </w:r>
      <w:r>
        <w:t xml:space="preserve"> </w:t>
      </w:r>
      <w:r>
        <w:t xml:space="preserve">“</w:t>
      </w:r>
      <w:r>
        <w:t xml:space="preserve">Efficient Computation of Frequent and Top-k Elements in Data Streams.</w:t>
      </w:r>
      <w:r>
        <w:t xml:space="preserve">”</w:t>
      </w:r>
      <w:r>
        <w:t xml:space="preserve"> </w:t>
      </w:r>
      <w:r>
        <w:rPr>
          <w:iCs/>
          <w:i/>
        </w:rPr>
        <w:t xml:space="preserve">International Conference on Database Theory (ICDT)</w:t>
      </w:r>
      <w:r>
        <w:t xml:space="preserve">, 2005.</w:t>
      </w:r>
    </w:p>
    <w:p>
      <w:pPr>
        <w:numPr>
          <w:ilvl w:val="0"/>
          <w:numId w:val="1595"/>
        </w:numPr>
        <w:pStyle w:val="Compact"/>
      </w:pPr>
      <w:r>
        <w:t xml:space="preserve">Niemeyer, G. Geohash (public-domain geocoding system, geohash.org), 2008.</w:t>
      </w:r>
    </w:p>
    <w:p>
      <w:pPr>
        <w:numPr>
          <w:ilvl w:val="0"/>
          <w:numId w:val="1595"/>
        </w:numPr>
        <w:pStyle w:val="Compact"/>
      </w:pPr>
      <w:r>
        <w:t xml:space="preserve">OpenJDK.</w:t>
      </w:r>
      <w:r>
        <w:t xml:space="preserve"> </w:t>
      </w:r>
      <w:r>
        <w:rPr>
          <w:iCs/>
          <w:i/>
        </w:rPr>
        <w:t xml:space="preserve">JEP 180: Handle Frequent HashMap Collisions with Balanced Trees</w:t>
      </w:r>
      <w:r>
        <w:t xml:space="preserve">. https://openjdk.org/jeps/180</w:t>
      </w:r>
    </w:p>
    <w:p>
      <w:pPr>
        <w:numPr>
          <w:ilvl w:val="0"/>
          <w:numId w:val="1595"/>
        </w:numPr>
        <w:pStyle w:val="Compact"/>
      </w:pPr>
      <w:r>
        <w:t xml:space="preserve">Python Software Foundation.</w:t>
      </w:r>
      <w:r>
        <w:t xml:space="preserve"> </w:t>
      </w:r>
      <w:r>
        <w:rPr>
          <w:iCs/>
          <w:i/>
        </w:rPr>
        <w:t xml:space="preserve">PEP 456 — Secure and Interchangeable Hash Algorithm</w:t>
      </w:r>
      <w:r>
        <w:t xml:space="preserve">. https://peps.python.org/pep-0456/</w:t>
      </w:r>
    </w:p>
    <w:p>
      <w:pPr>
        <w:numPr>
          <w:ilvl w:val="0"/>
          <w:numId w:val="1595"/>
        </w:numPr>
        <w:pStyle w:val="Compact"/>
      </w:pPr>
      <w:r>
        <w:t xml:space="preserve">Pugh, W.</w:t>
      </w:r>
      <w:r>
        <w:t xml:space="preserve"> </w:t>
      </w:r>
      <w:r>
        <w:t xml:space="preserve">“</w:t>
      </w:r>
      <w:r>
        <w:t xml:space="preserve">Skip Lists: A Probabilistic Alternative to Balanced Trees.</w:t>
      </w:r>
      <w:r>
        <w:t xml:space="preserve">”</w:t>
      </w:r>
      <w:r>
        <w:t xml:space="preserve"> </w:t>
      </w:r>
      <w:r>
        <w:rPr>
          <w:iCs/>
          <w:i/>
        </w:rPr>
        <w:t xml:space="preserve">Communications of the ACM</w:t>
      </w:r>
      <w:r>
        <w:t xml:space="preserve"> </w:t>
      </w:r>
      <w:r>
        <w:t xml:space="preserve">33(6):668–676, 1990.</w:t>
      </w:r>
    </w:p>
    <w:p>
      <w:pPr>
        <w:numPr>
          <w:ilvl w:val="0"/>
          <w:numId w:val="1595"/>
        </w:numPr>
        <w:pStyle w:val="Compact"/>
      </w:pPr>
      <w:r>
        <w:t xml:space="preserve">Redis Documentation. HyperLogLog; Sorted sets; Geospatial; Streams; Count-min sketch; Top-K. https://redis.io/docs/</w:t>
      </w:r>
    </w:p>
    <w:p>
      <w:pPr>
        <w:numPr>
          <w:ilvl w:val="0"/>
          <w:numId w:val="1595"/>
        </w:numPr>
        <w:pStyle w:val="Compact"/>
      </w:pPr>
      <w:r>
        <w:t xml:space="preserve">Laurie, B., Langley, A., Kasper, E.</w:t>
      </w:r>
      <w:r>
        <w:t xml:space="preserve"> </w:t>
      </w:r>
      <w:r>
        <w:rPr>
          <w:iCs/>
          <w:i/>
        </w:rPr>
        <w:t xml:space="preserve">RFC 6962: Certificate Transparency</w:t>
      </w:r>
      <w:r>
        <w:t xml:space="preserve">. IETF, 2013. https://www.rfc-editor.org/rfc/rfc6962</w:t>
      </w:r>
    </w:p>
    <w:p>
      <w:pPr>
        <w:numPr>
          <w:ilvl w:val="0"/>
          <w:numId w:val="1595"/>
        </w:numPr>
        <w:pStyle w:val="Compact"/>
      </w:pPr>
      <w:r>
        <w:t xml:space="preserve">Davis, K., Peabody, B., Leach, P.</w:t>
      </w:r>
      <w:r>
        <w:t xml:space="preserve"> </w:t>
      </w:r>
      <w:r>
        <w:rPr>
          <w:iCs/>
          <w:i/>
        </w:rPr>
        <w:t xml:space="preserve">RFC 9562: Universally Unique IDentifiers (UUIDs)</w:t>
      </w:r>
      <w:r>
        <w:t xml:space="preserve">. IETF, 2024. https://www.rfc-editor.org/rfc/rfc9562</w:t>
      </w:r>
    </w:p>
    <w:p>
      <w:pPr>
        <w:numPr>
          <w:ilvl w:val="0"/>
          <w:numId w:val="1595"/>
        </w:numPr>
        <w:pStyle w:val="Compact"/>
      </w:pPr>
      <w:r>
        <w:t xml:space="preserve">RocksDB Wiki.</w:t>
      </w:r>
      <w:r>
        <w:t xml:space="preserve"> </w:t>
      </w:r>
      <w:r>
        <w:rPr>
          <w:iCs/>
          <w:i/>
        </w:rPr>
        <w:t xml:space="preserve">MemTable</w:t>
      </w:r>
      <w:r>
        <w:t xml:space="preserve">. https://github.com/facebook/rocksdb/wiki/MemTable</w:t>
      </w:r>
    </w:p>
    <w:p>
      <w:pPr>
        <w:numPr>
          <w:ilvl w:val="0"/>
          <w:numId w:val="1595"/>
        </w:numPr>
        <w:pStyle w:val="Compact"/>
      </w:pPr>
      <w:r>
        <w:t xml:space="preserve">S2 Geometry.</w:t>
      </w:r>
      <w:r>
        <w:t xml:space="preserve"> </w:t>
      </w:r>
      <w:r>
        <w:rPr>
          <w:iCs/>
          <w:i/>
        </w:rPr>
        <w:t xml:space="preserve">S2 Geometry Library documentation</w:t>
      </w:r>
      <w:r>
        <w:t xml:space="preserve">. https://s2geometry.io/</w:t>
      </w:r>
    </w:p>
    <w:p>
      <w:pPr>
        <w:numPr>
          <w:ilvl w:val="0"/>
          <w:numId w:val="1595"/>
        </w:numPr>
        <w:pStyle w:val="Compact"/>
      </w:pPr>
      <w:r>
        <w:t xml:space="preserve">Sanfilippo, S.</w:t>
      </w:r>
      <w:r>
        <w:t xml:space="preserve"> </w:t>
      </w:r>
      <w:r>
        <w:t xml:space="preserve">“</w:t>
      </w:r>
      <w:r>
        <w:t xml:space="preserve">Redis New Data Structure: the HyperLogLog.</w:t>
      </w:r>
      <w:r>
        <w:t xml:space="preserve">”</w:t>
      </w:r>
      <w:r>
        <w:t xml:space="preserve"> </w:t>
      </w:r>
      <w:r>
        <w:t xml:space="preserve">antirez.com, 2014.</w:t>
      </w:r>
    </w:p>
    <w:p>
      <w:pPr>
        <w:numPr>
          <w:ilvl w:val="0"/>
          <w:numId w:val="1595"/>
        </w:numPr>
        <w:pStyle w:val="Compact"/>
      </w:pPr>
      <w:r>
        <w:t xml:space="preserve">Twitter.</w:t>
      </w:r>
      <w:r>
        <w:t xml:space="preserve"> </w:t>
      </w:r>
      <w:r>
        <w:rPr>
          <w:iCs/>
          <w:i/>
        </w:rPr>
        <w:t xml:space="preserve">snowflake</w:t>
      </w:r>
      <w:r>
        <w:t xml:space="preserve"> </w:t>
      </w:r>
      <w:r>
        <w:t xml:space="preserve">(archived repository, tag</w:t>
      </w:r>
      <w:r>
        <w:t xml:space="preserve"> </w:t>
      </w:r>
      <w:r>
        <w:rPr>
          <w:rStyle w:val="VerbatimChar"/>
        </w:rPr>
        <w:t xml:space="preserve">snowflake-2010</w:t>
      </w:r>
      <w:r>
        <w:t xml:space="preserve">: README and</w:t>
      </w:r>
      <w:r>
        <w:t xml:space="preserve"> </w:t>
      </w:r>
      <w:r>
        <w:rPr>
          <w:rStyle w:val="VerbatimChar"/>
        </w:rPr>
        <w:t xml:space="preserve">IdWorker.scala</w:t>
      </w:r>
      <w:r>
        <w:t xml:space="preserve">). https://github.com/twitter-archive/snowflake</w:t>
      </w:r>
    </w:p>
    <w:p>
      <w:pPr>
        <w:numPr>
          <w:ilvl w:val="0"/>
          <w:numId w:val="1595"/>
        </w:numPr>
        <w:pStyle w:val="Compact"/>
      </w:pPr>
      <w:r>
        <w:t xml:space="preserve">Twitter.</w:t>
      </w:r>
      <w:r>
        <w:t xml:space="preserve"> </w:t>
      </w:r>
      <w:r>
        <w:rPr>
          <w:iCs/>
          <w:i/>
        </w:rPr>
        <w:t xml:space="preserve">Algebird: Abstract Algebra for Scala</w:t>
      </w:r>
      <w:r>
        <w:t xml:space="preserve">. https://github.com/twitter/algebird</w:t>
      </w:r>
    </w:p>
    <w:p>
      <w:pPr>
        <w:numPr>
          <w:ilvl w:val="0"/>
          <w:numId w:val="1595"/>
        </w:numPr>
        <w:pStyle w:val="Compact"/>
      </w:pPr>
      <w:r>
        <w:t xml:space="preserve">ULID.</w:t>
      </w:r>
      <w:r>
        <w:t xml:space="preserve"> </w:t>
      </w:r>
      <w:r>
        <w:rPr>
          <w:iCs/>
          <w:i/>
        </w:rPr>
        <w:t xml:space="preserve">Universally Unique Lexicographically Sortable Identifier specification</w:t>
      </w:r>
      <w:r>
        <w:t xml:space="preserve">. https://github.com/ulid/spec</w:t>
      </w:r>
    </w:p>
    <w:p>
      <w:pPr>
        <w:numPr>
          <w:ilvl w:val="0"/>
          <w:numId w:val="1595"/>
        </w:numPr>
        <w:pStyle w:val="Compact"/>
      </w:pPr>
      <w:r>
        <w:t xml:space="preserve">Vitter, J. S.</w:t>
      </w:r>
      <w:r>
        <w:t xml:space="preserve"> </w:t>
      </w:r>
      <w:r>
        <w:t xml:space="preserve">“</w:t>
      </w:r>
      <w:r>
        <w:t xml:space="preserve">Random Sampling with a Reservoir.</w:t>
      </w:r>
      <w:r>
        <w:t xml:space="preserve">”</w:t>
      </w:r>
      <w:r>
        <w:t xml:space="preserve"> </w:t>
      </w:r>
      <w:r>
        <w:rPr>
          <w:iCs/>
          <w:i/>
        </w:rPr>
        <w:t xml:space="preserve">ACM Transactions on Mathematical Software</w:t>
      </w:r>
      <w:r>
        <w:t xml:space="preserve"> </w:t>
      </w:r>
      <w:r>
        <w:t xml:space="preserve">11(1):37–57, 1985.</w:t>
      </w:r>
    </w:p>
    <w:bookmarkEnd w:id="2044"/>
    <w:bookmarkStart w:id="2045" w:name="open-verification-items-16"/>
    <w:p>
      <w:pPr>
        <w:pStyle w:val="Heading2"/>
      </w:pPr>
      <w:r>
        <w:t xml:space="preserve">17.19 Open verification items</w:t>
      </w:r>
    </w:p>
    <w:p>
      <w:pPr>
        <w:numPr>
          <w:ilvl w:val="0"/>
          <w:numId w:val="1596"/>
        </w:numPr>
        <w:pStyle w:val="Compact"/>
      </w:pPr>
      <w:r>
        <w:t xml:space="preserve">Twitter’s 2010</w:t>
      </w:r>
      <w:r>
        <w:t xml:space="preserve"> </w:t>
      </w:r>
      <w:r>
        <w:t xml:space="preserve">“</w:t>
      </w:r>
      <w:r>
        <w:t xml:space="preserve">Announcing Snowflake</w:t>
      </w:r>
      <w:r>
        <w:t xml:space="preserve">”</w:t>
      </w:r>
      <w:r>
        <w:t xml:space="preserve"> </w:t>
      </w:r>
      <w:r>
        <w:t xml:space="preserve">blog post (author, exact date, URL) could not be fetched; layout, epoch and requirements were verified against the archived GitHub repository (tag</w:t>
      </w:r>
      <w:r>
        <w:t xml:space="preserve"> </w:t>
      </w:r>
      <w:r>
        <w:rPr>
          <w:rStyle w:val="VerbatimChar"/>
        </w:rPr>
        <w:t xml:space="preserve">snowflake-2010</w:t>
      </w:r>
      <w:r>
        <w:t xml:space="preserve">) instead.</w:t>
      </w:r>
    </w:p>
    <w:p>
      <w:pPr>
        <w:numPr>
          <w:ilvl w:val="0"/>
          <w:numId w:val="1596"/>
        </w:numPr>
        <w:pStyle w:val="Compact"/>
      </w:pPr>
      <w:r>
        <w:t xml:space="preserve">Flickr ticket-servers post: confirm author (believed Kay Kremerskothen) and date (February 2010).</w:t>
      </w:r>
    </w:p>
    <w:p>
      <w:pPr>
        <w:numPr>
          <w:ilvl w:val="0"/>
          <w:numId w:val="1596"/>
        </w:numPr>
        <w:pStyle w:val="Compact"/>
      </w:pPr>
      <w:r>
        <w:t xml:space="preserve">Akamai one-hit-wonder share and the second-request caching rule: confirm wording in Maggs &amp; Sitaraman (2015).</w:t>
      </w:r>
    </w:p>
    <w:p>
      <w:pPr>
        <w:numPr>
          <w:ilvl w:val="0"/>
          <w:numId w:val="1596"/>
        </w:numPr>
        <w:pStyle w:val="Compact"/>
      </w:pPr>
      <w:r>
        <w:t xml:space="preserve">Counting Bloom filter overflow bound (4-bit counters suffice): confirm statement in Fan et al. (2000).</w:t>
      </w:r>
    </w:p>
    <w:p>
      <w:pPr>
        <w:numPr>
          <w:ilvl w:val="0"/>
          <w:numId w:val="1596"/>
        </w:numPr>
        <w:pStyle w:val="Compact"/>
      </w:pPr>
      <w:r>
        <w:t xml:space="preserve">Redis sorted-set constants (</w:t>
      </w:r>
      <m:oMath>
        <m:r>
          <m:t>p</m:t>
        </m:r>
        <m:r>
          <m:rPr>
            <m:sty m:val="p"/>
          </m:rPr>
          <m:t>=</m:t>
        </m:r>
        <m:r>
          <m:t>1</m:t>
        </m:r>
        <m:r>
          <m:rPr>
            <m:sty m:val="p"/>
          </m:rPr>
          <m:t>/</m:t>
        </m:r>
        <m:r>
          <m:t>4</m:t>
        </m:r>
      </m:oMath>
      <w:r>
        <w:t xml:space="preserve">, 32 levels) and listpack thresholds: confirm against current</w:t>
      </w:r>
      <w:r>
        <w:t xml:space="preserve"> </w:t>
      </w:r>
      <w:r>
        <w:rPr>
          <w:rStyle w:val="VerbatimChar"/>
        </w:rPr>
        <w:t xml:space="preserve">t_zset.c</w:t>
      </w:r>
      <w:r>
        <w:t xml:space="preserve">/</w:t>
      </w:r>
      <w:r>
        <w:rPr>
          <w:rStyle w:val="VerbatimChar"/>
        </w:rPr>
        <w:t xml:space="preserve">redis.conf</w:t>
      </w:r>
      <w:r>
        <w:t xml:space="preserve"> </w:t>
      </w:r>
      <w:r>
        <w:t xml:space="preserve">(as of 2025). RedisBloom bundling in Redis 8: confirm.</w:t>
      </w:r>
    </w:p>
    <w:p>
      <w:pPr>
        <w:numPr>
          <w:ilvl w:val="0"/>
          <w:numId w:val="1596"/>
        </w:numPr>
        <w:pStyle w:val="Compact"/>
      </w:pPr>
      <w:r>
        <w:t xml:space="preserve">RocksDB ribbon filters and default skip-list memtable: confirm current RocksDB wiki.</w:t>
      </w:r>
    </w:p>
    <w:p>
      <w:pPr>
        <w:numPr>
          <w:ilvl w:val="0"/>
          <w:numId w:val="1596"/>
        </w:numPr>
        <w:pStyle w:val="Compact"/>
      </w:pPr>
      <w:r>
        <w:t xml:space="preserve">Niemeyer (2008) geohash: no formal publication; confirm citation form.</w:t>
      </w:r>
    </w:p>
    <w:p>
      <w:pPr>
        <w:numPr>
          <w:ilvl w:val="0"/>
          <w:numId w:val="1596"/>
        </w:numPr>
        <w:pStyle w:val="Compact"/>
      </w:pPr>
      <w:r>
        <w:t xml:space="preserve">xxHash versus MurmurHash3 speed claims: author benchmarks only.</w:t>
      </w:r>
    </w:p>
    <w:bookmarkEnd w:id="2045"/>
    <w:bookmarkEnd w:id="2046"/>
    <w:bookmarkStart w:id="2047" w:name="part-iv-scalability-and-performance"/>
    <w:p>
      <w:pPr>
        <w:pStyle w:val="Heading1"/>
      </w:pPr>
      <w:r>
        <w:t xml:space="preserve">Part IV — Scalability and Performance</w:t>
      </w:r>
    </w:p>
    <w:bookmarkEnd w:id="2047"/>
    <w:bookmarkStart w:id="2147" w:name="chapter-18-scalability"/>
    <w:p>
      <w:pPr>
        <w:pStyle w:val="Heading1"/>
      </w:pPr>
      <w:r>
        <w:t xml:space="preserve">Chapter 18 — Scalability</w:t>
      </w:r>
    </w:p>
    <w:p>
      <w:pPr>
        <w:pStyle w:val="BlockText"/>
      </w:pPr>
      <w:r>
        <w:rPr>
          <w:bCs/>
          <w:b/>
        </w:rPr>
        <w:t xml:space="preserve">Level:</w:t>
      </w:r>
      <w:r>
        <w:t xml:space="preserve"> </w:t>
      </w:r>
      <w:r>
        <w:t xml:space="preserve">2 ·</w:t>
      </w:r>
      <w:r>
        <w:t xml:space="preserve"> </w:t>
      </w:r>
      <w:r>
        <w:rPr>
          <w:bCs/>
          <w:b/>
        </w:rPr>
        <w:t xml:space="preserve">Track:</w:t>
      </w:r>
      <w:r>
        <w:t xml:space="preserve"> </w:t>
      </w:r>
      <w:r>
        <w:t xml:space="preserve">A (Traditional) ·</w:t>
      </w:r>
      <w:r>
        <w:t xml:space="preserve"> </w:t>
      </w:r>
      <w:r>
        <w:rPr>
          <w:bCs/>
          <w:b/>
        </w:rPr>
        <w:t xml:space="preserve">Estimated reading time:</w:t>
      </w:r>
      <w:r>
        <w:t xml:space="preserve"> </w:t>
      </w:r>
      <w:r>
        <w:t xml:space="preserve">3.5 h</w:t>
      </w:r>
    </w:p>
    <w:p>
      <w:pPr>
        <w:pStyle w:val="FirstParagraph"/>
      </w:pPr>
      <w:r>
        <w:t xml:space="preserve">A system that works for a thousand users does not automatically work for ten million. Somewhere between the two, a CPU saturates, a connection limit is reached, a lock becomes hot or a bill becomes absurd.</w:t>
      </w:r>
      <w:r>
        <w:t xml:space="preserve"> </w:t>
      </w:r>
      <w:r>
        <w:rPr>
          <w:bCs/>
          <w:b/>
        </w:rPr>
        <w:t xml:space="preserve">Scalability</w:t>
      </w:r>
      <w:r>
        <w:t xml:space="preserve"> </w:t>
      </w:r>
      <w:r>
        <w:t xml:space="preserve">is the discipline of growing capacity</w:t>
      </w:r>
      <w:r>
        <w:t xml:space="preserve"> </w:t>
      </w:r>
      <w:r>
        <w:rPr>
          <w:iCs/>
          <w:i/>
        </w:rPr>
        <w:t xml:space="preserve">predictably</w:t>
      </w:r>
      <w:r>
        <w:t xml:space="preserve">: knowing which resource runs out next, what more of it costs, and how long it takes to add. Chapter 2 sketched QuickBite, our hypothetical food-delivery platform, and estimated its load at 2 million daily active users (§2.11). This chapter carries QuickBite from a 1,000-user pilot to 10 million users, one architecture per stage. Along the way you learn the two basic moves (bigger machines or more machines), why the second move requires stateless services, how to find what stops scaling, how autoscalers decide, and how to write a capacity plan with explicit headroom.</w:t>
      </w:r>
    </w:p>
    <w:p>
      <w:pPr>
        <w:pStyle w:val="BodyText"/>
      </w:pPr>
      <w:r>
        <w:t xml:space="preserve">Several topics are only summarized here because other chapters own them: load-balancing algorithms (Chapter 19), caching (Chapter 20), replication and sharding (Chapter 14), queueing mathematics (§4.10–§4.13) and the estimation handbook (Chapter 89).</w:t>
      </w:r>
    </w:p>
    <w:bookmarkStart w:id="2048" w:name="learning-objectives-17"/>
    <w:p>
      <w:pPr>
        <w:pStyle w:val="Heading2"/>
      </w:pPr>
      <w:r>
        <w:t xml:space="preserve">18.1 Learning objectives</w:t>
      </w:r>
    </w:p>
    <w:p>
      <w:pPr>
        <w:pStyle w:val="FirstParagraph"/>
      </w:pPr>
      <w:r>
        <w:t xml:space="preserve">After this chapter you should be able to:</w:t>
      </w:r>
    </w:p>
    <w:p>
      <w:pPr>
        <w:numPr>
          <w:ilvl w:val="0"/>
          <w:numId w:val="1597"/>
        </w:numPr>
        <w:pStyle w:val="Compact"/>
      </w:pPr>
      <w:r>
        <w:t xml:space="preserve">Explain the limits and cost curve of vertical scaling, and name the situations in which it is the right answer.</w:t>
      </w:r>
    </w:p>
    <w:p>
      <w:pPr>
        <w:numPr>
          <w:ilvl w:val="0"/>
          <w:numId w:val="1597"/>
        </w:numPr>
        <w:pStyle w:val="Compact"/>
      </w:pPr>
      <w:r>
        <w:t xml:space="preserve">State the preconditions for horizontal scaling and design a stateless service by externalizing session and other state.</w:t>
      </w:r>
    </w:p>
    <w:p>
      <w:pPr>
        <w:numPr>
          <w:ilvl w:val="0"/>
          <w:numId w:val="1597"/>
        </w:numPr>
        <w:pStyle w:val="Compact"/>
      </w:pPr>
      <w:r>
        <w:t xml:space="preserve">Use the resource model and the Universal Scalability Law to predict where adding nodes stops paying off.</w:t>
      </w:r>
    </w:p>
    <w:p>
      <w:pPr>
        <w:numPr>
          <w:ilvl w:val="0"/>
          <w:numId w:val="1597"/>
        </w:numPr>
        <w:pStyle w:val="Compact"/>
      </w:pPr>
      <w:r>
        <w:t xml:space="preserve">Configure target-tracking autoscaling, choose its signal and target, and size headroom for warm-up delay.</w:t>
      </w:r>
    </w:p>
    <w:p>
      <w:pPr>
        <w:numPr>
          <w:ilvl w:val="0"/>
          <w:numId w:val="1597"/>
        </w:numPr>
        <w:pStyle w:val="Compact"/>
      </w:pPr>
      <w:r>
        <w:t xml:space="preserve">Check a connection-pool configuration against a database’s connection limit before the autoscaler breaks it.</w:t>
      </w:r>
    </w:p>
    <w:p>
      <w:pPr>
        <w:numPr>
          <w:ilvl w:val="0"/>
          <w:numId w:val="1597"/>
        </w:numPr>
        <w:pStyle w:val="Compact"/>
      </w:pPr>
      <w:r>
        <w:t xml:space="preserve">Choose a database-scaling option from a decision table and place a design on the X, Y and Z axes of the scale cube.</w:t>
      </w:r>
    </w:p>
    <w:p>
      <w:pPr>
        <w:numPr>
          <w:ilvl w:val="0"/>
          <w:numId w:val="1597"/>
        </w:numPr>
        <w:pStyle w:val="Compact"/>
      </w:pPr>
      <w:r>
        <w:t xml:space="preserve">Produce a capacity plan with peak-to-average ratios, N+1/N+2 or zone-level redundancy, a growth forecast and lead times.</w:t>
      </w:r>
    </w:p>
    <w:bookmarkEnd w:id="2048"/>
    <w:bookmarkStart w:id="2049" w:name="prerequisites-17"/>
    <w:p>
      <w:pPr>
        <w:pStyle w:val="Heading2"/>
      </w:pPr>
      <w:r>
        <w:t xml:space="preserve">18.2 Prerequisites</w:t>
      </w:r>
    </w:p>
    <w:p>
      <w:pPr>
        <w:numPr>
          <w:ilvl w:val="0"/>
          <w:numId w:val="1598"/>
        </w:numPr>
        <w:pStyle w:val="Compact"/>
      </w:pPr>
      <w:r>
        <w:t xml:space="preserve">The resource model, service demand and the utilization law — §2.6 (used to find bottlenecks).</w:t>
      </w:r>
    </w:p>
    <w:p>
      <w:pPr>
        <w:numPr>
          <w:ilvl w:val="0"/>
          <w:numId w:val="1598"/>
        </w:numPr>
        <w:pStyle w:val="Compact"/>
      </w:pPr>
      <w:r>
        <w:t xml:space="preserve">Back-of-the-envelope estimation and the QuickBite assumptions — §2.7 and §2.11 (the running example).</w:t>
      </w:r>
    </w:p>
    <w:p>
      <w:pPr>
        <w:numPr>
          <w:ilvl w:val="0"/>
          <w:numId w:val="1598"/>
        </w:numPr>
        <w:pStyle w:val="Compact"/>
      </w:pPr>
      <w:r>
        <w:t xml:space="preserve">Queueing delay versus utilization — §4.10 (why target utilization is below 100%).</w:t>
      </w:r>
    </w:p>
    <w:p>
      <w:pPr>
        <w:numPr>
          <w:ilvl w:val="0"/>
          <w:numId w:val="1598"/>
        </w:numPr>
        <w:pStyle w:val="Compact"/>
      </w:pPr>
      <w:r>
        <w:t xml:space="preserve">Little’s Law — §4.11 (connection and concurrency sizing).</w:t>
      </w:r>
    </w:p>
    <w:p>
      <w:pPr>
        <w:numPr>
          <w:ilvl w:val="0"/>
          <w:numId w:val="1598"/>
        </w:numPr>
        <w:pStyle w:val="Compact"/>
      </w:pPr>
      <w:r>
        <w:t xml:space="preserve">Amdahl’s Law and the Universal Scalability Law — §4.12–§4.13 (applied here, not re-derived).</w:t>
      </w:r>
    </w:p>
    <w:p>
      <w:pPr>
        <w:numPr>
          <w:ilvl w:val="0"/>
          <w:numId w:val="1598"/>
        </w:numPr>
        <w:pStyle w:val="Compact"/>
      </w:pPr>
      <w:r>
        <w:t xml:space="preserve">Statelessness, cookies and sessions — §8.3.2 and §8.10 (externalized state).</w:t>
      </w:r>
    </w:p>
    <w:p>
      <w:pPr>
        <w:numPr>
          <w:ilvl w:val="0"/>
          <w:numId w:val="1598"/>
        </w:numPr>
        <w:pStyle w:val="Compact"/>
      </w:pPr>
      <w:r>
        <w:t xml:space="preserve">Connection pooling and PgBouncer — §14.13 (connection budgets).</w:t>
      </w:r>
    </w:p>
    <w:p>
      <w:pPr>
        <w:pStyle w:val="FirstParagraph"/>
      </w:pPr>
      <w:r>
        <w:t xml:space="preserve">Units: KB, MB, GB are powers of ten; RPS means requests per second; all QuickBite figures are teaching assumptions, not measurements of a real company.</w:t>
      </w:r>
    </w:p>
    <w:bookmarkEnd w:id="2049"/>
    <w:bookmarkStart w:id="2057" w:name="vertical-scaling"/>
    <w:p>
      <w:pPr>
        <w:pStyle w:val="Heading2"/>
      </w:pPr>
      <w:r>
        <w:t xml:space="preserve">18.3 Vertical scaling</w:t>
      </w:r>
    </w:p>
    <w:bookmarkStart w:id="2056" w:name="scaling-up"/>
    <w:p>
      <w:pPr>
        <w:pStyle w:val="Heading3"/>
      </w:pPr>
      <w:r>
        <w:t xml:space="preserve">18.3.1 Scaling up</w:t>
      </w:r>
    </w:p>
    <w:p>
      <w:pPr>
        <w:pStyle w:val="CalloutDefinition"/>
      </w:pPr>
      <w:r>
        <w:rPr>
          <w:bCs/>
          <w:b/>
        </w:rPr>
        <w:t xml:space="preserve">DEFINITION</w:t>
      </w:r>
    </w:p>
    <w:p>
      <w:pPr>
        <w:pStyle w:val="CalloutDefinition"/>
      </w:pPr>
      <w:r>
        <w:rPr>
          <w:bCs/>
          <w:b/>
        </w:rPr>
        <w:t xml:space="preserve">Definition — Scalability.</w:t>
      </w:r>
      <w:r>
        <w:t xml:space="preserve"> </w:t>
      </w:r>
      <w:r>
        <w:t xml:space="preserve">The ability of a system to handle a growing workload by adding resources, with throughput rising roughly in proportion to the resources added and latency staying within its objective. A system is</w:t>
      </w:r>
      <w:r>
        <w:t xml:space="preserve"> </w:t>
      </w:r>
      <w:r>
        <w:rPr>
          <w:iCs/>
          <w:i/>
        </w:rPr>
        <w:t xml:space="preserve">not</w:t>
      </w:r>
      <w:r>
        <w:t xml:space="preserve"> </w:t>
      </w:r>
      <w:r>
        <w:t xml:space="preserve">scalable for a workload if adding resources yields little or no extra throughput, or if the cost per unit of work rises sharply.</w:t>
      </w:r>
    </w:p>
    <w:p>
      <w:pPr>
        <w:pStyle w:val="CalloutDefinition"/>
      </w:pPr>
      <w:r>
        <w:rPr>
          <w:bCs/>
          <w:b/>
        </w:rPr>
        <w:t xml:space="preserve">DEFINITION</w:t>
      </w:r>
    </w:p>
    <w:p>
      <w:pPr>
        <w:pStyle w:val="CalloutDefinition"/>
      </w:pPr>
      <w:r>
        <w:rPr>
          <w:bCs/>
          <w:b/>
        </w:rPr>
        <w:t xml:space="preserve">Definition — Vertical scaling (scaling up).</w:t>
      </w:r>
      <w:r>
        <w:t xml:space="preserve"> </w:t>
      </w:r>
      <w:r>
        <w:t xml:space="preserve">Increasing the capacity of a single node by giving it more or faster CPU cores, memory, storage or network bandwidth, for example by moving a database from an 8-core to a 64-core machine.</w:t>
      </w:r>
    </w:p>
    <w:bookmarkStart w:id="2050" w:name="first-principles-explanation-112"/>
    <w:p>
      <w:pPr>
        <w:pStyle w:val="Heading4"/>
      </w:pPr>
      <w:r>
        <w:t xml:space="preserve">First-principles explanation</w:t>
      </w:r>
    </w:p>
    <w:p>
      <w:pPr>
        <w:pStyle w:val="FirstParagraph"/>
      </w:pPr>
      <w:r>
        <w:t xml:space="preserve">A bakery with one oven is falling behind. The first fix is obvious: buy a bigger oven. Nothing else changes. The recipes, the staff and the shop layout all stay the same. That is vertical scaling. It works until no bigger oven exists, until the biggest ovens cost far more per loaf than two smaller ones, or until the baker, not the oven, is the limit.</w:t>
      </w:r>
    </w:p>
    <w:bookmarkEnd w:id="2050"/>
    <w:bookmarkStart w:id="2051" w:name="why-does-this-exist-68"/>
    <w:p>
      <w:pPr>
        <w:pStyle w:val="Heading4"/>
      </w:pPr>
      <w:r>
        <w:t xml:space="preserve">Why does this exist?</w:t>
      </w:r>
    </w:p>
    <w:p>
      <w:pPr>
        <w:pStyle w:val="FirstParagraph"/>
      </w:pPr>
      <w:r>
        <w:t xml:space="preserve">Vertical scaling is the cheapest move in</w:t>
      </w:r>
      <w:r>
        <w:t xml:space="preserve"> </w:t>
      </w:r>
      <w:r>
        <w:rPr>
          <w:iCs/>
          <w:i/>
        </w:rPr>
        <w:t xml:space="preserve">engineering effort</w:t>
      </w:r>
      <w:r>
        <w:t xml:space="preserve">. The software is unchanged, so there is no new failure mode, no data distribution and no coordination protocol to design. A single relational database primary (Chapter 11) holds all its data in one place and gives you transactions and joins for free. Keeping it on one node as long as possible is often the most valuable architectural decision a young product makes.</w:t>
      </w:r>
    </w:p>
    <w:bookmarkEnd w:id="2051"/>
    <w:bookmarkStart w:id="2052" w:name="how-it-works-internally-76"/>
    <w:p>
      <w:pPr>
        <w:pStyle w:val="Heading4"/>
      </w:pPr>
      <w:r>
        <w:t xml:space="preserve">How it works internally</w:t>
      </w:r>
    </w:p>
    <w:p>
      <w:pPr>
        <w:numPr>
          <w:ilvl w:val="0"/>
          <w:numId w:val="1599"/>
        </w:numPr>
        <w:pStyle w:val="Compact"/>
      </w:pPr>
      <w:r>
        <w:t xml:space="preserve">Measure which resource is saturated (§2.6). Scaling up the wrong resource buys nothing.</w:t>
      </w:r>
    </w:p>
    <w:p>
      <w:pPr>
        <w:numPr>
          <w:ilvl w:val="0"/>
          <w:numId w:val="1599"/>
        </w:numPr>
        <w:pStyle w:val="Compact"/>
      </w:pPr>
      <w:r>
        <w:t xml:space="preserve">Move to a larger node. In the cloud this is usually a stop, resize and restart, or a failover to a pre-built larger replica. On owned hardware it means adding memory or replacing the server.</w:t>
      </w:r>
    </w:p>
    <w:p>
      <w:pPr>
        <w:numPr>
          <w:ilvl w:val="0"/>
          <w:numId w:val="1599"/>
        </w:numPr>
        <w:pStyle w:val="Compact"/>
      </w:pPr>
      <w:r>
        <w:t xml:space="preserve">Re-tune software limits that were sized for the old machine: thread pools, buffer pool size (§13.4),</w:t>
      </w:r>
      <w:r>
        <w:t xml:space="preserve"> </w:t>
      </w:r>
      <w:r>
        <w:rPr>
          <w:rStyle w:val="VerbatimChar"/>
        </w:rPr>
        <w:t xml:space="preserve">max_connections</w:t>
      </w:r>
      <w:r>
        <w:t xml:space="preserve">, file-descriptor limits. A 64-core database with a 16-thread pool is still a 16-thread database.</w:t>
      </w:r>
    </w:p>
    <w:p>
      <w:pPr>
        <w:numPr>
          <w:ilvl w:val="0"/>
          <w:numId w:val="1599"/>
        </w:numPr>
        <w:pStyle w:val="Compact"/>
      </w:pPr>
      <w:r>
        <w:t xml:space="preserve">Re-measure. The bottleneck may now be a lock, a single-threaded component or memory bandwidth (§5.9, §5.10).</w:t>
      </w:r>
    </w:p>
    <w:bookmarkEnd w:id="2052"/>
    <w:bookmarkStart w:id="2053" w:name="the-limits-of-vertical-scaling"/>
    <w:p>
      <w:pPr>
        <w:pStyle w:val="Heading4"/>
      </w:pPr>
      <w:r>
        <w:t xml:space="preserve">The limits of vertical scaling</w:t>
      </w:r>
    </w:p>
    <w:p>
      <w:pPr>
        <w:pStyle w:val="FirstParagraph"/>
      </w:pPr>
      <w:r>
        <w:rPr>
          <w:bCs/>
          <w:b/>
        </w:rPr>
        <w:t xml:space="preserve">Table 18.1 — Where vertical scaling stops.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Limit</w:t>
            </w:r>
          </w:p>
        </w:tc>
        <w:tc>
          <w:tcPr/>
          <w:p>
            <w:pPr>
              <w:pStyle w:val="Compact"/>
              <w:jc w:val="left"/>
            </w:pPr>
            <w:r>
              <w:t xml:space="preserve">What happens</w:t>
            </w:r>
          </w:p>
        </w:tc>
        <w:tc>
          <w:tcPr/>
          <w:p>
            <w:pPr>
              <w:pStyle w:val="Compact"/>
              <w:jc w:val="left"/>
            </w:pPr>
            <w:r>
              <w:t xml:space="preserve">Example</w:t>
            </w:r>
          </w:p>
        </w:tc>
      </w:tr>
      <w:tr>
        <w:tc>
          <w:tcPr/>
          <w:p>
            <w:pPr>
              <w:pStyle w:val="Compact"/>
              <w:jc w:val="left"/>
            </w:pPr>
            <w:r>
              <w:t xml:space="preserve">Hardware ceiling</w:t>
            </w:r>
          </w:p>
        </w:tc>
        <w:tc>
          <w:tcPr/>
          <w:p>
            <w:pPr>
              <w:pStyle w:val="Compact"/>
              <w:jc w:val="left"/>
            </w:pPr>
            <w:r>
              <w:t xml:space="preserve">No larger node exists</w:t>
            </w:r>
          </w:p>
        </w:tc>
        <w:tc>
          <w:tcPr/>
          <w:p>
            <w:pPr>
              <w:pStyle w:val="Compact"/>
              <w:jc w:val="left"/>
            </w:pPr>
            <w:r>
              <w:t xml:space="preserve">As of 2026, general-purpose cloud instances top out at a few hundred vCPUs and a few TB of memory</w:t>
            </w:r>
          </w:p>
        </w:tc>
      </w:tr>
      <w:tr>
        <w:tc>
          <w:tcPr/>
          <w:p>
            <w:pPr>
              <w:pStyle w:val="Compact"/>
              <w:jc w:val="left"/>
            </w:pPr>
            <w:r>
              <w:t xml:space="preserve">Serial code</w:t>
            </w:r>
          </w:p>
        </w:tc>
        <w:tc>
          <w:tcPr/>
          <w:p>
            <w:pPr>
              <w:pStyle w:val="Compact"/>
              <w:jc w:val="left"/>
            </w:pPr>
            <w:r>
              <w:t xml:space="preserve">Extra cores sit idle</w:t>
            </w:r>
          </w:p>
        </w:tc>
        <w:tc>
          <w:tcPr/>
          <w:p>
            <w:pPr>
              <w:pStyle w:val="Compact"/>
              <w:jc w:val="left"/>
            </w:pPr>
            <w:r>
              <w:t xml:space="preserve">A single-threaded event loop or a global lock caps throughput (Amdahl, §4.12)</w:t>
            </w:r>
          </w:p>
        </w:tc>
      </w:tr>
      <w:tr>
        <w:tc>
          <w:tcPr/>
          <w:p>
            <w:pPr>
              <w:pStyle w:val="Compact"/>
              <w:jc w:val="left"/>
            </w:pPr>
            <w:r>
              <w:t xml:space="preserve">Coherency inside the node</w:t>
            </w:r>
          </w:p>
        </w:tc>
        <w:tc>
          <w:tcPr/>
          <w:p>
            <w:pPr>
              <w:pStyle w:val="Compact"/>
              <w:jc w:val="left"/>
            </w:pPr>
            <w:r>
              <w:t xml:space="preserve">Throughput flattens or falls</w:t>
            </w:r>
          </w:p>
        </w:tc>
        <w:tc>
          <w:tcPr/>
          <w:p>
            <w:pPr>
              <w:pStyle w:val="Compact"/>
              <w:jc w:val="left"/>
            </w:pPr>
            <w:r>
              <w:t xml:space="preserve">Cache-line contention and NUMA traffic between sockets (§5.10)</w:t>
            </w:r>
          </w:p>
        </w:tc>
      </w:tr>
      <w:tr>
        <w:tc>
          <w:tcPr/>
          <w:p>
            <w:pPr>
              <w:pStyle w:val="Compact"/>
              <w:jc w:val="left"/>
            </w:pPr>
            <w:r>
              <w:t xml:space="preserve">Availability</w:t>
            </w:r>
          </w:p>
        </w:tc>
        <w:tc>
          <w:tcPr/>
          <w:p>
            <w:pPr>
              <w:pStyle w:val="Compact"/>
              <w:jc w:val="left"/>
            </w:pPr>
            <w:r>
              <w:t xml:space="preserve">One node is one failure domain</w:t>
            </w:r>
          </w:p>
        </w:tc>
        <w:tc>
          <w:tcPr/>
          <w:p>
            <w:pPr>
              <w:pStyle w:val="Compact"/>
              <w:jc w:val="left"/>
            </w:pPr>
            <w:r>
              <w:t xml:space="preserve">Resizing needs a restart or failover; the node is a single point of failure</w:t>
            </w:r>
          </w:p>
        </w:tc>
      </w:tr>
      <w:tr>
        <w:tc>
          <w:tcPr/>
          <w:p>
            <w:pPr>
              <w:pStyle w:val="Compact"/>
              <w:jc w:val="left"/>
            </w:pPr>
            <w:r>
              <w:t xml:space="preserve">Cost</w:t>
            </w:r>
          </w:p>
        </w:tc>
        <w:tc>
          <w:tcPr/>
          <w:p>
            <w:pPr>
              <w:pStyle w:val="Compact"/>
              <w:jc w:val="left"/>
            </w:pPr>
            <w:r>
              <w:t xml:space="preserve">Price per unit of throughput rises</w:t>
            </w:r>
          </w:p>
        </w:tc>
        <w:tc>
          <w:tcPr/>
          <w:p>
            <w:pPr>
              <w:pStyle w:val="Compact"/>
              <w:jc w:val="left"/>
            </w:pPr>
            <w:r>
              <w:t xml:space="preserve">Large nodes deliver less throughput per dollar (below)</w:t>
            </w:r>
          </w:p>
        </w:tc>
      </w:tr>
      <w:tr>
        <w:tc>
          <w:tcPr/>
          <w:p>
            <w:pPr>
              <w:pStyle w:val="Compact"/>
              <w:jc w:val="left"/>
            </w:pPr>
            <w:r>
              <w:t xml:space="preserve">Blast radius</w:t>
            </w:r>
          </w:p>
        </w:tc>
        <w:tc>
          <w:tcPr/>
          <w:p>
            <w:pPr>
              <w:pStyle w:val="Compact"/>
              <w:jc w:val="left"/>
            </w:pPr>
            <w:r>
              <w:t xml:space="preserve">Every user shares the node</w:t>
            </w:r>
          </w:p>
        </w:tc>
        <w:tc>
          <w:tcPr/>
          <w:p>
            <w:pPr>
              <w:pStyle w:val="Compact"/>
              <w:jc w:val="left"/>
            </w:pPr>
            <w:r>
              <w:t xml:space="preserve">One bad query affects everyone</w:t>
            </w:r>
          </w:p>
        </w:tc>
      </w:tr>
    </w:tbl>
    <w:bookmarkEnd w:id="2053"/>
    <w:bookmarkStart w:id="2054" w:name="the-cost-curve"/>
    <w:p>
      <w:pPr>
        <w:pStyle w:val="Heading4"/>
      </w:pPr>
      <w:r>
        <w:t xml:space="preserve">The cost curve</w:t>
      </w:r>
    </w:p>
    <w:p>
      <w:pPr>
        <w:pStyle w:val="FirstParagraph"/>
      </w:pPr>
      <w:r>
        <w:t xml:space="preserve">Two effects shape the cost of scaling up. First,</w:t>
      </w:r>
      <w:r>
        <w:t xml:space="preserve"> </w:t>
      </w:r>
      <w:r>
        <w:rPr>
          <w:bCs/>
          <w:b/>
        </w:rPr>
        <w:t xml:space="preserve">price per core</w:t>
      </w:r>
      <w:r>
        <w:t xml:space="preserve">. Within one cloud instance family, price is roughly proportional to size as of 2026: twice the vCPUs costs about twice as much. Beyond the largest standard size, specialized high-memory or multi-socket machines carry a premium, and on owned hardware high-end multi-socket servers have long cost more per unit of performance than commodity ones</w:t>
      </w:r>
      <w:r>
        <w:t xml:space="preserve"> </w:t>
      </w:r>
      <w:hyperlink r:id="rId25">
        <w:r>
          <w:rPr>
            <w:rStyle w:val="Hyperlink"/>
          </w:rPr>
          <w:t xml:space="preserve">Barroso et al. 2018</w:t>
        </w:r>
      </w:hyperlink>
      <w:r>
        <w:t xml:space="preserve">. Second,</w:t>
      </w:r>
      <w:r>
        <w:t xml:space="preserve"> </w:t>
      </w:r>
      <w:r>
        <w:rPr>
          <w:bCs/>
          <w:b/>
        </w:rPr>
        <w:t xml:space="preserve">throughput per core</w:t>
      </w:r>
      <w:r>
        <w:t xml:space="preserve"> </w:t>
      </w:r>
      <w:r>
        <w:t xml:space="preserve">falls as the node grows, because contention and coherency inside the node grow with core count. Combining a linear price with USL throughput (§4.13) gives a simple model of the cost curve.</w:t>
      </w:r>
    </w:p>
    <w:p>
      <w:pPr>
        <w:pStyle w:val="CalloutFormula"/>
      </w:pPr>
      <w:r>
        <w:rPr>
          <w:bCs/>
          <w:b/>
        </w:rPr>
        <w:t xml:space="preserve">FORMULA</w:t>
      </w:r>
    </w:p>
    <w:p>
      <w:pPr>
        <w:pStyle w:val="CalloutFormula"/>
      </w:pPr>
      <w:r>
        <w:rPr>
          <w:bCs/>
          <w:b/>
        </w:rPr>
        <w:t xml:space="preserve">Relative cost per unit of throughput on one node</w:t>
      </w:r>
    </w:p>
    <w:p>
      <w:pPr>
        <w:pStyle w:val="CalloutFormula"/>
      </w:pPr>
      <m:oMathPara>
        <m:oMathParaPr>
          <m:jc m:val="center"/>
        </m:oMathParaPr>
        <m:oMath>
          <m:r>
            <m:t>k</m:t>
          </m:r>
          <m:d>
            <m:dPr>
              <m:begChr m:val="("/>
              <m:endChr m:val=")"/>
              <m:sepChr m:val=""/>
              <m:grow/>
            </m:dPr>
            <m:e>
              <m:r>
                <m:t>N</m:t>
              </m:r>
            </m:e>
          </m:d>
          <m:r>
            <m:rPr>
              <m:sty m:val="p"/>
            </m:rPr>
            <m:t>=</m:t>
          </m:r>
          <m:f>
            <m:fPr>
              <m:type m:val="bar"/>
            </m:fPr>
            <m:num>
              <m:r>
                <m:t>N</m:t>
              </m:r>
            </m:num>
            <m:den>
              <m:r>
                <m:t>C</m:t>
              </m:r>
              <m:d>
                <m:dPr>
                  <m:begChr m:val="("/>
                  <m:endChr m:val=")"/>
                  <m:sepChr m:val=""/>
                  <m:grow/>
                </m:dPr>
                <m:e>
                  <m:r>
                    <m:t>N</m:t>
                  </m:r>
                </m:e>
              </m:d>
            </m:den>
          </m:f>
          <m:r>
            <m:rPr>
              <m:sty m:val="p"/>
            </m:rPr>
            <m:t>=</m:t>
          </m:r>
          <m:r>
            <m:t>1</m:t>
          </m:r>
          <m:r>
            <m:rPr>
              <m:sty m:val="p"/>
            </m:rPr>
            <m:t>+</m:t>
          </m:r>
          <m:r>
            <m:t>α</m:t>
          </m:r>
          <m:d>
            <m:dPr>
              <m:begChr m:val="("/>
              <m:endChr m:val=")"/>
              <m:sepChr m:val=""/>
              <m:grow/>
            </m:dPr>
            <m:e>
              <m:r>
                <m:t>N</m:t>
              </m:r>
              <m:r>
                <m:rPr>
                  <m:sty m:val="p"/>
                </m:rPr>
                <m:t>−</m:t>
              </m:r>
              <m:r>
                <m:t>1</m:t>
              </m:r>
            </m:e>
          </m:d>
          <m:r>
            <m:rPr>
              <m:sty m:val="p"/>
            </m:rPr>
            <m:t>+</m:t>
          </m:r>
          <m:r>
            <m:t>β</m:t>
          </m:r>
          <m:r>
            <m:t>N</m:t>
          </m:r>
          <m:d>
            <m:dPr>
              <m:begChr m:val="("/>
              <m:endChr m:val=")"/>
              <m:sepChr m:val=""/>
              <m:grow/>
            </m:dPr>
            <m:e>
              <m:r>
                <m:t>N</m:t>
              </m:r>
              <m:r>
                <m:rPr>
                  <m:sty m:val="p"/>
                </m:rPr>
                <m:t>−</m:t>
              </m:r>
              <m:r>
                <m:t>1</m:t>
              </m:r>
            </m:e>
          </m:d>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N</m:t>
              </m:r>
            </m:oMath>
          </w:p>
        </w:tc>
        <w:tc>
          <w:tcPr/>
          <w:p>
            <w:pPr>
              <w:pStyle w:val="Compact"/>
              <w:jc w:val="left"/>
            </w:pPr>
            <w:r>
              <w:t xml:space="preserve">Cores (or vCPUs) in the node; price assumed proportional to</w:t>
            </w:r>
            <w:r>
              <w:t xml:space="preserve"> </w:t>
            </w:r>
            <m:oMath>
              <m:r>
                <m:t>N</m:t>
              </m:r>
            </m:oMath>
          </w:p>
        </w:tc>
        <w:tc>
          <w:tcPr/>
          <w:p>
            <w:pPr>
              <w:pStyle w:val="Compact"/>
              <w:jc w:val="left"/>
            </w:pPr>
            <w:r>
              <w:t xml:space="preserve">count</w:t>
            </w:r>
          </w:p>
        </w:tc>
      </w:tr>
      <w:tr>
        <w:tc>
          <w:tcPr/>
          <w:p>
            <w:pPr>
              <w:pStyle w:val="Compact"/>
              <w:jc w:val="left"/>
            </w:pPr>
            <m:oMath>
              <m:r>
                <m:t>C</m:t>
              </m:r>
              <m:d>
                <m:dPr>
                  <m:begChr m:val="("/>
                  <m:endChr m:val=")"/>
                  <m:sepChr m:val=""/>
                  <m:grow/>
                </m:dPr>
                <m:e>
                  <m:r>
                    <m:t>N</m:t>
                  </m:r>
                </m:e>
              </m:d>
            </m:oMath>
          </w:p>
        </w:tc>
        <w:tc>
          <w:tcPr/>
          <w:p>
            <w:pPr>
              <w:pStyle w:val="Compact"/>
              <w:jc w:val="left"/>
            </w:pPr>
            <w:r>
              <w:t xml:space="preserve">USL relative capacity: throughput at</w:t>
            </w:r>
            <w:r>
              <w:t xml:space="preserve"> </w:t>
            </w:r>
            <m:oMath>
              <m:r>
                <m:t>N</m:t>
              </m:r>
            </m:oMath>
            <w:r>
              <w:t xml:space="preserve"> </w:t>
            </w:r>
            <w:r>
              <w:t xml:space="preserve">cores divided by throughput at 1 core</w:t>
            </w:r>
          </w:p>
        </w:tc>
        <w:tc>
          <w:tcPr/>
          <w:p>
            <w:pPr>
              <w:pStyle w:val="Compact"/>
              <w:jc w:val="left"/>
            </w:pPr>
            <w:r>
              <w:t xml:space="preserve">dimensionless</w:t>
            </w:r>
          </w:p>
        </w:tc>
      </w:tr>
      <w:tr>
        <w:tc>
          <w:tcPr/>
          <w:p>
            <w:pPr>
              <w:pStyle w:val="Compact"/>
              <w:jc w:val="left"/>
            </w:pPr>
            <m:oMath>
              <m:r>
                <m:t>α</m:t>
              </m:r>
            </m:oMath>
          </w:p>
        </w:tc>
        <w:tc>
          <w:tcPr/>
          <w:p>
            <w:pPr>
              <w:pStyle w:val="Compact"/>
              <w:jc w:val="left"/>
            </w:pPr>
            <w:r>
              <w:t xml:space="preserve">Contention coefficient inside the node</w:t>
            </w:r>
          </w:p>
        </w:tc>
        <w:tc>
          <w:tcPr/>
          <w:p>
            <w:pPr>
              <w:pStyle w:val="Compact"/>
              <w:jc w:val="left"/>
            </w:pPr>
            <w:r>
              <w:t xml:space="preserve">dimensionless</w:t>
            </w:r>
          </w:p>
        </w:tc>
      </w:tr>
      <w:tr>
        <w:tc>
          <w:tcPr/>
          <w:p>
            <w:pPr>
              <w:pStyle w:val="Compact"/>
              <w:jc w:val="left"/>
            </w:pPr>
            <m:oMath>
              <m:r>
                <m:t>β</m:t>
              </m:r>
            </m:oMath>
          </w:p>
        </w:tc>
        <w:tc>
          <w:tcPr/>
          <w:p>
            <w:pPr>
              <w:pStyle w:val="Compact"/>
              <w:jc w:val="left"/>
            </w:pPr>
            <w:r>
              <w:t xml:space="preserve">Coherency coefficient inside the node</w:t>
            </w:r>
          </w:p>
        </w:tc>
        <w:tc>
          <w:tcPr/>
          <w:p>
            <w:pPr>
              <w:pStyle w:val="Compact"/>
              <w:jc w:val="left"/>
            </w:pPr>
            <w:r>
              <w:t xml:space="preserve">dimensionless</w:t>
            </w:r>
          </w:p>
        </w:tc>
      </w:tr>
      <w:tr>
        <w:tc>
          <w:tcPr/>
          <w:p>
            <w:pPr>
              <w:pStyle w:val="Compact"/>
              <w:jc w:val="left"/>
            </w:pPr>
            <m:oMath>
              <m:r>
                <m:t>k</m:t>
              </m:r>
              <m:d>
                <m:dPr>
                  <m:begChr m:val="("/>
                  <m:endChr m:val=")"/>
                  <m:sepChr m:val=""/>
                  <m:grow/>
                </m:dPr>
                <m:e>
                  <m:r>
                    <m:t>N</m:t>
                  </m:r>
                </m:e>
              </m:d>
            </m:oMath>
          </w:p>
        </w:tc>
        <w:tc>
          <w:tcPr/>
          <w:p>
            <w:pPr>
              <w:pStyle w:val="Compact"/>
              <w:jc w:val="left"/>
            </w:pPr>
            <w:r>
              <w:t xml:space="preserve">Cost per unit of throughput relative to a 1-core node</w:t>
            </w:r>
          </w:p>
        </w:tc>
        <w:tc>
          <w:tcPr/>
          <w:p>
            <w:pPr>
              <w:pStyle w:val="Compact"/>
              <w:jc w:val="left"/>
            </w:pPr>
            <w:r>
              <w:t xml:space="preserve">dimensionless (×)</w:t>
            </w:r>
          </w:p>
        </w:tc>
      </w:tr>
    </w:tbl>
    <w:p>
      <w:pPr>
        <w:pStyle w:val="BodyText"/>
      </w:pPr>
      <w:r>
        <w:t xml:space="preserve">The formula is just the USL denominator: if price grows with</w:t>
      </w:r>
      <w:r>
        <w:t xml:space="preserve"> </w:t>
      </w:r>
      <m:oMath>
        <m:r>
          <m:t>N</m:t>
        </m:r>
      </m:oMath>
      <w:r>
        <w:t xml:space="preserve"> </w:t>
      </w:r>
      <w:r>
        <w:t xml:space="preserve">and throughput with</w:t>
      </w:r>
      <w:r>
        <w:t xml:space="preserve"> </w:t>
      </w:r>
      <m:oMath>
        <m:r>
          <m:t>C</m:t>
        </m:r>
        <m:d>
          <m:dPr>
            <m:begChr m:val="("/>
            <m:endChr m:val=")"/>
            <m:sepChr m:val=""/>
            <m:grow/>
          </m:dPr>
          <m:e>
            <m:r>
              <m:t>N</m:t>
            </m:r>
          </m:e>
        </m:d>
      </m:oMath>
      <w:r>
        <w:t xml:space="preserve">, the ratio is what is left. It assumes linear pricing; on owned hardware or specialized instances, multiply by the price premium as well.</w:t>
      </w:r>
    </w:p>
    <w:p>
      <w:pPr>
        <w:pStyle w:val="CalloutExample"/>
      </w:pPr>
      <w:r>
        <w:rPr>
          <w:bCs/>
          <w:b/>
        </w:rPr>
        <w:t xml:space="preserve">WORKED EXAMPLE</w:t>
      </w:r>
    </w:p>
    <w:p>
      <w:pPr>
        <w:pStyle w:val="CalloutExample"/>
      </w:pPr>
      <w:r>
        <w:rPr>
          <w:bCs/>
          <w:b/>
        </w:rPr>
        <w:t xml:space="preserve">Worked example — Is the 192-core database node worth it?</w:t>
      </w:r>
      <w:r>
        <w:t xml:space="preserve"> </w:t>
      </w:r>
      <w:r>
        <w:t xml:space="preserve">A load test of QuickBite’s order database at several core counts fits</w:t>
      </w:r>
      <w:r>
        <w:t xml:space="preserve"> </w:t>
      </w:r>
      <m:oMath>
        <m:r>
          <m:t>α</m:t>
        </m:r>
        <m:r>
          <m:rPr>
            <m:sty m:val="p"/>
          </m:rPr>
          <m:t>=</m:t>
        </m:r>
        <m:r>
          <m:t>0.02</m:t>
        </m:r>
      </m:oMath>
      <w:r>
        <w:t xml:space="preserve"> </w:t>
      </w:r>
      <w:r>
        <w:t xml:space="preserve">and</w:t>
      </w:r>
      <w:r>
        <w:t xml:space="preserve"> </w:t>
      </w:r>
      <m:oMath>
        <m:r>
          <m:t>β</m:t>
        </m:r>
        <m:r>
          <m:rPr>
            <m:sty m:val="p"/>
          </m:rPr>
          <m:t>=</m:t>
        </m:r>
        <m:r>
          <m:t>0.00005</m:t>
        </m:r>
      </m:oMath>
      <w:r>
        <w:t xml:space="preserve"> </w:t>
      </w:r>
      <w:r>
        <w:t xml:space="preserve">(assumed values for the exercise).</w:t>
      </w:r>
    </w:p>
    <w:p>
      <w:pPr>
        <w:numPr>
          <w:ilvl w:val="0"/>
          <w:numId w:val="1600"/>
        </w:numPr>
        <w:pStyle w:val="Compact"/>
      </w:pPr>
      <m:oMath>
        <m:r>
          <m:t>N</m:t>
        </m:r>
        <m:r>
          <m:rPr>
            <m:sty m:val="p"/>
          </m:rPr>
          <m:t>=</m:t>
        </m:r>
        <m:r>
          <m:t>8</m:t>
        </m:r>
      </m:oMath>
      <w:r>
        <w:t xml:space="preserve">:</w:t>
      </w:r>
      <w:r>
        <w:t xml:space="preserve"> </w:t>
      </w:r>
      <m:oMath>
        <m:r>
          <m:t>C</m:t>
        </m:r>
        <m:r>
          <m:rPr>
            <m:sty m:val="p"/>
          </m:rPr>
          <m:t>=</m:t>
        </m:r>
        <m:r>
          <m:t>8</m:t>
        </m:r>
        <m:r>
          <m:rPr>
            <m:sty m:val="p"/>
          </m:rPr>
          <m:t>/</m:t>
        </m:r>
        <m:d>
          <m:dPr>
            <m:begChr m:val="("/>
            <m:endChr m:val=")"/>
            <m:sepChr m:val=""/>
            <m:grow/>
          </m:dPr>
          <m:e>
            <m:r>
              <m:t>1</m:t>
            </m:r>
            <m:r>
              <m:rPr>
                <m:sty m:val="p"/>
              </m:rPr>
              <m:t>+</m:t>
            </m:r>
            <m:r>
              <m:t>0.14</m:t>
            </m:r>
            <m:r>
              <m:rPr>
                <m:sty m:val="p"/>
              </m:rPr>
              <m:t>+</m:t>
            </m:r>
            <m:r>
              <m:t>0.0028</m:t>
            </m:r>
          </m:e>
        </m:d>
        <m:r>
          <m:rPr>
            <m:sty m:val="p"/>
          </m:rPr>
          <m:t>=</m:t>
        </m:r>
        <m:r>
          <m:t>8</m:t>
        </m:r>
        <m:r>
          <m:rPr>
            <m:sty m:val="p"/>
          </m:rPr>
          <m:t>/</m:t>
        </m:r>
        <m:r>
          <m:t>1.1428</m:t>
        </m:r>
        <m:r>
          <m:rPr>
            <m:sty m:val="p"/>
          </m:rPr>
          <m:t>=</m:t>
        </m:r>
        <m:r>
          <m:t>7.00</m:t>
        </m:r>
      </m:oMath>
      <w:r>
        <w:t xml:space="preserve">;</w:t>
      </w:r>
      <w:r>
        <w:t xml:space="preserve"> </w:t>
      </w:r>
      <m:oMath>
        <m:r>
          <m:t>k</m:t>
        </m:r>
        <m:r>
          <m:rPr>
            <m:sty m:val="p"/>
          </m:rPr>
          <m:t>=</m:t>
        </m:r>
        <m:r>
          <m:t>1.14</m:t>
        </m:r>
      </m:oMath>
      <w:r>
        <w:t xml:space="preserve">.</w:t>
      </w:r>
    </w:p>
    <w:p>
      <w:pPr>
        <w:numPr>
          <w:ilvl w:val="0"/>
          <w:numId w:val="1600"/>
        </w:numPr>
        <w:pStyle w:val="Compact"/>
      </w:pPr>
      <m:oMath>
        <m:r>
          <m:t>N</m:t>
        </m:r>
        <m:r>
          <m:rPr>
            <m:sty m:val="p"/>
          </m:rPr>
          <m:t>=</m:t>
        </m:r>
        <m:r>
          <m:t>32</m:t>
        </m:r>
      </m:oMath>
      <w:r>
        <w:t xml:space="preserve">:</w:t>
      </w:r>
      <w:r>
        <w:t xml:space="preserve"> </w:t>
      </w:r>
      <m:oMath>
        <m:r>
          <m:t>C</m:t>
        </m:r>
        <m:r>
          <m:rPr>
            <m:sty m:val="p"/>
          </m:rPr>
          <m:t>=</m:t>
        </m:r>
        <m:r>
          <m:t>32</m:t>
        </m:r>
        <m:r>
          <m:rPr>
            <m:sty m:val="p"/>
          </m:rPr>
          <m:t>/</m:t>
        </m:r>
        <m:d>
          <m:dPr>
            <m:begChr m:val="("/>
            <m:endChr m:val=")"/>
            <m:sepChr m:val=""/>
            <m:grow/>
          </m:dPr>
          <m:e>
            <m:r>
              <m:t>1</m:t>
            </m:r>
            <m:r>
              <m:rPr>
                <m:sty m:val="p"/>
              </m:rPr>
              <m:t>+</m:t>
            </m:r>
            <m:r>
              <m:t>0.62</m:t>
            </m:r>
            <m:r>
              <m:rPr>
                <m:sty m:val="p"/>
              </m:rPr>
              <m:t>+</m:t>
            </m:r>
            <m:r>
              <m:t>0.0496</m:t>
            </m:r>
          </m:e>
        </m:d>
        <m:r>
          <m:rPr>
            <m:sty m:val="p"/>
          </m:rPr>
          <m:t>=</m:t>
        </m:r>
        <m:r>
          <m:t>32</m:t>
        </m:r>
        <m:r>
          <m:rPr>
            <m:sty m:val="p"/>
          </m:rPr>
          <m:t>/</m:t>
        </m:r>
        <m:r>
          <m:t>1.6696</m:t>
        </m:r>
        <m:r>
          <m:rPr>
            <m:sty m:val="p"/>
          </m:rPr>
          <m:t>=</m:t>
        </m:r>
        <m:r>
          <m:t>19.17</m:t>
        </m:r>
      </m:oMath>
      <w:r>
        <w:t xml:space="preserve">;</w:t>
      </w:r>
      <w:r>
        <w:t xml:space="preserve"> </w:t>
      </w:r>
      <m:oMath>
        <m:r>
          <m:t>k</m:t>
        </m:r>
        <m:r>
          <m:rPr>
            <m:sty m:val="p"/>
          </m:rPr>
          <m:t>=</m:t>
        </m:r>
        <m:r>
          <m:t>1.67</m:t>
        </m:r>
      </m:oMath>
      <w:r>
        <w:t xml:space="preserve">.</w:t>
      </w:r>
    </w:p>
    <w:p>
      <w:pPr>
        <w:numPr>
          <w:ilvl w:val="0"/>
          <w:numId w:val="1600"/>
        </w:numPr>
        <w:pStyle w:val="Compact"/>
      </w:pPr>
      <m:oMath>
        <m:r>
          <m:t>N</m:t>
        </m:r>
        <m:r>
          <m:rPr>
            <m:sty m:val="p"/>
          </m:rPr>
          <m:t>=</m:t>
        </m:r>
        <m:r>
          <m:t>96</m:t>
        </m:r>
      </m:oMath>
      <w:r>
        <w:t xml:space="preserve">:</w:t>
      </w:r>
      <w:r>
        <w:t xml:space="preserve"> </w:t>
      </w:r>
      <m:oMath>
        <m:r>
          <m:t>C</m:t>
        </m:r>
        <m:r>
          <m:rPr>
            <m:sty m:val="p"/>
          </m:rPr>
          <m:t>=</m:t>
        </m:r>
        <m:r>
          <m:t>96</m:t>
        </m:r>
        <m:r>
          <m:rPr>
            <m:sty m:val="p"/>
          </m:rPr>
          <m:t>/</m:t>
        </m:r>
        <m:d>
          <m:dPr>
            <m:begChr m:val="("/>
            <m:endChr m:val=")"/>
            <m:sepChr m:val=""/>
            <m:grow/>
          </m:dPr>
          <m:e>
            <m:r>
              <m:t>1</m:t>
            </m:r>
            <m:r>
              <m:rPr>
                <m:sty m:val="p"/>
              </m:rPr>
              <m:t>+</m:t>
            </m:r>
            <m:r>
              <m:t>1.90</m:t>
            </m:r>
            <m:r>
              <m:rPr>
                <m:sty m:val="p"/>
              </m:rPr>
              <m:t>+</m:t>
            </m:r>
            <m:r>
              <m:t>0.456</m:t>
            </m:r>
          </m:e>
        </m:d>
        <m:r>
          <m:rPr>
            <m:sty m:val="p"/>
          </m:rPr>
          <m:t>=</m:t>
        </m:r>
        <m:r>
          <m:t>96</m:t>
        </m:r>
        <m:r>
          <m:rPr>
            <m:sty m:val="p"/>
          </m:rPr>
          <m:t>/</m:t>
        </m:r>
        <m:r>
          <m:t>3.356</m:t>
        </m:r>
        <m:r>
          <m:rPr>
            <m:sty m:val="p"/>
          </m:rPr>
          <m:t>=</m:t>
        </m:r>
        <m:r>
          <m:t>28.61</m:t>
        </m:r>
      </m:oMath>
      <w:r>
        <w:t xml:space="preserve">;</w:t>
      </w:r>
      <w:r>
        <w:t xml:space="preserve"> </w:t>
      </w:r>
      <m:oMath>
        <m:r>
          <m:t>k</m:t>
        </m:r>
        <m:r>
          <m:rPr>
            <m:sty m:val="p"/>
          </m:rPr>
          <m:t>=</m:t>
        </m:r>
        <m:r>
          <m:t>3.36</m:t>
        </m:r>
      </m:oMath>
      <w:r>
        <w:t xml:space="preserve">.</w:t>
      </w:r>
    </w:p>
    <w:p>
      <w:pPr>
        <w:numPr>
          <w:ilvl w:val="0"/>
          <w:numId w:val="1600"/>
        </w:numPr>
        <w:pStyle w:val="Compact"/>
      </w:pPr>
      <m:oMath>
        <m:r>
          <m:t>N</m:t>
        </m:r>
        <m:r>
          <m:rPr>
            <m:sty m:val="p"/>
          </m:rPr>
          <m:t>=</m:t>
        </m:r>
        <m:r>
          <m:t>192</m:t>
        </m:r>
      </m:oMath>
      <w:r>
        <w:t xml:space="preserve">:</w:t>
      </w:r>
      <w:r>
        <w:t xml:space="preserve"> </w:t>
      </w:r>
      <m:oMath>
        <m:r>
          <m:t>C</m:t>
        </m:r>
        <m:r>
          <m:rPr>
            <m:sty m:val="p"/>
          </m:rPr>
          <m:t>=</m:t>
        </m:r>
        <m:r>
          <m:t>192</m:t>
        </m:r>
        <m:r>
          <m:rPr>
            <m:sty m:val="p"/>
          </m:rPr>
          <m:t>/</m:t>
        </m:r>
        <m:d>
          <m:dPr>
            <m:begChr m:val="("/>
            <m:endChr m:val=")"/>
            <m:sepChr m:val=""/>
            <m:grow/>
          </m:dPr>
          <m:e>
            <m:r>
              <m:t>1</m:t>
            </m:r>
            <m:r>
              <m:rPr>
                <m:sty m:val="p"/>
              </m:rPr>
              <m:t>+</m:t>
            </m:r>
            <m:r>
              <m:t>3.82</m:t>
            </m:r>
            <m:r>
              <m:rPr>
                <m:sty m:val="p"/>
              </m:rPr>
              <m:t>+</m:t>
            </m:r>
            <m:r>
              <m:t>1.8336</m:t>
            </m:r>
          </m:e>
        </m:d>
        <m:r>
          <m:rPr>
            <m:sty m:val="p"/>
          </m:rPr>
          <m:t>=</m:t>
        </m:r>
        <m:r>
          <m:t>192</m:t>
        </m:r>
        <m:r>
          <m:rPr>
            <m:sty m:val="p"/>
          </m:rPr>
          <m:t>/</m:t>
        </m:r>
        <m:r>
          <m:t>6.6536</m:t>
        </m:r>
        <m:r>
          <m:rPr>
            <m:sty m:val="p"/>
          </m:rPr>
          <m:t>=</m:t>
        </m:r>
        <m:r>
          <m:t>28.86</m:t>
        </m:r>
      </m:oMath>
      <w:r>
        <w:t xml:space="preserve">;</w:t>
      </w:r>
      <w:r>
        <w:t xml:space="preserve"> </w:t>
      </w:r>
      <m:oMath>
        <m:r>
          <m:t>k</m:t>
        </m:r>
        <m:r>
          <m:rPr>
            <m:sty m:val="p"/>
          </m:rPr>
          <m:t>=</m:t>
        </m:r>
        <m:r>
          <m:t>6.65</m:t>
        </m:r>
      </m:oMath>
      <w:r>
        <w:t xml:space="preserve">.</w:t>
      </w:r>
    </w:p>
    <w:p>
      <w:pPr>
        <w:pStyle w:val="CalloutExample"/>
      </w:pPr>
      <w:r>
        <w:rPr>
          <w:bCs/>
          <w:b/>
        </w:rPr>
        <w:t xml:space="preserve">Interpretation.</w:t>
      </w:r>
      <w:r>
        <w:t xml:space="preserve"> </w:t>
      </w:r>
      <w:r>
        <w:t xml:space="preserve">Doubling from 96 to 192 cores doubles the price and adds less than 1% throughput. Each unit of throughput on the 192-core node costs 6.65 times as much as on a single core, and twice as much as on the 96-core node.</w:t>
      </w:r>
      <w:r>
        <w:t xml:space="preserve"> </w:t>
      </w:r>
      <w:r>
        <w:rPr>
          <w:bCs/>
          <w:b/>
        </w:rPr>
        <w:t xml:space="preserve">Engineering implication.</w:t>
      </w:r>
      <w:r>
        <w:t xml:space="preserve"> </w:t>
      </w:r>
      <w:r>
        <w:t xml:space="preserve">Scale up while</w:t>
      </w:r>
      <w:r>
        <w:t xml:space="preserve"> </w:t>
      </w:r>
      <m:oMath>
        <m:r>
          <m:t>k</m:t>
        </m:r>
        <m:d>
          <m:dPr>
            <m:begChr m:val="("/>
            <m:endChr m:val=")"/>
            <m:sepChr m:val=""/>
            <m:grow/>
          </m:dPr>
          <m:e>
            <m:r>
              <m:t>N</m:t>
            </m:r>
          </m:e>
        </m:d>
      </m:oMath>
      <w:r>
        <w:t xml:space="preserve"> </w:t>
      </w:r>
      <w:r>
        <w:t xml:space="preserve">is still close to linear (here, up to roughly 32 cores). Past the knee, spend effort on removing contention (shorter transactions, fewer hot rows) or on scaling out. Fit</w:t>
      </w:r>
      <w:r>
        <w:t xml:space="preserve"> </w:t>
      </w:r>
      <m:oMath>
        <m:r>
          <m:t>α</m:t>
        </m:r>
      </m:oMath>
      <w:r>
        <w:t xml:space="preserve"> </w:t>
      </w:r>
      <w:r>
        <w:t xml:space="preserve">and</w:t>
      </w:r>
      <w:r>
        <w:t xml:space="preserve"> </w:t>
      </w:r>
      <m:oMath>
        <m:r>
          <m:t>β</m:t>
        </m:r>
      </m:oMath>
      <w:r>
        <w:t xml:space="preserve"> </w:t>
      </w:r>
      <w:r>
        <w:t xml:space="preserve">from measurements at several sizes (§23.10); a two-point test cannot reveal the knee (§4.13).</w:t>
      </w:r>
    </w:p>
    <w:bookmarkEnd w:id="2054"/>
    <w:bookmarkStart w:id="2055" w:name="Xf806321fcf1cd7ddb1dc018d3354f2a30238e31"/>
    <w:p>
      <w:pPr>
        <w:pStyle w:val="Heading4"/>
      </w:pPr>
      <w:r>
        <w:t xml:space="preserve">When vertical scaling is the right answer</w:t>
      </w:r>
    </w:p>
    <w:p>
      <w:pPr>
        <w:numPr>
          <w:ilvl w:val="0"/>
          <w:numId w:val="1601"/>
        </w:numPr>
        <w:pStyle w:val="Compact"/>
      </w:pPr>
      <w:r>
        <w:rPr>
          <w:bCs/>
          <w:b/>
        </w:rPr>
        <w:t xml:space="preserve">The workload needs a single coherent copy of state</w:t>
      </w:r>
      <w:r>
        <w:t xml:space="preserve">, such as a transactional database primary, a lock manager or an in-memory matching engine. Splitting it would add coordination that costs more than the bigger node.</w:t>
      </w:r>
    </w:p>
    <w:p>
      <w:pPr>
        <w:numPr>
          <w:ilvl w:val="0"/>
          <w:numId w:val="1601"/>
        </w:numPr>
        <w:pStyle w:val="Compact"/>
      </w:pPr>
      <w:r>
        <w:rPr>
          <w:bCs/>
          <w:b/>
        </w:rPr>
        <w:t xml:space="preserve">You are below the knee of the cost curve.</w:t>
      </w:r>
      <w:r>
        <w:t xml:space="preserve"> </w:t>
      </w:r>
      <w:r>
        <w:t xml:space="preserve">Going from 4 to 16 cores typically costs little in efficiency.</w:t>
      </w:r>
    </w:p>
    <w:p>
      <w:pPr>
        <w:numPr>
          <w:ilvl w:val="0"/>
          <w:numId w:val="1601"/>
        </w:numPr>
        <w:pStyle w:val="Compact"/>
      </w:pPr>
      <w:r>
        <w:rPr>
          <w:bCs/>
          <w:b/>
        </w:rPr>
        <w:t xml:space="preserve">Time matters more than elegance.</w:t>
      </w:r>
      <w:r>
        <w:t xml:space="preserve"> </w:t>
      </w:r>
      <w:r>
        <w:t xml:space="preserve">Resizing takes minutes to hours; sharding takes months. Scaling up buys time to build the horizontal design properly.</w:t>
      </w:r>
    </w:p>
    <w:p>
      <w:pPr>
        <w:numPr>
          <w:ilvl w:val="0"/>
          <w:numId w:val="1601"/>
        </w:numPr>
        <w:pStyle w:val="Compact"/>
      </w:pPr>
      <w:r>
        <w:rPr>
          <w:bCs/>
          <w:b/>
        </w:rPr>
        <w:t xml:space="preserve">The team is small.</w:t>
      </w:r>
      <w:r>
        <w:t xml:space="preserve"> </w:t>
      </w:r>
      <w:r>
        <w:t xml:space="preserve">One large node has far fewer moving parts to operate than ten small ones.</w:t>
      </w:r>
    </w:p>
    <w:p>
      <w:pPr>
        <w:numPr>
          <w:ilvl w:val="0"/>
          <w:numId w:val="1601"/>
        </w:numPr>
        <w:pStyle w:val="Compact"/>
      </w:pPr>
      <w:r>
        <w:rPr>
          <w:bCs/>
          <w:b/>
        </w:rPr>
        <w:t xml:space="preserve">Per-node software licences</w:t>
      </w:r>
      <w:r>
        <w:t xml:space="preserve"> </w:t>
      </w:r>
      <w:r>
        <w:t xml:space="preserve">are not a factor, or favor fewer, larger nodes.</w:t>
      </w:r>
    </w:p>
    <w:p>
      <w:pPr>
        <w:pStyle w:val="CalloutIndustry"/>
      </w:pPr>
      <w:r>
        <w:rPr>
          <w:bCs/>
          <w:b/>
        </w:rPr>
        <w:t xml:space="preserve">INDUSTRY EXAMPLE</w:t>
      </w:r>
    </w:p>
    <w:p>
      <w:pPr>
        <w:pStyle w:val="CalloutIndustry"/>
      </w:pPr>
      <w:r>
        <w:rPr>
          <w:bCs/>
          <w:b/>
        </w:rPr>
        <w:t xml:space="preserve">Stack Overflow.</w:t>
      </w:r>
      <w:r>
        <w:t xml:space="preserve"> </w:t>
      </w:r>
      <w:r>
        <w:t xml:space="preserve">Stack Overflow has publicly described serving its very large Q&amp;A traffic with a small number of servers, including a handful of SQL Server machines with very large memory and on the order of ten web servers, preferring to scale up and to optimize code rather than to distribute the database.</w:t>
      </w:r>
      <w:r>
        <w:t xml:space="preserve"> </w:t>
      </w:r>
      <w:r>
        <w:rPr>
          <w:iCs/>
          <w:i/>
        </w:rPr>
        <w:t xml:space="preserve">Evidence: Primary</w:t>
      </w:r>
      <w:r>
        <w:t xml:space="preserve"> </w:t>
      </w:r>
      <w:r>
        <w:t xml:space="preserve">— [Craver 2016]</w:t>
      </w:r>
    </w:p>
    <w:p>
      <w:pPr>
        <w:pStyle w:val="CalloutMistake"/>
      </w:pPr>
      <w:r>
        <w:rPr>
          <w:bCs/>
          <w:b/>
        </w:rPr>
        <w:t xml:space="preserve">COMMON MISTAKE</w:t>
      </w:r>
    </w:p>
    <w:p>
      <w:pPr>
        <w:pStyle w:val="CalloutMistake"/>
      </w:pPr>
      <w:r>
        <w:rPr>
          <w:bCs/>
          <w:b/>
        </w:rPr>
        <w:t xml:space="preserve">“</w:t>
      </w:r>
      <w:r>
        <w:rPr>
          <w:bCs/>
          <w:b/>
        </w:rPr>
        <w:t xml:space="preserve">Vertical scaling is old-fashioned; real systems scale out.</w:t>
      </w:r>
      <w:r>
        <w:rPr>
          <w:bCs/>
          <w:b/>
        </w:rPr>
        <w:t xml:space="preserve">”</w:t>
      </w:r>
      <w:r>
        <w:t xml:space="preserve"> </w:t>
      </w:r>
      <w:r>
        <w:t xml:space="preserve">Most successful systems scaled up first and still run their most coherent component (often the primary database) on one large node. The mistake is not scaling up; it is scaling up</w:t>
      </w:r>
      <w:r>
        <w:t xml:space="preserve"> </w:t>
      </w:r>
      <w:r>
        <w:rPr>
          <w:iCs/>
          <w:i/>
        </w:rPr>
        <w:t xml:space="preserve">past the knee</w:t>
      </w:r>
      <w:r>
        <w:t xml:space="preserve"> </w:t>
      </w:r>
      <w:r>
        <w:t xml:space="preserve">without a plan for what comes next.</w:t>
      </w:r>
    </w:p>
    <w:bookmarkEnd w:id="2055"/>
    <w:bookmarkEnd w:id="2056"/>
    <w:bookmarkEnd w:id="2057"/>
    <w:bookmarkStart w:id="2067" w:name="horizontal-scaling"/>
    <w:p>
      <w:pPr>
        <w:pStyle w:val="Heading2"/>
      </w:pPr>
      <w:r>
        <w:t xml:space="preserve">18.4 Horizontal scaling</w:t>
      </w:r>
    </w:p>
    <w:bookmarkStart w:id="2066" w:name="scaling-out"/>
    <w:p>
      <w:pPr>
        <w:pStyle w:val="Heading3"/>
      </w:pPr>
      <w:r>
        <w:t xml:space="preserve">18.4.1 Scaling out</w:t>
      </w:r>
    </w:p>
    <w:p>
      <w:pPr>
        <w:pStyle w:val="CalloutDefinition"/>
      </w:pPr>
      <w:r>
        <w:rPr>
          <w:bCs/>
          <w:b/>
        </w:rPr>
        <w:t xml:space="preserve">DEFINITION</w:t>
      </w:r>
    </w:p>
    <w:p>
      <w:pPr>
        <w:pStyle w:val="CalloutDefinition"/>
      </w:pPr>
      <w:r>
        <w:rPr>
          <w:bCs/>
          <w:b/>
        </w:rPr>
        <w:t xml:space="preserve">Definition — Horizontal scaling (scaling out).</w:t>
      </w:r>
      <w:r>
        <w:t xml:space="preserve"> </w:t>
      </w:r>
      <w:r>
        <w:t xml:space="preserve">Increasing capacity by adding more nodes that share the workload, for example by running 20 identical application servers behind a load balancer instead of one. Removing nodes when load falls is</w:t>
      </w:r>
      <w:r>
        <w:t xml:space="preserve"> </w:t>
      </w:r>
      <w:r>
        <w:rPr>
          <w:bCs/>
          <w:b/>
        </w:rPr>
        <w:t xml:space="preserve">scaling in</w:t>
      </w:r>
      <w:r>
        <w:t xml:space="preserve">.</w:t>
      </w:r>
    </w:p>
    <w:bookmarkStart w:id="2058" w:name="first-principles-explanation-113"/>
    <w:p>
      <w:pPr>
        <w:pStyle w:val="Heading4"/>
      </w:pPr>
      <w:r>
        <w:t xml:space="preserve">First-principles explanation</w:t>
      </w:r>
    </w:p>
    <w:p>
      <w:pPr>
        <w:pStyle w:val="FirstParagraph"/>
      </w:pPr>
      <w:r>
        <w:t xml:space="preserve">The bakery opens a second shop with its own oven and staff, then a third. Each shop is ordinary and cheap, and the chain can keep opening shops. But now customers need to be sent to a shop with spare capacity, every shop needs the same recipes, and anything that must be shared (the one supplier of flour, the single account book) becomes the new limit.</w:t>
      </w:r>
    </w:p>
    <w:bookmarkEnd w:id="2058"/>
    <w:bookmarkStart w:id="2059" w:name="why-does-this-exist-69"/>
    <w:p>
      <w:pPr>
        <w:pStyle w:val="Heading4"/>
      </w:pPr>
      <w:r>
        <w:t xml:space="preserve">Why does this exist?</w:t>
      </w:r>
    </w:p>
    <w:p>
      <w:pPr>
        <w:pStyle w:val="FirstParagraph"/>
      </w:pPr>
      <w:r>
        <w:t xml:space="preserve">Horizontal scaling removes the hardware ceiling, keeps cost per unit of throughput nearly constant while the work is independent, and turns failures from outages into reduced capacity: losing one of 20 nodes removes 5% of capacity. Barroso, Hölzle and Ranganathan argue that warehouse-scale computers are built from large numbers of commodity servers for exactly these reasons: cost efficiency and tolerance of individual failures through software</w:t>
      </w:r>
      <w:r>
        <w:t xml:space="preserve"> </w:t>
      </w:r>
      <w:hyperlink r:id="rId25">
        <w:r>
          <w:rPr>
            <w:rStyle w:val="Hyperlink"/>
          </w:rPr>
          <w:t xml:space="preserve">Barroso et al. 2018</w:t>
        </w:r>
      </w:hyperlink>
      <w:r>
        <w:t xml:space="preserve">.</w:t>
      </w:r>
    </w:p>
    <w:bookmarkEnd w:id="2059"/>
    <w:bookmarkStart w:id="2063" w:name="how-it-works-internally-77"/>
    <w:p>
      <w:pPr>
        <w:pStyle w:val="Heading4"/>
      </w:pPr>
      <w:r>
        <w:t xml:space="preserve">How it works internally</w:t>
      </w:r>
    </w:p>
    <w:p>
      <w:pPr>
        <w:numPr>
          <w:ilvl w:val="0"/>
          <w:numId w:val="1602"/>
        </w:numPr>
        <w:pStyle w:val="Compact"/>
      </w:pPr>
      <w:r>
        <w:rPr>
          <w:bCs/>
          <w:b/>
        </w:rPr>
        <w:t xml:space="preserve">Make nodes interchangeable.</w:t>
      </w:r>
      <w:r>
        <w:t xml:space="preserve"> </w:t>
      </w:r>
      <w:r>
        <w:t xml:space="preserve">Any node can serve any request, which requires that no node holds state that others need (§18.5).</w:t>
      </w:r>
    </w:p>
    <w:p>
      <w:pPr>
        <w:numPr>
          <w:ilvl w:val="0"/>
          <w:numId w:val="1602"/>
        </w:numPr>
        <w:pStyle w:val="Compact"/>
      </w:pPr>
      <w:r>
        <w:rPr>
          <w:bCs/>
          <w:b/>
        </w:rPr>
        <w:t xml:space="preserve">Distribute the load.</w:t>
      </w:r>
      <w:r>
        <w:t xml:space="preserve"> </w:t>
      </w:r>
      <w:r>
        <w:t xml:space="preserve">A load balancer, DNS or the client spreads requests across nodes (§18.6, Chapter 19).</w:t>
      </w:r>
    </w:p>
    <w:p>
      <w:pPr>
        <w:numPr>
          <w:ilvl w:val="0"/>
          <w:numId w:val="1602"/>
        </w:numPr>
        <w:pStyle w:val="Compact"/>
      </w:pPr>
      <w:r>
        <w:rPr>
          <w:bCs/>
          <w:b/>
        </w:rPr>
        <w:t xml:space="preserve">Detect and remove failed nodes.</w:t>
      </w:r>
      <w:r>
        <w:t xml:space="preserve"> </w:t>
      </w:r>
      <w:r>
        <w:t xml:space="preserve">Health checks stop traffic to a node that fails (§19.5).</w:t>
      </w:r>
    </w:p>
    <w:p>
      <w:pPr>
        <w:numPr>
          <w:ilvl w:val="0"/>
          <w:numId w:val="1602"/>
        </w:numPr>
        <w:pStyle w:val="Compact"/>
      </w:pPr>
      <w:r>
        <w:rPr>
          <w:bCs/>
          <w:b/>
        </w:rPr>
        <w:t xml:space="preserve">Add and remove nodes automatically</w:t>
      </w:r>
      <w:r>
        <w:t xml:space="preserve"> </w:t>
      </w:r>
      <w:r>
        <w:t xml:space="preserve">from a template (a machine image or container image) as load changes (§18.8).</w:t>
      </w:r>
    </w:p>
    <w:p>
      <w:pPr>
        <w:numPr>
          <w:ilvl w:val="0"/>
          <w:numId w:val="1602"/>
        </w:numPr>
        <w:pStyle w:val="Compact"/>
      </w:pPr>
      <w:r>
        <w:rPr>
          <w:bCs/>
          <w:b/>
        </w:rPr>
        <w:t xml:space="preserve">Push shared state down to a tier that scales differently</w:t>
      </w:r>
      <w:r>
        <w:t xml:space="preserve">: a database, cache or partitioned store (§18.9).</w:t>
      </w:r>
    </w:p>
    <w:p>
      <w:pPr>
        <w:pStyle w:val="FirstParagraph"/>
      </w:pPr>
      <w:r>
        <w:rPr>
          <w:bCs/>
          <w:b/>
        </w:rPr>
        <w:t xml:space="preserve">Figure 18.1 — Vertical versus horizontal scaling.</w:t>
      </w:r>
    </w:p>
    <w:p>
      <w:pPr>
        <w:pStyle w:val="BodyText"/>
      </w:pPr>
      <w:r>
        <w:drawing>
          <wp:inline>
            <wp:extent cx="5334000" cy="9123659"/>
            <wp:effectExtent b="0" l="0" r="0" t="0"/>
            <wp:docPr descr="" title="" id="2061" name="Picture"/>
            <a:graphic>
              <a:graphicData uri="http://schemas.openxmlformats.org/drawingml/2006/picture">
                <pic:pic>
                  <pic:nvPicPr>
                    <pic:cNvPr descr="/home/user/System-Design/build/.cache/diagrams/3960ff6b93c3.png" id="2062" name="Picture"/>
                    <pic:cNvPicPr>
                      <a:picLocks noChangeArrowheads="1" noChangeAspect="1"/>
                    </pic:cNvPicPr>
                  </pic:nvPicPr>
                  <pic:blipFill>
                    <a:blip r:embed="rId2060"/>
                    <a:stretch>
                      <a:fillRect/>
                    </a:stretch>
                  </pic:blipFill>
                  <pic:spPr bwMode="auto">
                    <a:xfrm>
                      <a:off x="0" y="0"/>
                      <a:ext cx="5334000" cy="9123659"/>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On the left, clients reach one large node over HTTPS; capacity grows only by enlarging it, and it is a single failure point. On the right, a load balancer spreads HTTP requests over</w:t>
      </w:r>
      <w:r>
        <w:t xml:space="preserve"> </w:t>
      </w:r>
      <m:oMath>
        <m:r>
          <m:t>N</m:t>
        </m:r>
      </m:oMath>
      <w:r>
        <w:t xml:space="preserve"> </w:t>
      </w:r>
      <w:r>
        <w:t xml:space="preserve">identical nodes, and the others absorb a failed node’s share. All arrows are synchronous. The storage boundary in both is the database, and on the right all</w:t>
      </w:r>
      <w:r>
        <w:t xml:space="preserve"> </w:t>
      </w:r>
      <m:oMath>
        <m:r>
          <m:t>N</m:t>
        </m:r>
      </m:oMath>
      <w:r>
        <w:t xml:space="preserve"> </w:t>
      </w:r>
      <w:r>
        <w:t xml:space="preserve">nodes converge on it: scaling out the application tier</w:t>
      </w:r>
      <w:r>
        <w:t xml:space="preserve"> </w:t>
      </w:r>
      <w:r>
        <w:rPr>
          <w:iCs/>
          <w:i/>
        </w:rPr>
        <w:t xml:space="preserve">moves</w:t>
      </w:r>
      <w:r>
        <w:t xml:space="preserve"> </w:t>
      </w:r>
      <w:r>
        <w:t xml:space="preserve">the bottleneck to the shared tier (§18.7), which scales separately (§18.9).</w:t>
      </w:r>
    </w:p>
    <w:bookmarkEnd w:id="2063"/>
    <w:bookmarkStart w:id="2064" w:name="X0aef842557af6ec60849dad25cc5eb9c8b920dc"/>
    <w:p>
      <w:pPr>
        <w:pStyle w:val="Heading4"/>
      </w:pPr>
      <w:r>
        <w:t xml:space="preserve">Advantages, disadvantages and alternatives</w:t>
      </w:r>
    </w:p>
    <w:p>
      <w:pPr>
        <w:pStyle w:val="FirstParagraph"/>
      </w:pPr>
      <w:r>
        <w:rPr>
          <w:bCs/>
          <w:b/>
        </w:rPr>
        <w:t xml:space="preserve">Table 18.2 — Vertical and horizontal scaling compared.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Vertical scaling</w:t>
            </w:r>
          </w:p>
        </w:tc>
        <w:tc>
          <w:tcPr/>
          <w:p>
            <w:pPr>
              <w:pStyle w:val="Compact"/>
              <w:jc w:val="left"/>
            </w:pPr>
            <w:r>
              <w:t xml:space="preserve">Horizontal scaling</w:t>
            </w:r>
          </w:p>
        </w:tc>
      </w:tr>
      <w:tr>
        <w:tc>
          <w:tcPr/>
          <w:p>
            <w:pPr>
              <w:pStyle w:val="Compact"/>
              <w:jc w:val="left"/>
            </w:pPr>
            <w:r>
              <w:t xml:space="preserve">What it is</w:t>
            </w:r>
          </w:p>
        </w:tc>
        <w:tc>
          <w:tcPr/>
          <w:p>
            <w:pPr>
              <w:pStyle w:val="Compact"/>
              <w:jc w:val="left"/>
            </w:pPr>
            <w:r>
              <w:t xml:space="preserve">Bigger node</w:t>
            </w:r>
          </w:p>
        </w:tc>
        <w:tc>
          <w:tcPr/>
          <w:p>
            <w:pPr>
              <w:pStyle w:val="Compact"/>
              <w:jc w:val="left"/>
            </w:pPr>
            <w:r>
              <w:t xml:space="preserve">More nodes</w:t>
            </w:r>
          </w:p>
        </w:tc>
      </w:tr>
      <w:tr>
        <w:tc>
          <w:tcPr/>
          <w:p>
            <w:pPr>
              <w:pStyle w:val="Compact"/>
              <w:jc w:val="left"/>
            </w:pPr>
            <w:r>
              <w:t xml:space="preserve">How it works</w:t>
            </w:r>
          </w:p>
        </w:tc>
        <w:tc>
          <w:tcPr/>
          <w:p>
            <w:pPr>
              <w:pStyle w:val="Compact"/>
              <w:jc w:val="left"/>
            </w:pPr>
            <w:r>
              <w:t xml:space="preserve">Resize, restart or fail over</w:t>
            </w:r>
          </w:p>
        </w:tc>
        <w:tc>
          <w:tcPr/>
          <w:p>
            <w:pPr>
              <w:pStyle w:val="Compact"/>
              <w:jc w:val="left"/>
            </w:pPr>
            <w:r>
              <w:t xml:space="preserve">Load balancer plus identical, replaceable nodes</w:t>
            </w:r>
          </w:p>
        </w:tc>
      </w:tr>
      <w:tr>
        <w:tc>
          <w:tcPr/>
          <w:p>
            <w:pPr>
              <w:pStyle w:val="Compact"/>
              <w:jc w:val="left"/>
            </w:pPr>
            <w:r>
              <w:t xml:space="preserve">Advantages</w:t>
            </w:r>
          </w:p>
        </w:tc>
        <w:tc>
          <w:tcPr/>
          <w:p>
            <w:pPr>
              <w:pStyle w:val="Compact"/>
              <w:jc w:val="left"/>
            </w:pPr>
            <w:r>
              <w:t xml:space="preserve">No code change; transactions and joins stay local</w:t>
            </w:r>
          </w:p>
        </w:tc>
        <w:tc>
          <w:tcPr/>
          <w:p>
            <w:pPr>
              <w:pStyle w:val="Compact"/>
              <w:jc w:val="left"/>
            </w:pPr>
            <w:r>
              <w:t xml:space="preserve">No hardware ceiling; failures reduce capacity instead of causing outages</w:t>
            </w:r>
          </w:p>
        </w:tc>
      </w:tr>
      <w:tr>
        <w:tc>
          <w:tcPr/>
          <w:p>
            <w:pPr>
              <w:pStyle w:val="Compact"/>
              <w:jc w:val="left"/>
            </w:pPr>
            <w:r>
              <w:t xml:space="preserve">Disadvantages</w:t>
            </w:r>
          </w:p>
        </w:tc>
        <w:tc>
          <w:tcPr/>
          <w:p>
            <w:pPr>
              <w:pStyle w:val="Compact"/>
              <w:jc w:val="left"/>
            </w:pPr>
            <w:r>
              <w:t xml:space="preserve">Ceiling; single failure domain; cost knee</w:t>
            </w:r>
          </w:p>
        </w:tc>
        <w:tc>
          <w:tcPr/>
          <w:p>
            <w:pPr>
              <w:pStyle w:val="Compact"/>
              <w:jc w:val="left"/>
            </w:pPr>
            <w:r>
              <w:t xml:space="preserve">Needs stateless design, distribution, coordination for shared state</w:t>
            </w:r>
          </w:p>
        </w:tc>
      </w:tr>
      <w:tr>
        <w:tc>
          <w:tcPr/>
          <w:p>
            <w:pPr>
              <w:pStyle w:val="Compact"/>
              <w:jc w:val="left"/>
            </w:pPr>
            <w:r>
              <w:t xml:space="preserve">Performance</w:t>
            </w:r>
          </w:p>
        </w:tc>
        <w:tc>
          <w:tcPr/>
          <w:p>
            <w:pPr>
              <w:pStyle w:val="Compact"/>
              <w:jc w:val="left"/>
            </w:pPr>
            <w:r>
              <w:t xml:space="preserve">Lowest latency (no network hops between parts)</w:t>
            </w:r>
          </w:p>
        </w:tc>
        <w:tc>
          <w:tcPr/>
          <w:p>
            <w:pPr>
              <w:pStyle w:val="Compact"/>
              <w:jc w:val="left"/>
            </w:pPr>
            <w:r>
              <w:t xml:space="preserve">Near-linear throughput while work is independent</w:t>
            </w:r>
          </w:p>
        </w:tc>
      </w:tr>
      <w:tr>
        <w:tc>
          <w:tcPr/>
          <w:p>
            <w:pPr>
              <w:pStyle w:val="Compact"/>
              <w:jc w:val="left"/>
            </w:pPr>
            <w:r>
              <w:t xml:space="preserve">Operational complexity</w:t>
            </w:r>
          </w:p>
        </w:tc>
        <w:tc>
          <w:tcPr/>
          <w:p>
            <w:pPr>
              <w:pStyle w:val="Compact"/>
              <w:jc w:val="left"/>
            </w:pPr>
            <w:r>
              <w:t xml:space="preserve">Low</w:t>
            </w:r>
          </w:p>
        </w:tc>
        <w:tc>
          <w:tcPr/>
          <w:p>
            <w:pPr>
              <w:pStyle w:val="Compact"/>
              <w:jc w:val="left"/>
            </w:pPr>
            <w:r>
              <w:t xml:space="preserve">Medium (fleet, deploys, autoscaling) to high (distributed data)</w:t>
            </w:r>
          </w:p>
        </w:tc>
      </w:tr>
      <w:tr>
        <w:tc>
          <w:tcPr/>
          <w:p>
            <w:pPr>
              <w:pStyle w:val="Compact"/>
              <w:jc w:val="left"/>
            </w:pPr>
            <w:r>
              <w:t xml:space="preserve">Cost</w:t>
            </w:r>
          </w:p>
        </w:tc>
        <w:tc>
          <w:tcPr/>
          <w:p>
            <w:pPr>
              <w:pStyle w:val="Compact"/>
              <w:jc w:val="left"/>
            </w:pPr>
            <w:r>
              <w:t xml:space="preserve">Linear, then superlinear past the knee</w:t>
            </w:r>
          </w:p>
        </w:tc>
        <w:tc>
          <w:tcPr/>
          <w:p>
            <w:pPr>
              <w:pStyle w:val="Compact"/>
              <w:jc w:val="left"/>
            </w:pPr>
            <w:r>
              <w:t xml:space="preserve">Roughly linear, plus coordination overhead</w:t>
            </w:r>
          </w:p>
        </w:tc>
      </w:tr>
      <w:tr>
        <w:tc>
          <w:tcPr/>
          <w:p>
            <w:pPr>
              <w:pStyle w:val="Compact"/>
              <w:jc w:val="left"/>
            </w:pPr>
            <w:r>
              <w:t xml:space="preserve">Choose when</w:t>
            </w:r>
          </w:p>
        </w:tc>
        <w:tc>
          <w:tcPr/>
          <w:p>
            <w:pPr>
              <w:pStyle w:val="Compact"/>
              <w:jc w:val="left"/>
            </w:pPr>
            <w:r>
              <w:t xml:space="preserve">Coherent state; below the knee; urgent relief</w:t>
            </w:r>
          </w:p>
        </w:tc>
        <w:tc>
          <w:tcPr/>
          <w:p>
            <w:pPr>
              <w:pStyle w:val="Compact"/>
              <w:jc w:val="left"/>
            </w:pPr>
            <w:r>
              <w:t xml:space="preserve">Stateless tiers; growth beyond one node; high availability</w:t>
            </w:r>
          </w:p>
        </w:tc>
      </w:tr>
    </w:tbl>
    <w:p>
      <w:pPr>
        <w:pStyle w:val="BodyText"/>
      </w:pPr>
      <w:r>
        <w:t xml:space="preserve">In practice you use both: scale out the stateless tiers, scale up the stateful tier until it reaches its knee, then partition it (Chapter 14).</w:t>
      </w:r>
    </w:p>
    <w:bookmarkEnd w:id="2064"/>
    <w:bookmarkStart w:id="2065" w:name="failure-scenarios-51"/>
    <w:p>
      <w:pPr>
        <w:pStyle w:val="Heading4"/>
      </w:pPr>
      <w:r>
        <w:t xml:space="preserve">Failure scenarios</w:t>
      </w:r>
    </w:p>
    <w:p>
      <w:pPr>
        <w:pStyle w:val="FirstParagraph"/>
      </w:pPr>
      <w:r>
        <w:rPr>
          <w:bCs/>
          <w:b/>
        </w:rPr>
        <w:t xml:space="preserve">Table 18.3 — Horizontal scaling 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Throughput flat after adding nodes</w:t>
            </w:r>
          </w:p>
        </w:tc>
        <w:tc>
          <w:tcPr/>
          <w:p>
            <w:pPr>
              <w:pStyle w:val="Compact"/>
              <w:jc w:val="left"/>
            </w:pPr>
            <w:r>
              <w:t xml:space="preserve">Bottleneck is a shared tier</w:t>
            </w:r>
          </w:p>
        </w:tc>
        <w:tc>
          <w:tcPr/>
          <w:p>
            <w:pPr>
              <w:pStyle w:val="Compact"/>
              <w:jc w:val="left"/>
            </w:pPr>
            <w:r>
              <w:t xml:space="preserve">Per-tier utilization; USL fit</w:t>
            </w:r>
          </w:p>
        </w:tc>
        <w:tc>
          <w:tcPr/>
          <w:p>
            <w:pPr>
              <w:pStyle w:val="Compact"/>
              <w:jc w:val="left"/>
            </w:pPr>
            <w:r>
              <w:t xml:space="preserve">Scale or relieve the shared tier</w:t>
            </w:r>
          </w:p>
        </w:tc>
        <w:tc>
          <w:tcPr/>
          <w:p>
            <w:pPr>
              <w:pStyle w:val="Compact"/>
              <w:jc w:val="left"/>
            </w:pPr>
            <w:r>
              <w:t xml:space="preserve">Find the bottleneck before scaling (§18.7)</w:t>
            </w:r>
          </w:p>
        </w:tc>
      </w:tr>
      <w:tr>
        <w:tc>
          <w:tcPr/>
          <w:p>
            <w:pPr>
              <w:pStyle w:val="Compact"/>
              <w:jc w:val="left"/>
            </w:pPr>
            <w:r>
              <w:t xml:space="preserve">Users lose sessions on scale-in</w:t>
            </w:r>
          </w:p>
        </w:tc>
        <w:tc>
          <w:tcPr/>
          <w:p>
            <w:pPr>
              <w:pStyle w:val="Compact"/>
              <w:jc w:val="left"/>
            </w:pPr>
            <w:r>
              <w:t xml:space="preserve">State held in node memory</w:t>
            </w:r>
          </w:p>
        </w:tc>
        <w:tc>
          <w:tcPr/>
          <w:p>
            <w:pPr>
              <w:pStyle w:val="Compact"/>
              <w:jc w:val="left"/>
            </w:pPr>
            <w:r>
              <w:t xml:space="preserve">Logouts after deploys or scale-in</w:t>
            </w:r>
          </w:p>
        </w:tc>
        <w:tc>
          <w:tcPr/>
          <w:p>
            <w:pPr>
              <w:pStyle w:val="Compact"/>
              <w:jc w:val="left"/>
            </w:pPr>
            <w:r>
              <w:t xml:space="preserve">Move state out</w:t>
            </w:r>
          </w:p>
        </w:tc>
        <w:tc>
          <w:tcPr/>
          <w:p>
            <w:pPr>
              <w:pStyle w:val="Compact"/>
              <w:jc w:val="left"/>
            </w:pPr>
            <w:r>
              <w:t xml:space="preserve">Stateless design (§18.5)</w:t>
            </w:r>
          </w:p>
        </w:tc>
      </w:tr>
      <w:tr>
        <w:tc>
          <w:tcPr/>
          <w:p>
            <w:pPr>
              <w:pStyle w:val="Compact"/>
              <w:jc w:val="left"/>
            </w:pPr>
            <w:r>
              <w:t xml:space="preserve">New nodes overloaded on arrival</w:t>
            </w:r>
          </w:p>
        </w:tc>
        <w:tc>
          <w:tcPr/>
          <w:p>
            <w:pPr>
              <w:pStyle w:val="Compact"/>
              <w:jc w:val="left"/>
            </w:pPr>
            <w:r>
              <w:t xml:space="preserve">Cold caches, JIT warm-up</w:t>
            </w:r>
          </w:p>
        </w:tc>
        <w:tc>
          <w:tcPr/>
          <w:p>
            <w:pPr>
              <w:pStyle w:val="Compact"/>
              <w:jc w:val="left"/>
            </w:pPr>
            <w:r>
              <w:t xml:space="preserve">High p99 on young nodes</w:t>
            </w:r>
          </w:p>
        </w:tc>
        <w:tc>
          <w:tcPr/>
          <w:p>
            <w:pPr>
              <w:pStyle w:val="Compact"/>
              <w:jc w:val="left"/>
            </w:pPr>
            <w:r>
              <w:t xml:space="preserve">Slow-start traffic ramp</w:t>
            </w:r>
          </w:p>
        </w:tc>
        <w:tc>
          <w:tcPr/>
          <w:p>
            <w:pPr>
              <w:pStyle w:val="Compact"/>
              <w:jc w:val="left"/>
            </w:pPr>
            <w:r>
              <w:t xml:space="preserve">Warm-up and readiness probes (§18.8)</w:t>
            </w:r>
          </w:p>
        </w:tc>
      </w:tr>
      <w:tr>
        <w:tc>
          <w:tcPr/>
          <w:p>
            <w:pPr>
              <w:pStyle w:val="Compact"/>
              <w:jc w:val="left"/>
            </w:pPr>
            <w:r>
              <w:t xml:space="preserve">Database connection limit hit</w:t>
            </w:r>
          </w:p>
        </w:tc>
        <w:tc>
          <w:tcPr/>
          <w:p>
            <w:pPr>
              <w:pStyle w:val="Compact"/>
              <w:jc w:val="left"/>
            </w:pPr>
            <w:r>
              <w:t xml:space="preserve">Every node opens its own pool</w:t>
            </w:r>
          </w:p>
        </w:tc>
        <w:tc>
          <w:tcPr/>
          <w:p>
            <w:pPr>
              <w:pStyle w:val="Compact"/>
              <w:jc w:val="left"/>
            </w:pPr>
            <w:r>
              <w:rPr>
                <w:rStyle w:val="VerbatimChar"/>
              </w:rPr>
              <w:t xml:space="preserve">too many clients</w:t>
            </w:r>
            <w:r>
              <w:t xml:space="preserve"> </w:t>
            </w:r>
            <w:r>
              <w:t xml:space="preserve">errors</w:t>
            </w:r>
          </w:p>
        </w:tc>
        <w:tc>
          <w:tcPr/>
          <w:p>
            <w:pPr>
              <w:pStyle w:val="Compact"/>
              <w:jc w:val="left"/>
            </w:pPr>
            <w:r>
              <w:t xml:space="preserve">Pooler; smaller pools</w:t>
            </w:r>
          </w:p>
        </w:tc>
        <w:tc>
          <w:tcPr/>
          <w:p>
            <w:pPr>
              <w:pStyle w:val="Compact"/>
              <w:jc w:val="left"/>
            </w:pPr>
            <w:r>
              <w:t xml:space="preserve">Connection budget (§18.8.5)</w:t>
            </w:r>
          </w:p>
        </w:tc>
      </w:tr>
    </w:tbl>
    <w:p>
      <w:pPr>
        <w:pStyle w:val="CalloutMistake"/>
      </w:pPr>
      <w:r>
        <w:rPr>
          <w:bCs/>
          <w:b/>
        </w:rPr>
        <w:t xml:space="preserve">COMMON MISTAKE</w:t>
      </w:r>
    </w:p>
    <w:p>
      <w:pPr>
        <w:pStyle w:val="CalloutMistake"/>
      </w:pPr>
      <w:r>
        <w:rPr>
          <w:bCs/>
          <w:b/>
        </w:rPr>
        <w:t xml:space="preserve">“</w:t>
      </w:r>
      <w:r>
        <w:rPr>
          <w:bCs/>
          <w:b/>
        </w:rPr>
        <w:t xml:space="preserve">Adding nodes always adds capacity.</w:t>
      </w:r>
      <w:r>
        <w:rPr>
          <w:bCs/>
          <w:b/>
        </w:rPr>
        <w:t xml:space="preserve">”</w:t>
      </w:r>
      <w:r>
        <w:t xml:space="preserve"> </w:t>
      </w:r>
      <w:r>
        <w:t xml:space="preserve">Only while the work is independent. With contention or coherency, throughput flattens and then falls (§4.13). Measure the gain from each added node (§18.7).</w:t>
      </w:r>
    </w:p>
    <w:bookmarkEnd w:id="2065"/>
    <w:bookmarkEnd w:id="2066"/>
    <w:bookmarkEnd w:id="2067"/>
    <w:bookmarkStart w:id="2077" w:name="stateless-vs-stateful-services"/>
    <w:p>
      <w:pPr>
        <w:pStyle w:val="Heading2"/>
      </w:pPr>
      <w:r>
        <w:t xml:space="preserve">18.5 Stateless vs stateful services</w:t>
      </w:r>
    </w:p>
    <w:bookmarkStart w:id="2076" w:name="what-stateless-really-means"/>
    <w:p>
      <w:pPr>
        <w:pStyle w:val="Heading3"/>
      </w:pPr>
      <w:r>
        <w:t xml:space="preserve">18.5.1 What</w:t>
      </w:r>
      <w:r>
        <w:t xml:space="preserve"> </w:t>
      </w:r>
      <w:r>
        <w:t xml:space="preserve">“</w:t>
      </w:r>
      <w:r>
        <w:t xml:space="preserve">stateless</w:t>
      </w:r>
      <w:r>
        <w:t xml:space="preserve">”</w:t>
      </w:r>
      <w:r>
        <w:t xml:space="preserve"> </w:t>
      </w:r>
      <w:r>
        <w:t xml:space="preserve">really means</w:t>
      </w:r>
    </w:p>
    <w:p>
      <w:pPr>
        <w:pStyle w:val="CalloutDefinition"/>
      </w:pPr>
      <w:r>
        <w:rPr>
          <w:bCs/>
          <w:b/>
        </w:rPr>
        <w:t xml:space="preserve">DEFINITION</w:t>
      </w:r>
    </w:p>
    <w:p>
      <w:pPr>
        <w:pStyle w:val="CalloutDefinition"/>
      </w:pPr>
      <w:r>
        <w:rPr>
          <w:bCs/>
          <w:b/>
        </w:rPr>
        <w:t xml:space="preserve">Definition — Stateless service.</w:t>
      </w:r>
      <w:r>
        <w:t xml:space="preserve"> </w:t>
      </w:r>
      <w:r>
        <w:t xml:space="preserve">A service whose instances keep no client-specific or request-spanning data in local memory or disk that another instance would need. Any instance can serve any request, and an instance can be killed at any moment without losing anything except the requests it is processing (§8.3.2).</w:t>
      </w:r>
    </w:p>
    <w:p>
      <w:pPr>
        <w:pStyle w:val="CalloutDefinition"/>
      </w:pPr>
      <w:r>
        <w:rPr>
          <w:bCs/>
          <w:b/>
        </w:rPr>
        <w:t xml:space="preserve">DEFINITION</w:t>
      </w:r>
    </w:p>
    <w:p>
      <w:pPr>
        <w:pStyle w:val="CalloutDefinition"/>
      </w:pPr>
      <w:r>
        <w:rPr>
          <w:bCs/>
          <w:b/>
        </w:rPr>
        <w:t xml:space="preserve">Definition — Stateful service.</w:t>
      </w:r>
      <w:r>
        <w:t xml:space="preserve"> </w:t>
      </w:r>
      <w:r>
        <w:t xml:space="preserve">A service whose instances hold data that must survive between requests and that clients or other instances depend on: a database, a cache node, a WebSocket server holding live connections, or an application server keeping sessions in memory.</w:t>
      </w:r>
    </w:p>
    <w:bookmarkStart w:id="2068" w:name="first-principles-explanation-114"/>
    <w:p>
      <w:pPr>
        <w:pStyle w:val="Heading4"/>
      </w:pPr>
      <w:r>
        <w:t xml:space="preserve">First-principles explanation</w:t>
      </w:r>
    </w:p>
    <w:p>
      <w:pPr>
        <w:pStyle w:val="FirstParagraph"/>
      </w:pPr>
      <w:r>
        <w:t xml:space="preserve">Chapter 8 used two waiters: one memorizes your order, the other pins it to a shared board. The second waiter is stateless</w:t>
      </w:r>
      <w:r>
        <w:t xml:space="preserve"> </w:t>
      </w:r>
      <w:r>
        <w:rPr>
          <w:iCs/>
          <w:i/>
        </w:rPr>
        <w:t xml:space="preserve">because the board exists</w:t>
      </w:r>
      <w:r>
        <w:t xml:space="preserve">. State did not disappear; it moved to a place built to hold it.</w:t>
      </w:r>
      <w:r>
        <w:t xml:space="preserve"> </w:t>
      </w:r>
      <w:r>
        <w:t xml:space="preserve">“</w:t>
      </w:r>
      <w:r>
        <w:t xml:space="preserve">Stateless</w:t>
      </w:r>
      <w:r>
        <w:t xml:space="preserve">”</w:t>
      </w:r>
      <w:r>
        <w:t xml:space="preserve"> </w:t>
      </w:r>
      <w:r>
        <w:t xml:space="preserve">is therefore a property of one tier, bought by making another tier stateful on purpose.</w:t>
      </w:r>
    </w:p>
    <w:bookmarkEnd w:id="2068"/>
    <w:bookmarkStart w:id="2069" w:name="why-does-this-exist-70"/>
    <w:p>
      <w:pPr>
        <w:pStyle w:val="Heading4"/>
      </w:pPr>
      <w:r>
        <w:t xml:space="preserve">Why does this exist?</w:t>
      </w:r>
    </w:p>
    <w:p>
      <w:pPr>
        <w:pStyle w:val="FirstParagraph"/>
      </w:pPr>
      <w:r>
        <w:t xml:space="preserve">Every scaling move in this chapter (adding nodes, removing nodes, replacing a failed node, rolling out a new version, shifting traffic between zones) is trivial for a stateless tier and hard for a stateful one. Concentrating state in a few tiers that are designed for it (databases, caches, session stores) leaves the large, expensive compute tier free to scale elastically.</w:t>
      </w:r>
    </w:p>
    <w:bookmarkEnd w:id="2069"/>
    <w:bookmarkStart w:id="2070" w:name="how-it-works-internally-where-state-goes"/>
    <w:p>
      <w:pPr>
        <w:pStyle w:val="Heading4"/>
      </w:pPr>
      <w:r>
        <w:t xml:space="preserve">How it works internally: where state goes</w:t>
      </w:r>
    </w:p>
    <w:p>
      <w:pPr>
        <w:pStyle w:val="FirstParagraph"/>
      </w:pPr>
      <w:r>
        <w:rPr>
          <w:bCs/>
          <w:b/>
        </w:rPr>
        <w:t xml:space="preserve">Table 18.4 — Externalizing state from an application server.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State in the server</w:t>
            </w:r>
          </w:p>
        </w:tc>
        <w:tc>
          <w:tcPr/>
          <w:p>
            <w:pPr>
              <w:pStyle w:val="Compact"/>
              <w:jc w:val="left"/>
            </w:pPr>
            <w:r>
              <w:t xml:space="preserve">Where it moves</w:t>
            </w:r>
          </w:p>
        </w:tc>
        <w:tc>
          <w:tcPr/>
          <w:p>
            <w:pPr>
              <w:pStyle w:val="Compact"/>
              <w:jc w:val="left"/>
            </w:pPr>
            <w:r>
              <w:t xml:space="preserve">Cost per request</w:t>
            </w:r>
          </w:p>
        </w:tc>
        <w:tc>
          <w:tcPr/>
          <w:p>
            <w:pPr>
              <w:pStyle w:val="Compact"/>
              <w:jc w:val="left"/>
            </w:pPr>
            <w:r>
              <w:t xml:space="preserve">See</w:t>
            </w:r>
          </w:p>
        </w:tc>
      </w:tr>
      <w:tr>
        <w:tc>
          <w:tcPr/>
          <w:p>
            <w:pPr>
              <w:pStyle w:val="Compact"/>
              <w:jc w:val="left"/>
            </w:pPr>
            <w:r>
              <w:t xml:space="preserve">Login session</w:t>
            </w:r>
          </w:p>
        </w:tc>
        <w:tc>
          <w:tcPr/>
          <w:p>
            <w:pPr>
              <w:pStyle w:val="Compact"/>
              <w:jc w:val="left"/>
            </w:pPr>
            <w:r>
              <w:t xml:space="preserve">Shared session store keyed by session ID, or a signed token in the client</w:t>
            </w:r>
          </w:p>
        </w:tc>
        <w:tc>
          <w:tcPr/>
          <w:p>
            <w:pPr>
              <w:pStyle w:val="Compact"/>
              <w:jc w:val="left"/>
            </w:pPr>
            <w:r>
              <w:t xml:space="preserve">~0.5–1 ms store lookup, or signature check</w:t>
            </w:r>
          </w:p>
        </w:tc>
        <w:tc>
          <w:tcPr/>
          <w:p>
            <w:pPr>
              <w:pStyle w:val="Compact"/>
              <w:jc w:val="left"/>
            </w:pPr>
            <w:r>
              <w:t xml:space="preserve">§8.10, §8.13</w:t>
            </w:r>
          </w:p>
        </w:tc>
      </w:tr>
      <w:tr>
        <w:tc>
          <w:tcPr/>
          <w:p>
            <w:pPr>
              <w:pStyle w:val="Compact"/>
              <w:jc w:val="left"/>
            </w:pPr>
            <w:r>
              <w:t xml:space="preserve">Shopping cart, draft order</w:t>
            </w:r>
          </w:p>
        </w:tc>
        <w:tc>
          <w:tcPr/>
          <w:p>
            <w:pPr>
              <w:pStyle w:val="Compact"/>
              <w:jc w:val="left"/>
            </w:pPr>
            <w:r>
              <w:t xml:space="preserve">Database or session store</w:t>
            </w:r>
          </w:p>
        </w:tc>
        <w:tc>
          <w:tcPr/>
          <w:p>
            <w:pPr>
              <w:pStyle w:val="Compact"/>
              <w:jc w:val="left"/>
            </w:pPr>
            <w:r>
              <w:t xml:space="preserve">One read or write</w:t>
            </w:r>
          </w:p>
        </w:tc>
        <w:tc>
          <w:tcPr/>
          <w:p>
            <w:pPr>
              <w:pStyle w:val="Compact"/>
              <w:jc w:val="left"/>
            </w:pPr>
            <w:r>
              <w:t xml:space="preserve">Chapter 11</w:t>
            </w:r>
          </w:p>
        </w:tc>
      </w:tr>
      <w:tr>
        <w:tc>
          <w:tcPr/>
          <w:p>
            <w:pPr>
              <w:pStyle w:val="Compact"/>
              <w:jc w:val="left"/>
            </w:pPr>
            <w:r>
              <w:t xml:space="preserve">Cached query results</w:t>
            </w:r>
          </w:p>
        </w:tc>
        <w:tc>
          <w:tcPr/>
          <w:p>
            <w:pPr>
              <w:pStyle w:val="Compact"/>
              <w:jc w:val="left"/>
            </w:pPr>
            <w:r>
              <w:t xml:space="preserve">Shared cache tier</w:t>
            </w:r>
          </w:p>
        </w:tc>
        <w:tc>
          <w:tcPr/>
          <w:p>
            <w:pPr>
              <w:pStyle w:val="Compact"/>
              <w:jc w:val="left"/>
            </w:pPr>
            <w:r>
              <w:t xml:space="preserve">~0.5 ms network round trip</w:t>
            </w:r>
          </w:p>
        </w:tc>
        <w:tc>
          <w:tcPr/>
          <w:p>
            <w:pPr>
              <w:pStyle w:val="Compact"/>
              <w:jc w:val="left"/>
            </w:pPr>
            <w:r>
              <w:t xml:space="preserve">Chapter 20</w:t>
            </w:r>
          </w:p>
        </w:tc>
      </w:tr>
      <w:tr>
        <w:tc>
          <w:tcPr/>
          <w:p>
            <w:pPr>
              <w:pStyle w:val="Compact"/>
              <w:jc w:val="left"/>
            </w:pPr>
            <w:r>
              <w:t xml:space="preserve">Uploaded files in progress</w:t>
            </w:r>
          </w:p>
        </w:tc>
        <w:tc>
          <w:tcPr/>
          <w:p>
            <w:pPr>
              <w:pStyle w:val="Compact"/>
              <w:jc w:val="left"/>
            </w:pPr>
            <w:r>
              <w:t xml:space="preserve">Object storage, multipart or presigned upload</w:t>
            </w:r>
          </w:p>
        </w:tc>
        <w:tc>
          <w:tcPr/>
          <w:p>
            <w:pPr>
              <w:pStyle w:val="Compact"/>
              <w:jc w:val="left"/>
            </w:pPr>
            <w:r>
              <w:t xml:space="preserve">Direct client upload</w:t>
            </w:r>
          </w:p>
        </w:tc>
        <w:tc>
          <w:tcPr/>
          <w:p>
            <w:pPr>
              <w:pStyle w:val="Compact"/>
              <w:jc w:val="left"/>
            </w:pPr>
            <w:r>
              <w:t xml:space="preserve">§15.8</w:t>
            </w:r>
          </w:p>
        </w:tc>
      </w:tr>
      <w:tr>
        <w:tc>
          <w:tcPr/>
          <w:p>
            <w:pPr>
              <w:pStyle w:val="Compact"/>
              <w:jc w:val="left"/>
            </w:pPr>
            <w:r>
              <w:t xml:space="preserve">Scheduled jobs, timers</w:t>
            </w:r>
          </w:p>
        </w:tc>
        <w:tc>
          <w:tcPr/>
          <w:p>
            <w:pPr>
              <w:pStyle w:val="Compact"/>
              <w:jc w:val="left"/>
            </w:pPr>
            <w:r>
              <w:t xml:space="preserve">Queue or job scheduler</w:t>
            </w:r>
          </w:p>
        </w:tc>
        <w:tc>
          <w:tcPr/>
          <w:p>
            <w:pPr>
              <w:pStyle w:val="Compact"/>
              <w:jc w:val="left"/>
            </w:pPr>
            <w:r>
              <w:t xml:space="preserve">Asynchronous</w:t>
            </w:r>
          </w:p>
        </w:tc>
        <w:tc>
          <w:tcPr/>
          <w:p>
            <w:pPr>
              <w:pStyle w:val="Compact"/>
              <w:jc w:val="left"/>
            </w:pPr>
            <w:r>
              <w:t xml:space="preserve">Chapter 30</w:t>
            </w:r>
          </w:p>
        </w:tc>
      </w:tr>
      <w:tr>
        <w:tc>
          <w:tcPr/>
          <w:p>
            <w:pPr>
              <w:pStyle w:val="Compact"/>
              <w:jc w:val="left"/>
            </w:pPr>
            <w:r>
              <w:t xml:space="preserve">Rate-limit counters</w:t>
            </w:r>
          </w:p>
        </w:tc>
        <w:tc>
          <w:tcPr/>
          <w:p>
            <w:pPr>
              <w:pStyle w:val="Compact"/>
              <w:jc w:val="left"/>
            </w:pPr>
            <w:r>
              <w:t xml:space="preserve">Shared counter store</w:t>
            </w:r>
          </w:p>
        </w:tc>
        <w:tc>
          <w:tcPr/>
          <w:p>
            <w:pPr>
              <w:pStyle w:val="Compact"/>
              <w:jc w:val="left"/>
            </w:pPr>
            <w:r>
              <w:t xml:space="preserve">One atomic increment</w:t>
            </w:r>
          </w:p>
        </w:tc>
        <w:tc>
          <w:tcPr/>
          <w:p>
            <w:pPr>
              <w:pStyle w:val="Compact"/>
              <w:jc w:val="left"/>
            </w:pPr>
            <w:r>
              <w:t xml:space="preserve">§22.8</w:t>
            </w:r>
          </w:p>
        </w:tc>
      </w:tr>
      <w:tr>
        <w:tc>
          <w:tcPr/>
          <w:p>
            <w:pPr>
              <w:pStyle w:val="Compact"/>
              <w:jc w:val="left"/>
            </w:pPr>
            <w:r>
              <w:t xml:space="preserve">Local disk logs</w:t>
            </w:r>
          </w:p>
        </w:tc>
        <w:tc>
          <w:tcPr/>
          <w:p>
            <w:pPr>
              <w:pStyle w:val="Compact"/>
              <w:jc w:val="left"/>
            </w:pPr>
            <w:r>
              <w:t xml:space="preserve">Log shipping to a central store</w:t>
            </w:r>
          </w:p>
        </w:tc>
        <w:tc>
          <w:tcPr/>
          <w:p>
            <w:pPr>
              <w:pStyle w:val="Compact"/>
              <w:jc w:val="left"/>
            </w:pPr>
            <w:r>
              <w:t xml:space="preserve">Asynchronous</w:t>
            </w:r>
          </w:p>
        </w:tc>
        <w:tc>
          <w:tcPr/>
          <w:p>
            <w:pPr>
              <w:pStyle w:val="Compact"/>
              <w:jc w:val="left"/>
            </w:pPr>
            <w:r>
              <w:t xml:space="preserve">Chapter 40</w:t>
            </w:r>
          </w:p>
        </w:tc>
      </w:tr>
    </w:tbl>
    <w:p>
      <w:pPr>
        <w:pStyle w:val="BodyText"/>
      </w:pPr>
      <w:r>
        <w:t xml:space="preserve">Some local state is harmless: a</w:t>
      </w:r>
      <w:r>
        <w:t xml:space="preserve"> </w:t>
      </w:r>
      <w:r>
        <w:rPr>
          <w:bCs/>
          <w:b/>
        </w:rPr>
        <w:t xml:space="preserve">read-only cache</w:t>
      </w:r>
      <w:r>
        <w:t xml:space="preserve"> </w:t>
      </w:r>
      <w:r>
        <w:t xml:space="preserve">that can be rebuilt (a menu cache with a TTL), compiled code and configuration loaded at start. The test is simple:</w:t>
      </w:r>
      <w:r>
        <w:t xml:space="preserve"> </w:t>
      </w:r>
      <w:r>
        <w:rPr>
          <w:iCs/>
          <w:i/>
        </w:rPr>
        <w:t xml:space="preserve">if this instance vanished now, would any user or other instance notice anything beyond a retry?</w:t>
      </w:r>
      <w:r>
        <w:t xml:space="preserve"> </w:t>
      </w:r>
      <w:r>
        <w:t xml:space="preserve">If not, the instance is stateless for scaling purposes.</w:t>
      </w:r>
    </w:p>
    <w:bookmarkEnd w:id="2070"/>
    <w:bookmarkStart w:id="2074" w:name="sticky-sessions"/>
    <w:p>
      <w:pPr>
        <w:pStyle w:val="Heading4"/>
      </w:pPr>
      <w:r>
        <w:t xml:space="preserve">Sticky sessions</w:t>
      </w:r>
    </w:p>
    <w:p>
      <w:pPr>
        <w:pStyle w:val="FirstParagraph"/>
      </w:pPr>
      <w:r>
        <w:rPr>
          <w:bCs/>
          <w:b/>
        </w:rPr>
        <w:t xml:space="preserve">Session affinity</w:t>
      </w:r>
      <w:r>
        <w:t xml:space="preserve">, also called</w:t>
      </w:r>
      <w:r>
        <w:t xml:space="preserve"> </w:t>
      </w:r>
      <w:r>
        <w:rPr>
          <w:bCs/>
          <w:b/>
        </w:rPr>
        <w:t xml:space="preserve">sticky sessions</w:t>
      </w:r>
      <w:r>
        <w:t xml:space="preserve">, makes the load balancer send all requests from one client to the same instance, usually with a cookie or a hash of the client address (§19.6). It lets a stateful server</w:t>
      </w:r>
      <w:r>
        <w:t xml:space="preserve"> </w:t>
      </w:r>
      <w:r>
        <w:rPr>
          <w:iCs/>
          <w:i/>
        </w:rPr>
        <w:t xml:space="preserve">look</w:t>
      </w:r>
      <w:r>
        <w:t xml:space="preserve"> </w:t>
      </w:r>
      <w:r>
        <w:t xml:space="preserve">stateless to the load balancer.</w:t>
      </w:r>
    </w:p>
    <w:p>
      <w:pPr>
        <w:pStyle w:val="BodyText"/>
      </w:pPr>
      <w:r>
        <w:rPr>
          <w:bCs/>
          <w:b/>
        </w:rPr>
        <w:t xml:space="preserve">Figure 18.2 — Sticky sessions versus an externalized session store.</w:t>
      </w:r>
    </w:p>
    <w:p>
      <w:pPr>
        <w:pStyle w:val="BodyText"/>
      </w:pPr>
      <w:r>
        <w:drawing>
          <wp:inline>
            <wp:extent cx="5334000" cy="10895263"/>
            <wp:effectExtent b="0" l="0" r="0" t="0"/>
            <wp:docPr descr="" title="" id="2072" name="Picture"/>
            <a:graphic>
              <a:graphicData uri="http://schemas.openxmlformats.org/drawingml/2006/picture">
                <pic:pic>
                  <pic:nvPicPr>
                    <pic:cNvPr descr="/home/user/System-Design/build/.cache/diagrams/127bed2bd1cc.png" id="2073" name="Picture"/>
                    <pic:cNvPicPr>
                      <a:picLocks noChangeArrowheads="1" noChangeAspect="1"/>
                    </pic:cNvPicPr>
                  </pic:nvPicPr>
                  <pic:blipFill>
                    <a:blip r:embed="rId2071"/>
                    <a:stretch>
                      <a:fillRect/>
                    </a:stretch>
                  </pic:blipFill>
                  <pic:spPr bwMode="auto">
                    <a:xfrm>
                      <a:off x="0" y="0"/>
                      <a:ext cx="5334000" cy="10895263"/>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On the left, the load balancer pins User A to instance 1 by a cookie, and A’s session lives only in instance 1’s memory. If scale-in, a deploy or a crash removes instance 1, A is logged out; heavy users stay stuck on an overloaded instance. On the right, any instance can serve any request and fetches the session synchronously from a replicated session store (storage boundary) in about a millisecond. The store becomes a critical dependency that must be replicated (Chapter 20), but instances can be added, drained or killed freely, and scale independently of session capacity.</w:t>
      </w:r>
    </w:p>
    <w:p>
      <w:pPr>
        <w:pStyle w:val="BodyText"/>
      </w:pPr>
      <w:r>
        <w:rPr>
          <w:bCs/>
          <w:b/>
        </w:rPr>
        <w:t xml:space="preserve">Table 18.5 — Ways to handle session state.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Sticky sessions</w:t>
            </w:r>
          </w:p>
        </w:tc>
        <w:tc>
          <w:tcPr/>
          <w:p>
            <w:pPr>
              <w:pStyle w:val="Compact"/>
              <w:jc w:val="left"/>
            </w:pPr>
            <w:r>
              <w:t xml:space="preserve">Shared session store</w:t>
            </w:r>
          </w:p>
        </w:tc>
        <w:tc>
          <w:tcPr/>
          <w:p>
            <w:pPr>
              <w:pStyle w:val="Compact"/>
              <w:jc w:val="left"/>
            </w:pPr>
            <w:r>
              <w:t xml:space="preserve">Client-side token (signed cookie, JWT)</w:t>
            </w:r>
          </w:p>
        </w:tc>
      </w:tr>
      <w:tr>
        <w:tc>
          <w:tcPr/>
          <w:p>
            <w:pPr>
              <w:pStyle w:val="Compact"/>
              <w:jc w:val="left"/>
            </w:pPr>
            <w:r>
              <w:t xml:space="preserve">How it works</w:t>
            </w:r>
          </w:p>
        </w:tc>
        <w:tc>
          <w:tcPr/>
          <w:p>
            <w:pPr>
              <w:pStyle w:val="Compact"/>
              <w:jc w:val="left"/>
            </w:pPr>
            <w:r>
              <w:t xml:space="preserve">LB pins client to instance</w:t>
            </w:r>
          </w:p>
        </w:tc>
        <w:tc>
          <w:tcPr/>
          <w:p>
            <w:pPr>
              <w:pStyle w:val="Compact"/>
              <w:jc w:val="left"/>
            </w:pPr>
            <w:r>
              <w:t xml:space="preserve">Instances look up session by ID</w:t>
            </w:r>
          </w:p>
        </w:tc>
        <w:tc>
          <w:tcPr/>
          <w:p>
            <w:pPr>
              <w:pStyle w:val="Compact"/>
              <w:jc w:val="left"/>
            </w:pPr>
            <w:r>
              <w:t xml:space="preserve">Client carries signed state</w:t>
            </w:r>
          </w:p>
        </w:tc>
      </w:tr>
      <w:tr>
        <w:tc>
          <w:tcPr/>
          <w:p>
            <w:pPr>
              <w:pStyle w:val="Compact"/>
              <w:jc w:val="left"/>
            </w:pPr>
            <w:r>
              <w:t xml:space="preserve">Advantages</w:t>
            </w:r>
          </w:p>
        </w:tc>
        <w:tc>
          <w:tcPr/>
          <w:p>
            <w:pPr>
              <w:pStyle w:val="Compact"/>
              <w:jc w:val="left"/>
            </w:pPr>
            <w:r>
              <w:t xml:space="preserve">No code change; fastest local access</w:t>
            </w:r>
          </w:p>
        </w:tc>
        <w:tc>
          <w:tcPr/>
          <w:p>
            <w:pPr>
              <w:pStyle w:val="Compact"/>
              <w:jc w:val="left"/>
            </w:pPr>
            <w:r>
              <w:t xml:space="preserve">Instances disposable; revocation is one delete</w:t>
            </w:r>
          </w:p>
        </w:tc>
        <w:tc>
          <w:tcPr/>
          <w:p>
            <w:pPr>
              <w:pStyle w:val="Compact"/>
              <w:jc w:val="left"/>
            </w:pPr>
            <w:r>
              <w:t xml:space="preserve">No server lookup; no store to run</w:t>
            </w:r>
          </w:p>
        </w:tc>
      </w:tr>
      <w:tr>
        <w:tc>
          <w:tcPr/>
          <w:p>
            <w:pPr>
              <w:pStyle w:val="Compact"/>
              <w:jc w:val="left"/>
            </w:pPr>
            <w:r>
              <w:t xml:space="preserve">Disadvantages</w:t>
            </w:r>
          </w:p>
        </w:tc>
        <w:tc>
          <w:tcPr/>
          <w:p>
            <w:pPr>
              <w:pStyle w:val="Compact"/>
              <w:jc w:val="left"/>
            </w:pPr>
            <w:r>
              <w:t xml:space="preserve">Session loss on instance loss; uneven load; blocks scale-in</w:t>
            </w:r>
          </w:p>
        </w:tc>
        <w:tc>
          <w:tcPr/>
          <w:p>
            <w:pPr>
              <w:pStyle w:val="Compact"/>
              <w:jc w:val="left"/>
            </w:pPr>
            <w:r>
              <w:t xml:space="preserve">Extra hop; store must be highly available</w:t>
            </w:r>
          </w:p>
        </w:tc>
        <w:tc>
          <w:tcPr/>
          <w:p>
            <w:pPr>
              <w:pStyle w:val="Compact"/>
              <w:jc w:val="left"/>
            </w:pPr>
            <w:r>
              <w:t xml:space="preserve">Size limits; revocation is hard before expiry</w:t>
            </w:r>
          </w:p>
        </w:tc>
      </w:tr>
      <w:tr>
        <w:tc>
          <w:tcPr/>
          <w:p>
            <w:pPr>
              <w:pStyle w:val="Compact"/>
              <w:jc w:val="left"/>
            </w:pPr>
            <w:r>
              <w:t xml:space="preserve">Choose when</w:t>
            </w:r>
          </w:p>
        </w:tc>
        <w:tc>
          <w:tcPr/>
          <w:p>
            <w:pPr>
              <w:pStyle w:val="Compact"/>
              <w:jc w:val="left"/>
            </w:pPr>
            <w:r>
              <w:t xml:space="preserve">Short-term migration of a legacy app</w:t>
            </w:r>
          </w:p>
        </w:tc>
        <w:tc>
          <w:tcPr/>
          <w:p>
            <w:pPr>
              <w:pStyle w:val="Compact"/>
              <w:jc w:val="left"/>
            </w:pPr>
            <w:r>
              <w:t xml:space="preserve">Default for server-rendered and API sessions</w:t>
            </w:r>
          </w:p>
        </w:tc>
        <w:tc>
          <w:tcPr/>
          <w:p>
            <w:pPr>
              <w:pStyle w:val="Compact"/>
              <w:jc w:val="left"/>
            </w:pPr>
            <w:r>
              <w:t xml:space="preserve">Short-lived access tokens (§8.13)</w:t>
            </w:r>
          </w:p>
        </w:tc>
      </w:tr>
    </w:tbl>
    <w:p>
      <w:pPr>
        <w:pStyle w:val="BodyText"/>
      </w:pPr>
      <w:r>
        <w:t xml:space="preserve">Affinity is not always a smell. It is a legitimate</w:t>
      </w:r>
      <w:r>
        <w:t xml:space="preserve"> </w:t>
      </w:r>
      <w:r>
        <w:rPr>
          <w:bCs/>
          <w:b/>
        </w:rPr>
        <w:t xml:space="preserve">performance</w:t>
      </w:r>
      <w:r>
        <w:t xml:space="preserve"> </w:t>
      </w:r>
      <w:r>
        <w:t xml:space="preserve">optimization when the state is a rebuildable cache, for example routing a user to the instance that already holds their data warm, provided correctness never depends on it. Long-lived connections such as WebSockets are inherently stateful at the connection level; they are scaled with connection-aware techniques (§9.9).</w:t>
      </w:r>
    </w:p>
    <w:bookmarkEnd w:id="2074"/>
    <w:bookmarkStart w:id="2075" w:name="failure-scenarios-52"/>
    <w:p>
      <w:pPr>
        <w:pStyle w:val="Heading4"/>
      </w:pPr>
      <w:r>
        <w:t xml:space="preserve">Failure scenarios</w:t>
      </w:r>
    </w:p>
    <w:p>
      <w:pPr>
        <w:pStyle w:val="FirstParagraph"/>
      </w:pPr>
      <w:r>
        <w:t xml:space="preserve">The classic state-related failures (mass logout on deploy, sessions lost at scale-in, a session-store outage that logs everyone out, a hot instance under affinity) appear in Table 8.1 and Table 18.3. All share one prevention: decide where each piece of state lives</w:t>
      </w:r>
      <w:r>
        <w:t xml:space="preserve"> </w:t>
      </w:r>
      <w:r>
        <w:rPr>
          <w:iCs/>
          <w:i/>
        </w:rPr>
        <w:t xml:space="preserve">before</w:t>
      </w:r>
      <w:r>
        <w:t xml:space="preserve"> </w:t>
      </w:r>
      <w:r>
        <w:t xml:space="preserve">the tier needs to scale, and replicate that place.</w:t>
      </w:r>
    </w:p>
    <w:p>
      <w:pPr>
        <w:pStyle w:val="CalloutMistake"/>
      </w:pPr>
      <w:r>
        <w:rPr>
          <w:bCs/>
          <w:b/>
        </w:rPr>
        <w:t xml:space="preserve">COMMON MISTAKE</w:t>
      </w:r>
    </w:p>
    <w:p>
      <w:pPr>
        <w:pStyle w:val="CalloutMistake"/>
      </w:pPr>
      <w:r>
        <w:rPr>
          <w:bCs/>
          <w:b/>
        </w:rPr>
        <w:t xml:space="preserve">“</w:t>
      </w:r>
      <w:r>
        <w:rPr>
          <w:bCs/>
          <w:b/>
        </w:rPr>
        <w:t xml:space="preserve">Stateless means the system has no state.</w:t>
      </w:r>
      <w:r>
        <w:rPr>
          <w:bCs/>
          <w:b/>
        </w:rPr>
        <w:t xml:space="preserve">”</w:t>
      </w:r>
      <w:r>
        <w:t xml:space="preserve"> </w:t>
      </w:r>
      <w:r>
        <w:t xml:space="preserve">It means</w:t>
      </w:r>
      <w:r>
        <w:t xml:space="preserve"> </w:t>
      </w:r>
      <w:r>
        <w:rPr>
          <w:iCs/>
          <w:i/>
        </w:rPr>
        <w:t xml:space="preserve">this tier</w:t>
      </w:r>
      <w:r>
        <w:t xml:space="preserve"> </w:t>
      </w:r>
      <w:r>
        <w:t xml:space="preserve">keeps none between requests. The engineering work is choosing where state lives and making that place durable, available and fast enough.</w:t>
      </w:r>
    </w:p>
    <w:bookmarkEnd w:id="2075"/>
    <w:bookmarkEnd w:id="2076"/>
    <w:bookmarkEnd w:id="2077"/>
    <w:bookmarkStart w:id="2081" w:name="load-distribution"/>
    <w:p>
      <w:pPr>
        <w:pStyle w:val="Heading2"/>
      </w:pPr>
      <w:r>
        <w:t xml:space="preserve">18.6 Load distribution</w:t>
      </w:r>
    </w:p>
    <w:p>
      <w:pPr>
        <w:pStyle w:val="FirstParagraph"/>
      </w:pPr>
      <w:r>
        <w:t xml:space="preserve">Horizontal scaling needs something to spread requests across nodes. This section is a map; Chapter 19 is the territory.</w:t>
      </w:r>
    </w:p>
    <w:p>
      <w:pPr>
        <w:pStyle w:val="BodyText"/>
      </w:pPr>
      <w:r>
        <w:rPr>
          <w:bCs/>
          <w:b/>
        </w:rPr>
        <w:t xml:space="preserve">Figure 18.3 — Layers of load distribution.</w:t>
      </w:r>
    </w:p>
    <w:p>
      <w:pPr>
        <w:pStyle w:val="BodyText"/>
      </w:pPr>
      <w:r>
        <w:drawing>
          <wp:inline>
            <wp:extent cx="5334000" cy="8636658"/>
            <wp:effectExtent b="0" l="0" r="0" t="0"/>
            <wp:docPr descr="" title="" id="2079" name="Picture"/>
            <a:graphic>
              <a:graphicData uri="http://schemas.openxmlformats.org/drawingml/2006/picture">
                <pic:pic>
                  <pic:nvPicPr>
                    <pic:cNvPr descr="/home/user/System-Design/build/.cache/diagrams/7a71e13e74b6.png" id="2080" name="Picture"/>
                    <pic:cNvPicPr>
                      <a:picLocks noChangeArrowheads="1" noChangeAspect="1"/>
                    </pic:cNvPicPr>
                  </pic:nvPicPr>
                  <pic:blipFill>
                    <a:blip r:embed="rId2078"/>
                    <a:stretch>
                      <a:fillRect/>
                    </a:stretch>
                  </pic:blipFill>
                  <pic:spPr bwMode="auto">
                    <a:xfrm>
                      <a:off x="0" y="0"/>
                      <a:ext cx="5334000" cy="8636658"/>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rPr>
          <w:bCs/>
          <w:b/>
        </w:rPr>
        <w:t xml:space="preserve">DNS or global server load balancing</w:t>
      </w:r>
      <w:r>
        <w:t xml:space="preserve"> </w:t>
      </w:r>
      <w:r>
        <w:t xml:space="preserve">(hexagon) steers each client to a region, at the granularity of DNS answers and their TTLs (§19.9). A</w:t>
      </w:r>
      <w:r>
        <w:t xml:space="preserve"> </w:t>
      </w:r>
      <w:r>
        <w:rPr>
          <w:bCs/>
          <w:b/>
        </w:rPr>
        <w:t xml:space="preserve">layer-4 load balancer</w:t>
      </w:r>
      <w:r>
        <w:t xml:space="preserve"> </w:t>
      </w:r>
      <w:r>
        <w:t xml:space="preserve">spreads TCP connections without reading requests; a</w:t>
      </w:r>
      <w:r>
        <w:t xml:space="preserve"> </w:t>
      </w:r>
      <w:r>
        <w:rPr>
          <w:bCs/>
          <w:b/>
        </w:rPr>
        <w:t xml:space="preserve">layer-7 load balancer</w:t>
      </w:r>
      <w:r>
        <w:t xml:space="preserve"> </w:t>
      </w:r>
      <w:r>
        <w:t xml:space="preserve">routes each HTTP request by path, header or cookie (§19.3). Inside,</w:t>
      </w:r>
      <w:r>
        <w:t xml:space="preserve"> </w:t>
      </w:r>
      <w:r>
        <w:rPr>
          <w:bCs/>
          <w:b/>
        </w:rPr>
        <w:t xml:space="preserve">client-side load balancing</w:t>
      </w:r>
      <w:r>
        <w:t xml:space="preserve"> </w:t>
      </w:r>
      <w:r>
        <w:t xml:space="preserve">lets service A pick a pod of service B from a registry (§19.10). All arrows are synchronous. Failure points: the load balancers, made redundant with pairs, anycast or ECMP (§19.8), and stale DNS answers. Each layer scales horizontally; the database at the bottom does not, by this mechanism.</w:t>
      </w:r>
    </w:p>
    <w:p>
      <w:pPr>
        <w:pStyle w:val="BodyText"/>
      </w:pPr>
      <w:r>
        <w:t xml:space="preserve">The algorithm matters most when requests differ in cost. Round robin suits uniform requests; least-outstanding-requests and</w:t>
      </w:r>
      <w:r>
        <w:t xml:space="preserve"> </w:t>
      </w:r>
      <w:r>
        <w:rPr>
          <w:bCs/>
          <w:b/>
        </w:rPr>
        <w:t xml:space="preserve">power of two choices</w:t>
      </w:r>
      <w:r>
        <w:t xml:space="preserve"> </w:t>
      </w:r>
      <w:r>
        <w:t xml:space="preserve">avoid piling work on a slow node; consistent hashing keeps related requests together for cache locality (§14.8, §19.4). Good algorithms approximate one shared queue in front of all servers, which beats separate queues (Figure 4.4).</w:t>
      </w:r>
    </w:p>
    <w:bookmarkEnd w:id="2081"/>
    <w:bookmarkStart w:id="2089" w:name="bottleneck-identification"/>
    <w:p>
      <w:pPr>
        <w:pStyle w:val="Heading2"/>
      </w:pPr>
      <w:r>
        <w:t xml:space="preserve">18.7 Bottleneck identification</w:t>
      </w:r>
    </w:p>
    <w:bookmarkStart w:id="2088" w:name="where-scaling-stops"/>
    <w:p>
      <w:pPr>
        <w:pStyle w:val="Heading3"/>
      </w:pPr>
      <w:r>
        <w:t xml:space="preserve">18.7.1 Where scaling stops</w:t>
      </w:r>
    </w:p>
    <w:p>
      <w:pPr>
        <w:pStyle w:val="CalloutDefinition"/>
      </w:pPr>
      <w:r>
        <w:rPr>
          <w:bCs/>
          <w:b/>
        </w:rPr>
        <w:t xml:space="preserve">DEFINITION</w:t>
      </w:r>
    </w:p>
    <w:p>
      <w:pPr>
        <w:pStyle w:val="CalloutDefinition"/>
      </w:pPr>
      <w:r>
        <w:rPr>
          <w:bCs/>
          <w:b/>
        </w:rPr>
        <w:t xml:space="preserve">Definition — Scaling bottleneck.</w:t>
      </w:r>
      <w:r>
        <w:t xml:space="preserve"> </w:t>
      </w:r>
      <w:r>
        <w:t xml:space="preserve">The resource that limits throughput as load or node count grows: the resource with the largest service demand per unit of capacity (§2.6). For a horizontally scaled system, it is usually a resource that</w:t>
      </w:r>
      <w:r>
        <w:t xml:space="preserve"> </w:t>
      </w:r>
      <w:r>
        <w:rPr>
          <w:iCs/>
          <w:i/>
        </w:rPr>
        <w:t xml:space="preserve">all</w:t>
      </w:r>
      <w:r>
        <w:t xml:space="preserve"> </w:t>
      </w:r>
      <w:r>
        <w:t xml:space="preserve">nodes share and that cannot itself be scaled out by adding application nodes.</w:t>
      </w:r>
    </w:p>
    <w:bookmarkStart w:id="2082" w:name="first-principles-explanation-115"/>
    <w:p>
      <w:pPr>
        <w:pStyle w:val="Heading4"/>
      </w:pPr>
      <w:r>
        <w:t xml:space="preserve">First-principles explanation</w:t>
      </w:r>
    </w:p>
    <w:p>
      <w:pPr>
        <w:pStyle w:val="FirstParagraph"/>
      </w:pPr>
      <w:r>
        <w:t xml:space="preserve">Adding checkout lanes to a supermarket helps until every lane waits for the single price-check clerk. The clerk was always there; with two lanes she was idle most of the time, and with twenty she is the whole story. Horizontal scaling multiplies the parts you replicate and leaves untouched the parts you share, so the shared parts eventually dominate.</w:t>
      </w:r>
    </w:p>
    <w:bookmarkEnd w:id="2082"/>
    <w:bookmarkStart w:id="2086" w:name="how-it-works-internally-78"/>
    <w:p>
      <w:pPr>
        <w:pStyle w:val="Heading4"/>
      </w:pPr>
      <w:r>
        <w:t xml:space="preserve">How it works internally</w:t>
      </w:r>
    </w:p>
    <w:p>
      <w:pPr>
        <w:numPr>
          <w:ilvl w:val="0"/>
          <w:numId w:val="1603"/>
        </w:numPr>
        <w:pStyle w:val="Compact"/>
      </w:pPr>
      <w:r>
        <w:rPr>
          <w:bCs/>
          <w:b/>
        </w:rPr>
        <w:t xml:space="preserve">List the resources on the request path</w:t>
      </w:r>
      <w:r>
        <w:t xml:space="preserve"> </w:t>
      </w:r>
      <w:r>
        <w:t xml:space="preserve">using the resource model of Table 2.7: CPU, memory, disk, network and software resources (locks, pools, single-threaded components).</w:t>
      </w:r>
    </w:p>
    <w:p>
      <w:pPr>
        <w:numPr>
          <w:ilvl w:val="0"/>
          <w:numId w:val="1603"/>
        </w:numPr>
        <w:pStyle w:val="Compact"/>
      </w:pPr>
      <w:r>
        <w:rPr>
          <w:bCs/>
          <w:b/>
        </w:rPr>
        <w:t xml:space="preserve">Classify each as per-node or shared.</w:t>
      </w:r>
      <w:r>
        <w:t xml:space="preserve"> </w:t>
      </w:r>
      <w:r>
        <w:t xml:space="preserve">Per-node resources (application CPU) grow with</w:t>
      </w:r>
      <w:r>
        <w:t xml:space="preserve"> </w:t>
      </w:r>
      <m:oMath>
        <m:r>
          <m:t>N</m:t>
        </m:r>
      </m:oMath>
      <w:r>
        <w:t xml:space="preserve">; shared ones (the database primary, a global counter, a leader, a license server, a third-party rate limit) do not.</w:t>
      </w:r>
    </w:p>
    <w:p>
      <w:pPr>
        <w:numPr>
          <w:ilvl w:val="0"/>
          <w:numId w:val="1603"/>
        </w:numPr>
        <w:pStyle w:val="Compact"/>
      </w:pPr>
      <w:r>
        <w:rPr>
          <w:bCs/>
          <w:b/>
        </w:rPr>
        <w:t xml:space="preserve">Compute utilization at the target load</w:t>
      </w:r>
      <w:r>
        <w:t xml:space="preserve"> </w:t>
      </w:r>
      <w:r>
        <w:t xml:space="preserve">with the utilization law</w:t>
      </w:r>
      <w:r>
        <w:t xml:space="preserve"> </w:t>
      </w:r>
      <m:oMath>
        <m:r>
          <m:t>U</m:t>
        </m:r>
        <m:r>
          <m:rPr>
            <m:sty m:val="p"/>
          </m:rPr>
          <m:t>=</m:t>
        </m:r>
        <m:r>
          <m:t>X</m:t>
        </m:r>
        <m:r>
          <m:t>D</m:t>
        </m:r>
        <m:r>
          <m:rPr>
            <m:sty m:val="p"/>
          </m:rPr>
          <m:t>/</m:t>
        </m:r>
        <m:r>
          <m:t>c</m:t>
        </m:r>
      </m:oMath>
      <w:r>
        <w:t xml:space="preserve"> </w:t>
      </w:r>
      <w:r>
        <w:t xml:space="preserve">(§2.6). The largest is the bottleneck now.</w:t>
      </w:r>
    </w:p>
    <w:p>
      <w:pPr>
        <w:numPr>
          <w:ilvl w:val="0"/>
          <w:numId w:val="1603"/>
        </w:numPr>
        <w:pStyle w:val="Compact"/>
      </w:pPr>
      <w:r>
        <w:rPr>
          <w:bCs/>
          <w:b/>
        </w:rPr>
        <w:t xml:space="preserve">Ask what grows with</w:t>
      </w:r>
      <w:r>
        <w:rPr>
          <w:bCs/>
          <w:b/>
        </w:rPr>
        <w:t xml:space="preserve"> </w:t>
      </w:r>
      <m:oMath>
        <m:r>
          <m:t>N</m:t>
        </m:r>
      </m:oMath>
      <w:r>
        <w:rPr>
          <w:bCs/>
          <w:b/>
        </w:rPr>
        <w:t xml:space="preserve">.</w:t>
      </w:r>
      <w:r>
        <w:t xml:space="preserve"> </w:t>
      </w:r>
      <w:r>
        <w:t xml:space="preserve">Connection counts, health-check traffic, cache-invalidation fan-out and membership gossip all grow with node count, sometimes as</w:t>
      </w:r>
      <w:r>
        <w:t xml:space="preserve"> </w:t>
      </w:r>
      <m:oMath>
        <m:sSup>
          <m:e>
            <m:r>
              <m:t>N</m:t>
            </m:r>
          </m:e>
          <m:sup>
            <m:r>
              <m:t>2</m:t>
            </m:r>
          </m:sup>
        </m:sSup>
      </m:oMath>
      <w:r>
        <w:t xml:space="preserve">. These are the coherency terms of the USL.</w:t>
      </w:r>
    </w:p>
    <w:p>
      <w:pPr>
        <w:numPr>
          <w:ilvl w:val="0"/>
          <w:numId w:val="1603"/>
        </w:numPr>
        <w:pStyle w:val="Compact"/>
      </w:pPr>
      <w:r>
        <w:rPr>
          <w:bCs/>
          <w:b/>
        </w:rPr>
        <w:t xml:space="preserve">Fit the USL</w:t>
      </w:r>
      <w:r>
        <w:t xml:space="preserve"> </w:t>
      </w:r>
      <w:r>
        <w:t xml:space="preserve">to load-test throughput at several node counts (§4.13, §23.10) [Gunther 2007]. Its coefficients tell you whether you face contention (</w:t>
      </w:r>
      <m:oMath>
        <m:r>
          <m:t>α</m:t>
        </m:r>
      </m:oMath>
      <w:r>
        <w:t xml:space="preserve">), coherency (</w:t>
      </w:r>
      <m:oMath>
        <m:r>
          <m:t>β</m:t>
        </m:r>
      </m:oMath>
      <w:r>
        <w:t xml:space="preserve">) or neither.</w:t>
      </w:r>
    </w:p>
    <w:p>
      <w:pPr>
        <w:numPr>
          <w:ilvl w:val="0"/>
          <w:numId w:val="1603"/>
        </w:numPr>
        <w:pStyle w:val="Compact"/>
      </w:pPr>
      <w:r>
        <w:rPr>
          <w:bCs/>
          <w:b/>
        </w:rPr>
        <w:t xml:space="preserve">Relieve, then repeat.</w:t>
      </w:r>
      <w:r>
        <w:t xml:space="preserve"> </w:t>
      </w:r>
      <w:r>
        <w:t xml:space="preserve">The bottleneck moves.</w:t>
      </w:r>
    </w:p>
    <w:p>
      <w:pPr>
        <w:pStyle w:val="FirstParagraph"/>
      </w:pPr>
      <w:r>
        <w:rPr>
          <w:bCs/>
          <w:b/>
        </w:rPr>
        <w:t xml:space="preserve">Figure 18.4 — The shared-resource funnel.</w:t>
      </w:r>
    </w:p>
    <w:p>
      <w:pPr>
        <w:pStyle w:val="BodyText"/>
      </w:pPr>
      <w:r>
        <w:drawing>
          <wp:inline>
            <wp:extent cx="5334000" cy="847725"/>
            <wp:effectExtent b="0" l="0" r="0" t="0"/>
            <wp:docPr descr="" title="" id="2084" name="Picture"/>
            <a:graphic>
              <a:graphicData uri="http://schemas.openxmlformats.org/drawingml/2006/picture">
                <pic:pic>
                  <pic:nvPicPr>
                    <pic:cNvPr descr="/home/user/System-Design/build/.cache/diagrams/b25ef24b6118.png" id="2085" name="Picture"/>
                    <pic:cNvPicPr>
                      <a:picLocks noChangeArrowheads="1" noChangeAspect="1"/>
                    </pic:cNvPicPr>
                  </pic:nvPicPr>
                  <pic:blipFill>
                    <a:blip r:embed="rId2083"/>
                    <a:stretch>
                      <a:fillRect/>
                    </a:stretch>
                  </pic:blipFill>
                  <pic:spPr bwMode="auto">
                    <a:xfrm>
                      <a:off x="0" y="0"/>
                      <a:ext cx="5334000" cy="847725"/>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Sixty pods scale out freely behind the load balancer (synchronous HTTP) but converge, through a pooler, on one primary database and one hot row: a promotion counter that every order updates under a lock, a</w:t>
      </w:r>
      <w:r>
        <w:t xml:space="preserve"> </w:t>
      </w:r>
      <w:r>
        <w:rPr>
          <w:iCs/>
          <w:i/>
        </w:rPr>
        <w:t xml:space="preserve">contention</w:t>
      </w:r>
      <w:r>
        <w:t xml:space="preserve"> </w:t>
      </w:r>
      <w:r>
        <w:t xml:space="preserve">cost (USL</w:t>
      </w:r>
      <w:r>
        <w:t xml:space="preserve"> </w:t>
      </w:r>
      <m:oMath>
        <m:r>
          <m:t>α</m:t>
        </m:r>
      </m:oMath>
      <w:r>
        <w:t xml:space="preserve">). The dotted arrows are asynchronous cache invalidations between pods; their number grows with pod pairs, a</w:t>
      </w:r>
      <w:r>
        <w:t xml:space="preserve"> </w:t>
      </w:r>
      <w:r>
        <w:rPr>
          <w:iCs/>
          <w:i/>
        </w:rPr>
        <w:t xml:space="preserve">coherency</w:t>
      </w:r>
      <w:r>
        <w:t xml:space="preserve"> </w:t>
      </w:r>
      <w:r>
        <w:t xml:space="preserve">cost (USL</w:t>
      </w:r>
      <w:r>
        <w:t xml:space="preserve"> </w:t>
      </w:r>
      <m:oMath>
        <m:r>
          <m:t>β</m:t>
        </m:r>
      </m:oMath>
      <w:r>
        <w:t xml:space="preserve">). Storage boundary: the database. Failure point: the hot row saturates while pod CPUs look idle. Adding pods worsens both costs.</w:t>
      </w:r>
    </w:p>
    <w:bookmarkEnd w:id="2086"/>
    <w:bookmarkStart w:id="2087" w:name="mathematical-foundations-39"/>
    <w:p>
      <w:pPr>
        <w:pStyle w:val="Heading4"/>
      </w:pPr>
      <w:r>
        <w:t xml:space="preserve">Mathematical foundations</w:t>
      </w:r>
    </w:p>
    <w:p>
      <w:pPr>
        <w:pStyle w:val="FirstParagraph"/>
      </w:pPr>
      <w:r>
        <w:t xml:space="preserve">The USL itself is in §4.13. For a capacity decision you need one derived quantity: what the</w:t>
      </w:r>
      <w:r>
        <w:t xml:space="preserve"> </w:t>
      </w:r>
      <w:r>
        <w:rPr>
          <w:iCs/>
          <w:i/>
        </w:rPr>
        <w:t xml:space="preserve">next</w:t>
      </w:r>
      <w:r>
        <w:t xml:space="preserve"> </w:t>
      </w:r>
      <w:r>
        <w:t xml:space="preserve">node buys.</w:t>
      </w:r>
    </w:p>
    <w:p>
      <w:pPr>
        <w:pStyle w:val="CalloutFormula"/>
      </w:pPr>
      <w:r>
        <w:rPr>
          <w:bCs/>
          <w:b/>
        </w:rPr>
        <w:t xml:space="preserve">FORMULA</w:t>
      </w:r>
    </w:p>
    <w:p>
      <w:pPr>
        <w:pStyle w:val="CalloutFormula"/>
      </w:pPr>
      <w:r>
        <w:rPr>
          <w:bCs/>
          <w:b/>
        </w:rPr>
        <w:t xml:space="preserve">Marginal throughput of the</w:t>
      </w:r>
      <w:r>
        <w:rPr>
          <w:bCs/>
          <w:b/>
        </w:rPr>
        <w:t xml:space="preserve"> </w:t>
      </w:r>
      <m:oMath>
        <m:r>
          <m:t>N</m:t>
        </m:r>
      </m:oMath>
      <w:r>
        <w:rPr>
          <w:bCs/>
          <w:b/>
        </w:rPr>
        <w:t xml:space="preserve">-th node</w:t>
      </w:r>
    </w:p>
    <w:p>
      <w:pPr>
        <w:pStyle w:val="CalloutFormula"/>
      </w:pPr>
      <m:oMathPara>
        <m:oMathParaPr>
          <m:jc m:val="center"/>
        </m:oMathParaPr>
        <m:oMath>
          <m:r>
            <m:t>Δ</m:t>
          </m:r>
          <m:r>
            <m:t>X</m:t>
          </m:r>
          <m:d>
            <m:dPr>
              <m:begChr m:val="("/>
              <m:endChr m:val=")"/>
              <m:sepChr m:val=""/>
              <m:grow/>
            </m:dPr>
            <m:e>
              <m:r>
                <m:t>N</m:t>
              </m:r>
            </m:e>
          </m:d>
          <m:r>
            <m:rPr>
              <m:sty m:val="p"/>
            </m:rPr>
            <m:t>=</m:t>
          </m:r>
          <m:sSub>
            <m:e>
              <m:r>
                <m:t>X</m:t>
              </m:r>
            </m:e>
            <m:sub>
              <m:r>
                <m:t>1</m:t>
              </m:r>
            </m:sub>
          </m:sSub>
          <m:d>
            <m:dPr>
              <m:begChr m:val="["/>
              <m:endChr m:val="]"/>
              <m:sepChr m:val=""/>
              <m:grow/>
            </m:dPr>
            <m:e>
              <m:r>
                <m:t>C</m:t>
              </m:r>
              <m:d>
                <m:dPr>
                  <m:begChr m:val="("/>
                  <m:endChr m:val=")"/>
                  <m:sepChr m:val=""/>
                  <m:grow/>
                </m:dPr>
                <m:e>
                  <m:r>
                    <m:t>N</m:t>
                  </m:r>
                </m:e>
              </m:d>
              <m:r>
                <m:rPr>
                  <m:sty m:val="p"/>
                </m:rPr>
                <m:t>−</m:t>
              </m:r>
              <m:r>
                <m:t>C</m:t>
              </m:r>
              <m:d>
                <m:dPr>
                  <m:begChr m:val="("/>
                  <m:endChr m:val=")"/>
                  <m:sepChr m:val=""/>
                  <m:grow/>
                </m:dPr>
                <m:e>
                  <m:r>
                    <m:t>N</m:t>
                  </m:r>
                  <m:r>
                    <m:rPr>
                      <m:sty m:val="p"/>
                    </m:rPr>
                    <m:t>−</m:t>
                  </m:r>
                  <m:r>
                    <m:t>1</m:t>
                  </m:r>
                </m:e>
              </m:d>
            </m:e>
          </m:d>
          <m:r>
            <m:t>  </m:t>
          </m:r>
          <m:r>
            <m:t>E</m:t>
          </m:r>
          <m:d>
            <m:dPr>
              <m:begChr m:val="("/>
              <m:endChr m:val=")"/>
              <m:sepChr m:val=""/>
              <m:grow/>
            </m:dPr>
            <m:e>
              <m:r>
                <m:t>N</m:t>
              </m:r>
            </m:e>
          </m:d>
          <m:r>
            <m:rPr>
              <m:sty m:val="p"/>
            </m:rPr>
            <m:t>=</m:t>
          </m:r>
          <m:f>
            <m:fPr>
              <m:type m:val="bar"/>
            </m:fPr>
            <m:num>
              <m:r>
                <m:t>C</m:t>
              </m:r>
              <m:d>
                <m:dPr>
                  <m:begChr m:val="("/>
                  <m:endChr m:val=")"/>
                  <m:sepChr m:val=""/>
                  <m:grow/>
                </m:dPr>
                <m:e>
                  <m:r>
                    <m:t>N</m:t>
                  </m:r>
                </m:e>
              </m:d>
            </m:num>
            <m:den>
              <m:r>
                <m:t>N</m:t>
              </m:r>
            </m:den>
          </m:f>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X</m:t>
                  </m:r>
                </m:e>
                <m:sub>
                  <m:r>
                    <m:t>1</m:t>
                  </m:r>
                </m:sub>
              </m:sSub>
            </m:oMath>
          </w:p>
        </w:tc>
        <w:tc>
          <w:tcPr/>
          <w:p>
            <w:pPr>
              <w:pStyle w:val="Compact"/>
              <w:jc w:val="left"/>
            </w:pPr>
            <w:r>
              <w:t xml:space="preserve">Throughput of one node (measured)</w:t>
            </w:r>
          </w:p>
        </w:tc>
        <w:tc>
          <w:tcPr/>
          <w:p>
            <w:pPr>
              <w:pStyle w:val="Compact"/>
              <w:jc w:val="left"/>
            </w:pPr>
            <w:r>
              <w:t xml:space="preserve">requests/s</w:t>
            </w:r>
          </w:p>
        </w:tc>
      </w:tr>
      <w:tr>
        <w:tc>
          <w:tcPr/>
          <w:p>
            <w:pPr>
              <w:pStyle w:val="Compact"/>
              <w:jc w:val="left"/>
            </w:pPr>
            <m:oMath>
              <m:r>
                <m:t>C</m:t>
              </m:r>
              <m:d>
                <m:dPr>
                  <m:begChr m:val="("/>
                  <m:endChr m:val=")"/>
                  <m:sepChr m:val=""/>
                  <m:grow/>
                </m:dPr>
                <m:e>
                  <m:r>
                    <m:t>N</m:t>
                  </m:r>
                </m:e>
              </m:d>
            </m:oMath>
          </w:p>
        </w:tc>
        <w:tc>
          <w:tcPr/>
          <w:p>
            <w:pPr>
              <w:pStyle w:val="Compact"/>
              <w:jc w:val="left"/>
            </w:pPr>
            <w:r>
              <w:t xml:space="preserve">USL relative capacity at</w:t>
            </w:r>
            <w:r>
              <w:t xml:space="preserve"> </w:t>
            </w:r>
            <m:oMath>
              <m:r>
                <m:t>N</m:t>
              </m:r>
            </m:oMath>
            <w:r>
              <w:t xml:space="preserve"> </w:t>
            </w:r>
            <w:r>
              <w:t xml:space="preserve">nodes (§4.13)</w:t>
            </w:r>
          </w:p>
        </w:tc>
        <w:tc>
          <w:tcPr/>
          <w:p>
            <w:pPr>
              <w:pStyle w:val="Compact"/>
              <w:jc w:val="left"/>
            </w:pPr>
            <w:r>
              <w:t xml:space="preserve">dimensionless</w:t>
            </w:r>
          </w:p>
        </w:tc>
      </w:tr>
      <w:tr>
        <w:tc>
          <w:tcPr/>
          <w:p>
            <w:pPr>
              <w:pStyle w:val="Compact"/>
              <w:jc w:val="left"/>
            </w:pPr>
            <m:oMath>
              <m:r>
                <m:t>Δ</m:t>
              </m:r>
              <m:r>
                <m:t>X</m:t>
              </m:r>
              <m:d>
                <m:dPr>
                  <m:begChr m:val="("/>
                  <m:endChr m:val=")"/>
                  <m:sepChr m:val=""/>
                  <m:grow/>
                </m:dPr>
                <m:e>
                  <m:r>
                    <m:t>N</m:t>
                  </m:r>
                </m:e>
              </m:d>
            </m:oMath>
          </w:p>
        </w:tc>
        <w:tc>
          <w:tcPr/>
          <w:p>
            <w:pPr>
              <w:pStyle w:val="Compact"/>
              <w:jc w:val="left"/>
            </w:pPr>
            <w:r>
              <w:t xml:space="preserve">Extra throughput gained by adding node</w:t>
            </w:r>
            <w:r>
              <w:t xml:space="preserve"> </w:t>
            </w:r>
            <m:oMath>
              <m:r>
                <m:t>N</m:t>
              </m:r>
            </m:oMath>
          </w:p>
        </w:tc>
        <w:tc>
          <w:tcPr/>
          <w:p>
            <w:pPr>
              <w:pStyle w:val="Compact"/>
              <w:jc w:val="left"/>
            </w:pPr>
            <w:r>
              <w:t xml:space="preserve">requests/s</w:t>
            </w:r>
          </w:p>
        </w:tc>
      </w:tr>
      <w:tr>
        <w:tc>
          <w:tcPr/>
          <w:p>
            <w:pPr>
              <w:pStyle w:val="Compact"/>
              <w:jc w:val="left"/>
            </w:pPr>
            <m:oMath>
              <m:r>
                <m:t>E</m:t>
              </m:r>
              <m:d>
                <m:dPr>
                  <m:begChr m:val="("/>
                  <m:endChr m:val=")"/>
                  <m:sepChr m:val=""/>
                  <m:grow/>
                </m:dPr>
                <m:e>
                  <m:r>
                    <m:t>N</m:t>
                  </m:r>
                </m:e>
              </m:d>
            </m:oMath>
          </w:p>
        </w:tc>
        <w:tc>
          <w:tcPr/>
          <w:p>
            <w:pPr>
              <w:pStyle w:val="Compact"/>
              <w:jc w:val="left"/>
            </w:pPr>
            <w:r>
              <w:t xml:space="preserve">Scaling efficiency: fraction of linear scaling achieved</w:t>
            </w:r>
          </w:p>
        </w:tc>
        <w:tc>
          <w:tcPr/>
          <w:p>
            <w:pPr>
              <w:pStyle w:val="Compact"/>
              <w:jc w:val="left"/>
            </w:pPr>
            <w:r>
              <w:t xml:space="preserve">dimensionless (0–1)</w:t>
            </w:r>
          </w:p>
        </w:tc>
      </w:tr>
    </w:tbl>
    <w:p>
      <w:pPr>
        <w:pStyle w:val="CalloutExample"/>
      </w:pPr>
      <w:r>
        <w:rPr>
          <w:bCs/>
          <w:b/>
        </w:rPr>
        <w:t xml:space="preserve">WORKED EXAMPLE</w:t>
      </w:r>
    </w:p>
    <w:p>
      <w:pPr>
        <w:pStyle w:val="CalloutExample"/>
      </w:pPr>
      <w:r>
        <w:rPr>
          <w:bCs/>
          <w:b/>
        </w:rPr>
        <w:t xml:space="preserve">Worked example — How many pods can QuickBite usefully run?</w:t>
      </w:r>
      <w:r>
        <w:t xml:space="preserve"> </w:t>
      </w:r>
      <w:r>
        <w:t xml:space="preserve">A load test of the order API, where every order updates a promotion counter row and pods broadcast invalidations, fits</w:t>
      </w:r>
      <w:r>
        <w:t xml:space="preserve"> </w:t>
      </w:r>
      <m:oMath>
        <m:r>
          <m:t>α</m:t>
        </m:r>
        <m:r>
          <m:rPr>
            <m:sty m:val="p"/>
          </m:rPr>
          <m:t>=</m:t>
        </m:r>
        <m:r>
          <m:t>0.03</m:t>
        </m:r>
      </m:oMath>
      <w:r>
        <w:t xml:space="preserve"> </w:t>
      </w:r>
      <w:r>
        <w:t xml:space="preserve">and</w:t>
      </w:r>
      <w:r>
        <w:t xml:space="preserve"> </w:t>
      </w:r>
      <m:oMath>
        <m:r>
          <m:t>β</m:t>
        </m:r>
        <m:r>
          <m:rPr>
            <m:sty m:val="p"/>
          </m:rPr>
          <m:t>=</m:t>
        </m:r>
        <m:r>
          <m:t>0.0002</m:t>
        </m:r>
      </m:oMath>
      <w:r>
        <w:t xml:space="preserve">. One pod sustains</w:t>
      </w:r>
      <w:r>
        <w:t xml:space="preserve"> </w:t>
      </w:r>
      <m:oMath>
        <m:sSub>
          <m:e>
            <m:r>
              <m:t>X</m:t>
            </m:r>
          </m:e>
          <m:sub>
            <m:r>
              <m:t>1</m:t>
            </m:r>
          </m:sub>
        </m:sSub>
        <m:r>
          <m:rPr>
            <m:sty m:val="p"/>
          </m:rPr>
          <m:t>=</m:t>
        </m:r>
        <m:r>
          <m:t>800</m:t>
        </m:r>
      </m:oMath>
      <w:r>
        <w:t xml:space="preserve"> </w:t>
      </w:r>
      <w:r>
        <w:t xml:space="preserve">RPS. The product team wants 15,000 RPS for a national promotion.</w:t>
      </w:r>
    </w:p>
    <w:p>
      <w:pPr>
        <w:numPr>
          <w:ilvl w:val="0"/>
          <w:numId w:val="1604"/>
        </w:numPr>
        <w:pStyle w:val="Compact"/>
      </w:pPr>
      <w:r>
        <w:t xml:space="preserve">Peak concurrency:</w:t>
      </w:r>
      <w:r>
        <w:t xml:space="preserve"> </w:t>
      </w:r>
      <m:oMath>
        <m:sSup>
          <m:e>
            <m:r>
              <m:t>N</m:t>
            </m:r>
          </m:e>
          <m:sup>
            <m:r>
              <m:rPr>
                <m:sty m:val="p"/>
              </m:rPr>
              <m:t>*</m:t>
            </m:r>
          </m:sup>
        </m:sSup>
        <m:r>
          <m:rPr>
            <m:sty m:val="p"/>
          </m:rPr>
          <m:t>=</m:t>
        </m:r>
        <m:rad>
          <m:radPr>
            <m:degHide m:val="on"/>
          </m:radPr>
          <m:deg/>
          <m:e>
            <m:d>
              <m:dPr>
                <m:begChr m:val="("/>
                <m:endChr m:val=")"/>
                <m:sepChr m:val=""/>
                <m:grow/>
              </m:dPr>
              <m:e>
                <m:r>
                  <m:t>1</m:t>
                </m:r>
                <m:r>
                  <m:rPr>
                    <m:sty m:val="p"/>
                  </m:rPr>
                  <m:t>−</m:t>
                </m:r>
                <m:r>
                  <m:t>0.03</m:t>
                </m:r>
              </m:e>
            </m:d>
            <m:r>
              <m:rPr>
                <m:sty m:val="p"/>
              </m:rPr>
              <m:t>/</m:t>
            </m:r>
            <m:r>
              <m:t>0.0002</m:t>
            </m:r>
          </m:e>
        </m:rad>
        <m:r>
          <m:rPr>
            <m:sty m:val="p"/>
          </m:rPr>
          <m:t>=</m:t>
        </m:r>
        <m:rad>
          <m:radPr>
            <m:degHide m:val="on"/>
          </m:radPr>
          <m:deg/>
          <m:e>
            <m:r>
              <m:t>4</m:t>
            </m:r>
            <m:r>
              <m:rPr>
                <m:sty m:val="p"/>
              </m:rPr>
              <m:t>,</m:t>
            </m:r>
            <m:r>
              <m:t>850</m:t>
            </m:r>
          </m:e>
        </m:rad>
        <m:r>
          <m:rPr>
            <m:sty m:val="p"/>
          </m:rPr>
          <m:t>=</m:t>
        </m:r>
        <m:r>
          <m:t>69.6</m:t>
        </m:r>
      </m:oMath>
      <w:r>
        <w:t xml:space="preserve"> </w:t>
      </w:r>
      <w:r>
        <w:t xml:space="preserve">pods.</w:t>
      </w:r>
    </w:p>
    <w:p>
      <w:pPr>
        <w:numPr>
          <w:ilvl w:val="0"/>
          <w:numId w:val="1604"/>
        </w:numPr>
        <w:pStyle w:val="Compact"/>
      </w:pPr>
      <w:r>
        <w:t xml:space="preserve">Maximum throughput:</w:t>
      </w:r>
      <w:r>
        <w:t xml:space="preserve"> </w:t>
      </w:r>
      <m:oMath>
        <m:r>
          <m:t>C</m:t>
        </m:r>
        <m:d>
          <m:dPr>
            <m:begChr m:val="("/>
            <m:endChr m:val=")"/>
            <m:sepChr m:val=""/>
            <m:grow/>
          </m:dPr>
          <m:e>
            <m:r>
              <m:t>70</m:t>
            </m:r>
          </m:e>
        </m:d>
        <m:r>
          <m:rPr>
            <m:sty m:val="p"/>
          </m:rPr>
          <m:t>=</m:t>
        </m:r>
        <m:r>
          <m:t>70</m:t>
        </m:r>
        <m:r>
          <m:rPr>
            <m:sty m:val="p"/>
          </m:rPr>
          <m:t>/</m:t>
        </m:r>
        <m:d>
          <m:dPr>
            <m:begChr m:val="("/>
            <m:endChr m:val=")"/>
            <m:sepChr m:val=""/>
            <m:grow/>
          </m:dPr>
          <m:e>
            <m:r>
              <m:t>1</m:t>
            </m:r>
            <m:r>
              <m:rPr>
                <m:sty m:val="p"/>
              </m:rPr>
              <m:t>+</m:t>
            </m:r>
            <m:r>
              <m:t>0.03</m:t>
            </m:r>
            <m:r>
              <m:rPr>
                <m:sty m:val="p"/>
              </m:rPr>
              <m:t>×</m:t>
            </m:r>
            <m:r>
              <m:t>69</m:t>
            </m:r>
            <m:r>
              <m:rPr>
                <m:sty m:val="p"/>
              </m:rPr>
              <m:t>+</m:t>
            </m:r>
            <m:r>
              <m:t>0.0002</m:t>
            </m:r>
            <m:r>
              <m:rPr>
                <m:sty m:val="p"/>
              </m:rPr>
              <m:t>×</m:t>
            </m:r>
            <m:r>
              <m:t>70</m:t>
            </m:r>
            <m:r>
              <m:rPr>
                <m:sty m:val="p"/>
              </m:rPr>
              <m:t>×</m:t>
            </m:r>
            <m:r>
              <m:t>69</m:t>
            </m:r>
          </m:e>
        </m:d>
        <m:r>
          <m:rPr>
            <m:sty m:val="p"/>
          </m:rPr>
          <m:t>=</m:t>
        </m:r>
        <m:r>
          <m:t>70</m:t>
        </m:r>
        <m:r>
          <m:rPr>
            <m:sty m:val="p"/>
          </m:rPr>
          <m:t>/</m:t>
        </m:r>
        <m:d>
          <m:dPr>
            <m:begChr m:val="("/>
            <m:endChr m:val=")"/>
            <m:sepChr m:val=""/>
            <m:grow/>
          </m:dPr>
          <m:e>
            <m:r>
              <m:t>1</m:t>
            </m:r>
            <m:r>
              <m:rPr>
                <m:sty m:val="p"/>
              </m:rPr>
              <m:t>+</m:t>
            </m:r>
            <m:r>
              <m:t>2.07</m:t>
            </m:r>
            <m:r>
              <m:rPr>
                <m:sty m:val="p"/>
              </m:rPr>
              <m:t>+</m:t>
            </m:r>
            <m:r>
              <m:t>0.966</m:t>
            </m:r>
          </m:e>
        </m:d>
        <m:r>
          <m:rPr>
            <m:sty m:val="p"/>
          </m:rPr>
          <m:t>=</m:t>
        </m:r>
        <m:r>
          <m:t>70</m:t>
        </m:r>
        <m:r>
          <m:rPr>
            <m:sty m:val="p"/>
          </m:rPr>
          <m:t>/</m:t>
        </m:r>
        <m:r>
          <m:t>4.036</m:t>
        </m:r>
        <m:r>
          <m:rPr>
            <m:sty m:val="p"/>
          </m:rPr>
          <m:t>=</m:t>
        </m:r>
        <m:r>
          <m:t>17.34</m:t>
        </m:r>
      </m:oMath>
      <w:r>
        <w:t xml:space="preserve">, so</w:t>
      </w:r>
      <w:r>
        <w:t xml:space="preserve"> </w:t>
      </w:r>
      <m:oMath>
        <m:sSub>
          <m:e>
            <m:r>
              <m:t>X</m:t>
            </m:r>
          </m:e>
          <m:sub>
            <m:r>
              <m:t>m</m:t>
            </m:r>
            <m:r>
              <m:t>a</m:t>
            </m:r>
            <m:r>
              <m:t>x</m:t>
            </m:r>
          </m:sub>
        </m:sSub>
        <m:r>
          <m:rPr>
            <m:sty m:val="p"/>
          </m:rPr>
          <m:t>≈</m:t>
        </m:r>
        <m:r>
          <m:t>17.34</m:t>
        </m:r>
        <m:r>
          <m:rPr>
            <m:sty m:val="p"/>
          </m:rPr>
          <m:t>×</m:t>
        </m:r>
        <m:r>
          <m:t>800</m:t>
        </m:r>
        <m:r>
          <m:rPr>
            <m:sty m:val="p"/>
          </m:rPr>
          <m:t>=</m:t>
        </m:r>
        <m:r>
          <m:t>13</m:t>
        </m:r>
        <m:r>
          <m:rPr>
            <m:sty m:val="p"/>
          </m:rPr>
          <m:t>,</m:t>
        </m:r>
        <m:r>
          <m:t>875</m:t>
        </m:r>
      </m:oMath>
      <w:r>
        <w:t xml:space="preserve"> </w:t>
      </w:r>
      <w:r>
        <w:t xml:space="preserve">RPS.</w:t>
      </w:r>
    </w:p>
    <w:p>
      <w:pPr>
        <w:numPr>
          <w:ilvl w:val="0"/>
          <w:numId w:val="1604"/>
        </w:numPr>
        <w:pStyle w:val="Compact"/>
      </w:pPr>
      <w:r>
        <w:t xml:space="preserve">Marginal gain at 40 pods:</w:t>
      </w:r>
      <w:r>
        <w:t xml:space="preserve"> </w:t>
      </w:r>
      <m:oMath>
        <m:r>
          <m:t>C</m:t>
        </m:r>
        <m:d>
          <m:dPr>
            <m:begChr m:val="("/>
            <m:endChr m:val=")"/>
            <m:sepChr m:val=""/>
            <m:grow/>
          </m:dPr>
          <m:e>
            <m:r>
              <m:t>40</m:t>
            </m:r>
          </m:e>
        </m:d>
        <m:r>
          <m:rPr>
            <m:sty m:val="p"/>
          </m:rPr>
          <m:t>=</m:t>
        </m:r>
        <m:r>
          <m:t>16.116</m:t>
        </m:r>
      </m:oMath>
      <w:r>
        <w:t xml:space="preserve"> </w:t>
      </w:r>
      <w:r>
        <w:t xml:space="preserve">and</w:t>
      </w:r>
      <w:r>
        <w:t xml:space="preserve"> </w:t>
      </w:r>
      <m:oMath>
        <m:r>
          <m:t>C</m:t>
        </m:r>
        <m:d>
          <m:dPr>
            <m:begChr m:val="("/>
            <m:endChr m:val=")"/>
            <m:sepChr m:val=""/>
            <m:grow/>
          </m:dPr>
          <m:e>
            <m:r>
              <m:t>39</m:t>
            </m:r>
          </m:e>
        </m:d>
        <m:r>
          <m:rPr>
            <m:sty m:val="p"/>
          </m:rPr>
          <m:t>=</m:t>
        </m:r>
        <m:r>
          <m:t>16.008</m:t>
        </m:r>
      </m:oMath>
      <w:r>
        <w:t xml:space="preserve">, so</w:t>
      </w:r>
      <w:r>
        <w:t xml:space="preserve"> </w:t>
      </w:r>
      <m:oMath>
        <m:r>
          <m:t>Δ</m:t>
        </m:r>
        <m:r>
          <m:t>X</m:t>
        </m:r>
        <m:d>
          <m:dPr>
            <m:begChr m:val="("/>
            <m:endChr m:val=")"/>
            <m:sepChr m:val=""/>
            <m:grow/>
          </m:dPr>
          <m:e>
            <m:r>
              <m:t>40</m:t>
            </m:r>
          </m:e>
        </m:d>
        <m:r>
          <m:rPr>
            <m:sty m:val="p"/>
          </m:rPr>
          <m:t>=</m:t>
        </m:r>
        <m:r>
          <m:t>800</m:t>
        </m:r>
        <m:r>
          <m:rPr>
            <m:sty m:val="p"/>
          </m:rPr>
          <m:t>×</m:t>
        </m:r>
        <m:r>
          <m:t>0.108</m:t>
        </m:r>
        <m:r>
          <m:rPr>
            <m:sty m:val="p"/>
          </m:rPr>
          <m:t>≈</m:t>
        </m:r>
        <m:r>
          <m:t>87</m:t>
        </m:r>
      </m:oMath>
      <w:r>
        <w:t xml:space="preserve"> </w:t>
      </w:r>
      <w:r>
        <w:t xml:space="preserve">RPS, about one-ninth of what the first pod delivered.</w:t>
      </w:r>
    </w:p>
    <w:p>
      <w:pPr>
        <w:numPr>
          <w:ilvl w:val="0"/>
          <w:numId w:val="1604"/>
        </w:numPr>
        <w:pStyle w:val="Compact"/>
      </w:pPr>
      <w:r>
        <w:t xml:space="preserve">Efficiency at 40 pods:</w:t>
      </w:r>
      <w:r>
        <w:t xml:space="preserve"> </w:t>
      </w:r>
      <m:oMath>
        <m:r>
          <m:t>E</m:t>
        </m:r>
        <m:d>
          <m:dPr>
            <m:begChr m:val="("/>
            <m:endChr m:val=")"/>
            <m:sepChr m:val=""/>
            <m:grow/>
          </m:dPr>
          <m:e>
            <m:r>
              <m:t>40</m:t>
            </m:r>
          </m:e>
        </m:d>
        <m:r>
          <m:rPr>
            <m:sty m:val="p"/>
          </m:rPr>
          <m:t>=</m:t>
        </m:r>
        <m:r>
          <m:t>16.116</m:t>
        </m:r>
        <m:r>
          <m:rPr>
            <m:sty m:val="p"/>
          </m:rPr>
          <m:t>/</m:t>
        </m:r>
        <m:r>
          <m:t>40</m:t>
        </m:r>
        <m:r>
          <m:rPr>
            <m:sty m:val="p"/>
          </m:rPr>
          <m:t>=</m:t>
        </m:r>
        <m:r>
          <m:t>0.40</m:t>
        </m:r>
      </m:oMath>
      <w:r>
        <w:t xml:space="preserve">. You pay for 40 pods and get the work of 16.</w:t>
      </w:r>
    </w:p>
    <w:p>
      <w:pPr>
        <w:pStyle w:val="CalloutExample"/>
      </w:pPr>
      <w:r>
        <w:rPr>
          <w:bCs/>
          <w:b/>
        </w:rPr>
        <w:t xml:space="preserve">Interpretation.</w:t>
      </w:r>
      <w:r>
        <w:t xml:space="preserve"> </w:t>
      </w:r>
      <w:r>
        <w:t xml:space="preserve">No number of pods reaches 15,000 RPS; the system peaks at about 13,900 RPS near 70 pods and degrades beyond.</w:t>
      </w:r>
      <w:r>
        <w:t xml:space="preserve"> </w:t>
      </w:r>
      <w:r>
        <w:rPr>
          <w:bCs/>
          <w:b/>
        </w:rPr>
        <w:t xml:space="preserve">Engineering implication.</w:t>
      </w:r>
      <w:r>
        <w:t xml:space="preserve"> </w:t>
      </w:r>
      <w:r>
        <w:t xml:space="preserve">Stop scaling out and remove the shared costs: split the counter into per-shard sub-counters that are summed periodically (§14.10), and replace pod-to-pod invalidation with a TTL or a pub/sub channel (§20.10). Re-test and re-fit; if</w:t>
      </w:r>
      <w:r>
        <w:t xml:space="preserve"> </w:t>
      </w:r>
      <m:oMath>
        <m:r>
          <m:t>α</m:t>
        </m:r>
      </m:oMath>
      <w:r>
        <w:t xml:space="preserve"> </w:t>
      </w:r>
      <w:r>
        <w:t xml:space="preserve">falls to 0.005 and</w:t>
      </w:r>
      <w:r>
        <w:t xml:space="preserve"> </w:t>
      </w:r>
      <m:oMath>
        <m:r>
          <m:t>β</m:t>
        </m:r>
      </m:oMath>
      <w:r>
        <w:t xml:space="preserve"> </w:t>
      </w:r>
      <w:r>
        <w:t xml:space="preserve">to 0.00001,</w:t>
      </w:r>
      <w:r>
        <w:t xml:space="preserve"> </w:t>
      </w:r>
      <m:oMath>
        <m:sSup>
          <m:e>
            <m:r>
              <m:t>N</m:t>
            </m:r>
          </m:e>
          <m:sup>
            <m:r>
              <m:rPr>
                <m:sty m:val="p"/>
              </m:rPr>
              <m:t>*</m:t>
            </m:r>
          </m:sup>
        </m:sSup>
      </m:oMath>
      <w:r>
        <w:t xml:space="preserve"> </w:t>
      </w:r>
      <w:r>
        <w:t xml:space="preserve">rises to about 315 pods.</w:t>
      </w:r>
    </w:p>
    <w:p>
      <w:pPr>
        <w:pStyle w:val="CalloutWarning"/>
      </w:pPr>
      <w:r>
        <w:rPr>
          <w:bCs/>
          <w:b/>
        </w:rPr>
        <w:t xml:space="preserve">WARNING / TRADE-OFF</w:t>
      </w:r>
    </w:p>
    <w:p>
      <w:pPr>
        <w:pStyle w:val="CalloutWarning"/>
      </w:pPr>
      <w:r>
        <w:rPr>
          <w:bCs/>
          <w:b/>
        </w:rPr>
        <w:t xml:space="preserve">The autoscaler cannot see the knee.</w:t>
      </w:r>
      <w:r>
        <w:t xml:space="preserve"> </w:t>
      </w:r>
      <w:r>
        <w:t xml:space="preserve">A CPU-based autoscaler adds pods whenever pods are busy. Past</w:t>
      </w:r>
      <w:r>
        <w:t xml:space="preserve"> </w:t>
      </w:r>
      <m:oMath>
        <m:sSup>
          <m:e>
            <m:r>
              <m:t>N</m:t>
            </m:r>
          </m:e>
          <m:sup>
            <m:r>
              <m:rPr>
                <m:sty m:val="p"/>
              </m:rPr>
              <m:t>*</m:t>
            </m:r>
          </m:sup>
        </m:sSup>
      </m:oMath>
      <w:r>
        <w:t xml:space="preserve">, extra pods add contention, latency rises, pods stay busy, and the autoscaler adds still more. Cap</w:t>
      </w:r>
      <w:r>
        <w:t xml:space="preserve"> </w:t>
      </w:r>
      <w:r>
        <w:rPr>
          <w:rStyle w:val="VerbatimChar"/>
        </w:rPr>
        <w:t xml:space="preserve">maxReplicas</w:t>
      </w:r>
      <w:r>
        <w:t xml:space="preserve"> </w:t>
      </w:r>
      <w:r>
        <w:t xml:space="preserve">below the measured knee and alert when the cap is reached.</w:t>
      </w:r>
    </w:p>
    <w:p>
      <w:pPr>
        <w:pStyle w:val="CalloutMistake"/>
      </w:pPr>
      <w:r>
        <w:rPr>
          <w:bCs/>
          <w:b/>
        </w:rPr>
        <w:t xml:space="preserve">COMMON MISTAKE</w:t>
      </w:r>
    </w:p>
    <w:p>
      <w:pPr>
        <w:pStyle w:val="CalloutMistake"/>
      </w:pPr>
      <w:r>
        <w:rPr>
          <w:bCs/>
          <w:b/>
        </w:rPr>
        <w:t xml:space="preserve">“</w:t>
      </w:r>
      <w:r>
        <w:rPr>
          <w:bCs/>
          <w:b/>
        </w:rPr>
        <w:t xml:space="preserve">Low utilization everywhere means we can scale.</w:t>
      </w:r>
      <w:r>
        <w:rPr>
          <w:bCs/>
          <w:b/>
        </w:rPr>
        <w:t xml:space="preserve">”</w:t>
      </w:r>
      <w:r>
        <w:t xml:space="preserve"> </w:t>
      </w:r>
      <w:r>
        <w:t xml:space="preserve">If latency rises with load while every hardware dashboard is calm, the bottleneck is a software resource: a lock, a pool or a single-threaded component (§2.6).</w:t>
      </w:r>
    </w:p>
    <w:bookmarkEnd w:id="2087"/>
    <w:bookmarkEnd w:id="2088"/>
    <w:bookmarkEnd w:id="2089"/>
    <w:bookmarkStart w:id="2103" w:name="scaling-application-servers"/>
    <w:p>
      <w:pPr>
        <w:pStyle w:val="Heading2"/>
      </w:pPr>
      <w:r>
        <w:t xml:space="preserve">18.8 Scaling application servers</w:t>
      </w:r>
    </w:p>
    <w:bookmarkStart w:id="2090" w:name="preconditions"/>
    <w:p>
      <w:pPr>
        <w:pStyle w:val="Heading3"/>
      </w:pPr>
      <w:r>
        <w:t xml:space="preserve">18.8.1 Preconditions</w:t>
      </w:r>
    </w:p>
    <w:p>
      <w:pPr>
        <w:pStyle w:val="FirstParagraph"/>
      </w:pPr>
      <w:r>
        <w:t xml:space="preserve">A stateless application tier scales out only if four things are true:</w:t>
      </w:r>
    </w:p>
    <w:p>
      <w:pPr>
        <w:numPr>
          <w:ilvl w:val="0"/>
          <w:numId w:val="1605"/>
        </w:numPr>
        <w:pStyle w:val="Compact"/>
      </w:pPr>
      <w:r>
        <w:rPr>
          <w:bCs/>
          <w:b/>
        </w:rPr>
        <w:t xml:space="preserve">Instances are disposable</w:t>
      </w:r>
      <w:r>
        <w:t xml:space="preserve">: built from an immutable image, configured from the environment, holding no state (§18.5).</w:t>
      </w:r>
    </w:p>
    <w:p>
      <w:pPr>
        <w:numPr>
          <w:ilvl w:val="0"/>
          <w:numId w:val="1605"/>
        </w:numPr>
        <w:pStyle w:val="Compact"/>
      </w:pPr>
      <w:r>
        <w:rPr>
          <w:bCs/>
          <w:b/>
        </w:rPr>
        <w:t xml:space="preserve">Readiness is explicit.</w:t>
      </w:r>
      <w:r>
        <w:t xml:space="preserve"> </w:t>
      </w:r>
      <w:r>
        <w:t xml:space="preserve">A</w:t>
      </w:r>
      <w:r>
        <w:t xml:space="preserve"> </w:t>
      </w:r>
      <w:r>
        <w:rPr>
          <w:bCs/>
          <w:b/>
        </w:rPr>
        <w:t xml:space="preserve">readiness probe</w:t>
      </w:r>
      <w:r>
        <w:t xml:space="preserve"> </w:t>
      </w:r>
      <w:r>
        <w:t xml:space="preserve">tells the load balancer when a new instance can take traffic, separately from a</w:t>
      </w:r>
      <w:r>
        <w:t xml:space="preserve"> </w:t>
      </w:r>
      <w:r>
        <w:rPr>
          <w:bCs/>
          <w:b/>
        </w:rPr>
        <w:t xml:space="preserve">liveness probe</w:t>
      </w:r>
      <w:r>
        <w:t xml:space="preserve"> </w:t>
      </w:r>
      <w:r>
        <w:t xml:space="preserve">that says whether it should be restarted.</w:t>
      </w:r>
    </w:p>
    <w:p>
      <w:pPr>
        <w:numPr>
          <w:ilvl w:val="0"/>
          <w:numId w:val="1605"/>
        </w:numPr>
        <w:pStyle w:val="Compact"/>
      </w:pPr>
      <w:r>
        <w:rPr>
          <w:bCs/>
          <w:b/>
        </w:rPr>
        <w:t xml:space="preserve">Shutdown is graceful.</w:t>
      </w:r>
      <w:r>
        <w:t xml:space="preserve"> </w:t>
      </w:r>
      <w:r>
        <w:t xml:space="preserve">On a termination signal the instance stops accepting new requests, finishes in-flight ones within a deadline (</w:t>
      </w:r>
      <w:r>
        <w:rPr>
          <w:bCs/>
          <w:b/>
        </w:rPr>
        <w:t xml:space="preserve">connection draining</w:t>
      </w:r>
      <w:r>
        <w:t xml:space="preserve">), closes pools and exits.</w:t>
      </w:r>
    </w:p>
    <w:p>
      <w:pPr>
        <w:numPr>
          <w:ilvl w:val="0"/>
          <w:numId w:val="1605"/>
        </w:numPr>
        <w:pStyle w:val="Compact"/>
      </w:pPr>
      <w:r>
        <w:rPr>
          <w:bCs/>
          <w:b/>
        </w:rPr>
        <w:t xml:space="preserve">Dependencies can take the extra load.</w:t>
      </w:r>
      <w:r>
        <w:t xml:space="preserve"> </w:t>
      </w:r>
      <w:r>
        <w:t xml:space="preserve">Each new instance opens connections and sends queries to shared tiers (§18.8.5).</w:t>
      </w:r>
    </w:p>
    <w:bookmarkEnd w:id="2090"/>
    <w:bookmarkStart w:id="2091" w:name="autoscaling-and-its-signals"/>
    <w:p>
      <w:pPr>
        <w:pStyle w:val="Heading3"/>
      </w:pPr>
      <w:r>
        <w:t xml:space="preserve">18.8.2 Autoscaling and its signals</w:t>
      </w:r>
    </w:p>
    <w:p>
      <w:pPr>
        <w:pStyle w:val="CalloutDefinition"/>
      </w:pPr>
      <w:r>
        <w:rPr>
          <w:bCs/>
          <w:b/>
        </w:rPr>
        <w:t xml:space="preserve">DEFINITION</w:t>
      </w:r>
    </w:p>
    <w:p>
      <w:pPr>
        <w:pStyle w:val="CalloutDefinition"/>
      </w:pPr>
      <w:r>
        <w:rPr>
          <w:bCs/>
          <w:b/>
        </w:rPr>
        <w:t xml:space="preserve">Definition — Autoscaling.</w:t>
      </w:r>
      <w:r>
        <w:t xml:space="preserve"> </w:t>
      </w:r>
      <w:r>
        <w:t xml:space="preserve">Automatically changing the number of instances of a service in response to a measured or forecast signal, within configured minimum and maximum bounds.</w:t>
      </w:r>
      <w:r>
        <w:t xml:space="preserve"> </w:t>
      </w:r>
      <w:r>
        <w:rPr>
          <w:bCs/>
          <w:b/>
        </w:rPr>
        <w:t xml:space="preserve">Reactive</w:t>
      </w:r>
      <w:r>
        <w:t xml:space="preserve"> </w:t>
      </w:r>
      <w:r>
        <w:t xml:space="preserve">autoscaling responds to current metrics;</w:t>
      </w:r>
      <w:r>
        <w:t xml:space="preserve"> </w:t>
      </w:r>
      <w:r>
        <w:rPr>
          <w:bCs/>
          <w:b/>
        </w:rPr>
        <w:t xml:space="preserve">scheduled</w:t>
      </w:r>
      <w:r>
        <w:t xml:space="preserve"> </w:t>
      </w:r>
      <w:r>
        <w:t xml:space="preserve">autoscaling follows a calendar;</w:t>
      </w:r>
      <w:r>
        <w:t xml:space="preserve"> </w:t>
      </w:r>
      <w:r>
        <w:rPr>
          <w:bCs/>
          <w:b/>
        </w:rPr>
        <w:t xml:space="preserve">predictive</w:t>
      </w:r>
      <w:r>
        <w:t xml:space="preserve"> </w:t>
      </w:r>
      <w:r>
        <w:t xml:space="preserve">autoscaling acts on a forecast.</w:t>
      </w:r>
    </w:p>
    <w:p>
      <w:pPr>
        <w:pStyle w:val="BodyText"/>
      </w:pPr>
      <w:r>
        <w:t xml:space="preserve">A thermostat is the right analogy: it measures the room, compares it with a set point and switches the heating on or off. Like a thermostat, an autoscaler reacts</w:t>
      </w:r>
      <w:r>
        <w:t xml:space="preserve"> </w:t>
      </w:r>
      <w:r>
        <w:rPr>
          <w:iCs/>
          <w:i/>
        </w:rPr>
        <w:t xml:space="preserve">after</w:t>
      </w:r>
      <w:r>
        <w:t xml:space="preserve"> </w:t>
      </w:r>
      <w:r>
        <w:t xml:space="preserve">the temperature changes and the heater takes time to warm up, so the set point must leave room for that delay.</w:t>
      </w:r>
    </w:p>
    <w:p>
      <w:pPr>
        <w:pStyle w:val="BodyText"/>
      </w:pPr>
      <w:r>
        <w:rPr>
          <w:bCs/>
          <w:b/>
        </w:rPr>
        <w:t xml:space="preserve">Table 18.6 — Autoscaling signals.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Signal</w:t>
            </w:r>
          </w:p>
        </w:tc>
        <w:tc>
          <w:tcPr/>
          <w:p>
            <w:pPr>
              <w:pStyle w:val="Compact"/>
              <w:jc w:val="left"/>
            </w:pPr>
            <w:r>
              <w:t xml:space="preserve">Good for</w:t>
            </w:r>
          </w:p>
        </w:tc>
        <w:tc>
          <w:tcPr/>
          <w:p>
            <w:pPr>
              <w:pStyle w:val="Compact"/>
              <w:jc w:val="left"/>
            </w:pPr>
            <w:r>
              <w:t xml:space="preserve">Weakness</w:t>
            </w:r>
          </w:p>
        </w:tc>
      </w:tr>
      <w:tr>
        <w:tc>
          <w:tcPr/>
          <w:p>
            <w:pPr>
              <w:pStyle w:val="Compact"/>
              <w:jc w:val="left"/>
            </w:pPr>
            <w:r>
              <w:t xml:space="preserve">CPU utilization</w:t>
            </w:r>
          </w:p>
        </w:tc>
        <w:tc>
          <w:tcPr/>
          <w:p>
            <w:pPr>
              <w:pStyle w:val="Compact"/>
              <w:jc w:val="left"/>
            </w:pPr>
            <w:r>
              <w:t xml:space="preserve">CPU-bound stateless services</w:t>
            </w:r>
          </w:p>
        </w:tc>
        <w:tc>
          <w:tcPr/>
          <w:p>
            <w:pPr>
              <w:pStyle w:val="Compact"/>
              <w:jc w:val="left"/>
            </w:pPr>
            <w:r>
              <w:t xml:space="preserve">Misses I/O-bound services whose threads wait idle; noisy</w:t>
            </w:r>
          </w:p>
        </w:tc>
      </w:tr>
      <w:tr>
        <w:tc>
          <w:tcPr/>
          <w:p>
            <w:pPr>
              <w:pStyle w:val="Compact"/>
              <w:jc w:val="left"/>
            </w:pPr>
            <w:r>
              <w:t xml:space="preserve">Requests per second per instance</w:t>
            </w:r>
          </w:p>
        </w:tc>
        <w:tc>
          <w:tcPr/>
          <w:p>
            <w:pPr>
              <w:pStyle w:val="Compact"/>
              <w:jc w:val="left"/>
            </w:pPr>
            <w:r>
              <w:t xml:space="preserve">Uniform request cost; needs a measured per-instance capacity</w:t>
            </w:r>
          </w:p>
        </w:tc>
        <w:tc>
          <w:tcPr/>
          <w:p>
            <w:pPr>
              <w:pStyle w:val="Compact"/>
              <w:jc w:val="left"/>
            </w:pPr>
            <w:r>
              <w:t xml:space="preserve">Breaks when the request mix changes</w:t>
            </w:r>
          </w:p>
        </w:tc>
      </w:tr>
      <w:tr>
        <w:tc>
          <w:tcPr/>
          <w:p>
            <w:pPr>
              <w:pStyle w:val="Compact"/>
              <w:jc w:val="left"/>
            </w:pPr>
            <w:r>
              <w:t xml:space="preserve">In-flight requests (concurrency)</w:t>
            </w:r>
          </w:p>
        </w:tc>
        <w:tc>
          <w:tcPr/>
          <w:p>
            <w:pPr>
              <w:pStyle w:val="Compact"/>
              <w:jc w:val="left"/>
            </w:pPr>
            <w:r>
              <w:t xml:space="preserve">I/O-bound services; follows Little’s Law (</w:t>
            </w:r>
            <m:oMath>
              <m:r>
                <m:t>L</m:t>
              </m:r>
              <m:r>
                <m:rPr>
                  <m:sty m:val="p"/>
                </m:rPr>
                <m:t>=</m:t>
              </m:r>
              <m:r>
                <m:t>λ</m:t>
              </m:r>
              <m:r>
                <m:t>W</m:t>
              </m:r>
            </m:oMath>
            <w:r>
              <w:t xml:space="preserve">)</w:t>
            </w:r>
          </w:p>
        </w:tc>
        <w:tc>
          <w:tcPr/>
          <w:p>
            <w:pPr>
              <w:pStyle w:val="Compact"/>
              <w:jc w:val="left"/>
            </w:pPr>
            <w:r>
              <w:t xml:space="preserve">Rises when a dependency slows, which more instances may not fix</w:t>
            </w:r>
          </w:p>
        </w:tc>
      </w:tr>
      <w:tr>
        <w:tc>
          <w:tcPr/>
          <w:p>
            <w:pPr>
              <w:pStyle w:val="Compact"/>
              <w:jc w:val="left"/>
            </w:pPr>
            <w:r>
              <w:t xml:space="preserve">Queue depth or consumer lag per worker</w:t>
            </w:r>
          </w:p>
        </w:tc>
        <w:tc>
          <w:tcPr/>
          <w:p>
            <w:pPr>
              <w:pStyle w:val="Compact"/>
              <w:jc w:val="left"/>
            </w:pPr>
            <w:r>
              <w:t xml:space="preserve">Asynchronous workers (Chapter 30)</w:t>
            </w:r>
          </w:p>
        </w:tc>
        <w:tc>
          <w:tcPr/>
          <w:p>
            <w:pPr>
              <w:pStyle w:val="Compact"/>
              <w:jc w:val="left"/>
            </w:pPr>
            <w:r>
              <w:t xml:space="preserve">Needs a target derived from the latency objective</w:t>
            </w:r>
          </w:p>
        </w:tc>
      </w:tr>
      <w:tr>
        <w:tc>
          <w:tcPr/>
          <w:p>
            <w:pPr>
              <w:pStyle w:val="Compact"/>
              <w:jc w:val="left"/>
            </w:pPr>
            <w:r>
              <w:t xml:space="preserve">Latency (p95, p99)</w:t>
            </w:r>
          </w:p>
        </w:tc>
        <w:tc>
          <w:tcPr/>
          <w:p>
            <w:pPr>
              <w:pStyle w:val="Compact"/>
              <w:jc w:val="left"/>
            </w:pPr>
            <w:r>
              <w:t xml:space="preserve">Guard rail and alerting</w:t>
            </w:r>
          </w:p>
        </w:tc>
        <w:tc>
          <w:tcPr/>
          <w:p>
            <w:pPr>
              <w:pStyle w:val="Compact"/>
              <w:jc w:val="left"/>
            </w:pPr>
            <w:r>
              <w:t xml:space="preserve">Lagging, nonlinear, and caused by dependencies as often as by load</w:t>
            </w:r>
          </w:p>
        </w:tc>
      </w:tr>
      <w:tr>
        <w:tc>
          <w:tcPr/>
          <w:p>
            <w:pPr>
              <w:pStyle w:val="Compact"/>
              <w:jc w:val="left"/>
            </w:pPr>
            <w:r>
              <w:t xml:space="preserve">Schedule</w:t>
            </w:r>
          </w:p>
        </w:tc>
        <w:tc>
          <w:tcPr/>
          <w:p>
            <w:pPr>
              <w:pStyle w:val="Compact"/>
              <w:jc w:val="left"/>
            </w:pPr>
            <w:r>
              <w:t xml:space="preserve">Known daily or weekly peaks</w:t>
            </w:r>
          </w:p>
        </w:tc>
        <w:tc>
          <w:tcPr/>
          <w:p>
            <w:pPr>
              <w:pStyle w:val="Compact"/>
              <w:jc w:val="left"/>
            </w:pPr>
            <w:r>
              <w:t xml:space="preserve">Misses surprises</w:t>
            </w:r>
          </w:p>
        </w:tc>
      </w:tr>
      <w:tr>
        <w:tc>
          <w:tcPr/>
          <w:p>
            <w:pPr>
              <w:pStyle w:val="Compact"/>
              <w:jc w:val="left"/>
            </w:pPr>
            <w:r>
              <w:t xml:space="preserve">Forecast</w:t>
            </w:r>
          </w:p>
        </w:tc>
        <w:tc>
          <w:tcPr/>
          <w:p>
            <w:pPr>
              <w:pStyle w:val="Compact"/>
              <w:jc w:val="left"/>
            </w:pPr>
            <w:r>
              <w:t xml:space="preserve">Ramps faster than reaction time</w:t>
            </w:r>
          </w:p>
        </w:tc>
        <w:tc>
          <w:tcPr/>
          <w:p>
            <w:pPr>
              <w:pStyle w:val="Compact"/>
              <w:jc w:val="left"/>
            </w:pPr>
            <w:r>
              <w:t xml:space="preserve">Wrong when the forecast is wrong</w:t>
            </w:r>
          </w:p>
        </w:tc>
      </w:tr>
    </w:tbl>
    <w:p>
      <w:pPr>
        <w:pStyle w:val="BodyText"/>
      </w:pPr>
      <w:r>
        <w:t xml:space="preserve">The best primary signal is one that is</w:t>
      </w:r>
      <w:r>
        <w:t xml:space="preserve"> </w:t>
      </w:r>
      <w:r>
        <w:rPr>
          <w:bCs/>
          <w:b/>
        </w:rPr>
        <w:t xml:space="preserve">proportional to load and inversely proportional to instance count</w:t>
      </w:r>
      <w:r>
        <w:t xml:space="preserve">: doubling the instances should halve it. CPU and per-instance request rate usually qualify; latency usually does not.</w:t>
      </w:r>
    </w:p>
    <w:bookmarkEnd w:id="2091"/>
    <w:bookmarkStart w:id="2096" w:name="target-tracking"/>
    <w:p>
      <w:pPr>
        <w:pStyle w:val="Heading3"/>
      </w:pPr>
      <w:r>
        <w:t xml:space="preserve">18.8.3 Target tracking</w:t>
      </w:r>
    </w:p>
    <w:p>
      <w:pPr>
        <w:pStyle w:val="FirstParagraph"/>
      </w:pPr>
      <w:r>
        <w:rPr>
          <w:bCs/>
          <w:b/>
        </w:rPr>
        <w:t xml:space="preserve">Target tracking</w:t>
      </w:r>
      <w:r>
        <w:t xml:space="preserve"> </w:t>
      </w:r>
      <w:r>
        <w:t xml:space="preserve">keeps a per-instance metric near a set point by resizing the fleet in proportion to the error. It is the algorithm of the Kubernetes Horizontal Pod Autoscaler (HPA) and of AWS target-tracking policies [Kubernetes Docs: HPA], [AWS Docs: EC2 Auto Scaling].</w:t>
      </w:r>
    </w:p>
    <w:p>
      <w:pPr>
        <w:pStyle w:val="CalloutFormula"/>
      </w:pPr>
      <w:r>
        <w:rPr>
          <w:bCs/>
          <w:b/>
        </w:rPr>
        <w:t xml:space="preserve">FORMULA</w:t>
      </w:r>
    </w:p>
    <w:p>
      <w:pPr>
        <w:pStyle w:val="CalloutFormula"/>
      </w:pPr>
      <w:r>
        <w:rPr>
          <w:bCs/>
          <w:b/>
        </w:rPr>
        <w:t xml:space="preserve">Target-tracking replica count (Kubernetes HPA)</w:t>
      </w:r>
    </w:p>
    <w:p>
      <w:pPr>
        <w:pStyle w:val="CalloutFormula"/>
      </w:pPr>
      <m:oMathPara>
        <m:oMathParaPr>
          <m:jc m:val="center"/>
        </m:oMathParaPr>
        <m:oMath>
          <m:sSub>
            <m:e>
              <m:r>
                <m:t>n</m:t>
              </m:r>
            </m:e>
            <m:sub>
              <m:r>
                <m:t>d</m:t>
              </m:r>
              <m:r>
                <m:t>e</m:t>
              </m:r>
              <m:r>
                <m:t>s</m:t>
              </m:r>
              <m:r>
                <m:t>i</m:t>
              </m:r>
              <m:r>
                <m:t>r</m:t>
              </m:r>
              <m:r>
                <m:t>e</m:t>
              </m:r>
              <m:r>
                <m:t>d</m:t>
              </m:r>
            </m:sub>
          </m:sSub>
          <m:r>
            <m:rPr>
              <m:sty m:val="p"/>
            </m:rPr>
            <m:t>=</m:t>
          </m:r>
          <m:d>
            <m:dPr>
              <m:begChr m:val="⌈"/>
              <m:endChr m:val="⌉"/>
              <m:sepChr m:val=""/>
              <m:grow/>
            </m:dPr>
            <m:e>
              <m:sSub>
                <m:e>
                  <m:r>
                    <m:t>n</m:t>
                  </m:r>
                </m:e>
                <m:sub>
                  <m:r>
                    <m:t>c</m:t>
                  </m:r>
                  <m:r>
                    <m:t>u</m:t>
                  </m:r>
                  <m:r>
                    <m:t>r</m:t>
                  </m:r>
                  <m:r>
                    <m:t>r</m:t>
                  </m:r>
                  <m:r>
                    <m:t>e</m:t>
                  </m:r>
                  <m:r>
                    <m:t>n</m:t>
                  </m:r>
                  <m:r>
                    <m:t>t</m:t>
                  </m:r>
                </m:sub>
              </m:sSub>
              <m:r>
                <m:rPr>
                  <m:sty m:val="p"/>
                </m:rPr>
                <m:t>×</m:t>
              </m:r>
              <m:f>
                <m:fPr>
                  <m:type m:val="bar"/>
                </m:fPr>
                <m:num>
                  <m:sSub>
                    <m:e>
                      <m:r>
                        <m:t>m</m:t>
                      </m:r>
                    </m:e>
                    <m:sub>
                      <m:r>
                        <m:t>c</m:t>
                      </m:r>
                      <m:r>
                        <m:t>u</m:t>
                      </m:r>
                      <m:r>
                        <m:t>r</m:t>
                      </m:r>
                      <m:r>
                        <m:t>r</m:t>
                      </m:r>
                      <m:r>
                        <m:t>e</m:t>
                      </m:r>
                      <m:r>
                        <m:t>n</m:t>
                      </m:r>
                      <m:r>
                        <m:t>t</m:t>
                      </m:r>
                    </m:sub>
                  </m:sSub>
                </m:num>
                <m:den>
                  <m:sSub>
                    <m:e>
                      <m:r>
                        <m:t>m</m:t>
                      </m:r>
                    </m:e>
                    <m:sub>
                      <m:r>
                        <m:t>t</m:t>
                      </m:r>
                      <m:r>
                        <m:t>a</m:t>
                      </m:r>
                      <m:r>
                        <m:t>r</m:t>
                      </m:r>
                      <m:r>
                        <m:t>g</m:t>
                      </m:r>
                      <m:r>
                        <m:t>e</m:t>
                      </m:r>
                      <m:r>
                        <m:t>t</m:t>
                      </m:r>
                    </m:sub>
                  </m:sSub>
                </m:den>
              </m:f>
            </m:e>
          </m:d>
          <m:r>
            <m:t> </m:t>
          </m:r>
          <m:r>
            <m:rPr>
              <m:nor/>
              <m:sty m:val="p"/>
            </m:rPr>
            <m:t>if </m:t>
          </m:r>
          <m:d>
            <m:dPr>
              <m:begChr m:val="|"/>
              <m:endChr m:val="|"/>
              <m:sepChr m:val=""/>
              <m:grow/>
            </m:dPr>
            <m:e>
              <m:f>
                <m:fPr>
                  <m:type m:val="bar"/>
                </m:fPr>
                <m:num>
                  <m:sSub>
                    <m:e>
                      <m:r>
                        <m:t>m</m:t>
                      </m:r>
                    </m:e>
                    <m:sub>
                      <m:r>
                        <m:t>c</m:t>
                      </m:r>
                      <m:r>
                        <m:t>u</m:t>
                      </m:r>
                      <m:r>
                        <m:t>r</m:t>
                      </m:r>
                      <m:r>
                        <m:t>r</m:t>
                      </m:r>
                      <m:r>
                        <m:t>e</m:t>
                      </m:r>
                      <m:r>
                        <m:t>n</m:t>
                      </m:r>
                      <m:r>
                        <m:t>t</m:t>
                      </m:r>
                    </m:sub>
                  </m:sSub>
                </m:num>
                <m:den>
                  <m:sSub>
                    <m:e>
                      <m:r>
                        <m:t>m</m:t>
                      </m:r>
                    </m:e>
                    <m:sub>
                      <m:r>
                        <m:t>t</m:t>
                      </m:r>
                      <m:r>
                        <m:t>a</m:t>
                      </m:r>
                      <m:r>
                        <m:t>r</m:t>
                      </m:r>
                      <m:r>
                        <m:t>g</m:t>
                      </m:r>
                      <m:r>
                        <m:t>e</m:t>
                      </m:r>
                      <m:r>
                        <m:t>t</m:t>
                      </m:r>
                    </m:sub>
                  </m:sSub>
                </m:den>
              </m:f>
              <m:r>
                <m:rPr>
                  <m:sty m:val="p"/>
                </m:rPr>
                <m:t>−</m:t>
              </m:r>
              <m:r>
                <m:t>1</m:t>
              </m:r>
            </m:e>
          </m:d>
          <m:r>
            <m:rPr>
              <m:sty m:val="p"/>
            </m:rPr>
            <m:t>&gt;</m:t>
          </m:r>
          <m:r>
            <m:t>τ</m:t>
          </m:r>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n</m:t>
                  </m:r>
                </m:e>
                <m:sub>
                  <m:r>
                    <m:t>c</m:t>
                  </m:r>
                  <m:r>
                    <m:t>u</m:t>
                  </m:r>
                  <m:r>
                    <m:t>r</m:t>
                  </m:r>
                  <m:r>
                    <m:t>r</m:t>
                  </m:r>
                  <m:r>
                    <m:t>e</m:t>
                  </m:r>
                  <m:r>
                    <m:t>n</m:t>
                  </m:r>
                  <m:r>
                    <m:t>t</m:t>
                  </m:r>
                </m:sub>
              </m:sSub>
            </m:oMath>
          </w:p>
        </w:tc>
        <w:tc>
          <w:tcPr/>
          <w:p>
            <w:pPr>
              <w:pStyle w:val="Compact"/>
              <w:jc w:val="left"/>
            </w:pPr>
            <w:r>
              <w:t xml:space="preserve">Current number of replicas</w:t>
            </w:r>
          </w:p>
        </w:tc>
        <w:tc>
          <w:tcPr/>
          <w:p>
            <w:pPr>
              <w:pStyle w:val="Compact"/>
              <w:jc w:val="left"/>
            </w:pPr>
            <w:r>
              <w:t xml:space="preserve">pods</w:t>
            </w:r>
          </w:p>
        </w:tc>
      </w:tr>
      <w:tr>
        <w:tc>
          <w:tcPr/>
          <w:p>
            <w:pPr>
              <w:pStyle w:val="Compact"/>
              <w:jc w:val="left"/>
            </w:pPr>
            <m:oMath>
              <m:sSub>
                <m:e>
                  <m:r>
                    <m:t>n</m:t>
                  </m:r>
                </m:e>
                <m:sub>
                  <m:r>
                    <m:t>d</m:t>
                  </m:r>
                  <m:r>
                    <m:t>e</m:t>
                  </m:r>
                  <m:r>
                    <m:t>s</m:t>
                  </m:r>
                  <m:r>
                    <m:t>i</m:t>
                  </m:r>
                  <m:r>
                    <m:t>r</m:t>
                  </m:r>
                  <m:r>
                    <m:t>e</m:t>
                  </m:r>
                  <m:r>
                    <m:t>d</m:t>
                  </m:r>
                </m:sub>
              </m:sSub>
            </m:oMath>
          </w:p>
        </w:tc>
        <w:tc>
          <w:tcPr/>
          <w:p>
            <w:pPr>
              <w:pStyle w:val="Compact"/>
              <w:jc w:val="left"/>
            </w:pPr>
            <w:r>
              <w:t xml:space="preserve">Replica count the autoscaler requests, clamped to [min, max]</w:t>
            </w:r>
          </w:p>
        </w:tc>
        <w:tc>
          <w:tcPr/>
          <w:p>
            <w:pPr>
              <w:pStyle w:val="Compact"/>
              <w:jc w:val="left"/>
            </w:pPr>
            <w:r>
              <w:t xml:space="preserve">pods</w:t>
            </w:r>
          </w:p>
        </w:tc>
      </w:tr>
      <w:tr>
        <w:tc>
          <w:tcPr/>
          <w:p>
            <w:pPr>
              <w:pStyle w:val="Compact"/>
              <w:jc w:val="left"/>
            </w:pPr>
            <m:oMath>
              <m:sSub>
                <m:e>
                  <m:r>
                    <m:t>m</m:t>
                  </m:r>
                </m:e>
                <m:sub>
                  <m:r>
                    <m:t>c</m:t>
                  </m:r>
                  <m:r>
                    <m:t>u</m:t>
                  </m:r>
                  <m:r>
                    <m:t>r</m:t>
                  </m:r>
                  <m:r>
                    <m:t>r</m:t>
                  </m:r>
                  <m:r>
                    <m:t>e</m:t>
                  </m:r>
                  <m:r>
                    <m:t>n</m:t>
                  </m:r>
                  <m:r>
                    <m:t>t</m:t>
                  </m:r>
                </m:sub>
              </m:sSub>
            </m:oMath>
          </w:p>
        </w:tc>
        <w:tc>
          <w:tcPr/>
          <w:p>
            <w:pPr>
              <w:pStyle w:val="Compact"/>
              <w:jc w:val="left"/>
            </w:pPr>
            <w:r>
              <w:t xml:space="preserve">Current per-replica metric, averaged over replicas</w:t>
            </w:r>
          </w:p>
        </w:tc>
        <w:tc>
          <w:tcPr/>
          <w:p>
            <w:pPr>
              <w:pStyle w:val="Compact"/>
              <w:jc w:val="left"/>
            </w:pPr>
            <w:r>
              <w:t xml:space="preserve">metric units (e.g. % CPU, RPS)</w:t>
            </w:r>
          </w:p>
        </w:tc>
      </w:tr>
      <w:tr>
        <w:tc>
          <w:tcPr/>
          <w:p>
            <w:pPr>
              <w:pStyle w:val="Compact"/>
              <w:jc w:val="left"/>
            </w:pPr>
            <m:oMath>
              <m:sSub>
                <m:e>
                  <m:r>
                    <m:t>m</m:t>
                  </m:r>
                </m:e>
                <m:sub>
                  <m:r>
                    <m:t>t</m:t>
                  </m:r>
                  <m:r>
                    <m:t>a</m:t>
                  </m:r>
                  <m:r>
                    <m:t>r</m:t>
                  </m:r>
                  <m:r>
                    <m:t>g</m:t>
                  </m:r>
                  <m:r>
                    <m:t>e</m:t>
                  </m:r>
                  <m:r>
                    <m:t>t</m:t>
                  </m:r>
                </m:sub>
              </m:sSub>
            </m:oMath>
          </w:p>
        </w:tc>
        <w:tc>
          <w:tcPr/>
          <w:p>
            <w:pPr>
              <w:pStyle w:val="Compact"/>
              <w:jc w:val="left"/>
            </w:pPr>
            <w:r>
              <w:t xml:space="preserve">Target per-replica metric</w:t>
            </w:r>
          </w:p>
        </w:tc>
        <w:tc>
          <w:tcPr/>
          <w:p>
            <w:pPr>
              <w:pStyle w:val="Compact"/>
              <w:jc w:val="left"/>
            </w:pPr>
            <w:r>
              <w:t xml:space="preserve">same units</w:t>
            </w:r>
          </w:p>
        </w:tc>
      </w:tr>
      <w:tr>
        <w:tc>
          <w:tcPr/>
          <w:p>
            <w:pPr>
              <w:pStyle w:val="Compact"/>
              <w:jc w:val="left"/>
            </w:pPr>
            <m:oMath>
              <m:r>
                <m:t>τ</m:t>
              </m:r>
            </m:oMath>
          </w:p>
        </w:tc>
        <w:tc>
          <w:tcPr/>
          <w:p>
            <w:pPr>
              <w:pStyle w:val="Compact"/>
              <w:jc w:val="left"/>
            </w:pPr>
            <w:r>
              <w:t xml:space="preserve">Tolerance band within which no action is taken (default 0.1 as of 2026)</w:t>
            </w:r>
          </w:p>
        </w:tc>
        <w:tc>
          <w:tcPr/>
          <w:p>
            <w:pPr>
              <w:pStyle w:val="Compact"/>
              <w:jc w:val="left"/>
            </w:pPr>
            <w:r>
              <w:t xml:space="preserve">dimensionless</w:t>
            </w:r>
          </w:p>
        </w:tc>
      </w:tr>
    </w:tbl>
    <w:p>
      <w:pPr>
        <w:pStyle w:val="CalloutExample"/>
      </w:pPr>
      <w:r>
        <w:rPr>
          <w:bCs/>
          <w:b/>
        </w:rPr>
        <w:t xml:space="preserve">WORKED EXAMPLE</w:t>
      </w:r>
    </w:p>
    <w:p>
      <w:pPr>
        <w:pStyle w:val="CalloutExample"/>
      </w:pPr>
      <w:r>
        <w:rPr>
          <w:bCs/>
          <w:b/>
        </w:rPr>
        <w:t xml:space="preserve">Worked example — Two HPA decisions for QuickBite.</w:t>
      </w:r>
    </w:p>
    <w:p>
      <w:pPr>
        <w:pStyle w:val="CalloutExample"/>
      </w:pPr>
      <w:r>
        <w:rPr>
          <w:iCs/>
          <w:i/>
        </w:rPr>
        <w:t xml:space="preserve">CPU target.</w:t>
      </w:r>
      <w:r>
        <w:t xml:space="preserve"> </w:t>
      </w:r>
      <w:r>
        <w:t xml:space="preserve">10 replicas average 90% CPU against a 60% target. Ratio</w:t>
      </w:r>
      <w:r>
        <w:t xml:space="preserve"> </w:t>
      </w:r>
      <m:oMath>
        <m:r>
          <m:rPr>
            <m:sty m:val="p"/>
          </m:rPr>
          <m:t>=</m:t>
        </m:r>
        <m:r>
          <m:t>90</m:t>
        </m:r>
        <m:r>
          <m:rPr>
            <m:sty m:val="p"/>
          </m:rPr>
          <m:t>/</m:t>
        </m:r>
        <m:r>
          <m:t>60</m:t>
        </m:r>
        <m:r>
          <m:rPr>
            <m:sty m:val="p"/>
          </m:rPr>
          <m:t>=</m:t>
        </m:r>
        <m:r>
          <m:t>1.5</m:t>
        </m:r>
      </m:oMath>
      <w:r>
        <w:t xml:space="preserve">, outside the ±0.1 band.</w:t>
      </w:r>
      <w:r>
        <w:t xml:space="preserve"> </w:t>
      </w:r>
      <m:oMath>
        <m:sSub>
          <m:e>
            <m:r>
              <m:t>n</m:t>
            </m:r>
          </m:e>
          <m:sub>
            <m:r>
              <m:t>d</m:t>
            </m:r>
            <m:r>
              <m:t>e</m:t>
            </m:r>
            <m:r>
              <m:t>s</m:t>
            </m:r>
            <m:r>
              <m:t>i</m:t>
            </m:r>
            <m:r>
              <m:t>r</m:t>
            </m:r>
            <m:r>
              <m:t>e</m:t>
            </m:r>
            <m:r>
              <m:t>d</m:t>
            </m:r>
          </m:sub>
        </m:sSub>
        <m:r>
          <m:rPr>
            <m:sty m:val="p"/>
          </m:rPr>
          <m:t>=</m:t>
        </m:r>
        <m:r>
          <m:rPr>
            <m:sty m:val="p"/>
          </m:rPr>
          <m:t>⌈</m:t>
        </m:r>
        <m:r>
          <m:t>10</m:t>
        </m:r>
        <m:r>
          <m:rPr>
            <m:sty m:val="p"/>
          </m:rPr>
          <m:t>×</m:t>
        </m:r>
        <m:r>
          <m:t>1.5</m:t>
        </m:r>
        <m:r>
          <m:rPr>
            <m:sty m:val="p"/>
          </m:rPr>
          <m:t>⌉</m:t>
        </m:r>
        <m:r>
          <m:rPr>
            <m:sty m:val="p"/>
          </m:rPr>
          <m:t>=</m:t>
        </m:r>
        <m:r>
          <m:t>15</m:t>
        </m:r>
      </m:oMath>
      <w:r>
        <w:t xml:space="preserve">. After scaling, the same load spread over 15 pods averages</w:t>
      </w:r>
      <w:r>
        <w:t xml:space="preserve"> </w:t>
      </w:r>
      <m:oMath>
        <m:r>
          <m:t>90</m:t>
        </m:r>
        <m:r>
          <m:rPr>
            <m:sty m:val="p"/>
          </m:rPr>
          <m:t>×</m:t>
        </m:r>
        <m:r>
          <m:t>10</m:t>
        </m:r>
        <m:r>
          <m:rPr>
            <m:sty m:val="p"/>
          </m:rPr>
          <m:t>/</m:t>
        </m:r>
        <m:r>
          <m:t>15</m:t>
        </m:r>
        <m:r>
          <m:rPr>
            <m:sty m:val="p"/>
          </m:rPr>
          <m:t>=</m:t>
        </m:r>
        <m:r>
          <m:t>60</m:t>
        </m:r>
        <m:r>
          <m:rPr>
            <m:sty m:val="p"/>
          </m:rPr>
          <m:t>%</m:t>
        </m:r>
      </m:oMath>
      <w:r>
        <w:t xml:space="preserve">, exactly the target.</w:t>
      </w:r>
    </w:p>
    <w:p>
      <w:pPr>
        <w:pStyle w:val="CalloutExample"/>
      </w:pPr>
      <w:r>
        <w:rPr>
          <w:iCs/>
          <w:i/>
        </w:rPr>
        <w:t xml:space="preserve">Request-rate target.</w:t>
      </w:r>
      <w:r>
        <w:t xml:space="preserve"> </w:t>
      </w:r>
      <w:r>
        <w:t xml:space="preserve">14 pods average 650 RPS against a target of 500 RPS per pod (assuming a measured 830 RPS per pod at the p99 objective, so 500 is about 60%). Ratio</w:t>
      </w:r>
      <w:r>
        <w:t xml:space="preserve"> </w:t>
      </w:r>
      <m:oMath>
        <m:r>
          <m:rPr>
            <m:sty m:val="p"/>
          </m:rPr>
          <m:t>=</m:t>
        </m:r>
        <m:r>
          <m:t>1.3</m:t>
        </m:r>
      </m:oMath>
      <w:r>
        <w:t xml:space="preserve">;</w:t>
      </w:r>
      <w:r>
        <w:t xml:space="preserve"> </w:t>
      </w:r>
      <m:oMath>
        <m:sSub>
          <m:e>
            <m:r>
              <m:t>n</m:t>
            </m:r>
          </m:e>
          <m:sub>
            <m:r>
              <m:t>d</m:t>
            </m:r>
            <m:r>
              <m:t>e</m:t>
            </m:r>
            <m:r>
              <m:t>s</m:t>
            </m:r>
            <m:r>
              <m:t>i</m:t>
            </m:r>
            <m:r>
              <m:t>r</m:t>
            </m:r>
            <m:r>
              <m:t>e</m:t>
            </m:r>
            <m:r>
              <m:t>d</m:t>
            </m:r>
          </m:sub>
        </m:sSub>
        <m:r>
          <m:rPr>
            <m:sty m:val="p"/>
          </m:rPr>
          <m:t>=</m:t>
        </m:r>
        <m:r>
          <m:rPr>
            <m:sty m:val="p"/>
          </m:rPr>
          <m:t>⌈</m:t>
        </m:r>
        <m:r>
          <m:t>14</m:t>
        </m:r>
        <m:r>
          <m:rPr>
            <m:sty m:val="p"/>
          </m:rPr>
          <m:t>×</m:t>
        </m:r>
        <m:r>
          <m:t>1.3</m:t>
        </m:r>
        <m:r>
          <m:rPr>
            <m:sty m:val="p"/>
          </m:rPr>
          <m:t>⌉</m:t>
        </m:r>
        <m:r>
          <m:rPr>
            <m:sty m:val="p"/>
          </m:rPr>
          <m:t>=</m:t>
        </m:r>
        <m:r>
          <m:rPr>
            <m:sty m:val="p"/>
          </m:rPr>
          <m:t>⌈</m:t>
        </m:r>
        <m:r>
          <m:t>18.2</m:t>
        </m:r>
        <m:r>
          <m:rPr>
            <m:sty m:val="p"/>
          </m:rPr>
          <m:t>⌉</m:t>
        </m:r>
        <m:r>
          <m:rPr>
            <m:sty m:val="p"/>
          </m:rPr>
          <m:t>=</m:t>
        </m:r>
        <m:r>
          <m:t>19</m:t>
        </m:r>
      </m:oMath>
      <w:r>
        <w:t xml:space="preserve">. If instead they averaged 530 RPS, the ratio 1.06 is inside the band and nothing happens.</w:t>
      </w:r>
    </w:p>
    <w:p>
      <w:pPr>
        <w:pStyle w:val="CalloutExample"/>
      </w:pPr>
      <w:r>
        <w:rPr>
          <w:bCs/>
          <w:b/>
        </w:rPr>
        <w:t xml:space="preserve">Interpretation.</w:t>
      </w:r>
      <w:r>
        <w:t xml:space="preserve"> </w:t>
      </w:r>
      <w:r>
        <w:t xml:space="preserve">The rule is proportional: double the per-pod metric, double the pods. The tolerance stops it reacting to noise.</w:t>
      </w:r>
      <w:r>
        <w:t xml:space="preserve"> </w:t>
      </w:r>
      <w:r>
        <w:rPr>
          <w:bCs/>
          <w:b/>
        </w:rPr>
        <w:t xml:space="preserve">Engineering implication.</w:t>
      </w:r>
      <w:r>
        <w:t xml:space="preserve"> </w:t>
      </w:r>
      <w:r>
        <w:t xml:space="preserve">Choose</w:t>
      </w:r>
      <w:r>
        <w:t xml:space="preserve"> </w:t>
      </w:r>
      <m:oMath>
        <m:sSub>
          <m:e>
            <m:r>
              <m:t>m</m:t>
            </m:r>
          </m:e>
          <m:sub>
            <m:r>
              <m:t>t</m:t>
            </m:r>
            <m:r>
              <m:t>a</m:t>
            </m:r>
            <m:r>
              <m:t>r</m:t>
            </m:r>
            <m:r>
              <m:t>g</m:t>
            </m:r>
            <m:r>
              <m:t>e</m:t>
            </m:r>
            <m:r>
              <m:t>t</m:t>
            </m:r>
          </m:sub>
        </m:sSub>
      </m:oMath>
      <w:r>
        <w:t xml:space="preserve"> </w:t>
      </w:r>
      <w:r>
        <w:t xml:space="preserve">from a load test, not from intuition: it is the per-instance throughput at which latency still meets the objective, times a safety factor for reaction time (next section).</w:t>
      </w:r>
    </w:p>
    <w:p>
      <w:pPr>
        <w:pStyle w:val="BodyText"/>
      </w:pPr>
      <w:r>
        <w:rPr>
          <w:bCs/>
          <w:b/>
        </w:rPr>
        <w:t xml:space="preserve">Figure 18.5 — The autoscaling control loop.</w:t>
      </w:r>
    </w:p>
    <w:p>
      <w:pPr>
        <w:pStyle w:val="BodyText"/>
      </w:pPr>
      <w:r>
        <w:drawing>
          <wp:inline>
            <wp:extent cx="5334000" cy="602414"/>
            <wp:effectExtent b="0" l="0" r="0" t="0"/>
            <wp:docPr descr="" title="" id="2093" name="Picture"/>
            <a:graphic>
              <a:graphicData uri="http://schemas.openxmlformats.org/drawingml/2006/picture">
                <pic:pic>
                  <pic:nvPicPr>
                    <pic:cNvPr descr="/home/user/System-Design/build/.cache/diagrams/a7ac565f94bf.png" id="2094" name="Picture"/>
                    <pic:cNvPicPr>
                      <a:picLocks noChangeArrowheads="1" noChangeAspect="1"/>
                    </pic:cNvPicPr>
                  </pic:nvPicPr>
                  <pic:blipFill>
                    <a:blip r:embed="rId2092"/>
                    <a:stretch>
                      <a:fillRect/>
                    </a:stretch>
                  </pic:blipFill>
                  <pic:spPr bwMode="auto">
                    <a:xfrm>
                      <a:off x="0" y="0"/>
                      <a:ext cx="5334000" cy="602414"/>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Pods report metrics asynchronously (dotted) to a metrics pipeline, the storage boundary for recent samples. The autoscaler reads averages periodically (every 15 s by default in Kubernetes) and sets a new replica count; the deployment controller creates pods and the scheduler places them. If no node has room, a node autoscaler must first create a virtual machine, typically adding one to several minutes. The new pod pulls its image, starts and passes readiness before receiving traffic, often with cold caches. Failure points: stale metrics, image-registry outages, exhausted quotas. The sum of these delays is the</w:t>
      </w:r>
      <w:r>
        <w:t xml:space="preserve"> </w:t>
      </w:r>
      <w:r>
        <w:rPr>
          <w:bCs/>
          <w:b/>
        </w:rPr>
        <w:t xml:space="preserve">reaction time</w:t>
      </w:r>
      <w:r>
        <w:t xml:space="preserve"> </w:t>
      </w:r>
      <w:r>
        <w:t xml:space="preserve">that headroom must cover.</w:t>
      </w:r>
    </w:p>
    <w:bookmarkStart w:id="2095" w:name="flapping-and-scale-in"/>
    <w:p>
      <w:pPr>
        <w:pStyle w:val="Heading4"/>
      </w:pPr>
      <w:r>
        <w:t xml:space="preserve">Flapping and scale-in</w:t>
      </w:r>
    </w:p>
    <w:p>
      <w:pPr>
        <w:pStyle w:val="FirstParagraph"/>
      </w:pPr>
      <w:r>
        <w:t xml:space="preserve">Scaling in too eagerly causes</w:t>
      </w:r>
      <w:r>
        <w:t xml:space="preserve"> </w:t>
      </w:r>
      <w:r>
        <w:rPr>
          <w:bCs/>
          <w:b/>
        </w:rPr>
        <w:t xml:space="preserve">flapping</w:t>
      </w:r>
      <w:r>
        <w:t xml:space="preserve">: remove pods, utilization rises, add pods, repeat. Autoscalers therefore scale in slowly. The Kubernetes HPA, for example, uses by default the highest recommendation of the last five minutes when scaling down (a</w:t>
      </w:r>
      <w:r>
        <w:t xml:space="preserve"> </w:t>
      </w:r>
      <w:r>
        <w:rPr>
          <w:bCs/>
          <w:b/>
        </w:rPr>
        <w:t xml:space="preserve">stabilization window</w:t>
      </w:r>
      <w:r>
        <w:t xml:space="preserve">) [Kubernetes Docs: HPA]. Scale up fast, scale down slowly: the cost of a few spare pods for five minutes is small; the cost of being under capacity during a rebound is an incident.</w:t>
      </w:r>
    </w:p>
    <w:bookmarkEnd w:id="2095"/>
    <w:bookmarkEnd w:id="2096"/>
    <w:bookmarkStart w:id="2097" w:name="warm-up-and-reaction-time"/>
    <w:p>
      <w:pPr>
        <w:pStyle w:val="Heading3"/>
      </w:pPr>
      <w:r>
        <w:t xml:space="preserve">18.8.4 Warm-up and reaction time</w:t>
      </w:r>
    </w:p>
    <w:p>
      <w:pPr>
        <w:pStyle w:val="FirstParagraph"/>
      </w:pPr>
      <w:r>
        <w:t xml:space="preserve">A new instance is not useful the moment it is requested. Its delay is the sum of metric collection, the evaluation period, possibly provisioning a machine, pulling the image, starting the process, passing readiness, and</w:t>
      </w:r>
      <w:r>
        <w:t xml:space="preserve"> </w:t>
      </w:r>
      <w:r>
        <w:rPr>
          <w:bCs/>
          <w:b/>
        </w:rPr>
        <w:t xml:space="preserve">warm-up</w:t>
      </w:r>
      <w:r>
        <w:t xml:space="preserve">: the period in which caches are empty, connection pools are filling and just-in-time compilers have not yet optimized hot code. During all of this the</w:t>
      </w:r>
      <w:r>
        <w:t xml:space="preserve"> </w:t>
      </w:r>
      <w:r>
        <w:rPr>
          <w:iCs/>
          <w:i/>
        </w:rPr>
        <w:t xml:space="preserve">existing</w:t>
      </w:r>
      <w:r>
        <w:t xml:space="preserve"> </w:t>
      </w:r>
      <w:r>
        <w:t xml:space="preserve">instances absorb the growing load.</w:t>
      </w:r>
    </w:p>
    <w:p>
      <w:pPr>
        <w:pStyle w:val="CalloutFormula"/>
      </w:pPr>
      <w:r>
        <w:rPr>
          <w:bCs/>
          <w:b/>
        </w:rPr>
        <w:t xml:space="preserve">FORMULA</w:t>
      </w:r>
    </w:p>
    <w:p>
      <w:pPr>
        <w:pStyle w:val="CalloutFormula"/>
      </w:pPr>
      <w:r>
        <w:rPr>
          <w:bCs/>
          <w:b/>
        </w:rPr>
        <w:t xml:space="preserve">Target utilization that survives reaction time</w:t>
      </w:r>
    </w:p>
    <w:p>
      <w:pPr>
        <w:pStyle w:val="CalloutFormula"/>
      </w:pPr>
      <m:oMathPara>
        <m:oMathParaPr>
          <m:jc m:val="center"/>
        </m:oMathParaPr>
        <m:oMath>
          <m:sSub>
            <m:e>
              <m:r>
                <m:t>u</m:t>
              </m:r>
            </m:e>
            <m:sub>
              <m:r>
                <m:t>t</m:t>
              </m:r>
              <m:r>
                <m:t>a</m:t>
              </m:r>
              <m:r>
                <m:t>r</m:t>
              </m:r>
              <m:r>
                <m:t>g</m:t>
              </m:r>
              <m:r>
                <m:t>e</m:t>
              </m:r>
              <m:r>
                <m:t>t</m:t>
              </m:r>
            </m:sub>
          </m:sSub>
          <m:r>
            <m:rPr>
              <m:sty m:val="p"/>
            </m:rPr>
            <m:t>≤</m:t>
          </m:r>
          <m:f>
            <m:fPr>
              <m:type m:val="bar"/>
            </m:fPr>
            <m:num>
              <m:sSub>
                <m:e>
                  <m:r>
                    <m:t>u</m:t>
                  </m:r>
                </m:e>
                <m:sub>
                  <m:r>
                    <m:t>s</m:t>
                  </m:r>
                  <m:r>
                    <m:t>a</m:t>
                  </m:r>
                  <m:r>
                    <m:t>f</m:t>
                  </m:r>
                  <m:r>
                    <m:t>e</m:t>
                  </m:r>
                </m:sub>
              </m:sSub>
            </m:num>
            <m:den>
              <m:r>
                <m:t>1</m:t>
              </m:r>
              <m:r>
                <m:rPr>
                  <m:sty m:val="p"/>
                </m:rPr>
                <m:t>+</m:t>
              </m:r>
              <m:r>
                <m:t>r</m:t>
              </m:r>
              <m:r>
                <m:rPr>
                  <m:sty m:val="p"/>
                </m:rPr>
                <m:t>×</m:t>
              </m:r>
              <m:sSub>
                <m:e>
                  <m:r>
                    <m:t>T</m:t>
                  </m:r>
                </m:e>
                <m:sub>
                  <m:r>
                    <m:t>r</m:t>
                  </m:r>
                  <m:r>
                    <m:t>e</m:t>
                  </m:r>
                  <m:r>
                    <m:t>a</m:t>
                  </m:r>
                  <m:r>
                    <m:t>c</m:t>
                  </m:r>
                  <m:r>
                    <m:t>t</m:t>
                  </m:r>
                </m:sub>
              </m:sSub>
            </m:den>
          </m:f>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u</m:t>
                  </m:r>
                </m:e>
                <m:sub>
                  <m:r>
                    <m:t>t</m:t>
                  </m:r>
                  <m:r>
                    <m:t>a</m:t>
                  </m:r>
                  <m:r>
                    <m:t>r</m:t>
                  </m:r>
                  <m:r>
                    <m:t>g</m:t>
                  </m:r>
                  <m:r>
                    <m:t>e</m:t>
                  </m:r>
                  <m:r>
                    <m:t>t</m:t>
                  </m:r>
                </m:sub>
              </m:sSub>
            </m:oMath>
          </w:p>
        </w:tc>
        <w:tc>
          <w:tcPr/>
          <w:p>
            <w:pPr>
              <w:pStyle w:val="Compact"/>
              <w:jc w:val="left"/>
            </w:pPr>
            <w:r>
              <w:t xml:space="preserve">Utilization set point for the autoscaler</w:t>
            </w:r>
          </w:p>
        </w:tc>
        <w:tc>
          <w:tcPr/>
          <w:p>
            <w:pPr>
              <w:pStyle w:val="Compact"/>
              <w:jc w:val="left"/>
            </w:pPr>
            <w:r>
              <w:t xml:space="preserve">fraction</w:t>
            </w:r>
          </w:p>
        </w:tc>
      </w:tr>
      <w:tr>
        <w:tc>
          <w:tcPr/>
          <w:p>
            <w:pPr>
              <w:pStyle w:val="Compact"/>
              <w:jc w:val="left"/>
            </w:pPr>
            <m:oMath>
              <m:sSub>
                <m:e>
                  <m:r>
                    <m:t>u</m:t>
                  </m:r>
                </m:e>
                <m:sub>
                  <m:r>
                    <m:t>s</m:t>
                  </m:r>
                  <m:r>
                    <m:t>a</m:t>
                  </m:r>
                  <m:r>
                    <m:t>f</m:t>
                  </m:r>
                  <m:r>
                    <m:t>e</m:t>
                  </m:r>
                </m:sub>
              </m:sSub>
            </m:oMath>
          </w:p>
        </w:tc>
        <w:tc>
          <w:tcPr/>
          <w:p>
            <w:pPr>
              <w:pStyle w:val="Compact"/>
              <w:jc w:val="left"/>
            </w:pPr>
            <w:r>
              <w:t xml:space="preserve">Highest utilization at which latency still meets the objective (from load tests and §4.10)</w:t>
            </w:r>
          </w:p>
        </w:tc>
        <w:tc>
          <w:tcPr/>
          <w:p>
            <w:pPr>
              <w:pStyle w:val="Compact"/>
              <w:jc w:val="left"/>
            </w:pPr>
            <w:r>
              <w:t xml:space="preserve">fraction</w:t>
            </w:r>
          </w:p>
        </w:tc>
      </w:tr>
      <w:tr>
        <w:tc>
          <w:tcPr/>
          <w:p>
            <w:pPr>
              <w:pStyle w:val="Compact"/>
              <w:jc w:val="left"/>
            </w:pPr>
            <m:oMath>
              <m:r>
                <m:t>r</m:t>
              </m:r>
            </m:oMath>
          </w:p>
        </w:tc>
        <w:tc>
          <w:tcPr/>
          <w:p>
            <w:pPr>
              <w:pStyle w:val="Compact"/>
              <w:jc w:val="left"/>
            </w:pPr>
            <w:r>
              <w:t xml:space="preserve">Fastest expected load growth, relative to current load</w:t>
            </w:r>
          </w:p>
        </w:tc>
        <w:tc>
          <w:tcPr/>
          <w:p>
            <w:pPr>
              <w:pStyle w:val="Compact"/>
              <w:jc w:val="left"/>
            </w:pPr>
            <w:r>
              <w:t xml:space="preserve">fraction per minute</w:t>
            </w:r>
          </w:p>
        </w:tc>
      </w:tr>
      <w:tr>
        <w:tc>
          <w:tcPr/>
          <w:p>
            <w:pPr>
              <w:pStyle w:val="Compact"/>
              <w:jc w:val="left"/>
            </w:pPr>
            <m:oMath>
              <m:sSub>
                <m:e>
                  <m:r>
                    <m:t>T</m:t>
                  </m:r>
                </m:e>
                <m:sub>
                  <m:r>
                    <m:t>r</m:t>
                  </m:r>
                  <m:r>
                    <m:t>e</m:t>
                  </m:r>
                  <m:r>
                    <m:t>a</m:t>
                  </m:r>
                  <m:r>
                    <m:t>c</m:t>
                  </m:r>
                  <m:r>
                    <m:t>t</m:t>
                  </m:r>
                </m:sub>
              </m:sSub>
            </m:oMath>
          </w:p>
        </w:tc>
        <w:tc>
          <w:tcPr/>
          <w:p>
            <w:pPr>
              <w:pStyle w:val="Compact"/>
              <w:jc w:val="left"/>
            </w:pPr>
            <w:r>
              <w:t xml:space="preserve">Reaction time: metric delay + evaluation + provisioning + start + warm-up</w:t>
            </w:r>
          </w:p>
        </w:tc>
        <w:tc>
          <w:tcPr/>
          <w:p>
            <w:pPr>
              <w:pStyle w:val="Compact"/>
              <w:jc w:val="left"/>
            </w:pPr>
            <w:r>
              <w:t xml:space="preserve">minutes</w:t>
            </w:r>
          </w:p>
        </w:tc>
      </w:tr>
    </w:tbl>
    <w:p>
      <w:pPr>
        <w:pStyle w:val="BodyText"/>
      </w:pPr>
      <w:r>
        <w:t xml:space="preserve">The derivation is one line: during</w:t>
      </w:r>
      <w:r>
        <w:t xml:space="preserve"> </w:t>
      </w:r>
      <m:oMath>
        <m:sSub>
          <m:e>
            <m:r>
              <m:t>T</m:t>
            </m:r>
          </m:e>
          <m:sub>
            <m:r>
              <m:t>r</m:t>
            </m:r>
            <m:r>
              <m:t>e</m:t>
            </m:r>
            <m:r>
              <m:t>a</m:t>
            </m:r>
            <m:r>
              <m:t>c</m:t>
            </m:r>
            <m:r>
              <m:t>t</m:t>
            </m:r>
          </m:sub>
        </m:sSub>
      </m:oMath>
      <w:r>
        <w:t xml:space="preserve"> </w:t>
      </w:r>
      <w:r>
        <w:t xml:space="preserve">load grows by a factor of about</w:t>
      </w:r>
      <w:r>
        <w:t xml:space="preserve"> </w:t>
      </w:r>
      <m:oMath>
        <m:r>
          <m:t>1</m:t>
        </m:r>
        <m:r>
          <m:rPr>
            <m:sty m:val="p"/>
          </m:rPr>
          <m:t>+</m:t>
        </m:r>
        <m:r>
          <m:t>r</m:t>
        </m:r>
        <m:sSub>
          <m:e>
            <m:r>
              <m:t>T</m:t>
            </m:r>
          </m:e>
          <m:sub>
            <m:r>
              <m:t>r</m:t>
            </m:r>
            <m:r>
              <m:t>e</m:t>
            </m:r>
            <m:r>
              <m:t>a</m:t>
            </m:r>
            <m:r>
              <m:t>c</m:t>
            </m:r>
            <m:r>
              <m:t>t</m:t>
            </m:r>
          </m:sub>
        </m:sSub>
      </m:oMath>
      <w:r>
        <w:t xml:space="preserve"> </w:t>
      </w:r>
      <w:r>
        <w:t xml:space="preserve">while capacity stays fixed, so utilization must start that factor below</w:t>
      </w:r>
      <w:r>
        <w:t xml:space="preserve"> </w:t>
      </w:r>
      <m:oMath>
        <m:sSub>
          <m:e>
            <m:r>
              <m:t>u</m:t>
            </m:r>
          </m:e>
          <m:sub>
            <m:r>
              <m:t>s</m:t>
            </m:r>
            <m:r>
              <m:t>a</m:t>
            </m:r>
            <m:r>
              <m:t>f</m:t>
            </m:r>
            <m:r>
              <m:t>e</m:t>
            </m:r>
          </m:sub>
        </m:sSub>
      </m:oMath>
      <w:r>
        <w:t xml:space="preserve">. It is a linear approximation, good when</w:t>
      </w:r>
      <w:r>
        <w:t xml:space="preserve"> </w:t>
      </w:r>
      <m:oMath>
        <m:r>
          <m:t>r</m:t>
        </m:r>
        <m:sSub>
          <m:e>
            <m:r>
              <m:t>T</m:t>
            </m:r>
          </m:e>
          <m:sub>
            <m:r>
              <m:t>r</m:t>
            </m:r>
            <m:r>
              <m:t>e</m:t>
            </m:r>
            <m:r>
              <m:t>a</m:t>
            </m:r>
            <m:r>
              <m:t>c</m:t>
            </m:r>
            <m:r>
              <m:t>t</m:t>
            </m:r>
          </m:sub>
        </m:sSub>
      </m:oMath>
      <w:r>
        <w:t xml:space="preserve"> </w:t>
      </w:r>
      <w:r>
        <w:t xml:space="preserve">is below about 0.5.</w:t>
      </w:r>
    </w:p>
    <w:p>
      <w:pPr>
        <w:pStyle w:val="CalloutExample"/>
      </w:pPr>
      <w:r>
        <w:rPr>
          <w:bCs/>
          <w:b/>
        </w:rPr>
        <w:t xml:space="preserve">WORKED EXAMPLE</w:t>
      </w:r>
    </w:p>
    <w:p>
      <w:pPr>
        <w:pStyle w:val="CalloutExample"/>
      </w:pPr>
      <w:r>
        <w:rPr>
          <w:bCs/>
          <w:b/>
        </w:rPr>
        <w:t xml:space="preserve">Worked example — Choosing QuickBite’s CPU target.</w:t>
      </w:r>
      <w:r>
        <w:t xml:space="preserve"> </w:t>
      </w:r>
      <w:r>
        <w:t xml:space="preserve">Load tests show p99 stays within objective up to</w:t>
      </w:r>
      <w:r>
        <w:t xml:space="preserve"> </w:t>
      </w:r>
      <m:oMath>
        <m:sSub>
          <m:e>
            <m:r>
              <m:t>u</m:t>
            </m:r>
          </m:e>
          <m:sub>
            <m:r>
              <m:t>s</m:t>
            </m:r>
            <m:r>
              <m:t>a</m:t>
            </m:r>
            <m:r>
              <m:t>f</m:t>
            </m:r>
            <m:r>
              <m:t>e</m:t>
            </m:r>
          </m:sub>
        </m:sSub>
        <m:r>
          <m:rPr>
            <m:sty m:val="p"/>
          </m:rPr>
          <m:t>=</m:t>
        </m:r>
        <m:r>
          <m:t>0.85</m:t>
        </m:r>
      </m:oMath>
      <w:r>
        <w:t xml:space="preserve">. Dinner ramps grow load by up to</w:t>
      </w:r>
      <w:r>
        <w:t xml:space="preserve"> </w:t>
      </w:r>
      <m:oMath>
        <m:r>
          <m:t>r</m:t>
        </m:r>
        <m:r>
          <m:rPr>
            <m:sty m:val="p"/>
          </m:rPr>
          <m:t>=</m:t>
        </m:r>
        <m:r>
          <m:t>15</m:t>
        </m:r>
        <m:r>
          <m:rPr>
            <m:sty m:val="p"/>
          </m:rPr>
          <m:t>%</m:t>
        </m:r>
      </m:oMath>
      <w:r>
        <w:t xml:space="preserve"> </w:t>
      </w:r>
      <w:r>
        <w:t xml:space="preserve">per minute. Reaction time: metric delay 0.5 min, evaluation 0.25 min, pod start and readiness 1 min, warm-up equivalent to 0.5 min of lost capacity, so</w:t>
      </w:r>
      <w:r>
        <w:t xml:space="preserve"> </w:t>
      </w:r>
      <m:oMath>
        <m:sSub>
          <m:e>
            <m:r>
              <m:t>T</m:t>
            </m:r>
          </m:e>
          <m:sub>
            <m:r>
              <m:t>r</m:t>
            </m:r>
            <m:r>
              <m:t>e</m:t>
            </m:r>
            <m:r>
              <m:t>a</m:t>
            </m:r>
            <m:r>
              <m:t>c</m:t>
            </m:r>
            <m:r>
              <m:t>t</m:t>
            </m:r>
          </m:sub>
        </m:sSub>
        <m:r>
          <m:rPr>
            <m:sty m:val="p"/>
          </m:rPr>
          <m:t>=</m:t>
        </m:r>
        <m:r>
          <m:t>2.25</m:t>
        </m:r>
      </m:oMath>
      <w:r>
        <w:t xml:space="preserve"> </w:t>
      </w:r>
      <w:r>
        <w:t xml:space="preserve">min.</w:t>
      </w:r>
    </w:p>
    <w:p>
      <w:pPr>
        <w:numPr>
          <w:ilvl w:val="0"/>
          <w:numId w:val="1606"/>
        </w:numPr>
        <w:pStyle w:val="Compact"/>
      </w:pPr>
      <m:oMath>
        <m:r>
          <m:t>1</m:t>
        </m:r>
        <m:r>
          <m:rPr>
            <m:sty m:val="p"/>
          </m:rPr>
          <m:t>+</m:t>
        </m:r>
        <m:r>
          <m:t>r</m:t>
        </m:r>
        <m:sSub>
          <m:e>
            <m:r>
              <m:t>T</m:t>
            </m:r>
          </m:e>
          <m:sub>
            <m:r>
              <m:t>r</m:t>
            </m:r>
            <m:r>
              <m:t>e</m:t>
            </m:r>
            <m:r>
              <m:t>a</m:t>
            </m:r>
            <m:r>
              <m:t>c</m:t>
            </m:r>
            <m:r>
              <m:t>t</m:t>
            </m:r>
          </m:sub>
        </m:sSub>
        <m:r>
          <m:rPr>
            <m:sty m:val="p"/>
          </m:rPr>
          <m:t>=</m:t>
        </m:r>
        <m:r>
          <m:t>1</m:t>
        </m:r>
        <m:r>
          <m:rPr>
            <m:sty m:val="p"/>
          </m:rPr>
          <m:t>+</m:t>
        </m:r>
        <m:r>
          <m:t>0.15</m:t>
        </m:r>
        <m:r>
          <m:rPr>
            <m:sty m:val="p"/>
          </m:rPr>
          <m:t>×</m:t>
        </m:r>
        <m:r>
          <m:t>2.25</m:t>
        </m:r>
        <m:r>
          <m:rPr>
            <m:sty m:val="p"/>
          </m:rPr>
          <m:t>=</m:t>
        </m:r>
        <m:r>
          <m:t>1.3375</m:t>
        </m:r>
      </m:oMath>
      <w:r>
        <w:t xml:space="preserve">.</w:t>
      </w:r>
    </w:p>
    <w:p>
      <w:pPr>
        <w:numPr>
          <w:ilvl w:val="0"/>
          <w:numId w:val="1606"/>
        </w:numPr>
        <w:pStyle w:val="Compact"/>
      </w:pPr>
      <m:oMath>
        <m:sSub>
          <m:e>
            <m:r>
              <m:t>u</m:t>
            </m:r>
          </m:e>
          <m:sub>
            <m:r>
              <m:t>t</m:t>
            </m:r>
            <m:r>
              <m:t>a</m:t>
            </m:r>
            <m:r>
              <m:t>r</m:t>
            </m:r>
            <m:r>
              <m:t>g</m:t>
            </m:r>
            <m:r>
              <m:t>e</m:t>
            </m:r>
            <m:r>
              <m:t>t</m:t>
            </m:r>
          </m:sub>
        </m:sSub>
        <m:r>
          <m:rPr>
            <m:sty m:val="p"/>
          </m:rPr>
          <m:t>≤</m:t>
        </m:r>
        <m:r>
          <m:t>0.85</m:t>
        </m:r>
        <m:r>
          <m:rPr>
            <m:sty m:val="p"/>
          </m:rPr>
          <m:t>/</m:t>
        </m:r>
        <m:r>
          <m:t>1.3375</m:t>
        </m:r>
        <m:r>
          <m:rPr>
            <m:sty m:val="p"/>
          </m:rPr>
          <m:t>=</m:t>
        </m:r>
        <m:r>
          <m:t>0.636</m:t>
        </m:r>
      </m:oMath>
      <w:r>
        <w:t xml:space="preserve">. Choose</w:t>
      </w:r>
      <w:r>
        <w:t xml:space="preserve"> </w:t>
      </w:r>
      <w:r>
        <w:rPr>
          <w:bCs/>
          <w:b/>
        </w:rPr>
        <w:t xml:space="preserve">60%</w:t>
      </w:r>
      <w:r>
        <w:t xml:space="preserve">.</w:t>
      </w:r>
    </w:p>
    <w:p>
      <w:pPr>
        <w:numPr>
          <w:ilvl w:val="0"/>
          <w:numId w:val="1606"/>
        </w:numPr>
        <w:pStyle w:val="Compact"/>
      </w:pPr>
      <w:r>
        <w:t xml:space="preserve">If the cluster has no spare nodes and a node autoscaler adds 2 min:</w:t>
      </w:r>
      <w:r>
        <w:t xml:space="preserve"> </w:t>
      </w:r>
      <m:oMath>
        <m:sSub>
          <m:e>
            <m:r>
              <m:t>T</m:t>
            </m:r>
          </m:e>
          <m:sub>
            <m:r>
              <m:t>r</m:t>
            </m:r>
            <m:r>
              <m:t>e</m:t>
            </m:r>
            <m:r>
              <m:t>a</m:t>
            </m:r>
            <m:r>
              <m:t>c</m:t>
            </m:r>
            <m:r>
              <m:t>t</m:t>
            </m:r>
          </m:sub>
        </m:sSub>
        <m:r>
          <m:rPr>
            <m:sty m:val="p"/>
          </m:rPr>
          <m:t>=</m:t>
        </m:r>
        <m:r>
          <m:t>4.25</m:t>
        </m:r>
      </m:oMath>
      <w:r>
        <w:t xml:space="preserve">,</w:t>
      </w:r>
      <w:r>
        <w:t xml:space="preserve"> </w:t>
      </w:r>
      <m:oMath>
        <m:r>
          <m:t>1</m:t>
        </m:r>
        <m:r>
          <m:rPr>
            <m:sty m:val="p"/>
          </m:rPr>
          <m:t>+</m:t>
        </m:r>
        <m:r>
          <m:t>0.6375</m:t>
        </m:r>
        <m:r>
          <m:rPr>
            <m:sty m:val="p"/>
          </m:rPr>
          <m:t>=</m:t>
        </m:r>
        <m:r>
          <m:t>1.6375</m:t>
        </m:r>
      </m:oMath>
      <w:r>
        <w:t xml:space="preserve">,</w:t>
      </w:r>
      <w:r>
        <w:t xml:space="preserve"> </w:t>
      </w:r>
      <m:oMath>
        <m:sSub>
          <m:e>
            <m:r>
              <m:t>u</m:t>
            </m:r>
          </m:e>
          <m:sub>
            <m:r>
              <m:t>t</m:t>
            </m:r>
            <m:r>
              <m:t>a</m:t>
            </m:r>
            <m:r>
              <m:t>r</m:t>
            </m:r>
            <m:r>
              <m:t>g</m:t>
            </m:r>
            <m:r>
              <m:t>e</m:t>
            </m:r>
            <m:r>
              <m:t>t</m:t>
            </m:r>
          </m:sub>
        </m:sSub>
        <m:r>
          <m:rPr>
            <m:sty m:val="p"/>
          </m:rPr>
          <m:t>≤</m:t>
        </m:r>
        <m:r>
          <m:t>0.52</m:t>
        </m:r>
      </m:oMath>
      <w:r>
        <w:t xml:space="preserve">. Choose</w:t>
      </w:r>
      <w:r>
        <w:t xml:space="preserve"> </w:t>
      </w:r>
      <w:r>
        <w:rPr>
          <w:bCs/>
          <w:b/>
        </w:rPr>
        <w:t xml:space="preserve">50%</w:t>
      </w:r>
      <w:r>
        <w:t xml:space="preserve">, which means about 20% more pods at all times.</w:t>
      </w:r>
    </w:p>
    <w:p>
      <w:pPr>
        <w:pStyle w:val="CalloutExample"/>
      </w:pPr>
      <w:r>
        <w:rPr>
          <w:bCs/>
          <w:b/>
        </w:rPr>
        <w:t xml:space="preserve">Interpretation.</w:t>
      </w:r>
      <w:r>
        <w:t xml:space="preserve"> </w:t>
      </w:r>
      <w:r>
        <w:t xml:space="preserve">Slow provisioning is paid for with permanently idle capacity.</w:t>
      </w:r>
      <w:r>
        <w:t xml:space="preserve"> </w:t>
      </w:r>
      <w:r>
        <w:rPr>
          <w:bCs/>
          <w:b/>
        </w:rPr>
        <w:t xml:space="preserve">Engineering implication.</w:t>
      </w:r>
      <w:r>
        <w:t xml:space="preserve"> </w:t>
      </w:r>
      <w:r>
        <w:t xml:space="preserve">Shorten</w:t>
      </w:r>
      <w:r>
        <w:t xml:space="preserve"> </w:t>
      </w:r>
      <m:oMath>
        <m:sSub>
          <m:e>
            <m:r>
              <m:t>T</m:t>
            </m:r>
          </m:e>
          <m:sub>
            <m:r>
              <m:t>r</m:t>
            </m:r>
            <m:r>
              <m:t>e</m:t>
            </m:r>
            <m:r>
              <m:t>a</m:t>
            </m:r>
            <m:r>
              <m:t>c</m:t>
            </m:r>
            <m:r>
              <m:t>t</m:t>
            </m:r>
          </m:sub>
        </m:sSub>
      </m:oMath>
      <w:r>
        <w:t xml:space="preserve"> </w:t>
      </w:r>
      <w:r>
        <w:t xml:space="preserve">instead of lowering the target: keep a small buffer of spare nodes (low-priority placeholder pods that real pods can evict), use pre-initialized warm pools, slim images, and send a new instance a slowly increasing share of traffic (</w:t>
      </w:r>
      <w:r>
        <w:rPr>
          <w:bCs/>
          <w:b/>
        </w:rPr>
        <w:t xml:space="preserve">slow start</w:t>
      </w:r>
      <w:r>
        <w:t xml:space="preserve">) while it warms.</w:t>
      </w:r>
    </w:p>
    <w:p>
      <w:pPr>
        <w:pStyle w:val="BodyText"/>
      </w:pPr>
      <w:r>
        <w:t xml:space="preserve">The simulation below checks the formula against a model of the HPA with startup and warm-up delays. Load doubles from 6,000 to 12,000 RPS over five minutes, a growth of 10–20% per minute.</w:t>
      </w:r>
    </w:p>
    <w:p>
      <w:pPr>
        <w:pStyle w:val="SourceCode"/>
      </w:pPr>
      <w:r>
        <w:rPr>
          <w:rStyle w:val="CommentTok"/>
        </w:rPr>
        <w:t xml:space="preserve">"""Target-tracking autoscaler with startup delay and warm-up (Section 18.8).</w:t>
      </w:r>
      <w:r>
        <w:br/>
      </w:r>
      <w:r>
        <w:br/>
      </w:r>
      <w:r>
        <w:rPr>
          <w:rStyle w:val="CommentTok"/>
        </w:rPr>
        <w:t xml:space="preserve">A simplified model of the Kubernetes HPA rule</w:t>
      </w:r>
      <w:r>
        <w:br/>
      </w:r>
      <w:r>
        <w:rPr>
          <w:rStyle w:val="CommentTok"/>
        </w:rPr>
        <w:t xml:space="preserve">    desired = ceil(current * current_metric / target_metric)</w:t>
      </w:r>
      <w:r>
        <w:br/>
      </w:r>
      <w:r>
        <w:rPr>
          <w:rStyle w:val="CommentTok"/>
        </w:rPr>
        <w:t xml:space="preserve">applied every 15 s to CPU utilization. New pods serve nothing for STARTUP_S seconds,</w:t>
      </w:r>
      <w:r>
        <w:br/>
      </w:r>
      <w:r>
        <w:rPr>
          <w:rStyle w:val="CommentTok"/>
        </w:rPr>
        <w:t xml:space="preserve">then serve at half capacity for WARMUP_S seconds (cold caches, JIT compilation).</w:t>
      </w:r>
      <w:r>
        <w:br/>
      </w:r>
      <w:r>
        <w:rPr>
          <w:rStyle w:val="CommentTok"/>
        </w:rPr>
        <w:t xml:space="preserve">Load ramps linearly from 6,000 to 12,000 RPS over five minutes.</w:t>
      </w:r>
      <w:r>
        <w:br/>
      </w:r>
      <w:r>
        <w:rPr>
          <w:rStyle w:val="CommentTok"/>
        </w:rPr>
        <w:t xml:space="preserve">"""</w:t>
      </w:r>
      <w:r>
        <w:br/>
      </w:r>
      <w:r>
        <w:rPr>
          <w:rStyle w:val="ImportTok"/>
        </w:rPr>
        <w:t xml:space="preserve">import</w:t>
      </w:r>
      <w:r>
        <w:rPr>
          <w:rStyle w:val="NormalTok"/>
        </w:rPr>
        <w:t xml:space="preserve"> math</w:t>
      </w:r>
      <w:r>
        <w:br/>
      </w:r>
      <w:r>
        <w:br/>
      </w:r>
      <w:r>
        <w:rPr>
          <w:rStyle w:val="NormalTok"/>
        </w:rPr>
        <w:t xml:space="preserve">POD_RPS </w:t>
      </w:r>
      <w:r>
        <w:rPr>
          <w:rStyle w:val="OperatorTok"/>
        </w:rPr>
        <w:t xml:space="preserve">=</w:t>
      </w:r>
      <w:r>
        <w:rPr>
          <w:rStyle w:val="NormalTok"/>
        </w:rPr>
        <w:t xml:space="preserve"> </w:t>
      </w:r>
      <w:r>
        <w:rPr>
          <w:rStyle w:val="DecValTok"/>
        </w:rPr>
        <w:t xml:space="preserve">1_000</w:t>
      </w:r>
      <w:r>
        <w:rPr>
          <w:rStyle w:val="NormalTok"/>
        </w:rPr>
        <w:t xml:space="preserve">        </w:t>
      </w:r>
      <w:r>
        <w:rPr>
          <w:rStyle w:val="CommentTok"/>
        </w:rPr>
        <w:t xml:space="preserve"># requests/s one warm pod handles at 100% CPU</w:t>
      </w:r>
      <w:r>
        <w:br/>
      </w:r>
      <w:r>
        <w:rPr>
          <w:rStyle w:val="NormalTok"/>
        </w:rPr>
        <w:t xml:space="preserve">STARTUP_S </w:t>
      </w:r>
      <w:r>
        <w:rPr>
          <w:rStyle w:val="OperatorTok"/>
        </w:rPr>
        <w:t xml:space="preserve">=</w:t>
      </w:r>
      <w:r>
        <w:rPr>
          <w:rStyle w:val="NormalTok"/>
        </w:rPr>
        <w:t xml:space="preserve"> </w:t>
      </w:r>
      <w:r>
        <w:rPr>
          <w:rStyle w:val="DecValTok"/>
        </w:rPr>
        <w:t xml:space="preserve">60</w:t>
      </w:r>
      <w:r>
        <w:rPr>
          <w:rStyle w:val="NormalTok"/>
        </w:rPr>
        <w:t xml:space="preserve">         </w:t>
      </w:r>
      <w:r>
        <w:rPr>
          <w:rStyle w:val="CommentTok"/>
        </w:rPr>
        <w:t xml:space="preserve"># scheduling + image pull + process start + readiness probe</w:t>
      </w:r>
      <w:r>
        <w:br/>
      </w:r>
      <w:r>
        <w:rPr>
          <w:rStyle w:val="NormalTok"/>
        </w:rPr>
        <w:t xml:space="preserve">WARMUP_S </w:t>
      </w:r>
      <w:r>
        <w:rPr>
          <w:rStyle w:val="OperatorTok"/>
        </w:rPr>
        <w:t xml:space="preserve">=</w:t>
      </w:r>
      <w:r>
        <w:rPr>
          <w:rStyle w:val="NormalTok"/>
        </w:rPr>
        <w:t xml:space="preserve"> </w:t>
      </w:r>
      <w:r>
        <w:rPr>
          <w:rStyle w:val="DecValTok"/>
        </w:rPr>
        <w:t xml:space="preserve">60</w:t>
      </w:r>
      <w:r>
        <w:rPr>
          <w:rStyle w:val="NormalTok"/>
        </w:rPr>
        <w:t xml:space="preserve">          </w:t>
      </w:r>
      <w:r>
        <w:rPr>
          <w:rStyle w:val="CommentTok"/>
        </w:rPr>
        <w:t xml:space="preserve"># serving at half capacity while caches and JIT warm up</w:t>
      </w:r>
      <w:r>
        <w:br/>
      </w:r>
      <w:r>
        <w:rPr>
          <w:rStyle w:val="NormalTok"/>
        </w:rPr>
        <w:t xml:space="preserve">SYNC_S </w:t>
      </w:r>
      <w:r>
        <w:rPr>
          <w:rStyle w:val="OperatorTok"/>
        </w:rPr>
        <w:t xml:space="preserve">=</w:t>
      </w:r>
      <w:r>
        <w:rPr>
          <w:rStyle w:val="NormalTok"/>
        </w:rPr>
        <w:t xml:space="preserve"> </w:t>
      </w:r>
      <w:r>
        <w:rPr>
          <w:rStyle w:val="DecValTok"/>
        </w:rPr>
        <w:t xml:space="preserve">15</w:t>
      </w:r>
      <w:r>
        <w:rPr>
          <w:rStyle w:val="NormalTok"/>
        </w:rPr>
        <w:t xml:space="preserve">            </w:t>
      </w:r>
      <w:r>
        <w:rPr>
          <w:rStyle w:val="CommentTok"/>
        </w:rPr>
        <w:t xml:space="preserve"># autoscaler evaluation period</w:t>
      </w:r>
      <w:r>
        <w:br/>
      </w:r>
      <w:r>
        <w:rPr>
          <w:rStyle w:val="NormalTok"/>
        </w:rPr>
        <w:t xml:space="preserve">METRIC_LAG_S </w:t>
      </w:r>
      <w:r>
        <w:rPr>
          <w:rStyle w:val="OperatorTok"/>
        </w:rPr>
        <w:t xml:space="preserve">=</w:t>
      </w:r>
      <w:r>
        <w:rPr>
          <w:rStyle w:val="NormalTok"/>
        </w:rPr>
        <w:t xml:space="preserve"> </w:t>
      </w:r>
      <w:r>
        <w:rPr>
          <w:rStyle w:val="DecValTok"/>
        </w:rPr>
        <w:t xml:space="preserve">30</w:t>
      </w:r>
      <w:r>
        <w:rPr>
          <w:rStyle w:val="NormalTok"/>
        </w:rPr>
        <w:t xml:space="preserve">      </w:t>
      </w:r>
      <w:r>
        <w:rPr>
          <w:rStyle w:val="CommentTok"/>
        </w:rPr>
        <w:t xml:space="preserve"># age of the utilization sample the autoscaler sees</w:t>
      </w:r>
      <w:r>
        <w:br/>
      </w:r>
      <w:r>
        <w:rPr>
          <w:rStyle w:val="NormalTok"/>
        </w:rPr>
        <w:t xml:space="preserve">TOLERANCE </w:t>
      </w:r>
      <w:r>
        <w:rPr>
          <w:rStyle w:val="OperatorTok"/>
        </w:rPr>
        <w:t xml:space="preserve">=</w:t>
      </w:r>
      <w:r>
        <w:rPr>
          <w:rStyle w:val="NormalTok"/>
        </w:rPr>
        <w:t xml:space="preserve"> </w:t>
      </w:r>
      <w:r>
        <w:rPr>
          <w:rStyle w:val="FloatTok"/>
        </w:rPr>
        <w:t xml:space="preserve">0.10</w:t>
      </w:r>
      <w:r>
        <w:rPr>
          <w:rStyle w:val="NormalTok"/>
        </w:rPr>
        <w:t xml:space="preserve">       </w:t>
      </w:r>
      <w:r>
        <w:rPr>
          <w:rStyle w:val="CommentTok"/>
        </w:rPr>
        <w:t xml:space="preserve"># no action while |ratio - 1| &lt;= 10%</w:t>
      </w:r>
      <w:r>
        <w:br/>
      </w:r>
      <w:r>
        <w:rPr>
          <w:rStyle w:val="NormalTok"/>
        </w:rPr>
        <w:t xml:space="preserve">RAMP_S </w:t>
      </w:r>
      <w:r>
        <w:rPr>
          <w:rStyle w:val="OperatorTok"/>
        </w:rPr>
        <w:t xml:space="preserve">=</w:t>
      </w:r>
      <w:r>
        <w:rPr>
          <w:rStyle w:val="NormalTok"/>
        </w:rPr>
        <w:t xml:space="preserve"> </w:t>
      </w:r>
      <w:r>
        <w:rPr>
          <w:rStyle w:val="DecValTok"/>
        </w:rPr>
        <w:t xml:space="preserve">300</w:t>
      </w:r>
      <w:r>
        <w:rPr>
          <w:rStyle w:val="NormalTok"/>
        </w:rPr>
        <w:t xml:space="preserve">           </w:t>
      </w:r>
      <w:r>
        <w:rPr>
          <w:rStyle w:val="CommentTok"/>
        </w:rPr>
        <w:t xml:space="preserve"># load doubles over five minutes, starting at t = 60 s</w:t>
      </w:r>
      <w:r>
        <w:br/>
      </w:r>
      <w:r>
        <w:br/>
      </w:r>
      <w:r>
        <w:br/>
      </w:r>
      <w:r>
        <w:rPr>
          <w:rStyle w:val="KeywordTok"/>
        </w:rPr>
        <w:t xml:space="preserve">def</w:t>
      </w:r>
      <w:r>
        <w:rPr>
          <w:rStyle w:val="NormalTok"/>
        </w:rPr>
        <w:t xml:space="preserve"> load(t):</w:t>
      </w:r>
      <w:r>
        <w:br/>
      </w:r>
      <w:r>
        <w:rPr>
          <w:rStyle w:val="NormalTok"/>
        </w:rPr>
        <w:t xml:space="preserve">    </w:t>
      </w:r>
      <w:r>
        <w:rPr>
          <w:rStyle w:val="ControlFlowTok"/>
        </w:rPr>
        <w:t xml:space="preserve">return</w:t>
      </w:r>
      <w:r>
        <w:rPr>
          <w:rStyle w:val="NormalTok"/>
        </w:rPr>
        <w:t xml:space="preserve"> </w:t>
      </w:r>
      <w:r>
        <w:rPr>
          <w:rStyle w:val="DecValTok"/>
        </w:rPr>
        <w:t xml:space="preserve">6_000</w:t>
      </w:r>
      <w:r>
        <w:rPr>
          <w:rStyle w:val="NormalTok"/>
        </w:rPr>
        <w:t xml:space="preserve"> </w:t>
      </w:r>
      <w:r>
        <w:rPr>
          <w:rStyle w:val="OperatorTok"/>
        </w:rPr>
        <w:t xml:space="preserve">+</w:t>
      </w:r>
      <w:r>
        <w:rPr>
          <w:rStyle w:val="NormalTok"/>
        </w:rPr>
        <w:t xml:space="preserve"> </w:t>
      </w:r>
      <w:r>
        <w:rPr>
          <w:rStyle w:val="DecValTok"/>
        </w:rPr>
        <w:t xml:space="preserve">6_000</w:t>
      </w:r>
      <w:r>
        <w:rPr>
          <w:rStyle w:val="NormalTok"/>
        </w:rPr>
        <w:t xml:space="preserve"> </w:t>
      </w:r>
      <w:r>
        <w:rPr>
          <w:rStyle w:val="OperatorTok"/>
        </w:rPr>
        <w:t xml:space="preserve">*</w:t>
      </w:r>
      <w:r>
        <w:rPr>
          <w:rStyle w:val="NormalTok"/>
        </w:rPr>
        <w:t xml:space="preserve"> </w:t>
      </w:r>
      <w:r>
        <w:rPr>
          <w:rStyle w:val="BuiltInTok"/>
        </w:rPr>
        <w:t xml:space="preserve">min</w:t>
      </w:r>
      <w:r>
        <w:rPr>
          <w:rStyle w:val="NormalTok"/>
        </w:rPr>
        <w:t xml:space="preserve">(</w:t>
      </w:r>
      <w:r>
        <w:rPr>
          <w:rStyle w:val="BuiltInTok"/>
        </w:rPr>
        <w:t xml:space="preserve">max</w:t>
      </w:r>
      <w:r>
        <w:rPr>
          <w:rStyle w:val="NormalTok"/>
        </w:rPr>
        <w:t xml:space="preserve">(t </w:t>
      </w:r>
      <w:r>
        <w:rPr>
          <w:rStyle w:val="OperatorTok"/>
        </w:rPr>
        <w:t xml:space="preserve">-</w:t>
      </w:r>
      <w:r>
        <w:rPr>
          <w:rStyle w:val="NormalTok"/>
        </w:rPr>
        <w:t xml:space="preserve"> </w:t>
      </w:r>
      <w:r>
        <w:rPr>
          <w:rStyle w:val="DecValTok"/>
        </w:rPr>
        <w:t xml:space="preserve">60</w:t>
      </w:r>
      <w:r>
        <w:rPr>
          <w:rStyle w:val="NormalTok"/>
        </w:rPr>
        <w:t xml:space="preserve">, </w:t>
      </w:r>
      <w:r>
        <w:rPr>
          <w:rStyle w:val="DecValTok"/>
        </w:rPr>
        <w:t xml:space="preserve">0</w:t>
      </w:r>
      <w:r>
        <w:rPr>
          <w:rStyle w:val="NormalTok"/>
        </w:rPr>
        <w:t xml:space="preserve">), RAMP_S) </w:t>
      </w:r>
      <w:r>
        <w:rPr>
          <w:rStyle w:val="OperatorTok"/>
        </w:rPr>
        <w:t xml:space="preserve">/</w:t>
      </w:r>
      <w:r>
        <w:rPr>
          <w:rStyle w:val="NormalTok"/>
        </w:rPr>
        <w:t xml:space="preserve"> RAMP_S</w:t>
      </w:r>
      <w:r>
        <w:br/>
      </w:r>
      <w:r>
        <w:br/>
      </w:r>
      <w:r>
        <w:br/>
      </w:r>
      <w:r>
        <w:rPr>
          <w:rStyle w:val="KeywordTok"/>
        </w:rPr>
        <w:t xml:space="preserve">def</w:t>
      </w:r>
      <w:r>
        <w:rPr>
          <w:rStyle w:val="NormalTok"/>
        </w:rPr>
        <w:t xml:space="preserve"> run(target):</w:t>
      </w:r>
      <w:r>
        <w:br/>
      </w:r>
      <w:r>
        <w:rPr>
          <w:rStyle w:val="NormalTok"/>
        </w:rPr>
        <w:t xml:space="preserve">    pods </w:t>
      </w:r>
      <w:r>
        <w:rPr>
          <w:rStyle w:val="OperatorTok"/>
        </w:rPr>
        <w:t xml:space="preserve">=</w:t>
      </w:r>
      <w:r>
        <w:rPr>
          <w:rStyle w:val="NormalTok"/>
        </w:rPr>
        <w:t xml:space="preserve"> [</w:t>
      </w:r>
      <w:r>
        <w:rPr>
          <w:rStyle w:val="OperatorTok"/>
        </w:rPr>
        <w:t xml:space="preserve">-</w:t>
      </w:r>
      <w:r>
        <w:rPr>
          <w:rStyle w:val="DecValTok"/>
        </w:rPr>
        <w:t xml:space="preserve">10_000</w:t>
      </w:r>
      <w:r>
        <w:rPr>
          <w:rStyle w:val="NormalTok"/>
        </w:rPr>
        <w:t xml:space="preserve">] </w:t>
      </w:r>
      <w:r>
        <w:rPr>
          <w:rStyle w:val="OperatorTok"/>
        </w:rPr>
        <w:t xml:space="preserve">*</w:t>
      </w:r>
      <w:r>
        <w:rPr>
          <w:rStyle w:val="NormalTok"/>
        </w:rPr>
        <w:t xml:space="preserve"> math.ceil(</w:t>
      </w:r>
      <w:r>
        <w:rPr>
          <w:rStyle w:val="DecValTok"/>
        </w:rPr>
        <w:t xml:space="preserve">6_000</w:t>
      </w:r>
      <w:r>
        <w:rPr>
          <w:rStyle w:val="NormalTok"/>
        </w:rPr>
        <w:t xml:space="preserve"> </w:t>
      </w:r>
      <w:r>
        <w:rPr>
          <w:rStyle w:val="OperatorTok"/>
        </w:rPr>
        <w:t xml:space="preserve">/</w:t>
      </w:r>
      <w:r>
        <w:rPr>
          <w:rStyle w:val="NormalTok"/>
        </w:rPr>
        <w:t xml:space="preserve"> (POD_RPS </w:t>
      </w:r>
      <w:r>
        <w:rPr>
          <w:rStyle w:val="OperatorTok"/>
        </w:rPr>
        <w:t xml:space="preserve">*</w:t>
      </w:r>
      <w:r>
        <w:rPr>
          <w:rStyle w:val="NormalTok"/>
        </w:rPr>
        <w:t xml:space="preserve"> target))   </w:t>
      </w:r>
      <w:r>
        <w:rPr>
          <w:rStyle w:val="CommentTok"/>
        </w:rPr>
        <w:t xml:space="preserve"># start times; all warm</w:t>
      </w:r>
      <w:r>
        <w:br/>
      </w:r>
      <w:r>
        <w:rPr>
          <w:rStyle w:val="NormalTok"/>
        </w:rPr>
        <w:t xml:space="preserve">    worst, overloaded </w:t>
      </w:r>
      <w:r>
        <w:rPr>
          <w:rStyle w:val="OperatorTok"/>
        </w:rPr>
        <w:t xml:space="preserve">=</w:t>
      </w:r>
      <w:r>
        <w:rPr>
          <w:rStyle w:val="NormalTok"/>
        </w:rPr>
        <w:t xml:space="preserve"> </w:t>
      </w:r>
      <w:r>
        <w:rPr>
          <w:rStyle w:val="FloatTok"/>
        </w:rPr>
        <w:t xml:space="preserve">0.0</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 </w:t>
      </w:r>
      <w:r>
        <w:rPr>
          <w:rStyle w:val="DecValTok"/>
        </w:rPr>
        <w:t xml:space="preserve">1_200</w:t>
      </w:r>
      <w:r>
        <w:rPr>
          <w:rStyle w:val="NormalTok"/>
        </w:rPr>
        <w:t xml:space="preserve">):</w:t>
      </w:r>
      <w:r>
        <w:br/>
      </w:r>
      <w:r>
        <w:rPr>
          <w:rStyle w:val="NormalTok"/>
        </w:rPr>
        <w:t xml:space="preserve">        cap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for</w:t>
      </w:r>
      <w:r>
        <w:rPr>
          <w:rStyle w:val="NormalTok"/>
        </w:rPr>
        <w:t xml:space="preserve"> start </w:t>
      </w:r>
      <w:r>
        <w:rPr>
          <w:rStyle w:val="KeywordTok"/>
        </w:rPr>
        <w:t xml:space="preserve">in</w:t>
      </w:r>
      <w:r>
        <w:rPr>
          <w:rStyle w:val="NormalTok"/>
        </w:rPr>
        <w:t xml:space="preserve"> pods:</w:t>
      </w:r>
      <w:r>
        <w:br/>
      </w:r>
      <w:r>
        <w:rPr>
          <w:rStyle w:val="NormalTok"/>
        </w:rPr>
        <w:t xml:space="preserve">            age </w:t>
      </w:r>
      <w:r>
        <w:rPr>
          <w:rStyle w:val="OperatorTok"/>
        </w:rPr>
        <w:t xml:space="preserve">=</w:t>
      </w:r>
      <w:r>
        <w:rPr>
          <w:rStyle w:val="NormalTok"/>
        </w:rPr>
        <w:t xml:space="preserve"> t </w:t>
      </w:r>
      <w:r>
        <w:rPr>
          <w:rStyle w:val="OperatorTok"/>
        </w:rPr>
        <w:t xml:space="preserve">-</w:t>
      </w:r>
      <w:r>
        <w:rPr>
          <w:rStyle w:val="NormalTok"/>
        </w:rPr>
        <w:t xml:space="preserve"> start</w:t>
      </w:r>
      <w:r>
        <w:br/>
      </w:r>
      <w:r>
        <w:rPr>
          <w:rStyle w:val="NormalTok"/>
        </w:rPr>
        <w:t xml:space="preserve">            </w:t>
      </w:r>
      <w:r>
        <w:rPr>
          <w:rStyle w:val="ControlFlowTok"/>
        </w:rPr>
        <w:t xml:space="preserve">if</w:t>
      </w:r>
      <w:r>
        <w:rPr>
          <w:rStyle w:val="NormalTok"/>
        </w:rPr>
        <w:t xml:space="preserve"> age </w:t>
      </w:r>
      <w:r>
        <w:rPr>
          <w:rStyle w:val="OperatorTok"/>
        </w:rPr>
        <w:t xml:space="preserve">&gt;=</w:t>
      </w:r>
      <w:r>
        <w:rPr>
          <w:rStyle w:val="NormalTok"/>
        </w:rPr>
        <w:t xml:space="preserve"> STARTUP_S </w:t>
      </w:r>
      <w:r>
        <w:rPr>
          <w:rStyle w:val="OperatorTok"/>
        </w:rPr>
        <w:t xml:space="preserve">+</w:t>
      </w:r>
      <w:r>
        <w:rPr>
          <w:rStyle w:val="NormalTok"/>
        </w:rPr>
        <w:t xml:space="preserve"> WARMUP_S:</w:t>
      </w:r>
      <w:r>
        <w:br/>
      </w:r>
      <w:r>
        <w:rPr>
          <w:rStyle w:val="NormalTok"/>
        </w:rPr>
        <w:t xml:space="preserve">                cap </w:t>
      </w:r>
      <w:r>
        <w:rPr>
          <w:rStyle w:val="OperatorTok"/>
        </w:rPr>
        <w:t xml:space="preserve">+=</w:t>
      </w:r>
      <w:r>
        <w:rPr>
          <w:rStyle w:val="NormalTok"/>
        </w:rPr>
        <w:t xml:space="preserve"> POD_RPS</w:t>
      </w:r>
      <w:r>
        <w:br/>
      </w:r>
      <w:r>
        <w:rPr>
          <w:rStyle w:val="NormalTok"/>
        </w:rPr>
        <w:t xml:space="preserve">            </w:t>
      </w:r>
      <w:r>
        <w:rPr>
          <w:rStyle w:val="ControlFlowTok"/>
        </w:rPr>
        <w:t xml:space="preserve">elif</w:t>
      </w:r>
      <w:r>
        <w:rPr>
          <w:rStyle w:val="NormalTok"/>
        </w:rPr>
        <w:t xml:space="preserve"> age </w:t>
      </w:r>
      <w:r>
        <w:rPr>
          <w:rStyle w:val="OperatorTok"/>
        </w:rPr>
        <w:t xml:space="preserve">&gt;=</w:t>
      </w:r>
      <w:r>
        <w:rPr>
          <w:rStyle w:val="NormalTok"/>
        </w:rPr>
        <w:t xml:space="preserve"> STARTUP_S:</w:t>
      </w:r>
      <w:r>
        <w:br/>
      </w:r>
      <w:r>
        <w:rPr>
          <w:rStyle w:val="NormalTok"/>
        </w:rPr>
        <w:t xml:space="preserve">                cap </w:t>
      </w:r>
      <w:r>
        <w:rPr>
          <w:rStyle w:val="OperatorTok"/>
        </w:rPr>
        <w:t xml:space="preserve">+=</w:t>
      </w:r>
      <w:r>
        <w:rPr>
          <w:rStyle w:val="NormalTok"/>
        </w:rPr>
        <w:t xml:space="preserve"> POD_RPS </w:t>
      </w:r>
      <w:r>
        <w:rPr>
          <w:rStyle w:val="OperatorTok"/>
        </w:rPr>
        <w:t xml:space="preserve">/</w:t>
      </w:r>
      <w:r>
        <w:rPr>
          <w:rStyle w:val="NormalTok"/>
        </w:rPr>
        <w:t xml:space="preserve"> </w:t>
      </w:r>
      <w:r>
        <w:rPr>
          <w:rStyle w:val="DecValTok"/>
        </w:rPr>
        <w:t xml:space="preserve">2</w:t>
      </w:r>
      <w:r>
        <w:br/>
      </w:r>
      <w:r>
        <w:rPr>
          <w:rStyle w:val="NormalTok"/>
        </w:rPr>
        <w:t xml:space="preserve">        util </w:t>
      </w:r>
      <w:r>
        <w:rPr>
          <w:rStyle w:val="OperatorTok"/>
        </w:rPr>
        <w:t xml:space="preserve">=</w:t>
      </w:r>
      <w:r>
        <w:rPr>
          <w:rStyle w:val="NormalTok"/>
        </w:rPr>
        <w:t xml:space="preserve"> load(t) </w:t>
      </w:r>
      <w:r>
        <w:rPr>
          <w:rStyle w:val="OperatorTok"/>
        </w:rPr>
        <w:t xml:space="preserve">/</w:t>
      </w:r>
      <w:r>
        <w:rPr>
          <w:rStyle w:val="NormalTok"/>
        </w:rPr>
        <w:t xml:space="preserve"> cap</w:t>
      </w:r>
      <w:r>
        <w:br/>
      </w:r>
      <w:r>
        <w:rPr>
          <w:rStyle w:val="NormalTok"/>
        </w:rPr>
        <w:t xml:space="preserve">        worst </w:t>
      </w:r>
      <w:r>
        <w:rPr>
          <w:rStyle w:val="OperatorTok"/>
        </w:rPr>
        <w:t xml:space="preserve">=</w:t>
      </w:r>
      <w:r>
        <w:rPr>
          <w:rStyle w:val="NormalTok"/>
        </w:rPr>
        <w:t xml:space="preserve"> </w:t>
      </w:r>
      <w:r>
        <w:rPr>
          <w:rStyle w:val="BuiltInTok"/>
        </w:rPr>
        <w:t xml:space="preserve">max</w:t>
      </w:r>
      <w:r>
        <w:rPr>
          <w:rStyle w:val="NormalTok"/>
        </w:rPr>
        <w:t xml:space="preserve">(worst, util)</w:t>
      </w:r>
      <w:r>
        <w:br/>
      </w:r>
      <w:r>
        <w:rPr>
          <w:rStyle w:val="NormalTok"/>
        </w:rPr>
        <w:t xml:space="preserve">        overloaded </w:t>
      </w:r>
      <w:r>
        <w:rPr>
          <w:rStyle w:val="OperatorTok"/>
        </w:rPr>
        <w:t xml:space="preserve">+=</w:t>
      </w:r>
      <w:r>
        <w:rPr>
          <w:rStyle w:val="NormalTok"/>
        </w:rPr>
        <w:t xml:space="preserve"> util </w:t>
      </w:r>
      <w:r>
        <w:rPr>
          <w:rStyle w:val="OperatorTok"/>
        </w:rPr>
        <w:t xml:space="preserve">&gt;</w:t>
      </w:r>
      <w:r>
        <w:rPr>
          <w:rStyle w:val="NormalTok"/>
        </w:rPr>
        <w:t xml:space="preserve"> </w:t>
      </w:r>
      <w:r>
        <w:rPr>
          <w:rStyle w:val="FloatTok"/>
        </w:rPr>
        <w:t xml:space="preserve">1.0</w:t>
      </w:r>
      <w:r>
        <w:br/>
      </w:r>
      <w:r>
        <w:rPr>
          <w:rStyle w:val="NormalTok"/>
        </w:rPr>
        <w:t xml:space="preserve">        </w:t>
      </w:r>
      <w:r>
        <w:rPr>
          <w:rStyle w:val="ControlFlowTok"/>
        </w:rPr>
        <w:t xml:space="preserve">if</w:t>
      </w:r>
      <w:r>
        <w:rPr>
          <w:rStyle w:val="NormalTok"/>
        </w:rPr>
        <w:t xml:space="preserve"> t </w:t>
      </w:r>
      <w:r>
        <w:rPr>
          <w:rStyle w:val="OperatorTok"/>
        </w:rPr>
        <w:t xml:space="preserve">%</w:t>
      </w:r>
      <w:r>
        <w:rPr>
          <w:rStyle w:val="NormalTok"/>
        </w:rPr>
        <w:t xml:space="preserve"> SYNC_S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t </w:t>
      </w:r>
      <w:r>
        <w:rPr>
          <w:rStyle w:val="OperatorTok"/>
        </w:rPr>
        <w:t xml:space="preserve">&gt;=</w:t>
      </w:r>
      <w:r>
        <w:rPr>
          <w:rStyle w:val="NormalTok"/>
        </w:rPr>
        <w:t xml:space="preserve"> METRIC_LAG_S:</w:t>
      </w:r>
      <w:r>
        <w:br/>
      </w:r>
      <w:r>
        <w:rPr>
          <w:rStyle w:val="NormalTok"/>
        </w:rPr>
        <w:t xml:space="preserve">            </w:t>
      </w:r>
      <w:r>
        <w:rPr>
          <w:rStyle w:val="CommentTok"/>
        </w:rPr>
        <w:t xml:space="preserve"># Average CPU over all pods as the autoscaler sees it; pods that are</w:t>
      </w:r>
      <w:r>
        <w:br/>
      </w:r>
      <w:r>
        <w:rPr>
          <w:rStyle w:val="NormalTok"/>
        </w:rPr>
        <w:t xml:space="preserve">            </w:t>
      </w:r>
      <w:r>
        <w:rPr>
          <w:rStyle w:val="CommentTok"/>
        </w:rPr>
        <w:t xml:space="preserve"># not ready count as idle, as the HPA assumes when scaling up.</w:t>
      </w:r>
      <w:r>
        <w:br/>
      </w:r>
      <w:r>
        <w:rPr>
          <w:rStyle w:val="NormalTok"/>
        </w:rPr>
        <w:t xml:space="preserve">            seen </w:t>
      </w:r>
      <w:r>
        <w:rPr>
          <w:rStyle w:val="OperatorTok"/>
        </w:rPr>
        <w:t xml:space="preserve">=</w:t>
      </w:r>
      <w:r>
        <w:rPr>
          <w:rStyle w:val="NormalTok"/>
        </w:rPr>
        <w:t xml:space="preserve"> load(t </w:t>
      </w:r>
      <w:r>
        <w:rPr>
          <w:rStyle w:val="OperatorTok"/>
        </w:rPr>
        <w:t xml:space="preserve">-</w:t>
      </w:r>
      <w:r>
        <w:rPr>
          <w:rStyle w:val="NormalTok"/>
        </w:rPr>
        <w:t xml:space="preserve"> METRIC_LAG_S) </w:t>
      </w:r>
      <w:r>
        <w:rPr>
          <w:rStyle w:val="OperatorTok"/>
        </w:rPr>
        <w:t xml:space="preserve">/</w:t>
      </w:r>
      <w:r>
        <w:rPr>
          <w:rStyle w:val="NormalTok"/>
        </w:rPr>
        <w:t xml:space="preserve"> (</w:t>
      </w:r>
      <w:r>
        <w:rPr>
          <w:rStyle w:val="BuiltInTok"/>
        </w:rPr>
        <w:t xml:space="preserve">len</w:t>
      </w:r>
      <w:r>
        <w:rPr>
          <w:rStyle w:val="NormalTok"/>
        </w:rPr>
        <w:t xml:space="preserve">(pods) </w:t>
      </w:r>
      <w:r>
        <w:rPr>
          <w:rStyle w:val="OperatorTok"/>
        </w:rPr>
        <w:t xml:space="preserve">*</w:t>
      </w:r>
      <w:r>
        <w:rPr>
          <w:rStyle w:val="NormalTok"/>
        </w:rPr>
        <w:t xml:space="preserve"> POD_RPS)</w:t>
      </w:r>
      <w:r>
        <w:br/>
      </w:r>
      <w:r>
        <w:rPr>
          <w:rStyle w:val="NormalTok"/>
        </w:rPr>
        <w:t xml:space="preserve">            ratio </w:t>
      </w:r>
      <w:r>
        <w:rPr>
          <w:rStyle w:val="OperatorTok"/>
        </w:rPr>
        <w:t xml:space="preserve">=</w:t>
      </w:r>
      <w:r>
        <w:rPr>
          <w:rStyle w:val="NormalTok"/>
        </w:rPr>
        <w:t xml:space="preserve"> seen </w:t>
      </w:r>
      <w:r>
        <w:rPr>
          <w:rStyle w:val="OperatorTok"/>
        </w:rPr>
        <w:t xml:space="preserve">/</w:t>
      </w:r>
      <w:r>
        <w:rPr>
          <w:rStyle w:val="NormalTok"/>
        </w:rPr>
        <w:t xml:space="preserve"> target</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(ratio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&gt;</w:t>
      </w:r>
      <w:r>
        <w:rPr>
          <w:rStyle w:val="NormalTok"/>
        </w:rPr>
        <w:t xml:space="preserve"> TOLERANCE:</w:t>
      </w:r>
      <w:r>
        <w:br/>
      </w:r>
      <w:r>
        <w:rPr>
          <w:rStyle w:val="NormalTok"/>
        </w:rPr>
        <w:t xml:space="preserve">                desired </w:t>
      </w:r>
      <w:r>
        <w:rPr>
          <w:rStyle w:val="OperatorTok"/>
        </w:rPr>
        <w:t xml:space="preserve">=</w:t>
      </w:r>
      <w:r>
        <w:rPr>
          <w:rStyle w:val="NormalTok"/>
        </w:rPr>
        <w:t xml:space="preserve"> math.ceil(</w:t>
      </w:r>
      <w:r>
        <w:rPr>
          <w:rStyle w:val="BuiltInTok"/>
        </w:rPr>
        <w:t xml:space="preserve">len</w:t>
      </w:r>
      <w:r>
        <w:rPr>
          <w:rStyle w:val="NormalTok"/>
        </w:rPr>
        <w:t xml:space="preserve">(pods) </w:t>
      </w:r>
      <w:r>
        <w:rPr>
          <w:rStyle w:val="OperatorTok"/>
        </w:rPr>
        <w:t xml:space="preserve">*</w:t>
      </w:r>
      <w:r>
        <w:rPr>
          <w:rStyle w:val="NormalTok"/>
        </w:rPr>
        <w:t xml:space="preserve"> ratio)</w:t>
      </w:r>
      <w:r>
        <w:br/>
      </w:r>
      <w:r>
        <w:rPr>
          <w:rStyle w:val="NormalTok"/>
        </w:rPr>
        <w:t xml:space="preserve">                </w:t>
      </w:r>
      <w:r>
        <w:rPr>
          <w:rStyle w:val="ControlFlowTok"/>
        </w:rPr>
        <w:t xml:space="preserve">if</w:t>
      </w:r>
      <w:r>
        <w:rPr>
          <w:rStyle w:val="NormalTok"/>
        </w:rPr>
        <w:t xml:space="preserve"> desired </w:t>
      </w:r>
      <w:r>
        <w:rPr>
          <w:rStyle w:val="OperatorTok"/>
        </w:rPr>
        <w:t xml:space="preserve">&gt;</w:t>
      </w:r>
      <w:r>
        <w:rPr>
          <w:rStyle w:val="NormalTok"/>
        </w:rPr>
        <w:t xml:space="preserve"> </w:t>
      </w:r>
      <w:r>
        <w:rPr>
          <w:rStyle w:val="BuiltInTok"/>
        </w:rPr>
        <w:t xml:space="preserve">len</w:t>
      </w:r>
      <w:r>
        <w:rPr>
          <w:rStyle w:val="NormalTok"/>
        </w:rPr>
        <w:t xml:space="preserve">(pods):</w:t>
      </w:r>
      <w:r>
        <w:br/>
      </w:r>
      <w:r>
        <w:rPr>
          <w:rStyle w:val="NormalTok"/>
        </w:rPr>
        <w:t xml:space="preserve">                    pods </w:t>
      </w:r>
      <w:r>
        <w:rPr>
          <w:rStyle w:val="OperatorTok"/>
        </w:rPr>
        <w:t xml:space="preserve">+=</w:t>
      </w:r>
      <w:r>
        <w:rPr>
          <w:rStyle w:val="NormalTok"/>
        </w:rPr>
        <w:t xml:space="preserve"> [t] </w:t>
      </w:r>
      <w:r>
        <w:rPr>
          <w:rStyle w:val="OperatorTok"/>
        </w:rPr>
        <w:t xml:space="preserve">*</w:t>
      </w:r>
      <w:r>
        <w:rPr>
          <w:rStyle w:val="NormalTok"/>
        </w:rPr>
        <w:t xml:space="preserve"> (desired </w:t>
      </w:r>
      <w:r>
        <w:rPr>
          <w:rStyle w:val="OperatorTok"/>
        </w:rPr>
        <w:t xml:space="preserve">-</w:t>
      </w:r>
      <w:r>
        <w:rPr>
          <w:rStyle w:val="NormalTok"/>
        </w:rPr>
        <w:t xml:space="preserve"> </w:t>
      </w:r>
      <w:r>
        <w:rPr>
          <w:rStyle w:val="BuiltInTok"/>
        </w:rPr>
        <w:t xml:space="preserve">len</w:t>
      </w:r>
      <w:r>
        <w:rPr>
          <w:rStyle w:val="NormalTok"/>
        </w:rPr>
        <w:t xml:space="preserve">(pods))</w:t>
      </w:r>
      <w:r>
        <w:br/>
      </w:r>
      <w:r>
        <w:rPr>
          <w:rStyle w:val="NormalTok"/>
        </w:rPr>
        <w:t xml:space="preserve">    </w:t>
      </w:r>
      <w:r>
        <w:rPr>
          <w:rStyle w:val="ControlFlowTok"/>
        </w:rPr>
        <w:t xml:space="preserve">return</w:t>
      </w:r>
      <w:r>
        <w:rPr>
          <w:rStyle w:val="NormalTok"/>
        </w:rPr>
        <w:t xml:space="preserve"> worst, overloaded, </w:t>
      </w:r>
      <w:r>
        <w:rPr>
          <w:rStyle w:val="BuiltInTok"/>
        </w:rPr>
        <w:t xml:space="preserve">len</w:t>
      </w:r>
      <w:r>
        <w:rPr>
          <w:rStyle w:val="NormalTok"/>
        </w:rPr>
        <w:t xml:space="preserve">(pods)</w:t>
      </w:r>
      <w:r>
        <w:br/>
      </w:r>
      <w:r>
        <w:br/>
      </w:r>
      <w:r>
        <w:br/>
      </w:r>
      <w:r>
        <w:rPr>
          <w:rStyle w:val="BuiltInTok"/>
        </w:rPr>
        <w:t xml:space="preserve">print</w:t>
      </w:r>
      <w:r>
        <w:rPr>
          <w:rStyle w:val="NormalTok"/>
        </w:rPr>
        <w:t xml:space="preserve">(</w:t>
      </w:r>
      <w:r>
        <w:rPr>
          <w:rStyle w:val="StringTok"/>
        </w:rPr>
        <w:t xml:space="preserve">"target  peak util  seconds &gt;100%  final pods"</w:t>
      </w:r>
      <w:r>
        <w:rPr>
          <w:rStyle w:val="NormalTok"/>
        </w:rPr>
        <w:t xml:space="preserve">)</w:t>
      </w:r>
      <w:r>
        <w:br/>
      </w:r>
      <w:r>
        <w:rPr>
          <w:rStyle w:val="ControlFlowTok"/>
        </w:rPr>
        <w:t xml:space="preserve">for</w:t>
      </w:r>
      <w:r>
        <w:rPr>
          <w:rStyle w:val="NormalTok"/>
        </w:rPr>
        <w:t xml:space="preserve"> target </w:t>
      </w:r>
      <w:r>
        <w:rPr>
          <w:rStyle w:val="KeywordTok"/>
        </w:rPr>
        <w:t xml:space="preserve">in</w:t>
      </w:r>
      <w:r>
        <w:rPr>
          <w:rStyle w:val="NormalTok"/>
        </w:rPr>
        <w:t xml:space="preserve"> (</w:t>
      </w:r>
      <w:r>
        <w:rPr>
          <w:rStyle w:val="FloatTok"/>
        </w:rPr>
        <w:t xml:space="preserve">0.5</w:t>
      </w:r>
      <w:r>
        <w:rPr>
          <w:rStyle w:val="NormalTok"/>
        </w:rPr>
        <w:t xml:space="preserve">, </w:t>
      </w:r>
      <w:r>
        <w:rPr>
          <w:rStyle w:val="FloatTok"/>
        </w:rPr>
        <w:t xml:space="preserve">0.6</w:t>
      </w:r>
      <w:r>
        <w:rPr>
          <w:rStyle w:val="NormalTok"/>
        </w:rPr>
        <w:t xml:space="preserve">, </w:t>
      </w:r>
      <w:r>
        <w:rPr>
          <w:rStyle w:val="FloatTok"/>
        </w:rPr>
        <w:t xml:space="preserve">0.7</w:t>
      </w:r>
      <w:r>
        <w:rPr>
          <w:rStyle w:val="NormalTok"/>
        </w:rPr>
        <w:t xml:space="preserve">, </w:t>
      </w:r>
      <w:r>
        <w:rPr>
          <w:rStyle w:val="FloatTok"/>
        </w:rPr>
        <w:t xml:space="preserve">0.8</w:t>
      </w:r>
      <w:r>
        <w:rPr>
          <w:rStyle w:val="NormalTok"/>
        </w:rPr>
        <w:t xml:space="preserve">):</w:t>
      </w:r>
      <w:r>
        <w:br/>
      </w:r>
      <w:r>
        <w:rPr>
          <w:rStyle w:val="NormalTok"/>
        </w:rPr>
        <w:t xml:space="preserve">    worst, over, final </w:t>
      </w:r>
      <w:r>
        <w:rPr>
          <w:rStyle w:val="OperatorTok"/>
        </w:rPr>
        <w:t xml:space="preserve">=</w:t>
      </w:r>
      <w:r>
        <w:rPr>
          <w:rStyle w:val="NormalTok"/>
        </w:rPr>
        <w:t xml:space="preserve"> run(target)</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target</w:t>
      </w:r>
      <w:r>
        <w:rPr>
          <w:rStyle w:val="SpecialCharTok"/>
        </w:rPr>
        <w:t xml:space="preserve">:5.0%}</w:t>
      </w:r>
      <w:r>
        <w:rPr>
          <w:rStyle w:val="SpecialStringTok"/>
        </w:rPr>
        <w:t xml:space="preserve">   </w:t>
      </w:r>
      <w:r>
        <w:rPr>
          <w:rStyle w:val="SpecialCharTok"/>
        </w:rPr>
        <w:t xml:space="preserve">{</w:t>
      </w:r>
      <w:r>
        <w:rPr>
          <w:rStyle w:val="NormalTok"/>
        </w:rPr>
        <w:t xml:space="preserve">worst</w:t>
      </w:r>
      <w:r>
        <w:rPr>
          <w:rStyle w:val="SpecialCharTok"/>
        </w:rPr>
        <w:t xml:space="preserve">:8.0%}</w:t>
      </w:r>
      <w:r>
        <w:rPr>
          <w:rStyle w:val="SpecialStringTok"/>
        </w:rPr>
        <w:t xml:space="preserve">   </w:t>
      </w:r>
      <w:r>
        <w:rPr>
          <w:rStyle w:val="SpecialCharTok"/>
        </w:rPr>
        <w:t xml:space="preserve">{</w:t>
      </w:r>
      <w:r>
        <w:rPr>
          <w:rStyle w:val="NormalTok"/>
        </w:rPr>
        <w:t xml:space="preserve">over</w:t>
      </w:r>
      <w:r>
        <w:rPr>
          <w:rStyle w:val="SpecialCharTok"/>
        </w:rPr>
        <w:t xml:space="preserve">:12d}</w:t>
      </w:r>
      <w:r>
        <w:rPr>
          <w:rStyle w:val="SpecialStringTok"/>
        </w:rPr>
        <w:t xml:space="preserve">   </w:t>
      </w:r>
      <w:r>
        <w:rPr>
          <w:rStyle w:val="SpecialCharTok"/>
        </w:rPr>
        <w:t xml:space="preserve">{</w:t>
      </w:r>
      <w:r>
        <w:rPr>
          <w:rStyle w:val="NormalTok"/>
        </w:rPr>
        <w:t xml:space="preserve">final</w:t>
      </w:r>
      <w:r>
        <w:rPr>
          <w:rStyle w:val="SpecialCharTok"/>
        </w:rPr>
        <w:t xml:space="preserve">:9d}</w:t>
      </w:r>
      <w:r>
        <w:rPr>
          <w:rStyle w:val="SpecialStringTok"/>
        </w:rPr>
        <w:t xml:space="preserve">"</w:t>
      </w:r>
      <w:r>
        <w:rPr>
          <w:rStyle w:val="NormalTok"/>
        </w:rPr>
        <w:t xml:space="preserve">)</w:t>
      </w:r>
    </w:p>
    <w:p>
      <w:pPr>
        <w:pStyle w:val="FirstParagraph"/>
      </w:pPr>
      <w:r>
        <w:t xml:space="preserve">Output:</w:t>
      </w:r>
    </w:p>
    <w:p>
      <w:pPr>
        <w:pStyle w:val="SourceCode"/>
      </w:pPr>
      <w:r>
        <w:rPr>
          <w:rStyle w:val="VerbatimChar"/>
        </w:rPr>
        <w:t xml:space="preserve">target  peak util  seconds &gt;100%  final pods</w:t>
      </w:r>
      <w:r>
        <w:br/>
      </w:r>
      <w:r>
        <w:rPr>
          <w:rStyle w:val="VerbatimChar"/>
        </w:rPr>
        <w:t xml:space="preserve">  50%        74%              0          23</w:t>
      </w:r>
      <w:r>
        <w:br/>
      </w:r>
      <w:r>
        <w:rPr>
          <w:rStyle w:val="VerbatimChar"/>
        </w:rPr>
        <w:t xml:space="preserve">  60%        88%              0          19</w:t>
      </w:r>
      <w:r>
        <w:br/>
      </w:r>
      <w:r>
        <w:rPr>
          <w:rStyle w:val="VerbatimChar"/>
        </w:rPr>
        <w:t xml:space="preserve">  70%       102%              9          17</w:t>
      </w:r>
      <w:r>
        <w:br/>
      </w:r>
      <w:r>
        <w:rPr>
          <w:rStyle w:val="VerbatimChar"/>
        </w:rPr>
        <w:t xml:space="preserve">  80%       116%            184          15</w:t>
      </w:r>
    </w:p>
    <w:p>
      <w:pPr>
        <w:pStyle w:val="FirstParagraph"/>
      </w:pPr>
      <w:r>
        <w:t xml:space="preserve">What to notice:</w:t>
      </w:r>
    </w:p>
    <w:p>
      <w:pPr>
        <w:numPr>
          <w:ilvl w:val="0"/>
          <w:numId w:val="1607"/>
        </w:numPr>
        <w:pStyle w:val="Compact"/>
      </w:pPr>
      <w:r>
        <w:t xml:space="preserve">At an 80% target the fleet spends about three minutes above 100% utilization, during which queues grow without bound (§4.10). At 60% the worst moment is 88%, close to</w:t>
      </w:r>
      <w:r>
        <w:t xml:space="preserve"> </w:t>
      </w:r>
      <m:oMath>
        <m:sSub>
          <m:e>
            <m:r>
              <m:t>u</m:t>
            </m:r>
          </m:e>
          <m:sub>
            <m:r>
              <m:t>s</m:t>
            </m:r>
            <m:r>
              <m:t>a</m:t>
            </m:r>
            <m:r>
              <m:t>f</m:t>
            </m:r>
            <m:r>
              <m:t>e</m:t>
            </m:r>
          </m:sub>
        </m:sSub>
        <m:r>
          <m:rPr>
            <m:sty m:val="p"/>
          </m:rPr>
          <m:t>=</m:t>
        </m:r>
        <m:r>
          <m:t>0.85</m:t>
        </m:r>
      </m:oMath>
      <w:r>
        <w:t xml:space="preserve">. That is consistent with the formula, because this ramp starts at 20% per minute, a little faster than the 15% assumed in the worked example.</w:t>
      </w:r>
    </w:p>
    <w:p>
      <w:pPr>
        <w:numPr>
          <w:ilvl w:val="0"/>
          <w:numId w:val="1607"/>
        </w:numPr>
        <w:pStyle w:val="Compact"/>
      </w:pPr>
      <w:r>
        <w:t xml:space="preserve">The final pod counts differ by only 8 pods (23 versus 15), but the overload differs by minutes. Headroom is cheap insurance against reaction time.</w:t>
      </w:r>
    </w:p>
    <w:p>
      <w:pPr>
        <w:numPr>
          <w:ilvl w:val="0"/>
          <w:numId w:val="1607"/>
        </w:numPr>
        <w:pStyle w:val="Compact"/>
      </w:pPr>
      <w:r>
        <w:t xml:space="preserve">The model ignores backlog carried over from overloaded seconds, so real overload lasts longer than shown.</w:t>
      </w:r>
    </w:p>
    <w:p>
      <w:pPr>
        <w:pStyle w:val="CalloutIndustry"/>
      </w:pPr>
      <w:r>
        <w:rPr>
          <w:bCs/>
          <w:b/>
        </w:rPr>
        <w:t xml:space="preserve">INDUSTRY EXAMPLE</w:t>
      </w:r>
    </w:p>
    <w:p>
      <w:pPr>
        <w:pStyle w:val="CalloutIndustry"/>
      </w:pPr>
      <w:r>
        <w:rPr>
          <w:bCs/>
          <w:b/>
        </w:rPr>
        <w:t xml:space="preserve">Predictive autoscaling.</w:t>
      </w:r>
      <w:r>
        <w:t xml:space="preserve"> </w:t>
      </w:r>
      <w:r>
        <w:t xml:space="preserve">Netflix described Scryer, a system that forecasts each service’s traffic from historical daily and weekly patterns and scales capacity</w:t>
      </w:r>
      <w:r>
        <w:t xml:space="preserve"> </w:t>
      </w:r>
      <w:r>
        <w:rPr>
          <w:iCs/>
          <w:i/>
        </w:rPr>
        <w:t xml:space="preserve">ahead</w:t>
      </w:r>
      <w:r>
        <w:t xml:space="preserve"> </w:t>
      </w:r>
      <w:r>
        <w:t xml:space="preserve">of the predicted demand, with reactive autoscaling kept as a safety net for surprises. Cloud providers offer similar predictive scaling for virtual-machine groups.</w:t>
      </w:r>
      <w:r>
        <w:t xml:space="preserve"> </w:t>
      </w:r>
      <w:r>
        <w:rPr>
          <w:iCs/>
          <w:i/>
        </w:rPr>
        <w:t xml:space="preserve">Evidence: Primary</w:t>
      </w:r>
      <w:r>
        <w:t xml:space="preserve"> </w:t>
      </w:r>
      <w:r>
        <w:t xml:space="preserve">— [Netflix 2013], [AWS Docs: EC2 Auto Scaling]</w:t>
      </w:r>
    </w:p>
    <w:bookmarkEnd w:id="2097"/>
    <w:bookmarkStart w:id="2102" w:name="connection-pools-versus-database-limits"/>
    <w:p>
      <w:pPr>
        <w:pStyle w:val="Heading3"/>
      </w:pPr>
      <w:r>
        <w:t xml:space="preserve">18.8.5 Connection pools versus database limits</w:t>
      </w:r>
    </w:p>
    <w:p>
      <w:pPr>
        <w:pStyle w:val="FirstParagraph"/>
      </w:pPr>
      <w:r>
        <w:t xml:space="preserve">Every application instance keeps a</w:t>
      </w:r>
      <w:r>
        <w:t xml:space="preserve"> </w:t>
      </w:r>
      <w:r>
        <w:rPr>
          <w:bCs/>
          <w:b/>
        </w:rPr>
        <w:t xml:space="preserve">connection pool</w:t>
      </w:r>
      <w:r>
        <w:t xml:space="preserve"> </w:t>
      </w:r>
      <w:r>
        <w:t xml:space="preserve">to the database (§7.16, §14.13). Pool size is set per instance, but the database’s connection limit is set per database. Horizontal scaling multiplies the first and leaves the second fixed. PostgreSQL runs one backend process per connection, reserves a few slots for superusers, and refuses the rest with</w:t>
      </w:r>
      <w:r>
        <w:t xml:space="preserve"> </w:t>
      </w:r>
      <w:r>
        <w:rPr>
          <w:rStyle w:val="VerbatimChar"/>
        </w:rPr>
        <w:t xml:space="preserve">FATAL: sorry, too many clients already</w:t>
      </w:r>
      <w:r>
        <w:t xml:space="preserve"> </w:t>
      </w:r>
      <w:r>
        <w:t xml:space="preserve">[PostgreSQL Docs: Connections].</w:t>
      </w:r>
    </w:p>
    <w:p>
      <w:pPr>
        <w:pStyle w:val="CalloutFormula"/>
      </w:pPr>
      <w:r>
        <w:rPr>
          <w:bCs/>
          <w:b/>
        </w:rPr>
        <w:t xml:space="preserve">FORMULA</w:t>
      </w:r>
    </w:p>
    <w:p>
      <w:pPr>
        <w:pStyle w:val="CalloutFormula"/>
      </w:pPr>
      <w:r>
        <w:rPr>
          <w:bCs/>
          <w:b/>
        </w:rPr>
        <w:t xml:space="preserve">Connection budget</w:t>
      </w:r>
    </w:p>
    <w:p>
      <w:pPr>
        <w:pStyle w:val="CalloutFormula"/>
      </w:pPr>
      <m:oMathPara>
        <m:oMathParaPr>
          <m:jc m:val="center"/>
        </m:oMathParaPr>
        <m:oMath>
          <m:sSub>
            <m:e>
              <m:r>
                <m:t>n</m:t>
              </m:r>
            </m:e>
            <m:sub>
              <m:r>
                <m:t>m</m:t>
              </m:r>
              <m:r>
                <m:t>a</m:t>
              </m:r>
              <m:r>
                <m:t>x</m:t>
              </m:r>
            </m:sub>
          </m:sSub>
          <m:r>
            <m:rPr>
              <m:sty m:val="p"/>
            </m:rPr>
            <m:t>×</m:t>
          </m:r>
          <m:r>
            <m:t>p</m:t>
          </m:r>
          <m:r>
            <m:rPr>
              <m:sty m:val="p"/>
            </m:rPr>
            <m:t>+</m:t>
          </m:r>
          <m:nary>
            <m:naryPr>
              <m:chr m:val="∑"/>
              <m:limLoc m:val="undOvr"/>
              <m:subHide m:val="off"/>
              <m:supHide m:val="on"/>
            </m:naryPr>
            <m:sub>
              <m:r>
                <m:t>j</m:t>
              </m:r>
            </m:sub>
            <m:sup>
              <m:r>
                <m:t>​</m:t>
              </m:r>
            </m:sup>
            <m:e>
              <m:sSub>
                <m:e>
                  <m:r>
                    <m:t>n</m:t>
                  </m:r>
                </m:e>
                <m:sub>
                  <m:r>
                    <m:t>j</m:t>
                  </m:r>
                </m:sub>
              </m:sSub>
            </m:e>
          </m:nary>
          <m:sSub>
            <m:e>
              <m:r>
                <m:t>p</m:t>
              </m:r>
            </m:e>
            <m:sub>
              <m:r>
                <m:t>j</m:t>
              </m:r>
            </m:sub>
          </m:sSub>
          <m:r>
            <m:rPr>
              <m:sty m:val="p"/>
            </m:rPr>
            <m:t>≤</m:t>
          </m:r>
          <m:r>
            <m:t>M</m:t>
          </m:r>
          <m:r>
            <m:rPr>
              <m:sty m:val="p"/>
            </m:rPr>
            <m:t>−</m:t>
          </m:r>
          <m:r>
            <m:t>R</m:t>
          </m:r>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n</m:t>
                  </m:r>
                </m:e>
                <m:sub>
                  <m:r>
                    <m:t>m</m:t>
                  </m:r>
                  <m:r>
                    <m:t>a</m:t>
                  </m:r>
                  <m:r>
                    <m:t>x</m:t>
                  </m:r>
                </m:sub>
              </m:sSub>
            </m:oMath>
          </w:p>
        </w:tc>
        <w:tc>
          <w:tcPr/>
          <w:p>
            <w:pPr>
              <w:pStyle w:val="Compact"/>
              <w:jc w:val="left"/>
            </w:pPr>
            <w:r>
              <w:t xml:space="preserve">Maximum replicas of the scaled service (autoscaler</w:t>
            </w:r>
            <w:r>
              <w:t xml:space="preserve"> </w:t>
            </w:r>
            <w:r>
              <w:rPr>
                <w:rStyle w:val="VerbatimChar"/>
              </w:rPr>
              <w:t xml:space="preserve">maxReplicas</w:t>
            </w:r>
            <w:r>
              <w:t xml:space="preserve">)</w:t>
            </w:r>
          </w:p>
        </w:tc>
        <w:tc>
          <w:tcPr/>
          <w:p>
            <w:pPr>
              <w:pStyle w:val="Compact"/>
              <w:jc w:val="left"/>
            </w:pPr>
            <w:r>
              <w:t xml:space="preserve">pods</w:t>
            </w:r>
          </w:p>
        </w:tc>
      </w:tr>
      <w:tr>
        <w:tc>
          <w:tcPr/>
          <w:p>
            <w:pPr>
              <w:pStyle w:val="Compact"/>
              <w:jc w:val="left"/>
            </w:pPr>
            <m:oMath>
              <m:r>
                <m:t>p</m:t>
              </m:r>
            </m:oMath>
          </w:p>
        </w:tc>
        <w:tc>
          <w:tcPr/>
          <w:p>
            <w:pPr>
              <w:pStyle w:val="Compact"/>
              <w:jc w:val="left"/>
            </w:pPr>
            <w:r>
              <w:t xml:space="preserve">Maximum pool size per replica</w:t>
            </w:r>
          </w:p>
        </w:tc>
        <w:tc>
          <w:tcPr/>
          <w:p>
            <w:pPr>
              <w:pStyle w:val="Compact"/>
              <w:jc w:val="left"/>
            </w:pPr>
            <w:r>
              <w:t xml:space="preserve">connections</w:t>
            </w:r>
          </w:p>
        </w:tc>
      </w:tr>
      <w:tr>
        <w:tc>
          <w:tcPr/>
          <w:p>
            <w:pPr>
              <w:pStyle w:val="Compact"/>
              <w:jc w:val="left"/>
            </w:pPr>
            <m:oMath>
              <m:sSub>
                <m:e>
                  <m:r>
                    <m:t>n</m:t>
                  </m:r>
                </m:e>
                <m:sub>
                  <m:r>
                    <m:t>j</m:t>
                  </m:r>
                </m:sub>
              </m:sSub>
              <m:r>
                <m:rPr>
                  <m:sty m:val="p"/>
                </m:rPr>
                <m:t>,</m:t>
              </m:r>
              <m:sSub>
                <m:e>
                  <m:r>
                    <m:t>p</m:t>
                  </m:r>
                </m:e>
                <m:sub>
                  <m:r>
                    <m:t>j</m:t>
                  </m:r>
                </m:sub>
              </m:sSub>
            </m:oMath>
          </w:p>
        </w:tc>
        <w:tc>
          <w:tcPr/>
          <w:p>
            <w:pPr>
              <w:pStyle w:val="Compact"/>
              <w:jc w:val="left"/>
            </w:pPr>
            <w:r>
              <w:t xml:space="preserve">Replicas and pool size of every other client service</w:t>
            </w:r>
            <w:r>
              <w:t xml:space="preserve"> </w:t>
            </w:r>
            <m:oMath>
              <m:r>
                <m:t>j</m:t>
              </m:r>
            </m:oMath>
          </w:p>
        </w:tc>
        <w:tc>
          <w:tcPr/>
          <w:p>
            <w:pPr>
              <w:pStyle w:val="Compact"/>
              <w:jc w:val="left"/>
            </w:pPr>
            <w:r>
              <w:t xml:space="preserve">pods, connections</w:t>
            </w:r>
          </w:p>
        </w:tc>
      </w:tr>
      <w:tr>
        <w:tc>
          <w:tcPr/>
          <w:p>
            <w:pPr>
              <w:pStyle w:val="Compact"/>
              <w:jc w:val="left"/>
            </w:pPr>
            <m:oMath>
              <m:r>
                <m:t>M</m:t>
              </m:r>
            </m:oMath>
          </w:p>
        </w:tc>
        <w:tc>
          <w:tcPr/>
          <w:p>
            <w:pPr>
              <w:pStyle w:val="Compact"/>
              <w:jc w:val="left"/>
            </w:pPr>
            <w:r>
              <w:t xml:space="preserve">Database</w:t>
            </w:r>
            <w:r>
              <w:t xml:space="preserve"> </w:t>
            </w:r>
            <w:r>
              <w:rPr>
                <w:rStyle w:val="VerbatimChar"/>
              </w:rPr>
              <w:t xml:space="preserve">max_connections</w:t>
            </w:r>
          </w:p>
        </w:tc>
        <w:tc>
          <w:tcPr/>
          <w:p>
            <w:pPr>
              <w:pStyle w:val="Compact"/>
              <w:jc w:val="left"/>
            </w:pPr>
            <w:r>
              <w:t xml:space="preserve">connections</w:t>
            </w:r>
          </w:p>
        </w:tc>
      </w:tr>
      <w:tr>
        <w:tc>
          <w:tcPr/>
          <w:p>
            <w:pPr>
              <w:pStyle w:val="Compact"/>
              <w:jc w:val="left"/>
            </w:pPr>
            <m:oMath>
              <m:r>
                <m:t>R</m:t>
              </m:r>
            </m:oMath>
          </w:p>
        </w:tc>
        <w:tc>
          <w:tcPr/>
          <w:p>
            <w:pPr>
              <w:pStyle w:val="Compact"/>
              <w:jc w:val="left"/>
            </w:pPr>
            <w:r>
              <w:t xml:space="preserve">Connections reserved for superusers, replication, monitoring and migrations</w:t>
            </w:r>
          </w:p>
        </w:tc>
        <w:tc>
          <w:tcPr/>
          <w:p>
            <w:pPr>
              <w:pStyle w:val="Compact"/>
              <w:jc w:val="left"/>
            </w:pPr>
            <w:r>
              <w:t xml:space="preserve">connections</w:t>
            </w:r>
          </w:p>
        </w:tc>
      </w:tr>
    </w:tbl>
    <w:p>
      <w:pPr>
        <w:pStyle w:val="BodyText"/>
      </w:pPr>
      <w:r>
        <w:rPr>
          <w:bCs/>
          <w:b/>
        </w:rPr>
        <w:t xml:space="preserve">Figure 18.6 — Two hundred pods against one connection limit.</w:t>
      </w:r>
    </w:p>
    <w:p>
      <w:pPr>
        <w:pStyle w:val="BodyText"/>
      </w:pPr>
      <w:r>
        <w:drawing>
          <wp:inline>
            <wp:extent cx="5334000" cy="2419842"/>
            <wp:effectExtent b="0" l="0" r="0" t="0"/>
            <wp:docPr descr="" title="" id="2099" name="Picture"/>
            <a:graphic>
              <a:graphicData uri="http://schemas.openxmlformats.org/drawingml/2006/picture">
                <pic:pic>
                  <pic:nvPicPr>
                    <pic:cNvPr descr="/home/user/System-Design/build/.cache/diagrams/de241790f1c0.png" id="2100" name="Picture"/>
                    <pic:cNvPicPr>
                      <a:picLocks noChangeArrowheads="1" noChangeAspect="1"/>
                    </pic:cNvPicPr>
                  </pic:nvPicPr>
                  <pic:blipFill>
                    <a:blip r:embed="rId2098"/>
                    <a:stretch>
                      <a:fillRect/>
                    </a:stretch>
                  </pic:blipFill>
                  <pic:spPr bwMode="auto">
                    <a:xfrm>
                      <a:off x="0" y="0"/>
                      <a:ext cx="5334000" cy="2419842"/>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API deployment grows from 14 to 200 pods with pools of up to 20, and workers hold another 50 connections. All speak the PostgreSQL protocol synchronously to one primary whose</w:t>
      </w:r>
      <w:r>
        <w:t xml:space="preserve"> </w:t>
      </w:r>
      <w:r>
        <w:rPr>
          <w:rStyle w:val="VerbatimChar"/>
        </w:rPr>
        <w:t xml:space="preserve">max_connections</w:t>
      </w:r>
      <w:r>
        <w:t xml:space="preserve"> </w:t>
      </w:r>
      <w:r>
        <w:t xml:space="preserve">of 500 is the hard limit (storage boundary). The dotted edge from pod 200 shows connections refused once the budget is spent. The dotted path through PgBouncer is the alternative: the pooler multiplexes client connections onto about 40 server connections (§14.13), decoupling pod count from database connections. Failure point: the limit is reached exactly when traffic peaks and the autoscaler is adding pods.</w:t>
      </w:r>
    </w:p>
    <w:p>
      <w:pPr>
        <w:pStyle w:val="CalloutExample"/>
      </w:pPr>
      <w:r>
        <w:rPr>
          <w:bCs/>
          <w:b/>
        </w:rPr>
        <w:t xml:space="preserve">WORKED EXAMPLE</w:t>
      </w:r>
    </w:p>
    <w:p>
      <w:pPr>
        <w:pStyle w:val="CalloutExample"/>
      </w:pPr>
      <w:r>
        <w:rPr>
          <w:bCs/>
          <w:b/>
        </w:rPr>
        <w:t xml:space="preserve">Worked example — QuickBite’s promotion-night outage, on paper.</w:t>
      </w:r>
      <w:r>
        <w:t xml:space="preserve"> </w:t>
      </w:r>
      <w:r>
        <w:t xml:space="preserve">PostgreSQL primary:</w:t>
      </w:r>
      <w:r>
        <w:t xml:space="preserve"> </w:t>
      </w:r>
      <m:oMath>
        <m:r>
          <m:t>M</m:t>
        </m:r>
        <m:r>
          <m:rPr>
            <m:sty m:val="p"/>
          </m:rPr>
          <m:t>=</m:t>
        </m:r>
        <m:r>
          <m:t>500</m:t>
        </m:r>
      </m:oMath>
      <w:r>
        <w:t xml:space="preserve">. Reserved: 3 superuser slots plus 27 for replication, monitoring and migrations, so</w:t>
      </w:r>
      <w:r>
        <w:t xml:space="preserve"> </w:t>
      </w:r>
      <m:oMath>
        <m:r>
          <m:t>R</m:t>
        </m:r>
        <m:r>
          <m:rPr>
            <m:sty m:val="p"/>
          </m:rPr>
          <m:t>=</m:t>
        </m:r>
        <m:r>
          <m:t>30</m:t>
        </m:r>
      </m:oMath>
      <w:r>
        <w:t xml:space="preserve">. Workers:</w:t>
      </w:r>
      <w:r>
        <w:t xml:space="preserve"> </w:t>
      </w:r>
      <m:oMath>
        <m:r>
          <m:t>10</m:t>
        </m:r>
        <m:r>
          <m:rPr>
            <m:sty m:val="p"/>
          </m:rPr>
          <m:t>×</m:t>
        </m:r>
        <m:r>
          <m:t>5</m:t>
        </m:r>
        <m:r>
          <m:rPr>
            <m:sty m:val="p"/>
          </m:rPr>
          <m:t>=</m:t>
        </m:r>
        <m:r>
          <m:t>50</m:t>
        </m:r>
      </m:oMath>
      <w:r>
        <w:t xml:space="preserve">. API pods: pool 20, HPA from 14 to 200 replicas.</w:t>
      </w:r>
    </w:p>
    <w:p>
      <w:pPr>
        <w:numPr>
          <w:ilvl w:val="0"/>
          <w:numId w:val="1608"/>
        </w:numPr>
        <w:pStyle w:val="Compact"/>
      </w:pPr>
      <w:r>
        <w:t xml:space="preserve">Budget for the API:</w:t>
      </w:r>
      <w:r>
        <w:t xml:space="preserve"> </w:t>
      </w:r>
      <m:oMath>
        <m:r>
          <m:t>500</m:t>
        </m:r>
        <m:r>
          <m:rPr>
            <m:sty m:val="p"/>
          </m:rPr>
          <m:t>−</m:t>
        </m:r>
        <m:r>
          <m:t>30</m:t>
        </m:r>
        <m:r>
          <m:rPr>
            <m:sty m:val="p"/>
          </m:rPr>
          <m:t>−</m:t>
        </m:r>
        <m:r>
          <m:t>50</m:t>
        </m:r>
        <m:r>
          <m:rPr>
            <m:sty m:val="p"/>
          </m:rPr>
          <m:t>=</m:t>
        </m:r>
        <m:r>
          <m:t>420</m:t>
        </m:r>
      </m:oMath>
      <w:r>
        <w:t xml:space="preserve"> </w:t>
      </w:r>
      <w:r>
        <w:t xml:space="preserve">connections.</w:t>
      </w:r>
    </w:p>
    <w:p>
      <w:pPr>
        <w:numPr>
          <w:ilvl w:val="0"/>
          <w:numId w:val="1608"/>
        </w:numPr>
        <w:pStyle w:val="Compact"/>
      </w:pPr>
      <w:r>
        <w:t xml:space="preserve">At the minimum of 14 pods:</w:t>
      </w:r>
      <w:r>
        <w:t xml:space="preserve"> </w:t>
      </w:r>
      <m:oMath>
        <m:r>
          <m:t>14</m:t>
        </m:r>
        <m:r>
          <m:rPr>
            <m:sty m:val="p"/>
          </m:rPr>
          <m:t>×</m:t>
        </m:r>
        <m:r>
          <m:t>20</m:t>
        </m:r>
        <m:r>
          <m:rPr>
            <m:sty m:val="p"/>
          </m:rPr>
          <m:t>=</m:t>
        </m:r>
        <m:r>
          <m:t>280</m:t>
        </m:r>
      </m:oMath>
      <w:r>
        <w:t xml:space="preserve">. Fits.</w:t>
      </w:r>
    </w:p>
    <w:p>
      <w:pPr>
        <w:numPr>
          <w:ilvl w:val="0"/>
          <w:numId w:val="1608"/>
        </w:numPr>
        <w:pStyle w:val="Compact"/>
      </w:pPr>
      <w:r>
        <w:t xml:space="preserve">The autoscaler crosses</w:t>
      </w:r>
      <w:r>
        <w:t xml:space="preserve"> </w:t>
      </w:r>
      <m:oMath>
        <m:r>
          <m:t>420</m:t>
        </m:r>
        <m:r>
          <m:rPr>
            <m:sty m:val="p"/>
          </m:rPr>
          <m:t>/</m:t>
        </m:r>
        <m:r>
          <m:t>20</m:t>
        </m:r>
        <m:r>
          <m:rPr>
            <m:sty m:val="p"/>
          </m:rPr>
          <m:t>=</m:t>
        </m:r>
        <m:r>
          <m:t>21</m:t>
        </m:r>
      </m:oMath>
      <w:r>
        <w:t xml:space="preserve"> </w:t>
      </w:r>
      <w:r>
        <w:t xml:space="preserve">pods during a normal dinner peak. Pod 22 cannot fill its pool; its readiness check fails or its requests error. CPU stays high, so the autoscaler adds more pods, which also fail.</w:t>
      </w:r>
    </w:p>
    <w:p>
      <w:pPr>
        <w:numPr>
          <w:ilvl w:val="0"/>
          <w:numId w:val="1608"/>
        </w:numPr>
        <w:pStyle w:val="Compact"/>
      </w:pPr>
      <w:r>
        <w:t xml:space="preserve">At the maximum of 200 pods:</w:t>
      </w:r>
      <w:r>
        <w:t xml:space="preserve"> </w:t>
      </w:r>
      <m:oMath>
        <m:r>
          <m:t>200</m:t>
        </m:r>
        <m:r>
          <m:rPr>
            <m:sty m:val="p"/>
          </m:rPr>
          <m:t>×</m:t>
        </m:r>
        <m:r>
          <m:t>20</m:t>
        </m:r>
        <m:r>
          <m:rPr>
            <m:sty m:val="p"/>
          </m:rPr>
          <m:t>=</m:t>
        </m:r>
        <m:r>
          <m:t>4</m:t>
        </m:r>
        <m:r>
          <m:rPr>
            <m:sty m:val="p"/>
          </m:rPr>
          <m:t>,</m:t>
        </m:r>
        <m:r>
          <m:t>000</m:t>
        </m:r>
      </m:oMath>
      <w:r>
        <w:t xml:space="preserve"> </w:t>
      </w:r>
      <w:r>
        <w:t xml:space="preserve">connections, 9.5 times the budget.</w:t>
      </w:r>
    </w:p>
    <w:p>
      <w:pPr>
        <w:numPr>
          <w:ilvl w:val="0"/>
          <w:numId w:val="1608"/>
        </w:numPr>
        <w:pStyle w:val="Compact"/>
      </w:pPr>
      <w:r>
        <w:t xml:space="preserve">What the database actually needs, by Little’s Law (§4.11): at peak about 4,000 queries/s that reach the database (most browse reads are served by the cache) at about 2 ms each, plus 60 order transactions/s at about 15 ms, gives</w:t>
      </w:r>
      <w:r>
        <w:t xml:space="preserve"> </w:t>
      </w:r>
      <m:oMath>
        <m:r>
          <m:t>4</m:t>
        </m:r>
        <m:r>
          <m:rPr>
            <m:sty m:val="p"/>
          </m:rPr>
          <m:t>,</m:t>
        </m:r>
        <m:r>
          <m:t>000</m:t>
        </m:r>
        <m:r>
          <m:rPr>
            <m:sty m:val="p"/>
          </m:rPr>
          <m:t>×</m:t>
        </m:r>
        <m:r>
          <m:t>0.002</m:t>
        </m:r>
        <m:r>
          <m:rPr>
            <m:sty m:val="p"/>
          </m:rPr>
          <m:t>+</m:t>
        </m:r>
        <m:r>
          <m:t>60</m:t>
        </m:r>
        <m:r>
          <m:rPr>
            <m:sty m:val="p"/>
          </m:rPr>
          <m:t>×</m:t>
        </m:r>
        <m:r>
          <m:t>0.015</m:t>
        </m:r>
        <m:r>
          <m:rPr>
            <m:sty m:val="p"/>
          </m:rPr>
          <m:t>=</m:t>
        </m:r>
        <m:r>
          <m:t>8</m:t>
        </m:r>
        <m:r>
          <m:rPr>
            <m:sty m:val="p"/>
          </m:rPr>
          <m:t>+</m:t>
        </m:r>
        <m:r>
          <m:t>0.9</m:t>
        </m:r>
        <m:r>
          <m:rPr>
            <m:sty m:val="p"/>
          </m:rPr>
          <m:t>≈</m:t>
        </m:r>
        <m:r>
          <m:t>9</m:t>
        </m:r>
      </m:oMath>
      <w:r>
        <w:t xml:space="preserve"> </w:t>
      </w:r>
      <w:r>
        <w:t xml:space="preserve">busy connections on average. With 3× burst headroom, about 30.</w:t>
      </w:r>
    </w:p>
    <w:p>
      <w:pPr>
        <w:pStyle w:val="CalloutExample"/>
      </w:pPr>
      <w:r>
        <w:rPr>
          <w:iCs/>
          <w:i/>
        </w:rPr>
        <w:t xml:space="preserve">Three fixes.</w:t>
      </w:r>
    </w:p>
    <w:p>
      <w:pPr>
        <w:numPr>
          <w:ilvl w:val="0"/>
          <w:numId w:val="1609"/>
        </w:numPr>
        <w:pStyle w:val="Compact"/>
      </w:pPr>
      <w:r>
        <w:rPr>
          <w:bCs/>
          <w:b/>
        </w:rPr>
        <w:t xml:space="preserve">Shrink the pool:</w:t>
      </w:r>
      <w:r>
        <w:t xml:space="preserve"> </w:t>
      </w:r>
      <m:oMath>
        <m:r>
          <m:t>p</m:t>
        </m:r>
        <m:r>
          <m:rPr>
            <m:sty m:val="p"/>
          </m:rPr>
          <m:t>=</m:t>
        </m:r>
        <m:r>
          <m:rPr>
            <m:sty m:val="p"/>
          </m:rPr>
          <m:t>⌊</m:t>
        </m:r>
        <m:r>
          <m:t>420</m:t>
        </m:r>
        <m:r>
          <m:rPr>
            <m:sty m:val="p"/>
          </m:rPr>
          <m:t>/</m:t>
        </m:r>
        <m:r>
          <m:t>200</m:t>
        </m:r>
        <m:r>
          <m:rPr>
            <m:sty m:val="p"/>
          </m:rPr>
          <m:t>⌋</m:t>
        </m:r>
        <m:r>
          <m:rPr>
            <m:sty m:val="p"/>
          </m:rPr>
          <m:t>=</m:t>
        </m:r>
        <m:r>
          <m:t>2</m:t>
        </m:r>
      </m:oMath>
      <w:r>
        <w:t xml:space="preserve">. At 14 pods each pod then has 2 connections for about</w:t>
      </w:r>
      <w:r>
        <w:t xml:space="preserve"> </w:t>
      </w:r>
      <m:oMath>
        <m:r>
          <m:t>9</m:t>
        </m:r>
        <m:r>
          <m:rPr>
            <m:sty m:val="p"/>
          </m:rPr>
          <m:t>/</m:t>
        </m:r>
        <m:r>
          <m:t>14</m:t>
        </m:r>
        <m:r>
          <m:rPr>
            <m:sty m:val="p"/>
          </m:rPr>
          <m:t>=</m:t>
        </m:r>
        <m:r>
          <m:t>0.64</m:t>
        </m:r>
      </m:oMath>
      <w:r>
        <w:t xml:space="preserve"> </w:t>
      </w:r>
      <w:r>
        <w:t xml:space="preserve">busy on average: workable, but a single slow query blocks half a pod’s pool.</w:t>
      </w:r>
    </w:p>
    <w:p>
      <w:pPr>
        <w:numPr>
          <w:ilvl w:val="0"/>
          <w:numId w:val="1609"/>
        </w:numPr>
        <w:pStyle w:val="Compact"/>
      </w:pPr>
      <w:r>
        <w:rPr>
          <w:bCs/>
          <w:b/>
        </w:rPr>
        <w:t xml:space="preserve">Cap the autoscaler:</w:t>
      </w:r>
      <w:r>
        <w:t xml:space="preserve"> </w:t>
      </w:r>
      <w:r>
        <w:rPr>
          <w:rStyle w:val="VerbatimChar"/>
        </w:rPr>
        <w:t xml:space="preserve">maxReplicas</w:t>
      </w:r>
      <w:r>
        <w:t xml:space="preserve"> </w:t>
      </w:r>
      <w:r>
        <w:t xml:space="preserve">= 21. Safe for the database, but caps the API tier at 21 pods even when the bottleneck is CPU.</w:t>
      </w:r>
    </w:p>
    <w:p>
      <w:pPr>
        <w:numPr>
          <w:ilvl w:val="0"/>
          <w:numId w:val="1609"/>
        </w:numPr>
        <w:pStyle w:val="Compact"/>
      </w:pPr>
      <w:r>
        <w:rPr>
          <w:bCs/>
          <w:b/>
        </w:rPr>
        <w:t xml:space="preserve">Add a transaction-mode pooler</w:t>
      </w:r>
      <w:r>
        <w:t xml:space="preserve"> </w:t>
      </w:r>
      <w:r>
        <w:t xml:space="preserve">(§14.13): pods keep pools of 10 to PgBouncer (2,000 cheap client connections), and PgBouncer holds 40 server connections, comfortably above the 30 needed. Pod count and database connections are now independent.</w:t>
      </w:r>
    </w:p>
    <w:p>
      <w:pPr>
        <w:pStyle w:val="CalloutExample"/>
      </w:pPr>
      <w:r>
        <w:rPr>
          <w:bCs/>
          <w:b/>
        </w:rPr>
        <w:t xml:space="preserve">Interpretation.</w:t>
      </w:r>
      <w:r>
        <w:t xml:space="preserve"> </w:t>
      </w:r>
      <w:r>
        <w:t xml:space="preserve">The configuration that worked at 14 pods was a latent outage at 22.</w:t>
      </w:r>
      <w:r>
        <w:t xml:space="preserve"> </w:t>
      </w:r>
      <w:r>
        <w:rPr>
          <w:bCs/>
          <w:b/>
        </w:rPr>
        <w:t xml:space="preserve">Engineering implication.</w:t>
      </w:r>
      <w:r>
        <w:t xml:space="preserve"> </w:t>
      </w:r>
      <w:r>
        <w:t xml:space="preserve">Check the connection budget whenever you change</w:t>
      </w:r>
      <w:r>
        <w:t xml:space="preserve"> </w:t>
      </w:r>
      <w:r>
        <w:rPr>
          <w:rStyle w:val="VerbatimChar"/>
        </w:rPr>
        <w:t xml:space="preserve">maxReplicas</w:t>
      </w:r>
      <w:r>
        <w:t xml:space="preserve">, pool size or the number of client services, and put a pooler in front of PostgreSQL before the API tier autoscales. Size the</w:t>
      </w:r>
      <w:r>
        <w:t xml:space="preserve"> </w:t>
      </w:r>
      <w:r>
        <w:rPr>
          <w:iCs/>
          <w:i/>
        </w:rPr>
        <w:t xml:space="preserve">server</w:t>
      </w:r>
      <w:r>
        <w:t xml:space="preserve"> </w:t>
      </w:r>
      <w:r>
        <w:t xml:space="preserve">side of the pool from Little’s Law, not from pod count.</w:t>
      </w:r>
    </w:p>
    <w:bookmarkStart w:id="2101" w:name="failure-scenarios-53"/>
    <w:p>
      <w:pPr>
        <w:pStyle w:val="Heading4"/>
      </w:pPr>
      <w:r>
        <w:t xml:space="preserve">Failure scenarios</w:t>
      </w:r>
    </w:p>
    <w:p>
      <w:pPr>
        <w:pStyle w:val="FirstParagraph"/>
      </w:pPr>
      <w:r>
        <w:rPr>
          <w:bCs/>
          <w:b/>
        </w:rPr>
        <w:t xml:space="preserve">Table 18.7 — Application-tier scaling failures.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Overload during ramps</w:t>
            </w:r>
          </w:p>
        </w:tc>
        <w:tc>
          <w:tcPr/>
          <w:p>
            <w:pPr>
              <w:pStyle w:val="Compact"/>
              <w:jc w:val="left"/>
            </w:pPr>
            <w:r>
              <w:t xml:space="preserve">Reaction time longer than the headroom covers</w:t>
            </w:r>
          </w:p>
        </w:tc>
        <w:tc>
          <w:tcPr/>
          <w:p>
            <w:pPr>
              <w:pStyle w:val="Compact"/>
              <w:jc w:val="left"/>
            </w:pPr>
            <w:r>
              <w:t xml:space="preserve">Utilization &gt;</w:t>
            </w:r>
            <w:r>
              <w:t xml:space="preserve"> </w:t>
            </w:r>
            <m:oMath>
              <m:sSub>
                <m:e>
                  <m:r>
                    <m:t>u</m:t>
                  </m:r>
                </m:e>
                <m:sub>
                  <m:r>
                    <m:t>s</m:t>
                  </m:r>
                  <m:r>
                    <m:t>a</m:t>
                  </m:r>
                  <m:r>
                    <m:t>f</m:t>
                  </m:r>
                  <m:r>
                    <m:t>e</m:t>
                  </m:r>
                </m:sub>
              </m:sSub>
            </m:oMath>
            <w:r>
              <w:t xml:space="preserve"> </w:t>
            </w:r>
            <w:r>
              <w:t xml:space="preserve">while scaling</w:t>
            </w:r>
          </w:p>
        </w:tc>
        <w:tc>
          <w:tcPr/>
          <w:p>
            <w:pPr>
              <w:pStyle w:val="Compact"/>
              <w:jc w:val="left"/>
            </w:pPr>
            <w:r>
              <w:t xml:space="preserve">Shed load (§22.9)</w:t>
            </w:r>
          </w:p>
        </w:tc>
        <w:tc>
          <w:tcPr/>
          <w:p>
            <w:pPr>
              <w:pStyle w:val="Compact"/>
              <w:jc w:val="left"/>
            </w:pPr>
            <w:r>
              <w:t xml:space="preserve">Lower target; shorten</w:t>
            </w:r>
            <w:r>
              <w:t xml:space="preserve"> </w:t>
            </w:r>
            <m:oMath>
              <m:sSub>
                <m:e>
                  <m:r>
                    <m:t>T</m:t>
                  </m:r>
                </m:e>
                <m:sub>
                  <m:r>
                    <m:t>r</m:t>
                  </m:r>
                  <m:r>
                    <m:t>e</m:t>
                  </m:r>
                  <m:r>
                    <m:t>a</m:t>
                  </m:r>
                  <m:r>
                    <m:t>c</m:t>
                  </m:r>
                  <m:r>
                    <m:t>t</m:t>
                  </m:r>
                </m:sub>
              </m:sSub>
            </m:oMath>
            <w:r>
              <w:t xml:space="preserve">; scheduled scaling</w:t>
            </w:r>
          </w:p>
        </w:tc>
      </w:tr>
      <w:tr>
        <w:tc>
          <w:tcPr/>
          <w:p>
            <w:pPr>
              <w:pStyle w:val="Compact"/>
              <w:jc w:val="left"/>
            </w:pPr>
            <w:r>
              <w:t xml:space="preserve">Runaway scale-out</w:t>
            </w:r>
          </w:p>
        </w:tc>
        <w:tc>
          <w:tcPr/>
          <w:p>
            <w:pPr>
              <w:pStyle w:val="Compact"/>
              <w:jc w:val="left"/>
            </w:pPr>
            <w:r>
              <w:t xml:space="preserve">Bottleneck downstream keeps pods busy</w:t>
            </w:r>
          </w:p>
        </w:tc>
        <w:tc>
          <w:tcPr/>
          <w:p>
            <w:pPr>
              <w:pStyle w:val="Compact"/>
              <w:jc w:val="left"/>
            </w:pPr>
            <w:r>
              <w:t xml:space="preserve">Replicas at max; DB saturated</w:t>
            </w:r>
          </w:p>
        </w:tc>
        <w:tc>
          <w:tcPr/>
          <w:p>
            <w:pPr>
              <w:pStyle w:val="Compact"/>
              <w:jc w:val="left"/>
            </w:pPr>
            <w:r>
              <w:t xml:space="preserve">Cap replicas; fix bottleneck</w:t>
            </w:r>
          </w:p>
        </w:tc>
        <w:tc>
          <w:tcPr/>
          <w:p>
            <w:pPr>
              <w:pStyle w:val="Compact"/>
              <w:jc w:val="left"/>
            </w:pPr>
            <w:r>
              <w:rPr>
                <w:rStyle w:val="VerbatimChar"/>
              </w:rPr>
              <w:t xml:space="preserve">maxReplicas</w:t>
            </w:r>
            <w:r>
              <w:t xml:space="preserve"> </w:t>
            </w:r>
            <w:r>
              <w:t xml:space="preserve">below the knee</w:t>
            </w:r>
          </w:p>
        </w:tc>
      </w:tr>
      <w:tr>
        <w:tc>
          <w:tcPr/>
          <w:p>
            <w:pPr>
              <w:pStyle w:val="Compact"/>
              <w:jc w:val="left"/>
            </w:pPr>
            <w:r>
              <w:t xml:space="preserve">Connection exhaustion</w:t>
            </w:r>
          </w:p>
        </w:tc>
        <w:tc>
          <w:tcPr/>
          <w:p>
            <w:pPr>
              <w:pStyle w:val="Compact"/>
              <w:jc w:val="left"/>
            </w:pPr>
            <w:r>
              <w:t xml:space="preserve">Pods × pool &gt;</w:t>
            </w:r>
            <w:r>
              <w:t xml:space="preserve"> </w:t>
            </w:r>
            <w:r>
              <w:rPr>
                <w:rStyle w:val="VerbatimChar"/>
              </w:rPr>
              <w:t xml:space="preserve">max_connections</w:t>
            </w:r>
          </w:p>
        </w:tc>
        <w:tc>
          <w:tcPr/>
          <w:p>
            <w:pPr>
              <w:pStyle w:val="Compact"/>
              <w:jc w:val="left"/>
            </w:pPr>
            <w:r>
              <w:rPr>
                <w:rStyle w:val="VerbatimChar"/>
              </w:rPr>
              <w:t xml:space="preserve">too many clients</w:t>
            </w:r>
            <w:r>
              <w:t xml:space="preserve"> </w:t>
            </w:r>
            <w:r>
              <w:t xml:space="preserve">errors</w:t>
            </w:r>
          </w:p>
        </w:tc>
        <w:tc>
          <w:tcPr/>
          <w:p>
            <w:pPr>
              <w:pStyle w:val="Compact"/>
              <w:jc w:val="left"/>
            </w:pPr>
            <w:r>
              <w:t xml:space="preserve">Lower pool; restart pooler</w:t>
            </w:r>
          </w:p>
        </w:tc>
        <w:tc>
          <w:tcPr/>
          <w:p>
            <w:pPr>
              <w:pStyle w:val="Compact"/>
              <w:jc w:val="left"/>
            </w:pPr>
            <w:r>
              <w:t xml:space="preserve">Connection budget; transaction pooler</w:t>
            </w:r>
          </w:p>
        </w:tc>
      </w:tr>
      <w:tr>
        <w:tc>
          <w:tcPr/>
          <w:p>
            <w:pPr>
              <w:pStyle w:val="Compact"/>
              <w:jc w:val="left"/>
            </w:pPr>
            <w:r>
              <w:t xml:space="preserve">Flapping</w:t>
            </w:r>
          </w:p>
        </w:tc>
        <w:tc>
          <w:tcPr/>
          <w:p>
            <w:pPr>
              <w:pStyle w:val="Compact"/>
              <w:jc w:val="left"/>
            </w:pPr>
            <w:r>
              <w:t xml:space="preserve">Scale-in too fast</w:t>
            </w:r>
          </w:p>
        </w:tc>
        <w:tc>
          <w:tcPr/>
          <w:p>
            <w:pPr>
              <w:pStyle w:val="Compact"/>
              <w:jc w:val="left"/>
            </w:pPr>
            <w:r>
              <w:t xml:space="preserve">Oscillating replica count</w:t>
            </w:r>
          </w:p>
        </w:tc>
        <w:tc>
          <w:tcPr/>
          <w:p>
            <w:pPr>
              <w:pStyle w:val="Compact"/>
              <w:jc w:val="left"/>
            </w:pPr>
            <w:r>
              <w:t xml:space="preserve">Lengthen stabilization</w:t>
            </w:r>
          </w:p>
        </w:tc>
        <w:tc>
          <w:tcPr/>
          <w:p>
            <w:pPr>
              <w:pStyle w:val="Compact"/>
              <w:jc w:val="left"/>
            </w:pPr>
            <w:r>
              <w:t xml:space="preserve">Scale down slowly</w:t>
            </w:r>
          </w:p>
        </w:tc>
      </w:tr>
      <w:tr>
        <w:tc>
          <w:tcPr/>
          <w:p>
            <w:pPr>
              <w:pStyle w:val="Compact"/>
              <w:jc w:val="left"/>
            </w:pPr>
            <w:r>
              <w:t xml:space="preserve">Cold-start storms</w:t>
            </w:r>
          </w:p>
        </w:tc>
        <w:tc>
          <w:tcPr/>
          <w:p>
            <w:pPr>
              <w:pStyle w:val="Compact"/>
              <w:jc w:val="left"/>
            </w:pPr>
            <w:r>
              <w:t xml:space="preserve">Many new pods with empty caches hit the DB at once</w:t>
            </w:r>
          </w:p>
        </w:tc>
        <w:tc>
          <w:tcPr/>
          <w:p>
            <w:pPr>
              <w:pStyle w:val="Compact"/>
              <w:jc w:val="left"/>
            </w:pPr>
            <w:r>
              <w:t xml:space="preserve">DB load spike after scale-out</w:t>
            </w:r>
          </w:p>
        </w:tc>
        <w:tc>
          <w:tcPr/>
          <w:p>
            <w:pPr>
              <w:pStyle w:val="Compact"/>
              <w:jc w:val="left"/>
            </w:pPr>
            <w:r>
              <w:t xml:space="preserve">Slow start</w:t>
            </w:r>
          </w:p>
        </w:tc>
        <w:tc>
          <w:tcPr/>
          <w:p>
            <w:pPr>
              <w:pStyle w:val="Compact"/>
              <w:jc w:val="left"/>
            </w:pPr>
            <w:r>
              <w:t xml:space="preserve">Warm caches; shared cache tier</w:t>
            </w:r>
          </w:p>
        </w:tc>
      </w:tr>
      <w:tr>
        <w:tc>
          <w:tcPr/>
          <w:p>
            <w:pPr>
              <w:pStyle w:val="Compact"/>
              <w:jc w:val="left"/>
            </w:pPr>
            <w:r>
              <w:t xml:space="preserve">Quota or capacity exhaustion</w:t>
            </w:r>
          </w:p>
        </w:tc>
        <w:tc>
          <w:tcPr/>
          <w:p>
            <w:pPr>
              <w:pStyle w:val="Compact"/>
              <w:jc w:val="left"/>
            </w:pPr>
            <w:r>
              <w:t xml:space="preserve">Cloud account or zone out of instances</w:t>
            </w:r>
          </w:p>
        </w:tc>
        <w:tc>
          <w:tcPr/>
          <w:p>
            <w:pPr>
              <w:pStyle w:val="Compact"/>
              <w:jc w:val="left"/>
            </w:pPr>
            <w:r>
              <w:t xml:space="preserve">Pending pods; API errors</w:t>
            </w:r>
          </w:p>
        </w:tc>
        <w:tc>
          <w:tcPr/>
          <w:p>
            <w:pPr>
              <w:pStyle w:val="Compact"/>
              <w:jc w:val="left"/>
            </w:pPr>
            <w:r>
              <w:t xml:space="preserve">Other instance types or zones</w:t>
            </w:r>
          </w:p>
        </w:tc>
        <w:tc>
          <w:tcPr/>
          <w:p>
            <w:pPr>
              <w:pStyle w:val="Compact"/>
              <w:jc w:val="left"/>
            </w:pPr>
            <w:r>
              <w:t xml:space="preserve">Quota reviews in the capacity plan</w:t>
            </w:r>
          </w:p>
        </w:tc>
      </w:tr>
    </w:tbl>
    <w:p>
      <w:pPr>
        <w:pStyle w:val="CalloutMistake"/>
      </w:pPr>
      <w:r>
        <w:rPr>
          <w:bCs/>
          <w:b/>
        </w:rPr>
        <w:t xml:space="preserve">COMMON MISTAKE</w:t>
      </w:r>
    </w:p>
    <w:p>
      <w:pPr>
        <w:pStyle w:val="CalloutMistake"/>
      </w:pPr>
      <w:r>
        <w:rPr>
          <w:bCs/>
          <w:b/>
        </w:rPr>
        <w:t xml:space="preserve">“</w:t>
      </w:r>
      <w:r>
        <w:rPr>
          <w:bCs/>
          <w:b/>
        </w:rPr>
        <w:t xml:space="preserve">Autoscaling replaces capacity planning.</w:t>
      </w:r>
      <w:r>
        <w:rPr>
          <w:bCs/>
          <w:b/>
        </w:rPr>
        <w:t xml:space="preserve">”</w:t>
      </w:r>
      <w:r>
        <w:t xml:space="preserve"> </w:t>
      </w:r>
      <w:r>
        <w:t xml:space="preserve">An autoscaler only moves between</w:t>
      </w:r>
      <w:r>
        <w:t xml:space="preserve"> </w:t>
      </w:r>
      <w:r>
        <w:rPr>
          <w:rStyle w:val="VerbatimChar"/>
        </w:rPr>
        <w:t xml:space="preserve">minReplicas</w:t>
      </w:r>
      <w:r>
        <w:t xml:space="preserve"> </w:t>
      </w:r>
      <w:r>
        <w:t xml:space="preserve">and</w:t>
      </w:r>
      <w:r>
        <w:t xml:space="preserve"> </w:t>
      </w:r>
      <w:r>
        <w:rPr>
          <w:rStyle w:val="VerbatimChar"/>
        </w:rPr>
        <w:t xml:space="preserve">maxReplicas</w:t>
      </w:r>
      <w:r>
        <w:t xml:space="preserve">, using nodes, quotas and database connections that someone had to plan. It handles hourly variation, not next year’s growth.</w:t>
      </w:r>
    </w:p>
    <w:bookmarkEnd w:id="2101"/>
    <w:bookmarkEnd w:id="2102"/>
    <w:bookmarkEnd w:id="2103"/>
    <w:bookmarkStart w:id="2104" w:name="scaling-databases-overview"/>
    <w:p>
      <w:pPr>
        <w:pStyle w:val="Heading2"/>
      </w:pPr>
      <w:r>
        <w:t xml:space="preserve">18.9 Scaling databases (overview)</w:t>
      </w:r>
    </w:p>
    <w:p>
      <w:pPr>
        <w:pStyle w:val="FirstParagraph"/>
      </w:pPr>
      <w:r>
        <w:t xml:space="preserve">Once the application tier is stateless, the database is usually the bottleneck, because it is the tier that holds the shared, coherent state. Chapters 11–14 treat its scaling options in depth. This section is a decision aid: start from the symptom, try the cheapest option that addresses it, and escalate only when measurements say so.</w:t>
      </w:r>
    </w:p>
    <w:p>
      <w:pPr>
        <w:pStyle w:val="BodyText"/>
      </w:pPr>
      <w:r>
        <w:rPr>
          <w:bCs/>
          <w:b/>
        </w:rPr>
        <w:t xml:space="preserve">Table 18.8 — Database scaling options: a decision table.</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Option</w:t>
            </w:r>
          </w:p>
        </w:tc>
        <w:tc>
          <w:tcPr/>
          <w:p>
            <w:pPr>
              <w:pStyle w:val="Compact"/>
              <w:jc w:val="left"/>
            </w:pPr>
            <w:r>
              <w:t xml:space="preserve">Fixes this symptom</w:t>
            </w:r>
          </w:p>
        </w:tc>
        <w:tc>
          <w:tcPr/>
          <w:p>
            <w:pPr>
              <w:pStyle w:val="Compact"/>
              <w:jc w:val="left"/>
            </w:pPr>
            <w:r>
              <w:t xml:space="preserve">Adds read capacity</w:t>
            </w:r>
          </w:p>
        </w:tc>
        <w:tc>
          <w:tcPr/>
          <w:p>
            <w:pPr>
              <w:pStyle w:val="Compact"/>
              <w:jc w:val="left"/>
            </w:pPr>
            <w:r>
              <w:t xml:space="preserve">Adds write capacity</w:t>
            </w:r>
          </w:p>
        </w:tc>
        <w:tc>
          <w:tcPr/>
          <w:p>
            <w:pPr>
              <w:pStyle w:val="Compact"/>
              <w:jc w:val="left"/>
            </w:pPr>
            <w:r>
              <w:t xml:space="preserve">Adds storage</w:t>
            </w:r>
          </w:p>
        </w:tc>
        <w:tc>
          <w:tcPr/>
          <w:p>
            <w:pPr>
              <w:pStyle w:val="Compact"/>
              <w:jc w:val="left"/>
            </w:pPr>
            <w:r>
              <w:t xml:space="preserve">Cost and complexity</w:t>
            </w:r>
          </w:p>
        </w:tc>
        <w:tc>
          <w:tcPr/>
          <w:p>
            <w:pPr>
              <w:pStyle w:val="Compact"/>
              <w:jc w:val="left"/>
            </w:pPr>
            <w:r>
              <w:t xml:space="preserve">See</w:t>
            </w:r>
          </w:p>
        </w:tc>
      </w:tr>
      <w:tr>
        <w:tc>
          <w:tcPr/>
          <w:p>
            <w:pPr>
              <w:pStyle w:val="Compact"/>
              <w:jc w:val="left"/>
            </w:pPr>
            <w:r>
              <w:t xml:space="preserve">Query and index tuning</w:t>
            </w:r>
          </w:p>
        </w:tc>
        <w:tc>
          <w:tcPr/>
          <w:p>
            <w:pPr>
              <w:pStyle w:val="Compact"/>
              <w:jc w:val="left"/>
            </w:pPr>
            <w:r>
              <w:t xml:space="preserve">Slow queries, full scans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Low</w:t>
            </w:r>
          </w:p>
        </w:tc>
        <w:tc>
          <w:tcPr/>
          <w:p>
            <w:pPr>
              <w:pStyle w:val="Compact"/>
              <w:jc w:val="left"/>
            </w:pPr>
            <w:r>
              <w:t xml:space="preserve">§11.7–§11.10</w:t>
            </w:r>
          </w:p>
        </w:tc>
      </w:tr>
      <w:tr>
        <w:tc>
          <w:tcPr/>
          <w:p>
            <w:pPr>
              <w:pStyle w:val="Compact"/>
              <w:jc w:val="left"/>
            </w:pPr>
            <w:r>
              <w:t xml:space="preserve">Connection pooler</w:t>
            </w:r>
          </w:p>
        </w:tc>
        <w:tc>
          <w:tcPr/>
          <w:p>
            <w:pPr>
              <w:pStyle w:val="Compact"/>
              <w:jc w:val="left"/>
            </w:pPr>
            <w:r>
              <w:t xml:space="preserve">Too many connections; per-connection memory</w:t>
            </w:r>
          </w:p>
        </w:tc>
        <w:tc>
          <w:tcPr/>
          <w:p>
            <w:pPr>
              <w:pStyle w:val="Compact"/>
              <w:jc w:val="left"/>
            </w:pPr>
            <w:r>
              <w:t xml:space="preserve">Indirectly</w:t>
            </w:r>
          </w:p>
        </w:tc>
        <w:tc>
          <w:tcPr/>
          <w:p>
            <w:pPr>
              <w:pStyle w:val="Compact"/>
              <w:jc w:val="left"/>
            </w:pPr>
            <w:r>
              <w:t xml:space="preserve">Indirectly</w:t>
            </w:r>
          </w:p>
        </w:tc>
        <w:tc>
          <w:tcPr/>
          <w:p>
            <w:pPr>
              <w:pStyle w:val="Compact"/>
              <w:jc w:val="left"/>
            </w:pPr>
            <w:r>
              <w:t xml:space="preserve">No</w:t>
            </w:r>
          </w:p>
        </w:tc>
        <w:tc>
          <w:tcPr/>
          <w:p>
            <w:pPr>
              <w:pStyle w:val="Compact"/>
              <w:jc w:val="left"/>
            </w:pPr>
            <w:r>
              <w:t xml:space="preserve">Low</w:t>
            </w:r>
          </w:p>
        </w:tc>
        <w:tc>
          <w:tcPr/>
          <w:p>
            <w:pPr>
              <w:pStyle w:val="Compact"/>
              <w:jc w:val="left"/>
            </w:pPr>
            <w:r>
              <w:t xml:space="preserve">§14.13</w:t>
            </w:r>
          </w:p>
        </w:tc>
      </w:tr>
      <w:tr>
        <w:tc>
          <w:tcPr/>
          <w:p>
            <w:pPr>
              <w:pStyle w:val="Compact"/>
              <w:jc w:val="left"/>
            </w:pPr>
            <w:r>
              <w:t xml:space="preserve">Vertical scaling</w:t>
            </w:r>
          </w:p>
        </w:tc>
        <w:tc>
          <w:tcPr/>
          <w:p>
            <w:pPr>
              <w:pStyle w:val="Compact"/>
              <w:jc w:val="left"/>
            </w:pPr>
            <w:r>
              <w:t xml:space="preserve">Any resource saturated, below the cost knee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Low, until the knee</w:t>
            </w:r>
          </w:p>
        </w:tc>
        <w:tc>
          <w:tcPr/>
          <w:p>
            <w:pPr>
              <w:pStyle w:val="Compact"/>
              <w:jc w:val="left"/>
            </w:pPr>
            <w:r>
              <w:t xml:space="preserve">§18.3</w:t>
            </w:r>
          </w:p>
        </w:tc>
      </w:tr>
      <w:tr>
        <w:tc>
          <w:tcPr/>
          <w:p>
            <w:pPr>
              <w:pStyle w:val="Compact"/>
              <w:jc w:val="left"/>
            </w:pPr>
            <w:r>
              <w:t xml:space="preserve">Cache in front of the DB</w:t>
            </w:r>
          </w:p>
        </w:tc>
        <w:tc>
          <w:tcPr/>
          <w:p>
            <w:pPr>
              <w:pStyle w:val="Compact"/>
              <w:jc w:val="left"/>
            </w:pPr>
            <w:r>
              <w:t xml:space="preserve">Read-heavy, repetitive reads</w:t>
            </w:r>
          </w:p>
        </w:tc>
        <w:tc>
          <w:tcPr/>
          <w:p>
            <w:pPr>
              <w:pStyle w:val="Compact"/>
              <w:jc w:val="left"/>
            </w:pPr>
            <w:r>
              <w:t xml:space="preserve">Yes (large)</w:t>
            </w:r>
          </w:p>
        </w:tc>
        <w:tc>
          <w:tcPr/>
          <w:p>
            <w:pPr>
              <w:pStyle w:val="Compact"/>
              <w:jc w:val="left"/>
            </w:pPr>
            <w:r>
              <w:t xml:space="preserve">No</w:t>
            </w:r>
          </w:p>
        </w:tc>
        <w:tc>
          <w:tcPr/>
          <w:p>
            <w:pPr>
              <w:pStyle w:val="Compact"/>
              <w:jc w:val="left"/>
            </w:pPr>
            <w:r>
              <w:t xml:space="preserve">No</w:t>
            </w:r>
          </w:p>
        </w:tc>
        <w:tc>
          <w:tcPr/>
          <w:p>
            <w:pPr>
              <w:pStyle w:val="Compact"/>
              <w:jc w:val="left"/>
            </w:pPr>
            <w:r>
              <w:t xml:space="preserve">Medium: invalidation</w:t>
            </w:r>
          </w:p>
        </w:tc>
        <w:tc>
          <w:tcPr/>
          <w:p>
            <w:pPr>
              <w:pStyle w:val="Compact"/>
              <w:jc w:val="left"/>
            </w:pPr>
            <w:r>
              <w:t xml:space="preserve">Chapter 20</w:t>
            </w:r>
          </w:p>
        </w:tc>
      </w:tr>
      <w:tr>
        <w:tc>
          <w:tcPr/>
          <w:p>
            <w:pPr>
              <w:pStyle w:val="Compact"/>
              <w:jc w:val="left"/>
            </w:pPr>
            <w:r>
              <w:t xml:space="preserve">Read replicas</w:t>
            </w:r>
          </w:p>
        </w:tc>
        <w:tc>
          <w:tcPr/>
          <w:p>
            <w:pPr>
              <w:pStyle w:val="Compact"/>
              <w:jc w:val="left"/>
            </w:pPr>
            <w:r>
              <w:t xml:space="preserve">Read-heavy; analytics on the primary</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Medium: replication lag</w:t>
            </w:r>
          </w:p>
        </w:tc>
        <w:tc>
          <w:tcPr/>
          <w:p>
            <w:pPr>
              <w:pStyle w:val="Compact"/>
              <w:jc w:val="left"/>
            </w:pPr>
            <w:r>
              <w:t xml:space="preserve">§14.3–§14.4</w:t>
            </w:r>
          </w:p>
        </w:tc>
      </w:tr>
      <w:tr>
        <w:tc>
          <w:tcPr/>
          <w:p>
            <w:pPr>
              <w:pStyle w:val="Compact"/>
              <w:jc w:val="left"/>
            </w:pPr>
            <w:r>
              <w:t xml:space="preserve">Functional split (Y axis)</w:t>
            </w:r>
          </w:p>
        </w:tc>
        <w:tc>
          <w:tcPr/>
          <w:p>
            <w:pPr>
              <w:pStyle w:val="Compact"/>
              <w:jc w:val="left"/>
            </w:pPr>
            <w:r>
              <w:t xml:space="preserve">Unrelated tables compete for one server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Medium: no cross-DB joins</w:t>
            </w:r>
          </w:p>
        </w:tc>
        <w:tc>
          <w:tcPr/>
          <w:p>
            <w:pPr>
              <w:pStyle w:val="Compact"/>
              <w:jc w:val="left"/>
            </w:pPr>
            <w:r>
              <w:t xml:space="preserve">§18.10</w:t>
            </w:r>
          </w:p>
        </w:tc>
      </w:tr>
      <w:tr>
        <w:tc>
          <w:tcPr/>
          <w:p>
            <w:pPr>
              <w:pStyle w:val="Compact"/>
              <w:jc w:val="left"/>
            </w:pPr>
            <w:r>
              <w:t xml:space="preserve">Storage engine choice</w:t>
            </w:r>
          </w:p>
        </w:tc>
        <w:tc>
          <w:tcPr/>
          <w:p>
            <w:pPr>
              <w:pStyle w:val="Compact"/>
              <w:jc w:val="left"/>
            </w:pPr>
            <w:r>
              <w:t xml:space="preserve">Write-heavy ingest; space amplification</w:t>
            </w:r>
          </w:p>
        </w:tc>
        <w:tc>
          <w:tcPr/>
          <w:p>
            <w:pPr>
              <w:pStyle w:val="Compact"/>
              <w:jc w:val="left"/>
            </w:pPr>
            <w:r>
              <w:t xml:space="preserve">Depends</w:t>
            </w:r>
          </w:p>
        </w:tc>
        <w:tc>
          <w:tcPr/>
          <w:p>
            <w:pPr>
              <w:pStyle w:val="Compact"/>
              <w:jc w:val="left"/>
            </w:pPr>
            <w:r>
              <w:t xml:space="preserve">Yes (LSM)</w:t>
            </w:r>
          </w:p>
        </w:tc>
        <w:tc>
          <w:tcPr/>
          <w:p>
            <w:pPr>
              <w:pStyle w:val="Compact"/>
              <w:jc w:val="left"/>
            </w:pPr>
            <w:r>
              <w:t xml:space="preserve">Depends</w:t>
            </w:r>
          </w:p>
        </w:tc>
        <w:tc>
          <w:tcPr/>
          <w:p>
            <w:pPr>
              <w:pStyle w:val="Compact"/>
              <w:jc w:val="left"/>
            </w:pPr>
            <w:r>
              <w:t xml:space="preserve">Medium</w:t>
            </w:r>
          </w:p>
        </w:tc>
        <w:tc>
          <w:tcPr/>
          <w:p>
            <w:pPr>
              <w:pStyle w:val="Compact"/>
              <w:jc w:val="left"/>
            </w:pPr>
            <w:r>
              <w:t xml:space="preserve">§13.7–§13.11</w:t>
            </w:r>
          </w:p>
        </w:tc>
      </w:tr>
      <w:tr>
        <w:tc>
          <w:tcPr/>
          <w:p>
            <w:pPr>
              <w:pStyle w:val="Compact"/>
              <w:jc w:val="left"/>
            </w:pPr>
            <w:r>
              <w:t xml:space="preserve">Partitioning or sharding (Z axis)</w:t>
            </w:r>
          </w:p>
        </w:tc>
        <w:tc>
          <w:tcPr/>
          <w:p>
            <w:pPr>
              <w:pStyle w:val="Compact"/>
              <w:jc w:val="left"/>
            </w:pPr>
            <w:r>
              <w:t xml:space="preserve">Writes or data beyond one primary</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High: shard key, resharding, cross-shard queries</w:t>
            </w:r>
          </w:p>
        </w:tc>
        <w:tc>
          <w:tcPr/>
          <w:p>
            <w:pPr>
              <w:pStyle w:val="Compact"/>
              <w:jc w:val="left"/>
            </w:pPr>
            <w:r>
              <w:t xml:space="preserve">§14.6–§14.12</w:t>
            </w:r>
          </w:p>
        </w:tc>
      </w:tr>
      <w:tr>
        <w:tc>
          <w:tcPr/>
          <w:p>
            <w:pPr>
              <w:pStyle w:val="Compact"/>
              <w:jc w:val="left"/>
            </w:pPr>
            <w:r>
              <w:t xml:space="preserve">Distributed SQL (NewSQL)</w:t>
            </w:r>
          </w:p>
        </w:tc>
        <w:tc>
          <w:tcPr/>
          <w:p>
            <w:pPr>
              <w:pStyle w:val="Compact"/>
              <w:jc w:val="left"/>
            </w:pPr>
            <w:r>
              <w:t xml:space="preserve">Need SQL and transactions beyond one node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High: latency, cost</w:t>
            </w:r>
          </w:p>
        </w:tc>
        <w:tc>
          <w:tcPr/>
          <w:p>
            <w:pPr>
              <w:pStyle w:val="Compact"/>
              <w:jc w:val="left"/>
            </w:pPr>
            <w:r>
              <w:t xml:space="preserve">§12.11</w:t>
            </w:r>
          </w:p>
        </w:tc>
      </w:tr>
      <w:tr>
        <w:tc>
          <w:tcPr/>
          <w:p>
            <w:pPr>
              <w:pStyle w:val="Compact"/>
              <w:jc w:val="left"/>
            </w:pPr>
            <w:r>
              <w:t xml:space="preserve">NoSQL key-value or wide-column store</w:t>
            </w:r>
          </w:p>
        </w:tc>
        <w:tc>
          <w:tcPr/>
          <w:p>
            <w:pPr>
              <w:pStyle w:val="Compact"/>
              <w:jc w:val="left"/>
            </w:pPr>
            <w:r>
              <w:t xml:space="preserve">Simple access patterns at very high scale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Medium to high: data-model redesign</w:t>
            </w:r>
          </w:p>
        </w:tc>
        <w:tc>
          <w:tcPr/>
          <w:p>
            <w:pPr>
              <w:pStyle w:val="Compact"/>
              <w:jc w:val="left"/>
            </w:pPr>
            <w:r>
              <w:t xml:space="preserve">Chapter 12</w:t>
            </w:r>
          </w:p>
        </w:tc>
      </w:tr>
      <w:tr>
        <w:tc>
          <w:tcPr/>
          <w:p>
            <w:pPr>
              <w:pStyle w:val="Compact"/>
              <w:jc w:val="left"/>
            </w:pPr>
            <w:r>
              <w:t xml:space="preserve">Separate read model (CQRS, search index)</w:t>
            </w:r>
          </w:p>
        </w:tc>
        <w:tc>
          <w:tcPr/>
          <w:p>
            <w:pPr>
              <w:pStyle w:val="Compact"/>
              <w:jc w:val="left"/>
            </w:pPr>
            <w:r>
              <w:t xml:space="preserve">Queries the primary schema serves badly</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c>
          <w:tcPr/>
          <w:p>
            <w:pPr>
              <w:pStyle w:val="Compact"/>
              <w:jc w:val="left"/>
            </w:pPr>
            <w:r>
              <w:t xml:space="preserve">Medium to high: asynchronous updates</w:t>
            </w:r>
          </w:p>
        </w:tc>
        <w:tc>
          <w:tcPr/>
          <w:p>
            <w:pPr>
              <w:pStyle w:val="Compact"/>
              <w:jc w:val="left"/>
            </w:pPr>
            <w:r>
              <w:t xml:space="preserve">§32.4, Chapter 16</w:t>
            </w:r>
          </w:p>
        </w:tc>
      </w:tr>
      <w:tr>
        <w:tc>
          <w:tcPr/>
          <w:p>
            <w:pPr>
              <w:pStyle w:val="Compact"/>
              <w:jc w:val="left"/>
            </w:pPr>
            <w:r>
              <w:t xml:space="preserve">Archiving and tiering</w:t>
            </w:r>
          </w:p>
        </w:tc>
        <w:tc>
          <w:tcPr/>
          <w:p>
            <w:pPr>
              <w:pStyle w:val="Compact"/>
              <w:jc w:val="left"/>
            </w:pPr>
            <w:r>
              <w:t xml:space="preserve">Table and index growth from old data</w:t>
            </w:r>
          </w:p>
        </w:tc>
        <w:tc>
          <w:tcPr/>
          <w:p>
            <w:pPr>
              <w:pStyle w:val="Compact"/>
              <w:jc w:val="left"/>
            </w:pPr>
            <w:r>
              <w:t xml:space="preserve">Indirectly</w:t>
            </w:r>
          </w:p>
        </w:tc>
        <w:tc>
          <w:tcPr/>
          <w:p>
            <w:pPr>
              <w:pStyle w:val="Compact"/>
              <w:jc w:val="left"/>
            </w:pPr>
            <w:r>
              <w:t xml:space="preserve">Indirectly</w:t>
            </w:r>
          </w:p>
        </w:tc>
        <w:tc>
          <w:tcPr/>
          <w:p>
            <w:pPr>
              <w:pStyle w:val="Compact"/>
              <w:jc w:val="left"/>
            </w:pPr>
            <w:r>
              <w:t xml:space="preserve">Frees space</w:t>
            </w:r>
          </w:p>
        </w:tc>
        <w:tc>
          <w:tcPr/>
          <w:p>
            <w:pPr>
              <w:pStyle w:val="Compact"/>
              <w:jc w:val="left"/>
            </w:pPr>
            <w:r>
              <w:t xml:space="preserve">Low to medium</w:t>
            </w:r>
          </w:p>
        </w:tc>
        <w:tc>
          <w:tcPr/>
          <w:p>
            <w:pPr>
              <w:pStyle w:val="Compact"/>
              <w:jc w:val="left"/>
            </w:pPr>
            <w:r>
              <w:t xml:space="preserve">§15.9</w:t>
            </w:r>
          </w:p>
        </w:tc>
      </w:tr>
    </w:tbl>
    <w:p>
      <w:pPr>
        <w:pStyle w:val="BodyText"/>
      </w:pPr>
      <w:r>
        <w:t xml:space="preserve">Three rules summarize the table.</w:t>
      </w:r>
      <w:r>
        <w:t xml:space="preserve"> </w:t>
      </w:r>
      <w:r>
        <w:rPr>
          <w:bCs/>
          <w:b/>
        </w:rPr>
        <w:t xml:space="preserve">Reads and writes scale differently:</w:t>
      </w:r>
      <w:r>
        <w:t xml:space="preserve"> </w:t>
      </w:r>
      <w:r>
        <w:t xml:space="preserve">caches and replicas multiply reads; only partitioning or a bigger primary multiplies writes, so measure the read-to-write ratio first (117:1 for QuickBite browsing, §2.11).</w:t>
      </w:r>
      <w:r>
        <w:t xml:space="preserve"> </w:t>
      </w:r>
      <w:r>
        <w:rPr>
          <w:bCs/>
          <w:b/>
        </w:rPr>
        <w:t xml:space="preserve">Cheap fixes first:</w:t>
      </w:r>
      <w:r>
        <w:t xml:space="preserve"> </w:t>
      </w:r>
      <w:r>
        <w:t xml:space="preserve">indexing, pooling, caching and a bigger node often buy an order of magnitude together, while sharding is a one-way door (§2.8) that costs months.</w:t>
      </w:r>
      <w:r>
        <w:t xml:space="preserve"> </w:t>
      </w:r>
      <w:r>
        <w:rPr>
          <w:bCs/>
          <w:b/>
        </w:rPr>
        <w:t xml:space="preserve">Plan the hard move early:</w:t>
      </w:r>
      <w:r>
        <w:t xml:space="preserve"> </w:t>
      </w:r>
      <w:r>
        <w:t xml:space="preserve">§18.11.4 turns this into a lead-time calculation.</w:t>
      </w:r>
    </w:p>
    <w:bookmarkEnd w:id="2104"/>
    <w:bookmarkStart w:id="2111" w:name="the-scale-cube"/>
    <w:p>
      <w:pPr>
        <w:pStyle w:val="Heading2"/>
      </w:pPr>
      <w:r>
        <w:t xml:space="preserve">18.10 The scale cube</w:t>
      </w:r>
    </w:p>
    <w:bookmarkStart w:id="2110" w:name="three-axes-of-scaling"/>
    <w:p>
      <w:pPr>
        <w:pStyle w:val="Heading3"/>
      </w:pPr>
      <w:r>
        <w:t xml:space="preserve">18.10.1 Three axes of scaling</w:t>
      </w:r>
    </w:p>
    <w:p>
      <w:pPr>
        <w:pStyle w:val="CalloutDefinition"/>
      </w:pPr>
      <w:r>
        <w:rPr>
          <w:bCs/>
          <w:b/>
        </w:rPr>
        <w:t xml:space="preserve">DEFINITION</w:t>
      </w:r>
    </w:p>
    <w:p>
      <w:pPr>
        <w:pStyle w:val="CalloutDefinition"/>
      </w:pPr>
      <w:r>
        <w:rPr>
          <w:bCs/>
          <w:b/>
        </w:rPr>
        <w:t xml:space="preserve">Definition — Scale cube.</w:t>
      </w:r>
      <w:r>
        <w:t xml:space="preserve"> </w:t>
      </w:r>
      <w:r>
        <w:t xml:space="preserve">A model by Martin Abbott and Michael Fisher that classifies every scaling technique along three independent axes [Abbott and Fisher 2015]: the</w:t>
      </w:r>
      <w:r>
        <w:t xml:space="preserve"> </w:t>
      </w:r>
      <w:r>
        <w:rPr>
          <w:bCs/>
          <w:b/>
        </w:rPr>
        <w:t xml:space="preserve">X axis</w:t>
      </w:r>
      <w:r>
        <w:t xml:space="preserve">, cloning identical copies of a service or its data behind a load balancer; the</w:t>
      </w:r>
      <w:r>
        <w:t xml:space="preserve"> </w:t>
      </w:r>
      <w:r>
        <w:rPr>
          <w:bCs/>
          <w:b/>
        </w:rPr>
        <w:t xml:space="preserve">Y axis</w:t>
      </w:r>
      <w:r>
        <w:t xml:space="preserve">, splitting by function, service or resource so that each part handles different work; and the</w:t>
      </w:r>
      <w:r>
        <w:t xml:space="preserve"> </w:t>
      </w:r>
      <w:r>
        <w:rPr>
          <w:bCs/>
          <w:b/>
        </w:rPr>
        <w:t xml:space="preserve">Z axis</w:t>
      </w:r>
      <w:r>
        <w:t xml:space="preserve">, splitting by customer, requester or other key so that each part handles the same work for a subset of the data or users.</w:t>
      </w:r>
    </w:p>
    <w:bookmarkStart w:id="2105" w:name="first-principles-explanation-116"/>
    <w:p>
      <w:pPr>
        <w:pStyle w:val="Heading4"/>
      </w:pPr>
      <w:r>
        <w:t xml:space="preserve">First-principles explanation</w:t>
      </w:r>
    </w:p>
    <w:p>
      <w:pPr>
        <w:pStyle w:val="FirstParagraph"/>
      </w:pPr>
      <w:r>
        <w:t xml:space="preserve">The bakery chain again.</w:t>
      </w:r>
      <w:r>
        <w:t xml:space="preserve"> </w:t>
      </w:r>
      <w:r>
        <w:rPr>
          <w:bCs/>
          <w:b/>
        </w:rPr>
        <w:t xml:space="preserve">X axis</w:t>
      </w:r>
      <w:r>
        <w:t xml:space="preserve">: open more identical shops, each making everything.</w:t>
      </w:r>
      <w:r>
        <w:t xml:space="preserve"> </w:t>
      </w:r>
      <w:r>
        <w:rPr>
          <w:bCs/>
          <w:b/>
        </w:rPr>
        <w:t xml:space="preserve">Y axis</w:t>
      </w:r>
      <w:r>
        <w:t xml:space="preserve">: split the work so one kitchen makes bread, another cakes, another sandwiches, each sized for its own demand.</w:t>
      </w:r>
      <w:r>
        <w:t xml:space="preserve"> </w:t>
      </w:r>
      <w:r>
        <w:rPr>
          <w:bCs/>
          <w:b/>
        </w:rPr>
        <w:t xml:space="preserve">Z axis</w:t>
      </w:r>
      <w:r>
        <w:t xml:space="preserve">: give each city its own complete operation that serves only that city’s customers. The axes combine: each city (Z) can have specialized kitchens (Y), each with several identical ovens (X).</w:t>
      </w:r>
    </w:p>
    <w:bookmarkEnd w:id="2105"/>
    <w:bookmarkStart w:id="2109" w:name="why-does-this-exist-71"/>
    <w:p>
      <w:pPr>
        <w:pStyle w:val="Heading4"/>
      </w:pPr>
      <w:r>
        <w:t xml:space="preserve">Why does this exist?</w:t>
      </w:r>
    </w:p>
    <w:p>
      <w:pPr>
        <w:pStyle w:val="FirstParagraph"/>
      </w:pPr>
      <w:r>
        <w:t xml:space="preserve">Engineers tend to reach for one familiar technique. The cube forces the question</w:t>
      </w:r>
      <w:r>
        <w:t xml:space="preserve"> </w:t>
      </w:r>
      <w:r>
        <w:t xml:space="preserve">“</w:t>
      </w:r>
      <w:r>
        <w:t xml:space="preserve">which kind of split solves</w:t>
      </w:r>
      <w:r>
        <w:t xml:space="preserve"> </w:t>
      </w:r>
      <w:r>
        <w:rPr>
          <w:iCs/>
          <w:i/>
        </w:rPr>
        <w:t xml:space="preserve">this</w:t>
      </w:r>
      <w:r>
        <w:t xml:space="preserve"> </w:t>
      </w:r>
      <w:r>
        <w:t xml:space="preserve">bottleneck?</w:t>
      </w:r>
      <w:r>
        <w:t xml:space="preserve">”</w:t>
      </w:r>
      <w:r>
        <w:t xml:space="preserve"> </w:t>
      </w:r>
      <w:r>
        <w:t xml:space="preserve">Each axis relieves a different limit and costs something different.</w:t>
      </w:r>
    </w:p>
    <w:p>
      <w:pPr>
        <w:pStyle w:val="BodyText"/>
      </w:pPr>
      <w:r>
        <w:rPr>
          <w:bCs/>
          <w:b/>
        </w:rPr>
        <w:t xml:space="preserve">Figure 18.7 — The scale cube applied to QuickBite.</w:t>
      </w:r>
    </w:p>
    <w:p>
      <w:pPr>
        <w:pStyle w:val="BodyText"/>
      </w:pPr>
      <w:r>
        <w:drawing>
          <wp:inline>
            <wp:extent cx="5334000" cy="2368008"/>
            <wp:effectExtent b="0" l="0" r="0" t="0"/>
            <wp:docPr descr="" title="" id="2107" name="Picture"/>
            <a:graphic>
              <a:graphicData uri="http://schemas.openxmlformats.org/drawingml/2006/picture">
                <pic:pic>
                  <pic:nvPicPr>
                    <pic:cNvPr descr="/home/user/System-Design/build/.cache/diagrams/33a4dd4bf387.png" id="2108" name="Picture"/>
                    <pic:cNvPicPr>
                      <a:picLocks noChangeArrowheads="1" noChangeAspect="1"/>
                    </pic:cNvPicPr>
                  </pic:nvPicPr>
                  <pic:blipFill>
                    <a:blip r:embed="rId2106"/>
                    <a:stretch>
                      <a:fillRect/>
                    </a:stretch>
                  </pic:blipFill>
                  <pic:spPr bwMode="auto">
                    <a:xfrm>
                      <a:off x="0" y="0"/>
                      <a:ext cx="5334000" cy="2368008"/>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top node is the starting point: one deployable unit and one database. Arrows are design moves, not request flows, so no protocols apply. X clones the application and read-only data; the shared primary remains. Y splits by function into services, each with its own data store (a storage boundary per service). Z splits by a customer key such as country, so each cell holds only its customers’ data and contains its own failures. Large systems end up at the bottom node, combining all three. Failure points differ by axis: X still shares the database, Y adds network calls, Z adds a routing layer and cross-cell operations.</w:t>
      </w:r>
    </w:p>
    <w:p>
      <w:pPr>
        <w:pStyle w:val="BodyText"/>
      </w:pPr>
      <w:r>
        <w:rPr>
          <w:bCs/>
          <w:b/>
        </w:rPr>
        <w:t xml:space="preserve">Table 18.9 — The three axes compared.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X axis: clone</w:t>
            </w:r>
          </w:p>
        </w:tc>
        <w:tc>
          <w:tcPr/>
          <w:p>
            <w:pPr>
              <w:pStyle w:val="Compact"/>
              <w:jc w:val="left"/>
            </w:pPr>
            <w:r>
              <w:t xml:space="preserve">Y axis: split by function</w:t>
            </w:r>
          </w:p>
        </w:tc>
        <w:tc>
          <w:tcPr/>
          <w:p>
            <w:pPr>
              <w:pStyle w:val="Compact"/>
              <w:jc w:val="left"/>
            </w:pPr>
            <w:r>
              <w:t xml:space="preserve">Z axis: split by key</w:t>
            </w:r>
          </w:p>
        </w:tc>
      </w:tr>
      <w:tr>
        <w:tc>
          <w:tcPr/>
          <w:p>
            <w:pPr>
              <w:pStyle w:val="Compact"/>
              <w:jc w:val="left"/>
            </w:pPr>
            <w:r>
              <w:t xml:space="preserve">What it is</w:t>
            </w:r>
          </w:p>
        </w:tc>
        <w:tc>
          <w:tcPr/>
          <w:p>
            <w:pPr>
              <w:pStyle w:val="Compact"/>
              <w:jc w:val="left"/>
            </w:pPr>
            <w:r>
              <w:t xml:space="preserve">Identical copies behind a load balancer</w:t>
            </w:r>
          </w:p>
        </w:tc>
        <w:tc>
          <w:tcPr/>
          <w:p>
            <w:pPr>
              <w:pStyle w:val="Compact"/>
              <w:jc w:val="left"/>
            </w:pPr>
            <w:r>
              <w:t xml:space="preserve">Different services for different work</w:t>
            </w:r>
          </w:p>
        </w:tc>
        <w:tc>
          <w:tcPr/>
          <w:p>
            <w:pPr>
              <w:pStyle w:val="Compact"/>
              <w:jc w:val="left"/>
            </w:pPr>
            <w:r>
              <w:t xml:space="preserve">Same service, different subsets of customers or data</w:t>
            </w:r>
          </w:p>
        </w:tc>
      </w:tr>
      <w:tr>
        <w:tc>
          <w:tcPr/>
          <w:p>
            <w:pPr>
              <w:pStyle w:val="Compact"/>
              <w:jc w:val="left"/>
            </w:pPr>
            <w:r>
              <w:t xml:space="preserve">Relieves</w:t>
            </w:r>
          </w:p>
        </w:tc>
        <w:tc>
          <w:tcPr/>
          <w:p>
            <w:pPr>
              <w:pStyle w:val="Compact"/>
              <w:jc w:val="left"/>
            </w:pPr>
            <w:r>
              <w:t xml:space="preserve">Compute and read capacity</w:t>
            </w:r>
          </w:p>
        </w:tc>
        <w:tc>
          <w:tcPr/>
          <w:p>
            <w:pPr>
              <w:pStyle w:val="Compact"/>
              <w:jc w:val="left"/>
            </w:pPr>
            <w:r>
              <w:t xml:space="preserve">Codebase size, team coupling, mixed workloads</w:t>
            </w:r>
          </w:p>
        </w:tc>
        <w:tc>
          <w:tcPr/>
          <w:p>
            <w:pPr>
              <w:pStyle w:val="Compact"/>
              <w:jc w:val="left"/>
            </w:pPr>
            <w:r>
              <w:t xml:space="preserve">Write capacity, data size, blast radius, data residency</w:t>
            </w:r>
          </w:p>
        </w:tc>
      </w:tr>
      <w:tr>
        <w:tc>
          <w:tcPr/>
          <w:p>
            <w:pPr>
              <w:pStyle w:val="Compact"/>
              <w:jc w:val="left"/>
            </w:pPr>
            <w:r>
              <w:t xml:space="preserve">Advantages</w:t>
            </w:r>
          </w:p>
        </w:tc>
        <w:tc>
          <w:tcPr/>
          <w:p>
            <w:pPr>
              <w:pStyle w:val="Compact"/>
              <w:jc w:val="left"/>
            </w:pPr>
            <w:r>
              <w:t xml:space="preserve">Simplest; no code change if stateless</w:t>
            </w:r>
          </w:p>
        </w:tc>
        <w:tc>
          <w:tcPr/>
          <w:p>
            <w:pPr>
              <w:pStyle w:val="Compact"/>
              <w:jc w:val="left"/>
            </w:pPr>
            <w:r>
              <w:t xml:space="preserve">Independent scaling and deployment</w:t>
            </w:r>
          </w:p>
        </w:tc>
        <w:tc>
          <w:tcPr/>
          <w:p>
            <w:pPr>
              <w:pStyle w:val="Compact"/>
              <w:jc w:val="left"/>
            </w:pPr>
            <w:r>
              <w:t xml:space="preserve">Near-linear scaling; failure isolation</w:t>
            </w:r>
          </w:p>
        </w:tc>
      </w:tr>
      <w:tr>
        <w:tc>
          <w:tcPr/>
          <w:p>
            <w:pPr>
              <w:pStyle w:val="Compact"/>
              <w:jc w:val="left"/>
            </w:pPr>
            <w:r>
              <w:t xml:space="preserve">Disadvantages</w:t>
            </w:r>
          </w:p>
        </w:tc>
        <w:tc>
          <w:tcPr/>
          <w:p>
            <w:pPr>
              <w:pStyle w:val="Compact"/>
              <w:jc w:val="left"/>
            </w:pPr>
            <w:r>
              <w:t xml:space="preserve">Shared data tier remains; caches duplicated</w:t>
            </w:r>
          </w:p>
        </w:tc>
        <w:tc>
          <w:tcPr/>
          <w:p>
            <w:pPr>
              <w:pStyle w:val="Compact"/>
              <w:jc w:val="left"/>
            </w:pPr>
            <w:r>
              <w:t xml:space="preserve">Network calls, distributed transactions</w:t>
            </w:r>
          </w:p>
        </w:tc>
        <w:tc>
          <w:tcPr/>
          <w:p>
            <w:pPr>
              <w:pStyle w:val="Compact"/>
              <w:jc w:val="left"/>
            </w:pPr>
            <w:r>
              <w:t xml:space="preserve">Routing layer; cross-cell queries and rebalancing</w:t>
            </w:r>
          </w:p>
        </w:tc>
      </w:tr>
      <w:tr>
        <w:tc>
          <w:tcPr/>
          <w:p>
            <w:pPr>
              <w:pStyle w:val="Compact"/>
              <w:jc w:val="left"/>
            </w:pPr>
            <w:r>
              <w:t xml:space="preserve">Operational complexity</w:t>
            </w:r>
          </w:p>
        </w:tc>
        <w:tc>
          <w:tcPr/>
          <w:p>
            <w:pPr>
              <w:pStyle w:val="Compact"/>
              <w:jc w:val="left"/>
            </w:pPr>
            <w:r>
              <w:t xml:space="preserve">Low</w:t>
            </w:r>
          </w:p>
        </w:tc>
        <w:tc>
          <w:tcPr/>
          <w:p>
            <w:pPr>
              <w:pStyle w:val="Compact"/>
              <w:jc w:val="left"/>
            </w:pPr>
            <w:r>
              <w:t xml:space="preserve">Medium to high</w:t>
            </w:r>
          </w:p>
        </w:tc>
        <w:tc>
          <w:tcPr/>
          <w:p>
            <w:pPr>
              <w:pStyle w:val="Compact"/>
              <w:jc w:val="left"/>
            </w:pPr>
            <w:r>
              <w:t xml:space="preserve">High</w:t>
            </w:r>
          </w:p>
        </w:tc>
      </w:tr>
      <w:tr>
        <w:tc>
          <w:tcPr/>
          <w:p>
            <w:pPr>
              <w:pStyle w:val="Compact"/>
              <w:jc w:val="left"/>
            </w:pPr>
            <w:r>
              <w:t xml:space="preserve">Examples</w:t>
            </w:r>
          </w:p>
        </w:tc>
        <w:tc>
          <w:tcPr/>
          <w:p>
            <w:pPr>
              <w:pStyle w:val="Compact"/>
              <w:jc w:val="left"/>
            </w:pPr>
            <w:r>
              <w:t xml:space="preserve">Stateless pods, read replicas</w:t>
            </w:r>
          </w:p>
        </w:tc>
        <w:tc>
          <w:tcPr/>
          <w:p>
            <w:pPr>
              <w:pStyle w:val="Compact"/>
              <w:jc w:val="left"/>
            </w:pPr>
            <w:r>
              <w:t xml:space="preserve">Microservices (Chapter 34), separate location service</w:t>
            </w:r>
          </w:p>
        </w:tc>
        <w:tc>
          <w:tcPr/>
          <w:p>
            <w:pPr>
              <w:pStyle w:val="Compact"/>
              <w:jc w:val="left"/>
            </w:pPr>
            <w:r>
              <w:t xml:space="preserve">Sharding (Chapter 14), cells (§33.12), regional stacks (Chapter 44)</w:t>
            </w:r>
          </w:p>
        </w:tc>
      </w:tr>
      <w:tr>
        <w:tc>
          <w:tcPr/>
          <w:p>
            <w:pPr>
              <w:pStyle w:val="Compact"/>
              <w:jc w:val="left"/>
            </w:pPr>
            <w:r>
              <w:t xml:space="preserve">Choose when</w:t>
            </w:r>
          </w:p>
        </w:tc>
        <w:tc>
          <w:tcPr/>
          <w:p>
            <w:pPr>
              <w:pStyle w:val="Compact"/>
              <w:jc w:val="left"/>
            </w:pPr>
            <w:r>
              <w:t xml:space="preserve">First, for stateless tiers</w:t>
            </w:r>
          </w:p>
        </w:tc>
        <w:tc>
          <w:tcPr/>
          <w:p>
            <w:pPr>
              <w:pStyle w:val="Compact"/>
              <w:jc w:val="left"/>
            </w:pPr>
            <w:r>
              <w:t xml:space="preserve">Parts of the system have very different load or owners</w:t>
            </w:r>
          </w:p>
        </w:tc>
        <w:tc>
          <w:tcPr/>
          <w:p>
            <w:pPr>
              <w:pStyle w:val="Compact"/>
              <w:jc w:val="left"/>
            </w:pPr>
            <w:r>
              <w:t xml:space="preserve">One primary or one failure domain is too big</w:t>
            </w:r>
          </w:p>
        </w:tc>
      </w:tr>
    </w:tbl>
    <w:p>
      <w:pPr>
        <w:pStyle w:val="CalloutExample"/>
      </w:pPr>
      <w:r>
        <w:rPr>
          <w:bCs/>
          <w:b/>
        </w:rPr>
        <w:t xml:space="preserve">WORKED EXAMPLE</w:t>
      </w:r>
    </w:p>
    <w:p>
      <w:pPr>
        <w:pStyle w:val="CalloutExample"/>
      </w:pPr>
      <w:r>
        <w:rPr>
          <w:bCs/>
          <w:b/>
        </w:rPr>
        <w:t xml:space="preserve">Worked example — Which axis for which QuickBite bottleneck?</w:t>
      </w:r>
      <w:r>
        <w:t xml:space="preserve"> </w:t>
      </w:r>
      <w:r>
        <w:t xml:space="preserve">At 2 million daily users (§2.11):</w:t>
      </w:r>
    </w:p>
    <w:p>
      <w:pPr>
        <w:numPr>
          <w:ilvl w:val="0"/>
          <w:numId w:val="1610"/>
        </w:numPr>
        <w:pStyle w:val="Compact"/>
      </w:pPr>
      <w:r>
        <w:rPr>
          <w:iCs/>
          <w:i/>
        </w:rPr>
        <w:t xml:space="preserve">Browse reads, 7,000 RPS.</w:t>
      </w:r>
      <w:r>
        <w:t xml:space="preserve"> </w:t>
      </w:r>
      <w:r>
        <w:t xml:space="preserve">Independent requests, read-only, cacheable.</w:t>
      </w:r>
      <w:r>
        <w:t xml:space="preserve"> </w:t>
      </w:r>
      <w:r>
        <w:rPr>
          <w:bCs/>
          <w:b/>
        </w:rPr>
        <w:t xml:space="preserve">X axis</w:t>
      </w:r>
      <w:r>
        <w:t xml:space="preserve">: about 18 cloned API pods plus a menu cache (§18.11).</w:t>
      </w:r>
    </w:p>
    <w:p>
      <w:pPr>
        <w:numPr>
          <w:ilvl w:val="0"/>
          <w:numId w:val="1610"/>
        </w:numPr>
        <w:pStyle w:val="Compact"/>
      </w:pPr>
      <w:r>
        <w:rPr>
          <w:iCs/>
          <w:i/>
        </w:rPr>
        <w:t xml:space="preserve">Courier location writes, 5,000/s, about 83 times the order write rate.</w:t>
      </w:r>
      <w:r>
        <w:t xml:space="preserve"> </w:t>
      </w:r>
      <w:r>
        <w:t xml:space="preserve">A different workload from orders in rate, data shape and consistency.</w:t>
      </w:r>
      <w:r>
        <w:t xml:space="preserve"> </w:t>
      </w:r>
      <w:r>
        <w:rPr>
          <w:bCs/>
          <w:b/>
        </w:rPr>
        <w:t xml:space="preserve">Y axis</w:t>
      </w:r>
      <w:r>
        <w:t xml:space="preserve">: a separate location service with its own in-memory store, as §2.8 decided.</w:t>
      </w:r>
    </w:p>
    <w:p>
      <w:pPr>
        <w:numPr>
          <w:ilvl w:val="0"/>
          <w:numId w:val="1610"/>
        </w:numPr>
        <w:pStyle w:val="Compact"/>
      </w:pPr>
      <w:r>
        <w:rPr>
          <w:iCs/>
          <w:i/>
        </w:rPr>
        <w:t xml:space="preserve">Order writes heading for the WAL limit of about 500/s</w:t>
      </w:r>
      <w:r>
        <w:t xml:space="preserve"> </w:t>
      </w:r>
      <w:r>
        <w:t xml:space="preserve">(§2.10) as QuickBite expands into several countries.</w:t>
      </w:r>
      <w:r>
        <w:t xml:space="preserve"> </w:t>
      </w:r>
      <w:r>
        <w:rPr>
          <w:bCs/>
          <w:b/>
        </w:rPr>
        <w:t xml:space="preserve">Z axis</w:t>
      </w:r>
      <w:r>
        <w:t xml:space="preserve">: partition orders by country or city, which also satisfies data-residency rules and contains failures.</w:t>
      </w:r>
    </w:p>
    <w:p>
      <w:pPr>
        <w:pStyle w:val="CalloutExample"/>
      </w:pPr>
      <w:r>
        <w:rPr>
          <w:bCs/>
          <w:b/>
        </w:rPr>
        <w:t xml:space="preserve">Interpretation.</w:t>
      </w:r>
      <w:r>
        <w:t xml:space="preserve"> </w:t>
      </w:r>
      <w:r>
        <w:t xml:space="preserve">Each bottleneck has a natural axis, determined by whether the work is identical (X), different (Y) or identical on separable data (Z).</w:t>
      </w:r>
      <w:r>
        <w:t xml:space="preserve"> </w:t>
      </w:r>
      <w:r>
        <w:rPr>
          <w:bCs/>
          <w:b/>
        </w:rPr>
        <w:t xml:space="preserve">Engineering implication.</w:t>
      </w:r>
      <w:r>
        <w:t xml:space="preserve"> </w:t>
      </w:r>
      <w:r>
        <w:t xml:space="preserve">Name the axis explicitly in design reviews;</w:t>
      </w:r>
      <w:r>
        <w:t xml:space="preserve"> </w:t>
      </w:r>
      <w:r>
        <w:t xml:space="preserve">“</w:t>
      </w:r>
      <w:r>
        <w:t xml:space="preserve">we will shard</w:t>
      </w:r>
      <w:r>
        <w:t xml:space="preserve">”</w:t>
      </w:r>
      <w:r>
        <w:t xml:space="preserve"> </w:t>
      </w:r>
      <w:r>
        <w:t xml:space="preserve">and</w:t>
      </w:r>
      <w:r>
        <w:t xml:space="preserve"> </w:t>
      </w:r>
      <w:r>
        <w:t xml:space="preserve">“</w:t>
      </w:r>
      <w:r>
        <w:t xml:space="preserve">we will add microservices</w:t>
      </w:r>
      <w:r>
        <w:t xml:space="preserve">”</w:t>
      </w:r>
      <w:r>
        <w:t xml:space="preserve"> </w:t>
      </w:r>
      <w:r>
        <w:t xml:space="preserve">are answers to different problems.</w:t>
      </w:r>
    </w:p>
    <w:p>
      <w:pPr>
        <w:pStyle w:val="CalloutIndustry"/>
      </w:pPr>
      <w:r>
        <w:rPr>
          <w:bCs/>
          <w:b/>
        </w:rPr>
        <w:t xml:space="preserve">INDUSTRY EXAMPLE</w:t>
      </w:r>
    </w:p>
    <w:p>
      <w:pPr>
        <w:pStyle w:val="CalloutIndustry"/>
      </w:pPr>
      <w:r>
        <w:rPr>
          <w:bCs/>
          <w:b/>
        </w:rPr>
        <w:t xml:space="preserve">Cells and shuffle sharding at AWS.</w:t>
      </w:r>
      <w:r>
        <w:t xml:space="preserve"> </w:t>
      </w:r>
      <w:r>
        <w:t xml:space="preserve">AWS publishes guidance on</w:t>
      </w:r>
      <w:r>
        <w:t xml:space="preserve"> </w:t>
      </w:r>
      <w:r>
        <w:rPr>
          <w:bCs/>
          <w:b/>
        </w:rPr>
        <w:t xml:space="preserve">cell-based architecture</w:t>
      </w:r>
      <w:r>
        <w:t xml:space="preserve">: dividing a service into independent cells, each a complete copy of the stack serving a subset of customers, behind a thin routing layer [AWS 2023]. Its Builders’ Library also describes</w:t>
      </w:r>
      <w:r>
        <w:t xml:space="preserve"> </w:t>
      </w:r>
      <w:r>
        <w:rPr>
          <w:bCs/>
          <w:b/>
        </w:rPr>
        <w:t xml:space="preserve">shuffle sharding</w:t>
      </w:r>
      <w:r>
        <w:t xml:space="preserve">, which assigns each customer to a random combination of nodes so that one customer’s harmful traffic affects few others [MacCárthaigh 2019]. Both are Z-axis splits, chosen as much to limit the blast radius of failures as to add capacity.</w:t>
      </w:r>
      <w:r>
        <w:t xml:space="preserve"> </w:t>
      </w:r>
      <w:r>
        <w:rPr>
          <w:iCs/>
          <w:i/>
        </w:rPr>
        <w:t xml:space="preserve">Evidence: Primary</w:t>
      </w:r>
      <w:r>
        <w:t xml:space="preserve"> </w:t>
      </w:r>
      <w:r>
        <w:t xml:space="preserve">— [AWS 2023], [MacCárthaigh 2019]</w:t>
      </w:r>
    </w:p>
    <w:p>
      <w:pPr>
        <w:pStyle w:val="CalloutMistake"/>
      </w:pPr>
      <w:r>
        <w:rPr>
          <w:bCs/>
          <w:b/>
        </w:rPr>
        <w:t xml:space="preserve">COMMON MISTAKE</w:t>
      </w:r>
    </w:p>
    <w:p>
      <w:pPr>
        <w:pStyle w:val="CalloutMistake"/>
      </w:pPr>
      <w:r>
        <w:rPr>
          <w:bCs/>
          <w:b/>
        </w:rPr>
        <w:t xml:space="preserve">“</w:t>
      </w:r>
      <w:r>
        <w:rPr>
          <w:bCs/>
          <w:b/>
        </w:rPr>
        <w:t xml:space="preserve">Z axis means database sharding.</w:t>
      </w:r>
      <w:r>
        <w:rPr>
          <w:bCs/>
          <w:b/>
        </w:rPr>
        <w:t xml:space="preserve">”</w:t>
      </w:r>
      <w:r>
        <w:t xml:space="preserve"> </w:t>
      </w:r>
      <w:r>
        <w:t xml:space="preserve">Sharding a database is one Z-axis split. Abbott and Fisher’s Z axis can split the</w:t>
      </w:r>
      <w:r>
        <w:t xml:space="preserve"> </w:t>
      </w:r>
      <w:r>
        <w:rPr>
          <w:iCs/>
          <w:i/>
        </w:rPr>
        <w:t xml:space="preserve">whole stack</w:t>
      </w:r>
      <w:r>
        <w:t xml:space="preserve"> </w:t>
      </w:r>
      <w:r>
        <w:t xml:space="preserve">(application pods, caches and data) by customer, which also isolates failures. Conversely, splitting into microservices is a Y-axis move and adds no write capacity to a shared database.</w:t>
      </w:r>
    </w:p>
    <w:bookmarkEnd w:id="2109"/>
    <w:bookmarkEnd w:id="2110"/>
    <w:bookmarkEnd w:id="2111"/>
    <w:bookmarkStart w:id="2136" w:name="capacity-planning"/>
    <w:p>
      <w:pPr>
        <w:pStyle w:val="Heading2"/>
      </w:pPr>
      <w:r>
        <w:t xml:space="preserve">18.11 Capacity planning</w:t>
      </w:r>
    </w:p>
    <w:bookmarkStart w:id="2115" w:name="the-planning-loop"/>
    <w:p>
      <w:pPr>
        <w:pStyle w:val="Heading3"/>
      </w:pPr>
      <w:r>
        <w:t xml:space="preserve">18.11.1 The planning loop</w:t>
      </w:r>
    </w:p>
    <w:p>
      <w:pPr>
        <w:pStyle w:val="CalloutDefinition"/>
      </w:pPr>
      <w:r>
        <w:rPr>
          <w:bCs/>
          <w:b/>
        </w:rPr>
        <w:t xml:space="preserve">DEFINITION</w:t>
      </w:r>
    </w:p>
    <w:p>
      <w:pPr>
        <w:pStyle w:val="CalloutDefinition"/>
      </w:pPr>
      <w:r>
        <w:rPr>
          <w:bCs/>
          <w:b/>
        </w:rPr>
        <w:t xml:space="preserve">Definition — Capacity planning.</w:t>
      </w:r>
      <w:r>
        <w:t xml:space="preserve"> </w:t>
      </w:r>
      <w:r>
        <w:t xml:space="preserve">The recurring process of forecasting demand, translating it into the resources needed to serve it within the service-level objective with stated headroom and redundancy, and acquiring those resources before they are needed, allowing for the lead time to obtain them.</w:t>
      </w:r>
    </w:p>
    <w:p>
      <w:pPr>
        <w:pStyle w:val="BodyText"/>
      </w:pPr>
      <w:r>
        <w:t xml:space="preserve">Capacity planning is the scalability counterpart of a household budget: forecast income and expenses, keep a reserve for emergencies, and order large purchases early enough to arrive on time. Google’s SRE book lists its mandatory steps as an accurate forecast of organic demand that extends beyond the lead time for acquiring capacity, the inclusion of inorganic demand such as launches and marketing campaigns, and regular load testing to relate raw resources to service capacity [Beyer et al. 2016].</w:t>
      </w:r>
    </w:p>
    <w:p>
      <w:pPr>
        <w:pStyle w:val="BodyText"/>
      </w:pPr>
      <w:r>
        <w:rPr>
          <w:bCs/>
          <w:b/>
        </w:rPr>
        <w:t xml:space="preserve">Figure 18.8 — The capacity planning loop.</w:t>
      </w:r>
    </w:p>
    <w:p>
      <w:pPr>
        <w:pStyle w:val="BodyText"/>
      </w:pPr>
      <w:r>
        <w:drawing>
          <wp:inline>
            <wp:extent cx="5334000" cy="364335"/>
            <wp:effectExtent b="0" l="0" r="0" t="0"/>
            <wp:docPr descr="" title="" id="2113" name="Picture"/>
            <a:graphic>
              <a:graphicData uri="http://schemas.openxmlformats.org/drawingml/2006/picture">
                <pic:pic>
                  <pic:nvPicPr>
                    <pic:cNvPr descr="/home/user/System-Design/build/.cache/diagrams/f5a43b958e15.png" id="2114" name="Picture"/>
                    <pic:cNvPicPr>
                      <a:picLocks noChangeArrowheads="1" noChangeAspect="1"/>
                    </pic:cNvPicPr>
                  </pic:nvPicPr>
                  <pic:blipFill>
                    <a:blip r:embed="rId2112"/>
                    <a:stretch>
                      <a:fillRect/>
                    </a:stretch>
                  </pic:blipFill>
                  <pic:spPr bwMode="auto">
                    <a:xfrm>
                      <a:off x="0" y="0"/>
                      <a:ext cx="5334000" cy="364335"/>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This is a process, not a running system. Load tests convert requests per second into nodes; the per-node capacity</w:t>
      </w:r>
      <w:r>
        <w:t xml:space="preserve"> </w:t>
      </w:r>
      <m:oMath>
        <m:r>
          <m:t>c</m:t>
        </m:r>
      </m:oMath>
      <w:r>
        <w:t xml:space="preserve"> </w:t>
      </w:r>
      <w:r>
        <w:t xml:space="preserve">must be measured at the latency objective, not at saturation. The model adds queueing headroom, the redundancy step adds failure headroom, and provisioning starts early enough to cover lead time: minutes for cloud instances, weeks for quotas or reservations, months for hardware or a re-architecture. Utilization history (a storage boundary) feeds the next forecast (dotted). The second dotted exit matters most: when a tripwire (§2.7) fires, the answer is a design change, not more nodes.</w:t>
      </w:r>
    </w:p>
    <w:bookmarkEnd w:id="2115"/>
    <w:bookmarkStart w:id="2116" w:name="headroom-and-redundancy"/>
    <w:p>
      <w:pPr>
        <w:pStyle w:val="Heading3"/>
      </w:pPr>
      <w:r>
        <w:t xml:space="preserve">18.11.2 Headroom and redundancy</w:t>
      </w:r>
    </w:p>
    <w:p>
      <w:pPr>
        <w:pStyle w:val="CalloutFormula"/>
      </w:pPr>
      <w:r>
        <w:rPr>
          <w:bCs/>
          <w:b/>
        </w:rPr>
        <w:t xml:space="preserve">FORMULA</w:t>
      </w:r>
    </w:p>
    <w:p>
      <w:pPr>
        <w:pStyle w:val="CalloutFormula"/>
      </w:pPr>
      <w:r>
        <w:rPr>
          <w:bCs/>
          <w:b/>
        </w:rPr>
        <w:t xml:space="preserve">Provisioned capacity with headroom</w:t>
      </w:r>
    </w:p>
    <w:p>
      <w:pPr>
        <w:pStyle w:val="CalloutFormula"/>
      </w:pPr>
      <m:oMathPara>
        <m:oMathParaPr>
          <m:jc m:val="center"/>
        </m:oMathParaPr>
        <m:oMath>
          <m:r>
            <m:t>N</m:t>
          </m:r>
          <m:r>
            <m:rPr>
              <m:sty m:val="p"/>
            </m:rPr>
            <m:t>=</m:t>
          </m:r>
          <m:d>
            <m:dPr>
              <m:begChr m:val="⌈"/>
              <m:endChr m:val="⌉"/>
              <m:sepChr m:val=""/>
              <m:grow/>
            </m:dPr>
            <m:e>
              <m:f>
                <m:fPr>
                  <m:type m:val="bar"/>
                </m:fPr>
                <m:num>
                  <m:sSub>
                    <m:e>
                      <m:r>
                        <m:t>R</m:t>
                      </m:r>
                    </m:e>
                    <m:sub>
                      <m:r>
                        <m:t>p</m:t>
                      </m:r>
                      <m:r>
                        <m:t>e</m:t>
                      </m:r>
                      <m:r>
                        <m:t>a</m:t>
                      </m:r>
                      <m:r>
                        <m:t>k</m:t>
                      </m:r>
                    </m:sub>
                  </m:sSub>
                  <m:r>
                    <m:t> </m:t>
                  </m:r>
                  <m:sSup>
                    <m:e>
                      <m:d>
                        <m:dPr>
                          <m:begChr m:val="("/>
                          <m:endChr m:val=")"/>
                          <m:sepChr m:val=""/>
                          <m:grow/>
                        </m:dPr>
                        <m:e>
                          <m:r>
                            <m:t>1</m:t>
                          </m:r>
                          <m:r>
                            <m:rPr>
                              <m:sty m:val="p"/>
                            </m:rPr>
                            <m:t>+</m:t>
                          </m:r>
                          <m:r>
                            <m:t>g</m:t>
                          </m:r>
                        </m:e>
                      </m:d>
                    </m:e>
                    <m:sup>
                      <m:r>
                        <m:t>L</m:t>
                      </m:r>
                    </m:sup>
                  </m:sSup>
                </m:num>
                <m:den>
                  <m:r>
                    <m:t>c</m:t>
                  </m:r>
                  <m:r>
                    <m:rPr>
                      <m:sty m:val="p"/>
                    </m:rPr>
                    <m:t>×</m:t>
                  </m:r>
                  <m:sSub>
                    <m:e>
                      <m:r>
                        <m:t>u</m:t>
                      </m:r>
                    </m:e>
                    <m:sub>
                      <m:r>
                        <m:t>t</m:t>
                      </m:r>
                      <m:r>
                        <m:t>a</m:t>
                      </m:r>
                      <m:r>
                        <m:t>r</m:t>
                      </m:r>
                      <m:r>
                        <m:t>g</m:t>
                      </m:r>
                      <m:r>
                        <m:t>e</m:t>
                      </m:r>
                      <m:r>
                        <m:t>t</m:t>
                      </m:r>
                    </m:sub>
                  </m:sSub>
                </m:den>
              </m:f>
            </m:e>
          </m:d>
          <m:r>
            <m:t>  </m:t>
          </m:r>
          <m:sSub>
            <m:e>
              <m:r>
                <m:t>N</m:t>
              </m:r>
            </m:e>
            <m:sub>
              <m:r>
                <m:t>t</m:t>
              </m:r>
              <m:r>
                <m:t>o</m:t>
              </m:r>
              <m:r>
                <m:t>t</m:t>
              </m:r>
              <m:r>
                <m:t>a</m:t>
              </m:r>
              <m:r>
                <m:t>l</m:t>
              </m:r>
            </m:sub>
          </m:sSub>
          <m:r>
            <m:rPr>
              <m:sty m:val="p"/>
            </m:rPr>
            <m:t>=</m:t>
          </m:r>
          <m:r>
            <m:t>N</m:t>
          </m:r>
          <m:r>
            <m:rPr>
              <m:sty m:val="p"/>
            </m:rPr>
            <m:t>+</m:t>
          </m:r>
          <m:r>
            <m:t>k</m:t>
          </m:r>
          <m:r>
            <m:t> </m:t>
          </m:r>
          <m:r>
            <m:rPr>
              <m:nor/>
              <m:sty m:val="p"/>
            </m:rPr>
            <m:t>or</m:t>
          </m:r>
          <m:r>
            <m:t> </m:t>
          </m:r>
          <m:sSub>
            <m:e>
              <m:r>
                <m:t>N</m:t>
              </m:r>
            </m:e>
            <m:sub>
              <m:r>
                <m:t>t</m:t>
              </m:r>
              <m:r>
                <m:t>o</m:t>
              </m:r>
              <m:r>
                <m:t>t</m:t>
              </m:r>
              <m:r>
                <m:t>a</m:t>
              </m:r>
              <m:r>
                <m:t>l</m:t>
              </m:r>
            </m:sub>
          </m:sSub>
          <m:r>
            <m:rPr>
              <m:sty m:val="p"/>
            </m:rPr>
            <m:t>=</m:t>
          </m:r>
          <m:d>
            <m:dPr>
              <m:begChr m:val="⌈"/>
              <m:endChr m:val="⌉"/>
              <m:sepChr m:val=""/>
              <m:grow/>
            </m:dPr>
            <m:e>
              <m:r>
                <m:t>N</m:t>
              </m:r>
              <m:r>
                <m:rPr>
                  <m:sty m:val="p"/>
                </m:rPr>
                <m:t>×</m:t>
              </m:r>
              <m:f>
                <m:fPr>
                  <m:type m:val="bar"/>
                </m:fPr>
                <m:num>
                  <m:r>
                    <m:t>Z</m:t>
                  </m:r>
                </m:num>
                <m:den>
                  <m:r>
                    <m:t>Z</m:t>
                  </m:r>
                  <m:r>
                    <m:rPr>
                      <m:sty m:val="p"/>
                    </m:rPr>
                    <m:t>−</m:t>
                  </m:r>
                  <m:r>
                    <m:t>f</m:t>
                  </m:r>
                </m:den>
              </m:f>
            </m:e>
          </m:d>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R</m:t>
                  </m:r>
                </m:e>
                <m:sub>
                  <m:r>
                    <m:t>p</m:t>
                  </m:r>
                  <m:r>
                    <m:t>e</m:t>
                  </m:r>
                  <m:r>
                    <m:t>a</m:t>
                  </m:r>
                  <m:r>
                    <m:t>k</m:t>
                  </m:r>
                </m:sub>
              </m:sSub>
            </m:oMath>
          </w:p>
        </w:tc>
        <w:tc>
          <w:tcPr/>
          <w:p>
            <w:pPr>
              <w:pStyle w:val="Compact"/>
              <w:jc w:val="left"/>
            </w:pPr>
            <w:r>
              <w:t xml:space="preserve">Current design peak load</w:t>
            </w:r>
          </w:p>
        </w:tc>
        <w:tc>
          <w:tcPr/>
          <w:p>
            <w:pPr>
              <w:pStyle w:val="Compact"/>
              <w:jc w:val="left"/>
            </w:pPr>
            <w:r>
              <w:t xml:space="preserve">requests/s</w:t>
            </w:r>
          </w:p>
        </w:tc>
      </w:tr>
      <w:tr>
        <w:tc>
          <w:tcPr/>
          <w:p>
            <w:pPr>
              <w:pStyle w:val="Compact"/>
              <w:jc w:val="left"/>
            </w:pPr>
            <m:oMath>
              <m:r>
                <m:t>g</m:t>
              </m:r>
            </m:oMath>
          </w:p>
        </w:tc>
        <w:tc>
          <w:tcPr/>
          <w:p>
            <w:pPr>
              <w:pStyle w:val="Compact"/>
              <w:jc w:val="left"/>
            </w:pPr>
            <w:r>
              <w:t xml:space="preserve">Demand growth rate per period</w:t>
            </w:r>
          </w:p>
        </w:tc>
        <w:tc>
          <w:tcPr/>
          <w:p>
            <w:pPr>
              <w:pStyle w:val="Compact"/>
              <w:jc w:val="left"/>
            </w:pPr>
            <w:r>
              <w:t xml:space="preserve">fraction per month</w:t>
            </w:r>
          </w:p>
        </w:tc>
      </w:tr>
      <w:tr>
        <w:tc>
          <w:tcPr/>
          <w:p>
            <w:pPr>
              <w:pStyle w:val="Compact"/>
              <w:jc w:val="left"/>
            </w:pPr>
            <m:oMath>
              <m:r>
                <m:t>L</m:t>
              </m:r>
            </m:oMath>
          </w:p>
        </w:tc>
        <w:tc>
          <w:tcPr/>
          <w:p>
            <w:pPr>
              <w:pStyle w:val="Compact"/>
              <w:jc w:val="left"/>
            </w:pPr>
            <w:r>
              <w:t xml:space="preserve">Lead time to add capacity</w:t>
            </w:r>
          </w:p>
        </w:tc>
        <w:tc>
          <w:tcPr/>
          <w:p>
            <w:pPr>
              <w:pStyle w:val="Compact"/>
              <w:jc w:val="left"/>
            </w:pPr>
            <w:r>
              <w:t xml:space="preserve">months</w:t>
            </w:r>
          </w:p>
        </w:tc>
      </w:tr>
      <w:tr>
        <w:tc>
          <w:tcPr/>
          <w:p>
            <w:pPr>
              <w:pStyle w:val="Compact"/>
              <w:jc w:val="left"/>
            </w:pPr>
            <m:oMath>
              <m:r>
                <m:t>c</m:t>
              </m:r>
            </m:oMath>
          </w:p>
        </w:tc>
        <w:tc>
          <w:tcPr/>
          <w:p>
            <w:pPr>
              <w:pStyle w:val="Compact"/>
              <w:jc w:val="left"/>
            </w:pPr>
            <w:r>
              <w:t xml:space="preserve">Per-node throughput at which latency meets the objective (measured)</w:t>
            </w:r>
          </w:p>
        </w:tc>
        <w:tc>
          <w:tcPr/>
          <w:p>
            <w:pPr>
              <w:pStyle w:val="Compact"/>
              <w:jc w:val="left"/>
            </w:pPr>
            <w:r>
              <w:t xml:space="preserve">requests/s per node</w:t>
            </w:r>
          </w:p>
        </w:tc>
      </w:tr>
      <w:tr>
        <w:tc>
          <w:tcPr/>
          <w:p>
            <w:pPr>
              <w:pStyle w:val="Compact"/>
              <w:jc w:val="left"/>
            </w:pPr>
            <m:oMath>
              <m:sSub>
                <m:e>
                  <m:r>
                    <m:t>u</m:t>
                  </m:r>
                </m:e>
                <m:sub>
                  <m:r>
                    <m:t>t</m:t>
                  </m:r>
                  <m:r>
                    <m:t>a</m:t>
                  </m:r>
                  <m:r>
                    <m:t>r</m:t>
                  </m:r>
                  <m:r>
                    <m:t>g</m:t>
                  </m:r>
                  <m:r>
                    <m:t>e</m:t>
                  </m:r>
                  <m:r>
                    <m:t>t</m:t>
                  </m:r>
                </m:sub>
              </m:sSub>
            </m:oMath>
          </w:p>
        </w:tc>
        <w:tc>
          <w:tcPr/>
          <w:p>
            <w:pPr>
              <w:pStyle w:val="Compact"/>
              <w:jc w:val="left"/>
            </w:pPr>
            <w:r>
              <w:t xml:space="preserve">Target utilization (queueing and reaction-time headroom, §18.8.4)</w:t>
            </w:r>
          </w:p>
        </w:tc>
        <w:tc>
          <w:tcPr/>
          <w:p>
            <w:pPr>
              <w:pStyle w:val="Compact"/>
              <w:jc w:val="left"/>
            </w:pPr>
            <w:r>
              <w:t xml:space="preserve">fraction</w:t>
            </w:r>
          </w:p>
        </w:tc>
      </w:tr>
      <w:tr>
        <w:tc>
          <w:tcPr/>
          <w:p>
            <w:pPr>
              <w:pStyle w:val="Compact"/>
              <w:jc w:val="left"/>
            </w:pPr>
            <m:oMath>
              <m:r>
                <m:t>N</m:t>
              </m:r>
            </m:oMath>
          </w:p>
        </w:tc>
        <w:tc>
          <w:tcPr/>
          <w:p>
            <w:pPr>
              <w:pStyle w:val="Compact"/>
              <w:jc w:val="left"/>
            </w:pPr>
            <w:r>
              <w:t xml:space="preserve">Nodes needed to serve the load with headroom</w:t>
            </w:r>
          </w:p>
        </w:tc>
        <w:tc>
          <w:tcPr/>
          <w:p>
            <w:pPr>
              <w:pStyle w:val="Compact"/>
              <w:jc w:val="left"/>
            </w:pPr>
            <w:r>
              <w:t xml:space="preserve">nodes</w:t>
            </w:r>
          </w:p>
        </w:tc>
      </w:tr>
      <w:tr>
        <w:tc>
          <w:tcPr/>
          <w:p>
            <w:pPr>
              <w:pStyle w:val="Compact"/>
              <w:jc w:val="left"/>
            </w:pPr>
            <m:oMath>
              <m:r>
                <m:t>k</m:t>
              </m:r>
            </m:oMath>
          </w:p>
        </w:tc>
        <w:tc>
          <w:tcPr/>
          <w:p>
            <w:pPr>
              <w:pStyle w:val="Compact"/>
              <w:jc w:val="left"/>
            </w:pPr>
            <w:r>
              <w:t xml:space="preserve">Spare nodes for failures and deploys (N+1:</w:t>
            </w:r>
            <w:r>
              <w:t xml:space="preserve"> </w:t>
            </w:r>
            <m:oMath>
              <m:r>
                <m:t>k</m:t>
              </m:r>
              <m:r>
                <m:rPr>
                  <m:sty m:val="p"/>
                </m:rPr>
                <m:t>=</m:t>
              </m:r>
              <m:r>
                <m:t>1</m:t>
              </m:r>
            </m:oMath>
            <w:r>
              <w:t xml:space="preserve">; N+2:</w:t>
            </w:r>
            <w:r>
              <w:t xml:space="preserve"> </w:t>
            </w:r>
            <m:oMath>
              <m:r>
                <m:t>k</m:t>
              </m:r>
              <m:r>
                <m:rPr>
                  <m:sty m:val="p"/>
                </m:rPr>
                <m:t>=</m:t>
              </m:r>
              <m:r>
                <m:t>2</m:t>
              </m:r>
            </m:oMath>
            <w:r>
              <w:t xml:space="preserve">)</w:t>
            </w:r>
          </w:p>
        </w:tc>
        <w:tc>
          <w:tcPr/>
          <w:p>
            <w:pPr>
              <w:pStyle w:val="Compact"/>
              <w:jc w:val="left"/>
            </w:pPr>
            <w:r>
              <w:t xml:space="preserve">nodes</w:t>
            </w:r>
          </w:p>
        </w:tc>
      </w:tr>
      <w:tr>
        <w:tc>
          <w:tcPr/>
          <w:p>
            <w:pPr>
              <w:pStyle w:val="Compact"/>
              <w:jc w:val="left"/>
            </w:pPr>
            <m:oMath>
              <m:r>
                <m:t>Z</m:t>
              </m:r>
              <m:r>
                <m:rPr>
                  <m:sty m:val="p"/>
                </m:rPr>
                <m:t>,</m:t>
              </m:r>
              <m:r>
                <m:t>f</m:t>
              </m:r>
            </m:oMath>
          </w:p>
        </w:tc>
        <w:tc>
          <w:tcPr/>
          <w:p>
            <w:pPr>
              <w:pStyle w:val="Compact"/>
              <w:jc w:val="left"/>
            </w:pPr>
            <w:r>
              <w:t xml:space="preserve">Failure domains (zones) used, and how many may fail at once</w:t>
            </w:r>
          </w:p>
        </w:tc>
        <w:tc>
          <w:tcPr/>
          <w:p>
            <w:pPr>
              <w:pStyle w:val="Compact"/>
              <w:jc w:val="left"/>
            </w:pPr>
            <w:r>
              <w:t xml:space="preserve">count</w:t>
            </w:r>
          </w:p>
        </w:tc>
      </w:tr>
      <w:tr>
        <w:tc>
          <w:tcPr/>
          <w:p>
            <w:pPr>
              <w:pStyle w:val="Compact"/>
              <w:jc w:val="left"/>
            </w:pPr>
            <m:oMath>
              <m:sSub>
                <m:e>
                  <m:r>
                    <m:t>N</m:t>
                  </m:r>
                </m:e>
                <m:sub>
                  <m:r>
                    <m:t>t</m:t>
                  </m:r>
                  <m:r>
                    <m:t>o</m:t>
                  </m:r>
                  <m:r>
                    <m:t>t</m:t>
                  </m:r>
                  <m:r>
                    <m:t>a</m:t>
                  </m:r>
                  <m:r>
                    <m:t>l</m:t>
                  </m:r>
                </m:sub>
              </m:sSub>
            </m:oMath>
          </w:p>
        </w:tc>
        <w:tc>
          <w:tcPr/>
          <w:p>
            <w:pPr>
              <w:pStyle w:val="Compact"/>
              <w:jc w:val="left"/>
            </w:pPr>
            <w:r>
              <w:t xml:space="preserve">Nodes to provision</w:t>
            </w:r>
          </w:p>
        </w:tc>
        <w:tc>
          <w:tcPr/>
          <w:p>
            <w:pPr>
              <w:pStyle w:val="Compact"/>
              <w:jc w:val="left"/>
            </w:pPr>
            <w:r>
              <w:t xml:space="preserve">nodes</w:t>
            </w:r>
          </w:p>
        </w:tc>
      </w:tr>
    </w:tbl>
    <w:p>
      <w:pPr>
        <w:pStyle w:val="BodyText"/>
      </w:pPr>
      <w:r>
        <w:t xml:space="preserve">Three kinds of headroom hide in this formula:</w:t>
      </w:r>
      <w:r>
        <w:t xml:space="preserve"> </w:t>
      </w:r>
      <w:r>
        <w:rPr>
          <w:bCs/>
          <w:b/>
        </w:rPr>
        <w:t xml:space="preserve">queueing headroom</w:t>
      </w:r>
      <w:r>
        <w:t xml:space="preserve"> </w:t>
      </w:r>
      <w:r>
        <w:t xml:space="preserve">(</w:t>
      </w:r>
      <m:oMath>
        <m:sSub>
          <m:e>
            <m:r>
              <m:t>u</m:t>
            </m:r>
          </m:e>
          <m:sub>
            <m:r>
              <m:t>t</m:t>
            </m:r>
            <m:r>
              <m:t>a</m:t>
            </m:r>
            <m:r>
              <m:t>r</m:t>
            </m:r>
            <m:r>
              <m:t>g</m:t>
            </m:r>
            <m:r>
              <m:t>e</m:t>
            </m:r>
            <m:r>
              <m:t>t</m:t>
            </m:r>
          </m:sub>
        </m:sSub>
        <m:r>
          <m:rPr>
            <m:sty m:val="p"/>
          </m:rPr>
          <m:t>&lt;</m:t>
        </m:r>
        <m:r>
          <m:t>1</m:t>
        </m:r>
      </m:oMath>
      <w:r>
        <w:t xml:space="preserve">, because latency grows as</w:t>
      </w:r>
      <w:r>
        <w:t xml:space="preserve"> </w:t>
      </w:r>
      <m:oMath>
        <m:r>
          <m:t>1</m:t>
        </m:r>
        <m:r>
          <m:rPr>
            <m:sty m:val="p"/>
          </m:rPr>
          <m:t>/</m:t>
        </m:r>
        <m:d>
          <m:dPr>
            <m:begChr m:val="("/>
            <m:endChr m:val=")"/>
            <m:sepChr m:val=""/>
            <m:grow/>
          </m:dPr>
          <m:e>
            <m:r>
              <m:t>1</m:t>
            </m:r>
            <m:r>
              <m:rPr>
                <m:sty m:val="p"/>
              </m:rPr>
              <m:t>−</m:t>
            </m:r>
            <m:r>
              <m:t>ρ</m:t>
            </m:r>
          </m:e>
        </m:d>
      </m:oMath>
      <w:r>
        <w:t xml:space="preserve">, §4.10),</w:t>
      </w:r>
      <w:r>
        <w:t xml:space="preserve"> </w:t>
      </w:r>
      <w:r>
        <w:rPr>
          <w:bCs/>
          <w:b/>
        </w:rPr>
        <w:t xml:space="preserve">growth headroom</w:t>
      </w:r>
      <w:r>
        <w:t xml:space="preserve"> </w:t>
      </w:r>
      <w:r>
        <w:t xml:space="preserve">(</w:t>
      </w:r>
      <m:oMath>
        <m:sSup>
          <m:e>
            <m:d>
              <m:dPr>
                <m:begChr m:val="("/>
                <m:endChr m:val=")"/>
                <m:sepChr m:val=""/>
                <m:grow/>
              </m:dPr>
              <m:e>
                <m:r>
                  <m:t>1</m:t>
                </m:r>
                <m:r>
                  <m:rPr>
                    <m:sty m:val="p"/>
                  </m:rPr>
                  <m:t>+</m:t>
                </m:r>
                <m:r>
                  <m:t>g</m:t>
                </m:r>
              </m:e>
            </m:d>
          </m:e>
          <m:sup>
            <m:r>
              <m:t>L</m:t>
            </m:r>
          </m:sup>
        </m:sSup>
      </m:oMath>
      <w:r>
        <w:t xml:space="preserve">, because capacity takes time to arrive), and</w:t>
      </w:r>
      <w:r>
        <w:t xml:space="preserve"> </w:t>
      </w:r>
      <w:r>
        <w:rPr>
          <w:bCs/>
          <w:b/>
        </w:rPr>
        <w:t xml:space="preserve">failure headroom</w:t>
      </w:r>
      <w:r>
        <w:t xml:space="preserve"> </w:t>
      </w:r>
      <w:r>
        <w:t xml:space="preserve">(</w:t>
      </w:r>
      <m:oMath>
        <m:r>
          <m:t>k</m:t>
        </m:r>
      </m:oMath>
      <w:r>
        <w:t xml:space="preserve"> </w:t>
      </w:r>
      <w:r>
        <w:t xml:space="preserve">or</w:t>
      </w:r>
      <w:r>
        <w:t xml:space="preserve"> </w:t>
      </w:r>
      <m:oMath>
        <m:r>
          <m:t>Z</m:t>
        </m:r>
        <m:r>
          <m:rPr>
            <m:sty m:val="p"/>
          </m:rPr>
          <m:t>/</m:t>
        </m:r>
        <m:d>
          <m:dPr>
            <m:begChr m:val="("/>
            <m:endChr m:val=")"/>
            <m:sepChr m:val=""/>
            <m:grow/>
          </m:dPr>
          <m:e>
            <m:r>
              <m:t>Z</m:t>
            </m:r>
            <m:r>
              <m:rPr>
                <m:sty m:val="p"/>
              </m:rPr>
              <m:t>−</m:t>
            </m:r>
            <m:r>
              <m:t>f</m:t>
            </m:r>
          </m:e>
        </m:d>
      </m:oMath>
      <w:r>
        <w:t xml:space="preserve">). N+2 is the common rule for services: one spare for an unplanned failure, a second for the node that is down for maintenance or a deploy at the same moment [Beyer et al. 2016]. The zone form provisions so that losing</w:t>
      </w:r>
      <w:r>
        <w:t xml:space="preserve"> </w:t>
      </w:r>
      <m:oMath>
        <m:r>
          <m:t>f</m:t>
        </m:r>
      </m:oMath>
      <w:r>
        <w:t xml:space="preserve"> </w:t>
      </w:r>
      <w:r>
        <w:t xml:space="preserve">of</w:t>
      </w:r>
      <w:r>
        <w:t xml:space="preserve"> </w:t>
      </w:r>
      <m:oMath>
        <m:r>
          <m:t>Z</m:t>
        </m:r>
      </m:oMath>
      <w:r>
        <w:t xml:space="preserve"> </w:t>
      </w:r>
      <w:r>
        <w:t xml:space="preserve">zones leaves enough capacity</w:t>
      </w:r>
      <w:r>
        <w:t xml:space="preserve"> </w:t>
      </w:r>
      <w:r>
        <w:rPr>
          <w:iCs/>
          <w:i/>
        </w:rPr>
        <w:t xml:space="preserve">without any scaling action</w:t>
      </w:r>
      <w:r>
        <w:t xml:space="preserve">, a property AWS calls</w:t>
      </w:r>
      <w:r>
        <w:t xml:space="preserve"> </w:t>
      </w:r>
      <w:r>
        <w:rPr>
          <w:bCs/>
          <w:b/>
        </w:rPr>
        <w:t xml:space="preserve">static stability</w:t>
      </w:r>
      <w:r>
        <w:t xml:space="preserve"> </w:t>
      </w:r>
      <w:r>
        <w:t xml:space="preserve">[Weiss and Furr 2020].</w:t>
      </w:r>
    </w:p>
    <w:p>
      <w:pPr>
        <w:pStyle w:val="CalloutExample"/>
      </w:pPr>
      <w:r>
        <w:rPr>
          <w:bCs/>
          <w:b/>
        </w:rPr>
        <w:t xml:space="preserve">WORKED EXAMPLE</w:t>
      </w:r>
    </w:p>
    <w:p>
      <w:pPr>
        <w:pStyle w:val="CalloutExample"/>
      </w:pPr>
      <w:r>
        <w:rPr>
          <w:bCs/>
          <w:b/>
        </w:rPr>
        <w:t xml:space="preserve">Worked example — QuickBite’s API fleet at 2 million users.</w:t>
      </w:r>
      <w:r>
        <w:t xml:space="preserve"> </w:t>
      </w:r>
      <w:r>
        <w:t xml:space="preserve">From §2.11:</w:t>
      </w:r>
      <w:r>
        <w:t xml:space="preserve"> </w:t>
      </w:r>
      <m:oMath>
        <m:sSub>
          <m:e>
            <m:r>
              <m:t>R</m:t>
            </m:r>
          </m:e>
          <m:sub>
            <m:r>
              <m:t>p</m:t>
            </m:r>
            <m:r>
              <m:t>e</m:t>
            </m:r>
            <m:r>
              <m:t>a</m:t>
            </m:r>
            <m:r>
              <m:t>k</m:t>
            </m:r>
          </m:sub>
        </m:sSub>
        <m:r>
          <m:rPr>
            <m:sty m:val="p"/>
          </m:rPr>
          <m:t>=</m:t>
        </m:r>
        <m:r>
          <m:t>6</m:t>
        </m:r>
        <m:r>
          <m:rPr>
            <m:sty m:val="p"/>
          </m:rPr>
          <m:t>,</m:t>
        </m:r>
        <m:r>
          <m:t>667</m:t>
        </m:r>
      </m:oMath>
      <w:r>
        <w:t xml:space="preserve"> </w:t>
      </w:r>
      <w:r>
        <w:t xml:space="preserve">RPS (rounded to 7,000 in Chapter 2),</w:t>
      </w:r>
      <w:r>
        <w:t xml:space="preserve"> </w:t>
      </w:r>
      <m:oMath>
        <m:r>
          <m:t>c</m:t>
        </m:r>
        <m:r>
          <m:rPr>
            <m:sty m:val="p"/>
          </m:rPr>
          <m:t>=</m:t>
        </m:r>
        <m:r>
          <m:t>1</m:t>
        </m:r>
        <m:r>
          <m:rPr>
            <m:sty m:val="p"/>
          </m:rPr>
          <m:t>,</m:t>
        </m:r>
        <m:r>
          <m:t>000</m:t>
        </m:r>
      </m:oMath>
      <w:r>
        <w:t xml:space="preserve"> </w:t>
      </w:r>
      <w:r>
        <w:t xml:space="preserve">RPS per node,</w:t>
      </w:r>
      <w:r>
        <w:t xml:space="preserve"> </w:t>
      </w:r>
      <m:oMath>
        <m:sSub>
          <m:e>
            <m:r>
              <m:t>u</m:t>
            </m:r>
          </m:e>
          <m:sub>
            <m:r>
              <m:t>t</m:t>
            </m:r>
            <m:r>
              <m:t>a</m:t>
            </m:r>
            <m:r>
              <m:t>r</m:t>
            </m:r>
            <m:r>
              <m:t>g</m:t>
            </m:r>
            <m:r>
              <m:t>e</m:t>
            </m:r>
            <m:r>
              <m:t>t</m:t>
            </m:r>
          </m:sub>
        </m:sSub>
        <m:r>
          <m:rPr>
            <m:sty m:val="p"/>
          </m:rPr>
          <m:t>=</m:t>
        </m:r>
        <m:r>
          <m:t>0.6</m:t>
        </m:r>
      </m:oMath>
      <w:r>
        <w:t xml:space="preserve">.</w:t>
      </w:r>
    </w:p>
    <w:p>
      <w:pPr>
        <w:numPr>
          <w:ilvl w:val="0"/>
          <w:numId w:val="1611"/>
        </w:numPr>
        <w:pStyle w:val="Compact"/>
      </w:pPr>
      <w:r>
        <w:rPr>
          <w:iCs/>
          <w:i/>
        </w:rPr>
        <w:t xml:space="preserve">Servers needed now:</w:t>
      </w:r>
      <w:r>
        <w:t xml:space="preserve"> </w:t>
      </w:r>
      <m:oMath>
        <m:r>
          <m:t>6</m:t>
        </m:r>
        <m:r>
          <m:rPr>
            <m:sty m:val="p"/>
          </m:rPr>
          <m:t>,</m:t>
        </m:r>
        <m:r>
          <m:t>667</m:t>
        </m:r>
        <m:r>
          <m:rPr>
            <m:sty m:val="p"/>
          </m:rPr>
          <m:t>/</m:t>
        </m:r>
        <m:d>
          <m:dPr>
            <m:begChr m:val="("/>
            <m:endChr m:val=")"/>
            <m:sepChr m:val=""/>
            <m:grow/>
          </m:dPr>
          <m:e>
            <m:r>
              <m:t>1</m:t>
            </m:r>
            <m:r>
              <m:rPr>
                <m:sty m:val="p"/>
              </m:rPr>
              <m:t>,</m:t>
            </m:r>
            <m:r>
              <m:t>000</m:t>
            </m:r>
            <m:r>
              <m:rPr>
                <m:sty m:val="p"/>
              </m:rPr>
              <m:t>×</m:t>
            </m:r>
            <m:r>
              <m:t>0.6</m:t>
            </m:r>
          </m:e>
        </m:d>
        <m:r>
          <m:rPr>
            <m:sty m:val="p"/>
          </m:rPr>
          <m:t>=</m:t>
        </m:r>
        <m:r>
          <m:t>11.1</m:t>
        </m:r>
      </m:oMath>
      <w:r>
        <w:t xml:space="preserve">, so</w:t>
      </w:r>
      <w:r>
        <w:t xml:space="preserve"> </w:t>
      </w:r>
      <m:oMath>
        <m:r>
          <m:t>N</m:t>
        </m:r>
        <m:r>
          <m:rPr>
            <m:sty m:val="p"/>
          </m:rPr>
          <m:t>=</m:t>
        </m:r>
        <m:r>
          <m:t>12</m:t>
        </m:r>
      </m:oMath>
      <w:r>
        <w:t xml:space="preserve">.</w:t>
      </w:r>
    </w:p>
    <w:p>
      <w:pPr>
        <w:numPr>
          <w:ilvl w:val="0"/>
          <w:numId w:val="1611"/>
        </w:numPr>
        <w:pStyle w:val="Compact"/>
      </w:pPr>
      <w:r>
        <w:rPr>
          <w:iCs/>
          <w:i/>
        </w:rPr>
        <w:t xml:space="preserve">N+2:</w:t>
      </w:r>
      <w:r>
        <w:t xml:space="preserve"> </w:t>
      </w:r>
      <m:oMath>
        <m:sSub>
          <m:e>
            <m:r>
              <m:t>N</m:t>
            </m:r>
          </m:e>
          <m:sub>
            <m:r>
              <m:t>t</m:t>
            </m:r>
            <m:r>
              <m:t>o</m:t>
            </m:r>
            <m:r>
              <m:t>t</m:t>
            </m:r>
            <m:r>
              <m:t>a</m:t>
            </m:r>
            <m:r>
              <m:t>l</m:t>
            </m:r>
          </m:sub>
        </m:sSub>
        <m:r>
          <m:rPr>
            <m:sty m:val="p"/>
          </m:rPr>
          <m:t>=</m:t>
        </m:r>
        <m:r>
          <m:t>14</m:t>
        </m:r>
      </m:oMath>
      <w:r>
        <w:t xml:space="preserve">, the figure Chapter 2 used. Spread over 3 zones as 5, 5 and 4, losing a 5-node zone leaves 9 nodes:</w:t>
      </w:r>
      <w:r>
        <w:t xml:space="preserve"> </w:t>
      </w:r>
      <m:oMath>
        <m:r>
          <m:t>6</m:t>
        </m:r>
        <m:r>
          <m:rPr>
            <m:sty m:val="p"/>
          </m:rPr>
          <m:t>,</m:t>
        </m:r>
        <m:r>
          <m:t>667</m:t>
        </m:r>
        <m:r>
          <m:rPr>
            <m:sty m:val="p"/>
          </m:rPr>
          <m:t>/</m:t>
        </m:r>
        <m:r>
          <m:t>9</m:t>
        </m:r>
        <m:r>
          <m:rPr>
            <m:sty m:val="p"/>
          </m:rPr>
          <m:t>,</m:t>
        </m:r>
        <m:r>
          <m:t>000</m:t>
        </m:r>
        <m:r>
          <m:rPr>
            <m:sty m:val="p"/>
          </m:rPr>
          <m:t>=</m:t>
        </m:r>
        <m:r>
          <m:t>74</m:t>
        </m:r>
        <m:r>
          <m:rPr>
            <m:sty m:val="p"/>
          </m:rPr>
          <m:t>%</m:t>
        </m:r>
      </m:oMath>
      <w:r>
        <w:t xml:space="preserve"> </w:t>
      </w:r>
      <w:r>
        <w:t xml:space="preserve">utilization. The service survives, but above its 60% target and with no room for a burst.</w:t>
      </w:r>
    </w:p>
    <w:p>
      <w:pPr>
        <w:numPr>
          <w:ilvl w:val="0"/>
          <w:numId w:val="1611"/>
        </w:numPr>
        <w:pStyle w:val="Compact"/>
      </w:pPr>
      <w:r>
        <w:rPr>
          <w:iCs/>
          <w:i/>
        </w:rPr>
        <w:t xml:space="preserve">Zone-safe,</w:t>
      </w:r>
      <w:r>
        <w:rPr>
          <w:iCs/>
          <w:i/>
        </w:rPr>
        <w:t xml:space="preserve"> </w:t>
      </w:r>
      <m:oMath>
        <m:r>
          <m:t>Z</m:t>
        </m:r>
        <m:r>
          <m:rPr>
            <m:sty m:val="p"/>
          </m:rPr>
          <m:t>=</m:t>
        </m:r>
        <m:r>
          <m:t>3</m:t>
        </m:r>
      </m:oMath>
      <w:r>
        <w:rPr>
          <w:iCs/>
          <w:i/>
        </w:rPr>
        <w:t xml:space="preserve">,</w:t>
      </w:r>
      <w:r>
        <w:rPr>
          <w:iCs/>
          <w:i/>
        </w:rPr>
        <w:t xml:space="preserve"> </w:t>
      </w:r>
      <m:oMath>
        <m:r>
          <m:t>f</m:t>
        </m:r>
        <m:r>
          <m:rPr>
            <m:sty m:val="p"/>
          </m:rPr>
          <m:t>=</m:t>
        </m:r>
        <m:r>
          <m:t>1</m:t>
        </m:r>
      </m:oMath>
      <w:r>
        <w:rPr>
          <w:iCs/>
          <w:i/>
        </w:rPr>
        <w:t xml:space="preserve">:</w:t>
      </w:r>
      <w:r>
        <w:t xml:space="preserve"> </w:t>
      </w:r>
      <m:oMath>
        <m:sSub>
          <m:e>
            <m:r>
              <m:t>N</m:t>
            </m:r>
          </m:e>
          <m:sub>
            <m:r>
              <m:t>t</m:t>
            </m:r>
            <m:r>
              <m:t>o</m:t>
            </m:r>
            <m:r>
              <m:t>t</m:t>
            </m:r>
            <m:r>
              <m:t>a</m:t>
            </m:r>
            <m:r>
              <m:t>l</m:t>
            </m:r>
          </m:sub>
        </m:sSub>
        <m:r>
          <m:rPr>
            <m:sty m:val="p"/>
          </m:rPr>
          <m:t>=</m:t>
        </m:r>
        <m:r>
          <m:rPr>
            <m:sty m:val="p"/>
          </m:rPr>
          <m:t>⌈</m:t>
        </m:r>
        <m:r>
          <m:t>12</m:t>
        </m:r>
        <m:r>
          <m:rPr>
            <m:sty m:val="p"/>
          </m:rPr>
          <m:t>×</m:t>
        </m:r>
        <m:r>
          <m:t>3</m:t>
        </m:r>
        <m:r>
          <m:rPr>
            <m:sty m:val="p"/>
          </m:rPr>
          <m:t>/</m:t>
        </m:r>
        <m:r>
          <m:t>2</m:t>
        </m:r>
        <m:r>
          <m:rPr>
            <m:sty m:val="p"/>
          </m:rPr>
          <m:t>⌉</m:t>
        </m:r>
        <m:r>
          <m:rPr>
            <m:sty m:val="p"/>
          </m:rPr>
          <m:t>=</m:t>
        </m:r>
        <m:r>
          <m:t>18</m:t>
        </m:r>
      </m:oMath>
      <w:r>
        <w:t xml:space="preserve">, six per zone. Losing a zone leaves 12 nodes at</w:t>
      </w:r>
      <w:r>
        <w:t xml:space="preserve"> </w:t>
      </w:r>
      <m:oMath>
        <m:r>
          <m:t>6</m:t>
        </m:r>
        <m:r>
          <m:rPr>
            <m:sty m:val="p"/>
          </m:rPr>
          <m:t>,</m:t>
        </m:r>
        <m:r>
          <m:t>667</m:t>
        </m:r>
        <m:r>
          <m:rPr>
            <m:sty m:val="p"/>
          </m:rPr>
          <m:t>/</m:t>
        </m:r>
        <m:r>
          <m:t>12</m:t>
        </m:r>
        <m:r>
          <m:rPr>
            <m:sty m:val="p"/>
          </m:rPr>
          <m:t>,</m:t>
        </m:r>
        <m:r>
          <m:t>000</m:t>
        </m:r>
        <m:r>
          <m:rPr>
            <m:sty m:val="p"/>
          </m:rPr>
          <m:t>=</m:t>
        </m:r>
        <m:r>
          <m:t>56</m:t>
        </m:r>
        <m:r>
          <m:rPr>
            <m:sty m:val="p"/>
          </m:rPr>
          <m:t>%</m:t>
        </m:r>
      </m:oMath>
      <w:r>
        <w:t xml:space="preserve">.</w:t>
      </w:r>
    </w:p>
    <w:p>
      <w:pPr>
        <w:numPr>
          <w:ilvl w:val="0"/>
          <w:numId w:val="1611"/>
        </w:numPr>
        <w:pStyle w:val="Compact"/>
      </w:pPr>
      <w:r>
        <w:rPr>
          <w:iCs/>
          <w:i/>
        </w:rPr>
        <w:t xml:space="preserve">With growth headroom:</w:t>
      </w:r>
      <w:r>
        <w:t xml:space="preserve"> </w:t>
      </w:r>
      <w:r>
        <w:t xml:space="preserve">demand grows</w:t>
      </w:r>
      <w:r>
        <w:t xml:space="preserve"> </w:t>
      </w:r>
      <m:oMath>
        <m:r>
          <m:t>g</m:t>
        </m:r>
        <m:r>
          <m:rPr>
            <m:sty m:val="p"/>
          </m:rPr>
          <m:t>=</m:t>
        </m:r>
        <m:r>
          <m:t>8</m:t>
        </m:r>
        <m:r>
          <m:rPr>
            <m:sty m:val="p"/>
          </m:rPr>
          <m:t>%</m:t>
        </m:r>
      </m:oMath>
      <w:r>
        <w:t xml:space="preserve"> </w:t>
      </w:r>
      <w:r>
        <w:t xml:space="preserve">per month and new reserved capacity takes</w:t>
      </w:r>
      <w:r>
        <w:t xml:space="preserve"> </w:t>
      </w:r>
      <m:oMath>
        <m:r>
          <m:t>L</m:t>
        </m:r>
        <m:r>
          <m:rPr>
            <m:sty m:val="p"/>
          </m:rPr>
          <m:t>=</m:t>
        </m:r>
        <m:r>
          <m:t>3</m:t>
        </m:r>
      </m:oMath>
      <w:r>
        <w:t xml:space="preserve"> </w:t>
      </w:r>
      <w:r>
        <w:t xml:space="preserve">months to arrange.</w:t>
      </w:r>
      <w:r>
        <w:t xml:space="preserve"> </w:t>
      </w:r>
      <m:oMath>
        <m:sSup>
          <m:e>
            <m:d>
              <m:dPr>
                <m:begChr m:val="("/>
                <m:endChr m:val=")"/>
                <m:sepChr m:val=""/>
                <m:grow/>
              </m:dPr>
              <m:e>
                <m:r>
                  <m:t>1.08</m:t>
                </m:r>
              </m:e>
            </m:d>
          </m:e>
          <m:sup>
            <m:r>
              <m:t>3</m:t>
            </m:r>
          </m:sup>
        </m:sSup>
        <m:r>
          <m:rPr>
            <m:sty m:val="p"/>
          </m:rPr>
          <m:t>=</m:t>
        </m:r>
        <m:r>
          <m:t>1.26</m:t>
        </m:r>
      </m:oMath>
      <w:r>
        <w:t xml:space="preserve">, so plan for</w:t>
      </w:r>
      <w:r>
        <w:t xml:space="preserve"> </w:t>
      </w:r>
      <m:oMath>
        <m:r>
          <m:t>6</m:t>
        </m:r>
        <m:r>
          <m:rPr>
            <m:sty m:val="p"/>
          </m:rPr>
          <m:t>,</m:t>
        </m:r>
        <m:r>
          <m:t>667</m:t>
        </m:r>
        <m:r>
          <m:rPr>
            <m:sty m:val="p"/>
          </m:rPr>
          <m:t>×</m:t>
        </m:r>
        <m:r>
          <m:t>1.26</m:t>
        </m:r>
        <m:r>
          <m:rPr>
            <m:sty m:val="p"/>
          </m:rPr>
          <m:t>=</m:t>
        </m:r>
        <m:r>
          <m:t>8</m:t>
        </m:r>
        <m:r>
          <m:rPr>
            <m:sty m:val="p"/>
          </m:rPr>
          <m:t>,</m:t>
        </m:r>
        <m:r>
          <m:t>398</m:t>
        </m:r>
      </m:oMath>
      <w:r>
        <w:t xml:space="preserve"> </w:t>
      </w:r>
      <w:r>
        <w:t xml:space="preserve">RPS:</w:t>
      </w:r>
      <w:r>
        <w:t xml:space="preserve"> </w:t>
      </w:r>
      <m:oMath>
        <m:r>
          <m:t>N</m:t>
        </m:r>
        <m:r>
          <m:rPr>
            <m:sty m:val="p"/>
          </m:rPr>
          <m:t>=</m:t>
        </m:r>
        <m:r>
          <m:rPr>
            <m:sty m:val="p"/>
          </m:rPr>
          <m:t>⌈</m:t>
        </m:r>
        <m:r>
          <m:t>8</m:t>
        </m:r>
        <m:r>
          <m:rPr>
            <m:sty m:val="p"/>
          </m:rPr>
          <m:t>,</m:t>
        </m:r>
        <m:r>
          <m:t>398</m:t>
        </m:r>
        <m:r>
          <m:rPr>
            <m:sty m:val="p"/>
          </m:rPr>
          <m:t>/</m:t>
        </m:r>
        <m:r>
          <m:t>600</m:t>
        </m:r>
        <m:r>
          <m:rPr>
            <m:sty m:val="p"/>
          </m:rPr>
          <m:t>⌉</m:t>
        </m:r>
        <m:r>
          <m:rPr>
            <m:sty m:val="p"/>
          </m:rPr>
          <m:t>=</m:t>
        </m:r>
        <m:r>
          <m:t>14</m:t>
        </m:r>
      </m:oMath>
      <w:r>
        <w:t xml:space="preserve">, and zone-safe</w:t>
      </w:r>
      <w:r>
        <w:t xml:space="preserve"> </w:t>
      </w:r>
      <m:oMath>
        <m:sSub>
          <m:e>
            <m:r>
              <m:t>N</m:t>
            </m:r>
          </m:e>
          <m:sub>
            <m:r>
              <m:t>t</m:t>
            </m:r>
            <m:r>
              <m:t>o</m:t>
            </m:r>
            <m:r>
              <m:t>t</m:t>
            </m:r>
            <m:r>
              <m:t>a</m:t>
            </m:r>
            <m:r>
              <m:t>l</m:t>
            </m:r>
          </m:sub>
        </m:sSub>
        <m:r>
          <m:rPr>
            <m:sty m:val="p"/>
          </m:rPr>
          <m:t>=</m:t>
        </m:r>
        <m:r>
          <m:t>21</m:t>
        </m:r>
      </m:oMath>
      <w:r>
        <w:t xml:space="preserve">.</w:t>
      </w:r>
    </w:p>
    <w:p>
      <w:pPr>
        <w:pStyle w:val="CalloutExample"/>
      </w:pPr>
      <w:r>
        <w:rPr>
          <w:bCs/>
          <w:b/>
        </w:rPr>
        <w:t xml:space="preserve">Interpretation.</w:t>
      </w:r>
      <w:r>
        <w:t xml:space="preserve"> </w:t>
      </w:r>
      <w:r>
        <w:t xml:space="preserve">Moving from N+2 to zone-level static stability costs 4 more nodes (29% more) and buys survival of a whole-zone outage within target.</w:t>
      </w:r>
      <w:r>
        <w:t xml:space="preserve"> </w:t>
      </w:r>
      <w:r>
        <w:rPr>
          <w:bCs/>
          <w:b/>
        </w:rPr>
        <w:t xml:space="preserve">Engineering implication.</w:t>
      </w:r>
      <w:r>
        <w:t xml:space="preserve"> </w:t>
      </w:r>
      <w:r>
        <w:t xml:space="preserve">Decide which failure the fleet must absorb without scaling, write it down in the capacity plan, and size for it; autoscalers may not be able to add capacity during a zone outage, when every other customer is trying to do the same.</w:t>
      </w:r>
    </w:p>
    <w:bookmarkEnd w:id="2116"/>
    <w:bookmarkStart w:id="2117" w:name="X36989f4c6b28bfa26bbc7292d0bead67f270176"/>
    <w:p>
      <w:pPr>
        <w:pStyle w:val="Heading3"/>
      </w:pPr>
      <w:r>
        <w:t xml:space="preserve">18.11.3 Peak-to-average ratio and the cost of peaks</w:t>
      </w:r>
    </w:p>
    <w:p>
      <w:pPr>
        <w:pStyle w:val="CalloutFormula"/>
      </w:pPr>
      <w:r>
        <w:rPr>
          <w:bCs/>
          <w:b/>
        </w:rPr>
        <w:t xml:space="preserve">FORMULA</w:t>
      </w:r>
    </w:p>
    <w:p>
      <w:pPr>
        <w:pStyle w:val="CalloutFormula"/>
      </w:pPr>
      <w:r>
        <w:rPr>
          <w:bCs/>
          <w:b/>
        </w:rPr>
        <w:t xml:space="preserve">Peak-to-average ratio and average fleet utilization</w:t>
      </w:r>
    </w:p>
    <w:p>
      <w:pPr>
        <w:pStyle w:val="CalloutFormula"/>
      </w:pPr>
      <m:oMathPara>
        <m:oMathParaPr>
          <m:jc m:val="center"/>
        </m:oMathParaPr>
        <m:oMath>
          <m:r>
            <m:t>P</m:t>
          </m:r>
          <m:r>
            <m:t>A</m:t>
          </m:r>
          <m:r>
            <m:t>R</m:t>
          </m:r>
          <m:r>
            <m:rPr>
              <m:sty m:val="p"/>
            </m:rPr>
            <m:t>=</m:t>
          </m:r>
          <m:f>
            <m:fPr>
              <m:type m:val="bar"/>
            </m:fPr>
            <m:num>
              <m:sSub>
                <m:e>
                  <m:r>
                    <m:t>R</m:t>
                  </m:r>
                </m:e>
                <m:sub>
                  <m:r>
                    <m:t>p</m:t>
                  </m:r>
                  <m:r>
                    <m:t>e</m:t>
                  </m:r>
                  <m:r>
                    <m:t>a</m:t>
                  </m:r>
                  <m:r>
                    <m:t>k</m:t>
                  </m:r>
                </m:sub>
              </m:sSub>
            </m:num>
            <m:den>
              <m:sSub>
                <m:e>
                  <m:r>
                    <m:t>R</m:t>
                  </m:r>
                </m:e>
                <m:sub>
                  <m:r>
                    <m:t>a</m:t>
                  </m:r>
                  <m:r>
                    <m:t>v</m:t>
                  </m:r>
                  <m:r>
                    <m:t>g</m:t>
                  </m:r>
                </m:sub>
              </m:sSub>
            </m:den>
          </m:f>
          <m:r>
            <m:t>  </m:t>
          </m:r>
          <m:acc>
            <m:accPr>
              <m:chr m:val="‾"/>
            </m:accPr>
            <m:e>
              <m:r>
                <m:t>u</m:t>
              </m:r>
            </m:e>
          </m:acc>
          <m:r>
            <m:rPr>
              <m:sty m:val="p"/>
            </m:rPr>
            <m:t>=</m:t>
          </m:r>
          <m:f>
            <m:fPr>
              <m:type m:val="bar"/>
            </m:fPr>
            <m:num>
              <m:sSub>
                <m:e>
                  <m:r>
                    <m:t>R</m:t>
                  </m:r>
                </m:e>
                <m:sub>
                  <m:r>
                    <m:t>a</m:t>
                  </m:r>
                  <m:r>
                    <m:t>v</m:t>
                  </m:r>
                  <m:r>
                    <m:t>g</m:t>
                  </m:r>
                </m:sub>
              </m:sSub>
            </m:num>
            <m:den>
              <m:sSub>
                <m:e>
                  <m:r>
                    <m:t>N</m:t>
                  </m:r>
                </m:e>
                <m:sub>
                  <m:r>
                    <m:t>t</m:t>
                  </m:r>
                  <m:r>
                    <m:t>o</m:t>
                  </m:r>
                  <m:r>
                    <m:t>t</m:t>
                  </m:r>
                  <m:r>
                    <m:t>a</m:t>
                  </m:r>
                  <m:r>
                    <m:t>l</m:t>
                  </m:r>
                </m:sub>
              </m:sSub>
              <m:r>
                <m:rPr>
                  <m:sty m:val="p"/>
                </m:rPr>
                <m:t>×</m:t>
              </m:r>
              <m:r>
                <m:t>c</m:t>
              </m:r>
            </m:den>
          </m:f>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R</m:t>
                  </m:r>
                </m:e>
                <m:sub>
                  <m:r>
                    <m:t>a</m:t>
                  </m:r>
                  <m:r>
                    <m:t>v</m:t>
                  </m:r>
                  <m:r>
                    <m:t>g</m:t>
                  </m:r>
                </m:sub>
              </m:sSub>
            </m:oMath>
          </w:p>
        </w:tc>
        <w:tc>
          <w:tcPr/>
          <w:p>
            <w:pPr>
              <w:pStyle w:val="Compact"/>
              <w:jc w:val="left"/>
            </w:pPr>
            <w:r>
              <w:t xml:space="preserve">Average load over a day (or week)</w:t>
            </w:r>
          </w:p>
        </w:tc>
        <w:tc>
          <w:tcPr/>
          <w:p>
            <w:pPr>
              <w:pStyle w:val="Compact"/>
              <w:jc w:val="left"/>
            </w:pPr>
            <w:r>
              <w:t xml:space="preserve">requests/s</w:t>
            </w:r>
          </w:p>
        </w:tc>
      </w:tr>
      <w:tr>
        <w:tc>
          <w:tcPr/>
          <w:p>
            <w:pPr>
              <w:pStyle w:val="Compact"/>
              <w:jc w:val="left"/>
            </w:pPr>
            <m:oMath>
              <m:r>
                <m:t>P</m:t>
              </m:r>
              <m:r>
                <m:t>A</m:t>
              </m:r>
              <m:r>
                <m:t>R</m:t>
              </m:r>
            </m:oMath>
          </w:p>
        </w:tc>
        <w:tc>
          <w:tcPr/>
          <w:p>
            <w:pPr>
              <w:pStyle w:val="Compact"/>
              <w:jc w:val="left"/>
            </w:pPr>
            <w:r>
              <w:t xml:space="preserve">Peak-to-average ratio</w:t>
            </w:r>
          </w:p>
        </w:tc>
        <w:tc>
          <w:tcPr/>
          <w:p>
            <w:pPr>
              <w:pStyle w:val="Compact"/>
              <w:jc w:val="left"/>
            </w:pPr>
            <w:r>
              <w:t xml:space="preserve">dimensionless</w:t>
            </w:r>
          </w:p>
        </w:tc>
      </w:tr>
      <w:tr>
        <w:tc>
          <w:tcPr/>
          <w:p>
            <w:pPr>
              <w:pStyle w:val="Compact"/>
              <w:jc w:val="left"/>
            </w:pPr>
            <m:oMath>
              <m:acc>
                <m:accPr>
                  <m:chr m:val="‾"/>
                </m:accPr>
                <m:e>
                  <m:r>
                    <m:t>u</m:t>
                  </m:r>
                </m:e>
              </m:acc>
            </m:oMath>
          </w:p>
        </w:tc>
        <w:tc>
          <w:tcPr/>
          <w:p>
            <w:pPr>
              <w:pStyle w:val="Compact"/>
              <w:jc w:val="left"/>
            </w:pPr>
            <w:r>
              <w:t xml:space="preserve">Average utilization of a statically provisioned fleet</w:t>
            </w:r>
          </w:p>
        </w:tc>
        <w:tc>
          <w:tcPr/>
          <w:p>
            <w:pPr>
              <w:pStyle w:val="Compact"/>
              <w:jc w:val="left"/>
            </w:pPr>
            <w:r>
              <w:t xml:space="preserve">fraction</w:t>
            </w:r>
          </w:p>
        </w:tc>
      </w:tr>
    </w:tbl>
    <w:p>
      <w:pPr>
        <w:pStyle w:val="CalloutExample"/>
      </w:pPr>
      <w:r>
        <w:rPr>
          <w:bCs/>
          <w:b/>
        </w:rPr>
        <w:t xml:space="preserve">WORKED EXAMPLE</w:t>
      </w:r>
    </w:p>
    <w:p>
      <w:pPr>
        <w:pStyle w:val="CalloutExample"/>
      </w:pPr>
      <w:r>
        <w:rPr>
          <w:bCs/>
          <w:b/>
        </w:rPr>
        <w:t xml:space="preserve">Worked example — How idle is a fleet sized for dinner?</w:t>
      </w:r>
      <w:r>
        <w:t xml:space="preserve"> </w:t>
      </w:r>
      <w:r>
        <w:t xml:space="preserve">QuickBite’s browse load averages</w:t>
      </w:r>
      <w:r>
        <w:t xml:space="preserve"> </w:t>
      </w:r>
      <m:oMath>
        <m:r>
          <m:t>2</m:t>
        </m:r>
        <m:r>
          <m:rPr>
            <m:sty m:val="p"/>
          </m:rPr>
          <m:t>,</m:t>
        </m:r>
        <m:r>
          <m:t>000</m:t>
        </m:r>
        <m:r>
          <m:rPr>
            <m:sty m:val="p"/>
          </m:rPr>
          <m:t>,</m:t>
        </m:r>
        <m:r>
          <m:t>000</m:t>
        </m:r>
        <m:r>
          <m:rPr>
            <m:sty m:val="p"/>
          </m:rPr>
          <m:t>×</m:t>
        </m:r>
        <m:r>
          <m:t>30</m:t>
        </m:r>
        <m:r>
          <m:rPr>
            <m:sty m:val="p"/>
          </m:rPr>
          <m:t>/</m:t>
        </m:r>
        <m:r>
          <m:t>86</m:t>
        </m:r>
        <m:r>
          <m:rPr>
            <m:sty m:val="p"/>
          </m:rPr>
          <m:t>,</m:t>
        </m:r>
        <m:r>
          <m:t>400</m:t>
        </m:r>
        <m:r>
          <m:rPr>
            <m:sty m:val="p"/>
          </m:rPr>
          <m:t>=</m:t>
        </m:r>
        <m:r>
          <m:t>694</m:t>
        </m:r>
      </m:oMath>
      <w:r>
        <w:t xml:space="preserve"> </w:t>
      </w:r>
      <w:r>
        <w:t xml:space="preserve">RPS and peaks at 6,667 RPS.</w:t>
      </w:r>
    </w:p>
    <w:p>
      <w:pPr>
        <w:numPr>
          <w:ilvl w:val="0"/>
          <w:numId w:val="1612"/>
        </w:numPr>
        <w:pStyle w:val="Compact"/>
      </w:pPr>
      <m:oMath>
        <m:r>
          <m:t>P</m:t>
        </m:r>
        <m:r>
          <m:t>A</m:t>
        </m:r>
        <m:r>
          <m:t>R</m:t>
        </m:r>
        <m:r>
          <m:rPr>
            <m:sty m:val="p"/>
          </m:rPr>
          <m:t>=</m:t>
        </m:r>
        <m:r>
          <m:t>6</m:t>
        </m:r>
        <m:r>
          <m:rPr>
            <m:sty m:val="p"/>
          </m:rPr>
          <m:t>,</m:t>
        </m:r>
        <m:r>
          <m:t>667</m:t>
        </m:r>
        <m:r>
          <m:rPr>
            <m:sty m:val="p"/>
          </m:rPr>
          <m:t>/</m:t>
        </m:r>
        <m:r>
          <m:t>694</m:t>
        </m:r>
        <m:r>
          <m:rPr>
            <m:sty m:val="p"/>
          </m:rPr>
          <m:t>=</m:t>
        </m:r>
        <m:r>
          <m:t>9.6</m:t>
        </m:r>
      </m:oMath>
      <w:r>
        <w:t xml:space="preserve">. This follows from the assumptions: 20% of the day’s traffic in one hour is</w:t>
      </w:r>
      <w:r>
        <w:t xml:space="preserve"> </w:t>
      </w:r>
      <m:oMath>
        <m:r>
          <m:t>0.2</m:t>
        </m:r>
        <m:r>
          <m:rPr>
            <m:sty m:val="p"/>
          </m:rPr>
          <m:t>×</m:t>
        </m:r>
        <m:r>
          <m:t>24</m:t>
        </m:r>
        <m:r>
          <m:rPr>
            <m:sty m:val="p"/>
          </m:rPr>
          <m:t>=</m:t>
        </m:r>
        <m:r>
          <m:t>4.8</m:t>
        </m:r>
      </m:oMath>
      <w:r>
        <w:t xml:space="preserve"> </w:t>
      </w:r>
      <w:r>
        <w:t xml:space="preserve">times the daily average, and the burst factor of 2 doubles it.</w:t>
      </w:r>
    </w:p>
    <w:p>
      <w:pPr>
        <w:numPr>
          <w:ilvl w:val="0"/>
          <w:numId w:val="1612"/>
        </w:numPr>
        <w:pStyle w:val="Compact"/>
      </w:pPr>
      <w:r>
        <w:t xml:space="preserve">Static, zone-safe fleet of 18 nodes:</w:t>
      </w:r>
      <w:r>
        <w:t xml:space="preserve"> </w:t>
      </w:r>
      <m:oMath>
        <m:acc>
          <m:accPr>
            <m:chr m:val="‾"/>
          </m:accPr>
          <m:e>
            <m:r>
              <m:t>u</m:t>
            </m:r>
          </m:e>
        </m:acc>
        <m:r>
          <m:rPr>
            <m:sty m:val="p"/>
          </m:rPr>
          <m:t>=</m:t>
        </m:r>
        <m:r>
          <m:t>694</m:t>
        </m:r>
        <m:r>
          <m:rPr>
            <m:sty m:val="p"/>
          </m:rPr>
          <m:t>/</m:t>
        </m:r>
        <m:d>
          <m:dPr>
            <m:begChr m:val="("/>
            <m:endChr m:val=")"/>
            <m:sepChr m:val=""/>
            <m:grow/>
          </m:dPr>
          <m:e>
            <m:r>
              <m:t>18</m:t>
            </m:r>
            <m:r>
              <m:rPr>
                <m:sty m:val="p"/>
              </m:rPr>
              <m:t>×</m:t>
            </m:r>
            <m:r>
              <m:t>1</m:t>
            </m:r>
            <m:r>
              <m:rPr>
                <m:sty m:val="p"/>
              </m:rPr>
              <m:t>,</m:t>
            </m:r>
            <m:r>
              <m:t>000</m:t>
            </m:r>
          </m:e>
        </m:d>
        <m:r>
          <m:rPr>
            <m:sty m:val="p"/>
          </m:rPr>
          <m:t>=</m:t>
        </m:r>
        <m:r>
          <m:t>3.9</m:t>
        </m:r>
        <m:r>
          <m:rPr>
            <m:sty m:val="p"/>
          </m:rPr>
          <m:t>%</m:t>
        </m:r>
      </m:oMath>
      <w:r>
        <w:t xml:space="preserve">.</w:t>
      </w:r>
    </w:p>
    <w:p>
      <w:pPr>
        <w:numPr>
          <w:ilvl w:val="0"/>
          <w:numId w:val="1612"/>
        </w:numPr>
        <w:pStyle w:val="Compact"/>
      </w:pPr>
      <w:r>
        <w:t xml:space="preserve">With autoscaling between a floor of 6 nodes (two per zone) and 18, the fleet follows demand; if it averages 8 nodes,</w:t>
      </w:r>
      <w:r>
        <w:t xml:space="preserve"> </w:t>
      </w:r>
      <m:oMath>
        <m:acc>
          <m:accPr>
            <m:chr m:val="‾"/>
          </m:accPr>
          <m:e>
            <m:r>
              <m:t>u</m:t>
            </m:r>
          </m:e>
        </m:acc>
        <m:r>
          <m:rPr>
            <m:sty m:val="p"/>
          </m:rPr>
          <m:t>=</m:t>
        </m:r>
        <m:r>
          <m:t>694</m:t>
        </m:r>
        <m:r>
          <m:rPr>
            <m:sty m:val="p"/>
          </m:rPr>
          <m:t>/</m:t>
        </m:r>
        <m:r>
          <m:t>8</m:t>
        </m:r>
        <m:r>
          <m:rPr>
            <m:sty m:val="p"/>
          </m:rPr>
          <m:t>,</m:t>
        </m:r>
        <m:r>
          <m:t>000</m:t>
        </m:r>
        <m:r>
          <m:rPr>
            <m:sty m:val="p"/>
          </m:rPr>
          <m:t>=</m:t>
        </m:r>
        <m:r>
          <m:t>8.7</m:t>
        </m:r>
        <m:r>
          <m:rPr>
            <m:sty m:val="p"/>
          </m:rPr>
          <m:t>%</m:t>
        </m:r>
      </m:oMath>
      <w:r>
        <w:t xml:space="preserve">, and the fleet costs less than half as much.</w:t>
      </w:r>
    </w:p>
    <w:p>
      <w:pPr>
        <w:pStyle w:val="CalloutExample"/>
      </w:pPr>
      <w:r>
        <w:rPr>
          <w:bCs/>
          <w:b/>
        </w:rPr>
        <w:t xml:space="preserve">Interpretation.</w:t>
      </w:r>
      <w:r>
        <w:t xml:space="preserve"> </w:t>
      </w:r>
      <w:r>
        <w:t xml:space="preserve">A fleet sized for a sharp peak, with queueing and failure headroom, is idle most of the day. Barroso and Hölzle reported that servers in large datacenters typically operate at 10–50% of their maximum utilization [Barroso and Hölzle 2007].</w:t>
      </w:r>
      <w:r>
        <w:t xml:space="preserve"> </w:t>
      </w:r>
      <w:r>
        <w:rPr>
          <w:bCs/>
          <w:b/>
        </w:rPr>
        <w:t xml:space="preserve">Engineering implication.</w:t>
      </w:r>
      <w:r>
        <w:t xml:space="preserve"> </w:t>
      </w:r>
      <w:r>
        <w:t xml:space="preserve">The higher the PAR, the more autoscaling, scheduled scaling or sharing capacity with batch work pays off. A low PAR (a steady workload) favors reserved, statically sized capacity.</w:t>
      </w:r>
    </w:p>
    <w:bookmarkEnd w:id="2117"/>
    <w:bookmarkStart w:id="2118" w:name="forecasting-and-lead-time"/>
    <w:p>
      <w:pPr>
        <w:pStyle w:val="Heading3"/>
      </w:pPr>
      <w:r>
        <w:t xml:space="preserve">18.11.4 Forecasting and lead time</w:t>
      </w:r>
    </w:p>
    <w:p>
      <w:pPr>
        <w:pStyle w:val="FirstParagraph"/>
      </w:pPr>
      <w:r>
        <w:t xml:space="preserve">Forecasts combine</w:t>
      </w:r>
      <w:r>
        <w:t xml:space="preserve"> </w:t>
      </w:r>
      <w:r>
        <w:rPr>
          <w:bCs/>
          <w:b/>
        </w:rPr>
        <w:t xml:space="preserve">organic growth</w:t>
      </w:r>
      <w:r>
        <w:t xml:space="preserve">, extrapolated from history (often as a compound monthly rate with daily and weekly seasonality), with</w:t>
      </w:r>
      <w:r>
        <w:t xml:space="preserve"> </w:t>
      </w:r>
      <w:r>
        <w:rPr>
          <w:bCs/>
          <w:b/>
        </w:rPr>
        <w:t xml:space="preserve">inorganic</w:t>
      </w:r>
      <w:r>
        <w:t xml:space="preserve"> </w:t>
      </w:r>
      <w:r>
        <w:t xml:space="preserve">steps: launches, marketing campaigns, new countries, and events such as holidays [Beyer et al. 2016]. The crucial output is not a number but a</w:t>
      </w:r>
      <w:r>
        <w:t xml:space="preserve"> </w:t>
      </w:r>
      <w:r>
        <w:rPr>
          <w:iCs/>
          <w:i/>
        </w:rPr>
        <w:t xml:space="preserve">date</w:t>
      </w:r>
      <w:r>
        <w:t xml:space="preserve">: when will each component cross its usable capacity, and is that further away than the time needed to fix it?</w:t>
      </w:r>
    </w:p>
    <w:p>
      <w:pPr>
        <w:pStyle w:val="CalloutFormula"/>
      </w:pPr>
      <w:r>
        <w:rPr>
          <w:bCs/>
          <w:b/>
        </w:rPr>
        <w:t xml:space="preserve">FORMULA</w:t>
      </w:r>
    </w:p>
    <w:p>
      <w:pPr>
        <w:pStyle w:val="CalloutFormula"/>
      </w:pPr>
      <w:r>
        <w:rPr>
          <w:bCs/>
          <w:b/>
        </w:rPr>
        <w:t xml:space="preserve">Time until a component’s capacity is exhausted</w:t>
      </w:r>
    </w:p>
    <w:p>
      <w:pPr>
        <w:pStyle w:val="CalloutFormula"/>
      </w:pPr>
      <m:oMathPara>
        <m:oMathParaPr>
          <m:jc m:val="center"/>
        </m:oMathParaPr>
        <m:oMath>
          <m:r>
            <m:t>D</m:t>
          </m:r>
          <m:d>
            <m:dPr>
              <m:begChr m:val="("/>
              <m:endChr m:val=")"/>
              <m:sepChr m:val=""/>
              <m:grow/>
            </m:dPr>
            <m:e>
              <m:r>
                <m:t>t</m:t>
              </m:r>
            </m:e>
          </m:d>
          <m:r>
            <m:rPr>
              <m:sty m:val="p"/>
            </m:rPr>
            <m:t>=</m:t>
          </m:r>
          <m:sSub>
            <m:e>
              <m:r>
                <m:t>D</m:t>
              </m:r>
            </m:e>
            <m:sub>
              <m:r>
                <m:t>0</m:t>
              </m:r>
            </m:sub>
          </m:sSub>
          <m:sSup>
            <m:e>
              <m:d>
                <m:dPr>
                  <m:begChr m:val="("/>
                  <m:endChr m:val=")"/>
                  <m:sepChr m:val=""/>
                  <m:grow/>
                </m:dPr>
                <m:e>
                  <m:r>
                    <m:t>1</m:t>
                  </m:r>
                  <m:r>
                    <m:rPr>
                      <m:sty m:val="p"/>
                    </m:rPr>
                    <m:t>+</m:t>
                  </m:r>
                  <m:r>
                    <m:t>g</m:t>
                  </m:r>
                </m:e>
              </m:d>
            </m:e>
            <m:sup>
              <m:r>
                <m:t>t</m:t>
              </m:r>
            </m:sup>
          </m:sSup>
          <m:r>
            <m:t>  </m:t>
          </m:r>
          <m:sSub>
            <m:e>
              <m:r>
                <m:t>t</m:t>
              </m:r>
            </m:e>
            <m:sub>
              <m:r>
                <m:t>e</m:t>
              </m:r>
              <m:r>
                <m:t>x</m:t>
              </m:r>
              <m:r>
                <m:t>h</m:t>
              </m:r>
              <m:r>
                <m:t>a</m:t>
              </m:r>
              <m:r>
                <m:t>u</m:t>
              </m:r>
              <m:r>
                <m:t>s</m:t>
              </m:r>
              <m:r>
                <m:t>t</m:t>
              </m:r>
            </m:sub>
          </m:sSub>
          <m:r>
            <m:rPr>
              <m:sty m:val="p"/>
            </m:rPr>
            <m:t>=</m:t>
          </m:r>
          <m:f>
            <m:fPr>
              <m:type m:val="bar"/>
            </m:fPr>
            <m:num>
              <m:r>
                <m:rPr>
                  <m:sty m:val="p"/>
                </m:rPr>
                <m:t>ln</m:t>
              </m:r>
              <m:d>
                <m:dPr>
                  <m:begChr m:val="("/>
                  <m:endChr m:val=")"/>
                  <m:sepChr m:val=""/>
                  <m:grow/>
                </m:dPr>
                <m:e>
                  <m:sSub>
                    <m:e>
                      <m:r>
                        <m:t>C</m:t>
                      </m:r>
                    </m:e>
                    <m:sub>
                      <m:r>
                        <m:t>u</m:t>
                      </m:r>
                      <m:r>
                        <m:t>s</m:t>
                      </m:r>
                      <m:r>
                        <m:t>a</m:t>
                      </m:r>
                      <m:r>
                        <m:t>b</m:t>
                      </m:r>
                      <m:r>
                        <m:t>l</m:t>
                      </m:r>
                      <m:r>
                        <m:t>e</m:t>
                      </m:r>
                    </m:sub>
                  </m:sSub>
                  <m:r>
                    <m:rPr>
                      <m:sty m:val="p"/>
                    </m:rPr>
                    <m:t>/</m:t>
                  </m:r>
                  <m:sSub>
                    <m:e>
                      <m:r>
                        <m:t>D</m:t>
                      </m:r>
                    </m:e>
                    <m:sub>
                      <m:r>
                        <m:t>0</m:t>
                      </m:r>
                    </m:sub>
                  </m:sSub>
                </m:e>
              </m:d>
            </m:num>
            <m:den>
              <m:r>
                <m:rPr>
                  <m:sty m:val="p"/>
                </m:rPr>
                <m:t>ln</m:t>
              </m:r>
              <m:d>
                <m:dPr>
                  <m:begChr m:val="("/>
                  <m:endChr m:val=")"/>
                  <m:sepChr m:val=""/>
                  <m:grow/>
                </m:dPr>
                <m:e>
                  <m:r>
                    <m:t>1</m:t>
                  </m:r>
                  <m:r>
                    <m:rPr>
                      <m:sty m:val="p"/>
                    </m:rPr>
                    <m:t>+</m:t>
                  </m:r>
                  <m:r>
                    <m:t>g</m:t>
                  </m:r>
                </m:e>
              </m:d>
            </m:den>
          </m:f>
          <m:r>
            <m:t>  </m:t>
          </m:r>
          <m:sSub>
            <m:e>
              <m:r>
                <m:t>t</m:t>
              </m:r>
            </m:e>
            <m:sub>
              <m:r>
                <m:t>s</m:t>
              </m:r>
              <m:r>
                <m:t>t</m:t>
              </m:r>
              <m:r>
                <m:t>a</m:t>
              </m:r>
              <m:r>
                <m:t>r</m:t>
              </m:r>
              <m:r>
                <m:t>t</m:t>
              </m:r>
            </m:sub>
          </m:sSub>
          <m:r>
            <m:rPr>
              <m:sty m:val="p"/>
            </m:rPr>
            <m:t>=</m:t>
          </m:r>
          <m:sSub>
            <m:e>
              <m:r>
                <m:t>t</m:t>
              </m:r>
            </m:e>
            <m:sub>
              <m:r>
                <m:t>e</m:t>
              </m:r>
              <m:r>
                <m:t>x</m:t>
              </m:r>
              <m:r>
                <m:t>h</m:t>
              </m:r>
              <m:r>
                <m:t>a</m:t>
              </m:r>
              <m:r>
                <m:t>u</m:t>
              </m:r>
              <m:r>
                <m:t>s</m:t>
              </m:r>
              <m:r>
                <m:t>t</m:t>
              </m:r>
            </m:sub>
          </m:sSub>
          <m:r>
            <m:rPr>
              <m:sty m:val="p"/>
            </m:rPr>
            <m:t>−</m:t>
          </m:r>
          <m:sSub>
            <m:e>
              <m:r>
                <m:t>L</m:t>
              </m:r>
            </m:e>
            <m:sub>
              <m:r>
                <m:t>f</m:t>
              </m:r>
              <m:r>
                <m:t>i</m:t>
              </m:r>
              <m:r>
                <m:t>x</m:t>
              </m:r>
            </m:sub>
          </m:sSub>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D</m:t>
                  </m:r>
                </m:e>
                <m:sub>
                  <m:r>
                    <m:t>0</m:t>
                  </m:r>
                </m:sub>
              </m:sSub>
            </m:oMath>
          </w:p>
        </w:tc>
        <w:tc>
          <w:tcPr/>
          <w:p>
            <w:pPr>
              <w:pStyle w:val="Compact"/>
              <w:jc w:val="left"/>
            </w:pPr>
            <w:r>
              <w:t xml:space="preserve">Current peak demand on the component</w:t>
            </w:r>
          </w:p>
        </w:tc>
        <w:tc>
          <w:tcPr/>
          <w:p>
            <w:pPr>
              <w:pStyle w:val="Compact"/>
              <w:jc w:val="left"/>
            </w:pPr>
            <w:r>
              <w:t xml:space="preserve">operations/s</w:t>
            </w:r>
          </w:p>
        </w:tc>
      </w:tr>
      <w:tr>
        <w:tc>
          <w:tcPr/>
          <w:p>
            <w:pPr>
              <w:pStyle w:val="Compact"/>
              <w:jc w:val="left"/>
            </w:pPr>
            <m:oMath>
              <m:r>
                <m:t>g</m:t>
              </m:r>
            </m:oMath>
          </w:p>
        </w:tc>
        <w:tc>
          <w:tcPr/>
          <w:p>
            <w:pPr>
              <w:pStyle w:val="Compact"/>
              <w:jc w:val="left"/>
            </w:pPr>
            <w:r>
              <w:t xml:space="preserve">Compound growth rate per period</w:t>
            </w:r>
          </w:p>
        </w:tc>
        <w:tc>
          <w:tcPr/>
          <w:p>
            <w:pPr>
              <w:pStyle w:val="Compact"/>
              <w:jc w:val="left"/>
            </w:pPr>
            <w:r>
              <w:t xml:space="preserve">fraction per month</w:t>
            </w:r>
          </w:p>
        </w:tc>
      </w:tr>
      <w:tr>
        <w:tc>
          <w:tcPr/>
          <w:p>
            <w:pPr>
              <w:pStyle w:val="Compact"/>
              <w:jc w:val="left"/>
            </w:pPr>
            <m:oMath>
              <m:sSub>
                <m:e>
                  <m:r>
                    <m:t>C</m:t>
                  </m:r>
                </m:e>
                <m:sub>
                  <m:r>
                    <m:t>u</m:t>
                  </m:r>
                  <m:r>
                    <m:t>s</m:t>
                  </m:r>
                  <m:r>
                    <m:t>a</m:t>
                  </m:r>
                  <m:r>
                    <m:t>b</m:t>
                  </m:r>
                  <m:r>
                    <m:t>l</m:t>
                  </m:r>
                  <m:r>
                    <m:t>e</m:t>
                  </m:r>
                </m:sub>
              </m:sSub>
            </m:oMath>
          </w:p>
        </w:tc>
        <w:tc>
          <w:tcPr/>
          <w:p>
            <w:pPr>
              <w:pStyle w:val="Compact"/>
              <w:jc w:val="left"/>
            </w:pPr>
            <w:r>
              <w:t xml:space="preserve">Usable capacity: limit × target utilization</w:t>
            </w:r>
          </w:p>
        </w:tc>
        <w:tc>
          <w:tcPr/>
          <w:p>
            <w:pPr>
              <w:pStyle w:val="Compact"/>
              <w:jc w:val="left"/>
            </w:pPr>
            <w:r>
              <w:t xml:space="preserve">operations/s</w:t>
            </w:r>
          </w:p>
        </w:tc>
      </w:tr>
      <w:tr>
        <w:tc>
          <w:tcPr/>
          <w:p>
            <w:pPr>
              <w:pStyle w:val="Compact"/>
              <w:jc w:val="left"/>
            </w:pPr>
            <m:oMath>
              <m:sSub>
                <m:e>
                  <m:r>
                    <m:t>t</m:t>
                  </m:r>
                </m:e>
                <m:sub>
                  <m:r>
                    <m:t>e</m:t>
                  </m:r>
                  <m:r>
                    <m:t>x</m:t>
                  </m:r>
                  <m:r>
                    <m:t>h</m:t>
                  </m:r>
                  <m:r>
                    <m:t>a</m:t>
                  </m:r>
                  <m:r>
                    <m:t>u</m:t>
                  </m:r>
                  <m:r>
                    <m:t>s</m:t>
                  </m:r>
                  <m:r>
                    <m:t>t</m:t>
                  </m:r>
                </m:sub>
              </m:sSub>
            </m:oMath>
          </w:p>
        </w:tc>
        <w:tc>
          <w:tcPr/>
          <w:p>
            <w:pPr>
              <w:pStyle w:val="Compact"/>
              <w:jc w:val="left"/>
            </w:pPr>
            <w:r>
              <w:t xml:space="preserve">Periods until demand reaches usable capacity</w:t>
            </w:r>
          </w:p>
        </w:tc>
        <w:tc>
          <w:tcPr/>
          <w:p>
            <w:pPr>
              <w:pStyle w:val="Compact"/>
              <w:jc w:val="left"/>
            </w:pPr>
            <w:r>
              <w:t xml:space="preserve">months</w:t>
            </w:r>
          </w:p>
        </w:tc>
      </w:tr>
      <w:tr>
        <w:tc>
          <w:tcPr/>
          <w:p>
            <w:pPr>
              <w:pStyle w:val="Compact"/>
              <w:jc w:val="left"/>
            </w:pPr>
            <m:oMath>
              <m:sSub>
                <m:e>
                  <m:r>
                    <m:t>L</m:t>
                  </m:r>
                </m:e>
                <m:sub>
                  <m:r>
                    <m:t>f</m:t>
                  </m:r>
                  <m:r>
                    <m:t>i</m:t>
                  </m:r>
                  <m:r>
                    <m:t>x</m:t>
                  </m:r>
                </m:sub>
              </m:sSub>
            </m:oMath>
          </w:p>
        </w:tc>
        <w:tc>
          <w:tcPr/>
          <w:p>
            <w:pPr>
              <w:pStyle w:val="Compact"/>
              <w:jc w:val="left"/>
            </w:pPr>
            <w:r>
              <w:t xml:space="preserve">Lead time of the fix, including a safety margin</w:t>
            </w:r>
          </w:p>
        </w:tc>
        <w:tc>
          <w:tcPr/>
          <w:p>
            <w:pPr>
              <w:pStyle w:val="Compact"/>
              <w:jc w:val="left"/>
            </w:pPr>
            <w:r>
              <w:t xml:space="preserve">months</w:t>
            </w:r>
          </w:p>
        </w:tc>
      </w:tr>
      <w:tr>
        <w:tc>
          <w:tcPr/>
          <w:p>
            <w:pPr>
              <w:pStyle w:val="Compact"/>
              <w:jc w:val="left"/>
            </w:pPr>
            <m:oMath>
              <m:sSub>
                <m:e>
                  <m:r>
                    <m:t>t</m:t>
                  </m:r>
                </m:e>
                <m:sub>
                  <m:r>
                    <m:t>s</m:t>
                  </m:r>
                  <m:r>
                    <m:t>t</m:t>
                  </m:r>
                  <m:r>
                    <m:t>a</m:t>
                  </m:r>
                  <m:r>
                    <m:t>r</m:t>
                  </m:r>
                  <m:r>
                    <m:t>t</m:t>
                  </m:r>
                </m:sub>
              </m:sSub>
            </m:oMath>
          </w:p>
        </w:tc>
        <w:tc>
          <w:tcPr/>
          <w:p>
            <w:pPr>
              <w:pStyle w:val="Compact"/>
              <w:jc w:val="left"/>
            </w:pPr>
            <w:r>
              <w:t xml:space="preserve">Latest month to start the fix</w:t>
            </w:r>
          </w:p>
        </w:tc>
        <w:tc>
          <w:tcPr/>
          <w:p>
            <w:pPr>
              <w:pStyle w:val="Compact"/>
              <w:jc w:val="left"/>
            </w:pPr>
            <w:r>
              <w:t xml:space="preserve">months</w:t>
            </w:r>
          </w:p>
        </w:tc>
      </w:tr>
    </w:tbl>
    <w:p>
      <w:pPr>
        <w:pStyle w:val="CalloutExample"/>
      </w:pPr>
      <w:r>
        <w:rPr>
          <w:bCs/>
          <w:b/>
        </w:rPr>
        <w:t xml:space="preserve">WORKED EXAMPLE</w:t>
      </w:r>
    </w:p>
    <w:p>
      <w:pPr>
        <w:pStyle w:val="CalloutExample"/>
      </w:pPr>
      <w:r>
        <w:rPr>
          <w:bCs/>
          <w:b/>
        </w:rPr>
        <w:t xml:space="preserve">Worked example — When must QuickBite start partitioning orders?</w:t>
      </w:r>
      <w:r>
        <w:t xml:space="preserve"> </w:t>
      </w:r>
      <w:r>
        <w:t xml:space="preserve">The order database’s WAL disk caps it at about 500 orders/s (§2.6); at</w:t>
      </w:r>
      <w:r>
        <w:t xml:space="preserve"> </w:t>
      </w:r>
      <m:oMath>
        <m:sSub>
          <m:e>
            <m:r>
              <m:t>u</m:t>
            </m:r>
          </m:e>
          <m:sub>
            <m:r>
              <m:t>t</m:t>
            </m:r>
            <m:r>
              <m:t>a</m:t>
            </m:r>
            <m:r>
              <m:t>r</m:t>
            </m:r>
            <m:r>
              <m:t>g</m:t>
            </m:r>
            <m:r>
              <m:t>e</m:t>
            </m:r>
            <m:r>
              <m:t>t</m:t>
            </m:r>
          </m:sub>
        </m:sSub>
        <m:r>
          <m:rPr>
            <m:sty m:val="p"/>
          </m:rPr>
          <m:t>=</m:t>
        </m:r>
        <m:r>
          <m:t>0.6</m:t>
        </m:r>
      </m:oMath>
      <w:r>
        <w:t xml:space="preserve">,</w:t>
      </w:r>
      <w:r>
        <w:t xml:space="preserve"> </w:t>
      </w:r>
      <m:oMath>
        <m:sSub>
          <m:e>
            <m:r>
              <m:t>C</m:t>
            </m:r>
          </m:e>
          <m:sub>
            <m:r>
              <m:t>u</m:t>
            </m:r>
            <m:r>
              <m:t>s</m:t>
            </m:r>
            <m:r>
              <m:t>a</m:t>
            </m:r>
            <m:r>
              <m:t>b</m:t>
            </m:r>
            <m:r>
              <m:t>l</m:t>
            </m:r>
            <m:r>
              <m:t>e</m:t>
            </m:r>
          </m:sub>
        </m:sSub>
        <m:r>
          <m:rPr>
            <m:sty m:val="p"/>
          </m:rPr>
          <m:t>=</m:t>
        </m:r>
        <m:r>
          <m:t>300</m:t>
        </m:r>
      </m:oMath>
      <w:r>
        <w:t xml:space="preserve"> </w:t>
      </w:r>
      <w:r>
        <w:t xml:space="preserve">orders/s. Today</w:t>
      </w:r>
      <w:r>
        <w:t xml:space="preserve"> </w:t>
      </w:r>
      <m:oMath>
        <m:sSub>
          <m:e>
            <m:r>
              <m:t>D</m:t>
            </m:r>
          </m:e>
          <m:sub>
            <m:r>
              <m:t>0</m:t>
            </m:r>
          </m:sub>
        </m:sSub>
        <m:r>
          <m:rPr>
            <m:sty m:val="p"/>
          </m:rPr>
          <m:t>=</m:t>
        </m:r>
        <m:r>
          <m:t>56</m:t>
        </m:r>
      </m:oMath>
      <w:r>
        <w:t xml:space="preserve"> </w:t>
      </w:r>
      <w:r>
        <w:t xml:space="preserve">orders/s at 2 million users (the unrounded 55.6 of §2.11, which Chapter 2 rounds up to 60), growing 8% per month.</w:t>
      </w:r>
    </w:p>
    <w:p>
      <w:pPr>
        <w:numPr>
          <w:ilvl w:val="0"/>
          <w:numId w:val="1613"/>
        </w:numPr>
        <w:pStyle w:val="Compact"/>
      </w:pPr>
      <m:oMath>
        <m:sSub>
          <m:e>
            <m:r>
              <m:t>C</m:t>
            </m:r>
          </m:e>
          <m:sub>
            <m:r>
              <m:t>u</m:t>
            </m:r>
            <m:r>
              <m:t>s</m:t>
            </m:r>
            <m:r>
              <m:t>a</m:t>
            </m:r>
            <m:r>
              <m:t>b</m:t>
            </m:r>
            <m:r>
              <m:t>l</m:t>
            </m:r>
            <m:r>
              <m:t>e</m:t>
            </m:r>
          </m:sub>
        </m:sSub>
        <m:r>
          <m:rPr>
            <m:sty m:val="p"/>
          </m:rPr>
          <m:t>/</m:t>
        </m:r>
        <m:sSub>
          <m:e>
            <m:r>
              <m:t>D</m:t>
            </m:r>
          </m:e>
          <m:sub>
            <m:r>
              <m:t>0</m:t>
            </m:r>
          </m:sub>
        </m:sSub>
        <m:r>
          <m:rPr>
            <m:sty m:val="p"/>
          </m:rPr>
          <m:t>=</m:t>
        </m:r>
        <m:r>
          <m:t>300</m:t>
        </m:r>
        <m:r>
          <m:rPr>
            <m:sty m:val="p"/>
          </m:rPr>
          <m:t>/</m:t>
        </m:r>
        <m:r>
          <m:t>56</m:t>
        </m:r>
        <m:r>
          <m:rPr>
            <m:sty m:val="p"/>
          </m:rPr>
          <m:t>=</m:t>
        </m:r>
        <m:r>
          <m:t>5.36</m:t>
        </m:r>
      </m:oMath>
      <w:r>
        <w:t xml:space="preserve">;</w:t>
      </w:r>
      <w:r>
        <w:t xml:space="preserve"> </w:t>
      </w:r>
      <m:oMath>
        <m:r>
          <m:rPr>
            <m:sty m:val="p"/>
          </m:rPr>
          <m:t>ln</m:t>
        </m:r>
        <m:r>
          <m:t>5.36</m:t>
        </m:r>
        <m:r>
          <m:rPr>
            <m:sty m:val="p"/>
          </m:rPr>
          <m:t>=</m:t>
        </m:r>
        <m:r>
          <m:t>1.678</m:t>
        </m:r>
      </m:oMath>
      <w:r>
        <w:t xml:space="preserve">;</w:t>
      </w:r>
      <w:r>
        <w:t xml:space="preserve"> </w:t>
      </w:r>
      <m:oMath>
        <m:r>
          <m:rPr>
            <m:sty m:val="p"/>
          </m:rPr>
          <m:t>ln</m:t>
        </m:r>
        <m:r>
          <m:t>1.08</m:t>
        </m:r>
        <m:r>
          <m:rPr>
            <m:sty m:val="p"/>
          </m:rPr>
          <m:t>=</m:t>
        </m:r>
        <m:r>
          <m:t>0.0770</m:t>
        </m:r>
      </m:oMath>
      <w:r>
        <w:t xml:space="preserve">.</w:t>
      </w:r>
    </w:p>
    <w:p>
      <w:pPr>
        <w:numPr>
          <w:ilvl w:val="0"/>
          <w:numId w:val="1613"/>
        </w:numPr>
        <w:pStyle w:val="Compact"/>
      </w:pPr>
      <m:oMath>
        <m:sSub>
          <m:e>
            <m:r>
              <m:t>t</m:t>
            </m:r>
          </m:e>
          <m:sub>
            <m:r>
              <m:t>e</m:t>
            </m:r>
            <m:r>
              <m:t>x</m:t>
            </m:r>
            <m:r>
              <m:t>h</m:t>
            </m:r>
            <m:r>
              <m:t>a</m:t>
            </m:r>
            <m:r>
              <m:t>u</m:t>
            </m:r>
            <m:r>
              <m:t>s</m:t>
            </m:r>
            <m:r>
              <m:t>t</m:t>
            </m:r>
          </m:sub>
        </m:sSub>
        <m:r>
          <m:rPr>
            <m:sty m:val="p"/>
          </m:rPr>
          <m:t>=</m:t>
        </m:r>
        <m:r>
          <m:t>1.678</m:t>
        </m:r>
        <m:r>
          <m:rPr>
            <m:sty m:val="p"/>
          </m:rPr>
          <m:t>/</m:t>
        </m:r>
        <m:r>
          <m:t>0.0770</m:t>
        </m:r>
        <m:r>
          <m:rPr>
            <m:sty m:val="p"/>
          </m:rPr>
          <m:t>=</m:t>
        </m:r>
        <m:r>
          <m:t>21.8</m:t>
        </m:r>
      </m:oMath>
      <w:r>
        <w:t xml:space="preserve"> </w:t>
      </w:r>
      <w:r>
        <w:t xml:space="preserve">months.</w:t>
      </w:r>
    </w:p>
    <w:p>
      <w:pPr>
        <w:numPr>
          <w:ilvl w:val="0"/>
          <w:numId w:val="1613"/>
        </w:numPr>
        <w:pStyle w:val="Compact"/>
      </w:pPr>
      <w:r>
        <w:t xml:space="preserve">Partitioning by region (§14.7) is estimated at 6 months of work plus a 3-month margin:</w:t>
      </w:r>
      <w:r>
        <w:t xml:space="preserve"> </w:t>
      </w:r>
      <m:oMath>
        <m:sSub>
          <m:e>
            <m:r>
              <m:t>L</m:t>
            </m:r>
          </m:e>
          <m:sub>
            <m:r>
              <m:t>f</m:t>
            </m:r>
            <m:r>
              <m:t>i</m:t>
            </m:r>
            <m:r>
              <m:t>x</m:t>
            </m:r>
          </m:sub>
        </m:sSub>
        <m:r>
          <m:rPr>
            <m:sty m:val="p"/>
          </m:rPr>
          <m:t>=</m:t>
        </m:r>
        <m:r>
          <m:t>9</m:t>
        </m:r>
      </m:oMath>
      <w:r>
        <w:t xml:space="preserve">. So</w:t>
      </w:r>
      <w:r>
        <w:t xml:space="preserve"> </w:t>
      </w:r>
      <m:oMath>
        <m:sSub>
          <m:e>
            <m:r>
              <m:t>t</m:t>
            </m:r>
          </m:e>
          <m:sub>
            <m:r>
              <m:t>s</m:t>
            </m:r>
            <m:r>
              <m:t>t</m:t>
            </m:r>
            <m:r>
              <m:t>a</m:t>
            </m:r>
            <m:r>
              <m:t>r</m:t>
            </m:r>
            <m:r>
              <m:t>t</m:t>
            </m:r>
          </m:sub>
        </m:sSub>
        <m:r>
          <m:rPr>
            <m:sty m:val="p"/>
          </m:rPr>
          <m:t>=</m:t>
        </m:r>
        <m:r>
          <m:t>21.8</m:t>
        </m:r>
        <m:r>
          <m:rPr>
            <m:sty m:val="p"/>
          </m:rPr>
          <m:t>−</m:t>
        </m:r>
        <m:r>
          <m:t>9</m:t>
        </m:r>
        <m:r>
          <m:rPr>
            <m:sty m:val="p"/>
          </m:rPr>
          <m:t>≈</m:t>
        </m:r>
        <m:r>
          <m:t>13</m:t>
        </m:r>
      </m:oMath>
      <w:r>
        <w:t xml:space="preserve"> </w:t>
      </w:r>
      <w:r>
        <w:t xml:space="preserve">months from now.</w:t>
      </w:r>
    </w:p>
    <w:p>
      <w:pPr>
        <w:numPr>
          <w:ilvl w:val="0"/>
          <w:numId w:val="1613"/>
        </w:numPr>
        <w:pStyle w:val="Compact"/>
      </w:pPr>
      <w:r>
        <w:t xml:space="preserve">Sensitivity: at 12% monthly growth,</w:t>
      </w:r>
      <w:r>
        <w:t xml:space="preserve"> </w:t>
      </w:r>
      <m:oMath>
        <m:sSub>
          <m:e>
            <m:r>
              <m:t>t</m:t>
            </m:r>
          </m:e>
          <m:sub>
            <m:r>
              <m:t>e</m:t>
            </m:r>
            <m:r>
              <m:t>x</m:t>
            </m:r>
            <m:r>
              <m:t>h</m:t>
            </m:r>
            <m:r>
              <m:t>a</m:t>
            </m:r>
            <m:r>
              <m:t>u</m:t>
            </m:r>
            <m:r>
              <m:t>s</m:t>
            </m:r>
            <m:r>
              <m:t>t</m:t>
            </m:r>
          </m:sub>
        </m:sSub>
        <m:r>
          <m:rPr>
            <m:sty m:val="p"/>
          </m:rPr>
          <m:t>=</m:t>
        </m:r>
        <m:r>
          <m:t>1.678</m:t>
        </m:r>
        <m:r>
          <m:rPr>
            <m:sty m:val="p"/>
          </m:rPr>
          <m:t>/</m:t>
        </m:r>
        <m:r>
          <m:rPr>
            <m:sty m:val="p"/>
          </m:rPr>
          <m:t>ln</m:t>
        </m:r>
        <m:r>
          <m:t>1.12</m:t>
        </m:r>
        <m:r>
          <m:rPr>
            <m:sty m:val="p"/>
          </m:rPr>
          <m:t>=</m:t>
        </m:r>
        <m:r>
          <m:t>1.678</m:t>
        </m:r>
        <m:r>
          <m:rPr>
            <m:sty m:val="p"/>
          </m:rPr>
          <m:t>/</m:t>
        </m:r>
        <m:r>
          <m:t>0.1133</m:t>
        </m:r>
        <m:r>
          <m:rPr>
            <m:sty m:val="p"/>
          </m:rPr>
          <m:t>=</m:t>
        </m:r>
        <m:r>
          <m:t>14.8</m:t>
        </m:r>
      </m:oMath>
      <w:r>
        <w:t xml:space="preserve"> </w:t>
      </w:r>
      <w:r>
        <w:t xml:space="preserve">months, and the project must start in about 6 months.</w:t>
      </w:r>
    </w:p>
    <w:p>
      <w:pPr>
        <w:pStyle w:val="CalloutExample"/>
      </w:pPr>
      <w:r>
        <w:rPr>
          <w:bCs/>
          <w:b/>
        </w:rPr>
        <w:t xml:space="preserve">Interpretation.</w:t>
      </w:r>
      <w:r>
        <w:t xml:space="preserve"> </w:t>
      </w:r>
      <w:r>
        <w:t xml:space="preserve">The same headroom means two years at one growth rate and barely more than one at another.</w:t>
      </w:r>
      <w:r>
        <w:t xml:space="preserve"> </w:t>
      </w:r>
      <w:r>
        <w:rPr>
          <w:bCs/>
          <w:b/>
        </w:rPr>
        <w:t xml:space="preserve">Engineering implication.</w:t>
      </w:r>
      <w:r>
        <w:t xml:space="preserve"> </w:t>
      </w:r>
      <w:r>
        <w:t xml:space="preserve">Put</w:t>
      </w:r>
      <w:r>
        <w:t xml:space="preserve"> </w:t>
      </w:r>
      <m:oMath>
        <m:sSub>
          <m:e>
            <m:r>
              <m:t>t</m:t>
            </m:r>
          </m:e>
          <m:sub>
            <m:r>
              <m:t>s</m:t>
            </m:r>
            <m:r>
              <m:t>t</m:t>
            </m:r>
            <m:r>
              <m:t>a</m:t>
            </m:r>
            <m:r>
              <m:t>r</m:t>
            </m:r>
            <m:r>
              <m:t>t</m:t>
            </m:r>
          </m:sub>
        </m:sSub>
      </m:oMath>
      <w:r>
        <w:t xml:space="preserve"> </w:t>
      </w:r>
      <w:r>
        <w:t xml:space="preserve">for every architectural limit into the capacity plan, recompute it monthly from measured growth, and treat crossing it as a tripwire (§2.7). Group commit (§13.5) could raise the limit about 4× (an assumed factor, §2.10) and push</w:t>
      </w:r>
      <w:r>
        <w:t xml:space="preserve"> </w:t>
      </w:r>
      <m:oMath>
        <m:sSub>
          <m:e>
            <m:r>
              <m:t>t</m:t>
            </m:r>
          </m:e>
          <m:sub>
            <m:r>
              <m:t>e</m:t>
            </m:r>
            <m:r>
              <m:t>x</m:t>
            </m:r>
            <m:r>
              <m:t>h</m:t>
            </m:r>
            <m:r>
              <m:t>a</m:t>
            </m:r>
            <m:r>
              <m:t>u</m:t>
            </m:r>
            <m:r>
              <m:t>s</m:t>
            </m:r>
            <m:r>
              <m:t>t</m:t>
            </m:r>
          </m:sub>
        </m:sSub>
      </m:oMath>
      <w:r>
        <w:t xml:space="preserve"> </w:t>
      </w:r>
      <w:r>
        <w:t xml:space="preserve">out by</w:t>
      </w:r>
      <w:r>
        <w:t xml:space="preserve"> </w:t>
      </w:r>
      <m:oMath>
        <m:r>
          <m:rPr>
            <m:sty m:val="p"/>
          </m:rPr>
          <m:t>ln</m:t>
        </m:r>
        <m:r>
          <m:t>4</m:t>
        </m:r>
        <m:r>
          <m:rPr>
            <m:sty m:val="p"/>
          </m:rPr>
          <m:t>/</m:t>
        </m:r>
        <m:r>
          <m:rPr>
            <m:sty m:val="p"/>
          </m:rPr>
          <m:t>ln</m:t>
        </m:r>
        <m:r>
          <m:t>1.08</m:t>
        </m:r>
        <m:r>
          <m:rPr>
            <m:sty m:val="p"/>
          </m:rPr>
          <m:t>=</m:t>
        </m:r>
        <m:r>
          <m:t>18</m:t>
        </m:r>
      </m:oMath>
      <w:r>
        <w:t xml:space="preserve"> </w:t>
      </w:r>
      <w:r>
        <w:t xml:space="preserve">months, a cheaper first move worth evaluating before partitioning.</w:t>
      </w:r>
    </w:p>
    <w:p>
      <w:pPr>
        <w:pStyle w:val="CalloutIndustry"/>
      </w:pPr>
      <w:r>
        <w:rPr>
          <w:bCs/>
          <w:b/>
        </w:rPr>
        <w:t xml:space="preserve">INDUSTRY EXAMPLE</w:t>
      </w:r>
    </w:p>
    <w:p>
      <w:pPr>
        <w:pStyle w:val="CalloutIndustry"/>
      </w:pPr>
      <w:r>
        <w:rPr>
          <w:bCs/>
          <w:b/>
        </w:rPr>
        <w:t xml:space="preserve">Intent-based capacity planning at Google.</w:t>
      </w:r>
      <w:r>
        <w:t xml:space="preserve"> </w:t>
      </w:r>
      <w:r>
        <w:t xml:space="preserve">The SRE book describes Auxon, a tool in which teams state capacity</w:t>
      </w:r>
      <w:r>
        <w:t xml:space="preserve"> </w:t>
      </w:r>
      <w:r>
        <w:rPr>
          <w:iCs/>
          <w:i/>
        </w:rPr>
        <w:t xml:space="preserve">intent</w:t>
      </w:r>
      <w:r>
        <w:t xml:space="preserve"> </w:t>
      </w:r>
      <w:r>
        <w:t xml:space="preserve">(dependencies, service-level requirements, N+2 redundancy, budget) and a solver produces the resource allocation, replacing hand-maintained spreadsheets of machine counts.</w:t>
      </w:r>
      <w:r>
        <w:t xml:space="preserve"> </w:t>
      </w:r>
      <w:r>
        <w:rPr>
          <w:iCs/>
          <w:i/>
        </w:rPr>
        <w:t xml:space="preserve">Evidence: Primary</w:t>
      </w:r>
      <w:r>
        <w:t xml:space="preserve"> </w:t>
      </w:r>
      <w:r>
        <w:t xml:space="preserve">— [Beyer et al. 2016]</w:t>
      </w:r>
    </w:p>
    <w:bookmarkEnd w:id="2118"/>
    <w:bookmarkStart w:id="2135" w:name="X8febd7ce64421c9647b08b98047ae53ae2ca4f7"/>
    <w:p>
      <w:pPr>
        <w:pStyle w:val="Heading3"/>
      </w:pPr>
      <w:r>
        <w:t xml:space="preserve">18.11.5 Worked capacity plan: QuickBite from 1,000 to 10 million users</w:t>
      </w:r>
    </w:p>
    <w:p>
      <w:pPr>
        <w:pStyle w:val="FirstParagraph"/>
      </w:pPr>
      <w:r>
        <w:t xml:space="preserve">The plan reuses Chapter 2’s per-user assumptions: 30 browse requests and 0.25 orders per daily active user (DAU), 20% of daily traffic in the busiest hour, a burst factor of 2, one active courier per 100 DAU at peak sending a location every 4 s, and</w:t>
      </w:r>
      <w:r>
        <w:t xml:space="preserve"> </w:t>
      </w:r>
      <m:oMath>
        <m:r>
          <m:t>c</m:t>
        </m:r>
        <m:r>
          <m:rPr>
            <m:sty m:val="p"/>
          </m:rPr>
          <m:t>=</m:t>
        </m:r>
        <m:r>
          <m:t>1</m:t>
        </m:r>
        <m:r>
          <m:rPr>
            <m:sty m:val="p"/>
          </m:rPr>
          <m:t>,</m:t>
        </m:r>
        <m:r>
          <m:t>000</m:t>
        </m:r>
      </m:oMath>
      <w:r>
        <w:t xml:space="preserve"> </w:t>
      </w:r>
      <w:r>
        <w:t xml:space="preserve">RPS per API node at</w:t>
      </w:r>
      <w:r>
        <w:t xml:space="preserve"> </w:t>
      </w:r>
      <m:oMath>
        <m:sSub>
          <m:e>
            <m:r>
              <m:t>u</m:t>
            </m:r>
          </m:e>
          <m:sub>
            <m:r>
              <m:t>t</m:t>
            </m:r>
            <m:r>
              <m:t>a</m:t>
            </m:r>
            <m:r>
              <m:t>r</m:t>
            </m:r>
            <m:r>
              <m:t>g</m:t>
            </m:r>
            <m:r>
              <m:t>e</m:t>
            </m:r>
            <m:r>
              <m:t>t</m:t>
            </m:r>
          </m:sub>
        </m:sSub>
        <m:r>
          <m:rPr>
            <m:sty m:val="p"/>
          </m:rPr>
          <m:t>=</m:t>
        </m:r>
        <m:r>
          <m:t>0.6</m:t>
        </m:r>
      </m:oMath>
      <w:r>
        <w:t xml:space="preserve">. Two zones are used for the first two stages and three thereafter, and no stage runs fewer than two API nodes. The program below computes every row of Table 18.10.</w:t>
      </w:r>
    </w:p>
    <w:p>
      <w:pPr>
        <w:pStyle w:val="SourceCode"/>
      </w:pPr>
      <w:r>
        <w:rPr>
          <w:rStyle w:val="CommentTok"/>
        </w:rPr>
        <w:t xml:space="preserve">"""QuickBite capacity plan from 1k to 10M daily active users (Section 18.11).</w:t>
      </w:r>
      <w:r>
        <w:br/>
      </w:r>
      <w:r>
        <w:br/>
      </w:r>
      <w:r>
        <w:rPr>
          <w:rStyle w:val="CommentTok"/>
        </w:rPr>
        <w:t xml:space="preserve">All inputs are teaching assumptions carried over from Chapter 2 (Table 2.10, Section 2.11).</w:t>
      </w:r>
      <w:r>
        <w:br/>
      </w:r>
      <w:r>
        <w:rPr>
          <w:rStyle w:val="CommentTok"/>
        </w:rPr>
        <w:t xml:space="preserve">"""</w:t>
      </w:r>
      <w:r>
        <w:br/>
      </w:r>
      <w:r>
        <w:rPr>
          <w:rStyle w:val="ImportTok"/>
        </w:rPr>
        <w:t xml:space="preserve">import</w:t>
      </w:r>
      <w:r>
        <w:rPr>
          <w:rStyle w:val="NormalTok"/>
        </w:rPr>
        <w:t xml:space="preserve"> math</w:t>
      </w:r>
      <w:r>
        <w:br/>
      </w:r>
      <w:r>
        <w:br/>
      </w:r>
      <w:r>
        <w:rPr>
          <w:rStyle w:val="NormalTok"/>
        </w:rPr>
        <w:t xml:space="preserve">BROWSE_PER_DAU </w:t>
      </w:r>
      <w:r>
        <w:rPr>
          <w:rStyle w:val="OperatorTok"/>
        </w:rPr>
        <w:t xml:space="preserve">=</w:t>
      </w:r>
      <w:r>
        <w:rPr>
          <w:rStyle w:val="NormalTok"/>
        </w:rPr>
        <w:t xml:space="preserve"> </w:t>
      </w:r>
      <w:r>
        <w:rPr>
          <w:rStyle w:val="DecValTok"/>
        </w:rPr>
        <w:t xml:space="preserve">30</w:t>
      </w:r>
      <w:r>
        <w:rPr>
          <w:rStyle w:val="NormalTok"/>
        </w:rPr>
        <w:t xml:space="preserve">      </w:t>
      </w:r>
      <w:r>
        <w:rPr>
          <w:rStyle w:val="CommentTok"/>
        </w:rPr>
        <w:t xml:space="preserve"># browse requests per DAU per day</w:t>
      </w:r>
      <w:r>
        <w:br/>
      </w:r>
      <w:r>
        <w:rPr>
          <w:rStyle w:val="NormalTok"/>
        </w:rPr>
        <w:t xml:space="preserve">ORDERS_PER_DAU </w:t>
      </w:r>
      <w:r>
        <w:rPr>
          <w:rStyle w:val="OperatorTok"/>
        </w:rPr>
        <w:t xml:space="preserve">=</w:t>
      </w:r>
      <w:r>
        <w:rPr>
          <w:rStyle w:val="NormalTok"/>
        </w:rPr>
        <w:t xml:space="preserve"> </w:t>
      </w:r>
      <w:r>
        <w:rPr>
          <w:rStyle w:val="FloatTok"/>
        </w:rPr>
        <w:t xml:space="preserve">0.25</w:t>
      </w:r>
      <w:r>
        <w:rPr>
          <w:rStyle w:val="NormalTok"/>
        </w:rPr>
        <w:t xml:space="preserve">    </w:t>
      </w:r>
      <w:r>
        <w:rPr>
          <w:rStyle w:val="CommentTok"/>
        </w:rPr>
        <w:t xml:space="preserve"># orders per DAU per day</w:t>
      </w:r>
      <w:r>
        <w:br/>
      </w:r>
      <w:r>
        <w:rPr>
          <w:rStyle w:val="NormalTok"/>
        </w:rPr>
        <w:t xml:space="preserve">BUSY_HOUR_SHARE </w:t>
      </w:r>
      <w:r>
        <w:rPr>
          <w:rStyle w:val="OperatorTok"/>
        </w:rPr>
        <w:t xml:space="preserve">=</w:t>
      </w:r>
      <w:r>
        <w:rPr>
          <w:rStyle w:val="NormalTok"/>
        </w:rPr>
        <w:t xml:space="preserve"> </w:t>
      </w:r>
      <w:r>
        <w:rPr>
          <w:rStyle w:val="FloatTok"/>
        </w:rPr>
        <w:t xml:space="preserve">0.20</w:t>
      </w:r>
      <w:r>
        <w:rPr>
          <w:rStyle w:val="NormalTok"/>
        </w:rPr>
        <w:t xml:space="preserve">   </w:t>
      </w:r>
      <w:r>
        <w:rPr>
          <w:rStyle w:val="CommentTok"/>
        </w:rPr>
        <w:t xml:space="preserve"># share of daily traffic in the busiest hour</w:t>
      </w:r>
      <w:r>
        <w:br/>
      </w:r>
      <w:r>
        <w:rPr>
          <w:rStyle w:val="NormalTok"/>
        </w:rPr>
        <w:t xml:space="preserve">BURST </w:t>
      </w:r>
      <w:r>
        <w:rPr>
          <w:rStyle w:val="OperatorTok"/>
        </w:rPr>
        <w:t xml:space="preserve">=</w:t>
      </w:r>
      <w:r>
        <w:rPr>
          <w:rStyle w:val="NormalTok"/>
        </w:rPr>
        <w:t xml:space="preserve"> </w:t>
      </w:r>
      <w:r>
        <w:rPr>
          <w:rStyle w:val="FloatTok"/>
        </w:rPr>
        <w:t xml:space="preserve">2.0</w:t>
      </w:r>
      <w:r>
        <w:rPr>
          <w:rStyle w:val="NormalTok"/>
        </w:rPr>
        <w:t xml:space="preserve">              </w:t>
      </w:r>
      <w:r>
        <w:rPr>
          <w:rStyle w:val="CommentTok"/>
        </w:rPr>
        <w:t xml:space="preserve"># burst factor above the busiest-hour average</w:t>
      </w:r>
      <w:r>
        <w:br/>
      </w:r>
      <w:r>
        <w:rPr>
          <w:rStyle w:val="NormalTok"/>
        </w:rPr>
        <w:t xml:space="preserve">COURIERS_PER_DAU </w:t>
      </w:r>
      <w:r>
        <w:rPr>
          <w:rStyle w:val="OperatorTok"/>
        </w:rPr>
        <w:t xml:space="preserve">=</w:t>
      </w:r>
      <w:r>
        <w:rPr>
          <w:rStyle w:val="NormalTok"/>
        </w:rPr>
        <w:t xml:space="preserve"> </w:t>
      </w:r>
      <w:r>
        <w:rPr>
          <w:rStyle w:val="FloatTok"/>
        </w:rPr>
        <w:t xml:space="preserve">0.01</w:t>
      </w:r>
      <w:r>
        <w:rPr>
          <w:rStyle w:val="NormalTok"/>
        </w:rPr>
        <w:t xml:space="preserve">  </w:t>
      </w:r>
      <w:r>
        <w:rPr>
          <w:rStyle w:val="CommentTok"/>
        </w:rPr>
        <w:t xml:space="preserve"># couriers active at peak per DAU (20,000 at 2M DAU)</w:t>
      </w:r>
      <w:r>
        <w:br/>
      </w:r>
      <w:r>
        <w:rPr>
          <w:rStyle w:val="NormalTok"/>
        </w:rPr>
        <w:t xml:space="preserve">UPDATE_INTERVAL_S </w:t>
      </w:r>
      <w:r>
        <w:rPr>
          <w:rStyle w:val="OperatorTok"/>
        </w:rPr>
        <w:t xml:space="preserve">=</w:t>
      </w:r>
      <w:r>
        <w:rPr>
          <w:rStyle w:val="NormalTok"/>
        </w:rPr>
        <w:t xml:space="preserve"> </w:t>
      </w:r>
      <w:r>
        <w:rPr>
          <w:rStyle w:val="DecValTok"/>
        </w:rPr>
        <w:t xml:space="preserve">4</w:t>
      </w:r>
      <w:r>
        <w:rPr>
          <w:rStyle w:val="NormalTok"/>
        </w:rPr>
        <w:t xml:space="preserve">    </w:t>
      </w:r>
      <w:r>
        <w:rPr>
          <w:rStyle w:val="CommentTok"/>
        </w:rPr>
        <w:t xml:space="preserve"># courier location update interval</w:t>
      </w:r>
      <w:r>
        <w:br/>
      </w:r>
      <w:r>
        <w:rPr>
          <w:rStyle w:val="NormalTok"/>
        </w:rPr>
        <w:t xml:space="preserve">NODE_RPS </w:t>
      </w:r>
      <w:r>
        <w:rPr>
          <w:rStyle w:val="OperatorTok"/>
        </w:rPr>
        <w:t xml:space="preserve">=</w:t>
      </w:r>
      <w:r>
        <w:rPr>
          <w:rStyle w:val="NormalTok"/>
        </w:rPr>
        <w:t xml:space="preserve"> </w:t>
      </w:r>
      <w:r>
        <w:rPr>
          <w:rStyle w:val="DecValTok"/>
        </w:rPr>
        <w:t xml:space="preserve">1_000</w:t>
      </w:r>
      <w:r>
        <w:rPr>
          <w:rStyle w:val="NormalTok"/>
        </w:rPr>
        <w:t xml:space="preserve">         </w:t>
      </w:r>
      <w:r>
        <w:rPr>
          <w:rStyle w:val="CommentTok"/>
        </w:rPr>
        <w:t xml:space="preserve"># sustained RPS per API node (measured, Section 2.11)</w:t>
      </w:r>
      <w:r>
        <w:br/>
      </w:r>
      <w:r>
        <w:rPr>
          <w:rStyle w:val="NormalTok"/>
        </w:rPr>
        <w:t xml:space="preserve">U_TARGET </w:t>
      </w:r>
      <w:r>
        <w:rPr>
          <w:rStyle w:val="OperatorTok"/>
        </w:rPr>
        <w:t xml:space="preserve">=</w:t>
      </w:r>
      <w:r>
        <w:rPr>
          <w:rStyle w:val="NormalTok"/>
        </w:rPr>
        <w:t xml:space="preserve"> </w:t>
      </w:r>
      <w:r>
        <w:rPr>
          <w:rStyle w:val="FloatTok"/>
        </w:rPr>
        <w:t xml:space="preserve">0.6</w:t>
      </w:r>
      <w:r>
        <w:rPr>
          <w:rStyle w:val="NormalTok"/>
        </w:rPr>
        <w:t xml:space="preserve">           </w:t>
      </w:r>
      <w:r>
        <w:rPr>
          <w:rStyle w:val="CommentTok"/>
        </w:rPr>
        <w:t xml:space="preserve"># target utilization per node</w:t>
      </w:r>
      <w:r>
        <w:br/>
      </w:r>
      <w:r>
        <w:br/>
      </w:r>
      <w:r>
        <w:br/>
      </w:r>
      <w:r>
        <w:rPr>
          <w:rStyle w:val="KeywordTok"/>
        </w:rPr>
        <w:t xml:space="preserve">def</w:t>
      </w:r>
      <w:r>
        <w:rPr>
          <w:rStyle w:val="NormalTok"/>
        </w:rPr>
        <w:t xml:space="preserve"> peak(daily):</w:t>
      </w:r>
      <w:r>
        <w:br/>
      </w:r>
      <w:r>
        <w:rPr>
          <w:rStyle w:val="NormalTok"/>
        </w:rPr>
        <w:t xml:space="preserve">    </w:t>
      </w:r>
      <w:r>
        <w:rPr>
          <w:rStyle w:val="ControlFlowTok"/>
        </w:rPr>
        <w:t xml:space="preserve">return</w:t>
      </w:r>
      <w:r>
        <w:rPr>
          <w:rStyle w:val="NormalTok"/>
        </w:rPr>
        <w:t xml:space="preserve"> daily </w:t>
      </w:r>
      <w:r>
        <w:rPr>
          <w:rStyle w:val="OperatorTok"/>
        </w:rPr>
        <w:t xml:space="preserve">*</w:t>
      </w:r>
      <w:r>
        <w:rPr>
          <w:rStyle w:val="NormalTok"/>
        </w:rPr>
        <w:t xml:space="preserve"> BUSY_HOUR_SHARE </w:t>
      </w:r>
      <w:r>
        <w:rPr>
          <w:rStyle w:val="OperatorTok"/>
        </w:rPr>
        <w:t xml:space="preserve">/</w:t>
      </w:r>
      <w:r>
        <w:rPr>
          <w:rStyle w:val="NormalTok"/>
        </w:rPr>
        <w:t xml:space="preserve"> </w:t>
      </w:r>
      <w:r>
        <w:rPr>
          <w:rStyle w:val="DecValTok"/>
        </w:rPr>
        <w:t xml:space="preserve">3_600</w:t>
      </w:r>
      <w:r>
        <w:rPr>
          <w:rStyle w:val="NormalTok"/>
        </w:rPr>
        <w:t xml:space="preserve"> </w:t>
      </w:r>
      <w:r>
        <w:rPr>
          <w:rStyle w:val="OperatorTok"/>
        </w:rPr>
        <w:t xml:space="preserve">*</w:t>
      </w:r>
      <w:r>
        <w:rPr>
          <w:rStyle w:val="NormalTok"/>
        </w:rPr>
        <w:t xml:space="preserve"> BURST</w:t>
      </w:r>
      <w:r>
        <w:br/>
      </w:r>
      <w:r>
        <w:br/>
      </w:r>
      <w:r>
        <w:br/>
      </w:r>
      <w:r>
        <w:rPr>
          <w:rStyle w:val="KeywordTok"/>
        </w:rPr>
        <w:t xml:space="preserve">def</w:t>
      </w:r>
      <w:r>
        <w:rPr>
          <w:rStyle w:val="NormalTok"/>
        </w:rPr>
        <w:t xml:space="preserve"> api_nodes(rps, zones):</w:t>
      </w:r>
      <w:r>
        <w:br/>
      </w:r>
      <w:r>
        <w:rPr>
          <w:rStyle w:val="NormalTok"/>
        </w:rPr>
        <w:t xml:space="preserve">    work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1</w:t>
      </w:r>
      <w:r>
        <w:rPr>
          <w:rStyle w:val="NormalTok"/>
        </w:rPr>
        <w:t xml:space="preserve">, math.ceil(rps </w:t>
      </w:r>
      <w:r>
        <w:rPr>
          <w:rStyle w:val="OperatorTok"/>
        </w:rPr>
        <w:t xml:space="preserve">/</w:t>
      </w:r>
      <w:r>
        <w:rPr>
          <w:rStyle w:val="NormalTok"/>
        </w:rPr>
        <w:t xml:space="preserve"> (NODE_RPS </w:t>
      </w:r>
      <w:r>
        <w:rPr>
          <w:rStyle w:val="OperatorTok"/>
        </w:rPr>
        <w:t xml:space="preserve">*</w:t>
      </w:r>
      <w:r>
        <w:rPr>
          <w:rStyle w:val="NormalTok"/>
        </w:rPr>
        <w:t xml:space="preserve"> U_TARGET)))</w:t>
      </w:r>
      <w:r>
        <w:br/>
      </w:r>
      <w:r>
        <w:rPr>
          <w:rStyle w:val="NormalTok"/>
        </w:rPr>
        <w:t xml:space="preserve">    </w:t>
      </w:r>
      <w:r>
        <w:rPr>
          <w:rStyle w:val="ControlFlowTok"/>
        </w:rPr>
        <w:t xml:space="preserve">if</w:t>
      </w:r>
      <w:r>
        <w:rPr>
          <w:rStyle w:val="NormalTok"/>
        </w:rPr>
        <w:t xml:space="preserve"> zones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work, work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N+1 on one zone</w:t>
      </w:r>
      <w:r>
        <w:br/>
      </w:r>
      <w:r>
        <w:rPr>
          <w:rStyle w:val="NormalTok"/>
        </w:rPr>
        <w:t xml:space="preserve">    </w:t>
      </w:r>
      <w:r>
        <w:rPr>
          <w:rStyle w:val="ControlFlowTok"/>
        </w:rPr>
        <w:t xml:space="preserve">return</w:t>
      </w:r>
      <w:r>
        <w:rPr>
          <w:rStyle w:val="NormalTok"/>
        </w:rPr>
        <w:t xml:space="preserve"> work, math.ceil(work </w:t>
      </w:r>
      <w:r>
        <w:rPr>
          <w:rStyle w:val="OperatorTok"/>
        </w:rPr>
        <w:t xml:space="preserve">*</w:t>
      </w:r>
      <w:r>
        <w:rPr>
          <w:rStyle w:val="NormalTok"/>
        </w:rPr>
        <w:t xml:space="preserve"> zones </w:t>
      </w:r>
      <w:r>
        <w:rPr>
          <w:rStyle w:val="OperatorTok"/>
        </w:rPr>
        <w:t xml:space="preserve">/</w:t>
      </w:r>
      <w:r>
        <w:rPr>
          <w:rStyle w:val="NormalTok"/>
        </w:rPr>
        <w:t xml:space="preserve"> (zones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survive one zone loss</w:t>
      </w:r>
      <w:r>
        <w:br/>
      </w:r>
      <w:r>
        <w:br/>
      </w:r>
      <w:r>
        <w:br/>
      </w:r>
      <w:r>
        <w:rPr>
          <w:rStyle w:val="NormalTok"/>
        </w:rPr>
        <w:t xml:space="preserve">stages </w:t>
      </w:r>
      <w:r>
        <w:rPr>
          <w:rStyle w:val="OperatorTok"/>
        </w:rPr>
        <w:t xml:space="preserve">=</w:t>
      </w:r>
      <w:r>
        <w:rPr>
          <w:rStyle w:val="NormalTok"/>
        </w:rPr>
        <w:t xml:space="preserve"> [  </w:t>
      </w:r>
      <w:r>
        <w:rPr>
          <w:rStyle w:val="CommentTok"/>
        </w:rPr>
        <w:t xml:space="preserve"># (name, DAU, zones)</w:t>
      </w:r>
      <w:r>
        <w:br/>
      </w:r>
      <w:r>
        <w:rPr>
          <w:rStyle w:val="NormalTok"/>
        </w:rPr>
        <w:t xml:space="preserve">    (</w:t>
      </w:r>
      <w:r>
        <w:rPr>
          <w:rStyle w:val="StringTok"/>
        </w:rPr>
        <w:t xml:space="preserve">"S1 pilot"</w:t>
      </w:r>
      <w:r>
        <w:rPr>
          <w:rStyle w:val="NormalTok"/>
        </w:rPr>
        <w:t xml:space="preserve">, </w:t>
      </w:r>
      <w:r>
        <w:rPr>
          <w:rStyle w:val="DecValTok"/>
        </w:rPr>
        <w:t xml:space="preserve">1_000</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"S2 city"</w:t>
      </w:r>
      <w:r>
        <w:rPr>
          <w:rStyle w:val="NormalTok"/>
        </w:rPr>
        <w:t xml:space="preserve">, </w:t>
      </w:r>
      <w:r>
        <w:rPr>
          <w:rStyle w:val="DecValTok"/>
        </w:rPr>
        <w:t xml:space="preserve">20_000</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"S3 region"</w:t>
      </w:r>
      <w:r>
        <w:rPr>
          <w:rStyle w:val="NormalTok"/>
        </w:rPr>
        <w:t xml:space="preserve">, </w:t>
      </w:r>
      <w:r>
        <w:rPr>
          <w:rStyle w:val="DecValTok"/>
        </w:rPr>
        <w:t xml:space="preserve">200_000</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"S4 country"</w:t>
      </w:r>
      <w:r>
        <w:rPr>
          <w:rStyle w:val="NormalTok"/>
        </w:rPr>
        <w:t xml:space="preserve">, </w:t>
      </w:r>
      <w:r>
        <w:rPr>
          <w:rStyle w:val="DecValTok"/>
        </w:rPr>
        <w:t xml:space="preserve">2_000_000</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"S5 multi-country"</w:t>
      </w:r>
      <w:r>
        <w:rPr>
          <w:rStyle w:val="NormalTok"/>
        </w:rPr>
        <w:t xml:space="preserve">, </w:t>
      </w:r>
      <w:r>
        <w:rPr>
          <w:rStyle w:val="DecValTok"/>
        </w:rPr>
        <w:t xml:space="preserve">10_000_000</w:t>
      </w:r>
      <w:r>
        <w:rPr>
          <w:rStyle w:val="NormalTok"/>
        </w:rPr>
        <w:t xml:space="preserve">, </w:t>
      </w:r>
      <w:r>
        <w:rPr>
          <w:rStyle w:val="DecValTok"/>
        </w:rPr>
        <w:t xml:space="preserve">3</w:t>
      </w:r>
      <w:r>
        <w:rPr>
          <w:rStyle w:val="NormalTok"/>
        </w:rPr>
        <w:t xml:space="preserve">),</w:t>
      </w:r>
      <w:r>
        <w:br/>
      </w:r>
      <w:r>
        <w:rPr>
          <w:rStyle w:val="NormalTok"/>
        </w:rPr>
        <w:t xml:space="preserve">]</w:t>
      </w:r>
      <w:r>
        <w:br/>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'stage'</w:t>
      </w:r>
      <w:r>
        <w:rPr>
          <w:rStyle w:val="SpecialCharTok"/>
        </w:rPr>
        <w:t xml:space="preserve">:17}</w:t>
      </w:r>
      <w:r>
        <w:rPr>
          <w:rStyle w:val="SpecialStringTok"/>
        </w:rPr>
        <w:t xml:space="preserve"> </w:t>
      </w:r>
      <w:r>
        <w:rPr>
          <w:rStyle w:val="SpecialCharTok"/>
        </w:rPr>
        <w:t xml:space="preserve">{</w:t>
      </w:r>
      <w:r>
        <w:rPr>
          <w:rStyle w:val="StringTok"/>
        </w:rPr>
        <w:t xml:space="preserve">'DAU'</w:t>
      </w:r>
      <w:r>
        <w:rPr>
          <w:rStyle w:val="SpecialCharTok"/>
        </w:rPr>
        <w:t xml:space="preserve">:&gt;10}</w:t>
      </w:r>
      <w:r>
        <w:rPr>
          <w:rStyle w:val="SpecialStringTok"/>
        </w:rPr>
        <w:t xml:space="preserve"> </w:t>
      </w:r>
      <w:r>
        <w:rPr>
          <w:rStyle w:val="SpecialCharTok"/>
        </w:rPr>
        <w:t xml:space="preserve">{</w:t>
      </w:r>
      <w:r>
        <w:rPr>
          <w:rStyle w:val="StringTok"/>
        </w:rPr>
        <w:t xml:space="preserve">'browse/s'</w:t>
      </w:r>
      <w:r>
        <w:rPr>
          <w:rStyle w:val="SpecialCharTok"/>
        </w:rPr>
        <w:t xml:space="preserve">:&gt;9}</w:t>
      </w:r>
      <w:r>
        <w:rPr>
          <w:rStyle w:val="SpecialStringTok"/>
        </w:rPr>
        <w:t xml:space="preserve"> </w:t>
      </w:r>
      <w:r>
        <w:rPr>
          <w:rStyle w:val="SpecialCharTok"/>
        </w:rPr>
        <w:t xml:space="preserve">{</w:t>
      </w:r>
      <w:r>
        <w:rPr>
          <w:rStyle w:val="StringTok"/>
        </w:rPr>
        <w:t xml:space="preserve">'avg/s'</w:t>
      </w:r>
      <w:r>
        <w:rPr>
          <w:rStyle w:val="SpecialCharTok"/>
        </w:rPr>
        <w:t xml:space="preserve">:&gt;7}</w:t>
      </w:r>
      <w:r>
        <w:rPr>
          <w:rStyle w:val="SpecialStringTok"/>
        </w:rPr>
        <w:t xml:space="preserve"> </w:t>
      </w:r>
      <w:r>
        <w:rPr>
          <w:rStyle w:val="SpecialCharTok"/>
        </w:rPr>
        <w:t xml:space="preserve">{</w:t>
      </w:r>
      <w:r>
        <w:rPr>
          <w:rStyle w:val="StringTok"/>
        </w:rPr>
        <w:t xml:space="preserve">'PAR'</w:t>
      </w:r>
      <w:r>
        <w:rPr>
          <w:rStyle w:val="SpecialCharTok"/>
        </w:rPr>
        <w:t xml:space="preserve">:&gt;4}</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StringTok"/>
        </w:rPr>
        <w:t xml:space="preserve">'orders/s'</w:t>
      </w:r>
      <w:r>
        <w:rPr>
          <w:rStyle w:val="SpecialCharTok"/>
        </w:rPr>
        <w:t xml:space="preserve">:&gt;8}</w:t>
      </w:r>
      <w:r>
        <w:rPr>
          <w:rStyle w:val="SpecialStringTok"/>
        </w:rPr>
        <w:t xml:space="preserve"> </w:t>
      </w:r>
      <w:r>
        <w:rPr>
          <w:rStyle w:val="SpecialCharTok"/>
        </w:rPr>
        <w:t xml:space="preserve">{</w:t>
      </w:r>
      <w:r>
        <w:rPr>
          <w:rStyle w:val="StringTok"/>
        </w:rPr>
        <w:t xml:space="preserve">'loc w/s'</w:t>
      </w:r>
      <w:r>
        <w:rPr>
          <w:rStyle w:val="SpecialCharTok"/>
        </w:rPr>
        <w:t xml:space="preserve">:&gt;8}</w:t>
      </w:r>
      <w:r>
        <w:rPr>
          <w:rStyle w:val="SpecialStringTok"/>
        </w:rPr>
        <w:t xml:space="preserve"> </w:t>
      </w:r>
      <w:r>
        <w:rPr>
          <w:rStyle w:val="SpecialCharTok"/>
        </w:rPr>
        <w:t xml:space="preserve">{</w:t>
      </w:r>
      <w:r>
        <w:rPr>
          <w:rStyle w:val="StringTok"/>
        </w:rPr>
        <w:t xml:space="preserve">'work'</w:t>
      </w:r>
      <w:r>
        <w:rPr>
          <w:rStyle w:val="SpecialCharTok"/>
        </w:rPr>
        <w:t xml:space="preserve">:&gt;5}</w:t>
      </w:r>
      <w:r>
        <w:rPr>
          <w:rStyle w:val="SpecialStringTok"/>
        </w:rPr>
        <w:t xml:space="preserve"> </w:t>
      </w:r>
      <w:r>
        <w:rPr>
          <w:rStyle w:val="SpecialCharTok"/>
        </w:rPr>
        <w:t xml:space="preserve">{</w:t>
      </w:r>
      <w:r>
        <w:rPr>
          <w:rStyle w:val="StringTok"/>
        </w:rPr>
        <w:t xml:space="preserve">'total'</w:t>
      </w:r>
      <w:r>
        <w:rPr>
          <w:rStyle w:val="SpecialCharTok"/>
        </w:rPr>
        <w:t xml:space="preserve">:&gt;5}</w:t>
      </w:r>
      <w:r>
        <w:rPr>
          <w:rStyle w:val="SpecialStringTok"/>
        </w:rPr>
        <w:t xml:space="preserve"> </w:t>
      </w:r>
      <w:r>
        <w:rPr>
          <w:rStyle w:val="SpecialCharTok"/>
        </w:rPr>
        <w:t xml:space="preserve">{</w:t>
      </w:r>
      <w:r>
        <w:rPr>
          <w:rStyle w:val="StringTok"/>
        </w:rPr>
        <w:t xml:space="preserve">'avg util'</w:t>
      </w:r>
      <w:r>
        <w:rPr>
          <w:rStyle w:val="SpecialCharTok"/>
        </w:rPr>
        <w:t xml:space="preserve">:&gt;8}</w:t>
      </w:r>
      <w:r>
        <w:rPr>
          <w:rStyle w:val="SpecialStringTok"/>
        </w:rPr>
        <w:t xml:space="preserve">"</w:t>
      </w:r>
      <w:r>
        <w:rPr>
          <w:rStyle w:val="NormalTok"/>
        </w:rPr>
        <w:t xml:space="preserve">)</w:t>
      </w:r>
      <w:r>
        <w:br/>
      </w:r>
      <w:r>
        <w:rPr>
          <w:rStyle w:val="ControlFlowTok"/>
        </w:rPr>
        <w:t xml:space="preserve">for</w:t>
      </w:r>
      <w:r>
        <w:rPr>
          <w:rStyle w:val="NormalTok"/>
        </w:rPr>
        <w:t xml:space="preserve"> name, dau, zones </w:t>
      </w:r>
      <w:r>
        <w:rPr>
          <w:rStyle w:val="KeywordTok"/>
        </w:rPr>
        <w:t xml:space="preserve">in</w:t>
      </w:r>
      <w:r>
        <w:rPr>
          <w:rStyle w:val="NormalTok"/>
        </w:rPr>
        <w:t xml:space="preserve"> stages:</w:t>
      </w:r>
      <w:r>
        <w:br/>
      </w:r>
      <w:r>
        <w:rPr>
          <w:rStyle w:val="NormalTok"/>
        </w:rPr>
        <w:t xml:space="preserve">    browse_peak </w:t>
      </w:r>
      <w:r>
        <w:rPr>
          <w:rStyle w:val="OperatorTok"/>
        </w:rPr>
        <w:t xml:space="preserve">=</w:t>
      </w:r>
      <w:r>
        <w:rPr>
          <w:rStyle w:val="NormalTok"/>
        </w:rPr>
        <w:t xml:space="preserve"> peak(dau </w:t>
      </w:r>
      <w:r>
        <w:rPr>
          <w:rStyle w:val="OperatorTok"/>
        </w:rPr>
        <w:t xml:space="preserve">*</w:t>
      </w:r>
      <w:r>
        <w:rPr>
          <w:rStyle w:val="NormalTok"/>
        </w:rPr>
        <w:t xml:space="preserve"> BROWSE_PER_DAU)</w:t>
      </w:r>
      <w:r>
        <w:br/>
      </w:r>
      <w:r>
        <w:rPr>
          <w:rStyle w:val="NormalTok"/>
        </w:rPr>
        <w:t xml:space="preserve">    browse_avg </w:t>
      </w:r>
      <w:r>
        <w:rPr>
          <w:rStyle w:val="OperatorTok"/>
        </w:rPr>
        <w:t xml:space="preserve">=</w:t>
      </w:r>
      <w:r>
        <w:rPr>
          <w:rStyle w:val="NormalTok"/>
        </w:rPr>
        <w:t xml:space="preserve"> dau </w:t>
      </w:r>
      <w:r>
        <w:rPr>
          <w:rStyle w:val="OperatorTok"/>
        </w:rPr>
        <w:t xml:space="preserve">*</w:t>
      </w:r>
      <w:r>
        <w:rPr>
          <w:rStyle w:val="NormalTok"/>
        </w:rPr>
        <w:t xml:space="preserve"> BROWSE_PER_DAU </w:t>
      </w:r>
      <w:r>
        <w:rPr>
          <w:rStyle w:val="OperatorTok"/>
        </w:rPr>
        <w:t xml:space="preserve">/</w:t>
      </w:r>
      <w:r>
        <w:rPr>
          <w:rStyle w:val="NormalTok"/>
        </w:rPr>
        <w:t xml:space="preserve"> </w:t>
      </w:r>
      <w:r>
        <w:rPr>
          <w:rStyle w:val="DecValTok"/>
        </w:rPr>
        <w:t xml:space="preserve">86_400</w:t>
      </w:r>
      <w:r>
        <w:br/>
      </w:r>
      <w:r>
        <w:rPr>
          <w:rStyle w:val="NormalTok"/>
        </w:rPr>
        <w:t xml:space="preserve">    orders_peak </w:t>
      </w:r>
      <w:r>
        <w:rPr>
          <w:rStyle w:val="OperatorTok"/>
        </w:rPr>
        <w:t xml:space="preserve">=</w:t>
      </w:r>
      <w:r>
        <w:rPr>
          <w:rStyle w:val="NormalTok"/>
        </w:rPr>
        <w:t xml:space="preserve"> peak(dau </w:t>
      </w:r>
      <w:r>
        <w:rPr>
          <w:rStyle w:val="OperatorTok"/>
        </w:rPr>
        <w:t xml:space="preserve">*</w:t>
      </w:r>
      <w:r>
        <w:rPr>
          <w:rStyle w:val="NormalTok"/>
        </w:rPr>
        <w:t xml:space="preserve"> ORDERS_PER_DAU)</w:t>
      </w:r>
      <w:r>
        <w:br/>
      </w:r>
      <w:r>
        <w:rPr>
          <w:rStyle w:val="NormalTok"/>
        </w:rPr>
        <w:t xml:space="preserve">    loc_writes </w:t>
      </w:r>
      <w:r>
        <w:rPr>
          <w:rStyle w:val="OperatorTok"/>
        </w:rPr>
        <w:t xml:space="preserve">=</w:t>
      </w:r>
      <w:r>
        <w:rPr>
          <w:rStyle w:val="NormalTok"/>
        </w:rPr>
        <w:t xml:space="preserve"> dau </w:t>
      </w:r>
      <w:r>
        <w:rPr>
          <w:rStyle w:val="OperatorTok"/>
        </w:rPr>
        <w:t xml:space="preserve">*</w:t>
      </w:r>
      <w:r>
        <w:rPr>
          <w:rStyle w:val="NormalTok"/>
        </w:rPr>
        <w:t xml:space="preserve"> COURIERS_PER_DAU </w:t>
      </w:r>
      <w:r>
        <w:rPr>
          <w:rStyle w:val="OperatorTok"/>
        </w:rPr>
        <w:t xml:space="preserve">/</w:t>
      </w:r>
      <w:r>
        <w:rPr>
          <w:rStyle w:val="NormalTok"/>
        </w:rPr>
        <w:t xml:space="preserve"> UPDATE_INTERVAL_S</w:t>
      </w:r>
      <w:r>
        <w:br/>
      </w:r>
      <w:r>
        <w:rPr>
          <w:rStyle w:val="NormalTok"/>
        </w:rPr>
        <w:t xml:space="preserve">    work, total </w:t>
      </w:r>
      <w:r>
        <w:rPr>
          <w:rStyle w:val="OperatorTok"/>
        </w:rPr>
        <w:t xml:space="preserve">=</w:t>
      </w:r>
      <w:r>
        <w:rPr>
          <w:rStyle w:val="NormalTok"/>
        </w:rPr>
        <w:t xml:space="preserve"> api_nodes(browse_peak, zones)</w:t>
      </w:r>
      <w:r>
        <w:br/>
      </w:r>
      <w:r>
        <w:rPr>
          <w:rStyle w:val="NormalTok"/>
        </w:rPr>
        <w:t xml:space="preserve">    total </w:t>
      </w:r>
      <w:r>
        <w:rPr>
          <w:rStyle w:val="OperatorTok"/>
        </w:rPr>
        <w:t xml:space="preserve">=</w:t>
      </w:r>
      <w:r>
        <w:rPr>
          <w:rStyle w:val="NormalTok"/>
        </w:rPr>
        <w:t xml:space="preserve"> </w:t>
      </w:r>
      <w:r>
        <w:rPr>
          <w:rStyle w:val="BuiltInTok"/>
        </w:rPr>
        <w:t xml:space="preserve">max</w:t>
      </w:r>
      <w:r>
        <w:rPr>
          <w:rStyle w:val="NormalTok"/>
        </w:rPr>
        <w:t xml:space="preserve">(total, </w:t>
      </w:r>
      <w:r>
        <w:rPr>
          <w:rStyle w:val="DecValTok"/>
        </w:rPr>
        <w:t xml:space="preserve">2</w:t>
      </w:r>
      <w:r>
        <w:rPr>
          <w:rStyle w:val="NormalTok"/>
        </w:rPr>
        <w:t xml:space="preserve">)                         </w:t>
      </w:r>
      <w:r>
        <w:rPr>
          <w:rStyle w:val="CommentTok"/>
        </w:rPr>
        <w:t xml:space="preserve"># never fewer than two nodes</w:t>
      </w:r>
      <w:r>
        <w:br/>
      </w:r>
      <w:r>
        <w:rPr>
          <w:rStyle w:val="NormalTok"/>
        </w:rPr>
        <w:t xml:space="preserve">    avg_util </w:t>
      </w:r>
      <w:r>
        <w:rPr>
          <w:rStyle w:val="OperatorTok"/>
        </w:rPr>
        <w:t xml:space="preserve">=</w:t>
      </w:r>
      <w:r>
        <w:rPr>
          <w:rStyle w:val="NormalTok"/>
        </w:rPr>
        <w:t xml:space="preserve"> browse_avg </w:t>
      </w:r>
      <w:r>
        <w:rPr>
          <w:rStyle w:val="OperatorTok"/>
        </w:rPr>
        <w:t xml:space="preserve">/</w:t>
      </w:r>
      <w:r>
        <w:rPr>
          <w:rStyle w:val="NormalTok"/>
        </w:rPr>
        <w:t xml:space="preserve"> (total </w:t>
      </w:r>
      <w:r>
        <w:rPr>
          <w:rStyle w:val="OperatorTok"/>
        </w:rPr>
        <w:t xml:space="preserve">*</w:t>
      </w:r>
      <w:r>
        <w:rPr>
          <w:rStyle w:val="NormalTok"/>
        </w:rPr>
        <w:t xml:space="preserve"> NODE_RPS)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:17}</w:t>
      </w:r>
      <w:r>
        <w:rPr>
          <w:rStyle w:val="SpecialStringTok"/>
        </w:rPr>
        <w:t xml:space="preserve"> </w:t>
      </w:r>
      <w:r>
        <w:rPr>
          <w:rStyle w:val="SpecialCharTok"/>
        </w:rPr>
        <w:t xml:space="preserve">{</w:t>
      </w:r>
      <w:r>
        <w:rPr>
          <w:rStyle w:val="NormalTok"/>
        </w:rPr>
        <w:t xml:space="preserve">dau</w:t>
      </w:r>
      <w:r>
        <w:rPr>
          <w:rStyle w:val="SpecialCharTok"/>
        </w:rPr>
        <w:t xml:space="preserve">:&gt;10,}</w:t>
      </w:r>
      <w:r>
        <w:rPr>
          <w:rStyle w:val="SpecialStringTok"/>
        </w:rPr>
        <w:t xml:space="preserve"> </w:t>
      </w:r>
      <w:r>
        <w:rPr>
          <w:rStyle w:val="SpecialCharTok"/>
        </w:rPr>
        <w:t xml:space="preserve">{</w:t>
      </w:r>
      <w:r>
        <w:rPr>
          <w:rStyle w:val="NormalTok"/>
        </w:rPr>
        <w:t xml:space="preserve">browse_peak</w:t>
      </w:r>
      <w:r>
        <w:rPr>
          <w:rStyle w:val="SpecialCharTok"/>
        </w:rPr>
        <w:t xml:space="preserve">:&gt;9,.0f}</w:t>
      </w:r>
      <w:r>
        <w:rPr>
          <w:rStyle w:val="SpecialStringTok"/>
        </w:rPr>
        <w:t xml:space="preserve"> </w:t>
      </w:r>
      <w:r>
        <w:rPr>
          <w:rStyle w:val="SpecialCharTok"/>
        </w:rPr>
        <w:t xml:space="preserve">{</w:t>
      </w:r>
      <w:r>
        <w:rPr>
          <w:rStyle w:val="NormalTok"/>
        </w:rPr>
        <w:t xml:space="preserve">browse_avg</w:t>
      </w:r>
      <w:r>
        <w:rPr>
          <w:rStyle w:val="SpecialCharTok"/>
        </w:rPr>
        <w:t xml:space="preserve">:&gt;7,.0f}</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browse_peak </w:t>
      </w:r>
      <w:r>
        <w:rPr>
          <w:rStyle w:val="OperatorTok"/>
        </w:rPr>
        <w:t xml:space="preserve">/</w:t>
      </w:r>
      <w:r>
        <w:rPr>
          <w:rStyle w:val="NormalTok"/>
        </w:rPr>
        <w:t xml:space="preserve"> browse_avg</w:t>
      </w:r>
      <w:r>
        <w:rPr>
          <w:rStyle w:val="SpecialCharTok"/>
        </w:rPr>
        <w:t xml:space="preserve">:&gt;4.1f}</w:t>
      </w:r>
      <w:r>
        <w:rPr>
          <w:rStyle w:val="SpecialStringTok"/>
        </w:rPr>
        <w:t xml:space="preserve"> </w:t>
      </w:r>
      <w:r>
        <w:rPr>
          <w:rStyle w:val="SpecialCharTok"/>
        </w:rPr>
        <w:t xml:space="preserve">{</w:t>
      </w:r>
      <w:r>
        <w:rPr>
          <w:rStyle w:val="NormalTok"/>
        </w:rPr>
        <w:t xml:space="preserve">orders_peak</w:t>
      </w:r>
      <w:r>
        <w:rPr>
          <w:rStyle w:val="SpecialCharTok"/>
        </w:rPr>
        <w:t xml:space="preserve">:&gt;8.2f}</w:t>
      </w:r>
      <w:r>
        <w:rPr>
          <w:rStyle w:val="SpecialStringTok"/>
        </w:rPr>
        <w:t xml:space="preserve"> </w:t>
      </w:r>
      <w:r>
        <w:rPr>
          <w:rStyle w:val="SpecialCharTok"/>
        </w:rPr>
        <w:t xml:space="preserve">{</w:t>
      </w:r>
      <w:r>
        <w:rPr>
          <w:rStyle w:val="NormalTok"/>
        </w:rPr>
        <w:t xml:space="preserve">loc_writes</w:t>
      </w:r>
      <w:r>
        <w:rPr>
          <w:rStyle w:val="SpecialCharTok"/>
        </w:rPr>
        <w:t xml:space="preserve">:&gt;8,.0f}</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work</w:t>
      </w:r>
      <w:r>
        <w:rPr>
          <w:rStyle w:val="SpecialCharTok"/>
        </w:rPr>
        <w:t xml:space="preserve">:&gt;5}</w:t>
      </w:r>
      <w:r>
        <w:rPr>
          <w:rStyle w:val="SpecialStringTok"/>
        </w:rPr>
        <w:t xml:space="preserve"> </w:t>
      </w:r>
      <w:r>
        <w:rPr>
          <w:rStyle w:val="SpecialCharTok"/>
        </w:rPr>
        <w:t xml:space="preserve">{</w:t>
      </w:r>
      <w:r>
        <w:rPr>
          <w:rStyle w:val="NormalTok"/>
        </w:rPr>
        <w:t xml:space="preserve">total</w:t>
      </w:r>
      <w:r>
        <w:rPr>
          <w:rStyle w:val="SpecialCharTok"/>
        </w:rPr>
        <w:t xml:space="preserve">:&gt;5}</w:t>
      </w:r>
      <w:r>
        <w:rPr>
          <w:rStyle w:val="SpecialStringTok"/>
        </w:rPr>
        <w:t xml:space="preserve"> </w:t>
      </w:r>
      <w:r>
        <w:rPr>
          <w:rStyle w:val="SpecialCharTok"/>
        </w:rPr>
        <w:t xml:space="preserve">{</w:t>
      </w:r>
      <w:r>
        <w:rPr>
          <w:rStyle w:val="NormalTok"/>
        </w:rPr>
        <w:t xml:space="preserve">avg_util</w:t>
      </w:r>
      <w:r>
        <w:rPr>
          <w:rStyle w:val="SpecialCharTok"/>
        </w:rPr>
        <w:t xml:space="preserve">:&gt;8.1%}</w:t>
      </w:r>
      <w:r>
        <w:rPr>
          <w:rStyle w:val="SpecialStringTok"/>
        </w:rPr>
        <w:t xml:space="preserve">"</w:t>
      </w:r>
      <w:r>
        <w:rPr>
          <w:rStyle w:val="NormalTok"/>
        </w:rPr>
        <w:t xml:space="preserve">)</w:t>
      </w:r>
    </w:p>
    <w:p>
      <w:pPr>
        <w:pStyle w:val="FirstParagraph"/>
      </w:pPr>
      <w:r>
        <w:t xml:space="preserve">Output:</w:t>
      </w:r>
    </w:p>
    <w:p>
      <w:pPr>
        <w:pStyle w:val="SourceCode"/>
      </w:pPr>
      <w:r>
        <w:rPr>
          <w:rStyle w:val="VerbatimChar"/>
        </w:rPr>
        <w:t xml:space="preserve">stage                    DAU  browse/s   avg/s  PAR orders/s  loc w/s  work total avg util</w:t>
      </w:r>
      <w:r>
        <w:br/>
      </w:r>
      <w:r>
        <w:rPr>
          <w:rStyle w:val="VerbatimChar"/>
        </w:rPr>
        <w:t xml:space="preserve">S1 pilot               1,000         3       0  9.6     0.03        2     1     2     0.0%</w:t>
      </w:r>
      <w:r>
        <w:br/>
      </w:r>
      <w:r>
        <w:rPr>
          <w:rStyle w:val="VerbatimChar"/>
        </w:rPr>
        <w:t xml:space="preserve">S2 city               20,000        67       7  9.6     0.56       50     1     2     0.3%</w:t>
      </w:r>
      <w:r>
        <w:br/>
      </w:r>
      <w:r>
        <w:rPr>
          <w:rStyle w:val="VerbatimChar"/>
        </w:rPr>
        <w:t xml:space="preserve">S3 region            200,000       667      69  9.6     5.56      500     2     3     2.3%</w:t>
      </w:r>
      <w:r>
        <w:br/>
      </w:r>
      <w:r>
        <w:rPr>
          <w:rStyle w:val="VerbatimChar"/>
        </w:rPr>
        <w:t xml:space="preserve">S4 country         2,000,000     6,667     694  9.6    55.56    5,000    12    18     3.9%</w:t>
      </w:r>
      <w:r>
        <w:br/>
      </w:r>
      <w:r>
        <w:rPr>
          <w:rStyle w:val="VerbatimChar"/>
        </w:rPr>
        <w:t xml:space="preserve">S5 multi-country  10,000,000    33,333   3,472  9.6   277.78   25,000    56    84     4.1%</w:t>
      </w:r>
    </w:p>
    <w:p>
      <w:pPr>
        <w:pStyle w:val="FirstParagraph"/>
      </w:pPr>
      <w:r>
        <w:t xml:space="preserve">What to notice: the API fleet is never the hard part; at every stage the interesting limits are elsewhere (the order database, the location write path, availability). The minimum of two nodes dominates the first three stages, which is why their average utilization rounds to zero.</w:t>
      </w:r>
    </w:p>
    <w:p>
      <w:pPr>
        <w:pStyle w:val="BodyText"/>
      </w:pPr>
      <w:r>
        <w:rPr>
          <w:bCs/>
          <w:b/>
        </w:rPr>
        <w:t xml:space="preserve">Table 18.10 — QuickBite capacity plan by stage.</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Stage</w:t>
            </w:r>
          </w:p>
        </w:tc>
        <w:tc>
          <w:tcPr/>
          <w:p>
            <w:pPr>
              <w:pStyle w:val="Compact"/>
              <w:jc w:val="left"/>
            </w:pPr>
            <w:r>
              <w:t xml:space="preserve">DAU</w:t>
            </w:r>
          </w:p>
        </w:tc>
        <w:tc>
          <w:tcPr/>
          <w:p>
            <w:pPr>
              <w:pStyle w:val="Compact"/>
              <w:jc w:val="left"/>
            </w:pPr>
            <w:r>
              <w:t xml:space="preserve">Peak browse RPS</w:t>
            </w:r>
          </w:p>
        </w:tc>
        <w:tc>
          <w:tcPr/>
          <w:p>
            <w:pPr>
              <w:pStyle w:val="Compact"/>
              <w:jc w:val="left"/>
            </w:pPr>
            <w:r>
              <w:t xml:space="preserve">Peak orders/s</w:t>
            </w:r>
          </w:p>
        </w:tc>
        <w:tc>
          <w:tcPr/>
          <w:p>
            <w:pPr>
              <w:pStyle w:val="Compact"/>
              <w:jc w:val="left"/>
            </w:pPr>
            <w:r>
              <w:t xml:space="preserve">Location writes/s</w:t>
            </w:r>
          </w:p>
        </w:tc>
        <w:tc>
          <w:tcPr/>
          <w:p>
            <w:pPr>
              <w:pStyle w:val="Compact"/>
              <w:jc w:val="left"/>
            </w:pPr>
            <w:r>
              <w:t xml:space="preserve">API nodes</w:t>
            </w:r>
          </w:p>
        </w:tc>
        <w:tc>
          <w:tcPr/>
          <w:p>
            <w:pPr>
              <w:pStyle w:val="Compact"/>
              <w:jc w:val="left"/>
            </w:pPr>
            <w:r>
              <w:t xml:space="preserve">What changes, and why</w:t>
            </w:r>
          </w:p>
        </w:tc>
      </w:tr>
      <w:tr>
        <w:tc>
          <w:tcPr/>
          <w:p>
            <w:pPr>
              <w:pStyle w:val="Compact"/>
              <w:jc w:val="left"/>
            </w:pPr>
            <w:r>
              <w:t xml:space="preserve">S1 pilot</w:t>
            </w:r>
          </w:p>
        </w:tc>
        <w:tc>
          <w:tcPr/>
          <w:p>
            <w:pPr>
              <w:pStyle w:val="Compact"/>
              <w:jc w:val="left"/>
            </w:pPr>
            <w:r>
              <w:t xml:space="preserve">1,000</w:t>
            </w:r>
          </w:p>
        </w:tc>
        <w:tc>
          <w:tcPr/>
          <w:p>
            <w:pPr>
              <w:pStyle w:val="Compact"/>
              <w:jc w:val="left"/>
            </w:pPr>
            <w:r>
              <w:t xml:space="preserve">3</w:t>
            </w:r>
          </w:p>
        </w:tc>
        <w:tc>
          <w:tcPr/>
          <w:p>
            <w:pPr>
              <w:pStyle w:val="Compact"/>
              <w:jc w:val="left"/>
            </w:pPr>
            <w:r>
              <w:t xml:space="preserve">0.03</w:t>
            </w:r>
          </w:p>
        </w:tc>
        <w:tc>
          <w:tcPr/>
          <w:p>
            <w:pPr>
              <w:pStyle w:val="Compact"/>
              <w:jc w:val="left"/>
            </w:pPr>
            <w:r>
              <w:t xml:space="preserve">2.5</w:t>
            </w:r>
          </w:p>
        </w:tc>
        <w:tc>
          <w:tcPr/>
          <w:p>
            <w:pPr>
              <w:pStyle w:val="Compact"/>
              <w:jc w:val="left"/>
            </w:pPr>
            <w:r>
              <w:t xml:space="preserve">2</w:t>
            </w:r>
          </w:p>
        </w:tc>
        <w:tc>
          <w:tcPr/>
          <w:p>
            <w:pPr>
              <w:pStyle w:val="Compact"/>
              <w:jc w:val="left"/>
            </w:pPr>
            <w:r>
              <w:t xml:space="preserve">Monolith; managed DB; second node only for availability</w:t>
            </w:r>
          </w:p>
        </w:tc>
      </w:tr>
      <w:tr>
        <w:tc>
          <w:tcPr/>
          <w:p>
            <w:pPr>
              <w:pStyle w:val="Compact"/>
              <w:jc w:val="left"/>
            </w:pPr>
            <w:r>
              <w:t xml:space="preserve">S2 city</w:t>
            </w:r>
          </w:p>
        </w:tc>
        <w:tc>
          <w:tcPr/>
          <w:p>
            <w:pPr>
              <w:pStyle w:val="Compact"/>
              <w:jc w:val="left"/>
            </w:pPr>
            <w:r>
              <w:t xml:space="preserve">20,000</w:t>
            </w:r>
          </w:p>
        </w:tc>
        <w:tc>
          <w:tcPr/>
          <w:p>
            <w:pPr>
              <w:pStyle w:val="Compact"/>
              <w:jc w:val="left"/>
            </w:pPr>
            <w:r>
              <w:t xml:space="preserve">67</w:t>
            </w:r>
          </w:p>
        </w:tc>
        <w:tc>
          <w:tcPr/>
          <w:p>
            <w:pPr>
              <w:pStyle w:val="Compact"/>
              <w:jc w:val="left"/>
            </w:pPr>
            <w:r>
              <w:t xml:space="preserve">0.6</w:t>
            </w:r>
          </w:p>
        </w:tc>
        <w:tc>
          <w:tcPr/>
          <w:p>
            <w:pPr>
              <w:pStyle w:val="Compact"/>
              <w:jc w:val="left"/>
            </w:pPr>
            <w:r>
              <w:t xml:space="preserve">50</w:t>
            </w:r>
          </w:p>
        </w:tc>
        <w:tc>
          <w:tcPr/>
          <w:p>
            <w:pPr>
              <w:pStyle w:val="Compact"/>
              <w:jc w:val="left"/>
            </w:pPr>
            <w:r>
              <w:t xml:space="preserve">2</w:t>
            </w:r>
          </w:p>
        </w:tc>
        <w:tc>
          <w:tcPr/>
          <w:p>
            <w:pPr>
              <w:pStyle w:val="Compact"/>
              <w:jc w:val="left"/>
            </w:pPr>
            <w:r>
              <w:t xml:space="preserve">Standby DB, CDN for images, job queue</w:t>
            </w:r>
          </w:p>
        </w:tc>
      </w:tr>
      <w:tr>
        <w:tc>
          <w:tcPr/>
          <w:p>
            <w:pPr>
              <w:pStyle w:val="Compact"/>
              <w:jc w:val="left"/>
            </w:pPr>
            <w:r>
              <w:t xml:space="preserve">S3 region</w:t>
            </w:r>
          </w:p>
        </w:tc>
        <w:tc>
          <w:tcPr/>
          <w:p>
            <w:pPr>
              <w:pStyle w:val="Compact"/>
              <w:jc w:val="left"/>
            </w:pPr>
            <w:r>
              <w:t xml:space="preserve">200,000</w:t>
            </w:r>
          </w:p>
        </w:tc>
        <w:tc>
          <w:tcPr/>
          <w:p>
            <w:pPr>
              <w:pStyle w:val="Compact"/>
              <w:jc w:val="left"/>
            </w:pPr>
            <w:r>
              <w:t xml:space="preserve">667</w:t>
            </w:r>
          </w:p>
        </w:tc>
        <w:tc>
          <w:tcPr/>
          <w:p>
            <w:pPr>
              <w:pStyle w:val="Compact"/>
              <w:jc w:val="left"/>
            </w:pPr>
            <w:r>
              <w:t xml:space="preserve">5.6</w:t>
            </w:r>
          </w:p>
        </w:tc>
        <w:tc>
          <w:tcPr/>
          <w:p>
            <w:pPr>
              <w:pStyle w:val="Compact"/>
              <w:jc w:val="left"/>
            </w:pPr>
            <w:r>
              <w:t xml:space="preserve">500</w:t>
            </w:r>
          </w:p>
        </w:tc>
        <w:tc>
          <w:tcPr/>
          <w:p>
            <w:pPr>
              <w:pStyle w:val="Compact"/>
              <w:jc w:val="left"/>
            </w:pPr>
            <w:r>
              <w:t xml:space="preserve">3 (autoscaled)</w:t>
            </w:r>
          </w:p>
        </w:tc>
        <w:tc>
          <w:tcPr/>
          <w:p>
            <w:pPr>
              <w:pStyle w:val="Compact"/>
              <w:jc w:val="left"/>
            </w:pPr>
            <w:r>
              <w:t xml:space="preserve">Cache, pooler, location moves to an in-memory store</w:t>
            </w:r>
          </w:p>
        </w:tc>
      </w:tr>
      <w:tr>
        <w:tc>
          <w:tcPr/>
          <w:p>
            <w:pPr>
              <w:pStyle w:val="Compact"/>
              <w:jc w:val="left"/>
            </w:pPr>
            <w:r>
              <w:t xml:space="preserve">S4 country</w:t>
            </w:r>
          </w:p>
        </w:tc>
        <w:tc>
          <w:tcPr/>
          <w:p>
            <w:pPr>
              <w:pStyle w:val="Compact"/>
              <w:jc w:val="left"/>
            </w:pPr>
            <w:r>
              <w:t xml:space="preserve">2,000,000</w:t>
            </w:r>
          </w:p>
        </w:tc>
        <w:tc>
          <w:tcPr/>
          <w:p>
            <w:pPr>
              <w:pStyle w:val="Compact"/>
              <w:jc w:val="left"/>
            </w:pPr>
            <w:r>
              <w:t xml:space="preserve">6,667</w:t>
            </w:r>
          </w:p>
        </w:tc>
        <w:tc>
          <w:tcPr/>
          <w:p>
            <w:pPr>
              <w:pStyle w:val="Compact"/>
              <w:jc w:val="left"/>
            </w:pPr>
            <w:r>
              <w:t xml:space="preserve">56</w:t>
            </w:r>
          </w:p>
        </w:tc>
        <w:tc>
          <w:tcPr/>
          <w:p>
            <w:pPr>
              <w:pStyle w:val="Compact"/>
              <w:jc w:val="left"/>
            </w:pPr>
            <w:r>
              <w:t xml:space="preserve">5,000</w:t>
            </w:r>
          </w:p>
        </w:tc>
        <w:tc>
          <w:tcPr/>
          <w:p>
            <w:pPr>
              <w:pStyle w:val="Compact"/>
              <w:jc w:val="left"/>
            </w:pPr>
            <w:r>
              <w:t xml:space="preserve">18 (autoscaled)</w:t>
            </w:r>
          </w:p>
        </w:tc>
        <w:tc>
          <w:tcPr/>
          <w:p>
            <w:pPr>
              <w:pStyle w:val="Compact"/>
              <w:jc w:val="left"/>
            </w:pPr>
            <w:r>
              <w:t xml:space="preserve">Y-axis location service, event log, read replicas</w:t>
            </w:r>
          </w:p>
        </w:tc>
      </w:tr>
      <w:tr>
        <w:tc>
          <w:tcPr/>
          <w:p>
            <w:pPr>
              <w:pStyle w:val="Compact"/>
              <w:jc w:val="left"/>
            </w:pPr>
            <w:r>
              <w:t xml:space="preserve">S5 multi-country</w:t>
            </w:r>
          </w:p>
        </w:tc>
        <w:tc>
          <w:tcPr/>
          <w:p>
            <w:pPr>
              <w:pStyle w:val="Compact"/>
              <w:jc w:val="left"/>
            </w:pPr>
            <w:r>
              <w:t xml:space="preserve">10,000,000</w:t>
            </w:r>
          </w:p>
        </w:tc>
        <w:tc>
          <w:tcPr/>
          <w:p>
            <w:pPr>
              <w:pStyle w:val="Compact"/>
              <w:jc w:val="left"/>
            </w:pPr>
            <w:r>
              <w:t xml:space="preserve">33,333</w:t>
            </w:r>
          </w:p>
        </w:tc>
        <w:tc>
          <w:tcPr/>
          <w:p>
            <w:pPr>
              <w:pStyle w:val="Compact"/>
              <w:jc w:val="left"/>
            </w:pPr>
            <w:r>
              <w:t xml:space="preserve">278</w:t>
            </w:r>
          </w:p>
        </w:tc>
        <w:tc>
          <w:tcPr/>
          <w:p>
            <w:pPr>
              <w:pStyle w:val="Compact"/>
              <w:jc w:val="left"/>
            </w:pPr>
            <w:r>
              <w:t xml:space="preserve">25,000</w:t>
            </w:r>
          </w:p>
        </w:tc>
        <w:tc>
          <w:tcPr/>
          <w:p>
            <w:pPr>
              <w:pStyle w:val="Compact"/>
              <w:jc w:val="left"/>
            </w:pPr>
            <w:r>
              <w:t xml:space="preserve">84 in 4 cells</w:t>
            </w:r>
          </w:p>
        </w:tc>
        <w:tc>
          <w:tcPr/>
          <w:p>
            <w:pPr>
              <w:pStyle w:val="Compact"/>
              <w:jc w:val="left"/>
            </w:pPr>
            <w:r>
              <w:t xml:space="preserve">Z-axis regional cells; orders partitioned by region</w:t>
            </w:r>
          </w:p>
        </w:tc>
      </w:tr>
    </w:tbl>
    <w:p>
      <w:pPr>
        <w:pStyle w:val="BodyText"/>
      </w:pPr>
      <w:r>
        <w:rPr>
          <w:bCs/>
          <w:b/>
        </w:rPr>
        <w:t xml:space="preserve">Figure 18.9 — Stage S1: 1,000 DAU.</w:t>
      </w:r>
    </w:p>
    <w:p>
      <w:pPr>
        <w:pStyle w:val="BodyText"/>
      </w:pPr>
      <w:r>
        <w:drawing>
          <wp:inline>
            <wp:extent cx="5334000" cy="2036163"/>
            <wp:effectExtent b="0" l="0" r="0" t="0"/>
            <wp:docPr descr="" title="" id="2120" name="Picture"/>
            <a:graphic>
              <a:graphicData uri="http://schemas.openxmlformats.org/drawingml/2006/picture">
                <pic:pic>
                  <pic:nvPicPr>
                    <pic:cNvPr descr="/home/user/System-Design/build/.cache/diagrams/09c3c96b63f6.png" id="2121" name="Picture"/>
                    <pic:cNvPicPr>
                      <a:picLocks noChangeArrowheads="1" noChangeAspect="1"/>
                    </pic:cNvPicPr>
                  </pic:nvPicPr>
                  <pic:blipFill>
                    <a:blip r:embed="rId2119"/>
                    <a:stretch>
                      <a:fillRect/>
                    </a:stretch>
                  </pic:blipFill>
                  <pic:spPr bwMode="auto">
                    <a:xfrm>
                      <a:off x="0" y="0"/>
                      <a:ext cx="5334000" cy="2036163"/>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three apps call a managed load balancer over HTTPS, which forwards synchronous HTTP to two copies of the modular monolith (§2.8) in different zones. Sessions live in the database from day one, so the nodes are stateless. One managed PostgreSQL instance with backups is the only database; images go to object storage; the payment provider is external. Failure point: the single database instance, acceptable for a pilot. Peak load (3 RPS) would fit on a laptop; the second node exists for deploys and failures, not capacity.</w:t>
      </w:r>
    </w:p>
    <w:p>
      <w:pPr>
        <w:pStyle w:val="BodyText"/>
      </w:pPr>
      <w:r>
        <w:rPr>
          <w:bCs/>
          <w:b/>
        </w:rPr>
        <w:t xml:space="preserve">Figure 18.10 — Stage S2: 20,000 DAU (one city).</w:t>
      </w:r>
    </w:p>
    <w:p>
      <w:pPr>
        <w:pStyle w:val="BodyText"/>
      </w:pPr>
      <w:r>
        <w:drawing>
          <wp:inline>
            <wp:extent cx="5334000" cy="1565207"/>
            <wp:effectExtent b="0" l="0" r="0" t="0"/>
            <wp:docPr descr="" title="" id="2123" name="Picture"/>
            <a:graphic>
              <a:graphicData uri="http://schemas.openxmlformats.org/drawingml/2006/picture">
                <pic:pic>
                  <pic:nvPicPr>
                    <pic:cNvPr descr="/home/user/System-Design/build/.cache/diagrams/a456f9d9e256.png" id="2124" name="Picture"/>
                    <pic:cNvPicPr>
                      <a:picLocks noChangeArrowheads="1" noChangeAspect="1"/>
                    </pic:cNvPicPr>
                  </pic:nvPicPr>
                  <pic:blipFill>
                    <a:blip r:embed="rId2122"/>
                    <a:stretch>
                      <a:fillRect/>
                    </a:stretch>
                  </pic:blipFill>
                  <pic:spPr bwMode="auto">
                    <a:xfrm>
                      <a:off x="0" y="0"/>
                      <a:ext cx="5334000" cy="1565207"/>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Paying customers arrive, so availability matters more than capacity. A CDN serves menu images. The database gains a standby in a second zone, fed by replication (dotted), with automatic failover (§14.4). Notifications and payouts move asynchronously to a job queue and worker, so a slow third party cannot hold an API request. Storage boundaries: object storage, primary and standby, the queue. The API tier is still two nodes at 67 RPS.</w:t>
      </w:r>
    </w:p>
    <w:p>
      <w:pPr>
        <w:pStyle w:val="BodyText"/>
      </w:pPr>
      <w:r>
        <w:rPr>
          <w:bCs/>
          <w:b/>
        </w:rPr>
        <w:t xml:space="preserve">Figure 18.11 — Stage S3: 200,000 DAU (one region).</w:t>
      </w:r>
    </w:p>
    <w:p>
      <w:pPr>
        <w:pStyle w:val="BodyText"/>
      </w:pPr>
      <w:r>
        <w:drawing>
          <wp:inline>
            <wp:extent cx="5334000" cy="1355651"/>
            <wp:effectExtent b="0" l="0" r="0" t="0"/>
            <wp:docPr descr="" title="" id="2126" name="Picture"/>
            <a:graphic>
              <a:graphicData uri="http://schemas.openxmlformats.org/drawingml/2006/picture">
                <pic:pic>
                  <pic:nvPicPr>
                    <pic:cNvPr descr="/home/user/System-Design/build/.cache/diagrams/83b0405cbb8c.png" id="2127" name="Picture"/>
                    <pic:cNvPicPr>
                      <a:picLocks noChangeArrowheads="1" noChangeAspect="1"/>
                    </pic:cNvPicPr>
                  </pic:nvPicPr>
                  <pic:blipFill>
                    <a:blip r:embed="rId2125"/>
                    <a:stretch>
                      <a:fillRect/>
                    </a:stretch>
                  </pic:blipFill>
                  <pic:spPr bwMode="auto">
                    <a:xfrm>
                      <a:off x="0" y="0"/>
                      <a:ext cx="5334000" cy="1355651"/>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Menu queries are now the database’s largest cost, so a replicated in-memory store caches menus with a TTL and holds sessions (Chapter 20). Courier locations, 500 writes/s of short-lived data, move there too. The API runs as autoscaled pods across three zones behind a transaction-mode pooler, which fixes the connection budget before autoscaling can break it (§18.8.5). A read replica serves reports. Failure point: the in-memory store is on the critical path for sessions, so it is replicated across zones.</w:t>
      </w:r>
    </w:p>
    <w:p>
      <w:pPr>
        <w:pStyle w:val="BodyText"/>
      </w:pPr>
      <w:r>
        <w:rPr>
          <w:bCs/>
          <w:b/>
        </w:rPr>
        <w:t xml:space="preserve">Figure 18.12 — Stage S4: 2,000,000 DAU (one country).</w:t>
      </w:r>
    </w:p>
    <w:p>
      <w:pPr>
        <w:pStyle w:val="BodyText"/>
      </w:pPr>
      <w:r>
        <w:drawing>
          <wp:inline>
            <wp:extent cx="5334000" cy="1206854"/>
            <wp:effectExtent b="0" l="0" r="0" t="0"/>
            <wp:docPr descr="" title="" id="2129" name="Picture"/>
            <a:graphic>
              <a:graphicData uri="http://schemas.openxmlformats.org/drawingml/2006/picture">
                <pic:pic>
                  <pic:nvPicPr>
                    <pic:cNvPr descr="/home/user/System-Design/build/.cache/diagrams/d8e1c4560e7f.png" id="2130" name="Picture"/>
                    <pic:cNvPicPr>
                      <a:picLocks noChangeArrowheads="1" noChangeAspect="1"/>
                    </pic:cNvPicPr>
                  </pic:nvPicPr>
                  <pic:blipFill>
                    <a:blip r:embed="rId2128"/>
                    <a:stretch>
                      <a:fillRect/>
                    </a:stretch>
                  </pic:blipFill>
                  <pic:spPr bwMode="auto">
                    <a:xfrm>
                      <a:off x="0" y="0"/>
                      <a:ext cx="5334000" cy="1206854"/>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This is Chapter 2’s container view (Figure 2.7) sized by this chapter’s arithmetic. The location path (5,000 writes/s) is a separate service with a store partitioned by city: a Y-axis split that also serves the 2,500 tracking reads/s. The core service runs 18 zone-safe pods (§18.11.2) and publishes order events asynchronously to a durable log that the location service consumes. The orders primary runs at about 11% of its WAL limit (56 of 500 orders/s), so it is not partitioned yet, but §18.11.4 has started the clock.</w:t>
      </w:r>
    </w:p>
    <w:p>
      <w:pPr>
        <w:pStyle w:val="BodyText"/>
      </w:pPr>
      <w:r>
        <w:rPr>
          <w:bCs/>
          <w:b/>
        </w:rPr>
        <w:t xml:space="preserve">Figure 18.13 — Stage S5: 10,000,000 DAU (several countries).</w:t>
      </w:r>
    </w:p>
    <w:p>
      <w:pPr>
        <w:pStyle w:val="BodyText"/>
      </w:pPr>
      <w:r>
        <w:drawing>
          <wp:inline>
            <wp:extent cx="5334000" cy="3299150"/>
            <wp:effectExtent b="0" l="0" r="0" t="0"/>
            <wp:docPr descr="" title="" id="2132" name="Picture"/>
            <a:graphic>
              <a:graphicData uri="http://schemas.openxmlformats.org/drawingml/2006/picture">
                <pic:pic>
                  <pic:nvPicPr>
                    <pic:cNvPr descr="/home/user/System-Design/build/.cache/diagrams/77a468004818.png" id="2133" name="Picture"/>
                    <pic:cNvPicPr>
                      <a:picLocks noChangeArrowheads="1" noChangeAspect="1"/>
                    </pic:cNvPicPr>
                  </pic:nvPicPr>
                  <pic:blipFill>
                    <a:blip r:embed="rId2131"/>
                    <a:stretch>
                      <a:fillRect/>
                    </a:stretch>
                  </pic:blipFill>
                  <pic:spPr bwMode="auto">
                    <a:xfrm>
                      <a:off x="0" y="0"/>
                      <a:ext cx="5334000" cy="3299150"/>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Order writes would reach 278/s, 93% of one primary’s usable 300/s, and expansion brings data-residency rules, so the system splits on the Z axis into four regional</w:t>
      </w:r>
      <w:r>
        <w:t xml:space="preserve"> </w:t>
      </w:r>
      <w:r>
        <w:rPr>
          <w:bCs/>
          <w:b/>
        </w:rPr>
        <w:t xml:space="preserve">cells</w:t>
      </w:r>
      <w:r>
        <w:t xml:space="preserve">, each a complete S4 stack with its own orders database serving one region. Assuming four equal cells, each peaks at 8,333 browse RPS:</w:t>
      </w:r>
      <w:r>
        <w:t xml:space="preserve"> </w:t>
      </w:r>
      <m:oMath>
        <m:r>
          <m:rPr>
            <m:sty m:val="p"/>
          </m:rPr>
          <m:t>⌈</m:t>
        </m:r>
        <m:r>
          <m:t>8</m:t>
        </m:r>
        <m:r>
          <m:rPr>
            <m:sty m:val="p"/>
          </m:rPr>
          <m:t>,</m:t>
        </m:r>
        <m:r>
          <m:t>333</m:t>
        </m:r>
        <m:r>
          <m:rPr>
            <m:sty m:val="p"/>
          </m:rPr>
          <m:t>/</m:t>
        </m:r>
        <m:r>
          <m:t>600</m:t>
        </m:r>
        <m:r>
          <m:rPr>
            <m:sty m:val="p"/>
          </m:rPr>
          <m:t>⌉</m:t>
        </m:r>
        <m:r>
          <m:rPr>
            <m:sty m:val="p"/>
          </m:rPr>
          <m:t>=</m:t>
        </m:r>
        <m:r>
          <m:t>14</m:t>
        </m:r>
      </m:oMath>
      <w:r>
        <w:t xml:space="preserve"> </w:t>
      </w:r>
      <w:r>
        <w:t xml:space="preserve">working pods, 21 zone-safe, 84 in total. Global DNS routes users to their cell; a small global account directory maps accounts to cells; events flow asynchronously to a global analytics warehouse. Failure is contained to one cell. Cross-cell operations, such as a traveler ordering abroad, become explicit exceptions (Chapter 44, §33.12).</w:t>
      </w:r>
    </w:p>
    <w:bookmarkStart w:id="2134" w:name="failure-scenarios-and-misconceptions-4"/>
    <w:p>
      <w:pPr>
        <w:pStyle w:val="Heading4"/>
      </w:pPr>
      <w:r>
        <w:t xml:space="preserve">Failure scenarios and misconceptions</w:t>
      </w:r>
    </w:p>
    <w:p>
      <w:pPr>
        <w:pStyle w:val="FirstParagraph"/>
      </w:pPr>
      <w:r>
        <w:rPr>
          <w:bCs/>
          <w:b/>
        </w:rPr>
        <w:t xml:space="preserve">Table 18.11 — Capacity planning 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Outage at a known peak</w:t>
            </w:r>
          </w:p>
        </w:tc>
        <w:tc>
          <w:tcPr/>
          <w:p>
            <w:pPr>
              <w:pStyle w:val="Compact"/>
              <w:jc w:val="left"/>
            </w:pPr>
            <w:r>
              <w:t xml:space="preserve">Planned for average load</w:t>
            </w:r>
          </w:p>
        </w:tc>
        <w:tc>
          <w:tcPr/>
          <w:p>
            <w:pPr>
              <w:pStyle w:val="Compact"/>
              <w:jc w:val="left"/>
            </w:pPr>
            <w:r>
              <w:t xml:space="preserve">Saturation at the same hour daily</w:t>
            </w:r>
          </w:p>
        </w:tc>
        <w:tc>
          <w:tcPr/>
          <w:p>
            <w:pPr>
              <w:pStyle w:val="Compact"/>
              <w:jc w:val="left"/>
            </w:pPr>
            <w:r>
              <w:t xml:space="preserve">Emergency scale-up; shed load</w:t>
            </w:r>
          </w:p>
        </w:tc>
        <w:tc>
          <w:tcPr/>
          <w:p>
            <w:pPr>
              <w:pStyle w:val="Compact"/>
              <w:jc w:val="left"/>
            </w:pPr>
            <w:r>
              <w:t xml:space="preserve">Plan with PAR and burst factors</w:t>
            </w:r>
          </w:p>
        </w:tc>
      </w:tr>
      <w:tr>
        <w:tc>
          <w:tcPr/>
          <w:p>
            <w:pPr>
              <w:pStyle w:val="Compact"/>
              <w:jc w:val="left"/>
            </w:pPr>
            <w:r>
              <w:t xml:space="preserve">Zone loss overloads survivors</w:t>
            </w:r>
          </w:p>
        </w:tc>
        <w:tc>
          <w:tcPr/>
          <w:p>
            <w:pPr>
              <w:pStyle w:val="Compact"/>
              <w:jc w:val="left"/>
            </w:pPr>
            <w:r>
              <w:t xml:space="preserve">Sized N+k, not zone-safe</w:t>
            </w:r>
          </w:p>
        </w:tc>
        <w:tc>
          <w:tcPr/>
          <w:p>
            <w:pPr>
              <w:pStyle w:val="Compact"/>
              <w:jc w:val="left"/>
            </w:pPr>
            <w:r>
              <w:t xml:space="preserve">Utilization jump on zone failure</w:t>
            </w:r>
          </w:p>
        </w:tc>
        <w:tc>
          <w:tcPr/>
          <w:p>
            <w:pPr>
              <w:pStyle w:val="Compact"/>
              <w:jc w:val="left"/>
            </w:pPr>
            <w:r>
              <w:t xml:space="preserve">Shed non-critical traffic</w:t>
            </w:r>
          </w:p>
        </w:tc>
        <w:tc>
          <w:tcPr/>
          <w:p>
            <w:pPr>
              <w:pStyle w:val="Compact"/>
              <w:jc w:val="left"/>
            </w:pPr>
            <w:r>
              <w:t xml:space="preserve">Static stability,</w:t>
            </w:r>
            <w:r>
              <w:t xml:space="preserve"> </w:t>
            </w:r>
            <m:oMath>
              <m:r>
                <m:t>Z</m:t>
              </m:r>
              <m:r>
                <m:rPr>
                  <m:sty m:val="p"/>
                </m:rPr>
                <m:t>/</m:t>
              </m:r>
              <m:d>
                <m:dPr>
                  <m:begChr m:val="("/>
                  <m:endChr m:val=")"/>
                  <m:sepChr m:val=""/>
                  <m:grow/>
                </m:dPr>
                <m:e>
                  <m:r>
                    <m:t>Z</m:t>
                  </m:r>
                  <m:r>
                    <m:rPr>
                      <m:sty m:val="p"/>
                    </m:rPr>
                    <m:t>−</m:t>
                  </m:r>
                  <m:r>
                    <m:t>f</m:t>
                  </m:r>
                </m:e>
              </m:d>
            </m:oMath>
          </w:p>
        </w:tc>
      </w:tr>
      <w:tr>
        <w:tc>
          <w:tcPr/>
          <w:p>
            <w:pPr>
              <w:pStyle w:val="Compact"/>
              <w:jc w:val="left"/>
            </w:pPr>
            <w:r>
              <w:t xml:space="preserve">Capacity arrives too late</w:t>
            </w:r>
          </w:p>
        </w:tc>
        <w:tc>
          <w:tcPr/>
          <w:p>
            <w:pPr>
              <w:pStyle w:val="Compact"/>
              <w:jc w:val="left"/>
            </w:pPr>
            <w:r>
              <w:t xml:space="preserve">Lead time ignored</w:t>
            </w:r>
          </w:p>
        </w:tc>
        <w:tc>
          <w:tcPr/>
          <w:p>
            <w:pPr>
              <w:pStyle w:val="Compact"/>
              <w:jc w:val="left"/>
            </w:pPr>
            <w:r>
              <w:t xml:space="preserve">Forecast crosses usable capacity before the fix is ready</w:t>
            </w:r>
          </w:p>
        </w:tc>
        <w:tc>
          <w:tcPr/>
          <w:p>
            <w:pPr>
              <w:pStyle w:val="Compact"/>
              <w:jc w:val="left"/>
            </w:pPr>
            <w:r>
              <w:t xml:space="preserve">Vertical stopgap</w:t>
            </w:r>
          </w:p>
        </w:tc>
        <w:tc>
          <w:tcPr/>
          <w:p>
            <w:pPr>
              <w:pStyle w:val="Compact"/>
              <w:jc w:val="left"/>
            </w:pPr>
            <m:oMath>
              <m:sSub>
                <m:e>
                  <m:r>
                    <m:t>t</m:t>
                  </m:r>
                </m:e>
                <m:sub>
                  <m:r>
                    <m:t>s</m:t>
                  </m:r>
                  <m:r>
                    <m:t>t</m:t>
                  </m:r>
                  <m:r>
                    <m:t>a</m:t>
                  </m:r>
                  <m:r>
                    <m:t>r</m:t>
                  </m:r>
                  <m:r>
                    <m:t>t</m:t>
                  </m:r>
                </m:sub>
              </m:sSub>
            </m:oMath>
            <w:r>
              <w:t xml:space="preserve"> </w:t>
            </w:r>
            <w:r>
              <w:t xml:space="preserve">tripwires</w:t>
            </w:r>
          </w:p>
        </w:tc>
      </w:tr>
      <w:tr>
        <w:tc>
          <w:tcPr/>
          <w:p>
            <w:pPr>
              <w:pStyle w:val="Compact"/>
              <w:jc w:val="left"/>
            </w:pPr>
            <w:r>
              <w:t xml:space="preserve">Wrong per-node capacity</w:t>
            </w:r>
          </w:p>
        </w:tc>
        <w:tc>
          <w:tcPr/>
          <w:p>
            <w:pPr>
              <w:pStyle w:val="Compact"/>
              <w:jc w:val="left"/>
            </w:pPr>
            <m:oMath>
              <m:r>
                <m:t>c</m:t>
              </m:r>
            </m:oMath>
            <w:r>
              <w:t xml:space="preserve"> </w:t>
            </w:r>
            <w:r>
              <w:t xml:space="preserve">measured at saturation, or with an unrealistic request mix</w:t>
            </w:r>
          </w:p>
        </w:tc>
        <w:tc>
          <w:tcPr/>
          <w:p>
            <w:pPr>
              <w:pStyle w:val="Compact"/>
              <w:jc w:val="left"/>
            </w:pPr>
            <w:r>
              <w:t xml:space="preserve">p99 breach below planned load</w:t>
            </w:r>
          </w:p>
        </w:tc>
        <w:tc>
          <w:tcPr/>
          <w:p>
            <w:pPr>
              <w:pStyle w:val="Compact"/>
              <w:jc w:val="left"/>
            </w:pPr>
            <w:r>
              <w:t xml:space="preserve">Re-measure</w:t>
            </w:r>
          </w:p>
        </w:tc>
        <w:tc>
          <w:tcPr/>
          <w:p>
            <w:pPr>
              <w:pStyle w:val="Compact"/>
              <w:jc w:val="left"/>
            </w:pPr>
            <w:r>
              <w:t xml:space="preserve">Load test at the latency objective</w:t>
            </w:r>
          </w:p>
        </w:tc>
      </w:tr>
      <w:tr>
        <w:tc>
          <w:tcPr/>
          <w:p>
            <w:pPr>
              <w:pStyle w:val="Compact"/>
              <w:jc w:val="left"/>
            </w:pPr>
            <w:r>
              <w:t xml:space="preserve">Launch traffic unplanned</w:t>
            </w:r>
          </w:p>
        </w:tc>
        <w:tc>
          <w:tcPr/>
          <w:p>
            <w:pPr>
              <w:pStyle w:val="Compact"/>
              <w:jc w:val="left"/>
            </w:pPr>
            <w:r>
              <w:t xml:space="preserve">Inorganic demand missed</w:t>
            </w:r>
          </w:p>
        </w:tc>
        <w:tc>
          <w:tcPr/>
          <w:p>
            <w:pPr>
              <w:pStyle w:val="Compact"/>
              <w:jc w:val="left"/>
            </w:pPr>
            <w:r>
              <w:t xml:space="preserve">Marketing calendar surprises</w:t>
            </w:r>
          </w:p>
        </w:tc>
        <w:tc>
          <w:tcPr/>
          <w:p>
            <w:pPr>
              <w:pStyle w:val="Compact"/>
              <w:jc w:val="left"/>
            </w:pPr>
            <w:r>
              <w:t xml:space="preserve">Pre-scale; queue sign-ups</w:t>
            </w:r>
          </w:p>
        </w:tc>
        <w:tc>
          <w:tcPr/>
          <w:p>
            <w:pPr>
              <w:pStyle w:val="Compact"/>
              <w:jc w:val="left"/>
            </w:pPr>
            <w:r>
              <w:t xml:space="preserve">Include launches in forecasts</w:t>
            </w:r>
          </w:p>
        </w:tc>
      </w:tr>
    </w:tbl>
    <w:p>
      <w:pPr>
        <w:pStyle w:val="CalloutMistake"/>
      </w:pPr>
      <w:r>
        <w:rPr>
          <w:bCs/>
          <w:b/>
        </w:rPr>
        <w:t xml:space="preserve">COMMON MISTAKE</w:t>
      </w:r>
    </w:p>
    <w:p>
      <w:pPr>
        <w:pStyle w:val="CalloutMistake"/>
      </w:pPr>
      <w:r>
        <w:rPr>
          <w:bCs/>
          <w:b/>
        </w:rPr>
        <w:t xml:space="preserve">“</w:t>
      </w:r>
      <w:r>
        <w:rPr>
          <w:bCs/>
          <w:b/>
        </w:rPr>
        <w:t xml:space="preserve">Plan for average load and let the autoscaler handle peaks.</w:t>
      </w:r>
      <w:r>
        <w:rPr>
          <w:bCs/>
          <w:b/>
        </w:rPr>
        <w:t xml:space="preserve">”</w:t>
      </w:r>
      <w:r>
        <w:t xml:space="preserve"> </w:t>
      </w:r>
      <w:r>
        <w:t xml:space="preserve">QuickBite’s PAR is 9.6. An autoscaler with a two-minute reaction time cannot add 9× capacity in time for a dinner rush that ramps in minutes, and it is bounded by</w:t>
      </w:r>
      <w:r>
        <w:t xml:space="preserve"> </w:t>
      </w:r>
      <w:r>
        <w:rPr>
          <w:rStyle w:val="VerbatimChar"/>
        </w:rPr>
        <w:t xml:space="preserve">maxReplicas</w:t>
      </w:r>
      <w:r>
        <w:t xml:space="preserve">, quotas and database connections that only a plan provides. Use scheduled scaling for known peaks and the autoscaler for the surprises.</w:t>
      </w:r>
    </w:p>
    <w:p>
      <w:pPr>
        <w:pStyle w:val="CalloutMistake"/>
      </w:pPr>
      <w:r>
        <w:rPr>
          <w:bCs/>
          <w:b/>
        </w:rPr>
        <w:t xml:space="preserve">COMMON MISTAKE</w:t>
      </w:r>
    </w:p>
    <w:p>
      <w:pPr>
        <w:pStyle w:val="CalloutMistake"/>
      </w:pPr>
      <w:r>
        <w:rPr>
          <w:bCs/>
          <w:b/>
        </w:rPr>
        <w:t xml:space="preserve">“</w:t>
      </w:r>
      <w:r>
        <w:rPr>
          <w:bCs/>
          <w:b/>
        </w:rPr>
        <w:t xml:space="preserve">Headroom is waste.</w:t>
      </w:r>
      <w:r>
        <w:rPr>
          <w:bCs/>
          <w:b/>
        </w:rPr>
        <w:t xml:space="preserve">”</w:t>
      </w:r>
      <w:r>
        <w:t xml:space="preserve"> </w:t>
      </w:r>
      <w:r>
        <w:t xml:space="preserve">Queueing headroom keeps latency within objective (§4.10), failure headroom keeps the service up when a zone fails, and growth headroom covers lead time. Waste is headroom nobody can justify; write the reason for each factor into the plan.</w:t>
      </w:r>
    </w:p>
    <w:bookmarkEnd w:id="2134"/>
    <w:bookmarkEnd w:id="2135"/>
    <w:bookmarkEnd w:id="2136"/>
    <w:bookmarkStart w:id="2137" w:name="summary-and-revision-notes-17"/>
    <w:p>
      <w:pPr>
        <w:pStyle w:val="Heading2"/>
      </w:pPr>
      <w:r>
        <w:t xml:space="preserve">18.12 Summary and revision notes</w:t>
      </w:r>
    </w:p>
    <w:p>
      <w:pPr>
        <w:pStyle w:val="CalloutSummary"/>
      </w:pPr>
      <w:r>
        <w:rPr>
          <w:bCs/>
          <w:b/>
        </w:rPr>
        <w:t xml:space="preserve">SUMMARY</w:t>
      </w:r>
    </w:p>
    <w:p>
      <w:pPr>
        <w:numPr>
          <w:ilvl w:val="0"/>
          <w:numId w:val="1614"/>
        </w:numPr>
        <w:pStyle w:val="Compact"/>
      </w:pPr>
      <w:r>
        <w:rPr>
          <w:bCs/>
          <w:b/>
        </w:rPr>
        <w:t xml:space="preserve">Vertical scaling</w:t>
      </w:r>
      <w:r>
        <w:t xml:space="preserve"> </w:t>
      </w:r>
      <w:r>
        <w:t xml:space="preserve">is the cheapest move in effort and keeps state coherent, but it hits a hardware ceiling, keeps one failure domain, and gets expensive past the knee: with linear pricing, cost per unit of throughput is</w:t>
      </w:r>
      <w:r>
        <w:t xml:space="preserve"> </w:t>
      </w:r>
      <m:oMath>
        <m:r>
          <m:t>k</m:t>
        </m:r>
        <m:d>
          <m:dPr>
            <m:begChr m:val="("/>
            <m:endChr m:val=")"/>
            <m:sepChr m:val=""/>
            <m:grow/>
          </m:dPr>
          <m:e>
            <m:r>
              <m:t>N</m:t>
            </m:r>
          </m:e>
        </m:d>
        <m:r>
          <m:rPr>
            <m:sty m:val="p"/>
          </m:rPr>
          <m:t>=</m:t>
        </m:r>
        <m:r>
          <m:t>N</m:t>
        </m:r>
        <m:r>
          <m:rPr>
            <m:sty m:val="p"/>
          </m:rPr>
          <m:t>/</m:t>
        </m:r>
        <m:r>
          <m:t>C</m:t>
        </m:r>
        <m:d>
          <m:dPr>
            <m:begChr m:val="("/>
            <m:endChr m:val=")"/>
            <m:sepChr m:val=""/>
            <m:grow/>
          </m:dPr>
          <m:e>
            <m:r>
              <m:t>N</m:t>
            </m:r>
          </m:e>
        </m:d>
        <m:r>
          <m:rPr>
            <m:sty m:val="p"/>
          </m:rPr>
          <m:t>=</m:t>
        </m:r>
        <m:r>
          <m:t>1</m:t>
        </m:r>
        <m:r>
          <m:rPr>
            <m:sty m:val="p"/>
          </m:rPr>
          <m:t>+</m:t>
        </m:r>
        <m:r>
          <m:t>α</m:t>
        </m:r>
        <m:d>
          <m:dPr>
            <m:begChr m:val="("/>
            <m:endChr m:val=")"/>
            <m:sepChr m:val=""/>
            <m:grow/>
          </m:dPr>
          <m:e>
            <m:r>
              <m:t>N</m:t>
            </m:r>
            <m:r>
              <m:rPr>
                <m:sty m:val="p"/>
              </m:rPr>
              <m:t>−</m:t>
            </m:r>
            <m:r>
              <m:t>1</m:t>
            </m:r>
          </m:e>
        </m:d>
        <m:r>
          <m:rPr>
            <m:sty m:val="p"/>
          </m:rPr>
          <m:t>+</m:t>
        </m:r>
        <m:r>
          <m:t>β</m:t>
        </m:r>
        <m:r>
          <m:t>N</m:t>
        </m:r>
        <m:d>
          <m:dPr>
            <m:begChr m:val="("/>
            <m:endChr m:val=")"/>
            <m:sepChr m:val=""/>
            <m:grow/>
          </m:dPr>
          <m:e>
            <m:r>
              <m:t>N</m:t>
            </m:r>
            <m:r>
              <m:rPr>
                <m:sty m:val="p"/>
              </m:rPr>
              <m:t>−</m:t>
            </m:r>
            <m:r>
              <m:t>1</m:t>
            </m:r>
          </m:e>
        </m:d>
      </m:oMath>
      <w:r>
        <w:t xml:space="preserve">.</w:t>
      </w:r>
    </w:p>
    <w:p>
      <w:pPr>
        <w:numPr>
          <w:ilvl w:val="0"/>
          <w:numId w:val="1614"/>
        </w:numPr>
        <w:pStyle w:val="Compact"/>
      </w:pPr>
      <w:r>
        <w:rPr>
          <w:bCs/>
          <w:b/>
        </w:rPr>
        <w:t xml:space="preserve">Horizontal scaling</w:t>
      </w:r>
      <w:r>
        <w:t xml:space="preserve"> </w:t>
      </w:r>
      <w:r>
        <w:t xml:space="preserve">removes the ceiling and turns failures into lost capacity, but needs interchangeable nodes, load distribution, and a shared tier that can take the combined load.</w:t>
      </w:r>
    </w:p>
    <w:p>
      <w:pPr>
        <w:numPr>
          <w:ilvl w:val="0"/>
          <w:numId w:val="1614"/>
        </w:numPr>
        <w:pStyle w:val="Compact"/>
      </w:pPr>
      <w:r>
        <w:rPr>
          <w:bCs/>
          <w:b/>
        </w:rPr>
        <w:t xml:space="preserve">Stateless</w:t>
      </w:r>
      <w:r>
        <w:t xml:space="preserve"> </w:t>
      </w:r>
      <w:r>
        <w:t xml:space="preserve">means a tier keeps no state another instance needs; state moves to session stores, databases, caches and clients. Sticky sessions hide state rather than removing it.</w:t>
      </w:r>
    </w:p>
    <w:p>
      <w:pPr>
        <w:numPr>
          <w:ilvl w:val="0"/>
          <w:numId w:val="1614"/>
        </w:numPr>
        <w:pStyle w:val="Compact"/>
      </w:pPr>
      <w:r>
        <w:rPr>
          <w:bCs/>
          <w:b/>
        </w:rPr>
        <w:t xml:space="preserve">Bottlenecks</w:t>
      </w:r>
      <w:r>
        <w:t xml:space="preserve"> </w:t>
      </w:r>
      <w:r>
        <w:t xml:space="preserve">in scaled-out systems are shared resources. Use the resource model (§2.6) and fit the USL; the marginal gain</w:t>
      </w:r>
      <w:r>
        <w:t xml:space="preserve"> </w:t>
      </w:r>
      <m:oMath>
        <m:r>
          <m:t>Δ</m:t>
        </m:r>
        <m:r>
          <m:t>X</m:t>
        </m:r>
        <m:d>
          <m:dPr>
            <m:begChr m:val="("/>
            <m:endChr m:val=")"/>
            <m:sepChr m:val=""/>
            <m:grow/>
          </m:dPr>
          <m:e>
            <m:r>
              <m:t>N</m:t>
            </m:r>
          </m:e>
        </m:d>
        <m:r>
          <m:rPr>
            <m:sty m:val="p"/>
          </m:rPr>
          <m:t>=</m:t>
        </m:r>
        <m:sSub>
          <m:e>
            <m:r>
              <m:t>X</m:t>
            </m:r>
          </m:e>
          <m:sub>
            <m:r>
              <m:t>1</m:t>
            </m:r>
          </m:sub>
        </m:sSub>
        <m:d>
          <m:dPr>
            <m:begChr m:val="["/>
            <m:endChr m:val="]"/>
            <m:sepChr m:val=""/>
            <m:grow/>
          </m:dPr>
          <m:e>
            <m:r>
              <m:t>C</m:t>
            </m:r>
            <m:d>
              <m:dPr>
                <m:begChr m:val="("/>
                <m:endChr m:val=")"/>
                <m:sepChr m:val=""/>
                <m:grow/>
              </m:dPr>
              <m:e>
                <m:r>
                  <m:t>N</m:t>
                </m:r>
              </m:e>
            </m:d>
            <m:r>
              <m:rPr>
                <m:sty m:val="p"/>
              </m:rPr>
              <m:t>−</m:t>
            </m:r>
            <m:r>
              <m:t>C</m:t>
            </m:r>
            <m:d>
              <m:dPr>
                <m:begChr m:val="("/>
                <m:endChr m:val=")"/>
                <m:sepChr m:val=""/>
                <m:grow/>
              </m:dPr>
              <m:e>
                <m:r>
                  <m:t>N</m:t>
                </m:r>
                <m:r>
                  <m:rPr>
                    <m:sty m:val="p"/>
                  </m:rPr>
                  <m:t>−</m:t>
                </m:r>
                <m:r>
                  <m:t>1</m:t>
                </m:r>
              </m:e>
            </m:d>
          </m:e>
        </m:d>
      </m:oMath>
      <w:r>
        <w:t xml:space="preserve"> </w:t>
      </w:r>
      <w:r>
        <w:t xml:space="preserve">shows when another node stops paying. Cap autoscalers below the knee.</w:t>
      </w:r>
    </w:p>
    <w:p>
      <w:pPr>
        <w:numPr>
          <w:ilvl w:val="0"/>
          <w:numId w:val="1614"/>
        </w:numPr>
        <w:pStyle w:val="Compact"/>
      </w:pPr>
      <w:r>
        <w:rPr>
          <w:bCs/>
          <w:b/>
        </w:rPr>
        <w:t xml:space="preserve">Target tracking:</w:t>
      </w:r>
      <w:r>
        <w:t xml:space="preserve"> </w:t>
      </w:r>
      <m:oMath>
        <m:sSub>
          <m:e>
            <m:r>
              <m:t>n</m:t>
            </m:r>
          </m:e>
          <m:sub>
            <m:r>
              <m:t>d</m:t>
            </m:r>
            <m:r>
              <m:t>e</m:t>
            </m:r>
            <m:r>
              <m:t>s</m:t>
            </m:r>
            <m:r>
              <m:t>i</m:t>
            </m:r>
            <m:r>
              <m:t>r</m:t>
            </m:r>
            <m:r>
              <m:t>e</m:t>
            </m:r>
            <m:r>
              <m:t>d</m:t>
            </m:r>
          </m:sub>
        </m:sSub>
        <m:r>
          <m:rPr>
            <m:sty m:val="p"/>
          </m:rPr>
          <m:t>=</m:t>
        </m:r>
        <m:r>
          <m:rPr>
            <m:sty m:val="p"/>
          </m:rPr>
          <m:t>⌈</m:t>
        </m:r>
        <m:r>
          <m:t>n</m:t>
        </m:r>
        <m:r>
          <m:rPr>
            <m:sty m:val="p"/>
          </m:rPr>
          <m:t>⋅</m:t>
        </m:r>
        <m:sSub>
          <m:e>
            <m:r>
              <m:t>m</m:t>
            </m:r>
          </m:e>
          <m:sub>
            <m:r>
              <m:t>c</m:t>
            </m:r>
            <m:r>
              <m:t>u</m:t>
            </m:r>
            <m:r>
              <m:t>r</m:t>
            </m:r>
            <m:r>
              <m:t>r</m:t>
            </m:r>
            <m:r>
              <m:t>e</m:t>
            </m:r>
            <m:r>
              <m:t>n</m:t>
            </m:r>
            <m:r>
              <m:t>t</m:t>
            </m:r>
          </m:sub>
        </m:sSub>
        <m:r>
          <m:rPr>
            <m:sty m:val="p"/>
          </m:rPr>
          <m:t>/</m:t>
        </m:r>
        <m:sSub>
          <m:e>
            <m:r>
              <m:t>m</m:t>
            </m:r>
          </m:e>
          <m:sub>
            <m:r>
              <m:t>t</m:t>
            </m:r>
            <m:r>
              <m:t>a</m:t>
            </m:r>
            <m:r>
              <m:t>r</m:t>
            </m:r>
            <m:r>
              <m:t>g</m:t>
            </m:r>
            <m:r>
              <m:t>e</m:t>
            </m:r>
            <m:r>
              <m:t>t</m:t>
            </m:r>
          </m:sub>
        </m:sSub>
        <m:r>
          <m:rPr>
            <m:sty m:val="p"/>
          </m:rPr>
          <m:t>⌉</m:t>
        </m:r>
      </m:oMath>
      <w:r>
        <w:t xml:space="preserve"> </w:t>
      </w:r>
      <w:r>
        <w:t xml:space="preserve">with a tolerance band; scale up fast, down slowly. Choose</w:t>
      </w:r>
      <w:r>
        <w:t xml:space="preserve"> </w:t>
      </w:r>
      <m:oMath>
        <m:sSub>
          <m:e>
            <m:r>
              <m:t>u</m:t>
            </m:r>
          </m:e>
          <m:sub>
            <m:r>
              <m:t>t</m:t>
            </m:r>
            <m:r>
              <m:t>a</m:t>
            </m:r>
            <m:r>
              <m:t>r</m:t>
            </m:r>
            <m:r>
              <m:t>g</m:t>
            </m:r>
            <m:r>
              <m:t>e</m:t>
            </m:r>
            <m:r>
              <m:t>t</m:t>
            </m:r>
          </m:sub>
        </m:sSub>
        <m:r>
          <m:rPr>
            <m:sty m:val="p"/>
          </m:rPr>
          <m:t>≤</m:t>
        </m:r>
        <m:sSub>
          <m:e>
            <m:r>
              <m:t>u</m:t>
            </m:r>
          </m:e>
          <m:sub>
            <m:r>
              <m:t>s</m:t>
            </m:r>
            <m:r>
              <m:t>a</m:t>
            </m:r>
            <m:r>
              <m:t>f</m:t>
            </m:r>
            <m:r>
              <m:t>e</m:t>
            </m:r>
          </m:sub>
        </m:sSub>
        <m:r>
          <m:rPr>
            <m:sty m:val="p"/>
          </m:rPr>
          <m:t>/</m:t>
        </m:r>
        <m:d>
          <m:dPr>
            <m:begChr m:val="("/>
            <m:endChr m:val=")"/>
            <m:sepChr m:val=""/>
            <m:grow/>
          </m:dPr>
          <m:e>
            <m:r>
              <m:t>1</m:t>
            </m:r>
            <m:r>
              <m:rPr>
                <m:sty m:val="p"/>
              </m:rPr>
              <m:t>+</m:t>
            </m:r>
            <m:r>
              <m:t>r</m:t>
            </m:r>
            <m:sSub>
              <m:e>
                <m:r>
                  <m:t>T</m:t>
                </m:r>
              </m:e>
              <m:sub>
                <m:r>
                  <m:t>r</m:t>
                </m:r>
                <m:r>
                  <m:t>e</m:t>
                </m:r>
                <m:r>
                  <m:t>a</m:t>
                </m:r>
                <m:r>
                  <m:t>c</m:t>
                </m:r>
                <m:r>
                  <m:t>t</m:t>
                </m:r>
              </m:sub>
            </m:sSub>
          </m:e>
        </m:d>
      </m:oMath>
      <w:r>
        <w:t xml:space="preserve"> </w:t>
      </w:r>
      <w:r>
        <w:t xml:space="preserve">and shorten reaction time with warm pools and spare nodes.</w:t>
      </w:r>
    </w:p>
    <w:p>
      <w:pPr>
        <w:numPr>
          <w:ilvl w:val="0"/>
          <w:numId w:val="1614"/>
        </w:numPr>
        <w:pStyle w:val="Compact"/>
      </w:pPr>
      <w:r>
        <w:rPr>
          <w:bCs/>
          <w:b/>
        </w:rPr>
        <w:t xml:space="preserve">Connection budget:</w:t>
      </w:r>
      <w:r>
        <w:t xml:space="preserve"> </w:t>
      </w:r>
      <m:oMath>
        <m:sSub>
          <m:e>
            <m:r>
              <m:t>n</m:t>
            </m:r>
          </m:e>
          <m:sub>
            <m:r>
              <m:t>m</m:t>
            </m:r>
            <m:r>
              <m:t>a</m:t>
            </m:r>
            <m:r>
              <m:t>x</m:t>
            </m:r>
          </m:sub>
        </m:sSub>
        <m:r>
          <m:t>p</m:t>
        </m:r>
        <m:r>
          <m:rPr>
            <m:sty m:val="p"/>
          </m:rPr>
          <m:t>+</m:t>
        </m:r>
        <m:r>
          <m:rPr>
            <m:sty m:val="p"/>
          </m:rPr>
          <m:t>∑</m:t>
        </m:r>
        <m:sSub>
          <m:e>
            <m:r>
              <m:t>n</m:t>
            </m:r>
          </m:e>
          <m:sub>
            <m:r>
              <m:t>j</m:t>
            </m:r>
          </m:sub>
        </m:sSub>
        <m:sSub>
          <m:e>
            <m:r>
              <m:t>p</m:t>
            </m:r>
          </m:e>
          <m:sub>
            <m:r>
              <m:t>j</m:t>
            </m:r>
          </m:sub>
        </m:sSub>
        <m:r>
          <m:rPr>
            <m:sty m:val="p"/>
          </m:rPr>
          <m:t>≤</m:t>
        </m:r>
        <m:r>
          <m:t>M</m:t>
        </m:r>
        <m:r>
          <m:rPr>
            <m:sty m:val="p"/>
          </m:rPr>
          <m:t>−</m:t>
        </m:r>
        <m:r>
          <m:t>R</m:t>
        </m:r>
      </m:oMath>
      <w:r>
        <w:t xml:space="preserve">. Autoscaling multiplies pools; put a transaction pooler in front of PostgreSQL and size server connections by Little’s Law.</w:t>
      </w:r>
    </w:p>
    <w:p>
      <w:pPr>
        <w:numPr>
          <w:ilvl w:val="0"/>
          <w:numId w:val="1614"/>
        </w:numPr>
        <w:pStyle w:val="Compact"/>
      </w:pPr>
      <w:r>
        <w:rPr>
          <w:bCs/>
          <w:b/>
        </w:rPr>
        <w:t xml:space="preserve">Databases:</w:t>
      </w:r>
      <w:r>
        <w:t xml:space="preserve"> </w:t>
      </w:r>
      <w:r>
        <w:t xml:space="preserve">caches and replicas scale reads; only partitioning (or a bigger primary) scales writes. Try cheap fixes first (Table 18.8).</w:t>
      </w:r>
    </w:p>
    <w:p>
      <w:pPr>
        <w:numPr>
          <w:ilvl w:val="0"/>
          <w:numId w:val="1614"/>
        </w:numPr>
        <w:pStyle w:val="Compact"/>
      </w:pPr>
      <w:r>
        <w:rPr>
          <w:bCs/>
          <w:b/>
        </w:rPr>
        <w:t xml:space="preserve">Scale cube:</w:t>
      </w:r>
      <w:r>
        <w:t xml:space="preserve"> </w:t>
      </w:r>
      <w:r>
        <w:t xml:space="preserve">X clones, Y splits by function, Z splits by customer or key. Each relieves a different bottleneck.</w:t>
      </w:r>
    </w:p>
    <w:p>
      <w:pPr>
        <w:numPr>
          <w:ilvl w:val="0"/>
          <w:numId w:val="1614"/>
        </w:numPr>
        <w:pStyle w:val="Compact"/>
      </w:pPr>
      <w:r>
        <w:rPr>
          <w:bCs/>
          <w:b/>
        </w:rPr>
        <w:t xml:space="preserve">Capacity planning:</w:t>
      </w:r>
      <w:r>
        <w:t xml:space="preserve"> </w:t>
      </w:r>
      <m:oMath>
        <m:r>
          <m:t>N</m:t>
        </m:r>
        <m:r>
          <m:rPr>
            <m:sty m:val="p"/>
          </m:rPr>
          <m:t>=</m:t>
        </m:r>
        <m:r>
          <m:rPr>
            <m:sty m:val="p"/>
          </m:rPr>
          <m:t>⌈</m:t>
        </m:r>
        <m:sSub>
          <m:e>
            <m:r>
              <m:t>R</m:t>
            </m:r>
          </m:e>
          <m:sub>
            <m:r>
              <m:t>p</m:t>
            </m:r>
            <m:r>
              <m:t>e</m:t>
            </m:r>
            <m:r>
              <m:t>a</m:t>
            </m:r>
            <m:r>
              <m:t>k</m:t>
            </m:r>
          </m:sub>
        </m:sSub>
        <m:sSup>
          <m:e>
            <m:d>
              <m:dPr>
                <m:begChr m:val="("/>
                <m:endChr m:val=")"/>
                <m:sepChr m:val=""/>
                <m:grow/>
              </m:dPr>
              <m:e>
                <m:r>
                  <m:t>1</m:t>
                </m:r>
                <m:r>
                  <m:rPr>
                    <m:sty m:val="p"/>
                  </m:rPr>
                  <m:t>+</m:t>
                </m:r>
                <m:r>
                  <m:t>g</m:t>
                </m:r>
              </m:e>
            </m:d>
          </m:e>
          <m:sup>
            <m:r>
              <m:t>L</m:t>
            </m:r>
          </m:sup>
        </m:sSup>
        <m:r>
          <m:rPr>
            <m:sty m:val="p"/>
          </m:rPr>
          <m:t>/</m:t>
        </m:r>
        <m:d>
          <m:dPr>
            <m:begChr m:val="("/>
            <m:endChr m:val=")"/>
            <m:sepChr m:val=""/>
            <m:grow/>
          </m:dPr>
          <m:e>
            <m:r>
              <m:t>c</m:t>
            </m:r>
            <m:r>
              <m:t> </m:t>
            </m:r>
            <m:sSub>
              <m:e>
                <m:r>
                  <m:t>u</m:t>
                </m:r>
              </m:e>
              <m:sub>
                <m:r>
                  <m:t>t</m:t>
                </m:r>
                <m:r>
                  <m:t>a</m:t>
                </m:r>
                <m:r>
                  <m:t>r</m:t>
                </m:r>
                <m:r>
                  <m:t>g</m:t>
                </m:r>
                <m:r>
                  <m:t>e</m:t>
                </m:r>
                <m:r>
                  <m:t>t</m:t>
                </m:r>
              </m:sub>
            </m:sSub>
          </m:e>
        </m:d>
        <m:r>
          <m:rPr>
            <m:sty m:val="p"/>
          </m:rPr>
          <m:t>⌉</m:t>
        </m:r>
      </m:oMath>
      <w:r>
        <w:t xml:space="preserve">, then N+2 or zone-safe</w:t>
      </w:r>
      <w:r>
        <w:t xml:space="preserve"> </w:t>
      </w:r>
      <m:oMath>
        <m:r>
          <m:rPr>
            <m:sty m:val="p"/>
          </m:rPr>
          <m:t>⌈</m:t>
        </m:r>
        <m:r>
          <m:t>N</m:t>
        </m:r>
        <m:r>
          <m:t>Z</m:t>
        </m:r>
        <m:r>
          <m:rPr>
            <m:sty m:val="p"/>
          </m:rPr>
          <m:t>/</m:t>
        </m:r>
        <m:d>
          <m:dPr>
            <m:begChr m:val="("/>
            <m:endChr m:val=")"/>
            <m:sepChr m:val=""/>
            <m:grow/>
          </m:dPr>
          <m:e>
            <m:r>
              <m:t>Z</m:t>
            </m:r>
            <m:r>
              <m:rPr>
                <m:sty m:val="p"/>
              </m:rPr>
              <m:t>−</m:t>
            </m:r>
            <m:r>
              <m:t>f</m:t>
            </m:r>
          </m:e>
        </m:d>
        <m:r>
          <m:rPr>
            <m:sty m:val="p"/>
          </m:rPr>
          <m:t>⌉</m:t>
        </m:r>
      </m:oMath>
      <w:r>
        <w:t xml:space="preserve">. PAR reveals idle cost. Turn forecasts into dates:</w:t>
      </w:r>
      <w:r>
        <w:t xml:space="preserve"> </w:t>
      </w:r>
      <m:oMath>
        <m:sSub>
          <m:e>
            <m:r>
              <m:t>t</m:t>
            </m:r>
          </m:e>
          <m:sub>
            <m:r>
              <m:t>e</m:t>
            </m:r>
            <m:r>
              <m:t>x</m:t>
            </m:r>
            <m:r>
              <m:t>h</m:t>
            </m:r>
            <m:r>
              <m:t>a</m:t>
            </m:r>
            <m:r>
              <m:t>u</m:t>
            </m:r>
            <m:r>
              <m:t>s</m:t>
            </m:r>
            <m:r>
              <m:t>t</m:t>
            </m:r>
          </m:sub>
        </m:sSub>
        <m:r>
          <m:rPr>
            <m:sty m:val="p"/>
          </m:rPr>
          <m:t>=</m:t>
        </m:r>
        <m:r>
          <m:rPr>
            <m:sty m:val="p"/>
          </m:rPr>
          <m:t>ln</m:t>
        </m:r>
        <m:d>
          <m:dPr>
            <m:begChr m:val="("/>
            <m:endChr m:val=")"/>
            <m:sepChr m:val=""/>
            <m:grow/>
          </m:dPr>
          <m:e>
            <m:sSub>
              <m:e>
                <m:r>
                  <m:t>C</m:t>
                </m:r>
              </m:e>
              <m:sub>
                <m:r>
                  <m:t>u</m:t>
                </m:r>
                <m:r>
                  <m:t>s</m:t>
                </m:r>
                <m:r>
                  <m:t>a</m:t>
                </m:r>
                <m:r>
                  <m:t>b</m:t>
                </m:r>
                <m:r>
                  <m:t>l</m:t>
                </m:r>
                <m:r>
                  <m:t>e</m:t>
                </m:r>
              </m:sub>
            </m:sSub>
            <m:r>
              <m:rPr>
                <m:sty m:val="p"/>
              </m:rPr>
              <m:t>/</m:t>
            </m:r>
            <m:sSub>
              <m:e>
                <m:r>
                  <m:t>D</m:t>
                </m:r>
              </m:e>
              <m:sub>
                <m:r>
                  <m:t>0</m:t>
                </m:r>
              </m:sub>
            </m:sSub>
          </m:e>
        </m:d>
        <m:r>
          <m:rPr>
            <m:sty m:val="p"/>
          </m:rPr>
          <m:t>/</m:t>
        </m:r>
        <m:r>
          <m:rPr>
            <m:sty m:val="p"/>
          </m:rPr>
          <m:t>ln</m:t>
        </m:r>
        <m:d>
          <m:dPr>
            <m:begChr m:val="("/>
            <m:endChr m:val=")"/>
            <m:sepChr m:val=""/>
            <m:grow/>
          </m:dPr>
          <m:e>
            <m:r>
              <m:t>1</m:t>
            </m:r>
            <m:r>
              <m:rPr>
                <m:sty m:val="p"/>
              </m:rPr>
              <m:t>+</m:t>
            </m:r>
            <m:r>
              <m:t>g</m:t>
            </m:r>
          </m:e>
        </m:d>
      </m:oMath>
      <w:r>
        <w:t xml:space="preserve">, and start fixes</w:t>
      </w:r>
      <w:r>
        <w:t xml:space="preserve"> </w:t>
      </w:r>
      <m:oMath>
        <m:sSub>
          <m:e>
            <m:r>
              <m:t>L</m:t>
            </m:r>
          </m:e>
          <m:sub>
            <m:r>
              <m:t>f</m:t>
            </m:r>
            <m:r>
              <m:t>i</m:t>
            </m:r>
            <m:r>
              <m:t>x</m:t>
            </m:r>
          </m:sub>
        </m:sSub>
      </m:oMath>
      <w:r>
        <w:t xml:space="preserve"> </w:t>
      </w:r>
      <w:r>
        <w:t xml:space="preserve">earlier.</w:t>
      </w:r>
    </w:p>
    <w:bookmarkEnd w:id="2137"/>
    <w:bookmarkStart w:id="2138" w:name="knowledge-checkpoint-17"/>
    <w:p>
      <w:pPr>
        <w:pStyle w:val="Heading2"/>
      </w:pPr>
      <w:r>
        <w:t xml:space="preserve">18.13 Knowledge checkpoint</w:t>
      </w:r>
    </w:p>
    <w:p>
      <w:pPr>
        <w:numPr>
          <w:ilvl w:val="0"/>
          <w:numId w:val="1615"/>
        </w:numPr>
        <w:pStyle w:val="Compact"/>
      </w:pPr>
      <w:r>
        <w:t xml:space="preserve">Give two reasons vertical scaling stops being the right answer.</w:t>
      </w:r>
    </w:p>
    <w:p>
      <w:pPr>
        <w:numPr>
          <w:ilvl w:val="0"/>
          <w:numId w:val="1615"/>
        </w:numPr>
        <w:pStyle w:val="Compact"/>
      </w:pPr>
      <w:r>
        <w:t xml:space="preserve">With linear pricing and USL coefficients</w:t>
      </w:r>
      <w:r>
        <w:t xml:space="preserve"> </w:t>
      </w:r>
      <m:oMath>
        <m:r>
          <m:t>α</m:t>
        </m:r>
        <m:r>
          <m:rPr>
            <m:sty m:val="p"/>
          </m:rPr>
          <m:t>=</m:t>
        </m:r>
        <m:r>
          <m:t>0.02</m:t>
        </m:r>
      </m:oMath>
      <w:r>
        <w:t xml:space="preserve">,</w:t>
      </w:r>
      <w:r>
        <w:t xml:space="preserve"> </w:t>
      </w:r>
      <m:oMath>
        <m:r>
          <m:t>β</m:t>
        </m:r>
        <m:r>
          <m:rPr>
            <m:sty m:val="p"/>
          </m:rPr>
          <m:t>=</m:t>
        </m:r>
        <m:r>
          <m:t>0.00005</m:t>
        </m:r>
      </m:oMath>
      <w:r>
        <w:t xml:space="preserve">, what is the relative cost per unit of throughput at 32 cores?</w:t>
      </w:r>
    </w:p>
    <w:p>
      <w:pPr>
        <w:numPr>
          <w:ilvl w:val="0"/>
          <w:numId w:val="1615"/>
        </w:numPr>
        <w:pStyle w:val="Compact"/>
      </w:pPr>
      <w:r>
        <w:t xml:space="preserve">What test tells you whether an application instance is stateless?</w:t>
      </w:r>
    </w:p>
    <w:p>
      <w:pPr>
        <w:numPr>
          <w:ilvl w:val="0"/>
          <w:numId w:val="1615"/>
        </w:numPr>
        <w:pStyle w:val="Compact"/>
      </w:pPr>
      <w:r>
        <w:t xml:space="preserve">Why do sticky sessions make scale-in harder?</w:t>
      </w:r>
    </w:p>
    <w:p>
      <w:pPr>
        <w:numPr>
          <w:ilvl w:val="0"/>
          <w:numId w:val="1615"/>
        </w:numPr>
        <w:pStyle w:val="Compact"/>
      </w:pPr>
      <w:r>
        <w:t xml:space="preserve">12 pods average 75% CPU with a 50% target. How many pods does the HPA request?</w:t>
      </w:r>
    </w:p>
    <w:p>
      <w:pPr>
        <w:numPr>
          <w:ilvl w:val="0"/>
          <w:numId w:val="1615"/>
        </w:numPr>
        <w:pStyle w:val="Compact"/>
      </w:pPr>
      <w:r>
        <w:t xml:space="preserve">Why do autoscalers scale down more slowly than they scale up?</w:t>
      </w:r>
    </w:p>
    <w:p>
      <w:pPr>
        <w:numPr>
          <w:ilvl w:val="0"/>
          <w:numId w:val="1615"/>
        </w:numPr>
        <w:pStyle w:val="Compact"/>
      </w:pPr>
      <m:oMath>
        <m:sSub>
          <m:e>
            <m:r>
              <m:t>u</m:t>
            </m:r>
          </m:e>
          <m:sub>
            <m:r>
              <m:t>s</m:t>
            </m:r>
            <m:r>
              <m:t>a</m:t>
            </m:r>
            <m:r>
              <m:t>f</m:t>
            </m:r>
            <m:r>
              <m:t>e</m:t>
            </m:r>
          </m:sub>
        </m:sSub>
        <m:r>
          <m:rPr>
            <m:sty m:val="p"/>
          </m:rPr>
          <m:t>=</m:t>
        </m:r>
        <m:r>
          <m:t>0.8</m:t>
        </m:r>
      </m:oMath>
      <w:r>
        <w:t xml:space="preserve">, load grows at 10% per minute, reaction time is 3 minutes. What is the highest safe target?</w:t>
      </w:r>
    </w:p>
    <w:p>
      <w:pPr>
        <w:numPr>
          <w:ilvl w:val="0"/>
          <w:numId w:val="1615"/>
        </w:numPr>
        <w:pStyle w:val="Compact"/>
      </w:pPr>
      <w:r>
        <w:t xml:space="preserve">A database has</w:t>
      </w:r>
      <w:r>
        <w:t xml:space="preserve"> </w:t>
      </w:r>
      <w:r>
        <w:rPr>
          <w:rStyle w:val="VerbatimChar"/>
        </w:rPr>
        <w:t xml:space="preserve">max_connections</w:t>
      </w:r>
      <w:r>
        <w:t xml:space="preserve"> </w:t>
      </w:r>
      <w:r>
        <w:t xml:space="preserve">= 300 and 20 reserved. Pods have pools of 10. What is the largest safe</w:t>
      </w:r>
      <w:r>
        <w:t xml:space="preserve"> </w:t>
      </w:r>
      <w:r>
        <w:rPr>
          <w:rStyle w:val="VerbatimChar"/>
        </w:rPr>
        <w:t xml:space="preserve">maxReplicas</w:t>
      </w:r>
      <w:r>
        <w:t xml:space="preserve"> </w:t>
      </w:r>
      <w:r>
        <w:t xml:space="preserve">with no other clients?</w:t>
      </w:r>
    </w:p>
    <w:p>
      <w:pPr>
        <w:numPr>
          <w:ilvl w:val="0"/>
          <w:numId w:val="1615"/>
        </w:numPr>
        <w:pStyle w:val="Compact"/>
      </w:pPr>
      <w:r>
        <w:t xml:space="preserve">Which database-scaling options add write capacity?</w:t>
      </w:r>
    </w:p>
    <w:p>
      <w:pPr>
        <w:numPr>
          <w:ilvl w:val="0"/>
          <w:numId w:val="1615"/>
        </w:numPr>
        <w:pStyle w:val="Compact"/>
      </w:pPr>
      <w:r>
        <w:t xml:space="preserve">Classify: read replicas; a separate payments service; one database per country.</w:t>
      </w:r>
    </w:p>
    <w:p>
      <w:pPr>
        <w:numPr>
          <w:ilvl w:val="0"/>
          <w:numId w:val="1615"/>
        </w:numPr>
        <w:pStyle w:val="Compact"/>
      </w:pPr>
      <w:r>
        <w:t xml:space="preserve">Why is N+2 not the same as zone-safe for 14 nodes in 3 zones?</w:t>
      </w:r>
    </w:p>
    <w:p>
      <w:pPr>
        <w:numPr>
          <w:ilvl w:val="0"/>
          <w:numId w:val="1615"/>
        </w:numPr>
        <w:pStyle w:val="Compact"/>
      </w:pPr>
      <w:r>
        <w:t xml:space="preserve">Peak 9,000 RPS, average 1,500 RPS. What is the PAR, and what does it suggest?</w:t>
      </w:r>
    </w:p>
    <w:p>
      <w:pPr>
        <w:numPr>
          <w:ilvl w:val="0"/>
          <w:numId w:val="1615"/>
        </w:numPr>
        <w:pStyle w:val="Compact"/>
      </w:pPr>
      <w:r>
        <w:t xml:space="preserve">Usable capacity is 4 times current demand and demand grows 5% per month. When is it exhausted?</w:t>
      </w:r>
    </w:p>
    <w:p>
      <w:pPr>
        <w:pStyle w:val="FirstParagraph"/>
      </w:pPr>
      <w:r>
        <w:t xml:space="preserve">Answers</w:t>
      </w:r>
    </w:p>
    <w:p>
      <w:pPr>
        <w:numPr>
          <w:ilvl w:val="0"/>
          <w:numId w:val="1616"/>
        </w:numPr>
        <w:pStyle w:val="Compact"/>
      </w:pPr>
      <w:r>
        <w:t xml:space="preserve">Any two of: no larger node exists; cost per unit of throughput rises past the knee; a single node is one failure domain; serial code or in-node coherency leaves added cores idle.</w:t>
      </w:r>
    </w:p>
    <w:p>
      <w:pPr>
        <w:numPr>
          <w:ilvl w:val="0"/>
          <w:numId w:val="1616"/>
        </w:numPr>
        <w:pStyle w:val="Compact"/>
      </w:pPr>
      <m:oMath>
        <m:r>
          <m:t>k</m:t>
        </m:r>
        <m:d>
          <m:dPr>
            <m:begChr m:val="("/>
            <m:endChr m:val=")"/>
            <m:sepChr m:val=""/>
            <m:grow/>
          </m:dPr>
          <m:e>
            <m:r>
              <m:t>32</m:t>
            </m:r>
          </m:e>
        </m:d>
        <m:r>
          <m:rPr>
            <m:sty m:val="p"/>
          </m:rPr>
          <m:t>=</m:t>
        </m:r>
        <m:r>
          <m:t>1</m:t>
        </m:r>
        <m:r>
          <m:rPr>
            <m:sty m:val="p"/>
          </m:rPr>
          <m:t>+</m:t>
        </m:r>
        <m:r>
          <m:t>0.02</m:t>
        </m:r>
        <m:r>
          <m:rPr>
            <m:sty m:val="p"/>
          </m:rPr>
          <m:t>×</m:t>
        </m:r>
        <m:r>
          <m:t>31</m:t>
        </m:r>
        <m:r>
          <m:rPr>
            <m:sty m:val="p"/>
          </m:rPr>
          <m:t>+</m:t>
        </m:r>
        <m:r>
          <m:t>0.00005</m:t>
        </m:r>
        <m:r>
          <m:rPr>
            <m:sty m:val="p"/>
          </m:rPr>
          <m:t>×</m:t>
        </m:r>
        <m:r>
          <m:t>32</m:t>
        </m:r>
        <m:r>
          <m:rPr>
            <m:sty m:val="p"/>
          </m:rPr>
          <m:t>×</m:t>
        </m:r>
        <m:r>
          <m:t>31</m:t>
        </m:r>
        <m:r>
          <m:rPr>
            <m:sty m:val="p"/>
          </m:rPr>
          <m:t>=</m:t>
        </m:r>
        <m:r>
          <m:t>1</m:t>
        </m:r>
        <m:r>
          <m:rPr>
            <m:sty m:val="p"/>
          </m:rPr>
          <m:t>+</m:t>
        </m:r>
        <m:r>
          <m:t>0.62</m:t>
        </m:r>
        <m:r>
          <m:rPr>
            <m:sty m:val="p"/>
          </m:rPr>
          <m:t>+</m:t>
        </m:r>
        <m:r>
          <m:t>0.0496</m:t>
        </m:r>
        <m:r>
          <m:rPr>
            <m:sty m:val="p"/>
          </m:rPr>
          <m:t>=</m:t>
        </m:r>
        <m:r>
          <m:t>1.67</m:t>
        </m:r>
      </m:oMath>
      <w:r>
        <w:t xml:space="preserve">.</w:t>
      </w:r>
    </w:p>
    <w:p>
      <w:pPr>
        <w:numPr>
          <w:ilvl w:val="0"/>
          <w:numId w:val="1616"/>
        </w:numPr>
        <w:pStyle w:val="Compact"/>
      </w:pPr>
      <w:r>
        <w:t xml:space="preserve">If it vanished now, would any user or other instance notice anything beyond a retry? If not, it is stateless.</w:t>
      </w:r>
    </w:p>
    <w:p>
      <w:pPr>
        <w:numPr>
          <w:ilvl w:val="0"/>
          <w:numId w:val="1616"/>
        </w:numPr>
        <w:pStyle w:val="Compact"/>
      </w:pPr>
      <w:r>
        <w:t xml:space="preserve">Removing an instance destroys the sessions pinned to it, so scale-in either logs users out or must wait for sessions to expire.</w:t>
      </w:r>
    </w:p>
    <w:p>
      <w:pPr>
        <w:numPr>
          <w:ilvl w:val="0"/>
          <w:numId w:val="1616"/>
        </w:numPr>
        <w:pStyle w:val="Compact"/>
      </w:pPr>
      <m:oMath>
        <m:r>
          <m:rPr>
            <m:sty m:val="p"/>
          </m:rPr>
          <m:t>⌈</m:t>
        </m:r>
        <m:r>
          <m:t>12</m:t>
        </m:r>
        <m:r>
          <m:rPr>
            <m:sty m:val="p"/>
          </m:rPr>
          <m:t>×</m:t>
        </m:r>
        <m:r>
          <m:t>75</m:t>
        </m:r>
        <m:r>
          <m:rPr>
            <m:sty m:val="p"/>
          </m:rPr>
          <m:t>/</m:t>
        </m:r>
        <m:r>
          <m:t>50</m:t>
        </m:r>
        <m:r>
          <m:rPr>
            <m:sty m:val="p"/>
          </m:rPr>
          <m:t>⌉</m:t>
        </m:r>
        <m:r>
          <m:rPr>
            <m:sty m:val="p"/>
          </m:rPr>
          <m:t>=</m:t>
        </m:r>
        <m:r>
          <m:t>18</m:t>
        </m:r>
      </m:oMath>
      <w:r>
        <w:t xml:space="preserve">.</w:t>
      </w:r>
    </w:p>
    <w:p>
      <w:pPr>
        <w:numPr>
          <w:ilvl w:val="0"/>
          <w:numId w:val="1616"/>
        </w:numPr>
        <w:pStyle w:val="Compact"/>
      </w:pPr>
      <w:r>
        <w:t xml:space="preserve">To avoid flapping: removing capacity too early causes a rebound that needs it back, and under-capacity is costlier than a few minutes of spare pods.</w:t>
      </w:r>
    </w:p>
    <w:p>
      <w:pPr>
        <w:numPr>
          <w:ilvl w:val="0"/>
          <w:numId w:val="1616"/>
        </w:numPr>
        <w:pStyle w:val="Compact"/>
      </w:pPr>
      <m:oMath>
        <m:r>
          <m:t>0.8</m:t>
        </m:r>
        <m:r>
          <m:rPr>
            <m:sty m:val="p"/>
          </m:rPr>
          <m:t>/</m:t>
        </m:r>
        <m:d>
          <m:dPr>
            <m:begChr m:val="("/>
            <m:endChr m:val=")"/>
            <m:sepChr m:val=""/>
            <m:grow/>
          </m:dPr>
          <m:e>
            <m:r>
              <m:t>1</m:t>
            </m:r>
            <m:r>
              <m:rPr>
                <m:sty m:val="p"/>
              </m:rPr>
              <m:t>+</m:t>
            </m:r>
            <m:r>
              <m:t>0.1</m:t>
            </m:r>
            <m:r>
              <m:rPr>
                <m:sty m:val="p"/>
              </m:rPr>
              <m:t>×</m:t>
            </m:r>
            <m:r>
              <m:t>3</m:t>
            </m:r>
          </m:e>
        </m:d>
        <m:r>
          <m:rPr>
            <m:sty m:val="p"/>
          </m:rPr>
          <m:t>=</m:t>
        </m:r>
        <m:r>
          <m:t>0.8</m:t>
        </m:r>
        <m:r>
          <m:rPr>
            <m:sty m:val="p"/>
          </m:rPr>
          <m:t>/</m:t>
        </m:r>
        <m:r>
          <m:t>1.3</m:t>
        </m:r>
        <m:r>
          <m:rPr>
            <m:sty m:val="p"/>
          </m:rPr>
          <m:t>=</m:t>
        </m:r>
        <m:r>
          <m:t>0.615</m:t>
        </m:r>
      </m:oMath>
      <w:r>
        <w:t xml:space="preserve">, so about 60%.</w:t>
      </w:r>
    </w:p>
    <w:p>
      <w:pPr>
        <w:numPr>
          <w:ilvl w:val="0"/>
          <w:numId w:val="1616"/>
        </w:numPr>
        <w:pStyle w:val="Compact"/>
      </w:pPr>
      <m:oMath>
        <m:r>
          <m:rPr>
            <m:sty m:val="p"/>
          </m:rPr>
          <m:t>⌊</m:t>
        </m:r>
        <m:d>
          <m:dPr>
            <m:begChr m:val="("/>
            <m:endChr m:val=")"/>
            <m:sepChr m:val=""/>
            <m:grow/>
          </m:dPr>
          <m:e>
            <m:r>
              <m:t>300</m:t>
            </m:r>
            <m:r>
              <m:rPr>
                <m:sty m:val="p"/>
              </m:rPr>
              <m:t>−</m:t>
            </m:r>
            <m:r>
              <m:t>20</m:t>
            </m:r>
          </m:e>
        </m:d>
        <m:r>
          <m:rPr>
            <m:sty m:val="p"/>
          </m:rPr>
          <m:t>/</m:t>
        </m:r>
        <m:r>
          <m:t>10</m:t>
        </m:r>
        <m:r>
          <m:rPr>
            <m:sty m:val="p"/>
          </m:rPr>
          <m:t>⌋</m:t>
        </m:r>
        <m:r>
          <m:rPr>
            <m:sty m:val="p"/>
          </m:rPr>
          <m:t>=</m:t>
        </m:r>
        <m:r>
          <m:t>28</m:t>
        </m:r>
      </m:oMath>
      <w:r>
        <w:t xml:space="preserve"> </w:t>
      </w:r>
      <w:r>
        <w:t xml:space="preserve">pods.</w:t>
      </w:r>
    </w:p>
    <w:p>
      <w:pPr>
        <w:numPr>
          <w:ilvl w:val="0"/>
          <w:numId w:val="1616"/>
        </w:numPr>
        <w:pStyle w:val="Compact"/>
      </w:pPr>
      <w:r>
        <w:t xml:space="preserve">A bigger primary, a functional split onto separate databases, partitioning or sharding, distributed SQL, and write-optimized or partitioned NoSQL stores. Caches and read replicas do not.</w:t>
      </w:r>
    </w:p>
    <w:p>
      <w:pPr>
        <w:numPr>
          <w:ilvl w:val="0"/>
          <w:numId w:val="1616"/>
        </w:numPr>
        <w:pStyle w:val="Compact"/>
      </w:pPr>
      <w:r>
        <w:t xml:space="preserve">X axis; Y axis; Z axis.</w:t>
      </w:r>
    </w:p>
    <w:p>
      <w:pPr>
        <w:numPr>
          <w:ilvl w:val="0"/>
          <w:numId w:val="1616"/>
        </w:numPr>
        <w:pStyle w:val="Compact"/>
      </w:pPr>
      <w:r>
        <w:t xml:space="preserve">N+2 tolerates any two node failures, but 14 nodes in 3 zones put 5 in one zone; losing that zone removes 5. Zone-safe sizing provisions</w:t>
      </w:r>
      <w:r>
        <w:t xml:space="preserve"> </w:t>
      </w:r>
      <m:oMath>
        <m:r>
          <m:t>Z</m:t>
        </m:r>
        <m:r>
          <m:rPr>
            <m:sty m:val="p"/>
          </m:rPr>
          <m:t>/</m:t>
        </m:r>
        <m:d>
          <m:dPr>
            <m:begChr m:val="("/>
            <m:endChr m:val=")"/>
            <m:sepChr m:val=""/>
            <m:grow/>
          </m:dPr>
          <m:e>
            <m:r>
              <m:t>Z</m:t>
            </m:r>
            <m:r>
              <m:rPr>
                <m:sty m:val="p"/>
              </m:rPr>
              <m:t>−</m:t>
            </m:r>
            <m:r>
              <m:t>f</m:t>
            </m:r>
          </m:e>
        </m:d>
      </m:oMath>
      <w:r>
        <w:t xml:space="preserve"> </w:t>
      </w:r>
      <w:r>
        <w:t xml:space="preserve">times the needed nodes.</w:t>
      </w:r>
    </w:p>
    <w:p>
      <w:pPr>
        <w:numPr>
          <w:ilvl w:val="0"/>
          <w:numId w:val="1616"/>
        </w:numPr>
        <w:pStyle w:val="Compact"/>
      </w:pPr>
      <w:r>
        <w:t xml:space="preserve">PAR = 6. A statically sized fleet would be idle most of the day; autoscaling or scheduled scaling pays off.</w:t>
      </w:r>
    </w:p>
    <w:p>
      <w:pPr>
        <w:numPr>
          <w:ilvl w:val="0"/>
          <w:numId w:val="1616"/>
        </w:numPr>
        <w:pStyle w:val="Compact"/>
      </w:pPr>
      <m:oMath>
        <m:r>
          <m:rPr>
            <m:sty m:val="p"/>
          </m:rPr>
          <m:t>ln</m:t>
        </m:r>
        <m:r>
          <m:t>4</m:t>
        </m:r>
        <m:r>
          <m:rPr>
            <m:sty m:val="p"/>
          </m:rPr>
          <m:t>/</m:t>
        </m:r>
        <m:r>
          <m:rPr>
            <m:sty m:val="p"/>
          </m:rPr>
          <m:t>ln</m:t>
        </m:r>
        <m:r>
          <m:t>1.05</m:t>
        </m:r>
        <m:r>
          <m:rPr>
            <m:sty m:val="p"/>
          </m:rPr>
          <m:t>=</m:t>
        </m:r>
        <m:r>
          <m:t>1.386</m:t>
        </m:r>
        <m:r>
          <m:rPr>
            <m:sty m:val="p"/>
          </m:rPr>
          <m:t>/</m:t>
        </m:r>
        <m:r>
          <m:t>0.0488</m:t>
        </m:r>
        <m:r>
          <m:rPr>
            <m:sty m:val="p"/>
          </m:rPr>
          <m:t>=</m:t>
        </m:r>
        <m:r>
          <m:t>28.4</m:t>
        </m:r>
      </m:oMath>
      <w:r>
        <w:t xml:space="preserve"> </w:t>
      </w:r>
      <w:r>
        <w:t xml:space="preserve">months.</w:t>
      </w:r>
    </w:p>
    <w:bookmarkEnd w:id="2138"/>
    <w:bookmarkStart w:id="2142" w:name="interview-questions-17"/>
    <w:p>
      <w:pPr>
        <w:pStyle w:val="Heading2"/>
      </w:pPr>
      <w:r>
        <w:t xml:space="preserve">18.14 Interview questions</w:t>
      </w:r>
    </w:p>
    <w:bookmarkStart w:id="2139" w:name="basic-17"/>
    <w:p>
      <w:pPr>
        <w:pStyle w:val="Heading3"/>
      </w:pPr>
      <w:r>
        <w:t xml:space="preserve">Basic</w:t>
      </w:r>
    </w:p>
    <w:p>
      <w:pPr>
        <w:pStyle w:val="FirstParagraph"/>
      </w:pPr>
      <w:r>
        <w:rPr>
          <w:bCs/>
          <w:b/>
        </w:rPr>
        <w:t xml:space="preserve">Q1. What is the difference between vertical and horizontal scaling, and when would you choose each?</w:t>
      </w:r>
      <w:r>
        <w:t xml:space="preserve"> </w:t>
      </w:r>
      <w:r>
        <w:rPr>
          <w:bCs/>
          <w:b/>
        </w:rPr>
        <w:t xml:space="preserve">Answer.</w:t>
      </w:r>
      <w:r>
        <w:t xml:space="preserve"> </w:t>
      </w:r>
      <w:r>
        <w:t xml:space="preserve">Vertical adds resources to one node: no code change, transactions stay local, but there is a ceiling, one failure domain and a rising cost per unit of throughput past the knee. Horizontal adds nodes: no ceiling and graceful degradation, but it needs stateless nodes, load distribution and a shared tier that can keep up. Scale the stateless tiers out from the start; scale the database up until its knee, then partition.</w:t>
      </w:r>
    </w:p>
    <w:p>
      <w:pPr>
        <w:pStyle w:val="BodyText"/>
      </w:pPr>
      <w:r>
        <w:rPr>
          <w:bCs/>
          <w:b/>
        </w:rPr>
        <w:t xml:space="preserve">Q2. How do you make a service stateless?</w:t>
      </w:r>
      <w:r>
        <w:t xml:space="preserve"> </w:t>
      </w:r>
      <w:r>
        <w:rPr>
          <w:bCs/>
          <w:b/>
        </w:rPr>
        <w:t xml:space="preserve">Answer.</w:t>
      </w:r>
      <w:r>
        <w:t xml:space="preserve"> </w:t>
      </w:r>
      <w:r>
        <w:t xml:space="preserve">Move every piece of request-spanning state to a tier built for it: sessions to a replicated session store or signed tokens, carts and drafts to the database, cached data to a shared cache, uploads to object storage, timers to a queue. Keep only rebuildable local caches. Add readiness probes and graceful shutdown so instances can be added and removed safely.</w:t>
      </w:r>
    </w:p>
    <w:bookmarkEnd w:id="2139"/>
    <w:bookmarkStart w:id="2140" w:name="intermediate-17"/>
    <w:p>
      <w:pPr>
        <w:pStyle w:val="Heading3"/>
      </w:pPr>
      <w:r>
        <w:t xml:space="preserve">Intermediate</w:t>
      </w:r>
    </w:p>
    <w:p>
      <w:pPr>
        <w:pStyle w:val="FirstParagraph"/>
      </w:pPr>
      <w:r>
        <w:rPr>
          <w:bCs/>
          <w:b/>
        </w:rPr>
        <w:t xml:space="preserve">Q3. Your API autoscales from 10 to 100 pods during a sale, and the database starts refusing connections. What happened and how do you fix it?</w:t>
      </w:r>
      <w:r>
        <w:t xml:space="preserve"> </w:t>
      </w:r>
      <w:r>
        <w:rPr>
          <w:bCs/>
          <w:b/>
        </w:rPr>
        <w:t xml:space="preserve">Answer.</w:t>
      </w:r>
      <w:r>
        <w:t xml:space="preserve"> </w:t>
      </w:r>
      <w:r>
        <w:t xml:space="preserve">Pods times pool size exceeded</w:t>
      </w:r>
      <w:r>
        <w:t xml:space="preserve"> </w:t>
      </w:r>
      <w:r>
        <w:rPr>
          <w:rStyle w:val="VerbatimChar"/>
        </w:rPr>
        <w:t xml:space="preserve">max_connections</w:t>
      </w:r>
      <w:r>
        <w:t xml:space="preserve"> </w:t>
      </w:r>
      <w:r>
        <w:t xml:space="preserve">minus reserved slots. Short term: lower pool sizes or cap replicas. Proper fix: a transaction-mode pooler such as PgBouncer, with server connections sized by Little’s Law (transaction rate × hold time × headroom), and a connection-budget check whenever replicas or pools change. Also verify that the database itself is not the real bottleneck.</w:t>
      </w:r>
    </w:p>
    <w:p>
      <w:pPr>
        <w:pStyle w:val="BodyText"/>
      </w:pPr>
      <w:r>
        <w:rPr>
          <w:bCs/>
          <w:b/>
        </w:rPr>
        <w:t xml:space="preserve">Q4. How do you choose the autoscaling metric and target?</w:t>
      </w:r>
      <w:r>
        <w:t xml:space="preserve"> </w:t>
      </w:r>
      <w:r>
        <w:rPr>
          <w:bCs/>
          <w:b/>
        </w:rPr>
        <w:t xml:space="preserve">Answer.</w:t>
      </w:r>
      <w:r>
        <w:t xml:space="preserve"> </w:t>
      </w:r>
      <w:r>
        <w:t xml:space="preserve">Pick a metric proportional to load and inversely proportional to replicas: CPU for CPU-bound services, in-flight requests for I/O-bound ones, backlog per worker for queues. Load-test to find the per-pod throughput at which p99 meets the objective (</w:t>
      </w:r>
      <m:oMath>
        <m:sSub>
          <m:e>
            <m:r>
              <m:t>u</m:t>
            </m:r>
          </m:e>
          <m:sub>
            <m:r>
              <m:t>s</m:t>
            </m:r>
            <m:r>
              <m:t>a</m:t>
            </m:r>
            <m:r>
              <m:t>f</m:t>
            </m:r>
            <m:r>
              <m:t>e</m:t>
            </m:r>
          </m:sub>
        </m:sSub>
      </m:oMath>
      <w:r>
        <w:t xml:space="preserve">), then lower the target by the load growth expected during the reaction time:</w:t>
      </w:r>
      <w:r>
        <w:t xml:space="preserve"> </w:t>
      </w:r>
      <m:oMath>
        <m:sSub>
          <m:e>
            <m:r>
              <m:t>u</m:t>
            </m:r>
          </m:e>
          <m:sub>
            <m:r>
              <m:t>s</m:t>
            </m:r>
            <m:r>
              <m:t>a</m:t>
            </m:r>
            <m:r>
              <m:t>f</m:t>
            </m:r>
            <m:r>
              <m:t>e</m:t>
            </m:r>
          </m:sub>
        </m:sSub>
        <m:r>
          <m:rPr>
            <m:sty m:val="p"/>
          </m:rPr>
          <m:t>/</m:t>
        </m:r>
        <m:d>
          <m:dPr>
            <m:begChr m:val="("/>
            <m:endChr m:val=")"/>
            <m:sepChr m:val=""/>
            <m:grow/>
          </m:dPr>
          <m:e>
            <m:r>
              <m:t>1</m:t>
            </m:r>
            <m:r>
              <m:rPr>
                <m:sty m:val="p"/>
              </m:rPr>
              <m:t>+</m:t>
            </m:r>
            <m:r>
              <m:t>r</m:t>
            </m:r>
            <m:sSub>
              <m:e>
                <m:r>
                  <m:t>T</m:t>
                </m:r>
              </m:e>
              <m:sub>
                <m:r>
                  <m:t>r</m:t>
                </m:r>
                <m:r>
                  <m:t>e</m:t>
                </m:r>
                <m:r>
                  <m:t>a</m:t>
                </m:r>
                <m:r>
                  <m:t>c</m:t>
                </m:r>
                <m:r>
                  <m:t>t</m:t>
                </m:r>
              </m:sub>
            </m:sSub>
          </m:e>
        </m:d>
      </m:oMath>
      <w:r>
        <w:t xml:space="preserve">. Add scheduled scaling for known peaks.</w:t>
      </w:r>
    </w:p>
    <w:bookmarkEnd w:id="2140"/>
    <w:bookmarkStart w:id="2141" w:name="advanced-17"/>
    <w:p>
      <w:pPr>
        <w:pStyle w:val="Heading3"/>
      </w:pPr>
      <w:r>
        <w:t xml:space="preserve">Advanced</w:t>
      </w:r>
    </w:p>
    <w:p>
      <w:pPr>
        <w:pStyle w:val="FirstParagraph"/>
      </w:pPr>
      <w:r>
        <w:rPr>
          <w:bCs/>
          <w:b/>
        </w:rPr>
        <w:t xml:space="preserve">Q5. Adding servers no longer increases throughput. How do you investigate?</w:t>
      </w:r>
      <w:r>
        <w:t xml:space="preserve"> </w:t>
      </w:r>
      <w:r>
        <w:rPr>
          <w:bCs/>
          <w:b/>
        </w:rPr>
        <w:t xml:space="preserve">Answer.</w:t>
      </w:r>
      <w:r>
        <w:t xml:space="preserve"> </w:t>
      </w:r>
      <w:r>
        <w:t xml:space="preserve">Measure throughput at several node counts and fit the USL. A large</w:t>
      </w:r>
      <w:r>
        <w:t xml:space="preserve"> </w:t>
      </w:r>
      <m:oMath>
        <m:r>
          <m:t>α</m:t>
        </m:r>
      </m:oMath>
      <w:r>
        <w:t xml:space="preserve"> </w:t>
      </w:r>
      <w:r>
        <w:t xml:space="preserve">points to a shared, serialized resource (a hot row, a global lock, a single primary); a significant</w:t>
      </w:r>
      <w:r>
        <w:t xml:space="preserve"> </w:t>
      </w:r>
      <m:oMath>
        <m:r>
          <m:t>β</m:t>
        </m:r>
      </m:oMath>
      <w:r>
        <w:t xml:space="preserve"> </w:t>
      </w:r>
      <w:r>
        <w:t xml:space="preserve">points to coordination that grows with node pairs (invalidation broadcasts, gossip, distributed locks). Confirm with per-resource utilization (USE, §2.6) and profiling. Fix the shared cost by partitioning or removing it; cap the autoscaler below the knee meanwhile.</w:t>
      </w:r>
    </w:p>
    <w:p>
      <w:pPr>
        <w:pStyle w:val="BodyText"/>
      </w:pPr>
      <w:r>
        <w:rPr>
          <w:bCs/>
          <w:b/>
        </w:rPr>
        <w:t xml:space="preserve">Q6. Walk through a capacity plan for a service growing from one city to several countries.</w:t>
      </w:r>
      <w:r>
        <w:t xml:space="preserve"> </w:t>
      </w:r>
      <w:r>
        <w:rPr>
          <w:bCs/>
          <w:b/>
        </w:rPr>
        <w:t xml:space="preserve">Answer.</w:t>
      </w:r>
      <w:r>
        <w:t xml:space="preserve"> </w:t>
      </w:r>
      <w:r>
        <w:t xml:space="preserve">Convert users to peak rates (busy-hour share, burst factor); measure per-node capacity at the latency objective; compute nodes at a target utilization; add N+2 or zone-safe redundancy and growth over lead time. For each shared component, compute when demand crosses usable capacity and subtract the fix’s lead time. Map each limit to an axis: X for stateless tiers, Y for very different workloads such as location updates, Z (cells, partitions) for write limits and data residency.</w:t>
      </w:r>
    </w:p>
    <w:bookmarkEnd w:id="2141"/>
    <w:bookmarkEnd w:id="2142"/>
    <w:bookmarkStart w:id="2143" w:name="practical-exercises-17"/>
    <w:p>
      <w:pPr>
        <w:pStyle w:val="Heading2"/>
      </w:pPr>
      <w:r>
        <w:t xml:space="preserve">18.15 Practical exercises</w:t>
      </w:r>
    </w:p>
    <w:p>
      <w:pPr>
        <w:numPr>
          <w:ilvl w:val="0"/>
          <w:numId w:val="1617"/>
        </w:numPr>
        <w:pStyle w:val="Compact"/>
      </w:pPr>
      <w:r>
        <w:t xml:space="preserve">Run the autoscaler simulation with a 2-minute load ramp and with</w:t>
      </w:r>
      <w:r>
        <w:t xml:space="preserve"> </w:t>
      </w:r>
      <w:r>
        <w:rPr>
          <w:rStyle w:val="VerbatimChar"/>
        </w:rPr>
        <w:t xml:space="preserve">STARTUP_S = 180</w:t>
      </w:r>
      <w:r>
        <w:t xml:space="preserve">. Find the highest target that avoids overload in each case and compare it with the formula in §18.8.4.</w:t>
      </w:r>
    </w:p>
    <w:p>
      <w:pPr>
        <w:numPr>
          <w:ilvl w:val="0"/>
          <w:numId w:val="1617"/>
        </w:numPr>
        <w:pStyle w:val="Compact"/>
      </w:pPr>
      <w:r>
        <w:t xml:space="preserve">Extend the capacity-plan program to compute PgBouncer server connections per stage, assuming 2 ms per query and that 40% of browse requests miss the cache.</w:t>
      </w:r>
    </w:p>
    <w:p>
      <w:pPr>
        <w:numPr>
          <w:ilvl w:val="0"/>
          <w:numId w:val="1617"/>
        </w:numPr>
        <w:pStyle w:val="Compact"/>
      </w:pPr>
      <w:r>
        <w:t xml:space="preserve">Load-test any small web service at 1, 2, 4, 8 and 16 workers, fit the USL coefficients and report</w:t>
      </w:r>
      <w:r>
        <w:t xml:space="preserve"> </w:t>
      </w:r>
      <m:oMath>
        <m:sSup>
          <m:e>
            <m:r>
              <m:t>N</m:t>
            </m:r>
          </m:e>
          <m:sup>
            <m:r>
              <m:rPr>
                <m:sty m:val="p"/>
              </m:rPr>
              <m:t>*</m:t>
            </m:r>
          </m:sup>
        </m:sSup>
      </m:oMath>
      <w:r>
        <w:t xml:space="preserve">.</w:t>
      </w:r>
    </w:p>
    <w:bookmarkEnd w:id="2143"/>
    <w:bookmarkStart w:id="2144" w:name="design-challenges-17"/>
    <w:p>
      <w:pPr>
        <w:pStyle w:val="Heading2"/>
      </w:pPr>
      <w:r>
        <w:t xml:space="preserve">18.16 Design challenges</w:t>
      </w:r>
    </w:p>
    <w:p>
      <w:pPr>
        <w:numPr>
          <w:ilvl w:val="0"/>
          <w:numId w:val="1618"/>
        </w:numPr>
        <w:pStyle w:val="Compact"/>
      </w:pPr>
      <w:r>
        <w:rPr>
          <w:bCs/>
          <w:b/>
        </w:rPr>
        <w:t xml:space="preserve">Ticket on-sale.</w:t>
      </w:r>
      <w:r>
        <w:t xml:space="preserve"> </w:t>
      </w:r>
      <w:r>
        <w:t xml:space="preserve">A concert-ticket service sees 100 times its normal load for 10 minutes when sales open. Design the scaling strategy: what is pre-scaled, what autoscales, what queues users, and how the inventory database avoids a hot row.</w:t>
      </w:r>
    </w:p>
    <w:p>
      <w:pPr>
        <w:numPr>
          <w:ilvl w:val="0"/>
          <w:numId w:val="1618"/>
        </w:numPr>
        <w:pStyle w:val="Compact"/>
      </w:pPr>
      <w:r>
        <w:rPr>
          <w:bCs/>
          <w:b/>
        </w:rPr>
        <w:t xml:space="preserve">QuickBite in a new continent.</w:t>
      </w:r>
      <w:r>
        <w:t xml:space="preserve"> </w:t>
      </w:r>
      <w:r>
        <w:t xml:space="preserve">Extend the S5 design to a continent with strict data-residency laws and a different payment provider. Decide what is global, what is per cell, and how a traveler’s account works across cells.</w:t>
      </w:r>
    </w:p>
    <w:bookmarkEnd w:id="2144"/>
    <w:bookmarkStart w:id="2145" w:name="references-17"/>
    <w:p>
      <w:pPr>
        <w:pStyle w:val="Heading2"/>
      </w:pPr>
      <w:r>
        <w:t xml:space="preserve">18.17 References</w:t>
      </w:r>
    </w:p>
    <w:p>
      <w:pPr>
        <w:numPr>
          <w:ilvl w:val="0"/>
          <w:numId w:val="1619"/>
        </w:numPr>
        <w:pStyle w:val="Compact"/>
      </w:pPr>
      <w:r>
        <w:t xml:space="preserve">Abbott, M. L., and Fisher, M. T.</w:t>
      </w:r>
      <w:r>
        <w:t xml:space="preserve"> </w:t>
      </w:r>
      <w:r>
        <w:rPr>
          <w:iCs/>
          <w:i/>
        </w:rPr>
        <w:t xml:space="preserve">The Art of Scalability: Scalable Web Architecture, Processes, and Organizations for the Modern Enterprise</w:t>
      </w:r>
      <w:r>
        <w:t xml:space="preserve">, 2nd ed. Addison-Wesley, 2015.</w:t>
      </w:r>
    </w:p>
    <w:p>
      <w:pPr>
        <w:numPr>
          <w:ilvl w:val="0"/>
          <w:numId w:val="1619"/>
        </w:numPr>
        <w:pStyle w:val="Compact"/>
      </w:pPr>
      <w:r>
        <w:t xml:space="preserve">Amazon Web Services.</w:t>
      </w:r>
      <w:r>
        <w:t xml:space="preserve"> </w:t>
      </w:r>
      <w:r>
        <w:rPr>
          <w:iCs/>
          <w:i/>
        </w:rPr>
        <w:t xml:space="preserve">Amazon EC2 Auto Scaling User Guide</w:t>
      </w:r>
      <w:r>
        <w:t xml:space="preserve">: target tracking scaling policies, instance warm-up, warm pools and predictive scaling. Accessed 2026.</w:t>
      </w:r>
    </w:p>
    <w:p>
      <w:pPr>
        <w:numPr>
          <w:ilvl w:val="0"/>
          <w:numId w:val="1619"/>
        </w:numPr>
        <w:pStyle w:val="Compact"/>
      </w:pPr>
      <w:r>
        <w:t xml:space="preserve">Amazon Web Services.</w:t>
      </w:r>
      <w:r>
        <w:t xml:space="preserve"> </w:t>
      </w:r>
      <w:r>
        <w:rPr>
          <w:iCs/>
          <w:i/>
        </w:rPr>
        <w:t xml:space="preserve">Reducing the Scope of Impact with Cell-Based Architecture</w:t>
      </w:r>
      <w:r>
        <w:t xml:space="preserve">. AWS Well-Architected whitepaper, 2023.</w:t>
      </w:r>
    </w:p>
    <w:p>
      <w:pPr>
        <w:numPr>
          <w:ilvl w:val="0"/>
          <w:numId w:val="1619"/>
        </w:numPr>
        <w:pStyle w:val="Compact"/>
      </w:pPr>
      <w:r>
        <w:t xml:space="preserve">Barroso, L. A., and Hölzle, U.</w:t>
      </w:r>
      <w:r>
        <w:t xml:space="preserve"> </w:t>
      </w:r>
      <w:r>
        <w:t xml:space="preserve">“</w:t>
      </w:r>
      <w:r>
        <w:t xml:space="preserve">The Case for Energy-Proportional Computing.</w:t>
      </w:r>
      <w:r>
        <w:t xml:space="preserve">”</w:t>
      </w:r>
      <w:r>
        <w:t xml:space="preserve"> </w:t>
      </w:r>
      <w:r>
        <w:rPr>
          <w:iCs/>
          <w:i/>
        </w:rPr>
        <w:t xml:space="preserve">IEEE Computer</w:t>
      </w:r>
      <w:r>
        <w:t xml:space="preserve"> </w:t>
      </w:r>
      <w:r>
        <w:t xml:space="preserve">40(12), 2007.</w:t>
      </w:r>
    </w:p>
    <w:p>
      <w:pPr>
        <w:numPr>
          <w:ilvl w:val="0"/>
          <w:numId w:val="1619"/>
        </w:numPr>
        <w:pStyle w:val="Compact"/>
      </w:pPr>
      <w:r>
        <w:t xml:space="preserve">Barroso, L. A., Hölzle, U., and Ranganathan, P.</w:t>
      </w:r>
      <w:r>
        <w:t xml:space="preserve"> </w:t>
      </w:r>
      <w:r>
        <w:rPr>
          <w:iCs/>
          <w:i/>
        </w:rPr>
        <w:t xml:space="preserve">The Datacenter as a Computer: Designing Warehouse-Scale Machines</w:t>
      </w:r>
      <w:r>
        <w:t xml:space="preserve">, 3rd ed. Morgan &amp; Claypool, 2018.</w:t>
      </w:r>
    </w:p>
    <w:p>
      <w:pPr>
        <w:numPr>
          <w:ilvl w:val="0"/>
          <w:numId w:val="1619"/>
        </w:numPr>
        <w:pStyle w:val="Compact"/>
      </w:pPr>
      <w:r>
        <w:t xml:space="preserve">Beyer, B., Jones, C., Petoff, J., and Murphy, N. R. (eds.).</w:t>
      </w:r>
      <w:r>
        <w:t xml:space="preserve"> </w:t>
      </w:r>
      <w:r>
        <w:rPr>
          <w:iCs/>
          <w:i/>
        </w:rPr>
        <w:t xml:space="preserve">Site Reliability Engineering: How Google Runs Production Systems</w:t>
      </w:r>
      <w:r>
        <w:t xml:space="preserve">. O’Reilly Media, 2016. Chapters 1, 2 and 18. https://sre.google/sre-book/table-of-contents/</w:t>
      </w:r>
    </w:p>
    <w:p>
      <w:pPr>
        <w:numPr>
          <w:ilvl w:val="0"/>
          <w:numId w:val="1619"/>
        </w:numPr>
        <w:pStyle w:val="Compact"/>
      </w:pPr>
      <w:r>
        <w:t xml:space="preserve">Craver, N.</w:t>
      </w:r>
      <w:r>
        <w:t xml:space="preserve"> </w:t>
      </w:r>
      <w:r>
        <w:t xml:space="preserve">“</w:t>
      </w:r>
      <w:r>
        <w:t xml:space="preserve">Stack Overflow: The Architecture – 2016 Edition.</w:t>
      </w:r>
      <w:r>
        <w:t xml:space="preserve">”</w:t>
      </w:r>
      <w:r>
        <w:t xml:space="preserve"> </w:t>
      </w:r>
      <w:r>
        <w:t xml:space="preserve">nickcraver.com, 2016.</w:t>
      </w:r>
    </w:p>
    <w:p>
      <w:pPr>
        <w:numPr>
          <w:ilvl w:val="0"/>
          <w:numId w:val="1619"/>
        </w:numPr>
        <w:pStyle w:val="Compact"/>
      </w:pPr>
      <w:r>
        <w:t xml:space="preserve">Gunther, N. J.</w:t>
      </w:r>
      <w:r>
        <w:t xml:space="preserve"> </w:t>
      </w:r>
      <w:r>
        <w:rPr>
          <w:iCs/>
          <w:i/>
        </w:rPr>
        <w:t xml:space="preserve">Guerrilla Capacity Planning: A Tactical Approach to Planning for Highly Scalable Applications and Services</w:t>
      </w:r>
      <w:r>
        <w:t xml:space="preserve">. Springer, 2007.</w:t>
      </w:r>
    </w:p>
    <w:p>
      <w:pPr>
        <w:numPr>
          <w:ilvl w:val="0"/>
          <w:numId w:val="1619"/>
        </w:numPr>
        <w:pStyle w:val="Compact"/>
      </w:pPr>
      <w:r>
        <w:t xml:space="preserve">Kubernetes Documentation.</w:t>
      </w:r>
      <w:r>
        <w:t xml:space="preserve"> </w:t>
      </w:r>
      <w:r>
        <w:t xml:space="preserve">“</w:t>
      </w:r>
      <w:r>
        <w:t xml:space="preserve">Horizontal Pod Autoscaling.</w:t>
      </w:r>
      <w:r>
        <w:t xml:space="preserve">”</w:t>
      </w:r>
      <w:r>
        <w:t xml:space="preserve"> </w:t>
      </w:r>
      <w:r>
        <w:t xml:space="preserve">kubernetes.io, accessed 2026.</w:t>
      </w:r>
    </w:p>
    <w:p>
      <w:pPr>
        <w:numPr>
          <w:ilvl w:val="0"/>
          <w:numId w:val="1619"/>
        </w:numPr>
        <w:pStyle w:val="Compact"/>
      </w:pPr>
      <w:r>
        <w:t xml:space="preserve">MacCárthaigh, C.</w:t>
      </w:r>
      <w:r>
        <w:t xml:space="preserve"> </w:t>
      </w:r>
      <w:r>
        <w:t xml:space="preserve">“</w:t>
      </w:r>
      <w:r>
        <w:t xml:space="preserve">Workload isolation using shuffle-sharding.</w:t>
      </w:r>
      <w:r>
        <w:t xml:space="preserve">”</w:t>
      </w:r>
      <w:r>
        <w:t xml:space="preserve"> </w:t>
      </w:r>
      <w:r>
        <w:rPr>
          <w:iCs/>
          <w:i/>
        </w:rPr>
        <w:t xml:space="preserve">Amazon Builders’ Library</w:t>
      </w:r>
      <w:r>
        <w:t xml:space="preserve">, 2019.</w:t>
      </w:r>
    </w:p>
    <w:p>
      <w:pPr>
        <w:numPr>
          <w:ilvl w:val="0"/>
          <w:numId w:val="1619"/>
        </w:numPr>
        <w:pStyle w:val="Compact"/>
      </w:pPr>
      <w:r>
        <w:t xml:space="preserve">Netflix Technology Blog.</w:t>
      </w:r>
      <w:r>
        <w:t xml:space="preserve"> </w:t>
      </w:r>
      <w:r>
        <w:t xml:space="preserve">“</w:t>
      </w:r>
      <w:r>
        <w:t xml:space="preserve">Scryer: Netflix’s Predictive Auto Scaling Engine.</w:t>
      </w:r>
      <w:r>
        <w:t xml:space="preserve">”</w:t>
      </w:r>
      <w:r>
        <w:t xml:space="preserve"> </w:t>
      </w:r>
      <w:r>
        <w:t xml:space="preserve">2013.</w:t>
      </w:r>
    </w:p>
    <w:p>
      <w:pPr>
        <w:numPr>
          <w:ilvl w:val="0"/>
          <w:numId w:val="1619"/>
        </w:numPr>
        <w:pStyle w:val="Compact"/>
      </w:pPr>
      <w:r>
        <w:t xml:space="preserve">PostgreSQL Global Development Group.</w:t>
      </w:r>
      <w:r>
        <w:t xml:space="preserve"> </w:t>
      </w:r>
      <w:r>
        <w:rPr>
          <w:iCs/>
          <w:i/>
        </w:rPr>
        <w:t xml:space="preserve">PostgreSQL Documentation</w:t>
      </w:r>
      <w:r>
        <w:t xml:space="preserve">:</w:t>
      </w:r>
      <w:r>
        <w:t xml:space="preserve"> </w:t>
      </w:r>
      <w:r>
        <w:t xml:space="preserve">“</w:t>
      </w:r>
      <w:r>
        <w:t xml:space="preserve">Connections and Authentication</w:t>
      </w:r>
      <w:r>
        <w:t xml:space="preserve">”</w:t>
      </w:r>
      <w:r>
        <w:t xml:space="preserve"> </w:t>
      </w:r>
      <w:r>
        <w:t xml:space="preserve">(</w:t>
      </w:r>
      <w:r>
        <w:rPr>
          <w:rStyle w:val="VerbatimChar"/>
        </w:rPr>
        <w:t xml:space="preserve">max_connections</w:t>
      </w:r>
      <w:r>
        <w:t xml:space="preserve">,</w:t>
      </w:r>
      <w:r>
        <w:t xml:space="preserve"> </w:t>
      </w:r>
      <w:r>
        <w:rPr>
          <w:rStyle w:val="VerbatimChar"/>
        </w:rPr>
        <w:t xml:space="preserve">superuser_reserved_connections</w:t>
      </w:r>
      <w:r>
        <w:t xml:space="preserve">). Accessed 2026.</w:t>
      </w:r>
    </w:p>
    <w:p>
      <w:pPr>
        <w:numPr>
          <w:ilvl w:val="0"/>
          <w:numId w:val="1619"/>
        </w:numPr>
        <w:pStyle w:val="Compact"/>
      </w:pPr>
      <w:r>
        <w:t xml:space="preserve">Weiss, B., and Furr, M.</w:t>
      </w:r>
      <w:r>
        <w:t xml:space="preserve"> </w:t>
      </w:r>
      <w:r>
        <w:t xml:space="preserve">“</w:t>
      </w:r>
      <w:r>
        <w:t xml:space="preserve">Static stability using Availability Zones.</w:t>
      </w:r>
      <w:r>
        <w:t xml:space="preserve">”</w:t>
      </w:r>
      <w:r>
        <w:t xml:space="preserve"> </w:t>
      </w:r>
      <w:r>
        <w:rPr>
          <w:iCs/>
          <w:i/>
        </w:rPr>
        <w:t xml:space="preserve">Amazon Builders’ Library</w:t>
      </w:r>
      <w:r>
        <w:t xml:space="preserve">, 2020.</w:t>
      </w:r>
    </w:p>
    <w:bookmarkEnd w:id="2145"/>
    <w:bookmarkStart w:id="2146" w:name="open-verification-items-17"/>
    <w:p>
      <w:pPr>
        <w:pStyle w:val="Heading2"/>
      </w:pPr>
      <w:r>
        <w:t xml:space="preserve">18.18 Open verification items</w:t>
      </w:r>
    </w:p>
    <w:p>
      <w:pPr>
        <w:numPr>
          <w:ilvl w:val="0"/>
          <w:numId w:val="1620"/>
        </w:numPr>
        <w:pStyle w:val="Compact"/>
      </w:pPr>
      <w:r>
        <w:t xml:space="preserve">Kubernetes HPA defaults (tolerance 0.1, 15 s sync period, 300 s scale-down stabilization) and the documentation URL, as of 2026.</w:t>
      </w:r>
    </w:p>
    <w:p>
      <w:pPr>
        <w:numPr>
          <w:ilvl w:val="0"/>
          <w:numId w:val="1620"/>
        </w:numPr>
        <w:pStyle w:val="Compact"/>
      </w:pPr>
      <w:r>
        <w:t xml:space="preserve">Largest general-purpose cloud instance sizes in Table 18.1, as of 2026.</w:t>
      </w:r>
    </w:p>
    <w:p>
      <w:pPr>
        <w:numPr>
          <w:ilvl w:val="0"/>
          <w:numId w:val="1620"/>
        </w:numPr>
        <w:pStyle w:val="Compact"/>
      </w:pPr>
      <w:r>
        <w:t xml:space="preserve">Stack Overflow server counts in [Craver 2016] and the post’s URL.</w:t>
      </w:r>
    </w:p>
    <w:p>
      <w:pPr>
        <w:numPr>
          <w:ilvl w:val="0"/>
          <w:numId w:val="1620"/>
        </w:numPr>
        <w:pStyle w:val="Compact"/>
      </w:pPr>
      <w:r>
        <w:t xml:space="preserve">Publication years of [Weiss and Furr 2020] and [Netflix 2013]; exact title of [AWS 2023].</w:t>
      </w:r>
    </w:p>
    <w:p>
      <w:pPr>
        <w:numPr>
          <w:ilvl w:val="0"/>
          <w:numId w:val="1620"/>
        </w:numPr>
        <w:pStyle w:val="Compact"/>
      </w:pPr>
      <w:r>
        <w:t xml:space="preserve">That the SRE book’s N+2 guidance and Auxon description are in the chapters cited.</w:t>
      </w:r>
    </w:p>
    <w:bookmarkEnd w:id="2146"/>
    <w:bookmarkEnd w:id="2147"/>
    <w:bookmarkStart w:id="2243" w:name="chapter-19-load-balancing"/>
    <w:p>
      <w:pPr>
        <w:pStyle w:val="Heading1"/>
      </w:pPr>
      <w:r>
        <w:t xml:space="preserve">Chapter 19 — Load Balancing</w:t>
      </w:r>
    </w:p>
    <w:p>
      <w:pPr>
        <w:pStyle w:val="BlockText"/>
      </w:pPr>
      <w:r>
        <w:rPr>
          <w:bCs/>
          <w:b/>
        </w:rPr>
        <w:t xml:space="preserve">Level:</w:t>
      </w:r>
      <w:r>
        <w:t xml:space="preserve"> </w:t>
      </w:r>
      <w:r>
        <w:t xml:space="preserve">2 ·</w:t>
      </w:r>
      <w:r>
        <w:t xml:space="preserve"> </w:t>
      </w:r>
      <w:r>
        <w:rPr>
          <w:bCs/>
          <w:b/>
        </w:rPr>
        <w:t xml:space="preserve">Track:</w:t>
      </w:r>
      <w:r>
        <w:t xml:space="preserve"> </w:t>
      </w:r>
      <w:r>
        <w:t xml:space="preserve">A (Traditional) ·</w:t>
      </w:r>
      <w:r>
        <w:t xml:space="preserve"> </w:t>
      </w:r>
      <w:r>
        <w:rPr>
          <w:bCs/>
          <w:b/>
        </w:rPr>
        <w:t xml:space="preserve">Estimated reading time:</w:t>
      </w:r>
      <w:r>
        <w:t xml:space="preserve"> </w:t>
      </w:r>
      <w:r>
        <w:t xml:space="preserve">5 h</w:t>
      </w:r>
    </w:p>
    <w:p>
      <w:pPr>
        <w:pStyle w:val="FirstParagraph"/>
      </w:pPr>
      <w:r>
        <w:t xml:space="preserve">Chapter 18 made the case for horizontal scaling: run many identical, stateless copies of a service instead of one big machine. That decision creates a new problem the moment you make it. Clients know one name,</w:t>
      </w:r>
      <w:r>
        <w:t xml:space="preserve"> </w:t>
      </w:r>
      <w:r>
        <w:rPr>
          <w:rStyle w:val="VerbatimChar"/>
        </w:rPr>
        <w:t xml:space="preserve">api.example.com</w:t>
      </w:r>
      <w:r>
        <w:t xml:space="preserve">, but there are now forty servers behind it. Something must pick a server for every connection or request, notice when a server dies, and keep doing so while servers come and go. That something is a</w:t>
      </w:r>
      <w:r>
        <w:t xml:space="preserve"> </w:t>
      </w:r>
      <w:r>
        <w:rPr>
          <w:bCs/>
          <w:b/>
        </w:rPr>
        <w:t xml:space="preserve">load balancer</w:t>
      </w:r>
      <w:r>
        <w:t xml:space="preserve">, and it sits on the critical path of almost every request in a modern system.</w:t>
      </w:r>
    </w:p>
    <w:p>
      <w:pPr>
        <w:pStyle w:val="BodyText"/>
      </w:pPr>
      <w:r>
        <w:t xml:space="preserve">Load balancing looks simple (</w:t>
      </w:r>
      <w:r>
        <w:t xml:space="preserve">“</w:t>
      </w:r>
      <w:r>
        <w:t xml:space="preserve">send each request to the next server</w:t>
      </w:r>
      <w:r>
        <w:t xml:space="preserve">”</w:t>
      </w:r>
      <w:r>
        <w:t xml:space="preserve">) and hides some of the most instructive ideas in system design. A balancer that ignores load can push slow servers into collapse while fast ones idle. A balancer that chases the least-loaded server can stampede it. A balancer that remembers which server holds a user’s session cannot also spread load perfectly. And a balancer is itself a server that can fail, so you must balance the balancers. This chapter works through each of these problems with the mechanism, the arithmetic and a simulation that you can run.</w:t>
      </w:r>
    </w:p>
    <w:bookmarkStart w:id="2148" w:name="learning-objectives-18"/>
    <w:p>
      <w:pPr>
        <w:pStyle w:val="Heading2"/>
      </w:pPr>
      <w:r>
        <w:t xml:space="preserve">19.1 Learning objectives</w:t>
      </w:r>
    </w:p>
    <w:p>
      <w:pPr>
        <w:pStyle w:val="FirstParagraph"/>
      </w:pPr>
      <w:r>
        <w:t xml:space="preserve">After this chapter you should be able to:</w:t>
      </w:r>
    </w:p>
    <w:p>
      <w:pPr>
        <w:numPr>
          <w:ilvl w:val="0"/>
          <w:numId w:val="1621"/>
        </w:numPr>
        <w:pStyle w:val="Compact"/>
      </w:pPr>
      <w:r>
        <w:t xml:space="preserve">Distinguish layer 4 from layer 7 load balancing, and choose between TLS termination, re-encryption and passthrough, and between NAT, full-proxy and direct server return forwarding.</w:t>
      </w:r>
    </w:p>
    <w:p>
      <w:pPr>
        <w:numPr>
          <w:ilvl w:val="0"/>
          <w:numId w:val="1621"/>
        </w:numPr>
        <w:pStyle w:val="Compact"/>
      </w:pPr>
      <w:r>
        <w:t xml:space="preserve">Implement round robin, smooth weighted round robin, least connections, EWMA-based least response time and power of two choices, and predict how each behaves on heterogeneous servers.</w:t>
      </w:r>
    </w:p>
    <w:p>
      <w:pPr>
        <w:numPr>
          <w:ilvl w:val="0"/>
          <w:numId w:val="1621"/>
        </w:numPr>
        <w:pStyle w:val="Compact"/>
      </w:pPr>
      <w:r>
        <w:t xml:space="preserve">State the maximum-load results for one and two random choices, and use a simulation to compare p99 queue lengths across algorithms, including with stale load information.</w:t>
      </w:r>
    </w:p>
    <w:p>
      <w:pPr>
        <w:numPr>
          <w:ilvl w:val="0"/>
          <w:numId w:val="1621"/>
        </w:numPr>
        <w:pStyle w:val="Compact"/>
      </w:pPr>
      <w:r>
        <w:t xml:space="preserve">Explain consistent hashing with bounded loads and Maglev hashing, build a Maglev lookup table and measure its disruption when a backend fails.</w:t>
      </w:r>
    </w:p>
    <w:p>
      <w:pPr>
        <w:numPr>
          <w:ilvl w:val="0"/>
          <w:numId w:val="1621"/>
        </w:numPr>
        <w:pStyle w:val="Compact"/>
      </w:pPr>
      <w:r>
        <w:t xml:space="preserve">Configure active and passive health checks, compute detection time and the requests lost during it, and avoid flapping and ejection cascades.</w:t>
      </w:r>
    </w:p>
    <w:p>
      <w:pPr>
        <w:numPr>
          <w:ilvl w:val="0"/>
          <w:numId w:val="1621"/>
        </w:numPr>
        <w:pStyle w:val="Compact"/>
      </w:pPr>
      <w:r>
        <w:t xml:space="preserve">Weigh session affinity methods (cookies, source-IP hashing, consistent hashing) against their costs.</w:t>
      </w:r>
    </w:p>
    <w:p>
      <w:pPr>
        <w:numPr>
          <w:ilvl w:val="0"/>
          <w:numId w:val="1621"/>
        </w:numPr>
        <w:pStyle w:val="Compact"/>
      </w:pPr>
      <w:r>
        <w:t xml:space="preserve">Design redundant load balancer tiers with VRRP, anycast and ECMP, compute failover times, and drain connections safely.</w:t>
      </w:r>
    </w:p>
    <w:p>
      <w:pPr>
        <w:numPr>
          <w:ilvl w:val="0"/>
          <w:numId w:val="1621"/>
        </w:numPr>
        <w:pStyle w:val="Compact"/>
      </w:pPr>
      <w:r>
        <w:t xml:space="preserve">Explain where DNS-based global server load balancing fits and where it falls short, and compare proxy, client-side, sidecar and lookaside load balancing.</w:t>
      </w:r>
    </w:p>
    <w:p>
      <w:pPr>
        <w:numPr>
          <w:ilvl w:val="0"/>
          <w:numId w:val="1621"/>
        </w:numPr>
        <w:pStyle w:val="Compact"/>
      </w:pPr>
      <w:r>
        <w:t xml:space="preserve">Compare NGINX, HAProxy, Envoy, AWS ALB/NLB and Google Maglev for a given workload.</w:t>
      </w:r>
    </w:p>
    <w:bookmarkEnd w:id="2148"/>
    <w:bookmarkStart w:id="2149" w:name="prerequisites-18"/>
    <w:p>
      <w:pPr>
        <w:pStyle w:val="Heading2"/>
      </w:pPr>
      <w:r>
        <w:t xml:space="preserve">19.2 Prerequisites</w:t>
      </w:r>
    </w:p>
    <w:p>
      <w:pPr>
        <w:numPr>
          <w:ilvl w:val="0"/>
          <w:numId w:val="1622"/>
        </w:numPr>
        <w:pStyle w:val="Compact"/>
      </w:pPr>
      <w:r>
        <w:t xml:space="preserve">IP routing, BGP and anycast — §7.5 (anycast and ECMP are how balancers themselves are made redundant).</w:t>
      </w:r>
    </w:p>
    <w:p>
      <w:pPr>
        <w:numPr>
          <w:ilvl w:val="0"/>
          <w:numId w:val="1622"/>
        </w:numPr>
        <w:pStyle w:val="Compact"/>
      </w:pPr>
      <w:r>
        <w:t xml:space="preserve">DNS resolution, TTLs and DNS-based load balancing — §7.6.4, §7.6.5 (global load balancing starts in DNS).</w:t>
      </w:r>
    </w:p>
    <w:p>
      <w:pPr>
        <w:numPr>
          <w:ilvl w:val="0"/>
          <w:numId w:val="1622"/>
        </w:numPr>
        <w:pStyle w:val="Compact"/>
      </w:pPr>
      <w:r>
        <w:t xml:space="preserve">TCP handshakes, TLS 1.3 and HTTP/2 multiplexing — §7.7, §7.9, §7.10 (they decide what a balancer can see and what a connection costs).</w:t>
      </w:r>
    </w:p>
    <w:p>
      <w:pPr>
        <w:numPr>
          <w:ilvl w:val="0"/>
          <w:numId w:val="1622"/>
        </w:numPr>
        <w:pStyle w:val="Compact"/>
      </w:pPr>
      <w:r>
        <w:t xml:space="preserve">Reverse proxies and NAT — §7.12, §7.13 (a load balancer is a reverse proxy or a NAT device with a selection policy).</w:t>
      </w:r>
    </w:p>
    <w:p>
      <w:pPr>
        <w:numPr>
          <w:ilvl w:val="0"/>
          <w:numId w:val="1622"/>
        </w:numPr>
        <w:pStyle w:val="Compact"/>
      </w:pPr>
      <w:r>
        <w:t xml:space="preserve">Queueing basics: utilization, M/M/1, shared versus separate queues, Little’s Law — §4.10, §4.11 (every algorithm here is an attempt to approximate one shared queue).</w:t>
      </w:r>
    </w:p>
    <w:p>
      <w:pPr>
        <w:numPr>
          <w:ilvl w:val="0"/>
          <w:numId w:val="1622"/>
        </w:numPr>
        <w:pStyle w:val="Compact"/>
      </w:pPr>
      <w:r>
        <w:t xml:space="preserve">Percentiles and tail latency — §4.8.</w:t>
      </w:r>
    </w:p>
    <w:p>
      <w:pPr>
        <w:numPr>
          <w:ilvl w:val="0"/>
          <w:numId w:val="1622"/>
        </w:numPr>
        <w:pStyle w:val="Compact"/>
      </w:pPr>
      <w:r>
        <w:t xml:space="preserve">Consistent hashing and virtual nodes — §14.8 (this chapter builds on it and does not repeat the derivations).</w:t>
      </w:r>
    </w:p>
    <w:p>
      <w:pPr>
        <w:numPr>
          <w:ilvl w:val="0"/>
          <w:numId w:val="1622"/>
        </w:numPr>
        <w:pStyle w:val="Compact"/>
      </w:pPr>
      <w:r>
        <w:t xml:space="preserve">Stateless versus stateful services — §18.5.</w:t>
      </w:r>
    </w:p>
    <w:bookmarkEnd w:id="2149"/>
    <w:bookmarkStart w:id="2163" w:name="layer-4-versus-layer-7-load-balancing"/>
    <w:p>
      <w:pPr>
        <w:pStyle w:val="Heading2"/>
      </w:pPr>
      <w:r>
        <w:t xml:space="preserve">19.3 Layer 4 versus layer 7 load balancing</w:t>
      </w:r>
    </w:p>
    <w:bookmarkStart w:id="2162" w:name="what-a-load-balancer-is"/>
    <w:p>
      <w:pPr>
        <w:pStyle w:val="Heading3"/>
      </w:pPr>
      <w:r>
        <w:t xml:space="preserve">19.3.1 What a load balancer is</w:t>
      </w:r>
    </w:p>
    <w:p>
      <w:pPr>
        <w:pStyle w:val="CalloutDefinition"/>
      </w:pPr>
      <w:r>
        <w:rPr>
          <w:bCs/>
          <w:b/>
        </w:rPr>
        <w:t xml:space="preserve">DEFINITION</w:t>
      </w:r>
    </w:p>
    <w:p>
      <w:pPr>
        <w:pStyle w:val="CalloutDefinition"/>
      </w:pPr>
      <w:r>
        <w:rPr>
          <w:bCs/>
          <w:b/>
        </w:rPr>
        <w:t xml:space="preserve">Definition — Load balancer.</w:t>
      </w:r>
      <w:r>
        <w:t xml:space="preserve"> </w:t>
      </w:r>
      <w:r>
        <w:t xml:space="preserve">A component that receives traffic addressed to a single service endpoint, the</w:t>
      </w:r>
      <w:r>
        <w:t xml:space="preserve"> </w:t>
      </w:r>
      <w:r>
        <w:rPr>
          <w:bCs/>
          <w:b/>
        </w:rPr>
        <w:t xml:space="preserve">virtual IP address (VIP)</w:t>
      </w:r>
      <w:r>
        <w:t xml:space="preserve"> </w:t>
      </w:r>
      <w:r>
        <w:t xml:space="preserve">or service name, and distributes it across a</w:t>
      </w:r>
      <w:r>
        <w:t xml:space="preserve"> </w:t>
      </w:r>
      <w:r>
        <w:rPr>
          <w:bCs/>
          <w:b/>
        </w:rPr>
        <w:t xml:space="preserve">pool</w:t>
      </w:r>
      <w:r>
        <w:t xml:space="preserve"> </w:t>
      </w:r>
      <w:r>
        <w:t xml:space="preserve">of</w:t>
      </w:r>
      <w:r>
        <w:t xml:space="preserve"> </w:t>
      </w:r>
      <w:r>
        <w:rPr>
          <w:bCs/>
          <w:b/>
        </w:rPr>
        <w:t xml:space="preserve">backends</w:t>
      </w:r>
      <w:r>
        <w:t xml:space="preserve"> </w:t>
      </w:r>
      <w:r>
        <w:t xml:space="preserve">(also called</w:t>
      </w:r>
      <w:r>
        <w:t xml:space="preserve"> </w:t>
      </w:r>
      <w:r>
        <w:rPr>
          <w:iCs/>
          <w:i/>
        </w:rPr>
        <w:t xml:space="preserve">upstreams</w:t>
      </w:r>
      <w:r>
        <w:t xml:space="preserve">,</w:t>
      </w:r>
      <w:r>
        <w:t xml:space="preserve"> </w:t>
      </w:r>
      <w:r>
        <w:rPr>
          <w:iCs/>
          <w:i/>
        </w:rPr>
        <w:t xml:space="preserve">targets</w:t>
      </w:r>
      <w:r>
        <w:t xml:space="preserve"> </w:t>
      </w:r>
      <w:r>
        <w:t xml:space="preserve">or</w:t>
      </w:r>
      <w:r>
        <w:t xml:space="preserve"> </w:t>
      </w:r>
      <w:r>
        <w:rPr>
          <w:iCs/>
          <w:i/>
        </w:rPr>
        <w:t xml:space="preserve">real servers</w:t>
      </w:r>
      <w:r>
        <w:t xml:space="preserve">) according to a</w:t>
      </w:r>
      <w:r>
        <w:t xml:space="preserve"> </w:t>
      </w:r>
      <w:r>
        <w:rPr>
          <w:bCs/>
          <w:b/>
        </w:rPr>
        <w:t xml:space="preserve">balancing algorithm</w:t>
      </w:r>
      <w:r>
        <w:t xml:space="preserve">, while excluding backends that are unhealthy.</w:t>
      </w:r>
    </w:p>
    <w:p>
      <w:pPr>
        <w:pStyle w:val="CalloutDefinition"/>
      </w:pPr>
      <w:r>
        <w:rPr>
          <w:bCs/>
          <w:b/>
        </w:rPr>
        <w:t xml:space="preserve">DEFINITION</w:t>
      </w:r>
    </w:p>
    <w:p>
      <w:pPr>
        <w:pStyle w:val="CalloutDefinition"/>
      </w:pPr>
      <w:r>
        <w:rPr>
          <w:bCs/>
          <w:b/>
        </w:rPr>
        <w:t xml:space="preserve">Definition — Layer 4 (L4) and layer 7 (L7) load balancing.</w:t>
      </w:r>
      <w:r>
        <w:t xml:space="preserve"> </w:t>
      </w:r>
      <w:r>
        <w:t xml:space="preserve">An</w:t>
      </w:r>
      <w:r>
        <w:t xml:space="preserve"> </w:t>
      </w:r>
      <w:r>
        <w:rPr>
          <w:bCs/>
          <w:b/>
        </w:rPr>
        <w:t xml:space="preserve">L4 load balancer</w:t>
      </w:r>
      <w:r>
        <w:t xml:space="preserve"> </w:t>
      </w:r>
      <w:r>
        <w:t xml:space="preserve">makes its decision from transport-layer information (IP addresses, ports, protocol) and balances</w:t>
      </w:r>
      <w:r>
        <w:t xml:space="preserve"> </w:t>
      </w:r>
      <w:r>
        <w:rPr>
          <w:bCs/>
          <w:b/>
        </w:rPr>
        <w:t xml:space="preserve">connections or flows</w:t>
      </w:r>
      <w:r>
        <w:t xml:space="preserve">: every packet of one TCP connection goes to the same backend. An</w:t>
      </w:r>
      <w:r>
        <w:t xml:space="preserve"> </w:t>
      </w:r>
      <w:r>
        <w:rPr>
          <w:bCs/>
          <w:b/>
        </w:rPr>
        <w:t xml:space="preserve">L7 load balancer</w:t>
      </w:r>
      <w:r>
        <w:t xml:space="preserve"> </w:t>
      </w:r>
      <w:r>
        <w:t xml:space="preserve">terminates the client connection, parses the application protocol (usually HTTP), and balances</w:t>
      </w:r>
      <w:r>
        <w:t xml:space="preserve"> </w:t>
      </w:r>
      <w:r>
        <w:rPr>
          <w:bCs/>
          <w:b/>
        </w:rPr>
        <w:t xml:space="preserve">requests</w:t>
      </w:r>
      <w:r>
        <w:t xml:space="preserve">: two requests on one connection may go to different backends.</w:t>
      </w:r>
    </w:p>
    <w:bookmarkStart w:id="2150" w:name="first-principles-explanation-117"/>
    <w:p>
      <w:pPr>
        <w:pStyle w:val="Heading4"/>
      </w:pPr>
      <w:r>
        <w:t xml:space="preserve">First-principles explanation</w:t>
      </w:r>
    </w:p>
    <w:p>
      <w:pPr>
        <w:pStyle w:val="FirstParagraph"/>
      </w:pPr>
      <w:r>
        <w:t xml:space="preserve">Picture a post office with twenty counters. An L4 balancer is a doorman who looks only at the envelope (sender, entrance) and sends each customer to a counter for the whole visit, however many errands they have. An L7 balancer is a receptionist who opens each letter, reads the errand, and sends each errand to the right counter. She is far more flexible, but opening letters takes time and trust: she must hold the keys to the envelopes (TLS keys).</w:t>
      </w:r>
    </w:p>
    <w:bookmarkEnd w:id="2150"/>
    <w:bookmarkStart w:id="2151" w:name="why-does-this-exist-72"/>
    <w:p>
      <w:pPr>
        <w:pStyle w:val="Heading4"/>
      </w:pPr>
      <w:r>
        <w:t xml:space="preserve">Why does this exist?</w:t>
      </w:r>
    </w:p>
    <w:p>
      <w:pPr>
        <w:pStyle w:val="FirstParagraph"/>
      </w:pPr>
      <w:r>
        <w:t xml:space="preserve">Both exist because of a trade-off between</w:t>
      </w:r>
      <w:r>
        <w:t xml:space="preserve"> </w:t>
      </w:r>
      <w:r>
        <w:rPr>
          <w:bCs/>
          <w:b/>
        </w:rPr>
        <w:t xml:space="preserve">cost per byte</w:t>
      </w:r>
      <w:r>
        <w:t xml:space="preserve"> </w:t>
      </w:r>
      <w:r>
        <w:t xml:space="preserve">and</w:t>
      </w:r>
      <w:r>
        <w:t xml:space="preserve"> </w:t>
      </w:r>
      <w:r>
        <w:rPr>
          <w:bCs/>
          <w:b/>
        </w:rPr>
        <w:t xml:space="preserve">intelligence per request</w:t>
      </w:r>
      <w:r>
        <w:t xml:space="preserve">. Network-level balancers carry terabits per second by touching only packet headers on commodity servers [Eisenbud et al. 2016]. Routing by path, retrying an idempotent</w:t>
      </w:r>
      <w:r>
        <w:t xml:space="preserve"> </w:t>
      </w:r>
      <w:r>
        <w:rPr>
          <w:rStyle w:val="VerbatimChar"/>
        </w:rPr>
        <w:t xml:space="preserve">GET</w:t>
      </w:r>
      <w:r>
        <w:t xml:space="preserve"> </w:t>
      </w:r>
      <w:r>
        <w:t xml:space="preserve">elsewhere, or spreading gRPC calls that share one HTTP/2 connection needs the request itself. Large sites stack both: L4 in front for scale, L7 behind for routing (Figure 19.9).</w:t>
      </w:r>
    </w:p>
    <w:bookmarkEnd w:id="2151"/>
    <w:bookmarkStart w:id="2152" w:name="how-it-works-internally-79"/>
    <w:p>
      <w:pPr>
        <w:pStyle w:val="Heading4"/>
      </w:pPr>
      <w:r>
        <w:t xml:space="preserve">How it works internally</w:t>
      </w:r>
    </w:p>
    <w:p>
      <w:pPr>
        <w:pStyle w:val="FirstParagraph"/>
      </w:pPr>
      <w:r>
        <w:t xml:space="preserve">An</w:t>
      </w:r>
      <w:r>
        <w:t xml:space="preserve"> </w:t>
      </w:r>
      <w:r>
        <w:rPr>
          <w:bCs/>
          <w:b/>
        </w:rPr>
        <w:t xml:space="preserve">L4 balancer</w:t>
      </w:r>
      <w:r>
        <w:t xml:space="preserve"> </w:t>
      </w:r>
      <w:r>
        <w:t xml:space="preserve">comes in two forms:</w:t>
      </w:r>
    </w:p>
    <w:p>
      <w:pPr>
        <w:numPr>
          <w:ilvl w:val="0"/>
          <w:numId w:val="1623"/>
        </w:numPr>
        <w:pStyle w:val="Compact"/>
      </w:pPr>
      <w:r>
        <w:rPr>
          <w:bCs/>
          <w:b/>
        </w:rPr>
        <w:t xml:space="preserve">Packet-forwarding L4</w:t>
      </w:r>
      <w:r>
        <w:t xml:space="preserve"> </w:t>
      </w:r>
      <w:r>
        <w:t xml:space="preserve">(Linux IPVS, Maglev, Meta’s Katran, AWS Network Load Balancer). It does not terminate TCP. For the first packet of a flow it picks a backend by hashing the</w:t>
      </w:r>
      <w:r>
        <w:t xml:space="preserve"> </w:t>
      </w:r>
      <w:r>
        <w:rPr>
          <w:bCs/>
          <w:b/>
        </w:rPr>
        <w:t xml:space="preserve">5-tuple</w:t>
      </w:r>
      <w:r>
        <w:t xml:space="preserve"> </w:t>
      </w:r>
      <w:r>
        <w:t xml:space="preserve">(source IP, source port, destination IP, destination port, protocol) or by algorithm, records the choice in a</w:t>
      </w:r>
      <w:r>
        <w:t xml:space="preserve"> </w:t>
      </w:r>
      <w:r>
        <w:rPr>
          <w:bCs/>
          <w:b/>
        </w:rPr>
        <w:t xml:space="preserve">connection-tracking table</w:t>
      </w:r>
      <w:r>
        <w:t xml:space="preserve">, and rewrites or encapsulates each packet toward that backend. The backend completes the TCP handshake with the client itself.</w:t>
      </w:r>
    </w:p>
    <w:p>
      <w:pPr>
        <w:numPr>
          <w:ilvl w:val="0"/>
          <w:numId w:val="1623"/>
        </w:numPr>
        <w:pStyle w:val="Compact"/>
      </w:pPr>
      <w:r>
        <w:rPr>
          <w:bCs/>
          <w:b/>
        </w:rPr>
        <w:t xml:space="preserve">Connection-terminating L4 proxy</w:t>
      </w:r>
      <w:r>
        <w:t xml:space="preserve"> </w:t>
      </w:r>
      <w:r>
        <w:t xml:space="preserve">(HAProxy</w:t>
      </w:r>
      <w:r>
        <w:t xml:space="preserve"> </w:t>
      </w:r>
      <w:r>
        <w:rPr>
          <w:rStyle w:val="VerbatimChar"/>
        </w:rPr>
        <w:t xml:space="preserve">mode tcp</w:t>
      </w:r>
      <w:r>
        <w:t xml:space="preserve">, NGINX</w:t>
      </w:r>
      <w:r>
        <w:t xml:space="preserve"> </w:t>
      </w:r>
      <w:r>
        <w:rPr>
          <w:rStyle w:val="VerbatimChar"/>
        </w:rPr>
        <w:t xml:space="preserve">stream</w:t>
      </w:r>
      <w:r>
        <w:t xml:space="preserve">). It accepts the client’s TCP connection, opens a second TCP connection to a chosen backend, and copies bytes in both directions without parsing them.</w:t>
      </w:r>
    </w:p>
    <w:p>
      <w:pPr>
        <w:pStyle w:val="FirstParagraph"/>
      </w:pPr>
      <w:r>
        <w:t xml:space="preserve">An</w:t>
      </w:r>
      <w:r>
        <w:t xml:space="preserve"> </w:t>
      </w:r>
      <w:r>
        <w:rPr>
          <w:bCs/>
          <w:b/>
        </w:rPr>
        <w:t xml:space="preserve">L7 balancer</w:t>
      </w:r>
      <w:r>
        <w:t xml:space="preserve"> </w:t>
      </w:r>
      <w:r>
        <w:t xml:space="preserve">(NGINX</w:t>
      </w:r>
      <w:r>
        <w:t xml:space="preserve"> </w:t>
      </w:r>
      <w:r>
        <w:rPr>
          <w:rStyle w:val="VerbatimChar"/>
        </w:rPr>
        <w:t xml:space="preserve">http</w:t>
      </w:r>
      <w:r>
        <w:t xml:space="preserve">, HAProxy</w:t>
      </w:r>
      <w:r>
        <w:t xml:space="preserve"> </w:t>
      </w:r>
      <w:r>
        <w:rPr>
          <w:rStyle w:val="VerbatimChar"/>
        </w:rPr>
        <w:t xml:space="preserve">mode http</w:t>
      </w:r>
      <w:r>
        <w:t xml:space="preserve">, Envoy, AWS Application Load Balancer) always terminates:</w:t>
      </w:r>
    </w:p>
    <w:p>
      <w:pPr>
        <w:numPr>
          <w:ilvl w:val="0"/>
          <w:numId w:val="1624"/>
        </w:numPr>
        <w:pStyle w:val="Compact"/>
      </w:pPr>
      <w:r>
        <w:t xml:space="preserve">Accept the client TCP connection and, for HTTPS, complete the TLS handshake with the site’s certificate (</w:t>
      </w:r>
      <w:r>
        <w:rPr>
          <w:bCs/>
          <w:b/>
        </w:rPr>
        <w:t xml:space="preserve">TLS termination</w:t>
      </w:r>
      <w:r>
        <w:t xml:space="preserve">).</w:t>
      </w:r>
    </w:p>
    <w:p>
      <w:pPr>
        <w:numPr>
          <w:ilvl w:val="0"/>
          <w:numId w:val="1624"/>
        </w:numPr>
        <w:pStyle w:val="Compact"/>
      </w:pPr>
      <w:r>
        <w:t xml:space="preserve">Parse each HTTP request: method, path,</w:t>
      </w:r>
      <w:r>
        <w:t xml:space="preserve"> </w:t>
      </w:r>
      <w:r>
        <w:rPr>
          <w:rStyle w:val="VerbatimChar"/>
        </w:rPr>
        <w:t xml:space="preserve">Host</w:t>
      </w:r>
      <w:r>
        <w:t xml:space="preserve">, headers.</w:t>
      </w:r>
    </w:p>
    <w:p>
      <w:pPr>
        <w:numPr>
          <w:ilvl w:val="0"/>
          <w:numId w:val="1624"/>
        </w:numPr>
        <w:pStyle w:val="Compact"/>
      </w:pPr>
      <w:r>
        <w:t xml:space="preserve">Apply</w:t>
      </w:r>
      <w:r>
        <w:t xml:space="preserve"> </w:t>
      </w:r>
      <w:r>
        <w:rPr>
          <w:bCs/>
          <w:b/>
        </w:rPr>
        <w:t xml:space="preserve">routing rules</w:t>
      </w:r>
      <w:r>
        <w:t xml:space="preserve"> </w:t>
      </w:r>
      <w:r>
        <w:t xml:space="preserve">(host- and path-based) to choose a pool, then the balancing algorithm to choose a backend in it.</w:t>
      </w:r>
    </w:p>
    <w:p>
      <w:pPr>
        <w:numPr>
          <w:ilvl w:val="0"/>
          <w:numId w:val="1624"/>
        </w:numPr>
        <w:pStyle w:val="Compact"/>
      </w:pPr>
      <w:r>
        <w:t xml:space="preserve">Forward the request over a pooled, often long-lived connection to the backend, adding headers such as</w:t>
      </w:r>
      <w:r>
        <w:t xml:space="preserve"> </w:t>
      </w:r>
      <w:r>
        <w:rPr>
          <w:rStyle w:val="VerbatimChar"/>
        </w:rPr>
        <w:t xml:space="preserve">X-Forwarded-For</w:t>
      </w:r>
      <w:r>
        <w:t xml:space="preserve"> </w:t>
      </w:r>
      <w:r>
        <w:t xml:space="preserve">(§7.12).</w:t>
      </w:r>
    </w:p>
    <w:p>
      <w:pPr>
        <w:numPr>
          <w:ilvl w:val="0"/>
          <w:numId w:val="1624"/>
        </w:numPr>
        <w:pStyle w:val="Compact"/>
      </w:pPr>
      <w:r>
        <w:t xml:space="preserve">Stream the response back, optionally compressing, caching or retrying on failure.</w:t>
      </w:r>
    </w:p>
    <w:p>
      <w:pPr>
        <w:pStyle w:val="FirstParagraph"/>
      </w:pPr>
      <w:r>
        <w:rPr>
          <w:bCs/>
          <w:b/>
        </w:rPr>
        <w:t xml:space="preserve">TLS choices.</w:t>
      </w:r>
      <w:r>
        <w:t xml:space="preserve"> </w:t>
      </w:r>
      <w:r>
        <w:t xml:space="preserve">With</w:t>
      </w:r>
      <w:r>
        <w:t xml:space="preserve"> </w:t>
      </w:r>
      <w:r>
        <w:rPr>
          <w:bCs/>
          <w:b/>
        </w:rPr>
        <w:t xml:space="preserve">termination</w:t>
      </w:r>
      <w:r>
        <w:t xml:space="preserve">, the balancer decrypts and forwards plaintext inside the private network. With</w:t>
      </w:r>
      <w:r>
        <w:t xml:space="preserve"> </w:t>
      </w:r>
      <w:r>
        <w:rPr>
          <w:bCs/>
          <w:b/>
        </w:rPr>
        <w:t xml:space="preserve">re-encryption</w:t>
      </w:r>
      <w:r>
        <w:t xml:space="preserve"> </w:t>
      </w:r>
      <w:r>
        <w:t xml:space="preserve">(TLS bridging), it decrypts, inspects, and opens a new TLS connection to the backend, which zero-trust networks (§10.10) often require. With</w:t>
      </w:r>
      <w:r>
        <w:t xml:space="preserve"> </w:t>
      </w:r>
      <w:r>
        <w:rPr>
          <w:bCs/>
          <w:b/>
        </w:rPr>
        <w:t xml:space="preserve">passthrough</w:t>
      </w:r>
      <w:r>
        <w:t xml:space="preserve">, an L4 balancer forwards encrypted bytes untouched and may route on the</w:t>
      </w:r>
      <w:r>
        <w:t xml:space="preserve"> </w:t>
      </w:r>
      <w:r>
        <w:rPr>
          <w:bCs/>
          <w:b/>
        </w:rPr>
        <w:t xml:space="preserve">Server Name Indication (SNI)</w:t>
      </w:r>
      <w:r>
        <w:t xml:space="preserve"> </w:t>
      </w:r>
      <w:r>
        <w:t xml:space="preserve">field, which travels unencrypted in the TLS ClientHello; it cannot see paths or headers, but certificates and keys stay on the backends.</w:t>
      </w:r>
    </w:p>
    <w:bookmarkEnd w:id="2152"/>
    <w:bookmarkStart w:id="2156" w:name="architecture-diagram-19"/>
    <w:p>
      <w:pPr>
        <w:pStyle w:val="Heading4"/>
      </w:pPr>
      <w:r>
        <w:t xml:space="preserve">Architecture diagram</w:t>
      </w:r>
    </w:p>
    <w:p>
      <w:pPr>
        <w:pStyle w:val="FirstParagraph"/>
      </w:pPr>
      <w:r>
        <w:rPr>
          <w:bCs/>
          <w:b/>
        </w:rPr>
        <w:t xml:space="preserve">Figure 19.1 — An L4 balancer forwards flows; an L7 balancer terminates connections and routes requests.</w:t>
      </w:r>
    </w:p>
    <w:p>
      <w:pPr>
        <w:pStyle w:val="BodyText"/>
      </w:pPr>
      <w:r>
        <w:drawing>
          <wp:inline>
            <wp:extent cx="5334000" cy="870419"/>
            <wp:effectExtent b="0" l="0" r="0" t="0"/>
            <wp:docPr descr="" title="" id="2154" name="Picture"/>
            <a:graphic>
              <a:graphicData uri="http://schemas.openxmlformats.org/drawingml/2006/picture">
                <pic:pic>
                  <pic:nvPicPr>
                    <pic:cNvPr descr="/home/user/System-Design/build/.cache/diagrams/a7674c1aeedd.png" id="2155" name="Picture"/>
                    <pic:cNvPicPr>
                      <a:picLocks noChangeArrowheads="1" noChangeAspect="1"/>
                    </pic:cNvPicPr>
                  </pic:nvPicPr>
                  <pic:blipFill>
                    <a:blip r:embed="rId2153"/>
                    <a:stretch>
                      <a:fillRect/>
                    </a:stretch>
                  </pic:blipFill>
                  <pic:spPr bwMode="auto">
                    <a:xfrm>
                      <a:off x="0" y="0"/>
                      <a:ext cx="5334000" cy="870419"/>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client opens one TCP connection to the VIP. The L4 balancer hashes the 5-tuple, records the choice in its connection table, and sends every packet of the flow to the same L7 proxy. The proxy terminates TCP and TLS, reads each HTTP request, and routes</w:t>
      </w:r>
      <w:r>
        <w:t xml:space="preserve"> </w:t>
      </w:r>
      <w:r>
        <w:rPr>
          <w:rStyle w:val="VerbatimChar"/>
        </w:rPr>
        <w:t xml:space="preserve">/api/search</w:t>
      </w:r>
      <w:r>
        <w:t xml:space="preserve"> </w:t>
      </w:r>
      <w:r>
        <w:t xml:space="preserve">and</w:t>
      </w:r>
      <w:r>
        <w:t xml:space="preserve"> </w:t>
      </w:r>
      <w:r>
        <w:rPr>
          <w:rStyle w:val="VerbatimChar"/>
        </w:rPr>
        <w:t xml:space="preserve">/api/cart</w:t>
      </w:r>
      <w:r>
        <w:t xml:space="preserve"> </w:t>
      </w:r>
      <w:r>
        <w:t xml:space="preserve">to different services over pooled HTTP/2 connections. All arrows are synchronous. The cart database is the only storage boundary. Failure points: a lost L4 node breaks its flows unless peers can rebuild the mapping (§19.8); a lost L7 proxy breaks the connections it terminated. Scaling: add L4 nodes behind ECMP and L7 proxies behind the L4 tier.</w:t>
      </w:r>
    </w:p>
    <w:bookmarkEnd w:id="2156"/>
    <w:bookmarkStart w:id="2160" w:name="X1caf389e179c7056d24300d6bb1c6507dde3143"/>
    <w:p>
      <w:pPr>
        <w:pStyle w:val="Heading4"/>
      </w:pPr>
      <w:r>
        <w:t xml:space="preserve">Forwarding modes and direct server return</w:t>
      </w:r>
    </w:p>
    <w:p>
      <w:pPr>
        <w:pStyle w:val="FirstParagraph"/>
      </w:pPr>
      <w:r>
        <w:t xml:space="preserve">A packet-forwarding balancer must decide how replies get back to the client.</w:t>
      </w:r>
    </w:p>
    <w:p>
      <w:pPr>
        <w:pStyle w:val="CalloutDefinition"/>
      </w:pPr>
      <w:r>
        <w:rPr>
          <w:bCs/>
          <w:b/>
        </w:rPr>
        <w:t xml:space="preserve">DEFINITION</w:t>
      </w:r>
    </w:p>
    <w:p>
      <w:pPr>
        <w:pStyle w:val="CalloutDefinition"/>
      </w:pPr>
      <w:r>
        <w:rPr>
          <w:bCs/>
          <w:b/>
        </w:rPr>
        <w:t xml:space="preserve">Definition — Direct server return (DSR).</w:t>
      </w:r>
      <w:r>
        <w:t xml:space="preserve"> </w:t>
      </w:r>
      <w:r>
        <w:t xml:space="preserve">A forwarding mode in which the balancer delivers request packets to the backend but the backend sends responses</w:t>
      </w:r>
      <w:r>
        <w:t xml:space="preserve"> </w:t>
      </w:r>
      <w:r>
        <w:rPr>
          <w:bCs/>
          <w:b/>
        </w:rPr>
        <w:t xml:space="preserve">directly to the client</w:t>
      </w:r>
      <w:r>
        <w:t xml:space="preserve">, using the VIP as its source address, bypassing the balancer on the return path.</w:t>
      </w:r>
    </w:p>
    <w:p>
      <w:pPr>
        <w:pStyle w:val="BodyText"/>
      </w:pPr>
      <w:r>
        <w:rPr>
          <w:bCs/>
          <w:b/>
        </w:rPr>
        <w:t xml:space="preserve">Figure 19.2 — Full-proxy (NAT) forwarding versus direct server return.</w:t>
      </w:r>
    </w:p>
    <w:p>
      <w:pPr>
        <w:pStyle w:val="BodyText"/>
      </w:pPr>
      <w:r>
        <w:drawing>
          <wp:inline>
            <wp:extent cx="5334000" cy="3035840"/>
            <wp:effectExtent b="0" l="0" r="0" t="0"/>
            <wp:docPr descr="" title="" id="2158" name="Picture"/>
            <a:graphic>
              <a:graphicData uri="http://schemas.openxmlformats.org/drawingml/2006/picture">
                <pic:pic>
                  <pic:nvPicPr>
                    <pic:cNvPr descr="/home/user/System-Design/build/.cache/diagrams/e509b703352d.png" id="2159" name="Picture"/>
                    <pic:cNvPicPr>
                      <a:picLocks noChangeArrowheads="1" noChangeAspect="1"/>
                    </pic:cNvPicPr>
                  </pic:nvPicPr>
                  <pic:blipFill>
                    <a:blip r:embed="rId2157"/>
                    <a:stretch>
                      <a:fillRect/>
                    </a:stretch>
                  </pic:blipFill>
                  <pic:spPr bwMode="auto">
                    <a:xfrm>
                      <a:off x="0" y="0"/>
                      <a:ext cx="5334000" cy="3035840"/>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In the upper half every byte, in both directions, passes through the balancer, which rewrites addresses each way; the backend learns the client’s address only if the balancer passes it (PROXY protocol or</w:t>
      </w:r>
      <w:r>
        <w:t xml:space="preserve"> </w:t>
      </w:r>
      <w:r>
        <w:rPr>
          <w:rStyle w:val="VerbatimChar"/>
        </w:rPr>
        <w:t xml:space="preserve">X-Forwarded-For</w:t>
      </w:r>
      <w:r>
        <w:t xml:space="preserve">). In the lower half the balancer forwards only requests, by rewriting the destination MAC address (same layer-2 segment) or by wrapping the packet in an outer IP header (IP-in-IP, GRE, GUE). The backend holds the VIP on a loopback interface and replies from it straight to the client. All flows are synchronous. Failure points: with DSR the balancer never sees responses, so it cannot notice a backend that never answers, and tunnel headers shrink the usable MTU. Scaling: response bytes never load the balancer.</w:t>
      </w:r>
    </w:p>
    <w:p>
      <w:pPr>
        <w:pStyle w:val="CalloutFormula"/>
      </w:pPr>
      <w:r>
        <w:rPr>
          <w:bCs/>
          <w:b/>
        </w:rPr>
        <w:t xml:space="preserve">FORMULA</w:t>
      </w:r>
    </w:p>
    <w:p>
      <w:pPr>
        <w:pStyle w:val="CalloutFormula"/>
      </w:pPr>
      <w:r>
        <w:rPr>
          <w:bCs/>
          <w:b/>
        </w:rPr>
        <w:t xml:space="preserve">Balancer bandwidth by forwarding mode</w:t>
      </w:r>
    </w:p>
    <w:p>
      <w:pPr>
        <w:pStyle w:val="CalloutFormula"/>
      </w:pPr>
      <m:oMathPara>
        <m:oMathParaPr>
          <m:jc m:val="center"/>
        </m:oMathParaPr>
        <m:oMath>
          <m:sSub>
            <m:e>
              <m:r>
                <m:t>B</m:t>
              </m:r>
            </m:e>
            <m:sub>
              <m:r>
                <m:rPr>
                  <m:nor/>
                  <m:sty m:val="p"/>
                </m:rPr>
                <m:t>proxy</m:t>
              </m:r>
            </m:sub>
          </m:sSub>
          <m:r>
            <m:rPr>
              <m:sty m:val="p"/>
            </m:rPr>
            <m:t>=</m:t>
          </m:r>
          <m:r>
            <m:t>R</m:t>
          </m:r>
          <m:r>
            <m:t> </m:t>
          </m:r>
          <m:d>
            <m:dPr>
              <m:begChr m:val="("/>
              <m:endChr m:val=")"/>
              <m:sepChr m:val=""/>
              <m:grow/>
            </m:dPr>
            <m:e>
              <m:sSub>
                <m:e>
                  <m:r>
                    <m:t>s</m:t>
                  </m:r>
                </m:e>
                <m:sub>
                  <m:r>
                    <m:rPr>
                      <m:nor/>
                      <m:sty m:val="p"/>
                    </m:rPr>
                    <m:t>req</m:t>
                  </m:r>
                </m:sub>
              </m:sSub>
              <m:r>
                <m:rPr>
                  <m:sty m:val="p"/>
                </m:rPr>
                <m:t>+</m:t>
              </m:r>
              <m:sSub>
                <m:e>
                  <m:r>
                    <m:t>s</m:t>
                  </m:r>
                </m:e>
                <m:sub>
                  <m:r>
                    <m:rPr>
                      <m:nor/>
                      <m:sty m:val="p"/>
                    </m:rPr>
                    <m:t>resp</m:t>
                  </m:r>
                </m:sub>
              </m:sSub>
            </m:e>
          </m:d>
          <m:r>
            <m:rPr>
              <m:sty m:val="p"/>
            </m:rPr>
            <m:t>,</m:t>
          </m:r>
          <m:r>
            <m:t>  </m:t>
          </m:r>
          <m:sSub>
            <m:e>
              <m:r>
                <m:t>B</m:t>
              </m:r>
            </m:e>
            <m:sub>
              <m:r>
                <m:rPr>
                  <m:nor/>
                  <m:sty m:val="p"/>
                </m:rPr>
                <m:t>DSR</m:t>
              </m:r>
            </m:sub>
          </m:sSub>
          <m:r>
            <m:rPr>
              <m:sty m:val="p"/>
            </m:rPr>
            <m:t>=</m:t>
          </m:r>
          <m:r>
            <m:t>R</m:t>
          </m:r>
          <m:r>
            <m:t> </m:t>
          </m:r>
          <m:sSub>
            <m:e>
              <m:r>
                <m:t>s</m:t>
              </m:r>
            </m:e>
            <m:sub>
              <m:r>
                <m:rPr>
                  <m:nor/>
                  <m:sty m:val="p"/>
                </m:rPr>
                <m:t>req</m:t>
              </m:r>
            </m:sub>
          </m:sSub>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B</m:t>
                  </m:r>
                </m:e>
                <m:sub>
                  <m:r>
                    <m:rPr>
                      <m:nor/>
                      <m:sty m:val="p"/>
                    </m:rPr>
                    <m:t>proxy</m:t>
                  </m:r>
                </m:sub>
              </m:sSub>
            </m:oMath>
          </w:p>
        </w:tc>
        <w:tc>
          <w:tcPr/>
          <w:p>
            <w:pPr>
              <w:pStyle w:val="Compact"/>
              <w:jc w:val="left"/>
            </w:pPr>
            <w:r>
              <w:t xml:space="preserve">Bandwidth through the balancer when both directions cross it</w:t>
            </w:r>
          </w:p>
        </w:tc>
        <w:tc>
          <w:tcPr/>
          <w:p>
            <w:pPr>
              <w:pStyle w:val="Compact"/>
              <w:jc w:val="left"/>
            </w:pPr>
            <w:r>
              <w:t xml:space="preserve">bytes/second</w:t>
            </w:r>
          </w:p>
        </w:tc>
      </w:tr>
      <w:tr>
        <w:tc>
          <w:tcPr/>
          <w:p>
            <w:pPr>
              <w:pStyle w:val="Compact"/>
              <w:jc w:val="left"/>
            </w:pPr>
            <m:oMath>
              <m:sSub>
                <m:e>
                  <m:r>
                    <m:t>B</m:t>
                  </m:r>
                </m:e>
                <m:sub>
                  <m:r>
                    <m:rPr>
                      <m:nor/>
                      <m:sty m:val="p"/>
                    </m:rPr>
                    <m:t>DSR</m:t>
                  </m:r>
                </m:sub>
              </m:sSub>
            </m:oMath>
          </w:p>
        </w:tc>
        <w:tc>
          <w:tcPr/>
          <w:p>
            <w:pPr>
              <w:pStyle w:val="Compact"/>
              <w:jc w:val="left"/>
            </w:pPr>
            <w:r>
              <w:t xml:space="preserve">Bandwidth through the balancer with direct server return</w:t>
            </w:r>
          </w:p>
        </w:tc>
        <w:tc>
          <w:tcPr/>
          <w:p>
            <w:pPr>
              <w:pStyle w:val="Compact"/>
              <w:jc w:val="left"/>
            </w:pPr>
            <w:r>
              <w:t xml:space="preserve">bytes/second</w:t>
            </w:r>
          </w:p>
        </w:tc>
      </w:tr>
      <w:tr>
        <w:tc>
          <w:tcPr/>
          <w:p>
            <w:pPr>
              <w:pStyle w:val="Compact"/>
              <w:jc w:val="left"/>
            </w:pPr>
            <m:oMath>
              <m:r>
                <m:t>R</m:t>
              </m:r>
            </m:oMath>
          </w:p>
        </w:tc>
        <w:tc>
          <w:tcPr/>
          <w:p>
            <w:pPr>
              <w:pStyle w:val="Compact"/>
              <w:jc w:val="left"/>
            </w:pPr>
            <w:r>
              <w:t xml:space="preserve">Request rate</w:t>
            </w:r>
          </w:p>
        </w:tc>
        <w:tc>
          <w:tcPr/>
          <w:p>
            <w:pPr>
              <w:pStyle w:val="Compact"/>
              <w:jc w:val="left"/>
            </w:pPr>
            <w:r>
              <w:t xml:space="preserve">requests/second</w:t>
            </w:r>
          </w:p>
        </w:tc>
      </w:tr>
      <w:tr>
        <w:tc>
          <w:tcPr/>
          <w:p>
            <w:pPr>
              <w:pStyle w:val="Compact"/>
              <w:jc w:val="left"/>
            </w:pPr>
            <m:oMath>
              <m:sSub>
                <m:e>
                  <m:r>
                    <m:t>s</m:t>
                  </m:r>
                </m:e>
                <m:sub>
                  <m:r>
                    <m:rPr>
                      <m:nor/>
                      <m:sty m:val="p"/>
                    </m:rPr>
                    <m:t>req</m:t>
                  </m:r>
                </m:sub>
              </m:sSub>
            </m:oMath>
            <w:r>
              <w:t xml:space="preserve">,</w:t>
            </w:r>
            <w:r>
              <w:t xml:space="preserve"> </w:t>
            </w:r>
            <m:oMath>
              <m:sSub>
                <m:e>
                  <m:r>
                    <m:t>s</m:t>
                  </m:r>
                </m:e>
                <m:sub>
                  <m:r>
                    <m:rPr>
                      <m:nor/>
                      <m:sty m:val="p"/>
                    </m:rPr>
                    <m:t>resp</m:t>
                  </m:r>
                </m:sub>
              </m:sSub>
            </m:oMath>
          </w:p>
        </w:tc>
        <w:tc>
          <w:tcPr/>
          <w:p>
            <w:pPr>
              <w:pStyle w:val="Compact"/>
              <w:jc w:val="left"/>
            </w:pPr>
            <w:r>
              <w:t xml:space="preserve">Average request and response size on the wire</w:t>
            </w:r>
          </w:p>
        </w:tc>
        <w:tc>
          <w:tcPr/>
          <w:p>
            <w:pPr>
              <w:pStyle w:val="Compact"/>
              <w:jc w:val="left"/>
            </w:pPr>
            <w:r>
              <w:t xml:space="preserve">bytes</w:t>
            </w:r>
          </w:p>
        </w:tc>
      </w:tr>
    </w:tbl>
    <w:p>
      <w:pPr>
        <w:pStyle w:val="CalloutExample"/>
      </w:pPr>
      <w:r>
        <w:rPr>
          <w:bCs/>
          <w:b/>
        </w:rPr>
        <w:t xml:space="preserve">WORKED EXAMPLE</w:t>
      </w:r>
    </w:p>
    <w:p>
      <w:pPr>
        <w:pStyle w:val="CalloutExample"/>
      </w:pPr>
      <w:r>
        <w:rPr>
          <w:bCs/>
          <w:b/>
        </w:rPr>
        <w:t xml:space="preserve">Worked example — a video-thumbnail service.</w:t>
      </w:r>
      <w:r>
        <w:t xml:space="preserve"> </w:t>
      </w:r>
      <m:oMath>
        <m:r>
          <m:t>R</m:t>
        </m:r>
        <m:r>
          <m:rPr>
            <m:sty m:val="p"/>
          </m:rPr>
          <m:t>=</m:t>
        </m:r>
        <m:r>
          <m:t>100</m:t>
        </m:r>
        <m:r>
          <m:rPr>
            <m:sty m:val="p"/>
          </m:rPr>
          <m:t>,</m:t>
        </m:r>
        <m:r>
          <m:t>000</m:t>
        </m:r>
      </m:oMath>
      <w:r>
        <w:t xml:space="preserve"> </w:t>
      </w:r>
      <w:r>
        <w:t xml:space="preserve">requests/s,</w:t>
      </w:r>
      <w:r>
        <w:t xml:space="preserve"> </w:t>
      </w:r>
      <m:oMath>
        <m:sSub>
          <m:e>
            <m:r>
              <m:t>s</m:t>
            </m:r>
          </m:e>
          <m:sub>
            <m:r>
              <m:rPr>
                <m:nor/>
                <m:sty m:val="p"/>
              </m:rPr>
              <m:t>req</m:t>
            </m:r>
          </m:sub>
        </m:sSub>
        <m:r>
          <m:rPr>
            <m:sty m:val="p"/>
          </m:rPr>
          <m:t>=</m:t>
        </m:r>
        <m:r>
          <m:t>2</m:t>
        </m:r>
      </m:oMath>
      <w:r>
        <w:t xml:space="preserve"> </w:t>
      </w:r>
      <w:r>
        <w:t xml:space="preserve">KB,</w:t>
      </w:r>
      <w:r>
        <w:t xml:space="preserve"> </w:t>
      </w:r>
      <m:oMath>
        <m:sSub>
          <m:e>
            <m:r>
              <m:t>s</m:t>
            </m:r>
          </m:e>
          <m:sub>
            <m:r>
              <m:rPr>
                <m:nor/>
                <m:sty m:val="p"/>
              </m:rPr>
              <m:t>resp</m:t>
            </m:r>
          </m:sub>
        </m:sSub>
        <m:r>
          <m:rPr>
            <m:sty m:val="p"/>
          </m:rPr>
          <m:t>=</m:t>
        </m:r>
        <m:r>
          <m:t>50</m:t>
        </m:r>
      </m:oMath>
      <w:r>
        <w:t xml:space="preserve"> </w:t>
      </w:r>
      <w:r>
        <w:t xml:space="preserve">KB (SI units).</w:t>
      </w:r>
    </w:p>
    <w:p>
      <w:pPr>
        <w:numPr>
          <w:ilvl w:val="0"/>
          <w:numId w:val="1625"/>
        </w:numPr>
        <w:pStyle w:val="Compact"/>
      </w:pPr>
      <w:r>
        <w:t xml:space="preserve">Full proxy:</w:t>
      </w:r>
      <w:r>
        <w:t xml:space="preserve"> </w:t>
      </w:r>
      <m:oMath>
        <m:r>
          <m:t>100</m:t>
        </m:r>
        <m:r>
          <m:rPr>
            <m:sty m:val="p"/>
          </m:rPr>
          <m:t>,</m:t>
        </m:r>
        <m:r>
          <m:t>000</m:t>
        </m:r>
        <m:r>
          <m:rPr>
            <m:sty m:val="p"/>
          </m:rPr>
          <m:t>×</m:t>
        </m:r>
        <m:d>
          <m:dPr>
            <m:begChr m:val="("/>
            <m:endChr m:val=")"/>
            <m:sepChr m:val=""/>
            <m:grow/>
          </m:dPr>
          <m:e>
            <m:r>
              <m:t>2</m:t>
            </m:r>
            <m:r>
              <m:rPr>
                <m:sty m:val="p"/>
              </m:rPr>
              <m:t>,</m:t>
            </m:r>
            <m:r>
              <m:t>000</m:t>
            </m:r>
            <m:r>
              <m:rPr>
                <m:sty m:val="p"/>
              </m:rPr>
              <m:t>+</m:t>
            </m:r>
            <m:r>
              <m:t>50</m:t>
            </m:r>
            <m:r>
              <m:rPr>
                <m:sty m:val="p"/>
              </m:rPr>
              <m:t>,</m:t>
            </m:r>
            <m:r>
              <m:t>000</m:t>
            </m:r>
          </m:e>
        </m:d>
        <m:r>
          <m:rPr>
            <m:sty m:val="p"/>
          </m:rPr>
          <m:t>=</m:t>
        </m:r>
        <m:r>
          <m:t>5.2</m:t>
        </m:r>
        <m:r>
          <m:rPr>
            <m:sty m:val="p"/>
          </m:rPr>
          <m:t>×</m:t>
        </m:r>
        <m:sSup>
          <m:e>
            <m:r>
              <m:t>10</m:t>
            </m:r>
          </m:e>
          <m:sup>
            <m:r>
              <m:t>9</m:t>
            </m:r>
          </m:sup>
        </m:sSup>
      </m:oMath>
      <w:r>
        <w:t xml:space="preserve"> </w:t>
      </w:r>
      <w:r>
        <w:t xml:space="preserve">bytes/s</w:t>
      </w:r>
      <w:r>
        <w:t xml:space="preserve"> </w:t>
      </w:r>
      <m:oMath>
        <m:r>
          <m:rPr>
            <m:sty m:val="p"/>
          </m:rPr>
          <m:t>=</m:t>
        </m:r>
        <m:r>
          <m:t>41.6</m:t>
        </m:r>
      </m:oMath>
      <w:r>
        <w:t xml:space="preserve"> </w:t>
      </w:r>
      <w:r>
        <w:t xml:space="preserve">Gbit/s.</w:t>
      </w:r>
    </w:p>
    <w:p>
      <w:pPr>
        <w:numPr>
          <w:ilvl w:val="0"/>
          <w:numId w:val="1625"/>
        </w:numPr>
        <w:pStyle w:val="Compact"/>
      </w:pPr>
      <w:r>
        <w:t xml:space="preserve">DSR:</w:t>
      </w:r>
      <w:r>
        <w:t xml:space="preserve"> </w:t>
      </w:r>
      <m:oMath>
        <m:r>
          <m:t>100</m:t>
        </m:r>
        <m:r>
          <m:rPr>
            <m:sty m:val="p"/>
          </m:rPr>
          <m:t>,</m:t>
        </m:r>
        <m:r>
          <m:t>000</m:t>
        </m:r>
        <m:r>
          <m:rPr>
            <m:sty m:val="p"/>
          </m:rPr>
          <m:t>×</m:t>
        </m:r>
        <m:r>
          <m:t>2</m:t>
        </m:r>
        <m:r>
          <m:rPr>
            <m:sty m:val="p"/>
          </m:rPr>
          <m:t>,</m:t>
        </m:r>
        <m:r>
          <m:t>000</m:t>
        </m:r>
        <m:r>
          <m:rPr>
            <m:sty m:val="p"/>
          </m:rPr>
          <m:t>=</m:t>
        </m:r>
        <m:r>
          <m:t>2</m:t>
        </m:r>
        <m:r>
          <m:rPr>
            <m:sty m:val="p"/>
          </m:rPr>
          <m:t>×</m:t>
        </m:r>
        <m:sSup>
          <m:e>
            <m:r>
              <m:t>10</m:t>
            </m:r>
          </m:e>
          <m:sup>
            <m:r>
              <m:t>8</m:t>
            </m:r>
          </m:sup>
        </m:sSup>
      </m:oMath>
      <w:r>
        <w:t xml:space="preserve"> </w:t>
      </w:r>
      <w:r>
        <w:t xml:space="preserve">bytes/s</w:t>
      </w:r>
      <w:r>
        <w:t xml:space="preserve"> </w:t>
      </w:r>
      <m:oMath>
        <m:r>
          <m:rPr>
            <m:sty m:val="p"/>
          </m:rPr>
          <m:t>=</m:t>
        </m:r>
        <m:r>
          <m:t>1.6</m:t>
        </m:r>
      </m:oMath>
      <w:r>
        <w:t xml:space="preserve"> </w:t>
      </w:r>
      <w:r>
        <w:t xml:space="preserve">Gbit/s.</w:t>
      </w:r>
    </w:p>
    <w:p>
      <w:pPr>
        <w:numPr>
          <w:ilvl w:val="0"/>
          <w:numId w:val="1625"/>
        </w:numPr>
        <w:pStyle w:val="Compact"/>
      </w:pPr>
      <w:r>
        <w:t xml:space="preserve">Ratio:</w:t>
      </w:r>
      <w:r>
        <w:t xml:space="preserve"> </w:t>
      </w:r>
      <m:oMath>
        <m:r>
          <m:t>41.6</m:t>
        </m:r>
        <m:r>
          <m:rPr>
            <m:sty m:val="p"/>
          </m:rPr>
          <m:t>/</m:t>
        </m:r>
        <m:r>
          <m:t>1.6</m:t>
        </m:r>
        <m:r>
          <m:rPr>
            <m:sty m:val="p"/>
          </m:rPr>
          <m:t>=</m:t>
        </m:r>
        <m:r>
          <m:t>26</m:t>
        </m:r>
      </m:oMath>
      <w:r>
        <w:t xml:space="preserve">.</w:t>
      </w:r>
    </w:p>
    <w:p>
      <w:pPr>
        <w:pStyle w:val="CalloutExample"/>
      </w:pPr>
      <w:r>
        <w:rPr>
          <w:iCs/>
          <w:i/>
        </w:rPr>
        <w:t xml:space="preserve">Interpretation.</w:t>
      </w:r>
      <w:r>
        <w:t xml:space="preserve"> </w:t>
      </w:r>
      <w:r>
        <w:t xml:space="preserve">With DSR, one balancer with a 10 Gbit/s NIC has room to spare; a full proxy needs at least five such NICs before any headroom.</w:t>
      </w:r>
      <w:r>
        <w:t xml:space="preserve"> </w:t>
      </w:r>
      <w:r>
        <w:rPr>
          <w:iCs/>
          <w:i/>
        </w:rPr>
        <w:t xml:space="preserve">Engineering implication.</w:t>
      </w:r>
      <w:r>
        <w:t xml:space="preserve"> </w:t>
      </w:r>
      <w:r>
        <w:t xml:space="preserve">For download-heavy L4 traffic, DSR is the cheapest scaling lever; it is unavailable at L7, because an L7 proxy must see the response to do its job.</w:t>
      </w:r>
    </w:p>
    <w:p>
      <w:pPr>
        <w:pStyle w:val="BodyText"/>
      </w:pPr>
      <w:r>
        <w:rPr>
          <w:bCs/>
          <w:b/>
        </w:rPr>
        <w:t xml:space="preserve">Table 19.1 — Forwarding modes of an L4 balancer.</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Mode</w:t>
            </w:r>
          </w:p>
        </w:tc>
        <w:tc>
          <w:tcPr/>
          <w:p>
            <w:pPr>
              <w:pStyle w:val="Compact"/>
              <w:jc w:val="left"/>
            </w:pPr>
            <w:r>
              <w:t xml:space="preserve">How it works</w:t>
            </w:r>
          </w:p>
        </w:tc>
        <w:tc>
          <w:tcPr/>
          <w:p>
            <w:pPr>
              <w:pStyle w:val="Compact"/>
              <w:jc w:val="left"/>
            </w:pPr>
            <w:r>
              <w:t xml:space="preserve">Client IP at backend</w:t>
            </w:r>
          </w:p>
        </w:tc>
        <w:tc>
          <w:tcPr/>
          <w:p>
            <w:pPr>
              <w:pStyle w:val="Compact"/>
              <w:jc w:val="left"/>
            </w:pPr>
            <w:r>
              <w:t xml:space="preserve">Return path</w:t>
            </w:r>
          </w:p>
        </w:tc>
        <w:tc>
          <w:tcPr/>
          <w:p>
            <w:pPr>
              <w:pStyle w:val="Compact"/>
              <w:jc w:val="left"/>
            </w:pPr>
            <w:r>
              <w:t xml:space="preserve">Constraints</w:t>
            </w:r>
          </w:p>
        </w:tc>
      </w:tr>
      <w:tr>
        <w:tc>
          <w:tcPr/>
          <w:p>
            <w:pPr>
              <w:pStyle w:val="Compact"/>
              <w:jc w:val="left"/>
            </w:pPr>
            <w:r>
              <w:t xml:space="preserve">Destination NAT</w:t>
            </w:r>
          </w:p>
        </w:tc>
        <w:tc>
          <w:tcPr/>
          <w:p>
            <w:pPr>
              <w:pStyle w:val="Compact"/>
              <w:jc w:val="left"/>
            </w:pPr>
            <w:r>
              <w:t xml:space="preserve">Rewrite destination IP; backend’s gateway is the balancer</w:t>
            </w:r>
          </w:p>
        </w:tc>
        <w:tc>
          <w:tcPr/>
          <w:p>
            <w:pPr>
              <w:pStyle w:val="Compact"/>
              <w:jc w:val="left"/>
            </w:pPr>
            <w:r>
              <w:t xml:space="preserve">Preserved</w:t>
            </w:r>
          </w:p>
        </w:tc>
        <w:tc>
          <w:tcPr/>
          <w:p>
            <w:pPr>
              <w:pStyle w:val="Compact"/>
              <w:jc w:val="left"/>
            </w:pPr>
            <w:r>
              <w:t xml:space="preserve">Through balancer</w:t>
            </w:r>
          </w:p>
        </w:tc>
        <w:tc>
          <w:tcPr/>
          <w:p>
            <w:pPr>
              <w:pStyle w:val="Compact"/>
              <w:jc w:val="left"/>
            </w:pPr>
            <w:r>
              <w:t xml:space="preserve">Backends must route replies via the balancer</w:t>
            </w:r>
          </w:p>
        </w:tc>
      </w:tr>
      <w:tr>
        <w:tc>
          <w:tcPr/>
          <w:p>
            <w:pPr>
              <w:pStyle w:val="Compact"/>
              <w:jc w:val="left"/>
            </w:pPr>
            <w:r>
              <w:t xml:space="preserve">Full NAT / L4 proxy</w:t>
            </w:r>
          </w:p>
        </w:tc>
        <w:tc>
          <w:tcPr/>
          <w:p>
            <w:pPr>
              <w:pStyle w:val="Compact"/>
              <w:jc w:val="left"/>
            </w:pPr>
            <w:r>
              <w:t xml:space="preserve">Rewrite source and destination, or terminate TCP</w:t>
            </w:r>
          </w:p>
        </w:tc>
        <w:tc>
          <w:tcPr/>
          <w:p>
            <w:pPr>
              <w:pStyle w:val="Compact"/>
              <w:jc w:val="left"/>
            </w:pPr>
            <w:r>
              <w:t xml:space="preserve">Lost (use PROXY protocol)</w:t>
            </w:r>
          </w:p>
        </w:tc>
        <w:tc>
          <w:tcPr/>
          <w:p>
            <w:pPr>
              <w:pStyle w:val="Compact"/>
              <w:jc w:val="left"/>
            </w:pPr>
            <w:r>
              <w:t xml:space="preserve">Through balancer</w:t>
            </w:r>
          </w:p>
        </w:tc>
        <w:tc>
          <w:tcPr/>
          <w:p>
            <w:pPr>
              <w:pStyle w:val="Compact"/>
              <w:jc w:val="left"/>
            </w:pPr>
            <w:r>
              <w:t xml:space="preserve">Port exhaustion on the balancer’s source IPs</w:t>
            </w:r>
          </w:p>
        </w:tc>
      </w:tr>
      <w:tr>
        <w:tc>
          <w:tcPr/>
          <w:p>
            <w:pPr>
              <w:pStyle w:val="Compact"/>
              <w:jc w:val="left"/>
            </w:pPr>
            <w:r>
              <w:t xml:space="preserve">DSR, L2 (MAC rewrite)</w:t>
            </w:r>
          </w:p>
        </w:tc>
        <w:tc>
          <w:tcPr/>
          <w:p>
            <w:pPr>
              <w:pStyle w:val="Compact"/>
              <w:jc w:val="left"/>
            </w:pPr>
            <w:r>
              <w:t xml:space="preserve">Rewrite destination MAC only</w:t>
            </w:r>
          </w:p>
        </w:tc>
        <w:tc>
          <w:tcPr/>
          <w:p>
            <w:pPr>
              <w:pStyle w:val="Compact"/>
              <w:jc w:val="left"/>
            </w:pPr>
            <w:r>
              <w:t xml:space="preserve">Preserved</w:t>
            </w:r>
          </w:p>
        </w:tc>
        <w:tc>
          <w:tcPr/>
          <w:p>
            <w:pPr>
              <w:pStyle w:val="Compact"/>
              <w:jc w:val="left"/>
            </w:pPr>
            <w:r>
              <w:t xml:space="preserve">Direct</w:t>
            </w:r>
          </w:p>
        </w:tc>
        <w:tc>
          <w:tcPr/>
          <w:p>
            <w:pPr>
              <w:pStyle w:val="Compact"/>
              <w:jc w:val="left"/>
            </w:pPr>
            <w:r>
              <w:t xml:space="preserve">Same layer-2 segment; VIP on loopback; ARP suppressed</w:t>
            </w:r>
          </w:p>
        </w:tc>
      </w:tr>
      <w:tr>
        <w:tc>
          <w:tcPr/>
          <w:p>
            <w:pPr>
              <w:pStyle w:val="Compact"/>
              <w:jc w:val="left"/>
            </w:pPr>
            <w:r>
              <w:t xml:space="preserve">DSR, tunnel</w:t>
            </w:r>
          </w:p>
        </w:tc>
        <w:tc>
          <w:tcPr/>
          <w:p>
            <w:pPr>
              <w:pStyle w:val="Compact"/>
              <w:jc w:val="left"/>
            </w:pPr>
            <w:r>
              <w:t xml:space="preserve">Encapsulate in IP-in-IP, GRE or GUE</w:t>
            </w:r>
          </w:p>
        </w:tc>
        <w:tc>
          <w:tcPr/>
          <w:p>
            <w:pPr>
              <w:pStyle w:val="Compact"/>
              <w:jc w:val="left"/>
            </w:pPr>
            <w:r>
              <w:t xml:space="preserve">Preserved</w:t>
            </w:r>
          </w:p>
        </w:tc>
        <w:tc>
          <w:tcPr/>
          <w:p>
            <w:pPr>
              <w:pStyle w:val="Compact"/>
              <w:jc w:val="left"/>
            </w:pPr>
            <w:r>
              <w:t xml:space="preserve">Direct</w:t>
            </w:r>
          </w:p>
        </w:tc>
        <w:tc>
          <w:tcPr/>
          <w:p>
            <w:pPr>
              <w:pStyle w:val="Compact"/>
              <w:jc w:val="left"/>
            </w:pPr>
            <w:r>
              <w:t xml:space="preserve">MTU and MSS clamping; backend decapsulates</w:t>
            </w:r>
          </w:p>
        </w:tc>
      </w:tr>
    </w:tbl>
    <w:p>
      <w:pPr>
        <w:pStyle w:val="BodyText"/>
      </w:pPr>
      <w:r>
        <w:t xml:space="preserve">These are the modes of Linux Virtual Server (LVS-NAT, LVS-DR and LVS-TUN), which IPVS implements in the kernel [Zhang 2000]. Maglev encapsulates packets to backends in GRE and relies on DSR [Eisenbud et al. 2016].</w:t>
      </w:r>
    </w:p>
    <w:bookmarkEnd w:id="2160"/>
    <w:bookmarkStart w:id="2161" w:name="advantages-and-disadvantages-16"/>
    <w:p>
      <w:pPr>
        <w:pStyle w:val="Heading4"/>
      </w:pPr>
      <w:r>
        <w:t xml:space="preserve">Advantages and disadvantages</w:t>
      </w:r>
    </w:p>
    <w:p>
      <w:pPr>
        <w:pStyle w:val="FirstParagraph"/>
      </w:pPr>
      <w:r>
        <w:rPr>
          <w:bCs/>
          <w:b/>
        </w:rPr>
        <w:t xml:space="preserve">Table 19.2 — Layer 4 versus layer 7 load balancing.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Layer 4</w:t>
            </w:r>
          </w:p>
        </w:tc>
        <w:tc>
          <w:tcPr/>
          <w:p>
            <w:pPr>
              <w:pStyle w:val="Compact"/>
              <w:jc w:val="left"/>
            </w:pPr>
            <w:r>
              <w:t xml:space="preserve">Layer 7</w:t>
            </w:r>
          </w:p>
        </w:tc>
      </w:tr>
      <w:tr>
        <w:tc>
          <w:tcPr/>
          <w:p>
            <w:pPr>
              <w:pStyle w:val="Compact"/>
              <w:jc w:val="left"/>
            </w:pPr>
            <w:r>
              <w:t xml:space="preserve">What it is</w:t>
            </w:r>
          </w:p>
        </w:tc>
        <w:tc>
          <w:tcPr/>
          <w:p>
            <w:pPr>
              <w:pStyle w:val="Compact"/>
              <w:jc w:val="left"/>
            </w:pPr>
            <w:r>
              <w:t xml:space="preserve">Flow or connection balancer</w:t>
            </w:r>
          </w:p>
        </w:tc>
        <w:tc>
          <w:tcPr/>
          <w:p>
            <w:pPr>
              <w:pStyle w:val="Compact"/>
              <w:jc w:val="left"/>
            </w:pPr>
            <w:r>
              <w:t xml:space="preserve">Request balancer and reverse proxy</w:t>
            </w:r>
          </w:p>
        </w:tc>
      </w:tr>
      <w:tr>
        <w:tc>
          <w:tcPr/>
          <w:p>
            <w:pPr>
              <w:pStyle w:val="Compact"/>
              <w:jc w:val="left"/>
            </w:pPr>
            <w:r>
              <w:t xml:space="preserve">Unit of balancing</w:t>
            </w:r>
          </w:p>
        </w:tc>
        <w:tc>
          <w:tcPr/>
          <w:p>
            <w:pPr>
              <w:pStyle w:val="Compact"/>
              <w:jc w:val="left"/>
            </w:pPr>
            <w:r>
              <w:t xml:space="preserve">TCP connection or UDP flow</w:t>
            </w:r>
          </w:p>
        </w:tc>
        <w:tc>
          <w:tcPr/>
          <w:p>
            <w:pPr>
              <w:pStyle w:val="Compact"/>
              <w:jc w:val="left"/>
            </w:pPr>
            <w:r>
              <w:t xml:space="preserve">HTTP request or gRPC call</w:t>
            </w:r>
          </w:p>
        </w:tc>
      </w:tr>
      <w:tr>
        <w:tc>
          <w:tcPr/>
          <w:p>
            <w:pPr>
              <w:pStyle w:val="Compact"/>
              <w:jc w:val="left"/>
            </w:pPr>
            <w:r>
              <w:t xml:space="preserve">Sees</w:t>
            </w:r>
          </w:p>
        </w:tc>
        <w:tc>
          <w:tcPr/>
          <w:p>
            <w:pPr>
              <w:pStyle w:val="Compact"/>
              <w:jc w:val="left"/>
            </w:pPr>
            <w:r>
              <w:t xml:space="preserve">IPs, ports, protocol (and SNI if it peeks)</w:t>
            </w:r>
          </w:p>
        </w:tc>
        <w:tc>
          <w:tcPr/>
          <w:p>
            <w:pPr>
              <w:pStyle w:val="Compact"/>
              <w:jc w:val="left"/>
            </w:pPr>
            <w:r>
              <w:t xml:space="preserve">Method, path, headers, cookies, body</w:t>
            </w:r>
          </w:p>
        </w:tc>
      </w:tr>
      <w:tr>
        <w:tc>
          <w:tcPr/>
          <w:p>
            <w:pPr>
              <w:pStyle w:val="Compact"/>
              <w:jc w:val="left"/>
            </w:pPr>
            <w:r>
              <w:t xml:space="preserve">TLS</w:t>
            </w:r>
          </w:p>
        </w:tc>
        <w:tc>
          <w:tcPr/>
          <w:p>
            <w:pPr>
              <w:pStyle w:val="Compact"/>
              <w:jc w:val="left"/>
            </w:pPr>
            <w:r>
              <w:t xml:space="preserve">Passthrough (or termination in an L4 proxy)</w:t>
            </w:r>
          </w:p>
        </w:tc>
        <w:tc>
          <w:tcPr/>
          <w:p>
            <w:pPr>
              <w:pStyle w:val="Compact"/>
              <w:jc w:val="left"/>
            </w:pPr>
            <w:r>
              <w:t xml:space="preserve">Termination or re-encryption</w:t>
            </w:r>
          </w:p>
        </w:tc>
      </w:tr>
      <w:tr>
        <w:tc>
          <w:tcPr/>
          <w:p>
            <w:pPr>
              <w:pStyle w:val="Compact"/>
              <w:jc w:val="left"/>
            </w:pPr>
            <w:r>
              <w:t xml:space="preserve">Advantages</w:t>
            </w:r>
          </w:p>
        </w:tc>
        <w:tc>
          <w:tcPr/>
          <w:p>
            <w:pPr>
              <w:pStyle w:val="Compact"/>
              <w:jc w:val="left"/>
            </w:pPr>
            <w:r>
              <w:t xml:space="preserve">Very high throughput, protocol-agnostic, DSR possible, low added latency</w:t>
            </w:r>
          </w:p>
        </w:tc>
        <w:tc>
          <w:tcPr/>
          <w:p>
            <w:pPr>
              <w:pStyle w:val="Compact"/>
              <w:jc w:val="left"/>
            </w:pPr>
            <w:r>
              <w:t xml:space="preserve">Content routing, retries, per-request balancing, header rewriting, observability per request</w:t>
            </w:r>
          </w:p>
        </w:tc>
      </w:tr>
      <w:tr>
        <w:tc>
          <w:tcPr/>
          <w:p>
            <w:pPr>
              <w:pStyle w:val="Compact"/>
              <w:jc w:val="left"/>
            </w:pPr>
            <w:r>
              <w:t xml:space="preserve">Disadvantages</w:t>
            </w:r>
          </w:p>
        </w:tc>
        <w:tc>
          <w:tcPr/>
          <w:p>
            <w:pPr>
              <w:pStyle w:val="Compact"/>
              <w:jc w:val="left"/>
            </w:pPr>
            <w:r>
              <w:t xml:space="preserve">Long-lived connections pin load; no content routing</w:t>
            </w:r>
          </w:p>
        </w:tc>
        <w:tc>
          <w:tcPr/>
          <w:p>
            <w:pPr>
              <w:pStyle w:val="Compact"/>
              <w:jc w:val="left"/>
            </w:pPr>
            <w:r>
              <w:t xml:space="preserve">CPU for TLS and parsing; holds keys; more complex failure modes</w:t>
            </w:r>
          </w:p>
        </w:tc>
      </w:tr>
      <w:tr>
        <w:tc>
          <w:tcPr/>
          <w:p>
            <w:pPr>
              <w:pStyle w:val="Compact"/>
              <w:jc w:val="left"/>
            </w:pPr>
            <w:r>
              <w:t xml:space="preserve">Performance</w:t>
            </w:r>
          </w:p>
        </w:tc>
        <w:tc>
          <w:tcPr/>
          <w:p>
            <w:pPr>
              <w:pStyle w:val="Compact"/>
              <w:jc w:val="left"/>
            </w:pPr>
            <w:r>
              <w:t xml:space="preserve">Line rate on commodity servers (10 Gbit/s per Maglev machine)</w:t>
            </w:r>
          </w:p>
        </w:tc>
        <w:tc>
          <w:tcPr/>
          <w:p>
            <w:pPr>
              <w:pStyle w:val="Compact"/>
              <w:jc w:val="left"/>
            </w:pPr>
            <w:r>
              <w:t xml:space="preserve">Bounded by TLS handshakes and request parsing per core</w:t>
            </w:r>
          </w:p>
        </w:tc>
      </w:tr>
      <w:tr>
        <w:tc>
          <w:tcPr/>
          <w:p>
            <w:pPr>
              <w:pStyle w:val="Compact"/>
              <w:jc w:val="left"/>
            </w:pPr>
            <w:r>
              <w:t xml:space="preserve">Operational complexity</w:t>
            </w:r>
          </w:p>
        </w:tc>
        <w:tc>
          <w:tcPr/>
          <w:p>
            <w:pPr>
              <w:pStyle w:val="Compact"/>
              <w:jc w:val="left"/>
            </w:pPr>
            <w:r>
              <w:t xml:space="preserve">Routing integration (BGP, ECMP), tunnels</w:t>
            </w:r>
          </w:p>
        </w:tc>
        <w:tc>
          <w:tcPr/>
          <w:p>
            <w:pPr>
              <w:pStyle w:val="Compact"/>
              <w:jc w:val="left"/>
            </w:pPr>
            <w:r>
              <w:t xml:space="preserve">Configuration surface: routes, timeouts, retries</w:t>
            </w:r>
          </w:p>
        </w:tc>
      </w:tr>
      <w:tr>
        <w:tc>
          <w:tcPr/>
          <w:p>
            <w:pPr>
              <w:pStyle w:val="Compact"/>
              <w:jc w:val="left"/>
            </w:pPr>
            <w:r>
              <w:t xml:space="preserve">Choose when</w:t>
            </w:r>
          </w:p>
        </w:tc>
        <w:tc>
          <w:tcPr/>
          <w:p>
            <w:pPr>
              <w:pStyle w:val="Compact"/>
              <w:jc w:val="left"/>
            </w:pPr>
            <w:r>
              <w:t xml:space="preserve">Non-HTTP protocols, extreme volume, first tier of a stack</w:t>
            </w:r>
          </w:p>
        </w:tc>
        <w:tc>
          <w:tcPr/>
          <w:p>
            <w:pPr>
              <w:pStyle w:val="Compact"/>
              <w:jc w:val="left"/>
            </w:pPr>
            <w:r>
              <w:t xml:space="preserve">HTTP/gRPC services, microservices, canary routing</w:t>
            </w:r>
          </w:p>
        </w:tc>
      </w:tr>
    </w:tbl>
    <w:p>
      <w:pPr>
        <w:pStyle w:val="CalloutMistake"/>
      </w:pPr>
      <w:r>
        <w:rPr>
          <w:bCs/>
          <w:b/>
        </w:rPr>
        <w:t xml:space="preserve">COMMON MISTAKE</w:t>
      </w:r>
    </w:p>
    <w:p>
      <w:pPr>
        <w:pStyle w:val="CalloutMistake"/>
      </w:pPr>
      <w:r>
        <w:rPr>
          <w:bCs/>
          <w:b/>
        </w:rPr>
        <w:t xml:space="preserve">“</w:t>
      </w:r>
      <w:r>
        <w:rPr>
          <w:bCs/>
          <w:b/>
        </w:rPr>
        <w:t xml:space="preserve">An L4 balancer cannot handle HTTPS.</w:t>
      </w:r>
      <w:r>
        <w:rPr>
          <w:bCs/>
          <w:b/>
        </w:rPr>
        <w:t xml:space="preserve">”</w:t>
      </w:r>
      <w:r>
        <w:t xml:space="preserve"> </w:t>
      </w:r>
      <w:r>
        <w:t xml:space="preserve">It can: with passthrough it forwards encrypted bytes and never needs keys, and with SNI it can even pick a pool per hostname. What it cannot do is route on anything</w:t>
      </w:r>
      <w:r>
        <w:t xml:space="preserve"> </w:t>
      </w:r>
      <w:r>
        <w:rPr>
          <w:iCs/>
          <w:i/>
        </w:rPr>
        <w:t xml:space="preserve">inside</w:t>
      </w:r>
      <w:r>
        <w:t xml:space="preserve"> </w:t>
      </w:r>
      <w:r>
        <w:t xml:space="preserve">the encrypted stream, such as the URL path.</w:t>
      </w:r>
    </w:p>
    <w:p>
      <w:pPr>
        <w:pStyle w:val="CalloutMistake"/>
      </w:pPr>
      <w:r>
        <w:rPr>
          <w:bCs/>
          <w:b/>
        </w:rPr>
        <w:t xml:space="preserve">COMMON MISTAKE</w:t>
      </w:r>
    </w:p>
    <w:p>
      <w:pPr>
        <w:pStyle w:val="CalloutMistake"/>
      </w:pPr>
      <w:r>
        <w:rPr>
          <w:bCs/>
          <w:b/>
        </w:rPr>
        <w:t xml:space="preserve">“</w:t>
      </w:r>
      <w:r>
        <w:rPr>
          <w:bCs/>
          <w:b/>
        </w:rPr>
        <w:t xml:space="preserve">Putting HTTP/2 behind an L4 balancer spreads load.</w:t>
      </w:r>
      <w:r>
        <w:rPr>
          <w:bCs/>
          <w:b/>
        </w:rPr>
        <w:t xml:space="preserve">”</w:t>
      </w:r>
      <w:r>
        <w:t xml:space="preserve"> </w:t>
      </w:r>
      <w:r>
        <w:t xml:space="preserve">It spreads</w:t>
      </w:r>
      <w:r>
        <w:t xml:space="preserve"> </w:t>
      </w:r>
      <w:r>
        <w:rPr>
          <w:iCs/>
          <w:i/>
        </w:rPr>
        <w:t xml:space="preserve">connections</w:t>
      </w:r>
      <w:r>
        <w:t xml:space="preserve">. A client that multiplexes all its calls over one HTTP/2 connection sends all of them to one backend. This is the classic surprise when teams adopt gRPC behind a cloud L4 balancer (§8.8).</w:t>
      </w:r>
    </w:p>
    <w:bookmarkEnd w:id="2161"/>
    <w:bookmarkEnd w:id="2162"/>
    <w:bookmarkEnd w:id="2163"/>
    <w:bookmarkStart w:id="2196" w:name="load-balancing-algorithms"/>
    <w:p>
      <w:pPr>
        <w:pStyle w:val="Heading2"/>
      </w:pPr>
      <w:r>
        <w:t xml:space="preserve">19.4 Load-balancing algorithms</w:t>
      </w:r>
    </w:p>
    <w:p>
      <w:pPr>
        <w:pStyle w:val="FirstParagraph"/>
      </w:pPr>
      <w:r>
        <w:t xml:space="preserve">A balancing algorithm answers one question per connection or request:</w:t>
      </w:r>
      <w:r>
        <w:t xml:space="preserve"> </w:t>
      </w:r>
      <w:r>
        <w:rPr>
          <w:iCs/>
          <w:i/>
        </w:rPr>
        <w:t xml:space="preserve">which backend?</w:t>
      </w:r>
      <w:r>
        <w:t xml:space="preserve"> </w:t>
      </w:r>
      <w:r>
        <w:t xml:space="preserve">Section 4.10.4 showed why the answer matters: one shared queue feeding all servers beats separate queues by a wide margin, because no server idles while work waits elsewhere. A load balancer cannot build one shared queue across machines; it must commit each request to one server’s queue at arrival. Every algorithm below is a different approximation of the shared queue, trading information for cost.</w:t>
      </w:r>
    </w:p>
    <w:bookmarkStart w:id="2169" w:name="round-robin-and-weighted-round-robin"/>
    <w:p>
      <w:pPr>
        <w:pStyle w:val="Heading3"/>
      </w:pPr>
      <w:r>
        <w:t xml:space="preserve">19.4.1 Round robin and weighted round robin</w:t>
      </w:r>
    </w:p>
    <w:p>
      <w:pPr>
        <w:pStyle w:val="CalloutDefinition"/>
      </w:pPr>
      <w:r>
        <w:rPr>
          <w:bCs/>
          <w:b/>
        </w:rPr>
        <w:t xml:space="preserve">DEFINITION</w:t>
      </w:r>
    </w:p>
    <w:p>
      <w:pPr>
        <w:pStyle w:val="CalloutDefinition"/>
      </w:pPr>
      <w:r>
        <w:rPr>
          <w:bCs/>
          <w:b/>
        </w:rPr>
        <w:t xml:space="preserve">Definition — Round robin (RR).</w:t>
      </w:r>
      <w:r>
        <w:t xml:space="preserve"> </w:t>
      </w:r>
      <w:r>
        <w:t xml:space="preserve">Send the</w:t>
      </w:r>
      <w:r>
        <w:t xml:space="preserve"> </w:t>
      </w:r>
      <m:oMath>
        <m:r>
          <m:t>k</m:t>
        </m:r>
      </m:oMath>
      <w:r>
        <w:t xml:space="preserve">-th request to backend</w:t>
      </w:r>
      <w:r>
        <w:t xml:space="preserve"> </w:t>
      </w:r>
      <m:oMath>
        <m:r>
          <m:t>k</m:t>
        </m:r>
        <m:r>
          <m:t> </m:t>
        </m:r>
        <m:r>
          <m:rPr>
            <m:sty m:val="p"/>
          </m:rPr>
          <m:t>mod</m:t>
        </m:r>
        <m:r>
          <m:t> </m:t>
        </m:r>
        <m:r>
          <m:t>N</m:t>
        </m:r>
      </m:oMath>
      <w:r>
        <w:t xml:space="preserve">.</w:t>
      </w:r>
      <w:r>
        <w:t xml:space="preserve"> </w:t>
      </w:r>
      <w:r>
        <w:rPr>
          <w:bCs/>
          <w:b/>
        </w:rPr>
        <w:t xml:space="preserve">Weighted round robin (WRR)</w:t>
      </w:r>
      <w:r>
        <w:t xml:space="preserve"> </w:t>
      </w:r>
      <w:r>
        <w:t xml:space="preserve">gives backend</w:t>
      </w:r>
      <w:r>
        <w:t xml:space="preserve"> </w:t>
      </w:r>
      <m:oMath>
        <m:r>
          <m:t>i</m:t>
        </m:r>
      </m:oMath>
      <w:r>
        <w:t xml:space="preserve"> </w:t>
      </w:r>
      <w:r>
        <w:t xml:space="preserve">an integer weight</w:t>
      </w:r>
      <w:r>
        <w:t xml:space="preserve"> </w:t>
      </w:r>
      <m:oMath>
        <m:sSub>
          <m:e>
            <m:r>
              <m:t>w</m:t>
            </m:r>
          </m:e>
          <m:sub>
            <m:r>
              <m:t>i</m:t>
            </m:r>
          </m:sub>
        </m:sSub>
      </m:oMath>
      <w:r>
        <w:t xml:space="preserve"> </w:t>
      </w:r>
      <w:r>
        <w:t xml:space="preserve">and sends it a share</w:t>
      </w:r>
      <w:r>
        <w:t xml:space="preserve"> </w:t>
      </w:r>
      <m:oMath>
        <m:sSub>
          <m:e>
            <m:r>
              <m:t>w</m:t>
            </m:r>
          </m:e>
          <m:sub>
            <m:r>
              <m:t>i</m:t>
            </m:r>
          </m:sub>
        </m:sSub>
        <m:r>
          <m:rPr>
            <m:sty m:val="p"/>
          </m:rPr>
          <m:t>/</m:t>
        </m:r>
        <m:nary>
          <m:naryPr>
            <m:chr m:val="∑"/>
            <m:limLoc m:val="undOvr"/>
            <m:subHide m:val="off"/>
            <m:supHide m:val="on"/>
          </m:naryPr>
          <m:sub>
            <m:r>
              <m:t>j</m:t>
            </m:r>
          </m:sub>
          <m:sup>
            <m:r>
              <m:t>​</m:t>
            </m:r>
          </m:sup>
          <m:e>
            <m:sSub>
              <m:e>
                <m:r>
                  <m:t>w</m:t>
                </m:r>
              </m:e>
              <m:sub>
                <m:r>
                  <m:t>j</m:t>
                </m:r>
              </m:sub>
            </m:sSub>
          </m:e>
        </m:nary>
      </m:oMath>
      <w:r>
        <w:t xml:space="preserve"> </w:t>
      </w:r>
      <w:r>
        <w:t xml:space="preserve">of requests in each cycle.</w:t>
      </w:r>
    </w:p>
    <w:bookmarkStart w:id="2164" w:name="first-principles-explanation-118"/>
    <w:p>
      <w:pPr>
        <w:pStyle w:val="Heading4"/>
      </w:pPr>
      <w:r>
        <w:t xml:space="preserve">First-principles explanation</w:t>
      </w:r>
    </w:p>
    <w:p>
      <w:pPr>
        <w:pStyle w:val="FirstParagraph"/>
      </w:pPr>
      <w:r>
        <w:t xml:space="preserve">A teacher handing out exam papers walks along the row giving one to each desk in turn. Nobody gets two before everyone has one, and the teacher needs no information about the students. That is round robin: perfectly fair in</w:t>
      </w:r>
      <w:r>
        <w:t xml:space="preserve"> </w:t>
      </w:r>
      <w:r>
        <w:rPr>
          <w:iCs/>
          <w:i/>
        </w:rPr>
        <w:t xml:space="preserve">count</w:t>
      </w:r>
      <w:r>
        <w:t xml:space="preserve">, blind to</w:t>
      </w:r>
      <w:r>
        <w:t xml:space="preserve"> </w:t>
      </w:r>
      <w:r>
        <w:rPr>
          <w:iCs/>
          <w:i/>
        </w:rPr>
        <w:t xml:space="preserve">effort</w:t>
      </w:r>
      <w:r>
        <w:t xml:space="preserve">. If some desks hold students who work twice as fast, you give them two papers per round: weighted round robin.</w:t>
      </w:r>
    </w:p>
    <w:bookmarkEnd w:id="2164"/>
    <w:bookmarkStart w:id="2165" w:name="why-does-this-exist-73"/>
    <w:p>
      <w:pPr>
        <w:pStyle w:val="Heading4"/>
      </w:pPr>
      <w:r>
        <w:t xml:space="preserve">Why does this exist?</w:t>
      </w:r>
    </w:p>
    <w:p>
      <w:pPr>
        <w:pStyle w:val="FirstParagraph"/>
      </w:pPr>
      <w:r>
        <w:t xml:space="preserve">Round robin needs only a counter and no feedback from backends, so it is cheap and predictable; it is the default in NGINX, HAProxy, Envoy and AWS ALB. Weights handle the commonest exception: a mixed fleet.</w:t>
      </w:r>
    </w:p>
    <w:bookmarkEnd w:id="2165"/>
    <w:bookmarkStart w:id="2166" w:name="how-it-works-internally-80"/>
    <w:p>
      <w:pPr>
        <w:pStyle w:val="Heading4"/>
      </w:pPr>
      <w:r>
        <w:t xml:space="preserve">How it works internally</w:t>
      </w:r>
    </w:p>
    <w:p>
      <w:pPr>
        <w:pStyle w:val="FirstParagraph"/>
      </w:pPr>
      <w:r>
        <w:t xml:space="preserve">A naive WRR repeats each backend</w:t>
      </w:r>
      <w:r>
        <w:t xml:space="preserve"> </w:t>
      </w:r>
      <m:oMath>
        <m:sSub>
          <m:e>
            <m:r>
              <m:t>w</m:t>
            </m:r>
          </m:e>
          <m:sub>
            <m:r>
              <m:t>i</m:t>
            </m:r>
          </m:sub>
        </m:sSub>
      </m:oMath>
      <w:r>
        <w:t xml:space="preserve"> </w:t>
      </w:r>
      <w:r>
        <w:t xml:space="preserve">times in a row: with weights</w:t>
      </w:r>
      <w:r>
        <w:t xml:space="preserve"> </w:t>
      </w:r>
      <m:oMath>
        <m:r>
          <m:t>a</m:t>
        </m:r>
        <m:r>
          <m:rPr>
            <m:sty m:val="p"/>
          </m:rPr>
          <m:t>:</m:t>
        </m:r>
        <m:r>
          <m:t>5</m:t>
        </m:r>
        <m:r>
          <m:rPr>
            <m:sty m:val="p"/>
          </m:rPr>
          <m:t>,</m:t>
        </m:r>
        <m:r>
          <m:t>b</m:t>
        </m:r>
        <m:r>
          <m:rPr>
            <m:sty m:val="p"/>
          </m:rPr>
          <m:t>:</m:t>
        </m:r>
        <m:r>
          <m:t>1</m:t>
        </m:r>
        <m:r>
          <m:rPr>
            <m:sty m:val="p"/>
          </m:rPr>
          <m:t>,</m:t>
        </m:r>
        <m:r>
          <m:t>c</m:t>
        </m:r>
        <m:r>
          <m:rPr>
            <m:sty m:val="p"/>
          </m:rPr>
          <m:t>:</m:t>
        </m:r>
        <m:r>
          <m:t>1</m:t>
        </m:r>
      </m:oMath>
      <w:r>
        <w:t xml:space="preserve"> </w:t>
      </w:r>
      <w:r>
        <w:t xml:space="preserve">it sends</w:t>
      </w:r>
      <w:r>
        <w:t xml:space="preserve"> </w:t>
      </w:r>
      <w:r>
        <w:rPr>
          <w:rStyle w:val="VerbatimChar"/>
        </w:rPr>
        <w:t xml:space="preserve">a a a a a b c</w:t>
      </w:r>
      <w:r>
        <w:t xml:space="preserve">, five requests in a burst to</w:t>
      </w:r>
      <w:r>
        <w:t xml:space="preserve"> </w:t>
      </w:r>
      <w:r>
        <w:rPr>
          <w:rStyle w:val="VerbatimChar"/>
        </w:rPr>
        <w:t xml:space="preserve">a</w:t>
      </w:r>
      <w:r>
        <w:t xml:space="preserve">. NGINX uses</w:t>
      </w:r>
      <w:r>
        <w:t xml:space="preserve"> </w:t>
      </w:r>
      <w:r>
        <w:rPr>
          <w:bCs/>
          <w:b/>
        </w:rPr>
        <w:t xml:space="preserve">smooth weighted round robin</w:t>
      </w:r>
      <w:r>
        <w:t xml:space="preserve">, which interleaves [NGINX source: ngx_http_upstream_round_robin.c]:</w:t>
      </w:r>
    </w:p>
    <w:p>
      <w:pPr>
        <w:numPr>
          <w:ilvl w:val="0"/>
          <w:numId w:val="1626"/>
        </w:numPr>
        <w:pStyle w:val="Compact"/>
      </w:pPr>
      <w:r>
        <w:t xml:space="preserve">Each backend keeps a</w:t>
      </w:r>
      <w:r>
        <w:t xml:space="preserve"> </w:t>
      </w:r>
      <w:r>
        <w:rPr>
          <w:iCs/>
          <w:i/>
        </w:rPr>
        <w:t xml:space="preserve">current weight</w:t>
      </w:r>
      <w:r>
        <w:t xml:space="preserve">, initially 0.</w:t>
      </w:r>
    </w:p>
    <w:p>
      <w:pPr>
        <w:numPr>
          <w:ilvl w:val="0"/>
          <w:numId w:val="1626"/>
        </w:numPr>
        <w:pStyle w:val="Compact"/>
      </w:pPr>
      <w:r>
        <w:t xml:space="preserve">On each pick, add every backend’s configured weight to its current weight.</w:t>
      </w:r>
    </w:p>
    <w:p>
      <w:pPr>
        <w:numPr>
          <w:ilvl w:val="0"/>
          <w:numId w:val="1626"/>
        </w:numPr>
        <w:pStyle w:val="Compact"/>
      </w:pPr>
      <w:r>
        <w:t xml:space="preserve">Choose the backend with the largest current weight.</w:t>
      </w:r>
    </w:p>
    <w:p>
      <w:pPr>
        <w:numPr>
          <w:ilvl w:val="0"/>
          <w:numId w:val="1626"/>
        </w:numPr>
        <w:pStyle w:val="Compact"/>
      </w:pPr>
      <w:r>
        <w:t xml:space="preserve">Subtract the total of all weights from the chosen backend’s current weight.</w:t>
      </w:r>
    </w:p>
    <w:p>
      <w:pPr>
        <w:pStyle w:val="FirstParagraph"/>
      </w:pPr>
      <w:r>
        <w:t xml:space="preserve">Over one cycle of</w:t>
      </w:r>
      <w:r>
        <w:t xml:space="preserve"> </w:t>
      </w:r>
      <m:oMath>
        <m:r>
          <m:rPr>
            <m:sty m:val="p"/>
          </m:rPr>
          <m:t>∑</m:t>
        </m:r>
        <m:sSub>
          <m:e>
            <m:r>
              <m:t>w</m:t>
            </m:r>
          </m:e>
          <m:sub>
            <m:r>
              <m:t>i</m:t>
            </m:r>
          </m:sub>
        </m:sSub>
      </m:oMath>
      <w:r>
        <w:t xml:space="preserve"> </w:t>
      </w:r>
      <w:r>
        <w:t xml:space="preserve">picks each backend is chosen exactly</w:t>
      </w:r>
      <w:r>
        <w:t xml:space="preserve"> </w:t>
      </w:r>
      <m:oMath>
        <m:sSub>
          <m:e>
            <m:r>
              <m:t>w</m:t>
            </m:r>
          </m:e>
          <m:sub>
            <m:r>
              <m:t>i</m:t>
            </m:r>
          </m:sub>
        </m:sSub>
      </m:oMath>
      <w:r>
        <w:t xml:space="preserve"> </w:t>
      </w:r>
      <w:r>
        <w:t xml:space="preserve">times, and the chosen backend is pushed to the back of the line each time, so picks are spread out.</w:t>
      </w:r>
    </w:p>
    <w:bookmarkEnd w:id="2166"/>
    <w:bookmarkStart w:id="2167" w:name="mathematical-foundations-40"/>
    <w:p>
      <w:pPr>
        <w:pStyle w:val="Heading4"/>
      </w:pPr>
      <w:r>
        <w:t xml:space="preserve">Mathematical foundations</w:t>
      </w:r>
    </w:p>
    <w:p>
      <w:pPr>
        <w:pStyle w:val="CalloutFormula"/>
      </w:pPr>
      <w:r>
        <w:rPr>
          <w:bCs/>
          <w:b/>
        </w:rPr>
        <w:t xml:space="preserve">FORMULA</w:t>
      </w:r>
    </w:p>
    <w:p>
      <w:pPr>
        <w:pStyle w:val="CalloutFormula"/>
      </w:pPr>
      <w:r>
        <w:rPr>
          <w:bCs/>
          <w:b/>
        </w:rPr>
        <w:t xml:space="preserve">Weighted round-robin share</w:t>
      </w:r>
    </w:p>
    <w:p>
      <w:pPr>
        <w:pStyle w:val="CalloutFormula"/>
      </w:pPr>
      <m:oMathPara>
        <m:oMathParaPr>
          <m:jc m:val="center"/>
        </m:oMathParaPr>
        <m:oMath>
          <m:sSub>
            <m:e>
              <m:r>
                <m:t>λ</m:t>
              </m:r>
            </m:e>
            <m:sub>
              <m:r>
                <m:t>i</m:t>
              </m:r>
            </m:sub>
          </m:sSub>
          <m:r>
            <m:rPr>
              <m:sty m:val="p"/>
            </m:rPr>
            <m:t>=</m:t>
          </m:r>
          <m:r>
            <m:t>λ</m:t>
          </m:r>
          <m:r>
            <m:rPr>
              <m:sty m:val="p"/>
            </m:rPr>
            <m:t>⋅</m:t>
          </m:r>
          <m:f>
            <m:fPr>
              <m:type m:val="bar"/>
            </m:fPr>
            <m:num>
              <m:sSub>
                <m:e>
                  <m:r>
                    <m:t>w</m:t>
                  </m:r>
                </m:e>
                <m:sub>
                  <m:r>
                    <m:t>i</m:t>
                  </m:r>
                </m:sub>
              </m:sSub>
            </m:num>
            <m:den>
              <m:nary>
                <m:naryPr>
                  <m:chr m:val="∑"/>
                  <m:limLoc m:val="undOvr"/>
                  <m:subHide m:val="off"/>
                  <m:supHide m:val="off"/>
                </m:naryPr>
                <m:sub>
                  <m:r>
                    <m:t>j</m:t>
                  </m:r>
                  <m:r>
                    <m:rPr>
                      <m:sty m:val="p"/>
                    </m:rPr>
                    <m:t>=</m:t>
                  </m:r>
                  <m:r>
                    <m:t>1</m:t>
                  </m:r>
                </m:sub>
                <m:sup>
                  <m:r>
                    <m:t>N</m:t>
                  </m:r>
                </m:sup>
                <m:e>
                  <m:sSub>
                    <m:e>
                      <m:r>
                        <m:t>w</m:t>
                      </m:r>
                    </m:e>
                    <m:sub>
                      <m:r>
                        <m:t>j</m:t>
                      </m:r>
                    </m:sub>
                  </m:sSub>
                </m:e>
              </m:nary>
            </m:den>
          </m:f>
          <m:r>
            <m:rPr>
              <m:sty m:val="p"/>
            </m:rPr>
            <m:t>,</m:t>
          </m:r>
          <m:r>
            <m:t>  </m:t>
          </m:r>
          <m:sSub>
            <m:e>
              <m:r>
                <m:t>ρ</m:t>
              </m:r>
            </m:e>
            <m:sub>
              <m:r>
                <m:t>i</m:t>
              </m:r>
            </m:sub>
          </m:sSub>
          <m:r>
            <m:rPr>
              <m:sty m:val="p"/>
            </m:rPr>
            <m:t>=</m:t>
          </m:r>
          <m:f>
            <m:fPr>
              <m:type m:val="bar"/>
            </m:fPr>
            <m:num>
              <m:sSub>
                <m:e>
                  <m:r>
                    <m:t>λ</m:t>
                  </m:r>
                </m:e>
                <m:sub>
                  <m:r>
                    <m:t>i</m:t>
                  </m:r>
                </m:sub>
              </m:sSub>
            </m:num>
            <m:den>
              <m:sSub>
                <m:e>
                  <m:r>
                    <m:t>μ</m:t>
                  </m:r>
                </m:e>
                <m:sub>
                  <m:r>
                    <m:t>i</m:t>
                  </m:r>
                </m:sub>
              </m:sSub>
            </m:den>
          </m:f>
        </m:oMath>
      </m:oMathPara>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λ</m:t>
              </m:r>
            </m:oMath>
          </w:p>
        </w:tc>
        <w:tc>
          <w:tcPr/>
          <w:p>
            <w:pPr>
              <w:pStyle w:val="Compact"/>
              <w:jc w:val="left"/>
            </w:pPr>
            <w:r>
              <w:t xml:space="preserve">Total request rate into the pool</w:t>
            </w:r>
          </w:p>
        </w:tc>
        <w:tc>
          <w:tcPr/>
          <w:p>
            <w:pPr>
              <w:pStyle w:val="Compact"/>
              <w:jc w:val="left"/>
            </w:pPr>
            <w:r>
              <w:t xml:space="preserve">requests/second</w:t>
            </w:r>
          </w:p>
        </w:tc>
      </w:tr>
      <w:tr>
        <w:tc>
          <w:tcPr/>
          <w:p>
            <w:pPr>
              <w:pStyle w:val="Compact"/>
              <w:jc w:val="left"/>
            </w:pPr>
            <m:oMath>
              <m:sSub>
                <m:e>
                  <m:r>
                    <m:t>λ</m:t>
                  </m:r>
                </m:e>
                <m:sub>
                  <m:r>
                    <m:t>i</m:t>
                  </m:r>
                </m:sub>
              </m:sSub>
            </m:oMath>
          </w:p>
        </w:tc>
        <w:tc>
          <w:tcPr/>
          <w:p>
            <w:pPr>
              <w:pStyle w:val="Compact"/>
              <w:jc w:val="left"/>
            </w:pPr>
            <w:r>
              <w:t xml:space="preserve">Request rate sent to backend</w:t>
            </w:r>
            <w:r>
              <w:t xml:space="preserve"> </w:t>
            </w:r>
            <m:oMath>
              <m:r>
                <m:t>i</m:t>
              </m:r>
            </m:oMath>
          </w:p>
        </w:tc>
        <w:tc>
          <w:tcPr/>
          <w:p>
            <w:pPr>
              <w:pStyle w:val="Compact"/>
              <w:jc w:val="left"/>
            </w:pPr>
            <w:r>
              <w:t xml:space="preserve">requests/second</w:t>
            </w:r>
          </w:p>
        </w:tc>
      </w:tr>
      <w:tr>
        <w:tc>
          <w:tcPr/>
          <w:p>
            <w:pPr>
              <w:pStyle w:val="Compact"/>
              <w:jc w:val="left"/>
            </w:pPr>
            <m:oMath>
              <m:sSub>
                <m:e>
                  <m:r>
                    <m:t>w</m:t>
                  </m:r>
                </m:e>
                <m:sub>
                  <m:r>
                    <m:t>i</m:t>
                  </m:r>
                </m:sub>
              </m:sSub>
            </m:oMath>
          </w:p>
        </w:tc>
        <w:tc>
          <w:tcPr/>
          <w:p>
            <w:pPr>
              <w:pStyle w:val="Compact"/>
              <w:jc w:val="left"/>
            </w:pPr>
            <w:r>
              <w:t xml:space="preserve">Configured weight of backend</w:t>
            </w:r>
            <w:r>
              <w:t xml:space="preserve"> </w:t>
            </w:r>
            <m:oMath>
              <m:r>
                <m:t>i</m:t>
              </m:r>
            </m:oMath>
          </w:p>
        </w:tc>
        <w:tc>
          <w:tcPr/>
          <w:p>
            <w:pPr>
              <w:pStyle w:val="Compact"/>
              <w:jc w:val="left"/>
            </w:pPr>
            <w:r>
              <w:t xml:space="preserve">dimensionless</w:t>
            </w:r>
          </w:p>
        </w:tc>
      </w:tr>
      <w:tr>
        <w:tc>
          <w:tcPr/>
          <w:p>
            <w:pPr>
              <w:pStyle w:val="Compact"/>
              <w:jc w:val="left"/>
            </w:pPr>
            <m:oMath>
              <m:r>
                <m:t>N</m:t>
              </m:r>
            </m:oMath>
          </w:p>
        </w:tc>
        <w:tc>
          <w:tcPr/>
          <w:p>
            <w:pPr>
              <w:pStyle w:val="Compact"/>
              <w:jc w:val="left"/>
            </w:pPr>
            <w:r>
              <w:t xml:space="preserve">Number of backends</w:t>
            </w:r>
          </w:p>
        </w:tc>
        <w:tc>
          <w:tcPr/>
          <w:p>
            <w:pPr>
              <w:pStyle w:val="Compact"/>
              <w:jc w:val="left"/>
            </w:pPr>
            <w:r>
              <w:t xml:space="preserve">count</w:t>
            </w:r>
          </w:p>
        </w:tc>
      </w:tr>
      <w:tr>
        <w:tc>
          <w:tcPr/>
          <w:p>
            <w:pPr>
              <w:pStyle w:val="Compact"/>
              <w:jc w:val="left"/>
            </w:pPr>
            <m:oMath>
              <m:sSub>
                <m:e>
                  <m:r>
                    <m:t>μ</m:t>
                  </m:r>
                </m:e>
                <m:sub>
                  <m:r>
                    <m:t>i</m:t>
                  </m:r>
                </m:sub>
              </m:sSub>
            </m:oMath>
          </w:p>
        </w:tc>
        <w:tc>
          <w:tcPr/>
          <w:p>
            <w:pPr>
              <w:pStyle w:val="Compact"/>
              <w:jc w:val="left"/>
            </w:pPr>
            <w:r>
              <w:t xml:space="preserve">Capacity (service rate) of backend</w:t>
            </w:r>
            <w:r>
              <w:t xml:space="preserve"> </w:t>
            </w:r>
            <m:oMath>
              <m:r>
                <m:t>i</m:t>
              </m:r>
            </m:oMath>
          </w:p>
        </w:tc>
        <w:tc>
          <w:tcPr/>
          <w:p>
            <w:pPr>
              <w:pStyle w:val="Compact"/>
              <w:jc w:val="left"/>
            </w:pPr>
            <w:r>
              <w:t xml:space="preserve">requests/second</w:t>
            </w:r>
          </w:p>
        </w:tc>
      </w:tr>
      <w:tr>
        <w:tc>
          <w:tcPr/>
          <w:p>
            <w:pPr>
              <w:pStyle w:val="Compact"/>
              <w:jc w:val="left"/>
            </w:pPr>
            <m:oMath>
              <m:sSub>
                <m:e>
                  <m:r>
                    <m:t>ρ</m:t>
                  </m:r>
                </m:e>
                <m:sub>
                  <m:r>
                    <m:t>i</m:t>
                  </m:r>
                </m:sub>
              </m:sSub>
            </m:oMath>
          </w:p>
        </w:tc>
        <w:tc>
          <w:tcPr/>
          <w:p>
            <w:pPr>
              <w:pStyle w:val="Compact"/>
              <w:jc w:val="left"/>
            </w:pPr>
            <w:r>
              <w:t xml:space="preserve">Utilization of backend</w:t>
            </w:r>
            <w:r>
              <w:t xml:space="preserve"> </w:t>
            </w:r>
            <m:oMath>
              <m:r>
                <m:t>i</m:t>
              </m:r>
            </m:oMath>
          </w:p>
        </w:tc>
        <w:tc>
          <w:tcPr/>
          <w:p>
            <w:pPr>
              <w:pStyle w:val="Compact"/>
              <w:jc w:val="left"/>
            </w:pPr>
            <w:r>
              <w:t xml:space="preserve">dimensionless</w:t>
            </w:r>
          </w:p>
        </w:tc>
      </w:tr>
    </w:tbl>
    <w:p>
      <w:pPr>
        <w:pStyle w:val="CalloutExample"/>
      </w:pPr>
      <w:r>
        <w:rPr>
          <w:bCs/>
          <w:b/>
        </w:rPr>
        <w:t xml:space="preserve">WORKED EXAMPLE</w:t>
      </w:r>
    </w:p>
    <w:p>
      <w:pPr>
        <w:pStyle w:val="CalloutExample"/>
      </w:pPr>
      <w:r>
        <w:rPr>
          <w:bCs/>
          <w:b/>
        </w:rPr>
        <w:t xml:space="preserve">Worked example — a mixed fleet.</w:t>
      </w:r>
      <w:r>
        <w:t xml:space="preserve"> </w:t>
      </w:r>
      <w:r>
        <w:t xml:space="preserve">Three backends with 8, 16 and 32 cores; each core serves 125 requests/s, so</w:t>
      </w:r>
      <w:r>
        <w:t xml:space="preserve"> </w:t>
      </w:r>
      <m:oMath>
        <m:r>
          <m:t>μ</m:t>
        </m:r>
        <m:r>
          <m:rPr>
            <m:sty m:val="p"/>
          </m:rPr>
          <m:t>=</m:t>
        </m:r>
        <m:r>
          <m:t>1</m:t>
        </m:r>
        <m:r>
          <m:rPr>
            <m:sty m:val="p"/>
          </m:rPr>
          <m:t>,</m:t>
        </m:r>
        <m:r>
          <m:t>000</m:t>
        </m:r>
      </m:oMath>
      <w:r>
        <w:t xml:space="preserve">,</w:t>
      </w:r>
      <w:r>
        <w:t xml:space="preserve"> </w:t>
      </w:r>
      <m:oMath>
        <m:r>
          <m:t>2</m:t>
        </m:r>
        <m:r>
          <m:rPr>
            <m:sty m:val="p"/>
          </m:rPr>
          <m:t>,</m:t>
        </m:r>
        <m:r>
          <m:t>000</m:t>
        </m:r>
      </m:oMath>
      <w:r>
        <w:t xml:space="preserve"> </w:t>
      </w:r>
      <w:r>
        <w:t xml:space="preserve">and</w:t>
      </w:r>
      <w:r>
        <w:t xml:space="preserve"> </w:t>
      </w:r>
      <m:oMath>
        <m:r>
          <m:t>4</m:t>
        </m:r>
        <m:r>
          <m:rPr>
            <m:sty m:val="p"/>
          </m:rPr>
          <m:t>,</m:t>
        </m:r>
        <m:r>
          <m:t>000</m:t>
        </m:r>
      </m:oMath>
      <w:r>
        <w:t xml:space="preserve"> </w:t>
      </w:r>
      <w:r>
        <w:t xml:space="preserve">requests/s. Total load</w:t>
      </w:r>
      <w:r>
        <w:t xml:space="preserve"> </w:t>
      </w:r>
      <m:oMath>
        <m:r>
          <m:t>λ</m:t>
        </m:r>
        <m:r>
          <m:rPr>
            <m:sty m:val="p"/>
          </m:rPr>
          <m:t>=</m:t>
        </m:r>
        <m:r>
          <m:t>5</m:t>
        </m:r>
        <m:r>
          <m:rPr>
            <m:sty m:val="p"/>
          </m:rPr>
          <m:t>,</m:t>
        </m:r>
        <m:r>
          <m:t>600</m:t>
        </m:r>
      </m:oMath>
      <w:r>
        <w:t xml:space="preserve"> </w:t>
      </w:r>
      <w:r>
        <w:t xml:space="preserve">requests/s.</w:t>
      </w:r>
    </w:p>
    <w:p>
      <w:pPr>
        <w:numPr>
          <w:ilvl w:val="0"/>
          <w:numId w:val="1627"/>
        </w:numPr>
        <w:pStyle w:val="Compact"/>
      </w:pPr>
      <w:r>
        <w:t xml:space="preserve">Unweighted RR: each gets</w:t>
      </w:r>
      <w:r>
        <w:t xml:space="preserve"> </w:t>
      </w:r>
      <m:oMath>
        <m:r>
          <m:t>5</m:t>
        </m:r>
        <m:r>
          <m:rPr>
            <m:sty m:val="p"/>
          </m:rPr>
          <m:t>,</m:t>
        </m:r>
        <m:r>
          <m:t>600</m:t>
        </m:r>
        <m:r>
          <m:rPr>
            <m:sty m:val="p"/>
          </m:rPr>
          <m:t>/</m:t>
        </m:r>
        <m:r>
          <m:t>3</m:t>
        </m:r>
        <m:r>
          <m:rPr>
            <m:sty m:val="p"/>
          </m:rPr>
          <m:t>=</m:t>
        </m:r>
        <m:r>
          <m:t>1</m:t>
        </m:r>
        <m:r>
          <m:rPr>
            <m:sty m:val="p"/>
          </m:rPr>
          <m:t>,</m:t>
        </m:r>
        <m:r>
          <m:t>867</m:t>
        </m:r>
      </m:oMath>
      <w:r>
        <w:t xml:space="preserve"> </w:t>
      </w:r>
      <w:r>
        <w:t xml:space="preserve">requests/s. Utilizations:</w:t>
      </w:r>
      <w:r>
        <w:t xml:space="preserve"> </w:t>
      </w:r>
      <m:oMath>
        <m:r>
          <m:t>1</m:t>
        </m:r>
        <m:r>
          <m:rPr>
            <m:sty m:val="p"/>
          </m:rPr>
          <m:t>,</m:t>
        </m:r>
        <m:r>
          <m:t>867</m:t>
        </m:r>
        <m:r>
          <m:rPr>
            <m:sty m:val="p"/>
          </m:rPr>
          <m:t>/</m:t>
        </m:r>
        <m:r>
          <m:t>1</m:t>
        </m:r>
        <m:r>
          <m:rPr>
            <m:sty m:val="p"/>
          </m:rPr>
          <m:t>,</m:t>
        </m:r>
        <m:r>
          <m:t>000</m:t>
        </m:r>
        <m:r>
          <m:rPr>
            <m:sty m:val="p"/>
          </m:rPr>
          <m:t>=</m:t>
        </m:r>
        <m:r>
          <m:t>1.87</m:t>
        </m:r>
      </m:oMath>
      <w:r>
        <w:t xml:space="preserve"> </w:t>
      </w:r>
      <w:r>
        <w:t xml:space="preserve">(overloaded, queue grows without bound),</w:t>
      </w:r>
      <w:r>
        <w:t xml:space="preserve"> </w:t>
      </w:r>
      <m:oMath>
        <m:r>
          <m:t>0.93</m:t>
        </m:r>
      </m:oMath>
      <w:r>
        <w:t xml:space="preserve"> </w:t>
      </w:r>
      <w:r>
        <w:t xml:space="preserve">and</w:t>
      </w:r>
      <w:r>
        <w:t xml:space="preserve"> </w:t>
      </w:r>
      <m:oMath>
        <m:r>
          <m:t>0.47</m:t>
        </m:r>
      </m:oMath>
      <w:r>
        <w:t xml:space="preserve">.</w:t>
      </w:r>
    </w:p>
    <w:p>
      <w:pPr>
        <w:numPr>
          <w:ilvl w:val="0"/>
          <w:numId w:val="1627"/>
        </w:numPr>
        <w:pStyle w:val="Compact"/>
      </w:pPr>
      <w:r>
        <w:t xml:space="preserve">Weights 1 : 2 : 4 (proportional to cores),</w:t>
      </w:r>
      <w:r>
        <w:t xml:space="preserve"> </w:t>
      </w:r>
      <m:oMath>
        <m:r>
          <m:rPr>
            <m:sty m:val="p"/>
          </m:rPr>
          <m:t>∑</m:t>
        </m:r>
        <m:r>
          <m:t>w</m:t>
        </m:r>
        <m:r>
          <m:rPr>
            <m:sty m:val="p"/>
          </m:rPr>
          <m:t>=</m:t>
        </m:r>
        <m:r>
          <m:t>7</m:t>
        </m:r>
      </m:oMath>
      <w:r>
        <w:t xml:space="preserve">:</w:t>
      </w:r>
      <w:r>
        <w:t xml:space="preserve"> </w:t>
      </w:r>
      <m:oMath>
        <m:sSub>
          <m:e>
            <m:r>
              <m:t>λ</m:t>
            </m:r>
          </m:e>
          <m:sub>
            <m:r>
              <m:t>i</m:t>
            </m:r>
          </m:sub>
        </m:sSub>
        <m:r>
          <m:rPr>
            <m:sty m:val="p"/>
          </m:rPr>
          <m:t>=</m:t>
        </m:r>
        <m:r>
          <m:t>800</m:t>
        </m:r>
      </m:oMath>
      <w:r>
        <w:t xml:space="preserve">,</w:t>
      </w:r>
      <w:r>
        <w:t xml:space="preserve"> </w:t>
      </w:r>
      <m:oMath>
        <m:r>
          <m:t>1</m:t>
        </m:r>
        <m:r>
          <m:rPr>
            <m:sty m:val="p"/>
          </m:rPr>
          <m:t>,</m:t>
        </m:r>
        <m:r>
          <m:t>600</m:t>
        </m:r>
      </m:oMath>
      <w:r>
        <w:t xml:space="preserve">,</w:t>
      </w:r>
      <w:r>
        <w:t xml:space="preserve"> </w:t>
      </w:r>
      <m:oMath>
        <m:r>
          <m:t>3</m:t>
        </m:r>
        <m:r>
          <m:rPr>
            <m:sty m:val="p"/>
          </m:rPr>
          <m:t>,</m:t>
        </m:r>
        <m:r>
          <m:t>200</m:t>
        </m:r>
      </m:oMath>
      <w:r>
        <w:t xml:space="preserve"> </w:t>
      </w:r>
      <w:r>
        <w:t xml:space="preserve">requests/s.</w:t>
      </w:r>
    </w:p>
    <w:p>
      <w:pPr>
        <w:numPr>
          <w:ilvl w:val="0"/>
          <w:numId w:val="1627"/>
        </w:numPr>
        <w:pStyle w:val="Compact"/>
      </w:pPr>
      <w:r>
        <w:t xml:space="preserve">Utilizations:</w:t>
      </w:r>
      <w:r>
        <w:t xml:space="preserve"> </w:t>
      </w:r>
      <m:oMath>
        <m:r>
          <m:t>800</m:t>
        </m:r>
        <m:r>
          <m:rPr>
            <m:sty m:val="p"/>
          </m:rPr>
          <m:t>/</m:t>
        </m:r>
        <m:r>
          <m:t>1</m:t>
        </m:r>
        <m:r>
          <m:rPr>
            <m:sty m:val="p"/>
          </m:rPr>
          <m:t>,</m:t>
        </m:r>
        <m:r>
          <m:t>000</m:t>
        </m:r>
        <m:r>
          <m:rPr>
            <m:sty m:val="p"/>
          </m:rPr>
          <m:t>=</m:t>
        </m:r>
        <m:r>
          <m:t>0.8</m:t>
        </m:r>
      </m:oMath>
      <w:r>
        <w:t xml:space="preserve">,</w:t>
      </w:r>
      <w:r>
        <w:t xml:space="preserve"> </w:t>
      </w:r>
      <m:oMath>
        <m:r>
          <m:t>1</m:t>
        </m:r>
        <m:r>
          <m:rPr>
            <m:sty m:val="p"/>
          </m:rPr>
          <m:t>,</m:t>
        </m:r>
        <m:r>
          <m:t>600</m:t>
        </m:r>
        <m:r>
          <m:rPr>
            <m:sty m:val="p"/>
          </m:rPr>
          <m:t>/</m:t>
        </m:r>
        <m:r>
          <m:t>2</m:t>
        </m:r>
        <m:r>
          <m:rPr>
            <m:sty m:val="p"/>
          </m:rPr>
          <m:t>,</m:t>
        </m:r>
        <m:r>
          <m:t>000</m:t>
        </m:r>
        <m:r>
          <m:rPr>
            <m:sty m:val="p"/>
          </m:rPr>
          <m:t>=</m:t>
        </m:r>
        <m:r>
          <m:t>0.8</m:t>
        </m:r>
      </m:oMath>
      <w:r>
        <w:t xml:space="preserve">,</w:t>
      </w:r>
      <w:r>
        <w:t xml:space="preserve"> </w:t>
      </w:r>
      <m:oMath>
        <m:r>
          <m:t>3</m:t>
        </m:r>
        <m:r>
          <m:rPr>
            <m:sty m:val="p"/>
          </m:rPr>
          <m:t>,</m:t>
        </m:r>
        <m:r>
          <m:t>200</m:t>
        </m:r>
        <m:r>
          <m:rPr>
            <m:sty m:val="p"/>
          </m:rPr>
          <m:t>/</m:t>
        </m:r>
        <m:r>
          <m:t>4</m:t>
        </m:r>
        <m:r>
          <m:rPr>
            <m:sty m:val="p"/>
          </m:rPr>
          <m:t>,</m:t>
        </m:r>
        <m:r>
          <m:t>000</m:t>
        </m:r>
        <m:r>
          <m:rPr>
            <m:sty m:val="p"/>
          </m:rPr>
          <m:t>=</m:t>
        </m:r>
        <m:r>
          <m:t>0.8</m:t>
        </m:r>
      </m:oMath>
      <w:r>
        <w:t xml:space="preserve">.</w:t>
      </w:r>
    </w:p>
    <w:p>
      <w:pPr>
        <w:pStyle w:val="CalloutExample"/>
      </w:pPr>
      <w:r>
        <w:rPr>
          <w:iCs/>
          <w:i/>
        </w:rPr>
        <w:t xml:space="preserve">Interpretation.</w:t>
      </w:r>
      <w:r>
        <w:t xml:space="preserve"> </w:t>
      </w:r>
      <w:r>
        <w:t xml:space="preserve">Total capacity is 7,000 requests/s, so the pool is at 80%, yet unweighted RR drives the smallest machine to 187% while the largest idles at 47%.</w:t>
      </w:r>
      <w:r>
        <w:t xml:space="preserve"> </w:t>
      </w:r>
      <w:r>
        <w:rPr>
          <w:iCs/>
          <w:i/>
        </w:rPr>
        <w:t xml:space="preserve">Engineering implication.</w:t>
      </w:r>
      <w:r>
        <w:t xml:space="preserve"> </w:t>
      </w:r>
      <w:r>
        <w:t xml:space="preserve">RR is only safe on homogeneous pools; with mixed instance types, set weights proportional to measured capacity, or use a load-aware algorithm.</w:t>
      </w:r>
    </w:p>
    <w:bookmarkEnd w:id="2167"/>
    <w:bookmarkStart w:id="2168" w:name="code-example-22"/>
    <w:p>
      <w:pPr>
        <w:pStyle w:val="Heading4"/>
      </w:pPr>
      <w:r>
        <w:t xml:space="preserve">Code example</w:t>
      </w:r>
    </w:p>
    <w:p>
      <w:pPr>
        <w:pStyle w:val="SourceCode"/>
      </w:pPr>
      <w:r>
        <w:rPr>
          <w:rStyle w:val="CommentTok"/>
        </w:rPr>
        <w:t xml:space="preserve">"""Smooth weighted round robin, the algorithm NGINX uses for weighted upstreams."""</w:t>
      </w:r>
      <w:r>
        <w:br/>
      </w:r>
      <w:r>
        <w:rPr>
          <w:rStyle w:val="ImportTok"/>
        </w:rPr>
        <w:t xml:space="preserve">from</w:t>
      </w:r>
      <w:r>
        <w:rPr>
          <w:rStyle w:val="NormalTok"/>
        </w:rPr>
        <w:t xml:space="preserve"> collections </w:t>
      </w:r>
      <w:r>
        <w:rPr>
          <w:rStyle w:val="ImportTok"/>
        </w:rPr>
        <w:t xml:space="preserve">import</w:t>
      </w:r>
      <w:r>
        <w:rPr>
          <w:rStyle w:val="NormalTok"/>
        </w:rPr>
        <w:t xml:space="preserve"> Counter</w:t>
      </w:r>
      <w:r>
        <w:br/>
      </w:r>
      <w:r>
        <w:br/>
      </w:r>
      <w:r>
        <w:br/>
      </w:r>
      <w:r>
        <w:rPr>
          <w:rStyle w:val="KeywordTok"/>
        </w:rPr>
        <w:t xml:space="preserve">class</w:t>
      </w:r>
      <w:r>
        <w:rPr>
          <w:rStyle w:val="NormalTok"/>
        </w:rPr>
        <w:t xml:space="preserve"> SmoothWRR: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weights: </w:t>
      </w:r>
      <w:r>
        <w:rPr>
          <w:rStyle w:val="BuiltInTok"/>
        </w:rPr>
        <w:t xml:space="preserve">dict</w:t>
      </w:r>
      <w:r>
        <w:rPr>
          <w:rStyle w:val="NormalTok"/>
        </w:rPr>
        <w:t xml:space="preserve">):</w:t>
      </w:r>
      <w:r>
        <w:br/>
      </w:r>
      <w:r>
        <w:rPr>
          <w:rStyle w:val="NormalTok"/>
        </w:rPr>
        <w:t xml:space="preserve">        </w:t>
      </w:r>
      <w:r>
        <w:rPr>
          <w:rStyle w:val="VariableTok"/>
        </w:rPr>
        <w:t xml:space="preserve">self</w:t>
      </w:r>
      <w:r>
        <w:rPr>
          <w:rStyle w:val="NormalTok"/>
        </w:rPr>
        <w:t xml:space="preserve">.weights </w:t>
      </w:r>
      <w:r>
        <w:rPr>
          <w:rStyle w:val="OperatorTok"/>
        </w:rPr>
        <w:t xml:space="preserve">=</w:t>
      </w:r>
      <w:r>
        <w:rPr>
          <w:rStyle w:val="NormalTok"/>
        </w:rPr>
        <w:t xml:space="preserve"> </w:t>
      </w:r>
      <w:r>
        <w:rPr>
          <w:rStyle w:val="BuiltInTok"/>
        </w:rPr>
        <w:t xml:space="preserve">dict</w:t>
      </w:r>
      <w:r>
        <w:rPr>
          <w:rStyle w:val="NormalTok"/>
        </w:rPr>
        <w:t xml:space="preserve">(weights)              </w:t>
      </w:r>
      <w:r>
        <w:rPr>
          <w:rStyle w:val="CommentTok"/>
        </w:rPr>
        <w:t xml:space="preserve"># server -&gt; configured weight</w:t>
      </w:r>
      <w:r>
        <w:br/>
      </w:r>
      <w:r>
        <w:rPr>
          <w:rStyle w:val="NormalTok"/>
        </w:rPr>
        <w:t xml:space="preserve">        </w:t>
      </w:r>
      <w:r>
        <w:rPr>
          <w:rStyle w:val="VariableTok"/>
        </w:rPr>
        <w:t xml:space="preserve">self</w:t>
      </w:r>
      <w:r>
        <w:rPr>
          <w:rStyle w:val="NormalTok"/>
        </w:rPr>
        <w:t xml:space="preserve">.current </w:t>
      </w:r>
      <w:r>
        <w:rPr>
          <w:rStyle w:val="OperatorTok"/>
        </w:rPr>
        <w:t xml:space="preserve">=</w:t>
      </w:r>
      <w:r>
        <w:rPr>
          <w:rStyle w:val="NormalTok"/>
        </w:rPr>
        <w:t xml:space="preserve"> {s: </w:t>
      </w:r>
      <w:r>
        <w:rPr>
          <w:rStyle w:val="DecValTok"/>
        </w:rPr>
        <w:t xml:space="preserve">0</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weights}    </w:t>
      </w:r>
      <w:r>
        <w:rPr>
          <w:rStyle w:val="CommentTok"/>
        </w:rPr>
        <w:t xml:space="preserve"># server -&gt; current weight</w:t>
      </w:r>
      <w:r>
        <w:br/>
      </w:r>
      <w:r>
        <w:rPr>
          <w:rStyle w:val="NormalTok"/>
        </w:rPr>
        <w:t xml:space="preserve">        </w:t>
      </w:r>
      <w:r>
        <w:rPr>
          <w:rStyle w:val="VariableTok"/>
        </w:rPr>
        <w:t xml:space="preserve">self</w:t>
      </w:r>
      <w:r>
        <w:rPr>
          <w:rStyle w:val="NormalTok"/>
        </w:rPr>
        <w:t xml:space="preserve">.total </w:t>
      </w:r>
      <w:r>
        <w:rPr>
          <w:rStyle w:val="OperatorTok"/>
        </w:rPr>
        <w:t xml:space="preserve">=</w:t>
      </w:r>
      <w:r>
        <w:rPr>
          <w:rStyle w:val="NormalTok"/>
        </w:rPr>
        <w:t xml:space="preserve"> </w:t>
      </w:r>
      <w:r>
        <w:rPr>
          <w:rStyle w:val="BuiltInTok"/>
        </w:rPr>
        <w:t xml:space="preserve">sum</w:t>
      </w:r>
      <w:r>
        <w:rPr>
          <w:rStyle w:val="NormalTok"/>
        </w:rPr>
        <w:t xml:space="preserve">(weights.values())</w:t>
      </w:r>
      <w:r>
        <w:br/>
      </w:r>
      <w:r>
        <w:br/>
      </w:r>
      <w:r>
        <w:rPr>
          <w:rStyle w:val="NormalTok"/>
        </w:rPr>
        <w:t xml:space="preserve">    </w:t>
      </w:r>
      <w:r>
        <w:rPr>
          <w:rStyle w:val="KeywordTok"/>
        </w:rPr>
        <w:t xml:space="preserve">def</w:t>
      </w:r>
      <w:r>
        <w:rPr>
          <w:rStyle w:val="NormalTok"/>
        </w:rPr>
        <w:t xml:space="preserve"> pick(</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 1. Every server earns its weight.</w:t>
      </w:r>
      <w:r>
        <w:br/>
      </w:r>
      <w:r>
        <w:rPr>
          <w:rStyle w:val="NormalTok"/>
        </w:rPr>
        <w:t xml:space="preserve">        </w:t>
      </w:r>
      <w:r>
        <w:rPr>
          <w:rStyle w:val="ControlFlowTok"/>
        </w:rPr>
        <w:t xml:space="preserve">for</w:t>
      </w:r>
      <w:r>
        <w:rPr>
          <w:rStyle w:val="NormalTok"/>
        </w:rPr>
        <w:t xml:space="preserve"> s, w </w:t>
      </w:r>
      <w:r>
        <w:rPr>
          <w:rStyle w:val="KeywordTok"/>
        </w:rPr>
        <w:t xml:space="preserve">in</w:t>
      </w:r>
      <w:r>
        <w:rPr>
          <w:rStyle w:val="NormalTok"/>
        </w:rPr>
        <w:t xml:space="preserve"> </w:t>
      </w:r>
      <w:r>
        <w:rPr>
          <w:rStyle w:val="VariableTok"/>
        </w:rPr>
        <w:t xml:space="preserve">self</w:t>
      </w:r>
      <w:r>
        <w:rPr>
          <w:rStyle w:val="NormalTok"/>
        </w:rPr>
        <w:t xml:space="preserve">.weights.items():</w:t>
      </w:r>
      <w:r>
        <w:br/>
      </w:r>
      <w:r>
        <w:rPr>
          <w:rStyle w:val="NormalTok"/>
        </w:rPr>
        <w:t xml:space="preserve">            </w:t>
      </w:r>
      <w:r>
        <w:rPr>
          <w:rStyle w:val="VariableTok"/>
        </w:rPr>
        <w:t xml:space="preserve">self</w:t>
      </w:r>
      <w:r>
        <w:rPr>
          <w:rStyle w:val="NormalTok"/>
        </w:rPr>
        <w:t xml:space="preserve">.current[s] </w:t>
      </w:r>
      <w:r>
        <w:rPr>
          <w:rStyle w:val="OperatorTok"/>
        </w:rPr>
        <w:t xml:space="preserve">+=</w:t>
      </w:r>
      <w:r>
        <w:rPr>
          <w:rStyle w:val="NormalTok"/>
        </w:rPr>
        <w:t xml:space="preserve"> w</w:t>
      </w:r>
      <w:r>
        <w:br/>
      </w:r>
      <w:r>
        <w:rPr>
          <w:rStyle w:val="NormalTok"/>
        </w:rPr>
        <w:t xml:space="preserve">        </w:t>
      </w:r>
      <w:r>
        <w:rPr>
          <w:rStyle w:val="CommentTok"/>
        </w:rPr>
        <w:t xml:space="preserve"># 2. The richest server wins (ties: first in insertion order).</w:t>
      </w:r>
      <w:r>
        <w:br/>
      </w:r>
      <w:r>
        <w:rPr>
          <w:rStyle w:val="NormalTok"/>
        </w:rPr>
        <w:t xml:space="preserve">        best </w:t>
      </w:r>
      <w:r>
        <w:rPr>
          <w:rStyle w:val="OperatorTok"/>
        </w:rPr>
        <w:t xml:space="preserve">=</w:t>
      </w:r>
      <w:r>
        <w:rPr>
          <w:rStyle w:val="NormalTok"/>
        </w:rPr>
        <w:t xml:space="preserve"> </w:t>
      </w:r>
      <w:r>
        <w:rPr>
          <w:rStyle w:val="BuiltInTok"/>
        </w:rPr>
        <w:t xml:space="preserve">max</w:t>
      </w:r>
      <w:r>
        <w:rPr>
          <w:rStyle w:val="NormalTok"/>
        </w:rPr>
        <w:t xml:space="preserve">(</w:t>
      </w:r>
      <w:r>
        <w:rPr>
          <w:rStyle w:val="VariableTok"/>
        </w:rPr>
        <w:t xml:space="preserve">self</w:t>
      </w:r>
      <w:r>
        <w:rPr>
          <w:rStyle w:val="NormalTok"/>
        </w:rPr>
        <w:t xml:space="preserve">.current, key</w:t>
      </w:r>
      <w:r>
        <w:rPr>
          <w:rStyle w:val="OperatorTok"/>
        </w:rPr>
        <w:t xml:space="preserve">=</w:t>
      </w:r>
      <w:r>
        <w:rPr>
          <w:rStyle w:val="VariableTok"/>
        </w:rPr>
        <w:t xml:space="preserve">self</w:t>
      </w:r>
      <w:r>
        <w:rPr>
          <w:rStyle w:val="NormalTok"/>
        </w:rPr>
        <w:t xml:space="preserve">.current.get)</w:t>
      </w:r>
      <w:r>
        <w:br/>
      </w:r>
      <w:r>
        <w:rPr>
          <w:rStyle w:val="NormalTok"/>
        </w:rPr>
        <w:t xml:space="preserve">        </w:t>
      </w:r>
      <w:r>
        <w:rPr>
          <w:rStyle w:val="CommentTok"/>
        </w:rPr>
        <w:t xml:space="preserve"># 3. The winner pays the total, so it falls behind the others.</w:t>
      </w:r>
      <w:r>
        <w:br/>
      </w:r>
      <w:r>
        <w:rPr>
          <w:rStyle w:val="NormalTok"/>
        </w:rPr>
        <w:t xml:space="preserve">        </w:t>
      </w:r>
      <w:r>
        <w:rPr>
          <w:rStyle w:val="VariableTok"/>
        </w:rPr>
        <w:t xml:space="preserve">self</w:t>
      </w:r>
      <w:r>
        <w:rPr>
          <w:rStyle w:val="NormalTok"/>
        </w:rPr>
        <w:t xml:space="preserve">.current[best] </w:t>
      </w:r>
      <w:r>
        <w:rPr>
          <w:rStyle w:val="OperatorTok"/>
        </w:rPr>
        <w:t xml:space="preserve">-=</w:t>
      </w:r>
      <w:r>
        <w:rPr>
          <w:rStyle w:val="NormalTok"/>
        </w:rPr>
        <w:t xml:space="preserve"> </w:t>
      </w:r>
      <w:r>
        <w:rPr>
          <w:rStyle w:val="VariableTok"/>
        </w:rPr>
        <w:t xml:space="preserve">self</w:t>
      </w:r>
      <w:r>
        <w:rPr>
          <w:rStyle w:val="NormalTok"/>
        </w:rPr>
        <w:t xml:space="preserve">.total</w:t>
      </w:r>
      <w:r>
        <w:br/>
      </w:r>
      <w:r>
        <w:rPr>
          <w:rStyle w:val="NormalTok"/>
        </w:rPr>
        <w:t xml:space="preserve">        </w:t>
      </w:r>
      <w:r>
        <w:rPr>
          <w:rStyle w:val="ControlFlowTok"/>
        </w:rPr>
        <w:t xml:space="preserve">return</w:t>
      </w:r>
      <w:r>
        <w:rPr>
          <w:rStyle w:val="NormalTok"/>
        </w:rPr>
        <w:t xml:space="preserve"> best</w:t>
      </w:r>
      <w:r>
        <w:br/>
      </w:r>
      <w:r>
        <w:br/>
      </w:r>
      <w:r>
        <w:br/>
      </w:r>
      <w:r>
        <w:rPr>
          <w:rStyle w:val="KeywordTok"/>
        </w:rPr>
        <w:t xml:space="preserve">def</w:t>
      </w:r>
      <w:r>
        <w:rPr>
          <w:rStyle w:val="NormalTok"/>
        </w:rPr>
        <w:t xml:space="preserve"> naive_wrr(weights: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br/>
      </w:r>
      <w:r>
        <w:rPr>
          <w:rStyle w:val="NormalTok"/>
        </w:rPr>
        <w:t xml:space="preserve">    </w:t>
      </w:r>
      <w:r>
        <w:rPr>
          <w:rStyle w:val="CommentTok"/>
        </w:rPr>
        <w:t xml:space="preserve">"""Repeat each server w times in a row: correct shares, bursty order."""</w:t>
      </w:r>
      <w:r>
        <w:br/>
      </w:r>
      <w:r>
        <w:rPr>
          <w:rStyle w:val="NormalTok"/>
        </w:rPr>
        <w:t xml:space="preserve">    </w:t>
      </w:r>
      <w:r>
        <w:rPr>
          <w:rStyle w:val="ControlFlowTok"/>
        </w:rPr>
        <w:t xml:space="preserve">return</w:t>
      </w:r>
      <w:r>
        <w:rPr>
          <w:rStyle w:val="NormalTok"/>
        </w:rPr>
        <w:t xml:space="preserve"> [s </w:t>
      </w:r>
      <w:r>
        <w:rPr>
          <w:rStyle w:val="ControlFlowTok"/>
        </w:rPr>
        <w:t xml:space="preserve">for</w:t>
      </w:r>
      <w:r>
        <w:rPr>
          <w:rStyle w:val="NormalTok"/>
        </w:rPr>
        <w:t xml:space="preserve"> s, w </w:t>
      </w:r>
      <w:r>
        <w:rPr>
          <w:rStyle w:val="KeywordTok"/>
        </w:rPr>
        <w:t xml:space="preserve">in</w:t>
      </w:r>
      <w:r>
        <w:rPr>
          <w:rStyle w:val="NormalTok"/>
        </w:rPr>
        <w:t xml:space="preserve"> weights.items()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 </w:t>
      </w:r>
      <w:r>
        <w:rPr>
          <w:rStyle w:val="OperatorTok"/>
        </w:rPr>
        <w:t xml:space="preserve">=</w:t>
      </w:r>
      <w:r>
        <w:rPr>
          <w:rStyle w:val="NormalTok"/>
        </w:rPr>
        <w:t xml:space="preserve"> {</w:t>
      </w:r>
      <w:r>
        <w:rPr>
          <w:rStyle w:val="StringTok"/>
        </w:rPr>
        <w:t xml:space="preserve">"a"</w:t>
      </w:r>
      <w:r>
        <w:rPr>
          <w:rStyle w:val="NormalTok"/>
        </w:rPr>
        <w:t xml:space="preserve">: </w:t>
      </w:r>
      <w:r>
        <w:rPr>
          <w:rStyle w:val="DecValTok"/>
        </w:rPr>
        <w:t xml:space="preserve">5</w:t>
      </w:r>
      <w:r>
        <w:rPr>
          <w:rStyle w:val="NormalTok"/>
        </w:rPr>
        <w:t xml:space="preserve">, </w:t>
      </w:r>
      <w:r>
        <w:rPr>
          <w:rStyle w:val="StringTok"/>
        </w:rPr>
        <w:t xml:space="preserve">"b"</w:t>
      </w:r>
      <w:r>
        <w:rPr>
          <w:rStyle w:val="NormalTok"/>
        </w:rPr>
        <w:t xml:space="preserve">: </w:t>
      </w:r>
      <w:r>
        <w:rPr>
          <w:rStyle w:val="DecValTok"/>
        </w:rPr>
        <w:t xml:space="preserve">1</w:t>
      </w:r>
      <w:r>
        <w:rPr>
          <w:rStyle w:val="NormalTok"/>
        </w:rPr>
        <w:t xml:space="preserve">, </w:t>
      </w:r>
      <w:r>
        <w:rPr>
          <w:rStyle w:val="StringTok"/>
        </w:rPr>
        <w:t xml:space="preserve">"c"</w:t>
      </w:r>
      <w:r>
        <w:rPr>
          <w:rStyle w:val="NormalTok"/>
        </w:rPr>
        <w:t xml:space="preserve">: </w:t>
      </w:r>
      <w:r>
        <w:rPr>
          <w:rStyle w:val="DecValTok"/>
        </w:rPr>
        <w:t xml:space="preserve">1</w:t>
      </w:r>
      <w:r>
        <w:rPr>
          <w:rStyle w:val="NormalTok"/>
        </w:rPr>
        <w:t xml:space="preserve">}</w:t>
      </w:r>
      <w:r>
        <w:br/>
      </w:r>
      <w:r>
        <w:rPr>
          <w:rStyle w:val="NormalTok"/>
        </w:rPr>
        <w:t xml:space="preserve">    lb </w:t>
      </w:r>
      <w:r>
        <w:rPr>
          <w:rStyle w:val="OperatorTok"/>
        </w:rPr>
        <w:t xml:space="preserve">=</w:t>
      </w:r>
      <w:r>
        <w:rPr>
          <w:rStyle w:val="NormalTok"/>
        </w:rPr>
        <w:t xml:space="preserve"> SmoothWRR(w)</w:t>
      </w:r>
      <w:r>
        <w:br/>
      </w:r>
      <w:r>
        <w:rPr>
          <w:rStyle w:val="NormalTok"/>
        </w:rPr>
        <w:t xml:space="preserve">    seq </w:t>
      </w:r>
      <w:r>
        <w:rPr>
          <w:rStyle w:val="OperatorTok"/>
        </w:rPr>
        <w:t xml:space="preserve">=</w:t>
      </w:r>
      <w:r>
        <w:rPr>
          <w:rStyle w:val="NormalTok"/>
        </w:rPr>
        <w:t xml:space="preserve"> [lb.pick()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7</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"naive :"</w:t>
      </w:r>
      <w:r>
        <w:rPr>
          <w:rStyle w:val="NormalTok"/>
        </w:rPr>
        <w:t xml:space="preserve">, </w:t>
      </w:r>
      <w:r>
        <w:rPr>
          <w:rStyle w:val="StringTok"/>
        </w:rPr>
        <w:t xml:space="preserve">" "</w:t>
      </w:r>
      <w:r>
        <w:rPr>
          <w:rStyle w:val="NormalTok"/>
        </w:rPr>
        <w:t xml:space="preserve">.join(naive_wrr(w)))</w:t>
      </w:r>
      <w:r>
        <w:br/>
      </w:r>
      <w:r>
        <w:rPr>
          <w:rStyle w:val="NormalTok"/>
        </w:rPr>
        <w:t xml:space="preserve">    </w:t>
      </w:r>
      <w:r>
        <w:rPr>
          <w:rStyle w:val="BuiltInTok"/>
        </w:rPr>
        <w:t xml:space="preserve">print</w:t>
      </w:r>
      <w:r>
        <w:rPr>
          <w:rStyle w:val="NormalTok"/>
        </w:rPr>
        <w:t xml:space="preserve">(</w:t>
      </w:r>
      <w:r>
        <w:rPr>
          <w:rStyle w:val="StringTok"/>
        </w:rPr>
        <w:t xml:space="preserve">"smooth:"</w:t>
      </w:r>
      <w:r>
        <w:rPr>
          <w:rStyle w:val="NormalTok"/>
        </w:rPr>
        <w:t xml:space="preserve">, </w:t>
      </w:r>
      <w:r>
        <w:rPr>
          <w:rStyle w:val="StringTok"/>
        </w:rPr>
        <w:t xml:space="preserve">" "</w:t>
      </w:r>
      <w:r>
        <w:rPr>
          <w:rStyle w:val="NormalTok"/>
        </w:rPr>
        <w:t xml:space="preserve">.join(seq))</w:t>
      </w:r>
      <w:r>
        <w:br/>
      </w:r>
      <w:r>
        <w:rPr>
          <w:rStyle w:val="NormalTok"/>
        </w:rPr>
        <w:t xml:space="preserve">    </w:t>
      </w:r>
      <w:r>
        <w:rPr>
          <w:rStyle w:val="ControlFlowTok"/>
        </w:rPr>
        <w:t xml:space="preserve">assert</w:t>
      </w:r>
      <w:r>
        <w:rPr>
          <w:rStyle w:val="NormalTok"/>
        </w:rPr>
        <w:t xml:space="preserve"> seq </w:t>
      </w:r>
      <w:r>
        <w:rPr>
          <w:rStyle w:val="OperatorTok"/>
        </w:rPr>
        <w:t xml:space="preserve">==</w:t>
      </w:r>
      <w:r>
        <w:rPr>
          <w:rStyle w:val="NormalTok"/>
        </w:rPr>
        <w:t xml:space="preserve"> [</w:t>
      </w:r>
      <w:r>
        <w:rPr>
          <w:rStyle w:val="StringTok"/>
        </w:rPr>
        <w:t xml:space="preserve">"a"</w:t>
      </w:r>
      <w:r>
        <w:rPr>
          <w:rStyle w:val="NormalTok"/>
        </w:rPr>
        <w:t xml:space="preserve">, </w:t>
      </w:r>
      <w:r>
        <w:rPr>
          <w:rStyle w:val="StringTok"/>
        </w:rPr>
        <w:t xml:space="preserve">"a"</w:t>
      </w:r>
      <w:r>
        <w:rPr>
          <w:rStyle w:val="NormalTok"/>
        </w:rPr>
        <w:t xml:space="preserve">, </w:t>
      </w:r>
      <w:r>
        <w:rPr>
          <w:rStyle w:val="StringTok"/>
        </w:rPr>
        <w:t xml:space="preserve">"b"</w:t>
      </w:r>
      <w:r>
        <w:rPr>
          <w:rStyle w:val="NormalTok"/>
        </w:rPr>
        <w:t xml:space="preserve">, </w:t>
      </w:r>
      <w:r>
        <w:rPr>
          <w:rStyle w:val="StringTok"/>
        </w:rPr>
        <w:t xml:space="preserve">"a"</w:t>
      </w:r>
      <w:r>
        <w:rPr>
          <w:rStyle w:val="NormalTok"/>
        </w:rPr>
        <w:t xml:space="preserve">, </w:t>
      </w:r>
      <w:r>
        <w:rPr>
          <w:rStyle w:val="StringTok"/>
        </w:rPr>
        <w:t xml:space="preserve">"c"</w:t>
      </w:r>
      <w:r>
        <w:rPr>
          <w:rStyle w:val="NormalTok"/>
        </w:rPr>
        <w:t xml:space="preserve">, </w:t>
      </w:r>
      <w:r>
        <w:rPr>
          <w:rStyle w:val="StringTok"/>
        </w:rPr>
        <w:t xml:space="preserve">"a"</w:t>
      </w:r>
      <w:r>
        <w:rPr>
          <w:rStyle w:val="NormalTok"/>
        </w:rPr>
        <w:t xml:space="preserve">, </w:t>
      </w:r>
      <w:r>
        <w:rPr>
          <w:rStyle w:val="StringTok"/>
        </w:rPr>
        <w:t xml:space="preserve">"a"</w:t>
      </w:r>
      <w:r>
        <w:rPr>
          <w:rStyle w:val="NormalTok"/>
        </w:rPr>
        <w:t xml:space="preserve">]</w:t>
      </w:r>
      <w:r>
        <w:br/>
      </w:r>
      <w:r>
        <w:br/>
      </w:r>
      <w:r>
        <w:rPr>
          <w:rStyle w:val="NormalTok"/>
        </w:rPr>
        <w:t xml:space="preserve">    w2 </w:t>
      </w:r>
      <w:r>
        <w:rPr>
          <w:rStyle w:val="OperatorTok"/>
        </w:rPr>
        <w:t xml:space="preserve">=</w:t>
      </w:r>
      <w:r>
        <w:rPr>
          <w:rStyle w:val="NormalTok"/>
        </w:rPr>
        <w:t xml:space="preserve"> {</w:t>
      </w:r>
      <w:r>
        <w:rPr>
          <w:rStyle w:val="StringTok"/>
        </w:rPr>
        <w:t xml:space="preserve">"s1"</w:t>
      </w:r>
      <w:r>
        <w:rPr>
          <w:rStyle w:val="NormalTok"/>
        </w:rPr>
        <w:t xml:space="preserve">: </w:t>
      </w:r>
      <w:r>
        <w:rPr>
          <w:rStyle w:val="DecValTok"/>
        </w:rPr>
        <w:t xml:space="preserve">1</w:t>
      </w:r>
      <w:r>
        <w:rPr>
          <w:rStyle w:val="NormalTok"/>
        </w:rPr>
        <w:t xml:space="preserve">, </w:t>
      </w:r>
      <w:r>
        <w:rPr>
          <w:rStyle w:val="StringTok"/>
        </w:rPr>
        <w:t xml:space="preserve">"s2"</w:t>
      </w:r>
      <w:r>
        <w:rPr>
          <w:rStyle w:val="NormalTok"/>
        </w:rPr>
        <w:t xml:space="preserve">: </w:t>
      </w:r>
      <w:r>
        <w:rPr>
          <w:rStyle w:val="DecValTok"/>
        </w:rPr>
        <w:t xml:space="preserve">2</w:t>
      </w:r>
      <w:r>
        <w:rPr>
          <w:rStyle w:val="NormalTok"/>
        </w:rPr>
        <w:t xml:space="preserve">, </w:t>
      </w:r>
      <w:r>
        <w:rPr>
          <w:rStyle w:val="StringTok"/>
        </w:rPr>
        <w:t xml:space="preserve">"s3"</w:t>
      </w:r>
      <w:r>
        <w:rPr>
          <w:rStyle w:val="NormalTok"/>
        </w:rPr>
        <w:t xml:space="preserve">: </w:t>
      </w:r>
      <w:r>
        <w:rPr>
          <w:rStyle w:val="DecValTok"/>
        </w:rPr>
        <w:t xml:space="preserve">4</w:t>
      </w:r>
      <w:r>
        <w:rPr>
          <w:rStyle w:val="NormalTok"/>
        </w:rPr>
        <w:t xml:space="preserve">}               </w:t>
      </w:r>
      <w:r>
        <w:rPr>
          <w:rStyle w:val="CommentTok"/>
        </w:rPr>
        <w:t xml:space="preserve"># 8, 16 and 32 cores</w:t>
      </w:r>
      <w:r>
        <w:br/>
      </w:r>
      <w:r>
        <w:rPr>
          <w:rStyle w:val="NormalTok"/>
        </w:rPr>
        <w:t xml:space="preserve">    lb2 </w:t>
      </w:r>
      <w:r>
        <w:rPr>
          <w:rStyle w:val="OperatorTok"/>
        </w:rPr>
        <w:t xml:space="preserve">=</w:t>
      </w:r>
      <w:r>
        <w:rPr>
          <w:rStyle w:val="NormalTok"/>
        </w:rPr>
        <w:t xml:space="preserve"> SmoothWRR(w2)</w:t>
      </w:r>
      <w:r>
        <w:br/>
      </w:r>
      <w:r>
        <w:rPr>
          <w:rStyle w:val="NormalTok"/>
        </w:rPr>
        <w:t xml:space="preserve">    counts </w:t>
      </w:r>
      <w:r>
        <w:rPr>
          <w:rStyle w:val="OperatorTok"/>
        </w:rPr>
        <w:t xml:space="preserve">=</w:t>
      </w:r>
      <w:r>
        <w:rPr>
          <w:rStyle w:val="NormalTok"/>
        </w:rPr>
        <w:t xml:space="preserve"> Counter(lb2.pick()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7_000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"shares over 7,000 picks:"</w:t>
      </w:r>
      <w:r>
        <w:rPr>
          <w:rStyle w:val="NormalTok"/>
        </w:rPr>
        <w:t xml:space="preserve">, </w:t>
      </w:r>
      <w:r>
        <w:rPr>
          <w:rStyle w:val="BuiltInTok"/>
        </w:rPr>
        <w:t xml:space="preserve">dict</w:t>
      </w:r>
      <w:r>
        <w:rPr>
          <w:rStyle w:val="NormalTok"/>
        </w:rPr>
        <w:t xml:space="preserve">(counts))</w:t>
      </w:r>
      <w:r>
        <w:br/>
      </w:r>
      <w:r>
        <w:rPr>
          <w:rStyle w:val="NormalTok"/>
        </w:rPr>
        <w:t xml:space="preserve">    </w:t>
      </w:r>
      <w:r>
        <w:rPr>
          <w:rStyle w:val="ControlFlowTok"/>
        </w:rPr>
        <w:t xml:space="preserve">assert</w:t>
      </w:r>
      <w:r>
        <w:rPr>
          <w:rStyle w:val="NormalTok"/>
        </w:rPr>
        <w:t xml:space="preserve"> counts </w:t>
      </w:r>
      <w:r>
        <w:rPr>
          <w:rStyle w:val="OperatorTok"/>
        </w:rPr>
        <w:t xml:space="preserve">==</w:t>
      </w:r>
      <w:r>
        <w:rPr>
          <w:rStyle w:val="NormalTok"/>
        </w:rPr>
        <w:t xml:space="preserve"> {</w:t>
      </w:r>
      <w:r>
        <w:rPr>
          <w:rStyle w:val="StringTok"/>
        </w:rPr>
        <w:t xml:space="preserve">"s1"</w:t>
      </w:r>
      <w:r>
        <w:rPr>
          <w:rStyle w:val="NormalTok"/>
        </w:rPr>
        <w:t xml:space="preserve">: </w:t>
      </w:r>
      <w:r>
        <w:rPr>
          <w:rStyle w:val="DecValTok"/>
        </w:rPr>
        <w:t xml:space="preserve">1_000</w:t>
      </w:r>
      <w:r>
        <w:rPr>
          <w:rStyle w:val="NormalTok"/>
        </w:rPr>
        <w:t xml:space="preserve">, </w:t>
      </w:r>
      <w:r>
        <w:rPr>
          <w:rStyle w:val="StringTok"/>
        </w:rPr>
        <w:t xml:space="preserve">"s2"</w:t>
      </w:r>
      <w:r>
        <w:rPr>
          <w:rStyle w:val="NormalTok"/>
        </w:rPr>
        <w:t xml:space="preserve">: </w:t>
      </w:r>
      <w:r>
        <w:rPr>
          <w:rStyle w:val="DecValTok"/>
        </w:rPr>
        <w:t xml:space="preserve">2_000</w:t>
      </w:r>
      <w:r>
        <w:rPr>
          <w:rStyle w:val="NormalTok"/>
        </w:rPr>
        <w:t xml:space="preserve">, </w:t>
      </w:r>
      <w:r>
        <w:rPr>
          <w:rStyle w:val="StringTok"/>
        </w:rPr>
        <w:t xml:space="preserve">"s3"</w:t>
      </w:r>
      <w:r>
        <w:rPr>
          <w:rStyle w:val="NormalTok"/>
        </w:rPr>
        <w:t xml:space="preserve">: </w:t>
      </w:r>
      <w:r>
        <w:rPr>
          <w:rStyle w:val="DecValTok"/>
        </w:rPr>
        <w:t xml:space="preserve">4_000</w:t>
      </w:r>
      <w:r>
        <w:rPr>
          <w:rStyle w:val="NormalTok"/>
        </w:rPr>
        <w:t xml:space="preserve">}</w:t>
      </w:r>
    </w:p>
    <w:p>
      <w:pPr>
        <w:pStyle w:val="FirstParagraph"/>
      </w:pPr>
      <w:r>
        <w:t xml:space="preserve">What to notice:</w:t>
      </w:r>
    </w:p>
    <w:p>
      <w:pPr>
        <w:numPr>
          <w:ilvl w:val="0"/>
          <w:numId w:val="1628"/>
        </w:numPr>
        <w:pStyle w:val="Compact"/>
      </w:pPr>
      <w:r>
        <w:t xml:space="preserve">The smooth sequence for weights 5, 1, 1 is</w:t>
      </w:r>
      <w:r>
        <w:t xml:space="preserve"> </w:t>
      </w:r>
      <w:r>
        <w:rPr>
          <w:rStyle w:val="VerbatimChar"/>
        </w:rPr>
        <w:t xml:space="preserve">a a b a c a a</w:t>
      </w:r>
      <w:r>
        <w:t xml:space="preserve">, the sequence documented in the NGINX source, instead of five</w:t>
      </w:r>
      <w:r>
        <w:t xml:space="preserve"> </w:t>
      </w:r>
      <w:r>
        <w:rPr>
          <w:rStyle w:val="VerbatimChar"/>
        </w:rPr>
        <w:t xml:space="preserve">a</w:t>
      </w:r>
      <w:r>
        <w:t xml:space="preserve">s in a row.</w:t>
      </w:r>
    </w:p>
    <w:p>
      <w:pPr>
        <w:numPr>
          <w:ilvl w:val="0"/>
          <w:numId w:val="1628"/>
        </w:numPr>
        <w:pStyle w:val="Compact"/>
      </w:pPr>
      <w:r>
        <w:t xml:space="preserve">Shares are exact over each cycle: 1,000, 2,000 and 4,000 picks out of 7,000.</w:t>
      </w:r>
    </w:p>
    <w:p>
      <w:pPr>
        <w:numPr>
          <w:ilvl w:val="0"/>
          <w:numId w:val="1628"/>
        </w:numPr>
        <w:pStyle w:val="Compact"/>
      </w:pPr>
      <w:r>
        <w:t xml:space="preserve">The algorithm is</w:t>
      </w:r>
      <w:r>
        <w:t xml:space="preserve"> </w:t>
      </w:r>
      <m:oMath>
        <m:r>
          <m:t>O</m:t>
        </m:r>
        <m:d>
          <m:dPr>
            <m:begChr m:val="("/>
            <m:endChr m:val=")"/>
            <m:sepChr m:val=""/>
            <m:grow/>
          </m:dPr>
          <m:e>
            <m:r>
              <m:t>N</m:t>
            </m:r>
          </m:e>
        </m:d>
      </m:oMath>
      <w:r>
        <w:t xml:space="preserve"> </w:t>
      </w:r>
      <w:r>
        <w:t xml:space="preserve">per pick; NGINX accepts that because pools are small. Large pools use precomputed schedules or randomized weighted choice.</w:t>
      </w:r>
    </w:p>
    <w:p>
      <w:pPr>
        <w:pStyle w:val="CalloutIndustry"/>
      </w:pPr>
      <w:r>
        <w:rPr>
          <w:bCs/>
          <w:b/>
        </w:rPr>
        <w:t xml:space="preserve">INDUSTRY EXAMPLE</w:t>
      </w:r>
    </w:p>
    <w:p>
      <w:pPr>
        <w:pStyle w:val="CalloutIndustry"/>
      </w:pPr>
      <w:r>
        <w:rPr>
          <w:bCs/>
          <w:b/>
        </w:rPr>
        <w:t xml:space="preserve">Google: weighted round robin driven by backend reports.</w:t>
      </w:r>
      <w:r>
        <w:t xml:space="preserve"> </w:t>
      </w:r>
      <w:r>
        <w:t xml:space="preserve">Google’s SRE book describes datacenter load balancing in which clients weight backends using utilization and error rates that the backends report in their responses, after finding that plain round robin and</w:t>
      </w:r>
      <w:r>
        <w:t xml:space="preserve"> </w:t>
      </w:r>
      <w:r>
        <w:t xml:space="preserve">“</w:t>
      </w:r>
      <w:r>
        <w:t xml:space="preserve">least-loaded</w:t>
      </w:r>
      <w:r>
        <w:t xml:space="preserve">”</w:t>
      </w:r>
      <w:r>
        <w:t xml:space="preserve"> </w:t>
      </w:r>
      <w:r>
        <w:t xml:space="preserve">round robin left large utilization differences between the most and least loaded tasks. gRPC’s</w:t>
      </w:r>
      <w:r>
        <w:t xml:space="preserve"> </w:t>
      </w:r>
      <w:r>
        <w:rPr>
          <w:rStyle w:val="VerbatimChar"/>
        </w:rPr>
        <w:t xml:space="preserve">weighted_round_robin</w:t>
      </w:r>
      <w:r>
        <w:t xml:space="preserve"> </w:t>
      </w:r>
      <w:r>
        <w:t xml:space="preserve">policy, which takes weights from backend load reports, follows the same idea.</w:t>
      </w:r>
      <w:r>
        <w:t xml:space="preserve"> </w:t>
      </w:r>
      <w:r>
        <w:rPr>
          <w:iCs/>
          <w:i/>
        </w:rPr>
        <w:t xml:space="preserve">Evidence: Primary</w:t>
      </w:r>
      <w:r>
        <w:t xml:space="preserve"> </w:t>
      </w:r>
      <w:r>
        <w:t xml:space="preserve">— [Beyer et al. 2016, ch. 20; gRPC Docs: Load balancing]</w:t>
      </w:r>
    </w:p>
    <w:bookmarkEnd w:id="2168"/>
    <w:bookmarkEnd w:id="2169"/>
    <w:bookmarkStart w:id="2173" w:name="least-connections"/>
    <w:p>
      <w:pPr>
        <w:pStyle w:val="Heading3"/>
      </w:pPr>
      <w:r>
        <w:t xml:space="preserve">19.4.2 Least connections</w:t>
      </w:r>
    </w:p>
    <w:p>
      <w:pPr>
        <w:pStyle w:val="CalloutDefinition"/>
      </w:pPr>
      <w:r>
        <w:rPr>
          <w:bCs/>
          <w:b/>
        </w:rPr>
        <w:t xml:space="preserve">DEFINITION</w:t>
      </w:r>
    </w:p>
    <w:p>
      <w:pPr>
        <w:pStyle w:val="CalloutDefinition"/>
      </w:pPr>
      <w:r>
        <w:rPr>
          <w:bCs/>
          <w:b/>
        </w:rPr>
        <w:t xml:space="preserve">Definition — Least connections.</w:t>
      </w:r>
      <w:r>
        <w:t xml:space="preserve"> </w:t>
      </w:r>
      <w:r>
        <w:t xml:space="preserve">Send each new connection or request to the backend with the fewest</w:t>
      </w:r>
      <w:r>
        <w:t xml:space="preserve"> </w:t>
      </w:r>
      <w:r>
        <w:rPr>
          <w:bCs/>
          <w:b/>
        </w:rPr>
        <w:t xml:space="preserve">active</w:t>
      </w:r>
      <w:r>
        <w:t xml:space="preserve"> </w:t>
      </w:r>
      <w:r>
        <w:t xml:space="preserve">(in-flight) connections or requests, as counted by the balancer.</w:t>
      </w:r>
      <w:r>
        <w:t xml:space="preserve"> </w:t>
      </w:r>
      <w:r>
        <w:rPr>
          <w:iCs/>
          <w:i/>
        </w:rPr>
        <w:t xml:space="preserve">Weighted least connections</w:t>
      </w:r>
      <w:r>
        <w:t xml:space="preserve"> </w:t>
      </w:r>
      <w:r>
        <w:t xml:space="preserve">divides each count by the backend’s weight. Envoy calls the request-counting variant</w:t>
      </w:r>
      <w:r>
        <w:t xml:space="preserve"> </w:t>
      </w:r>
      <w:r>
        <w:rPr>
          <w:bCs/>
          <w:b/>
        </w:rPr>
        <w:t xml:space="preserve">least request</w:t>
      </w:r>
      <w:r>
        <w:t xml:space="preserve">; AWS ALB calls it</w:t>
      </w:r>
      <w:r>
        <w:t xml:space="preserve"> </w:t>
      </w:r>
      <w:r>
        <w:rPr>
          <w:bCs/>
          <w:b/>
        </w:rPr>
        <w:t xml:space="preserve">least outstanding requests</w:t>
      </w:r>
      <w:r>
        <w:t xml:space="preserve">.</w:t>
      </w:r>
    </w:p>
    <w:bookmarkStart w:id="2170" w:name="first-principles-explanation-119"/>
    <w:p>
      <w:pPr>
        <w:pStyle w:val="Heading4"/>
      </w:pPr>
      <w:r>
        <w:t xml:space="preserve">First-principles explanation</w:t>
      </w:r>
    </w:p>
    <w:p>
      <w:pPr>
        <w:pStyle w:val="FirstParagraph"/>
      </w:pPr>
      <w:r>
        <w:t xml:space="preserve">At a supermarket you do not join checkouts in turn; you join the shortest line. A fast cashier’s line empties quickly, so she gets more customers without anyone measuring her speed. Least connections works the same way: the count of in-flight requests is a free, real-time signal that combines how much work a backend has and how fast it clears it.</w:t>
      </w:r>
    </w:p>
    <w:bookmarkEnd w:id="2170"/>
    <w:bookmarkStart w:id="2171" w:name="how-it-works-internally-81"/>
    <w:p>
      <w:pPr>
        <w:pStyle w:val="Heading4"/>
      </w:pPr>
      <w:r>
        <w:t xml:space="preserve">How it works internally</w:t>
      </w:r>
    </w:p>
    <w:p>
      <w:pPr>
        <w:numPr>
          <w:ilvl w:val="0"/>
          <w:numId w:val="1629"/>
        </w:numPr>
        <w:pStyle w:val="Compact"/>
      </w:pPr>
      <w:r>
        <w:t xml:space="preserve">The balancer increments a counter for a backend when it forwards a request (or opens a connection) and decrements it when the response completes (or the connection closes).</w:t>
      </w:r>
    </w:p>
    <w:p>
      <w:pPr>
        <w:numPr>
          <w:ilvl w:val="0"/>
          <w:numId w:val="1629"/>
        </w:numPr>
        <w:pStyle w:val="Compact"/>
      </w:pPr>
      <w:r>
        <w:t xml:space="preserve">For each new request it scans for the minimum count, breaking ties randomly (ties in a fixed order send every tie to backend 0).</w:t>
      </w:r>
    </w:p>
    <w:p>
      <w:pPr>
        <w:numPr>
          <w:ilvl w:val="0"/>
          <w:numId w:val="1629"/>
        </w:numPr>
        <w:pStyle w:val="Compact"/>
      </w:pPr>
      <w:r>
        <w:t xml:space="preserve">Weighted versions compare</w:t>
      </w:r>
      <w:r>
        <w:t xml:space="preserve"> </w:t>
      </w:r>
      <m:oMath>
        <m:sSub>
          <m:e>
            <m:r>
              <m:rPr>
                <m:nor/>
                <m:sty m:val="p"/>
              </m:rPr>
              <m:t>active</m:t>
            </m:r>
          </m:e>
          <m:sub>
            <m:r>
              <m:t>i</m:t>
            </m:r>
          </m:sub>
        </m:sSub>
        <m:r>
          <m:rPr>
            <m:sty m:val="p"/>
          </m:rPr>
          <m:t>/</m:t>
        </m:r>
        <m:sSub>
          <m:e>
            <m:r>
              <m:t>w</m:t>
            </m:r>
          </m:e>
          <m:sub>
            <m:r>
              <m:t>i</m:t>
            </m:r>
          </m:sub>
        </m:sSub>
      </m:oMath>
      <w:r>
        <w:t xml:space="preserve">.</w:t>
      </w:r>
    </w:p>
    <w:p>
      <w:pPr>
        <w:pStyle w:val="FirstParagraph"/>
      </w:pPr>
      <w:r>
        <w:t xml:space="preserve">The count is</w:t>
      </w:r>
      <w:r>
        <w:t xml:space="preserve"> </w:t>
      </w:r>
      <w:r>
        <w:rPr>
          <w:bCs/>
          <w:b/>
        </w:rPr>
        <w:t xml:space="preserve">local to one balancer</w:t>
      </w:r>
      <w:r>
        <w:t xml:space="preserve">. With ten balancer instances, each sees only the connections it opened itself.</w:t>
      </w:r>
    </w:p>
    <w:bookmarkEnd w:id="2171"/>
    <w:bookmarkStart w:id="2172" w:name="mathematical-foundations-41"/>
    <w:p>
      <w:pPr>
        <w:pStyle w:val="Heading4"/>
      </w:pPr>
      <w:r>
        <w:t xml:space="preserve">Mathematical foundations</w:t>
      </w:r>
    </w:p>
    <w:p>
      <w:pPr>
        <w:pStyle w:val="CalloutFormula"/>
      </w:pPr>
      <w:r>
        <w:rPr>
          <w:bCs/>
          <w:b/>
        </w:rPr>
        <w:t xml:space="preserve">FORMULA</w:t>
      </w:r>
    </w:p>
    <w:p>
      <w:pPr>
        <w:pStyle w:val="CalloutFormula"/>
      </w:pPr>
      <w:r>
        <w:rPr>
          <w:bCs/>
          <w:b/>
        </w:rPr>
        <w:t xml:space="preserve">Little’s Law per backend (§4.11)</w:t>
      </w:r>
    </w:p>
    <w:p>
      <w:pPr>
        <w:pStyle w:val="CalloutFormula"/>
      </w:pPr>
      <m:oMathPara>
        <m:oMathParaPr>
          <m:jc m:val="center"/>
        </m:oMathParaPr>
        <m:oMath>
          <m:sSub>
            <m:e>
              <m:r>
                <m:t>L</m:t>
              </m:r>
            </m:e>
            <m:sub>
              <m:r>
                <m:t>i</m:t>
              </m:r>
            </m:sub>
          </m:sSub>
          <m:r>
            <m:rPr>
              <m:sty m:val="p"/>
            </m:rPr>
            <m:t>=</m:t>
          </m:r>
          <m:sSub>
            <m:e>
              <m:r>
                <m:t>λ</m:t>
              </m:r>
            </m:e>
            <m:sub>
              <m:r>
                <m:t>i</m:t>
              </m:r>
            </m:sub>
          </m:sSub>
          <m:r>
            <m:t> </m:t>
          </m:r>
          <m:sSub>
            <m:e>
              <m:r>
                <m:t>W</m:t>
              </m:r>
            </m:e>
            <m:sub>
              <m:r>
                <m:t>i</m:t>
              </m:r>
            </m:sub>
          </m:sSub>
          <m:r>
            <m:t> </m:t>
          </m:r>
          <m:r>
            <m:rPr>
              <m:sty m:val="p"/>
            </m:rPr>
            <m:t>⇒</m:t>
          </m:r>
          <m:r>
            <m:t> </m:t>
          </m:r>
          <m:sSub>
            <m:e>
              <m:r>
                <m:t>λ</m:t>
              </m:r>
            </m:e>
            <m:sub>
              <m:r>
                <m:t>i</m:t>
              </m:r>
            </m:sub>
          </m:sSub>
          <m:r>
            <m:rPr>
              <m:sty m:val="p"/>
            </m:rPr>
            <m:t>=</m:t>
          </m:r>
          <m:f>
            <m:fPr>
              <m:type m:val="bar"/>
            </m:fPr>
            <m:num>
              <m:sSub>
                <m:e>
                  <m:r>
                    <m:t>L</m:t>
                  </m:r>
                </m:e>
                <m:sub>
                  <m:r>
                    <m:t>i</m:t>
                  </m:r>
                </m:sub>
              </m:sSub>
            </m:num>
            <m:den>
              <m:sSub>
                <m:e>
                  <m:r>
                    <m:t>W</m:t>
                  </m:r>
                </m:e>
                <m:sub>
                  <m:r>
                    <m:t>i</m:t>
                  </m:r>
                </m:sub>
              </m:sSub>
            </m:den>
          </m:f>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L</m:t>
                  </m:r>
                </m:e>
                <m:sub>
                  <m:r>
                    <m:t>i</m:t>
                  </m:r>
                </m:sub>
              </m:sSub>
            </m:oMath>
          </w:p>
        </w:tc>
        <w:tc>
          <w:tcPr/>
          <w:p>
            <w:pPr>
              <w:pStyle w:val="Compact"/>
              <w:jc w:val="left"/>
            </w:pPr>
            <w:r>
              <w:t xml:space="preserve">Average in-flight requests at backend</w:t>
            </w:r>
            <w:r>
              <w:t xml:space="preserve"> </w:t>
            </w:r>
            <m:oMath>
              <m:r>
                <m:t>i</m:t>
              </m:r>
            </m:oMath>
            <w:r>
              <w:t xml:space="preserve"> </w:t>
            </w:r>
            <w:r>
              <w:t xml:space="preserve">(its</w:t>
            </w:r>
            <w:r>
              <w:t xml:space="preserve"> </w:t>
            </w:r>
            <w:r>
              <w:t xml:space="preserve">“</w:t>
            </w:r>
            <w:r>
              <w:t xml:space="preserve">connections</w:t>
            </w:r>
            <w:r>
              <w:t xml:space="preserve">”</w:t>
            </w:r>
            <w:r>
              <w:t xml:space="preserve">)</w:t>
            </w:r>
          </w:p>
        </w:tc>
        <w:tc>
          <w:tcPr/>
          <w:p>
            <w:pPr>
              <w:pStyle w:val="Compact"/>
              <w:jc w:val="left"/>
            </w:pPr>
            <w:r>
              <w:t xml:space="preserve">requests</w:t>
            </w:r>
          </w:p>
        </w:tc>
      </w:tr>
      <w:tr>
        <w:tc>
          <w:tcPr/>
          <w:p>
            <w:pPr>
              <w:pStyle w:val="Compact"/>
              <w:jc w:val="left"/>
            </w:pPr>
            <m:oMath>
              <m:sSub>
                <m:e>
                  <m:r>
                    <m:t>λ</m:t>
                  </m:r>
                </m:e>
                <m:sub>
                  <m:r>
                    <m:t>i</m:t>
                  </m:r>
                </m:sub>
              </m:sSub>
            </m:oMath>
          </w:p>
        </w:tc>
        <w:tc>
          <w:tcPr/>
          <w:p>
            <w:pPr>
              <w:pStyle w:val="Compact"/>
              <w:jc w:val="left"/>
            </w:pPr>
            <w:r>
              <w:t xml:space="preserve">Request rate sent to backend</w:t>
            </w:r>
            <w:r>
              <w:t xml:space="preserve"> </w:t>
            </w:r>
            <m:oMath>
              <m:r>
                <m:t>i</m:t>
              </m:r>
            </m:oMath>
          </w:p>
        </w:tc>
        <w:tc>
          <w:tcPr/>
          <w:p>
            <w:pPr>
              <w:pStyle w:val="Compact"/>
              <w:jc w:val="left"/>
            </w:pPr>
            <w:r>
              <w:t xml:space="preserve">requests/second</w:t>
            </w:r>
          </w:p>
        </w:tc>
      </w:tr>
      <w:tr>
        <w:tc>
          <w:tcPr/>
          <w:p>
            <w:pPr>
              <w:pStyle w:val="Compact"/>
              <w:jc w:val="left"/>
            </w:pPr>
            <m:oMath>
              <m:sSub>
                <m:e>
                  <m:r>
                    <m:t>W</m:t>
                  </m:r>
                </m:e>
                <m:sub>
                  <m:r>
                    <m:t>i</m:t>
                  </m:r>
                </m:sub>
              </m:sSub>
            </m:oMath>
          </w:p>
        </w:tc>
        <w:tc>
          <w:tcPr/>
          <w:p>
            <w:pPr>
              <w:pStyle w:val="Compact"/>
              <w:jc w:val="left"/>
            </w:pPr>
            <w:r>
              <w:t xml:space="preserve">Average time a request spends at backend</w:t>
            </w:r>
            <w:r>
              <w:t xml:space="preserve"> </w:t>
            </w:r>
            <m:oMath>
              <m:r>
                <m:t>i</m:t>
              </m:r>
            </m:oMath>
          </w:p>
        </w:tc>
        <w:tc>
          <w:tcPr/>
          <w:p>
            <w:pPr>
              <w:pStyle w:val="Compact"/>
              <w:jc w:val="left"/>
            </w:pPr>
            <w:r>
              <w:t xml:space="preserve">seconds</w:t>
            </w:r>
          </w:p>
        </w:tc>
      </w:tr>
    </w:tbl>
    <w:p>
      <w:pPr>
        <w:pStyle w:val="CalloutExample"/>
      </w:pPr>
      <w:r>
        <w:rPr>
          <w:bCs/>
          <w:b/>
        </w:rPr>
        <w:t xml:space="preserve">WORKED EXAMPLE</w:t>
      </w:r>
    </w:p>
    <w:p>
      <w:pPr>
        <w:pStyle w:val="CalloutExample"/>
      </w:pPr>
      <w:r>
        <w:rPr>
          <w:bCs/>
          <w:b/>
        </w:rPr>
        <w:t xml:space="preserve">Worked example — least connections finds the fast server.</w:t>
      </w:r>
      <w:r>
        <w:t xml:space="preserve"> </w:t>
      </w:r>
      <w:r>
        <w:t xml:space="preserve">A pool has a fast backend (</w:t>
      </w:r>
      <m:oMath>
        <m:r>
          <m:t>W</m:t>
        </m:r>
        <m:r>
          <m:rPr>
            <m:sty m:val="p"/>
          </m:rPr>
          <m:t>=</m:t>
        </m:r>
        <m:r>
          <m:t>50</m:t>
        </m:r>
      </m:oMath>
      <w:r>
        <w:t xml:space="preserve"> </w:t>
      </w:r>
      <w:r>
        <w:t xml:space="preserve">ms) and a slow one (</w:t>
      </w:r>
      <m:oMath>
        <m:r>
          <m:t>W</m:t>
        </m:r>
        <m:r>
          <m:rPr>
            <m:sty m:val="p"/>
          </m:rPr>
          <m:t>=</m:t>
        </m:r>
        <m:r>
          <m:t>200</m:t>
        </m:r>
      </m:oMath>
      <w:r>
        <w:t xml:space="preserve"> </w:t>
      </w:r>
      <w:r>
        <w:t xml:space="preserve">ms, perhaps on a noisy host). Least connections keeps both at about the same count, say</w:t>
      </w:r>
      <w:r>
        <w:t xml:space="preserve"> </w:t>
      </w:r>
      <m:oMath>
        <m:r>
          <m:t>L</m:t>
        </m:r>
        <m:r>
          <m:rPr>
            <m:sty m:val="p"/>
          </m:rPr>
          <m:t>=</m:t>
        </m:r>
        <m:r>
          <m:t>20</m:t>
        </m:r>
      </m:oMath>
      <w:r>
        <w:t xml:space="preserve">.</w:t>
      </w:r>
    </w:p>
    <w:p>
      <w:pPr>
        <w:numPr>
          <w:ilvl w:val="0"/>
          <w:numId w:val="1630"/>
        </w:numPr>
        <w:pStyle w:val="Compact"/>
      </w:pPr>
      <w:r>
        <w:t xml:space="preserve">Fast:</w:t>
      </w:r>
      <w:r>
        <w:t xml:space="preserve"> </w:t>
      </w:r>
      <m:oMath>
        <m:r>
          <m:t>λ</m:t>
        </m:r>
        <m:r>
          <m:rPr>
            <m:sty m:val="p"/>
          </m:rPr>
          <m:t>=</m:t>
        </m:r>
        <m:r>
          <m:t>20</m:t>
        </m:r>
        <m:r>
          <m:rPr>
            <m:sty m:val="p"/>
          </m:rPr>
          <m:t>/</m:t>
        </m:r>
        <m:r>
          <m:t>0.050</m:t>
        </m:r>
        <m:r>
          <m:rPr>
            <m:sty m:val="p"/>
          </m:rPr>
          <m:t>=</m:t>
        </m:r>
        <m:r>
          <m:t>400</m:t>
        </m:r>
      </m:oMath>
      <w:r>
        <w:t xml:space="preserve"> </w:t>
      </w:r>
      <w:r>
        <w:t xml:space="preserve">requests/s.</w:t>
      </w:r>
    </w:p>
    <w:p>
      <w:pPr>
        <w:numPr>
          <w:ilvl w:val="0"/>
          <w:numId w:val="1630"/>
        </w:numPr>
        <w:pStyle w:val="Compact"/>
      </w:pPr>
      <w:r>
        <w:t xml:space="preserve">Slow:</w:t>
      </w:r>
      <w:r>
        <w:t xml:space="preserve"> </w:t>
      </w:r>
      <m:oMath>
        <m:r>
          <m:t>λ</m:t>
        </m:r>
        <m:r>
          <m:rPr>
            <m:sty m:val="p"/>
          </m:rPr>
          <m:t>=</m:t>
        </m:r>
        <m:r>
          <m:t>20</m:t>
        </m:r>
        <m:r>
          <m:rPr>
            <m:sty m:val="p"/>
          </m:rPr>
          <m:t>/</m:t>
        </m:r>
        <m:r>
          <m:t>0.200</m:t>
        </m:r>
        <m:r>
          <m:rPr>
            <m:sty m:val="p"/>
          </m:rPr>
          <m:t>=</m:t>
        </m:r>
        <m:r>
          <m:t>100</m:t>
        </m:r>
      </m:oMath>
      <w:r>
        <w:t xml:space="preserve"> </w:t>
      </w:r>
      <w:r>
        <w:t xml:space="preserve">requests/s.</w:t>
      </w:r>
    </w:p>
    <w:p>
      <w:pPr>
        <w:numPr>
          <w:ilvl w:val="0"/>
          <w:numId w:val="1630"/>
        </w:numPr>
        <w:pStyle w:val="Compact"/>
      </w:pPr>
      <w:r>
        <w:t xml:space="preserve">Split:</w:t>
      </w:r>
      <w:r>
        <w:t xml:space="preserve"> </w:t>
      </w:r>
      <m:oMath>
        <m:r>
          <m:t>400</m:t>
        </m:r>
        <m:r>
          <m:rPr>
            <m:sty m:val="p"/>
          </m:rPr>
          <m:t>/</m:t>
        </m:r>
        <m:d>
          <m:dPr>
            <m:begChr m:val="("/>
            <m:endChr m:val=")"/>
            <m:sepChr m:val=""/>
            <m:grow/>
          </m:dPr>
          <m:e>
            <m:r>
              <m:t>400</m:t>
            </m:r>
            <m:r>
              <m:rPr>
                <m:sty m:val="p"/>
              </m:rPr>
              <m:t>+</m:t>
            </m:r>
            <m:r>
              <m:t>100</m:t>
            </m:r>
          </m:e>
        </m:d>
        <m:r>
          <m:rPr>
            <m:sty m:val="p"/>
          </m:rPr>
          <m:t>=</m:t>
        </m:r>
        <m:r>
          <m:t>80</m:t>
        </m:r>
        <m:r>
          <m:rPr>
            <m:sty m:val="p"/>
          </m:rPr>
          <m:t>%</m:t>
        </m:r>
      </m:oMath>
      <w:r>
        <w:t xml:space="preserve"> </w:t>
      </w:r>
      <w:r>
        <w:t xml:space="preserve">to the fast backend, with no configuration.</w:t>
      </w:r>
    </w:p>
    <w:p>
      <w:pPr>
        <w:numPr>
          <w:ilvl w:val="0"/>
          <w:numId w:val="1630"/>
        </w:numPr>
        <w:pStyle w:val="Compact"/>
      </w:pPr>
      <w:r>
        <w:t xml:space="preserve">Round robin at the same 500 requests/s sends 250 to each; the slow one then holds</w:t>
      </w:r>
      <w:r>
        <w:t xml:space="preserve"> </w:t>
      </w:r>
      <m:oMath>
        <m:r>
          <m:t>250</m:t>
        </m:r>
        <m:r>
          <m:rPr>
            <m:sty m:val="p"/>
          </m:rPr>
          <m:t>×</m:t>
        </m:r>
        <m:r>
          <m:t>0.2</m:t>
        </m:r>
        <m:r>
          <m:rPr>
            <m:sty m:val="p"/>
          </m:rPr>
          <m:t>=</m:t>
        </m:r>
        <m:r>
          <m:t>50</m:t>
        </m:r>
      </m:oMath>
      <w:r>
        <w:t xml:space="preserve"> </w:t>
      </w:r>
      <w:r>
        <w:t xml:space="preserve">in-flight requests (more, as its queue grows),</w:t>
      </w:r>
      <w:r>
        <w:t xml:space="preserve"> </w:t>
      </w:r>
      <m:oMath>
        <m:r>
          <m:t>2.5</m:t>
        </m:r>
        <m:r>
          <m:rPr>
            <m:sty m:val="p"/>
          </m:rPr>
          <m:t>×</m:t>
        </m:r>
      </m:oMath>
      <w:r>
        <w:t xml:space="preserve"> </w:t>
      </w:r>
      <w:r>
        <w:t xml:space="preserve">the fast one.</w:t>
      </w:r>
    </w:p>
    <w:p>
      <w:pPr>
        <w:pStyle w:val="CalloutExample"/>
      </w:pPr>
      <w:r>
        <w:rPr>
          <w:iCs/>
          <w:i/>
        </w:rPr>
        <w:t xml:space="preserve">Interpretation.</w:t>
      </w:r>
      <w:r>
        <w:t xml:space="preserve"> </w:t>
      </w:r>
      <w:r>
        <w:t xml:space="preserve">Equalizing in-flight counts makes the rate to each backend inversely proportional to its latency.</w:t>
      </w:r>
      <w:r>
        <w:t xml:space="preserve"> </w:t>
      </w:r>
      <w:r>
        <w:rPr>
          <w:iCs/>
          <w:i/>
        </w:rPr>
        <w:t xml:space="preserve">Engineering implication.</w:t>
      </w:r>
      <w:r>
        <w:t xml:space="preserve"> </w:t>
      </w:r>
      <w:r>
        <w:t xml:space="preserve">Least connections is the robust default when request costs vary widely (search queries, report generation) or backends differ, and essential for long-lived connections (WebSockets, §9.6), where round robin balances connection</w:t>
      </w:r>
      <w:r>
        <w:t xml:space="preserve"> </w:t>
      </w:r>
      <w:r>
        <w:rPr>
          <w:iCs/>
          <w:i/>
        </w:rPr>
        <w:t xml:space="preserve">arrivals</w:t>
      </w:r>
      <w:r>
        <w:t xml:space="preserve"> </w:t>
      </w:r>
      <w:r>
        <w:t xml:space="preserve">but not connection</w:t>
      </w:r>
      <w:r>
        <w:t xml:space="preserve"> </w:t>
      </w:r>
      <w:r>
        <w:rPr>
          <w:iCs/>
          <w:i/>
        </w:rPr>
        <w:t xml:space="preserve">lifetimes</w:t>
      </w:r>
      <w:r>
        <w:t xml:space="preserve">.</w:t>
      </w:r>
    </w:p>
    <w:p>
      <w:pPr>
        <w:pStyle w:val="CalloutWarning"/>
      </w:pPr>
      <w:r>
        <w:rPr>
          <w:bCs/>
          <w:b/>
        </w:rPr>
        <w:t xml:space="preserve">WARNING / TRADE-OFF</w:t>
      </w:r>
    </w:p>
    <w:p>
      <w:pPr>
        <w:pStyle w:val="CalloutWarning"/>
      </w:pPr>
      <w:r>
        <w:rPr>
          <w:bCs/>
          <w:b/>
        </w:rPr>
        <w:t xml:space="preserve">The fast-failure sinkhole.</w:t>
      </w:r>
      <w:r>
        <w:t xml:space="preserve"> </w:t>
      </w:r>
      <w:r>
        <w:t xml:space="preserve">A backend that fails instantly (returns</w:t>
      </w:r>
      <w:r>
        <w:t xml:space="preserve"> </w:t>
      </w:r>
      <w:r>
        <w:rPr>
          <w:rStyle w:val="VerbatimChar"/>
        </w:rPr>
        <w:t xml:space="preserve">503</w:t>
      </w:r>
      <w:r>
        <w:t xml:space="preserve"> </w:t>
      </w:r>
      <w:r>
        <w:t xml:space="preserve">in 1 ms because its database is down) has the fewest in-flight requests, so least connections sends it</w:t>
      </w:r>
      <w:r>
        <w:t xml:space="preserve"> </w:t>
      </w:r>
      <w:r>
        <w:rPr>
          <w:iCs/>
          <w:i/>
        </w:rPr>
        <w:t xml:space="preserve">more</w:t>
      </w:r>
      <w:r>
        <w:t xml:space="preserve"> </w:t>
      </w:r>
      <w:r>
        <w:t xml:space="preserve">traffic. The Google SRE book describes the same trap for</w:t>
      </w:r>
      <w:r>
        <w:t xml:space="preserve"> </w:t>
      </w:r>
      <w:r>
        <w:t xml:space="preserve">“</w:t>
      </w:r>
      <w:r>
        <w:t xml:space="preserve">least-loaded</w:t>
      </w:r>
      <w:r>
        <w:t xml:space="preserve">”</w:t>
      </w:r>
      <w:r>
        <w:t xml:space="preserve"> </w:t>
      </w:r>
      <w:r>
        <w:t xml:space="preserve">balancing [Beyer et al. 2016, ch. 20]. Pair load-aware algorithms with passive health checks that count errors (§19.5.1).</w:t>
      </w:r>
    </w:p>
    <w:bookmarkEnd w:id="2172"/>
    <w:bookmarkEnd w:id="2173"/>
    <w:bookmarkStart w:id="2174" w:name="least-response-time-and-ewma"/>
    <w:p>
      <w:pPr>
        <w:pStyle w:val="Heading3"/>
      </w:pPr>
      <w:r>
        <w:t xml:space="preserve">19.4.3 Least response time and EWMA</w:t>
      </w:r>
    </w:p>
    <w:p>
      <w:pPr>
        <w:pStyle w:val="CalloutDefinition"/>
      </w:pPr>
      <w:r>
        <w:rPr>
          <w:bCs/>
          <w:b/>
        </w:rPr>
        <w:t xml:space="preserve">DEFINITION</w:t>
      </w:r>
    </w:p>
    <w:p>
      <w:pPr>
        <w:pStyle w:val="CalloutDefinition"/>
      </w:pPr>
      <w:r>
        <w:rPr>
          <w:bCs/>
          <w:b/>
        </w:rPr>
        <w:t xml:space="preserve">Definition — Least response time.</w:t>
      </w:r>
      <w:r>
        <w:t xml:space="preserve"> </w:t>
      </w:r>
      <w:r>
        <w:t xml:space="preserve">Choose the backend with the lowest recent latency, usually an</w:t>
      </w:r>
      <w:r>
        <w:t xml:space="preserve"> </w:t>
      </w:r>
      <w:r>
        <w:rPr>
          <w:bCs/>
          <w:b/>
        </w:rPr>
        <w:t xml:space="preserve">exponentially weighted moving average (EWMA)</w:t>
      </w:r>
      <w:r>
        <w:t xml:space="preserve"> </w:t>
      </w:r>
      <w:r>
        <w:t xml:space="preserve">of observed response times, often multiplied by the in-flight count so that both queue length and speed count.</w:t>
      </w:r>
    </w:p>
    <w:p>
      <w:pPr>
        <w:pStyle w:val="BodyText"/>
      </w:pPr>
      <w:r>
        <w:t xml:space="preserve">An EWMA is a running average that forgets: every new sample pulls the estimate a fraction</w:t>
      </w:r>
      <w:r>
        <w:t xml:space="preserve"> </w:t>
      </w:r>
      <m:oMath>
        <m:r>
          <m:t>α</m:t>
        </m:r>
      </m:oMath>
      <w:r>
        <w:t xml:space="preserve"> </w:t>
      </w:r>
      <w:r>
        <w:t xml:space="preserve">of the way toward itself. It needs one number per backend, reacts to changes, and ignores old history.</w:t>
      </w:r>
    </w:p>
    <w:p>
      <w:pPr>
        <w:pStyle w:val="CalloutFormula"/>
      </w:pPr>
      <w:r>
        <w:rPr>
          <w:bCs/>
          <w:b/>
        </w:rPr>
        <w:t xml:space="preserve">FORMULA</w:t>
      </w:r>
    </w:p>
    <w:p>
      <w:pPr>
        <w:pStyle w:val="CalloutFormula"/>
      </w:pPr>
      <w:r>
        <w:rPr>
          <w:bCs/>
          <w:b/>
        </w:rPr>
        <w:t xml:space="preserve">Exponentially weighted moving average</w:t>
      </w:r>
    </w:p>
    <w:p>
      <w:pPr>
        <w:pStyle w:val="CalloutFormula"/>
      </w:pPr>
      <m:oMathPara>
        <m:oMathParaPr>
          <m:jc m:val="center"/>
        </m:oMathParaPr>
        <m:oMath>
          <m:sSub>
            <m:e>
              <m:r>
                <m:t>S</m:t>
              </m:r>
            </m:e>
            <m:sub>
              <m:r>
                <m:t>k</m:t>
              </m:r>
            </m:sub>
          </m:sSub>
          <m:r>
            <m:rPr>
              <m:sty m:val="p"/>
            </m:rPr>
            <m:t>=</m:t>
          </m:r>
          <m:r>
            <m:t>α</m:t>
          </m:r>
          <m:r>
            <m:t> </m:t>
          </m:r>
          <m:sSub>
            <m:e>
              <m:r>
                <m:t>x</m:t>
              </m:r>
            </m:e>
            <m:sub>
              <m:r>
                <m:t>k</m:t>
              </m:r>
            </m:sub>
          </m:sSub>
          <m:r>
            <m:rPr>
              <m:sty m:val="p"/>
            </m:rPr>
            <m:t>+</m:t>
          </m:r>
          <m:d>
            <m:dPr>
              <m:begChr m:val="("/>
              <m:endChr m:val=")"/>
              <m:sepChr m:val=""/>
              <m:grow/>
            </m:dPr>
            <m:e>
              <m:r>
                <m:t>1</m:t>
              </m:r>
              <m:r>
                <m:rPr>
                  <m:sty m:val="p"/>
                </m:rPr>
                <m:t>−</m:t>
              </m:r>
              <m:r>
                <m:t>α</m:t>
              </m:r>
            </m:e>
          </m:d>
          <m:r>
            <m:t> </m:t>
          </m:r>
          <m:sSub>
            <m:e>
              <m:r>
                <m:t>S</m:t>
              </m:r>
            </m:e>
            <m:sub>
              <m:r>
                <m:t>k</m:t>
              </m:r>
              <m:r>
                <m:rPr>
                  <m:sty m:val="p"/>
                </m:rPr>
                <m:t>−</m:t>
              </m:r>
              <m:r>
                <m:t>1</m:t>
              </m:r>
            </m:sub>
          </m:sSub>
          <m:r>
            <m:rPr>
              <m:sty m:val="p"/>
            </m:rPr>
            <m:t>,</m:t>
          </m:r>
          <m:r>
            <m:t>  </m:t>
          </m:r>
          <m:sSub>
            <m:e>
              <m:r>
                <m:t>S</m:t>
              </m:r>
            </m:e>
            <m:sub>
              <m:r>
                <m:t>k</m:t>
              </m:r>
            </m:sub>
          </m:sSub>
          <m:r>
            <m:rPr>
              <m:sty m:val="p"/>
            </m:rPr>
            <m:t>−</m:t>
          </m:r>
          <m:sSup>
            <m:e>
              <m:r>
                <m:t>x</m:t>
              </m:r>
            </m:e>
            <m:sup>
              <m:r>
                <m:rPr>
                  <m:sty m:val="p"/>
                </m:rPr>
                <m:t>*</m:t>
              </m:r>
            </m:sup>
          </m:sSup>
          <m:r>
            <m:rPr>
              <m:sty m:val="p"/>
            </m:rPr>
            <m:t>=</m:t>
          </m:r>
          <m:sSup>
            <m:e>
              <m:d>
                <m:dPr>
                  <m:begChr m:val="("/>
                  <m:endChr m:val=")"/>
                  <m:sepChr m:val=""/>
                  <m:grow/>
                </m:dPr>
                <m:e>
                  <m:r>
                    <m:t>1</m:t>
                  </m:r>
                  <m:r>
                    <m:rPr>
                      <m:sty m:val="p"/>
                    </m:rPr>
                    <m:t>−</m:t>
                  </m:r>
                  <m:r>
                    <m:t>α</m:t>
                  </m:r>
                </m:e>
              </m:d>
            </m:e>
            <m:sup>
              <m:r>
                <m:t>k</m:t>
              </m:r>
            </m:sup>
          </m:sSup>
          <m:d>
            <m:dPr>
              <m:begChr m:val="("/>
              <m:endChr m:val=")"/>
              <m:sepChr m:val=""/>
              <m:grow/>
            </m:dPr>
            <m:e>
              <m:sSub>
                <m:e>
                  <m:r>
                    <m:t>S</m:t>
                  </m:r>
                </m:e>
                <m:sub>
                  <m:r>
                    <m:t>0</m:t>
                  </m:r>
                </m:sub>
              </m:sSub>
              <m:r>
                <m:rPr>
                  <m:sty m:val="p"/>
                </m:rPr>
                <m:t>−</m:t>
              </m:r>
              <m:sSup>
                <m:e>
                  <m:r>
                    <m:t>x</m:t>
                  </m:r>
                </m:e>
                <m:sup>
                  <m:r>
                    <m:rPr>
                      <m:sty m:val="p"/>
                    </m:rPr>
                    <m:t>*</m:t>
                  </m:r>
                </m:sup>
              </m:sSup>
            </m:e>
          </m:d>
          <m:r>
            <m:rPr>
              <m:nor/>
              <m:sty m:val="p"/>
            </m:rPr>
            <m:t> after a step to </m:t>
          </m:r>
          <m:sSup>
            <m:e>
              <m:r>
                <m:t>x</m:t>
              </m:r>
            </m:e>
            <m:sup>
              <m:r>
                <m:rPr>
                  <m:sty m:val="p"/>
                </m:rPr>
                <m:t>*</m:t>
              </m:r>
            </m:sup>
          </m:sSup>
          <m:r>
            <m:rPr>
              <m:sty m:val="p"/>
            </m:rPr>
            <m:t>,</m:t>
          </m:r>
          <m:r>
            <m:t>  </m:t>
          </m:r>
          <m:r>
            <m:t>α</m:t>
          </m:r>
          <m:r>
            <m:rPr>
              <m:sty m:val="p"/>
            </m:rPr>
            <m:t>=</m:t>
          </m:r>
          <m:r>
            <m:t>1</m:t>
          </m:r>
          <m:r>
            <m:rPr>
              <m:sty m:val="p"/>
            </m:rPr>
            <m:t>−</m:t>
          </m:r>
          <m:sSup>
            <m:e>
              <m:r>
                <m:t>e</m:t>
              </m:r>
            </m:e>
            <m:sup>
              <m:r>
                <m:rPr>
                  <m:sty m:val="p"/>
                </m:rPr>
                <m:t>−</m:t>
              </m:r>
              <m:r>
                <m:t>Δ</m:t>
              </m:r>
              <m:r>
                <m:t>t</m:t>
              </m:r>
              <m:r>
                <m:rPr>
                  <m:sty m:val="p"/>
                </m:rPr>
                <m:t>/</m:t>
              </m:r>
              <m:r>
                <m:t>τ</m:t>
              </m:r>
            </m:sup>
          </m:sSup>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S</m:t>
                  </m:r>
                </m:e>
                <m:sub>
                  <m:r>
                    <m:t>k</m:t>
                  </m:r>
                </m:sub>
              </m:sSub>
            </m:oMath>
          </w:p>
        </w:tc>
        <w:tc>
          <w:tcPr/>
          <w:p>
            <w:pPr>
              <w:pStyle w:val="Compact"/>
              <w:jc w:val="left"/>
            </w:pPr>
            <w:r>
              <w:t xml:space="preserve">Latency estimate after</w:t>
            </w:r>
            <w:r>
              <w:t xml:space="preserve"> </w:t>
            </w:r>
            <m:oMath>
              <m:r>
                <m:t>k</m:t>
              </m:r>
            </m:oMath>
            <w:r>
              <w:t xml:space="preserve"> </w:t>
            </w:r>
            <w:r>
              <w:t xml:space="preserve">samples</w:t>
            </w:r>
          </w:p>
        </w:tc>
        <w:tc>
          <w:tcPr/>
          <w:p>
            <w:pPr>
              <w:pStyle w:val="Compact"/>
              <w:jc w:val="left"/>
            </w:pPr>
            <w:r>
              <w:t xml:space="preserve">ms</w:t>
            </w:r>
          </w:p>
        </w:tc>
      </w:tr>
      <w:tr>
        <w:tc>
          <w:tcPr/>
          <w:p>
            <w:pPr>
              <w:pStyle w:val="Compact"/>
              <w:jc w:val="left"/>
            </w:pPr>
            <m:oMath>
              <m:sSub>
                <m:e>
                  <m:r>
                    <m:t>x</m:t>
                  </m:r>
                </m:e>
                <m:sub>
                  <m:r>
                    <m:t>k</m:t>
                  </m:r>
                </m:sub>
              </m:sSub>
            </m:oMath>
          </w:p>
        </w:tc>
        <w:tc>
          <w:tcPr/>
          <w:p>
            <w:pPr>
              <w:pStyle w:val="Compact"/>
              <w:jc w:val="left"/>
            </w:pPr>
            <w:r>
              <w:t xml:space="preserve">The</w:t>
            </w:r>
            <w:r>
              <w:t xml:space="preserve"> </w:t>
            </w:r>
            <m:oMath>
              <m:r>
                <m:t>k</m:t>
              </m:r>
            </m:oMath>
            <w:r>
              <w:t xml:space="preserve">-th observed latency</w:t>
            </w:r>
          </w:p>
        </w:tc>
        <w:tc>
          <w:tcPr/>
          <w:p>
            <w:pPr>
              <w:pStyle w:val="Compact"/>
              <w:jc w:val="left"/>
            </w:pPr>
            <w:r>
              <w:t xml:space="preserve">ms</w:t>
            </w:r>
          </w:p>
        </w:tc>
      </w:tr>
      <w:tr>
        <w:tc>
          <w:tcPr/>
          <w:p>
            <w:pPr>
              <w:pStyle w:val="Compact"/>
              <w:jc w:val="left"/>
            </w:pPr>
            <m:oMath>
              <m:r>
                <m:t>α</m:t>
              </m:r>
            </m:oMath>
          </w:p>
        </w:tc>
        <w:tc>
          <w:tcPr/>
          <w:p>
            <w:pPr>
              <w:pStyle w:val="Compact"/>
              <w:jc w:val="left"/>
            </w:pPr>
            <w:r>
              <w:t xml:space="preserve">Smoothing factor,</w:t>
            </w:r>
            <w:r>
              <w:t xml:space="preserve"> </w:t>
            </w:r>
            <m:oMath>
              <m:r>
                <m:t>0</m:t>
              </m:r>
              <m:r>
                <m:rPr>
                  <m:sty m:val="p"/>
                </m:rPr>
                <m:t>&lt;</m:t>
              </m:r>
              <m:r>
                <m:t>α</m:t>
              </m:r>
              <m:r>
                <m:rPr>
                  <m:sty m:val="p"/>
                </m:rPr>
                <m:t>≤</m:t>
              </m:r>
              <m:r>
                <m:t>1</m:t>
              </m:r>
            </m:oMath>
          </w:p>
        </w:tc>
        <w:tc>
          <w:tcPr/>
          <w:p>
            <w:pPr>
              <w:pStyle w:val="Compact"/>
              <w:jc w:val="left"/>
            </w:pPr>
            <w:r>
              <w:t xml:space="preserve">dimensionless</w:t>
            </w:r>
          </w:p>
        </w:tc>
      </w:tr>
      <w:tr>
        <w:tc>
          <w:tcPr/>
          <w:p>
            <w:pPr>
              <w:pStyle w:val="Compact"/>
              <w:jc w:val="left"/>
            </w:pPr>
            <m:oMath>
              <m:sSup>
                <m:e>
                  <m:r>
                    <m:t>x</m:t>
                  </m:r>
                </m:e>
                <m:sup>
                  <m:r>
                    <m:rPr>
                      <m:sty m:val="p"/>
                    </m:rPr>
                    <m:t>*</m:t>
                  </m:r>
                </m:sup>
              </m:sSup>
            </m:oMath>
          </w:p>
        </w:tc>
        <w:tc>
          <w:tcPr/>
          <w:p>
            <w:pPr>
              <w:pStyle w:val="Compact"/>
              <w:jc w:val="left"/>
            </w:pPr>
            <w:r>
              <w:t xml:space="preserve">New steady latency after a sudden change</w:t>
            </w:r>
          </w:p>
        </w:tc>
        <w:tc>
          <w:tcPr/>
          <w:p>
            <w:pPr>
              <w:pStyle w:val="Compact"/>
              <w:jc w:val="left"/>
            </w:pPr>
            <w:r>
              <w:t xml:space="preserve">ms</w:t>
            </w:r>
          </w:p>
        </w:tc>
      </w:tr>
      <w:tr>
        <w:tc>
          <w:tcPr/>
          <w:p>
            <w:pPr>
              <w:pStyle w:val="Compact"/>
              <w:jc w:val="left"/>
            </w:pPr>
            <m:oMath>
              <m:r>
                <m:t>Δ</m:t>
              </m:r>
              <m:r>
                <m:t>t</m:t>
              </m:r>
            </m:oMath>
            <w:r>
              <w:t xml:space="preserve">,</w:t>
            </w:r>
            <w:r>
              <w:t xml:space="preserve"> </w:t>
            </w:r>
            <m:oMath>
              <m:r>
                <m:t>τ</m:t>
              </m:r>
            </m:oMath>
          </w:p>
        </w:tc>
        <w:tc>
          <w:tcPr/>
          <w:p>
            <w:pPr>
              <w:pStyle w:val="Compact"/>
              <w:jc w:val="left"/>
            </w:pPr>
            <w:r>
              <w:t xml:space="preserve">Time since previous sample; decay time constant (time-based variant)</w:t>
            </w:r>
          </w:p>
        </w:tc>
        <w:tc>
          <w:tcPr/>
          <w:p>
            <w:pPr>
              <w:pStyle w:val="Compact"/>
              <w:jc w:val="left"/>
            </w:pPr>
            <w:r>
              <w:t xml:space="preserve">seconds</w:t>
            </w:r>
          </w:p>
        </w:tc>
      </w:tr>
    </w:tbl>
    <w:p>
      <w:pPr>
        <w:pStyle w:val="BodyText"/>
      </w:pPr>
      <w:r>
        <w:t xml:space="preserve">::: example</w:t>
      </w:r>
      <w:r>
        <w:t xml:space="preserve"> </w:t>
      </w:r>
      <w:r>
        <w:rPr>
          <w:bCs/>
          <w:b/>
        </w:rPr>
        <w:t xml:space="preserve">Worked example — how fast does the estimate notice a slowdown?</w:t>
      </w:r>
      <w:r>
        <w:t xml:space="preserve"> </w:t>
      </w:r>
      <w:r>
        <w:t xml:space="preserve">A backend’s latency jumps from 20 ms to 200 ms (garbage-collection storm).</w:t>
      </w:r>
      <w:r>
        <w:t xml:space="preserve"> </w:t>
      </w:r>
      <m:oMath>
        <m:r>
          <m:t>α</m:t>
        </m:r>
        <m:r>
          <m:rPr>
            <m:sty m:val="p"/>
          </m:rPr>
          <m:t>=</m:t>
        </m:r>
        <m:r>
          <m:t>0.1</m:t>
        </m:r>
      </m:oMath>
      <w:r>
        <w:t xml:space="preserve">.</w:t>
      </w:r>
    </w:p>
    <w:p>
      <w:pPr>
        <w:numPr>
          <w:ilvl w:val="0"/>
          <w:numId w:val="1631"/>
        </w:numPr>
        <w:pStyle w:val="Compact"/>
      </w:pPr>
      <w:r>
        <w:t xml:space="preserve">After</w:t>
      </w:r>
      <w:r>
        <w:t xml:space="preserve"> </w:t>
      </w:r>
      <m:oMath>
        <m:r>
          <m:t>k</m:t>
        </m:r>
      </m:oMath>
      <w:r>
        <w:t xml:space="preserve"> </w:t>
      </w:r>
      <w:r>
        <w:t xml:space="preserve">samples:</w:t>
      </w:r>
      <w:r>
        <w:t xml:space="preserve"> </w:t>
      </w:r>
      <m:oMath>
        <m:sSub>
          <m:e>
            <m:r>
              <m:t>S</m:t>
            </m:r>
          </m:e>
          <m:sub>
            <m:r>
              <m:t>k</m:t>
            </m:r>
          </m:sub>
        </m:sSub>
        <m:r>
          <m:rPr>
            <m:sty m:val="p"/>
          </m:rPr>
          <m:t>=</m:t>
        </m:r>
        <m:r>
          <m:t>200</m:t>
        </m:r>
        <m:r>
          <m:rPr>
            <m:sty m:val="p"/>
          </m:rPr>
          <m:t>−</m:t>
        </m:r>
        <m:r>
          <m:t>180</m:t>
        </m:r>
        <m:r>
          <m:rPr>
            <m:sty m:val="p"/>
          </m:rPr>
          <m:t>×</m:t>
        </m:r>
        <m:sSup>
          <m:e>
            <m:r>
              <m:t>0.9</m:t>
            </m:r>
          </m:e>
          <m:sup>
            <m:r>
              <m:t>k</m:t>
            </m:r>
          </m:sup>
        </m:sSup>
      </m:oMath>
      <w:r>
        <w:t xml:space="preserve">.</w:t>
      </w:r>
    </w:p>
    <w:p>
      <w:pPr>
        <w:numPr>
          <w:ilvl w:val="0"/>
          <w:numId w:val="1631"/>
        </w:numPr>
        <w:pStyle w:val="Compact"/>
      </w:pPr>
      <m:oMath>
        <m:r>
          <m:t>k</m:t>
        </m:r>
        <m:r>
          <m:rPr>
            <m:sty m:val="p"/>
          </m:rPr>
          <m:t>=</m:t>
        </m:r>
        <m:r>
          <m:t>10</m:t>
        </m:r>
      </m:oMath>
      <w:r>
        <w:t xml:space="preserve">:</w:t>
      </w:r>
      <w:r>
        <w:t xml:space="preserve"> </w:t>
      </w:r>
      <m:oMath>
        <m:sSup>
          <m:e>
            <m:r>
              <m:t>0.9</m:t>
            </m:r>
          </m:e>
          <m:sup>
            <m:r>
              <m:t>10</m:t>
            </m:r>
          </m:sup>
        </m:sSup>
        <m:r>
          <m:rPr>
            <m:sty m:val="p"/>
          </m:rPr>
          <m:t>=</m:t>
        </m:r>
        <m:r>
          <m:t>0.349</m:t>
        </m:r>
      </m:oMath>
      <w:r>
        <w:t xml:space="preserve">,</w:t>
      </w:r>
      <w:r>
        <w:t xml:space="preserve"> </w:t>
      </w:r>
      <m:oMath>
        <m:r>
          <m:t>S</m:t>
        </m:r>
        <m:r>
          <m:rPr>
            <m:sty m:val="p"/>
          </m:rPr>
          <m:t>=</m:t>
        </m:r>
        <m:r>
          <m:t>200</m:t>
        </m:r>
        <m:r>
          <m:rPr>
            <m:sty m:val="p"/>
          </m:rPr>
          <m:t>−</m:t>
        </m:r>
        <m:r>
          <m:t>62.8</m:t>
        </m:r>
        <m:r>
          <m:rPr>
            <m:sty m:val="p"/>
          </m:rPr>
          <m:t>=</m:t>
        </m:r>
        <m:r>
          <m:t>137</m:t>
        </m:r>
      </m:oMath>
      <w:r>
        <w:t xml:space="preserve"> </w:t>
      </w:r>
      <w:r>
        <w:t xml:space="preserve">ms.</w:t>
      </w:r>
    </w:p>
    <w:p>
      <w:pPr>
        <w:numPr>
          <w:ilvl w:val="0"/>
          <w:numId w:val="1631"/>
        </w:numPr>
        <w:pStyle w:val="Compact"/>
      </w:pPr>
      <m:oMath>
        <m:r>
          <m:t>k</m:t>
        </m:r>
        <m:r>
          <m:rPr>
            <m:sty m:val="p"/>
          </m:rPr>
          <m:t>=</m:t>
        </m:r>
        <m:r>
          <m:t>22</m:t>
        </m:r>
      </m:oMath>
      <w:r>
        <w:t xml:space="preserve">:</w:t>
      </w:r>
      <w:r>
        <w:t xml:space="preserve"> </w:t>
      </w:r>
      <m:oMath>
        <m:sSup>
          <m:e>
            <m:r>
              <m:t>0.9</m:t>
            </m:r>
          </m:e>
          <m:sup>
            <m:r>
              <m:t>22</m:t>
            </m:r>
          </m:sup>
        </m:sSup>
        <m:r>
          <m:rPr>
            <m:sty m:val="p"/>
          </m:rPr>
          <m:t>=</m:t>
        </m:r>
        <m:r>
          <m:t>0.098</m:t>
        </m:r>
      </m:oMath>
      <w:r>
        <w:t xml:space="preserve">,</w:t>
      </w:r>
      <w:r>
        <w:t xml:space="preserve"> </w:t>
      </w:r>
      <m:oMath>
        <m:r>
          <m:t>S</m:t>
        </m:r>
        <m:r>
          <m:rPr>
            <m:sty m:val="p"/>
          </m:rPr>
          <m:t>=</m:t>
        </m:r>
        <m:r>
          <m:t>200</m:t>
        </m:r>
        <m:r>
          <m:rPr>
            <m:sty m:val="p"/>
          </m:rPr>
          <m:t>−</m:t>
        </m:r>
        <m:r>
          <m:t>17.7</m:t>
        </m:r>
        <m:r>
          <m:rPr>
            <m:sty m:val="p"/>
          </m:rPr>
          <m:t>=</m:t>
        </m:r>
        <m:r>
          <m:t>182</m:t>
        </m:r>
      </m:oMath>
      <w:r>
        <w:t xml:space="preserve"> </w:t>
      </w:r>
      <w:r>
        <w:t xml:space="preserve">ms, within 10% of the truth.</w:t>
      </w:r>
    </w:p>
    <w:p>
      <w:pPr>
        <w:numPr>
          <w:ilvl w:val="0"/>
          <w:numId w:val="1631"/>
        </w:numPr>
        <w:pStyle w:val="Compact"/>
      </w:pPr>
      <w:r>
        <w:t xml:space="preserve">At 100 requests/s to this backend, 22 samples arrive in 0.22 s; at 1 request/s, it takes 22 s.</w:t>
      </w:r>
    </w:p>
    <w:p>
      <w:pPr>
        <w:pStyle w:val="FirstParagraph"/>
      </w:pPr>
      <w:r>
        <w:rPr>
          <w:iCs/>
          <w:i/>
        </w:rPr>
        <w:t xml:space="preserve">Interpretation.</w:t>
      </w:r>
      <w:r>
        <w:t xml:space="preserve"> </w:t>
      </w:r>
      <w:r>
        <w:t xml:space="preserve">Per-sample smoothing reacts at the speed of traffic, so a backend that gets little traffic (because it looked slow) updates slowly; the time-based form fixes the memory at</w:t>
      </w:r>
      <w:r>
        <w:t xml:space="preserve"> </w:t>
      </w:r>
      <m:oMath>
        <m:r>
          <m:t>τ</m:t>
        </m:r>
      </m:oMath>
      <w:r>
        <w:t xml:space="preserve">.</w:t>
      </w:r>
      <w:r>
        <w:t xml:space="preserve"> </w:t>
      </w:r>
      <w:r>
        <w:rPr>
          <w:iCs/>
          <w:i/>
        </w:rPr>
        <w:t xml:space="preserve">Engineering implication.</w:t>
      </w:r>
      <w:r>
        <w:t xml:space="preserve"> </w:t>
      </w:r>
      <w:r>
        <w:t xml:space="preserve">Choose</w:t>
      </w:r>
      <w:r>
        <w:t xml:space="preserve"> </w:t>
      </w:r>
      <m:oMath>
        <m:r>
          <m:t>τ</m:t>
        </m:r>
      </m:oMath>
      <w:r>
        <w:t xml:space="preserve"> </w:t>
      </w:r>
      <w:r>
        <w:t xml:space="preserve">near the timescale of the problems to dodge (seconds for GC pauses), and decay idle estimates toward the pool average so a once-slow backend is retried.</w:t>
      </w:r>
    </w:p>
    <w:p>
      <w:pPr>
        <w:pStyle w:val="CalloutIndustry"/>
      </w:pPr>
      <w:r>
        <w:rPr>
          <w:bCs/>
          <w:b/>
        </w:rPr>
        <w:t xml:space="preserve">INDUSTRY EXAMPLE</w:t>
      </w:r>
    </w:p>
    <w:p>
      <w:pPr>
        <w:pStyle w:val="CalloutIndustry"/>
      </w:pPr>
      <w:r>
        <w:rPr>
          <w:bCs/>
          <w:b/>
        </w:rPr>
        <w:t xml:space="preserve">Twitter Finagle and Linkerd: power of two choices with peak EWMA.</w:t>
      </w:r>
      <w:r>
        <w:t xml:space="preserve"> </w:t>
      </w:r>
      <w:r>
        <w:t xml:space="preserve">Finagle, Twitter’s RPC library, offers a</w:t>
      </w:r>
      <w:r>
        <w:t xml:space="preserve"> </w:t>
      </w:r>
      <w:r>
        <w:t xml:space="preserve">“</w:t>
      </w:r>
      <w:r>
        <w:t xml:space="preserve">peak EWMA</w:t>
      </w:r>
      <w:r>
        <w:t xml:space="preserve">”</w:t>
      </w:r>
      <w:r>
        <w:t xml:space="preserve"> </w:t>
      </w:r>
      <w:r>
        <w:t xml:space="preserve">balancer: it tracks an EWMA of round-trip time that jumps</w:t>
      </w:r>
      <w:r>
        <w:t xml:space="preserve"> </w:t>
      </w:r>
      <w:r>
        <w:rPr>
          <w:iCs/>
          <w:i/>
        </w:rPr>
        <w:t xml:space="preserve">up</w:t>
      </w:r>
      <w:r>
        <w:t xml:space="preserve"> </w:t>
      </w:r>
      <w:r>
        <w:t xml:space="preserve">immediately on a slow response and decays slowly, multiplies it by the outstanding request count, and compares two randomly chosen backends. Linkerd, which grew out of Finagle, uses the same latency-aware power-of-two-choices approach.</w:t>
      </w:r>
      <w:r>
        <w:t xml:space="preserve"> </w:t>
      </w:r>
      <w:r>
        <w:rPr>
          <w:iCs/>
          <w:i/>
        </w:rPr>
        <w:t xml:space="preserve">Evidence: Primary</w:t>
      </w:r>
      <w:r>
        <w:t xml:space="preserve"> </w:t>
      </w:r>
      <w:r>
        <w:t xml:space="preserve">— [Twitter: Finagle documentation, Load balancers]</w:t>
      </w:r>
    </w:p>
    <w:bookmarkEnd w:id="2174"/>
    <w:bookmarkStart w:id="2182" w:name="power-of-two-choices"/>
    <w:p>
      <w:pPr>
        <w:pStyle w:val="Heading3"/>
      </w:pPr>
      <w:r>
        <w:t xml:space="preserve">19.4.4 Power of two choices</w:t>
      </w:r>
    </w:p>
    <w:p>
      <w:pPr>
        <w:pStyle w:val="CalloutDefinition"/>
      </w:pPr>
      <w:r>
        <w:rPr>
          <w:bCs/>
          <w:b/>
        </w:rPr>
        <w:t xml:space="preserve">DEFINITION</w:t>
      </w:r>
    </w:p>
    <w:p>
      <w:pPr>
        <w:pStyle w:val="CalloutDefinition"/>
      </w:pPr>
      <w:r>
        <w:rPr>
          <w:bCs/>
          <w:b/>
        </w:rPr>
        <w:t xml:space="preserve">Definition — Power of two choices (P2C).</w:t>
      </w:r>
      <w:r>
        <w:t xml:space="preserve"> </w:t>
      </w:r>
      <w:r>
        <w:t xml:space="preserve">For each request, pick</w:t>
      </w:r>
      <w:r>
        <w:t xml:space="preserve"> </w:t>
      </w:r>
      <w:r>
        <w:rPr>
          <w:bCs/>
          <w:b/>
        </w:rPr>
        <w:t xml:space="preserve">two</w:t>
      </w:r>
      <w:r>
        <w:t xml:space="preserve"> </w:t>
      </w:r>
      <w:r>
        <w:t xml:space="preserve">backends uniformly at random and send the request to the less loaded of the two (by in-flight count, EWMA latency or another load signal).</w:t>
      </w:r>
    </w:p>
    <w:bookmarkStart w:id="2175" w:name="first-principles-explanation-120"/>
    <w:p>
      <w:pPr>
        <w:pStyle w:val="Heading4"/>
      </w:pPr>
      <w:r>
        <w:t xml:space="preserve">First-principles explanation</w:t>
      </w:r>
    </w:p>
    <w:p>
      <w:pPr>
        <w:pStyle w:val="FirstParagraph"/>
      </w:pPr>
      <w:r>
        <w:t xml:space="preserve">Return to the supermarket, but now the store is enormous, with 500 checkouts, and you cannot see all the lines. If you join a random line, sooner or later you join a terrible one. If you glance at just</w:t>
      </w:r>
      <w:r>
        <w:t xml:space="preserve"> </w:t>
      </w:r>
      <w:r>
        <w:rPr>
          <w:iCs/>
          <w:i/>
        </w:rPr>
        <w:t xml:space="preserve">two</w:t>
      </w:r>
      <w:r>
        <w:t xml:space="preserve"> </w:t>
      </w:r>
      <w:r>
        <w:t xml:space="preserve">random lines and join the shorter, you almost never join a terrible line, because both would have to be terrible. The surprise is how much that one extra glance buys: the worst line in the store shrinks</w:t>
      </w:r>
      <w:r>
        <w:t xml:space="preserve"> </w:t>
      </w:r>
      <w:r>
        <w:rPr>
          <w:iCs/>
          <w:i/>
        </w:rPr>
        <w:t xml:space="preserve">exponentially</w:t>
      </w:r>
      <w:r>
        <w:t xml:space="preserve">.</w:t>
      </w:r>
    </w:p>
    <w:bookmarkEnd w:id="2175"/>
    <w:bookmarkStart w:id="2179" w:name="why-does-this-exist-74"/>
    <w:p>
      <w:pPr>
        <w:pStyle w:val="Heading4"/>
      </w:pPr>
      <w:r>
        <w:t xml:space="preserve">Why does this exist?</w:t>
      </w:r>
    </w:p>
    <w:p>
      <w:pPr>
        <w:pStyle w:val="FirstParagraph"/>
      </w:pPr>
      <w:r>
        <w:t xml:space="preserve">Least connections needs a global, current view of every backend’s load. That is cheap for one balancer and 10 backends, but not for 50 balancers and 5,000 backends: each balancer sees only its own traffic, and load reports arrive late. When many balancers all pick</w:t>
      </w:r>
      <w:r>
        <w:t xml:space="preserve"> </w:t>
      </w:r>
      <w:r>
        <w:t xml:space="preserve">“</w:t>
      </w:r>
      <w:r>
        <w:t xml:space="preserve">the least loaded backend</w:t>
      </w:r>
      <w:r>
        <w:t xml:space="preserve">”</w:t>
      </w:r>
      <w:r>
        <w:t xml:space="preserve"> </w:t>
      </w:r>
      <w:r>
        <w:t xml:space="preserve">from the same stale information, they all pick the</w:t>
      </w:r>
      <w:r>
        <w:t xml:space="preserve"> </w:t>
      </w:r>
      <w:r>
        <w:rPr>
          <w:iCs/>
          <w:i/>
        </w:rPr>
        <w:t xml:space="preserve">same</w:t>
      </w:r>
      <w:r>
        <w:t xml:space="preserve"> </w:t>
      </w:r>
      <w:r>
        <w:t xml:space="preserve">backend and swamp it, a</w:t>
      </w:r>
      <w:r>
        <w:t xml:space="preserve"> </w:t>
      </w:r>
      <w:r>
        <w:rPr>
          <w:bCs/>
          <w:b/>
        </w:rPr>
        <w:t xml:space="preserve">herd effect</w:t>
      </w:r>
      <w:r>
        <w:t xml:space="preserve"> </w:t>
      </w:r>
      <w:r>
        <w:t xml:space="preserve">(Figure 19.3). Random choice avoids herds but tolerates bad luck. Two random choices keep almost all the benefit of full information, avoid the herd, and cost two lookups [Mitzenmacher 2001].</w:t>
      </w:r>
    </w:p>
    <w:p>
      <w:pPr>
        <w:pStyle w:val="BodyText"/>
      </w:pPr>
      <w:r>
        <w:rPr>
          <w:bCs/>
          <w:b/>
        </w:rPr>
        <w:t xml:space="preserve">Figure 19.3 — Herd behavior with stale load information, and how two random choices avoid it.</w:t>
      </w:r>
    </w:p>
    <w:p>
      <w:pPr>
        <w:pStyle w:val="BodyText"/>
      </w:pPr>
      <w:r>
        <w:drawing>
          <wp:inline>
            <wp:extent cx="5334000" cy="6434488"/>
            <wp:effectExtent b="0" l="0" r="0" t="0"/>
            <wp:docPr descr="" title="" id="2177" name="Picture"/>
            <a:graphic>
              <a:graphicData uri="http://schemas.openxmlformats.org/drawingml/2006/picture">
                <pic:pic>
                  <pic:nvPicPr>
                    <pic:cNvPr descr="/home/user/System-Design/build/.cache/diagrams/1120fd00d3ac.png" id="2178" name="Picture"/>
                    <pic:cNvPicPr>
                      <a:picLocks noChangeArrowheads="1" noChangeAspect="1"/>
                    </pic:cNvPicPr>
                  </pic:nvPicPr>
                  <pic:blipFill>
                    <a:blip r:embed="rId2176"/>
                    <a:stretch>
                      <a:fillRect/>
                    </a:stretch>
                  </pic:blipFill>
                  <pic:spPr bwMode="auto">
                    <a:xfrm>
                      <a:off x="0" y="0"/>
                      <a:ext cx="5334000" cy="6434488"/>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On the left, three balancers receive the same load report asynchronously (dotted) every 2 seconds. Server 3 looked idlest, so all three forward every new request to it (solid, synchronous) until the next report, by which time it is the busiest and the herd moves on. On the right, each balancer samples two random servers per request and picks the lighter, so choices scatter even with stale information. No storage is involved; the failure point is the shared stale view. P2C needs no coordination, so it scales to any number of balancers.</w:t>
      </w:r>
    </w:p>
    <w:bookmarkEnd w:id="2179"/>
    <w:bookmarkStart w:id="2180" w:name="mathematical-foundations-42"/>
    <w:p>
      <w:pPr>
        <w:pStyle w:val="Heading4"/>
      </w:pPr>
      <w:r>
        <w:t xml:space="preserve">Mathematical foundations</w:t>
      </w:r>
    </w:p>
    <w:p>
      <w:pPr>
        <w:pStyle w:val="FirstParagraph"/>
      </w:pPr>
      <w:r>
        <w:t xml:space="preserve">The classic model is</w:t>
      </w:r>
      <w:r>
        <w:t xml:space="preserve"> </w:t>
      </w:r>
      <w:r>
        <w:rPr>
          <w:bCs/>
          <w:b/>
        </w:rPr>
        <w:t xml:space="preserve">balls into bins</w:t>
      </w:r>
      <w:r>
        <w:t xml:space="preserve">: throw</w:t>
      </w:r>
      <w:r>
        <w:t xml:space="preserve"> </w:t>
      </w:r>
      <m:oMath>
        <m:r>
          <m:t>n</m:t>
        </m:r>
      </m:oMath>
      <w:r>
        <w:t xml:space="preserve"> </w:t>
      </w:r>
      <w:r>
        <w:t xml:space="preserve">balls into</w:t>
      </w:r>
      <w:r>
        <w:t xml:space="preserve"> </w:t>
      </w:r>
      <m:oMath>
        <m:r>
          <m:t>n</m:t>
        </m:r>
      </m:oMath>
      <w:r>
        <w:t xml:space="preserve"> </w:t>
      </w:r>
      <w:r>
        <w:t xml:space="preserve">bins, each ball choosing its bin(s) at random.</w:t>
      </w:r>
    </w:p>
    <w:p>
      <w:pPr>
        <w:pStyle w:val="CalloutFormula"/>
      </w:pPr>
      <w:r>
        <w:rPr>
          <w:bCs/>
          <w:b/>
        </w:rPr>
        <w:t xml:space="preserve">FORMULA</w:t>
      </w:r>
    </w:p>
    <w:p>
      <w:pPr>
        <w:pStyle w:val="CalloutFormula"/>
      </w:pPr>
      <w:r>
        <w:rPr>
          <w:bCs/>
          <w:b/>
        </w:rPr>
        <w:t xml:space="preserve">Maximum load with one and with</w:t>
      </w:r>
      <w:r>
        <w:rPr>
          <w:bCs/>
          <w:b/>
        </w:rPr>
        <w:t xml:space="preserve"> </w:t>
      </w:r>
      <m:oMath>
        <m:r>
          <m:t>d</m:t>
        </m:r>
      </m:oMath>
      <w:r>
        <w:rPr>
          <w:bCs/>
          <w:b/>
        </w:rPr>
        <w:t xml:space="preserve"> </w:t>
      </w:r>
      <w:r>
        <w:rPr>
          <w:bCs/>
          <w:b/>
        </w:rPr>
        <w:t xml:space="preserve">random choices</w:t>
      </w:r>
      <w:r>
        <w:t xml:space="preserve"> </w:t>
      </w:r>
      <w:r>
        <w:t xml:space="preserve">[Azar et al. 1999]</w:t>
      </w:r>
    </w:p>
    <w:p>
      <w:pPr>
        <w:pStyle w:val="CalloutFormula"/>
      </w:pPr>
      <m:oMathPara>
        <m:oMathParaPr>
          <m:jc m:val="center"/>
        </m:oMathParaPr>
        <m:oMath>
          <m:r>
            <m:rPr>
              <m:nor/>
              <m:sty m:val="p"/>
            </m:rPr>
            <m:t>one choice: </m:t>
          </m:r>
          <m:r>
            <m:rPr>
              <m:sty m:val="p"/>
            </m:rPr>
            <m:t>max</m:t>
          </m:r>
          <m:r>
            <m:rPr>
              <m:nor/>
              <m:sty m:val="p"/>
            </m:rPr>
            <m:t>load</m:t>
          </m:r>
          <m:r>
            <m:rPr>
              <m:sty m:val="p"/>
            </m:rPr>
            <m:t>=</m:t>
          </m:r>
          <m:f>
            <m:fPr>
              <m:type m:val="bar"/>
            </m:fPr>
            <m:num>
              <m:r>
                <m:rPr>
                  <m:sty m:val="p"/>
                </m:rPr>
                <m:t>ln</m:t>
              </m:r>
              <m:r>
                <m:t>n</m:t>
              </m:r>
            </m:num>
            <m:den>
              <m:r>
                <m:rPr>
                  <m:sty m:val="p"/>
                </m:rPr>
                <m:t>ln</m:t>
              </m:r>
              <m:r>
                <m:rPr>
                  <m:sty m:val="p"/>
                </m:rPr>
                <m:t>ln</m:t>
              </m:r>
              <m:r>
                <m:t>n</m:t>
              </m:r>
            </m:den>
          </m:f>
          <m:r>
            <m:t> </m:t>
          </m:r>
          <m:d>
            <m:dPr>
              <m:begChr m:val="("/>
              <m:endChr m:val=")"/>
              <m:sepChr m:val=""/>
              <m:grow/>
            </m:dPr>
            <m:e>
              <m:r>
                <m:t>1</m:t>
              </m:r>
              <m:r>
                <m:rPr>
                  <m:sty m:val="p"/>
                </m:rPr>
                <m:t>+</m:t>
              </m:r>
              <m:r>
                <m:t>o</m:t>
              </m:r>
              <m:d>
                <m:dPr>
                  <m:begChr m:val="("/>
                  <m:endChr m:val=")"/>
                  <m:sepChr m:val=""/>
                  <m:grow/>
                </m:dPr>
                <m:e>
                  <m:r>
                    <m:t>1</m:t>
                  </m:r>
                </m:e>
              </m:d>
            </m:e>
          </m:d>
          <m:r>
            <m:rPr>
              <m:sty m:val="p"/>
            </m:rPr>
            <m:t>,</m:t>
          </m:r>
          <m:r>
            <m:t>  </m:t>
          </m:r>
          <m:r>
            <m:t>d</m:t>
          </m:r>
          <m:r>
            <m:rPr>
              <m:sty m:val="p"/>
            </m:rPr>
            <m:t>≥</m:t>
          </m:r>
          <m:r>
            <m:t>2</m:t>
          </m:r>
          <m:r>
            <m:rPr>
              <m:nor/>
              <m:sty m:val="p"/>
            </m:rPr>
            <m:t> choices: </m:t>
          </m:r>
          <m:r>
            <m:rPr>
              <m:sty m:val="p"/>
            </m:rPr>
            <m:t>max</m:t>
          </m:r>
          <m:r>
            <m:rPr>
              <m:nor/>
              <m:sty m:val="p"/>
            </m:rPr>
            <m:t>load</m:t>
          </m:r>
          <m:r>
            <m:rPr>
              <m:sty m:val="p"/>
            </m:rPr>
            <m:t>=</m:t>
          </m:r>
          <m:f>
            <m:fPr>
              <m:type m:val="bar"/>
            </m:fPr>
            <m:num>
              <m:r>
                <m:rPr>
                  <m:sty m:val="p"/>
                </m:rPr>
                <m:t>ln</m:t>
              </m:r>
              <m:r>
                <m:rPr>
                  <m:sty m:val="p"/>
                </m:rPr>
                <m:t>ln</m:t>
              </m:r>
              <m:r>
                <m:t>n</m:t>
              </m:r>
            </m:num>
            <m:den>
              <m:r>
                <m:rPr>
                  <m:sty m:val="p"/>
                </m:rPr>
                <m:t>ln</m:t>
              </m:r>
              <m:r>
                <m:t>d</m:t>
              </m:r>
            </m:den>
          </m:f>
          <m:r>
            <m:rPr>
              <m:sty m:val="p"/>
            </m:rPr>
            <m:t>+</m:t>
          </m:r>
          <m:r>
            <m:t>Θ</m:t>
          </m:r>
          <m:d>
            <m:dPr>
              <m:begChr m:val="("/>
              <m:endChr m:val=")"/>
              <m:sepChr m:val=""/>
              <m:grow/>
            </m:dPr>
            <m:e>
              <m:r>
                <m:t>1</m:t>
              </m:r>
            </m:e>
          </m:d>
          <m:r>
            <m:t> </m:t>
          </m:r>
          <m:r>
            <m:rPr>
              <m:nor/>
              <m:sty m:val="p"/>
            </m:rPr>
            <m:t>(with high probability)</m:t>
          </m:r>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n</m:t>
              </m:r>
            </m:oMath>
          </w:p>
        </w:tc>
        <w:tc>
          <w:tcPr/>
          <w:p>
            <w:pPr>
              <w:pStyle w:val="Compact"/>
              <w:jc w:val="left"/>
            </w:pPr>
            <w:r>
              <w:t xml:space="preserve">Number of balls (requests) and of bins (servers)</w:t>
            </w:r>
          </w:p>
        </w:tc>
        <w:tc>
          <w:tcPr/>
          <w:p>
            <w:pPr>
              <w:pStyle w:val="Compact"/>
              <w:jc w:val="left"/>
            </w:pPr>
            <w:r>
              <w:t xml:space="preserve">count</w:t>
            </w:r>
          </w:p>
        </w:tc>
      </w:tr>
      <w:tr>
        <w:tc>
          <w:tcPr/>
          <w:p>
            <w:pPr>
              <w:pStyle w:val="Compact"/>
              <w:jc w:val="left"/>
            </w:pPr>
            <m:oMath>
              <m:r>
                <m:t>d</m:t>
              </m:r>
            </m:oMath>
          </w:p>
        </w:tc>
        <w:tc>
          <w:tcPr/>
          <w:p>
            <w:pPr>
              <w:pStyle w:val="Compact"/>
              <w:jc w:val="left"/>
            </w:pPr>
            <w:r>
              <w:t xml:space="preserve">Number of random bins examined per ball</w:t>
            </w:r>
          </w:p>
        </w:tc>
        <w:tc>
          <w:tcPr/>
          <w:p>
            <w:pPr>
              <w:pStyle w:val="Compact"/>
              <w:jc w:val="left"/>
            </w:pPr>
            <w:r>
              <w:t xml:space="preserve">count</w:t>
            </w:r>
          </w:p>
        </w:tc>
      </w:tr>
      <w:tr>
        <w:tc>
          <w:tcPr/>
          <w:p>
            <w:pPr>
              <w:pStyle w:val="Compact"/>
              <w:jc w:val="left"/>
            </w:pPr>
            <m:oMath>
              <m:r>
                <m:rPr>
                  <m:sty m:val="p"/>
                </m:rPr>
                <m:t>max</m:t>
              </m:r>
              <m:r>
                <m:rPr>
                  <m:nor/>
                  <m:sty m:val="p"/>
                </m:rPr>
                <m:t>load</m:t>
              </m:r>
            </m:oMath>
          </w:p>
        </w:tc>
        <w:tc>
          <w:tcPr/>
          <w:p>
            <w:pPr>
              <w:pStyle w:val="Compact"/>
              <w:jc w:val="left"/>
            </w:pPr>
            <w:r>
              <w:t xml:space="preserve">Largest number of balls in any bin</w:t>
            </w:r>
          </w:p>
        </w:tc>
        <w:tc>
          <w:tcPr/>
          <w:p>
            <w:pPr>
              <w:pStyle w:val="Compact"/>
              <w:jc w:val="left"/>
            </w:pPr>
            <w:r>
              <w:t xml:space="preserve">balls</w:t>
            </w:r>
          </w:p>
        </w:tc>
      </w:tr>
      <w:tr>
        <w:tc>
          <w:tcPr/>
          <w:p>
            <w:pPr>
              <w:pStyle w:val="Compact"/>
              <w:jc w:val="left"/>
            </w:pPr>
            <m:oMath>
              <m:r>
                <m:t>o</m:t>
              </m:r>
              <m:d>
                <m:dPr>
                  <m:begChr m:val="("/>
                  <m:endChr m:val=")"/>
                  <m:sepChr m:val=""/>
                  <m:grow/>
                </m:dPr>
                <m:e>
                  <m:r>
                    <m:t>1</m:t>
                  </m:r>
                </m:e>
              </m:d>
            </m:oMath>
            <w:r>
              <w:t xml:space="preserve">,</w:t>
            </w:r>
            <w:r>
              <w:t xml:space="preserve"> </w:t>
            </w:r>
            <m:oMath>
              <m:r>
                <m:t>Θ</m:t>
              </m:r>
              <m:d>
                <m:dPr>
                  <m:begChr m:val="("/>
                  <m:endChr m:val=")"/>
                  <m:sepChr m:val=""/>
                  <m:grow/>
                </m:dPr>
                <m:e>
                  <m:r>
                    <m:t>1</m:t>
                  </m:r>
                </m:e>
              </m:d>
            </m:oMath>
          </w:p>
        </w:tc>
        <w:tc>
          <w:tcPr/>
          <w:p>
            <w:pPr>
              <w:pStyle w:val="Compact"/>
              <w:jc w:val="left"/>
            </w:pPr>
            <w:r>
              <w:t xml:space="preserve">A term that vanishes as</w:t>
            </w:r>
            <w:r>
              <w:t xml:space="preserve"> </w:t>
            </w:r>
            <m:oMath>
              <m:r>
                <m:t>n</m:t>
              </m:r>
            </m:oMath>
            <w:r>
              <w:t xml:space="preserve"> </w:t>
            </w:r>
            <w:r>
              <w:t xml:space="preserve">grows; a bounded constant</w:t>
            </w:r>
          </w:p>
        </w:tc>
        <w:tc>
          <w:tcPr/>
          <w:p>
            <w:pPr>
              <w:pStyle w:val="Compact"/>
              <w:jc w:val="left"/>
            </w:pPr>
            <w:r>
              <w:t xml:space="preserve">—</w:t>
            </w:r>
          </w:p>
        </w:tc>
      </w:tr>
    </w:tbl>
    <w:p>
      <w:pPr>
        <w:pStyle w:val="CalloutExample"/>
      </w:pPr>
      <w:r>
        <w:rPr>
          <w:bCs/>
          <w:b/>
        </w:rPr>
        <w:t xml:space="preserve">WORKED EXAMPLE</w:t>
      </w:r>
    </w:p>
    <w:p>
      <w:pPr>
        <w:pStyle w:val="CalloutExample"/>
      </w:pPr>
      <w:r>
        <w:rPr>
          <w:bCs/>
          <w:b/>
        </w:rPr>
        <w:t xml:space="preserve">Worked example — one million balls into one million bins.</w:t>
      </w:r>
    </w:p>
    <w:p>
      <w:pPr>
        <w:numPr>
          <w:ilvl w:val="0"/>
          <w:numId w:val="1632"/>
        </w:numPr>
        <w:pStyle w:val="Compact"/>
      </w:pPr>
      <m:oMath>
        <m:r>
          <m:rPr>
            <m:sty m:val="p"/>
          </m:rPr>
          <m:t>ln</m:t>
        </m:r>
        <m:r>
          <m:t>n</m:t>
        </m:r>
        <m:r>
          <m:rPr>
            <m:sty m:val="p"/>
          </m:rPr>
          <m:t>=</m:t>
        </m:r>
        <m:r>
          <m:rPr>
            <m:sty m:val="p"/>
          </m:rPr>
          <m:t>ln</m:t>
        </m:r>
        <m:sSup>
          <m:e>
            <m:r>
              <m:t>10</m:t>
            </m:r>
          </m:e>
          <m:sup>
            <m:r>
              <m:t>6</m:t>
            </m:r>
          </m:sup>
        </m:sSup>
        <m:r>
          <m:rPr>
            <m:sty m:val="p"/>
          </m:rPr>
          <m:t>=</m:t>
        </m:r>
        <m:r>
          <m:t>13.82</m:t>
        </m:r>
      </m:oMath>
      <w:r>
        <w:t xml:space="preserve">;</w:t>
      </w:r>
      <w:r>
        <w:t xml:space="preserve"> </w:t>
      </w:r>
      <m:oMath>
        <m:r>
          <m:rPr>
            <m:sty m:val="p"/>
          </m:rPr>
          <m:t>ln</m:t>
        </m:r>
        <m:r>
          <m:rPr>
            <m:sty m:val="p"/>
          </m:rPr>
          <m:t>ln</m:t>
        </m:r>
        <m:r>
          <m:t>n</m:t>
        </m:r>
        <m:r>
          <m:rPr>
            <m:sty m:val="p"/>
          </m:rPr>
          <m:t>=</m:t>
        </m:r>
        <m:r>
          <m:rPr>
            <m:sty m:val="p"/>
          </m:rPr>
          <m:t>ln</m:t>
        </m:r>
        <m:r>
          <m:t>13.82</m:t>
        </m:r>
        <m:r>
          <m:rPr>
            <m:sty m:val="p"/>
          </m:rPr>
          <m:t>=</m:t>
        </m:r>
        <m:r>
          <m:t>2.63</m:t>
        </m:r>
      </m:oMath>
      <w:r>
        <w:t xml:space="preserve">.</w:t>
      </w:r>
    </w:p>
    <w:p>
      <w:pPr>
        <w:numPr>
          <w:ilvl w:val="0"/>
          <w:numId w:val="1632"/>
        </w:numPr>
        <w:pStyle w:val="Compact"/>
      </w:pPr>
      <w:r>
        <w:t xml:space="preserve">One choice, leading term:</w:t>
      </w:r>
      <w:r>
        <w:t xml:space="preserve"> </w:t>
      </w:r>
      <m:oMath>
        <m:r>
          <m:t>13.82</m:t>
        </m:r>
        <m:r>
          <m:rPr>
            <m:sty m:val="p"/>
          </m:rPr>
          <m:t>/</m:t>
        </m:r>
        <m:r>
          <m:t>2.63</m:t>
        </m:r>
        <m:r>
          <m:rPr>
            <m:sty m:val="p"/>
          </m:rPr>
          <m:t>=</m:t>
        </m:r>
        <m:r>
          <m:t>5.26</m:t>
        </m:r>
      </m:oMath>
      <w:r>
        <w:t xml:space="preserve">.</w:t>
      </w:r>
    </w:p>
    <w:p>
      <w:pPr>
        <w:numPr>
          <w:ilvl w:val="0"/>
          <w:numId w:val="1632"/>
        </w:numPr>
        <w:pStyle w:val="Compact"/>
      </w:pPr>
      <w:r>
        <w:t xml:space="preserve">Two choices, leading term:</w:t>
      </w:r>
      <w:r>
        <w:t xml:space="preserve"> </w:t>
      </w:r>
      <m:oMath>
        <m:r>
          <m:t>2.63</m:t>
        </m:r>
        <m:r>
          <m:rPr>
            <m:sty m:val="p"/>
          </m:rPr>
          <m:t>/</m:t>
        </m:r>
        <m:r>
          <m:rPr>
            <m:sty m:val="p"/>
          </m:rPr>
          <m:t>ln</m:t>
        </m:r>
        <m:r>
          <m:t>2</m:t>
        </m:r>
        <m:r>
          <m:rPr>
            <m:sty m:val="p"/>
          </m:rPr>
          <m:t>=</m:t>
        </m:r>
        <m:r>
          <m:t>2.63</m:t>
        </m:r>
        <m:r>
          <m:rPr>
            <m:sty m:val="p"/>
          </m:rPr>
          <m:t>/</m:t>
        </m:r>
        <m:r>
          <m:t>0.693</m:t>
        </m:r>
        <m:r>
          <m:rPr>
            <m:sty m:val="p"/>
          </m:rPr>
          <m:t>=</m:t>
        </m:r>
        <m:r>
          <m:t>3.79</m:t>
        </m:r>
      </m:oMath>
      <w:r>
        <w:t xml:space="preserve">.</w:t>
      </w:r>
    </w:p>
    <w:p>
      <w:pPr>
        <w:numPr>
          <w:ilvl w:val="0"/>
          <w:numId w:val="1632"/>
        </w:numPr>
        <w:pStyle w:val="Compact"/>
      </w:pPr>
      <w:r>
        <w:t xml:space="preserve">Measured (listing below): 9.0 with one choice, 4.0 with two, 3.0 with three.</w:t>
      </w:r>
    </w:p>
    <w:p>
      <w:pPr>
        <w:pStyle w:val="CalloutExample"/>
      </w:pPr>
      <w:r>
        <w:rPr>
          <w:iCs/>
          <w:i/>
        </w:rPr>
        <w:t xml:space="preserve">Interpretation.</w:t>
      </w:r>
      <w:r>
        <w:t xml:space="preserve"> </w:t>
      </w:r>
      <w:r>
        <w:t xml:space="preserve">The leading term underestimates the one-choice case at practical sizes (the</w:t>
      </w:r>
      <w:r>
        <w:t xml:space="preserve"> </w:t>
      </w:r>
      <m:oMath>
        <m:r>
          <m:t>o</m:t>
        </m:r>
        <m:d>
          <m:dPr>
            <m:begChr m:val="("/>
            <m:endChr m:val=")"/>
            <m:sepChr m:val=""/>
            <m:grow/>
          </m:dPr>
          <m:e>
            <m:r>
              <m:t>1</m:t>
            </m:r>
          </m:e>
        </m:d>
      </m:oMath>
      <w:r>
        <w:t xml:space="preserve"> </w:t>
      </w:r>
      <w:r>
        <w:t xml:space="preserve">factor is large), but the shape is right: the worst bin with one choice grows almost like</w:t>
      </w:r>
      <w:r>
        <w:t xml:space="preserve"> </w:t>
      </w:r>
      <m:oMath>
        <m:r>
          <m:rPr>
            <m:sty m:val="p"/>
          </m:rPr>
          <m:t>log</m:t>
        </m:r>
        <m:r>
          <m:t>n</m:t>
        </m:r>
      </m:oMath>
      <w:r>
        <w:t xml:space="preserve">, while with two choices it grows like</w:t>
      </w:r>
      <w:r>
        <w:t xml:space="preserve"> </w:t>
      </w:r>
      <m:oMath>
        <m:r>
          <m:rPr>
            <m:sty m:val="p"/>
          </m:rPr>
          <m:t>log</m:t>
        </m:r>
        <m:r>
          <m:rPr>
            <m:sty m:val="p"/>
          </m:rPr>
          <m:t>log</m:t>
        </m:r>
        <m:r>
          <m:t>n</m:t>
        </m:r>
      </m:oMath>
      <w:r>
        <w:t xml:space="preserve">, which is below 5 for any</w:t>
      </w:r>
      <w:r>
        <w:t xml:space="preserve"> </w:t>
      </w:r>
      <m:oMath>
        <m:r>
          <m:t>n</m:t>
        </m:r>
      </m:oMath>
      <w:r>
        <w:t xml:space="preserve"> </w:t>
      </w:r>
      <w:r>
        <w:t xml:space="preserve">you will meet. Going from two choices to three helps far less than going from one to two.</w:t>
      </w:r>
      <w:r>
        <w:t xml:space="preserve"> </w:t>
      </w:r>
      <w:r>
        <w:rPr>
          <w:iCs/>
          <w:i/>
        </w:rPr>
        <w:t xml:space="preserve">Engineering implication.</w:t>
      </w:r>
      <w:r>
        <w:t xml:space="preserve"> </w:t>
      </w:r>
      <w:r>
        <w:t xml:space="preserve">Two samples are the sweet spot: almost all the benefit, no coordination, and no herd.</w:t>
      </w:r>
    </w:p>
    <w:p>
      <w:pPr>
        <w:pStyle w:val="BodyText"/>
      </w:pPr>
      <w:r>
        <w:t xml:space="preserve">Mitzenmacher analyzed the dynamic version, the</w:t>
      </w:r>
      <w:r>
        <w:t xml:space="preserve"> </w:t>
      </w:r>
      <w:r>
        <w:rPr>
          <w:bCs/>
          <w:b/>
        </w:rPr>
        <w:t xml:space="preserve">supermarket model</w:t>
      </w:r>
      <w:r>
        <w:t xml:space="preserve">: requests arrive as a Poisson stream at rate</w:t>
      </w:r>
      <w:r>
        <w:t xml:space="preserve"> </w:t>
      </w:r>
      <m:oMath>
        <m:r>
          <m:t>λ</m:t>
        </m:r>
        <m:r>
          <m:t>n</m:t>
        </m:r>
      </m:oMath>
      <w:r>
        <w:t xml:space="preserve"> </w:t>
      </w:r>
      <w:r>
        <w:t xml:space="preserve">to</w:t>
      </w:r>
      <w:r>
        <w:t xml:space="preserve"> </w:t>
      </w:r>
      <m:oMath>
        <m:r>
          <m:t>n</m:t>
        </m:r>
      </m:oMath>
      <w:r>
        <w:t xml:space="preserve"> </w:t>
      </w:r>
      <w:r>
        <w:t xml:space="preserve">servers of rate 1, each joining the shorter of</w:t>
      </w:r>
      <w:r>
        <w:t xml:space="preserve"> </w:t>
      </w:r>
      <m:oMath>
        <m:r>
          <m:t>d</m:t>
        </m:r>
      </m:oMath>
      <w:r>
        <w:t xml:space="preserve"> </w:t>
      </w:r>
      <w:r>
        <w:t xml:space="preserve">random queues [Mitzenmacher 2001].</w:t>
      </w:r>
    </w:p>
    <w:p>
      <w:pPr>
        <w:pStyle w:val="CalloutFormula"/>
      </w:pPr>
      <w:r>
        <w:rPr>
          <w:bCs/>
          <w:b/>
        </w:rPr>
        <w:t xml:space="preserve">FORMULA</w:t>
      </w:r>
    </w:p>
    <w:p>
      <w:pPr>
        <w:pStyle w:val="CalloutFormula"/>
      </w:pPr>
      <w:r>
        <w:rPr>
          <w:bCs/>
          <w:b/>
        </w:rPr>
        <w:t xml:space="preserve">Queue-length tail in the supermarket model (large</w:t>
      </w:r>
      <w:r>
        <w:rPr>
          <w:bCs/>
          <w:b/>
        </w:rPr>
        <w:t xml:space="preserve"> </w:t>
      </w:r>
      <m:oMath>
        <m:r>
          <m:t>n</m:t>
        </m:r>
      </m:oMath>
      <w:r>
        <w:rPr>
          <w:bCs/>
          <w:b/>
        </w:rPr>
        <w:t xml:space="preserve">)</w:t>
      </w:r>
    </w:p>
    <w:p>
      <w:pPr>
        <w:pStyle w:val="CalloutFormula"/>
      </w:pPr>
      <m:oMathPara>
        <m:oMathParaPr>
          <m:jc m:val="center"/>
        </m:oMathParaPr>
        <m:oMath>
          <m:sSub>
            <m:e>
              <m:r>
                <m:t>s</m:t>
              </m:r>
            </m:e>
            <m:sub>
              <m:r>
                <m:t>i</m:t>
              </m:r>
            </m:sub>
          </m:sSub>
          <m:r>
            <m:rPr>
              <m:sty m:val="p"/>
            </m:rPr>
            <m:t>=</m:t>
          </m:r>
          <m:sSup>
            <m:e>
              <m:r>
                <m:t>λ</m:t>
              </m:r>
            </m:e>
            <m:sup>
              <m:r>
                <m:t>i</m:t>
              </m:r>
            </m:sup>
          </m:sSup>
          <m:r>
            <m:t> </m:t>
          </m:r>
          <m:r>
            <m:t> </m:t>
          </m:r>
          <m:d>
            <m:dPr>
              <m:begChr m:val="("/>
              <m:endChr m:val=")"/>
              <m:sepChr m:val=""/>
              <m:grow/>
            </m:dPr>
            <m:e>
              <m:r>
                <m:t>d</m:t>
              </m:r>
              <m:r>
                <m:rPr>
                  <m:sty m:val="p"/>
                </m:rPr>
                <m:t>=</m:t>
              </m:r>
              <m:r>
                <m:t>1</m:t>
              </m:r>
            </m:e>
          </m:d>
          <m:r>
            <m:rPr>
              <m:sty m:val="p"/>
            </m:rPr>
            <m:t>,</m:t>
          </m:r>
          <m:r>
            <m:t>  </m:t>
          </m:r>
          <m:sSub>
            <m:e>
              <m:r>
                <m:t>s</m:t>
              </m:r>
            </m:e>
            <m:sub>
              <m:r>
                <m:t>i</m:t>
              </m:r>
            </m:sub>
          </m:sSub>
          <m:r>
            <m:rPr>
              <m:sty m:val="p"/>
            </m:rPr>
            <m:t>=</m:t>
          </m:r>
          <m:sSup>
            <m:e>
              <m:r>
                <m:t>λ</m:t>
              </m:r>
            </m:e>
            <m:sup>
              <m:f>
                <m:fPr>
                  <m:type m:val="bar"/>
                </m:fPr>
                <m:num>
                  <m:sSup>
                    <m:e>
                      <m:r>
                        <m:t>d</m:t>
                      </m:r>
                    </m:e>
                    <m:sup>
                      <m:r>
                        <m:t>i</m:t>
                      </m:r>
                    </m:sup>
                  </m:sSup>
                  <m:r>
                    <m:rPr>
                      <m:sty m:val="p"/>
                    </m:rPr>
                    <m:t>−</m:t>
                  </m:r>
                  <m:r>
                    <m:t>1</m:t>
                  </m:r>
                </m:num>
                <m:den>
                  <m:r>
                    <m:t>d</m:t>
                  </m:r>
                  <m:r>
                    <m:rPr>
                      <m:sty m:val="p"/>
                    </m:rPr>
                    <m:t>−</m:t>
                  </m:r>
                  <m:r>
                    <m:t>1</m:t>
                  </m:r>
                </m:den>
              </m:f>
            </m:sup>
          </m:sSup>
          <m:r>
            <m:t> </m:t>
          </m:r>
          <m:r>
            <m:t> </m:t>
          </m:r>
          <m:d>
            <m:dPr>
              <m:begChr m:val="("/>
              <m:endChr m:val=")"/>
              <m:sepChr m:val=""/>
              <m:grow/>
            </m:dPr>
            <m:e>
              <m:r>
                <m:t>d</m:t>
              </m:r>
              <m:r>
                <m:rPr>
                  <m:sty m:val="p"/>
                </m:rPr>
                <m:t>≥</m:t>
              </m:r>
              <m:r>
                <m:t>2</m:t>
              </m:r>
            </m:e>
          </m:d>
          <m:r>
            <m:rPr>
              <m:sty m:val="p"/>
            </m:rPr>
            <m:t>,</m:t>
          </m:r>
          <m:r>
            <m:t>  </m:t>
          </m:r>
          <m:r>
            <m:rPr>
              <m:nor/>
              <m:sty m:val="p"/>
            </m:rPr>
            <m:t>so for </m:t>
          </m:r>
          <m:r>
            <m:t>d</m:t>
          </m:r>
          <m:r>
            <m:rPr>
              <m:sty m:val="p"/>
            </m:rPr>
            <m:t>=</m:t>
          </m:r>
          <m:r>
            <m:t>2</m:t>
          </m:r>
          <m:r>
            <m:rPr>
              <m:sty m:val="p"/>
            </m:rPr>
            <m:t>:</m:t>
          </m:r>
          <m:r>
            <m:t> </m:t>
          </m:r>
          <m:sSub>
            <m:e>
              <m:r>
                <m:t>s</m:t>
              </m:r>
            </m:e>
            <m:sub>
              <m:r>
                <m:t>i</m:t>
              </m:r>
            </m:sub>
          </m:sSub>
          <m:r>
            <m:rPr>
              <m:sty m:val="p"/>
            </m:rPr>
            <m:t>=</m:t>
          </m:r>
          <m:sSup>
            <m:e>
              <m:r>
                <m:t>λ</m:t>
              </m:r>
            </m:e>
            <m:sup>
              <m:sSup>
                <m:e>
                  <m:r>
                    <m:t>2</m:t>
                  </m:r>
                </m:e>
                <m:sup>
                  <m:r>
                    <m:t>i</m:t>
                  </m:r>
                </m:sup>
              </m:sSup>
              <m:r>
                <m:rPr>
                  <m:sty m:val="p"/>
                </m:rPr>
                <m:t>−</m:t>
              </m:r>
              <m:r>
                <m:t>1</m:t>
              </m:r>
            </m:sup>
          </m:sSup>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s</m:t>
                  </m:r>
                </m:e>
                <m:sub>
                  <m:r>
                    <m:t>i</m:t>
                  </m:r>
                </m:sub>
              </m:sSub>
            </m:oMath>
          </w:p>
        </w:tc>
        <w:tc>
          <w:tcPr/>
          <w:p>
            <w:pPr>
              <w:pStyle w:val="Compact"/>
              <w:jc w:val="left"/>
            </w:pPr>
            <w:r>
              <w:t xml:space="preserve">Fraction of servers with at least</w:t>
            </w:r>
            <w:r>
              <w:t xml:space="preserve"> </w:t>
            </w:r>
            <m:oMath>
              <m:r>
                <m:t>i</m:t>
              </m:r>
            </m:oMath>
            <w:r>
              <w:t xml:space="preserve"> </w:t>
            </w:r>
            <w:r>
              <w:t xml:space="preserve">requests (queued or in service)</w:t>
            </w:r>
          </w:p>
        </w:tc>
        <w:tc>
          <w:tcPr/>
          <w:p>
            <w:pPr>
              <w:pStyle w:val="Compact"/>
              <w:jc w:val="left"/>
            </w:pPr>
            <w:r>
              <w:t xml:space="preserve">dimensionless</w:t>
            </w:r>
          </w:p>
        </w:tc>
      </w:tr>
      <w:tr>
        <w:tc>
          <w:tcPr/>
          <w:p>
            <w:pPr>
              <w:pStyle w:val="Compact"/>
              <w:jc w:val="left"/>
            </w:pPr>
            <m:oMath>
              <m:r>
                <m:t>λ</m:t>
              </m:r>
            </m:oMath>
          </w:p>
        </w:tc>
        <w:tc>
          <w:tcPr/>
          <w:p>
            <w:pPr>
              <w:pStyle w:val="Compact"/>
              <w:jc w:val="left"/>
            </w:pPr>
            <w:r>
              <w:t xml:space="preserve">Utilization: arrival rate per server divided by service rate</w:t>
            </w:r>
          </w:p>
        </w:tc>
        <w:tc>
          <w:tcPr/>
          <w:p>
            <w:pPr>
              <w:pStyle w:val="Compact"/>
              <w:jc w:val="left"/>
            </w:pPr>
            <w:r>
              <w:t xml:space="preserve">dimensionless</w:t>
            </w:r>
          </w:p>
        </w:tc>
      </w:tr>
      <w:tr>
        <w:tc>
          <w:tcPr/>
          <w:p>
            <w:pPr>
              <w:pStyle w:val="Compact"/>
              <w:jc w:val="left"/>
            </w:pPr>
            <m:oMath>
              <m:r>
                <m:t>d</m:t>
              </m:r>
            </m:oMath>
          </w:p>
        </w:tc>
        <w:tc>
          <w:tcPr/>
          <w:p>
            <w:pPr>
              <w:pStyle w:val="Compact"/>
              <w:jc w:val="left"/>
            </w:pPr>
            <w:r>
              <w:t xml:space="preserve">Number of queues sampled per request</w:t>
            </w:r>
          </w:p>
        </w:tc>
        <w:tc>
          <w:tcPr/>
          <w:p>
            <w:pPr>
              <w:pStyle w:val="Compact"/>
              <w:jc w:val="left"/>
            </w:pPr>
            <w:r>
              <w:t xml:space="preserve">count</w:t>
            </w:r>
          </w:p>
        </w:tc>
      </w:tr>
      <w:tr>
        <w:tc>
          <w:tcPr/>
          <w:p>
            <w:pPr>
              <w:pStyle w:val="Compact"/>
              <w:jc w:val="left"/>
            </w:pPr>
            <m:oMath>
              <m:r>
                <m:t>i</m:t>
              </m:r>
            </m:oMath>
          </w:p>
        </w:tc>
        <w:tc>
          <w:tcPr/>
          <w:p>
            <w:pPr>
              <w:pStyle w:val="Compact"/>
              <w:jc w:val="left"/>
            </w:pPr>
            <w:r>
              <w:t xml:space="preserve">Queue-length threshold</w:t>
            </w:r>
          </w:p>
        </w:tc>
        <w:tc>
          <w:tcPr/>
          <w:p>
            <w:pPr>
              <w:pStyle w:val="Compact"/>
              <w:jc w:val="left"/>
            </w:pPr>
            <w:r>
              <w:t xml:space="preserve">requests</w:t>
            </w:r>
          </w:p>
        </w:tc>
      </w:tr>
    </w:tbl>
    <w:p>
      <w:pPr>
        <w:pStyle w:val="CalloutExample"/>
      </w:pPr>
      <w:r>
        <w:rPr>
          <w:bCs/>
          <w:b/>
        </w:rPr>
        <w:t xml:space="preserve">WORKED EXAMPLE</w:t>
      </w:r>
    </w:p>
    <w:p>
      <w:pPr>
        <w:pStyle w:val="CalloutExample"/>
      </w:pPr>
      <w:r>
        <w:rPr>
          <w:bCs/>
          <w:b/>
        </w:rPr>
        <w:t xml:space="preserve">Worked example — at 90% utilization.</w:t>
      </w:r>
      <w:r>
        <w:t xml:space="preserve"> </w:t>
      </w:r>
      <m:oMath>
        <m:r>
          <m:t>λ</m:t>
        </m:r>
        <m:r>
          <m:rPr>
            <m:sty m:val="p"/>
          </m:rPr>
          <m:t>=</m:t>
        </m:r>
        <m:r>
          <m:t>0.9</m:t>
        </m:r>
      </m:oMath>
      <w:r>
        <w:t xml:space="preserve">.</w:t>
      </w:r>
    </w:p>
    <w:p>
      <w:pPr>
        <w:numPr>
          <w:ilvl w:val="0"/>
          <w:numId w:val="1633"/>
        </w:numPr>
        <w:pStyle w:val="Compact"/>
      </w:pPr>
      <w:r>
        <w:t xml:space="preserve">Random (</w:t>
      </w:r>
      <m:oMath>
        <m:r>
          <m:t>d</m:t>
        </m:r>
        <m:r>
          <m:rPr>
            <m:sty m:val="p"/>
          </m:rPr>
          <m:t>=</m:t>
        </m:r>
        <m:r>
          <m:t>1</m:t>
        </m:r>
      </m:oMath>
      <w:r>
        <w:t xml:space="preserve">):</w:t>
      </w:r>
      <w:r>
        <w:t xml:space="preserve"> </w:t>
      </w:r>
      <m:oMath>
        <m:sSub>
          <m:e>
            <m:r>
              <m:t>s</m:t>
            </m:r>
          </m:e>
          <m:sub>
            <m:r>
              <m:t>5</m:t>
            </m:r>
          </m:sub>
        </m:sSub>
        <m:r>
          <m:rPr>
            <m:sty m:val="p"/>
          </m:rPr>
          <m:t>=</m:t>
        </m:r>
        <m:sSup>
          <m:e>
            <m:r>
              <m:t>0.9</m:t>
            </m:r>
          </m:e>
          <m:sup>
            <m:r>
              <m:t>5</m:t>
            </m:r>
          </m:sup>
        </m:sSup>
        <m:r>
          <m:rPr>
            <m:sty m:val="p"/>
          </m:rPr>
          <m:t>=</m:t>
        </m:r>
        <m:r>
          <m:t>0.59</m:t>
        </m:r>
      </m:oMath>
      <w:r>
        <w:t xml:space="preserve">, so 59% of servers have 5 or more requests.</w:t>
      </w:r>
      <w:r>
        <w:t xml:space="preserve"> </w:t>
      </w:r>
      <m:oMath>
        <m:sSub>
          <m:e>
            <m:r>
              <m:t>s</m:t>
            </m:r>
          </m:e>
          <m:sub>
            <m:r>
              <m:t>10</m:t>
            </m:r>
          </m:sub>
        </m:sSub>
        <m:r>
          <m:rPr>
            <m:sty m:val="p"/>
          </m:rPr>
          <m:t>=</m:t>
        </m:r>
        <m:sSup>
          <m:e>
            <m:r>
              <m:t>0.9</m:t>
            </m:r>
          </m:e>
          <m:sup>
            <m:r>
              <m:t>10</m:t>
            </m:r>
          </m:sup>
        </m:sSup>
        <m:r>
          <m:rPr>
            <m:sty m:val="p"/>
          </m:rPr>
          <m:t>=</m:t>
        </m:r>
        <m:r>
          <m:t>0.35</m:t>
        </m:r>
      </m:oMath>
      <w:r>
        <w:t xml:space="preserve">.</w:t>
      </w:r>
    </w:p>
    <w:p>
      <w:pPr>
        <w:numPr>
          <w:ilvl w:val="0"/>
          <w:numId w:val="1633"/>
        </w:numPr>
        <w:pStyle w:val="Compact"/>
      </w:pPr>
      <w:r>
        <w:t xml:space="preserve">Two choices:</w:t>
      </w:r>
      <w:r>
        <w:t xml:space="preserve"> </w:t>
      </w:r>
      <m:oMath>
        <m:sSub>
          <m:e>
            <m:r>
              <m:t>s</m:t>
            </m:r>
          </m:e>
          <m:sub>
            <m:r>
              <m:t>5</m:t>
            </m:r>
          </m:sub>
        </m:sSub>
        <m:r>
          <m:rPr>
            <m:sty m:val="p"/>
          </m:rPr>
          <m:t>=</m:t>
        </m:r>
        <m:sSup>
          <m:e>
            <m:r>
              <m:t>0.9</m:t>
            </m:r>
          </m:e>
          <m:sup>
            <m:sSup>
              <m:e>
                <m:r>
                  <m:t>2</m:t>
                </m:r>
              </m:e>
              <m:sup>
                <m:r>
                  <m:t>5</m:t>
                </m:r>
              </m:sup>
            </m:sSup>
            <m:r>
              <m:rPr>
                <m:sty m:val="p"/>
              </m:rPr>
              <m:t>−</m:t>
            </m:r>
            <m:r>
              <m:t>1</m:t>
            </m:r>
          </m:sup>
        </m:sSup>
        <m:r>
          <m:rPr>
            <m:sty m:val="p"/>
          </m:rPr>
          <m:t>=</m:t>
        </m:r>
        <m:sSup>
          <m:e>
            <m:r>
              <m:t>0.9</m:t>
            </m:r>
          </m:e>
          <m:sup>
            <m:r>
              <m:t>31</m:t>
            </m:r>
          </m:sup>
        </m:sSup>
        <m:r>
          <m:rPr>
            <m:sty m:val="p"/>
          </m:rPr>
          <m:t>=</m:t>
        </m:r>
        <m:r>
          <m:t>0.038</m:t>
        </m:r>
      </m:oMath>
      <w:r>
        <w:t xml:space="preserve">, so 3.8%.</w:t>
      </w:r>
      <w:r>
        <w:t xml:space="preserve"> </w:t>
      </w:r>
      <m:oMath>
        <m:sSub>
          <m:e>
            <m:r>
              <m:t>s</m:t>
            </m:r>
          </m:e>
          <m:sub>
            <m:r>
              <m:t>10</m:t>
            </m:r>
          </m:sub>
        </m:sSub>
        <m:r>
          <m:rPr>
            <m:sty m:val="p"/>
          </m:rPr>
          <m:t>=</m:t>
        </m:r>
        <m:sSup>
          <m:e>
            <m:r>
              <m:t>0.9</m:t>
            </m:r>
          </m:e>
          <m:sup>
            <m:r>
              <m:t>1023</m:t>
            </m:r>
          </m:sup>
        </m:sSup>
        <m:r>
          <m:rPr>
            <m:sty m:val="p"/>
          </m:rPr>
          <m:t>≈</m:t>
        </m:r>
        <m:sSup>
          <m:e>
            <m:r>
              <m:t>10</m:t>
            </m:r>
          </m:e>
          <m:sup>
            <m:r>
              <m:rPr>
                <m:sty m:val="p"/>
              </m:rPr>
              <m:t>−</m:t>
            </m:r>
            <m:r>
              <m:t>47</m:t>
            </m:r>
          </m:sup>
        </m:sSup>
      </m:oMath>
      <w:r>
        <w:t xml:space="preserve">: effectively never.</w:t>
      </w:r>
    </w:p>
    <w:p>
      <w:pPr>
        <w:pStyle w:val="CalloutExample"/>
      </w:pPr>
      <w:r>
        <w:rPr>
          <w:iCs/>
          <w:i/>
        </w:rPr>
        <w:t xml:space="preserve">Interpretation.</w:t>
      </w:r>
      <w:r>
        <w:t xml:space="preserve"> </w:t>
      </w:r>
      <w:r>
        <w:t xml:space="preserve">With one choice the tail decays geometrically; with two it decays</w:t>
      </w:r>
      <w:r>
        <w:t xml:space="preserve"> </w:t>
      </w:r>
      <w:r>
        <w:rPr>
          <w:bCs/>
          <w:b/>
        </w:rPr>
        <w:t xml:space="preserve">doubly exponentially</w:t>
      </w:r>
      <w:r>
        <w:t xml:space="preserve">.</w:t>
      </w:r>
      <w:r>
        <w:t xml:space="preserve"> </w:t>
      </w:r>
      <w:r>
        <w:rPr>
          <w:iCs/>
          <w:i/>
        </w:rPr>
        <w:t xml:space="preserve">Engineering implication.</w:t>
      </w:r>
      <w:r>
        <w:t xml:space="preserve"> </w:t>
      </w:r>
      <w:r>
        <w:t xml:space="preserve">At high utilization the difference is between a long tail of overloaded servers and none, which is exactly what p99 latency measures.</w:t>
      </w:r>
    </w:p>
    <w:bookmarkEnd w:id="2180"/>
    <w:bookmarkStart w:id="2181" w:name="code-example-23"/>
    <w:p>
      <w:pPr>
        <w:pStyle w:val="Heading4"/>
      </w:pPr>
      <w:r>
        <w:t xml:space="preserve">Code example</w:t>
      </w:r>
    </w:p>
    <w:p>
      <w:pPr>
        <w:pStyle w:val="SourceCode"/>
      </w:pPr>
      <w:r>
        <w:rPr>
          <w:rStyle w:val="CommentTok"/>
        </w:rPr>
        <w:t xml:space="preserve">"""Balls into bins: maximum load with d = 1, 2, 3 random choices."""</w:t>
      </w:r>
      <w:r>
        <w:br/>
      </w:r>
      <w:r>
        <w:rPr>
          <w:rStyle w:val="ImportTok"/>
        </w:rPr>
        <w:t xml:space="preserve">import</w:t>
      </w:r>
      <w:r>
        <w:rPr>
          <w:rStyle w:val="NormalTok"/>
        </w:rPr>
        <w:t xml:space="preserve"> math</w:t>
      </w:r>
      <w:r>
        <w:br/>
      </w:r>
      <w:r>
        <w:rPr>
          <w:rStyle w:val="ImportTok"/>
        </w:rPr>
        <w:t xml:space="preserve">import</w:t>
      </w:r>
      <w:r>
        <w:rPr>
          <w:rStyle w:val="NormalTok"/>
        </w:rPr>
        <w:t xml:space="preserve"> random</w:t>
      </w:r>
      <w:r>
        <w:br/>
      </w:r>
      <w:r>
        <w:br/>
      </w:r>
      <w:r>
        <w:br/>
      </w:r>
      <w:r>
        <w:rPr>
          <w:rStyle w:val="KeywordTok"/>
        </w:rPr>
        <w:t xml:space="preserve">def</w:t>
      </w:r>
      <w:r>
        <w:rPr>
          <w:rStyle w:val="NormalTok"/>
        </w:rPr>
        <w:t xml:space="preserve"> max_load(n: </w:t>
      </w:r>
      <w:r>
        <w:rPr>
          <w:rStyle w:val="BuiltInTok"/>
        </w:rPr>
        <w:t xml:space="preserve">int</w:t>
      </w:r>
      <w:r>
        <w:rPr>
          <w:rStyle w:val="NormalTok"/>
        </w:rPr>
        <w:t xml:space="preserve">, d: </w:t>
      </w:r>
      <w:r>
        <w:rPr>
          <w:rStyle w:val="BuiltInTok"/>
        </w:rPr>
        <w:t xml:space="preserve">int</w:t>
      </w:r>
      <w:r>
        <w:rPr>
          <w:rStyle w:val="NormalTok"/>
        </w:rPr>
        <w:t xml:space="preserve">, rng: random.Random)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"""Throw n balls into n bins; each ball goes to the least loaded of d random bins."""</w:t>
      </w:r>
      <w:r>
        <w:br/>
      </w:r>
      <w:r>
        <w:rPr>
          <w:rStyle w:val="NormalTok"/>
        </w:rPr>
        <w:t xml:space="preserve">    bins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n</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w:t>
      </w:r>
      <w:r>
        <w:rPr>
          <w:rStyle w:val="ControlFlowTok"/>
        </w:rPr>
        <w:t xml:space="preserve">if</w:t>
      </w:r>
      <w:r>
        <w:rPr>
          <w:rStyle w:val="NormalTok"/>
        </w:rPr>
        <w:t xml:space="preserve"> d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i </w:t>
      </w:r>
      <w:r>
        <w:rPr>
          <w:rStyle w:val="OperatorTok"/>
        </w:rPr>
        <w:t xml:space="preserve">=</w:t>
      </w:r>
      <w:r>
        <w:rPr>
          <w:rStyle w:val="NormalTok"/>
        </w:rPr>
        <w:t xml:space="preserve"> rng.randrange(n)</w:t>
      </w:r>
      <w:r>
        <w:br/>
      </w:r>
      <w:r>
        <w:rPr>
          <w:rStyle w:val="NormalTok"/>
        </w:rPr>
        <w:t xml:space="preserve">        </w:t>
      </w:r>
      <w:r>
        <w:rPr>
          <w:rStyle w:val="ControlFlowTok"/>
        </w:rPr>
        <w:t xml:space="preserve">else</w:t>
      </w:r>
      <w:r>
        <w:rPr>
          <w:rStyle w:val="NormalTok"/>
        </w:rPr>
        <w:t xml:space="preserve">:</w:t>
      </w:r>
      <w:r>
        <w:br/>
      </w:r>
      <w:r>
        <w:rPr>
          <w:rStyle w:val="NormalTok"/>
        </w:rPr>
        <w:t xml:space="preserve">            i </w:t>
      </w:r>
      <w:r>
        <w:rPr>
          <w:rStyle w:val="OperatorTok"/>
        </w:rPr>
        <w:t xml:space="preserve">=</w:t>
      </w:r>
      <w:r>
        <w:rPr>
          <w:rStyle w:val="NormalTok"/>
        </w:rPr>
        <w:t xml:space="preserve"> </w:t>
      </w:r>
      <w:r>
        <w:rPr>
          <w:rStyle w:val="BuiltInTok"/>
        </w:rPr>
        <w:t xml:space="preserve">min</w:t>
      </w:r>
      <w:r>
        <w:rPr>
          <w:rStyle w:val="NormalTok"/>
        </w:rPr>
        <w:t xml:space="preserve">((rng.randrange(n)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(d)), key</w:t>
      </w:r>
      <w:r>
        <w:rPr>
          <w:rStyle w:val="OperatorTok"/>
        </w:rPr>
        <w:t xml:space="preserve">=</w:t>
      </w:r>
      <w:r>
        <w:rPr>
          <w:rStyle w:val="NormalTok"/>
        </w:rPr>
        <w:t xml:space="preserve">bins.</w:t>
      </w:r>
      <w:r>
        <w:rPr>
          <w:rStyle w:val="FunctionTok"/>
        </w:rPr>
        <w:t xml:space="preserve">__getitem__</w:t>
      </w:r>
      <w:r>
        <w:rPr>
          <w:rStyle w:val="NormalTok"/>
        </w:rPr>
        <w:t xml:space="preserve">)</w:t>
      </w:r>
      <w:r>
        <w:br/>
      </w:r>
      <w:r>
        <w:rPr>
          <w:rStyle w:val="NormalTok"/>
        </w:rPr>
        <w:t xml:space="preserve">        bins[i]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w:t>
      </w:r>
      <w:r>
        <w:rPr>
          <w:rStyle w:val="BuiltInTok"/>
        </w:rPr>
        <w:t xml:space="preserve">max</w:t>
      </w:r>
      <w:r>
        <w:rPr>
          <w:rStyle w:val="NormalTok"/>
        </w:rPr>
        <w:t xml:space="preserve">(bins)</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rng </w:t>
      </w:r>
      <w:r>
        <w:rPr>
          <w:rStyle w:val="OperatorTok"/>
        </w:rPr>
        <w:t xml:space="preserve">=</w:t>
      </w:r>
      <w:r>
        <w:rPr>
          <w:rStyle w:val="NormalTok"/>
        </w:rPr>
        <w:t xml:space="preserve"> random.Random(</w:t>
      </w:r>
      <w:r>
        <w:rPr>
          <w:rStyle w:val="DecValTok"/>
        </w:rPr>
        <w:t xml:space="preserve">42</w:t>
      </w:r>
      <w:r>
        <w:rPr>
          <w:rStyle w:val="NormalTok"/>
        </w:rPr>
        <w:t xml:space="preserve">)</w:t>
      </w:r>
      <w:r>
        <w:br/>
      </w:r>
      <w:r>
        <w:rPr>
          <w:rStyle w:val="NormalTok"/>
        </w:rPr>
        <w:t xml:space="preserve">    trials </w:t>
      </w:r>
      <w:r>
        <w:rPr>
          <w:rStyle w:val="OperatorTok"/>
        </w:rPr>
        <w:t xml:space="preserve">=</w:t>
      </w:r>
      <w:r>
        <w:rPr>
          <w:rStyle w:val="NormalTok"/>
        </w:rPr>
        <w:t xml:space="preserve"> </w:t>
      </w:r>
      <w:r>
        <w:rPr>
          <w:rStyle w:val="DecValTok"/>
        </w:rPr>
        <w:t xml:space="preserve">5</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'n'</w:t>
      </w:r>
      <w:r>
        <w:rPr>
          <w:rStyle w:val="SpecialCharTok"/>
        </w:rPr>
        <w:t xml:space="preserve">:&gt;9}</w:t>
      </w:r>
      <w:r>
        <w:rPr>
          <w:rStyle w:val="SpecialStringTok"/>
        </w:rPr>
        <w:t xml:space="preserve"> | </w:t>
      </w:r>
      <w:r>
        <w:rPr>
          <w:rStyle w:val="SpecialCharTok"/>
        </w:rPr>
        <w:t xml:space="preserve">{</w:t>
      </w:r>
      <w:r>
        <w:rPr>
          <w:rStyle w:val="StringTok"/>
        </w:rPr>
        <w:t xml:space="preserve">'d=1'</w:t>
      </w:r>
      <w:r>
        <w:rPr>
          <w:rStyle w:val="SpecialCharTok"/>
        </w:rPr>
        <w:t xml:space="preserve">:&gt;5}</w:t>
      </w:r>
      <w:r>
        <w:rPr>
          <w:rStyle w:val="SpecialStringTok"/>
        </w:rPr>
        <w:t xml:space="preserve"> </w:t>
      </w:r>
      <w:r>
        <w:rPr>
          <w:rStyle w:val="SpecialCharTok"/>
        </w:rPr>
        <w:t xml:space="preserve">{</w:t>
      </w:r>
      <w:r>
        <w:rPr>
          <w:rStyle w:val="StringTok"/>
        </w:rPr>
        <w:t xml:space="preserve">'d=2'</w:t>
      </w:r>
      <w:r>
        <w:rPr>
          <w:rStyle w:val="SpecialCharTok"/>
        </w:rPr>
        <w:t xml:space="preserve">:&gt;5}</w:t>
      </w:r>
      <w:r>
        <w:rPr>
          <w:rStyle w:val="SpecialStringTok"/>
        </w:rPr>
        <w:t xml:space="preserve"> </w:t>
      </w:r>
      <w:r>
        <w:rPr>
          <w:rStyle w:val="SpecialCharTok"/>
        </w:rPr>
        <w:t xml:space="preserve">{</w:t>
      </w:r>
      <w:r>
        <w:rPr>
          <w:rStyle w:val="StringTok"/>
        </w:rPr>
        <w:t xml:space="preserve">'d=3'</w:t>
      </w:r>
      <w:r>
        <w:rPr>
          <w:rStyle w:val="SpecialCharTok"/>
        </w:rPr>
        <w:t xml:space="preserve">:&gt;5}</w:t>
      </w:r>
      <w:r>
        <w:rPr>
          <w:rStyle w:val="SpecialStringTok"/>
        </w:rPr>
        <w:t xml:space="preserve"> | "</w:t>
      </w:r>
      <w:r>
        <w:br/>
      </w:r>
      <w:r>
        <w:rPr>
          <w:rStyle w:val="NormalTok"/>
        </w:rPr>
        <w:t xml:space="preserve">          </w:t>
      </w:r>
      <w:r>
        <w:rPr>
          <w:rStyle w:val="SpecialStringTok"/>
        </w:rPr>
        <w:t xml:space="preserve">f"</w:t>
      </w:r>
      <w:r>
        <w:rPr>
          <w:rStyle w:val="SpecialCharTok"/>
        </w:rPr>
        <w:t xml:space="preserve">{</w:t>
      </w:r>
      <w:r>
        <w:rPr>
          <w:rStyle w:val="StringTok"/>
        </w:rPr>
        <w:t xml:space="preserve">'ln n/ln ln n'</w:t>
      </w:r>
      <w:r>
        <w:rPr>
          <w:rStyle w:val="SpecialCharTok"/>
        </w:rPr>
        <w:t xml:space="preserve">:&gt;12}</w:t>
      </w:r>
      <w:r>
        <w:rPr>
          <w:rStyle w:val="SpecialStringTok"/>
        </w:rPr>
        <w:t xml:space="preserve"> </w:t>
      </w:r>
      <w:r>
        <w:rPr>
          <w:rStyle w:val="SpecialCharTok"/>
        </w:rPr>
        <w:t xml:space="preserve">{</w:t>
      </w:r>
      <w:r>
        <w:rPr>
          <w:rStyle w:val="StringTok"/>
        </w:rPr>
        <w:t xml:space="preserve">'ln ln n/ln 2'</w:t>
      </w:r>
      <w:r>
        <w:rPr>
          <w:rStyle w:val="SpecialCharTok"/>
        </w:rPr>
        <w:t xml:space="preserve">:&gt;12}</w:t>
      </w:r>
      <w:r>
        <w:rPr>
          <w:rStyle w:val="SpecialStringTok"/>
        </w:rPr>
        <w:t xml:space="preserve"> </w:t>
      </w:r>
      <w:r>
        <w:rPr>
          <w:rStyle w:val="SpecialCharTok"/>
        </w:rPr>
        <w:t xml:space="preserve">{</w:t>
      </w:r>
      <w:r>
        <w:rPr>
          <w:rStyle w:val="StringTok"/>
        </w:rPr>
        <w:t xml:space="preserve">'ln ln n/ln 3'</w:t>
      </w:r>
      <w:r>
        <w:rPr>
          <w:rStyle w:val="SpecialCharTok"/>
        </w:rPr>
        <w:t xml:space="preserve">:&gt;12}</w:t>
      </w:r>
      <w:r>
        <w:rPr>
          <w:rStyle w:val="Speci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DecValTok"/>
        </w:rPr>
        <w:t xml:space="preserve">1_000</w:t>
      </w:r>
      <w:r>
        <w:rPr>
          <w:rStyle w:val="NormalTok"/>
        </w:rPr>
        <w:t xml:space="preserve">, </w:t>
      </w:r>
      <w:r>
        <w:rPr>
          <w:rStyle w:val="DecValTok"/>
        </w:rPr>
        <w:t xml:space="preserve">10_000</w:t>
      </w:r>
      <w:r>
        <w:rPr>
          <w:rStyle w:val="NormalTok"/>
        </w:rPr>
        <w:t xml:space="preserve">, </w:t>
      </w:r>
      <w:r>
        <w:rPr>
          <w:rStyle w:val="DecValTok"/>
        </w:rPr>
        <w:t xml:space="preserve">100_000</w:t>
      </w:r>
      <w:r>
        <w:rPr>
          <w:rStyle w:val="NormalTok"/>
        </w:rPr>
        <w:t xml:space="preserve">, </w:t>
      </w:r>
      <w:r>
        <w:rPr>
          <w:rStyle w:val="DecValTok"/>
        </w:rPr>
        <w:t xml:space="preserve">1_000_000</w:t>
      </w:r>
      <w:r>
        <w:rPr>
          <w:rStyle w:val="NormalTok"/>
        </w:rPr>
        <w:t xml:space="preserve">):</w:t>
      </w:r>
      <w:r>
        <w:br/>
      </w:r>
      <w:r>
        <w:rPr>
          <w:rStyle w:val="NormalTok"/>
        </w:rPr>
        <w:t xml:space="preserve">        t </w:t>
      </w:r>
      <w:r>
        <w:rPr>
          <w:rStyle w:val="OperatorTok"/>
        </w:rPr>
        <w:t xml:space="preserve">=</w:t>
      </w:r>
      <w:r>
        <w:rPr>
          <w:rStyle w:val="NormalTok"/>
        </w:rPr>
        <w:t xml:space="preserve"> trials </w:t>
      </w:r>
      <w:r>
        <w:rPr>
          <w:rStyle w:val="ControlFlowTok"/>
        </w:rPr>
        <w:t xml:space="preserve">if</w:t>
      </w:r>
      <w:r>
        <w:rPr>
          <w:rStyle w:val="NormalTok"/>
        </w:rPr>
        <w:t xml:space="preserve"> n </w:t>
      </w:r>
      <w:r>
        <w:rPr>
          <w:rStyle w:val="OperatorTok"/>
        </w:rPr>
        <w:t xml:space="preserve">&lt;</w:t>
      </w:r>
      <w:r>
        <w:rPr>
          <w:rStyle w:val="NormalTok"/>
        </w:rPr>
        <w:t xml:space="preserve"> </w:t>
      </w:r>
      <w:r>
        <w:rPr>
          <w:rStyle w:val="DecValTok"/>
        </w:rPr>
        <w:t xml:space="preserve">1_000_000</w:t>
      </w:r>
      <w:r>
        <w:rPr>
          <w:rStyle w:val="NormalTok"/>
        </w:rPr>
        <w:t xml:space="preserve"> </w:t>
      </w:r>
      <w:r>
        <w:rPr>
          <w:rStyle w:val="ControlFlowTok"/>
        </w:rPr>
        <w:t xml:space="preserve">else</w:t>
      </w:r>
      <w:r>
        <w:rPr>
          <w:rStyle w:val="NormalTok"/>
        </w:rPr>
        <w:t xml:space="preserve"> </w:t>
      </w:r>
      <w:r>
        <w:rPr>
          <w:rStyle w:val="DecValTok"/>
        </w:rPr>
        <w:t xml:space="preserve">2</w:t>
      </w:r>
      <w:r>
        <w:br/>
      </w:r>
      <w:r>
        <w:rPr>
          <w:rStyle w:val="NormalTok"/>
        </w:rPr>
        <w:t xml:space="preserve">        row </w:t>
      </w:r>
      <w:r>
        <w:rPr>
          <w:rStyle w:val="OperatorTok"/>
        </w:rPr>
        <w:t xml:space="preserve">=</w:t>
      </w:r>
      <w:r>
        <w:rPr>
          <w:rStyle w:val="NormalTok"/>
        </w:rPr>
        <w:t xml:space="preserve"> [</w:t>
      </w:r>
      <w:r>
        <w:rPr>
          <w:rStyle w:val="BuiltInTok"/>
        </w:rPr>
        <w:t xml:space="preserve">sum</w:t>
      </w:r>
      <w:r>
        <w:rPr>
          <w:rStyle w:val="NormalTok"/>
        </w:rPr>
        <w:t xml:space="preserve">(max_load(n, d, rng)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(t)) </w:t>
      </w:r>
      <w:r>
        <w:rPr>
          <w:rStyle w:val="OperatorTok"/>
        </w:rPr>
        <w:t xml:space="preserve">/</w:t>
      </w:r>
      <w:r>
        <w:rPr>
          <w:rStyle w:val="NormalTok"/>
        </w:rPr>
        <w:t xml:space="preserve"> t </w:t>
      </w:r>
      <w:r>
        <w:rPr>
          <w:rStyle w:val="ControlFlowTok"/>
        </w:rPr>
        <w:t xml:space="preserve">for</w:t>
      </w:r>
      <w:r>
        <w:rPr>
          <w:rStyle w:val="NormalTok"/>
        </w:rPr>
        <w:t xml:space="preserve"> d </w:t>
      </w:r>
      <w:r>
        <w:rPr>
          <w:rStyle w:val="KeywordTok"/>
        </w:rPr>
        <w:t xml:space="preserve">in</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NormalTok"/>
        </w:rPr>
        <w:t xml:space="preserve">        lnln </w:t>
      </w:r>
      <w:r>
        <w:rPr>
          <w:rStyle w:val="OperatorTok"/>
        </w:rPr>
        <w:t xml:space="preserve">=</w:t>
      </w:r>
      <w:r>
        <w:rPr>
          <w:rStyle w:val="NormalTok"/>
        </w:rPr>
        <w:t xml:space="preserve"> math.log(math.log(n))</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w:t>
      </w:r>
      <w:r>
        <w:rPr>
          <w:rStyle w:val="SpecialCharTok"/>
        </w:rPr>
        <w:t xml:space="preserve">:&gt;9,}</w:t>
      </w:r>
      <w:r>
        <w:rPr>
          <w:rStyle w:val="SpecialStringTok"/>
        </w:rPr>
        <w:t xml:space="preserve"> | </w:t>
      </w:r>
      <w:r>
        <w:rPr>
          <w:rStyle w:val="SpecialCharTok"/>
        </w:rPr>
        <w:t xml:space="preserve">{</w:t>
      </w:r>
      <w:r>
        <w:rPr>
          <w:rStyle w:val="NormalTok"/>
        </w:rPr>
        <w:t xml:space="preserve">row[</w:t>
      </w:r>
      <w:r>
        <w:rPr>
          <w:rStyle w:val="DecValTok"/>
        </w:rPr>
        <w:t xml:space="preserve">0</w:t>
      </w:r>
      <w:r>
        <w:rPr>
          <w:rStyle w:val="NormalTok"/>
        </w:rPr>
        <w:t xml:space="preserve">]</w:t>
      </w:r>
      <w:r>
        <w:rPr>
          <w:rStyle w:val="SpecialCharTok"/>
        </w:rPr>
        <w:t xml:space="preserve">:5.1f}</w:t>
      </w:r>
      <w:r>
        <w:rPr>
          <w:rStyle w:val="SpecialStringTok"/>
        </w:rPr>
        <w:t xml:space="preserve"> </w:t>
      </w:r>
      <w:r>
        <w:rPr>
          <w:rStyle w:val="SpecialCharTok"/>
        </w:rPr>
        <w:t xml:space="preserve">{</w:t>
      </w:r>
      <w:r>
        <w:rPr>
          <w:rStyle w:val="NormalTok"/>
        </w:rPr>
        <w:t xml:space="preserve">row[</w:t>
      </w:r>
      <w:r>
        <w:rPr>
          <w:rStyle w:val="DecValTok"/>
        </w:rPr>
        <w:t xml:space="preserve">1</w:t>
      </w:r>
      <w:r>
        <w:rPr>
          <w:rStyle w:val="NormalTok"/>
        </w:rPr>
        <w:t xml:space="preserve">]</w:t>
      </w:r>
      <w:r>
        <w:rPr>
          <w:rStyle w:val="SpecialCharTok"/>
        </w:rPr>
        <w:t xml:space="preserve">:5.1f}</w:t>
      </w:r>
      <w:r>
        <w:rPr>
          <w:rStyle w:val="SpecialStringTok"/>
        </w:rPr>
        <w:t xml:space="preserve"> </w:t>
      </w:r>
      <w:r>
        <w:rPr>
          <w:rStyle w:val="SpecialCharTok"/>
        </w:rPr>
        <w:t xml:space="preserve">{</w:t>
      </w:r>
      <w:r>
        <w:rPr>
          <w:rStyle w:val="NormalTok"/>
        </w:rPr>
        <w:t xml:space="preserve">row[</w:t>
      </w:r>
      <w:r>
        <w:rPr>
          <w:rStyle w:val="DecValTok"/>
        </w:rPr>
        <w:t xml:space="preserve">2</w:t>
      </w:r>
      <w:r>
        <w:rPr>
          <w:rStyle w:val="NormalTok"/>
        </w:rPr>
        <w:t xml:space="preserve">]</w:t>
      </w:r>
      <w:r>
        <w:rPr>
          <w:rStyle w:val="SpecialCharTok"/>
        </w:rPr>
        <w:t xml:space="preserve">:5.1f}</w:t>
      </w:r>
      <w:r>
        <w:rPr>
          <w:rStyle w:val="SpecialStringTok"/>
        </w:rPr>
        <w:t xml:space="preserve"> | "</w:t>
      </w:r>
      <w:r>
        <w:br/>
      </w:r>
      <w:r>
        <w:rPr>
          <w:rStyle w:val="NormalTok"/>
        </w:rPr>
        <w:t xml:space="preserve">              </w:t>
      </w:r>
      <w:r>
        <w:rPr>
          <w:rStyle w:val="SpecialStringTok"/>
        </w:rPr>
        <w:t xml:space="preserve">f"</w:t>
      </w:r>
      <w:r>
        <w:rPr>
          <w:rStyle w:val="SpecialCharTok"/>
        </w:rPr>
        <w:t xml:space="preserve">{</w:t>
      </w:r>
      <w:r>
        <w:rPr>
          <w:rStyle w:val="NormalTok"/>
        </w:rPr>
        <w:t xml:space="preserve">math</w:t>
      </w:r>
      <w:r>
        <w:rPr>
          <w:rStyle w:val="SpecialCharTok"/>
        </w:rPr>
        <w:t xml:space="preserve">.</w:t>
      </w:r>
      <w:r>
        <w:rPr>
          <w:rStyle w:val="NormalTok"/>
        </w:rPr>
        <w:t xml:space="preserve">log(n) </w:t>
      </w:r>
      <w:r>
        <w:rPr>
          <w:rStyle w:val="OperatorTok"/>
        </w:rPr>
        <w:t xml:space="preserve">/</w:t>
      </w:r>
      <w:r>
        <w:rPr>
          <w:rStyle w:val="NormalTok"/>
        </w:rPr>
        <w:t xml:space="preserve"> lnln</w:t>
      </w:r>
      <w:r>
        <w:rPr>
          <w:rStyle w:val="SpecialCharTok"/>
        </w:rPr>
        <w:t xml:space="preserve">:12.2f}</w:t>
      </w:r>
      <w:r>
        <w:rPr>
          <w:rStyle w:val="SpecialStringTok"/>
        </w:rPr>
        <w:t xml:space="preserve"> </w:t>
      </w:r>
      <w:r>
        <w:rPr>
          <w:rStyle w:val="SpecialCharTok"/>
        </w:rPr>
        <w:t xml:space="preserve">{</w:t>
      </w:r>
      <w:r>
        <w:rPr>
          <w:rStyle w:val="NormalTok"/>
        </w:rPr>
        <w:t xml:space="preserve">lnln </w:t>
      </w:r>
      <w:r>
        <w:rPr>
          <w:rStyle w:val="OperatorTok"/>
        </w:rPr>
        <w:t xml:space="preserve">/</w:t>
      </w:r>
      <w:r>
        <w:rPr>
          <w:rStyle w:val="NormalTok"/>
        </w:rPr>
        <w:t xml:space="preserve"> math</w:t>
      </w:r>
      <w:r>
        <w:rPr>
          <w:rStyle w:val="SpecialCharTok"/>
        </w:rPr>
        <w:t xml:space="preserve">.</w:t>
      </w:r>
      <w:r>
        <w:rPr>
          <w:rStyle w:val="NormalTok"/>
        </w:rPr>
        <w:t xml:space="preserve">log(</w:t>
      </w:r>
      <w:r>
        <w:rPr>
          <w:rStyle w:val="DecValTok"/>
        </w:rPr>
        <w:t xml:space="preserve">2</w:t>
      </w:r>
      <w:r>
        <w:rPr>
          <w:rStyle w:val="NormalTok"/>
        </w:rPr>
        <w:t xml:space="preserve">)</w:t>
      </w:r>
      <w:r>
        <w:rPr>
          <w:rStyle w:val="SpecialCharTok"/>
        </w:rPr>
        <w:t xml:space="preserve">:12.2f}</w:t>
      </w:r>
      <w:r>
        <w:rPr>
          <w:rStyle w:val="SpecialStringTok"/>
        </w:rPr>
        <w:t xml:space="preserve"> </w:t>
      </w:r>
      <w:r>
        <w:rPr>
          <w:rStyle w:val="SpecialCharTok"/>
        </w:rPr>
        <w:t xml:space="preserve">{</w:t>
      </w:r>
      <w:r>
        <w:rPr>
          <w:rStyle w:val="NormalTok"/>
        </w:rPr>
        <w:t xml:space="preserve">lnln </w:t>
      </w:r>
      <w:r>
        <w:rPr>
          <w:rStyle w:val="OperatorTok"/>
        </w:rPr>
        <w:t xml:space="preserve">/</w:t>
      </w:r>
      <w:r>
        <w:rPr>
          <w:rStyle w:val="NormalTok"/>
        </w:rPr>
        <w:t xml:space="preserve"> math</w:t>
      </w:r>
      <w:r>
        <w:rPr>
          <w:rStyle w:val="SpecialCharTok"/>
        </w:rPr>
        <w:t xml:space="preserve">.</w:t>
      </w:r>
      <w:r>
        <w:rPr>
          <w:rStyle w:val="NormalTok"/>
        </w:rPr>
        <w:t xml:space="preserve">log(</w:t>
      </w:r>
      <w:r>
        <w:rPr>
          <w:rStyle w:val="DecValTok"/>
        </w:rPr>
        <w:t xml:space="preserve">3</w:t>
      </w:r>
      <w:r>
        <w:rPr>
          <w:rStyle w:val="NormalTok"/>
        </w:rPr>
        <w:t xml:space="preserve">)</w:t>
      </w:r>
      <w:r>
        <w:rPr>
          <w:rStyle w:val="SpecialCharTok"/>
        </w:rPr>
        <w:t xml:space="preserve">:12.2f}</w:t>
      </w:r>
      <w:r>
        <w:rPr>
          <w:rStyle w:val="SpecialStringTok"/>
        </w:rPr>
        <w:t xml:space="preserve">"</w:t>
      </w:r>
      <w:r>
        <w:rPr>
          <w:rStyle w:val="NormalTok"/>
        </w:rPr>
        <w:t xml:space="preserve">)</w:t>
      </w:r>
    </w:p>
    <w:p>
      <w:pPr>
        <w:pStyle w:val="FirstParagraph"/>
      </w:pPr>
      <w:r>
        <w:t xml:space="preserve">Output (Python 3.13):</w:t>
      </w:r>
    </w:p>
    <w:p>
      <w:pPr>
        <w:pStyle w:val="SourceCode"/>
      </w:pPr>
      <w:r>
        <w:rPr>
          <w:rStyle w:val="VerbatimChar"/>
        </w:rPr>
        <w:t xml:space="preserve">        n |   d=1   d=2   d=3 | ln n/ln ln n ln ln n/ln 2 ln ln n/ln 3</w:t>
      </w:r>
      <w:r>
        <w:br/>
      </w:r>
      <w:r>
        <w:rPr>
          <w:rStyle w:val="VerbatimChar"/>
        </w:rPr>
        <w:t xml:space="preserve">    1,000 |   5.4   3.0   2.2 |         3.57         2.79         1.76</w:t>
      </w:r>
      <w:r>
        <w:br/>
      </w:r>
      <w:r>
        <w:rPr>
          <w:rStyle w:val="VerbatimChar"/>
        </w:rPr>
        <w:t xml:space="preserve">   10,000 |   6.6   3.0   3.0 |         4.15         3.20         2.02</w:t>
      </w:r>
      <w:r>
        <w:br/>
      </w:r>
      <w:r>
        <w:rPr>
          <w:rStyle w:val="VerbatimChar"/>
        </w:rPr>
        <w:t xml:space="preserve">  100,000 |   7.4   3.2   3.0 |         4.71         3.53         2.22</w:t>
      </w:r>
      <w:r>
        <w:br/>
      </w:r>
      <w:r>
        <w:rPr>
          <w:rStyle w:val="VerbatimChar"/>
        </w:rPr>
        <w:t xml:space="preserve">1,000,000 |   9.0   4.0   3.0 |         5.26         3.79         2.39</w:t>
      </w:r>
    </w:p>
    <w:p>
      <w:pPr>
        <w:pStyle w:val="FirstParagraph"/>
      </w:pPr>
      <w:r>
        <w:t xml:space="preserve">What to notice:</w:t>
      </w:r>
    </w:p>
    <w:p>
      <w:pPr>
        <w:numPr>
          <w:ilvl w:val="0"/>
          <w:numId w:val="1634"/>
        </w:numPr>
        <w:pStyle w:val="Compact"/>
      </w:pPr>
      <w:r>
        <w:t xml:space="preserve">Going from</w:t>
      </w:r>
      <w:r>
        <w:t xml:space="preserve"> </w:t>
      </w:r>
      <m:oMath>
        <m:sSup>
          <m:e>
            <m:r>
              <m:t>10</m:t>
            </m:r>
          </m:e>
          <m:sup>
            <m:r>
              <m:t>3</m:t>
            </m:r>
          </m:sup>
        </m:sSup>
      </m:oMath>
      <w:r>
        <w:t xml:space="preserve"> </w:t>
      </w:r>
      <w:r>
        <w:t xml:space="preserve">to</w:t>
      </w:r>
      <w:r>
        <w:t xml:space="preserve"> </w:t>
      </w:r>
      <m:oMath>
        <m:sSup>
          <m:e>
            <m:r>
              <m:t>10</m:t>
            </m:r>
          </m:e>
          <m:sup>
            <m:r>
              <m:t>6</m:t>
            </m:r>
          </m:sup>
        </m:sSup>
      </m:oMath>
      <w:r>
        <w:t xml:space="preserve"> </w:t>
      </w:r>
      <w:r>
        <w:t xml:space="preserve">bins, the one-choice maximum grows from 5.4 to 9.0; the two-choice maximum barely moves (3.0 to 4.0).</w:t>
      </w:r>
    </w:p>
    <w:p>
      <w:pPr>
        <w:numPr>
          <w:ilvl w:val="0"/>
          <w:numId w:val="1634"/>
        </w:numPr>
        <w:pStyle w:val="Compact"/>
      </w:pPr>
      <w:r>
        <w:t xml:space="preserve">The measured values sit above the leading terms by a roughly constant amount, the</w:t>
      </w:r>
      <w:r>
        <w:t xml:space="preserve"> </w:t>
      </w:r>
      <m:oMath>
        <m:r>
          <m:t>Θ</m:t>
        </m:r>
        <m:d>
          <m:dPr>
            <m:begChr m:val="("/>
            <m:endChr m:val=")"/>
            <m:sepChr m:val=""/>
            <m:grow/>
          </m:dPr>
          <m:e>
            <m:r>
              <m:t>1</m:t>
            </m:r>
          </m:e>
        </m:d>
      </m:oMath>
      <w:r>
        <w:t xml:space="preserve"> </w:t>
      </w:r>
      <w:r>
        <w:t xml:space="preserve">and</w:t>
      </w:r>
      <w:r>
        <w:t xml:space="preserve"> </w:t>
      </w:r>
      <m:oMath>
        <m:r>
          <m:t>o</m:t>
        </m:r>
        <m:d>
          <m:dPr>
            <m:begChr m:val="("/>
            <m:endChr m:val=")"/>
            <m:sepChr m:val=""/>
            <m:grow/>
          </m:dPr>
          <m:e>
            <m:r>
              <m:t>1</m:t>
            </m:r>
          </m:e>
        </m:d>
      </m:oMath>
      <w:r>
        <w:t xml:space="preserve"> </w:t>
      </w:r>
      <w:r>
        <w:t xml:space="preserve">terms.</w:t>
      </w:r>
    </w:p>
    <w:p>
      <w:pPr>
        <w:pStyle w:val="CalloutIndustry"/>
      </w:pPr>
      <w:r>
        <w:rPr>
          <w:bCs/>
          <w:b/>
        </w:rPr>
        <w:t xml:space="preserve">INDUSTRY EXAMPLE</w:t>
      </w:r>
    </w:p>
    <w:p>
      <w:pPr>
        <w:pStyle w:val="CalloutIndustry"/>
      </w:pPr>
      <w:r>
        <w:rPr>
          <w:bCs/>
          <w:b/>
        </w:rPr>
        <w:t xml:space="preserve">Envoy and NGINX ship P2C.</w:t>
      </w:r>
      <w:r>
        <w:t xml:space="preserve"> </w:t>
      </w:r>
      <w:r>
        <w:t xml:space="preserve">Envoy’s default least-request balancer, when all hosts have equal weight, picks two random hosts and chooses the one with fewer active requests; the number of choices is configurable. NGINX supports</w:t>
      </w:r>
      <w:r>
        <w:t xml:space="preserve"> </w:t>
      </w:r>
      <w:r>
        <w:rPr>
          <w:rStyle w:val="VerbatimChar"/>
        </w:rPr>
        <w:t xml:space="preserve">random two least_conn</w:t>
      </w:r>
      <w:r>
        <w:t xml:space="preserve">, which its documentation recommends for setups in which several balancers serve the same backends (as of 2026).</w:t>
      </w:r>
      <w:r>
        <w:t xml:space="preserve"> </w:t>
      </w:r>
      <w:r>
        <w:rPr>
          <w:iCs/>
          <w:i/>
        </w:rPr>
        <w:t xml:space="preserve">Evidence: Primary</w:t>
      </w:r>
      <w:r>
        <w:t xml:space="preserve"> </w:t>
      </w:r>
      <w:r>
        <w:t xml:space="preserve">— [Envoy Docs: Load balancers; NGINX Docs: ngx_http_upstream_module]</w:t>
      </w:r>
    </w:p>
    <w:bookmarkEnd w:id="2181"/>
    <w:bookmarkEnd w:id="2182"/>
    <w:bookmarkStart w:id="2183" w:name="X74074f932eebc163a6e55a6ec839916722b9e5f"/>
    <w:p>
      <w:pPr>
        <w:pStyle w:val="Heading3"/>
      </w:pPr>
      <w:r>
        <w:t xml:space="preserve">19.4.5 Simulation: algorithms on heterogeneous servers</w:t>
      </w:r>
    </w:p>
    <w:p>
      <w:pPr>
        <w:pStyle w:val="FirstParagraph"/>
      </w:pPr>
      <w:r>
        <w:t xml:space="preserve">Real fleets are mixed. The simulation below has ten FIFO servers, five of rate 1 and five of rate 2 (capacity 15 requests per time unit), Poisson arrivals and exponential service. It records the</w:t>
      </w:r>
      <w:r>
        <w:t xml:space="preserve"> </w:t>
      </w:r>
      <w:r>
        <w:rPr>
          <w:bCs/>
          <w:b/>
        </w:rPr>
        <w:t xml:space="preserve">queue length each request finds</w:t>
      </w:r>
      <w:r>
        <w:t xml:space="preserve"> </w:t>
      </w:r>
      <w:r>
        <w:t xml:space="preserve">at its chosen server and its latency, and reports mean, p99 and maximum after a warm-up. The third experiment refreshes the load view only every 2 time units, modeling many balancers that share periodic load reports.</w:t>
      </w:r>
    </w:p>
    <w:p>
      <w:pPr>
        <w:pStyle w:val="SourceCode"/>
      </w:pPr>
      <w:r>
        <w:rPr>
          <w:rStyle w:val="CommentTok"/>
        </w:rPr>
        <w:t xml:space="preserve">"""Compare load-balancing policies on heterogeneous servers.</w:t>
      </w:r>
      <w:r>
        <w:br/>
      </w:r>
      <w:r>
        <w:br/>
      </w:r>
      <w:r>
        <w:rPr>
          <w:rStyle w:val="CommentTok"/>
        </w:rPr>
        <w:t xml:space="preserve">Ten FIFO servers: five 'slow' (1 request/s each) and five 'fast' (2 requests/s each).</w:t>
      </w:r>
      <w:r>
        <w:br/>
      </w:r>
      <w:r>
        <w:rPr>
          <w:rStyle w:val="CommentTok"/>
        </w:rPr>
        <w:t xml:space="preserve">Poisson arrivals, exponential service times. For each policy we record, for every</w:t>
      </w:r>
      <w:r>
        <w:br/>
      </w:r>
      <w:r>
        <w:rPr>
          <w:rStyle w:val="CommentTok"/>
        </w:rPr>
        <w:t xml:space="preserve">request, the queue length it finds at its chosen server (requests already there)</w:t>
      </w:r>
      <w:r>
        <w:br/>
      </w:r>
      <w:r>
        <w:rPr>
          <w:rStyle w:val="CommentTok"/>
        </w:rPr>
        <w:t xml:space="preserve">and its latency (waiting + service). Times are in units of the slow server's mean</w:t>
      </w:r>
      <w:r>
        <w:br/>
      </w:r>
      <w:r>
        <w:rPr>
          <w:rStyle w:val="CommentTok"/>
        </w:rPr>
        <w:t xml:space="preserve">service time.</w:t>
      </w:r>
      <w:r>
        <w:br/>
      </w:r>
      <w:r>
        <w:rPr>
          <w:rStyle w:val="CommentTok"/>
        </w:rPr>
        <w:t xml:space="preserve">"""</w:t>
      </w:r>
      <w:r>
        <w:br/>
      </w:r>
      <w:r>
        <w:rPr>
          <w:rStyle w:val="ImportTok"/>
        </w:rPr>
        <w:t xml:space="preserve">import</w:t>
      </w:r>
      <w:r>
        <w:rPr>
          <w:rStyle w:val="NormalTok"/>
        </w:rPr>
        <w:t xml:space="preserve"> random</w:t>
      </w:r>
      <w:r>
        <w:br/>
      </w:r>
      <w:r>
        <w:rPr>
          <w:rStyle w:val="ImportTok"/>
        </w:rPr>
        <w:t xml:space="preserve">from</w:t>
      </w:r>
      <w:r>
        <w:rPr>
          <w:rStyle w:val="NormalTok"/>
        </w:rPr>
        <w:t xml:space="preserve"> collections </w:t>
      </w:r>
      <w:r>
        <w:rPr>
          <w:rStyle w:val="ImportTok"/>
        </w:rPr>
        <w:t xml:space="preserve">import</w:t>
      </w:r>
      <w:r>
        <w:rPr>
          <w:rStyle w:val="NormalTok"/>
        </w:rPr>
        <w:t xml:space="preserve"> deque</w:t>
      </w:r>
      <w:r>
        <w:br/>
      </w:r>
      <w:r>
        <w:br/>
      </w:r>
      <w:r>
        <w:rPr>
          <w:rStyle w:val="NormalTok"/>
        </w:rPr>
        <w:t xml:space="preserve">SPEEDS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CommentTok"/>
        </w:rPr>
        <w:t xml:space="preserve"># service rate of each server, requests/s</w:t>
      </w:r>
      <w:r>
        <w:br/>
      </w:r>
      <w:r>
        <w:br/>
      </w:r>
      <w:r>
        <w:br/>
      </w:r>
      <w:r>
        <w:rPr>
          <w:rStyle w:val="KeywordTok"/>
        </w:rPr>
        <w:t xml:space="preserve">def</w:t>
      </w:r>
      <w:r>
        <w:rPr>
          <w:rStyle w:val="NormalTok"/>
        </w:rPr>
        <w:t xml:space="preserve"> percentile(sorted_xs, p):</w:t>
      </w:r>
      <w:r>
        <w:br/>
      </w:r>
      <w:r>
        <w:rPr>
          <w:rStyle w:val="NormalTok"/>
        </w:rPr>
        <w:t xml:space="preserve">    </w:t>
      </w:r>
      <w:r>
        <w:rPr>
          <w:rStyle w:val="CommentTok"/>
        </w:rPr>
        <w:t xml:space="preserve">"""Nearest-rank percentile of an already sorted list."""</w:t>
      </w:r>
      <w:r>
        <w:br/>
      </w:r>
      <w:r>
        <w:rPr>
          <w:rStyle w:val="NormalTok"/>
        </w:rPr>
        <w:t xml:space="preserve">    k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w:t>
      </w:r>
      <w:r>
        <w:rPr>
          <w:rStyle w:val="BuiltInTok"/>
        </w:rPr>
        <w:t xml:space="preserve">min</w:t>
      </w:r>
      <w:r>
        <w:rPr>
          <w:rStyle w:val="NormalTok"/>
        </w:rPr>
        <w:t xml:space="preserve">(</w:t>
      </w:r>
      <w:r>
        <w:rPr>
          <w:rStyle w:val="BuiltInTok"/>
        </w:rPr>
        <w:t xml:space="preserve">len</w:t>
      </w:r>
      <w:r>
        <w:rPr>
          <w:rStyle w:val="NormalTok"/>
        </w:rPr>
        <w:t xml:space="preserve">(sorted_xs) </w:t>
      </w:r>
      <w:r>
        <w:rPr>
          <w:rStyle w:val="OperatorTok"/>
        </w:rPr>
        <w:t xml:space="preserve">-</w:t>
      </w:r>
      <w:r>
        <w:rPr>
          <w:rStyle w:val="NormalTok"/>
        </w:rPr>
        <w:t xml:space="preserve"> </w:t>
      </w:r>
      <w:r>
        <w:rPr>
          <w:rStyle w:val="DecValTok"/>
        </w:rPr>
        <w:t xml:space="preserve">1</w:t>
      </w:r>
      <w:r>
        <w:rPr>
          <w:rStyle w:val="NormalTok"/>
        </w:rPr>
        <w:t xml:space="preserve">, </w:t>
      </w:r>
      <w:r>
        <w:rPr>
          <w:rStyle w:val="BuiltInTok"/>
        </w:rPr>
        <w:t xml:space="preserve">int</w:t>
      </w:r>
      <w:r>
        <w:rPr>
          <w:rStyle w:val="NormalTok"/>
        </w:rPr>
        <w:t xml:space="preserve">(</w:t>
      </w:r>
      <w:r>
        <w:rPr>
          <w:rStyle w:val="BuiltInTok"/>
        </w:rPr>
        <w:t xml:space="preserve">round</w:t>
      </w:r>
      <w:r>
        <w:rPr>
          <w:rStyle w:val="NormalTok"/>
        </w:rPr>
        <w:t xml:space="preserve">(p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(sorted_xs)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sorted_xs[k]</w:t>
      </w:r>
      <w:r>
        <w:br/>
      </w:r>
      <w:r>
        <w:br/>
      </w:r>
      <w:r>
        <w:br/>
      </w:r>
      <w:r>
        <w:rPr>
          <w:rStyle w:val="KeywordTok"/>
        </w:rPr>
        <w:t xml:space="preserve">class</w:t>
      </w:r>
      <w:r>
        <w:rPr>
          <w:rStyle w:val="NormalTok"/>
        </w:rPr>
        <w:t xml:space="preserve"> Policy:</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 rng):</w:t>
      </w:r>
      <w:r>
        <w:br/>
      </w:r>
      <w:r>
        <w:rPr>
          <w:rStyle w:val="NormalTok"/>
        </w:rPr>
        <w:t xml:space="preserve">        </w:t>
      </w:r>
      <w:r>
        <w:rPr>
          <w:rStyle w:val="VariableTok"/>
        </w:rPr>
        <w:t xml:space="preserve">self</w:t>
      </w:r>
      <w:r>
        <w:rPr>
          <w:rStyle w:val="NormalTok"/>
        </w:rPr>
        <w:t xml:space="preserve">.n, </w:t>
      </w:r>
      <w:r>
        <w:rPr>
          <w:rStyle w:val="VariableTok"/>
        </w:rPr>
        <w:t xml:space="preserve">self</w:t>
      </w:r>
      <w:r>
        <w:rPr>
          <w:rStyle w:val="NormalTok"/>
        </w:rPr>
        <w:t xml:space="preserve">.rng, </w:t>
      </w:r>
      <w:r>
        <w:rPr>
          <w:rStyle w:val="VariableTok"/>
        </w:rPr>
        <w:t xml:space="preserve">self</w:t>
      </w:r>
      <w:r>
        <w:rPr>
          <w:rStyle w:val="NormalTok"/>
        </w:rPr>
        <w:t xml:space="preserve">.i </w:t>
      </w:r>
      <w:r>
        <w:rPr>
          <w:rStyle w:val="OperatorTok"/>
        </w:rPr>
        <w:t xml:space="preserve">=</w:t>
      </w:r>
      <w:r>
        <w:rPr>
          <w:rStyle w:val="NormalTok"/>
        </w:rPr>
        <w:t xml:space="preserve"> n, rng, </w:t>
      </w:r>
      <w:r>
        <w:rPr>
          <w:rStyle w:val="OperatorTok"/>
        </w:rPr>
        <w:t xml:space="preserve">-</w:t>
      </w:r>
      <w:r>
        <w:rPr>
          <w:rStyle w:val="DecValTok"/>
        </w:rPr>
        <w:t xml:space="preserve">1</w:t>
      </w:r>
      <w:r>
        <w:br/>
      </w:r>
      <w:r>
        <w:br/>
      </w:r>
      <w:r>
        <w:rPr>
          <w:rStyle w:val="NormalTok"/>
        </w:rPr>
        <w:t xml:space="preserve">    </w:t>
      </w:r>
      <w:r>
        <w:rPr>
          <w:rStyle w:val="KeywordTok"/>
        </w:rPr>
        <w:t xml:space="preserve">def</w:t>
      </w:r>
      <w:r>
        <w:rPr>
          <w:rStyle w:val="NormalTok"/>
        </w:rPr>
        <w:t xml:space="preserve"> pick(</w:t>
      </w:r>
      <w:r>
        <w:rPr>
          <w:rStyle w:val="VariableTok"/>
        </w:rPr>
        <w:t xml:space="preserve">self</w:t>
      </w:r>
      <w:r>
        <w:rPr>
          <w:rStyle w:val="NormalTok"/>
        </w:rPr>
        <w:t xml:space="preserve">, qlen):              </w:t>
      </w:r>
      <w:r>
        <w:rPr>
          <w:rStyle w:val="CommentTok"/>
        </w:rPr>
        <w:t xml:space="preserve"># qlen[i] = requests at server i now</w:t>
      </w:r>
      <w:r>
        <w:br/>
      </w:r>
      <w:r>
        <w:rPr>
          <w:rStyle w:val="NormalTok"/>
        </w:rPr>
        <w:t xml:space="preserve">        </w:t>
      </w:r>
      <w:r>
        <w:rPr>
          <w:rStyle w:val="ControlFlowTok"/>
        </w:rPr>
        <w:t xml:space="preserve">raise</w:t>
      </w:r>
      <w:r>
        <w:rPr>
          <w:rStyle w:val="NormalTok"/>
        </w:rPr>
        <w:t xml:space="preserve"> </w:t>
      </w:r>
      <w:r>
        <w:rPr>
          <w:rStyle w:val="PreprocessorTok"/>
        </w:rPr>
        <w:t xml:space="preserve">NotImplementedError</w:t>
      </w:r>
      <w:r>
        <w:br/>
      </w:r>
      <w:r>
        <w:br/>
      </w:r>
      <w:r>
        <w:br/>
      </w:r>
      <w:r>
        <w:rPr>
          <w:rStyle w:val="KeywordTok"/>
        </w:rPr>
        <w:t xml:space="preserve">class</w:t>
      </w:r>
      <w:r>
        <w:rPr>
          <w:rStyle w:val="NormalTok"/>
        </w:rPr>
        <w:t xml:space="preserve"> Random(Policy):</w:t>
      </w:r>
      <w:r>
        <w:br/>
      </w:r>
      <w:r>
        <w:rPr>
          <w:rStyle w:val="NormalTok"/>
        </w:rPr>
        <w:t xml:space="preserve">    </w:t>
      </w:r>
      <w:r>
        <w:rPr>
          <w:rStyle w:val="KeywordTok"/>
        </w:rPr>
        <w:t xml:space="preserve">def</w:t>
      </w:r>
      <w:r>
        <w:rPr>
          <w:rStyle w:val="NormalTok"/>
        </w:rPr>
        <w:t xml:space="preserve"> pick(</w:t>
      </w:r>
      <w:r>
        <w:rPr>
          <w:rStyle w:val="VariableTok"/>
        </w:rPr>
        <w:t xml:space="preserve">self</w:t>
      </w:r>
      <w:r>
        <w:rPr>
          <w:rStyle w:val="NormalTok"/>
        </w:rPr>
        <w:t xml:space="preserve">, qlen):</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.rng.randrange(</w:t>
      </w:r>
      <w:r>
        <w:rPr>
          <w:rStyle w:val="VariableTok"/>
        </w:rPr>
        <w:t xml:space="preserve">self</w:t>
      </w:r>
      <w:r>
        <w:rPr>
          <w:rStyle w:val="NormalTok"/>
        </w:rPr>
        <w:t xml:space="preserve">.n)</w:t>
      </w:r>
      <w:r>
        <w:br/>
      </w:r>
      <w:r>
        <w:br/>
      </w:r>
      <w:r>
        <w:br/>
      </w:r>
      <w:r>
        <w:rPr>
          <w:rStyle w:val="KeywordTok"/>
        </w:rPr>
        <w:t xml:space="preserve">class</w:t>
      </w:r>
      <w:r>
        <w:rPr>
          <w:rStyle w:val="NormalTok"/>
        </w:rPr>
        <w:t xml:space="preserve"> RoundRobin(Policy):</w:t>
      </w:r>
      <w:r>
        <w:br/>
      </w:r>
      <w:r>
        <w:rPr>
          <w:rStyle w:val="NormalTok"/>
        </w:rPr>
        <w:t xml:space="preserve">    </w:t>
      </w:r>
      <w:r>
        <w:rPr>
          <w:rStyle w:val="KeywordTok"/>
        </w:rPr>
        <w:t xml:space="preserve">def</w:t>
      </w:r>
      <w:r>
        <w:rPr>
          <w:rStyle w:val="NormalTok"/>
        </w:rPr>
        <w:t xml:space="preserve"> pick(</w:t>
      </w:r>
      <w:r>
        <w:rPr>
          <w:rStyle w:val="VariableTok"/>
        </w:rPr>
        <w:t xml:space="preserve">self</w:t>
      </w:r>
      <w:r>
        <w:rPr>
          <w:rStyle w:val="NormalTok"/>
        </w:rPr>
        <w:t xml:space="preserve">, qlen):</w:t>
      </w:r>
      <w:r>
        <w:br/>
      </w:r>
      <w:r>
        <w:rPr>
          <w:rStyle w:val="NormalTok"/>
        </w:rPr>
        <w:t xml:space="preserve">        </w:t>
      </w:r>
      <w:r>
        <w:rPr>
          <w:rStyle w:val="VariableTok"/>
        </w:rPr>
        <w:t xml:space="preserve">self</w:t>
      </w:r>
      <w:r>
        <w:rPr>
          <w:rStyle w:val="NormalTok"/>
        </w:rPr>
        <w:t xml:space="preserve">.i </w:t>
      </w:r>
      <w:r>
        <w:rPr>
          <w:rStyle w:val="OperatorTok"/>
        </w:rPr>
        <w:t xml:space="preserve">=</w:t>
      </w:r>
      <w:r>
        <w:rPr>
          <w:rStyle w:val="NormalTok"/>
        </w:rPr>
        <w:t xml:space="preserve"> (</w:t>
      </w:r>
      <w:r>
        <w:rPr>
          <w:rStyle w:val="VariableTok"/>
        </w:rPr>
        <w:t xml:space="preserve">self</w:t>
      </w:r>
      <w:r>
        <w:rPr>
          <w:rStyle w:val="NormalTok"/>
        </w:rPr>
        <w:t xml:space="preserve">.i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.n</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.i</w:t>
      </w:r>
      <w:r>
        <w:br/>
      </w:r>
      <w:r>
        <w:br/>
      </w:r>
      <w:r>
        <w:br/>
      </w:r>
      <w:r>
        <w:rPr>
          <w:rStyle w:val="KeywordTok"/>
        </w:rPr>
        <w:t xml:space="preserve">class</w:t>
      </w:r>
      <w:r>
        <w:rPr>
          <w:rStyle w:val="NormalTok"/>
        </w:rPr>
        <w:t xml:space="preserve"> WeightedRR(Policy):              </w:t>
      </w:r>
      <w:r>
        <w:rPr>
          <w:rStyle w:val="CommentTok"/>
        </w:rPr>
        <w:t xml:space="preserve"># smooth WRR, weights = server speeds</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 rng):</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(n, rng)</w:t>
      </w:r>
      <w:r>
        <w:br/>
      </w:r>
      <w:r>
        <w:rPr>
          <w:rStyle w:val="NormalTok"/>
        </w:rPr>
        <w:t xml:space="preserve">        </w:t>
      </w:r>
      <w:r>
        <w:rPr>
          <w:rStyle w:val="VariableTok"/>
        </w:rPr>
        <w:t xml:space="preserve">self</w:t>
      </w:r>
      <w:r>
        <w:rPr>
          <w:rStyle w:val="NormalTok"/>
        </w:rPr>
        <w:t xml:space="preserve">.cur </w:t>
      </w:r>
      <w:r>
        <w:rPr>
          <w:rStyle w:val="OperatorTok"/>
        </w:rPr>
        <w:t xml:space="preserve">=</w:t>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 n</w:t>
      </w:r>
      <w:r>
        <w:br/>
      </w:r>
      <w:r>
        <w:br/>
      </w:r>
      <w:r>
        <w:rPr>
          <w:rStyle w:val="NormalTok"/>
        </w:rPr>
        <w:t xml:space="preserve">    </w:t>
      </w:r>
      <w:r>
        <w:rPr>
          <w:rStyle w:val="KeywordTok"/>
        </w:rPr>
        <w:t xml:space="preserve">def</w:t>
      </w:r>
      <w:r>
        <w:rPr>
          <w:rStyle w:val="NormalTok"/>
        </w:rPr>
        <w:t xml:space="preserve"> pick(</w:t>
      </w:r>
      <w:r>
        <w:rPr>
          <w:rStyle w:val="VariableTok"/>
        </w:rPr>
        <w:t xml:space="preserve">self</w:t>
      </w:r>
      <w:r>
        <w:rPr>
          <w:rStyle w:val="NormalTok"/>
        </w:rPr>
        <w:t xml:space="preserve">, qlen):</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.n):</w:t>
      </w:r>
      <w:r>
        <w:br/>
      </w:r>
      <w:r>
        <w:rPr>
          <w:rStyle w:val="NormalTok"/>
        </w:rPr>
        <w:t xml:space="preserve">            </w:t>
      </w:r>
      <w:r>
        <w:rPr>
          <w:rStyle w:val="VariableTok"/>
        </w:rPr>
        <w:t xml:space="preserve">self</w:t>
      </w:r>
      <w:r>
        <w:rPr>
          <w:rStyle w:val="NormalTok"/>
        </w:rPr>
        <w:t xml:space="preserve">.cur[s] </w:t>
      </w:r>
      <w:r>
        <w:rPr>
          <w:rStyle w:val="OperatorTok"/>
        </w:rPr>
        <w:t xml:space="preserve">+=</w:t>
      </w:r>
      <w:r>
        <w:rPr>
          <w:rStyle w:val="NormalTok"/>
        </w:rPr>
        <w:t xml:space="preserve"> SPEEDS[s]</w:t>
      </w:r>
      <w:r>
        <w:br/>
      </w:r>
      <w:r>
        <w:rPr>
          <w:rStyle w:val="NormalTok"/>
        </w:rPr>
        <w:t xml:space="preserve">        best </w:t>
      </w:r>
      <w:r>
        <w:rPr>
          <w:rStyle w:val="OperatorTok"/>
        </w:rPr>
        <w:t xml:space="preserve">=</w:t>
      </w:r>
      <w:r>
        <w:rPr>
          <w:rStyle w:val="NormalTok"/>
        </w:rPr>
        <w:t xml:space="preserve"> </w:t>
      </w:r>
      <w:r>
        <w:rPr>
          <w:rStyle w:val="BuiltInTok"/>
        </w:rPr>
        <w:t xml:space="preserve">max</w:t>
      </w:r>
      <w:r>
        <w:rPr>
          <w:rStyle w:val="NormalTok"/>
        </w:rPr>
        <w:t xml:space="preserve">(</w:t>
      </w:r>
      <w:r>
        <w:rPr>
          <w:rStyle w:val="BuiltInTok"/>
        </w:rPr>
        <w:t xml:space="preserve">range</w:t>
      </w:r>
      <w:r>
        <w:rPr>
          <w:rStyle w:val="NormalTok"/>
        </w:rPr>
        <w:t xml:space="preserve">(</w:t>
      </w:r>
      <w:r>
        <w:rPr>
          <w:rStyle w:val="VariableTok"/>
        </w:rPr>
        <w:t xml:space="preserve">self</w:t>
      </w:r>
      <w:r>
        <w:rPr>
          <w:rStyle w:val="NormalTok"/>
        </w:rPr>
        <w:t xml:space="preserve">.n), key</w:t>
      </w:r>
      <w:r>
        <w:rPr>
          <w:rStyle w:val="OperatorTok"/>
        </w:rPr>
        <w:t xml:space="preserve">=</w:t>
      </w:r>
      <w:r>
        <w:rPr>
          <w:rStyle w:val="VariableTok"/>
        </w:rPr>
        <w:t xml:space="preserve">self</w:t>
      </w:r>
      <w:r>
        <w:rPr>
          <w:rStyle w:val="NormalTok"/>
        </w:rPr>
        <w:t xml:space="preserve">.cur.</w:t>
      </w:r>
      <w:r>
        <w:rPr>
          <w:rStyle w:val="FunctionTok"/>
        </w:rPr>
        <w:t xml:space="preserve">__getitem__</w:t>
      </w:r>
      <w:r>
        <w:rPr>
          <w:rStyle w:val="NormalTok"/>
        </w:rPr>
        <w:t xml:space="preserve">)</w:t>
      </w:r>
      <w:r>
        <w:br/>
      </w:r>
      <w:r>
        <w:rPr>
          <w:rStyle w:val="NormalTok"/>
        </w:rPr>
        <w:t xml:space="preserve">        </w:t>
      </w:r>
      <w:r>
        <w:rPr>
          <w:rStyle w:val="VariableTok"/>
        </w:rPr>
        <w:t xml:space="preserve">self</w:t>
      </w:r>
      <w:r>
        <w:rPr>
          <w:rStyle w:val="NormalTok"/>
        </w:rPr>
        <w:t xml:space="preserve">.cur[best] </w:t>
      </w:r>
      <w:r>
        <w:rPr>
          <w:rStyle w:val="OperatorTok"/>
        </w:rPr>
        <w:t xml:space="preserve">-=</w:t>
      </w:r>
      <w:r>
        <w:rPr>
          <w:rStyle w:val="NormalTok"/>
        </w:rPr>
        <w:t xml:space="preserve"> </w:t>
      </w:r>
      <w:r>
        <w:rPr>
          <w:rStyle w:val="BuiltInTok"/>
        </w:rPr>
        <w:t xml:space="preserve">sum</w:t>
      </w:r>
      <w:r>
        <w:rPr>
          <w:rStyle w:val="NormalTok"/>
        </w:rPr>
        <w:t xml:space="preserve">(SPEEDS)</w:t>
      </w:r>
      <w:r>
        <w:br/>
      </w:r>
      <w:r>
        <w:rPr>
          <w:rStyle w:val="NormalTok"/>
        </w:rPr>
        <w:t xml:space="preserve">        </w:t>
      </w:r>
      <w:r>
        <w:rPr>
          <w:rStyle w:val="ControlFlowTok"/>
        </w:rPr>
        <w:t xml:space="preserve">return</w:t>
      </w:r>
      <w:r>
        <w:rPr>
          <w:rStyle w:val="NormalTok"/>
        </w:rPr>
        <w:t xml:space="preserve"> best</w:t>
      </w:r>
      <w:r>
        <w:br/>
      </w:r>
      <w:r>
        <w:br/>
      </w:r>
      <w:r>
        <w:br/>
      </w:r>
      <w:r>
        <w:rPr>
          <w:rStyle w:val="KeywordTok"/>
        </w:rPr>
        <w:t xml:space="preserve">class</w:t>
      </w:r>
      <w:r>
        <w:rPr>
          <w:rStyle w:val="NormalTok"/>
        </w:rPr>
        <w:t xml:space="preserve"> LeastConnections(Policy):        </w:t>
      </w:r>
      <w:r>
        <w:rPr>
          <w:rStyle w:val="CommentTok"/>
        </w:rPr>
        <w:t xml:space="preserve"># global view, random tie-break</w:t>
      </w:r>
      <w:r>
        <w:br/>
      </w:r>
      <w:r>
        <w:rPr>
          <w:rStyle w:val="NormalTok"/>
        </w:rPr>
        <w:t xml:space="preserve">    </w:t>
      </w:r>
      <w:r>
        <w:rPr>
          <w:rStyle w:val="KeywordTok"/>
        </w:rPr>
        <w:t xml:space="preserve">def</w:t>
      </w:r>
      <w:r>
        <w:rPr>
          <w:rStyle w:val="NormalTok"/>
        </w:rPr>
        <w:t xml:space="preserve"> pick(</w:t>
      </w:r>
      <w:r>
        <w:rPr>
          <w:rStyle w:val="VariableTok"/>
        </w:rPr>
        <w:t xml:space="preserve">self</w:t>
      </w:r>
      <w:r>
        <w:rPr>
          <w:rStyle w:val="NormalTok"/>
        </w:rPr>
        <w:t xml:space="preserve">, qlen):</w:t>
      </w:r>
      <w:r>
        <w:br/>
      </w:r>
      <w:r>
        <w:rPr>
          <w:rStyle w:val="NormalTok"/>
        </w:rPr>
        <w:t xml:space="preserve">        m </w:t>
      </w:r>
      <w:r>
        <w:rPr>
          <w:rStyle w:val="OperatorTok"/>
        </w:rPr>
        <w:t xml:space="preserve">=</w:t>
      </w:r>
      <w:r>
        <w:rPr>
          <w:rStyle w:val="NormalTok"/>
        </w:rPr>
        <w:t xml:space="preserve"> </w:t>
      </w:r>
      <w:r>
        <w:rPr>
          <w:rStyle w:val="BuiltInTok"/>
        </w:rPr>
        <w:t xml:space="preserve">min</w:t>
      </w:r>
      <w:r>
        <w:rPr>
          <w:rStyle w:val="NormalTok"/>
        </w:rPr>
        <w:t xml:space="preserve">(qlen)</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.rng.choice([s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.n) </w:t>
      </w:r>
      <w:r>
        <w:rPr>
          <w:rStyle w:val="ControlFlowTok"/>
        </w:rPr>
        <w:t xml:space="preserve">if</w:t>
      </w:r>
      <w:r>
        <w:rPr>
          <w:rStyle w:val="NormalTok"/>
        </w:rPr>
        <w:t xml:space="preserve"> qlen[s] </w:t>
      </w:r>
      <w:r>
        <w:rPr>
          <w:rStyle w:val="OperatorTok"/>
        </w:rPr>
        <w:t xml:space="preserve">==</w:t>
      </w:r>
      <w:r>
        <w:rPr>
          <w:rStyle w:val="NormalTok"/>
        </w:rPr>
        <w:t xml:space="preserve"> m])</w:t>
      </w:r>
      <w:r>
        <w:br/>
      </w:r>
      <w:r>
        <w:br/>
      </w:r>
      <w:r>
        <w:br/>
      </w:r>
      <w:r>
        <w:rPr>
          <w:rStyle w:val="KeywordTok"/>
        </w:rPr>
        <w:t xml:space="preserve">class</w:t>
      </w:r>
      <w:r>
        <w:rPr>
          <w:rStyle w:val="NormalTok"/>
        </w:rPr>
        <w:t xml:space="preserve"> PowerOfTwo(Policy):              </w:t>
      </w:r>
      <w:r>
        <w:rPr>
          <w:rStyle w:val="CommentTok"/>
        </w:rPr>
        <w:t xml:space="preserve"># sample two distinct servers, keep the shorter queue</w:t>
      </w:r>
      <w:r>
        <w:br/>
      </w:r>
      <w:r>
        <w:rPr>
          <w:rStyle w:val="NormalTok"/>
        </w:rPr>
        <w:t xml:space="preserve">    </w:t>
      </w:r>
      <w:r>
        <w:rPr>
          <w:rStyle w:val="KeywordTok"/>
        </w:rPr>
        <w:t xml:space="preserve">def</w:t>
      </w:r>
      <w:r>
        <w:rPr>
          <w:rStyle w:val="NormalTok"/>
        </w:rPr>
        <w:t xml:space="preserve"> pick(</w:t>
      </w:r>
      <w:r>
        <w:rPr>
          <w:rStyle w:val="VariableTok"/>
        </w:rPr>
        <w:t xml:space="preserve">self</w:t>
      </w:r>
      <w:r>
        <w:rPr>
          <w:rStyle w:val="NormalTok"/>
        </w:rPr>
        <w:t xml:space="preserve">, qlen):</w:t>
      </w:r>
      <w:r>
        <w:br/>
      </w:r>
      <w:r>
        <w:rPr>
          <w:rStyle w:val="NormalTok"/>
        </w:rPr>
        <w:t xml:space="preserve">        a, b </w:t>
      </w:r>
      <w:r>
        <w:rPr>
          <w:rStyle w:val="OperatorTok"/>
        </w:rPr>
        <w:t xml:space="preserve">=</w:t>
      </w:r>
      <w:r>
        <w:rPr>
          <w:rStyle w:val="NormalTok"/>
        </w:rPr>
        <w:t xml:space="preserve"> </w:t>
      </w:r>
      <w:r>
        <w:rPr>
          <w:rStyle w:val="VariableTok"/>
        </w:rPr>
        <w:t xml:space="preserve">self</w:t>
      </w:r>
      <w:r>
        <w:rPr>
          <w:rStyle w:val="NormalTok"/>
        </w:rPr>
        <w:t xml:space="preserve">.rng.sample(</w:t>
      </w:r>
      <w:r>
        <w:rPr>
          <w:rStyle w:val="BuiltInTok"/>
        </w:rPr>
        <w:t xml:space="preserve">range</w:t>
      </w:r>
      <w:r>
        <w:rPr>
          <w:rStyle w:val="NormalTok"/>
        </w:rPr>
        <w:t xml:space="preserve">(</w:t>
      </w:r>
      <w:r>
        <w:rPr>
          <w:rStyle w:val="VariableTok"/>
        </w:rPr>
        <w:t xml:space="preserve">self</w:t>
      </w:r>
      <w:r>
        <w:rPr>
          <w:rStyle w:val="NormalTok"/>
        </w:rPr>
        <w:t xml:space="preserve">.n), </w:t>
      </w:r>
      <w:r>
        <w:rPr>
          <w:rStyle w:val="DecValTok"/>
        </w:rPr>
        <w:t xml:space="preserve">2</w:t>
      </w:r>
      <w:r>
        <w:rPr>
          <w:rStyle w:val="NormalTok"/>
        </w:rPr>
        <w:t xml:space="preserve">)</w:t>
      </w:r>
      <w:r>
        <w:br/>
      </w:r>
      <w:r>
        <w:rPr>
          <w:rStyle w:val="NormalTok"/>
        </w:rPr>
        <w:t xml:space="preserve">        </w:t>
      </w:r>
      <w:r>
        <w:rPr>
          <w:rStyle w:val="ControlFlowTok"/>
        </w:rPr>
        <w:t xml:space="preserve">if</w:t>
      </w:r>
      <w:r>
        <w:rPr>
          <w:rStyle w:val="NormalTok"/>
        </w:rPr>
        <w:t xml:space="preserve"> qlen[a] </w:t>
      </w:r>
      <w:r>
        <w:rPr>
          <w:rStyle w:val="OperatorTok"/>
        </w:rPr>
        <w:t xml:space="preserve">==</w:t>
      </w:r>
      <w:r>
        <w:rPr>
          <w:rStyle w:val="NormalTok"/>
        </w:rPr>
        <w:t xml:space="preserve"> qlen[b]:</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.rng.choice((a, b))</w:t>
      </w:r>
      <w:r>
        <w:br/>
      </w:r>
      <w:r>
        <w:rPr>
          <w:rStyle w:val="NormalTok"/>
        </w:rPr>
        <w:t xml:space="preserve">        </w:t>
      </w:r>
      <w:r>
        <w:rPr>
          <w:rStyle w:val="ControlFlowTok"/>
        </w:rPr>
        <w:t xml:space="preserve">return</w:t>
      </w:r>
      <w:r>
        <w:rPr>
          <w:rStyle w:val="NormalTok"/>
        </w:rPr>
        <w:t xml:space="preserve"> a </w:t>
      </w:r>
      <w:r>
        <w:rPr>
          <w:rStyle w:val="ControlFlowTok"/>
        </w:rPr>
        <w:t xml:space="preserve">if</w:t>
      </w:r>
      <w:r>
        <w:rPr>
          <w:rStyle w:val="NormalTok"/>
        </w:rPr>
        <w:t xml:space="preserve"> qlen[a] </w:t>
      </w:r>
      <w:r>
        <w:rPr>
          <w:rStyle w:val="OperatorTok"/>
        </w:rPr>
        <w:t xml:space="preserve">&lt;</w:t>
      </w:r>
      <w:r>
        <w:rPr>
          <w:rStyle w:val="NormalTok"/>
        </w:rPr>
        <w:t xml:space="preserve"> qlen[b] </w:t>
      </w:r>
      <w:r>
        <w:rPr>
          <w:rStyle w:val="ControlFlowTok"/>
        </w:rPr>
        <w:t xml:space="preserve">else</w:t>
      </w:r>
      <w:r>
        <w:rPr>
          <w:rStyle w:val="NormalTok"/>
        </w:rPr>
        <w:t xml:space="preserve"> b</w:t>
      </w:r>
      <w:r>
        <w:br/>
      </w:r>
      <w:r>
        <w:br/>
      </w:r>
      <w:r>
        <w:br/>
      </w:r>
      <w:r>
        <w:rPr>
          <w:rStyle w:val="KeywordTok"/>
        </w:rPr>
        <w:t xml:space="preserve">def</w:t>
      </w:r>
      <w:r>
        <w:rPr>
          <w:rStyle w:val="NormalTok"/>
        </w:rPr>
        <w:t xml:space="preserve"> simulate(policy_cls, load, refresh</w:t>
      </w:r>
      <w:r>
        <w:rPr>
          <w:rStyle w:val="OperatorTok"/>
        </w:rPr>
        <w:t xml:space="preserve">=</w:t>
      </w:r>
      <w:r>
        <w:rPr>
          <w:rStyle w:val="FloatTok"/>
        </w:rPr>
        <w:t xml:space="preserve">0.0</w:t>
      </w:r>
      <w:r>
        <w:rPr>
          <w:rStyle w:val="NormalTok"/>
        </w:rPr>
        <w:t xml:space="preserve">, requests</w:t>
      </w:r>
      <w:r>
        <w:rPr>
          <w:rStyle w:val="OperatorTok"/>
        </w:rPr>
        <w:t xml:space="preserve">=</w:t>
      </w:r>
      <w:r>
        <w:rPr>
          <w:rStyle w:val="DecValTok"/>
        </w:rPr>
        <w:t xml:space="preserve">200_000</w:t>
      </w:r>
      <w:r>
        <w:rPr>
          <w:rStyle w:val="NormalTok"/>
        </w:rPr>
        <w:t xml:space="preserve">, seed</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mmentTok"/>
        </w:rPr>
        <w:t xml:space="preserve">"""refresh &gt; 0: the policy sees queue lengths that are refreshed only every</w:t>
      </w:r>
      <w:r>
        <w:br/>
      </w:r>
      <w:r>
        <w:rPr>
          <w:rStyle w:val="CommentTok"/>
        </w:rPr>
        <w:t xml:space="preserve">    `refresh` time units, as when many balancers share load reports."""</w:t>
      </w:r>
      <w:r>
        <w:br/>
      </w:r>
      <w:r>
        <w:rPr>
          <w:rStyle w:val="NormalTok"/>
        </w:rPr>
        <w:t xml:space="preserve">    rng </w:t>
      </w:r>
      <w:r>
        <w:rPr>
          <w:rStyle w:val="OperatorTok"/>
        </w:rPr>
        <w:t xml:space="preserve">=</w:t>
      </w:r>
      <w:r>
        <w:rPr>
          <w:rStyle w:val="NormalTok"/>
        </w:rPr>
        <w:t xml:space="preserve"> random.Random(seed)</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(SPEEDS)</w:t>
      </w:r>
      <w:r>
        <w:br/>
      </w:r>
      <w:r>
        <w:rPr>
          <w:rStyle w:val="NormalTok"/>
        </w:rPr>
        <w:t xml:space="preserve">    lam </w:t>
      </w:r>
      <w:r>
        <w:rPr>
          <w:rStyle w:val="OperatorTok"/>
        </w:rPr>
        <w:t xml:space="preserve">=</w:t>
      </w:r>
      <w:r>
        <w:rPr>
          <w:rStyle w:val="NormalTok"/>
        </w:rPr>
        <w:t xml:space="preserve"> load </w:t>
      </w:r>
      <w:r>
        <w:rPr>
          <w:rStyle w:val="OperatorTok"/>
        </w:rPr>
        <w:t xml:space="preserve">*</w:t>
      </w:r>
      <w:r>
        <w:rPr>
          <w:rStyle w:val="NormalTok"/>
        </w:rPr>
        <w:t xml:space="preserve"> </w:t>
      </w:r>
      <w:r>
        <w:rPr>
          <w:rStyle w:val="BuiltInTok"/>
        </w:rPr>
        <w:t xml:space="preserve">sum</w:t>
      </w:r>
      <w:r>
        <w:rPr>
          <w:rStyle w:val="NormalTok"/>
        </w:rPr>
        <w:t xml:space="preserve">(SPEEDS)                       </w:t>
      </w:r>
      <w:r>
        <w:rPr>
          <w:rStyle w:val="CommentTok"/>
        </w:rPr>
        <w:t xml:space="preserve"># arrival rate for target utilization</w:t>
      </w:r>
      <w:r>
        <w:br/>
      </w:r>
      <w:r>
        <w:rPr>
          <w:rStyle w:val="NormalTok"/>
        </w:rPr>
        <w:t xml:space="preserve">    policy </w:t>
      </w:r>
      <w:r>
        <w:rPr>
          <w:rStyle w:val="OperatorTok"/>
        </w:rPr>
        <w:t xml:space="preserve">=</w:t>
      </w:r>
      <w:r>
        <w:rPr>
          <w:rStyle w:val="NormalTok"/>
        </w:rPr>
        <w:t xml:space="preserve"> policy_cls(n, random.Random(seed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departures </w:t>
      </w:r>
      <w:r>
        <w:rPr>
          <w:rStyle w:val="OperatorTok"/>
        </w:rPr>
        <w:t xml:space="preserve">=</w:t>
      </w:r>
      <w:r>
        <w:rPr>
          <w:rStyle w:val="NormalTok"/>
        </w:rPr>
        <w:t xml:space="preserve"> [deque()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       </w:t>
      </w:r>
      <w:r>
        <w:rPr>
          <w:rStyle w:val="CommentTok"/>
        </w:rPr>
        <w:t xml:space="preserve"># FIFO departure times per server</w:t>
      </w:r>
      <w:r>
        <w:br/>
      </w:r>
      <w:r>
        <w:rPr>
          <w:rStyle w:val="NormalTok"/>
        </w:rPr>
        <w:t xml:space="preserve">    t, found, latency </w:t>
      </w:r>
      <w:r>
        <w:rPr>
          <w:rStyle w:val="OperatorTok"/>
        </w:rPr>
        <w:t xml:space="preserve">=</w:t>
      </w:r>
      <w:r>
        <w:rPr>
          <w:rStyle w:val="NormalTok"/>
        </w:rPr>
        <w:t xml:space="preserve"> </w:t>
      </w:r>
      <w:r>
        <w:rPr>
          <w:rStyle w:val="FloatTok"/>
        </w:rPr>
        <w:t xml:space="preserve">0.0</w:t>
      </w:r>
      <w:r>
        <w:rPr>
          <w:rStyle w:val="NormalTok"/>
        </w:rPr>
        <w:t xml:space="preserve">, [], []</w:t>
      </w:r>
      <w:r>
        <w:br/>
      </w:r>
      <w:r>
        <w:rPr>
          <w:rStyle w:val="NormalTok"/>
        </w:rPr>
        <w:t xml:space="preserve">    view, next_refresh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n, </w:t>
      </w:r>
      <w:r>
        <w:rPr>
          <w:rStyle w:val="FloatTok"/>
        </w:rPr>
        <w:t xml:space="preserve">0.0</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(requests):</w:t>
      </w:r>
      <w:r>
        <w:br/>
      </w:r>
      <w:r>
        <w:rPr>
          <w:rStyle w:val="NormalTok"/>
        </w:rPr>
        <w:t xml:space="preserve">        t </w:t>
      </w:r>
      <w:r>
        <w:rPr>
          <w:rStyle w:val="OperatorTok"/>
        </w:rPr>
        <w:t xml:space="preserve">+=</w:t>
      </w:r>
      <w:r>
        <w:rPr>
          <w:rStyle w:val="NormalTok"/>
        </w:rPr>
        <w:t xml:space="preserve"> rng.expovariate(lam)</w:t>
      </w:r>
      <w:r>
        <w:br/>
      </w:r>
      <w:r>
        <w:rPr>
          <w:rStyle w:val="NormalTok"/>
        </w:rPr>
        <w:t xml:space="preserve">        </w:t>
      </w:r>
      <w:r>
        <w:rPr>
          <w:rStyle w:val="ControlFlowTok"/>
        </w:rPr>
        <w:t xml:space="preserve">for</w:t>
      </w:r>
      <w:r>
        <w:rPr>
          <w:rStyle w:val="NormalTok"/>
        </w:rPr>
        <w:t xml:space="preserve"> dq </w:t>
      </w:r>
      <w:r>
        <w:rPr>
          <w:rStyle w:val="KeywordTok"/>
        </w:rPr>
        <w:t xml:space="preserve">in</w:t>
      </w:r>
      <w:r>
        <w:rPr>
          <w:rStyle w:val="NormalTok"/>
        </w:rPr>
        <w:t xml:space="preserve"> departures:                      </w:t>
      </w:r>
      <w:r>
        <w:rPr>
          <w:rStyle w:val="CommentTok"/>
        </w:rPr>
        <w:t xml:space="preserve"># drop requests that finished</w:t>
      </w:r>
      <w:r>
        <w:br/>
      </w:r>
      <w:r>
        <w:rPr>
          <w:rStyle w:val="NormalTok"/>
        </w:rPr>
        <w:t xml:space="preserve">            </w:t>
      </w:r>
      <w:r>
        <w:rPr>
          <w:rStyle w:val="ControlFlowTok"/>
        </w:rPr>
        <w:t xml:space="preserve">while</w:t>
      </w:r>
      <w:r>
        <w:rPr>
          <w:rStyle w:val="NormalTok"/>
        </w:rPr>
        <w:t xml:space="preserve"> dq </w:t>
      </w:r>
      <w:r>
        <w:rPr>
          <w:rStyle w:val="KeywordTok"/>
        </w:rPr>
        <w:t xml:space="preserve">and</w:t>
      </w:r>
      <w:r>
        <w:rPr>
          <w:rStyle w:val="NormalTok"/>
        </w:rPr>
        <w:t xml:space="preserve"> dq[</w:t>
      </w:r>
      <w:r>
        <w:rPr>
          <w:rStyle w:val="DecValTok"/>
        </w:rPr>
        <w:t xml:space="preserve">0</w:t>
      </w:r>
      <w:r>
        <w:rPr>
          <w:rStyle w:val="NormalTok"/>
        </w:rPr>
        <w:t xml:space="preserve">] </w:t>
      </w:r>
      <w:r>
        <w:rPr>
          <w:rStyle w:val="OperatorTok"/>
        </w:rPr>
        <w:t xml:space="preserve">&lt;=</w:t>
      </w:r>
      <w:r>
        <w:rPr>
          <w:rStyle w:val="NormalTok"/>
        </w:rPr>
        <w:t xml:space="preserve"> t:</w:t>
      </w:r>
      <w:r>
        <w:br/>
      </w:r>
      <w:r>
        <w:rPr>
          <w:rStyle w:val="NormalTok"/>
        </w:rPr>
        <w:t xml:space="preserve">                dq.popleft()</w:t>
      </w:r>
      <w:r>
        <w:br/>
      </w:r>
      <w:r>
        <w:rPr>
          <w:rStyle w:val="NormalTok"/>
        </w:rPr>
        <w:t xml:space="preserve">        qlen </w:t>
      </w:r>
      <w:r>
        <w:rPr>
          <w:rStyle w:val="OperatorTok"/>
        </w:rPr>
        <w:t xml:space="preserve">=</w:t>
      </w:r>
      <w:r>
        <w:rPr>
          <w:rStyle w:val="NormalTok"/>
        </w:rPr>
        <w:t xml:space="preserve"> [</w:t>
      </w:r>
      <w:r>
        <w:rPr>
          <w:rStyle w:val="BuiltInTok"/>
        </w:rPr>
        <w:t xml:space="preserve">len</w:t>
      </w:r>
      <w:r>
        <w:rPr>
          <w:rStyle w:val="NormalTok"/>
        </w:rPr>
        <w:t xml:space="preserve">(dq) </w:t>
      </w:r>
      <w:r>
        <w:rPr>
          <w:rStyle w:val="ControlFlowTok"/>
        </w:rPr>
        <w:t xml:space="preserve">for</w:t>
      </w:r>
      <w:r>
        <w:rPr>
          <w:rStyle w:val="NormalTok"/>
        </w:rPr>
        <w:t xml:space="preserve"> dq </w:t>
      </w:r>
      <w:r>
        <w:rPr>
          <w:rStyle w:val="KeywordTok"/>
        </w:rPr>
        <w:t xml:space="preserve">in</w:t>
      </w:r>
      <w:r>
        <w:rPr>
          <w:rStyle w:val="NormalTok"/>
        </w:rPr>
        <w:t xml:space="preserve"> departures]</w:t>
      </w:r>
      <w:r>
        <w:br/>
      </w:r>
      <w:r>
        <w:rPr>
          <w:rStyle w:val="NormalTok"/>
        </w:rPr>
        <w:t xml:space="preserve">        </w:t>
      </w:r>
      <w:r>
        <w:rPr>
          <w:rStyle w:val="ControlFlowTok"/>
        </w:rPr>
        <w:t xml:space="preserve">if</w:t>
      </w:r>
      <w:r>
        <w:rPr>
          <w:rStyle w:val="NormalTok"/>
        </w:rPr>
        <w:t xml:space="preserve"> t </w:t>
      </w:r>
      <w:r>
        <w:rPr>
          <w:rStyle w:val="OperatorTok"/>
        </w:rPr>
        <w:t xml:space="preserve">&gt;=</w:t>
      </w:r>
      <w:r>
        <w:rPr>
          <w:rStyle w:val="NormalTok"/>
        </w:rPr>
        <w:t xml:space="preserve"> next_refresh:                      </w:t>
      </w:r>
      <w:r>
        <w:rPr>
          <w:rStyle w:val="CommentTok"/>
        </w:rPr>
        <w:t xml:space="preserve"># refresh = 0 means a live view</w:t>
      </w:r>
      <w:r>
        <w:br/>
      </w:r>
      <w:r>
        <w:rPr>
          <w:rStyle w:val="NormalTok"/>
        </w:rPr>
        <w:t xml:space="preserve">            view, next_refresh </w:t>
      </w:r>
      <w:r>
        <w:rPr>
          <w:rStyle w:val="OperatorTok"/>
        </w:rPr>
        <w:t xml:space="preserve">=</w:t>
      </w:r>
      <w:r>
        <w:rPr>
          <w:rStyle w:val="NormalTok"/>
        </w:rPr>
        <w:t xml:space="preserve"> qlen, t </w:t>
      </w:r>
      <w:r>
        <w:rPr>
          <w:rStyle w:val="OperatorTok"/>
        </w:rPr>
        <w:t xml:space="preserve">+</w:t>
      </w:r>
      <w:r>
        <w:rPr>
          <w:rStyle w:val="NormalTok"/>
        </w:rPr>
        <w:t xml:space="preserve"> refresh</w:t>
      </w:r>
      <w:r>
        <w:br/>
      </w:r>
      <w:r>
        <w:rPr>
          <w:rStyle w:val="NormalTok"/>
        </w:rPr>
        <w:t xml:space="preserve">        s </w:t>
      </w:r>
      <w:r>
        <w:rPr>
          <w:rStyle w:val="OperatorTok"/>
        </w:rPr>
        <w:t xml:space="preserve">=</w:t>
      </w:r>
      <w:r>
        <w:rPr>
          <w:rStyle w:val="NormalTok"/>
        </w:rPr>
        <w:t xml:space="preserve"> policy.pick(view)</w:t>
      </w:r>
      <w:r>
        <w:br/>
      </w:r>
      <w:r>
        <w:rPr>
          <w:rStyle w:val="NormalTok"/>
        </w:rPr>
        <w:t xml:space="preserve">        start </w:t>
      </w:r>
      <w:r>
        <w:rPr>
          <w:rStyle w:val="OperatorTok"/>
        </w:rPr>
        <w:t xml:space="preserve">=</w:t>
      </w:r>
      <w:r>
        <w:rPr>
          <w:rStyle w:val="NormalTok"/>
        </w:rPr>
        <w:t xml:space="preserve"> departures[s][</w:t>
      </w:r>
      <w:r>
        <w:rPr>
          <w:rStyle w:val="OperatorTok"/>
        </w:rPr>
        <w:t xml:space="preserve">-</w:t>
      </w:r>
      <w:r>
        <w:rPr>
          <w:rStyle w:val="DecValTok"/>
        </w:rPr>
        <w:t xml:space="preserve">1</w:t>
      </w:r>
      <w:r>
        <w:rPr>
          <w:rStyle w:val="NormalTok"/>
        </w:rPr>
        <w:t xml:space="preserve">] </w:t>
      </w:r>
      <w:r>
        <w:rPr>
          <w:rStyle w:val="ControlFlowTok"/>
        </w:rPr>
        <w:t xml:space="preserve">if</w:t>
      </w:r>
      <w:r>
        <w:rPr>
          <w:rStyle w:val="NormalTok"/>
        </w:rPr>
        <w:t xml:space="preserve"> departures[s] </w:t>
      </w:r>
      <w:r>
        <w:rPr>
          <w:rStyle w:val="ControlFlowTok"/>
        </w:rPr>
        <w:t xml:space="preserve">else</w:t>
      </w:r>
      <w:r>
        <w:rPr>
          <w:rStyle w:val="NormalTok"/>
        </w:rPr>
        <w:t xml:space="preserve"> t</w:t>
      </w:r>
      <w:r>
        <w:br/>
      </w:r>
      <w:r>
        <w:rPr>
          <w:rStyle w:val="NormalTok"/>
        </w:rPr>
        <w:t xml:space="preserve">        done </w:t>
      </w:r>
      <w:r>
        <w:rPr>
          <w:rStyle w:val="OperatorTok"/>
        </w:rPr>
        <w:t xml:space="preserve">=</w:t>
      </w:r>
      <w:r>
        <w:rPr>
          <w:rStyle w:val="NormalTok"/>
        </w:rPr>
        <w:t xml:space="preserve"> start </w:t>
      </w:r>
      <w:r>
        <w:rPr>
          <w:rStyle w:val="OperatorTok"/>
        </w:rPr>
        <w:t xml:space="preserve">+</w:t>
      </w:r>
      <w:r>
        <w:rPr>
          <w:rStyle w:val="NormalTok"/>
        </w:rPr>
        <w:t xml:space="preserve"> rng.expovariate(SPEEDS[s])</w:t>
      </w:r>
      <w:r>
        <w:br/>
      </w:r>
      <w:r>
        <w:rPr>
          <w:rStyle w:val="NormalTok"/>
        </w:rPr>
        <w:t xml:space="preserve">        departures[s].append(done)</w:t>
      </w:r>
      <w:r>
        <w:br/>
      </w:r>
      <w:r>
        <w:rPr>
          <w:rStyle w:val="NormalTok"/>
        </w:rPr>
        <w:t xml:space="preserve">        found.append(qlen[s])</w:t>
      </w:r>
      <w:r>
        <w:br/>
      </w:r>
      <w:r>
        <w:rPr>
          <w:rStyle w:val="NormalTok"/>
        </w:rPr>
        <w:t xml:space="preserve">        latency.append(done </w:t>
      </w:r>
      <w:r>
        <w:rPr>
          <w:rStyle w:val="OperatorTok"/>
        </w:rPr>
        <w:t xml:space="preserve">-</w:t>
      </w:r>
      <w:r>
        <w:rPr>
          <w:rStyle w:val="NormalTok"/>
        </w:rPr>
        <w:t xml:space="preserve"> t)</w:t>
      </w:r>
      <w:r>
        <w:br/>
      </w:r>
      <w:r>
        <w:rPr>
          <w:rStyle w:val="NormalTok"/>
        </w:rPr>
        <w:t xml:space="preserve">    warm </w:t>
      </w:r>
      <w:r>
        <w:rPr>
          <w:rStyle w:val="OperatorTok"/>
        </w:rPr>
        <w:t xml:space="preserve">=</w:t>
      </w:r>
      <w:r>
        <w:rPr>
          <w:rStyle w:val="NormalTok"/>
        </w:rPr>
        <w:t xml:space="preserve"> requests </w:t>
      </w:r>
      <w:r>
        <w:rPr>
          <w:rStyle w:val="OperatorTok"/>
        </w:rPr>
        <w:t xml:space="preserve">//</w:t>
      </w:r>
      <w:r>
        <w:rPr>
          <w:rStyle w:val="NormalTok"/>
        </w:rPr>
        <w:t xml:space="preserve"> </w:t>
      </w:r>
      <w:r>
        <w:rPr>
          <w:rStyle w:val="DecValTok"/>
        </w:rPr>
        <w:t xml:space="preserve">10</w:t>
      </w:r>
      <w:r>
        <w:rPr>
          <w:rStyle w:val="NormalTok"/>
        </w:rPr>
        <w:t xml:space="preserve">                          </w:t>
      </w:r>
      <w:r>
        <w:rPr>
          <w:rStyle w:val="CommentTok"/>
        </w:rPr>
        <w:t xml:space="preserve"># discard warm-up</w:t>
      </w:r>
      <w:r>
        <w:br/>
      </w:r>
      <w:r>
        <w:rPr>
          <w:rStyle w:val="NormalTok"/>
        </w:rPr>
        <w:t xml:space="preserve">    found, latency </w:t>
      </w:r>
      <w:r>
        <w:rPr>
          <w:rStyle w:val="OperatorTok"/>
        </w:rPr>
        <w:t xml:space="preserve">=</w:t>
      </w:r>
      <w:r>
        <w:rPr>
          <w:rStyle w:val="NormalTok"/>
        </w:rPr>
        <w:t xml:space="preserve"> </w:t>
      </w:r>
      <w:r>
        <w:rPr>
          <w:rStyle w:val="BuiltInTok"/>
        </w:rPr>
        <w:t xml:space="preserve">sorted</w:t>
      </w:r>
      <w:r>
        <w:rPr>
          <w:rStyle w:val="NormalTok"/>
        </w:rPr>
        <w:t xml:space="preserve">(found[warm:]), </w:t>
      </w:r>
      <w:r>
        <w:rPr>
          <w:rStyle w:val="BuiltInTok"/>
        </w:rPr>
        <w:t xml:space="preserve">sorted</w:t>
      </w:r>
      <w:r>
        <w:rPr>
          <w:rStyle w:val="NormalTok"/>
        </w:rPr>
        <w:t xml:space="preserve">(latency[warm:])</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"q_mean"</w:t>
      </w:r>
      <w:r>
        <w:rPr>
          <w:rStyle w:val="NormalTok"/>
        </w:rPr>
        <w:t xml:space="preserve">: </w:t>
      </w:r>
      <w:r>
        <w:rPr>
          <w:rStyle w:val="BuiltInTok"/>
        </w:rPr>
        <w:t xml:space="preserve">sum</w:t>
      </w:r>
      <w:r>
        <w:rPr>
          <w:rStyle w:val="NormalTok"/>
        </w:rPr>
        <w:t xml:space="preserve">(found) </w:t>
      </w:r>
      <w:r>
        <w:rPr>
          <w:rStyle w:val="OperatorTok"/>
        </w:rPr>
        <w:t xml:space="preserve">/</w:t>
      </w:r>
      <w:r>
        <w:rPr>
          <w:rStyle w:val="NormalTok"/>
        </w:rPr>
        <w:t xml:space="preserve"> </w:t>
      </w:r>
      <w:r>
        <w:rPr>
          <w:rStyle w:val="BuiltInTok"/>
        </w:rPr>
        <w:t xml:space="preserve">len</w:t>
      </w:r>
      <w:r>
        <w:rPr>
          <w:rStyle w:val="NormalTok"/>
        </w:rPr>
        <w:t xml:space="preserve">(found), </w:t>
      </w:r>
      <w:r>
        <w:rPr>
          <w:rStyle w:val="StringTok"/>
        </w:rPr>
        <w:t xml:space="preserve">"q_p99"</w:t>
      </w:r>
      <w:r>
        <w:rPr>
          <w:rStyle w:val="NormalTok"/>
        </w:rPr>
        <w:t xml:space="preserve">: percentile(found, </w:t>
      </w:r>
      <w:r>
        <w:rPr>
          <w:rStyle w:val="DecValTok"/>
        </w:rPr>
        <w:t xml:space="preserve">99</w:t>
      </w:r>
      <w:r>
        <w:rPr>
          <w:rStyle w:val="NormalTok"/>
        </w:rPr>
        <w:t xml:space="preserve">),</w:t>
      </w:r>
      <w:r>
        <w:br/>
      </w:r>
      <w:r>
        <w:rPr>
          <w:rStyle w:val="NormalTok"/>
        </w:rPr>
        <w:t xml:space="preserve">        </w:t>
      </w:r>
      <w:r>
        <w:rPr>
          <w:rStyle w:val="StringTok"/>
        </w:rPr>
        <w:t xml:space="preserve">"q_max"</w:t>
      </w:r>
      <w:r>
        <w:rPr>
          <w:rStyle w:val="NormalTok"/>
        </w:rPr>
        <w:t xml:space="preserve">: found[</w:t>
      </w:r>
      <w:r>
        <w:rPr>
          <w:rStyle w:val="OperatorTok"/>
        </w:rPr>
        <w:t xml:space="preserve">-</w:t>
      </w:r>
      <w:r>
        <w:rPr>
          <w:rStyle w:val="DecValTok"/>
        </w:rPr>
        <w:t xml:space="preserve">1</w:t>
      </w:r>
      <w:r>
        <w:rPr>
          <w:rStyle w:val="NormalTok"/>
        </w:rPr>
        <w:t xml:space="preserve">], </w:t>
      </w:r>
      <w:r>
        <w:rPr>
          <w:rStyle w:val="StringTok"/>
        </w:rPr>
        <w:t xml:space="preserve">"lat_mean"</w:t>
      </w:r>
      <w:r>
        <w:rPr>
          <w:rStyle w:val="NormalTok"/>
        </w:rPr>
        <w:t xml:space="preserve">: </w:t>
      </w:r>
      <w:r>
        <w:rPr>
          <w:rStyle w:val="BuiltInTok"/>
        </w:rPr>
        <w:t xml:space="preserve">sum</w:t>
      </w:r>
      <w:r>
        <w:rPr>
          <w:rStyle w:val="NormalTok"/>
        </w:rPr>
        <w:t xml:space="preserve">(latency) </w:t>
      </w:r>
      <w:r>
        <w:rPr>
          <w:rStyle w:val="OperatorTok"/>
        </w:rPr>
        <w:t xml:space="preserve">/</w:t>
      </w:r>
      <w:r>
        <w:rPr>
          <w:rStyle w:val="NormalTok"/>
        </w:rPr>
        <w:t xml:space="preserve"> </w:t>
      </w:r>
      <w:r>
        <w:rPr>
          <w:rStyle w:val="BuiltInTok"/>
        </w:rPr>
        <w:t xml:space="preserve">len</w:t>
      </w:r>
      <w:r>
        <w:rPr>
          <w:rStyle w:val="NormalTok"/>
        </w:rPr>
        <w:t xml:space="preserve">(latency),</w:t>
      </w:r>
      <w:r>
        <w:br/>
      </w:r>
      <w:r>
        <w:rPr>
          <w:rStyle w:val="NormalTok"/>
        </w:rPr>
        <w:t xml:space="preserve">        </w:t>
      </w:r>
      <w:r>
        <w:rPr>
          <w:rStyle w:val="StringTok"/>
        </w:rPr>
        <w:t xml:space="preserve">"lat_p99"</w:t>
      </w:r>
      <w:r>
        <w:rPr>
          <w:rStyle w:val="NormalTok"/>
        </w:rPr>
        <w:t xml:space="preserve">: percentile(latency, </w:t>
      </w:r>
      <w:r>
        <w:rPr>
          <w:rStyle w:val="DecValTok"/>
        </w:rPr>
        <w:t xml:space="preserve">99</w:t>
      </w:r>
      <w:r>
        <w:rPr>
          <w:rStyle w:val="NormalTok"/>
        </w:rPr>
        <w:t xml:space="preserve">),</w:t>
      </w:r>
      <w:r>
        <w:br/>
      </w:r>
      <w:r>
        <w:rPr>
          <w:rStyle w:val="NormalTok"/>
        </w:rPr>
        <w:t xml:space="preserve">    }</w:t>
      </w:r>
      <w:r>
        <w:br/>
      </w:r>
      <w:r>
        <w:br/>
      </w:r>
      <w:r>
        <w:br/>
      </w:r>
      <w:r>
        <w:rPr>
          <w:rStyle w:val="NormalTok"/>
        </w:rPr>
        <w:t xml:space="preserve">POLICIES </w:t>
      </w:r>
      <w:r>
        <w:rPr>
          <w:rStyle w:val="OperatorTok"/>
        </w:rPr>
        <w:t xml:space="preserve">=</w:t>
      </w:r>
      <w:r>
        <w:rPr>
          <w:rStyle w:val="NormalTok"/>
        </w:rPr>
        <w:t xml:space="preserve"> [Random, RoundRobin, WeightedRR, LeastConnections, PowerOfTwo]</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ntrolFlowTok"/>
        </w:rPr>
        <w:t xml:space="preserve">for</w:t>
      </w:r>
      <w:r>
        <w:rPr>
          <w:rStyle w:val="NormalTok"/>
        </w:rPr>
        <w:t xml:space="preserve"> load, refresh </w:t>
      </w:r>
      <w:r>
        <w:rPr>
          <w:rStyle w:val="KeywordTok"/>
        </w:rPr>
        <w:t xml:space="preserve">in</w:t>
      </w:r>
      <w:r>
        <w:rPr>
          <w:rStyle w:val="NormalTok"/>
        </w:rPr>
        <w:t xml:space="preserve"> ((</w:t>
      </w:r>
      <w:r>
        <w:rPr>
          <w:rStyle w:val="FloatTok"/>
        </w:rPr>
        <w:t xml:space="preserve">0.6</w:t>
      </w:r>
      <w:r>
        <w:rPr>
          <w:rStyle w:val="NormalTok"/>
        </w:rPr>
        <w:t xml:space="preserve">, </w:t>
      </w:r>
      <w:r>
        <w:rPr>
          <w:rStyle w:val="FloatTok"/>
        </w:rPr>
        <w:t xml:space="preserve">0.0</w:t>
      </w:r>
      <w:r>
        <w:rPr>
          <w:rStyle w:val="NormalTok"/>
        </w:rPr>
        <w:t xml:space="preserve">), (</w:t>
      </w:r>
      <w:r>
        <w:rPr>
          <w:rStyle w:val="FloatTok"/>
        </w:rPr>
        <w:t xml:space="preserve">0.85</w:t>
      </w:r>
      <w:r>
        <w:rPr>
          <w:rStyle w:val="NormalTok"/>
        </w:rPr>
        <w:t xml:space="preserve">, </w:t>
      </w:r>
      <w:r>
        <w:rPr>
          <w:rStyle w:val="FloatTok"/>
        </w:rPr>
        <w:t xml:space="preserve">0.0</w:t>
      </w:r>
      <w:r>
        <w:rPr>
          <w:rStyle w:val="NormalTok"/>
        </w:rPr>
        <w:t xml:space="preserve">), (</w:t>
      </w:r>
      <w:r>
        <w:rPr>
          <w:rStyle w:val="FloatTok"/>
        </w:rPr>
        <w:t xml:space="preserve">0.85</w:t>
      </w:r>
      <w:r>
        <w:rPr>
          <w:rStyle w:val="NormalTok"/>
        </w:rPr>
        <w:t xml:space="preserve">, </w:t>
      </w:r>
      <w:r>
        <w:rPr>
          <w:rStyle w:val="FloatTok"/>
        </w:rPr>
        <w:t xml:space="preserve">2.0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Load </w:t>
      </w:r>
      <w:r>
        <w:rPr>
          <w:rStyle w:val="SpecialCharTok"/>
        </w:rPr>
        <w:t xml:space="preserve">{</w:t>
      </w:r>
      <w:r>
        <w:rPr>
          <w:rStyle w:val="NormalTok"/>
        </w:rPr>
        <w:t xml:space="preserve">load</w:t>
      </w:r>
      <w:r>
        <w:rPr>
          <w:rStyle w:val="SpecialCharTok"/>
        </w:rPr>
        <w:t xml:space="preserve">:.0%}</w:t>
      </w:r>
      <w:r>
        <w:rPr>
          <w:rStyle w:val="SpecialStringTok"/>
        </w:rPr>
        <w:t xml:space="preserve"> of capacity, arrival rate </w:t>
      </w:r>
      <w:r>
        <w:rPr>
          <w:rStyle w:val="SpecialCharTok"/>
        </w:rPr>
        <w:t xml:space="preserve">{</w:t>
      </w:r>
      <w:r>
        <w:rPr>
          <w:rStyle w:val="NormalTok"/>
        </w:rPr>
        <w:t xml:space="preserve">load </w:t>
      </w:r>
      <w:r>
        <w:rPr>
          <w:rStyle w:val="OperatorTok"/>
        </w:rPr>
        <w:t xml:space="preserve">*</w:t>
      </w:r>
      <w:r>
        <w:rPr>
          <w:rStyle w:val="NormalTok"/>
        </w:rPr>
        <w:t xml:space="preserve"> </w:t>
      </w:r>
      <w:r>
        <w:rPr>
          <w:rStyle w:val="BuiltInTok"/>
        </w:rPr>
        <w:t xml:space="preserve">sum</w:t>
      </w:r>
      <w:r>
        <w:rPr>
          <w:rStyle w:val="NormalTok"/>
        </w:rPr>
        <w:t xml:space="preserve">(SPEEDS)</w:t>
      </w:r>
      <w:r>
        <w:rPr>
          <w:rStyle w:val="SpecialCharTok"/>
        </w:rPr>
        <w:t xml:space="preserve">:.2f}</w:t>
      </w:r>
      <w:r>
        <w:rPr>
          <w:rStyle w:val="SpecialStringTok"/>
        </w:rPr>
        <w:t xml:space="preserve">/s, "</w:t>
      </w:r>
      <w:r>
        <w:br/>
      </w:r>
      <w:r>
        <w:rPr>
          <w:rStyle w:val="NormalTok"/>
        </w:rPr>
        <w:t xml:space="preserve">              </w:t>
      </w:r>
      <w:r>
        <w:rPr>
          <w:rStyle w:val="OperatorTok"/>
        </w:rPr>
        <w:t xml:space="preserve">+</w:t>
      </w:r>
      <w:r>
        <w:rPr>
          <w:rStyle w:val="NormalTok"/>
        </w:rPr>
        <w:t xml:space="preserve"> (</w:t>
      </w:r>
      <w:r>
        <w:rPr>
          <w:rStyle w:val="StringTok"/>
        </w:rPr>
        <w:t xml:space="preserve">"live load view"</w:t>
      </w:r>
      <w:r>
        <w:rPr>
          <w:rStyle w:val="NormalTok"/>
        </w:rPr>
        <w:t xml:space="preserve"> </w:t>
      </w:r>
      <w:r>
        <w:rPr>
          <w:rStyle w:val="ControlFlowTok"/>
        </w:rPr>
        <w:t xml:space="preserve">if</w:t>
      </w:r>
      <w:r>
        <w:rPr>
          <w:rStyle w:val="NormalTok"/>
        </w:rPr>
        <w:t xml:space="preserve"> refresh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SpecialStringTok"/>
        </w:rPr>
        <w:t xml:space="preserve">f"load view refreshed every </w:t>
      </w:r>
      <w:r>
        <w:rPr>
          <w:rStyle w:val="SpecialCharTok"/>
        </w:rPr>
        <w:t xml:space="preserve">{</w:t>
      </w:r>
      <w:r>
        <w:rPr>
          <w:rStyle w:val="NormalTok"/>
        </w:rPr>
        <w:t xml:space="preserve">refresh</w:t>
      </w:r>
      <w:r>
        <w:rPr>
          <w:rStyle w:val="SpecialCharTok"/>
        </w:rPr>
        <w:t xml:space="preserve">:g}</w:t>
      </w:r>
      <w:r>
        <w:rPr>
          <w:rStyle w:val="SpecialStringTok"/>
        </w:rPr>
        <w:t xml:space="preserve"> 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'policy'</w:t>
      </w:r>
      <w:r>
        <w:rPr>
          <w:rStyle w:val="SpecialCharTok"/>
        </w:rPr>
        <w:t xml:space="preserve">:&lt;17}{</w:t>
      </w:r>
      <w:r>
        <w:rPr>
          <w:rStyle w:val="StringTok"/>
        </w:rPr>
        <w:t xml:space="preserve">'queue mean'</w:t>
      </w:r>
      <w:r>
        <w:rPr>
          <w:rStyle w:val="SpecialCharTok"/>
        </w:rPr>
        <w:t xml:space="preserve">:&gt;11}{</w:t>
      </w:r>
      <w:r>
        <w:rPr>
          <w:rStyle w:val="StringTok"/>
        </w:rPr>
        <w:t xml:space="preserve">'queue p99'</w:t>
      </w:r>
      <w:r>
        <w:rPr>
          <w:rStyle w:val="SpecialCharTok"/>
        </w:rPr>
        <w:t xml:space="preserve">:&gt;10}{</w:t>
      </w:r>
      <w:r>
        <w:rPr>
          <w:rStyle w:val="StringTok"/>
        </w:rPr>
        <w:t xml:space="preserve">'queue max'</w:t>
      </w:r>
      <w:r>
        <w:rPr>
          <w:rStyle w:val="SpecialCharTok"/>
        </w:rPr>
        <w:t xml:space="preserve">:&gt;10}</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StringTok"/>
        </w:rPr>
        <w:t xml:space="preserve">'lat mean'</w:t>
      </w:r>
      <w:r>
        <w:rPr>
          <w:rStyle w:val="SpecialCharTok"/>
        </w:rPr>
        <w:t xml:space="preserve">:&gt;10}{</w:t>
      </w:r>
      <w:r>
        <w:rPr>
          <w:rStyle w:val="StringTok"/>
        </w:rPr>
        <w:t xml:space="preserve">'lat p99'</w:t>
      </w:r>
      <w:r>
        <w:rPr>
          <w:rStyle w:val="SpecialCharTok"/>
        </w:rPr>
        <w:t xml:space="preserve">:&gt;9}</w:t>
      </w:r>
      <w:r>
        <w:rPr>
          <w:rStyle w:val="Speci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cls </w:t>
      </w:r>
      <w:r>
        <w:rPr>
          <w:rStyle w:val="KeywordTok"/>
        </w:rPr>
        <w:t xml:space="preserve">in</w:t>
      </w:r>
      <w:r>
        <w:rPr>
          <w:rStyle w:val="NormalTok"/>
        </w:rPr>
        <w:t xml:space="preserve"> (POLICIES </w:t>
      </w:r>
      <w:r>
        <w:rPr>
          <w:rStyle w:val="ControlFlowTok"/>
        </w:rPr>
        <w:t xml:space="preserve">if</w:t>
      </w:r>
      <w:r>
        <w:rPr>
          <w:rStyle w:val="NormalTok"/>
        </w:rPr>
        <w:t xml:space="preserve"> refresh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POLICIES[</w:t>
      </w:r>
      <w:r>
        <w:rPr>
          <w:rStyle w:val="DecValTok"/>
        </w:rPr>
        <w:t xml:space="preserve">2</w:t>
      </w:r>
      <w:r>
        <w:rPr>
          <w:rStyle w:val="NormalTok"/>
        </w:rPr>
        <w:t xml:space="preserve">:]):   </w:t>
      </w:r>
      <w:r>
        <w:rPr>
          <w:rStyle w:val="CommentTok"/>
        </w:rPr>
        <w:t xml:space="preserve"># load-aware only</w:t>
      </w:r>
      <w:r>
        <w:br/>
      </w:r>
      <w:r>
        <w:rPr>
          <w:rStyle w:val="NormalTok"/>
        </w:rPr>
        <w:t xml:space="preserve">            r </w:t>
      </w:r>
      <w:r>
        <w:rPr>
          <w:rStyle w:val="OperatorTok"/>
        </w:rPr>
        <w:t xml:space="preserve">=</w:t>
      </w:r>
      <w:r>
        <w:rPr>
          <w:rStyle w:val="NormalTok"/>
        </w:rPr>
        <w:t xml:space="preserve"> simulate(cls, load, refresh)</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cls</w:t>
      </w:r>
      <w:r>
        <w:rPr>
          <w:rStyle w:val="SpecialCharTok"/>
        </w:rPr>
        <w:t xml:space="preserve">.</w:t>
      </w:r>
      <w:r>
        <w:rPr>
          <w:rStyle w:val="VariableTok"/>
        </w:rPr>
        <w:t xml:space="preserve">__name__</w:t>
      </w:r>
      <w:r>
        <w:rPr>
          <w:rStyle w:val="SpecialCharTok"/>
        </w:rPr>
        <w:t xml:space="preserve">:&lt;17}{</w:t>
      </w:r>
      <w:r>
        <w:rPr>
          <w:rStyle w:val="NormalTok"/>
        </w:rPr>
        <w:t xml:space="preserve">r[</w:t>
      </w:r>
      <w:r>
        <w:rPr>
          <w:rStyle w:val="StringTok"/>
        </w:rPr>
        <w:t xml:space="preserve">'q_mean'</w:t>
      </w:r>
      <w:r>
        <w:rPr>
          <w:rStyle w:val="NormalTok"/>
        </w:rPr>
        <w:t xml:space="preserve">]</w:t>
      </w:r>
      <w:r>
        <w:rPr>
          <w:rStyle w:val="SpecialCharTok"/>
        </w:rPr>
        <w:t xml:space="preserve">:&gt;11.2f}{</w:t>
      </w:r>
      <w:r>
        <w:rPr>
          <w:rStyle w:val="NormalTok"/>
        </w:rPr>
        <w:t xml:space="preserve">r[</w:t>
      </w:r>
      <w:r>
        <w:rPr>
          <w:rStyle w:val="StringTok"/>
        </w:rPr>
        <w:t xml:space="preserve">'q_p99'</w:t>
      </w:r>
      <w:r>
        <w:rPr>
          <w:rStyle w:val="NormalTok"/>
        </w:rPr>
        <w:t xml:space="preserve">]</w:t>
      </w:r>
      <w:r>
        <w:rPr>
          <w:rStyle w:val="SpecialCharTok"/>
        </w:rPr>
        <w:t xml:space="preserve">:&gt;10d}{</w:t>
      </w:r>
      <w:r>
        <w:rPr>
          <w:rStyle w:val="NormalTok"/>
        </w:rPr>
        <w:t xml:space="preserve">r[</w:t>
      </w:r>
      <w:r>
        <w:rPr>
          <w:rStyle w:val="StringTok"/>
        </w:rPr>
        <w:t xml:space="preserve">'q_max'</w:t>
      </w:r>
      <w:r>
        <w:rPr>
          <w:rStyle w:val="NormalTok"/>
        </w:rPr>
        <w:t xml:space="preserve">]</w:t>
      </w:r>
      <w:r>
        <w:rPr>
          <w:rStyle w:val="SpecialCharTok"/>
        </w:rPr>
        <w:t xml:space="preserve">:&gt;10d}</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r[</w:t>
      </w:r>
      <w:r>
        <w:rPr>
          <w:rStyle w:val="StringTok"/>
        </w:rPr>
        <w:t xml:space="preserve">'lat_mean'</w:t>
      </w:r>
      <w:r>
        <w:rPr>
          <w:rStyle w:val="NormalTok"/>
        </w:rPr>
        <w:t xml:space="preserve">]</w:t>
      </w:r>
      <w:r>
        <w:rPr>
          <w:rStyle w:val="SpecialCharTok"/>
        </w:rPr>
        <w:t xml:space="preserve">:&gt;10.2f}{</w:t>
      </w:r>
      <w:r>
        <w:rPr>
          <w:rStyle w:val="NormalTok"/>
        </w:rPr>
        <w:t xml:space="preserve">r[</w:t>
      </w:r>
      <w:r>
        <w:rPr>
          <w:rStyle w:val="StringTok"/>
        </w:rPr>
        <w:t xml:space="preserve">'lat_p99'</w:t>
      </w:r>
      <w:r>
        <w:rPr>
          <w:rStyle w:val="NormalTok"/>
        </w:rPr>
        <w:t xml:space="preserve">]</w:t>
      </w:r>
      <w:r>
        <w:rPr>
          <w:rStyle w:val="SpecialCharTok"/>
        </w:rPr>
        <w:t xml:space="preserve">:&gt;9.2f}</w:t>
      </w:r>
      <w:r>
        <w:rPr>
          <w:rStyle w:val="SpecialStringTok"/>
        </w:rPr>
        <w:t xml:space="preserve">"</w:t>
      </w:r>
      <w:r>
        <w:rPr>
          <w:rStyle w:val="NormalTok"/>
        </w:rPr>
        <w:t xml:space="preserve">)</w:t>
      </w:r>
    </w:p>
    <w:p>
      <w:pPr>
        <w:pStyle w:val="FirstParagraph"/>
      </w:pPr>
      <w:r>
        <w:t xml:space="preserve">Output (Python 3.13; times in units of the slow server’s mean service time):</w:t>
      </w:r>
    </w:p>
    <w:p>
      <w:pPr>
        <w:pStyle w:val="SourceCode"/>
      </w:pPr>
      <w:r>
        <w:rPr>
          <w:rStyle w:val="VerbatimChar"/>
        </w:rPr>
        <w:t xml:space="preserve">Load 60% of capacity, arrival rate 9.00/s, live load view</w:t>
      </w:r>
      <w:r>
        <w:br/>
      </w:r>
      <w:r>
        <w:rPr>
          <w:rStyle w:val="VerbatimChar"/>
        </w:rPr>
        <w:t xml:space="preserve">policy            queue mean queue p99 queue max  lat mean  lat p99</w:t>
      </w:r>
      <w:r>
        <w:br/>
      </w:r>
      <w:r>
        <w:rPr>
          <w:rStyle w:val="VerbatimChar"/>
        </w:rPr>
        <w:t xml:space="preserve">Random                  4.74        35        85      5.28    37.99</w:t>
      </w:r>
      <w:r>
        <w:br/>
      </w:r>
      <w:r>
        <w:rPr>
          <w:rStyle w:val="VerbatimChar"/>
        </w:rPr>
        <w:t xml:space="preserve">RoundRobin              2.37        19        33      3.05    21.39</w:t>
      </w:r>
      <w:r>
        <w:br/>
      </w:r>
      <w:r>
        <w:rPr>
          <w:rStyle w:val="VerbatimChar"/>
        </w:rPr>
        <w:t xml:space="preserve">WeightedRR              0.61         4        11      1.06     5.54</w:t>
      </w:r>
      <w:r>
        <w:br/>
      </w:r>
      <w:r>
        <w:rPr>
          <w:rStyle w:val="VerbatimChar"/>
        </w:rPr>
        <w:t xml:space="preserve">LeastConnections        0.08         1         2      0.75     4.01</w:t>
      </w:r>
      <w:r>
        <w:br/>
      </w:r>
      <w:r>
        <w:rPr>
          <w:rStyle w:val="VerbatimChar"/>
        </w:rPr>
        <w:t xml:space="preserve">PowerOfTwo              0.52         3         5      1.11     5.58</w:t>
      </w:r>
      <w:r>
        <w:br/>
      </w:r>
      <w:r>
        <w:br/>
      </w:r>
      <w:r>
        <w:rPr>
          <w:rStyle w:val="VerbatimChar"/>
        </w:rPr>
        <w:t xml:space="preserve">Load 85% of capacity, arrival rate 12.75/s, live load view</w:t>
      </w:r>
      <w:r>
        <w:br/>
      </w:r>
      <w:r>
        <w:rPr>
          <w:rStyle w:val="VerbatimChar"/>
        </w:rPr>
        <w:t xml:space="preserve">policy            queue mean queue p99 queue max  lat mean  lat p99</w:t>
      </w:r>
      <w:r>
        <w:br/>
      </w:r>
      <w:r>
        <w:rPr>
          <w:rStyle w:val="VerbatimChar"/>
        </w:rPr>
        <w:t xml:space="preserve">Random               1154.35      4168      4415   1151.50  4157.78</w:t>
      </w:r>
      <w:r>
        <w:br/>
      </w:r>
      <w:r>
        <w:rPr>
          <w:rStyle w:val="VerbatimChar"/>
        </w:rPr>
        <w:t xml:space="preserve">RoundRobin           1200.44      4280      4465   1199.30  4277.65</w:t>
      </w:r>
      <w:r>
        <w:br/>
      </w:r>
      <w:r>
        <w:rPr>
          <w:rStyle w:val="VerbatimChar"/>
        </w:rPr>
        <w:t xml:space="preserve">WeightedRR              2.92        15        26      2.59    13.79</w:t>
      </w:r>
      <w:r>
        <w:br/>
      </w:r>
      <w:r>
        <w:rPr>
          <w:rStyle w:val="VerbatimChar"/>
        </w:rPr>
        <w:t xml:space="preserve">LeastConnections        0.58         3         7      1.09     5.52</w:t>
      </w:r>
      <w:r>
        <w:br/>
      </w:r>
      <w:r>
        <w:rPr>
          <w:rStyle w:val="VerbatimChar"/>
        </w:rPr>
        <w:t xml:space="preserve">PowerOfTwo              1.75         6        10      1.98     8.93</w:t>
      </w:r>
      <w:r>
        <w:br/>
      </w:r>
      <w:r>
        <w:br/>
      </w:r>
      <w:r>
        <w:rPr>
          <w:rStyle w:val="VerbatimChar"/>
        </w:rPr>
        <w:t xml:space="preserve">Load 85% of capacity, arrival rate 12.75/s, load view refreshed every 2 s</w:t>
      </w:r>
      <w:r>
        <w:br/>
      </w:r>
      <w:r>
        <w:rPr>
          <w:rStyle w:val="VerbatimChar"/>
        </w:rPr>
        <w:t xml:space="preserve">policy            queue mean queue p99 queue max  lat mean  lat p99</w:t>
      </w:r>
      <w:r>
        <w:br/>
      </w:r>
      <w:r>
        <w:rPr>
          <w:rStyle w:val="VerbatimChar"/>
        </w:rPr>
        <w:t xml:space="preserve">WeightedRR              2.92        15        26      2.59    13.79</w:t>
      </w:r>
      <w:r>
        <w:br/>
      </w:r>
      <w:r>
        <w:rPr>
          <w:rStyle w:val="VerbatimChar"/>
        </w:rPr>
        <w:t xml:space="preserve">LeastConnections        6.14        27        42      4.91    25.42</w:t>
      </w:r>
      <w:r>
        <w:br/>
      </w:r>
      <w:r>
        <w:rPr>
          <w:rStyle w:val="VerbatimChar"/>
        </w:rPr>
        <w:t xml:space="preserve">PowerOfTwo              2.53         8        15      2.58    11.26</w:t>
      </w:r>
    </w:p>
    <w:p>
      <w:pPr>
        <w:pStyle w:val="FirstParagraph"/>
      </w:pPr>
      <w:r>
        <w:t xml:space="preserve">What to notice:</w:t>
      </w:r>
    </w:p>
    <w:p>
      <w:pPr>
        <w:numPr>
          <w:ilvl w:val="0"/>
          <w:numId w:val="1635"/>
        </w:numPr>
        <w:pStyle w:val="Compact"/>
      </w:pPr>
      <w:r>
        <w:rPr>
          <w:bCs/>
          <w:b/>
        </w:rPr>
        <w:t xml:space="preserve">Load-oblivious policies fail on mixed fleets.</w:t>
      </w:r>
      <w:r>
        <w:t xml:space="preserve"> </w:t>
      </w:r>
      <w:r>
        <w:t xml:space="preserve">At 60% load, random and round robin send 0.9 requests per time unit to each slow server (90% busy) while fast ones idle at 45%: p99 queue 19 for RR and 35 for random, against 1 to 4 for the others. At 85% they send 1.275 to servers that can do 1.0; those queues grow without bound, so the numbers only reflect the run length.</w:t>
      </w:r>
    </w:p>
    <w:bookmarkEnd w:id="2183"/>
    <w:bookmarkStart w:id="2184" w:name="consistent-hashing-for-request-routing"/>
    <w:p>
      <w:pPr>
        <w:pStyle w:val="Heading3"/>
      </w:pPr>
      <w:r>
        <w:t xml:space="preserve">19.4.6 Consistent hashing for request routing</w:t>
      </w:r>
    </w:p>
    <w:p>
      <w:pPr>
        <w:pStyle w:val="FirstParagraph"/>
      </w:pPr>
      <w:r>
        <w:t xml:space="preserve">Hash-based balancing sends all requests with the same</w:t>
      </w:r>
      <w:r>
        <w:t xml:space="preserve"> </w:t>
      </w:r>
      <w:r>
        <w:rPr>
          <w:bCs/>
          <w:b/>
        </w:rPr>
        <w:t xml:space="preserve">key</w:t>
      </w:r>
      <w:r>
        <w:t xml:space="preserve"> </w:t>
      </w:r>
      <w:r>
        <w:t xml:space="preserve">(user ID, cache key, video ID) to the same backend, so its cache or local state is reused.</w:t>
      </w:r>
      <w:r>
        <w:t xml:space="preserve"> </w:t>
      </w:r>
      <w:r>
        <w:rPr>
          <w:bCs/>
          <w:b/>
        </w:rPr>
        <w:t xml:space="preserve">Consistent hashing</w:t>
      </w:r>
      <w:r>
        <w:t xml:space="preserve"> </w:t>
      </w:r>
      <w:r>
        <w:t xml:space="preserve">places backends and keys on a ring so that adding or removing one of</w:t>
      </w:r>
      <w:r>
        <w:t xml:space="preserve"> </w:t>
      </w:r>
      <m:oMath>
        <m:r>
          <m:t>N</m:t>
        </m:r>
      </m:oMath>
      <w:r>
        <w:t xml:space="preserve"> </w:t>
      </w:r>
      <w:r>
        <w:t xml:space="preserve">backends moves only about</w:t>
      </w:r>
      <w:r>
        <w:t xml:space="preserve"> </w:t>
      </w:r>
      <m:oMath>
        <m:r>
          <m:t>1</m:t>
        </m:r>
        <m:r>
          <m:rPr>
            <m:sty m:val="p"/>
          </m:rPr>
          <m:t>/</m:t>
        </m:r>
        <m:r>
          <m:t>N</m:t>
        </m:r>
      </m:oMath>
      <w:r>
        <w:t xml:space="preserve"> </w:t>
      </w:r>
      <w:r>
        <w:t xml:space="preserve">of keys, where</w:t>
      </w:r>
      <w:r>
        <w:t xml:space="preserve"> </w:t>
      </w:r>
      <w:r>
        <w:rPr>
          <w:rStyle w:val="VerbatimChar"/>
        </w:rPr>
        <w:t xml:space="preserve">hash mod N</w:t>
      </w:r>
      <w:r>
        <w:t xml:space="preserve"> </w:t>
      </w:r>
      <w:r>
        <w:t xml:space="preserve">would move nearly all; the derivations, code and alternatives (jump, rendezvous hashing) are in §14.8.</w:t>
      </w:r>
    </w:p>
    <w:p>
      <w:pPr>
        <w:pStyle w:val="BodyText"/>
      </w:pPr>
      <w:r>
        <w:t xml:space="preserve">Two limits of the plain ring matter here.</w:t>
      </w:r>
      <w:r>
        <w:t xml:space="preserve"> </w:t>
      </w:r>
      <w:r>
        <w:rPr>
          <w:bCs/>
          <w:b/>
        </w:rPr>
        <w:t xml:space="preserve">Balance depends on keys, not arcs</w:t>
      </w:r>
      <w:r>
        <w:t xml:space="preserve">: an even split of the key space still sends a hot key’s traffic to one server. And</w:t>
      </w:r>
      <w:r>
        <w:t xml:space="preserve"> </w:t>
      </w:r>
      <w:r>
        <w:rPr>
          <w:bCs/>
          <w:b/>
        </w:rPr>
        <w:t xml:space="preserve">lookups cost</w:t>
      </w:r>
      <w:r>
        <w:rPr>
          <w:bCs/>
          <w:b/>
        </w:rPr>
        <w:t xml:space="preserve"> </w:t>
      </w:r>
      <m:oMath>
        <m:r>
          <m:t>O</m:t>
        </m:r>
        <m:d>
          <m:dPr>
            <m:begChr m:val="("/>
            <m:endChr m:val=")"/>
            <m:sepChr m:val=""/>
            <m:grow/>
          </m:dPr>
          <m:e>
            <m:r>
              <m:rPr>
                <m:sty m:val="p"/>
              </m:rPr>
              <m:t>log</m:t>
            </m:r>
            <m:r>
              <m:t>M</m:t>
            </m:r>
          </m:e>
        </m:d>
      </m:oMath>
      <w:r>
        <w:t xml:space="preserve"> </w:t>
      </w:r>
      <w:r>
        <w:t xml:space="preserve">over</w:t>
      </w:r>
      <w:r>
        <w:t xml:space="preserve"> </w:t>
      </w:r>
      <m:oMath>
        <m:r>
          <m:t>M</m:t>
        </m:r>
      </m:oMath>
      <w:r>
        <w:t xml:space="preserve"> </w:t>
      </w:r>
      <w:r>
        <w:t xml:space="preserve">ring points, while per-packet L4 balancers want</w:t>
      </w:r>
      <w:r>
        <w:t xml:space="preserve"> </w:t>
      </w:r>
      <m:oMath>
        <m:r>
          <m:t>O</m:t>
        </m:r>
        <m:d>
          <m:dPr>
            <m:begChr m:val="("/>
            <m:endChr m:val=")"/>
            <m:sepChr m:val=""/>
            <m:grow/>
          </m:dPr>
          <m:e>
            <m:r>
              <m:t>1</m:t>
            </m:r>
          </m:e>
        </m:d>
      </m:oMath>
      <w:r>
        <w:t xml:space="preserve">. The next two techniques address these limits. Ring hashing is available in HAProxy (</w:t>
      </w:r>
      <w:r>
        <w:rPr>
          <w:rStyle w:val="VerbatimChar"/>
        </w:rPr>
        <w:t xml:space="preserve">hash-type consistent</w:t>
      </w:r>
      <w:r>
        <w:t xml:space="preserve">), NGINX (</w:t>
      </w:r>
      <w:r>
        <w:rPr>
          <w:rStyle w:val="VerbatimChar"/>
        </w:rPr>
        <w:t xml:space="preserve">hash ... consistent</w:t>
      </w:r>
      <w:r>
        <w:t xml:space="preserve">, Ketama) and Envoy (</w:t>
      </w:r>
      <w:r>
        <w:rPr>
          <w:rStyle w:val="VerbatimChar"/>
        </w:rPr>
        <w:t xml:space="preserve">RING_HASH</w:t>
      </w:r>
      <w:r>
        <w:t xml:space="preserve">).</w:t>
      </w:r>
    </w:p>
    <w:bookmarkEnd w:id="2184"/>
    <w:bookmarkStart w:id="2187" w:name="consistent-hashing-with-bounded-loads"/>
    <w:p>
      <w:pPr>
        <w:pStyle w:val="Heading3"/>
      </w:pPr>
      <w:r>
        <w:t xml:space="preserve">19.4.7 Consistent hashing with bounded loads</w:t>
      </w:r>
    </w:p>
    <w:p>
      <w:pPr>
        <w:pStyle w:val="CalloutDefinition"/>
      </w:pPr>
      <w:r>
        <w:rPr>
          <w:bCs/>
          <w:b/>
        </w:rPr>
        <w:t xml:space="preserve">DEFINITION</w:t>
      </w:r>
    </w:p>
    <w:p>
      <w:pPr>
        <w:pStyle w:val="CalloutDefinition"/>
      </w:pPr>
      <w:r>
        <w:rPr>
          <w:bCs/>
          <w:b/>
        </w:rPr>
        <w:t xml:space="preserve">Definition — Consistent hashing with bounded loads.</w:t>
      </w:r>
      <w:r>
        <w:t xml:space="preserve"> </w:t>
      </w:r>
      <w:r>
        <w:t xml:space="preserve">A variant of consistent hashing in which every backend has a</w:t>
      </w:r>
      <w:r>
        <w:t xml:space="preserve"> </w:t>
      </w:r>
      <w:r>
        <w:rPr>
          <w:bCs/>
          <w:b/>
        </w:rPr>
        <w:t xml:space="preserve">capacity</w:t>
      </w:r>
      <w:r>
        <w:t xml:space="preserve"> </w:t>
      </w:r>
      <w:r>
        <w:t xml:space="preserve">of</w:t>
      </w:r>
      <w:r>
        <w:t xml:space="preserve"> </w:t>
      </w:r>
      <m:oMath>
        <m:r>
          <m:rPr>
            <m:sty m:val="p"/>
          </m:rPr>
          <m:t>⌈</m:t>
        </m:r>
        <m:d>
          <m:dPr>
            <m:begChr m:val="("/>
            <m:endChr m:val=")"/>
            <m:sepChr m:val=""/>
            <m:grow/>
          </m:dPr>
          <m:e>
            <m:r>
              <m:t>1</m:t>
            </m:r>
            <m:r>
              <m:rPr>
                <m:sty m:val="p"/>
              </m:rPr>
              <m:t>+</m:t>
            </m:r>
            <m:r>
              <m:t>ε</m:t>
            </m:r>
          </m:e>
        </m:d>
        <m:r>
          <m:t> </m:t>
        </m:r>
        <m:r>
          <m:t>m</m:t>
        </m:r>
        <m:r>
          <m:rPr>
            <m:sty m:val="p"/>
          </m:rPr>
          <m:t>/</m:t>
        </m:r>
        <m:r>
          <m:t>n</m:t>
        </m:r>
        <m:r>
          <m:rPr>
            <m:sty m:val="p"/>
          </m:rPr>
          <m:t>⌉</m:t>
        </m:r>
      </m:oMath>
      <w:r>
        <w:t xml:space="preserve"> </w:t>
      </w:r>
      <w:r>
        <w:t xml:space="preserve">for</w:t>
      </w:r>
      <w:r>
        <w:t xml:space="preserve"> </w:t>
      </w:r>
      <m:oMath>
        <m:r>
          <m:t>m</m:t>
        </m:r>
      </m:oMath>
      <w:r>
        <w:t xml:space="preserve"> </w:t>
      </w:r>
      <w:r>
        <w:t xml:space="preserve">current items (requests, sessions) and</w:t>
      </w:r>
      <w:r>
        <w:t xml:space="preserve"> </w:t>
      </w:r>
      <m:oMath>
        <m:r>
          <m:t>n</m:t>
        </m:r>
      </m:oMath>
      <w:r>
        <w:t xml:space="preserve"> </w:t>
      </w:r>
      <w:r>
        <w:t xml:space="preserve">backends. An item goes to the first backend clockwise from its hash that is below capacity, so overflow from a full backend walks on to the next [Mirrokni, Thorup &amp; Zadimoghaddam 2018].</w:t>
      </w:r>
    </w:p>
    <w:bookmarkStart w:id="2185" w:name="first-principles-explanation-121"/>
    <w:p>
      <w:pPr>
        <w:pStyle w:val="Heading4"/>
      </w:pPr>
      <w:r>
        <w:t xml:space="preserve">First-principles explanation</w:t>
      </w:r>
    </w:p>
    <w:p>
      <w:pPr>
        <w:pStyle w:val="FirstParagraph"/>
      </w:pPr>
      <w:r>
        <w:t xml:space="preserve">Each customer has a favorite checkout (her hash). The store rules that no line may exceed the average by more than 25%; if her favorite is at the limit, she walks on to the next checkout under it. Most customers still get their favorite, and no line passes the cap even when one cashier is everyone’s favorite.</w:t>
      </w:r>
    </w:p>
    <w:bookmarkEnd w:id="2185"/>
    <w:bookmarkStart w:id="2186" w:name="why-does-this-exist-75"/>
    <w:p>
      <w:pPr>
        <w:pStyle w:val="Heading4"/>
      </w:pPr>
      <w:r>
        <w:t xml:space="preserve">Why does this exist?</w:t>
      </w:r>
    </w:p>
    <w:p>
      <w:pPr>
        <w:pStyle w:val="FirstParagraph"/>
      </w:pPr>
      <w:r>
        <w:t xml:space="preserve">Hash routing exists for locality, but popularity is skewed (§14.10): one viral video can draw a large share of requests and melt its server. Bounded loads keep most of the locality while making overload impossible by construction. When an item or backend is added or removed, the expected number of moved items exceeds the minimum by only a factor</w:t>
      </w:r>
      <w:r>
        <w:t xml:space="preserve"> </w:t>
      </w:r>
      <m:oMath>
        <m:r>
          <m:t>O</m:t>
        </m:r>
        <m:d>
          <m:dPr>
            <m:begChr m:val="("/>
            <m:endChr m:val=")"/>
            <m:sepChr m:val=""/>
            <m:grow/>
          </m:dPr>
          <m:e>
            <m:r>
              <m:t>1</m:t>
            </m:r>
            <m:r>
              <m:rPr>
                <m:sty m:val="p"/>
              </m:rPr>
              <m:t>/</m:t>
            </m:r>
            <m:sSup>
              <m:e>
                <m:r>
                  <m:t>ε</m:t>
                </m:r>
              </m:e>
              <m:sup>
                <m:r>
                  <m:t>2</m:t>
                </m:r>
              </m:sup>
            </m:sSup>
          </m:e>
        </m:d>
      </m:oMath>
      <w:r>
        <w:t xml:space="preserve"> </w:t>
      </w:r>
      <w:r>
        <w:t xml:space="preserve">for</w:t>
      </w:r>
      <w:r>
        <w:t xml:space="preserve"> </w:t>
      </w:r>
      <m:oMath>
        <m:r>
          <m:t>ε</m:t>
        </m:r>
        <m:r>
          <m:rPr>
            <m:sty m:val="p"/>
          </m:rPr>
          <m:t>≤</m:t>
        </m:r>
        <m:r>
          <m:t>1</m:t>
        </m:r>
      </m:oMath>
      <w:r>
        <w:t xml:space="preserve">, and</w:t>
      </w:r>
      <w:r>
        <w:t xml:space="preserve"> </w:t>
      </w:r>
      <m:oMath>
        <m:r>
          <m:t>1</m:t>
        </m:r>
        <m:r>
          <m:rPr>
            <m:sty m:val="p"/>
          </m:rPr>
          <m:t>+</m:t>
        </m:r>
        <m:r>
          <m:t>O</m:t>
        </m:r>
        <m:d>
          <m:dPr>
            <m:begChr m:val="("/>
            <m:endChr m:val=")"/>
            <m:sepChr m:val=""/>
            <m:grow/>
          </m:dPr>
          <m:e>
            <m:r>
              <m:rPr>
                <m:sty m:val="p"/>
              </m:rPr>
              <m:t>log</m:t>
            </m:r>
            <m:r>
              <m:t>c</m:t>
            </m:r>
            <m:r>
              <m:rPr>
                <m:sty m:val="p"/>
              </m:rPr>
              <m:t>/</m:t>
            </m:r>
            <m:r>
              <m:t>c</m:t>
            </m:r>
          </m:e>
        </m:d>
      </m:oMath>
      <w:r>
        <w:t xml:space="preserve"> </w:t>
      </w:r>
      <w:r>
        <w:t xml:space="preserve">for</w:t>
      </w:r>
      <w:r>
        <w:t xml:space="preserve"> </w:t>
      </w:r>
      <m:oMath>
        <m:r>
          <m:t>c</m:t>
        </m:r>
        <m:r>
          <m:rPr>
            <m:sty m:val="p"/>
          </m:rPr>
          <m:t>=</m:t>
        </m:r>
        <m:r>
          <m:t>1</m:t>
        </m:r>
        <m:r>
          <m:rPr>
            <m:sty m:val="p"/>
          </m:rPr>
          <m:t>+</m:t>
        </m:r>
        <m:r>
          <m:t>ε</m:t>
        </m:r>
        <m:r>
          <m:rPr>
            <m:sty m:val="p"/>
          </m:rPr>
          <m:t>≥</m:t>
        </m:r>
        <m:r>
          <m:t>2</m:t>
        </m:r>
      </m:oMath>
      <w:r>
        <w:t xml:space="preserve"> </w:t>
      </w:r>
      <w:r>
        <w:t xml:space="preserve">[Mirrokni, Thorup &amp; Zadimoghaddam 2018].</w:t>
      </w:r>
    </w:p>
    <w:p>
      <w:pPr>
        <w:pStyle w:val="CalloutFormula"/>
      </w:pPr>
      <w:r>
        <w:rPr>
          <w:bCs/>
          <w:b/>
        </w:rPr>
        <w:t xml:space="preserve">FORMULA</w:t>
      </w:r>
    </w:p>
    <w:p>
      <w:pPr>
        <w:pStyle w:val="CalloutFormula"/>
      </w:pPr>
      <w:r>
        <w:rPr>
          <w:bCs/>
          <w:b/>
        </w:rPr>
        <w:t xml:space="preserve">Bounded-load capacity</w:t>
      </w:r>
    </w:p>
    <w:p>
      <w:pPr>
        <w:pStyle w:val="CalloutFormula"/>
      </w:pPr>
      <m:oMathPara>
        <m:oMathParaPr>
          <m:jc m:val="center"/>
        </m:oMathParaPr>
        <m:oMath>
          <m:r>
            <m:rPr>
              <m:nor/>
              <m:sty m:val="p"/>
            </m:rPr>
            <m:t>cap</m:t>
          </m:r>
          <m:r>
            <m:rPr>
              <m:sty m:val="p"/>
            </m:rPr>
            <m:t>=</m:t>
          </m:r>
          <m:d>
            <m:dPr>
              <m:begChr m:val="⌈"/>
              <m:endChr m:val="⌉"/>
              <m:sepChr m:val=""/>
              <m:grow/>
            </m:dPr>
            <m:e>
              <m:d>
                <m:dPr>
                  <m:begChr m:val="("/>
                  <m:endChr m:val=")"/>
                  <m:sepChr m:val=""/>
                  <m:grow/>
                </m:dPr>
                <m:e>
                  <m:r>
                    <m:t>1</m:t>
                  </m:r>
                  <m:r>
                    <m:rPr>
                      <m:sty m:val="p"/>
                    </m:rPr>
                    <m:t>+</m:t>
                  </m:r>
                  <m:r>
                    <m:t>ε</m:t>
                  </m:r>
                </m:e>
              </m:d>
              <m:r>
                <m:t> </m:t>
              </m:r>
              <m:f>
                <m:fPr>
                  <m:type m:val="bar"/>
                </m:fPr>
                <m:num>
                  <m:r>
                    <m:t>m</m:t>
                  </m:r>
                </m:num>
                <m:den>
                  <m:r>
                    <m:t>n</m:t>
                  </m:r>
                </m:den>
              </m:f>
            </m:e>
          </m:d>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rPr>
                  <m:nor/>
                  <m:sty m:val="p"/>
                </m:rPr>
                <m:t>cap</m:t>
              </m:r>
            </m:oMath>
          </w:p>
        </w:tc>
        <w:tc>
          <w:tcPr/>
          <w:p>
            <w:pPr>
              <w:pStyle w:val="Compact"/>
              <w:jc w:val="left"/>
            </w:pPr>
            <w:r>
              <w:t xml:space="preserve">Maximum items any backend may hold</w:t>
            </w:r>
          </w:p>
        </w:tc>
        <w:tc>
          <w:tcPr/>
          <w:p>
            <w:pPr>
              <w:pStyle w:val="Compact"/>
              <w:jc w:val="left"/>
            </w:pPr>
            <w:r>
              <w:t xml:space="preserve">items</w:t>
            </w:r>
          </w:p>
        </w:tc>
      </w:tr>
      <w:tr>
        <w:tc>
          <w:tcPr/>
          <w:p>
            <w:pPr>
              <w:pStyle w:val="Compact"/>
              <w:jc w:val="left"/>
            </w:pPr>
            <m:oMath>
              <m:r>
                <m:t>ε</m:t>
              </m:r>
            </m:oMath>
          </w:p>
        </w:tc>
        <w:tc>
          <w:tcPr/>
          <w:p>
            <w:pPr>
              <w:pStyle w:val="Compact"/>
              <w:jc w:val="left"/>
            </w:pPr>
            <w:r>
              <w:t xml:space="preserve">Allowed overload above the average,</w:t>
            </w:r>
            <w:r>
              <w:t xml:space="preserve"> </w:t>
            </w:r>
            <m:oMath>
              <m:r>
                <m:t>ε</m:t>
              </m:r>
              <m:r>
                <m:rPr>
                  <m:sty m:val="p"/>
                </m:rPr>
                <m:t>&gt;</m:t>
              </m:r>
              <m:r>
                <m:t>0</m:t>
              </m:r>
            </m:oMath>
          </w:p>
        </w:tc>
        <w:tc>
          <w:tcPr/>
          <w:p>
            <w:pPr>
              <w:pStyle w:val="Compact"/>
              <w:jc w:val="left"/>
            </w:pPr>
            <w:r>
              <w:t xml:space="preserve">dimensionless</w:t>
            </w:r>
          </w:p>
        </w:tc>
      </w:tr>
      <w:tr>
        <w:tc>
          <w:tcPr/>
          <w:p>
            <w:pPr>
              <w:pStyle w:val="Compact"/>
              <w:jc w:val="left"/>
            </w:pPr>
            <m:oMath>
              <m:r>
                <m:t>m</m:t>
              </m:r>
            </m:oMath>
          </w:p>
        </w:tc>
        <w:tc>
          <w:tcPr/>
          <w:p>
            <w:pPr>
              <w:pStyle w:val="Compact"/>
              <w:jc w:val="left"/>
            </w:pPr>
            <w:r>
              <w:t xml:space="preserve">Items currently assigned (for request routing: in-flight requests)</w:t>
            </w:r>
          </w:p>
        </w:tc>
        <w:tc>
          <w:tcPr/>
          <w:p>
            <w:pPr>
              <w:pStyle w:val="Compact"/>
              <w:jc w:val="left"/>
            </w:pPr>
            <w:r>
              <w:t xml:space="preserve">items</w:t>
            </w:r>
          </w:p>
        </w:tc>
      </w:tr>
      <w:tr>
        <w:tc>
          <w:tcPr/>
          <w:p>
            <w:pPr>
              <w:pStyle w:val="Compact"/>
              <w:jc w:val="left"/>
            </w:pPr>
            <m:oMath>
              <m:r>
                <m:t>n</m:t>
              </m:r>
            </m:oMath>
          </w:p>
        </w:tc>
        <w:tc>
          <w:tcPr/>
          <w:p>
            <w:pPr>
              <w:pStyle w:val="Compact"/>
              <w:jc w:val="left"/>
            </w:pPr>
            <w:r>
              <w:t xml:space="preserve">Number of backends</w:t>
            </w:r>
          </w:p>
        </w:tc>
        <w:tc>
          <w:tcPr/>
          <w:p>
            <w:pPr>
              <w:pStyle w:val="Compact"/>
              <w:jc w:val="left"/>
            </w:pPr>
            <w:r>
              <w:t xml:space="preserve">count</w:t>
            </w:r>
          </w:p>
        </w:tc>
      </w:tr>
    </w:tbl>
    <w:p>
      <w:pPr>
        <w:pStyle w:val="CalloutExample"/>
      </w:pPr>
      <w:r>
        <w:rPr>
          <w:bCs/>
          <w:b/>
        </w:rPr>
        <w:t xml:space="preserve">WORKED EXAMPLE</w:t>
      </w:r>
    </w:p>
    <w:p>
      <w:pPr>
        <w:pStyle w:val="CalloutExample"/>
      </w:pPr>
      <w:r>
        <w:rPr>
          <w:bCs/>
          <w:b/>
        </w:rPr>
        <w:t xml:space="preserve">Worked example — 10,000 in-flight requests on 40 cache servers.</w:t>
      </w:r>
    </w:p>
    <w:p>
      <w:pPr>
        <w:numPr>
          <w:ilvl w:val="0"/>
          <w:numId w:val="1636"/>
        </w:numPr>
        <w:pStyle w:val="Compact"/>
      </w:pPr>
      <w:r>
        <w:t xml:space="preserve">Average:</w:t>
      </w:r>
      <w:r>
        <w:t xml:space="preserve"> </w:t>
      </w:r>
      <m:oMath>
        <m:r>
          <m:t>m</m:t>
        </m:r>
        <m:r>
          <m:rPr>
            <m:sty m:val="p"/>
          </m:rPr>
          <m:t>/</m:t>
        </m:r>
        <m:r>
          <m:t>n</m:t>
        </m:r>
        <m:r>
          <m:rPr>
            <m:sty m:val="p"/>
          </m:rPr>
          <m:t>=</m:t>
        </m:r>
        <m:r>
          <m:t>10</m:t>
        </m:r>
        <m:r>
          <m:rPr>
            <m:sty m:val="p"/>
          </m:rPr>
          <m:t>,</m:t>
        </m:r>
        <m:r>
          <m:t>000</m:t>
        </m:r>
        <m:r>
          <m:rPr>
            <m:sty m:val="p"/>
          </m:rPr>
          <m:t>/</m:t>
        </m:r>
        <m:r>
          <m:t>40</m:t>
        </m:r>
        <m:r>
          <m:rPr>
            <m:sty m:val="p"/>
          </m:rPr>
          <m:t>=</m:t>
        </m:r>
        <m:r>
          <m:t>250</m:t>
        </m:r>
      </m:oMath>
      <w:r>
        <w:t xml:space="preserve"> </w:t>
      </w:r>
      <w:r>
        <w:t xml:space="preserve">requests per server.</w:t>
      </w:r>
    </w:p>
    <w:p>
      <w:pPr>
        <w:numPr>
          <w:ilvl w:val="0"/>
          <w:numId w:val="1636"/>
        </w:numPr>
        <w:pStyle w:val="Compact"/>
      </w:pPr>
      <m:oMath>
        <m:r>
          <m:t>ε</m:t>
        </m:r>
        <m:r>
          <m:rPr>
            <m:sty m:val="p"/>
          </m:rPr>
          <m:t>=</m:t>
        </m:r>
        <m:r>
          <m:t>0.25</m:t>
        </m:r>
      </m:oMath>
      <w:r>
        <w:t xml:space="preserve">: cap</w:t>
      </w:r>
      <w:r>
        <w:t xml:space="preserve"> </w:t>
      </w:r>
      <m:oMath>
        <m:r>
          <m:rPr>
            <m:sty m:val="p"/>
          </m:rPr>
          <m:t>=</m:t>
        </m:r>
        <m:r>
          <m:rPr>
            <m:sty m:val="p"/>
          </m:rPr>
          <m:t>⌈</m:t>
        </m:r>
        <m:r>
          <m:t>1.25</m:t>
        </m:r>
        <m:r>
          <m:rPr>
            <m:sty m:val="p"/>
          </m:rPr>
          <m:t>×</m:t>
        </m:r>
        <m:r>
          <m:t>250</m:t>
        </m:r>
        <m:r>
          <m:rPr>
            <m:sty m:val="p"/>
          </m:rPr>
          <m:t>⌉</m:t>
        </m:r>
        <m:r>
          <m:rPr>
            <m:sty m:val="p"/>
          </m:rPr>
          <m:t>=</m:t>
        </m:r>
        <m:r>
          <m:rPr>
            <m:sty m:val="p"/>
          </m:rPr>
          <m:t>⌈</m:t>
        </m:r>
        <m:r>
          <m:t>312.5</m:t>
        </m:r>
        <m:r>
          <m:rPr>
            <m:sty m:val="p"/>
          </m:rPr>
          <m:t>⌉</m:t>
        </m:r>
        <m:r>
          <m:rPr>
            <m:sty m:val="p"/>
          </m:rPr>
          <m:t>=</m:t>
        </m:r>
        <m:r>
          <m:t>313</m:t>
        </m:r>
      </m:oMath>
      <w:r>
        <w:t xml:space="preserve">.</w:t>
      </w:r>
    </w:p>
    <w:p>
      <w:pPr>
        <w:numPr>
          <w:ilvl w:val="0"/>
          <w:numId w:val="1636"/>
        </w:numPr>
        <w:pStyle w:val="Compact"/>
      </w:pPr>
      <m:oMath>
        <m:r>
          <m:t>ε</m:t>
        </m:r>
        <m:r>
          <m:rPr>
            <m:sty m:val="p"/>
          </m:rPr>
          <m:t>=</m:t>
        </m:r>
        <m:r>
          <m:t>1</m:t>
        </m:r>
      </m:oMath>
      <w:r>
        <w:t xml:space="preserve">: cap</w:t>
      </w:r>
      <w:r>
        <w:t xml:space="preserve"> </w:t>
      </w:r>
      <m:oMath>
        <m:r>
          <m:rPr>
            <m:sty m:val="p"/>
          </m:rPr>
          <m:t>=</m:t>
        </m:r>
        <m:r>
          <m:rPr>
            <m:sty m:val="p"/>
          </m:rPr>
          <m:t>⌈</m:t>
        </m:r>
        <m:r>
          <m:t>2</m:t>
        </m:r>
        <m:r>
          <m:rPr>
            <m:sty m:val="p"/>
          </m:rPr>
          <m:t>×</m:t>
        </m:r>
        <m:r>
          <m:t>250</m:t>
        </m:r>
        <m:r>
          <m:rPr>
            <m:sty m:val="p"/>
          </m:rPr>
          <m:t>⌉</m:t>
        </m:r>
        <m:r>
          <m:rPr>
            <m:sty m:val="p"/>
          </m:rPr>
          <m:t>=</m:t>
        </m:r>
        <m:r>
          <m:t>500</m:t>
        </m:r>
      </m:oMath>
      <w:r>
        <w:t xml:space="preserve">.</w:t>
      </w:r>
    </w:p>
    <w:p>
      <w:pPr>
        <w:numPr>
          <w:ilvl w:val="0"/>
          <w:numId w:val="1636"/>
        </w:numPr>
        <w:pStyle w:val="Compact"/>
      </w:pPr>
      <w:r>
        <w:t xml:space="preserve">With Zipf-distributed popularity over 2,000 videos, the most popular video alone draws about</w:t>
      </w:r>
      <w:r>
        <w:t xml:space="preserve"> </w:t>
      </w:r>
      <m:oMath>
        <m:r>
          <m:t>1</m:t>
        </m:r>
        <m:r>
          <m:rPr>
            <m:sty m:val="p"/>
          </m:rPr>
          <m:t>/</m:t>
        </m:r>
        <m:sSub>
          <m:e>
            <m:r>
              <m:t>H</m:t>
            </m:r>
          </m:e>
          <m:sub>
            <m:r>
              <m:t>2000</m:t>
            </m:r>
          </m:sub>
        </m:sSub>
        <m:r>
          <m:rPr>
            <m:sty m:val="p"/>
          </m:rPr>
          <m:t>≈</m:t>
        </m:r>
        <m:r>
          <m:t>1</m:t>
        </m:r>
        <m:r>
          <m:rPr>
            <m:sty m:val="p"/>
          </m:rPr>
          <m:t>/</m:t>
        </m:r>
        <m:r>
          <m:t>8.2</m:t>
        </m:r>
        <m:r>
          <m:rPr>
            <m:sty m:val="p"/>
          </m:rPr>
          <m:t>≈</m:t>
        </m:r>
        <m:r>
          <m:t>12</m:t>
        </m:r>
        <m:r>
          <m:rPr>
            <m:sty m:val="p"/>
          </m:rPr>
          <m:t>%</m:t>
        </m:r>
      </m:oMath>
      <w:r>
        <w:t xml:space="preserve"> </w:t>
      </w:r>
      <w:r>
        <w:t xml:space="preserve">of requests, roughly 1,200, nearly five servers’ worth, where</w:t>
      </w:r>
      <w:r>
        <w:t xml:space="preserve"> </w:t>
      </w:r>
      <m:oMath>
        <m:sSub>
          <m:e>
            <m:r>
              <m:t>H</m:t>
            </m:r>
          </m:e>
          <m:sub>
            <m:r>
              <m:t>2000</m:t>
            </m:r>
          </m:sub>
        </m:sSub>
      </m:oMath>
      <w:r>
        <w:t xml:space="preserve"> </w:t>
      </w:r>
      <w:r>
        <w:t xml:space="preserve">is the 2,000th harmonic number.</w:t>
      </w:r>
    </w:p>
    <w:p>
      <w:pPr>
        <w:pStyle w:val="CalloutExample"/>
      </w:pPr>
      <w:r>
        <w:rPr>
          <w:iCs/>
          <w:i/>
        </w:rPr>
        <w:t xml:space="preserve">Interpretation.</w:t>
      </w:r>
      <w:r>
        <w:t xml:space="preserve"> </w:t>
      </w:r>
      <w:r>
        <w:t xml:space="preserve">A plain ring must put all ~1,200 requests for the top video on one server (</w:t>
      </w:r>
      <m:oMath>
        <m:r>
          <m:rPr>
            <m:sty m:val="p"/>
          </m:rPr>
          <m:t>≈</m:t>
        </m:r>
        <m:r>
          <m:t>5</m:t>
        </m:r>
        <m:r>
          <m:rPr>
            <m:sty m:val="p"/>
          </m:rPr>
          <m:t>×</m:t>
        </m:r>
      </m:oMath>
      <w:r>
        <w:t xml:space="preserve"> </w:t>
      </w:r>
      <w:r>
        <w:t xml:space="preserve">average); the bounded ring spills them across about four consecutive servers on the ring.</w:t>
      </w:r>
      <w:r>
        <w:t xml:space="preserve"> </w:t>
      </w:r>
      <w:r>
        <w:rPr>
          <w:iCs/>
          <w:i/>
        </w:rPr>
        <w:t xml:space="preserve">Engineering implication.</w:t>
      </w:r>
      <w:r>
        <w:t xml:space="preserve"> </w:t>
      </w:r>
      <m:oMath>
        <m:r>
          <m:t>ε</m:t>
        </m:r>
      </m:oMath>
      <w:r>
        <w:t xml:space="preserve"> </w:t>
      </w:r>
      <w:r>
        <w:t xml:space="preserve">is a dial between cache locality (large</w:t>
      </w:r>
      <w:r>
        <w:t xml:space="preserve"> </w:t>
      </w:r>
      <m:oMath>
        <m:r>
          <m:t>ε</m:t>
        </m:r>
      </m:oMath>
      <w:r>
        <w:t xml:space="preserve">) and balance (small</w:t>
      </w:r>
      <w:r>
        <w:t xml:space="preserve"> </w:t>
      </w:r>
      <m:oMath>
        <m:r>
          <m:t>ε</m:t>
        </m:r>
      </m:oMath>
      <w:r>
        <w:t xml:space="preserve">); values between 0.25 and 1 are common starting points.</w:t>
      </w:r>
    </w:p>
    <w:p>
      <w:pPr>
        <w:pStyle w:val="SourceCode"/>
      </w:pPr>
      <w:r>
        <w:rPr>
          <w:rStyle w:val="CommentTok"/>
        </w:rPr>
        <w:t xml:space="preserve">"""Consistent hashing with bounded loads (Mirrokni, Thorup &amp; Zadimoghaddam)."""</w:t>
      </w:r>
      <w:r>
        <w:br/>
      </w:r>
      <w:r>
        <w:rPr>
          <w:rStyle w:val="ImportTok"/>
        </w:rPr>
        <w:t xml:space="preserve">import</w:t>
      </w:r>
      <w:r>
        <w:rPr>
          <w:rStyle w:val="NormalTok"/>
        </w:rPr>
        <w:t xml:space="preserve"> bisect</w:t>
      </w:r>
      <w:r>
        <w:br/>
      </w:r>
      <w:r>
        <w:rPr>
          <w:rStyle w:val="ImportTok"/>
        </w:rPr>
        <w:t xml:space="preserve">import</w:t>
      </w:r>
      <w:r>
        <w:rPr>
          <w:rStyle w:val="NormalTok"/>
        </w:rPr>
        <w:t xml:space="preserve"> hashlib</w:t>
      </w:r>
      <w:r>
        <w:br/>
      </w:r>
      <w:r>
        <w:rPr>
          <w:rStyle w:val="ImportTok"/>
        </w:rPr>
        <w:t xml:space="preserve">import</w:t>
      </w:r>
      <w:r>
        <w:rPr>
          <w:rStyle w:val="NormalTok"/>
        </w:rPr>
        <w:t xml:space="preserve"> math</w:t>
      </w:r>
      <w:r>
        <w:br/>
      </w:r>
      <w:r>
        <w:rPr>
          <w:rStyle w:val="ImportTok"/>
        </w:rPr>
        <w:t xml:space="preserve">import</w:t>
      </w:r>
      <w:r>
        <w:rPr>
          <w:rStyle w:val="NormalTok"/>
        </w:rPr>
        <w:t xml:space="preserve"> random</w:t>
      </w:r>
      <w:r>
        <w:br/>
      </w:r>
      <w:r>
        <w:rPr>
          <w:rStyle w:val="ImportTok"/>
        </w:rPr>
        <w:t xml:space="preserve">from</w:t>
      </w:r>
      <w:r>
        <w:rPr>
          <w:rStyle w:val="NormalTok"/>
        </w:rPr>
        <w:t xml:space="preserve"> collections </w:t>
      </w:r>
      <w:r>
        <w:rPr>
          <w:rStyle w:val="ImportTok"/>
        </w:rPr>
        <w:t xml:space="preserve">import</w:t>
      </w:r>
      <w:r>
        <w:rPr>
          <w:rStyle w:val="NormalTok"/>
        </w:rPr>
        <w:t xml:space="preserve"> Counter</w:t>
      </w:r>
      <w:r>
        <w:br/>
      </w:r>
      <w:r>
        <w:br/>
      </w:r>
      <w:r>
        <w:br/>
      </w:r>
      <w:r>
        <w:rPr>
          <w:rStyle w:val="KeywordTok"/>
        </w:rPr>
        <w:t xml:space="preserve">def</w:t>
      </w:r>
      <w:r>
        <w:rPr>
          <w:rStyle w:val="NormalTok"/>
        </w:rPr>
        <w:t xml:space="preserve"> h(s: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int</w:t>
      </w:r>
      <w:r>
        <w:rPr>
          <w:rStyle w:val="NormalTok"/>
        </w:rPr>
        <w:t xml:space="preserve">.from_bytes(hashlib.md5(s.encode()).digest()[:</w:t>
      </w:r>
      <w:r>
        <w:rPr>
          <w:rStyle w:val="DecValTok"/>
        </w:rPr>
        <w:t xml:space="preserve">8</w:t>
      </w:r>
      <w:r>
        <w:rPr>
          <w:rStyle w:val="NormalTok"/>
        </w:rPr>
        <w:t xml:space="preserve">], </w:t>
      </w:r>
      <w:r>
        <w:rPr>
          <w:rStyle w:val="StringTok"/>
        </w:rPr>
        <w:t xml:space="preserve">"big"</w:t>
      </w:r>
      <w:r>
        <w:rPr>
          <w:rStyle w:val="NormalTok"/>
        </w:rPr>
        <w:t xml:space="preserve">)</w:t>
      </w:r>
      <w:r>
        <w:br/>
      </w:r>
      <w:r>
        <w:br/>
      </w:r>
      <w:r>
        <w:br/>
      </w:r>
      <w:r>
        <w:rPr>
          <w:rStyle w:val="KeywordTok"/>
        </w:rPr>
        <w:t xml:space="preserve">class</w:t>
      </w:r>
      <w:r>
        <w:rPr>
          <w:rStyle w:val="NormalTok"/>
        </w:rPr>
        <w:t xml:space="preserve"> Ring:</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servers, vnodes</w:t>
      </w:r>
      <w:r>
        <w:rPr>
          <w:rStyle w:val="OperatorTok"/>
        </w:rPr>
        <w:t xml:space="preserve">=</w:t>
      </w:r>
      <w:r>
        <w:rPr>
          <w:rStyle w:val="DecValTok"/>
        </w:rPr>
        <w:t xml:space="preserve">100</w:t>
      </w:r>
      <w:r>
        <w:rPr>
          <w:rStyle w:val="NormalTok"/>
        </w:rPr>
        <w:t xml:space="preserve">):</w:t>
      </w:r>
      <w:r>
        <w:br/>
      </w:r>
      <w:r>
        <w:rPr>
          <w:rStyle w:val="NormalTok"/>
        </w:rPr>
        <w:t xml:space="preserve">        pts </w:t>
      </w:r>
      <w:r>
        <w:rPr>
          <w:rStyle w:val="OperatorTok"/>
        </w:rPr>
        <w:t xml:space="preserve">=</w:t>
      </w:r>
      <w:r>
        <w:rPr>
          <w:rStyle w:val="NormalTok"/>
        </w:rPr>
        <w:t xml:space="preserve"> </w:t>
      </w:r>
      <w:r>
        <w:rPr>
          <w:rStyle w:val="BuiltInTok"/>
        </w:rPr>
        <w:t xml:space="preserve">sorted</w:t>
      </w:r>
      <w:r>
        <w:rPr>
          <w:rStyle w:val="NormalTok"/>
        </w:rPr>
        <w:t xml:space="preserve">((h(</w:t>
      </w:r>
      <w:r>
        <w:rPr>
          <w:rStyle w:val="SpecialStringTok"/>
        </w:rPr>
        <w:t xml:space="preserve">f"</w:t>
      </w:r>
      <w:r>
        <w:rPr>
          <w:rStyle w:val="SpecialCharTok"/>
        </w:rPr>
        <w:t xml:space="preserve">{</w:t>
      </w:r>
      <w:r>
        <w:rPr>
          <w:rStyle w:val="NormalTok"/>
        </w:rPr>
        <w:t xml:space="preserve">s</w:t>
      </w:r>
      <w:r>
        <w:rPr>
          <w:rStyle w:val="SpecialCharTok"/>
        </w:rPr>
        <w:t xml:space="preserve">}</w:t>
      </w:r>
      <w:r>
        <w:rPr>
          <w:rStyle w:val="SpecialStringTok"/>
        </w:rPr>
        <w:t xml:space="preserve">#</w:t>
      </w:r>
      <w:r>
        <w:rPr>
          <w:rStyle w:val="SpecialCharTok"/>
        </w:rPr>
        <w:t xml:space="preserve">{</w:t>
      </w:r>
      <w:r>
        <w:rPr>
          <w:rStyle w:val="NormalTok"/>
        </w:rPr>
        <w:t xml:space="preserve">v</w:t>
      </w:r>
      <w:r>
        <w:rPr>
          <w:rStyle w:val="SpecialCharTok"/>
        </w:rPr>
        <w:t xml:space="preserve">}</w:t>
      </w:r>
      <w:r>
        <w:rPr>
          <w:rStyle w:val="SpecialStringTok"/>
        </w:rPr>
        <w:t xml:space="preserve">"</w:t>
      </w:r>
      <w:r>
        <w:rPr>
          <w:rStyle w:val="NormalTok"/>
        </w:rPr>
        <w:t xml:space="preserve">), s) </w:t>
      </w:r>
      <w:r>
        <w:rPr>
          <w:rStyle w:val="ControlFlowTok"/>
        </w:rPr>
        <w:t xml:space="preserve">for</w:t>
      </w:r>
      <w:r>
        <w:rPr>
          <w:rStyle w:val="NormalTok"/>
        </w:rPr>
        <w:t xml:space="preserve"> s </w:t>
      </w:r>
      <w:r>
        <w:rPr>
          <w:rStyle w:val="KeywordTok"/>
        </w:rPr>
        <w:t xml:space="preserve">in</w:t>
      </w:r>
      <w:r>
        <w:rPr>
          <w:rStyle w:val="NormalTok"/>
        </w:rPr>
        <w:t xml:space="preserve"> servers </w:t>
      </w:r>
      <w:r>
        <w:rPr>
          <w:rStyle w:val="ControlFlowTok"/>
        </w:rPr>
        <w:t xml:space="preserve">for</w:t>
      </w:r>
      <w:r>
        <w:rPr>
          <w:rStyle w:val="NormalTok"/>
        </w:rPr>
        <w:t xml:space="preserve"> v </w:t>
      </w:r>
      <w:r>
        <w:rPr>
          <w:rStyle w:val="KeywordTok"/>
        </w:rPr>
        <w:t xml:space="preserve">in</w:t>
      </w:r>
      <w:r>
        <w:rPr>
          <w:rStyle w:val="NormalTok"/>
        </w:rPr>
        <w:t xml:space="preserve"> </w:t>
      </w:r>
      <w:r>
        <w:rPr>
          <w:rStyle w:val="BuiltInTok"/>
        </w:rPr>
        <w:t xml:space="preserve">range</w:t>
      </w:r>
      <w:r>
        <w:rPr>
          <w:rStyle w:val="NormalTok"/>
        </w:rPr>
        <w:t xml:space="preserve">(vnodes))</w:t>
      </w:r>
      <w:r>
        <w:br/>
      </w:r>
      <w:r>
        <w:rPr>
          <w:rStyle w:val="NormalTok"/>
        </w:rPr>
        <w:t xml:space="preserve">        </w:t>
      </w:r>
      <w:r>
        <w:rPr>
          <w:rStyle w:val="VariableTok"/>
        </w:rPr>
        <w:t xml:space="preserve">self</w:t>
      </w:r>
      <w:r>
        <w:rPr>
          <w:rStyle w:val="NormalTok"/>
        </w:rPr>
        <w:t xml:space="preserve">.pos </w:t>
      </w:r>
      <w:r>
        <w:rPr>
          <w:rStyle w:val="OperatorTok"/>
        </w:rPr>
        <w:t xml:space="preserve">=</w:t>
      </w:r>
      <w:r>
        <w:rPr>
          <w:rStyle w:val="NormalTok"/>
        </w:rPr>
        <w:t xml:space="preserve"> [p </w:t>
      </w:r>
      <w:r>
        <w:rPr>
          <w:rStyle w:val="ControlFlowTok"/>
        </w:rPr>
        <w:t xml:space="preserve">for</w:t>
      </w:r>
      <w:r>
        <w:rPr>
          <w:rStyle w:val="NormalTok"/>
        </w:rPr>
        <w:t xml:space="preserve"> p, _ </w:t>
      </w:r>
      <w:r>
        <w:rPr>
          <w:rStyle w:val="KeywordTok"/>
        </w:rPr>
        <w:t xml:space="preserve">in</w:t>
      </w:r>
      <w:r>
        <w:rPr>
          <w:rStyle w:val="NormalTok"/>
        </w:rPr>
        <w:t xml:space="preserve"> pts]</w:t>
      </w:r>
      <w:r>
        <w:br/>
      </w:r>
      <w:r>
        <w:rPr>
          <w:rStyle w:val="NormalTok"/>
        </w:rPr>
        <w:t xml:space="preserve">        </w:t>
      </w:r>
      <w:r>
        <w:rPr>
          <w:rStyle w:val="VariableTok"/>
        </w:rPr>
        <w:t xml:space="preserve">self</w:t>
      </w:r>
      <w:r>
        <w:rPr>
          <w:rStyle w:val="NormalTok"/>
        </w:rPr>
        <w:t xml:space="preserve">.owner </w:t>
      </w:r>
      <w:r>
        <w:rPr>
          <w:rStyle w:val="OperatorTok"/>
        </w:rPr>
        <w:t xml:space="preserve">=</w:t>
      </w:r>
      <w:r>
        <w:rPr>
          <w:rStyle w:val="NormalTok"/>
        </w:rPr>
        <w:t xml:space="preserve"> [s </w:t>
      </w:r>
      <w:r>
        <w:rPr>
          <w:rStyle w:val="ControlFlowTok"/>
        </w:rPr>
        <w:t xml:space="preserve">for</w:t>
      </w:r>
      <w:r>
        <w:rPr>
          <w:rStyle w:val="NormalTok"/>
        </w:rPr>
        <w:t xml:space="preserve"> _, s </w:t>
      </w:r>
      <w:r>
        <w:rPr>
          <w:rStyle w:val="KeywordTok"/>
        </w:rPr>
        <w:t xml:space="preserve">in</w:t>
      </w:r>
      <w:r>
        <w:rPr>
          <w:rStyle w:val="NormalTok"/>
        </w:rPr>
        <w:t xml:space="preserve"> pts]</w:t>
      </w:r>
      <w:r>
        <w:br/>
      </w:r>
      <w:r>
        <w:rPr>
          <w:rStyle w:val="NormalTok"/>
        </w:rPr>
        <w:t xml:space="preserve">        </w:t>
      </w:r>
      <w:r>
        <w:rPr>
          <w:rStyle w:val="VariableTok"/>
        </w:rPr>
        <w:t xml:space="preserve">self</w:t>
      </w:r>
      <w:r>
        <w:rPr>
          <w:rStyle w:val="NormalTok"/>
        </w:rPr>
        <w:t xml:space="preserve">.servers </w:t>
      </w:r>
      <w:r>
        <w:rPr>
          <w:rStyle w:val="OperatorTok"/>
        </w:rPr>
        <w:t xml:space="preserve">=</w:t>
      </w:r>
      <w:r>
        <w:rPr>
          <w:rStyle w:val="NormalTok"/>
        </w:rPr>
        <w:t xml:space="preserve"> </w:t>
      </w:r>
      <w:r>
        <w:rPr>
          <w:rStyle w:val="BuiltInTok"/>
        </w:rPr>
        <w:t xml:space="preserve">list</w:t>
      </w:r>
      <w:r>
        <w:rPr>
          <w:rStyle w:val="NormalTok"/>
        </w:rPr>
        <w:t xml:space="preserve">(servers)</w:t>
      </w:r>
      <w:r>
        <w:br/>
      </w:r>
      <w:r>
        <w:br/>
      </w:r>
      <w:r>
        <w:rPr>
          <w:rStyle w:val="NormalTok"/>
        </w:rPr>
        <w:t xml:space="preserve">    </w:t>
      </w:r>
      <w:r>
        <w:rPr>
          <w:rStyle w:val="KeywordTok"/>
        </w:rPr>
        <w:t xml:space="preserve">def</w:t>
      </w:r>
      <w:r>
        <w:rPr>
          <w:rStyle w:val="NormalTok"/>
        </w:rPr>
        <w:t xml:space="preserve"> assign(</w:t>
      </w:r>
      <w:r>
        <w:rPr>
          <w:rStyle w:val="VariableTok"/>
        </w:rPr>
        <w:t xml:space="preserve">self</w:t>
      </w:r>
      <w:r>
        <w:rPr>
          <w:rStyle w:val="NormalTok"/>
        </w:rPr>
        <w:t xml:space="preserve">, keys, eps</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"""Place each key (a request or session) in order. eps=None: plain</w:t>
      </w:r>
      <w:r>
        <w:br/>
      </w:r>
      <w:r>
        <w:rPr>
          <w:rStyle w:val="CommentTok"/>
        </w:rPr>
        <w:t xml:space="preserve">        consistent hashing. Otherwise no server may exceed ceil((1+eps)*m/n)."""</w:t>
      </w:r>
      <w:r>
        <w:br/>
      </w:r>
      <w:r>
        <w:rPr>
          <w:rStyle w:val="NormalTok"/>
        </w:rPr>
        <w:t xml:space="preserve">        cap </w:t>
      </w:r>
      <w:r>
        <w:rPr>
          <w:rStyle w:val="OperatorTok"/>
        </w:rPr>
        <w:t xml:space="preserve">=</w:t>
      </w:r>
      <w:r>
        <w:rPr>
          <w:rStyle w:val="NormalTok"/>
        </w:rPr>
        <w:t xml:space="preserve"> math.inf </w:t>
      </w:r>
      <w:r>
        <w:rPr>
          <w:rStyle w:val="ControlFlowTok"/>
        </w:rPr>
        <w:t xml:space="preserve">if</w:t>
      </w:r>
      <w:r>
        <w:rPr>
          <w:rStyle w:val="NormalTok"/>
        </w:rPr>
        <w:t xml:space="preserve"> eps </w:t>
      </w:r>
      <w:r>
        <w:rPr>
          <w:rStyle w:val="KeywordTok"/>
        </w:rPr>
        <w:t xml:space="preserve">is</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math.ceil((</w:t>
      </w:r>
      <w:r>
        <w:rPr>
          <w:rStyle w:val="DecValTok"/>
        </w:rPr>
        <w:t xml:space="preserve">1</w:t>
      </w:r>
      <w:r>
        <w:rPr>
          <w:rStyle w:val="NormalTok"/>
        </w:rPr>
        <w:t xml:space="preserve"> </w:t>
      </w:r>
      <w:r>
        <w:rPr>
          <w:rStyle w:val="OperatorTok"/>
        </w:rPr>
        <w:t xml:space="preserve">+</w:t>
      </w:r>
      <w:r>
        <w:rPr>
          <w:rStyle w:val="NormalTok"/>
        </w:rPr>
        <w:t xml:space="preserve"> eps) </w:t>
      </w:r>
      <w:r>
        <w:rPr>
          <w:rStyle w:val="OperatorTok"/>
        </w:rPr>
        <w:t xml:space="preserve">*</w:t>
      </w:r>
      <w:r>
        <w:rPr>
          <w:rStyle w:val="NormalTok"/>
        </w:rPr>
        <w:t xml:space="preserve"> </w:t>
      </w:r>
      <w:r>
        <w:rPr>
          <w:rStyle w:val="BuiltInTok"/>
        </w:rPr>
        <w:t xml:space="preserve">len</w:t>
      </w:r>
      <w:r>
        <w:rPr>
          <w:rStyle w:val="NormalTok"/>
        </w:rPr>
        <w:t xml:space="preserve">(keys) </w:t>
      </w:r>
      <w:r>
        <w:rPr>
          <w:rStyle w:val="OperatorTok"/>
        </w:rPr>
        <w:t xml:space="preserve">/</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.servers))</w:t>
      </w:r>
      <w:r>
        <w:br/>
      </w:r>
      <w:r>
        <w:rPr>
          <w:rStyle w:val="NormalTok"/>
        </w:rPr>
        <w:t xml:space="preserve">        load, where </w:t>
      </w:r>
      <w:r>
        <w:rPr>
          <w:rStyle w:val="OperatorTok"/>
        </w:rPr>
        <w:t xml:space="preserve">=</w:t>
      </w:r>
      <w:r>
        <w:rPr>
          <w:rStyle w:val="NormalTok"/>
        </w:rPr>
        <w:t xml:space="preserve"> Counter(), []</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keys:</w:t>
      </w:r>
      <w:r>
        <w:br/>
      </w:r>
      <w:r>
        <w:rPr>
          <w:rStyle w:val="NormalTok"/>
        </w:rPr>
        <w:t xml:space="preserve">            i </w:t>
      </w:r>
      <w:r>
        <w:rPr>
          <w:rStyle w:val="OperatorTok"/>
        </w:rPr>
        <w:t xml:space="preserve">=</w:t>
      </w:r>
      <w:r>
        <w:rPr>
          <w:rStyle w:val="NormalTok"/>
        </w:rPr>
        <w:t xml:space="preserve"> bisect.bisect_right(</w:t>
      </w:r>
      <w:r>
        <w:rPr>
          <w:rStyle w:val="VariableTok"/>
        </w:rPr>
        <w:t xml:space="preserve">self</w:t>
      </w:r>
      <w:r>
        <w:rPr>
          <w:rStyle w:val="NormalTok"/>
        </w:rPr>
        <w:t xml:space="preserve">.pos, h(k)) </w:t>
      </w:r>
      <w:r>
        <w:rPr>
          <w:rStyle w:val="OperatorTok"/>
        </w:rPr>
        <w:t xml:space="preserve">%</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.pos)</w:t>
      </w:r>
      <w:r>
        <w:br/>
      </w:r>
      <w:r>
        <w:rPr>
          <w:rStyle w:val="NormalTok"/>
        </w:rPr>
        <w:t xml:space="preserve">            </w:t>
      </w:r>
      <w:r>
        <w:rPr>
          <w:rStyle w:val="ControlFlowTok"/>
        </w:rPr>
        <w:t xml:space="preserve">while</w:t>
      </w:r>
      <w:r>
        <w:rPr>
          <w:rStyle w:val="NormalTok"/>
        </w:rPr>
        <w:t xml:space="preserve"> load[</w:t>
      </w:r>
      <w:r>
        <w:rPr>
          <w:rStyle w:val="VariableTok"/>
        </w:rPr>
        <w:t xml:space="preserve">self</w:t>
      </w:r>
      <w:r>
        <w:rPr>
          <w:rStyle w:val="NormalTok"/>
        </w:rPr>
        <w:t xml:space="preserve">.owner[i]] </w:t>
      </w:r>
      <w:r>
        <w:rPr>
          <w:rStyle w:val="OperatorTok"/>
        </w:rPr>
        <w:t xml:space="preserve">&gt;=</w:t>
      </w:r>
      <w:r>
        <w:rPr>
          <w:rStyle w:val="NormalTok"/>
        </w:rPr>
        <w:t xml:space="preserve"> cap:         </w:t>
      </w:r>
      <w:r>
        <w:rPr>
          <w:rStyle w:val="CommentTok"/>
        </w:rPr>
        <w:t xml:space="preserve"># full: keep walking clockwise</w:t>
      </w:r>
      <w:r>
        <w:br/>
      </w:r>
      <w:r>
        <w:rPr>
          <w:rStyle w:val="NormalTok"/>
        </w:rPr>
        <w:t xml:space="preserve">                i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.pos)</w:t>
      </w:r>
      <w:r>
        <w:br/>
      </w:r>
      <w:r>
        <w:rPr>
          <w:rStyle w:val="NormalTok"/>
        </w:rPr>
        <w:t xml:space="preserve">            load[</w:t>
      </w:r>
      <w:r>
        <w:rPr>
          <w:rStyle w:val="VariableTok"/>
        </w:rPr>
        <w:t xml:space="preserve">self</w:t>
      </w:r>
      <w:r>
        <w:rPr>
          <w:rStyle w:val="NormalTok"/>
        </w:rPr>
        <w:t xml:space="preserve">.owner[i]] </w:t>
      </w:r>
      <w:r>
        <w:rPr>
          <w:rStyle w:val="OperatorTok"/>
        </w:rPr>
        <w:t xml:space="preserve">+=</w:t>
      </w:r>
      <w:r>
        <w:rPr>
          <w:rStyle w:val="NormalTok"/>
        </w:rPr>
        <w:t xml:space="preserve"> </w:t>
      </w:r>
      <w:r>
        <w:rPr>
          <w:rStyle w:val="DecValTok"/>
        </w:rPr>
        <w:t xml:space="preserve">1</w:t>
      </w:r>
      <w:r>
        <w:br/>
      </w:r>
      <w:r>
        <w:rPr>
          <w:rStyle w:val="NormalTok"/>
        </w:rPr>
        <w:t xml:space="preserve">            where.append(</w:t>
      </w:r>
      <w:r>
        <w:rPr>
          <w:rStyle w:val="VariableTok"/>
        </w:rPr>
        <w:t xml:space="preserve">self</w:t>
      </w:r>
      <w:r>
        <w:rPr>
          <w:rStyle w:val="NormalTok"/>
        </w:rPr>
        <w:t xml:space="preserve">.owner[i])</w:t>
      </w:r>
      <w:r>
        <w:br/>
      </w:r>
      <w:r>
        <w:rPr>
          <w:rStyle w:val="NormalTok"/>
        </w:rPr>
        <w:t xml:space="preserve">        </w:t>
      </w:r>
      <w:r>
        <w:rPr>
          <w:rStyle w:val="ControlFlowTok"/>
        </w:rPr>
        <w:t xml:space="preserve">return</w:t>
      </w:r>
      <w:r>
        <w:rPr>
          <w:rStyle w:val="NormalTok"/>
        </w:rPr>
        <w:t xml:space="preserve"> load, where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rng </w:t>
      </w:r>
      <w:r>
        <w:rPr>
          <w:rStyle w:val="OperatorTok"/>
        </w:rPr>
        <w:t xml:space="preserve">=</w:t>
      </w:r>
      <w:r>
        <w:rPr>
          <w:rStyle w:val="NormalTok"/>
        </w:rPr>
        <w:t xml:space="preserve"> random.Random(</w:t>
      </w:r>
      <w:r>
        <w:rPr>
          <w:rStyle w:val="DecValTok"/>
        </w:rPr>
        <w:t xml:space="preserve">7</w:t>
      </w:r>
      <w:r>
        <w:rPr>
          <w:rStyle w:val="NormalTok"/>
        </w:rPr>
        <w:t xml:space="preserve">)</w:t>
      </w:r>
      <w:r>
        <w:br/>
      </w:r>
      <w:r>
        <w:rPr>
          <w:rStyle w:val="NormalTok"/>
        </w:rPr>
        <w:t xml:space="preserve">    servers </w:t>
      </w:r>
      <w:r>
        <w:rPr>
          <w:rStyle w:val="OperatorTok"/>
        </w:rPr>
        <w:t xml:space="preserve">=</w:t>
      </w:r>
      <w:r>
        <w:rPr>
          <w:rStyle w:val="NormalTok"/>
        </w:rPr>
        <w:t xml:space="preserve"> [</w:t>
      </w:r>
      <w:r>
        <w:rPr>
          <w:rStyle w:val="SpecialStringTok"/>
        </w:rPr>
        <w:t xml:space="preserve">f"cache-</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40</w:t>
      </w:r>
      <w:r>
        <w:rPr>
          <w:rStyle w:val="NormalTok"/>
        </w:rPr>
        <w:t xml:space="preserve">)]</w:t>
      </w:r>
      <w:r>
        <w:br/>
      </w:r>
      <w:r>
        <w:rPr>
          <w:rStyle w:val="NormalTok"/>
        </w:rPr>
        <w:t xml:space="preserve">    </w:t>
      </w:r>
      <w:r>
        <w:rPr>
          <w:rStyle w:val="CommentTok"/>
        </w:rPr>
        <w:t xml:space="preserve"># 10,000 in-flight requests for 2,000 objects with Zipf(1.0) popularity:</w:t>
      </w:r>
      <w:r>
        <w:br/>
      </w:r>
      <w:r>
        <w:rPr>
          <w:rStyle w:val="NormalTok"/>
        </w:rPr>
        <w:t xml:space="preserve">    </w:t>
      </w:r>
      <w:r>
        <w:rPr>
          <w:rStyle w:val="CommentTok"/>
        </w:rPr>
        <w:t xml:space="preserve"># every request for the same object hashes to the same point.</w:t>
      </w:r>
      <w:r>
        <w:br/>
      </w:r>
      <w:r>
        <w:rPr>
          <w:rStyle w:val="NormalTok"/>
        </w:rPr>
        <w:t xml:space="preserve">    objects </w:t>
      </w:r>
      <w:r>
        <w:rPr>
          <w:rStyle w:val="OperatorTok"/>
        </w:rPr>
        <w:t xml:space="preserve">=</w:t>
      </w:r>
      <w:r>
        <w:rPr>
          <w:rStyle w:val="NormalTok"/>
        </w:rPr>
        <w:t xml:space="preserve"> [</w:t>
      </w:r>
      <w:r>
        <w:rPr>
          <w:rStyle w:val="SpecialStringTok"/>
        </w:rPr>
        <w:t xml:space="preserve">f"video:</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2_000</w:t>
      </w:r>
      <w:r>
        <w:rPr>
          <w:rStyle w:val="NormalTok"/>
        </w:rPr>
        <w:t xml:space="preserve">)]</w:t>
      </w:r>
      <w:r>
        <w:br/>
      </w:r>
      <w:r>
        <w:rPr>
          <w:rStyle w:val="NormalTok"/>
        </w:rPr>
        <w:t xml:space="preserve">    zipf_w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(r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(objects))]</w:t>
      </w:r>
      <w:r>
        <w:br/>
      </w:r>
      <w:r>
        <w:rPr>
          <w:rStyle w:val="NormalTok"/>
        </w:rPr>
        <w:t xml:space="preserve">    requests </w:t>
      </w:r>
      <w:r>
        <w:rPr>
          <w:rStyle w:val="OperatorTok"/>
        </w:rPr>
        <w:t xml:space="preserve">=</w:t>
      </w:r>
      <w:r>
        <w:rPr>
          <w:rStyle w:val="NormalTok"/>
        </w:rPr>
        <w:t xml:space="preserve"> rng.choices(objects, weights</w:t>
      </w:r>
      <w:r>
        <w:rPr>
          <w:rStyle w:val="OperatorTok"/>
        </w:rPr>
        <w:t xml:space="preserve">=</w:t>
      </w:r>
      <w:r>
        <w:rPr>
          <w:rStyle w:val="NormalTok"/>
        </w:rPr>
        <w:t xml:space="preserve">zipf_w, k</w:t>
      </w:r>
      <w:r>
        <w:rPr>
          <w:rStyle w:val="OperatorTok"/>
        </w:rPr>
        <w:t xml:space="preserve">=</w:t>
      </w:r>
      <w:r>
        <w:rPr>
          <w:rStyle w:val="DecValTok"/>
        </w:rPr>
        <w:t xml:space="preserve">10_000</w:t>
      </w:r>
      <w:r>
        <w:rPr>
          <w:rStyle w:val="NormalTok"/>
        </w:rPr>
        <w:t xml:space="preserve">)</w:t>
      </w:r>
      <w:r>
        <w:br/>
      </w:r>
      <w:r>
        <w:rPr>
          <w:rStyle w:val="NormalTok"/>
        </w:rPr>
        <w:t xml:space="preserve">    avg </w:t>
      </w:r>
      <w:r>
        <w:rPr>
          <w:rStyle w:val="OperatorTok"/>
        </w:rPr>
        <w:t xml:space="preserve">=</w:t>
      </w:r>
      <w:r>
        <w:rPr>
          <w:rStyle w:val="NormalTok"/>
        </w:rPr>
        <w:t xml:space="preserve"> </w:t>
      </w:r>
      <w:r>
        <w:rPr>
          <w:rStyle w:val="BuiltInTok"/>
        </w:rPr>
        <w:t xml:space="preserve">len</w:t>
      </w:r>
      <w:r>
        <w:rPr>
          <w:rStyle w:val="NormalTok"/>
        </w:rPr>
        <w:t xml:space="preserve">(requests) </w:t>
      </w:r>
      <w:r>
        <w:rPr>
          <w:rStyle w:val="OperatorTok"/>
        </w:rPr>
        <w:t xml:space="preserve">/</w:t>
      </w:r>
      <w:r>
        <w:rPr>
          <w:rStyle w:val="NormalTok"/>
        </w:rPr>
        <w:t xml:space="preserve"> </w:t>
      </w:r>
      <w:r>
        <w:rPr>
          <w:rStyle w:val="BuiltInTok"/>
        </w:rPr>
        <w:t xml:space="preserve">len</w:t>
      </w:r>
      <w:r>
        <w:rPr>
          <w:rStyle w:val="NormalTok"/>
        </w:rPr>
        <w:t xml:space="preserve">(servers)</w:t>
      </w:r>
      <w:r>
        <w:br/>
      </w:r>
      <w:r>
        <w:rPr>
          <w:rStyle w:val="NormalTok"/>
        </w:rPr>
        <w:t xml:space="preserve">    ring </w:t>
      </w:r>
      <w:r>
        <w:rPr>
          <w:rStyle w:val="OperatorTok"/>
        </w:rPr>
        <w:t xml:space="preserve">=</w:t>
      </w:r>
      <w:r>
        <w:rPr>
          <w:rStyle w:val="NormalTok"/>
        </w:rPr>
        <w:t xml:space="preserve"> Ring(servers)</w:t>
      </w:r>
      <w:r>
        <w:br/>
      </w:r>
      <w:r>
        <w:rPr>
          <w:rStyle w:val="NormalTok"/>
        </w:rPr>
        <w:t xml:space="preserve">    </w:t>
      </w:r>
      <w:r>
        <w:rPr>
          <w:rStyle w:val="ControlFlowTok"/>
        </w:rPr>
        <w:t xml:space="preserve">for</w:t>
      </w:r>
      <w:r>
        <w:rPr>
          <w:rStyle w:val="NormalTok"/>
        </w:rPr>
        <w:t xml:space="preserve"> eps </w:t>
      </w:r>
      <w:r>
        <w:rPr>
          <w:rStyle w:val="KeywordTok"/>
        </w:rPr>
        <w:t xml:space="preserve">in</w:t>
      </w:r>
      <w:r>
        <w:rPr>
          <w:rStyle w:val="NormalTok"/>
        </w:rPr>
        <w:t xml:space="preserve"> (</w:t>
      </w:r>
      <w:r>
        <w:rPr>
          <w:rStyle w:val="VariableTok"/>
        </w:rPr>
        <w:t xml:space="preserve">None</w:t>
      </w:r>
      <w:r>
        <w:rPr>
          <w:rStyle w:val="NormalTok"/>
        </w:rPr>
        <w:t xml:space="preserve">, </w:t>
      </w:r>
      <w:r>
        <w:rPr>
          <w:rStyle w:val="FloatTok"/>
        </w:rPr>
        <w:t xml:space="preserve">1.0</w:t>
      </w:r>
      <w:r>
        <w:rPr>
          <w:rStyle w:val="NormalTok"/>
        </w:rPr>
        <w:t xml:space="preserve">, </w:t>
      </w:r>
      <w:r>
        <w:rPr>
          <w:rStyle w:val="FloatTok"/>
        </w:rPr>
        <w:t xml:space="preserve">0.25</w:t>
      </w:r>
      <w:r>
        <w:rPr>
          <w:rStyle w:val="NormalTok"/>
        </w:rPr>
        <w:t xml:space="preserve">):</w:t>
      </w:r>
      <w:r>
        <w:br/>
      </w:r>
      <w:r>
        <w:rPr>
          <w:rStyle w:val="NormalTok"/>
        </w:rPr>
        <w:t xml:space="preserve">        load, where </w:t>
      </w:r>
      <w:r>
        <w:rPr>
          <w:rStyle w:val="OperatorTok"/>
        </w:rPr>
        <w:t xml:space="preserve">=</w:t>
      </w:r>
      <w:r>
        <w:rPr>
          <w:rStyle w:val="NormalTok"/>
        </w:rPr>
        <w:t xml:space="preserve"> ring.assign(requests, eps)</w:t>
      </w:r>
      <w:r>
        <w:br/>
      </w:r>
      <w:r>
        <w:rPr>
          <w:rStyle w:val="NormalTok"/>
        </w:rPr>
        <w:t xml:space="preserve">        first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k, s </w:t>
      </w:r>
      <w:r>
        <w:rPr>
          <w:rStyle w:val="KeywordTok"/>
        </w:rPr>
        <w:t xml:space="preserve">in</w:t>
      </w:r>
      <w:r>
        <w:rPr>
          <w:rStyle w:val="NormalTok"/>
        </w:rPr>
        <w:t xml:space="preserve"> </w:t>
      </w:r>
      <w:r>
        <w:rPr>
          <w:rStyle w:val="BuiltInTok"/>
        </w:rPr>
        <w:t xml:space="preserve">zip</w:t>
      </w:r>
      <w:r>
        <w:rPr>
          <w:rStyle w:val="NormalTok"/>
        </w:rPr>
        <w:t xml:space="preserve">(requests, where)</w:t>
      </w:r>
      <w:r>
        <w:br/>
      </w:r>
      <w:r>
        <w:rPr>
          <w:rStyle w:val="NormalTok"/>
        </w:rPr>
        <w:t xml:space="preserve">                    </w:t>
      </w:r>
      <w:r>
        <w:rPr>
          <w:rStyle w:val="ControlFlowTok"/>
        </w:rPr>
        <w:t xml:space="preserve">if</w:t>
      </w:r>
      <w:r>
        <w:rPr>
          <w:rStyle w:val="NormalTok"/>
        </w:rPr>
        <w:t xml:space="preserve"> s </w:t>
      </w:r>
      <w:r>
        <w:rPr>
          <w:rStyle w:val="OperatorTok"/>
        </w:rPr>
        <w:t xml:space="preserve">==</w:t>
      </w:r>
      <w:r>
        <w:rPr>
          <w:rStyle w:val="NormalTok"/>
        </w:rPr>
        <w:t xml:space="preserve"> ring.owner[bisect.bisect_right(ring.pos, h(k)) </w:t>
      </w:r>
      <w:r>
        <w:rPr>
          <w:rStyle w:val="OperatorTok"/>
        </w:rPr>
        <w:t xml:space="preserve">%</w:t>
      </w:r>
      <w:r>
        <w:rPr>
          <w:rStyle w:val="NormalTok"/>
        </w:rPr>
        <w:t xml:space="preserve"> </w:t>
      </w:r>
      <w:r>
        <w:rPr>
          <w:rStyle w:val="BuiltInTok"/>
        </w:rPr>
        <w:t xml:space="preserve">len</w:t>
      </w:r>
      <w:r>
        <w:rPr>
          <w:rStyle w:val="NormalTok"/>
        </w:rPr>
        <w:t xml:space="preserve">(ring.pos)])</w:t>
      </w:r>
      <w:r>
        <w:br/>
      </w:r>
      <w:r>
        <w:rPr>
          <w:rStyle w:val="NormalTok"/>
        </w:rPr>
        <w:t xml:space="preserve">        label </w:t>
      </w:r>
      <w:r>
        <w:rPr>
          <w:rStyle w:val="OperatorTok"/>
        </w:rPr>
        <w:t xml:space="preserve">=</w:t>
      </w:r>
      <w:r>
        <w:rPr>
          <w:rStyle w:val="NormalTok"/>
        </w:rPr>
        <w:t xml:space="preserve"> </w:t>
      </w:r>
      <w:r>
        <w:rPr>
          <w:rStyle w:val="StringTok"/>
        </w:rPr>
        <w:t xml:space="preserve">"plain ring"</w:t>
      </w:r>
      <w:r>
        <w:rPr>
          <w:rStyle w:val="NormalTok"/>
        </w:rPr>
        <w:t xml:space="preserve"> </w:t>
      </w:r>
      <w:r>
        <w:rPr>
          <w:rStyle w:val="ControlFlowTok"/>
        </w:rPr>
        <w:t xml:space="preserve">if</w:t>
      </w:r>
      <w:r>
        <w:rPr>
          <w:rStyle w:val="NormalTok"/>
        </w:rPr>
        <w:t xml:space="preserve"> eps </w:t>
      </w:r>
      <w:r>
        <w:rPr>
          <w:rStyle w:val="KeywordTok"/>
        </w:rPr>
        <w:t xml:space="preserve">is</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w:t>
      </w:r>
      <w:r>
        <w:rPr>
          <w:rStyle w:val="SpecialStringTok"/>
        </w:rPr>
        <w:t xml:space="preserve">f"bounded eps=</w:t>
      </w:r>
      <w:r>
        <w:rPr>
          <w:rStyle w:val="SpecialCharTok"/>
        </w:rPr>
        <w:t xml:space="preserve">{</w:t>
      </w:r>
      <w:r>
        <w:rPr>
          <w:rStyle w:val="NormalTok"/>
        </w:rPr>
        <w:t xml:space="preserve">eps</w:t>
      </w:r>
      <w:r>
        <w:rPr>
          <w:rStyle w:val="SpecialCharTok"/>
        </w:rPr>
        <w:t xml:space="preserve">}</w:t>
      </w:r>
      <w:r>
        <w:rPr>
          <w:rStyle w:val="SpecialString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label</w:t>
      </w:r>
      <w:r>
        <w:rPr>
          <w:rStyle w:val="SpecialCharTok"/>
        </w:rPr>
        <w:t xml:space="preserve">:&lt;18}</w:t>
      </w:r>
      <w:r>
        <w:rPr>
          <w:rStyle w:val="SpecialStringTok"/>
        </w:rPr>
        <w:t xml:space="preserve"> max load </w:t>
      </w:r>
      <w:r>
        <w:rPr>
          <w:rStyle w:val="SpecialCharTok"/>
        </w:rPr>
        <w:t xml:space="preserve">{</w:t>
      </w:r>
      <w:r>
        <w:rPr>
          <w:rStyle w:val="BuiltInTok"/>
        </w:rPr>
        <w:t xml:space="preserve">max</w:t>
      </w:r>
      <w:r>
        <w:rPr>
          <w:rStyle w:val="NormalTok"/>
        </w:rPr>
        <w:t xml:space="preserve">(load.values())</w:t>
      </w:r>
      <w:r>
        <w:rPr>
          <w:rStyle w:val="SpecialCharTok"/>
        </w:rPr>
        <w:t xml:space="preserve">:5d}</w:t>
      </w:r>
      <w:r>
        <w:rPr>
          <w:rStyle w:val="SpecialStringTok"/>
        </w:rPr>
        <w:t xml:space="preserve"> (</w:t>
      </w:r>
      <w:r>
        <w:rPr>
          <w:rStyle w:val="SpecialCharTok"/>
        </w:rPr>
        <w:t xml:space="preserve">{</w:t>
      </w:r>
      <w:r>
        <w:rPr>
          <w:rStyle w:val="BuiltInTok"/>
        </w:rPr>
        <w:t xml:space="preserve">max</w:t>
      </w:r>
      <w:r>
        <w:rPr>
          <w:rStyle w:val="NormalTok"/>
        </w:rPr>
        <w:t xml:space="preserve">(load.values()) </w:t>
      </w:r>
      <w:r>
        <w:rPr>
          <w:rStyle w:val="OperatorTok"/>
        </w:rPr>
        <w:t xml:space="preserve">/</w:t>
      </w:r>
      <w:r>
        <w:rPr>
          <w:rStyle w:val="NormalTok"/>
        </w:rPr>
        <w:t xml:space="preserve"> avg</w:t>
      </w:r>
      <w:r>
        <w:rPr>
          <w:rStyle w:val="SpecialCharTok"/>
        </w:rPr>
        <w:t xml:space="preserve">:4.2f}</w:t>
      </w:r>
      <w:r>
        <w:rPr>
          <w:rStyle w:val="SpecialStringTok"/>
        </w:rPr>
        <w:t xml:space="preserve">x avg)"</w:t>
      </w:r>
      <w:r>
        <w:br/>
      </w:r>
      <w:r>
        <w:rPr>
          <w:rStyle w:val="NormalTok"/>
        </w:rPr>
        <w:t xml:space="preserve">              </w:t>
      </w:r>
      <w:r>
        <w:rPr>
          <w:rStyle w:val="SpecialStringTok"/>
        </w:rPr>
        <w:t xml:space="preserve">f"  on first-choice server </w:t>
      </w:r>
      <w:r>
        <w:rPr>
          <w:rStyle w:val="SpecialCharTok"/>
        </w:rPr>
        <w:t xml:space="preserve">{</w:t>
      </w:r>
      <w:r>
        <w:rPr>
          <w:rStyle w:val="NormalTok"/>
        </w:rPr>
        <w:t xml:space="preserve">first </w:t>
      </w:r>
      <w:r>
        <w:rPr>
          <w:rStyle w:val="OperatorTok"/>
        </w:rPr>
        <w:t xml:space="preserve">/</w:t>
      </w:r>
      <w:r>
        <w:rPr>
          <w:rStyle w:val="NormalTok"/>
        </w:rPr>
        <w:t xml:space="preserve"> </w:t>
      </w:r>
      <w:r>
        <w:rPr>
          <w:rStyle w:val="BuiltInTok"/>
        </w:rPr>
        <w:t xml:space="preserve">len</w:t>
      </w:r>
      <w:r>
        <w:rPr>
          <w:rStyle w:val="NormalTok"/>
        </w:rPr>
        <w:t xml:space="preserve">(requests)</w:t>
      </w:r>
      <w:r>
        <w:rPr>
          <w:rStyle w:val="SpecialCharTok"/>
        </w:rPr>
        <w:t xml:space="preserve">:6.1%}</w:t>
      </w:r>
      <w:r>
        <w:rPr>
          <w:rStyle w:val="SpecialStringTok"/>
        </w:rPr>
        <w:t xml:space="preserve">"</w:t>
      </w:r>
      <w:r>
        <w:rPr>
          <w:rStyle w:val="NormalTok"/>
        </w:rPr>
        <w:t xml:space="preserve">)</w:t>
      </w:r>
      <w:r>
        <w:br/>
      </w:r>
      <w:r>
        <w:br/>
      </w:r>
      <w:r>
        <w:rPr>
          <w:rStyle w:val="NormalTok"/>
        </w:rPr>
        <w:t xml:space="preserve">    </w:t>
      </w:r>
      <w:r>
        <w:rPr>
          <w:rStyle w:val="CommentTok"/>
        </w:rPr>
        <w:t xml:space="preserve"># Membership change: add a 41st server, count requests that change server.</w:t>
      </w:r>
      <w:r>
        <w:br/>
      </w:r>
      <w:r>
        <w:rPr>
          <w:rStyle w:val="NormalTok"/>
        </w:rPr>
        <w:t xml:space="preserve">    bigger </w:t>
      </w:r>
      <w:r>
        <w:rPr>
          <w:rStyle w:val="OperatorTok"/>
        </w:rPr>
        <w:t xml:space="preserve">=</w:t>
      </w:r>
      <w:r>
        <w:rPr>
          <w:rStyle w:val="NormalTok"/>
        </w:rPr>
        <w:t xml:space="preserve"> Ring(servers </w:t>
      </w:r>
      <w:r>
        <w:rPr>
          <w:rStyle w:val="OperatorTok"/>
        </w:rPr>
        <w:t xml:space="preserve">+</w:t>
      </w:r>
      <w:r>
        <w:rPr>
          <w:rStyle w:val="NormalTok"/>
        </w:rPr>
        <w:t xml:space="preserve"> [</w:t>
      </w:r>
      <w:r>
        <w:rPr>
          <w:rStyle w:val="StringTok"/>
        </w:rPr>
        <w:t xml:space="preserve">"cache-40"</w:t>
      </w:r>
      <w:r>
        <w:rPr>
          <w:rStyle w:val="NormalTok"/>
        </w:rPr>
        <w:t xml:space="preserve">])</w:t>
      </w:r>
      <w:r>
        <w:br/>
      </w:r>
      <w:r>
        <w:rPr>
          <w:rStyle w:val="NormalTok"/>
        </w:rPr>
        <w:t xml:space="preserve">    </w:t>
      </w:r>
      <w:r>
        <w:rPr>
          <w:rStyle w:val="ControlFlowTok"/>
        </w:rPr>
        <w:t xml:space="preserve">for</w:t>
      </w:r>
      <w:r>
        <w:rPr>
          <w:rStyle w:val="NormalTok"/>
        </w:rPr>
        <w:t xml:space="preserve"> eps </w:t>
      </w:r>
      <w:r>
        <w:rPr>
          <w:rStyle w:val="KeywordTok"/>
        </w:rPr>
        <w:t xml:space="preserve">in</w:t>
      </w:r>
      <w:r>
        <w:rPr>
          <w:rStyle w:val="NormalTok"/>
        </w:rPr>
        <w:t xml:space="preserve"> (</w:t>
      </w:r>
      <w:r>
        <w:rPr>
          <w:rStyle w:val="VariableTok"/>
        </w:rPr>
        <w:t xml:space="preserve">None</w:t>
      </w:r>
      <w:r>
        <w:rPr>
          <w:rStyle w:val="NormalTok"/>
        </w:rPr>
        <w:t xml:space="preserve">, </w:t>
      </w:r>
      <w:r>
        <w:rPr>
          <w:rStyle w:val="FloatTok"/>
        </w:rPr>
        <w:t xml:space="preserve">1.0</w:t>
      </w:r>
      <w:r>
        <w:rPr>
          <w:rStyle w:val="NormalTok"/>
        </w:rPr>
        <w:t xml:space="preserve">, </w:t>
      </w:r>
      <w:r>
        <w:rPr>
          <w:rStyle w:val="FloatTok"/>
        </w:rPr>
        <w:t xml:space="preserve">0.25</w:t>
      </w:r>
      <w:r>
        <w:rPr>
          <w:rStyle w:val="NormalTok"/>
        </w:rPr>
        <w:t xml:space="preserve">):</w:t>
      </w:r>
      <w:r>
        <w:br/>
      </w:r>
      <w:r>
        <w:rPr>
          <w:rStyle w:val="NormalTok"/>
        </w:rPr>
        <w:t xml:space="preserve">        _, before </w:t>
      </w:r>
      <w:r>
        <w:rPr>
          <w:rStyle w:val="OperatorTok"/>
        </w:rPr>
        <w:t xml:space="preserve">=</w:t>
      </w:r>
      <w:r>
        <w:rPr>
          <w:rStyle w:val="NormalTok"/>
        </w:rPr>
        <w:t xml:space="preserve"> ring.assign(requests, eps)</w:t>
      </w:r>
      <w:r>
        <w:br/>
      </w:r>
      <w:r>
        <w:rPr>
          <w:rStyle w:val="NormalTok"/>
        </w:rPr>
        <w:t xml:space="preserve">        _, after </w:t>
      </w:r>
      <w:r>
        <w:rPr>
          <w:rStyle w:val="OperatorTok"/>
        </w:rPr>
        <w:t xml:space="preserve">=</w:t>
      </w:r>
      <w:r>
        <w:rPr>
          <w:rStyle w:val="NormalTok"/>
        </w:rPr>
        <w:t xml:space="preserve"> bigger.assign(requests, eps)</w:t>
      </w:r>
      <w:r>
        <w:br/>
      </w:r>
      <w:r>
        <w:rPr>
          <w:rStyle w:val="NormalTok"/>
        </w:rPr>
        <w:t xml:space="preserve">        moved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a, b </w:t>
      </w:r>
      <w:r>
        <w:rPr>
          <w:rStyle w:val="KeywordTok"/>
        </w:rPr>
        <w:t xml:space="preserve">in</w:t>
      </w:r>
      <w:r>
        <w:rPr>
          <w:rStyle w:val="NormalTok"/>
        </w:rPr>
        <w:t xml:space="preserve"> </w:t>
      </w:r>
      <w:r>
        <w:rPr>
          <w:rStyle w:val="BuiltInTok"/>
        </w:rPr>
        <w:t xml:space="preserve">zip</w:t>
      </w:r>
      <w:r>
        <w:rPr>
          <w:rStyle w:val="NormalTok"/>
        </w:rPr>
        <w:t xml:space="preserve">(before, after) </w:t>
      </w:r>
      <w:r>
        <w:rPr>
          <w:rStyle w:val="ControlFlowTok"/>
        </w:rPr>
        <w:t xml:space="preserve">if</w:t>
      </w:r>
      <w:r>
        <w:rPr>
          <w:rStyle w:val="NormalTok"/>
        </w:rPr>
        <w:t xml:space="preserve"> a </w:t>
      </w:r>
      <w:r>
        <w:rPr>
          <w:rStyle w:val="OperatorTok"/>
        </w:rPr>
        <w:t xml:space="preserve">!=</w:t>
      </w:r>
      <w:r>
        <w:rPr>
          <w:rStyle w:val="NormalTok"/>
        </w:rPr>
        <w:t xml:space="preserve"> b) </w:t>
      </w:r>
      <w:r>
        <w:rPr>
          <w:rStyle w:val="OperatorTok"/>
        </w:rPr>
        <w:t xml:space="preserve">/</w:t>
      </w:r>
      <w:r>
        <w:rPr>
          <w:rStyle w:val="NormalTok"/>
        </w:rPr>
        <w:t xml:space="preserve"> </w:t>
      </w:r>
      <w:r>
        <w:rPr>
          <w:rStyle w:val="BuiltInTok"/>
        </w:rPr>
        <w:t xml:space="preserve">len</w:t>
      </w:r>
      <w:r>
        <w:rPr>
          <w:rStyle w:val="NormalTok"/>
        </w:rPr>
        <w:t xml:space="preserve">(requests)</w:t>
      </w:r>
      <w:r>
        <w:br/>
      </w:r>
      <w:r>
        <w:rPr>
          <w:rStyle w:val="NormalTok"/>
        </w:rPr>
        <w:t xml:space="preserve">        </w:t>
      </w:r>
      <w:r>
        <w:rPr>
          <w:rStyle w:val="BuiltInTok"/>
        </w:rPr>
        <w:t xml:space="preserve">print</w:t>
      </w:r>
      <w:r>
        <w:rPr>
          <w:rStyle w:val="NormalTok"/>
        </w:rPr>
        <w:t xml:space="preserve">(</w:t>
      </w:r>
      <w:r>
        <w:rPr>
          <w:rStyle w:val="SpecialStringTok"/>
        </w:rPr>
        <w:t xml:space="preserve">f"add 41st server, eps=</w:t>
      </w:r>
      <w:r>
        <w:rPr>
          <w:rStyle w:val="SpecialCharTok"/>
        </w:rPr>
        <w:t xml:space="preserve">{</w:t>
      </w:r>
      <w:r>
        <w:rPr>
          <w:rStyle w:val="NormalTok"/>
        </w:rPr>
        <w:t xml:space="preserve">eps</w:t>
      </w:r>
      <w:r>
        <w:rPr>
          <w:rStyle w:val="SpecialCharTok"/>
        </w:rPr>
        <w:t xml:space="preserve">}</w:t>
      </w:r>
      <w:r>
        <w:rPr>
          <w:rStyle w:val="SpecialStringTok"/>
        </w:rPr>
        <w:t xml:space="preserve">: </w:t>
      </w:r>
      <w:r>
        <w:rPr>
          <w:rStyle w:val="SpecialCharTok"/>
        </w:rPr>
        <w:t xml:space="preserve">{</w:t>
      </w:r>
      <w:r>
        <w:rPr>
          <w:rStyle w:val="NormalTok"/>
        </w:rPr>
        <w:t xml:space="preserve">moved</w:t>
      </w:r>
      <w:r>
        <w:rPr>
          <w:rStyle w:val="SpecialCharTok"/>
        </w:rPr>
        <w:t xml:space="preserve">:5.1%}</w:t>
      </w:r>
      <w:r>
        <w:rPr>
          <w:rStyle w:val="SpecialStringTok"/>
        </w:rPr>
        <w:t xml:space="preserve"> of requests change server"</w:t>
      </w:r>
      <w:r>
        <w:rPr>
          <w:rStyle w:val="NormalTok"/>
        </w:rPr>
        <w:t xml:space="preserve">)</w:t>
      </w:r>
    </w:p>
    <w:p>
      <w:pPr>
        <w:pStyle w:val="FirstParagraph"/>
      </w:pPr>
      <w:r>
        <w:t xml:space="preserve">Output (Python 3.13):</w:t>
      </w:r>
    </w:p>
    <w:p>
      <w:pPr>
        <w:pStyle w:val="SourceCode"/>
      </w:pPr>
      <w:r>
        <w:rPr>
          <w:rStyle w:val="VerbatimChar"/>
        </w:rPr>
        <w:t xml:space="preserve">plain ring         max load  1534 (6.14x avg)  on first-choice server 100.0%</w:t>
      </w:r>
      <w:r>
        <w:br/>
      </w:r>
      <w:r>
        <w:rPr>
          <w:rStyle w:val="VerbatimChar"/>
        </w:rPr>
        <w:t xml:space="preserve">bounded eps=1.0    max load   500 (2.00x avg)  on first-choice server  83.2%</w:t>
      </w:r>
      <w:r>
        <w:br/>
      </w:r>
      <w:r>
        <w:rPr>
          <w:rStyle w:val="VerbatimChar"/>
        </w:rPr>
        <w:t xml:space="preserve">bounded eps=0.25   max load   313 (1.25x avg)  on first-choice server  72.5%</w:t>
      </w:r>
      <w:r>
        <w:br/>
      </w:r>
      <w:r>
        <w:rPr>
          <w:rStyle w:val="VerbatimChar"/>
        </w:rPr>
        <w:t xml:space="preserve">add 41st server, eps=None:  1.0% of requests change server</w:t>
      </w:r>
      <w:r>
        <w:br/>
      </w:r>
      <w:r>
        <w:rPr>
          <w:rStyle w:val="VerbatimChar"/>
        </w:rPr>
        <w:t xml:space="preserve">add 41st server, eps=1.0:  1.9% of requests change server</w:t>
      </w:r>
      <w:r>
        <w:br/>
      </w:r>
      <w:r>
        <w:rPr>
          <w:rStyle w:val="VerbatimChar"/>
        </w:rPr>
        <w:t xml:space="preserve">add 41st server, eps=0.25:  3.3% of requests change server</w:t>
      </w:r>
    </w:p>
    <w:p>
      <w:pPr>
        <w:pStyle w:val="FirstParagraph"/>
      </w:pPr>
      <w:r>
        <w:t xml:space="preserve">What to notice:</w:t>
      </w:r>
    </w:p>
    <w:p>
      <w:pPr>
        <w:numPr>
          <w:ilvl w:val="0"/>
          <w:numId w:val="1637"/>
        </w:numPr>
        <w:pStyle w:val="Compact"/>
      </w:pPr>
      <w:r>
        <w:t xml:space="preserve">The plain ring’s busiest server holds 6.1 times the average because every request for a hot video lands on the same point. The cap is met exactly: 500 and 313.</w:t>
      </w:r>
    </w:p>
    <w:p>
      <w:pPr>
        <w:numPr>
          <w:ilvl w:val="0"/>
          <w:numId w:val="1637"/>
        </w:numPr>
        <w:pStyle w:val="Compact"/>
      </w:pPr>
      <w:r>
        <w:t xml:space="preserve">With</w:t>
      </w:r>
      <w:r>
        <w:t xml:space="preserve"> </w:t>
      </w:r>
      <m:oMath>
        <m:r>
          <m:t>ε</m:t>
        </m:r>
        <m:r>
          <m:rPr>
            <m:sty m:val="p"/>
          </m:rPr>
          <m:t>=</m:t>
        </m:r>
        <m:r>
          <m:t>0.25</m:t>
        </m:r>
      </m:oMath>
      <w:r>
        <w:t xml:space="preserve">, 72.5% of requests still reach their first-choice server; the rest are hot-object overflow.</w:t>
      </w:r>
    </w:p>
    <w:p>
      <w:pPr>
        <w:numPr>
          <w:ilvl w:val="0"/>
          <w:numId w:val="1637"/>
        </w:numPr>
        <w:pStyle w:val="Compact"/>
      </w:pPr>
      <w:r>
        <w:t xml:space="preserve">Bounded loads cost some stability: adding a server moves 3.3% of requests instead of 1.0%, because changing</w:t>
      </w:r>
      <w:r>
        <w:t xml:space="preserve"> </w:t>
      </w:r>
      <m:oMath>
        <m:r>
          <m:t>n</m:t>
        </m:r>
      </m:oMath>
      <w:r>
        <w:t xml:space="preserve"> </w:t>
      </w:r>
      <w:r>
        <w:t xml:space="preserve">changes the cap and shifts overflow chains.</w:t>
      </w:r>
    </w:p>
    <w:p>
      <w:pPr>
        <w:numPr>
          <w:ilvl w:val="0"/>
          <w:numId w:val="1637"/>
        </w:numPr>
        <w:pStyle w:val="Compact"/>
      </w:pPr>
      <w:r>
        <w:t xml:space="preserve">For request routing,</w:t>
      </w:r>
      <w:r>
        <w:t xml:space="preserve"> </w:t>
      </w:r>
      <m:oMath>
        <m:r>
          <m:t>m</m:t>
        </m:r>
      </m:oMath>
      <w:r>
        <w:t xml:space="preserve"> </w:t>
      </w:r>
      <w:r>
        <w:t xml:space="preserve">is the number of in-flight requests, so the cap moves continuously with traffic; the code takes a static snapshot for clarity.</w:t>
      </w:r>
    </w:p>
    <w:p>
      <w:pPr>
        <w:pStyle w:val="CalloutIndustry"/>
      </w:pPr>
      <w:r>
        <w:rPr>
          <w:bCs/>
          <w:b/>
        </w:rPr>
        <w:t xml:space="preserve">INDUSTRY EXAMPLE</w:t>
      </w:r>
    </w:p>
    <w:p>
      <w:pPr>
        <w:pStyle w:val="CalloutIndustry"/>
      </w:pPr>
      <w:r>
        <w:rPr>
          <w:bCs/>
          <w:b/>
        </w:rPr>
        <w:t xml:space="preserve">Vimeo and HAProxy.</w:t>
      </w:r>
      <w:r>
        <w:t xml:space="preserve"> </w:t>
      </w:r>
      <w:r>
        <w:t xml:space="preserve">Vimeo’s video-delivery team found that plain consistent hashing across its cache servers overloaded the servers holding popular videos, implemented the bounded-loads algorithm in HAProxy, and reported a large drop in cache-tier bandwidth imbalance. HAProxy exposes it as</w:t>
      </w:r>
      <w:r>
        <w:t xml:space="preserve"> </w:t>
      </w:r>
      <w:r>
        <w:rPr>
          <w:rStyle w:val="VerbatimChar"/>
        </w:rPr>
        <w:t xml:space="preserve">hash-balance-factor</w:t>
      </w:r>
      <w:r>
        <w:t xml:space="preserve"> </w:t>
      </w:r>
      <w:r>
        <w:t xml:space="preserve">(a value of 125 corresponds to</w:t>
      </w:r>
      <w:r>
        <w:t xml:space="preserve"> </w:t>
      </w:r>
      <m:oMath>
        <m:r>
          <m:t>ε</m:t>
        </m:r>
        <m:r>
          <m:rPr>
            <m:sty m:val="p"/>
          </m:rPr>
          <m:t>=</m:t>
        </m:r>
        <m:r>
          <m:t>0.25</m:t>
        </m:r>
      </m:oMath>
      <w:r>
        <w:t xml:space="preserve">). Google has reported using the algorithm in Google Cloud Pub/Sub.</w:t>
      </w:r>
      <w:r>
        <w:t xml:space="preserve"> </w:t>
      </w:r>
      <w:r>
        <w:rPr>
          <w:iCs/>
          <w:i/>
        </w:rPr>
        <w:t xml:space="preserve">Evidence: Primary</w:t>
      </w:r>
      <w:r>
        <w:t xml:space="preserve"> </w:t>
      </w:r>
      <w:r>
        <w:t xml:space="preserve">— [Rodland 2016; HAProxy Docs: hash-balance-factor; Mirrokni &amp; Zadimoghaddam 2017]</w:t>
      </w:r>
    </w:p>
    <w:bookmarkEnd w:id="2186"/>
    <w:bookmarkEnd w:id="2187"/>
    <w:bookmarkStart w:id="2194" w:name="maglev-hashing"/>
    <w:p>
      <w:pPr>
        <w:pStyle w:val="Heading3"/>
      </w:pPr>
      <w:r>
        <w:t xml:space="preserve">19.4.8 Maglev hashing</w:t>
      </w:r>
    </w:p>
    <w:p>
      <w:pPr>
        <w:pStyle w:val="CalloutDefinition"/>
      </w:pPr>
      <w:r>
        <w:rPr>
          <w:bCs/>
          <w:b/>
        </w:rPr>
        <w:t xml:space="preserve">DEFINITION</w:t>
      </w:r>
    </w:p>
    <w:p>
      <w:pPr>
        <w:pStyle w:val="CalloutDefinition"/>
      </w:pPr>
      <w:r>
        <w:rPr>
          <w:bCs/>
          <w:b/>
        </w:rPr>
        <w:t xml:space="preserve">Definition — Maglev hashing.</w:t>
      </w:r>
      <w:r>
        <w:t xml:space="preserve"> </w:t>
      </w:r>
      <w:r>
        <w:t xml:space="preserve">A consistent-hashing scheme that builds a</w:t>
      </w:r>
      <w:r>
        <w:t xml:space="preserve"> </w:t>
      </w:r>
      <w:r>
        <w:rPr>
          <w:bCs/>
          <w:b/>
        </w:rPr>
        <w:t xml:space="preserve">lookup table</w:t>
      </w:r>
      <w:r>
        <w:t xml:space="preserve"> </w:t>
      </w:r>
      <w:r>
        <w:t xml:space="preserve">of prime size</w:t>
      </w:r>
      <w:r>
        <w:t xml:space="preserve"> </w:t>
      </w:r>
      <m:oMath>
        <m:r>
          <m:t>M</m:t>
        </m:r>
      </m:oMath>
      <w:r>
        <w:t xml:space="preserve"> </w:t>
      </w:r>
      <w:r>
        <w:t xml:space="preserve">in which every entry names a backend. Each backend has its own pseudo-random</w:t>
      </w:r>
      <w:r>
        <w:t xml:space="preserve"> </w:t>
      </w:r>
      <w:r>
        <w:rPr>
          <w:bCs/>
          <w:b/>
        </w:rPr>
        <w:t xml:space="preserve">preference permutation</w:t>
      </w:r>
      <w:r>
        <w:t xml:space="preserve"> </w:t>
      </w:r>
      <w:r>
        <w:t xml:space="preserve">of table positions; backends take turns claiming their next preferred empty position until the table is full. A packet’s backend is</w:t>
      </w:r>
      <w:r>
        <w:t xml:space="preserve"> </w:t>
      </w:r>
      <w:r>
        <w:rPr>
          <w:rStyle w:val="VerbatimChar"/>
        </w:rPr>
        <w:t xml:space="preserve">table[hash(5-tuple) mod M]</w:t>
      </w:r>
      <w:r>
        <w:t xml:space="preserve">: one array read [Eisenbud et al. 2016].</w:t>
      </w:r>
    </w:p>
    <w:bookmarkStart w:id="2188" w:name="first-principles-explanation-122"/>
    <w:p>
      <w:pPr>
        <w:pStyle w:val="Heading4"/>
      </w:pPr>
      <w:r>
        <w:t xml:space="preserve">First-principles explanation</w:t>
      </w:r>
    </w:p>
    <w:p>
      <w:pPr>
        <w:pStyle w:val="FirstParagraph"/>
      </w:pPr>
      <w:r>
        <w:t xml:space="preserve">Picture 3 students sharing 7 lockers. Each has a private, shuffled preference list; in rounds, each claims the first free locker on their list. Everyone gets almost the same number, and if one student leaves and the rounds are rerun, most lockers keep their owners, because the preference lists have not changed.</w:t>
      </w:r>
    </w:p>
    <w:bookmarkEnd w:id="2188"/>
    <w:bookmarkStart w:id="2189" w:name="why-does-this-exist-76"/>
    <w:p>
      <w:pPr>
        <w:pStyle w:val="Heading4"/>
      </w:pPr>
      <w:r>
        <w:t xml:space="preserve">Why does this exist?</w:t>
      </w:r>
    </w:p>
    <w:p>
      <w:pPr>
        <w:pStyle w:val="FirstParagraph"/>
      </w:pPr>
      <w:r>
        <w:t xml:space="preserve">Google’s Maglev is a software L4 balancer that has served Google’s traffic since 2008, running on commodity Linux servers behind routers that spread packets across Maglev machines with ECMP [Eisenbud et al. 2016]. Two requirements shaped its hashing:</w:t>
      </w:r>
    </w:p>
    <w:p>
      <w:pPr>
        <w:numPr>
          <w:ilvl w:val="0"/>
          <w:numId w:val="1638"/>
        </w:numPr>
        <w:pStyle w:val="Compact"/>
      </w:pPr>
      <w:r>
        <w:rPr>
          <w:bCs/>
          <w:b/>
        </w:rPr>
        <w:t xml:space="preserve">Any Maglev machine must route any packet of a flow to the same backend</w:t>
      </w:r>
      <w:r>
        <w:t xml:space="preserve">, even if the packet reaches a different Maglev machine after a router change, so the choice must be a deterministic function of the 5-tuple and the backend set.</w:t>
      </w:r>
    </w:p>
    <w:p>
      <w:pPr>
        <w:numPr>
          <w:ilvl w:val="0"/>
          <w:numId w:val="1638"/>
        </w:numPr>
        <w:pStyle w:val="Compact"/>
      </w:pPr>
      <w:r>
        <w:rPr>
          <w:bCs/>
          <w:b/>
        </w:rPr>
        <w:t xml:space="preserve">Per-packet cost must be tiny</w:t>
      </w:r>
      <w:r>
        <w:t xml:space="preserve">: the paper reports a single machine saturating a 10 Gbit/s link with small packets, which leaves no room for a binary search per packet.</w:t>
      </w:r>
    </w:p>
    <w:p>
      <w:pPr>
        <w:pStyle w:val="FirstParagraph"/>
      </w:pPr>
      <w:r>
        <w:t xml:space="preserve">A ring gives (1) but</w:t>
      </w:r>
      <w:r>
        <w:t xml:space="preserve"> </w:t>
      </w:r>
      <m:oMath>
        <m:r>
          <m:t>O</m:t>
        </m:r>
        <m:d>
          <m:dPr>
            <m:begChr m:val="("/>
            <m:endChr m:val=")"/>
            <m:sepChr m:val=""/>
            <m:grow/>
          </m:dPr>
          <m:e>
            <m:r>
              <m:rPr>
                <m:sty m:val="p"/>
              </m:rPr>
              <m:t>log</m:t>
            </m:r>
            <m:r>
              <m:t>M</m:t>
            </m:r>
          </m:e>
        </m:d>
      </m:oMath>
      <w:r>
        <w:t xml:space="preserve"> </w:t>
      </w:r>
      <w:r>
        <w:t xml:space="preserve">lookups and imperfect balance; Maglev hashing gives near-perfect balance and</w:t>
      </w:r>
      <w:r>
        <w:t xml:space="preserve"> </w:t>
      </w:r>
      <m:oMath>
        <m:r>
          <m:t>O</m:t>
        </m:r>
        <m:d>
          <m:dPr>
            <m:begChr m:val="("/>
            <m:endChr m:val=")"/>
            <m:sepChr m:val=""/>
            <m:grow/>
          </m:dPr>
          <m:e>
            <m:r>
              <m:t>1</m:t>
            </m:r>
          </m:e>
        </m:d>
      </m:oMath>
      <w:r>
        <w:t xml:space="preserve"> </w:t>
      </w:r>
      <w:r>
        <w:t xml:space="preserve">lookup, at the price of slightly more than minimal disruption.</w:t>
      </w:r>
    </w:p>
    <w:bookmarkEnd w:id="2189"/>
    <w:bookmarkStart w:id="2193" w:name="how-it-works-internally-82"/>
    <w:p>
      <w:pPr>
        <w:pStyle w:val="Heading4"/>
      </w:pPr>
      <w:r>
        <w:t xml:space="preserve">How it works internally</w:t>
      </w:r>
    </w:p>
    <w:p>
      <w:pPr>
        <w:pStyle w:val="FirstParagraph"/>
      </w:pPr>
      <w:r>
        <w:rPr>
          <w:bCs/>
          <w:b/>
        </w:rPr>
        <w:t xml:space="preserve">Figure 19.4 — Maglev: ECMP spreads packets over balancer machines; each machine maps flows to backends with the same lookup table.</w:t>
      </w:r>
    </w:p>
    <w:p>
      <w:pPr>
        <w:pStyle w:val="BodyText"/>
      </w:pPr>
      <w:r>
        <w:drawing>
          <wp:inline>
            <wp:extent cx="5334000" cy="1949668"/>
            <wp:effectExtent b="0" l="0" r="0" t="0"/>
            <wp:docPr descr="" title="" id="2191" name="Picture"/>
            <a:graphic>
              <a:graphicData uri="http://schemas.openxmlformats.org/drawingml/2006/picture">
                <pic:pic>
                  <pic:nvPicPr>
                    <pic:cNvPr descr="/home/user/System-Design/build/.cache/diagrams/19b7c9519dd2.png" id="2192" name="Picture"/>
                    <pic:cNvPicPr>
                      <a:picLocks noChangeArrowheads="1" noChangeAspect="1"/>
                    </pic:cNvPicPr>
                  </pic:nvPicPr>
                  <pic:blipFill>
                    <a:blip r:embed="rId2190"/>
                    <a:stretch>
                      <a:fillRect/>
                    </a:stretch>
                  </pic:blipFill>
                  <pic:spPr bwMode="auto">
                    <a:xfrm>
                      <a:off x="0" y="0"/>
                      <a:ext cx="5334000" cy="1949668"/>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Each Maglev machine announces the VIPs to the router by BGP, and the router spreads packets across them with ECMP (§19.8.3). A Maglev machine looks the flow up in its connection-tracking table; on a miss it reads</w:t>
      </w:r>
      <w:r>
        <w:t xml:space="preserve"> </w:t>
      </w:r>
      <w:r>
        <w:rPr>
          <w:rStyle w:val="VerbatimChar"/>
        </w:rPr>
        <w:t xml:space="preserve">table[hash(5-tuple) mod M]</w:t>
      </w:r>
      <w:r>
        <w:t xml:space="preserve">, records the result and forwards the packet in a GRE tunnel. Backends reply directly to clients (dotted: the asymmetric return path, still synchronous TCP). Tables are computed from configuration and connection state is soft, so there is no storage boundary. Failure point: if a Maglev machine dies, its flows rehash to machines with no connection entries, but those compute the same table, so most flows keep their backend. Scaling: add Maglev machines or backends.</w:t>
      </w:r>
    </w:p>
    <w:p>
      <w:pPr>
        <w:pStyle w:val="BodyText"/>
      </w:pPr>
      <w:r>
        <w:t xml:space="preserve">The table is filled as follows:</w:t>
      </w:r>
    </w:p>
    <w:p>
      <w:pPr>
        <w:numPr>
          <w:ilvl w:val="0"/>
          <w:numId w:val="1639"/>
        </w:numPr>
        <w:pStyle w:val="Compact"/>
      </w:pPr>
      <w:r>
        <w:t xml:space="preserve">For each backend</w:t>
      </w:r>
      <w:r>
        <w:t xml:space="preserve"> </w:t>
      </w:r>
      <m:oMath>
        <m:r>
          <m:t>i</m:t>
        </m:r>
      </m:oMath>
      <w:r>
        <w:t xml:space="preserve">, compute</w:t>
      </w:r>
      <w:r>
        <w:t xml:space="preserve"> </w:t>
      </w:r>
      <m:oMath>
        <m:sSub>
          <m:e>
            <m:r>
              <m:rPr>
                <m:nor/>
                <m:sty m:val="p"/>
              </m:rPr>
              <m:t>offset</m:t>
            </m:r>
          </m:e>
          <m:sub>
            <m:r>
              <m:t>i</m:t>
            </m:r>
          </m:sub>
        </m:sSub>
      </m:oMath>
      <w:r>
        <w:t xml:space="preserve"> </w:t>
      </w:r>
      <w:r>
        <w:t xml:space="preserve">and</w:t>
      </w:r>
      <w:r>
        <w:t xml:space="preserve"> </w:t>
      </w:r>
      <m:oMath>
        <m:sSub>
          <m:e>
            <m:r>
              <m:rPr>
                <m:nor/>
                <m:sty m:val="p"/>
              </m:rPr>
              <m:t>skip</m:t>
            </m:r>
          </m:e>
          <m:sub>
            <m:r>
              <m:t>i</m:t>
            </m:r>
          </m:sub>
        </m:sSub>
      </m:oMath>
      <w:r>
        <w:t xml:space="preserve"> </w:t>
      </w:r>
      <w:r>
        <w:t xml:space="preserve">from two hashes of its name.</w:t>
      </w:r>
    </w:p>
    <w:p>
      <w:pPr>
        <w:numPr>
          <w:ilvl w:val="0"/>
          <w:numId w:val="1639"/>
        </w:numPr>
        <w:pStyle w:val="Compact"/>
      </w:pPr>
      <w:r>
        <w:t xml:space="preserve">Its preference list is</w:t>
      </w:r>
      <w:r>
        <w:t xml:space="preserve"> </w:t>
      </w:r>
      <m:oMath>
        <m:sSub>
          <m:e>
            <m:r>
              <m:rPr>
                <m:nor/>
                <m:sty m:val="p"/>
              </m:rPr>
              <m:t>perm</m:t>
            </m:r>
          </m:e>
          <m:sub>
            <m:r>
              <m:t>i</m:t>
            </m:r>
          </m:sub>
        </m:sSub>
        <m:d>
          <m:dPr>
            <m:begChr m:val="["/>
            <m:endChr m:val="]"/>
            <m:sepChr m:val=""/>
            <m:grow/>
          </m:dPr>
          <m:e>
            <m:r>
              <m:t>j</m:t>
            </m:r>
          </m:e>
        </m:d>
        <m:r>
          <m:rPr>
            <m:sty m:val="p"/>
          </m:rPr>
          <m:t>=</m:t>
        </m:r>
        <m:d>
          <m:dPr>
            <m:begChr m:val="("/>
            <m:endChr m:val=")"/>
            <m:sepChr m:val=""/>
            <m:grow/>
          </m:dPr>
          <m:e>
            <m:sSub>
              <m:e>
                <m:r>
                  <m:rPr>
                    <m:nor/>
                    <m:sty m:val="p"/>
                  </m:rPr>
                  <m:t>offset</m:t>
                </m:r>
              </m:e>
              <m:sub>
                <m:r>
                  <m:t>i</m:t>
                </m:r>
              </m:sub>
            </m:sSub>
            <m:r>
              <m:rPr>
                <m:sty m:val="p"/>
              </m:rPr>
              <m:t>+</m:t>
            </m:r>
            <m:r>
              <m:t>j</m:t>
            </m:r>
            <m:r>
              <m:rPr>
                <m:sty m:val="p"/>
              </m:rPr>
              <m:t>⋅</m:t>
            </m:r>
            <m:sSub>
              <m:e>
                <m:r>
                  <m:rPr>
                    <m:nor/>
                    <m:sty m:val="p"/>
                  </m:rPr>
                  <m:t>skip</m:t>
                </m:r>
              </m:e>
              <m:sub>
                <m:r>
                  <m:t>i</m:t>
                </m:r>
              </m:sub>
            </m:sSub>
          </m:e>
        </m:d>
        <m:r>
          <m:t> </m:t>
        </m:r>
        <m:r>
          <m:rPr>
            <m:sty m:val="p"/>
          </m:rPr>
          <m:t>mod</m:t>
        </m:r>
        <m:r>
          <m:t> </m:t>
        </m:r>
        <m:r>
          <m:t>M</m:t>
        </m:r>
      </m:oMath>
      <w:r>
        <w:t xml:space="preserve"> </w:t>
      </w:r>
      <w:r>
        <w:t xml:space="preserve">for</w:t>
      </w:r>
      <w:r>
        <w:t xml:space="preserve"> </w:t>
      </w:r>
      <m:oMath>
        <m:r>
          <m:t>j</m:t>
        </m:r>
        <m:r>
          <m:rPr>
            <m:sty m:val="p"/>
          </m:rPr>
          <m:t>=</m:t>
        </m:r>
        <m:r>
          <m:t>0</m:t>
        </m:r>
        <m:r>
          <m:rPr>
            <m:sty m:val="p"/>
          </m:rPr>
          <m:t>,</m:t>
        </m:r>
        <m:r>
          <m:t>1</m:t>
        </m:r>
        <m:r>
          <m:rPr>
            <m:sty m:val="p"/>
          </m:rPr>
          <m:t>,</m:t>
        </m:r>
        <m:r>
          <m:rPr>
            <m:sty m:val="p"/>
          </m:rPr>
          <m:t>…</m:t>
        </m:r>
        <m:r>
          <m:rPr>
            <m:sty m:val="p"/>
          </m:rPr>
          <m:t>,</m:t>
        </m:r>
        <m:r>
          <m:t>M</m:t>
        </m:r>
        <m:r>
          <m:rPr>
            <m:sty m:val="p"/>
          </m:rPr>
          <m:t>−</m:t>
        </m:r>
        <m:r>
          <m:t>1</m:t>
        </m:r>
      </m:oMath>
      <w:r>
        <w:t xml:space="preserve">. Because</w:t>
      </w:r>
      <w:r>
        <w:t xml:space="preserve"> </w:t>
      </w:r>
      <m:oMath>
        <m:r>
          <m:t>M</m:t>
        </m:r>
      </m:oMath>
      <w:r>
        <w:t xml:space="preserve"> </w:t>
      </w:r>
      <w:r>
        <w:t xml:space="preserve">is prime and</w:t>
      </w:r>
      <w:r>
        <w:t xml:space="preserve"> </w:t>
      </w:r>
      <m:oMath>
        <m:r>
          <m:t>1</m:t>
        </m:r>
        <m:r>
          <m:rPr>
            <m:sty m:val="p"/>
          </m:rPr>
          <m:t>≤</m:t>
        </m:r>
        <m:sSub>
          <m:e>
            <m:r>
              <m:rPr>
                <m:nor/>
                <m:sty m:val="p"/>
              </m:rPr>
              <m:t>skip</m:t>
            </m:r>
          </m:e>
          <m:sub>
            <m:r>
              <m:t>i</m:t>
            </m:r>
          </m:sub>
        </m:sSub>
        <m:r>
          <m:rPr>
            <m:sty m:val="p"/>
          </m:rPr>
          <m:t>&lt;</m:t>
        </m:r>
        <m:r>
          <m:t>M</m:t>
        </m:r>
      </m:oMath>
      <w:r>
        <w:t xml:space="preserve">, this visits every position exactly once.</w:t>
      </w:r>
    </w:p>
    <w:p>
      <w:pPr>
        <w:numPr>
          <w:ilvl w:val="0"/>
          <w:numId w:val="1639"/>
        </w:numPr>
        <w:pStyle w:val="Compact"/>
      </w:pPr>
      <w:r>
        <w:t xml:space="preserve">Set every entry empty. Loop over backends in turn: backend</w:t>
      </w:r>
      <w:r>
        <w:t xml:space="preserve"> </w:t>
      </w:r>
      <m:oMath>
        <m:r>
          <m:t>i</m:t>
        </m:r>
      </m:oMath>
      <w:r>
        <w:t xml:space="preserve"> </w:t>
      </w:r>
      <w:r>
        <w:t xml:space="preserve">walks its list from where it stopped to the first empty position, claims it, and the turn passes. Stop when all</w:t>
      </w:r>
      <w:r>
        <w:t xml:space="preserve"> </w:t>
      </w:r>
      <m:oMath>
        <m:r>
          <m:t>M</m:t>
        </m:r>
      </m:oMath>
      <w:r>
        <w:t xml:space="preserve"> </w:t>
      </w:r>
      <w:r>
        <w:t xml:space="preserve">entries are full.</w:t>
      </w:r>
    </w:p>
    <w:p>
      <w:pPr>
        <w:numPr>
          <w:ilvl w:val="0"/>
          <w:numId w:val="1639"/>
        </w:numPr>
        <w:pStyle w:val="Compact"/>
      </w:pPr>
      <w:r>
        <w:t xml:space="preserve">To look up a packet, compute</w:t>
      </w:r>
      <w:r>
        <w:t xml:space="preserve"> </w:t>
      </w:r>
      <w:r>
        <w:rPr>
          <w:rStyle w:val="VerbatimChar"/>
        </w:rPr>
        <w:t xml:space="preserve">table[hash(5-tuple) mod M]</w:t>
      </w:r>
      <w:r>
        <w:t xml:space="preserve">.</w:t>
      </w:r>
    </w:p>
    <w:p>
      <w:pPr>
        <w:pStyle w:val="FirstParagraph"/>
      </w:pPr>
      <w:r>
        <w:t xml:space="preserve">Because each round gives every backend one entry, entry counts differ by at most one. Weights can be added by letting heavier backends take more turns. The paper chooses</w:t>
      </w:r>
      <w:r>
        <w:t xml:space="preserve"> </w:t>
      </w:r>
      <m:oMath>
        <m:r>
          <m:t>M</m:t>
        </m:r>
      </m:oMath>
      <w:r>
        <w:t xml:space="preserve"> </w:t>
      </w:r>
      <w:r>
        <w:t xml:space="preserve">much larger than the number of backends (it suggests</w:t>
      </w:r>
      <w:r>
        <w:t xml:space="preserve"> </w:t>
      </w:r>
      <m:oMath>
        <m:r>
          <m:t>M</m:t>
        </m:r>
        <m:r>
          <m:rPr>
            <m:sty m:val="p"/>
          </m:rPr>
          <m:t>&gt;</m:t>
        </m:r>
        <m:r>
          <m:t>100</m:t>
        </m:r>
        <m:r>
          <m:t>N</m:t>
        </m:r>
      </m:oMath>
      <w:r>
        <w:t xml:space="preserve">) so that a one-entry difference is a small fraction of each backend’s share.</w:t>
      </w:r>
    </w:p>
    <w:p>
      <w:pPr>
        <w:pStyle w:val="CalloutFormula"/>
      </w:pPr>
      <w:r>
        <w:rPr>
          <w:bCs/>
          <w:b/>
        </w:rPr>
        <w:t xml:space="preserve">FORMULA</w:t>
      </w:r>
    </w:p>
    <w:p>
      <w:pPr>
        <w:pStyle w:val="CalloutFormula"/>
      </w:pPr>
      <w:r>
        <w:rPr>
          <w:bCs/>
          <w:b/>
        </w:rPr>
        <w:t xml:space="preserve">Maglev preference permutation</w:t>
      </w:r>
    </w:p>
    <w:p>
      <w:pPr>
        <w:pStyle w:val="CalloutFormula"/>
      </w:pPr>
      <m:oMathPara>
        <m:oMathParaPr>
          <m:jc m:val="center"/>
        </m:oMathParaPr>
        <m:oMath>
          <m:sSub>
            <m:e>
              <m:r>
                <m:rPr>
                  <m:nor/>
                  <m:sty m:val="p"/>
                </m:rPr>
                <m:t>offset</m:t>
              </m:r>
            </m:e>
            <m:sub>
              <m:r>
                <m:t>i</m:t>
              </m:r>
            </m:sub>
          </m:sSub>
          <m:r>
            <m:rPr>
              <m:sty m:val="p"/>
            </m:rPr>
            <m:t>=</m:t>
          </m:r>
          <m:sSub>
            <m:e>
              <m:r>
                <m:t>h</m:t>
              </m:r>
            </m:e>
            <m:sub>
              <m:r>
                <m:t>1</m:t>
              </m:r>
            </m:sub>
          </m:sSub>
          <m:d>
            <m:dPr>
              <m:begChr m:val="("/>
              <m:endChr m:val=")"/>
              <m:sepChr m:val=""/>
              <m:grow/>
            </m:dPr>
            <m:e>
              <m:sSub>
                <m:e>
                  <m:r>
                    <m:rPr>
                      <m:nor/>
                      <m:sty m:val="p"/>
                    </m:rPr>
                    <m:t>name</m:t>
                  </m:r>
                </m:e>
                <m:sub>
                  <m:r>
                    <m:t>i</m:t>
                  </m:r>
                </m:sub>
              </m:sSub>
            </m:e>
          </m:d>
          <m:r>
            <m:t> </m:t>
          </m:r>
          <m:r>
            <m:rPr>
              <m:sty m:val="p"/>
            </m:rPr>
            <m:t>mod</m:t>
          </m:r>
          <m:r>
            <m:t> </m:t>
          </m:r>
          <m:r>
            <m:t>M</m:t>
          </m:r>
          <m:r>
            <m:rPr>
              <m:sty m:val="p"/>
            </m:rPr>
            <m:t>,</m:t>
          </m:r>
          <m:r>
            <m:t>  </m:t>
          </m:r>
          <m:sSub>
            <m:e>
              <m:r>
                <m:rPr>
                  <m:nor/>
                  <m:sty m:val="p"/>
                </m:rPr>
                <m:t>skip</m:t>
              </m:r>
            </m:e>
            <m:sub>
              <m:r>
                <m:t>i</m:t>
              </m:r>
            </m:sub>
          </m:sSub>
          <m:r>
            <m:rPr>
              <m:sty m:val="p"/>
            </m:rPr>
            <m:t>=</m:t>
          </m:r>
          <m:sSub>
            <m:e>
              <m:r>
                <m:t>h</m:t>
              </m:r>
            </m:e>
            <m:sub>
              <m:r>
                <m:t>2</m:t>
              </m:r>
            </m:sub>
          </m:sSub>
          <m:d>
            <m:dPr>
              <m:begChr m:val="("/>
              <m:endChr m:val=")"/>
              <m:sepChr m:val=""/>
              <m:grow/>
            </m:dPr>
            <m:e>
              <m:sSub>
                <m:e>
                  <m:r>
                    <m:rPr>
                      <m:nor/>
                      <m:sty m:val="p"/>
                    </m:rPr>
                    <m:t>name</m:t>
                  </m:r>
                </m:e>
                <m:sub>
                  <m:r>
                    <m:t>i</m:t>
                  </m:r>
                </m:sub>
              </m:sSub>
            </m:e>
          </m:d>
          <m:r>
            <m:t> </m:t>
          </m:r>
          <m:r>
            <m:rPr>
              <m:sty m:val="p"/>
            </m:rPr>
            <m:t>mod</m:t>
          </m:r>
          <m:r>
            <m:t> </m:t>
          </m:r>
          <m:d>
            <m:dPr>
              <m:begChr m:val="("/>
              <m:endChr m:val=")"/>
              <m:sepChr m:val=""/>
              <m:grow/>
            </m:dPr>
            <m:e>
              <m:r>
                <m:t>M</m:t>
              </m:r>
              <m:r>
                <m:rPr>
                  <m:sty m:val="p"/>
                </m:rPr>
                <m:t>−</m:t>
              </m:r>
              <m:r>
                <m:t>1</m:t>
              </m:r>
            </m:e>
          </m:d>
          <m:r>
            <m:rPr>
              <m:sty m:val="p"/>
            </m:rPr>
            <m:t>+</m:t>
          </m:r>
          <m:r>
            <m:t>1</m:t>
          </m:r>
          <m:r>
            <m:rPr>
              <m:sty m:val="p"/>
            </m:rPr>
            <m:t>,</m:t>
          </m:r>
          <m:r>
            <m:t>  </m:t>
          </m:r>
          <m:sSub>
            <m:e>
              <m:r>
                <m:rPr>
                  <m:nor/>
                  <m:sty m:val="p"/>
                </m:rPr>
                <m:t>perm</m:t>
              </m:r>
            </m:e>
            <m:sub>
              <m:r>
                <m:t>i</m:t>
              </m:r>
            </m:sub>
          </m:sSub>
          <m:d>
            <m:dPr>
              <m:begChr m:val="["/>
              <m:endChr m:val="]"/>
              <m:sepChr m:val=""/>
              <m:grow/>
            </m:dPr>
            <m:e>
              <m:r>
                <m:t>j</m:t>
              </m:r>
            </m:e>
          </m:d>
          <m:r>
            <m:rPr>
              <m:sty m:val="p"/>
            </m:rPr>
            <m:t>=</m:t>
          </m:r>
          <m:d>
            <m:dPr>
              <m:begChr m:val="("/>
              <m:endChr m:val=")"/>
              <m:sepChr m:val=""/>
              <m:grow/>
            </m:dPr>
            <m:e>
              <m:sSub>
                <m:e>
                  <m:r>
                    <m:rPr>
                      <m:nor/>
                      <m:sty m:val="p"/>
                    </m:rPr>
                    <m:t>offset</m:t>
                  </m:r>
                </m:e>
                <m:sub>
                  <m:r>
                    <m:t>i</m:t>
                  </m:r>
                </m:sub>
              </m:sSub>
              <m:r>
                <m:rPr>
                  <m:sty m:val="p"/>
                </m:rPr>
                <m:t>+</m:t>
              </m:r>
              <m:r>
                <m:t>j</m:t>
              </m:r>
              <m:r>
                <m:rPr>
                  <m:sty m:val="p"/>
                </m:rPr>
                <m:t>⋅</m:t>
              </m:r>
              <m:sSub>
                <m:e>
                  <m:r>
                    <m:rPr>
                      <m:nor/>
                      <m:sty m:val="p"/>
                    </m:rPr>
                    <m:t>skip</m:t>
                  </m:r>
                </m:e>
                <m:sub>
                  <m:r>
                    <m:t>i</m:t>
                  </m:r>
                </m:sub>
              </m:sSub>
            </m:e>
          </m:d>
          <m:r>
            <m:t> </m:t>
          </m:r>
          <m:r>
            <m:rPr>
              <m:sty m:val="p"/>
            </m:rPr>
            <m:t>mod</m:t>
          </m:r>
          <m:r>
            <m:t> </m:t>
          </m:r>
          <m:r>
            <m:t>M</m:t>
          </m:r>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M</m:t>
              </m:r>
            </m:oMath>
          </w:p>
        </w:tc>
        <w:tc>
          <w:tcPr/>
          <w:p>
            <w:pPr>
              <w:pStyle w:val="Compact"/>
              <w:jc w:val="left"/>
            </w:pPr>
            <w:r>
              <w:t xml:space="preserve">Lookup-table size, a prime</w:t>
            </w:r>
          </w:p>
        </w:tc>
        <w:tc>
          <w:tcPr/>
          <w:p>
            <w:pPr>
              <w:pStyle w:val="Compact"/>
              <w:jc w:val="left"/>
            </w:pPr>
            <w:r>
              <w:t xml:space="preserve">entries</w:t>
            </w:r>
          </w:p>
        </w:tc>
      </w:tr>
      <w:tr>
        <w:tc>
          <w:tcPr/>
          <w:p>
            <w:pPr>
              <w:pStyle w:val="Compact"/>
              <w:jc w:val="left"/>
            </w:pPr>
            <m:oMath>
              <m:sSub>
                <m:e>
                  <m:r>
                    <m:t>h</m:t>
                  </m:r>
                </m:e>
                <m:sub>
                  <m:r>
                    <m:t>1</m:t>
                  </m:r>
                </m:sub>
              </m:sSub>
            </m:oMath>
            <w:r>
              <w:t xml:space="preserve">,</w:t>
            </w:r>
            <w:r>
              <w:t xml:space="preserve"> </w:t>
            </w:r>
            <m:oMath>
              <m:sSub>
                <m:e>
                  <m:r>
                    <m:t>h</m:t>
                  </m:r>
                </m:e>
                <m:sub>
                  <m:r>
                    <m:t>2</m:t>
                  </m:r>
                </m:sub>
              </m:sSub>
            </m:oMath>
          </w:p>
        </w:tc>
        <w:tc>
          <w:tcPr/>
          <w:p>
            <w:pPr>
              <w:pStyle w:val="Compact"/>
              <w:jc w:val="left"/>
            </w:pPr>
            <w:r>
              <w:t xml:space="preserve">Two independent hash functions</w:t>
            </w:r>
          </w:p>
        </w:tc>
        <w:tc>
          <w:tcPr/>
          <w:p>
            <w:pPr>
              <w:pStyle w:val="Compact"/>
              <w:jc w:val="left"/>
            </w:pPr>
            <w:r>
              <w:t xml:space="preserve">—</w:t>
            </w:r>
          </w:p>
        </w:tc>
      </w:tr>
      <w:tr>
        <w:tc>
          <w:tcPr/>
          <w:p>
            <w:pPr>
              <w:pStyle w:val="Compact"/>
              <w:jc w:val="left"/>
            </w:pPr>
            <m:oMath>
              <m:sSub>
                <m:e>
                  <m:r>
                    <m:rPr>
                      <m:nor/>
                      <m:sty m:val="p"/>
                    </m:rPr>
                    <m:t>offset</m:t>
                  </m:r>
                </m:e>
                <m:sub>
                  <m:r>
                    <m:t>i</m:t>
                  </m:r>
                </m:sub>
              </m:sSub>
            </m:oMath>
          </w:p>
        </w:tc>
        <w:tc>
          <w:tcPr/>
          <w:p>
            <w:pPr>
              <w:pStyle w:val="Compact"/>
              <w:jc w:val="left"/>
            </w:pPr>
            <w:r>
              <w:t xml:space="preserve">Backend</w:t>
            </w:r>
            <w:r>
              <w:t xml:space="preserve"> </w:t>
            </w:r>
            <m:oMath>
              <m:r>
                <m:t>i</m:t>
              </m:r>
            </m:oMath>
            <w:r>
              <w:t xml:space="preserve">’s first preferred position</w:t>
            </w:r>
          </w:p>
        </w:tc>
        <w:tc>
          <w:tcPr/>
          <w:p>
            <w:pPr>
              <w:pStyle w:val="Compact"/>
              <w:jc w:val="left"/>
            </w:pPr>
            <w:r>
              <w:t xml:space="preserve">entry index</w:t>
            </w:r>
          </w:p>
        </w:tc>
      </w:tr>
      <w:tr>
        <w:tc>
          <w:tcPr/>
          <w:p>
            <w:pPr>
              <w:pStyle w:val="Compact"/>
              <w:jc w:val="left"/>
            </w:pPr>
            <m:oMath>
              <m:sSub>
                <m:e>
                  <m:r>
                    <m:rPr>
                      <m:nor/>
                      <m:sty m:val="p"/>
                    </m:rPr>
                    <m:t>skip</m:t>
                  </m:r>
                </m:e>
                <m:sub>
                  <m:r>
                    <m:t>i</m:t>
                  </m:r>
                </m:sub>
              </m:sSub>
            </m:oMath>
          </w:p>
        </w:tc>
        <w:tc>
          <w:tcPr/>
          <w:p>
            <w:pPr>
              <w:pStyle w:val="Compact"/>
              <w:jc w:val="left"/>
            </w:pPr>
            <w:r>
              <w:t xml:space="preserve">Step between backend</w:t>
            </w:r>
            <w:r>
              <w:t xml:space="preserve"> </w:t>
            </w:r>
            <m:oMath>
              <m:r>
                <m:t>i</m:t>
              </m:r>
            </m:oMath>
            <w:r>
              <w:t xml:space="preserve">’s successive preferences,</w:t>
            </w:r>
            <w:r>
              <w:t xml:space="preserve"> </w:t>
            </w:r>
            <m:oMath>
              <m:r>
                <m:t>1</m:t>
              </m:r>
              <m:r>
                <m:rPr>
                  <m:sty m:val="p"/>
                </m:rPr>
                <m:t>≤</m:t>
              </m:r>
              <m:sSub>
                <m:e>
                  <m:r>
                    <m:rPr>
                      <m:nor/>
                      <m:sty m:val="p"/>
                    </m:rPr>
                    <m:t>skip</m:t>
                  </m:r>
                </m:e>
                <m:sub>
                  <m:r>
                    <m:t>i</m:t>
                  </m:r>
                </m:sub>
              </m:sSub>
              <m:r>
                <m:rPr>
                  <m:sty m:val="p"/>
                </m:rPr>
                <m:t>≤</m:t>
              </m:r>
              <m:r>
                <m:t>M</m:t>
              </m:r>
              <m:r>
                <m:rPr>
                  <m:sty m:val="p"/>
                </m:rPr>
                <m:t>−</m:t>
              </m:r>
              <m:r>
                <m:t>1</m:t>
              </m:r>
            </m:oMath>
          </w:p>
        </w:tc>
        <w:tc>
          <w:tcPr/>
          <w:p>
            <w:pPr>
              <w:pStyle w:val="Compact"/>
              <w:jc w:val="left"/>
            </w:pPr>
            <w:r>
              <w:t xml:space="preserve">entries</w:t>
            </w:r>
          </w:p>
        </w:tc>
      </w:tr>
      <w:tr>
        <w:tc>
          <w:tcPr/>
          <w:p>
            <w:pPr>
              <w:pStyle w:val="Compact"/>
              <w:jc w:val="left"/>
            </w:pPr>
            <m:oMath>
              <m:sSub>
                <m:e>
                  <m:r>
                    <m:rPr>
                      <m:nor/>
                      <m:sty m:val="p"/>
                    </m:rPr>
                    <m:t>perm</m:t>
                  </m:r>
                </m:e>
                <m:sub>
                  <m:r>
                    <m:t>i</m:t>
                  </m:r>
                </m:sub>
              </m:sSub>
              <m:d>
                <m:dPr>
                  <m:begChr m:val="["/>
                  <m:endChr m:val="]"/>
                  <m:sepChr m:val=""/>
                  <m:grow/>
                </m:dPr>
                <m:e>
                  <m:r>
                    <m:t>j</m:t>
                  </m:r>
                </m:e>
              </m:d>
            </m:oMath>
          </w:p>
        </w:tc>
        <w:tc>
          <w:tcPr/>
          <w:p>
            <w:pPr>
              <w:pStyle w:val="Compact"/>
              <w:jc w:val="left"/>
            </w:pPr>
            <w:r>
              <w:t xml:space="preserve">Backend</w:t>
            </w:r>
            <w:r>
              <w:t xml:space="preserve"> </w:t>
            </w:r>
            <m:oMath>
              <m:r>
                <m:t>i</m:t>
              </m:r>
            </m:oMath>
            <w:r>
              <w:t xml:space="preserve">’s</w:t>
            </w:r>
            <w:r>
              <w:t xml:space="preserve"> </w:t>
            </w:r>
            <m:oMath>
              <m:r>
                <m:t>j</m:t>
              </m:r>
            </m:oMath>
            <w:r>
              <w:t xml:space="preserve">-th preferred position</w:t>
            </w:r>
          </w:p>
        </w:tc>
        <w:tc>
          <w:tcPr/>
          <w:p>
            <w:pPr>
              <w:pStyle w:val="Compact"/>
              <w:jc w:val="left"/>
            </w:pPr>
            <w:r>
              <w:t xml:space="preserve">entry index</w:t>
            </w:r>
          </w:p>
        </w:tc>
      </w:tr>
    </w:tbl>
    <w:p>
      <w:pPr>
        <w:pStyle w:val="CalloutExample"/>
      </w:pPr>
      <w:r>
        <w:rPr>
          <w:bCs/>
          <w:b/>
        </w:rPr>
        <w:t xml:space="preserve">WORKED EXAMPLE</w:t>
      </w:r>
    </w:p>
    <w:p>
      <w:pPr>
        <w:pStyle w:val="CalloutExample"/>
      </w:pPr>
      <w:r>
        <w:rPr>
          <w:bCs/>
          <w:b/>
        </w:rPr>
        <w:t xml:space="preserve">Worked example — filling a table of size 7.</w:t>
      </w:r>
      <w:r>
        <w:t xml:space="preserve"> </w:t>
      </w:r>
      <w:r>
        <w:t xml:space="preserve">Backends B0 (offset 3, skip 4), B1 (offset 0, skip 2), B2 (offset 3, skip 1).</w:t>
      </w:r>
    </w:p>
    <w:p>
      <w:pPr>
        <w:numPr>
          <w:ilvl w:val="0"/>
          <w:numId w:val="1640"/>
        </w:numPr>
        <w:pStyle w:val="Compact"/>
      </w:pPr>
      <w:r>
        <w:t xml:space="preserve">Preference lists: B0:</w:t>
      </w:r>
      <w:r>
        <w:t xml:space="preserve"> </w:t>
      </w:r>
      <m:oMath>
        <m:r>
          <m:t>3</m:t>
        </m:r>
        <m:r>
          <m:rPr>
            <m:sty m:val="p"/>
          </m:rPr>
          <m:t>,</m:t>
        </m:r>
        <m:r>
          <m:t>0</m:t>
        </m:r>
        <m:r>
          <m:rPr>
            <m:sty m:val="p"/>
          </m:rPr>
          <m:t>,</m:t>
        </m:r>
        <m:r>
          <m:t>4</m:t>
        </m:r>
        <m:r>
          <m:rPr>
            <m:sty m:val="p"/>
          </m:rPr>
          <m:t>,</m:t>
        </m:r>
        <m:r>
          <m:t>1</m:t>
        </m:r>
        <m:r>
          <m:rPr>
            <m:sty m:val="p"/>
          </m:rPr>
          <m:t>,</m:t>
        </m:r>
        <m:r>
          <m:t>5</m:t>
        </m:r>
        <m:r>
          <m:rPr>
            <m:sty m:val="p"/>
          </m:rPr>
          <m:t>,</m:t>
        </m:r>
        <m:r>
          <m:t>2</m:t>
        </m:r>
        <m:r>
          <m:rPr>
            <m:sty m:val="p"/>
          </m:rPr>
          <m:t>,</m:t>
        </m:r>
        <m:r>
          <m:t>6</m:t>
        </m:r>
      </m:oMath>
      <w:r>
        <w:t xml:space="preserve"> </w:t>
      </w:r>
      <w:r>
        <w:t xml:space="preserve">(each step adds 4 mod 7). B1:</w:t>
      </w:r>
      <w:r>
        <w:t xml:space="preserve"> </w:t>
      </w:r>
      <m:oMath>
        <m:r>
          <m:t>0</m:t>
        </m:r>
        <m:r>
          <m:rPr>
            <m:sty m:val="p"/>
          </m:rPr>
          <m:t>,</m:t>
        </m:r>
        <m:r>
          <m:t>2</m:t>
        </m:r>
        <m:r>
          <m:rPr>
            <m:sty m:val="p"/>
          </m:rPr>
          <m:t>,</m:t>
        </m:r>
        <m:r>
          <m:t>4</m:t>
        </m:r>
        <m:r>
          <m:rPr>
            <m:sty m:val="p"/>
          </m:rPr>
          <m:t>,</m:t>
        </m:r>
        <m:r>
          <m:t>6</m:t>
        </m:r>
        <m:r>
          <m:rPr>
            <m:sty m:val="p"/>
          </m:rPr>
          <m:t>,</m:t>
        </m:r>
        <m:r>
          <m:t>1</m:t>
        </m:r>
        <m:r>
          <m:rPr>
            <m:sty m:val="p"/>
          </m:rPr>
          <m:t>,</m:t>
        </m:r>
        <m:r>
          <m:t>3</m:t>
        </m:r>
        <m:r>
          <m:rPr>
            <m:sty m:val="p"/>
          </m:rPr>
          <m:t>,</m:t>
        </m:r>
        <m:r>
          <m:t>5</m:t>
        </m:r>
      </m:oMath>
      <w:r>
        <w:t xml:space="preserve">. B2:</w:t>
      </w:r>
      <w:r>
        <w:t xml:space="preserve"> </w:t>
      </w:r>
      <m:oMath>
        <m:r>
          <m:t>3</m:t>
        </m:r>
        <m:r>
          <m:rPr>
            <m:sty m:val="p"/>
          </m:rPr>
          <m:t>,</m:t>
        </m:r>
        <m:r>
          <m:t>4</m:t>
        </m:r>
        <m:r>
          <m:rPr>
            <m:sty m:val="p"/>
          </m:rPr>
          <m:t>,</m:t>
        </m:r>
        <m:r>
          <m:t>5</m:t>
        </m:r>
        <m:r>
          <m:rPr>
            <m:sty m:val="p"/>
          </m:rPr>
          <m:t>,</m:t>
        </m:r>
        <m:r>
          <m:t>6</m:t>
        </m:r>
        <m:r>
          <m:rPr>
            <m:sty m:val="p"/>
          </m:rPr>
          <m:t>,</m:t>
        </m:r>
        <m:r>
          <m:t>0</m:t>
        </m:r>
        <m:r>
          <m:rPr>
            <m:sty m:val="p"/>
          </m:rPr>
          <m:t>,</m:t>
        </m:r>
        <m:r>
          <m:t>1</m:t>
        </m:r>
        <m:r>
          <m:rPr>
            <m:sty m:val="p"/>
          </m:rPr>
          <m:t>,</m:t>
        </m:r>
        <m:r>
          <m:t>2</m:t>
        </m:r>
      </m:oMath>
      <w:r>
        <w:t xml:space="preserve">.</w:t>
      </w:r>
    </w:p>
    <w:p>
      <w:pPr>
        <w:numPr>
          <w:ilvl w:val="0"/>
          <w:numId w:val="1640"/>
        </w:numPr>
        <w:pStyle w:val="Compact"/>
      </w:pPr>
      <w:r>
        <w:t xml:space="preserve">Round 1: B0 claims 3. B1 claims 0. B2 wants 3 (taken), claims 4.</w:t>
      </w:r>
    </w:p>
    <w:p>
      <w:pPr>
        <w:numPr>
          <w:ilvl w:val="0"/>
          <w:numId w:val="1640"/>
        </w:numPr>
        <w:pStyle w:val="Compact"/>
      </w:pPr>
      <w:r>
        <w:t xml:space="preserve">Round 2: B0’s next is 0 (taken), then 4 (taken), claims 1. B1 claims 2. B2 claims 5.</w:t>
      </w:r>
    </w:p>
    <w:p>
      <w:pPr>
        <w:numPr>
          <w:ilvl w:val="0"/>
          <w:numId w:val="1640"/>
        </w:numPr>
        <w:pStyle w:val="Compact"/>
      </w:pPr>
      <w:r>
        <w:t xml:space="preserve">Round 3: B0 tries 5, 2 (taken), claims 6. Table full:</w:t>
      </w:r>
      <w:r>
        <w:t xml:space="preserve"> </w:t>
      </w:r>
      <w:r>
        <w:rPr>
          <w:rStyle w:val="VerbatimChar"/>
        </w:rPr>
        <w:t xml:space="preserve">[B1, B0, B1, B0, B2, B2, B0]</w:t>
      </w:r>
      <w:r>
        <w:t xml:space="preserve">, counts 3, 2, 2.</w:t>
      </w:r>
    </w:p>
    <w:p>
      <w:pPr>
        <w:numPr>
          <w:ilvl w:val="0"/>
          <w:numId w:val="1640"/>
        </w:numPr>
        <w:pStyle w:val="Compact"/>
      </w:pPr>
      <w:r>
        <w:t xml:space="preserve">B1 fails; rebuild with B0 and B2: B0 claims 3, B2 claims 4; B0 claims 0, B2 claims 5; B0 claims 1, B2 claims 6; B0 claims 2. Table:</w:t>
      </w:r>
      <w:r>
        <w:t xml:space="preserve"> </w:t>
      </w:r>
      <w:r>
        <w:rPr>
          <w:rStyle w:val="VerbatimChar"/>
        </w:rPr>
        <w:t xml:space="preserve">[B0, B0, B0, B0, B2, B2, B2]</w:t>
      </w:r>
      <w:r>
        <w:t xml:space="preserve">.</w:t>
      </w:r>
    </w:p>
    <w:p>
      <w:pPr>
        <w:numPr>
          <w:ilvl w:val="0"/>
          <w:numId w:val="1640"/>
        </w:numPr>
        <w:pStyle w:val="Compact"/>
      </w:pPr>
      <w:r>
        <w:t xml:space="preserve">Compare: entries 0 and 2 (B1’s) had to move. Entry 6 moved from B0 to B2 although B0 is still alive.</w:t>
      </w:r>
    </w:p>
    <w:p>
      <w:pPr>
        <w:pStyle w:val="CalloutExample"/>
      </w:pPr>
      <w:r>
        <w:rPr>
          <w:iCs/>
          <w:i/>
        </w:rPr>
        <w:t xml:space="preserve">Interpretation.</w:t>
      </w:r>
      <w:r>
        <w:t xml:space="preserve"> </w:t>
      </w:r>
      <w:r>
        <w:t xml:space="preserve">Balance is exact up to one entry, but disruption is not minimal: one of seven entries (14%) moved between survivors.</w:t>
      </w:r>
      <w:r>
        <w:t xml:space="preserve"> </w:t>
      </w:r>
      <w:r>
        <w:rPr>
          <w:iCs/>
          <w:i/>
        </w:rPr>
        <w:t xml:space="preserve">Engineering implication.</w:t>
      </w:r>
      <w:r>
        <w:t xml:space="preserve"> </w:t>
      </w:r>
      <w:r>
        <w:t xml:space="preserve">With realistic sizes the extra disruption is small (listing below), and Maglev’s connection tracking hides it for established flows; only new flows, or flows that move to another Maglev machine, follow the new table.</w:t>
      </w:r>
    </w:p>
    <w:p>
      <w:pPr>
        <w:pStyle w:val="SourceCode"/>
      </w:pPr>
      <w:r>
        <w:rPr>
          <w:rStyle w:val="CommentTok"/>
        </w:rPr>
        <w:t xml:space="preserve">"""Maglev lookup-table population (Eisenbud et al., NSDI 2016) and its disruption."""</w:t>
      </w:r>
      <w:r>
        <w:br/>
      </w:r>
      <w:r>
        <w:rPr>
          <w:rStyle w:val="ImportTok"/>
        </w:rPr>
        <w:t xml:space="preserve">import</w:t>
      </w:r>
      <w:r>
        <w:rPr>
          <w:rStyle w:val="NormalTok"/>
        </w:rPr>
        <w:t xml:space="preserve"> hashlib</w:t>
      </w:r>
      <w:r>
        <w:br/>
      </w:r>
      <w:r>
        <w:rPr>
          <w:rStyle w:val="ImportTok"/>
        </w:rPr>
        <w:t xml:space="preserve">from</w:t>
      </w:r>
      <w:r>
        <w:rPr>
          <w:rStyle w:val="NormalTok"/>
        </w:rPr>
        <w:t xml:space="preserve"> collections </w:t>
      </w:r>
      <w:r>
        <w:rPr>
          <w:rStyle w:val="ImportTok"/>
        </w:rPr>
        <w:t xml:space="preserve">import</w:t>
      </w:r>
      <w:r>
        <w:rPr>
          <w:rStyle w:val="NormalTok"/>
        </w:rPr>
        <w:t xml:space="preserve"> Counter</w:t>
      </w:r>
      <w:r>
        <w:br/>
      </w:r>
      <w:r>
        <w:br/>
      </w:r>
      <w:r>
        <w:br/>
      </w:r>
      <w:r>
        <w:rPr>
          <w:rStyle w:val="KeywordTok"/>
        </w:rPr>
        <w:t xml:space="preserve">def</w:t>
      </w:r>
      <w:r>
        <w:rPr>
          <w:rStyle w:val="NormalTok"/>
        </w:rPr>
        <w:t xml:space="preserve"> _h(s: </w:t>
      </w:r>
      <w:r>
        <w:rPr>
          <w:rStyle w:val="BuiltInTok"/>
        </w:rPr>
        <w:t xml:space="preserve">str</w:t>
      </w:r>
      <w:r>
        <w:rPr>
          <w:rStyle w:val="NormalTok"/>
        </w:rPr>
        <w:t xml:space="preserve">, salt: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int</w:t>
      </w:r>
      <w:r>
        <w:rPr>
          <w:rStyle w:val="NormalTok"/>
        </w:rPr>
        <w:t xml:space="preserve">.from_bytes(hashlib.md5((salt </w:t>
      </w:r>
      <w:r>
        <w:rPr>
          <w:rStyle w:val="OperatorTok"/>
        </w:rPr>
        <w:t xml:space="preserve">+</w:t>
      </w:r>
      <w:r>
        <w:rPr>
          <w:rStyle w:val="NormalTok"/>
        </w:rPr>
        <w:t xml:space="preserve"> s).encode()).digest()[:</w:t>
      </w:r>
      <w:r>
        <w:rPr>
          <w:rStyle w:val="DecValTok"/>
        </w:rPr>
        <w:t xml:space="preserve">8</w:t>
      </w:r>
      <w:r>
        <w:rPr>
          <w:rStyle w:val="NormalTok"/>
        </w:rPr>
        <w:t xml:space="preserve">], </w:t>
      </w:r>
      <w:r>
        <w:rPr>
          <w:rStyle w:val="StringTok"/>
        </w:rPr>
        <w:t xml:space="preserve">"big"</w:t>
      </w:r>
      <w:r>
        <w:rPr>
          <w:rStyle w:val="NormalTok"/>
        </w:rPr>
        <w:t xml:space="preserve">)</w:t>
      </w:r>
      <w:r>
        <w:br/>
      </w:r>
      <w:r>
        <w:br/>
      </w:r>
      <w:r>
        <w:br/>
      </w:r>
      <w:r>
        <w:rPr>
          <w:rStyle w:val="KeywordTok"/>
        </w:rPr>
        <w:t xml:space="preserve">def</w:t>
      </w:r>
      <w:r>
        <w:rPr>
          <w:rStyle w:val="NormalTok"/>
        </w:rPr>
        <w:t xml:space="preserve"> offset_skip(name: </w:t>
      </w:r>
      <w:r>
        <w:rPr>
          <w:rStyle w:val="BuiltInTok"/>
        </w:rPr>
        <w:t xml:space="preserve">str</w:t>
      </w:r>
      <w:r>
        <w:rPr>
          <w:rStyle w:val="NormalTok"/>
        </w:rPr>
        <w:t xml:space="preserve">, m: </w:t>
      </w:r>
      <w:r>
        <w:rPr>
          <w:rStyle w:val="BuiltInTok"/>
        </w:rPr>
        <w:t xml:space="preserve">int</w:t>
      </w:r>
      <w:r>
        <w:rPr>
          <w:rStyle w:val="NormalTok"/>
        </w:rPr>
        <w:t xml:space="preserve">):</w:t>
      </w:r>
      <w:r>
        <w:br/>
      </w:r>
      <w:r>
        <w:rPr>
          <w:rStyle w:val="NormalTok"/>
        </w:rPr>
        <w:t xml:space="preserve">    </w:t>
      </w:r>
      <w:r>
        <w:rPr>
          <w:rStyle w:val="ControlFlowTok"/>
        </w:rPr>
        <w:t xml:space="preserve">return</w:t>
      </w:r>
      <w:r>
        <w:rPr>
          <w:rStyle w:val="NormalTok"/>
        </w:rPr>
        <w:t xml:space="preserve"> _h(name, </w:t>
      </w:r>
      <w:r>
        <w:rPr>
          <w:rStyle w:val="StringTok"/>
        </w:rPr>
        <w:t xml:space="preserve">"offset"</w:t>
      </w:r>
      <w:r>
        <w:rPr>
          <w:rStyle w:val="NormalTok"/>
        </w:rPr>
        <w:t xml:space="preserve">) </w:t>
      </w:r>
      <w:r>
        <w:rPr>
          <w:rStyle w:val="OperatorTok"/>
        </w:rPr>
        <w:t xml:space="preserve">%</w:t>
      </w:r>
      <w:r>
        <w:rPr>
          <w:rStyle w:val="NormalTok"/>
        </w:rPr>
        <w:t xml:space="preserve"> m, _h(name, </w:t>
      </w:r>
      <w:r>
        <w:rPr>
          <w:rStyle w:val="StringTok"/>
        </w:rPr>
        <w:t xml:space="preserve">"skip"</w:t>
      </w:r>
      <w:r>
        <w:rPr>
          <w:rStyle w:val="NormalTok"/>
        </w:rPr>
        <w:t xml:space="preserve">) </w:t>
      </w:r>
      <w:r>
        <w:rPr>
          <w:rStyle w:val="OperatorTok"/>
        </w:rPr>
        <w:t xml:space="preserve">%</w:t>
      </w:r>
      <w:r>
        <w:rPr>
          <w:rStyle w:val="NormalTok"/>
        </w:rPr>
        <w:t xml:space="preserve"> (m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br/>
      </w:r>
      <w:r>
        <w:br/>
      </w:r>
      <w:r>
        <w:br/>
      </w:r>
      <w:r>
        <w:rPr>
          <w:rStyle w:val="KeywordTok"/>
        </w:rPr>
        <w:t xml:space="preserve">def</w:t>
      </w:r>
      <w:r>
        <w:rPr>
          <w:rStyle w:val="NormalTok"/>
        </w:rPr>
        <w:t xml:space="preserve"> populate(backends, m, params</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"""Return a lookup table of size m (m prime). params optionally maps a</w:t>
      </w:r>
      <w:r>
        <w:br/>
      </w:r>
      <w:r>
        <w:rPr>
          <w:rStyle w:val="CommentTok"/>
        </w:rPr>
        <w:t xml:space="preserve">    backend name to a fixed (offset, skip) pair, for hand-checkable examples."""</w:t>
      </w:r>
      <w:r>
        <w:br/>
      </w:r>
      <w:r>
        <w:rPr>
          <w:rStyle w:val="NormalTok"/>
        </w:rPr>
        <w:t xml:space="preserve">    perms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backends:</w:t>
      </w:r>
      <w:r>
        <w:br/>
      </w:r>
      <w:r>
        <w:rPr>
          <w:rStyle w:val="NormalTok"/>
        </w:rPr>
        <w:t xml:space="preserve">        off, skip </w:t>
      </w:r>
      <w:r>
        <w:rPr>
          <w:rStyle w:val="OperatorTok"/>
        </w:rPr>
        <w:t xml:space="preserve">=</w:t>
      </w:r>
      <w:r>
        <w:rPr>
          <w:rStyle w:val="NormalTok"/>
        </w:rPr>
        <w:t xml:space="preserve"> params[b] </w:t>
      </w:r>
      <w:r>
        <w:rPr>
          <w:rStyle w:val="ControlFlowTok"/>
        </w:rPr>
        <w:t xml:space="preserve">if</w:t>
      </w:r>
      <w:r>
        <w:rPr>
          <w:rStyle w:val="NormalTok"/>
        </w:rPr>
        <w:t xml:space="preserve"> params </w:t>
      </w:r>
      <w:r>
        <w:rPr>
          <w:rStyle w:val="ControlFlowTok"/>
        </w:rPr>
        <w:t xml:space="preserve">else</w:t>
      </w:r>
      <w:r>
        <w:rPr>
          <w:rStyle w:val="NormalTok"/>
        </w:rPr>
        <w:t xml:space="preserve"> offset_skip(b, m)</w:t>
      </w:r>
      <w:r>
        <w:br/>
      </w:r>
      <w:r>
        <w:rPr>
          <w:rStyle w:val="NormalTok"/>
        </w:rPr>
        <w:t xml:space="preserve">        perms.append((off, skip))</w:t>
      </w:r>
      <w:r>
        <w:br/>
      </w:r>
      <w:r>
        <w:rPr>
          <w:rStyle w:val="NormalTok"/>
        </w:rPr>
        <w:t xml:space="preserve">    nxt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(backends)        </w:t>
      </w:r>
      <w:r>
        <w:rPr>
          <w:rStyle w:val="CommentTok"/>
        </w:rPr>
        <w:t xml:space="preserve"># next preference index for each backend</w:t>
      </w:r>
      <w:r>
        <w:br/>
      </w:r>
      <w:r>
        <w:rPr>
          <w:rStyle w:val="NormalTok"/>
        </w:rPr>
        <w:t xml:space="preserve">    table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m</w:t>
      </w:r>
      <w:r>
        <w:br/>
      </w:r>
      <w:r>
        <w:rPr>
          <w:rStyle w:val="NormalTok"/>
        </w:rPr>
        <w:t xml:space="preserve">    filled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ntrolFlowTok"/>
        </w:rPr>
        <w:t xml:space="preserve">for</w:t>
      </w:r>
      <w:r>
        <w:rPr>
          <w:rStyle w:val="NormalTok"/>
        </w:rPr>
        <w:t xml:space="preserve"> i, (off, skip) </w:t>
      </w:r>
      <w:r>
        <w:rPr>
          <w:rStyle w:val="KeywordTok"/>
        </w:rPr>
        <w:t xml:space="preserve">in</w:t>
      </w:r>
      <w:r>
        <w:rPr>
          <w:rStyle w:val="NormalTok"/>
        </w:rPr>
        <w:t xml:space="preserve"> </w:t>
      </w:r>
      <w:r>
        <w:rPr>
          <w:rStyle w:val="BuiltInTok"/>
        </w:rPr>
        <w:t xml:space="preserve">enumerate</w:t>
      </w:r>
      <w:r>
        <w:rPr>
          <w:rStyle w:val="NormalTok"/>
        </w:rPr>
        <w:t xml:space="preserve">(perms):     </w:t>
      </w:r>
      <w:r>
        <w:rPr>
          <w:rStyle w:val="CommentTok"/>
        </w:rPr>
        <w:t xml:space="preserve"># one turn per backend</w:t>
      </w:r>
      <w:r>
        <w:br/>
      </w:r>
      <w:r>
        <w:rPr>
          <w:rStyle w:val="NormalTok"/>
        </w:rPr>
        <w:t xml:space="preserve">            c </w:t>
      </w:r>
      <w:r>
        <w:rPr>
          <w:rStyle w:val="OperatorTok"/>
        </w:rPr>
        <w:t xml:space="preserve">=</w:t>
      </w:r>
      <w:r>
        <w:rPr>
          <w:rStyle w:val="NormalTok"/>
        </w:rPr>
        <w:t xml:space="preserve"> (off </w:t>
      </w:r>
      <w:r>
        <w:rPr>
          <w:rStyle w:val="OperatorTok"/>
        </w:rPr>
        <w:t xml:space="preserve">+</w:t>
      </w:r>
      <w:r>
        <w:rPr>
          <w:rStyle w:val="NormalTok"/>
        </w:rPr>
        <w:t xml:space="preserve"> nxt[i] </w:t>
      </w:r>
      <w:r>
        <w:rPr>
          <w:rStyle w:val="OperatorTok"/>
        </w:rPr>
        <w:t xml:space="preserve">*</w:t>
      </w:r>
      <w:r>
        <w:rPr>
          <w:rStyle w:val="NormalTok"/>
        </w:rPr>
        <w:t xml:space="preserve"> skip) </w:t>
      </w:r>
      <w:r>
        <w:rPr>
          <w:rStyle w:val="OperatorTok"/>
        </w:rPr>
        <w:t xml:space="preserve">%</w:t>
      </w:r>
      <w:r>
        <w:rPr>
          <w:rStyle w:val="NormalTok"/>
        </w:rPr>
        <w:t xml:space="preserve"> m</w:t>
      </w:r>
      <w:r>
        <w:br/>
      </w:r>
      <w:r>
        <w:rPr>
          <w:rStyle w:val="NormalTok"/>
        </w:rPr>
        <w:t xml:space="preserve">            </w:t>
      </w:r>
      <w:r>
        <w:rPr>
          <w:rStyle w:val="ControlFlowTok"/>
        </w:rPr>
        <w:t xml:space="preserve">while</w:t>
      </w:r>
      <w:r>
        <w:rPr>
          <w:rStyle w:val="NormalTok"/>
        </w:rPr>
        <w:t xml:space="preserve"> table[c]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CommentTok"/>
        </w:rPr>
        <w:t xml:space="preserve"># preferred slot taken: try next</w:t>
      </w:r>
      <w:r>
        <w:br/>
      </w:r>
      <w:r>
        <w:rPr>
          <w:rStyle w:val="NormalTok"/>
        </w:rPr>
        <w:t xml:space="preserve">                nxt[i] </w:t>
      </w:r>
      <w:r>
        <w:rPr>
          <w:rStyle w:val="OperatorTok"/>
        </w:rPr>
        <w:t xml:space="preserve">+=</w:t>
      </w:r>
      <w:r>
        <w:rPr>
          <w:rStyle w:val="NormalTok"/>
        </w:rPr>
        <w:t xml:space="preserve"> </w:t>
      </w:r>
      <w:r>
        <w:rPr>
          <w:rStyle w:val="DecValTok"/>
        </w:rPr>
        <w:t xml:space="preserve">1</w:t>
      </w:r>
      <w:r>
        <w:br/>
      </w:r>
      <w:r>
        <w:rPr>
          <w:rStyle w:val="NormalTok"/>
        </w:rPr>
        <w:t xml:space="preserve">                c </w:t>
      </w:r>
      <w:r>
        <w:rPr>
          <w:rStyle w:val="OperatorTok"/>
        </w:rPr>
        <w:t xml:space="preserve">=</w:t>
      </w:r>
      <w:r>
        <w:rPr>
          <w:rStyle w:val="NormalTok"/>
        </w:rPr>
        <w:t xml:space="preserve"> (off </w:t>
      </w:r>
      <w:r>
        <w:rPr>
          <w:rStyle w:val="OperatorTok"/>
        </w:rPr>
        <w:t xml:space="preserve">+</w:t>
      </w:r>
      <w:r>
        <w:rPr>
          <w:rStyle w:val="NormalTok"/>
        </w:rPr>
        <w:t xml:space="preserve"> nxt[i] </w:t>
      </w:r>
      <w:r>
        <w:rPr>
          <w:rStyle w:val="OperatorTok"/>
        </w:rPr>
        <w:t xml:space="preserve">*</w:t>
      </w:r>
      <w:r>
        <w:rPr>
          <w:rStyle w:val="NormalTok"/>
        </w:rPr>
        <w:t xml:space="preserve"> skip) </w:t>
      </w:r>
      <w:r>
        <w:rPr>
          <w:rStyle w:val="OperatorTok"/>
        </w:rPr>
        <w:t xml:space="preserve">%</w:t>
      </w:r>
      <w:r>
        <w:rPr>
          <w:rStyle w:val="NormalTok"/>
        </w:rPr>
        <w:t xml:space="preserve"> m</w:t>
      </w:r>
      <w:r>
        <w:br/>
      </w:r>
      <w:r>
        <w:rPr>
          <w:rStyle w:val="NormalTok"/>
        </w:rPr>
        <w:t xml:space="preserve">            table[c] </w:t>
      </w:r>
      <w:r>
        <w:rPr>
          <w:rStyle w:val="OperatorTok"/>
        </w:rPr>
        <w:t xml:space="preserve">=</w:t>
      </w:r>
      <w:r>
        <w:rPr>
          <w:rStyle w:val="NormalTok"/>
        </w:rPr>
        <w:t xml:space="preserve"> backends[i]</w:t>
      </w:r>
      <w:r>
        <w:br/>
      </w:r>
      <w:r>
        <w:rPr>
          <w:rStyle w:val="NormalTok"/>
        </w:rPr>
        <w:t xml:space="preserve">            nxt[i] </w:t>
      </w:r>
      <w:r>
        <w:rPr>
          <w:rStyle w:val="OperatorTok"/>
        </w:rPr>
        <w:t xml:space="preserve">+=</w:t>
      </w:r>
      <w:r>
        <w:rPr>
          <w:rStyle w:val="NormalTok"/>
        </w:rPr>
        <w:t xml:space="preserve"> </w:t>
      </w:r>
      <w:r>
        <w:rPr>
          <w:rStyle w:val="DecValTok"/>
        </w:rPr>
        <w:t xml:space="preserve">1</w:t>
      </w:r>
      <w:r>
        <w:br/>
      </w:r>
      <w:r>
        <w:rPr>
          <w:rStyle w:val="NormalTok"/>
        </w:rPr>
        <w:t xml:space="preserve">            filled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filled </w:t>
      </w:r>
      <w:r>
        <w:rPr>
          <w:rStyle w:val="OperatorTok"/>
        </w:rPr>
        <w:t xml:space="preserve">==</w:t>
      </w:r>
      <w:r>
        <w:rPr>
          <w:rStyle w:val="NormalTok"/>
        </w:rPr>
        <w:t xml:space="preserve"> m:</w:t>
      </w:r>
      <w:r>
        <w:br/>
      </w:r>
      <w:r>
        <w:rPr>
          <w:rStyle w:val="NormalTok"/>
        </w:rPr>
        <w:t xml:space="preserve">                </w:t>
      </w:r>
      <w:r>
        <w:rPr>
          <w:rStyle w:val="ControlFlowTok"/>
        </w:rPr>
        <w:t xml:space="preserve">return</w:t>
      </w:r>
      <w:r>
        <w:rPr>
          <w:rStyle w:val="NormalTok"/>
        </w:rPr>
        <w:t xml:space="preserve"> table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mmentTok"/>
        </w:rPr>
        <w:t xml:space="preserve"># Small example: M = 7, three backends with hand-picked offset and skip.</w:t>
      </w:r>
      <w:r>
        <w:br/>
      </w:r>
      <w:r>
        <w:rPr>
          <w:rStyle w:val="NormalTok"/>
        </w:rPr>
        <w:t xml:space="preserve">    p </w:t>
      </w:r>
      <w:r>
        <w:rPr>
          <w:rStyle w:val="OperatorTok"/>
        </w:rPr>
        <w:t xml:space="preserve">=</w:t>
      </w:r>
      <w:r>
        <w:rPr>
          <w:rStyle w:val="NormalTok"/>
        </w:rPr>
        <w:t xml:space="preserve"> {</w:t>
      </w:r>
      <w:r>
        <w:rPr>
          <w:rStyle w:val="StringTok"/>
        </w:rPr>
        <w:t xml:space="preserve">"B0"</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StringTok"/>
        </w:rPr>
        <w:t xml:space="preserve">"B1"</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 </w:t>
      </w:r>
      <w:r>
        <w:rPr>
          <w:rStyle w:val="StringTok"/>
        </w:rPr>
        <w:t xml:space="preserve">"B2"</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"B0..B2 table:"</w:t>
      </w:r>
      <w:r>
        <w:rPr>
          <w:rStyle w:val="NormalTok"/>
        </w:rPr>
        <w:t xml:space="preserve">, populate([</w:t>
      </w:r>
      <w:r>
        <w:rPr>
          <w:rStyle w:val="StringTok"/>
        </w:rPr>
        <w:t xml:space="preserve">"B0"</w:t>
      </w:r>
      <w:r>
        <w:rPr>
          <w:rStyle w:val="NormalTok"/>
        </w:rPr>
        <w:t xml:space="preserve">, </w:t>
      </w:r>
      <w:r>
        <w:rPr>
          <w:rStyle w:val="StringTok"/>
        </w:rPr>
        <w:t xml:space="preserve">"B1"</w:t>
      </w:r>
      <w:r>
        <w:rPr>
          <w:rStyle w:val="NormalTok"/>
        </w:rPr>
        <w:t xml:space="preserve">, </w:t>
      </w:r>
      <w:r>
        <w:rPr>
          <w:rStyle w:val="StringTok"/>
        </w:rPr>
        <w:t xml:space="preserve">"B2"</w:t>
      </w:r>
      <w:r>
        <w:rPr>
          <w:rStyle w:val="NormalTok"/>
        </w:rPr>
        <w:t xml:space="preserve">], </w:t>
      </w:r>
      <w:r>
        <w:rPr>
          <w:rStyle w:val="DecValTok"/>
        </w:rPr>
        <w:t xml:space="preserve">7</w:t>
      </w:r>
      <w:r>
        <w:rPr>
          <w:rStyle w:val="NormalTok"/>
        </w:rPr>
        <w:t xml:space="preserve">, p))</w:t>
      </w:r>
      <w:r>
        <w:br/>
      </w:r>
      <w:r>
        <w:rPr>
          <w:rStyle w:val="NormalTok"/>
        </w:rPr>
        <w:t xml:space="preserve">    </w:t>
      </w:r>
      <w:r>
        <w:rPr>
          <w:rStyle w:val="BuiltInTok"/>
        </w:rPr>
        <w:t xml:space="preserve">print</w:t>
      </w:r>
      <w:r>
        <w:rPr>
          <w:rStyle w:val="NormalTok"/>
        </w:rPr>
        <w:t xml:space="preserve">(</w:t>
      </w:r>
      <w:r>
        <w:rPr>
          <w:rStyle w:val="StringTok"/>
        </w:rPr>
        <w:t xml:space="preserve">"B1 removed  :"</w:t>
      </w:r>
      <w:r>
        <w:rPr>
          <w:rStyle w:val="NormalTok"/>
        </w:rPr>
        <w:t xml:space="preserve">, populate([</w:t>
      </w:r>
      <w:r>
        <w:rPr>
          <w:rStyle w:val="StringTok"/>
        </w:rPr>
        <w:t xml:space="preserve">"B0"</w:t>
      </w:r>
      <w:r>
        <w:rPr>
          <w:rStyle w:val="NormalTok"/>
        </w:rPr>
        <w:t xml:space="preserve">, </w:t>
      </w:r>
      <w:r>
        <w:rPr>
          <w:rStyle w:val="StringTok"/>
        </w:rPr>
        <w:t xml:space="preserve">"B2"</w:t>
      </w:r>
      <w:r>
        <w:rPr>
          <w:rStyle w:val="NormalTok"/>
        </w:rPr>
        <w:t xml:space="preserve">], </w:t>
      </w:r>
      <w:r>
        <w:rPr>
          <w:rStyle w:val="DecValTok"/>
        </w:rPr>
        <w:t xml:space="preserve">7</w:t>
      </w:r>
      <w:r>
        <w:rPr>
          <w:rStyle w:val="NormalTok"/>
        </w:rPr>
        <w:t xml:space="preserve">, p))</w:t>
      </w:r>
      <w:r>
        <w:br/>
      </w:r>
      <w:r>
        <w:br/>
      </w:r>
      <w:r>
        <w:rPr>
          <w:rStyle w:val="NormalTok"/>
        </w:rPr>
        <w:t xml:space="preserve">    </w:t>
      </w:r>
      <w:r>
        <w:rPr>
          <w:rStyle w:val="CommentTok"/>
        </w:rPr>
        <w:t xml:space="preserve"># Realistic size: M = 65,537 (prime), 100 backends; then backend-42 fails.</w:t>
      </w:r>
      <w:r>
        <w:br/>
      </w:r>
      <w:r>
        <w:rPr>
          <w:rStyle w:val="NormalTok"/>
        </w:rPr>
        <w:t xml:space="preserve">    M </w:t>
      </w:r>
      <w:r>
        <w:rPr>
          <w:rStyle w:val="OperatorTok"/>
        </w:rPr>
        <w:t xml:space="preserve">=</w:t>
      </w:r>
      <w:r>
        <w:rPr>
          <w:rStyle w:val="NormalTok"/>
        </w:rPr>
        <w:t xml:space="preserve"> </w:t>
      </w:r>
      <w:r>
        <w:rPr>
          <w:rStyle w:val="DecValTok"/>
        </w:rPr>
        <w:t xml:space="preserve">65_537</w:t>
      </w:r>
      <w:r>
        <w:br/>
      </w:r>
      <w:r>
        <w:rPr>
          <w:rStyle w:val="NormalTok"/>
        </w:rPr>
        <w:t xml:space="preserve">    names </w:t>
      </w:r>
      <w:r>
        <w:rPr>
          <w:rStyle w:val="OperatorTok"/>
        </w:rPr>
        <w:t xml:space="preserve">=</w:t>
      </w:r>
      <w:r>
        <w:rPr>
          <w:rStyle w:val="NormalTok"/>
        </w:rPr>
        <w:t xml:space="preserve"> [</w:t>
      </w:r>
      <w:r>
        <w:rPr>
          <w:rStyle w:val="SpecialStringTok"/>
        </w:rPr>
        <w:t xml:space="preserve">f"backend-</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100</w:t>
      </w:r>
      <w:r>
        <w:rPr>
          <w:rStyle w:val="NormalTok"/>
        </w:rPr>
        <w:t xml:space="preserve">)]</w:t>
      </w:r>
      <w:r>
        <w:br/>
      </w:r>
      <w:r>
        <w:rPr>
          <w:rStyle w:val="NormalTok"/>
        </w:rPr>
        <w:t xml:space="preserve">    before </w:t>
      </w:r>
      <w:r>
        <w:rPr>
          <w:rStyle w:val="OperatorTok"/>
        </w:rPr>
        <w:t xml:space="preserve">=</w:t>
      </w:r>
      <w:r>
        <w:rPr>
          <w:rStyle w:val="NormalTok"/>
        </w:rPr>
        <w:t xml:space="preserve"> populate(names, M)</w:t>
      </w:r>
      <w:r>
        <w:br/>
      </w:r>
      <w:r>
        <w:rPr>
          <w:rStyle w:val="NormalTok"/>
        </w:rPr>
        <w:t xml:space="preserve">    counts </w:t>
      </w:r>
      <w:r>
        <w:rPr>
          <w:rStyle w:val="OperatorTok"/>
        </w:rPr>
        <w:t xml:space="preserve">=</w:t>
      </w:r>
      <w:r>
        <w:rPr>
          <w:rStyle w:val="NormalTok"/>
        </w:rPr>
        <w:t xml:space="preserve"> Counter(before)</w:t>
      </w:r>
      <w:r>
        <w:br/>
      </w:r>
      <w:r>
        <w:rPr>
          <w:rStyle w:val="NormalTok"/>
        </w:rPr>
        <w:t xml:space="preserve">    </w:t>
      </w:r>
      <w:r>
        <w:rPr>
          <w:rStyle w:val="BuiltInTok"/>
        </w:rPr>
        <w:t xml:space="preserve">print</w:t>
      </w:r>
      <w:r>
        <w:rPr>
          <w:rStyle w:val="NormalTok"/>
        </w:rPr>
        <w:t xml:space="preserve">(</w:t>
      </w:r>
      <w:r>
        <w:rPr>
          <w:rStyle w:val="SpecialStringTok"/>
        </w:rPr>
        <w:t xml:space="preserve">f"entries per backend: min </w:t>
      </w:r>
      <w:r>
        <w:rPr>
          <w:rStyle w:val="SpecialCharTok"/>
        </w:rPr>
        <w:t xml:space="preserve">{</w:t>
      </w:r>
      <w:r>
        <w:rPr>
          <w:rStyle w:val="BuiltInTok"/>
        </w:rPr>
        <w:t xml:space="preserve">min</w:t>
      </w:r>
      <w:r>
        <w:rPr>
          <w:rStyle w:val="NormalTok"/>
        </w:rPr>
        <w:t xml:space="preserve">(counts.values())</w:t>
      </w:r>
      <w:r>
        <w:rPr>
          <w:rStyle w:val="SpecialCharTok"/>
        </w:rPr>
        <w:t xml:space="preserve">}</w:t>
      </w:r>
      <w:r>
        <w:rPr>
          <w:rStyle w:val="SpecialStringTok"/>
        </w:rPr>
        <w:t xml:space="preserve">, max </w:t>
      </w:r>
      <w:r>
        <w:rPr>
          <w:rStyle w:val="SpecialCharTok"/>
        </w:rPr>
        <w:t xml:space="preserve">{</w:t>
      </w:r>
      <w:r>
        <w:rPr>
          <w:rStyle w:val="BuiltInTok"/>
        </w:rPr>
        <w:t xml:space="preserve">max</w:t>
      </w:r>
      <w:r>
        <w:rPr>
          <w:rStyle w:val="NormalTok"/>
        </w:rPr>
        <w:t xml:space="preserve">(counts.values())</w:t>
      </w:r>
      <w:r>
        <w:rPr>
          <w:rStyle w:val="SpecialCharTok"/>
        </w:rPr>
        <w:t xml:space="preserve">}</w:t>
      </w:r>
      <w:r>
        <w:rPr>
          <w:rStyle w:val="SpecialStringTok"/>
        </w:rPr>
        <w:t xml:space="preserve">, "</w:t>
      </w:r>
      <w:r>
        <w:br/>
      </w:r>
      <w:r>
        <w:rPr>
          <w:rStyle w:val="NormalTok"/>
        </w:rPr>
        <w:t xml:space="preserve">          </w:t>
      </w:r>
      <w:r>
        <w:rPr>
          <w:rStyle w:val="SpecialStringTok"/>
        </w:rPr>
        <w:t xml:space="preserve">f"ideal </w:t>
      </w:r>
      <w:r>
        <w:rPr>
          <w:rStyle w:val="SpecialCharTok"/>
        </w:rPr>
        <w:t xml:space="preserve">{</w:t>
      </w:r>
      <w:r>
        <w:rPr>
          <w:rStyle w:val="NormalTok"/>
        </w:rPr>
        <w:t xml:space="preserve">M </w:t>
      </w:r>
      <w:r>
        <w:rPr>
          <w:rStyle w:val="OperatorTok"/>
        </w:rPr>
        <w:t xml:space="preserve">/</w:t>
      </w:r>
      <w:r>
        <w:rPr>
          <w:rStyle w:val="NormalTok"/>
        </w:rPr>
        <w:t xml:space="preserve"> </w:t>
      </w:r>
      <w:r>
        <w:rPr>
          <w:rStyle w:val="BuiltInTok"/>
        </w:rPr>
        <w:t xml:space="preserve">len</w:t>
      </w:r>
      <w:r>
        <w:rPr>
          <w:rStyle w:val="NormalTok"/>
        </w:rPr>
        <w:t xml:space="preserve">(names)</w:t>
      </w:r>
      <w:r>
        <w:rPr>
          <w:rStyle w:val="SpecialCharTok"/>
        </w:rPr>
        <w:t xml:space="preserve">:.1f}</w:t>
      </w:r>
      <w:r>
        <w:rPr>
          <w:rStyle w:val="SpecialStringTok"/>
        </w:rPr>
        <w:t xml:space="preserve">"</w:t>
      </w:r>
      <w:r>
        <w:rPr>
          <w:rStyle w:val="NormalTok"/>
        </w:rPr>
        <w:t xml:space="preserve">)</w:t>
      </w:r>
      <w:r>
        <w:br/>
      </w:r>
      <w:r>
        <w:rPr>
          <w:rStyle w:val="NormalTok"/>
        </w:rPr>
        <w:t xml:space="preserve">    after </w:t>
      </w:r>
      <w:r>
        <w:rPr>
          <w:rStyle w:val="OperatorTok"/>
        </w:rPr>
        <w:t xml:space="preserve">=</w:t>
      </w:r>
      <w:r>
        <w:rPr>
          <w:rStyle w:val="NormalTok"/>
        </w:rPr>
        <w:t xml:space="preserve"> populate([n </w:t>
      </w:r>
      <w:r>
        <w:rPr>
          <w:rStyle w:val="ControlFlowTok"/>
        </w:rPr>
        <w:t xml:space="preserve">for</w:t>
      </w:r>
      <w:r>
        <w:rPr>
          <w:rStyle w:val="NormalTok"/>
        </w:rPr>
        <w:t xml:space="preserve"> n </w:t>
      </w:r>
      <w:r>
        <w:rPr>
          <w:rStyle w:val="KeywordTok"/>
        </w:rPr>
        <w:t xml:space="preserve">in</w:t>
      </w:r>
      <w:r>
        <w:rPr>
          <w:rStyle w:val="NormalTok"/>
        </w:rPr>
        <w:t xml:space="preserve"> names </w:t>
      </w:r>
      <w:r>
        <w:rPr>
          <w:rStyle w:val="ControlFlowTok"/>
        </w:rPr>
        <w:t xml:space="preserve">if</w:t>
      </w:r>
      <w:r>
        <w:rPr>
          <w:rStyle w:val="NormalTok"/>
        </w:rPr>
        <w:t xml:space="preserve"> n </w:t>
      </w:r>
      <w:r>
        <w:rPr>
          <w:rStyle w:val="OperatorTok"/>
        </w:rPr>
        <w:t xml:space="preserve">!=</w:t>
      </w:r>
      <w:r>
        <w:rPr>
          <w:rStyle w:val="NormalTok"/>
        </w:rPr>
        <w:t xml:space="preserve"> </w:t>
      </w:r>
      <w:r>
        <w:rPr>
          <w:rStyle w:val="StringTok"/>
        </w:rPr>
        <w:t xml:space="preserve">"backend-42"</w:t>
      </w:r>
      <w:r>
        <w:rPr>
          <w:rStyle w:val="NormalTok"/>
        </w:rPr>
        <w:t xml:space="preserve">], M)</w:t>
      </w:r>
      <w:r>
        <w:br/>
      </w:r>
      <w:r>
        <w:rPr>
          <w:rStyle w:val="NormalTok"/>
        </w:rPr>
        <w:t xml:space="preserve">    changed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a, b </w:t>
      </w:r>
      <w:r>
        <w:rPr>
          <w:rStyle w:val="KeywordTok"/>
        </w:rPr>
        <w:t xml:space="preserve">in</w:t>
      </w:r>
      <w:r>
        <w:rPr>
          <w:rStyle w:val="NormalTok"/>
        </w:rPr>
        <w:t xml:space="preserve"> </w:t>
      </w:r>
      <w:r>
        <w:rPr>
          <w:rStyle w:val="BuiltInTok"/>
        </w:rPr>
        <w:t xml:space="preserve">zip</w:t>
      </w:r>
      <w:r>
        <w:rPr>
          <w:rStyle w:val="NormalTok"/>
        </w:rPr>
        <w:t xml:space="preserve">(before, after) </w:t>
      </w:r>
      <w:r>
        <w:rPr>
          <w:rStyle w:val="ControlFlowTok"/>
        </w:rPr>
        <w:t xml:space="preserve">if</w:t>
      </w:r>
      <w:r>
        <w:rPr>
          <w:rStyle w:val="NormalTok"/>
        </w:rPr>
        <w:t xml:space="preserve"> a </w:t>
      </w:r>
      <w:r>
        <w:rPr>
          <w:rStyle w:val="OperatorTok"/>
        </w:rPr>
        <w:t xml:space="preserve">!=</w:t>
      </w:r>
      <w:r>
        <w:rPr>
          <w:rStyle w:val="NormalTok"/>
        </w:rPr>
        <w:t xml:space="preserve"> b)</w:t>
      </w:r>
      <w:r>
        <w:br/>
      </w:r>
      <w:r>
        <w:rPr>
          <w:rStyle w:val="NormalTok"/>
        </w:rPr>
        <w:t xml:space="preserve">    collateral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a, b </w:t>
      </w:r>
      <w:r>
        <w:rPr>
          <w:rStyle w:val="KeywordTok"/>
        </w:rPr>
        <w:t xml:space="preserve">in</w:t>
      </w:r>
      <w:r>
        <w:rPr>
          <w:rStyle w:val="NormalTok"/>
        </w:rPr>
        <w:t xml:space="preserve"> </w:t>
      </w:r>
      <w:r>
        <w:rPr>
          <w:rStyle w:val="BuiltInTok"/>
        </w:rPr>
        <w:t xml:space="preserve">zip</w:t>
      </w:r>
      <w:r>
        <w:rPr>
          <w:rStyle w:val="NormalTok"/>
        </w:rPr>
        <w:t xml:space="preserve">(before, after) </w:t>
      </w:r>
      <w:r>
        <w:rPr>
          <w:rStyle w:val="ControlFlowTok"/>
        </w:rPr>
        <w:t xml:space="preserve">if</w:t>
      </w:r>
      <w:r>
        <w:rPr>
          <w:rStyle w:val="NormalTok"/>
        </w:rPr>
        <w:t xml:space="preserve"> a </w:t>
      </w:r>
      <w:r>
        <w:rPr>
          <w:rStyle w:val="OperatorTok"/>
        </w:rPr>
        <w:t xml:space="preserve">!=</w:t>
      </w:r>
      <w:r>
        <w:rPr>
          <w:rStyle w:val="NormalTok"/>
        </w:rPr>
        <w:t xml:space="preserve"> b </w:t>
      </w:r>
      <w:r>
        <w:rPr>
          <w:rStyle w:val="KeywordTok"/>
        </w:rPr>
        <w:t xml:space="preserve">and</w:t>
      </w:r>
      <w:r>
        <w:rPr>
          <w:rStyle w:val="NormalTok"/>
        </w:rPr>
        <w:t xml:space="preserve"> a </w:t>
      </w:r>
      <w:r>
        <w:rPr>
          <w:rStyle w:val="OperatorTok"/>
        </w:rPr>
        <w:t xml:space="preserve">!=</w:t>
      </w:r>
      <w:r>
        <w:rPr>
          <w:rStyle w:val="NormalTok"/>
        </w:rPr>
        <w:t xml:space="preserve"> </w:t>
      </w:r>
      <w:r>
        <w:rPr>
          <w:rStyle w:val="StringTok"/>
        </w:rPr>
        <w:t xml:space="preserve">"backend-42"</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f"backend-42 removed: </w:t>
      </w:r>
      <w:r>
        <w:rPr>
          <w:rStyle w:val="SpecialCharTok"/>
        </w:rPr>
        <w:t xml:space="preserve">{</w:t>
      </w:r>
      <w:r>
        <w:rPr>
          <w:rStyle w:val="NormalTok"/>
        </w:rPr>
        <w:t xml:space="preserve">changed </w:t>
      </w:r>
      <w:r>
        <w:rPr>
          <w:rStyle w:val="OperatorTok"/>
        </w:rPr>
        <w:t xml:space="preserve">/</w:t>
      </w:r>
      <w:r>
        <w:rPr>
          <w:rStyle w:val="NormalTok"/>
        </w:rPr>
        <w:t xml:space="preserve"> M</w:t>
      </w:r>
      <w:r>
        <w:rPr>
          <w:rStyle w:val="SpecialCharTok"/>
        </w:rPr>
        <w:t xml:space="preserve">:.2%}</w:t>
      </w:r>
      <w:r>
        <w:rPr>
          <w:rStyle w:val="SpecialStringTok"/>
        </w:rPr>
        <w:t xml:space="preserve"> of entries changed "</w:t>
      </w:r>
      <w:r>
        <w:br/>
      </w:r>
      <w:r>
        <w:rPr>
          <w:rStyle w:val="NormalTok"/>
        </w:rPr>
        <w:t xml:space="preserve">          </w:t>
      </w:r>
      <w:r>
        <w:rPr>
          <w:rStyle w:val="SpecialStringTok"/>
        </w:rPr>
        <w:t xml:space="preserve">f"(minimum </w:t>
      </w:r>
      <w:r>
        <w:rPr>
          <w:rStyle w:val="SpecialCharTok"/>
        </w:rPr>
        <w:t xml:space="preserve">{</w:t>
      </w:r>
      <w:r>
        <w:rPr>
          <w:rStyle w:val="NormalTok"/>
        </w:rPr>
        <w:t xml:space="preserve">counts[</w:t>
      </w:r>
      <w:r>
        <w:rPr>
          <w:rStyle w:val="StringTok"/>
        </w:rPr>
        <w:t xml:space="preserve">'backend-42'</w:t>
      </w:r>
      <w:r>
        <w:rPr>
          <w:rStyle w:val="NormalTok"/>
        </w:rPr>
        <w:t xml:space="preserve">] </w:t>
      </w:r>
      <w:r>
        <w:rPr>
          <w:rStyle w:val="OperatorTok"/>
        </w:rPr>
        <w:t xml:space="preserve">/</w:t>
      </w:r>
      <w:r>
        <w:rPr>
          <w:rStyle w:val="NormalTok"/>
        </w:rPr>
        <w:t xml:space="preserve"> M</w:t>
      </w:r>
      <w:r>
        <w:rPr>
          <w:rStyle w:val="SpecialCharTok"/>
        </w:rPr>
        <w:t xml:space="preserve">:.2%}</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collateral </w:t>
      </w:r>
      <w:r>
        <w:rPr>
          <w:rStyle w:val="OperatorTok"/>
        </w:rPr>
        <w:t xml:space="preserve">/</w:t>
      </w:r>
      <w:r>
        <w:rPr>
          <w:rStyle w:val="NormalTok"/>
        </w:rPr>
        <w:t xml:space="preserve"> M</w:t>
      </w:r>
      <w:r>
        <w:rPr>
          <w:rStyle w:val="SpecialCharTok"/>
        </w:rPr>
        <w:t xml:space="preserve">:.2%}</w:t>
      </w:r>
      <w:r>
        <w:rPr>
          <w:rStyle w:val="SpecialStringTok"/>
        </w:rPr>
        <w:t xml:space="preserve"> moved between surviving backends"</w:t>
      </w:r>
      <w:r>
        <w:rPr>
          <w:rStyle w:val="NormalTok"/>
        </w:rPr>
        <w:t xml:space="preserve">)</w:t>
      </w:r>
    </w:p>
    <w:p>
      <w:pPr>
        <w:pStyle w:val="FirstParagraph"/>
      </w:pPr>
      <w:r>
        <w:t xml:space="preserve">Output (Python 3.13):</w:t>
      </w:r>
    </w:p>
    <w:p>
      <w:pPr>
        <w:pStyle w:val="SourceCode"/>
      </w:pPr>
      <w:r>
        <w:rPr>
          <w:rStyle w:val="VerbatimChar"/>
        </w:rPr>
        <w:t xml:space="preserve">B0..B2 table: ['B1', 'B0', 'B1', 'B0', 'B2', 'B2', 'B0']</w:t>
      </w:r>
      <w:r>
        <w:br/>
      </w:r>
      <w:r>
        <w:rPr>
          <w:rStyle w:val="VerbatimChar"/>
        </w:rPr>
        <w:t xml:space="preserve">B1 removed  : ['B0', 'B0', 'B0', 'B0', 'B2', 'B2', 'B2']</w:t>
      </w:r>
      <w:r>
        <w:br/>
      </w:r>
      <w:r>
        <w:rPr>
          <w:rStyle w:val="VerbatimChar"/>
        </w:rPr>
        <w:t xml:space="preserve">entries per backend: min 655, max 656, ideal 655.4</w:t>
      </w:r>
      <w:r>
        <w:br/>
      </w:r>
      <w:r>
        <w:rPr>
          <w:rStyle w:val="VerbatimChar"/>
        </w:rPr>
        <w:t xml:space="preserve">backend-42 removed: 1.66% of entries changed (minimum 1.00%); 0.66% moved between surviving backends</w:t>
      </w:r>
    </w:p>
    <w:p>
      <w:pPr>
        <w:pStyle w:val="FirstParagraph"/>
      </w:pPr>
      <w:r>
        <w:t xml:space="preserve">What to notice:</w:t>
      </w:r>
    </w:p>
    <w:p>
      <w:pPr>
        <w:numPr>
          <w:ilvl w:val="0"/>
          <w:numId w:val="1641"/>
        </w:numPr>
        <w:pStyle w:val="Compact"/>
      </w:pPr>
      <w:r>
        <w:t xml:space="preserve">With 100 backends and</w:t>
      </w:r>
      <w:r>
        <w:t xml:space="preserve"> </w:t>
      </w:r>
      <m:oMath>
        <m:r>
          <m:t>M</m:t>
        </m:r>
        <m:r>
          <m:rPr>
            <m:sty m:val="p"/>
          </m:rPr>
          <m:t>=</m:t>
        </m:r>
        <m:r>
          <m:t>65</m:t>
        </m:r>
        <m:r>
          <m:rPr>
            <m:sty m:val="p"/>
          </m:rPr>
          <m:t>,</m:t>
        </m:r>
        <m:r>
          <m:t>537</m:t>
        </m:r>
      </m:oMath>
      <w:r>
        <w:t xml:space="preserve">, every backend owns 655 or 656 entries: imbalance 0.15%, far better than a ring with a few hundred vnodes per node (§14.8.4).</w:t>
      </w:r>
    </w:p>
    <w:p>
      <w:pPr>
        <w:numPr>
          <w:ilvl w:val="0"/>
          <w:numId w:val="1641"/>
        </w:numPr>
        <w:pStyle w:val="Compact"/>
      </w:pPr>
      <w:r>
        <w:t xml:space="preserve">Removing one backend changes 1.66% of entries: the unavoidable 1.00% plus 0.66% collateral movement between survivors, a trade Maglev accepts for</w:t>
      </w:r>
      <w:r>
        <w:t xml:space="preserve"> </w:t>
      </w:r>
      <m:oMath>
        <m:r>
          <m:t>O</m:t>
        </m:r>
        <m:d>
          <m:dPr>
            <m:begChr m:val="("/>
            <m:endChr m:val=")"/>
            <m:sepChr m:val=""/>
            <m:grow/>
          </m:dPr>
          <m:e>
            <m:r>
              <m:t>1</m:t>
            </m:r>
          </m:e>
        </m:d>
      </m:oMath>
      <w:r>
        <w:t xml:space="preserve"> </w:t>
      </w:r>
      <w:r>
        <w:t xml:space="preserve">lookups and balance.</w:t>
      </w:r>
    </w:p>
    <w:p>
      <w:pPr>
        <w:numPr>
          <w:ilvl w:val="0"/>
          <w:numId w:val="1641"/>
        </w:numPr>
        <w:pStyle w:val="Compact"/>
      </w:pPr>
      <w:r>
        <w:t xml:space="preserve">Building the table is</w:t>
      </w:r>
      <w:r>
        <w:t xml:space="preserve"> </w:t>
      </w:r>
      <m:oMath>
        <m:r>
          <m:t>O</m:t>
        </m:r>
        <m:d>
          <m:dPr>
            <m:begChr m:val="("/>
            <m:endChr m:val=")"/>
            <m:sepChr m:val=""/>
            <m:grow/>
          </m:dPr>
          <m:e>
            <m:r>
              <m:t>M</m:t>
            </m:r>
            <m:r>
              <m:rPr>
                <m:sty m:val="p"/>
              </m:rPr>
              <m:t>log</m:t>
            </m:r>
            <m:r>
              <m:t>M</m:t>
            </m:r>
          </m:e>
        </m:d>
      </m:oMath>
      <w:r>
        <w:t xml:space="preserve"> </w:t>
      </w:r>
      <w:r>
        <w:t xml:space="preserve">expected work and takes well under a second here; the paper’s implementation rebuilds when backend health changes.</w:t>
      </w:r>
    </w:p>
    <w:p>
      <w:pPr>
        <w:pStyle w:val="CalloutIndustry"/>
      </w:pPr>
      <w:r>
        <w:rPr>
          <w:bCs/>
          <w:b/>
        </w:rPr>
        <w:t xml:space="preserve">INDUSTRY EXAMPLE</w:t>
      </w:r>
    </w:p>
    <w:p>
      <w:pPr>
        <w:pStyle w:val="CalloutIndustry"/>
      </w:pPr>
      <w:r>
        <w:rPr>
          <w:bCs/>
          <w:b/>
        </w:rPr>
        <w:t xml:space="preserve">Open-source Maglev-style L4 balancers.</w:t>
      </w:r>
      <w:r>
        <w:t xml:space="preserve"> </w:t>
      </w:r>
      <w:r>
        <w:t xml:space="preserve">Meta’s</w:t>
      </w:r>
      <w:r>
        <w:t xml:space="preserve"> </w:t>
      </w:r>
      <w:r>
        <w:rPr>
          <w:bCs/>
          <w:b/>
        </w:rPr>
        <w:t xml:space="preserve">Katran</w:t>
      </w:r>
      <w:r>
        <w:t xml:space="preserve"> </w:t>
      </w:r>
      <w:r>
        <w:t xml:space="preserve">is an L4 balancer built on the Linux kernel’s XDP and eBPF facilities that uses a Maglev-style lookup table and IP-in-IP encapsulation toward backends. GitHub’s</w:t>
      </w:r>
      <w:r>
        <w:t xml:space="preserve"> </w:t>
      </w:r>
      <w:r>
        <w:rPr>
          <w:bCs/>
          <w:b/>
        </w:rPr>
        <w:t xml:space="preserve">GLB Director</w:t>
      </w:r>
      <w:r>
        <w:t xml:space="preserve"> </w:t>
      </w:r>
      <w:r>
        <w:t xml:space="preserve">takes a different route: it uses rendezvous hashing to build a forwarding table in which every row lists a primary and a secondary backend, and a backend that receives a packet for a flow it does not know forwards it to the secondary (</w:t>
      </w:r>
      <w:r>
        <w:t xml:space="preserve">“</w:t>
      </w:r>
      <w:r>
        <w:t xml:space="preserve">second chance</w:t>
      </w:r>
      <w:r>
        <w:t xml:space="preserve">”</w:t>
      </w:r>
      <w:r>
        <w:t xml:space="preserve">), so connections survive backend set changes without shared connection state.</w:t>
      </w:r>
      <w:r>
        <w:t xml:space="preserve"> </w:t>
      </w:r>
      <w:r>
        <w:rPr>
          <w:iCs/>
          <w:i/>
        </w:rPr>
        <w:t xml:space="preserve">Evidence: Primary</w:t>
      </w:r>
      <w:r>
        <w:t xml:space="preserve"> </w:t>
      </w:r>
      <w:r>
        <w:t xml:space="preserve">— [Meta Engineering 2018 (Katran); Julienne 2018 (GLB)]</w:t>
      </w:r>
    </w:p>
    <w:bookmarkEnd w:id="2193"/>
    <w:bookmarkEnd w:id="2194"/>
    <w:bookmarkStart w:id="2195" w:name="choosing-an-algorithm"/>
    <w:p>
      <w:pPr>
        <w:pStyle w:val="Heading3"/>
      </w:pPr>
      <w:r>
        <w:t xml:space="preserve">19.4.9 Choosing an algorithm</w:t>
      </w:r>
    </w:p>
    <w:p>
      <w:pPr>
        <w:pStyle w:val="FirstParagraph"/>
      </w:pPr>
      <w:r>
        <w:rPr>
          <w:bCs/>
          <w:b/>
        </w:rPr>
        <w:t xml:space="preserve">Table 19.3 — Load-balancing algorithms compared.</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Algorithm</w:t>
            </w:r>
          </w:p>
        </w:tc>
        <w:tc>
          <w:tcPr/>
          <w:p>
            <w:pPr>
              <w:pStyle w:val="Compact"/>
              <w:jc w:val="left"/>
            </w:pPr>
            <w:r>
              <w:t xml:space="preserve">Load signal</w:t>
            </w:r>
          </w:p>
        </w:tc>
        <w:tc>
          <w:tcPr/>
          <w:p>
            <w:pPr>
              <w:pStyle w:val="Compact"/>
              <w:jc w:val="left"/>
            </w:pPr>
            <w:r>
              <w:t xml:space="preserve">State</w:t>
            </w:r>
          </w:p>
        </w:tc>
        <w:tc>
          <w:tcPr/>
          <w:p>
            <w:pPr>
              <w:pStyle w:val="Compact"/>
              <w:jc w:val="left"/>
            </w:pPr>
            <w:r>
              <w:t xml:space="preserve">Strength</w:t>
            </w:r>
          </w:p>
        </w:tc>
        <w:tc>
          <w:tcPr/>
          <w:p>
            <w:pPr>
              <w:pStyle w:val="Compact"/>
              <w:jc w:val="left"/>
            </w:pPr>
            <w:r>
              <w:t xml:space="preserve">Weakness</w:t>
            </w:r>
          </w:p>
        </w:tc>
        <w:tc>
          <w:tcPr/>
          <w:p>
            <w:pPr>
              <w:pStyle w:val="Compact"/>
              <w:jc w:val="left"/>
            </w:pPr>
            <w:r>
              <w:t xml:space="preserve">Choose when</w:t>
            </w:r>
          </w:p>
        </w:tc>
      </w:tr>
      <w:tr>
        <w:tc>
          <w:tcPr/>
          <w:p>
            <w:pPr>
              <w:pStyle w:val="Compact"/>
              <w:jc w:val="left"/>
            </w:pPr>
            <w:r>
              <w:t xml:space="preserve">Round robin</w:t>
            </w:r>
          </w:p>
        </w:tc>
        <w:tc>
          <w:tcPr/>
          <w:p>
            <w:pPr>
              <w:pStyle w:val="Compact"/>
              <w:jc w:val="left"/>
            </w:pPr>
            <w:r>
              <w:t xml:space="preserve">None</w:t>
            </w:r>
          </w:p>
        </w:tc>
        <w:tc>
          <w:tcPr/>
          <w:p>
            <w:pPr>
              <w:pStyle w:val="Compact"/>
              <w:jc w:val="left"/>
            </w:pPr>
            <w:r>
              <w:t xml:space="preserve">Counter</w:t>
            </w:r>
          </w:p>
        </w:tc>
        <w:tc>
          <w:tcPr/>
          <w:p>
            <w:pPr>
              <w:pStyle w:val="Compact"/>
              <w:jc w:val="left"/>
            </w:pPr>
            <w:r>
              <w:t xml:space="preserve">Simple, predictable</w:t>
            </w:r>
          </w:p>
        </w:tc>
        <w:tc>
          <w:tcPr/>
          <w:p>
            <w:pPr>
              <w:pStyle w:val="Compact"/>
              <w:jc w:val="left"/>
            </w:pPr>
            <w:r>
              <w:t xml:space="preserve">Overloads slow backends</w:t>
            </w:r>
          </w:p>
        </w:tc>
        <w:tc>
          <w:tcPr/>
          <w:p>
            <w:pPr>
              <w:pStyle w:val="Compact"/>
              <w:jc w:val="left"/>
            </w:pPr>
            <w:r>
              <w:t xml:space="preserve">Identical backends, uniform requests</w:t>
            </w:r>
          </w:p>
        </w:tc>
      </w:tr>
      <w:tr>
        <w:tc>
          <w:tcPr/>
          <w:p>
            <w:pPr>
              <w:pStyle w:val="Compact"/>
              <w:jc w:val="left"/>
            </w:pPr>
            <w:r>
              <w:t xml:space="preserve">Smooth weighted RR</w:t>
            </w:r>
          </w:p>
        </w:tc>
        <w:tc>
          <w:tcPr/>
          <w:p>
            <w:pPr>
              <w:pStyle w:val="Compact"/>
              <w:jc w:val="left"/>
            </w:pPr>
            <w:r>
              <w:t xml:space="preserve">Static weights</w:t>
            </w:r>
          </w:p>
        </w:tc>
        <w:tc>
          <w:tcPr/>
          <w:p>
            <w:pPr>
              <w:pStyle w:val="Compact"/>
              <w:jc w:val="left"/>
            </w:pPr>
            <w:r>
              <w:t xml:space="preserve">Weights</w:t>
            </w:r>
          </w:p>
        </w:tc>
        <w:tc>
          <w:tcPr/>
          <w:p>
            <w:pPr>
              <w:pStyle w:val="Compact"/>
              <w:jc w:val="left"/>
            </w:pPr>
            <w:r>
              <w:t xml:space="preserve">Handles known capacity differences</w:t>
            </w:r>
          </w:p>
        </w:tc>
        <w:tc>
          <w:tcPr/>
          <w:p>
            <w:pPr>
              <w:pStyle w:val="Compact"/>
              <w:jc w:val="left"/>
            </w:pPr>
            <w:r>
              <w:t xml:space="preserve">Weights go stale</w:t>
            </w:r>
          </w:p>
        </w:tc>
        <w:tc>
          <w:tcPr/>
          <w:p>
            <w:pPr>
              <w:pStyle w:val="Compact"/>
              <w:jc w:val="left"/>
            </w:pPr>
            <w:r>
              <w:t xml:space="preserve">Mixed instance types</w:t>
            </w:r>
          </w:p>
        </w:tc>
      </w:tr>
      <w:tr>
        <w:tc>
          <w:tcPr/>
          <w:p>
            <w:pPr>
              <w:pStyle w:val="Compact"/>
              <w:jc w:val="left"/>
            </w:pPr>
            <w:r>
              <w:t xml:space="preserve">Least connections</w:t>
            </w:r>
          </w:p>
        </w:tc>
        <w:tc>
          <w:tcPr/>
          <w:p>
            <w:pPr>
              <w:pStyle w:val="Compact"/>
              <w:jc w:val="left"/>
            </w:pPr>
            <w:r>
              <w:t xml:space="preserve">Local in-flight count</w:t>
            </w:r>
          </w:p>
        </w:tc>
        <w:tc>
          <w:tcPr/>
          <w:p>
            <w:pPr>
              <w:pStyle w:val="Compact"/>
              <w:jc w:val="left"/>
            </w:pPr>
            <w:r>
              <w:t xml:space="preserve">Count per backend</w:t>
            </w:r>
          </w:p>
        </w:tc>
        <w:tc>
          <w:tcPr/>
          <w:p>
            <w:pPr>
              <w:pStyle w:val="Compact"/>
              <w:jc w:val="left"/>
            </w:pPr>
            <w:r>
              <w:t xml:space="preserve">Adapts to speed and request cost</w:t>
            </w:r>
          </w:p>
        </w:tc>
        <w:tc>
          <w:tcPr/>
          <w:p>
            <w:pPr>
              <w:pStyle w:val="Compact"/>
              <w:jc w:val="left"/>
            </w:pPr>
            <w:r>
              <w:t xml:space="preserve">Herds with many balancers; fast-failure sinkhole</w:t>
            </w:r>
          </w:p>
        </w:tc>
        <w:tc>
          <w:tcPr/>
          <w:p>
            <w:pPr>
              <w:pStyle w:val="Compact"/>
              <w:jc w:val="left"/>
            </w:pPr>
            <w:r>
              <w:t xml:space="preserve">Single balancer tier, variable request cost, long-lived connections</w:t>
            </w:r>
          </w:p>
        </w:tc>
      </w:tr>
      <w:tr>
        <w:tc>
          <w:tcPr/>
          <w:p>
            <w:pPr>
              <w:pStyle w:val="Compact"/>
              <w:jc w:val="left"/>
            </w:pPr>
            <w:r>
              <w:t xml:space="preserve">Least response time (EWMA)</w:t>
            </w:r>
          </w:p>
        </w:tc>
        <w:tc>
          <w:tcPr/>
          <w:p>
            <w:pPr>
              <w:pStyle w:val="Compact"/>
              <w:jc w:val="left"/>
            </w:pPr>
            <w:r>
              <w:t xml:space="preserve">Observed latency</w:t>
            </w:r>
          </w:p>
        </w:tc>
        <w:tc>
          <w:tcPr/>
          <w:p>
            <w:pPr>
              <w:pStyle w:val="Compact"/>
              <w:jc w:val="left"/>
            </w:pPr>
            <w:r>
              <w:t xml:space="preserve">EWMA per backend</w:t>
            </w:r>
          </w:p>
        </w:tc>
        <w:tc>
          <w:tcPr/>
          <w:p>
            <w:pPr>
              <w:pStyle w:val="Compact"/>
              <w:jc w:val="left"/>
            </w:pPr>
            <w:r>
              <w:t xml:space="preserve">Avoids slow backends</w:t>
            </w:r>
          </w:p>
        </w:tc>
        <w:tc>
          <w:tcPr/>
          <w:p>
            <w:pPr>
              <w:pStyle w:val="Compact"/>
              <w:jc w:val="left"/>
            </w:pPr>
            <w:r>
              <w:t xml:space="preserve">Feedback oscillation; slow to retry</w:t>
            </w:r>
          </w:p>
        </w:tc>
        <w:tc>
          <w:tcPr/>
          <w:p>
            <w:pPr>
              <w:pStyle w:val="Compact"/>
              <w:jc w:val="left"/>
            </w:pPr>
            <w:r>
              <w:t xml:space="preserve">Latency-sensitive RPC</w:t>
            </w:r>
          </w:p>
        </w:tc>
      </w:tr>
      <w:tr>
        <w:tc>
          <w:tcPr/>
          <w:p>
            <w:pPr>
              <w:pStyle w:val="Compact"/>
              <w:jc w:val="left"/>
            </w:pPr>
            <w:r>
              <w:t xml:space="preserve">Power of two choices</w:t>
            </w:r>
          </w:p>
        </w:tc>
        <w:tc>
          <w:tcPr/>
          <w:p>
            <w:pPr>
              <w:pStyle w:val="Compact"/>
              <w:jc w:val="left"/>
            </w:pPr>
            <w:r>
              <w:t xml:space="preserve">In-flight or EWMA, two samples</w:t>
            </w:r>
          </w:p>
        </w:tc>
        <w:tc>
          <w:tcPr/>
          <w:p>
            <w:pPr>
              <w:pStyle w:val="Compact"/>
              <w:jc w:val="left"/>
            </w:pPr>
            <w:r>
              <w:t xml:space="preserve">Same as above</w:t>
            </w:r>
          </w:p>
        </w:tc>
        <w:tc>
          <w:tcPr/>
          <w:p>
            <w:pPr>
              <w:pStyle w:val="Compact"/>
              <w:jc w:val="left"/>
            </w:pPr>
            <w:r>
              <w:t xml:space="preserve">Near-optimal, no herding,</w:t>
            </w:r>
            <w:r>
              <w:t xml:space="preserve"> </w:t>
            </w:r>
            <m:oMath>
              <m:r>
                <m:t>O</m:t>
              </m:r>
              <m:d>
                <m:dPr>
                  <m:begChr m:val="("/>
                  <m:endChr m:val=")"/>
                  <m:sepChr m:val=""/>
                  <m:grow/>
                </m:dPr>
                <m:e>
                  <m:r>
                    <m:t>1</m:t>
                  </m:r>
                </m:e>
              </m:d>
            </m:oMath>
          </w:p>
        </w:tc>
        <w:tc>
          <w:tcPr/>
          <w:p>
            <w:pPr>
              <w:pStyle w:val="Compact"/>
              <w:jc w:val="left"/>
            </w:pPr>
            <w:r>
              <w:t xml:space="preserve">Slightly worse than perfect information</w:t>
            </w:r>
          </w:p>
        </w:tc>
        <w:tc>
          <w:tcPr/>
          <w:p>
            <w:pPr>
              <w:pStyle w:val="Compact"/>
              <w:jc w:val="left"/>
            </w:pPr>
            <w:r>
              <w:t xml:space="preserve">Many balancers or client-side balancing</w:t>
            </w:r>
          </w:p>
        </w:tc>
      </w:tr>
      <w:tr>
        <w:tc>
          <w:tcPr/>
          <w:p>
            <w:pPr>
              <w:pStyle w:val="Compact"/>
              <w:jc w:val="left"/>
            </w:pPr>
            <w:r>
              <w:t xml:space="preserve">Ring consistent hash</w:t>
            </w:r>
          </w:p>
        </w:tc>
        <w:tc>
          <w:tcPr/>
          <w:p>
            <w:pPr>
              <w:pStyle w:val="Compact"/>
              <w:jc w:val="left"/>
            </w:pPr>
            <w:r>
              <w:t xml:space="preserve">Key</w:t>
            </w:r>
          </w:p>
        </w:tc>
        <w:tc>
          <w:tcPr/>
          <w:p>
            <w:pPr>
              <w:pStyle w:val="Compact"/>
              <w:jc w:val="left"/>
            </w:pPr>
            <w:r>
              <w:t xml:space="preserve">Ring,</w:t>
            </w:r>
            <w:r>
              <w:t xml:space="preserve"> </w:t>
            </w:r>
            <m:oMath>
              <m:r>
                <m:t>O</m:t>
              </m:r>
              <m:d>
                <m:dPr>
                  <m:begChr m:val="("/>
                  <m:endChr m:val=")"/>
                  <m:sepChr m:val=""/>
                  <m:grow/>
                </m:dPr>
                <m:e>
                  <m:r>
                    <m:rPr>
                      <m:sty m:val="p"/>
                    </m:rPr>
                    <m:t>log</m:t>
                  </m:r>
                  <m:r>
                    <m:t>M</m:t>
                  </m:r>
                </m:e>
              </m:d>
            </m:oMath>
          </w:p>
        </w:tc>
        <w:tc>
          <w:tcPr/>
          <w:p>
            <w:pPr>
              <w:pStyle w:val="Compact"/>
              <w:jc w:val="left"/>
            </w:pPr>
            <w:r>
              <w:t xml:space="preserve">Locality, minimal movement</w:t>
            </w:r>
          </w:p>
        </w:tc>
        <w:tc>
          <w:tcPr/>
          <w:p>
            <w:pPr>
              <w:pStyle w:val="Compact"/>
              <w:jc w:val="left"/>
            </w:pPr>
            <w:r>
              <w:t xml:space="preserve">Hot keys overload one backend</w:t>
            </w:r>
          </w:p>
        </w:tc>
        <w:tc>
          <w:tcPr/>
          <w:p>
            <w:pPr>
              <w:pStyle w:val="Compact"/>
              <w:jc w:val="left"/>
            </w:pPr>
            <w:r>
              <w:t xml:space="preserve">Caches, sticky routing</w:t>
            </w:r>
          </w:p>
        </w:tc>
      </w:tr>
      <w:tr>
        <w:tc>
          <w:tcPr/>
          <w:p>
            <w:pPr>
              <w:pStyle w:val="Compact"/>
              <w:jc w:val="left"/>
            </w:pPr>
            <w:r>
              <w:t xml:space="preserve">Bounded-load hash</w:t>
            </w:r>
          </w:p>
        </w:tc>
        <w:tc>
          <w:tcPr/>
          <w:p>
            <w:pPr>
              <w:pStyle w:val="Compact"/>
              <w:jc w:val="left"/>
            </w:pPr>
            <w:r>
              <w:t xml:space="preserve">Key + in-flight count</w:t>
            </w:r>
          </w:p>
        </w:tc>
        <w:tc>
          <w:tcPr/>
          <w:p>
            <w:pPr>
              <w:pStyle w:val="Compact"/>
              <w:jc w:val="left"/>
            </w:pPr>
            <w:r>
              <w:t xml:space="preserve">Ring + counts</w:t>
            </w:r>
          </w:p>
        </w:tc>
        <w:tc>
          <w:tcPr/>
          <w:p>
            <w:pPr>
              <w:pStyle w:val="Compact"/>
              <w:jc w:val="left"/>
            </w:pPr>
            <w:r>
              <w:t xml:space="preserve">Locality with a load cap</w:t>
            </w:r>
          </w:p>
        </w:tc>
        <w:tc>
          <w:tcPr/>
          <w:p>
            <w:pPr>
              <w:pStyle w:val="Compact"/>
              <w:jc w:val="left"/>
            </w:pPr>
            <w:r>
              <w:t xml:space="preserve">More movement; needs load counts</w:t>
            </w:r>
          </w:p>
        </w:tc>
        <w:tc>
          <w:tcPr/>
          <w:p>
            <w:pPr>
              <w:pStyle w:val="Compact"/>
              <w:jc w:val="left"/>
            </w:pPr>
            <w:r>
              <w:t xml:space="preserve">Caches with skewed popularity</w:t>
            </w:r>
          </w:p>
        </w:tc>
      </w:tr>
      <w:tr>
        <w:tc>
          <w:tcPr/>
          <w:p>
            <w:pPr>
              <w:pStyle w:val="Compact"/>
              <w:jc w:val="left"/>
            </w:pPr>
            <w:r>
              <w:t xml:space="preserve">Maglev hash</w:t>
            </w:r>
          </w:p>
        </w:tc>
        <w:tc>
          <w:tcPr/>
          <w:p>
            <w:pPr>
              <w:pStyle w:val="Compact"/>
              <w:jc w:val="left"/>
            </w:pPr>
            <w:r>
              <w:t xml:space="preserve">5-tuple or key</w:t>
            </w:r>
          </w:p>
        </w:tc>
        <w:tc>
          <w:tcPr/>
          <w:p>
            <w:pPr>
              <w:pStyle w:val="Compact"/>
              <w:jc w:val="left"/>
            </w:pPr>
            <w:r>
              <w:t xml:space="preserve">Table of</w:t>
            </w:r>
            <w:r>
              <w:t xml:space="preserve"> </w:t>
            </w:r>
            <m:oMath>
              <m:r>
                <m:t>M</m:t>
              </m:r>
            </m:oMath>
            <w:r>
              <w:t xml:space="preserve"> </w:t>
            </w:r>
            <w:r>
              <w:t xml:space="preserve">entries</w:t>
            </w:r>
          </w:p>
        </w:tc>
        <w:tc>
          <w:tcPr/>
          <w:p>
            <w:pPr>
              <w:pStyle w:val="Compact"/>
              <w:jc w:val="left"/>
            </w:pPr>
            <m:oMath>
              <m:r>
                <m:t>O</m:t>
              </m:r>
              <m:d>
                <m:dPr>
                  <m:begChr m:val="("/>
                  <m:endChr m:val=")"/>
                  <m:sepChr m:val=""/>
                  <m:grow/>
                </m:dPr>
                <m:e>
                  <m:r>
                    <m:t>1</m:t>
                  </m:r>
                </m:e>
              </m:d>
            </m:oMath>
            <w:r>
              <w:t xml:space="preserve"> </w:t>
            </w:r>
            <w:r>
              <w:t xml:space="preserve">lookup, even balance</w:t>
            </w:r>
          </w:p>
        </w:tc>
        <w:tc>
          <w:tcPr/>
          <w:p>
            <w:pPr>
              <w:pStyle w:val="Compact"/>
              <w:jc w:val="left"/>
            </w:pPr>
            <w:r>
              <w:t xml:space="preserve">Small extra disruption</w:t>
            </w:r>
          </w:p>
        </w:tc>
        <w:tc>
          <w:tcPr/>
          <w:p>
            <w:pPr>
              <w:pStyle w:val="Compact"/>
              <w:jc w:val="left"/>
            </w:pPr>
            <w:r>
              <w:t xml:space="preserve">L4 packet balancers</w:t>
            </w:r>
          </w:p>
        </w:tc>
      </w:tr>
    </w:tbl>
    <w:p>
      <w:pPr>
        <w:pStyle w:val="CalloutRecommendation"/>
      </w:pPr>
      <w:r>
        <w:rPr>
          <w:bCs/>
          <w:b/>
        </w:rPr>
        <w:t xml:space="preserve">RECOMMENDATION</w:t>
      </w:r>
    </w:p>
    <w:p>
      <w:pPr>
        <w:pStyle w:val="CalloutRecommendation"/>
      </w:pPr>
      <w:r>
        <w:rPr>
          <w:bCs/>
          <w:b/>
        </w:rPr>
        <w:t xml:space="preserve">A default ladder.</w:t>
      </w:r>
      <w:r>
        <w:t xml:space="preserve"> </w:t>
      </w:r>
      <w:r>
        <w:t xml:space="preserve">Start with round robin for identical stateless backends. Move to least request with P2C (Envoy’s default, NGINX</w:t>
      </w:r>
      <w:r>
        <w:t xml:space="preserve"> </w:t>
      </w:r>
      <w:r>
        <w:rPr>
          <w:rStyle w:val="VerbatimChar"/>
        </w:rPr>
        <w:t xml:space="preserve">random two least_conn</w:t>
      </w:r>
      <w:r>
        <w:t xml:space="preserve">, HAProxy</w:t>
      </w:r>
      <w:r>
        <w:t xml:space="preserve"> </w:t>
      </w:r>
      <w:r>
        <w:rPr>
          <w:rStyle w:val="VerbatimChar"/>
        </w:rPr>
        <w:t xml:space="preserve">leastconn</w:t>
      </w:r>
      <w:r>
        <w:t xml:space="preserve"> </w:t>
      </w:r>
      <w:r>
        <w:t xml:space="preserve">or</w:t>
      </w:r>
      <w:r>
        <w:t xml:space="preserve"> </w:t>
      </w:r>
      <w:r>
        <w:rPr>
          <w:rStyle w:val="VerbatimChar"/>
        </w:rPr>
        <w:t xml:space="preserve">random(2)</w:t>
      </w:r>
      <w:r>
        <w:t xml:space="preserve">) as soon as requests vary in cost or several balancers share backends. Use a hash, bounded if keys are skewed, only when locality pays for itself, and measure the cache hit ratio to prove it.</w:t>
      </w:r>
    </w:p>
    <w:bookmarkEnd w:id="2195"/>
    <w:bookmarkEnd w:id="2196"/>
    <w:bookmarkStart w:id="2204" w:name="health-checks"/>
    <w:p>
      <w:pPr>
        <w:pStyle w:val="Heading2"/>
      </w:pPr>
      <w:r>
        <w:t xml:space="preserve">19.5 Health checks</w:t>
      </w:r>
    </w:p>
    <w:bookmarkStart w:id="2201" w:name="active-and-passive-checks"/>
    <w:p>
      <w:pPr>
        <w:pStyle w:val="Heading3"/>
      </w:pPr>
      <w:r>
        <w:t xml:space="preserve">19.5.1 Active and passive checks</w:t>
      </w:r>
    </w:p>
    <w:p>
      <w:pPr>
        <w:pStyle w:val="CalloutDefinition"/>
      </w:pPr>
      <w:r>
        <w:rPr>
          <w:bCs/>
          <w:b/>
        </w:rPr>
        <w:t xml:space="preserve">DEFINITION</w:t>
      </w:r>
    </w:p>
    <w:p>
      <w:pPr>
        <w:pStyle w:val="CalloutDefinition"/>
      </w:pPr>
      <w:r>
        <w:rPr>
          <w:bCs/>
          <w:b/>
        </w:rPr>
        <w:t xml:space="preserve">Definition — Health check.</w:t>
      </w:r>
      <w:r>
        <w:t xml:space="preserve"> </w:t>
      </w:r>
      <w:r>
        <w:t xml:space="preserve">A mechanism by which a balancer decides whether a backend should receive traffic. An</w:t>
      </w:r>
      <w:r>
        <w:t xml:space="preserve"> </w:t>
      </w:r>
      <w:r>
        <w:rPr>
          <w:bCs/>
          <w:b/>
        </w:rPr>
        <w:t xml:space="preserve">active</w:t>
      </w:r>
      <w:r>
        <w:t xml:space="preserve"> </w:t>
      </w:r>
      <w:r>
        <w:t xml:space="preserve">check sends synthetic probes (a TCP connect, an HTTP</w:t>
      </w:r>
      <w:r>
        <w:t xml:space="preserve"> </w:t>
      </w:r>
      <w:r>
        <w:rPr>
          <w:rStyle w:val="VerbatimChar"/>
        </w:rPr>
        <w:t xml:space="preserve">GET /healthz</w:t>
      </w:r>
      <w:r>
        <w:t xml:space="preserve">, a gRPC health RPC) on a timer. A</w:t>
      </w:r>
      <w:r>
        <w:t xml:space="preserve"> </w:t>
      </w:r>
      <w:r>
        <w:rPr>
          <w:bCs/>
          <w:b/>
        </w:rPr>
        <w:t xml:space="preserve">passive</w:t>
      </w:r>
      <w:r>
        <w:t xml:space="preserve"> </w:t>
      </w:r>
      <w:r>
        <w:t xml:space="preserve">check, also called</w:t>
      </w:r>
      <w:r>
        <w:t xml:space="preserve"> </w:t>
      </w:r>
      <w:r>
        <w:rPr>
          <w:bCs/>
          <w:b/>
        </w:rPr>
        <w:t xml:space="preserve">outlier detection</w:t>
      </w:r>
      <w:r>
        <w:t xml:space="preserve">, watches real traffic for errors, timeouts or latency and</w:t>
      </w:r>
      <w:r>
        <w:t xml:space="preserve"> </w:t>
      </w:r>
      <w:r>
        <w:rPr>
          <w:bCs/>
          <w:b/>
        </w:rPr>
        <w:t xml:space="preserve">ejects</w:t>
      </w:r>
      <w:r>
        <w:t xml:space="preserve"> </w:t>
      </w:r>
      <w:r>
        <w:t xml:space="preserve">misbehaving backends for a period.</w:t>
      </w:r>
    </w:p>
    <w:p>
      <w:pPr>
        <w:pStyle w:val="BodyText"/>
      </w:pPr>
      <w:r>
        <w:t xml:space="preserve">A lifeguard does two things: every few minutes she scans the whole pool (active), and she reacts at once when she hears a shout (passive). Neither alone is enough. Active checks find dead backends even when no traffic flows, but are slow and test only what the probe touches. Passive checks react within milliseconds on busy services, but need traffic and cannot tell a broken backend from a bad request.</w:t>
      </w:r>
    </w:p>
    <w:bookmarkStart w:id="2200" w:name="how-it-works-internally-83"/>
    <w:p>
      <w:pPr>
        <w:pStyle w:val="Heading4"/>
      </w:pPr>
      <w:r>
        <w:t xml:space="preserve">How it works internally</w:t>
      </w:r>
    </w:p>
    <w:p>
      <w:pPr>
        <w:numPr>
          <w:ilvl w:val="0"/>
          <w:numId w:val="1642"/>
        </w:numPr>
        <w:pStyle w:val="Compact"/>
      </w:pPr>
      <w:r>
        <w:rPr>
          <w:bCs/>
          <w:b/>
        </w:rPr>
        <w:t xml:space="preserve">Probe.</w:t>
      </w:r>
      <w:r>
        <w:t xml:space="preserve"> </w:t>
      </w:r>
      <w:r>
        <w:t xml:space="preserve">Every interval</w:t>
      </w:r>
      <w:r>
        <w:t xml:space="preserve"> </w:t>
      </w:r>
      <m:oMath>
        <m:r>
          <m:t>I</m:t>
        </m:r>
      </m:oMath>
      <w:r>
        <w:t xml:space="preserve"> </w:t>
      </w:r>
      <w:r>
        <w:t xml:space="preserve">(HAProxy default 2 s), send a probe with a timeout.</w:t>
      </w:r>
    </w:p>
    <w:p>
      <w:pPr>
        <w:numPr>
          <w:ilvl w:val="0"/>
          <w:numId w:val="1642"/>
        </w:numPr>
        <w:pStyle w:val="Compact"/>
      </w:pPr>
      <w:r>
        <w:rPr>
          <w:bCs/>
          <w:b/>
        </w:rPr>
        <w:t xml:space="preserve">Thresholds.</w:t>
      </w:r>
      <w:r>
        <w:t xml:space="preserve"> </w:t>
      </w:r>
      <w:r>
        <w:t xml:space="preserve">Mark a backend down after</w:t>
      </w:r>
      <w:r>
        <w:t xml:space="preserve"> </w:t>
      </w:r>
      <m:oMath>
        <m:r>
          <m:t>F</m:t>
        </m:r>
      </m:oMath>
      <w:r>
        <w:t xml:space="preserve"> </w:t>
      </w:r>
      <w:r>
        <w:t xml:space="preserve">consecutive failures (</w:t>
      </w:r>
      <w:r>
        <w:rPr>
          <w:iCs/>
          <w:i/>
        </w:rPr>
        <w:t xml:space="preserve">fall</w:t>
      </w:r>
      <w:r>
        <w:t xml:space="preserve">, HAProxy default 3) and up after</w:t>
      </w:r>
      <w:r>
        <w:t xml:space="preserve"> </w:t>
      </w:r>
      <m:oMath>
        <m:r>
          <m:t>R</m:t>
        </m:r>
      </m:oMath>
      <w:r>
        <w:t xml:space="preserve"> </w:t>
      </w:r>
      <w:r>
        <w:t xml:space="preserve">consecutive successes (</w:t>
      </w:r>
      <w:r>
        <w:rPr>
          <w:iCs/>
          <w:i/>
        </w:rPr>
        <w:t xml:space="preserve">rise</w:t>
      </w:r>
      <w:r>
        <w:t xml:space="preserve">, default 2) [HAProxy Docs]. AWS ALB target groups default to a 30 s interval, 2 failures and 5 successes (as of 2026).</w:t>
      </w:r>
    </w:p>
    <w:p>
      <w:pPr>
        <w:numPr>
          <w:ilvl w:val="0"/>
          <w:numId w:val="1642"/>
        </w:numPr>
        <w:pStyle w:val="Compact"/>
      </w:pPr>
      <w:r>
        <w:rPr>
          <w:bCs/>
          <w:b/>
        </w:rPr>
        <w:t xml:space="preserve">Outlier detection.</w:t>
      </w:r>
      <w:r>
        <w:t xml:space="preserve"> </w:t>
      </w:r>
      <w:r>
        <w:t xml:space="preserve">Envoy, by default, ejects a host after 5 consecutive</w:t>
      </w:r>
      <w:r>
        <w:t xml:space="preserve"> </w:t>
      </w:r>
      <w:r>
        <w:rPr>
          <w:rStyle w:val="VerbatimChar"/>
        </w:rPr>
        <w:t xml:space="preserve">5xx</w:t>
      </w:r>
      <w:r>
        <w:t xml:space="preserve"> </w:t>
      </w:r>
      <w:r>
        <w:t xml:space="preserve">responses, for a base time of 30 s multiplied by the number of times it has been ejected, and never ejects more than 10% of a cluster at once (as of 2026) [Envoy Docs: Outlier detection]. NGINX open source marks a server unavailable for</w:t>
      </w:r>
      <w:r>
        <w:t xml:space="preserve"> </w:t>
      </w:r>
      <w:r>
        <w:rPr>
          <w:rStyle w:val="VerbatimChar"/>
        </w:rPr>
        <w:t xml:space="preserve">fail_timeout</w:t>
      </w:r>
      <w:r>
        <w:t xml:space="preserve"> </w:t>
      </w:r>
      <w:r>
        <w:t xml:space="preserve">(10 s) after</w:t>
      </w:r>
      <w:r>
        <w:t xml:space="preserve"> </w:t>
      </w:r>
      <w:r>
        <w:rPr>
          <w:rStyle w:val="VerbatimChar"/>
        </w:rPr>
        <w:t xml:space="preserve">max_fails</w:t>
      </w:r>
      <w:r>
        <w:t xml:space="preserve"> </w:t>
      </w:r>
      <w:r>
        <w:t xml:space="preserve">(1) failures.</w:t>
      </w:r>
    </w:p>
    <w:p>
      <w:pPr>
        <w:numPr>
          <w:ilvl w:val="0"/>
          <w:numId w:val="1642"/>
        </w:numPr>
        <w:pStyle w:val="Compact"/>
      </w:pPr>
      <w:r>
        <w:rPr>
          <w:bCs/>
          <w:b/>
        </w:rPr>
        <w:t xml:space="preserve">Fail open.</w:t>
      </w:r>
      <w:r>
        <w:t xml:space="preserve"> </w:t>
      </w:r>
      <w:r>
        <w:t xml:space="preserve">If too many backends look unhealthy, the checks are probably wrong. Envoy’s</w:t>
      </w:r>
      <w:r>
        <w:t xml:space="preserve"> </w:t>
      </w:r>
      <w:r>
        <w:rPr>
          <w:bCs/>
          <w:b/>
        </w:rPr>
        <w:t xml:space="preserve">panic threshold</w:t>
      </w:r>
      <w:r>
        <w:t xml:space="preserve"> </w:t>
      </w:r>
      <w:r>
        <w:t xml:space="preserve">(default 50%) makes it ignore health and balance across all hosts; AWS ALB routes to all targets when all fail their checks.</w:t>
      </w:r>
    </w:p>
    <w:p>
      <w:pPr>
        <w:pStyle w:val="FirstParagraph"/>
      </w:pPr>
      <w:r>
        <w:rPr>
          <w:bCs/>
          <w:b/>
        </w:rPr>
        <w:t xml:space="preserve">Figure 19.5 — Health state of one backend as seen by the balancer.</w:t>
      </w:r>
    </w:p>
    <w:p>
      <w:pPr>
        <w:pStyle w:val="BodyText"/>
      </w:pPr>
      <w:r>
        <w:drawing>
          <wp:inline>
            <wp:extent cx="5334000" cy="3299515"/>
            <wp:effectExtent b="0" l="0" r="0" t="0"/>
            <wp:docPr descr="" title="" id="2198" name="Picture"/>
            <a:graphic>
              <a:graphicData uri="http://schemas.openxmlformats.org/drawingml/2006/picture">
                <pic:pic>
                  <pic:nvPicPr>
                    <pic:cNvPr descr="/home/user/System-Design/build/.cache/diagrams/e94a261bfb55.png" id="2199" name="Picture"/>
                    <pic:cNvPicPr>
                      <a:picLocks noChangeArrowheads="1" noChangeAspect="1"/>
                    </pic:cNvPicPr>
                  </pic:nvPicPr>
                  <pic:blipFill>
                    <a:blip r:embed="rId2197"/>
                    <a:stretch>
                      <a:fillRect/>
                    </a:stretch>
                  </pic:blipFill>
                  <pic:spPr bwMode="auto">
                    <a:xfrm>
                      <a:off x="0" y="0"/>
                      <a:ext cx="5334000" cy="3299515"/>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A new backend starts unhealthy and must pass</w:t>
      </w:r>
      <w:r>
        <w:t xml:space="preserve"> </w:t>
      </w:r>
      <m:oMath>
        <m:r>
          <m:t>R</m:t>
        </m:r>
      </m:oMath>
      <w:r>
        <w:t xml:space="preserve"> </w:t>
      </w:r>
      <w:r>
        <w:t xml:space="preserve">probes before receiving traffic. One failed probe makes it</w:t>
      </w:r>
      <w:r>
        <w:t xml:space="preserve"> </w:t>
      </w:r>
      <w:r>
        <w:rPr>
          <w:iCs/>
          <w:i/>
        </w:rPr>
        <w:t xml:space="preserve">suspect</w:t>
      </w:r>
      <w:r>
        <w:t xml:space="preserve"> </w:t>
      </w:r>
      <w:r>
        <w:t xml:space="preserve">but keeps it in rotation; only</w:t>
      </w:r>
      <w:r>
        <w:t xml:space="preserve"> </w:t>
      </w:r>
      <m:oMath>
        <m:r>
          <m:t>F</m:t>
        </m:r>
      </m:oMath>
      <w:r>
        <w:t xml:space="preserve"> </w:t>
      </w:r>
      <w:r>
        <w:t xml:space="preserve">consecutive failures remove it. This</w:t>
      </w:r>
      <w:r>
        <w:t xml:space="preserve"> </w:t>
      </w:r>
      <w:r>
        <w:rPr>
          <w:bCs/>
          <w:b/>
        </w:rPr>
        <w:t xml:space="preserve">hysteresis</w:t>
      </w:r>
      <w:r>
        <w:t xml:space="preserve"> </w:t>
      </w:r>
      <w:r>
        <w:t xml:space="preserve">prevents flapping on one lost packet. Passive outlier detection can eject a backend immediately, for a time that grows with repeat offenses.</w:t>
      </w:r>
      <w:r>
        <w:t xml:space="preserve"> </w:t>
      </w:r>
      <w:r>
        <w:rPr>
          <w:iCs/>
          <w:i/>
        </w:rPr>
        <w:t xml:space="preserve">Draining</w:t>
      </w:r>
      <w:r>
        <w:t xml:space="preserve"> </w:t>
      </w:r>
      <w:r>
        <w:t xml:space="preserve">is the orderly exit (§19.8.4). Transitions are asynchronous (probe timers, response observations), and state is per balancer, so balancers may briefly disagree. Failure point: a probe that skips the real dependency path reports healthy while users fail. Scaling: probe traffic grows with balancers × backends.</w:t>
      </w:r>
    </w:p>
    <w:p>
      <w:pPr>
        <w:pStyle w:val="CalloutFormula"/>
      </w:pPr>
      <w:r>
        <w:rPr>
          <w:bCs/>
          <w:b/>
        </w:rPr>
        <w:t xml:space="preserve">FORMULA</w:t>
      </w:r>
    </w:p>
    <w:p>
      <w:pPr>
        <w:pStyle w:val="CalloutFormula"/>
      </w:pPr>
      <w:r>
        <w:rPr>
          <w:bCs/>
          <w:b/>
        </w:rPr>
        <w:t xml:space="preserve">Detection time and requests lost to a dead backend</w:t>
      </w:r>
    </w:p>
    <w:p>
      <w:pPr>
        <w:pStyle w:val="CalloutFormula"/>
      </w:pPr>
      <m:oMathPara>
        <m:oMathParaPr>
          <m:jc m:val="center"/>
        </m:oMathParaPr>
        <m:oMath>
          <m:sSub>
            <m:e>
              <m:r>
                <m:t>T</m:t>
              </m:r>
            </m:e>
            <m:sub>
              <m:r>
                <m:rPr>
                  <m:nor/>
                  <m:sty m:val="p"/>
                </m:rPr>
                <m:t>detect</m:t>
              </m:r>
            </m:sub>
          </m:sSub>
          <m:r>
            <m:rPr>
              <m:sty m:val="p"/>
            </m:rPr>
            <m:t>≈</m:t>
          </m:r>
          <m:r>
            <m:t>F</m:t>
          </m:r>
          <m:r>
            <m:rPr>
              <m:sty m:val="p"/>
            </m:rPr>
            <m:t>⋅</m:t>
          </m:r>
          <m:r>
            <m:t>I</m:t>
          </m:r>
          <m:r>
            <m:rPr>
              <m:sty m:val="p"/>
            </m:rPr>
            <m:t>+</m:t>
          </m:r>
          <m:sSub>
            <m:e>
              <m:r>
                <m:t>T</m:t>
              </m:r>
            </m:e>
            <m:sub>
              <m:r>
                <m:t>o</m:t>
              </m:r>
            </m:sub>
          </m:sSub>
          <m:r>
            <m:rPr>
              <m:sty m:val="p"/>
            </m:rPr>
            <m:t>,</m:t>
          </m:r>
          <m:r>
            <m:t>  </m:t>
          </m:r>
          <m:sSub>
            <m:e>
              <m:r>
                <m:t>N</m:t>
              </m:r>
            </m:e>
            <m:sub>
              <m:r>
                <m:rPr>
                  <m:nor/>
                  <m:sty m:val="p"/>
                </m:rPr>
                <m:t>lost</m:t>
              </m:r>
            </m:sub>
          </m:sSub>
          <m:r>
            <m:rPr>
              <m:sty m:val="p"/>
            </m:rPr>
            <m:t>≈</m:t>
          </m:r>
          <m:f>
            <m:fPr>
              <m:type m:val="bar"/>
            </m:fPr>
            <m:num>
              <m:r>
                <m:t>λ</m:t>
              </m:r>
            </m:num>
            <m:den>
              <m:r>
                <m:t>n</m:t>
              </m:r>
            </m:den>
          </m:f>
          <m:r>
            <m:t> </m:t>
          </m:r>
          <m:sSub>
            <m:e>
              <m:r>
                <m:t>T</m:t>
              </m:r>
            </m:e>
            <m:sub>
              <m:r>
                <m:rPr>
                  <m:nor/>
                  <m:sty m:val="p"/>
                </m:rPr>
                <m:t>detect</m:t>
              </m:r>
            </m:sub>
          </m:sSub>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T</m:t>
                  </m:r>
                </m:e>
                <m:sub>
                  <m:r>
                    <m:rPr>
                      <m:nor/>
                      <m:sty m:val="p"/>
                    </m:rPr>
                    <m:t>detect</m:t>
                  </m:r>
                </m:sub>
              </m:sSub>
            </m:oMath>
          </w:p>
        </w:tc>
        <w:tc>
          <w:tcPr/>
          <w:p>
            <w:pPr>
              <w:pStyle w:val="Compact"/>
              <w:jc w:val="left"/>
            </w:pPr>
            <w:r>
              <w:t xml:space="preserve">Worst-case time from failure to removal</w:t>
            </w:r>
          </w:p>
        </w:tc>
        <w:tc>
          <w:tcPr/>
          <w:p>
            <w:pPr>
              <w:pStyle w:val="Compact"/>
              <w:jc w:val="left"/>
            </w:pPr>
            <w:r>
              <w:t xml:space="preserve">seconds</w:t>
            </w:r>
          </w:p>
        </w:tc>
      </w:tr>
      <w:tr>
        <w:tc>
          <w:tcPr/>
          <w:p>
            <w:pPr>
              <w:pStyle w:val="Compact"/>
              <w:jc w:val="left"/>
            </w:pPr>
            <m:oMath>
              <m:r>
                <m:t>F</m:t>
              </m:r>
            </m:oMath>
          </w:p>
        </w:tc>
        <w:tc>
          <w:tcPr/>
          <w:p>
            <w:pPr>
              <w:pStyle w:val="Compact"/>
              <w:jc w:val="left"/>
            </w:pPr>
            <w:r>
              <w:t xml:space="preserve">Consecutive failures required (fall threshold)</w:t>
            </w:r>
          </w:p>
        </w:tc>
        <w:tc>
          <w:tcPr/>
          <w:p>
            <w:pPr>
              <w:pStyle w:val="Compact"/>
              <w:jc w:val="left"/>
            </w:pPr>
            <w:r>
              <w:t xml:space="preserve">count</w:t>
            </w:r>
          </w:p>
        </w:tc>
      </w:tr>
      <w:tr>
        <w:tc>
          <w:tcPr/>
          <w:p>
            <w:pPr>
              <w:pStyle w:val="Compact"/>
              <w:jc w:val="left"/>
            </w:pPr>
            <m:oMath>
              <m:r>
                <m:t>I</m:t>
              </m:r>
            </m:oMath>
          </w:p>
        </w:tc>
        <w:tc>
          <w:tcPr/>
          <w:p>
            <w:pPr>
              <w:pStyle w:val="Compact"/>
              <w:jc w:val="left"/>
            </w:pPr>
            <w:r>
              <w:t xml:space="preserve">Probe interval</w:t>
            </w:r>
          </w:p>
        </w:tc>
        <w:tc>
          <w:tcPr/>
          <w:p>
            <w:pPr>
              <w:pStyle w:val="Compact"/>
              <w:jc w:val="left"/>
            </w:pPr>
            <w:r>
              <w:t xml:space="preserve">seconds</w:t>
            </w:r>
          </w:p>
        </w:tc>
      </w:tr>
      <w:tr>
        <w:tc>
          <w:tcPr/>
          <w:p>
            <w:pPr>
              <w:pStyle w:val="Compact"/>
              <w:jc w:val="left"/>
            </w:pPr>
            <m:oMath>
              <m:sSub>
                <m:e>
                  <m:r>
                    <m:t>T</m:t>
                  </m:r>
                </m:e>
                <m:sub>
                  <m:r>
                    <m:t>o</m:t>
                  </m:r>
                </m:sub>
              </m:sSub>
            </m:oMath>
          </w:p>
        </w:tc>
        <w:tc>
          <w:tcPr/>
          <w:p>
            <w:pPr>
              <w:pStyle w:val="Compact"/>
              <w:jc w:val="left"/>
            </w:pPr>
            <w:r>
              <w:t xml:space="preserve">Probe timeout</w:t>
            </w:r>
          </w:p>
        </w:tc>
        <w:tc>
          <w:tcPr/>
          <w:p>
            <w:pPr>
              <w:pStyle w:val="Compact"/>
              <w:jc w:val="left"/>
            </w:pPr>
            <w:r>
              <w:t xml:space="preserve">seconds</w:t>
            </w:r>
          </w:p>
        </w:tc>
      </w:tr>
      <w:tr>
        <w:tc>
          <w:tcPr/>
          <w:p>
            <w:pPr>
              <w:pStyle w:val="Compact"/>
              <w:jc w:val="left"/>
            </w:pPr>
            <m:oMath>
              <m:sSub>
                <m:e>
                  <m:r>
                    <m:t>N</m:t>
                  </m:r>
                </m:e>
                <m:sub>
                  <m:r>
                    <m:rPr>
                      <m:nor/>
                      <m:sty m:val="p"/>
                    </m:rPr>
                    <m:t>lost</m:t>
                  </m:r>
                </m:sub>
              </m:sSub>
            </m:oMath>
          </w:p>
        </w:tc>
        <w:tc>
          <w:tcPr/>
          <w:p>
            <w:pPr>
              <w:pStyle w:val="Compact"/>
              <w:jc w:val="left"/>
            </w:pPr>
            <w:r>
              <w:t xml:space="preserve">Requests sent to the dead backend meanwhile (without retries)</w:t>
            </w:r>
          </w:p>
        </w:tc>
        <w:tc>
          <w:tcPr/>
          <w:p>
            <w:pPr>
              <w:pStyle w:val="Compact"/>
              <w:jc w:val="left"/>
            </w:pPr>
            <w:r>
              <w:t xml:space="preserve">requests</w:t>
            </w:r>
          </w:p>
        </w:tc>
      </w:tr>
      <w:tr>
        <w:tc>
          <w:tcPr/>
          <w:p>
            <w:pPr>
              <w:pStyle w:val="Compact"/>
              <w:jc w:val="left"/>
            </w:pPr>
            <m:oMath>
              <m:r>
                <m:t>λ</m:t>
              </m:r>
            </m:oMath>
            <w:r>
              <w:t xml:space="preserve">,</w:t>
            </w:r>
            <w:r>
              <w:t xml:space="preserve"> </w:t>
            </w:r>
            <m:oMath>
              <m:r>
                <m:t>n</m:t>
              </m:r>
            </m:oMath>
          </w:p>
        </w:tc>
        <w:tc>
          <w:tcPr/>
          <w:p>
            <w:pPr>
              <w:pStyle w:val="Compact"/>
              <w:jc w:val="left"/>
            </w:pPr>
            <w:r>
              <w:t xml:space="preserve">Total request rate; number of backends</w:t>
            </w:r>
          </w:p>
        </w:tc>
        <w:tc>
          <w:tcPr/>
          <w:p>
            <w:pPr>
              <w:pStyle w:val="Compact"/>
              <w:jc w:val="left"/>
            </w:pPr>
            <w:r>
              <w:t xml:space="preserve">requests/second; count</w:t>
            </w:r>
          </w:p>
        </w:tc>
      </w:tr>
    </w:tbl>
    <w:p>
      <w:pPr>
        <w:pStyle w:val="CalloutExample"/>
      </w:pPr>
      <w:r>
        <w:rPr>
          <w:bCs/>
          <w:b/>
        </w:rPr>
        <w:t xml:space="preserve">WORKED EXAMPLE</w:t>
      </w:r>
    </w:p>
    <w:p>
      <w:pPr>
        <w:pStyle w:val="CalloutExample"/>
      </w:pPr>
      <w:r>
        <w:rPr>
          <w:bCs/>
          <w:b/>
        </w:rPr>
        <w:t xml:space="preserve">Worked example — active versus passive detection.</w:t>
      </w:r>
      <w:r>
        <w:t xml:space="preserve"> </w:t>
      </w:r>
      <w:r>
        <w:t xml:space="preserve">10 backends,</w:t>
      </w:r>
      <w:r>
        <w:t xml:space="preserve"> </w:t>
      </w:r>
      <m:oMath>
        <m:r>
          <m:t>λ</m:t>
        </m:r>
        <m:r>
          <m:rPr>
            <m:sty m:val="p"/>
          </m:rPr>
          <m:t>=</m:t>
        </m:r>
        <m:r>
          <m:t>5</m:t>
        </m:r>
        <m:r>
          <m:rPr>
            <m:sty m:val="p"/>
          </m:rPr>
          <m:t>,</m:t>
        </m:r>
        <m:r>
          <m:t>000</m:t>
        </m:r>
      </m:oMath>
      <w:r>
        <w:t xml:space="preserve"> </w:t>
      </w:r>
      <w:r>
        <w:t xml:space="preserve">requests/s, so 500 requests/s each. A backend’s process hangs.</w:t>
      </w:r>
    </w:p>
    <w:p>
      <w:pPr>
        <w:numPr>
          <w:ilvl w:val="0"/>
          <w:numId w:val="1643"/>
        </w:numPr>
        <w:pStyle w:val="Compact"/>
      </w:pPr>
      <w:r>
        <w:t xml:space="preserve">HAProxy defaults:</w:t>
      </w:r>
      <w:r>
        <w:t xml:space="preserve"> </w:t>
      </w:r>
      <m:oMath>
        <m:r>
          <m:t>F</m:t>
        </m:r>
        <m:r>
          <m:rPr>
            <m:sty m:val="p"/>
          </m:rPr>
          <m:t>=</m:t>
        </m:r>
        <m:r>
          <m:t>3</m:t>
        </m:r>
      </m:oMath>
      <w:r>
        <w:t xml:space="preserve">,</w:t>
      </w:r>
      <w:r>
        <w:t xml:space="preserve"> </w:t>
      </w:r>
      <m:oMath>
        <m:r>
          <m:t>I</m:t>
        </m:r>
        <m:r>
          <m:rPr>
            <m:sty m:val="p"/>
          </m:rPr>
          <m:t>=</m:t>
        </m:r>
        <m:r>
          <m:t>2</m:t>
        </m:r>
      </m:oMath>
      <w:r>
        <w:t xml:space="preserve"> </w:t>
      </w:r>
      <w:r>
        <w:t xml:space="preserve">s, timeout 2 s:</w:t>
      </w:r>
      <w:r>
        <w:t xml:space="preserve"> </w:t>
      </w:r>
      <m:oMath>
        <m:sSub>
          <m:e>
            <m:r>
              <m:t>T</m:t>
            </m:r>
          </m:e>
          <m:sub>
            <m:r>
              <m:rPr>
                <m:nor/>
                <m:sty m:val="p"/>
              </m:rPr>
              <m:t>detect</m:t>
            </m:r>
          </m:sub>
        </m:sSub>
        <m:r>
          <m:rPr>
            <m:sty m:val="p"/>
          </m:rPr>
          <m:t>≈</m:t>
        </m:r>
        <m:r>
          <m:t>3</m:t>
        </m:r>
        <m:r>
          <m:rPr>
            <m:sty m:val="p"/>
          </m:rPr>
          <m:t>×</m:t>
        </m:r>
        <m:r>
          <m:t>2</m:t>
        </m:r>
        <m:r>
          <m:rPr>
            <m:sty m:val="p"/>
          </m:rPr>
          <m:t>+</m:t>
        </m:r>
        <m:r>
          <m:t>2</m:t>
        </m:r>
        <m:r>
          <m:rPr>
            <m:sty m:val="p"/>
          </m:rPr>
          <m:t>=</m:t>
        </m:r>
        <m:r>
          <m:t>8</m:t>
        </m:r>
      </m:oMath>
      <w:r>
        <w:t xml:space="preserve"> </w:t>
      </w:r>
      <w:r>
        <w:t xml:space="preserve">s;</w:t>
      </w:r>
      <w:r>
        <w:t xml:space="preserve"> </w:t>
      </w:r>
      <m:oMath>
        <m:sSub>
          <m:e>
            <m:r>
              <m:t>N</m:t>
            </m:r>
          </m:e>
          <m:sub>
            <m:r>
              <m:rPr>
                <m:nor/>
                <m:sty m:val="p"/>
              </m:rPr>
              <m:t>lost</m:t>
            </m:r>
          </m:sub>
        </m:sSub>
        <m:r>
          <m:rPr>
            <m:sty m:val="p"/>
          </m:rPr>
          <m:t>≈</m:t>
        </m:r>
        <m:r>
          <m:t>500</m:t>
        </m:r>
        <m:r>
          <m:rPr>
            <m:sty m:val="p"/>
          </m:rPr>
          <m:t>×</m:t>
        </m:r>
        <m:r>
          <m:t>8</m:t>
        </m:r>
        <m:r>
          <m:rPr>
            <m:sty m:val="p"/>
          </m:rPr>
          <m:t>=</m:t>
        </m:r>
        <m:r>
          <m:t>4</m:t>
        </m:r>
        <m:r>
          <m:rPr>
            <m:sty m:val="p"/>
          </m:rPr>
          <m:t>,</m:t>
        </m:r>
        <m:r>
          <m:t>000</m:t>
        </m:r>
      </m:oMath>
      <w:r>
        <w:t xml:space="preserve"> </w:t>
      </w:r>
      <w:r>
        <w:t xml:space="preserve">requests.</w:t>
      </w:r>
    </w:p>
    <w:p>
      <w:pPr>
        <w:numPr>
          <w:ilvl w:val="0"/>
          <w:numId w:val="1643"/>
        </w:numPr>
        <w:pStyle w:val="Compact"/>
      </w:pPr>
      <w:r>
        <w:t xml:space="preserve">ALB defaults:</w:t>
      </w:r>
      <w:r>
        <w:t xml:space="preserve"> </w:t>
      </w:r>
      <m:oMath>
        <m:r>
          <m:t>F</m:t>
        </m:r>
        <m:r>
          <m:rPr>
            <m:sty m:val="p"/>
          </m:rPr>
          <m:t>=</m:t>
        </m:r>
        <m:r>
          <m:t>2</m:t>
        </m:r>
      </m:oMath>
      <w:r>
        <w:t xml:space="preserve">,</w:t>
      </w:r>
      <w:r>
        <w:t xml:space="preserve"> </w:t>
      </w:r>
      <m:oMath>
        <m:r>
          <m:t>I</m:t>
        </m:r>
        <m:r>
          <m:rPr>
            <m:sty m:val="p"/>
          </m:rPr>
          <m:t>=</m:t>
        </m:r>
        <m:r>
          <m:t>30</m:t>
        </m:r>
      </m:oMath>
      <w:r>
        <w:t xml:space="preserve"> </w:t>
      </w:r>
      <w:r>
        <w:t xml:space="preserve">s, timeout 5 s:</w:t>
      </w:r>
      <w:r>
        <w:t xml:space="preserve"> </w:t>
      </w:r>
      <m:oMath>
        <m:sSub>
          <m:e>
            <m:r>
              <m:t>T</m:t>
            </m:r>
          </m:e>
          <m:sub>
            <m:r>
              <m:rPr>
                <m:nor/>
                <m:sty m:val="p"/>
              </m:rPr>
              <m:t>detect</m:t>
            </m:r>
          </m:sub>
        </m:sSub>
        <m:r>
          <m:rPr>
            <m:sty m:val="p"/>
          </m:rPr>
          <m:t>≈</m:t>
        </m:r>
        <m:r>
          <m:t>65</m:t>
        </m:r>
      </m:oMath>
      <w:r>
        <w:t xml:space="preserve"> </w:t>
      </w:r>
      <w:r>
        <w:t xml:space="preserve">s;</w:t>
      </w:r>
      <w:r>
        <w:t xml:space="preserve"> </w:t>
      </w:r>
      <m:oMath>
        <m:sSub>
          <m:e>
            <m:r>
              <m:t>N</m:t>
            </m:r>
          </m:e>
          <m:sub>
            <m:r>
              <m:rPr>
                <m:nor/>
                <m:sty m:val="p"/>
              </m:rPr>
              <m:t>lost</m:t>
            </m:r>
          </m:sub>
        </m:sSub>
        <m:r>
          <m:rPr>
            <m:sty m:val="p"/>
          </m:rPr>
          <m:t>≈</m:t>
        </m:r>
        <m:r>
          <m:t>32</m:t>
        </m:r>
        <m:r>
          <m:rPr>
            <m:sty m:val="p"/>
          </m:rPr>
          <m:t>,</m:t>
        </m:r>
        <m:r>
          <m:t>500</m:t>
        </m:r>
      </m:oMath>
      <w:r>
        <w:t xml:space="preserve"> </w:t>
      </w:r>
      <w:r>
        <w:t xml:space="preserve">requests.</w:t>
      </w:r>
    </w:p>
    <w:p>
      <w:pPr>
        <w:numPr>
          <w:ilvl w:val="0"/>
          <w:numId w:val="1643"/>
        </w:numPr>
        <w:pStyle w:val="Compact"/>
      </w:pPr>
      <w:r>
        <w:t xml:space="preserve">Passive, 5 consecutive errors (if the hang yields fast errors): ejection after 5 requests, about</w:t>
      </w:r>
      <w:r>
        <w:t xml:space="preserve"> </w:t>
      </w:r>
      <m:oMath>
        <m:r>
          <m:t>5</m:t>
        </m:r>
        <m:r>
          <m:rPr>
            <m:sty m:val="p"/>
          </m:rPr>
          <m:t>/</m:t>
        </m:r>
        <m:r>
          <m:t>500</m:t>
        </m:r>
        <m:r>
          <m:rPr>
            <m:sty m:val="p"/>
          </m:rPr>
          <m:t>=</m:t>
        </m:r>
        <m:r>
          <m:t>10</m:t>
        </m:r>
      </m:oMath>
      <w:r>
        <w:t xml:space="preserve"> </w:t>
      </w:r>
      <w:r>
        <w:t xml:space="preserve">ms.</w:t>
      </w:r>
    </w:p>
    <w:p>
      <w:pPr>
        <w:pStyle w:val="CalloutExample"/>
      </w:pPr>
      <w:r>
        <w:rPr>
          <w:iCs/>
          <w:i/>
        </w:rPr>
        <w:t xml:space="preserve">Interpretation.</w:t>
      </w:r>
      <w:r>
        <w:t xml:space="preserve"> </w:t>
      </w:r>
      <w:r>
        <w:t xml:space="preserve">Active checks alone cost thousands of failed requests per incident; passive checks cut that by orders of magnitude on busy pools.</w:t>
      </w:r>
      <w:r>
        <w:t xml:space="preserve"> </w:t>
      </w:r>
      <w:r>
        <w:rPr>
          <w:iCs/>
          <w:i/>
        </w:rPr>
        <w:t xml:space="preserve">Engineering implication.</w:t>
      </w:r>
      <w:r>
        <w:t xml:space="preserve"> </w:t>
      </w:r>
      <w:r>
        <w:t xml:space="preserve">Use both, retry idempotent requests on another backend (§22.12), and tune active intervals for low-traffic pools where passive detection has nothing to observe.</w:t>
      </w:r>
    </w:p>
    <w:bookmarkEnd w:id="2200"/>
    <w:bookmarkEnd w:id="2201"/>
    <w:bookmarkStart w:id="2203" w:name="what-a-health-check-should-test"/>
    <w:p>
      <w:pPr>
        <w:pStyle w:val="Heading3"/>
      </w:pPr>
      <w:r>
        <w:t xml:space="preserve">19.5.2 What a health check should test</w:t>
      </w:r>
    </w:p>
    <w:p>
      <w:pPr>
        <w:pStyle w:val="FirstParagraph"/>
      </w:pPr>
      <w:r>
        <w:t xml:space="preserve">A</w:t>
      </w:r>
      <w:r>
        <w:t xml:space="preserve"> </w:t>
      </w:r>
      <w:r>
        <w:rPr>
          <w:bCs/>
          <w:b/>
        </w:rPr>
        <w:t xml:space="preserve">shallow</w:t>
      </w:r>
      <w:r>
        <w:t xml:space="preserve"> </w:t>
      </w:r>
      <w:r>
        <w:t xml:space="preserve">check (process up, port open) misses a backend whose database pool is exhausted. A</w:t>
      </w:r>
      <w:r>
        <w:t xml:space="preserve"> </w:t>
      </w:r>
      <w:r>
        <w:rPr>
          <w:bCs/>
          <w:b/>
        </w:rPr>
        <w:t xml:space="preserve">deep</w:t>
      </w:r>
      <w:r>
        <w:t xml:space="preserve"> </w:t>
      </w:r>
      <w:r>
        <w:t xml:space="preserve">check that calls every dependency fails the other way: when a</w:t>
      </w:r>
      <w:r>
        <w:t xml:space="preserve"> </w:t>
      </w:r>
      <w:r>
        <w:rPr>
          <w:iCs/>
          <w:i/>
        </w:rPr>
        <w:t xml:space="preserve">shared</w:t>
      </w:r>
      <w:r>
        <w:t xml:space="preserve"> </w:t>
      </w:r>
      <w:r>
        <w:t xml:space="preserve">dependency slows, every backend fails at once and the balancer ejects the whole pool, turning degradation into outage. The usual compromise: check the backend’s own ability to serve (threads free, caches loaded, not shutting down), report dependency trouble as metrics, and keep the panic threshold as a backstop. Kubernetes separates</w:t>
      </w:r>
      <w:r>
        <w:t xml:space="preserve"> </w:t>
      </w:r>
      <w:r>
        <w:rPr>
          <w:bCs/>
          <w:b/>
        </w:rPr>
        <w:t xml:space="preserve">liveness</w:t>
      </w:r>
      <w:r>
        <w:t xml:space="preserve"> </w:t>
      </w:r>
      <w:r>
        <w:t xml:space="preserve">(restart me) from</w:t>
      </w:r>
      <w:r>
        <w:t xml:space="preserve"> </w:t>
      </w:r>
      <w:r>
        <w:rPr>
          <w:bCs/>
          <w:b/>
        </w:rPr>
        <w:t xml:space="preserve">readiness</w:t>
      </w:r>
      <w:r>
        <w:t xml:space="preserve"> </w:t>
      </w:r>
      <w:r>
        <w:t xml:space="preserve">(send me traffic) probes (§42.7).</w:t>
      </w:r>
    </w:p>
    <w:p>
      <w:pPr>
        <w:pStyle w:val="BodyText"/>
      </w:pPr>
      <w:r>
        <w:t xml:space="preserve">Probe load is real at scale: 1,000 sidecar proxies each checking 100 backends every 5 s generate</w:t>
      </w:r>
      <w:r>
        <w:t xml:space="preserve"> </w:t>
      </w:r>
      <m:oMath>
        <m:r>
          <m:t>1</m:t>
        </m:r>
        <m:r>
          <m:rPr>
            <m:sty m:val="p"/>
          </m:rPr>
          <m:t>,</m:t>
        </m:r>
        <m:r>
          <m:t>000</m:t>
        </m:r>
        <m:r>
          <m:rPr>
            <m:sty m:val="p"/>
          </m:rPr>
          <m:t>×</m:t>
        </m:r>
        <m:r>
          <m:t>100</m:t>
        </m:r>
        <m:r>
          <m:rPr>
            <m:sty m:val="p"/>
          </m:rPr>
          <m:t>/</m:t>
        </m:r>
        <m:r>
          <m:t>5</m:t>
        </m:r>
        <m:r>
          <m:rPr>
            <m:sty m:val="p"/>
          </m:rPr>
          <m:t>=</m:t>
        </m:r>
        <m:r>
          <m:t>20</m:t>
        </m:r>
        <m:r>
          <m:rPr>
            <m:sty m:val="p"/>
          </m:rPr>
          <m:t>,</m:t>
        </m:r>
        <m:r>
          <m:t>000</m:t>
        </m:r>
      </m:oMath>
      <w:r>
        <w:t xml:space="preserve"> </w:t>
      </w:r>
      <w:r>
        <w:t xml:space="preserve">probes per second. Meshes therefore lean on passive detection and on health status pushed by the control plane.</w:t>
      </w:r>
    </w:p>
    <w:bookmarkStart w:id="2202" w:name="failure-scenarios-54"/>
    <w:p>
      <w:pPr>
        <w:pStyle w:val="Heading4"/>
      </w:pPr>
      <w:r>
        <w:t xml:space="preserve">Failure scenarios</w:t>
      </w:r>
    </w:p>
    <w:p>
      <w:pPr>
        <w:pStyle w:val="FirstParagraph"/>
      </w:pPr>
      <w:r>
        <w:rPr>
          <w:bCs/>
          <w:b/>
        </w:rPr>
        <w:t xml:space="preserve">Table 19.4 — Health-check 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Whole pool ejected</w:t>
            </w:r>
          </w:p>
        </w:tc>
        <w:tc>
          <w:tcPr/>
          <w:p>
            <w:pPr>
              <w:pStyle w:val="Compact"/>
              <w:jc w:val="left"/>
            </w:pPr>
            <w:r>
              <w:t xml:space="preserve">Deep checks fail on a shared dependency</w:t>
            </w:r>
          </w:p>
        </w:tc>
        <w:tc>
          <w:tcPr/>
          <w:p>
            <w:pPr>
              <w:pStyle w:val="Compact"/>
              <w:jc w:val="left"/>
            </w:pPr>
            <w:r>
              <w:t xml:space="preserve">Healthy-host count drops to 0</w:t>
            </w:r>
          </w:p>
        </w:tc>
        <w:tc>
          <w:tcPr/>
          <w:p>
            <w:pPr>
              <w:pStyle w:val="Compact"/>
              <w:jc w:val="left"/>
            </w:pPr>
            <w:r>
              <w:t xml:space="preserve">Panic threshold / fail open</w:t>
            </w:r>
          </w:p>
        </w:tc>
        <w:tc>
          <w:tcPr/>
          <w:p>
            <w:pPr>
              <w:pStyle w:val="Compact"/>
              <w:jc w:val="left"/>
            </w:pPr>
            <w:r>
              <w:t xml:space="preserve">Shallow readiness checks; dependency signals as metrics</w:t>
            </w:r>
          </w:p>
        </w:tc>
      </w:tr>
      <w:tr>
        <w:tc>
          <w:tcPr/>
          <w:p>
            <w:pPr>
              <w:pStyle w:val="Compact"/>
              <w:jc w:val="left"/>
            </w:pPr>
            <w:r>
              <w:t xml:space="preserve">Flapping</w:t>
            </w:r>
          </w:p>
        </w:tc>
        <w:tc>
          <w:tcPr/>
          <w:p>
            <w:pPr>
              <w:pStyle w:val="Compact"/>
              <w:jc w:val="left"/>
            </w:pPr>
            <w:r>
              <w:t xml:space="preserve">Thresholds of 1; probe timeout near p99 latency</w:t>
            </w:r>
          </w:p>
        </w:tc>
        <w:tc>
          <w:tcPr/>
          <w:p>
            <w:pPr>
              <w:pStyle w:val="Compact"/>
              <w:jc w:val="left"/>
            </w:pPr>
            <w:r>
              <w:t xml:space="preserve">Backend toggles every few seconds</w:t>
            </w:r>
          </w:p>
        </w:tc>
        <w:tc>
          <w:tcPr/>
          <w:p>
            <w:pPr>
              <w:pStyle w:val="Compact"/>
              <w:jc w:val="left"/>
            </w:pPr>
            <w:r>
              <w:t xml:space="preserve">Raise rise/fall; longer timeout</w:t>
            </w:r>
          </w:p>
        </w:tc>
        <w:tc>
          <w:tcPr/>
          <w:p>
            <w:pPr>
              <w:pStyle w:val="Compact"/>
              <w:jc w:val="left"/>
            </w:pPr>
            <w:r>
              <w:t xml:space="preserve">Hysteresis; ejection time growing with repeats</w:t>
            </w:r>
          </w:p>
        </w:tc>
      </w:tr>
      <w:tr>
        <w:tc>
          <w:tcPr/>
          <w:p>
            <w:pPr>
              <w:pStyle w:val="Compact"/>
              <w:jc w:val="left"/>
            </w:pPr>
            <w:r>
              <w:t xml:space="preserve">Healthy but broken</w:t>
            </w:r>
          </w:p>
        </w:tc>
        <w:tc>
          <w:tcPr/>
          <w:p>
            <w:pPr>
              <w:pStyle w:val="Compact"/>
              <w:jc w:val="left"/>
            </w:pPr>
            <w:r>
              <w:t xml:space="preserve">Probe path skips the failing code path</w:t>
            </w:r>
          </w:p>
        </w:tc>
        <w:tc>
          <w:tcPr/>
          <w:p>
            <w:pPr>
              <w:pStyle w:val="Compact"/>
              <w:jc w:val="left"/>
            </w:pPr>
            <w:r>
              <w:t xml:space="preserve">Errors rise while health is green</w:t>
            </w:r>
          </w:p>
        </w:tc>
        <w:tc>
          <w:tcPr/>
          <w:p>
            <w:pPr>
              <w:pStyle w:val="Compact"/>
              <w:jc w:val="left"/>
            </w:pPr>
            <w:r>
              <w:t xml:space="preserve">Passive ejection</w:t>
            </w:r>
          </w:p>
        </w:tc>
        <w:tc>
          <w:tcPr/>
          <w:p>
            <w:pPr>
              <w:pStyle w:val="Compact"/>
              <w:jc w:val="left"/>
            </w:pPr>
            <w:r>
              <w:t xml:space="preserve">Probe a representative path; outlier detection</w:t>
            </w:r>
          </w:p>
        </w:tc>
      </w:tr>
      <w:tr>
        <w:tc>
          <w:tcPr/>
          <w:p>
            <w:pPr>
              <w:pStyle w:val="Compact"/>
              <w:jc w:val="left"/>
            </w:pPr>
            <w:r>
              <w:t xml:space="preserve">Ejection cascade</w:t>
            </w:r>
          </w:p>
        </w:tc>
        <w:tc>
          <w:tcPr/>
          <w:p>
            <w:pPr>
              <w:pStyle w:val="Compact"/>
              <w:jc w:val="left"/>
            </w:pPr>
            <w:r>
              <w:t xml:space="preserve">Overload makes backends fail; ejecting them overloads the rest</w:t>
            </w:r>
          </w:p>
        </w:tc>
        <w:tc>
          <w:tcPr/>
          <w:p>
            <w:pPr>
              <w:pStyle w:val="Compact"/>
              <w:jc w:val="left"/>
            </w:pPr>
            <w:r>
              <w:t xml:space="preserve">Ejections rise with load</w:t>
            </w:r>
          </w:p>
        </w:tc>
        <w:tc>
          <w:tcPr/>
          <w:p>
            <w:pPr>
              <w:pStyle w:val="Compact"/>
              <w:jc w:val="left"/>
            </w:pPr>
            <w:r>
              <w:t xml:space="preserve">Cap ejected fraction (Envoy 10%)</w:t>
            </w:r>
          </w:p>
        </w:tc>
        <w:tc>
          <w:tcPr/>
          <w:p>
            <w:pPr>
              <w:pStyle w:val="Compact"/>
              <w:jc w:val="left"/>
            </w:pPr>
            <w:r>
              <w:t xml:space="preserve">Load shedding (§22.9) instead of ejection</w:t>
            </w:r>
          </w:p>
        </w:tc>
      </w:tr>
      <w:tr>
        <w:tc>
          <w:tcPr/>
          <w:p>
            <w:pPr>
              <w:pStyle w:val="Compact"/>
              <w:jc w:val="left"/>
            </w:pPr>
            <w:r>
              <w:t xml:space="preserve">Thundering return</w:t>
            </w:r>
          </w:p>
        </w:tc>
        <w:tc>
          <w:tcPr/>
          <w:p>
            <w:pPr>
              <w:pStyle w:val="Compact"/>
              <w:jc w:val="left"/>
            </w:pPr>
            <w:r>
              <w:t xml:space="preserve">Recovered backend receives a full share while caches are cold</w:t>
            </w:r>
          </w:p>
        </w:tc>
        <w:tc>
          <w:tcPr/>
          <w:p>
            <w:pPr>
              <w:pStyle w:val="Compact"/>
              <w:jc w:val="left"/>
            </w:pPr>
            <w:r>
              <w:t xml:space="preserve">Latency spike after recovery</w:t>
            </w:r>
          </w:p>
        </w:tc>
        <w:tc>
          <w:tcPr/>
          <w:p>
            <w:pPr>
              <w:pStyle w:val="Compact"/>
              <w:jc w:val="left"/>
            </w:pPr>
            <w:r>
              <w:t xml:space="preserve">Slow start</w:t>
            </w:r>
          </w:p>
        </w:tc>
        <w:tc>
          <w:tcPr/>
          <w:p>
            <w:pPr>
              <w:pStyle w:val="Compact"/>
              <w:jc w:val="left"/>
            </w:pPr>
            <w:r>
              <w:t xml:space="preserve">Ramp weights over 30–60 s (HAProxy</w:t>
            </w:r>
            <w:r>
              <w:t xml:space="preserve"> </w:t>
            </w:r>
            <w:r>
              <w:rPr>
                <w:rStyle w:val="VerbatimChar"/>
              </w:rPr>
              <w:t xml:space="preserve">slowstart</w:t>
            </w:r>
            <w:r>
              <w:t xml:space="preserve">, Envoy slow start)</w:t>
            </w:r>
          </w:p>
        </w:tc>
      </w:tr>
    </w:tbl>
    <w:bookmarkEnd w:id="2202"/>
    <w:bookmarkEnd w:id="2203"/>
    <w:bookmarkEnd w:id="2204"/>
    <w:bookmarkStart w:id="2208" w:name="session-affinity"/>
    <w:p>
      <w:pPr>
        <w:pStyle w:val="Heading2"/>
      </w:pPr>
      <w:r>
        <w:t xml:space="preserve">19.6 Session affinity</w:t>
      </w:r>
    </w:p>
    <w:p>
      <w:pPr>
        <w:pStyle w:val="CalloutDefinition"/>
      </w:pPr>
      <w:r>
        <w:rPr>
          <w:bCs/>
          <w:b/>
        </w:rPr>
        <w:t xml:space="preserve">DEFINITION</w:t>
      </w:r>
    </w:p>
    <w:p>
      <w:pPr>
        <w:pStyle w:val="CalloutDefinition"/>
      </w:pPr>
      <w:r>
        <w:rPr>
          <w:bCs/>
          <w:b/>
        </w:rPr>
        <w:t xml:space="preserve">Definition — Session affinity (sticky sessions).</w:t>
      </w:r>
      <w:r>
        <w:t xml:space="preserve"> </w:t>
      </w:r>
      <w:r>
        <w:t xml:space="preserve">A balancer policy that sends all requests of one client session to the same backend, identified by a cookie, the client’s IP address or a request key.</w:t>
      </w:r>
    </w:p>
    <w:p>
      <w:pPr>
        <w:pStyle w:val="BodyText"/>
      </w:pPr>
      <w:r>
        <w:t xml:space="preserve">Affinity exists because some backends keep per-user state in memory: a shopping cart, a WebSocket subscription buffer (§9.6), a local cache of the user’s data. It is the balancing equivalent of always seeing the same doctor: convenient, until she is on holiday.</w:t>
      </w:r>
    </w:p>
    <w:p>
      <w:pPr>
        <w:pStyle w:val="BodyText"/>
      </w:pPr>
      <w:r>
        <w:rPr>
          <w:bCs/>
          <w:b/>
        </w:rPr>
        <w:t xml:space="preserve">Figure 19.6 — Balancer-inserted affinity cookie.</w:t>
      </w:r>
    </w:p>
    <w:p>
      <w:pPr>
        <w:pStyle w:val="BodyText"/>
      </w:pPr>
      <w:r>
        <w:drawing>
          <wp:inline>
            <wp:extent cx="5334000" cy="2881246"/>
            <wp:effectExtent b="0" l="0" r="0" t="0"/>
            <wp:docPr descr="" title="" id="2206" name="Picture"/>
            <a:graphic>
              <a:graphicData uri="http://schemas.openxmlformats.org/drawingml/2006/picture">
                <pic:pic>
                  <pic:nvPicPr>
                    <pic:cNvPr descr="/home/user/System-Design/build/.cache/diagrams/b15282b78f83.png" id="2207" name="Picture"/>
                    <pic:cNvPicPr>
                      <a:picLocks noChangeArrowheads="1" noChangeAspect="1"/>
                    </pic:cNvPicPr>
                  </pic:nvPicPr>
                  <pic:blipFill>
                    <a:blip r:embed="rId2205"/>
                    <a:stretch>
                      <a:fillRect/>
                    </a:stretch>
                  </pic:blipFill>
                  <pic:spPr bwMode="auto">
                    <a:xfrm>
                      <a:off x="0" y="0"/>
                      <a:ext cx="5334000" cy="2881246"/>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first request has no cookie, so the balancer chooses normally and sets a cookie naming the backend (in practice an opaque or encrypted value). Later requests carry it and go to A. When A fails, the balancer must break affinity and pick B, and state held only in A’s memory, the storage boundary here, is lost. All calls are synchronous. Scaling cost: heavy sessions stay pinned, so load skews.</w:t>
      </w:r>
    </w:p>
    <w:p>
      <w:pPr>
        <w:pStyle w:val="BodyText"/>
      </w:pPr>
      <w:r>
        <w:rPr>
          <w:bCs/>
          <w:b/>
        </w:rPr>
        <w:t xml:space="preserve">Table 19.5 — Session affinity methods.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How it works</w:t>
            </w:r>
          </w:p>
        </w:tc>
        <w:tc>
          <w:tcPr/>
          <w:p>
            <w:pPr>
              <w:pStyle w:val="Compact"/>
              <w:jc w:val="left"/>
            </w:pPr>
            <w:r>
              <w:t xml:space="preserve">Advantages</w:t>
            </w:r>
          </w:p>
        </w:tc>
        <w:tc>
          <w:tcPr/>
          <w:p>
            <w:pPr>
              <w:pStyle w:val="Compact"/>
              <w:jc w:val="left"/>
            </w:pPr>
            <w:r>
              <w:t xml:space="preserve">Disadvantages</w:t>
            </w:r>
          </w:p>
        </w:tc>
        <w:tc>
          <w:tcPr/>
          <w:p>
            <w:pPr>
              <w:pStyle w:val="Compact"/>
              <w:jc w:val="left"/>
            </w:pPr>
            <w:r>
              <w:t xml:space="preserve">Choose when</w:t>
            </w:r>
          </w:p>
        </w:tc>
      </w:tr>
      <w:tr>
        <w:tc>
          <w:tcPr/>
          <w:p>
            <w:pPr>
              <w:pStyle w:val="Compact"/>
              <w:jc w:val="left"/>
            </w:pPr>
            <w:r>
              <w:t xml:space="preserve">Balancer cookie</w:t>
            </w:r>
          </w:p>
        </w:tc>
        <w:tc>
          <w:tcPr/>
          <w:p>
            <w:pPr>
              <w:pStyle w:val="Compact"/>
              <w:jc w:val="left"/>
            </w:pPr>
            <w:r>
              <w:t xml:space="preserve">Balancer sets a cookie naming the backend</w:t>
            </w:r>
          </w:p>
        </w:tc>
        <w:tc>
          <w:tcPr/>
          <w:p>
            <w:pPr>
              <w:pStyle w:val="Compact"/>
              <w:jc w:val="left"/>
            </w:pPr>
            <w:r>
              <w:t xml:space="preserve">Precise, survives client IP changes</w:t>
            </w:r>
          </w:p>
        </w:tc>
        <w:tc>
          <w:tcPr/>
          <w:p>
            <w:pPr>
              <w:pStyle w:val="Compact"/>
              <w:jc w:val="left"/>
            </w:pPr>
            <w:r>
              <w:t xml:space="preserve">HTTP only; L7 needed</w:t>
            </w:r>
          </w:p>
        </w:tc>
        <w:tc>
          <w:tcPr/>
          <w:p>
            <w:pPr>
              <w:pStyle w:val="Compact"/>
              <w:jc w:val="left"/>
            </w:pPr>
            <w:r>
              <w:t xml:space="preserve">Web apps with in-memory sessions</w:t>
            </w:r>
          </w:p>
        </w:tc>
      </w:tr>
      <w:tr>
        <w:tc>
          <w:tcPr/>
          <w:p>
            <w:pPr>
              <w:pStyle w:val="Compact"/>
              <w:jc w:val="left"/>
            </w:pPr>
            <w:r>
              <w:t xml:space="preserve">Application cookie</w:t>
            </w:r>
          </w:p>
        </w:tc>
        <w:tc>
          <w:tcPr/>
          <w:p>
            <w:pPr>
              <w:pStyle w:val="Compact"/>
              <w:jc w:val="left"/>
            </w:pPr>
            <w:r>
              <w:t xml:space="preserve">Balancer hashes an app’s session cookie</w:t>
            </w:r>
          </w:p>
        </w:tc>
        <w:tc>
          <w:tcPr/>
          <w:p>
            <w:pPr>
              <w:pStyle w:val="Compact"/>
              <w:jc w:val="left"/>
            </w:pPr>
            <w:r>
              <w:t xml:space="preserve">Uses existing session ID</w:t>
            </w:r>
          </w:p>
        </w:tc>
        <w:tc>
          <w:tcPr/>
          <w:p>
            <w:pPr>
              <w:pStyle w:val="Compact"/>
              <w:jc w:val="left"/>
            </w:pPr>
            <w:r>
              <w:t xml:space="preserve">Same as above</w:t>
            </w:r>
          </w:p>
        </w:tc>
        <w:tc>
          <w:tcPr/>
          <w:p>
            <w:pPr>
              <w:pStyle w:val="Compact"/>
              <w:jc w:val="left"/>
            </w:pPr>
            <w:r>
              <w:t xml:space="preserve">Frameworks with session IDs</w:t>
            </w:r>
          </w:p>
        </w:tc>
      </w:tr>
      <w:tr>
        <w:tc>
          <w:tcPr/>
          <w:p>
            <w:pPr>
              <w:pStyle w:val="Compact"/>
              <w:jc w:val="left"/>
            </w:pPr>
            <w:r>
              <w:t xml:space="preserve">Source-IP hash</w:t>
            </w:r>
          </w:p>
        </w:tc>
        <w:tc>
          <w:tcPr/>
          <w:p>
            <w:pPr>
              <w:pStyle w:val="Compact"/>
              <w:jc w:val="left"/>
            </w:pPr>
            <w:r>
              <w:t xml:space="preserve">Hash client IP (L4 works)</w:t>
            </w:r>
          </w:p>
        </w:tc>
        <w:tc>
          <w:tcPr/>
          <w:p>
            <w:pPr>
              <w:pStyle w:val="Compact"/>
              <w:jc w:val="left"/>
            </w:pPr>
            <w:r>
              <w:t xml:space="preserve">No cookies, any protocol</w:t>
            </w:r>
          </w:p>
        </w:tc>
        <w:tc>
          <w:tcPr/>
          <w:p>
            <w:pPr>
              <w:pStyle w:val="Compact"/>
              <w:jc w:val="left"/>
            </w:pPr>
            <w:r>
              <w:t xml:space="preserve">Carrier-grade NAT puts many users on one IP; mobile clients change IP</w:t>
            </w:r>
          </w:p>
        </w:tc>
        <w:tc>
          <w:tcPr/>
          <w:p>
            <w:pPr>
              <w:pStyle w:val="Compact"/>
              <w:jc w:val="left"/>
            </w:pPr>
            <w:r>
              <w:t xml:space="preserve">Non-HTTP protocols, coarse affinity</w:t>
            </w:r>
          </w:p>
        </w:tc>
      </w:tr>
      <w:tr>
        <w:tc>
          <w:tcPr/>
          <w:p>
            <w:pPr>
              <w:pStyle w:val="Compact"/>
              <w:jc w:val="left"/>
            </w:pPr>
            <w:r>
              <w:t xml:space="preserve">Consistent hash on key</w:t>
            </w:r>
          </w:p>
        </w:tc>
        <w:tc>
          <w:tcPr/>
          <w:p>
            <w:pPr>
              <w:pStyle w:val="Compact"/>
              <w:jc w:val="left"/>
            </w:pPr>
            <w:r>
              <w:t xml:space="preserve">Hash user ID or header (§19.4.6–19.4.8)</w:t>
            </w:r>
          </w:p>
        </w:tc>
        <w:tc>
          <w:tcPr/>
          <w:p>
            <w:pPr>
              <w:pStyle w:val="Compact"/>
              <w:jc w:val="left"/>
            </w:pPr>
            <w:r>
              <w:t xml:space="preserve">Minimal remapping on resize; works without the client’s help</w:t>
            </w:r>
          </w:p>
        </w:tc>
        <w:tc>
          <w:tcPr/>
          <w:p>
            <w:pPr>
              <w:pStyle w:val="Compact"/>
              <w:jc w:val="left"/>
            </w:pPr>
            <w:r>
              <w:t xml:space="preserve">Hot keys; needs a key</w:t>
            </w:r>
          </w:p>
        </w:tc>
        <w:tc>
          <w:tcPr/>
          <w:p>
            <w:pPr>
              <w:pStyle w:val="Compact"/>
              <w:jc w:val="left"/>
            </w:pPr>
            <w:r>
              <w:t xml:space="preserve">Caches, sharded in-memory state</w:t>
            </w:r>
          </w:p>
        </w:tc>
      </w:tr>
    </w:tbl>
    <w:p>
      <w:pPr>
        <w:pStyle w:val="CalloutRecommendation"/>
      </w:pPr>
      <w:r>
        <w:rPr>
          <w:bCs/>
          <w:b/>
        </w:rPr>
        <w:t xml:space="preserve">RECOMMENDATION</w:t>
      </w:r>
    </w:p>
    <w:p>
      <w:pPr>
        <w:pStyle w:val="CalloutRecommendation"/>
      </w:pPr>
      <w:r>
        <w:rPr>
          <w:bCs/>
          <w:b/>
        </w:rPr>
        <w:t xml:space="preserve">Prefer statelessness to stickiness.</w:t>
      </w:r>
      <w:r>
        <w:t xml:space="preserve"> </w:t>
      </w:r>
      <w:r>
        <w:t xml:space="preserve">Keep session state in a shared store (Redis, a database) or in a signed token (§8.13), and make every backend able to serve every request (§18.5). Then affinity becomes an</w:t>
      </w:r>
      <w:r>
        <w:t xml:space="preserve"> </w:t>
      </w:r>
      <w:r>
        <w:rPr>
          <w:iCs/>
          <w:i/>
        </w:rPr>
        <w:t xml:space="preserve">optimization</w:t>
      </w:r>
      <w:r>
        <w:t xml:space="preserve"> </w:t>
      </w:r>
      <w:r>
        <w:t xml:space="preserve">for cache locality, not a</w:t>
      </w:r>
      <w:r>
        <w:t xml:space="preserve"> </w:t>
      </w:r>
      <w:r>
        <w:rPr>
          <w:iCs/>
          <w:i/>
        </w:rPr>
        <w:t xml:space="preserve">correctness</w:t>
      </w:r>
      <w:r>
        <w:t xml:space="preserve"> </w:t>
      </w:r>
      <w:r>
        <w:t xml:space="preserve">requirement, and deploys, autoscaling and failures stop logging users out.</w:t>
      </w:r>
    </w:p>
    <w:bookmarkEnd w:id="2208"/>
    <w:bookmarkStart w:id="2212" w:name="Xe8faa16f654d662816e2eddf8cf79ae25013bc7"/>
    <w:p>
      <w:pPr>
        <w:pStyle w:val="Heading2"/>
      </w:pPr>
      <w:r>
        <w:t xml:space="preserve">19.7 Active–passive and active–active balancer pairs</w:t>
      </w:r>
    </w:p>
    <w:p>
      <w:pPr>
        <w:pStyle w:val="FirstParagraph"/>
      </w:pPr>
      <w:r>
        <w:t xml:space="preserve">A balancer is a single point of failure until it has a partner.</w:t>
      </w:r>
    </w:p>
    <w:p>
      <w:pPr>
        <w:pStyle w:val="CalloutDefinition"/>
      </w:pPr>
      <w:r>
        <w:rPr>
          <w:bCs/>
          <w:b/>
        </w:rPr>
        <w:t xml:space="preserve">DEFINITION</w:t>
      </w:r>
    </w:p>
    <w:p>
      <w:pPr>
        <w:pStyle w:val="CalloutDefinition"/>
      </w:pPr>
      <w:r>
        <w:rPr>
          <w:bCs/>
          <w:b/>
        </w:rPr>
        <w:t xml:space="preserve">Definition — Active–passive and active–active.</w:t>
      </w:r>
      <w:r>
        <w:t xml:space="preserve"> </w:t>
      </w:r>
      <w:r>
        <w:t xml:space="preserve">In an</w:t>
      </w:r>
      <w:r>
        <w:t xml:space="preserve"> </w:t>
      </w:r>
      <w:r>
        <w:rPr>
          <w:bCs/>
          <w:b/>
        </w:rPr>
        <w:t xml:space="preserve">active–passive</w:t>
      </w:r>
      <w:r>
        <w:t xml:space="preserve"> </w:t>
      </w:r>
      <w:r>
        <w:t xml:space="preserve">pair, one balancer carries all traffic while a standby monitors it and takes over the VIP on failure. In</w:t>
      </w:r>
      <w:r>
        <w:t xml:space="preserve"> </w:t>
      </w:r>
      <w:r>
        <w:rPr>
          <w:bCs/>
          <w:b/>
        </w:rPr>
        <w:t xml:space="preserve">active–active</w:t>
      </w:r>
      <w:r>
        <w:t xml:space="preserve">, all balancers carry traffic at once (spread by DNS, ECMP or anycast), and survivors absorb a failed member’s share.</w:t>
      </w:r>
    </w:p>
    <w:p>
      <w:pPr>
        <w:pStyle w:val="BodyText"/>
      </w:pPr>
      <w:r>
        <w:rPr>
          <w:bCs/>
          <w:b/>
        </w:rPr>
        <w:t xml:space="preserve">Figure 19.7 — Active–passive versus active–active balancer tiers.</w:t>
      </w:r>
    </w:p>
    <w:p>
      <w:pPr>
        <w:pStyle w:val="BodyText"/>
      </w:pPr>
      <w:r>
        <w:drawing>
          <wp:inline>
            <wp:extent cx="5334000" cy="12658530"/>
            <wp:effectExtent b="0" l="0" r="0" t="0"/>
            <wp:docPr descr="" title="" id="2210" name="Picture"/>
            <a:graphic>
              <a:graphicData uri="http://schemas.openxmlformats.org/drawingml/2006/picture">
                <pic:pic>
                  <pic:nvPicPr>
                    <pic:cNvPr descr="/home/user/System-Design/build/.cache/diagrams/e91b435831b6.png" id="2211" name="Picture"/>
                    <pic:cNvPicPr>
                      <a:picLocks noChangeArrowheads="1" noChangeAspect="1"/>
                    </pic:cNvPicPr>
                  </pic:nvPicPr>
                  <pic:blipFill>
                    <a:blip r:embed="rId2209"/>
                    <a:stretch>
                      <a:fillRect/>
                    </a:stretch>
                  </pic:blipFill>
                  <pic:spPr bwMode="auto">
                    <a:xfrm>
                      <a:off x="0" y="0"/>
                      <a:ext cx="5334000" cy="12658530"/>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Left: the active balancer carries all VIP traffic; the standby receives only heartbeat advertisements (dotted, asynchronous) and claims the VIP when they stop. Right: a router spreads flows across three active balancers and rehashes a failed member’s flows to the others. Neither tier stores data beyond connection tables. Failure points: failover time and split brain on the left; flows moving between balancers on the right (§19.8.3). Scaling: active–passive grows only vertically; active–active by adding members.</w:t>
      </w:r>
    </w:p>
    <w:p>
      <w:pPr>
        <w:pStyle w:val="CalloutFormula"/>
      </w:pPr>
      <w:r>
        <w:rPr>
          <w:bCs/>
          <w:b/>
        </w:rPr>
        <w:t xml:space="preserve">FORMULA</w:t>
      </w:r>
    </w:p>
    <w:p>
      <w:pPr>
        <w:pStyle w:val="CalloutFormula"/>
      </w:pPr>
      <w:r>
        <w:rPr>
          <w:bCs/>
          <w:b/>
        </w:rPr>
        <w:t xml:space="preserve">Safe utilization for active–active with</w:t>
      </w:r>
      <w:r>
        <w:rPr>
          <w:bCs/>
          <w:b/>
        </w:rPr>
        <w:t xml:space="preserve"> </w:t>
      </w:r>
      <m:oMath>
        <m:r>
          <m:t>k</m:t>
        </m:r>
      </m:oMath>
      <w:r>
        <w:rPr>
          <w:bCs/>
          <w:b/>
        </w:rPr>
        <w:t xml:space="preserve"> </w:t>
      </w:r>
      <w:r>
        <w:rPr>
          <w:bCs/>
          <w:b/>
        </w:rPr>
        <w:t xml:space="preserve">tolerated failures</w:t>
      </w:r>
    </w:p>
    <w:p>
      <w:pPr>
        <w:pStyle w:val="CalloutFormula"/>
      </w:pPr>
      <m:oMathPara>
        <m:oMathParaPr>
          <m:jc m:val="center"/>
        </m:oMathParaPr>
        <m:oMath>
          <m:sSub>
            <m:e>
              <m:r>
                <m:t>U</m:t>
              </m:r>
            </m:e>
            <m:sub>
              <m:r>
                <m:rPr>
                  <m:sty m:val="p"/>
                </m:rPr>
                <m:t>max</m:t>
              </m:r>
            </m:sub>
          </m:sSub>
          <m:r>
            <m:rPr>
              <m:sty m:val="p"/>
            </m:rPr>
            <m:t>=</m:t>
          </m:r>
          <m:f>
            <m:fPr>
              <m:type m:val="bar"/>
            </m:fPr>
            <m:num>
              <m:r>
                <m:t>N</m:t>
              </m:r>
              <m:r>
                <m:rPr>
                  <m:sty m:val="p"/>
                </m:rPr>
                <m:t>−</m:t>
              </m:r>
              <m:r>
                <m:t>k</m:t>
              </m:r>
            </m:num>
            <m:den>
              <m:r>
                <m:t>N</m:t>
              </m:r>
            </m:den>
          </m:f>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U</m:t>
                  </m:r>
                </m:e>
                <m:sub>
                  <m:r>
                    <m:rPr>
                      <m:sty m:val="p"/>
                    </m:rPr>
                    <m:t>max</m:t>
                  </m:r>
                </m:sub>
              </m:sSub>
            </m:oMath>
          </w:p>
        </w:tc>
        <w:tc>
          <w:tcPr/>
          <w:p>
            <w:pPr>
              <w:pStyle w:val="Compact"/>
              <w:jc w:val="left"/>
            </w:pPr>
            <w:r>
              <w:t xml:space="preserve">Highest normal utilization per balancer that still fits all traffic after</w:t>
            </w:r>
            <w:r>
              <w:t xml:space="preserve"> </w:t>
            </w:r>
            <m:oMath>
              <m:r>
                <m:t>k</m:t>
              </m:r>
            </m:oMath>
            <w:r>
              <w:t xml:space="preserve"> </w:t>
            </w:r>
            <w:r>
              <w:t xml:space="preserve">failures</w:t>
            </w:r>
          </w:p>
        </w:tc>
        <w:tc>
          <w:tcPr/>
          <w:p>
            <w:pPr>
              <w:pStyle w:val="Compact"/>
              <w:jc w:val="left"/>
            </w:pPr>
            <w:r>
              <w:t xml:space="preserve">dimensionless</w:t>
            </w:r>
          </w:p>
        </w:tc>
      </w:tr>
      <w:tr>
        <w:tc>
          <w:tcPr/>
          <w:p>
            <w:pPr>
              <w:pStyle w:val="Compact"/>
              <w:jc w:val="left"/>
            </w:pPr>
            <m:oMath>
              <m:r>
                <m:t>N</m:t>
              </m:r>
            </m:oMath>
          </w:p>
        </w:tc>
        <w:tc>
          <w:tcPr/>
          <w:p>
            <w:pPr>
              <w:pStyle w:val="Compact"/>
              <w:jc w:val="left"/>
            </w:pPr>
            <w:r>
              <w:t xml:space="preserve">Balancers in the active–active group</w:t>
            </w:r>
          </w:p>
        </w:tc>
        <w:tc>
          <w:tcPr/>
          <w:p>
            <w:pPr>
              <w:pStyle w:val="Compact"/>
              <w:jc w:val="left"/>
            </w:pPr>
            <w:r>
              <w:t xml:space="preserve">count</w:t>
            </w:r>
          </w:p>
        </w:tc>
      </w:tr>
      <w:tr>
        <w:tc>
          <w:tcPr/>
          <w:p>
            <w:pPr>
              <w:pStyle w:val="Compact"/>
              <w:jc w:val="left"/>
            </w:pPr>
            <m:oMath>
              <m:r>
                <m:t>k</m:t>
              </m:r>
            </m:oMath>
          </w:p>
        </w:tc>
        <w:tc>
          <w:tcPr/>
          <w:p>
            <w:pPr>
              <w:pStyle w:val="Compact"/>
              <w:jc w:val="left"/>
            </w:pPr>
            <w:r>
              <w:t xml:space="preserve">Simultaneous failures to tolerate</w:t>
            </w:r>
          </w:p>
        </w:tc>
        <w:tc>
          <w:tcPr/>
          <w:p>
            <w:pPr>
              <w:pStyle w:val="Compact"/>
              <w:jc w:val="left"/>
            </w:pPr>
            <w:r>
              <w:t xml:space="preserve">count</w:t>
            </w:r>
          </w:p>
        </w:tc>
      </w:tr>
    </w:tbl>
    <w:p>
      <w:pPr>
        <w:pStyle w:val="CalloutExample"/>
      </w:pPr>
      <w:r>
        <w:rPr>
          <w:bCs/>
          <w:b/>
        </w:rPr>
        <w:t xml:space="preserve">WORKED EXAMPLE</w:t>
      </w:r>
    </w:p>
    <w:p>
      <w:pPr>
        <w:pStyle w:val="CalloutExample"/>
      </w:pPr>
      <w:r>
        <w:rPr>
          <w:bCs/>
          <w:b/>
        </w:rPr>
        <w:t xml:space="preserve">Worked example — how many balancers?</w:t>
      </w:r>
      <w:r>
        <w:t xml:space="preserve"> </w:t>
      </w:r>
      <w:r>
        <w:t xml:space="preserve">Peak traffic needs 30 Gbit/s; each balancer handles 10 Gbit/s; tolerate one failure (</w:t>
      </w:r>
      <m:oMath>
        <m:r>
          <m:t>k</m:t>
        </m:r>
        <m:r>
          <m:rPr>
            <m:sty m:val="p"/>
          </m:rPr>
          <m:t>=</m:t>
        </m:r>
        <m:r>
          <m:t>1</m:t>
        </m:r>
      </m:oMath>
      <w:r>
        <w:t xml:space="preserve">).</w:t>
      </w:r>
    </w:p>
    <w:p>
      <w:pPr>
        <w:numPr>
          <w:ilvl w:val="0"/>
          <w:numId w:val="1644"/>
        </w:numPr>
        <w:pStyle w:val="Compact"/>
      </w:pPr>
      <m:oMath>
        <m:r>
          <m:t>N</m:t>
        </m:r>
        <m:r>
          <m:rPr>
            <m:sty m:val="p"/>
          </m:rPr>
          <m:t>=</m:t>
        </m:r>
        <m:r>
          <m:t>4</m:t>
        </m:r>
      </m:oMath>
      <w:r>
        <w:t xml:space="preserve">:</w:t>
      </w:r>
      <w:r>
        <w:t xml:space="preserve"> </w:t>
      </w:r>
      <m:oMath>
        <m:sSub>
          <m:e>
            <m:r>
              <m:t>U</m:t>
            </m:r>
          </m:e>
          <m:sub>
            <m:r>
              <m:rPr>
                <m:sty m:val="p"/>
              </m:rPr>
              <m:t>max</m:t>
            </m:r>
          </m:sub>
        </m:sSub>
        <m:r>
          <m:rPr>
            <m:sty m:val="p"/>
          </m:rPr>
          <m:t>=</m:t>
        </m:r>
        <m:r>
          <m:t>3</m:t>
        </m:r>
        <m:r>
          <m:rPr>
            <m:sty m:val="p"/>
          </m:rPr>
          <m:t>/</m:t>
        </m:r>
        <m:r>
          <m:t>4</m:t>
        </m:r>
        <m:r>
          <m:rPr>
            <m:sty m:val="p"/>
          </m:rPr>
          <m:t>=</m:t>
        </m:r>
        <m:r>
          <m:t>75</m:t>
        </m:r>
        <m:r>
          <m:rPr>
            <m:sty m:val="p"/>
          </m:rPr>
          <m:t>%</m:t>
        </m:r>
      </m:oMath>
      <w:r>
        <w:t xml:space="preserve">; normal load per balancer</w:t>
      </w:r>
      <w:r>
        <w:t xml:space="preserve"> </w:t>
      </w:r>
      <m:oMath>
        <m:r>
          <m:t>30</m:t>
        </m:r>
        <m:r>
          <m:rPr>
            <m:sty m:val="p"/>
          </m:rPr>
          <m:t>/</m:t>
        </m:r>
        <m:r>
          <m:t>4</m:t>
        </m:r>
        <m:r>
          <m:rPr>
            <m:sty m:val="p"/>
          </m:rPr>
          <m:t>=</m:t>
        </m:r>
        <m:r>
          <m:t>7.5</m:t>
        </m:r>
      </m:oMath>
      <w:r>
        <w:t xml:space="preserve"> </w:t>
      </w:r>
      <w:r>
        <w:t xml:space="preserve">Gbit/s</w:t>
      </w:r>
      <w:r>
        <w:t xml:space="preserve"> </w:t>
      </w:r>
      <m:oMath>
        <m:r>
          <m:rPr>
            <m:sty m:val="p"/>
          </m:rPr>
          <m:t>=</m:t>
        </m:r>
        <m:r>
          <m:t>75</m:t>
        </m:r>
        <m:r>
          <m:rPr>
            <m:sty m:val="p"/>
          </m:rPr>
          <m:t>%</m:t>
        </m:r>
      </m:oMath>
      <w:r>
        <w:t xml:space="preserve">. Exactly at the limit.</w:t>
      </w:r>
    </w:p>
    <w:p>
      <w:pPr>
        <w:numPr>
          <w:ilvl w:val="0"/>
          <w:numId w:val="1644"/>
        </w:numPr>
        <w:pStyle w:val="Compact"/>
      </w:pPr>
      <m:oMath>
        <m:r>
          <m:t>N</m:t>
        </m:r>
        <m:r>
          <m:rPr>
            <m:sty m:val="p"/>
          </m:rPr>
          <m:t>=</m:t>
        </m:r>
        <m:r>
          <m:t>5</m:t>
        </m:r>
      </m:oMath>
      <w:r>
        <w:t xml:space="preserve">:</w:t>
      </w:r>
      <w:r>
        <w:t xml:space="preserve"> </w:t>
      </w:r>
      <m:oMath>
        <m:sSub>
          <m:e>
            <m:r>
              <m:t>U</m:t>
            </m:r>
          </m:e>
          <m:sub>
            <m:r>
              <m:rPr>
                <m:sty m:val="p"/>
              </m:rPr>
              <m:t>max</m:t>
            </m:r>
          </m:sub>
        </m:sSub>
        <m:r>
          <m:rPr>
            <m:sty m:val="p"/>
          </m:rPr>
          <m:t>=</m:t>
        </m:r>
        <m:r>
          <m:t>80</m:t>
        </m:r>
        <m:r>
          <m:rPr>
            <m:sty m:val="p"/>
          </m:rPr>
          <m:t>%</m:t>
        </m:r>
      </m:oMath>
      <w:r>
        <w:t xml:space="preserve">; normal load</w:t>
      </w:r>
      <w:r>
        <w:t xml:space="preserve"> </w:t>
      </w:r>
      <m:oMath>
        <m:r>
          <m:t>6</m:t>
        </m:r>
      </m:oMath>
      <w:r>
        <w:t xml:space="preserve"> </w:t>
      </w:r>
      <w:r>
        <w:t xml:space="preserve">Gbit/s</w:t>
      </w:r>
      <w:r>
        <w:t xml:space="preserve"> </w:t>
      </w:r>
      <m:oMath>
        <m:r>
          <m:rPr>
            <m:sty m:val="p"/>
          </m:rPr>
          <m:t>=</m:t>
        </m:r>
        <m:r>
          <m:t>60</m:t>
        </m:r>
        <m:r>
          <m:rPr>
            <m:sty m:val="p"/>
          </m:rPr>
          <m:t>%</m:t>
        </m:r>
      </m:oMath>
      <w:r>
        <w:t xml:space="preserve">, leaving margin.</w:t>
      </w:r>
    </w:p>
    <w:p>
      <w:pPr>
        <w:numPr>
          <w:ilvl w:val="0"/>
          <w:numId w:val="1644"/>
        </w:numPr>
        <w:pStyle w:val="Compact"/>
      </w:pPr>
      <w:r>
        <w:t xml:space="preserve">An active–passive pair would need two 30 Gbit/s balancers, with</w:t>
      </w:r>
      <w:r>
        <w:t xml:space="preserve"> </w:t>
      </w:r>
      <m:oMath>
        <m:sSub>
          <m:e>
            <m:r>
              <m:t>U</m:t>
            </m:r>
          </m:e>
          <m:sub>
            <m:r>
              <m:rPr>
                <m:sty m:val="p"/>
              </m:rPr>
              <m:t>max</m:t>
            </m:r>
          </m:sub>
        </m:sSub>
        <m:r>
          <m:rPr>
            <m:sty m:val="p"/>
          </m:rPr>
          <m:t>=</m:t>
        </m:r>
        <m:r>
          <m:t>50</m:t>
        </m:r>
        <m:r>
          <m:rPr>
            <m:sty m:val="p"/>
          </m:rPr>
          <m:t>%</m:t>
        </m:r>
      </m:oMath>
      <w:r>
        <w:t xml:space="preserve"> </w:t>
      </w:r>
      <w:r>
        <w:t xml:space="preserve">of the installed hardware.</w:t>
      </w:r>
    </w:p>
    <w:p>
      <w:pPr>
        <w:pStyle w:val="CalloutExample"/>
      </w:pPr>
      <w:r>
        <w:rPr>
          <w:iCs/>
          <w:i/>
        </w:rPr>
        <w:t xml:space="preserve">Interpretation.</w:t>
      </w:r>
      <w:r>
        <w:t xml:space="preserve"> </w:t>
      </w:r>
      <w:r>
        <w:t xml:space="preserve">Active–passive wastes half of the hardware but is simple; active–active wastes</w:t>
      </w:r>
      <w:r>
        <w:t xml:space="preserve"> </w:t>
      </w:r>
      <m:oMath>
        <m:r>
          <m:t>k</m:t>
        </m:r>
        <m:r>
          <m:rPr>
            <m:sty m:val="p"/>
          </m:rPr>
          <m:t>/</m:t>
        </m:r>
        <m:r>
          <m:t>N</m:t>
        </m:r>
      </m:oMath>
      <w:r>
        <w:t xml:space="preserve">, which shrinks as</w:t>
      </w:r>
      <w:r>
        <w:t xml:space="preserve"> </w:t>
      </w:r>
      <m:oMath>
        <m:r>
          <m:t>N</m:t>
        </m:r>
      </m:oMath>
      <w:r>
        <w:t xml:space="preserve"> </w:t>
      </w:r>
      <w:r>
        <w:t xml:space="preserve">grows.</w:t>
      </w:r>
      <w:r>
        <w:t xml:space="preserve"> </w:t>
      </w:r>
      <w:r>
        <w:rPr>
          <w:iCs/>
          <w:i/>
        </w:rPr>
        <w:t xml:space="preserve">Engineering implication.</w:t>
      </w:r>
      <w:r>
        <w:t xml:space="preserve"> </w:t>
      </w:r>
      <w:r>
        <w:t xml:space="preserve">Use active–passive for small sites and appliances, active–active behind ECMP or anycast once traffic exceeds one balancer. Either way,</w:t>
      </w:r>
      <w:r>
        <w:t xml:space="preserve"> </w:t>
      </w:r>
      <w:r>
        <w:rPr>
          <w:bCs/>
          <w:b/>
        </w:rPr>
        <w:t xml:space="preserve">test</w:t>
      </w:r>
      <w:r>
        <w:t xml:space="preserve"> </w:t>
      </w:r>
      <w:r>
        <w:t xml:space="preserve">failover: a standby that has never taken traffic is a hope, not a plan.</w:t>
      </w:r>
    </w:p>
    <w:bookmarkEnd w:id="2212"/>
    <w:bookmarkStart w:id="2223" w:name="balancer-failure-and-redundancy"/>
    <w:p>
      <w:pPr>
        <w:pStyle w:val="Heading2"/>
      </w:pPr>
      <w:r>
        <w:t xml:space="preserve">19.8 Balancer failure and redundancy</w:t>
      </w:r>
    </w:p>
    <w:bookmarkStart w:id="2216" w:name="vrrp-and-keepalived"/>
    <w:p>
      <w:pPr>
        <w:pStyle w:val="Heading3"/>
      </w:pPr>
      <w:r>
        <w:t xml:space="preserve">19.8.1 VRRP and keepalived</w:t>
      </w:r>
    </w:p>
    <w:p>
      <w:pPr>
        <w:pStyle w:val="FirstParagraph"/>
      </w:pPr>
      <w:r>
        <w:t xml:space="preserve">The</w:t>
      </w:r>
      <w:r>
        <w:t xml:space="preserve"> </w:t>
      </w:r>
      <w:r>
        <w:rPr>
          <w:bCs/>
          <w:b/>
        </w:rPr>
        <w:t xml:space="preserve">Virtual Router Redundancy Protocol (VRRP)</w:t>
      </w:r>
      <w:r>
        <w:t xml:space="preserve"> </w:t>
      </w:r>
      <w:r>
        <w:t xml:space="preserve">lets several machines on one LAN share a virtual IP: the highest-priority machine is the active owner (the RFC’s</w:t>
      </w:r>
      <w:r>
        <w:t xml:space="preserve"> </w:t>
      </w:r>
      <w:r>
        <w:t xml:space="preserve">“</w:t>
      </w:r>
      <w:r>
        <w:t xml:space="preserve">Master</w:t>
      </w:r>
      <w:r>
        <w:t xml:space="preserve">”</w:t>
      </w:r>
      <w:r>
        <w:t xml:space="preserve"> </w:t>
      </w:r>
      <w:r>
        <w:t xml:space="preserve">state) and multicasts advertisements every</w:t>
      </w:r>
      <w:r>
        <w:t xml:space="preserve"> </w:t>
      </w:r>
      <w:r>
        <w:rPr>
          <w:rStyle w:val="VerbatimChar"/>
        </w:rPr>
        <w:t xml:space="preserve">Advertisement_Interval</w:t>
      </w:r>
      <w:r>
        <w:t xml:space="preserve">; backups take over when advertisements stop and announce the VIP’s new location with gratuitous ARP [RFC 5798].</w:t>
      </w:r>
      <w:r>
        <w:t xml:space="preserve"> </w:t>
      </w:r>
      <w:r>
        <w:rPr>
          <w:bCs/>
          <w:b/>
        </w:rPr>
        <w:t xml:space="preserve">keepalived</w:t>
      </w:r>
      <w:r>
        <w:t xml:space="preserve"> </w:t>
      </w:r>
      <w:r>
        <w:t xml:space="preserve">implements VRRP on Linux and is the usual way to make an HAProxy or NGINX pair highly available.</w:t>
      </w:r>
    </w:p>
    <w:p>
      <w:pPr>
        <w:pStyle w:val="BodyText"/>
      </w:pPr>
      <w:r>
        <w:rPr>
          <w:bCs/>
          <w:b/>
        </w:rPr>
        <w:t xml:space="preserve">Figure 19.8 — VRRP failover between two balancers.</w:t>
      </w:r>
    </w:p>
    <w:p>
      <w:pPr>
        <w:pStyle w:val="BodyText"/>
      </w:pPr>
      <w:r>
        <w:drawing>
          <wp:inline>
            <wp:extent cx="5334000" cy="2742659"/>
            <wp:effectExtent b="0" l="0" r="0" t="0"/>
            <wp:docPr descr="" title="" id="2214" name="Picture"/>
            <a:graphic>
              <a:graphicData uri="http://schemas.openxmlformats.org/drawingml/2006/picture">
                <pic:pic>
                  <pic:nvPicPr>
                    <pic:cNvPr descr="/home/user/System-Design/build/.cache/diagrams/ddb83e15d068.png" id="2215" name="Picture"/>
                    <pic:cNvPicPr>
                      <a:picLocks noChangeArrowheads="1" noChangeAspect="1"/>
                    </pic:cNvPicPr>
                  </pic:nvPicPr>
                  <pic:blipFill>
                    <a:blip r:embed="rId2213"/>
                    <a:stretch>
                      <a:fillRect/>
                    </a:stretch>
                  </pic:blipFill>
                  <pic:spPr bwMode="auto">
                    <a:xfrm>
                      <a:off x="0" y="0"/>
                      <a:ext cx="5334000" cy="2742659"/>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LB1 owns the VIP and advertises periodically (asynchronous multicast). When LB1 dies, LB2 waits out the master-down interval, then sends a gratuitous ARP so the switch and neighbors map the VIP to its MAC address, and begins advertising itself. Connections in flight through LB1 are lost unless connection state was synchronized (keepalived can pair with</w:t>
      </w:r>
      <w:r>
        <w:t xml:space="preserve"> </w:t>
      </w:r>
      <w:r>
        <w:rPr>
          <w:rStyle w:val="VerbatimChar"/>
        </w:rPr>
        <w:t xml:space="preserve">conntrackd</w:t>
      </w:r>
      <w:r>
        <w:t xml:space="preserve">). Failure points: if advertisements are blocked while both machines are alive (a firewall rule, a partitioned link), both claim the VIP, which is</w:t>
      </w:r>
      <w:r>
        <w:t xml:space="preserve"> </w:t>
      </w:r>
      <w:r>
        <w:rPr>
          <w:bCs/>
          <w:b/>
        </w:rPr>
        <w:t xml:space="preserve">split brain</w:t>
      </w:r>
      <w:r>
        <w:t xml:space="preserve"> </w:t>
      </w:r>
      <w:r>
        <w:t xml:space="preserve">(§26.12). Many clouds do not support multicast or gratuitous ARP; there, use the provider’s managed balancer or a floating-IP API.</w:t>
      </w:r>
    </w:p>
    <w:p>
      <w:pPr>
        <w:pStyle w:val="CalloutFormula"/>
      </w:pPr>
      <w:r>
        <w:rPr>
          <w:bCs/>
          <w:b/>
        </w:rPr>
        <w:t xml:space="preserve">FORMULA</w:t>
      </w:r>
    </w:p>
    <w:p>
      <w:pPr>
        <w:pStyle w:val="CalloutFormula"/>
      </w:pPr>
      <w:r>
        <w:rPr>
          <w:bCs/>
          <w:b/>
        </w:rPr>
        <w:t xml:space="preserve">VRRP failover time</w:t>
      </w:r>
      <w:r>
        <w:t xml:space="preserve"> </w:t>
      </w:r>
      <w:r>
        <w:t xml:space="preserve">[RFC 5798, §6.1]</w:t>
      </w:r>
    </w:p>
    <w:p>
      <w:pPr>
        <w:pStyle w:val="CalloutFormula"/>
      </w:pPr>
      <m:oMathPara>
        <m:oMathParaPr>
          <m:jc m:val="center"/>
        </m:oMathParaPr>
        <m:oMath>
          <m:sSub>
            <m:e>
              <m:r>
                <m:t>T</m:t>
              </m:r>
            </m:e>
            <m:sub>
              <m:r>
                <m:rPr>
                  <m:nor/>
                  <m:sty m:val="p"/>
                </m:rPr>
                <m:t>skew</m:t>
              </m:r>
            </m:sub>
          </m:sSub>
          <m:r>
            <m:rPr>
              <m:sty m:val="p"/>
            </m:rPr>
            <m:t>=</m:t>
          </m:r>
          <m:f>
            <m:fPr>
              <m:type m:val="bar"/>
            </m:fPr>
            <m:num>
              <m:d>
                <m:dPr>
                  <m:begChr m:val="("/>
                  <m:endChr m:val=")"/>
                  <m:sepChr m:val=""/>
                  <m:grow/>
                </m:dPr>
                <m:e>
                  <m:r>
                    <m:t>256</m:t>
                  </m:r>
                  <m:r>
                    <m:rPr>
                      <m:sty m:val="p"/>
                    </m:rPr>
                    <m:t>−</m:t>
                  </m:r>
                  <m:r>
                    <m:t>P</m:t>
                  </m:r>
                </m:e>
              </m:d>
              <m:r>
                <m:t> </m:t>
              </m:r>
              <m:r>
                <m:t>A</m:t>
              </m:r>
            </m:num>
            <m:den>
              <m:r>
                <m:t>256</m:t>
              </m:r>
            </m:den>
          </m:f>
          <m:r>
            <m:rPr>
              <m:sty m:val="p"/>
            </m:rPr>
            <m:t>,</m:t>
          </m:r>
          <m:r>
            <m:t>  </m:t>
          </m:r>
          <m:sSub>
            <m:e>
              <m:r>
                <m:t>T</m:t>
              </m:r>
            </m:e>
            <m:sub>
              <m:r>
                <m:rPr>
                  <m:nor/>
                  <m:sty m:val="p"/>
                </m:rPr>
                <m:t>down</m:t>
              </m:r>
            </m:sub>
          </m:sSub>
          <m:r>
            <m:rPr>
              <m:sty m:val="p"/>
            </m:rPr>
            <m:t>=</m:t>
          </m:r>
          <m:r>
            <m:t>3</m:t>
          </m:r>
          <m:r>
            <m:t>A</m:t>
          </m:r>
          <m:r>
            <m:rPr>
              <m:sty m:val="p"/>
            </m:rPr>
            <m:t>+</m:t>
          </m:r>
          <m:sSub>
            <m:e>
              <m:r>
                <m:t>T</m:t>
              </m:r>
            </m:e>
            <m:sub>
              <m:r>
                <m:rPr>
                  <m:nor/>
                  <m:sty m:val="p"/>
                </m:rPr>
                <m:t>skew</m:t>
              </m:r>
            </m:sub>
          </m:sSub>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A</m:t>
              </m:r>
            </m:oMath>
          </w:p>
        </w:tc>
        <w:tc>
          <w:tcPr/>
          <w:p>
            <w:pPr>
              <w:pStyle w:val="Compact"/>
              <w:jc w:val="left"/>
            </w:pPr>
            <w:r>
              <w:t xml:space="preserve">Advertisement interval (VRRPv3 allows centisecond values)</w:t>
            </w:r>
          </w:p>
        </w:tc>
        <w:tc>
          <w:tcPr/>
          <w:p>
            <w:pPr>
              <w:pStyle w:val="Compact"/>
              <w:jc w:val="left"/>
            </w:pPr>
            <w:r>
              <w:t xml:space="preserve">seconds</w:t>
            </w:r>
          </w:p>
        </w:tc>
      </w:tr>
      <w:tr>
        <w:tc>
          <w:tcPr/>
          <w:p>
            <w:pPr>
              <w:pStyle w:val="Compact"/>
              <w:jc w:val="left"/>
            </w:pPr>
            <m:oMath>
              <m:r>
                <m:t>P</m:t>
              </m:r>
            </m:oMath>
          </w:p>
        </w:tc>
        <w:tc>
          <w:tcPr/>
          <w:p>
            <w:pPr>
              <w:pStyle w:val="Compact"/>
              <w:jc w:val="left"/>
            </w:pPr>
            <w:r>
              <w:t xml:space="preserve">Backup router’s priority, 1–254</w:t>
            </w:r>
          </w:p>
        </w:tc>
        <w:tc>
          <w:tcPr/>
          <w:p>
            <w:pPr>
              <w:pStyle w:val="Compact"/>
              <w:jc w:val="left"/>
            </w:pPr>
            <w:r>
              <w:t xml:space="preserve">dimensionless</w:t>
            </w:r>
          </w:p>
        </w:tc>
      </w:tr>
      <w:tr>
        <w:tc>
          <w:tcPr/>
          <w:p>
            <w:pPr>
              <w:pStyle w:val="Compact"/>
              <w:jc w:val="left"/>
            </w:pPr>
            <m:oMath>
              <m:sSub>
                <m:e>
                  <m:r>
                    <m:t>T</m:t>
                  </m:r>
                </m:e>
                <m:sub>
                  <m:r>
                    <m:rPr>
                      <m:nor/>
                      <m:sty m:val="p"/>
                    </m:rPr>
                    <m:t>skew</m:t>
                  </m:r>
                </m:sub>
              </m:sSub>
            </m:oMath>
          </w:p>
        </w:tc>
        <w:tc>
          <w:tcPr/>
          <w:p>
            <w:pPr>
              <w:pStyle w:val="Compact"/>
              <w:jc w:val="left"/>
            </w:pPr>
            <w:r>
              <w:t xml:space="preserve">Extra wait so higher-priority backups take over first</w:t>
            </w:r>
          </w:p>
        </w:tc>
        <w:tc>
          <w:tcPr/>
          <w:p>
            <w:pPr>
              <w:pStyle w:val="Compact"/>
              <w:jc w:val="left"/>
            </w:pPr>
            <w:r>
              <w:t xml:space="preserve">seconds</w:t>
            </w:r>
          </w:p>
        </w:tc>
      </w:tr>
      <w:tr>
        <w:tc>
          <w:tcPr/>
          <w:p>
            <w:pPr>
              <w:pStyle w:val="Compact"/>
              <w:jc w:val="left"/>
            </w:pPr>
            <m:oMath>
              <m:sSub>
                <m:e>
                  <m:r>
                    <m:t>T</m:t>
                  </m:r>
                </m:e>
                <m:sub>
                  <m:r>
                    <m:rPr>
                      <m:nor/>
                      <m:sty m:val="p"/>
                    </m:rPr>
                    <m:t>down</m:t>
                  </m:r>
                </m:sub>
              </m:sSub>
            </m:oMath>
          </w:p>
        </w:tc>
        <w:tc>
          <w:tcPr/>
          <w:p>
            <w:pPr>
              <w:pStyle w:val="Compact"/>
              <w:jc w:val="left"/>
            </w:pPr>
            <w:r>
              <w:t xml:space="preserve">Master-down interval: silence before a backup takes over</w:t>
            </w:r>
          </w:p>
        </w:tc>
        <w:tc>
          <w:tcPr/>
          <w:p>
            <w:pPr>
              <w:pStyle w:val="Compact"/>
              <w:jc w:val="left"/>
            </w:pPr>
            <w:r>
              <w:t xml:space="preserve">seconds</w:t>
            </w:r>
          </w:p>
        </w:tc>
      </w:tr>
    </w:tbl>
    <w:p>
      <w:pPr>
        <w:pStyle w:val="CalloutExample"/>
      </w:pPr>
      <w:r>
        <w:rPr>
          <w:bCs/>
          <w:b/>
        </w:rPr>
        <w:t xml:space="preserve">WORKED EXAMPLE</w:t>
      </w:r>
    </w:p>
    <w:p>
      <w:pPr>
        <w:pStyle w:val="CalloutExample"/>
      </w:pPr>
      <w:r>
        <w:rPr>
          <w:bCs/>
          <w:b/>
        </w:rPr>
        <w:t xml:space="preserve">Worked example — default versus tuned timers.</w:t>
      </w:r>
    </w:p>
    <w:p>
      <w:pPr>
        <w:numPr>
          <w:ilvl w:val="0"/>
          <w:numId w:val="1645"/>
        </w:numPr>
        <w:pStyle w:val="Compact"/>
      </w:pPr>
      <m:oMath>
        <m:r>
          <m:t>A</m:t>
        </m:r>
        <m:r>
          <m:rPr>
            <m:sty m:val="p"/>
          </m:rPr>
          <m:t>=</m:t>
        </m:r>
        <m:r>
          <m:t>1</m:t>
        </m:r>
      </m:oMath>
      <w:r>
        <w:t xml:space="preserve"> </w:t>
      </w:r>
      <w:r>
        <w:t xml:space="preserve">s,</w:t>
      </w:r>
      <w:r>
        <w:t xml:space="preserve"> </w:t>
      </w:r>
      <m:oMath>
        <m:r>
          <m:t>P</m:t>
        </m:r>
        <m:r>
          <m:rPr>
            <m:sty m:val="p"/>
          </m:rPr>
          <m:t>=</m:t>
        </m:r>
        <m:r>
          <m:t>100</m:t>
        </m:r>
      </m:oMath>
      <w:r>
        <w:t xml:space="preserve">:</w:t>
      </w:r>
      <w:r>
        <w:t xml:space="preserve"> </w:t>
      </w:r>
      <m:oMath>
        <m:sSub>
          <m:e>
            <m:r>
              <m:t>T</m:t>
            </m:r>
          </m:e>
          <m:sub>
            <m:r>
              <m:rPr>
                <m:nor/>
                <m:sty m:val="p"/>
              </m:rPr>
              <m:t>skew</m:t>
            </m:r>
          </m:sub>
        </m:sSub>
        <m:r>
          <m:rPr>
            <m:sty m:val="p"/>
          </m:rPr>
          <m:t>=</m:t>
        </m:r>
        <m:r>
          <m:t>156</m:t>
        </m:r>
        <m:r>
          <m:rPr>
            <m:sty m:val="p"/>
          </m:rPr>
          <m:t>/</m:t>
        </m:r>
        <m:r>
          <m:t>256</m:t>
        </m:r>
        <m:r>
          <m:rPr>
            <m:sty m:val="p"/>
          </m:rPr>
          <m:t>=</m:t>
        </m:r>
        <m:r>
          <m:t>0.61</m:t>
        </m:r>
      </m:oMath>
      <w:r>
        <w:t xml:space="preserve"> </w:t>
      </w:r>
      <w:r>
        <w:t xml:space="preserve">s;</w:t>
      </w:r>
      <w:r>
        <w:t xml:space="preserve"> </w:t>
      </w:r>
      <m:oMath>
        <m:sSub>
          <m:e>
            <m:r>
              <m:t>T</m:t>
            </m:r>
          </m:e>
          <m:sub>
            <m:r>
              <m:rPr>
                <m:nor/>
                <m:sty m:val="p"/>
              </m:rPr>
              <m:t>down</m:t>
            </m:r>
          </m:sub>
        </m:sSub>
        <m:r>
          <m:rPr>
            <m:sty m:val="p"/>
          </m:rPr>
          <m:t>=</m:t>
        </m:r>
        <m:r>
          <m:t>3</m:t>
        </m:r>
        <m:r>
          <m:rPr>
            <m:sty m:val="p"/>
          </m:rPr>
          <m:t>+</m:t>
        </m:r>
        <m:r>
          <m:t>0.61</m:t>
        </m:r>
        <m:r>
          <m:rPr>
            <m:sty m:val="p"/>
          </m:rPr>
          <m:t>=</m:t>
        </m:r>
        <m:r>
          <m:t>3.61</m:t>
        </m:r>
      </m:oMath>
      <w:r>
        <w:t xml:space="preserve"> </w:t>
      </w:r>
      <w:r>
        <w:t xml:space="preserve">s.</w:t>
      </w:r>
    </w:p>
    <w:p>
      <w:pPr>
        <w:numPr>
          <w:ilvl w:val="0"/>
          <w:numId w:val="1645"/>
        </w:numPr>
        <w:pStyle w:val="Compact"/>
      </w:pPr>
      <m:oMath>
        <m:r>
          <m:t>A</m:t>
        </m:r>
        <m:r>
          <m:rPr>
            <m:sty m:val="p"/>
          </m:rPr>
          <m:t>=</m:t>
        </m:r>
        <m:r>
          <m:t>0.1</m:t>
        </m:r>
      </m:oMath>
      <w:r>
        <w:t xml:space="preserve"> </w:t>
      </w:r>
      <w:r>
        <w:t xml:space="preserve">s,</w:t>
      </w:r>
      <w:r>
        <w:t xml:space="preserve"> </w:t>
      </w:r>
      <m:oMath>
        <m:r>
          <m:t>P</m:t>
        </m:r>
        <m:r>
          <m:rPr>
            <m:sty m:val="p"/>
          </m:rPr>
          <m:t>=</m:t>
        </m:r>
        <m:r>
          <m:t>100</m:t>
        </m:r>
      </m:oMath>
      <w:r>
        <w:t xml:space="preserve">:</w:t>
      </w:r>
      <w:r>
        <w:t xml:space="preserve"> </w:t>
      </w:r>
      <m:oMath>
        <m:sSub>
          <m:e>
            <m:r>
              <m:t>T</m:t>
            </m:r>
          </m:e>
          <m:sub>
            <m:r>
              <m:rPr>
                <m:nor/>
                <m:sty m:val="p"/>
              </m:rPr>
              <m:t>skew</m:t>
            </m:r>
          </m:sub>
        </m:sSub>
        <m:r>
          <m:rPr>
            <m:sty m:val="p"/>
          </m:rPr>
          <m:t>=</m:t>
        </m:r>
        <m:r>
          <m:t>0.061</m:t>
        </m:r>
      </m:oMath>
      <w:r>
        <w:t xml:space="preserve"> </w:t>
      </w:r>
      <w:r>
        <w:t xml:space="preserve">s;</w:t>
      </w:r>
      <w:r>
        <w:t xml:space="preserve"> </w:t>
      </w:r>
      <m:oMath>
        <m:sSub>
          <m:e>
            <m:r>
              <m:t>T</m:t>
            </m:r>
          </m:e>
          <m:sub>
            <m:r>
              <m:rPr>
                <m:nor/>
                <m:sty m:val="p"/>
              </m:rPr>
              <m:t>down</m:t>
            </m:r>
          </m:sub>
        </m:sSub>
        <m:r>
          <m:rPr>
            <m:sty m:val="p"/>
          </m:rPr>
          <m:t>=</m:t>
        </m:r>
        <m:r>
          <m:t>0.361</m:t>
        </m:r>
      </m:oMath>
      <w:r>
        <w:t xml:space="preserve"> </w:t>
      </w:r>
      <w:r>
        <w:t xml:space="preserve">s.</w:t>
      </w:r>
    </w:p>
    <w:p>
      <w:pPr>
        <w:numPr>
          <w:ilvl w:val="0"/>
          <w:numId w:val="1645"/>
        </w:numPr>
        <w:pStyle w:val="Compact"/>
      </w:pPr>
      <w:r>
        <w:t xml:space="preserve">At 20,000 new connections/s, a 3.61 s gap affects about 72,000 connection attempts, most of which clients retry.</w:t>
      </w:r>
    </w:p>
    <w:p>
      <w:pPr>
        <w:pStyle w:val="CalloutExample"/>
      </w:pPr>
      <w:r>
        <w:rPr>
          <w:iCs/>
          <w:i/>
        </w:rPr>
        <w:t xml:space="preserve">Interpretation.</w:t>
      </w:r>
      <w:r>
        <w:t xml:space="preserve"> </w:t>
      </w:r>
      <w:r>
        <w:t xml:space="preserve">Failover takes seconds with defaults and a few hundred milliseconds when tuned.</w:t>
      </w:r>
      <w:r>
        <w:t xml:space="preserve"> </w:t>
      </w:r>
      <w:r>
        <w:rPr>
          <w:iCs/>
          <w:i/>
        </w:rPr>
        <w:t xml:space="preserve">Engineering implication.</w:t>
      </w:r>
      <w:r>
        <w:t xml:space="preserve"> </w:t>
      </w:r>
      <w:r>
        <w:t xml:space="preserve">Shorter intervals detect faster but raise the risk of false failovers under CPU or network jitter; 100 ms is common on dedicated links, 1 s across busier ones.</w:t>
      </w:r>
    </w:p>
    <w:bookmarkEnd w:id="2216"/>
    <w:bookmarkStart w:id="2217" w:name="anycast-1"/>
    <w:p>
      <w:pPr>
        <w:pStyle w:val="Heading3"/>
      </w:pPr>
      <w:r>
        <w:t xml:space="preserve">19.8.2 Anycast</w:t>
      </w:r>
    </w:p>
    <w:p>
      <w:pPr>
        <w:pStyle w:val="FirstParagraph"/>
      </w:pPr>
      <w:r>
        <w:t xml:space="preserve">At Internet scale, the same VIP is announced by BGP from many sites (§7.5.3). Routers send each client to a nearby site, and a site that fails withdraws its route. Anycast makes the</w:t>
      </w:r>
      <w:r>
        <w:t xml:space="preserve"> </w:t>
      </w:r>
      <w:r>
        <w:rPr>
          <w:iCs/>
          <w:i/>
        </w:rPr>
        <w:t xml:space="preserve">first</w:t>
      </w:r>
      <w:r>
        <w:t xml:space="preserve"> </w:t>
      </w:r>
      <w:r>
        <w:t xml:space="preserve">hop redundant across sites and absorbs DDoS traffic, but it relies on BGP convergence (seconds to minutes) and can move long-lived TCP flows to a site without their state. Section 7.5.3 describes the 2021 Facebook outage in which every site withdrew at once.</w:t>
      </w:r>
    </w:p>
    <w:bookmarkEnd w:id="2217"/>
    <w:bookmarkStart w:id="2221" w:name="ecmp-and-consistent-hashing"/>
    <w:p>
      <w:pPr>
        <w:pStyle w:val="Heading3"/>
      </w:pPr>
      <w:r>
        <w:t xml:space="preserve">19.8.3 ECMP and consistent hashing</w:t>
      </w:r>
    </w:p>
    <w:p>
      <w:pPr>
        <w:pStyle w:val="FirstParagraph"/>
      </w:pPr>
      <w:r>
        <w:t xml:space="preserve">Inside a site, the router in front of the balancers uses</w:t>
      </w:r>
      <w:r>
        <w:t xml:space="preserve"> </w:t>
      </w:r>
      <w:r>
        <w:rPr>
          <w:bCs/>
          <w:b/>
        </w:rPr>
        <w:t xml:space="preserve">equal-cost multipath (ECMP)</w:t>
      </w:r>
      <w:r>
        <w:t xml:space="preserve">: it has several next hops for the VIP (one per balancer, each announcing the VIP by BGP) and picks one per packet by hashing header fields, so all packets of a flow take the same path [RFC 2992]. When a balancer fails, the router removes one next hop and</w:t>
      </w:r>
      <w:r>
        <w:t xml:space="preserve"> </w:t>
      </w:r>
      <w:r>
        <w:rPr>
          <w:bCs/>
          <w:b/>
        </w:rPr>
        <w:t xml:space="preserve">rehashes</w:t>
      </w:r>
      <w:r>
        <w:t xml:space="preserve">.</w:t>
      </w:r>
    </w:p>
    <w:p>
      <w:pPr>
        <w:pStyle w:val="CalloutFormula"/>
      </w:pPr>
      <w:r>
        <w:rPr>
          <w:bCs/>
          <w:b/>
        </w:rPr>
        <w:t xml:space="preserve">FORMULA</w:t>
      </w:r>
    </w:p>
    <w:p>
      <w:pPr>
        <w:pStyle w:val="CalloutFormula"/>
      </w:pPr>
      <w:r>
        <w:rPr>
          <w:bCs/>
          <w:b/>
        </w:rPr>
        <w:t xml:space="preserve">Flows remapped when one of</w:t>
      </w:r>
      <w:r>
        <w:rPr>
          <w:bCs/>
          <w:b/>
        </w:rPr>
        <w:t xml:space="preserve"> </w:t>
      </w:r>
      <m:oMath>
        <m:r>
          <m:t>N</m:t>
        </m:r>
      </m:oMath>
      <w:r>
        <w:rPr>
          <w:bCs/>
          <w:b/>
        </w:rPr>
        <w:t xml:space="preserve"> </w:t>
      </w:r>
      <w:r>
        <w:rPr>
          <w:bCs/>
          <w:b/>
        </w:rPr>
        <w:t xml:space="preserve">next hops is removed</w:t>
      </w:r>
    </w:p>
    <w:p>
      <w:pPr>
        <w:pStyle w:val="CalloutFormula"/>
      </w:pPr>
      <m:oMathPara>
        <m:oMathParaPr>
          <m:jc m:val="center"/>
        </m:oMathParaPr>
        <m:oMath>
          <m:sSub>
            <m:e>
              <m:r>
                <m:t>f</m:t>
              </m:r>
            </m:e>
            <m:sub>
              <m:r>
                <m:rPr>
                  <m:nor/>
                  <m:sty m:val="p"/>
                </m:rPr>
                <m:t>mod</m:t>
              </m:r>
            </m:sub>
          </m:sSub>
          <m:r>
            <m:rPr>
              <m:sty m:val="p"/>
            </m:rPr>
            <m:t>≈</m:t>
          </m:r>
          <m:r>
            <m:t>1</m:t>
          </m:r>
          <m:r>
            <m:rPr>
              <m:sty m:val="p"/>
            </m:rPr>
            <m:t>−</m:t>
          </m:r>
          <m:f>
            <m:fPr>
              <m:type m:val="bar"/>
            </m:fPr>
            <m:num>
              <m:r>
                <m:t>1</m:t>
              </m:r>
            </m:num>
            <m:den>
              <m:r>
                <m:t>N</m:t>
              </m:r>
            </m:den>
          </m:f>
          <m:r>
            <m:rPr>
              <m:sty m:val="p"/>
            </m:rPr>
            <m:t>,</m:t>
          </m:r>
          <m:r>
            <m:t>  </m:t>
          </m:r>
          <m:f>
            <m:fPr>
              <m:type m:val="lin"/>
            </m:fPr>
            <m:num>
              <m:r>
                <m:t>1</m:t>
              </m:r>
            </m:num>
            <m:den>
              <m:r>
                <m:t>4</m:t>
              </m:r>
            </m:den>
          </m:f>
          <m:r>
            <m:rPr>
              <m:sty m:val="p"/>
            </m:rPr>
            <m:t>≲</m:t>
          </m:r>
          <m:sSub>
            <m:e>
              <m:r>
                <m:t>f</m:t>
              </m:r>
            </m:e>
            <m:sub>
              <m:r>
                <m:rPr>
                  <m:nor/>
                  <m:sty m:val="p"/>
                </m:rPr>
                <m:t>threshold</m:t>
              </m:r>
            </m:sub>
          </m:sSub>
          <m:r>
            <m:rPr>
              <m:sty m:val="p"/>
            </m:rPr>
            <m:t>≤</m:t>
          </m:r>
          <m:f>
            <m:fPr>
              <m:type m:val="lin"/>
            </m:fPr>
            <m:num>
              <m:r>
                <m:t>1</m:t>
              </m:r>
            </m:num>
            <m:den>
              <m:r>
                <m:t>2</m:t>
              </m:r>
            </m:den>
          </m:f>
          <m:r>
            <m:rPr>
              <m:sty m:val="p"/>
            </m:rPr>
            <m:t>,</m:t>
          </m:r>
          <m:r>
            <m:t>  </m:t>
          </m:r>
          <m:sSub>
            <m:e>
              <m:r>
                <m:t>f</m:t>
              </m:r>
            </m:e>
            <m:sub>
              <m:r>
                <m:rPr>
                  <m:sty m:val="p"/>
                </m:rPr>
                <m:t>min</m:t>
              </m:r>
            </m:sub>
          </m:sSub>
          <m:r>
            <m:rPr>
              <m:sty m:val="p"/>
            </m:rPr>
            <m:t>=</m:t>
          </m:r>
          <m:f>
            <m:fPr>
              <m:type m:val="bar"/>
            </m:fPr>
            <m:num>
              <m:r>
                <m:t>1</m:t>
              </m:r>
            </m:num>
            <m:den>
              <m:r>
                <m:t>N</m:t>
              </m:r>
            </m:den>
          </m:f>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f</m:t>
                  </m:r>
                </m:e>
                <m:sub>
                  <m:r>
                    <m:rPr>
                      <m:nor/>
                      <m:sty m:val="p"/>
                    </m:rPr>
                    <m:t>mod</m:t>
                  </m:r>
                </m:sub>
              </m:sSub>
            </m:oMath>
          </w:p>
        </w:tc>
        <w:tc>
          <w:tcPr/>
          <w:p>
            <w:pPr>
              <w:pStyle w:val="Compact"/>
              <w:jc w:val="left"/>
            </w:pPr>
            <w:r>
              <w:t xml:space="preserve">Fraction of flows that change next hop with</w:t>
            </w:r>
            <w:r>
              <w:t xml:space="preserve"> </w:t>
            </w:r>
            <w:r>
              <w:rPr>
                <w:rStyle w:val="VerbatimChar"/>
              </w:rPr>
              <w:t xml:space="preserve">hash mod N</w:t>
            </w:r>
          </w:p>
        </w:tc>
        <w:tc>
          <w:tcPr/>
          <w:p>
            <w:pPr>
              <w:pStyle w:val="Compact"/>
              <w:jc w:val="left"/>
            </w:pPr>
            <w:r>
              <w:t xml:space="preserve">dimensionless</w:t>
            </w:r>
          </w:p>
        </w:tc>
      </w:tr>
      <w:tr>
        <w:tc>
          <w:tcPr/>
          <w:p>
            <w:pPr>
              <w:pStyle w:val="Compact"/>
              <w:jc w:val="left"/>
            </w:pPr>
            <m:oMath>
              <m:sSub>
                <m:e>
                  <m:r>
                    <m:t>f</m:t>
                  </m:r>
                </m:e>
                <m:sub>
                  <m:r>
                    <m:rPr>
                      <m:nor/>
                      <m:sty m:val="p"/>
                    </m:rPr>
                    <m:t>threshold</m:t>
                  </m:r>
                </m:sub>
              </m:sSub>
            </m:oMath>
          </w:p>
        </w:tc>
        <w:tc>
          <w:tcPr/>
          <w:p>
            <w:pPr>
              <w:pStyle w:val="Compact"/>
              <w:jc w:val="left"/>
            </w:pPr>
            <w:r>
              <w:t xml:space="preserve">Same, for the hash-threshold method analyzed in RFC 2992 (depends on which region is removed)</w:t>
            </w:r>
          </w:p>
        </w:tc>
        <w:tc>
          <w:tcPr/>
          <w:p>
            <w:pPr>
              <w:pStyle w:val="Compact"/>
              <w:jc w:val="left"/>
            </w:pPr>
            <w:r>
              <w:t xml:space="preserve">dimensionless</w:t>
            </w:r>
          </w:p>
        </w:tc>
      </w:tr>
      <w:tr>
        <w:tc>
          <w:tcPr/>
          <w:p>
            <w:pPr>
              <w:pStyle w:val="Compact"/>
              <w:jc w:val="left"/>
            </w:pPr>
            <m:oMath>
              <m:sSub>
                <m:e>
                  <m:r>
                    <m:t>f</m:t>
                  </m:r>
                </m:e>
                <m:sub>
                  <m:r>
                    <m:rPr>
                      <m:sty m:val="p"/>
                    </m:rPr>
                    <m:t>min</m:t>
                  </m:r>
                </m:sub>
              </m:sSub>
            </m:oMath>
          </w:p>
        </w:tc>
        <w:tc>
          <w:tcPr/>
          <w:p>
            <w:pPr>
              <w:pStyle w:val="Compact"/>
              <w:jc w:val="left"/>
            </w:pPr>
            <w:r>
              <w:t xml:space="preserve">Minimum: only the failed hop’s flows move (resilient or consistent hashing)</w:t>
            </w:r>
          </w:p>
        </w:tc>
        <w:tc>
          <w:tcPr/>
          <w:p>
            <w:pPr>
              <w:pStyle w:val="Compact"/>
              <w:jc w:val="left"/>
            </w:pPr>
            <w:r>
              <w:t xml:space="preserve">dimensionless</w:t>
            </w:r>
          </w:p>
        </w:tc>
      </w:tr>
      <w:tr>
        <w:tc>
          <w:tcPr/>
          <w:p>
            <w:pPr>
              <w:pStyle w:val="Compact"/>
              <w:jc w:val="left"/>
            </w:pPr>
            <m:oMath>
              <m:r>
                <m:t>N</m:t>
              </m:r>
            </m:oMath>
          </w:p>
        </w:tc>
        <w:tc>
          <w:tcPr/>
          <w:p>
            <w:pPr>
              <w:pStyle w:val="Compact"/>
              <w:jc w:val="left"/>
            </w:pPr>
            <w:r>
              <w:t xml:space="preserve">Next hops (balancers) before the failure</w:t>
            </w:r>
          </w:p>
        </w:tc>
        <w:tc>
          <w:tcPr/>
          <w:p>
            <w:pPr>
              <w:pStyle w:val="Compact"/>
              <w:jc w:val="left"/>
            </w:pPr>
            <w:r>
              <w:t xml:space="preserve">count</w:t>
            </w:r>
          </w:p>
        </w:tc>
      </w:tr>
    </w:tbl>
    <w:p>
      <w:pPr>
        <w:pStyle w:val="CalloutExample"/>
      </w:pPr>
      <w:r>
        <w:rPr>
          <w:bCs/>
          <w:b/>
        </w:rPr>
        <w:t xml:space="preserve">WORKED EXAMPLE</w:t>
      </w:r>
    </w:p>
    <w:p>
      <w:pPr>
        <w:pStyle w:val="CalloutExample"/>
      </w:pPr>
      <w:r>
        <w:rPr>
          <w:bCs/>
          <w:b/>
        </w:rPr>
        <w:t xml:space="preserve">Worked example — eight balancers, one fails.</w:t>
      </w:r>
    </w:p>
    <w:p>
      <w:pPr>
        <w:numPr>
          <w:ilvl w:val="0"/>
          <w:numId w:val="1646"/>
        </w:numPr>
        <w:pStyle w:val="Compact"/>
      </w:pPr>
      <w:r>
        <w:t xml:space="preserve">Modulo hashing:</w:t>
      </w:r>
      <w:r>
        <w:t xml:space="preserve"> </w:t>
      </w:r>
      <m:oMath>
        <m:r>
          <m:t>1</m:t>
        </m:r>
        <m:r>
          <m:rPr>
            <m:sty m:val="p"/>
          </m:rPr>
          <m:t>−</m:t>
        </m:r>
        <m:r>
          <m:t>1</m:t>
        </m:r>
        <m:r>
          <m:rPr>
            <m:sty m:val="p"/>
          </m:rPr>
          <m:t>/</m:t>
        </m:r>
        <m:r>
          <m:t>8</m:t>
        </m:r>
        <m:r>
          <m:rPr>
            <m:sty m:val="p"/>
          </m:rPr>
          <m:t>=</m:t>
        </m:r>
        <m:r>
          <m:t>87.5</m:t>
        </m:r>
        <m:r>
          <m:rPr>
            <m:sty m:val="p"/>
          </m:rPr>
          <m:t>%</m:t>
        </m:r>
      </m:oMath>
      <w:r>
        <w:t xml:space="preserve"> </w:t>
      </w:r>
      <w:r>
        <w:t xml:space="preserve">of flows land on a different balancer.</w:t>
      </w:r>
    </w:p>
    <w:p>
      <w:pPr>
        <w:numPr>
          <w:ilvl w:val="0"/>
          <w:numId w:val="1646"/>
        </w:numPr>
        <w:pStyle w:val="Compact"/>
      </w:pPr>
      <w:r>
        <w:t xml:space="preserve">Hash-threshold: between 28.6% (a middle region removed) and 50% (an end region removed), computed for</w:t>
      </w:r>
      <w:r>
        <w:t xml:space="preserve"> </w:t>
      </w:r>
      <m:oMath>
        <m:r>
          <m:t>N</m:t>
        </m:r>
        <m:r>
          <m:rPr>
            <m:sty m:val="p"/>
          </m:rPr>
          <m:t>=</m:t>
        </m:r>
        <m:r>
          <m:t>8</m:t>
        </m:r>
      </m:oMath>
      <w:r>
        <w:t xml:space="preserve">.</w:t>
      </w:r>
    </w:p>
    <w:p>
      <w:pPr>
        <w:numPr>
          <w:ilvl w:val="0"/>
          <w:numId w:val="1646"/>
        </w:numPr>
        <w:pStyle w:val="Compact"/>
      </w:pPr>
      <w:r>
        <w:t xml:space="preserve">Resilient hashing: only the failed balancer’s</w:t>
      </w:r>
      <w:r>
        <w:t xml:space="preserve"> </w:t>
      </w:r>
      <m:oMath>
        <m:r>
          <m:t>12.5</m:t>
        </m:r>
        <m:r>
          <m:rPr>
            <m:sty m:val="p"/>
          </m:rPr>
          <m:t>%</m:t>
        </m:r>
      </m:oMath>
      <w:r>
        <w:t xml:space="preserve">.</w:t>
      </w:r>
    </w:p>
    <w:p>
      <w:pPr>
        <w:pStyle w:val="CalloutExample"/>
      </w:pPr>
      <w:r>
        <w:rPr>
          <w:iCs/>
          <w:i/>
        </w:rPr>
        <w:t xml:space="preserve">Interpretation.</w:t>
      </w:r>
      <w:r>
        <w:t xml:space="preserve"> </w:t>
      </w:r>
      <w:r>
        <w:t xml:space="preserve">With 1 million flows, 875,000 land on a balancer with no connection entry for them.</w:t>
      </w:r>
      <w:r>
        <w:t xml:space="preserve"> </w:t>
      </w:r>
      <w:r>
        <w:rPr>
          <w:iCs/>
          <w:i/>
        </w:rPr>
        <w:t xml:space="preserve">Engineering implication.</w:t>
      </w:r>
      <w:r>
        <w:t xml:space="preserve"> </w:t>
      </w:r>
      <w:r>
        <w:t xml:space="preserve">Balancers behind ECMP must choose backends with a</w:t>
      </w:r>
      <w:r>
        <w:t xml:space="preserve"> </w:t>
      </w:r>
      <w:r>
        <w:rPr>
          <w:bCs/>
          <w:b/>
        </w:rPr>
        <w:t xml:space="preserve">consistent</w:t>
      </w:r>
      <w:r>
        <w:t xml:space="preserve"> </w:t>
      </w:r>
      <w:r>
        <w:t xml:space="preserve">function of the 5-tuple (Maglev hashing, §19.4.8) so that a flow that changes balancer still reaches the same backend, and switches should use resilient ECMP hashing where available.</w:t>
      </w:r>
    </w:p>
    <w:p>
      <w:pPr>
        <w:pStyle w:val="BodyText"/>
      </w:pPr>
      <w:r>
        <w:rPr>
          <w:bCs/>
          <w:b/>
        </w:rPr>
        <w:t xml:space="preserve">Figure 19.9 — A layered, redundant front end.</w:t>
      </w:r>
    </w:p>
    <w:p>
      <w:pPr>
        <w:pStyle w:val="BodyText"/>
      </w:pPr>
      <w:r>
        <w:drawing>
          <wp:inline>
            <wp:extent cx="5334000" cy="943075"/>
            <wp:effectExtent b="0" l="0" r="0" t="0"/>
            <wp:docPr descr="" title="" id="2219" name="Picture"/>
            <a:graphic>
              <a:graphicData uri="http://schemas.openxmlformats.org/drawingml/2006/picture">
                <pic:pic>
                  <pic:nvPicPr>
                    <pic:cNvPr descr="/home/user/System-Design/build/.cache/diagrams/1724f82d1bbf.png" id="2220" name="Picture"/>
                    <pic:cNvPicPr>
                      <a:picLocks noChangeArrowheads="1" noChangeAspect="1"/>
                    </pic:cNvPicPr>
                  </pic:nvPicPr>
                  <pic:blipFill>
                    <a:blip r:embed="rId2218"/>
                    <a:stretch>
                      <a:fillRect/>
                    </a:stretch>
                  </pic:blipFill>
                  <pic:spPr bwMode="auto">
                    <a:xfrm>
                      <a:off x="0" y="0"/>
                      <a:ext cx="5334000" cy="943075"/>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DNS (§19.9) picks a region or returns an anycast address; anycast picks the nearest edge site; ECMP spreads flows across the L4 tier, which consistently hashes them to L7 proxies; the proxies balance requests across backends with a load-aware algorithm. All arrows are synchronous request paths, and the data stores are the storage boundary. Each layer covers a failure the next cannot: anycast covers site loss, ECMP balancer loss, consistent hashing rehashing, health checks backend loss. Each tier scales horizontally. Google describes this shape for its frontend: DNS, Maglev, then Google Front End proxies [Beyer et al. 2016, ch. 19].</w:t>
      </w:r>
    </w:p>
    <w:bookmarkEnd w:id="2221"/>
    <w:bookmarkStart w:id="2222" w:name="connection-draining"/>
    <w:p>
      <w:pPr>
        <w:pStyle w:val="Heading3"/>
      </w:pPr>
      <w:r>
        <w:t xml:space="preserve">19.8.4 Connection draining</w:t>
      </w:r>
    </w:p>
    <w:p>
      <w:pPr>
        <w:pStyle w:val="FirstParagraph"/>
      </w:pPr>
      <w:r>
        <w:t xml:space="preserve">Removing a backend or balancer on purpose (deploy, scale-in) should break nothing.</w:t>
      </w:r>
      <w:r>
        <w:t xml:space="preserve"> </w:t>
      </w:r>
      <w:r>
        <w:rPr>
          <w:bCs/>
          <w:b/>
        </w:rPr>
        <w:t xml:space="preserve">Connection draining</w:t>
      </w:r>
      <w:r>
        <w:t xml:space="preserve"> </w:t>
      </w:r>
      <w:r>
        <w:t xml:space="preserve">(AWS:</w:t>
      </w:r>
      <w:r>
        <w:t xml:space="preserve"> </w:t>
      </w:r>
      <w:r>
        <w:rPr>
          <w:iCs/>
          <w:i/>
        </w:rPr>
        <w:t xml:space="preserve">deregistration delay</w:t>
      </w:r>
      <w:r>
        <w:t xml:space="preserve">, default 300 s as of 2026; Google SRE:</w:t>
      </w:r>
      <w:r>
        <w:t xml:space="preserve"> </w:t>
      </w:r>
      <w:r>
        <w:rPr>
          <w:bCs/>
          <w:b/>
        </w:rPr>
        <w:t xml:space="preserve">lame duck</w:t>
      </w:r>
      <w:r>
        <w:t xml:space="preserve"> </w:t>
      </w:r>
      <w:r>
        <w:t xml:space="preserve">state) works in four steps:</w:t>
      </w:r>
    </w:p>
    <w:p>
      <w:pPr>
        <w:numPr>
          <w:ilvl w:val="0"/>
          <w:numId w:val="1647"/>
        </w:numPr>
        <w:pStyle w:val="Compact"/>
      </w:pPr>
      <w:r>
        <w:t xml:space="preserve">Mark the backend</w:t>
      </w:r>
      <w:r>
        <w:t xml:space="preserve"> </w:t>
      </w:r>
      <w:r>
        <w:rPr>
          <w:iCs/>
          <w:i/>
        </w:rPr>
        <w:t xml:space="preserve">draining</w:t>
      </w:r>
      <w:r>
        <w:t xml:space="preserve">: no new connections or requests, but in-flight ones continue.</w:t>
      </w:r>
    </w:p>
    <w:p>
      <w:pPr>
        <w:numPr>
          <w:ilvl w:val="0"/>
          <w:numId w:val="1647"/>
        </w:numPr>
        <w:pStyle w:val="Compact"/>
      </w:pPr>
      <w:r>
        <w:t xml:space="preserve">For HTTP/1.1, send</w:t>
      </w:r>
      <w:r>
        <w:t xml:space="preserve"> </w:t>
      </w:r>
      <w:r>
        <w:rPr>
          <w:rStyle w:val="VerbatimChar"/>
        </w:rPr>
        <w:t xml:space="preserve">Connection: close</w:t>
      </w:r>
      <w:r>
        <w:t xml:space="preserve"> </w:t>
      </w:r>
      <w:r>
        <w:t xml:space="preserve">on responses; for HTTP/2 and gRPC, send</w:t>
      </w:r>
      <w:r>
        <w:t xml:space="preserve"> </w:t>
      </w:r>
      <w:r>
        <w:rPr>
          <w:rStyle w:val="VerbatimChar"/>
        </w:rPr>
        <w:t xml:space="preserve">GOAWAY</w:t>
      </w:r>
      <w:r>
        <w:t xml:space="preserve"> </w:t>
      </w:r>
      <w:r>
        <w:t xml:space="preserve">so clients open new connections elsewhere.</w:t>
      </w:r>
    </w:p>
    <w:p>
      <w:pPr>
        <w:numPr>
          <w:ilvl w:val="0"/>
          <w:numId w:val="1647"/>
        </w:numPr>
        <w:pStyle w:val="Compact"/>
      </w:pPr>
      <w:r>
        <w:t xml:space="preserve">Wait until in-flight requests reach zero or a drain timeout expires (set it above the p99.9 request duration).</w:t>
      </w:r>
    </w:p>
    <w:p>
      <w:pPr>
        <w:numPr>
          <w:ilvl w:val="0"/>
          <w:numId w:val="1647"/>
        </w:numPr>
        <w:pStyle w:val="Compact"/>
      </w:pPr>
      <w:r>
        <w:t xml:space="preserve">Close remaining long-lived connections (WebSockets, streams), preferably with a reconnect hint and jitter, so clients do not reconnect in one wave (§9.6).</w:t>
      </w:r>
    </w:p>
    <w:p>
      <w:pPr>
        <w:pStyle w:val="FirstParagraph"/>
      </w:pPr>
      <w:r>
        <w:rPr>
          <w:bCs/>
          <w:b/>
        </w:rPr>
        <w:t xml:space="preserve">Table 19.6 — Balancer-tier 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Bad configuration everywhere</w:t>
            </w:r>
          </w:p>
        </w:tc>
        <w:tc>
          <w:tcPr/>
          <w:p>
            <w:pPr>
              <w:pStyle w:val="Compact"/>
              <w:jc w:val="left"/>
            </w:pPr>
            <w:r>
              <w:t xml:space="preserve">Global push of a broken rule</w:t>
            </w:r>
          </w:p>
        </w:tc>
        <w:tc>
          <w:tcPr/>
          <w:p>
            <w:pPr>
              <w:pStyle w:val="Compact"/>
              <w:jc w:val="left"/>
            </w:pPr>
            <w:r>
              <w:t xml:space="preserve">Error spike across all sites at once</w:t>
            </w:r>
          </w:p>
        </w:tc>
        <w:tc>
          <w:tcPr/>
          <w:p>
            <w:pPr>
              <w:pStyle w:val="Compact"/>
              <w:jc w:val="left"/>
            </w:pPr>
            <w:r>
              <w:t xml:space="preserve">Roll back</w:t>
            </w:r>
          </w:p>
        </w:tc>
        <w:tc>
          <w:tcPr/>
          <w:p>
            <w:pPr>
              <w:pStyle w:val="Compact"/>
              <w:jc w:val="left"/>
            </w:pPr>
            <w:r>
              <w:t xml:space="preserve">Staged rollout; config validation; canary balancers</w:t>
            </w:r>
          </w:p>
        </w:tc>
      </w:tr>
      <w:tr>
        <w:tc>
          <w:tcPr/>
          <w:p>
            <w:pPr>
              <w:pStyle w:val="Compact"/>
              <w:jc w:val="left"/>
            </w:pPr>
            <w:r>
              <w:t xml:space="preserve">Split brain</w:t>
            </w:r>
          </w:p>
        </w:tc>
        <w:tc>
          <w:tcPr/>
          <w:p>
            <w:pPr>
              <w:pStyle w:val="Compact"/>
              <w:jc w:val="left"/>
            </w:pPr>
            <w:r>
              <w:t xml:space="preserve">VRRP adverts lost while both nodes live</w:t>
            </w:r>
          </w:p>
        </w:tc>
        <w:tc>
          <w:tcPr/>
          <w:p>
            <w:pPr>
              <w:pStyle w:val="Compact"/>
              <w:jc w:val="left"/>
            </w:pPr>
            <w:r>
              <w:t xml:space="preserve">Duplicate-IP alerts; ARP flapping</w:t>
            </w:r>
          </w:p>
        </w:tc>
        <w:tc>
          <w:tcPr/>
          <w:p>
            <w:pPr>
              <w:pStyle w:val="Compact"/>
              <w:jc w:val="left"/>
            </w:pPr>
            <w:r>
              <w:t xml:space="preserve">Fence one node</w:t>
            </w:r>
          </w:p>
        </w:tc>
        <w:tc>
          <w:tcPr/>
          <w:p>
            <w:pPr>
              <w:pStyle w:val="Compact"/>
              <w:jc w:val="left"/>
            </w:pPr>
            <w:r>
              <w:t xml:space="preserve">Dedicated heartbeat links; unicast VRRP; managed VIPs</w:t>
            </w:r>
          </w:p>
        </w:tc>
      </w:tr>
      <w:tr>
        <w:tc>
          <w:tcPr/>
          <w:p>
            <w:pPr>
              <w:pStyle w:val="Compact"/>
              <w:jc w:val="left"/>
            </w:pPr>
            <w:r>
              <w:t xml:space="preserve">Mass connection resets</w:t>
            </w:r>
          </w:p>
        </w:tc>
        <w:tc>
          <w:tcPr/>
          <w:p>
            <w:pPr>
              <w:pStyle w:val="Compact"/>
              <w:jc w:val="left"/>
            </w:pPr>
            <w:r>
              <w:t xml:space="preserve">ECMP rehash after a balancer change</w:t>
            </w:r>
          </w:p>
        </w:tc>
        <w:tc>
          <w:tcPr/>
          <w:p>
            <w:pPr>
              <w:pStyle w:val="Compact"/>
              <w:jc w:val="left"/>
            </w:pPr>
            <w:r>
              <w:t xml:space="preserve">Reset spike on scale events</w:t>
            </w:r>
          </w:p>
        </w:tc>
        <w:tc>
          <w:tcPr/>
          <w:p>
            <w:pPr>
              <w:pStyle w:val="Compact"/>
              <w:jc w:val="left"/>
            </w:pPr>
            <w:r>
              <w:t xml:space="preserve">Clients reconnect</w:t>
            </w:r>
          </w:p>
        </w:tc>
        <w:tc>
          <w:tcPr/>
          <w:p>
            <w:pPr>
              <w:pStyle w:val="Compact"/>
              <w:jc w:val="left"/>
            </w:pPr>
            <w:r>
              <w:t xml:space="preserve">Consistent hashing; resilient ECMP; graceful BGP withdraw</w:t>
            </w:r>
          </w:p>
        </w:tc>
      </w:tr>
    </w:tbl>
    <w:bookmarkEnd w:id="2222"/>
    <w:bookmarkEnd w:id="2223"/>
    <w:bookmarkStart w:id="2227" w:name="dns-and-global-server-load-balancing"/>
    <w:p>
      <w:pPr>
        <w:pStyle w:val="Heading2"/>
      </w:pPr>
      <w:r>
        <w:t xml:space="preserve">19.9 DNS and global server load balancing</w:t>
      </w:r>
    </w:p>
    <w:p>
      <w:pPr>
        <w:pStyle w:val="FirstParagraph"/>
      </w:pPr>
      <w:r>
        <w:rPr>
          <w:bCs/>
          <w:b/>
        </w:rPr>
        <w:t xml:space="preserve">Global server load balancing (GSLB)</w:t>
      </w:r>
      <w:r>
        <w:t xml:space="preserve"> </w:t>
      </w:r>
      <w:r>
        <w:t xml:space="preserve">chooses a</w:t>
      </w:r>
      <w:r>
        <w:t xml:space="preserve"> </w:t>
      </w:r>
      <w:r>
        <w:rPr>
          <w:iCs/>
          <w:i/>
        </w:rPr>
        <w:t xml:space="preserve">region or site</w:t>
      </w:r>
      <w:r>
        <w:t xml:space="preserve"> </w:t>
      </w:r>
      <w:r>
        <w:t xml:space="preserve">before any connection exists, usually by answering DNS queries differently per client. Section 7.6.5 covered DNS load balancing and its limits; Chapter 44 covers global traffic management in depth. Here is the essential shape.</w:t>
      </w:r>
    </w:p>
    <w:p>
      <w:pPr>
        <w:pStyle w:val="BodyText"/>
      </w:pPr>
      <w:r>
        <w:rPr>
          <w:bCs/>
          <w:b/>
        </w:rPr>
        <w:t xml:space="preserve">Figure 19.10 — DNS-based global server load balancing.</w:t>
      </w:r>
    </w:p>
    <w:p>
      <w:pPr>
        <w:pStyle w:val="BodyText"/>
      </w:pPr>
      <w:r>
        <w:drawing>
          <wp:inline>
            <wp:extent cx="5334000" cy="1744662"/>
            <wp:effectExtent b="0" l="0" r="0" t="0"/>
            <wp:docPr descr="" title="" id="2225" name="Picture"/>
            <a:graphic>
              <a:graphicData uri="http://schemas.openxmlformats.org/drawingml/2006/picture">
                <pic:pic>
                  <pic:nvPicPr>
                    <pic:cNvPr descr="/home/user/System-Design/build/.cache/diagrams/57045068d360.png" id="2226" name="Picture"/>
                    <pic:cNvPicPr>
                      <a:picLocks noChangeArrowheads="1" noChangeAspect="1"/>
                    </pic:cNvPicPr>
                  </pic:nvPicPr>
                  <pic:blipFill>
                    <a:blip r:embed="rId2224"/>
                    <a:stretch>
                      <a:fillRect/>
                    </a:stretch>
                  </pic:blipFill>
                  <pic:spPr bwMode="auto">
                    <a:xfrm>
                      <a:off x="0" y="0"/>
                      <a:ext cx="5334000" cy="1744662"/>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client’s resolver asks the GSLB’s authoritative server, which chooses a region from the resolver’s location (or the client subnet, if the resolver sends EDNS Client Subnet), from latency measurements, configured weights, and region health fed asynchronously by probes. The answer is cached for its TTL by the resolver, then used by the client to connect synchronously to that region’s balancers. Failure point: when a region fails, clients keep using cached answers until the TTL expires, and some clients and resolvers keep them longer. Scaling: DNS answers are cheap; the regional balancer stack (Figure 19.9) does the heavy lifting.</w:t>
      </w:r>
    </w:p>
    <w:p>
      <w:pPr>
        <w:pStyle w:val="BodyText"/>
      </w:pPr>
      <w:r>
        <w:t xml:space="preserve">Policies include</w:t>
      </w:r>
      <w:r>
        <w:t xml:space="preserve"> </w:t>
      </w:r>
      <w:r>
        <w:rPr>
          <w:bCs/>
          <w:b/>
        </w:rPr>
        <w:t xml:space="preserve">geo-DNS</w:t>
      </w:r>
      <w:r>
        <w:t xml:space="preserve"> </w:t>
      </w:r>
      <w:r>
        <w:t xml:space="preserve">(nearest region),</w:t>
      </w:r>
      <w:r>
        <w:t xml:space="preserve"> </w:t>
      </w:r>
      <w:r>
        <w:rPr>
          <w:bCs/>
          <w:b/>
        </w:rPr>
        <w:t xml:space="preserve">latency-based</w:t>
      </w:r>
      <w:r>
        <w:t xml:space="preserve"> </w:t>
      </w:r>
      <w:r>
        <w:t xml:space="preserve">routing (lowest measured latency from the resolver’s network, as in AWS Route 53),</w:t>
      </w:r>
      <w:r>
        <w:t xml:space="preserve"> </w:t>
      </w:r>
      <w:r>
        <w:rPr>
          <w:bCs/>
          <w:b/>
        </w:rPr>
        <w:t xml:space="preserve">weighted</w:t>
      </w:r>
      <w:r>
        <w:t xml:space="preserve"> </w:t>
      </w:r>
      <w:r>
        <w:t xml:space="preserve">answers and</w:t>
      </w:r>
      <w:r>
        <w:t xml:space="preserve"> </w:t>
      </w:r>
      <w:r>
        <w:rPr>
          <w:bCs/>
          <w:b/>
        </w:rPr>
        <w:t xml:space="preserve">failover</w:t>
      </w:r>
      <w:r>
        <w:t xml:space="preserve">. The limits are those of §7.6.5: caching makes control coarse and failover TTL-bound, the resolver is not the client, and DNS sees no server load. Anycast (§19.8.2) is the main alternative and fails over at BGP speed; many providers combine both.</w:t>
      </w:r>
    </w:p>
    <w:bookmarkEnd w:id="2227"/>
    <w:bookmarkStart w:id="2231" w:name="client-side-load-balancing"/>
    <w:p>
      <w:pPr>
        <w:pStyle w:val="Heading2"/>
      </w:pPr>
      <w:r>
        <w:t xml:space="preserve">19.10 Client-side load balancing</w:t>
      </w:r>
    </w:p>
    <w:p>
      <w:pPr>
        <w:pStyle w:val="FirstParagraph"/>
      </w:pPr>
      <w:r>
        <w:t xml:space="preserve">Every proxy is an extra network hop, an extra machine to run, and an extra failure point. Inside a datacenter, the client can balance for itself.</w:t>
      </w:r>
    </w:p>
    <w:p>
      <w:pPr>
        <w:pStyle w:val="CalloutDefinition"/>
      </w:pPr>
      <w:r>
        <w:rPr>
          <w:bCs/>
          <w:b/>
        </w:rPr>
        <w:t xml:space="preserve">DEFINITION</w:t>
      </w:r>
    </w:p>
    <w:p>
      <w:pPr>
        <w:pStyle w:val="CalloutDefinition"/>
      </w:pPr>
      <w:r>
        <w:rPr>
          <w:bCs/>
          <w:b/>
        </w:rPr>
        <w:t xml:space="preserve">Definition — Client-side load balancing.</w:t>
      </w:r>
      <w:r>
        <w:t xml:space="preserve"> </w:t>
      </w:r>
      <w:r>
        <w:t xml:space="preserve">The calling process obtains the list of backend endpoints from service discovery (§34.7) and chooses a backend for each request itself, with no proxy in the path. A</w:t>
      </w:r>
      <w:r>
        <w:t xml:space="preserve"> </w:t>
      </w:r>
      <w:r>
        <w:rPr>
          <w:bCs/>
          <w:b/>
        </w:rPr>
        <w:t xml:space="preserve">lookaside</w:t>
      </w:r>
      <w:r>
        <w:t xml:space="preserve"> </w:t>
      </w:r>
      <w:r>
        <w:t xml:space="preserve">balancer is an external service that tells clients</w:t>
      </w:r>
      <w:r>
        <w:t xml:space="preserve"> </w:t>
      </w:r>
      <w:r>
        <w:rPr>
          <w:iCs/>
          <w:i/>
        </w:rPr>
        <w:t xml:space="preserve">which</w:t>
      </w:r>
      <w:r>
        <w:t xml:space="preserve"> </w:t>
      </w:r>
      <w:r>
        <w:t xml:space="preserve">backends to use (and with what weights) while the traffic still flows directly from client to backend.</w:t>
      </w:r>
    </w:p>
    <w:p>
      <w:pPr>
        <w:pStyle w:val="BodyText"/>
      </w:pPr>
      <w:r>
        <w:rPr>
          <w:bCs/>
          <w:b/>
        </w:rPr>
        <w:t xml:space="preserve">Figure 19.11 — Four places to put the balancing decision.</w:t>
      </w:r>
    </w:p>
    <w:p>
      <w:pPr>
        <w:pStyle w:val="BodyText"/>
      </w:pPr>
      <w:r>
        <w:drawing>
          <wp:inline>
            <wp:extent cx="5334000" cy="435428"/>
            <wp:effectExtent b="0" l="0" r="0" t="0"/>
            <wp:docPr descr="" title="" id="2229" name="Picture"/>
            <a:graphic>
              <a:graphicData uri="http://schemas.openxmlformats.org/drawingml/2006/picture">
                <pic:pic>
                  <pic:nvPicPr>
                    <pic:cNvPr descr="/home/user/System-Design/build/.cache/diagrams/ff656c99da6a.png" id="2230" name="Picture"/>
                    <pic:cNvPicPr>
                      <a:picLocks noChangeArrowheads="1" noChangeAspect="1"/>
                    </pic:cNvPicPr>
                  </pic:nvPicPr>
                  <pic:blipFill>
                    <a:blip r:embed="rId2228"/>
                    <a:stretch>
                      <a:fillRect/>
                    </a:stretch>
                  </pic:blipFill>
                  <pic:spPr bwMode="auto">
                    <a:xfrm>
                      <a:off x="0" y="0"/>
                      <a:ext cx="5334000" cy="435428"/>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Solid arrows are synchronous requests; dotted arrows are asynchronous control traffic. The</w:t>
      </w:r>
      <w:r>
        <w:t xml:space="preserve"> </w:t>
      </w:r>
      <w:r>
        <w:rPr>
          <w:bCs/>
          <w:b/>
        </w:rPr>
        <w:t xml:space="preserve">proxy</w:t>
      </w:r>
      <w:r>
        <w:t xml:space="preserve"> </w:t>
      </w:r>
      <w:r>
        <w:t xml:space="preserve">adds a shared hop. The</w:t>
      </w:r>
      <w:r>
        <w:t xml:space="preserve"> </w:t>
      </w:r>
      <w:r>
        <w:rPr>
          <w:bCs/>
          <w:b/>
        </w:rPr>
        <w:t xml:space="preserve">library</w:t>
      </w:r>
      <w:r>
        <w:t xml:space="preserve"> </w:t>
      </w:r>
      <w:r>
        <w:t xml:space="preserve">(gRPC’s</w:t>
      </w:r>
      <w:r>
        <w:t xml:space="preserve"> </w:t>
      </w:r>
      <w:r>
        <w:rPr>
          <w:rStyle w:val="VerbatimChar"/>
        </w:rPr>
        <w:t xml:space="preserve">round_robin</w:t>
      </w:r>
      <w:r>
        <w:t xml:space="preserve">,</w:t>
      </w:r>
      <w:r>
        <w:t xml:space="preserve"> </w:t>
      </w:r>
      <w:r>
        <w:rPr>
          <w:rStyle w:val="VerbatimChar"/>
        </w:rPr>
        <w:t xml:space="preserve">least_request</w:t>
      </w:r>
      <w:r>
        <w:t xml:space="preserve">,</w:t>
      </w:r>
      <w:r>
        <w:t xml:space="preserve"> </w:t>
      </w:r>
      <w:r>
        <w:rPr>
          <w:rStyle w:val="VerbatimChar"/>
        </w:rPr>
        <w:t xml:space="preserve">weighted_round_robin</w:t>
      </w:r>
      <w:r>
        <w:t xml:space="preserve">,</w:t>
      </w:r>
      <w:r>
        <w:t xml:space="preserve"> </w:t>
      </w:r>
      <w:r>
        <w:rPr>
          <w:rStyle w:val="VerbatimChar"/>
        </w:rPr>
        <w:t xml:space="preserve">ring_hash</w:t>
      </w:r>
      <w:r>
        <w:t xml:space="preserve"> </w:t>
      </w:r>
      <w:r>
        <w:t xml:space="preserve">policies) balances per call inside the client, using endpoints from a registry, the storage boundary. The</w:t>
      </w:r>
      <w:r>
        <w:t xml:space="preserve"> </w:t>
      </w:r>
      <w:r>
        <w:rPr>
          <w:bCs/>
          <w:b/>
        </w:rPr>
        <w:t xml:space="preserve">sidecar</w:t>
      </w:r>
      <w:r>
        <w:t xml:space="preserve"> </w:t>
      </w:r>
      <w:r>
        <w:t xml:space="preserve">moves that logic into a local proxy usable from any language, configured by a control plane over Envoy’s xDS APIs (§34.10).</w:t>
      </w:r>
      <w:r>
        <w:t xml:space="preserve"> </w:t>
      </w:r>
      <w:r>
        <w:rPr>
          <w:bCs/>
          <w:b/>
        </w:rPr>
        <w:t xml:space="preserve">Lookaside</w:t>
      </w:r>
      <w:r>
        <w:t xml:space="preserve"> </w:t>
      </w:r>
      <w:r>
        <w:t xml:space="preserve">centralizes the decision but keeps traffic direct: backends report load to a service that hands clients weighted backend lists [gRPC Docs: Load balancing]. Failure points: a stale registry, and a control-plane outage, during which sidecars must keep their last configuration. Scaling: no proxy tier; the cost moves into every client.</w:t>
      </w:r>
    </w:p>
    <w:p>
      <w:pPr>
        <w:pStyle w:val="BodyText"/>
      </w:pPr>
      <w:r>
        <w:t xml:space="preserve">Client-side balancing gives per-call balancing for gRPC, saves a hop (often 0.1–1 ms in a datacenter) and removes a tier. The costs: every client needs the logic (or a sidecar), and connections multiply. With 1,000 clients and 1,000 backends, a full mesh is</w:t>
      </w:r>
      <w:r>
        <w:t xml:space="preserve"> </w:t>
      </w:r>
      <m:oMath>
        <m:sSup>
          <m:e>
            <m:r>
              <m:t>10</m:t>
            </m:r>
          </m:e>
          <m:sup>
            <m:r>
              <m:t>6</m:t>
            </m:r>
          </m:sup>
        </m:sSup>
      </m:oMath>
      <w:r>
        <w:t xml:space="preserve"> </w:t>
      </w:r>
      <w:r>
        <w:t xml:space="preserve">connections. Google’s answer is</w:t>
      </w:r>
      <w:r>
        <w:t xml:space="preserve"> </w:t>
      </w:r>
      <w:r>
        <w:rPr>
          <w:bCs/>
          <w:b/>
        </w:rPr>
        <w:t xml:space="preserve">subsetting</w:t>
      </w:r>
      <w:r>
        <w:t xml:space="preserve">: each client connects to a deterministic subset of backends, chosen so every backend gets about the same number of clients; the SRE book discusses subsets of 20 to 100 [Beyer et al. 2016, ch. 20]. With subsets of 20, connections fall to 20,000, and P2C works well inside a subset because it needs no global view.</w:t>
      </w:r>
    </w:p>
    <w:p>
      <w:pPr>
        <w:pStyle w:val="CalloutIndustry"/>
      </w:pPr>
      <w:r>
        <w:rPr>
          <w:bCs/>
          <w:b/>
        </w:rPr>
        <w:t xml:space="preserve">INDUSTRY EXAMPLE</w:t>
      </w:r>
    </w:p>
    <w:p>
      <w:pPr>
        <w:pStyle w:val="CalloutIndustry"/>
      </w:pPr>
      <w:r>
        <w:rPr>
          <w:bCs/>
          <w:b/>
        </w:rPr>
        <w:t xml:space="preserve">Kubernetes Services.</w:t>
      </w:r>
      <w:r>
        <w:t xml:space="preserve"> </w:t>
      </w:r>
      <w:r>
        <w:t xml:space="preserve">A Kubernetes</w:t>
      </w:r>
      <w:r>
        <w:t xml:space="preserve"> </w:t>
      </w:r>
      <w:r>
        <w:rPr>
          <w:rStyle w:val="VerbatimChar"/>
        </w:rPr>
        <w:t xml:space="preserve">ClusterIP</w:t>
      </w:r>
      <w:r>
        <w:t xml:space="preserve"> </w:t>
      </w:r>
      <w:r>
        <w:t xml:space="preserve">Service is a form of client-side L4 balancing:</w:t>
      </w:r>
      <w:r>
        <w:t xml:space="preserve"> </w:t>
      </w:r>
      <w:r>
        <w:rPr>
          <w:rStyle w:val="VerbatimChar"/>
        </w:rPr>
        <w:t xml:space="preserve">kube-proxy</w:t>
      </w:r>
      <w:r>
        <w:t xml:space="preserve"> </w:t>
      </w:r>
      <w:r>
        <w:t xml:space="preserve">on every node programs iptables, IPVS or nftables rules so that connections to the Service IP are spread over pod endpoints on the</w:t>
      </w:r>
      <w:r>
        <w:t xml:space="preserve"> </w:t>
      </w:r>
      <w:r>
        <w:rPr>
          <w:iCs/>
          <w:i/>
        </w:rPr>
        <w:t xml:space="preserve">client’s</w:t>
      </w:r>
      <w:r>
        <w:t xml:space="preserve"> </w:t>
      </w:r>
      <w:r>
        <w:t xml:space="preserve">node, with no central balancer. Because it balances connections, long-lived gRPC connections still need L7 or library balancing (§42.9).</w:t>
      </w:r>
      <w:r>
        <w:t xml:space="preserve"> </w:t>
      </w:r>
      <w:r>
        <w:rPr>
          <w:iCs/>
          <w:i/>
        </w:rPr>
        <w:t xml:space="preserve">Evidence: Primary</w:t>
      </w:r>
      <w:r>
        <w:t xml:space="preserve"> </w:t>
      </w:r>
      <w:r>
        <w:t xml:space="preserve">— [Kubernetes Docs: Virtual IPs and Service Proxies]</w:t>
      </w:r>
    </w:p>
    <w:bookmarkEnd w:id="2231"/>
    <w:bookmarkStart w:id="2232" w:name="Xf9739b78cf8df4dc03620654c75880da95e8438"/>
    <w:p>
      <w:pPr>
        <w:pStyle w:val="Heading2"/>
      </w:pPr>
      <w:r>
        <w:t xml:space="preserve">19.11 Choosing a load balancer: products compared</w:t>
      </w:r>
    </w:p>
    <w:p>
      <w:pPr>
        <w:pStyle w:val="FirstParagraph"/>
      </w:pPr>
      <w:r>
        <w:rPr>
          <w:bCs/>
          <w:b/>
        </w:rPr>
        <w:t xml:space="preserve">Table 19.7 — Load balancer products (as of 2026; check current documentation).</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Product</w:t>
            </w:r>
          </w:p>
        </w:tc>
        <w:tc>
          <w:tcPr/>
          <w:p>
            <w:pPr>
              <w:pStyle w:val="Compact"/>
              <w:jc w:val="left"/>
            </w:pPr>
            <w:r>
              <w:t xml:space="preserve">Layer</w:t>
            </w:r>
          </w:p>
        </w:tc>
        <w:tc>
          <w:tcPr/>
          <w:p>
            <w:pPr>
              <w:pStyle w:val="Compact"/>
              <w:jc w:val="left"/>
            </w:pPr>
            <w:r>
              <w:t xml:space="preserve">Algorithms (selection)</w:t>
            </w:r>
          </w:p>
        </w:tc>
        <w:tc>
          <w:tcPr/>
          <w:p>
            <w:pPr>
              <w:pStyle w:val="Compact"/>
              <w:jc w:val="left"/>
            </w:pPr>
            <w:r>
              <w:t xml:space="preserve">Health checking</w:t>
            </w:r>
          </w:p>
        </w:tc>
        <w:tc>
          <w:tcPr/>
          <w:p>
            <w:pPr>
              <w:pStyle w:val="Compact"/>
              <w:jc w:val="left"/>
            </w:pPr>
            <w:r>
              <w:t xml:space="preserve">Notable traits</w:t>
            </w:r>
          </w:p>
        </w:tc>
        <w:tc>
          <w:tcPr/>
          <w:p>
            <w:pPr>
              <w:pStyle w:val="Compact"/>
              <w:jc w:val="left"/>
            </w:pPr>
            <w:r>
              <w:t xml:space="preserve">Choose when</w:t>
            </w:r>
          </w:p>
        </w:tc>
      </w:tr>
      <w:tr>
        <w:tc>
          <w:tcPr/>
          <w:p>
            <w:pPr>
              <w:pStyle w:val="Compact"/>
              <w:jc w:val="left"/>
            </w:pPr>
            <w:r>
              <w:t xml:space="preserve">NGINX (open source)</w:t>
            </w:r>
          </w:p>
        </w:tc>
        <w:tc>
          <w:tcPr/>
          <w:p>
            <w:pPr>
              <w:pStyle w:val="Compact"/>
              <w:jc w:val="left"/>
            </w:pPr>
            <w:r>
              <w:t xml:space="preserve">L7 HTTP; L4</w:t>
            </w:r>
            <w:r>
              <w:t xml:space="preserve"> </w:t>
            </w:r>
            <w:r>
              <w:rPr>
                <w:rStyle w:val="VerbatimChar"/>
              </w:rPr>
              <w:t xml:space="preserve">stream</w:t>
            </w:r>
          </w:p>
        </w:tc>
        <w:tc>
          <w:tcPr/>
          <w:p>
            <w:pPr>
              <w:pStyle w:val="Compact"/>
              <w:jc w:val="left"/>
            </w:pPr>
            <w:r>
              <w:t xml:space="preserve">Smooth WRR,</w:t>
            </w:r>
            <w:r>
              <w:t xml:space="preserve"> </w:t>
            </w:r>
            <w:r>
              <w:rPr>
                <w:rStyle w:val="VerbatimChar"/>
              </w:rPr>
              <w:t xml:space="preserve">least_conn</w:t>
            </w:r>
            <w:r>
              <w:t xml:space="preserve">,</w:t>
            </w:r>
            <w:r>
              <w:t xml:space="preserve"> </w:t>
            </w:r>
            <w:r>
              <w:rPr>
                <w:rStyle w:val="VerbatimChar"/>
              </w:rPr>
              <w:t xml:space="preserve">ip_hash</w:t>
            </w:r>
            <w:r>
              <w:t xml:space="preserve">,</w:t>
            </w:r>
            <w:r>
              <w:t xml:space="preserve"> </w:t>
            </w:r>
            <w:r>
              <w:rPr>
                <w:rStyle w:val="VerbatimChar"/>
              </w:rPr>
              <w:t xml:space="preserve">hash ... consistent</w:t>
            </w:r>
            <w:r>
              <w:t xml:space="preserve">,</w:t>
            </w:r>
            <w:r>
              <w:t xml:space="preserve"> </w:t>
            </w:r>
            <w:r>
              <w:rPr>
                <w:rStyle w:val="VerbatimChar"/>
              </w:rPr>
              <w:t xml:space="preserve">random two least_conn</w:t>
            </w:r>
          </w:p>
        </w:tc>
        <w:tc>
          <w:tcPr/>
          <w:p>
            <w:pPr>
              <w:pStyle w:val="Compact"/>
              <w:jc w:val="left"/>
            </w:pPr>
            <w:r>
              <w:t xml:space="preserve">Passive (</w:t>
            </w:r>
            <w:r>
              <w:rPr>
                <w:rStyle w:val="VerbatimChar"/>
              </w:rPr>
              <w:t xml:space="preserve">max_fails</w:t>
            </w:r>
            <w:r>
              <w:t xml:space="preserve">); active in NGINX Plus</w:t>
            </w:r>
          </w:p>
        </w:tc>
        <w:tc>
          <w:tcPr/>
          <w:p>
            <w:pPr>
              <w:pStyle w:val="Compact"/>
              <w:jc w:val="left"/>
            </w:pPr>
            <w:r>
              <w:t xml:space="preserve">Also a web server and cache; huge install base</w:t>
            </w:r>
          </w:p>
        </w:tc>
        <w:tc>
          <w:tcPr/>
          <w:p>
            <w:pPr>
              <w:pStyle w:val="Compact"/>
              <w:jc w:val="left"/>
            </w:pPr>
            <w:r>
              <w:t xml:space="preserve">Web front ends, simple reverse proxying</w:t>
            </w:r>
          </w:p>
        </w:tc>
      </w:tr>
      <w:tr>
        <w:tc>
          <w:tcPr/>
          <w:p>
            <w:pPr>
              <w:pStyle w:val="Compact"/>
              <w:jc w:val="left"/>
            </w:pPr>
            <w:r>
              <w:t xml:space="preserve">HAProxy</w:t>
            </w:r>
          </w:p>
        </w:tc>
        <w:tc>
          <w:tcPr/>
          <w:p>
            <w:pPr>
              <w:pStyle w:val="Compact"/>
              <w:jc w:val="left"/>
            </w:pPr>
            <w:r>
              <w:t xml:space="preserve">L4 and L7</w:t>
            </w:r>
          </w:p>
        </w:tc>
        <w:tc>
          <w:tcPr/>
          <w:p>
            <w:pPr>
              <w:pStyle w:val="Compact"/>
              <w:jc w:val="left"/>
            </w:pPr>
            <w:r>
              <w:rPr>
                <w:rStyle w:val="VerbatimChar"/>
              </w:rPr>
              <w:t xml:space="preserve">roundrobin</w:t>
            </w:r>
            <w:r>
              <w:t xml:space="preserve">,</w:t>
            </w:r>
            <w:r>
              <w:t xml:space="preserve"> </w:t>
            </w:r>
            <w:r>
              <w:rPr>
                <w:rStyle w:val="VerbatimChar"/>
              </w:rPr>
              <w:t xml:space="preserve">leastconn</w:t>
            </w:r>
            <w:r>
              <w:t xml:space="preserve">,</w:t>
            </w:r>
            <w:r>
              <w:t xml:space="preserve"> </w:t>
            </w:r>
            <w:r>
              <w:rPr>
                <w:rStyle w:val="VerbatimChar"/>
              </w:rPr>
              <w:t xml:space="preserve">source</w:t>
            </w:r>
            <w:r>
              <w:t xml:space="preserve">,</w:t>
            </w:r>
            <w:r>
              <w:t xml:space="preserve"> </w:t>
            </w:r>
            <w:r>
              <w:rPr>
                <w:rStyle w:val="VerbatimChar"/>
              </w:rPr>
              <w:t xml:space="preserve">uri</w:t>
            </w:r>
            <w:r>
              <w:t xml:space="preserve">,</w:t>
            </w:r>
            <w:r>
              <w:t xml:space="preserve"> </w:t>
            </w:r>
            <w:r>
              <w:rPr>
                <w:rStyle w:val="VerbatimChar"/>
              </w:rPr>
              <w:t xml:space="preserve">hdr</w:t>
            </w:r>
            <w:r>
              <w:t xml:space="preserve">,</w:t>
            </w:r>
            <w:r>
              <w:t xml:space="preserve"> </w:t>
            </w:r>
            <w:r>
              <w:rPr>
                <w:rStyle w:val="VerbatimChar"/>
              </w:rPr>
              <w:t xml:space="preserve">random(&lt;draws&gt;)</w:t>
            </w:r>
            <w:r>
              <w:t xml:space="preserve">, consistent hash with</w:t>
            </w:r>
            <w:r>
              <w:t xml:space="preserve"> </w:t>
            </w:r>
            <w:r>
              <w:rPr>
                <w:rStyle w:val="VerbatimChar"/>
              </w:rPr>
              <w:t xml:space="preserve">hash-balance-factor</w:t>
            </w:r>
          </w:p>
        </w:tc>
        <w:tc>
          <w:tcPr/>
          <w:p>
            <w:pPr>
              <w:pStyle w:val="Compact"/>
              <w:jc w:val="left"/>
            </w:pPr>
            <w:r>
              <w:t xml:space="preserve">Active (rise/fall, agent checks) and passive (</w:t>
            </w:r>
            <w:r>
              <w:rPr>
                <w:rStyle w:val="VerbatimChar"/>
              </w:rPr>
              <w:t xml:space="preserve">observe</w:t>
            </w:r>
            <w:r>
              <w:t xml:space="preserve">)</w:t>
            </w:r>
          </w:p>
        </w:tc>
        <w:tc>
          <w:tcPr/>
          <w:p>
            <w:pPr>
              <w:pStyle w:val="Compact"/>
              <w:jc w:val="left"/>
            </w:pPr>
            <w:r>
              <w:t xml:space="preserve">Very detailed statistics, stick tables, mature</w:t>
            </w:r>
          </w:p>
        </w:tc>
        <w:tc>
          <w:tcPr/>
          <w:p>
            <w:pPr>
              <w:pStyle w:val="Compact"/>
              <w:jc w:val="left"/>
            </w:pPr>
            <w:r>
              <w:t xml:space="preserve">High-performance self-managed balancing</w:t>
            </w:r>
          </w:p>
        </w:tc>
      </w:tr>
      <w:tr>
        <w:tc>
          <w:tcPr/>
          <w:p>
            <w:pPr>
              <w:pStyle w:val="Compact"/>
              <w:jc w:val="left"/>
            </w:pPr>
            <w:r>
              <w:t xml:space="preserve">Envoy</w:t>
            </w:r>
          </w:p>
        </w:tc>
        <w:tc>
          <w:tcPr/>
          <w:p>
            <w:pPr>
              <w:pStyle w:val="Compact"/>
              <w:jc w:val="left"/>
            </w:pPr>
            <w:r>
              <w:t xml:space="preserve">L4 and L7 (HTTP/1, HTTP/2, HTTP/3, gRPC)</w:t>
            </w:r>
          </w:p>
        </w:tc>
        <w:tc>
          <w:tcPr/>
          <w:p>
            <w:pPr>
              <w:pStyle w:val="Compact"/>
              <w:jc w:val="left"/>
            </w:pPr>
            <w:r>
              <w:t xml:space="preserve">Round robin, least request (P2C), ring hash, Maglev, random</w:t>
            </w:r>
          </w:p>
        </w:tc>
        <w:tc>
          <w:tcPr/>
          <w:p>
            <w:pPr>
              <w:pStyle w:val="Compact"/>
              <w:jc w:val="left"/>
            </w:pPr>
            <w:r>
              <w:t xml:space="preserve">Active, outlier detection, panic threshold</w:t>
            </w:r>
          </w:p>
        </w:tc>
        <w:tc>
          <w:tcPr/>
          <w:p>
            <w:pPr>
              <w:pStyle w:val="Compact"/>
              <w:jc w:val="left"/>
            </w:pPr>
            <w:r>
              <w:t xml:space="preserve">Dynamic xDS configuration; service-mesh data plane</w:t>
            </w:r>
          </w:p>
        </w:tc>
        <w:tc>
          <w:tcPr/>
          <w:p>
            <w:pPr>
              <w:pStyle w:val="Compact"/>
              <w:jc w:val="left"/>
            </w:pPr>
            <w:r>
              <w:t xml:space="preserve">Microservices, gRPC, meshes</w:t>
            </w:r>
          </w:p>
        </w:tc>
      </w:tr>
      <w:tr>
        <w:tc>
          <w:tcPr/>
          <w:p>
            <w:pPr>
              <w:pStyle w:val="Compact"/>
              <w:jc w:val="left"/>
            </w:pPr>
            <w:r>
              <w:t xml:space="preserve">AWS Application Load Balancer</w:t>
            </w:r>
          </w:p>
        </w:tc>
        <w:tc>
          <w:tcPr/>
          <w:p>
            <w:pPr>
              <w:pStyle w:val="Compact"/>
              <w:jc w:val="left"/>
            </w:pPr>
            <w:r>
              <w:t xml:space="preserve">L7 managed</w:t>
            </w:r>
          </w:p>
        </w:tc>
        <w:tc>
          <w:tcPr/>
          <w:p>
            <w:pPr>
              <w:pStyle w:val="Compact"/>
              <w:jc w:val="left"/>
            </w:pPr>
            <w:r>
              <w:t xml:space="preserve">Round robin, least outstanding requests, weighted random</w:t>
            </w:r>
          </w:p>
        </w:tc>
        <w:tc>
          <w:tcPr/>
          <w:p>
            <w:pPr>
              <w:pStyle w:val="Compact"/>
              <w:jc w:val="left"/>
            </w:pPr>
            <w:r>
              <w:t xml:space="preserve">Active per target group</w:t>
            </w:r>
          </w:p>
        </w:tc>
        <w:tc>
          <w:tcPr/>
          <w:p>
            <w:pPr>
              <w:pStyle w:val="Compact"/>
              <w:jc w:val="left"/>
            </w:pPr>
            <w:r>
              <w:t xml:space="preserve">Managed TLS, path/host routing, WAF integration</w:t>
            </w:r>
          </w:p>
        </w:tc>
        <w:tc>
          <w:tcPr/>
          <w:p>
            <w:pPr>
              <w:pStyle w:val="Compact"/>
              <w:jc w:val="left"/>
            </w:pPr>
            <w:r>
              <w:t xml:space="preserve">HTTP services on AWS</w:t>
            </w:r>
          </w:p>
        </w:tc>
      </w:tr>
      <w:tr>
        <w:tc>
          <w:tcPr/>
          <w:p>
            <w:pPr>
              <w:pStyle w:val="Compact"/>
              <w:jc w:val="left"/>
            </w:pPr>
            <w:r>
              <w:t xml:space="preserve">AWS Network Load Balancer</w:t>
            </w:r>
          </w:p>
        </w:tc>
        <w:tc>
          <w:tcPr/>
          <w:p>
            <w:pPr>
              <w:pStyle w:val="Compact"/>
              <w:jc w:val="left"/>
            </w:pPr>
            <w:r>
              <w:t xml:space="preserve">L4 managed (TCP, UDP, TLS)</w:t>
            </w:r>
          </w:p>
        </w:tc>
        <w:tc>
          <w:tcPr/>
          <w:p>
            <w:pPr>
              <w:pStyle w:val="Compact"/>
              <w:jc w:val="left"/>
            </w:pPr>
            <w:r>
              <w:t xml:space="preserve">Flow hash</w:t>
            </w:r>
          </w:p>
        </w:tc>
        <w:tc>
          <w:tcPr/>
          <w:p>
            <w:pPr>
              <w:pStyle w:val="Compact"/>
              <w:jc w:val="left"/>
            </w:pPr>
            <w:r>
              <w:t xml:space="preserve">Active per target group</w:t>
            </w:r>
          </w:p>
        </w:tc>
        <w:tc>
          <w:tcPr/>
          <w:p>
            <w:pPr>
              <w:pStyle w:val="Compact"/>
              <w:jc w:val="left"/>
            </w:pPr>
            <w:r>
              <w:t xml:space="preserve">Static IP per zone, client IP preserved, very high scale</w:t>
            </w:r>
          </w:p>
        </w:tc>
        <w:tc>
          <w:tcPr/>
          <w:p>
            <w:pPr>
              <w:pStyle w:val="Compact"/>
              <w:jc w:val="left"/>
            </w:pPr>
            <w:r>
              <w:t xml:space="preserve">Non-HTTP, extreme volume, static IPs</w:t>
            </w:r>
          </w:p>
        </w:tc>
      </w:tr>
      <w:tr>
        <w:tc>
          <w:tcPr/>
          <w:p>
            <w:pPr>
              <w:pStyle w:val="Compact"/>
              <w:jc w:val="left"/>
            </w:pPr>
            <w:r>
              <w:t xml:space="preserve">Google Maglev</w:t>
            </w:r>
          </w:p>
        </w:tc>
        <w:tc>
          <w:tcPr/>
          <w:p>
            <w:pPr>
              <w:pStyle w:val="Compact"/>
              <w:jc w:val="left"/>
            </w:pPr>
            <w:r>
              <w:t xml:space="preserve">L4 software, in-house</w:t>
            </w:r>
          </w:p>
        </w:tc>
        <w:tc>
          <w:tcPr/>
          <w:p>
            <w:pPr>
              <w:pStyle w:val="Compact"/>
              <w:jc w:val="left"/>
            </w:pPr>
            <w:r>
              <w:t xml:space="preserve">Maglev hashing + connection tracking</w:t>
            </w:r>
          </w:p>
        </w:tc>
        <w:tc>
          <w:tcPr/>
          <w:p>
            <w:pPr>
              <w:pStyle w:val="Compact"/>
              <w:jc w:val="left"/>
            </w:pPr>
            <w:r>
              <w:t xml:space="preserve">Backend health drives table</w:t>
            </w:r>
          </w:p>
        </w:tc>
        <w:tc>
          <w:tcPr/>
          <w:p>
            <w:pPr>
              <w:pStyle w:val="Compact"/>
              <w:jc w:val="left"/>
            </w:pPr>
            <w:r>
              <w:t xml:space="preserve">ECMP + BGP, GRE to backends, DSR; underlies Google Cloud’s network load balancing</w:t>
            </w:r>
          </w:p>
        </w:tc>
        <w:tc>
          <w:tcPr/>
          <w:p>
            <w:pPr>
              <w:pStyle w:val="Compact"/>
              <w:jc w:val="left"/>
            </w:pPr>
            <w:r>
              <w:t xml:space="preserve">Not a product you run; the reference design for software L4</w:t>
            </w:r>
          </w:p>
        </w:tc>
      </w:tr>
    </w:tbl>
    <w:p>
      <w:pPr>
        <w:pStyle w:val="BodyText"/>
      </w:pPr>
      <w:r>
        <w:t xml:space="preserve">Also worth knowing: IPVS (in the Linux kernel, used by keepalived and</w:t>
      </w:r>
      <w:r>
        <w:t xml:space="preserve"> </w:t>
      </w:r>
      <w:r>
        <w:rPr>
          <w:rStyle w:val="VerbatimChar"/>
        </w:rPr>
        <w:t xml:space="preserve">kube-proxy</w:t>
      </w:r>
      <w:r>
        <w:t xml:space="preserve">) and eBPF/XDP balancers such as Katran.</w:t>
      </w:r>
    </w:p>
    <w:bookmarkEnd w:id="2232"/>
    <w:bookmarkStart w:id="2233" w:name="summary-and-revision-notes-18"/>
    <w:p>
      <w:pPr>
        <w:pStyle w:val="Heading2"/>
      </w:pPr>
      <w:r>
        <w:t xml:space="preserve">19.12 Summary and revision notes</w:t>
      </w:r>
    </w:p>
    <w:p>
      <w:pPr>
        <w:pStyle w:val="CalloutSummary"/>
      </w:pPr>
      <w:r>
        <w:rPr>
          <w:bCs/>
          <w:b/>
        </w:rPr>
        <w:t xml:space="preserve">SUMMARY</w:t>
      </w:r>
    </w:p>
    <w:p>
      <w:pPr>
        <w:numPr>
          <w:ilvl w:val="0"/>
          <w:numId w:val="1648"/>
        </w:numPr>
        <w:pStyle w:val="Compact"/>
      </w:pPr>
      <w:r>
        <w:rPr>
          <w:bCs/>
          <w:b/>
        </w:rPr>
        <w:t xml:space="preserve">L4 versus L7.</w:t>
      </w:r>
      <w:r>
        <w:t xml:space="preserve"> </w:t>
      </w:r>
      <w:r>
        <w:t xml:space="preserve">L4 balances flows on headers (line rate, any protocol, DSR:</w:t>
      </w:r>
      <w:r>
        <w:t xml:space="preserve"> </w:t>
      </w:r>
      <m:oMath>
        <m:r>
          <m:t>B</m:t>
        </m:r>
        <m:r>
          <m:rPr>
            <m:sty m:val="p"/>
          </m:rPr>
          <m:t>=</m:t>
        </m:r>
        <m:r>
          <m:t>R</m:t>
        </m:r>
        <m:r>
          <m:t> </m:t>
        </m:r>
        <m:sSub>
          <m:e>
            <m:r>
              <m:t>s</m:t>
            </m:r>
          </m:e>
          <m:sub>
            <m:r>
              <m:rPr>
                <m:nor/>
                <m:sty m:val="p"/>
              </m:rPr>
              <m:t>req</m:t>
            </m:r>
          </m:sub>
        </m:sSub>
      </m:oMath>
      <w:r>
        <w:t xml:space="preserve">); L7 terminates TLS and balances requests (routing, retries, per-call gRPC). Large sites stack ECMP → L4 → L7.</w:t>
      </w:r>
    </w:p>
    <w:p>
      <w:pPr>
        <w:numPr>
          <w:ilvl w:val="0"/>
          <w:numId w:val="1648"/>
        </w:numPr>
        <w:pStyle w:val="Compact"/>
      </w:pPr>
      <w:r>
        <w:rPr>
          <w:bCs/>
          <w:b/>
        </w:rPr>
        <w:t xml:space="preserve">Algorithms approximate one shared queue.</w:t>
      </w:r>
      <w:r>
        <w:t xml:space="preserve"> </w:t>
      </w:r>
      <w:r>
        <w:t xml:space="preserve">RR and smooth WRR ignore load; unweighted RR drove a slow server to 187% at 80% pool load. Least connections equalizes</w:t>
      </w:r>
      <w:r>
        <w:t xml:space="preserve"> </w:t>
      </w:r>
      <m:oMath>
        <m:sSub>
          <m:e>
            <m:r>
              <m:t>L</m:t>
            </m:r>
          </m:e>
          <m:sub>
            <m:r>
              <m:t>i</m:t>
            </m:r>
          </m:sub>
        </m:sSub>
        <m:r>
          <m:rPr>
            <m:sty m:val="p"/>
          </m:rPr>
          <m:t>=</m:t>
        </m:r>
        <m:sSub>
          <m:e>
            <m:r>
              <m:t>λ</m:t>
            </m:r>
          </m:e>
          <m:sub>
            <m:r>
              <m:t>i</m:t>
            </m:r>
          </m:sub>
        </m:sSub>
        <m:sSub>
          <m:e>
            <m:r>
              <m:t>W</m:t>
            </m:r>
          </m:e>
          <m:sub>
            <m:r>
              <m:t>i</m:t>
            </m:r>
          </m:sub>
        </m:sSub>
      </m:oMath>
      <w:r>
        <w:t xml:space="preserve">, so rate</w:t>
      </w:r>
      <w:r>
        <w:t xml:space="preserve"> </w:t>
      </w:r>
      <m:oMath>
        <m:r>
          <m:rPr>
            <m:sty m:val="p"/>
          </m:rPr>
          <m:t>∝</m:t>
        </m:r>
        <m:r>
          <m:t>1</m:t>
        </m:r>
        <m:r>
          <m:rPr>
            <m:sty m:val="p"/>
          </m:rPr>
          <m:t>/</m:t>
        </m:r>
        <m:sSub>
          <m:e>
            <m:r>
              <m:t>W</m:t>
            </m:r>
          </m:e>
          <m:sub>
            <m:r>
              <m:t>i</m:t>
            </m:r>
          </m:sub>
        </m:sSub>
      </m:oMath>
      <w:r>
        <w:t xml:space="preserve">, but herds on stale data and rewards fast failures. EWMA latency adapts at the speed of traffic.</w:t>
      </w:r>
    </w:p>
    <w:p>
      <w:pPr>
        <w:numPr>
          <w:ilvl w:val="0"/>
          <w:numId w:val="1648"/>
        </w:numPr>
        <w:pStyle w:val="Compact"/>
      </w:pPr>
      <w:r>
        <w:rPr>
          <w:bCs/>
          <w:b/>
        </w:rPr>
        <w:t xml:space="preserve">Power of two choices.</w:t>
      </w:r>
      <w:r>
        <w:t xml:space="preserve"> </w:t>
      </w:r>
      <w:r>
        <w:t xml:space="preserve">Max load falls from</w:t>
      </w:r>
      <w:r>
        <w:t xml:space="preserve"> </w:t>
      </w:r>
      <m:oMath>
        <m:r>
          <m:rPr>
            <m:sty m:val="p"/>
          </m:rPr>
          <m:t>≈</m:t>
        </m:r>
        <m:r>
          <m:rPr>
            <m:sty m:val="p"/>
          </m:rPr>
          <m:t>ln</m:t>
        </m:r>
        <m:r>
          <m:t>n</m:t>
        </m:r>
        <m:r>
          <m:rPr>
            <m:sty m:val="p"/>
          </m:rPr>
          <m:t>/</m:t>
        </m:r>
        <m:r>
          <m:rPr>
            <m:sty m:val="p"/>
          </m:rPr>
          <m:t>ln</m:t>
        </m:r>
        <m:r>
          <m:rPr>
            <m:sty m:val="p"/>
          </m:rPr>
          <m:t>ln</m:t>
        </m:r>
        <m:r>
          <m:t>n</m:t>
        </m:r>
      </m:oMath>
      <w:r>
        <w:t xml:space="preserve"> </w:t>
      </w:r>
      <w:r>
        <w:t xml:space="preserve">to</w:t>
      </w:r>
      <w:r>
        <w:t xml:space="preserve"> </w:t>
      </w:r>
      <m:oMath>
        <m:r>
          <m:rPr>
            <m:sty m:val="p"/>
          </m:rPr>
          <m:t>ln</m:t>
        </m:r>
        <m:r>
          <m:rPr>
            <m:sty m:val="p"/>
          </m:rPr>
          <m:t>ln</m:t>
        </m:r>
        <m:r>
          <m:t>n</m:t>
        </m:r>
        <m:r>
          <m:rPr>
            <m:sty m:val="p"/>
          </m:rPr>
          <m:t>/</m:t>
        </m:r>
        <m:r>
          <m:rPr>
            <m:sty m:val="p"/>
          </m:rPr>
          <m:t>ln</m:t>
        </m:r>
        <m:r>
          <m:t>2</m:t>
        </m:r>
        <m:r>
          <m:rPr>
            <m:sty m:val="p"/>
          </m:rPr>
          <m:t>+</m:t>
        </m:r>
        <m:r>
          <m:t>O</m:t>
        </m:r>
        <m:d>
          <m:dPr>
            <m:begChr m:val="("/>
            <m:endChr m:val=")"/>
            <m:sepChr m:val=""/>
            <m:grow/>
          </m:dPr>
          <m:e>
            <m:r>
              <m:t>1</m:t>
            </m:r>
          </m:e>
        </m:d>
      </m:oMath>
      <w:r>
        <w:t xml:space="preserve">; queue tails from</w:t>
      </w:r>
      <w:r>
        <w:t xml:space="preserve"> </w:t>
      </w:r>
      <m:oMath>
        <m:sSup>
          <m:e>
            <m:r>
              <m:t>λ</m:t>
            </m:r>
          </m:e>
          <m:sup>
            <m:r>
              <m:t>i</m:t>
            </m:r>
          </m:sup>
        </m:sSup>
      </m:oMath>
      <w:r>
        <w:t xml:space="preserve"> </w:t>
      </w:r>
      <w:r>
        <w:t xml:space="preserve">to</w:t>
      </w:r>
      <w:r>
        <w:t xml:space="preserve"> </w:t>
      </w:r>
      <m:oMath>
        <m:sSup>
          <m:e>
            <m:r>
              <m:t>λ</m:t>
            </m:r>
          </m:e>
          <m:sup>
            <m:sSup>
              <m:e>
                <m:r>
                  <m:t>2</m:t>
                </m:r>
              </m:e>
              <m:sup>
                <m:r>
                  <m:t>i</m:t>
                </m:r>
              </m:sup>
            </m:sSup>
            <m:r>
              <m:rPr>
                <m:sty m:val="p"/>
              </m:rPr>
              <m:t>−</m:t>
            </m:r>
            <m:r>
              <m:t>1</m:t>
            </m:r>
          </m:sup>
        </m:sSup>
      </m:oMath>
      <w:r>
        <w:t xml:space="preserve">. Simulated p99 queue: 6 live, 8 stale, versus 27 for least connections on a stale view.</w:t>
      </w:r>
    </w:p>
    <w:p>
      <w:pPr>
        <w:numPr>
          <w:ilvl w:val="0"/>
          <w:numId w:val="1648"/>
        </w:numPr>
        <w:pStyle w:val="Compact"/>
      </w:pPr>
      <w:r>
        <w:rPr>
          <w:bCs/>
          <w:b/>
        </w:rPr>
        <w:t xml:space="preserve">Hashing.</w:t>
      </w:r>
      <w:r>
        <w:t xml:space="preserve"> </w:t>
      </w:r>
      <w:r>
        <w:t xml:space="preserve">Consistent hashing (§14.8) gives locality; bounded loads cap backends at</w:t>
      </w:r>
      <w:r>
        <w:t xml:space="preserve"> </w:t>
      </w:r>
      <m:oMath>
        <m:r>
          <m:rPr>
            <m:sty m:val="p"/>
          </m:rPr>
          <m:t>⌈</m:t>
        </m:r>
        <m:d>
          <m:dPr>
            <m:begChr m:val="("/>
            <m:endChr m:val=")"/>
            <m:sepChr m:val=""/>
            <m:grow/>
          </m:dPr>
          <m:e>
            <m:r>
              <m:t>1</m:t>
            </m:r>
            <m:r>
              <m:rPr>
                <m:sty m:val="p"/>
              </m:rPr>
              <m:t>+</m:t>
            </m:r>
            <m:r>
              <m:t>ε</m:t>
            </m:r>
          </m:e>
        </m:d>
        <m:r>
          <m:t>m</m:t>
        </m:r>
        <m:r>
          <m:rPr>
            <m:sty m:val="p"/>
          </m:rPr>
          <m:t>/</m:t>
        </m:r>
        <m:r>
          <m:t>n</m:t>
        </m:r>
        <m:r>
          <m:rPr>
            <m:sty m:val="p"/>
          </m:rPr>
          <m:t>⌉</m:t>
        </m:r>
      </m:oMath>
      <w:r>
        <w:t xml:space="preserve">; Maglev gives</w:t>
      </w:r>
      <w:r>
        <w:t xml:space="preserve"> </w:t>
      </w:r>
      <m:oMath>
        <m:r>
          <m:t>O</m:t>
        </m:r>
        <m:d>
          <m:dPr>
            <m:begChr m:val="("/>
            <m:endChr m:val=")"/>
            <m:sepChr m:val=""/>
            <m:grow/>
          </m:dPr>
          <m:e>
            <m:r>
              <m:t>1</m:t>
            </m:r>
          </m:e>
        </m:d>
      </m:oMath>
      <w:r>
        <w:t xml:space="preserve"> </w:t>
      </w:r>
      <w:r>
        <w:t xml:space="preserve">lookup and balance within one entry, with ~0.66% collateral disruption at 100 backends.</w:t>
      </w:r>
    </w:p>
    <w:p>
      <w:pPr>
        <w:numPr>
          <w:ilvl w:val="0"/>
          <w:numId w:val="1648"/>
        </w:numPr>
        <w:pStyle w:val="Compact"/>
      </w:pPr>
      <w:r>
        <w:rPr>
          <w:bCs/>
          <w:b/>
        </w:rPr>
        <w:t xml:space="preserve">Health.</w:t>
      </w:r>
      <w:r>
        <w:t xml:space="preserve"> </w:t>
      </w:r>
      <w:r>
        <w:t xml:space="preserve">Active detection</w:t>
      </w:r>
      <w:r>
        <w:t xml:space="preserve"> </w:t>
      </w:r>
      <m:oMath>
        <m:r>
          <m:rPr>
            <m:sty m:val="p"/>
          </m:rPr>
          <m:t>≈</m:t>
        </m:r>
        <m:r>
          <m:t>F</m:t>
        </m:r>
        <m:r>
          <m:rPr>
            <m:sty m:val="p"/>
          </m:rPr>
          <m:t>⋅</m:t>
        </m:r>
        <m:r>
          <m:t>I</m:t>
        </m:r>
        <m:r>
          <m:rPr>
            <m:sty m:val="p"/>
          </m:rPr>
          <m:t>+</m:t>
        </m:r>
        <m:sSub>
          <m:e>
            <m:r>
              <m:t>T</m:t>
            </m:r>
          </m:e>
          <m:sub>
            <m:r>
              <m:t>o</m:t>
            </m:r>
          </m:sub>
        </m:sSub>
      </m:oMath>
      <w:r>
        <w:t xml:space="preserve"> </w:t>
      </w:r>
      <w:r>
        <w:t xml:space="preserve">(8 s with HAProxy defaults); passive in milliseconds. Use hysteresis, ejection caps, panic thresholds and shallow readiness checks.</w:t>
      </w:r>
    </w:p>
    <w:p>
      <w:pPr>
        <w:numPr>
          <w:ilvl w:val="0"/>
          <w:numId w:val="1648"/>
        </w:numPr>
        <w:pStyle w:val="Compact"/>
      </w:pPr>
      <w:r>
        <w:rPr>
          <w:bCs/>
          <w:b/>
        </w:rPr>
        <w:t xml:space="preserve">Affinity</w:t>
      </w:r>
      <w:r>
        <w:t xml:space="preserve"> </w:t>
      </w:r>
      <w:r>
        <w:t xml:space="preserve">trades balance and resilience for locality; externalize state.</w:t>
      </w:r>
    </w:p>
    <w:p>
      <w:pPr>
        <w:numPr>
          <w:ilvl w:val="0"/>
          <w:numId w:val="1648"/>
        </w:numPr>
        <w:pStyle w:val="Compact"/>
      </w:pPr>
      <w:r>
        <w:rPr>
          <w:bCs/>
          <w:b/>
        </w:rPr>
        <w:t xml:space="preserve">Redundancy.</w:t>
      </w:r>
      <w:r>
        <w:t xml:space="preserve"> </w:t>
      </w:r>
      <w:r>
        <w:t xml:space="preserve">Active–passive wastes 50%, active–active</w:t>
      </w:r>
      <w:r>
        <w:t xml:space="preserve"> </w:t>
      </w:r>
      <m:oMath>
        <m:r>
          <m:t>k</m:t>
        </m:r>
        <m:r>
          <m:rPr>
            <m:sty m:val="p"/>
          </m:rPr>
          <m:t>/</m:t>
        </m:r>
        <m:r>
          <m:t>N</m:t>
        </m:r>
      </m:oMath>
      <w:r>
        <w:t xml:space="preserve">. VRRP fails over in</w:t>
      </w:r>
      <w:r>
        <w:t xml:space="preserve"> </w:t>
      </w:r>
      <m:oMath>
        <m:r>
          <m:t>3</m:t>
        </m:r>
        <m:r>
          <m:t>A</m:t>
        </m:r>
        <m:r>
          <m:rPr>
            <m:sty m:val="p"/>
          </m:rPr>
          <m:t>+</m:t>
        </m:r>
        <m:d>
          <m:dPr>
            <m:begChr m:val="("/>
            <m:endChr m:val=")"/>
            <m:sepChr m:val=""/>
            <m:grow/>
          </m:dPr>
          <m:e>
            <m:r>
              <m:t>256</m:t>
            </m:r>
            <m:r>
              <m:rPr>
                <m:sty m:val="p"/>
              </m:rPr>
              <m:t>−</m:t>
            </m:r>
            <m:r>
              <m:t>P</m:t>
            </m:r>
          </m:e>
        </m:d>
        <m:r>
          <m:t>A</m:t>
        </m:r>
        <m:r>
          <m:rPr>
            <m:sty m:val="p"/>
          </m:rPr>
          <m:t>/</m:t>
        </m:r>
        <m:r>
          <m:t>256</m:t>
        </m:r>
      </m:oMath>
      <w:r>
        <w:t xml:space="preserve"> </w:t>
      </w:r>
      <w:r>
        <w:t xml:space="preserve">(3.61 s by default). ECMP rehash can move</w:t>
      </w:r>
      <w:r>
        <w:t xml:space="preserve"> </w:t>
      </w:r>
      <m:oMath>
        <m:r>
          <m:t>1</m:t>
        </m:r>
        <m:r>
          <m:rPr>
            <m:sty m:val="p"/>
          </m:rPr>
          <m:t>−</m:t>
        </m:r>
        <m:r>
          <m:t>1</m:t>
        </m:r>
        <m:r>
          <m:rPr>
            <m:sty m:val="p"/>
          </m:rPr>
          <m:t>/</m:t>
        </m:r>
        <m:r>
          <m:t>N</m:t>
        </m:r>
      </m:oMath>
      <w:r>
        <w:t xml:space="preserve"> </w:t>
      </w:r>
      <w:r>
        <w:t xml:space="preserve">of flows, so L4 tiers hash consistently. Drain before removal.</w:t>
      </w:r>
    </w:p>
    <w:p>
      <w:pPr>
        <w:numPr>
          <w:ilvl w:val="0"/>
          <w:numId w:val="1648"/>
        </w:numPr>
        <w:pStyle w:val="Compact"/>
      </w:pPr>
      <w:r>
        <w:rPr>
          <w:bCs/>
          <w:b/>
        </w:rPr>
        <w:t xml:space="preserve">Global and client-side.</w:t>
      </w:r>
      <w:r>
        <w:t xml:space="preserve"> </w:t>
      </w:r>
      <w:r>
        <w:t xml:space="preserve">DNS GSLB picks regions within TTL limits; anycast fails over at BGP speed. Library, sidecar and lookaside balancing remove a hop; subsetting bounds connections.</w:t>
      </w:r>
    </w:p>
    <w:bookmarkEnd w:id="2233"/>
    <w:bookmarkStart w:id="2234" w:name="knowledge-checkpoint-18"/>
    <w:p>
      <w:pPr>
        <w:pStyle w:val="Heading2"/>
      </w:pPr>
      <w:r>
        <w:t xml:space="preserve">19.13 Knowledge checkpoint</w:t>
      </w:r>
    </w:p>
    <w:p>
      <w:pPr>
        <w:numPr>
          <w:ilvl w:val="0"/>
          <w:numId w:val="1649"/>
        </w:numPr>
        <w:pStyle w:val="Compact"/>
      </w:pPr>
      <w:r>
        <w:t xml:space="preserve">Why can an L4 balancer not route</w:t>
      </w:r>
      <w:r>
        <w:t xml:space="preserve"> </w:t>
      </w:r>
      <w:r>
        <w:rPr>
          <w:rStyle w:val="VerbatimChar"/>
        </w:rPr>
        <w:t xml:space="preserve">/api/search</w:t>
      </w:r>
      <w:r>
        <w:t xml:space="preserve"> </w:t>
      </w:r>
      <w:r>
        <w:t xml:space="preserve">and</w:t>
      </w:r>
      <w:r>
        <w:t xml:space="preserve"> </w:t>
      </w:r>
      <w:r>
        <w:rPr>
          <w:rStyle w:val="VerbatimChar"/>
        </w:rPr>
        <w:t xml:space="preserve">/api/cart</w:t>
      </w:r>
      <w:r>
        <w:t xml:space="preserve"> </w:t>
      </w:r>
      <w:r>
        <w:t xml:space="preserve">to different pools when TLS is passed through?</w:t>
      </w:r>
    </w:p>
    <w:p>
      <w:pPr>
        <w:numPr>
          <w:ilvl w:val="0"/>
          <w:numId w:val="1649"/>
        </w:numPr>
        <w:pStyle w:val="Compact"/>
      </w:pPr>
      <w:r>
        <w:t xml:space="preserve">A service returns 40 KB responses to 1 KB requests at 50,000 requests/s. What bandwidth crosses the balancer with a full proxy and with DSR?</w:t>
      </w:r>
    </w:p>
    <w:p>
      <w:pPr>
        <w:numPr>
          <w:ilvl w:val="0"/>
          <w:numId w:val="1649"/>
        </w:numPr>
        <w:pStyle w:val="Compact"/>
      </w:pPr>
      <w:r>
        <w:t xml:space="preserve">List the smooth WRR sequence for weights</w:t>
      </w:r>
      <w:r>
        <w:t xml:space="preserve"> </w:t>
      </w:r>
      <m:oMath>
        <m:r>
          <m:t>a</m:t>
        </m:r>
        <m:r>
          <m:rPr>
            <m:sty m:val="p"/>
          </m:rPr>
          <m:t>:</m:t>
        </m:r>
        <m:r>
          <m:t>3</m:t>
        </m:r>
        <m:r>
          <m:rPr>
            <m:sty m:val="p"/>
          </m:rPr>
          <m:t>,</m:t>
        </m:r>
        <m:r>
          <m:t>b</m:t>
        </m:r>
        <m:r>
          <m:rPr>
            <m:sty m:val="p"/>
          </m:rPr>
          <m:t>:</m:t>
        </m:r>
        <m:r>
          <m:t>1</m:t>
        </m:r>
      </m:oMath>
      <w:r>
        <w:t xml:space="preserve">.</w:t>
      </w:r>
    </w:p>
    <w:p>
      <w:pPr>
        <w:numPr>
          <w:ilvl w:val="0"/>
          <w:numId w:val="1649"/>
        </w:numPr>
        <w:pStyle w:val="Compact"/>
      </w:pPr>
      <w:r>
        <w:t xml:space="preserve">Two backends have mean latencies of 20 ms and 80 ms. Under least connections, what fraction of traffic goes to the faster one?</w:t>
      </w:r>
    </w:p>
    <w:p>
      <w:pPr>
        <w:numPr>
          <w:ilvl w:val="0"/>
          <w:numId w:val="1649"/>
        </w:numPr>
        <w:pStyle w:val="Compact"/>
      </w:pPr>
      <w:r>
        <w:t xml:space="preserve">Why does least connections herd when many balancers share periodic load reports?</w:t>
      </w:r>
    </w:p>
    <w:p>
      <w:pPr>
        <w:numPr>
          <w:ilvl w:val="0"/>
          <w:numId w:val="1649"/>
        </w:numPr>
        <w:pStyle w:val="Compact"/>
      </w:pPr>
      <w:r>
        <w:t xml:space="preserve">For</w:t>
      </w:r>
      <w:r>
        <w:t xml:space="preserve"> </w:t>
      </w:r>
      <m:oMath>
        <m:r>
          <m:t>λ</m:t>
        </m:r>
        <m:r>
          <m:rPr>
            <m:sty m:val="p"/>
          </m:rPr>
          <m:t>=</m:t>
        </m:r>
        <m:r>
          <m:t>0.8</m:t>
        </m:r>
      </m:oMath>
      <w:r>
        <w:t xml:space="preserve">, what fraction of servers have at least 4 requests with one and with two random choices?</w:t>
      </w:r>
    </w:p>
    <w:p>
      <w:pPr>
        <w:numPr>
          <w:ilvl w:val="0"/>
          <w:numId w:val="1649"/>
        </w:numPr>
        <w:pStyle w:val="Compact"/>
      </w:pPr>
      <w:r>
        <w:t xml:space="preserve">With 9,000 sessions, 30 servers and</w:t>
      </w:r>
      <w:r>
        <w:t xml:space="preserve"> </w:t>
      </w:r>
      <m:oMath>
        <m:r>
          <m:t>ε</m:t>
        </m:r>
        <m:r>
          <m:rPr>
            <m:sty m:val="p"/>
          </m:rPr>
          <m:t>=</m:t>
        </m:r>
        <m:r>
          <m:t>0.5</m:t>
        </m:r>
      </m:oMath>
      <w:r>
        <w:t xml:space="preserve">, what is the bounded-load capacity?</w:t>
      </w:r>
    </w:p>
    <w:p>
      <w:pPr>
        <w:numPr>
          <w:ilvl w:val="0"/>
          <w:numId w:val="1649"/>
        </w:numPr>
        <w:pStyle w:val="Compact"/>
      </w:pPr>
      <w:r>
        <w:t xml:space="preserve">Why must the Maglev table size be prime?</w:t>
      </w:r>
    </w:p>
    <w:p>
      <w:pPr>
        <w:numPr>
          <w:ilvl w:val="0"/>
          <w:numId w:val="1649"/>
        </w:numPr>
        <w:pStyle w:val="Compact"/>
      </w:pPr>
      <w:r>
        <w:t xml:space="preserve">A pool uses</w:t>
      </w:r>
      <w:r>
        <w:t xml:space="preserve"> </w:t>
      </w:r>
      <m:oMath>
        <m:r>
          <m:t>I</m:t>
        </m:r>
        <m:r>
          <m:rPr>
            <m:sty m:val="p"/>
          </m:rPr>
          <m:t>=</m:t>
        </m:r>
        <m:r>
          <m:t>5</m:t>
        </m:r>
      </m:oMath>
      <w:r>
        <w:t xml:space="preserve"> </w:t>
      </w:r>
      <w:r>
        <w:t xml:space="preserve">s,</w:t>
      </w:r>
      <w:r>
        <w:t xml:space="preserve"> </w:t>
      </w:r>
      <m:oMath>
        <m:r>
          <m:t>F</m:t>
        </m:r>
        <m:r>
          <m:rPr>
            <m:sty m:val="p"/>
          </m:rPr>
          <m:t>=</m:t>
        </m:r>
        <m:r>
          <m:t>3</m:t>
        </m:r>
      </m:oMath>
      <w:r>
        <w:t xml:space="preserve">, timeout 1 s, and receives 200 requests/s per backend. How many requests reach a dead backend before removal?</w:t>
      </w:r>
    </w:p>
    <w:p>
      <w:pPr>
        <w:numPr>
          <w:ilvl w:val="0"/>
          <w:numId w:val="1649"/>
        </w:numPr>
        <w:pStyle w:val="Compact"/>
      </w:pPr>
      <w:r>
        <w:t xml:space="preserve">Why can deep health checks cause a full outage?</w:t>
      </w:r>
    </w:p>
    <w:p>
      <w:pPr>
        <w:numPr>
          <w:ilvl w:val="0"/>
          <w:numId w:val="1649"/>
        </w:numPr>
        <w:pStyle w:val="Compact"/>
      </w:pPr>
      <w:r>
        <w:t xml:space="preserve">Six active–active balancers must survive two failures. What is the highest safe utilization?</w:t>
      </w:r>
    </w:p>
    <w:p>
      <w:pPr>
        <w:numPr>
          <w:ilvl w:val="0"/>
          <w:numId w:val="1649"/>
        </w:numPr>
        <w:pStyle w:val="Compact"/>
      </w:pPr>
      <w:r>
        <w:t xml:space="preserve">Why do balancers behind ECMP need consistent hashing to backends?</w:t>
      </w:r>
    </w:p>
    <w:p>
      <w:pPr>
        <w:pStyle w:val="FirstParagraph"/>
      </w:pPr>
      <w:r>
        <w:t xml:space="preserve">Answers</w:t>
      </w:r>
    </w:p>
    <w:p>
      <w:pPr>
        <w:numPr>
          <w:ilvl w:val="0"/>
          <w:numId w:val="1650"/>
        </w:numPr>
        <w:pStyle w:val="Compact"/>
      </w:pPr>
      <w:r>
        <w:t xml:space="preserve">The path is inside the encrypted stream; without terminating TLS the balancer sees only IPs, ports and the SNI hostname.</w:t>
      </w:r>
    </w:p>
    <w:p>
      <w:pPr>
        <w:numPr>
          <w:ilvl w:val="0"/>
          <w:numId w:val="1650"/>
        </w:numPr>
        <w:pStyle w:val="Compact"/>
      </w:pPr>
      <w:r>
        <w:t xml:space="preserve">Full proxy:</w:t>
      </w:r>
      <w:r>
        <w:t xml:space="preserve"> </w:t>
      </w:r>
      <m:oMath>
        <m:r>
          <m:t>50</m:t>
        </m:r>
        <m:r>
          <m:rPr>
            <m:sty m:val="p"/>
          </m:rPr>
          <m:t>,</m:t>
        </m:r>
        <m:r>
          <m:t>000</m:t>
        </m:r>
        <m:r>
          <m:rPr>
            <m:sty m:val="p"/>
          </m:rPr>
          <m:t>×</m:t>
        </m:r>
        <m:r>
          <m:t>41</m:t>
        </m:r>
        <m:r>
          <m:rPr>
            <m:sty m:val="p"/>
          </m:rPr>
          <m:t>,</m:t>
        </m:r>
        <m:r>
          <m:t>000</m:t>
        </m:r>
        <m:r>
          <m:rPr>
            <m:sty m:val="p"/>
          </m:rPr>
          <m:t>=</m:t>
        </m:r>
        <m:r>
          <m:t>2.05</m:t>
        </m:r>
      </m:oMath>
      <w:r>
        <w:t xml:space="preserve"> </w:t>
      </w:r>
      <w:r>
        <w:t xml:space="preserve">GB/s</w:t>
      </w:r>
      <w:r>
        <w:t xml:space="preserve"> </w:t>
      </w:r>
      <m:oMath>
        <m:r>
          <m:rPr>
            <m:sty m:val="p"/>
          </m:rPr>
          <m:t>=</m:t>
        </m:r>
        <m:r>
          <m:t>16.4</m:t>
        </m:r>
      </m:oMath>
      <w:r>
        <w:t xml:space="preserve"> </w:t>
      </w:r>
      <w:r>
        <w:t xml:space="preserve">Gbit/s. DSR:</w:t>
      </w:r>
      <w:r>
        <w:t xml:space="preserve"> </w:t>
      </w:r>
      <m:oMath>
        <m:r>
          <m:t>50</m:t>
        </m:r>
        <m:r>
          <m:rPr>
            <m:sty m:val="p"/>
          </m:rPr>
          <m:t>,</m:t>
        </m:r>
        <m:r>
          <m:t>000</m:t>
        </m:r>
        <m:r>
          <m:rPr>
            <m:sty m:val="p"/>
          </m:rPr>
          <m:t>×</m:t>
        </m:r>
        <m:r>
          <m:t>1</m:t>
        </m:r>
        <m:r>
          <m:rPr>
            <m:sty m:val="p"/>
          </m:rPr>
          <m:t>,</m:t>
        </m:r>
        <m:r>
          <m:t>000</m:t>
        </m:r>
        <m:r>
          <m:rPr>
            <m:sty m:val="p"/>
          </m:rPr>
          <m:t>=</m:t>
        </m:r>
        <m:r>
          <m:t>50</m:t>
        </m:r>
      </m:oMath>
      <w:r>
        <w:t xml:space="preserve"> </w:t>
      </w:r>
      <w:r>
        <w:t xml:space="preserve">MB/s</w:t>
      </w:r>
      <w:r>
        <w:t xml:space="preserve"> </w:t>
      </w:r>
      <m:oMath>
        <m:r>
          <m:rPr>
            <m:sty m:val="p"/>
          </m:rPr>
          <m:t>=</m:t>
        </m:r>
        <m:r>
          <m:t>0.4</m:t>
        </m:r>
      </m:oMath>
      <w:r>
        <w:t xml:space="preserve"> </w:t>
      </w:r>
      <w:r>
        <w:t xml:space="preserve">Gbit/s.</w:t>
      </w:r>
    </w:p>
    <w:p>
      <w:pPr>
        <w:numPr>
          <w:ilvl w:val="0"/>
          <w:numId w:val="1650"/>
        </w:numPr>
        <w:pStyle w:val="Compact"/>
      </w:pPr>
      <w:r>
        <w:t xml:space="preserve">Current weights start at 0. Picks:</w:t>
      </w:r>
      <w:r>
        <w:t xml:space="preserve"> </w:t>
      </w:r>
      <m:oMath>
        <m:r>
          <m:t>a</m:t>
        </m:r>
      </m:oMath>
      <w:r>
        <w:t xml:space="preserve"> </w:t>
      </w:r>
      <w:r>
        <w:t xml:space="preserve">(3,1 →</w:t>
      </w:r>
      <w:r>
        <w:t xml:space="preserve"> </w:t>
      </w:r>
      <m:oMath>
        <m:r>
          <m:rPr>
            <m:sty m:val="p"/>
          </m:rPr>
          <m:t>−</m:t>
        </m:r>
        <m:r>
          <m:t>1</m:t>
        </m:r>
      </m:oMath>
      <w:r>
        <w:t xml:space="preserve">,1),</w:t>
      </w:r>
      <w:r>
        <w:t xml:space="preserve"> </w:t>
      </w:r>
      <m:oMath>
        <m:r>
          <m:t>a</m:t>
        </m:r>
      </m:oMath>
      <w:r>
        <w:t xml:space="preserve"> </w:t>
      </w:r>
      <w:r>
        <w:t xml:space="preserve">(2,2 → tie,</w:t>
      </w:r>
      <w:r>
        <w:t xml:space="preserve"> </w:t>
      </w:r>
      <m:oMath>
        <m:r>
          <m:t>a</m:t>
        </m:r>
      </m:oMath>
      <w:r>
        <w:t xml:space="preserve"> </w:t>
      </w:r>
      <w:r>
        <w:t xml:space="preserve">first →</w:t>
      </w:r>
      <w:r>
        <w:t xml:space="preserve"> </w:t>
      </w:r>
      <m:oMath>
        <m:r>
          <m:rPr>
            <m:sty m:val="p"/>
          </m:rPr>
          <m:t>−</m:t>
        </m:r>
        <m:r>
          <m:t>2</m:t>
        </m:r>
      </m:oMath>
      <w:r>
        <w:t xml:space="preserve">,2),</w:t>
      </w:r>
      <w:r>
        <w:t xml:space="preserve"> </w:t>
      </w:r>
      <m:oMath>
        <m:r>
          <m:t>b</m:t>
        </m:r>
      </m:oMath>
      <w:r>
        <w:t xml:space="preserve"> </w:t>
      </w:r>
      <w:r>
        <w:t xml:space="preserve">(1,3 → 1,</w:t>
      </w:r>
      <m:oMath>
        <m:r>
          <m:rPr>
            <m:sty m:val="p"/>
          </m:rPr>
          <m:t>−</m:t>
        </m:r>
        <m:r>
          <m:t>1</m:t>
        </m:r>
      </m:oMath>
      <w:r>
        <w:t xml:space="preserve">),</w:t>
      </w:r>
      <w:r>
        <w:t xml:space="preserve"> </w:t>
      </w:r>
      <m:oMath>
        <m:r>
          <m:t>a</m:t>
        </m:r>
      </m:oMath>
      <w:r>
        <w:t xml:space="preserve"> </w:t>
      </w:r>
      <w:r>
        <w:t xml:space="preserve">(4,0 → 0,0). Sequence</w:t>
      </w:r>
      <w:r>
        <w:t xml:space="preserve"> </w:t>
      </w:r>
      <w:r>
        <w:rPr>
          <w:rStyle w:val="VerbatimChar"/>
        </w:rPr>
        <w:t xml:space="preserve">a a b a</w:t>
      </w:r>
      <w:r>
        <w:t xml:space="preserve">.</w:t>
      </w:r>
    </w:p>
    <w:p>
      <w:pPr>
        <w:numPr>
          <w:ilvl w:val="0"/>
          <w:numId w:val="1650"/>
        </w:numPr>
        <w:pStyle w:val="Compact"/>
      </w:pPr>
      <m:oMath>
        <m:r>
          <m:t>λ</m:t>
        </m:r>
        <m:r>
          <m:rPr>
            <m:sty m:val="p"/>
          </m:rPr>
          <m:t>∝</m:t>
        </m:r>
        <m:r>
          <m:t>1</m:t>
        </m:r>
        <m:r>
          <m:rPr>
            <m:sty m:val="p"/>
          </m:rPr>
          <m:t>/</m:t>
        </m:r>
        <m:r>
          <m:t>W</m:t>
        </m:r>
      </m:oMath>
      <w:r>
        <w:t xml:space="preserve">:</w:t>
      </w:r>
      <w:r>
        <w:t xml:space="preserve"> </w:t>
      </w:r>
      <m:oMath>
        <m:d>
          <m:dPr>
            <m:begChr m:val="("/>
            <m:endChr m:val=")"/>
            <m:sepChr m:val=""/>
            <m:grow/>
          </m:dPr>
          <m:e>
            <m:r>
              <m:t>1</m:t>
            </m:r>
            <m:r>
              <m:rPr>
                <m:sty m:val="p"/>
              </m:rPr>
              <m:t>/</m:t>
            </m:r>
            <m:r>
              <m:t>20</m:t>
            </m:r>
          </m:e>
        </m:d>
        <m:r>
          <m:rPr>
            <m:sty m:val="p"/>
          </m:rPr>
          <m:t>/</m:t>
        </m:r>
        <m:d>
          <m:dPr>
            <m:begChr m:val="("/>
            <m:endChr m:val=")"/>
            <m:sepChr m:val=""/>
            <m:grow/>
          </m:dPr>
          <m:e>
            <m:r>
              <m:t>1</m:t>
            </m:r>
            <m:r>
              <m:rPr>
                <m:sty m:val="p"/>
              </m:rPr>
              <m:t>/</m:t>
            </m:r>
            <m:r>
              <m:t>20</m:t>
            </m:r>
            <m:r>
              <m:rPr>
                <m:sty m:val="p"/>
              </m:rPr>
              <m:t>+</m:t>
            </m:r>
            <m:r>
              <m:t>1</m:t>
            </m:r>
            <m:r>
              <m:rPr>
                <m:sty m:val="p"/>
              </m:rPr>
              <m:t>/</m:t>
            </m:r>
            <m:r>
              <m:t>80</m:t>
            </m:r>
          </m:e>
        </m:d>
        <m:r>
          <m:rPr>
            <m:sty m:val="p"/>
          </m:rPr>
          <m:t>=</m:t>
        </m:r>
        <m:r>
          <m:t>0.05</m:t>
        </m:r>
        <m:r>
          <m:rPr>
            <m:sty m:val="p"/>
          </m:rPr>
          <m:t>/</m:t>
        </m:r>
        <m:r>
          <m:t>0.0625</m:t>
        </m:r>
        <m:r>
          <m:rPr>
            <m:sty m:val="p"/>
          </m:rPr>
          <m:t>=</m:t>
        </m:r>
        <m:r>
          <m:t>80</m:t>
        </m:r>
        <m:r>
          <m:rPr>
            <m:sty m:val="p"/>
          </m:rPr>
          <m:t>%</m:t>
        </m:r>
      </m:oMath>
      <w:r>
        <w:t xml:space="preserve">.</w:t>
      </w:r>
    </w:p>
    <w:p>
      <w:pPr>
        <w:numPr>
          <w:ilvl w:val="0"/>
          <w:numId w:val="1650"/>
        </w:numPr>
        <w:pStyle w:val="Compact"/>
      </w:pPr>
      <w:r>
        <w:t xml:space="preserve">All balancers see the same</w:t>
      </w:r>
      <w:r>
        <w:t xml:space="preserve"> </w:t>
      </w:r>
      <w:r>
        <w:t xml:space="preserve">“</w:t>
      </w:r>
      <w:r>
        <w:t xml:space="preserve">least loaded</w:t>
      </w:r>
      <w:r>
        <w:t xml:space="preserve">”</w:t>
      </w:r>
      <w:r>
        <w:t xml:space="preserve"> </w:t>
      </w:r>
      <w:r>
        <w:t xml:space="preserve">backend until the next report and all send it traffic, overloading it; the next report then moves the herd elsewhere.</w:t>
      </w:r>
    </w:p>
    <w:p>
      <w:pPr>
        <w:numPr>
          <w:ilvl w:val="0"/>
          <w:numId w:val="1650"/>
        </w:numPr>
        <w:pStyle w:val="Compact"/>
      </w:pPr>
      <w:r>
        <w:t xml:space="preserve">One choice:</w:t>
      </w:r>
      <w:r>
        <w:t xml:space="preserve"> </w:t>
      </w:r>
      <m:oMath>
        <m:sSup>
          <m:e>
            <m:r>
              <m:t>0.8</m:t>
            </m:r>
          </m:e>
          <m:sup>
            <m:r>
              <m:t>4</m:t>
            </m:r>
          </m:sup>
        </m:sSup>
        <m:r>
          <m:rPr>
            <m:sty m:val="p"/>
          </m:rPr>
          <m:t>=</m:t>
        </m:r>
        <m:r>
          <m:t>0.41</m:t>
        </m:r>
      </m:oMath>
      <w:r>
        <w:t xml:space="preserve">. Two choices:</w:t>
      </w:r>
      <w:r>
        <w:t xml:space="preserve"> </w:t>
      </w:r>
      <m:oMath>
        <m:sSup>
          <m:e>
            <m:r>
              <m:t>0.8</m:t>
            </m:r>
          </m:e>
          <m:sup>
            <m:r>
              <m:t>15</m:t>
            </m:r>
          </m:sup>
        </m:sSup>
        <m:r>
          <m:rPr>
            <m:sty m:val="p"/>
          </m:rPr>
          <m:t>=</m:t>
        </m:r>
        <m:r>
          <m:t>0.035</m:t>
        </m:r>
      </m:oMath>
      <w:r>
        <w:t xml:space="preserve">.</w:t>
      </w:r>
    </w:p>
    <w:p>
      <w:pPr>
        <w:numPr>
          <w:ilvl w:val="0"/>
          <w:numId w:val="1650"/>
        </w:numPr>
        <w:pStyle w:val="Compact"/>
      </w:pPr>
      <m:oMath>
        <m:r>
          <m:rPr>
            <m:sty m:val="p"/>
          </m:rPr>
          <m:t>⌈</m:t>
        </m:r>
        <m:r>
          <m:t>1.5</m:t>
        </m:r>
        <m:r>
          <m:rPr>
            <m:sty m:val="p"/>
          </m:rPr>
          <m:t>×</m:t>
        </m:r>
        <m:r>
          <m:t>9</m:t>
        </m:r>
        <m:r>
          <m:rPr>
            <m:sty m:val="p"/>
          </m:rPr>
          <m:t>,</m:t>
        </m:r>
        <m:r>
          <m:t>000</m:t>
        </m:r>
        <m:r>
          <m:rPr>
            <m:sty m:val="p"/>
          </m:rPr>
          <m:t>/</m:t>
        </m:r>
        <m:r>
          <m:t>30</m:t>
        </m:r>
        <m:r>
          <m:rPr>
            <m:sty m:val="p"/>
          </m:rPr>
          <m:t>⌉</m:t>
        </m:r>
        <m:r>
          <m:rPr>
            <m:sty m:val="p"/>
          </m:rPr>
          <m:t>=</m:t>
        </m:r>
        <m:r>
          <m:rPr>
            <m:sty m:val="p"/>
          </m:rPr>
          <m:t>⌈</m:t>
        </m:r>
        <m:r>
          <m:t>450</m:t>
        </m:r>
        <m:r>
          <m:rPr>
            <m:sty m:val="p"/>
          </m:rPr>
          <m:t>⌉</m:t>
        </m:r>
        <m:r>
          <m:rPr>
            <m:sty m:val="p"/>
          </m:rPr>
          <m:t>=</m:t>
        </m:r>
        <m:r>
          <m:t>450</m:t>
        </m:r>
      </m:oMath>
      <w:r>
        <w:t xml:space="preserve">.</w:t>
      </w:r>
    </w:p>
    <w:p>
      <w:pPr>
        <w:numPr>
          <w:ilvl w:val="0"/>
          <w:numId w:val="1650"/>
        </w:numPr>
        <w:pStyle w:val="Compact"/>
      </w:pPr>
      <w:r>
        <w:t xml:space="preserve">So that every skip value in</w:t>
      </w:r>
      <w:r>
        <w:t xml:space="preserve"> </w:t>
      </w:r>
      <m:oMath>
        <m:r>
          <m:t>1</m:t>
        </m:r>
        <m:r>
          <m:rPr>
            <m:sty m:val="p"/>
          </m:rPr>
          <m:t>.</m:t>
        </m:r>
        <m:r>
          <m:rPr>
            <m:sty m:val="p"/>
          </m:rPr>
          <m:t>.</m:t>
        </m:r>
        <m:r>
          <m:t>M</m:t>
        </m:r>
        <m:r>
          <m:rPr>
            <m:sty m:val="p"/>
          </m:rPr>
          <m:t>−</m:t>
        </m:r>
        <m:r>
          <m:t>1</m:t>
        </m:r>
      </m:oMath>
      <w:r>
        <w:t xml:space="preserve"> </w:t>
      </w:r>
      <w:r>
        <w:t xml:space="preserve">is coprime with</w:t>
      </w:r>
      <w:r>
        <w:t xml:space="preserve"> </w:t>
      </w:r>
      <m:oMath>
        <m:r>
          <m:t>M</m:t>
        </m:r>
      </m:oMath>
      <w:r>
        <w:t xml:space="preserve">, making each preference list a full permutation of positions.</w:t>
      </w:r>
    </w:p>
    <w:p>
      <w:pPr>
        <w:numPr>
          <w:ilvl w:val="0"/>
          <w:numId w:val="1650"/>
        </w:numPr>
        <w:pStyle w:val="Compact"/>
      </w:pPr>
      <m:oMath>
        <m:sSub>
          <m:e>
            <m:r>
              <m:t>T</m:t>
            </m:r>
          </m:e>
          <m:sub>
            <m:r>
              <m:rPr>
                <m:nor/>
                <m:sty m:val="p"/>
              </m:rPr>
              <m:t>detect</m:t>
            </m:r>
          </m:sub>
        </m:sSub>
        <m:r>
          <m:rPr>
            <m:sty m:val="p"/>
          </m:rPr>
          <m:t>≈</m:t>
        </m:r>
        <m:r>
          <m:t>3</m:t>
        </m:r>
        <m:r>
          <m:rPr>
            <m:sty m:val="p"/>
          </m:rPr>
          <m:t>×</m:t>
        </m:r>
        <m:r>
          <m:t>5</m:t>
        </m:r>
        <m:r>
          <m:rPr>
            <m:sty m:val="p"/>
          </m:rPr>
          <m:t>+</m:t>
        </m:r>
        <m:r>
          <m:t>1</m:t>
        </m:r>
        <m:r>
          <m:rPr>
            <m:sty m:val="p"/>
          </m:rPr>
          <m:t>=</m:t>
        </m:r>
        <m:r>
          <m:t>16</m:t>
        </m:r>
      </m:oMath>
      <w:r>
        <w:t xml:space="preserve"> </w:t>
      </w:r>
      <w:r>
        <w:t xml:space="preserve">s;</w:t>
      </w:r>
      <w:r>
        <w:t xml:space="preserve"> </w:t>
      </w:r>
      <m:oMath>
        <m:r>
          <m:t>200</m:t>
        </m:r>
        <m:r>
          <m:rPr>
            <m:sty m:val="p"/>
          </m:rPr>
          <m:t>×</m:t>
        </m:r>
        <m:r>
          <m:t>16</m:t>
        </m:r>
        <m:r>
          <m:rPr>
            <m:sty m:val="p"/>
          </m:rPr>
          <m:t>=</m:t>
        </m:r>
        <m:r>
          <m:t>3</m:t>
        </m:r>
        <m:r>
          <m:rPr>
            <m:sty m:val="p"/>
          </m:rPr>
          <m:t>,</m:t>
        </m:r>
        <m:r>
          <m:t>200</m:t>
        </m:r>
      </m:oMath>
      <w:r>
        <w:t xml:space="preserve"> </w:t>
      </w:r>
      <w:r>
        <w:t xml:space="preserve">requests.</w:t>
      </w:r>
    </w:p>
    <w:p>
      <w:pPr>
        <w:numPr>
          <w:ilvl w:val="0"/>
          <w:numId w:val="1650"/>
        </w:numPr>
        <w:pStyle w:val="Compact"/>
      </w:pPr>
      <w:r>
        <w:t xml:space="preserve">When a shared dependency degrades, every backend fails its check together and the balancer ejects all of them.</w:t>
      </w:r>
    </w:p>
    <w:p>
      <w:pPr>
        <w:numPr>
          <w:ilvl w:val="0"/>
          <w:numId w:val="1650"/>
        </w:numPr>
        <w:pStyle w:val="Compact"/>
      </w:pPr>
      <m:oMath>
        <m:d>
          <m:dPr>
            <m:begChr m:val="("/>
            <m:endChr m:val=")"/>
            <m:sepChr m:val=""/>
            <m:grow/>
          </m:dPr>
          <m:e>
            <m:r>
              <m:t>6</m:t>
            </m:r>
            <m:r>
              <m:rPr>
                <m:sty m:val="p"/>
              </m:rPr>
              <m:t>−</m:t>
            </m:r>
            <m:r>
              <m:t>2</m:t>
            </m:r>
          </m:e>
        </m:d>
        <m:r>
          <m:rPr>
            <m:sty m:val="p"/>
          </m:rPr>
          <m:t>/</m:t>
        </m:r>
        <m:r>
          <m:t>6</m:t>
        </m:r>
        <m:r>
          <m:rPr>
            <m:sty m:val="p"/>
          </m:rPr>
          <m:t>=</m:t>
        </m:r>
        <m:r>
          <m:t>66.7</m:t>
        </m:r>
        <m:r>
          <m:rPr>
            <m:sty m:val="p"/>
          </m:rPr>
          <m:t>%</m:t>
        </m:r>
      </m:oMath>
      <w:r>
        <w:t xml:space="preserve">.</w:t>
      </w:r>
    </w:p>
    <w:p>
      <w:pPr>
        <w:numPr>
          <w:ilvl w:val="0"/>
          <w:numId w:val="1650"/>
        </w:numPr>
        <w:pStyle w:val="Compact"/>
      </w:pPr>
      <w:r>
        <w:t xml:space="preserve">A router rehash moves flows to other balancers that have no connection state; only a deterministic, consistent mapping sends those flows to the same backend.</w:t>
      </w:r>
    </w:p>
    <w:bookmarkEnd w:id="2234"/>
    <w:bookmarkStart w:id="2238" w:name="interview-questions-18"/>
    <w:p>
      <w:pPr>
        <w:pStyle w:val="Heading2"/>
      </w:pPr>
      <w:r>
        <w:t xml:space="preserve">19.14 Interview questions</w:t>
      </w:r>
    </w:p>
    <w:bookmarkStart w:id="2235" w:name="basic-18"/>
    <w:p>
      <w:pPr>
        <w:pStyle w:val="Heading3"/>
      </w:pPr>
      <w:r>
        <w:t xml:space="preserve">Basic</w:t>
      </w:r>
    </w:p>
    <w:p>
      <w:pPr>
        <w:pStyle w:val="FirstParagraph"/>
      </w:pPr>
      <w:r>
        <w:rPr>
          <w:bCs/>
          <w:b/>
        </w:rPr>
        <w:t xml:space="preserve">Q1. What is the difference between an L4 and an L7 load balancer, and when would you use each?</w:t>
      </w:r>
      <w:r>
        <w:t xml:space="preserve"> </w:t>
      </w:r>
      <w:r>
        <w:rPr>
          <w:bCs/>
          <w:b/>
        </w:rPr>
        <w:t xml:space="preserve">Answer.</w:t>
      </w:r>
      <w:r>
        <w:t xml:space="preserve"> </w:t>
      </w:r>
      <w:r>
        <w:t xml:space="preserve">L4 balances TCP/UDP flows on headers, so it is fast, protocol-agnostic and can use DSR, but every request on a connection goes to one backend. L7 terminates TLS, parses HTTP, and balances and routes each request, at higher CPU cost. Use L4 for non-HTTP traffic and as the high-volume first tier; L7 for HTTP and gRPC services, path routing and retries. Large systems use both.</w:t>
      </w:r>
    </w:p>
    <w:p>
      <w:pPr>
        <w:pStyle w:val="BodyText"/>
      </w:pPr>
      <w:r>
        <w:rPr>
          <w:bCs/>
          <w:b/>
        </w:rPr>
        <w:t xml:space="preserve">Q2. Your backends are a mix of 8-core and 32-core machines. Which algorithm do you use?</w:t>
      </w:r>
      <w:r>
        <w:t xml:space="preserve"> </w:t>
      </w:r>
      <w:r>
        <w:rPr>
          <w:bCs/>
          <w:b/>
        </w:rPr>
        <w:t xml:space="preserve">Answer.</w:t>
      </w:r>
      <w:r>
        <w:t xml:space="preserve"> </w:t>
      </w:r>
      <w:r>
        <w:t xml:space="preserve">Not plain round robin, which gives equal shares and overloads small machines. Weighted round robin with weights 1:4 works if capacity is stable; least request with power of two choices adapts automatically to actual speed and is safer when performance drifts.</w:t>
      </w:r>
    </w:p>
    <w:bookmarkEnd w:id="2235"/>
    <w:bookmarkStart w:id="2236" w:name="intermediate-18"/>
    <w:p>
      <w:pPr>
        <w:pStyle w:val="Heading3"/>
      </w:pPr>
      <w:r>
        <w:t xml:space="preserve">Intermediate</w:t>
      </w:r>
    </w:p>
    <w:p>
      <w:pPr>
        <w:pStyle w:val="FirstParagraph"/>
      </w:pPr>
      <w:r>
        <w:rPr>
          <w:bCs/>
          <w:b/>
        </w:rPr>
        <w:t xml:space="preserve">Q3. Explain power of two choices and why it beats</w:t>
      </w:r>
      <w:r>
        <w:rPr>
          <w:bCs/>
          <w:b/>
        </w:rPr>
        <w:t xml:space="preserve"> </w:t>
      </w:r>
      <w:r>
        <w:rPr>
          <w:bCs/>
          <w:b/>
        </w:rPr>
        <w:t xml:space="preserve">“</w:t>
      </w:r>
      <w:r>
        <w:rPr>
          <w:bCs/>
          <w:b/>
        </w:rPr>
        <w:t xml:space="preserve">always pick the least loaded server</w:t>
      </w:r>
      <w:r>
        <w:rPr>
          <w:bCs/>
          <w:b/>
        </w:rPr>
        <w:t xml:space="preserve">”</w:t>
      </w:r>
      <w:r>
        <w:rPr>
          <w:bCs/>
          <w:b/>
        </w:rPr>
        <w:t xml:space="preserve"> </w:t>
      </w:r>
      <w:r>
        <w:rPr>
          <w:bCs/>
          <w:b/>
        </w:rPr>
        <w:t xml:space="preserve">in large systems.</w:t>
      </w:r>
      <w:r>
        <w:t xml:space="preserve"> </w:t>
      </w:r>
      <w:r>
        <w:rPr>
          <w:bCs/>
          <w:b/>
        </w:rPr>
        <w:t xml:space="preserve">Answer.</w:t>
      </w:r>
      <w:r>
        <w:t xml:space="preserve"> </w:t>
      </w:r>
      <w:r>
        <w:t xml:space="preserve">Sample two random backends and pick the less loaded. The maximum load drops from about</w:t>
      </w:r>
      <w:r>
        <w:t xml:space="preserve"> </w:t>
      </w:r>
      <m:oMath>
        <m:r>
          <m:rPr>
            <m:sty m:val="p"/>
          </m:rPr>
          <m:t>ln</m:t>
        </m:r>
        <m:r>
          <m:t>n</m:t>
        </m:r>
        <m:r>
          <m:rPr>
            <m:sty m:val="p"/>
          </m:rPr>
          <m:t>/</m:t>
        </m:r>
        <m:r>
          <m:rPr>
            <m:sty m:val="p"/>
          </m:rPr>
          <m:t>ln</m:t>
        </m:r>
        <m:r>
          <m:rPr>
            <m:sty m:val="p"/>
          </m:rPr>
          <m:t>ln</m:t>
        </m:r>
        <m:r>
          <m:t>n</m:t>
        </m:r>
      </m:oMath>
      <w:r>
        <w:t xml:space="preserve"> </w:t>
      </w:r>
      <w:r>
        <w:t xml:space="preserve">to</w:t>
      </w:r>
      <w:r>
        <w:t xml:space="preserve"> </w:t>
      </w:r>
      <m:oMath>
        <m:r>
          <m:rPr>
            <m:sty m:val="p"/>
          </m:rPr>
          <m:t>ln</m:t>
        </m:r>
        <m:r>
          <m:rPr>
            <m:sty m:val="p"/>
          </m:rPr>
          <m:t>ln</m:t>
        </m:r>
        <m:r>
          <m:t>n</m:t>
        </m:r>
        <m:r>
          <m:rPr>
            <m:sty m:val="p"/>
          </m:rPr>
          <m:t>/</m:t>
        </m:r>
        <m:r>
          <m:rPr>
            <m:sty m:val="p"/>
          </m:rPr>
          <m:t>ln</m:t>
        </m:r>
        <m:r>
          <m:t>2</m:t>
        </m:r>
      </m:oMath>
      <w:r>
        <w:t xml:space="preserve">, and queue tails fall doubly exponentially.</w:t>
      </w:r>
      <w:r>
        <w:t xml:space="preserve"> </w:t>
      </w:r>
      <w:r>
        <w:t xml:space="preserve">“</w:t>
      </w:r>
      <w:r>
        <w:t xml:space="preserve">Least loaded</w:t>
      </w:r>
      <w:r>
        <w:t xml:space="preserve">”</w:t>
      </w:r>
      <w:r>
        <w:t xml:space="preserve"> </w:t>
      </w:r>
      <w:r>
        <w:t xml:space="preserve">needs a global, fresh view; with many balancers and stale reports they all pick the same backend (herding). P2C’s randomness scatters choices, needs no coordination and tolerates staleness: in our simulation its p99 queue was 8 versus 27 for least connections with 2-second-old data.</w:t>
      </w:r>
    </w:p>
    <w:p>
      <w:pPr>
        <w:pStyle w:val="BodyText"/>
      </w:pPr>
      <w:r>
        <w:rPr>
          <w:bCs/>
          <w:b/>
        </w:rPr>
        <w:t xml:space="preserve">Q4. Design health checking for 300 backends behind a fleet of balancers.</w:t>
      </w:r>
      <w:r>
        <w:t xml:space="preserve"> </w:t>
      </w:r>
      <w:r>
        <w:rPr>
          <w:bCs/>
          <w:b/>
        </w:rPr>
        <w:t xml:space="preserve">Answer.</w:t>
      </w:r>
      <w:r>
        <w:t xml:space="preserve"> </w:t>
      </w:r>
      <w:r>
        <w:t xml:space="preserve">Active readiness checks (2–5 s interval, fall 3, rise 2) that test the backend’s own ability to serve; passive outlier detection (eject after 5 consecutive 5xx, ejection time growing with repeats, at most 10% ejected); a panic threshold that fails open; slow start on recovery; retries of idempotent requests elsewhere. At mesh scale, prefer passive signals to limit probe volume.</w:t>
      </w:r>
    </w:p>
    <w:bookmarkEnd w:id="2236"/>
    <w:bookmarkStart w:id="2237" w:name="advanced-18"/>
    <w:p>
      <w:pPr>
        <w:pStyle w:val="Heading3"/>
      </w:pPr>
      <w:r>
        <w:t xml:space="preserve">Advanced</w:t>
      </w:r>
    </w:p>
    <w:p>
      <w:pPr>
        <w:pStyle w:val="FirstParagraph"/>
      </w:pPr>
      <w:r>
        <w:rPr>
          <w:bCs/>
          <w:b/>
        </w:rPr>
        <w:t xml:space="preserve">Q5. Design the front-end load-balancing stack for a global service at 5 Tbit/s.</w:t>
      </w:r>
      <w:r>
        <w:t xml:space="preserve"> </w:t>
      </w:r>
      <w:r>
        <w:rPr>
          <w:bCs/>
          <w:b/>
        </w:rPr>
        <w:t xml:space="preserve">Answer.</w:t>
      </w:r>
      <w:r>
        <w:t xml:space="preserve"> </w:t>
      </w:r>
      <w:r>
        <w:t xml:space="preserve">GSLB DNS or anycast to pick a site; within the site, ECMP across a software L4 tier (Maglev-style hashing plus connection tracking, DSR or encapsulation) sized for</w:t>
      </w:r>
      <w:r>
        <w:t xml:space="preserve"> </w:t>
      </w:r>
      <m:oMath>
        <m:r>
          <m:t>N</m:t>
        </m:r>
        <m:r>
          <m:rPr>
            <m:sty m:val="p"/>
          </m:rPr>
          <m:t>−</m:t>
        </m:r>
        <m:r>
          <m:t>k</m:t>
        </m:r>
      </m:oMath>
      <w:r>
        <w:t xml:space="preserve"> </w:t>
      </w:r>
      <w:r>
        <w:t xml:space="preserve">survivors; an L7 proxy tier that terminates TLS and routes by path with least request/P2C; client-side or mesh balancing inside. Discuss consistent hashing across ECMP changes, connection draining, staged configuration rollouts, DDoS absorption, and failure domains per site.</w:t>
      </w:r>
    </w:p>
    <w:p>
      <w:pPr>
        <w:pStyle w:val="BodyText"/>
      </w:pPr>
      <w:r>
        <w:rPr>
          <w:bCs/>
          <w:b/>
        </w:rPr>
        <w:t xml:space="preserve">Q6. A cache tier uses consistent hashing on object ID and one server is at 100% CPU during a viral event. What do you do?</w:t>
      </w:r>
      <w:r>
        <w:t xml:space="preserve"> </w:t>
      </w:r>
      <w:r>
        <w:rPr>
          <w:bCs/>
          <w:b/>
        </w:rPr>
        <w:t xml:space="preserve">Answer.</w:t>
      </w:r>
      <w:r>
        <w:t xml:space="preserve"> </w:t>
      </w:r>
      <w:r>
        <w:t xml:space="preserve">The hot key is pinned to one point on the ring. Switch to consistent hashing with bounded loads (</w:t>
      </w:r>
      <m:oMath>
        <m:r>
          <m:t>ε</m:t>
        </m:r>
        <m:r>
          <m:rPr>
            <m:sty m:val="p"/>
          </m:rPr>
          <m:t>≈</m:t>
        </m:r>
        <m:r>
          <m:t>0.25</m:t>
        </m:r>
      </m:oMath>
      <w:r>
        <w:t xml:space="preserve">) so overflow spills to the next servers, or replicate hot keys to several servers and choose among them with P2C; add a small in-process cache in front for the hottest objects. Accept slightly lower hit ratio for a capped load.</w:t>
      </w:r>
    </w:p>
    <w:p>
      <w:pPr>
        <w:pStyle w:val="BodyText"/>
      </w:pPr>
      <w:r>
        <w:rPr>
          <w:bCs/>
          <w:b/>
        </w:rPr>
        <w:t xml:space="preserve">Q7. Your gRPC service sits behind an AWS NLB and one pod receives most of the traffic. Why, and how do you fix it?</w:t>
      </w:r>
      <w:r>
        <w:t xml:space="preserve"> </w:t>
      </w:r>
      <w:r>
        <w:rPr>
          <w:bCs/>
          <w:b/>
        </w:rPr>
        <w:t xml:space="preserve">Answer.</w:t>
      </w:r>
      <w:r>
        <w:t xml:space="preserve"> </w:t>
      </w:r>
      <w:r>
        <w:t xml:space="preserve">NLB balances TCP connections, and gRPC multiplexes all calls from a client over one long-lived HTTP/2 connection, so a few clients pin to a few pods. Fixes: an L7 balancer that balances per call (ALB with gRPC, Envoy), client-side balancing with a gRPC policy over headless-service endpoints, or a mesh sidecar; as a stopgap, a maximum connection age forcing periodic reconnects.</w:t>
      </w:r>
    </w:p>
    <w:bookmarkEnd w:id="2237"/>
    <w:bookmarkEnd w:id="2238"/>
    <w:bookmarkStart w:id="2239" w:name="practical-exercises-18"/>
    <w:p>
      <w:pPr>
        <w:pStyle w:val="Heading2"/>
      </w:pPr>
      <w:r>
        <w:t xml:space="preserve">19.15 Practical exercises</w:t>
      </w:r>
    </w:p>
    <w:p>
      <w:pPr>
        <w:numPr>
          <w:ilvl w:val="0"/>
          <w:numId w:val="1651"/>
        </w:numPr>
        <w:pStyle w:val="Compact"/>
      </w:pPr>
      <w:r>
        <w:t xml:space="preserve">Add a</w:t>
      </w:r>
      <w:r>
        <w:t xml:space="preserve"> </w:t>
      </w:r>
      <w:r>
        <w:rPr>
          <w:rStyle w:val="VerbatimChar"/>
        </w:rPr>
        <w:t xml:space="preserve">WeightedLeastConnections</w:t>
      </w:r>
      <w:r>
        <w:t xml:space="preserve"> </w:t>
      </w:r>
      <w:r>
        <w:t xml:space="preserve">policy to the §19.4.5 simulation and compare it with P2C at 85% load, with live and stale views.</w:t>
      </w:r>
    </w:p>
    <w:p>
      <w:pPr>
        <w:numPr>
          <w:ilvl w:val="0"/>
          <w:numId w:val="1651"/>
        </w:numPr>
        <w:pStyle w:val="Compact"/>
      </w:pPr>
      <w:r>
        <w:t xml:space="preserve">Extend the simulation to model 5 independent balancers, each counting only its own in-flight requests. Which policy wins now?</w:t>
      </w:r>
    </w:p>
    <w:p>
      <w:pPr>
        <w:numPr>
          <w:ilvl w:val="0"/>
          <w:numId w:val="1651"/>
        </w:numPr>
        <w:pStyle w:val="Compact"/>
      </w:pPr>
      <w:r>
        <w:t xml:space="preserve">Change the §19.4.8 program to measure disruption when a backend is</w:t>
      </w:r>
      <w:r>
        <w:t xml:space="preserve"> </w:t>
      </w:r>
      <w:r>
        <w:rPr>
          <w:iCs/>
          <w:i/>
        </w:rPr>
        <w:t xml:space="preserve">added</w:t>
      </w:r>
      <w:r>
        <w:t xml:space="preserve">, and plot collateral movement against</w:t>
      </w:r>
      <w:r>
        <w:t xml:space="preserve"> </w:t>
      </w:r>
      <m:oMath>
        <m:r>
          <m:t>M</m:t>
        </m:r>
        <m:r>
          <m:rPr>
            <m:sty m:val="p"/>
          </m:rPr>
          <m:t>/</m:t>
        </m:r>
        <m:r>
          <m:t>N</m:t>
        </m:r>
      </m:oMath>
      <w:r>
        <w:t xml:space="preserve">.</w:t>
      </w:r>
    </w:p>
    <w:p>
      <w:pPr>
        <w:numPr>
          <w:ilvl w:val="0"/>
          <w:numId w:val="1651"/>
        </w:numPr>
        <w:pStyle w:val="Compact"/>
      </w:pPr>
      <w:r>
        <w:t xml:space="preserve">Configure HAProxy with three backends and</w:t>
      </w:r>
      <w:r>
        <w:t xml:space="preserve"> </w:t>
      </w:r>
      <w:r>
        <w:rPr>
          <w:rStyle w:val="VerbatimChar"/>
        </w:rPr>
        <w:t xml:space="preserve">hash-balance-factor 125</w:t>
      </w:r>
      <w:r>
        <w:t xml:space="preserve">; drive skewed traffic with a load generator and record per-server request counts.</w:t>
      </w:r>
    </w:p>
    <w:p>
      <w:pPr>
        <w:numPr>
          <w:ilvl w:val="0"/>
          <w:numId w:val="1651"/>
        </w:numPr>
        <w:pStyle w:val="Compact"/>
      </w:pPr>
      <w:r>
        <w:t xml:space="preserve">Set up two VMs with keepalived and measure failover time for advertisement intervals of 1 s and 0.1 s.</w:t>
      </w:r>
    </w:p>
    <w:bookmarkEnd w:id="2239"/>
    <w:bookmarkStart w:id="2240" w:name="design-challenges-18"/>
    <w:p>
      <w:pPr>
        <w:pStyle w:val="Heading2"/>
      </w:pPr>
      <w:r>
        <w:t xml:space="preserve">19.16 Design challenges</w:t>
      </w:r>
    </w:p>
    <w:p>
      <w:pPr>
        <w:numPr>
          <w:ilvl w:val="0"/>
          <w:numId w:val="1652"/>
        </w:numPr>
        <w:pStyle w:val="Compact"/>
      </w:pPr>
      <w:r>
        <w:rPr>
          <w:bCs/>
          <w:b/>
        </w:rPr>
        <w:t xml:space="preserve">Video edge cache.</w:t>
      </w:r>
      <w:r>
        <w:t xml:space="preserve"> </w:t>
      </w:r>
      <w:r>
        <w:t xml:space="preserve">200 cache servers per site serve 2 million objects with Zipf popularity. Choose the routing scheme from the L7 tier to the caches, set</w:t>
      </w:r>
      <w:r>
        <w:t xml:space="preserve"> </w:t>
      </w:r>
      <m:oMath>
        <m:r>
          <m:t>ε</m:t>
        </m:r>
      </m:oMath>
      <w:r>
        <w:t xml:space="preserve">, estimate hit ratio loss versus plain consistent hashing, and describe behavior during a cache server failure.</w:t>
      </w:r>
    </w:p>
    <w:p>
      <w:pPr>
        <w:numPr>
          <w:ilvl w:val="0"/>
          <w:numId w:val="1652"/>
        </w:numPr>
        <w:pStyle w:val="Compact"/>
      </w:pPr>
      <w:r>
        <w:rPr>
          <w:bCs/>
          <w:b/>
        </w:rPr>
        <w:t xml:space="preserve">Internal RPC platform.</w:t>
      </w:r>
      <w:r>
        <w:t xml:space="preserve"> </w:t>
      </w:r>
      <w:r>
        <w:t xml:space="preserve">3,000 services, 40,000 pods, mostly gRPC. Choose between proxy, sidecar, library and lookaside balancing; size subsets; define health checking and outlier detection; explain what happens when the control plane is unavailable for 10 minutes.</w:t>
      </w:r>
    </w:p>
    <w:bookmarkEnd w:id="2240"/>
    <w:bookmarkStart w:id="2241" w:name="references-18"/>
    <w:p>
      <w:pPr>
        <w:pStyle w:val="Heading2"/>
      </w:pPr>
      <w:r>
        <w:t xml:space="preserve">19.17 References</w:t>
      </w:r>
    </w:p>
    <w:p>
      <w:pPr>
        <w:numPr>
          <w:ilvl w:val="0"/>
          <w:numId w:val="1653"/>
        </w:numPr>
        <w:pStyle w:val="Compact"/>
      </w:pPr>
      <w:r>
        <w:t xml:space="preserve">Amazon Web Services.</w:t>
      </w:r>
      <w:r>
        <w:t xml:space="preserve"> </w:t>
      </w:r>
      <w:r>
        <w:rPr>
          <w:iCs/>
          <w:i/>
        </w:rPr>
        <w:t xml:space="preserve">Elastic Load Balancing User Guides: Application Load Balancers; Network Load Balancers</w:t>
      </w:r>
      <w:r>
        <w:t xml:space="preserve"> </w:t>
      </w:r>
      <w:r>
        <w:t xml:space="preserve">(target groups, health checks, routing algorithms, deregistration delay). https://docs.aws.amazon.com/elasticloadbalancing/</w:t>
      </w:r>
    </w:p>
    <w:p>
      <w:pPr>
        <w:numPr>
          <w:ilvl w:val="0"/>
          <w:numId w:val="1653"/>
        </w:numPr>
        <w:pStyle w:val="Compact"/>
      </w:pPr>
      <w:r>
        <w:t xml:space="preserve">Azar, Y., Broder, A. Z., Karlin, A. R., Upfal, E.</w:t>
      </w:r>
      <w:r>
        <w:t xml:space="preserve"> </w:t>
      </w:r>
      <w:r>
        <w:t xml:space="preserve">“</w:t>
      </w:r>
      <w:r>
        <w:t xml:space="preserve">Balanced Allocations.</w:t>
      </w:r>
      <w:r>
        <w:t xml:space="preserve">”</w:t>
      </w:r>
      <w:r>
        <w:t xml:space="preserve"> </w:t>
      </w:r>
      <w:r>
        <w:rPr>
          <w:iCs/>
          <w:i/>
        </w:rPr>
        <w:t xml:space="preserve">SIAM Journal on Computing</w:t>
      </w:r>
      <w:r>
        <w:t xml:space="preserve"> </w:t>
      </w:r>
      <w:r>
        <w:t xml:space="preserve">29(1):180–200, 1999.</w:t>
      </w:r>
    </w:p>
    <w:p>
      <w:pPr>
        <w:numPr>
          <w:ilvl w:val="0"/>
          <w:numId w:val="1653"/>
        </w:numPr>
        <w:pStyle w:val="Compact"/>
      </w:pPr>
      <w:r>
        <w:t xml:space="preserve">Beyer, B., Jones, C., Petoff, J., Murphy, N. R. (eds.).</w:t>
      </w:r>
      <w:r>
        <w:t xml:space="preserve"> </w:t>
      </w:r>
      <w:r>
        <w:rPr>
          <w:iCs/>
          <w:i/>
        </w:rPr>
        <w:t xml:space="preserve">Site Reliability Engineering: How Google Runs Production Systems</w:t>
      </w:r>
      <w:r>
        <w:t xml:space="preserve">. O’Reilly, 2016. Chapter 19,</w:t>
      </w:r>
      <w:r>
        <w:t xml:space="preserve"> </w:t>
      </w:r>
      <w:r>
        <w:t xml:space="preserve">“</w:t>
      </w:r>
      <w:r>
        <w:t xml:space="preserve">Load Balancing at the Frontend</w:t>
      </w:r>
      <w:r>
        <w:t xml:space="preserve">”</w:t>
      </w:r>
      <w:r>
        <w:t xml:space="preserve">; Chapter 20,</w:t>
      </w:r>
      <w:r>
        <w:t xml:space="preserve"> </w:t>
      </w:r>
      <w:r>
        <w:t xml:space="preserve">“</w:t>
      </w:r>
      <w:r>
        <w:t xml:space="preserve">Load Balancing in the Datacenter.</w:t>
      </w:r>
      <w:r>
        <w:t xml:space="preserve">”</w:t>
      </w:r>
      <w:r>
        <w:t xml:space="preserve"> </w:t>
      </w:r>
      <w:r>
        <w:t xml:space="preserve">https://sre.google/sre-book/table-of-contents/</w:t>
      </w:r>
    </w:p>
    <w:p>
      <w:pPr>
        <w:numPr>
          <w:ilvl w:val="0"/>
          <w:numId w:val="1653"/>
        </w:numPr>
        <w:pStyle w:val="Compact"/>
      </w:pPr>
      <w:r>
        <w:t xml:space="preserve">Eisenbud, D. E., Yi, C., Contavalli, C., Smith, C., Kononov, R., Mann-Hielscher, E., Cilingiroglu, A., Cheyney, B., Shang, W., Hosein, J. D.</w:t>
      </w:r>
      <w:r>
        <w:t xml:space="preserve"> </w:t>
      </w:r>
      <w:r>
        <w:t xml:space="preserve">“</w:t>
      </w:r>
      <w:r>
        <w:t xml:space="preserve">Maglev: A Fast and Reliable Software Network Load Balancer.</w:t>
      </w:r>
      <w:r>
        <w:t xml:space="preserve">”</w:t>
      </w:r>
      <w:r>
        <w:t xml:space="preserve"> </w:t>
      </w:r>
      <w:r>
        <w:rPr>
          <w:iCs/>
          <w:i/>
        </w:rPr>
        <w:t xml:space="preserve">13th USENIX Symposium on Networked Systems Design and Implementation (NSDI)</w:t>
      </w:r>
      <w:r>
        <w:t xml:space="preserve">, 2016.</w:t>
      </w:r>
    </w:p>
    <w:p>
      <w:pPr>
        <w:numPr>
          <w:ilvl w:val="0"/>
          <w:numId w:val="1653"/>
        </w:numPr>
        <w:pStyle w:val="Compact"/>
      </w:pPr>
      <w:r>
        <w:t xml:space="preserve">Envoy Project.</w:t>
      </w:r>
      <w:r>
        <w:t xml:space="preserve"> </w:t>
      </w:r>
      <w:r>
        <w:rPr>
          <w:iCs/>
          <w:i/>
        </w:rPr>
        <w:t xml:space="preserve">Envoy documentation: Load balancing; Health checking; Outlier detection; Panic threshold</w:t>
      </w:r>
      <w:r>
        <w:t xml:space="preserve">. https://www.envoyproxy.io/docs/envoy/latest/intro/arch_overview/upstream/upstream</w:t>
      </w:r>
    </w:p>
    <w:p>
      <w:pPr>
        <w:numPr>
          <w:ilvl w:val="0"/>
          <w:numId w:val="1653"/>
        </w:numPr>
        <w:pStyle w:val="Compact"/>
      </w:pPr>
      <w:r>
        <w:t xml:space="preserve">gRPC Authors.</w:t>
      </w:r>
      <w:r>
        <w:t xml:space="preserve"> </w:t>
      </w:r>
      <w:r>
        <w:rPr>
          <w:iCs/>
          <w:i/>
        </w:rPr>
        <w:t xml:space="preserve">Load Balancing in gRPC</w:t>
      </w:r>
      <w:r>
        <w:t xml:space="preserve">. https://github.com/grpc/grpc/blob/master/doc/load-balancing.md</w:t>
      </w:r>
    </w:p>
    <w:p>
      <w:pPr>
        <w:numPr>
          <w:ilvl w:val="0"/>
          <w:numId w:val="1653"/>
        </w:numPr>
        <w:pStyle w:val="Compact"/>
      </w:pPr>
      <w:r>
        <w:t xml:space="preserve">HAProxy Technologies.</w:t>
      </w:r>
      <w:r>
        <w:t xml:space="preserve"> </w:t>
      </w:r>
      <w:r>
        <w:rPr>
          <w:iCs/>
          <w:i/>
        </w:rPr>
        <w:t xml:space="preserve">HAProxy Configuration Manual</w:t>
      </w:r>
      <w:r>
        <w:t xml:space="preserve"> </w:t>
      </w:r>
      <w:r>
        <w:t xml:space="preserve">(</w:t>
      </w:r>
      <w:r>
        <w:rPr>
          <w:rStyle w:val="VerbatimChar"/>
        </w:rPr>
        <w:t xml:space="preserve">balance</w:t>
      </w:r>
      <w:r>
        <w:t xml:space="preserve">,</w:t>
      </w:r>
      <w:r>
        <w:t xml:space="preserve"> </w:t>
      </w:r>
      <w:r>
        <w:rPr>
          <w:rStyle w:val="VerbatimChar"/>
        </w:rPr>
        <w:t xml:space="preserve">hash-type</w:t>
      </w:r>
      <w:r>
        <w:t xml:space="preserve">,</w:t>
      </w:r>
      <w:r>
        <w:t xml:space="preserve"> </w:t>
      </w:r>
      <w:r>
        <w:rPr>
          <w:rStyle w:val="VerbatimChar"/>
        </w:rPr>
        <w:t xml:space="preserve">hash-balance-factor</w:t>
      </w:r>
      <w:r>
        <w:t xml:space="preserve">, health-check options). https://docs.haproxy.org/</w:t>
      </w:r>
    </w:p>
    <w:p>
      <w:pPr>
        <w:numPr>
          <w:ilvl w:val="0"/>
          <w:numId w:val="1653"/>
        </w:numPr>
        <w:pStyle w:val="Compact"/>
      </w:pPr>
      <w:r>
        <w:t xml:space="preserve">Hopps, C.</w:t>
      </w:r>
      <w:r>
        <w:t xml:space="preserve"> </w:t>
      </w:r>
      <w:r>
        <w:rPr>
          <w:iCs/>
          <w:i/>
        </w:rPr>
        <w:t xml:space="preserve">RFC 2992: Analysis of an Equal-Cost Multi-Path Algorithm</w:t>
      </w:r>
      <w:r>
        <w:t xml:space="preserve">. IETF, 2000. https://www.rfc-editor.org/rfc/rfc2992</w:t>
      </w:r>
    </w:p>
    <w:p>
      <w:pPr>
        <w:numPr>
          <w:ilvl w:val="0"/>
          <w:numId w:val="1653"/>
        </w:numPr>
        <w:pStyle w:val="Compact"/>
      </w:pPr>
      <w:r>
        <w:t xml:space="preserve">Julienne, T.</w:t>
      </w:r>
      <w:r>
        <w:t xml:space="preserve"> </w:t>
      </w:r>
      <w:r>
        <w:t xml:space="preserve">“</w:t>
      </w:r>
      <w:r>
        <w:t xml:space="preserve">GLB: GitHub’s open source load balancer.</w:t>
      </w:r>
      <w:r>
        <w:t xml:space="preserve">”</w:t>
      </w:r>
      <w:r>
        <w:t xml:space="preserve"> </w:t>
      </w:r>
      <w:r>
        <w:t xml:space="preserve">GitHub Blog, 2018. https://github.blog/</w:t>
      </w:r>
    </w:p>
    <w:p>
      <w:pPr>
        <w:numPr>
          <w:ilvl w:val="0"/>
          <w:numId w:val="1653"/>
        </w:numPr>
        <w:pStyle w:val="Compact"/>
      </w:pPr>
      <w:r>
        <w:t xml:space="preserve">Kubernetes Authors.</w:t>
      </w:r>
      <w:r>
        <w:t xml:space="preserve"> </w:t>
      </w:r>
      <w:r>
        <w:rPr>
          <w:iCs/>
          <w:i/>
        </w:rPr>
        <w:t xml:space="preserve">Virtual IPs and Service Proxies</w:t>
      </w:r>
      <w:r>
        <w:t xml:space="preserve">. https://kubernetes.io/docs/reference/networking/virtual-ips/</w:t>
      </w:r>
    </w:p>
    <w:p>
      <w:pPr>
        <w:numPr>
          <w:ilvl w:val="0"/>
          <w:numId w:val="1653"/>
        </w:numPr>
        <w:pStyle w:val="Compact"/>
      </w:pPr>
      <w:r>
        <w:t xml:space="preserve">Meta Engineering.</w:t>
      </w:r>
      <w:r>
        <w:t xml:space="preserve"> </w:t>
      </w:r>
      <w:r>
        <w:t xml:space="preserve">“</w:t>
      </w:r>
      <w:r>
        <w:t xml:space="preserve">Open-sourcing Katran, a scalable network load balancer.</w:t>
      </w:r>
      <w:r>
        <w:t xml:space="preserve">”</w:t>
      </w:r>
      <w:r>
        <w:t xml:space="preserve"> </w:t>
      </w:r>
      <w:r>
        <w:t xml:space="preserve">engineering.fb.com, 2018. https://github.com/facebookincubator/katran</w:t>
      </w:r>
    </w:p>
    <w:p>
      <w:pPr>
        <w:numPr>
          <w:ilvl w:val="0"/>
          <w:numId w:val="1653"/>
        </w:numPr>
        <w:pStyle w:val="Compact"/>
      </w:pPr>
      <w:r>
        <w:t xml:space="preserve">Mirrokni, V., Thorup, M., Zadimoghaddam, M.</w:t>
      </w:r>
      <w:r>
        <w:t xml:space="preserve"> </w:t>
      </w:r>
      <w:r>
        <w:t xml:space="preserve">“</w:t>
      </w:r>
      <w:r>
        <w:t xml:space="preserve">Consistent Hashing with Bounded Loads.</w:t>
      </w:r>
      <w:r>
        <w:t xml:space="preserve">”</w:t>
      </w:r>
      <w:r>
        <w:t xml:space="preserve"> </w:t>
      </w:r>
      <w:r>
        <w:rPr>
          <w:iCs/>
          <w:i/>
        </w:rPr>
        <w:t xml:space="preserve">Proceedings of the 29th ACM-SIAM Symposium on Discrete Algorithms (SODA)</w:t>
      </w:r>
      <w:r>
        <w:t xml:space="preserve">, 587–604, 2018. arXiv:1608.01350.</w:t>
      </w:r>
    </w:p>
    <w:p>
      <w:pPr>
        <w:numPr>
          <w:ilvl w:val="0"/>
          <w:numId w:val="1653"/>
        </w:numPr>
        <w:pStyle w:val="Compact"/>
      </w:pPr>
      <w:r>
        <w:t xml:space="preserve">Mirrokni, V., Zadimoghaddam, M.</w:t>
      </w:r>
      <w:r>
        <w:t xml:space="preserve"> </w:t>
      </w:r>
      <w:r>
        <w:t xml:space="preserve">“</w:t>
      </w:r>
      <w:r>
        <w:t xml:space="preserve">Consistent Hashing with Bounded Loads.</w:t>
      </w:r>
      <w:r>
        <w:t xml:space="preserve">”</w:t>
      </w:r>
      <w:r>
        <w:t xml:space="preserve"> </w:t>
      </w:r>
      <w:r>
        <w:t xml:space="preserve">Google Research Blog, 2017. https://research.google/blog/consistent-hashing-with-bounded-loads/</w:t>
      </w:r>
    </w:p>
    <w:p>
      <w:pPr>
        <w:numPr>
          <w:ilvl w:val="0"/>
          <w:numId w:val="1653"/>
        </w:numPr>
        <w:pStyle w:val="Compact"/>
      </w:pPr>
      <w:r>
        <w:t xml:space="preserve">Mitzenmacher, M.</w:t>
      </w:r>
      <w:r>
        <w:t xml:space="preserve"> </w:t>
      </w:r>
      <w:r>
        <w:t xml:space="preserve">“</w:t>
      </w:r>
      <w:r>
        <w:t xml:space="preserve">How Useful Is Old Information?</w:t>
      </w:r>
      <w:r>
        <w:t xml:space="preserve">”</w:t>
      </w:r>
      <w:r>
        <w:t xml:space="preserve"> </w:t>
      </w:r>
      <w:r>
        <w:rPr>
          <w:iCs/>
          <w:i/>
        </w:rPr>
        <w:t xml:space="preserve">IEEE Transactions on Parallel and Distributed Systems</w:t>
      </w:r>
      <w:r>
        <w:t xml:space="preserve"> </w:t>
      </w:r>
      <w:r>
        <w:t xml:space="preserve">11(1):6–20, 2000.</w:t>
      </w:r>
    </w:p>
    <w:p>
      <w:pPr>
        <w:numPr>
          <w:ilvl w:val="0"/>
          <w:numId w:val="1653"/>
        </w:numPr>
        <w:pStyle w:val="Compact"/>
      </w:pPr>
      <w:r>
        <w:t xml:space="preserve">Mitzenmacher, M.</w:t>
      </w:r>
      <w:r>
        <w:t xml:space="preserve"> </w:t>
      </w:r>
      <w:r>
        <w:t xml:space="preserve">“</w:t>
      </w:r>
      <w:r>
        <w:t xml:space="preserve">The Power of Two Choices in Randomized Load Balancing.</w:t>
      </w:r>
      <w:r>
        <w:t xml:space="preserve">”</w:t>
      </w:r>
      <w:r>
        <w:t xml:space="preserve"> </w:t>
      </w:r>
      <w:r>
        <w:rPr>
          <w:iCs/>
          <w:i/>
        </w:rPr>
        <w:t xml:space="preserve">IEEE Transactions on Parallel and Distributed Systems</w:t>
      </w:r>
      <w:r>
        <w:t xml:space="preserve"> </w:t>
      </w:r>
      <w:r>
        <w:t xml:space="preserve">12(10):1094–1104, 2001.</w:t>
      </w:r>
    </w:p>
    <w:p>
      <w:pPr>
        <w:numPr>
          <w:ilvl w:val="0"/>
          <w:numId w:val="1653"/>
        </w:numPr>
        <w:pStyle w:val="Compact"/>
      </w:pPr>
      <w:r>
        <w:t xml:space="preserve">Nadas, S. (ed.).</w:t>
      </w:r>
      <w:r>
        <w:t xml:space="preserve"> </w:t>
      </w:r>
      <w:r>
        <w:rPr>
          <w:iCs/>
          <w:i/>
        </w:rPr>
        <w:t xml:space="preserve">RFC 5798: Virtual Router Redundancy Protocol (VRRP) Version 3 for IPv4 and IPv6</w:t>
      </w:r>
      <w:r>
        <w:t xml:space="preserve">. IETF, 2010. https://www.rfc-editor.org/rfc/rfc5798</w:t>
      </w:r>
    </w:p>
    <w:p>
      <w:pPr>
        <w:numPr>
          <w:ilvl w:val="0"/>
          <w:numId w:val="1653"/>
        </w:numPr>
        <w:pStyle w:val="Compact"/>
      </w:pPr>
      <w:r>
        <w:t xml:space="preserve">NGINX.</w:t>
      </w:r>
      <w:r>
        <w:t xml:space="preserve"> </w:t>
      </w:r>
      <w:r>
        <w:rPr>
          <w:iCs/>
          <w:i/>
        </w:rPr>
        <w:t xml:space="preserve">Module ngx_http_upstream_module</w:t>
      </w:r>
      <w:r>
        <w:t xml:space="preserve"> </w:t>
      </w:r>
      <w:r>
        <w:t xml:space="preserve">and source file</w:t>
      </w:r>
      <w:r>
        <w:t xml:space="preserve"> </w:t>
      </w:r>
      <w:r>
        <w:rPr>
          <w:rStyle w:val="VerbatimChar"/>
        </w:rPr>
        <w:t xml:space="preserve">src/http/ngx_http_upstream_round_robin.c</w:t>
      </w:r>
      <w:r>
        <w:t xml:space="preserve">. https://nginx.org/en/docs/http/ngx_http_upstream_module.html</w:t>
      </w:r>
    </w:p>
    <w:p>
      <w:pPr>
        <w:numPr>
          <w:ilvl w:val="0"/>
          <w:numId w:val="1653"/>
        </w:numPr>
        <w:pStyle w:val="Compact"/>
      </w:pPr>
      <w:r>
        <w:t xml:space="preserve">Rodland, A.</w:t>
      </w:r>
      <w:r>
        <w:t xml:space="preserve"> </w:t>
      </w:r>
      <w:r>
        <w:t xml:space="preserve">“</w:t>
      </w:r>
      <w:r>
        <w:t xml:space="preserve">Improving load balancing with a new consistent-hashing algorithm.</w:t>
      </w:r>
      <w:r>
        <w:t xml:space="preserve">”</w:t>
      </w:r>
      <w:r>
        <w:t xml:space="preserve"> </w:t>
      </w:r>
      <w:r>
        <w:t xml:space="preserve">Vimeo Engineering Blog, 2016.</w:t>
      </w:r>
    </w:p>
    <w:p>
      <w:pPr>
        <w:numPr>
          <w:ilvl w:val="0"/>
          <w:numId w:val="1653"/>
        </w:numPr>
        <w:pStyle w:val="Compact"/>
      </w:pPr>
      <w:r>
        <w:t xml:space="preserve">Twitter.</w:t>
      </w:r>
      <w:r>
        <w:t xml:space="preserve"> </w:t>
      </w:r>
      <w:r>
        <w:rPr>
          <w:iCs/>
          <w:i/>
        </w:rPr>
        <w:t xml:space="preserve">Finagle documentation: Clients — Load balancing</w:t>
      </w:r>
      <w:r>
        <w:t xml:space="preserve">. https://twitter.github.io/finagle/guide/Clients.html</w:t>
      </w:r>
    </w:p>
    <w:p>
      <w:pPr>
        <w:numPr>
          <w:ilvl w:val="0"/>
          <w:numId w:val="1653"/>
        </w:numPr>
        <w:pStyle w:val="Compact"/>
      </w:pPr>
      <w:r>
        <w:t xml:space="preserve">Zhang, W.</w:t>
      </w:r>
      <w:r>
        <w:t xml:space="preserve"> </w:t>
      </w:r>
      <w:r>
        <w:t xml:space="preserve">“</w:t>
      </w:r>
      <w:r>
        <w:t xml:space="preserve">Linux Virtual Server for Scalable Network Services.</w:t>
      </w:r>
      <w:r>
        <w:t xml:space="preserve">”</w:t>
      </w:r>
      <w:r>
        <w:t xml:space="preserve"> </w:t>
      </w:r>
      <w:r>
        <w:rPr>
          <w:iCs/>
          <w:i/>
        </w:rPr>
        <w:t xml:space="preserve">Ottawa Linux Symposium</w:t>
      </w:r>
      <w:r>
        <w:t xml:space="preserve">, 2000.</w:t>
      </w:r>
    </w:p>
    <w:bookmarkEnd w:id="2241"/>
    <w:bookmarkStart w:id="2242" w:name="open-verification-items-18"/>
    <w:p>
      <w:pPr>
        <w:pStyle w:val="Heading2"/>
      </w:pPr>
      <w:r>
        <w:t xml:space="preserve">19.18 Open verification items</w:t>
      </w:r>
    </w:p>
    <w:p>
      <w:pPr>
        <w:numPr>
          <w:ilvl w:val="0"/>
          <w:numId w:val="1654"/>
        </w:numPr>
        <w:pStyle w:val="Compact"/>
      </w:pPr>
      <w:r>
        <w:t xml:space="preserve">Maglev paper: confirm GRE encapsulation wording, the</w:t>
      </w:r>
      <w:r>
        <w:t xml:space="preserve"> </w:t>
      </w:r>
      <m:oMath>
        <m:r>
          <m:t>M</m:t>
        </m:r>
        <m:r>
          <m:rPr>
            <m:sty m:val="p"/>
          </m:rPr>
          <m:t>&gt;</m:t>
        </m:r>
        <m:r>
          <m:t>100</m:t>
        </m:r>
        <m:r>
          <m:t>N</m:t>
        </m:r>
      </m:oMath>
      <w:r>
        <w:t xml:space="preserve"> </w:t>
      </w:r>
      <w:r>
        <w:t xml:space="preserve">guidance and the table sizes used in its evaluation (65,537 is used here as a typical prime); full author list.</w:t>
      </w:r>
    </w:p>
    <w:p>
      <w:pPr>
        <w:numPr>
          <w:ilvl w:val="0"/>
          <w:numId w:val="1654"/>
        </w:numPr>
        <w:pStyle w:val="Compact"/>
      </w:pPr>
      <w:r>
        <w:t xml:space="preserve">AWS defaults (ALB health-check interval 30 s, thresholds 5/2, deregistration delay 300 s) and Envoy outlier-detection defaults (5 consecutive 5xx, 30 s base, 10% max): confirm against current documentation (as of 2026).</w:t>
      </w:r>
    </w:p>
    <w:p>
      <w:pPr>
        <w:numPr>
          <w:ilvl w:val="0"/>
          <w:numId w:val="1654"/>
        </w:numPr>
        <w:pStyle w:val="Compact"/>
      </w:pPr>
      <w:r>
        <w:t xml:space="preserve">HAProxy: default</w:t>
      </w:r>
      <w:r>
        <w:t xml:space="preserve"> </w:t>
      </w:r>
      <w:r>
        <w:rPr>
          <w:rStyle w:val="VerbatimChar"/>
        </w:rPr>
        <w:t xml:space="preserve">&lt;draws&gt;</w:t>
      </w:r>
      <w:r>
        <w:t xml:space="preserve"> </w:t>
      </w:r>
      <w:r>
        <w:t xml:space="preserve">for</w:t>
      </w:r>
      <w:r>
        <w:t xml:space="preserve"> </w:t>
      </w:r>
      <w:r>
        <w:rPr>
          <w:rStyle w:val="VerbatimChar"/>
        </w:rPr>
        <w:t xml:space="preserve">balance random</w:t>
      </w:r>
      <w:r>
        <w:t xml:space="preserve">;</w:t>
      </w:r>
      <w:r>
        <w:t xml:space="preserve"> </w:t>
      </w:r>
      <w:r>
        <w:rPr>
          <w:rStyle w:val="VerbatimChar"/>
        </w:rPr>
        <w:t xml:space="preserve">hash-balance-factor</w:t>
      </w:r>
      <w:r>
        <w:t xml:space="preserve"> </w:t>
      </w:r>
      <w:r>
        <w:t xml:space="preserve">semantics.</w:t>
      </w:r>
    </w:p>
    <w:p>
      <w:pPr>
        <w:numPr>
          <w:ilvl w:val="0"/>
          <w:numId w:val="1654"/>
        </w:numPr>
        <w:pStyle w:val="Compact"/>
      </w:pPr>
      <w:r>
        <w:t xml:space="preserve">Vimeo post (Rodland 2016): exact title, date and reported results; Google Cloud Pub/Sub use per Google Research blog (2017).</w:t>
      </w:r>
    </w:p>
    <w:p>
      <w:pPr>
        <w:numPr>
          <w:ilvl w:val="0"/>
          <w:numId w:val="1654"/>
        </w:numPr>
        <w:pStyle w:val="Compact"/>
      </w:pPr>
      <w:r>
        <w:t xml:space="preserve">Katran blog post: authors and date.</w:t>
      </w:r>
    </w:p>
    <w:p>
      <w:pPr>
        <w:numPr>
          <w:ilvl w:val="0"/>
          <w:numId w:val="1654"/>
        </w:numPr>
        <w:pStyle w:val="Compact"/>
      </w:pPr>
      <w:r>
        <w:t xml:space="preserve">Google SRE book subset sizes (20–100): confirm wording in ch. 20.</w:t>
      </w:r>
    </w:p>
    <w:bookmarkEnd w:id="2242"/>
    <w:bookmarkEnd w:id="2243"/>
    <w:bookmarkStart w:id="2358" w:name="chapter-20-caching"/>
    <w:p>
      <w:pPr>
        <w:pStyle w:val="Heading1"/>
      </w:pPr>
      <w:r>
        <w:t xml:space="preserve">Chapter 20 — Caching</w:t>
      </w:r>
    </w:p>
    <w:p>
      <w:pPr>
        <w:pStyle w:val="BlockText"/>
      </w:pPr>
      <w:r>
        <w:rPr>
          <w:bCs/>
          <w:b/>
        </w:rPr>
        <w:t xml:space="preserve">Level:</w:t>
      </w:r>
      <w:r>
        <w:t xml:space="preserve"> </w:t>
      </w:r>
      <w:r>
        <w:t xml:space="preserve">2 ·</w:t>
      </w:r>
      <w:r>
        <w:t xml:space="preserve"> </w:t>
      </w:r>
      <w:r>
        <w:rPr>
          <w:bCs/>
          <w:b/>
        </w:rPr>
        <w:t xml:space="preserve">Track:</w:t>
      </w:r>
      <w:r>
        <w:t xml:space="preserve"> </w:t>
      </w:r>
      <w:r>
        <w:t xml:space="preserve">A (Traditional) ·</w:t>
      </w:r>
      <w:r>
        <w:t xml:space="preserve"> </w:t>
      </w:r>
      <w:r>
        <w:rPr>
          <w:bCs/>
          <w:b/>
        </w:rPr>
        <w:t xml:space="preserve">Estimated reading time:</w:t>
      </w:r>
      <w:r>
        <w:t xml:space="preserve"> </w:t>
      </w:r>
      <w:r>
        <w:t xml:space="preserve">5 h</w:t>
      </w:r>
    </w:p>
    <w:p>
      <w:pPr>
        <w:pStyle w:val="FirstParagraph"/>
      </w:pPr>
      <w:r>
        <w:t xml:space="preserve">Almost every large system you will design reads far more than it writes, and reads the same few things again and again. A product page, a user’s profile, a feed’s first screen: each is computed from durable storage that takes milliseconds to answer and can serve only so many queries per second. A</w:t>
      </w:r>
      <w:r>
        <w:t xml:space="preserve"> </w:t>
      </w:r>
      <w:r>
        <w:rPr>
          <w:bCs/>
          <w:b/>
        </w:rPr>
        <w:t xml:space="preserve">cache</w:t>
      </w:r>
      <w:r>
        <w:t xml:space="preserve"> </w:t>
      </w:r>
      <w:r>
        <w:t xml:space="preserve">keeps a copy of recent answers in faster memory, closer to whoever asks, so that most requests never reach the slow store. Done well, a cache cuts average latency by an order of magnitude and database load by two. Done badly, it serves stale data, melts the database when it empties, and hides bugs that appear only under load.</w:t>
      </w:r>
    </w:p>
    <w:p>
      <w:pPr>
        <w:pStyle w:val="BodyText"/>
      </w:pPr>
      <w:r>
        <w:t xml:space="preserve">You already met caches inside a CPU (§5.4) and inside a database (§13.4). This chapter is about the caches you add yourself: in the browser, at the edge, in your application and in dedicated cache servers such as Redis and Memcached. It explains why a cache holding 1% of your data can absorb more than half the traffic, how to read and write through a cache without corrupting it, how to choose an eviction policy, and how to survive the three classic failure modes of production caches: stampedes, penetration and avalanches.</w:t>
      </w:r>
    </w:p>
    <w:bookmarkStart w:id="2244" w:name="learning-objectives-19"/>
    <w:p>
      <w:pPr>
        <w:pStyle w:val="Heading2"/>
      </w:pPr>
      <w:r>
        <w:t xml:space="preserve">20.1 Learning objectives</w:t>
      </w:r>
    </w:p>
    <w:p>
      <w:pPr>
        <w:pStyle w:val="FirstParagraph"/>
      </w:pPr>
      <w:r>
        <w:t xml:space="preserve">After this chapter you should be able to:</w:t>
      </w:r>
    </w:p>
    <w:p>
      <w:pPr>
        <w:numPr>
          <w:ilvl w:val="0"/>
          <w:numId w:val="1655"/>
        </w:numPr>
        <w:pStyle w:val="Compact"/>
      </w:pPr>
      <w:r>
        <w:t xml:space="preserve">Compute effective latency and backend load from a hit ratio, and explain why the miss ratio, not the hit ratio, is the number to watch.</w:t>
      </w:r>
    </w:p>
    <w:p>
      <w:pPr>
        <w:numPr>
          <w:ilvl w:val="0"/>
          <w:numId w:val="1655"/>
        </w:numPr>
        <w:pStyle w:val="Compact"/>
      </w:pPr>
      <w:r>
        <w:t xml:space="preserve">Explain with the Zipf distribution why small caches capture most requests, and estimate the hit ratio of a cache of a given size.</w:t>
      </w:r>
    </w:p>
    <w:p>
      <w:pPr>
        <w:numPr>
          <w:ilvl w:val="0"/>
          <w:numId w:val="1655"/>
        </w:numPr>
        <w:pStyle w:val="Compact"/>
      </w:pPr>
      <w:r>
        <w:t xml:space="preserve">Place caches in the right layers (client, CDN, gateway, in-process, remote, database) and choose between in-process and remote caches.</w:t>
      </w:r>
    </w:p>
    <w:p>
      <w:pPr>
        <w:numPr>
          <w:ilvl w:val="0"/>
          <w:numId w:val="1655"/>
        </w:numPr>
        <w:pStyle w:val="Compact"/>
      </w:pPr>
      <w:r>
        <w:t xml:space="preserve">Describe how Redis and Memcached work internally: event loop, data structures, persistence, replication, Redis Cluster hash slots, the slab allocator and segmented LRU.</w:t>
      </w:r>
    </w:p>
    <w:p>
      <w:pPr>
        <w:numPr>
          <w:ilvl w:val="0"/>
          <w:numId w:val="1655"/>
        </w:numPr>
        <w:pStyle w:val="Compact"/>
      </w:pPr>
      <w:r>
        <w:t xml:space="preserve">Draw the sequence of cache-aside, read-through, write-through, write-back and write-around, and identify the consistency races in each.</w:t>
      </w:r>
    </w:p>
    <w:p>
      <w:pPr>
        <w:numPr>
          <w:ilvl w:val="0"/>
          <w:numId w:val="1655"/>
        </w:numPr>
        <w:pStyle w:val="Compact"/>
      </w:pPr>
      <w:r>
        <w:t xml:space="preserve">Choose TTLs, add jitter, and choose among LRU, LFU, ARC and W-TinyLFU using measured hit ratios.</w:t>
      </w:r>
    </w:p>
    <w:p>
      <w:pPr>
        <w:numPr>
          <w:ilvl w:val="0"/>
          <w:numId w:val="1655"/>
        </w:numPr>
        <w:pStyle w:val="Compact"/>
      </w:pPr>
      <w:r>
        <w:t xml:space="preserve">Design invalidation with TTLs, explicit deletes, change data capture and versioned keys.</w:t>
      </w:r>
    </w:p>
    <w:p>
      <w:pPr>
        <w:numPr>
          <w:ilvl w:val="0"/>
          <w:numId w:val="1655"/>
        </w:numPr>
        <w:pStyle w:val="Compact"/>
      </w:pPr>
      <w:r>
        <w:t xml:space="preserve">Prevent cache stampedes with locks, leases, probabilistic early expiration (XFetch) and stale-while-revalidate, and size XFetch’s parameter.</w:t>
      </w:r>
    </w:p>
    <w:p>
      <w:pPr>
        <w:numPr>
          <w:ilvl w:val="0"/>
          <w:numId w:val="1655"/>
        </w:numPr>
        <w:pStyle w:val="Compact"/>
      </w:pPr>
      <w:r>
        <w:t xml:space="preserve">Defend against cache penetration, avalanches and hot keys.</w:t>
      </w:r>
    </w:p>
    <w:bookmarkEnd w:id="2244"/>
    <w:bookmarkStart w:id="2245" w:name="prerequisites-19"/>
    <w:p>
      <w:pPr>
        <w:pStyle w:val="Heading2"/>
      </w:pPr>
      <w:r>
        <w:t xml:space="preserve">20.2 Prerequisites</w:t>
      </w:r>
    </w:p>
    <w:p>
      <w:pPr>
        <w:numPr>
          <w:ilvl w:val="0"/>
          <w:numId w:val="1656"/>
        </w:numPr>
        <w:pStyle w:val="Compact"/>
      </w:pPr>
      <w:r>
        <w:t xml:space="preserve">Latency numbers and percentiles — §5.9.4, §4.8 (every argument here compares memory, network and disk latencies, and tails matter).</w:t>
      </w:r>
    </w:p>
    <w:p>
      <w:pPr>
        <w:numPr>
          <w:ilvl w:val="0"/>
          <w:numId w:val="1656"/>
        </w:numPr>
        <w:pStyle w:val="Compact"/>
      </w:pPr>
      <w:r>
        <w:t xml:space="preserve">CPU caches and average memory access time — §5.4.5 (the same formula governs application caches).</w:t>
      </w:r>
    </w:p>
    <w:p>
      <w:pPr>
        <w:numPr>
          <w:ilvl w:val="0"/>
          <w:numId w:val="1656"/>
        </w:numPr>
        <w:pStyle w:val="Compact"/>
      </w:pPr>
      <w:r>
        <w:t xml:space="preserve">Buffer pools and eviction (LRU, clock, LRU-K) — §13.4 (database-side caching and scan resistance).</w:t>
      </w:r>
    </w:p>
    <w:p>
      <w:pPr>
        <w:numPr>
          <w:ilvl w:val="0"/>
          <w:numId w:val="1656"/>
        </w:numPr>
        <w:pStyle w:val="Compact"/>
      </w:pPr>
      <w:r>
        <w:t xml:space="preserve">Read replicas and replication lag — §14.3–§14.4 (caches and replicas are both stale copies).</w:t>
      </w:r>
    </w:p>
    <w:p>
      <w:pPr>
        <w:numPr>
          <w:ilvl w:val="0"/>
          <w:numId w:val="1656"/>
        </w:numPr>
        <w:pStyle w:val="Compact"/>
      </w:pPr>
      <w:r>
        <w:t xml:space="preserve">Consistent hashing — §14.8 (how keys are spread over cache nodes).</w:t>
      </w:r>
    </w:p>
    <w:p>
      <w:pPr>
        <w:numPr>
          <w:ilvl w:val="0"/>
          <w:numId w:val="1656"/>
        </w:numPr>
        <w:pStyle w:val="Compact"/>
      </w:pPr>
      <w:r>
        <w:t xml:space="preserve">Bloom filters and Count-Min sketches — §17.4, §17.6 (used against penetration, for hot-key detection and in TinyLFU).</w:t>
      </w:r>
    </w:p>
    <w:bookmarkEnd w:id="2245"/>
    <w:bookmarkStart w:id="2259" w:name="cache-fundamentals-and-hit-ratio"/>
    <w:p>
      <w:pPr>
        <w:pStyle w:val="Heading2"/>
      </w:pPr>
      <w:r>
        <w:t xml:space="preserve">20.3 Cache fundamentals and hit ratio</w:t>
      </w:r>
    </w:p>
    <w:bookmarkStart w:id="2252" w:name="what-a-cache-is"/>
    <w:p>
      <w:pPr>
        <w:pStyle w:val="Heading3"/>
      </w:pPr>
      <w:r>
        <w:t xml:space="preserve">20.3.1 What a cache is</w:t>
      </w:r>
    </w:p>
    <w:p>
      <w:pPr>
        <w:pStyle w:val="CalloutDefinition"/>
      </w:pPr>
      <w:r>
        <w:rPr>
          <w:bCs/>
          <w:b/>
        </w:rPr>
        <w:t xml:space="preserve">DEFINITION</w:t>
      </w:r>
    </w:p>
    <w:p>
      <w:pPr>
        <w:pStyle w:val="CalloutDefinition"/>
      </w:pPr>
      <w:r>
        <w:rPr>
          <w:bCs/>
          <w:b/>
        </w:rPr>
        <w:t xml:space="preserve">Definition — Cache.</w:t>
      </w:r>
      <w:r>
        <w:t xml:space="preserve"> </w:t>
      </w:r>
      <w:r>
        <w:t xml:space="preserve">A store that holds copies of data whose authoritative version lives elsewhere (the</w:t>
      </w:r>
      <w:r>
        <w:t xml:space="preserve"> </w:t>
      </w:r>
      <w:r>
        <w:rPr>
          <w:bCs/>
          <w:b/>
        </w:rPr>
        <w:t xml:space="preserve">backing store</w:t>
      </w:r>
      <w:r>
        <w:t xml:space="preserve"> </w:t>
      </w:r>
      <w:r>
        <w:t xml:space="preserve">or</w:t>
      </w:r>
      <w:r>
        <w:t xml:space="preserve"> </w:t>
      </w:r>
      <w:r>
        <w:rPr>
          <w:bCs/>
          <w:b/>
        </w:rPr>
        <w:t xml:space="preserve">source of truth</w:t>
      </w:r>
      <w:r>
        <w:t xml:space="preserve">), placed so that reading the copy is faster or cheaper than reading the original. A lookup that finds the data is a</w:t>
      </w:r>
      <w:r>
        <w:t xml:space="preserve"> </w:t>
      </w:r>
      <w:r>
        <w:rPr>
          <w:bCs/>
          <w:b/>
        </w:rPr>
        <w:t xml:space="preserve">hit</w:t>
      </w:r>
      <w:r>
        <w:t xml:space="preserve">; one that does not is a</w:t>
      </w:r>
      <w:r>
        <w:t xml:space="preserve"> </w:t>
      </w:r>
      <w:r>
        <w:rPr>
          <w:bCs/>
          <w:b/>
        </w:rPr>
        <w:t xml:space="preserve">miss</w:t>
      </w:r>
      <w:r>
        <w:t xml:space="preserve">. The</w:t>
      </w:r>
      <w:r>
        <w:t xml:space="preserve"> </w:t>
      </w:r>
      <w:r>
        <w:rPr>
          <w:bCs/>
          <w:b/>
        </w:rPr>
        <w:t xml:space="preserve">cache hit ratio</w:t>
      </w:r>
      <w:r>
        <w:t xml:space="preserve"> </w:t>
      </w:r>
      <m:oMath>
        <m:r>
          <m:t>h</m:t>
        </m:r>
      </m:oMath>
      <w:r>
        <w:t xml:space="preserve"> </w:t>
      </w:r>
      <w:r>
        <w:t xml:space="preserve">is hits divided by lookups; the</w:t>
      </w:r>
      <w:r>
        <w:t xml:space="preserve"> </w:t>
      </w:r>
      <w:r>
        <w:rPr>
          <w:bCs/>
          <w:b/>
        </w:rPr>
        <w:t xml:space="preserve">miss ratio</w:t>
      </w:r>
      <w:r>
        <w:t xml:space="preserve"> </w:t>
      </w:r>
      <w:r>
        <w:t xml:space="preserve">is</w:t>
      </w:r>
      <w:r>
        <w:t xml:space="preserve"> </w:t>
      </w:r>
      <m:oMath>
        <m:r>
          <m:t>1</m:t>
        </m:r>
        <m:r>
          <m:rPr>
            <m:sty m:val="p"/>
          </m:rPr>
          <m:t>−</m:t>
        </m:r>
        <m:r>
          <m:t>h</m:t>
        </m:r>
      </m:oMath>
      <w:r>
        <w:t xml:space="preserve">.</w:t>
      </w:r>
    </w:p>
    <w:bookmarkStart w:id="2246" w:name="first-principles-explanation-123"/>
    <w:p>
      <w:pPr>
        <w:pStyle w:val="Heading4"/>
      </w:pPr>
      <w:r>
        <w:t xml:space="preserve">First-principles explanation</w:t>
      </w:r>
    </w:p>
    <w:p>
      <w:pPr>
        <w:pStyle w:val="FirstParagraph"/>
      </w:pPr>
      <w:r>
        <w:t xml:space="preserve">A reference librarian keeps a shelf of the 200 books people ask for most behind the desk. Most questions are answered from that shelf in seconds; the rare request for an obscure title means a trip to the stacks, after which the book may replace something on the shelf that nobody has asked for lately. Three questions decide how well this works: how often the shelf has the book (hit ratio), how much faster the shelf is than the stacks (the latency gap), and what happens when a book on the shelf is out of date because a new edition came out (staleness).</w:t>
      </w:r>
    </w:p>
    <w:bookmarkEnd w:id="2246"/>
    <w:bookmarkStart w:id="2247" w:name="why-does-this-exist-77"/>
    <w:p>
      <w:pPr>
        <w:pStyle w:val="Heading4"/>
      </w:pPr>
      <w:r>
        <w:t xml:space="preserve">Why does this exist?</w:t>
      </w:r>
    </w:p>
    <w:p>
      <w:pPr>
        <w:pStyle w:val="FirstParagraph"/>
      </w:pPr>
      <w:r>
        <w:t xml:space="preserve">Two engineering problems motivate every cache.</w:t>
      </w:r>
      <w:r>
        <w:t xml:space="preserve"> </w:t>
      </w:r>
      <w:r>
        <w:rPr>
          <w:bCs/>
          <w:b/>
        </w:rPr>
        <w:t xml:space="preserve">Latency</w:t>
      </w:r>
      <w:r>
        <w:t xml:space="preserve">: a key–value read from memory on another machine in the same datacenter costs about 0.2–0.5 ms, while a database query that touches disk or does real work costs 2–50 ms; a page that makes 20 such reads cannot meet a 200 ms budget without caching.</w:t>
      </w:r>
      <w:r>
        <w:t xml:space="preserve"> </w:t>
      </w:r>
      <w:r>
        <w:rPr>
          <w:bCs/>
          <w:b/>
        </w:rPr>
        <w:t xml:space="preserve">Capacity</w:t>
      </w:r>
      <w:r>
        <w:t xml:space="preserve">: a database primary may sustain 10,000–50,000 simple queries per second, and every extra read replica adds cost and replication lag (§14.3). A cache node serving 100,000+ reads per second from RAM is cheaper per read by one to two orders of magnitude. Caches buy both, at the price of</w:t>
      </w:r>
      <w:r>
        <w:t xml:space="preserve"> </w:t>
      </w:r>
      <w:r>
        <w:rPr>
          <w:bCs/>
          <w:b/>
        </w:rPr>
        <w:t xml:space="preserve">staleness</w:t>
      </w:r>
      <w:r>
        <w:t xml:space="preserve">,</w:t>
      </w:r>
      <w:r>
        <w:t xml:space="preserve"> </w:t>
      </w:r>
      <w:r>
        <w:rPr>
          <w:bCs/>
          <w:b/>
        </w:rPr>
        <w:t xml:space="preserve">memory cost</w:t>
      </w:r>
      <w:r>
        <w:t xml:space="preserve"> </w:t>
      </w:r>
      <w:r>
        <w:t xml:space="preserve">and</w:t>
      </w:r>
      <w:r>
        <w:t xml:space="preserve"> </w:t>
      </w:r>
      <w:r>
        <w:rPr>
          <w:bCs/>
          <w:b/>
        </w:rPr>
        <w:t xml:space="preserve">another component that can fail</w:t>
      </w:r>
      <w:r>
        <w:t xml:space="preserve">.</w:t>
      </w:r>
    </w:p>
    <w:bookmarkEnd w:id="2247"/>
    <w:bookmarkStart w:id="2251" w:name="how-it-works-internally-84"/>
    <w:p>
      <w:pPr>
        <w:pStyle w:val="Heading4"/>
      </w:pPr>
      <w:r>
        <w:t xml:space="preserve">How it works internally</w:t>
      </w:r>
    </w:p>
    <w:p>
      <w:pPr>
        <w:pStyle w:val="FirstParagraph"/>
      </w:pPr>
      <w:r>
        <w:t xml:space="preserve">Every cache, from an L1 CPU cache to a CDN, implements the same five decisions:</w:t>
      </w:r>
    </w:p>
    <w:p>
      <w:pPr>
        <w:numPr>
          <w:ilvl w:val="0"/>
          <w:numId w:val="1657"/>
        </w:numPr>
        <w:pStyle w:val="Compact"/>
      </w:pPr>
      <w:r>
        <w:rPr>
          <w:bCs/>
          <w:b/>
        </w:rPr>
        <w:t xml:space="preserve">Lookup</w:t>
      </w:r>
      <w:r>
        <w:t xml:space="preserve">: map a</w:t>
      </w:r>
      <w:r>
        <w:t xml:space="preserve"> </w:t>
      </w:r>
      <w:r>
        <w:rPr>
          <w:bCs/>
          <w:b/>
        </w:rPr>
        <w:t xml:space="preserve">cache key</w:t>
      </w:r>
      <w:r>
        <w:t xml:space="preserve"> </w:t>
      </w:r>
      <w:r>
        <w:t xml:space="preserve">(for example</w:t>
      </w:r>
      <w:r>
        <w:t xml:space="preserve"> </w:t>
      </w:r>
      <w:r>
        <w:rPr>
          <w:rStyle w:val="VerbatimChar"/>
        </w:rPr>
        <w:t xml:space="preserve">user:42:profile:v3</w:t>
      </w:r>
      <w:r>
        <w:t xml:space="preserve">) to a stored entry, usually through a hash table.</w:t>
      </w:r>
    </w:p>
    <w:p>
      <w:pPr>
        <w:numPr>
          <w:ilvl w:val="0"/>
          <w:numId w:val="1657"/>
        </w:numPr>
        <w:pStyle w:val="Compact"/>
      </w:pPr>
      <w:r>
        <w:rPr>
          <w:bCs/>
          <w:b/>
        </w:rPr>
        <w:t xml:space="preserve">Fill</w:t>
      </w:r>
      <w:r>
        <w:t xml:space="preserve">: on a miss, fetch from the backing store and decide whether to store the result (</w:t>
      </w:r>
      <w:r>
        <w:rPr>
          <w:bCs/>
          <w:b/>
        </w:rPr>
        <w:t xml:space="preserve">admission</w:t>
      </w:r>
      <w:r>
        <w:t xml:space="preserve">).</w:t>
      </w:r>
    </w:p>
    <w:p>
      <w:pPr>
        <w:numPr>
          <w:ilvl w:val="0"/>
          <w:numId w:val="1657"/>
        </w:numPr>
        <w:pStyle w:val="Compact"/>
      </w:pPr>
      <w:r>
        <w:rPr>
          <w:bCs/>
          <w:b/>
        </w:rPr>
        <w:t xml:space="preserve">Expiry</w:t>
      </w:r>
      <w:r>
        <w:t xml:space="preserve">: decide how long an entry is trusted (</w:t>
      </w:r>
      <w:r>
        <w:rPr>
          <w:bCs/>
          <w:b/>
        </w:rPr>
        <w:t xml:space="preserve">time to live</w:t>
      </w:r>
      <w:r>
        <w:t xml:space="preserve">, TTL, §20.8).</w:t>
      </w:r>
    </w:p>
    <w:p>
      <w:pPr>
        <w:numPr>
          <w:ilvl w:val="0"/>
          <w:numId w:val="1657"/>
        </w:numPr>
        <w:pStyle w:val="Compact"/>
      </w:pPr>
      <w:r>
        <w:rPr>
          <w:bCs/>
          <w:b/>
        </w:rPr>
        <w:t xml:space="preserve">Eviction</w:t>
      </w:r>
      <w:r>
        <w:t xml:space="preserve">: when memory is full, decide which entry to discard (§20.9).</w:t>
      </w:r>
    </w:p>
    <w:p>
      <w:pPr>
        <w:numPr>
          <w:ilvl w:val="0"/>
          <w:numId w:val="1657"/>
        </w:numPr>
        <w:pStyle w:val="Compact"/>
      </w:pPr>
      <w:r>
        <w:rPr>
          <w:bCs/>
          <w:b/>
        </w:rPr>
        <w:t xml:space="preserve">Invalidation</w:t>
      </w:r>
      <w:r>
        <w:t xml:space="preserve">: when the source changes, remove or update the copy (§20.10).</w:t>
      </w:r>
    </w:p>
    <w:p>
      <w:pPr>
        <w:pStyle w:val="FirstParagraph"/>
      </w:pPr>
      <w:r>
        <w:rPr>
          <w:bCs/>
          <w:b/>
        </w:rPr>
        <w:t xml:space="preserve">Figure 20.1 — The hit and miss paths of a cache in front of a database.</w:t>
      </w:r>
    </w:p>
    <w:p>
      <w:pPr>
        <w:pStyle w:val="BodyText"/>
      </w:pPr>
      <w:r>
        <w:drawing>
          <wp:inline>
            <wp:extent cx="5334000" cy="2044984"/>
            <wp:effectExtent b="0" l="0" r="0" t="0"/>
            <wp:docPr descr="" title="" id="2249" name="Picture"/>
            <a:graphic>
              <a:graphicData uri="http://schemas.openxmlformats.org/drawingml/2006/picture">
                <pic:pic>
                  <pic:nvPicPr>
                    <pic:cNvPr descr="/home/user/System-Design/build/.cache/diagrams/1415a9c80d48.png" id="2250" name="Picture"/>
                    <pic:cNvPicPr>
                      <a:picLocks noChangeArrowheads="1" noChangeAspect="1"/>
                    </pic:cNvPicPr>
                  </pic:nvPicPr>
                  <pic:blipFill>
                    <a:blip r:embed="rId2248"/>
                    <a:stretch>
                      <a:fillRect/>
                    </a:stretch>
                  </pic:blipFill>
                  <pic:spPr bwMode="auto">
                    <a:xfrm>
                      <a:off x="0" y="0"/>
                      <a:ext cx="5334000" cy="2044984"/>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service first asks the cache over TCP; on a hit (2a) it answers immediately, on a miss (2b) it queries the database and fills the cache (4) so the next reader hits. Steps 1–3 are synchronous; the fill (dotted) need not delay the response. Storage boundaries: the disposable cache in RAM and the durable database. Failure points: a cache outage sends every request down path 2b (§20.13); a fill racing a write can store stale data (§20.7.2). Scaling: partition keys over cache nodes (§20.14); the database sees only misses.</w:t>
      </w:r>
    </w:p>
    <w:bookmarkEnd w:id="2251"/>
    <w:bookmarkEnd w:id="2252"/>
    <w:bookmarkStart w:id="2254" w:name="X812ccafec793b804807c90f82794cd0168ba94b"/>
    <w:p>
      <w:pPr>
        <w:pStyle w:val="Heading3"/>
      </w:pPr>
      <w:r>
        <w:t xml:space="preserve">20.3.2 Hit ratio, effective latency and backend load</w:t>
      </w:r>
    </w:p>
    <w:bookmarkStart w:id="2253" w:name="mathematical-foundations-43"/>
    <w:p>
      <w:pPr>
        <w:pStyle w:val="Heading4"/>
      </w:pPr>
      <w:r>
        <w:t xml:space="preserve">Mathematical foundations</w:t>
      </w:r>
    </w:p>
    <w:p>
      <w:pPr>
        <w:pStyle w:val="FirstParagraph"/>
      </w:pPr>
      <w:r>
        <w:t xml:space="preserve">You met this formula for CPU caches as average memory access time (§5.4.5). For an application cache, every request pays for the lookup, and a miss adds the backend read.</w:t>
      </w:r>
    </w:p>
    <w:p>
      <w:pPr>
        <w:pStyle w:val="CalloutFormula"/>
      </w:pPr>
      <w:r>
        <w:rPr>
          <w:bCs/>
          <w:b/>
        </w:rPr>
        <w:t xml:space="preserve">FORMULA</w:t>
      </w:r>
    </w:p>
    <w:p>
      <w:pPr>
        <w:pStyle w:val="CalloutFormula"/>
      </w:pPr>
      <w:r>
        <w:rPr>
          <w:bCs/>
          <w:b/>
        </w:rPr>
        <w:t xml:space="preserve">Effective latency and backend load of a look-aside cache</w:t>
      </w:r>
    </w:p>
    <w:p>
      <w:pPr>
        <w:pStyle w:val="CalloutFormula"/>
      </w:pPr>
      <m:oMathPara>
        <m:oMathParaPr>
          <m:jc m:val="center"/>
        </m:oMathParaPr>
        <m:oMath>
          <m:sSub>
            <m:e>
              <m:r>
                <m:t>T</m:t>
              </m:r>
            </m:e>
            <m:sub>
              <m:r>
                <m:rPr>
                  <m:nor/>
                  <m:sty m:val="p"/>
                </m:rPr>
                <m:t>eff</m:t>
              </m:r>
            </m:sub>
          </m:sSub>
          <m:r>
            <m:rPr>
              <m:sty m:val="p"/>
            </m:rPr>
            <m:t>=</m:t>
          </m:r>
          <m:sSub>
            <m:e>
              <m:r>
                <m:t>t</m:t>
              </m:r>
            </m:e>
            <m:sub>
              <m:r>
                <m:t>c</m:t>
              </m:r>
            </m:sub>
          </m:sSub>
          <m:r>
            <m:rPr>
              <m:sty m:val="p"/>
            </m:rPr>
            <m:t>+</m:t>
          </m:r>
          <m:d>
            <m:dPr>
              <m:begChr m:val="("/>
              <m:endChr m:val=")"/>
              <m:sepChr m:val=""/>
              <m:grow/>
            </m:dPr>
            <m:e>
              <m:r>
                <m:t>1</m:t>
              </m:r>
              <m:r>
                <m:rPr>
                  <m:sty m:val="p"/>
                </m:rPr>
                <m:t>−</m:t>
              </m:r>
              <m:r>
                <m:t>h</m:t>
              </m:r>
            </m:e>
          </m:d>
          <m:r>
            <m:t> </m:t>
          </m:r>
          <m:sSub>
            <m:e>
              <m:r>
                <m:t>t</m:t>
              </m:r>
            </m:e>
            <m:sub>
              <m:r>
                <m:t>b</m:t>
              </m:r>
            </m:sub>
          </m:sSub>
          <m:r>
            <m:t>  </m:t>
          </m:r>
          <m:r>
            <m:t>  </m:t>
          </m:r>
          <m:sSub>
            <m:e>
              <m:r>
                <m:t>R</m:t>
              </m:r>
            </m:e>
            <m:sub>
              <m:r>
                <m:rPr>
                  <m:nor/>
                  <m:sty m:val="p"/>
                </m:rPr>
                <m:t>db</m:t>
              </m:r>
            </m:sub>
          </m:sSub>
          <m:r>
            <m:rPr>
              <m:sty m:val="p"/>
            </m:rPr>
            <m:t>=</m:t>
          </m:r>
          <m:d>
            <m:dPr>
              <m:begChr m:val="("/>
              <m:endChr m:val=")"/>
              <m:sepChr m:val=""/>
              <m:grow/>
            </m:dPr>
            <m:e>
              <m:r>
                <m:t>1</m:t>
              </m:r>
              <m:r>
                <m:rPr>
                  <m:sty m:val="p"/>
                </m:rPr>
                <m:t>−</m:t>
              </m:r>
              <m:r>
                <m:t>h</m:t>
              </m:r>
            </m:e>
          </m:d>
          <m:r>
            <m:t> </m:t>
          </m:r>
          <m:sSub>
            <m:e>
              <m:r>
                <m:t>R</m:t>
              </m:r>
            </m:e>
            <m:sub>
              <m:r>
                <m:rPr>
                  <m:nor/>
                  <m:sty m:val="p"/>
                </m:rPr>
                <m:t>read</m:t>
              </m:r>
            </m:sub>
          </m:sSub>
          <m:r>
            <m:rPr>
              <m:sty m:val="p"/>
            </m:rPr>
            <m:t>+</m:t>
          </m:r>
          <m:sSub>
            <m:e>
              <m:r>
                <m:t>R</m:t>
              </m:r>
            </m:e>
            <m:sub>
              <m:r>
                <m:rPr>
                  <m:nor/>
                  <m:sty m:val="p"/>
                </m:rPr>
                <m:t>write</m:t>
              </m:r>
            </m:sub>
          </m:sSub>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T</m:t>
                  </m:r>
                </m:e>
                <m:sub>
                  <m:r>
                    <m:rPr>
                      <m:nor/>
                      <m:sty m:val="p"/>
                    </m:rPr>
                    <m:t>eff</m:t>
                  </m:r>
                </m:sub>
              </m:sSub>
            </m:oMath>
          </w:p>
        </w:tc>
        <w:tc>
          <w:tcPr/>
          <w:p>
            <w:pPr>
              <w:pStyle w:val="Compact"/>
              <w:jc w:val="left"/>
            </w:pPr>
            <w:r>
              <w:t xml:space="preserve">Mean latency of a read through the cache</w:t>
            </w:r>
          </w:p>
        </w:tc>
        <w:tc>
          <w:tcPr/>
          <w:p>
            <w:pPr>
              <w:pStyle w:val="Compact"/>
              <w:jc w:val="left"/>
            </w:pPr>
            <w:r>
              <w:t xml:space="preserve">ms</w:t>
            </w:r>
          </w:p>
        </w:tc>
      </w:tr>
      <w:tr>
        <w:tc>
          <w:tcPr/>
          <w:p>
            <w:pPr>
              <w:pStyle w:val="Compact"/>
              <w:jc w:val="left"/>
            </w:pPr>
            <m:oMath>
              <m:sSub>
                <m:e>
                  <m:r>
                    <m:t>t</m:t>
                  </m:r>
                </m:e>
                <m:sub>
                  <m:r>
                    <m:t>c</m:t>
                  </m:r>
                </m:sub>
              </m:sSub>
            </m:oMath>
          </w:p>
        </w:tc>
        <w:tc>
          <w:tcPr/>
          <w:p>
            <w:pPr>
              <w:pStyle w:val="Compact"/>
              <w:jc w:val="left"/>
            </w:pPr>
            <w:r>
              <w:t xml:space="preserve">Cache lookup latency (paid on hits and misses)</w:t>
            </w:r>
          </w:p>
        </w:tc>
        <w:tc>
          <w:tcPr/>
          <w:p>
            <w:pPr>
              <w:pStyle w:val="Compact"/>
              <w:jc w:val="left"/>
            </w:pPr>
            <w:r>
              <w:t xml:space="preserve">ms</w:t>
            </w:r>
          </w:p>
        </w:tc>
      </w:tr>
      <w:tr>
        <w:tc>
          <w:tcPr/>
          <w:p>
            <w:pPr>
              <w:pStyle w:val="Compact"/>
              <w:jc w:val="left"/>
            </w:pPr>
            <m:oMath>
              <m:sSub>
                <m:e>
                  <m:r>
                    <m:t>t</m:t>
                  </m:r>
                </m:e>
                <m:sub>
                  <m:r>
                    <m:t>b</m:t>
                  </m:r>
                </m:sub>
              </m:sSub>
            </m:oMath>
          </w:p>
        </w:tc>
        <w:tc>
          <w:tcPr/>
          <w:p>
            <w:pPr>
              <w:pStyle w:val="Compact"/>
              <w:jc w:val="left"/>
            </w:pPr>
            <w:r>
              <w:t xml:space="preserve">Backend read latency, including the fill</w:t>
            </w:r>
          </w:p>
        </w:tc>
        <w:tc>
          <w:tcPr/>
          <w:p>
            <w:pPr>
              <w:pStyle w:val="Compact"/>
              <w:jc w:val="left"/>
            </w:pPr>
            <w:r>
              <w:t xml:space="preserve">ms</w:t>
            </w:r>
          </w:p>
        </w:tc>
      </w:tr>
      <w:tr>
        <w:tc>
          <w:tcPr/>
          <w:p>
            <w:pPr>
              <w:pStyle w:val="Compact"/>
              <w:jc w:val="left"/>
            </w:pPr>
            <m:oMath>
              <m:r>
                <m:t>h</m:t>
              </m:r>
            </m:oMath>
          </w:p>
        </w:tc>
        <w:tc>
          <w:tcPr/>
          <w:p>
            <w:pPr>
              <w:pStyle w:val="Compact"/>
              <w:jc w:val="left"/>
            </w:pPr>
            <w:r>
              <w:t xml:space="preserve">Cache hit ratio</w:t>
            </w:r>
          </w:p>
        </w:tc>
        <w:tc>
          <w:tcPr/>
          <w:p>
            <w:pPr>
              <w:pStyle w:val="Compact"/>
              <w:jc w:val="left"/>
            </w:pPr>
            <w:r>
              <w:t xml:space="preserve">dimensionless (0–1)</w:t>
            </w:r>
          </w:p>
        </w:tc>
      </w:tr>
      <w:tr>
        <w:tc>
          <w:tcPr/>
          <w:p>
            <w:pPr>
              <w:pStyle w:val="Compact"/>
              <w:jc w:val="left"/>
            </w:pPr>
            <m:oMath>
              <m:sSub>
                <m:e>
                  <m:r>
                    <m:t>R</m:t>
                  </m:r>
                </m:e>
                <m:sub>
                  <m:r>
                    <m:rPr>
                      <m:nor/>
                      <m:sty m:val="p"/>
                    </m:rPr>
                    <m:t>read</m:t>
                  </m:r>
                </m:sub>
              </m:sSub>
            </m:oMath>
          </w:p>
        </w:tc>
        <w:tc>
          <w:tcPr/>
          <w:p>
            <w:pPr>
              <w:pStyle w:val="Compact"/>
              <w:jc w:val="left"/>
            </w:pPr>
            <w:r>
              <w:t xml:space="preserve">Read requests reaching the cache</w:t>
            </w:r>
          </w:p>
        </w:tc>
        <w:tc>
          <w:tcPr/>
          <w:p>
            <w:pPr>
              <w:pStyle w:val="Compact"/>
              <w:jc w:val="left"/>
            </w:pPr>
            <w:r>
              <w:t xml:space="preserve">requests/s</w:t>
            </w:r>
          </w:p>
        </w:tc>
      </w:tr>
      <w:tr>
        <w:tc>
          <w:tcPr/>
          <w:p>
            <w:pPr>
              <w:pStyle w:val="Compact"/>
              <w:jc w:val="left"/>
            </w:pPr>
            <m:oMath>
              <m:sSub>
                <m:e>
                  <m:r>
                    <m:t>R</m:t>
                  </m:r>
                </m:e>
                <m:sub>
                  <m:r>
                    <m:rPr>
                      <m:nor/>
                      <m:sty m:val="p"/>
                    </m:rPr>
                    <m:t>write</m:t>
                  </m:r>
                </m:sub>
              </m:sSub>
            </m:oMath>
          </w:p>
        </w:tc>
        <w:tc>
          <w:tcPr/>
          <w:p>
            <w:pPr>
              <w:pStyle w:val="Compact"/>
              <w:jc w:val="left"/>
            </w:pPr>
            <w:r>
              <w:t xml:space="preserve">Writes, which go to the database regardless</w:t>
            </w:r>
          </w:p>
        </w:tc>
        <w:tc>
          <w:tcPr/>
          <w:p>
            <w:pPr>
              <w:pStyle w:val="Compact"/>
              <w:jc w:val="left"/>
            </w:pPr>
            <w:r>
              <w:t xml:space="preserve">requests/s</w:t>
            </w:r>
          </w:p>
        </w:tc>
      </w:tr>
      <w:tr>
        <w:tc>
          <w:tcPr/>
          <w:p>
            <w:pPr>
              <w:pStyle w:val="Compact"/>
              <w:jc w:val="left"/>
            </w:pPr>
            <m:oMath>
              <m:sSub>
                <m:e>
                  <m:r>
                    <m:t>R</m:t>
                  </m:r>
                </m:e>
                <m:sub>
                  <m:r>
                    <m:rPr>
                      <m:nor/>
                      <m:sty m:val="p"/>
                    </m:rPr>
                    <m:t>db</m:t>
                  </m:r>
                </m:sub>
              </m:sSub>
            </m:oMath>
          </w:p>
        </w:tc>
        <w:tc>
          <w:tcPr/>
          <w:p>
            <w:pPr>
              <w:pStyle w:val="Compact"/>
              <w:jc w:val="left"/>
            </w:pPr>
            <w:r>
              <w:t xml:space="preserve">Requests reaching the database</w:t>
            </w:r>
          </w:p>
        </w:tc>
        <w:tc>
          <w:tcPr/>
          <w:p>
            <w:pPr>
              <w:pStyle w:val="Compact"/>
              <w:jc w:val="left"/>
            </w:pPr>
            <w:r>
              <w:t xml:space="preserve">requests/s</w:t>
            </w:r>
          </w:p>
        </w:tc>
      </w:tr>
    </w:tbl>
    <w:p>
      <w:pPr>
        <w:pStyle w:val="CalloutExample"/>
      </w:pPr>
      <w:r>
        <w:rPr>
          <w:bCs/>
          <w:b/>
        </w:rPr>
        <w:t xml:space="preserve">WORKED EXAMPLE</w:t>
      </w:r>
    </w:p>
    <w:p>
      <w:pPr>
        <w:pStyle w:val="CalloutExample"/>
      </w:pPr>
      <w:r>
        <w:rPr>
          <w:bCs/>
          <w:b/>
        </w:rPr>
        <w:t xml:space="preserve">Worked example — What one percentage point of hit ratio is worth.</w:t>
      </w:r>
      <w:r>
        <w:t xml:space="preserve"> </w:t>
      </w:r>
      <w:r>
        <w:t xml:space="preserve">A profile service receives</w:t>
      </w:r>
      <w:r>
        <w:t xml:space="preserve"> </w:t>
      </w:r>
      <m:oMath>
        <m:sSub>
          <m:e>
            <m:r>
              <m:t>R</m:t>
            </m:r>
          </m:e>
          <m:sub>
            <m:r>
              <m:rPr>
                <m:nor/>
                <m:sty m:val="p"/>
              </m:rPr>
              <m:t>read</m:t>
            </m:r>
          </m:sub>
        </m:sSub>
        <m:r>
          <m:rPr>
            <m:sty m:val="p"/>
          </m:rPr>
          <m:t>=</m:t>
        </m:r>
        <m:r>
          <m:t>50</m:t>
        </m:r>
        <m:r>
          <m:rPr>
            <m:sty m:val="p"/>
          </m:rPr>
          <m:t>,</m:t>
        </m:r>
        <m:r>
          <m:t>000</m:t>
        </m:r>
      </m:oMath>
      <w:r>
        <w:t xml:space="preserve"> </w:t>
      </w:r>
      <w:r>
        <w:t xml:space="preserve">reads/s and</w:t>
      </w:r>
      <w:r>
        <w:t xml:space="preserve"> </w:t>
      </w:r>
      <m:oMath>
        <m:sSub>
          <m:e>
            <m:r>
              <m:t>R</m:t>
            </m:r>
          </m:e>
          <m:sub>
            <m:r>
              <m:rPr>
                <m:nor/>
                <m:sty m:val="p"/>
              </m:rPr>
              <m:t>write</m:t>
            </m:r>
          </m:sub>
        </m:sSub>
        <m:r>
          <m:rPr>
            <m:sty m:val="p"/>
          </m:rPr>
          <m:t>=</m:t>
        </m:r>
        <m:r>
          <m:t>500</m:t>
        </m:r>
      </m:oMath>
      <w:r>
        <w:t xml:space="preserve"> </w:t>
      </w:r>
      <w:r>
        <w:t xml:space="preserve">writes/s. A Redis lookup costs</w:t>
      </w:r>
      <w:r>
        <w:t xml:space="preserve"> </w:t>
      </w:r>
      <m:oMath>
        <m:sSub>
          <m:e>
            <m:r>
              <m:t>t</m:t>
            </m:r>
          </m:e>
          <m:sub>
            <m:r>
              <m:t>c</m:t>
            </m:r>
          </m:sub>
        </m:sSub>
        <m:r>
          <m:rPr>
            <m:sty m:val="p"/>
          </m:rPr>
          <m:t>=</m:t>
        </m:r>
        <m:r>
          <m:t>0.3</m:t>
        </m:r>
      </m:oMath>
      <w:r>
        <w:t xml:space="preserve"> </w:t>
      </w:r>
      <w:r>
        <w:t xml:space="preserve">ms; a database read costs</w:t>
      </w:r>
      <w:r>
        <w:t xml:space="preserve"> </w:t>
      </w:r>
      <m:oMath>
        <m:sSub>
          <m:e>
            <m:r>
              <m:t>t</m:t>
            </m:r>
          </m:e>
          <m:sub>
            <m:r>
              <m:t>b</m:t>
            </m:r>
          </m:sub>
        </m:sSub>
        <m:r>
          <m:rPr>
            <m:sty m:val="p"/>
          </m:rPr>
          <m:t>=</m:t>
        </m:r>
        <m:r>
          <m:t>8</m:t>
        </m:r>
      </m:oMath>
      <w:r>
        <w:t xml:space="preserve"> </w:t>
      </w:r>
      <w:r>
        <w:t xml:space="preserve">ms.</w:t>
      </w:r>
    </w:p>
    <w:p>
      <w:pPr>
        <w:numPr>
          <w:ilvl w:val="0"/>
          <w:numId w:val="1658"/>
        </w:numPr>
        <w:pStyle w:val="Compact"/>
      </w:pPr>
      <w:r>
        <w:t xml:space="preserve">At</w:t>
      </w:r>
      <w:r>
        <w:t xml:space="preserve"> </w:t>
      </w:r>
      <m:oMath>
        <m:r>
          <m:t>h</m:t>
        </m:r>
        <m:r>
          <m:rPr>
            <m:sty m:val="p"/>
          </m:rPr>
          <m:t>=</m:t>
        </m:r>
        <m:r>
          <m:t>0.90</m:t>
        </m:r>
      </m:oMath>
      <w:r>
        <w:t xml:space="preserve">:</w:t>
      </w:r>
      <w:r>
        <w:t xml:space="preserve"> </w:t>
      </w:r>
      <m:oMath>
        <m:sSub>
          <m:e>
            <m:r>
              <m:t>T</m:t>
            </m:r>
          </m:e>
          <m:sub>
            <m:r>
              <m:rPr>
                <m:nor/>
                <m:sty m:val="p"/>
              </m:rPr>
              <m:t>eff</m:t>
            </m:r>
          </m:sub>
        </m:sSub>
        <m:r>
          <m:rPr>
            <m:sty m:val="p"/>
          </m:rPr>
          <m:t>=</m:t>
        </m:r>
        <m:r>
          <m:t>0.3</m:t>
        </m:r>
        <m:r>
          <m:rPr>
            <m:sty m:val="p"/>
          </m:rPr>
          <m:t>+</m:t>
        </m:r>
        <m:r>
          <m:t>0.10</m:t>
        </m:r>
        <m:r>
          <m:rPr>
            <m:sty m:val="p"/>
          </m:rPr>
          <m:t>×</m:t>
        </m:r>
        <m:r>
          <m:t>8</m:t>
        </m:r>
        <m:r>
          <m:rPr>
            <m:sty m:val="p"/>
          </m:rPr>
          <m:t>=</m:t>
        </m:r>
        <m:r>
          <m:t>1.1</m:t>
        </m:r>
      </m:oMath>
      <w:r>
        <w:t xml:space="preserve"> </w:t>
      </w:r>
      <w:r>
        <w:t xml:space="preserve">ms;</w:t>
      </w:r>
      <w:r>
        <w:t xml:space="preserve"> </w:t>
      </w:r>
      <m:oMath>
        <m:sSub>
          <m:e>
            <m:r>
              <m:t>R</m:t>
            </m:r>
          </m:e>
          <m:sub>
            <m:r>
              <m:rPr>
                <m:nor/>
                <m:sty m:val="p"/>
              </m:rPr>
              <m:t>db</m:t>
            </m:r>
          </m:sub>
        </m:sSub>
        <m:r>
          <m:rPr>
            <m:sty m:val="p"/>
          </m:rPr>
          <m:t>=</m:t>
        </m:r>
        <m:r>
          <m:t>0.10</m:t>
        </m:r>
        <m:r>
          <m:rPr>
            <m:sty m:val="p"/>
          </m:rPr>
          <m:t>×</m:t>
        </m:r>
        <m:r>
          <m:t>50</m:t>
        </m:r>
        <m:r>
          <m:rPr>
            <m:sty m:val="p"/>
          </m:rPr>
          <m:t>,</m:t>
        </m:r>
        <m:r>
          <m:t>000</m:t>
        </m:r>
        <m:r>
          <m:rPr>
            <m:sty m:val="p"/>
          </m:rPr>
          <m:t>+</m:t>
        </m:r>
        <m:r>
          <m:t>500</m:t>
        </m:r>
        <m:r>
          <m:rPr>
            <m:sty m:val="p"/>
          </m:rPr>
          <m:t>=</m:t>
        </m:r>
        <m:r>
          <m:t>5</m:t>
        </m:r>
        <m:r>
          <m:rPr>
            <m:sty m:val="p"/>
          </m:rPr>
          <m:t>,</m:t>
        </m:r>
        <m:r>
          <m:t>500</m:t>
        </m:r>
      </m:oMath>
      <w:r>
        <w:t xml:space="preserve"> </w:t>
      </w:r>
      <w:r>
        <w:t xml:space="preserve">queries/s.</w:t>
      </w:r>
    </w:p>
    <w:p>
      <w:pPr>
        <w:numPr>
          <w:ilvl w:val="0"/>
          <w:numId w:val="1658"/>
        </w:numPr>
        <w:pStyle w:val="Compact"/>
      </w:pPr>
      <w:r>
        <w:t xml:space="preserve">At</w:t>
      </w:r>
      <w:r>
        <w:t xml:space="preserve"> </w:t>
      </w:r>
      <m:oMath>
        <m:r>
          <m:t>h</m:t>
        </m:r>
        <m:r>
          <m:rPr>
            <m:sty m:val="p"/>
          </m:rPr>
          <m:t>=</m:t>
        </m:r>
        <m:r>
          <m:t>0.98</m:t>
        </m:r>
      </m:oMath>
      <w:r>
        <w:t xml:space="preserve">:</w:t>
      </w:r>
      <w:r>
        <w:t xml:space="preserve"> </w:t>
      </w:r>
      <m:oMath>
        <m:sSub>
          <m:e>
            <m:r>
              <m:t>T</m:t>
            </m:r>
          </m:e>
          <m:sub>
            <m:r>
              <m:rPr>
                <m:nor/>
                <m:sty m:val="p"/>
              </m:rPr>
              <m:t>eff</m:t>
            </m:r>
          </m:sub>
        </m:sSub>
        <m:r>
          <m:rPr>
            <m:sty m:val="p"/>
          </m:rPr>
          <m:t>=</m:t>
        </m:r>
        <m:r>
          <m:t>0.3</m:t>
        </m:r>
        <m:r>
          <m:rPr>
            <m:sty m:val="p"/>
          </m:rPr>
          <m:t>+</m:t>
        </m:r>
        <m:r>
          <m:t>0.02</m:t>
        </m:r>
        <m:r>
          <m:rPr>
            <m:sty m:val="p"/>
          </m:rPr>
          <m:t>×</m:t>
        </m:r>
        <m:r>
          <m:t>8</m:t>
        </m:r>
        <m:r>
          <m:rPr>
            <m:sty m:val="p"/>
          </m:rPr>
          <m:t>=</m:t>
        </m:r>
        <m:r>
          <m:t>0.46</m:t>
        </m:r>
      </m:oMath>
      <w:r>
        <w:t xml:space="preserve"> </w:t>
      </w:r>
      <w:r>
        <w:t xml:space="preserve">ms;</w:t>
      </w:r>
      <w:r>
        <w:t xml:space="preserve"> </w:t>
      </w:r>
      <m:oMath>
        <m:sSub>
          <m:e>
            <m:r>
              <m:t>R</m:t>
            </m:r>
          </m:e>
          <m:sub>
            <m:r>
              <m:rPr>
                <m:nor/>
                <m:sty m:val="p"/>
              </m:rPr>
              <m:t>db</m:t>
            </m:r>
          </m:sub>
        </m:sSub>
        <m:r>
          <m:rPr>
            <m:sty m:val="p"/>
          </m:rPr>
          <m:t>=</m:t>
        </m:r>
        <m:r>
          <m:t>1</m:t>
        </m:r>
        <m:r>
          <m:rPr>
            <m:sty m:val="p"/>
          </m:rPr>
          <m:t>,</m:t>
        </m:r>
        <m:r>
          <m:t>000</m:t>
        </m:r>
        <m:r>
          <m:rPr>
            <m:sty m:val="p"/>
          </m:rPr>
          <m:t>+</m:t>
        </m:r>
        <m:r>
          <m:t>500</m:t>
        </m:r>
        <m:r>
          <m:rPr>
            <m:sty m:val="p"/>
          </m:rPr>
          <m:t>=</m:t>
        </m:r>
        <m:r>
          <m:t>1</m:t>
        </m:r>
        <m:r>
          <m:rPr>
            <m:sty m:val="p"/>
          </m:rPr>
          <m:t>,</m:t>
        </m:r>
        <m:r>
          <m:t>500</m:t>
        </m:r>
      </m:oMath>
      <w:r>
        <w:t xml:space="preserve"> </w:t>
      </w:r>
      <w:r>
        <w:t xml:space="preserve">queries/s.</w:t>
      </w:r>
    </w:p>
    <w:p>
      <w:pPr>
        <w:numPr>
          <w:ilvl w:val="0"/>
          <w:numId w:val="1658"/>
        </w:numPr>
        <w:pStyle w:val="Compact"/>
      </w:pPr>
      <w:r>
        <w:t xml:space="preserve">At</w:t>
      </w:r>
      <w:r>
        <w:t xml:space="preserve"> </w:t>
      </w:r>
      <m:oMath>
        <m:r>
          <m:t>h</m:t>
        </m:r>
        <m:r>
          <m:rPr>
            <m:sty m:val="p"/>
          </m:rPr>
          <m:t>=</m:t>
        </m:r>
        <m:r>
          <m:t>0.99</m:t>
        </m:r>
      </m:oMath>
      <w:r>
        <w:t xml:space="preserve">:</w:t>
      </w:r>
      <w:r>
        <w:t xml:space="preserve"> </w:t>
      </w:r>
      <m:oMath>
        <m:sSub>
          <m:e>
            <m:r>
              <m:t>T</m:t>
            </m:r>
          </m:e>
          <m:sub>
            <m:r>
              <m:rPr>
                <m:nor/>
                <m:sty m:val="p"/>
              </m:rPr>
              <m:t>eff</m:t>
            </m:r>
          </m:sub>
        </m:sSub>
        <m:r>
          <m:rPr>
            <m:sty m:val="p"/>
          </m:rPr>
          <m:t>=</m:t>
        </m:r>
        <m:r>
          <m:t>0.3</m:t>
        </m:r>
        <m:r>
          <m:rPr>
            <m:sty m:val="p"/>
          </m:rPr>
          <m:t>+</m:t>
        </m:r>
        <m:r>
          <m:t>0.01</m:t>
        </m:r>
        <m:r>
          <m:rPr>
            <m:sty m:val="p"/>
          </m:rPr>
          <m:t>×</m:t>
        </m:r>
        <m:r>
          <m:t>8</m:t>
        </m:r>
        <m:r>
          <m:rPr>
            <m:sty m:val="p"/>
          </m:rPr>
          <m:t>=</m:t>
        </m:r>
        <m:r>
          <m:t>0.38</m:t>
        </m:r>
      </m:oMath>
      <w:r>
        <w:t xml:space="preserve"> </w:t>
      </w:r>
      <w:r>
        <w:t xml:space="preserve">ms;</w:t>
      </w:r>
      <w:r>
        <w:t xml:space="preserve"> </w:t>
      </w:r>
      <m:oMath>
        <m:sSub>
          <m:e>
            <m:r>
              <m:t>R</m:t>
            </m:r>
          </m:e>
          <m:sub>
            <m:r>
              <m:rPr>
                <m:nor/>
                <m:sty m:val="p"/>
              </m:rPr>
              <m:t>db</m:t>
            </m:r>
          </m:sub>
        </m:sSub>
        <m:r>
          <m:rPr>
            <m:sty m:val="p"/>
          </m:rPr>
          <m:t>=</m:t>
        </m:r>
        <m:r>
          <m:t>500</m:t>
        </m:r>
        <m:r>
          <m:rPr>
            <m:sty m:val="p"/>
          </m:rPr>
          <m:t>+</m:t>
        </m:r>
        <m:r>
          <m:t>500</m:t>
        </m:r>
        <m:r>
          <m:rPr>
            <m:sty m:val="p"/>
          </m:rPr>
          <m:t>=</m:t>
        </m:r>
        <m:r>
          <m:t>1</m:t>
        </m:r>
        <m:r>
          <m:rPr>
            <m:sty m:val="p"/>
          </m:rPr>
          <m:t>,</m:t>
        </m:r>
        <m:r>
          <m:t>000</m:t>
        </m:r>
      </m:oMath>
      <w:r>
        <w:t xml:space="preserve"> </w:t>
      </w:r>
      <w:r>
        <w:t xml:space="preserve">queries/s.</w:t>
      </w:r>
    </w:p>
    <w:p>
      <w:pPr>
        <w:numPr>
          <w:ilvl w:val="0"/>
          <w:numId w:val="1658"/>
        </w:numPr>
        <w:pStyle w:val="Compact"/>
      </w:pPr>
      <w:r>
        <w:t xml:space="preserve">Going from 99% to 98% raises</w:t>
      </w:r>
      <w:r>
        <w:t xml:space="preserve"> </w:t>
      </w:r>
      <w:r>
        <w:rPr>
          <w:iCs/>
          <w:i/>
        </w:rPr>
        <w:t xml:space="preserve">read</w:t>
      </w:r>
      <w:r>
        <w:t xml:space="preserve"> </w:t>
      </w:r>
      <w:r>
        <w:t xml:space="preserve">traffic at the database from 500 to 1,000 queries/s: a one-point drop in hit ratio</w:t>
      </w:r>
      <w:r>
        <w:t xml:space="preserve"> </w:t>
      </w:r>
      <w:r>
        <w:rPr>
          <w:bCs/>
          <w:b/>
        </w:rPr>
        <w:t xml:space="preserve">doubles</w:t>
      </w:r>
      <w:r>
        <w:t xml:space="preserve"> </w:t>
      </w:r>
      <w:r>
        <w:t xml:space="preserve">the database’s read load.</w:t>
      </w:r>
    </w:p>
    <w:p>
      <w:pPr>
        <w:numPr>
          <w:ilvl w:val="0"/>
          <w:numId w:val="1658"/>
        </w:numPr>
        <w:pStyle w:val="Compact"/>
      </w:pPr>
      <w:r>
        <w:t xml:space="preserve">Tail: with a 2% miss ratio, more than 1% of requests are misses, so the p99 latency is a miss (about 8.3 ms) even though the mean is 0.46 ms.</w:t>
      </w:r>
    </w:p>
    <w:p>
      <w:pPr>
        <w:pStyle w:val="CalloutExample"/>
      </w:pPr>
      <w:r>
        <w:rPr>
          <w:bCs/>
          <w:b/>
        </w:rPr>
        <w:t xml:space="preserve">Interpretation.</w:t>
      </w:r>
      <w:r>
        <w:t xml:space="preserve"> </w:t>
      </w:r>
      <w:r>
        <w:t xml:space="preserve">Gains at high hit ratios look small as percentages but are large as ratios of miss ratios.</w:t>
      </w:r>
      <w:r>
        <w:t xml:space="preserve"> </w:t>
      </w:r>
      <w:r>
        <w:rPr>
          <w:bCs/>
          <w:b/>
        </w:rPr>
        <w:t xml:space="preserve">Engineering implication.</w:t>
      </w:r>
      <w:r>
        <w:t xml:space="preserve"> </w:t>
      </w:r>
      <w:r>
        <w:t xml:space="preserve">Monitor and alert on the miss ratio and on absolute database queries per second, size the database for the miss traffic you would see after a cache restart (§20.13), and remember that the mean hides the tail: p99 latency is set by misses whenever the miss ratio exceeds 1%.</w:t>
      </w:r>
    </w:p>
    <w:p>
      <w:pPr>
        <w:pStyle w:val="CalloutMistake"/>
      </w:pPr>
      <w:r>
        <w:rPr>
          <w:bCs/>
          <w:b/>
        </w:rPr>
        <w:t xml:space="preserve">COMMON MISTAKE</w:t>
      </w:r>
    </w:p>
    <w:p>
      <w:pPr>
        <w:pStyle w:val="CalloutMistake"/>
      </w:pPr>
      <w:r>
        <w:rPr>
          <w:bCs/>
          <w:b/>
        </w:rPr>
        <w:t xml:space="preserve">“</w:t>
      </w:r>
      <w:r>
        <w:rPr>
          <w:bCs/>
          <w:b/>
        </w:rPr>
        <w:t xml:space="preserve">Our cache hit ratio is 95%, so the cache is working.</w:t>
      </w:r>
      <w:r>
        <w:rPr>
          <w:bCs/>
          <w:b/>
        </w:rPr>
        <w:t xml:space="preserve">”</w:t>
      </w:r>
      <w:r>
        <w:t xml:space="preserve"> </w:t>
      </w:r>
      <w:r>
        <w:t xml:space="preserve">95% of 1,000 RPS leaves 50 misses/s; 95% of 1,000,000 RPS leaves 50,000, enough to overwhelm most databases. And a page with 20 lookups and one miss is a</w:t>
      </w:r>
      <w:r>
        <w:t xml:space="preserve"> </w:t>
      </w:r>
      <w:r>
        <w:t xml:space="preserve">“</w:t>
      </w:r>
      <w:r>
        <w:t xml:space="preserve">95% hit ratio</w:t>
      </w:r>
      <w:r>
        <w:t xml:space="preserve">”</w:t>
      </w:r>
      <w:r>
        <w:t xml:space="preserve"> </w:t>
      </w:r>
      <w:r>
        <w:t xml:space="preserve">but a 100% slow page.</w:t>
      </w:r>
    </w:p>
    <w:bookmarkEnd w:id="2253"/>
    <w:bookmarkEnd w:id="2254"/>
    <w:bookmarkStart w:id="2258" w:name="popularity-skew-why-small-caches-work"/>
    <w:p>
      <w:pPr>
        <w:pStyle w:val="Heading3"/>
      </w:pPr>
      <w:r>
        <w:t xml:space="preserve">20.3.3 Popularity skew: why small caches work</w:t>
      </w:r>
    </w:p>
    <w:bookmarkStart w:id="2255" w:name="first-principles-explanation-124"/>
    <w:p>
      <w:pPr>
        <w:pStyle w:val="Heading4"/>
      </w:pPr>
      <w:r>
        <w:t xml:space="preserve">First-principles explanation</w:t>
      </w:r>
    </w:p>
    <w:p>
      <w:pPr>
        <w:pStyle w:val="FirstParagraph"/>
      </w:pPr>
      <w:r>
        <w:t xml:space="preserve">If every key were equally popular, a cache holding 1% of the keys would serve 1% of requests, and caching would rarely be worth it. Real access patterns are highly skewed: a few celebrities, products and videos receive most of the traffic, and a long tail of items is requested rarely. Skew is what makes caching pay.</w:t>
      </w:r>
    </w:p>
    <w:p>
      <w:pPr>
        <w:pStyle w:val="CalloutDefinition"/>
      </w:pPr>
      <w:r>
        <w:rPr>
          <w:bCs/>
          <w:b/>
        </w:rPr>
        <w:t xml:space="preserve">DEFINITION</w:t>
      </w:r>
    </w:p>
    <w:p>
      <w:pPr>
        <w:pStyle w:val="CalloutDefinition"/>
      </w:pPr>
      <w:r>
        <w:rPr>
          <w:bCs/>
          <w:b/>
        </w:rPr>
        <w:t xml:space="preserve">Definition — Zipf (Zipf-like) distribution.</w:t>
      </w:r>
      <w:r>
        <w:t xml:space="preserve"> </w:t>
      </w:r>
      <w:r>
        <w:t xml:space="preserve">A popularity law in which the item of popularity rank</w:t>
      </w:r>
      <w:r>
        <w:t xml:space="preserve"> </w:t>
      </w:r>
      <m:oMath>
        <m:r>
          <m:t>i</m:t>
        </m:r>
      </m:oMath>
      <w:r>
        <w:t xml:space="preserve"> </w:t>
      </w:r>
      <w:r>
        <w:t xml:space="preserve">is requested with probability proportional to</w:t>
      </w:r>
      <w:r>
        <w:t xml:space="preserve"> </w:t>
      </w:r>
      <m:oMath>
        <m:r>
          <m:t>1</m:t>
        </m:r>
        <m:r>
          <m:rPr>
            <m:sty m:val="p"/>
          </m:rPr>
          <m:t>/</m:t>
        </m:r>
        <m:sSup>
          <m:e>
            <m:r>
              <m:t>i</m:t>
            </m:r>
          </m:e>
          <m:sup>
            <m:r>
              <m:t>s</m:t>
            </m:r>
          </m:sup>
        </m:sSup>
      </m:oMath>
      <w:r>
        <w:t xml:space="preserve">, where</w:t>
      </w:r>
      <w:r>
        <w:t xml:space="preserve"> </w:t>
      </w:r>
      <m:oMath>
        <m:r>
          <m:t>s</m:t>
        </m:r>
        <m:r>
          <m:rPr>
            <m:sty m:val="p"/>
          </m:rPr>
          <m:t>&gt;</m:t>
        </m:r>
        <m:r>
          <m:t>0</m:t>
        </m:r>
      </m:oMath>
      <w:r>
        <w:t xml:space="preserve"> </w:t>
      </w:r>
      <w:r>
        <w:t xml:space="preserve">is the</w:t>
      </w:r>
      <w:r>
        <w:t xml:space="preserve"> </w:t>
      </w:r>
      <w:r>
        <w:rPr>
          <w:bCs/>
          <w:b/>
        </w:rPr>
        <w:t xml:space="preserve">skew exponent</w:t>
      </w:r>
      <w:r>
        <w:t xml:space="preserve">. Breslau et al. found that requests to web proxies follow a Zipf-like law with an exponent below 1 and that, as a consequence, hit ratio grows roughly logarithmically with cache size [Breslau et al. 1999].</w:t>
      </w:r>
    </w:p>
    <w:bookmarkEnd w:id="2255"/>
    <w:bookmarkStart w:id="2256" w:name="mathematical-foundations-44"/>
    <w:p>
      <w:pPr>
        <w:pStyle w:val="Heading4"/>
      </w:pPr>
      <w:r>
        <w:t xml:space="preserve">Mathematical foundations</w:t>
      </w:r>
    </w:p>
    <w:p>
      <w:pPr>
        <w:pStyle w:val="CalloutFormula"/>
      </w:pPr>
      <w:r>
        <w:rPr>
          <w:bCs/>
          <w:b/>
        </w:rPr>
        <w:t xml:space="preserve">FORMULA</w:t>
      </w:r>
    </w:p>
    <w:p>
      <w:pPr>
        <w:pStyle w:val="CalloutFormula"/>
      </w:pPr>
      <w:r>
        <w:rPr>
          <w:bCs/>
          <w:b/>
        </w:rPr>
        <w:t xml:space="preserve">Zipf request probability and the hit ratio of an ideal top-C cache</w:t>
      </w:r>
    </w:p>
    <w:p>
      <w:pPr>
        <w:pStyle w:val="CalloutFormula"/>
      </w:pPr>
      <m:oMathPara>
        <m:oMathParaPr>
          <m:jc m:val="center"/>
        </m:oMathParaPr>
        <m:oMath>
          <m:sSub>
            <m:e>
              <m:r>
                <m:t>p</m:t>
              </m:r>
            </m:e>
            <m:sub>
              <m:r>
                <m:t>i</m:t>
              </m:r>
            </m:sub>
          </m:sSub>
          <m:r>
            <m:rPr>
              <m:sty m:val="p"/>
            </m:rPr>
            <m:t>=</m:t>
          </m:r>
          <m:f>
            <m:fPr>
              <m:type m:val="bar"/>
            </m:fPr>
            <m:num>
              <m:r>
                <m:t>1</m:t>
              </m:r>
              <m:r>
                <m:rPr>
                  <m:sty m:val="p"/>
                </m:rPr>
                <m:t>/</m:t>
              </m:r>
              <m:sSup>
                <m:e>
                  <m:r>
                    <m:t>i</m:t>
                  </m:r>
                </m:e>
                <m:sup>
                  <m:r>
                    <m:t>s</m:t>
                  </m:r>
                </m:sup>
              </m:sSup>
            </m:num>
            <m:den>
              <m:sSub>
                <m:e>
                  <m:r>
                    <m:t>H</m:t>
                  </m:r>
                </m:e>
                <m:sub>
                  <m:r>
                    <m:t>N</m:t>
                  </m:r>
                  <m:r>
                    <m:rPr>
                      <m:sty m:val="p"/>
                    </m:rPr>
                    <m:t>,</m:t>
                  </m:r>
                  <m:r>
                    <m:t>s</m:t>
                  </m:r>
                </m:sub>
              </m:sSub>
            </m:den>
          </m:f>
          <m:r>
            <m:rPr>
              <m:sty m:val="p"/>
            </m:rPr>
            <m:t>,</m:t>
          </m:r>
          <m:r>
            <m:t>  </m:t>
          </m:r>
          <m:sSub>
            <m:e>
              <m:r>
                <m:t>H</m:t>
              </m:r>
            </m:e>
            <m:sub>
              <m:r>
                <m:t>n</m:t>
              </m:r>
              <m:r>
                <m:rPr>
                  <m:sty m:val="p"/>
                </m:rPr>
                <m:t>,</m:t>
              </m:r>
              <m:r>
                <m:t>s</m:t>
              </m:r>
            </m:sub>
          </m:sSub>
          <m:r>
            <m:rPr>
              <m:sty m:val="p"/>
            </m:rPr>
            <m:t>=</m:t>
          </m:r>
          <m:nary>
            <m:naryPr>
              <m:chr m:val="∑"/>
              <m:limLoc m:val="undOvr"/>
              <m:subHide m:val="off"/>
              <m:supHide m:val="off"/>
            </m:naryPr>
            <m:sub>
              <m:r>
                <m:t>j</m:t>
              </m:r>
              <m:r>
                <m:rPr>
                  <m:sty m:val="p"/>
                </m:rPr>
                <m:t>=</m:t>
              </m:r>
              <m:r>
                <m:t>1</m:t>
              </m:r>
            </m:sub>
            <m:sup>
              <m:r>
                <m:t>n</m:t>
              </m:r>
            </m:sup>
            <m:e>
              <m:f>
                <m:fPr>
                  <m:type m:val="bar"/>
                </m:fPr>
                <m:num>
                  <m:r>
                    <m:t>1</m:t>
                  </m:r>
                </m:num>
                <m:den>
                  <m:sSup>
                    <m:e>
                      <m:r>
                        <m:t>j</m:t>
                      </m:r>
                    </m:e>
                    <m:sup>
                      <m:r>
                        <m:t>s</m:t>
                      </m:r>
                    </m:sup>
                  </m:sSup>
                </m:den>
              </m:f>
            </m:e>
          </m:nary>
          <m:r>
            <m:rPr>
              <m:sty m:val="p"/>
            </m:rPr>
            <m:t>,</m:t>
          </m:r>
          <m:r>
            <m:t>  </m:t>
          </m:r>
          <m:sSub>
            <m:e>
              <m:r>
                <m:t>h</m:t>
              </m:r>
            </m:e>
            <m:sub>
              <m:r>
                <m:rPr>
                  <m:nor/>
                  <m:sty m:val="p"/>
                </m:rPr>
                <m:t>ideal</m:t>
              </m:r>
            </m:sub>
          </m:sSub>
          <m:d>
            <m:dPr>
              <m:begChr m:val="("/>
              <m:endChr m:val=")"/>
              <m:sepChr m:val=""/>
              <m:grow/>
            </m:dPr>
            <m:e>
              <m:r>
                <m:t>C</m:t>
              </m:r>
            </m:e>
          </m:d>
          <m:r>
            <m:rPr>
              <m:sty m:val="p"/>
            </m:rPr>
            <m:t>=</m:t>
          </m:r>
          <m:f>
            <m:fPr>
              <m:type m:val="bar"/>
            </m:fPr>
            <m:num>
              <m:sSub>
                <m:e>
                  <m:r>
                    <m:t>H</m:t>
                  </m:r>
                </m:e>
                <m:sub>
                  <m:r>
                    <m:t>C</m:t>
                  </m:r>
                  <m:r>
                    <m:rPr>
                      <m:sty m:val="p"/>
                    </m:rPr>
                    <m:t>,</m:t>
                  </m:r>
                  <m:r>
                    <m:t>s</m:t>
                  </m:r>
                </m:sub>
              </m:sSub>
            </m:num>
            <m:den>
              <m:sSub>
                <m:e>
                  <m:r>
                    <m:t>H</m:t>
                  </m:r>
                </m:e>
                <m:sub>
                  <m:r>
                    <m:t>N</m:t>
                  </m:r>
                  <m:r>
                    <m:rPr>
                      <m:sty m:val="p"/>
                    </m:rPr>
                    <m:t>,</m:t>
                  </m:r>
                  <m:r>
                    <m:t>s</m:t>
                  </m:r>
                </m:sub>
              </m:sSub>
            </m:den>
          </m:f>
          <m:r>
            <m:t> </m:t>
          </m:r>
          <m:limUpp>
            <m:e>
              <m:r>
                <m:rPr>
                  <m:sty m:val="p"/>
                </m:rPr>
                <m:t>≈</m:t>
              </m:r>
            </m:e>
            <m:lim>
              <m:r>
                <m:t>s</m:t>
              </m:r>
              <m:r>
                <m:rPr>
                  <m:sty m:val="p"/>
                </m:rPr>
                <m:t>=</m:t>
              </m:r>
              <m:r>
                <m:t>1</m:t>
              </m:r>
            </m:lim>
          </m:limUpp>
          <m:r>
            <m:t> </m:t>
          </m:r>
          <m:f>
            <m:fPr>
              <m:type m:val="bar"/>
            </m:fPr>
            <m:num>
              <m:r>
                <m:rPr>
                  <m:sty m:val="p"/>
                </m:rPr>
                <m:t>ln</m:t>
              </m:r>
              <m:r>
                <m:t>C</m:t>
              </m:r>
              <m:r>
                <m:rPr>
                  <m:sty m:val="p"/>
                </m:rPr>
                <m:t>+</m:t>
              </m:r>
              <m:r>
                <m:t>γ</m:t>
              </m:r>
            </m:num>
            <m:den>
              <m:r>
                <m:rPr>
                  <m:sty m:val="p"/>
                </m:rPr>
                <m:t>ln</m:t>
              </m:r>
              <m:r>
                <m:t>N</m:t>
              </m:r>
              <m:r>
                <m:rPr>
                  <m:sty m:val="p"/>
                </m:rPr>
                <m:t>+</m:t>
              </m:r>
              <m:r>
                <m:t>γ</m:t>
              </m:r>
            </m:den>
          </m:f>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N</m:t>
              </m:r>
            </m:oMath>
          </w:p>
        </w:tc>
        <w:tc>
          <w:tcPr/>
          <w:p>
            <w:pPr>
              <w:pStyle w:val="Compact"/>
              <w:jc w:val="left"/>
            </w:pPr>
            <w:r>
              <w:t xml:space="preserve">Number of distinct keys</w:t>
            </w:r>
          </w:p>
        </w:tc>
        <w:tc>
          <w:tcPr/>
          <w:p>
            <w:pPr>
              <w:pStyle w:val="Compact"/>
              <w:jc w:val="left"/>
            </w:pPr>
            <w:r>
              <w:t xml:space="preserve">keys</w:t>
            </w:r>
          </w:p>
        </w:tc>
      </w:tr>
      <w:tr>
        <w:tc>
          <w:tcPr/>
          <w:p>
            <w:pPr>
              <w:pStyle w:val="Compact"/>
              <w:jc w:val="left"/>
            </w:pPr>
            <m:oMath>
              <m:r>
                <m:t>C</m:t>
              </m:r>
            </m:oMath>
          </w:p>
        </w:tc>
        <w:tc>
          <w:tcPr/>
          <w:p>
            <w:pPr>
              <w:pStyle w:val="Compact"/>
              <w:jc w:val="left"/>
            </w:pPr>
            <w:r>
              <w:t xml:space="preserve">Cache capacity</w:t>
            </w:r>
          </w:p>
        </w:tc>
        <w:tc>
          <w:tcPr/>
          <w:p>
            <w:pPr>
              <w:pStyle w:val="Compact"/>
              <w:jc w:val="left"/>
            </w:pPr>
            <w:r>
              <w:t xml:space="preserve">entries</w:t>
            </w:r>
          </w:p>
        </w:tc>
      </w:tr>
      <w:tr>
        <w:tc>
          <w:tcPr/>
          <w:p>
            <w:pPr>
              <w:pStyle w:val="Compact"/>
              <w:jc w:val="left"/>
            </w:pPr>
            <m:oMath>
              <m:r>
                <m:t>i</m:t>
              </m:r>
            </m:oMath>
          </w:p>
        </w:tc>
        <w:tc>
          <w:tcPr/>
          <w:p>
            <w:pPr>
              <w:pStyle w:val="Compact"/>
              <w:jc w:val="left"/>
            </w:pPr>
            <w:r>
              <w:t xml:space="preserve">Popularity rank (1 = most popular)</w:t>
            </w:r>
          </w:p>
        </w:tc>
        <w:tc>
          <w:tcPr/>
          <w:p>
            <w:pPr>
              <w:pStyle w:val="Compact"/>
              <w:jc w:val="left"/>
            </w:pPr>
            <w:r>
              <w:t xml:space="preserve">dimensionless</w:t>
            </w:r>
          </w:p>
        </w:tc>
      </w:tr>
      <w:tr>
        <w:tc>
          <w:tcPr/>
          <w:p>
            <w:pPr>
              <w:pStyle w:val="Compact"/>
              <w:jc w:val="left"/>
            </w:pPr>
            <m:oMath>
              <m:r>
                <m:t>s</m:t>
              </m:r>
            </m:oMath>
          </w:p>
        </w:tc>
        <w:tc>
          <w:tcPr/>
          <w:p>
            <w:pPr>
              <w:pStyle w:val="Compact"/>
              <w:jc w:val="left"/>
            </w:pPr>
            <w:r>
              <w:t xml:space="preserve">Zipf skew exponent</w:t>
            </w:r>
          </w:p>
        </w:tc>
        <w:tc>
          <w:tcPr/>
          <w:p>
            <w:pPr>
              <w:pStyle w:val="Compact"/>
              <w:jc w:val="left"/>
            </w:pPr>
            <w:r>
              <w:t xml:space="preserve">dimensionless</w:t>
            </w:r>
          </w:p>
        </w:tc>
      </w:tr>
      <w:tr>
        <w:tc>
          <w:tcPr/>
          <w:p>
            <w:pPr>
              <w:pStyle w:val="Compact"/>
              <w:jc w:val="left"/>
            </w:pPr>
            <m:oMath>
              <m:sSub>
                <m:e>
                  <m:r>
                    <m:t>p</m:t>
                  </m:r>
                </m:e>
                <m:sub>
                  <m:r>
                    <m:t>i</m:t>
                  </m:r>
                </m:sub>
              </m:sSub>
            </m:oMath>
          </w:p>
        </w:tc>
        <w:tc>
          <w:tcPr/>
          <w:p>
            <w:pPr>
              <w:pStyle w:val="Compact"/>
              <w:jc w:val="left"/>
            </w:pPr>
            <w:r>
              <w:t xml:space="preserve">Probability that a request is for rank</w:t>
            </w:r>
            <w:r>
              <w:t xml:space="preserve"> </w:t>
            </w:r>
            <m:oMath>
              <m:r>
                <m:t>i</m:t>
              </m:r>
            </m:oMath>
          </w:p>
        </w:tc>
        <w:tc>
          <w:tcPr/>
          <w:p>
            <w:pPr>
              <w:pStyle w:val="Compact"/>
              <w:jc w:val="left"/>
            </w:pPr>
            <w:r>
              <w:t xml:space="preserve">dimensionless</w:t>
            </w:r>
          </w:p>
        </w:tc>
      </w:tr>
      <w:tr>
        <w:tc>
          <w:tcPr/>
          <w:p>
            <w:pPr>
              <w:pStyle w:val="Compact"/>
              <w:jc w:val="left"/>
            </w:pPr>
            <m:oMath>
              <m:sSub>
                <m:e>
                  <m:r>
                    <m:t>H</m:t>
                  </m:r>
                </m:e>
                <m:sub>
                  <m:r>
                    <m:t>n</m:t>
                  </m:r>
                  <m:r>
                    <m:rPr>
                      <m:sty m:val="p"/>
                    </m:rPr>
                    <m:t>,</m:t>
                  </m:r>
                  <m:r>
                    <m:t>s</m:t>
                  </m:r>
                </m:sub>
              </m:sSub>
            </m:oMath>
          </w:p>
        </w:tc>
        <w:tc>
          <w:tcPr/>
          <w:p>
            <w:pPr>
              <w:pStyle w:val="Compact"/>
              <w:jc w:val="left"/>
            </w:pPr>
            <w:r>
              <w:t xml:space="preserve">Generalized harmonic number</w:t>
            </w:r>
          </w:p>
        </w:tc>
        <w:tc>
          <w:tcPr/>
          <w:p>
            <w:pPr>
              <w:pStyle w:val="Compact"/>
              <w:jc w:val="left"/>
            </w:pPr>
            <w:r>
              <w:t xml:space="preserve">dimensionless</w:t>
            </w:r>
          </w:p>
        </w:tc>
      </w:tr>
      <w:tr>
        <w:tc>
          <w:tcPr/>
          <w:p>
            <w:pPr>
              <w:pStyle w:val="Compact"/>
              <w:jc w:val="left"/>
            </w:pPr>
            <m:oMath>
              <m:sSub>
                <m:e>
                  <m:r>
                    <m:t>h</m:t>
                  </m:r>
                </m:e>
                <m:sub>
                  <m:r>
                    <m:rPr>
                      <m:nor/>
                      <m:sty m:val="p"/>
                    </m:rPr>
                    <m:t>ideal</m:t>
                  </m:r>
                </m:sub>
              </m:sSub>
              <m:d>
                <m:dPr>
                  <m:begChr m:val="("/>
                  <m:endChr m:val=")"/>
                  <m:sepChr m:val=""/>
                  <m:grow/>
                </m:dPr>
                <m:e>
                  <m:r>
                    <m:t>C</m:t>
                  </m:r>
                </m:e>
              </m:d>
            </m:oMath>
          </w:p>
        </w:tc>
        <w:tc>
          <w:tcPr/>
          <w:p>
            <w:pPr>
              <w:pStyle w:val="Compact"/>
              <w:jc w:val="left"/>
            </w:pPr>
            <w:r>
              <w:t xml:space="preserve">Hit ratio of a cache that always holds the top</w:t>
            </w:r>
            <w:r>
              <w:t xml:space="preserve"> </w:t>
            </w:r>
            <m:oMath>
              <m:r>
                <m:t>C</m:t>
              </m:r>
            </m:oMath>
            <w:r>
              <w:t xml:space="preserve"> </w:t>
            </w:r>
            <w:r>
              <w:t xml:space="preserve">keys</w:t>
            </w:r>
          </w:p>
        </w:tc>
        <w:tc>
          <w:tcPr/>
          <w:p>
            <w:pPr>
              <w:pStyle w:val="Compact"/>
              <w:jc w:val="left"/>
            </w:pPr>
            <w:r>
              <w:t xml:space="preserve">dimensionless</w:t>
            </w:r>
          </w:p>
        </w:tc>
      </w:tr>
      <w:tr>
        <w:tc>
          <w:tcPr/>
          <w:p>
            <w:pPr>
              <w:pStyle w:val="Compact"/>
              <w:jc w:val="left"/>
            </w:pPr>
            <m:oMath>
              <m:r>
                <m:t>γ</m:t>
              </m:r>
            </m:oMath>
          </w:p>
        </w:tc>
        <w:tc>
          <w:tcPr/>
          <w:p>
            <w:pPr>
              <w:pStyle w:val="Compact"/>
              <w:jc w:val="left"/>
            </w:pPr>
            <w:r>
              <w:t xml:space="preserve">Euler–Mascheroni constant, ≈ 0.5772</w:t>
            </w:r>
          </w:p>
        </w:tc>
        <w:tc>
          <w:tcPr/>
          <w:p>
            <w:pPr>
              <w:pStyle w:val="Compact"/>
              <w:jc w:val="left"/>
            </w:pPr>
            <w:r>
              <w:t xml:space="preserve">dimensionless</w:t>
            </w:r>
          </w:p>
        </w:tc>
      </w:tr>
    </w:tbl>
    <w:p>
      <w:pPr>
        <w:pStyle w:val="CalloutExample"/>
      </w:pPr>
      <w:r>
        <w:rPr>
          <w:bCs/>
          <w:b/>
        </w:rPr>
        <w:t xml:space="preserve">WORKED EXAMPLE</w:t>
      </w:r>
    </w:p>
    <w:p>
      <w:pPr>
        <w:pStyle w:val="CalloutExample"/>
      </w:pPr>
      <w:r>
        <w:rPr>
          <w:bCs/>
          <w:b/>
        </w:rPr>
        <w:t xml:space="preserve">Worked example — One percent of the catalog, two thirds of the traffic.</w:t>
      </w:r>
      <w:r>
        <w:t xml:space="preserve"> </w:t>
      </w:r>
      <m:oMath>
        <m:r>
          <m:t>N</m:t>
        </m:r>
        <m:r>
          <m:rPr>
            <m:sty m:val="p"/>
          </m:rPr>
          <m:t>=</m:t>
        </m:r>
        <m:sSup>
          <m:e>
            <m:r>
              <m:t>10</m:t>
            </m:r>
          </m:e>
          <m:sup>
            <m:r>
              <m:t>6</m:t>
            </m:r>
          </m:sup>
        </m:sSup>
      </m:oMath>
      <w:r>
        <w:t xml:space="preserve"> </w:t>
      </w:r>
      <w:r>
        <w:t xml:space="preserve">keys with</w:t>
      </w:r>
      <w:r>
        <w:t xml:space="preserve"> </w:t>
      </w:r>
      <m:oMath>
        <m:r>
          <m:t>s</m:t>
        </m:r>
        <m:r>
          <m:rPr>
            <m:sty m:val="p"/>
          </m:rPr>
          <m:t>=</m:t>
        </m:r>
        <m:r>
          <m:t>1</m:t>
        </m:r>
      </m:oMath>
      <w:r>
        <w:t xml:space="preserve">; the cache holds</w:t>
      </w:r>
      <w:r>
        <w:t xml:space="preserve"> </w:t>
      </w:r>
      <m:oMath>
        <m:r>
          <m:t>C</m:t>
        </m:r>
        <m:r>
          <m:rPr>
            <m:sty m:val="p"/>
          </m:rPr>
          <m:t>=</m:t>
        </m:r>
        <m:sSup>
          <m:e>
            <m:r>
              <m:t>10</m:t>
            </m:r>
          </m:e>
          <m:sup>
            <m:r>
              <m:t>4</m:t>
            </m:r>
          </m:sup>
        </m:sSup>
      </m:oMath>
      <w:r>
        <w:t xml:space="preserve"> </w:t>
      </w:r>
      <w:r>
        <w:t xml:space="preserve">entries (1%).</w:t>
      </w:r>
    </w:p>
    <w:p>
      <w:pPr>
        <w:numPr>
          <w:ilvl w:val="0"/>
          <w:numId w:val="1659"/>
        </w:numPr>
        <w:pStyle w:val="Compact"/>
      </w:pPr>
      <m:oMath>
        <m:r>
          <m:rPr>
            <m:sty m:val="p"/>
          </m:rPr>
          <m:t>ln</m:t>
        </m:r>
        <m:r>
          <m:t>C</m:t>
        </m:r>
        <m:r>
          <m:rPr>
            <m:sty m:val="p"/>
          </m:rPr>
          <m:t>+</m:t>
        </m:r>
        <m:r>
          <m:t>γ</m:t>
        </m:r>
        <m:r>
          <m:rPr>
            <m:sty m:val="p"/>
          </m:rPr>
          <m:t>=</m:t>
        </m:r>
        <m:r>
          <m:rPr>
            <m:sty m:val="p"/>
          </m:rPr>
          <m:t>ln</m:t>
        </m:r>
        <m:sSup>
          <m:e>
            <m:r>
              <m:t>10</m:t>
            </m:r>
          </m:e>
          <m:sup>
            <m:r>
              <m:t>4</m:t>
            </m:r>
          </m:sup>
        </m:sSup>
        <m:r>
          <m:rPr>
            <m:sty m:val="p"/>
          </m:rPr>
          <m:t>+</m:t>
        </m:r>
        <m:r>
          <m:t>0.5772</m:t>
        </m:r>
        <m:r>
          <m:rPr>
            <m:sty m:val="p"/>
          </m:rPr>
          <m:t>=</m:t>
        </m:r>
        <m:r>
          <m:t>9.210</m:t>
        </m:r>
        <m:r>
          <m:rPr>
            <m:sty m:val="p"/>
          </m:rPr>
          <m:t>+</m:t>
        </m:r>
        <m:r>
          <m:t>0.577</m:t>
        </m:r>
        <m:r>
          <m:rPr>
            <m:sty m:val="p"/>
          </m:rPr>
          <m:t>=</m:t>
        </m:r>
        <m:r>
          <m:t>9.787</m:t>
        </m:r>
      </m:oMath>
      <w:r>
        <w:t xml:space="preserve">.</w:t>
      </w:r>
    </w:p>
    <w:p>
      <w:pPr>
        <w:numPr>
          <w:ilvl w:val="0"/>
          <w:numId w:val="1659"/>
        </w:numPr>
        <w:pStyle w:val="Compact"/>
      </w:pPr>
      <m:oMath>
        <m:r>
          <m:rPr>
            <m:sty m:val="p"/>
          </m:rPr>
          <m:t>ln</m:t>
        </m:r>
        <m:r>
          <m:t>N</m:t>
        </m:r>
        <m:r>
          <m:rPr>
            <m:sty m:val="p"/>
          </m:rPr>
          <m:t>+</m:t>
        </m:r>
        <m:r>
          <m:t>γ</m:t>
        </m:r>
        <m:r>
          <m:rPr>
            <m:sty m:val="p"/>
          </m:rPr>
          <m:t>=</m:t>
        </m:r>
        <m:r>
          <m:rPr>
            <m:sty m:val="p"/>
          </m:rPr>
          <m:t>ln</m:t>
        </m:r>
        <m:sSup>
          <m:e>
            <m:r>
              <m:t>10</m:t>
            </m:r>
          </m:e>
          <m:sup>
            <m:r>
              <m:t>6</m:t>
            </m:r>
          </m:sup>
        </m:sSup>
        <m:r>
          <m:rPr>
            <m:sty m:val="p"/>
          </m:rPr>
          <m:t>+</m:t>
        </m:r>
        <m:r>
          <m:t>0.5772</m:t>
        </m:r>
        <m:r>
          <m:rPr>
            <m:sty m:val="p"/>
          </m:rPr>
          <m:t>=</m:t>
        </m:r>
        <m:r>
          <m:t>13.816</m:t>
        </m:r>
        <m:r>
          <m:rPr>
            <m:sty m:val="p"/>
          </m:rPr>
          <m:t>+</m:t>
        </m:r>
        <m:r>
          <m:t>0.577</m:t>
        </m:r>
        <m:r>
          <m:rPr>
            <m:sty m:val="p"/>
          </m:rPr>
          <m:t>=</m:t>
        </m:r>
        <m:r>
          <m:t>14.393</m:t>
        </m:r>
      </m:oMath>
      <w:r>
        <w:t xml:space="preserve">.</w:t>
      </w:r>
    </w:p>
    <w:p>
      <w:pPr>
        <w:numPr>
          <w:ilvl w:val="0"/>
          <w:numId w:val="1659"/>
        </w:numPr>
        <w:pStyle w:val="Compact"/>
      </w:pPr>
      <m:oMath>
        <m:sSub>
          <m:e>
            <m:r>
              <m:t>h</m:t>
            </m:r>
          </m:e>
          <m:sub>
            <m:r>
              <m:rPr>
                <m:nor/>
                <m:sty m:val="p"/>
              </m:rPr>
              <m:t>ideal</m:t>
            </m:r>
          </m:sub>
        </m:sSub>
        <m:r>
          <m:rPr>
            <m:sty m:val="p"/>
          </m:rPr>
          <m:t>=</m:t>
        </m:r>
        <m:r>
          <m:t>9.787</m:t>
        </m:r>
        <m:r>
          <m:rPr>
            <m:sty m:val="p"/>
          </m:rPr>
          <m:t>/</m:t>
        </m:r>
        <m:r>
          <m:t>14.393</m:t>
        </m:r>
        <m:r>
          <m:rPr>
            <m:sty m:val="p"/>
          </m:rPr>
          <m:t>=</m:t>
        </m:r>
        <m:r>
          <m:t>0.680</m:t>
        </m:r>
      </m:oMath>
      <w:r>
        <w:t xml:space="preserve">: 1% of the keys can serve 68% of requests (the exact sum, computed by the program below, is also 68.0%).</w:t>
      </w:r>
    </w:p>
    <w:p>
      <w:pPr>
        <w:numPr>
          <w:ilvl w:val="0"/>
          <w:numId w:val="1659"/>
        </w:numPr>
        <w:pStyle w:val="Compact"/>
      </w:pPr>
      <w:r>
        <w:t xml:space="preserve">Doubling the cache to</w:t>
      </w:r>
      <w:r>
        <w:t xml:space="preserve"> </w:t>
      </w:r>
      <m:oMath>
        <m:r>
          <m:t>2</m:t>
        </m:r>
        <m:r>
          <m:rPr>
            <m:sty m:val="p"/>
          </m:rPr>
          <m:t>×</m:t>
        </m:r>
        <m:sSup>
          <m:e>
            <m:r>
              <m:t>10</m:t>
            </m:r>
          </m:e>
          <m:sup>
            <m:r>
              <m:t>4</m:t>
            </m:r>
          </m:sup>
        </m:sSup>
      </m:oMath>
      <w:r>
        <w:t xml:space="preserve">:</w:t>
      </w:r>
      <w:r>
        <w:t xml:space="preserve"> </w:t>
      </w:r>
      <m:oMath>
        <m:d>
          <m:dPr>
            <m:begChr m:val="("/>
            <m:endChr m:val=")"/>
            <m:sepChr m:val=""/>
            <m:grow/>
          </m:dPr>
          <m:e>
            <m:r>
              <m:rPr>
                <m:sty m:val="p"/>
              </m:rPr>
              <m:t>ln</m:t>
            </m:r>
            <m:d>
              <m:dPr>
                <m:begChr m:val="("/>
                <m:endChr m:val=")"/>
                <m:sepChr m:val=""/>
                <m:grow/>
              </m:dPr>
              <m:e>
                <m:r>
                  <m:t>2</m:t>
                </m:r>
                <m:r>
                  <m:rPr>
                    <m:sty m:val="p"/>
                  </m:rPr>
                  <m:t>×</m:t>
                </m:r>
                <m:sSup>
                  <m:e>
                    <m:r>
                      <m:t>10</m:t>
                    </m:r>
                  </m:e>
                  <m:sup>
                    <m:r>
                      <m:t>4</m:t>
                    </m:r>
                  </m:sup>
                </m:sSup>
              </m:e>
            </m:d>
            <m:r>
              <m:rPr>
                <m:sty m:val="p"/>
              </m:rPr>
              <m:t>+</m:t>
            </m:r>
            <m:r>
              <m:t>0.577</m:t>
            </m:r>
          </m:e>
        </m:d>
        <m:r>
          <m:rPr>
            <m:sty m:val="p"/>
          </m:rPr>
          <m:t>/</m:t>
        </m:r>
        <m:r>
          <m:t>14.393</m:t>
        </m:r>
        <m:r>
          <m:rPr>
            <m:sty m:val="p"/>
          </m:rPr>
          <m:t>=</m:t>
        </m:r>
        <m:d>
          <m:dPr>
            <m:begChr m:val="("/>
            <m:endChr m:val=")"/>
            <m:sepChr m:val=""/>
            <m:grow/>
          </m:dPr>
          <m:e>
            <m:r>
              <m:t>9.903</m:t>
            </m:r>
            <m:r>
              <m:rPr>
                <m:sty m:val="p"/>
              </m:rPr>
              <m:t>+</m:t>
            </m:r>
            <m:r>
              <m:t>0.577</m:t>
            </m:r>
          </m:e>
        </m:d>
        <m:r>
          <m:rPr>
            <m:sty m:val="p"/>
          </m:rPr>
          <m:t>/</m:t>
        </m:r>
        <m:r>
          <m:t>14.393</m:t>
        </m:r>
        <m:r>
          <m:rPr>
            <m:sty m:val="p"/>
          </m:rPr>
          <m:t>=</m:t>
        </m:r>
        <m:r>
          <m:t>0.728</m:t>
        </m:r>
      </m:oMath>
      <w:r>
        <w:t xml:space="preserve">. Twice the memory buys only 4.8 more points.</w:t>
      </w:r>
    </w:p>
    <w:p>
      <w:pPr>
        <w:pStyle w:val="CalloutExample"/>
      </w:pPr>
      <w:r>
        <w:rPr>
          <w:bCs/>
          <w:b/>
        </w:rPr>
        <w:t xml:space="preserve">Interpretation.</w:t>
      </w:r>
      <w:r>
        <w:t xml:space="preserve"> </w:t>
      </w:r>
      <w:r>
        <w:t xml:space="preserve">Under Zipf, each</w:t>
      </w:r>
      <w:r>
        <w:t xml:space="preserve"> </w:t>
      </w:r>
      <w:r>
        <w:rPr>
          <w:iCs/>
          <w:i/>
        </w:rPr>
        <w:t xml:space="preserve">doubling</w:t>
      </w:r>
      <w:r>
        <w:t xml:space="preserve"> </w:t>
      </w:r>
      <w:r>
        <w:t xml:space="preserve">of cache size adds a roughly constant number of points (</w:t>
      </w:r>
      <m:oMath>
        <m:r>
          <m:rPr>
            <m:sty m:val="p"/>
          </m:rPr>
          <m:t>ln</m:t>
        </m:r>
        <m:r>
          <m:t>2</m:t>
        </m:r>
        <m:r>
          <m:rPr>
            <m:sty m:val="p"/>
          </m:rPr>
          <m:t>/</m:t>
        </m:r>
        <m:r>
          <m:t>14.393</m:t>
        </m:r>
        <m:r>
          <m:rPr>
            <m:sty m:val="p"/>
          </m:rPr>
          <m:t>≈</m:t>
        </m:r>
        <m:r>
          <m:t>4.8</m:t>
        </m:r>
      </m:oMath>
      <w:r>
        <w:t xml:space="preserve"> </w:t>
      </w:r>
      <w:r>
        <w:t xml:space="preserve">here), so the first gigabytes of cache are worth far more than the last.</w:t>
      </w:r>
      <w:r>
        <w:t xml:space="preserve"> </w:t>
      </w:r>
      <w:r>
        <w:rPr>
          <w:bCs/>
          <w:b/>
        </w:rPr>
        <w:t xml:space="preserve">Engineering implication.</w:t>
      </w:r>
      <w:r>
        <w:t xml:space="preserve"> </w:t>
      </w:r>
      <w:r>
        <w:t xml:space="preserve">Size a cache by plotting hit ratio against size from a real trace and stop where the next doubling no longer pays for itself in database capacity; for lower skew (</w:t>
      </w:r>
      <m:oMath>
        <m:r>
          <m:t>s</m:t>
        </m:r>
        <m:r>
          <m:rPr>
            <m:sty m:val="p"/>
          </m:rPr>
          <m:t>&lt;</m:t>
        </m:r>
        <m:r>
          <m:t>1</m:t>
        </m:r>
      </m:oMath>
      <w:r>
        <w:t xml:space="preserve">) the curve is flatter and you need a larger fraction of the data.</w:t>
      </w:r>
    </w:p>
    <w:bookmarkEnd w:id="2256"/>
    <w:bookmarkStart w:id="2257" w:name="code-example-24"/>
    <w:p>
      <w:pPr>
        <w:pStyle w:val="Heading4"/>
      </w:pPr>
      <w:r>
        <w:t xml:space="preserve">Code example</w:t>
      </w:r>
    </w:p>
    <w:p>
      <w:pPr>
        <w:pStyle w:val="FirstParagraph"/>
      </w:pPr>
      <w:r>
        <w:t xml:space="preserve">The program computes the ideal hit ratio and then simulates a real LRU cache on a sampled Zipf trace, for three skews and three cache sizes.</w:t>
      </w:r>
    </w:p>
    <w:p>
      <w:pPr>
        <w:pStyle w:val="SourceCode"/>
      </w:pPr>
      <w:r>
        <w:rPr>
          <w:rStyle w:val="CommentTok"/>
        </w:rPr>
        <w:t xml:space="preserve">"""Why small caches work: the ideal hit ratio of a cache that holds the C most</w:t>
      </w:r>
      <w:r>
        <w:br/>
      </w:r>
      <w:r>
        <w:rPr>
          <w:rStyle w:val="CommentTok"/>
        </w:rPr>
        <w:t xml:space="preserve">popular of N keys under Zipf popularity, versus a simulated LRU cache."""</w:t>
      </w:r>
      <w:r>
        <w:br/>
      </w:r>
      <w:r>
        <w:rPr>
          <w:rStyle w:val="ImportTok"/>
        </w:rPr>
        <w:t xml:space="preserve">import</w:t>
      </w:r>
      <w:r>
        <w:rPr>
          <w:rStyle w:val="NormalTok"/>
        </w:rPr>
        <w:t xml:space="preserve"> itertools</w:t>
      </w:r>
      <w:r>
        <w:br/>
      </w:r>
      <w:r>
        <w:rPr>
          <w:rStyle w:val="ImportTok"/>
        </w:rPr>
        <w:t xml:space="preserve">import</w:t>
      </w:r>
      <w:r>
        <w:rPr>
          <w:rStyle w:val="NormalTok"/>
        </w:rPr>
        <w:t xml:space="preserve"> random</w:t>
      </w:r>
      <w:r>
        <w:br/>
      </w:r>
      <w:r>
        <w:rPr>
          <w:rStyle w:val="ImportTok"/>
        </w:rPr>
        <w:t xml:space="preserve">from</w:t>
      </w:r>
      <w:r>
        <w:rPr>
          <w:rStyle w:val="NormalTok"/>
        </w:rPr>
        <w:t xml:space="preserve"> collections </w:t>
      </w:r>
      <w:r>
        <w:rPr>
          <w:rStyle w:val="ImportTok"/>
        </w:rPr>
        <w:t xml:space="preserve">import</w:t>
      </w:r>
      <w:r>
        <w:rPr>
          <w:rStyle w:val="NormalTok"/>
        </w:rPr>
        <w:t xml:space="preserve"> OrderedDict</w:t>
      </w:r>
      <w:r>
        <w:br/>
      </w:r>
      <w:r>
        <w:br/>
      </w:r>
      <w:r>
        <w:rPr>
          <w:rStyle w:val="KeywordTok"/>
        </w:rPr>
        <w:t xml:space="preserve">def</w:t>
      </w:r>
      <w:r>
        <w:rPr>
          <w:rStyle w:val="NormalTok"/>
        </w:rPr>
        <w:t xml:space="preserve"> zipf_weights(n, s):</w:t>
      </w:r>
      <w:r>
        <w:br/>
      </w:r>
      <w:r>
        <w:rPr>
          <w:rStyle w:val="NormalTok"/>
        </w:rPr>
        <w:t xml:space="preserve">    </w:t>
      </w:r>
      <w:r>
        <w:rPr>
          <w:rStyle w:val="CommentTok"/>
        </w:rPr>
        <w:t xml:space="preserve">"""Unnormalized Zipf weights 1/i^s for ranks 1..n."""</w:t>
      </w:r>
      <w:r>
        <w:br/>
      </w:r>
      <w:r>
        <w:rPr>
          <w:rStyle w:val="NormalTok"/>
        </w:rPr>
        <w:t xml:space="preserve">    </w:t>
      </w:r>
      <w:r>
        <w:rPr>
          <w:rStyle w:val="ControlFlowTok"/>
        </w:rPr>
        <w:t xml:space="preserve">return</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s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KeywordTok"/>
        </w:rPr>
        <w:t xml:space="preserve">def</w:t>
      </w:r>
      <w:r>
        <w:rPr>
          <w:rStyle w:val="NormalTok"/>
        </w:rPr>
        <w:t xml:space="preserve"> ideal_hit_ratio(weights, c):</w:t>
      </w:r>
      <w:r>
        <w:br/>
      </w:r>
      <w:r>
        <w:rPr>
          <w:rStyle w:val="NormalTok"/>
        </w:rPr>
        <w:t xml:space="preserve">    </w:t>
      </w:r>
      <w:r>
        <w:rPr>
          <w:rStyle w:val="CommentTok"/>
        </w:rPr>
        <w:t xml:space="preserve">"""Fraction of requests for the top-c keys: H(c, s) / H(n, s)."""</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(weights[:c]) </w:t>
      </w:r>
      <w:r>
        <w:rPr>
          <w:rStyle w:val="OperatorTok"/>
        </w:rPr>
        <w:t xml:space="preserve">/</w:t>
      </w:r>
      <w:r>
        <w:rPr>
          <w:rStyle w:val="NormalTok"/>
        </w:rPr>
        <w:t xml:space="preserve"> </w:t>
      </w:r>
      <w:r>
        <w:rPr>
          <w:rStyle w:val="BuiltInTok"/>
        </w:rPr>
        <w:t xml:space="preserve">sum</w:t>
      </w:r>
      <w:r>
        <w:rPr>
          <w:rStyle w:val="NormalTok"/>
        </w:rPr>
        <w:t xml:space="preserve">(weights)</w:t>
      </w:r>
      <w:r>
        <w:br/>
      </w:r>
      <w:r>
        <w:br/>
      </w:r>
      <w:r>
        <w:rPr>
          <w:rStyle w:val="KeywordTok"/>
        </w:rPr>
        <w:t xml:space="preserve">def</w:t>
      </w:r>
      <w:r>
        <w:rPr>
          <w:rStyle w:val="NormalTok"/>
        </w:rPr>
        <w:t xml:space="preserve"> zipf_trace(weights, length, seed</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mmentTok"/>
        </w:rPr>
        <w:t xml:space="preserve">"""Sample `length` requests; key i has probability weights[i] / sum."""</w:t>
      </w:r>
      <w:r>
        <w:br/>
      </w:r>
      <w:r>
        <w:rPr>
          <w:rStyle w:val="NormalTok"/>
        </w:rPr>
        <w:t xml:space="preserve">    cum </w:t>
      </w:r>
      <w:r>
        <w:rPr>
          <w:rStyle w:val="OperatorTok"/>
        </w:rPr>
        <w:t xml:space="preserve">=</w:t>
      </w:r>
      <w:r>
        <w:rPr>
          <w:rStyle w:val="NormalTok"/>
        </w:rPr>
        <w:t xml:space="preserve"> </w:t>
      </w:r>
      <w:r>
        <w:rPr>
          <w:rStyle w:val="BuiltInTok"/>
        </w:rPr>
        <w:t xml:space="preserve">list</w:t>
      </w:r>
      <w:r>
        <w:rPr>
          <w:rStyle w:val="NormalTok"/>
        </w:rPr>
        <w:t xml:space="preserve">(itertools.accumulate(weights))</w:t>
      </w:r>
      <w:r>
        <w:br/>
      </w:r>
      <w:r>
        <w:rPr>
          <w:rStyle w:val="NormalTok"/>
        </w:rPr>
        <w:t xml:space="preserve">    </w:t>
      </w:r>
      <w:r>
        <w:rPr>
          <w:rStyle w:val="ControlFlowTok"/>
        </w:rPr>
        <w:t xml:space="preserve">return</w:t>
      </w:r>
      <w:r>
        <w:rPr>
          <w:rStyle w:val="NormalTok"/>
        </w:rPr>
        <w:t xml:space="preserve"> random.Random(seed).choices(</w:t>
      </w:r>
      <w:r>
        <w:rPr>
          <w:rStyle w:val="BuiltInTok"/>
        </w:rPr>
        <w:t xml:space="preserve">range</w:t>
      </w:r>
      <w:r>
        <w:rPr>
          <w:rStyle w:val="NormalTok"/>
        </w:rPr>
        <w:t xml:space="preserve">(</w:t>
      </w:r>
      <w:r>
        <w:rPr>
          <w:rStyle w:val="BuiltInTok"/>
        </w:rPr>
        <w:t xml:space="preserve">len</w:t>
      </w:r>
      <w:r>
        <w:rPr>
          <w:rStyle w:val="NormalTok"/>
        </w:rPr>
        <w:t xml:space="preserve">(weights)), cum_weights</w:t>
      </w:r>
      <w:r>
        <w:rPr>
          <w:rStyle w:val="OperatorTok"/>
        </w:rPr>
        <w:t xml:space="preserve">=</w:t>
      </w:r>
      <w:r>
        <w:rPr>
          <w:rStyle w:val="NormalTok"/>
        </w:rPr>
        <w:t xml:space="preserve">cum, k</w:t>
      </w:r>
      <w:r>
        <w:rPr>
          <w:rStyle w:val="OperatorTok"/>
        </w:rPr>
        <w:t xml:space="preserve">=</w:t>
      </w:r>
      <w:r>
        <w:rPr>
          <w:rStyle w:val="NormalTok"/>
        </w:rPr>
        <w:t xml:space="preserve">length)</w:t>
      </w:r>
      <w:r>
        <w:br/>
      </w:r>
      <w:r>
        <w:br/>
      </w:r>
      <w:r>
        <w:rPr>
          <w:rStyle w:val="KeywordTok"/>
        </w:rPr>
        <w:t xml:space="preserve">def</w:t>
      </w:r>
      <w:r>
        <w:rPr>
          <w:rStyle w:val="NormalTok"/>
        </w:rPr>
        <w:t xml:space="preserve"> lru_hit_ratio(trace, capacity, warmup):</w:t>
      </w:r>
      <w:r>
        <w:br/>
      </w:r>
      <w:r>
        <w:rPr>
          <w:rStyle w:val="NormalTok"/>
        </w:rPr>
        <w:t xml:space="preserve">    cache, hits </w:t>
      </w:r>
      <w:r>
        <w:rPr>
          <w:rStyle w:val="OperatorTok"/>
        </w:rPr>
        <w:t xml:space="preserve">=</w:t>
      </w:r>
      <w:r>
        <w:rPr>
          <w:rStyle w:val="NormalTok"/>
        </w:rPr>
        <w:t xml:space="preserve"> OrderedDict(), </w:t>
      </w:r>
      <w:r>
        <w:rPr>
          <w:rStyle w:val="DecValTok"/>
        </w:rPr>
        <w:t xml:space="preserve">0</w:t>
      </w:r>
      <w:r>
        <w:br/>
      </w:r>
      <w:r>
        <w:rPr>
          <w:rStyle w:val="NormalTok"/>
        </w:rPr>
        <w:t xml:space="preserve">    </w:t>
      </w:r>
      <w:r>
        <w:rPr>
          <w:rStyle w:val="ControlFlowTok"/>
        </w:rPr>
        <w:t xml:space="preserve">for</w:t>
      </w:r>
      <w:r>
        <w:rPr>
          <w:rStyle w:val="NormalTok"/>
        </w:rPr>
        <w:t xml:space="preserve"> t, key </w:t>
      </w:r>
      <w:r>
        <w:rPr>
          <w:rStyle w:val="KeywordTok"/>
        </w:rPr>
        <w:t xml:space="preserve">in</w:t>
      </w:r>
      <w:r>
        <w:rPr>
          <w:rStyle w:val="NormalTok"/>
        </w:rPr>
        <w:t xml:space="preserve"> </w:t>
      </w:r>
      <w:r>
        <w:rPr>
          <w:rStyle w:val="BuiltInTok"/>
        </w:rPr>
        <w:t xml:space="preserve">enumerate</w:t>
      </w:r>
      <w:r>
        <w:rPr>
          <w:rStyle w:val="NormalTok"/>
        </w:rPr>
        <w:t xml:space="preserve">(trace):</w:t>
      </w:r>
      <w:r>
        <w:br/>
      </w:r>
      <w:r>
        <w:rPr>
          <w:rStyle w:val="NormalTok"/>
        </w:rPr>
        <w:t xml:space="preserve">        </w:t>
      </w:r>
      <w:r>
        <w:rPr>
          <w:rStyle w:val="ControlFlowTok"/>
        </w:rPr>
        <w:t xml:space="preserve">if</w:t>
      </w:r>
      <w:r>
        <w:rPr>
          <w:rStyle w:val="NormalTok"/>
        </w:rPr>
        <w:t xml:space="preserve"> key </w:t>
      </w:r>
      <w:r>
        <w:rPr>
          <w:rStyle w:val="KeywordTok"/>
        </w:rPr>
        <w:t xml:space="preserve">in</w:t>
      </w:r>
      <w:r>
        <w:rPr>
          <w:rStyle w:val="NormalTok"/>
        </w:rPr>
        <w:t xml:space="preserve"> cache:</w:t>
      </w:r>
      <w:r>
        <w:br/>
      </w:r>
      <w:r>
        <w:rPr>
          <w:rStyle w:val="NormalTok"/>
        </w:rPr>
        <w:t xml:space="preserve">            cache.move_to_end(key)</w:t>
      </w:r>
      <w:r>
        <w:br/>
      </w:r>
      <w:r>
        <w:rPr>
          <w:rStyle w:val="NormalTok"/>
        </w:rPr>
        <w:t xml:space="preserve">            hits </w:t>
      </w:r>
      <w:r>
        <w:rPr>
          <w:rStyle w:val="OperatorTok"/>
        </w:rPr>
        <w:t xml:space="preserve">+=</w:t>
      </w:r>
      <w:r>
        <w:rPr>
          <w:rStyle w:val="NormalTok"/>
        </w:rPr>
        <w:t xml:space="preserve"> t </w:t>
      </w:r>
      <w:r>
        <w:rPr>
          <w:rStyle w:val="OperatorTok"/>
        </w:rPr>
        <w:t xml:space="preserve">&gt;=</w:t>
      </w:r>
      <w:r>
        <w:rPr>
          <w:rStyle w:val="NormalTok"/>
        </w:rPr>
        <w:t xml:space="preserve"> warmup</w:t>
      </w:r>
      <w:r>
        <w:br/>
      </w:r>
      <w:r>
        <w:rPr>
          <w:rStyle w:val="NormalTok"/>
        </w:rPr>
        <w:t xml:space="preserve">        </w:t>
      </w:r>
      <w:r>
        <w:rPr>
          <w:rStyle w:val="ControlFlowTok"/>
        </w:rPr>
        <w:t xml:space="preserve">else</w:t>
      </w:r>
      <w:r>
        <w:rPr>
          <w:rStyle w:val="NormalTok"/>
        </w:rPr>
        <w:t xml:space="preserve">:</w:t>
      </w:r>
      <w:r>
        <w:br/>
      </w:r>
      <w:r>
        <w:rPr>
          <w:rStyle w:val="NormalTok"/>
        </w:rPr>
        <w:t xml:space="preserve">            cache[key]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(cache) </w:t>
      </w:r>
      <w:r>
        <w:rPr>
          <w:rStyle w:val="OperatorTok"/>
        </w:rPr>
        <w:t xml:space="preserve">&gt;</w:t>
      </w:r>
      <w:r>
        <w:rPr>
          <w:rStyle w:val="NormalTok"/>
        </w:rPr>
        <w:t xml:space="preserve"> capacity:</w:t>
      </w:r>
      <w:r>
        <w:br/>
      </w:r>
      <w:r>
        <w:rPr>
          <w:rStyle w:val="NormalTok"/>
        </w:rPr>
        <w:t xml:space="preserve">                cache.popitem(last</w:t>
      </w:r>
      <w:r>
        <w:rPr>
          <w:rStyle w:val="OperatorTok"/>
        </w:rPr>
        <w:t xml:space="preserve">=</w:t>
      </w:r>
      <w:r>
        <w:rPr>
          <w:rStyle w:val="VariableTok"/>
        </w:rPr>
        <w:t xml:space="preserve">False</w:t>
      </w:r>
      <w:r>
        <w:rPr>
          <w:rStyle w:val="NormalTok"/>
        </w:rPr>
        <w:t xml:space="preserve">)          </w:t>
      </w:r>
      <w:r>
        <w:rPr>
          <w:rStyle w:val="CommentTok"/>
        </w:rPr>
        <w:t xml:space="preserve"># evict least recently used</w:t>
      </w:r>
      <w:r>
        <w:br/>
      </w:r>
      <w:r>
        <w:rPr>
          <w:rStyle w:val="NormalTok"/>
        </w:rPr>
        <w:t xml:space="preserve">    </w:t>
      </w:r>
      <w:r>
        <w:rPr>
          <w:rStyle w:val="ControlFlowTok"/>
        </w:rPr>
        <w:t xml:space="preserve">return</w:t>
      </w:r>
      <w:r>
        <w:rPr>
          <w:rStyle w:val="NormalTok"/>
        </w:rPr>
        <w:t xml:space="preserve"> hits </w:t>
      </w:r>
      <w:r>
        <w:rPr>
          <w:rStyle w:val="OperatorTok"/>
        </w:rPr>
        <w:t xml:space="preserve">/</w:t>
      </w:r>
      <w:r>
        <w:rPr>
          <w:rStyle w:val="NormalTok"/>
        </w:rPr>
        <w:t xml:space="preserve"> (</w:t>
      </w:r>
      <w:r>
        <w:rPr>
          <w:rStyle w:val="BuiltInTok"/>
        </w:rPr>
        <w:t xml:space="preserve">len</w:t>
      </w:r>
      <w:r>
        <w:rPr>
          <w:rStyle w:val="NormalTok"/>
        </w:rPr>
        <w:t xml:space="preserve">(trace) </w:t>
      </w:r>
      <w:r>
        <w:rPr>
          <w:rStyle w:val="OperatorTok"/>
        </w:rPr>
        <w:t xml:space="preserve">-</w:t>
      </w:r>
      <w:r>
        <w:rPr>
          <w:rStyle w:val="NormalTok"/>
        </w:rPr>
        <w:t xml:space="preserve"> warmup)</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N, LENGTH, WARMUP </w:t>
      </w:r>
      <w:r>
        <w:rPr>
          <w:rStyle w:val="OperatorTok"/>
        </w:rPr>
        <w:t xml:space="preserve">=</w:t>
      </w:r>
      <w:r>
        <w:rPr>
          <w:rStyle w:val="NormalTok"/>
        </w:rPr>
        <w:t xml:space="preserve"> </w:t>
      </w:r>
      <w:r>
        <w:rPr>
          <w:rStyle w:val="DecValTok"/>
        </w:rPr>
        <w:t xml:space="preserve">100_000</w:t>
      </w:r>
      <w:r>
        <w:rPr>
          <w:rStyle w:val="NormalTok"/>
        </w:rPr>
        <w:t xml:space="preserve">, </w:t>
      </w:r>
      <w:r>
        <w:rPr>
          <w:rStyle w:val="DecValTok"/>
        </w:rPr>
        <w:t xml:space="preserve">1_000_000</w:t>
      </w:r>
      <w:r>
        <w:rPr>
          <w:rStyle w:val="NormalTok"/>
        </w:rPr>
        <w:t xml:space="preserve">, </w:t>
      </w:r>
      <w:r>
        <w:rPr>
          <w:rStyle w:val="DecValTok"/>
        </w:rPr>
        <w:t xml:space="preserve">200_000</w:t>
      </w:r>
      <w:r>
        <w:br/>
      </w:r>
      <w:r>
        <w:rPr>
          <w:rStyle w:val="NormalTok"/>
        </w:rPr>
        <w:t xml:space="preserve">    sizes </w:t>
      </w:r>
      <w:r>
        <w:rPr>
          <w:rStyle w:val="OperatorTok"/>
        </w:rPr>
        <w:t xml:space="preserve">=</w:t>
      </w:r>
      <w:r>
        <w:rPr>
          <w:rStyle w:val="NormalTok"/>
        </w:rPr>
        <w:t xml:space="preserve"> [</w:t>
      </w:r>
      <w:r>
        <w:rPr>
          <w:rStyle w:val="DecValTok"/>
        </w:rPr>
        <w:t xml:space="preserve">100</w:t>
      </w:r>
      <w:r>
        <w:rPr>
          <w:rStyle w:val="NormalTok"/>
        </w:rPr>
        <w:t xml:space="preserve">, </w:t>
      </w:r>
      <w:r>
        <w:rPr>
          <w:rStyle w:val="DecValTok"/>
        </w:rPr>
        <w:t xml:space="preserve">1_000</w:t>
      </w:r>
      <w:r>
        <w:rPr>
          <w:rStyle w:val="NormalTok"/>
        </w:rPr>
        <w:t xml:space="preserve">, </w:t>
      </w:r>
      <w:r>
        <w:rPr>
          <w:rStyle w:val="DecValTok"/>
        </w:rPr>
        <w:t xml:space="preserve">10_000</w:t>
      </w:r>
      <w:r>
        <w:rPr>
          <w:rStyle w:val="NormalTok"/>
        </w:rPr>
        <w:t xml:space="preserve">]                    </w:t>
      </w:r>
      <w:r>
        <w:rPr>
          <w:rStyle w:val="CommentTok"/>
        </w:rPr>
        <w:t xml:space="preserve"># 0.1%, 1%, 10% of the keys</w:t>
      </w:r>
      <w:r>
        <w:br/>
      </w:r>
      <w:r>
        <w:rPr>
          <w:rStyle w:val="NormalTok"/>
        </w:rPr>
        <w:t xml:space="preserve">    </w:t>
      </w:r>
      <w:r>
        <w:rPr>
          <w:rStyle w:val="BuiltInTok"/>
        </w:rPr>
        <w:t xml:space="preserve">print</w:t>
      </w:r>
      <w:r>
        <w:rPr>
          <w:rStyle w:val="NormalTok"/>
        </w:rPr>
        <w:t xml:space="preserve">(</w:t>
      </w:r>
      <w:r>
        <w:rPr>
          <w:rStyle w:val="SpecialStringTok"/>
        </w:rPr>
        <w:t xml:space="preserve">f"N = </w:t>
      </w:r>
      <w:r>
        <w:rPr>
          <w:rStyle w:val="SpecialCharTok"/>
        </w:rPr>
        <w:t xml:space="preserve">{</w:t>
      </w:r>
      <w:r>
        <w:rPr>
          <w:rStyle w:val="NormalTok"/>
        </w:rPr>
        <w:t xml:space="preserve">N</w:t>
      </w:r>
      <w:r>
        <w:rPr>
          <w:rStyle w:val="SpecialCharTok"/>
        </w:rPr>
        <w:t xml:space="preserve">:,}</w:t>
      </w:r>
      <w:r>
        <w:rPr>
          <w:rStyle w:val="SpecialStringTok"/>
        </w:rPr>
        <w:t xml:space="preserve"> keys, </w:t>
      </w:r>
      <w:r>
        <w:rPr>
          <w:rStyle w:val="SpecialCharTok"/>
        </w:rPr>
        <w:t xml:space="preserve">{</w:t>
      </w:r>
      <w:r>
        <w:rPr>
          <w:rStyle w:val="NormalTok"/>
        </w:rPr>
        <w:t xml:space="preserve">LENGTH</w:t>
      </w:r>
      <w:r>
        <w:rPr>
          <w:rStyle w:val="SpecialCharTok"/>
        </w:rPr>
        <w:t xml:space="preserve">:,}</w:t>
      </w:r>
      <w:r>
        <w:rPr>
          <w:rStyle w:val="SpecialStringTok"/>
        </w:rPr>
        <w:t xml:space="preserve"> requests; hit ratio by cache size"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s   policy        "</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.join(</w:t>
      </w:r>
      <w:r>
        <w:rPr>
          <w:rStyle w:val="SpecialStringTok"/>
        </w:rPr>
        <w:t xml:space="preserve">f"</w:t>
      </w:r>
      <w:r>
        <w:rPr>
          <w:rStyle w:val="SpecialCharTok"/>
        </w:rPr>
        <w:t xml:space="preserve">{</w:t>
      </w:r>
      <w:r>
        <w:rPr>
          <w:rStyle w:val="NormalTok"/>
        </w:rPr>
        <w:t xml:space="preserve">c </w:t>
      </w:r>
      <w:r>
        <w:rPr>
          <w:rStyle w:val="OperatorTok"/>
        </w:rPr>
        <w:t xml:space="preserve">/</w:t>
      </w:r>
      <w:r>
        <w:rPr>
          <w:rStyle w:val="NormalTok"/>
        </w:rPr>
        <w:t xml:space="preserve"> N</w:t>
      </w:r>
      <w:r>
        <w:rPr>
          <w:rStyle w:val="SpecialCharTok"/>
        </w:rPr>
        <w:t xml:space="preserve">:&gt;9.1%}</w:t>
      </w:r>
      <w:r>
        <w:rPr>
          <w:rStyle w:val="SpecialStringTok"/>
        </w:rPr>
        <w:t xml:space="preserve">"</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sizes))</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FloatTok"/>
        </w:rPr>
        <w:t xml:space="preserve">0.7</w:t>
      </w:r>
      <w:r>
        <w:rPr>
          <w:rStyle w:val="NormalTok"/>
        </w:rPr>
        <w:t xml:space="preserve">, </w:t>
      </w:r>
      <w:r>
        <w:rPr>
          <w:rStyle w:val="FloatTok"/>
        </w:rPr>
        <w:t xml:space="preserve">0.9</w:t>
      </w:r>
      <w:r>
        <w:rPr>
          <w:rStyle w:val="NormalTok"/>
        </w:rPr>
        <w:t xml:space="preserve">, </w:t>
      </w:r>
      <w:r>
        <w:rPr>
          <w:rStyle w:val="FloatTok"/>
        </w:rPr>
        <w:t xml:space="preserve">1.0</w:t>
      </w:r>
      <w:r>
        <w:rPr>
          <w:rStyle w:val="NormalTok"/>
        </w:rPr>
        <w:t xml:space="preserve">):</w:t>
      </w:r>
      <w:r>
        <w:br/>
      </w:r>
      <w:r>
        <w:rPr>
          <w:rStyle w:val="NormalTok"/>
        </w:rPr>
        <w:t xml:space="preserve">        w </w:t>
      </w:r>
      <w:r>
        <w:rPr>
          <w:rStyle w:val="OperatorTok"/>
        </w:rPr>
        <w:t xml:space="preserve">=</w:t>
      </w:r>
      <w:r>
        <w:rPr>
          <w:rStyle w:val="NormalTok"/>
        </w:rPr>
        <w:t xml:space="preserve"> zipf_weights(N, s)</w:t>
      </w:r>
      <w:r>
        <w:br/>
      </w:r>
      <w:r>
        <w:rPr>
          <w:rStyle w:val="NormalTok"/>
        </w:rPr>
        <w:t xml:space="preserve">        trace </w:t>
      </w:r>
      <w:r>
        <w:rPr>
          <w:rStyle w:val="OperatorTok"/>
        </w:rPr>
        <w:t xml:space="preserve">=</w:t>
      </w:r>
      <w:r>
        <w:rPr>
          <w:rStyle w:val="NormalTok"/>
        </w:rPr>
        <w:t xml:space="preserve"> zipf_trace(w, LENGTH)</w:t>
      </w:r>
      <w:r>
        <w:br/>
      </w:r>
      <w:r>
        <w:rPr>
          <w:rStyle w:val="NormalTok"/>
        </w:rPr>
        <w:t xml:space="preserve">        ideal </w:t>
      </w:r>
      <w:r>
        <w:rPr>
          <w:rStyle w:val="OperatorTok"/>
        </w:rPr>
        <w:t xml:space="preserve">=</w:t>
      </w:r>
      <w:r>
        <w:rPr>
          <w:rStyle w:val="NormalTok"/>
        </w:rPr>
        <w:t xml:space="preserve"> [ideal_hit_ratio(w, c) </w:t>
      </w:r>
      <w:r>
        <w:rPr>
          <w:rStyle w:val="ControlFlowTok"/>
        </w:rPr>
        <w:t xml:space="preserve">for</w:t>
      </w:r>
      <w:r>
        <w:rPr>
          <w:rStyle w:val="NormalTok"/>
        </w:rPr>
        <w:t xml:space="preserve"> c </w:t>
      </w:r>
      <w:r>
        <w:rPr>
          <w:rStyle w:val="KeywordTok"/>
        </w:rPr>
        <w:t xml:space="preserve">in</w:t>
      </w:r>
      <w:r>
        <w:rPr>
          <w:rStyle w:val="NormalTok"/>
        </w:rPr>
        <w:t xml:space="preserve"> sizes]</w:t>
      </w:r>
      <w:r>
        <w:br/>
      </w:r>
      <w:r>
        <w:rPr>
          <w:rStyle w:val="NormalTok"/>
        </w:rPr>
        <w:t xml:space="preserve">        lru </w:t>
      </w:r>
      <w:r>
        <w:rPr>
          <w:rStyle w:val="OperatorTok"/>
        </w:rPr>
        <w:t xml:space="preserve">=</w:t>
      </w:r>
      <w:r>
        <w:rPr>
          <w:rStyle w:val="NormalTok"/>
        </w:rPr>
        <w:t xml:space="preserve"> [lru_hit_ratio(trace, c, WARMUP) </w:t>
      </w:r>
      <w:r>
        <w:rPr>
          <w:rStyle w:val="ControlFlowTok"/>
        </w:rPr>
        <w:t xml:space="preserve">for</w:t>
      </w:r>
      <w:r>
        <w:rPr>
          <w:rStyle w:val="NormalTok"/>
        </w:rPr>
        <w:t xml:space="preserve"> c </w:t>
      </w:r>
      <w:r>
        <w:rPr>
          <w:rStyle w:val="KeywordTok"/>
        </w:rPr>
        <w:t xml:space="preserve">in</w:t>
      </w:r>
      <w:r>
        <w:rPr>
          <w:rStyle w:val="NormalTok"/>
        </w:rPr>
        <w:t xml:space="preserve"> sizes]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s</w:t>
      </w:r>
      <w:r>
        <w:rPr>
          <w:rStyle w:val="SpecialCharTok"/>
        </w:rPr>
        <w:t xml:space="preserve">:&gt;4}</w:t>
      </w:r>
      <w:r>
        <w:rPr>
          <w:rStyle w:val="SpecialStringTok"/>
        </w:rPr>
        <w:t xml:space="preserve">   ideal top-C   "</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.join(</w:t>
      </w:r>
      <w:r>
        <w:rPr>
          <w:rStyle w:val="SpecialStringTok"/>
        </w:rPr>
        <w:t xml:space="preserve">f"</w:t>
      </w:r>
      <w:r>
        <w:rPr>
          <w:rStyle w:val="SpecialCharTok"/>
        </w:rPr>
        <w:t xml:space="preserve">{</w:t>
      </w:r>
      <w:r>
        <w:rPr>
          <w:rStyle w:val="NormalTok"/>
        </w:rPr>
        <w:t xml:space="preserve">h</w:t>
      </w:r>
      <w:r>
        <w:rPr>
          <w:rStyle w:val="SpecialCharTok"/>
        </w:rPr>
        <w:t xml:space="preserve">:&gt;9.1%}</w:t>
      </w:r>
      <w:r>
        <w:rPr>
          <w:rStyle w:val="SpecialStringTok"/>
        </w:rPr>
        <w:t xml:space="preserve">"</w:t>
      </w:r>
      <w:r>
        <w:rPr>
          <w:rStyle w:val="NormalTok"/>
        </w:rPr>
        <w:t xml:space="preserve"> </w:t>
      </w:r>
      <w:r>
        <w:rPr>
          <w:rStyle w:val="ControlFlowTok"/>
        </w:rPr>
        <w:t xml:space="preserve">for</w:t>
      </w:r>
      <w:r>
        <w:rPr>
          <w:rStyle w:val="NormalTok"/>
        </w:rPr>
        <w:t xml:space="preserve"> h </w:t>
      </w:r>
      <w:r>
        <w:rPr>
          <w:rStyle w:val="KeywordTok"/>
        </w:rPr>
        <w:t xml:space="preserve">in</w:t>
      </w:r>
      <w:r>
        <w:rPr>
          <w:rStyle w:val="NormalTok"/>
        </w:rPr>
        <w:t xml:space="preserve"> ideal))</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s</w:t>
      </w:r>
      <w:r>
        <w:rPr>
          <w:rStyle w:val="SpecialCharTok"/>
        </w:rPr>
        <w:t xml:space="preserve">:&gt;4}</w:t>
      </w:r>
      <w:r>
        <w:rPr>
          <w:rStyle w:val="SpecialStringTok"/>
        </w:rPr>
        <w:t xml:space="preserve">   LRU (sim)     "</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.join(</w:t>
      </w:r>
      <w:r>
        <w:rPr>
          <w:rStyle w:val="SpecialStringTok"/>
        </w:rPr>
        <w:t xml:space="preserve">f"</w:t>
      </w:r>
      <w:r>
        <w:rPr>
          <w:rStyle w:val="SpecialCharTok"/>
        </w:rPr>
        <w:t xml:space="preserve">{</w:t>
      </w:r>
      <w:r>
        <w:rPr>
          <w:rStyle w:val="NormalTok"/>
        </w:rPr>
        <w:t xml:space="preserve">h</w:t>
      </w:r>
      <w:r>
        <w:rPr>
          <w:rStyle w:val="SpecialCharTok"/>
        </w:rPr>
        <w:t xml:space="preserve">:&gt;9.1%}</w:t>
      </w:r>
      <w:r>
        <w:rPr>
          <w:rStyle w:val="SpecialStringTok"/>
        </w:rPr>
        <w:t xml:space="preserve">"</w:t>
      </w:r>
      <w:r>
        <w:rPr>
          <w:rStyle w:val="NormalTok"/>
        </w:rPr>
        <w:t xml:space="preserve"> </w:t>
      </w:r>
      <w:r>
        <w:rPr>
          <w:rStyle w:val="ControlFlowTok"/>
        </w:rPr>
        <w:t xml:space="preserve">for</w:t>
      </w:r>
      <w:r>
        <w:rPr>
          <w:rStyle w:val="NormalTok"/>
        </w:rPr>
        <w:t xml:space="preserve"> h </w:t>
      </w:r>
      <w:r>
        <w:rPr>
          <w:rStyle w:val="KeywordTok"/>
        </w:rPr>
        <w:t xml:space="preserve">in</w:t>
      </w:r>
      <w:r>
        <w:rPr>
          <w:rStyle w:val="NormalTok"/>
        </w:rPr>
        <w:t xml:space="preserve"> lru))</w:t>
      </w:r>
      <w:r>
        <w:br/>
      </w:r>
      <w:r>
        <w:rPr>
          <w:rStyle w:val="NormalTok"/>
        </w:rPr>
        <w:t xml:space="preserve">    w </w:t>
      </w:r>
      <w:r>
        <w:rPr>
          <w:rStyle w:val="OperatorTok"/>
        </w:rPr>
        <w:t xml:space="preserve">=</w:t>
      </w:r>
      <w:r>
        <w:rPr>
          <w:rStyle w:val="NormalTok"/>
        </w:rPr>
        <w:t xml:space="preserve"> zipf_weights(</w:t>
      </w:r>
      <w:r>
        <w:rPr>
          <w:rStyle w:val="DecValTok"/>
        </w:rPr>
        <w:t xml:space="preserve">1_000_000</w:t>
      </w:r>
      <w:r>
        <w:rPr>
          <w:rStyle w:val="NormalTok"/>
        </w:rPr>
        <w:t xml:space="preserve">, </w:t>
      </w:r>
      <w:r>
        <w:rPr>
          <w:rStyle w:val="FloatTok"/>
        </w:rPr>
        <w:t xml:space="preserve">1.0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f"worked example: N = 1e6, s = 1, C = 1e4 -&gt; ideal "</w:t>
      </w:r>
      <w:r>
        <w:br/>
      </w:r>
      <w:r>
        <w:rPr>
          <w:rStyle w:val="NormalTok"/>
        </w:rPr>
        <w:t xml:space="preserve">          </w:t>
      </w:r>
      <w:r>
        <w:rPr>
          <w:rStyle w:val="SpecialStringTok"/>
        </w:rPr>
        <w:t xml:space="preserve">f"</w:t>
      </w:r>
      <w:r>
        <w:rPr>
          <w:rStyle w:val="SpecialCharTok"/>
        </w:rPr>
        <w:t xml:space="preserve">{</w:t>
      </w:r>
      <w:r>
        <w:rPr>
          <w:rStyle w:val="NormalTok"/>
        </w:rPr>
        <w:t xml:space="preserve">ideal_hit_ratio(w, </w:t>
      </w:r>
      <w:r>
        <w:rPr>
          <w:rStyle w:val="DecValTok"/>
        </w:rPr>
        <w:t xml:space="preserve">10_000</w:t>
      </w:r>
      <w:r>
        <w:rPr>
          <w:rStyle w:val="NormalTok"/>
        </w:rPr>
        <w:t xml:space="preserve">)</w:t>
      </w:r>
      <w:r>
        <w:rPr>
          <w:rStyle w:val="SpecialCharTok"/>
        </w:rPr>
        <w:t xml:space="preserve">:.1%}</w:t>
      </w:r>
      <w:r>
        <w:rPr>
          <w:rStyle w:val="SpecialStringTok"/>
        </w:rPr>
        <w:t xml:space="preserve">"</w:t>
      </w:r>
      <w:r>
        <w:rPr>
          <w:rStyle w:val="NormalTok"/>
        </w:rPr>
        <w:t xml:space="preserve">)</w:t>
      </w:r>
    </w:p>
    <w:p>
      <w:pPr>
        <w:pStyle w:val="FirstParagraph"/>
      </w:pPr>
      <w:r>
        <w:t xml:space="preserve">Output (Python 3.13, about 4 s):</w:t>
      </w:r>
    </w:p>
    <w:p>
      <w:pPr>
        <w:pStyle w:val="SourceCode"/>
      </w:pPr>
      <w:r>
        <w:rPr>
          <w:rStyle w:val="VerbatimChar"/>
        </w:rPr>
        <w:t xml:space="preserve">N = 100,000 keys, 1,000,000 requests; hit ratio by cache size</w:t>
      </w:r>
      <w:r>
        <w:br/>
      </w:r>
      <w:r>
        <w:rPr>
          <w:rStyle w:val="VerbatimChar"/>
        </w:rPr>
        <w:t xml:space="preserve">   s   policy             0.1%     1.0%    10.0%</w:t>
      </w:r>
      <w:r>
        <w:br/>
      </w:r>
      <w:r>
        <w:rPr>
          <w:rStyle w:val="VerbatimChar"/>
        </w:rPr>
        <w:t xml:space="preserve"> 0.7   ideal top-C       10.2%    23.1%    48.8%</w:t>
      </w:r>
      <w:r>
        <w:br/>
      </w:r>
      <w:r>
        <w:rPr>
          <w:rStyle w:val="VerbatimChar"/>
        </w:rPr>
        <w:t xml:space="preserve"> 0.7   LRU (sim)          2.4%    10.9%    34.7%</w:t>
      </w:r>
      <w:r>
        <w:br/>
      </w:r>
      <w:r>
        <w:rPr>
          <w:rStyle w:val="VerbatimChar"/>
        </w:rPr>
        <w:t xml:space="preserve"> 0.9   ideal top-C       29.0%    47.4%    70.7%</w:t>
      </w:r>
      <w:r>
        <w:br/>
      </w:r>
      <w:r>
        <w:rPr>
          <w:rStyle w:val="VerbatimChar"/>
        </w:rPr>
        <w:t xml:space="preserve"> 0.9   LRU (sim)         15.6%    34.2%    60.5%</w:t>
      </w:r>
      <w:r>
        <w:br/>
      </w:r>
      <w:r>
        <w:rPr>
          <w:rStyle w:val="VerbatimChar"/>
        </w:rPr>
        <w:t xml:space="preserve"> 1.0   ideal top-C       42.9%    61.9%    81.0%</w:t>
      </w:r>
      <w:r>
        <w:br/>
      </w:r>
      <w:r>
        <w:rPr>
          <w:rStyle w:val="VerbatimChar"/>
        </w:rPr>
        <w:t xml:space="preserve"> 1.0   LRU (sim)         29.0%    50.6%    73.7%</w:t>
      </w:r>
      <w:r>
        <w:br/>
      </w:r>
      <w:r>
        <w:rPr>
          <w:rStyle w:val="VerbatimChar"/>
        </w:rPr>
        <w:t xml:space="preserve">worked example: N = 1e6, s = 1, C = 1e4 -&gt; ideal 68.0%</w:t>
      </w:r>
    </w:p>
    <w:p>
      <w:pPr>
        <w:pStyle w:val="FirstParagraph"/>
      </w:pPr>
      <w:r>
        <w:t xml:space="preserve">What to notice:</w:t>
      </w:r>
    </w:p>
    <w:p>
      <w:pPr>
        <w:numPr>
          <w:ilvl w:val="0"/>
          <w:numId w:val="1660"/>
        </w:numPr>
        <w:pStyle w:val="Compact"/>
      </w:pPr>
      <w:r>
        <w:t xml:space="preserve">Skew dominates: with 1% of keys cached, the ideal hit ratio is 23% at</w:t>
      </w:r>
      <w:r>
        <w:t xml:space="preserve"> </w:t>
      </w:r>
      <m:oMath>
        <m:r>
          <m:t>s</m:t>
        </m:r>
        <m:r>
          <m:rPr>
            <m:sty m:val="p"/>
          </m:rPr>
          <m:t>=</m:t>
        </m:r>
        <m:r>
          <m:t>0.7</m:t>
        </m:r>
      </m:oMath>
      <w:r>
        <w:t xml:space="preserve"> </w:t>
      </w:r>
      <w:r>
        <w:t xml:space="preserve">but 62% at</w:t>
      </w:r>
      <w:r>
        <w:t xml:space="preserve"> </w:t>
      </w:r>
      <m:oMath>
        <m:r>
          <m:t>s</m:t>
        </m:r>
        <m:r>
          <m:rPr>
            <m:sty m:val="p"/>
          </m:rPr>
          <m:t>=</m:t>
        </m:r>
        <m:r>
          <m:t>1.0</m:t>
        </m:r>
      </m:oMath>
      <w:r>
        <w:t xml:space="preserve">. Measure your skew before promising a hit ratio.</w:t>
      </w:r>
    </w:p>
    <w:p>
      <w:pPr>
        <w:numPr>
          <w:ilvl w:val="0"/>
          <w:numId w:val="1660"/>
        </w:numPr>
        <w:pStyle w:val="Compact"/>
      </w:pPr>
      <w:r>
        <w:t xml:space="preserve">Each tenfold increase in size adds a roughly constant number of points, the logarithmic growth Breslau et al. observed.</w:t>
      </w:r>
    </w:p>
    <w:p>
      <w:pPr>
        <w:numPr>
          <w:ilvl w:val="0"/>
          <w:numId w:val="1660"/>
        </w:numPr>
        <w:pStyle w:val="Compact"/>
      </w:pPr>
      <w:r>
        <w:t xml:space="preserve">LRU falls 8–13 points short of the ideal because it keeps whatever was used last, including one-off keys from the tail. §20.9 measures policies that close most of that gap.</w:t>
      </w:r>
    </w:p>
    <w:p>
      <w:pPr>
        <w:numPr>
          <w:ilvl w:val="0"/>
          <w:numId w:val="1660"/>
        </w:numPr>
        <w:pStyle w:val="Compact"/>
      </w:pPr>
      <w:r>
        <w:rPr>
          <w:rStyle w:val="VerbatimChar"/>
        </w:rPr>
        <w:t xml:space="preserve">warmup</w:t>
      </w:r>
      <w:r>
        <w:t xml:space="preserve"> </w:t>
      </w:r>
      <w:r>
        <w:t xml:space="preserve">excludes the first 200,000 requests, so the numbers describe a warm cache; a cold cache after a restart does much worse (§20.13).</w:t>
      </w:r>
    </w:p>
    <w:bookmarkEnd w:id="2257"/>
    <w:bookmarkEnd w:id="2258"/>
    <w:bookmarkEnd w:id="2259"/>
    <w:bookmarkStart w:id="2260" w:name="cpu-cache-versus-application-cache"/>
    <w:p>
      <w:pPr>
        <w:pStyle w:val="Heading2"/>
      </w:pPr>
      <w:r>
        <w:t xml:space="preserve">20.4 CPU cache versus application cache</w:t>
      </w:r>
    </w:p>
    <w:p>
      <w:pPr>
        <w:pStyle w:val="FirstParagraph"/>
      </w:pPr>
      <w:r>
        <w:t xml:space="preserve">The principles are the same at every level of the memory hierarchy: locality, a hit/miss formula, eviction and coherence. The engineering is very different, as Table 20.1 shows.</w:t>
      </w:r>
    </w:p>
    <w:p>
      <w:pPr>
        <w:pStyle w:val="BodyText"/>
      </w:pPr>
      <w:r>
        <w:rPr>
          <w:bCs/>
          <w:b/>
        </w:rPr>
        <w:t xml:space="preserve">Table 20.1 — CPU caches (Chapter 5) versus application caches (this chapter).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CPU cache (L1–L3)</w:t>
            </w:r>
          </w:p>
        </w:tc>
        <w:tc>
          <w:tcPr/>
          <w:p>
            <w:pPr>
              <w:pStyle w:val="Compact"/>
              <w:jc w:val="left"/>
            </w:pPr>
            <w:r>
              <w:t xml:space="preserve">Application cache (Redis, Memcached, in-process)</w:t>
            </w:r>
          </w:p>
        </w:tc>
      </w:tr>
      <w:tr>
        <w:tc>
          <w:tcPr/>
          <w:p>
            <w:pPr>
              <w:pStyle w:val="Compact"/>
              <w:jc w:val="left"/>
            </w:pPr>
            <w:r>
              <w:t xml:space="preserve">Unit</w:t>
            </w:r>
          </w:p>
        </w:tc>
        <w:tc>
          <w:tcPr/>
          <w:p>
            <w:pPr>
              <w:pStyle w:val="Compact"/>
              <w:jc w:val="left"/>
            </w:pPr>
            <w:r>
              <w:t xml:space="preserve">64-byte cache line</w:t>
            </w:r>
          </w:p>
        </w:tc>
        <w:tc>
          <w:tcPr/>
          <w:p>
            <w:pPr>
              <w:pStyle w:val="Compact"/>
              <w:jc w:val="left"/>
            </w:pPr>
            <w:r>
              <w:t xml:space="preserve">Whole object or query result, bytes to megabytes</w:t>
            </w:r>
          </w:p>
        </w:tc>
      </w:tr>
      <w:tr>
        <w:tc>
          <w:tcPr/>
          <w:p>
            <w:pPr>
              <w:pStyle w:val="Compact"/>
              <w:jc w:val="left"/>
            </w:pPr>
            <w:r>
              <w:t xml:space="preserve">Hit latency</w:t>
            </w:r>
          </w:p>
        </w:tc>
        <w:tc>
          <w:tcPr/>
          <w:p>
            <w:pPr>
              <w:pStyle w:val="Compact"/>
              <w:jc w:val="left"/>
            </w:pPr>
            <w:r>
              <w:t xml:space="preserve">~1–15 ns</w:t>
            </w:r>
          </w:p>
        </w:tc>
        <w:tc>
          <w:tcPr/>
          <w:p>
            <w:pPr>
              <w:pStyle w:val="Compact"/>
              <w:jc w:val="left"/>
            </w:pPr>
            <w:r>
              <w:t xml:space="preserve">~50 ns (in-process) to ~0.3 ms (remote)</w:t>
            </w:r>
          </w:p>
        </w:tc>
      </w:tr>
      <w:tr>
        <w:tc>
          <w:tcPr/>
          <w:p>
            <w:pPr>
              <w:pStyle w:val="Compact"/>
              <w:jc w:val="left"/>
            </w:pPr>
            <w:r>
              <w:t xml:space="preserve">Managed by</w:t>
            </w:r>
          </w:p>
        </w:tc>
        <w:tc>
          <w:tcPr/>
          <w:p>
            <w:pPr>
              <w:pStyle w:val="Compact"/>
              <w:jc w:val="left"/>
            </w:pPr>
            <w:r>
              <w:t xml:space="preserve">Hardware, transparently</w:t>
            </w:r>
          </w:p>
        </w:tc>
        <w:tc>
          <w:tcPr/>
          <w:p>
            <w:pPr>
              <w:pStyle w:val="Compact"/>
              <w:jc w:val="left"/>
            </w:pPr>
            <w:r>
              <w:t xml:space="preserve">Your code: keys, TTLs, fills and invalidation are explicit</w:t>
            </w:r>
          </w:p>
        </w:tc>
      </w:tr>
      <w:tr>
        <w:tc>
          <w:tcPr/>
          <w:p>
            <w:pPr>
              <w:pStyle w:val="Compact"/>
              <w:jc w:val="left"/>
            </w:pPr>
            <w:r>
              <w:t xml:space="preserve">Placement and eviction</w:t>
            </w:r>
          </w:p>
        </w:tc>
        <w:tc>
          <w:tcPr/>
          <w:p>
            <w:pPr>
              <w:pStyle w:val="Compact"/>
              <w:jc w:val="left"/>
            </w:pPr>
            <w:r>
              <w:t xml:space="preserve">Set-associative, pseudo-LRU (§5.4.4)</w:t>
            </w:r>
          </w:p>
        </w:tc>
        <w:tc>
          <w:tcPr/>
          <w:p>
            <w:pPr>
              <w:pStyle w:val="Compact"/>
              <w:jc w:val="left"/>
            </w:pPr>
            <w:r>
              <w:t xml:space="preserve">Hash table plus LRU, LFU, W-TinyLFU or approximations</w:t>
            </w:r>
          </w:p>
        </w:tc>
      </w:tr>
      <w:tr>
        <w:tc>
          <w:tcPr/>
          <w:p>
            <w:pPr>
              <w:pStyle w:val="Compact"/>
              <w:jc w:val="left"/>
            </w:pPr>
            <w:r>
              <w:t xml:space="preserve">Coherence</w:t>
            </w:r>
          </w:p>
        </w:tc>
        <w:tc>
          <w:tcPr/>
          <w:p>
            <w:pPr>
              <w:pStyle w:val="Compact"/>
              <w:jc w:val="left"/>
            </w:pPr>
            <w:r>
              <w:t xml:space="preserve">Hardware protocol (MESI, §5.4.6) keeps copies consistent</w:t>
            </w:r>
          </w:p>
        </w:tc>
        <w:tc>
          <w:tcPr/>
          <w:p>
            <w:pPr>
              <w:pStyle w:val="Compact"/>
              <w:jc w:val="left"/>
            </w:pPr>
            <w:r>
              <w:t xml:space="preserve">None by default: you invalidate, expire or accept staleness</w:t>
            </w:r>
          </w:p>
        </w:tc>
      </w:tr>
      <w:tr>
        <w:tc>
          <w:tcPr/>
          <w:p>
            <w:pPr>
              <w:pStyle w:val="Compact"/>
              <w:jc w:val="left"/>
            </w:pPr>
            <w:r>
              <w:t xml:space="preserve">Failure</w:t>
            </w:r>
          </w:p>
        </w:tc>
        <w:tc>
          <w:tcPr/>
          <w:p>
            <w:pPr>
              <w:pStyle w:val="Compact"/>
              <w:jc w:val="left"/>
            </w:pPr>
            <w:r>
              <w:t xml:space="preserve">Never</w:t>
            </w:r>
            <w:r>
              <w:t xml:space="preserve"> </w:t>
            </w:r>
            <w:r>
              <w:t xml:space="preserve">“</w:t>
            </w:r>
            <w:r>
              <w:t xml:space="preserve">down</w:t>
            </w:r>
            <w:r>
              <w:t xml:space="preserve">”</w:t>
            </w:r>
          </w:p>
        </w:tc>
        <w:tc>
          <w:tcPr/>
          <w:p>
            <w:pPr>
              <w:pStyle w:val="Compact"/>
              <w:jc w:val="left"/>
            </w:pPr>
            <w:r>
              <w:t xml:space="preserve">Can fail, restart empty or be partitioned from clients</w:t>
            </w:r>
          </w:p>
        </w:tc>
      </w:tr>
      <w:tr>
        <w:tc>
          <w:tcPr/>
          <w:p>
            <w:pPr>
              <w:pStyle w:val="Compact"/>
              <w:jc w:val="left"/>
            </w:pPr>
            <w:r>
              <w:t xml:space="preserve">What a miss costs</w:t>
            </w:r>
          </w:p>
        </w:tc>
        <w:tc>
          <w:tcPr/>
          <w:p>
            <w:pPr>
              <w:pStyle w:val="Compact"/>
              <w:jc w:val="left"/>
            </w:pPr>
            <w:r>
              <w:t xml:space="preserve">~100 ns DRAM access</w:t>
            </w:r>
          </w:p>
        </w:tc>
        <w:tc>
          <w:tcPr/>
          <w:p>
            <w:pPr>
              <w:pStyle w:val="Compact"/>
              <w:jc w:val="left"/>
            </w:pPr>
            <w:r>
              <w:t xml:space="preserve">2–50 ms database query, and load on a shared database</w:t>
            </w:r>
          </w:p>
        </w:tc>
      </w:tr>
    </w:tbl>
    <w:p>
      <w:pPr>
        <w:pStyle w:val="BodyText"/>
      </w:pPr>
      <w:r>
        <w:t xml:space="preserve">The most important row is coherence. A CPU guarantees that no core reads a stale line after another core’s write commits. An application cache gives you no such guarantee: you must design how copies are invalidated (§20.10), and you must decide how stale is acceptable for each piece of data. The second most important row is failure: a CPU cache never disappears, but a cache cluster can restart empty and expose the database to the full read load.</w:t>
      </w:r>
    </w:p>
    <w:bookmarkEnd w:id="2260"/>
    <w:bookmarkStart w:id="2269" w:name="where-to-cache"/>
    <w:p>
      <w:pPr>
        <w:pStyle w:val="Heading2"/>
      </w:pPr>
      <w:r>
        <w:t xml:space="preserve">20.5 Where to cache</w:t>
      </w:r>
    </w:p>
    <w:bookmarkStart w:id="2264" w:name="the-layers"/>
    <w:p>
      <w:pPr>
        <w:pStyle w:val="Heading3"/>
      </w:pPr>
      <w:r>
        <w:t xml:space="preserve">20.5.1 The layers</w:t>
      </w:r>
    </w:p>
    <w:p>
      <w:pPr>
        <w:pStyle w:val="FirstParagraph"/>
      </w:pPr>
      <w:r>
        <w:t xml:space="preserve">A request passes through several places where a copy can be kept. The closer to the client, the more latency and backend work a hit saves, but the less control you have over invalidation and the more copies there are to keep fresh.</w:t>
      </w:r>
    </w:p>
    <w:p>
      <w:pPr>
        <w:pStyle w:val="BodyText"/>
      </w:pPr>
      <w:r>
        <w:rPr>
          <w:bCs/>
          <w:b/>
        </w:rPr>
        <w:t xml:space="preserve">Figure 20.2 — Cache layers from the client to the database.</w:t>
      </w:r>
    </w:p>
    <w:p>
      <w:pPr>
        <w:pStyle w:val="BodyText"/>
      </w:pPr>
      <w:r>
        <w:drawing>
          <wp:inline>
            <wp:extent cx="5334000" cy="1043149"/>
            <wp:effectExtent b="0" l="0" r="0" t="0"/>
            <wp:docPr descr="" title="" id="2262" name="Picture"/>
            <a:graphic>
              <a:graphicData uri="http://schemas.openxmlformats.org/drawingml/2006/picture">
                <pic:pic>
                  <pic:nvPicPr>
                    <pic:cNvPr descr="/home/user/System-Design/build/.cache/diagrams/3cebc9fe787a.png" id="2263" name="Picture"/>
                    <pic:cNvPicPr>
                      <a:picLocks noChangeArrowheads="1" noChangeAspect="1"/>
                    </pic:cNvPicPr>
                  </pic:nvPicPr>
                  <pic:blipFill>
                    <a:blip r:embed="rId2261"/>
                    <a:stretch>
                      <a:fillRect/>
                    </a:stretch>
                  </pic:blipFill>
                  <pic:spPr bwMode="auto">
                    <a:xfrm>
                      <a:off x="0" y="0"/>
                      <a:ext cx="5334000" cy="1043149"/>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From left to right the copies get more authoritative and more expensive to reach. The browser’s HTTP cache can answer with no network at all; the CDN edge (an external system, Chapter 21) answers from a nearby point of presence; the gateway caches whole responses; the service’s in-process L1 cache answers in microseconds; the remote L2 cache answers in a fraction of a millisecond over the Redis or Memcached protocol; the database’s buffer pool and the operating system’s page cache avoid disk reads. All arrows are synchronous request paths; each layer forwards only its misses. Storage boundaries: client device, CDN, application memory, cache cluster, database. Failure points: a copy in a layer you do not control (browser, CDN) cannot be deleted instantly; each extra layer adds a place where data can be stale. Scaling: each layer absorbs a share of traffic so the next sees only misses.</w:t>
      </w:r>
    </w:p>
    <w:p>
      <w:pPr>
        <w:pStyle w:val="BodyText"/>
      </w:pPr>
      <w:r>
        <w:rPr>
          <w:bCs/>
          <w:b/>
        </w:rPr>
        <w:t xml:space="preserve">Table 20.2 — What each cache layer is good for.</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Layer</w:t>
            </w:r>
          </w:p>
        </w:tc>
        <w:tc>
          <w:tcPr/>
          <w:p>
            <w:pPr>
              <w:pStyle w:val="Compact"/>
              <w:jc w:val="left"/>
            </w:pPr>
            <w:r>
              <w:t xml:space="preserve">Typical hit latency</w:t>
            </w:r>
          </w:p>
        </w:tc>
        <w:tc>
          <w:tcPr/>
          <w:p>
            <w:pPr>
              <w:pStyle w:val="Compact"/>
              <w:jc w:val="left"/>
            </w:pPr>
            <w:r>
              <w:t xml:space="preserve">Stores</w:t>
            </w:r>
          </w:p>
        </w:tc>
        <w:tc>
          <w:tcPr/>
          <w:p>
            <w:pPr>
              <w:pStyle w:val="Compact"/>
              <w:jc w:val="left"/>
            </w:pPr>
            <w:r>
              <w:t xml:space="preserve">Invalidation</w:t>
            </w:r>
          </w:p>
        </w:tc>
        <w:tc>
          <w:tcPr/>
          <w:p>
            <w:pPr>
              <w:pStyle w:val="Compact"/>
              <w:jc w:val="left"/>
            </w:pPr>
            <w:r>
              <w:t xml:space="preserve">Best for</w:t>
            </w:r>
          </w:p>
        </w:tc>
      </w:tr>
      <w:tr>
        <w:tc>
          <w:tcPr/>
          <w:p>
            <w:pPr>
              <w:pStyle w:val="Compact"/>
              <w:jc w:val="left"/>
            </w:pPr>
            <w:r>
              <w:t xml:space="preserve">Client (browser, mobile)</w:t>
            </w:r>
          </w:p>
        </w:tc>
        <w:tc>
          <w:tcPr/>
          <w:p>
            <w:pPr>
              <w:pStyle w:val="Compact"/>
              <w:jc w:val="left"/>
            </w:pPr>
            <w:r>
              <w:t xml:space="preserve">0 (no network)</w:t>
            </w:r>
          </w:p>
        </w:tc>
        <w:tc>
          <w:tcPr/>
          <w:p>
            <w:pPr>
              <w:pStyle w:val="Compact"/>
              <w:jc w:val="left"/>
            </w:pPr>
            <w:r>
              <w:t xml:space="preserve">HTTP responses, app state</w:t>
            </w:r>
          </w:p>
        </w:tc>
        <w:tc>
          <w:tcPr/>
          <w:p>
            <w:pPr>
              <w:pStyle w:val="Compact"/>
              <w:jc w:val="left"/>
            </w:pPr>
            <w:r>
              <w:t xml:space="preserve">Only by TTL or validation (</w:t>
            </w:r>
            <w:r>
              <w:rPr>
                <w:rStyle w:val="VerbatimChar"/>
              </w:rPr>
              <w:t xml:space="preserve">ETag</w:t>
            </w:r>
            <w:r>
              <w:t xml:space="preserve">)</w:t>
            </w:r>
          </w:p>
        </w:tc>
        <w:tc>
          <w:tcPr/>
          <w:p>
            <w:pPr>
              <w:pStyle w:val="Compact"/>
              <w:jc w:val="left"/>
            </w:pPr>
            <w:r>
              <w:t xml:space="preserve">Static assets, per-user data that may be slightly old</w:t>
            </w:r>
          </w:p>
        </w:tc>
      </w:tr>
      <w:tr>
        <w:tc>
          <w:tcPr/>
          <w:p>
            <w:pPr>
              <w:pStyle w:val="Compact"/>
              <w:jc w:val="left"/>
            </w:pPr>
            <w:r>
              <w:t xml:space="preserve">CDN edge</w:t>
            </w:r>
          </w:p>
        </w:tc>
        <w:tc>
          <w:tcPr/>
          <w:p>
            <w:pPr>
              <w:pStyle w:val="Compact"/>
              <w:jc w:val="left"/>
            </w:pPr>
            <w:r>
              <w:t xml:space="preserve">5–30 ms from the user</w:t>
            </w:r>
          </w:p>
        </w:tc>
        <w:tc>
          <w:tcPr/>
          <w:p>
            <w:pPr>
              <w:pStyle w:val="Compact"/>
              <w:jc w:val="left"/>
            </w:pPr>
            <w:r>
              <w:t xml:space="preserve">Public HTTP responses</w:t>
            </w:r>
          </w:p>
        </w:tc>
        <w:tc>
          <w:tcPr/>
          <w:p>
            <w:pPr>
              <w:pStyle w:val="Compact"/>
              <w:jc w:val="left"/>
            </w:pPr>
            <w:r>
              <w:t xml:space="preserve">TTL, purge API (seconds, §21.6)</w:t>
            </w:r>
          </w:p>
        </w:tc>
        <w:tc>
          <w:tcPr/>
          <w:p>
            <w:pPr>
              <w:pStyle w:val="Compact"/>
              <w:jc w:val="left"/>
            </w:pPr>
            <w:r>
              <w:t xml:space="preserve">Images, video, scripts, public pages</w:t>
            </w:r>
          </w:p>
        </w:tc>
      </w:tr>
      <w:tr>
        <w:tc>
          <w:tcPr/>
          <w:p>
            <w:pPr>
              <w:pStyle w:val="Compact"/>
              <w:jc w:val="left"/>
            </w:pPr>
            <w:r>
              <w:t xml:space="preserve">API gateway</w:t>
            </w:r>
          </w:p>
        </w:tc>
        <w:tc>
          <w:tcPr/>
          <w:p>
            <w:pPr>
              <w:pStyle w:val="Compact"/>
              <w:jc w:val="left"/>
            </w:pPr>
            <w:r>
              <w:t xml:space="preserve">Sub-ms after reaching it</w:t>
            </w:r>
          </w:p>
        </w:tc>
        <w:tc>
          <w:tcPr/>
          <w:p>
            <w:pPr>
              <w:pStyle w:val="Compact"/>
              <w:jc w:val="left"/>
            </w:pPr>
            <w:r>
              <w:t xml:space="preserve">Whole API responses</w:t>
            </w:r>
          </w:p>
        </w:tc>
        <w:tc>
          <w:tcPr/>
          <w:p>
            <w:pPr>
              <w:pStyle w:val="Compact"/>
              <w:jc w:val="left"/>
            </w:pPr>
            <w:r>
              <w:t xml:space="preserve">TTL, explicit purge</w:t>
            </w:r>
          </w:p>
        </w:tc>
        <w:tc>
          <w:tcPr/>
          <w:p>
            <w:pPr>
              <w:pStyle w:val="Compact"/>
              <w:jc w:val="left"/>
            </w:pPr>
            <w:r>
              <w:t xml:space="preserve">Expensive public</w:t>
            </w:r>
            <w:r>
              <w:t xml:space="preserve"> </w:t>
            </w:r>
            <w:r>
              <w:rPr>
                <w:rStyle w:val="VerbatimChar"/>
              </w:rPr>
              <w:t xml:space="preserve">GET</w:t>
            </w:r>
            <w:r>
              <w:t xml:space="preserve">s</w:t>
            </w:r>
          </w:p>
        </w:tc>
      </w:tr>
      <w:tr>
        <w:tc>
          <w:tcPr/>
          <w:p>
            <w:pPr>
              <w:pStyle w:val="Compact"/>
              <w:jc w:val="left"/>
            </w:pPr>
            <w:r>
              <w:t xml:space="preserve">In-process (L1)</w:t>
            </w:r>
          </w:p>
        </w:tc>
        <w:tc>
          <w:tcPr/>
          <w:p>
            <w:pPr>
              <w:pStyle w:val="Compact"/>
              <w:jc w:val="left"/>
            </w:pPr>
            <w:r>
              <w:t xml:space="preserve">50 ns–1 µs</w:t>
            </w:r>
          </w:p>
        </w:tc>
        <w:tc>
          <w:tcPr/>
          <w:p>
            <w:pPr>
              <w:pStyle w:val="Compact"/>
              <w:jc w:val="left"/>
            </w:pPr>
            <w:r>
              <w:t xml:space="preserve">Objects in the heap</w:t>
            </w:r>
          </w:p>
        </w:tc>
        <w:tc>
          <w:tcPr/>
          <w:p>
            <w:pPr>
              <w:pStyle w:val="Compact"/>
              <w:jc w:val="left"/>
            </w:pPr>
            <w:r>
              <w:t xml:space="preserve">TTL; broadcast or none</w:t>
            </w:r>
          </w:p>
        </w:tc>
        <w:tc>
          <w:tcPr/>
          <w:p>
            <w:pPr>
              <w:pStyle w:val="Compact"/>
              <w:jc w:val="left"/>
            </w:pPr>
            <w:r>
              <w:t xml:space="preserve">Very hot, small, read-mostly data</w:t>
            </w:r>
          </w:p>
        </w:tc>
      </w:tr>
      <w:tr>
        <w:tc>
          <w:tcPr/>
          <w:p>
            <w:pPr>
              <w:pStyle w:val="Compact"/>
              <w:jc w:val="left"/>
            </w:pPr>
            <w:r>
              <w:t xml:space="preserve">Remote (L2)</w:t>
            </w:r>
          </w:p>
        </w:tc>
        <w:tc>
          <w:tcPr/>
          <w:p>
            <w:pPr>
              <w:pStyle w:val="Compact"/>
              <w:jc w:val="left"/>
            </w:pPr>
            <w:r>
              <w:t xml:space="preserve">0.2–0.5 ms in-datacenter</w:t>
            </w:r>
          </w:p>
        </w:tc>
        <w:tc>
          <w:tcPr/>
          <w:p>
            <w:pPr>
              <w:pStyle w:val="Compact"/>
              <w:jc w:val="left"/>
            </w:pPr>
            <w:r>
              <w:t xml:space="preserve">Serialized objects, counters, sessions</w:t>
            </w:r>
          </w:p>
        </w:tc>
        <w:tc>
          <w:tcPr/>
          <w:p>
            <w:pPr>
              <w:pStyle w:val="Compact"/>
              <w:jc w:val="left"/>
            </w:pPr>
            <w:r>
              <w:t xml:space="preserve">Delete on write, TTL, CDC</w:t>
            </w:r>
          </w:p>
        </w:tc>
        <w:tc>
          <w:tcPr/>
          <w:p>
            <w:pPr>
              <w:pStyle w:val="Compact"/>
              <w:jc w:val="left"/>
            </w:pPr>
            <w:r>
              <w:t xml:space="preserve">Shared hot data across many service instances</w:t>
            </w:r>
          </w:p>
        </w:tc>
      </w:tr>
      <w:tr>
        <w:tc>
          <w:tcPr/>
          <w:p>
            <w:pPr>
              <w:pStyle w:val="Compact"/>
              <w:jc w:val="left"/>
            </w:pPr>
            <w:r>
              <w:t xml:space="preserve">Database</w:t>
            </w:r>
          </w:p>
        </w:tc>
        <w:tc>
          <w:tcPr/>
          <w:p>
            <w:pPr>
              <w:pStyle w:val="Compact"/>
              <w:jc w:val="left"/>
            </w:pPr>
            <w:r>
              <w:t xml:space="preserve">Inside the query</w:t>
            </w:r>
          </w:p>
        </w:tc>
        <w:tc>
          <w:tcPr/>
          <w:p>
            <w:pPr>
              <w:pStyle w:val="Compact"/>
              <w:jc w:val="left"/>
            </w:pPr>
            <w:r>
              <w:t xml:space="preserve">Pages, query plans</w:t>
            </w:r>
          </w:p>
        </w:tc>
        <w:tc>
          <w:tcPr/>
          <w:p>
            <w:pPr>
              <w:pStyle w:val="Compact"/>
              <w:jc w:val="left"/>
            </w:pPr>
            <w:r>
              <w:t xml:space="preserve">Automatic, coherent</w:t>
            </w:r>
          </w:p>
        </w:tc>
        <w:tc>
          <w:tcPr/>
          <w:p>
            <w:pPr>
              <w:pStyle w:val="Compact"/>
              <w:jc w:val="left"/>
            </w:pPr>
            <w:r>
              <w:t xml:space="preserve">Everything; you tune its size (§13.4.3)</w:t>
            </w:r>
          </w:p>
        </w:tc>
      </w:tr>
    </w:tbl>
    <w:bookmarkEnd w:id="2264"/>
    <w:bookmarkStart w:id="2265" w:name="client-and-http-caching"/>
    <w:p>
      <w:pPr>
        <w:pStyle w:val="Heading3"/>
      </w:pPr>
      <w:r>
        <w:t xml:space="preserve">20.5.2 Client and HTTP caching</w:t>
      </w:r>
    </w:p>
    <w:p>
      <w:pPr>
        <w:pStyle w:val="FirstParagraph"/>
      </w:pPr>
      <w:r>
        <w:t xml:space="preserve">HTTP caching is standardized in RFC 9111 [RFC 9111]; §21.6.1 treats it in depth for CDNs. The origin controls client and intermediary caches with headers:</w:t>
      </w:r>
    </w:p>
    <w:p>
      <w:pPr>
        <w:numPr>
          <w:ilvl w:val="0"/>
          <w:numId w:val="1661"/>
        </w:numPr>
        <w:pStyle w:val="Compact"/>
      </w:pPr>
      <w:r>
        <w:rPr>
          <w:rStyle w:val="VerbatimChar"/>
        </w:rPr>
        <w:t xml:space="preserve">Cache-Control: max-age=600</w:t>
      </w:r>
      <w:r>
        <w:t xml:space="preserve"> </w:t>
      </w:r>
      <w:r>
        <w:t xml:space="preserve">permits reuse for 600 s;</w:t>
      </w:r>
      <w:r>
        <w:t xml:space="preserve"> </w:t>
      </w:r>
      <w:r>
        <w:rPr>
          <w:rStyle w:val="VerbatimChar"/>
        </w:rPr>
        <w:t xml:space="preserve">s-maxage</w:t>
      </w:r>
      <w:r>
        <w:t xml:space="preserve"> </w:t>
      </w:r>
      <w:r>
        <w:t xml:space="preserve">sets the lifetime for shared caches;</w:t>
      </w:r>
      <w:r>
        <w:t xml:space="preserve"> </w:t>
      </w:r>
      <w:r>
        <w:rPr>
          <w:rStyle w:val="VerbatimChar"/>
        </w:rPr>
        <w:t xml:space="preserve">private</w:t>
      </w:r>
      <w:r>
        <w:t xml:space="preserve"> </w:t>
      </w:r>
      <w:r>
        <w:t xml:space="preserve">keeps per-user responses out of shared caches;</w:t>
      </w:r>
      <w:r>
        <w:t xml:space="preserve"> </w:t>
      </w:r>
      <w:r>
        <w:rPr>
          <w:rStyle w:val="VerbatimChar"/>
        </w:rPr>
        <w:t xml:space="preserve">no-store</w:t>
      </w:r>
      <w:r>
        <w:t xml:space="preserve"> </w:t>
      </w:r>
      <w:r>
        <w:t xml:space="preserve">forbids storage.</w:t>
      </w:r>
    </w:p>
    <w:p>
      <w:pPr>
        <w:numPr>
          <w:ilvl w:val="0"/>
          <w:numId w:val="1661"/>
        </w:numPr>
        <w:pStyle w:val="Compact"/>
      </w:pPr>
      <w:r>
        <w:rPr>
          <w:bCs/>
          <w:b/>
        </w:rPr>
        <w:t xml:space="preserve">Validators</w:t>
      </w:r>
      <w:r>
        <w:t xml:space="preserve"> </w:t>
      </w:r>
      <w:r>
        <w:t xml:space="preserve">(</w:t>
      </w:r>
      <w:r>
        <w:rPr>
          <w:rStyle w:val="VerbatimChar"/>
        </w:rPr>
        <w:t xml:space="preserve">ETag</w:t>
      </w:r>
      <w:r>
        <w:t xml:space="preserve">,</w:t>
      </w:r>
      <w:r>
        <w:t xml:space="preserve"> </w:t>
      </w:r>
      <w:r>
        <w:rPr>
          <w:rStyle w:val="VerbatimChar"/>
        </w:rPr>
        <w:t xml:space="preserve">Last-Modified</w:t>
      </w:r>
      <w:r>
        <w:t xml:space="preserve">): a stale copy is revalidated with</w:t>
      </w:r>
      <w:r>
        <w:t xml:space="preserve"> </w:t>
      </w:r>
      <w:r>
        <w:rPr>
          <w:rStyle w:val="VerbatimChar"/>
        </w:rPr>
        <w:t xml:space="preserve">If-None-Match</w:t>
      </w:r>
      <w:r>
        <w:t xml:space="preserve">, and</w:t>
      </w:r>
      <w:r>
        <w:t xml:space="preserve"> </w:t>
      </w:r>
      <w:r>
        <w:rPr>
          <w:rStyle w:val="VerbatimChar"/>
        </w:rPr>
        <w:t xml:space="preserve">304 Not Modified</w:t>
      </w:r>
      <w:r>
        <w:t xml:space="preserve"> </w:t>
      </w:r>
      <w:r>
        <w:t xml:space="preserve">saves the body but not the round trip.</w:t>
      </w:r>
    </w:p>
    <w:p>
      <w:pPr>
        <w:numPr>
          <w:ilvl w:val="0"/>
          <w:numId w:val="1661"/>
        </w:numPr>
        <w:pStyle w:val="Compact"/>
      </w:pPr>
      <w:r>
        <w:rPr>
          <w:rStyle w:val="VerbatimChar"/>
        </w:rPr>
        <w:t xml:space="preserve">stale-while-revalidate</w:t>
      </w:r>
      <w:r>
        <w:t xml:space="preserve"> </w:t>
      </w:r>
      <w:r>
        <w:t xml:space="preserve">serves a stale copy while refreshing in the background;</w:t>
      </w:r>
      <w:r>
        <w:t xml:space="preserve"> </w:t>
      </w:r>
      <w:r>
        <w:rPr>
          <w:rStyle w:val="VerbatimChar"/>
        </w:rPr>
        <w:t xml:space="preserve">stale-if-error</w:t>
      </w:r>
      <w:r>
        <w:t xml:space="preserve"> </w:t>
      </w:r>
      <w:r>
        <w:t xml:space="preserve">serves it when the origin fails [RFC 5861]. §20.11.3 applies the idea to server-side caches.</w:t>
      </w:r>
    </w:p>
    <w:p>
      <w:pPr>
        <w:pStyle w:val="FirstParagraph"/>
      </w:pPr>
      <w:r>
        <w:t xml:space="preserve">For static assets, the standard trick is</w:t>
      </w:r>
      <w:r>
        <w:t xml:space="preserve"> </w:t>
      </w:r>
      <w:r>
        <w:rPr>
          <w:bCs/>
          <w:b/>
        </w:rPr>
        <w:t xml:space="preserve">cache busting</w:t>
      </w:r>
      <w:r>
        <w:t xml:space="preserve">: put a content hash in the file name (</w:t>
      </w:r>
      <w:r>
        <w:rPr>
          <w:rStyle w:val="VerbatimChar"/>
        </w:rPr>
        <w:t xml:space="preserve">app.3f9a2c.js</w:t>
      </w:r>
      <w:r>
        <w:t xml:space="preserve">) and set a TTL of a year. The URL changes whenever the content changes, so no invalidation is ever needed.</w:t>
      </w:r>
    </w:p>
    <w:bookmarkEnd w:id="2265"/>
    <w:bookmarkStart w:id="2266" w:name="cdn-and-gateway"/>
    <w:p>
      <w:pPr>
        <w:pStyle w:val="Heading3"/>
      </w:pPr>
      <w:r>
        <w:t xml:space="preserve">20.5.3 CDN and gateway</w:t>
      </w:r>
    </w:p>
    <w:p>
      <w:pPr>
        <w:pStyle w:val="FirstParagraph"/>
      </w:pPr>
      <w:r>
        <w:t xml:space="preserve">A</w:t>
      </w:r>
      <w:r>
        <w:t xml:space="preserve"> </w:t>
      </w:r>
      <w:r>
        <w:rPr>
          <w:bCs/>
          <w:b/>
        </w:rPr>
        <w:t xml:space="preserve">CDN</w:t>
      </w:r>
      <w:r>
        <w:t xml:space="preserve"> </w:t>
      </w:r>
      <w:r>
        <w:t xml:space="preserve">is a geographically distributed set of HTTP caches (Chapter 21). An</w:t>
      </w:r>
      <w:r>
        <w:t xml:space="preserve"> </w:t>
      </w:r>
      <w:r>
        <w:rPr>
          <w:bCs/>
          <w:b/>
        </w:rPr>
        <w:t xml:space="preserve">API gateway</w:t>
      </w:r>
      <w:r>
        <w:t xml:space="preserve"> </w:t>
      </w:r>
      <w:r>
        <w:t xml:space="preserve">or reverse proxy (NGINX, Envoy, Varnish) caches whole responses keyed by method, URL and selected headers. At both layers the risk is the</w:t>
      </w:r>
      <w:r>
        <w:t xml:space="preserve"> </w:t>
      </w:r>
      <w:r>
        <w:rPr>
          <w:bCs/>
          <w:b/>
        </w:rPr>
        <w:t xml:space="preserve">cache key</w:t>
      </w:r>
      <w:r>
        <w:t xml:space="preserve">: if a response varies by a header (language, authorization) missing from the key, one user’s response is served to another.</w:t>
      </w:r>
    </w:p>
    <w:bookmarkEnd w:id="2266"/>
    <w:bookmarkStart w:id="2267" w:name="X543864164948ee13e304ad913ead2e063e68de3"/>
    <w:p>
      <w:pPr>
        <w:pStyle w:val="Heading3"/>
      </w:pPr>
      <w:r>
        <w:t xml:space="preserve">20.5.4 Application caches: in-process versus remote</w:t>
      </w:r>
    </w:p>
    <w:p>
      <w:pPr>
        <w:pStyle w:val="FirstParagraph"/>
      </w:pPr>
      <w:r>
        <w:t xml:space="preserve">An</w:t>
      </w:r>
      <w:r>
        <w:t xml:space="preserve"> </w:t>
      </w:r>
      <w:r>
        <w:rPr>
          <w:bCs/>
          <w:b/>
        </w:rPr>
        <w:t xml:space="preserve">in-process cache</w:t>
      </w:r>
      <w:r>
        <w:t xml:space="preserve"> </w:t>
      </w:r>
      <w:r>
        <w:t xml:space="preserve">(Caffeine in Java, an LRU dictionary in Python,</w:t>
      </w:r>
      <w:r>
        <w:t xml:space="preserve"> </w:t>
      </w:r>
      <w:r>
        <w:rPr>
          <w:rStyle w:val="VerbatimChar"/>
        </w:rPr>
        <w:t xml:space="preserve">ristretto</w:t>
      </w:r>
      <w:r>
        <w:t xml:space="preserve"> </w:t>
      </w:r>
      <w:r>
        <w:t xml:space="preserve">in Go) lives in the service’s own heap. A</w:t>
      </w:r>
      <w:r>
        <w:t xml:space="preserve"> </w:t>
      </w:r>
      <w:r>
        <w:rPr>
          <w:bCs/>
          <w:b/>
        </w:rPr>
        <w:t xml:space="preserve">remote cache</w:t>
      </w:r>
      <w:r>
        <w:t xml:space="preserve"> </w:t>
      </w:r>
      <w:r>
        <w:t xml:space="preserve">(Redis, Memcached) is a separate cluster shared by all instances.</w:t>
      </w:r>
    </w:p>
    <w:p>
      <w:pPr>
        <w:pStyle w:val="BodyText"/>
      </w:pPr>
      <w:r>
        <w:rPr>
          <w:bCs/>
          <w:b/>
        </w:rPr>
        <w:t xml:space="preserve">Table 20.3 — In-process versus remote application caches.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In-process (L1)</w:t>
            </w:r>
          </w:p>
        </w:tc>
        <w:tc>
          <w:tcPr/>
          <w:p>
            <w:pPr>
              <w:pStyle w:val="Compact"/>
              <w:jc w:val="left"/>
            </w:pPr>
            <w:r>
              <w:t xml:space="preserve">Remote (L2)</w:t>
            </w:r>
          </w:p>
        </w:tc>
      </w:tr>
      <w:tr>
        <w:tc>
          <w:tcPr/>
          <w:p>
            <w:pPr>
              <w:pStyle w:val="Compact"/>
              <w:jc w:val="left"/>
            </w:pPr>
            <w:r>
              <w:t xml:space="preserve">What it is</w:t>
            </w:r>
          </w:p>
        </w:tc>
        <w:tc>
          <w:tcPr/>
          <w:p>
            <w:pPr>
              <w:pStyle w:val="Compact"/>
              <w:jc w:val="left"/>
            </w:pPr>
            <w:r>
              <w:t xml:space="preserve">A map in the service’s memory</w:t>
            </w:r>
          </w:p>
        </w:tc>
        <w:tc>
          <w:tcPr/>
          <w:p>
            <w:pPr>
              <w:pStyle w:val="Compact"/>
              <w:jc w:val="left"/>
            </w:pPr>
            <w:r>
              <w:t xml:space="preserve">A separate in-memory server cluster</w:t>
            </w:r>
          </w:p>
        </w:tc>
      </w:tr>
      <w:tr>
        <w:tc>
          <w:tcPr/>
          <w:p>
            <w:pPr>
              <w:pStyle w:val="Compact"/>
              <w:jc w:val="left"/>
            </w:pPr>
            <w:r>
              <w:t xml:space="preserve">How it works</w:t>
            </w:r>
          </w:p>
        </w:tc>
        <w:tc>
          <w:tcPr/>
          <w:p>
            <w:pPr>
              <w:pStyle w:val="Compact"/>
              <w:jc w:val="left"/>
            </w:pPr>
            <w:r>
              <w:t xml:space="preserve">Direct object reference; no serialization</w:t>
            </w:r>
          </w:p>
        </w:tc>
        <w:tc>
          <w:tcPr/>
          <w:p>
            <w:pPr>
              <w:pStyle w:val="Compact"/>
              <w:jc w:val="left"/>
            </w:pPr>
            <w:r>
              <w:t xml:space="preserve">Network round trip; serialize and deserialize</w:t>
            </w:r>
          </w:p>
        </w:tc>
      </w:tr>
      <w:tr>
        <w:tc>
          <w:tcPr/>
          <w:p>
            <w:pPr>
              <w:pStyle w:val="Compact"/>
              <w:jc w:val="left"/>
            </w:pPr>
            <w:r>
              <w:t xml:space="preserve">Advantages</w:t>
            </w:r>
          </w:p>
        </w:tc>
        <w:tc>
          <w:tcPr/>
          <w:p>
            <w:pPr>
              <w:pStyle w:val="Compact"/>
              <w:jc w:val="left"/>
            </w:pPr>
            <w:r>
              <w:t xml:space="preserve">~100 ns hits; no network; survives cache-cluster outage</w:t>
            </w:r>
          </w:p>
        </w:tc>
        <w:tc>
          <w:tcPr/>
          <w:p>
            <w:pPr>
              <w:pStyle w:val="Compact"/>
              <w:jc w:val="left"/>
            </w:pPr>
            <w:r>
              <w:t xml:space="preserve">Shared by all instances; one copy to invalidate; large capacity</w:t>
            </w:r>
          </w:p>
        </w:tc>
      </w:tr>
      <w:tr>
        <w:tc>
          <w:tcPr/>
          <w:p>
            <w:pPr>
              <w:pStyle w:val="Compact"/>
              <w:jc w:val="left"/>
            </w:pPr>
            <w:r>
              <w:t xml:space="preserve">Disadvantages</w:t>
            </w:r>
          </w:p>
        </w:tc>
        <w:tc>
          <w:tcPr/>
          <w:p>
            <w:pPr>
              <w:pStyle w:val="Compact"/>
              <w:jc w:val="left"/>
            </w:pPr>
            <w:r>
              <w:t xml:space="preserve">One copy per instance (N× memory, N× misses); hard to invalidate; lost on deploy</w:t>
            </w:r>
          </w:p>
        </w:tc>
        <w:tc>
          <w:tcPr/>
          <w:p>
            <w:pPr>
              <w:pStyle w:val="Compact"/>
              <w:jc w:val="left"/>
            </w:pPr>
            <w:r>
              <w:t xml:space="preserve">~0.3 ms per hit; network and serialization CPU; another system to operate</w:t>
            </w:r>
          </w:p>
        </w:tc>
      </w:tr>
      <w:tr>
        <w:tc>
          <w:tcPr/>
          <w:p>
            <w:pPr>
              <w:pStyle w:val="Compact"/>
              <w:jc w:val="left"/>
            </w:pPr>
            <w:r>
              <w:t xml:space="preserve">Performance</w:t>
            </w:r>
          </w:p>
        </w:tc>
        <w:tc>
          <w:tcPr/>
          <w:p>
            <w:pPr>
              <w:pStyle w:val="Compact"/>
              <w:jc w:val="left"/>
            </w:pPr>
            <w:r>
              <w:t xml:space="preserve">Millions of lookups/s per core</w:t>
            </w:r>
          </w:p>
        </w:tc>
        <w:tc>
          <w:tcPr/>
          <w:p>
            <w:pPr>
              <w:pStyle w:val="Compact"/>
              <w:jc w:val="left"/>
            </w:pPr>
            <w:r>
              <w:t xml:space="preserve">100,000+ simple ops/s per Redis node, more with I/O threads or Memcached threads</w:t>
            </w:r>
          </w:p>
        </w:tc>
      </w:tr>
      <w:tr>
        <w:tc>
          <w:tcPr/>
          <w:p>
            <w:pPr>
              <w:pStyle w:val="Compact"/>
              <w:jc w:val="left"/>
            </w:pPr>
            <w:r>
              <w:t xml:space="preserve">Operational complexity</w:t>
            </w:r>
          </w:p>
        </w:tc>
        <w:tc>
          <w:tcPr/>
          <w:p>
            <w:pPr>
              <w:pStyle w:val="Compact"/>
              <w:jc w:val="left"/>
            </w:pPr>
            <w:r>
              <w:t xml:space="preserve">Low, but GC pressure in managed runtimes</w:t>
            </w:r>
          </w:p>
        </w:tc>
        <w:tc>
          <w:tcPr/>
          <w:p>
            <w:pPr>
              <w:pStyle w:val="Compact"/>
              <w:jc w:val="left"/>
            </w:pPr>
            <w:r>
              <w:t xml:space="preserve">Medium: clustering, failover, memory tuning</w:t>
            </w:r>
          </w:p>
        </w:tc>
      </w:tr>
      <w:tr>
        <w:tc>
          <w:tcPr/>
          <w:p>
            <w:pPr>
              <w:pStyle w:val="Compact"/>
              <w:jc w:val="left"/>
            </w:pPr>
            <w:r>
              <w:t xml:space="preserve">Cost</w:t>
            </w:r>
          </w:p>
        </w:tc>
        <w:tc>
          <w:tcPr/>
          <w:p>
            <w:pPr>
              <w:pStyle w:val="Compact"/>
              <w:jc w:val="left"/>
            </w:pPr>
            <w:r>
              <w:t xml:space="preserve">Uses service RAM (multiplied by instance count)</w:t>
            </w:r>
          </w:p>
        </w:tc>
        <w:tc>
          <w:tcPr/>
          <w:p>
            <w:pPr>
              <w:pStyle w:val="Compact"/>
              <w:jc w:val="left"/>
            </w:pPr>
            <w:r>
              <w:t xml:space="preserve">Dedicated nodes</w:t>
            </w:r>
          </w:p>
        </w:tc>
      </w:tr>
      <w:tr>
        <w:tc>
          <w:tcPr/>
          <w:p>
            <w:pPr>
              <w:pStyle w:val="Compact"/>
              <w:jc w:val="left"/>
            </w:pPr>
            <w:r>
              <w:t xml:space="preserve">Use cases</w:t>
            </w:r>
          </w:p>
        </w:tc>
        <w:tc>
          <w:tcPr/>
          <w:p>
            <w:pPr>
              <w:pStyle w:val="Compact"/>
              <w:jc w:val="left"/>
            </w:pPr>
            <w:r>
              <w:t xml:space="preserve">Configuration, feature flags, hot keys (§20.15)</w:t>
            </w:r>
          </w:p>
        </w:tc>
        <w:tc>
          <w:tcPr/>
          <w:p>
            <w:pPr>
              <w:pStyle w:val="Compact"/>
              <w:jc w:val="left"/>
            </w:pPr>
            <w:r>
              <w:t xml:space="preserve">Sessions, profiles, rendered fragments, counters</w:t>
            </w:r>
          </w:p>
        </w:tc>
      </w:tr>
      <w:tr>
        <w:tc>
          <w:tcPr/>
          <w:p>
            <w:pPr>
              <w:pStyle w:val="Compact"/>
              <w:jc w:val="left"/>
            </w:pPr>
            <w:r>
              <w:t xml:space="preserve">Choose when</w:t>
            </w:r>
          </w:p>
        </w:tc>
        <w:tc>
          <w:tcPr/>
          <w:p>
            <w:pPr>
              <w:pStyle w:val="Compact"/>
              <w:jc w:val="left"/>
            </w:pPr>
            <w:r>
              <w:t xml:space="preserve">Data is small, very hot and tolerates seconds of staleness</w:t>
            </w:r>
          </w:p>
        </w:tc>
        <w:tc>
          <w:tcPr/>
          <w:p>
            <w:pPr>
              <w:pStyle w:val="Compact"/>
              <w:jc w:val="left"/>
            </w:pPr>
            <w:r>
              <w:t xml:space="preserve">Data is shared, larger, or must be invalidated reliably</w:t>
            </w:r>
          </w:p>
        </w:tc>
      </w:tr>
    </w:tbl>
    <w:p>
      <w:pPr>
        <w:pStyle w:val="BodyText"/>
      </w:pPr>
      <w:r>
        <w:t xml:space="preserve">Production systems often use both: an L1 with a TTL of seconds in front of an L2 with a TTL of minutes. The L1 absorbs hot keys; the L2 provides a single place to invalidate.</w:t>
      </w:r>
    </w:p>
    <w:bookmarkEnd w:id="2267"/>
    <w:bookmarkStart w:id="2268" w:name="database-side-caching"/>
    <w:p>
      <w:pPr>
        <w:pStyle w:val="Heading3"/>
      </w:pPr>
      <w:r>
        <w:t xml:space="preserve">20.5.5 Database-side caching</w:t>
      </w:r>
    </w:p>
    <w:p>
      <w:pPr>
        <w:pStyle w:val="FirstParagraph"/>
      </w:pPr>
      <w:r>
        <w:t xml:space="preserve">The database already caches pages in its buffer pool (§13.4) and the operating system caches file blocks (§6.6.6). These caches are</w:t>
      </w:r>
      <w:r>
        <w:t xml:space="preserve"> </w:t>
      </w:r>
      <w:r>
        <w:rPr>
          <w:bCs/>
          <w:b/>
        </w:rPr>
        <w:t xml:space="preserve">coherent</w:t>
      </w:r>
      <w:r>
        <w:t xml:space="preserve">: they never return stale data, because the database owns both the copy and the original. They cannot, however, avoid the cost of parsing, planning and executing a query, or of a network hop to the database. MySQL removed its query cache in version 8.0 because invalidating every cached result on every write to a table scaled poorly under concurrency [MySQL Server Team 2017]. Materialized views (§11.5.5) and read replicas (§14.3) are the database’s own answers to repeated expensive reads.</w:t>
      </w:r>
    </w:p>
    <w:p>
      <w:pPr>
        <w:pStyle w:val="CalloutRecommendation"/>
      </w:pPr>
      <w:r>
        <w:rPr>
          <w:bCs/>
          <w:b/>
        </w:rPr>
        <w:t xml:space="preserve">RECOMMENDATION</w:t>
      </w:r>
    </w:p>
    <w:p>
      <w:pPr>
        <w:pStyle w:val="CalloutRecommendation"/>
      </w:pPr>
      <w:r>
        <w:rPr>
          <w:bCs/>
          <w:b/>
        </w:rPr>
        <w:t xml:space="preserve">Cache as close to the client as freshness allows.</w:t>
      </w:r>
      <w:r>
        <w:t xml:space="preserve"> </w:t>
      </w:r>
      <w:r>
        <w:t xml:space="preserve">Static, versioned assets: browser and CDN, one-year TTL. Public pages: CDN with short TTL plus purge. Per-user API data: remote cache with delete-on-write. Very hot small objects: add an in-process L1 with a TTL of a few seconds. Never add a layer without stating how it is invalidated and what happens when it is empty.</w:t>
      </w:r>
    </w:p>
    <w:bookmarkEnd w:id="2268"/>
    <w:bookmarkEnd w:id="2269"/>
    <w:bookmarkStart w:id="2286" w:name="redis-and-memcached-internals"/>
    <w:p>
      <w:pPr>
        <w:pStyle w:val="Heading2"/>
      </w:pPr>
      <w:r>
        <w:t xml:space="preserve">20.6 Redis and Memcached internals</w:t>
      </w:r>
    </w:p>
    <w:p>
      <w:pPr>
        <w:pStyle w:val="FirstParagraph"/>
      </w:pPr>
      <w:r>
        <w:t xml:space="preserve">Redis and Memcached are the two dominant remote caches. Memcached is a deliberately minimal, multithreaded cache of opaque byte strings; Redis is a single-threaded data-structure server that also persists and replicates. §20.16 compares them.</w:t>
      </w:r>
    </w:p>
    <w:bookmarkStart w:id="2275" w:name="redis-a-single-threaded-event-loop"/>
    <w:p>
      <w:pPr>
        <w:pStyle w:val="Heading3"/>
      </w:pPr>
      <w:r>
        <w:t xml:space="preserve">20.6.1 Redis: a single-threaded event loop</w:t>
      </w:r>
    </w:p>
    <w:p>
      <w:pPr>
        <w:pStyle w:val="CalloutDefinition"/>
      </w:pPr>
      <w:r>
        <w:rPr>
          <w:bCs/>
          <w:b/>
        </w:rPr>
        <w:t xml:space="preserve">DEFINITION</w:t>
      </w:r>
    </w:p>
    <w:p>
      <w:pPr>
        <w:pStyle w:val="CalloutDefinition"/>
      </w:pPr>
      <w:r>
        <w:rPr>
          <w:bCs/>
          <w:b/>
        </w:rPr>
        <w:t xml:space="preserve">Definition — Event loop.</w:t>
      </w:r>
      <w:r>
        <w:t xml:space="preserve"> </w:t>
      </w:r>
      <w:r>
        <w:t xml:space="preserve">A single thread that waits on many sockets at once with an operating-system readiness API (</w:t>
      </w:r>
      <w:r>
        <w:rPr>
          <w:rStyle w:val="VerbatimChar"/>
        </w:rPr>
        <w:t xml:space="preserve">epoll</w:t>
      </w:r>
      <w:r>
        <w:t xml:space="preserve"> </w:t>
      </w:r>
      <w:r>
        <w:t xml:space="preserve">on Linux,</w:t>
      </w:r>
      <w:r>
        <w:t xml:space="preserve"> </w:t>
      </w:r>
      <w:r>
        <w:rPr>
          <w:rStyle w:val="VerbatimChar"/>
        </w:rPr>
        <w:t xml:space="preserve">kqueue</w:t>
      </w:r>
      <w:r>
        <w:t xml:space="preserve"> </w:t>
      </w:r>
      <w:r>
        <w:t xml:space="preserve">on BSD and macOS, §6.13.2–§6.13.4) and handles each ready socket in turn, without blocking on any one of them.</w:t>
      </w:r>
    </w:p>
    <w:bookmarkStart w:id="2270" w:name="first-principles-explanation-125"/>
    <w:p>
      <w:pPr>
        <w:pStyle w:val="Heading4"/>
      </w:pPr>
      <w:r>
        <w:t xml:space="preserve">First-principles explanation</w:t>
      </w:r>
    </w:p>
    <w:p>
      <w:pPr>
        <w:pStyle w:val="FirstParagraph"/>
      </w:pPr>
      <w:r>
        <w:t xml:space="preserve">Picture one very fast chef who never waits: while one pot heats, he chops for the next order, and because only he touches the kitchen, nobody locks the knife drawer. Redis executes every command on one main thread, to completion, so every command (including a Lua script) is</w:t>
      </w:r>
      <w:r>
        <w:t xml:space="preserve"> </w:t>
      </w:r>
      <w:r>
        <w:rPr>
          <w:bCs/>
          <w:b/>
        </w:rPr>
        <w:t xml:space="preserve">atomic</w:t>
      </w:r>
      <w:r>
        <w:t xml:space="preserve"> </w:t>
      </w:r>
      <w:r>
        <w:t xml:space="preserve">without locks.</w:t>
      </w:r>
    </w:p>
    <w:bookmarkEnd w:id="2270"/>
    <w:bookmarkStart w:id="2274" w:name="how-it-works-internally-85"/>
    <w:p>
      <w:pPr>
        <w:pStyle w:val="Heading4"/>
      </w:pPr>
      <w:r>
        <w:t xml:space="preserve">How it works internally</w:t>
      </w:r>
    </w:p>
    <w:p>
      <w:pPr>
        <w:numPr>
          <w:ilvl w:val="0"/>
          <w:numId w:val="1662"/>
        </w:numPr>
        <w:pStyle w:val="Compact"/>
      </w:pPr>
      <w:r>
        <w:t xml:space="preserve">The main thread calls</w:t>
      </w:r>
      <w:r>
        <w:t xml:space="preserve"> </w:t>
      </w:r>
      <w:r>
        <w:rPr>
          <w:rStyle w:val="VerbatimChar"/>
        </w:rPr>
        <w:t xml:space="preserve">epoll_wait</w:t>
      </w:r>
      <w:r>
        <w:t xml:space="preserve"> </w:t>
      </w:r>
      <w:r>
        <w:t xml:space="preserve">to learn which client sockets are readable.</w:t>
      </w:r>
    </w:p>
    <w:p>
      <w:pPr>
        <w:numPr>
          <w:ilvl w:val="0"/>
          <w:numId w:val="1662"/>
        </w:numPr>
        <w:pStyle w:val="Compact"/>
      </w:pPr>
      <w:r>
        <w:t xml:space="preserve">For each, it reads bytes, parses commands in the</w:t>
      </w:r>
      <w:r>
        <w:t xml:space="preserve"> </w:t>
      </w:r>
      <w:r>
        <w:rPr>
          <w:bCs/>
          <w:b/>
        </w:rPr>
        <w:t xml:space="preserve">RESP</w:t>
      </w:r>
      <w:r>
        <w:t xml:space="preserve"> </w:t>
      </w:r>
      <w:r>
        <w:t xml:space="preserve">protocol and looks up the key in the</w:t>
      </w:r>
      <w:r>
        <w:t xml:space="preserve"> </w:t>
      </w:r>
      <w:r>
        <w:rPr>
          <w:bCs/>
          <w:b/>
        </w:rPr>
        <w:t xml:space="preserve">keyspace</w:t>
      </w:r>
      <w:r>
        <w:t xml:space="preserve">, a hash table that grows by</w:t>
      </w:r>
      <w:r>
        <w:t xml:space="preserve"> </w:t>
      </w:r>
      <w:r>
        <w:rPr>
          <w:bCs/>
          <w:b/>
        </w:rPr>
        <w:t xml:space="preserve">incremental rehashing</w:t>
      </w:r>
      <w:r>
        <w:t xml:space="preserve"> </w:t>
      </w:r>
      <w:r>
        <w:t xml:space="preserve">(two tables; each operation moves a few buckets, so no single command pays for a full resize).</w:t>
      </w:r>
    </w:p>
    <w:p>
      <w:pPr>
        <w:numPr>
          <w:ilvl w:val="0"/>
          <w:numId w:val="1662"/>
        </w:numPr>
        <w:pStyle w:val="Compact"/>
      </w:pPr>
      <w:r>
        <w:t xml:space="preserve">It executes the command against the in-memory data structure and appends the reply to the client’s output buffer.</w:t>
      </w:r>
    </w:p>
    <w:p>
      <w:pPr>
        <w:numPr>
          <w:ilvl w:val="0"/>
          <w:numId w:val="1662"/>
        </w:numPr>
        <w:pStyle w:val="Compact"/>
      </w:pPr>
      <w:r>
        <w:t xml:space="preserve">Before sleeping again it writes pending replies and runs timers:</w:t>
      </w:r>
      <w:r>
        <w:t xml:space="preserve"> </w:t>
      </w:r>
      <w:r>
        <w:rPr>
          <w:bCs/>
          <w:b/>
        </w:rPr>
        <w:t xml:space="preserve">active expiry</w:t>
      </w:r>
      <w:r>
        <w:t xml:space="preserve">, which samples keys with TTLs and deletes expired ones, background rehashing and replication bookkeeping.</w:t>
      </w:r>
    </w:p>
    <w:p>
      <w:pPr>
        <w:pStyle w:val="FirstParagraph"/>
      </w:pPr>
      <w:r>
        <w:rPr>
          <w:bCs/>
          <w:b/>
        </w:rPr>
        <w:t xml:space="preserve">Background threads</w:t>
      </w:r>
      <w:r>
        <w:t xml:space="preserve"> </w:t>
      </w:r>
      <w:r>
        <w:t xml:space="preserve">free large values (</w:t>
      </w:r>
      <w:r>
        <w:rPr>
          <w:rStyle w:val="VerbatimChar"/>
        </w:rPr>
        <w:t xml:space="preserve">UNLINK</w:t>
      </w:r>
      <w:r>
        <w:t xml:space="preserve">) and</w:t>
      </w:r>
      <w:r>
        <w:t xml:space="preserve"> </w:t>
      </w:r>
      <w:r>
        <w:rPr>
          <w:rStyle w:val="VerbatimChar"/>
        </w:rPr>
        <w:t xml:space="preserve">fsync</w:t>
      </w:r>
      <w:r>
        <w:t xml:space="preserve"> </w:t>
      </w:r>
      <w:r>
        <w:t xml:space="preserve">the append-only file.</w:t>
      </w:r>
      <w:r>
        <w:t xml:space="preserve"> </w:t>
      </w:r>
      <w:r>
        <w:rPr>
          <w:bCs/>
          <w:b/>
        </w:rPr>
        <w:t xml:space="preserve">I/O threads</w:t>
      </w:r>
      <w:r>
        <w:t xml:space="preserve"> </w:t>
      </w:r>
      <w:r>
        <w:t xml:space="preserve">(Redis 6.0 onward,</w:t>
      </w:r>
      <w:r>
        <w:t xml:space="preserve"> </w:t>
      </w:r>
      <w:r>
        <w:rPr>
          <w:rStyle w:val="VerbatimChar"/>
        </w:rPr>
        <w:t xml:space="preserve">io-threads</w:t>
      </w:r>
      <w:r>
        <w:t xml:space="preserve">) parse requests and write replies in parallel while execution stays single-threaded [Redis Docs: Redis configuration]. Valkey 8.0 reworked them to run concurrently with the main thread and reports about 1.2 million requests/s on one AWS r7g instance (as of 2024) [Valkey Blog 2024].</w:t>
      </w:r>
    </w:p>
    <w:p>
      <w:pPr>
        <w:pStyle w:val="BodyText"/>
      </w:pPr>
      <w:r>
        <w:rPr>
          <w:bCs/>
          <w:b/>
        </w:rPr>
        <w:t xml:space="preserve">Figure 20.3 — Redis’s event loop with I/O threads.</w:t>
      </w:r>
    </w:p>
    <w:p>
      <w:pPr>
        <w:pStyle w:val="BodyText"/>
      </w:pPr>
      <w:r>
        <w:drawing>
          <wp:inline>
            <wp:extent cx="5334000" cy="1252091"/>
            <wp:effectExtent b="0" l="0" r="0" t="0"/>
            <wp:docPr descr="" title="" id="2272" name="Picture"/>
            <a:graphic>
              <a:graphicData uri="http://schemas.openxmlformats.org/drawingml/2006/picture">
                <pic:pic>
                  <pic:nvPicPr>
                    <pic:cNvPr descr="/home/user/System-Design/build/.cache/diagrams/93902f24e471.png" id="2273" name="Picture"/>
                    <pic:cNvPicPr>
                      <a:picLocks noChangeArrowheads="1" noChangeAspect="1"/>
                    </pic:cNvPicPr>
                  </pic:nvPicPr>
                  <pic:blipFill>
                    <a:blip r:embed="rId2271"/>
                    <a:stretch>
                      <a:fillRect/>
                    </a:stretch>
                  </pic:blipFill>
                  <pic:spPr bwMode="auto">
                    <a:xfrm>
                      <a:off x="0" y="0"/>
                      <a:ext cx="5334000" cy="1252091"/>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Clients send RESP commands over TCP. Optional I/O threads parse and write in parallel; the single main thread executes every command against the in-RAM keyspace. Side work runs asynchronously (dotted): background threads free memory and</w:t>
      </w:r>
      <w:r>
        <w:t xml:space="preserve"> </w:t>
      </w:r>
      <w:r>
        <w:rPr>
          <w:rStyle w:val="VerbatimChar"/>
        </w:rPr>
        <w:t xml:space="preserve">fsync</w:t>
      </w:r>
      <w:r>
        <w:t xml:space="preserve">, a forked child writes snapshots. Storage boundary: RAM for data, disk only for persistence files. Failure points: one slow command (</w:t>
      </w:r>
      <w:r>
        <w:rPr>
          <w:rStyle w:val="VerbatimChar"/>
        </w:rPr>
        <w:t xml:space="preserve">KEYS *</w:t>
      </w:r>
      <w:r>
        <w:t xml:space="preserve">, a huge</w:t>
      </w:r>
      <w:r>
        <w:t xml:space="preserve"> </w:t>
      </w:r>
      <w:r>
        <w:rPr>
          <w:rStyle w:val="VerbatimChar"/>
        </w:rPr>
        <w:t xml:space="preserve">DEL</w:t>
      </w:r>
      <w:r>
        <w:t xml:space="preserve">, a long script) blocks</w:t>
      </w:r>
      <w:r>
        <w:t xml:space="preserve"> </w:t>
      </w:r>
      <w:r>
        <w:rPr>
          <w:iCs/>
          <w:i/>
        </w:rPr>
        <w:t xml:space="preserve">all</w:t>
      </w:r>
      <w:r>
        <w:t xml:space="preserve"> </w:t>
      </w:r>
      <w:r>
        <w:t xml:space="preserve">clients for tens of milliseconds, so use</w:t>
      </w:r>
      <w:r>
        <w:t xml:space="preserve"> </w:t>
      </w:r>
      <w:r>
        <w:rPr>
          <w:rStyle w:val="VerbatimChar"/>
        </w:rPr>
        <w:t xml:space="preserve">SCAN</w:t>
      </w:r>
      <w:r>
        <w:t xml:space="preserve">,</w:t>
      </w:r>
      <w:r>
        <w:t xml:space="preserve"> </w:t>
      </w:r>
      <w:r>
        <w:rPr>
          <w:rStyle w:val="VerbatimChar"/>
        </w:rPr>
        <w:t xml:space="preserve">UNLINK</w:t>
      </w:r>
      <w:r>
        <w:t xml:space="preserve"> </w:t>
      </w:r>
      <w:r>
        <w:t xml:space="preserve">and</w:t>
      </w:r>
      <w:r>
        <w:t xml:space="preserve"> </w:t>
      </w:r>
      <w:r>
        <w:rPr>
          <w:rStyle w:val="VerbatimChar"/>
        </w:rPr>
        <w:t xml:space="preserve">SLOWLOG</w:t>
      </w:r>
      <w:r>
        <w:t xml:space="preserve">; forking a large process pauses the main thread. Scaling: execution uses one core, so scale out with Redis Cluster (§20.6.4).</w:t>
      </w:r>
    </w:p>
    <w:bookmarkEnd w:id="2274"/>
    <w:bookmarkEnd w:id="2275"/>
    <w:bookmarkStart w:id="2276" w:name="data-structures-and-encodings"/>
    <w:p>
      <w:pPr>
        <w:pStyle w:val="Heading3"/>
      </w:pPr>
      <w:r>
        <w:t xml:space="preserve">20.6.2 Data structures and encodings</w:t>
      </w:r>
    </w:p>
    <w:p>
      <w:pPr>
        <w:pStyle w:val="FirstParagraph"/>
      </w:pPr>
      <w:r>
        <w:t xml:space="preserve">Redis values are typed.</w:t>
      </w:r>
      <w:r>
        <w:t xml:space="preserve"> </w:t>
      </w:r>
      <w:r>
        <w:rPr>
          <w:bCs/>
          <w:b/>
        </w:rPr>
        <w:t xml:space="preserve">Strings</w:t>
      </w:r>
      <w:r>
        <w:t xml:space="preserve"> </w:t>
      </w:r>
      <w:r>
        <w:t xml:space="preserve">(binary-safe, up to 512 MB) hold serialized objects and counters (</w:t>
      </w:r>
      <w:r>
        <w:rPr>
          <w:rStyle w:val="VerbatimChar"/>
        </w:rPr>
        <w:t xml:space="preserve">INCR</w:t>
      </w:r>
      <w:r>
        <w:t xml:space="preserve">);</w:t>
      </w:r>
      <w:r>
        <w:t xml:space="preserve"> </w:t>
      </w:r>
      <w:r>
        <w:rPr>
          <w:bCs/>
          <w:b/>
        </w:rPr>
        <w:t xml:space="preserve">hashes</w:t>
      </w:r>
      <w:r>
        <w:t xml:space="preserve"> </w:t>
      </w:r>
      <w:r>
        <w:t xml:space="preserve">hold objects field by field;</w:t>
      </w:r>
      <w:r>
        <w:t xml:space="preserve"> </w:t>
      </w:r>
      <w:r>
        <w:rPr>
          <w:bCs/>
          <w:b/>
        </w:rPr>
        <w:t xml:space="preserve">lists</w:t>
      </w:r>
      <w:r>
        <w:t xml:space="preserve"> </w:t>
      </w:r>
      <w:r>
        <w:t xml:space="preserve">are queues;</w:t>
      </w:r>
      <w:r>
        <w:t xml:space="preserve"> </w:t>
      </w:r>
      <w:r>
        <w:rPr>
          <w:bCs/>
          <w:b/>
        </w:rPr>
        <w:t xml:space="preserve">sets</w:t>
      </w:r>
      <w:r>
        <w:t xml:space="preserve"> </w:t>
      </w:r>
      <w:r>
        <w:t xml:space="preserve">and</w:t>
      </w:r>
      <w:r>
        <w:t xml:space="preserve"> </w:t>
      </w:r>
      <w:r>
        <w:rPr>
          <w:bCs/>
          <w:b/>
        </w:rPr>
        <w:t xml:space="preserve">sorted sets</w:t>
      </w:r>
      <w:r>
        <w:t xml:space="preserve"> </w:t>
      </w:r>
      <w:r>
        <w:t xml:space="preserve">support membership and ranking (</w:t>
      </w:r>
      <w:r>
        <w:rPr>
          <w:rStyle w:val="VerbatimChar"/>
        </w:rPr>
        <w:t xml:space="preserve">ZADD</w:t>
      </w:r>
      <w:r>
        <w:t xml:space="preserve">,</w:t>
      </w:r>
      <w:r>
        <w:t xml:space="preserve"> </w:t>
      </w:r>
      <w:r>
        <w:rPr>
          <w:rStyle w:val="VerbatimChar"/>
        </w:rPr>
        <w:t xml:space="preserve">ZRANGE</w:t>
      </w:r>
      <w:r>
        <w:t xml:space="preserve">), the latter as a skip list plus hash table (§17.7);</w:t>
      </w:r>
      <w:r>
        <w:t xml:space="preserve"> </w:t>
      </w:r>
      <w:r>
        <w:rPr>
          <w:bCs/>
          <w:b/>
        </w:rPr>
        <w:t xml:space="preserve">streams</w:t>
      </w:r>
      <w:r>
        <w:t xml:space="preserve"> </w:t>
      </w:r>
      <w:r>
        <w:t xml:space="preserve">are append-only logs; and HyperLogLog, bitmaps and geospatial indexes are built on strings and sorted sets (§17.5, §17.9) [Redis Docs: Data types]. Small collections use a compact contiguous</w:t>
      </w:r>
      <w:r>
        <w:t xml:space="preserve"> </w:t>
      </w:r>
      <w:r>
        <w:rPr>
          <w:bCs/>
          <w:b/>
        </w:rPr>
        <w:t xml:space="preserve">listpack</w:t>
      </w:r>
      <w:r>
        <w:t xml:space="preserve"> </w:t>
      </w:r>
      <w:r>
        <w:t xml:space="preserve">encoding and are converted to hash tables or skip lists when they exceed thresholds such as</w:t>
      </w:r>
      <w:r>
        <w:t xml:space="preserve"> </w:t>
      </w:r>
      <w:r>
        <w:rPr>
          <w:rStyle w:val="VerbatimChar"/>
        </w:rPr>
        <w:t xml:space="preserve">hash-max-listpack-entries</w:t>
      </w:r>
      <w:r>
        <w:t xml:space="preserve"> </w:t>
      </w:r>
      <w:r>
        <w:t xml:space="preserve">(128 by default), trading CPU for memory.</w:t>
      </w:r>
    </w:p>
    <w:bookmarkEnd w:id="2276"/>
    <w:bookmarkStart w:id="2277" w:name="persistence-rdb-and-aof"/>
    <w:p>
      <w:pPr>
        <w:pStyle w:val="Heading3"/>
      </w:pPr>
      <w:r>
        <w:t xml:space="preserve">20.6.3 Persistence: RDB and AOF</w:t>
      </w:r>
    </w:p>
    <w:p>
      <w:pPr>
        <w:pStyle w:val="FirstParagraph"/>
      </w:pPr>
      <w:r>
        <w:t xml:space="preserve">A cold restart of a large cache is expensive (§20.13), and Redis also holds data that must survive restarts.</w:t>
      </w:r>
    </w:p>
    <w:p>
      <w:pPr>
        <w:pStyle w:val="BodyText"/>
      </w:pPr>
      <w:r>
        <w:rPr>
          <w:bCs/>
          <w:b/>
        </w:rPr>
        <w:t xml:space="preserve">Table 20.4 — Redis persistence options.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Option</w:t>
            </w:r>
          </w:p>
        </w:tc>
        <w:tc>
          <w:tcPr/>
          <w:p>
            <w:pPr>
              <w:pStyle w:val="Compact"/>
              <w:jc w:val="left"/>
            </w:pPr>
            <w:r>
              <w:t xml:space="preserve">How it works</w:t>
            </w:r>
          </w:p>
        </w:tc>
        <w:tc>
          <w:tcPr/>
          <w:p>
            <w:pPr>
              <w:pStyle w:val="Compact"/>
              <w:jc w:val="left"/>
            </w:pPr>
            <w:r>
              <w:t xml:space="preserve">Data lost on crash</w:t>
            </w:r>
          </w:p>
        </w:tc>
        <w:tc>
          <w:tcPr/>
          <w:p>
            <w:pPr>
              <w:pStyle w:val="Compact"/>
              <w:jc w:val="left"/>
            </w:pPr>
            <w:r>
              <w:t xml:space="preserve">Cost</w:t>
            </w:r>
          </w:p>
        </w:tc>
      </w:tr>
      <w:tr>
        <w:tc>
          <w:tcPr/>
          <w:p>
            <w:pPr>
              <w:pStyle w:val="Compact"/>
              <w:jc w:val="left"/>
            </w:pPr>
            <w:r>
              <w:t xml:space="preserve">None</w:t>
            </w:r>
          </w:p>
        </w:tc>
        <w:tc>
          <w:tcPr/>
          <w:p>
            <w:pPr>
              <w:pStyle w:val="Compact"/>
              <w:jc w:val="left"/>
            </w:pPr>
            <w:r>
              <w:t xml:space="preserve">Pure in-memory</w:t>
            </w:r>
          </w:p>
        </w:tc>
        <w:tc>
          <w:tcPr/>
          <w:p>
            <w:pPr>
              <w:pStyle w:val="Compact"/>
              <w:jc w:val="left"/>
            </w:pPr>
            <w:r>
              <w:t xml:space="preserve">Everything</w:t>
            </w:r>
          </w:p>
        </w:tc>
        <w:tc>
          <w:tcPr/>
          <w:p>
            <w:pPr>
              <w:pStyle w:val="Compact"/>
              <w:jc w:val="left"/>
            </w:pPr>
            <w:r>
              <w:t xml:space="preserve">None</w:t>
            </w:r>
          </w:p>
        </w:tc>
      </w:tr>
      <w:tr>
        <w:tc>
          <w:tcPr/>
          <w:p>
            <w:pPr>
              <w:pStyle w:val="Compact"/>
              <w:jc w:val="left"/>
            </w:pPr>
            <w:r>
              <w:t xml:space="preserve">RDB snapshot</w:t>
            </w:r>
          </w:p>
        </w:tc>
        <w:tc>
          <w:tcPr/>
          <w:p>
            <w:pPr>
              <w:pStyle w:val="Compact"/>
              <w:jc w:val="left"/>
            </w:pPr>
            <w:r>
              <w:rPr>
                <w:rStyle w:val="VerbatimChar"/>
              </w:rPr>
              <w:t xml:space="preserve">fork()</w:t>
            </w:r>
            <w:r>
              <w:t xml:space="preserve">; the child writes a compact binary snapshot while copy-on-write (§6.6.5) preserves the parent’s view</w:t>
            </w:r>
          </w:p>
        </w:tc>
        <w:tc>
          <w:tcPr/>
          <w:p>
            <w:pPr>
              <w:pStyle w:val="Compact"/>
              <w:jc w:val="left"/>
            </w:pPr>
            <w:r>
              <w:t xml:space="preserve">Writes since the last snapshot (minutes)</w:t>
            </w:r>
          </w:p>
        </w:tc>
        <w:tc>
          <w:tcPr/>
          <w:p>
            <w:pPr>
              <w:pStyle w:val="Compact"/>
              <w:jc w:val="left"/>
            </w:pPr>
            <w:r>
              <w:t xml:space="preserve">Fork pause; up to 2× memory if many pages change during the dump</w:t>
            </w:r>
          </w:p>
        </w:tc>
      </w:tr>
      <w:tr>
        <w:tc>
          <w:tcPr/>
          <w:p>
            <w:pPr>
              <w:pStyle w:val="Compact"/>
              <w:jc w:val="left"/>
            </w:pPr>
            <w:r>
              <w:t xml:space="preserve">AOF,</w:t>
            </w:r>
            <w:r>
              <w:t xml:space="preserve"> </w:t>
            </w:r>
            <w:r>
              <w:rPr>
                <w:rStyle w:val="VerbatimChar"/>
              </w:rPr>
              <w:t xml:space="preserve">appendfsync everysec</w:t>
            </w:r>
          </w:p>
        </w:tc>
        <w:tc>
          <w:tcPr/>
          <w:p>
            <w:pPr>
              <w:pStyle w:val="Compact"/>
              <w:jc w:val="left"/>
            </w:pPr>
            <w:r>
              <w:t xml:space="preserve">Every write command appended to a log;</w:t>
            </w:r>
            <w:r>
              <w:t xml:space="preserve"> </w:t>
            </w:r>
            <w:r>
              <w:rPr>
                <w:rStyle w:val="VerbatimChar"/>
              </w:rPr>
              <w:t xml:space="preserve">fsync</w:t>
            </w:r>
            <w:r>
              <w:t xml:space="preserve"> </w:t>
            </w:r>
            <w:r>
              <w:t xml:space="preserve">once per second; the log is periodically rewritten</w:t>
            </w:r>
          </w:p>
        </w:tc>
        <w:tc>
          <w:tcPr/>
          <w:p>
            <w:pPr>
              <w:pStyle w:val="Compact"/>
              <w:jc w:val="left"/>
            </w:pPr>
            <w:r>
              <w:t xml:space="preserve">About 1 s of writes</w:t>
            </w:r>
          </w:p>
        </w:tc>
        <w:tc>
          <w:tcPr/>
          <w:p>
            <w:pPr>
              <w:pStyle w:val="Compact"/>
              <w:jc w:val="left"/>
            </w:pPr>
            <w:r>
              <w:t xml:space="preserve">Disk bandwidth; rewrite cost</w:t>
            </w:r>
          </w:p>
        </w:tc>
      </w:tr>
      <w:tr>
        <w:tc>
          <w:tcPr/>
          <w:p>
            <w:pPr>
              <w:pStyle w:val="Compact"/>
              <w:jc w:val="left"/>
            </w:pPr>
            <w:r>
              <w:t xml:space="preserve">AOF,</w:t>
            </w:r>
            <w:r>
              <w:t xml:space="preserve"> </w:t>
            </w:r>
            <w:r>
              <w:rPr>
                <w:rStyle w:val="VerbatimChar"/>
              </w:rPr>
              <w:t xml:space="preserve">appendfsync always</w:t>
            </w:r>
          </w:p>
        </w:tc>
        <w:tc>
          <w:tcPr/>
          <w:p>
            <w:pPr>
              <w:pStyle w:val="Compact"/>
              <w:jc w:val="left"/>
            </w:pPr>
            <w:r>
              <w:rPr>
                <w:rStyle w:val="VerbatimChar"/>
              </w:rPr>
              <w:t xml:space="preserve">fsync</w:t>
            </w:r>
            <w:r>
              <w:t xml:space="preserve"> </w:t>
            </w:r>
            <w:r>
              <w:t xml:space="preserve">before acknowledging</w:t>
            </w:r>
          </w:p>
        </w:tc>
        <w:tc>
          <w:tcPr/>
          <w:p>
            <w:pPr>
              <w:pStyle w:val="Compact"/>
              <w:jc w:val="left"/>
            </w:pPr>
            <w:r>
              <w:t xml:space="preserve">Nothing acknowledged</w:t>
            </w:r>
          </w:p>
        </w:tc>
        <w:tc>
          <w:tcPr/>
          <w:p>
            <w:pPr>
              <w:pStyle w:val="Compact"/>
              <w:jc w:val="left"/>
            </w:pPr>
            <w:r>
              <w:t xml:space="preserve">Throughput limited by</w:t>
            </w:r>
            <w:r>
              <w:t xml:space="preserve"> </w:t>
            </w:r>
            <w:r>
              <w:rPr>
                <w:rStyle w:val="VerbatimChar"/>
              </w:rPr>
              <w:t xml:space="preserve">fsync</w:t>
            </w:r>
            <w:r>
              <w:t xml:space="preserve"> </w:t>
            </w:r>
            <w:r>
              <w:t xml:space="preserve">latency</w:t>
            </w:r>
          </w:p>
        </w:tc>
      </w:tr>
      <w:tr>
        <w:tc>
          <w:tcPr/>
          <w:p>
            <w:pPr>
              <w:pStyle w:val="Compact"/>
              <w:jc w:val="left"/>
            </w:pPr>
            <w:r>
              <w:t xml:space="preserve">RDB + AOF (RDB preamble)</w:t>
            </w:r>
          </w:p>
        </w:tc>
        <w:tc>
          <w:tcPr/>
          <w:p>
            <w:pPr>
              <w:pStyle w:val="Compact"/>
              <w:jc w:val="left"/>
            </w:pPr>
            <w:r>
              <w:t xml:space="preserve">Rewritten AOF starts with an RDB image, then appends</w:t>
            </w:r>
          </w:p>
        </w:tc>
        <w:tc>
          <w:tcPr/>
          <w:p>
            <w:pPr>
              <w:pStyle w:val="Compact"/>
              <w:jc w:val="left"/>
            </w:pPr>
            <w:r>
              <w:t xml:space="preserve">About 1 s</w:t>
            </w:r>
          </w:p>
        </w:tc>
        <w:tc>
          <w:tcPr/>
          <w:p>
            <w:pPr>
              <w:pStyle w:val="Compact"/>
              <w:jc w:val="left"/>
            </w:pPr>
            <w:r>
              <w:t xml:space="preserve">Fast restart, small log</w:t>
            </w:r>
          </w:p>
        </w:tc>
      </w:tr>
    </w:tbl>
    <w:p>
      <w:pPr>
        <w:pStyle w:val="BodyText"/>
      </w:pPr>
      <w:r>
        <w:t xml:space="preserve">[Redis Docs: Persistence]. For a pure cache, many teams disable AOF and keep RDB only for faster warm restarts.</w:t>
      </w:r>
    </w:p>
    <w:bookmarkEnd w:id="2277"/>
    <w:bookmarkStart w:id="2281" w:name="replication-and-redis-cluster"/>
    <w:p>
      <w:pPr>
        <w:pStyle w:val="Heading3"/>
      </w:pPr>
      <w:r>
        <w:t xml:space="preserve">20.6.4 Replication and Redis Cluster</w:t>
      </w:r>
    </w:p>
    <w:p>
      <w:pPr>
        <w:pStyle w:val="FirstParagraph"/>
      </w:pPr>
      <w:r>
        <w:rPr>
          <w:bCs/>
          <w:b/>
        </w:rPr>
        <w:t xml:space="preserve">Replication</w:t>
      </w:r>
      <w:r>
        <w:t xml:space="preserve"> </w:t>
      </w:r>
      <w:r>
        <w:t xml:space="preserve">is asynchronous: a primary streams its writes to replicas; a briefly disconnected replica resumes from a</w:t>
      </w:r>
      <w:r>
        <w:t xml:space="preserve"> </w:t>
      </w:r>
      <w:r>
        <w:rPr>
          <w:bCs/>
          <w:b/>
        </w:rPr>
        <w:t xml:space="preserve">replication backlog</w:t>
      </w:r>
      <w:r>
        <w:t xml:space="preserve"> </w:t>
      </w:r>
      <w:r>
        <w:t xml:space="preserve">(</w:t>
      </w:r>
      <w:r>
        <w:rPr>
          <w:rStyle w:val="VerbatimChar"/>
        </w:rPr>
        <w:t xml:space="preserve">PSYNC</w:t>
      </w:r>
      <w:r>
        <w:t xml:space="preserve"> </w:t>
      </w:r>
      <w:r>
        <w:t xml:space="preserve">with replication ID and offset), otherwise it receives a full snapshot. A failover can lose the last acknowledged writes;</w:t>
      </w:r>
      <w:r>
        <w:t xml:space="preserve"> </w:t>
      </w:r>
      <w:r>
        <w:rPr>
          <w:rStyle w:val="VerbatimChar"/>
        </w:rPr>
        <w:t xml:space="preserve">WAIT</w:t>
      </w:r>
      <w:r>
        <w:t xml:space="preserve"> </w:t>
      </w:r>
      <w:r>
        <w:t xml:space="preserve">reduces but does not eliminate this [Redis Docs: Replication].</w:t>
      </w:r>
      <w:r>
        <w:t xml:space="preserve"> </w:t>
      </w:r>
      <w:r>
        <w:rPr>
          <w:bCs/>
          <w:b/>
        </w:rPr>
        <w:t xml:space="preserve">Redis Sentinel</w:t>
      </w:r>
      <w:r>
        <w:t xml:space="preserve"> </w:t>
      </w:r>
      <w:r>
        <w:t xml:space="preserve">handles failover for unpartitioned deployments.</w:t>
      </w:r>
    </w:p>
    <w:p>
      <w:pPr>
        <w:pStyle w:val="CalloutDefinition"/>
      </w:pPr>
      <w:r>
        <w:rPr>
          <w:bCs/>
          <w:b/>
        </w:rPr>
        <w:t xml:space="preserve">DEFINITION</w:t>
      </w:r>
    </w:p>
    <w:p>
      <w:pPr>
        <w:pStyle w:val="CalloutDefinition"/>
      </w:pPr>
      <w:r>
        <w:rPr>
          <w:bCs/>
          <w:b/>
        </w:rPr>
        <w:t xml:space="preserve">Definition — Hash slot (Redis Cluster).</w:t>
      </w:r>
      <w:r>
        <w:t xml:space="preserve"> </w:t>
      </w:r>
      <w:r>
        <w:t xml:space="preserve">One of 16,384 buckets into which Redis Cluster divides the keyspace:</w:t>
      </w:r>
      <w:r>
        <w:t xml:space="preserve"> </w:t>
      </w:r>
      <w:r>
        <w:rPr>
          <w:rStyle w:val="VerbatimChar"/>
        </w:rPr>
        <w:t xml:space="preserve">slot = CRC16(key) mod 16384</w:t>
      </w:r>
      <w:r>
        <w:t xml:space="preserve">. Each primary owns a set of slots. If a key contains</w:t>
      </w:r>
      <w:r>
        <w:t xml:space="preserve"> </w:t>
      </w:r>
      <w:r>
        <w:rPr>
          <w:rStyle w:val="VerbatimChar"/>
        </w:rPr>
        <w:t xml:space="preserve">{...}</w:t>
      </w:r>
      <w:r>
        <w:t xml:space="preserve">, only the substring inside the braces (a</w:t>
      </w:r>
      <w:r>
        <w:t xml:space="preserve"> </w:t>
      </w:r>
      <w:r>
        <w:rPr>
          <w:bCs/>
          <w:b/>
        </w:rPr>
        <w:t xml:space="preserve">hash tag</w:t>
      </w:r>
      <w:r>
        <w:t xml:space="preserve">) is hashed, so related keys can be forced into one slot [Redis Docs: Cluster specification].</w:t>
      </w:r>
    </w:p>
    <w:p>
      <w:pPr>
        <w:pStyle w:val="BodyText"/>
      </w:pPr>
      <w:r>
        <w:t xml:space="preserve">A node asked for a slot it does not own replies</w:t>
      </w:r>
      <w:r>
        <w:t xml:space="preserve"> </w:t>
      </w:r>
      <w:r>
        <w:rPr>
          <w:rStyle w:val="VerbatimChar"/>
        </w:rPr>
        <w:t xml:space="preserve">MOVED &lt;slot&gt; &lt;host:port&gt;</w:t>
      </w:r>
      <w:r>
        <w:t xml:space="preserve">; a slot under migration returns</w:t>
      </w:r>
      <w:r>
        <w:t xml:space="preserve"> </w:t>
      </w:r>
      <w:r>
        <w:rPr>
          <w:rStyle w:val="VerbatimChar"/>
        </w:rPr>
        <w:t xml:space="preserve">ASK</w:t>
      </w:r>
      <w:r>
        <w:t xml:space="preserve"> </w:t>
      </w:r>
      <w:r>
        <w:t xml:space="preserve">for keys already moved. Nodes gossip over a</w:t>
      </w:r>
      <w:r>
        <w:t xml:space="preserve"> </w:t>
      </w:r>
      <w:r>
        <w:rPr>
          <w:bCs/>
          <w:b/>
        </w:rPr>
        <w:t xml:space="preserve">cluster bus</w:t>
      </w:r>
      <w:r>
        <w:t xml:space="preserve"> </w:t>
      </w:r>
      <w:r>
        <w:t xml:space="preserve">(client port + 10,000), and a majority of primaries authorizes a replica to take over a failed primary’s slots. Multi-key commands work only within one slot.</w:t>
      </w:r>
    </w:p>
    <w:p>
      <w:pPr>
        <w:pStyle w:val="BodyText"/>
      </w:pPr>
      <w:r>
        <w:rPr>
          <w:bCs/>
          <w:b/>
        </w:rPr>
        <w:t xml:space="preserve">Figure 20.4 — Redis Cluster: hash slots, redirects and replicas.</w:t>
      </w:r>
    </w:p>
    <w:p>
      <w:pPr>
        <w:pStyle w:val="BodyText"/>
      </w:pPr>
      <w:r>
        <w:drawing>
          <wp:inline>
            <wp:extent cx="5334000" cy="882315"/>
            <wp:effectExtent b="0" l="0" r="0" t="0"/>
            <wp:docPr descr="" title="" id="2279" name="Picture"/>
            <a:graphic>
              <a:graphicData uri="http://schemas.openxmlformats.org/drawingml/2006/picture">
                <pic:pic>
                  <pic:nvPicPr>
                    <pic:cNvPr descr="/home/user/System-Design/build/.cache/diagrams/fbffb994db7b.png" id="2280" name="Picture"/>
                    <pic:cNvPicPr>
                      <a:picLocks noChangeArrowheads="1" noChangeAspect="1"/>
                    </pic:cNvPicPr>
                  </pic:nvPicPr>
                  <pic:blipFill>
                    <a:blip r:embed="rId2278"/>
                    <a:stretch>
                      <a:fillRect/>
                    </a:stretch>
                  </pic:blipFill>
                  <pic:spPr bwMode="auto">
                    <a:xfrm>
                      <a:off x="0" y="0"/>
                      <a:ext cx="5334000" cy="882315"/>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client computes the slot and sends the command directly to the owning primary (slot 9334 on B). With a stale map it reaches the wrong node, which answers</w:t>
      </w:r>
      <w:r>
        <w:t xml:space="preserve"> </w:t>
      </w:r>
      <w:r>
        <w:rPr>
          <w:rStyle w:val="VerbatimChar"/>
        </w:rPr>
        <w:t xml:space="preserve">MOVED</w:t>
      </w:r>
      <w:r>
        <w:t xml:space="preserve">; the client updates its map and retries. Primaries replicate asynchronously (dotted) and gossip on the cluster bus. Storage boundaries: each primary holds only its slots. Failure points: failover loses unreplicated writes; the minority side of a network partition stops accepting writes. Scaling: add primaries and move slots, a fixed-partition scheme (§14.9.2) rather than a hash ring (§20.14).</w:t>
      </w:r>
    </w:p>
    <w:bookmarkEnd w:id="2281"/>
    <w:bookmarkStart w:id="2285" w:name="Xef38cf101c68c9e85a73cea6d4731e2d8323de3"/>
    <w:p>
      <w:pPr>
        <w:pStyle w:val="Heading3"/>
      </w:pPr>
      <w:r>
        <w:t xml:space="preserve">20.6.5 Memcached: threads, slabs and segmented LRU</w:t>
      </w:r>
    </w:p>
    <w:p>
      <w:pPr>
        <w:pStyle w:val="FirstParagraph"/>
      </w:pPr>
      <w:r>
        <w:t xml:space="preserve">Memcached stores opaque values (1 MB maximum by default) with</w:t>
      </w:r>
      <w:r>
        <w:t xml:space="preserve"> </w:t>
      </w:r>
      <w:r>
        <w:rPr>
          <w:rStyle w:val="VerbatimChar"/>
        </w:rPr>
        <w:t xml:space="preserve">get</w:t>
      </w:r>
      <w:r>
        <w:t xml:space="preserve">,</w:t>
      </w:r>
      <w:r>
        <w:t xml:space="preserve"> </w:t>
      </w:r>
      <w:r>
        <w:rPr>
          <w:rStyle w:val="VerbatimChar"/>
        </w:rPr>
        <w:t xml:space="preserve">set</w:t>
      </w:r>
      <w:r>
        <w:t xml:space="preserve">,</w:t>
      </w:r>
      <w:r>
        <w:t xml:space="preserve"> </w:t>
      </w:r>
      <w:r>
        <w:rPr>
          <w:rStyle w:val="VerbatimChar"/>
        </w:rPr>
        <w:t xml:space="preserve">delete</w:t>
      </w:r>
      <w:r>
        <w:t xml:space="preserve">,</w:t>
      </w:r>
      <w:r>
        <w:t xml:space="preserve"> </w:t>
      </w:r>
      <w:r>
        <w:rPr>
          <w:rStyle w:val="VerbatimChar"/>
        </w:rPr>
        <w:t xml:space="preserve">incr</w:t>
      </w:r>
      <w:r>
        <w:t xml:space="preserve">, compare-and-set (</w:t>
      </w:r>
      <w:r>
        <w:rPr>
          <w:rStyle w:val="VerbatimChar"/>
        </w:rPr>
        <w:t xml:space="preserve">cas</w:t>
      </w:r>
      <w:r>
        <w:t xml:space="preserve">) and a</w:t>
      </w:r>
      <w:r>
        <w:t xml:space="preserve"> </w:t>
      </w:r>
      <w:r>
        <w:rPr>
          <w:bCs/>
          <w:b/>
        </w:rPr>
        <w:t xml:space="preserve">meta protocol</w:t>
      </w:r>
      <w:r>
        <w:t xml:space="preserve"> </w:t>
      </w:r>
      <w:r>
        <w:t xml:space="preserve">whose flags can serve stale items while electing one client to refresh them [Memcached Docs: Meta commands]. It has no built-in persistence or replication; clients spread keys by consistent hashing (§20.14).</w:t>
      </w:r>
    </w:p>
    <w:p>
      <w:pPr>
        <w:pStyle w:val="BodyText"/>
      </w:pPr>
      <w:r>
        <w:rPr>
          <w:bCs/>
          <w:b/>
        </w:rPr>
        <w:t xml:space="preserve">Threads.</w:t>
      </w:r>
      <w:r>
        <w:t xml:space="preserve"> </w:t>
      </w:r>
      <w:r>
        <w:t xml:space="preserve">A listener thread hands connections to</w:t>
      </w:r>
      <w:r>
        <w:t xml:space="preserve"> </w:t>
      </w:r>
      <w:r>
        <w:rPr>
          <w:rStyle w:val="VerbatimChar"/>
        </w:rPr>
        <w:t xml:space="preserve">-t</w:t>
      </w:r>
      <w:r>
        <w:t xml:space="preserve"> </w:t>
      </w:r>
      <w:r>
        <w:t xml:space="preserve">worker threads (4 by default), each with its own</w:t>
      </w:r>
      <w:r>
        <w:t xml:space="preserve"> </w:t>
      </w:r>
      <w:r>
        <w:rPr>
          <w:rStyle w:val="VerbatimChar"/>
        </w:rPr>
        <w:t xml:space="preserve">libevent</w:t>
      </w:r>
      <w:r>
        <w:t xml:space="preserve"> </w:t>
      </w:r>
      <w:r>
        <w:t xml:space="preserve">loop, sharing one hash table under striped locks, so one process uses many cores [Memcached Docs: Overview].</w:t>
      </w:r>
    </w:p>
    <w:p>
      <w:pPr>
        <w:pStyle w:val="BodyText"/>
      </w:pPr>
      <w:r>
        <w:rPr>
          <w:bCs/>
          <w:b/>
        </w:rPr>
        <w:t xml:space="preserve">The slab allocator.</w:t>
      </w:r>
      <w:r>
        <w:t xml:space="preserve"> </w:t>
      </w:r>
      <w:r>
        <w:rPr>
          <w:rStyle w:val="VerbatimChar"/>
        </w:rPr>
        <w:t xml:space="preserve">malloc</w:t>
      </w:r>
      <w:r>
        <w:t xml:space="preserve"> </w:t>
      </w:r>
      <w:r>
        <w:t xml:space="preserve">and</w:t>
      </w:r>
      <w:r>
        <w:t xml:space="preserve"> </w:t>
      </w:r>
      <w:r>
        <w:rPr>
          <w:rStyle w:val="VerbatimChar"/>
        </w:rPr>
        <w:t xml:space="preserve">free</w:t>
      </w:r>
      <w:r>
        <w:t xml:space="preserve"> </w:t>
      </w:r>
      <w:r>
        <w:t xml:space="preserve">on millions of variable-size objects fragment the heap. Memcached instead carves memory into 1 MB</w:t>
      </w:r>
      <w:r>
        <w:t xml:space="preserve"> </w:t>
      </w:r>
      <w:r>
        <w:rPr>
          <w:bCs/>
          <w:b/>
        </w:rPr>
        <w:t xml:space="preserve">pages</w:t>
      </w:r>
      <w:r>
        <w:t xml:space="preserve">, assigns each to a</w:t>
      </w:r>
      <w:r>
        <w:t xml:space="preserve"> </w:t>
      </w:r>
      <w:r>
        <w:rPr>
          <w:bCs/>
          <w:b/>
        </w:rPr>
        <w:t xml:space="preserve">slab class</w:t>
      </w:r>
      <w:r>
        <w:t xml:space="preserve"> </w:t>
      </w:r>
      <w:r>
        <w:t xml:space="preserve">and cuts it into equal</w:t>
      </w:r>
      <w:r>
        <w:t xml:space="preserve"> </w:t>
      </w:r>
      <w:r>
        <w:rPr>
          <w:bCs/>
          <w:b/>
        </w:rPr>
        <w:t xml:space="preserve">chunks</w:t>
      </w:r>
      <w:r>
        <w:t xml:space="preserve"> </w:t>
      </w:r>
      <w:r>
        <w:t xml:space="preserve">whose sizes grow by the factor</w:t>
      </w:r>
      <w:r>
        <w:t xml:space="preserve"> </w:t>
      </w:r>
      <w:r>
        <w:rPr>
          <w:rStyle w:val="VerbatimChar"/>
        </w:rPr>
        <w:t xml:space="preserve">-f</w:t>
      </w:r>
      <w:r>
        <w:t xml:space="preserve"> </w:t>
      </w:r>
      <w:r>
        <w:t xml:space="preserve">(1.25 by default): 96, 120, 152, 192, 240, 304 bytes and so on. An item (key, value and a header of about 50 bytes) takes the smallest chunk that fits.</w:t>
      </w:r>
    </w:p>
    <w:p>
      <w:pPr>
        <w:pStyle w:val="BodyText"/>
      </w:pPr>
      <w:r>
        <w:rPr>
          <w:bCs/>
          <w:b/>
        </w:rPr>
        <w:t xml:space="preserve">Figure 20.5 — Memcached’s slab allocator and per-class LRUs.</w:t>
      </w:r>
    </w:p>
    <w:p>
      <w:pPr>
        <w:pStyle w:val="BodyText"/>
      </w:pPr>
      <w:r>
        <w:drawing>
          <wp:inline>
            <wp:extent cx="5334000" cy="1788941"/>
            <wp:effectExtent b="0" l="0" r="0" t="0"/>
            <wp:docPr descr="" title="" id="2283" name="Picture"/>
            <a:graphic>
              <a:graphicData uri="http://schemas.openxmlformats.org/drawingml/2006/picture">
                <pic:pic>
                  <pic:nvPicPr>
                    <pic:cNvPr descr="/home/user/System-Design/build/.cache/diagrams/dd053f957036.png" id="2284" name="Picture"/>
                    <pic:cNvPicPr>
                      <a:picLocks noChangeArrowheads="1" noChangeAspect="1"/>
                    </pic:cNvPicPr>
                  </pic:nvPicPr>
                  <pic:blipFill>
                    <a:blip r:embed="rId2282"/>
                    <a:stretch>
                      <a:fillRect/>
                    </a:stretch>
                  </pic:blipFill>
                  <pic:spPr bwMode="auto">
                    <a:xfrm>
                      <a:off x="0" y="0"/>
                      <a:ext cx="5334000" cy="1788941"/>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A 110-byte item goes to class 2; a 1 MB page holds</w:t>
      </w:r>
      <w:r>
        <w:t xml:space="preserve"> </w:t>
      </w:r>
      <m:oMath>
        <m:r>
          <m:rPr>
            <m:sty m:val="p"/>
          </m:rPr>
          <m:t>⌊</m:t>
        </m:r>
        <m:r>
          <m:t>1</m:t>
        </m:r>
        <m:r>
          <m:rPr>
            <m:sty m:val="p"/>
          </m:rPr>
          <m:t>,</m:t>
        </m:r>
        <m:r>
          <m:t>048</m:t>
        </m:r>
        <m:r>
          <m:rPr>
            <m:sty m:val="p"/>
          </m:rPr>
          <m:t>,</m:t>
        </m:r>
        <m:r>
          <m:t>576</m:t>
        </m:r>
        <m:r>
          <m:rPr>
            <m:sty m:val="p"/>
          </m:rPr>
          <m:t>/</m:t>
        </m:r>
        <m:r>
          <m:t>120</m:t>
        </m:r>
        <m:r>
          <m:rPr>
            <m:sty m:val="p"/>
          </m:rPr>
          <m:t>⌋</m:t>
        </m:r>
        <m:r>
          <m:rPr>
            <m:sty m:val="p"/>
          </m:rPr>
          <m:t>=</m:t>
        </m:r>
        <m:r>
          <m:t>8</m:t>
        </m:r>
        <m:r>
          <m:rPr>
            <m:sty m:val="p"/>
          </m:rPr>
          <m:t>,</m:t>
        </m:r>
        <m:r>
          <m:t>738</m:t>
        </m:r>
      </m:oMath>
      <w:r>
        <w:t xml:space="preserve"> </w:t>
      </w:r>
      <w:r>
        <w:t xml:space="preserve">such chunks. Each class has its own LRU, so a full class evicts its coldest item even if other classes have free chunks. Background maintenance is dotted. Storage boundary: RAM (optional flash extension, extstore). Failure point:</w:t>
      </w:r>
      <w:r>
        <w:t xml:space="preserve"> </w:t>
      </w:r>
      <w:r>
        <w:rPr>
          <w:bCs/>
          <w:b/>
        </w:rPr>
        <w:t xml:space="preserve">slab calcification</w:t>
      </w:r>
      <w:r>
        <w:t xml:space="preserve">, pages stuck in classes the current size mix no longer needs, which the slab rebalancer fixes by moving pages. Scaling: add memory or servers.</w:t>
      </w:r>
    </w:p>
    <w:p>
      <w:pPr>
        <w:pStyle w:val="CalloutFormula"/>
      </w:pPr>
      <w:r>
        <w:rPr>
          <w:bCs/>
          <w:b/>
        </w:rPr>
        <w:t xml:space="preserve">FORMULA</w:t>
      </w:r>
    </w:p>
    <w:p>
      <w:pPr>
        <w:pStyle w:val="CalloutFormula"/>
      </w:pPr>
      <w:r>
        <w:rPr>
          <w:bCs/>
          <w:b/>
        </w:rPr>
        <w:t xml:space="preserve">Slab internal fragmentation</w:t>
      </w:r>
    </w:p>
    <w:p>
      <w:pPr>
        <w:pStyle w:val="CalloutFormula"/>
      </w:pPr>
      <m:oMathPara>
        <m:oMathParaPr>
          <m:jc m:val="center"/>
        </m:oMathParaPr>
        <m:oMath>
          <m:sSub>
            <m:e>
              <m:r>
                <m:t>c</m:t>
              </m:r>
            </m:e>
            <m:sub>
              <m:r>
                <m:t>k</m:t>
              </m:r>
              <m:r>
                <m:rPr>
                  <m:sty m:val="p"/>
                </m:rPr>
                <m:t>+</m:t>
              </m:r>
              <m:r>
                <m:t>1</m:t>
              </m:r>
            </m:sub>
          </m:sSub>
          <m:r>
            <m:rPr>
              <m:sty m:val="p"/>
            </m:rPr>
            <m:t>≈</m:t>
          </m:r>
          <m:r>
            <m:t>f</m:t>
          </m:r>
          <m:r>
            <m:rPr>
              <m:sty m:val="p"/>
            </m:rPr>
            <m:t>⋅</m:t>
          </m:r>
          <m:sSub>
            <m:e>
              <m:r>
                <m:t>c</m:t>
              </m:r>
            </m:e>
            <m:sub>
              <m:r>
                <m:t>k</m:t>
              </m:r>
            </m:sub>
          </m:sSub>
          <m:r>
            <m:rPr>
              <m:sty m:val="p"/>
            </m:rPr>
            <m:t>,</m:t>
          </m:r>
          <m:r>
            <m:t>  </m:t>
          </m:r>
          <m:r>
            <m:rPr>
              <m:nor/>
              <m:sty m:val="p"/>
            </m:rPr>
            <m:t>waste</m:t>
          </m:r>
          <m:d>
            <m:dPr>
              <m:begChr m:val="("/>
              <m:endChr m:val=")"/>
              <m:sepChr m:val=""/>
              <m:grow/>
            </m:dPr>
            <m:e>
              <m:r>
                <m:t>x</m:t>
              </m:r>
            </m:e>
          </m:d>
          <m:r>
            <m:rPr>
              <m:sty m:val="p"/>
            </m:rPr>
            <m:t>=</m:t>
          </m:r>
          <m:sSub>
            <m:e>
              <m:r>
                <m:t>c</m:t>
              </m:r>
            </m:e>
            <m:sub>
              <m:r>
                <m:t>k</m:t>
              </m:r>
            </m:sub>
          </m:sSub>
          <m:r>
            <m:rPr>
              <m:sty m:val="p"/>
            </m:rPr>
            <m:t>−</m:t>
          </m:r>
          <m:r>
            <m:t>x</m:t>
          </m:r>
          <m:r>
            <m:rPr>
              <m:nor/>
              <m:sty m:val="p"/>
            </m:rPr>
            <m:t> for </m:t>
          </m:r>
          <m:sSub>
            <m:e>
              <m:r>
                <m:t>c</m:t>
              </m:r>
            </m:e>
            <m:sub>
              <m:r>
                <m:t>k</m:t>
              </m:r>
              <m:r>
                <m:rPr>
                  <m:sty m:val="p"/>
                </m:rPr>
                <m:t>−</m:t>
              </m:r>
              <m:r>
                <m:t>1</m:t>
              </m:r>
            </m:sub>
          </m:sSub>
          <m:r>
            <m:rPr>
              <m:sty m:val="p"/>
            </m:rPr>
            <m:t>&lt;</m:t>
          </m:r>
          <m:r>
            <m:t>x</m:t>
          </m:r>
          <m:r>
            <m:rPr>
              <m:sty m:val="p"/>
            </m:rPr>
            <m:t>≤</m:t>
          </m:r>
          <m:sSub>
            <m:e>
              <m:r>
                <m:t>c</m:t>
              </m:r>
            </m:e>
            <m:sub>
              <m:r>
                <m:t>k</m:t>
              </m:r>
            </m:sub>
          </m:sSub>
          <m:r>
            <m:rPr>
              <m:sty m:val="p"/>
            </m:rPr>
            <m:t>,</m:t>
          </m:r>
          <m:r>
            <m:t>  </m:t>
          </m:r>
          <m:f>
            <m:fPr>
              <m:type m:val="bar"/>
            </m:fPr>
            <m:num>
              <m:r>
                <m:rPr>
                  <m:nor/>
                  <m:sty m:val="p"/>
                </m:rPr>
                <m:t>waste</m:t>
              </m:r>
            </m:num>
            <m:den>
              <m:sSub>
                <m:e>
                  <m:r>
                    <m:t>c</m:t>
                  </m:r>
                </m:e>
                <m:sub>
                  <m:r>
                    <m:t>k</m:t>
                  </m:r>
                </m:sub>
              </m:sSub>
            </m:den>
          </m:f>
          <m:r>
            <m:rPr>
              <m:sty m:val="p"/>
            </m:rPr>
            <m:t>&lt;</m:t>
          </m:r>
          <m:r>
            <m:t>1</m:t>
          </m:r>
          <m:r>
            <m:rPr>
              <m:sty m:val="p"/>
            </m:rPr>
            <m:t>−</m:t>
          </m:r>
          <m:f>
            <m:fPr>
              <m:type m:val="bar"/>
            </m:fPr>
            <m:num>
              <m:r>
                <m:t>1</m:t>
              </m:r>
            </m:num>
            <m:den>
              <m:r>
                <m:t>f</m:t>
              </m:r>
            </m:den>
          </m:f>
          <m:r>
            <m:rPr>
              <m:sty m:val="p"/>
            </m:rPr>
            <m:t>,</m:t>
          </m:r>
          <m:r>
            <m:t>  </m:t>
          </m:r>
          <m:r>
            <m:rPr>
              <m:sty m:val="p"/>
              <m:scr m:val="double-struck"/>
            </m:rPr>
            <m:t>E</m:t>
          </m:r>
          <m:r>
            <m:t>​</m:t>
          </m:r>
          <m:d>
            <m:dPr>
              <m:begChr m:val="["/>
              <m:endChr m:val="]"/>
              <m:sepChr m:val=""/>
              <m:grow/>
            </m:dPr>
            <m:e>
              <m:f>
                <m:fPr>
                  <m:type m:val="bar"/>
                </m:fPr>
                <m:num>
                  <m:r>
                    <m:rPr>
                      <m:nor/>
                      <m:sty m:val="p"/>
                    </m:rPr>
                    <m:t>waste</m:t>
                  </m:r>
                </m:num>
                <m:den>
                  <m:sSub>
                    <m:e>
                      <m:r>
                        <m:t>c</m:t>
                      </m:r>
                    </m:e>
                    <m:sub>
                      <m:r>
                        <m:t>k</m:t>
                      </m:r>
                    </m:sub>
                  </m:sSub>
                </m:den>
              </m:f>
            </m:e>
          </m:d>
          <m:r>
            <m:rPr>
              <m:sty m:val="p"/>
            </m:rPr>
            <m:t>≈</m:t>
          </m:r>
          <m:f>
            <m:fPr>
              <m:type m:val="bar"/>
            </m:fPr>
            <m:num>
              <m:r>
                <m:t>1</m:t>
              </m:r>
            </m:num>
            <m:den>
              <m:r>
                <m:t>2</m:t>
              </m:r>
            </m:den>
          </m:f>
          <m:d>
            <m:dPr>
              <m:begChr m:val="("/>
              <m:endChr m:val=")"/>
              <m:sepChr m:val=""/>
              <m:grow/>
            </m:dPr>
            <m:e>
              <m:r>
                <m:t>1</m:t>
              </m:r>
              <m:r>
                <m:rPr>
                  <m:sty m:val="p"/>
                </m:rPr>
                <m:t>−</m:t>
              </m:r>
              <m:f>
                <m:fPr>
                  <m:type m:val="bar"/>
                </m:fPr>
                <m:num>
                  <m:r>
                    <m:t>1</m:t>
                  </m:r>
                </m:num>
                <m:den>
                  <m:r>
                    <m:t>f</m:t>
                  </m:r>
                </m:den>
              </m:f>
            </m:e>
          </m:d>
        </m:oMath>
      </m:oMathPara>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c</m:t>
                  </m:r>
                </m:e>
                <m:sub>
                  <m:r>
                    <m:t>k</m:t>
                  </m:r>
                </m:sub>
              </m:sSub>
            </m:oMath>
          </w:p>
        </w:tc>
        <w:tc>
          <w:tcPr/>
          <w:p>
            <w:pPr>
              <w:pStyle w:val="Compact"/>
              <w:jc w:val="left"/>
            </w:pPr>
            <w:r>
              <w:t xml:space="preserve">Chunk size of slab class</w:t>
            </w:r>
            <w:r>
              <w:t xml:space="preserve"> </w:t>
            </w:r>
            <m:oMath>
              <m:r>
                <m:t>k</m:t>
              </m:r>
            </m:oMath>
            <w:r>
              <w:t xml:space="preserve"> </w:t>
            </w:r>
            <w:r>
              <w:t xml:space="preserve">(rounded to 8 bytes)</w:t>
            </w:r>
          </w:p>
        </w:tc>
        <w:tc>
          <w:tcPr/>
          <w:p>
            <w:pPr>
              <w:pStyle w:val="Compact"/>
              <w:jc w:val="left"/>
            </w:pPr>
            <w:r>
              <w:t xml:space="preserve">bytes</w:t>
            </w:r>
          </w:p>
        </w:tc>
      </w:tr>
      <w:tr>
        <w:tc>
          <w:tcPr/>
          <w:p>
            <w:pPr>
              <w:pStyle w:val="Compact"/>
              <w:jc w:val="left"/>
            </w:pPr>
            <m:oMath>
              <m:r>
                <m:t>f</m:t>
              </m:r>
            </m:oMath>
          </w:p>
        </w:tc>
        <w:tc>
          <w:tcPr/>
          <w:p>
            <w:pPr>
              <w:pStyle w:val="Compact"/>
              <w:jc w:val="left"/>
            </w:pPr>
            <w:r>
              <w:t xml:space="preserve">Growth factor between classes (</w:t>
            </w:r>
            <w:r>
              <w:rPr>
                <w:rStyle w:val="VerbatimChar"/>
              </w:rPr>
              <w:t xml:space="preserve">-f</w:t>
            </w:r>
            <w:r>
              <w:t xml:space="preserve">)</w:t>
            </w:r>
          </w:p>
        </w:tc>
        <w:tc>
          <w:tcPr/>
          <w:p>
            <w:pPr>
              <w:pStyle w:val="Compact"/>
              <w:jc w:val="left"/>
            </w:pPr>
            <w:r>
              <w:t xml:space="preserve">dimensionless</w:t>
            </w:r>
          </w:p>
        </w:tc>
      </w:tr>
      <w:tr>
        <w:tc>
          <w:tcPr/>
          <w:p>
            <w:pPr>
              <w:pStyle w:val="Compact"/>
              <w:jc w:val="left"/>
            </w:pPr>
            <m:oMath>
              <m:r>
                <m:t>x</m:t>
              </m:r>
            </m:oMath>
          </w:p>
        </w:tc>
        <w:tc>
          <w:tcPr/>
          <w:p>
            <w:pPr>
              <w:pStyle w:val="Compact"/>
              <w:jc w:val="left"/>
            </w:pPr>
            <w:r>
              <w:t xml:space="preserve">Item size, including header</w:t>
            </w:r>
          </w:p>
        </w:tc>
        <w:tc>
          <w:tcPr/>
          <w:p>
            <w:pPr>
              <w:pStyle w:val="Compact"/>
              <w:jc w:val="left"/>
            </w:pPr>
            <w:r>
              <w:t xml:space="preserve">bytes</w:t>
            </w:r>
          </w:p>
        </w:tc>
      </w:tr>
      <w:tr>
        <w:tc>
          <w:tcPr/>
          <w:p>
            <w:pPr>
              <w:pStyle w:val="Compact"/>
              <w:jc w:val="left"/>
            </w:pPr>
            <w:r>
              <w:t xml:space="preserve">waste</w:t>
            </w:r>
          </w:p>
        </w:tc>
        <w:tc>
          <w:tcPr/>
          <w:p>
            <w:pPr>
              <w:pStyle w:val="Compact"/>
              <w:jc w:val="left"/>
            </w:pPr>
            <w:r>
              <w:t xml:space="preserve">Unused bytes in the chunk</w:t>
            </w:r>
          </w:p>
        </w:tc>
        <w:tc>
          <w:tcPr/>
          <w:p>
            <w:pPr>
              <w:pStyle w:val="Compact"/>
              <w:jc w:val="left"/>
            </w:pPr>
            <w:r>
              <w:t xml:space="preserve">bytes</w:t>
            </w:r>
          </w:p>
        </w:tc>
      </w:tr>
    </w:tbl>
    <w:p>
      <w:pPr>
        <w:pStyle w:val="CalloutExample"/>
      </w:pPr>
      <w:r>
        <w:rPr>
          <w:bCs/>
          <w:b/>
        </w:rPr>
        <w:t xml:space="preserve">WORKED EXAMPLE</w:t>
      </w:r>
    </w:p>
    <w:p>
      <w:pPr>
        <w:pStyle w:val="CalloutExample"/>
      </w:pPr>
      <w:r>
        <w:rPr>
          <w:bCs/>
          <w:b/>
        </w:rPr>
        <w:t xml:space="preserve">Worked example — Memory for 20 million session objects.</w:t>
      </w:r>
      <w:r>
        <w:t xml:space="preserve"> </w:t>
      </w:r>
      <w:r>
        <w:t xml:space="preserve">Each item is a 40-byte key, a 300-byte value and a 50-byte header:</w:t>
      </w:r>
      <w:r>
        <w:t xml:space="preserve"> </w:t>
      </w:r>
      <m:oMath>
        <m:r>
          <m:t>x</m:t>
        </m:r>
        <m:r>
          <m:rPr>
            <m:sty m:val="p"/>
          </m:rPr>
          <m:t>=</m:t>
        </m:r>
        <m:r>
          <m:t>390</m:t>
        </m:r>
      </m:oMath>
      <w:r>
        <w:t xml:space="preserve"> </w:t>
      </w:r>
      <w:r>
        <w:t xml:space="preserve">bytes.</w:t>
      </w:r>
    </w:p>
    <w:p>
      <w:pPr>
        <w:numPr>
          <w:ilvl w:val="0"/>
          <w:numId w:val="1663"/>
        </w:numPr>
        <w:pStyle w:val="Compact"/>
      </w:pPr>
      <w:r>
        <w:t xml:space="preserve">Classes near 390 bytes: 304, then</w:t>
      </w:r>
      <w:r>
        <w:t xml:space="preserve"> </w:t>
      </w:r>
      <m:oMath>
        <m:r>
          <m:t>304</m:t>
        </m:r>
        <m:r>
          <m:rPr>
            <m:sty m:val="p"/>
          </m:rPr>
          <m:t>×</m:t>
        </m:r>
        <m:r>
          <m:t>1.25</m:t>
        </m:r>
        <m:r>
          <m:rPr>
            <m:sty m:val="p"/>
          </m:rPr>
          <m:t>=</m:t>
        </m:r>
        <m:r>
          <m:t>380</m:t>
        </m:r>
      </m:oMath>
      <w:r>
        <w:t xml:space="preserve"> </w:t>
      </w:r>
      <w:r>
        <w:t xml:space="preserve">(chunk 384), then</w:t>
      </w:r>
      <w:r>
        <w:t xml:space="preserve"> </w:t>
      </w:r>
      <m:oMath>
        <m:r>
          <m:t>384</m:t>
        </m:r>
        <m:r>
          <m:rPr>
            <m:sty m:val="p"/>
          </m:rPr>
          <m:t>×</m:t>
        </m:r>
        <m:r>
          <m:t>1.25</m:t>
        </m:r>
        <m:r>
          <m:rPr>
            <m:sty m:val="p"/>
          </m:rPr>
          <m:t>=</m:t>
        </m:r>
        <m:r>
          <m:t>480</m:t>
        </m:r>
      </m:oMath>
      <w:r>
        <w:t xml:space="preserve">. The item exceeds 384, so it uses a 480-byte chunk.</w:t>
      </w:r>
    </w:p>
    <w:p>
      <w:pPr>
        <w:numPr>
          <w:ilvl w:val="0"/>
          <w:numId w:val="1663"/>
        </w:numPr>
        <w:pStyle w:val="Compact"/>
      </w:pPr>
      <w:r>
        <w:t xml:space="preserve">Waste per item:</w:t>
      </w:r>
      <w:r>
        <w:t xml:space="preserve"> </w:t>
      </w:r>
      <m:oMath>
        <m:r>
          <m:t>480</m:t>
        </m:r>
        <m:r>
          <m:rPr>
            <m:sty m:val="p"/>
          </m:rPr>
          <m:t>−</m:t>
        </m:r>
        <m:r>
          <m:t>390</m:t>
        </m:r>
        <m:r>
          <m:rPr>
            <m:sty m:val="p"/>
          </m:rPr>
          <m:t>=</m:t>
        </m:r>
        <m:r>
          <m:t>90</m:t>
        </m:r>
      </m:oMath>
      <w:r>
        <w:t xml:space="preserve"> </w:t>
      </w:r>
      <w:r>
        <w:t xml:space="preserve">bytes, 18.8% of the chunk, close to the worst case</w:t>
      </w:r>
      <w:r>
        <w:t xml:space="preserve"> </w:t>
      </w:r>
      <m:oMath>
        <m:r>
          <m:t>1</m:t>
        </m:r>
        <m:r>
          <m:rPr>
            <m:sty m:val="p"/>
          </m:rPr>
          <m:t>−</m:t>
        </m:r>
        <m:r>
          <m:t>1</m:t>
        </m:r>
        <m:r>
          <m:rPr>
            <m:sty m:val="p"/>
          </m:rPr>
          <m:t>/</m:t>
        </m:r>
        <m:r>
          <m:t>1.25</m:t>
        </m:r>
        <m:r>
          <m:rPr>
            <m:sty m:val="p"/>
          </m:rPr>
          <m:t>=</m:t>
        </m:r>
        <m:r>
          <m:t>20</m:t>
        </m:r>
        <m:r>
          <m:rPr>
            <m:sty m:val="p"/>
          </m:rPr>
          <m:t>%</m:t>
        </m:r>
      </m:oMath>
      <w:r>
        <w:t xml:space="preserve">.</w:t>
      </w:r>
    </w:p>
    <w:p>
      <w:pPr>
        <w:numPr>
          <w:ilvl w:val="0"/>
          <w:numId w:val="1663"/>
        </w:numPr>
        <w:pStyle w:val="Compact"/>
      </w:pPr>
      <w:r>
        <w:t xml:space="preserve">Memory:</w:t>
      </w:r>
      <w:r>
        <w:t xml:space="preserve"> </w:t>
      </w:r>
      <m:oMath>
        <m:r>
          <m:t>20</m:t>
        </m:r>
        <m:r>
          <m:rPr>
            <m:sty m:val="p"/>
          </m:rPr>
          <m:t>×</m:t>
        </m:r>
        <m:sSup>
          <m:e>
            <m:r>
              <m:t>10</m:t>
            </m:r>
          </m:e>
          <m:sup>
            <m:r>
              <m:t>6</m:t>
            </m:r>
          </m:sup>
        </m:sSup>
        <m:r>
          <m:rPr>
            <m:sty m:val="p"/>
          </m:rPr>
          <m:t>×</m:t>
        </m:r>
        <m:r>
          <m:t>480</m:t>
        </m:r>
        <m:r>
          <m:rPr>
            <m:sty m:val="p"/>
          </m:rPr>
          <m:t>=</m:t>
        </m:r>
        <m:r>
          <m:t>9.6</m:t>
        </m:r>
        <m:r>
          <m:rPr>
            <m:sty m:val="p"/>
          </m:rPr>
          <m:t>×</m:t>
        </m:r>
        <m:sSup>
          <m:e>
            <m:r>
              <m:t>10</m:t>
            </m:r>
          </m:e>
          <m:sup>
            <m:r>
              <m:t>9</m:t>
            </m:r>
          </m:sup>
        </m:sSup>
      </m:oMath>
      <w:r>
        <w:t xml:space="preserve"> </w:t>
      </w:r>
      <w:r>
        <w:t xml:space="preserve">bytes = 9.6 GB, versus 7.8 GB of item bytes. With mixed sizes, expected waste is about</w:t>
      </w:r>
      <w:r>
        <w:t xml:space="preserve"> </w:t>
      </w:r>
      <m:oMath>
        <m:f>
          <m:fPr>
            <m:type m:val="lin"/>
          </m:fPr>
          <m:num>
            <m:r>
              <m:t>1</m:t>
            </m:r>
          </m:num>
          <m:den>
            <m:r>
              <m:t>2</m:t>
            </m:r>
          </m:den>
        </m:f>
        <m:d>
          <m:dPr>
            <m:begChr m:val="("/>
            <m:endChr m:val=")"/>
            <m:sepChr m:val=""/>
            <m:grow/>
          </m:dPr>
          <m:e>
            <m:r>
              <m:t>1</m:t>
            </m:r>
            <m:r>
              <m:rPr>
                <m:sty m:val="p"/>
              </m:rPr>
              <m:t>−</m:t>
            </m:r>
            <m:r>
              <m:t>0.8</m:t>
            </m:r>
          </m:e>
        </m:d>
        <m:r>
          <m:rPr>
            <m:sty m:val="p"/>
          </m:rPr>
          <m:t>=</m:t>
        </m:r>
        <m:r>
          <m:t>10</m:t>
        </m:r>
        <m:r>
          <m:rPr>
            <m:sty m:val="p"/>
          </m:rPr>
          <m:t>%</m:t>
        </m:r>
      </m:oMath>
      <w:r>
        <w:t xml:space="preserve">.</w:t>
      </w:r>
    </w:p>
    <w:p>
      <w:pPr>
        <w:pStyle w:val="CalloutExample"/>
      </w:pPr>
      <w:r>
        <w:rPr>
          <w:bCs/>
          <w:b/>
        </w:rPr>
        <w:t xml:space="preserve">Interpretation.</w:t>
      </w:r>
      <w:r>
        <w:t xml:space="preserve"> </w:t>
      </w:r>
      <w:r>
        <w:t xml:space="preserve">Slab allocation trades 10–20% of memory for no external fragmentation and constant-time allocation.</w:t>
      </w:r>
      <w:r>
        <w:t xml:space="preserve"> </w:t>
      </w:r>
      <w:r>
        <w:rPr>
          <w:bCs/>
          <w:b/>
        </w:rPr>
        <w:t xml:space="preserve">Engineering implication.</w:t>
      </w:r>
      <w:r>
        <w:t xml:space="preserve"> </w:t>
      </w:r>
      <w:r>
        <w:t xml:space="preserve">If one item size dominates, check</w:t>
      </w:r>
      <w:r>
        <w:t xml:space="preserve"> </w:t>
      </w:r>
      <w:r>
        <w:rPr>
          <w:rStyle w:val="VerbatimChar"/>
        </w:rPr>
        <w:t xml:space="preserve">stats slabs</w:t>
      </w:r>
      <w:r>
        <w:t xml:space="preserve"> </w:t>
      </w:r>
      <w:r>
        <w:t xml:space="preserve">and consider a smaller growth factor (for example</w:t>
      </w:r>
      <w:r>
        <w:t xml:space="preserve"> </w:t>
      </w:r>
      <w:r>
        <w:rPr>
          <w:rStyle w:val="VerbatimChar"/>
        </w:rPr>
        <w:t xml:space="preserve">-f 1.08</w:t>
      </w:r>
      <w:r>
        <w:t xml:space="preserve">) so a class lands just above your common size; budget memory by chunk size, not value size.</w:t>
      </w:r>
    </w:p>
    <w:p>
      <w:pPr>
        <w:pStyle w:val="BodyText"/>
      </w:pPr>
      <w:r>
        <w:rPr>
          <w:bCs/>
          <w:b/>
        </w:rPr>
        <w:t xml:space="preserve">Segmented LRU.</w:t>
      </w:r>
      <w:r>
        <w:t xml:space="preserve"> </w:t>
      </w:r>
      <w:r>
        <w:t xml:space="preserve">Since version 1.5.0, each class’s LRU is split into</w:t>
      </w:r>
      <w:r>
        <w:t xml:space="preserve"> </w:t>
      </w:r>
      <w:r>
        <w:rPr>
          <w:bCs/>
          <w:b/>
        </w:rPr>
        <w:t xml:space="preserve">HOT</w:t>
      </w:r>
      <w:r>
        <w:t xml:space="preserve">,</w:t>
      </w:r>
      <w:r>
        <w:t xml:space="preserve"> </w:t>
      </w:r>
      <w:r>
        <w:rPr>
          <w:bCs/>
          <w:b/>
        </w:rPr>
        <w:t xml:space="preserve">WARM</w:t>
      </w:r>
      <w:r>
        <w:t xml:space="preserve"> </w:t>
      </w:r>
      <w:r>
        <w:t xml:space="preserve">and</w:t>
      </w:r>
      <w:r>
        <w:t xml:space="preserve"> </w:t>
      </w:r>
      <w:r>
        <w:rPr>
          <w:bCs/>
          <w:b/>
        </w:rPr>
        <w:t xml:space="preserve">COLD</w:t>
      </w:r>
      <w:r>
        <w:t xml:space="preserve"> </w:t>
      </w:r>
      <w:r>
        <w:t xml:space="preserve">segments (plus</w:t>
      </w:r>
      <w:r>
        <w:t xml:space="preserve"> </w:t>
      </w:r>
      <w:r>
        <w:rPr>
          <w:bCs/>
          <w:b/>
        </w:rPr>
        <w:t xml:space="preserve">TEMP</w:t>
      </w:r>
      <w:r>
        <w:t xml:space="preserve"> </w:t>
      </w:r>
      <w:r>
        <w:t xml:space="preserve">for very short TTLs). New items enter HOT; items reaching a segment’s tail move to COLD unless accessed, in which case they go to WARM; evictions take COLD’s tail. A background</w:t>
      </w:r>
      <w:r>
        <w:t xml:space="preserve"> </w:t>
      </w:r>
      <w:r>
        <w:rPr>
          <w:bCs/>
          <w:b/>
        </w:rPr>
        <w:t xml:space="preserve">LRU maintainer</w:t>
      </w:r>
      <w:r>
        <w:t xml:space="preserve"> </w:t>
      </w:r>
      <w:r>
        <w:t xml:space="preserve">moves items, so a hit only sets a flag instead of relinking a locked list [Memcached Blog: Modern LRU]: InnoDB’s scan-resistant midpoint idea (§13.4.2) applied to a cache.</w:t>
      </w:r>
    </w:p>
    <w:p>
      <w:pPr>
        <w:pStyle w:val="CalloutIndustry"/>
      </w:pPr>
      <w:r>
        <w:rPr>
          <w:bCs/>
          <w:b/>
        </w:rPr>
        <w:t xml:space="preserve">INDUSTRY EXAMPLE</w:t>
      </w:r>
    </w:p>
    <w:p>
      <w:pPr>
        <w:pStyle w:val="CalloutIndustry"/>
      </w:pPr>
      <w:r>
        <w:rPr>
          <w:bCs/>
          <w:b/>
        </w:rPr>
        <w:t xml:space="preserve">Netflix EVCache.</w:t>
      </w:r>
      <w:r>
        <w:t xml:space="preserve"> </w:t>
      </w:r>
      <w:r>
        <w:t xml:space="preserve">Netflix built EVCache, a client library and tooling around Memcached, to cache data for its streaming services; writes are replicated to copies in several availability zones and regions by the client so a zone failure does not empty the cache, and it was open-sourced [Netflix: EVCache]. The design shows the Memcached philosophy: keep the server simple and put replication and routing in the client or a proxy.</w:t>
      </w:r>
      <w:r>
        <w:t xml:space="preserve"> </w:t>
      </w:r>
      <w:r>
        <w:rPr>
          <w:iCs/>
          <w:i/>
        </w:rPr>
        <w:t xml:space="preserve">Evidence: Primary</w:t>
      </w:r>
      <w:r>
        <w:t xml:space="preserve"> </w:t>
      </w:r>
      <w:r>
        <w:t xml:space="preserve">— [Netflix: EVCache]</w:t>
      </w:r>
    </w:p>
    <w:bookmarkEnd w:id="2285"/>
    <w:bookmarkEnd w:id="2286"/>
    <w:bookmarkStart w:id="2312" w:name="X70a827812fa64b53338812e7f3c6a43c51dc24a"/>
    <w:p>
      <w:pPr>
        <w:pStyle w:val="Heading2"/>
      </w:pPr>
      <w:r>
        <w:t xml:space="preserve">20.7 Caching patterns: cache-aside, read-through, write-through, write-back, write-around</w:t>
      </w:r>
    </w:p>
    <w:p>
      <w:pPr>
        <w:pStyle w:val="FirstParagraph"/>
      </w:pPr>
      <w:r>
        <w:t xml:space="preserve">A caching pattern answers two questions:</w:t>
      </w:r>
      <w:r>
        <w:t xml:space="preserve"> </w:t>
      </w:r>
      <w:r>
        <w:rPr>
          <w:iCs/>
          <w:i/>
        </w:rPr>
        <w:t xml:space="preserve">who</w:t>
      </w:r>
      <w:r>
        <w:t xml:space="preserve"> </w:t>
      </w:r>
      <w:r>
        <w:t xml:space="preserve">fills the cache on a read miss (your code or the cache), and</w:t>
      </w:r>
      <w:r>
        <w:t xml:space="preserve"> </w:t>
      </w:r>
      <w:r>
        <w:rPr>
          <w:iCs/>
          <w:i/>
        </w:rPr>
        <w:t xml:space="preserve">what happens to the cache</w:t>
      </w:r>
      <w:r>
        <w:t xml:space="preserve"> </w:t>
      </w:r>
      <w:r>
        <w:t xml:space="preserve">on a write. Each answer moves the consistency risk somewhere else.</w:t>
      </w:r>
    </w:p>
    <w:bookmarkStart w:id="2290" w:name="cache-aside-look-aside"/>
    <w:p>
      <w:pPr>
        <w:pStyle w:val="Heading3"/>
      </w:pPr>
      <w:r>
        <w:t xml:space="preserve">20.7.1 Cache-aside (look-aside)</w:t>
      </w:r>
    </w:p>
    <w:p>
      <w:pPr>
        <w:pStyle w:val="CalloutDefinition"/>
      </w:pPr>
      <w:r>
        <w:rPr>
          <w:bCs/>
          <w:b/>
        </w:rPr>
        <w:t xml:space="preserve">DEFINITION</w:t>
      </w:r>
    </w:p>
    <w:p>
      <w:pPr>
        <w:pStyle w:val="CalloutDefinition"/>
      </w:pPr>
      <w:r>
        <w:rPr>
          <w:bCs/>
          <w:b/>
        </w:rPr>
        <w:t xml:space="preserve">Definition — Cache-aside.</w:t>
      </w:r>
      <w:r>
        <w:t xml:space="preserve"> </w:t>
      </w:r>
      <w:r>
        <w:t xml:space="preserve">The application reads the cache first; on a miss it reads the database and populates the cache itself. On a write it updates the database and then</w:t>
      </w:r>
      <w:r>
        <w:t xml:space="preserve"> </w:t>
      </w:r>
      <w:r>
        <w:rPr>
          <w:bCs/>
          <w:b/>
        </w:rPr>
        <w:t xml:space="preserve">deletes</w:t>
      </w:r>
      <w:r>
        <w:t xml:space="preserve"> </w:t>
      </w:r>
      <w:r>
        <w:t xml:space="preserve">(invalidates) the cache entry. The cache never talks to the database. Also called</w:t>
      </w:r>
      <w:r>
        <w:t xml:space="preserve"> </w:t>
      </w:r>
      <w:r>
        <w:rPr>
          <w:bCs/>
          <w:b/>
        </w:rPr>
        <w:t xml:space="preserve">look-aside</w:t>
      </w:r>
      <w:r>
        <w:t xml:space="preserve"> </w:t>
      </w:r>
      <w:r>
        <w:t xml:space="preserve">or</w:t>
      </w:r>
      <w:r>
        <w:t xml:space="preserve"> </w:t>
      </w:r>
      <w:r>
        <w:rPr>
          <w:bCs/>
          <w:b/>
        </w:rPr>
        <w:t xml:space="preserve">demand-filled</w:t>
      </w:r>
      <w:r>
        <w:t xml:space="preserve"> </w:t>
      </w:r>
      <w:r>
        <w:t xml:space="preserve">caching.</w:t>
      </w:r>
    </w:p>
    <w:p>
      <w:pPr>
        <w:pStyle w:val="BodyText"/>
      </w:pPr>
      <w:r>
        <w:rPr>
          <w:bCs/>
          <w:b/>
        </w:rPr>
        <w:t xml:space="preserve">Figure 20.6 — Cache-aside read and write paths.</w:t>
      </w:r>
    </w:p>
    <w:p>
      <w:pPr>
        <w:pStyle w:val="BodyText"/>
      </w:pPr>
      <w:r>
        <w:drawing>
          <wp:inline>
            <wp:extent cx="5334000" cy="4059302"/>
            <wp:effectExtent b="0" l="0" r="0" t="0"/>
            <wp:docPr descr="" title="" id="2288" name="Picture"/>
            <a:graphic>
              <a:graphicData uri="http://schemas.openxmlformats.org/drawingml/2006/picture">
                <pic:pic>
                  <pic:nvPicPr>
                    <pic:cNvPr descr="/home/user/System-Design/build/.cache/diagrams/4175c98b789a.png" id="2289" name="Picture"/>
                    <pic:cNvPicPr>
                      <a:picLocks noChangeArrowheads="1" noChangeAspect="1"/>
                    </pic:cNvPicPr>
                  </pic:nvPicPr>
                  <pic:blipFill>
                    <a:blip r:embed="rId2287"/>
                    <a:stretch>
                      <a:fillRect/>
                    </a:stretch>
                  </pic:blipFill>
                  <pic:spPr bwMode="auto">
                    <a:xfrm>
                      <a:off x="0" y="0"/>
                      <a:ext cx="5334000" cy="4059302"/>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All calls are synchronous and made by the application. On a miss it reads the database and sets the value with a TTL; on a write it commits first, then deletes the key. Storage boundaries: cache and database, with no transaction spanning both. Failure points: a failed delete (the TTL bounds staleness) and a concurrent read re-inserting old data (§20.7.2). Scaling: memory follows the read working set.</w:t>
      </w:r>
    </w:p>
    <w:p>
      <w:pPr>
        <w:pStyle w:val="BodyText"/>
      </w:pPr>
      <w:r>
        <w:t xml:space="preserve">Cache-aside is the default for remote caches because it is simple, keeps the cache optional (if the cache is down, reads go to the database) and caches only data that is actually read. Facebook’s Memcache deployment is the canonical large-scale example [Nishtala et al. 2013].</w:t>
      </w:r>
    </w:p>
    <w:p>
      <w:pPr>
        <w:pStyle w:val="BodyText"/>
      </w:pPr>
      <w:r>
        <w:rPr>
          <w:bCs/>
          <w:b/>
        </w:rPr>
        <w:t xml:space="preserve">Why delete instead of update?</w:t>
      </w:r>
      <w:r>
        <w:t xml:space="preserve"> </w:t>
      </w:r>
      <w:r>
        <w:t xml:space="preserve">If writers</w:t>
      </w:r>
      <w:r>
        <w:t xml:space="preserve"> </w:t>
      </w:r>
      <w:r>
        <w:rPr>
          <w:iCs/>
          <w:i/>
        </w:rPr>
        <w:t xml:space="preserve">set</w:t>
      </w:r>
      <w:r>
        <w:t xml:space="preserve"> </w:t>
      </w:r>
      <w:r>
        <w:t xml:space="preserve">the new value, two concurrent writers can commit to the database in one order and set the cache in the other, leaving the older value cached indefinitely. A delete is idempotent: whichever order deletes arrive in, the result is</w:t>
      </w:r>
      <w:r>
        <w:t xml:space="preserve"> </w:t>
      </w:r>
      <w:r>
        <w:t xml:space="preserve">“</w:t>
      </w:r>
      <w:r>
        <w:t xml:space="preserve">absent</w:t>
      </w:r>
      <w:r>
        <w:t xml:space="preserve">”</w:t>
      </w:r>
      <w:r>
        <w:t xml:space="preserve">, and the next read loads the committed value. Nishtala et al. chose deletes for exactly this reason [Nishtala et al. 2013].</w:t>
      </w:r>
    </w:p>
    <w:bookmarkEnd w:id="2290"/>
    <w:bookmarkStart w:id="2294" w:name="consistency-races-in-cache-aside"/>
    <w:p>
      <w:pPr>
        <w:pStyle w:val="Heading3"/>
      </w:pPr>
      <w:r>
        <w:t xml:space="preserve">20.7.2 Consistency races in cache-aside</w:t>
      </w:r>
    </w:p>
    <w:p>
      <w:pPr>
        <w:pStyle w:val="FirstParagraph"/>
      </w:pPr>
      <w:r>
        <w:t xml:space="preserve">Deleting after the write narrows the window for stale data but does not close it.</w:t>
      </w:r>
    </w:p>
    <w:p>
      <w:pPr>
        <w:pStyle w:val="BodyText"/>
      </w:pPr>
      <w:r>
        <w:rPr>
          <w:bCs/>
          <w:b/>
        </w:rPr>
        <w:t xml:space="preserve">Figure 20.7 — The stale-set race in cache-aside.</w:t>
      </w:r>
    </w:p>
    <w:p>
      <w:pPr>
        <w:pStyle w:val="BodyText"/>
      </w:pPr>
      <w:r>
        <w:drawing>
          <wp:inline>
            <wp:extent cx="5334000" cy="3170766"/>
            <wp:effectExtent b="0" l="0" r="0" t="0"/>
            <wp:docPr descr="" title="" id="2292" name="Picture"/>
            <a:graphic>
              <a:graphicData uri="http://schemas.openxmlformats.org/drawingml/2006/picture">
                <pic:pic>
                  <pic:nvPicPr>
                    <pic:cNvPr descr="/home/user/System-Design/build/.cache/diagrams/0f929ccf32ed.png" id="2293" name="Picture"/>
                    <pic:cNvPicPr>
                      <a:picLocks noChangeArrowheads="1" noChangeAspect="1"/>
                    </pic:cNvPicPr>
                  </pic:nvPicPr>
                  <pic:blipFill>
                    <a:blip r:embed="rId2291"/>
                    <a:stretch>
                      <a:fillRect/>
                    </a:stretch>
                  </pic:blipFill>
                  <pic:spPr bwMode="auto">
                    <a:xfrm>
                      <a:off x="0" y="0"/>
                      <a:ext cx="5334000" cy="3170766"/>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Time flows downward. The reader misses and reads</w:t>
      </w:r>
      <w:r>
        <w:t xml:space="preserve"> </w:t>
      </w:r>
      <m:oMath>
        <m:sSub>
          <m:e>
            <m:r>
              <m:t>v</m:t>
            </m:r>
          </m:e>
          <m:sub>
            <m:r>
              <m:t>1</m:t>
            </m:r>
          </m:sub>
        </m:sSub>
      </m:oMath>
      <w:r>
        <w:t xml:space="preserve"> </w:t>
      </w:r>
      <w:r>
        <w:t xml:space="preserve">but is delayed (a GC pause, a slow network) before setting it. Meanwhile the writer commits</w:t>
      </w:r>
      <w:r>
        <w:t xml:space="preserve"> </w:t>
      </w:r>
      <m:oMath>
        <m:sSub>
          <m:e>
            <m:r>
              <m:t>v</m:t>
            </m:r>
          </m:e>
          <m:sub>
            <m:r>
              <m:t>2</m:t>
            </m:r>
          </m:sub>
        </m:sSub>
      </m:oMath>
      <w:r>
        <w:t xml:space="preserve"> </w:t>
      </w:r>
      <w:r>
        <w:t xml:space="preserve">and deletes the key, which is already absent. The reader’s late</w:t>
      </w:r>
      <w:r>
        <w:t xml:space="preserve"> </w:t>
      </w:r>
      <w:r>
        <w:rPr>
          <w:rStyle w:val="VerbatimChar"/>
        </w:rPr>
        <w:t xml:space="preserve">SET</w:t>
      </w:r>
      <w:r>
        <w:t xml:space="preserve"> </w:t>
      </w:r>
      <w:r>
        <w:t xml:space="preserve">then installs</w:t>
      </w:r>
      <w:r>
        <w:t xml:space="preserve"> </w:t>
      </w:r>
      <m:oMath>
        <m:sSub>
          <m:e>
            <m:r>
              <m:t>v</m:t>
            </m:r>
          </m:e>
          <m:sub>
            <m:r>
              <m:t>1</m:t>
            </m:r>
          </m:sub>
        </m:sSub>
      </m:oMath>
      <w:r>
        <w:t xml:space="preserve">, and every subsequent reader sees stale data until the TTL expires. All steps are synchronous; the hazard is the gap between the reader’s database read and its cache write. The race is rare, but at millions of reads per second rare events happen every day.</w:t>
      </w:r>
    </w:p>
    <w:p>
      <w:pPr>
        <w:pStyle w:val="BodyText"/>
      </w:pPr>
      <w:r>
        <w:t xml:space="preserve">The opposite ordering is worse. If the writer deletes the cache</w:t>
      </w:r>
      <w:r>
        <w:t xml:space="preserve"> </w:t>
      </w:r>
      <w:r>
        <w:rPr>
          <w:iCs/>
          <w:i/>
        </w:rPr>
        <w:t xml:space="preserve">before</w:t>
      </w:r>
      <w:r>
        <w:t xml:space="preserve"> </w:t>
      </w:r>
      <w:r>
        <w:t xml:space="preserve">updating the database, any reader arriving between the delete and the commit refills the cache with the old value, a window as long as the write transaction.</w:t>
      </w:r>
    </w:p>
    <w:p>
      <w:pPr>
        <w:pStyle w:val="BodyText"/>
      </w:pPr>
      <w:r>
        <w:t xml:space="preserve">Mitigations, from simplest to strongest:</w:t>
      </w:r>
    </w:p>
    <w:p>
      <w:pPr>
        <w:numPr>
          <w:ilvl w:val="0"/>
          <w:numId w:val="1664"/>
        </w:numPr>
        <w:pStyle w:val="Compact"/>
      </w:pPr>
      <w:r>
        <w:rPr>
          <w:bCs/>
          <w:b/>
        </w:rPr>
        <w:t xml:space="preserve">Short TTLs</w:t>
      </w:r>
      <w:r>
        <w:t xml:space="preserve"> </w:t>
      </w:r>
      <w:r>
        <w:t xml:space="preserve">bound how long a stale entry can survive. Always set one.</w:t>
      </w:r>
    </w:p>
    <w:p>
      <w:pPr>
        <w:numPr>
          <w:ilvl w:val="0"/>
          <w:numId w:val="1664"/>
        </w:numPr>
        <w:pStyle w:val="Compact"/>
      </w:pPr>
      <w:r>
        <w:rPr>
          <w:bCs/>
          <w:b/>
        </w:rPr>
        <w:t xml:space="preserve">Delayed double delete</w:t>
      </w:r>
      <w:r>
        <w:t xml:space="preserve">: delete, commit, then delete again after a delay longer than a typical read–fill (for example 500 ms). It shrinks the window but is a heuristic.</w:t>
      </w:r>
    </w:p>
    <w:p>
      <w:pPr>
        <w:numPr>
          <w:ilvl w:val="0"/>
          <w:numId w:val="1664"/>
        </w:numPr>
        <w:pStyle w:val="Compact"/>
      </w:pPr>
      <w:r>
        <w:rPr>
          <w:bCs/>
          <w:b/>
        </w:rPr>
        <w:t xml:space="preserve">Leases</w:t>
      </w:r>
      <w:r>
        <w:t xml:space="preserve">: on a miss the cache hands the reader a token; a delete invalidates outstanding tokens, and a</w:t>
      </w:r>
      <w:r>
        <w:t xml:space="preserve"> </w:t>
      </w:r>
      <w:r>
        <w:rPr>
          <w:rStyle w:val="VerbatimChar"/>
        </w:rPr>
        <w:t xml:space="preserve">SET</w:t>
      </w:r>
      <w:r>
        <w:t xml:space="preserve"> </w:t>
      </w:r>
      <w:r>
        <w:t xml:space="preserve">with an invalid token is rejected. In Figure 20.7 the writer’s</w:t>
      </w:r>
      <w:r>
        <w:t xml:space="preserve"> </w:t>
      </w:r>
      <w:r>
        <w:rPr>
          <w:rStyle w:val="VerbatimChar"/>
        </w:rPr>
        <w:t xml:space="preserve">DEL</w:t>
      </w:r>
      <w:r>
        <w:t xml:space="preserve"> </w:t>
      </w:r>
      <w:r>
        <w:t xml:space="preserve">would void the reader’s lease, so the stale</w:t>
      </w:r>
      <w:r>
        <w:t xml:space="preserve"> </w:t>
      </w:r>
      <w:r>
        <w:rPr>
          <w:rStyle w:val="VerbatimChar"/>
        </w:rPr>
        <w:t xml:space="preserve">SET</w:t>
      </w:r>
      <w:r>
        <w:t xml:space="preserve"> </w:t>
      </w:r>
      <w:r>
        <w:t xml:space="preserve">fails [Nishtala et al. 2013]. Memcached’s</w:t>
      </w:r>
      <w:r>
        <w:t xml:space="preserve"> </w:t>
      </w:r>
      <w:r>
        <w:rPr>
          <w:rStyle w:val="VerbatimChar"/>
        </w:rPr>
        <w:t xml:space="preserve">cas</w:t>
      </w:r>
      <w:r>
        <w:t xml:space="preserve"> </w:t>
      </w:r>
      <w:r>
        <w:t xml:space="preserve">and meta-protocol tokens provide similar building blocks.</w:t>
      </w:r>
    </w:p>
    <w:p>
      <w:pPr>
        <w:numPr>
          <w:ilvl w:val="0"/>
          <w:numId w:val="1664"/>
        </w:numPr>
        <w:pStyle w:val="Compact"/>
      </w:pPr>
      <w:r>
        <w:rPr>
          <w:bCs/>
          <w:b/>
        </w:rPr>
        <w:t xml:space="preserve">Versioned sets</w:t>
      </w:r>
      <w:r>
        <w:t xml:space="preserve">: store a version (a database row version or commit LSN) with the value and set only if the cached version is older, using compare-and-set or a server-side script.</w:t>
      </w:r>
    </w:p>
    <w:p>
      <w:pPr>
        <w:numPr>
          <w:ilvl w:val="0"/>
          <w:numId w:val="1664"/>
        </w:numPr>
        <w:pStyle w:val="Compact"/>
      </w:pPr>
      <w:r>
        <w:rPr>
          <w:bCs/>
          <w:b/>
        </w:rPr>
        <w:t xml:space="preserve">Invalidation from the database’s change stream</w:t>
      </w:r>
      <w:r>
        <w:t xml:space="preserve"> </w:t>
      </w:r>
      <w:r>
        <w:t xml:space="preserve">(§20.10.2): deletes are issued after commit by a process that tails the log, so no application crash can skip them.</w:t>
      </w:r>
    </w:p>
    <w:bookmarkEnd w:id="2294"/>
    <w:bookmarkStart w:id="2298" w:name="read-through"/>
    <w:p>
      <w:pPr>
        <w:pStyle w:val="Heading3"/>
      </w:pPr>
      <w:r>
        <w:t xml:space="preserve">20.7.3 Read-through</w:t>
      </w:r>
    </w:p>
    <w:p>
      <w:pPr>
        <w:pStyle w:val="CalloutDefinition"/>
      </w:pPr>
      <w:r>
        <w:rPr>
          <w:bCs/>
          <w:b/>
        </w:rPr>
        <w:t xml:space="preserve">DEFINITION</w:t>
      </w:r>
    </w:p>
    <w:p>
      <w:pPr>
        <w:pStyle w:val="CalloutDefinition"/>
      </w:pPr>
      <w:r>
        <w:rPr>
          <w:bCs/>
          <w:b/>
        </w:rPr>
        <w:t xml:space="preserve">Definition — Read-through.</w:t>
      </w:r>
      <w:r>
        <w:t xml:space="preserve"> </w:t>
      </w:r>
      <w:r>
        <w:t xml:space="preserve">The application asks only the cache; on a miss the</w:t>
      </w:r>
      <w:r>
        <w:t xml:space="preserve"> </w:t>
      </w:r>
      <w:r>
        <w:rPr>
          <w:iCs/>
          <w:i/>
        </w:rPr>
        <w:t xml:space="preserve">cache</w:t>
      </w:r>
      <w:r>
        <w:t xml:space="preserve"> </w:t>
      </w:r>
      <w:r>
        <w:t xml:space="preserve">loads the value from the database through a configured loader, stores it and returns it.</w:t>
      </w:r>
    </w:p>
    <w:p>
      <w:pPr>
        <w:pStyle w:val="BodyText"/>
      </w:pPr>
      <w:r>
        <w:rPr>
          <w:bCs/>
          <w:b/>
        </w:rPr>
        <w:t xml:space="preserve">Figure 20.8 — Read-through.</w:t>
      </w:r>
    </w:p>
    <w:p>
      <w:pPr>
        <w:pStyle w:val="BodyText"/>
      </w:pPr>
      <w:r>
        <w:drawing>
          <wp:inline>
            <wp:extent cx="5334000" cy="4300340"/>
            <wp:effectExtent b="0" l="0" r="0" t="0"/>
            <wp:docPr descr="" title="" id="2296" name="Picture"/>
            <a:graphic>
              <a:graphicData uri="http://schemas.openxmlformats.org/drawingml/2006/picture">
                <pic:pic>
                  <pic:nvPicPr>
                    <pic:cNvPr descr="/home/user/System-Design/build/.cache/diagrams/b15cb7405f6a.png" id="2297" name="Picture"/>
                    <pic:cNvPicPr>
                      <a:picLocks noChangeArrowheads="1" noChangeAspect="1"/>
                    </pic:cNvPicPr>
                  </pic:nvPicPr>
                  <pic:blipFill>
                    <a:blip r:embed="rId2295"/>
                    <a:stretch>
                      <a:fillRect/>
                    </a:stretch>
                  </pic:blipFill>
                  <pic:spPr bwMode="auto">
                    <a:xfrm>
                      <a:off x="0" y="0"/>
                      <a:ext cx="5334000" cy="4300340"/>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application sees one synchronous interface; the cache loads. Because the loader sits inside the cache, concurrent misses for a key can be</w:t>
      </w:r>
      <w:r>
        <w:t xml:space="preserve"> </w:t>
      </w:r>
      <w:r>
        <w:rPr>
          <w:bCs/>
          <w:b/>
        </w:rPr>
        <w:t xml:space="preserve">coalesced</w:t>
      </w:r>
      <w:r>
        <w:t xml:space="preserve"> </w:t>
      </w:r>
      <w:r>
        <w:t xml:space="preserve">into one database read (§20.11). Storage boundaries are as in cache-aside, but a cache outage also blocks reads unless the client falls back. Caffeine’s</w:t>
      </w:r>
      <w:r>
        <w:t xml:space="preserve"> </w:t>
      </w:r>
      <w:r>
        <w:rPr>
          <w:rStyle w:val="VerbatimChar"/>
        </w:rPr>
        <w:t xml:space="preserve">LoadingCache</w:t>
      </w:r>
      <w:r>
        <w:t xml:space="preserve"> </w:t>
      </w:r>
      <w:r>
        <w:t xml:space="preserve">is an in-process example; remote read-through usually comes from a proxy or loader plug-in.</w:t>
      </w:r>
    </w:p>
    <w:bookmarkEnd w:id="2298"/>
    <w:bookmarkStart w:id="2302" w:name="write-through"/>
    <w:p>
      <w:pPr>
        <w:pStyle w:val="Heading3"/>
      </w:pPr>
      <w:r>
        <w:t xml:space="preserve">20.7.4 Write-through</w:t>
      </w:r>
    </w:p>
    <w:p>
      <w:pPr>
        <w:pStyle w:val="CalloutDefinition"/>
      </w:pPr>
      <w:r>
        <w:rPr>
          <w:bCs/>
          <w:b/>
        </w:rPr>
        <w:t xml:space="preserve">DEFINITION</w:t>
      </w:r>
    </w:p>
    <w:p>
      <w:pPr>
        <w:pStyle w:val="CalloutDefinition"/>
      </w:pPr>
      <w:r>
        <w:rPr>
          <w:bCs/>
          <w:b/>
        </w:rPr>
        <w:t xml:space="preserve">Definition — Write-through.</w:t>
      </w:r>
      <w:r>
        <w:t xml:space="preserve"> </w:t>
      </w:r>
      <w:r>
        <w:t xml:space="preserve">Every write goes to the cache, which synchronously writes it to the database before acknowledging; the cache is updated and the database is updated as one client-visible operation.</w:t>
      </w:r>
    </w:p>
    <w:p>
      <w:pPr>
        <w:pStyle w:val="BodyText"/>
      </w:pPr>
      <w:r>
        <w:rPr>
          <w:bCs/>
          <w:b/>
        </w:rPr>
        <w:t xml:space="preserve">Figure 20.9 — Write-through.</w:t>
      </w:r>
    </w:p>
    <w:p>
      <w:pPr>
        <w:pStyle w:val="BodyText"/>
      </w:pPr>
      <w:r>
        <w:drawing>
          <wp:inline>
            <wp:extent cx="5334000" cy="3636818"/>
            <wp:effectExtent b="0" l="0" r="0" t="0"/>
            <wp:docPr descr="" title="" id="2300" name="Picture"/>
            <a:graphic>
              <a:graphicData uri="http://schemas.openxmlformats.org/drawingml/2006/picture">
                <pic:pic>
                  <pic:nvPicPr>
                    <pic:cNvPr descr="/home/user/System-Design/build/.cache/diagrams/1e6096b01240.png" id="2301" name="Picture"/>
                    <pic:cNvPicPr>
                      <a:picLocks noChangeArrowheads="1" noChangeAspect="1"/>
                    </pic:cNvPicPr>
                  </pic:nvPicPr>
                  <pic:blipFill>
                    <a:blip r:embed="rId2299"/>
                    <a:stretch>
                      <a:fillRect/>
                    </a:stretch>
                  </pic:blipFill>
                  <pic:spPr bwMode="auto">
                    <a:xfrm>
                      <a:off x="0" y="0"/>
                      <a:ext cx="5334000" cy="3636818"/>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write is acknowledged only after both the database commit and the cache update, so a subsequent read through the same cache sees the new value. Write latency is the sum of both, and every written key is cached, even if never read. Failure points: a crash between the database commit and the cache store leaves the cache without the value (harmless) or, if ordered the other way, with a value the database never committed (harmful), so the database must be written first. Writes that bypass the cache layer (an admin script, another service) still make it stale.</w:t>
      </w:r>
    </w:p>
    <w:bookmarkEnd w:id="2302"/>
    <w:bookmarkStart w:id="2306" w:name="write-back-write-behind"/>
    <w:p>
      <w:pPr>
        <w:pStyle w:val="Heading3"/>
      </w:pPr>
      <w:r>
        <w:t xml:space="preserve">20.7.5 Write-back (write-behind)</w:t>
      </w:r>
    </w:p>
    <w:p>
      <w:pPr>
        <w:pStyle w:val="CalloutDefinition"/>
      </w:pPr>
      <w:r>
        <w:rPr>
          <w:bCs/>
          <w:b/>
        </w:rPr>
        <w:t xml:space="preserve">DEFINITION</w:t>
      </w:r>
    </w:p>
    <w:p>
      <w:pPr>
        <w:pStyle w:val="CalloutDefinition"/>
      </w:pPr>
      <w:r>
        <w:rPr>
          <w:bCs/>
          <w:b/>
        </w:rPr>
        <w:t xml:space="preserve">Definition — Write-back.</w:t>
      </w:r>
      <w:r>
        <w:t xml:space="preserve"> </w:t>
      </w:r>
      <w:r>
        <w:t xml:space="preserve">Writes update only the cache and are acknowledged immediately; the cache marks entries</w:t>
      </w:r>
      <w:r>
        <w:t xml:space="preserve"> </w:t>
      </w:r>
      <w:r>
        <w:rPr>
          <w:bCs/>
          <w:b/>
        </w:rPr>
        <w:t xml:space="preserve">dirty</w:t>
      </w:r>
      <w:r>
        <w:t xml:space="preserve"> </w:t>
      </w:r>
      <w:r>
        <w:t xml:space="preserve">and flushes them to the database asynchronously, in batches or after a delay.</w:t>
      </w:r>
    </w:p>
    <w:p>
      <w:pPr>
        <w:pStyle w:val="BodyText"/>
      </w:pPr>
      <w:r>
        <w:rPr>
          <w:bCs/>
          <w:b/>
        </w:rPr>
        <w:t xml:space="preserve">Figure 20.10 — Write-back.</w:t>
      </w:r>
    </w:p>
    <w:p>
      <w:pPr>
        <w:pStyle w:val="BodyText"/>
      </w:pPr>
      <w:r>
        <w:drawing>
          <wp:inline>
            <wp:extent cx="5334000" cy="3580086"/>
            <wp:effectExtent b="0" l="0" r="0" t="0"/>
            <wp:docPr descr="" title="" id="2304" name="Picture"/>
            <a:graphic>
              <a:graphicData uri="http://schemas.openxmlformats.org/drawingml/2006/picture">
                <pic:pic>
                  <pic:nvPicPr>
                    <pic:cNvPr descr="/home/user/System-Design/build/.cache/diagrams/3975f2c2c2cb.png" id="2305" name="Picture"/>
                    <pic:cNvPicPr>
                      <a:picLocks noChangeArrowheads="1" noChangeAspect="1"/>
                    </pic:cNvPicPr>
                  </pic:nvPicPr>
                  <pic:blipFill>
                    <a:blip r:embed="rId2303"/>
                    <a:stretch>
                      <a:fillRect/>
                    </a:stretch>
                  </pic:blipFill>
                  <pic:spPr bwMode="auto">
                    <a:xfrm>
                      <a:off x="0" y="0"/>
                      <a:ext cx="5334000" cy="3580086"/>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Writes are acknowledged from memory; the flush to the database is asynchronous (open arrowheads) and coalesces many writes to the same key into one. This is how CPU caches (§5.4) and database buffer pools (§13.4) handle writes. The storage boundary that matters is the dirty set: until flushed, acknowledged data exists only in cache memory. Failure point: a cache node crash loses every unflushed write unless the cache itself is replicated or logged. Scaling: write-back absorbs write bursts that the database could not take directly.</w:t>
      </w:r>
    </w:p>
    <w:p>
      <w:pPr>
        <w:pStyle w:val="CalloutFormula"/>
      </w:pPr>
      <w:r>
        <w:rPr>
          <w:bCs/>
          <w:b/>
        </w:rPr>
        <w:t xml:space="preserve">FORMULA</w:t>
      </w:r>
    </w:p>
    <w:p>
      <w:pPr>
        <w:pStyle w:val="CalloutFormula"/>
      </w:pPr>
      <w:r>
        <w:rPr>
          <w:bCs/>
          <w:b/>
        </w:rPr>
        <w:t xml:space="preserve">Data at risk under write-back</w:t>
      </w:r>
    </w:p>
    <w:p>
      <w:pPr>
        <w:pStyle w:val="CalloutFormula"/>
      </w:pPr>
      <m:oMathPara>
        <m:oMathParaPr>
          <m:jc m:val="center"/>
        </m:oMathParaPr>
        <m:oMath>
          <m:sSub>
            <m:e>
              <m:r>
                <m:t>W</m:t>
              </m:r>
            </m:e>
            <m:sub>
              <m:r>
                <m:rPr>
                  <m:nor/>
                  <m:sty m:val="p"/>
                </m:rPr>
                <m:t>risk</m:t>
              </m:r>
            </m:sub>
          </m:sSub>
          <m:r>
            <m:rPr>
              <m:sty m:val="p"/>
            </m:rPr>
            <m:t>≈</m:t>
          </m:r>
          <m:sSub>
            <m:e>
              <m:r>
                <m:t>r</m:t>
              </m:r>
            </m:e>
            <m:sub>
              <m:r>
                <m:t>w</m:t>
              </m:r>
            </m:sub>
          </m:sSub>
          <m:r>
            <m:rPr>
              <m:sty m:val="p"/>
            </m:rPr>
            <m:t>×</m:t>
          </m:r>
          <m:sSub>
            <m:e>
              <m:r>
                <m:t>T</m:t>
              </m:r>
            </m:e>
            <m:sub>
              <m:r>
                <m:rPr>
                  <m:nor/>
                  <m:sty m:val="p"/>
                </m:rPr>
                <m:t>flush</m:t>
              </m:r>
            </m:sub>
          </m:sSub>
          <m:r>
            <m:rPr>
              <m:sty m:val="p"/>
            </m:rPr>
            <m:t>,</m:t>
          </m:r>
          <m:r>
            <m:t>  </m:t>
          </m:r>
          <m:r>
            <m:rPr>
              <m:nor/>
              <m:sty m:val="p"/>
            </m:rPr>
            <m:t>write reduction</m:t>
          </m:r>
          <m:r>
            <m:rPr>
              <m:sty m:val="p"/>
            </m:rPr>
            <m:t>=</m:t>
          </m:r>
          <m:f>
            <m:fPr>
              <m:type m:val="bar"/>
            </m:fPr>
            <m:num>
              <m:sSub>
                <m:e>
                  <m:r>
                    <m:t>r</m:t>
                  </m:r>
                </m:e>
                <m:sub>
                  <m:r>
                    <m:t>w</m:t>
                  </m:r>
                </m:sub>
              </m:sSub>
            </m:num>
            <m:den>
              <m:sSub>
                <m:e>
                  <m:r>
                    <m:t>r</m:t>
                  </m:r>
                </m:e>
                <m:sub>
                  <m:r>
                    <m:rPr>
                      <m:nor/>
                      <m:sty m:val="p"/>
                    </m:rPr>
                    <m:t>flush</m:t>
                  </m:r>
                </m:sub>
              </m:sSub>
            </m:den>
          </m:f>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W</m:t>
                  </m:r>
                </m:e>
                <m:sub>
                  <m:r>
                    <m:rPr>
                      <m:nor/>
                      <m:sty m:val="p"/>
                    </m:rPr>
                    <m:t>risk</m:t>
                  </m:r>
                </m:sub>
              </m:sSub>
            </m:oMath>
          </w:p>
        </w:tc>
        <w:tc>
          <w:tcPr/>
          <w:p>
            <w:pPr>
              <w:pStyle w:val="Compact"/>
              <w:jc w:val="left"/>
            </w:pPr>
            <w:r>
              <w:t xml:space="preserve">Acknowledged writes that a crash can lose</w:t>
            </w:r>
          </w:p>
        </w:tc>
        <w:tc>
          <w:tcPr/>
          <w:p>
            <w:pPr>
              <w:pStyle w:val="Compact"/>
              <w:jc w:val="left"/>
            </w:pPr>
            <w:r>
              <w:t xml:space="preserve">writes</w:t>
            </w:r>
          </w:p>
        </w:tc>
      </w:tr>
      <w:tr>
        <w:tc>
          <w:tcPr/>
          <w:p>
            <w:pPr>
              <w:pStyle w:val="Compact"/>
              <w:jc w:val="left"/>
            </w:pPr>
            <m:oMath>
              <m:sSub>
                <m:e>
                  <m:r>
                    <m:t>r</m:t>
                  </m:r>
                </m:e>
                <m:sub>
                  <m:r>
                    <m:t>w</m:t>
                  </m:r>
                </m:sub>
              </m:sSub>
            </m:oMath>
          </w:p>
        </w:tc>
        <w:tc>
          <w:tcPr/>
          <w:p>
            <w:pPr>
              <w:pStyle w:val="Compact"/>
              <w:jc w:val="left"/>
            </w:pPr>
            <w:r>
              <w:t xml:space="preserve">Write rate into the cache</w:t>
            </w:r>
          </w:p>
        </w:tc>
        <w:tc>
          <w:tcPr/>
          <w:p>
            <w:pPr>
              <w:pStyle w:val="Compact"/>
              <w:jc w:val="left"/>
            </w:pPr>
            <w:r>
              <w:t xml:space="preserve">writes/s</w:t>
            </w:r>
          </w:p>
        </w:tc>
      </w:tr>
      <w:tr>
        <w:tc>
          <w:tcPr/>
          <w:p>
            <w:pPr>
              <w:pStyle w:val="Compact"/>
              <w:jc w:val="left"/>
            </w:pPr>
            <m:oMath>
              <m:sSub>
                <m:e>
                  <m:r>
                    <m:t>T</m:t>
                  </m:r>
                </m:e>
                <m:sub>
                  <m:r>
                    <m:rPr>
                      <m:nor/>
                      <m:sty m:val="p"/>
                    </m:rPr>
                    <m:t>flush</m:t>
                  </m:r>
                </m:sub>
              </m:sSub>
            </m:oMath>
          </w:p>
        </w:tc>
        <w:tc>
          <w:tcPr/>
          <w:p>
            <w:pPr>
              <w:pStyle w:val="Compact"/>
              <w:jc w:val="left"/>
            </w:pPr>
            <w:r>
              <w:t xml:space="preserve">Maximum time a dirty entry waits before flushing</w:t>
            </w:r>
          </w:p>
        </w:tc>
        <w:tc>
          <w:tcPr/>
          <w:p>
            <w:pPr>
              <w:pStyle w:val="Compact"/>
              <w:jc w:val="left"/>
            </w:pPr>
            <w:r>
              <w:t xml:space="preserve">s</w:t>
            </w:r>
          </w:p>
        </w:tc>
      </w:tr>
      <w:tr>
        <w:tc>
          <w:tcPr/>
          <w:p>
            <w:pPr>
              <w:pStyle w:val="Compact"/>
              <w:jc w:val="left"/>
            </w:pPr>
            <m:oMath>
              <m:sSub>
                <m:e>
                  <m:r>
                    <m:t>r</m:t>
                  </m:r>
                </m:e>
                <m:sub>
                  <m:r>
                    <m:rPr>
                      <m:nor/>
                      <m:sty m:val="p"/>
                    </m:rPr>
                    <m:t>flush</m:t>
                  </m:r>
                </m:sub>
              </m:sSub>
            </m:oMath>
          </w:p>
        </w:tc>
        <w:tc>
          <w:tcPr/>
          <w:p>
            <w:pPr>
              <w:pStyle w:val="Compact"/>
              <w:jc w:val="left"/>
            </w:pPr>
            <w:r>
              <w:t xml:space="preserve">Database writes per second after coalescing</w:t>
            </w:r>
          </w:p>
        </w:tc>
        <w:tc>
          <w:tcPr/>
          <w:p>
            <w:pPr>
              <w:pStyle w:val="Compact"/>
              <w:jc w:val="left"/>
            </w:pPr>
            <w:r>
              <w:t xml:space="preserve">writes/s</w:t>
            </w:r>
          </w:p>
        </w:tc>
      </w:tr>
    </w:tbl>
    <w:p>
      <w:pPr>
        <w:pStyle w:val="CalloutExample"/>
      </w:pPr>
      <w:r>
        <w:rPr>
          <w:bCs/>
          <w:b/>
        </w:rPr>
        <w:t xml:space="preserve">WORKED EXAMPLE</w:t>
      </w:r>
    </w:p>
    <w:p>
      <w:pPr>
        <w:pStyle w:val="CalloutExample"/>
      </w:pPr>
      <w:r>
        <w:rPr>
          <w:bCs/>
          <w:b/>
        </w:rPr>
        <w:t xml:space="preserve">Worked example — View counters.</w:t>
      </w:r>
      <w:r>
        <w:t xml:space="preserve"> </w:t>
      </w:r>
      <w:r>
        <w:t xml:space="preserve">A video service counts 200,000 views/s spread over 50,000 videos active in any 5-second window, flushing every</w:t>
      </w:r>
      <w:r>
        <w:t xml:space="preserve"> </w:t>
      </w:r>
      <m:oMath>
        <m:sSub>
          <m:e>
            <m:r>
              <m:t>T</m:t>
            </m:r>
          </m:e>
          <m:sub>
            <m:r>
              <m:rPr>
                <m:nor/>
                <m:sty m:val="p"/>
              </m:rPr>
              <m:t>flush</m:t>
            </m:r>
          </m:sub>
        </m:sSub>
        <m:r>
          <m:rPr>
            <m:sty m:val="p"/>
          </m:rPr>
          <m:t>=</m:t>
        </m:r>
        <m:r>
          <m:t>5</m:t>
        </m:r>
      </m:oMath>
      <w:r>
        <w:t xml:space="preserve"> </w:t>
      </w:r>
      <w:r>
        <w:t xml:space="preserve">s.</w:t>
      </w:r>
    </w:p>
    <w:p>
      <w:pPr>
        <w:numPr>
          <w:ilvl w:val="0"/>
          <w:numId w:val="1665"/>
        </w:numPr>
        <w:pStyle w:val="Compact"/>
      </w:pPr>
      <w:r>
        <w:t xml:space="preserve">Writes at risk:</w:t>
      </w:r>
      <w:r>
        <w:t xml:space="preserve"> </w:t>
      </w:r>
      <m:oMath>
        <m:r>
          <m:t>200</m:t>
        </m:r>
        <m:r>
          <m:rPr>
            <m:sty m:val="p"/>
          </m:rPr>
          <m:t>,</m:t>
        </m:r>
        <m:r>
          <m:t>000</m:t>
        </m:r>
        <m:r>
          <m:rPr>
            <m:sty m:val="p"/>
          </m:rPr>
          <m:t>×</m:t>
        </m:r>
        <m:r>
          <m:t>5</m:t>
        </m:r>
        <m:r>
          <m:rPr>
            <m:sty m:val="p"/>
          </m:rPr>
          <m:t>=</m:t>
        </m:r>
        <m:sSup>
          <m:e>
            <m:r>
              <m:t>10</m:t>
            </m:r>
          </m:e>
          <m:sup>
            <m:r>
              <m:t>6</m:t>
            </m:r>
          </m:sup>
        </m:sSup>
      </m:oMath>
      <w:r>
        <w:t xml:space="preserve"> </w:t>
      </w:r>
      <w:r>
        <w:t xml:space="preserve">view increments lost if a node crashes just before a flush.</w:t>
      </w:r>
    </w:p>
    <w:p>
      <w:pPr>
        <w:numPr>
          <w:ilvl w:val="0"/>
          <w:numId w:val="1665"/>
        </w:numPr>
        <w:pStyle w:val="Compact"/>
      </w:pPr>
      <w:r>
        <w:t xml:space="preserve">Database load after coalescing: at most 50,000 rows updated per 5 s, so</w:t>
      </w:r>
      <w:r>
        <w:t xml:space="preserve"> </w:t>
      </w:r>
      <m:oMath>
        <m:sSub>
          <m:e>
            <m:r>
              <m:t>r</m:t>
            </m:r>
          </m:e>
          <m:sub>
            <m:r>
              <m:rPr>
                <m:nor/>
                <m:sty m:val="p"/>
              </m:rPr>
              <m:t>flush</m:t>
            </m:r>
          </m:sub>
        </m:sSub>
        <m:r>
          <m:rPr>
            <m:sty m:val="p"/>
          </m:rPr>
          <m:t>=</m:t>
        </m:r>
        <m:r>
          <m:t>10</m:t>
        </m:r>
        <m:r>
          <m:rPr>
            <m:sty m:val="p"/>
          </m:rPr>
          <m:t>,</m:t>
        </m:r>
        <m:r>
          <m:t>000</m:t>
        </m:r>
      </m:oMath>
      <w:r>
        <w:t xml:space="preserve"> </w:t>
      </w:r>
      <w:r>
        <w:t xml:space="preserve">writes/s.</w:t>
      </w:r>
    </w:p>
    <w:p>
      <w:pPr>
        <w:numPr>
          <w:ilvl w:val="0"/>
          <w:numId w:val="1665"/>
        </w:numPr>
        <w:pStyle w:val="Compact"/>
      </w:pPr>
      <w:r>
        <w:t xml:space="preserve">Write reduction:</w:t>
      </w:r>
      <w:r>
        <w:t xml:space="preserve"> </w:t>
      </w:r>
      <m:oMath>
        <m:r>
          <m:t>200</m:t>
        </m:r>
        <m:r>
          <m:rPr>
            <m:sty m:val="p"/>
          </m:rPr>
          <m:t>,</m:t>
        </m:r>
        <m:r>
          <m:t>000</m:t>
        </m:r>
        <m:r>
          <m:rPr>
            <m:sty m:val="p"/>
          </m:rPr>
          <m:t>/</m:t>
        </m:r>
        <m:r>
          <m:t>10</m:t>
        </m:r>
        <m:r>
          <m:rPr>
            <m:sty m:val="p"/>
          </m:rPr>
          <m:t>,</m:t>
        </m:r>
        <m:r>
          <m:t>000</m:t>
        </m:r>
        <m:r>
          <m:rPr>
            <m:sty m:val="p"/>
          </m:rPr>
          <m:t>=</m:t>
        </m:r>
        <m:r>
          <m:t>20</m:t>
        </m:r>
        <m:r>
          <m:rPr>
            <m:sty m:val="p"/>
          </m:rPr>
          <m:t>×</m:t>
        </m:r>
      </m:oMath>
      <w:r>
        <w:t xml:space="preserve">.</w:t>
      </w:r>
    </w:p>
    <w:p>
      <w:pPr>
        <w:pStyle w:val="CalloutExample"/>
      </w:pPr>
      <w:r>
        <w:rPr>
          <w:bCs/>
          <w:b/>
        </w:rPr>
        <w:t xml:space="preserve">Interpretation.</w:t>
      </w:r>
      <w:r>
        <w:t xml:space="preserve"> </w:t>
      </w:r>
      <w:r>
        <w:t xml:space="preserve">For view counts, losing a few seconds of increments is acceptable, and a 20× write reduction is decisive.</w:t>
      </w:r>
      <w:r>
        <w:t xml:space="preserve"> </w:t>
      </w:r>
      <w:r>
        <w:rPr>
          <w:bCs/>
          <w:b/>
        </w:rPr>
        <w:t xml:space="preserve">Engineering implication.</w:t>
      </w:r>
      <w:r>
        <w:t xml:space="preserve"> </w:t>
      </w:r>
      <w:r>
        <w:t xml:space="preserve">Use write-back only for data whose loss you can tolerate or reconstruct (counters, metrics, presence); for orders and payments, the database must commit first.</w:t>
      </w:r>
    </w:p>
    <w:bookmarkEnd w:id="2306"/>
    <w:bookmarkStart w:id="2310" w:name="write-around"/>
    <w:p>
      <w:pPr>
        <w:pStyle w:val="Heading3"/>
      </w:pPr>
      <w:r>
        <w:t xml:space="preserve">20.7.6 Write-around</w:t>
      </w:r>
    </w:p>
    <w:p>
      <w:pPr>
        <w:pStyle w:val="CalloutDefinition"/>
      </w:pPr>
      <w:r>
        <w:rPr>
          <w:bCs/>
          <w:b/>
        </w:rPr>
        <w:t xml:space="preserve">DEFINITION</w:t>
      </w:r>
    </w:p>
    <w:p>
      <w:pPr>
        <w:pStyle w:val="CalloutDefinition"/>
      </w:pPr>
      <w:r>
        <w:rPr>
          <w:bCs/>
          <w:b/>
        </w:rPr>
        <w:t xml:space="preserve">Definition — Write-around.</w:t>
      </w:r>
      <w:r>
        <w:t xml:space="preserve"> </w:t>
      </w:r>
      <w:r>
        <w:t xml:space="preserve">Writes go directly to the database and bypass the cache; the cache is populated only by reads (usually cache-aside), and the written key is invalidated or left to expire.</w:t>
      </w:r>
    </w:p>
    <w:p>
      <w:pPr>
        <w:pStyle w:val="BodyText"/>
      </w:pPr>
      <w:r>
        <w:rPr>
          <w:bCs/>
          <w:b/>
        </w:rPr>
        <w:t xml:space="preserve">Figure 20.11 — Write-around.</w:t>
      </w:r>
    </w:p>
    <w:p>
      <w:pPr>
        <w:pStyle w:val="BodyText"/>
      </w:pPr>
      <w:r>
        <w:drawing>
          <wp:inline>
            <wp:extent cx="5334000" cy="3952479"/>
            <wp:effectExtent b="0" l="0" r="0" t="0"/>
            <wp:docPr descr="" title="" id="2308" name="Picture"/>
            <a:graphic>
              <a:graphicData uri="http://schemas.openxmlformats.org/drawingml/2006/picture">
                <pic:pic>
                  <pic:nvPicPr>
                    <pic:cNvPr descr="/home/user/System-Design/build/.cache/diagrams/fcb4957f156c.png" id="2309" name="Picture"/>
                    <pic:cNvPicPr>
                      <a:picLocks noChangeArrowheads="1" noChangeAspect="1"/>
                    </pic:cNvPicPr>
                  </pic:nvPicPr>
                  <pic:blipFill>
                    <a:blip r:embed="rId2307"/>
                    <a:stretch>
                      <a:fillRect/>
                    </a:stretch>
                  </pic:blipFill>
                  <pic:spPr bwMode="auto">
                    <a:xfrm>
                      <a:off x="0" y="0"/>
                      <a:ext cx="5334000" cy="3952479"/>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Writes touch only the database (and delete a stale key); only a later read caches the row, so write-once data such as logs and audit rows never evicts hot entries. The cost: the first read after a write misses. Cache-aside with delete-on-write</w:t>
      </w:r>
      <w:r>
        <w:t xml:space="preserve"> </w:t>
      </w:r>
      <w:r>
        <w:rPr>
          <w:iCs/>
          <w:i/>
        </w:rPr>
        <w:t xml:space="preserve">is</w:t>
      </w:r>
      <w:r>
        <w:t xml:space="preserve"> </w:t>
      </w:r>
      <w:r>
        <w:t xml:space="preserve">write-around; the name matters in contrast with write-through.</w:t>
      </w:r>
    </w:p>
    <w:bookmarkEnd w:id="2310"/>
    <w:bookmarkStart w:id="2311" w:name="choosing-a-pattern"/>
    <w:p>
      <w:pPr>
        <w:pStyle w:val="Heading3"/>
      </w:pPr>
      <w:r>
        <w:t xml:space="preserve">20.7.7 Choosing a pattern</w:t>
      </w:r>
    </w:p>
    <w:p>
      <w:pPr>
        <w:pStyle w:val="FirstParagraph"/>
      </w:pPr>
      <w:r>
        <w:rPr>
          <w:bCs/>
          <w:b/>
        </w:rPr>
        <w:t xml:space="preserve">Table 20.5 — Caching patterns compared.</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Pattern</w:t>
            </w:r>
          </w:p>
        </w:tc>
        <w:tc>
          <w:tcPr/>
          <w:p>
            <w:pPr>
              <w:pStyle w:val="Compact"/>
              <w:jc w:val="left"/>
            </w:pPr>
            <w:r>
              <w:t xml:space="preserve">Read miss filled by</w:t>
            </w:r>
          </w:p>
        </w:tc>
        <w:tc>
          <w:tcPr/>
          <w:p>
            <w:pPr>
              <w:pStyle w:val="Compact"/>
              <w:jc w:val="left"/>
            </w:pPr>
            <w:r>
              <w:t xml:space="preserve">Write path</w:t>
            </w:r>
          </w:p>
        </w:tc>
        <w:tc>
          <w:tcPr/>
          <w:p>
            <w:pPr>
              <w:pStyle w:val="Compact"/>
              <w:jc w:val="left"/>
            </w:pPr>
            <w:r>
              <w:t xml:space="preserve">Consistency risk</w:t>
            </w:r>
          </w:p>
        </w:tc>
        <w:tc>
          <w:tcPr/>
          <w:p>
            <w:pPr>
              <w:pStyle w:val="Compact"/>
              <w:jc w:val="left"/>
            </w:pPr>
            <w:r>
              <w:t xml:space="preserve">Write latency</w:t>
            </w:r>
          </w:p>
        </w:tc>
        <w:tc>
          <w:tcPr/>
          <w:p>
            <w:pPr>
              <w:pStyle w:val="Compact"/>
              <w:jc w:val="left"/>
            </w:pPr>
            <w:r>
              <w:t xml:space="preserve">Choose when</w:t>
            </w:r>
          </w:p>
        </w:tc>
      </w:tr>
      <w:tr>
        <w:tc>
          <w:tcPr/>
          <w:p>
            <w:pPr>
              <w:pStyle w:val="Compact"/>
              <w:jc w:val="left"/>
            </w:pPr>
            <w:r>
              <w:t xml:space="preserve">Cache-aside</w:t>
            </w:r>
          </w:p>
        </w:tc>
        <w:tc>
          <w:tcPr/>
          <w:p>
            <w:pPr>
              <w:pStyle w:val="Compact"/>
              <w:jc w:val="left"/>
            </w:pPr>
            <w:r>
              <w:t xml:space="preserve">Application</w:t>
            </w:r>
          </w:p>
        </w:tc>
        <w:tc>
          <w:tcPr/>
          <w:p>
            <w:pPr>
              <w:pStyle w:val="Compact"/>
              <w:jc w:val="left"/>
            </w:pPr>
            <w:r>
              <w:t xml:space="preserve">DB, then delete key</w:t>
            </w:r>
          </w:p>
        </w:tc>
        <w:tc>
          <w:tcPr/>
          <w:p>
            <w:pPr>
              <w:pStyle w:val="Compact"/>
              <w:jc w:val="left"/>
            </w:pPr>
            <w:r>
              <w:t xml:space="preserve">Stale-set race; missed deletes</w:t>
            </w:r>
          </w:p>
        </w:tc>
        <w:tc>
          <w:tcPr/>
          <w:p>
            <w:pPr>
              <w:pStyle w:val="Compact"/>
              <w:jc w:val="left"/>
            </w:pPr>
            <w:r>
              <w:t xml:space="preserve">DB only</w:t>
            </w:r>
          </w:p>
        </w:tc>
        <w:tc>
          <w:tcPr/>
          <w:p>
            <w:pPr>
              <w:pStyle w:val="Compact"/>
              <w:jc w:val="left"/>
            </w:pPr>
            <w:r>
              <w:t xml:space="preserve">Default for remote caches</w:t>
            </w:r>
          </w:p>
        </w:tc>
      </w:tr>
      <w:tr>
        <w:tc>
          <w:tcPr/>
          <w:p>
            <w:pPr>
              <w:pStyle w:val="Compact"/>
              <w:jc w:val="left"/>
            </w:pPr>
            <w:r>
              <w:t xml:space="preserve">Read-through</w:t>
            </w:r>
          </w:p>
        </w:tc>
        <w:tc>
          <w:tcPr/>
          <w:p>
            <w:pPr>
              <w:pStyle w:val="Compact"/>
              <w:jc w:val="left"/>
            </w:pPr>
            <w:r>
              <w:t xml:space="preserve">Cache loader</w:t>
            </w:r>
          </w:p>
        </w:tc>
        <w:tc>
          <w:tcPr/>
          <w:p>
            <w:pPr>
              <w:pStyle w:val="Compact"/>
              <w:jc w:val="left"/>
            </w:pPr>
            <w:r>
              <w:t xml:space="preserve">(combine with a write pattern)</w:t>
            </w:r>
          </w:p>
        </w:tc>
        <w:tc>
          <w:tcPr/>
          <w:p>
            <w:pPr>
              <w:pStyle w:val="Compact"/>
              <w:jc w:val="left"/>
            </w:pPr>
            <w:r>
              <w:t xml:space="preserve">As cache-aside</w:t>
            </w:r>
          </w:p>
        </w:tc>
        <w:tc>
          <w:tcPr/>
          <w:p>
            <w:pPr>
              <w:pStyle w:val="Compact"/>
              <w:jc w:val="left"/>
            </w:pPr>
            <w:r>
              <w:t xml:space="preserve">—</w:t>
            </w:r>
          </w:p>
        </w:tc>
        <w:tc>
          <w:tcPr/>
          <w:p>
            <w:pPr>
              <w:pStyle w:val="Compact"/>
              <w:jc w:val="left"/>
            </w:pPr>
            <w:r>
              <w:t xml:space="preserve">In-process caches; coalescing misses</w:t>
            </w:r>
          </w:p>
        </w:tc>
      </w:tr>
      <w:tr>
        <w:tc>
          <w:tcPr/>
          <w:p>
            <w:pPr>
              <w:pStyle w:val="Compact"/>
              <w:jc w:val="left"/>
            </w:pPr>
            <w:r>
              <w:t xml:space="preserve">Write-through</w:t>
            </w:r>
          </w:p>
        </w:tc>
        <w:tc>
          <w:tcPr/>
          <w:p>
            <w:pPr>
              <w:pStyle w:val="Compact"/>
              <w:jc w:val="left"/>
            </w:pPr>
            <w:r>
              <w:t xml:space="preserve">Cache loader</w:t>
            </w:r>
          </w:p>
        </w:tc>
        <w:tc>
          <w:tcPr/>
          <w:p>
            <w:pPr>
              <w:pStyle w:val="Compact"/>
              <w:jc w:val="left"/>
            </w:pPr>
            <w:r>
              <w:t xml:space="preserve">Cache writes DB synchronously</w:t>
            </w:r>
          </w:p>
        </w:tc>
        <w:tc>
          <w:tcPr/>
          <w:p>
            <w:pPr>
              <w:pStyle w:val="Compact"/>
              <w:jc w:val="left"/>
            </w:pPr>
            <w:r>
              <w:t xml:space="preserve">Writes bypassing the layer</w:t>
            </w:r>
          </w:p>
        </w:tc>
        <w:tc>
          <w:tcPr/>
          <w:p>
            <w:pPr>
              <w:pStyle w:val="Compact"/>
              <w:jc w:val="left"/>
            </w:pPr>
            <w:r>
              <w:t xml:space="preserve">DB + cache</w:t>
            </w:r>
          </w:p>
        </w:tc>
        <w:tc>
          <w:tcPr/>
          <w:p>
            <w:pPr>
              <w:pStyle w:val="Compact"/>
              <w:jc w:val="left"/>
            </w:pPr>
            <w:r>
              <w:t xml:space="preserve">Read-after-write freshness via one layer</w:t>
            </w:r>
          </w:p>
        </w:tc>
      </w:tr>
      <w:tr>
        <w:tc>
          <w:tcPr/>
          <w:p>
            <w:pPr>
              <w:pStyle w:val="Compact"/>
              <w:jc w:val="left"/>
            </w:pPr>
            <w:r>
              <w:t xml:space="preserve">Write-back</w:t>
            </w:r>
          </w:p>
        </w:tc>
        <w:tc>
          <w:tcPr/>
          <w:p>
            <w:pPr>
              <w:pStyle w:val="Compact"/>
              <w:jc w:val="left"/>
            </w:pPr>
            <w:r>
              <w:t xml:space="preserve">Cache loader</w:t>
            </w:r>
          </w:p>
        </w:tc>
        <w:tc>
          <w:tcPr/>
          <w:p>
            <w:pPr>
              <w:pStyle w:val="Compact"/>
              <w:jc w:val="left"/>
            </w:pPr>
            <w:r>
              <w:t xml:space="preserve">Cache only; async flush</w:t>
            </w:r>
          </w:p>
        </w:tc>
        <w:tc>
          <w:tcPr/>
          <w:p>
            <w:pPr>
              <w:pStyle w:val="Compact"/>
              <w:jc w:val="left"/>
            </w:pPr>
            <w:r>
              <w:t xml:space="preserve">Loss of unflushed writes</w:t>
            </w:r>
          </w:p>
        </w:tc>
        <w:tc>
          <w:tcPr/>
          <w:p>
            <w:pPr>
              <w:pStyle w:val="Compact"/>
              <w:jc w:val="left"/>
            </w:pPr>
            <w:r>
              <w:t xml:space="preserve">Cache only</w:t>
            </w:r>
          </w:p>
        </w:tc>
        <w:tc>
          <w:tcPr/>
          <w:p>
            <w:pPr>
              <w:pStyle w:val="Compact"/>
              <w:jc w:val="left"/>
            </w:pPr>
            <w:r>
              <w:t xml:space="preserve">Counters, bursts, tolerable loss</w:t>
            </w:r>
          </w:p>
        </w:tc>
      </w:tr>
      <w:tr>
        <w:tc>
          <w:tcPr/>
          <w:p>
            <w:pPr>
              <w:pStyle w:val="Compact"/>
              <w:jc w:val="left"/>
            </w:pPr>
            <w:r>
              <w:t xml:space="preserve">Write-around</w:t>
            </w:r>
          </w:p>
        </w:tc>
        <w:tc>
          <w:tcPr/>
          <w:p>
            <w:pPr>
              <w:pStyle w:val="Compact"/>
              <w:jc w:val="left"/>
            </w:pPr>
            <w:r>
              <w:t xml:space="preserve">Application</w:t>
            </w:r>
          </w:p>
        </w:tc>
        <w:tc>
          <w:tcPr/>
          <w:p>
            <w:pPr>
              <w:pStyle w:val="Compact"/>
              <w:jc w:val="left"/>
            </w:pPr>
            <w:r>
              <w:t xml:space="preserve">DB only</w:t>
            </w:r>
          </w:p>
        </w:tc>
        <w:tc>
          <w:tcPr/>
          <w:p>
            <w:pPr>
              <w:pStyle w:val="Compact"/>
              <w:jc w:val="left"/>
            </w:pPr>
            <w:r>
              <w:t xml:space="preserve">First read misses</w:t>
            </w:r>
          </w:p>
        </w:tc>
        <w:tc>
          <w:tcPr/>
          <w:p>
            <w:pPr>
              <w:pStyle w:val="Compact"/>
              <w:jc w:val="left"/>
            </w:pPr>
            <w:r>
              <w:t xml:space="preserve">DB only</w:t>
            </w:r>
          </w:p>
        </w:tc>
        <w:tc>
          <w:tcPr/>
          <w:p>
            <w:pPr>
              <w:pStyle w:val="Compact"/>
              <w:jc w:val="left"/>
            </w:pPr>
            <w:r>
              <w:t xml:space="preserve">Write-heavy, rarely re-read data</w:t>
            </w:r>
          </w:p>
        </w:tc>
      </w:tr>
    </w:tbl>
    <w:p>
      <w:pPr>
        <w:pStyle w:val="CalloutMistake"/>
      </w:pPr>
      <w:r>
        <w:rPr>
          <w:bCs/>
          <w:b/>
        </w:rPr>
        <w:t xml:space="preserve">COMMON MISTAKE</w:t>
      </w:r>
    </w:p>
    <w:p>
      <w:pPr>
        <w:pStyle w:val="CalloutMistake"/>
      </w:pPr>
      <w:r>
        <w:rPr>
          <w:bCs/>
          <w:b/>
        </w:rPr>
        <w:t xml:space="preserve">“</w:t>
      </w:r>
      <w:r>
        <w:rPr>
          <w:bCs/>
          <w:b/>
        </w:rPr>
        <w:t xml:space="preserve">Write-through means the cache and database are always consistent.</w:t>
      </w:r>
      <w:r>
        <w:rPr>
          <w:bCs/>
          <w:b/>
        </w:rPr>
        <w:t xml:space="preserve">”</w:t>
      </w:r>
      <w:r>
        <w:t xml:space="preserve"> </w:t>
      </w:r>
      <w:r>
        <w:t xml:space="preserve">Only for writers that go through that cache layer, and only if the database is written first. Concurrent writers, a second cache tier, or a batch job writing the database directly all reintroduce staleness. No pattern gives you linearizability across two stores without a protocol (Chapter 25); pick the pattern whose failure mode you can tolerate.</w:t>
      </w:r>
    </w:p>
    <w:bookmarkEnd w:id="2311"/>
    <w:bookmarkEnd w:id="2312"/>
    <w:bookmarkStart w:id="2313" w:name="time-to-live-ttl"/>
    <w:p>
      <w:pPr>
        <w:pStyle w:val="Heading2"/>
      </w:pPr>
      <w:r>
        <w:t xml:space="preserve">20.8 Time to live (TTL)</w:t>
      </w:r>
    </w:p>
    <w:p>
      <w:pPr>
        <w:pStyle w:val="CalloutDefinition"/>
      </w:pPr>
      <w:r>
        <w:rPr>
          <w:bCs/>
          <w:b/>
        </w:rPr>
        <w:t xml:space="preserve">DEFINITION</w:t>
      </w:r>
    </w:p>
    <w:p>
      <w:pPr>
        <w:pStyle w:val="CalloutDefinition"/>
      </w:pPr>
      <w:r>
        <w:rPr>
          <w:bCs/>
          <w:b/>
        </w:rPr>
        <w:t xml:space="preserve">Definition — Time to live (TTL).</w:t>
      </w:r>
      <w:r>
        <w:t xml:space="preserve"> </w:t>
      </w:r>
      <w:r>
        <w:t xml:space="preserve">The maximum time an entry may be served after it was stored. After the TTL the entry is treated as absent (or, with stale-while-revalidate, as stale). Redis removes expired keys lazily when they are accessed and actively by periodically sampling keys that have a TTL [Redis Docs: EXPIRE].</w:t>
      </w:r>
    </w:p>
    <w:p>
      <w:pPr>
        <w:pStyle w:val="BodyText"/>
      </w:pPr>
      <w:r>
        <w:t xml:space="preserve">A TTL is your</w:t>
      </w:r>
      <w:r>
        <w:t xml:space="preserve"> </w:t>
      </w:r>
      <w:r>
        <w:rPr>
          <w:bCs/>
          <w:b/>
        </w:rPr>
        <w:t xml:space="preserve">staleness budget</w:t>
      </w:r>
      <w:r>
        <w:t xml:space="preserve"> </w:t>
      </w:r>
      <w:r>
        <w:t xml:space="preserve">and your safety net: even if every invalidation mechanism fails, no entry is wrong for longer than its TTL. Choose it per data type from the question</w:t>
      </w:r>
      <w:r>
        <w:t xml:space="preserve"> </w:t>
      </w:r>
      <w:r>
        <w:t xml:space="preserve">“</w:t>
      </w:r>
      <w:r>
        <w:t xml:space="preserve">how wrong may a user see this, and for how long?</w:t>
      </w:r>
      <w:r>
        <w:t xml:space="preserve">”</w:t>
      </w:r>
      <w:r>
        <w:t xml:space="preserve">: seconds for prices and inventory, minutes for profiles, hours for rendered public pages, a year for content-addressed assets. Shorter TTLs cost more misses: an entry read</w:t>
      </w:r>
      <w:r>
        <w:t xml:space="preserve"> </w:t>
      </w:r>
      <m:oMath>
        <m:r>
          <m:t>λ</m:t>
        </m:r>
      </m:oMath>
      <w:r>
        <w:t xml:space="preserve"> </w:t>
      </w:r>
      <w:r>
        <w:t xml:space="preserve">times per second with TTL</w:t>
      </w:r>
      <w:r>
        <w:t xml:space="preserve"> </w:t>
      </w:r>
      <m:oMath>
        <m:r>
          <m:t>T</m:t>
        </m:r>
      </m:oMath>
      <w:r>
        <w:t xml:space="preserve"> </w:t>
      </w:r>
      <w:r>
        <w:t xml:space="preserve">misses about once per</w:t>
      </w:r>
      <w:r>
        <w:t xml:space="preserve"> </w:t>
      </w:r>
      <m:oMath>
        <m:r>
          <m:t>T</m:t>
        </m:r>
      </m:oMath>
      <w:r>
        <w:t xml:space="preserve"> </w:t>
      </w:r>
      <w:r>
        <w:t xml:space="preserve">seconds, a miss ratio near</w:t>
      </w:r>
      <w:r>
        <w:t xml:space="preserve"> </w:t>
      </w:r>
      <m:oMath>
        <m:r>
          <m:t>1</m:t>
        </m:r>
        <m:r>
          <m:rPr>
            <m:sty m:val="p"/>
          </m:rPr>
          <m:t>/</m:t>
        </m:r>
        <m:d>
          <m:dPr>
            <m:begChr m:val="("/>
            <m:endChr m:val=")"/>
            <m:sepChr m:val=""/>
            <m:grow/>
          </m:dPr>
          <m:e>
            <m:r>
              <m:t>λ</m:t>
            </m:r>
            <m:r>
              <m:t>T</m:t>
            </m:r>
          </m:e>
        </m:d>
      </m:oMath>
      <w:r>
        <w:t xml:space="preserve"> </w:t>
      </w:r>
      <w:r>
        <w:t xml:space="preserve">for hot keys.</w:t>
      </w:r>
    </w:p>
    <w:p>
      <w:pPr>
        <w:pStyle w:val="BodyText"/>
      </w:pPr>
      <w:r>
        <w:t xml:space="preserve">The danger is synchronized expiry. If a deploy, a batch job or a cache restart writes a million keys in one minute with the same TTL, they all expire in the same minute an hour later, and the database receives a million refills at once.</w:t>
      </w:r>
      <w:r>
        <w:t xml:space="preserve"> </w:t>
      </w:r>
      <w:r>
        <w:rPr>
          <w:bCs/>
          <w:b/>
        </w:rPr>
        <w:t xml:space="preserve">Jitter</w:t>
      </w:r>
      <w:r>
        <w:t xml:space="preserve"> </w:t>
      </w:r>
      <w:r>
        <w:t xml:space="preserve">spreads them out.</w:t>
      </w:r>
    </w:p>
    <w:p>
      <w:pPr>
        <w:pStyle w:val="CalloutFormula"/>
      </w:pPr>
      <w:r>
        <w:rPr>
          <w:bCs/>
          <w:b/>
        </w:rPr>
        <w:t xml:space="preserve">FORMULA</w:t>
      </w:r>
    </w:p>
    <w:p>
      <w:pPr>
        <w:pStyle w:val="CalloutFormula"/>
      </w:pPr>
      <w:r>
        <w:rPr>
          <w:bCs/>
          <w:b/>
        </w:rPr>
        <w:t xml:space="preserve">TTL with uniform jitter</w:t>
      </w:r>
    </w:p>
    <w:p>
      <w:pPr>
        <w:pStyle w:val="CalloutFormula"/>
      </w:pPr>
      <m:oMathPara>
        <m:oMathParaPr>
          <m:jc m:val="center"/>
        </m:oMathParaPr>
        <m:oMath>
          <m:sSub>
            <m:e>
              <m:r>
                <m:t>T</m:t>
              </m:r>
            </m:e>
            <m:sub>
              <m:r>
                <m:t>i</m:t>
              </m:r>
            </m:sub>
          </m:sSub>
          <m:r>
            <m:rPr>
              <m:sty m:val="p"/>
            </m:rPr>
            <m:t>=</m:t>
          </m:r>
          <m:sSub>
            <m:e>
              <m:r>
                <m:t>T</m:t>
              </m:r>
            </m:e>
            <m:sub>
              <m:r>
                <m:rPr>
                  <m:nor/>
                  <m:sty m:val="p"/>
                </m:rPr>
                <m:t>base</m:t>
              </m:r>
            </m:sub>
          </m:sSub>
          <m:r>
            <m:rPr>
              <m:sty m:val="p"/>
            </m:rPr>
            <m:t>+</m:t>
          </m:r>
          <m:sSub>
            <m:e>
              <m:r>
                <m:t>U</m:t>
              </m:r>
            </m:e>
            <m:sub>
              <m:r>
                <m:t>i</m:t>
              </m:r>
            </m:sub>
          </m:sSub>
          <m:r>
            <m:rPr>
              <m:sty m:val="p"/>
            </m:rPr>
            <m:t>,</m:t>
          </m:r>
          <m:r>
            <m:t> </m:t>
          </m:r>
          <m:sSub>
            <m:e>
              <m:r>
                <m:t>U</m:t>
              </m:r>
            </m:e>
            <m:sub>
              <m:r>
                <m:t>i</m:t>
              </m:r>
            </m:sub>
          </m:sSub>
          <m:r>
            <m:rPr>
              <m:sty m:val="p"/>
            </m:rPr>
            <m:t>∼</m:t>
          </m:r>
          <m:r>
            <m:rPr>
              <m:nor/>
              <m:sty m:val="p"/>
            </m:rPr>
            <m:t>Uniform</m:t>
          </m:r>
          <m:d>
            <m:dPr>
              <m:begChr m:val="("/>
              <m:endChr m:val=")"/>
              <m:sepChr m:val=""/>
              <m:grow/>
            </m:dPr>
            <m:e>
              <m:r>
                <m:t>0</m:t>
              </m:r>
              <m:r>
                <m:rPr>
                  <m:sty m:val="p"/>
                </m:rPr>
                <m:t>,</m:t>
              </m:r>
              <m:r>
                <m:t>J</m:t>
              </m:r>
            </m:e>
          </m:d>
          <m:r>
            <m:rPr>
              <m:sty m:val="p"/>
            </m:rPr>
            <m:t>,</m:t>
          </m:r>
          <m:r>
            <m:t>  </m:t>
          </m:r>
          <m:r>
            <m:rPr>
              <m:nor/>
              <m:sty m:val="p"/>
            </m:rPr>
            <m:t>peak refills/s</m:t>
          </m:r>
          <m:r>
            <m:rPr>
              <m:sty m:val="p"/>
            </m:rPr>
            <m:t>≈</m:t>
          </m:r>
          <m:f>
            <m:fPr>
              <m:type m:val="bar"/>
            </m:fPr>
            <m:num>
              <m:r>
                <m:t>K</m:t>
              </m:r>
            </m:num>
            <m:den>
              <m:r>
                <m:rPr>
                  <m:sty m:val="p"/>
                </m:rPr>
                <m:t>max</m:t>
              </m:r>
              <m:d>
                <m:dPr>
                  <m:begChr m:val="("/>
                  <m:endChr m:val=")"/>
                  <m:sepChr m:val=""/>
                  <m:grow/>
                </m:dPr>
                <m:e>
                  <m:r>
                    <m:t>J</m:t>
                  </m:r>
                  <m:r>
                    <m:rPr>
                      <m:sty m:val="p"/>
                    </m:rPr>
                    <m:t>,</m:t>
                  </m:r>
                  <m:sSub>
                    <m:e>
                      <m:r>
                        <m:t>t</m:t>
                      </m:r>
                    </m:e>
                    <m:sub>
                      <m:r>
                        <m:rPr>
                          <m:nor/>
                          <m:sty m:val="p"/>
                        </m:rPr>
                        <m:t>write</m:t>
                      </m:r>
                    </m:sub>
                  </m:sSub>
                </m:e>
              </m:d>
            </m:den>
          </m:f>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T</m:t>
                  </m:r>
                </m:e>
                <m:sub>
                  <m:r>
                    <m:t>i</m:t>
                  </m:r>
                </m:sub>
              </m:sSub>
            </m:oMath>
          </w:p>
        </w:tc>
        <w:tc>
          <w:tcPr/>
          <w:p>
            <w:pPr>
              <w:pStyle w:val="Compact"/>
              <w:jc w:val="left"/>
            </w:pPr>
            <w:r>
              <w:t xml:space="preserve">TTL given to key</w:t>
            </w:r>
            <w:r>
              <w:t xml:space="preserve"> </w:t>
            </w:r>
            <m:oMath>
              <m:r>
                <m:t>i</m:t>
              </m:r>
            </m:oMath>
          </w:p>
        </w:tc>
        <w:tc>
          <w:tcPr/>
          <w:p>
            <w:pPr>
              <w:pStyle w:val="Compact"/>
              <w:jc w:val="left"/>
            </w:pPr>
            <w:r>
              <w:t xml:space="preserve">s</w:t>
            </w:r>
          </w:p>
        </w:tc>
      </w:tr>
      <w:tr>
        <w:tc>
          <w:tcPr/>
          <w:p>
            <w:pPr>
              <w:pStyle w:val="Compact"/>
              <w:jc w:val="left"/>
            </w:pPr>
            <m:oMath>
              <m:sSub>
                <m:e>
                  <m:r>
                    <m:t>T</m:t>
                  </m:r>
                </m:e>
                <m:sub>
                  <m:r>
                    <m:rPr>
                      <m:nor/>
                      <m:sty m:val="p"/>
                    </m:rPr>
                    <m:t>base</m:t>
                  </m:r>
                </m:sub>
              </m:sSub>
            </m:oMath>
          </w:p>
        </w:tc>
        <w:tc>
          <w:tcPr/>
          <w:p>
            <w:pPr>
              <w:pStyle w:val="Compact"/>
              <w:jc w:val="left"/>
            </w:pPr>
            <w:r>
              <w:t xml:space="preserve">Base TTL</w:t>
            </w:r>
          </w:p>
        </w:tc>
        <w:tc>
          <w:tcPr/>
          <w:p>
            <w:pPr>
              <w:pStyle w:val="Compact"/>
              <w:jc w:val="left"/>
            </w:pPr>
            <w:r>
              <w:t xml:space="preserve">s</w:t>
            </w:r>
          </w:p>
        </w:tc>
      </w:tr>
      <w:tr>
        <w:tc>
          <w:tcPr/>
          <w:p>
            <w:pPr>
              <w:pStyle w:val="Compact"/>
              <w:jc w:val="left"/>
            </w:pPr>
            <m:oMath>
              <m:r>
                <m:t>J</m:t>
              </m:r>
            </m:oMath>
          </w:p>
        </w:tc>
        <w:tc>
          <w:tcPr/>
          <w:p>
            <w:pPr>
              <w:pStyle w:val="Compact"/>
              <w:jc w:val="left"/>
            </w:pPr>
            <w:r>
              <w:t xml:space="preserve">Jitter range</w:t>
            </w:r>
          </w:p>
        </w:tc>
        <w:tc>
          <w:tcPr/>
          <w:p>
            <w:pPr>
              <w:pStyle w:val="Compact"/>
              <w:jc w:val="left"/>
            </w:pPr>
            <w:r>
              <w:t xml:space="preserve">s</w:t>
            </w:r>
          </w:p>
        </w:tc>
      </w:tr>
      <w:tr>
        <w:tc>
          <w:tcPr/>
          <w:p>
            <w:pPr>
              <w:pStyle w:val="Compact"/>
              <w:jc w:val="left"/>
            </w:pPr>
            <m:oMath>
              <m:r>
                <m:t>K</m:t>
              </m:r>
            </m:oMath>
          </w:p>
        </w:tc>
        <w:tc>
          <w:tcPr/>
          <w:p>
            <w:pPr>
              <w:pStyle w:val="Compact"/>
              <w:jc w:val="left"/>
            </w:pPr>
            <w:r>
              <w:t xml:space="preserve">Keys written together</w:t>
            </w:r>
          </w:p>
        </w:tc>
        <w:tc>
          <w:tcPr/>
          <w:p>
            <w:pPr>
              <w:pStyle w:val="Compact"/>
              <w:jc w:val="left"/>
            </w:pPr>
            <w:r>
              <w:t xml:space="preserve">keys</w:t>
            </w:r>
          </w:p>
        </w:tc>
      </w:tr>
      <w:tr>
        <w:tc>
          <w:tcPr/>
          <w:p>
            <w:pPr>
              <w:pStyle w:val="Compact"/>
              <w:jc w:val="left"/>
            </w:pPr>
            <m:oMath>
              <m:sSub>
                <m:e>
                  <m:r>
                    <m:t>t</m:t>
                  </m:r>
                </m:e>
                <m:sub>
                  <m:r>
                    <m:rPr>
                      <m:nor/>
                      <m:sty m:val="p"/>
                    </m:rPr>
                    <m:t>write</m:t>
                  </m:r>
                </m:sub>
              </m:sSub>
            </m:oMath>
          </w:p>
        </w:tc>
        <w:tc>
          <w:tcPr/>
          <w:p>
            <w:pPr>
              <w:pStyle w:val="Compact"/>
              <w:jc w:val="left"/>
            </w:pPr>
            <w:r>
              <w:t xml:space="preserve">Time span over which the keys were originally written</w:t>
            </w:r>
          </w:p>
        </w:tc>
        <w:tc>
          <w:tcPr/>
          <w:p>
            <w:pPr>
              <w:pStyle w:val="Compact"/>
              <w:jc w:val="left"/>
            </w:pPr>
            <w:r>
              <w:t xml:space="preserve">s</w:t>
            </w:r>
          </w:p>
        </w:tc>
      </w:tr>
    </w:tbl>
    <w:p>
      <w:pPr>
        <w:pStyle w:val="CalloutExample"/>
      </w:pPr>
      <w:r>
        <w:rPr>
          <w:bCs/>
          <w:b/>
        </w:rPr>
        <w:t xml:space="preserve">WORKED EXAMPLE</w:t>
      </w:r>
    </w:p>
    <w:p>
      <w:pPr>
        <w:pStyle w:val="CalloutExample"/>
      </w:pPr>
      <w:r>
        <w:rPr>
          <w:bCs/>
          <w:b/>
        </w:rPr>
        <w:t xml:space="preserve">Worked example — Choosing a jitter range.</w:t>
      </w:r>
      <w:r>
        <w:t xml:space="preserve"> </w:t>
      </w:r>
      <w:r>
        <w:t xml:space="preserve">A nightly job writes</w:t>
      </w:r>
      <w:r>
        <w:t xml:space="preserve"> </w:t>
      </w:r>
      <m:oMath>
        <m:r>
          <m:t>K</m:t>
        </m:r>
        <m:r>
          <m:rPr>
            <m:sty m:val="p"/>
          </m:rPr>
          <m:t>=</m:t>
        </m:r>
        <m:r>
          <m:t>1</m:t>
        </m:r>
        <m:r>
          <m:rPr>
            <m:sty m:val="p"/>
          </m:rPr>
          <m:t>,</m:t>
        </m:r>
        <m:r>
          <m:t>200</m:t>
        </m:r>
        <m:r>
          <m:rPr>
            <m:sty m:val="p"/>
          </m:rPr>
          <m:t>,</m:t>
        </m:r>
        <m:r>
          <m:t>000</m:t>
        </m:r>
      </m:oMath>
      <w:r>
        <w:t xml:space="preserve"> </w:t>
      </w:r>
      <w:r>
        <w:t xml:space="preserve">product keys in 60 s with</w:t>
      </w:r>
      <w:r>
        <w:t xml:space="preserve"> </w:t>
      </w:r>
      <m:oMath>
        <m:sSub>
          <m:e>
            <m:r>
              <m:t>T</m:t>
            </m:r>
          </m:e>
          <m:sub>
            <m:r>
              <m:rPr>
                <m:nor/>
                <m:sty m:val="p"/>
              </m:rPr>
              <m:t>base</m:t>
            </m:r>
          </m:sub>
        </m:sSub>
        <m:r>
          <m:rPr>
            <m:sty m:val="p"/>
          </m:rPr>
          <m:t>=</m:t>
        </m:r>
        <m:r>
          <m:t>3</m:t>
        </m:r>
        <m:r>
          <m:rPr>
            <m:sty m:val="p"/>
          </m:rPr>
          <m:t>,</m:t>
        </m:r>
        <m:r>
          <m:t>600</m:t>
        </m:r>
      </m:oMath>
      <w:r>
        <w:t xml:space="preserve"> </w:t>
      </w:r>
      <w:r>
        <w:t xml:space="preserve">s. The database can absorb 2,000 extra refill queries/s.</w:t>
      </w:r>
    </w:p>
    <w:p>
      <w:pPr>
        <w:numPr>
          <w:ilvl w:val="0"/>
          <w:numId w:val="1666"/>
        </w:numPr>
        <w:pStyle w:val="Compact"/>
      </w:pPr>
      <w:r>
        <w:t xml:space="preserve">Without jitter:</w:t>
      </w:r>
      <w:r>
        <w:t xml:space="preserve"> </w:t>
      </w:r>
      <m:oMath>
        <m:r>
          <m:t>1</m:t>
        </m:r>
        <m:r>
          <m:rPr>
            <m:sty m:val="p"/>
          </m:rPr>
          <m:t>,</m:t>
        </m:r>
        <m:r>
          <m:t>200</m:t>
        </m:r>
        <m:r>
          <m:rPr>
            <m:sty m:val="p"/>
          </m:rPr>
          <m:t>,</m:t>
        </m:r>
        <m:r>
          <m:t>000</m:t>
        </m:r>
        <m:r>
          <m:rPr>
            <m:sty m:val="p"/>
          </m:rPr>
          <m:t>/</m:t>
        </m:r>
        <m:r>
          <m:t>60</m:t>
        </m:r>
        <m:r>
          <m:rPr>
            <m:sty m:val="p"/>
          </m:rPr>
          <m:t>=</m:t>
        </m:r>
        <m:r>
          <m:t>20</m:t>
        </m:r>
        <m:r>
          <m:rPr>
            <m:sty m:val="p"/>
          </m:rPr>
          <m:t>,</m:t>
        </m:r>
        <m:r>
          <m:t>000</m:t>
        </m:r>
      </m:oMath>
      <w:r>
        <w:t xml:space="preserve"> </w:t>
      </w:r>
      <w:r>
        <w:t xml:space="preserve">refills/s for a minute, an hour later. Ten times the safe level.</w:t>
      </w:r>
    </w:p>
    <w:p>
      <w:pPr>
        <w:numPr>
          <w:ilvl w:val="0"/>
          <w:numId w:val="1666"/>
        </w:numPr>
        <w:pStyle w:val="Compact"/>
      </w:pPr>
      <w:r>
        <w:t xml:space="preserve">Required spread:</w:t>
      </w:r>
      <w:r>
        <w:t xml:space="preserve"> </w:t>
      </w:r>
      <m:oMath>
        <m:r>
          <m:t>J</m:t>
        </m:r>
        <m:r>
          <m:rPr>
            <m:sty m:val="p"/>
          </m:rPr>
          <m:t>≥</m:t>
        </m:r>
        <m:r>
          <m:t>1</m:t>
        </m:r>
        <m:r>
          <m:rPr>
            <m:sty m:val="p"/>
          </m:rPr>
          <m:t>,</m:t>
        </m:r>
        <m:r>
          <m:t>200</m:t>
        </m:r>
        <m:r>
          <m:rPr>
            <m:sty m:val="p"/>
          </m:rPr>
          <m:t>,</m:t>
        </m:r>
        <m:r>
          <m:t>000</m:t>
        </m:r>
        <m:r>
          <m:rPr>
            <m:sty m:val="p"/>
          </m:rPr>
          <m:t>/</m:t>
        </m:r>
        <m:r>
          <m:t>2</m:t>
        </m:r>
        <m:r>
          <m:rPr>
            <m:sty m:val="p"/>
          </m:rPr>
          <m:t>,</m:t>
        </m:r>
        <m:r>
          <m:t>000</m:t>
        </m:r>
        <m:r>
          <m:rPr>
            <m:sty m:val="p"/>
          </m:rPr>
          <m:t>=</m:t>
        </m:r>
        <m:r>
          <m:t>600</m:t>
        </m:r>
      </m:oMath>
      <w:r>
        <w:t xml:space="preserve"> </w:t>
      </w:r>
      <w:r>
        <w:t xml:space="preserve">s.</w:t>
      </w:r>
    </w:p>
    <w:p>
      <w:pPr>
        <w:numPr>
          <w:ilvl w:val="0"/>
          <w:numId w:val="1666"/>
        </w:numPr>
        <w:pStyle w:val="Compact"/>
      </w:pPr>
      <w:r>
        <w:t xml:space="preserve">Use</w:t>
      </w:r>
      <w:r>
        <w:t xml:space="preserve"> </w:t>
      </w:r>
      <m:oMath>
        <m:sSub>
          <m:e>
            <m:r>
              <m:t>T</m:t>
            </m:r>
          </m:e>
          <m:sub>
            <m:r>
              <m:t>i</m:t>
            </m:r>
          </m:sub>
        </m:sSub>
        <m:r>
          <m:rPr>
            <m:sty m:val="p"/>
          </m:rPr>
          <m:t>=</m:t>
        </m:r>
        <m:r>
          <m:t>3</m:t>
        </m:r>
        <m:r>
          <m:rPr>
            <m:sty m:val="p"/>
          </m:rPr>
          <m:t>,</m:t>
        </m:r>
        <m:r>
          <m:t>600</m:t>
        </m:r>
        <m:r>
          <m:rPr>
            <m:sty m:val="p"/>
          </m:rPr>
          <m:t>+</m:t>
        </m:r>
        <m:r>
          <m:rPr>
            <m:nor/>
            <m:sty m:val="p"/>
          </m:rPr>
          <m:t>Uniform</m:t>
        </m:r>
        <m:d>
          <m:dPr>
            <m:begChr m:val="("/>
            <m:endChr m:val=")"/>
            <m:sepChr m:val=""/>
            <m:grow/>
          </m:dPr>
          <m:e>
            <m:r>
              <m:t>0</m:t>
            </m:r>
            <m:r>
              <m:rPr>
                <m:sty m:val="p"/>
              </m:rPr>
              <m:t>,</m:t>
            </m:r>
            <m:r>
              <m:t>600</m:t>
            </m:r>
          </m:e>
        </m:d>
      </m:oMath>
      <w:r>
        <w:t xml:space="preserve"> </w:t>
      </w:r>
      <w:r>
        <w:t xml:space="preserve">s. Peak refill rate:</w:t>
      </w:r>
      <w:r>
        <w:t xml:space="preserve"> </w:t>
      </w:r>
      <m:oMath>
        <m:r>
          <m:t>1</m:t>
        </m:r>
        <m:r>
          <m:rPr>
            <m:sty m:val="p"/>
          </m:rPr>
          <m:t>,</m:t>
        </m:r>
        <m:r>
          <m:t>200</m:t>
        </m:r>
        <m:r>
          <m:rPr>
            <m:sty m:val="p"/>
          </m:rPr>
          <m:t>,</m:t>
        </m:r>
        <m:r>
          <m:t>000</m:t>
        </m:r>
        <m:r>
          <m:rPr>
            <m:sty m:val="p"/>
          </m:rPr>
          <m:t>/</m:t>
        </m:r>
        <m:r>
          <m:t>600</m:t>
        </m:r>
        <m:r>
          <m:rPr>
            <m:sty m:val="p"/>
          </m:rPr>
          <m:t>=</m:t>
        </m:r>
        <m:r>
          <m:t>2</m:t>
        </m:r>
        <m:r>
          <m:rPr>
            <m:sty m:val="p"/>
          </m:rPr>
          <m:t>,</m:t>
        </m:r>
        <m:r>
          <m:t>000</m:t>
        </m:r>
      </m:oMath>
      <w:r>
        <w:t xml:space="preserve"> </w:t>
      </w:r>
      <w:r>
        <w:t xml:space="preserve">queries/s.</w:t>
      </w:r>
    </w:p>
    <w:p>
      <w:pPr>
        <w:numPr>
          <w:ilvl w:val="0"/>
          <w:numId w:val="1666"/>
        </w:numPr>
        <w:pStyle w:val="Compact"/>
      </w:pPr>
      <w:r>
        <w:t xml:space="preserve">The cost: the longest-lived entries are now 4,200 s old, so the staleness bound grows from 60 to 70 minutes.</w:t>
      </w:r>
    </w:p>
    <w:p>
      <w:pPr>
        <w:pStyle w:val="CalloutExample"/>
      </w:pPr>
      <w:r>
        <w:rPr>
          <w:bCs/>
          <w:b/>
        </w:rPr>
        <w:t xml:space="preserve">Interpretation.</w:t>
      </w:r>
      <w:r>
        <w:t xml:space="preserve"> </w:t>
      </w:r>
      <w:r>
        <w:t xml:space="preserve">Jitter converts a spike into a plateau whose height you choose.</w:t>
      </w:r>
      <w:r>
        <w:t xml:space="preserve"> </w:t>
      </w:r>
      <w:r>
        <w:rPr>
          <w:bCs/>
          <w:b/>
        </w:rPr>
        <w:t xml:space="preserve">Engineering implication.</w:t>
      </w:r>
      <w:r>
        <w:t xml:space="preserve"> </w:t>
      </w:r>
      <w:r>
        <w:t xml:space="preserve">Add jitter of 10–20% to every TTL by default; for the very hottest keys combine it with the stampede defenses of §20.11, because jitter spreads</w:t>
      </w:r>
      <w:r>
        <w:t xml:space="preserve"> </w:t>
      </w:r>
      <w:r>
        <w:rPr>
          <w:iCs/>
          <w:i/>
        </w:rPr>
        <w:t xml:space="preserve">different</w:t>
      </w:r>
      <w:r>
        <w:t xml:space="preserve"> </w:t>
      </w:r>
      <w:r>
        <w:t xml:space="preserve">keys but cannot help one key that everyone reads.</w:t>
      </w:r>
    </w:p>
    <w:bookmarkEnd w:id="2313"/>
    <w:bookmarkStart w:id="2322" w:name="eviction-lru-lfu-arc-and-tinylfu"/>
    <w:p>
      <w:pPr>
        <w:pStyle w:val="Heading2"/>
      </w:pPr>
      <w:r>
        <w:t xml:space="preserve">20.9 Eviction: LRU, LFU, ARC and TinyLFU</w:t>
      </w:r>
    </w:p>
    <w:p>
      <w:pPr>
        <w:pStyle w:val="FirstParagraph"/>
      </w:pPr>
      <w:r>
        <w:t xml:space="preserve">When memory is full, the cache must choose a</w:t>
      </w:r>
      <w:r>
        <w:t xml:space="preserve"> </w:t>
      </w:r>
      <w:r>
        <w:rPr>
          <w:bCs/>
          <w:b/>
        </w:rPr>
        <w:t xml:space="preserve">victim</w:t>
      </w:r>
      <w:r>
        <w:t xml:space="preserve">. The ideal is Belady’s MIN: evict the entry whose next use is furthest in the future [Belady 1966]. It needs knowledge of the future, so real policies predict the future from the past using</w:t>
      </w:r>
      <w:r>
        <w:t xml:space="preserve"> </w:t>
      </w:r>
      <w:r>
        <w:rPr>
          <w:bCs/>
          <w:b/>
        </w:rPr>
        <w:t xml:space="preserve">recency</w:t>
      </w:r>
      <w:r>
        <w:t xml:space="preserve"> </w:t>
      </w:r>
      <w:r>
        <w:t xml:space="preserve">(used lately?),</w:t>
      </w:r>
      <w:r>
        <w:t xml:space="preserve"> </w:t>
      </w:r>
      <w:r>
        <w:rPr>
          <w:bCs/>
          <w:b/>
        </w:rPr>
        <w:t xml:space="preserve">frequency</w:t>
      </w:r>
      <w:r>
        <w:t xml:space="preserve"> </w:t>
      </w:r>
      <w:r>
        <w:t xml:space="preserve">(used often?) or both. §13.4.2 covered LRU, clock and LRU-K inside databases; here we focus on policies used by application caches.</w:t>
      </w:r>
    </w:p>
    <w:bookmarkStart w:id="2314" w:name="lru-and-lfu"/>
    <w:p>
      <w:pPr>
        <w:pStyle w:val="Heading3"/>
      </w:pPr>
      <w:r>
        <w:t xml:space="preserve">20.9.1 LRU and LFU</w:t>
      </w:r>
    </w:p>
    <w:p>
      <w:pPr>
        <w:pStyle w:val="FirstParagraph"/>
      </w:pPr>
      <w:r>
        <w:rPr>
          <w:bCs/>
          <w:b/>
        </w:rPr>
        <w:t xml:space="preserve">LRU</w:t>
      </w:r>
      <w:r>
        <w:t xml:space="preserve"> </w:t>
      </w:r>
      <w:r>
        <w:t xml:space="preserve">(least recently used) keeps entries in a list ordered by last access, moving an entry to the head on each hit and evicting from the tail; a hash map plus a doubly linked list gives</w:t>
      </w:r>
      <w:r>
        <w:t xml:space="preserve"> </w:t>
      </w:r>
      <m:oMath>
        <m:r>
          <m:t>O</m:t>
        </m:r>
        <m:d>
          <m:dPr>
            <m:begChr m:val="("/>
            <m:endChr m:val=")"/>
            <m:sepChr m:val=""/>
            <m:grow/>
          </m:dPr>
          <m:e>
            <m:r>
              <m:t>1</m:t>
            </m:r>
          </m:e>
        </m:d>
      </m:oMath>
      <w:r>
        <w:t xml:space="preserve"> </w:t>
      </w:r>
      <w:r>
        <w:t xml:space="preserve">operations. It adapts instantly to change but is polluted by</w:t>
      </w:r>
      <w:r>
        <w:t xml:space="preserve"> </w:t>
      </w:r>
      <w:r>
        <w:rPr>
          <w:bCs/>
          <w:b/>
        </w:rPr>
        <w:t xml:space="preserve">scans</w:t>
      </w:r>
      <w:r>
        <w:t xml:space="preserve"> </w:t>
      </w:r>
      <w:r>
        <w:t xml:space="preserve">and one-hit wonders: a burst of keys read once pushes out keys that are read every second.</w:t>
      </w:r>
    </w:p>
    <w:p>
      <w:pPr>
        <w:pStyle w:val="BodyText"/>
      </w:pPr>
      <w:r>
        <w:rPr>
          <w:bCs/>
          <w:b/>
        </w:rPr>
        <w:t xml:space="preserve">LFU</w:t>
      </w:r>
      <w:r>
        <w:t xml:space="preserve"> </w:t>
      </w:r>
      <w:r>
        <w:t xml:space="preserve">(least frequently used) evicts the entry with the smallest access count. It protects consistently popular keys from scans but has two flaws: it must store counts, and old counts never fade, so yesterday’s hits keep today’s useless entries in the cache (</w:t>
      </w:r>
      <w:r>
        <w:rPr>
          <w:bCs/>
          <w:b/>
        </w:rPr>
        <w:t xml:space="preserve">cache pollution by history</w:t>
      </w:r>
      <w:r>
        <w:t xml:space="preserve">). Practical LFUs age counts by halving or decay.</w:t>
      </w:r>
    </w:p>
    <w:bookmarkEnd w:id="2314"/>
    <w:bookmarkStart w:id="2315" w:name="arc"/>
    <w:p>
      <w:pPr>
        <w:pStyle w:val="Heading3"/>
      </w:pPr>
      <w:r>
        <w:t xml:space="preserve">20.9.2 ARC</w:t>
      </w:r>
    </w:p>
    <w:p>
      <w:pPr>
        <w:pStyle w:val="FirstParagraph"/>
      </w:pPr>
      <w:r>
        <w:rPr>
          <w:bCs/>
          <w:b/>
        </w:rPr>
        <w:t xml:space="preserve">ARC</w:t>
      </w:r>
      <w:r>
        <w:t xml:space="preserve"> </w:t>
      </w:r>
      <w:r>
        <w:t xml:space="preserve">(Adaptive Replacement Cache) keeps two LRU lists of cached entries,</w:t>
      </w:r>
      <w:r>
        <w:t xml:space="preserve"> </w:t>
      </w:r>
      <m:oMath>
        <m:sSub>
          <m:e>
            <m:r>
              <m:t>T</m:t>
            </m:r>
          </m:e>
          <m:sub>
            <m:r>
              <m:t>1</m:t>
            </m:r>
          </m:sub>
        </m:sSub>
      </m:oMath>
      <w:r>
        <w:t xml:space="preserve"> </w:t>
      </w:r>
      <w:r>
        <w:t xml:space="preserve">for keys seen once recently and</w:t>
      </w:r>
      <w:r>
        <w:t xml:space="preserve"> </w:t>
      </w:r>
      <m:oMath>
        <m:sSub>
          <m:e>
            <m:r>
              <m:t>T</m:t>
            </m:r>
          </m:e>
          <m:sub>
            <m:r>
              <m:t>2</m:t>
            </m:r>
          </m:sub>
        </m:sSub>
      </m:oMath>
      <w:r>
        <w:t xml:space="preserve"> </w:t>
      </w:r>
      <w:r>
        <w:t xml:space="preserve">for keys seen at least twice, plus two</w:t>
      </w:r>
      <w:r>
        <w:t xml:space="preserve"> </w:t>
      </w:r>
      <w:r>
        <w:rPr>
          <w:bCs/>
          <w:b/>
        </w:rPr>
        <w:t xml:space="preserve">ghost lists</w:t>
      </w:r>
      <w:r>
        <w:t xml:space="preserve"> </w:t>
      </w:r>
      <m:oMath>
        <m:sSub>
          <m:e>
            <m:r>
              <m:t>B</m:t>
            </m:r>
          </m:e>
          <m:sub>
            <m:r>
              <m:t>1</m:t>
            </m:r>
          </m:sub>
        </m:sSub>
      </m:oMath>
      <w:r>
        <w:t xml:space="preserve"> </w:t>
      </w:r>
      <w:r>
        <w:t xml:space="preserve">and</w:t>
      </w:r>
      <w:r>
        <w:t xml:space="preserve"> </w:t>
      </w:r>
      <m:oMath>
        <m:sSub>
          <m:e>
            <m:r>
              <m:t>B</m:t>
            </m:r>
          </m:e>
          <m:sub>
            <m:r>
              <m:t>2</m:t>
            </m:r>
          </m:sub>
        </m:sSub>
      </m:oMath>
      <w:r>
        <w:t xml:space="preserve"> </w:t>
      </w:r>
      <w:r>
        <w:t xml:space="preserve">that remember only the</w:t>
      </w:r>
      <w:r>
        <w:t xml:space="preserve"> </w:t>
      </w:r>
      <w:r>
        <w:rPr>
          <w:iCs/>
          <w:i/>
        </w:rPr>
        <w:t xml:space="preserve">keys</w:t>
      </w:r>
      <w:r>
        <w:t xml:space="preserve"> </w:t>
      </w:r>
      <w:r>
        <w:t xml:space="preserve">recently evicted from each [Megiddo &amp; Modha 2003]. A hit in ghost list</w:t>
      </w:r>
      <w:r>
        <w:t xml:space="preserve"> </w:t>
      </w:r>
      <m:oMath>
        <m:sSub>
          <m:e>
            <m:r>
              <m:t>B</m:t>
            </m:r>
          </m:e>
          <m:sub>
            <m:r>
              <m:t>1</m:t>
            </m:r>
          </m:sub>
        </m:sSub>
      </m:oMath>
      <w:r>
        <w:t xml:space="preserve"> </w:t>
      </w:r>
      <w:r>
        <w:t xml:space="preserve">means</w:t>
      </w:r>
      <w:r>
        <w:t xml:space="preserve"> </w:t>
      </w:r>
      <w:r>
        <w:t xml:space="preserve">“</w:t>
      </w:r>
      <m:oMath>
        <m:sSub>
          <m:e>
            <m:r>
              <m:t>T</m:t>
            </m:r>
          </m:e>
          <m:sub>
            <m:r>
              <m:t>1</m:t>
            </m:r>
          </m:sub>
        </m:sSub>
      </m:oMath>
      <w:r>
        <w:t xml:space="preserve"> </w:t>
      </w:r>
      <w:r>
        <w:t xml:space="preserve">was too small</w:t>
      </w:r>
      <w:r>
        <w:t xml:space="preserve">”</w:t>
      </w:r>
      <w:r>
        <w:t xml:space="preserve"> </w:t>
      </w:r>
      <w:r>
        <w:t xml:space="preserve">and shifts the target size</w:t>
      </w:r>
      <w:r>
        <w:t xml:space="preserve"> </w:t>
      </w:r>
      <m:oMath>
        <m:r>
          <m:t>p</m:t>
        </m:r>
      </m:oMath>
      <w:r>
        <w:t xml:space="preserve"> </w:t>
      </w:r>
      <w:r>
        <w:t xml:space="preserve">toward recency; a hit in</w:t>
      </w:r>
      <w:r>
        <w:t xml:space="preserve"> </w:t>
      </w:r>
      <m:oMath>
        <m:sSub>
          <m:e>
            <m:r>
              <m:t>B</m:t>
            </m:r>
          </m:e>
          <m:sub>
            <m:r>
              <m:t>2</m:t>
            </m:r>
          </m:sub>
        </m:sSub>
      </m:oMath>
      <w:r>
        <w:t xml:space="preserve"> </w:t>
      </w:r>
      <w:r>
        <w:t xml:space="preserve">shifts it toward frequency. ARC therefore tunes itself between LRU and LFU with no parameters, resists scans, and costs</w:t>
      </w:r>
      <w:r>
        <w:t xml:space="preserve"> </w:t>
      </w:r>
      <m:oMath>
        <m:r>
          <m:t>O</m:t>
        </m:r>
        <m:d>
          <m:dPr>
            <m:begChr m:val="("/>
            <m:endChr m:val=")"/>
            <m:sepChr m:val=""/>
            <m:grow/>
          </m:dPr>
          <m:e>
            <m:r>
              <m:t>1</m:t>
            </m:r>
          </m:e>
        </m:d>
      </m:oMath>
      <w:r>
        <w:t xml:space="preserve"> </w:t>
      </w:r>
      <w:r>
        <w:t xml:space="preserve">per access with metadata for</w:t>
      </w:r>
      <w:r>
        <w:t xml:space="preserve"> </w:t>
      </w:r>
      <m:oMath>
        <m:r>
          <m:t>2</m:t>
        </m:r>
        <m:r>
          <m:t>C</m:t>
        </m:r>
      </m:oMath>
      <w:r>
        <w:t xml:space="preserve"> </w:t>
      </w:r>
      <w:r>
        <w:t xml:space="preserve">keys. OpenZFS’s ARC is a modified version of it [OpenZFS Docs]. IBM held a patent on ARC, which kept it out of some open-source projects.</w:t>
      </w:r>
    </w:p>
    <w:bookmarkEnd w:id="2315"/>
    <w:bookmarkStart w:id="2319" w:name="tinylfu-and-w-tinylfu"/>
    <w:p>
      <w:pPr>
        <w:pStyle w:val="Heading3"/>
      </w:pPr>
      <w:r>
        <w:t xml:space="preserve">20.9.3 TinyLFU and W-TinyLFU</w:t>
      </w:r>
    </w:p>
    <w:p>
      <w:pPr>
        <w:pStyle w:val="CalloutDefinition"/>
      </w:pPr>
      <w:r>
        <w:rPr>
          <w:bCs/>
          <w:b/>
        </w:rPr>
        <w:t xml:space="preserve">DEFINITION</w:t>
      </w:r>
    </w:p>
    <w:p>
      <w:pPr>
        <w:pStyle w:val="CalloutDefinition"/>
      </w:pPr>
      <w:r>
        <w:rPr>
          <w:bCs/>
          <w:b/>
        </w:rPr>
        <w:t xml:space="preserve">Definition — TinyLFU.</w:t>
      </w:r>
      <w:r>
        <w:t xml:space="preserve"> </w:t>
      </w:r>
      <w:r>
        <w:t xml:space="preserve">An</w:t>
      </w:r>
      <w:r>
        <w:t xml:space="preserve"> </w:t>
      </w:r>
      <w:r>
        <w:rPr>
          <w:bCs/>
          <w:b/>
        </w:rPr>
        <w:t xml:space="preserve">admission policy</w:t>
      </w:r>
      <w:r>
        <w:t xml:space="preserve">: when the cache is full and a new candidate arrives, admit it only if its estimated access frequency exceeds that of the victim the eviction policy would remove. Frequencies are estimated by a small approximate sketch (a Count-Min sketch with 4-bit counters, §17.6) over a sample of recent requests, and</w:t>
      </w:r>
      <w:r>
        <w:t xml:space="preserve"> </w:t>
      </w:r>
      <w:r>
        <w:rPr>
          <w:bCs/>
          <w:b/>
        </w:rPr>
        <w:t xml:space="preserve">aged</w:t>
      </w:r>
      <w:r>
        <w:t xml:space="preserve"> </w:t>
      </w:r>
      <w:r>
        <w:t xml:space="preserve">by halving every counter after a fixed number of requests [Einziger, Friedman &amp; Manes 2017].</w:t>
      </w:r>
    </w:p>
    <w:p>
      <w:pPr>
        <w:pStyle w:val="BodyText"/>
      </w:pPr>
      <w:r>
        <w:t xml:space="preserve">Admission solves LRU’s problem from the other side: instead of choosing a better victim, it refuses to let a one-hit wonder in at all. Pure TinyLFU, however, rejects new keys that are about to become popular, because they have no history yet.</w:t>
      </w:r>
      <w:r>
        <w:t xml:space="preserve"> </w:t>
      </w:r>
      <w:r>
        <w:rPr>
          <w:bCs/>
          <w:b/>
        </w:rPr>
        <w:t xml:space="preserve">W-TinyLFU</w:t>
      </w:r>
      <w:r>
        <w:t xml:space="preserve"> </w:t>
      </w:r>
      <w:r>
        <w:t xml:space="preserve">adds a small</w:t>
      </w:r>
      <w:r>
        <w:t xml:space="preserve"> </w:t>
      </w:r>
      <w:r>
        <w:rPr>
          <w:bCs/>
          <w:b/>
        </w:rPr>
        <w:t xml:space="preserve">window</w:t>
      </w:r>
      <w:r>
        <w:t xml:space="preserve"> </w:t>
      </w:r>
      <w:r>
        <w:t xml:space="preserve">LRU (1% of capacity by default) that admits everything; entries leaving the window compete through TinyLFU for a place in the</w:t>
      </w:r>
      <w:r>
        <w:t xml:space="preserve"> </w:t>
      </w:r>
      <w:r>
        <w:rPr>
          <w:bCs/>
          <w:b/>
        </w:rPr>
        <w:t xml:space="preserve">main</w:t>
      </w:r>
      <w:r>
        <w:t xml:space="preserve"> </w:t>
      </w:r>
      <w:r>
        <w:t xml:space="preserve">area, a segmented LRU with a probation and a protected segment. A</w:t>
      </w:r>
      <w:r>
        <w:t xml:space="preserve"> </w:t>
      </w:r>
      <w:r>
        <w:rPr>
          <w:bCs/>
          <w:b/>
        </w:rPr>
        <w:t xml:space="preserve">doorkeeper</w:t>
      </w:r>
      <w:r>
        <w:t xml:space="preserve"> </w:t>
      </w:r>
      <w:r>
        <w:t xml:space="preserve">Bloom filter can absorb first occurrences so they do not take sketch counters. Caffeine, the standard Java cache library, uses W-TinyLFU and adapts the window size with a hill-climbing algorithm [Caffeine Wiki: Efficiency].</w:t>
      </w:r>
    </w:p>
    <w:p>
      <w:pPr>
        <w:pStyle w:val="BodyText"/>
      </w:pPr>
      <w:r>
        <w:rPr>
          <w:bCs/>
          <w:b/>
        </w:rPr>
        <w:t xml:space="preserve">Figure 20.12 — W-TinyLFU: window, admission filter and segmented main cache.</w:t>
      </w:r>
    </w:p>
    <w:p>
      <w:pPr>
        <w:pStyle w:val="BodyText"/>
      </w:pPr>
      <w:r>
        <w:drawing>
          <wp:inline>
            <wp:extent cx="5334000" cy="868407"/>
            <wp:effectExtent b="0" l="0" r="0" t="0"/>
            <wp:docPr descr="" title="" id="2317" name="Picture"/>
            <a:graphic>
              <a:graphicData uri="http://schemas.openxmlformats.org/drawingml/2006/picture">
                <pic:pic>
                  <pic:nvPicPr>
                    <pic:cNvPr descr="/home/user/System-Design/build/.cache/diagrams/805a25c0ab9a.png" id="2318" name="Picture"/>
                    <pic:cNvPicPr>
                      <a:picLocks noChangeArrowheads="1" noChangeAspect="1"/>
                    </pic:cNvPicPr>
                  </pic:nvPicPr>
                  <pic:blipFill>
                    <a:blip r:embed="rId2316"/>
                    <a:stretch>
                      <a:fillRect/>
                    </a:stretch>
                  </pic:blipFill>
                  <pic:spPr bwMode="auto">
                    <a:xfrm>
                      <a:off x="0" y="0"/>
                      <a:ext cx="5334000" cy="868407"/>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Every access updates the frequency sketch. A missed key first enters the small window LRU, which gives new keys a chance to prove themselves. When the window overflows, its LRU entry becomes a candidate and is compared with the probation segment’s LRU victim; the one with the higher estimated frequency stays. Hits in probation promote entries to the protected segment, whose overflow is demoted back to probation. All of this is in-process memory and synchronous; the sketch is shared state read by the admission decision (dotted). Failure points: a stale sketch (fixed by periodic halving) and hash-flooding attacks on admission (Caffeine adds a little randomness). Scaling: sketch memory is about 8 bytes per cache entry.</w:t>
      </w:r>
    </w:p>
    <w:bookmarkEnd w:id="2319"/>
    <w:bookmarkStart w:id="2320" w:name="rediss-approximated-lru-and-lfu"/>
    <w:p>
      <w:pPr>
        <w:pStyle w:val="Heading3"/>
      </w:pPr>
      <w:r>
        <w:t xml:space="preserve">20.9.4 Redis’s approximated LRU and LFU</w:t>
      </w:r>
    </w:p>
    <w:p>
      <w:pPr>
        <w:pStyle w:val="FirstParagraph"/>
      </w:pPr>
      <w:r>
        <w:t xml:space="preserve">Redis does not keep a global LRU list, which would cost two pointers per key and a list update on every read. Each object header instead stores a 24-bit clock of its last access. When memory exceeds</w:t>
      </w:r>
      <w:r>
        <w:t xml:space="preserve"> </w:t>
      </w:r>
      <w:r>
        <w:rPr>
          <w:rStyle w:val="VerbatimChar"/>
        </w:rPr>
        <w:t xml:space="preserve">maxmemory</w:t>
      </w:r>
      <w:r>
        <w:t xml:space="preserve">, Redis</w:t>
      </w:r>
      <w:r>
        <w:t xml:space="preserve"> </w:t>
      </w:r>
      <w:r>
        <w:rPr>
          <w:bCs/>
          <w:b/>
        </w:rPr>
        <w:t xml:space="preserve">samples</w:t>
      </w:r>
      <w:r>
        <w:t xml:space="preserve"> </w:t>
      </w:r>
      <w:r>
        <w:rPr>
          <w:rStyle w:val="VerbatimChar"/>
        </w:rPr>
        <w:t xml:space="preserve">maxmemory-samples</w:t>
      </w:r>
      <w:r>
        <w:t xml:space="preserve"> </w:t>
      </w:r>
      <w:r>
        <w:t xml:space="preserve">keys (5 by default), adds the best candidates to a small pool of 16, and evicts the one idle longest; 10 samples come very close to true LRU [Redis Docs: Key eviction]. In LFU mode the same 24 bits hold a 16-bit decay timestamp and an 8-bit</w:t>
      </w:r>
      <w:r>
        <w:t xml:space="preserve"> </w:t>
      </w:r>
      <w:r>
        <w:rPr>
          <w:bCs/>
          <w:b/>
        </w:rPr>
        <w:t xml:space="preserve">logarithmic counter</w:t>
      </w:r>
      <w:r>
        <w:t xml:space="preserve"> </w:t>
      </w:r>
      <w:r>
        <w:t xml:space="preserve">(a Morris counter), incremented with probability that falls as the counter grows (</w:t>
      </w:r>
      <w:r>
        <w:rPr>
          <w:rStyle w:val="VerbatimChar"/>
        </w:rPr>
        <w:t xml:space="preserve">lfu-log-factor</w:t>
      </w:r>
      <w:r>
        <w:t xml:space="preserve">, default 10) and decremented as time passes (</w:t>
      </w:r>
      <w:r>
        <w:rPr>
          <w:rStyle w:val="VerbatimChar"/>
        </w:rPr>
        <w:t xml:space="preserve">lfu-decay-time</w:t>
      </w:r>
      <w:r>
        <w:t xml:space="preserve">, default 1 minute); new keys start at 5 so they are not evicted immediately. The policy is chosen with</w:t>
      </w:r>
      <w:r>
        <w:t xml:space="preserve"> </w:t>
      </w:r>
      <w:r>
        <w:rPr>
          <w:rStyle w:val="VerbatimChar"/>
        </w:rPr>
        <w:t xml:space="preserve">maxmemory-policy</w:t>
      </w:r>
      <w:r>
        <w:t xml:space="preserve">:</w:t>
      </w:r>
      <w:r>
        <w:t xml:space="preserve"> </w:t>
      </w:r>
      <w:r>
        <w:rPr>
          <w:rStyle w:val="VerbatimChar"/>
        </w:rPr>
        <w:t xml:space="preserve">noeviction</w:t>
      </w:r>
      <w:r>
        <w:t xml:space="preserve"> </w:t>
      </w:r>
      <w:r>
        <w:t xml:space="preserve">(the default, which rejects writes when full),</w:t>
      </w:r>
      <w:r>
        <w:t xml:space="preserve"> </w:t>
      </w:r>
      <w:r>
        <w:rPr>
          <w:rStyle w:val="VerbatimChar"/>
        </w:rPr>
        <w:t xml:space="preserve">allkeys-lru</w:t>
      </w:r>
      <w:r>
        <w:t xml:space="preserve">,</w:t>
      </w:r>
      <w:r>
        <w:t xml:space="preserve"> </w:t>
      </w:r>
      <w:r>
        <w:rPr>
          <w:rStyle w:val="VerbatimChar"/>
        </w:rPr>
        <w:t xml:space="preserve">allkeys-lfu</w:t>
      </w:r>
      <w:r>
        <w:t xml:space="preserve">,</w:t>
      </w:r>
      <w:r>
        <w:t xml:space="preserve"> </w:t>
      </w:r>
      <w:r>
        <w:rPr>
          <w:rStyle w:val="VerbatimChar"/>
        </w:rPr>
        <w:t xml:space="preserve">allkeys-random</w:t>
      </w:r>
      <w:r>
        <w:t xml:space="preserve">, and</w:t>
      </w:r>
      <w:r>
        <w:t xml:space="preserve"> </w:t>
      </w:r>
      <w:r>
        <w:rPr>
          <w:rStyle w:val="VerbatimChar"/>
        </w:rPr>
        <w:t xml:space="preserve">volatile-*</w:t>
      </w:r>
      <w:r>
        <w:t xml:space="preserve"> </w:t>
      </w:r>
      <w:r>
        <w:t xml:space="preserve">variants that consider only keys with a TTL, plus</w:t>
      </w:r>
      <w:r>
        <w:t xml:space="preserve"> </w:t>
      </w:r>
      <w:r>
        <w:rPr>
          <w:rStyle w:val="VerbatimChar"/>
        </w:rPr>
        <w:t xml:space="preserve">volatile-ttl</w:t>
      </w:r>
      <w:r>
        <w:t xml:space="preserve">.</w:t>
      </w:r>
    </w:p>
    <w:p>
      <w:pPr>
        <w:pStyle w:val="CalloutWarning"/>
      </w:pPr>
      <w:r>
        <w:rPr>
          <w:bCs/>
          <w:b/>
        </w:rPr>
        <w:t xml:space="preserve">WARNING / TRADE-OFF</w:t>
      </w:r>
    </w:p>
    <w:p>
      <w:pPr>
        <w:pStyle w:val="CalloutWarning"/>
      </w:pPr>
      <w:r>
        <w:rPr>
          <w:bCs/>
          <w:b/>
        </w:rPr>
        <w:t xml:space="preserve">A Redis used as a cache must not run with</w:t>
      </w:r>
      <w:r>
        <w:rPr>
          <w:bCs/>
          <w:b/>
        </w:rPr>
        <w:t xml:space="preserve"> </w:t>
      </w:r>
      <w:r>
        <w:rPr>
          <w:rStyle w:val="VerbatimChar"/>
          <w:bCs/>
          <w:b/>
        </w:rPr>
        <w:t xml:space="preserve">noeviction</w:t>
      </w:r>
      <w:r>
        <w:rPr>
          <w:bCs/>
          <w:b/>
        </w:rPr>
        <w:t xml:space="preserve">.</w:t>
      </w:r>
      <w:r>
        <w:t xml:space="preserve"> </w:t>
      </w:r>
      <w:r>
        <w:t xml:space="preserve">With the default policy a full Redis rejects writes with an out-of-memory error, so cache fills fail and every request becomes a miss. Set</w:t>
      </w:r>
      <w:r>
        <w:t xml:space="preserve"> </w:t>
      </w:r>
      <w:r>
        <w:rPr>
          <w:rStyle w:val="VerbatimChar"/>
        </w:rPr>
        <w:t xml:space="preserve">maxmemory</w:t>
      </w:r>
      <w:r>
        <w:t xml:space="preserve"> </w:t>
      </w:r>
      <w:r>
        <w:t xml:space="preserve">below physical RAM (leave room for fork copy-on-write and fragmentation) and choose</w:t>
      </w:r>
      <w:r>
        <w:t xml:space="preserve"> </w:t>
      </w:r>
      <w:r>
        <w:rPr>
          <w:rStyle w:val="VerbatimChar"/>
        </w:rPr>
        <w:t xml:space="preserve">allkeys-lru</w:t>
      </w:r>
      <w:r>
        <w:t xml:space="preserve"> </w:t>
      </w:r>
      <w:r>
        <w:t xml:space="preserve">or</w:t>
      </w:r>
      <w:r>
        <w:t xml:space="preserve"> </w:t>
      </w:r>
      <w:r>
        <w:rPr>
          <w:rStyle w:val="VerbatimChar"/>
        </w:rPr>
        <w:t xml:space="preserve">allkeys-lfu</w:t>
      </w:r>
      <w:r>
        <w:t xml:space="preserve">.</w:t>
      </w:r>
    </w:p>
    <w:bookmarkEnd w:id="2320"/>
    <w:bookmarkStart w:id="2321" w:name="measuring-policies-on-a-zipf-trace"/>
    <w:p>
      <w:pPr>
        <w:pStyle w:val="Heading3"/>
      </w:pPr>
      <w:r>
        <w:t xml:space="preserve">20.9.5 Measuring policies on a Zipf trace</w:t>
      </w:r>
    </w:p>
    <w:p>
      <w:pPr>
        <w:pStyle w:val="FirstParagraph"/>
      </w:pPr>
      <w:r>
        <w:t xml:space="preserve">The program implements LRU, LFU (with least-recently-used tie-breaking), ARC from the paper’s pseudocode, and a simplified W-TinyLFU (no doorkeeper or hill climbing), and runs them on three traces of 400,000 requests over 50,000 keys: stationary Zipf (</w:t>
      </w:r>
      <m:oMath>
        <m:r>
          <m:t>s</m:t>
        </m:r>
        <m:r>
          <m:rPr>
            <m:sty m:val="p"/>
          </m:rPr>
          <m:t>=</m:t>
        </m:r>
        <m:r>
          <m:t>0.9</m:t>
        </m:r>
      </m:oMath>
      <w:r>
        <w:t xml:space="preserve">); the same Zipf interrupted every 8,000 requests by a scan of 2,000 never-repeated keys; and Zipf whose popularity ranks are reshuffled four times.</w:t>
      </w:r>
    </w:p>
    <w:p>
      <w:pPr>
        <w:pStyle w:val="SourceCode"/>
      </w:pPr>
      <w:r>
        <w:rPr>
          <w:rStyle w:val="CommentTok"/>
        </w:rPr>
        <w:t xml:space="preserve">"""Hit ratios of LRU, LFU, ARC and a simplified W-TinyLFU on three synthetic traces."""</w:t>
      </w:r>
      <w:r>
        <w:br/>
      </w:r>
      <w:r>
        <w:rPr>
          <w:rStyle w:val="ImportTok"/>
        </w:rPr>
        <w:t xml:space="preserve">import</w:t>
      </w:r>
      <w:r>
        <w:rPr>
          <w:rStyle w:val="NormalTok"/>
        </w:rPr>
        <w:t xml:space="preserve"> itertools</w:t>
      </w:r>
      <w:r>
        <w:br/>
      </w:r>
      <w:r>
        <w:rPr>
          <w:rStyle w:val="ImportTok"/>
        </w:rPr>
        <w:t xml:space="preserve">import</w:t>
      </w:r>
      <w:r>
        <w:rPr>
          <w:rStyle w:val="NormalTok"/>
        </w:rPr>
        <w:t xml:space="preserve"> random</w:t>
      </w:r>
      <w:r>
        <w:br/>
      </w:r>
      <w:r>
        <w:rPr>
          <w:rStyle w:val="ImportTok"/>
        </w:rPr>
        <w:t xml:space="preserve">from</w:t>
      </w:r>
      <w:r>
        <w:rPr>
          <w:rStyle w:val="NormalTok"/>
        </w:rPr>
        <w:t xml:space="preserve"> collections </w:t>
      </w:r>
      <w:r>
        <w:rPr>
          <w:rStyle w:val="ImportTok"/>
        </w:rPr>
        <w:t xml:space="preserve">import</w:t>
      </w:r>
      <w:r>
        <w:rPr>
          <w:rStyle w:val="NormalTok"/>
        </w:rPr>
        <w:t xml:space="preserve"> OrderedDict, defaultdict</w:t>
      </w:r>
      <w:r>
        <w:br/>
      </w:r>
      <w:r>
        <w:br/>
      </w:r>
      <w:r>
        <w:rPr>
          <w:rStyle w:val="KeywordTok"/>
        </w:rPr>
        <w:t xml:space="preserve">class</w:t>
      </w:r>
      <w:r>
        <w:rPr>
          <w:rStyle w:val="NormalTok"/>
        </w:rPr>
        <w:t xml:space="preserve"> LRU:</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capacity):</w:t>
      </w:r>
      <w:r>
        <w:br/>
      </w:r>
      <w:r>
        <w:rPr>
          <w:rStyle w:val="NormalTok"/>
        </w:rPr>
        <w:t xml:space="preserve">        </w:t>
      </w:r>
      <w:r>
        <w:rPr>
          <w:rStyle w:val="VariableTok"/>
        </w:rPr>
        <w:t xml:space="preserve">self</w:t>
      </w:r>
      <w:r>
        <w:rPr>
          <w:rStyle w:val="NormalTok"/>
        </w:rPr>
        <w:t xml:space="preserve">.c, </w:t>
      </w:r>
      <w:r>
        <w:rPr>
          <w:rStyle w:val="VariableTok"/>
        </w:rPr>
        <w:t xml:space="preserve">self</w:t>
      </w:r>
      <w:r>
        <w:rPr>
          <w:rStyle w:val="NormalTok"/>
        </w:rPr>
        <w:t xml:space="preserve">.d </w:t>
      </w:r>
      <w:r>
        <w:rPr>
          <w:rStyle w:val="OperatorTok"/>
        </w:rPr>
        <w:t xml:space="preserve">=</w:t>
      </w:r>
      <w:r>
        <w:rPr>
          <w:rStyle w:val="NormalTok"/>
        </w:rPr>
        <w:t xml:space="preserve"> capacity, OrderedDict()</w:t>
      </w:r>
      <w:r>
        <w:br/>
      </w:r>
      <w:r>
        <w:rPr>
          <w:rStyle w:val="NormalTok"/>
        </w:rPr>
        <w:t xml:space="preserve">    </w:t>
      </w:r>
      <w:r>
        <w:rPr>
          <w:rStyle w:val="KeywordTok"/>
        </w:rPr>
        <w:t xml:space="preserve">def</w:t>
      </w:r>
      <w:r>
        <w:rPr>
          <w:rStyle w:val="NormalTok"/>
        </w:rPr>
        <w:t xml:space="preserve"> access(</w:t>
      </w:r>
      <w:r>
        <w:rPr>
          <w:rStyle w:val="VariableTok"/>
        </w:rPr>
        <w:t xml:space="preserve">self</w:t>
      </w:r>
      <w:r>
        <w:rPr>
          <w:rStyle w:val="NormalTok"/>
        </w:rPr>
        <w:t xml:space="preserve">, key):                       </w:t>
      </w:r>
      <w:r>
        <w:rPr>
          <w:rStyle w:val="CommentTok"/>
        </w:rPr>
        <w:t xml:space="preserve"># returns True on a hit</w:t>
      </w:r>
      <w:r>
        <w:br/>
      </w:r>
      <w:r>
        <w:rPr>
          <w:rStyle w:val="NormalTok"/>
        </w:rPr>
        <w:t xml:space="preserve">        </w:t>
      </w:r>
      <w:r>
        <w:rPr>
          <w:rStyle w:val="ControlFlowTok"/>
        </w:rPr>
        <w:t xml:space="preserve">if</w:t>
      </w:r>
      <w:r>
        <w:rPr>
          <w:rStyle w:val="NormalTok"/>
        </w:rPr>
        <w:t xml:space="preserve"> key </w:t>
      </w:r>
      <w:r>
        <w:rPr>
          <w:rStyle w:val="KeywordTok"/>
        </w:rPr>
        <w:t xml:space="preserve">in</w:t>
      </w:r>
      <w:r>
        <w:rPr>
          <w:rStyle w:val="NormalTok"/>
        </w:rPr>
        <w:t xml:space="preserve"> </w:t>
      </w:r>
      <w:r>
        <w:rPr>
          <w:rStyle w:val="VariableTok"/>
        </w:rPr>
        <w:t xml:space="preserve">self</w:t>
      </w:r>
      <w:r>
        <w:rPr>
          <w:rStyle w:val="NormalTok"/>
        </w:rPr>
        <w:t xml:space="preserve">.d:</w:t>
      </w:r>
      <w:r>
        <w:br/>
      </w:r>
      <w:r>
        <w:rPr>
          <w:rStyle w:val="NormalTok"/>
        </w:rPr>
        <w:t xml:space="preserve">            </w:t>
      </w:r>
      <w:r>
        <w:rPr>
          <w:rStyle w:val="VariableTok"/>
        </w:rPr>
        <w:t xml:space="preserve">self</w:t>
      </w:r>
      <w:r>
        <w:rPr>
          <w:rStyle w:val="NormalTok"/>
        </w:rPr>
        <w:t xml:space="preserve">.d.move_to_end(key)</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VariableTok"/>
        </w:rPr>
        <w:t xml:space="preserve">self</w:t>
      </w:r>
      <w:r>
        <w:rPr>
          <w:rStyle w:val="NormalTok"/>
        </w:rPr>
        <w:t xml:space="preserve">.d[key]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.d) </w:t>
      </w:r>
      <w:r>
        <w:rPr>
          <w:rStyle w:val="OperatorTok"/>
        </w:rPr>
        <w:t xml:space="preserve">&gt;</w:t>
      </w:r>
      <w:r>
        <w:rPr>
          <w:rStyle w:val="NormalTok"/>
        </w:rPr>
        <w:t xml:space="preserve"> </w:t>
      </w:r>
      <w:r>
        <w:rPr>
          <w:rStyle w:val="VariableTok"/>
        </w:rPr>
        <w:t xml:space="preserve">self</w:t>
      </w:r>
      <w:r>
        <w:rPr>
          <w:rStyle w:val="NormalTok"/>
        </w:rPr>
        <w:t xml:space="preserve">.c:</w:t>
      </w:r>
      <w:r>
        <w:br/>
      </w:r>
      <w:r>
        <w:rPr>
          <w:rStyle w:val="NormalTok"/>
        </w:rPr>
        <w:t xml:space="preserve">            </w:t>
      </w:r>
      <w:r>
        <w:rPr>
          <w:rStyle w:val="VariableTok"/>
        </w:rPr>
        <w:t xml:space="preserve">self</w:t>
      </w:r>
      <w:r>
        <w:rPr>
          <w:rStyle w:val="NormalTok"/>
        </w:rPr>
        <w:t xml:space="preserve">.d.popitem(last</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KeywordTok"/>
        </w:rPr>
        <w:t xml:space="preserve">class</w:t>
      </w:r>
      <w:r>
        <w:rPr>
          <w:rStyle w:val="NormalTok"/>
        </w:rPr>
        <w:t xml:space="preserve"> LFU:</w:t>
      </w:r>
      <w:r>
        <w:br/>
      </w:r>
      <w:r>
        <w:rPr>
          <w:rStyle w:val="NormalTok"/>
        </w:rPr>
        <w:t xml:space="preserve">    </w:t>
      </w:r>
      <w:r>
        <w:rPr>
          <w:rStyle w:val="CommentTok"/>
        </w:rPr>
        <w:t xml:space="preserve">"""O(1) in-cache LFU: evict the lowest count, least recent among ties."""</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capacity):</w:t>
      </w:r>
      <w:r>
        <w:br/>
      </w:r>
      <w:r>
        <w:rPr>
          <w:rStyle w:val="NormalTok"/>
        </w:rPr>
        <w:t xml:space="preserve">        </w:t>
      </w:r>
      <w:r>
        <w:rPr>
          <w:rStyle w:val="VariableTok"/>
        </w:rPr>
        <w:t xml:space="preserve">self</w:t>
      </w:r>
      <w:r>
        <w:rPr>
          <w:rStyle w:val="NormalTok"/>
        </w:rPr>
        <w:t xml:space="preserve">.c, </w:t>
      </w:r>
      <w:r>
        <w:rPr>
          <w:rStyle w:val="VariableTok"/>
        </w:rPr>
        <w:t xml:space="preserve">self</w:t>
      </w:r>
      <w:r>
        <w:rPr>
          <w:rStyle w:val="NormalTok"/>
        </w:rPr>
        <w:t xml:space="preserve">.freq </w:t>
      </w:r>
      <w:r>
        <w:rPr>
          <w:rStyle w:val="OperatorTok"/>
        </w:rPr>
        <w:t xml:space="preserve">=</w:t>
      </w:r>
      <w:r>
        <w:rPr>
          <w:rStyle w:val="NormalTok"/>
        </w:rPr>
        <w:t xml:space="preserve"> capacity, {}</w:t>
      </w:r>
      <w:r>
        <w:br/>
      </w:r>
      <w:r>
        <w:rPr>
          <w:rStyle w:val="NormalTok"/>
        </w:rPr>
        <w:t xml:space="preserve">        </w:t>
      </w:r>
      <w:r>
        <w:rPr>
          <w:rStyle w:val="VariableTok"/>
        </w:rPr>
        <w:t xml:space="preserve">self</w:t>
      </w:r>
      <w:r>
        <w:rPr>
          <w:rStyle w:val="NormalTok"/>
        </w:rPr>
        <w:t xml:space="preserve">.buckets, </w:t>
      </w:r>
      <w:r>
        <w:rPr>
          <w:rStyle w:val="VariableTok"/>
        </w:rPr>
        <w:t xml:space="preserve">self</w:t>
      </w:r>
      <w:r>
        <w:rPr>
          <w:rStyle w:val="NormalTok"/>
        </w:rPr>
        <w:t xml:space="preserve">.min_f </w:t>
      </w:r>
      <w:r>
        <w:rPr>
          <w:rStyle w:val="OperatorTok"/>
        </w:rPr>
        <w:t xml:space="preserve">=</w:t>
      </w:r>
      <w:r>
        <w:rPr>
          <w:rStyle w:val="NormalTok"/>
        </w:rPr>
        <w:t xml:space="preserve"> defaultdict(OrderedDict), </w:t>
      </w:r>
      <w:r>
        <w:rPr>
          <w:rStyle w:val="DecValTok"/>
        </w:rPr>
        <w:t xml:space="preserve">0</w:t>
      </w:r>
      <w:r>
        <w:br/>
      </w:r>
      <w:r>
        <w:rPr>
          <w:rStyle w:val="NormalTok"/>
        </w:rPr>
        <w:t xml:space="preserve">    </w:t>
      </w:r>
      <w:r>
        <w:rPr>
          <w:rStyle w:val="KeywordTok"/>
        </w:rPr>
        <w:t xml:space="preserve">def</w:t>
      </w:r>
      <w:r>
        <w:rPr>
          <w:rStyle w:val="NormalTok"/>
        </w:rPr>
        <w:t xml:space="preserve"> access(</w:t>
      </w:r>
      <w:r>
        <w:rPr>
          <w:rStyle w:val="VariableTok"/>
        </w:rPr>
        <w:t xml:space="preserve">self</w:t>
      </w:r>
      <w:r>
        <w:rPr>
          <w:rStyle w:val="NormalTok"/>
        </w:rPr>
        <w:t xml:space="preserve">, key):</w:t>
      </w:r>
      <w:r>
        <w:br/>
      </w:r>
      <w:r>
        <w:rPr>
          <w:rStyle w:val="NormalTok"/>
        </w:rPr>
        <w:t xml:space="preserve">        </w:t>
      </w:r>
      <w:r>
        <w:rPr>
          <w:rStyle w:val="ControlFlowTok"/>
        </w:rPr>
        <w:t xml:space="preserve">if</w:t>
      </w:r>
      <w:r>
        <w:rPr>
          <w:rStyle w:val="NormalTok"/>
        </w:rPr>
        <w:t xml:space="preserve"> key </w:t>
      </w:r>
      <w:r>
        <w:rPr>
          <w:rStyle w:val="KeywordTok"/>
        </w:rPr>
        <w:t xml:space="preserve">in</w:t>
      </w:r>
      <w:r>
        <w:rPr>
          <w:rStyle w:val="NormalTok"/>
        </w:rPr>
        <w:t xml:space="preserve"> </w:t>
      </w:r>
      <w:r>
        <w:rPr>
          <w:rStyle w:val="VariableTok"/>
        </w:rPr>
        <w:t xml:space="preserve">self</w:t>
      </w:r>
      <w:r>
        <w:rPr>
          <w:rStyle w:val="NormalTok"/>
        </w:rPr>
        <w:t xml:space="preserve">.freq:</w:t>
      </w:r>
      <w:r>
        <w:br/>
      </w:r>
      <w:r>
        <w:rPr>
          <w:rStyle w:val="NormalTok"/>
        </w:rPr>
        <w:t xml:space="preserve">            f </w:t>
      </w:r>
      <w:r>
        <w:rPr>
          <w:rStyle w:val="OperatorTok"/>
        </w:rPr>
        <w:t xml:space="preserve">=</w:t>
      </w:r>
      <w:r>
        <w:rPr>
          <w:rStyle w:val="NormalTok"/>
        </w:rPr>
        <w:t xml:space="preserve"> </w:t>
      </w:r>
      <w:r>
        <w:rPr>
          <w:rStyle w:val="VariableTok"/>
        </w:rPr>
        <w:t xml:space="preserve">self</w:t>
      </w:r>
      <w:r>
        <w:rPr>
          <w:rStyle w:val="NormalTok"/>
        </w:rPr>
        <w:t xml:space="preserve">.freq[key]</w:t>
      </w:r>
      <w:r>
        <w:br/>
      </w:r>
      <w:r>
        <w:rPr>
          <w:rStyle w:val="NormalTok"/>
        </w:rPr>
        <w:t xml:space="preserve">            </w:t>
      </w:r>
      <w:r>
        <w:rPr>
          <w:rStyle w:val="KeywordTok"/>
        </w:rPr>
        <w:t xml:space="preserve">del</w:t>
      </w:r>
      <w:r>
        <w:rPr>
          <w:rStyle w:val="NormalTok"/>
        </w:rPr>
        <w:t xml:space="preserve"> </w:t>
      </w:r>
      <w:r>
        <w:rPr>
          <w:rStyle w:val="VariableTok"/>
        </w:rPr>
        <w:t xml:space="preserve">self</w:t>
      </w:r>
      <w:r>
        <w:rPr>
          <w:rStyle w:val="NormalTok"/>
        </w:rPr>
        <w:t xml:space="preserve">.buckets[f][key]</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.buckets[f] </w:t>
      </w:r>
      <w:r>
        <w:rPr>
          <w:rStyle w:val="KeywordTok"/>
        </w:rPr>
        <w:t xml:space="preserve">and</w:t>
      </w:r>
      <w:r>
        <w:rPr>
          <w:rStyle w:val="NormalTok"/>
        </w:rPr>
        <w:t xml:space="preserve"> </w:t>
      </w:r>
      <w:r>
        <w:rPr>
          <w:rStyle w:val="VariableTok"/>
        </w:rPr>
        <w:t xml:space="preserve">self</w:t>
      </w:r>
      <w:r>
        <w:rPr>
          <w:rStyle w:val="NormalTok"/>
        </w:rPr>
        <w:t xml:space="preserve">.min_f </w:t>
      </w:r>
      <w:r>
        <w:rPr>
          <w:rStyle w:val="OperatorTok"/>
        </w:rPr>
        <w:t xml:space="preserve">==</w:t>
      </w:r>
      <w:r>
        <w:rPr>
          <w:rStyle w:val="NormalTok"/>
        </w:rPr>
        <w:t xml:space="preserve"> f:</w:t>
      </w:r>
      <w:r>
        <w:br/>
      </w:r>
      <w:r>
        <w:rPr>
          <w:rStyle w:val="NormalTok"/>
        </w:rPr>
        <w:t xml:space="preserve">                </w:t>
      </w:r>
      <w:r>
        <w:rPr>
          <w:rStyle w:val="VariableTok"/>
        </w:rPr>
        <w:t xml:space="preserve">self</w:t>
      </w:r>
      <w:r>
        <w:rPr>
          <w:rStyle w:val="NormalTok"/>
        </w:rPr>
        <w:t xml:space="preserve">.min_f </w:t>
      </w:r>
      <w:r>
        <w:rPr>
          <w:rStyle w:val="OperatorTok"/>
        </w:rPr>
        <w:t xml:space="preserve">=</w:t>
      </w:r>
      <w:r>
        <w:rPr>
          <w:rStyle w:val="NormalTok"/>
        </w:rPr>
        <w:t xml:space="preserve"> f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VariableTok"/>
        </w:rPr>
        <w:t xml:space="preserve">self</w:t>
      </w:r>
      <w:r>
        <w:rPr>
          <w:rStyle w:val="NormalTok"/>
        </w:rPr>
        <w:t xml:space="preserve">.freq[key] </w:t>
      </w:r>
      <w:r>
        <w:rPr>
          <w:rStyle w:val="OperatorTok"/>
        </w:rPr>
        <w:t xml:space="preserve">=</w:t>
      </w:r>
      <w:r>
        <w:rPr>
          <w:rStyle w:val="NormalTok"/>
        </w:rPr>
        <w:t xml:space="preserve"> f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VariableTok"/>
        </w:rPr>
        <w:t xml:space="preserve">self</w:t>
      </w:r>
      <w:r>
        <w:rPr>
          <w:rStyle w:val="NormalTok"/>
        </w:rPr>
        <w:t xml:space="preserve">.buckets[f </w:t>
      </w:r>
      <w:r>
        <w:rPr>
          <w:rStyle w:val="OperatorTok"/>
        </w:rPr>
        <w:t xml:space="preserve">+</w:t>
      </w:r>
      <w:r>
        <w:rPr>
          <w:rStyle w:val="NormalTok"/>
        </w:rPr>
        <w:t xml:space="preserve"> </w:t>
      </w:r>
      <w:r>
        <w:rPr>
          <w:rStyle w:val="DecValTok"/>
        </w:rPr>
        <w:t xml:space="preserve">1</w:t>
      </w:r>
      <w:r>
        <w:rPr>
          <w:rStyle w:val="NormalTok"/>
        </w:rPr>
        <w:t xml:space="preserve">][key]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.freq) </w:t>
      </w:r>
      <w:r>
        <w:rPr>
          <w:rStyle w:val="OperatorTok"/>
        </w:rPr>
        <w:t xml:space="preserve">&gt;=</w:t>
      </w:r>
      <w:r>
        <w:rPr>
          <w:rStyle w:val="NormalTok"/>
        </w:rPr>
        <w:t xml:space="preserve"> </w:t>
      </w:r>
      <w:r>
        <w:rPr>
          <w:rStyle w:val="VariableTok"/>
        </w:rPr>
        <w:t xml:space="preserve">self</w:t>
      </w:r>
      <w:r>
        <w:rPr>
          <w:rStyle w:val="NormalTok"/>
        </w:rPr>
        <w:t xml:space="preserve">.c:</w:t>
      </w:r>
      <w:r>
        <w:br/>
      </w:r>
      <w:r>
        <w:rPr>
          <w:rStyle w:val="NormalTok"/>
        </w:rPr>
        <w:t xml:space="preserve">            victim, _ </w:t>
      </w:r>
      <w:r>
        <w:rPr>
          <w:rStyle w:val="OperatorTok"/>
        </w:rPr>
        <w:t xml:space="preserve">=</w:t>
      </w:r>
      <w:r>
        <w:rPr>
          <w:rStyle w:val="NormalTok"/>
        </w:rPr>
        <w:t xml:space="preserve"> </w:t>
      </w:r>
      <w:r>
        <w:rPr>
          <w:rStyle w:val="VariableTok"/>
        </w:rPr>
        <w:t xml:space="preserve">self</w:t>
      </w:r>
      <w:r>
        <w:rPr>
          <w:rStyle w:val="NormalTok"/>
        </w:rPr>
        <w:t xml:space="preserve">.buckets[</w:t>
      </w:r>
      <w:r>
        <w:rPr>
          <w:rStyle w:val="VariableTok"/>
        </w:rPr>
        <w:t xml:space="preserve">self</w:t>
      </w:r>
      <w:r>
        <w:rPr>
          <w:rStyle w:val="NormalTok"/>
        </w:rPr>
        <w:t xml:space="preserve">.min_f].popitem(last</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KeywordTok"/>
        </w:rPr>
        <w:t xml:space="preserve">del</w:t>
      </w:r>
      <w:r>
        <w:rPr>
          <w:rStyle w:val="NormalTok"/>
        </w:rPr>
        <w:t xml:space="preserve"> </w:t>
      </w:r>
      <w:r>
        <w:rPr>
          <w:rStyle w:val="VariableTok"/>
        </w:rPr>
        <w:t xml:space="preserve">self</w:t>
      </w:r>
      <w:r>
        <w:rPr>
          <w:rStyle w:val="NormalTok"/>
        </w:rPr>
        <w:t xml:space="preserve">.freq[victim]</w:t>
      </w:r>
      <w:r>
        <w:br/>
      </w:r>
      <w:r>
        <w:rPr>
          <w:rStyle w:val="NormalTok"/>
        </w:rPr>
        <w:t xml:space="preserve">        </w:t>
      </w:r>
      <w:r>
        <w:rPr>
          <w:rStyle w:val="VariableTok"/>
        </w:rPr>
        <w:t xml:space="preserve">self</w:t>
      </w:r>
      <w:r>
        <w:rPr>
          <w:rStyle w:val="NormalTok"/>
        </w:rPr>
        <w:t xml:space="preserve">.freq[key], </w:t>
      </w:r>
      <w:r>
        <w:rPr>
          <w:rStyle w:val="VariableTok"/>
        </w:rPr>
        <w:t xml:space="preserve">self</w:t>
      </w:r>
      <w:r>
        <w:rPr>
          <w:rStyle w:val="NormalTok"/>
        </w:rPr>
        <w:t xml:space="preserve">.min_f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1</w:t>
      </w:r>
      <w:r>
        <w:br/>
      </w:r>
      <w:r>
        <w:rPr>
          <w:rStyle w:val="NormalTok"/>
        </w:rPr>
        <w:t xml:space="preserve">        </w:t>
      </w:r>
      <w:r>
        <w:rPr>
          <w:rStyle w:val="VariableTok"/>
        </w:rPr>
        <w:t xml:space="preserve">self</w:t>
      </w:r>
      <w:r>
        <w:rPr>
          <w:rStyle w:val="NormalTok"/>
        </w:rPr>
        <w:t xml:space="preserve">.buckets[</w:t>
      </w:r>
      <w:r>
        <w:rPr>
          <w:rStyle w:val="DecValTok"/>
        </w:rPr>
        <w:t xml:space="preserve">1</w:t>
      </w:r>
      <w:r>
        <w:rPr>
          <w:rStyle w:val="NormalTok"/>
        </w:rPr>
        <w:t xml:space="preserve">][key]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KeywordTok"/>
        </w:rPr>
        <w:t xml:space="preserve">class</w:t>
      </w:r>
      <w:r>
        <w:rPr>
          <w:rStyle w:val="NormalTok"/>
        </w:rPr>
        <w:t xml:space="preserve"> ARC:</w:t>
      </w:r>
      <w:r>
        <w:br/>
      </w:r>
      <w:r>
        <w:rPr>
          <w:rStyle w:val="NormalTok"/>
        </w:rPr>
        <w:t xml:space="preserve">    </w:t>
      </w:r>
      <w:r>
        <w:rPr>
          <w:rStyle w:val="CommentTok"/>
        </w:rPr>
        <w:t xml:space="preserve">"""Adaptive Replacement Cache [Megiddo &amp; Modha 2003]: T1/T2 hold data,</w:t>
      </w:r>
      <w:r>
        <w:br/>
      </w:r>
      <w:r>
        <w:rPr>
          <w:rStyle w:val="CommentTok"/>
        </w:rPr>
        <w:t xml:space="preserve">    B1/B2 are ghost lists of recently evicted keys, p is T1's target size."""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capacity):</w:t>
      </w:r>
      <w:r>
        <w:br/>
      </w:r>
      <w:r>
        <w:rPr>
          <w:rStyle w:val="NormalTok"/>
        </w:rPr>
        <w:t xml:space="preserve">        </w:t>
      </w:r>
      <w:r>
        <w:rPr>
          <w:rStyle w:val="VariableTok"/>
        </w:rPr>
        <w:t xml:space="preserve">self</w:t>
      </w:r>
      <w:r>
        <w:rPr>
          <w:rStyle w:val="NormalTok"/>
        </w:rPr>
        <w:t xml:space="preserve">.c, </w:t>
      </w:r>
      <w:r>
        <w:rPr>
          <w:rStyle w:val="VariableTok"/>
        </w:rPr>
        <w:t xml:space="preserve">self</w:t>
      </w:r>
      <w:r>
        <w:rPr>
          <w:rStyle w:val="NormalTok"/>
        </w:rPr>
        <w:t xml:space="preserve">.p </w:t>
      </w:r>
      <w:r>
        <w:rPr>
          <w:rStyle w:val="OperatorTok"/>
        </w:rPr>
        <w:t xml:space="preserve">=</w:t>
      </w:r>
      <w:r>
        <w:rPr>
          <w:rStyle w:val="NormalTok"/>
        </w:rPr>
        <w:t xml:space="preserve"> capacity, </w:t>
      </w:r>
      <w:r>
        <w:rPr>
          <w:rStyle w:val="DecValTok"/>
        </w:rPr>
        <w:t xml:space="preserve">0</w:t>
      </w:r>
      <w:r>
        <w:br/>
      </w:r>
      <w:r>
        <w:rPr>
          <w:rStyle w:val="NormalTok"/>
        </w:rPr>
        <w:t xml:space="preserve">        </w:t>
      </w:r>
      <w:r>
        <w:rPr>
          <w:rStyle w:val="VariableTok"/>
        </w:rPr>
        <w:t xml:space="preserve">self</w:t>
      </w:r>
      <w:r>
        <w:rPr>
          <w:rStyle w:val="NormalTok"/>
        </w:rPr>
        <w:t xml:space="preserve">.t1, </w:t>
      </w:r>
      <w:r>
        <w:rPr>
          <w:rStyle w:val="VariableTok"/>
        </w:rPr>
        <w:t xml:space="preserve">self</w:t>
      </w:r>
      <w:r>
        <w:rPr>
          <w:rStyle w:val="NormalTok"/>
        </w:rPr>
        <w:t xml:space="preserve">.t2, </w:t>
      </w:r>
      <w:r>
        <w:rPr>
          <w:rStyle w:val="VariableTok"/>
        </w:rPr>
        <w:t xml:space="preserve">self</w:t>
      </w:r>
      <w:r>
        <w:rPr>
          <w:rStyle w:val="NormalTok"/>
        </w:rPr>
        <w:t xml:space="preserve">.b1, </w:t>
      </w:r>
      <w:r>
        <w:rPr>
          <w:rStyle w:val="VariableTok"/>
        </w:rPr>
        <w:t xml:space="preserve">self</w:t>
      </w:r>
      <w:r>
        <w:rPr>
          <w:rStyle w:val="NormalTok"/>
        </w:rPr>
        <w:t xml:space="preserve">.b2 </w:t>
      </w:r>
      <w:r>
        <w:rPr>
          <w:rStyle w:val="OperatorTok"/>
        </w:rPr>
        <w:t xml:space="preserve">=</w:t>
      </w:r>
      <w:r>
        <w:rPr>
          <w:rStyle w:val="NormalTok"/>
        </w:rPr>
        <w:t xml:space="preserve"> (OrderedDict()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4</w:t>
      </w:r>
      <w:r>
        <w:rPr>
          <w:rStyle w:val="NormalTok"/>
        </w:rPr>
        <w:t xml:space="preserve">))</w:t>
      </w:r>
      <w:r>
        <w:br/>
      </w:r>
      <w:r>
        <w:rPr>
          <w:rStyle w:val="NormalTok"/>
        </w:rPr>
        <w:t xml:space="preserve">    </w:t>
      </w:r>
      <w:r>
        <w:rPr>
          <w:rStyle w:val="KeywordTok"/>
        </w:rPr>
        <w:t xml:space="preserve">def</w:t>
      </w:r>
      <w:r>
        <w:rPr>
          <w:rStyle w:val="NormalTok"/>
        </w:rPr>
        <w:t xml:space="preserve"> _replace(</w:t>
      </w:r>
      <w:r>
        <w:rPr>
          <w:rStyle w:val="VariableTok"/>
        </w:rPr>
        <w:t xml:space="preserve">self</w:t>
      </w:r>
      <w:r>
        <w:rPr>
          <w:rStyle w:val="NormalTok"/>
        </w:rPr>
        <w:t xml:space="preserve">, in_b2):</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.t1 </w:t>
      </w:r>
      <w:r>
        <w:rPr>
          <w:rStyle w:val="KeywordTok"/>
        </w:rPr>
        <w:t xml:space="preserve">and</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.t2 </w:t>
      </w:r>
      <w:r>
        <w:rPr>
          <w:rStyle w:val="KeywordTok"/>
        </w:rPr>
        <w:t xml:space="preserve">or</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.t1) </w:t>
      </w:r>
      <w:r>
        <w:rPr>
          <w:rStyle w:val="OperatorTok"/>
        </w:rPr>
        <w:t xml:space="preserve">&gt;</w:t>
      </w:r>
      <w:r>
        <w:rPr>
          <w:rStyle w:val="NormalTok"/>
        </w:rPr>
        <w:t xml:space="preserve"> </w:t>
      </w:r>
      <w:r>
        <w:rPr>
          <w:rStyle w:val="VariableTok"/>
        </w:rPr>
        <w:t xml:space="preserve">self</w:t>
      </w:r>
      <w:r>
        <w:rPr>
          <w:rStyle w:val="NormalTok"/>
        </w:rPr>
        <w:t xml:space="preserve">.p</w:t>
      </w:r>
      <w:r>
        <w:br/>
      </w:r>
      <w:r>
        <w:rPr>
          <w:rStyle w:val="NormalTok"/>
        </w:rPr>
        <w:t xml:space="preserve">                        </w:t>
      </w:r>
      <w:r>
        <w:rPr>
          <w:rStyle w:val="KeywordTok"/>
        </w:rPr>
        <w:t xml:space="preserve">or</w:t>
      </w:r>
      <w:r>
        <w:rPr>
          <w:rStyle w:val="NormalTok"/>
        </w:rPr>
        <w:t xml:space="preserve"> (in_b2 </w:t>
      </w:r>
      <w:r>
        <w:rPr>
          <w:rStyle w:val="KeywordTok"/>
        </w:rPr>
        <w:t xml:space="preserve">and</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.t1) </w:t>
      </w:r>
      <w:r>
        <w:rPr>
          <w:rStyle w:val="OperatorTok"/>
        </w:rPr>
        <w:t xml:space="preserve">==</w:t>
      </w:r>
      <w:r>
        <w:rPr>
          <w:rStyle w:val="NormalTok"/>
        </w:rPr>
        <w:t xml:space="preserve"> </w:t>
      </w:r>
      <w:r>
        <w:rPr>
          <w:rStyle w:val="VariableTok"/>
        </w:rPr>
        <w:t xml:space="preserve">self</w:t>
      </w:r>
      <w:r>
        <w:rPr>
          <w:rStyle w:val="NormalTok"/>
        </w:rPr>
        <w:t xml:space="preserve">.p)):</w:t>
      </w:r>
      <w:r>
        <w:br/>
      </w:r>
      <w:r>
        <w:rPr>
          <w:rStyle w:val="NormalTok"/>
        </w:rPr>
        <w:t xml:space="preserve">            k, _ </w:t>
      </w:r>
      <w:r>
        <w:rPr>
          <w:rStyle w:val="OperatorTok"/>
        </w:rPr>
        <w:t xml:space="preserve">=</w:t>
      </w:r>
      <w:r>
        <w:rPr>
          <w:rStyle w:val="NormalTok"/>
        </w:rPr>
        <w:t xml:space="preserve"> </w:t>
      </w:r>
      <w:r>
        <w:rPr>
          <w:rStyle w:val="VariableTok"/>
        </w:rPr>
        <w:t xml:space="preserve">self</w:t>
      </w:r>
      <w:r>
        <w:rPr>
          <w:rStyle w:val="NormalTok"/>
        </w:rPr>
        <w:t xml:space="preserve">.t1.popitem(last</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VariableTok"/>
        </w:rPr>
        <w:t xml:space="preserve">self</w:t>
      </w:r>
      <w:r>
        <w:rPr>
          <w:rStyle w:val="NormalTok"/>
        </w:rPr>
        <w:t xml:space="preserve">.b1[k]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else</w:t>
      </w:r>
      <w:r>
        <w:rPr>
          <w:rStyle w:val="NormalTok"/>
        </w:rPr>
        <w:t xml:space="preserve">:</w:t>
      </w:r>
      <w:r>
        <w:br/>
      </w:r>
      <w:r>
        <w:rPr>
          <w:rStyle w:val="NormalTok"/>
        </w:rPr>
        <w:t xml:space="preserve">            k, _ </w:t>
      </w:r>
      <w:r>
        <w:rPr>
          <w:rStyle w:val="OperatorTok"/>
        </w:rPr>
        <w:t xml:space="preserve">=</w:t>
      </w:r>
      <w:r>
        <w:rPr>
          <w:rStyle w:val="NormalTok"/>
        </w:rPr>
        <w:t xml:space="preserve"> </w:t>
      </w:r>
      <w:r>
        <w:rPr>
          <w:rStyle w:val="VariableTok"/>
        </w:rPr>
        <w:t xml:space="preserve">self</w:t>
      </w:r>
      <w:r>
        <w:rPr>
          <w:rStyle w:val="NormalTok"/>
        </w:rPr>
        <w:t xml:space="preserve">.t2.popitem(last</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VariableTok"/>
        </w:rPr>
        <w:t xml:space="preserve">self</w:t>
      </w:r>
      <w:r>
        <w:rPr>
          <w:rStyle w:val="NormalTok"/>
        </w:rPr>
        <w:t xml:space="preserve">.b2[k]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KeywordTok"/>
        </w:rPr>
        <w:t xml:space="preserve">def</w:t>
      </w:r>
      <w:r>
        <w:rPr>
          <w:rStyle w:val="NormalTok"/>
        </w:rPr>
        <w:t xml:space="preserve"> access(</w:t>
      </w:r>
      <w:r>
        <w:rPr>
          <w:rStyle w:val="VariableTok"/>
        </w:rPr>
        <w:t xml:space="preserve">self</w:t>
      </w:r>
      <w:r>
        <w:rPr>
          <w:rStyle w:val="NormalTok"/>
        </w:rPr>
        <w:t xml:space="preserve">, x):</w:t>
      </w:r>
      <w:r>
        <w:br/>
      </w:r>
      <w:r>
        <w:rPr>
          <w:rStyle w:val="NormalTok"/>
        </w:rPr>
        <w:t xml:space="preserve">        </w:t>
      </w:r>
      <w:r>
        <w:rPr>
          <w:rStyle w:val="ControlFlowTok"/>
        </w:rPr>
        <w:t xml:space="preserve">if</w:t>
      </w:r>
      <w:r>
        <w:rPr>
          <w:rStyle w:val="NormalTok"/>
        </w:rPr>
        <w:t xml:space="preserve"> x </w:t>
      </w:r>
      <w:r>
        <w:rPr>
          <w:rStyle w:val="KeywordTok"/>
        </w:rPr>
        <w:t xml:space="preserve">in</w:t>
      </w:r>
      <w:r>
        <w:rPr>
          <w:rStyle w:val="NormalTok"/>
        </w:rPr>
        <w:t xml:space="preserve"> </w:t>
      </w:r>
      <w:r>
        <w:rPr>
          <w:rStyle w:val="VariableTok"/>
        </w:rPr>
        <w:t xml:space="preserve">self</w:t>
      </w:r>
      <w:r>
        <w:rPr>
          <w:rStyle w:val="NormalTok"/>
        </w:rPr>
        <w:t xml:space="preserve">.t1:                         </w:t>
      </w:r>
      <w:r>
        <w:rPr>
          <w:rStyle w:val="CommentTok"/>
        </w:rPr>
        <w:t xml:space="preserve"># second hit: recency -&gt; frequency</w:t>
      </w:r>
      <w:r>
        <w:br/>
      </w:r>
      <w:r>
        <w:rPr>
          <w:rStyle w:val="NormalTok"/>
        </w:rPr>
        <w:t xml:space="preserve">            </w:t>
      </w:r>
      <w:r>
        <w:rPr>
          <w:rStyle w:val="KeywordTok"/>
        </w:rPr>
        <w:t xml:space="preserve">del</w:t>
      </w:r>
      <w:r>
        <w:rPr>
          <w:rStyle w:val="NormalTok"/>
        </w:rPr>
        <w:t xml:space="preserve"> </w:t>
      </w:r>
      <w:r>
        <w:rPr>
          <w:rStyle w:val="VariableTok"/>
        </w:rPr>
        <w:t xml:space="preserve">self</w:t>
      </w:r>
      <w:r>
        <w:rPr>
          <w:rStyle w:val="NormalTok"/>
        </w:rPr>
        <w:t xml:space="preserve">.t1[x]</w:t>
      </w:r>
      <w:r>
        <w:br/>
      </w:r>
      <w:r>
        <w:rPr>
          <w:rStyle w:val="NormalTok"/>
        </w:rPr>
        <w:t xml:space="preserve">            </w:t>
      </w:r>
      <w:r>
        <w:rPr>
          <w:rStyle w:val="VariableTok"/>
        </w:rPr>
        <w:t xml:space="preserve">self</w:t>
      </w:r>
      <w:r>
        <w:rPr>
          <w:rStyle w:val="NormalTok"/>
        </w:rPr>
        <w:t xml:space="preserve">.t2[x]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if</w:t>
      </w:r>
      <w:r>
        <w:rPr>
          <w:rStyle w:val="NormalTok"/>
        </w:rPr>
        <w:t xml:space="preserve"> x </w:t>
      </w:r>
      <w:r>
        <w:rPr>
          <w:rStyle w:val="KeywordTok"/>
        </w:rPr>
        <w:t xml:space="preserve">in</w:t>
      </w:r>
      <w:r>
        <w:rPr>
          <w:rStyle w:val="NormalTok"/>
        </w:rPr>
        <w:t xml:space="preserve"> </w:t>
      </w:r>
      <w:r>
        <w:rPr>
          <w:rStyle w:val="VariableTok"/>
        </w:rPr>
        <w:t xml:space="preserve">self</w:t>
      </w:r>
      <w:r>
        <w:rPr>
          <w:rStyle w:val="NormalTok"/>
        </w:rPr>
        <w:t xml:space="preserve">.t2:</w:t>
      </w:r>
      <w:r>
        <w:br/>
      </w:r>
      <w:r>
        <w:rPr>
          <w:rStyle w:val="NormalTok"/>
        </w:rPr>
        <w:t xml:space="preserve">            </w:t>
      </w:r>
      <w:r>
        <w:rPr>
          <w:rStyle w:val="VariableTok"/>
        </w:rPr>
        <w:t xml:space="preserve">self</w:t>
      </w:r>
      <w:r>
        <w:rPr>
          <w:rStyle w:val="NormalTok"/>
        </w:rPr>
        <w:t xml:space="preserve">.t2.move_to_end(x)</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if</w:t>
      </w:r>
      <w:r>
        <w:rPr>
          <w:rStyle w:val="NormalTok"/>
        </w:rPr>
        <w:t xml:space="preserve"> x </w:t>
      </w:r>
      <w:r>
        <w:rPr>
          <w:rStyle w:val="KeywordTok"/>
        </w:rPr>
        <w:t xml:space="preserve">in</w:t>
      </w:r>
      <w:r>
        <w:rPr>
          <w:rStyle w:val="NormalTok"/>
        </w:rPr>
        <w:t xml:space="preserve"> </w:t>
      </w:r>
      <w:r>
        <w:rPr>
          <w:rStyle w:val="VariableTok"/>
        </w:rPr>
        <w:t xml:space="preserve">self</w:t>
      </w:r>
      <w:r>
        <w:rPr>
          <w:rStyle w:val="NormalTok"/>
        </w:rPr>
        <w:t xml:space="preserve">.b1:                         </w:t>
      </w:r>
      <w:r>
        <w:rPr>
          <w:rStyle w:val="CommentTok"/>
        </w:rPr>
        <w:t xml:space="preserve"># T1 was too small: grow p</w:t>
      </w:r>
      <w:r>
        <w:br/>
      </w:r>
      <w:r>
        <w:rPr>
          <w:rStyle w:val="NormalTok"/>
        </w:rPr>
        <w:t xml:space="preserve">            </w:t>
      </w:r>
      <w:r>
        <w:rPr>
          <w:rStyle w:val="VariableTok"/>
        </w:rPr>
        <w:t xml:space="preserve">self</w:t>
      </w:r>
      <w:r>
        <w:rPr>
          <w:rStyle w:val="NormalTok"/>
        </w:rPr>
        <w:t xml:space="preserve">.p </w:t>
      </w:r>
      <w:r>
        <w:rPr>
          <w:rStyle w:val="OperatorTok"/>
        </w:rPr>
        <w:t xml:space="preserve">=</w:t>
      </w:r>
      <w:r>
        <w:rPr>
          <w:rStyle w:val="NormalTok"/>
        </w:rPr>
        <w:t xml:space="preserve"> </w:t>
      </w:r>
      <w:r>
        <w:rPr>
          <w:rStyle w:val="BuiltInTok"/>
        </w:rPr>
        <w:t xml:space="preserve">min</w:t>
      </w:r>
      <w:r>
        <w:rPr>
          <w:rStyle w:val="NormalTok"/>
        </w:rPr>
        <w:t xml:space="preserve">(</w:t>
      </w:r>
      <w:r>
        <w:rPr>
          <w:rStyle w:val="VariableTok"/>
        </w:rPr>
        <w:t xml:space="preserve">self</w:t>
      </w:r>
      <w:r>
        <w:rPr>
          <w:rStyle w:val="NormalTok"/>
        </w:rPr>
        <w:t xml:space="preserve">.c, </w:t>
      </w:r>
      <w:r>
        <w:rPr>
          <w:rStyle w:val="VariableTok"/>
        </w:rPr>
        <w:t xml:space="preserve">self</w:t>
      </w:r>
      <w:r>
        <w:rPr>
          <w:rStyle w:val="NormalTok"/>
        </w:rPr>
        <w:t xml:space="preserve">.p </w:t>
      </w:r>
      <w:r>
        <w:rPr>
          <w:rStyle w:val="OperatorTok"/>
        </w:rPr>
        <w:t xml:space="preserve">+</w:t>
      </w:r>
      <w:r>
        <w:rPr>
          <w:rStyle w:val="NormalTok"/>
        </w:rPr>
        <w:t xml:space="preserve"> </w:t>
      </w:r>
      <w:r>
        <w:rPr>
          <w:rStyle w:val="BuiltInTok"/>
        </w:rPr>
        <w:t xml:space="preserve">max</w:t>
      </w:r>
      <w:r>
        <w:rPr>
          <w:rStyle w:val="NormalTok"/>
        </w:rPr>
        <w:t xml:space="preserve">(</w:t>
      </w:r>
      <w:r>
        <w:rPr>
          <w:rStyle w:val="BuiltInTok"/>
        </w:rPr>
        <w:t xml:space="preserve">len</w:t>
      </w:r>
      <w:r>
        <w:rPr>
          <w:rStyle w:val="NormalTok"/>
        </w:rPr>
        <w:t xml:space="preserve">(</w:t>
      </w:r>
      <w:r>
        <w:rPr>
          <w:rStyle w:val="VariableTok"/>
        </w:rPr>
        <w:t xml:space="preserve">self</w:t>
      </w:r>
      <w:r>
        <w:rPr>
          <w:rStyle w:val="NormalTok"/>
        </w:rPr>
        <w:t xml:space="preserve">.b2) </w:t>
      </w:r>
      <w:r>
        <w:rPr>
          <w:rStyle w:val="OperatorTok"/>
        </w:rPr>
        <w:t xml:space="preserve">//</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.b1),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._replace(</w:t>
      </w:r>
      <w:r>
        <w:rPr>
          <w:rStyle w:val="VariableTok"/>
        </w:rPr>
        <w:t xml:space="preserve">False</w:t>
      </w:r>
      <w:r>
        <w:rPr>
          <w:rStyle w:val="NormalTok"/>
        </w:rPr>
        <w:t xml:space="preserve">)</w:t>
      </w:r>
      <w:r>
        <w:br/>
      </w:r>
      <w:r>
        <w:rPr>
          <w:rStyle w:val="NormalTok"/>
        </w:rPr>
        <w:t xml:space="preserve">            </w:t>
      </w:r>
      <w:r>
        <w:rPr>
          <w:rStyle w:val="KeywordTok"/>
        </w:rPr>
        <w:t xml:space="preserve">del</w:t>
      </w:r>
      <w:r>
        <w:rPr>
          <w:rStyle w:val="NormalTok"/>
        </w:rPr>
        <w:t xml:space="preserve"> </w:t>
      </w:r>
      <w:r>
        <w:rPr>
          <w:rStyle w:val="VariableTok"/>
        </w:rPr>
        <w:t xml:space="preserve">self</w:t>
      </w:r>
      <w:r>
        <w:rPr>
          <w:rStyle w:val="NormalTok"/>
        </w:rPr>
        <w:t xml:space="preserve">.b1[x]</w:t>
      </w:r>
      <w:r>
        <w:br/>
      </w:r>
      <w:r>
        <w:rPr>
          <w:rStyle w:val="NormalTok"/>
        </w:rPr>
        <w:t xml:space="preserve">            </w:t>
      </w:r>
      <w:r>
        <w:rPr>
          <w:rStyle w:val="VariableTok"/>
        </w:rPr>
        <w:t xml:space="preserve">self</w:t>
      </w:r>
      <w:r>
        <w:rPr>
          <w:rStyle w:val="NormalTok"/>
        </w:rPr>
        <w:t xml:space="preserve">.t2[x]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ntrolFlowTok"/>
        </w:rPr>
        <w:t xml:space="preserve">if</w:t>
      </w:r>
      <w:r>
        <w:rPr>
          <w:rStyle w:val="NormalTok"/>
        </w:rPr>
        <w:t xml:space="preserve"> x </w:t>
      </w:r>
      <w:r>
        <w:rPr>
          <w:rStyle w:val="KeywordTok"/>
        </w:rPr>
        <w:t xml:space="preserve">in</w:t>
      </w:r>
      <w:r>
        <w:rPr>
          <w:rStyle w:val="NormalTok"/>
        </w:rPr>
        <w:t xml:space="preserve"> </w:t>
      </w:r>
      <w:r>
        <w:rPr>
          <w:rStyle w:val="VariableTok"/>
        </w:rPr>
        <w:t xml:space="preserve">self</w:t>
      </w:r>
      <w:r>
        <w:rPr>
          <w:rStyle w:val="NormalTok"/>
        </w:rPr>
        <w:t xml:space="preserve">.b2:                         </w:t>
      </w:r>
      <w:r>
        <w:rPr>
          <w:rStyle w:val="CommentTok"/>
        </w:rPr>
        <w:t xml:space="preserve"># T2 was too small: shrink p</w:t>
      </w:r>
      <w:r>
        <w:br/>
      </w:r>
      <w:r>
        <w:rPr>
          <w:rStyle w:val="NormalTok"/>
        </w:rPr>
        <w:t xml:space="preserve">            </w:t>
      </w:r>
      <w:r>
        <w:rPr>
          <w:rStyle w:val="VariableTok"/>
        </w:rPr>
        <w:t xml:space="preserve">self</w:t>
      </w:r>
      <w:r>
        <w:rPr>
          <w:rStyle w:val="NormalTok"/>
        </w:rPr>
        <w:t xml:space="preserve">.p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w:t>
      </w:r>
      <w:r>
        <w:rPr>
          <w:rStyle w:val="VariableTok"/>
        </w:rPr>
        <w:t xml:space="preserve">self</w:t>
      </w:r>
      <w:r>
        <w:rPr>
          <w:rStyle w:val="NormalTok"/>
        </w:rPr>
        <w:t xml:space="preserve">.p </w:t>
      </w:r>
      <w:r>
        <w:rPr>
          <w:rStyle w:val="OperatorTok"/>
        </w:rPr>
        <w:t xml:space="preserve">-</w:t>
      </w:r>
      <w:r>
        <w:rPr>
          <w:rStyle w:val="NormalTok"/>
        </w:rPr>
        <w:t xml:space="preserve"> </w:t>
      </w:r>
      <w:r>
        <w:rPr>
          <w:rStyle w:val="BuiltInTok"/>
        </w:rPr>
        <w:t xml:space="preserve">max</w:t>
      </w:r>
      <w:r>
        <w:rPr>
          <w:rStyle w:val="NormalTok"/>
        </w:rPr>
        <w:t xml:space="preserve">(</w:t>
      </w:r>
      <w:r>
        <w:rPr>
          <w:rStyle w:val="BuiltInTok"/>
        </w:rPr>
        <w:t xml:space="preserve">len</w:t>
      </w:r>
      <w:r>
        <w:rPr>
          <w:rStyle w:val="NormalTok"/>
        </w:rPr>
        <w:t xml:space="preserve">(</w:t>
      </w:r>
      <w:r>
        <w:rPr>
          <w:rStyle w:val="VariableTok"/>
        </w:rPr>
        <w:t xml:space="preserve">self</w:t>
      </w:r>
      <w:r>
        <w:rPr>
          <w:rStyle w:val="NormalTok"/>
        </w:rPr>
        <w:t xml:space="preserve">.b1) </w:t>
      </w:r>
      <w:r>
        <w:rPr>
          <w:rStyle w:val="OperatorTok"/>
        </w:rPr>
        <w:t xml:space="preserve">//</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.b2),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._replace(</w:t>
      </w:r>
      <w:r>
        <w:rPr>
          <w:rStyle w:val="VariableTok"/>
        </w:rPr>
        <w:t xml:space="preserve">True</w:t>
      </w:r>
      <w:r>
        <w:rPr>
          <w:rStyle w:val="NormalTok"/>
        </w:rPr>
        <w:t xml:space="preserve">)</w:t>
      </w:r>
      <w:r>
        <w:br/>
      </w:r>
      <w:r>
        <w:rPr>
          <w:rStyle w:val="NormalTok"/>
        </w:rPr>
        <w:t xml:space="preserve">            </w:t>
      </w:r>
      <w:r>
        <w:rPr>
          <w:rStyle w:val="KeywordTok"/>
        </w:rPr>
        <w:t xml:space="preserve">del</w:t>
      </w:r>
      <w:r>
        <w:rPr>
          <w:rStyle w:val="NormalTok"/>
        </w:rPr>
        <w:t xml:space="preserve"> </w:t>
      </w:r>
      <w:r>
        <w:rPr>
          <w:rStyle w:val="VariableTok"/>
        </w:rPr>
        <w:t xml:space="preserve">self</w:t>
      </w:r>
      <w:r>
        <w:rPr>
          <w:rStyle w:val="NormalTok"/>
        </w:rPr>
        <w:t xml:space="preserve">.b2[x]</w:t>
      </w:r>
      <w:r>
        <w:br/>
      </w:r>
      <w:r>
        <w:rPr>
          <w:rStyle w:val="NormalTok"/>
        </w:rPr>
        <w:t xml:space="preserve">            </w:t>
      </w:r>
      <w:r>
        <w:rPr>
          <w:rStyle w:val="VariableTok"/>
        </w:rPr>
        <w:t xml:space="preserve">self</w:t>
      </w:r>
      <w:r>
        <w:rPr>
          <w:rStyle w:val="NormalTok"/>
        </w:rPr>
        <w:t xml:space="preserve">.t2[x]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l1 </w:t>
      </w:r>
      <w:r>
        <w:rPr>
          <w:rStyle w:val="OperatorTok"/>
        </w:rPr>
        <w:t xml:space="preserve">=</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.t1) </w:t>
      </w:r>
      <w:r>
        <w:rPr>
          <w:rStyle w:val="OperatorTok"/>
        </w:rPr>
        <w:t xml:space="preserve">+</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.b1)</w:t>
      </w:r>
      <w:r>
        <w:br/>
      </w:r>
      <w:r>
        <w:rPr>
          <w:rStyle w:val="NormalTok"/>
        </w:rPr>
        <w:t xml:space="preserve">        </w:t>
      </w:r>
      <w:r>
        <w:rPr>
          <w:rStyle w:val="ControlFlowTok"/>
        </w:rPr>
        <w:t xml:space="preserve">if</w:t>
      </w:r>
      <w:r>
        <w:rPr>
          <w:rStyle w:val="NormalTok"/>
        </w:rPr>
        <w:t xml:space="preserve"> l1 </w:t>
      </w:r>
      <w:r>
        <w:rPr>
          <w:rStyle w:val="OperatorTok"/>
        </w:rPr>
        <w:t xml:space="preserve">==</w:t>
      </w:r>
      <w:r>
        <w:rPr>
          <w:rStyle w:val="NormalTok"/>
        </w:rPr>
        <w:t xml:space="preserve"> </w:t>
      </w:r>
      <w:r>
        <w:rPr>
          <w:rStyle w:val="VariableTok"/>
        </w:rPr>
        <w:t xml:space="preserve">self</w:t>
      </w:r>
      <w:r>
        <w:rPr>
          <w:rStyle w:val="NormalTok"/>
        </w:rPr>
        <w:t xml:space="preserve">.c:</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.t1) </w:t>
      </w:r>
      <w:r>
        <w:rPr>
          <w:rStyle w:val="OperatorTok"/>
        </w:rPr>
        <w:t xml:space="preserve">&lt;</w:t>
      </w:r>
      <w:r>
        <w:rPr>
          <w:rStyle w:val="NormalTok"/>
        </w:rPr>
        <w:t xml:space="preserve"> </w:t>
      </w:r>
      <w:r>
        <w:rPr>
          <w:rStyle w:val="VariableTok"/>
        </w:rPr>
        <w:t xml:space="preserve">self</w:t>
      </w:r>
      <w:r>
        <w:rPr>
          <w:rStyle w:val="NormalTok"/>
        </w:rPr>
        <w:t xml:space="preserve">.c:</w:t>
      </w:r>
      <w:r>
        <w:br/>
      </w:r>
      <w:r>
        <w:rPr>
          <w:rStyle w:val="NormalTok"/>
        </w:rPr>
        <w:t xml:space="preserve">                </w:t>
      </w:r>
      <w:r>
        <w:rPr>
          <w:rStyle w:val="VariableTok"/>
        </w:rPr>
        <w:t xml:space="preserve">self</w:t>
      </w:r>
      <w:r>
        <w:rPr>
          <w:rStyle w:val="NormalTok"/>
        </w:rPr>
        <w:t xml:space="preserve">.b1.popitem(last</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VariableTok"/>
        </w:rPr>
        <w:t xml:space="preserve">self</w:t>
      </w:r>
      <w:r>
        <w:rPr>
          <w:rStyle w:val="NormalTok"/>
        </w:rPr>
        <w:t xml:space="preserve">._replace(</w:t>
      </w:r>
      <w:r>
        <w:rPr>
          <w:rStyle w:val="VariableTok"/>
        </w:rPr>
        <w:t xml:space="preserve">False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VariableTok"/>
        </w:rPr>
        <w:t xml:space="preserve">self</w:t>
      </w:r>
      <w:r>
        <w:rPr>
          <w:rStyle w:val="NormalTok"/>
        </w:rPr>
        <w:t xml:space="preserve">.t1.popitem(last</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total </w:t>
      </w:r>
      <w:r>
        <w:rPr>
          <w:rStyle w:val="OperatorTok"/>
        </w:rPr>
        <w:t xml:space="preserve">=</w:t>
      </w:r>
      <w:r>
        <w:rPr>
          <w:rStyle w:val="NormalTok"/>
        </w:rPr>
        <w:t xml:space="preserve"> l1 </w:t>
      </w:r>
      <w:r>
        <w:rPr>
          <w:rStyle w:val="OperatorTok"/>
        </w:rPr>
        <w:t xml:space="preserve">+</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.t2) </w:t>
      </w:r>
      <w:r>
        <w:rPr>
          <w:rStyle w:val="OperatorTok"/>
        </w:rPr>
        <w:t xml:space="preserve">+</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.b2)</w:t>
      </w:r>
      <w:r>
        <w:br/>
      </w:r>
      <w:r>
        <w:rPr>
          <w:rStyle w:val="NormalTok"/>
        </w:rPr>
        <w:t xml:space="preserve">            </w:t>
      </w:r>
      <w:r>
        <w:rPr>
          <w:rStyle w:val="ControlFlowTok"/>
        </w:rPr>
        <w:t xml:space="preserve">if</w:t>
      </w:r>
      <w:r>
        <w:rPr>
          <w:rStyle w:val="NormalTok"/>
        </w:rPr>
        <w:t xml:space="preserve"> total </w:t>
      </w:r>
      <w:r>
        <w:rPr>
          <w:rStyle w:val="OperatorTok"/>
        </w:rPr>
        <w:t xml:space="preserve">&gt;=</w:t>
      </w:r>
      <w:r>
        <w:rPr>
          <w:rStyle w:val="NormalTok"/>
        </w:rPr>
        <w:t xml:space="preserve"> </w:t>
      </w:r>
      <w:r>
        <w:rPr>
          <w:rStyle w:val="VariableTok"/>
        </w:rPr>
        <w:t xml:space="preserve">self</w:t>
      </w:r>
      <w:r>
        <w:rPr>
          <w:rStyle w:val="NormalTok"/>
        </w:rPr>
        <w:t xml:space="preserve">.c:</w:t>
      </w:r>
      <w:r>
        <w:br/>
      </w:r>
      <w:r>
        <w:rPr>
          <w:rStyle w:val="NormalTok"/>
        </w:rPr>
        <w:t xml:space="preserve">                </w:t>
      </w:r>
      <w:r>
        <w:rPr>
          <w:rStyle w:val="ControlFlowTok"/>
        </w:rPr>
        <w:t xml:space="preserve">if</w:t>
      </w:r>
      <w:r>
        <w:rPr>
          <w:rStyle w:val="NormalTok"/>
        </w:rPr>
        <w:t xml:space="preserve"> total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.c:</w:t>
      </w:r>
      <w:r>
        <w:br/>
      </w:r>
      <w:r>
        <w:rPr>
          <w:rStyle w:val="NormalTok"/>
        </w:rPr>
        <w:t xml:space="preserve">                    </w:t>
      </w:r>
      <w:r>
        <w:rPr>
          <w:rStyle w:val="VariableTok"/>
        </w:rPr>
        <w:t xml:space="preserve">self</w:t>
      </w:r>
      <w:r>
        <w:rPr>
          <w:rStyle w:val="NormalTok"/>
        </w:rPr>
        <w:t xml:space="preserve">.b2.popitem(last</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VariableTok"/>
        </w:rPr>
        <w:t xml:space="preserve">self</w:t>
      </w:r>
      <w:r>
        <w:rPr>
          <w:rStyle w:val="NormalTok"/>
        </w:rPr>
        <w:t xml:space="preserve">._replace(</w:t>
      </w:r>
      <w:r>
        <w:rPr>
          <w:rStyle w:val="VariableTok"/>
        </w:rPr>
        <w:t xml:space="preserve">False</w:t>
      </w:r>
      <w:r>
        <w:rPr>
          <w:rStyle w:val="NormalTok"/>
        </w:rPr>
        <w:t xml:space="preserve">)</w:t>
      </w:r>
      <w:r>
        <w:br/>
      </w:r>
      <w:r>
        <w:rPr>
          <w:rStyle w:val="NormalTok"/>
        </w:rPr>
        <w:t xml:space="preserve">        </w:t>
      </w:r>
      <w:r>
        <w:rPr>
          <w:rStyle w:val="VariableTok"/>
        </w:rPr>
        <w:t xml:space="preserve">self</w:t>
      </w:r>
      <w:r>
        <w:rPr>
          <w:rStyle w:val="NormalTok"/>
        </w:rPr>
        <w:t xml:space="preserve">.t1[x]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SEEDS </w:t>
      </w:r>
      <w:r>
        <w:rPr>
          <w:rStyle w:val="OperatorTok"/>
        </w:rPr>
        <w:t xml:space="preserve">=</w:t>
      </w:r>
      <w:r>
        <w:rPr>
          <w:rStyle w:val="NormalTok"/>
        </w:rPr>
        <w:t xml:space="preserve"> (</w:t>
      </w:r>
      <w:r>
        <w:rPr>
          <w:rStyle w:val="BaseNTok"/>
        </w:rPr>
        <w:t xml:space="preserve">0x9E3779B97F4A7C15</w:t>
      </w:r>
      <w:r>
        <w:rPr>
          <w:rStyle w:val="NormalTok"/>
        </w:rPr>
        <w:t xml:space="preserve">, </w:t>
      </w:r>
      <w:r>
        <w:rPr>
          <w:rStyle w:val="BaseNTok"/>
        </w:rPr>
        <w:t xml:space="preserve">0xC2B2AE3D27D4EB4F</w:t>
      </w:r>
      <w:r>
        <w:rPr>
          <w:rStyle w:val="NormalTok"/>
        </w:rPr>
        <w:t xml:space="preserve">, </w:t>
      </w:r>
      <w:r>
        <w:rPr>
          <w:rStyle w:val="BaseNTok"/>
        </w:rPr>
        <w:t xml:space="preserve">0x165667B19E3779F9</w:t>
      </w:r>
      <w:r>
        <w:rPr>
          <w:rStyle w:val="NormalTok"/>
        </w:rPr>
        <w:t xml:space="preserve">, </w:t>
      </w:r>
      <w:r>
        <w:rPr>
          <w:rStyle w:val="BaseNTok"/>
        </w:rPr>
        <w:t xml:space="preserve">0xD6E8FEB86659FD93</w:t>
      </w:r>
      <w:r>
        <w:rPr>
          <w:rStyle w:val="NormalTok"/>
        </w:rPr>
        <w:t xml:space="preserve">)</w:t>
      </w:r>
      <w:r>
        <w:br/>
      </w:r>
      <w:r>
        <w:br/>
      </w:r>
      <w:r>
        <w:rPr>
          <w:rStyle w:val="KeywordTok"/>
        </w:rPr>
        <w:t xml:space="preserve">class</w:t>
      </w:r>
      <w:r>
        <w:rPr>
          <w:rStyle w:val="NormalTok"/>
        </w:rPr>
        <w:t xml:space="preserve"> CountMin4:</w:t>
      </w:r>
      <w:r>
        <w:br/>
      </w:r>
      <w:r>
        <w:rPr>
          <w:rStyle w:val="NormalTok"/>
        </w:rPr>
        <w:t xml:space="preserve">    </w:t>
      </w:r>
      <w:r>
        <w:rPr>
          <w:rStyle w:val="CommentTok"/>
        </w:rPr>
        <w:t xml:space="preserve">"""Count-Min sketch (4 rows) with 4-bit counters (cap 15) and periodic halving."""</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capacity):</w:t>
      </w:r>
      <w:r>
        <w:br/>
      </w:r>
      <w:r>
        <w:rPr>
          <w:rStyle w:val="NormalTok"/>
        </w:rPr>
        <w:t xml:space="preserve">        </w:t>
      </w:r>
      <w:r>
        <w:rPr>
          <w:rStyle w:val="VariableTok"/>
        </w:rPr>
        <w:t xml:space="preserve">self</w:t>
      </w:r>
      <w:r>
        <w:rPr>
          <w:rStyle w:val="NormalTok"/>
        </w:rPr>
        <w:t xml:space="preserve">.bits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4</w:t>
      </w:r>
      <w:r>
        <w:rPr>
          <w:rStyle w:val="NormalTok"/>
        </w:rPr>
        <w:t xml:space="preserve">, (capacity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).bit_length())   </w:t>
      </w:r>
      <w:r>
        <w:rPr>
          <w:rStyle w:val="CommentTok"/>
        </w:rPr>
        <w:t xml:space="preserve"># width &gt;= 4 x capacity</w:t>
      </w:r>
      <w:r>
        <w:br/>
      </w:r>
      <w:r>
        <w:rPr>
          <w:rStyle w:val="NormalTok"/>
        </w:rPr>
        <w:t xml:space="preserve">        </w:t>
      </w:r>
      <w:r>
        <w:rPr>
          <w:rStyle w:val="VariableTok"/>
        </w:rPr>
        <w:t xml:space="preserve">self</w:t>
      </w:r>
      <w:r>
        <w:rPr>
          <w:rStyle w:val="NormalTok"/>
        </w:rPr>
        <w:t xml:space="preserve">.rows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&lt;&lt;</w:t>
      </w:r>
      <w:r>
        <w:rPr>
          <w:rStyle w:val="NormalTok"/>
        </w:rPr>
        <w:t xml:space="preserve"> </w:t>
      </w:r>
      <w:r>
        <w:rPr>
          <w:rStyle w:val="VariableTok"/>
        </w:rPr>
        <w:t xml:space="preserve">self</w:t>
      </w:r>
      <w:r>
        <w:rPr>
          <w:rStyle w:val="NormalTok"/>
        </w:rPr>
        <w:t xml:space="preserve">.bits) </w:t>
      </w:r>
      <w:r>
        <w:rPr>
          <w:rStyle w:val="ControlFlowTok"/>
        </w:rPr>
        <w:t xml:space="preserve">for</w:t>
      </w:r>
      <w:r>
        <w:rPr>
          <w:rStyle w:val="NormalTok"/>
        </w:rPr>
        <w:t xml:space="preserve"> _ </w:t>
      </w:r>
      <w:r>
        <w:rPr>
          <w:rStyle w:val="KeywordTok"/>
        </w:rPr>
        <w:t xml:space="preserve">in</w:t>
      </w:r>
      <w:r>
        <w:rPr>
          <w:rStyle w:val="NormalTok"/>
        </w:rPr>
        <w:t xml:space="preserve"> SEEDS]</w:t>
      </w:r>
      <w:r>
        <w:br/>
      </w:r>
      <w:r>
        <w:rPr>
          <w:rStyle w:val="NormalTok"/>
        </w:rPr>
        <w:t xml:space="preserve">        </w:t>
      </w:r>
      <w:r>
        <w:rPr>
          <w:rStyle w:val="VariableTok"/>
        </w:rPr>
        <w:t xml:space="preserve">self</w:t>
      </w:r>
      <w:r>
        <w:rPr>
          <w:rStyle w:val="NormalTok"/>
        </w:rPr>
        <w:t xml:space="preserve">.samples, </w:t>
      </w:r>
      <w:r>
        <w:rPr>
          <w:rStyle w:val="VariableTok"/>
        </w:rPr>
        <w:t xml:space="preserve">self</w:t>
      </w:r>
      <w:r>
        <w:rPr>
          <w:rStyle w:val="NormalTok"/>
        </w:rPr>
        <w:t xml:space="preserve">.reset_at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capacity</w:t>
      </w:r>
      <w:r>
        <w:br/>
      </w:r>
      <w:r>
        <w:rPr>
          <w:rStyle w:val="NormalTok"/>
        </w:rPr>
        <w:t xml:space="preserve">    </w:t>
      </w:r>
      <w:r>
        <w:rPr>
          <w:rStyle w:val="KeywordTok"/>
        </w:rPr>
        <w:t xml:space="preserve">def</w:t>
      </w:r>
      <w:r>
        <w:rPr>
          <w:rStyle w:val="NormalTok"/>
        </w:rPr>
        <w:t xml:space="preserve"> _cols(</w:t>
      </w:r>
      <w:r>
        <w:rPr>
          <w:rStyle w:val="VariableTok"/>
        </w:rPr>
        <w:t xml:space="preserve">self</w:t>
      </w:r>
      <w:r>
        <w:rPr>
          <w:rStyle w:val="NormalTok"/>
        </w:rPr>
        <w:t xml:space="preserve">, key):                        </w:t>
      </w:r>
      <w:r>
        <w:rPr>
          <w:rStyle w:val="CommentTok"/>
        </w:rPr>
        <w:t xml:space="preserve"># multiplicative hashing of int keys</w:t>
      </w:r>
      <w:r>
        <w:br/>
      </w:r>
      <w:r>
        <w:rPr>
          <w:rStyle w:val="NormalTok"/>
        </w:rPr>
        <w:t xml:space="preserve">        </w:t>
      </w:r>
      <w:r>
        <w:rPr>
          <w:rStyle w:val="ControlFlowTok"/>
        </w:rPr>
        <w:t xml:space="preserve">return</w:t>
      </w:r>
      <w:r>
        <w:rPr>
          <w:rStyle w:val="NormalTok"/>
        </w:rPr>
        <w:t xml:space="preserve"> [(((key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s) </w:t>
      </w:r>
      <w:r>
        <w:rPr>
          <w:rStyle w:val="OperatorTok"/>
        </w:rPr>
        <w:t xml:space="preserve">&amp;</w:t>
      </w:r>
      <w:r>
        <w:rPr>
          <w:rStyle w:val="NormalTok"/>
        </w:rPr>
        <w:t xml:space="preserve"> </w:t>
      </w:r>
      <w:r>
        <w:rPr>
          <w:rStyle w:val="BaseNTok"/>
        </w:rPr>
        <w:t xml:space="preserve">0xFFFFFFFFFFFFFFFF</w:t>
      </w:r>
      <w:r>
        <w:rPr>
          <w:rStyle w:val="NormalTok"/>
        </w:rPr>
        <w:t xml:space="preserve">) </w:t>
      </w:r>
      <w:r>
        <w:rPr>
          <w:rStyle w:val="OperatorTok"/>
        </w:rPr>
        <w:t xml:space="preserve">&gt;&gt;</w:t>
      </w:r>
      <w:r>
        <w:rPr>
          <w:rStyle w:val="NormalTok"/>
        </w:rPr>
        <w:t xml:space="preserve"> (</w:t>
      </w:r>
      <w:r>
        <w:rPr>
          <w:rStyle w:val="DecValTok"/>
        </w:rPr>
        <w:t xml:space="preserve">64</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.bits) </w:t>
      </w:r>
      <w:r>
        <w:rPr>
          <w:rStyle w:val="ControlFlowTok"/>
        </w:rPr>
        <w:t xml:space="preserve">for</w:t>
      </w:r>
      <w:r>
        <w:rPr>
          <w:rStyle w:val="NormalTok"/>
        </w:rPr>
        <w:t xml:space="preserve"> s </w:t>
      </w:r>
      <w:r>
        <w:rPr>
          <w:rStyle w:val="KeywordTok"/>
        </w:rPr>
        <w:t xml:space="preserve">in</w:t>
      </w:r>
      <w:r>
        <w:rPr>
          <w:rStyle w:val="NormalTok"/>
        </w:rPr>
        <w:t xml:space="preserve"> SEEDS]</w:t>
      </w:r>
      <w:r>
        <w:br/>
      </w:r>
      <w:r>
        <w:rPr>
          <w:rStyle w:val="NormalTok"/>
        </w:rPr>
        <w:t xml:space="preserve">    </w:t>
      </w:r>
      <w:r>
        <w:rPr>
          <w:rStyle w:val="KeywordTok"/>
        </w:rPr>
        <w:t xml:space="preserve">def</w:t>
      </w:r>
      <w:r>
        <w:rPr>
          <w:rStyle w:val="NormalTok"/>
        </w:rPr>
        <w:t xml:space="preserve"> add(</w:t>
      </w:r>
      <w:r>
        <w:rPr>
          <w:rStyle w:val="VariableTok"/>
        </w:rPr>
        <w:t xml:space="preserve">self</w:t>
      </w:r>
      <w:r>
        <w:rPr>
          <w:rStyle w:val="NormalTok"/>
        </w:rPr>
        <w:t xml:space="preserve">, key):</w:t>
      </w:r>
      <w:r>
        <w:br/>
      </w:r>
      <w:r>
        <w:rPr>
          <w:rStyle w:val="NormalTok"/>
        </w:rPr>
        <w:t xml:space="preserve">        </w:t>
      </w:r>
      <w:r>
        <w:rPr>
          <w:rStyle w:val="ControlFlowTok"/>
        </w:rPr>
        <w:t xml:space="preserve">for</w:t>
      </w:r>
      <w:r>
        <w:rPr>
          <w:rStyle w:val="NormalTok"/>
        </w:rPr>
        <w:t xml:space="preserve"> row, col </w:t>
      </w:r>
      <w:r>
        <w:rPr>
          <w:rStyle w:val="KeywordTok"/>
        </w:rPr>
        <w:t xml:space="preserve">in</w:t>
      </w:r>
      <w:r>
        <w:rPr>
          <w:rStyle w:val="NormalTok"/>
        </w:rPr>
        <w:t xml:space="preserve"> </w:t>
      </w:r>
      <w:r>
        <w:rPr>
          <w:rStyle w:val="BuiltInTok"/>
        </w:rPr>
        <w:t xml:space="preserve">zip</w:t>
      </w:r>
      <w:r>
        <w:rPr>
          <w:rStyle w:val="NormalTok"/>
        </w:rPr>
        <w:t xml:space="preserve">(</w:t>
      </w:r>
      <w:r>
        <w:rPr>
          <w:rStyle w:val="VariableTok"/>
        </w:rPr>
        <w:t xml:space="preserve">self</w:t>
      </w:r>
      <w:r>
        <w:rPr>
          <w:rStyle w:val="NormalTok"/>
        </w:rPr>
        <w:t xml:space="preserve">.rows, </w:t>
      </w:r>
      <w:r>
        <w:rPr>
          <w:rStyle w:val="VariableTok"/>
        </w:rPr>
        <w:t xml:space="preserve">self</w:t>
      </w:r>
      <w:r>
        <w:rPr>
          <w:rStyle w:val="NormalTok"/>
        </w:rPr>
        <w:t xml:space="preserve">._cols(key)):</w:t>
      </w:r>
      <w:r>
        <w:br/>
      </w:r>
      <w:r>
        <w:rPr>
          <w:rStyle w:val="NormalTok"/>
        </w:rPr>
        <w:t xml:space="preserve">            </w:t>
      </w:r>
      <w:r>
        <w:rPr>
          <w:rStyle w:val="ControlFlowTok"/>
        </w:rPr>
        <w:t xml:space="preserve">if</w:t>
      </w:r>
      <w:r>
        <w:rPr>
          <w:rStyle w:val="NormalTok"/>
        </w:rPr>
        <w:t xml:space="preserve"> row[col] </w:t>
      </w:r>
      <w:r>
        <w:rPr>
          <w:rStyle w:val="OperatorTok"/>
        </w:rPr>
        <w:t xml:space="preserve">&lt;</w:t>
      </w:r>
      <w:r>
        <w:rPr>
          <w:rStyle w:val="NormalTok"/>
        </w:rPr>
        <w:t xml:space="preserve"> </w:t>
      </w:r>
      <w:r>
        <w:rPr>
          <w:rStyle w:val="DecValTok"/>
        </w:rPr>
        <w:t xml:space="preserve">15</w:t>
      </w:r>
      <w:r>
        <w:rPr>
          <w:rStyle w:val="NormalTok"/>
        </w:rPr>
        <w:t xml:space="preserve">:</w:t>
      </w:r>
      <w:r>
        <w:br/>
      </w:r>
      <w:r>
        <w:rPr>
          <w:rStyle w:val="NormalTok"/>
        </w:rPr>
        <w:t xml:space="preserve">                row[col]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VariableTok"/>
        </w:rPr>
        <w:t xml:space="preserve">self</w:t>
      </w:r>
      <w:r>
        <w:rPr>
          <w:rStyle w:val="NormalTok"/>
        </w:rPr>
        <w:t xml:space="preserve">.samples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.samples </w:t>
      </w:r>
      <w:r>
        <w:rPr>
          <w:rStyle w:val="OperatorTok"/>
        </w:rPr>
        <w:t xml:space="preserve">&gt;=</w:t>
      </w:r>
      <w:r>
        <w:rPr>
          <w:rStyle w:val="NormalTok"/>
        </w:rPr>
        <w:t xml:space="preserve"> </w:t>
      </w:r>
      <w:r>
        <w:rPr>
          <w:rStyle w:val="VariableTok"/>
        </w:rPr>
        <w:t xml:space="preserve">self</w:t>
      </w:r>
      <w:r>
        <w:rPr>
          <w:rStyle w:val="NormalTok"/>
        </w:rPr>
        <w:t xml:space="preserve">.reset_at:        </w:t>
      </w:r>
      <w:r>
        <w:rPr>
          <w:rStyle w:val="CommentTok"/>
        </w:rPr>
        <w:t xml:space="preserve"># aging: halve every counter</w:t>
      </w:r>
      <w:r>
        <w:br/>
      </w:r>
      <w:r>
        <w:rPr>
          <w:rStyle w:val="NormalTok"/>
        </w:rPr>
        <w:t xml:space="preserve">            </w:t>
      </w:r>
      <w:r>
        <w:rPr>
          <w:rStyle w:val="VariableTok"/>
        </w:rPr>
        <w:t xml:space="preserve">self</w:t>
      </w:r>
      <w:r>
        <w:rPr>
          <w:rStyle w:val="NormalTok"/>
        </w:rPr>
        <w:t xml:space="preserve">.rows </w:t>
      </w:r>
      <w:r>
        <w:rPr>
          <w:rStyle w:val="OperatorTok"/>
        </w:rPr>
        <w:t xml:space="preserve">=</w:t>
      </w:r>
      <w:r>
        <w:rPr>
          <w:rStyle w:val="NormalTok"/>
        </w:rPr>
        <w:t xml:space="preserve"> [[v </w:t>
      </w:r>
      <w:r>
        <w:rPr>
          <w:rStyle w:val="OperatorTok"/>
        </w:rPr>
        <w:t xml:space="preserve">&gt;&gt;</w:t>
      </w:r>
      <w:r>
        <w:rPr>
          <w:rStyle w:val="NormalTok"/>
        </w:rPr>
        <w:t xml:space="preserve"> </w:t>
      </w:r>
      <w:r>
        <w:rPr>
          <w:rStyle w:val="DecValTok"/>
        </w:rPr>
        <w:t xml:space="preserve">1</w:t>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row] </w:t>
      </w:r>
      <w:r>
        <w:rPr>
          <w:rStyle w:val="ControlFlowTok"/>
        </w:rPr>
        <w:t xml:space="preserve">for</w:t>
      </w:r>
      <w:r>
        <w:rPr>
          <w:rStyle w:val="NormalTok"/>
        </w:rPr>
        <w:t xml:space="preserve"> row </w:t>
      </w:r>
      <w:r>
        <w:rPr>
          <w:rStyle w:val="KeywordTok"/>
        </w:rPr>
        <w:t xml:space="preserve">in</w:t>
      </w:r>
      <w:r>
        <w:rPr>
          <w:rStyle w:val="NormalTok"/>
        </w:rPr>
        <w:t xml:space="preserve"> </w:t>
      </w:r>
      <w:r>
        <w:rPr>
          <w:rStyle w:val="VariableTok"/>
        </w:rPr>
        <w:t xml:space="preserve">self</w:t>
      </w:r>
      <w:r>
        <w:rPr>
          <w:rStyle w:val="NormalTok"/>
        </w:rPr>
        <w:t xml:space="preserve">.rows]</w:t>
      </w:r>
      <w:r>
        <w:br/>
      </w:r>
      <w:r>
        <w:rPr>
          <w:rStyle w:val="NormalTok"/>
        </w:rPr>
        <w:t xml:space="preserve">            </w:t>
      </w:r>
      <w:r>
        <w:rPr>
          <w:rStyle w:val="VariableTok"/>
        </w:rPr>
        <w:t xml:space="preserve">self</w:t>
      </w:r>
      <w:r>
        <w:rPr>
          <w:rStyle w:val="NormalTok"/>
        </w:rPr>
        <w:t xml:space="preserve">.samples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KeywordTok"/>
        </w:rPr>
        <w:t xml:space="preserve">def</w:t>
      </w:r>
      <w:r>
        <w:rPr>
          <w:rStyle w:val="NormalTok"/>
        </w:rPr>
        <w:t xml:space="preserve"> estimate(</w:t>
      </w:r>
      <w:r>
        <w:rPr>
          <w:rStyle w:val="VariableTok"/>
        </w:rPr>
        <w:t xml:space="preserve">self</w:t>
      </w:r>
      <w:r>
        <w:rPr>
          <w:rStyle w:val="NormalTok"/>
        </w:rPr>
        <w:t xml:space="preserve">, key):</w:t>
      </w:r>
      <w:r>
        <w:br/>
      </w:r>
      <w:r>
        <w:rPr>
          <w:rStyle w:val="NormalTok"/>
        </w:rPr>
        <w:t xml:space="preserve">        </w:t>
      </w:r>
      <w:r>
        <w:rPr>
          <w:rStyle w:val="ControlFlowTok"/>
        </w:rPr>
        <w:t xml:space="preserve">return</w:t>
      </w:r>
      <w:r>
        <w:rPr>
          <w:rStyle w:val="NormalTok"/>
        </w:rPr>
        <w:t xml:space="preserve"> </w:t>
      </w:r>
      <w:r>
        <w:rPr>
          <w:rStyle w:val="BuiltInTok"/>
        </w:rPr>
        <w:t xml:space="preserve">min</w:t>
      </w:r>
      <w:r>
        <w:rPr>
          <w:rStyle w:val="NormalTok"/>
        </w:rPr>
        <w:t xml:space="preserve">(row[col] </w:t>
      </w:r>
      <w:r>
        <w:rPr>
          <w:rStyle w:val="ControlFlowTok"/>
        </w:rPr>
        <w:t xml:space="preserve">for</w:t>
      </w:r>
      <w:r>
        <w:rPr>
          <w:rStyle w:val="NormalTok"/>
        </w:rPr>
        <w:t xml:space="preserve"> row, col </w:t>
      </w:r>
      <w:r>
        <w:rPr>
          <w:rStyle w:val="KeywordTok"/>
        </w:rPr>
        <w:t xml:space="preserve">in</w:t>
      </w:r>
      <w:r>
        <w:rPr>
          <w:rStyle w:val="NormalTok"/>
        </w:rPr>
        <w:t xml:space="preserve"> </w:t>
      </w:r>
      <w:r>
        <w:rPr>
          <w:rStyle w:val="BuiltInTok"/>
        </w:rPr>
        <w:t xml:space="preserve">zip</w:t>
      </w:r>
      <w:r>
        <w:rPr>
          <w:rStyle w:val="NormalTok"/>
        </w:rPr>
        <w:t xml:space="preserve">(</w:t>
      </w:r>
      <w:r>
        <w:rPr>
          <w:rStyle w:val="VariableTok"/>
        </w:rPr>
        <w:t xml:space="preserve">self</w:t>
      </w:r>
      <w:r>
        <w:rPr>
          <w:rStyle w:val="NormalTok"/>
        </w:rPr>
        <w:t xml:space="preserve">.rows, </w:t>
      </w:r>
      <w:r>
        <w:rPr>
          <w:rStyle w:val="VariableTok"/>
        </w:rPr>
        <w:t xml:space="preserve">self</w:t>
      </w:r>
      <w:r>
        <w:rPr>
          <w:rStyle w:val="NormalTok"/>
        </w:rPr>
        <w:t xml:space="preserve">._cols(key)))</w:t>
      </w:r>
      <w:r>
        <w:br/>
      </w:r>
      <w:r>
        <w:br/>
      </w:r>
      <w:r>
        <w:rPr>
          <w:rStyle w:val="KeywordTok"/>
        </w:rPr>
        <w:t xml:space="preserve">class</w:t>
      </w:r>
      <w:r>
        <w:rPr>
          <w:rStyle w:val="NormalTok"/>
        </w:rPr>
        <w:t xml:space="preserve"> WTinyLFU:</w:t>
      </w:r>
      <w:r>
        <w:br/>
      </w:r>
      <w:r>
        <w:rPr>
          <w:rStyle w:val="NormalTok"/>
        </w:rPr>
        <w:t xml:space="preserve">    </w:t>
      </w:r>
      <w:r>
        <w:rPr>
          <w:rStyle w:val="CommentTok"/>
        </w:rPr>
        <w:t xml:space="preserve">"""1% window LRU, then a TinyLFU admission filter guarding a segmented LRU</w:t>
      </w:r>
      <w:r>
        <w:br/>
      </w:r>
      <w:r>
        <w:rPr>
          <w:rStyle w:val="CommentTok"/>
        </w:rPr>
        <w:t xml:space="preserve">    main area (20% probation, 80% protected), as in Caffeine (simplified)."""</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capacity):</w:t>
      </w:r>
      <w:r>
        <w:br/>
      </w:r>
      <w:r>
        <w:rPr>
          <w:rStyle w:val="NormalTok"/>
        </w:rPr>
        <w:t xml:space="preserve">        </w:t>
      </w:r>
      <w:r>
        <w:rPr>
          <w:rStyle w:val="VariableTok"/>
        </w:rPr>
        <w:t xml:space="preserve">self</w:t>
      </w:r>
      <w:r>
        <w:rPr>
          <w:rStyle w:val="NormalTok"/>
        </w:rPr>
        <w:t xml:space="preserve">.wcap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1</w:t>
      </w:r>
      <w:r>
        <w:rPr>
          <w:rStyle w:val="NormalTok"/>
        </w:rPr>
        <w:t xml:space="preserve">, capacity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main </w:t>
      </w:r>
      <w:r>
        <w:rPr>
          <w:rStyle w:val="OperatorTok"/>
        </w:rPr>
        <w:t xml:space="preserve">=</w:t>
      </w:r>
      <w:r>
        <w:rPr>
          <w:rStyle w:val="NormalTok"/>
        </w:rPr>
        <w:t xml:space="preserve"> capacity </w:t>
      </w:r>
      <w:r>
        <w:rPr>
          <w:rStyle w:val="OperatorTok"/>
        </w:rPr>
        <w:t xml:space="preserve">-</w:t>
      </w:r>
      <w:r>
        <w:rPr>
          <w:rStyle w:val="NormalTok"/>
        </w:rPr>
        <w:t xml:space="preserve"> </w:t>
      </w:r>
      <w:r>
        <w:rPr>
          <w:rStyle w:val="VariableTok"/>
        </w:rPr>
        <w:t xml:space="preserve">self</w:t>
      </w:r>
      <w:r>
        <w:rPr>
          <w:rStyle w:val="NormalTok"/>
        </w:rPr>
        <w:t xml:space="preserve">.wcap</w:t>
      </w:r>
      <w:r>
        <w:br/>
      </w:r>
      <w:r>
        <w:rPr>
          <w:rStyle w:val="NormalTok"/>
        </w:rPr>
        <w:t xml:space="preserve">        </w:t>
      </w:r>
      <w:r>
        <w:rPr>
          <w:rStyle w:val="VariableTok"/>
        </w:rPr>
        <w:t xml:space="preserve">self</w:t>
      </w:r>
      <w:r>
        <w:rPr>
          <w:rStyle w:val="NormalTok"/>
        </w:rPr>
        <w:t xml:space="preserve">.prot_cap </w:t>
      </w:r>
      <w:r>
        <w:rPr>
          <w:rStyle w:val="OperatorTok"/>
        </w:rPr>
        <w:t xml:space="preserve">=</w:t>
      </w:r>
      <w:r>
        <w:rPr>
          <w:rStyle w:val="NormalTok"/>
        </w:rPr>
        <w:t xml:space="preserve"> </w:t>
      </w:r>
      <w:r>
        <w:rPr>
          <w:rStyle w:val="BuiltInTok"/>
        </w:rPr>
        <w:t xml:space="preserve">int</w:t>
      </w:r>
      <w:r>
        <w:rPr>
          <w:rStyle w:val="NormalTok"/>
        </w:rPr>
        <w:t xml:space="preserve">(main </w:t>
      </w:r>
      <w:r>
        <w:rPr>
          <w:rStyle w:val="OperatorTok"/>
        </w:rPr>
        <w:t xml:space="preserve">*</w:t>
      </w:r>
      <w:r>
        <w:rPr>
          <w:rStyle w:val="NormalTok"/>
        </w:rPr>
        <w:t xml:space="preserve"> </w:t>
      </w:r>
      <w:r>
        <w:rPr>
          <w:rStyle w:val="FloatTok"/>
        </w:rPr>
        <w:t xml:space="preserve">0.8</w:t>
      </w:r>
      <w:r>
        <w:rPr>
          <w:rStyle w:val="NormalTok"/>
        </w:rPr>
        <w:t xml:space="preserve">)</w:t>
      </w:r>
      <w:r>
        <w:br/>
      </w:r>
      <w:r>
        <w:rPr>
          <w:rStyle w:val="NormalTok"/>
        </w:rPr>
        <w:t xml:space="preserve">        </w:t>
      </w:r>
      <w:r>
        <w:rPr>
          <w:rStyle w:val="VariableTok"/>
        </w:rPr>
        <w:t xml:space="preserve">self</w:t>
      </w:r>
      <w:r>
        <w:rPr>
          <w:rStyle w:val="NormalTok"/>
        </w:rPr>
        <w:t xml:space="preserve">.main_cap </w:t>
      </w:r>
      <w:r>
        <w:rPr>
          <w:rStyle w:val="OperatorTok"/>
        </w:rPr>
        <w:t xml:space="preserve">=</w:t>
      </w:r>
      <w:r>
        <w:rPr>
          <w:rStyle w:val="NormalTok"/>
        </w:rPr>
        <w:t xml:space="preserve"> main</w:t>
      </w:r>
      <w:r>
        <w:br/>
      </w:r>
      <w:r>
        <w:rPr>
          <w:rStyle w:val="NormalTok"/>
        </w:rPr>
        <w:t xml:space="preserve">        </w:t>
      </w:r>
      <w:r>
        <w:rPr>
          <w:rStyle w:val="VariableTok"/>
        </w:rPr>
        <w:t xml:space="preserve">self</w:t>
      </w:r>
      <w:r>
        <w:rPr>
          <w:rStyle w:val="NormalTok"/>
        </w:rPr>
        <w:t xml:space="preserve">.window, </w:t>
      </w:r>
      <w:r>
        <w:rPr>
          <w:rStyle w:val="VariableTok"/>
        </w:rPr>
        <w:t xml:space="preserve">self</w:t>
      </w:r>
      <w:r>
        <w:rPr>
          <w:rStyle w:val="NormalTok"/>
        </w:rPr>
        <w:t xml:space="preserve">.prob, </w:t>
      </w:r>
      <w:r>
        <w:rPr>
          <w:rStyle w:val="VariableTok"/>
        </w:rPr>
        <w:t xml:space="preserve">self</w:t>
      </w:r>
      <w:r>
        <w:rPr>
          <w:rStyle w:val="NormalTok"/>
        </w:rPr>
        <w:t xml:space="preserve">.prot </w:t>
      </w:r>
      <w:r>
        <w:rPr>
          <w:rStyle w:val="OperatorTok"/>
        </w:rPr>
        <w:t xml:space="preserve">=</w:t>
      </w:r>
      <w:r>
        <w:rPr>
          <w:rStyle w:val="NormalTok"/>
        </w:rPr>
        <w:t xml:space="preserve"> OrderedDict(), OrderedDict(), OrderedDict()</w:t>
      </w:r>
      <w:r>
        <w:br/>
      </w:r>
      <w:r>
        <w:rPr>
          <w:rStyle w:val="NormalTok"/>
        </w:rPr>
        <w:t xml:space="preserve">        </w:t>
      </w:r>
      <w:r>
        <w:rPr>
          <w:rStyle w:val="VariableTok"/>
        </w:rPr>
        <w:t xml:space="preserve">self</w:t>
      </w:r>
      <w:r>
        <w:rPr>
          <w:rStyle w:val="NormalTok"/>
        </w:rPr>
        <w:t xml:space="preserve">.sketch </w:t>
      </w:r>
      <w:r>
        <w:rPr>
          <w:rStyle w:val="OperatorTok"/>
        </w:rPr>
        <w:t xml:space="preserve">=</w:t>
      </w:r>
      <w:r>
        <w:rPr>
          <w:rStyle w:val="NormalTok"/>
        </w:rPr>
        <w:t xml:space="preserve"> CountMin4(capacity)</w:t>
      </w:r>
      <w:r>
        <w:br/>
      </w:r>
      <w:r>
        <w:rPr>
          <w:rStyle w:val="NormalTok"/>
        </w:rPr>
        <w:t xml:space="preserve">    </w:t>
      </w:r>
      <w:r>
        <w:rPr>
          <w:rStyle w:val="KeywordTok"/>
        </w:rPr>
        <w:t xml:space="preserve">def</w:t>
      </w:r>
      <w:r>
        <w:rPr>
          <w:rStyle w:val="NormalTok"/>
        </w:rPr>
        <w:t xml:space="preserve"> access(</w:t>
      </w:r>
      <w:r>
        <w:rPr>
          <w:rStyle w:val="VariableTok"/>
        </w:rPr>
        <w:t xml:space="preserve">self</w:t>
      </w:r>
      <w:r>
        <w:rPr>
          <w:rStyle w:val="NormalTok"/>
        </w:rPr>
        <w:t xml:space="preserve">, key):</w:t>
      </w:r>
      <w:r>
        <w:br/>
      </w:r>
      <w:r>
        <w:rPr>
          <w:rStyle w:val="NormalTok"/>
        </w:rPr>
        <w:t xml:space="preserve">        </w:t>
      </w:r>
      <w:r>
        <w:rPr>
          <w:rStyle w:val="VariableTok"/>
        </w:rPr>
        <w:t xml:space="preserve">self</w:t>
      </w:r>
      <w:r>
        <w:rPr>
          <w:rStyle w:val="NormalTok"/>
        </w:rPr>
        <w:t xml:space="preserve">.sketch.add(key)</w:t>
      </w:r>
      <w:r>
        <w:br/>
      </w:r>
      <w:r>
        <w:rPr>
          <w:rStyle w:val="NormalTok"/>
        </w:rPr>
        <w:t xml:space="preserve">        </w:t>
      </w:r>
      <w:r>
        <w:rPr>
          <w:rStyle w:val="ControlFlowTok"/>
        </w:rPr>
        <w:t xml:space="preserve">if</w:t>
      </w:r>
      <w:r>
        <w:rPr>
          <w:rStyle w:val="NormalTok"/>
        </w:rPr>
        <w:t xml:space="preserve"> key </w:t>
      </w:r>
      <w:r>
        <w:rPr>
          <w:rStyle w:val="KeywordTok"/>
        </w:rPr>
        <w:t xml:space="preserve">in</w:t>
      </w:r>
      <w:r>
        <w:rPr>
          <w:rStyle w:val="NormalTok"/>
        </w:rPr>
        <w:t xml:space="preserve"> </w:t>
      </w:r>
      <w:r>
        <w:rPr>
          <w:rStyle w:val="VariableTok"/>
        </w:rPr>
        <w:t xml:space="preserve">self</w:t>
      </w:r>
      <w:r>
        <w:rPr>
          <w:rStyle w:val="NormalTok"/>
        </w:rPr>
        <w:t xml:space="preserve">.window:</w:t>
      </w:r>
      <w:r>
        <w:br/>
      </w:r>
      <w:r>
        <w:rPr>
          <w:rStyle w:val="NormalTok"/>
        </w:rPr>
        <w:t xml:space="preserve">            </w:t>
      </w:r>
      <w:r>
        <w:rPr>
          <w:rStyle w:val="VariableTok"/>
        </w:rPr>
        <w:t xml:space="preserve">self</w:t>
      </w:r>
      <w:r>
        <w:rPr>
          <w:rStyle w:val="NormalTok"/>
        </w:rPr>
        <w:t xml:space="preserve">.window.move_to_end(key)</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if</w:t>
      </w:r>
      <w:r>
        <w:rPr>
          <w:rStyle w:val="NormalTok"/>
        </w:rPr>
        <w:t xml:space="preserve"> key </w:t>
      </w:r>
      <w:r>
        <w:rPr>
          <w:rStyle w:val="KeywordTok"/>
        </w:rPr>
        <w:t xml:space="preserve">in</w:t>
      </w:r>
      <w:r>
        <w:rPr>
          <w:rStyle w:val="NormalTok"/>
        </w:rPr>
        <w:t xml:space="preserve"> </w:t>
      </w:r>
      <w:r>
        <w:rPr>
          <w:rStyle w:val="VariableTok"/>
        </w:rPr>
        <w:t xml:space="preserve">self</w:t>
      </w:r>
      <w:r>
        <w:rPr>
          <w:rStyle w:val="NormalTok"/>
        </w:rPr>
        <w:t xml:space="preserve">.prot:</w:t>
      </w:r>
      <w:r>
        <w:br/>
      </w:r>
      <w:r>
        <w:rPr>
          <w:rStyle w:val="NormalTok"/>
        </w:rPr>
        <w:t xml:space="preserve">            </w:t>
      </w:r>
      <w:r>
        <w:rPr>
          <w:rStyle w:val="VariableTok"/>
        </w:rPr>
        <w:t xml:space="preserve">self</w:t>
      </w:r>
      <w:r>
        <w:rPr>
          <w:rStyle w:val="NormalTok"/>
        </w:rPr>
        <w:t xml:space="preserve">.prot.move_to_end(key)</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if</w:t>
      </w:r>
      <w:r>
        <w:rPr>
          <w:rStyle w:val="NormalTok"/>
        </w:rPr>
        <w:t xml:space="preserve"> key </w:t>
      </w:r>
      <w:r>
        <w:rPr>
          <w:rStyle w:val="KeywordTok"/>
        </w:rPr>
        <w:t xml:space="preserve">in</w:t>
      </w:r>
      <w:r>
        <w:rPr>
          <w:rStyle w:val="NormalTok"/>
        </w:rPr>
        <w:t xml:space="preserve"> </w:t>
      </w:r>
      <w:r>
        <w:rPr>
          <w:rStyle w:val="VariableTok"/>
        </w:rPr>
        <w:t xml:space="preserve">self</w:t>
      </w:r>
      <w:r>
        <w:rPr>
          <w:rStyle w:val="NormalTok"/>
        </w:rPr>
        <w:t xml:space="preserve">.prob:                     </w:t>
      </w:r>
      <w:r>
        <w:rPr>
          <w:rStyle w:val="CommentTok"/>
        </w:rPr>
        <w:t xml:space="preserve"># promote on second hit</w:t>
      </w:r>
      <w:r>
        <w:br/>
      </w:r>
      <w:r>
        <w:rPr>
          <w:rStyle w:val="NormalTok"/>
        </w:rPr>
        <w:t xml:space="preserve">            </w:t>
      </w:r>
      <w:r>
        <w:rPr>
          <w:rStyle w:val="KeywordTok"/>
        </w:rPr>
        <w:t xml:space="preserve">del</w:t>
      </w:r>
      <w:r>
        <w:rPr>
          <w:rStyle w:val="NormalTok"/>
        </w:rPr>
        <w:t xml:space="preserve"> </w:t>
      </w:r>
      <w:r>
        <w:rPr>
          <w:rStyle w:val="VariableTok"/>
        </w:rPr>
        <w:t xml:space="preserve">self</w:t>
      </w:r>
      <w:r>
        <w:rPr>
          <w:rStyle w:val="NormalTok"/>
        </w:rPr>
        <w:t xml:space="preserve">.prob[key]</w:t>
      </w:r>
      <w:r>
        <w:br/>
      </w:r>
      <w:r>
        <w:rPr>
          <w:rStyle w:val="NormalTok"/>
        </w:rPr>
        <w:t xml:space="preserve">            </w:t>
      </w:r>
      <w:r>
        <w:rPr>
          <w:rStyle w:val="VariableTok"/>
        </w:rPr>
        <w:t xml:space="preserve">self</w:t>
      </w:r>
      <w:r>
        <w:rPr>
          <w:rStyle w:val="NormalTok"/>
        </w:rPr>
        <w:t xml:space="preserve">.prot[key]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.prot) </w:t>
      </w:r>
      <w:r>
        <w:rPr>
          <w:rStyle w:val="OperatorTok"/>
        </w:rPr>
        <w:t xml:space="preserve">&gt;</w:t>
      </w:r>
      <w:r>
        <w:rPr>
          <w:rStyle w:val="NormalTok"/>
        </w:rPr>
        <w:t xml:space="preserve"> </w:t>
      </w:r>
      <w:r>
        <w:rPr>
          <w:rStyle w:val="VariableTok"/>
        </w:rPr>
        <w:t xml:space="preserve">self</w:t>
      </w:r>
      <w:r>
        <w:rPr>
          <w:rStyle w:val="NormalTok"/>
        </w:rPr>
        <w:t xml:space="preserve">.prot_cap:</w:t>
      </w:r>
      <w:r>
        <w:br/>
      </w:r>
      <w:r>
        <w:rPr>
          <w:rStyle w:val="NormalTok"/>
        </w:rPr>
        <w:t xml:space="preserve">                k, _ </w:t>
      </w:r>
      <w:r>
        <w:rPr>
          <w:rStyle w:val="OperatorTok"/>
        </w:rPr>
        <w:t xml:space="preserve">=</w:t>
      </w:r>
      <w:r>
        <w:rPr>
          <w:rStyle w:val="NormalTok"/>
        </w:rPr>
        <w:t xml:space="preserve"> </w:t>
      </w:r>
      <w:r>
        <w:rPr>
          <w:rStyle w:val="VariableTok"/>
        </w:rPr>
        <w:t xml:space="preserve">self</w:t>
      </w:r>
      <w:r>
        <w:rPr>
          <w:rStyle w:val="NormalTok"/>
        </w:rPr>
        <w:t xml:space="preserve">.prot.popitem(last</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VariableTok"/>
        </w:rPr>
        <w:t xml:space="preserve">self</w:t>
      </w:r>
      <w:r>
        <w:rPr>
          <w:rStyle w:val="NormalTok"/>
        </w:rPr>
        <w:t xml:space="preserve">.prob[k]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demote to probation MRU</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VariableTok"/>
        </w:rPr>
        <w:t xml:space="preserve">self</w:t>
      </w:r>
      <w:r>
        <w:rPr>
          <w:rStyle w:val="NormalTok"/>
        </w:rPr>
        <w:t xml:space="preserve">.window[key]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.window) </w:t>
      </w:r>
      <w:r>
        <w:rPr>
          <w:rStyle w:val="OperatorTok"/>
        </w:rPr>
        <w:t xml:space="preserve">&gt;</w:t>
      </w:r>
      <w:r>
        <w:rPr>
          <w:rStyle w:val="NormalTok"/>
        </w:rPr>
        <w:t xml:space="preserve"> </w:t>
      </w:r>
      <w:r>
        <w:rPr>
          <w:rStyle w:val="VariableTok"/>
        </w:rPr>
        <w:t xml:space="preserve">self</w:t>
      </w:r>
      <w:r>
        <w:rPr>
          <w:rStyle w:val="NormalTok"/>
        </w:rPr>
        <w:t xml:space="preserve">.wcap:</w:t>
      </w:r>
      <w:r>
        <w:br/>
      </w:r>
      <w:r>
        <w:rPr>
          <w:rStyle w:val="NormalTok"/>
        </w:rPr>
        <w:t xml:space="preserve">            cand, _ </w:t>
      </w:r>
      <w:r>
        <w:rPr>
          <w:rStyle w:val="OperatorTok"/>
        </w:rPr>
        <w:t xml:space="preserve">=</w:t>
      </w:r>
      <w:r>
        <w:rPr>
          <w:rStyle w:val="NormalTok"/>
        </w:rPr>
        <w:t xml:space="preserve"> </w:t>
      </w:r>
      <w:r>
        <w:rPr>
          <w:rStyle w:val="VariableTok"/>
        </w:rPr>
        <w:t xml:space="preserve">self</w:t>
      </w:r>
      <w:r>
        <w:rPr>
          <w:rStyle w:val="NormalTok"/>
        </w:rPr>
        <w:t xml:space="preserve">.window.popitem(last</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.prob) </w:t>
      </w:r>
      <w:r>
        <w:rPr>
          <w:rStyle w:val="OperatorTok"/>
        </w:rPr>
        <w:t xml:space="preserve">+</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.prot) </w:t>
      </w:r>
      <w:r>
        <w:rPr>
          <w:rStyle w:val="OperatorTok"/>
        </w:rPr>
        <w:t xml:space="preserve">&lt;</w:t>
      </w:r>
      <w:r>
        <w:rPr>
          <w:rStyle w:val="NormalTok"/>
        </w:rPr>
        <w:t xml:space="preserve"> </w:t>
      </w:r>
      <w:r>
        <w:rPr>
          <w:rStyle w:val="VariableTok"/>
        </w:rPr>
        <w:t xml:space="preserve">self</w:t>
      </w:r>
      <w:r>
        <w:rPr>
          <w:rStyle w:val="NormalTok"/>
        </w:rPr>
        <w:t xml:space="preserve">.main_cap:</w:t>
      </w:r>
      <w:r>
        <w:br/>
      </w:r>
      <w:r>
        <w:rPr>
          <w:rStyle w:val="NormalTok"/>
        </w:rPr>
        <w:t xml:space="preserve">                </w:t>
      </w:r>
      <w:r>
        <w:rPr>
          <w:rStyle w:val="VariableTok"/>
        </w:rPr>
        <w:t xml:space="preserve">self</w:t>
      </w:r>
      <w:r>
        <w:rPr>
          <w:rStyle w:val="NormalTok"/>
        </w:rPr>
        <w:t xml:space="preserve">.prob[cand]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elif</w:t>
      </w:r>
      <w:r>
        <w:rPr>
          <w:rStyle w:val="NormalTok"/>
        </w:rPr>
        <w:t xml:space="preserve"> </w:t>
      </w:r>
      <w:r>
        <w:rPr>
          <w:rStyle w:val="VariableTok"/>
        </w:rPr>
        <w:t xml:space="preserve">self</w:t>
      </w:r>
      <w:r>
        <w:rPr>
          <w:rStyle w:val="NormalTok"/>
        </w:rPr>
        <w:t xml:space="preserve">.prob </w:t>
      </w:r>
      <w:r>
        <w:rPr>
          <w:rStyle w:val="KeywordTok"/>
        </w:rPr>
        <w:t xml:space="preserve">or</w:t>
      </w:r>
      <w:r>
        <w:rPr>
          <w:rStyle w:val="NormalTok"/>
        </w:rPr>
        <w:t xml:space="preserve"> </w:t>
      </w:r>
      <w:r>
        <w:rPr>
          <w:rStyle w:val="VariableTok"/>
        </w:rPr>
        <w:t xml:space="preserve">self</w:t>
      </w:r>
      <w:r>
        <w:rPr>
          <w:rStyle w:val="NormalTok"/>
        </w:rPr>
        <w:t xml:space="preserve">.prot:</w:t>
      </w:r>
      <w:r>
        <w:br/>
      </w:r>
      <w:r>
        <w:rPr>
          <w:rStyle w:val="NormalTok"/>
        </w:rPr>
        <w:t xml:space="preserve">                seg </w:t>
      </w:r>
      <w:r>
        <w:rPr>
          <w:rStyle w:val="OperatorTok"/>
        </w:rPr>
        <w:t xml:space="preserve">=</w:t>
      </w:r>
      <w:r>
        <w:rPr>
          <w:rStyle w:val="NormalTok"/>
        </w:rPr>
        <w:t xml:space="preserve"> </w:t>
      </w:r>
      <w:r>
        <w:rPr>
          <w:rStyle w:val="VariableTok"/>
        </w:rPr>
        <w:t xml:space="preserve">self</w:t>
      </w:r>
      <w:r>
        <w:rPr>
          <w:rStyle w:val="NormalTok"/>
        </w:rPr>
        <w:t xml:space="preserve">.prob </w:t>
      </w:r>
      <w:r>
        <w:rPr>
          <w:rStyle w:val="ControlFlowTok"/>
        </w:rPr>
        <w:t xml:space="preserve">if</w:t>
      </w:r>
      <w:r>
        <w:rPr>
          <w:rStyle w:val="NormalTok"/>
        </w:rPr>
        <w:t xml:space="preserve"> </w:t>
      </w:r>
      <w:r>
        <w:rPr>
          <w:rStyle w:val="VariableTok"/>
        </w:rPr>
        <w:t xml:space="preserve">self</w:t>
      </w:r>
      <w:r>
        <w:rPr>
          <w:rStyle w:val="NormalTok"/>
        </w:rPr>
        <w:t xml:space="preserve">.prob </w:t>
      </w:r>
      <w:r>
        <w:rPr>
          <w:rStyle w:val="ControlFlowTok"/>
        </w:rPr>
        <w:t xml:space="preserve">else</w:t>
      </w:r>
      <w:r>
        <w:rPr>
          <w:rStyle w:val="NormalTok"/>
        </w:rPr>
        <w:t xml:space="preserve"> </w:t>
      </w:r>
      <w:r>
        <w:rPr>
          <w:rStyle w:val="VariableTok"/>
        </w:rPr>
        <w:t xml:space="preserve">self</w:t>
      </w:r>
      <w:r>
        <w:rPr>
          <w:rStyle w:val="NormalTok"/>
        </w:rPr>
        <w:t xml:space="preserve">.prot</w:t>
      </w:r>
      <w:r>
        <w:br/>
      </w:r>
      <w:r>
        <w:rPr>
          <w:rStyle w:val="NormalTok"/>
        </w:rPr>
        <w:t xml:space="preserve">                victim </w:t>
      </w:r>
      <w:r>
        <w:rPr>
          <w:rStyle w:val="OperatorTok"/>
        </w:rPr>
        <w:t xml:space="preserve">=</w:t>
      </w:r>
      <w:r>
        <w:rPr>
          <w:rStyle w:val="NormalTok"/>
        </w:rPr>
        <w:t xml:space="preserve"> </w:t>
      </w:r>
      <w:r>
        <w:rPr>
          <w:rStyle w:val="BuiltInTok"/>
        </w:rPr>
        <w:t xml:space="preserve">next</w:t>
      </w:r>
      <w:r>
        <w:rPr>
          <w:rStyle w:val="NormalTok"/>
        </w:rPr>
        <w:t xml:space="preserve">(</w:t>
      </w:r>
      <w:r>
        <w:rPr>
          <w:rStyle w:val="BuiltInTok"/>
        </w:rPr>
        <w:t xml:space="preserve">iter</w:t>
      </w:r>
      <w:r>
        <w:rPr>
          <w:rStyle w:val="NormalTok"/>
        </w:rPr>
        <w:t xml:space="preserve">(seg))</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.sketch.estimate(cand) </w:t>
      </w:r>
      <w:r>
        <w:rPr>
          <w:rStyle w:val="OperatorTok"/>
        </w:rPr>
        <w:t xml:space="preserve">&gt;</w:t>
      </w:r>
      <w:r>
        <w:rPr>
          <w:rStyle w:val="NormalTok"/>
        </w:rPr>
        <w:t xml:space="preserve"> </w:t>
      </w:r>
      <w:r>
        <w:rPr>
          <w:rStyle w:val="VariableTok"/>
        </w:rPr>
        <w:t xml:space="preserve">self</w:t>
      </w:r>
      <w:r>
        <w:rPr>
          <w:rStyle w:val="NormalTok"/>
        </w:rPr>
        <w:t xml:space="preserve">.sketch.estimate(victim):</w:t>
      </w:r>
      <w:r>
        <w:br/>
      </w:r>
      <w:r>
        <w:rPr>
          <w:rStyle w:val="NormalTok"/>
        </w:rPr>
        <w:t xml:space="preserve">                    </w:t>
      </w:r>
      <w:r>
        <w:rPr>
          <w:rStyle w:val="KeywordTok"/>
        </w:rPr>
        <w:t xml:space="preserve">del</w:t>
      </w:r>
      <w:r>
        <w:rPr>
          <w:rStyle w:val="NormalTok"/>
        </w:rPr>
        <w:t xml:space="preserve"> seg[victim]              </w:t>
      </w:r>
      <w:r>
        <w:rPr>
          <w:rStyle w:val="CommentTok"/>
        </w:rPr>
        <w:t xml:space="preserve"># admit candidate, evict victim</w:t>
      </w:r>
      <w:r>
        <w:br/>
      </w:r>
      <w:r>
        <w:rPr>
          <w:rStyle w:val="NormalTok"/>
        </w:rPr>
        <w:t xml:space="preserve">                    </w:t>
      </w:r>
      <w:r>
        <w:rPr>
          <w:rStyle w:val="VariableTok"/>
        </w:rPr>
        <w:t xml:space="preserve">self</w:t>
      </w:r>
      <w:r>
        <w:rPr>
          <w:rStyle w:val="NormalTok"/>
        </w:rPr>
        <w:t xml:space="preserve">.prob[cand]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else: candidate is dropped</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KeywordTok"/>
        </w:rPr>
        <w:t xml:space="preserve">def</w:t>
      </w:r>
      <w:r>
        <w:rPr>
          <w:rStyle w:val="NormalTok"/>
        </w:rPr>
        <w:t xml:space="preserve"> zipf_cum(n, s):</w:t>
      </w:r>
      <w:r>
        <w:br/>
      </w:r>
      <w:r>
        <w:rPr>
          <w:rStyle w:val="NormalTok"/>
        </w:rPr>
        <w:t xml:space="preserve">    </w:t>
      </w:r>
      <w:r>
        <w:rPr>
          <w:rStyle w:val="ControlFlowTok"/>
        </w:rPr>
        <w:t xml:space="preserve">return</w:t>
      </w:r>
      <w:r>
        <w:rPr>
          <w:rStyle w:val="NormalTok"/>
        </w:rPr>
        <w:t xml:space="preserve"> </w:t>
      </w:r>
      <w:r>
        <w:rPr>
          <w:rStyle w:val="BuiltInTok"/>
        </w:rPr>
        <w:t xml:space="preserve">list</w:t>
      </w:r>
      <w:r>
        <w:rPr>
          <w:rStyle w:val="NormalTok"/>
        </w:rPr>
        <w:t xml:space="preserve">(itertools.accumulate(</w:t>
      </w:r>
      <w:r>
        <w:rPr>
          <w:rStyle w:val="FloatTok"/>
        </w:rPr>
        <w:t xml:space="preserve">1.0</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s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KeywordTok"/>
        </w:rPr>
        <w:t xml:space="preserve">def</w:t>
      </w:r>
      <w:r>
        <w:rPr>
          <w:rStyle w:val="NormalTok"/>
        </w:rPr>
        <w:t xml:space="preserve"> stationary(n, length, rng, s</w:t>
      </w:r>
      <w:r>
        <w:rPr>
          <w:rStyle w:val="OperatorTok"/>
        </w:rPr>
        <w:t xml:space="preserve">=</w:t>
      </w:r>
      <w:r>
        <w:rPr>
          <w:rStyle w:val="FloatTok"/>
        </w:rPr>
        <w:t xml:space="preserve">0.9</w:t>
      </w:r>
      <w:r>
        <w:rPr>
          <w:rStyle w:val="NormalTok"/>
        </w:rPr>
        <w:t xml:space="preserve">):</w:t>
      </w:r>
      <w:r>
        <w:br/>
      </w:r>
      <w:r>
        <w:rPr>
          <w:rStyle w:val="NormalTok"/>
        </w:rPr>
        <w:t xml:space="preserve">    </w:t>
      </w:r>
      <w:r>
        <w:rPr>
          <w:rStyle w:val="ControlFlowTok"/>
        </w:rPr>
        <w:t xml:space="preserve">return</w:t>
      </w:r>
      <w:r>
        <w:rPr>
          <w:rStyle w:val="NormalTok"/>
        </w:rPr>
        <w:t xml:space="preserve"> rng.choices(</w:t>
      </w:r>
      <w:r>
        <w:rPr>
          <w:rStyle w:val="BuiltInTok"/>
        </w:rPr>
        <w:t xml:space="preserve">range</w:t>
      </w:r>
      <w:r>
        <w:rPr>
          <w:rStyle w:val="NormalTok"/>
        </w:rPr>
        <w:t xml:space="preserve">(n), cum_weights</w:t>
      </w:r>
      <w:r>
        <w:rPr>
          <w:rStyle w:val="OperatorTok"/>
        </w:rPr>
        <w:t xml:space="preserve">=</w:t>
      </w:r>
      <w:r>
        <w:rPr>
          <w:rStyle w:val="NormalTok"/>
        </w:rPr>
        <w:t xml:space="preserve">zipf_cum(n, s), k</w:t>
      </w:r>
      <w:r>
        <w:rPr>
          <w:rStyle w:val="OperatorTok"/>
        </w:rPr>
        <w:t xml:space="preserve">=</w:t>
      </w:r>
      <w:r>
        <w:rPr>
          <w:rStyle w:val="NormalTok"/>
        </w:rPr>
        <w:t xml:space="preserve">length)</w:t>
      </w:r>
      <w:r>
        <w:br/>
      </w:r>
      <w:r>
        <w:br/>
      </w:r>
      <w:r>
        <w:rPr>
          <w:rStyle w:val="KeywordTok"/>
        </w:rPr>
        <w:t xml:space="preserve">def</w:t>
      </w:r>
      <w:r>
        <w:rPr>
          <w:rStyle w:val="NormalTok"/>
        </w:rPr>
        <w:t xml:space="preserve"> with_scans(n, length, rng, s</w:t>
      </w:r>
      <w:r>
        <w:rPr>
          <w:rStyle w:val="OperatorTok"/>
        </w:rPr>
        <w:t xml:space="preserve">=</w:t>
      </w:r>
      <w:r>
        <w:rPr>
          <w:rStyle w:val="FloatTok"/>
        </w:rPr>
        <w:t xml:space="preserve">0.9</w:t>
      </w:r>
      <w:r>
        <w:rPr>
          <w:rStyle w:val="NormalTok"/>
        </w:rPr>
        <w:t xml:space="preserve">, burst</w:t>
      </w:r>
      <w:r>
        <w:rPr>
          <w:rStyle w:val="OperatorTok"/>
        </w:rPr>
        <w:t xml:space="preserve">=</w:t>
      </w:r>
      <w:r>
        <w:rPr>
          <w:rStyle w:val="DecValTok"/>
        </w:rPr>
        <w:t xml:space="preserve">8_000</w:t>
      </w:r>
      <w:r>
        <w:rPr>
          <w:rStyle w:val="NormalTok"/>
        </w:rPr>
        <w:t xml:space="preserve">, scan</w:t>
      </w:r>
      <w:r>
        <w:rPr>
          <w:rStyle w:val="OperatorTok"/>
        </w:rPr>
        <w:t xml:space="preserve">=</w:t>
      </w:r>
      <w:r>
        <w:rPr>
          <w:rStyle w:val="DecValTok"/>
        </w:rPr>
        <w:t xml:space="preserve">2_000</w:t>
      </w:r>
      <w:r>
        <w:rPr>
          <w:rStyle w:val="NormalTok"/>
        </w:rPr>
        <w:t xml:space="preserve">):</w:t>
      </w:r>
      <w:r>
        <w:br/>
      </w:r>
      <w:r>
        <w:rPr>
          <w:rStyle w:val="NormalTok"/>
        </w:rPr>
        <w:t xml:space="preserve">    </w:t>
      </w:r>
      <w:r>
        <w:rPr>
          <w:rStyle w:val="CommentTok"/>
        </w:rPr>
        <w:t xml:space="preserve">"""Zipf bursts interleaved with scans of keys that are never seen again."""</w:t>
      </w:r>
      <w:r>
        <w:br/>
      </w:r>
      <w:r>
        <w:rPr>
          <w:rStyle w:val="NormalTok"/>
        </w:rPr>
        <w:t xml:space="preserve">    cum, out, fresh </w:t>
      </w:r>
      <w:r>
        <w:rPr>
          <w:rStyle w:val="OperatorTok"/>
        </w:rPr>
        <w:t xml:space="preserve">=</w:t>
      </w:r>
      <w:r>
        <w:rPr>
          <w:rStyle w:val="NormalTok"/>
        </w:rPr>
        <w:t xml:space="preserve"> zipf_cum(n, s), [], n</w:t>
      </w:r>
      <w:r>
        <w:br/>
      </w:r>
      <w:r>
        <w:rPr>
          <w:rStyle w:val="NormalTok"/>
        </w:rPr>
        <w:t xml:space="preserve">    </w:t>
      </w:r>
      <w:r>
        <w:rPr>
          <w:rStyle w:val="ControlFlowTok"/>
        </w:rPr>
        <w:t xml:space="preserve">while</w:t>
      </w:r>
      <w:r>
        <w:rPr>
          <w:rStyle w:val="NormalTok"/>
        </w:rPr>
        <w:t xml:space="preserve"> </w:t>
      </w:r>
      <w:r>
        <w:rPr>
          <w:rStyle w:val="BuiltInTok"/>
        </w:rPr>
        <w:t xml:space="preserve">len</w:t>
      </w:r>
      <w:r>
        <w:rPr>
          <w:rStyle w:val="NormalTok"/>
        </w:rPr>
        <w:t xml:space="preserve">(out) </w:t>
      </w:r>
      <w:r>
        <w:rPr>
          <w:rStyle w:val="OperatorTok"/>
        </w:rPr>
        <w:t xml:space="preserve">&lt;</w:t>
      </w:r>
      <w:r>
        <w:rPr>
          <w:rStyle w:val="NormalTok"/>
        </w:rPr>
        <w:t xml:space="preserve"> length:</w:t>
      </w:r>
      <w:r>
        <w:br/>
      </w:r>
      <w:r>
        <w:rPr>
          <w:rStyle w:val="NormalTok"/>
        </w:rPr>
        <w:t xml:space="preserve">        out </w:t>
      </w:r>
      <w:r>
        <w:rPr>
          <w:rStyle w:val="OperatorTok"/>
        </w:rPr>
        <w:t xml:space="preserve">+=</w:t>
      </w:r>
      <w:r>
        <w:rPr>
          <w:rStyle w:val="NormalTok"/>
        </w:rPr>
        <w:t xml:space="preserve"> rng.choices(</w:t>
      </w:r>
      <w:r>
        <w:rPr>
          <w:rStyle w:val="BuiltInTok"/>
        </w:rPr>
        <w:t xml:space="preserve">range</w:t>
      </w:r>
      <w:r>
        <w:rPr>
          <w:rStyle w:val="NormalTok"/>
        </w:rPr>
        <w:t xml:space="preserve">(n), cum_weights</w:t>
      </w:r>
      <w:r>
        <w:rPr>
          <w:rStyle w:val="OperatorTok"/>
        </w:rPr>
        <w:t xml:space="preserve">=</w:t>
      </w:r>
      <w:r>
        <w:rPr>
          <w:rStyle w:val="NormalTok"/>
        </w:rPr>
        <w:t xml:space="preserve">cum, k</w:t>
      </w:r>
      <w:r>
        <w:rPr>
          <w:rStyle w:val="OperatorTok"/>
        </w:rPr>
        <w:t xml:space="preserve">=</w:t>
      </w:r>
      <w:r>
        <w:rPr>
          <w:rStyle w:val="NormalTok"/>
        </w:rPr>
        <w:t xml:space="preserve">burst)</w:t>
      </w:r>
      <w:r>
        <w:br/>
      </w:r>
      <w:r>
        <w:rPr>
          <w:rStyle w:val="NormalTok"/>
        </w:rPr>
        <w:t xml:space="preserve">        out </w:t>
      </w:r>
      <w:r>
        <w:rPr>
          <w:rStyle w:val="OperatorTok"/>
        </w:rPr>
        <w:t xml:space="preserve">+=</w:t>
      </w:r>
      <w:r>
        <w:rPr>
          <w:rStyle w:val="NormalTok"/>
        </w:rPr>
        <w:t xml:space="preserve"> </w:t>
      </w:r>
      <w:r>
        <w:rPr>
          <w:rStyle w:val="BuiltInTok"/>
        </w:rPr>
        <w:t xml:space="preserve">range</w:t>
      </w:r>
      <w:r>
        <w:rPr>
          <w:rStyle w:val="NormalTok"/>
        </w:rPr>
        <w:t xml:space="preserve">(fresh, fresh </w:t>
      </w:r>
      <w:r>
        <w:rPr>
          <w:rStyle w:val="OperatorTok"/>
        </w:rPr>
        <w:t xml:space="preserve">+</w:t>
      </w:r>
      <w:r>
        <w:rPr>
          <w:rStyle w:val="NormalTok"/>
        </w:rPr>
        <w:t xml:space="preserve"> scan)</w:t>
      </w:r>
      <w:r>
        <w:br/>
      </w:r>
      <w:r>
        <w:rPr>
          <w:rStyle w:val="NormalTok"/>
        </w:rPr>
        <w:t xml:space="preserve">        fresh </w:t>
      </w:r>
      <w:r>
        <w:rPr>
          <w:rStyle w:val="OperatorTok"/>
        </w:rPr>
        <w:t xml:space="preserve">+=</w:t>
      </w:r>
      <w:r>
        <w:rPr>
          <w:rStyle w:val="NormalTok"/>
        </w:rPr>
        <w:t xml:space="preserve"> scan</w:t>
      </w:r>
      <w:r>
        <w:br/>
      </w:r>
      <w:r>
        <w:rPr>
          <w:rStyle w:val="NormalTok"/>
        </w:rPr>
        <w:t xml:space="preserve">    </w:t>
      </w:r>
      <w:r>
        <w:rPr>
          <w:rStyle w:val="ControlFlowTok"/>
        </w:rPr>
        <w:t xml:space="preserve">return</w:t>
      </w:r>
      <w:r>
        <w:rPr>
          <w:rStyle w:val="NormalTok"/>
        </w:rPr>
        <w:t xml:space="preserve"> out[:length]</w:t>
      </w:r>
      <w:r>
        <w:br/>
      </w:r>
      <w:r>
        <w:br/>
      </w:r>
      <w:r>
        <w:rPr>
          <w:rStyle w:val="KeywordTok"/>
        </w:rPr>
        <w:t xml:space="preserve">def</w:t>
      </w:r>
      <w:r>
        <w:rPr>
          <w:rStyle w:val="NormalTok"/>
        </w:rPr>
        <w:t xml:space="preserve"> shifting(n, length, rng, s</w:t>
      </w:r>
      <w:r>
        <w:rPr>
          <w:rStyle w:val="OperatorTok"/>
        </w:rPr>
        <w:t xml:space="preserve">=</w:t>
      </w:r>
      <w:r>
        <w:rPr>
          <w:rStyle w:val="FloatTok"/>
        </w:rPr>
        <w:t xml:space="preserve">0.9</w:t>
      </w:r>
      <w:r>
        <w:rPr>
          <w:rStyle w:val="NormalTok"/>
        </w:rPr>
        <w:t xml:space="preserve">, phases</w:t>
      </w:r>
      <w:r>
        <w:rPr>
          <w:rStyle w:val="OperatorTok"/>
        </w:rPr>
        <w:t xml:space="preserve">=</w:t>
      </w:r>
      <w:r>
        <w:rPr>
          <w:rStyle w:val="DecValTok"/>
        </w:rPr>
        <w:t xml:space="preserve">4</w:t>
      </w:r>
      <w:r>
        <w:rPr>
          <w:rStyle w:val="NormalTok"/>
        </w:rPr>
        <w:t xml:space="preserve">):</w:t>
      </w:r>
      <w:r>
        <w:br/>
      </w:r>
      <w:r>
        <w:rPr>
          <w:rStyle w:val="NormalTok"/>
        </w:rPr>
        <w:t xml:space="preserve">    </w:t>
      </w:r>
      <w:r>
        <w:rPr>
          <w:rStyle w:val="CommentTok"/>
        </w:rPr>
        <w:t xml:space="preserve">"""Popularity ranks are reshuffled at the start of every phase."""</w:t>
      </w:r>
      <w:r>
        <w:br/>
      </w:r>
      <w:r>
        <w:rPr>
          <w:rStyle w:val="NormalTok"/>
        </w:rPr>
        <w:t xml:space="preserve">    cum, out </w:t>
      </w:r>
      <w:r>
        <w:rPr>
          <w:rStyle w:val="OperatorTok"/>
        </w:rPr>
        <w:t xml:space="preserve">=</w:t>
      </w:r>
      <w:r>
        <w:rPr>
          <w:rStyle w:val="NormalTok"/>
        </w:rPr>
        <w:t xml:space="preserve"> zipf_cum(n, s), []</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(phases):</w:t>
      </w:r>
      <w:r>
        <w:br/>
      </w:r>
      <w:r>
        <w:rPr>
          <w:rStyle w:val="NormalTok"/>
        </w:rPr>
        <w:t xml:space="preserve">        perm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range</w:t>
      </w:r>
      <w:r>
        <w:rPr>
          <w:rStyle w:val="NormalTok"/>
        </w:rPr>
        <w:t xml:space="preserve">(n))</w:t>
      </w:r>
      <w:r>
        <w:br/>
      </w:r>
      <w:r>
        <w:rPr>
          <w:rStyle w:val="NormalTok"/>
        </w:rPr>
        <w:t xml:space="preserve">        rng.shuffle(perm)</w:t>
      </w:r>
      <w:r>
        <w:br/>
      </w:r>
      <w:r>
        <w:rPr>
          <w:rStyle w:val="NormalTok"/>
        </w:rPr>
        <w:t xml:space="preserve">        out </w:t>
      </w:r>
      <w:r>
        <w:rPr>
          <w:rStyle w:val="OperatorTok"/>
        </w:rPr>
        <w:t xml:space="preserve">+=</w:t>
      </w:r>
      <w:r>
        <w:rPr>
          <w:rStyle w:val="NormalTok"/>
        </w:rPr>
        <w:t xml:space="preserve"> [perm[r] </w:t>
      </w:r>
      <w:r>
        <w:rPr>
          <w:rStyle w:val="ControlFlowTok"/>
        </w:rPr>
        <w:t xml:space="preserve">for</w:t>
      </w:r>
      <w:r>
        <w:rPr>
          <w:rStyle w:val="NormalTok"/>
        </w:rPr>
        <w:t xml:space="preserve"> r </w:t>
      </w:r>
      <w:r>
        <w:rPr>
          <w:rStyle w:val="KeywordTok"/>
        </w:rPr>
        <w:t xml:space="preserve">in</w:t>
      </w:r>
      <w:r>
        <w:rPr>
          <w:rStyle w:val="NormalTok"/>
        </w:rPr>
        <w:t xml:space="preserve"> rng.choices(</w:t>
      </w:r>
      <w:r>
        <w:rPr>
          <w:rStyle w:val="BuiltInTok"/>
        </w:rPr>
        <w:t xml:space="preserve">range</w:t>
      </w:r>
      <w:r>
        <w:rPr>
          <w:rStyle w:val="NormalTok"/>
        </w:rPr>
        <w:t xml:space="preserve">(n), cum_weights</w:t>
      </w:r>
      <w:r>
        <w:rPr>
          <w:rStyle w:val="OperatorTok"/>
        </w:rPr>
        <w:t xml:space="preserve">=</w:t>
      </w:r>
      <w:r>
        <w:rPr>
          <w:rStyle w:val="NormalTok"/>
        </w:rPr>
        <w:t xml:space="preserve">cum,</w:t>
      </w:r>
      <w:r>
        <w:br/>
      </w:r>
      <w:r>
        <w:rPr>
          <w:rStyle w:val="NormalTok"/>
        </w:rPr>
        <w:t xml:space="preserve">                                             k</w:t>
      </w:r>
      <w:r>
        <w:rPr>
          <w:rStyle w:val="OperatorTok"/>
        </w:rPr>
        <w:t xml:space="preserve">=</w:t>
      </w:r>
      <w:r>
        <w:rPr>
          <w:rStyle w:val="NormalTok"/>
        </w:rPr>
        <w:t xml:space="preserve">length </w:t>
      </w:r>
      <w:r>
        <w:rPr>
          <w:rStyle w:val="OperatorTok"/>
        </w:rPr>
        <w:t xml:space="preserve">//</w:t>
      </w:r>
      <w:r>
        <w:rPr>
          <w:rStyle w:val="NormalTok"/>
        </w:rPr>
        <w:t xml:space="preserve"> phases)]</w:t>
      </w:r>
      <w:r>
        <w:br/>
      </w:r>
      <w:r>
        <w:rPr>
          <w:rStyle w:val="NormalTok"/>
        </w:rPr>
        <w:t xml:space="preserve">    </w:t>
      </w:r>
      <w:r>
        <w:rPr>
          <w:rStyle w:val="ControlFlowTok"/>
        </w:rPr>
        <w:t xml:space="preserve">return</w:t>
      </w:r>
      <w:r>
        <w:rPr>
          <w:rStyle w:val="NormalTok"/>
        </w:rPr>
        <w:t xml:space="preserve"> out</w:t>
      </w:r>
      <w:r>
        <w:br/>
      </w:r>
      <w:r>
        <w:br/>
      </w:r>
      <w:r>
        <w:rPr>
          <w:rStyle w:val="KeywordTok"/>
        </w:rPr>
        <w:t xml:space="preserve">def</w:t>
      </w:r>
      <w:r>
        <w:rPr>
          <w:rStyle w:val="NormalTok"/>
        </w:rPr>
        <w:t xml:space="preserve"> hit_ratio(policy, trace, warmup):</w:t>
      </w:r>
      <w:r>
        <w:br/>
      </w:r>
      <w:r>
        <w:rPr>
          <w:rStyle w:val="NormalTok"/>
        </w:rPr>
        <w:t xml:space="preserve">    hits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t, key </w:t>
      </w:r>
      <w:r>
        <w:rPr>
          <w:rStyle w:val="KeywordTok"/>
        </w:rPr>
        <w:t xml:space="preserve">in</w:t>
      </w:r>
      <w:r>
        <w:rPr>
          <w:rStyle w:val="NormalTok"/>
        </w:rPr>
        <w:t xml:space="preserve"> </w:t>
      </w:r>
      <w:r>
        <w:rPr>
          <w:rStyle w:val="BuiltInTok"/>
        </w:rPr>
        <w:t xml:space="preserve">enumerate</w:t>
      </w:r>
      <w:r>
        <w:rPr>
          <w:rStyle w:val="NormalTok"/>
        </w:rPr>
        <w:t xml:space="preserve">(trace):</w:t>
      </w:r>
      <w:r>
        <w:br/>
      </w:r>
      <w:r>
        <w:rPr>
          <w:rStyle w:val="NormalTok"/>
        </w:rPr>
        <w:t xml:space="preserve">        </w:t>
      </w:r>
      <w:r>
        <w:rPr>
          <w:rStyle w:val="ControlFlowTok"/>
        </w:rPr>
        <w:t xml:space="preserve">if</w:t>
      </w:r>
      <w:r>
        <w:rPr>
          <w:rStyle w:val="NormalTok"/>
        </w:rPr>
        <w:t xml:space="preserve"> policy.access(key) </w:t>
      </w:r>
      <w:r>
        <w:rPr>
          <w:rStyle w:val="KeywordTok"/>
        </w:rPr>
        <w:t xml:space="preserve">and</w:t>
      </w:r>
      <w:r>
        <w:rPr>
          <w:rStyle w:val="NormalTok"/>
        </w:rPr>
        <w:t xml:space="preserve"> t </w:t>
      </w:r>
      <w:r>
        <w:rPr>
          <w:rStyle w:val="OperatorTok"/>
        </w:rPr>
        <w:t xml:space="preserve">&gt;=</w:t>
      </w:r>
      <w:r>
        <w:rPr>
          <w:rStyle w:val="NormalTok"/>
        </w:rPr>
        <w:t xml:space="preserve"> warmup:</w:t>
      </w:r>
      <w:r>
        <w:br/>
      </w:r>
      <w:r>
        <w:rPr>
          <w:rStyle w:val="NormalTok"/>
        </w:rPr>
        <w:t xml:space="preserve">            hits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hits </w:t>
      </w:r>
      <w:r>
        <w:rPr>
          <w:rStyle w:val="OperatorTok"/>
        </w:rPr>
        <w:t xml:space="preserve">/</w:t>
      </w:r>
      <w:r>
        <w:rPr>
          <w:rStyle w:val="NormalTok"/>
        </w:rPr>
        <w:t xml:space="preserve"> (</w:t>
      </w:r>
      <w:r>
        <w:rPr>
          <w:rStyle w:val="BuiltInTok"/>
        </w:rPr>
        <w:t xml:space="preserve">len</w:t>
      </w:r>
      <w:r>
        <w:rPr>
          <w:rStyle w:val="NormalTok"/>
        </w:rPr>
        <w:t xml:space="preserve">(trace) </w:t>
      </w:r>
      <w:r>
        <w:rPr>
          <w:rStyle w:val="OperatorTok"/>
        </w:rPr>
        <w:t xml:space="preserve">-</w:t>
      </w:r>
      <w:r>
        <w:rPr>
          <w:rStyle w:val="NormalTok"/>
        </w:rPr>
        <w:t xml:space="preserve"> warmup)</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N, LENGTH </w:t>
      </w:r>
      <w:r>
        <w:rPr>
          <w:rStyle w:val="OperatorTok"/>
        </w:rPr>
        <w:t xml:space="preserve">=</w:t>
      </w:r>
      <w:r>
        <w:rPr>
          <w:rStyle w:val="NormalTok"/>
        </w:rPr>
        <w:t xml:space="preserve"> </w:t>
      </w:r>
      <w:r>
        <w:rPr>
          <w:rStyle w:val="DecValTok"/>
        </w:rPr>
        <w:t xml:space="preserve">50_000</w:t>
      </w:r>
      <w:r>
        <w:rPr>
          <w:rStyle w:val="NormalTok"/>
        </w:rPr>
        <w:t xml:space="preserve">, </w:t>
      </w:r>
      <w:r>
        <w:rPr>
          <w:rStyle w:val="DecValTok"/>
        </w:rPr>
        <w:t xml:space="preserve">400_000</w:t>
      </w:r>
      <w:r>
        <w:br/>
      </w:r>
      <w:r>
        <w:rPr>
          <w:rStyle w:val="NormalTok"/>
        </w:rPr>
        <w:t xml:space="preserve">    rng </w:t>
      </w:r>
      <w:r>
        <w:rPr>
          <w:rStyle w:val="OperatorTok"/>
        </w:rPr>
        <w:t xml:space="preserve">=</w:t>
      </w:r>
      <w:r>
        <w:rPr>
          <w:rStyle w:val="NormalTok"/>
        </w:rPr>
        <w:t xml:space="preserve"> random.Random(</w:t>
      </w:r>
      <w:r>
        <w:rPr>
          <w:rStyle w:val="DecValTok"/>
        </w:rPr>
        <w:t xml:space="preserve">7</w:t>
      </w:r>
      <w:r>
        <w:rPr>
          <w:rStyle w:val="NormalTok"/>
        </w:rPr>
        <w:t xml:space="preserve">)</w:t>
      </w:r>
      <w:r>
        <w:br/>
      </w:r>
      <w:r>
        <w:rPr>
          <w:rStyle w:val="NormalTok"/>
        </w:rPr>
        <w:t xml:space="preserve">    traces </w:t>
      </w:r>
      <w:r>
        <w:rPr>
          <w:rStyle w:val="OperatorTok"/>
        </w:rPr>
        <w:t xml:space="preserve">=</w:t>
      </w:r>
      <w:r>
        <w:rPr>
          <w:rStyle w:val="NormalTok"/>
        </w:rPr>
        <w:t xml:space="preserve"> {</w:t>
      </w:r>
      <w:r>
        <w:rPr>
          <w:rStyle w:val="StringTok"/>
        </w:rPr>
        <w:t xml:space="preserve">"stationary Zipf"</w:t>
      </w:r>
      <w:r>
        <w:rPr>
          <w:rStyle w:val="NormalTok"/>
        </w:rPr>
        <w:t xml:space="preserve">: stationary(N, LENGTH, rng),</w:t>
      </w:r>
      <w:r>
        <w:br/>
      </w:r>
      <w:r>
        <w:rPr>
          <w:rStyle w:val="NormalTok"/>
        </w:rPr>
        <w:t xml:space="preserve">              </w:t>
      </w:r>
      <w:r>
        <w:rPr>
          <w:rStyle w:val="StringTok"/>
        </w:rPr>
        <w:t xml:space="preserve">"Zipf + scans"</w:t>
      </w:r>
      <w:r>
        <w:rPr>
          <w:rStyle w:val="NormalTok"/>
        </w:rPr>
        <w:t xml:space="preserve">: with_scans(N, LENGTH, rng),</w:t>
      </w:r>
      <w:r>
        <w:br/>
      </w:r>
      <w:r>
        <w:rPr>
          <w:rStyle w:val="NormalTok"/>
        </w:rPr>
        <w:t xml:space="preserve">              </w:t>
      </w:r>
      <w:r>
        <w:rPr>
          <w:rStyle w:val="StringTok"/>
        </w:rPr>
        <w:t xml:space="preserve">"shifting Zipf"</w:t>
      </w:r>
      <w:r>
        <w:rPr>
          <w:rStyle w:val="NormalTok"/>
        </w:rPr>
        <w:t xml:space="preserve">: shifting(N, LENGTH, rng)}</w:t>
      </w:r>
      <w:r>
        <w:br/>
      </w:r>
      <w:r>
        <w:rPr>
          <w:rStyle w:val="NormalTok"/>
        </w:rPr>
        <w:t xml:space="preserve">    policies </w:t>
      </w:r>
      <w:r>
        <w:rPr>
          <w:rStyle w:val="OperatorTok"/>
        </w:rPr>
        <w:t xml:space="preserve">=</w:t>
      </w:r>
      <w:r>
        <w:rPr>
          <w:rStyle w:val="NormalTok"/>
        </w:rPr>
        <w:t xml:space="preserve"> [(</w:t>
      </w:r>
      <w:r>
        <w:rPr>
          <w:rStyle w:val="StringTok"/>
        </w:rPr>
        <w:t xml:space="preserve">"LRU"</w:t>
      </w:r>
      <w:r>
        <w:rPr>
          <w:rStyle w:val="NormalTok"/>
        </w:rPr>
        <w:t xml:space="preserve">, LRU), (</w:t>
      </w:r>
      <w:r>
        <w:rPr>
          <w:rStyle w:val="StringTok"/>
        </w:rPr>
        <w:t xml:space="preserve">"LFU"</w:t>
      </w:r>
      <w:r>
        <w:rPr>
          <w:rStyle w:val="NormalTok"/>
        </w:rPr>
        <w:t xml:space="preserve">, LFU), (</w:t>
      </w:r>
      <w:r>
        <w:rPr>
          <w:rStyle w:val="StringTok"/>
        </w:rPr>
        <w:t xml:space="preserve">"ARC"</w:t>
      </w:r>
      <w:r>
        <w:rPr>
          <w:rStyle w:val="NormalTok"/>
        </w:rPr>
        <w:t xml:space="preserve">, ARC), (</w:t>
      </w:r>
      <w:r>
        <w:rPr>
          <w:rStyle w:val="StringTok"/>
        </w:rPr>
        <w:t xml:space="preserve">"W-TinyLFU"</w:t>
      </w:r>
      <w:r>
        <w:rPr>
          <w:rStyle w:val="NormalTok"/>
        </w:rPr>
        <w:t xml:space="preserve">, WTinyLFU)]</w:t>
      </w:r>
      <w:r>
        <w:br/>
      </w:r>
      <w:r>
        <w:rPr>
          <w:rStyle w:val="NormalTok"/>
        </w:rPr>
        <w:t xml:space="preserve">    </w:t>
      </w:r>
      <w:r>
        <w:rPr>
          <w:rStyle w:val="ControlFlowTok"/>
        </w:rPr>
        <w:t xml:space="preserve">for</w:t>
      </w:r>
      <w:r>
        <w:rPr>
          <w:rStyle w:val="NormalTok"/>
        </w:rPr>
        <w:t xml:space="preserve"> cap </w:t>
      </w:r>
      <w:r>
        <w:rPr>
          <w:rStyle w:val="KeywordTok"/>
        </w:rPr>
        <w:t xml:space="preserve">in</w:t>
      </w:r>
      <w:r>
        <w:rPr>
          <w:rStyle w:val="NormalTok"/>
        </w:rPr>
        <w:t xml:space="preserve"> (</w:t>
      </w:r>
      <w:r>
        <w:rPr>
          <w:rStyle w:val="DecValTok"/>
        </w:rPr>
        <w:t xml:space="preserve">500</w:t>
      </w:r>
      <w:r>
        <w:rPr>
          <w:rStyle w:val="NormalTok"/>
        </w:rPr>
        <w:t xml:space="preserve">, </w:t>
      </w:r>
      <w:r>
        <w:rPr>
          <w:rStyle w:val="DecValTok"/>
        </w:rPr>
        <w:t xml:space="preserve">2_500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f"cache = </w:t>
      </w:r>
      <w:r>
        <w:rPr>
          <w:rStyle w:val="SpecialCharTok"/>
        </w:rPr>
        <w:t xml:space="preserve">{</w:t>
      </w:r>
      <w:r>
        <w:rPr>
          <w:rStyle w:val="NormalTok"/>
        </w:rPr>
        <w:t xml:space="preserve">cap</w:t>
      </w:r>
      <w:r>
        <w:rPr>
          <w:rStyle w:val="SpecialCharTok"/>
        </w:rPr>
        <w:t xml:space="preserve">:,}</w:t>
      </w:r>
      <w:r>
        <w:rPr>
          <w:rStyle w:val="SpecialStringTok"/>
        </w:rPr>
        <w:t xml:space="preserve"> entries (</w:t>
      </w:r>
      <w:r>
        <w:rPr>
          <w:rStyle w:val="SpecialCharTok"/>
        </w:rPr>
        <w:t xml:space="preserve">{</w:t>
      </w:r>
      <w:r>
        <w:rPr>
          <w:rStyle w:val="NormalTok"/>
        </w:rPr>
        <w:t xml:space="preserve">cap </w:t>
      </w:r>
      <w:r>
        <w:rPr>
          <w:rStyle w:val="OperatorTok"/>
        </w:rPr>
        <w:t xml:space="preserve">/</w:t>
      </w:r>
      <w:r>
        <w:rPr>
          <w:rStyle w:val="NormalTok"/>
        </w:rPr>
        <w:t xml:space="preserve"> N</w:t>
      </w:r>
      <w:r>
        <w:rPr>
          <w:rStyle w:val="SpecialCharTok"/>
        </w:rPr>
        <w:t xml:space="preserve">:.0%}</w:t>
      </w:r>
      <w:r>
        <w:rPr>
          <w:rStyle w:val="SpecialStringTok"/>
        </w:rPr>
        <w:t xml:space="preserve"> of </w:t>
      </w:r>
      <w:r>
        <w:rPr>
          <w:rStyle w:val="SpecialCharTok"/>
        </w:rPr>
        <w:t xml:space="preserve">{</w:t>
      </w:r>
      <w:r>
        <w:rPr>
          <w:rStyle w:val="NormalTok"/>
        </w:rPr>
        <w:t xml:space="preserve">N</w:t>
      </w:r>
      <w:r>
        <w:rPr>
          <w:rStyle w:val="SpecialCharTok"/>
        </w:rPr>
        <w:t xml:space="preserve">:,}</w:t>
      </w:r>
      <w:r>
        <w:rPr>
          <w:rStyle w:val="SpecialStringTok"/>
        </w:rPr>
        <w:t xml:space="preserve"> keys)"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StringTok"/>
        </w:rPr>
        <w:t xml:space="preserve">'trace'</w:t>
      </w:r>
      <w:r>
        <w:rPr>
          <w:rStyle w:val="SpecialCharTok"/>
        </w:rPr>
        <w:t xml:space="preserve">:&lt;17}</w:t>
      </w:r>
      <w:r>
        <w:rPr>
          <w:rStyle w:val="Speci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.join(</w:t>
      </w:r>
      <w:r>
        <w:rPr>
          <w:rStyle w:val="SpecialStringTok"/>
        </w:rPr>
        <w:t xml:space="preserve">f"</w:t>
      </w:r>
      <w:r>
        <w:rPr>
          <w:rStyle w:val="SpecialCharTok"/>
        </w:rPr>
        <w:t xml:space="preserve">{</w:t>
      </w:r>
      <w:r>
        <w:rPr>
          <w:rStyle w:val="NormalTok"/>
        </w:rPr>
        <w:t xml:space="preserve">name</w:t>
      </w:r>
      <w:r>
        <w:rPr>
          <w:rStyle w:val="SpecialCharTok"/>
        </w:rPr>
        <w:t xml:space="preserve">:&gt;11}</w:t>
      </w:r>
      <w:r>
        <w:rPr>
          <w:rStyle w:val="SpecialStringTok"/>
        </w:rPr>
        <w:t xml:space="preserve">"</w:t>
      </w:r>
      <w:r>
        <w:rPr>
          <w:rStyle w:val="NormalTok"/>
        </w:rPr>
        <w:t xml:space="preserve"> </w:t>
      </w:r>
      <w:r>
        <w:rPr>
          <w:rStyle w:val="ControlFlowTok"/>
        </w:rPr>
        <w:t xml:space="preserve">for</w:t>
      </w:r>
      <w:r>
        <w:rPr>
          <w:rStyle w:val="NormalTok"/>
        </w:rPr>
        <w:t xml:space="preserve"> name, _ </w:t>
      </w:r>
      <w:r>
        <w:rPr>
          <w:rStyle w:val="KeywordTok"/>
        </w:rPr>
        <w:t xml:space="preserve">in</w:t>
      </w:r>
      <w:r>
        <w:rPr>
          <w:rStyle w:val="NormalTok"/>
        </w:rPr>
        <w:t xml:space="preserve"> policies))</w:t>
      </w:r>
      <w:r>
        <w:br/>
      </w:r>
      <w:r>
        <w:rPr>
          <w:rStyle w:val="NormalTok"/>
        </w:rPr>
        <w:t xml:space="preserve">        </w:t>
      </w:r>
      <w:r>
        <w:rPr>
          <w:rStyle w:val="ControlFlowTok"/>
        </w:rPr>
        <w:t xml:space="preserve">for</w:t>
      </w:r>
      <w:r>
        <w:rPr>
          <w:rStyle w:val="NormalTok"/>
        </w:rPr>
        <w:t xml:space="preserve"> tname, trace </w:t>
      </w:r>
      <w:r>
        <w:rPr>
          <w:rStyle w:val="KeywordTok"/>
        </w:rPr>
        <w:t xml:space="preserve">in</w:t>
      </w:r>
      <w:r>
        <w:rPr>
          <w:rStyle w:val="NormalTok"/>
        </w:rPr>
        <w:t xml:space="preserve"> traces.items():</w:t>
      </w:r>
      <w:r>
        <w:br/>
      </w:r>
      <w:r>
        <w:rPr>
          <w:rStyle w:val="NormalTok"/>
        </w:rPr>
        <w:t xml:space="preserve">            row </w:t>
      </w:r>
      <w:r>
        <w:rPr>
          <w:rStyle w:val="OperatorTok"/>
        </w:rPr>
        <w:t xml:space="preserve">=</w:t>
      </w:r>
      <w:r>
        <w:rPr>
          <w:rStyle w:val="NormalTok"/>
        </w:rPr>
        <w:t xml:space="preserve"> [hit_ratio(cls(cap), trace, LENGTH </w:t>
      </w:r>
      <w:r>
        <w:rPr>
          <w:rStyle w:val="OperatorTok"/>
        </w:rPr>
        <w:t xml:space="preserve">//</w:t>
      </w:r>
      <w:r>
        <w:rPr>
          <w:rStyle w:val="NormalTok"/>
        </w:rPr>
        <w:t xml:space="preserve"> </w:t>
      </w:r>
      <w:r>
        <w:rPr>
          <w:rStyle w:val="DecValTok"/>
        </w:rPr>
        <w:t xml:space="preserve">10</w:t>
      </w:r>
      <w:r>
        <w:rPr>
          <w:rStyle w:val="NormalTok"/>
        </w:rPr>
        <w:t xml:space="preserve">) </w:t>
      </w:r>
      <w:r>
        <w:rPr>
          <w:rStyle w:val="ControlFlowTok"/>
        </w:rPr>
        <w:t xml:space="preserve">for</w:t>
      </w:r>
      <w:r>
        <w:rPr>
          <w:rStyle w:val="NormalTok"/>
        </w:rPr>
        <w:t xml:space="preserve"> _, cls </w:t>
      </w:r>
      <w:r>
        <w:rPr>
          <w:rStyle w:val="KeywordTok"/>
        </w:rPr>
        <w:t xml:space="preserve">in</w:t>
      </w:r>
      <w:r>
        <w:rPr>
          <w:rStyle w:val="NormalTok"/>
        </w:rPr>
        <w:t xml:space="preserve"> policies]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tname</w:t>
      </w:r>
      <w:r>
        <w:rPr>
          <w:rStyle w:val="SpecialCharTok"/>
        </w:rPr>
        <w:t xml:space="preserve">:&lt;17}</w:t>
      </w:r>
      <w:r>
        <w:rPr>
          <w:rStyle w:val="Speci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.join(</w:t>
      </w:r>
      <w:r>
        <w:rPr>
          <w:rStyle w:val="SpecialStringTok"/>
        </w:rPr>
        <w:t xml:space="preserve">f"</w:t>
      </w:r>
      <w:r>
        <w:rPr>
          <w:rStyle w:val="SpecialCharTok"/>
        </w:rPr>
        <w:t xml:space="preserve">{</w:t>
      </w:r>
      <w:r>
        <w:rPr>
          <w:rStyle w:val="NormalTok"/>
        </w:rPr>
        <w:t xml:space="preserve">h</w:t>
      </w:r>
      <w:r>
        <w:rPr>
          <w:rStyle w:val="SpecialCharTok"/>
        </w:rPr>
        <w:t xml:space="preserve">:&gt;11.1%}</w:t>
      </w:r>
      <w:r>
        <w:rPr>
          <w:rStyle w:val="SpecialStringTok"/>
        </w:rPr>
        <w:t xml:space="preserve">"</w:t>
      </w:r>
      <w:r>
        <w:rPr>
          <w:rStyle w:val="NormalTok"/>
        </w:rPr>
        <w:t xml:space="preserve"> </w:t>
      </w:r>
      <w:r>
        <w:rPr>
          <w:rStyle w:val="ControlFlowTok"/>
        </w:rPr>
        <w:t xml:space="preserve">for</w:t>
      </w:r>
      <w:r>
        <w:rPr>
          <w:rStyle w:val="NormalTok"/>
        </w:rPr>
        <w:t xml:space="preserve"> h </w:t>
      </w:r>
      <w:r>
        <w:rPr>
          <w:rStyle w:val="KeywordTok"/>
        </w:rPr>
        <w:t xml:space="preserve">in</w:t>
      </w:r>
      <w:r>
        <w:rPr>
          <w:rStyle w:val="NormalTok"/>
        </w:rPr>
        <w:t xml:space="preserve"> row))</w:t>
      </w:r>
    </w:p>
    <w:p>
      <w:pPr>
        <w:pStyle w:val="FirstParagraph"/>
      </w:pPr>
      <w:r>
        <w:t xml:space="preserve">Output (about 13 s):</w:t>
      </w:r>
    </w:p>
    <w:p>
      <w:pPr>
        <w:pStyle w:val="SourceCode"/>
      </w:pPr>
      <w:r>
        <w:rPr>
          <w:rStyle w:val="VerbatimChar"/>
        </w:rPr>
        <w:t xml:space="preserve">cache = 500 entries (1% of 50,000 keys)</w:t>
      </w:r>
      <w:r>
        <w:br/>
      </w:r>
      <w:r>
        <w:rPr>
          <w:rStyle w:val="VerbatimChar"/>
        </w:rPr>
        <w:t xml:space="preserve">  trace                    LRU        LFU        ARC  W-TinyLFU</w:t>
      </w:r>
      <w:r>
        <w:br/>
      </w:r>
      <w:r>
        <w:rPr>
          <w:rStyle w:val="VerbatimChar"/>
        </w:rPr>
        <w:t xml:space="preserve">  stationary Zipf        32.3%      42.5%      43.0%      43.5%</w:t>
      </w:r>
      <w:r>
        <w:br/>
      </w:r>
      <w:r>
        <w:rPr>
          <w:rStyle w:val="VerbatimChar"/>
        </w:rPr>
        <w:t xml:space="preserve">  Zipf + scans           25.2%      33.8%      34.3%      34.6%</w:t>
      </w:r>
      <w:r>
        <w:br/>
      </w:r>
      <w:r>
        <w:rPr>
          <w:rStyle w:val="VerbatimChar"/>
        </w:rPr>
        <w:t xml:space="preserve">  shifting Zipf          32.1%      14.8%      42.1%      41.9%</w:t>
      </w:r>
      <w:r>
        <w:br/>
      </w:r>
      <w:r>
        <w:rPr>
          <w:rStyle w:val="VerbatimChar"/>
        </w:rPr>
        <w:t xml:space="preserve">cache = 2,500 entries (5% of 50,000 keys)</w:t>
      </w:r>
      <w:r>
        <w:br/>
      </w:r>
      <w:r>
        <w:rPr>
          <w:rStyle w:val="VerbatimChar"/>
        </w:rPr>
        <w:t xml:space="preserve">  trace                    LRU        LFU        ARC  W-TinyLFU</w:t>
      </w:r>
      <w:r>
        <w:br/>
      </w:r>
      <w:r>
        <w:rPr>
          <w:rStyle w:val="VerbatimChar"/>
        </w:rPr>
        <w:t xml:space="preserve">  stationary Zipf        50.1%      58.3%      58.3%      59.4%</w:t>
      </w:r>
      <w:r>
        <w:br/>
      </w:r>
      <w:r>
        <w:rPr>
          <w:rStyle w:val="VerbatimChar"/>
        </w:rPr>
        <w:t xml:space="preserve">  Zipf + scans           36.4%      46.2%      46.9%      47.1%</w:t>
      </w:r>
      <w:r>
        <w:br/>
      </w:r>
      <w:r>
        <w:rPr>
          <w:rStyle w:val="VerbatimChar"/>
        </w:rPr>
        <w:t xml:space="preserve">  shifting Zipf          49.7%      33.3%      55.7%      54.2%</w:t>
      </w:r>
    </w:p>
    <w:p>
      <w:pPr>
        <w:pStyle w:val="FirstParagraph"/>
      </w:pPr>
      <w:r>
        <w:t xml:space="preserve">What to notice:</w:t>
      </w:r>
    </w:p>
    <w:p>
      <w:pPr>
        <w:numPr>
          <w:ilvl w:val="0"/>
          <w:numId w:val="1667"/>
        </w:numPr>
        <w:pStyle w:val="Compact"/>
      </w:pPr>
      <w:r>
        <w:t xml:space="preserve">On the stationary trace the ideal top-</w:t>
      </w:r>
      <m:oMath>
        <m:r>
          <m:t>C</m:t>
        </m:r>
      </m:oMath>
      <w:r>
        <w:t xml:space="preserve"> </w:t>
      </w:r>
      <w:r>
        <w:t xml:space="preserve">hit ratios are 45.8% (1%) and 62.0% (5%). W-TinyLFU gets within 2.5 points of ideal; LRU is 12–13 points behind.</w:t>
      </w:r>
    </w:p>
    <w:p>
      <w:pPr>
        <w:numPr>
          <w:ilvl w:val="0"/>
          <w:numId w:val="1667"/>
        </w:numPr>
        <w:pStyle w:val="Compact"/>
      </w:pPr>
      <w:r>
        <w:t xml:space="preserve">Scans hurt LRU most (−7 to −14 points); in this trace 20% of requests are unrepeatable scan keys, so 80% of the ideal, about 36.6% at 1%, is the ceiling, and ARC and W-TinyLFU reach about 34%.</w:t>
      </w:r>
    </w:p>
    <w:p>
      <w:pPr>
        <w:numPr>
          <w:ilvl w:val="0"/>
          <w:numId w:val="1667"/>
        </w:numPr>
        <w:pStyle w:val="Compact"/>
      </w:pPr>
      <w:r>
        <w:t xml:space="preserve">In-cache LFU collapses on the shifting trace (14.8%) because entries that were hot in an earlier phase keep their high counts. Aging in W-TinyLFU and adaptation in ARC avoid this.</w:t>
      </w:r>
    </w:p>
    <w:p>
      <w:pPr>
        <w:numPr>
          <w:ilvl w:val="0"/>
          <w:numId w:val="1667"/>
        </w:numPr>
        <w:pStyle w:val="Compact"/>
      </w:pPr>
      <w:r>
        <w:t xml:space="preserve">The sketch’s hash matters. An earlier version of this program that indexed rows with Python’s tuple</w:t>
      </w:r>
      <w:r>
        <w:t xml:space="preserve"> </w:t>
      </w:r>
      <w:r>
        <w:rPr>
          <w:rStyle w:val="VerbatimChar"/>
        </w:rPr>
        <w:t xml:space="preserve">hash((row, key))</w:t>
      </w:r>
      <w:r>
        <w:t xml:space="preserve"> </w:t>
      </w:r>
      <w:r>
        <w:t xml:space="preserve">produced correlated rows and lost 2–7 points; a multiplicative hash per row fixed it (§17.3).</w:t>
      </w:r>
    </w:p>
    <w:p>
      <w:pPr>
        <w:numPr>
          <w:ilvl w:val="0"/>
          <w:numId w:val="1667"/>
        </w:numPr>
        <w:pStyle w:val="Compact"/>
      </w:pPr>
      <w:r>
        <w:t xml:space="preserve">These are synthetic traces; Caffeine’s comparisons on real traces mostly show W-TinyLFU at or near the top [Caffeine Wiki: Efficiency], but replay your own trace before switching.</w:t>
      </w:r>
    </w:p>
    <w:p>
      <w:pPr>
        <w:pStyle w:val="FirstParagraph"/>
      </w:pPr>
      <w:r>
        <w:rPr>
          <w:bCs/>
          <w:b/>
        </w:rPr>
        <w:t xml:space="preserve">Table 20.6 — Eviction and admission policies.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Policy</w:t>
            </w:r>
          </w:p>
        </w:tc>
        <w:tc>
          <w:tcPr/>
          <w:p>
            <w:pPr>
              <w:pStyle w:val="Compact"/>
              <w:jc w:val="left"/>
            </w:pPr>
            <w:r>
              <w:t xml:space="preserve">Signal</w:t>
            </w:r>
          </w:p>
        </w:tc>
        <w:tc>
          <w:tcPr/>
          <w:p>
            <w:pPr>
              <w:pStyle w:val="Compact"/>
              <w:jc w:val="left"/>
            </w:pPr>
            <w:r>
              <w:t xml:space="preserve">Scan resistant</w:t>
            </w:r>
          </w:p>
        </w:tc>
        <w:tc>
          <w:tcPr/>
          <w:p>
            <w:pPr>
              <w:pStyle w:val="Compact"/>
              <w:jc w:val="left"/>
            </w:pPr>
            <w:r>
              <w:t xml:space="preserve">Adapts to change</w:t>
            </w:r>
          </w:p>
        </w:tc>
        <w:tc>
          <w:tcPr/>
          <w:p>
            <w:pPr>
              <w:pStyle w:val="Compact"/>
              <w:jc w:val="left"/>
            </w:pPr>
            <w:r>
              <w:t xml:space="preserve">Metadata</w:t>
            </w:r>
          </w:p>
        </w:tc>
        <w:tc>
          <w:tcPr/>
          <w:p>
            <w:pPr>
              <w:pStyle w:val="Compact"/>
              <w:jc w:val="left"/>
            </w:pPr>
            <w:r>
              <w:t xml:space="preserve">Used in</w:t>
            </w:r>
          </w:p>
        </w:tc>
      </w:tr>
      <w:tr>
        <w:tc>
          <w:tcPr/>
          <w:p>
            <w:pPr>
              <w:pStyle w:val="Compact"/>
              <w:jc w:val="left"/>
            </w:pPr>
            <w:r>
              <w:t xml:space="preserve">LRU</w:t>
            </w:r>
          </w:p>
        </w:tc>
        <w:tc>
          <w:tcPr/>
          <w:p>
            <w:pPr>
              <w:pStyle w:val="Compact"/>
              <w:jc w:val="left"/>
            </w:pPr>
            <w:r>
              <w:t xml:space="preserve">Recency</w:t>
            </w:r>
          </w:p>
        </w:tc>
        <w:tc>
          <w:tcPr/>
          <w:p>
            <w:pPr>
              <w:pStyle w:val="Compact"/>
              <w:jc w:val="left"/>
            </w:pPr>
            <w:r>
              <w:t xml:space="preserve">No</w:t>
            </w:r>
          </w:p>
        </w:tc>
        <w:tc>
          <w:tcPr/>
          <w:p>
            <w:pPr>
              <w:pStyle w:val="Compact"/>
              <w:jc w:val="left"/>
            </w:pPr>
            <w:r>
              <w:t xml:space="preserve">Instantly</w:t>
            </w:r>
          </w:p>
        </w:tc>
        <w:tc>
          <w:tcPr/>
          <w:p>
            <w:pPr>
              <w:pStyle w:val="Compact"/>
              <w:jc w:val="left"/>
            </w:pPr>
            <w:r>
              <w:t xml:space="preserve">List pointers per entry</w:t>
            </w:r>
          </w:p>
        </w:tc>
        <w:tc>
          <w:tcPr/>
          <w:p>
            <w:pPr>
              <w:pStyle w:val="Compact"/>
              <w:jc w:val="left"/>
            </w:pPr>
            <w:r>
              <w:t xml:space="preserve">Defaults in many libraries</w:t>
            </w:r>
          </w:p>
        </w:tc>
      </w:tr>
      <w:tr>
        <w:tc>
          <w:tcPr/>
          <w:p>
            <w:pPr>
              <w:pStyle w:val="Compact"/>
              <w:jc w:val="left"/>
            </w:pPr>
            <w:r>
              <w:t xml:space="preserve">Sampled LRU</w:t>
            </w:r>
          </w:p>
        </w:tc>
        <w:tc>
          <w:tcPr/>
          <w:p>
            <w:pPr>
              <w:pStyle w:val="Compact"/>
              <w:jc w:val="left"/>
            </w:pPr>
            <w:r>
              <w:t xml:space="preserve">Approximate recency</w:t>
            </w:r>
          </w:p>
        </w:tc>
        <w:tc>
          <w:tcPr/>
          <w:p>
            <w:pPr>
              <w:pStyle w:val="Compact"/>
              <w:jc w:val="left"/>
            </w:pPr>
            <w:r>
              <w:t xml:space="preserve">No</w:t>
            </w:r>
          </w:p>
        </w:tc>
        <w:tc>
          <w:tcPr/>
          <w:p>
            <w:pPr>
              <w:pStyle w:val="Compact"/>
              <w:jc w:val="left"/>
            </w:pPr>
            <w:r>
              <w:t xml:space="preserve">Instantly</w:t>
            </w:r>
          </w:p>
        </w:tc>
        <w:tc>
          <w:tcPr/>
          <w:p>
            <w:pPr>
              <w:pStyle w:val="Compact"/>
              <w:jc w:val="left"/>
            </w:pPr>
            <w:r>
              <w:t xml:space="preserve">24-bit clock per key</w:t>
            </w:r>
          </w:p>
        </w:tc>
        <w:tc>
          <w:tcPr/>
          <w:p>
            <w:pPr>
              <w:pStyle w:val="Compact"/>
              <w:jc w:val="left"/>
            </w:pPr>
            <w:r>
              <w:t xml:space="preserve">Redis</w:t>
            </w:r>
            <w:r>
              <w:t xml:space="preserve"> </w:t>
            </w:r>
            <w:r>
              <w:rPr>
                <w:rStyle w:val="VerbatimChar"/>
              </w:rPr>
              <w:t xml:space="preserve">allkeys-lru</w:t>
            </w:r>
          </w:p>
        </w:tc>
      </w:tr>
      <w:tr>
        <w:tc>
          <w:tcPr/>
          <w:p>
            <w:pPr>
              <w:pStyle w:val="Compact"/>
              <w:jc w:val="left"/>
            </w:pPr>
            <w:r>
              <w:t xml:space="preserve">LFU with decay</w:t>
            </w:r>
          </w:p>
        </w:tc>
        <w:tc>
          <w:tcPr/>
          <w:p>
            <w:pPr>
              <w:pStyle w:val="Compact"/>
              <w:jc w:val="left"/>
            </w:pPr>
            <w:r>
              <w:t xml:space="preserve">Frequency</w:t>
            </w:r>
          </w:p>
        </w:tc>
        <w:tc>
          <w:tcPr/>
          <w:p>
            <w:pPr>
              <w:pStyle w:val="Compact"/>
              <w:jc w:val="left"/>
            </w:pPr>
            <w:r>
              <w:t xml:space="preserve">Yes</w:t>
            </w:r>
          </w:p>
        </w:tc>
        <w:tc>
          <w:tcPr/>
          <w:p>
            <w:pPr>
              <w:pStyle w:val="Compact"/>
              <w:jc w:val="left"/>
            </w:pPr>
            <w:r>
              <w:t xml:space="preserve">Slowly</w:t>
            </w:r>
          </w:p>
        </w:tc>
        <w:tc>
          <w:tcPr/>
          <w:p>
            <w:pPr>
              <w:pStyle w:val="Compact"/>
              <w:jc w:val="left"/>
            </w:pPr>
            <w:r>
              <w:t xml:space="preserve">Counter per entry</w:t>
            </w:r>
          </w:p>
        </w:tc>
        <w:tc>
          <w:tcPr/>
          <w:p>
            <w:pPr>
              <w:pStyle w:val="Compact"/>
              <w:jc w:val="left"/>
            </w:pPr>
            <w:r>
              <w:t xml:space="preserve">Redis</w:t>
            </w:r>
            <w:r>
              <w:t xml:space="preserve"> </w:t>
            </w:r>
            <w:r>
              <w:rPr>
                <w:rStyle w:val="VerbatimChar"/>
              </w:rPr>
              <w:t xml:space="preserve">allkeys-lfu</w:t>
            </w:r>
          </w:p>
        </w:tc>
      </w:tr>
      <w:tr>
        <w:tc>
          <w:tcPr/>
          <w:p>
            <w:pPr>
              <w:pStyle w:val="Compact"/>
              <w:jc w:val="left"/>
            </w:pPr>
            <w:r>
              <w:t xml:space="preserve">Segmented LRU</w:t>
            </w:r>
          </w:p>
        </w:tc>
        <w:tc>
          <w:tcPr/>
          <w:p>
            <w:pPr>
              <w:pStyle w:val="Compact"/>
              <w:jc w:val="left"/>
            </w:pPr>
            <w:r>
              <w:t xml:space="preserve">Recency with probation</w:t>
            </w:r>
          </w:p>
        </w:tc>
        <w:tc>
          <w:tcPr/>
          <w:p>
            <w:pPr>
              <w:pStyle w:val="Compact"/>
              <w:jc w:val="left"/>
            </w:pPr>
            <w:r>
              <w:t xml:space="preserve">Partly</w:t>
            </w:r>
          </w:p>
        </w:tc>
        <w:tc>
          <w:tcPr/>
          <w:p>
            <w:pPr>
              <w:pStyle w:val="Compact"/>
              <w:jc w:val="left"/>
            </w:pPr>
            <w:r>
              <w:t xml:space="preserve">Quickly</w:t>
            </w:r>
          </w:p>
        </w:tc>
        <w:tc>
          <w:tcPr/>
          <w:p>
            <w:pPr>
              <w:pStyle w:val="Compact"/>
              <w:jc w:val="left"/>
            </w:pPr>
            <w:r>
              <w:t xml:space="preserve">Segment flag</w:t>
            </w:r>
          </w:p>
        </w:tc>
        <w:tc>
          <w:tcPr/>
          <w:p>
            <w:pPr>
              <w:pStyle w:val="Compact"/>
              <w:jc w:val="left"/>
            </w:pPr>
            <w:r>
              <w:t xml:space="preserve">Memcached (HOT/WARM/COLD), InnoDB midpoint</w:t>
            </w:r>
          </w:p>
        </w:tc>
      </w:tr>
      <w:tr>
        <w:tc>
          <w:tcPr/>
          <w:p>
            <w:pPr>
              <w:pStyle w:val="Compact"/>
              <w:jc w:val="left"/>
            </w:pPr>
            <w:r>
              <w:t xml:space="preserve">ARC</w:t>
            </w:r>
          </w:p>
        </w:tc>
        <w:tc>
          <w:tcPr/>
          <w:p>
            <w:pPr>
              <w:pStyle w:val="Compact"/>
              <w:jc w:val="left"/>
            </w:pPr>
            <w:r>
              <w:t xml:space="preserve">Recency and frequency, self-tuning</w:t>
            </w:r>
          </w:p>
        </w:tc>
        <w:tc>
          <w:tcPr/>
          <w:p>
            <w:pPr>
              <w:pStyle w:val="Compact"/>
              <w:jc w:val="left"/>
            </w:pPr>
            <w:r>
              <w:t xml:space="preserve">Yes</w:t>
            </w:r>
          </w:p>
        </w:tc>
        <w:tc>
          <w:tcPr/>
          <w:p>
            <w:pPr>
              <w:pStyle w:val="Compact"/>
              <w:jc w:val="left"/>
            </w:pPr>
            <w:r>
              <w:t xml:space="preserve">Yes</w:t>
            </w:r>
          </w:p>
        </w:tc>
        <w:tc>
          <w:tcPr/>
          <w:p>
            <w:pPr>
              <w:pStyle w:val="Compact"/>
              <w:jc w:val="left"/>
            </w:pPr>
            <w:r>
              <w:t xml:space="preserve">Ghost keys for</w:t>
            </w:r>
            <w:r>
              <w:t xml:space="preserve"> </w:t>
            </w:r>
            <m:oMath>
              <m:r>
                <m:t>2</m:t>
              </m:r>
              <m:r>
                <m:t>C</m:t>
              </m:r>
            </m:oMath>
            <w:r>
              <w:t xml:space="preserve"> </w:t>
            </w:r>
            <w:r>
              <w:t xml:space="preserve">entries</w:t>
            </w:r>
          </w:p>
        </w:tc>
        <w:tc>
          <w:tcPr/>
          <w:p>
            <w:pPr>
              <w:pStyle w:val="Compact"/>
              <w:jc w:val="left"/>
            </w:pPr>
            <w:r>
              <w:t xml:space="preserve">OpenZFS (modified)</w:t>
            </w:r>
          </w:p>
        </w:tc>
      </w:tr>
      <w:tr>
        <w:tc>
          <w:tcPr/>
          <w:p>
            <w:pPr>
              <w:pStyle w:val="Compact"/>
              <w:jc w:val="left"/>
            </w:pPr>
            <w:r>
              <w:t xml:space="preserve">W-TinyLFU</w:t>
            </w:r>
          </w:p>
        </w:tc>
        <w:tc>
          <w:tcPr/>
          <w:p>
            <w:pPr>
              <w:pStyle w:val="Compact"/>
              <w:jc w:val="left"/>
            </w:pPr>
            <w:r>
              <w:t xml:space="preserve">Frequency-based admission plus recency</w:t>
            </w:r>
          </w:p>
        </w:tc>
        <w:tc>
          <w:tcPr/>
          <w:p>
            <w:pPr>
              <w:pStyle w:val="Compact"/>
              <w:jc w:val="left"/>
            </w:pPr>
            <w:r>
              <w:t xml:space="preserve">Yes</w:t>
            </w:r>
          </w:p>
        </w:tc>
        <w:tc>
          <w:tcPr/>
          <w:p>
            <w:pPr>
              <w:pStyle w:val="Compact"/>
              <w:jc w:val="left"/>
            </w:pPr>
            <w:r>
              <w:t xml:space="preserve">Yes (aging, adaptive window)</w:t>
            </w:r>
          </w:p>
        </w:tc>
        <w:tc>
          <w:tcPr/>
          <w:p>
            <w:pPr>
              <w:pStyle w:val="Compact"/>
              <w:jc w:val="left"/>
            </w:pPr>
            <w:r>
              <w:t xml:space="preserve">~8 bytes per entry sketch</w:t>
            </w:r>
          </w:p>
        </w:tc>
        <w:tc>
          <w:tcPr/>
          <w:p>
            <w:pPr>
              <w:pStyle w:val="Compact"/>
              <w:jc w:val="left"/>
            </w:pPr>
            <w:r>
              <w:t xml:space="preserve">Caffeine</w:t>
            </w:r>
          </w:p>
        </w:tc>
      </w:tr>
    </w:tbl>
    <w:bookmarkEnd w:id="2321"/>
    <w:bookmarkEnd w:id="2322"/>
    <w:bookmarkStart w:id="2329" w:name="cache-invalidation"/>
    <w:p>
      <w:pPr>
        <w:pStyle w:val="Heading2"/>
      </w:pPr>
      <w:r>
        <w:t xml:space="preserve">20.10 Cache invalidation</w:t>
      </w:r>
    </w:p>
    <w:p>
      <w:pPr>
        <w:pStyle w:val="FirstParagraph"/>
      </w:pPr>
      <w:r>
        <w:t xml:space="preserve">Invalidation keeps copies from outliving the truth. There are four mechanisms, and serious systems combine them.</w:t>
      </w:r>
    </w:p>
    <w:bookmarkStart w:id="2323" w:name="ttl-and-explicit-deletes"/>
    <w:p>
      <w:pPr>
        <w:pStyle w:val="Heading3"/>
      </w:pPr>
      <w:r>
        <w:t xml:space="preserve">20.10.1 TTL and explicit deletes</w:t>
      </w:r>
    </w:p>
    <w:p>
      <w:pPr>
        <w:pStyle w:val="FirstParagraph"/>
      </w:pPr>
      <w:r>
        <w:rPr>
          <w:bCs/>
          <w:b/>
        </w:rPr>
        <w:t xml:space="preserve">TTL-only</w:t>
      </w:r>
      <w:r>
        <w:t xml:space="preserve"> </w:t>
      </w:r>
      <w:r>
        <w:t xml:space="preserve">invalidation is simple and self-healing but guarantees staleness up to the TTL.</w:t>
      </w:r>
      <w:r>
        <w:t xml:space="preserve"> </w:t>
      </w:r>
      <w:r>
        <w:rPr>
          <w:bCs/>
          <w:b/>
        </w:rPr>
        <w:t xml:space="preserve">Explicit deletes</w:t>
      </w:r>
      <w:r>
        <w:t xml:space="preserve"> </w:t>
      </w:r>
      <w:r>
        <w:t xml:space="preserve">from the code path that writes (cache-aside, §20.7.1) make data fresh within milliseconds, but every write path must remember to delete every affected key: the profile, the list it appears in, the rendered page fragment. A missed path is a staleness bug that the TTL eventually hides, which is why you always keep a TTL as a backstop.</w:t>
      </w:r>
    </w:p>
    <w:bookmarkEnd w:id="2323"/>
    <w:bookmarkStart w:id="2327" w:name="Xdac2ab68055e8e2da24f34bd5e7a0bf2fa3dad6"/>
    <w:p>
      <w:pPr>
        <w:pStyle w:val="Heading3"/>
      </w:pPr>
      <w:r>
        <w:t xml:space="preserve">20.10.2 Event-driven invalidation from the change stream</w:t>
      </w:r>
    </w:p>
    <w:p>
      <w:pPr>
        <w:pStyle w:val="FirstParagraph"/>
      </w:pPr>
      <w:r>
        <w:t xml:space="preserve">Instead of trusting every writer, derive deletes from the database’s own log. A</w:t>
      </w:r>
      <w:r>
        <w:t xml:space="preserve"> </w:t>
      </w:r>
      <w:r>
        <w:rPr>
          <w:bCs/>
          <w:b/>
        </w:rPr>
        <w:t xml:space="preserve">change data capture</w:t>
      </w:r>
      <w:r>
        <w:t xml:space="preserve"> </w:t>
      </w:r>
      <w:r>
        <w:t xml:space="preserve">(CDC) process tails the commit log (MySQL binlog, PostgreSQL logical decoding, §32.6), maps each changed row to cache keys and issues deletes. Because the log contains only committed changes, in commit order, nothing is invalidated too early and no application crash can skip an invalidation.</w:t>
      </w:r>
    </w:p>
    <w:p>
      <w:pPr>
        <w:pStyle w:val="BodyText"/>
      </w:pPr>
      <w:r>
        <w:rPr>
          <w:bCs/>
          <w:b/>
        </w:rPr>
        <w:t xml:space="preserve">Figure 20.13 — CDC-driven invalidation across regions (after Facebook’s mcsqueal).</w:t>
      </w:r>
    </w:p>
    <w:p>
      <w:pPr>
        <w:pStyle w:val="BodyText"/>
      </w:pPr>
      <w:r>
        <w:drawing>
          <wp:inline>
            <wp:extent cx="5334000" cy="1440223"/>
            <wp:effectExtent b="0" l="0" r="0" t="0"/>
            <wp:docPr descr="" title="" id="2325" name="Picture"/>
            <a:graphic>
              <a:graphicData uri="http://schemas.openxmlformats.org/drawingml/2006/picture">
                <pic:pic>
                  <pic:nvPicPr>
                    <pic:cNvPr descr="/home/user/System-Design/build/.cache/diagrams/e2165460ded7.png" id="2326" name="Picture"/>
                    <pic:cNvPicPr>
                      <a:picLocks noChangeArrowheads="1" noChangeAspect="1"/>
                    </pic:cNvPicPr>
                  </pic:nvPicPr>
                  <pic:blipFill>
                    <a:blip r:embed="rId2324"/>
                    <a:stretch>
                      <a:fillRect/>
                    </a:stretch>
                  </pic:blipFill>
                  <pic:spPr bwMode="auto">
                    <a:xfrm>
                      <a:off x="0" y="0"/>
                      <a:ext cx="5334000" cy="1440223"/>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web server writes only to the database (synchronous). A daemon on the database host reads the commit log, extracts keys, batches them and sends deletes asynchronously (dotted) through a router to every cache cluster. In another region the replica’s own log drives deletes, so local caches are invalidated only after the replica has the new data. Storage boundaries: database, log, cache clusters. Failure points: daemon lag, lost batches (replay from the log position) and deletes overtaking replication (hence per-region daemons). Scaling: batching reduces packet rates.</w:t>
      </w:r>
    </w:p>
    <w:p>
      <w:pPr>
        <w:pStyle w:val="CalloutIndustry"/>
      </w:pPr>
      <w:r>
        <w:rPr>
          <w:bCs/>
          <w:b/>
        </w:rPr>
        <w:t xml:space="preserve">INDUSTRY EXAMPLE</w:t>
      </w:r>
    </w:p>
    <w:p>
      <w:pPr>
        <w:pStyle w:val="CalloutIndustry"/>
      </w:pPr>
      <w:r>
        <w:rPr>
          <w:bCs/>
          <w:b/>
        </w:rPr>
        <w:t xml:space="preserve">Facebook: mcsqueal and leases.</w:t>
      </w:r>
      <w:r>
        <w:t xml:space="preserve"> </w:t>
      </w:r>
      <w:r>
        <w:t xml:space="preserve">Facebook’s Memcache deployment served billions of requests per second as a demand-filled look-aside cache in front of MySQL. Invalidation daemons called</w:t>
      </w:r>
      <w:r>
        <w:t xml:space="preserve"> </w:t>
      </w:r>
      <w:r>
        <w:rPr>
          <w:bCs/>
          <w:b/>
        </w:rPr>
        <w:t xml:space="preserve">mcsqueal</w:t>
      </w:r>
      <w:r>
        <w:t xml:space="preserve"> </w:t>
      </w:r>
      <w:r>
        <w:t xml:space="preserve">run on each database, extract deletes from committed transactions and broadcast them, batched, through</w:t>
      </w:r>
      <w:r>
        <w:t xml:space="preserve"> </w:t>
      </w:r>
      <w:r>
        <w:rPr>
          <w:bCs/>
          <w:b/>
        </w:rPr>
        <w:t xml:space="preserve">mcrouter</w:t>
      </w:r>
      <w:r>
        <w:t xml:space="preserve"> </w:t>
      </w:r>
      <w:r>
        <w:t xml:space="preserve">to all front-end clusters; in remote regions the replica’s daemons do the same.</w:t>
      </w:r>
      <w:r>
        <w:t xml:space="preserve"> </w:t>
      </w:r>
      <w:r>
        <w:rPr>
          <w:bCs/>
          <w:b/>
        </w:rPr>
        <w:t xml:space="preserve">Leases</w:t>
      </w:r>
      <w:r>
        <w:t xml:space="preserve"> </w:t>
      </w:r>
      <w:r>
        <w:t xml:space="preserve">(64-bit tokens issued on a miss and voided by a delete) prevent stale sets, and, because a server returns a token only once every 10 seconds per key, they also throttle thundering herds; the paper reports a peak database query rate falling from 17K/s to 1.3K/s in one instance. A small</w:t>
      </w:r>
      <w:r>
        <w:t xml:space="preserve"> </w:t>
      </w:r>
      <w:r>
        <w:rPr>
          <w:bCs/>
          <w:b/>
        </w:rPr>
        <w:t xml:space="preserve">gutter</w:t>
      </w:r>
      <w:r>
        <w:t xml:space="preserve"> </w:t>
      </w:r>
      <w:r>
        <w:t xml:space="preserve">pool (about 1% of servers) takes over for failed cache servers with short TTLs, so a failure does not dump its load onto the databases [Nishtala et al. 2013].</w:t>
      </w:r>
      <w:r>
        <w:t xml:space="preserve"> </w:t>
      </w:r>
      <w:r>
        <w:rPr>
          <w:iCs/>
          <w:i/>
        </w:rPr>
        <w:t xml:space="preserve">Evidence: Primary</w:t>
      </w:r>
      <w:r>
        <w:t xml:space="preserve"> </w:t>
      </w:r>
      <w:r>
        <w:t xml:space="preserve">— [Nishtala et al. 2013]</w:t>
      </w:r>
    </w:p>
    <w:bookmarkEnd w:id="2327"/>
    <w:bookmarkStart w:id="2328" w:name="versioned-keys"/>
    <w:p>
      <w:pPr>
        <w:pStyle w:val="Heading3"/>
      </w:pPr>
      <w:r>
        <w:t xml:space="preserve">20.10.3 Versioned keys</w:t>
      </w:r>
    </w:p>
    <w:p>
      <w:pPr>
        <w:pStyle w:val="FirstParagraph"/>
      </w:pPr>
      <w:r>
        <w:t xml:space="preserve">Instead of deleting, change the key. Store a version number per entity (or per namespace) and include it in every cache key:</w:t>
      </w:r>
      <w:r>
        <w:t xml:space="preserve"> </w:t>
      </w:r>
      <w:r>
        <w:rPr>
          <w:rStyle w:val="VerbatimChar"/>
        </w:rPr>
        <w:t xml:space="preserve">product:42:v17</w:t>
      </w:r>
      <w:r>
        <w:t xml:space="preserve">. A write increments the version in the database (or in a small, strongly consistent version store); readers fetch the current version, then the versioned key. Old entries become unreachable and age out by TTL or eviction. Versioned keys make invalidation of whole groups cheap (bump</w:t>
      </w:r>
      <w:r>
        <w:t xml:space="preserve"> </w:t>
      </w:r>
      <w:r>
        <w:rPr>
          <w:rStyle w:val="VerbatimChar"/>
        </w:rPr>
        <w:t xml:space="preserve">catalog_version</w:t>
      </w:r>
      <w:r>
        <w:t xml:space="preserve"> </w:t>
      </w:r>
      <w:r>
        <w:t xml:space="preserve">to invalidate every catalog page) and never suffer the stale-set race, because a stale value is written under an old key nobody reads. The cost is an extra lookup for the version and wasted memory until old versions are evicted. Content-hashed asset URLs (§20.5.2) are the same idea.</w:t>
      </w:r>
    </w:p>
    <w:p>
      <w:pPr>
        <w:pStyle w:val="CalloutMistake"/>
      </w:pPr>
      <w:r>
        <w:rPr>
          <w:bCs/>
          <w:b/>
        </w:rPr>
        <w:t xml:space="preserve">COMMON MISTAKE</w:t>
      </w:r>
    </w:p>
    <w:p>
      <w:pPr>
        <w:pStyle w:val="CalloutMistake"/>
      </w:pPr>
      <w:r>
        <w:rPr>
          <w:bCs/>
          <w:b/>
        </w:rPr>
        <w:t xml:space="preserve">“</w:t>
      </w:r>
      <w:r>
        <w:rPr>
          <w:bCs/>
          <w:b/>
        </w:rPr>
        <w:t xml:space="preserve">There are only two hard things in computer science: cache invalidation and naming things.</w:t>
      </w:r>
      <w:r>
        <w:rPr>
          <w:bCs/>
          <w:b/>
        </w:rPr>
        <w:t xml:space="preserve">”</w:t>
      </w:r>
      <w:r>
        <w:t xml:space="preserve"> </w:t>
      </w:r>
      <w:r>
        <w:t xml:space="preserve">The quip, usually attributed to Phil Karlton, is often used to excuse not designing invalidation. The hard part is enumerating which keys depend on which rows. Write the dependency down: for each cached object, list the tables and columns it is derived from and the mechanism (TTL, delete, CDC, version) that invalidates it.</w:t>
      </w:r>
    </w:p>
    <w:bookmarkEnd w:id="2328"/>
    <w:bookmarkEnd w:id="2329"/>
    <w:bookmarkStart w:id="2336" w:name="cache-stampede"/>
    <w:p>
      <w:pPr>
        <w:pStyle w:val="Heading2"/>
      </w:pPr>
      <w:r>
        <w:t xml:space="preserve">20.11 Cache stampede</w:t>
      </w:r>
    </w:p>
    <w:p>
      <w:pPr>
        <w:pStyle w:val="CalloutDefinition"/>
      </w:pPr>
      <w:r>
        <w:rPr>
          <w:bCs/>
          <w:b/>
        </w:rPr>
        <w:t xml:space="preserve">DEFINITION</w:t>
      </w:r>
    </w:p>
    <w:p>
      <w:pPr>
        <w:pStyle w:val="CalloutDefinition"/>
      </w:pPr>
      <w:r>
        <w:rPr>
          <w:bCs/>
          <w:b/>
        </w:rPr>
        <w:t xml:space="preserve">Definition — Cache stampede (thundering herd, dog-piling).</w:t>
      </w:r>
      <w:r>
        <w:t xml:space="preserve"> </w:t>
      </w:r>
      <w:r>
        <w:t xml:space="preserve">When a popular entry expires or is evicted, many concurrent requests miss at once and all recompute or reload it, multiplying load on the backend exactly when it is busiest.</w:t>
      </w:r>
    </w:p>
    <w:p>
      <w:pPr>
        <w:pStyle w:val="BodyText"/>
      </w:pPr>
      <w:r>
        <w:t xml:space="preserve">If a key is read</w:t>
      </w:r>
      <w:r>
        <w:t xml:space="preserve"> </w:t>
      </w:r>
      <m:oMath>
        <m:r>
          <m:t>λ</m:t>
        </m:r>
      </m:oMath>
      <w:r>
        <w:t xml:space="preserve"> </w:t>
      </w:r>
      <w:r>
        <w:t xml:space="preserve">times per second and recomputing it takes</w:t>
      </w:r>
      <w:r>
        <w:t xml:space="preserve"> </w:t>
      </w:r>
      <m:oMath>
        <m:r>
          <m:t>δ</m:t>
        </m:r>
      </m:oMath>
      <w:r>
        <w:t xml:space="preserve"> </w:t>
      </w:r>
      <w:r>
        <w:t xml:space="preserve">seconds, about</w:t>
      </w:r>
      <w:r>
        <w:t xml:space="preserve"> </w:t>
      </w:r>
      <m:oMath>
        <m:r>
          <m:t>λ</m:t>
        </m:r>
        <m:r>
          <m:t>δ</m:t>
        </m:r>
      </m:oMath>
      <w:r>
        <w:t xml:space="preserve"> </w:t>
      </w:r>
      <w:r>
        <w:t xml:space="preserve">requests miss before the first refill lands. For</w:t>
      </w:r>
      <w:r>
        <w:t xml:space="preserve"> </w:t>
      </w:r>
      <m:oMath>
        <m:r>
          <m:t>λ</m:t>
        </m:r>
        <m:r>
          <m:rPr>
            <m:sty m:val="p"/>
          </m:rPr>
          <m:t>=</m:t>
        </m:r>
        <m:r>
          <m:t>2</m:t>
        </m:r>
        <m:r>
          <m:rPr>
            <m:sty m:val="p"/>
          </m:rPr>
          <m:t>,</m:t>
        </m:r>
        <m:r>
          <m:t>000</m:t>
        </m:r>
      </m:oMath>
      <w:r>
        <w:t xml:space="preserve"> </w:t>
      </w:r>
      <w:r>
        <w:t xml:space="preserve">requests/s and a 500 ms query, that is 1,000 identical queries.</w:t>
      </w:r>
    </w:p>
    <w:bookmarkStart w:id="2333" w:name="locks-leases-and-single-flight"/>
    <w:p>
      <w:pPr>
        <w:pStyle w:val="Heading3"/>
      </w:pPr>
      <w:r>
        <w:t xml:space="preserve">20.11.1 Locks, leases and single-flight</w:t>
      </w:r>
    </w:p>
    <w:p>
      <w:pPr>
        <w:pStyle w:val="FirstParagraph"/>
      </w:pPr>
      <w:r>
        <w:t xml:space="preserve">Let one request recompute and make the others wait or use a stale copy.</w:t>
      </w:r>
    </w:p>
    <w:p>
      <w:pPr>
        <w:numPr>
          <w:ilvl w:val="0"/>
          <w:numId w:val="1668"/>
        </w:numPr>
        <w:pStyle w:val="Compact"/>
      </w:pPr>
      <w:r>
        <w:rPr>
          <w:bCs/>
          <w:b/>
        </w:rPr>
        <w:t xml:space="preserve">Single-flight (request coalescing)</w:t>
      </w:r>
      <w:r>
        <w:t xml:space="preserve"> </w:t>
      </w:r>
      <w:r>
        <w:t xml:space="preserve">inside a process: concurrent misses for a key share one in-flight load (Go’s</w:t>
      </w:r>
      <w:r>
        <w:t xml:space="preserve"> </w:t>
      </w:r>
      <w:r>
        <w:rPr>
          <w:rStyle w:val="VerbatimChar"/>
        </w:rPr>
        <w:t xml:space="preserve">singleflight</w:t>
      </w:r>
      <w:r>
        <w:t xml:space="preserve">, Caffeine’s</w:t>
      </w:r>
      <w:r>
        <w:t xml:space="preserve"> </w:t>
      </w:r>
      <w:r>
        <w:rPr>
          <w:rStyle w:val="VerbatimChar"/>
        </w:rPr>
        <w:t xml:space="preserve">LoadingCache</w:t>
      </w:r>
      <w:r>
        <w:t xml:space="preserve">). Across</w:t>
      </w:r>
      <w:r>
        <w:t xml:space="preserve"> </w:t>
      </w:r>
      <m:oMath>
        <m:r>
          <m:t>A</m:t>
        </m:r>
      </m:oMath>
      <w:r>
        <w:t xml:space="preserve"> </w:t>
      </w:r>
      <w:r>
        <w:t xml:space="preserve">app instances this still allows</w:t>
      </w:r>
      <w:r>
        <w:t xml:space="preserve"> </w:t>
      </w:r>
      <m:oMath>
        <m:r>
          <m:t>A</m:t>
        </m:r>
      </m:oMath>
      <w:r>
        <w:t xml:space="preserve"> </w:t>
      </w:r>
      <w:r>
        <w:t xml:space="preserve">loads.</w:t>
      </w:r>
    </w:p>
    <w:p>
      <w:pPr>
        <w:numPr>
          <w:ilvl w:val="0"/>
          <w:numId w:val="1668"/>
        </w:numPr>
        <w:pStyle w:val="Compact"/>
      </w:pPr>
      <w:r>
        <w:rPr>
          <w:bCs/>
          <w:b/>
        </w:rPr>
        <w:t xml:space="preserve">Distributed lock</w:t>
      </w:r>
      <w:r>
        <w:t xml:space="preserve">: the first misser sets</w:t>
      </w:r>
      <w:r>
        <w:t xml:space="preserve"> </w:t>
      </w:r>
      <w:r>
        <w:rPr>
          <w:rStyle w:val="VerbatimChar"/>
        </w:rPr>
        <w:t xml:space="preserve">SET lock:k token NX PX 3000</w:t>
      </w:r>
      <w:r>
        <w:t xml:space="preserve">; others wait briefly and retry the cache, or serve stale data. The lock needs a timeout in case the holder dies (§26.10).</w:t>
      </w:r>
    </w:p>
    <w:p>
      <w:pPr>
        <w:numPr>
          <w:ilvl w:val="0"/>
          <w:numId w:val="1668"/>
        </w:numPr>
        <w:pStyle w:val="Compact"/>
      </w:pPr>
      <w:r>
        <w:rPr>
          <w:bCs/>
          <w:b/>
        </w:rPr>
        <w:t xml:space="preserve">Leases</w:t>
      </w:r>
      <w:r>
        <w:t xml:space="preserve"> </w:t>
      </w:r>
      <w:r>
        <w:t xml:space="preserve">in Memcache (§20.10.2): the cache itself hands out one token per key per interval and tells other clients to retry shortly.</w:t>
      </w:r>
    </w:p>
    <w:p>
      <w:pPr>
        <w:pStyle w:val="FirstParagraph"/>
      </w:pPr>
      <w:r>
        <w:rPr>
          <w:bCs/>
          <w:b/>
        </w:rPr>
        <w:t xml:space="preserve">Figure 20.14 — Stampede protection with a lease: one recompute, others wait or serve stale.</w:t>
      </w:r>
    </w:p>
    <w:p>
      <w:pPr>
        <w:pStyle w:val="BodyText"/>
      </w:pPr>
      <w:r>
        <w:drawing>
          <wp:inline>
            <wp:extent cx="5334000" cy="3309003"/>
            <wp:effectExtent b="0" l="0" r="0" t="0"/>
            <wp:docPr descr="" title="" id="2331" name="Picture"/>
            <a:graphic>
              <a:graphicData uri="http://schemas.openxmlformats.org/drawingml/2006/picture">
                <pic:pic>
                  <pic:nvPicPr>
                    <pic:cNvPr descr="/home/user/System-Design/build/.cache/diagrams/b3239408499a.png" id="2332" name="Picture"/>
                    <pic:cNvPicPr>
                      <a:picLocks noChangeArrowheads="1" noChangeAspect="1"/>
                    </pic:cNvPicPr>
                  </pic:nvPicPr>
                  <pic:blipFill>
                    <a:blip r:embed="rId2330"/>
                    <a:stretch>
                      <a:fillRect/>
                    </a:stretch>
                  </pic:blipFill>
                  <pic:spPr bwMode="auto">
                    <a:xfrm>
                      <a:off x="0" y="0"/>
                      <a:ext cx="5334000" cy="3309003"/>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Only the first misser gets a lease token; later missers are told to retry (or get a stale value), so only A queries the database. The</w:t>
      </w:r>
      <w:r>
        <w:t xml:space="preserve"> </w:t>
      </w:r>
      <w:r>
        <w:rPr>
          <w:rStyle w:val="VerbatimChar"/>
        </w:rPr>
        <w:t xml:space="preserve">SET</w:t>
      </w:r>
      <w:r>
        <w:t xml:space="preserve"> </w:t>
      </w:r>
      <w:r>
        <w:t xml:space="preserve">needs a valid token, which also blocks the stale-set race of Figure 20.7. All calls are synchronous. Failure points: if A dies, its token expires and another client gets one; waiting adds latency. Scaling: one database query per refresh regardless of</w:t>
      </w:r>
      <w:r>
        <w:t xml:space="preserve"> </w:t>
      </w:r>
      <m:oMath>
        <m:r>
          <m:t>λ</m:t>
        </m:r>
      </m:oMath>
      <w:r>
        <w:t xml:space="preserve">.</w:t>
      </w:r>
    </w:p>
    <w:bookmarkEnd w:id="2333"/>
    <w:bookmarkStart w:id="2334" w:name="probabilistic-early-expiration-xfetch"/>
    <w:p>
      <w:pPr>
        <w:pStyle w:val="Heading3"/>
      </w:pPr>
      <w:r>
        <w:t xml:space="preserve">20.11.2 Probabilistic early expiration (XFetch)</w:t>
      </w:r>
    </w:p>
    <w:p>
      <w:pPr>
        <w:pStyle w:val="FirstParagraph"/>
      </w:pPr>
      <w:r>
        <w:t xml:space="preserve">Locks add coordination.</w:t>
      </w:r>
      <w:r>
        <w:t xml:space="preserve"> </w:t>
      </w:r>
      <w:r>
        <w:rPr>
          <w:bCs/>
          <w:b/>
        </w:rPr>
        <w:t xml:space="preserve">XFetch</w:t>
      </w:r>
      <w:r>
        <w:t xml:space="preserve"> </w:t>
      </w:r>
      <w:r>
        <w:t xml:space="preserve">avoids it: each reader independently decides, with a probability that rises as expiry approaches, to recompute</w:t>
      </w:r>
      <w:r>
        <w:t xml:space="preserve"> </w:t>
      </w:r>
      <w:r>
        <w:rPr>
          <w:iCs/>
          <w:i/>
        </w:rPr>
        <w:t xml:space="preserve">before</w:t>
      </w:r>
      <w:r>
        <w:t xml:space="preserve"> </w:t>
      </w:r>
      <w:r>
        <w:t xml:space="preserve">the entry expires, while everyone else keeps getting hits [Vattani, Chierichetti &amp; Lowenstein 2015].</w:t>
      </w:r>
    </w:p>
    <w:p>
      <w:pPr>
        <w:pStyle w:val="CalloutFormula"/>
      </w:pPr>
      <w:r>
        <w:rPr>
          <w:bCs/>
          <w:b/>
        </w:rPr>
        <w:t xml:space="preserve">FORMULA</w:t>
      </w:r>
    </w:p>
    <w:p>
      <w:pPr>
        <w:pStyle w:val="CalloutFormula"/>
      </w:pPr>
      <w:r>
        <w:rPr>
          <w:bCs/>
          <w:b/>
        </w:rPr>
        <w:t xml:space="preserve">XFetch early-recomputation rule and its consequences (Poisson arrivals)</w:t>
      </w:r>
    </w:p>
    <w:p>
      <w:pPr>
        <w:pStyle w:val="CalloutFormula"/>
      </w:pPr>
      <m:oMathPara>
        <m:oMathParaPr>
          <m:jc m:val="center"/>
        </m:oMathParaPr>
        <m:oMath>
          <m:r>
            <m:rPr>
              <m:nor/>
              <m:sty m:val="p"/>
            </m:rPr>
            <m:t>recompute if </m:t>
          </m:r>
          <m:r>
            <m:t> </m:t>
          </m:r>
          <m:r>
            <m:t>t</m:t>
          </m:r>
          <m:r>
            <m:rPr>
              <m:sty m:val="p"/>
            </m:rPr>
            <m:t>−</m:t>
          </m:r>
          <m:r>
            <m:t>δ</m:t>
          </m:r>
          <m:r>
            <m:t> </m:t>
          </m:r>
          <m:r>
            <m:t>β</m:t>
          </m:r>
          <m:r>
            <m:t> </m:t>
          </m:r>
          <m:r>
            <m:rPr>
              <m:sty m:val="p"/>
            </m:rPr>
            <m:t>ln</m:t>
          </m:r>
          <m:d>
            <m:dPr>
              <m:begChr m:val="("/>
              <m:endChr m:val=")"/>
              <m:sepChr m:val=""/>
              <m:grow/>
            </m:dPr>
            <m:e>
              <m:r>
                <m:t>u</m:t>
              </m:r>
            </m:e>
          </m:d>
          <m:r>
            <m:rPr>
              <m:sty m:val="p"/>
            </m:rPr>
            <m:t>≥</m:t>
          </m:r>
          <m:sSub>
            <m:e>
              <m:r>
                <m:t>t</m:t>
              </m:r>
            </m:e>
            <m:sub>
              <m:r>
                <m:rPr>
                  <m:nor/>
                  <m:sty m:val="p"/>
                </m:rPr>
                <m:t>exp</m:t>
              </m:r>
            </m:sub>
          </m:sSub>
          <m:r>
            <m:rPr>
              <m:sty m:val="p"/>
            </m:rPr>
            <m:t>,</m:t>
          </m:r>
          <m:r>
            <m:t> </m:t>
          </m:r>
          <m:r>
            <m:t>u</m:t>
          </m:r>
          <m:r>
            <m:rPr>
              <m:sty m:val="p"/>
            </m:rPr>
            <m:t>∼</m:t>
          </m:r>
          <m:r>
            <m:rPr>
              <m:nor/>
              <m:sty m:val="p"/>
            </m:rPr>
            <m:t>Uniform</m:t>
          </m:r>
          <m:r>
            <m:rPr>
              <m:sty m:val="p"/>
            </m:rPr>
            <m:t>(</m:t>
          </m:r>
          <m:r>
            <m:t>0</m:t>
          </m:r>
          <m:r>
            <m:rPr>
              <m:sty m:val="p"/>
            </m:rPr>
            <m:t>,</m:t>
          </m:r>
          <m:r>
            <m:t>1</m:t>
          </m:r>
          <m:r>
            <m:rPr>
              <m:sty m:val="p"/>
            </m:rPr>
            <m:t>]</m:t>
          </m:r>
          <m:r>
            <m:t>  </m:t>
          </m:r>
          <m:r>
            <m:rPr>
              <m:sty m:val="p"/>
            </m:rPr>
            <m:t>⇒</m:t>
          </m:r>
          <m:r>
            <m:t>  </m:t>
          </m:r>
          <m:r>
            <m:t>P</m:t>
          </m:r>
          <m:d>
            <m:dPr>
              <m:begChr m:val="("/>
              <m:endChr m:val=")"/>
              <m:sepChr m:val=""/>
              <m:grow/>
            </m:dPr>
            <m:e>
              <m:r>
                <m:rPr>
                  <m:nor/>
                  <m:sty m:val="p"/>
                </m:rPr>
                <m:t>early</m:t>
              </m:r>
              <m:r>
                <m:rPr>
                  <m:sty m:val="p"/>
                </m:rPr>
                <m:t>∣</m:t>
              </m:r>
              <m:r>
                <m:t>r</m:t>
              </m:r>
            </m:e>
          </m:d>
          <m:r>
            <m:rPr>
              <m:sty m:val="p"/>
            </m:rPr>
            <m:t>=</m:t>
          </m:r>
          <m:sSup>
            <m:e>
              <m:r>
                <m:t>e</m:t>
              </m:r>
            </m:e>
            <m:sup>
              <m:r>
                <m:rPr>
                  <m:sty m:val="p"/>
                </m:rPr>
                <m:t>−</m:t>
              </m:r>
              <m:r>
                <m:t>r</m:t>
              </m:r>
              <m:r>
                <m:rPr>
                  <m:sty m:val="p"/>
                </m:rPr>
                <m:t>/</m:t>
              </m:r>
              <m:d>
                <m:dPr>
                  <m:begChr m:val="("/>
                  <m:endChr m:val=")"/>
                  <m:sepChr m:val=""/>
                  <m:grow/>
                </m:dPr>
                <m:e>
                  <m:r>
                    <m:t>δ</m:t>
                  </m:r>
                  <m:r>
                    <m:t>β</m:t>
                  </m:r>
                </m:e>
              </m:d>
            </m:sup>
          </m:sSup>
        </m:oMath>
      </m:oMathPara>
    </w:p>
    <w:p>
      <w:pPr>
        <w:pStyle w:val="CalloutFormula"/>
      </w:pPr>
      <m:oMathPara>
        <m:oMathParaPr>
          <m:jc m:val="center"/>
        </m:oMathParaPr>
        <m:oMath>
          <m:r>
            <m:rPr>
              <m:sty m:val="p"/>
              <m:scr m:val="double-struck"/>
            </m:rPr>
            <m:t>E</m:t>
          </m:r>
          <m:d>
            <m:dPr>
              <m:begChr m:val="["/>
              <m:endChr m:val="]"/>
              <m:sepChr m:val=""/>
              <m:grow/>
            </m:dPr>
            <m:e>
              <m:r>
                <m:rPr>
                  <m:nor/>
                  <m:sty m:val="p"/>
                </m:rPr>
                <m:t>lead</m:t>
              </m:r>
            </m:e>
          </m:d>
          <m:r>
            <m:rPr>
              <m:sty m:val="p"/>
            </m:rPr>
            <m:t>≈</m:t>
          </m:r>
          <m:r>
            <m:t>δ</m:t>
          </m:r>
          <m:r>
            <m:t>β</m:t>
          </m:r>
          <m:d>
            <m:dPr>
              <m:begChr m:val="("/>
              <m:endChr m:val=")"/>
              <m:sepChr m:val=""/>
              <m:grow/>
            </m:dPr>
            <m:e>
              <m:r>
                <m:rPr>
                  <m:sty m:val="p"/>
                </m:rPr>
                <m:t>ln</m:t>
              </m:r>
              <m:d>
                <m:dPr>
                  <m:begChr m:val="("/>
                  <m:endChr m:val=")"/>
                  <m:sepChr m:val=""/>
                  <m:grow/>
                </m:dPr>
                <m:e>
                  <m:r>
                    <m:t>λ</m:t>
                  </m:r>
                  <m:r>
                    <m:t>δ</m:t>
                  </m:r>
                  <m:r>
                    <m:t>β</m:t>
                  </m:r>
                </m:e>
              </m:d>
              <m:r>
                <m:rPr>
                  <m:sty m:val="p"/>
                </m:rPr>
                <m:t>+</m:t>
              </m:r>
              <m:r>
                <m:t>γ</m:t>
              </m:r>
            </m:e>
          </m:d>
          <m:r>
            <m:rPr>
              <m:sty m:val="p"/>
            </m:rPr>
            <m:t>,</m:t>
          </m:r>
          <m:r>
            <m:t>  </m:t>
          </m:r>
          <m:r>
            <m:rPr>
              <m:sty m:val="p"/>
              <m:scr m:val="double-struck"/>
            </m:rPr>
            <m:t>E</m:t>
          </m:r>
          <m:d>
            <m:dPr>
              <m:begChr m:val="["/>
              <m:endChr m:val="]"/>
              <m:sepChr m:val=""/>
              <m:grow/>
            </m:dPr>
            <m:e>
              <m:r>
                <m:rPr>
                  <m:nor/>
                  <m:sty m:val="p"/>
                </m:rPr>
                <m:t>recomputes per refresh</m:t>
              </m:r>
            </m:e>
          </m:d>
          <m:r>
            <m:rPr>
              <m:sty m:val="p"/>
            </m:rPr>
            <m:t>≈</m:t>
          </m:r>
          <m:sSup>
            <m:e>
              <m:r>
                <m:t>e</m:t>
              </m:r>
            </m:e>
            <m:sup>
              <m:r>
                <m:t>1</m:t>
              </m:r>
              <m:r>
                <m:rPr>
                  <m:sty m:val="p"/>
                </m:rPr>
                <m:t>/</m:t>
              </m:r>
              <m:r>
                <m:t>β</m:t>
              </m:r>
            </m:sup>
          </m:sSup>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t</m:t>
              </m:r>
            </m:oMath>
          </w:p>
        </w:tc>
        <w:tc>
          <w:tcPr/>
          <w:p>
            <w:pPr>
              <w:pStyle w:val="Compact"/>
              <w:jc w:val="left"/>
            </w:pPr>
            <w:r>
              <w:t xml:space="preserve">Current time</w:t>
            </w:r>
          </w:p>
        </w:tc>
        <w:tc>
          <w:tcPr/>
          <w:p>
            <w:pPr>
              <w:pStyle w:val="Compact"/>
              <w:jc w:val="left"/>
            </w:pPr>
            <w:r>
              <w:t xml:space="preserve">s</w:t>
            </w:r>
          </w:p>
        </w:tc>
      </w:tr>
      <w:tr>
        <w:tc>
          <w:tcPr/>
          <w:p>
            <w:pPr>
              <w:pStyle w:val="Compact"/>
              <w:jc w:val="left"/>
            </w:pPr>
            <m:oMath>
              <m:sSub>
                <m:e>
                  <m:r>
                    <m:t>t</m:t>
                  </m:r>
                </m:e>
                <m:sub>
                  <m:r>
                    <m:rPr>
                      <m:nor/>
                      <m:sty m:val="p"/>
                    </m:rPr>
                    <m:t>exp</m:t>
                  </m:r>
                </m:sub>
              </m:sSub>
            </m:oMath>
          </w:p>
        </w:tc>
        <w:tc>
          <w:tcPr/>
          <w:p>
            <w:pPr>
              <w:pStyle w:val="Compact"/>
              <w:jc w:val="left"/>
            </w:pPr>
            <w:r>
              <w:t xml:space="preserve">Entry’s expiry time</w:t>
            </w:r>
          </w:p>
        </w:tc>
        <w:tc>
          <w:tcPr/>
          <w:p>
            <w:pPr>
              <w:pStyle w:val="Compact"/>
              <w:jc w:val="left"/>
            </w:pPr>
            <w:r>
              <w:t xml:space="preserve">s</w:t>
            </w:r>
          </w:p>
        </w:tc>
      </w:tr>
      <w:tr>
        <w:tc>
          <w:tcPr/>
          <w:p>
            <w:pPr>
              <w:pStyle w:val="Compact"/>
              <w:jc w:val="left"/>
            </w:pPr>
            <m:oMath>
              <m:r>
                <m:t>r</m:t>
              </m:r>
              <m:r>
                <m:rPr>
                  <m:sty m:val="p"/>
                </m:rPr>
                <m:t>=</m:t>
              </m:r>
              <m:sSub>
                <m:e>
                  <m:r>
                    <m:t>t</m:t>
                  </m:r>
                </m:e>
                <m:sub>
                  <m:r>
                    <m:rPr>
                      <m:nor/>
                      <m:sty m:val="p"/>
                    </m:rPr>
                    <m:t>exp</m:t>
                  </m:r>
                </m:sub>
              </m:sSub>
              <m:r>
                <m:rPr>
                  <m:sty m:val="p"/>
                </m:rPr>
                <m:t>−</m:t>
              </m:r>
              <m:r>
                <m:t>t</m:t>
              </m:r>
            </m:oMath>
          </w:p>
        </w:tc>
        <w:tc>
          <w:tcPr/>
          <w:p>
            <w:pPr>
              <w:pStyle w:val="Compact"/>
              <w:jc w:val="left"/>
            </w:pPr>
            <w:r>
              <w:t xml:space="preserve">Time remaining before expiry</w:t>
            </w:r>
          </w:p>
        </w:tc>
        <w:tc>
          <w:tcPr/>
          <w:p>
            <w:pPr>
              <w:pStyle w:val="Compact"/>
              <w:jc w:val="left"/>
            </w:pPr>
            <w:r>
              <w:t xml:space="preserve">s</w:t>
            </w:r>
          </w:p>
        </w:tc>
      </w:tr>
      <w:tr>
        <w:tc>
          <w:tcPr/>
          <w:p>
            <w:pPr>
              <w:pStyle w:val="Compact"/>
              <w:jc w:val="left"/>
            </w:pPr>
            <m:oMath>
              <m:r>
                <m:t>δ</m:t>
              </m:r>
            </m:oMath>
          </w:p>
        </w:tc>
        <w:tc>
          <w:tcPr/>
          <w:p>
            <w:pPr>
              <w:pStyle w:val="Compact"/>
              <w:jc w:val="left"/>
            </w:pPr>
            <w:r>
              <w:t xml:space="preserve">Measured recompute time, stored with the value</w:t>
            </w:r>
          </w:p>
        </w:tc>
        <w:tc>
          <w:tcPr/>
          <w:p>
            <w:pPr>
              <w:pStyle w:val="Compact"/>
              <w:jc w:val="left"/>
            </w:pPr>
            <w:r>
              <w:t xml:space="preserve">s</w:t>
            </w:r>
          </w:p>
        </w:tc>
      </w:tr>
      <w:tr>
        <w:tc>
          <w:tcPr/>
          <w:p>
            <w:pPr>
              <w:pStyle w:val="Compact"/>
              <w:jc w:val="left"/>
            </w:pPr>
            <m:oMath>
              <m:r>
                <m:t>β</m:t>
              </m:r>
            </m:oMath>
          </w:p>
        </w:tc>
        <w:tc>
          <w:tcPr/>
          <w:p>
            <w:pPr>
              <w:pStyle w:val="Compact"/>
              <w:jc w:val="left"/>
            </w:pPr>
            <w:r>
              <w:t xml:space="preserve">Aggressiveness; 1 is the recommended default</w:t>
            </w:r>
          </w:p>
        </w:tc>
        <w:tc>
          <w:tcPr/>
          <w:p>
            <w:pPr>
              <w:pStyle w:val="Compact"/>
              <w:jc w:val="left"/>
            </w:pPr>
            <w:r>
              <w:t xml:space="preserve">dimensionless</w:t>
            </w:r>
          </w:p>
        </w:tc>
      </w:tr>
      <w:tr>
        <w:tc>
          <w:tcPr/>
          <w:p>
            <w:pPr>
              <w:pStyle w:val="Compact"/>
              <w:jc w:val="left"/>
            </w:pPr>
            <m:oMath>
              <m:r>
                <m:t>u</m:t>
              </m:r>
            </m:oMath>
          </w:p>
        </w:tc>
        <w:tc>
          <w:tcPr/>
          <w:p>
            <w:pPr>
              <w:pStyle w:val="Compact"/>
              <w:jc w:val="left"/>
            </w:pPr>
            <w:r>
              <w:t xml:space="preserve">Uniform random number per request</w:t>
            </w:r>
          </w:p>
        </w:tc>
        <w:tc>
          <w:tcPr/>
          <w:p>
            <w:pPr>
              <w:pStyle w:val="Compact"/>
              <w:jc w:val="left"/>
            </w:pPr>
            <w:r>
              <w:t xml:space="preserve">dimensionless</w:t>
            </w:r>
          </w:p>
        </w:tc>
      </w:tr>
      <w:tr>
        <w:tc>
          <w:tcPr/>
          <w:p>
            <w:pPr>
              <w:pStyle w:val="Compact"/>
              <w:jc w:val="left"/>
            </w:pPr>
            <m:oMath>
              <m:r>
                <m:t>λ</m:t>
              </m:r>
            </m:oMath>
          </w:p>
        </w:tc>
        <w:tc>
          <w:tcPr/>
          <w:p>
            <w:pPr>
              <w:pStyle w:val="Compact"/>
              <w:jc w:val="left"/>
            </w:pPr>
            <w:r>
              <w:t xml:space="preserve">Request rate for the key</w:t>
            </w:r>
          </w:p>
        </w:tc>
        <w:tc>
          <w:tcPr/>
          <w:p>
            <w:pPr>
              <w:pStyle w:val="Compact"/>
              <w:jc w:val="left"/>
            </w:pPr>
            <w:r>
              <w:t xml:space="preserve">requests/s</w:t>
            </w:r>
          </w:p>
        </w:tc>
      </w:tr>
      <w:tr>
        <w:tc>
          <w:tcPr/>
          <w:p>
            <w:pPr>
              <w:pStyle w:val="Compact"/>
              <w:jc w:val="left"/>
            </w:pPr>
            <m:oMath>
              <m:r>
                <m:t>γ</m:t>
              </m:r>
            </m:oMath>
          </w:p>
        </w:tc>
        <w:tc>
          <w:tcPr/>
          <w:p>
            <w:pPr>
              <w:pStyle w:val="Compact"/>
              <w:jc w:val="left"/>
            </w:pPr>
            <w:r>
              <w:t xml:space="preserve">Euler–Mascheroni constant, ≈ 0.5772</w:t>
            </w:r>
          </w:p>
        </w:tc>
        <w:tc>
          <w:tcPr/>
          <w:p>
            <w:pPr>
              <w:pStyle w:val="Compact"/>
              <w:jc w:val="left"/>
            </w:pPr>
            <w:r>
              <w:t xml:space="preserve">dimensionless</w:t>
            </w:r>
          </w:p>
        </w:tc>
      </w:tr>
    </w:tbl>
    <w:p>
      <w:pPr>
        <w:pStyle w:val="BodyText"/>
      </w:pPr>
      <w:r>
        <w:t xml:space="preserve">Since</w:t>
      </w:r>
      <w:r>
        <w:t xml:space="preserve"> </w:t>
      </w:r>
      <m:oMath>
        <m:r>
          <m:rPr>
            <m:sty m:val="p"/>
          </m:rPr>
          <m:t>−</m:t>
        </m:r>
        <m:r>
          <m:rPr>
            <m:sty m:val="p"/>
          </m:rPr>
          <m:t>ln</m:t>
        </m:r>
        <m:r>
          <m:t>u</m:t>
        </m:r>
      </m:oMath>
      <w:r>
        <w:t xml:space="preserve"> </w:t>
      </w:r>
      <w:r>
        <w:t xml:space="preserve">is exponentially distributed, triggers form a Poisson process of intensity</w:t>
      </w:r>
      <w:r>
        <w:t xml:space="preserve"> </w:t>
      </w:r>
      <m:oMath>
        <m:r>
          <m:t>λ</m:t>
        </m:r>
        <m:sSup>
          <m:e>
            <m:r>
              <m:t>e</m:t>
            </m:r>
          </m:e>
          <m:sup>
            <m:r>
              <m:rPr>
                <m:sty m:val="p"/>
              </m:rPr>
              <m:t>−</m:t>
            </m:r>
            <m:r>
              <m:t>r</m:t>
            </m:r>
            <m:r>
              <m:rPr>
                <m:sty m:val="p"/>
              </m:rPr>
              <m:t>/</m:t>
            </m:r>
            <m:d>
              <m:dPr>
                <m:begChr m:val="("/>
                <m:endChr m:val=")"/>
                <m:sepChr m:val=""/>
                <m:grow/>
              </m:dPr>
              <m:e>
                <m:r>
                  <m:t>δ</m:t>
                </m:r>
                <m:r>
                  <m:t>β</m:t>
                </m:r>
              </m:e>
            </m:d>
          </m:sup>
        </m:sSup>
      </m:oMath>
      <w:r>
        <w:t xml:space="preserve">; the remaining time at the first trigger is Gumbel-distributed, which gives the expected lead, and requests during the</w:t>
      </w:r>
      <w:r>
        <w:t xml:space="preserve"> </w:t>
      </w:r>
      <m:oMath>
        <m:r>
          <m:t>δ</m:t>
        </m:r>
      </m:oMath>
      <w:r>
        <w:t xml:space="preserve">-second recompute add</w:t>
      </w:r>
      <w:r>
        <w:t xml:space="preserve"> </w:t>
      </w:r>
      <m:oMath>
        <m:sSup>
          <m:e>
            <m:r>
              <m:t>e</m:t>
            </m:r>
          </m:e>
          <m:sup>
            <m:r>
              <m:t>1</m:t>
            </m:r>
            <m:r>
              <m:rPr>
                <m:sty m:val="p"/>
              </m:rPr>
              <m:t>/</m:t>
            </m:r>
            <m:r>
              <m:t>β</m:t>
            </m:r>
          </m:sup>
        </m:sSup>
        <m:r>
          <m:rPr>
            <m:sty m:val="p"/>
          </m:rPr>
          <m:t>−</m:t>
        </m:r>
        <m:r>
          <m:t>1</m:t>
        </m:r>
      </m:oMath>
      <w:r>
        <w:t xml:space="preserve"> </w:t>
      </w:r>
      <w:r>
        <w:t xml:space="preserve">extra triggers on average, independent of</w:t>
      </w:r>
      <w:r>
        <w:t xml:space="preserve"> </w:t>
      </w:r>
      <m:oMath>
        <m:r>
          <m:t>λ</m:t>
        </m:r>
      </m:oMath>
      <w:r>
        <w:t xml:space="preserve"> </w:t>
      </w:r>
      <w:r>
        <w:t xml:space="preserve">(§20.19, Q7).</w:t>
      </w:r>
    </w:p>
    <w:p>
      <w:pPr>
        <w:pStyle w:val="CalloutExample"/>
      </w:pPr>
      <w:r>
        <w:rPr>
          <w:bCs/>
          <w:b/>
        </w:rPr>
        <w:t xml:space="preserve">WORKED EXAMPLE</w:t>
      </w:r>
    </w:p>
    <w:p>
      <w:pPr>
        <w:pStyle w:val="CalloutExample"/>
      </w:pPr>
      <w:r>
        <w:rPr>
          <w:bCs/>
          <w:b/>
        </w:rPr>
        <w:t xml:space="preserve">Worked example — A hot key with a 2-second recompute.</w:t>
      </w:r>
      <w:r>
        <w:t xml:space="preserve"> </w:t>
      </w:r>
      <m:oMath>
        <m:r>
          <m:t>λ</m:t>
        </m:r>
        <m:r>
          <m:rPr>
            <m:sty m:val="p"/>
          </m:rPr>
          <m:t>=</m:t>
        </m:r>
        <m:r>
          <m:t>100</m:t>
        </m:r>
      </m:oMath>
      <w:r>
        <w:t xml:space="preserve"> </w:t>
      </w:r>
      <w:r>
        <w:t xml:space="preserve">requests/s,</w:t>
      </w:r>
      <w:r>
        <w:t xml:space="preserve"> </w:t>
      </w:r>
      <m:oMath>
        <m:r>
          <m:t>δ</m:t>
        </m:r>
        <m:r>
          <m:rPr>
            <m:sty m:val="p"/>
          </m:rPr>
          <m:t>=</m:t>
        </m:r>
        <m:r>
          <m:t>2</m:t>
        </m:r>
      </m:oMath>
      <w:r>
        <w:t xml:space="preserve"> </w:t>
      </w:r>
      <w:r>
        <w:t xml:space="preserve">s,</w:t>
      </w:r>
      <w:r>
        <w:t xml:space="preserve"> </w:t>
      </w:r>
      <m:oMath>
        <m:r>
          <m:t>β</m:t>
        </m:r>
        <m:r>
          <m:rPr>
            <m:sty m:val="p"/>
          </m:rPr>
          <m:t>=</m:t>
        </m:r>
        <m:r>
          <m:t>1</m:t>
        </m:r>
      </m:oMath>
      <w:r>
        <w:t xml:space="preserve">, TTL 60 s.</w:t>
      </w:r>
    </w:p>
    <w:p>
      <w:pPr>
        <w:numPr>
          <w:ilvl w:val="0"/>
          <w:numId w:val="1669"/>
        </w:numPr>
        <w:pStyle w:val="Compact"/>
      </w:pPr>
      <w:r>
        <w:t xml:space="preserve">Per-request trigger probability with 10 s left:</w:t>
      </w:r>
      <w:r>
        <w:t xml:space="preserve"> </w:t>
      </w:r>
      <m:oMath>
        <m:sSup>
          <m:e>
            <m:r>
              <m:t>e</m:t>
            </m:r>
          </m:e>
          <m:sup>
            <m:r>
              <m:rPr>
                <m:sty m:val="p"/>
              </m:rPr>
              <m:t>−</m:t>
            </m:r>
            <m:r>
              <m:t>10</m:t>
            </m:r>
            <m:r>
              <m:rPr>
                <m:sty m:val="p"/>
              </m:rPr>
              <m:t>/</m:t>
            </m:r>
            <m:r>
              <m:t>2</m:t>
            </m:r>
          </m:sup>
        </m:sSup>
        <m:r>
          <m:rPr>
            <m:sty m:val="p"/>
          </m:rPr>
          <m:t>=</m:t>
        </m:r>
        <m:sSup>
          <m:e>
            <m:r>
              <m:t>e</m:t>
            </m:r>
          </m:e>
          <m:sup>
            <m:r>
              <m:rPr>
                <m:sty m:val="p"/>
              </m:rPr>
              <m:t>−</m:t>
            </m:r>
            <m:r>
              <m:t>5</m:t>
            </m:r>
          </m:sup>
        </m:sSup>
        <m:r>
          <m:rPr>
            <m:sty m:val="p"/>
          </m:rPr>
          <m:t>=</m:t>
        </m:r>
        <m:r>
          <m:t>0.0067</m:t>
        </m:r>
      </m:oMath>
      <w:r>
        <w:t xml:space="preserve">; with 2 s left:</w:t>
      </w:r>
      <w:r>
        <w:t xml:space="preserve"> </w:t>
      </w:r>
      <m:oMath>
        <m:sSup>
          <m:e>
            <m:r>
              <m:t>e</m:t>
            </m:r>
          </m:e>
          <m:sup>
            <m:r>
              <m:rPr>
                <m:sty m:val="p"/>
              </m:rPr>
              <m:t>−</m:t>
            </m:r>
            <m:r>
              <m:t>1</m:t>
            </m:r>
          </m:sup>
        </m:sSup>
        <m:r>
          <m:rPr>
            <m:sty m:val="p"/>
          </m:rPr>
          <m:t>=</m:t>
        </m:r>
        <m:r>
          <m:t>0.37</m:t>
        </m:r>
      </m:oMath>
      <w:r>
        <w:t xml:space="preserve">.</w:t>
      </w:r>
    </w:p>
    <w:p>
      <w:pPr>
        <w:numPr>
          <w:ilvl w:val="0"/>
          <w:numId w:val="1669"/>
        </w:numPr>
        <w:pStyle w:val="Compact"/>
      </w:pPr>
      <w:r>
        <w:t xml:space="preserve">Expected lead:</w:t>
      </w:r>
      <w:r>
        <w:t xml:space="preserve"> </w:t>
      </w:r>
      <m:oMath>
        <m:r>
          <m:t>λ</m:t>
        </m:r>
        <m:r>
          <m:t>δ</m:t>
        </m:r>
        <m:r>
          <m:t>β</m:t>
        </m:r>
        <m:r>
          <m:rPr>
            <m:sty m:val="p"/>
          </m:rPr>
          <m:t>=</m:t>
        </m:r>
        <m:r>
          <m:t>200</m:t>
        </m:r>
      </m:oMath>
      <w:r>
        <w:t xml:space="preserve">;</w:t>
      </w:r>
      <w:r>
        <w:t xml:space="preserve"> </w:t>
      </w:r>
      <m:oMath>
        <m:r>
          <m:rPr>
            <m:sty m:val="p"/>
          </m:rPr>
          <m:t>ln</m:t>
        </m:r>
        <m:r>
          <m:t>200</m:t>
        </m:r>
        <m:r>
          <m:rPr>
            <m:sty m:val="p"/>
          </m:rPr>
          <m:t>=</m:t>
        </m:r>
        <m:r>
          <m:t>5.298</m:t>
        </m:r>
      </m:oMath>
      <w:r>
        <w:t xml:space="preserve">;</w:t>
      </w:r>
      <w:r>
        <w:t xml:space="preserve"> </w:t>
      </w:r>
      <m:oMath>
        <m:r>
          <m:t>2</m:t>
        </m:r>
        <m:r>
          <m:rPr>
            <m:sty m:val="p"/>
          </m:rPr>
          <m:t>×</m:t>
        </m:r>
        <m:d>
          <m:dPr>
            <m:begChr m:val="("/>
            <m:endChr m:val=")"/>
            <m:sepChr m:val=""/>
            <m:grow/>
          </m:dPr>
          <m:e>
            <m:r>
              <m:t>5.298</m:t>
            </m:r>
            <m:r>
              <m:rPr>
                <m:sty m:val="p"/>
              </m:rPr>
              <m:t>+</m:t>
            </m:r>
            <m:r>
              <m:t>0.577</m:t>
            </m:r>
          </m:e>
        </m:d>
        <m:r>
          <m:rPr>
            <m:sty m:val="p"/>
          </m:rPr>
          <m:t>=</m:t>
        </m:r>
        <m:r>
          <m:t>11.75</m:t>
        </m:r>
      </m:oMath>
      <w:r>
        <w:t xml:space="preserve"> </w:t>
      </w:r>
      <w:r>
        <w:t xml:space="preserve">s before expiry.</w:t>
      </w:r>
    </w:p>
    <w:p>
      <w:pPr>
        <w:numPr>
          <w:ilvl w:val="0"/>
          <w:numId w:val="1669"/>
        </w:numPr>
        <w:pStyle w:val="Compact"/>
      </w:pPr>
      <w:r>
        <w:t xml:space="preserve">Recomputes per refresh:</w:t>
      </w:r>
      <w:r>
        <w:t xml:space="preserve"> </w:t>
      </w:r>
      <m:oMath>
        <m:sSup>
          <m:e>
            <m:r>
              <m:t>e</m:t>
            </m:r>
          </m:e>
          <m:sup>
            <m:r>
              <m:t>1</m:t>
            </m:r>
          </m:sup>
        </m:sSup>
        <m:r>
          <m:rPr>
            <m:sty m:val="p"/>
          </m:rPr>
          <m:t>≈</m:t>
        </m:r>
        <m:r>
          <m:t>2.72</m:t>
        </m:r>
      </m:oMath>
      <w:r>
        <w:t xml:space="preserve">, against</w:t>
      </w:r>
      <w:r>
        <w:t xml:space="preserve"> </w:t>
      </w:r>
      <m:oMath>
        <m:r>
          <m:t>λ</m:t>
        </m:r>
        <m:r>
          <m:t>δ</m:t>
        </m:r>
        <m:r>
          <m:rPr>
            <m:sty m:val="p"/>
          </m:rPr>
          <m:t>=</m:t>
        </m:r>
        <m:r>
          <m:t>200</m:t>
        </m:r>
      </m:oMath>
      <w:r>
        <w:t xml:space="preserve"> </w:t>
      </w:r>
      <w:r>
        <w:t xml:space="preserve">with no protection.</w:t>
      </w:r>
    </w:p>
    <w:p>
      <w:pPr>
        <w:numPr>
          <w:ilvl w:val="0"/>
          <w:numId w:val="1669"/>
        </w:numPr>
        <w:pStyle w:val="Compact"/>
      </w:pPr>
      <w:r>
        <w:t xml:space="preserve">Extra cost: the entry is refreshed every</w:t>
      </w:r>
      <w:r>
        <w:t xml:space="preserve"> </w:t>
      </w:r>
      <m:oMath>
        <m:r>
          <m:t>60</m:t>
        </m:r>
        <m:r>
          <m:rPr>
            <m:sty m:val="p"/>
          </m:rPr>
          <m:t>−</m:t>
        </m:r>
        <m:r>
          <m:t>11.75</m:t>
        </m:r>
        <m:r>
          <m:rPr>
            <m:sty m:val="p"/>
          </m:rPr>
          <m:t>+</m:t>
        </m:r>
        <m:r>
          <m:t>2</m:t>
        </m:r>
        <m:r>
          <m:rPr>
            <m:sty m:val="p"/>
          </m:rPr>
          <m:t>≈</m:t>
        </m:r>
        <m:r>
          <m:t>50</m:t>
        </m:r>
      </m:oMath>
      <w:r>
        <w:t xml:space="preserve"> </w:t>
      </w:r>
      <w:r>
        <w:t xml:space="preserve">s instead of 62 s, about 23% more refreshes.</w:t>
      </w:r>
    </w:p>
    <w:p>
      <w:pPr>
        <w:numPr>
          <w:ilvl w:val="0"/>
          <w:numId w:val="1669"/>
        </w:numPr>
        <w:pStyle w:val="Compact"/>
      </w:pPr>
      <w:r>
        <w:t xml:space="preserve">With</w:t>
      </w:r>
      <w:r>
        <w:t xml:space="preserve"> </w:t>
      </w:r>
      <m:oMath>
        <m:r>
          <m:t>β</m:t>
        </m:r>
        <m:r>
          <m:rPr>
            <m:sty m:val="p"/>
          </m:rPr>
          <m:t>=</m:t>
        </m:r>
        <m:r>
          <m:t>2</m:t>
        </m:r>
      </m:oMath>
      <w:r>
        <w:t xml:space="preserve">: lead</w:t>
      </w:r>
      <w:r>
        <w:t xml:space="preserve"> </w:t>
      </w:r>
      <m:oMath>
        <m:r>
          <m:t>4</m:t>
        </m:r>
        <m:r>
          <m:rPr>
            <m:sty m:val="p"/>
          </m:rPr>
          <m:t>×</m:t>
        </m:r>
        <m:d>
          <m:dPr>
            <m:begChr m:val="("/>
            <m:endChr m:val=")"/>
            <m:sepChr m:val=""/>
            <m:grow/>
          </m:dPr>
          <m:e>
            <m:r>
              <m:rPr>
                <m:sty m:val="p"/>
              </m:rPr>
              <m:t>ln</m:t>
            </m:r>
            <m:r>
              <m:t>400</m:t>
            </m:r>
            <m:r>
              <m:rPr>
                <m:sty m:val="p"/>
              </m:rPr>
              <m:t>+</m:t>
            </m:r>
            <m:r>
              <m:t>0.577</m:t>
            </m:r>
          </m:e>
        </m:d>
        <m:r>
          <m:rPr>
            <m:sty m:val="p"/>
          </m:rPr>
          <m:t>=</m:t>
        </m:r>
        <m:r>
          <m:t>4</m:t>
        </m:r>
        <m:r>
          <m:rPr>
            <m:sty m:val="p"/>
          </m:rPr>
          <m:t>×</m:t>
        </m:r>
        <m:r>
          <m:t>6.569</m:t>
        </m:r>
        <m:r>
          <m:rPr>
            <m:sty m:val="p"/>
          </m:rPr>
          <m:t>=</m:t>
        </m:r>
        <m:r>
          <m:t>26.3</m:t>
        </m:r>
      </m:oMath>
      <w:r>
        <w:t xml:space="preserve"> </w:t>
      </w:r>
      <w:r>
        <w:t xml:space="preserve">s and</w:t>
      </w:r>
      <w:r>
        <w:t xml:space="preserve"> </w:t>
      </w:r>
      <m:oMath>
        <m:sSup>
          <m:e>
            <m:r>
              <m:t>e</m:t>
            </m:r>
          </m:e>
          <m:sup>
            <m:r>
              <m:t>0.5</m:t>
            </m:r>
          </m:sup>
        </m:sSup>
        <m:r>
          <m:rPr>
            <m:sty m:val="p"/>
          </m:rPr>
          <m:t>=</m:t>
        </m:r>
        <m:r>
          <m:t>1.65</m:t>
        </m:r>
      </m:oMath>
      <w:r>
        <w:t xml:space="preserve"> </w:t>
      </w:r>
      <w:r>
        <w:t xml:space="preserve">recomputes; with</w:t>
      </w:r>
      <w:r>
        <w:t xml:space="preserve"> </w:t>
      </w:r>
      <m:oMath>
        <m:r>
          <m:t>β</m:t>
        </m:r>
        <m:r>
          <m:rPr>
            <m:sty m:val="p"/>
          </m:rPr>
          <m:t>=</m:t>
        </m:r>
        <m:r>
          <m:t>0.5</m:t>
        </m:r>
      </m:oMath>
      <w:r>
        <w:t xml:space="preserve">: lead 5.2 s and</w:t>
      </w:r>
      <w:r>
        <w:t xml:space="preserve"> </w:t>
      </w:r>
      <m:oMath>
        <m:sSup>
          <m:e>
            <m:r>
              <m:t>e</m:t>
            </m:r>
          </m:e>
          <m:sup>
            <m:r>
              <m:t>2</m:t>
            </m:r>
          </m:sup>
        </m:sSup>
        <m:r>
          <m:rPr>
            <m:sty m:val="p"/>
          </m:rPr>
          <m:t>=</m:t>
        </m:r>
        <m:r>
          <m:t>7.4</m:t>
        </m:r>
      </m:oMath>
      <w:r>
        <w:t xml:space="preserve"> </w:t>
      </w:r>
      <w:r>
        <w:t xml:space="preserve">recomputes.</w:t>
      </w:r>
    </w:p>
    <w:p>
      <w:pPr>
        <w:pStyle w:val="CalloutExample"/>
      </w:pPr>
      <w:r>
        <w:rPr>
          <w:bCs/>
          <w:b/>
        </w:rPr>
        <w:t xml:space="preserve">Interpretation.</w:t>
      </w:r>
      <w:r>
        <w:t xml:space="preserve"> </w:t>
      </w:r>
      <m:oMath>
        <m:r>
          <m:t>β</m:t>
        </m:r>
      </m:oMath>
      <w:r>
        <w:t xml:space="preserve"> </w:t>
      </w:r>
      <w:r>
        <w:t xml:space="preserve">trades earlier refreshes for fewer duplicate recomputations; the lead grows only logarithmically with traffic, so XFetch scales to any</w:t>
      </w:r>
      <w:r>
        <w:t xml:space="preserve"> </w:t>
      </w:r>
      <m:oMath>
        <m:r>
          <m:t>λ</m:t>
        </m:r>
      </m:oMath>
      <w:r>
        <w:t xml:space="preserve">.</w:t>
      </w:r>
      <w:r>
        <w:t xml:space="preserve"> </w:t>
      </w:r>
      <w:r>
        <w:rPr>
          <w:bCs/>
          <w:b/>
        </w:rPr>
        <w:t xml:space="preserve">Engineering implication.</w:t>
      </w:r>
      <w:r>
        <w:t xml:space="preserve"> </w:t>
      </w:r>
      <w:r>
        <w:t xml:space="preserve">Store</w:t>
      </w:r>
      <w:r>
        <w:t xml:space="preserve"> </w:t>
      </w:r>
      <m:oMath>
        <m:r>
          <m:t>δ</m:t>
        </m:r>
      </m:oMath>
      <w:r>
        <w:t xml:space="preserve"> </w:t>
      </w:r>
      <w:r>
        <w:t xml:space="preserve">with each value, start with</w:t>
      </w:r>
      <w:r>
        <w:t xml:space="preserve"> </w:t>
      </w:r>
      <m:oMath>
        <m:r>
          <m:t>β</m:t>
        </m:r>
        <m:r>
          <m:rPr>
            <m:sty m:val="p"/>
          </m:rPr>
          <m:t>=</m:t>
        </m:r>
        <m:r>
          <m:t>1</m:t>
        </m:r>
      </m:oMath>
      <w:r>
        <w:t xml:space="preserve">, and if duplicate recomputes are expensive combine XFetch with a non-blocking lock so only the first trigger recomputes; no request ever waits.</w:t>
      </w:r>
    </w:p>
    <w:p>
      <w:pPr>
        <w:pStyle w:val="BodyText"/>
      </w:pPr>
      <w:r>
        <w:t xml:space="preserve">The simulation below checks these numbers.</w:t>
      </w:r>
    </w:p>
    <w:p>
      <w:pPr>
        <w:pStyle w:val="SourceCode"/>
      </w:pPr>
      <w:r>
        <w:rPr>
          <w:rStyle w:val="CommentTok"/>
        </w:rPr>
        <w:t xml:space="preserve">"""One hot key under Poisson traffic: recomputations and misses per refresh for</w:t>
      </w:r>
      <w:r>
        <w:br/>
      </w:r>
      <w:r>
        <w:rPr>
          <w:rStyle w:val="CommentTok"/>
        </w:rPr>
        <w:t xml:space="preserve">no protection, a recompute lock, and XFetch [Vattani et al. 2015]."""</w:t>
      </w:r>
      <w:r>
        <w:br/>
      </w:r>
      <w:r>
        <w:rPr>
          <w:rStyle w:val="ImportTok"/>
        </w:rPr>
        <w:t xml:space="preserve">import</w:t>
      </w:r>
      <w:r>
        <w:rPr>
          <w:rStyle w:val="NormalTok"/>
        </w:rPr>
        <w:t xml:space="preserve"> math</w:t>
      </w:r>
      <w:r>
        <w:br/>
      </w:r>
      <w:r>
        <w:rPr>
          <w:rStyle w:val="ImportTok"/>
        </w:rPr>
        <w:t xml:space="preserve">import</w:t>
      </w:r>
      <w:r>
        <w:rPr>
          <w:rStyle w:val="NormalTok"/>
        </w:rPr>
        <w:t xml:space="preserve"> random</w:t>
      </w:r>
      <w:r>
        <w:br/>
      </w:r>
      <w:r>
        <w:br/>
      </w:r>
      <w:r>
        <w:rPr>
          <w:rStyle w:val="KeywordTok"/>
        </w:rPr>
        <w:t xml:space="preserve">def</w:t>
      </w:r>
      <w:r>
        <w:rPr>
          <w:rStyle w:val="NormalTok"/>
        </w:rPr>
        <w:t xml:space="preserve"> simulate(policy, rate</w:t>
      </w:r>
      <w:r>
        <w:rPr>
          <w:rStyle w:val="OperatorTok"/>
        </w:rPr>
        <w:t xml:space="preserve">=</w:t>
      </w:r>
      <w:r>
        <w:rPr>
          <w:rStyle w:val="FloatTok"/>
        </w:rPr>
        <w:t xml:space="preserve">100.0</w:t>
      </w:r>
      <w:r>
        <w:rPr>
          <w:rStyle w:val="NormalTok"/>
        </w:rPr>
        <w:t xml:space="preserve">, ttl</w:t>
      </w:r>
      <w:r>
        <w:rPr>
          <w:rStyle w:val="OperatorTok"/>
        </w:rPr>
        <w:t xml:space="preserve">=</w:t>
      </w:r>
      <w:r>
        <w:rPr>
          <w:rStyle w:val="FloatTok"/>
        </w:rPr>
        <w:t xml:space="preserve">60.0</w:t>
      </w:r>
      <w:r>
        <w:rPr>
          <w:rStyle w:val="NormalTok"/>
        </w:rPr>
        <w:t xml:space="preserve">, delta</w:t>
      </w:r>
      <w:r>
        <w:rPr>
          <w:rStyle w:val="OperatorTok"/>
        </w:rPr>
        <w:t xml:space="preserve">=</w:t>
      </w:r>
      <w:r>
        <w:rPr>
          <w:rStyle w:val="FloatTok"/>
        </w:rPr>
        <w:t xml:space="preserve">2.0</w:t>
      </w:r>
      <w:r>
        <w:rPr>
          <w:rStyle w:val="NormalTok"/>
        </w:rPr>
        <w:t xml:space="preserve">, beta</w:t>
      </w:r>
      <w:r>
        <w:rPr>
          <w:rStyle w:val="OperatorTok"/>
        </w:rPr>
        <w:t xml:space="preserve">=</w:t>
      </w:r>
      <w:r>
        <w:rPr>
          <w:rStyle w:val="FloatTok"/>
        </w:rPr>
        <w:t xml:space="preserve">1.0</w:t>
      </w:r>
      <w:r>
        <w:rPr>
          <w:rStyle w:val="NormalTok"/>
        </w:rPr>
        <w:t xml:space="preserve">,</w:t>
      </w:r>
      <w:r>
        <w:br/>
      </w:r>
      <w:r>
        <w:rPr>
          <w:rStyle w:val="NormalTok"/>
        </w:rPr>
        <w:t xml:space="preserve">             hours</w:t>
      </w:r>
      <w:r>
        <w:rPr>
          <w:rStyle w:val="OperatorTok"/>
        </w:rPr>
        <w:t xml:space="preserve">=</w:t>
      </w:r>
      <w:r>
        <w:rPr>
          <w:rStyle w:val="FloatTok"/>
        </w:rPr>
        <w:t xml:space="preserve">3.0</w:t>
      </w:r>
      <w:r>
        <w:rPr>
          <w:rStyle w:val="NormalTok"/>
        </w:rPr>
        <w:t xml:space="preserve">, seed</w:t>
      </w:r>
      <w:r>
        <w:rPr>
          <w:rStyle w:val="OperatorTok"/>
        </w:rPr>
        <w:t xml:space="preserve">=</w:t>
      </w:r>
      <w:r>
        <w:rPr>
          <w:rStyle w:val="DecValTok"/>
        </w:rPr>
        <w:t xml:space="preserve">42</w:t>
      </w:r>
      <w:r>
        <w:rPr>
          <w:rStyle w:val="NormalTok"/>
        </w:rPr>
        <w:t xml:space="preserve">):</w:t>
      </w:r>
      <w:r>
        <w:br/>
      </w:r>
      <w:r>
        <w:rPr>
          <w:rStyle w:val="NormalTok"/>
        </w:rPr>
        <w:t xml:space="preserve">    rng </w:t>
      </w:r>
      <w:r>
        <w:rPr>
          <w:rStyle w:val="OperatorTok"/>
        </w:rPr>
        <w:t xml:space="preserve">=</w:t>
      </w:r>
      <w:r>
        <w:rPr>
          <w:rStyle w:val="NormalTok"/>
        </w:rPr>
        <w:t xml:space="preserve"> random.Random(seed)</w:t>
      </w:r>
      <w:r>
        <w:br/>
      </w:r>
      <w:r>
        <w:rPr>
          <w:rStyle w:val="NormalTok"/>
        </w:rPr>
        <w:t xml:space="preserve">    expiry </w:t>
      </w:r>
      <w:r>
        <w:rPr>
          <w:rStyle w:val="OperatorTok"/>
        </w:rPr>
        <w:t xml:space="preserve">=</w:t>
      </w:r>
      <w:r>
        <w:rPr>
          <w:rStyle w:val="NormalTok"/>
        </w:rPr>
        <w:t xml:space="preserve"> ttl                         </w:t>
      </w:r>
      <w:r>
        <w:rPr>
          <w:rStyle w:val="CommentTok"/>
        </w:rPr>
        <w:t xml:space="preserve"># value computed at t = 0</w:t>
      </w:r>
      <w:r>
        <w:br/>
      </w:r>
      <w:r>
        <w:rPr>
          <w:rStyle w:val="NormalTok"/>
        </w:rPr>
        <w:t xml:space="preserve">    inflight </w:t>
      </w:r>
      <w:r>
        <w:rPr>
          <w:rStyle w:val="OperatorTok"/>
        </w:rPr>
        <w:t xml:space="preserve">=</w:t>
      </w:r>
      <w:r>
        <w:rPr>
          <w:rStyle w:val="NormalTok"/>
        </w:rPr>
        <w:t xml:space="preserve"> []                        </w:t>
      </w:r>
      <w:r>
        <w:rPr>
          <w:rStyle w:val="CommentTok"/>
        </w:rPr>
        <w:t xml:space="preserve"># finish times of running recomputes</w:t>
      </w:r>
      <w:r>
        <w:br/>
      </w:r>
      <w:r>
        <w:rPr>
          <w:rStyle w:val="NormalTok"/>
        </w:rPr>
        <w:t xml:space="preserve">    t, end </w:t>
      </w:r>
      <w:r>
        <w:rPr>
          <w:rStyle w:val="OperatorTok"/>
        </w:rPr>
        <w:t xml:space="preserve">=</w:t>
      </w:r>
      <w:r>
        <w:rPr>
          <w:rStyle w:val="NormalTok"/>
        </w:rPr>
        <w:t xml:space="preserve"> </w:t>
      </w:r>
      <w:r>
        <w:rPr>
          <w:rStyle w:val="FloatTok"/>
        </w:rPr>
        <w:t xml:space="preserve">0.0</w:t>
      </w:r>
      <w:r>
        <w:rPr>
          <w:rStyle w:val="NormalTok"/>
        </w:rPr>
        <w:t xml:space="preserve">, hours </w:t>
      </w:r>
      <w:r>
        <w:rPr>
          <w:rStyle w:val="OperatorTok"/>
        </w:rPr>
        <w:t xml:space="preserve">*</w:t>
      </w:r>
      <w:r>
        <w:rPr>
          <w:rStyle w:val="NormalTok"/>
        </w:rPr>
        <w:t xml:space="preserve"> </w:t>
      </w:r>
      <w:r>
        <w:rPr>
          <w:rStyle w:val="DecValTok"/>
        </w:rPr>
        <w:t xml:space="preserve">3600</w:t>
      </w:r>
      <w:r>
        <w:br/>
      </w:r>
      <w:r>
        <w:rPr>
          <w:rStyle w:val="NormalTok"/>
        </w:rPr>
        <w:t xml:space="preserve">    recomputes </w:t>
      </w:r>
      <w:r>
        <w:rPr>
          <w:rStyle w:val="OperatorTok"/>
        </w:rPr>
        <w:t xml:space="preserve">=</w:t>
      </w:r>
      <w:r>
        <w:rPr>
          <w:rStyle w:val="NormalTok"/>
        </w:rPr>
        <w:t xml:space="preserve"> misses </w:t>
      </w:r>
      <w:r>
        <w:rPr>
          <w:rStyle w:val="OperatorTok"/>
        </w:rPr>
        <w:t xml:space="preserve">=</w:t>
      </w:r>
      <w:r>
        <w:rPr>
          <w:rStyle w:val="NormalTok"/>
        </w:rPr>
        <w:t xml:space="preserve"> requests </w:t>
      </w:r>
      <w:r>
        <w:rPr>
          <w:rStyle w:val="OperatorTok"/>
        </w:rPr>
        <w:t xml:space="preserve">=</w:t>
      </w:r>
      <w:r>
        <w:rPr>
          <w:rStyle w:val="NormalTok"/>
        </w:rPr>
        <w:t xml:space="preserve"> episodes </w:t>
      </w:r>
      <w:r>
        <w:rPr>
          <w:rStyle w:val="OperatorTok"/>
        </w:rPr>
        <w:t xml:space="preserve">=</w:t>
      </w:r>
      <w:r>
        <w:rPr>
          <w:rStyle w:val="NormalTok"/>
        </w:rPr>
        <w:t xml:space="preserve"> </w:t>
      </w:r>
      <w:r>
        <w:rPr>
          <w:rStyle w:val="DecValTok"/>
        </w:rPr>
        <w:t xml:space="preserve">0</w:t>
      </w:r>
      <w:r>
        <w:br/>
      </w:r>
      <w:r>
        <w:rPr>
          <w:rStyle w:val="NormalTok"/>
        </w:rPr>
        <w:t xml:space="preserve">    last_episode, leads </w:t>
      </w:r>
      <w:r>
        <w:rPr>
          <w:rStyle w:val="OperatorTok"/>
        </w:rPr>
        <w:t xml:space="preserve">=</w:t>
      </w:r>
      <w:r>
        <w:rPr>
          <w:rStyle w:val="NormalTok"/>
        </w:rPr>
        <w:t xml:space="preserve"> </w:t>
      </w:r>
      <w:r>
        <w:rPr>
          <w:rStyle w:val="OperatorTok"/>
        </w:rPr>
        <w:t xml:space="preserve">-</w:t>
      </w:r>
      <w:r>
        <w:rPr>
          <w:rStyle w:val="FloatTok"/>
        </w:rPr>
        <w:t xml:space="preserve">1e9</w:t>
      </w:r>
      <w:r>
        <w:rPr>
          <w:rStyle w:val="NormalTok"/>
        </w:rPr>
        <w:t xml:space="preserve">, []</w:t>
      </w:r>
      <w:r>
        <w:br/>
      </w:r>
      <w:r>
        <w:br/>
      </w:r>
      <w:r>
        <w:rPr>
          <w:rStyle w:val="NormalTok"/>
        </w:rPr>
        <w:t xml:space="preserve">    </w:t>
      </w:r>
      <w:r>
        <w:rPr>
          <w:rStyle w:val="KeywordTok"/>
        </w:rPr>
        <w:t xml:space="preserve">def</w:t>
      </w:r>
      <w:r>
        <w:rPr>
          <w:rStyle w:val="NormalTok"/>
        </w:rPr>
        <w:t xml:space="preserve"> start(now):</w:t>
      </w:r>
      <w:r>
        <w:br/>
      </w:r>
      <w:r>
        <w:rPr>
          <w:rStyle w:val="NormalTok"/>
        </w:rPr>
        <w:t xml:space="preserve">        </w:t>
      </w:r>
      <w:r>
        <w:rPr>
          <w:rStyle w:val="KeywordTok"/>
        </w:rPr>
        <w:t xml:space="preserve">nonlocal</w:t>
      </w:r>
      <w:r>
        <w:rPr>
          <w:rStyle w:val="NormalTok"/>
        </w:rPr>
        <w:t xml:space="preserve"> recomputes, episodes, last_episode</w:t>
      </w:r>
      <w:r>
        <w:br/>
      </w:r>
      <w:r>
        <w:rPr>
          <w:rStyle w:val="NormalTok"/>
        </w:rPr>
        <w:t xml:space="preserve">        recomputes </w:t>
      </w:r>
      <w:r>
        <w:rPr>
          <w:rStyle w:val="OperatorTok"/>
        </w:rPr>
        <w:t xml:space="preserve">+=</w:t>
      </w:r>
      <w:r>
        <w:rPr>
          <w:rStyle w:val="NormalTok"/>
        </w:rPr>
        <w:t xml:space="preserve"> </w:t>
      </w:r>
      <w:r>
        <w:rPr>
          <w:rStyle w:val="DecValTok"/>
        </w:rPr>
        <w:t xml:space="preserve">1</w:t>
      </w:r>
      <w:r>
        <w:br/>
      </w:r>
      <w:r>
        <w:rPr>
          <w:rStyle w:val="NormalTok"/>
        </w:rPr>
        <w:t xml:space="preserve">        inflight.append(now </w:t>
      </w:r>
      <w:r>
        <w:rPr>
          <w:rStyle w:val="OperatorTok"/>
        </w:rPr>
        <w:t xml:space="preserve">+</w:t>
      </w:r>
      <w:r>
        <w:rPr>
          <w:rStyle w:val="NormalTok"/>
        </w:rPr>
        <w:t xml:space="preserve"> delta)</w:t>
      </w:r>
      <w:r>
        <w:br/>
      </w:r>
      <w:r>
        <w:rPr>
          <w:rStyle w:val="NormalTok"/>
        </w:rPr>
        <w:t xml:space="preserve">        </w:t>
      </w:r>
      <w:r>
        <w:rPr>
          <w:rStyle w:val="ControlFlowTok"/>
        </w:rPr>
        <w:t xml:space="preserve">if</w:t>
      </w:r>
      <w:r>
        <w:rPr>
          <w:rStyle w:val="NormalTok"/>
        </w:rPr>
        <w:t xml:space="preserve"> now </w:t>
      </w:r>
      <w:r>
        <w:rPr>
          <w:rStyle w:val="OperatorTok"/>
        </w:rPr>
        <w:t xml:space="preserve">&gt;</w:t>
      </w:r>
      <w:r>
        <w:rPr>
          <w:rStyle w:val="NormalTok"/>
        </w:rPr>
        <w:t xml:space="preserve"> last_episode </w:t>
      </w:r>
      <w:r>
        <w:rPr>
          <w:rStyle w:val="OperatorTok"/>
        </w:rPr>
        <w:t xml:space="preserve">+</w:t>
      </w:r>
      <w:r>
        <w:rPr>
          <w:rStyle w:val="NormalTok"/>
        </w:rPr>
        <w:t xml:space="preserve"> delta:   </w:t>
      </w:r>
      <w:r>
        <w:rPr>
          <w:rStyle w:val="CommentTok"/>
        </w:rPr>
        <w:t xml:space="preserve"># first recompute of a new refresh</w:t>
      </w:r>
      <w:r>
        <w:br/>
      </w:r>
      <w:r>
        <w:rPr>
          <w:rStyle w:val="NormalTok"/>
        </w:rPr>
        <w:t xml:space="preserve">            episodes </w:t>
      </w:r>
      <w:r>
        <w:rPr>
          <w:rStyle w:val="OperatorTok"/>
        </w:rPr>
        <w:t xml:space="preserve">+=</w:t>
      </w:r>
      <w:r>
        <w:rPr>
          <w:rStyle w:val="NormalTok"/>
        </w:rPr>
        <w:t xml:space="preserve"> </w:t>
      </w:r>
      <w:r>
        <w:rPr>
          <w:rStyle w:val="DecValTok"/>
        </w:rPr>
        <w:t xml:space="preserve">1</w:t>
      </w:r>
      <w:r>
        <w:br/>
      </w:r>
      <w:r>
        <w:rPr>
          <w:rStyle w:val="NormalTok"/>
        </w:rPr>
        <w:t xml:space="preserve">            last_episode </w:t>
      </w:r>
      <w:r>
        <w:rPr>
          <w:rStyle w:val="OperatorTok"/>
        </w:rPr>
        <w:t xml:space="preserve">=</w:t>
      </w:r>
      <w:r>
        <w:rPr>
          <w:rStyle w:val="NormalTok"/>
        </w:rPr>
        <w:t xml:space="preserve"> now</w:t>
      </w:r>
      <w:r>
        <w:br/>
      </w:r>
      <w:r>
        <w:rPr>
          <w:rStyle w:val="NormalTok"/>
        </w:rPr>
        <w:t xml:space="preserve">            leads.append(expiry </w:t>
      </w:r>
      <w:r>
        <w:rPr>
          <w:rStyle w:val="OperatorTok"/>
        </w:rPr>
        <w:t xml:space="preserve">-</w:t>
      </w:r>
      <w:r>
        <w:rPr>
          <w:rStyle w:val="NormalTok"/>
        </w:rPr>
        <w:t xml:space="preserve"> now)   </w:t>
      </w:r>
      <w:r>
        <w:rPr>
          <w:rStyle w:val="CommentTok"/>
        </w:rPr>
        <w:t xml:space="preserve"># &gt; 0 means refreshed before expiry</w:t>
      </w:r>
      <w:r>
        <w:br/>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t </w:t>
      </w:r>
      <w:r>
        <w:rPr>
          <w:rStyle w:val="OperatorTok"/>
        </w:rPr>
        <w:t xml:space="preserve">+=</w:t>
      </w:r>
      <w:r>
        <w:rPr>
          <w:rStyle w:val="NormalTok"/>
        </w:rPr>
        <w:t xml:space="preserve"> rng.expovariate(rate)       </w:t>
      </w:r>
      <w:r>
        <w:rPr>
          <w:rStyle w:val="CommentTok"/>
        </w:rPr>
        <w:t xml:space="preserve"># next request (Poisson arrivals)</w:t>
      </w:r>
      <w:r>
        <w:br/>
      </w:r>
      <w:r>
        <w:rPr>
          <w:rStyle w:val="NormalTok"/>
        </w:rPr>
        <w:t xml:space="preserve">        </w:t>
      </w:r>
      <w:r>
        <w:rPr>
          <w:rStyle w:val="ControlFlowTok"/>
        </w:rPr>
        <w:t xml:space="preserve">if</w:t>
      </w:r>
      <w:r>
        <w:rPr>
          <w:rStyle w:val="NormalTok"/>
        </w:rPr>
        <w:t xml:space="preserve"> t </w:t>
      </w:r>
      <w:r>
        <w:rPr>
          <w:rStyle w:val="OperatorTok"/>
        </w:rPr>
        <w:t xml:space="preserve">&gt;=</w:t>
      </w:r>
      <w:r>
        <w:rPr>
          <w:rStyle w:val="NormalTok"/>
        </w:rPr>
        <w:t xml:space="preserve"> end:</w:t>
      </w:r>
      <w:r>
        <w:br/>
      </w:r>
      <w:r>
        <w:rPr>
          <w:rStyle w:val="NormalTok"/>
        </w:rPr>
        <w:t xml:space="preserve">            </w:t>
      </w:r>
      <w:r>
        <w:rPr>
          <w:rStyle w:val="ControlFlowTok"/>
        </w:rPr>
        <w:t xml:space="preserve">break</w:t>
      </w:r>
      <w:r>
        <w:br/>
      </w:r>
      <w:r>
        <w:rPr>
          <w:rStyle w:val="NormalTok"/>
        </w:rPr>
        <w:t xml:space="preserve">        requests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[f </w:t>
      </w:r>
      <w:r>
        <w:rPr>
          <w:rStyle w:val="ControlFlowTok"/>
        </w:rPr>
        <w:t xml:space="preserve">for</w:t>
      </w:r>
      <w:r>
        <w:rPr>
          <w:rStyle w:val="NormalTok"/>
        </w:rPr>
        <w:t xml:space="preserve"> f </w:t>
      </w:r>
      <w:r>
        <w:rPr>
          <w:rStyle w:val="KeywordTok"/>
        </w:rPr>
        <w:t xml:space="preserve">in</w:t>
      </w:r>
      <w:r>
        <w:rPr>
          <w:rStyle w:val="NormalTok"/>
        </w:rPr>
        <w:t xml:space="preserve"> inflight </w:t>
      </w:r>
      <w:r>
        <w:rPr>
          <w:rStyle w:val="ControlFlowTok"/>
        </w:rPr>
        <w:t xml:space="preserve">if</w:t>
      </w:r>
      <w:r>
        <w:rPr>
          <w:rStyle w:val="NormalTok"/>
        </w:rPr>
        <w:t xml:space="preserve"> f </w:t>
      </w:r>
      <w:r>
        <w:rPr>
          <w:rStyle w:val="OperatorTok"/>
        </w:rPr>
        <w:t xml:space="preserve">&lt;=</w:t>
      </w:r>
      <w:r>
        <w:rPr>
          <w:rStyle w:val="NormalTok"/>
        </w:rPr>
        <w:t xml:space="preserve"> t]:</w:t>
      </w:r>
      <w:r>
        <w:br/>
      </w:r>
      <w:r>
        <w:rPr>
          <w:rStyle w:val="NormalTok"/>
        </w:rPr>
        <w:t xml:space="preserve">            inflight.remove(f)           </w:t>
      </w:r>
      <w:r>
        <w:rPr>
          <w:rStyle w:val="CommentTok"/>
        </w:rPr>
        <w:t xml:space="preserve"># a recompute finished: store value</w:t>
      </w:r>
      <w:r>
        <w:br/>
      </w:r>
      <w:r>
        <w:rPr>
          <w:rStyle w:val="NormalTok"/>
        </w:rPr>
        <w:t xml:space="preserve">            expiry </w:t>
      </w:r>
      <w:r>
        <w:rPr>
          <w:rStyle w:val="OperatorTok"/>
        </w:rPr>
        <w:t xml:space="preserve">=</w:t>
      </w:r>
      <w:r>
        <w:rPr>
          <w:rStyle w:val="NormalTok"/>
        </w:rPr>
        <w:t xml:space="preserve"> f </w:t>
      </w:r>
      <w:r>
        <w:rPr>
          <w:rStyle w:val="OperatorTok"/>
        </w:rPr>
        <w:t xml:space="preserve">+</w:t>
      </w:r>
      <w:r>
        <w:rPr>
          <w:rStyle w:val="NormalTok"/>
        </w:rPr>
        <w:t xml:space="preserve"> ttl</w:t>
      </w:r>
      <w:r>
        <w:br/>
      </w:r>
      <w:r>
        <w:rPr>
          <w:rStyle w:val="NormalTok"/>
        </w:rPr>
        <w:t xml:space="preserve">        </w:t>
      </w:r>
      <w:r>
        <w:rPr>
          <w:rStyle w:val="ControlFlowTok"/>
        </w:rPr>
        <w:t xml:space="preserve">if</w:t>
      </w:r>
      <w:r>
        <w:rPr>
          <w:rStyle w:val="NormalTok"/>
        </w:rPr>
        <w:t xml:space="preserve"> t </w:t>
      </w:r>
      <w:r>
        <w:rPr>
          <w:rStyle w:val="OperatorTok"/>
        </w:rPr>
        <w:t xml:space="preserve">&gt;=</w:t>
      </w:r>
      <w:r>
        <w:rPr>
          <w:rStyle w:val="NormalTok"/>
        </w:rPr>
        <w:t xml:space="preserve"> expiry:                  </w:t>
      </w:r>
      <w:r>
        <w:rPr>
          <w:rStyle w:val="CommentTok"/>
        </w:rPr>
        <w:t xml:space="preserve"># value missing: the request misses</w:t>
      </w:r>
      <w:r>
        <w:br/>
      </w:r>
      <w:r>
        <w:rPr>
          <w:rStyle w:val="NormalTok"/>
        </w:rPr>
        <w:t xml:space="preserve">            misses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policy </w:t>
      </w:r>
      <w:r>
        <w:rPr>
          <w:rStyle w:val="OperatorTok"/>
        </w:rPr>
        <w:t xml:space="preserve">==</w:t>
      </w:r>
      <w:r>
        <w:rPr>
          <w:rStyle w:val="NormalTok"/>
        </w:rPr>
        <w:t xml:space="preserve"> </w:t>
      </w:r>
      <w:r>
        <w:rPr>
          <w:rStyle w:val="StringTok"/>
        </w:rPr>
        <w:t xml:space="preserve">"none"</w:t>
      </w:r>
      <w:r>
        <w:rPr>
          <w:rStyle w:val="NormalTok"/>
        </w:rPr>
        <w:t xml:space="preserve"> </w:t>
      </w:r>
      <w:r>
        <w:rPr>
          <w:rStyle w:val="KeywordTok"/>
        </w:rPr>
        <w:t xml:space="preserve">or</w:t>
      </w:r>
      <w:r>
        <w:rPr>
          <w:rStyle w:val="NormalTok"/>
        </w:rPr>
        <w:t xml:space="preserve"> </w:t>
      </w:r>
      <w:r>
        <w:rPr>
          <w:rStyle w:val="KeywordTok"/>
        </w:rPr>
        <w:t xml:space="preserve">not</w:t>
      </w:r>
      <w:r>
        <w:rPr>
          <w:rStyle w:val="NormalTok"/>
        </w:rPr>
        <w:t xml:space="preserve"> inflight:</w:t>
      </w:r>
      <w:r>
        <w:br/>
      </w:r>
      <w:r>
        <w:rPr>
          <w:rStyle w:val="NormalTok"/>
        </w:rPr>
        <w:t xml:space="preserve">                start(t)                 </w:t>
      </w:r>
      <w:r>
        <w:rPr>
          <w:rStyle w:val="CommentTok"/>
        </w:rPr>
        <w:t xml:space="preserve"># "lock" lets only one recompute run</w:t>
      </w:r>
      <w:r>
        <w:br/>
      </w:r>
      <w:r>
        <w:rPr>
          <w:rStyle w:val="NormalTok"/>
        </w:rPr>
        <w:t xml:space="preserve">        </w:t>
      </w:r>
      <w:r>
        <w:rPr>
          <w:rStyle w:val="ControlFlowTok"/>
        </w:rPr>
        <w:t xml:space="preserve">elif</w:t>
      </w:r>
      <w:r>
        <w:rPr>
          <w:rStyle w:val="NormalTok"/>
        </w:rPr>
        <w:t xml:space="preserve"> policy.startswith(</w:t>
      </w:r>
      <w:r>
        <w:rPr>
          <w:rStyle w:val="StringTok"/>
        </w:rPr>
        <w:t xml:space="preserve">"xfetch"</w:t>
      </w:r>
      <w:r>
        <w:rPr>
          <w:rStyle w:val="NormalTok"/>
        </w:rPr>
        <w:t xml:space="preserve">):</w:t>
      </w:r>
      <w:r>
        <w:br/>
      </w:r>
      <w:r>
        <w:rPr>
          <w:rStyle w:val="NormalTok"/>
        </w:rPr>
        <w:t xml:space="preserve">            early </w:t>
      </w:r>
      <w:r>
        <w:rPr>
          <w:rStyle w:val="OperatorTok"/>
        </w:rPr>
        <w:t xml:space="preserve">=</w:t>
      </w:r>
      <w:r>
        <w:rPr>
          <w:rStyle w:val="NormalTok"/>
        </w:rPr>
        <w:t xml:space="preserve"> t </w:t>
      </w:r>
      <w:r>
        <w:rPr>
          <w:rStyle w:val="OperatorTok"/>
        </w:rPr>
        <w:t xml:space="preserve">-</w:t>
      </w:r>
      <w:r>
        <w:rPr>
          <w:rStyle w:val="NormalTok"/>
        </w:rPr>
        <w:t xml:space="preserve"> delta </w:t>
      </w:r>
      <w:r>
        <w:rPr>
          <w:rStyle w:val="OperatorTok"/>
        </w:rPr>
        <w:t xml:space="preserve">*</w:t>
      </w:r>
      <w:r>
        <w:rPr>
          <w:rStyle w:val="NormalTok"/>
        </w:rPr>
        <w:t xml:space="preserve"> beta </w:t>
      </w:r>
      <w:r>
        <w:rPr>
          <w:rStyle w:val="OperatorTok"/>
        </w:rPr>
        <w:t xml:space="preserve">*</w:t>
      </w:r>
      <w:r>
        <w:rPr>
          <w:rStyle w:val="NormalTok"/>
        </w:rPr>
        <w:t xml:space="preserve"> math.log(rng.random()) </w:t>
      </w:r>
      <w:r>
        <w:rPr>
          <w:rStyle w:val="OperatorTok"/>
        </w:rPr>
        <w:t xml:space="preserve">&gt;=</w:t>
      </w:r>
      <w:r>
        <w:rPr>
          <w:rStyle w:val="NormalTok"/>
        </w:rPr>
        <w:t xml:space="preserve"> expiry</w:t>
      </w:r>
      <w:r>
        <w:br/>
      </w:r>
      <w:r>
        <w:rPr>
          <w:rStyle w:val="NormalTok"/>
        </w:rPr>
        <w:t xml:space="preserve">            </w:t>
      </w:r>
      <w:r>
        <w:rPr>
          <w:rStyle w:val="ControlFlowTok"/>
        </w:rPr>
        <w:t xml:space="preserve">if</w:t>
      </w:r>
      <w:r>
        <w:rPr>
          <w:rStyle w:val="NormalTok"/>
        </w:rPr>
        <w:t xml:space="preserve"> early </w:t>
      </w:r>
      <w:r>
        <w:rPr>
          <w:rStyle w:val="KeywordTok"/>
        </w:rPr>
        <w:t xml:space="preserve">and</w:t>
      </w:r>
      <w:r>
        <w:rPr>
          <w:rStyle w:val="NormalTok"/>
        </w:rPr>
        <w:t xml:space="preserve"> (policy </w:t>
      </w:r>
      <w:r>
        <w:rPr>
          <w:rStyle w:val="OperatorTok"/>
        </w:rPr>
        <w:t xml:space="preserve">==</w:t>
      </w:r>
      <w:r>
        <w:rPr>
          <w:rStyle w:val="NormalTok"/>
        </w:rPr>
        <w:t xml:space="preserve"> </w:t>
      </w:r>
      <w:r>
        <w:rPr>
          <w:rStyle w:val="StringTok"/>
        </w:rPr>
        <w:t xml:space="preserve">"xfetch"</w:t>
      </w:r>
      <w:r>
        <w:rPr>
          <w:rStyle w:val="NormalTok"/>
        </w:rPr>
        <w:t xml:space="preserve"> </w:t>
      </w:r>
      <w:r>
        <w:rPr>
          <w:rStyle w:val="KeywordTok"/>
        </w:rPr>
        <w:t xml:space="preserve">or</w:t>
      </w:r>
      <w:r>
        <w:rPr>
          <w:rStyle w:val="NormalTok"/>
        </w:rPr>
        <w:t xml:space="preserve"> </w:t>
      </w:r>
      <w:r>
        <w:rPr>
          <w:rStyle w:val="KeywordTok"/>
        </w:rPr>
        <w:t xml:space="preserve">not</w:t>
      </w:r>
      <w:r>
        <w:rPr>
          <w:rStyle w:val="NormalTok"/>
        </w:rPr>
        <w:t xml:space="preserve"> inflight):</w:t>
      </w:r>
      <w:r>
        <w:br/>
      </w:r>
      <w:r>
        <w:rPr>
          <w:rStyle w:val="NormalTok"/>
        </w:rPr>
        <w:t xml:space="preserve">                start(t)                 </w:t>
      </w:r>
      <w:r>
        <w:rPr>
          <w:rStyle w:val="CommentTok"/>
        </w:rPr>
        <w:t xml:space="preserve"># "xfetch+lock" also skips duplicates</w:t>
      </w:r>
      <w:r>
        <w:br/>
      </w:r>
      <w:r>
        <w:rPr>
          <w:rStyle w:val="NormalTok"/>
        </w:rPr>
        <w:t xml:space="preserve">    </w:t>
      </w:r>
      <w:r>
        <w:rPr>
          <w:rStyle w:val="ControlFlowTok"/>
        </w:rPr>
        <w:t xml:space="preserve">return</w:t>
      </w:r>
      <w:r>
        <w:rPr>
          <w:rStyle w:val="NormalTok"/>
        </w:rPr>
        <w:t xml:space="preserve"> </w:t>
      </w:r>
      <w:r>
        <w:rPr>
          <w:rStyle w:val="BuiltInTok"/>
        </w:rPr>
        <w:t xml:space="preserve">dict</w:t>
      </w:r>
      <w:r>
        <w:rPr>
          <w:rStyle w:val="NormalTok"/>
        </w:rPr>
        <w:t xml:space="preserve">(requests</w:t>
      </w:r>
      <w:r>
        <w:rPr>
          <w:rStyle w:val="OperatorTok"/>
        </w:rPr>
        <w:t xml:space="preserve">=</w:t>
      </w:r>
      <w:r>
        <w:rPr>
          <w:rStyle w:val="NormalTok"/>
        </w:rPr>
        <w:t xml:space="preserve">requests, episodes</w:t>
      </w:r>
      <w:r>
        <w:rPr>
          <w:rStyle w:val="OperatorTok"/>
        </w:rPr>
        <w:t xml:space="preserve">=</w:t>
      </w:r>
      <w:r>
        <w:rPr>
          <w:rStyle w:val="NormalTok"/>
        </w:rPr>
        <w:t xml:space="preserve">episodes,</w:t>
      </w:r>
      <w:r>
        <w:br/>
      </w:r>
      <w:r>
        <w:rPr>
          <w:rStyle w:val="NormalTok"/>
        </w:rPr>
        <w:t xml:space="preserve">                per_refresh</w:t>
      </w:r>
      <w:r>
        <w:rPr>
          <w:rStyle w:val="OperatorTok"/>
        </w:rPr>
        <w:t xml:space="preserve">=</w:t>
      </w:r>
      <w:r>
        <w:rPr>
          <w:rStyle w:val="NormalTok"/>
        </w:rPr>
        <w:t xml:space="preserve">recomputes </w:t>
      </w:r>
      <w:r>
        <w:rPr>
          <w:rStyle w:val="OperatorTok"/>
        </w:rPr>
        <w:t xml:space="preserve">/</w:t>
      </w:r>
      <w:r>
        <w:rPr>
          <w:rStyle w:val="NormalTok"/>
        </w:rPr>
        <w:t xml:space="preserve"> episodes, miss_ratio</w:t>
      </w:r>
      <w:r>
        <w:rPr>
          <w:rStyle w:val="OperatorTok"/>
        </w:rPr>
        <w:t xml:space="preserve">=</w:t>
      </w:r>
      <w:r>
        <w:rPr>
          <w:rStyle w:val="NormalTok"/>
        </w:rPr>
        <w:t xml:space="preserve">misses </w:t>
      </w:r>
      <w:r>
        <w:rPr>
          <w:rStyle w:val="OperatorTok"/>
        </w:rPr>
        <w:t xml:space="preserve">/</w:t>
      </w:r>
      <w:r>
        <w:rPr>
          <w:rStyle w:val="NormalTok"/>
        </w:rPr>
        <w:t xml:space="preserve"> requests,</w:t>
      </w:r>
      <w:r>
        <w:br/>
      </w:r>
      <w:r>
        <w:rPr>
          <w:rStyle w:val="NormalTok"/>
        </w:rPr>
        <w:t xml:space="preserve">                mean_lead</w:t>
      </w:r>
      <w:r>
        <w:rPr>
          <w:rStyle w:val="OperatorTok"/>
        </w:rPr>
        <w:t xml:space="preserve">=</w:t>
      </w:r>
      <w:r>
        <w:rPr>
          <w:rStyle w:val="BuiltInTok"/>
        </w:rPr>
        <w:t xml:space="preserve">sum</w:t>
      </w:r>
      <w:r>
        <w:rPr>
          <w:rStyle w:val="NormalTok"/>
        </w:rPr>
        <w:t xml:space="preserve">(leads) </w:t>
      </w:r>
      <w:r>
        <w:rPr>
          <w:rStyle w:val="OperatorTok"/>
        </w:rPr>
        <w:t xml:space="preserve">/</w:t>
      </w:r>
      <w:r>
        <w:rPr>
          <w:rStyle w:val="NormalTok"/>
        </w:rPr>
        <w:t xml:space="preserve"> </w:t>
      </w:r>
      <w:r>
        <w:rPr>
          <w:rStyle w:val="BuiltInTok"/>
        </w:rPr>
        <w:t xml:space="preserve">len</w:t>
      </w:r>
      <w:r>
        <w:rPr>
          <w:rStyle w:val="NormalTok"/>
        </w:rPr>
        <w:t xml:space="preserve">(leads))</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rate, delta </w:t>
      </w:r>
      <w:r>
        <w:rPr>
          <w:rStyle w:val="OperatorTok"/>
        </w:rPr>
        <w:t xml:space="preserve">=</w:t>
      </w:r>
      <w:r>
        <w:rPr>
          <w:rStyle w:val="NormalTok"/>
        </w:rPr>
        <w:t xml:space="preserve"> </w:t>
      </w:r>
      <w:r>
        <w:rPr>
          <w:rStyle w:val="FloatTok"/>
        </w:rPr>
        <w:t xml:space="preserve">100.0</w:t>
      </w:r>
      <w:r>
        <w:rPr>
          <w:rStyle w:val="NormalTok"/>
        </w:rPr>
        <w:t xml:space="preserve">, </w:t>
      </w:r>
      <w:r>
        <w:rPr>
          <w:rStyle w:val="FloatTok"/>
        </w:rPr>
        <w:t xml:space="preserve">2.0</w:t>
      </w:r>
      <w:r>
        <w:br/>
      </w:r>
      <w:r>
        <w:rPr>
          <w:rStyle w:val="NormalTok"/>
        </w:rPr>
        <w:t xml:space="preserve">    </w:t>
      </w:r>
      <w:r>
        <w:rPr>
          <w:rStyle w:val="BuiltInTok"/>
        </w:rPr>
        <w:t xml:space="preserve">print</w:t>
      </w:r>
      <w:r>
        <w:rPr>
          <w:rStyle w:val="NormalTok"/>
        </w:rPr>
        <w:t xml:space="preserve">(</w:t>
      </w:r>
      <w:r>
        <w:rPr>
          <w:rStyle w:val="SpecialStringTok"/>
        </w:rPr>
        <w:t xml:space="preserve">f"rate </w:t>
      </w:r>
      <w:r>
        <w:rPr>
          <w:rStyle w:val="SpecialCharTok"/>
        </w:rPr>
        <w:t xml:space="preserve">{</w:t>
      </w:r>
      <w:r>
        <w:rPr>
          <w:rStyle w:val="NormalTok"/>
        </w:rPr>
        <w:t xml:space="preserve">rate</w:t>
      </w:r>
      <w:r>
        <w:rPr>
          <w:rStyle w:val="SpecialCharTok"/>
        </w:rPr>
        <w:t xml:space="preserve">:.0f}</w:t>
      </w:r>
      <w:r>
        <w:rPr>
          <w:rStyle w:val="SpecialStringTok"/>
        </w:rPr>
        <w:t xml:space="preserve"> req/s, TTL 60 s, recompute time </w:t>
      </w:r>
      <w:r>
        <w:rPr>
          <w:rStyle w:val="SpecialCharTok"/>
        </w:rPr>
        <w:t xml:space="preserve">{</w:t>
      </w:r>
      <w:r>
        <w:rPr>
          <w:rStyle w:val="NormalTok"/>
        </w:rPr>
        <w:t xml:space="preserve">delta</w:t>
      </w:r>
      <w:r>
        <w:rPr>
          <w:rStyle w:val="SpecialCharTok"/>
        </w:rPr>
        <w:t xml:space="preserve">:.0f}</w:t>
      </w:r>
      <w:r>
        <w:rPr>
          <w:rStyle w:val="SpecialStringTok"/>
        </w:rPr>
        <w:t xml:space="preserve"> s, 3 hours"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'policy'</w:t>
      </w:r>
      <w:r>
        <w:rPr>
          <w:rStyle w:val="SpecialCharTok"/>
        </w:rPr>
        <w:t xml:space="preserve">:&lt;14}{</w:t>
      </w:r>
      <w:r>
        <w:rPr>
          <w:rStyle w:val="StringTok"/>
        </w:rPr>
        <w:t xml:space="preserve">'beta'</w:t>
      </w:r>
      <w:r>
        <w:rPr>
          <w:rStyle w:val="SpecialCharTok"/>
        </w:rPr>
        <w:t xml:space="preserve">:&gt;5}{</w:t>
      </w:r>
      <w:r>
        <w:rPr>
          <w:rStyle w:val="StringTok"/>
        </w:rPr>
        <w:t xml:space="preserve">'recomputes/refresh'</w:t>
      </w:r>
      <w:r>
        <w:rPr>
          <w:rStyle w:val="SpecialCharTok"/>
        </w:rPr>
        <w:t xml:space="preserve">:&gt;20}{</w:t>
      </w:r>
      <w:r>
        <w:rPr>
          <w:rStyle w:val="StringTok"/>
        </w:rPr>
        <w:t xml:space="preserve">'miss ratio'</w:t>
      </w:r>
      <w:r>
        <w:rPr>
          <w:rStyle w:val="SpecialCharTok"/>
        </w:rPr>
        <w:t xml:space="preserve">:&gt;12}</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StringTok"/>
        </w:rPr>
        <w:t xml:space="preserve">'mean lead (s)'</w:t>
      </w:r>
      <w:r>
        <w:rPr>
          <w:rStyle w:val="SpecialCharTok"/>
        </w:rPr>
        <w:t xml:space="preserve">:&gt;15}{</w:t>
      </w:r>
      <w:r>
        <w:rPr>
          <w:rStyle w:val="StringTok"/>
        </w:rPr>
        <w:t xml:space="preserve">'theory lead'</w:t>
      </w:r>
      <w:r>
        <w:rPr>
          <w:rStyle w:val="SpecialCharTok"/>
        </w:rPr>
        <w:t xml:space="preserve">:&gt;13}</w:t>
      </w:r>
      <w:r>
        <w:rPr>
          <w:rStyle w:val="SpecialStringTok"/>
        </w:rPr>
        <w:t xml:space="preserve">"</w:t>
      </w:r>
      <w:r>
        <w:rPr>
          <w:rStyle w:val="NormalTok"/>
        </w:rPr>
        <w:t xml:space="preserve">)</w:t>
      </w:r>
      <w:r>
        <w:br/>
      </w:r>
      <w:r>
        <w:rPr>
          <w:rStyle w:val="NormalTok"/>
        </w:rPr>
        <w:t xml:space="preserve">    runs </w:t>
      </w:r>
      <w:r>
        <w:rPr>
          <w:rStyle w:val="OperatorTok"/>
        </w:rPr>
        <w:t xml:space="preserve">=</w:t>
      </w:r>
      <w:r>
        <w:rPr>
          <w:rStyle w:val="NormalTok"/>
        </w:rPr>
        <w:t xml:space="preserve"> [(</w:t>
      </w:r>
      <w:r>
        <w:rPr>
          <w:rStyle w:val="StringTok"/>
        </w:rPr>
        <w:t xml:space="preserve">"none"</w:t>
      </w:r>
      <w:r>
        <w:rPr>
          <w:rStyle w:val="NormalTok"/>
        </w:rPr>
        <w:t xml:space="preserve">, </w:t>
      </w:r>
      <w:r>
        <w:rPr>
          <w:rStyle w:val="FloatTok"/>
        </w:rPr>
        <w:t xml:space="preserve">1.0</w:t>
      </w:r>
      <w:r>
        <w:rPr>
          <w:rStyle w:val="NormalTok"/>
        </w:rPr>
        <w:t xml:space="preserve">), (</w:t>
      </w:r>
      <w:r>
        <w:rPr>
          <w:rStyle w:val="StringTok"/>
        </w:rPr>
        <w:t xml:space="preserve">"lock"</w:t>
      </w:r>
      <w:r>
        <w:rPr>
          <w:rStyle w:val="NormalTok"/>
        </w:rPr>
        <w:t xml:space="preserve">, </w:t>
      </w:r>
      <w:r>
        <w:rPr>
          <w:rStyle w:val="FloatTok"/>
        </w:rPr>
        <w:t xml:space="preserve">1.0</w:t>
      </w:r>
      <w:r>
        <w:rPr>
          <w:rStyle w:val="NormalTok"/>
        </w:rPr>
        <w:t xml:space="preserve">), (</w:t>
      </w:r>
      <w:r>
        <w:rPr>
          <w:rStyle w:val="StringTok"/>
        </w:rPr>
        <w:t xml:space="preserve">"xfetch"</w:t>
      </w:r>
      <w:r>
        <w:rPr>
          <w:rStyle w:val="NormalTok"/>
        </w:rPr>
        <w:t xml:space="preserve">, </w:t>
      </w:r>
      <w:r>
        <w:rPr>
          <w:rStyle w:val="FloatTok"/>
        </w:rPr>
        <w:t xml:space="preserve">0.5</w:t>
      </w:r>
      <w:r>
        <w:rPr>
          <w:rStyle w:val="NormalTok"/>
        </w:rPr>
        <w:t xml:space="preserve">), (</w:t>
      </w:r>
      <w:r>
        <w:rPr>
          <w:rStyle w:val="StringTok"/>
        </w:rPr>
        <w:t xml:space="preserve">"xfetch"</w:t>
      </w:r>
      <w:r>
        <w:rPr>
          <w:rStyle w:val="NormalTok"/>
        </w:rPr>
        <w:t xml:space="preserve">, </w:t>
      </w:r>
      <w:r>
        <w:rPr>
          <w:rStyle w:val="FloatTok"/>
        </w:rPr>
        <w:t xml:space="preserve">1.0</w:t>
      </w:r>
      <w:r>
        <w:rPr>
          <w:rStyle w:val="NormalTok"/>
        </w:rPr>
        <w:t xml:space="preserve">),</w:t>
      </w:r>
      <w:r>
        <w:br/>
      </w:r>
      <w:r>
        <w:rPr>
          <w:rStyle w:val="NormalTok"/>
        </w:rPr>
        <w:t xml:space="preserve">            (</w:t>
      </w:r>
      <w:r>
        <w:rPr>
          <w:rStyle w:val="StringTok"/>
        </w:rPr>
        <w:t xml:space="preserve">"xfetch"</w:t>
      </w:r>
      <w:r>
        <w:rPr>
          <w:rStyle w:val="NormalTok"/>
        </w:rPr>
        <w:t xml:space="preserve">, </w:t>
      </w:r>
      <w:r>
        <w:rPr>
          <w:rStyle w:val="FloatTok"/>
        </w:rPr>
        <w:t xml:space="preserve">2.0</w:t>
      </w:r>
      <w:r>
        <w:rPr>
          <w:rStyle w:val="NormalTok"/>
        </w:rPr>
        <w:t xml:space="preserve">), (</w:t>
      </w:r>
      <w:r>
        <w:rPr>
          <w:rStyle w:val="StringTok"/>
        </w:rPr>
        <w:t xml:space="preserve">"xfetch+lock"</w:t>
      </w:r>
      <w:r>
        <w:rPr>
          <w:rStyle w:val="NormalTok"/>
        </w:rPr>
        <w:t xml:space="preserve">, </w:t>
      </w:r>
      <w:r>
        <w:rPr>
          <w:rStyle w:val="FloatTok"/>
        </w:rPr>
        <w:t xml:space="preserve">1.0</w:t>
      </w:r>
      <w:r>
        <w:rPr>
          <w:rStyle w:val="NormalTok"/>
        </w:rPr>
        <w:t xml:space="preserve">)]</w:t>
      </w:r>
      <w:r>
        <w:br/>
      </w:r>
      <w:r>
        <w:rPr>
          <w:rStyle w:val="NormalTok"/>
        </w:rPr>
        <w:t xml:space="preserve">    </w:t>
      </w:r>
      <w:r>
        <w:rPr>
          <w:rStyle w:val="ControlFlowTok"/>
        </w:rPr>
        <w:t xml:space="preserve">for</w:t>
      </w:r>
      <w:r>
        <w:rPr>
          <w:rStyle w:val="NormalTok"/>
        </w:rPr>
        <w:t xml:space="preserve"> policy, beta </w:t>
      </w:r>
      <w:r>
        <w:rPr>
          <w:rStyle w:val="KeywordTok"/>
        </w:rPr>
        <w:t xml:space="preserve">in</w:t>
      </w:r>
      <w:r>
        <w:rPr>
          <w:rStyle w:val="NormalTok"/>
        </w:rPr>
        <w:t xml:space="preserve"> runs:</w:t>
      </w:r>
      <w:r>
        <w:br/>
      </w:r>
      <w:r>
        <w:rPr>
          <w:rStyle w:val="NormalTok"/>
        </w:rPr>
        <w:t xml:space="preserve">        r </w:t>
      </w:r>
      <w:r>
        <w:rPr>
          <w:rStyle w:val="OperatorTok"/>
        </w:rPr>
        <w:t xml:space="preserve">=</w:t>
      </w:r>
      <w:r>
        <w:rPr>
          <w:rStyle w:val="NormalTok"/>
        </w:rPr>
        <w:t xml:space="preserve"> simulate(policy, rate</w:t>
      </w:r>
      <w:r>
        <w:rPr>
          <w:rStyle w:val="OperatorTok"/>
        </w:rPr>
        <w:t xml:space="preserve">=</w:t>
      </w:r>
      <w:r>
        <w:rPr>
          <w:rStyle w:val="NormalTok"/>
        </w:rPr>
        <w:t xml:space="preserve">rate, delta</w:t>
      </w:r>
      <w:r>
        <w:rPr>
          <w:rStyle w:val="OperatorTok"/>
        </w:rPr>
        <w:t xml:space="preserve">=</w:t>
      </w:r>
      <w:r>
        <w:rPr>
          <w:rStyle w:val="NormalTok"/>
        </w:rPr>
        <w:t xml:space="preserve">delta, beta</w:t>
      </w:r>
      <w:r>
        <w:rPr>
          <w:rStyle w:val="OperatorTok"/>
        </w:rPr>
        <w:t xml:space="preserve">=</w:t>
      </w:r>
      <w:r>
        <w:rPr>
          <w:rStyle w:val="NormalTok"/>
        </w:rPr>
        <w:t xml:space="preserve">beta)</w:t>
      </w:r>
      <w:r>
        <w:br/>
      </w:r>
      <w:r>
        <w:rPr>
          <w:rStyle w:val="NormalTok"/>
        </w:rPr>
        <w:t xml:space="preserve">        theory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delta </w:t>
      </w:r>
      <w:r>
        <w:rPr>
          <w:rStyle w:val="OperatorTok"/>
        </w:rPr>
        <w:t xml:space="preserve">*</w:t>
      </w:r>
      <w:r>
        <w:rPr>
          <w:rStyle w:val="NormalTok"/>
        </w:rPr>
        <w:t xml:space="preserve"> beta </w:t>
      </w:r>
      <w:r>
        <w:rPr>
          <w:rStyle w:val="OperatorTok"/>
        </w:rPr>
        <w:t xml:space="preserve">*</w:t>
      </w:r>
      <w:r>
        <w:rPr>
          <w:rStyle w:val="NormalTok"/>
        </w:rPr>
        <w:t xml:space="preserve"> (math.log(rate </w:t>
      </w:r>
      <w:r>
        <w:rPr>
          <w:rStyle w:val="OperatorTok"/>
        </w:rPr>
        <w:t xml:space="preserve">*</w:t>
      </w:r>
      <w:r>
        <w:rPr>
          <w:rStyle w:val="NormalTok"/>
        </w:rPr>
        <w:t xml:space="preserve"> delta </w:t>
      </w:r>
      <w:r>
        <w:rPr>
          <w:rStyle w:val="OperatorTok"/>
        </w:rPr>
        <w:t xml:space="preserve">*</w:t>
      </w:r>
      <w:r>
        <w:rPr>
          <w:rStyle w:val="NormalTok"/>
        </w:rPr>
        <w:t xml:space="preserve"> beta) </w:t>
      </w:r>
      <w:r>
        <w:rPr>
          <w:rStyle w:val="OperatorTok"/>
        </w:rPr>
        <w:t xml:space="preserve">+</w:t>
      </w:r>
      <w:r>
        <w:rPr>
          <w:rStyle w:val="NormalTok"/>
        </w:rPr>
        <w:t xml:space="preserve"> </w:t>
      </w:r>
      <w:r>
        <w:rPr>
          <w:rStyle w:val="FloatTok"/>
        </w:rPr>
        <w:t xml:space="preserve">0.5772</w:t>
      </w:r>
      <w:r>
        <w:rPr>
          <w:rStyle w:val="NormalTok"/>
        </w:rPr>
        <w:t xml:space="preserve">)</w:t>
      </w:r>
      <w:r>
        <w:rPr>
          <w:rStyle w:val="SpecialCharTok"/>
        </w:rPr>
        <w:t xml:space="preserve">:.2f}</w:t>
      </w:r>
      <w:r>
        <w:rPr>
          <w:rStyle w:val="SpecialStringTok"/>
        </w:rPr>
        <w:t xml:space="preserve">"</w:t>
      </w:r>
      <w:r>
        <w:br/>
      </w:r>
      <w:r>
        <w:rPr>
          <w:rStyle w:val="NormalTok"/>
        </w:rPr>
        <w:t xml:space="preserve">                  </w:t>
      </w:r>
      <w:r>
        <w:rPr>
          <w:rStyle w:val="ControlFlowTok"/>
        </w:rPr>
        <w:t xml:space="preserve">if</w:t>
      </w:r>
      <w:r>
        <w:rPr>
          <w:rStyle w:val="NormalTok"/>
        </w:rPr>
        <w:t xml:space="preserve"> policy.startswith(</w:t>
      </w:r>
      <w:r>
        <w:rPr>
          <w:rStyle w:val="StringTok"/>
        </w:rPr>
        <w:t xml:space="preserve">"xfetch"</w:t>
      </w:r>
      <w:r>
        <w:rPr>
          <w:rStyle w:val="NormalTok"/>
        </w:rPr>
        <w:t xml:space="preserve">) </w:t>
      </w:r>
      <w:r>
        <w:rPr>
          <w:rStyle w:val="ControlFlowTok"/>
        </w:rPr>
        <w:t xml:space="preserve">else</w:t>
      </w:r>
      <w:r>
        <w:rPr>
          <w:rStyle w:val="NormalTok"/>
        </w:rPr>
        <w:t xml:space="preserve"> </w:t>
      </w:r>
      <w:r>
        <w:rPr>
          <w:rStyle w:v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policy</w:t>
      </w:r>
      <w:r>
        <w:rPr>
          <w:rStyle w:val="SpecialCharTok"/>
        </w:rPr>
        <w:t xml:space="preserve">:&lt;14}{</w:t>
      </w:r>
      <w:r>
        <w:rPr>
          <w:rStyle w:val="NormalTok"/>
        </w:rPr>
        <w:t xml:space="preserve">beta</w:t>
      </w:r>
      <w:r>
        <w:rPr>
          <w:rStyle w:val="SpecialCharTok"/>
        </w:rPr>
        <w:t xml:space="preserve">:&gt;5}{</w:t>
      </w:r>
      <w:r>
        <w:rPr>
          <w:rStyle w:val="NormalTok"/>
        </w:rPr>
        <w:t xml:space="preserve">r[</w:t>
      </w:r>
      <w:r>
        <w:rPr>
          <w:rStyle w:val="StringTok"/>
        </w:rPr>
        <w:t xml:space="preserve">'per_refresh'</w:t>
      </w:r>
      <w:r>
        <w:rPr>
          <w:rStyle w:val="NormalTok"/>
        </w:rPr>
        <w:t xml:space="preserve">]</w:t>
      </w:r>
      <w:r>
        <w:rPr>
          <w:rStyle w:val="SpecialCharTok"/>
        </w:rPr>
        <w:t xml:space="preserve">:&gt;20.2f}{</w:t>
      </w:r>
      <w:r>
        <w:rPr>
          <w:rStyle w:val="NormalTok"/>
        </w:rPr>
        <w:t xml:space="preserve">r[</w:t>
      </w:r>
      <w:r>
        <w:rPr>
          <w:rStyle w:val="StringTok"/>
        </w:rPr>
        <w:t xml:space="preserve">'miss_ratio'</w:t>
      </w:r>
      <w:r>
        <w:rPr>
          <w:rStyle w:val="NormalTok"/>
        </w:rPr>
        <w:t xml:space="preserve">]</w:t>
      </w:r>
      <w:r>
        <w:rPr>
          <w:rStyle w:val="SpecialCharTok"/>
        </w:rPr>
        <w:t xml:space="preserve">:&gt;12.4%}</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r[</w:t>
      </w:r>
      <w:r>
        <w:rPr>
          <w:rStyle w:val="StringTok"/>
        </w:rPr>
        <w:t xml:space="preserve">'mean_lead'</w:t>
      </w:r>
      <w:r>
        <w:rPr>
          <w:rStyle w:val="NormalTok"/>
        </w:rPr>
        <w:t xml:space="preserve">]</w:t>
      </w:r>
      <w:r>
        <w:rPr>
          <w:rStyle w:val="SpecialCharTok"/>
        </w:rPr>
        <w:t xml:space="preserve">:&gt;15.2f}{</w:t>
      </w:r>
      <w:r>
        <w:rPr>
          <w:rStyle w:val="NormalTok"/>
        </w:rPr>
        <w:t xml:space="preserve">theory</w:t>
      </w:r>
      <w:r>
        <w:rPr>
          <w:rStyle w:val="SpecialCharTok"/>
        </w:rPr>
        <w:t xml:space="preserve">:&gt;13}</w:t>
      </w:r>
      <w:r>
        <w:rPr>
          <w:rStyle w:val="SpecialStringTok"/>
        </w:rPr>
        <w:t xml:space="preserve">"</w:t>
      </w:r>
      <w:r>
        <w:rPr>
          <w:rStyle w:val="NormalTok"/>
        </w:rPr>
        <w:t xml:space="preserve">)</w:t>
      </w:r>
    </w:p>
    <w:p>
      <w:pPr>
        <w:pStyle w:val="FirstParagraph"/>
      </w:pPr>
      <w:r>
        <w:t xml:space="preserve">Output:</w:t>
      </w:r>
    </w:p>
    <w:p>
      <w:pPr>
        <w:pStyle w:val="SourceCode"/>
      </w:pPr>
      <w:r>
        <w:rPr>
          <w:rStyle w:val="VerbatimChar"/>
        </w:rPr>
        <w:t xml:space="preserve">rate 100 req/s, TTL 60 s, recompute time 2 s, 3 hours</w:t>
      </w:r>
      <w:r>
        <w:br/>
      </w:r>
      <w:r>
        <w:rPr>
          <w:rStyle w:val="VerbatimChar"/>
        </w:rPr>
        <w:t xml:space="preserve">policy         beta  recomputes/refresh  miss ratio  mean lead (s)  theory lead</w:t>
      </w:r>
      <w:r>
        <w:br/>
      </w:r>
      <w:r>
        <w:rPr>
          <w:rStyle w:val="VerbatimChar"/>
        </w:rPr>
        <w:t xml:space="preserve">none            1.0              202.77     3.1517%          -0.01            -</w:t>
      </w:r>
      <w:r>
        <w:br/>
      </w:r>
      <w:r>
        <w:rPr>
          <w:rStyle w:val="VerbatimChar"/>
        </w:rPr>
        <w:t xml:space="preserve">lock            1.0                1.00     3.2451%          -0.01            -</w:t>
      </w:r>
      <w:r>
        <w:br/>
      </w:r>
      <w:r>
        <w:rPr>
          <w:rStyle w:val="VerbatimChar"/>
        </w:rPr>
        <w:t xml:space="preserve">xfetch          0.5                6.71     0.0000%           5.30         5.18</w:t>
      </w:r>
      <w:r>
        <w:br/>
      </w:r>
      <w:r>
        <w:rPr>
          <w:rStyle w:val="VerbatimChar"/>
        </w:rPr>
        <w:t xml:space="preserve">xfetch          1.0                2.50     0.0000%          12.05        11.75</w:t>
      </w:r>
      <w:r>
        <w:br/>
      </w:r>
      <w:r>
        <w:rPr>
          <w:rStyle w:val="VerbatimChar"/>
        </w:rPr>
        <w:t xml:space="preserve">xfetch          2.0                1.66     0.0000%          26.58        26.27</w:t>
      </w:r>
      <w:r>
        <w:br/>
      </w:r>
      <w:r>
        <w:rPr>
          <w:rStyle w:val="VerbatimChar"/>
        </w:rPr>
        <w:t xml:space="preserve">xfetch+lock     1.0                1.00     0.0000%          11.83        11.75</w:t>
      </w:r>
    </w:p>
    <w:p>
      <w:pPr>
        <w:pStyle w:val="FirstParagraph"/>
      </w:pPr>
      <w:r>
        <w:t xml:space="preserve">What to notice:</w:t>
      </w:r>
    </w:p>
    <w:p>
      <w:pPr>
        <w:numPr>
          <w:ilvl w:val="0"/>
          <w:numId w:val="1670"/>
        </w:numPr>
        <w:pStyle w:val="Compact"/>
      </w:pPr>
      <w:r>
        <w:t xml:space="preserve">Without protection each refresh costs about 200 recomputations (</w:t>
      </w:r>
      <m:oMath>
        <m:r>
          <m:t>λ</m:t>
        </m:r>
        <m:r>
          <m:t>δ</m:t>
        </m:r>
      </m:oMath>
      <w:r>
        <w:t xml:space="preserve">) and 3.2% of requests miss (</w:t>
      </w:r>
      <m:oMath>
        <m:r>
          <m:t>δ</m:t>
        </m:r>
        <m:r>
          <m:rPr>
            <m:sty m:val="p"/>
          </m:rPr>
          <m:t>/</m:t>
        </m:r>
        <m:d>
          <m:dPr>
            <m:begChr m:val="("/>
            <m:endChr m:val=")"/>
            <m:sepChr m:val=""/>
            <m:grow/>
          </m:dPr>
          <m:e>
            <m:r>
              <m:rPr>
                <m:nor/>
                <m:sty m:val="p"/>
              </m:rPr>
              <m:t>TTL</m:t>
            </m:r>
            <m:r>
              <m:rPr>
                <m:sty m:val="p"/>
              </m:rPr>
              <m:t>+</m:t>
            </m:r>
            <m:r>
              <m:t>δ</m:t>
            </m:r>
          </m:e>
        </m:d>
        <m:r>
          <m:rPr>
            <m:sty m:val="p"/>
          </m:rPr>
          <m:t>=</m:t>
        </m:r>
        <m:r>
          <m:t>2</m:t>
        </m:r>
        <m:r>
          <m:rPr>
            <m:sty m:val="p"/>
          </m:rPr>
          <m:t>/</m:t>
        </m:r>
        <m:r>
          <m:t>62</m:t>
        </m:r>
      </m:oMath>
      <w:r>
        <w:t xml:space="preserve">).</w:t>
      </w:r>
    </w:p>
    <w:p>
      <w:pPr>
        <w:numPr>
          <w:ilvl w:val="0"/>
          <w:numId w:val="1670"/>
        </w:numPr>
        <w:pStyle w:val="Compact"/>
      </w:pPr>
      <w:r>
        <w:t xml:space="preserve">A lock fixes the duplicate work but not the misses: requests during the recompute still wait.</w:t>
      </w:r>
    </w:p>
    <w:p>
      <w:pPr>
        <w:numPr>
          <w:ilvl w:val="0"/>
          <w:numId w:val="1670"/>
        </w:numPr>
        <w:pStyle w:val="Compact"/>
      </w:pPr>
      <w:r>
        <w:t xml:space="preserve">XFetch removes misses entirely, and its leads match the formula within half a second. Duplicate recomputes (6.71, 2.50, 1.66) sit within sampling error of</w:t>
      </w:r>
      <w:r>
        <w:t xml:space="preserve"> </w:t>
      </w:r>
      <m:oMath>
        <m:sSup>
          <m:e>
            <m:r>
              <m:t>e</m:t>
            </m:r>
          </m:e>
          <m:sup>
            <m:r>
              <m:t>1</m:t>
            </m:r>
            <m:r>
              <m:rPr>
                <m:sty m:val="p"/>
              </m:rPr>
              <m:t>/</m:t>
            </m:r>
            <m:r>
              <m:t>β</m:t>
            </m:r>
          </m:sup>
        </m:sSup>
      </m:oMath>
      <w:r>
        <w:t xml:space="preserve"> </w:t>
      </w:r>
      <w:r>
        <w:t xml:space="preserve">(7.39, 2.72, 1.65); averaged over 40 simulated hours they are 7.50, 2.71 and 1.63.</w:t>
      </w:r>
    </w:p>
    <w:p>
      <w:pPr>
        <w:numPr>
          <w:ilvl w:val="0"/>
          <w:numId w:val="1670"/>
        </w:numPr>
        <w:pStyle w:val="Compact"/>
      </w:pPr>
      <w:r>
        <w:t xml:space="preserve">XFetch plus a non-blocking lock gives exactly one recompute and no misses.</w:t>
      </w:r>
    </w:p>
    <w:bookmarkEnd w:id="2334"/>
    <w:bookmarkStart w:id="2335" w:name="stale-while-revalidate"/>
    <w:p>
      <w:pPr>
        <w:pStyle w:val="Heading3"/>
      </w:pPr>
      <w:r>
        <w:t xml:space="preserve">20.11.3 Stale-while-revalidate</w:t>
      </w:r>
    </w:p>
    <w:p>
      <w:pPr>
        <w:pStyle w:val="FirstParagraph"/>
      </w:pPr>
      <w:r>
        <w:t xml:space="preserve">Keep entries past their</w:t>
      </w:r>
      <w:r>
        <w:t xml:space="preserve"> </w:t>
      </w:r>
      <w:r>
        <w:rPr>
          <w:bCs/>
          <w:b/>
        </w:rPr>
        <w:t xml:space="preserve">soft TTL</w:t>
      </w:r>
      <w:r>
        <w:t xml:space="preserve">: after it, serve the stale value immediately and trigger one background refresh; delete only at a later</w:t>
      </w:r>
      <w:r>
        <w:t xml:space="preserve"> </w:t>
      </w:r>
      <w:r>
        <w:rPr>
          <w:bCs/>
          <w:b/>
        </w:rPr>
        <w:t xml:space="preserve">hard TTL</w:t>
      </w:r>
      <w:r>
        <w:t xml:space="preserve">. This is HTTP’s</w:t>
      </w:r>
      <w:r>
        <w:t xml:space="preserve"> </w:t>
      </w:r>
      <w:r>
        <w:rPr>
          <w:rStyle w:val="VerbatimChar"/>
        </w:rPr>
        <w:t xml:space="preserve">stale-while-revalidate</w:t>
      </w:r>
      <w:r>
        <w:t xml:space="preserve"> </w:t>
      </w:r>
      <w:r>
        <w:t xml:space="preserve">(§20.5.2) applied to an application cache, and it gives the same result as XFetch plus a lock when traffic is steady. It also enables</w:t>
      </w:r>
      <w:r>
        <w:t xml:space="preserve"> </w:t>
      </w:r>
      <w:r>
        <w:rPr>
          <w:bCs/>
          <w:b/>
        </w:rPr>
        <w:t xml:space="preserve">stale-if-error</w:t>
      </w:r>
      <w:r>
        <w:t xml:space="preserve">: if the database is down, keep serving the last good value. The price is explicit staleness, so use it only where showing a value a few seconds old is acceptable.</w:t>
      </w:r>
    </w:p>
    <w:bookmarkEnd w:id="2335"/>
    <w:bookmarkEnd w:id="2336"/>
    <w:bookmarkStart w:id="2340" w:name="cache-penetration"/>
    <w:p>
      <w:pPr>
        <w:pStyle w:val="Heading2"/>
      </w:pPr>
      <w:r>
        <w:t xml:space="preserve">20.12 Cache penetration</w:t>
      </w:r>
    </w:p>
    <w:p>
      <w:pPr>
        <w:pStyle w:val="CalloutDefinition"/>
      </w:pPr>
      <w:r>
        <w:rPr>
          <w:bCs/>
          <w:b/>
        </w:rPr>
        <w:t xml:space="preserve">DEFINITION</w:t>
      </w:r>
    </w:p>
    <w:p>
      <w:pPr>
        <w:pStyle w:val="CalloutDefinition"/>
      </w:pPr>
      <w:r>
        <w:rPr>
          <w:bCs/>
          <w:b/>
        </w:rPr>
        <w:t xml:space="preserve">Definition — Cache penetration.</w:t>
      </w:r>
      <w:r>
        <w:t xml:space="preserve"> </w:t>
      </w:r>
      <w:r>
        <w:t xml:space="preserve">Requests for keys that do not exist in the database. Because there is nothing to cache, every such request misses and reaches the database. A bug or an attacker iterating random IDs can push the database’s full read load through the cache.</w:t>
      </w:r>
    </w:p>
    <w:p>
      <w:pPr>
        <w:pStyle w:val="BodyText"/>
      </w:pPr>
      <w:r>
        <w:t xml:space="preserve">Two defenses work together:</w:t>
      </w:r>
    </w:p>
    <w:p>
      <w:pPr>
        <w:numPr>
          <w:ilvl w:val="0"/>
          <w:numId w:val="1671"/>
        </w:numPr>
        <w:pStyle w:val="Compact"/>
      </w:pPr>
      <w:r>
        <w:rPr>
          <w:bCs/>
          <w:b/>
        </w:rPr>
        <w:t xml:space="preserve">Negative caching</w:t>
      </w:r>
      <w:r>
        <w:t xml:space="preserve">: cache the</w:t>
      </w:r>
      <w:r>
        <w:t xml:space="preserve"> </w:t>
      </w:r>
      <w:r>
        <w:t xml:space="preserve">“</w:t>
      </w:r>
      <w:r>
        <w:t xml:space="preserve">not found</w:t>
      </w:r>
      <w:r>
        <w:t xml:space="preserve">”</w:t>
      </w:r>
      <w:r>
        <w:t xml:space="preserve"> </w:t>
      </w:r>
      <w:r>
        <w:t xml:space="preserve">result under the key with a short TTL (for example 30–60 s), so repeated lookups of the same missing key hit. It fails against random keys, each requested once, and wastes memory on them.</w:t>
      </w:r>
    </w:p>
    <w:p>
      <w:pPr>
        <w:numPr>
          <w:ilvl w:val="0"/>
          <w:numId w:val="1671"/>
        </w:numPr>
        <w:pStyle w:val="Compact"/>
      </w:pPr>
      <w:r>
        <w:rPr>
          <w:bCs/>
          <w:b/>
        </w:rPr>
        <w:t xml:space="preserve">A Bloom filter of existing keys</w:t>
      </w:r>
      <w:r>
        <w:t xml:space="preserve"> </w:t>
      </w:r>
      <w:r>
        <w:t xml:space="preserve">in front of the cache: if the filter says</w:t>
      </w:r>
      <w:r>
        <w:t xml:space="preserve"> </w:t>
      </w:r>
      <w:r>
        <w:t xml:space="preserve">“</w:t>
      </w:r>
      <w:r>
        <w:t xml:space="preserve">definitely absent</w:t>
      </w:r>
      <w:r>
        <w:t xml:space="preserve">”</w:t>
      </w:r>
      <w:r>
        <w:t xml:space="preserve">, return 404 without touching cache or database. False positives (1% at about 9.6 bits per key, §17.4.3) only let a small fraction through. The filter must be updated on insert and rebuilt periodically to remove deleted keys, or use a cuckoo filter that supports deletion (§17.4.7).</w:t>
      </w:r>
    </w:p>
    <w:p>
      <w:pPr>
        <w:pStyle w:val="FirstParagraph"/>
      </w:pPr>
      <w:r>
        <w:rPr>
          <w:bCs/>
          <w:b/>
        </w:rPr>
        <w:t xml:space="preserve">Figure 20.15 — Defenses against cache penetration.</w:t>
      </w:r>
    </w:p>
    <w:p>
      <w:pPr>
        <w:pStyle w:val="BodyText"/>
      </w:pPr>
      <w:r>
        <w:drawing>
          <wp:inline>
            <wp:extent cx="5334000" cy="1192305"/>
            <wp:effectExtent b="0" l="0" r="0" t="0"/>
            <wp:docPr descr="" title="" id="2338" name="Picture"/>
            <a:graphic>
              <a:graphicData uri="http://schemas.openxmlformats.org/drawingml/2006/picture">
                <pic:pic>
                  <pic:nvPicPr>
                    <pic:cNvPr descr="/home/user/System-Design/build/.cache/diagrams/9db6f8b0e7ae.png" id="2339" name="Picture"/>
                    <pic:cNvPicPr>
                      <a:picLocks noChangeArrowheads="1" noChangeAspect="1"/>
                    </pic:cNvPicPr>
                  </pic:nvPicPr>
                  <pic:blipFill>
                    <a:blip r:embed="rId2337"/>
                    <a:stretch>
                      <a:fillRect/>
                    </a:stretch>
                  </pic:blipFill>
                  <pic:spPr bwMode="auto">
                    <a:xfrm>
                      <a:off x="0" y="0"/>
                      <a:ext cx="5334000" cy="1192305"/>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in-memory Bloom filter rejects most nonexistent IDs before any network call. Survivors go to the cache, which returns a value or a cached</w:t>
      </w:r>
      <w:r>
        <w:t xml:space="preserve"> </w:t>
      </w:r>
      <w:r>
        <w:t xml:space="preserve">“</w:t>
      </w:r>
      <w:r>
        <w:t xml:space="preserve">not found</w:t>
      </w:r>
      <w:r>
        <w:t xml:space="preserve">”</w:t>
      </w:r>
      <w:r>
        <w:t xml:space="preserve"> </w:t>
      </w:r>
      <w:r>
        <w:t xml:space="preserve">marker; only true misses reach the database, and a not-found result is stored with a short TTL (dotted). All checks are synchronous. Storage boundaries: filter, cache, database. Failure points: a filter that lags behind inserts returns false 404s, so add keys before they become visible, and delete negative markers on creation. Scaling: at 1% false positives, 100,000 random IDs/s let about 1,000 through.</w:t>
      </w:r>
    </w:p>
    <w:p>
      <w:pPr>
        <w:pStyle w:val="BodyText"/>
      </w:pPr>
      <w:r>
        <w:t xml:space="preserve">Rate limiting per client (§22.3) and validating ID formats before lookup complete the defense.</w:t>
      </w:r>
    </w:p>
    <w:bookmarkEnd w:id="2340"/>
    <w:bookmarkStart w:id="2341" w:name="cache-avalanche"/>
    <w:p>
      <w:pPr>
        <w:pStyle w:val="Heading2"/>
      </w:pPr>
      <w:r>
        <w:t xml:space="preserve">20.13 Cache avalanche</w:t>
      </w:r>
    </w:p>
    <w:p>
      <w:pPr>
        <w:pStyle w:val="CalloutDefinition"/>
      </w:pPr>
      <w:r>
        <w:rPr>
          <w:bCs/>
          <w:b/>
        </w:rPr>
        <w:t xml:space="preserve">DEFINITION</w:t>
      </w:r>
    </w:p>
    <w:p>
      <w:pPr>
        <w:pStyle w:val="CalloutDefinition"/>
      </w:pPr>
      <w:r>
        <w:rPr>
          <w:bCs/>
          <w:b/>
        </w:rPr>
        <w:t xml:space="preserve">Definition — Cache avalanche.</w:t>
      </w:r>
      <w:r>
        <w:t xml:space="preserve"> </w:t>
      </w:r>
      <w:r>
        <w:t xml:space="preserve">A large fraction of cache entries becomes unavailable at once, because many keys expire together or because cache nodes fail or restart, so the database suddenly receives the full read load.</w:t>
      </w:r>
    </w:p>
    <w:p>
      <w:pPr>
        <w:pStyle w:val="BodyText"/>
      </w:pPr>
      <w:r>
        <w:t xml:space="preserve">At</w:t>
      </w:r>
      <w:r>
        <w:t xml:space="preserve"> </w:t>
      </w:r>
      <m:oMath>
        <m:r>
          <m:t>h</m:t>
        </m:r>
        <m:r>
          <m:rPr>
            <m:sty m:val="p"/>
          </m:rPr>
          <m:t>=</m:t>
        </m:r>
        <m:r>
          <m:t>0.99</m:t>
        </m:r>
      </m:oMath>
      <w:r>
        <w:t xml:space="preserve"> </w:t>
      </w:r>
      <w:r>
        <w:t xml:space="preserve">the database sees 1% of reads; with the cache gone it sees 100%, a 100× jump, and the resulting timeouts and retries add more load (§22.12).</w:t>
      </w:r>
    </w:p>
    <w:p>
      <w:pPr>
        <w:pStyle w:val="BodyText"/>
      </w:pPr>
      <w:r>
        <w:t xml:space="preserve">Defenses:</w:t>
      </w:r>
    </w:p>
    <w:p>
      <w:pPr>
        <w:numPr>
          <w:ilvl w:val="0"/>
          <w:numId w:val="1672"/>
        </w:numPr>
        <w:pStyle w:val="Compact"/>
      </w:pPr>
      <w:r>
        <w:rPr>
          <w:bCs/>
          <w:b/>
        </w:rPr>
        <w:t xml:space="preserve">TTL jitter</w:t>
      </w:r>
      <w:r>
        <w:t xml:space="preserve"> </w:t>
      </w:r>
      <w:r>
        <w:t xml:space="preserve">(§20.8) so mass-written keys do not expire together.</w:t>
      </w:r>
    </w:p>
    <w:p>
      <w:pPr>
        <w:numPr>
          <w:ilvl w:val="0"/>
          <w:numId w:val="1672"/>
        </w:numPr>
        <w:pStyle w:val="Compact"/>
      </w:pPr>
      <w:r>
        <w:rPr>
          <w:bCs/>
          <w:b/>
        </w:rPr>
        <w:t xml:space="preserve">Replicated, highly available cache</w:t>
      </w:r>
      <w:r>
        <w:t xml:space="preserve"> </w:t>
      </w:r>
      <w:r>
        <w:t xml:space="preserve">(Redis replicas with automatic failover; a gutter pool, §20.10.2), so one node failure does not empty its share of keys.</w:t>
      </w:r>
    </w:p>
    <w:p>
      <w:pPr>
        <w:numPr>
          <w:ilvl w:val="0"/>
          <w:numId w:val="1672"/>
        </w:numPr>
        <w:pStyle w:val="Compact"/>
      </w:pPr>
      <w:r>
        <w:rPr>
          <w:bCs/>
          <w:b/>
        </w:rPr>
        <w:t xml:space="preserve">Warming</w:t>
      </w:r>
      <w:r>
        <w:t xml:space="preserve">: before a new or restarted cache takes traffic, load the hottest keys from a key list, a snapshot (RDB) or a warm peer; Facebook warms a new cluster by letting it read from a warm cluster’s caches instead of the database [Nishtala et al. 2013].</w:t>
      </w:r>
    </w:p>
    <w:p>
      <w:pPr>
        <w:numPr>
          <w:ilvl w:val="0"/>
          <w:numId w:val="1672"/>
        </w:numPr>
        <w:pStyle w:val="Compact"/>
      </w:pPr>
      <w:r>
        <w:rPr>
          <w:bCs/>
          <w:b/>
        </w:rPr>
        <w:t xml:space="preserve">Tiered fallback</w:t>
      </w:r>
      <w:r>
        <w:t xml:space="preserve">: an in-process L1 (§20.5.4) and stale-if-error serving keep answering hot keys during an L2 outage.</w:t>
      </w:r>
    </w:p>
    <w:p>
      <w:pPr>
        <w:numPr>
          <w:ilvl w:val="0"/>
          <w:numId w:val="1672"/>
        </w:numPr>
        <w:pStyle w:val="Compact"/>
      </w:pPr>
      <w:r>
        <w:rPr>
          <w:bCs/>
          <w:b/>
        </w:rPr>
        <w:t xml:space="preserve">Protect the database</w:t>
      </w:r>
      <w:r>
        <w:t xml:space="preserve">: admission control, load shedding and circuit breakers (§22.9, §22.13) so it degrades by rejecting a fraction of requests rather than collapsing.</w:t>
      </w:r>
    </w:p>
    <w:p>
      <w:pPr>
        <w:pStyle w:val="FirstParagraph"/>
      </w:pPr>
      <w:r>
        <w:rPr>
          <w:bCs/>
          <w:b/>
        </w:rPr>
        <w:t xml:space="preserve">Table 20.7 — The three classic cache failure modes.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Stampede</w:t>
            </w:r>
          </w:p>
        </w:tc>
        <w:tc>
          <w:tcPr/>
          <w:p>
            <w:pPr>
              <w:pStyle w:val="Compact"/>
              <w:jc w:val="left"/>
            </w:pPr>
            <w:r>
              <w:t xml:space="preserve">One hot key expires;</w:t>
            </w:r>
            <w:r>
              <w:t xml:space="preserve"> </w:t>
            </w:r>
            <m:oMath>
              <m:r>
                <m:t>λ</m:t>
              </m:r>
              <m:r>
                <m:t>δ</m:t>
              </m:r>
            </m:oMath>
            <w:r>
              <w:t xml:space="preserve"> </w:t>
            </w:r>
            <w:r>
              <w:t xml:space="preserve">concurrent recomputes</w:t>
            </w:r>
          </w:p>
        </w:tc>
        <w:tc>
          <w:tcPr/>
          <w:p>
            <w:pPr>
              <w:pStyle w:val="Compact"/>
              <w:jc w:val="left"/>
            </w:pPr>
            <w:r>
              <w:t xml:space="preserve">Spikes of identical queries; per-key miss bursts</w:t>
            </w:r>
          </w:p>
        </w:tc>
        <w:tc>
          <w:tcPr/>
          <w:p>
            <w:pPr>
              <w:pStyle w:val="Compact"/>
              <w:jc w:val="left"/>
            </w:pPr>
            <w:r>
              <w:t xml:space="preserve">Shed load; serve stale</w:t>
            </w:r>
          </w:p>
        </w:tc>
        <w:tc>
          <w:tcPr/>
          <w:p>
            <w:pPr>
              <w:pStyle w:val="Compact"/>
              <w:jc w:val="left"/>
            </w:pPr>
            <w:r>
              <w:t xml:space="preserve">Leases or single-flight, XFetch, stale-while-revalidate</w:t>
            </w:r>
          </w:p>
        </w:tc>
      </w:tr>
      <w:tr>
        <w:tc>
          <w:tcPr/>
          <w:p>
            <w:pPr>
              <w:pStyle w:val="Compact"/>
              <w:jc w:val="left"/>
            </w:pPr>
            <w:r>
              <w:t xml:space="preserve">Penetration</w:t>
            </w:r>
          </w:p>
        </w:tc>
        <w:tc>
          <w:tcPr/>
          <w:p>
            <w:pPr>
              <w:pStyle w:val="Compact"/>
              <w:jc w:val="left"/>
            </w:pPr>
            <w:r>
              <w:t xml:space="preserve">Requests for nonexistent keys bypass the cache</w:t>
            </w:r>
          </w:p>
        </w:tc>
        <w:tc>
          <w:tcPr/>
          <w:p>
            <w:pPr>
              <w:pStyle w:val="Compact"/>
              <w:jc w:val="left"/>
            </w:pPr>
            <w:r>
              <w:t xml:space="preserve">High miss ratio with many</w:t>
            </w:r>
            <w:r>
              <w:t xml:space="preserve"> </w:t>
            </w:r>
            <w:r>
              <w:t xml:space="preserve">“</w:t>
            </w:r>
            <w:r>
              <w:t xml:space="preserve">not found</w:t>
            </w:r>
            <w:r>
              <w:t xml:space="preserve">”</w:t>
            </w:r>
            <w:r>
              <w:t xml:space="preserve"> </w:t>
            </w:r>
            <w:r>
              <w:t xml:space="preserve">results</w:t>
            </w:r>
          </w:p>
        </w:tc>
        <w:tc>
          <w:tcPr/>
          <w:p>
            <w:pPr>
              <w:pStyle w:val="Compact"/>
              <w:jc w:val="left"/>
            </w:pPr>
            <w:r>
              <w:t xml:space="preserve">Block abusive clients</w:t>
            </w:r>
          </w:p>
        </w:tc>
        <w:tc>
          <w:tcPr/>
          <w:p>
            <w:pPr>
              <w:pStyle w:val="Compact"/>
              <w:jc w:val="left"/>
            </w:pPr>
            <w:r>
              <w:t xml:space="preserve">Negative caching, Bloom filter, rate limits, ID validation</w:t>
            </w:r>
          </w:p>
        </w:tc>
      </w:tr>
      <w:tr>
        <w:tc>
          <w:tcPr/>
          <w:p>
            <w:pPr>
              <w:pStyle w:val="Compact"/>
              <w:jc w:val="left"/>
            </w:pPr>
            <w:r>
              <w:t xml:space="preserve">Avalanche</w:t>
            </w:r>
          </w:p>
        </w:tc>
        <w:tc>
          <w:tcPr/>
          <w:p>
            <w:pPr>
              <w:pStyle w:val="Compact"/>
              <w:jc w:val="left"/>
            </w:pPr>
            <w:r>
              <w:t xml:space="preserve">Many keys expire together, or cache nodes fail</w:t>
            </w:r>
          </w:p>
        </w:tc>
        <w:tc>
          <w:tcPr/>
          <w:p>
            <w:pPr>
              <w:pStyle w:val="Compact"/>
              <w:jc w:val="left"/>
            </w:pPr>
            <w:r>
              <w:t xml:space="preserve">Hit ratio collapses; database queries/s jump</w:t>
            </w:r>
          </w:p>
        </w:tc>
        <w:tc>
          <w:tcPr/>
          <w:p>
            <w:pPr>
              <w:pStyle w:val="Compact"/>
              <w:jc w:val="left"/>
            </w:pPr>
            <w:r>
              <w:t xml:space="preserve">Throttle, warm caches, fail over</w:t>
            </w:r>
          </w:p>
        </w:tc>
        <w:tc>
          <w:tcPr/>
          <w:p>
            <w:pPr>
              <w:pStyle w:val="Compact"/>
              <w:jc w:val="left"/>
            </w:pPr>
            <w:r>
              <w:t xml:space="preserve">Jitter, replication, warming, L1 and stale-if-error, load shedding</w:t>
            </w:r>
          </w:p>
        </w:tc>
      </w:tr>
    </w:tbl>
    <w:bookmarkEnd w:id="2341"/>
    <w:bookmarkStart w:id="2342" w:name="X403c2b044d23de04868a6a8b0ebd1ee5ab6cbf1"/>
    <w:p>
      <w:pPr>
        <w:pStyle w:val="Heading2"/>
      </w:pPr>
      <w:r>
        <w:t xml:space="preserve">20.14 Distributed caching and consistent hashing</w:t>
      </w:r>
    </w:p>
    <w:p>
      <w:pPr>
        <w:pStyle w:val="FirstParagraph"/>
      </w:pPr>
      <w:r>
        <w:t xml:space="preserve">A single cache node is limited by its RAM (tens to hundreds of GB) and, for Redis, by one execution core. A distributed cache partitions keys over</w:t>
      </w:r>
      <w:r>
        <w:t xml:space="preserve"> </w:t>
      </w:r>
      <m:oMath>
        <m:r>
          <m:t>N</m:t>
        </m:r>
      </m:oMath>
      <w:r>
        <w:t xml:space="preserve"> </w:t>
      </w:r>
      <w:r>
        <w:t xml:space="preserve">nodes. With</w:t>
      </w:r>
      <w:r>
        <w:t xml:space="preserve"> </w:t>
      </w:r>
      <w:r>
        <w:rPr>
          <w:rStyle w:val="VerbatimChar"/>
        </w:rPr>
        <w:t xml:space="preserve">hash(key) mod N</w:t>
      </w:r>
      <w:r>
        <w:t xml:space="preserve">, adding a node remaps about</w:t>
      </w:r>
      <w:r>
        <w:t xml:space="preserve"> </w:t>
      </w:r>
      <m:oMath>
        <m:r>
          <m:t>N</m:t>
        </m:r>
        <m:r>
          <m:rPr>
            <m:sty m:val="p"/>
          </m:rPr>
          <m:t>/</m:t>
        </m:r>
        <m:d>
          <m:dPr>
            <m:begChr m:val="("/>
            <m:endChr m:val=")"/>
            <m:sepChr m:val=""/>
            <m:grow/>
          </m:dPr>
          <m:e>
            <m:r>
              <m:t>N</m:t>
            </m:r>
            <m:r>
              <m:rPr>
                <m:sty m:val="p"/>
              </m:rPr>
              <m:t>+</m:t>
            </m:r>
            <m:r>
              <m:t>1</m:t>
            </m:r>
          </m:e>
        </m:d>
      </m:oMath>
      <w:r>
        <w:t xml:space="preserve"> </w:t>
      </w:r>
      <w:r>
        <w:t xml:space="preserve">of keys, which for a cache means that fraction of entries effectively vanishes: a self-inflicted avalanche.</w:t>
      </w:r>
      <w:r>
        <w:t xml:space="preserve"> </w:t>
      </w:r>
      <w:r>
        <w:rPr>
          <w:bCs/>
          <w:b/>
        </w:rPr>
        <w:t xml:space="preserve">Consistent hashing</w:t>
      </w:r>
      <w:r>
        <w:t xml:space="preserve"> </w:t>
      </w:r>
      <w:r>
        <w:t xml:space="preserve">with virtual nodes moves only about</w:t>
      </w:r>
      <w:r>
        <w:t xml:space="preserve"> </w:t>
      </w:r>
      <m:oMath>
        <m:r>
          <m:t>1</m:t>
        </m:r>
        <m:r>
          <m:rPr>
            <m:sty m:val="p"/>
          </m:rPr>
          <m:t>/</m:t>
        </m:r>
        <m:d>
          <m:dPr>
            <m:begChr m:val="("/>
            <m:endChr m:val=")"/>
            <m:sepChr m:val=""/>
            <m:grow/>
          </m:dPr>
          <m:e>
            <m:r>
              <m:t>N</m:t>
            </m:r>
            <m:r>
              <m:rPr>
                <m:sty m:val="p"/>
              </m:rPr>
              <m:t>+</m:t>
            </m:r>
            <m:r>
              <m:t>1</m:t>
            </m:r>
          </m:e>
        </m:d>
      </m:oMath>
      <w:r>
        <w:t xml:space="preserve"> </w:t>
      </w:r>
      <w:r>
        <w:t xml:space="preserve">of keys and spreads the moved load evenly; §14.8 derives it, and §3.3.2 works through a cache example. Three routing designs exist:</w:t>
      </w:r>
    </w:p>
    <w:p>
      <w:pPr>
        <w:numPr>
          <w:ilvl w:val="0"/>
          <w:numId w:val="1673"/>
        </w:numPr>
        <w:pStyle w:val="Compact"/>
      </w:pPr>
      <w:r>
        <w:rPr>
          <w:bCs/>
          <w:b/>
        </w:rPr>
        <w:t xml:space="preserve">Client-side routing</w:t>
      </w:r>
      <w:r>
        <w:t xml:space="preserve">: the client library holds the ring (most Memcached clients, Ketama hashing).</w:t>
      </w:r>
    </w:p>
    <w:p>
      <w:pPr>
        <w:numPr>
          <w:ilvl w:val="0"/>
          <w:numId w:val="1673"/>
        </w:numPr>
        <w:pStyle w:val="Compact"/>
      </w:pPr>
      <w:r>
        <w:rPr>
          <w:bCs/>
          <w:b/>
        </w:rPr>
        <w:t xml:space="preserve">Proxy routing</w:t>
      </w:r>
      <w:r>
        <w:t xml:space="preserve">: a proxy such as mcrouter or Twemproxy routes, replicates and fails over on behalf of thin clients.</w:t>
      </w:r>
    </w:p>
    <w:p>
      <w:pPr>
        <w:numPr>
          <w:ilvl w:val="0"/>
          <w:numId w:val="1673"/>
        </w:numPr>
        <w:pStyle w:val="Compact"/>
      </w:pPr>
      <w:r>
        <w:rPr>
          <w:bCs/>
          <w:b/>
        </w:rPr>
        <w:t xml:space="preserve">Server-assisted routing</w:t>
      </w:r>
      <w:r>
        <w:t xml:space="preserve">: Redis Cluster’s fixed 16,384 slots with</w:t>
      </w:r>
      <w:r>
        <w:t xml:space="preserve"> </w:t>
      </w:r>
      <w:r>
        <w:rPr>
          <w:rStyle w:val="VerbatimChar"/>
        </w:rPr>
        <w:t xml:space="preserve">MOVED</w:t>
      </w:r>
      <w:r>
        <w:t xml:space="preserve"> </w:t>
      </w:r>
      <w:r>
        <w:t xml:space="preserve">redirects (§20.6.4), which moves whole slots on resharding rather than ring arcs.</w:t>
      </w:r>
    </w:p>
    <w:p>
      <w:pPr>
        <w:pStyle w:val="FirstParagraph"/>
      </w:pPr>
      <w:r>
        <w:t xml:space="preserve">When a node fails, its keys move to their successors cold. Replication (Redis replicas, EVCache copies) or a gutter pool avoid that miss spike.</w:t>
      </w:r>
    </w:p>
    <w:bookmarkEnd w:id="2342"/>
    <w:bookmarkStart w:id="2346" w:name="hot-keys"/>
    <w:p>
      <w:pPr>
        <w:pStyle w:val="Heading2"/>
      </w:pPr>
      <w:r>
        <w:t xml:space="preserve">20.15 Hot keys</w:t>
      </w:r>
    </w:p>
    <w:p>
      <w:pPr>
        <w:pStyle w:val="CalloutDefinition"/>
      </w:pPr>
      <w:r>
        <w:rPr>
          <w:bCs/>
          <w:b/>
        </w:rPr>
        <w:t xml:space="preserve">DEFINITION</w:t>
      </w:r>
    </w:p>
    <w:p>
      <w:pPr>
        <w:pStyle w:val="CalloutDefinition"/>
      </w:pPr>
      <w:r>
        <w:rPr>
          <w:bCs/>
          <w:b/>
        </w:rPr>
        <w:t xml:space="preserve">Definition — Hot key.</w:t>
      </w:r>
      <w:r>
        <w:t xml:space="preserve"> </w:t>
      </w:r>
      <w:r>
        <w:t xml:space="preserve">A single key whose request rate exceeds what the node holding it can serve, so partitioning cannot help: all requests for one key go to one node.</w:t>
      </w:r>
    </w:p>
    <w:p>
      <w:pPr>
        <w:pStyle w:val="BodyText"/>
      </w:pPr>
      <w:r>
        <w:t xml:space="preserve">A celebrity’s post, a flash-sale product or a global configuration key can draw hundreds of thousands of requests per second.</w:t>
      </w:r>
      <w:r>
        <w:t xml:space="preserve"> </w:t>
      </w:r>
      <w:r>
        <w:rPr>
          <w:bCs/>
          <w:b/>
        </w:rPr>
        <w:t xml:space="preserve">Detect</w:t>
      </w:r>
      <w:r>
        <w:t xml:space="preserve"> </w:t>
      </w:r>
      <w:r>
        <w:t xml:space="preserve">hot keys by sampling requests into a Count-Min sketch or top-</w:t>
      </w:r>
      <m:oMath>
        <m:r>
          <m:t>k</m:t>
        </m:r>
      </m:oMath>
      <w:r>
        <w:t xml:space="preserve"> </w:t>
      </w:r>
      <w:r>
        <w:t xml:space="preserve">structure per cache client or proxy (§17.6), or with server tools such as</w:t>
      </w:r>
      <w:r>
        <w:t xml:space="preserve"> </w:t>
      </w:r>
      <w:r>
        <w:rPr>
          <w:rStyle w:val="VerbatimChar"/>
        </w:rPr>
        <w:t xml:space="preserve">redis-cli --hotkeys</w:t>
      </w:r>
      <w:r>
        <w:t xml:space="preserve"> </w:t>
      </w:r>
      <w:r>
        <w:t xml:space="preserve">(which needs an LFU eviction policy). Then</w:t>
      </w:r>
      <w:r>
        <w:t xml:space="preserve"> </w:t>
      </w:r>
      <w:r>
        <w:rPr>
          <w:bCs/>
          <w:b/>
        </w:rPr>
        <w:t xml:space="preserve">mitigate</w:t>
      </w:r>
      <w:r>
        <w:t xml:space="preserve">:</w:t>
      </w:r>
    </w:p>
    <w:p>
      <w:pPr>
        <w:numPr>
          <w:ilvl w:val="0"/>
          <w:numId w:val="1674"/>
        </w:numPr>
        <w:pStyle w:val="Compact"/>
      </w:pPr>
      <w:r>
        <w:rPr>
          <w:bCs/>
          <w:b/>
        </w:rPr>
        <w:t xml:space="preserve">Local L1 caches</w:t>
      </w:r>
      <w:r>
        <w:t xml:space="preserve"> </w:t>
      </w:r>
      <w:r>
        <w:t xml:space="preserve">with a short TTL in each app instance, so each instance asks the remote cache at most once per TTL. Redis 6’s</w:t>
      </w:r>
      <w:r>
        <w:t xml:space="preserve"> </w:t>
      </w:r>
      <w:r>
        <w:rPr>
          <w:bCs/>
          <w:b/>
        </w:rPr>
        <w:t xml:space="preserve">client-side caching</w:t>
      </w:r>
      <w:r>
        <w:t xml:space="preserve"> </w:t>
      </w:r>
      <w:r>
        <w:t xml:space="preserve">sends invalidation messages to clients that track the keys they cached [Redis Docs: Client-side caching].</w:t>
      </w:r>
    </w:p>
    <w:p>
      <w:pPr>
        <w:numPr>
          <w:ilvl w:val="0"/>
          <w:numId w:val="1674"/>
        </w:numPr>
        <w:pStyle w:val="Compact"/>
      </w:pPr>
      <w:r>
        <w:rPr>
          <w:bCs/>
          <w:b/>
        </w:rPr>
        <w:t xml:space="preserve">Key replication</w:t>
      </w:r>
      <w:r>
        <w:t xml:space="preserve">: store copies under</w:t>
      </w:r>
      <w:r>
        <w:t xml:space="preserve"> </w:t>
      </w:r>
      <w:r>
        <w:rPr>
          <w:rStyle w:val="VerbatimChar"/>
        </w:rPr>
        <w:t xml:space="preserve">k#0</w:t>
      </w:r>
      <w:r>
        <w:t xml:space="preserve"> </w:t>
      </w:r>
      <w:r>
        <w:t xml:space="preserve">…</w:t>
      </w:r>
      <w:r>
        <w:t xml:space="preserve"> </w:t>
      </w:r>
      <w:r>
        <w:rPr>
          <w:rStyle w:val="VerbatimChar"/>
        </w:rPr>
        <w:t xml:space="preserve">k#r-1</w:t>
      </w:r>
      <w:r>
        <w:t xml:space="preserve"> </w:t>
      </w:r>
      <w:r>
        <w:t xml:space="preserve">on different nodes, read a random copy and write or delete all copies.</w:t>
      </w:r>
    </w:p>
    <w:p>
      <w:pPr>
        <w:numPr>
          <w:ilvl w:val="0"/>
          <w:numId w:val="1674"/>
        </w:numPr>
        <w:pStyle w:val="Compact"/>
      </w:pPr>
      <w:r>
        <w:rPr>
          <w:bCs/>
          <w:b/>
        </w:rPr>
        <w:t xml:space="preserve">Request coalescing</w:t>
      </w:r>
      <w:r>
        <w:t xml:space="preserve"> </w:t>
      </w:r>
      <w:r>
        <w:t xml:space="preserve">at the proxy so concurrent identical gets become one.</w:t>
      </w:r>
    </w:p>
    <w:p>
      <w:pPr>
        <w:pStyle w:val="FirstParagraph"/>
      </w:pPr>
      <w:r>
        <w:rPr>
          <w:bCs/>
          <w:b/>
        </w:rPr>
        <w:t xml:space="preserve">Figure 20.16 — Hot-key mitigation with L1 caches and replicated keys.</w:t>
      </w:r>
    </w:p>
    <w:p>
      <w:pPr>
        <w:pStyle w:val="BodyText"/>
      </w:pPr>
      <w:r>
        <w:drawing>
          <wp:inline>
            <wp:extent cx="5334000" cy="1855551"/>
            <wp:effectExtent b="0" l="0" r="0" t="0"/>
            <wp:docPr descr="" title="" id="2344" name="Picture"/>
            <a:graphic>
              <a:graphicData uri="http://schemas.openxmlformats.org/drawingml/2006/picture">
                <pic:pic>
                  <pic:nvPicPr>
                    <pic:cNvPr descr="/home/user/System-Design/build/.cache/diagrams/d5048343acc8.png" id="2345" name="Picture"/>
                    <pic:cNvPicPr>
                      <a:picLocks noChangeArrowheads="1" noChangeAspect="1"/>
                    </pic:cNvPicPr>
                  </pic:nvPicPr>
                  <pic:blipFill>
                    <a:blip r:embed="rId2343"/>
                    <a:stretch>
                      <a:fillRect/>
                    </a:stretch>
                  </pic:blipFill>
                  <pic:spPr bwMode="auto">
                    <a:xfrm>
                      <a:off x="0" y="0"/>
                      <a:ext cx="5334000" cy="1855551"/>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Each of</w:t>
      </w:r>
      <w:r>
        <w:t xml:space="preserve"> </w:t>
      </w:r>
      <m:oMath>
        <m:r>
          <m:t>n</m:t>
        </m:r>
      </m:oMath>
      <w:r>
        <w:t xml:space="preserve"> </w:t>
      </w:r>
      <w:r>
        <w:t xml:space="preserve">app instances keeps hot keys in its L1 for one second, so it sends at most one request per second per hot key to the remote tier, choosing one of three replicated copies at random. A detector fed by sampled requests marks keys hot asynchronously (dotted). Storage boundaries: process memory and three cache nodes. Failure points: L1 staleness up to its TTL; writes and deletes must reach every copy. Scaling: remote load grows with instance count, so lengthen the L1 TTL or add copies.</w:t>
      </w:r>
    </w:p>
    <w:p>
      <w:pPr>
        <w:pStyle w:val="CalloutFormula"/>
      </w:pPr>
      <w:r>
        <w:rPr>
          <w:bCs/>
          <w:b/>
        </w:rPr>
        <w:t xml:space="preserve">FORMULA</w:t>
      </w:r>
    </w:p>
    <w:p>
      <w:pPr>
        <w:pStyle w:val="CalloutFormula"/>
      </w:pPr>
      <w:r>
        <w:rPr>
          <w:bCs/>
          <w:b/>
        </w:rPr>
        <w:t xml:space="preserve">Remote load from a hot key with L1 caches and replication</w:t>
      </w:r>
    </w:p>
    <w:p>
      <w:pPr>
        <w:pStyle w:val="CalloutFormula"/>
      </w:pPr>
      <m:oMathPara>
        <m:oMathParaPr>
          <m:jc m:val="center"/>
        </m:oMathParaPr>
        <m:oMath>
          <m:sSub>
            <m:e>
              <m:r>
                <m:t>R</m:t>
              </m:r>
            </m:e>
            <m:sub>
              <m:r>
                <m:rPr>
                  <m:nor/>
                  <m:sty m:val="p"/>
                </m:rPr>
                <m:t>remote</m:t>
              </m:r>
            </m:sub>
          </m:sSub>
          <m:r>
            <m:rPr>
              <m:sty m:val="p"/>
            </m:rPr>
            <m:t>≤</m:t>
          </m:r>
          <m:r>
            <m:rPr>
              <m:sty m:val="p"/>
            </m:rPr>
            <m:t>min</m:t>
          </m:r>
          <m:r>
            <m:t>​</m:t>
          </m:r>
          <m:d>
            <m:dPr>
              <m:begChr m:val="("/>
              <m:endChr m:val=")"/>
              <m:sepChr m:val=""/>
              <m:grow/>
            </m:dPr>
            <m:e>
              <m:sSub>
                <m:e>
                  <m:r>
                    <m:t>λ</m:t>
                  </m:r>
                </m:e>
                <m:sub>
                  <m:r>
                    <m:t>k</m:t>
                  </m:r>
                </m:sub>
              </m:sSub>
              <m:r>
                <m:rPr>
                  <m:sty m:val="p"/>
                </m:rPr>
                <m:t>,</m:t>
              </m:r>
              <m:r>
                <m:t> </m:t>
              </m:r>
              <m:f>
                <m:fPr>
                  <m:type m:val="bar"/>
                </m:fPr>
                <m:num>
                  <m:r>
                    <m:t>A</m:t>
                  </m:r>
                </m:num>
                <m:den>
                  <m:sSub>
                    <m:e>
                      <m:r>
                        <m:t>T</m:t>
                      </m:r>
                    </m:e>
                    <m:sub>
                      <m:r>
                        <m:t>L</m:t>
                      </m:r>
                      <m:r>
                        <m:t>1</m:t>
                      </m:r>
                    </m:sub>
                  </m:sSub>
                </m:den>
              </m:f>
            </m:e>
          </m:d>
          <m:r>
            <m:rPr>
              <m:sty m:val="p"/>
            </m:rPr>
            <m:t>,</m:t>
          </m:r>
          <m:r>
            <m:t>  </m:t>
          </m:r>
          <m:sSub>
            <m:e>
              <m:r>
                <m:t>R</m:t>
              </m:r>
            </m:e>
            <m:sub>
              <m:r>
                <m:rPr>
                  <m:nor/>
                  <m:sty m:val="p"/>
                </m:rPr>
                <m:t>per node</m:t>
              </m:r>
            </m:sub>
          </m:sSub>
          <m:r>
            <m:rPr>
              <m:sty m:val="p"/>
            </m:rPr>
            <m:t>=</m:t>
          </m:r>
          <m:f>
            <m:fPr>
              <m:type m:val="bar"/>
            </m:fPr>
            <m:num>
              <m:sSub>
                <m:e>
                  <m:r>
                    <m:t>R</m:t>
                  </m:r>
                </m:e>
                <m:sub>
                  <m:r>
                    <m:rPr>
                      <m:nor/>
                      <m:sty m:val="p"/>
                    </m:rPr>
                    <m:t>remote</m:t>
                  </m:r>
                </m:sub>
              </m:sSub>
            </m:num>
            <m:den>
              <m:r>
                <m:t>r</m:t>
              </m:r>
            </m:den>
          </m:f>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λ</m:t>
                  </m:r>
                </m:e>
                <m:sub>
                  <m:r>
                    <m:t>k</m:t>
                  </m:r>
                </m:sub>
              </m:sSub>
            </m:oMath>
          </w:p>
        </w:tc>
        <w:tc>
          <w:tcPr/>
          <w:p>
            <w:pPr>
              <w:pStyle w:val="Compact"/>
              <w:jc w:val="left"/>
            </w:pPr>
            <w:r>
              <w:t xml:space="preserve">Request rate for the hot key</w:t>
            </w:r>
          </w:p>
        </w:tc>
        <w:tc>
          <w:tcPr/>
          <w:p>
            <w:pPr>
              <w:pStyle w:val="Compact"/>
              <w:jc w:val="left"/>
            </w:pPr>
            <w:r>
              <w:t xml:space="preserve">requests/s</w:t>
            </w:r>
          </w:p>
        </w:tc>
      </w:tr>
      <w:tr>
        <w:tc>
          <w:tcPr/>
          <w:p>
            <w:pPr>
              <w:pStyle w:val="Compact"/>
              <w:jc w:val="left"/>
            </w:pPr>
            <m:oMath>
              <m:r>
                <m:t>A</m:t>
              </m:r>
            </m:oMath>
          </w:p>
        </w:tc>
        <w:tc>
          <w:tcPr/>
          <w:p>
            <w:pPr>
              <w:pStyle w:val="Compact"/>
              <w:jc w:val="left"/>
            </w:pPr>
            <w:r>
              <w:t xml:space="preserve">Number of app instances with an L1 cache</w:t>
            </w:r>
          </w:p>
        </w:tc>
        <w:tc>
          <w:tcPr/>
          <w:p>
            <w:pPr>
              <w:pStyle w:val="Compact"/>
              <w:jc w:val="left"/>
            </w:pPr>
            <w:r>
              <w:t xml:space="preserve">instances</w:t>
            </w:r>
          </w:p>
        </w:tc>
      </w:tr>
      <w:tr>
        <w:tc>
          <w:tcPr/>
          <w:p>
            <w:pPr>
              <w:pStyle w:val="Compact"/>
              <w:jc w:val="left"/>
            </w:pPr>
            <m:oMath>
              <m:sSub>
                <m:e>
                  <m:r>
                    <m:t>T</m:t>
                  </m:r>
                </m:e>
                <m:sub>
                  <m:r>
                    <m:t>L</m:t>
                  </m:r>
                  <m:r>
                    <m:t>1</m:t>
                  </m:r>
                </m:sub>
              </m:sSub>
            </m:oMath>
          </w:p>
        </w:tc>
        <w:tc>
          <w:tcPr/>
          <w:p>
            <w:pPr>
              <w:pStyle w:val="Compact"/>
              <w:jc w:val="left"/>
            </w:pPr>
            <w:r>
              <w:t xml:space="preserve">L1 TTL</w:t>
            </w:r>
          </w:p>
        </w:tc>
        <w:tc>
          <w:tcPr/>
          <w:p>
            <w:pPr>
              <w:pStyle w:val="Compact"/>
              <w:jc w:val="left"/>
            </w:pPr>
            <w:r>
              <w:t xml:space="preserve">s</w:t>
            </w:r>
          </w:p>
        </w:tc>
      </w:tr>
      <w:tr>
        <w:tc>
          <w:tcPr/>
          <w:p>
            <w:pPr>
              <w:pStyle w:val="Compact"/>
              <w:jc w:val="left"/>
            </w:pPr>
            <m:oMath>
              <m:r>
                <m:t>r</m:t>
              </m:r>
            </m:oMath>
          </w:p>
        </w:tc>
        <w:tc>
          <w:tcPr/>
          <w:p>
            <w:pPr>
              <w:pStyle w:val="Compact"/>
              <w:jc w:val="left"/>
            </w:pPr>
            <w:r>
              <w:t xml:space="preserve">Number of replicated copies of the key</w:t>
            </w:r>
          </w:p>
        </w:tc>
        <w:tc>
          <w:tcPr/>
          <w:p>
            <w:pPr>
              <w:pStyle w:val="Compact"/>
              <w:jc w:val="left"/>
            </w:pPr>
            <w:r>
              <w:t xml:space="preserve">copies</w:t>
            </w:r>
          </w:p>
        </w:tc>
      </w:tr>
      <w:tr>
        <w:tc>
          <w:tcPr/>
          <w:p>
            <w:pPr>
              <w:pStyle w:val="Compact"/>
              <w:jc w:val="left"/>
            </w:pPr>
            <m:oMath>
              <m:sSub>
                <m:e>
                  <m:r>
                    <m:t>R</m:t>
                  </m:r>
                </m:e>
                <m:sub>
                  <m:r>
                    <m:rPr>
                      <m:nor/>
                      <m:sty m:val="p"/>
                    </m:rPr>
                    <m:t>remote</m:t>
                  </m:r>
                </m:sub>
              </m:sSub>
            </m:oMath>
            <w:r>
              <w:t xml:space="preserve">,</w:t>
            </w:r>
            <w:r>
              <w:t xml:space="preserve"> </w:t>
            </w:r>
            <m:oMath>
              <m:sSub>
                <m:e>
                  <m:r>
                    <m:t>R</m:t>
                  </m:r>
                </m:e>
                <m:sub>
                  <m:r>
                    <m:rPr>
                      <m:nor/>
                      <m:sty m:val="p"/>
                    </m:rPr>
                    <m:t>per node</m:t>
                  </m:r>
                </m:sub>
              </m:sSub>
            </m:oMath>
          </w:p>
        </w:tc>
        <w:tc>
          <w:tcPr/>
          <w:p>
            <w:pPr>
              <w:pStyle w:val="Compact"/>
              <w:jc w:val="left"/>
            </w:pPr>
            <w:r>
              <w:t xml:space="preserve">Requests to the remote tier, and to each node holding a copy</w:t>
            </w:r>
          </w:p>
        </w:tc>
        <w:tc>
          <w:tcPr/>
          <w:p>
            <w:pPr>
              <w:pStyle w:val="Compact"/>
              <w:jc w:val="left"/>
            </w:pPr>
            <w:r>
              <w:t xml:space="preserve">requests/s</w:t>
            </w:r>
          </w:p>
        </w:tc>
      </w:tr>
    </w:tbl>
    <w:p>
      <w:pPr>
        <w:pStyle w:val="CalloutExample"/>
      </w:pPr>
      <w:r>
        <w:rPr>
          <w:bCs/>
          <w:b/>
        </w:rPr>
        <w:t xml:space="preserve">WORKED EXAMPLE</w:t>
      </w:r>
    </w:p>
    <w:p>
      <w:pPr>
        <w:pStyle w:val="CalloutExample"/>
      </w:pPr>
      <w:r>
        <w:rPr>
          <w:bCs/>
          <w:b/>
        </w:rPr>
        <w:t xml:space="preserve">Worked example — A viral post.</w:t>
      </w:r>
      <w:r>
        <w:t xml:space="preserve"> </w:t>
      </w:r>
      <m:oMath>
        <m:sSub>
          <m:e>
            <m:r>
              <m:t>λ</m:t>
            </m:r>
          </m:e>
          <m:sub>
            <m:r>
              <m:t>k</m:t>
            </m:r>
          </m:sub>
        </m:sSub>
        <m:r>
          <m:rPr>
            <m:sty m:val="p"/>
          </m:rPr>
          <m:t>=</m:t>
        </m:r>
        <m:r>
          <m:t>600</m:t>
        </m:r>
        <m:r>
          <m:rPr>
            <m:sty m:val="p"/>
          </m:rPr>
          <m:t>,</m:t>
        </m:r>
        <m:r>
          <m:t>000</m:t>
        </m:r>
      </m:oMath>
      <w:r>
        <w:t xml:space="preserve"> </w:t>
      </w:r>
      <w:r>
        <w:t xml:space="preserve">requests/s; one cache node can serve about 100,000 requests/s (illustrative).</w:t>
      </w:r>
    </w:p>
    <w:p>
      <w:pPr>
        <w:numPr>
          <w:ilvl w:val="0"/>
          <w:numId w:val="1675"/>
        </w:numPr>
        <w:pStyle w:val="Compact"/>
      </w:pPr>
      <w:r>
        <w:t xml:space="preserve">Without mitigation: 600,000 requests/s to one node, six times its capacity.</w:t>
      </w:r>
    </w:p>
    <w:p>
      <w:pPr>
        <w:numPr>
          <w:ilvl w:val="0"/>
          <w:numId w:val="1675"/>
        </w:numPr>
        <w:pStyle w:val="Compact"/>
      </w:pPr>
      <w:r>
        <w:t xml:space="preserve">Replication alone with</w:t>
      </w:r>
      <w:r>
        <w:t xml:space="preserve"> </w:t>
      </w:r>
      <m:oMath>
        <m:r>
          <m:t>r</m:t>
        </m:r>
        <m:r>
          <m:rPr>
            <m:sty m:val="p"/>
          </m:rPr>
          <m:t>=</m:t>
        </m:r>
        <m:r>
          <m:t>8</m:t>
        </m:r>
      </m:oMath>
      <w:r>
        <w:t xml:space="preserve">:</w:t>
      </w:r>
      <w:r>
        <w:t xml:space="preserve"> </w:t>
      </w:r>
      <m:oMath>
        <m:r>
          <m:t>600</m:t>
        </m:r>
        <m:r>
          <m:rPr>
            <m:sty m:val="p"/>
          </m:rPr>
          <m:t>,</m:t>
        </m:r>
        <m:r>
          <m:t>000</m:t>
        </m:r>
        <m:r>
          <m:rPr>
            <m:sty m:val="p"/>
          </m:rPr>
          <m:t>/</m:t>
        </m:r>
        <m:r>
          <m:t>8</m:t>
        </m:r>
        <m:r>
          <m:rPr>
            <m:sty m:val="p"/>
          </m:rPr>
          <m:t>=</m:t>
        </m:r>
        <m:r>
          <m:t>75</m:t>
        </m:r>
        <m:r>
          <m:rPr>
            <m:sty m:val="p"/>
          </m:rPr>
          <m:t>,</m:t>
        </m:r>
        <m:r>
          <m:t>000</m:t>
        </m:r>
      </m:oMath>
      <w:r>
        <w:t xml:space="preserve"> </w:t>
      </w:r>
      <w:r>
        <w:t xml:space="preserve">per node, under capacity but with little headroom.</w:t>
      </w:r>
    </w:p>
    <w:p>
      <w:pPr>
        <w:numPr>
          <w:ilvl w:val="0"/>
          <w:numId w:val="1675"/>
        </w:numPr>
        <w:pStyle w:val="Compact"/>
      </w:pPr>
      <w:r>
        <w:t xml:space="preserve">L1 caches on</w:t>
      </w:r>
      <w:r>
        <w:t xml:space="preserve"> </w:t>
      </w:r>
      <m:oMath>
        <m:r>
          <m:t>A</m:t>
        </m:r>
        <m:r>
          <m:rPr>
            <m:sty m:val="p"/>
          </m:rPr>
          <m:t>=</m:t>
        </m:r>
        <m:r>
          <m:t>300</m:t>
        </m:r>
      </m:oMath>
      <w:r>
        <w:t xml:space="preserve"> </w:t>
      </w:r>
      <w:r>
        <w:t xml:space="preserve">instances with</w:t>
      </w:r>
      <w:r>
        <w:t xml:space="preserve"> </w:t>
      </w:r>
      <m:oMath>
        <m:sSub>
          <m:e>
            <m:r>
              <m:t>T</m:t>
            </m:r>
          </m:e>
          <m:sub>
            <m:r>
              <m:t>L</m:t>
            </m:r>
            <m:r>
              <m:t>1</m:t>
            </m:r>
          </m:sub>
        </m:sSub>
        <m:r>
          <m:rPr>
            <m:sty m:val="p"/>
          </m:rPr>
          <m:t>=</m:t>
        </m:r>
        <m:r>
          <m:t>1</m:t>
        </m:r>
      </m:oMath>
      <w:r>
        <w:t xml:space="preserve"> </w:t>
      </w:r>
      <w:r>
        <w:t xml:space="preserve">s:</w:t>
      </w:r>
      <w:r>
        <w:t xml:space="preserve"> </w:t>
      </w:r>
      <m:oMath>
        <m:sSub>
          <m:e>
            <m:r>
              <m:t>R</m:t>
            </m:r>
          </m:e>
          <m:sub>
            <m:r>
              <m:rPr>
                <m:nor/>
                <m:sty m:val="p"/>
              </m:rPr>
              <m:t>remote</m:t>
            </m:r>
          </m:sub>
        </m:sSub>
        <m:r>
          <m:rPr>
            <m:sty m:val="p"/>
          </m:rPr>
          <m:t>≤</m:t>
        </m:r>
        <m:r>
          <m:t>300</m:t>
        </m:r>
        <m:r>
          <m:rPr>
            <m:sty m:val="p"/>
          </m:rPr>
          <m:t>/</m:t>
        </m:r>
        <m:r>
          <m:t>1</m:t>
        </m:r>
        <m:r>
          <m:rPr>
            <m:sty m:val="p"/>
          </m:rPr>
          <m:t>=</m:t>
        </m:r>
        <m:r>
          <m:t>300</m:t>
        </m:r>
      </m:oMath>
      <w:r>
        <w:t xml:space="preserve"> </w:t>
      </w:r>
      <w:r>
        <w:t xml:space="preserve">requests/s.</w:t>
      </w:r>
    </w:p>
    <w:p>
      <w:pPr>
        <w:pStyle w:val="CalloutExample"/>
      </w:pPr>
      <w:r>
        <w:rPr>
          <w:bCs/>
          <w:b/>
        </w:rPr>
        <w:t xml:space="preserve">Interpretation.</w:t>
      </w:r>
      <w:r>
        <w:t xml:space="preserve"> </w:t>
      </w:r>
      <w:r>
        <w:t xml:space="preserve">A one-second L1 cuts remote load by a factor of 2,000 at the cost of up to one second of staleness.</w:t>
      </w:r>
      <w:r>
        <w:t xml:space="preserve"> </w:t>
      </w:r>
      <w:r>
        <w:rPr>
          <w:bCs/>
          <w:b/>
        </w:rPr>
        <w:t xml:space="preserve">Engineering implication.</w:t>
      </w:r>
      <w:r>
        <w:t xml:space="preserve"> </w:t>
      </w:r>
      <w:r>
        <w:t xml:space="preserve">Use L1 caching for read-hot keys whenever a second of staleness is acceptable; reserve key replication for keys that must stay fresher or for write-hot counters (which need sharded counters instead, §14.10).</w:t>
      </w:r>
    </w:p>
    <w:bookmarkEnd w:id="2346"/>
    <w:bookmarkStart w:id="2347" w:name="redis-versus-memcached"/>
    <w:p>
      <w:pPr>
        <w:pStyle w:val="Heading2"/>
      </w:pPr>
      <w:r>
        <w:t xml:space="preserve">20.16 Redis versus Memcached</w:t>
      </w:r>
    </w:p>
    <w:p>
      <w:pPr>
        <w:pStyle w:val="FirstParagraph"/>
      </w:pPr>
      <w:r>
        <w:rPr>
          <w:bCs/>
          <w:b/>
        </w:rPr>
        <w:t xml:space="preserve">Table 20.8 — Redis (and Valkey) versus Memcached.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Redis / Valkey</w:t>
            </w:r>
          </w:p>
        </w:tc>
        <w:tc>
          <w:tcPr/>
          <w:p>
            <w:pPr>
              <w:pStyle w:val="Compact"/>
              <w:jc w:val="left"/>
            </w:pPr>
            <w:r>
              <w:t xml:space="preserve">Memcached</w:t>
            </w:r>
          </w:p>
        </w:tc>
      </w:tr>
      <w:tr>
        <w:tc>
          <w:tcPr/>
          <w:p>
            <w:pPr>
              <w:pStyle w:val="Compact"/>
              <w:jc w:val="left"/>
            </w:pPr>
            <w:r>
              <w:t xml:space="preserve">What it is</w:t>
            </w:r>
          </w:p>
        </w:tc>
        <w:tc>
          <w:tcPr/>
          <w:p>
            <w:pPr>
              <w:pStyle w:val="Compact"/>
              <w:jc w:val="left"/>
            </w:pPr>
            <w:r>
              <w:t xml:space="preserve">In-memory data-structure server</w:t>
            </w:r>
          </w:p>
        </w:tc>
        <w:tc>
          <w:tcPr/>
          <w:p>
            <w:pPr>
              <w:pStyle w:val="Compact"/>
              <w:jc w:val="left"/>
            </w:pPr>
            <w:r>
              <w:t xml:space="preserve">In-memory cache of opaque blobs</w:t>
            </w:r>
          </w:p>
        </w:tc>
      </w:tr>
      <w:tr>
        <w:tc>
          <w:tcPr/>
          <w:p>
            <w:pPr>
              <w:pStyle w:val="Compact"/>
              <w:jc w:val="left"/>
            </w:pPr>
            <w:r>
              <w:t xml:space="preserve">How it works</w:t>
            </w:r>
          </w:p>
        </w:tc>
        <w:tc>
          <w:tcPr/>
          <w:p>
            <w:pPr>
              <w:pStyle w:val="Compact"/>
              <w:jc w:val="left"/>
            </w:pPr>
            <w:r>
              <w:t xml:space="preserve">Single-threaded command execution; optional I/O threads</w:t>
            </w:r>
          </w:p>
        </w:tc>
        <w:tc>
          <w:tcPr/>
          <w:p>
            <w:pPr>
              <w:pStyle w:val="Compact"/>
              <w:jc w:val="left"/>
            </w:pPr>
            <w:r>
              <w:t xml:space="preserve">Multithreaded workers sharing one hash table; slab allocator</w:t>
            </w:r>
          </w:p>
        </w:tc>
      </w:tr>
      <w:tr>
        <w:tc>
          <w:tcPr/>
          <w:p>
            <w:pPr>
              <w:pStyle w:val="Compact"/>
              <w:jc w:val="left"/>
            </w:pPr>
            <w:r>
              <w:t xml:space="preserve">Advantages</w:t>
            </w:r>
          </w:p>
        </w:tc>
        <w:tc>
          <w:tcPr/>
          <w:p>
            <w:pPr>
              <w:pStyle w:val="Compact"/>
              <w:jc w:val="left"/>
            </w:pPr>
            <w:r>
              <w:t xml:space="preserve">Rich types (hashes, sorted sets, streams), atomic scripts, persistence, replication, Cluster, pub/sub</w:t>
            </w:r>
          </w:p>
        </w:tc>
        <w:tc>
          <w:tcPr/>
          <w:p>
            <w:pPr>
              <w:pStyle w:val="Compact"/>
              <w:jc w:val="left"/>
            </w:pPr>
            <w:r>
              <w:t xml:space="preserve">Simple; scales vertically across cores; predictable memory; very mature</w:t>
            </w:r>
          </w:p>
        </w:tc>
      </w:tr>
      <w:tr>
        <w:tc>
          <w:tcPr/>
          <w:p>
            <w:pPr>
              <w:pStyle w:val="Compact"/>
              <w:jc w:val="left"/>
            </w:pPr>
            <w:r>
              <w:t xml:space="preserve">Disadvantages</w:t>
            </w:r>
          </w:p>
        </w:tc>
        <w:tc>
          <w:tcPr/>
          <w:p>
            <w:pPr>
              <w:pStyle w:val="Compact"/>
              <w:jc w:val="left"/>
            </w:pPr>
            <w:r>
              <w:t xml:space="preserve">One core executes commands; fork for persistence; more to tune</w:t>
            </w:r>
          </w:p>
        </w:tc>
        <w:tc>
          <w:tcPr/>
          <w:p>
            <w:pPr>
              <w:pStyle w:val="Compact"/>
              <w:jc w:val="left"/>
            </w:pPr>
            <w:r>
              <w:t xml:space="preserve">Strings only; no persistence or replication (client or proxy must provide them)</w:t>
            </w:r>
          </w:p>
        </w:tc>
      </w:tr>
      <w:tr>
        <w:tc>
          <w:tcPr/>
          <w:p>
            <w:pPr>
              <w:pStyle w:val="Compact"/>
              <w:jc w:val="left"/>
            </w:pPr>
            <w:r>
              <w:t xml:space="preserve">Performance</w:t>
            </w:r>
          </w:p>
        </w:tc>
        <w:tc>
          <w:tcPr/>
          <w:p>
            <w:pPr>
              <w:pStyle w:val="Compact"/>
              <w:jc w:val="left"/>
            </w:pPr>
            <w:r>
              <w:t xml:space="preserve">~100,000+ ops/s per core; more with I/O threads or pipelining</w:t>
            </w:r>
          </w:p>
        </w:tc>
        <w:tc>
          <w:tcPr/>
          <w:p>
            <w:pPr>
              <w:pStyle w:val="Compact"/>
              <w:jc w:val="left"/>
            </w:pPr>
            <w:r>
              <w:t xml:space="preserve">Millions of ops/s per server with many threads</w:t>
            </w:r>
          </w:p>
        </w:tc>
      </w:tr>
      <w:tr>
        <w:tc>
          <w:tcPr/>
          <w:p>
            <w:pPr>
              <w:pStyle w:val="Compact"/>
              <w:jc w:val="left"/>
            </w:pPr>
            <w:r>
              <w:t xml:space="preserve">Operational complexity</w:t>
            </w:r>
          </w:p>
        </w:tc>
        <w:tc>
          <w:tcPr/>
          <w:p>
            <w:pPr>
              <w:pStyle w:val="Compact"/>
              <w:jc w:val="left"/>
            </w:pPr>
            <w:r>
              <w:t xml:space="preserve">Medium–high (Sentinel or Cluster, persistence, memory policy)</w:t>
            </w:r>
          </w:p>
        </w:tc>
        <w:tc>
          <w:tcPr/>
          <w:p>
            <w:pPr>
              <w:pStyle w:val="Compact"/>
              <w:jc w:val="left"/>
            </w:pPr>
            <w:r>
              <w:t xml:space="preserve">Low (stateless nodes, client-side hashing)</w:t>
            </w:r>
          </w:p>
        </w:tc>
      </w:tr>
      <w:tr>
        <w:tc>
          <w:tcPr/>
          <w:p>
            <w:pPr>
              <w:pStyle w:val="Compact"/>
              <w:jc w:val="left"/>
            </w:pPr>
            <w:r>
              <w:t xml:space="preserve">Cost</w:t>
            </w:r>
          </w:p>
        </w:tc>
        <w:tc>
          <w:tcPr/>
          <w:p>
            <w:pPr>
              <w:pStyle w:val="Compact"/>
              <w:jc w:val="left"/>
            </w:pPr>
            <w:r>
              <w:t xml:space="preserve">Higher memory overhead per small key; replicas double RAM</w:t>
            </w:r>
          </w:p>
        </w:tc>
        <w:tc>
          <w:tcPr/>
          <w:p>
            <w:pPr>
              <w:pStyle w:val="Compact"/>
              <w:jc w:val="left"/>
            </w:pPr>
            <w:r>
              <w:t xml:space="preserve">Low overhead; slab waste 10–20%</w:t>
            </w:r>
          </w:p>
        </w:tc>
      </w:tr>
      <w:tr>
        <w:tc>
          <w:tcPr/>
          <w:p>
            <w:pPr>
              <w:pStyle w:val="Compact"/>
              <w:jc w:val="left"/>
            </w:pPr>
            <w:r>
              <w:t xml:space="preserve">Use cases</w:t>
            </w:r>
          </w:p>
        </w:tc>
        <w:tc>
          <w:tcPr/>
          <w:p>
            <w:pPr>
              <w:pStyle w:val="Compact"/>
              <w:jc w:val="left"/>
            </w:pPr>
            <w:r>
              <w:t xml:space="preserve">Sessions, leaderboards, rate limiters, queues, caches needing structure</w:t>
            </w:r>
          </w:p>
        </w:tc>
        <w:tc>
          <w:tcPr/>
          <w:p>
            <w:pPr>
              <w:pStyle w:val="Compact"/>
              <w:jc w:val="left"/>
            </w:pPr>
            <w:r>
              <w:t xml:space="preserve">Large look-aside caches of serialized objects</w:t>
            </w:r>
          </w:p>
        </w:tc>
      </w:tr>
      <w:tr>
        <w:tc>
          <w:tcPr/>
          <w:p>
            <w:pPr>
              <w:pStyle w:val="Compact"/>
              <w:jc w:val="left"/>
            </w:pPr>
            <w:r>
              <w:t xml:space="preserve">Choose when</w:t>
            </w:r>
          </w:p>
        </w:tc>
        <w:tc>
          <w:tcPr/>
          <w:p>
            <w:pPr>
              <w:pStyle w:val="Compact"/>
              <w:jc w:val="left"/>
            </w:pPr>
            <w:r>
              <w:t xml:space="preserve">You need data structures, atomic operations or durability</w:t>
            </w:r>
          </w:p>
        </w:tc>
        <w:tc>
          <w:tcPr/>
          <w:p>
            <w:pPr>
              <w:pStyle w:val="Compact"/>
              <w:jc w:val="left"/>
            </w:pPr>
            <w:r>
              <w:t xml:space="preserve">You need a fast, simple, horizontally scaled cache</w:t>
            </w:r>
          </w:p>
        </w:tc>
      </w:tr>
    </w:tbl>
    <w:p>
      <w:pPr>
        <w:pStyle w:val="BodyText"/>
      </w:pPr>
      <w:r>
        <w:rPr>
          <w:bCs/>
          <w:b/>
        </w:rPr>
        <w:t xml:space="preserve">Licensing (as of 2026).</w:t>
      </w:r>
      <w:r>
        <w:t xml:space="preserve"> </w:t>
      </w:r>
      <w:r>
        <w:t xml:space="preserve">Redis was BSD-licensed until March 2024, when Redis 7.4 moved to a dual RSALv2/SSPLv1 license, which is not an open-source license under the OSI definition. The Linux Foundation then launched</w:t>
      </w:r>
      <w:r>
        <w:t xml:space="preserve"> </w:t>
      </w:r>
      <w:r>
        <w:rPr>
          <w:bCs/>
          <w:b/>
        </w:rPr>
        <w:t xml:space="preserve">Valkey</w:t>
      </w:r>
      <w:r>
        <w:t xml:space="preserve">, a BSD-licensed fork of Redis 7.2.4 supported by several cloud providers. Redis 8.0 (2025) added the OSI-approved AGPLv3 as a third licensing option [Redis Blog 2024; Redis Blog 2025; Linux Foundation 2024]. Managed services such as AWS ElastiCache offer Valkey, Redis OSS and Memcached engines. For system design the engines are protocol-compatible for the features in this chapter; check the license and feature set of the specific version you deploy.</w:t>
      </w:r>
    </w:p>
    <w:bookmarkEnd w:id="2347"/>
    <w:bookmarkStart w:id="2348" w:name="summary-and-revision-notes-19"/>
    <w:p>
      <w:pPr>
        <w:pStyle w:val="Heading2"/>
      </w:pPr>
      <w:r>
        <w:t xml:space="preserve">20.17 Summary and revision notes</w:t>
      </w:r>
    </w:p>
    <w:p>
      <w:pPr>
        <w:pStyle w:val="CalloutSummary"/>
      </w:pPr>
      <w:r>
        <w:rPr>
          <w:bCs/>
          <w:b/>
        </w:rPr>
        <w:t xml:space="preserve">SUMMARY</w:t>
      </w:r>
    </w:p>
    <w:p>
      <w:pPr>
        <w:numPr>
          <w:ilvl w:val="0"/>
          <w:numId w:val="1676"/>
        </w:numPr>
        <w:pStyle w:val="Compact"/>
      </w:pPr>
      <w:r>
        <w:t xml:space="preserve">A cache trades staleness, memory and a new failure mode for latency and backend capacity.</w:t>
      </w:r>
      <w:r>
        <w:t xml:space="preserve"> </w:t>
      </w:r>
      <m:oMath>
        <m:sSub>
          <m:e>
            <m:r>
              <m:t>T</m:t>
            </m:r>
          </m:e>
          <m:sub>
            <m:r>
              <m:rPr>
                <m:nor/>
                <m:sty m:val="p"/>
              </m:rPr>
              <m:t>eff</m:t>
            </m:r>
          </m:sub>
        </m:sSub>
        <m:r>
          <m:rPr>
            <m:sty m:val="p"/>
          </m:rPr>
          <m:t>=</m:t>
        </m:r>
        <m:sSub>
          <m:e>
            <m:r>
              <m:t>t</m:t>
            </m:r>
          </m:e>
          <m:sub>
            <m:r>
              <m:t>c</m:t>
            </m:r>
          </m:sub>
        </m:sSub>
        <m:r>
          <m:rPr>
            <m:sty m:val="p"/>
          </m:rPr>
          <m:t>+</m:t>
        </m:r>
        <m:d>
          <m:dPr>
            <m:begChr m:val="("/>
            <m:endChr m:val=")"/>
            <m:sepChr m:val=""/>
            <m:grow/>
          </m:dPr>
          <m:e>
            <m:r>
              <m:t>1</m:t>
            </m:r>
            <m:r>
              <m:rPr>
                <m:sty m:val="p"/>
              </m:rPr>
              <m:t>−</m:t>
            </m:r>
            <m:r>
              <m:t>h</m:t>
            </m:r>
          </m:e>
        </m:d>
        <m:sSub>
          <m:e>
            <m:r>
              <m:t>t</m:t>
            </m:r>
          </m:e>
          <m:sub>
            <m:r>
              <m:t>b</m:t>
            </m:r>
          </m:sub>
        </m:sSub>
      </m:oMath>
      <w:r>
        <w:t xml:space="preserve">; database reads</w:t>
      </w:r>
      <w:r>
        <w:t xml:space="preserve"> </w:t>
      </w:r>
      <m:oMath>
        <m:r>
          <m:rPr>
            <m:sty m:val="p"/>
          </m:rPr>
          <m:t>=</m:t>
        </m:r>
        <m:d>
          <m:dPr>
            <m:begChr m:val="("/>
            <m:endChr m:val=")"/>
            <m:sepChr m:val=""/>
            <m:grow/>
          </m:dPr>
          <m:e>
            <m:r>
              <m:t>1</m:t>
            </m:r>
            <m:r>
              <m:rPr>
                <m:sty m:val="p"/>
              </m:rPr>
              <m:t>−</m:t>
            </m:r>
            <m:r>
              <m:t>h</m:t>
            </m:r>
          </m:e>
        </m:d>
        <m:r>
          <m:t>R</m:t>
        </m:r>
      </m:oMath>
      <w:r>
        <w:t xml:space="preserve">. Watch the miss rate: 99% → 98% doubles database reads, and p99 is a miss once the miss ratio exceeds 1%.</w:t>
      </w:r>
    </w:p>
    <w:p>
      <w:pPr>
        <w:numPr>
          <w:ilvl w:val="0"/>
          <w:numId w:val="1676"/>
        </w:numPr>
        <w:pStyle w:val="Compact"/>
      </w:pPr>
      <w:r>
        <w:t xml:space="preserve">Zipf skew makes small caches effective: the ideal top-</w:t>
      </w:r>
      <m:oMath>
        <m:r>
          <m:t>C</m:t>
        </m:r>
      </m:oMath>
      <w:r>
        <w:t xml:space="preserve"> </w:t>
      </w:r>
      <w:r>
        <w:t xml:space="preserve">hit ratio is</w:t>
      </w:r>
      <w:r>
        <w:t xml:space="preserve"> </w:t>
      </w:r>
      <m:oMath>
        <m:sSub>
          <m:e>
            <m:r>
              <m:t>H</m:t>
            </m:r>
          </m:e>
          <m:sub>
            <m:r>
              <m:t>C</m:t>
            </m:r>
            <m:r>
              <m:rPr>
                <m:sty m:val="p"/>
              </m:rPr>
              <m:t>,</m:t>
            </m:r>
            <m:r>
              <m:t>s</m:t>
            </m:r>
          </m:sub>
        </m:sSub>
        <m:r>
          <m:rPr>
            <m:sty m:val="p"/>
          </m:rPr>
          <m:t>/</m:t>
        </m:r>
        <m:sSub>
          <m:e>
            <m:r>
              <m:t>H</m:t>
            </m:r>
          </m:e>
          <m:sub>
            <m:r>
              <m:t>N</m:t>
            </m:r>
            <m:r>
              <m:rPr>
                <m:sty m:val="p"/>
              </m:rPr>
              <m:t>,</m:t>
            </m:r>
            <m:r>
              <m:t>s</m:t>
            </m:r>
          </m:sub>
        </m:sSub>
      </m:oMath>
      <w:r>
        <w:t xml:space="preserve">, about 68% for 1% of a million keys at</w:t>
      </w:r>
      <w:r>
        <w:t xml:space="preserve"> </w:t>
      </w:r>
      <m:oMath>
        <m:r>
          <m:t>s</m:t>
        </m:r>
        <m:r>
          <m:rPr>
            <m:sty m:val="p"/>
          </m:rPr>
          <m:t>=</m:t>
        </m:r>
        <m:r>
          <m:t>1</m:t>
        </m:r>
      </m:oMath>
      <w:r>
        <w:t xml:space="preserve">, and grows by a roughly constant amount per doubling.</w:t>
      </w:r>
    </w:p>
    <w:p>
      <w:pPr>
        <w:numPr>
          <w:ilvl w:val="0"/>
          <w:numId w:val="1676"/>
        </w:numPr>
        <w:pStyle w:val="Compact"/>
      </w:pPr>
      <w:r>
        <w:t xml:space="preserve">Cache at every layer that freshness allows: browser and CDN for versioned and public content, in-process L1 for tiny hot data, remote L2 as the shared, invalidatable tier; the database’s buffer pool is the only coherent one.</w:t>
      </w:r>
    </w:p>
    <w:p>
      <w:pPr>
        <w:numPr>
          <w:ilvl w:val="0"/>
          <w:numId w:val="1676"/>
        </w:numPr>
        <w:pStyle w:val="Compact"/>
      </w:pPr>
      <w:r>
        <w:t xml:space="preserve">Redis: one thread executes commands (atomic, but one slow command blocks all), optional I/O threads, RDB/AOF persistence, asynchronous replication, 16,384 hash slots with</w:t>
      </w:r>
      <w:r>
        <w:t xml:space="preserve"> </w:t>
      </w:r>
      <w:r>
        <w:rPr>
          <w:rStyle w:val="VerbatimChar"/>
        </w:rPr>
        <w:t xml:space="preserve">MOVED</w:t>
      </w:r>
      <w:r>
        <w:t xml:space="preserve">/</w:t>
      </w:r>
      <w:r>
        <w:rPr>
          <w:rStyle w:val="VerbatimChar"/>
        </w:rPr>
        <w:t xml:space="preserve">ASK</w:t>
      </w:r>
      <w:r>
        <w:t xml:space="preserve">. Memcached: multithreaded, slab allocator (10–20% waste), segmented HOT/WARM/COLD LRU, no persistence or replication.</w:t>
      </w:r>
    </w:p>
    <w:p>
      <w:pPr>
        <w:numPr>
          <w:ilvl w:val="0"/>
          <w:numId w:val="1676"/>
        </w:numPr>
        <w:pStyle w:val="Compact"/>
      </w:pPr>
      <w:r>
        <w:t xml:space="preserve">Cache-aside with delete-after-commit is the default; it still has a stale-set race, closed by leases, versioned sets or CDC deletes, and bounded by TTLs. Write-through adds write latency; write-back risks</w:t>
      </w:r>
      <w:r>
        <w:t xml:space="preserve"> </w:t>
      </w:r>
      <m:oMath>
        <m:sSub>
          <m:e>
            <m:r>
              <m:t>r</m:t>
            </m:r>
          </m:e>
          <m:sub>
            <m:r>
              <m:t>w</m:t>
            </m:r>
          </m:sub>
        </m:sSub>
        <m:sSub>
          <m:e>
            <m:r>
              <m:t>T</m:t>
            </m:r>
          </m:e>
          <m:sub>
            <m:r>
              <m:rPr>
                <m:nor/>
                <m:sty m:val="p"/>
              </m:rPr>
              <m:t>flush</m:t>
            </m:r>
          </m:sub>
        </m:sSub>
      </m:oMath>
      <w:r>
        <w:t xml:space="preserve"> </w:t>
      </w:r>
      <w:r>
        <w:t xml:space="preserve">writes; write-around avoids polluting the cache.</w:t>
      </w:r>
    </w:p>
    <w:p>
      <w:pPr>
        <w:numPr>
          <w:ilvl w:val="0"/>
          <w:numId w:val="1676"/>
        </w:numPr>
        <w:pStyle w:val="Compact"/>
      </w:pPr>
      <w:r>
        <w:t xml:space="preserve">Every entry needs a TTL; add jitter so peak refills are</w:t>
      </w:r>
      <w:r>
        <w:t xml:space="preserve"> </w:t>
      </w:r>
      <m:oMath>
        <m:r>
          <m:t>K</m:t>
        </m:r>
        <m:r>
          <m:rPr>
            <m:sty m:val="p"/>
          </m:rPr>
          <m:t>/</m:t>
        </m:r>
        <m:r>
          <m:t>J</m:t>
        </m:r>
      </m:oMath>
      <w:r>
        <w:t xml:space="preserve">.</w:t>
      </w:r>
    </w:p>
    <w:p>
      <w:pPr>
        <w:numPr>
          <w:ilvl w:val="0"/>
          <w:numId w:val="1676"/>
        </w:numPr>
        <w:pStyle w:val="Compact"/>
      </w:pPr>
      <w:r>
        <w:t xml:space="preserve">LRU is scan-sensitive, in-cache LFU cannot forget; ARC and W-TinyLFU combine recency and frequency and come within a few points of ideal. Redis samples keys to approximate LRU and LFU; never run a cache with</w:t>
      </w:r>
      <w:r>
        <w:t xml:space="preserve"> </w:t>
      </w:r>
      <w:r>
        <w:rPr>
          <w:rStyle w:val="VerbatimChar"/>
        </w:rPr>
        <w:t xml:space="preserve">noeviction</w:t>
      </w:r>
      <w:r>
        <w:t xml:space="preserve">.</w:t>
      </w:r>
    </w:p>
    <w:p>
      <w:pPr>
        <w:numPr>
          <w:ilvl w:val="0"/>
          <w:numId w:val="1676"/>
        </w:numPr>
        <w:pStyle w:val="Compact"/>
      </w:pPr>
      <w:r>
        <w:t xml:space="preserve">Invalidate with TTL + explicit deletes, CDC from the commit log (mcsqueal), or versioned keys.</w:t>
      </w:r>
    </w:p>
    <w:p>
      <w:pPr>
        <w:numPr>
          <w:ilvl w:val="0"/>
          <w:numId w:val="1676"/>
        </w:numPr>
        <w:pStyle w:val="Compact"/>
      </w:pPr>
      <w:r>
        <w:t xml:space="preserve">Stampede: leases/single-flight, XFetch (</w:t>
      </w:r>
      <m:oMath>
        <m:r>
          <m:t>t</m:t>
        </m:r>
        <m:r>
          <m:rPr>
            <m:sty m:val="p"/>
          </m:rPr>
          <m:t>−</m:t>
        </m:r>
        <m:r>
          <m:t>δ</m:t>
        </m:r>
        <m:r>
          <m:t>β</m:t>
        </m:r>
        <m:r>
          <m:rPr>
            <m:sty m:val="p"/>
          </m:rPr>
          <m:t>ln</m:t>
        </m:r>
        <m:r>
          <m:t>u</m:t>
        </m:r>
        <m:r>
          <m:rPr>
            <m:sty m:val="p"/>
          </m:rPr>
          <m:t>≥</m:t>
        </m:r>
        <m:sSub>
          <m:e>
            <m:r>
              <m:t>t</m:t>
            </m:r>
          </m:e>
          <m:sub>
            <m:r>
              <m:rPr>
                <m:nor/>
                <m:sty m:val="p"/>
              </m:rPr>
              <m:t>exp</m:t>
            </m:r>
          </m:sub>
        </m:sSub>
      </m:oMath>
      <w:r>
        <w:t xml:space="preserve">; lead</w:t>
      </w:r>
      <w:r>
        <w:t xml:space="preserve"> </w:t>
      </w:r>
      <m:oMath>
        <m:r>
          <m:rPr>
            <m:sty m:val="p"/>
          </m:rPr>
          <m:t>≈</m:t>
        </m:r>
        <m:r>
          <m:t>δ</m:t>
        </m:r>
        <m:r>
          <m:t>β</m:t>
        </m:r>
        <m:d>
          <m:dPr>
            <m:begChr m:val="("/>
            <m:endChr m:val=")"/>
            <m:sepChr m:val=""/>
            <m:grow/>
          </m:dPr>
          <m:e>
            <m:r>
              <m:rPr>
                <m:sty m:val="p"/>
              </m:rPr>
              <m:t>ln</m:t>
            </m:r>
            <m:r>
              <m:t>λ</m:t>
            </m:r>
            <m:r>
              <m:t>δ</m:t>
            </m:r>
            <m:r>
              <m:t>β</m:t>
            </m:r>
            <m:r>
              <m:rPr>
                <m:sty m:val="p"/>
              </m:rPr>
              <m:t>+</m:t>
            </m:r>
            <m:r>
              <m:t>γ</m:t>
            </m:r>
          </m:e>
        </m:d>
      </m:oMath>
      <w:r>
        <w:t xml:space="preserve">;</w:t>
      </w:r>
      <w:r>
        <w:t xml:space="preserve"> </w:t>
      </w:r>
      <m:oMath>
        <m:sSup>
          <m:e>
            <m:r>
              <m:t>e</m:t>
            </m:r>
          </m:e>
          <m:sup>
            <m:r>
              <m:t>1</m:t>
            </m:r>
            <m:r>
              <m:rPr>
                <m:sty m:val="p"/>
              </m:rPr>
              <m:t>/</m:t>
            </m:r>
            <m:r>
              <m:t>β</m:t>
            </m:r>
          </m:sup>
        </m:sSup>
      </m:oMath>
      <w:r>
        <w:t xml:space="preserve"> </w:t>
      </w:r>
      <w:r>
        <w:t xml:space="preserve">recomputes), stale-while-revalidate. Penetration: negative caching and Bloom filters. Avalanche: jitter, replication, warming, L1 and stale-if-error, load shedding.</w:t>
      </w:r>
    </w:p>
    <w:p>
      <w:pPr>
        <w:numPr>
          <w:ilvl w:val="0"/>
          <w:numId w:val="1676"/>
        </w:numPr>
        <w:pStyle w:val="Compact"/>
      </w:pPr>
      <w:r>
        <w:t xml:space="preserve">Distribute keys by consistent hashing or slots; hot keys need L1 caches (</w:t>
      </w:r>
      <m:oMath>
        <m:r>
          <m:rPr>
            <m:sty m:val="p"/>
          </m:rPr>
          <m:t>≤</m:t>
        </m:r>
        <m:r>
          <m:t>A</m:t>
        </m:r>
        <m:r>
          <m:rPr>
            <m:sty m:val="p"/>
          </m:rPr>
          <m:t>/</m:t>
        </m:r>
        <m:sSub>
          <m:e>
            <m:r>
              <m:t>T</m:t>
            </m:r>
          </m:e>
          <m:sub>
            <m:r>
              <m:t>L</m:t>
            </m:r>
            <m:r>
              <m:t>1</m:t>
            </m:r>
          </m:sub>
        </m:sSub>
      </m:oMath>
      <w:r>
        <w:t xml:space="preserve"> </w:t>
      </w:r>
      <w:r>
        <w:t xml:space="preserve">remote requests/s) or replicated copies.</w:t>
      </w:r>
    </w:p>
    <w:bookmarkEnd w:id="2348"/>
    <w:bookmarkStart w:id="2349" w:name="knowledge-checkpoint-19"/>
    <w:p>
      <w:pPr>
        <w:pStyle w:val="Heading2"/>
      </w:pPr>
      <w:r>
        <w:t xml:space="preserve">20.18 Knowledge checkpoint</w:t>
      </w:r>
    </w:p>
    <w:p>
      <w:pPr>
        <w:numPr>
          <w:ilvl w:val="0"/>
          <w:numId w:val="1677"/>
        </w:numPr>
        <w:pStyle w:val="Compact"/>
      </w:pPr>
      <w:r>
        <w:t xml:space="preserve">A cache lookup costs 0.4 ms and a database read 12 ms. What is the mean read latency at</w:t>
      </w:r>
      <w:r>
        <w:t xml:space="preserve"> </w:t>
      </w:r>
      <m:oMath>
        <m:r>
          <m:t>h</m:t>
        </m:r>
        <m:r>
          <m:rPr>
            <m:sty m:val="p"/>
          </m:rPr>
          <m:t>=</m:t>
        </m:r>
        <m:r>
          <m:t>0.95</m:t>
        </m:r>
      </m:oMath>
      <w:r>
        <w:t xml:space="preserve">?</w:t>
      </w:r>
    </w:p>
    <w:p>
      <w:pPr>
        <w:numPr>
          <w:ilvl w:val="0"/>
          <w:numId w:val="1677"/>
        </w:numPr>
        <w:pStyle w:val="Compact"/>
      </w:pPr>
      <w:r>
        <w:t xml:space="preserve">Why can a 1-point drop in hit ratio double database load?</w:t>
      </w:r>
    </w:p>
    <w:p>
      <w:pPr>
        <w:numPr>
          <w:ilvl w:val="0"/>
          <w:numId w:val="1677"/>
        </w:numPr>
        <w:pStyle w:val="Compact"/>
      </w:pPr>
      <w:r>
        <w:t xml:space="preserve">Using the</w:t>
      </w:r>
      <w:r>
        <w:t xml:space="preserve"> </w:t>
      </w:r>
      <m:oMath>
        <m:r>
          <m:t>s</m:t>
        </m:r>
        <m:r>
          <m:rPr>
            <m:sty m:val="p"/>
          </m:rPr>
          <m:t>=</m:t>
        </m:r>
        <m:r>
          <m:t>1</m:t>
        </m:r>
      </m:oMath>
      <w:r>
        <w:t xml:space="preserve"> </w:t>
      </w:r>
      <w:r>
        <w:t xml:space="preserve">approximation, what is the ideal hit ratio for</w:t>
      </w:r>
      <w:r>
        <w:t xml:space="preserve"> </w:t>
      </w:r>
      <m:oMath>
        <m:r>
          <m:t>C</m:t>
        </m:r>
        <m:r>
          <m:rPr>
            <m:sty m:val="p"/>
          </m:rPr>
          <m:t>=</m:t>
        </m:r>
        <m:sSup>
          <m:e>
            <m:r>
              <m:t>10</m:t>
            </m:r>
          </m:e>
          <m:sup>
            <m:r>
              <m:t>5</m:t>
            </m:r>
          </m:sup>
        </m:sSup>
      </m:oMath>
      <w:r>
        <w:t xml:space="preserve"> </w:t>
      </w:r>
      <w:r>
        <w:t xml:space="preserve">of</w:t>
      </w:r>
      <w:r>
        <w:t xml:space="preserve"> </w:t>
      </w:r>
      <m:oMath>
        <m:r>
          <m:t>N</m:t>
        </m:r>
        <m:r>
          <m:rPr>
            <m:sty m:val="p"/>
          </m:rPr>
          <m:t>=</m:t>
        </m:r>
        <m:sSup>
          <m:e>
            <m:r>
              <m:t>10</m:t>
            </m:r>
          </m:e>
          <m:sup>
            <m:r>
              <m:t>7</m:t>
            </m:r>
          </m:sup>
        </m:sSup>
      </m:oMath>
      <w:r>
        <w:t xml:space="preserve"> </w:t>
      </w:r>
      <w:r>
        <w:t xml:space="preserve">keys?</w:t>
      </w:r>
    </w:p>
    <w:p>
      <w:pPr>
        <w:numPr>
          <w:ilvl w:val="0"/>
          <w:numId w:val="1677"/>
        </w:numPr>
        <w:pStyle w:val="Compact"/>
      </w:pPr>
      <w:r>
        <w:t xml:space="preserve">Why are Redis commands atomic without locks, and what is the operational cost of that design?</w:t>
      </w:r>
    </w:p>
    <w:p>
      <w:pPr>
        <w:numPr>
          <w:ilvl w:val="0"/>
          <w:numId w:val="1677"/>
        </w:numPr>
        <w:pStyle w:val="Compact"/>
      </w:pPr>
      <w:r>
        <w:t xml:space="preserve">How does Redis Cluster map a key to a node, and how do you make two keys land in the same slot?</w:t>
      </w:r>
    </w:p>
    <w:p>
      <w:pPr>
        <w:numPr>
          <w:ilvl w:val="0"/>
          <w:numId w:val="1677"/>
        </w:numPr>
        <w:pStyle w:val="Compact"/>
      </w:pPr>
      <w:r>
        <w:t xml:space="preserve">An item with header is 200 bytes. Which Memcached chunk (growth factor 1.25) holds it, and what fraction is wasted?</w:t>
      </w:r>
    </w:p>
    <w:p>
      <w:pPr>
        <w:numPr>
          <w:ilvl w:val="0"/>
          <w:numId w:val="1677"/>
        </w:numPr>
        <w:pStyle w:val="Compact"/>
      </w:pPr>
      <w:r>
        <w:t xml:space="preserve">Describe the stale-set race in cache-aside and one mechanism that prevents it.</w:t>
      </w:r>
    </w:p>
    <w:p>
      <w:pPr>
        <w:numPr>
          <w:ilvl w:val="0"/>
          <w:numId w:val="1677"/>
        </w:numPr>
        <w:pStyle w:val="Compact"/>
      </w:pPr>
      <w:r>
        <w:t xml:space="preserve">Why delete the cache entry after a write instead of setting the new value?</w:t>
      </w:r>
    </w:p>
    <w:p>
      <w:pPr>
        <w:numPr>
          <w:ilvl w:val="0"/>
          <w:numId w:val="1677"/>
        </w:numPr>
        <w:pStyle w:val="Compact"/>
      </w:pPr>
      <w:r>
        <w:t xml:space="preserve">A write-back cache receives 50,000 writes/s and flushes every 2 s. How many acknowledged writes can a crash lose?</w:t>
      </w:r>
    </w:p>
    <w:p>
      <w:pPr>
        <w:numPr>
          <w:ilvl w:val="0"/>
          <w:numId w:val="1677"/>
        </w:numPr>
        <w:pStyle w:val="Compact"/>
      </w:pPr>
      <w:r>
        <w:t xml:space="preserve">600,000 keys were written in 30 s with the same TTL. The database tolerates 1,500 refills/s. What jitter range do you need?</w:t>
      </w:r>
    </w:p>
    <w:p>
      <w:pPr>
        <w:numPr>
          <w:ilvl w:val="0"/>
          <w:numId w:val="1677"/>
        </w:numPr>
        <w:pStyle w:val="Compact"/>
      </w:pPr>
      <w:r>
        <w:t xml:space="preserve">Why does in-cache LFU do badly when popularity shifts, and how does W-TinyLFU avoid it?</w:t>
      </w:r>
    </w:p>
    <w:p>
      <w:pPr>
        <w:numPr>
          <w:ilvl w:val="0"/>
          <w:numId w:val="1677"/>
        </w:numPr>
        <w:pStyle w:val="Compact"/>
      </w:pPr>
      <w:r>
        <w:t xml:space="preserve">What do ARC’s ghost lists record, and what does a ghost hit change?</w:t>
      </w:r>
    </w:p>
    <w:p>
      <w:pPr>
        <w:numPr>
          <w:ilvl w:val="0"/>
          <w:numId w:val="1677"/>
        </w:numPr>
        <w:pStyle w:val="Compact"/>
      </w:pPr>
      <w:r>
        <w:t xml:space="preserve">For XFetch with</w:t>
      </w:r>
      <w:r>
        <w:t xml:space="preserve"> </w:t>
      </w:r>
      <m:oMath>
        <m:r>
          <m:t>λ</m:t>
        </m:r>
        <m:r>
          <m:rPr>
            <m:sty m:val="p"/>
          </m:rPr>
          <m:t>=</m:t>
        </m:r>
        <m:r>
          <m:t>400</m:t>
        </m:r>
      </m:oMath>
      <w:r>
        <w:t xml:space="preserve"> </w:t>
      </w:r>
      <w:r>
        <w:t xml:space="preserve">requests/s,</w:t>
      </w:r>
      <w:r>
        <w:t xml:space="preserve"> </w:t>
      </w:r>
      <m:oMath>
        <m:r>
          <m:t>δ</m:t>
        </m:r>
        <m:r>
          <m:rPr>
            <m:sty m:val="p"/>
          </m:rPr>
          <m:t>=</m:t>
        </m:r>
        <m:r>
          <m:t>0.5</m:t>
        </m:r>
      </m:oMath>
      <w:r>
        <w:t xml:space="preserve"> </w:t>
      </w:r>
      <w:r>
        <w:t xml:space="preserve">s,</w:t>
      </w:r>
      <w:r>
        <w:t xml:space="preserve"> </w:t>
      </w:r>
      <m:oMath>
        <m:r>
          <m:t>β</m:t>
        </m:r>
        <m:r>
          <m:rPr>
            <m:sty m:val="p"/>
          </m:rPr>
          <m:t>=</m:t>
        </m:r>
        <m:r>
          <m:t>1</m:t>
        </m:r>
      </m:oMath>
      <w:r>
        <w:t xml:space="preserve">, what is the expected lead before expiry?</w:t>
      </w:r>
    </w:p>
    <w:p>
      <w:pPr>
        <w:numPr>
          <w:ilvl w:val="0"/>
          <w:numId w:val="1677"/>
        </w:numPr>
        <w:pStyle w:val="Compact"/>
      </w:pPr>
      <w:r>
        <w:t xml:space="preserve">200 app instances use a 2 s L1 TTL for a hot key. What is the maximum remote request rate for it?</w:t>
      </w:r>
    </w:p>
    <w:p>
      <w:pPr>
        <w:pStyle w:val="FirstParagraph"/>
      </w:pPr>
      <w:r>
        <w:t xml:space="preserve">Answers</w:t>
      </w:r>
    </w:p>
    <w:p>
      <w:pPr>
        <w:numPr>
          <w:ilvl w:val="0"/>
          <w:numId w:val="1678"/>
        </w:numPr>
        <w:pStyle w:val="Compact"/>
      </w:pPr>
      <m:oMath>
        <m:r>
          <m:t>0.4</m:t>
        </m:r>
        <m:r>
          <m:rPr>
            <m:sty m:val="p"/>
          </m:rPr>
          <m:t>+</m:t>
        </m:r>
        <m:r>
          <m:t>0.05</m:t>
        </m:r>
        <m:r>
          <m:rPr>
            <m:sty m:val="p"/>
          </m:rPr>
          <m:t>×</m:t>
        </m:r>
        <m:r>
          <m:t>12</m:t>
        </m:r>
        <m:r>
          <m:rPr>
            <m:sty m:val="p"/>
          </m:rPr>
          <m:t>=</m:t>
        </m:r>
        <m:r>
          <m:t>1.0</m:t>
        </m:r>
      </m:oMath>
      <w:r>
        <w:t xml:space="preserve"> </w:t>
      </w:r>
      <w:r>
        <w:t xml:space="preserve">ms.</w:t>
      </w:r>
    </w:p>
    <w:p>
      <w:pPr>
        <w:numPr>
          <w:ilvl w:val="0"/>
          <w:numId w:val="1678"/>
        </w:numPr>
        <w:pStyle w:val="Compact"/>
      </w:pPr>
      <w:r>
        <w:t xml:space="preserve">Database reads are proportional to the miss ratio; going from 99% to 98% doubles the miss ratio from 1% to 2%.</w:t>
      </w:r>
    </w:p>
    <w:p>
      <w:pPr>
        <w:numPr>
          <w:ilvl w:val="0"/>
          <w:numId w:val="1678"/>
        </w:numPr>
        <w:pStyle w:val="Compact"/>
      </w:pPr>
      <m:oMath>
        <m:d>
          <m:dPr>
            <m:begChr m:val="("/>
            <m:endChr m:val=")"/>
            <m:sepChr m:val=""/>
            <m:grow/>
          </m:dPr>
          <m:e>
            <m:r>
              <m:rPr>
                <m:sty m:val="p"/>
              </m:rPr>
              <m:t>ln</m:t>
            </m:r>
            <m:sSup>
              <m:e>
                <m:r>
                  <m:t>10</m:t>
                </m:r>
              </m:e>
              <m:sup>
                <m:r>
                  <m:t>5</m:t>
                </m:r>
              </m:sup>
            </m:sSup>
            <m:r>
              <m:rPr>
                <m:sty m:val="p"/>
              </m:rPr>
              <m:t>+</m:t>
            </m:r>
            <m:r>
              <m:t>0.577</m:t>
            </m:r>
          </m:e>
        </m:d>
        <m:r>
          <m:rPr>
            <m:sty m:val="p"/>
          </m:rPr>
          <m:t>/</m:t>
        </m:r>
        <m:d>
          <m:dPr>
            <m:begChr m:val="("/>
            <m:endChr m:val=")"/>
            <m:sepChr m:val=""/>
            <m:grow/>
          </m:dPr>
          <m:e>
            <m:r>
              <m:rPr>
                <m:sty m:val="p"/>
              </m:rPr>
              <m:t>ln</m:t>
            </m:r>
            <m:sSup>
              <m:e>
                <m:r>
                  <m:t>10</m:t>
                </m:r>
              </m:e>
              <m:sup>
                <m:r>
                  <m:t>7</m:t>
                </m:r>
              </m:sup>
            </m:sSup>
            <m:r>
              <m:rPr>
                <m:sty m:val="p"/>
              </m:rPr>
              <m:t>+</m:t>
            </m:r>
            <m:r>
              <m:t>0.577</m:t>
            </m:r>
          </m:e>
        </m:d>
        <m:r>
          <m:rPr>
            <m:sty m:val="p"/>
          </m:rPr>
          <m:t>=</m:t>
        </m:r>
        <m:d>
          <m:dPr>
            <m:begChr m:val="("/>
            <m:endChr m:val=")"/>
            <m:sepChr m:val=""/>
            <m:grow/>
          </m:dPr>
          <m:e>
            <m:r>
              <m:t>11.513</m:t>
            </m:r>
            <m:r>
              <m:rPr>
                <m:sty m:val="p"/>
              </m:rPr>
              <m:t>+</m:t>
            </m:r>
            <m:r>
              <m:t>0.577</m:t>
            </m:r>
          </m:e>
        </m:d>
        <m:r>
          <m:rPr>
            <m:sty m:val="p"/>
          </m:rPr>
          <m:t>/</m:t>
        </m:r>
        <m:d>
          <m:dPr>
            <m:begChr m:val="("/>
            <m:endChr m:val=")"/>
            <m:sepChr m:val=""/>
            <m:grow/>
          </m:dPr>
          <m:e>
            <m:r>
              <m:t>16.118</m:t>
            </m:r>
            <m:r>
              <m:rPr>
                <m:sty m:val="p"/>
              </m:rPr>
              <m:t>+</m:t>
            </m:r>
            <m:r>
              <m:t>0.577</m:t>
            </m:r>
          </m:e>
        </m:d>
        <m:r>
          <m:rPr>
            <m:sty m:val="p"/>
          </m:rPr>
          <m:t>=</m:t>
        </m:r>
        <m:r>
          <m:t>12.090</m:t>
        </m:r>
        <m:r>
          <m:rPr>
            <m:sty m:val="p"/>
          </m:rPr>
          <m:t>/</m:t>
        </m:r>
        <m:r>
          <m:t>16.695</m:t>
        </m:r>
        <m:r>
          <m:rPr>
            <m:sty m:val="p"/>
          </m:rPr>
          <m:t>≈</m:t>
        </m:r>
        <m:r>
          <m:t>0.724</m:t>
        </m:r>
      </m:oMath>
      <w:r>
        <w:t xml:space="preserve">.</w:t>
      </w:r>
    </w:p>
    <w:p>
      <w:pPr>
        <w:numPr>
          <w:ilvl w:val="0"/>
          <w:numId w:val="1678"/>
        </w:numPr>
        <w:pStyle w:val="Compact"/>
      </w:pPr>
      <w:r>
        <w:t xml:space="preserve">One thread executes all commands sequentially. Any slow command (</w:t>
      </w:r>
      <w:r>
        <w:rPr>
          <w:rStyle w:val="VerbatimChar"/>
        </w:rPr>
        <w:t xml:space="preserve">KEYS</w:t>
      </w:r>
      <w:r>
        <w:t xml:space="preserve">, large</w:t>
      </w:r>
      <w:r>
        <w:t xml:space="preserve"> </w:t>
      </w:r>
      <w:r>
        <w:rPr>
          <w:rStyle w:val="VerbatimChar"/>
        </w:rPr>
        <w:t xml:space="preserve">DEL</w:t>
      </w:r>
      <w:r>
        <w:t xml:space="preserve">, long scripts) blocks every client, and a process uses only one core for execution.</w:t>
      </w:r>
    </w:p>
    <w:p>
      <w:pPr>
        <w:numPr>
          <w:ilvl w:val="0"/>
          <w:numId w:val="1678"/>
        </w:numPr>
        <w:pStyle w:val="Compact"/>
      </w:pPr>
      <w:r>
        <w:rPr>
          <w:rStyle w:val="VerbatimChar"/>
        </w:rPr>
        <w:t xml:space="preserve">CRC16(key) mod 16384</w:t>
      </w:r>
      <w:r>
        <w:t xml:space="preserve"> </w:t>
      </w:r>
      <w:r>
        <w:t xml:space="preserve">gives the slot; each primary owns a set of slots. Put the same hash tag in both keys, for example</w:t>
      </w:r>
      <w:r>
        <w:t xml:space="preserve"> </w:t>
      </w:r>
      <w:r>
        <w:rPr>
          <w:rStyle w:val="VerbatimChar"/>
        </w:rPr>
        <w:t xml:space="preserve">{user:42}:profile</w:t>
      </w:r>
      <w:r>
        <w:t xml:space="preserve"> </w:t>
      </w:r>
      <w:r>
        <w:t xml:space="preserve">and</w:t>
      </w:r>
      <w:r>
        <w:t xml:space="preserve"> </w:t>
      </w:r>
      <w:r>
        <w:rPr>
          <w:rStyle w:val="VerbatimChar"/>
        </w:rPr>
        <w:t xml:space="preserve">{user:42}:cart</w:t>
      </w:r>
      <w:r>
        <w:t xml:space="preserve">.</w:t>
      </w:r>
    </w:p>
    <w:p>
      <w:pPr>
        <w:numPr>
          <w:ilvl w:val="0"/>
          <w:numId w:val="1678"/>
        </w:numPr>
        <w:pStyle w:val="Compact"/>
      </w:pPr>
      <w:r>
        <w:t xml:space="preserve">Classes: 152, 192, 240. 200 &gt; 192, so the 240-byte chunk; waste</w:t>
      </w:r>
      <w:r>
        <w:t xml:space="preserve"> </w:t>
      </w:r>
      <m:oMath>
        <m:r>
          <m:t>40</m:t>
        </m:r>
        <m:r>
          <m:rPr>
            <m:sty m:val="p"/>
          </m:rPr>
          <m:t>/</m:t>
        </m:r>
        <m:r>
          <m:t>240</m:t>
        </m:r>
        <m:r>
          <m:rPr>
            <m:sty m:val="p"/>
          </m:rPr>
          <m:t>=</m:t>
        </m:r>
        <m:r>
          <m:t>16.7</m:t>
        </m:r>
        <m:r>
          <m:rPr>
            <m:sty m:val="p"/>
          </m:rPr>
          <m:t>%</m:t>
        </m:r>
      </m:oMath>
      <w:r>
        <w:t xml:space="preserve">.</w:t>
      </w:r>
    </w:p>
    <w:p>
      <w:pPr>
        <w:numPr>
          <w:ilvl w:val="0"/>
          <w:numId w:val="1678"/>
        </w:numPr>
        <w:pStyle w:val="Compact"/>
      </w:pPr>
      <w:r>
        <w:t xml:space="preserve">A reader reads</w:t>
      </w:r>
      <w:r>
        <w:t xml:space="preserve"> </w:t>
      </w:r>
      <m:oMath>
        <m:sSub>
          <m:e>
            <m:r>
              <m:t>v</m:t>
            </m:r>
          </m:e>
          <m:sub>
            <m:r>
              <m:t>1</m:t>
            </m:r>
          </m:sub>
        </m:sSub>
      </m:oMath>
      <w:r>
        <w:t xml:space="preserve"> </w:t>
      </w:r>
      <w:r>
        <w:t xml:space="preserve">from the database, a writer commits</w:t>
      </w:r>
      <w:r>
        <w:t xml:space="preserve"> </w:t>
      </w:r>
      <m:oMath>
        <m:sSub>
          <m:e>
            <m:r>
              <m:t>v</m:t>
            </m:r>
          </m:e>
          <m:sub>
            <m:r>
              <m:t>2</m:t>
            </m:r>
          </m:sub>
        </m:sSub>
      </m:oMath>
      <w:r>
        <w:t xml:space="preserve"> </w:t>
      </w:r>
      <w:r>
        <w:t xml:space="preserve">and deletes the key, and the reader then sets</w:t>
      </w:r>
      <w:r>
        <w:t xml:space="preserve"> </w:t>
      </w:r>
      <m:oMath>
        <m:sSub>
          <m:e>
            <m:r>
              <m:t>v</m:t>
            </m:r>
          </m:e>
          <m:sub>
            <m:r>
              <m:t>1</m:t>
            </m:r>
          </m:sub>
        </m:sSub>
      </m:oMath>
      <w:r>
        <w:t xml:space="preserve">, which stays until TTL. Leases (the delete voids the reader’s token), versioned compare-and-set, or CDC-issued deletes after commit prevent or repair it.</w:t>
      </w:r>
    </w:p>
    <w:p>
      <w:pPr>
        <w:numPr>
          <w:ilvl w:val="0"/>
          <w:numId w:val="1678"/>
        </w:numPr>
        <w:pStyle w:val="Compact"/>
      </w:pPr>
      <w:r>
        <w:t xml:space="preserve">Concurrent writers can set values in a different order from their database commits, leaving an old value cached; deletes are idempotent and order-insensitive.</w:t>
      </w:r>
    </w:p>
    <w:p>
      <w:pPr>
        <w:numPr>
          <w:ilvl w:val="0"/>
          <w:numId w:val="1678"/>
        </w:numPr>
        <w:pStyle w:val="Compact"/>
      </w:pPr>
      <m:oMath>
        <m:r>
          <m:t>50</m:t>
        </m:r>
        <m:r>
          <m:rPr>
            <m:sty m:val="p"/>
          </m:rPr>
          <m:t>,</m:t>
        </m:r>
        <m:r>
          <m:t>000</m:t>
        </m:r>
        <m:r>
          <m:rPr>
            <m:sty m:val="p"/>
          </m:rPr>
          <m:t>×</m:t>
        </m:r>
        <m:r>
          <m:t>2</m:t>
        </m:r>
        <m:r>
          <m:rPr>
            <m:sty m:val="p"/>
          </m:rPr>
          <m:t>=</m:t>
        </m:r>
        <m:r>
          <m:t>100</m:t>
        </m:r>
        <m:r>
          <m:rPr>
            <m:sty m:val="p"/>
          </m:rPr>
          <m:t>,</m:t>
        </m:r>
        <m:r>
          <m:t>000</m:t>
        </m:r>
      </m:oMath>
      <w:r>
        <w:t xml:space="preserve"> </w:t>
      </w:r>
      <w:r>
        <w:t xml:space="preserve">writes.</w:t>
      </w:r>
    </w:p>
    <w:p>
      <w:pPr>
        <w:numPr>
          <w:ilvl w:val="0"/>
          <w:numId w:val="1678"/>
        </w:numPr>
        <w:pStyle w:val="Compact"/>
      </w:pPr>
      <m:oMath>
        <m:r>
          <m:t>J</m:t>
        </m:r>
        <m:r>
          <m:rPr>
            <m:sty m:val="p"/>
          </m:rPr>
          <m:t>≥</m:t>
        </m:r>
        <m:r>
          <m:t>600</m:t>
        </m:r>
        <m:r>
          <m:rPr>
            <m:sty m:val="p"/>
          </m:rPr>
          <m:t>,</m:t>
        </m:r>
        <m:r>
          <m:t>000</m:t>
        </m:r>
        <m:r>
          <m:rPr>
            <m:sty m:val="p"/>
          </m:rPr>
          <m:t>/</m:t>
        </m:r>
        <m:r>
          <m:t>1</m:t>
        </m:r>
        <m:r>
          <m:rPr>
            <m:sty m:val="p"/>
          </m:rPr>
          <m:t>,</m:t>
        </m:r>
        <m:r>
          <m:t>500</m:t>
        </m:r>
        <m:r>
          <m:rPr>
            <m:sty m:val="p"/>
          </m:rPr>
          <m:t>=</m:t>
        </m:r>
        <m:r>
          <m:t>400</m:t>
        </m:r>
      </m:oMath>
      <w:r>
        <w:t xml:space="preserve"> </w:t>
      </w:r>
      <w:r>
        <w:t xml:space="preserve">s.</w:t>
      </w:r>
    </w:p>
    <w:p>
      <w:pPr>
        <w:numPr>
          <w:ilvl w:val="0"/>
          <w:numId w:val="1678"/>
        </w:numPr>
        <w:pStyle w:val="Compact"/>
      </w:pPr>
      <w:r>
        <w:t xml:space="preserve">Counts of formerly hot entries stay high, so they are never evicted. W-TinyLFU halves sketch counters periodically (aging) and admits new keys through a recency window.</w:t>
      </w:r>
    </w:p>
    <w:p>
      <w:pPr>
        <w:numPr>
          <w:ilvl w:val="0"/>
          <w:numId w:val="1678"/>
        </w:numPr>
        <w:pStyle w:val="Compact"/>
      </w:pPr>
      <w:r>
        <w:t xml:space="preserve">The keys (not values) recently evicted from</w:t>
      </w:r>
      <w:r>
        <w:t xml:space="preserve"> </w:t>
      </w:r>
      <m:oMath>
        <m:sSub>
          <m:e>
            <m:r>
              <m:t>T</m:t>
            </m:r>
          </m:e>
          <m:sub>
            <m:r>
              <m:t>1</m:t>
            </m:r>
          </m:sub>
        </m:sSub>
      </m:oMath>
      <w:r>
        <w:t xml:space="preserve"> </w:t>
      </w:r>
      <w:r>
        <w:t xml:space="preserve">and</w:t>
      </w:r>
      <w:r>
        <w:t xml:space="preserve"> </w:t>
      </w:r>
      <m:oMath>
        <m:sSub>
          <m:e>
            <m:r>
              <m:t>T</m:t>
            </m:r>
          </m:e>
          <m:sub>
            <m:r>
              <m:t>2</m:t>
            </m:r>
          </m:sub>
        </m:sSub>
      </m:oMath>
      <w:r>
        <w:t xml:space="preserve">. A hit in</w:t>
      </w:r>
      <w:r>
        <w:t xml:space="preserve"> </w:t>
      </w:r>
      <m:oMath>
        <m:sSub>
          <m:e>
            <m:r>
              <m:t>B</m:t>
            </m:r>
          </m:e>
          <m:sub>
            <m:r>
              <m:t>1</m:t>
            </m:r>
          </m:sub>
        </m:sSub>
      </m:oMath>
      <w:r>
        <w:t xml:space="preserve"> </w:t>
      </w:r>
      <w:r>
        <w:t xml:space="preserve">increases the target size of</w:t>
      </w:r>
      <w:r>
        <w:t xml:space="preserve"> </w:t>
      </w:r>
      <m:oMath>
        <m:sSub>
          <m:e>
            <m:r>
              <m:t>T</m:t>
            </m:r>
          </m:e>
          <m:sub>
            <m:r>
              <m:t>1</m:t>
            </m:r>
          </m:sub>
        </m:sSub>
      </m:oMath>
      <w:r>
        <w:t xml:space="preserve"> </w:t>
      </w:r>
      <w:r>
        <w:t xml:space="preserve">(more recency); a hit in</w:t>
      </w:r>
      <w:r>
        <w:t xml:space="preserve"> </w:t>
      </w:r>
      <m:oMath>
        <m:sSub>
          <m:e>
            <m:r>
              <m:t>B</m:t>
            </m:r>
          </m:e>
          <m:sub>
            <m:r>
              <m:t>2</m:t>
            </m:r>
          </m:sub>
        </m:sSub>
      </m:oMath>
      <w:r>
        <w:t xml:space="preserve"> </w:t>
      </w:r>
      <w:r>
        <w:t xml:space="preserve">decreases it (more frequency).</w:t>
      </w:r>
    </w:p>
    <w:p>
      <w:pPr>
        <w:numPr>
          <w:ilvl w:val="0"/>
          <w:numId w:val="1678"/>
        </w:numPr>
        <w:pStyle w:val="Compact"/>
      </w:pPr>
      <m:oMath>
        <m:r>
          <m:t>λ</m:t>
        </m:r>
        <m:r>
          <m:t>δ</m:t>
        </m:r>
        <m:r>
          <m:t>β</m:t>
        </m:r>
        <m:r>
          <m:rPr>
            <m:sty m:val="p"/>
          </m:rPr>
          <m:t>=</m:t>
        </m:r>
        <m:r>
          <m:t>200</m:t>
        </m:r>
      </m:oMath>
      <w:r>
        <w:t xml:space="preserve">;</w:t>
      </w:r>
      <w:r>
        <w:t xml:space="preserve"> </w:t>
      </w:r>
      <m:oMath>
        <m:r>
          <m:t>0.5</m:t>
        </m:r>
        <m:r>
          <m:rPr>
            <m:sty m:val="p"/>
          </m:rPr>
          <m:t>×</m:t>
        </m:r>
        <m:d>
          <m:dPr>
            <m:begChr m:val="("/>
            <m:endChr m:val=")"/>
            <m:sepChr m:val=""/>
            <m:grow/>
          </m:dPr>
          <m:e>
            <m:r>
              <m:rPr>
                <m:sty m:val="p"/>
              </m:rPr>
              <m:t>ln</m:t>
            </m:r>
            <m:r>
              <m:t>200</m:t>
            </m:r>
            <m:r>
              <m:rPr>
                <m:sty m:val="p"/>
              </m:rPr>
              <m:t>+</m:t>
            </m:r>
            <m:r>
              <m:t>0.577</m:t>
            </m:r>
          </m:e>
        </m:d>
        <m:r>
          <m:rPr>
            <m:sty m:val="p"/>
          </m:rPr>
          <m:t>=</m:t>
        </m:r>
        <m:r>
          <m:t>0.5</m:t>
        </m:r>
        <m:r>
          <m:rPr>
            <m:sty m:val="p"/>
          </m:rPr>
          <m:t>×</m:t>
        </m:r>
        <m:r>
          <m:t>5.875</m:t>
        </m:r>
        <m:r>
          <m:rPr>
            <m:sty m:val="p"/>
          </m:rPr>
          <m:t>=</m:t>
        </m:r>
        <m:r>
          <m:t>2.94</m:t>
        </m:r>
      </m:oMath>
      <w:r>
        <w:t xml:space="preserve"> </w:t>
      </w:r>
      <w:r>
        <w:t xml:space="preserve">s.</w:t>
      </w:r>
    </w:p>
    <w:p>
      <w:pPr>
        <w:numPr>
          <w:ilvl w:val="0"/>
          <w:numId w:val="1678"/>
        </w:numPr>
        <w:pStyle w:val="Compact"/>
      </w:pPr>
      <m:oMath>
        <m:r>
          <m:t>200</m:t>
        </m:r>
        <m:r>
          <m:rPr>
            <m:sty m:val="p"/>
          </m:rPr>
          <m:t>/</m:t>
        </m:r>
        <m:r>
          <m:t>2</m:t>
        </m:r>
        <m:r>
          <m:rPr>
            <m:sty m:val="p"/>
          </m:rPr>
          <m:t>=</m:t>
        </m:r>
        <m:r>
          <m:t>100</m:t>
        </m:r>
      </m:oMath>
      <w:r>
        <w:t xml:space="preserve"> </w:t>
      </w:r>
      <w:r>
        <w:t xml:space="preserve">requests/s.</w:t>
      </w:r>
    </w:p>
    <w:bookmarkEnd w:id="2349"/>
    <w:bookmarkStart w:id="2353" w:name="interview-questions-19"/>
    <w:p>
      <w:pPr>
        <w:pStyle w:val="Heading2"/>
      </w:pPr>
      <w:r>
        <w:t xml:space="preserve">20.19 Interview questions</w:t>
      </w:r>
    </w:p>
    <w:bookmarkStart w:id="2350" w:name="basic-19"/>
    <w:p>
      <w:pPr>
        <w:pStyle w:val="Heading3"/>
      </w:pPr>
      <w:r>
        <w:t xml:space="preserve">Basic</w:t>
      </w:r>
    </w:p>
    <w:p>
      <w:pPr>
        <w:pStyle w:val="FirstParagraph"/>
      </w:pPr>
      <w:r>
        <w:rPr>
          <w:bCs/>
          <w:b/>
        </w:rPr>
        <w:t xml:space="preserve">Q1. When would you add a cache, and what do you need to state when you do?</w:t>
      </w:r>
      <w:r>
        <w:t xml:space="preserve"> </w:t>
      </w:r>
      <w:r>
        <w:rPr>
          <w:bCs/>
          <w:b/>
        </w:rPr>
        <w:t xml:space="preserve">Answer.</w:t>
      </w:r>
      <w:r>
        <w:t xml:space="preserve"> </w:t>
      </w:r>
      <w:r>
        <w:t xml:space="preserve">When reads repeat, the store is too slow or near capacity, and the data tolerates bounded staleness. State the hit ratio and resulting database load, the pattern, TTL and invalidation, the outage behavior and the memory size.</w:t>
      </w:r>
    </w:p>
    <w:p>
      <w:pPr>
        <w:pStyle w:val="BodyText"/>
      </w:pPr>
      <w:r>
        <w:rPr>
          <w:bCs/>
          <w:b/>
        </w:rPr>
        <w:t xml:space="preserve">Q2. Explain cache-aside versus write-through.</w:t>
      </w:r>
      <w:r>
        <w:t xml:space="preserve"> </w:t>
      </w:r>
      <w:r>
        <w:rPr>
          <w:bCs/>
          <w:b/>
        </w:rPr>
        <w:t xml:space="preserve">Answer.</w:t>
      </w:r>
      <w:r>
        <w:t xml:space="preserve"> </w:t>
      </w:r>
      <w:r>
        <w:t xml:space="preserve">Cache-aside: the application reads the cache, fills it from the database on a miss and deletes the key after writing the database; the cache is optional and holds only read data. Write-through: writes go through the cache layer, which writes the database synchronously and updates itself, so reads through that layer are fresh, at the cost of higher write latency and caching data that may never be read.</w:t>
      </w:r>
    </w:p>
    <w:p>
      <w:pPr>
        <w:pStyle w:val="BodyText"/>
      </w:pPr>
      <w:r>
        <w:rPr>
          <w:bCs/>
          <w:b/>
        </w:rPr>
        <w:t xml:space="preserve">Q3. Redis or Memcached?</w:t>
      </w:r>
      <w:r>
        <w:t xml:space="preserve"> </w:t>
      </w:r>
      <w:r>
        <w:rPr>
          <w:bCs/>
          <w:b/>
        </w:rPr>
        <w:t xml:space="preserve">Answer.</w:t>
      </w:r>
      <w:r>
        <w:t xml:space="preserve"> </w:t>
      </w:r>
      <w:r>
        <w:t xml:space="preserve">Memcached for a simple, multithreaded, large look-aside cache of serialized objects. Redis (or Valkey) when you need data structures, atomic operations, persistence or replication: sessions, leaderboards, rate limiters. Mention the Redis licensing change and Valkey as of 2026.</w:t>
      </w:r>
    </w:p>
    <w:bookmarkEnd w:id="2350"/>
    <w:bookmarkStart w:id="2351" w:name="intermediate-19"/>
    <w:p>
      <w:pPr>
        <w:pStyle w:val="Heading3"/>
      </w:pPr>
      <w:r>
        <w:t xml:space="preserve">Intermediate</w:t>
      </w:r>
    </w:p>
    <w:p>
      <w:pPr>
        <w:pStyle w:val="FirstParagraph"/>
      </w:pPr>
      <w:r>
        <w:rPr>
          <w:bCs/>
          <w:b/>
        </w:rPr>
        <w:t xml:space="preserve">Q4. Users sometimes see their old profile picture for an hour after changing it. Diagnose.</w:t>
      </w:r>
      <w:r>
        <w:t xml:space="preserve"> </w:t>
      </w:r>
      <w:r>
        <w:rPr>
          <w:bCs/>
          <w:b/>
        </w:rPr>
        <w:t xml:space="preserve">Answer.</w:t>
      </w:r>
      <w:r>
        <w:t xml:space="preserve"> </w:t>
      </w:r>
      <w:r>
        <w:t xml:space="preserve">The one-hour duration points to a TTL acting as backstop for a stale-set race, a missed delete on some write path, delete-before-write ordering, or a CDN or browser layer. Fix: delete after commit, leases or versioned keys, CDC-driven invalidation, and a versioned image URL.</w:t>
      </w:r>
    </w:p>
    <w:p>
      <w:pPr>
        <w:pStyle w:val="BodyText"/>
      </w:pPr>
      <w:r>
        <w:rPr>
          <w:bCs/>
          <w:b/>
        </w:rPr>
        <w:t xml:space="preserve">Q5. Your database melts down every day at 09:00. Why might the cache be involved?</w:t>
      </w:r>
      <w:r>
        <w:t xml:space="preserve"> </w:t>
      </w:r>
      <w:r>
        <w:rPr>
          <w:bCs/>
          <w:b/>
        </w:rPr>
        <w:t xml:space="preserve">Answer.</w:t>
      </w:r>
      <w:r>
        <w:t xml:space="preserve"> </w:t>
      </w:r>
      <w:r>
        <w:t xml:space="preserve">A cache avalanche: a job warms or rewrites many keys at the same time each day with identical TTLs, or a daily cache restart empties it. Add TTL jitter, warm caches gradually, keep replicas, add stale-if-error serving, and protect the database with load shedding.</w:t>
      </w:r>
    </w:p>
    <w:p>
      <w:pPr>
        <w:pStyle w:val="BodyText"/>
      </w:pPr>
      <w:r>
        <w:rPr>
          <w:bCs/>
          <w:b/>
        </w:rPr>
        <w:t xml:space="preserve">Q6. How do you protect a hot key that expires?</w:t>
      </w:r>
      <w:r>
        <w:t xml:space="preserve"> </w:t>
      </w:r>
      <w:r>
        <w:rPr>
          <w:bCs/>
          <w:b/>
        </w:rPr>
        <w:t xml:space="preserve">Answer.</w:t>
      </w:r>
      <w:r>
        <w:t xml:space="preserve"> </w:t>
      </w:r>
      <w:r>
        <w:t xml:space="preserve">Make sure only one request recomputes it: single-flight in process plus a lease or lock across processes, or XFetch to refresh before expiry with</w:t>
      </w:r>
      <w:r>
        <w:t xml:space="preserve"> </w:t>
      </w:r>
      <m:oMath>
        <m:r>
          <m:t>β</m:t>
        </m:r>
        <m:r>
          <m:rPr>
            <m:sty m:val="p"/>
          </m:rPr>
          <m:t>≈</m:t>
        </m:r>
        <m:r>
          <m:t>1</m:t>
        </m:r>
      </m:oMath>
      <w:r>
        <w:t xml:space="preserve">, or stale-while-revalidate. For read volume beyond one node, add L1 caches and key replication.</w:t>
      </w:r>
    </w:p>
    <w:bookmarkEnd w:id="2351"/>
    <w:bookmarkStart w:id="2352" w:name="advanced-19"/>
    <w:p>
      <w:pPr>
        <w:pStyle w:val="Heading3"/>
      </w:pPr>
      <w:r>
        <w:t xml:space="preserve">Advanced</w:t>
      </w:r>
    </w:p>
    <w:p>
      <w:pPr>
        <w:pStyle w:val="FirstParagraph"/>
      </w:pPr>
      <w:r>
        <w:rPr>
          <w:bCs/>
          <w:b/>
        </w:rPr>
        <w:t xml:space="preserve">Q7. Derive why XFetch’s duplicate recomputations do not grow with traffic.</w:t>
      </w:r>
      <w:r>
        <w:t xml:space="preserve"> </w:t>
      </w:r>
      <w:r>
        <w:rPr>
          <w:bCs/>
          <w:b/>
        </w:rPr>
        <w:t xml:space="preserve">Answer.</w:t>
      </w:r>
      <w:r>
        <w:t xml:space="preserve"> </w:t>
      </w:r>
      <w:r>
        <w:t xml:space="preserve">Each request triggers with probability</w:t>
      </w:r>
      <w:r>
        <w:t xml:space="preserve"> </w:t>
      </w:r>
      <m:oMath>
        <m:sSup>
          <m:e>
            <m:r>
              <m:t>e</m:t>
            </m:r>
          </m:e>
          <m:sup>
            <m:r>
              <m:rPr>
                <m:sty m:val="p"/>
              </m:rPr>
              <m:t>−</m:t>
            </m:r>
            <m:r>
              <m:t>r</m:t>
            </m:r>
            <m:r>
              <m:rPr>
                <m:sty m:val="p"/>
              </m:rPr>
              <m:t>/</m:t>
            </m:r>
            <m:d>
              <m:dPr>
                <m:begChr m:val="("/>
                <m:endChr m:val=")"/>
                <m:sepChr m:val=""/>
                <m:grow/>
              </m:dPr>
              <m:e>
                <m:r>
                  <m:t>δ</m:t>
                </m:r>
                <m:r>
                  <m:t>β</m:t>
                </m:r>
              </m:e>
            </m:d>
          </m:sup>
        </m:sSup>
      </m:oMath>
      <w:r>
        <w:t xml:space="preserve">; Poisson arrivals give trigger intensity</w:t>
      </w:r>
      <w:r>
        <w:t xml:space="preserve"> </w:t>
      </w:r>
      <m:oMath>
        <m:r>
          <m:t>λ</m:t>
        </m:r>
        <m:sSup>
          <m:e>
            <m:r>
              <m:t>e</m:t>
            </m:r>
          </m:e>
          <m:sup>
            <m:r>
              <m:rPr>
                <m:sty m:val="p"/>
              </m:rPr>
              <m:t>−</m:t>
            </m:r>
            <m:r>
              <m:t>r</m:t>
            </m:r>
            <m:r>
              <m:rPr>
                <m:sty m:val="p"/>
              </m:rPr>
              <m:t>/</m:t>
            </m:r>
            <m:d>
              <m:dPr>
                <m:begChr m:val="("/>
                <m:endChr m:val=")"/>
                <m:sepChr m:val=""/>
                <m:grow/>
              </m:dPr>
              <m:e>
                <m:r>
                  <m:t>δ</m:t>
                </m:r>
                <m:r>
                  <m:t>β</m:t>
                </m:r>
              </m:e>
            </m:d>
          </m:sup>
        </m:sSup>
      </m:oMath>
      <w:r>
        <w:t xml:space="preserve">. Let</w:t>
      </w:r>
      <w:r>
        <w:t xml:space="preserve"> </w:t>
      </w:r>
      <m:oMath>
        <m:r>
          <m:t>G</m:t>
        </m:r>
        <m:r>
          <m:rPr>
            <m:sty m:val="p"/>
          </m:rPr>
          <m:t>=</m:t>
        </m:r>
        <m:r>
          <m:t>λ</m:t>
        </m:r>
        <m:r>
          <m:t>δ</m:t>
        </m:r>
        <m:r>
          <m:t>β</m:t>
        </m:r>
        <m:sSup>
          <m:e>
            <m:r>
              <m:t>e</m:t>
            </m:r>
          </m:e>
          <m:sup>
            <m:r>
              <m:rPr>
                <m:sty m:val="p"/>
              </m:rPr>
              <m:t>−</m:t>
            </m:r>
            <m:r>
              <m:t>R</m:t>
            </m:r>
            <m:r>
              <m:rPr>
                <m:sty m:val="p"/>
              </m:rPr>
              <m:t>/</m:t>
            </m:r>
            <m:d>
              <m:dPr>
                <m:begChr m:val="("/>
                <m:endChr m:val=")"/>
                <m:sepChr m:val=""/>
                <m:grow/>
              </m:dPr>
              <m:e>
                <m:r>
                  <m:t>δ</m:t>
                </m:r>
                <m:r>
                  <m:t>β</m:t>
                </m:r>
              </m:e>
            </m:d>
          </m:sup>
        </m:sSup>
      </m:oMath>
      <w:r>
        <w:t xml:space="preserve"> </w:t>
      </w:r>
      <w:r>
        <w:t xml:space="preserve">at the first trigger time</w:t>
      </w:r>
      <w:r>
        <w:t xml:space="preserve"> </w:t>
      </w:r>
      <m:oMath>
        <m:r>
          <m:t>R</m:t>
        </m:r>
      </m:oMath>
      <w:r>
        <w:t xml:space="preserve">; since</w:t>
      </w:r>
      <w:r>
        <w:t xml:space="preserve"> </w:t>
      </w:r>
      <m:oMath>
        <m:r>
          <m:t>P</m:t>
        </m:r>
        <m:d>
          <m:dPr>
            <m:begChr m:val="("/>
            <m:endChr m:val=")"/>
            <m:sepChr m:val=""/>
            <m:grow/>
          </m:dPr>
          <m:e>
            <m:r>
              <m:rPr>
                <m:nor/>
                <m:sty m:val="p"/>
              </m:rPr>
              <m:t>no trigger before </m:t>
            </m:r>
            <m:r>
              <m:t>r</m:t>
            </m:r>
          </m:e>
        </m:d>
        <m:r>
          <m:rPr>
            <m:sty m:val="p"/>
          </m:rPr>
          <m:t>=</m:t>
        </m:r>
        <m:r>
          <m:rPr>
            <m:sty m:val="p"/>
          </m:rPr>
          <m:t>exp</m:t>
        </m:r>
        <m:d>
          <m:dPr>
            <m:begChr m:val="("/>
            <m:endChr m:val=")"/>
            <m:sepChr m:val=""/>
            <m:grow/>
          </m:dPr>
          <m:e>
            <m:r>
              <m:rPr>
                <m:sty m:val="p"/>
              </m:rPr>
              <m:t>−</m:t>
            </m:r>
            <m:r>
              <m:t>λ</m:t>
            </m:r>
            <m:r>
              <m:t>δ</m:t>
            </m:r>
            <m:r>
              <m:t>β</m:t>
            </m:r>
            <m:sSup>
              <m:e>
                <m:r>
                  <m:t>e</m:t>
                </m:r>
              </m:e>
              <m:sup>
                <m:r>
                  <m:rPr>
                    <m:sty m:val="p"/>
                  </m:rPr>
                  <m:t>−</m:t>
                </m:r>
                <m:r>
                  <m:t>r</m:t>
                </m:r>
                <m:r>
                  <m:rPr>
                    <m:sty m:val="p"/>
                  </m:rPr>
                  <m:t>/</m:t>
                </m:r>
                <m:d>
                  <m:dPr>
                    <m:begChr m:val="("/>
                    <m:endChr m:val=")"/>
                    <m:sepChr m:val=""/>
                    <m:grow/>
                  </m:dPr>
                  <m:e>
                    <m:r>
                      <m:t>δ</m:t>
                    </m:r>
                    <m:r>
                      <m:t>β</m:t>
                    </m:r>
                  </m:e>
                </m:d>
              </m:sup>
            </m:sSup>
          </m:e>
        </m:d>
      </m:oMath>
      <w:r>
        <w:t xml:space="preserve">,</w:t>
      </w:r>
      <w:r>
        <w:t xml:space="preserve"> </w:t>
      </w:r>
      <m:oMath>
        <m:r>
          <m:t>G</m:t>
        </m:r>
      </m:oMath>
      <w:r>
        <w:t xml:space="preserve"> </w:t>
      </w:r>
      <w:r>
        <w:t xml:space="preserve">is exponential with mean 1. Triggers in the following</w:t>
      </w:r>
      <w:r>
        <w:t xml:space="preserve"> </w:t>
      </w:r>
      <m:oMath>
        <m:r>
          <m:t>δ</m:t>
        </m:r>
      </m:oMath>
      <w:r>
        <w:t xml:space="preserve"> </w:t>
      </w:r>
      <w:r>
        <w:t xml:space="preserve">seconds have expected count</w:t>
      </w:r>
      <w:r>
        <w:t xml:space="preserve"> </w:t>
      </w:r>
      <m:oMath>
        <m:r>
          <m:t>G</m:t>
        </m:r>
        <m:d>
          <m:dPr>
            <m:begChr m:val="("/>
            <m:endChr m:val=")"/>
            <m:sepChr m:val=""/>
            <m:grow/>
          </m:dPr>
          <m:e>
            <m:sSup>
              <m:e>
                <m:r>
                  <m:t>e</m:t>
                </m:r>
              </m:e>
              <m:sup>
                <m:r>
                  <m:t>1</m:t>
                </m:r>
                <m:r>
                  <m:rPr>
                    <m:sty m:val="p"/>
                  </m:rPr>
                  <m:t>/</m:t>
                </m:r>
                <m:r>
                  <m:t>β</m:t>
                </m:r>
              </m:sup>
            </m:sSup>
            <m:r>
              <m:rPr>
                <m:sty m:val="p"/>
              </m:rPr>
              <m:t>−</m:t>
            </m:r>
            <m:r>
              <m:t>1</m:t>
            </m:r>
          </m:e>
        </m:d>
      </m:oMath>
      <w:r>
        <w:t xml:space="preserve">, so the mean total is</w:t>
      </w:r>
      <w:r>
        <w:t xml:space="preserve"> </w:t>
      </w:r>
      <m:oMath>
        <m:sSup>
          <m:e>
            <m:r>
              <m:t>e</m:t>
            </m:r>
          </m:e>
          <m:sup>
            <m:r>
              <m:t>1</m:t>
            </m:r>
            <m:r>
              <m:rPr>
                <m:sty m:val="p"/>
              </m:rPr>
              <m:t>/</m:t>
            </m:r>
            <m:r>
              <m:t>β</m:t>
            </m:r>
          </m:sup>
        </m:sSup>
      </m:oMath>
      <w:r>
        <w:t xml:space="preserve"> </w:t>
      </w:r>
      <w:r>
        <w:t xml:space="preserve">for any</w:t>
      </w:r>
      <w:r>
        <w:t xml:space="preserve"> </w:t>
      </w:r>
      <m:oMath>
        <m:r>
          <m:t>λ</m:t>
        </m:r>
      </m:oMath>
      <w:r>
        <w:t xml:space="preserve">, while the lead</w:t>
      </w:r>
      <w:r>
        <w:t xml:space="preserve"> </w:t>
      </w:r>
      <m:oMath>
        <m:r>
          <m:t>δ</m:t>
        </m:r>
        <m:r>
          <m:t>β</m:t>
        </m:r>
        <m:d>
          <m:dPr>
            <m:begChr m:val="("/>
            <m:endChr m:val=")"/>
            <m:sepChr m:val=""/>
            <m:grow/>
          </m:dPr>
          <m:e>
            <m:r>
              <m:rPr>
                <m:sty m:val="p"/>
              </m:rPr>
              <m:t>ln</m:t>
            </m:r>
            <m:r>
              <m:t>λ</m:t>
            </m:r>
            <m:r>
              <m:t>δ</m:t>
            </m:r>
            <m:r>
              <m:t>β</m:t>
            </m:r>
            <m:r>
              <m:rPr>
                <m:sty m:val="p"/>
              </m:rPr>
              <m:t>+</m:t>
            </m:r>
            <m:r>
              <m:t>γ</m:t>
            </m:r>
          </m:e>
        </m:d>
      </m:oMath>
      <w:r>
        <w:t xml:space="preserve"> </w:t>
      </w:r>
      <w:r>
        <w:t xml:space="preserve">grows only logarithmically.</w:t>
      </w:r>
    </w:p>
    <w:p>
      <w:pPr>
        <w:pStyle w:val="BodyText"/>
      </w:pPr>
      <w:r>
        <w:rPr>
          <w:bCs/>
          <w:b/>
        </w:rPr>
        <w:t xml:space="preserve">Q8. Design invalidation for a multi-region cache in front of a MySQL primary with cross-region replicas.</w:t>
      </w:r>
      <w:r>
        <w:t xml:space="preserve"> </w:t>
      </w:r>
      <w:r>
        <w:rPr>
          <w:bCs/>
          <w:b/>
        </w:rPr>
        <w:t xml:space="preserve">Answer.</w:t>
      </w:r>
      <w:r>
        <w:t xml:space="preserve"> </w:t>
      </w:r>
      <w:r>
        <w:t xml:space="preserve">Writers delete local keys after commit; a CDC daemon per database (primary and each replica) tails the commit log and issues batched deletes to that region’s caches, so a region’s caches are invalidated only after its replica has applied the change, preventing refills from lagging replicas. Keep TTLs as a backstop, use leases against stale sets, and for read-your-writes after a user’s own update, route that user’s reads to the primary or mark the key so misses read the primary (Facebook’s remote markers) [Nishtala et al. 2013].</w:t>
      </w:r>
    </w:p>
    <w:p>
      <w:pPr>
        <w:pStyle w:val="BodyText"/>
      </w:pPr>
      <w:r>
        <w:rPr>
          <w:bCs/>
          <w:b/>
        </w:rPr>
        <w:t xml:space="preserve">Q9. A team proposes replacing LRU with LFU in a 200 GB cache. How do you decide?</w:t>
      </w:r>
      <w:r>
        <w:t xml:space="preserve"> </w:t>
      </w:r>
      <w:r>
        <w:rPr>
          <w:bCs/>
          <w:b/>
        </w:rPr>
        <w:t xml:space="preserve">Answer.</w:t>
      </w:r>
      <w:r>
        <w:t xml:space="preserve"> </w:t>
      </w:r>
      <w:r>
        <w:t xml:space="preserve">Replay a production trace through LRU, LFU with aging, ARC and W-TinyLFU at several sizes and compare hit ratios and database queries per second (§20.9.5); scans hurt LRU, popularity shifts hurt pure LFU. In Redis this is</w:t>
      </w:r>
      <w:r>
        <w:t xml:space="preserve"> </w:t>
      </w:r>
      <w:r>
        <w:rPr>
          <w:rStyle w:val="VerbatimChar"/>
        </w:rPr>
        <w:t xml:space="preserve">allkeys-lfu</w:t>
      </w:r>
      <w:r>
        <w:t xml:space="preserve"> </w:t>
      </w:r>
      <w:r>
        <w:t xml:space="preserve">versus</w:t>
      </w:r>
      <w:r>
        <w:t xml:space="preserve"> </w:t>
      </w:r>
      <w:r>
        <w:rPr>
          <w:rStyle w:val="VerbatimChar"/>
        </w:rPr>
        <w:t xml:space="preserve">allkeys-lru</w:t>
      </w:r>
      <w:r>
        <w:t xml:space="preserve">.</w:t>
      </w:r>
    </w:p>
    <w:bookmarkEnd w:id="2352"/>
    <w:bookmarkEnd w:id="2353"/>
    <w:bookmarkStart w:id="2354" w:name="practical-exercises-19"/>
    <w:p>
      <w:pPr>
        <w:pStyle w:val="Heading2"/>
      </w:pPr>
      <w:r>
        <w:t xml:space="preserve">20.20 Practical exercises</w:t>
      </w:r>
    </w:p>
    <w:p>
      <w:pPr>
        <w:numPr>
          <w:ilvl w:val="0"/>
          <w:numId w:val="1679"/>
        </w:numPr>
        <w:pStyle w:val="Compact"/>
      </w:pPr>
      <w:r>
        <w:rPr>
          <w:bCs/>
          <w:b/>
        </w:rPr>
        <w:t xml:space="preserve">Measure skew.</w:t>
      </w:r>
      <w:r>
        <w:t xml:space="preserve"> </w:t>
      </w:r>
      <w:r>
        <w:t xml:space="preserve">Extend the §20.3.3 program to read a log of keys (one per line), fit the Zipf exponent by linear regression of log frequency on log rank, and plot measured LRU hit ratio against cache size.</w:t>
      </w:r>
    </w:p>
    <w:p>
      <w:pPr>
        <w:numPr>
          <w:ilvl w:val="0"/>
          <w:numId w:val="1679"/>
        </w:numPr>
        <w:pStyle w:val="Compact"/>
      </w:pPr>
      <w:r>
        <w:rPr>
          <w:bCs/>
          <w:b/>
        </w:rPr>
        <w:t xml:space="preserve">Add a doorkeeper.</w:t>
      </w:r>
      <w:r>
        <w:t xml:space="preserve"> </w:t>
      </w:r>
      <w:r>
        <w:t xml:space="preserve">Add a Bloom-filter doorkeeper (§17.4) to the W-TinyLFU class in §20.9.5 and report the hit-ratio change on the three traces.</w:t>
      </w:r>
    </w:p>
    <w:p>
      <w:pPr>
        <w:numPr>
          <w:ilvl w:val="0"/>
          <w:numId w:val="1679"/>
        </w:numPr>
        <w:pStyle w:val="Compact"/>
      </w:pPr>
      <w:r>
        <w:rPr>
          <w:bCs/>
          <w:b/>
        </w:rPr>
        <w:t xml:space="preserve">Reproduce the race.</w:t>
      </w:r>
      <w:r>
        <w:t xml:space="preserve"> </w:t>
      </w:r>
      <w:r>
        <w:t xml:space="preserve">With Redis and PostgreSQL in Docker, write a reader that sleeps 200 ms between its database read and its cache</w:t>
      </w:r>
      <w:r>
        <w:t xml:space="preserve"> </w:t>
      </w:r>
      <w:r>
        <w:rPr>
          <w:rStyle w:val="VerbatimChar"/>
        </w:rPr>
        <w:t xml:space="preserve">SET</w:t>
      </w:r>
      <w:r>
        <w:t xml:space="preserve">, and a writer that updates and deletes. Count stale entries over 10,000 iterations; then add a version check with a Lua script and count again.</w:t>
      </w:r>
    </w:p>
    <w:p>
      <w:pPr>
        <w:numPr>
          <w:ilvl w:val="0"/>
          <w:numId w:val="1679"/>
        </w:numPr>
        <w:pStyle w:val="Compact"/>
      </w:pPr>
      <w:r>
        <w:rPr>
          <w:bCs/>
          <w:b/>
        </w:rPr>
        <w:t xml:space="preserve">Stampede test.</w:t>
      </w:r>
      <w:r>
        <w:t xml:space="preserve"> </w:t>
      </w:r>
      <w:r>
        <w:t xml:space="preserve">Put a 1 s sleep behind a cached endpoint, expire the key under 500 concurrent clients, and measure database calls with no protection, with a</w:t>
      </w:r>
      <w:r>
        <w:t xml:space="preserve"> </w:t>
      </w:r>
      <w:r>
        <w:rPr>
          <w:rStyle w:val="VerbatimChar"/>
        </w:rPr>
        <w:t xml:space="preserve">SET NX PX</w:t>
      </w:r>
      <w:r>
        <w:t xml:space="preserve"> </w:t>
      </w:r>
      <w:r>
        <w:t xml:space="preserve">lock, and with XFetch.</w:t>
      </w:r>
    </w:p>
    <w:p>
      <w:pPr>
        <w:numPr>
          <w:ilvl w:val="0"/>
          <w:numId w:val="1679"/>
        </w:numPr>
        <w:pStyle w:val="Compact"/>
      </w:pPr>
      <w:r>
        <w:rPr>
          <w:bCs/>
          <w:b/>
        </w:rPr>
        <w:t xml:space="preserve">Redis eviction.</w:t>
      </w:r>
      <w:r>
        <w:t xml:space="preserve"> </w:t>
      </w:r>
      <w:r>
        <w:t xml:space="preserve">Fill a Redis instance with</w:t>
      </w:r>
      <w:r>
        <w:t xml:space="preserve"> </w:t>
      </w:r>
      <w:r>
        <w:rPr>
          <w:rStyle w:val="VerbatimChar"/>
        </w:rPr>
        <w:t xml:space="preserve">maxmemory 100mb</w:t>
      </w:r>
      <w:r>
        <w:t xml:space="preserve"> </w:t>
      </w:r>
      <w:r>
        <w:t xml:space="preserve">under</w:t>
      </w:r>
      <w:r>
        <w:t xml:space="preserve"> </w:t>
      </w:r>
      <w:r>
        <w:rPr>
          <w:rStyle w:val="VerbatimChar"/>
        </w:rPr>
        <w:t xml:space="preserve">allkeys-lru</w:t>
      </w:r>
      <w:r>
        <w:t xml:space="preserve"> </w:t>
      </w:r>
      <w:r>
        <w:t xml:space="preserve">with</w:t>
      </w:r>
      <w:r>
        <w:t xml:space="preserve"> </w:t>
      </w:r>
      <w:r>
        <w:rPr>
          <w:rStyle w:val="VerbatimChar"/>
        </w:rPr>
        <w:t xml:space="preserve">maxmemory-samples</w:t>
      </w:r>
      <w:r>
        <w:t xml:space="preserve"> </w:t>
      </w:r>
      <w:r>
        <w:t xml:space="preserve">1, 5 and 10, replay a Zipf trace and compare hit ratios with exact LRU from §20.9.5.</w:t>
      </w:r>
    </w:p>
    <w:bookmarkEnd w:id="2354"/>
    <w:bookmarkStart w:id="2355" w:name="design-challenges-19"/>
    <w:p>
      <w:pPr>
        <w:pStyle w:val="Heading2"/>
      </w:pPr>
      <w:r>
        <w:t xml:space="preserve">20.21 Design challenges</w:t>
      </w:r>
    </w:p>
    <w:p>
      <w:pPr>
        <w:numPr>
          <w:ilvl w:val="0"/>
          <w:numId w:val="1680"/>
        </w:numPr>
        <w:pStyle w:val="Compact"/>
      </w:pPr>
      <w:r>
        <w:rPr>
          <w:bCs/>
          <w:b/>
        </w:rPr>
        <w:t xml:space="preserve">Product catalog for a flash sale.</w:t>
      </w:r>
      <w:r>
        <w:t xml:space="preserve"> </w:t>
      </w:r>
      <w:r>
        <w:t xml:space="preserve">5 million products, 400,000 reads/s at peak with one product drawing 30% of traffic during the sale, prices that must be correct within 2 s. Design the cache layers, TTLs, invalidation and hot-key handling, and compute database load at the expected hit ratio.</w:t>
      </w:r>
    </w:p>
    <w:p>
      <w:pPr>
        <w:numPr>
          <w:ilvl w:val="0"/>
          <w:numId w:val="1680"/>
        </w:numPr>
        <w:pStyle w:val="Compact"/>
      </w:pPr>
      <w:r>
        <w:rPr>
          <w:bCs/>
          <w:b/>
        </w:rPr>
        <w:t xml:space="preserve">Session store.</w:t>
      </w:r>
      <w:r>
        <w:t xml:space="preserve"> </w:t>
      </w:r>
      <w:r>
        <w:t xml:space="preserve">20 million active sessions of 1 KB, 100,000 reads/s, sessions must survive a single node failure. Compare Redis with replicas against Memcached with client-side replication, including memory with slab overhead.</w:t>
      </w:r>
    </w:p>
    <w:p>
      <w:pPr>
        <w:numPr>
          <w:ilvl w:val="0"/>
          <w:numId w:val="1680"/>
        </w:numPr>
        <w:pStyle w:val="Compact"/>
      </w:pPr>
      <w:r>
        <w:rPr>
          <w:bCs/>
          <w:b/>
        </w:rPr>
        <w:t xml:space="preserve">Social feed cache.</w:t>
      </w:r>
      <w:r>
        <w:t xml:space="preserve"> </w:t>
      </w:r>
      <w:r>
        <w:t xml:space="preserve">Feeds are lists of post IDs per user, rebuilt from a fan-out service. Design the keys, eviction policy, invalidation on post deletion, and the warm-up plan for a new region.</w:t>
      </w:r>
    </w:p>
    <w:bookmarkEnd w:id="2355"/>
    <w:bookmarkStart w:id="2356" w:name="references-19"/>
    <w:p>
      <w:pPr>
        <w:pStyle w:val="Heading2"/>
      </w:pPr>
      <w:r>
        <w:t xml:space="preserve">20.22 References</w:t>
      </w:r>
    </w:p>
    <w:p>
      <w:pPr>
        <w:numPr>
          <w:ilvl w:val="0"/>
          <w:numId w:val="1681"/>
        </w:numPr>
        <w:pStyle w:val="Compact"/>
      </w:pPr>
      <w:r>
        <w:t xml:space="preserve">Belady, L. A.</w:t>
      </w:r>
      <w:r>
        <w:t xml:space="preserve"> </w:t>
      </w:r>
      <w:r>
        <w:rPr>
          <w:iCs/>
          <w:i/>
        </w:rPr>
        <w:t xml:space="preserve">A Study of Replacement Algorithms for a Virtual-Storage Computer</w:t>
      </w:r>
      <w:r>
        <w:t xml:space="preserve">. IBM Systems Journal 5(2), 1966.</w:t>
      </w:r>
    </w:p>
    <w:p>
      <w:pPr>
        <w:numPr>
          <w:ilvl w:val="0"/>
          <w:numId w:val="1681"/>
        </w:numPr>
        <w:pStyle w:val="Compact"/>
      </w:pPr>
      <w:r>
        <w:t xml:space="preserve">Breslau, L., Cao, P., Fan, L., Phillips, G., Shenker, S.</w:t>
      </w:r>
      <w:r>
        <w:t xml:space="preserve"> </w:t>
      </w:r>
      <w:r>
        <w:rPr>
          <w:iCs/>
          <w:i/>
        </w:rPr>
        <w:t xml:space="preserve">Web Caching and Zipf-like Distributions: Evidence and Implications</w:t>
      </w:r>
      <w:r>
        <w:t xml:space="preserve">. IEEE INFOCOM, 1999.</w:t>
      </w:r>
    </w:p>
    <w:p>
      <w:pPr>
        <w:numPr>
          <w:ilvl w:val="0"/>
          <w:numId w:val="1681"/>
        </w:numPr>
        <w:pStyle w:val="Compact"/>
      </w:pPr>
      <w:r>
        <w:t xml:space="preserve">Caffeine project.</w:t>
      </w:r>
      <w:r>
        <w:t xml:space="preserve"> </w:t>
      </w:r>
      <w:r>
        <w:rPr>
          <w:iCs/>
          <w:i/>
        </w:rPr>
        <w:t xml:space="preserve">Caffeine Wiki: Efficiency</w:t>
      </w:r>
      <w:r>
        <w:t xml:space="preserve"> </w:t>
      </w:r>
      <w:r>
        <w:t xml:space="preserve">and</w:t>
      </w:r>
      <w:r>
        <w:t xml:space="preserve"> </w:t>
      </w:r>
      <w:r>
        <w:rPr>
          <w:iCs/>
          <w:i/>
        </w:rPr>
        <w:t xml:space="preserve">Design</w:t>
      </w:r>
      <w:r>
        <w:t xml:space="preserve">. GitHub, accessed 2026. https://github.com/ben-manes/caffeine/wiki</w:t>
      </w:r>
    </w:p>
    <w:p>
      <w:pPr>
        <w:numPr>
          <w:ilvl w:val="0"/>
          <w:numId w:val="1681"/>
        </w:numPr>
        <w:pStyle w:val="Compact"/>
      </w:pPr>
      <w:r>
        <w:t xml:space="preserve">Einziger, G., Friedman, R., Manes, B.</w:t>
      </w:r>
      <w:r>
        <w:t xml:space="preserve"> </w:t>
      </w:r>
      <w:r>
        <w:rPr>
          <w:iCs/>
          <w:i/>
        </w:rPr>
        <w:t xml:space="preserve">TinyLFU: A Highly Efficient Cache Admission Policy</w:t>
      </w:r>
      <w:r>
        <w:t xml:space="preserve">. ACM Transactions on Storage 13(4), 2017.</w:t>
      </w:r>
    </w:p>
    <w:p>
      <w:pPr>
        <w:numPr>
          <w:ilvl w:val="0"/>
          <w:numId w:val="1681"/>
        </w:numPr>
        <w:pStyle w:val="Compact"/>
      </w:pPr>
      <w:r>
        <w:t xml:space="preserve">Linux Foundation.</w:t>
      </w:r>
      <w:r>
        <w:t xml:space="preserve"> </w:t>
      </w:r>
      <w:r>
        <w:rPr>
          <w:iCs/>
          <w:i/>
        </w:rPr>
        <w:t xml:space="preserve">Linux Foundation Launches Open Source Valkey Community</w:t>
      </w:r>
      <w:r>
        <w:t xml:space="preserve"> </w:t>
      </w:r>
      <w:r>
        <w:t xml:space="preserve">(press release). 2024.</w:t>
      </w:r>
    </w:p>
    <w:p>
      <w:pPr>
        <w:numPr>
          <w:ilvl w:val="0"/>
          <w:numId w:val="1681"/>
        </w:numPr>
        <w:pStyle w:val="Compact"/>
      </w:pPr>
      <w:r>
        <w:t xml:space="preserve">Megiddo, N., Modha, D. S.</w:t>
      </w:r>
      <w:r>
        <w:t xml:space="preserve"> </w:t>
      </w:r>
      <w:r>
        <w:rPr>
          <w:iCs/>
          <w:i/>
        </w:rPr>
        <w:t xml:space="preserve">ARC: A Self-Tuning, Low Overhead Replacement Cache</w:t>
      </w:r>
      <w:r>
        <w:t xml:space="preserve">. USENIX Conference on File and Storage Technologies (FAST), 2003.</w:t>
      </w:r>
    </w:p>
    <w:p>
      <w:pPr>
        <w:numPr>
          <w:ilvl w:val="0"/>
          <w:numId w:val="1681"/>
        </w:numPr>
        <w:pStyle w:val="Compact"/>
      </w:pPr>
      <w:r>
        <w:t xml:space="preserve">Memcached project.</w:t>
      </w:r>
      <w:r>
        <w:t xml:space="preserve"> </w:t>
      </w:r>
      <w:r>
        <w:rPr>
          <w:iCs/>
          <w:i/>
        </w:rPr>
        <w:t xml:space="preserve">Replacing the cache replacement algorithm in memcached</w:t>
      </w:r>
      <w:r>
        <w:t xml:space="preserve"> </w:t>
      </w:r>
      <w:r>
        <w:t xml:space="preserve">(Modern LRU). memcached.org blog, 2018. https://memcached.org/blog/modern-lru/</w:t>
      </w:r>
    </w:p>
    <w:p>
      <w:pPr>
        <w:numPr>
          <w:ilvl w:val="0"/>
          <w:numId w:val="1681"/>
        </w:numPr>
        <w:pStyle w:val="Compact"/>
      </w:pPr>
      <w:r>
        <w:t xml:space="preserve">Memcached project.</w:t>
      </w:r>
      <w:r>
        <w:t xml:space="preserve"> </w:t>
      </w:r>
      <w:r>
        <w:rPr>
          <w:iCs/>
          <w:i/>
        </w:rPr>
        <w:t xml:space="preserve">protocol.txt</w:t>
      </w:r>
      <w:r>
        <w:t xml:space="preserve"> </w:t>
      </w:r>
      <w:r>
        <w:t xml:space="preserve">(text and meta protocols) and wiki (overview, slabs, threads). Accessed 2026. https://github.com/memcached/memcached</w:t>
      </w:r>
    </w:p>
    <w:p>
      <w:pPr>
        <w:numPr>
          <w:ilvl w:val="0"/>
          <w:numId w:val="1681"/>
        </w:numPr>
        <w:pStyle w:val="Compact"/>
      </w:pPr>
      <w:r>
        <w:t xml:space="preserve">MySQL Server Team.</w:t>
      </w:r>
      <w:r>
        <w:t xml:space="preserve"> </w:t>
      </w:r>
      <w:r>
        <w:rPr>
          <w:iCs/>
          <w:i/>
        </w:rPr>
        <w:t xml:space="preserve">MySQL 8.0: Retiring Support for the Query Cache</w:t>
      </w:r>
      <w:r>
        <w:t xml:space="preserve">. MySQL Server Blog, 2017.</w:t>
      </w:r>
    </w:p>
    <w:p>
      <w:pPr>
        <w:numPr>
          <w:ilvl w:val="0"/>
          <w:numId w:val="1681"/>
        </w:numPr>
        <w:pStyle w:val="Compact"/>
      </w:pPr>
      <w:r>
        <w:t xml:space="preserve">Netflix.</w:t>
      </w:r>
      <w:r>
        <w:t xml:space="preserve"> </w:t>
      </w:r>
      <w:r>
        <w:rPr>
          <w:iCs/>
          <w:i/>
        </w:rPr>
        <w:t xml:space="preserve">EVCache</w:t>
      </w:r>
      <w:r>
        <w:t xml:space="preserve">. GitHub repository, accessed 2026. https://github.com/Netflix/EVCache</w:t>
      </w:r>
    </w:p>
    <w:p>
      <w:pPr>
        <w:numPr>
          <w:ilvl w:val="0"/>
          <w:numId w:val="1681"/>
        </w:numPr>
        <w:pStyle w:val="Compact"/>
      </w:pPr>
      <w:r>
        <w:t xml:space="preserve">Nishtala, R., Fugal, H., Grimm, S., Kwiatkowski, M., Lee, H., Li, H. C., McElroy, R., Paleczny, M., Peek, D., Saab, P., Stafford, D., Tung, T., Venkataramani, V.</w:t>
      </w:r>
      <w:r>
        <w:t xml:space="preserve"> </w:t>
      </w:r>
      <w:r>
        <w:rPr>
          <w:iCs/>
          <w:i/>
        </w:rPr>
        <w:t xml:space="preserve">Scaling Memcache at Facebook</w:t>
      </w:r>
      <w:r>
        <w:t xml:space="preserve">. USENIX NSDI, 2013. https://www.usenix.org/conference/nsdi13/technical-sessions/presentation/nishtala</w:t>
      </w:r>
    </w:p>
    <w:p>
      <w:pPr>
        <w:numPr>
          <w:ilvl w:val="0"/>
          <w:numId w:val="1681"/>
        </w:numPr>
        <w:pStyle w:val="Compact"/>
      </w:pPr>
      <w:r>
        <w:t xml:space="preserve">OpenZFS project.</w:t>
      </w:r>
      <w:r>
        <w:t xml:space="preserve"> </w:t>
      </w:r>
      <w:r>
        <w:rPr>
          <w:iCs/>
          <w:i/>
        </w:rPr>
        <w:t xml:space="preserve">OpenZFS documentation</w:t>
      </w:r>
      <w:r>
        <w:t xml:space="preserve"> </w:t>
      </w:r>
      <w:r>
        <w:t xml:space="preserve">(Adaptive Replacement Cache). Accessed 2026.</w:t>
      </w:r>
    </w:p>
    <w:p>
      <w:pPr>
        <w:numPr>
          <w:ilvl w:val="0"/>
          <w:numId w:val="1681"/>
        </w:numPr>
        <w:pStyle w:val="Compact"/>
      </w:pPr>
      <w:r>
        <w:t xml:space="preserve">Redis.</w:t>
      </w:r>
      <w:r>
        <w:t xml:space="preserve"> </w:t>
      </w:r>
      <w:r>
        <w:rPr>
          <w:iCs/>
          <w:i/>
        </w:rPr>
        <w:t xml:space="preserve">Redis documentation</w:t>
      </w:r>
      <w:r>
        <w:t xml:space="preserve">: Data types; Persistence; Replication; Cluster specification; Key eviction; EXPIRE; Client-side caching; Redis configuration (</w:t>
      </w:r>
      <w:r>
        <w:rPr>
          <w:rStyle w:val="VerbatimChar"/>
        </w:rPr>
        <w:t xml:space="preserve">io-threads</w:t>
      </w:r>
      <w:r>
        <w:t xml:space="preserve">). Accessed 2026. https://redis.io/docs/</w:t>
      </w:r>
    </w:p>
    <w:p>
      <w:pPr>
        <w:numPr>
          <w:ilvl w:val="0"/>
          <w:numId w:val="1681"/>
        </w:numPr>
        <w:pStyle w:val="Compact"/>
      </w:pPr>
      <w:r>
        <w:t xml:space="preserve">Redis.</w:t>
      </w:r>
      <w:r>
        <w:t xml:space="preserve"> </w:t>
      </w:r>
      <w:r>
        <w:rPr>
          <w:iCs/>
          <w:i/>
        </w:rPr>
        <w:t xml:space="preserve">Redis adopts dual source-available licensing</w:t>
      </w:r>
      <w:r>
        <w:t xml:space="preserve"> </w:t>
      </w:r>
      <w:r>
        <w:t xml:space="preserve">(2024) and</w:t>
      </w:r>
      <w:r>
        <w:t xml:space="preserve"> </w:t>
      </w:r>
      <w:r>
        <w:rPr>
          <w:iCs/>
          <w:i/>
        </w:rPr>
        <w:t xml:space="preserve">Redis 8 general availability, AGPLv3</w:t>
      </w:r>
      <w:r>
        <w:t xml:space="preserve"> </w:t>
      </w:r>
      <w:r>
        <w:t xml:space="preserve">(2025). Redis Blog.</w:t>
      </w:r>
    </w:p>
    <w:p>
      <w:pPr>
        <w:numPr>
          <w:ilvl w:val="0"/>
          <w:numId w:val="1681"/>
        </w:numPr>
        <w:pStyle w:val="Compact"/>
      </w:pPr>
      <w:r>
        <w:t xml:space="preserve">Fielding, R., Nottingham, M., Reschke, J.</w:t>
      </w:r>
      <w:r>
        <w:t xml:space="preserve"> </w:t>
      </w:r>
      <w:r>
        <w:rPr>
          <w:iCs/>
          <w:i/>
        </w:rPr>
        <w:t xml:space="preserve">HTTP Caching</w:t>
      </w:r>
      <w:r>
        <w:t xml:space="preserve">. RFC 9111, IETF, 2022. https://www.rfc-editor.org/rfc/rfc9111</w:t>
      </w:r>
    </w:p>
    <w:p>
      <w:pPr>
        <w:numPr>
          <w:ilvl w:val="0"/>
          <w:numId w:val="1681"/>
        </w:numPr>
        <w:pStyle w:val="Compact"/>
      </w:pPr>
      <w:r>
        <w:t xml:space="preserve">Nottingham, M.</w:t>
      </w:r>
      <w:r>
        <w:t xml:space="preserve"> </w:t>
      </w:r>
      <w:r>
        <w:rPr>
          <w:iCs/>
          <w:i/>
        </w:rPr>
        <w:t xml:space="preserve">HTTP Cache-Control Extensions for Stale Content</w:t>
      </w:r>
      <w:r>
        <w:t xml:space="preserve">. RFC 5861, IETF, 2010. https://www.rfc-editor.org/rfc/rfc5861</w:t>
      </w:r>
    </w:p>
    <w:p>
      <w:pPr>
        <w:numPr>
          <w:ilvl w:val="0"/>
          <w:numId w:val="1681"/>
        </w:numPr>
        <w:pStyle w:val="Compact"/>
      </w:pPr>
      <w:r>
        <w:t xml:space="preserve">Valkey project.</w:t>
      </w:r>
      <w:r>
        <w:t xml:space="preserve"> </w:t>
      </w:r>
      <w:r>
        <w:rPr>
          <w:iCs/>
          <w:i/>
        </w:rPr>
        <w:t xml:space="preserve">Valkey 8.0: Delivering Enhanced Performance and Reliability</w:t>
      </w:r>
      <w:r>
        <w:t xml:space="preserve">. Valkey Blog, 2024. https://valkey.io/blog/valkey-8-0-0-rc1/</w:t>
      </w:r>
    </w:p>
    <w:p>
      <w:pPr>
        <w:numPr>
          <w:ilvl w:val="0"/>
          <w:numId w:val="1681"/>
        </w:numPr>
        <w:pStyle w:val="Compact"/>
      </w:pPr>
      <w:r>
        <w:t xml:space="preserve">Vattani, A., Chierichetti, F., Lowenstein, K.</w:t>
      </w:r>
      <w:r>
        <w:t xml:space="preserve"> </w:t>
      </w:r>
      <w:r>
        <w:rPr>
          <w:iCs/>
          <w:i/>
        </w:rPr>
        <w:t xml:space="preserve">Optimal Probabilistic Cache Stampede Prevention</w:t>
      </w:r>
      <w:r>
        <w:t xml:space="preserve">. Proceedings of the VLDB Endowment 8(8), 2015.</w:t>
      </w:r>
    </w:p>
    <w:bookmarkEnd w:id="2356"/>
    <w:bookmarkStart w:id="2357" w:name="open-verification-items-19"/>
    <w:p>
      <w:pPr>
        <w:pStyle w:val="Heading2"/>
      </w:pPr>
      <w:r>
        <w:t xml:space="preserve">20.23 Open verification items</w:t>
      </w:r>
    </w:p>
    <w:p>
      <w:pPr>
        <w:numPr>
          <w:ilvl w:val="0"/>
          <w:numId w:val="1682"/>
        </w:numPr>
        <w:pStyle w:val="Compact"/>
      </w:pPr>
      <w:r>
        <w:t xml:space="preserve">Nishtala et al. 2013: lease rate of one token per 10 s per key, the 17K/s → 1.3K/s peak database query figure and the ~1% gutter pool size were confirmed only via secondary summaries (the USENIX site was unreachable); check against the paper.</w:t>
      </w:r>
    </w:p>
    <w:p>
      <w:pPr>
        <w:numPr>
          <w:ilvl w:val="0"/>
          <w:numId w:val="1682"/>
        </w:numPr>
        <w:pStyle w:val="Compact"/>
      </w:pPr>
      <w:r>
        <w:t xml:space="preserve">Breslau et al. 1999: exponent range of the traces (stated here only as</w:t>
      </w:r>
      <w:r>
        <w:t xml:space="preserve"> </w:t>
      </w:r>
      <w:r>
        <w:t xml:space="preserve">“</w:t>
      </w:r>
      <w:r>
        <w:t xml:space="preserve">below 1</w:t>
      </w:r>
      <w:r>
        <w:t xml:space="preserve">”</w:t>
      </w:r>
      <w:r>
        <w:t xml:space="preserve">).</w:t>
      </w:r>
    </w:p>
    <w:p>
      <w:pPr>
        <w:numPr>
          <w:ilvl w:val="0"/>
          <w:numId w:val="1682"/>
        </w:numPr>
        <w:pStyle w:val="Compact"/>
      </w:pPr>
      <w:r>
        <w:t xml:space="preserve">Valkey 8.0’s 1.2M requests/s figure is a vendor benchmark on AWS r7g; Redis license history and versions (7.4 dual license; 8.0 AGPLv3 option) as of 2026.</w:t>
      </w:r>
    </w:p>
    <w:p>
      <w:pPr>
        <w:numPr>
          <w:ilvl w:val="0"/>
          <w:numId w:val="1682"/>
        </w:numPr>
        <w:pStyle w:val="Compact"/>
      </w:pPr>
      <w:r>
        <w:t xml:space="preserve">Caffeine’s admission randomization against hash flooding, and default window/probation proportions.</w:t>
      </w:r>
    </w:p>
    <w:p>
      <w:pPr>
        <w:numPr>
          <w:ilvl w:val="0"/>
          <w:numId w:val="1682"/>
        </w:numPr>
        <w:pStyle w:val="Compact"/>
      </w:pPr>
      <w:r>
        <w:t xml:space="preserve">Exact URLs for the MySQL query-cache blog post, the Linux Foundation press release and Redis blog posts.</w:t>
      </w:r>
    </w:p>
    <w:bookmarkEnd w:id="2357"/>
    <w:bookmarkEnd w:id="2358"/>
    <w:bookmarkStart w:id="2438" w:name="chapter-21-content-delivery-networks"/>
    <w:p>
      <w:pPr>
        <w:pStyle w:val="Heading1"/>
      </w:pPr>
      <w:r>
        <w:t xml:space="preserve">Chapter 21 — Content Delivery Networks</w:t>
      </w:r>
    </w:p>
    <w:p>
      <w:pPr>
        <w:pStyle w:val="BlockText"/>
      </w:pPr>
      <w:r>
        <w:rPr>
          <w:bCs/>
          <w:b/>
        </w:rPr>
        <w:t xml:space="preserve">Level:</w:t>
      </w:r>
      <w:r>
        <w:t xml:space="preserve"> </w:t>
      </w:r>
      <w:r>
        <w:t xml:space="preserve">2 ·</w:t>
      </w:r>
      <w:r>
        <w:t xml:space="preserve"> </w:t>
      </w:r>
      <w:r>
        <w:rPr>
          <w:bCs/>
          <w:b/>
        </w:rPr>
        <w:t xml:space="preserve">Track:</w:t>
      </w:r>
      <w:r>
        <w:t xml:space="preserve"> </w:t>
      </w:r>
      <w:r>
        <w:t xml:space="preserve">A (Traditional) ·</w:t>
      </w:r>
      <w:r>
        <w:t xml:space="preserve"> </w:t>
      </w:r>
      <w:r>
        <w:rPr>
          <w:bCs/>
          <w:b/>
        </w:rPr>
        <w:t xml:space="preserve">Estimated reading time:</w:t>
      </w:r>
      <w:r>
        <w:t xml:space="preserve"> </w:t>
      </w:r>
      <w:r>
        <w:t xml:space="preserve">3 h</w:t>
      </w:r>
    </w:p>
    <w:p>
      <w:pPr>
        <w:pStyle w:val="FirstParagraph"/>
      </w:pPr>
      <w:r>
        <w:t xml:space="preserve">At 10 million daily users, PhotoShare serves about 28 Gbit/s of images at peak (§1.9). Chapter 1 drew the box that makes this affordable, a</w:t>
      </w:r>
      <w:r>
        <w:t xml:space="preserve"> </w:t>
      </w:r>
      <w:r>
        <w:rPr>
          <w:bCs/>
          <w:b/>
        </w:rPr>
        <w:t xml:space="preserve">CDN</w:t>
      </w:r>
      <w:r>
        <w:t xml:space="preserve">, as a hexagon labeled</w:t>
      </w:r>
      <w:r>
        <w:t xml:space="preserve"> </w:t>
      </w:r>
      <w:r>
        <w:t xml:space="preserve">“</w:t>
      </w:r>
      <w:r>
        <w:t xml:space="preserve">external</w:t>
      </w:r>
      <w:r>
        <w:t xml:space="preserve">”</w:t>
      </w:r>
      <w:r>
        <w:t xml:space="preserve">. This chapter opens the hexagon. A CDN is a geographically distributed cache built from the ideas of Chapters 7 and 20: anycast and DNS steer each user to a nearby site, TLS terminates close to the user, and a hierarchy of caches keeps most requests away from your servers. You will learn how shielding turns hundreds of misses into one, how cache keys and headers decide what is shared, how to purge in a fraction of a second, how video adapts to the network, and how Netflix built a CDN inside other people’s networks.</w:t>
      </w:r>
    </w:p>
    <w:bookmarkStart w:id="2359" w:name="learning-objectives-20"/>
    <w:p>
      <w:pPr>
        <w:pStyle w:val="Heading2"/>
      </w:pPr>
      <w:r>
        <w:t xml:space="preserve">21.1 Learning objectives</w:t>
      </w:r>
    </w:p>
    <w:p>
      <w:pPr>
        <w:pStyle w:val="FirstParagraph"/>
      </w:pPr>
      <w:r>
        <w:t xml:space="preserve">After this chapter you should be able to:</w:t>
      </w:r>
    </w:p>
    <w:p>
      <w:pPr>
        <w:numPr>
          <w:ilvl w:val="0"/>
          <w:numId w:val="1683"/>
        </w:numPr>
        <w:pStyle w:val="Compact"/>
      </w:pPr>
      <w:r>
        <w:t xml:space="preserve">Draw a CDN (points of presence, mid-tier, origin) and trace a cache hit and a cache miss end to end.</w:t>
      </w:r>
    </w:p>
    <w:p>
      <w:pPr>
        <w:numPr>
          <w:ilvl w:val="0"/>
          <w:numId w:val="1683"/>
        </w:numPr>
        <w:pStyle w:val="Compact"/>
      </w:pPr>
      <w:r>
        <w:t xml:space="preserve">Compare DNS-based request routing with anycast and choose between them.</w:t>
      </w:r>
    </w:p>
    <w:p>
      <w:pPr>
        <w:numPr>
          <w:ilvl w:val="0"/>
          <w:numId w:val="1683"/>
        </w:numPr>
        <w:pStyle w:val="Compact"/>
      </w:pPr>
      <w:r>
        <w:t xml:space="preserve">Compute request and byte offload ratios, compose hit ratios across cache tiers, and estimate origin bandwidth and monthly egress cost.</w:t>
      </w:r>
    </w:p>
    <w:p>
      <w:pPr>
        <w:numPr>
          <w:ilvl w:val="0"/>
          <w:numId w:val="1683"/>
        </w:numPr>
        <w:pStyle w:val="Compact"/>
      </w:pPr>
      <w:r>
        <w:t xml:space="preserve">Explain why origin shielding reduces origin load and quantify the reduction with a Poisson model and a simulation.</w:t>
      </w:r>
    </w:p>
    <w:p>
      <w:pPr>
        <w:numPr>
          <w:ilvl w:val="0"/>
          <w:numId w:val="1683"/>
        </w:numPr>
        <w:pStyle w:val="Compact"/>
      </w:pPr>
      <w:r>
        <w:t xml:space="preserve">Design cache keys and</w:t>
      </w:r>
      <w:r>
        <w:t xml:space="preserve"> </w:t>
      </w:r>
      <w:r>
        <w:rPr>
          <w:rStyle w:val="VerbatimChar"/>
        </w:rPr>
        <w:t xml:space="preserve">Cache-Control</w:t>
      </w:r>
      <w:r>
        <w:t xml:space="preserve"> </w:t>
      </w:r>
      <w:r>
        <w:t xml:space="preserve">policies (</w:t>
      </w:r>
      <w:r>
        <w:rPr>
          <w:rStyle w:val="VerbatimChar"/>
        </w:rPr>
        <w:t xml:space="preserve">max-age</w:t>
      </w:r>
      <w:r>
        <w:t xml:space="preserve">,</w:t>
      </w:r>
      <w:r>
        <w:t xml:space="preserve"> </w:t>
      </w:r>
      <w:r>
        <w:rPr>
          <w:rStyle w:val="VerbatimChar"/>
        </w:rPr>
        <w:t xml:space="preserve">s-maxage</w:t>
      </w:r>
      <w:r>
        <w:t xml:space="preserve">,</w:t>
      </w:r>
      <w:r>
        <w:t xml:space="preserve"> </w:t>
      </w:r>
      <w:r>
        <w:rPr>
          <w:rStyle w:val="VerbatimChar"/>
        </w:rPr>
        <w:t xml:space="preserve">stale-while-revalidate</w:t>
      </w:r>
      <w:r>
        <w:t xml:space="preserve">,</w:t>
      </w:r>
      <w:r>
        <w:t xml:space="preserve"> </w:t>
      </w:r>
      <w:r>
        <w:rPr>
          <w:rStyle w:val="VerbatimChar"/>
        </w:rPr>
        <w:t xml:space="preserve">stale-if-error</w:t>
      </w:r>
      <w:r>
        <w:t xml:space="preserve">,</w:t>
      </w:r>
      <w:r>
        <w:t xml:space="preserve"> </w:t>
      </w:r>
      <w:r>
        <w:rPr>
          <w:rStyle w:val="VerbatimChar"/>
        </w:rPr>
        <w:t xml:space="preserve">ETag</w:t>
      </w:r>
      <w:r>
        <w:t xml:space="preserve">) under RFC 9111, and choose between URL purge, tag-based purge and versioned URLs.</w:t>
      </w:r>
    </w:p>
    <w:p>
      <w:pPr>
        <w:numPr>
          <w:ilvl w:val="0"/>
          <w:numId w:val="1683"/>
        </w:numPr>
        <w:pStyle w:val="Compact"/>
      </w:pPr>
      <w:r>
        <w:t xml:space="preserve">Explain dynamic site acceleration and edge-side includes, and estimate when they help.</w:t>
      </w:r>
    </w:p>
    <w:p>
      <w:pPr>
        <w:numPr>
          <w:ilvl w:val="0"/>
          <w:numId w:val="1683"/>
        </w:numPr>
        <w:pStyle w:val="Compact"/>
      </w:pPr>
      <w:r>
        <w:t xml:space="preserve">Size video delivery for an adaptive bitrate ladder and compare throughput-based and buffer-based bitrate adaptation.</w:t>
      </w:r>
    </w:p>
    <w:p>
      <w:pPr>
        <w:numPr>
          <w:ilvl w:val="0"/>
          <w:numId w:val="1683"/>
        </w:numPr>
        <w:pStyle w:val="Compact"/>
      </w:pPr>
      <w:r>
        <w:t xml:space="preserve">Describe edge compute runtimes, Netflix Open Connect and the CDN’s role in security.</w:t>
      </w:r>
    </w:p>
    <w:bookmarkEnd w:id="2359"/>
    <w:bookmarkStart w:id="2360" w:name="prerequisites-20"/>
    <w:p>
      <w:pPr>
        <w:pStyle w:val="Heading2"/>
      </w:pPr>
      <w:r>
        <w:t xml:space="preserve">21.2 Prerequisites</w:t>
      </w:r>
    </w:p>
    <w:p>
      <w:pPr>
        <w:numPr>
          <w:ilvl w:val="0"/>
          <w:numId w:val="1684"/>
        </w:numPr>
        <w:pStyle w:val="Compact"/>
      </w:pPr>
      <w:r>
        <w:t xml:space="preserve">Anycast, BGP, DNS resolution and TTLs — §7.5–§7.6 (both request-routing methods build on them).</w:t>
      </w:r>
    </w:p>
    <w:p>
      <w:pPr>
        <w:numPr>
          <w:ilvl w:val="0"/>
          <w:numId w:val="1684"/>
        </w:numPr>
        <w:pStyle w:val="Compact"/>
      </w:pPr>
      <w:r>
        <w:t xml:space="preserve">TCP handshake, slow start, TLS 1.3, HTTP/2 and HTTP/3 — §7.7, §7.9, §7.10 (the latency a CDN removes is round trips).</w:t>
      </w:r>
    </w:p>
    <w:p>
      <w:pPr>
        <w:numPr>
          <w:ilvl w:val="0"/>
          <w:numId w:val="1684"/>
        </w:numPr>
        <w:pStyle w:val="Compact"/>
      </w:pPr>
      <w:r>
        <w:t xml:space="preserve">HTTP methods, status codes,</w:t>
      </w:r>
      <w:r>
        <w:t xml:space="preserve"> </w:t>
      </w:r>
      <w:r>
        <w:rPr>
          <w:rStyle w:val="VerbatimChar"/>
        </w:rPr>
        <w:t xml:space="preserve">ETag</w:t>
      </w:r>
      <w:r>
        <w:t xml:space="preserve"> </w:t>
      </w:r>
      <w:r>
        <w:t xml:space="preserve">and conditional requests — §8.6.3–§8.6.4; cookies — §8.10.1.</w:t>
      </w:r>
    </w:p>
    <w:p>
      <w:pPr>
        <w:numPr>
          <w:ilvl w:val="0"/>
          <w:numId w:val="1684"/>
        </w:numPr>
        <w:pStyle w:val="Compact"/>
      </w:pPr>
      <w:r>
        <w:t xml:space="preserve">Cache hit ratio, TTL, eviction and stampedes — §20.3, §20.8, §20.9, §20.11 (a CDN is a cache; this chapter does not repeat the general theory).</w:t>
      </w:r>
    </w:p>
    <w:p>
      <w:pPr>
        <w:numPr>
          <w:ilvl w:val="0"/>
          <w:numId w:val="1684"/>
        </w:numPr>
        <w:pStyle w:val="Compact"/>
      </w:pPr>
      <w:r>
        <w:t xml:space="preserve">Consistent hashing — §14.8 (used inside each CDN site).</w:t>
      </w:r>
    </w:p>
    <w:p>
      <w:pPr>
        <w:numPr>
          <w:ilvl w:val="0"/>
          <w:numId w:val="1684"/>
        </w:numPr>
        <w:pStyle w:val="Compact"/>
      </w:pPr>
      <w:r>
        <w:t xml:space="preserve">Units:</w:t>
      </w:r>
      <w:r>
        <w:t xml:space="preserve"> </w:t>
      </w:r>
      <w:r>
        <w:rPr>
          <w:bCs/>
          <w:b/>
        </w:rPr>
        <w:t xml:space="preserve">MB/GB/TB/PB</w:t>
      </w:r>
      <w:r>
        <w:t xml:space="preserve"> </w:t>
      </w:r>
      <w:r>
        <w:t xml:space="preserve">are powers of ten; bit rates use</w:t>
      </w:r>
      <w:r>
        <w:t xml:space="preserve"> </w:t>
      </w:r>
      <w:r>
        <w:rPr>
          <w:bCs/>
          <w:b/>
        </w:rPr>
        <w:t xml:space="preserve">Mb/s</w:t>
      </w:r>
      <w:r>
        <w:t xml:space="preserve"> </w:t>
      </w:r>
      <w:r>
        <w:t xml:space="preserve">and</w:t>
      </w:r>
      <w:r>
        <w:t xml:space="preserve"> </w:t>
      </w:r>
      <w:r>
        <w:rPr>
          <w:bCs/>
          <w:b/>
        </w:rPr>
        <w:t xml:space="preserve">Gb/s</w:t>
      </w:r>
      <w:r>
        <w:t xml:space="preserve"> </w:t>
      </w:r>
      <w:r>
        <w:t xml:space="preserve">(10⁶ and 10⁹ bits per second). One byte is eight bits.</w:t>
      </w:r>
    </w:p>
    <w:bookmarkEnd w:id="2360"/>
    <w:bookmarkStart w:id="2377" w:name="cdn-architecture"/>
    <w:p>
      <w:pPr>
        <w:pStyle w:val="Heading2"/>
      </w:pPr>
      <w:r>
        <w:t xml:space="preserve">21.3 CDN architecture</w:t>
      </w:r>
    </w:p>
    <w:bookmarkStart w:id="2364" w:name="what-a-cdn-is-and-why-it-exists"/>
    <w:p>
      <w:pPr>
        <w:pStyle w:val="Heading3"/>
      </w:pPr>
      <w:r>
        <w:t xml:space="preserve">21.3.1 What a CDN is and why it exists</w:t>
      </w:r>
    </w:p>
    <w:p>
      <w:pPr>
        <w:pStyle w:val="CalloutDefinition"/>
      </w:pPr>
      <w:r>
        <w:rPr>
          <w:bCs/>
          <w:b/>
        </w:rPr>
        <w:t xml:space="preserve">DEFINITION</w:t>
      </w:r>
    </w:p>
    <w:p>
      <w:pPr>
        <w:pStyle w:val="CalloutDefinition"/>
      </w:pPr>
      <w:r>
        <w:rPr>
          <w:bCs/>
          <w:b/>
        </w:rPr>
        <w:t xml:space="preserve">Definition — Content delivery network (CDN).</w:t>
      </w:r>
      <w:r>
        <w:t xml:space="preserve"> </w:t>
      </w:r>
      <w:r>
        <w:t xml:space="preserve">A distributed system of caching reverse proxies (§7.12) deployed in many network locations, which serves content on behalf of an</w:t>
      </w:r>
      <w:r>
        <w:t xml:space="preserve"> </w:t>
      </w:r>
      <w:r>
        <w:rPr>
          <w:bCs/>
          <w:b/>
        </w:rPr>
        <w:t xml:space="preserve">origin</w:t>
      </w:r>
      <w:r>
        <w:t xml:space="preserve"> </w:t>
      </w:r>
      <w:r>
        <w:t xml:space="preserve">(the authoritative server for the content) from the location nearest each user, fetching from the origin only on a cache miss.</w:t>
      </w:r>
    </w:p>
    <w:bookmarkStart w:id="2361" w:name="first-principles-explanation-126"/>
    <w:p>
      <w:pPr>
        <w:pStyle w:val="Heading4"/>
      </w:pPr>
      <w:r>
        <w:t xml:space="preserve">First-principles explanation</w:t>
      </w:r>
    </w:p>
    <w:p>
      <w:pPr>
        <w:pStyle w:val="FirstParagraph"/>
      </w:pPr>
      <w:r>
        <w:t xml:space="preserve">A bestselling author lives in one city. If every reader had to travel there to buy a book, the queue would stretch for kilometers and most readers would give up. Instead, the publisher prints copies and ships them to bookshops in every town. Readers walk to a local shop; only when a shop runs out does it order from the warehouse. A CDN is that network of bookshops: the</w:t>
      </w:r>
      <w:r>
        <w:t xml:space="preserve"> </w:t>
      </w:r>
      <w:r>
        <w:rPr>
          <w:bCs/>
          <w:b/>
        </w:rPr>
        <w:t xml:space="preserve">origin</w:t>
      </w:r>
      <w:r>
        <w:t xml:space="preserve"> </w:t>
      </w:r>
      <w:r>
        <w:t xml:space="preserve">is the author’s house, the</w:t>
      </w:r>
      <w:r>
        <w:t xml:space="preserve"> </w:t>
      </w:r>
      <w:r>
        <w:rPr>
          <w:bCs/>
          <w:b/>
        </w:rPr>
        <w:t xml:space="preserve">edge</w:t>
      </w:r>
      <w:r>
        <w:t xml:space="preserve"> </w:t>
      </w:r>
      <w:r>
        <w:t xml:space="preserve">servers are the bookshops, and a</w:t>
      </w:r>
      <w:r>
        <w:t xml:space="preserve"> </w:t>
      </w:r>
      <w:r>
        <w:rPr>
          <w:bCs/>
          <w:b/>
        </w:rPr>
        <w:t xml:space="preserve">cache miss</w:t>
      </w:r>
      <w:r>
        <w:t xml:space="preserve"> </w:t>
      </w:r>
      <w:r>
        <w:t xml:space="preserve">is a shop reordering from the warehouse.</w:t>
      </w:r>
    </w:p>
    <w:bookmarkEnd w:id="2361"/>
    <w:bookmarkStart w:id="2362" w:name="why-does-this-exist-78"/>
    <w:p>
      <w:pPr>
        <w:pStyle w:val="Heading4"/>
      </w:pPr>
      <w:r>
        <w:t xml:space="preserve">Why does this exist?</w:t>
      </w:r>
    </w:p>
    <w:p>
      <w:pPr>
        <w:pStyle w:val="FirstParagraph"/>
      </w:pPr>
      <w:r>
        <w:t xml:space="preserve">A CDN solves four problems at once:</w:t>
      </w:r>
    </w:p>
    <w:p>
      <w:pPr>
        <w:numPr>
          <w:ilvl w:val="0"/>
          <w:numId w:val="1685"/>
        </w:numPr>
        <w:pStyle w:val="Compact"/>
      </w:pPr>
      <w:r>
        <w:rPr>
          <w:bCs/>
          <w:b/>
        </w:rPr>
        <w:t xml:space="preserve">Latency.</w:t>
      </w:r>
      <w:r>
        <w:t xml:space="preserve"> </w:t>
      </w:r>
      <w:r>
        <w:t xml:space="preserve">Light in fiber covers about 200 km per millisecond, so a Sydney user talking to a server in Virginia pays roughly 200 ms per round trip, and a fresh HTTPS fetch needs several round trips (§7.15; [Grigorik 2013]). An edge 10 ms away cuts each round trip twentyfold.</w:t>
      </w:r>
    </w:p>
    <w:p>
      <w:pPr>
        <w:numPr>
          <w:ilvl w:val="0"/>
          <w:numId w:val="1685"/>
        </w:numPr>
        <w:pStyle w:val="Compact"/>
      </w:pPr>
      <w:r>
        <w:rPr>
          <w:bCs/>
          <w:b/>
        </w:rPr>
        <w:t xml:space="preserve">Origin load.</w:t>
      </w:r>
      <w:r>
        <w:t xml:space="preserve"> </w:t>
      </w:r>
      <w:r>
        <w:t xml:space="preserve">A hit is served without touching the origin, so the origin is sized for misses, not for total traffic.</w:t>
      </w:r>
    </w:p>
    <w:p>
      <w:pPr>
        <w:numPr>
          <w:ilvl w:val="0"/>
          <w:numId w:val="1685"/>
        </w:numPr>
        <w:pStyle w:val="Compact"/>
      </w:pPr>
      <w:r>
        <w:rPr>
          <w:bCs/>
          <w:b/>
        </w:rPr>
        <w:t xml:space="preserve">Egress cost and backbone capacity.</w:t>
      </w:r>
      <w:r>
        <w:t xml:space="preserve"> </w:t>
      </w:r>
      <w:r>
        <w:t xml:space="preserve">Bytes served from inside or near the user’s network do not cross expensive long-haul links or the origin’s metered egress.</w:t>
      </w:r>
    </w:p>
    <w:p>
      <w:pPr>
        <w:numPr>
          <w:ilvl w:val="0"/>
          <w:numId w:val="1685"/>
        </w:numPr>
        <w:pStyle w:val="Compact"/>
      </w:pPr>
      <w:r>
        <w:rPr>
          <w:bCs/>
          <w:b/>
        </w:rPr>
        <w:t xml:space="preserve">Surges and attacks.</w:t>
      </w:r>
      <w:r>
        <w:t xml:space="preserve"> </w:t>
      </w:r>
      <w:r>
        <w:t xml:space="preserve">Hundreds of sites with terabits of aggregate capacity absorb flash crowds and DDoS floods that would saturate any single data center (§10.11).</w:t>
      </w:r>
    </w:p>
    <w:bookmarkEnd w:id="2362"/>
    <w:bookmarkStart w:id="2363" w:name="mathematical-foundations-45"/>
    <w:p>
      <w:pPr>
        <w:pStyle w:val="Heading4"/>
      </w:pPr>
      <w:r>
        <w:t xml:space="preserve">Mathematical foundations</w:t>
      </w:r>
    </w:p>
    <w:p>
      <w:pPr>
        <w:pStyle w:val="CalloutFormula"/>
      </w:pPr>
      <w:r>
        <w:rPr>
          <w:bCs/>
          <w:b/>
        </w:rPr>
        <w:t xml:space="preserve">FORMULA</w:t>
      </w:r>
    </w:p>
    <w:p>
      <w:pPr>
        <w:pStyle w:val="CalloutFormula"/>
      </w:pPr>
      <w:r>
        <w:rPr>
          <w:bCs/>
          <w:b/>
        </w:rPr>
        <w:t xml:space="preserve">Time to fetch an object over a new connection</w:t>
      </w:r>
    </w:p>
    <w:p>
      <w:pPr>
        <w:pStyle w:val="CalloutFormula"/>
      </w:pPr>
      <m:oMathPara>
        <m:oMathParaPr>
          <m:jc m:val="center"/>
        </m:oMathParaPr>
        <m:oMath>
          <m:sSub>
            <m:e>
              <m:r>
                <m:t>T</m:t>
              </m:r>
            </m:e>
            <m:sub>
              <m:r>
                <m:rPr>
                  <m:nor/>
                  <m:sty m:val="p"/>
                </m:rPr>
                <m:t>fetch</m:t>
              </m:r>
            </m:sub>
          </m:sSub>
          <m:r>
            <m:rPr>
              <m:sty m:val="p"/>
            </m:rPr>
            <m:t>≈</m:t>
          </m:r>
          <m:d>
            <m:dPr>
              <m:begChr m:val="("/>
              <m:endChr m:val=")"/>
              <m:sepChr m:val=""/>
              <m:grow/>
            </m:dPr>
            <m:e>
              <m:sSub>
                <m:e>
                  <m:r>
                    <m:t>n</m:t>
                  </m:r>
                </m:e>
                <m:sub>
                  <m:r>
                    <m:rPr>
                      <m:nor/>
                      <m:sty m:val="p"/>
                    </m:rPr>
                    <m:t>hs</m:t>
                  </m:r>
                </m:sub>
              </m:sSub>
              <m:r>
                <m:rPr>
                  <m:sty m:val="p"/>
                </m:rPr>
                <m:t>+</m:t>
              </m:r>
              <m:d>
                <m:dPr>
                  <m:begChr m:val="⌈"/>
                  <m:endChr m:val="⌉"/>
                  <m:sepChr m:val=""/>
                  <m:grow/>
                </m:dPr>
                <m:e>
                  <m:sSub>
                    <m:e>
                      <m:r>
                        <m:rPr>
                          <m:sty m:val="p"/>
                        </m:rPr>
                        <m:t>log</m:t>
                      </m:r>
                    </m:e>
                    <m:sub>
                      <m:r>
                        <m:t>2</m:t>
                      </m:r>
                    </m:sub>
                  </m:sSub>
                  <m:r>
                    <m:t>​</m:t>
                  </m:r>
                  <m:d>
                    <m:dPr>
                      <m:begChr m:val="("/>
                      <m:endChr m:val=")"/>
                      <m:sepChr m:val=""/>
                      <m:grow/>
                    </m:dPr>
                    <m:e>
                      <m:f>
                        <m:fPr>
                          <m:type m:val="bar"/>
                        </m:fPr>
                        <m:num>
                          <m:r>
                            <m:t>S</m:t>
                          </m:r>
                        </m:num>
                        <m:den>
                          <m:sSub>
                            <m:e>
                              <m:r>
                                <m:t>W</m:t>
                              </m:r>
                            </m:e>
                            <m:sub>
                              <m:r>
                                <m:t>0</m:t>
                              </m:r>
                            </m:sub>
                          </m:sSub>
                        </m:den>
                      </m:f>
                      <m:r>
                        <m:rPr>
                          <m:sty m:val="p"/>
                        </m:rPr>
                        <m:t>+</m:t>
                      </m:r>
                      <m:r>
                        <m:t>1</m:t>
                      </m:r>
                    </m:e>
                  </m:d>
                </m:e>
              </m:d>
            </m:e>
          </m:d>
          <m:r>
            <m:rPr>
              <m:sty m:val="p"/>
            </m:rPr>
            <m:t>×</m:t>
          </m:r>
          <m:r>
            <m:rPr>
              <m:nor/>
              <m:sty m:val="p"/>
            </m:rPr>
            <m:t>RTT</m:t>
          </m:r>
          <m:r>
            <m:rPr>
              <m:sty m:val="p"/>
            </m:rPr>
            <m:t>+</m:t>
          </m:r>
          <m:sSub>
            <m:e>
              <m:r>
                <m:t>t</m:t>
              </m:r>
            </m:e>
            <m:sub>
              <m:r>
                <m:rPr>
                  <m:nor/>
                  <m:sty m:val="p"/>
                </m:rPr>
                <m:t>server</m:t>
              </m:r>
            </m:sub>
          </m:sSub>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n</m:t>
                  </m:r>
                </m:e>
                <m:sub>
                  <m:r>
                    <m:rPr>
                      <m:nor/>
                      <m:sty m:val="p"/>
                    </m:rPr>
                    <m:t>hs</m:t>
                  </m:r>
                </m:sub>
              </m:sSub>
            </m:oMath>
          </w:p>
        </w:tc>
        <w:tc>
          <w:tcPr/>
          <w:p>
            <w:pPr>
              <w:pStyle w:val="Compact"/>
              <w:jc w:val="left"/>
            </w:pPr>
            <w:r>
              <w:t xml:space="preserve">Handshake round trips before the request (TCP + TLS 1.3 = 2; QUIC = 1; reused connection = 0)</w:t>
            </w:r>
          </w:p>
        </w:tc>
        <w:tc>
          <w:tcPr/>
          <w:p>
            <w:pPr>
              <w:pStyle w:val="Compact"/>
              <w:jc w:val="left"/>
            </w:pPr>
            <w:r>
              <w:t xml:space="preserve">round trips</w:t>
            </w:r>
          </w:p>
        </w:tc>
      </w:tr>
      <w:tr>
        <w:tc>
          <w:tcPr/>
          <w:p>
            <w:pPr>
              <w:pStyle w:val="Compact"/>
              <w:jc w:val="left"/>
            </w:pPr>
            <m:oMath>
              <m:r>
                <m:t>S</m:t>
              </m:r>
            </m:oMath>
          </w:p>
        </w:tc>
        <w:tc>
          <w:tcPr/>
          <w:p>
            <w:pPr>
              <w:pStyle w:val="Compact"/>
              <w:jc w:val="left"/>
            </w:pPr>
            <w:r>
              <w:t xml:space="preserve">Response size</w:t>
            </w:r>
          </w:p>
        </w:tc>
        <w:tc>
          <w:tcPr/>
          <w:p>
            <w:pPr>
              <w:pStyle w:val="Compact"/>
              <w:jc w:val="left"/>
            </w:pPr>
            <w:r>
              <w:t xml:space="preserve">bytes</w:t>
            </w:r>
          </w:p>
        </w:tc>
      </w:tr>
      <w:tr>
        <w:tc>
          <w:tcPr/>
          <w:p>
            <w:pPr>
              <w:pStyle w:val="Compact"/>
              <w:jc w:val="left"/>
            </w:pPr>
            <m:oMath>
              <m:sSub>
                <m:e>
                  <m:r>
                    <m:t>W</m:t>
                  </m:r>
                </m:e>
                <m:sub>
                  <m:r>
                    <m:t>0</m:t>
                  </m:r>
                </m:sub>
              </m:sSub>
            </m:oMath>
          </w:p>
        </w:tc>
        <w:tc>
          <w:tcPr/>
          <w:p>
            <w:pPr>
              <w:pStyle w:val="Compact"/>
              <w:jc w:val="left"/>
            </w:pPr>
            <w:r>
              <w:t xml:space="preserve">Initial congestion window (typically 10 segments × 1,460 B ≈ 14.6 KB)</w:t>
            </w:r>
          </w:p>
        </w:tc>
        <w:tc>
          <w:tcPr/>
          <w:p>
            <w:pPr>
              <w:pStyle w:val="Compact"/>
              <w:jc w:val="left"/>
            </w:pPr>
            <w:r>
              <w:t xml:space="preserve">bytes</w:t>
            </w:r>
          </w:p>
        </w:tc>
      </w:tr>
      <w:tr>
        <w:tc>
          <w:tcPr/>
          <w:p>
            <w:pPr>
              <w:pStyle w:val="Compact"/>
              <w:jc w:val="left"/>
            </w:pPr>
            <m:oMath>
              <m:r>
                <m:rPr>
                  <m:sty m:val="p"/>
                </m:rPr>
                <m:t>⌈</m:t>
              </m:r>
              <m:sSub>
                <m:e>
                  <m:r>
                    <m:rPr>
                      <m:sty m:val="p"/>
                    </m:rPr>
                    <m:t>log</m:t>
                  </m:r>
                </m:e>
                <m:sub>
                  <m:r>
                    <m:t>2</m:t>
                  </m:r>
                </m:sub>
              </m:sSub>
              <m:d>
                <m:dPr>
                  <m:begChr m:val="("/>
                  <m:endChr m:val=")"/>
                  <m:sepChr m:val=""/>
                  <m:grow/>
                </m:dPr>
                <m:e>
                  <m:r>
                    <m:t>S</m:t>
                  </m:r>
                  <m:r>
                    <m:rPr>
                      <m:sty m:val="p"/>
                    </m:rPr>
                    <m:t>/</m:t>
                  </m:r>
                  <m:sSub>
                    <m:e>
                      <m:r>
                        <m:t>W</m:t>
                      </m:r>
                    </m:e>
                    <m:sub>
                      <m:r>
                        <m:t>0</m:t>
                      </m:r>
                    </m:sub>
                  </m:sSub>
                  <m:r>
                    <m:rPr>
                      <m:sty m:val="p"/>
                    </m:rPr>
                    <m:t>+</m:t>
                  </m:r>
                  <m:r>
                    <m:t>1</m:t>
                  </m:r>
                </m:e>
              </m:d>
              <m:r>
                <m:rPr>
                  <m:sty m:val="p"/>
                </m:rPr>
                <m:t>⌉</m:t>
              </m:r>
            </m:oMath>
          </w:p>
        </w:tc>
        <w:tc>
          <w:tcPr/>
          <w:p>
            <w:pPr>
              <w:pStyle w:val="Compact"/>
              <w:jc w:val="left"/>
            </w:pPr>
            <w:r>
              <w:t xml:space="preserve">Slow-start rounds to deliver</w:t>
            </w:r>
            <w:r>
              <w:t xml:space="preserve"> </w:t>
            </w:r>
            <m:oMath>
              <m:r>
                <m:t>S</m:t>
              </m:r>
            </m:oMath>
            <w:r>
              <w:t xml:space="preserve">, the first of which carries the request (§7.7.7)</w:t>
            </w:r>
          </w:p>
        </w:tc>
        <w:tc>
          <w:tcPr/>
          <w:p>
            <w:pPr>
              <w:pStyle w:val="Compact"/>
              <w:jc w:val="left"/>
            </w:pPr>
            <w:r>
              <w:t xml:space="preserve">round trips</w:t>
            </w:r>
          </w:p>
        </w:tc>
      </w:tr>
      <w:tr>
        <w:tc>
          <w:tcPr/>
          <w:p>
            <w:pPr>
              <w:pStyle w:val="Compact"/>
              <w:jc w:val="left"/>
            </w:pPr>
            <w:r>
              <w:t xml:space="preserve">RTT</w:t>
            </w:r>
          </w:p>
        </w:tc>
        <w:tc>
          <w:tcPr/>
          <w:p>
            <w:pPr>
              <w:pStyle w:val="Compact"/>
              <w:jc w:val="left"/>
            </w:pPr>
            <w:r>
              <w:t xml:space="preserve">Round-trip time between client and server</w:t>
            </w:r>
          </w:p>
        </w:tc>
        <w:tc>
          <w:tcPr/>
          <w:p>
            <w:pPr>
              <w:pStyle w:val="Compact"/>
              <w:jc w:val="left"/>
            </w:pPr>
            <w:r>
              <w:t xml:space="preserve">s</w:t>
            </w:r>
          </w:p>
        </w:tc>
      </w:tr>
      <w:tr>
        <w:tc>
          <w:tcPr/>
          <w:p>
            <w:pPr>
              <w:pStyle w:val="Compact"/>
              <w:jc w:val="left"/>
            </w:pPr>
            <m:oMath>
              <m:sSub>
                <m:e>
                  <m:r>
                    <m:t>t</m:t>
                  </m:r>
                </m:e>
                <m:sub>
                  <m:r>
                    <m:rPr>
                      <m:nor/>
                      <m:sty m:val="p"/>
                    </m:rPr>
                    <m:t>server</m:t>
                  </m:r>
                </m:sub>
              </m:sSub>
            </m:oMath>
          </w:p>
        </w:tc>
        <w:tc>
          <w:tcPr/>
          <w:p>
            <w:pPr>
              <w:pStyle w:val="Compact"/>
              <w:jc w:val="left"/>
            </w:pPr>
            <w:r>
              <w:t xml:space="preserve">Server processing time</w:t>
            </w:r>
          </w:p>
        </w:tc>
        <w:tc>
          <w:tcPr/>
          <w:p>
            <w:pPr>
              <w:pStyle w:val="Compact"/>
              <w:jc w:val="left"/>
            </w:pPr>
            <w:r>
              <w:t xml:space="preserve">s</w:t>
            </w:r>
          </w:p>
        </w:tc>
      </w:tr>
    </w:tbl>
    <w:p>
      <w:pPr>
        <w:pStyle w:val="CalloutExample"/>
      </w:pPr>
      <w:r>
        <w:rPr>
          <w:bCs/>
          <w:b/>
        </w:rPr>
        <w:t xml:space="preserve">WORKED EXAMPLE</w:t>
      </w:r>
    </w:p>
    <w:p>
      <w:pPr>
        <w:pStyle w:val="CalloutExample"/>
      </w:pPr>
      <w:r>
        <w:rPr>
          <w:bCs/>
          <w:b/>
        </w:rPr>
        <w:t xml:space="preserve">Worked example — A 100 KB photo from Virginia versus a Sydney edge.</w:t>
      </w:r>
    </w:p>
    <w:p>
      <w:pPr>
        <w:numPr>
          <w:ilvl w:val="0"/>
          <w:numId w:val="1686"/>
        </w:numPr>
        <w:pStyle w:val="Compact"/>
      </w:pPr>
      <w:r>
        <w:t xml:space="preserve">Slow-start rounds:</w:t>
      </w:r>
      <w:r>
        <w:t xml:space="preserve"> </w:t>
      </w:r>
      <m:oMath>
        <m:r>
          <m:t>S</m:t>
        </m:r>
        <m:r>
          <m:rPr>
            <m:sty m:val="p"/>
          </m:rPr>
          <m:t>/</m:t>
        </m:r>
        <m:sSub>
          <m:e>
            <m:r>
              <m:t>W</m:t>
            </m:r>
          </m:e>
          <m:sub>
            <m:r>
              <m:t>0</m:t>
            </m:r>
          </m:sub>
        </m:sSub>
        <m:r>
          <m:rPr>
            <m:sty m:val="p"/>
          </m:rPr>
          <m:t>=</m:t>
        </m:r>
        <m:r>
          <m:t>100</m:t>
        </m:r>
        <m:r>
          <m:rPr>
            <m:sty m:val="p"/>
          </m:rPr>
          <m:t>,</m:t>
        </m:r>
        <m:r>
          <m:t>000</m:t>
        </m:r>
        <m:r>
          <m:rPr>
            <m:sty m:val="p"/>
          </m:rPr>
          <m:t>/</m:t>
        </m:r>
        <m:r>
          <m:t>14</m:t>
        </m:r>
        <m:r>
          <m:rPr>
            <m:sty m:val="p"/>
          </m:rPr>
          <m:t>,</m:t>
        </m:r>
        <m:r>
          <m:t>600</m:t>
        </m:r>
        <m:r>
          <m:rPr>
            <m:sty m:val="p"/>
          </m:rPr>
          <m:t>=</m:t>
        </m:r>
        <m:r>
          <m:t>6.85</m:t>
        </m:r>
      </m:oMath>
      <w:r>
        <w:t xml:space="preserve">;</w:t>
      </w:r>
      <w:r>
        <w:t xml:space="preserve"> </w:t>
      </w:r>
      <m:oMath>
        <m:sSub>
          <m:e>
            <m:r>
              <m:rPr>
                <m:sty m:val="p"/>
              </m:rPr>
              <m:t>log</m:t>
            </m:r>
          </m:e>
          <m:sub>
            <m:r>
              <m:t>2</m:t>
            </m:r>
          </m:sub>
        </m:sSub>
        <m:d>
          <m:dPr>
            <m:begChr m:val="("/>
            <m:endChr m:val=")"/>
            <m:sepChr m:val=""/>
            <m:grow/>
          </m:dPr>
          <m:e>
            <m:r>
              <m:t>7.85</m:t>
            </m:r>
          </m:e>
        </m:d>
        <m:r>
          <m:rPr>
            <m:sty m:val="p"/>
          </m:rPr>
          <m:t>=</m:t>
        </m:r>
        <m:r>
          <m:t>2.97</m:t>
        </m:r>
      </m:oMath>
      <w:r>
        <w:t xml:space="preserve">, so 3 rounds (14.6 + 29.2 + 58.4 = 102.2 KB ≥ 100 KB).</w:t>
      </w:r>
    </w:p>
    <w:p>
      <w:pPr>
        <w:numPr>
          <w:ilvl w:val="0"/>
          <w:numId w:val="1686"/>
        </w:numPr>
        <w:pStyle w:val="Compact"/>
      </w:pPr>
      <w:r>
        <w:t xml:space="preserve">Round trips:</w:t>
      </w:r>
      <w:r>
        <w:t xml:space="preserve"> </w:t>
      </w:r>
      <m:oMath>
        <m:sSub>
          <m:e>
            <m:r>
              <m:t>n</m:t>
            </m:r>
          </m:e>
          <m:sub>
            <m:r>
              <m:rPr>
                <m:nor/>
                <m:sty m:val="p"/>
              </m:rPr>
              <m:t>hs</m:t>
            </m:r>
          </m:sub>
        </m:sSub>
        <m:r>
          <m:rPr>
            <m:sty m:val="p"/>
          </m:rPr>
          <m:t>=</m:t>
        </m:r>
        <m:r>
          <m:t>2</m:t>
        </m:r>
      </m:oMath>
      <w:r>
        <w:t xml:space="preserve"> </w:t>
      </w:r>
      <w:r>
        <w:t xml:space="preserve">(TCP + TLS 1.3), so</w:t>
      </w:r>
      <w:r>
        <w:t xml:space="preserve"> </w:t>
      </w:r>
      <m:oMath>
        <m:r>
          <m:t>2</m:t>
        </m:r>
        <m:r>
          <m:rPr>
            <m:sty m:val="p"/>
          </m:rPr>
          <m:t>+</m:t>
        </m:r>
        <m:r>
          <m:t>3</m:t>
        </m:r>
        <m:r>
          <m:rPr>
            <m:sty m:val="p"/>
          </m:rPr>
          <m:t>=</m:t>
        </m:r>
        <m:r>
          <m:t>5</m:t>
        </m:r>
      </m:oMath>
      <w:r>
        <w:t xml:space="preserve">.</w:t>
      </w:r>
    </w:p>
    <w:p>
      <w:pPr>
        <w:numPr>
          <w:ilvl w:val="0"/>
          <w:numId w:val="1686"/>
        </w:numPr>
        <w:pStyle w:val="Compact"/>
      </w:pPr>
      <w:r>
        <w:t xml:space="preserve">From the origin (RTT 200 ms):</w:t>
      </w:r>
      <w:r>
        <w:t xml:space="preserve"> </w:t>
      </w:r>
      <m:oMath>
        <m:r>
          <m:t>5</m:t>
        </m:r>
        <m:r>
          <m:rPr>
            <m:sty m:val="p"/>
          </m:rPr>
          <m:t>×</m:t>
        </m:r>
        <m:r>
          <m:t>200</m:t>
        </m:r>
        <m:r>
          <m:rPr>
            <m:sty m:val="p"/>
          </m:rPr>
          <m:t>=</m:t>
        </m:r>
        <m:r>
          <m:t>1</m:t>
        </m:r>
        <m:r>
          <m:rPr>
            <m:sty m:val="p"/>
          </m:rPr>
          <m:t>,</m:t>
        </m:r>
        <m:r>
          <m:t>000</m:t>
        </m:r>
      </m:oMath>
      <w:r>
        <w:t xml:space="preserve"> </w:t>
      </w:r>
      <w:r>
        <w:t xml:space="preserve">ms, plus server time.</w:t>
      </w:r>
    </w:p>
    <w:p>
      <w:pPr>
        <w:numPr>
          <w:ilvl w:val="0"/>
          <w:numId w:val="1686"/>
        </w:numPr>
        <w:pStyle w:val="Compact"/>
      </w:pPr>
      <w:r>
        <w:t xml:space="preserve">From a Sydney edge (RTT 10 ms), on a cache hit:</w:t>
      </w:r>
      <w:r>
        <w:t xml:space="preserve"> </w:t>
      </w:r>
      <m:oMath>
        <m:r>
          <m:t>5</m:t>
        </m:r>
        <m:r>
          <m:rPr>
            <m:sty m:val="p"/>
          </m:rPr>
          <m:t>×</m:t>
        </m:r>
        <m:r>
          <m:t>10</m:t>
        </m:r>
        <m:r>
          <m:rPr>
            <m:sty m:val="p"/>
          </m:rPr>
          <m:t>=</m:t>
        </m:r>
        <m:r>
          <m:t>50</m:t>
        </m:r>
      </m:oMath>
      <w:r>
        <w:t xml:space="preserve"> </w:t>
      </w:r>
      <w:r>
        <w:t xml:space="preserve">ms.</w:t>
      </w:r>
    </w:p>
    <w:p>
      <w:pPr>
        <w:pStyle w:val="CalloutExample"/>
      </w:pPr>
      <w:r>
        <w:rPr>
          <w:bCs/>
          <w:b/>
        </w:rPr>
        <w:t xml:space="preserve">Interpretation.</w:t>
      </w:r>
      <w:r>
        <w:t xml:space="preserve"> </w:t>
      </w:r>
      <w:r>
        <w:t xml:space="preserve">The same bytes arrive 20 times sooner, and no amount of origin bandwidth could close that gap: the cost is round trips, not throughput.</w:t>
      </w:r>
      <w:r>
        <w:t xml:space="preserve"> </w:t>
      </w:r>
      <w:r>
        <w:rPr>
          <w:bCs/>
          <w:b/>
        </w:rPr>
        <w:t xml:space="preserve">Engineering implication.</w:t>
      </w:r>
      <w:r>
        <w:t xml:space="preserve"> </w:t>
      </w:r>
      <w:r>
        <w:t xml:space="preserve">For small and medium objects, moving the server closer beats every other optimization; on a cache miss the edge still saves the handshakes, as §21.7.2 shows.</w:t>
      </w:r>
    </w:p>
    <w:bookmarkEnd w:id="2363"/>
    <w:bookmarkEnd w:id="2364"/>
    <w:bookmarkStart w:id="2368" w:name="points-of-presence"/>
    <w:p>
      <w:pPr>
        <w:pStyle w:val="Heading3"/>
      </w:pPr>
      <w:r>
        <w:t xml:space="preserve">21.3.2 Points of presence</w:t>
      </w:r>
    </w:p>
    <w:p>
      <w:pPr>
        <w:pStyle w:val="CalloutDefinition"/>
      </w:pPr>
      <w:r>
        <w:rPr>
          <w:bCs/>
          <w:b/>
        </w:rPr>
        <w:t xml:space="preserve">DEFINITION</w:t>
      </w:r>
    </w:p>
    <w:p>
      <w:pPr>
        <w:pStyle w:val="CalloutDefinition"/>
      </w:pPr>
      <w:r>
        <w:rPr>
          <w:bCs/>
          <w:b/>
        </w:rPr>
        <w:t xml:space="preserve">Definition — Point of presence (PoP).</w:t>
      </w:r>
      <w:r>
        <w:t xml:space="preserve"> </w:t>
      </w:r>
      <w:r>
        <w:t xml:space="preserve">A CDN site in one metropolitan area or interconnection facility, containing load balancers, caching proxy servers with RAM and SSD storage, and connections to local networks. Large CDNs operate hundreds of PoPs; some also place servers inside Internet service provider (ISP) networks.</w:t>
      </w:r>
    </w:p>
    <w:p>
      <w:pPr>
        <w:pStyle w:val="BodyText"/>
      </w:pPr>
      <w:r>
        <w:t xml:space="preserve">Inside a PoP, a request passes through three layers:</w:t>
      </w:r>
    </w:p>
    <w:p>
      <w:pPr>
        <w:numPr>
          <w:ilvl w:val="0"/>
          <w:numId w:val="1687"/>
        </w:numPr>
        <w:pStyle w:val="Compact"/>
      </w:pPr>
      <w:r>
        <w:rPr>
          <w:bCs/>
          <w:b/>
        </w:rPr>
        <w:t xml:space="preserve">Layer 4 load balancing.</w:t>
      </w:r>
      <w:r>
        <w:t xml:space="preserve"> </w:t>
      </w:r>
      <w:r>
        <w:t xml:space="preserve">Routers spread packets across servers with equal-cost multipath (ECMP) and a stateless L4 load balancer (§19.3, §19.8).</w:t>
      </w:r>
    </w:p>
    <w:p>
      <w:pPr>
        <w:numPr>
          <w:ilvl w:val="0"/>
          <w:numId w:val="1687"/>
        </w:numPr>
        <w:pStyle w:val="Compact"/>
      </w:pPr>
      <w:r>
        <w:rPr>
          <w:bCs/>
          <w:b/>
        </w:rPr>
        <w:t xml:space="preserve">TLS termination and HTTP processing.</w:t>
      </w:r>
      <w:r>
        <w:t xml:space="preserve"> </w:t>
      </w:r>
      <w:r>
        <w:t xml:space="preserve">A proxy (for example Varnish, NGINX, Apache Traffic Server, or a CDN’s own software) decrypts the request, applies rules, and computes the cache key (§21.6.2).</w:t>
      </w:r>
    </w:p>
    <w:p>
      <w:pPr>
        <w:numPr>
          <w:ilvl w:val="0"/>
          <w:numId w:val="1687"/>
        </w:numPr>
        <w:pStyle w:val="Compact"/>
      </w:pPr>
      <w:r>
        <w:rPr>
          <w:bCs/>
          <w:b/>
        </w:rPr>
        <w:t xml:space="preserve">Cache lookup across the PoP.</w:t>
      </w:r>
      <w:r>
        <w:t xml:space="preserve"> </w:t>
      </w:r>
      <w:r>
        <w:t xml:space="preserve">Rather than store each popular object on all 100 servers, the PoP hashes the cache key to an</w:t>
      </w:r>
      <w:r>
        <w:t xml:space="preserve"> </w:t>
      </w:r>
      <w:r>
        <w:t xml:space="preserve">“</w:t>
      </w:r>
      <w:r>
        <w:t xml:space="preserve">owner</w:t>
      </w:r>
      <w:r>
        <w:t xml:space="preserve">”</w:t>
      </w:r>
      <w:r>
        <w:t xml:space="preserve"> </w:t>
      </w:r>
      <w:r>
        <w:t xml:space="preserve">server with consistent hashing (§14.8), so each object is stored roughly once per PoP. Consistent hashing was invented for exactly this problem [Karger et al. 1997].</w:t>
      </w:r>
    </w:p>
    <w:p>
      <w:pPr>
        <w:pStyle w:val="FirstParagraph"/>
      </w:pPr>
      <w:r>
        <w:t xml:space="preserve">The cache itself is a two-level store: hot objects in RAM and the long tail on SSD, with eviction policies of the kind described in §20.9.</w:t>
      </w:r>
    </w:p>
    <w:p>
      <w:pPr>
        <w:pStyle w:val="BodyText"/>
      </w:pPr>
      <w:r>
        <w:rPr>
          <w:bCs/>
          <w:b/>
        </w:rPr>
        <w:t xml:space="preserve">Figure 21.1 — A CDN: users, PoPs, mid-tier and origin.</w:t>
      </w:r>
    </w:p>
    <w:p>
      <w:pPr>
        <w:pStyle w:val="BodyText"/>
      </w:pPr>
      <w:r>
        <w:drawing>
          <wp:inline>
            <wp:extent cx="5334000" cy="2477402"/>
            <wp:effectExtent b="0" l="0" r="0" t="0"/>
            <wp:docPr descr="" title="" id="2366" name="Picture"/>
            <a:graphic>
              <a:graphicData uri="http://schemas.openxmlformats.org/drawingml/2006/picture">
                <pic:pic>
                  <pic:nvPicPr>
                    <pic:cNvPr descr="/home/user/System-Design/build/.cache/diagrams/ffafb627fdc5.png" id="2367" name="Picture"/>
                    <pic:cNvPicPr>
                      <a:picLocks noChangeArrowheads="1" noChangeAspect="1"/>
                    </pic:cNvPicPr>
                  </pic:nvPicPr>
                  <pic:blipFill>
                    <a:blip r:embed="rId2365"/>
                    <a:stretch>
                      <a:fillRect/>
                    </a:stretch>
                  </pic:blipFill>
                  <pic:spPr bwMode="auto">
                    <a:xfrm>
                      <a:off x="0" y="0"/>
                      <a:ext cx="5334000" cy="2477402"/>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Users (stadiums) connect over HTTPS to the nearest PoP, where an L4 load balancer spreads connections across cache servers. A miss moves one hop inward at a time: to a regional mid-tier cache, then to an origin shield near the origin, and finally to the origin (object storage or application servers). Solid arrows are synchronous request/response paths; the dotted arrows from the control plane are asynchronous pushes of configuration and purge commands. Storage boundaries: every PoP, mid-tier and shield holds a cache (RAM and SSD); only the origin holds the authoritative copy. Failure points: a PoP outage (users are rerouted, §21.3.3), a shield outage (misses must bypass it), and the origin itself. Scaling: add servers inside a PoP, add PoPs for coverage, and add tiers to protect the origin (§21.5).</w:t>
      </w:r>
    </w:p>
    <w:bookmarkEnd w:id="2368"/>
    <w:bookmarkStart w:id="2372" w:name="request-routing-dns-versus-anycast"/>
    <w:p>
      <w:pPr>
        <w:pStyle w:val="Heading3"/>
      </w:pPr>
      <w:r>
        <w:t xml:space="preserve">21.3.3 Request routing: DNS versus anycast</w:t>
      </w:r>
    </w:p>
    <w:p>
      <w:pPr>
        <w:pStyle w:val="FirstParagraph"/>
      </w:pPr>
      <w:r>
        <w:t xml:space="preserve">Before a user can hit a cache, something must decide</w:t>
      </w:r>
      <w:r>
        <w:t xml:space="preserve"> </w:t>
      </w:r>
      <w:r>
        <w:rPr>
          <w:iCs/>
          <w:i/>
        </w:rPr>
        <w:t xml:space="preserve">which</w:t>
      </w:r>
      <w:r>
        <w:t xml:space="preserve"> </w:t>
      </w:r>
      <w:r>
        <w:t xml:space="preserve">PoP serves them. Two mechanisms dominate, both introduced in Chapter 7.</w:t>
      </w:r>
    </w:p>
    <w:p>
      <w:pPr>
        <w:pStyle w:val="BodyText"/>
      </w:pPr>
      <w:r>
        <w:rPr>
          <w:bCs/>
          <w:b/>
        </w:rPr>
        <w:t xml:space="preserve">DNS-based routing.</w:t>
      </w:r>
      <w:r>
        <w:t xml:space="preserve"> </w:t>
      </w:r>
      <w:r>
        <w:t xml:space="preserve">The site’s hostname is a CNAME to a CDN-controlled name (</w:t>
      </w:r>
      <w:r>
        <w:rPr>
          <w:rStyle w:val="VerbatimChar"/>
        </w:rPr>
        <w:t xml:space="preserve">img.photoshare.example</w:t>
      </w:r>
      <w:r>
        <w:t xml:space="preserve"> </w:t>
      </w:r>
      <w:r>
        <w:t xml:space="preserve">→</w:t>
      </w:r>
      <w:r>
        <w:t xml:space="preserve"> </w:t>
      </w:r>
      <w:r>
        <w:rPr>
          <w:rStyle w:val="VerbatimChar"/>
        </w:rPr>
        <w:t xml:space="preserve">photoshare.cdn-provider.example</w:t>
      </w:r>
      <w:r>
        <w:t xml:space="preserve">). The CDN’s authoritative DNS answers each query with a PoP chosen by a</w:t>
      </w:r>
      <w:r>
        <w:t xml:space="preserve"> </w:t>
      </w:r>
      <w:r>
        <w:rPr>
          <w:bCs/>
          <w:b/>
        </w:rPr>
        <w:t xml:space="preserve">mapping system</w:t>
      </w:r>
      <w:r>
        <w:t xml:space="preserve"> </w:t>
      </w:r>
      <w:r>
        <w:t xml:space="preserve">from network measurements, PoP health and load, and the resolver’s location. Akamai describes this design, with short TTLs so users can be re-steered quickly [Nygren et al. 2010]. The weakness from §7.6.5 applies: the DNS server sees the</w:t>
      </w:r>
      <w:r>
        <w:t xml:space="preserve"> </w:t>
      </w:r>
      <w:r>
        <w:rPr>
          <w:iCs/>
          <w:i/>
        </w:rPr>
        <w:t xml:space="preserve">resolver’s</w:t>
      </w:r>
      <w:r>
        <w:t xml:space="preserve"> </w:t>
      </w:r>
      <w:r>
        <w:t xml:space="preserve">address, not the user’s. The</w:t>
      </w:r>
      <w:r>
        <w:t xml:space="preserve"> </w:t>
      </w:r>
      <w:r>
        <w:rPr>
          <w:bCs/>
          <w:b/>
        </w:rPr>
        <w:t xml:space="preserve">EDNS Client Subnet</w:t>
      </w:r>
      <w:r>
        <w:t xml:space="preserve"> </w:t>
      </w:r>
      <w:r>
        <w:t xml:space="preserve">extension lets a resolver pass a truncated client prefix, such as a /24, to the authoritative server [RFC 7871]; Akamai reported substantial latency improvements for users of public resolvers after adopting it (</w:t>
      </w:r>
      <w:r>
        <w:t xml:space="preserve">“</w:t>
      </w:r>
      <w:r>
        <w:t xml:space="preserve">end-user mapping</w:t>
      </w:r>
      <w:r>
        <w:t xml:space="preserve">”</w:t>
      </w:r>
      <w:r>
        <w:t xml:space="preserve">) [Chen et al. 2015].</w:t>
      </w:r>
    </w:p>
    <w:p>
      <w:pPr>
        <w:pStyle w:val="BodyText"/>
      </w:pPr>
      <w:r>
        <w:rPr>
          <w:bCs/>
          <w:b/>
        </w:rPr>
        <w:t xml:space="preserve">Anycast routing.</w:t>
      </w:r>
      <w:r>
        <w:t xml:space="preserve"> </w:t>
      </w:r>
      <w:r>
        <w:t xml:space="preserve">Every PoP announces the same IP prefix over BGP (§7.5.3), and routing delivers each packet to the</w:t>
      </w:r>
      <w:r>
        <w:t xml:space="preserve"> </w:t>
      </w:r>
      <w:r>
        <w:t xml:space="preserve">“</w:t>
      </w:r>
      <w:r>
        <w:t xml:space="preserve">closest</w:t>
      </w:r>
      <w:r>
        <w:t xml:space="preserve">”</w:t>
      </w:r>
      <w:r>
        <w:t xml:space="preserve"> </w:t>
      </w:r>
      <w:r>
        <w:t xml:space="preserve">site by BGP policy; DNS returns the same address everywhere. Cloudflare describes serving its services from every data center over anycast [Cloudflare Docs: Network]. A PoP that withdraws its announcement disappears from routing within seconds to minutes. The weaknesses: BGP’s</w:t>
      </w:r>
      <w:r>
        <w:t xml:space="preserve"> </w:t>
      </w:r>
      <w:r>
        <w:t xml:space="preserve">“</w:t>
      </w:r>
      <w:r>
        <w:t xml:space="preserve">closest</w:t>
      </w:r>
      <w:r>
        <w:t xml:space="preserve">”</w:t>
      </w:r>
      <w:r>
        <w:t xml:space="preserve"> </w:t>
      </w:r>
      <w:r>
        <w:t xml:space="preserve">is not always lowest latency, and load is hard to steer without changing announcements that affect many networks. A measurement study of Microsoft’s anycast CDN found that anycast picked a good PoP for most clients but a noticeably worse one for a meaningful minority [Calder et al. 2015].</w:t>
      </w:r>
    </w:p>
    <w:p>
      <w:pPr>
        <w:pStyle w:val="BodyText"/>
      </w:pPr>
      <w:r>
        <w:rPr>
          <w:bCs/>
          <w:b/>
        </w:rPr>
        <w:t xml:space="preserve">Figure 21.2 — Request routing with DNS mapping versus anycast.</w:t>
      </w:r>
    </w:p>
    <w:p>
      <w:pPr>
        <w:pStyle w:val="BodyText"/>
      </w:pPr>
      <w:r>
        <w:drawing>
          <wp:inline>
            <wp:extent cx="5334000" cy="709486"/>
            <wp:effectExtent b="0" l="0" r="0" t="0"/>
            <wp:docPr descr="" title="" id="2370" name="Picture"/>
            <a:graphic>
              <a:graphicData uri="http://schemas.openxmlformats.org/drawingml/2006/picture">
                <pic:pic>
                  <pic:nvPicPr>
                    <pic:cNvPr descr="/home/user/System-Design/build/.cache/diagrams/43278b3c0af5.png" id="2371" name="Picture"/>
                    <pic:cNvPicPr>
                      <a:picLocks noChangeArrowheads="1" noChangeAspect="1"/>
                    </pic:cNvPicPr>
                  </pic:nvPicPr>
                  <pic:blipFill>
                    <a:blip r:embed="rId2369"/>
                    <a:stretch>
                      <a:fillRect/>
                    </a:stretch>
                  </pic:blipFill>
                  <pic:spPr bwMode="auto">
                    <a:xfrm>
                      <a:off x="0" y="0"/>
                      <a:ext cx="5334000" cy="709486"/>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In the DNS mode (top), steps 1–4 are synchronous DNS exchanges over UDP; the mapping system feeds the authoritative servers asynchronously (dotted). The choice is cached for the answer’s TTL, so a PoP failure is corrected only as TTLs expire. In the anycast mode (bottom), BGP chooses per packet; when PoP B withdraws its route (dotted), packets flow to PoP C and in-flight TCP connections reset. No storage is involved; failure points are the resolver, the mapping system and routing instability. Scaling: add PoPs (and, for DNS, measurements).</w:t>
      </w:r>
    </w:p>
    <w:p>
      <w:pPr>
        <w:pStyle w:val="BodyText"/>
      </w:pPr>
      <w:r>
        <w:rPr>
          <w:bCs/>
          <w:b/>
        </w:rPr>
        <w:t xml:space="preserve">Table 21.1 — DNS-based routing versus anycast.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DNS-based mapping</w:t>
            </w:r>
          </w:p>
        </w:tc>
        <w:tc>
          <w:tcPr/>
          <w:p>
            <w:pPr>
              <w:pStyle w:val="Compact"/>
              <w:jc w:val="left"/>
            </w:pPr>
            <w:r>
              <w:t xml:space="preserve">Anycast</w:t>
            </w:r>
          </w:p>
        </w:tc>
      </w:tr>
      <w:tr>
        <w:tc>
          <w:tcPr/>
          <w:p>
            <w:pPr>
              <w:pStyle w:val="Compact"/>
              <w:jc w:val="left"/>
            </w:pPr>
            <w:r>
              <w:t xml:space="preserve">Who chooses the PoP</w:t>
            </w:r>
          </w:p>
        </w:tc>
        <w:tc>
          <w:tcPr/>
          <w:p>
            <w:pPr>
              <w:pStyle w:val="Compact"/>
              <w:jc w:val="left"/>
            </w:pPr>
            <w:r>
              <w:t xml:space="preserve">CDN’s mapping system, per DNS answer</w:t>
            </w:r>
          </w:p>
        </w:tc>
        <w:tc>
          <w:tcPr/>
          <w:p>
            <w:pPr>
              <w:pStyle w:val="Compact"/>
              <w:jc w:val="left"/>
            </w:pPr>
            <w:r>
              <w:t xml:space="preserve">BGP, per packet</w:t>
            </w:r>
          </w:p>
        </w:tc>
      </w:tr>
      <w:tr>
        <w:tc>
          <w:tcPr/>
          <w:p>
            <w:pPr>
              <w:pStyle w:val="Compact"/>
              <w:jc w:val="left"/>
            </w:pPr>
            <w:r>
              <w:t xml:space="preserve">Granularity</w:t>
            </w:r>
          </w:p>
        </w:tc>
        <w:tc>
          <w:tcPr/>
          <w:p>
            <w:pPr>
              <w:pStyle w:val="Compact"/>
              <w:jc w:val="left"/>
            </w:pPr>
            <w:r>
              <w:t xml:space="preserve">Per resolver (per client subnet with ECS)</w:t>
            </w:r>
          </w:p>
        </w:tc>
        <w:tc>
          <w:tcPr/>
          <w:p>
            <w:pPr>
              <w:pStyle w:val="Compact"/>
              <w:jc w:val="left"/>
            </w:pPr>
            <w:r>
              <w:t xml:space="preserve">Per network path</w:t>
            </w:r>
          </w:p>
        </w:tc>
      </w:tr>
      <w:tr>
        <w:tc>
          <w:tcPr/>
          <w:p>
            <w:pPr>
              <w:pStyle w:val="Compact"/>
              <w:jc w:val="left"/>
            </w:pPr>
            <w:r>
              <w:t xml:space="preserve">Load control</w:t>
            </w:r>
          </w:p>
        </w:tc>
        <w:tc>
          <w:tcPr/>
          <w:p>
            <w:pPr>
              <w:pStyle w:val="Compact"/>
              <w:jc w:val="left"/>
            </w:pPr>
            <w:r>
              <w:t xml:space="preserve">Fine: change answers per network</w:t>
            </w:r>
          </w:p>
        </w:tc>
        <w:tc>
          <w:tcPr/>
          <w:p>
            <w:pPr>
              <w:pStyle w:val="Compact"/>
              <w:jc w:val="left"/>
            </w:pPr>
            <w:r>
              <w:t xml:space="preserve">Coarse: change announcements</w:t>
            </w:r>
          </w:p>
        </w:tc>
      </w:tr>
      <w:tr>
        <w:tc>
          <w:tcPr/>
          <w:p>
            <w:pPr>
              <w:pStyle w:val="Compact"/>
              <w:jc w:val="left"/>
            </w:pPr>
            <w:r>
              <w:t xml:space="preserve">Failover speed</w:t>
            </w:r>
          </w:p>
        </w:tc>
        <w:tc>
          <w:tcPr/>
          <w:p>
            <w:pPr>
              <w:pStyle w:val="Compact"/>
              <w:jc w:val="left"/>
            </w:pPr>
            <w:r>
              <w:t xml:space="preserve">Bounded by DNS TTL and client caching</w:t>
            </w:r>
          </w:p>
        </w:tc>
        <w:tc>
          <w:tcPr/>
          <w:p>
            <w:pPr>
              <w:pStyle w:val="Compact"/>
              <w:jc w:val="left"/>
            </w:pPr>
            <w:r>
              <w:t xml:space="preserve">Seconds to minutes (BGP convergence)</w:t>
            </w:r>
          </w:p>
        </w:tc>
      </w:tr>
      <w:tr>
        <w:tc>
          <w:tcPr/>
          <w:p>
            <w:pPr>
              <w:pStyle w:val="Compact"/>
              <w:jc w:val="left"/>
            </w:pPr>
            <w:r>
              <w:t xml:space="preserve">DDoS absorption</w:t>
            </w:r>
          </w:p>
        </w:tc>
        <w:tc>
          <w:tcPr/>
          <w:p>
            <w:pPr>
              <w:pStyle w:val="Compact"/>
              <w:jc w:val="left"/>
            </w:pPr>
            <w:r>
              <w:t xml:space="preserve">Attack aimed at one PoP’s IPs</w:t>
            </w:r>
          </w:p>
        </w:tc>
        <w:tc>
          <w:tcPr/>
          <w:p>
            <w:pPr>
              <w:pStyle w:val="Compact"/>
              <w:jc w:val="left"/>
            </w:pPr>
            <w:r>
              <w:t xml:space="preserve">Attack spread across all PoPs automatically</w:t>
            </w:r>
          </w:p>
        </w:tc>
      </w:tr>
      <w:tr>
        <w:tc>
          <w:tcPr/>
          <w:p>
            <w:pPr>
              <w:pStyle w:val="Compact"/>
              <w:jc w:val="left"/>
            </w:pPr>
            <w:r>
              <w:t xml:space="preserve">Risks</w:t>
            </w:r>
          </w:p>
        </w:tc>
        <w:tc>
          <w:tcPr/>
          <w:p>
            <w:pPr>
              <w:pStyle w:val="Compact"/>
              <w:jc w:val="left"/>
            </w:pPr>
            <w:r>
              <w:t xml:space="preserve">Resolver far from user; stale answers</w:t>
            </w:r>
          </w:p>
        </w:tc>
        <w:tc>
          <w:tcPr/>
          <w:p>
            <w:pPr>
              <w:pStyle w:val="Compact"/>
              <w:jc w:val="left"/>
            </w:pPr>
            <w:r>
              <w:t xml:space="preserve">Suboptimal paths; connection resets on route change</w:t>
            </w:r>
          </w:p>
        </w:tc>
      </w:tr>
      <w:tr>
        <w:tc>
          <w:tcPr/>
          <w:p>
            <w:pPr>
              <w:pStyle w:val="Compact"/>
              <w:jc w:val="left"/>
            </w:pPr>
            <w:r>
              <w:t xml:space="preserve">Choose when</w:t>
            </w:r>
          </w:p>
        </w:tc>
        <w:tc>
          <w:tcPr/>
          <w:p>
            <w:pPr>
              <w:pStyle w:val="Compact"/>
              <w:jc w:val="left"/>
            </w:pPr>
            <w:r>
              <w:t xml:space="preserve">You need precise steering, many small or ISP-embedded sites</w:t>
            </w:r>
          </w:p>
        </w:tc>
        <w:tc>
          <w:tcPr/>
          <w:p>
            <w:pPr>
              <w:pStyle w:val="Compact"/>
              <w:jc w:val="left"/>
            </w:pPr>
            <w:r>
              <w:t xml:space="preserve">You want simplicity, resilience and DDoS dispersion</w:t>
            </w:r>
          </w:p>
        </w:tc>
      </w:tr>
    </w:tbl>
    <w:p>
      <w:pPr>
        <w:pStyle w:val="BodyText"/>
      </w:pPr>
      <w:r>
        <w:t xml:space="preserve">Real CDNs combine the two, for example anycast for DNS servers and DNS steering for some customers. Global traffic management across your own regions uses the same tools (§19.9, Chapter 44).</w:t>
      </w:r>
    </w:p>
    <w:bookmarkEnd w:id="2372"/>
    <w:bookmarkStart w:id="2376" w:name="anatomy-of-a-cache-hit-and-a-cache-miss"/>
    <w:p>
      <w:pPr>
        <w:pStyle w:val="Heading3"/>
      </w:pPr>
      <w:r>
        <w:t xml:space="preserve">21.3.4 Anatomy of a cache hit and a cache miss</w:t>
      </w:r>
    </w:p>
    <w:p>
      <w:pPr>
        <w:pStyle w:val="FirstParagraph"/>
      </w:pPr>
      <w:r>
        <w:rPr>
          <w:bCs/>
          <w:b/>
        </w:rPr>
        <w:t xml:space="preserve">Figure 21.3 — A cache hit and a cache miss at an edge PoP.</w:t>
      </w:r>
    </w:p>
    <w:p>
      <w:pPr>
        <w:pStyle w:val="BodyText"/>
      </w:pPr>
      <w:r>
        <w:drawing>
          <wp:inline>
            <wp:extent cx="5334000" cy="3391945"/>
            <wp:effectExtent b="0" l="0" r="0" t="0"/>
            <wp:docPr descr="" title="" id="2374" name="Picture"/>
            <a:graphic>
              <a:graphicData uri="http://schemas.openxmlformats.org/drawingml/2006/picture">
                <pic:pic>
                  <pic:nvPicPr>
                    <pic:cNvPr descr="/home/user/System-Design/build/.cache/diagrams/de5f252ed9cf.png" id="2375" name="Picture"/>
                    <pic:cNvPicPr>
                      <a:picLocks noChangeArrowheads="1" noChangeAspect="1"/>
                    </pic:cNvPicPr>
                  </pic:nvPicPr>
                  <pic:blipFill>
                    <a:blip r:embed="rId2373"/>
                    <a:stretch>
                      <a:fillRect/>
                    </a:stretch>
                  </pic:blipFill>
                  <pic:spPr bwMode="auto">
                    <a:xfrm>
                      <a:off x="0" y="0"/>
                      <a:ext cx="5334000" cy="3391945"/>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Time runs downward. TLS ends at the nearby edge. On a fresh hit the edge answers at once, adding an</w:t>
      </w:r>
      <w:r>
        <w:t xml:space="preserve"> </w:t>
      </w:r>
      <w:r>
        <w:rPr>
          <w:rStyle w:val="VerbatimChar"/>
        </w:rPr>
        <w:t xml:space="preserve">Age</w:t>
      </w:r>
      <w:r>
        <w:t xml:space="preserve"> </w:t>
      </w:r>
      <w:r>
        <w:t xml:space="preserve">header (seconds spent in cache). On a miss it forwards over a long-lived connection to the shield; only a shield miss reaches the origin. All exchanges are synchronous, and responses are</w:t>
      </w:r>
      <w:r>
        <w:t xml:space="preserve"> </w:t>
      </w:r>
      <w:r>
        <w:rPr>
          <w:bCs/>
          <w:b/>
        </w:rPr>
        <w:t xml:space="preserve">streamed</w:t>
      </w:r>
      <w:r>
        <w:t xml:space="preserve">: the edge forwards bytes while still receiving them. Storage boundaries: edge and shield caches, and the origin. Failure points: a slow or down shield or origin (the edge may serve stale, §21.6.1). Scaling: more tiers or bigger caches raise the hit ratio.</w:t>
      </w:r>
    </w:p>
    <w:p>
      <w:pPr>
        <w:pStyle w:val="BodyText"/>
      </w:pPr>
      <w:r>
        <w:t xml:space="preserve">Three details matter in production:</w:t>
      </w:r>
    </w:p>
    <w:p>
      <w:pPr>
        <w:numPr>
          <w:ilvl w:val="0"/>
          <w:numId w:val="1688"/>
        </w:numPr>
        <w:pStyle w:val="Compact"/>
      </w:pPr>
      <w:r>
        <w:rPr>
          <w:bCs/>
          <w:b/>
        </w:rPr>
        <w:t xml:space="preserve">Request collapsing.</w:t>
      </w:r>
      <w:r>
        <w:t xml:space="preserve"> </w:t>
      </w:r>
      <w:r>
        <w:t xml:space="preserve">If 500 users request the same uncached object within 50 ms, a naive edge sends 500 origin requests. CDNs</w:t>
      </w:r>
      <w:r>
        <w:t xml:space="preserve"> </w:t>
      </w:r>
      <w:r>
        <w:rPr>
          <w:bCs/>
          <w:b/>
        </w:rPr>
        <w:t xml:space="preserve">collapse</w:t>
      </w:r>
      <w:r>
        <w:t xml:space="preserve"> </w:t>
      </w:r>
      <w:r>
        <w:t xml:space="preserve">concurrent misses for one cache key into one upstream fetch, the stampede defense of §20.11 applied at the edge.</w:t>
      </w:r>
    </w:p>
    <w:p>
      <w:pPr>
        <w:numPr>
          <w:ilvl w:val="0"/>
          <w:numId w:val="1688"/>
        </w:numPr>
        <w:pStyle w:val="Compact"/>
      </w:pPr>
      <w:r>
        <w:rPr>
          <w:bCs/>
          <w:b/>
        </w:rPr>
        <w:t xml:space="preserve">Negative caching.</w:t>
      </w:r>
      <w:r>
        <w:t xml:space="preserve"> </w:t>
      </w:r>
      <w:r>
        <w:t xml:space="preserve">Error responses such as</w:t>
      </w:r>
      <w:r>
        <w:t xml:space="preserve"> </w:t>
      </w:r>
      <w:r>
        <w:rPr>
          <w:rStyle w:val="VerbatimChar"/>
        </w:rPr>
        <w:t xml:space="preserve">404</w:t>
      </w:r>
      <w:r>
        <w:t xml:space="preserve"> </w:t>
      </w:r>
      <w:r>
        <w:t xml:space="preserve">can be cached briefly, so a burst of requests for a missing object does not become a burst at the origin.</w:t>
      </w:r>
    </w:p>
    <w:p>
      <w:pPr>
        <w:numPr>
          <w:ilvl w:val="0"/>
          <w:numId w:val="1688"/>
        </w:numPr>
        <w:pStyle w:val="Compact"/>
      </w:pPr>
      <w:r>
        <w:rPr>
          <w:bCs/>
          <w:b/>
        </w:rPr>
        <w:t xml:space="preserve">Range requests.</w:t>
      </w:r>
      <w:r>
        <w:t xml:space="preserve"> </w:t>
      </w:r>
      <w:r>
        <w:t xml:space="preserve">For large files the edge caches fixed-size chunks (say 1–2 MB), so a seek into a video need not fetch the first gigabyte.</w:t>
      </w:r>
    </w:p>
    <w:p>
      <w:pPr>
        <w:pStyle w:val="FirstParagraph"/>
      </w:pPr>
      <w:r>
        <w:rPr>
          <w:bCs/>
          <w:b/>
        </w:rPr>
        <w:t xml:space="preserve">Table 21.2 — CDN architecture 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PoP outage</w:t>
            </w:r>
          </w:p>
        </w:tc>
        <w:tc>
          <w:tcPr/>
          <w:p>
            <w:pPr>
              <w:pStyle w:val="Compact"/>
              <w:jc w:val="left"/>
            </w:pPr>
            <w:r>
              <w:t xml:space="preserve">Power, fiber or software failure</w:t>
            </w:r>
          </w:p>
        </w:tc>
        <w:tc>
          <w:tcPr/>
          <w:p>
            <w:pPr>
              <w:pStyle w:val="Compact"/>
              <w:jc w:val="left"/>
            </w:pPr>
            <w:r>
              <w:t xml:space="preserve">Synthetic probes per PoP; traffic drop</w:t>
            </w:r>
          </w:p>
        </w:tc>
        <w:tc>
          <w:tcPr/>
          <w:p>
            <w:pPr>
              <w:pStyle w:val="Compact"/>
              <w:jc w:val="left"/>
            </w:pPr>
            <w:r>
              <w:t xml:space="preserve">Withdraw anycast route or remove from DNS answers</w:t>
            </w:r>
          </w:p>
        </w:tc>
        <w:tc>
          <w:tcPr/>
          <w:p>
            <w:pPr>
              <w:pStyle w:val="Compact"/>
              <w:jc w:val="left"/>
            </w:pPr>
            <w:r>
              <w:t xml:space="preserve">Capacity headroom in neighboring PoPs</w:t>
            </w:r>
          </w:p>
        </w:tc>
      </w:tr>
      <w:tr>
        <w:tc>
          <w:tcPr/>
          <w:p>
            <w:pPr>
              <w:pStyle w:val="Compact"/>
              <w:jc w:val="left"/>
            </w:pPr>
            <w:r>
              <w:t xml:space="preserve">Users mapped far away</w:t>
            </w:r>
          </w:p>
        </w:tc>
        <w:tc>
          <w:tcPr/>
          <w:p>
            <w:pPr>
              <w:pStyle w:val="Compact"/>
              <w:jc w:val="left"/>
            </w:pPr>
            <w:r>
              <w:t xml:space="preserve">Resolver location, BGP policy</w:t>
            </w:r>
          </w:p>
        </w:tc>
        <w:tc>
          <w:tcPr/>
          <w:p>
            <w:pPr>
              <w:pStyle w:val="Compact"/>
              <w:jc w:val="left"/>
            </w:pPr>
            <w:r>
              <w:t xml:space="preserve">Real-user latency by network</w:t>
            </w:r>
          </w:p>
        </w:tc>
        <w:tc>
          <w:tcPr/>
          <w:p>
            <w:pPr>
              <w:pStyle w:val="Compact"/>
              <w:jc w:val="left"/>
            </w:pPr>
            <w:r>
              <w:t xml:space="preserve">Adjust mapping or announcements</w:t>
            </w:r>
          </w:p>
        </w:tc>
        <w:tc>
          <w:tcPr/>
          <w:p>
            <w:pPr>
              <w:pStyle w:val="Compact"/>
              <w:jc w:val="left"/>
            </w:pPr>
            <w:r>
              <w:t xml:space="preserve">ECS; per-network latency monitoring</w:t>
            </w:r>
          </w:p>
        </w:tc>
      </w:tr>
      <w:tr>
        <w:tc>
          <w:tcPr/>
          <w:p>
            <w:pPr>
              <w:pStyle w:val="Compact"/>
              <w:jc w:val="left"/>
            </w:pPr>
            <w:r>
              <w:t xml:space="preserve">Origin overwhelmed after a purge</w:t>
            </w:r>
          </w:p>
        </w:tc>
        <w:tc>
          <w:tcPr/>
          <w:p>
            <w:pPr>
              <w:pStyle w:val="Compact"/>
              <w:jc w:val="left"/>
            </w:pPr>
            <w:r>
              <w:t xml:space="preserve">Every PoP misses at once</w:t>
            </w:r>
          </w:p>
        </w:tc>
        <w:tc>
          <w:tcPr/>
          <w:p>
            <w:pPr>
              <w:pStyle w:val="Compact"/>
              <w:jc w:val="left"/>
            </w:pPr>
            <w:r>
              <w:t xml:space="preserve">Origin RPS spike; edge 5xx</w:t>
            </w:r>
          </w:p>
        </w:tc>
        <w:tc>
          <w:tcPr/>
          <w:p>
            <w:pPr>
              <w:pStyle w:val="Compact"/>
              <w:jc w:val="left"/>
            </w:pPr>
            <w:r>
              <w:t xml:space="preserve">Serve stale; rate-limit fetches</w:t>
            </w:r>
          </w:p>
        </w:tc>
        <w:tc>
          <w:tcPr/>
          <w:p>
            <w:pPr>
              <w:pStyle w:val="Compact"/>
              <w:jc w:val="left"/>
            </w:pPr>
            <w:r>
              <w:t xml:space="preserve">Shielding, request collapsing, soft purge</w:t>
            </w:r>
          </w:p>
        </w:tc>
      </w:tr>
      <w:tr>
        <w:tc>
          <w:tcPr/>
          <w:p>
            <w:pPr>
              <w:pStyle w:val="Compact"/>
              <w:jc w:val="left"/>
            </w:pPr>
            <w:r>
              <w:t xml:space="preserve">Bad configuration pushed globally</w:t>
            </w:r>
          </w:p>
        </w:tc>
        <w:tc>
          <w:tcPr/>
          <w:p>
            <w:pPr>
              <w:pStyle w:val="Compact"/>
              <w:jc w:val="left"/>
            </w:pPr>
            <w:r>
              <w:t xml:space="preserve">One change reaches all PoPs</w:t>
            </w:r>
          </w:p>
        </w:tc>
        <w:tc>
          <w:tcPr/>
          <w:p>
            <w:pPr>
              <w:pStyle w:val="Compact"/>
              <w:jc w:val="left"/>
            </w:pPr>
            <w:r>
              <w:t xml:space="preserve">Error-rate jump everywhere</w:t>
            </w:r>
          </w:p>
        </w:tc>
        <w:tc>
          <w:tcPr/>
          <w:p>
            <w:pPr>
              <w:pStyle w:val="Compact"/>
              <w:jc w:val="left"/>
            </w:pPr>
            <w:r>
              <w:t xml:space="preserve">Roll back config</w:t>
            </w:r>
          </w:p>
        </w:tc>
        <w:tc>
          <w:tcPr/>
          <w:p>
            <w:pPr>
              <w:pStyle w:val="Compact"/>
              <w:jc w:val="left"/>
            </w:pPr>
            <w:r>
              <w:t xml:space="preserve">Staged rollout to canary PoPs</w:t>
            </w:r>
          </w:p>
        </w:tc>
      </w:tr>
    </w:tbl>
    <w:bookmarkEnd w:id="2376"/>
    <w:bookmarkEnd w:id="2377"/>
    <w:bookmarkStart w:id="2381" w:name="edge-mid-tier-and-origin"/>
    <w:p>
      <w:pPr>
        <w:pStyle w:val="Heading2"/>
      </w:pPr>
      <w:r>
        <w:t xml:space="preserve">21.4 Edge, mid-tier and origin</w:t>
      </w:r>
    </w:p>
    <w:bookmarkStart w:id="2380" w:name="three-tiers"/>
    <w:p>
      <w:pPr>
        <w:pStyle w:val="Heading3"/>
      </w:pPr>
      <w:r>
        <w:t xml:space="preserve">21.4.1 Three tiers</w:t>
      </w:r>
    </w:p>
    <w:p>
      <w:pPr>
        <w:pStyle w:val="CalloutDefinition"/>
      </w:pPr>
      <w:r>
        <w:rPr>
          <w:bCs/>
          <w:b/>
        </w:rPr>
        <w:t xml:space="preserve">DEFINITION</w:t>
      </w:r>
    </w:p>
    <w:p>
      <w:pPr>
        <w:pStyle w:val="CalloutDefinition"/>
      </w:pPr>
      <w:r>
        <w:rPr>
          <w:bCs/>
          <w:b/>
        </w:rPr>
        <w:t xml:space="preserve">Definition — Cache tiers.</w:t>
      </w:r>
      <w:r>
        <w:t xml:space="preserve"> </w:t>
      </w:r>
      <w:r>
        <w:t xml:space="preserve">The</w:t>
      </w:r>
      <w:r>
        <w:t xml:space="preserve"> </w:t>
      </w:r>
      <w:r>
        <w:rPr>
          <w:bCs/>
          <w:b/>
        </w:rPr>
        <w:t xml:space="preserve">edge</w:t>
      </w:r>
      <w:r>
        <w:t xml:space="preserve"> </w:t>
      </w:r>
      <w:r>
        <w:t xml:space="preserve">tier is the set of PoPs that accept user connections. A</w:t>
      </w:r>
      <w:r>
        <w:t xml:space="preserve"> </w:t>
      </w:r>
      <w:r>
        <w:rPr>
          <w:bCs/>
          <w:b/>
        </w:rPr>
        <w:t xml:space="preserve">mid-tier</w:t>
      </w:r>
      <w:r>
        <w:t xml:space="preserve"> </w:t>
      </w:r>
      <w:r>
        <w:t xml:space="preserve">(also</w:t>
      </w:r>
      <w:r>
        <w:t xml:space="preserve"> </w:t>
      </w:r>
      <w:r>
        <w:rPr>
          <w:iCs/>
          <w:i/>
        </w:rPr>
        <w:t xml:space="preserve">parent</w:t>
      </w:r>
      <w:r>
        <w:t xml:space="preserve">,</w:t>
      </w:r>
      <w:r>
        <w:t xml:space="preserve"> </w:t>
      </w:r>
      <w:r>
        <w:rPr>
          <w:iCs/>
          <w:i/>
        </w:rPr>
        <w:t xml:space="preserve">regional</w:t>
      </w:r>
      <w:r>
        <w:t xml:space="preserve"> </w:t>
      </w:r>
      <w:r>
        <w:t xml:space="preserve">or</w:t>
      </w:r>
      <w:r>
        <w:t xml:space="preserve"> </w:t>
      </w:r>
      <w:r>
        <w:rPr>
          <w:iCs/>
          <w:i/>
        </w:rPr>
        <w:t xml:space="preserve">upper-tier</w:t>
      </w:r>
      <w:r>
        <w:t xml:space="preserve"> </w:t>
      </w:r>
      <w:r>
        <w:t xml:space="preserve">cache) is a smaller set of larger caches that edges consult on a miss. An</w:t>
      </w:r>
      <w:r>
        <w:t xml:space="preserve"> </w:t>
      </w:r>
      <w:r>
        <w:rPr>
          <w:bCs/>
          <w:b/>
        </w:rPr>
        <w:t xml:space="preserve">origin shield</w:t>
      </w:r>
      <w:r>
        <w:t xml:space="preserve"> </w:t>
      </w:r>
      <w:r>
        <w:t xml:space="preserve">is a mid-tier designated as the single path to a given origin. The</w:t>
      </w:r>
      <w:r>
        <w:t xml:space="preserve"> </w:t>
      </w:r>
      <w:r>
        <w:rPr>
          <w:bCs/>
          <w:b/>
        </w:rPr>
        <w:t xml:space="preserve">origin</w:t>
      </w:r>
      <w:r>
        <w:t xml:space="preserve"> </w:t>
      </w:r>
      <w:r>
        <w:t xml:space="preserve">is the customer’s own infrastructure that holds the authoritative content.</w:t>
      </w:r>
    </w:p>
    <w:bookmarkStart w:id="2378" w:name="first-principles-explanation-127"/>
    <w:p>
      <w:pPr>
        <w:pStyle w:val="Heading4"/>
      </w:pPr>
      <w:r>
        <w:t xml:space="preserve">First-principles explanation</w:t>
      </w:r>
    </w:p>
    <w:p>
      <w:pPr>
        <w:pStyle w:val="FirstParagraph"/>
      </w:pPr>
      <w:r>
        <w:t xml:space="preserve">Return to the bookshops. A town shop stocks the 2,000 titles its customers buy most; for an obscure title it phones the regional warehouse, which stocks 200,000, and only the warehouse contacts the publisher. Each tier holds more items, serves larger areas, and sees only what the tier below could not answer.</w:t>
      </w:r>
    </w:p>
    <w:bookmarkEnd w:id="2378"/>
    <w:bookmarkStart w:id="2379" w:name="why-does-this-exist-79"/>
    <w:p>
      <w:pPr>
        <w:pStyle w:val="Heading4"/>
      </w:pPr>
      <w:r>
        <w:t xml:space="preserve">Why does this exist?</w:t>
      </w:r>
    </w:p>
    <w:p>
      <w:pPr>
        <w:pStyle w:val="FirstParagraph"/>
      </w:pPr>
      <w:r>
        <w:t xml:space="preserve">Edges must be numerous and close to users, so each one is small relative to the catalog and sees only a slice of the audience. For long-tail content (most images, most video titles, most software versions) each edge misses often. A mid-tier aggregates the misses of many edges, so an object requested once in each of 50 cities becomes popular</w:t>
      </w:r>
      <w:r>
        <w:t xml:space="preserve"> </w:t>
      </w:r>
      <w:r>
        <w:rPr>
          <w:iCs/>
          <w:i/>
        </w:rPr>
        <w:t xml:space="preserve">at the mid-tier</w:t>
      </w:r>
      <w:r>
        <w:t xml:space="preserve"> </w:t>
      </w:r>
      <w:r>
        <w:t xml:space="preserve">and is fetched from the origin once.</w:t>
      </w:r>
    </w:p>
    <w:p>
      <w:pPr>
        <w:pStyle w:val="BodyText"/>
      </w:pPr>
      <w:r>
        <w:rPr>
          <w:bCs/>
          <w:b/>
        </w:rPr>
        <w:t xml:space="preserve">Table 21.3 — Roles of the cache tiers.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Edge PoP</w:t>
            </w:r>
          </w:p>
        </w:tc>
        <w:tc>
          <w:tcPr/>
          <w:p>
            <w:pPr>
              <w:pStyle w:val="Compact"/>
              <w:jc w:val="left"/>
            </w:pPr>
            <w:r>
              <w:t xml:space="preserve">Mid-tier / shield</w:t>
            </w:r>
          </w:p>
        </w:tc>
        <w:tc>
          <w:tcPr/>
          <w:p>
            <w:pPr>
              <w:pStyle w:val="Compact"/>
              <w:jc w:val="left"/>
            </w:pPr>
            <w:r>
              <w:t xml:space="preserve">Origin</w:t>
            </w:r>
          </w:p>
        </w:tc>
      </w:tr>
      <w:tr>
        <w:tc>
          <w:tcPr/>
          <w:p>
            <w:pPr>
              <w:pStyle w:val="Compact"/>
              <w:jc w:val="left"/>
            </w:pPr>
            <w:r>
              <w:t xml:space="preserve">Location</w:t>
            </w:r>
          </w:p>
        </w:tc>
        <w:tc>
          <w:tcPr/>
          <w:p>
            <w:pPr>
              <w:pStyle w:val="Compact"/>
              <w:jc w:val="left"/>
            </w:pPr>
            <w:r>
              <w:t xml:space="preserve">Near users, often in ISPs or exchange points</w:t>
            </w:r>
          </w:p>
        </w:tc>
        <w:tc>
          <w:tcPr/>
          <w:p>
            <w:pPr>
              <w:pStyle w:val="Compact"/>
              <w:jc w:val="left"/>
            </w:pPr>
            <w:r>
              <w:t xml:space="preserve">Few, well-connected regions; shield near the origin</w:t>
            </w:r>
          </w:p>
        </w:tc>
        <w:tc>
          <w:tcPr/>
          <w:p>
            <w:pPr>
              <w:pStyle w:val="Compact"/>
              <w:jc w:val="left"/>
            </w:pPr>
            <w:r>
              <w:t xml:space="preserve">Your region(s) or cloud</w:t>
            </w:r>
          </w:p>
        </w:tc>
      </w:tr>
      <w:tr>
        <w:tc>
          <w:tcPr/>
          <w:p>
            <w:pPr>
              <w:pStyle w:val="Compact"/>
              <w:jc w:val="left"/>
            </w:pPr>
            <w:r>
              <w:t xml:space="preserve">Count</w:t>
            </w:r>
          </w:p>
        </w:tc>
        <w:tc>
          <w:tcPr/>
          <w:p>
            <w:pPr>
              <w:pStyle w:val="Compact"/>
              <w:jc w:val="left"/>
            </w:pPr>
            <w:r>
              <w:t xml:space="preserve">Tens to thousands</w:t>
            </w:r>
          </w:p>
        </w:tc>
        <w:tc>
          <w:tcPr/>
          <w:p>
            <w:pPr>
              <w:pStyle w:val="Compact"/>
              <w:jc w:val="left"/>
            </w:pPr>
            <w:r>
              <w:t xml:space="preserve">A handful to tens</w:t>
            </w:r>
          </w:p>
        </w:tc>
        <w:tc>
          <w:tcPr/>
          <w:p>
            <w:pPr>
              <w:pStyle w:val="Compact"/>
              <w:jc w:val="left"/>
            </w:pPr>
            <w:r>
              <w:t xml:space="preserve">One to a few</w:t>
            </w:r>
          </w:p>
        </w:tc>
      </w:tr>
      <w:tr>
        <w:tc>
          <w:tcPr/>
          <w:p>
            <w:pPr>
              <w:pStyle w:val="Compact"/>
              <w:jc w:val="left"/>
            </w:pPr>
            <w:r>
              <w:t xml:space="preserve">Cache size per site</w:t>
            </w:r>
          </w:p>
        </w:tc>
        <w:tc>
          <w:tcPr/>
          <w:p>
            <w:pPr>
              <w:pStyle w:val="Compact"/>
              <w:jc w:val="left"/>
            </w:pPr>
            <w:r>
              <w:t xml:space="preserve">Small relative to catalog</w:t>
            </w:r>
          </w:p>
        </w:tc>
        <w:tc>
          <w:tcPr/>
          <w:p>
            <w:pPr>
              <w:pStyle w:val="Compact"/>
              <w:jc w:val="left"/>
            </w:pPr>
            <w:r>
              <w:t xml:space="preserve">Large</w:t>
            </w:r>
          </w:p>
        </w:tc>
        <w:tc>
          <w:tcPr/>
          <w:p>
            <w:pPr>
              <w:pStyle w:val="Compact"/>
              <w:jc w:val="left"/>
            </w:pPr>
            <w:r>
              <w:t xml:space="preserve">Holds everything (authoritative)</w:t>
            </w:r>
          </w:p>
        </w:tc>
      </w:tr>
      <w:tr>
        <w:tc>
          <w:tcPr/>
          <w:p>
            <w:pPr>
              <w:pStyle w:val="Compact"/>
              <w:jc w:val="left"/>
            </w:pPr>
            <w:r>
              <w:t xml:space="preserve">Sees</w:t>
            </w:r>
          </w:p>
        </w:tc>
        <w:tc>
          <w:tcPr/>
          <w:p>
            <w:pPr>
              <w:pStyle w:val="Compact"/>
              <w:jc w:val="left"/>
            </w:pPr>
            <w:r>
              <w:t xml:space="preserve">All user requests</w:t>
            </w:r>
          </w:p>
        </w:tc>
        <w:tc>
          <w:tcPr/>
          <w:p>
            <w:pPr>
              <w:pStyle w:val="Compact"/>
              <w:jc w:val="left"/>
            </w:pPr>
            <w:r>
              <w:t xml:space="preserve">Edge misses</w:t>
            </w:r>
          </w:p>
        </w:tc>
        <w:tc>
          <w:tcPr/>
          <w:p>
            <w:pPr>
              <w:pStyle w:val="Compact"/>
              <w:jc w:val="left"/>
            </w:pPr>
            <w:r>
              <w:t xml:space="preserve">Shield misses</w:t>
            </w:r>
          </w:p>
        </w:tc>
      </w:tr>
      <w:tr>
        <w:tc>
          <w:tcPr/>
          <w:p>
            <w:pPr>
              <w:pStyle w:val="Compact"/>
              <w:jc w:val="left"/>
            </w:pPr>
            <w:r>
              <w:t xml:space="preserve">Main job</w:t>
            </w:r>
          </w:p>
        </w:tc>
        <w:tc>
          <w:tcPr/>
          <w:p>
            <w:pPr>
              <w:pStyle w:val="Compact"/>
              <w:jc w:val="left"/>
            </w:pPr>
            <w:r>
              <w:t xml:space="preserve">Latency, TLS termination, absorbing traffic</w:t>
            </w:r>
          </w:p>
        </w:tc>
        <w:tc>
          <w:tcPr/>
          <w:p>
            <w:pPr>
              <w:pStyle w:val="Compact"/>
              <w:jc w:val="left"/>
            </w:pPr>
            <w:r>
              <w:t xml:space="preserve">Aggregating misses, protecting origin</w:t>
            </w:r>
          </w:p>
        </w:tc>
        <w:tc>
          <w:tcPr/>
          <w:p>
            <w:pPr>
              <w:pStyle w:val="Compact"/>
              <w:jc w:val="left"/>
            </w:pPr>
            <w:r>
              <w:t xml:space="preserve">Correctness and freshness</w:t>
            </w:r>
          </w:p>
        </w:tc>
      </w:tr>
    </w:tbl>
    <w:p>
      <w:pPr>
        <w:pStyle w:val="BodyText"/>
      </w:pPr>
      <w:r>
        <w:t xml:space="preserve">The origin can be</w:t>
      </w:r>
      <w:r>
        <w:t xml:space="preserve"> </w:t>
      </w:r>
      <w:r>
        <w:rPr>
          <w:bCs/>
          <w:b/>
        </w:rPr>
        <w:t xml:space="preserve">object storage</w:t>
      </w:r>
      <w:r>
        <w:t xml:space="preserve"> </w:t>
      </w:r>
      <w:r>
        <w:t xml:space="preserve">(static assets, images, video files; §15.4), an</w:t>
      </w:r>
      <w:r>
        <w:t xml:space="preserve"> </w:t>
      </w:r>
      <w:r>
        <w:rPr>
          <w:bCs/>
          <w:b/>
        </w:rPr>
        <w:t xml:space="preserve">application tier</w:t>
      </w:r>
      <w:r>
        <w:t xml:space="preserve"> </w:t>
      </w:r>
      <w:r>
        <w:t xml:space="preserve">behind a load balancer (HTML, APIs), or a</w:t>
      </w:r>
      <w:r>
        <w:t xml:space="preserve"> </w:t>
      </w:r>
      <w:r>
        <w:rPr>
          <w:bCs/>
          <w:b/>
        </w:rPr>
        <w:t xml:space="preserve">media packager</w:t>
      </w:r>
      <w:r>
        <w:t xml:space="preserve"> </w:t>
      </w:r>
      <w:r>
        <w:t xml:space="preserve">(live video). Whatever it is, the origin should accept traffic only from the CDN: allow-list the CDN’s address ranges or require a shared secret header or mutual TLS on origin pulls (§21.11), otherwise attackers bypass the cache and hit the origin directly.</w:t>
      </w:r>
    </w:p>
    <w:p>
      <w:pPr>
        <w:pStyle w:val="CalloutIndustry"/>
      </w:pPr>
      <w:r>
        <w:rPr>
          <w:bCs/>
          <w:b/>
        </w:rPr>
        <w:t xml:space="preserve">INDUSTRY EXAMPLE</w:t>
      </w:r>
    </w:p>
    <w:p>
      <w:pPr>
        <w:pStyle w:val="CalloutIndustry"/>
      </w:pPr>
      <w:r>
        <w:rPr>
          <w:bCs/>
          <w:b/>
        </w:rPr>
        <w:t xml:space="preserve">Akamai, Amazon CloudFront and Cloudflare tiering.</w:t>
      </w:r>
      <w:r>
        <w:t xml:space="preserve"> </w:t>
      </w:r>
      <w:r>
        <w:t xml:space="preserve">Akamai’s 2010 description of its platform includes</w:t>
      </w:r>
      <w:r>
        <w:t xml:space="preserve"> </w:t>
      </w:r>
      <w:r>
        <w:rPr>
          <w:bCs/>
          <w:b/>
        </w:rPr>
        <w:t xml:space="preserve">tiered distribution</w:t>
      </w:r>
      <w:r>
        <w:t xml:space="preserve">: edge clusters fetch from a smaller set of well-provisioned</w:t>
      </w:r>
      <w:r>
        <w:t xml:space="preserve"> </w:t>
      </w:r>
      <w:r>
        <w:t xml:space="preserve">“</w:t>
      </w:r>
      <w:r>
        <w:t xml:space="preserve">parent</w:t>
      </w:r>
      <w:r>
        <w:t xml:space="preserve">”</w:t>
      </w:r>
      <w:r>
        <w:t xml:space="preserve"> </w:t>
      </w:r>
      <w:r>
        <w:t xml:space="preserve">clusters rather than from the origin, which Akamai reports substantially reduces origin load, especially for less popular content [Nygren et al. 2010]. CloudFront documents</w:t>
      </w:r>
      <w:r>
        <w:t xml:space="preserve"> </w:t>
      </w:r>
      <w:r>
        <w:rPr>
          <w:bCs/>
          <w:b/>
        </w:rPr>
        <w:t xml:space="preserve">regional edge caches</w:t>
      </w:r>
      <w:r>
        <w:t xml:space="preserve"> </w:t>
      </w:r>
      <w:r>
        <w:t xml:space="preserve">between its edge locations and the origin, and an optional</w:t>
      </w:r>
      <w:r>
        <w:t xml:space="preserve"> </w:t>
      </w:r>
      <w:r>
        <w:rPr>
          <w:bCs/>
          <w:b/>
        </w:rPr>
        <w:t xml:space="preserve">Origin Shield</w:t>
      </w:r>
      <w:r>
        <w:t xml:space="preserve"> </w:t>
      </w:r>
      <w:r>
        <w:t xml:space="preserve">layer through which all requests for an origin pass [AWS Docs: CloudFront Origin Shield]. Cloudflare documents</w:t>
      </w:r>
      <w:r>
        <w:t xml:space="preserve"> </w:t>
      </w:r>
      <w:r>
        <w:rPr>
          <w:bCs/>
          <w:b/>
        </w:rPr>
        <w:t xml:space="preserve">Tiered Cache</w:t>
      </w:r>
      <w:r>
        <w:t xml:space="preserve">, in which lower-tier data centers fetch from upper-tier data centers instead of the origin [Cloudflare Docs: Tiered Cache].</w:t>
      </w:r>
      <w:r>
        <w:t xml:space="preserve"> </w:t>
      </w:r>
      <w:r>
        <w:rPr>
          <w:iCs/>
          <w:i/>
        </w:rPr>
        <w:t xml:space="preserve">Evidence: Primary</w:t>
      </w:r>
      <w:r>
        <w:t xml:space="preserve"> </w:t>
      </w:r>
      <w:r>
        <w:t xml:space="preserve">— [Nygren et al. 2010]; [AWS Docs: CloudFront Origin Shield]; [Cloudflare Docs: Tiered Cache]</w:t>
      </w:r>
    </w:p>
    <w:bookmarkEnd w:id="2379"/>
    <w:bookmarkEnd w:id="2380"/>
    <w:bookmarkEnd w:id="2381"/>
    <w:bookmarkStart w:id="2392" w:name="cache-hierarchy-and-origin-shielding"/>
    <w:p>
      <w:pPr>
        <w:pStyle w:val="Heading2"/>
      </w:pPr>
      <w:r>
        <w:t xml:space="preserve">21.5 Cache hierarchy and origin shielding</w:t>
      </w:r>
    </w:p>
    <w:bookmarkStart w:id="2382" w:name="offload-ratio"/>
    <w:p>
      <w:pPr>
        <w:pStyle w:val="Heading3"/>
      </w:pPr>
      <w:r>
        <w:t xml:space="preserve">21.5.1 Offload ratio</w:t>
      </w:r>
    </w:p>
    <w:p>
      <w:pPr>
        <w:pStyle w:val="CalloutDefinition"/>
      </w:pPr>
      <w:r>
        <w:rPr>
          <w:bCs/>
          <w:b/>
        </w:rPr>
        <w:t xml:space="preserve">DEFINITION</w:t>
      </w:r>
    </w:p>
    <w:p>
      <w:pPr>
        <w:pStyle w:val="CalloutDefinition"/>
      </w:pPr>
      <w:r>
        <w:rPr>
          <w:bCs/>
          <w:b/>
        </w:rPr>
        <w:t xml:space="preserve">Definition — Offload ratio.</w:t>
      </w:r>
      <w:r>
        <w:t xml:space="preserve"> </w:t>
      </w:r>
      <w:r>
        <w:t xml:space="preserve">The fraction of traffic a CDN serves without contacting the origin.</w:t>
      </w:r>
      <w:r>
        <w:t xml:space="preserve"> </w:t>
      </w:r>
      <w:r>
        <w:rPr>
          <w:bCs/>
          <w:b/>
        </w:rPr>
        <w:t xml:space="preserve">Request offload</w:t>
      </w:r>
      <w:r>
        <w:t xml:space="preserve"> </w:t>
      </w:r>
      <w:r>
        <w:t xml:space="preserve">counts requests;</w:t>
      </w:r>
      <w:r>
        <w:t xml:space="preserve"> </w:t>
      </w:r>
      <w:r>
        <w:rPr>
          <w:bCs/>
          <w:b/>
        </w:rPr>
        <w:t xml:space="preserve">byte offload</w:t>
      </w:r>
      <w:r>
        <w:t xml:space="preserve"> </w:t>
      </w:r>
      <w:r>
        <w:t xml:space="preserve">counts bytes. Both are a cache hit ratio (§20.3) measured at the boundary between the CDN and the origin.</w:t>
      </w:r>
    </w:p>
    <w:p>
      <w:pPr>
        <w:pStyle w:val="CalloutFormula"/>
      </w:pPr>
      <w:r>
        <w:rPr>
          <w:bCs/>
          <w:b/>
        </w:rPr>
        <w:t xml:space="preserve">FORMULA</w:t>
      </w:r>
    </w:p>
    <w:p>
      <w:pPr>
        <w:pStyle w:val="CalloutFormula"/>
      </w:pPr>
      <w:r>
        <w:rPr>
          <w:bCs/>
          <w:b/>
        </w:rPr>
        <w:t xml:space="preserve">Request and byte offload</w:t>
      </w:r>
    </w:p>
    <w:p>
      <w:pPr>
        <w:pStyle w:val="CalloutFormula"/>
      </w:pPr>
      <m:oMathPara>
        <m:oMathParaPr>
          <m:jc m:val="center"/>
        </m:oMathParaPr>
        <m:oMath>
          <m:sSub>
            <m:e>
              <m:r>
                <m:t>O</m:t>
              </m:r>
            </m:e>
            <m:sub>
              <m:r>
                <m:t>R</m:t>
              </m:r>
            </m:sub>
          </m:sSub>
          <m:r>
            <m:rPr>
              <m:sty m:val="p"/>
            </m:rPr>
            <m:t>=</m:t>
          </m:r>
          <m:r>
            <m:t>1</m:t>
          </m:r>
          <m:r>
            <m:rPr>
              <m:sty m:val="p"/>
            </m:rPr>
            <m:t>−</m:t>
          </m:r>
          <m:f>
            <m:fPr>
              <m:type m:val="bar"/>
            </m:fPr>
            <m:num>
              <m:sSub>
                <m:e>
                  <m:r>
                    <m:t>N</m:t>
                  </m:r>
                </m:e>
                <m:sub>
                  <m:r>
                    <m:rPr>
                      <m:nor/>
                      <m:sty m:val="p"/>
                    </m:rPr>
                    <m:t>origin</m:t>
                  </m:r>
                </m:sub>
              </m:sSub>
            </m:num>
            <m:den>
              <m:sSub>
                <m:e>
                  <m:r>
                    <m:t>N</m:t>
                  </m:r>
                </m:e>
                <m:sub>
                  <m:r>
                    <m:rPr>
                      <m:nor/>
                      <m:sty m:val="p"/>
                    </m:rPr>
                    <m:t>total</m:t>
                  </m:r>
                </m:sub>
              </m:sSub>
            </m:den>
          </m:f>
          <m:r>
            <m:t>  </m:t>
          </m:r>
          <m:sSub>
            <m:e>
              <m:r>
                <m:t>O</m:t>
              </m:r>
            </m:e>
            <m:sub>
              <m:r>
                <m:t>B</m:t>
              </m:r>
            </m:sub>
          </m:sSub>
          <m:r>
            <m:rPr>
              <m:sty m:val="p"/>
            </m:rPr>
            <m:t>=</m:t>
          </m:r>
          <m:r>
            <m:t>1</m:t>
          </m:r>
          <m:r>
            <m:rPr>
              <m:sty m:val="p"/>
            </m:rPr>
            <m:t>−</m:t>
          </m:r>
          <m:f>
            <m:fPr>
              <m:type m:val="bar"/>
            </m:fPr>
            <m:num>
              <m:sSub>
                <m:e>
                  <m:r>
                    <m:t>V</m:t>
                  </m:r>
                </m:e>
                <m:sub>
                  <m:r>
                    <m:rPr>
                      <m:nor/>
                      <m:sty m:val="p"/>
                    </m:rPr>
                    <m:t>origin</m:t>
                  </m:r>
                </m:sub>
              </m:sSub>
            </m:num>
            <m:den>
              <m:sSub>
                <m:e>
                  <m:r>
                    <m:t>V</m:t>
                  </m:r>
                </m:e>
                <m:sub>
                  <m:r>
                    <m:rPr>
                      <m:nor/>
                      <m:sty m:val="p"/>
                    </m:rPr>
                    <m:t>total</m:t>
                  </m:r>
                </m:sub>
              </m:sSub>
            </m:den>
          </m:f>
        </m:oMath>
      </m:oMathPara>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O</m:t>
                  </m:r>
                </m:e>
                <m:sub>
                  <m:r>
                    <m:t>R</m:t>
                  </m:r>
                </m:sub>
              </m:sSub>
            </m:oMath>
            <w:r>
              <w:t xml:space="preserve">,</w:t>
            </w:r>
            <w:r>
              <w:t xml:space="preserve"> </w:t>
            </w:r>
            <m:oMath>
              <m:sSub>
                <m:e>
                  <m:r>
                    <m:t>O</m:t>
                  </m:r>
                </m:e>
                <m:sub>
                  <m:r>
                    <m:t>B</m:t>
                  </m:r>
                </m:sub>
              </m:sSub>
            </m:oMath>
          </w:p>
        </w:tc>
        <w:tc>
          <w:tcPr/>
          <w:p>
            <w:pPr>
              <w:pStyle w:val="Compact"/>
              <w:jc w:val="left"/>
            </w:pPr>
            <w:r>
              <w:t xml:space="preserve">Request offload, byte offload</w:t>
            </w:r>
          </w:p>
        </w:tc>
        <w:tc>
          <w:tcPr/>
          <w:p>
            <w:pPr>
              <w:pStyle w:val="Compact"/>
              <w:jc w:val="left"/>
            </w:pPr>
            <w:r>
              <w:t xml:space="preserve">dimensionless (0–1)</w:t>
            </w:r>
          </w:p>
        </w:tc>
      </w:tr>
      <w:tr>
        <w:tc>
          <w:tcPr/>
          <w:p>
            <w:pPr>
              <w:pStyle w:val="Compact"/>
              <w:jc w:val="left"/>
            </w:pPr>
            <m:oMath>
              <m:sSub>
                <m:e>
                  <m:r>
                    <m:t>N</m:t>
                  </m:r>
                </m:e>
                <m:sub>
                  <m:r>
                    <m:rPr>
                      <m:nor/>
                      <m:sty m:val="p"/>
                    </m:rPr>
                    <m:t>origin</m:t>
                  </m:r>
                </m:sub>
              </m:sSub>
            </m:oMath>
          </w:p>
        </w:tc>
        <w:tc>
          <w:tcPr/>
          <w:p>
            <w:pPr>
              <w:pStyle w:val="Compact"/>
              <w:jc w:val="left"/>
            </w:pPr>
            <w:r>
              <w:t xml:space="preserve">Requests the CDN sent to the origin</w:t>
            </w:r>
          </w:p>
        </w:tc>
        <w:tc>
          <w:tcPr/>
          <w:p>
            <w:pPr>
              <w:pStyle w:val="Compact"/>
              <w:jc w:val="left"/>
            </w:pPr>
            <w:r>
              <w:t xml:space="preserve">requests</w:t>
            </w:r>
          </w:p>
        </w:tc>
      </w:tr>
      <w:tr>
        <w:tc>
          <w:tcPr/>
          <w:p>
            <w:pPr>
              <w:pStyle w:val="Compact"/>
              <w:jc w:val="left"/>
            </w:pPr>
            <m:oMath>
              <m:sSub>
                <m:e>
                  <m:r>
                    <m:t>N</m:t>
                  </m:r>
                </m:e>
                <m:sub>
                  <m:r>
                    <m:rPr>
                      <m:nor/>
                      <m:sty m:val="p"/>
                    </m:rPr>
                    <m:t>total</m:t>
                  </m:r>
                </m:sub>
              </m:sSub>
            </m:oMath>
          </w:p>
        </w:tc>
        <w:tc>
          <w:tcPr/>
          <w:p>
            <w:pPr>
              <w:pStyle w:val="Compact"/>
              <w:jc w:val="left"/>
            </w:pPr>
            <w:r>
              <w:t xml:space="preserve">Requests users sent to the CDN</w:t>
            </w:r>
          </w:p>
        </w:tc>
        <w:tc>
          <w:tcPr/>
          <w:p>
            <w:pPr>
              <w:pStyle w:val="Compact"/>
              <w:jc w:val="left"/>
            </w:pPr>
            <w:r>
              <w:t xml:space="preserve">requests</w:t>
            </w:r>
          </w:p>
        </w:tc>
      </w:tr>
      <w:tr>
        <w:tc>
          <w:tcPr/>
          <w:p>
            <w:pPr>
              <w:pStyle w:val="Compact"/>
              <w:jc w:val="left"/>
            </w:pPr>
            <m:oMath>
              <m:sSub>
                <m:e>
                  <m:r>
                    <m:t>V</m:t>
                  </m:r>
                </m:e>
                <m:sub>
                  <m:r>
                    <m:rPr>
                      <m:nor/>
                      <m:sty m:val="p"/>
                    </m:rPr>
                    <m:t>origin</m:t>
                  </m:r>
                </m:sub>
              </m:sSub>
            </m:oMath>
          </w:p>
        </w:tc>
        <w:tc>
          <w:tcPr/>
          <w:p>
            <w:pPr>
              <w:pStyle w:val="Compact"/>
              <w:jc w:val="left"/>
            </w:pPr>
            <w:r>
              <w:t xml:space="preserve">Bytes the origin sent to the CDN</w:t>
            </w:r>
          </w:p>
        </w:tc>
        <w:tc>
          <w:tcPr/>
          <w:p>
            <w:pPr>
              <w:pStyle w:val="Compact"/>
              <w:jc w:val="left"/>
            </w:pPr>
            <w:r>
              <w:t xml:space="preserve">bytes</w:t>
            </w:r>
          </w:p>
        </w:tc>
      </w:tr>
      <w:tr>
        <w:tc>
          <w:tcPr/>
          <w:p>
            <w:pPr>
              <w:pStyle w:val="Compact"/>
              <w:jc w:val="left"/>
            </w:pPr>
            <m:oMath>
              <m:sSub>
                <m:e>
                  <m:r>
                    <m:t>V</m:t>
                  </m:r>
                </m:e>
                <m:sub>
                  <m:r>
                    <m:rPr>
                      <m:nor/>
                      <m:sty m:val="p"/>
                    </m:rPr>
                    <m:t>total</m:t>
                  </m:r>
                </m:sub>
              </m:sSub>
            </m:oMath>
          </w:p>
        </w:tc>
        <w:tc>
          <w:tcPr/>
          <w:p>
            <w:pPr>
              <w:pStyle w:val="Compact"/>
              <w:jc w:val="left"/>
            </w:pPr>
            <w:r>
              <w:t xml:space="preserve">Bytes the CDN sent to users</w:t>
            </w:r>
          </w:p>
        </w:tc>
        <w:tc>
          <w:tcPr/>
          <w:p>
            <w:pPr>
              <w:pStyle w:val="Compact"/>
              <w:jc w:val="left"/>
            </w:pPr>
            <w:r>
              <w:t xml:space="preserve">bytes</w:t>
            </w:r>
          </w:p>
        </w:tc>
      </w:tr>
    </w:tbl>
    <w:p>
      <w:pPr>
        <w:pStyle w:val="CalloutExample"/>
      </w:pPr>
      <w:r>
        <w:rPr>
          <w:bCs/>
          <w:b/>
        </w:rPr>
        <w:t xml:space="preserve">WORKED EXAMPLE</w:t>
      </w:r>
    </w:p>
    <w:p>
      <w:pPr>
        <w:pStyle w:val="CalloutExample"/>
      </w:pPr>
      <w:r>
        <w:rPr>
          <w:bCs/>
          <w:b/>
        </w:rPr>
        <w:t xml:space="preserve">Worked example — Two offloads for the same day.</w:t>
      </w:r>
      <w:r>
        <w:t xml:space="preserve"> </w:t>
      </w:r>
      <w:r>
        <w:t xml:space="preserve">A CDN receives</w:t>
      </w:r>
      <w:r>
        <w:t xml:space="preserve"> </w:t>
      </w:r>
      <m:oMath>
        <m:sSub>
          <m:e>
            <m:r>
              <m:t>N</m:t>
            </m:r>
          </m:e>
          <m:sub>
            <m:r>
              <m:rPr>
                <m:nor/>
                <m:sty m:val="p"/>
              </m:rPr>
              <m:t>total</m:t>
            </m:r>
          </m:sub>
        </m:sSub>
        <m:r>
          <m:rPr>
            <m:sty m:val="p"/>
          </m:rPr>
          <m:t>=</m:t>
        </m:r>
        <m:sSup>
          <m:e>
            <m:r>
              <m:t>10</m:t>
            </m:r>
          </m:e>
          <m:sup>
            <m:r>
              <m:t>9</m:t>
            </m:r>
          </m:sup>
        </m:sSup>
      </m:oMath>
      <w:r>
        <w:t xml:space="preserve"> </w:t>
      </w:r>
      <w:r>
        <w:t xml:space="preserve">requests carrying</w:t>
      </w:r>
      <w:r>
        <w:t xml:space="preserve"> </w:t>
      </w:r>
      <m:oMath>
        <m:sSub>
          <m:e>
            <m:r>
              <m:t>V</m:t>
            </m:r>
          </m:e>
          <m:sub>
            <m:r>
              <m:rPr>
                <m:nor/>
                <m:sty m:val="p"/>
              </m:rPr>
              <m:t>total</m:t>
            </m:r>
          </m:sub>
        </m:sSub>
        <m:r>
          <m:rPr>
            <m:sty m:val="p"/>
          </m:rPr>
          <m:t>=</m:t>
        </m:r>
        <m:r>
          <m:t>500</m:t>
        </m:r>
      </m:oMath>
      <w:r>
        <w:t xml:space="preserve"> </w:t>
      </w:r>
      <w:r>
        <w:t xml:space="preserve">TB, and sends</w:t>
      </w:r>
      <w:r>
        <w:t xml:space="preserve"> </w:t>
      </w:r>
      <m:oMath>
        <m:sSub>
          <m:e>
            <m:r>
              <m:t>N</m:t>
            </m:r>
          </m:e>
          <m:sub>
            <m:r>
              <m:rPr>
                <m:nor/>
                <m:sty m:val="p"/>
              </m:rPr>
              <m:t>origin</m:t>
            </m:r>
          </m:sub>
        </m:sSub>
        <m:r>
          <m:rPr>
            <m:sty m:val="p"/>
          </m:rPr>
          <m:t>=</m:t>
        </m:r>
        <m:r>
          <m:t>4</m:t>
        </m:r>
        <m:r>
          <m:rPr>
            <m:sty m:val="p"/>
          </m:rPr>
          <m:t>×</m:t>
        </m:r>
        <m:sSup>
          <m:e>
            <m:r>
              <m:t>10</m:t>
            </m:r>
          </m:e>
          <m:sup>
            <m:r>
              <m:t>7</m:t>
            </m:r>
          </m:sup>
        </m:sSup>
      </m:oMath>
      <w:r>
        <w:t xml:space="preserve"> </w:t>
      </w:r>
      <w:r>
        <w:t xml:space="preserve">requests to the origin, which return</w:t>
      </w:r>
      <w:r>
        <w:t xml:space="preserve"> </w:t>
      </w:r>
      <m:oMath>
        <m:sSub>
          <m:e>
            <m:r>
              <m:t>V</m:t>
            </m:r>
          </m:e>
          <m:sub>
            <m:r>
              <m:rPr>
                <m:nor/>
                <m:sty m:val="p"/>
              </m:rPr>
              <m:t>origin</m:t>
            </m:r>
          </m:sub>
        </m:sSub>
        <m:r>
          <m:rPr>
            <m:sty m:val="p"/>
          </m:rPr>
          <m:t>=</m:t>
        </m:r>
        <m:r>
          <m:t>40</m:t>
        </m:r>
      </m:oMath>
      <w:r>
        <w:t xml:space="preserve"> </w:t>
      </w:r>
      <w:r>
        <w:t xml:space="preserve">TB.</w:t>
      </w:r>
    </w:p>
    <w:p>
      <w:pPr>
        <w:numPr>
          <w:ilvl w:val="0"/>
          <w:numId w:val="1689"/>
        </w:numPr>
        <w:pStyle w:val="Compact"/>
      </w:pPr>
      <m:oMath>
        <m:sSub>
          <m:e>
            <m:r>
              <m:t>O</m:t>
            </m:r>
          </m:e>
          <m:sub>
            <m:r>
              <m:t>R</m:t>
            </m:r>
          </m:sub>
        </m:sSub>
        <m:r>
          <m:rPr>
            <m:sty m:val="p"/>
          </m:rPr>
          <m:t>=</m:t>
        </m:r>
        <m:r>
          <m:t>1</m:t>
        </m:r>
        <m:r>
          <m:rPr>
            <m:sty m:val="p"/>
          </m:rPr>
          <m:t>−</m:t>
        </m:r>
        <m:r>
          <m:t>4</m:t>
        </m:r>
        <m:r>
          <m:rPr>
            <m:sty m:val="p"/>
          </m:rPr>
          <m:t>×</m:t>
        </m:r>
        <m:sSup>
          <m:e>
            <m:r>
              <m:t>10</m:t>
            </m:r>
          </m:e>
          <m:sup>
            <m:r>
              <m:t>7</m:t>
            </m:r>
          </m:sup>
        </m:sSup>
        <m:r>
          <m:rPr>
            <m:sty m:val="p"/>
          </m:rPr>
          <m:t>/</m:t>
        </m:r>
        <m:sSup>
          <m:e>
            <m:r>
              <m:t>10</m:t>
            </m:r>
          </m:e>
          <m:sup>
            <m:r>
              <m:t>9</m:t>
            </m:r>
          </m:sup>
        </m:sSup>
        <m:r>
          <m:rPr>
            <m:sty m:val="p"/>
          </m:rPr>
          <m:t>=</m:t>
        </m:r>
        <m:r>
          <m:t>1</m:t>
        </m:r>
        <m:r>
          <m:rPr>
            <m:sty m:val="p"/>
          </m:rPr>
          <m:t>−</m:t>
        </m:r>
        <m:r>
          <m:t>0.04</m:t>
        </m:r>
        <m:r>
          <m:rPr>
            <m:sty m:val="p"/>
          </m:rPr>
          <m:t>=</m:t>
        </m:r>
        <m:r>
          <m:t>0.96</m:t>
        </m:r>
      </m:oMath>
      <w:r>
        <w:t xml:space="preserve">.</w:t>
      </w:r>
    </w:p>
    <w:p>
      <w:pPr>
        <w:numPr>
          <w:ilvl w:val="0"/>
          <w:numId w:val="1689"/>
        </w:numPr>
        <w:pStyle w:val="Compact"/>
      </w:pPr>
      <m:oMath>
        <m:sSub>
          <m:e>
            <m:r>
              <m:t>O</m:t>
            </m:r>
          </m:e>
          <m:sub>
            <m:r>
              <m:t>B</m:t>
            </m:r>
          </m:sub>
        </m:sSub>
        <m:r>
          <m:rPr>
            <m:sty m:val="p"/>
          </m:rPr>
          <m:t>=</m:t>
        </m:r>
        <m:r>
          <m:t>1</m:t>
        </m:r>
        <m:r>
          <m:rPr>
            <m:sty m:val="p"/>
          </m:rPr>
          <m:t>−</m:t>
        </m:r>
        <m:r>
          <m:t>40</m:t>
        </m:r>
        <m:r>
          <m:rPr>
            <m:sty m:val="p"/>
          </m:rPr>
          <m:t>/</m:t>
        </m:r>
        <m:r>
          <m:t>500</m:t>
        </m:r>
        <m:r>
          <m:rPr>
            <m:sty m:val="p"/>
          </m:rPr>
          <m:t>=</m:t>
        </m:r>
        <m:r>
          <m:t>1</m:t>
        </m:r>
        <m:r>
          <m:rPr>
            <m:sty m:val="p"/>
          </m:rPr>
          <m:t>−</m:t>
        </m:r>
        <m:r>
          <m:t>0.08</m:t>
        </m:r>
        <m:r>
          <m:rPr>
            <m:sty m:val="p"/>
          </m:rPr>
          <m:t>=</m:t>
        </m:r>
        <m:r>
          <m:t>0.92</m:t>
        </m:r>
      </m:oMath>
      <w:r>
        <w:t xml:space="preserve">.</w:t>
      </w:r>
    </w:p>
    <w:p>
      <w:pPr>
        <w:pStyle w:val="CalloutExample"/>
      </w:pPr>
      <w:r>
        <w:rPr>
          <w:bCs/>
          <w:b/>
        </w:rPr>
        <w:t xml:space="preserve">Interpretation.</w:t>
      </w:r>
      <w:r>
        <w:t xml:space="preserve"> </w:t>
      </w:r>
      <w:r>
        <w:t xml:space="preserve">Misses are disproportionately large objects (long-tail videos, rarely downloaded installers), so byte offload is lower than request offload here; with other mixes it can be higher.</w:t>
      </w:r>
      <w:r>
        <w:t xml:space="preserve"> </w:t>
      </w:r>
      <w:r>
        <w:rPr>
          <w:bCs/>
          <w:b/>
        </w:rPr>
        <w:t xml:space="preserve">Engineering implication.</w:t>
      </w:r>
      <w:r>
        <w:t xml:space="preserve"> </w:t>
      </w:r>
      <w:r>
        <w:t xml:space="preserve">Origin CPU and request rate follow</w:t>
      </w:r>
      <w:r>
        <w:t xml:space="preserve"> </w:t>
      </w:r>
      <m:oMath>
        <m:sSub>
          <m:e>
            <m:r>
              <m:t>O</m:t>
            </m:r>
          </m:e>
          <m:sub>
            <m:r>
              <m:t>R</m:t>
            </m:r>
          </m:sub>
        </m:sSub>
      </m:oMath>
      <w:r>
        <w:t xml:space="preserve">; origin egress cost and bandwidth follow</w:t>
      </w:r>
      <w:r>
        <w:t xml:space="preserve"> </w:t>
      </w:r>
      <m:oMath>
        <m:sSub>
          <m:e>
            <m:r>
              <m:t>O</m:t>
            </m:r>
          </m:e>
          <m:sub>
            <m:r>
              <m:t>B</m:t>
            </m:r>
          </m:sub>
        </m:sSub>
      </m:oMath>
      <w:r>
        <w:t xml:space="preserve">. Track both, and do not quote one when the decision depends on the other.</w:t>
      </w:r>
    </w:p>
    <w:bookmarkEnd w:id="2382"/>
    <w:bookmarkStart w:id="2383" w:name="composing-tiers"/>
    <w:p>
      <w:pPr>
        <w:pStyle w:val="Heading3"/>
      </w:pPr>
      <w:r>
        <w:t xml:space="preserve">21.5.2 Composing tiers</w:t>
      </w:r>
    </w:p>
    <w:p>
      <w:pPr>
        <w:pStyle w:val="FirstParagraph"/>
      </w:pPr>
      <w:r>
        <w:t xml:space="preserve">A request reaches the origin only if it misses at</w:t>
      </w:r>
      <w:r>
        <w:t xml:space="preserve"> </w:t>
      </w:r>
      <w:r>
        <w:rPr>
          <w:iCs/>
          <w:i/>
        </w:rPr>
        <w:t xml:space="preserve">every</w:t>
      </w:r>
      <w:r>
        <w:t xml:space="preserve"> </w:t>
      </w:r>
      <w:r>
        <w:t xml:space="preserve">tier, so the miss ratios multiply.</w:t>
      </w:r>
    </w:p>
    <w:p>
      <w:pPr>
        <w:pStyle w:val="CalloutFormula"/>
      </w:pPr>
      <w:r>
        <w:rPr>
          <w:bCs/>
          <w:b/>
        </w:rPr>
        <w:t xml:space="preserve">FORMULA</w:t>
      </w:r>
    </w:p>
    <w:p>
      <w:pPr>
        <w:pStyle w:val="CalloutFormula"/>
      </w:pPr>
      <w:r>
        <w:rPr>
          <w:bCs/>
          <w:b/>
        </w:rPr>
        <w:t xml:space="preserve">Origin fraction and origin bandwidth across tiers</w:t>
      </w:r>
    </w:p>
    <w:p>
      <w:pPr>
        <w:pStyle w:val="CalloutFormula"/>
      </w:pPr>
      <m:oMathPara>
        <m:oMathParaPr>
          <m:jc m:val="center"/>
        </m:oMathParaPr>
        <m:oMath>
          <m:sSub>
            <m:e>
              <m:r>
                <m:t>f</m:t>
              </m:r>
            </m:e>
            <m:sub>
              <m:r>
                <m:rPr>
                  <m:nor/>
                  <m:sty m:val="p"/>
                </m:rPr>
                <m:t>origin</m:t>
              </m:r>
            </m:sub>
          </m:sSub>
          <m:r>
            <m:rPr>
              <m:sty m:val="p"/>
            </m:rPr>
            <m:t>=</m:t>
          </m:r>
          <m:nary>
            <m:naryPr>
              <m:chr m:val="∏"/>
              <m:limLoc m:val="undOvr"/>
              <m:subHide m:val="off"/>
              <m:supHide m:val="off"/>
            </m:naryPr>
            <m:sub>
              <m:r>
                <m:t>i</m:t>
              </m:r>
              <m:r>
                <m:rPr>
                  <m:sty m:val="p"/>
                </m:rPr>
                <m:t>=</m:t>
              </m:r>
              <m:r>
                <m:t>1</m:t>
              </m:r>
            </m:sub>
            <m:sup>
              <m:r>
                <m:t>k</m:t>
              </m:r>
            </m:sup>
            <m:e>
              <m:d>
                <m:dPr>
                  <m:begChr m:val="("/>
                  <m:endChr m:val=")"/>
                  <m:sepChr m:val=""/>
                  <m:grow/>
                </m:dPr>
                <m:e>
                  <m:r>
                    <m:t>1</m:t>
                  </m:r>
                  <m:r>
                    <m:rPr>
                      <m:sty m:val="p"/>
                    </m:rPr>
                    <m:t>−</m:t>
                  </m:r>
                  <m:sSub>
                    <m:e>
                      <m:r>
                        <m:t>h</m:t>
                      </m:r>
                    </m:e>
                    <m:sub>
                      <m:r>
                        <m:t>i</m:t>
                      </m:r>
                    </m:sub>
                  </m:sSub>
                </m:e>
              </m:d>
            </m:e>
          </m:nary>
          <m:r>
            <m:t>  </m:t>
          </m:r>
          <m:sSub>
            <m:e>
              <m:r>
                <m:t>B</m:t>
              </m:r>
            </m:e>
            <m:sub>
              <m:r>
                <m:rPr>
                  <m:nor/>
                  <m:sty m:val="p"/>
                </m:rPr>
                <m:t>origin</m:t>
              </m:r>
            </m:sub>
          </m:sSub>
          <m:r>
            <m:rPr>
              <m:sty m:val="p"/>
            </m:rPr>
            <m:t>=</m:t>
          </m:r>
          <m:sSub>
            <m:e>
              <m:r>
                <m:t>B</m:t>
              </m:r>
            </m:e>
            <m:sub>
              <m:r>
                <m:rPr>
                  <m:nor/>
                  <m:sty m:val="p"/>
                </m:rPr>
                <m:t>users</m:t>
              </m:r>
            </m:sub>
          </m:sSub>
          <m:r>
            <m:rPr>
              <m:sty m:val="p"/>
            </m:rPr>
            <m:t>×</m:t>
          </m:r>
          <m:d>
            <m:dPr>
              <m:begChr m:val="("/>
              <m:endChr m:val=")"/>
              <m:sepChr m:val=""/>
              <m:grow/>
            </m:dPr>
            <m:e>
              <m:r>
                <m:t>1</m:t>
              </m:r>
              <m:r>
                <m:rPr>
                  <m:sty m:val="p"/>
                </m:rPr>
                <m:t>−</m:t>
              </m:r>
              <m:sSub>
                <m:e>
                  <m:r>
                    <m:t>O</m:t>
                  </m:r>
                </m:e>
                <m:sub>
                  <m:r>
                    <m:t>B</m:t>
                  </m:r>
                </m:sub>
              </m:sSub>
            </m:e>
          </m:d>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h</m:t>
                  </m:r>
                </m:e>
                <m:sub>
                  <m:r>
                    <m:t>i</m:t>
                  </m:r>
                </m:sub>
              </m:sSub>
            </m:oMath>
          </w:p>
        </w:tc>
        <w:tc>
          <w:tcPr/>
          <w:p>
            <w:pPr>
              <w:pStyle w:val="Compact"/>
              <w:jc w:val="left"/>
            </w:pPr>
            <w:r>
              <w:t xml:space="preserve">Hit ratio of tier</w:t>
            </w:r>
            <w:r>
              <w:t xml:space="preserve"> </w:t>
            </w:r>
            <m:oMath>
              <m:r>
                <m:t>i</m:t>
              </m:r>
            </m:oMath>
            <w:r>
              <w:t xml:space="preserve">, measured on the requests that</w:t>
            </w:r>
            <w:r>
              <w:t xml:space="preserve"> </w:t>
            </w:r>
            <w:r>
              <w:rPr>
                <w:iCs/>
                <w:i/>
              </w:rPr>
              <w:t xml:space="preserve">reach</w:t>
            </w:r>
            <w:r>
              <w:t xml:space="preserve"> </w:t>
            </w:r>
            <w:r>
              <w:t xml:space="preserve">that tier</w:t>
            </w:r>
          </w:p>
        </w:tc>
        <w:tc>
          <w:tcPr/>
          <w:p>
            <w:pPr>
              <w:pStyle w:val="Compact"/>
              <w:jc w:val="left"/>
            </w:pPr>
            <w:r>
              <w:t xml:space="preserve">dimensionless</w:t>
            </w:r>
          </w:p>
        </w:tc>
      </w:tr>
      <w:tr>
        <w:tc>
          <w:tcPr/>
          <w:p>
            <w:pPr>
              <w:pStyle w:val="Compact"/>
              <w:jc w:val="left"/>
            </w:pPr>
            <m:oMath>
              <m:r>
                <m:t>k</m:t>
              </m:r>
            </m:oMath>
          </w:p>
        </w:tc>
        <w:tc>
          <w:tcPr/>
          <w:p>
            <w:pPr>
              <w:pStyle w:val="Compact"/>
              <w:jc w:val="left"/>
            </w:pPr>
            <w:r>
              <w:t xml:space="preserve">Number of cache tiers (browser, edge, mid-tier, …)</w:t>
            </w:r>
          </w:p>
        </w:tc>
        <w:tc>
          <w:tcPr/>
          <w:p>
            <w:pPr>
              <w:pStyle w:val="Compact"/>
              <w:jc w:val="left"/>
            </w:pPr>
            <w:r>
              <w:t xml:space="preserve">count</w:t>
            </w:r>
          </w:p>
        </w:tc>
      </w:tr>
      <w:tr>
        <w:tc>
          <w:tcPr/>
          <w:p>
            <w:pPr>
              <w:pStyle w:val="Compact"/>
              <w:jc w:val="left"/>
            </w:pPr>
            <m:oMath>
              <m:sSub>
                <m:e>
                  <m:r>
                    <m:t>f</m:t>
                  </m:r>
                </m:e>
                <m:sub>
                  <m:r>
                    <m:rPr>
                      <m:nor/>
                      <m:sty m:val="p"/>
                    </m:rPr>
                    <m:t>origin</m:t>
                  </m:r>
                </m:sub>
              </m:sSub>
            </m:oMath>
          </w:p>
        </w:tc>
        <w:tc>
          <w:tcPr/>
          <w:p>
            <w:pPr>
              <w:pStyle w:val="Compact"/>
              <w:jc w:val="left"/>
            </w:pPr>
            <w:r>
              <w:t xml:space="preserve">Fraction of all requests that reach the origin,</w:t>
            </w:r>
            <w:r>
              <w:t xml:space="preserve"> </w:t>
            </w:r>
            <m:oMath>
              <m:r>
                <m:t>1</m:t>
              </m:r>
              <m:r>
                <m:rPr>
                  <m:sty m:val="p"/>
                </m:rPr>
                <m:t>−</m:t>
              </m:r>
              <m:sSub>
                <m:e>
                  <m:r>
                    <m:t>O</m:t>
                  </m:r>
                </m:e>
                <m:sub>
                  <m:r>
                    <m:t>R</m:t>
                  </m:r>
                </m:sub>
              </m:sSub>
            </m:oMath>
          </w:p>
        </w:tc>
        <w:tc>
          <w:tcPr/>
          <w:p>
            <w:pPr>
              <w:pStyle w:val="Compact"/>
              <w:jc w:val="left"/>
            </w:pPr>
            <w:r>
              <w:t xml:space="preserve">dimensionless</w:t>
            </w:r>
          </w:p>
        </w:tc>
      </w:tr>
      <w:tr>
        <w:tc>
          <w:tcPr/>
          <w:p>
            <w:pPr>
              <w:pStyle w:val="Compact"/>
              <w:jc w:val="left"/>
            </w:pPr>
            <m:oMath>
              <m:sSub>
                <m:e>
                  <m:r>
                    <m:t>B</m:t>
                  </m:r>
                </m:e>
                <m:sub>
                  <m:r>
                    <m:rPr>
                      <m:nor/>
                      <m:sty m:val="p"/>
                    </m:rPr>
                    <m:t>users</m:t>
                  </m:r>
                </m:sub>
              </m:sSub>
            </m:oMath>
          </w:p>
        </w:tc>
        <w:tc>
          <w:tcPr/>
          <w:p>
            <w:pPr>
              <w:pStyle w:val="Compact"/>
              <w:jc w:val="left"/>
            </w:pPr>
            <w:r>
              <w:t xml:space="preserve">Bandwidth delivered to users</w:t>
            </w:r>
          </w:p>
        </w:tc>
        <w:tc>
          <w:tcPr/>
          <w:p>
            <w:pPr>
              <w:pStyle w:val="Compact"/>
              <w:jc w:val="left"/>
            </w:pPr>
            <w:r>
              <w:t xml:space="preserve">Gb/s</w:t>
            </w:r>
          </w:p>
        </w:tc>
      </w:tr>
      <w:tr>
        <w:tc>
          <w:tcPr/>
          <w:p>
            <w:pPr>
              <w:pStyle w:val="Compact"/>
              <w:jc w:val="left"/>
            </w:pPr>
            <m:oMath>
              <m:sSub>
                <m:e>
                  <m:r>
                    <m:t>B</m:t>
                  </m:r>
                </m:e>
                <m:sub>
                  <m:r>
                    <m:rPr>
                      <m:nor/>
                      <m:sty m:val="p"/>
                    </m:rPr>
                    <m:t>origin</m:t>
                  </m:r>
                </m:sub>
              </m:sSub>
            </m:oMath>
          </w:p>
        </w:tc>
        <w:tc>
          <w:tcPr/>
          <w:p>
            <w:pPr>
              <w:pStyle w:val="Compact"/>
              <w:jc w:val="left"/>
            </w:pPr>
            <w:r>
              <w:t xml:space="preserve">Bandwidth the origin must serve</w:t>
            </w:r>
          </w:p>
        </w:tc>
        <w:tc>
          <w:tcPr/>
          <w:p>
            <w:pPr>
              <w:pStyle w:val="Compact"/>
              <w:jc w:val="left"/>
            </w:pPr>
            <w:r>
              <w:t xml:space="preserve">Gb/s</w:t>
            </w:r>
          </w:p>
        </w:tc>
      </w:tr>
    </w:tbl>
    <w:p>
      <w:pPr>
        <w:pStyle w:val="CalloutExample"/>
      </w:pPr>
      <w:r>
        <w:rPr>
          <w:bCs/>
          <w:b/>
        </w:rPr>
        <w:t xml:space="preserve">WORKED EXAMPLE</w:t>
      </w:r>
    </w:p>
    <w:p>
      <w:pPr>
        <w:pStyle w:val="CalloutExample"/>
      </w:pPr>
      <w:r>
        <w:rPr>
          <w:bCs/>
          <w:b/>
        </w:rPr>
        <w:t xml:space="preserve">Worked example — Facebook’s photo-serving stack.</w:t>
      </w:r>
      <w:r>
        <w:t xml:space="preserve"> </w:t>
      </w:r>
      <w:r>
        <w:t xml:space="preserve">A study of Facebook photo traffic found that browser caches served 65.5% of requests, edge caches 20.0%, the origin cache (a shield-like tier in Facebook’s data centers) 4.6%, and the Haystack storage backend the remaining 9.9% [Huang et al. 2013].</w:t>
      </w:r>
    </w:p>
    <w:p>
      <w:pPr>
        <w:numPr>
          <w:ilvl w:val="0"/>
          <w:numId w:val="1690"/>
        </w:numPr>
        <w:pStyle w:val="Compact"/>
      </w:pPr>
      <w:r>
        <w:t xml:space="preserve">Browser:</w:t>
      </w:r>
      <w:r>
        <w:t xml:space="preserve"> </w:t>
      </w:r>
      <m:oMath>
        <m:sSub>
          <m:e>
            <m:r>
              <m:t>h</m:t>
            </m:r>
          </m:e>
          <m:sub>
            <m:r>
              <m:t>1</m:t>
            </m:r>
          </m:sub>
        </m:sSub>
        <m:r>
          <m:rPr>
            <m:sty m:val="p"/>
          </m:rPr>
          <m:t>=</m:t>
        </m:r>
        <m:r>
          <m:t>0.655</m:t>
        </m:r>
      </m:oMath>
      <w:r>
        <w:t xml:space="preserve">;</w:t>
      </w:r>
      <w:r>
        <w:t xml:space="preserve"> </w:t>
      </w:r>
      <m:oMath>
        <m:r>
          <m:t>34.5</m:t>
        </m:r>
        <m:r>
          <m:rPr>
            <m:sty m:val="p"/>
          </m:rPr>
          <m:t>%</m:t>
        </m:r>
      </m:oMath>
      <w:r>
        <w:t xml:space="preserve"> </w:t>
      </w:r>
      <w:r>
        <w:t xml:space="preserve">of requests continue.</w:t>
      </w:r>
    </w:p>
    <w:p>
      <w:pPr>
        <w:numPr>
          <w:ilvl w:val="0"/>
          <w:numId w:val="1690"/>
        </w:numPr>
        <w:pStyle w:val="Compact"/>
      </w:pPr>
      <w:r>
        <w:t xml:space="preserve">Edge:</w:t>
      </w:r>
      <w:r>
        <w:t xml:space="preserve"> </w:t>
      </w:r>
      <m:oMath>
        <m:sSub>
          <m:e>
            <m:r>
              <m:t>h</m:t>
            </m:r>
          </m:e>
          <m:sub>
            <m:r>
              <m:t>2</m:t>
            </m:r>
          </m:sub>
        </m:sSub>
        <m:r>
          <m:rPr>
            <m:sty m:val="p"/>
          </m:rPr>
          <m:t>=</m:t>
        </m:r>
        <m:r>
          <m:t>20.0</m:t>
        </m:r>
        <m:r>
          <m:rPr>
            <m:sty m:val="p"/>
          </m:rPr>
          <m:t>/</m:t>
        </m:r>
        <m:r>
          <m:t>34.5</m:t>
        </m:r>
        <m:r>
          <m:rPr>
            <m:sty m:val="p"/>
          </m:rPr>
          <m:t>=</m:t>
        </m:r>
        <m:r>
          <m:t>0.580</m:t>
        </m:r>
      </m:oMath>
      <w:r>
        <w:t xml:space="preserve">;</w:t>
      </w:r>
      <w:r>
        <w:t xml:space="preserve"> </w:t>
      </w:r>
      <m:oMath>
        <m:r>
          <m:t>14.5</m:t>
        </m:r>
        <m:r>
          <m:rPr>
            <m:sty m:val="p"/>
          </m:rPr>
          <m:t>%</m:t>
        </m:r>
      </m:oMath>
      <w:r>
        <w:t xml:space="preserve"> </w:t>
      </w:r>
      <w:r>
        <w:t xml:space="preserve">continue.</w:t>
      </w:r>
    </w:p>
    <w:p>
      <w:pPr>
        <w:numPr>
          <w:ilvl w:val="0"/>
          <w:numId w:val="1690"/>
        </w:numPr>
        <w:pStyle w:val="Compact"/>
      </w:pPr>
      <w:r>
        <w:t xml:space="preserve">Origin cache:</w:t>
      </w:r>
      <w:r>
        <w:t xml:space="preserve"> </w:t>
      </w:r>
      <m:oMath>
        <m:sSub>
          <m:e>
            <m:r>
              <m:t>h</m:t>
            </m:r>
          </m:e>
          <m:sub>
            <m:r>
              <m:t>3</m:t>
            </m:r>
          </m:sub>
        </m:sSub>
        <m:r>
          <m:rPr>
            <m:sty m:val="p"/>
          </m:rPr>
          <m:t>=</m:t>
        </m:r>
        <m:r>
          <m:t>4.6</m:t>
        </m:r>
        <m:r>
          <m:rPr>
            <m:sty m:val="p"/>
          </m:rPr>
          <m:t>/</m:t>
        </m:r>
        <m:r>
          <m:t>14.5</m:t>
        </m:r>
        <m:r>
          <m:rPr>
            <m:sty m:val="p"/>
          </m:rPr>
          <m:t>=</m:t>
        </m:r>
        <m:r>
          <m:t>0.317</m:t>
        </m:r>
      </m:oMath>
      <w:r>
        <w:t xml:space="preserve">.</w:t>
      </w:r>
    </w:p>
    <w:p>
      <w:pPr>
        <w:numPr>
          <w:ilvl w:val="0"/>
          <w:numId w:val="1690"/>
        </w:numPr>
        <w:pStyle w:val="Compact"/>
      </w:pPr>
      <w:r>
        <w:t xml:space="preserve">Check:</w:t>
      </w:r>
      <w:r>
        <w:t xml:space="preserve"> </w:t>
      </w:r>
      <m:oMath>
        <m:d>
          <m:dPr>
            <m:begChr m:val="("/>
            <m:endChr m:val=")"/>
            <m:sepChr m:val=""/>
            <m:grow/>
          </m:dPr>
          <m:e>
            <m:r>
              <m:t>1</m:t>
            </m:r>
            <m:r>
              <m:rPr>
                <m:sty m:val="p"/>
              </m:rPr>
              <m:t>−</m:t>
            </m:r>
            <m:r>
              <m:t>0.655</m:t>
            </m:r>
          </m:e>
        </m:d>
        <m:d>
          <m:dPr>
            <m:begChr m:val="("/>
            <m:endChr m:val=")"/>
            <m:sepChr m:val=""/>
            <m:grow/>
          </m:dPr>
          <m:e>
            <m:r>
              <m:t>1</m:t>
            </m:r>
            <m:r>
              <m:rPr>
                <m:sty m:val="p"/>
              </m:rPr>
              <m:t>−</m:t>
            </m:r>
            <m:r>
              <m:t>0.580</m:t>
            </m:r>
          </m:e>
        </m:d>
        <m:d>
          <m:dPr>
            <m:begChr m:val="("/>
            <m:endChr m:val=")"/>
            <m:sepChr m:val=""/>
            <m:grow/>
          </m:dPr>
          <m:e>
            <m:r>
              <m:t>1</m:t>
            </m:r>
            <m:r>
              <m:rPr>
                <m:sty m:val="p"/>
              </m:rPr>
              <m:t>−</m:t>
            </m:r>
            <m:r>
              <m:t>0.317</m:t>
            </m:r>
          </m:e>
        </m:d>
        <m:r>
          <m:rPr>
            <m:sty m:val="p"/>
          </m:rPr>
          <m:t>=</m:t>
        </m:r>
        <m:r>
          <m:t>0.345</m:t>
        </m:r>
        <m:r>
          <m:rPr>
            <m:sty m:val="p"/>
          </m:rPr>
          <m:t>×</m:t>
        </m:r>
        <m:r>
          <m:t>0.420</m:t>
        </m:r>
        <m:r>
          <m:rPr>
            <m:sty m:val="p"/>
          </m:rPr>
          <m:t>×</m:t>
        </m:r>
        <m:r>
          <m:t>0.683</m:t>
        </m:r>
        <m:r>
          <m:rPr>
            <m:sty m:val="p"/>
          </m:rPr>
          <m:t>=</m:t>
        </m:r>
        <m:r>
          <m:t>0.099</m:t>
        </m:r>
      </m:oMath>
      <w:r>
        <w:t xml:space="preserve">, the 9.9% that reached storage.</w:t>
      </w:r>
    </w:p>
    <w:p>
      <w:pPr>
        <w:pStyle w:val="CalloutExample"/>
      </w:pPr>
      <w:r>
        <w:t xml:space="preserve">Now apply the bandwidth form to PhotoShare’s 28 Gb/s peak: at</w:t>
      </w:r>
      <w:r>
        <w:t xml:space="preserve"> </w:t>
      </w:r>
      <m:oMath>
        <m:sSub>
          <m:e>
            <m:r>
              <m:t>O</m:t>
            </m:r>
          </m:e>
          <m:sub>
            <m:r>
              <m:t>B</m:t>
            </m:r>
          </m:sub>
        </m:sSub>
        <m:r>
          <m:rPr>
            <m:sty m:val="p"/>
          </m:rPr>
          <m:t>=</m:t>
        </m:r>
        <m:r>
          <m:t>0.90</m:t>
        </m:r>
      </m:oMath>
      <w:r>
        <w:t xml:space="preserve">,</w:t>
      </w:r>
      <w:r>
        <w:t xml:space="preserve"> </w:t>
      </w:r>
      <m:oMath>
        <m:sSub>
          <m:e>
            <m:r>
              <m:t>B</m:t>
            </m:r>
          </m:e>
          <m:sub>
            <m:r>
              <m:rPr>
                <m:nor/>
                <m:sty m:val="p"/>
              </m:rPr>
              <m:t>origin</m:t>
            </m:r>
          </m:sub>
        </m:sSub>
        <m:r>
          <m:rPr>
            <m:sty m:val="p"/>
          </m:rPr>
          <m:t>=</m:t>
        </m:r>
        <m:r>
          <m:t>28</m:t>
        </m:r>
        <m:r>
          <m:rPr>
            <m:sty m:val="p"/>
          </m:rPr>
          <m:t>×</m:t>
        </m:r>
        <m:r>
          <m:t>0.10</m:t>
        </m:r>
        <m:r>
          <m:rPr>
            <m:sty m:val="p"/>
          </m:rPr>
          <m:t>=</m:t>
        </m:r>
        <m:r>
          <m:t>2.8</m:t>
        </m:r>
      </m:oMath>
      <w:r>
        <w:t xml:space="preserve"> </w:t>
      </w:r>
      <w:r>
        <w:t xml:space="preserve">Gb/s; at</w:t>
      </w:r>
      <w:r>
        <w:t xml:space="preserve"> </w:t>
      </w:r>
      <m:oMath>
        <m:sSub>
          <m:e>
            <m:r>
              <m:t>O</m:t>
            </m:r>
          </m:e>
          <m:sub>
            <m:r>
              <m:t>B</m:t>
            </m:r>
          </m:sub>
        </m:sSub>
        <m:r>
          <m:rPr>
            <m:sty m:val="p"/>
          </m:rPr>
          <m:t>=</m:t>
        </m:r>
        <m:r>
          <m:t>0.98</m:t>
        </m:r>
      </m:oMath>
      <w:r>
        <w:t xml:space="preserve">, only</w:t>
      </w:r>
      <w:r>
        <w:t xml:space="preserve"> </w:t>
      </w:r>
      <m:oMath>
        <m:r>
          <m:t>0.56</m:t>
        </m:r>
      </m:oMath>
      <w:r>
        <w:t xml:space="preserve"> </w:t>
      </w:r>
      <w:r>
        <w:t xml:space="preserve">Gb/s.</w:t>
      </w:r>
    </w:p>
    <w:p>
      <w:pPr>
        <w:pStyle w:val="CalloutExample"/>
      </w:pPr>
      <w:r>
        <w:rPr>
          <w:bCs/>
          <w:b/>
        </w:rPr>
        <w:t xml:space="preserve">Interpretation.</w:t>
      </w:r>
      <w:r>
        <w:t xml:space="preserve"> </w:t>
      </w:r>
      <w:r>
        <w:t xml:space="preserve">No single tier is spectacular (the edge hit ratio is 58%, the origin cache’s 32%), yet together they keep 90% of requests away from storage. A tier with a modest hit ratio still pays off when the tier behind it is expensive.</w:t>
      </w:r>
      <w:r>
        <w:t xml:space="preserve"> </w:t>
      </w:r>
      <w:r>
        <w:rPr>
          <w:bCs/>
          <w:b/>
        </w:rPr>
        <w:t xml:space="preserve">Engineering implication.</w:t>
      </w:r>
      <w:r>
        <w:t xml:space="preserve"> </w:t>
      </w:r>
      <w:r>
        <w:t xml:space="preserve">Measure each tier’s hit ratio on</w:t>
      </w:r>
      <w:r>
        <w:t xml:space="preserve"> </w:t>
      </w:r>
      <w:r>
        <w:rPr>
          <w:iCs/>
          <w:i/>
        </w:rPr>
        <w:t xml:space="preserve">its own</w:t>
      </w:r>
      <w:r>
        <w:t xml:space="preserve"> </w:t>
      </w:r>
      <w:r>
        <w:t xml:space="preserve">input, and remember that raising offload from 90% to 98% cuts origin load fivefold.</w:t>
      </w:r>
    </w:p>
    <w:bookmarkEnd w:id="2383"/>
    <w:bookmarkStart w:id="2388" w:name="origin-shielding"/>
    <w:p>
      <w:pPr>
        <w:pStyle w:val="Heading3"/>
      </w:pPr>
      <w:r>
        <w:t xml:space="preserve">21.5.3 Origin shielding</w:t>
      </w:r>
    </w:p>
    <w:p>
      <w:pPr>
        <w:pStyle w:val="CalloutDefinition"/>
      </w:pPr>
      <w:r>
        <w:rPr>
          <w:bCs/>
          <w:b/>
        </w:rPr>
        <w:t xml:space="preserve">DEFINITION</w:t>
      </w:r>
    </w:p>
    <w:p>
      <w:pPr>
        <w:pStyle w:val="CalloutDefinition"/>
      </w:pPr>
      <w:r>
        <w:rPr>
          <w:bCs/>
          <w:b/>
        </w:rPr>
        <w:t xml:space="preserve">Definition — Origin shielding.</w:t>
      </w:r>
      <w:r>
        <w:t xml:space="preserve"> </w:t>
      </w:r>
      <w:r>
        <w:t xml:space="preserve">Routing every cache miss for an origin through one designated cache tier (the</w:t>
      </w:r>
      <w:r>
        <w:t xml:space="preserve"> </w:t>
      </w:r>
      <w:r>
        <w:rPr>
          <w:bCs/>
          <w:b/>
        </w:rPr>
        <w:t xml:space="preserve">shield</w:t>
      </w:r>
      <w:r>
        <w:t xml:space="preserve">), so that the origin sees at most one request per object per freshness period, regardless of how many edge PoPs missed.</w:t>
      </w:r>
    </w:p>
    <w:bookmarkStart w:id="2387" w:name="why-does-this-exist-80"/>
    <w:p>
      <w:pPr>
        <w:pStyle w:val="Heading4"/>
      </w:pPr>
      <w:r>
        <w:t xml:space="preserve">Why does this exist?</w:t>
      </w:r>
    </w:p>
    <w:p>
      <w:pPr>
        <w:pStyle w:val="FirstParagraph"/>
      </w:pPr>
      <w:r>
        <w:t xml:space="preserve">Without a shield, each PoP is an independent client of your origin. An object that is cold everywhere is fetched once</w:t>
      </w:r>
      <w:r>
        <w:t xml:space="preserve"> </w:t>
      </w:r>
      <w:r>
        <w:rPr>
          <w:iCs/>
          <w:i/>
        </w:rPr>
        <w:t xml:space="preserve">per PoP</w:t>
      </w:r>
      <w:r>
        <w:t xml:space="preserve">, and when a TTL expires, every PoP that holds it revalidates separately. With 300 PoPs, a purge of a popular object turns into up to 300 near-simultaneous origin requests, the CDN-scale version of a cache stampede (§20.11).</w:t>
      </w:r>
    </w:p>
    <w:p>
      <w:pPr>
        <w:pStyle w:val="CalloutFormula"/>
      </w:pPr>
      <w:r>
        <w:rPr>
          <w:bCs/>
          <w:b/>
        </w:rPr>
        <w:t xml:space="preserve">FORMULA</w:t>
      </w:r>
    </w:p>
    <w:p>
      <w:pPr>
        <w:pStyle w:val="CalloutFormula"/>
      </w:pPr>
      <w:r>
        <w:rPr>
          <w:bCs/>
          <w:b/>
        </w:rPr>
        <w:t xml:space="preserve">Origin fetches per object per TTL window, without and with a shield</w:t>
      </w:r>
    </w:p>
    <w:p>
      <w:pPr>
        <w:pStyle w:val="CalloutFormula"/>
      </w:pPr>
      <m:oMathPara>
        <m:oMathParaPr>
          <m:jc m:val="center"/>
        </m:oMathParaPr>
        <m:oMath>
          <m:sSub>
            <m:e>
              <m:r>
                <m:t>F</m:t>
              </m:r>
            </m:e>
            <m:sub>
              <m:r>
                <m:rPr>
                  <m:nor/>
                  <m:sty m:val="p"/>
                </m:rPr>
                <m:t>no shield</m:t>
              </m:r>
            </m:sub>
          </m:sSub>
          <m:r>
            <m:rPr>
              <m:sty m:val="p"/>
            </m:rPr>
            <m:t>≈</m:t>
          </m:r>
          <m:r>
            <m:t>N</m:t>
          </m:r>
          <m:d>
            <m:dPr>
              <m:begChr m:val="("/>
              <m:endChr m:val=")"/>
              <m:sepChr m:val=""/>
              <m:grow/>
            </m:dPr>
            <m:e>
              <m:r>
                <m:t>1</m:t>
              </m:r>
              <m:r>
                <m:rPr>
                  <m:sty m:val="p"/>
                </m:rPr>
                <m:t>−</m:t>
              </m:r>
              <m:sSup>
                <m:e>
                  <m:r>
                    <m:t>e</m:t>
                  </m:r>
                </m:e>
                <m:sup>
                  <m:r>
                    <m:rPr>
                      <m:sty m:val="p"/>
                    </m:rPr>
                    <m:t>−</m:t>
                  </m:r>
                  <m:r>
                    <m:t>λ</m:t>
                  </m:r>
                  <m:r>
                    <m:t>T</m:t>
                  </m:r>
                  <m:r>
                    <m:rPr>
                      <m:sty m:val="p"/>
                    </m:rPr>
                    <m:t>/</m:t>
                  </m:r>
                  <m:r>
                    <m:t>N</m:t>
                  </m:r>
                </m:sup>
              </m:sSup>
            </m:e>
          </m:d>
          <m:r>
            <m:t>  </m:t>
          </m:r>
          <m:sSub>
            <m:e>
              <m:r>
                <m:t>F</m:t>
              </m:r>
            </m:e>
            <m:sub>
              <m:r>
                <m:rPr>
                  <m:nor/>
                  <m:sty m:val="p"/>
                </m:rPr>
                <m:t>shield</m:t>
              </m:r>
            </m:sub>
          </m:sSub>
          <m:r>
            <m:rPr>
              <m:sty m:val="p"/>
            </m:rPr>
            <m:t>≈</m:t>
          </m:r>
          <m:r>
            <m:t>1</m:t>
          </m:r>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N</m:t>
              </m:r>
            </m:oMath>
          </w:p>
        </w:tc>
        <w:tc>
          <w:tcPr/>
          <w:p>
            <w:pPr>
              <w:pStyle w:val="Compact"/>
              <w:jc w:val="left"/>
            </w:pPr>
            <w:r>
              <w:t xml:space="preserve">Number of edge PoPs, with requests spread evenly among them</w:t>
            </w:r>
          </w:p>
        </w:tc>
        <w:tc>
          <w:tcPr/>
          <w:p>
            <w:pPr>
              <w:pStyle w:val="Compact"/>
              <w:jc w:val="left"/>
            </w:pPr>
            <w:r>
              <w:t xml:space="preserve">count</w:t>
            </w:r>
          </w:p>
        </w:tc>
      </w:tr>
      <w:tr>
        <w:tc>
          <w:tcPr/>
          <w:p>
            <w:pPr>
              <w:pStyle w:val="Compact"/>
              <w:jc w:val="left"/>
            </w:pPr>
            <m:oMath>
              <m:r>
                <m:t>λ</m:t>
              </m:r>
            </m:oMath>
          </w:p>
        </w:tc>
        <w:tc>
          <w:tcPr/>
          <w:p>
            <w:pPr>
              <w:pStyle w:val="Compact"/>
              <w:jc w:val="left"/>
            </w:pPr>
            <w:r>
              <w:t xml:space="preserve">Global request rate for the object</w:t>
            </w:r>
          </w:p>
        </w:tc>
        <w:tc>
          <w:tcPr/>
          <w:p>
            <w:pPr>
              <w:pStyle w:val="Compact"/>
              <w:jc w:val="left"/>
            </w:pPr>
            <w:r>
              <w:t xml:space="preserve">requests/s</w:t>
            </w:r>
          </w:p>
        </w:tc>
      </w:tr>
      <w:tr>
        <w:tc>
          <w:tcPr/>
          <w:p>
            <w:pPr>
              <w:pStyle w:val="Compact"/>
              <w:jc w:val="left"/>
            </w:pPr>
            <m:oMath>
              <m:r>
                <m:t>T</m:t>
              </m:r>
            </m:oMath>
          </w:p>
        </w:tc>
        <w:tc>
          <w:tcPr/>
          <w:p>
            <w:pPr>
              <w:pStyle w:val="Compact"/>
              <w:jc w:val="left"/>
            </w:pPr>
            <w:r>
              <w:t xml:space="preserve">Freshness lifetime (TTL) of the object</w:t>
            </w:r>
          </w:p>
        </w:tc>
        <w:tc>
          <w:tcPr/>
          <w:p>
            <w:pPr>
              <w:pStyle w:val="Compact"/>
              <w:jc w:val="left"/>
            </w:pPr>
            <w:r>
              <w:t xml:space="preserve">s</w:t>
            </w:r>
          </w:p>
        </w:tc>
      </w:tr>
      <w:tr>
        <w:tc>
          <w:tcPr/>
          <w:p>
            <w:pPr>
              <w:pStyle w:val="Compact"/>
              <w:jc w:val="left"/>
            </w:pPr>
            <m:oMath>
              <m:r>
                <m:t>1</m:t>
              </m:r>
              <m:r>
                <m:rPr>
                  <m:sty m:val="p"/>
                </m:rPr>
                <m:t>−</m:t>
              </m:r>
              <m:sSup>
                <m:e>
                  <m:r>
                    <m:t>e</m:t>
                  </m:r>
                </m:e>
                <m:sup>
                  <m:r>
                    <m:rPr>
                      <m:sty m:val="p"/>
                    </m:rPr>
                    <m:t>−</m:t>
                  </m:r>
                  <m:r>
                    <m:t>λ</m:t>
                  </m:r>
                  <m:r>
                    <m:t>T</m:t>
                  </m:r>
                  <m:r>
                    <m:rPr>
                      <m:sty m:val="p"/>
                    </m:rPr>
                    <m:t>/</m:t>
                  </m:r>
                  <m:r>
                    <m:t>N</m:t>
                  </m:r>
                </m:sup>
              </m:sSup>
            </m:oMath>
          </w:p>
        </w:tc>
        <w:tc>
          <w:tcPr/>
          <w:p>
            <w:pPr>
              <w:pStyle w:val="Compact"/>
              <w:jc w:val="left"/>
            </w:pPr>
            <w:r>
              <w:t xml:space="preserve">Probability that a given PoP sees at least one request in</w:t>
            </w:r>
            <w:r>
              <w:t xml:space="preserve"> </w:t>
            </w:r>
            <m:oMath>
              <m:r>
                <m:t>T</m:t>
              </m:r>
            </m:oMath>
            <w:r>
              <w:t xml:space="preserve"> </w:t>
            </w:r>
            <w:r>
              <w:t xml:space="preserve">(Poisson arrivals)</w:t>
            </w:r>
          </w:p>
        </w:tc>
        <w:tc>
          <w:tcPr/>
          <w:p>
            <w:pPr>
              <w:pStyle w:val="Compact"/>
              <w:jc w:val="left"/>
            </w:pPr>
            <w:r>
              <w:t xml:space="preserve">dimensionless</w:t>
            </w:r>
          </w:p>
        </w:tc>
      </w:tr>
      <w:tr>
        <w:tc>
          <w:tcPr/>
          <w:p>
            <w:pPr>
              <w:pStyle w:val="Compact"/>
              <w:jc w:val="left"/>
            </w:pPr>
            <m:oMath>
              <m:r>
                <m:t>F</m:t>
              </m:r>
            </m:oMath>
          </w:p>
        </w:tc>
        <w:tc>
          <w:tcPr/>
          <w:p>
            <w:pPr>
              <w:pStyle w:val="Compact"/>
              <w:jc w:val="left"/>
            </w:pPr>
            <w:r>
              <w:t xml:space="preserve">Expected origin fetches for the object per window</w:t>
            </w:r>
            <w:r>
              <w:t xml:space="preserve"> </w:t>
            </w:r>
            <m:oMath>
              <m:r>
                <m:t>T</m:t>
              </m:r>
            </m:oMath>
          </w:p>
        </w:tc>
        <w:tc>
          <w:tcPr/>
          <w:p>
            <w:pPr>
              <w:pStyle w:val="Compact"/>
              <w:jc w:val="left"/>
            </w:pPr>
            <w:r>
              <w:t xml:space="preserve">fetches</w:t>
            </w:r>
          </w:p>
        </w:tc>
      </w:tr>
    </w:tbl>
    <w:p>
      <w:pPr>
        <w:pStyle w:val="CalloutExample"/>
      </w:pPr>
      <w:r>
        <w:rPr>
          <w:bCs/>
          <w:b/>
        </w:rPr>
        <w:t xml:space="preserve">WORKED EXAMPLE</w:t>
      </w:r>
    </w:p>
    <w:p>
      <w:pPr>
        <w:pStyle w:val="CalloutExample"/>
      </w:pPr>
      <w:r>
        <w:rPr>
          <w:bCs/>
          <w:b/>
        </w:rPr>
        <w:t xml:space="preserve">Worked example — A long-tail photo and a popular photo across 100 PoPs, TTL 1 hour.</w:t>
      </w:r>
    </w:p>
    <w:p>
      <w:pPr>
        <w:numPr>
          <w:ilvl w:val="0"/>
          <w:numId w:val="1691"/>
        </w:numPr>
        <w:pStyle w:val="Compact"/>
      </w:pPr>
      <w:r>
        <w:t xml:space="preserve">Long-tail photo,</w:t>
      </w:r>
      <w:r>
        <w:t xml:space="preserve"> </w:t>
      </w:r>
      <m:oMath>
        <m:r>
          <m:t>λ</m:t>
        </m:r>
        <m:r>
          <m:rPr>
            <m:sty m:val="p"/>
          </m:rPr>
          <m:t>=</m:t>
        </m:r>
        <m:r>
          <m:t>0.01</m:t>
        </m:r>
      </m:oMath>
      <w:r>
        <w:t xml:space="preserve"> </w:t>
      </w:r>
      <w:r>
        <w:t xml:space="preserve">req/s:</w:t>
      </w:r>
      <w:r>
        <w:t xml:space="preserve"> </w:t>
      </w:r>
      <m:oMath>
        <m:r>
          <m:t>λ</m:t>
        </m:r>
        <m:r>
          <m:t>T</m:t>
        </m:r>
        <m:r>
          <m:rPr>
            <m:sty m:val="p"/>
          </m:rPr>
          <m:t>=</m:t>
        </m:r>
        <m:r>
          <m:t>36</m:t>
        </m:r>
      </m:oMath>
      <w:r>
        <w:t xml:space="preserve"> </w:t>
      </w:r>
      <w:r>
        <w:t xml:space="preserve">requests per hour;</w:t>
      </w:r>
      <w:r>
        <w:t xml:space="preserve"> </w:t>
      </w:r>
      <m:oMath>
        <m:r>
          <m:t>λ</m:t>
        </m:r>
        <m:r>
          <m:t>T</m:t>
        </m:r>
        <m:r>
          <m:rPr>
            <m:sty m:val="p"/>
          </m:rPr>
          <m:t>/</m:t>
        </m:r>
        <m:r>
          <m:t>N</m:t>
        </m:r>
        <m:r>
          <m:rPr>
            <m:sty m:val="p"/>
          </m:rPr>
          <m:t>=</m:t>
        </m:r>
        <m:r>
          <m:t>0.36</m:t>
        </m:r>
      </m:oMath>
      <w:r>
        <w:t xml:space="preserve">;</w:t>
      </w:r>
      <w:r>
        <w:t xml:space="preserve"> </w:t>
      </w:r>
      <m:oMath>
        <m:sSup>
          <m:e>
            <m:r>
              <m:t>e</m:t>
            </m:r>
          </m:e>
          <m:sup>
            <m:r>
              <m:rPr>
                <m:sty m:val="p"/>
              </m:rPr>
              <m:t>−</m:t>
            </m:r>
            <m:r>
              <m:t>0.36</m:t>
            </m:r>
          </m:sup>
        </m:sSup>
        <m:r>
          <m:rPr>
            <m:sty m:val="p"/>
          </m:rPr>
          <m:t>=</m:t>
        </m:r>
        <m:r>
          <m:t>0.698</m:t>
        </m:r>
      </m:oMath>
      <w:r>
        <w:t xml:space="preserve">.</w:t>
      </w:r>
    </w:p>
    <w:p>
      <w:pPr>
        <w:numPr>
          <w:ilvl w:val="0"/>
          <w:numId w:val="1691"/>
        </w:numPr>
        <w:pStyle w:val="Compact"/>
      </w:pPr>
      <m:oMath>
        <m:sSub>
          <m:e>
            <m:r>
              <m:t>F</m:t>
            </m:r>
          </m:e>
          <m:sub>
            <m:r>
              <m:rPr>
                <m:nor/>
                <m:sty m:val="p"/>
              </m:rPr>
              <m:t>no shield</m:t>
            </m:r>
          </m:sub>
        </m:sSub>
        <m:r>
          <m:rPr>
            <m:sty m:val="p"/>
          </m:rPr>
          <m:t>=</m:t>
        </m:r>
        <m:r>
          <m:t>100</m:t>
        </m:r>
        <m:r>
          <m:rPr>
            <m:sty m:val="p"/>
          </m:rPr>
          <m:t>×</m:t>
        </m:r>
        <m:d>
          <m:dPr>
            <m:begChr m:val="("/>
            <m:endChr m:val=")"/>
            <m:sepChr m:val=""/>
            <m:grow/>
          </m:dPr>
          <m:e>
            <m:r>
              <m:t>1</m:t>
            </m:r>
            <m:r>
              <m:rPr>
                <m:sty m:val="p"/>
              </m:rPr>
              <m:t>−</m:t>
            </m:r>
            <m:r>
              <m:t>0.698</m:t>
            </m:r>
          </m:e>
        </m:d>
        <m:r>
          <m:rPr>
            <m:sty m:val="p"/>
          </m:rPr>
          <m:t>=</m:t>
        </m:r>
        <m:r>
          <m:t>30.2</m:t>
        </m:r>
      </m:oMath>
      <w:r>
        <w:t xml:space="preserve"> </w:t>
      </w:r>
      <w:r>
        <w:t xml:space="preserve">origin fetches per hour, out of 36 requests: the edges’ hit ratio for this object is</w:t>
      </w:r>
      <w:r>
        <w:t xml:space="preserve"> </w:t>
      </w:r>
      <m:oMath>
        <m:r>
          <m:t>1</m:t>
        </m:r>
        <m:r>
          <m:rPr>
            <m:sty m:val="p"/>
          </m:rPr>
          <m:t>−</m:t>
        </m:r>
        <m:r>
          <m:t>30.2</m:t>
        </m:r>
        <m:r>
          <m:rPr>
            <m:sty m:val="p"/>
          </m:rPr>
          <m:t>/</m:t>
        </m:r>
        <m:r>
          <m:t>36</m:t>
        </m:r>
        <m:r>
          <m:rPr>
            <m:sty m:val="p"/>
          </m:rPr>
          <m:t>=</m:t>
        </m:r>
        <m:r>
          <m:t>16</m:t>
        </m:r>
        <m:r>
          <m:rPr>
            <m:sty m:val="p"/>
          </m:rPr>
          <m:t>%</m:t>
        </m:r>
      </m:oMath>
      <w:r>
        <w:t xml:space="preserve">.</w:t>
      </w:r>
    </w:p>
    <w:p>
      <w:pPr>
        <w:numPr>
          <w:ilvl w:val="0"/>
          <w:numId w:val="1691"/>
        </w:numPr>
        <w:pStyle w:val="Compact"/>
      </w:pPr>
      <w:r>
        <w:t xml:space="preserve">Popular photo,</w:t>
      </w:r>
      <w:r>
        <w:t xml:space="preserve"> </w:t>
      </w:r>
      <m:oMath>
        <m:r>
          <m:t>λ</m:t>
        </m:r>
        <m:r>
          <m:rPr>
            <m:sty m:val="p"/>
          </m:rPr>
          <m:t>=</m:t>
        </m:r>
        <m:r>
          <m:t>1</m:t>
        </m:r>
      </m:oMath>
      <w:r>
        <w:t xml:space="preserve"> </w:t>
      </w:r>
      <w:r>
        <w:t xml:space="preserve">req/s:</w:t>
      </w:r>
      <w:r>
        <w:t xml:space="preserve"> </w:t>
      </w:r>
      <m:oMath>
        <m:r>
          <m:t>λ</m:t>
        </m:r>
        <m:r>
          <m:t>T</m:t>
        </m:r>
        <m:r>
          <m:rPr>
            <m:sty m:val="p"/>
          </m:rPr>
          <m:t>/</m:t>
        </m:r>
        <m:r>
          <m:t>N</m:t>
        </m:r>
        <m:r>
          <m:rPr>
            <m:sty m:val="p"/>
          </m:rPr>
          <m:t>=</m:t>
        </m:r>
        <m:r>
          <m:t>36</m:t>
        </m:r>
      </m:oMath>
      <w:r>
        <w:t xml:space="preserve">, so</w:t>
      </w:r>
      <w:r>
        <w:t xml:space="preserve"> </w:t>
      </w:r>
      <m:oMath>
        <m:sSup>
          <m:e>
            <m:r>
              <m:t>e</m:t>
            </m:r>
          </m:e>
          <m:sup>
            <m:r>
              <m:rPr>
                <m:sty m:val="p"/>
              </m:rPr>
              <m:t>−</m:t>
            </m:r>
            <m:r>
              <m:t>36</m:t>
            </m:r>
          </m:sup>
        </m:sSup>
        <m:r>
          <m:rPr>
            <m:sty m:val="p"/>
          </m:rPr>
          <m:t>≈</m:t>
        </m:r>
        <m:r>
          <m:t>0</m:t>
        </m:r>
      </m:oMath>
      <w:r>
        <w:t xml:space="preserve"> </w:t>
      </w:r>
      <w:r>
        <w:t xml:space="preserve">and</w:t>
      </w:r>
      <w:r>
        <w:t xml:space="preserve"> </w:t>
      </w:r>
      <m:oMath>
        <m:sSub>
          <m:e>
            <m:r>
              <m:t>F</m:t>
            </m:r>
          </m:e>
          <m:sub>
            <m:r>
              <m:rPr>
                <m:nor/>
                <m:sty m:val="p"/>
              </m:rPr>
              <m:t>no shield</m:t>
            </m:r>
          </m:sub>
        </m:sSub>
        <m:r>
          <m:rPr>
            <m:sty m:val="p"/>
          </m:rPr>
          <m:t>≈</m:t>
        </m:r>
        <m:r>
          <m:t>100</m:t>
        </m:r>
      </m:oMath>
      <w:r>
        <w:t xml:space="preserve"> </w:t>
      </w:r>
      <w:r>
        <w:t xml:space="preserve">fetches per hour out of 3,600 requests (97.2% edge hit ratio).</w:t>
      </w:r>
    </w:p>
    <w:p>
      <w:pPr>
        <w:numPr>
          <w:ilvl w:val="0"/>
          <w:numId w:val="1691"/>
        </w:numPr>
        <w:pStyle w:val="Compact"/>
      </w:pPr>
      <w:r>
        <w:t xml:space="preserve">With a shield that retains both objects,</w:t>
      </w:r>
      <w:r>
        <w:t xml:space="preserve"> </w:t>
      </w:r>
      <m:oMath>
        <m:sSub>
          <m:e>
            <m:r>
              <m:t>F</m:t>
            </m:r>
          </m:e>
          <m:sub>
            <m:r>
              <m:rPr>
                <m:nor/>
                <m:sty m:val="p"/>
              </m:rPr>
              <m:t>shield</m:t>
            </m:r>
          </m:sub>
        </m:sSub>
        <m:r>
          <m:rPr>
            <m:sty m:val="p"/>
          </m:rPr>
          <m:t>=</m:t>
        </m:r>
        <m:r>
          <m:t>1</m:t>
        </m:r>
      </m:oMath>
      <w:r>
        <w:t xml:space="preserve"> </w:t>
      </w:r>
      <w:r>
        <w:t xml:space="preserve">per hour in each case.</w:t>
      </w:r>
    </w:p>
    <w:p>
      <w:pPr>
        <w:pStyle w:val="CalloutExample"/>
      </w:pPr>
      <w:r>
        <w:rPr>
          <w:bCs/>
          <w:b/>
        </w:rPr>
        <w:t xml:space="preserve">Interpretation.</w:t>
      </w:r>
      <w:r>
        <w:t xml:space="preserve"> </w:t>
      </w:r>
      <w:r>
        <w:t xml:space="preserve">The shield cuts origin fetches 30-fold for the long-tail photo and 100-fold for the popular one.</w:t>
      </w:r>
      <w:r>
        <w:t xml:space="preserve"> </w:t>
      </w:r>
      <w:r>
        <w:rPr>
          <w:bCs/>
          <w:b/>
        </w:rPr>
        <w:t xml:space="preserve">Engineering implication.</w:t>
      </w:r>
      <w:r>
        <w:t xml:space="preserve"> </w:t>
      </w:r>
      <w:r>
        <w:t xml:space="preserve">Shielding matters most when there are many PoPs, a long tail of content, short TTLs, or frequent purges; it matters little for a tiny catalog of very hot objects.</w:t>
      </w:r>
    </w:p>
    <w:p>
      <w:pPr>
        <w:pStyle w:val="BodyText"/>
      </w:pPr>
      <w:r>
        <w:rPr>
          <w:bCs/>
          <w:b/>
        </w:rPr>
        <w:t xml:space="preserve">Figure 21.4 — Origin traffic without and with a shield.</w:t>
      </w:r>
    </w:p>
    <w:p>
      <w:pPr>
        <w:pStyle w:val="BodyText"/>
      </w:pPr>
      <w:r>
        <w:drawing>
          <wp:inline>
            <wp:extent cx="5334000" cy="7164531"/>
            <wp:effectExtent b="0" l="0" r="0" t="0"/>
            <wp:docPr descr="" title="" id="2385" name="Picture"/>
            <a:graphic>
              <a:graphicData uri="http://schemas.openxmlformats.org/drawingml/2006/picture">
                <pic:pic>
                  <pic:nvPicPr>
                    <pic:cNvPr descr="/home/user/System-Design/build/.cache/diagrams/dfa3a45e863f.png" id="2386" name="Picture"/>
                    <pic:cNvPicPr>
                      <a:picLocks noChangeArrowheads="1" noChangeAspect="1"/>
                    </pic:cNvPicPr>
                  </pic:nvPicPr>
                  <pic:blipFill>
                    <a:blip r:embed="rId2384"/>
                    <a:stretch>
                      <a:fillRect/>
                    </a:stretch>
                  </pic:blipFill>
                  <pic:spPr bwMode="auto">
                    <a:xfrm>
                      <a:off x="0" y="0"/>
                      <a:ext cx="5334000" cy="7164531"/>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On the left, three PoPs (rectangles) each send their miss for the same object straight to the origin (cylinder), so the origin serves it three times, or 300 times with 300 PoPs. On the right, every miss goes to a shield located close to the origin; the shield collapses concurrent requests and fetches once. All arrows are synchronous HTTPS. Storage boundaries: every PoP and the shield are caches; the origin is authoritative. Failure points: the shield is a concentration point, so it is itself a cluster of servers, and edges must be able to bypass it (or use a backup shield) if it fails. Scaling: shield capacity scales by consistent hashing objects across shield servers; a second shield region adds redundancy.</w:t>
      </w:r>
    </w:p>
    <w:bookmarkEnd w:id="2387"/>
    <w:bookmarkEnd w:id="2388"/>
    <w:bookmarkStart w:id="2389" w:name="origin-egress-and-cost"/>
    <w:p>
      <w:pPr>
        <w:pStyle w:val="Heading3"/>
      </w:pPr>
      <w:r>
        <w:t xml:space="preserve">21.5.4 Origin egress and cost</w:t>
      </w:r>
    </w:p>
    <w:p>
      <w:pPr>
        <w:pStyle w:val="CalloutFormula"/>
      </w:pPr>
      <w:r>
        <w:rPr>
          <w:bCs/>
          <w:b/>
        </w:rPr>
        <w:t xml:space="preserve">FORMULA</w:t>
      </w:r>
    </w:p>
    <w:p>
      <w:pPr>
        <w:pStyle w:val="CalloutFormula"/>
      </w:pPr>
      <w:r>
        <w:rPr>
          <w:bCs/>
          <w:b/>
        </w:rPr>
        <w:t xml:space="preserve">Monthly delivery cost</w:t>
      </w:r>
    </w:p>
    <w:p>
      <w:pPr>
        <w:pStyle w:val="CalloutFormula"/>
      </w:pPr>
      <m:oMathPara>
        <m:oMathParaPr>
          <m:jc m:val="center"/>
        </m:oMathParaPr>
        <m:oMath>
          <m:r>
            <m:t>C</m:t>
          </m:r>
          <m:r>
            <m:rPr>
              <m:sty m:val="p"/>
            </m:rPr>
            <m:t>=</m:t>
          </m:r>
          <m:r>
            <m:t>V</m:t>
          </m:r>
          <m:r>
            <m:rPr>
              <m:sty m:val="p"/>
            </m:rPr>
            <m:t>×</m:t>
          </m:r>
          <m:sSub>
            <m:e>
              <m:r>
                <m:t>p</m:t>
              </m:r>
            </m:e>
            <m:sub>
              <m:r>
                <m:rPr>
                  <m:nor/>
                  <m:sty m:val="p"/>
                </m:rPr>
                <m:t>cdn</m:t>
              </m:r>
            </m:sub>
          </m:sSub>
          <m:r>
            <m:rPr>
              <m:sty m:val="p"/>
            </m:rPr>
            <m:t>+</m:t>
          </m:r>
          <m:r>
            <m:t>V</m:t>
          </m:r>
          <m:r>
            <m:rPr>
              <m:sty m:val="p"/>
            </m:rPr>
            <m:t>×</m:t>
          </m:r>
          <m:d>
            <m:dPr>
              <m:begChr m:val="("/>
              <m:endChr m:val=")"/>
              <m:sepChr m:val=""/>
              <m:grow/>
            </m:dPr>
            <m:e>
              <m:r>
                <m:t>1</m:t>
              </m:r>
              <m:r>
                <m:rPr>
                  <m:sty m:val="p"/>
                </m:rPr>
                <m:t>−</m:t>
              </m:r>
              <m:sSub>
                <m:e>
                  <m:r>
                    <m:t>O</m:t>
                  </m:r>
                </m:e>
                <m:sub>
                  <m:r>
                    <m:t>B</m:t>
                  </m:r>
                </m:sub>
              </m:sSub>
            </m:e>
          </m:d>
          <m:r>
            <m:rPr>
              <m:sty m:val="p"/>
            </m:rPr>
            <m:t>×</m:t>
          </m:r>
          <m:sSub>
            <m:e>
              <m:r>
                <m:t>p</m:t>
              </m:r>
            </m:e>
            <m:sub>
              <m:r>
                <m:rPr>
                  <m:nor/>
                  <m:sty m:val="p"/>
                </m:rPr>
                <m:t>origin</m:t>
              </m:r>
            </m:sub>
          </m:sSub>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V</m:t>
              </m:r>
            </m:oMath>
          </w:p>
        </w:tc>
        <w:tc>
          <w:tcPr/>
          <w:p>
            <w:pPr>
              <w:pStyle w:val="Compact"/>
              <w:jc w:val="left"/>
            </w:pPr>
            <w:r>
              <w:t xml:space="preserve">Bytes delivered to users per month</w:t>
            </w:r>
          </w:p>
        </w:tc>
        <w:tc>
          <w:tcPr/>
          <w:p>
            <w:pPr>
              <w:pStyle w:val="Compact"/>
              <w:jc w:val="left"/>
            </w:pPr>
            <w:r>
              <w:t xml:space="preserve">GB</w:t>
            </w:r>
          </w:p>
        </w:tc>
      </w:tr>
      <w:tr>
        <w:tc>
          <w:tcPr/>
          <w:p>
            <w:pPr>
              <w:pStyle w:val="Compact"/>
              <w:jc w:val="left"/>
            </w:pPr>
            <m:oMath>
              <m:sSub>
                <m:e>
                  <m:r>
                    <m:t>p</m:t>
                  </m:r>
                </m:e>
                <m:sub>
                  <m:r>
                    <m:rPr>
                      <m:nor/>
                      <m:sty m:val="p"/>
                    </m:rPr>
                    <m:t>cdn</m:t>
                  </m:r>
                </m:sub>
              </m:sSub>
            </m:oMath>
          </w:p>
        </w:tc>
        <w:tc>
          <w:tcPr/>
          <w:p>
            <w:pPr>
              <w:pStyle w:val="Compact"/>
              <w:jc w:val="left"/>
            </w:pPr>
            <w:r>
              <w:t xml:space="preserve">CDN delivery price</w:t>
            </w:r>
          </w:p>
        </w:tc>
        <w:tc>
          <w:tcPr/>
          <w:p>
            <w:pPr>
              <w:pStyle w:val="Compact"/>
              <w:jc w:val="left"/>
            </w:pPr>
            <w:r>
              <w:t xml:space="preserve">$/GB</w:t>
            </w:r>
          </w:p>
        </w:tc>
      </w:tr>
      <w:tr>
        <w:tc>
          <w:tcPr/>
          <w:p>
            <w:pPr>
              <w:pStyle w:val="Compact"/>
              <w:jc w:val="left"/>
            </w:pPr>
            <m:oMath>
              <m:sSub>
                <m:e>
                  <m:r>
                    <m:t>p</m:t>
                  </m:r>
                </m:e>
                <m:sub>
                  <m:r>
                    <m:rPr>
                      <m:nor/>
                      <m:sty m:val="p"/>
                    </m:rPr>
                    <m:t>origin</m:t>
                  </m:r>
                </m:sub>
              </m:sSub>
            </m:oMath>
          </w:p>
        </w:tc>
        <w:tc>
          <w:tcPr/>
          <w:p>
            <w:pPr>
              <w:pStyle w:val="Compact"/>
              <w:jc w:val="left"/>
            </w:pPr>
            <w:r>
              <w:t xml:space="preserve">Origin egress price (cloud Internet egress)</w:t>
            </w:r>
          </w:p>
        </w:tc>
        <w:tc>
          <w:tcPr/>
          <w:p>
            <w:pPr>
              <w:pStyle w:val="Compact"/>
              <w:jc w:val="left"/>
            </w:pPr>
            <w:r>
              <w:t xml:space="preserve">$/GB</w:t>
            </w:r>
          </w:p>
        </w:tc>
      </w:tr>
      <w:tr>
        <w:tc>
          <w:tcPr/>
          <w:p>
            <w:pPr>
              <w:pStyle w:val="Compact"/>
              <w:jc w:val="left"/>
            </w:pPr>
            <m:oMath>
              <m:sSub>
                <m:e>
                  <m:r>
                    <m:t>O</m:t>
                  </m:r>
                </m:e>
                <m:sub>
                  <m:r>
                    <m:t>B</m:t>
                  </m:r>
                </m:sub>
              </m:sSub>
            </m:oMath>
          </w:p>
        </w:tc>
        <w:tc>
          <w:tcPr/>
          <w:p>
            <w:pPr>
              <w:pStyle w:val="Compact"/>
              <w:jc w:val="left"/>
            </w:pPr>
            <w:r>
              <w:t xml:space="preserve">Byte offload</w:t>
            </w:r>
          </w:p>
        </w:tc>
        <w:tc>
          <w:tcPr/>
          <w:p>
            <w:pPr>
              <w:pStyle w:val="Compact"/>
              <w:jc w:val="left"/>
            </w:pPr>
            <w:r>
              <w:t xml:space="preserve">dimensionless</w:t>
            </w:r>
          </w:p>
        </w:tc>
      </w:tr>
      <w:tr>
        <w:tc>
          <w:tcPr/>
          <w:p>
            <w:pPr>
              <w:pStyle w:val="Compact"/>
              <w:jc w:val="left"/>
            </w:pPr>
            <m:oMath>
              <m:r>
                <m:t>C</m:t>
              </m:r>
            </m:oMath>
          </w:p>
        </w:tc>
        <w:tc>
          <w:tcPr/>
          <w:p>
            <w:pPr>
              <w:pStyle w:val="Compact"/>
              <w:jc w:val="left"/>
            </w:pPr>
            <w:r>
              <w:t xml:space="preserve">Monthly delivery cost (excluding request fees and commitments)</w:t>
            </w:r>
          </w:p>
        </w:tc>
        <w:tc>
          <w:tcPr/>
          <w:p>
            <w:pPr>
              <w:pStyle w:val="Compact"/>
              <w:jc w:val="left"/>
            </w:pPr>
            <w:r>
              <w:t xml:space="preserve">$</w:t>
            </w:r>
          </w:p>
        </w:tc>
      </w:tr>
    </w:tbl>
    <w:p>
      <w:pPr>
        <w:pStyle w:val="CalloutExample"/>
      </w:pPr>
      <w:r>
        <w:rPr>
          <w:bCs/>
          <w:b/>
        </w:rPr>
        <w:t xml:space="preserve">WORKED EXAMPLE</w:t>
      </w:r>
    </w:p>
    <w:p>
      <w:pPr>
        <w:pStyle w:val="CalloutExample"/>
      </w:pPr>
      <w:r>
        <w:rPr>
          <w:bCs/>
          <w:b/>
        </w:rPr>
        <w:t xml:space="preserve">Worked example — PhotoShare’s image bill, with and without a shield.</w:t>
      </w:r>
      <w:r>
        <w:t xml:space="preserve"> </w:t>
      </w:r>
      <w:r>
        <w:t xml:space="preserve">Prices are</w:t>
      </w:r>
      <w:r>
        <w:t xml:space="preserve"> </w:t>
      </w:r>
      <w:r>
        <w:rPr>
          <w:bCs/>
          <w:b/>
        </w:rPr>
        <w:t xml:space="preserve">illustrative, as of 2026</w:t>
      </w:r>
      <w:r>
        <w:t xml:space="preserve">: cloud Internet egress list prices at petabyte-scale tiers are on the order of $0.05/GB, and large customers negotiate CDN delivery far below list prices; assume</w:t>
      </w:r>
      <w:r>
        <w:t xml:space="preserve"> </w:t>
      </w:r>
      <m:oMath>
        <m:sSub>
          <m:e>
            <m:r>
              <m:t>p</m:t>
            </m:r>
          </m:e>
          <m:sub>
            <m:r>
              <m:rPr>
                <m:nor/>
                <m:sty m:val="p"/>
              </m:rPr>
              <m:t>cdn</m:t>
            </m:r>
          </m:sub>
        </m:sSub>
        <m:r>
          <m:rPr>
            <m:sty m:val="p"/>
          </m:rPr>
          <m:t>=</m:t>
        </m:r>
        <m:r>
          <m:rPr>
            <m:sty m:val="p"/>
          </m:rPr>
          <m:t>$</m:t>
        </m:r>
        <m:r>
          <m:t>0.01</m:t>
        </m:r>
      </m:oMath>
      <w:r>
        <w:t xml:space="preserve">/GB and</w:t>
      </w:r>
      <w:r>
        <w:t xml:space="preserve"> </w:t>
      </w:r>
      <m:oMath>
        <m:sSub>
          <m:e>
            <m:r>
              <m:t>p</m:t>
            </m:r>
          </m:e>
          <m:sub>
            <m:r>
              <m:rPr>
                <m:nor/>
                <m:sty m:val="p"/>
              </m:rPr>
              <m:t>origin</m:t>
            </m:r>
          </m:sub>
        </m:sSub>
        <m:r>
          <m:rPr>
            <m:sty m:val="p"/>
          </m:rPr>
          <m:t>=</m:t>
        </m:r>
        <m:r>
          <m:rPr>
            <m:sty m:val="p"/>
          </m:rPr>
          <m:t>$</m:t>
        </m:r>
        <m:r>
          <m:t>0.05</m:t>
        </m:r>
      </m:oMath>
      <w:r>
        <w:t xml:space="preserve">/GB.</w:t>
      </w:r>
    </w:p>
    <w:p>
      <w:pPr>
        <w:numPr>
          <w:ilvl w:val="0"/>
          <w:numId w:val="1692"/>
        </w:numPr>
        <w:pStyle w:val="Compact"/>
      </w:pPr>
      <w:r>
        <w:t xml:space="preserve">Volume: 9.3 Gb/s average (§1.9)</w:t>
      </w:r>
      <w:r>
        <w:t xml:space="preserve"> </w:t>
      </w:r>
      <m:oMath>
        <m:r>
          <m:rPr>
            <m:sty m:val="p"/>
          </m:rPr>
          <m:t>=</m:t>
        </m:r>
        <m:r>
          <m:t>1.16</m:t>
        </m:r>
      </m:oMath>
      <w:r>
        <w:t xml:space="preserve"> </w:t>
      </w:r>
      <w:r>
        <w:t xml:space="preserve">GB/s;</w:t>
      </w:r>
      <w:r>
        <w:t xml:space="preserve"> </w:t>
      </w:r>
      <m:oMath>
        <m:r>
          <m:rPr>
            <m:sty m:val="p"/>
          </m:rPr>
          <m:t>×</m:t>
        </m:r>
        <m:r>
          <m:t> </m:t>
        </m:r>
        <m:r>
          <m:t>2</m:t>
        </m:r>
        <m:r>
          <m:rPr>
            <m:sty m:val="p"/>
          </m:rPr>
          <m:t>,</m:t>
        </m:r>
        <m:r>
          <m:t>592</m:t>
        </m:r>
        <m:r>
          <m:rPr>
            <m:sty m:val="p"/>
          </m:rPr>
          <m:t>,</m:t>
        </m:r>
        <m:r>
          <m:t>000</m:t>
        </m:r>
      </m:oMath>
      <w:r>
        <w:t xml:space="preserve"> </w:t>
      </w:r>
      <w:r>
        <w:t xml:space="preserve">s per 30-day month</w:t>
      </w:r>
      <w:r>
        <w:t xml:space="preserve"> </w:t>
      </w:r>
      <m:oMath>
        <m:r>
          <m:rPr>
            <m:sty m:val="p"/>
          </m:rPr>
          <m:t>=</m:t>
        </m:r>
        <m:r>
          <m:t>3.01</m:t>
        </m:r>
        <m:r>
          <m:rPr>
            <m:sty m:val="p"/>
          </m:rPr>
          <m:t>×</m:t>
        </m:r>
        <m:sSup>
          <m:e>
            <m:r>
              <m:t>10</m:t>
            </m:r>
          </m:e>
          <m:sup>
            <m:r>
              <m:t>6</m:t>
            </m:r>
          </m:sup>
        </m:sSup>
      </m:oMath>
      <w:r>
        <w:t xml:space="preserve"> </w:t>
      </w:r>
      <w:r>
        <w:t xml:space="preserve">GB, about 3 PB.</w:t>
      </w:r>
    </w:p>
    <w:p>
      <w:pPr>
        <w:numPr>
          <w:ilvl w:val="0"/>
          <w:numId w:val="1692"/>
        </w:numPr>
        <w:pStyle w:val="Compact"/>
      </w:pPr>
      <w:r>
        <w:t xml:space="preserve">CDN delivery:</w:t>
      </w:r>
      <w:r>
        <w:t xml:space="preserve"> </w:t>
      </w:r>
      <m:oMath>
        <m:r>
          <m:t>3.0</m:t>
        </m:r>
        <m:r>
          <m:rPr>
            <m:sty m:val="p"/>
          </m:rPr>
          <m:t>×</m:t>
        </m:r>
        <m:sSup>
          <m:e>
            <m:r>
              <m:t>10</m:t>
            </m:r>
          </m:e>
          <m:sup>
            <m:r>
              <m:t>6</m:t>
            </m:r>
          </m:sup>
        </m:sSup>
        <m:r>
          <m:rPr>
            <m:sty m:val="p"/>
          </m:rPr>
          <m:t>×</m:t>
        </m:r>
        <m:r>
          <m:t>0.01</m:t>
        </m:r>
        <m:r>
          <m:rPr>
            <m:sty m:val="p"/>
          </m:rPr>
          <m:t>=</m:t>
        </m:r>
        <m:r>
          <m:rPr>
            <m:sty m:val="p"/>
          </m:rPr>
          <m:t>$</m:t>
        </m:r>
        <m:r>
          <m:t>30</m:t>
        </m:r>
        <m:r>
          <m:rPr>
            <m:sty m:val="p"/>
          </m:rPr>
          <m:t>,</m:t>
        </m:r>
        <m:r>
          <m:t>000</m:t>
        </m:r>
      </m:oMath>
      <w:r>
        <w:t xml:space="preserve">.</w:t>
      </w:r>
    </w:p>
    <w:p>
      <w:pPr>
        <w:numPr>
          <w:ilvl w:val="0"/>
          <w:numId w:val="1692"/>
        </w:numPr>
        <w:pStyle w:val="Compact"/>
      </w:pPr>
      <w:r>
        <w:t xml:space="preserve">Origin egress without shield (</w:t>
      </w:r>
      <m:oMath>
        <m:sSub>
          <m:e>
            <m:r>
              <m:t>O</m:t>
            </m:r>
          </m:e>
          <m:sub>
            <m:r>
              <m:t>B</m:t>
            </m:r>
          </m:sub>
        </m:sSub>
        <m:r>
          <m:rPr>
            <m:sty m:val="p"/>
          </m:rPr>
          <m:t>=</m:t>
        </m:r>
        <m:r>
          <m:t>0.90</m:t>
        </m:r>
      </m:oMath>
      <w:r>
        <w:t xml:space="preserve">):</w:t>
      </w:r>
      <w:r>
        <w:t xml:space="preserve"> </w:t>
      </w:r>
      <m:oMath>
        <m:r>
          <m:t>3.0</m:t>
        </m:r>
        <m:r>
          <m:rPr>
            <m:sty m:val="p"/>
          </m:rPr>
          <m:t>×</m:t>
        </m:r>
        <m:sSup>
          <m:e>
            <m:r>
              <m:t>10</m:t>
            </m:r>
          </m:e>
          <m:sup>
            <m:r>
              <m:t>5</m:t>
            </m:r>
          </m:sup>
        </m:sSup>
      </m:oMath>
      <w:r>
        <w:t xml:space="preserve"> </w:t>
      </w:r>
      <w:r>
        <w:t xml:space="preserve">GB</w:t>
      </w:r>
      <w:r>
        <w:t xml:space="preserve"> </w:t>
      </w:r>
      <m:oMath>
        <m:r>
          <m:rPr>
            <m:sty m:val="p"/>
          </m:rPr>
          <m:t>×</m:t>
        </m:r>
        <m:r>
          <m:t> </m:t>
        </m:r>
        <m:r>
          <m:t>0.05</m:t>
        </m:r>
        <m:r>
          <m:rPr>
            <m:sty m:val="p"/>
          </m:rPr>
          <m:t>=</m:t>
        </m:r>
        <m:r>
          <m:rPr>
            <m:sty m:val="p"/>
          </m:rPr>
          <m:t>$</m:t>
        </m:r>
        <m:r>
          <m:t>15</m:t>
        </m:r>
        <m:r>
          <m:rPr>
            <m:sty m:val="p"/>
          </m:rPr>
          <m:t>,</m:t>
        </m:r>
        <m:r>
          <m:t>000</m:t>
        </m:r>
      </m:oMath>
      <w:r>
        <w:t xml:space="preserve">.</w:t>
      </w:r>
    </w:p>
    <w:p>
      <w:pPr>
        <w:numPr>
          <w:ilvl w:val="0"/>
          <w:numId w:val="1692"/>
        </w:numPr>
        <w:pStyle w:val="Compact"/>
      </w:pPr>
      <w:r>
        <w:t xml:space="preserve">Origin egress with shield (</w:t>
      </w:r>
      <m:oMath>
        <m:sSub>
          <m:e>
            <m:r>
              <m:t>O</m:t>
            </m:r>
          </m:e>
          <m:sub>
            <m:r>
              <m:t>B</m:t>
            </m:r>
          </m:sub>
        </m:sSub>
        <m:r>
          <m:rPr>
            <m:sty m:val="p"/>
          </m:rPr>
          <m:t>=</m:t>
        </m:r>
        <m:r>
          <m:t>0.98</m:t>
        </m:r>
      </m:oMath>
      <w:r>
        <w:t xml:space="preserve">):</w:t>
      </w:r>
      <w:r>
        <w:t xml:space="preserve"> </w:t>
      </w:r>
      <m:oMath>
        <m:r>
          <m:t>6.0</m:t>
        </m:r>
        <m:r>
          <m:rPr>
            <m:sty m:val="p"/>
          </m:rPr>
          <m:t>×</m:t>
        </m:r>
        <m:sSup>
          <m:e>
            <m:r>
              <m:t>10</m:t>
            </m:r>
          </m:e>
          <m:sup>
            <m:r>
              <m:t>4</m:t>
            </m:r>
          </m:sup>
        </m:sSup>
      </m:oMath>
      <w:r>
        <w:t xml:space="preserve"> </w:t>
      </w:r>
      <w:r>
        <w:t xml:space="preserve">GB</w:t>
      </w:r>
      <w:r>
        <w:t xml:space="preserve"> </w:t>
      </w:r>
      <m:oMath>
        <m:r>
          <m:rPr>
            <m:sty m:val="p"/>
          </m:rPr>
          <m:t>×</m:t>
        </m:r>
        <m:r>
          <m:t> </m:t>
        </m:r>
        <m:r>
          <m:t>0.05</m:t>
        </m:r>
        <m:r>
          <m:rPr>
            <m:sty m:val="p"/>
          </m:rPr>
          <m:t>=</m:t>
        </m:r>
        <m:r>
          <m:rPr>
            <m:sty m:val="p"/>
          </m:rPr>
          <m:t>$</m:t>
        </m:r>
        <m:r>
          <m:t>3</m:t>
        </m:r>
        <m:r>
          <m:rPr>
            <m:sty m:val="p"/>
          </m:rPr>
          <m:t>,</m:t>
        </m:r>
        <m:r>
          <m:t>000</m:t>
        </m:r>
      </m:oMath>
      <w:r>
        <w:t xml:space="preserve">.</w:t>
      </w:r>
    </w:p>
    <w:p>
      <w:pPr>
        <w:numPr>
          <w:ilvl w:val="0"/>
          <w:numId w:val="1692"/>
        </w:numPr>
        <w:pStyle w:val="Compact"/>
      </w:pPr>
      <w:r>
        <w:t xml:space="preserve">Without any CDN, the origin would serve everything:</w:t>
      </w:r>
      <w:r>
        <w:t xml:space="preserve"> </w:t>
      </w:r>
      <m:oMath>
        <m:r>
          <m:t>3.0</m:t>
        </m:r>
        <m:r>
          <m:rPr>
            <m:sty m:val="p"/>
          </m:rPr>
          <m:t>×</m:t>
        </m:r>
        <m:sSup>
          <m:e>
            <m:r>
              <m:t>10</m:t>
            </m:r>
          </m:e>
          <m:sup>
            <m:r>
              <m:t>6</m:t>
            </m:r>
          </m:sup>
        </m:sSup>
        <m:r>
          <m:rPr>
            <m:sty m:val="p"/>
          </m:rPr>
          <m:t>×</m:t>
        </m:r>
        <m:r>
          <m:t>0.05</m:t>
        </m:r>
        <m:r>
          <m:rPr>
            <m:sty m:val="p"/>
          </m:rPr>
          <m:t>=</m:t>
        </m:r>
        <m:r>
          <m:rPr>
            <m:sty m:val="p"/>
          </m:rPr>
          <m:t>$</m:t>
        </m:r>
        <m:r>
          <m:t>150</m:t>
        </m:r>
        <m:r>
          <m:rPr>
            <m:sty m:val="p"/>
          </m:rPr>
          <m:t>,</m:t>
        </m:r>
        <m:r>
          <m:t>000</m:t>
        </m:r>
      </m:oMath>
      <w:r>
        <w:t xml:space="preserve">, and would need about 28 Gb/s of peak serving capacity.</w:t>
      </w:r>
    </w:p>
    <w:p>
      <w:pPr>
        <w:pStyle w:val="CalloutExample"/>
      </w:pPr>
      <w:r>
        <w:rPr>
          <w:bCs/>
          <w:b/>
        </w:rPr>
        <w:t xml:space="preserve">Interpretation.</w:t>
      </w:r>
      <w:r>
        <w:t xml:space="preserve"> </w:t>
      </w:r>
      <w:r>
        <w:t xml:space="preserve">The shield saves $12,000 per month ($144,000 per year) on egress and cuts peak origin bandwidth from 2.8 to 0.56 Gb/s.</w:t>
      </w:r>
      <w:r>
        <w:t xml:space="preserve"> </w:t>
      </w:r>
      <w:r>
        <w:rPr>
          <w:bCs/>
          <w:b/>
        </w:rPr>
        <w:t xml:space="preserve">Engineering implication.</w:t>
      </w:r>
      <w:r>
        <w:t xml:space="preserve"> </w:t>
      </w:r>
      <w:r>
        <w:t xml:space="preserve">Check whether your cloud waives origin-to-CDN egress for its own CDN (several do), include shield request fees, and remember that offload also shrinks the origin fleet, which is often the larger saving.</w:t>
      </w:r>
    </w:p>
    <w:bookmarkEnd w:id="2389"/>
    <w:bookmarkStart w:id="2391" w:name="simulating-shielding"/>
    <w:p>
      <w:pPr>
        <w:pStyle w:val="Heading3"/>
      </w:pPr>
      <w:r>
        <w:t xml:space="preserve">21.5.5 Simulating shielding</w:t>
      </w:r>
    </w:p>
    <w:p>
      <w:pPr>
        <w:pStyle w:val="FirstParagraph"/>
      </w:pPr>
      <w:r>
        <w:t xml:space="preserve">The model above assumes caches never evict. The program below drops that assumption: 20 edge PoPs, each a byte-capacity LRU cache holding 3% of a 50,000-object catalog, receive one million Zipf-distributed requests (exponent 1.0, the skew typical of web content), with and without a shield.</w:t>
      </w:r>
    </w:p>
    <w:p>
      <w:pPr>
        <w:pStyle w:val="SourceCode"/>
      </w:pPr>
      <w:r>
        <w:rPr>
          <w:rStyle w:val="CommentTok"/>
        </w:rPr>
        <w:t xml:space="preserve"># Two-tier CDN simulation: how much traffic reaches the origin with and</w:t>
      </w:r>
      <w:r>
        <w:br/>
      </w:r>
      <w:r>
        <w:rPr>
          <w:rStyle w:val="CommentTok"/>
        </w:rPr>
        <w:t xml:space="preserve"># without an origin shield. Edge PoPs and the shield are byte-capacity LRU caches;</w:t>
      </w:r>
      <w:r>
        <w:br/>
      </w:r>
      <w:r>
        <w:rPr>
          <w:rStyle w:val="CommentTok"/>
        </w:rPr>
        <w:t xml:space="preserve"># object popularity follows a Zipf distribution.</w:t>
      </w:r>
      <w:r>
        <w:br/>
      </w:r>
      <w:r>
        <w:rPr>
          <w:rStyle w:val="ImportTok"/>
        </w:rPr>
        <w:t xml:space="preserve">import</w:t>
      </w:r>
      <w:r>
        <w:rPr>
          <w:rStyle w:val="NormalTok"/>
        </w:rPr>
        <w:t xml:space="preserve"> random</w:t>
      </w:r>
      <w:r>
        <w:br/>
      </w:r>
      <w:r>
        <w:rPr>
          <w:rStyle w:val="ImportTok"/>
        </w:rPr>
        <w:t xml:space="preserve">from</w:t>
      </w:r>
      <w:r>
        <w:rPr>
          <w:rStyle w:val="NormalTok"/>
        </w:rPr>
        <w:t xml:space="preserve"> collections </w:t>
      </w:r>
      <w:r>
        <w:rPr>
          <w:rStyle w:val="ImportTok"/>
        </w:rPr>
        <w:t xml:space="preserve">import</w:t>
      </w:r>
      <w:r>
        <w:rPr>
          <w:rStyle w:val="NormalTok"/>
        </w:rPr>
        <w:t xml:space="preserve"> OrderedDict</w:t>
      </w:r>
      <w:r>
        <w:br/>
      </w:r>
      <w:r>
        <w:br/>
      </w:r>
      <w:r>
        <w:br/>
      </w:r>
      <w:r>
        <w:rPr>
          <w:rStyle w:val="KeywordTok"/>
        </w:rPr>
        <w:t xml:space="preserve">class</w:t>
      </w:r>
      <w:r>
        <w:rPr>
          <w:rStyle w:val="NormalTok"/>
        </w:rPr>
        <w:t xml:space="preserve"> LRUCache:</w:t>
      </w:r>
      <w:r>
        <w:br/>
      </w:r>
      <w:r>
        <w:rPr>
          <w:rStyle w:val="NormalTok"/>
        </w:rPr>
        <w:t xml:space="preserve">    </w:t>
      </w:r>
      <w:r>
        <w:rPr>
          <w:rStyle w:val="CommentTok"/>
        </w:rPr>
        <w:t xml:space="preserve">"""Least-recently-used cache whose capacity is measured in bytes."""</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capacity_bytes):</w:t>
      </w:r>
      <w:r>
        <w:br/>
      </w:r>
      <w:r>
        <w:rPr>
          <w:rStyle w:val="NormalTok"/>
        </w:rPr>
        <w:t xml:space="preserve">        </w:t>
      </w:r>
      <w:r>
        <w:rPr>
          <w:rStyle w:val="VariableTok"/>
        </w:rPr>
        <w:t xml:space="preserve">self</w:t>
      </w:r>
      <w:r>
        <w:rPr>
          <w:rStyle w:val="NormalTok"/>
        </w:rPr>
        <w:t xml:space="preserve">.capacity </w:t>
      </w:r>
      <w:r>
        <w:rPr>
          <w:rStyle w:val="OperatorTok"/>
        </w:rPr>
        <w:t xml:space="preserve">=</w:t>
      </w:r>
      <w:r>
        <w:rPr>
          <w:rStyle w:val="NormalTok"/>
        </w:rPr>
        <w:t xml:space="preserve"> capacity_bytes</w:t>
      </w:r>
      <w:r>
        <w:br/>
      </w:r>
      <w:r>
        <w:rPr>
          <w:rStyle w:val="NormalTok"/>
        </w:rPr>
        <w:t xml:space="preserve">        </w:t>
      </w:r>
      <w:r>
        <w:rPr>
          <w:rStyle w:val="VariableTok"/>
        </w:rPr>
        <w:t xml:space="preserve">self</w:t>
      </w:r>
      <w:r>
        <w:rPr>
          <w:rStyle w:val="NormalTok"/>
        </w:rPr>
        <w:t xml:space="preserve">.used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.items </w:t>
      </w:r>
      <w:r>
        <w:rPr>
          <w:rStyle w:val="OperatorTok"/>
        </w:rPr>
        <w:t xml:space="preserve">=</w:t>
      </w:r>
      <w:r>
        <w:rPr>
          <w:rStyle w:val="NormalTok"/>
        </w:rPr>
        <w:t xml:space="preserve"> OrderedDict()          </w:t>
      </w:r>
      <w:r>
        <w:rPr>
          <w:rStyle w:val="CommentTok"/>
        </w:rPr>
        <w:t xml:space="preserve"># key -&gt; size, oldest first</w:t>
      </w:r>
      <w:r>
        <w:br/>
      </w:r>
      <w:r>
        <w:br/>
      </w:r>
      <w:r>
        <w:rPr>
          <w:rStyle w:val="NormalTok"/>
        </w:rPr>
        <w:t xml:space="preserve">    </w:t>
      </w:r>
      <w:r>
        <w:rPr>
          <w:rStyle w:val="KeywordTok"/>
        </w:rPr>
        <w:t xml:space="preserve">def</w:t>
      </w:r>
      <w:r>
        <w:rPr>
          <w:rStyle w:val="NormalTok"/>
        </w:rPr>
        <w:t xml:space="preserve"> get(</w:t>
      </w:r>
      <w:r>
        <w:rPr>
          <w:rStyle w:val="VariableTok"/>
        </w:rPr>
        <w:t xml:space="preserve">self</w:t>
      </w:r>
      <w:r>
        <w:rPr>
          <w:rStyle w:val="NormalTok"/>
        </w:rPr>
        <w:t xml:space="preserve">, key):</w:t>
      </w:r>
      <w:r>
        <w:br/>
      </w:r>
      <w:r>
        <w:rPr>
          <w:rStyle w:val="NormalTok"/>
        </w:rPr>
        <w:t xml:space="preserve">        </w:t>
      </w:r>
      <w:r>
        <w:rPr>
          <w:rStyle w:val="ControlFlowTok"/>
        </w:rPr>
        <w:t xml:space="preserve">if</w:t>
      </w:r>
      <w:r>
        <w:rPr>
          <w:rStyle w:val="NormalTok"/>
        </w:rPr>
        <w:t xml:space="preserve"> key </w:t>
      </w:r>
      <w:r>
        <w:rPr>
          <w:rStyle w:val="KeywordTok"/>
        </w:rPr>
        <w:t xml:space="preserve">in</w:t>
      </w:r>
      <w:r>
        <w:rPr>
          <w:rStyle w:val="NormalTok"/>
        </w:rPr>
        <w:t xml:space="preserve"> </w:t>
      </w:r>
      <w:r>
        <w:rPr>
          <w:rStyle w:val="VariableTok"/>
        </w:rPr>
        <w:t xml:space="preserve">self</w:t>
      </w:r>
      <w:r>
        <w:rPr>
          <w:rStyle w:val="NormalTok"/>
        </w:rPr>
        <w:t xml:space="preserve">.items:</w:t>
      </w:r>
      <w:r>
        <w:br/>
      </w:r>
      <w:r>
        <w:rPr>
          <w:rStyle w:val="NormalTok"/>
        </w:rPr>
        <w:t xml:space="preserve">            </w:t>
      </w:r>
      <w:r>
        <w:rPr>
          <w:rStyle w:val="VariableTok"/>
        </w:rPr>
        <w:t xml:space="preserve">self</w:t>
      </w:r>
      <w:r>
        <w:rPr>
          <w:rStyle w:val="NormalTok"/>
        </w:rPr>
        <w:t xml:space="preserve">.items.move_to_end(key)     </w:t>
      </w:r>
      <w:r>
        <w:rPr>
          <w:rStyle w:val="CommentTok"/>
        </w:rPr>
        <w:t xml:space="preserve"># mark as most recently used</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    </w:t>
      </w:r>
      <w:r>
        <w:rPr>
          <w:rStyle w:val="KeywordTok"/>
        </w:rPr>
        <w:t xml:space="preserve">def</w:t>
      </w:r>
      <w:r>
        <w:rPr>
          <w:rStyle w:val="NormalTok"/>
        </w:rPr>
        <w:t xml:space="preserve"> put(</w:t>
      </w:r>
      <w:r>
        <w:rPr>
          <w:rStyle w:val="VariableTok"/>
        </w:rPr>
        <w:t xml:space="preserve">self</w:t>
      </w:r>
      <w:r>
        <w:rPr>
          <w:rStyle w:val="NormalTok"/>
        </w:rPr>
        <w:t xml:space="preserve">, key, size):</w:t>
      </w:r>
      <w:r>
        <w:br/>
      </w:r>
      <w:r>
        <w:rPr>
          <w:rStyle w:val="NormalTok"/>
        </w:rPr>
        <w:t xml:space="preserve">        </w:t>
      </w:r>
      <w:r>
        <w:rPr>
          <w:rStyle w:val="ControlFlowTok"/>
        </w:rPr>
        <w:t xml:space="preserve">if</w:t>
      </w:r>
      <w:r>
        <w:rPr>
          <w:rStyle w:val="NormalTok"/>
        </w:rPr>
        <w:t xml:space="preserve"> size </w:t>
      </w:r>
      <w:r>
        <w:rPr>
          <w:rStyle w:val="OperatorTok"/>
        </w:rPr>
        <w:t xml:space="preserve">&gt;</w:t>
      </w:r>
      <w:r>
        <w:rPr>
          <w:rStyle w:val="NormalTok"/>
        </w:rPr>
        <w:t xml:space="preserve"> </w:t>
      </w:r>
      <w:r>
        <w:rPr>
          <w:rStyle w:val="VariableTok"/>
        </w:rPr>
        <w:t xml:space="preserve">self</w:t>
      </w:r>
      <w:r>
        <w:rPr>
          <w:rStyle w:val="NormalTok"/>
        </w:rPr>
        <w:t xml:space="preserve">.capacity:</w:t>
      </w:r>
      <w:r>
        <w:br/>
      </w:r>
      <w:r>
        <w:rPr>
          <w:rStyle w:val="NormalTok"/>
        </w:rPr>
        <w:t xml:space="preserve">            </w:t>
      </w:r>
      <w:r>
        <w:rPr>
          <w:rStyle w:val="ControlFlowTok"/>
        </w:rPr>
        <w:t xml:space="preserve">return</w:t>
      </w:r>
      <w:r>
        <w:rPr>
          <w:rStyle w:val="NormalTok"/>
        </w:rPr>
        <w:t xml:space="preserve">                          </w:t>
      </w:r>
      <w:r>
        <w:rPr>
          <w:rStyle w:val="CommentTok"/>
        </w:rPr>
        <w:t xml:space="preserve"># too big to cache at all</w:t>
      </w:r>
      <w:r>
        <w:br/>
      </w:r>
      <w:r>
        <w:rPr>
          <w:rStyle w:val="NormalTok"/>
        </w:rPr>
        <w:t xml:space="preserve">        </w:t>
      </w:r>
      <w:r>
        <w:rPr>
          <w:rStyle w:val="ControlFlowTok"/>
        </w:rPr>
        <w:t xml:space="preserve">if</w:t>
      </w:r>
      <w:r>
        <w:rPr>
          <w:rStyle w:val="NormalTok"/>
        </w:rPr>
        <w:t xml:space="preserve"> key </w:t>
      </w:r>
      <w:r>
        <w:rPr>
          <w:rStyle w:val="KeywordTok"/>
        </w:rPr>
        <w:t xml:space="preserve">in</w:t>
      </w:r>
      <w:r>
        <w:rPr>
          <w:rStyle w:val="NormalTok"/>
        </w:rPr>
        <w:t xml:space="preserve"> </w:t>
      </w:r>
      <w:r>
        <w:rPr>
          <w:rStyle w:val="VariableTok"/>
        </w:rPr>
        <w:t xml:space="preserve">self</w:t>
      </w:r>
      <w:r>
        <w:rPr>
          <w:rStyle w:val="NormalTok"/>
        </w:rPr>
        <w:t xml:space="preserve">.items:</w:t>
      </w:r>
      <w:r>
        <w:br/>
      </w:r>
      <w:r>
        <w:rPr>
          <w:rStyle w:val="NormalTok"/>
        </w:rPr>
        <w:t xml:space="preserve">            </w:t>
      </w:r>
      <w:r>
        <w:rPr>
          <w:rStyle w:val="VariableTok"/>
        </w:rPr>
        <w:t xml:space="preserve">self</w:t>
      </w:r>
      <w:r>
        <w:rPr>
          <w:rStyle w:val="NormalTok"/>
        </w:rPr>
        <w:t xml:space="preserve">.used </w:t>
      </w:r>
      <w:r>
        <w:rPr>
          <w:rStyle w:val="OperatorTok"/>
        </w:rPr>
        <w:t xml:space="preserve">-=</w:t>
      </w:r>
      <w:r>
        <w:rPr>
          <w:rStyle w:val="NormalTok"/>
        </w:rPr>
        <w:t xml:space="preserve"> </w:t>
      </w:r>
      <w:r>
        <w:rPr>
          <w:rStyle w:val="VariableTok"/>
        </w:rPr>
        <w:t xml:space="preserve">self</w:t>
      </w:r>
      <w:r>
        <w:rPr>
          <w:rStyle w:val="NormalTok"/>
        </w:rPr>
        <w:t xml:space="preserve">.items.pop(key)</w:t>
      </w:r>
      <w:r>
        <w:br/>
      </w:r>
      <w:r>
        <w:rPr>
          <w:rStyle w:val="NormalTok"/>
        </w:rPr>
        <w:t xml:space="preserve">        </w:t>
      </w:r>
      <w:r>
        <w:rPr>
          <w:rStyle w:val="ControlFlowTok"/>
        </w:rPr>
        <w:t xml:space="preserve">while</w:t>
      </w:r>
      <w:r>
        <w:rPr>
          <w:rStyle w:val="NormalTok"/>
        </w:rPr>
        <w:t xml:space="preserve"> </w:t>
      </w:r>
      <w:r>
        <w:rPr>
          <w:rStyle w:val="VariableTok"/>
        </w:rPr>
        <w:t xml:space="preserve">self</w:t>
      </w:r>
      <w:r>
        <w:rPr>
          <w:rStyle w:val="NormalTok"/>
        </w:rPr>
        <w:t xml:space="preserve">.used </w:t>
      </w:r>
      <w:r>
        <w:rPr>
          <w:rStyle w:val="OperatorTok"/>
        </w:rPr>
        <w:t xml:space="preserve">+</w:t>
      </w:r>
      <w:r>
        <w:rPr>
          <w:rStyle w:val="NormalTok"/>
        </w:rPr>
        <w:t xml:space="preserve"> size </w:t>
      </w:r>
      <w:r>
        <w:rPr>
          <w:rStyle w:val="OperatorTok"/>
        </w:rPr>
        <w:t xml:space="preserve">&gt;</w:t>
      </w:r>
      <w:r>
        <w:rPr>
          <w:rStyle w:val="NormalTok"/>
        </w:rPr>
        <w:t xml:space="preserve"> </w:t>
      </w:r>
      <w:r>
        <w:rPr>
          <w:rStyle w:val="VariableTok"/>
        </w:rPr>
        <w:t xml:space="preserve">self</w:t>
      </w:r>
      <w:r>
        <w:rPr>
          <w:rStyle w:val="NormalTok"/>
        </w:rPr>
        <w:t xml:space="preserve">.capacity:</w:t>
      </w:r>
      <w:r>
        <w:br/>
      </w:r>
      <w:r>
        <w:rPr>
          <w:rStyle w:val="NormalTok"/>
        </w:rPr>
        <w:t xml:space="preserve">            _, old_size </w:t>
      </w:r>
      <w:r>
        <w:rPr>
          <w:rStyle w:val="OperatorTok"/>
        </w:rPr>
        <w:t xml:space="preserve">=</w:t>
      </w:r>
      <w:r>
        <w:rPr>
          <w:rStyle w:val="NormalTok"/>
        </w:rPr>
        <w:t xml:space="preserve"> </w:t>
      </w:r>
      <w:r>
        <w:rPr>
          <w:rStyle w:val="VariableTok"/>
        </w:rPr>
        <w:t xml:space="preserve">self</w:t>
      </w:r>
      <w:r>
        <w:rPr>
          <w:rStyle w:val="NormalTok"/>
        </w:rPr>
        <w:t xml:space="preserve">.items.popitem(last</w:t>
      </w:r>
      <w:r>
        <w:rPr>
          <w:rStyle w:val="OperatorTok"/>
        </w:rPr>
        <w:t xml:space="preserve">=</w:t>
      </w:r>
      <w:r>
        <w:rPr>
          <w:rStyle w:val="VariableTok"/>
        </w:rPr>
        <w:t xml:space="preserve">False</w:t>
      </w:r>
      <w:r>
        <w:rPr>
          <w:rStyle w:val="NormalTok"/>
        </w:rPr>
        <w:t xml:space="preserve">)   </w:t>
      </w:r>
      <w:r>
        <w:rPr>
          <w:rStyle w:val="CommentTok"/>
        </w:rPr>
        <w:t xml:space="preserve"># evict LRU</w:t>
      </w:r>
      <w:r>
        <w:br/>
      </w:r>
      <w:r>
        <w:rPr>
          <w:rStyle w:val="NormalTok"/>
        </w:rPr>
        <w:t xml:space="preserve">            </w:t>
      </w:r>
      <w:r>
        <w:rPr>
          <w:rStyle w:val="VariableTok"/>
        </w:rPr>
        <w:t xml:space="preserve">self</w:t>
      </w:r>
      <w:r>
        <w:rPr>
          <w:rStyle w:val="NormalTok"/>
        </w:rPr>
        <w:t xml:space="preserve">.used </w:t>
      </w:r>
      <w:r>
        <w:rPr>
          <w:rStyle w:val="OperatorTok"/>
        </w:rPr>
        <w:t xml:space="preserve">-=</w:t>
      </w:r>
      <w:r>
        <w:rPr>
          <w:rStyle w:val="NormalTok"/>
        </w:rPr>
        <w:t xml:space="preserve"> old_size</w:t>
      </w:r>
      <w:r>
        <w:br/>
      </w:r>
      <w:r>
        <w:rPr>
          <w:rStyle w:val="NormalTok"/>
        </w:rPr>
        <w:t xml:space="preserve">        </w:t>
      </w:r>
      <w:r>
        <w:rPr>
          <w:rStyle w:val="VariableTok"/>
        </w:rPr>
        <w:t xml:space="preserve">self</w:t>
      </w:r>
      <w:r>
        <w:rPr>
          <w:rStyle w:val="NormalTok"/>
        </w:rPr>
        <w:t xml:space="preserve">.items[key] </w:t>
      </w:r>
      <w:r>
        <w:rPr>
          <w:rStyle w:val="OperatorTok"/>
        </w:rPr>
        <w:t xml:space="preserve">=</w:t>
      </w:r>
      <w:r>
        <w:rPr>
          <w:rStyle w:val="NormalTok"/>
        </w:rPr>
        <w:t xml:space="preserve"> size</w:t>
      </w:r>
      <w:r>
        <w:br/>
      </w:r>
      <w:r>
        <w:rPr>
          <w:rStyle w:val="NormalTok"/>
        </w:rPr>
        <w:t xml:space="preserve">        </w:t>
      </w:r>
      <w:r>
        <w:rPr>
          <w:rStyle w:val="VariableTok"/>
        </w:rPr>
        <w:t xml:space="preserve">self</w:t>
      </w:r>
      <w:r>
        <w:rPr>
          <w:rStyle w:val="NormalTok"/>
        </w:rPr>
        <w:t xml:space="preserve">.used </w:t>
      </w:r>
      <w:r>
        <w:rPr>
          <w:rStyle w:val="OperatorTok"/>
        </w:rPr>
        <w:t xml:space="preserve">+=</w:t>
      </w:r>
      <w:r>
        <w:rPr>
          <w:rStyle w:val="NormalTok"/>
        </w:rPr>
        <w:t xml:space="preserve"> size</w:t>
      </w:r>
      <w:r>
        <w:br/>
      </w:r>
      <w:r>
        <w:br/>
      </w:r>
      <w:r>
        <w:br/>
      </w:r>
      <w:r>
        <w:rPr>
          <w:rStyle w:val="KeywordTok"/>
        </w:rPr>
        <w:t xml:space="preserve">def</w:t>
      </w:r>
      <w:r>
        <w:rPr>
          <w:rStyle w:val="NormalTok"/>
        </w:rPr>
        <w:t xml:space="preserve"> make_workload(n_objects, n_requests, n_pops, alpha, seed):</w:t>
      </w:r>
      <w:r>
        <w:br/>
      </w:r>
      <w:r>
        <w:rPr>
          <w:rStyle w:val="NormalTok"/>
        </w:rPr>
        <w:t xml:space="preserve">    </w:t>
      </w:r>
      <w:r>
        <w:rPr>
          <w:rStyle w:val="CommentTok"/>
        </w:rPr>
        <w:t xml:space="preserve">"""Return object sizes and a trace of (pop, object) requests."""</w:t>
      </w:r>
      <w:r>
        <w:br/>
      </w:r>
      <w:r>
        <w:rPr>
          <w:rStyle w:val="NormalTok"/>
        </w:rPr>
        <w:t xml:space="preserve">    rng </w:t>
      </w:r>
      <w:r>
        <w:rPr>
          <w:rStyle w:val="OperatorTok"/>
        </w:rPr>
        <w:t xml:space="preserve">=</w:t>
      </w:r>
      <w:r>
        <w:rPr>
          <w:rStyle w:val="NormalTok"/>
        </w:rPr>
        <w:t xml:space="preserve"> random.Random(seed)</w:t>
      </w:r>
      <w:r>
        <w:br/>
      </w:r>
      <w:r>
        <w:rPr>
          <w:rStyle w:val="NormalTok"/>
        </w:rPr>
        <w:t xml:space="preserve">    sizes </w:t>
      </w:r>
      <w:r>
        <w:rPr>
          <w:rStyle w:val="OperatorTok"/>
        </w:rPr>
        <w:t xml:space="preserve">=</w:t>
      </w:r>
      <w:r>
        <w:rPr>
          <w:rStyle w:val="NormalTok"/>
        </w:rPr>
        <w:t xml:space="preserve"> [rng.choice([</w:t>
      </w:r>
      <w:r>
        <w:rPr>
          <w:rStyle w:val="DecValTok"/>
        </w:rPr>
        <w:t xml:space="preserve">20_000</w:t>
      </w:r>
      <w:r>
        <w:rPr>
          <w:rStyle w:val="NormalTok"/>
        </w:rPr>
        <w:t xml:space="preserve">, </w:t>
      </w:r>
      <w:r>
        <w:rPr>
          <w:rStyle w:val="DecValTok"/>
        </w:rPr>
        <w:t xml:space="preserve">50_000</w:t>
      </w:r>
      <w:r>
        <w:rPr>
          <w:rStyle w:val="NormalTok"/>
        </w:rPr>
        <w:t xml:space="preserve">, </w:t>
      </w:r>
      <w:r>
        <w:rPr>
          <w:rStyle w:val="DecValTok"/>
        </w:rPr>
        <w:t xml:space="preserve">200_000</w:t>
      </w:r>
      <w:r>
        <w:rPr>
          <w:rStyle w:val="NormalTok"/>
        </w:rPr>
        <w:t xml:space="preserve">, </w:t>
      </w:r>
      <w:r>
        <w:rPr>
          <w:rStyle w:val="DecValTok"/>
        </w:rPr>
        <w:t xml:space="preserve">1_000_000</w:t>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(n_objects)]</w:t>
      </w:r>
      <w:r>
        <w:br/>
      </w:r>
      <w:r>
        <w:rPr>
          <w:rStyle w:val="NormalTok"/>
        </w:rPr>
        <w:t xml:space="preserve">    cum, total </w:t>
      </w:r>
      <w:r>
        <w:rPr>
          <w:rStyle w:val="OperatorTok"/>
        </w:rPr>
        <w:t xml:space="preserve">=</w:t>
      </w:r>
      <w:r>
        <w:rPr>
          <w:rStyle w:val="NormalTok"/>
        </w:rPr>
        <w:t xml:space="preserve"> [], </w:t>
      </w:r>
      <w:r>
        <w:rPr>
          <w:rStyle w:val="FloatTok"/>
        </w:rPr>
        <w:t xml:space="preserve">0.0</w:t>
      </w:r>
      <w:r>
        <w:br/>
      </w:r>
      <w:r>
        <w:rPr>
          <w:rStyle w:val="NormalTok"/>
        </w:rPr>
        <w:t xml:space="preserve">    </w:t>
      </w:r>
      <w:r>
        <w:rPr>
          <w:rStyle w:val="ControlFlowTok"/>
        </w:rPr>
        <w:t xml:space="preserve">for</w:t>
      </w:r>
      <w:r>
        <w:rPr>
          <w:rStyle w:val="NormalTok"/>
        </w:rPr>
        <w:t xml:space="preserve"> rank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n_objects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Zipf: weight of rank k is 1/k^alpha</w:t>
      </w:r>
      <w:r>
        <w:br/>
      </w:r>
      <w:r>
        <w:rPr>
          <w:rStyle w:val="NormalTok"/>
        </w:rPr>
        <w:t xml:space="preserve">        total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rank </w:t>
      </w:r>
      <w:r>
        <w:rPr>
          <w:rStyle w:val="OperatorTok"/>
        </w:rPr>
        <w:t xml:space="preserve">**</w:t>
      </w:r>
      <w:r>
        <w:rPr>
          <w:rStyle w:val="NormalTok"/>
        </w:rPr>
        <w:t xml:space="preserve"> alpha</w:t>
      </w:r>
      <w:r>
        <w:br/>
      </w:r>
      <w:r>
        <w:rPr>
          <w:rStyle w:val="NormalTok"/>
        </w:rPr>
        <w:t xml:space="preserve">        cum.append(total)</w:t>
      </w:r>
      <w:r>
        <w:br/>
      </w:r>
      <w:r>
        <w:rPr>
          <w:rStyle w:val="NormalTok"/>
        </w:rPr>
        <w:t xml:space="preserve">    objs </w:t>
      </w:r>
      <w:r>
        <w:rPr>
          <w:rStyle w:val="OperatorTok"/>
        </w:rPr>
        <w:t xml:space="preserve">=</w:t>
      </w:r>
      <w:r>
        <w:rPr>
          <w:rStyle w:val="NormalTok"/>
        </w:rPr>
        <w:t xml:space="preserve"> rng.choices(</w:t>
      </w:r>
      <w:r>
        <w:rPr>
          <w:rStyle w:val="BuiltInTok"/>
        </w:rPr>
        <w:t xml:space="preserve">range</w:t>
      </w:r>
      <w:r>
        <w:rPr>
          <w:rStyle w:val="NormalTok"/>
        </w:rPr>
        <w:t xml:space="preserve">(n_objects), cum_weights</w:t>
      </w:r>
      <w:r>
        <w:rPr>
          <w:rStyle w:val="OperatorTok"/>
        </w:rPr>
        <w:t xml:space="preserve">=</w:t>
      </w:r>
      <w:r>
        <w:rPr>
          <w:rStyle w:val="NormalTok"/>
        </w:rPr>
        <w:t xml:space="preserve">cum, k</w:t>
      </w:r>
      <w:r>
        <w:rPr>
          <w:rStyle w:val="OperatorTok"/>
        </w:rPr>
        <w:t xml:space="preserve">=</w:t>
      </w:r>
      <w:r>
        <w:rPr>
          <w:rStyle w:val="NormalTok"/>
        </w:rPr>
        <w:t xml:space="preserve">n_requests)</w:t>
      </w:r>
      <w:r>
        <w:br/>
      </w:r>
      <w:r>
        <w:rPr>
          <w:rStyle w:val="NormalTok"/>
        </w:rPr>
        <w:t xml:space="preserve">    pops </w:t>
      </w:r>
      <w:r>
        <w:rPr>
          <w:rStyle w:val="OperatorTok"/>
        </w:rPr>
        <w:t xml:space="preserve">=</w:t>
      </w:r>
      <w:r>
        <w:rPr>
          <w:rStyle w:val="NormalTok"/>
        </w:rPr>
        <w:t xml:space="preserve"> [rng.randrange(n_pops)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(n_requests)]</w:t>
      </w:r>
      <w:r>
        <w:br/>
      </w:r>
      <w:r>
        <w:rPr>
          <w:rStyle w:val="NormalTok"/>
        </w:rPr>
        <w:t xml:space="preserve">    </w:t>
      </w:r>
      <w:r>
        <w:rPr>
          <w:rStyle w:val="ControlFlowTok"/>
        </w:rPr>
        <w:t xml:space="preserve">return</w:t>
      </w:r>
      <w:r>
        <w:rPr>
          <w:rStyle w:val="NormalTok"/>
        </w:rPr>
        <w:t xml:space="preserve"> sizes, </w:t>
      </w:r>
      <w:r>
        <w:rPr>
          <w:rStyle w:val="BuiltInTok"/>
        </w:rPr>
        <w:t xml:space="preserve">list</w:t>
      </w:r>
      <w:r>
        <w:rPr>
          <w:rStyle w:val="NormalTok"/>
        </w:rPr>
        <w:t xml:space="preserve">(</w:t>
      </w:r>
      <w:r>
        <w:rPr>
          <w:rStyle w:val="BuiltInTok"/>
        </w:rPr>
        <w:t xml:space="preserve">zip</w:t>
      </w:r>
      <w:r>
        <w:rPr>
          <w:rStyle w:val="NormalTok"/>
        </w:rPr>
        <w:t xml:space="preserve">(pops, objs))</w:t>
      </w:r>
      <w:r>
        <w:br/>
      </w:r>
      <w:r>
        <w:br/>
      </w:r>
      <w:r>
        <w:br/>
      </w:r>
      <w:r>
        <w:rPr>
          <w:rStyle w:val="KeywordTok"/>
        </w:rPr>
        <w:t xml:space="preserve">def</w:t>
      </w:r>
      <w:r>
        <w:rPr>
          <w:rStyle w:val="NormalTok"/>
        </w:rPr>
        <w:t xml:space="preserve"> simulate(sizes, trace, n_pops, edge_bytes, shield_bytes</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"""Replay the trace. shield_bytes=None means edges go straight to origin."""</w:t>
      </w:r>
      <w:r>
        <w:br/>
      </w:r>
      <w:r>
        <w:rPr>
          <w:rStyle w:val="NormalTok"/>
        </w:rPr>
        <w:t xml:space="preserve">    edges </w:t>
      </w:r>
      <w:r>
        <w:rPr>
          <w:rStyle w:val="OperatorTok"/>
        </w:rPr>
        <w:t xml:space="preserve">=</w:t>
      </w:r>
      <w:r>
        <w:rPr>
          <w:rStyle w:val="NormalTok"/>
        </w:rPr>
        <w:t xml:space="preserve"> [LRUCache(edge_bytes)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(n_pops)]</w:t>
      </w:r>
      <w:r>
        <w:br/>
      </w:r>
      <w:r>
        <w:rPr>
          <w:rStyle w:val="NormalTok"/>
        </w:rPr>
        <w:t xml:space="preserve">    shield </w:t>
      </w:r>
      <w:r>
        <w:rPr>
          <w:rStyle w:val="OperatorTok"/>
        </w:rPr>
        <w:t xml:space="preserve">=</w:t>
      </w:r>
      <w:r>
        <w:rPr>
          <w:rStyle w:val="NormalTok"/>
        </w:rPr>
        <w:t xml:space="preserve"> LRUCache(shield_bytes) </w:t>
      </w:r>
      <w:r>
        <w:rPr>
          <w:rStyle w:val="ControlFlowTok"/>
        </w:rPr>
        <w:t xml:space="preserve">if</w:t>
      </w:r>
      <w:r>
        <w:rPr>
          <w:rStyle w:val="NormalTok"/>
        </w:rPr>
        <w:t xml:space="preserve"> shield_bytes </w:t>
      </w:r>
      <w:r>
        <w:rPr>
          <w:rStyle w:val="ControlFlowTok"/>
        </w:rPr>
        <w:t xml:space="preserve">else</w:t>
      </w:r>
      <w:r>
        <w:rPr>
          <w:rStyle w:val="NormalTok"/>
        </w:rPr>
        <w:t xml:space="preserve"> </w:t>
      </w:r>
      <w:r>
        <w:rPr>
          <w:rStyle w:val="VariableTok"/>
        </w:rPr>
        <w:t xml:space="preserve">None</w:t>
      </w:r>
      <w:r>
        <w:br/>
      </w:r>
      <w:r>
        <w:rPr>
          <w:rStyle w:val="NormalTok"/>
        </w:rPr>
        <w:t xml:space="preserve">    s </w:t>
      </w:r>
      <w:r>
        <w:rPr>
          <w:rStyle w:val="OperatorTok"/>
        </w:rPr>
        <w:t xml:space="preserve">=</w:t>
      </w:r>
      <w:r>
        <w:rPr>
          <w:rStyle w:val="NormalTok"/>
        </w:rPr>
        <w:t xml:space="preserve"> </w:t>
      </w:r>
      <w:r>
        <w:rPr>
          <w:rStyle w:val="BuiltInTok"/>
        </w:rPr>
        <w:t xml:space="preserve">dict</w:t>
      </w:r>
      <w:r>
        <w:rPr>
          <w:rStyle w:val="NormalTok"/>
        </w:rPr>
        <w:t xml:space="preserve">(requests</w:t>
      </w:r>
      <w:r>
        <w:rPr>
          <w:rStyle w:val="OperatorTok"/>
        </w:rPr>
        <w:t xml:space="preserve">=</w:t>
      </w:r>
      <w:r>
        <w:rPr>
          <w:rStyle w:val="DecValTok"/>
        </w:rPr>
        <w:t xml:space="preserve">0</w:t>
      </w:r>
      <w:r>
        <w:rPr>
          <w:rStyle w:val="NormalTok"/>
        </w:rPr>
        <w:t xml:space="preserve">, edge_hits</w:t>
      </w:r>
      <w:r>
        <w:rPr>
          <w:rStyle w:val="OperatorTok"/>
        </w:rPr>
        <w:t xml:space="preserve">=</w:t>
      </w:r>
      <w:r>
        <w:rPr>
          <w:rStyle w:val="DecValTok"/>
        </w:rPr>
        <w:t xml:space="preserve">0</w:t>
      </w:r>
      <w:r>
        <w:rPr>
          <w:rStyle w:val="NormalTok"/>
        </w:rPr>
        <w:t xml:space="preserve">, shield_hits</w:t>
      </w:r>
      <w:r>
        <w:rPr>
          <w:rStyle w:val="OperatorTok"/>
        </w:rPr>
        <w:t xml:space="preserve">=</w:t>
      </w:r>
      <w:r>
        <w:rPr>
          <w:rStyle w:val="DecValTok"/>
        </w:rPr>
        <w:t xml:space="preserve">0</w:t>
      </w:r>
      <w:r>
        <w:rPr>
          <w:rStyle w:val="NormalTok"/>
        </w:rPr>
        <w:t xml:space="preserve">, origin_fetches</w:t>
      </w:r>
      <w:r>
        <w:rPr>
          <w:rStyle w:val="OperatorTok"/>
        </w:rPr>
        <w:t xml:space="preserve">=</w:t>
      </w:r>
      <w:r>
        <w:rPr>
          <w:rStyle w:val="DecValTok"/>
        </w:rPr>
        <w:t xml:space="preserve">0</w:t>
      </w:r>
      <w:r>
        <w:rPr>
          <w:rStyle w:val="NormalTok"/>
        </w:rPr>
        <w:t xml:space="preserve">,</w:t>
      </w:r>
      <w:r>
        <w:br/>
      </w:r>
      <w:r>
        <w:rPr>
          <w:rStyle w:val="NormalTok"/>
        </w:rPr>
        <w:t xml:space="preserve">             bytes_served</w:t>
      </w:r>
      <w:r>
        <w:rPr>
          <w:rStyle w:val="OperatorTok"/>
        </w:rPr>
        <w:t xml:space="preserve">=</w:t>
      </w:r>
      <w:r>
        <w:rPr>
          <w:rStyle w:val="DecValTok"/>
        </w:rPr>
        <w:t xml:space="preserve">0</w:t>
      </w:r>
      <w:r>
        <w:rPr>
          <w:rStyle w:val="NormalTok"/>
        </w:rPr>
        <w:t xml:space="preserve">, origin_bytes</w:t>
      </w:r>
      <w:r>
        <w:rPr>
          <w:rStyle w:val="OperatorTok"/>
        </w:rPr>
        <w:t xml:space="preserve">=</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pop, obj </w:t>
      </w:r>
      <w:r>
        <w:rPr>
          <w:rStyle w:val="KeywordTok"/>
        </w:rPr>
        <w:t xml:space="preserve">in</w:t>
      </w:r>
      <w:r>
        <w:rPr>
          <w:rStyle w:val="NormalTok"/>
        </w:rPr>
        <w:t xml:space="preserve"> trace:</w:t>
      </w:r>
      <w:r>
        <w:br/>
      </w:r>
      <w:r>
        <w:rPr>
          <w:rStyle w:val="NormalTok"/>
        </w:rPr>
        <w:t xml:space="preserve">        size </w:t>
      </w:r>
      <w:r>
        <w:rPr>
          <w:rStyle w:val="OperatorTok"/>
        </w:rPr>
        <w:t xml:space="preserve">=</w:t>
      </w:r>
      <w:r>
        <w:rPr>
          <w:rStyle w:val="NormalTok"/>
        </w:rPr>
        <w:t xml:space="preserve"> sizes[obj]</w:t>
      </w:r>
      <w:r>
        <w:br/>
      </w:r>
      <w:r>
        <w:rPr>
          <w:rStyle w:val="NormalTok"/>
        </w:rPr>
        <w:t xml:space="preserve">        s[</w:t>
      </w:r>
      <w:r>
        <w:rPr>
          <w:rStyle w:val="StringTok"/>
        </w:rPr>
        <w:t xml:space="preserve">"requests"</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s[</w:t>
      </w:r>
      <w:r>
        <w:rPr>
          <w:rStyle w:val="StringTok"/>
        </w:rPr>
        <w:t xml:space="preserve">"bytes_served"</w:t>
      </w:r>
      <w:r>
        <w:rPr>
          <w:rStyle w:val="NormalTok"/>
        </w:rPr>
        <w:t xml:space="preserve">] </w:t>
      </w:r>
      <w:r>
        <w:rPr>
          <w:rStyle w:val="OperatorTok"/>
        </w:rPr>
        <w:t xml:space="preserve">+=</w:t>
      </w:r>
      <w:r>
        <w:rPr>
          <w:rStyle w:val="NormalTok"/>
        </w:rPr>
        <w:t xml:space="preserve"> size</w:t>
      </w:r>
      <w:r>
        <w:br/>
      </w:r>
      <w:r>
        <w:rPr>
          <w:rStyle w:val="NormalTok"/>
        </w:rPr>
        <w:t xml:space="preserve">        </w:t>
      </w:r>
      <w:r>
        <w:rPr>
          <w:rStyle w:val="ControlFlowTok"/>
        </w:rPr>
        <w:t xml:space="preserve">if</w:t>
      </w:r>
      <w:r>
        <w:rPr>
          <w:rStyle w:val="NormalTok"/>
        </w:rPr>
        <w:t xml:space="preserve"> edges[pop].get(obj):</w:t>
      </w:r>
      <w:r>
        <w:br/>
      </w:r>
      <w:r>
        <w:rPr>
          <w:rStyle w:val="NormalTok"/>
        </w:rPr>
        <w:t xml:space="preserve">            s[</w:t>
      </w:r>
      <w:r>
        <w:rPr>
          <w:rStyle w:val="StringTok"/>
        </w:rPr>
        <w:t xml:space="preserve">"edge_hits"</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if</w:t>
      </w:r>
      <w:r>
        <w:rPr>
          <w:rStyle w:val="NormalTok"/>
        </w:rPr>
        <w:t xml:space="preserve"> shield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shield.get(obj):</w:t>
      </w:r>
      <w:r>
        <w:br/>
      </w:r>
      <w:r>
        <w:rPr>
          <w:rStyle w:val="NormalTok"/>
        </w:rPr>
        <w:t xml:space="preserve">            s[</w:t>
      </w:r>
      <w:r>
        <w:rPr>
          <w:rStyle w:val="StringTok"/>
        </w:rPr>
        <w:t xml:space="preserve">"shield_hits"</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else</w:t>
      </w:r>
      <w:r>
        <w:rPr>
          <w:rStyle w:val="NormalTok"/>
        </w:rPr>
        <w:t xml:space="preserve">:                               </w:t>
      </w:r>
      <w:r>
        <w:rPr>
          <w:rStyle w:val="CommentTok"/>
        </w:rPr>
        <w:t xml:space="preserve"># fetch from origin</w:t>
      </w:r>
      <w:r>
        <w:br/>
      </w:r>
      <w:r>
        <w:rPr>
          <w:rStyle w:val="NormalTok"/>
        </w:rPr>
        <w:t xml:space="preserve">            s[</w:t>
      </w:r>
      <w:r>
        <w:rPr>
          <w:rStyle w:val="StringTok"/>
        </w:rPr>
        <w:t xml:space="preserve">"origin_fetches"</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s[</w:t>
      </w:r>
      <w:r>
        <w:rPr>
          <w:rStyle w:val="StringTok"/>
        </w:rPr>
        <w:t xml:space="preserve">"origin_bytes"</w:t>
      </w:r>
      <w:r>
        <w:rPr>
          <w:rStyle w:val="NormalTok"/>
        </w:rPr>
        <w:t xml:space="preserve">] </w:t>
      </w:r>
      <w:r>
        <w:rPr>
          <w:rStyle w:val="OperatorTok"/>
        </w:rPr>
        <w:t xml:space="preserve">+=</w:t>
      </w:r>
      <w:r>
        <w:rPr>
          <w:rStyle w:val="NormalTok"/>
        </w:rPr>
        <w:t xml:space="preserve"> size</w:t>
      </w:r>
      <w:r>
        <w:br/>
      </w:r>
      <w:r>
        <w:rPr>
          <w:rStyle w:val="NormalTok"/>
        </w:rPr>
        <w:t xml:space="preserve">            </w:t>
      </w:r>
      <w:r>
        <w:rPr>
          <w:rStyle w:val="ControlFlowTok"/>
        </w:rPr>
        <w:t xml:space="preserve">if</w:t>
      </w:r>
      <w:r>
        <w:rPr>
          <w:rStyle w:val="NormalTok"/>
        </w:rPr>
        <w:t xml:space="preserve"> shield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shield.put(obj, size)</w:t>
      </w:r>
      <w:r>
        <w:br/>
      </w:r>
      <w:r>
        <w:rPr>
          <w:rStyle w:val="NormalTok"/>
        </w:rPr>
        <w:t xml:space="preserve">        edges[pop].put(obj, size)</w:t>
      </w:r>
      <w:r>
        <w:br/>
      </w:r>
      <w:r>
        <w:rPr>
          <w:rStyle w:val="NormalTok"/>
        </w:rPr>
        <w:t xml:space="preserve">    s[</w:t>
      </w:r>
      <w:r>
        <w:rPr>
          <w:rStyle w:val="StringTok"/>
        </w:rPr>
        <w:t xml:space="preserve">"request_offload"</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s[</w:t>
      </w:r>
      <w:r>
        <w:rPr>
          <w:rStyle w:val="StringTok"/>
        </w:rPr>
        <w:t xml:space="preserve">"origin_fetches"</w:t>
      </w:r>
      <w:r>
        <w:rPr>
          <w:rStyle w:val="NormalTok"/>
        </w:rPr>
        <w:t xml:space="preserve">] </w:t>
      </w:r>
      <w:r>
        <w:rPr>
          <w:rStyle w:val="OperatorTok"/>
        </w:rPr>
        <w:t xml:space="preserve">/</w:t>
      </w:r>
      <w:r>
        <w:rPr>
          <w:rStyle w:val="NormalTok"/>
        </w:rPr>
        <w:t xml:space="preserve"> s[</w:t>
      </w:r>
      <w:r>
        <w:rPr>
          <w:rStyle w:val="StringTok"/>
        </w:rPr>
        <w:t xml:space="preserve">"requests"</w:t>
      </w:r>
      <w:r>
        <w:rPr>
          <w:rStyle w:val="NormalTok"/>
        </w:rPr>
        <w:t xml:space="preserve">]</w:t>
      </w:r>
      <w:r>
        <w:br/>
      </w:r>
      <w:r>
        <w:rPr>
          <w:rStyle w:val="NormalTok"/>
        </w:rPr>
        <w:t xml:space="preserve">    s[</w:t>
      </w:r>
      <w:r>
        <w:rPr>
          <w:rStyle w:val="StringTok"/>
        </w:rPr>
        <w:t xml:space="preserve">"byte_offload"</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s[</w:t>
      </w:r>
      <w:r>
        <w:rPr>
          <w:rStyle w:val="StringTok"/>
        </w:rPr>
        <w:t xml:space="preserve">"origin_bytes"</w:t>
      </w:r>
      <w:r>
        <w:rPr>
          <w:rStyle w:val="NormalTok"/>
        </w:rPr>
        <w:t xml:space="preserve">] </w:t>
      </w:r>
      <w:r>
        <w:rPr>
          <w:rStyle w:val="OperatorTok"/>
        </w:rPr>
        <w:t xml:space="preserve">/</w:t>
      </w:r>
      <w:r>
        <w:rPr>
          <w:rStyle w:val="NormalTok"/>
        </w:rPr>
        <w:t xml:space="preserve"> s[</w:t>
      </w:r>
      <w:r>
        <w:rPr>
          <w:rStyle w:val="StringTok"/>
        </w:rPr>
        <w:t xml:space="preserve">"bytes_served"</w:t>
      </w:r>
      <w:r>
        <w:rPr>
          <w:rStyle w:val="NormalTok"/>
        </w:rPr>
        <w:t xml:space="preserve">]</w:t>
      </w:r>
      <w:r>
        <w:br/>
      </w:r>
      <w:r>
        <w:rPr>
          <w:rStyle w:val="NormalTok"/>
        </w:rPr>
        <w:t xml:space="preserve">    </w:t>
      </w:r>
      <w:r>
        <w:rPr>
          <w:rStyle w:val="ControlFlowTok"/>
        </w:rPr>
        <w:t xml:space="preserve">return</w:t>
      </w:r>
      <w:r>
        <w:rPr>
          <w:rStyle w:val="NormalTok"/>
        </w:rPr>
        <w:t xml:space="preserve"> s</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N_OBJ, N_REQ, N_POPS </w:t>
      </w:r>
      <w:r>
        <w:rPr>
          <w:rStyle w:val="OperatorTok"/>
        </w:rPr>
        <w:t xml:space="preserve">=</w:t>
      </w:r>
      <w:r>
        <w:rPr>
          <w:rStyle w:val="NormalTok"/>
        </w:rPr>
        <w:t xml:space="preserve"> </w:t>
      </w:r>
      <w:r>
        <w:rPr>
          <w:rStyle w:val="DecValTok"/>
        </w:rPr>
        <w:t xml:space="preserve">50_000</w:t>
      </w:r>
      <w:r>
        <w:rPr>
          <w:rStyle w:val="NormalTok"/>
        </w:rPr>
        <w:t xml:space="preserve">, </w:t>
      </w:r>
      <w:r>
        <w:rPr>
          <w:rStyle w:val="DecValTok"/>
        </w:rPr>
        <w:t xml:space="preserve">1_000_000</w:t>
      </w:r>
      <w:r>
        <w:rPr>
          <w:rStyle w:val="NormalTok"/>
        </w:rPr>
        <w:t xml:space="preserve">, </w:t>
      </w:r>
      <w:r>
        <w:rPr>
          <w:rStyle w:val="DecValTok"/>
        </w:rPr>
        <w:t xml:space="preserve">20</w:t>
      </w:r>
      <w:r>
        <w:br/>
      </w:r>
      <w:r>
        <w:rPr>
          <w:rStyle w:val="NormalTok"/>
        </w:rPr>
        <w:t xml:space="preserve">    sizes, trace </w:t>
      </w:r>
      <w:r>
        <w:rPr>
          <w:rStyle w:val="OperatorTok"/>
        </w:rPr>
        <w:t xml:space="preserve">=</w:t>
      </w:r>
      <w:r>
        <w:rPr>
          <w:rStyle w:val="NormalTok"/>
        </w:rPr>
        <w:t xml:space="preserve"> make_workload(N_OBJ, N_REQ, N_POPS, alpha</w:t>
      </w:r>
      <w:r>
        <w:rPr>
          <w:rStyle w:val="OperatorTok"/>
        </w:rPr>
        <w:t xml:space="preserve">=</w:t>
      </w:r>
      <w:r>
        <w:rPr>
          <w:rStyle w:val="FloatTok"/>
        </w:rPr>
        <w:t xml:space="preserve">1.0</w:t>
      </w:r>
      <w:r>
        <w:rPr>
          <w:rStyle w:val="NormalTok"/>
        </w:rPr>
        <w:t xml:space="preserve">, seed</w:t>
      </w:r>
      <w:r>
        <w:rPr>
          <w:rStyle w:val="OperatorTok"/>
        </w:rPr>
        <w:t xml:space="preserve">=</w:t>
      </w:r>
      <w:r>
        <w:rPr>
          <w:rStyle w:val="DecValTok"/>
        </w:rPr>
        <w:t xml:space="preserve">21</w:t>
      </w:r>
      <w:r>
        <w:rPr>
          <w:rStyle w:val="NormalTok"/>
        </w:rPr>
        <w:t xml:space="preserve">)</w:t>
      </w:r>
      <w:r>
        <w:br/>
      </w:r>
      <w:r>
        <w:rPr>
          <w:rStyle w:val="NormalTok"/>
        </w:rPr>
        <w:t xml:space="preserve">    catalog </w:t>
      </w:r>
      <w:r>
        <w:rPr>
          <w:rStyle w:val="OperatorTok"/>
        </w:rPr>
        <w:t xml:space="preserve">=</w:t>
      </w:r>
      <w:r>
        <w:rPr>
          <w:rStyle w:val="NormalTok"/>
        </w:rPr>
        <w:t xml:space="preserve"> </w:t>
      </w:r>
      <w:r>
        <w:rPr>
          <w:rStyle w:val="BuiltInTok"/>
        </w:rPr>
        <w:t xml:space="preserve">sum</w:t>
      </w:r>
      <w:r>
        <w:rPr>
          <w:rStyle w:val="NormalTok"/>
        </w:rPr>
        <w:t xml:space="preserve">(sizes)</w:t>
      </w:r>
      <w:r>
        <w:br/>
      </w:r>
      <w:r>
        <w:rPr>
          <w:rStyle w:val="NormalTok"/>
        </w:rPr>
        <w:t xml:space="preserve">    edge </w:t>
      </w:r>
      <w:r>
        <w:rPr>
          <w:rStyle w:val="OperatorTok"/>
        </w:rPr>
        <w:t xml:space="preserve">=</w:t>
      </w:r>
      <w:r>
        <w:rPr>
          <w:rStyle w:val="NormalTok"/>
        </w:rPr>
        <w:t xml:space="preserve"> </w:t>
      </w:r>
      <w:r>
        <w:rPr>
          <w:rStyle w:val="BuiltInTok"/>
        </w:rPr>
        <w:t xml:space="preserve">int</w:t>
      </w:r>
      <w:r>
        <w:rPr>
          <w:rStyle w:val="NormalTok"/>
        </w:rPr>
        <w:t xml:space="preserve">(</w:t>
      </w:r>
      <w:r>
        <w:rPr>
          <w:rStyle w:val="FloatTok"/>
        </w:rPr>
        <w:t xml:space="preserve">0.03</w:t>
      </w:r>
      <w:r>
        <w:rPr>
          <w:rStyle w:val="NormalTok"/>
        </w:rPr>
        <w:t xml:space="preserve"> </w:t>
      </w:r>
      <w:r>
        <w:rPr>
          <w:rStyle w:val="OperatorTok"/>
        </w:rPr>
        <w:t xml:space="preserve">*</w:t>
      </w:r>
      <w:r>
        <w:rPr>
          <w:rStyle w:val="NormalTok"/>
        </w:rPr>
        <w:t xml:space="preserve"> catalog)              </w:t>
      </w:r>
      <w:r>
        <w:rPr>
          <w:rStyle w:val="CommentTok"/>
        </w:rPr>
        <w:t xml:space="preserve"># each PoP holds 3% of the catalog</w:t>
      </w:r>
      <w:r>
        <w:br/>
      </w:r>
      <w:r>
        <w:rPr>
          <w:rStyle w:val="NormalTok"/>
        </w:rPr>
        <w:t xml:space="preserve">    </w:t>
      </w:r>
      <w:r>
        <w:rPr>
          <w:rStyle w:val="BuiltInTok"/>
        </w:rPr>
        <w:t xml:space="preserve">print</w:t>
      </w:r>
      <w:r>
        <w:rPr>
          <w:rStyle w:val="NormalTok"/>
        </w:rPr>
        <w:t xml:space="preserve">(</w:t>
      </w:r>
      <w:r>
        <w:rPr>
          <w:rStyle w:val="SpecialStringTok"/>
        </w:rPr>
        <w:t xml:space="preserve">f"catalog </w:t>
      </w:r>
      <w:r>
        <w:rPr>
          <w:rStyle w:val="SpecialCharTok"/>
        </w:rPr>
        <w:t xml:space="preserve">{</w:t>
      </w:r>
      <w:r>
        <w:rPr>
          <w:rStyle w:val="NormalTok"/>
        </w:rPr>
        <w:t xml:space="preserve">catalog </w:t>
      </w:r>
      <w:r>
        <w:rPr>
          <w:rStyle w:val="OperatorTok"/>
        </w:rPr>
        <w:t xml:space="preserve">/</w:t>
      </w:r>
      <w:r>
        <w:rPr>
          <w:rStyle w:val="NormalTok"/>
        </w:rPr>
        <w:t xml:space="preserve"> </w:t>
      </w:r>
      <w:r>
        <w:rPr>
          <w:rStyle w:val="FloatTok"/>
        </w:rPr>
        <w:t xml:space="preserve">1e9</w:t>
      </w:r>
      <w:r>
        <w:rPr>
          <w:rStyle w:val="SpecialCharTok"/>
        </w:rPr>
        <w:t xml:space="preserve">:.1f}</w:t>
      </w:r>
      <w:r>
        <w:rPr>
          <w:rStyle w:val="SpecialStringTok"/>
        </w:rPr>
        <w:t xml:space="preserve"> GB, </w:t>
      </w:r>
      <w:r>
        <w:rPr>
          <w:rStyle w:val="SpecialCharTok"/>
        </w:rPr>
        <w:t xml:space="preserve">{</w:t>
      </w:r>
      <w:r>
        <w:rPr>
          <w:rStyle w:val="NormalTok"/>
        </w:rPr>
        <w:t xml:space="preserve">N_POPS</w:t>
      </w:r>
      <w:r>
        <w:rPr>
          <w:rStyle w:val="SpecialCharTok"/>
        </w:rPr>
        <w:t xml:space="preserve">}</w:t>
      </w:r>
      <w:r>
        <w:rPr>
          <w:rStyle w:val="SpecialStringTok"/>
        </w:rPr>
        <w:t xml:space="preserve"> PoPs x </w:t>
      </w:r>
      <w:r>
        <w:rPr>
          <w:rStyle w:val="SpecialCharTok"/>
        </w:rPr>
        <w:t xml:space="preserve">{</w:t>
      </w:r>
      <w:r>
        <w:rPr>
          <w:rStyle w:val="NormalTok"/>
        </w:rPr>
        <w:t xml:space="preserve">edge </w:t>
      </w:r>
      <w:r>
        <w:rPr>
          <w:rStyle w:val="OperatorTok"/>
        </w:rPr>
        <w:t xml:space="preserve">/</w:t>
      </w:r>
      <w:r>
        <w:rPr>
          <w:rStyle w:val="NormalTok"/>
        </w:rPr>
        <w:t xml:space="preserve"> </w:t>
      </w:r>
      <w:r>
        <w:rPr>
          <w:rStyle w:val="FloatTok"/>
        </w:rPr>
        <w:t xml:space="preserve">1e9</w:t>
      </w:r>
      <w:r>
        <w:rPr>
          <w:rStyle w:val="SpecialCharTok"/>
        </w:rPr>
        <w:t xml:space="preserve">:.2f}</w:t>
      </w:r>
      <w:r>
        <w:rPr>
          <w:rStyle w:val="SpecialStringTok"/>
        </w:rPr>
        <w:t xml:space="preserve"> GB each"</w:t>
      </w:r>
      <w:r>
        <w:rPr>
          <w:rStyle w:val="NormalTok"/>
        </w:rPr>
        <w:t xml:space="preserve">)</w:t>
      </w:r>
      <w:r>
        <w:br/>
      </w:r>
      <w:r>
        <w:rPr>
          <w:rStyle w:val="NormalTok"/>
        </w:rPr>
        <w:t xml:space="preserve">    </w:t>
      </w:r>
      <w:r>
        <w:rPr>
          <w:rStyle w:val="ControlFlowTok"/>
        </w:rPr>
        <w:t xml:space="preserve">for</w:t>
      </w:r>
      <w:r>
        <w:rPr>
          <w:rStyle w:val="NormalTok"/>
        </w:rPr>
        <w:t xml:space="preserve"> label, shield </w:t>
      </w:r>
      <w:r>
        <w:rPr>
          <w:rStyle w:val="KeywordTok"/>
        </w:rPr>
        <w:t xml:space="preserve">in</w:t>
      </w:r>
      <w:r>
        <w:rPr>
          <w:rStyle w:val="NormalTok"/>
        </w:rPr>
        <w:t xml:space="preserve"> [(</w:t>
      </w:r>
      <w:r>
        <w:rPr>
          <w:rStyle w:val="StringTok"/>
        </w:rPr>
        <w:t xml:space="preserve">"no shield"</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"shield 10</w:t>
      </w:r>
      <w:r>
        <w:rPr>
          <w:rStyle w:val="SpecialCharTok"/>
        </w:rPr>
        <w:t xml:space="preserve">% o</w:t>
      </w:r>
      <w:r>
        <w:rPr>
          <w:rStyle w:val="StringTok"/>
        </w:rPr>
        <w:t xml:space="preserve">f catalog"</w:t>
      </w:r>
      <w:r>
        <w:rPr>
          <w:rStyle w:val="NormalTok"/>
        </w:rPr>
        <w:t xml:space="preserve">, </w:t>
      </w:r>
      <w:r>
        <w:rPr>
          <w:rStyle w:val="BuiltInTok"/>
        </w:rPr>
        <w:t xml:space="preserve">int</w:t>
      </w:r>
      <w:r>
        <w:rPr>
          <w:rStyle w:val="NormalTok"/>
        </w:rPr>
        <w:t xml:space="preserve">(</w:t>
      </w:r>
      <w:r>
        <w:rPr>
          <w:rStyle w:val="FloatTok"/>
        </w:rPr>
        <w:t xml:space="preserve">0.10</w:t>
      </w:r>
      <w:r>
        <w:rPr>
          <w:rStyle w:val="NormalTok"/>
        </w:rPr>
        <w:t xml:space="preserve"> </w:t>
      </w:r>
      <w:r>
        <w:rPr>
          <w:rStyle w:val="OperatorTok"/>
        </w:rPr>
        <w:t xml:space="preserve">*</w:t>
      </w:r>
      <w:r>
        <w:rPr>
          <w:rStyle w:val="NormalTok"/>
        </w:rPr>
        <w:t xml:space="preserve"> catalog)),</w:t>
      </w:r>
      <w:r>
        <w:br/>
      </w:r>
      <w:r>
        <w:rPr>
          <w:rStyle w:val="NormalTok"/>
        </w:rPr>
        <w:t xml:space="preserve">                          (</w:t>
      </w:r>
      <w:r>
        <w:rPr>
          <w:rStyle w:val="StringTok"/>
        </w:rPr>
        <w:t xml:space="preserve">"shield 30</w:t>
      </w:r>
      <w:r>
        <w:rPr>
          <w:rStyle w:val="SpecialCharTok"/>
        </w:rPr>
        <w:t xml:space="preserve">% o</w:t>
      </w:r>
      <w:r>
        <w:rPr>
          <w:rStyle w:val="StringTok"/>
        </w:rPr>
        <w:t xml:space="preserve">f catalog"</w:t>
      </w:r>
      <w:r>
        <w:rPr>
          <w:rStyle w:val="NormalTok"/>
        </w:rPr>
        <w:t xml:space="preserve">, </w:t>
      </w:r>
      <w:r>
        <w:rPr>
          <w:rStyle w:val="BuiltInTok"/>
        </w:rPr>
        <w:t xml:space="preserve">int</w:t>
      </w:r>
      <w:r>
        <w:rPr>
          <w:rStyle w:val="NormalTok"/>
        </w:rPr>
        <w:t xml:space="preserve">(</w:t>
      </w:r>
      <w:r>
        <w:rPr>
          <w:rStyle w:val="FloatTok"/>
        </w:rPr>
        <w:t xml:space="preserve">0.30</w:t>
      </w:r>
      <w:r>
        <w:rPr>
          <w:rStyle w:val="NormalTok"/>
        </w:rPr>
        <w:t xml:space="preserve"> </w:t>
      </w:r>
      <w:r>
        <w:rPr>
          <w:rStyle w:val="OperatorTok"/>
        </w:rPr>
        <w:t xml:space="preserve">*</w:t>
      </w:r>
      <w:r>
        <w:rPr>
          <w:rStyle w:val="NormalTok"/>
        </w:rPr>
        <w:t xml:space="preserve"> catalog))]:</w:t>
      </w:r>
      <w:r>
        <w:br/>
      </w:r>
      <w:r>
        <w:rPr>
          <w:rStyle w:val="NormalTok"/>
        </w:rPr>
        <w:t xml:space="preserve">        r </w:t>
      </w:r>
      <w:r>
        <w:rPr>
          <w:rStyle w:val="OperatorTok"/>
        </w:rPr>
        <w:t xml:space="preserve">=</w:t>
      </w:r>
      <w:r>
        <w:rPr>
          <w:rStyle w:val="NormalTok"/>
        </w:rPr>
        <w:t xml:space="preserve"> simulate(sizes, trace, N_POPS, edge, shield)</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label</w:t>
      </w:r>
      <w:r>
        <w:rPr>
          <w:rStyle w:val="SpecialCharTok"/>
        </w:rPr>
        <w:t xml:space="preserve">:&lt;22}</w:t>
      </w:r>
      <w:r>
        <w:rPr>
          <w:rStyle w:val="SpecialStringTok"/>
        </w:rPr>
        <w:t xml:space="preserve"> edge hit </w:t>
      </w:r>
      <w:r>
        <w:rPr>
          <w:rStyle w:val="SpecialCharTok"/>
        </w:rPr>
        <w:t xml:space="preserve">{</w:t>
      </w:r>
      <w:r>
        <w:rPr>
          <w:rStyle w:val="NormalTok"/>
        </w:rPr>
        <w:t xml:space="preserve">r[</w:t>
      </w:r>
      <w:r>
        <w:rPr>
          <w:rStyle w:val="StringTok"/>
        </w:rPr>
        <w:t xml:space="preserve">'edge_hits'</w:t>
      </w:r>
      <w:r>
        <w:rPr>
          <w:rStyle w:val="NormalTok"/>
        </w:rPr>
        <w:t xml:space="preserve">] </w:t>
      </w:r>
      <w:r>
        <w:rPr>
          <w:rStyle w:val="OperatorTok"/>
        </w:rPr>
        <w:t xml:space="preserve">/</w:t>
      </w:r>
      <w:r>
        <w:rPr>
          <w:rStyle w:val="NormalTok"/>
        </w:rPr>
        <w:t xml:space="preserve"> r[</w:t>
      </w:r>
      <w:r>
        <w:rPr>
          <w:rStyle w:val="StringTok"/>
        </w:rPr>
        <w:t xml:space="preserve">'requests'</w:t>
      </w:r>
      <w:r>
        <w:rPr>
          <w:rStyle w:val="NormalTok"/>
        </w:rPr>
        <w:t xml:space="preserve">]</w:t>
      </w:r>
      <w:r>
        <w:rPr>
          <w:rStyle w:val="SpecialCharTok"/>
        </w:rPr>
        <w:t xml:space="preserve">:6.1%}</w:t>
      </w:r>
      <w:r>
        <w:rPr>
          <w:rStyle w:val="SpecialStringTok"/>
        </w:rPr>
        <w:t xml:space="preserve">  "</w:t>
      </w:r>
      <w:r>
        <w:br/>
      </w:r>
      <w:r>
        <w:rPr>
          <w:rStyle w:val="NormalTok"/>
        </w:rPr>
        <w:t xml:space="preserve">              </w:t>
      </w:r>
      <w:r>
        <w:rPr>
          <w:rStyle w:val="SpecialStringTok"/>
        </w:rPr>
        <w:t xml:space="preserve">f"origin fetches </w:t>
      </w:r>
      <w:r>
        <w:rPr>
          <w:rStyle w:val="SpecialCharTok"/>
        </w:rPr>
        <w:t xml:space="preserve">{</w:t>
      </w:r>
      <w:r>
        <w:rPr>
          <w:rStyle w:val="NormalTok"/>
        </w:rPr>
        <w:t xml:space="preserve">r[</w:t>
      </w:r>
      <w:r>
        <w:rPr>
          <w:rStyle w:val="StringTok"/>
        </w:rPr>
        <w:t xml:space="preserve">'origin_fetches'</w:t>
      </w:r>
      <w:r>
        <w:rPr>
          <w:rStyle w:val="NormalTok"/>
        </w:rPr>
        <w:t xml:space="preserve">]</w:t>
      </w:r>
      <w:r>
        <w:rPr>
          <w:rStyle w:val="SpecialCharTok"/>
        </w:rPr>
        <w:t xml:space="preserve">:&gt;7,}</w:t>
      </w:r>
      <w:r>
        <w:rPr>
          <w:rStyle w:val="SpecialStringTok"/>
        </w:rPr>
        <w:t xml:space="preserve">  "</w:t>
      </w:r>
      <w:r>
        <w:br/>
      </w:r>
      <w:r>
        <w:rPr>
          <w:rStyle w:val="NormalTok"/>
        </w:rPr>
        <w:t xml:space="preserve">              </w:t>
      </w:r>
      <w:r>
        <w:rPr>
          <w:rStyle w:val="SpecialStringTok"/>
        </w:rPr>
        <w:t xml:space="preserve">f"request offload </w:t>
      </w:r>
      <w:r>
        <w:rPr>
          <w:rStyle w:val="SpecialCharTok"/>
        </w:rPr>
        <w:t xml:space="preserve">{</w:t>
      </w:r>
      <w:r>
        <w:rPr>
          <w:rStyle w:val="NormalTok"/>
        </w:rPr>
        <w:t xml:space="preserve">r[</w:t>
      </w:r>
      <w:r>
        <w:rPr>
          <w:rStyle w:val="StringTok"/>
        </w:rPr>
        <w:t xml:space="preserve">'request_offload'</w:t>
      </w:r>
      <w:r>
        <w:rPr>
          <w:rStyle w:val="NormalTok"/>
        </w:rPr>
        <w:t xml:space="preserve">]</w:t>
      </w:r>
      <w:r>
        <w:rPr>
          <w:rStyle w:val="SpecialCharTok"/>
        </w:rPr>
        <w:t xml:space="preserve">:6.1%}</w:t>
      </w:r>
      <w:r>
        <w:rPr>
          <w:rStyle w:val="SpecialStringTok"/>
        </w:rPr>
        <w:t xml:space="preserve">  "</w:t>
      </w:r>
      <w:r>
        <w:br/>
      </w:r>
      <w:r>
        <w:rPr>
          <w:rStyle w:val="NormalTok"/>
        </w:rPr>
        <w:t xml:space="preserve">              </w:t>
      </w:r>
      <w:r>
        <w:rPr>
          <w:rStyle w:val="SpecialStringTok"/>
        </w:rPr>
        <w:t xml:space="preserve">f"byte offload </w:t>
      </w:r>
      <w:r>
        <w:rPr>
          <w:rStyle w:val="SpecialCharTok"/>
        </w:rPr>
        <w:t xml:space="preserve">{</w:t>
      </w:r>
      <w:r>
        <w:rPr>
          <w:rStyle w:val="NormalTok"/>
        </w:rPr>
        <w:t xml:space="preserve">r[</w:t>
      </w:r>
      <w:r>
        <w:rPr>
          <w:rStyle w:val="StringTok"/>
        </w:rPr>
        <w:t xml:space="preserve">'byte_offload'</w:t>
      </w:r>
      <w:r>
        <w:rPr>
          <w:rStyle w:val="NormalTok"/>
        </w:rPr>
        <w:t xml:space="preserve">]</w:t>
      </w:r>
      <w:r>
        <w:rPr>
          <w:rStyle w:val="SpecialCharTok"/>
        </w:rPr>
        <w:t xml:space="preserve">:6.1%}</w:t>
      </w:r>
      <w:r>
        <w:rPr>
          <w:rStyle w:val="SpecialStringTok"/>
        </w:rPr>
        <w:t xml:space="preserve">  "</w:t>
      </w:r>
      <w:r>
        <w:br/>
      </w:r>
      <w:r>
        <w:rPr>
          <w:rStyle w:val="NormalTok"/>
        </w:rPr>
        <w:t xml:space="preserve">              </w:t>
      </w:r>
      <w:r>
        <w:rPr>
          <w:rStyle w:val="SpecialStringTok"/>
        </w:rPr>
        <w:t xml:space="preserve">f"origin egress </w:t>
      </w:r>
      <w:r>
        <w:rPr>
          <w:rStyle w:val="SpecialCharTok"/>
        </w:rPr>
        <w:t xml:space="preserve">{</w:t>
      </w:r>
      <w:r>
        <w:rPr>
          <w:rStyle w:val="NormalTok"/>
        </w:rPr>
        <w:t xml:space="preserve">r[</w:t>
      </w:r>
      <w:r>
        <w:rPr>
          <w:rStyle w:val="StringTok"/>
        </w:rPr>
        <w:t xml:space="preserve">'origin_bytes'</w:t>
      </w:r>
      <w:r>
        <w:rPr>
          <w:rStyle w:val="NormalTok"/>
        </w:rPr>
        <w:t xml:space="preserve">] </w:t>
      </w:r>
      <w:r>
        <w:rPr>
          <w:rStyle w:val="OperatorTok"/>
        </w:rPr>
        <w:t xml:space="preserve">/</w:t>
      </w:r>
      <w:r>
        <w:rPr>
          <w:rStyle w:val="NormalTok"/>
        </w:rPr>
        <w:t xml:space="preserve"> </w:t>
      </w:r>
      <w:r>
        <w:rPr>
          <w:rStyle w:val="FloatTok"/>
        </w:rPr>
        <w:t xml:space="preserve">1e9</w:t>
      </w:r>
      <w:r>
        <w:rPr>
          <w:rStyle w:val="SpecialCharTok"/>
        </w:rPr>
        <w:t xml:space="preserve">:5.1f}</w:t>
      </w:r>
      <w:r>
        <w:rPr>
          <w:rStyle w:val="SpecialStringTok"/>
        </w:rPr>
        <w:t xml:space="preserve"> GB"</w:t>
      </w:r>
      <w:r>
        <w:rPr>
          <w:rStyle w:val="NormalTok"/>
        </w:rPr>
        <w:t xml:space="preserve">)</w:t>
      </w:r>
    </w:p>
    <w:p>
      <w:pPr>
        <w:pStyle w:val="FirstParagraph"/>
      </w:pPr>
      <w:r>
        <w:t xml:space="preserve">Output (Python 3.13, about 3 s):</w:t>
      </w:r>
    </w:p>
    <w:p>
      <w:pPr>
        <w:pStyle w:val="SourceCode"/>
      </w:pPr>
      <w:r>
        <w:rPr>
          <w:rStyle w:val="VerbatimChar"/>
        </w:rPr>
        <w:t xml:space="preserve">catalog 15.8 GB, 20 PoPs x 0.47 GB each</w:t>
      </w:r>
      <w:r>
        <w:br/>
      </w:r>
      <w:r>
        <w:rPr>
          <w:rStyle w:val="VerbatimChar"/>
        </w:rPr>
        <w:t xml:space="preserve">no shield              edge hit  58.3%  origin fetches 417,280  request offload  58.3%  byte offload  62.4%  origin egress 132.4 GB</w:t>
      </w:r>
      <w:r>
        <w:br/>
      </w:r>
      <w:r>
        <w:rPr>
          <w:rStyle w:val="VerbatimChar"/>
        </w:rPr>
        <w:t xml:space="preserve">shield 10% of catalog  edge hit  58.3%  origin fetches 278,623  request offload  72.1%  byte offload  74.9%  origin egress  88.2 GB</w:t>
      </w:r>
      <w:r>
        <w:br/>
      </w:r>
      <w:r>
        <w:rPr>
          <w:rStyle w:val="VerbatimChar"/>
        </w:rPr>
        <w:t xml:space="preserve">shield 30% of catalog  edge hit  58.3%  origin fetches 156,952  request offload  84.3%  byte offload  85.9%  origin egress  49.5 GB</w:t>
      </w:r>
    </w:p>
    <w:p>
      <w:pPr>
        <w:pStyle w:val="FirstParagraph"/>
      </w:pPr>
      <w:r>
        <w:t xml:space="preserve">What to notice:</w:t>
      </w:r>
    </w:p>
    <w:p>
      <w:pPr>
        <w:numPr>
          <w:ilvl w:val="0"/>
          <w:numId w:val="1693"/>
        </w:numPr>
        <w:pStyle w:val="Compact"/>
      </w:pPr>
      <w:r>
        <w:t xml:space="preserve">The edge hit ratio is identical in all three runs: the shield does not change what edges see, only where their misses go.</w:t>
      </w:r>
    </w:p>
    <w:p>
      <w:pPr>
        <w:numPr>
          <w:ilvl w:val="0"/>
          <w:numId w:val="1693"/>
        </w:numPr>
        <w:pStyle w:val="Compact"/>
      </w:pPr>
      <w:r>
        <w:t xml:space="preserve">A shield holding 30% of the catalog absorbs</w:t>
      </w:r>
      <w:r>
        <w:t xml:space="preserve"> </w:t>
      </w:r>
      <m:oMath>
        <m:r>
          <m:t>1</m:t>
        </m:r>
        <m:r>
          <m:rPr>
            <m:sty m:val="p"/>
          </m:rPr>
          <m:t>−</m:t>
        </m:r>
        <m:r>
          <m:t>156</m:t>
        </m:r>
        <m:r>
          <m:rPr>
            <m:sty m:val="p"/>
          </m:rPr>
          <m:t>,</m:t>
        </m:r>
        <m:r>
          <m:t>952</m:t>
        </m:r>
        <m:r>
          <m:rPr>
            <m:sty m:val="p"/>
          </m:rPr>
          <m:t>/</m:t>
        </m:r>
        <m:r>
          <m:t>417</m:t>
        </m:r>
        <m:r>
          <m:rPr>
            <m:sty m:val="p"/>
          </m:rPr>
          <m:t>,</m:t>
        </m:r>
        <m:r>
          <m:t>280</m:t>
        </m:r>
        <m:r>
          <m:rPr>
            <m:sty m:val="p"/>
          </m:rPr>
          <m:t>=</m:t>
        </m:r>
        <m:r>
          <m:t>62</m:t>
        </m:r>
        <m:r>
          <m:rPr>
            <m:sty m:val="p"/>
          </m:rPr>
          <m:t>%</m:t>
        </m:r>
      </m:oMath>
      <w:r>
        <w:t xml:space="preserve"> </w:t>
      </w:r>
      <w:r>
        <w:t xml:space="preserve">of edge misses and cuts origin egress from 132.4 GB to 49.5 GB. It aggregates 20 PoPs’ long tails, so objects that are rare at each PoP are popular at the shield.</w:t>
      </w:r>
    </w:p>
    <w:p>
      <w:pPr>
        <w:numPr>
          <w:ilvl w:val="0"/>
          <w:numId w:val="1693"/>
        </w:numPr>
        <w:pStyle w:val="Compact"/>
      </w:pPr>
      <w:r>
        <w:rPr>
          <w:rStyle w:val="VerbatimChar"/>
        </w:rPr>
        <w:t xml:space="preserve">put</w:t>
      </w:r>
      <w:r>
        <w:t xml:space="preserve"> </w:t>
      </w:r>
      <w:r>
        <w:t xml:space="preserve">is byte-based, so one 1 MB object evicts fifty 20 KB ones; size-aware policies (§20.9) can do better.</w:t>
      </w:r>
    </w:p>
    <w:p>
      <w:pPr>
        <w:numPr>
          <w:ilvl w:val="0"/>
          <w:numId w:val="1693"/>
        </w:numPr>
        <w:pStyle w:val="Compact"/>
      </w:pPr>
      <w:r>
        <w:t xml:space="preserve">Tests in</w:t>
      </w:r>
      <w:r>
        <w:t xml:space="preserve"> </w:t>
      </w:r>
      <w:r>
        <w:rPr>
          <w:rStyle w:val="VerbatimChar"/>
        </w:rPr>
        <w:t xml:space="preserve">code/ch21/test_listing_01.py</w:t>
      </w:r>
      <w:r>
        <w:t xml:space="preserve"> </w:t>
      </w:r>
      <w:r>
        <w:t xml:space="preserve">check LRU eviction, that shield hits plus origin fetches equal edge misses, that a shield never increases origin fetches, and that with unlimited caches the origin sees one fetch per object with a shield but one per (PoP, object) pair without.</w:t>
      </w:r>
    </w:p>
    <w:bookmarkStart w:id="2390" w:name="X9db8fe512d41fa502a8cd4a4275eb34312bff7e"/>
    <w:p>
      <w:pPr>
        <w:pStyle w:val="Heading4"/>
      </w:pPr>
      <w:r>
        <w:t xml:space="preserve">Advantages, disadvantages and failure scenarios</w:t>
      </w:r>
    </w:p>
    <w:p>
      <w:pPr>
        <w:pStyle w:val="FirstParagraph"/>
      </w:pPr>
      <w:r>
        <w:t xml:space="preserve">A shield adds a hop (cheap if it sits near the origin) and concentrates traffic, so it must be redundant. Place it closest to the origin, not to users, with one shield per origin region.</w:t>
      </w:r>
    </w:p>
    <w:p>
      <w:pPr>
        <w:pStyle w:val="CalloutMistake"/>
      </w:pPr>
      <w:r>
        <w:rPr>
          <w:bCs/>
          <w:b/>
        </w:rPr>
        <w:t xml:space="preserve">COMMON MISTAKE</w:t>
      </w:r>
    </w:p>
    <w:p>
      <w:pPr>
        <w:pStyle w:val="CalloutMistake"/>
      </w:pPr>
      <w:r>
        <w:rPr>
          <w:bCs/>
          <w:b/>
        </w:rPr>
        <w:t xml:space="preserve">“</w:t>
      </w:r>
      <w:r>
        <w:rPr>
          <w:bCs/>
          <w:b/>
        </w:rPr>
        <w:t xml:space="preserve">Our CDN hit ratio is 95%, so the origin is safe.</w:t>
      </w:r>
      <w:r>
        <w:rPr>
          <w:bCs/>
          <w:b/>
        </w:rPr>
        <w:t xml:space="preserve">”</w:t>
      </w:r>
      <w:r>
        <w:t xml:space="preserve"> </w:t>
      </w:r>
      <w:r>
        <w:t xml:space="preserve">A dashboard hit ratio usually counts edge hits only, often by request. The origin cares about requests and bytes that cross the CDN–origin boundary, including revalidations and purge-driven refetches. Measure offload at the origin’s own access logs.</w:t>
      </w:r>
    </w:p>
    <w:bookmarkEnd w:id="2390"/>
    <w:bookmarkEnd w:id="2391"/>
    <w:bookmarkEnd w:id="2392"/>
    <w:bookmarkStart w:id="2402" w:name="X580f798682c3c59059198021b128131a0b6770c"/>
    <w:p>
      <w:pPr>
        <w:pStyle w:val="Heading2"/>
      </w:pPr>
      <w:r>
        <w:t xml:space="preserve">21.6 Cache keys, HTTP caching headers and invalidation</w:t>
      </w:r>
    </w:p>
    <w:bookmarkStart w:id="2396" w:name="freshness-and-validation-under-rfc-9111"/>
    <w:p>
      <w:pPr>
        <w:pStyle w:val="Heading3"/>
      </w:pPr>
      <w:r>
        <w:t xml:space="preserve">21.6.1 Freshness and validation under RFC 9111</w:t>
      </w:r>
    </w:p>
    <w:p>
      <w:pPr>
        <w:pStyle w:val="FirstParagraph"/>
      </w:pPr>
      <w:r>
        <w:t xml:space="preserve">A CDN is a</w:t>
      </w:r>
      <w:r>
        <w:t xml:space="preserve"> </w:t>
      </w:r>
      <w:r>
        <w:rPr>
          <w:bCs/>
          <w:b/>
        </w:rPr>
        <w:t xml:space="preserve">shared cache</w:t>
      </w:r>
      <w:r>
        <w:t xml:space="preserve"> </w:t>
      </w:r>
      <w:r>
        <w:t xml:space="preserve">in the vocabulary of RFC 9111, which defines HTTP caching: it stores responses and reuses them for many users. The origin controls that reuse with response headers.</w:t>
      </w:r>
    </w:p>
    <w:p>
      <w:pPr>
        <w:pStyle w:val="CalloutDefinition"/>
      </w:pPr>
      <w:r>
        <w:rPr>
          <w:bCs/>
          <w:b/>
        </w:rPr>
        <w:t xml:space="preserve">DEFINITION</w:t>
      </w:r>
    </w:p>
    <w:p>
      <w:pPr>
        <w:pStyle w:val="CalloutDefinition"/>
      </w:pPr>
      <w:r>
        <w:rPr>
          <w:bCs/>
          <w:b/>
        </w:rPr>
        <w:t xml:space="preserve">Definition — Freshness and validation.</w:t>
      </w:r>
      <w:r>
        <w:t xml:space="preserve"> </w:t>
      </w:r>
      <w:r>
        <w:t xml:space="preserve">A stored response is</w:t>
      </w:r>
      <w:r>
        <w:t xml:space="preserve"> </w:t>
      </w:r>
      <w:r>
        <w:rPr>
          <w:bCs/>
          <w:b/>
        </w:rPr>
        <w:t xml:space="preserve">fresh</w:t>
      </w:r>
      <w:r>
        <w:t xml:space="preserve"> </w:t>
      </w:r>
      <w:r>
        <w:t xml:space="preserve">while its age is below its</w:t>
      </w:r>
      <w:r>
        <w:t xml:space="preserve"> </w:t>
      </w:r>
      <w:r>
        <w:rPr>
          <w:bCs/>
          <w:b/>
        </w:rPr>
        <w:t xml:space="preserve">freshness lifetime</w:t>
      </w:r>
      <w:r>
        <w:t xml:space="preserve"> </w:t>
      </w:r>
      <w:r>
        <w:t xml:space="preserve">and may then be served without contacting the origin; once</w:t>
      </w:r>
      <w:r>
        <w:t xml:space="preserve"> </w:t>
      </w:r>
      <w:r>
        <w:rPr>
          <w:bCs/>
          <w:b/>
        </w:rPr>
        <w:t xml:space="preserve">stale</w:t>
      </w:r>
      <w:r>
        <w:t xml:space="preserve">, it must normally be</w:t>
      </w:r>
      <w:r>
        <w:t xml:space="preserve"> </w:t>
      </w:r>
      <w:r>
        <w:rPr>
          <w:bCs/>
          <w:b/>
        </w:rPr>
        <w:t xml:space="preserve">revalidated</w:t>
      </w:r>
      <w:r>
        <w:t xml:space="preserve">, by sending a conditional request (</w:t>
      </w:r>
      <w:r>
        <w:rPr>
          <w:rStyle w:val="VerbatimChar"/>
        </w:rPr>
        <w:t xml:space="preserve">If-None-Match</w:t>
      </w:r>
      <w:r>
        <w:t xml:space="preserve"> </w:t>
      </w:r>
      <w:r>
        <w:t xml:space="preserve">with the stored</w:t>
      </w:r>
      <w:r>
        <w:t xml:space="preserve"> </w:t>
      </w:r>
      <w:r>
        <w:rPr>
          <w:rStyle w:val="VerbatimChar"/>
        </w:rPr>
        <w:t xml:space="preserve">ETag</w:t>
      </w:r>
      <w:r>
        <w:t xml:space="preserve">, or</w:t>
      </w:r>
      <w:r>
        <w:t xml:space="preserve"> </w:t>
      </w:r>
      <w:r>
        <w:rPr>
          <w:rStyle w:val="VerbatimChar"/>
        </w:rPr>
        <w:t xml:space="preserve">If-Modified-Since</w:t>
      </w:r>
      <w:r>
        <w:t xml:space="preserve">), to which the origin answers</w:t>
      </w:r>
      <w:r>
        <w:t xml:space="preserve"> </w:t>
      </w:r>
      <w:r>
        <w:rPr>
          <w:rStyle w:val="VerbatimChar"/>
        </w:rPr>
        <w:t xml:space="preserve">304 Not Modified</w:t>
      </w:r>
      <w:r>
        <w:t xml:space="preserve"> </w:t>
      </w:r>
      <w:r>
        <w:t xml:space="preserve">(keep using the copy) or</w:t>
      </w:r>
      <w:r>
        <w:t xml:space="preserve"> </w:t>
      </w:r>
      <w:r>
        <w:rPr>
          <w:rStyle w:val="VerbatimChar"/>
        </w:rPr>
        <w:t xml:space="preserve">200 OK</w:t>
      </w:r>
      <w:r>
        <w:t xml:space="preserve"> </w:t>
      </w:r>
      <w:r>
        <w:t xml:space="preserve">with a new body [RFC 9111; RFC 9110].</w:t>
      </w:r>
    </w:p>
    <w:p>
      <w:pPr>
        <w:pStyle w:val="BodyText"/>
      </w:pPr>
      <w:r>
        <w:rPr>
          <w:bCs/>
          <w:b/>
        </w:rPr>
        <w:t xml:space="preserve">Table 21.4 — Caching directives a CDN designer uses.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Header or directive</w:t>
            </w:r>
          </w:p>
        </w:tc>
        <w:tc>
          <w:tcPr/>
          <w:p>
            <w:pPr>
              <w:pStyle w:val="Compact"/>
              <w:jc w:val="left"/>
            </w:pPr>
            <w:r>
              <w:t xml:space="preserve">Meaning</w:t>
            </w:r>
          </w:p>
        </w:tc>
        <w:tc>
          <w:tcPr/>
          <w:p>
            <w:pPr>
              <w:pStyle w:val="Compact"/>
              <w:jc w:val="left"/>
            </w:pPr>
            <w:r>
              <w:t xml:space="preserve">Typical use</w:t>
            </w:r>
          </w:p>
        </w:tc>
      </w:tr>
      <w:tr>
        <w:tc>
          <w:tcPr/>
          <w:p>
            <w:pPr>
              <w:pStyle w:val="Compact"/>
              <w:jc w:val="left"/>
            </w:pPr>
            <w:r>
              <w:rPr>
                <w:rStyle w:val="VerbatimChar"/>
              </w:rPr>
              <w:t xml:space="preserve">max-age=N</w:t>
            </w:r>
          </w:p>
        </w:tc>
        <w:tc>
          <w:tcPr/>
          <w:p>
            <w:pPr>
              <w:pStyle w:val="Compact"/>
              <w:jc w:val="left"/>
            </w:pPr>
            <w:r>
              <w:t xml:space="preserve">Fresh for N seconds in any cache</w:t>
            </w:r>
          </w:p>
        </w:tc>
        <w:tc>
          <w:tcPr/>
          <w:p>
            <w:pPr>
              <w:pStyle w:val="Compact"/>
              <w:jc w:val="left"/>
            </w:pPr>
            <w:r>
              <w:t xml:space="preserve">Browser and CDN lifetime</w:t>
            </w:r>
          </w:p>
        </w:tc>
      </w:tr>
      <w:tr>
        <w:tc>
          <w:tcPr/>
          <w:p>
            <w:pPr>
              <w:pStyle w:val="Compact"/>
              <w:jc w:val="left"/>
            </w:pPr>
            <w:r>
              <w:rPr>
                <w:rStyle w:val="VerbatimChar"/>
              </w:rPr>
              <w:t xml:space="preserve">s-maxage=N</w:t>
            </w:r>
          </w:p>
        </w:tc>
        <w:tc>
          <w:tcPr/>
          <w:p>
            <w:pPr>
              <w:pStyle w:val="Compact"/>
              <w:jc w:val="left"/>
            </w:pPr>
            <w:r>
              <w:t xml:space="preserve">Overrides</w:t>
            </w:r>
            <w:r>
              <w:t xml:space="preserve"> </w:t>
            </w:r>
            <w:r>
              <w:rPr>
                <w:rStyle w:val="VerbatimChar"/>
              </w:rPr>
              <w:t xml:space="preserve">max-age</w:t>
            </w:r>
            <w:r>
              <w:t xml:space="preserve"> </w:t>
            </w:r>
            <w:r>
              <w:t xml:space="preserve">in shared caches only</w:t>
            </w:r>
          </w:p>
        </w:tc>
        <w:tc>
          <w:tcPr/>
          <w:p>
            <w:pPr>
              <w:pStyle w:val="Compact"/>
              <w:jc w:val="left"/>
            </w:pPr>
            <w:r>
              <w:t xml:space="preserve">CDN longer than browsers</w:t>
            </w:r>
          </w:p>
        </w:tc>
      </w:tr>
      <w:tr>
        <w:tc>
          <w:tcPr/>
          <w:p>
            <w:pPr>
              <w:pStyle w:val="Compact"/>
              <w:jc w:val="left"/>
            </w:pPr>
            <w:r>
              <w:rPr>
                <w:rStyle w:val="VerbatimChar"/>
              </w:rPr>
              <w:t xml:space="preserve">no-cache</w:t>
            </w:r>
          </w:p>
        </w:tc>
        <w:tc>
          <w:tcPr/>
          <w:p>
            <w:pPr>
              <w:pStyle w:val="Compact"/>
              <w:jc w:val="left"/>
            </w:pPr>
            <w:r>
              <w:t xml:space="preserve">May store, but must revalidate before every use</w:t>
            </w:r>
          </w:p>
        </w:tc>
        <w:tc>
          <w:tcPr/>
          <w:p>
            <w:pPr>
              <w:pStyle w:val="Compact"/>
              <w:jc w:val="left"/>
            </w:pPr>
            <w:r>
              <w:t xml:space="preserve">HTML that must be current</w:t>
            </w:r>
          </w:p>
        </w:tc>
      </w:tr>
      <w:tr>
        <w:tc>
          <w:tcPr/>
          <w:p>
            <w:pPr>
              <w:pStyle w:val="Compact"/>
              <w:jc w:val="left"/>
            </w:pPr>
            <w:r>
              <w:rPr>
                <w:rStyle w:val="VerbatimChar"/>
              </w:rPr>
              <w:t xml:space="preserve">no-store</w:t>
            </w:r>
          </w:p>
        </w:tc>
        <w:tc>
          <w:tcPr/>
          <w:p>
            <w:pPr>
              <w:pStyle w:val="Compact"/>
              <w:jc w:val="left"/>
            </w:pPr>
            <w:r>
              <w:t xml:space="preserve">Must not store at all</w:t>
            </w:r>
          </w:p>
        </w:tc>
        <w:tc>
          <w:tcPr/>
          <w:p>
            <w:pPr>
              <w:pStyle w:val="Compact"/>
              <w:jc w:val="left"/>
            </w:pPr>
            <w:r>
              <w:t xml:space="preserve">Sensitive responses</w:t>
            </w:r>
          </w:p>
        </w:tc>
      </w:tr>
      <w:tr>
        <w:tc>
          <w:tcPr/>
          <w:p>
            <w:pPr>
              <w:pStyle w:val="Compact"/>
              <w:jc w:val="left"/>
            </w:pPr>
            <w:r>
              <w:rPr>
                <w:rStyle w:val="VerbatimChar"/>
              </w:rPr>
              <w:t xml:space="preserve">private</w:t>
            </w:r>
          </w:p>
        </w:tc>
        <w:tc>
          <w:tcPr/>
          <w:p>
            <w:pPr>
              <w:pStyle w:val="Compact"/>
              <w:jc w:val="left"/>
            </w:pPr>
            <w:r>
              <w:t xml:space="preserve">Only the user’s own browser may store it</w:t>
            </w:r>
          </w:p>
        </w:tc>
        <w:tc>
          <w:tcPr/>
          <w:p>
            <w:pPr>
              <w:pStyle w:val="Compact"/>
              <w:jc w:val="left"/>
            </w:pPr>
            <w:r>
              <w:t xml:space="preserve">Personalized pages</w:t>
            </w:r>
          </w:p>
        </w:tc>
      </w:tr>
      <w:tr>
        <w:tc>
          <w:tcPr/>
          <w:p>
            <w:pPr>
              <w:pStyle w:val="Compact"/>
              <w:jc w:val="left"/>
            </w:pPr>
            <w:r>
              <w:rPr>
                <w:rStyle w:val="VerbatimChar"/>
              </w:rPr>
              <w:t xml:space="preserve">immutable</w:t>
            </w:r>
          </w:p>
        </w:tc>
        <w:tc>
          <w:tcPr/>
          <w:p>
            <w:pPr>
              <w:pStyle w:val="Compact"/>
              <w:jc w:val="left"/>
            </w:pPr>
            <w:r>
              <w:t xml:space="preserve">Will never change during freshness; skip reload revalidation [RFC 8246]</w:t>
            </w:r>
          </w:p>
        </w:tc>
        <w:tc>
          <w:tcPr/>
          <w:p>
            <w:pPr>
              <w:pStyle w:val="Compact"/>
              <w:jc w:val="left"/>
            </w:pPr>
            <w:r>
              <w:t xml:space="preserve">Versioned assets</w:t>
            </w:r>
          </w:p>
        </w:tc>
      </w:tr>
      <w:tr>
        <w:tc>
          <w:tcPr/>
          <w:p>
            <w:pPr>
              <w:pStyle w:val="Compact"/>
              <w:jc w:val="left"/>
            </w:pPr>
            <w:r>
              <w:rPr>
                <w:rStyle w:val="VerbatimChar"/>
              </w:rPr>
              <w:t xml:space="preserve">stale-while-revalidate=N</w:t>
            </w:r>
          </w:p>
        </w:tc>
        <w:tc>
          <w:tcPr/>
          <w:p>
            <w:pPr>
              <w:pStyle w:val="Compact"/>
              <w:jc w:val="left"/>
            </w:pPr>
            <w:r>
              <w:t xml:space="preserve">Serve stale for up to N s while refreshing in background [RFC 5861]</w:t>
            </w:r>
          </w:p>
        </w:tc>
        <w:tc>
          <w:tcPr/>
          <w:p>
            <w:pPr>
              <w:pStyle w:val="Compact"/>
              <w:jc w:val="left"/>
            </w:pPr>
            <w:r>
              <w:t xml:space="preserve">Hide origin latency</w:t>
            </w:r>
          </w:p>
        </w:tc>
      </w:tr>
      <w:tr>
        <w:tc>
          <w:tcPr/>
          <w:p>
            <w:pPr>
              <w:pStyle w:val="Compact"/>
              <w:jc w:val="left"/>
            </w:pPr>
            <w:r>
              <w:rPr>
                <w:rStyle w:val="VerbatimChar"/>
              </w:rPr>
              <w:t xml:space="preserve">stale-if-error=N</w:t>
            </w:r>
          </w:p>
        </w:tc>
        <w:tc>
          <w:tcPr/>
          <w:p>
            <w:pPr>
              <w:pStyle w:val="Compact"/>
              <w:jc w:val="left"/>
            </w:pPr>
            <w:r>
              <w:t xml:space="preserve">Serve stale for up to N s if the origin errors [RFC 5861]</w:t>
            </w:r>
          </w:p>
        </w:tc>
        <w:tc>
          <w:tcPr/>
          <w:p>
            <w:pPr>
              <w:pStyle w:val="Compact"/>
              <w:jc w:val="left"/>
            </w:pPr>
            <w:r>
              <w:t xml:space="preserve">Survive origin outages</w:t>
            </w:r>
          </w:p>
        </w:tc>
      </w:tr>
      <w:tr>
        <w:tc>
          <w:tcPr/>
          <w:p>
            <w:pPr>
              <w:pStyle w:val="Compact"/>
              <w:jc w:val="left"/>
            </w:pPr>
            <w:r>
              <w:rPr>
                <w:rStyle w:val="VerbatimChar"/>
              </w:rPr>
              <w:t xml:space="preserve">ETag</w:t>
            </w:r>
            <w:r>
              <w:t xml:space="preserve"> </w:t>
            </w:r>
            <w:r>
              <w:t xml:space="preserve">/</w:t>
            </w:r>
            <w:r>
              <w:t xml:space="preserve"> </w:t>
            </w:r>
            <w:r>
              <w:rPr>
                <w:rStyle w:val="VerbatimChar"/>
              </w:rPr>
              <w:t xml:space="preserve">If-None-Match</w:t>
            </w:r>
          </w:p>
        </w:tc>
        <w:tc>
          <w:tcPr/>
          <w:p>
            <w:pPr>
              <w:pStyle w:val="Compact"/>
              <w:jc w:val="left"/>
            </w:pPr>
            <w:r>
              <w:t xml:space="preserve">Validator and conditional request;</w:t>
            </w:r>
            <w:r>
              <w:t xml:space="preserve"> </w:t>
            </w:r>
            <w:r>
              <w:rPr>
                <w:rStyle w:val="VerbatimChar"/>
              </w:rPr>
              <w:t xml:space="preserve">304</w:t>
            </w:r>
            <w:r>
              <w:t xml:space="preserve"> </w:t>
            </w:r>
            <w:r>
              <w:t xml:space="preserve">if unchanged</w:t>
            </w:r>
          </w:p>
        </w:tc>
        <w:tc>
          <w:tcPr/>
          <w:p>
            <w:pPr>
              <w:pStyle w:val="Compact"/>
              <w:jc w:val="left"/>
            </w:pPr>
            <w:r>
              <w:t xml:space="preserve">Cheap revalidation</w:t>
            </w:r>
          </w:p>
        </w:tc>
      </w:tr>
      <w:tr>
        <w:tc>
          <w:tcPr/>
          <w:p>
            <w:pPr>
              <w:pStyle w:val="Compact"/>
              <w:jc w:val="left"/>
            </w:pPr>
            <w:r>
              <w:rPr>
                <w:rStyle w:val="VerbatimChar"/>
              </w:rPr>
              <w:t xml:space="preserve">Age</w:t>
            </w:r>
          </w:p>
        </w:tc>
        <w:tc>
          <w:tcPr/>
          <w:p>
            <w:pPr>
              <w:pStyle w:val="Compact"/>
              <w:jc w:val="left"/>
            </w:pPr>
            <w:r>
              <w:t xml:space="preserve">Seconds the response has spent in caches</w:t>
            </w:r>
          </w:p>
        </w:tc>
        <w:tc>
          <w:tcPr/>
          <w:p>
            <w:pPr>
              <w:pStyle w:val="Compact"/>
              <w:jc w:val="left"/>
            </w:pPr>
            <w:r>
              <w:t xml:space="preserve">Lets browsers subtract CDN time</w:t>
            </w:r>
          </w:p>
        </w:tc>
      </w:tr>
      <w:tr>
        <w:tc>
          <w:tcPr/>
          <w:p>
            <w:pPr>
              <w:pStyle w:val="Compact"/>
              <w:jc w:val="left"/>
            </w:pPr>
            <w:r>
              <w:rPr>
                <w:rStyle w:val="VerbatimChar"/>
              </w:rPr>
              <w:t xml:space="preserve">CDN-Cache-Control</w:t>
            </w:r>
          </w:p>
        </w:tc>
        <w:tc>
          <w:tcPr/>
          <w:p>
            <w:pPr>
              <w:pStyle w:val="Compact"/>
              <w:jc w:val="left"/>
            </w:pPr>
            <w:r>
              <w:t xml:space="preserve">Same directives, aimed only at CDNs [RFC 9213]</w:t>
            </w:r>
          </w:p>
        </w:tc>
        <w:tc>
          <w:tcPr/>
          <w:p>
            <w:pPr>
              <w:pStyle w:val="Compact"/>
              <w:jc w:val="left"/>
            </w:pPr>
            <w:r>
              <w:t xml:space="preserve">Separate CDN and browser policy</w:t>
            </w:r>
          </w:p>
        </w:tc>
      </w:tr>
    </w:tbl>
    <w:p>
      <w:pPr>
        <w:pStyle w:val="BodyText"/>
      </w:pPr>
      <w:r>
        <w:rPr>
          <w:bCs/>
          <w:b/>
        </w:rPr>
        <w:t xml:space="preserve">Figure 21.5 — Life of a cached response at the edge.</w:t>
      </w:r>
    </w:p>
    <w:p>
      <w:pPr>
        <w:pStyle w:val="BodyText"/>
      </w:pPr>
      <w:r>
        <w:drawing>
          <wp:inline>
            <wp:extent cx="5334000" cy="4294404"/>
            <wp:effectExtent b="0" l="0" r="0" t="0"/>
            <wp:docPr descr="" title="" id="2394" name="Picture"/>
            <a:graphic>
              <a:graphicData uri="http://schemas.openxmlformats.org/drawingml/2006/picture">
                <pic:pic>
                  <pic:nvPicPr>
                    <pic:cNvPr descr="/home/user/System-Design/build/.cache/diagrams/0100fb277e80.png" id="2395" name="Picture"/>
                    <pic:cNvPicPr>
                      <a:picLocks noChangeArrowheads="1" noChangeAspect="1"/>
                    </pic:cNvPicPr>
                  </pic:nvPicPr>
                  <pic:blipFill>
                    <a:blip r:embed="rId2393"/>
                    <a:stretch>
                      <a:fillRect/>
                    </a:stretch>
                  </pic:blipFill>
                  <pic:spPr bwMode="auto">
                    <a:xfrm>
                      <a:off x="0" y="0"/>
                      <a:ext cx="5334000" cy="4294404"/>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States describe one stored response at one edge. A</w:t>
      </w:r>
      <w:r>
        <w:t xml:space="preserve"> </w:t>
      </w:r>
      <w:r>
        <w:rPr>
          <w:bCs/>
          <w:b/>
        </w:rPr>
        <w:t xml:space="preserve">Fresh</w:t>
      </w:r>
      <w:r>
        <w:t xml:space="preserve"> </w:t>
      </w:r>
      <w:r>
        <w:t xml:space="preserve">response is served directly until its age reaches the shared-cache lifetime. A request for a</w:t>
      </w:r>
      <w:r>
        <w:t xml:space="preserve"> </w:t>
      </w:r>
      <w:r>
        <w:rPr>
          <w:bCs/>
          <w:b/>
        </w:rPr>
        <w:t xml:space="preserve">Stale</w:t>
      </w:r>
      <w:r>
        <w:t xml:space="preserve"> </w:t>
      </w:r>
      <w:r>
        <w:t xml:space="preserve">response triggers revalidation, synchronously by default or in the background within the</w:t>
      </w:r>
      <w:r>
        <w:t xml:space="preserve"> </w:t>
      </w:r>
      <w:r>
        <w:rPr>
          <w:rStyle w:val="VerbatimChar"/>
        </w:rPr>
        <w:t xml:space="preserve">stale-while-revalidate</w:t>
      </w:r>
      <w:r>
        <w:t xml:space="preserve"> </w:t>
      </w:r>
      <w:r>
        <w:t xml:space="preserve">window (the user gets the stale copy at once). A</w:t>
      </w:r>
      <w:r>
        <w:t xml:space="preserve"> </w:t>
      </w:r>
      <w:r>
        <w:rPr>
          <w:rStyle w:val="VerbatimChar"/>
        </w:rPr>
        <w:t xml:space="preserve">304</w:t>
      </w:r>
      <w:r>
        <w:t xml:space="preserve"> </w:t>
      </w:r>
      <w:r>
        <w:t xml:space="preserve">or new</w:t>
      </w:r>
      <w:r>
        <w:t xml:space="preserve"> </w:t>
      </w:r>
      <w:r>
        <w:rPr>
          <w:rStyle w:val="VerbatimChar"/>
        </w:rPr>
        <w:t xml:space="preserve">200</w:t>
      </w:r>
      <w:r>
        <w:t xml:space="preserve"> </w:t>
      </w:r>
      <w:r>
        <w:t xml:space="preserve">makes it fresh; an origin error within the</w:t>
      </w:r>
      <w:r>
        <w:t xml:space="preserve"> </w:t>
      </w:r>
      <w:r>
        <w:rPr>
          <w:rStyle w:val="VerbatimChar"/>
        </w:rPr>
        <w:t xml:space="preserve">stale-if-error</w:t>
      </w:r>
      <w:r>
        <w:t xml:space="preserve"> </w:t>
      </w:r>
      <w:r>
        <w:t xml:space="preserve">window means stale content is served instead of an error. Purges and eviction remove it. The storage boundary is the edge cache; the failure point is the origin during revalidation; every PoP runs this machine independently, which is why shields matter (§21.5.3).</w:t>
      </w:r>
    </w:p>
    <w:p>
      <w:pPr>
        <w:pStyle w:val="CalloutFormula"/>
      </w:pPr>
      <w:r>
        <w:rPr>
          <w:bCs/>
          <w:b/>
        </w:rPr>
        <w:t xml:space="preserve">FORMULA</w:t>
      </w:r>
    </w:p>
    <w:p>
      <w:pPr>
        <w:pStyle w:val="CalloutFormula"/>
      </w:pPr>
      <w:r>
        <w:rPr>
          <w:bCs/>
          <w:b/>
        </w:rPr>
        <w:t xml:space="preserve">Freshness test in a shared cache</w:t>
      </w:r>
    </w:p>
    <w:p>
      <w:pPr>
        <w:pStyle w:val="CalloutFormula"/>
      </w:pPr>
      <m:oMathPara>
        <m:oMathParaPr>
          <m:jc m:val="center"/>
        </m:oMathParaPr>
        <m:oMath>
          <m:r>
            <m:rPr>
              <m:nor/>
              <m:sty m:val="p"/>
            </m:rPr>
            <m:t>fresh</m:t>
          </m:r>
          <m:r>
            <m:rPr>
              <m:sty m:val="p"/>
            </m:rPr>
            <m:t>⇔</m:t>
          </m:r>
          <m:r>
            <m:t>a</m:t>
          </m:r>
          <m:r>
            <m:rPr>
              <m:sty m:val="p"/>
            </m:rPr>
            <m:t>&lt;</m:t>
          </m:r>
          <m:r>
            <m:t>L</m:t>
          </m:r>
          <m:r>
            <m:rPr>
              <m:sty m:val="p"/>
            </m:rPr>
            <m:t>,</m:t>
          </m:r>
          <m:r>
            <m:t>  </m:t>
          </m:r>
          <m:r>
            <m:t>L</m:t>
          </m:r>
          <m:r>
            <m:rPr>
              <m:sty m:val="p"/>
            </m:rPr>
            <m:t>=</m:t>
          </m:r>
          <m:d>
            <m:dPr>
              <m:begChr m:val="{"/>
              <m:endChr m:val=""/>
              <m:sepChr m:val=""/>
              <m:grow/>
            </m:dPr>
            <m:e>
              <m:m>
                <m:mPr>
                  <m:baseJc m:val="center"/>
                  <m:plcHide m:val="on"/>
                  <m:mcs>
                    <m:mc>
                      <m:mcPr>
                        <m:mcJc m:val="left"/>
                        <m:count m:val="1"/>
                      </m:mcPr>
                    </m:mc>
                    <m:mc>
                      <m:mcPr>
                        <m:mcJc m:val="left"/>
                        <m:count m:val="1"/>
                      </m:mcPr>
                    </m:mc>
                  </m:mcs>
                </m:mPr>
                <m:mr>
                  <m:e>
                    <m:r>
                      <m:rPr>
                        <m:nor/>
                        <m:sty m:val="p"/>
                        <m:scr m:val="monospace"/>
                      </m:rPr>
                      <m:t>s-maxage</m:t>
                    </m:r>
                  </m:e>
                  <m:e>
                    <m:r>
                      <m:rPr>
                        <m:nor/>
                        <m:sty m:val="p"/>
                      </m:rPr>
                      <m:t>if present</m:t>
                    </m:r>
                  </m:e>
                </m:mr>
                <m:mr>
                  <m:e>
                    <m:r>
                      <m:rPr>
                        <m:nor/>
                        <m:sty m:val="p"/>
                        <m:scr m:val="monospace"/>
                      </m:rPr>
                      <m:t>max-age</m:t>
                    </m:r>
                  </m:e>
                  <m:e>
                    <m:r>
                      <m:rPr>
                        <m:nor/>
                        <m:sty m:val="p"/>
                      </m:rPr>
                      <m:t>otherwise</m:t>
                    </m:r>
                  </m:e>
                </m:mr>
              </m:m>
            </m:e>
          </m:d>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a</m:t>
              </m:r>
            </m:oMath>
          </w:p>
        </w:tc>
        <w:tc>
          <w:tcPr/>
          <w:p>
            <w:pPr>
              <w:pStyle w:val="Compact"/>
              <w:jc w:val="left"/>
            </w:pPr>
            <w:r>
              <w:t xml:space="preserve">Current age of the stored response, including time spent in upstream caches (</w:t>
            </w:r>
            <w:r>
              <w:rPr>
                <w:rStyle w:val="VerbatimChar"/>
              </w:rPr>
              <w:t xml:space="preserve">Age</w:t>
            </w:r>
            <w:r>
              <w:t xml:space="preserve">)</w:t>
            </w:r>
          </w:p>
        </w:tc>
        <w:tc>
          <w:tcPr/>
          <w:p>
            <w:pPr>
              <w:pStyle w:val="Compact"/>
              <w:jc w:val="left"/>
            </w:pPr>
            <w:r>
              <w:t xml:space="preserve">s</w:t>
            </w:r>
          </w:p>
        </w:tc>
      </w:tr>
      <w:tr>
        <w:tc>
          <w:tcPr/>
          <w:p>
            <w:pPr>
              <w:pStyle w:val="Compact"/>
              <w:jc w:val="left"/>
            </w:pPr>
            <m:oMath>
              <m:r>
                <m:t>L</m:t>
              </m:r>
            </m:oMath>
          </w:p>
        </w:tc>
        <w:tc>
          <w:tcPr/>
          <w:p>
            <w:pPr>
              <w:pStyle w:val="Compact"/>
              <w:jc w:val="left"/>
            </w:pPr>
            <w:r>
              <w:t xml:space="preserve">Freshness lifetime for a shared cache (RFC 9111 §4.2.1;</w:t>
            </w:r>
            <w:r>
              <w:t xml:space="preserve"> </w:t>
            </w:r>
            <w:r>
              <w:rPr>
                <w:rStyle w:val="VerbatimChar"/>
              </w:rPr>
              <w:t xml:space="preserve">Expires</w:t>
            </w:r>
            <w:r>
              <w:t xml:space="preserve"> </w:t>
            </w:r>
            <w:r>
              <w:t xml:space="preserve">or heuristics apply if neither directive is present)</w:t>
            </w:r>
          </w:p>
        </w:tc>
        <w:tc>
          <w:tcPr/>
          <w:p>
            <w:pPr>
              <w:pStyle w:val="Compact"/>
              <w:jc w:val="left"/>
            </w:pPr>
            <w:r>
              <w:t xml:space="preserve">s</w:t>
            </w:r>
          </w:p>
        </w:tc>
      </w:tr>
    </w:tbl>
    <w:p>
      <w:pPr>
        <w:pStyle w:val="CalloutExample"/>
      </w:pPr>
      <w:r>
        <w:rPr>
          <w:bCs/>
          <w:b/>
        </w:rPr>
        <w:t xml:space="preserve">WORKED EXAMPLE</w:t>
      </w:r>
    </w:p>
    <w:p>
      <w:pPr>
        <w:pStyle w:val="CalloutExample"/>
      </w:pPr>
      <w:r>
        <w:rPr>
          <w:bCs/>
          <w:b/>
        </w:rPr>
        <w:t xml:space="preserve">Worked example — One header, three behaviors.</w:t>
      </w:r>
      <w:r>
        <w:t xml:space="preserve"> </w:t>
      </w:r>
      <w:r>
        <w:t xml:space="preserve">The origin sends</w:t>
      </w:r>
      <w:r>
        <w:t xml:space="preserve"> </w:t>
      </w:r>
      <w:r>
        <w:rPr>
          <w:rStyle w:val="VerbatimChar"/>
        </w:rPr>
        <w:t xml:space="preserve">Cache-Control: max-age=60, s-maxage=600, stale-while-revalidate=30, stale-if-error=86400</w:t>
      </w:r>
      <w:r>
        <w:t xml:space="preserve"> </w:t>
      </w:r>
      <w:r>
        <w:t xml:space="preserve">with</w:t>
      </w:r>
      <w:r>
        <w:t xml:space="preserve"> </w:t>
      </w:r>
      <w:r>
        <w:rPr>
          <w:rStyle w:val="VerbatimChar"/>
        </w:rPr>
        <w:t xml:space="preserve">ETag: "v7"</w:t>
      </w:r>
      <w:r>
        <w:t xml:space="preserve">.</w:t>
      </w:r>
    </w:p>
    <w:p>
      <w:pPr>
        <w:numPr>
          <w:ilvl w:val="0"/>
          <w:numId w:val="1694"/>
        </w:numPr>
        <w:pStyle w:val="Compact"/>
      </w:pPr>
      <w:r>
        <w:rPr>
          <w:bCs/>
          <w:b/>
        </w:rPr>
        <w:t xml:space="preserve">Edge:</w:t>
      </w:r>
      <w:r>
        <w:t xml:space="preserve"> </w:t>
      </w:r>
      <w:r>
        <w:t xml:space="preserve">fresh for 600 s. Between ages 600 and 630 s it serves the stale copy and revalidates in the background. A</w:t>
      </w:r>
      <w:r>
        <w:t xml:space="preserve"> </w:t>
      </w:r>
      <w:r>
        <w:rPr>
          <w:rStyle w:val="VerbatimChar"/>
        </w:rPr>
        <w:t xml:space="preserve">304</w:t>
      </w:r>
      <w:r>
        <w:t xml:space="preserve"> </w:t>
      </w:r>
      <w:r>
        <w:t xml:space="preserve">costs a few hundred bytes instead of re-sending, say, a 2 MB body.</w:t>
      </w:r>
    </w:p>
    <w:p>
      <w:pPr>
        <w:numPr>
          <w:ilvl w:val="0"/>
          <w:numId w:val="1694"/>
        </w:numPr>
        <w:pStyle w:val="Compact"/>
      </w:pPr>
      <w:r>
        <w:rPr>
          <w:bCs/>
          <w:b/>
        </w:rPr>
        <w:t xml:space="preserve">Browser:</w:t>
      </w:r>
      <w:r>
        <w:t xml:space="preserve"> </w:t>
      </w:r>
      <w:r>
        <w:t xml:space="preserve">uses</w:t>
      </w:r>
      <w:r>
        <w:t xml:space="preserve"> </w:t>
      </w:r>
      <w:r>
        <w:rPr>
          <w:rStyle w:val="VerbatimChar"/>
        </w:rPr>
        <w:t xml:space="preserve">max-age=60</w:t>
      </w:r>
      <w:r>
        <w:t xml:space="preserve">, but the edge forwards</w:t>
      </w:r>
      <w:r>
        <w:t xml:space="preserve"> </w:t>
      </w:r>
      <w:r>
        <w:rPr>
          <w:rStyle w:val="VerbatimChar"/>
        </w:rPr>
        <w:t xml:space="preserve">Age</w:t>
      </w:r>
      <w:r>
        <w:t xml:space="preserve">. A copy fetched from the edge at age 50 s is fresh in the browser for only</w:t>
      </w:r>
      <w:r>
        <w:t xml:space="preserve"> </w:t>
      </w:r>
      <m:oMath>
        <m:r>
          <m:t>60</m:t>
        </m:r>
        <m:r>
          <m:rPr>
            <m:sty m:val="p"/>
          </m:rPr>
          <m:t>−</m:t>
        </m:r>
        <m:r>
          <m:t>50</m:t>
        </m:r>
        <m:r>
          <m:rPr>
            <m:sty m:val="p"/>
          </m:rPr>
          <m:t>=</m:t>
        </m:r>
        <m:r>
          <m:t>10</m:t>
        </m:r>
      </m:oMath>
      <w:r>
        <w:t xml:space="preserve"> </w:t>
      </w:r>
      <w:r>
        <w:t xml:space="preserve">s.</w:t>
      </w:r>
    </w:p>
    <w:p>
      <w:pPr>
        <w:numPr>
          <w:ilvl w:val="0"/>
          <w:numId w:val="1694"/>
        </w:numPr>
        <w:pStyle w:val="Compact"/>
      </w:pPr>
      <w:r>
        <w:rPr>
          <w:bCs/>
          <w:b/>
        </w:rPr>
        <w:t xml:space="preserve">Origin outage:</w:t>
      </w:r>
      <w:r>
        <w:t xml:space="preserve"> </w:t>
      </w:r>
      <w:r>
        <w:t xml:space="preserve">for up to 86,400 s after a copy goes stale, the edge may serve it instead of a</w:t>
      </w:r>
      <w:r>
        <w:t xml:space="preserve"> </w:t>
      </w:r>
      <w:r>
        <w:rPr>
          <w:rStyle w:val="VerbatimChar"/>
        </w:rPr>
        <w:t xml:space="preserve">5xx</w:t>
      </w:r>
      <w:r>
        <w:t xml:space="preserve">.</w:t>
      </w:r>
    </w:p>
    <w:p>
      <w:pPr>
        <w:pStyle w:val="CalloutExample"/>
      </w:pPr>
      <w:r>
        <w:rPr>
          <w:bCs/>
          <w:b/>
        </w:rPr>
        <w:t xml:space="preserve">Interpretation.</w:t>
      </w:r>
      <w:r>
        <w:t xml:space="preserve"> </w:t>
      </w:r>
      <w:r>
        <w:t xml:space="preserve">The CDN holds content ten times longer than browsers, because the CDN can be purged and browsers cannot.</w:t>
      </w:r>
      <w:r>
        <w:t xml:space="preserve"> </w:t>
      </w:r>
      <w:r>
        <w:rPr>
          <w:bCs/>
          <w:b/>
        </w:rPr>
        <w:t xml:space="preserve">Engineering implication.</w:t>
      </w:r>
      <w:r>
        <w:t xml:space="preserve"> </w:t>
      </w:r>
      <w:r>
        <w:t xml:space="preserve">Give browsers short lifetimes for anything that might need recall, give the CDN long lifetimes plus a purge path, and always add</w:t>
      </w:r>
      <w:r>
        <w:t xml:space="preserve"> </w:t>
      </w:r>
      <w:r>
        <w:rPr>
          <w:rStyle w:val="VerbatimChar"/>
        </w:rPr>
        <w:t xml:space="preserve">stale-if-error</w:t>
      </w:r>
      <w:r>
        <w:t xml:space="preserve">: it turns many origin outages into non-events.</w:t>
      </w:r>
    </w:p>
    <w:bookmarkEnd w:id="2396"/>
    <w:bookmarkStart w:id="2397" w:name="cache-keys"/>
    <w:p>
      <w:pPr>
        <w:pStyle w:val="Heading3"/>
      </w:pPr>
      <w:r>
        <w:t xml:space="preserve">21.6.2 Cache keys</w:t>
      </w:r>
    </w:p>
    <w:p>
      <w:pPr>
        <w:pStyle w:val="CalloutDefinition"/>
      </w:pPr>
      <w:r>
        <w:rPr>
          <w:bCs/>
          <w:b/>
        </w:rPr>
        <w:t xml:space="preserve">DEFINITION</w:t>
      </w:r>
    </w:p>
    <w:p>
      <w:pPr>
        <w:pStyle w:val="CalloutDefinition"/>
      </w:pPr>
      <w:r>
        <w:rPr>
          <w:bCs/>
          <w:b/>
        </w:rPr>
        <w:t xml:space="preserve">Definition — Cache key.</w:t>
      </w:r>
      <w:r>
        <w:t xml:space="preserve"> </w:t>
      </w:r>
      <w:r>
        <w:t xml:space="preserve">The value a cache uses to decide whether two requests may receive the same stored response. By default it is the method plus the full URL (scheme, host, path and query string), extended by any request headers listed in the response’s</w:t>
      </w:r>
      <w:r>
        <w:t xml:space="preserve"> </w:t>
      </w:r>
      <w:r>
        <w:rPr>
          <w:rStyle w:val="VerbatimChar"/>
        </w:rPr>
        <w:t xml:space="preserve">Vary</w:t>
      </w:r>
      <w:r>
        <w:t xml:space="preserve"> </w:t>
      </w:r>
      <w:r>
        <w:t xml:space="preserve">header.</w:t>
      </w:r>
    </w:p>
    <w:p>
      <w:pPr>
        <w:pStyle w:val="BodyText"/>
      </w:pPr>
      <w:r>
        <w:t xml:space="preserve">Two requests that should get the same bytes but differ in their key produce two cache entries and two origin fetches: the hit ratio</w:t>
      </w:r>
      <w:r>
        <w:t xml:space="preserve"> </w:t>
      </w:r>
      <w:r>
        <w:rPr>
          <w:bCs/>
          <w:b/>
        </w:rPr>
        <w:t xml:space="preserve">fragments</w:t>
      </w:r>
      <w:r>
        <w:t xml:space="preserve">. Two requests that should get</w:t>
      </w:r>
      <w:r>
        <w:t xml:space="preserve"> </w:t>
      </w:r>
      <w:r>
        <w:rPr>
          <w:iCs/>
          <w:i/>
        </w:rPr>
        <w:t xml:space="preserve">different</w:t>
      </w:r>
      <w:r>
        <w:t xml:space="preserve"> </w:t>
      </w:r>
      <w:r>
        <w:t xml:space="preserve">bytes but share a key leak one user’s response to another. Cache-key design steers between these.</w:t>
      </w:r>
    </w:p>
    <w:p>
      <w:pPr>
        <w:numPr>
          <w:ilvl w:val="0"/>
          <w:numId w:val="1695"/>
        </w:numPr>
        <w:pStyle w:val="Compact"/>
      </w:pPr>
      <w:r>
        <w:rPr>
          <w:bCs/>
          <w:b/>
        </w:rPr>
        <w:t xml:space="preserve">Normalize.</w:t>
      </w:r>
      <w:r>
        <w:t xml:space="preserve"> </w:t>
      </w:r>
      <w:r>
        <w:t xml:space="preserve">Lowercase the host, sort query parameters, drop parameters that do not change the response (tracking tags such as</w:t>
      </w:r>
      <w:r>
        <w:t xml:space="preserve"> </w:t>
      </w:r>
      <w:r>
        <w:rPr>
          <w:rStyle w:val="VerbatimChar"/>
        </w:rPr>
        <w:t xml:space="preserve">utm_source</w:t>
      </w:r>
      <w:r>
        <w:t xml:space="preserve">, session IDs). An allow-list of meaningful parameters is safer than a deny-list.</w:t>
      </w:r>
    </w:p>
    <w:p>
      <w:pPr>
        <w:numPr>
          <w:ilvl w:val="0"/>
          <w:numId w:val="1695"/>
        </w:numPr>
        <w:pStyle w:val="Compact"/>
      </w:pPr>
      <w:r>
        <w:rPr>
          <w:bCs/>
          <w:b/>
        </w:rPr>
        <w:t xml:space="preserve">Tame</w:t>
      </w:r>
      <w:r>
        <w:rPr>
          <w:bCs/>
          <w:b/>
        </w:rPr>
        <w:t xml:space="preserve"> </w:t>
      </w:r>
      <w:r>
        <w:rPr>
          <w:rStyle w:val="VerbatimChar"/>
          <w:bCs/>
          <w:b/>
        </w:rPr>
        <w:t xml:space="preserve">Vary</w:t>
      </w:r>
      <w:r>
        <w:rPr>
          <w:bCs/>
          <w:b/>
        </w:rPr>
        <w:t xml:space="preserve">.</w:t>
      </w:r>
      <w:r>
        <w:t xml:space="preserve"> </w:t>
      </w:r>
      <w:r>
        <w:rPr>
          <w:rStyle w:val="VerbatimChar"/>
        </w:rPr>
        <w:t xml:space="preserve">Vary: Accept-Encoding</w:t>
      </w:r>
      <w:r>
        <w:t xml:space="preserve"> </w:t>
      </w:r>
      <w:r>
        <w:t xml:space="preserve">is necessary for compressed text, but browsers send dozens of distinct</w:t>
      </w:r>
      <w:r>
        <w:t xml:space="preserve"> </w:t>
      </w:r>
      <w:r>
        <w:rPr>
          <w:rStyle w:val="VerbatimChar"/>
        </w:rPr>
        <w:t xml:space="preserve">Accept-Encoding</w:t>
      </w:r>
      <w:r>
        <w:t xml:space="preserve"> </w:t>
      </w:r>
      <w:r>
        <w:t xml:space="preserve">strings; normalize them to a few values (</w:t>
      </w:r>
      <w:r>
        <w:rPr>
          <w:rStyle w:val="VerbatimChar"/>
        </w:rPr>
        <w:t xml:space="preserve">br</w:t>
      </w:r>
      <w:r>
        <w:t xml:space="preserve">,</w:t>
      </w:r>
      <w:r>
        <w:t xml:space="preserve"> </w:t>
      </w:r>
      <w:r>
        <w:rPr>
          <w:rStyle w:val="VerbatimChar"/>
        </w:rPr>
        <w:t xml:space="preserve">gzip</w:t>
      </w:r>
      <w:r>
        <w:t xml:space="preserve">,</w:t>
      </w:r>
      <w:r>
        <w:t xml:space="preserve"> </w:t>
      </w:r>
      <w:r>
        <w:rPr>
          <w:rStyle w:val="VerbatimChar"/>
        </w:rPr>
        <w:t xml:space="preserve">identity</w:t>
      </w:r>
      <w:r>
        <w:t xml:space="preserve">).</w:t>
      </w:r>
      <w:r>
        <w:t xml:space="preserve"> </w:t>
      </w:r>
      <w:r>
        <w:rPr>
          <w:rStyle w:val="VerbatimChar"/>
        </w:rPr>
        <w:t xml:space="preserve">Vary: User-Agent</w:t>
      </w:r>
      <w:r>
        <w:t xml:space="preserve"> </w:t>
      </w:r>
      <w:r>
        <w:t xml:space="preserve">creates thousands of variants and effectively disables caching; derive a small device class at the edge instead.</w:t>
      </w:r>
    </w:p>
    <w:p>
      <w:pPr>
        <w:numPr>
          <w:ilvl w:val="0"/>
          <w:numId w:val="1695"/>
        </w:numPr>
        <w:pStyle w:val="Compact"/>
      </w:pPr>
      <w:r>
        <w:rPr>
          <w:bCs/>
          <w:b/>
        </w:rPr>
        <w:t xml:space="preserve">Strip cookies.</w:t>
      </w:r>
      <w:r>
        <w:t xml:space="preserve"> </w:t>
      </w:r>
      <w:r>
        <w:t xml:space="preserve">Cookies are usually ignored or excluded from the key for static assets; a response that depends on a cookie must be</w:t>
      </w:r>
      <w:r>
        <w:t xml:space="preserve"> </w:t>
      </w:r>
      <w:r>
        <w:rPr>
          <w:rStyle w:val="VerbatimChar"/>
        </w:rPr>
        <w:t xml:space="preserve">private</w:t>
      </w:r>
      <w:r>
        <w:t xml:space="preserve"> </w:t>
      </w:r>
      <w:r>
        <w:t xml:space="preserve">or keyed on a small derived value (for example a language), never on the raw cookie.</w:t>
      </w:r>
    </w:p>
    <w:p>
      <w:pPr>
        <w:pStyle w:val="SourceCode"/>
      </w:pPr>
      <w:r>
        <w:rPr>
          <w:rStyle w:val="CommentTok"/>
        </w:rPr>
        <w:t xml:space="preserve"># Cache-key normalization: map many equivalent requests to one cache key.</w:t>
      </w:r>
      <w:r>
        <w:br/>
      </w:r>
      <w:r>
        <w:rPr>
          <w:rStyle w:val="ImportTok"/>
        </w:rPr>
        <w:t xml:space="preserve">from</w:t>
      </w:r>
      <w:r>
        <w:rPr>
          <w:rStyle w:val="NormalTok"/>
        </w:rPr>
        <w:t xml:space="preserve"> urllib.parse </w:t>
      </w:r>
      <w:r>
        <w:rPr>
          <w:rStyle w:val="ImportTok"/>
        </w:rPr>
        <w:t xml:space="preserve">import</w:t>
      </w:r>
      <w:r>
        <w:rPr>
          <w:rStyle w:val="NormalTok"/>
        </w:rPr>
        <w:t xml:space="preserve"> parse_qsl, urlencode, urlsplit</w:t>
      </w:r>
      <w:r>
        <w:br/>
      </w:r>
      <w:r>
        <w:br/>
      </w:r>
      <w:r>
        <w:rPr>
          <w:rStyle w:val="NormalTok"/>
        </w:rPr>
        <w:t xml:space="preserve">KEEP_PARAMS </w:t>
      </w:r>
      <w:r>
        <w:rPr>
          <w:rStyle w:val="OperatorTok"/>
        </w:rPr>
        <w:t xml:space="preserve">=</w:t>
      </w:r>
      <w:r>
        <w:rPr>
          <w:rStyle w:val="NormalTok"/>
        </w:rPr>
        <w:t xml:space="preserve"> {</w:t>
      </w:r>
      <w:r>
        <w:rPr>
          <w:rStyle w:val="StringTok"/>
        </w:rPr>
        <w:t xml:space="preserve">"v"</w:t>
      </w:r>
      <w:r>
        <w:rPr>
          <w:rStyle w:val="NormalTok"/>
        </w:rPr>
        <w:t xml:space="preserve">, </w:t>
      </w:r>
      <w:r>
        <w:rPr>
          <w:rStyle w:val="StringTok"/>
        </w:rPr>
        <w:t xml:space="preserve">"lang"</w:t>
      </w:r>
      <w:r>
        <w:rPr>
          <w:rStyle w:val="NormalTok"/>
        </w:rPr>
        <w:t xml:space="preserve">}   </w:t>
      </w:r>
      <w:r>
        <w:rPr>
          <w:rStyle w:val="CommentTok"/>
        </w:rPr>
        <w:t xml:space="preserve"># allow-list: only params that change the bytes</w:t>
      </w:r>
      <w:r>
        <w:br/>
      </w:r>
      <w:r>
        <w:br/>
      </w:r>
      <w:r>
        <w:br/>
      </w:r>
      <w:r>
        <w:rPr>
          <w:rStyle w:val="KeywordTok"/>
        </w:rPr>
        <w:t xml:space="preserve">def</w:t>
      </w:r>
      <w:r>
        <w:rPr>
          <w:rStyle w:val="NormalTok"/>
        </w:rPr>
        <w:t xml:space="preserve"> cache_key(url, accept_encoding</w:t>
      </w:r>
      <w:r>
        <w:rPr>
          <w:rStyle w:val="OperatorTok"/>
        </w:rPr>
        <w:t xml:space="preserve">=</w:t>
      </w:r>
      <w:r>
        <w:rPr>
          <w:rStyle w:val="StringTok"/>
        </w:rPr>
        <w:t xml:space="preserve">""</w:t>
      </w:r>
      <w:r>
        <w:rPr>
          <w:rStyle w:val="NormalTok"/>
        </w:rPr>
        <w:t xml:space="preserve">):</w:t>
      </w:r>
      <w:r>
        <w:br/>
      </w:r>
      <w:r>
        <w:rPr>
          <w:rStyle w:val="NormalTok"/>
        </w:rPr>
        <w:t xml:space="preserve">    parts </w:t>
      </w:r>
      <w:r>
        <w:rPr>
          <w:rStyle w:val="OperatorTok"/>
        </w:rPr>
        <w:t xml:space="preserve">=</w:t>
      </w:r>
      <w:r>
        <w:rPr>
          <w:rStyle w:val="NormalTok"/>
        </w:rPr>
        <w:t xml:space="preserve"> urlsplit(url)</w:t>
      </w:r>
      <w:r>
        <w:br/>
      </w:r>
      <w:r>
        <w:rPr>
          <w:rStyle w:val="NormalTok"/>
        </w:rPr>
        <w:t xml:space="preserve">    host </w:t>
      </w:r>
      <w:r>
        <w:rPr>
          <w:rStyle w:val="OperatorTok"/>
        </w:rPr>
        <w:t xml:space="preserve">=</w:t>
      </w:r>
      <w:r>
        <w:rPr>
          <w:rStyle w:val="NormalTok"/>
        </w:rPr>
        <w:t xml:space="preserve"> parts.hostname.lower()             </w:t>
      </w:r>
      <w:r>
        <w:rPr>
          <w:rStyle w:val="CommentTok"/>
        </w:rPr>
        <w:t xml:space="preserve"># hostnames are case-insensitive</w:t>
      </w:r>
      <w:r>
        <w:br/>
      </w:r>
      <w:r>
        <w:rPr>
          <w:rStyle w:val="NormalTok"/>
        </w:rPr>
        <w:t xml:space="preserve">    path </w:t>
      </w:r>
      <w:r>
        <w:rPr>
          <w:rStyle w:val="OperatorTok"/>
        </w:rPr>
        <w:t xml:space="preserve">=</w:t>
      </w:r>
      <w:r>
        <w:rPr>
          <w:rStyle w:val="NormalTok"/>
        </w:rPr>
        <w:t xml:space="preserve"> parts.path </w:t>
      </w:r>
      <w:r>
        <w:rPr>
          <w:rStyle w:val="KeywordTok"/>
        </w:rPr>
        <w:t xml:space="preserve">or</w:t>
      </w:r>
      <w:r>
        <w:rPr>
          <w:rStyle w:val="NormalTok"/>
        </w:rPr>
        <w:t xml:space="preserve"> </w:t>
      </w:r>
      <w:r>
        <w:rPr>
          <w:rStyle w:val="StringTok"/>
        </w:rPr>
        <w:t xml:space="preserve">"/"</w:t>
      </w:r>
      <w:r>
        <w:rPr>
          <w:rStyle w:val="NormalTok"/>
        </w:rPr>
        <w:t xml:space="preserve">                  </w:t>
      </w:r>
      <w:r>
        <w:rPr>
          <w:rStyle w:val="CommentTok"/>
        </w:rPr>
        <w:t xml:space="preserve"># paths are case-sensitive: keep</w:t>
      </w:r>
      <w:r>
        <w:br/>
      </w:r>
      <w:r>
        <w:rPr>
          <w:rStyle w:val="NormalTok"/>
        </w:rPr>
        <w:t xml:space="preserve">    params </w:t>
      </w:r>
      <w:r>
        <w:rPr>
          <w:rStyle w:val="OperatorTok"/>
        </w:rPr>
        <w:t xml:space="preserve">=</w:t>
      </w:r>
      <w:r>
        <w:rPr>
          <w:rStyle w:val="NormalTok"/>
        </w:rPr>
        <w:t xml:space="preserve"> </w:t>
      </w:r>
      <w:r>
        <w:rPr>
          <w:rStyle w:val="BuiltInTok"/>
        </w:rPr>
        <w:t xml:space="preserve">sorted</w:t>
      </w:r>
      <w:r>
        <w:rPr>
          <w:rStyle w:val="NormalTok"/>
        </w:rPr>
        <w:t xml:space="preserve">((k.lower(), v) </w:t>
      </w:r>
      <w:r>
        <w:rPr>
          <w:rStyle w:val="ControlFlowTok"/>
        </w:rPr>
        <w:t xml:space="preserve">for</w:t>
      </w:r>
      <w:r>
        <w:rPr>
          <w:rStyle w:val="NormalTok"/>
        </w:rPr>
        <w:t xml:space="preserve"> k, v </w:t>
      </w:r>
      <w:r>
        <w:rPr>
          <w:rStyle w:val="KeywordTok"/>
        </w:rPr>
        <w:t xml:space="preserve">in</w:t>
      </w:r>
      <w:r>
        <w:rPr>
          <w:rStyle w:val="NormalTok"/>
        </w:rPr>
        <w:t xml:space="preserve"> parse_qsl(parts.query)</w:t>
      </w:r>
      <w:r>
        <w:br/>
      </w:r>
      <w:r>
        <w:rPr>
          <w:rStyle w:val="NormalTok"/>
        </w:rPr>
        <w:t xml:space="preserve">                    </w:t>
      </w:r>
      <w:r>
        <w:rPr>
          <w:rStyle w:val="ControlFlowTok"/>
        </w:rPr>
        <w:t xml:space="preserve">if</w:t>
      </w:r>
      <w:r>
        <w:rPr>
          <w:rStyle w:val="NormalTok"/>
        </w:rPr>
        <w:t xml:space="preserve"> k.lower() </w:t>
      </w:r>
      <w:r>
        <w:rPr>
          <w:rStyle w:val="KeywordTok"/>
        </w:rPr>
        <w:t xml:space="preserve">in</w:t>
      </w:r>
      <w:r>
        <w:rPr>
          <w:rStyle w:val="NormalTok"/>
        </w:rPr>
        <w:t xml:space="preserve"> KEEP_PARAMS)</w:t>
      </w:r>
      <w:r>
        <w:br/>
      </w:r>
      <w:r>
        <w:rPr>
          <w:rStyle w:val="NormalTok"/>
        </w:rPr>
        <w:t xml:space="preserve">    </w:t>
      </w:r>
      <w:r>
        <w:rPr>
          <w:rStyle w:val="CommentTok"/>
        </w:rPr>
        <w:t xml:space="preserve"># Collapse Accept-Encoding to the few variants the edge actually stores.</w:t>
      </w:r>
      <w:r>
        <w:br/>
      </w:r>
      <w:r>
        <w:rPr>
          <w:rStyle w:val="NormalTok"/>
        </w:rPr>
        <w:t xml:space="preserve">    enc </w:t>
      </w:r>
      <w:r>
        <w:rPr>
          <w:rStyle w:val="OperatorTok"/>
        </w:rPr>
        <w:t xml:space="preserve">=</w:t>
      </w:r>
      <w:r>
        <w:rPr>
          <w:rStyle w:val="NormalTok"/>
        </w:rPr>
        <w:t xml:space="preserve"> accept_encoding.lower()</w:t>
      </w:r>
      <w:r>
        <w:br/>
      </w:r>
      <w:r>
        <w:rPr>
          <w:rStyle w:val="NormalTok"/>
        </w:rPr>
        <w:t xml:space="preserve">    enc </w:t>
      </w:r>
      <w:r>
        <w:rPr>
          <w:rStyle w:val="OperatorTok"/>
        </w:rPr>
        <w:t xml:space="preserve">=</w:t>
      </w:r>
      <w:r>
        <w:rPr>
          <w:rStyle w:val="NormalTok"/>
        </w:rPr>
        <w:t xml:space="preserve"> </w:t>
      </w:r>
      <w:r>
        <w:rPr>
          <w:rStyle w:val="StringTok"/>
        </w:rPr>
        <w:t xml:space="preserve">"br"</w:t>
      </w:r>
      <w:r>
        <w:rPr>
          <w:rStyle w:val="NormalTok"/>
        </w:rPr>
        <w:t xml:space="preserve"> </w:t>
      </w:r>
      <w:r>
        <w:rPr>
          <w:rStyle w:val="ControlFlowTok"/>
        </w:rPr>
        <w:t xml:space="preserve">if</w:t>
      </w:r>
      <w:r>
        <w:rPr>
          <w:rStyle w:val="NormalTok"/>
        </w:rPr>
        <w:t xml:space="preserve"> </w:t>
      </w:r>
      <w:r>
        <w:rPr>
          <w:rStyle w:val="StringTok"/>
        </w:rPr>
        <w:t xml:space="preserve">"br"</w:t>
      </w:r>
      <w:r>
        <w:rPr>
          <w:rStyle w:val="NormalTok"/>
        </w:rPr>
        <w:t xml:space="preserve"> </w:t>
      </w:r>
      <w:r>
        <w:rPr>
          <w:rStyle w:val="KeywordTok"/>
        </w:rPr>
        <w:t xml:space="preserve">in</w:t>
      </w:r>
      <w:r>
        <w:rPr>
          <w:rStyle w:val="NormalTok"/>
        </w:rPr>
        <w:t xml:space="preserve"> enc </w:t>
      </w:r>
      <w:r>
        <w:rPr>
          <w:rStyle w:val="ControlFlowTok"/>
        </w:rPr>
        <w:t xml:space="preserve">else</w:t>
      </w:r>
      <w:r>
        <w:rPr>
          <w:rStyle w:val="NormalTok"/>
        </w:rPr>
        <w:t xml:space="preserve"> </w:t>
      </w:r>
      <w:r>
        <w:rPr>
          <w:rStyle w:val="StringTok"/>
        </w:rPr>
        <w:t xml:space="preserve">"gzip"</w:t>
      </w:r>
      <w:r>
        <w:rPr>
          <w:rStyle w:val="NormalTok"/>
        </w:rPr>
        <w:t xml:space="preserve"> </w:t>
      </w:r>
      <w:r>
        <w:rPr>
          <w:rStyle w:val="ControlFlowTok"/>
        </w:rPr>
        <w:t xml:space="preserve">if</w:t>
      </w:r>
      <w:r>
        <w:rPr>
          <w:rStyle w:val="NormalTok"/>
        </w:rPr>
        <w:t xml:space="preserve"> </w:t>
      </w:r>
      <w:r>
        <w:rPr>
          <w:rStyle w:val="StringTok"/>
        </w:rPr>
        <w:t xml:space="preserve">"gzip"</w:t>
      </w:r>
      <w:r>
        <w:rPr>
          <w:rStyle w:val="NormalTok"/>
        </w:rPr>
        <w:t xml:space="preserve"> </w:t>
      </w:r>
      <w:r>
        <w:rPr>
          <w:rStyle w:val="KeywordTok"/>
        </w:rPr>
        <w:t xml:space="preserve">in</w:t>
      </w:r>
      <w:r>
        <w:rPr>
          <w:rStyle w:val="NormalTok"/>
        </w:rPr>
        <w:t xml:space="preserve"> enc </w:t>
      </w:r>
      <w:r>
        <w:rPr>
          <w:rStyle w:val="ControlFlowTok"/>
        </w:rPr>
        <w:t xml:space="preserve">else</w:t>
      </w:r>
      <w:r>
        <w:rPr>
          <w:rStyle w:val="NormalTok"/>
        </w:rPr>
        <w:t xml:space="preserve"> </w:t>
      </w:r>
      <w:r>
        <w:rPr>
          <w:rStyle w:val="StringTok"/>
        </w:rPr>
        <w:t xml:space="preserve">"identity"</w:t>
      </w:r>
      <w:r>
        <w:br/>
      </w:r>
      <w:r>
        <w:rPr>
          <w:rStyle w:val="NormalTok"/>
        </w:rPr>
        <w:t xml:space="preserve">    query </w:t>
      </w:r>
      <w:r>
        <w:rPr>
          <w:rStyle w:val="OperatorTok"/>
        </w:rPr>
        <w:t xml:space="preserve">=</w:t>
      </w:r>
      <w:r>
        <w:rPr>
          <w:rStyle w:val="NormalTok"/>
        </w:rPr>
        <w:t xml:space="preserve"> urlencode(params)</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NormalTok"/>
        </w:rPr>
        <w:t xml:space="preserve">host</w:t>
      </w:r>
      <w:r>
        <w:rPr>
          <w:rStyle w:val="SpecialCharTok"/>
        </w:rPr>
        <w:t xml:space="preserve">}{</w:t>
      </w:r>
      <w:r>
        <w:rPr>
          <w:rStyle w:val="NormalTok"/>
        </w:rPr>
        <w:t xml:space="preserve">path</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query</w:t>
      </w:r>
      <w:r>
        <w:rPr>
          <w:rStyle w:val="SpecialCharTok"/>
        </w:rPr>
        <w:t xml:space="preserve">}</w:t>
      </w:r>
      <w:r>
        <w:rPr>
          <w:rStyle w:val="SpecialStringTok"/>
        </w:rPr>
        <w:t xml:space="preserve">"</w:t>
      </w:r>
      <w:r>
        <w:rPr>
          <w:rStyle w:val="NormalTok"/>
        </w:rPr>
        <w:t xml:space="preserve"> </w:t>
      </w:r>
      <w:r>
        <w:rPr>
          <w:rStyle w:val="ControlFlowTok"/>
        </w:rPr>
        <w:t xml:space="preserve">if</w:t>
      </w:r>
      <w:r>
        <w:rPr>
          <w:rStyle w:val="NormalTok"/>
        </w:rPr>
        <w:t xml:space="preserve"> query </w:t>
      </w:r>
      <w:r>
        <w:rPr>
          <w:rStyle w:val="ControlFlowTok"/>
        </w:rPr>
        <w:t xml:space="preserve">else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enc</w:t>
      </w:r>
      <w:r>
        <w:rPr>
          <w:rStyle w:val="SpecialCharTok"/>
        </w:rPr>
        <w:t xml:space="preserve">}</w:t>
      </w:r>
      <w:r>
        <w:rPr>
          <w:rStyle w:val="SpecialString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requests </w:t>
      </w:r>
      <w:r>
        <w:rPr>
          <w:rStyle w:val="OperatorTok"/>
        </w:rPr>
        <w:t xml:space="preserve">=</w:t>
      </w:r>
      <w:r>
        <w:rPr>
          <w:rStyle w:val="NormalTok"/>
        </w:rPr>
        <w:t xml:space="preserve"> [</w:t>
      </w:r>
      <w:r>
        <w:br/>
      </w:r>
      <w:r>
        <w:rPr>
          <w:rStyle w:val="NormalTok"/>
        </w:rPr>
        <w:t xml:space="preserve">        (</w:t>
      </w:r>
      <w:r>
        <w:rPr>
          <w:rStyle w:val="StringTok"/>
        </w:rPr>
        <w:t xml:space="preserve">"https://CDN.example.com/js/app.js?v=7&amp;lang=en"</w:t>
      </w:r>
      <w:r>
        <w:rPr>
          <w:rStyle w:val="NormalTok"/>
        </w:rPr>
        <w:t xml:space="preserve">, </w:t>
      </w:r>
      <w:r>
        <w:rPr>
          <w:rStyle w:val="StringTok"/>
        </w:rPr>
        <w:t xml:space="preserve">"gzip, deflate, br"</w:t>
      </w:r>
      <w:r>
        <w:rPr>
          <w:rStyle w:val="NormalTok"/>
        </w:rPr>
        <w:t xml:space="preserve">),</w:t>
      </w:r>
      <w:r>
        <w:br/>
      </w:r>
      <w:r>
        <w:rPr>
          <w:rStyle w:val="NormalTok"/>
        </w:rPr>
        <w:t xml:space="preserve">        (</w:t>
      </w:r>
      <w:r>
        <w:rPr>
          <w:rStyle w:val="StringTok"/>
        </w:rPr>
        <w:t xml:space="preserve">"https://cdn.example.com/js/app.js?lang=en&amp;v=7&amp;utm_source=mail"</w:t>
      </w:r>
      <w:r>
        <w:rPr>
          <w:rStyle w:val="NormalTok"/>
        </w:rPr>
        <w:t xml:space="preserve">, </w:t>
      </w:r>
      <w:r>
        <w:rPr>
          <w:rStyle w:val="StringTok"/>
        </w:rPr>
        <w:t xml:space="preserve">"br;q=1.0, gzip;q=0.8"</w:t>
      </w:r>
      <w:r>
        <w:rPr>
          <w:rStyle w:val="NormalTok"/>
        </w:rPr>
        <w:t xml:space="preserve">),</w:t>
      </w:r>
      <w:r>
        <w:br/>
      </w:r>
      <w:r>
        <w:rPr>
          <w:rStyle w:val="NormalTok"/>
        </w:rPr>
        <w:t xml:space="preserve">        (</w:t>
      </w:r>
      <w:r>
        <w:rPr>
          <w:rStyle w:val="StringTok"/>
        </w:rPr>
        <w:t xml:space="preserve">"https://cdn.example.com/js/app.js?LANG=en&amp;v=7&amp;sessionid=abc123"</w:t>
      </w:r>
      <w:r>
        <w:rPr>
          <w:rStyle w:val="NormalTok"/>
        </w:rPr>
        <w:t xml:space="preserve">, </w:t>
      </w:r>
      <w:r>
        <w:rPr>
          <w:rStyle w:val="StringTok"/>
        </w:rPr>
        <w:t xml:space="preserve">"br"</w:t>
      </w:r>
      <w:r>
        <w:rPr>
          <w:rStyle w:val="NormalTok"/>
        </w:rPr>
        <w:t xml:space="preserve">),</w:t>
      </w:r>
      <w:r>
        <w:br/>
      </w:r>
      <w:r>
        <w:rPr>
          <w:rStyle w:val="NormalTok"/>
        </w:rPr>
        <w:t xml:space="preserve">        (</w:t>
      </w:r>
      <w:r>
        <w:rPr>
          <w:rStyle w:val="StringTok"/>
        </w:rPr>
        <w:t xml:space="preserve">"https://cdn.example.com/js/app.js?v=7&amp;lang=en"</w:t>
      </w:r>
      <w:r>
        <w:rPr>
          <w:rStyle w:val="NormalTok"/>
        </w:rPr>
        <w:t xml:space="preserve">, </w:t>
      </w:r>
      <w:r>
        <w:rPr>
          <w:rStyle w:val="StringTok"/>
        </w:rPr>
        <w:t xml:space="preserve">"gzip, deflate"</w:t>
      </w:r>
      <w:r>
        <w:rPr>
          <w:rStyle w:val="NormalTok"/>
        </w:rPr>
        <w:t xml:space="preserve">),</w:t>
      </w:r>
      <w:r>
        <w:br/>
      </w:r>
      <w:r>
        <w:rPr>
          <w:rStyle w:val="NormalTok"/>
        </w:rPr>
        <w:t xml:space="preserve">        (</w:t>
      </w:r>
      <w:r>
        <w:rPr>
          <w:rStyle w:val="StringTok"/>
        </w:rPr>
        <w:t xml:space="preserve">"https://cdn.example.com/js/app.js?v=7&amp;lang=en"</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keys </w:t>
      </w:r>
      <w:r>
        <w:rPr>
          <w:rStyle w:val="OperatorTok"/>
        </w:rPr>
        <w:t xml:space="preserve">=</w:t>
      </w:r>
      <w:r>
        <w:rPr>
          <w:rStyle w:val="NormalTok"/>
        </w:rPr>
        <w:t xml:space="preserve"> [cache_key(u, ae) </w:t>
      </w:r>
      <w:r>
        <w:rPr>
          <w:rStyle w:val="ControlFlowTok"/>
        </w:rPr>
        <w:t xml:space="preserve">for</w:t>
      </w:r>
      <w:r>
        <w:rPr>
          <w:rStyle w:val="NormalTok"/>
        </w:rPr>
        <w:t xml:space="preserve"> u, ae </w:t>
      </w:r>
      <w:r>
        <w:rPr>
          <w:rStyle w:val="KeywordTok"/>
        </w:rPr>
        <w:t xml:space="preserve">in</w:t>
      </w:r>
      <w:r>
        <w:rPr>
          <w:rStyle w:val="NormalTok"/>
        </w:rPr>
        <w:t xml:space="preserve"> requests]</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keys:</w:t>
      </w:r>
      <w:r>
        <w:br/>
      </w:r>
      <w:r>
        <w:rPr>
          <w:rStyle w:val="NormalTok"/>
        </w:rPr>
        <w:t xml:space="preserve">        </w:t>
      </w:r>
      <w:r>
        <w:rPr>
          <w:rStyle w:val="BuiltInTok"/>
        </w:rPr>
        <w:t xml:space="preserve">print</w:t>
      </w:r>
      <w:r>
        <w:rPr>
          <w:rStyle w:val="NormalTok"/>
        </w:rPr>
        <w:t xml:space="preserve">(k)</w:t>
      </w:r>
      <w:r>
        <w:br/>
      </w:r>
      <w:r>
        <w:rPr>
          <w:rStyle w:val="NormalTok"/>
        </w:rPr>
        <w:t xml:space="preserve">    </w:t>
      </w:r>
      <w:r>
        <w:rPr>
          <w:rStyle w:val="BuiltInTok"/>
        </w:rPr>
        <w:t xml:space="preserve">print</w:t>
      </w:r>
      <w:r>
        <w:rPr>
          <w:rStyle w:val="NormalTok"/>
        </w:rPr>
        <w:t xml:space="preserve">(</w:t>
      </w:r>
      <w:r>
        <w:rPr>
          <w:rStyle w:val="StringTok"/>
        </w:rPr>
        <w:t xml:space="preserve">"distinct keys:"</w:t>
      </w:r>
      <w:r>
        <w:rPr>
          <w:rStyle w:val="NormalTok"/>
        </w:rPr>
        <w:t xml:space="preserve">, </w:t>
      </w:r>
      <w:r>
        <w:rPr>
          <w:rStyle w:val="BuiltInTok"/>
        </w:rPr>
        <w:t xml:space="preserve">len</w:t>
      </w:r>
      <w:r>
        <w:rPr>
          <w:rStyle w:val="NormalTok"/>
        </w:rPr>
        <w:t xml:space="preserve">(</w:t>
      </w:r>
      <w:r>
        <w:rPr>
          <w:rStyle w:val="BuiltInTok"/>
        </w:rPr>
        <w:t xml:space="preserve">set</w:t>
      </w:r>
      <w:r>
        <w:rPr>
          <w:rStyle w:val="NormalTok"/>
        </w:rPr>
        <w:t xml:space="preserve">(keys)), </w:t>
      </w:r>
      <w:r>
        <w:rPr>
          <w:rStyle w:val="StringTok"/>
        </w:rPr>
        <w:t xml:space="preserve">"of"</w:t>
      </w:r>
      <w:r>
        <w:rPr>
          <w:rStyle w:val="NormalTok"/>
        </w:rPr>
        <w:t xml:space="preserve">, </w:t>
      </w:r>
      <w:r>
        <w:rPr>
          <w:rStyle w:val="BuiltInTok"/>
        </w:rPr>
        <w:t xml:space="preserve">len</w:t>
      </w:r>
      <w:r>
        <w:rPr>
          <w:rStyle w:val="NormalTok"/>
        </w:rPr>
        <w:t xml:space="preserve">(keys), </w:t>
      </w:r>
      <w:r>
        <w:rPr>
          <w:rStyle w:val="StringTok"/>
        </w:rPr>
        <w:t xml:space="preserve">"requests"</w:t>
      </w:r>
      <w:r>
        <w:rPr>
          <w:rStyle w:val="NormalTok"/>
        </w:rPr>
        <w:t xml:space="preserve">)</w:t>
      </w:r>
    </w:p>
    <w:p>
      <w:pPr>
        <w:pStyle w:val="FirstParagraph"/>
      </w:pPr>
      <w:r>
        <w:t xml:space="preserve">Output:</w:t>
      </w:r>
    </w:p>
    <w:p>
      <w:pPr>
        <w:pStyle w:val="SourceCode"/>
      </w:pPr>
      <w:r>
        <w:rPr>
          <w:rStyle w:val="VerbatimChar"/>
        </w:rPr>
        <w:t xml:space="preserve">cdn.example.com/js/app.js?lang=en&amp;v=7|br</w:t>
      </w:r>
      <w:r>
        <w:br/>
      </w:r>
      <w:r>
        <w:rPr>
          <w:rStyle w:val="VerbatimChar"/>
        </w:rPr>
        <w:t xml:space="preserve">cdn.example.com/js/app.js?lang=en&amp;v=7|br</w:t>
      </w:r>
      <w:r>
        <w:br/>
      </w:r>
      <w:r>
        <w:rPr>
          <w:rStyle w:val="VerbatimChar"/>
        </w:rPr>
        <w:t xml:space="preserve">cdn.example.com/js/app.js?lang=en&amp;v=7|br</w:t>
      </w:r>
      <w:r>
        <w:br/>
      </w:r>
      <w:r>
        <w:rPr>
          <w:rStyle w:val="VerbatimChar"/>
        </w:rPr>
        <w:t xml:space="preserve">cdn.example.com/js/app.js?lang=en&amp;v=7|gzip</w:t>
      </w:r>
      <w:r>
        <w:br/>
      </w:r>
      <w:r>
        <w:rPr>
          <w:rStyle w:val="VerbatimChar"/>
        </w:rPr>
        <w:t xml:space="preserve">cdn.example.com/js/app.js?lang=en&amp;v=7|identity</w:t>
      </w:r>
      <w:r>
        <w:br/>
      </w:r>
      <w:r>
        <w:rPr>
          <w:rStyle w:val="VerbatimChar"/>
        </w:rPr>
        <w:t xml:space="preserve">distinct keys: 3 of 5 requests</w:t>
      </w:r>
    </w:p>
    <w:p>
      <w:pPr>
        <w:pStyle w:val="FirstParagraph"/>
      </w:pPr>
      <w:r>
        <w:t xml:space="preserve">What to notice: five raw requests collapse to three keys, one per encoding the edge must store; parameter order, host case, tracking tags and session IDs no longer fragment the cache; the path keeps its case because URL paths are case-sensitive.</w:t>
      </w:r>
    </w:p>
    <w:p>
      <w:pPr>
        <w:pStyle w:val="CalloutWarning"/>
      </w:pPr>
      <w:r>
        <w:rPr>
          <w:bCs/>
          <w:b/>
        </w:rPr>
        <w:t xml:space="preserve">WARNING / TRADE-OFF</w:t>
      </w:r>
    </w:p>
    <w:p>
      <w:pPr>
        <w:pStyle w:val="CalloutWarning"/>
      </w:pPr>
      <w:r>
        <w:rPr>
          <w:bCs/>
          <w:b/>
        </w:rPr>
        <w:t xml:space="preserve">Unkeyed inputs are a security boundary.</w:t>
      </w:r>
      <w:r>
        <w:t xml:space="preserve"> </w:t>
      </w:r>
      <w:r>
        <w:t xml:space="preserve">In</w:t>
      </w:r>
      <w:r>
        <w:t xml:space="preserve"> </w:t>
      </w:r>
      <w:r>
        <w:rPr>
          <w:bCs/>
          <w:b/>
        </w:rPr>
        <w:t xml:space="preserve">web cache poisoning</w:t>
      </w:r>
      <w:r>
        <w:t xml:space="preserve">, an attacker sends a request whose</w:t>
      </w:r>
      <w:r>
        <w:t xml:space="preserve"> </w:t>
      </w:r>
      <w:r>
        <w:rPr>
          <w:iCs/>
          <w:i/>
        </w:rPr>
        <w:t xml:space="preserve">unkeyed</w:t>
      </w:r>
      <w:r>
        <w:t xml:space="preserve"> </w:t>
      </w:r>
      <w:r>
        <w:t xml:space="preserve">header (for example</w:t>
      </w:r>
      <w:r>
        <w:t xml:space="preserve"> </w:t>
      </w:r>
      <w:r>
        <w:rPr>
          <w:rStyle w:val="VerbatimChar"/>
        </w:rPr>
        <w:t xml:space="preserve">X-Forwarded-Host</w:t>
      </w:r>
      <w:r>
        <w:t xml:space="preserve">) changes the response, so the poisoned response is stored under a normal key and served to everyone [Kettle 2018]. In</w:t>
      </w:r>
      <w:r>
        <w:t xml:space="preserve"> </w:t>
      </w:r>
      <w:r>
        <w:rPr>
          <w:bCs/>
          <w:b/>
        </w:rPr>
        <w:t xml:space="preserve">web cache deception</w:t>
      </w:r>
      <w:r>
        <w:t xml:space="preserve">, an attacker lures a victim to</w:t>
      </w:r>
      <w:r>
        <w:t xml:space="preserve"> </w:t>
      </w:r>
      <w:r>
        <w:rPr>
          <w:rStyle w:val="VerbatimChar"/>
        </w:rPr>
        <w:t xml:space="preserve">/account/profile.css</w:t>
      </w:r>
      <w:r>
        <w:t xml:space="preserve">; a lenient origin returns the private profile page, and a CDN that caches by extension stores it publicly [Gil 2017]. Defenses: key on every input that affects the response, cache by explicit</w:t>
      </w:r>
      <w:r>
        <w:t xml:space="preserve"> </w:t>
      </w:r>
      <w:r>
        <w:rPr>
          <w:rStyle w:val="VerbatimChar"/>
        </w:rPr>
        <w:t xml:space="preserve">Cache-Control</w:t>
      </w:r>
      <w:r>
        <w:t xml:space="preserve"> </w:t>
      </w:r>
      <w:r>
        <w:t xml:space="preserve">rather than by file extension, and mark personalized responses</w:t>
      </w:r>
      <w:r>
        <w:t xml:space="preserve"> </w:t>
      </w:r>
      <w:r>
        <w:rPr>
          <w:rStyle w:val="VerbatimChar"/>
        </w:rPr>
        <w:t xml:space="preserve">private</w:t>
      </w:r>
      <w:r>
        <w:t xml:space="preserve">.</w:t>
      </w:r>
    </w:p>
    <w:bookmarkEnd w:id="2397"/>
    <w:bookmarkStart w:id="2401" w:name="invalidation-and-purge"/>
    <w:p>
      <w:pPr>
        <w:pStyle w:val="Heading3"/>
      </w:pPr>
      <w:r>
        <w:t xml:space="preserve">21.6.3 Invalidation and purge</w:t>
      </w:r>
    </w:p>
    <w:p>
      <w:pPr>
        <w:pStyle w:val="FirstParagraph"/>
      </w:pPr>
      <w:r>
        <w:t xml:space="preserve">Expiry is passive. When content must change</w:t>
      </w:r>
      <w:r>
        <w:t xml:space="preserve"> </w:t>
      </w:r>
      <w:r>
        <w:rPr>
          <w:iCs/>
          <w:i/>
        </w:rPr>
        <w:t xml:space="preserve">now</w:t>
      </w:r>
      <w:r>
        <w:t xml:space="preserve"> </w:t>
      </w:r>
      <w:r>
        <w:t xml:space="preserve">(a corrected price, a deleted photo, a legal takedown), you need active invalidation (§20.10). CDNs offer three tools.</w:t>
      </w:r>
    </w:p>
    <w:p>
      <w:pPr>
        <w:numPr>
          <w:ilvl w:val="0"/>
          <w:numId w:val="1696"/>
        </w:numPr>
        <w:pStyle w:val="Compact"/>
      </w:pPr>
      <w:r>
        <w:rPr>
          <w:bCs/>
          <w:b/>
        </w:rPr>
        <w:t xml:space="preserve">Purge by URL.</w:t>
      </w:r>
      <w:r>
        <w:t xml:space="preserve"> </w:t>
      </w:r>
      <w:r>
        <w:t xml:space="preserve">An API call removes one cache key from every PoP. Simple, but you must know every URL and variant affected.</w:t>
      </w:r>
    </w:p>
    <w:p>
      <w:pPr>
        <w:numPr>
          <w:ilvl w:val="0"/>
          <w:numId w:val="1696"/>
        </w:numPr>
        <w:pStyle w:val="Compact"/>
      </w:pPr>
      <w:r>
        <w:rPr>
          <w:bCs/>
          <w:b/>
        </w:rPr>
        <w:t xml:space="preserve">Purge by surrogate key (tag).</w:t>
      </w:r>
      <w:r>
        <w:t xml:space="preserve"> </w:t>
      </w:r>
      <w:r>
        <w:t xml:space="preserve">The origin labels responses with tags, for example</w:t>
      </w:r>
      <w:r>
        <w:t xml:space="preserve"> </w:t>
      </w:r>
      <w:r>
        <w:rPr>
          <w:rStyle w:val="VerbatimChar"/>
        </w:rPr>
        <w:t xml:space="preserve">Surrogate-Key: user-881 photo-42</w:t>
      </w:r>
      <w:r>
        <w:t xml:space="preserve"> </w:t>
      </w:r>
      <w:r>
        <w:t xml:space="preserve">on Fastly or</w:t>
      </w:r>
      <w:r>
        <w:t xml:space="preserve"> </w:t>
      </w:r>
      <w:r>
        <w:rPr>
          <w:rStyle w:val="VerbatimChar"/>
        </w:rPr>
        <w:t xml:space="preserve">Cache-Tag</w:t>
      </w:r>
      <w:r>
        <w:t xml:space="preserve"> </w:t>
      </w:r>
      <w:r>
        <w:t xml:space="preserve">on Cloudflare; one API call then invalidates every response carrying a tag, across all variants and pages [Fastly Docs: Purging; Cloudflare Docs: Purge by tag]. A</w:t>
      </w:r>
      <w:r>
        <w:t xml:space="preserve"> </w:t>
      </w:r>
      <w:r>
        <w:rPr>
          <w:bCs/>
          <w:b/>
        </w:rPr>
        <w:t xml:space="preserve">soft purge</w:t>
      </w:r>
      <w:r>
        <w:t xml:space="preserve"> </w:t>
      </w:r>
      <w:r>
        <w:t xml:space="preserve">marks matching objects stale instead of deleting them, so</w:t>
      </w:r>
      <w:r>
        <w:t xml:space="preserve"> </w:t>
      </w:r>
      <w:r>
        <w:rPr>
          <w:rStyle w:val="VerbatimChar"/>
        </w:rPr>
        <w:t xml:space="preserve">stale-while-revalidate</w:t>
      </w:r>
      <w:r>
        <w:t xml:space="preserve"> </w:t>
      </w:r>
      <w:r>
        <w:t xml:space="preserve">and</w:t>
      </w:r>
      <w:r>
        <w:t xml:space="preserve"> </w:t>
      </w:r>
      <w:r>
        <w:rPr>
          <w:rStyle w:val="VerbatimChar"/>
        </w:rPr>
        <w:t xml:space="preserve">stale-if-error</w:t>
      </w:r>
      <w:r>
        <w:t xml:space="preserve"> </w:t>
      </w:r>
      <w:r>
        <w:t xml:space="preserve">still protect the origin.</w:t>
      </w:r>
    </w:p>
    <w:p>
      <w:pPr>
        <w:numPr>
          <w:ilvl w:val="0"/>
          <w:numId w:val="1696"/>
        </w:numPr>
        <w:pStyle w:val="Compact"/>
      </w:pPr>
      <w:r>
        <w:rPr>
          <w:bCs/>
          <w:b/>
        </w:rPr>
        <w:t xml:space="preserve">Versioned URLs.</w:t>
      </w:r>
      <w:r>
        <w:t xml:space="preserve"> </w:t>
      </w:r>
      <w:r>
        <w:t xml:space="preserve">Put a content hash or version in the URL (</w:t>
      </w:r>
      <w:r>
        <w:rPr>
          <w:rStyle w:val="VerbatimChar"/>
        </w:rPr>
        <w:t xml:space="preserve">app.3f9a1c.js</w:t>
      </w:r>
      <w:r>
        <w:t xml:space="preserve">), cache it for a year with</w:t>
      </w:r>
      <w:r>
        <w:t xml:space="preserve"> </w:t>
      </w:r>
      <w:r>
        <w:rPr>
          <w:rStyle w:val="VerbatimChar"/>
        </w:rPr>
        <w:t xml:space="preserve">immutable</w:t>
      </w:r>
      <w:r>
        <w:t xml:space="preserve">, and</w:t>
      </w:r>
      <w:r>
        <w:t xml:space="preserve"> </w:t>
      </w:r>
      <w:r>
        <w:t xml:space="preserve">“</w:t>
      </w:r>
      <w:r>
        <w:t xml:space="preserve">invalidate</w:t>
      </w:r>
      <w:r>
        <w:t xml:space="preserve">”</w:t>
      </w:r>
      <w:r>
        <w:t xml:space="preserve"> </w:t>
      </w:r>
      <w:r>
        <w:t xml:space="preserve">by publishing new HTML that references a new URL. Nothing is purged; the old object simply stops being requested.</w:t>
      </w:r>
    </w:p>
    <w:p>
      <w:pPr>
        <w:pStyle w:val="FirstParagraph"/>
      </w:pPr>
      <w:r>
        <w:rPr>
          <w:bCs/>
          <w:b/>
        </w:rPr>
        <w:t xml:space="preserve">Figure 21.6 — Tag-based purge propagation.</w:t>
      </w:r>
    </w:p>
    <w:p>
      <w:pPr>
        <w:pStyle w:val="BodyText"/>
      </w:pPr>
      <w:r>
        <w:drawing>
          <wp:inline>
            <wp:extent cx="5334000" cy="2258764"/>
            <wp:effectExtent b="0" l="0" r="0" t="0"/>
            <wp:docPr descr="" title="" id="2399" name="Picture"/>
            <a:graphic>
              <a:graphicData uri="http://schemas.openxmlformats.org/drawingml/2006/picture">
                <pic:pic>
                  <pic:nvPicPr>
                    <pic:cNvPr descr="/home/user/System-Design/build/.cache/diagrams/1a6558a26999.png" id="2400" name="Picture"/>
                    <pic:cNvPicPr>
                      <a:picLocks noChangeArrowheads="1" noChangeAspect="1"/>
                    </pic:cNvPicPr>
                  </pic:nvPicPr>
                  <pic:blipFill>
                    <a:blip r:embed="rId2398"/>
                    <a:stretch>
                      <a:fillRect/>
                    </a:stretch>
                  </pic:blipFill>
                  <pic:spPr bwMode="auto">
                    <a:xfrm>
                      <a:off x="0" y="0"/>
                      <a:ext cx="5334000" cy="2258764"/>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application calls the purge API synchronously; propagation to PoPs is asynchronous (open arrowheads), fanned out by the control plane. Each PoP keeps an index from tag to cache keys and applies the purge locally. Storage boundaries are the per-PoP caches. Failure points: a PoP partitioned from the control plane keeps serving old content until it reconnects or the TTL expires, so purge is fast in practice but not linearizable; mass refetching can stampede the origin unless a shield or soft purge is used. Scaling: purge is a broadcast whose cost grows with PoP count, not traffic.</w:t>
      </w:r>
    </w:p>
    <w:p>
      <w:pPr>
        <w:pStyle w:val="CalloutIndustry"/>
      </w:pPr>
      <w:r>
        <w:rPr>
          <w:bCs/>
          <w:b/>
        </w:rPr>
        <w:t xml:space="preserve">INDUSTRY EXAMPLE</w:t>
      </w:r>
    </w:p>
    <w:p>
      <w:pPr>
        <w:pStyle w:val="CalloutIndustry"/>
      </w:pPr>
      <w:r>
        <w:rPr>
          <w:bCs/>
          <w:b/>
        </w:rPr>
        <w:t xml:space="preserve">Fastly Instant Purge.</w:t>
      </w:r>
      <w:r>
        <w:t xml:space="preserve"> </w:t>
      </w:r>
      <w:r>
        <w:t xml:space="preserve">Fastly built its CDN around fast invalidation of surrogate keys, broadcast to all PoPs. A Fastly developer advocate has written that a surrogate-key purge starts taking effect within a few milliseconds and completes at every PoP worldwide in around 150 ms, while</w:t>
      </w:r>
      <w:r>
        <w:t xml:space="preserve"> </w:t>
      </w:r>
      <w:r>
        <w:t xml:space="preserve">“</w:t>
      </w:r>
      <w:r>
        <w:t xml:space="preserve">purge all</w:t>
      </w:r>
      <w:r>
        <w:t xml:space="preserve">”</w:t>
      </w:r>
      <w:r>
        <w:t xml:space="preserve"> </w:t>
      </w:r>
      <w:r>
        <w:t xml:space="preserve">uses a different, slower mechanism [Betts, Fastly Blog]. Fast purge lets customers cache content once considered dynamic, such as news articles and API responses, with long TTLs and purge on change.</w:t>
      </w:r>
      <w:r>
        <w:t xml:space="preserve"> </w:t>
      </w:r>
      <w:r>
        <w:rPr>
          <w:iCs/>
          <w:i/>
        </w:rPr>
        <w:t xml:space="preserve">Evidence: Primary</w:t>
      </w:r>
      <w:r>
        <w:t xml:space="preserve"> </w:t>
      </w:r>
      <w:r>
        <w:t xml:space="preserve">— [Betts, Fastly Blog]; [Fastly Docs: Purging]</w:t>
      </w:r>
    </w:p>
    <w:p>
      <w:pPr>
        <w:pStyle w:val="BodyText"/>
      </w:pPr>
      <w:r>
        <w:rPr>
          <w:bCs/>
          <w:b/>
        </w:rPr>
        <w:t xml:space="preserve">Table 21.5 — Invalidation methods compared.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URL purge</w:t>
            </w:r>
          </w:p>
        </w:tc>
        <w:tc>
          <w:tcPr/>
          <w:p>
            <w:pPr>
              <w:pStyle w:val="Compact"/>
              <w:jc w:val="left"/>
            </w:pPr>
            <w:r>
              <w:t xml:space="preserve">Tag purge</w:t>
            </w:r>
          </w:p>
        </w:tc>
        <w:tc>
          <w:tcPr/>
          <w:p>
            <w:pPr>
              <w:pStyle w:val="Compact"/>
              <w:jc w:val="left"/>
            </w:pPr>
            <w:r>
              <w:t xml:space="preserve">Versioned URL</w:t>
            </w:r>
          </w:p>
        </w:tc>
      </w:tr>
      <w:tr>
        <w:tc>
          <w:tcPr/>
          <w:p>
            <w:pPr>
              <w:pStyle w:val="Compact"/>
              <w:jc w:val="left"/>
            </w:pPr>
            <w:r>
              <w:t xml:space="preserve">How it works</w:t>
            </w:r>
          </w:p>
        </w:tc>
        <w:tc>
          <w:tcPr/>
          <w:p>
            <w:pPr>
              <w:pStyle w:val="Compact"/>
              <w:jc w:val="left"/>
            </w:pPr>
            <w:r>
              <w:t xml:space="preserve">Delete one key everywhere</w:t>
            </w:r>
          </w:p>
        </w:tc>
        <w:tc>
          <w:tcPr/>
          <w:p>
            <w:pPr>
              <w:pStyle w:val="Compact"/>
              <w:jc w:val="left"/>
            </w:pPr>
            <w:r>
              <w:t xml:space="preserve">Delete all keys with a tag</w:t>
            </w:r>
          </w:p>
        </w:tc>
        <w:tc>
          <w:tcPr/>
          <w:p>
            <w:pPr>
              <w:pStyle w:val="Compact"/>
              <w:jc w:val="left"/>
            </w:pPr>
            <w:r>
              <w:t xml:space="preserve">New URL; old one ages out</w:t>
            </w:r>
          </w:p>
        </w:tc>
      </w:tr>
      <w:tr>
        <w:tc>
          <w:tcPr/>
          <w:p>
            <w:pPr>
              <w:pStyle w:val="Compact"/>
              <w:jc w:val="left"/>
            </w:pPr>
            <w:r>
              <w:t xml:space="preserve">Advantages</w:t>
            </w:r>
          </w:p>
        </w:tc>
        <w:tc>
          <w:tcPr/>
          <w:p>
            <w:pPr>
              <w:pStyle w:val="Compact"/>
              <w:jc w:val="left"/>
            </w:pPr>
            <w:r>
              <w:t xml:space="preserve">Simple, universal</w:t>
            </w:r>
          </w:p>
        </w:tc>
        <w:tc>
          <w:tcPr/>
          <w:p>
            <w:pPr>
              <w:pStyle w:val="Compact"/>
              <w:jc w:val="left"/>
            </w:pPr>
            <w:r>
              <w:t xml:space="preserve">One call covers many pages</w:t>
            </w:r>
          </w:p>
        </w:tc>
        <w:tc>
          <w:tcPr/>
          <w:p>
            <w:pPr>
              <w:pStyle w:val="Compact"/>
              <w:jc w:val="left"/>
            </w:pPr>
            <w:r>
              <w:t xml:space="preserve">No purge needed; perfect browser caching</w:t>
            </w:r>
          </w:p>
        </w:tc>
      </w:tr>
      <w:tr>
        <w:tc>
          <w:tcPr/>
          <w:p>
            <w:pPr>
              <w:pStyle w:val="Compact"/>
              <w:jc w:val="left"/>
            </w:pPr>
            <w:r>
              <w:t xml:space="preserve">Disadvantages</w:t>
            </w:r>
          </w:p>
        </w:tc>
        <w:tc>
          <w:tcPr/>
          <w:p>
            <w:pPr>
              <w:pStyle w:val="Compact"/>
              <w:jc w:val="left"/>
            </w:pPr>
            <w:r>
              <w:t xml:space="preserve">Must enumerate variants</w:t>
            </w:r>
          </w:p>
        </w:tc>
        <w:tc>
          <w:tcPr/>
          <w:p>
            <w:pPr>
              <w:pStyle w:val="Compact"/>
              <w:jc w:val="left"/>
            </w:pPr>
            <w:r>
              <w:t xml:space="preserve">Tagging discipline; vendor-specific</w:t>
            </w:r>
          </w:p>
        </w:tc>
        <w:tc>
          <w:tcPr/>
          <w:p>
            <w:pPr>
              <w:pStyle w:val="Compact"/>
              <w:jc w:val="left"/>
            </w:pPr>
            <w:r>
              <w:t xml:space="preserve">Needs a reference that changes (HTML, manifest)</w:t>
            </w:r>
          </w:p>
        </w:tc>
      </w:tr>
      <w:tr>
        <w:tc>
          <w:tcPr/>
          <w:p>
            <w:pPr>
              <w:pStyle w:val="Compact"/>
              <w:jc w:val="left"/>
            </w:pPr>
            <w:r>
              <w:t xml:space="preserve">Origin impact</w:t>
            </w:r>
          </w:p>
        </w:tc>
        <w:tc>
          <w:tcPr/>
          <w:p>
            <w:pPr>
              <w:pStyle w:val="Compact"/>
              <w:jc w:val="left"/>
            </w:pPr>
            <w:r>
              <w:t xml:space="preserve">Refetch of that key</w:t>
            </w:r>
          </w:p>
        </w:tc>
        <w:tc>
          <w:tcPr/>
          <w:p>
            <w:pPr>
              <w:pStyle w:val="Compact"/>
              <w:jc w:val="left"/>
            </w:pPr>
            <w:r>
              <w:t xml:space="preserve">Refetch of every tagged key</w:t>
            </w:r>
          </w:p>
        </w:tc>
        <w:tc>
          <w:tcPr/>
          <w:p>
            <w:pPr>
              <w:pStyle w:val="Compact"/>
              <w:jc w:val="left"/>
            </w:pPr>
            <w:r>
              <w:t xml:space="preserve">None until new URL is requested</w:t>
            </w:r>
          </w:p>
        </w:tc>
      </w:tr>
      <w:tr>
        <w:tc>
          <w:tcPr/>
          <w:p>
            <w:pPr>
              <w:pStyle w:val="Compact"/>
              <w:jc w:val="left"/>
            </w:pPr>
            <w:r>
              <w:t xml:space="preserve">Choose when</w:t>
            </w:r>
          </w:p>
        </w:tc>
        <w:tc>
          <w:tcPr/>
          <w:p>
            <w:pPr>
              <w:pStyle w:val="Compact"/>
              <w:jc w:val="left"/>
            </w:pPr>
            <w:r>
              <w:t xml:space="preserve">Rare, specific fixes</w:t>
            </w:r>
          </w:p>
        </w:tc>
        <w:tc>
          <w:tcPr/>
          <w:p>
            <w:pPr>
              <w:pStyle w:val="Compact"/>
              <w:jc w:val="left"/>
            </w:pPr>
            <w:r>
              <w:t xml:space="preserve">Content shown on many pages (a photo in feeds)</w:t>
            </w:r>
          </w:p>
        </w:tc>
        <w:tc>
          <w:tcPr/>
          <w:p>
            <w:pPr>
              <w:pStyle w:val="Compact"/>
              <w:jc w:val="left"/>
            </w:pPr>
            <w:r>
              <w:t xml:space="preserve">Static assets (JS, CSS, images by hash)</w:t>
            </w:r>
          </w:p>
        </w:tc>
      </w:tr>
    </w:tbl>
    <w:p>
      <w:pPr>
        <w:pStyle w:val="CalloutRecommendation"/>
      </w:pPr>
      <w:r>
        <w:rPr>
          <w:bCs/>
          <w:b/>
        </w:rPr>
        <w:t xml:space="preserve">RECOMMENDATION</w:t>
      </w:r>
    </w:p>
    <w:p>
      <w:pPr>
        <w:pStyle w:val="CalloutRecommendation"/>
      </w:pPr>
      <w:r>
        <w:rPr>
          <w:bCs/>
          <w:b/>
        </w:rPr>
        <w:t xml:space="preserve">A default policy.</w:t>
      </w:r>
      <w:r>
        <w:t xml:space="preserve"> </w:t>
      </w:r>
      <w:r>
        <w:t xml:space="preserve">Version every static asset and cache it for a year with</w:t>
      </w:r>
      <w:r>
        <w:t xml:space="preserve"> </w:t>
      </w:r>
      <w:r>
        <w:rPr>
          <w:rStyle w:val="VerbatimChar"/>
        </w:rPr>
        <w:t xml:space="preserve">immutable</w:t>
      </w:r>
      <w:r>
        <w:t xml:space="preserve">. Serve HTML and API responses with a short browser lifetime, a longer</w:t>
      </w:r>
      <w:r>
        <w:t xml:space="preserve"> </w:t>
      </w:r>
      <w:r>
        <w:rPr>
          <w:rStyle w:val="VerbatimChar"/>
        </w:rPr>
        <w:t xml:space="preserve">s-maxage</w:t>
      </w:r>
      <w:r>
        <w:t xml:space="preserve">,</w:t>
      </w:r>
      <w:r>
        <w:t xml:space="preserve"> </w:t>
      </w:r>
      <w:r>
        <w:rPr>
          <w:rStyle w:val="VerbatimChar"/>
        </w:rPr>
        <w:t xml:space="preserve">stale-while-revalidate</w:t>
      </w:r>
      <w:r>
        <w:t xml:space="preserve"> </w:t>
      </w:r>
      <w:r>
        <w:t xml:space="preserve">and</w:t>
      </w:r>
      <w:r>
        <w:t xml:space="preserve"> </w:t>
      </w:r>
      <w:r>
        <w:rPr>
          <w:rStyle w:val="VerbatimChar"/>
        </w:rPr>
        <w:t xml:space="preserve">stale-if-error</w:t>
      </w:r>
      <w:r>
        <w:t xml:space="preserve">, and tag them by the entities they display so a write can purge exactly what changed. For PhotoShare, a deleted photo is purged by tag</w:t>
      </w:r>
      <w:r>
        <w:t xml:space="preserve"> </w:t>
      </w:r>
      <w:r>
        <w:rPr>
          <w:rStyle w:val="VerbatimChar"/>
        </w:rPr>
        <w:t xml:space="preserve">photo-42</w:t>
      </w:r>
      <w:r>
        <w:t xml:space="preserve">, removing it from every feed page that embedded it.</w:t>
      </w:r>
    </w:p>
    <w:bookmarkEnd w:id="2401"/>
    <w:bookmarkEnd w:id="2402"/>
    <w:bookmarkStart w:id="2409" w:name="static-versus-dynamic-content"/>
    <w:p>
      <w:pPr>
        <w:pStyle w:val="Heading2"/>
      </w:pPr>
      <w:r>
        <w:t xml:space="preserve">21.7 Static versus dynamic content</w:t>
      </w:r>
    </w:p>
    <w:bookmarkStart w:id="2403" w:name="what-can-be-cached"/>
    <w:p>
      <w:pPr>
        <w:pStyle w:val="Heading3"/>
      </w:pPr>
      <w:r>
        <w:t xml:space="preserve">21.7.1 What can be cached</w:t>
      </w:r>
    </w:p>
    <w:p>
      <w:pPr>
        <w:pStyle w:val="FirstParagraph"/>
      </w:pPr>
      <w:r>
        <w:rPr>
          <w:bCs/>
          <w:b/>
        </w:rPr>
        <w:t xml:space="preserve">Table 21.6 — Content classes and CDN treatment.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Class</w:t>
            </w:r>
          </w:p>
        </w:tc>
        <w:tc>
          <w:tcPr/>
          <w:p>
            <w:pPr>
              <w:pStyle w:val="Compact"/>
              <w:jc w:val="left"/>
            </w:pPr>
            <w:r>
              <w:t xml:space="preserve">Examples</w:t>
            </w:r>
          </w:p>
        </w:tc>
        <w:tc>
          <w:tcPr/>
          <w:p>
            <w:pPr>
              <w:pStyle w:val="Compact"/>
              <w:jc w:val="left"/>
            </w:pPr>
            <w:r>
              <w:t xml:space="preserve">Cacheable?</w:t>
            </w:r>
          </w:p>
        </w:tc>
        <w:tc>
          <w:tcPr/>
          <w:p>
            <w:pPr>
              <w:pStyle w:val="Compact"/>
              <w:jc w:val="left"/>
            </w:pPr>
            <w:r>
              <w:t xml:space="preserve">CDN treatment</w:t>
            </w:r>
          </w:p>
        </w:tc>
      </w:tr>
      <w:tr>
        <w:tc>
          <w:tcPr/>
          <w:p>
            <w:pPr>
              <w:pStyle w:val="Compact"/>
              <w:jc w:val="left"/>
            </w:pPr>
            <w:r>
              <w:t xml:space="preserve">Static, versioned</w:t>
            </w:r>
          </w:p>
        </w:tc>
        <w:tc>
          <w:tcPr/>
          <w:p>
            <w:pPr>
              <w:pStyle w:val="Compact"/>
              <w:jc w:val="left"/>
            </w:pPr>
            <w:r>
              <w:t xml:space="preserve">JS, CSS, fonts, images by hash</w:t>
            </w:r>
          </w:p>
        </w:tc>
        <w:tc>
          <w:tcPr/>
          <w:p>
            <w:pPr>
              <w:pStyle w:val="Compact"/>
              <w:jc w:val="left"/>
            </w:pPr>
            <w:r>
              <w:t xml:space="preserve">Yes, for a year</w:t>
            </w:r>
          </w:p>
        </w:tc>
        <w:tc>
          <w:tcPr/>
          <w:p>
            <w:pPr>
              <w:pStyle w:val="Compact"/>
              <w:jc w:val="left"/>
            </w:pPr>
            <w:r>
              <w:rPr>
                <w:rStyle w:val="VerbatimChar"/>
              </w:rPr>
              <w:t xml:space="preserve">immutable</w:t>
            </w:r>
            <w:r>
              <w:t xml:space="preserve">, versioned URLs</w:t>
            </w:r>
          </w:p>
        </w:tc>
      </w:tr>
      <w:tr>
        <w:tc>
          <w:tcPr/>
          <w:p>
            <w:pPr>
              <w:pStyle w:val="Compact"/>
              <w:jc w:val="left"/>
            </w:pPr>
            <w:r>
              <w:t xml:space="preserve">Static, mutable</w:t>
            </w:r>
          </w:p>
        </w:tc>
        <w:tc>
          <w:tcPr/>
          <w:p>
            <w:pPr>
              <w:pStyle w:val="Compact"/>
              <w:jc w:val="left"/>
            </w:pPr>
            <w:r>
              <w:t xml:space="preserve">Photos, product images, video segments</w:t>
            </w:r>
          </w:p>
        </w:tc>
        <w:tc>
          <w:tcPr/>
          <w:p>
            <w:pPr>
              <w:pStyle w:val="Compact"/>
              <w:jc w:val="left"/>
            </w:pPr>
            <w:r>
              <w:t xml:space="preserve">Yes, hours to days</w:t>
            </w:r>
          </w:p>
        </w:tc>
        <w:tc>
          <w:tcPr/>
          <w:p>
            <w:pPr>
              <w:pStyle w:val="Compact"/>
              <w:jc w:val="left"/>
            </w:pPr>
            <w:r>
              <w:t xml:space="preserve">Long</w:t>
            </w:r>
            <w:r>
              <w:t xml:space="preserve"> </w:t>
            </w:r>
            <w:r>
              <w:rPr>
                <w:rStyle w:val="VerbatimChar"/>
              </w:rPr>
              <w:t xml:space="preserve">s-maxage</w:t>
            </w:r>
            <w:r>
              <w:t xml:space="preserve"> </w:t>
            </w:r>
            <w:r>
              <w:t xml:space="preserve">plus tag purge</w:t>
            </w:r>
          </w:p>
        </w:tc>
      </w:tr>
      <w:tr>
        <w:tc>
          <w:tcPr/>
          <w:p>
            <w:pPr>
              <w:pStyle w:val="Compact"/>
              <w:jc w:val="left"/>
            </w:pPr>
            <w:r>
              <w:t xml:space="preserve">Shared dynamic</w:t>
            </w:r>
          </w:p>
        </w:tc>
        <w:tc>
          <w:tcPr/>
          <w:p>
            <w:pPr>
              <w:pStyle w:val="Compact"/>
              <w:jc w:val="left"/>
            </w:pPr>
            <w:r>
              <w:t xml:space="preserve">Home page, article, public API list</w:t>
            </w:r>
          </w:p>
        </w:tc>
        <w:tc>
          <w:tcPr/>
          <w:p>
            <w:pPr>
              <w:pStyle w:val="Compact"/>
              <w:jc w:val="left"/>
            </w:pPr>
            <w:r>
              <w:t xml:space="preserve">Yes, seconds to minutes</w:t>
            </w:r>
          </w:p>
        </w:tc>
        <w:tc>
          <w:tcPr/>
          <w:p>
            <w:pPr>
              <w:pStyle w:val="Compact"/>
              <w:jc w:val="left"/>
            </w:pPr>
            <w:r>
              <w:rPr>
                <w:bCs/>
                <w:b/>
              </w:rPr>
              <w:t xml:space="preserve">Micro-caching</w:t>
            </w:r>
            <w:r>
              <w:t xml:space="preserve"> </w:t>
            </w:r>
            <w:r>
              <w:t xml:space="preserve">(1–10 s),</w:t>
            </w:r>
            <w:r>
              <w:t xml:space="preserve"> </w:t>
            </w:r>
            <w:r>
              <w:rPr>
                <w:rStyle w:val="VerbatimChar"/>
              </w:rPr>
              <w:t xml:space="preserve">stale-while-revalidate</w:t>
            </w:r>
            <w:r>
              <w:t xml:space="preserve">, request collapsing</w:t>
            </w:r>
          </w:p>
        </w:tc>
      </w:tr>
      <w:tr>
        <w:tc>
          <w:tcPr/>
          <w:p>
            <w:pPr>
              <w:pStyle w:val="Compact"/>
              <w:jc w:val="left"/>
            </w:pPr>
            <w:r>
              <w:t xml:space="preserve">Personalized</w:t>
            </w:r>
          </w:p>
        </w:tc>
        <w:tc>
          <w:tcPr/>
          <w:p>
            <w:pPr>
              <w:pStyle w:val="Compact"/>
              <w:jc w:val="left"/>
            </w:pPr>
            <w:r>
              <w:t xml:space="preserve">Feed, cart, account page</w:t>
            </w:r>
          </w:p>
        </w:tc>
        <w:tc>
          <w:tcPr/>
          <w:p>
            <w:pPr>
              <w:pStyle w:val="Compact"/>
              <w:jc w:val="left"/>
            </w:pPr>
            <w:r>
              <w:t xml:space="preserve">Mostly no</w:t>
            </w:r>
          </w:p>
        </w:tc>
        <w:tc>
          <w:tcPr/>
          <w:p>
            <w:pPr>
              <w:pStyle w:val="Compact"/>
              <w:jc w:val="left"/>
            </w:pPr>
            <w:r>
              <w:t xml:space="preserve">Cache fragments (ESI), or accelerate only</w:t>
            </w:r>
          </w:p>
        </w:tc>
      </w:tr>
      <w:tr>
        <w:tc>
          <w:tcPr/>
          <w:p>
            <w:pPr>
              <w:pStyle w:val="Compact"/>
              <w:jc w:val="left"/>
            </w:pPr>
            <w:r>
              <w:t xml:space="preserve">Writes</w:t>
            </w:r>
          </w:p>
        </w:tc>
        <w:tc>
          <w:tcPr/>
          <w:p>
            <w:pPr>
              <w:pStyle w:val="Compact"/>
              <w:jc w:val="left"/>
            </w:pPr>
            <w:r>
              <w:rPr>
                <w:rStyle w:val="VerbatimChar"/>
              </w:rPr>
              <w:t xml:space="preserve">POST</w:t>
            </w:r>
            <w:r>
              <w:t xml:space="preserve"> </w:t>
            </w:r>
            <w:r>
              <w:t xml:space="preserve">upload, checkout</w:t>
            </w:r>
          </w:p>
        </w:tc>
        <w:tc>
          <w:tcPr/>
          <w:p>
            <w:pPr>
              <w:pStyle w:val="Compact"/>
              <w:jc w:val="left"/>
            </w:pPr>
            <w:r>
              <w:t xml:space="preserve">No</w:t>
            </w:r>
          </w:p>
        </w:tc>
        <w:tc>
          <w:tcPr/>
          <w:p>
            <w:pPr>
              <w:pStyle w:val="Compact"/>
              <w:jc w:val="left"/>
            </w:pPr>
            <w:r>
              <w:t xml:space="preserve">Dynamic acceleration, WAF, rate limits</w:t>
            </w:r>
          </w:p>
        </w:tc>
      </w:tr>
    </w:tbl>
    <w:p>
      <w:pPr>
        <w:pStyle w:val="BodyText"/>
      </w:pPr>
      <w:r>
        <w:t xml:space="preserve">Micro-caching is underrated: a shared page requested 2,000 times per second and cached for just 1 s sends at most one request per second per cache to the origin, a 99.95% offload at a cost of one second of staleness.</w:t>
      </w:r>
    </w:p>
    <w:bookmarkEnd w:id="2403"/>
    <w:bookmarkStart w:id="2407" w:name="dynamic-site-acceleration"/>
    <w:p>
      <w:pPr>
        <w:pStyle w:val="Heading3"/>
      </w:pPr>
      <w:r>
        <w:t xml:space="preserve">21.7.2 Dynamic site acceleration</w:t>
      </w:r>
    </w:p>
    <w:p>
      <w:pPr>
        <w:pStyle w:val="CalloutDefinition"/>
      </w:pPr>
      <w:r>
        <w:rPr>
          <w:bCs/>
          <w:b/>
        </w:rPr>
        <w:t xml:space="preserve">DEFINITION</w:t>
      </w:r>
    </w:p>
    <w:p>
      <w:pPr>
        <w:pStyle w:val="CalloutDefinition"/>
      </w:pPr>
      <w:r>
        <w:rPr>
          <w:bCs/>
          <w:b/>
        </w:rPr>
        <w:t xml:space="preserve">Definition — Dynamic site acceleration (DSA).</w:t>
      </w:r>
      <w:r>
        <w:t xml:space="preserve"> </w:t>
      </w:r>
      <w:r>
        <w:t xml:space="preserve">Routing uncacheable requests through the CDN anyway, so that TCP and TLS terminate near the user and the edge forwards each request to the origin over pre-established, tuned, long-lived connections, sometimes along an overlay path chosen from measurements.</w:t>
      </w:r>
    </w:p>
    <w:p>
      <w:pPr>
        <w:pStyle w:val="BodyText"/>
      </w:pPr>
      <w:r>
        <w:t xml:space="preserve">The insight is that most of a dynamic request’s latency is handshakes and slow start on a long path, not origin processing. Akamai’s platform paper describes this suite: persistent connections between edge and origin, transport tuning, and overlay routing that picks a faster path through Akamai’s own servers than BGP’s default [Nygren et al. 2010].</w:t>
      </w:r>
    </w:p>
    <w:p>
      <w:pPr>
        <w:pStyle w:val="CalloutFormula"/>
      </w:pPr>
      <w:r>
        <w:rPr>
          <w:bCs/>
          <w:b/>
        </w:rPr>
        <w:t xml:space="preserve">FORMULA</w:t>
      </w:r>
    </w:p>
    <w:p>
      <w:pPr>
        <w:pStyle w:val="CalloutFormula"/>
      </w:pPr>
      <w:r>
        <w:rPr>
          <w:bCs/>
          <w:b/>
        </w:rPr>
        <w:t xml:space="preserve">Time to first byte, direct versus through an edge</w:t>
      </w:r>
    </w:p>
    <w:p>
      <w:pPr>
        <w:pStyle w:val="CalloutFormula"/>
      </w:pPr>
      <m:oMathPara>
        <m:oMathParaPr>
          <m:jc m:val="center"/>
        </m:oMathParaPr>
        <m:oMath>
          <m:sSub>
            <m:e>
              <m:r>
                <m:t>T</m:t>
              </m:r>
            </m:e>
            <m:sub>
              <m:r>
                <m:rPr>
                  <m:nor/>
                  <m:sty m:val="p"/>
                </m:rPr>
                <m:t>direct</m:t>
              </m:r>
            </m:sub>
          </m:sSub>
          <m:r>
            <m:rPr>
              <m:sty m:val="p"/>
            </m:rPr>
            <m:t>=</m:t>
          </m:r>
          <m:d>
            <m:dPr>
              <m:begChr m:val="("/>
              <m:endChr m:val=")"/>
              <m:sepChr m:val=""/>
              <m:grow/>
            </m:dPr>
            <m:e>
              <m:sSub>
                <m:e>
                  <m:r>
                    <m:t>n</m:t>
                  </m:r>
                </m:e>
                <m:sub>
                  <m:r>
                    <m:rPr>
                      <m:nor/>
                      <m:sty m:val="p"/>
                    </m:rPr>
                    <m:t>hs</m:t>
                  </m:r>
                </m:sub>
              </m:sSub>
              <m:r>
                <m:rPr>
                  <m:sty m:val="p"/>
                </m:rPr>
                <m:t>+</m:t>
              </m:r>
              <m:r>
                <m:t>1</m:t>
              </m:r>
            </m:e>
          </m:d>
          <m:r>
            <m:t> </m:t>
          </m:r>
          <m:sSub>
            <m:e>
              <m:r>
                <m:rPr>
                  <m:nor/>
                  <m:sty m:val="p"/>
                </m:rPr>
                <m:t>RTT</m:t>
              </m:r>
            </m:e>
            <m:sub>
              <m:r>
                <m:t>u</m:t>
              </m:r>
              <m:r>
                <m:t>o</m:t>
              </m:r>
            </m:sub>
          </m:sSub>
          <m:r>
            <m:rPr>
              <m:sty m:val="p"/>
            </m:rPr>
            <m:t>+</m:t>
          </m:r>
          <m:sSub>
            <m:e>
              <m:r>
                <m:t>t</m:t>
              </m:r>
            </m:e>
            <m:sub>
              <m:r>
                <m:rPr>
                  <m:nor/>
                  <m:sty m:val="p"/>
                </m:rPr>
                <m:t>app</m:t>
              </m:r>
            </m:sub>
          </m:sSub>
          <m:r>
            <m:t>  </m:t>
          </m:r>
          <m:sSub>
            <m:e>
              <m:r>
                <m:t>T</m:t>
              </m:r>
            </m:e>
            <m:sub>
              <m:r>
                <m:rPr>
                  <m:nor/>
                  <m:sty m:val="p"/>
                </m:rPr>
                <m:t>edge</m:t>
              </m:r>
            </m:sub>
          </m:sSub>
          <m:r>
            <m:rPr>
              <m:sty m:val="p"/>
            </m:rPr>
            <m:t>=</m:t>
          </m:r>
          <m:d>
            <m:dPr>
              <m:begChr m:val="("/>
              <m:endChr m:val=")"/>
              <m:sepChr m:val=""/>
              <m:grow/>
            </m:dPr>
            <m:e>
              <m:sSub>
                <m:e>
                  <m:r>
                    <m:t>n</m:t>
                  </m:r>
                </m:e>
                <m:sub>
                  <m:r>
                    <m:rPr>
                      <m:nor/>
                      <m:sty m:val="p"/>
                    </m:rPr>
                    <m:t>hs</m:t>
                  </m:r>
                </m:sub>
              </m:sSub>
              <m:r>
                <m:rPr>
                  <m:sty m:val="p"/>
                </m:rPr>
                <m:t>+</m:t>
              </m:r>
              <m:r>
                <m:t>1</m:t>
              </m:r>
            </m:e>
          </m:d>
          <m:r>
            <m:t> </m:t>
          </m:r>
          <m:sSub>
            <m:e>
              <m:r>
                <m:rPr>
                  <m:nor/>
                  <m:sty m:val="p"/>
                </m:rPr>
                <m:t>RTT</m:t>
              </m:r>
            </m:e>
            <m:sub>
              <m:r>
                <m:t>u</m:t>
              </m:r>
              <m:r>
                <m:t>e</m:t>
              </m:r>
            </m:sub>
          </m:sSub>
          <m:r>
            <m:rPr>
              <m:sty m:val="p"/>
            </m:rPr>
            <m:t>+</m:t>
          </m:r>
          <m:sSub>
            <m:e>
              <m:r>
                <m:rPr>
                  <m:nor/>
                  <m:sty m:val="p"/>
                </m:rPr>
                <m:t>RTT</m:t>
              </m:r>
            </m:e>
            <m:sub>
              <m:r>
                <m:t>e</m:t>
              </m:r>
              <m:r>
                <m:t>o</m:t>
              </m:r>
            </m:sub>
          </m:sSub>
          <m:r>
            <m:rPr>
              <m:sty m:val="p"/>
            </m:rPr>
            <m:t>+</m:t>
          </m:r>
          <m:sSub>
            <m:e>
              <m:r>
                <m:t>t</m:t>
              </m:r>
            </m:e>
            <m:sub>
              <m:r>
                <m:rPr>
                  <m:nor/>
                  <m:sty m:val="p"/>
                </m:rPr>
                <m:t>app</m:t>
              </m:r>
            </m:sub>
          </m:sSub>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n</m:t>
                  </m:r>
                </m:e>
                <m:sub>
                  <m:r>
                    <m:rPr>
                      <m:nor/>
                      <m:sty m:val="p"/>
                    </m:rPr>
                    <m:t>hs</m:t>
                  </m:r>
                </m:sub>
              </m:sSub>
            </m:oMath>
          </w:p>
        </w:tc>
        <w:tc>
          <w:tcPr/>
          <w:p>
            <w:pPr>
              <w:pStyle w:val="Compact"/>
              <w:jc w:val="left"/>
            </w:pPr>
            <w:r>
              <w:t xml:space="preserve">Client handshake round trips (2 for TCP + TLS 1.3, 0 if reused)</w:t>
            </w:r>
          </w:p>
        </w:tc>
        <w:tc>
          <w:tcPr/>
          <w:p>
            <w:pPr>
              <w:pStyle w:val="Compact"/>
              <w:jc w:val="left"/>
            </w:pPr>
            <w:r>
              <w:t xml:space="preserve">round trips</w:t>
            </w:r>
          </w:p>
        </w:tc>
      </w:tr>
      <w:tr>
        <w:tc>
          <w:tcPr/>
          <w:p>
            <w:pPr>
              <w:pStyle w:val="Compact"/>
              <w:jc w:val="left"/>
            </w:pPr>
            <m:oMath>
              <m:sSub>
                <m:e>
                  <m:r>
                    <m:rPr>
                      <m:nor/>
                      <m:sty m:val="p"/>
                    </m:rPr>
                    <m:t>RTT</m:t>
                  </m:r>
                </m:e>
                <m:sub>
                  <m:r>
                    <m:t>u</m:t>
                  </m:r>
                  <m:r>
                    <m:t>o</m:t>
                  </m:r>
                </m:sub>
              </m:sSub>
            </m:oMath>
          </w:p>
        </w:tc>
        <w:tc>
          <w:tcPr/>
          <w:p>
            <w:pPr>
              <w:pStyle w:val="Compact"/>
              <w:jc w:val="left"/>
            </w:pPr>
            <w:r>
              <w:t xml:space="preserve">Round trip, user to origin</w:t>
            </w:r>
          </w:p>
        </w:tc>
        <w:tc>
          <w:tcPr/>
          <w:p>
            <w:pPr>
              <w:pStyle w:val="Compact"/>
              <w:jc w:val="left"/>
            </w:pPr>
            <w:r>
              <w:t xml:space="preserve">ms</w:t>
            </w:r>
          </w:p>
        </w:tc>
      </w:tr>
      <w:tr>
        <w:tc>
          <w:tcPr/>
          <w:p>
            <w:pPr>
              <w:pStyle w:val="Compact"/>
              <w:jc w:val="left"/>
            </w:pPr>
            <m:oMath>
              <m:sSub>
                <m:e>
                  <m:r>
                    <m:rPr>
                      <m:nor/>
                      <m:sty m:val="p"/>
                    </m:rPr>
                    <m:t>RTT</m:t>
                  </m:r>
                </m:e>
                <m:sub>
                  <m:r>
                    <m:t>u</m:t>
                  </m:r>
                  <m:r>
                    <m:t>e</m:t>
                  </m:r>
                </m:sub>
              </m:sSub>
            </m:oMath>
          </w:p>
        </w:tc>
        <w:tc>
          <w:tcPr/>
          <w:p>
            <w:pPr>
              <w:pStyle w:val="Compact"/>
              <w:jc w:val="left"/>
            </w:pPr>
            <w:r>
              <w:t xml:space="preserve">Round trip, user to edge</w:t>
            </w:r>
          </w:p>
        </w:tc>
        <w:tc>
          <w:tcPr/>
          <w:p>
            <w:pPr>
              <w:pStyle w:val="Compact"/>
              <w:jc w:val="left"/>
            </w:pPr>
            <w:r>
              <w:t xml:space="preserve">ms</w:t>
            </w:r>
          </w:p>
        </w:tc>
      </w:tr>
      <w:tr>
        <w:tc>
          <w:tcPr/>
          <w:p>
            <w:pPr>
              <w:pStyle w:val="Compact"/>
              <w:jc w:val="left"/>
            </w:pPr>
            <m:oMath>
              <m:sSub>
                <m:e>
                  <m:r>
                    <m:rPr>
                      <m:nor/>
                      <m:sty m:val="p"/>
                    </m:rPr>
                    <m:t>RTT</m:t>
                  </m:r>
                </m:e>
                <m:sub>
                  <m:r>
                    <m:t>e</m:t>
                  </m:r>
                  <m:r>
                    <m:t>o</m:t>
                  </m:r>
                </m:sub>
              </m:sSub>
            </m:oMath>
          </w:p>
        </w:tc>
        <w:tc>
          <w:tcPr/>
          <w:p>
            <w:pPr>
              <w:pStyle w:val="Compact"/>
              <w:jc w:val="left"/>
            </w:pPr>
            <w:r>
              <w:t xml:space="preserve">Round trip, edge to origin over a warm, already-open connection</w:t>
            </w:r>
          </w:p>
        </w:tc>
        <w:tc>
          <w:tcPr/>
          <w:p>
            <w:pPr>
              <w:pStyle w:val="Compact"/>
              <w:jc w:val="left"/>
            </w:pPr>
            <w:r>
              <w:t xml:space="preserve">ms</w:t>
            </w:r>
          </w:p>
        </w:tc>
      </w:tr>
      <w:tr>
        <w:tc>
          <w:tcPr/>
          <w:p>
            <w:pPr>
              <w:pStyle w:val="Compact"/>
              <w:jc w:val="left"/>
            </w:pPr>
            <m:oMath>
              <m:sSub>
                <m:e>
                  <m:r>
                    <m:t>t</m:t>
                  </m:r>
                </m:e>
                <m:sub>
                  <m:r>
                    <m:rPr>
                      <m:nor/>
                      <m:sty m:val="p"/>
                    </m:rPr>
                    <m:t>app</m:t>
                  </m:r>
                </m:sub>
              </m:sSub>
            </m:oMath>
          </w:p>
        </w:tc>
        <w:tc>
          <w:tcPr/>
          <w:p>
            <w:pPr>
              <w:pStyle w:val="Compact"/>
              <w:jc w:val="left"/>
            </w:pPr>
            <w:r>
              <w:t xml:space="preserve">Origin processing time</w:t>
            </w:r>
          </w:p>
        </w:tc>
        <w:tc>
          <w:tcPr/>
          <w:p>
            <w:pPr>
              <w:pStyle w:val="Compact"/>
              <w:jc w:val="left"/>
            </w:pPr>
            <w:r>
              <w:t xml:space="preserve">ms</w:t>
            </w:r>
          </w:p>
        </w:tc>
      </w:tr>
    </w:tbl>
    <w:p>
      <w:pPr>
        <w:pStyle w:val="CalloutExample"/>
      </w:pPr>
      <w:r>
        <w:rPr>
          <w:bCs/>
          <w:b/>
        </w:rPr>
        <w:t xml:space="preserve">WORKED EXAMPLE</w:t>
      </w:r>
    </w:p>
    <w:p>
      <w:pPr>
        <w:pStyle w:val="CalloutExample"/>
      </w:pPr>
      <w:r>
        <w:rPr>
          <w:bCs/>
          <w:b/>
        </w:rPr>
        <w:t xml:space="preserve">Worked example — A Sydney user calling a Virginia API.</w:t>
      </w:r>
      <w:r>
        <w:t xml:space="preserve"> </w:t>
      </w:r>
      <m:oMath>
        <m:sSub>
          <m:e>
            <m:r>
              <m:rPr>
                <m:nor/>
                <m:sty m:val="p"/>
              </m:rPr>
              <m:t>RTT</m:t>
            </m:r>
          </m:e>
          <m:sub>
            <m:r>
              <m:t>u</m:t>
            </m:r>
            <m:r>
              <m:t>o</m:t>
            </m:r>
          </m:sub>
        </m:sSub>
        <m:r>
          <m:rPr>
            <m:sty m:val="p"/>
          </m:rPr>
          <m:t>=</m:t>
        </m:r>
        <m:sSub>
          <m:e>
            <m:r>
              <m:rPr>
                <m:nor/>
                <m:sty m:val="p"/>
              </m:rPr>
              <m:t>RTT</m:t>
            </m:r>
          </m:e>
          <m:sub>
            <m:r>
              <m:t>e</m:t>
            </m:r>
            <m:r>
              <m:t>o</m:t>
            </m:r>
          </m:sub>
        </m:sSub>
        <m:r>
          <m:rPr>
            <m:sty m:val="p"/>
          </m:rPr>
          <m:t>=</m:t>
        </m:r>
        <m:r>
          <m:t>200</m:t>
        </m:r>
      </m:oMath>
      <w:r>
        <w:t xml:space="preserve"> </w:t>
      </w:r>
      <w:r>
        <w:t xml:space="preserve">ms,</w:t>
      </w:r>
      <w:r>
        <w:t xml:space="preserve"> </w:t>
      </w:r>
      <m:oMath>
        <m:sSub>
          <m:e>
            <m:r>
              <m:rPr>
                <m:nor/>
                <m:sty m:val="p"/>
              </m:rPr>
              <m:t>RTT</m:t>
            </m:r>
          </m:e>
          <m:sub>
            <m:r>
              <m:t>u</m:t>
            </m:r>
            <m:r>
              <m:t>e</m:t>
            </m:r>
          </m:sub>
        </m:sSub>
        <m:r>
          <m:rPr>
            <m:sty m:val="p"/>
          </m:rPr>
          <m:t>=</m:t>
        </m:r>
        <m:r>
          <m:t>10</m:t>
        </m:r>
      </m:oMath>
      <w:r>
        <w:t xml:space="preserve"> </w:t>
      </w:r>
      <w:r>
        <w:t xml:space="preserve">ms,</w:t>
      </w:r>
      <w:r>
        <w:t xml:space="preserve"> </w:t>
      </w:r>
      <m:oMath>
        <m:sSub>
          <m:e>
            <m:r>
              <m:t>t</m:t>
            </m:r>
          </m:e>
          <m:sub>
            <m:r>
              <m:rPr>
                <m:nor/>
                <m:sty m:val="p"/>
              </m:rPr>
              <m:t>app</m:t>
            </m:r>
          </m:sub>
        </m:sSub>
        <m:r>
          <m:rPr>
            <m:sty m:val="p"/>
          </m:rPr>
          <m:t>=</m:t>
        </m:r>
        <m:r>
          <m:t>50</m:t>
        </m:r>
      </m:oMath>
      <w:r>
        <w:t xml:space="preserve"> </w:t>
      </w:r>
      <w:r>
        <w:t xml:space="preserve">ms.</w:t>
      </w:r>
    </w:p>
    <w:p>
      <w:pPr>
        <w:numPr>
          <w:ilvl w:val="0"/>
          <w:numId w:val="1697"/>
        </w:numPr>
        <w:pStyle w:val="Compact"/>
      </w:pPr>
      <w:r>
        <w:t xml:space="preserve">New connection, direct:</w:t>
      </w:r>
      <w:r>
        <w:t xml:space="preserve"> </w:t>
      </w:r>
      <m:oMath>
        <m:d>
          <m:dPr>
            <m:begChr m:val="("/>
            <m:endChr m:val=")"/>
            <m:sepChr m:val=""/>
            <m:grow/>
          </m:dPr>
          <m:e>
            <m:r>
              <m:t>2</m:t>
            </m:r>
            <m:r>
              <m:rPr>
                <m:sty m:val="p"/>
              </m:rPr>
              <m:t>+</m:t>
            </m:r>
            <m:r>
              <m:t>1</m:t>
            </m:r>
          </m:e>
        </m:d>
        <m:r>
          <m:rPr>
            <m:sty m:val="p"/>
          </m:rPr>
          <m:t>×</m:t>
        </m:r>
        <m:r>
          <m:t>200</m:t>
        </m:r>
        <m:r>
          <m:rPr>
            <m:sty m:val="p"/>
          </m:rPr>
          <m:t>+</m:t>
        </m:r>
        <m:r>
          <m:t>50</m:t>
        </m:r>
        <m:r>
          <m:rPr>
            <m:sty m:val="p"/>
          </m:rPr>
          <m:t>=</m:t>
        </m:r>
        <m:r>
          <m:t>650</m:t>
        </m:r>
      </m:oMath>
      <w:r>
        <w:t xml:space="preserve"> </w:t>
      </w:r>
      <w:r>
        <w:t xml:space="preserve">ms.</w:t>
      </w:r>
    </w:p>
    <w:p>
      <w:pPr>
        <w:numPr>
          <w:ilvl w:val="0"/>
          <w:numId w:val="1697"/>
        </w:numPr>
        <w:pStyle w:val="Compact"/>
      </w:pPr>
      <w:r>
        <w:t xml:space="preserve">New connection, via edge:</w:t>
      </w:r>
      <w:r>
        <w:t xml:space="preserve"> </w:t>
      </w:r>
      <m:oMath>
        <m:d>
          <m:dPr>
            <m:begChr m:val="("/>
            <m:endChr m:val=")"/>
            <m:sepChr m:val=""/>
            <m:grow/>
          </m:dPr>
          <m:e>
            <m:r>
              <m:t>2</m:t>
            </m:r>
            <m:r>
              <m:rPr>
                <m:sty m:val="p"/>
              </m:rPr>
              <m:t>+</m:t>
            </m:r>
            <m:r>
              <m:t>1</m:t>
            </m:r>
          </m:e>
        </m:d>
        <m:r>
          <m:rPr>
            <m:sty m:val="p"/>
          </m:rPr>
          <m:t>×</m:t>
        </m:r>
        <m:r>
          <m:t>10</m:t>
        </m:r>
        <m:r>
          <m:rPr>
            <m:sty m:val="p"/>
          </m:rPr>
          <m:t>+</m:t>
        </m:r>
        <m:r>
          <m:t>200</m:t>
        </m:r>
        <m:r>
          <m:rPr>
            <m:sty m:val="p"/>
          </m:rPr>
          <m:t>+</m:t>
        </m:r>
        <m:r>
          <m:t>50</m:t>
        </m:r>
        <m:r>
          <m:rPr>
            <m:sty m:val="p"/>
          </m:rPr>
          <m:t>=</m:t>
        </m:r>
        <m:r>
          <m:t>280</m:t>
        </m:r>
      </m:oMath>
      <w:r>
        <w:t xml:space="preserve"> </w:t>
      </w:r>
      <w:r>
        <w:t xml:space="preserve">ms, saving 370 ms (57%).</w:t>
      </w:r>
    </w:p>
    <w:p>
      <w:pPr>
        <w:numPr>
          <w:ilvl w:val="0"/>
          <w:numId w:val="1697"/>
        </w:numPr>
        <w:pStyle w:val="Compact"/>
      </w:pPr>
      <w:r>
        <w:t xml:space="preserve">Reused connection (</w:t>
      </w:r>
      <m:oMath>
        <m:sSub>
          <m:e>
            <m:r>
              <m:t>n</m:t>
            </m:r>
          </m:e>
          <m:sub>
            <m:r>
              <m:rPr>
                <m:nor/>
                <m:sty m:val="p"/>
              </m:rPr>
              <m:t>hs</m:t>
            </m:r>
          </m:sub>
        </m:sSub>
        <m:r>
          <m:rPr>
            <m:sty m:val="p"/>
          </m:rPr>
          <m:t>=</m:t>
        </m:r>
        <m:r>
          <m:t>0</m:t>
        </m:r>
      </m:oMath>
      <w:r>
        <w:t xml:space="preserve">), direct:</w:t>
      </w:r>
      <w:r>
        <w:t xml:space="preserve"> </w:t>
      </w:r>
      <m:oMath>
        <m:r>
          <m:t>200</m:t>
        </m:r>
        <m:r>
          <m:rPr>
            <m:sty m:val="p"/>
          </m:rPr>
          <m:t>+</m:t>
        </m:r>
        <m:r>
          <m:t>50</m:t>
        </m:r>
        <m:r>
          <m:rPr>
            <m:sty m:val="p"/>
          </m:rPr>
          <m:t>=</m:t>
        </m:r>
        <m:r>
          <m:t>250</m:t>
        </m:r>
      </m:oMath>
      <w:r>
        <w:t xml:space="preserve"> </w:t>
      </w:r>
      <w:r>
        <w:t xml:space="preserve">ms; via edge:</w:t>
      </w:r>
      <w:r>
        <w:t xml:space="preserve"> </w:t>
      </w:r>
      <m:oMath>
        <m:r>
          <m:t>10</m:t>
        </m:r>
        <m:r>
          <m:rPr>
            <m:sty m:val="p"/>
          </m:rPr>
          <m:t>+</m:t>
        </m:r>
        <m:r>
          <m:t>200</m:t>
        </m:r>
        <m:r>
          <m:rPr>
            <m:sty m:val="p"/>
          </m:rPr>
          <m:t>+</m:t>
        </m:r>
        <m:r>
          <m:t>50</m:t>
        </m:r>
        <m:r>
          <m:rPr>
            <m:sty m:val="p"/>
          </m:rPr>
          <m:t>=</m:t>
        </m:r>
        <m:r>
          <m:t>260</m:t>
        </m:r>
      </m:oMath>
      <w:r>
        <w:t xml:space="preserve"> </w:t>
      </w:r>
      <w:r>
        <w:t xml:space="preserve">ms.</w:t>
      </w:r>
    </w:p>
    <w:p>
      <w:pPr>
        <w:pStyle w:val="CalloutExample"/>
      </w:pPr>
      <w:r>
        <w:rPr>
          <w:bCs/>
          <w:b/>
        </w:rPr>
        <w:t xml:space="preserve">Interpretation.</w:t>
      </w:r>
      <w:r>
        <w:t xml:space="preserve"> </w:t>
      </w:r>
      <w:r>
        <w:t xml:space="preserve">The edge wins on new connections and loses about one user-edge RTT when the client already holds a warm connection.</w:t>
      </w:r>
      <w:r>
        <w:t xml:space="preserve"> </w:t>
      </w:r>
      <w:r>
        <w:rPr>
          <w:bCs/>
          <w:b/>
        </w:rPr>
        <w:t xml:space="preserve">Engineering implication.</w:t>
      </w:r>
      <w:r>
        <w:t xml:space="preserve"> </w:t>
      </w:r>
      <w:r>
        <w:t xml:space="preserve">DSA helps most for users far from the origin making few requests per connection (mobile apps, first page loads). Large responses also gain because the edge–origin connection’s congestion window is already open, so slow start is not repeated.</w:t>
      </w:r>
    </w:p>
    <w:p>
      <w:pPr>
        <w:pStyle w:val="BodyText"/>
      </w:pPr>
      <w:r>
        <w:rPr>
          <w:bCs/>
          <w:b/>
        </w:rPr>
        <w:t xml:space="preserve">Figure 21.7 — Dynamic site acceleration.</w:t>
      </w:r>
    </w:p>
    <w:p>
      <w:pPr>
        <w:pStyle w:val="BodyText"/>
      </w:pPr>
      <w:r>
        <w:drawing>
          <wp:inline>
            <wp:extent cx="5334000" cy="3163736"/>
            <wp:effectExtent b="0" l="0" r="0" t="0"/>
            <wp:docPr descr="" title="" id="2405" name="Picture"/>
            <a:graphic>
              <a:graphicData uri="http://schemas.openxmlformats.org/drawingml/2006/picture">
                <pic:pic>
                  <pic:nvPicPr>
                    <pic:cNvPr descr="/home/user/System-Design/build/.cache/diagrams/cf347e43fc3e.png" id="2406" name="Picture"/>
                    <pic:cNvPicPr>
                      <a:picLocks noChangeArrowheads="1" noChangeAspect="1"/>
                    </pic:cNvPicPr>
                  </pic:nvPicPr>
                  <pic:blipFill>
                    <a:blip r:embed="rId2404"/>
                    <a:stretch>
                      <a:fillRect/>
                    </a:stretch>
                  </pic:blipFill>
                  <pic:spPr bwMode="auto">
                    <a:xfrm>
                      <a:off x="0" y="0"/>
                      <a:ext cx="5334000" cy="3163736"/>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Time runs downward. The client’s handshakes are short because the edge is 10 ms away; the edge already holds encrypted, warmed-up connections to the origin (the note), so the request crosses the ocean exactly once each way. Every exchange is synchronous; nothing is cached, so the storage boundary is the origin alone. Failure points: the edge–origin pool (stale connections must be health-checked) and the origin itself. Scaling: the pool multiplexes many users’ requests over few connections (HTTP/2), reducing the origin’s connection count, a benefit of its own (§7.16).</w:t>
      </w:r>
    </w:p>
    <w:bookmarkEnd w:id="2407"/>
    <w:bookmarkStart w:id="2408" w:name="edge-side-includes"/>
    <w:p>
      <w:pPr>
        <w:pStyle w:val="Heading3"/>
      </w:pPr>
      <w:r>
        <w:t xml:space="preserve">21.7.3 Edge-side includes</w:t>
      </w:r>
    </w:p>
    <w:p>
      <w:pPr>
        <w:pStyle w:val="FirstParagraph"/>
      </w:pPr>
      <w:r>
        <w:t xml:space="preserve">A personalized page is often 95% shared content plus a small personal fragment.</w:t>
      </w:r>
      <w:r>
        <w:t xml:space="preserve"> </w:t>
      </w:r>
      <w:r>
        <w:rPr>
          <w:bCs/>
          <w:b/>
        </w:rPr>
        <w:t xml:space="preserve">Edge-side includes (ESI)</w:t>
      </w:r>
      <w:r>
        <w:t xml:space="preserve">, a markup language specified in 2001 by Akamai and others, lets the origin return a cacheable page template containing include tags; the edge fetches each fragment separately, with its own cache policy, and assembles the page [Tsimelzon et al. 2001]:</w:t>
      </w:r>
    </w:p>
    <w:p>
      <w:pPr>
        <w:pStyle w:val="SourceCode"/>
      </w:pPr>
      <w:r>
        <w:rPr>
          <w:rStyle w:val="VerbatimChar"/>
        </w:rPr>
        <w:t xml:space="preserve">&lt;html&gt;&lt;body&gt;</w:t>
      </w:r>
      <w:r>
        <w:br/>
      </w:r>
      <w:r>
        <w:rPr>
          <w:rStyle w:val="VerbatimChar"/>
        </w:rPr>
        <w:t xml:space="preserve">  &lt;esi:include src="/fragments/header?user=$(HTTP_COOKIE{uid})"/&gt;  &lt;!-- private, uncached --&gt;</w:t>
      </w:r>
      <w:r>
        <w:br/>
      </w:r>
      <w:r>
        <w:rPr>
          <w:rStyle w:val="VerbatimChar"/>
        </w:rPr>
        <w:t xml:space="preserve">  &lt;esi:include src="/fragments/trending" /&gt;                         &lt;!-- cached 60 s --&gt;</w:t>
      </w:r>
      <w:r>
        <w:br/>
      </w:r>
      <w:r>
        <w:rPr>
          <w:rStyle w:val="VerbatimChar"/>
        </w:rPr>
        <w:t xml:space="preserve">&lt;/body&gt;&lt;/html&gt;</w:t>
      </w:r>
    </w:p>
    <w:p>
      <w:pPr>
        <w:pStyle w:val="FirstParagraph"/>
      </w:pPr>
      <w:r>
        <w:t xml:space="preserve">ESI is supported by several CDNs and by Varnish in subsets; today the same composition is often written as edge compute code (§21.9) or done in the browser.</w:t>
      </w:r>
    </w:p>
    <w:bookmarkEnd w:id="2408"/>
    <w:bookmarkEnd w:id="2409"/>
    <w:bookmarkStart w:id="2420" w:name="video-delivery"/>
    <w:p>
      <w:pPr>
        <w:pStyle w:val="Heading2"/>
      </w:pPr>
      <w:r>
        <w:t xml:space="preserve">21.8 Video delivery</w:t>
      </w:r>
    </w:p>
    <w:p>
      <w:pPr>
        <w:pStyle w:val="FirstParagraph"/>
      </w:pPr>
      <w:r>
        <w:t xml:space="preserve">Video dominates Internet traffic by volume, and it is a CDN’s ideal workload: large, immutable, highly shared files. Two ideas make it work: cut the video into small HTTP objects so ordinary caches can serve it, and let the player choose quality continuously.</w:t>
      </w:r>
    </w:p>
    <w:bookmarkStart w:id="2413" w:name="X92899f7a53e001fbacbb076ddee03eb65086f22"/>
    <w:p>
      <w:pPr>
        <w:pStyle w:val="Heading3"/>
      </w:pPr>
      <w:r>
        <w:t xml:space="preserve">21.8.1 Segments, manifests and the bitrate ladder</w:t>
      </w:r>
    </w:p>
    <w:p>
      <w:pPr>
        <w:pStyle w:val="CalloutDefinition"/>
      </w:pPr>
      <w:r>
        <w:rPr>
          <w:bCs/>
          <w:b/>
        </w:rPr>
        <w:t xml:space="preserve">DEFINITION</w:t>
      </w:r>
    </w:p>
    <w:p>
      <w:pPr>
        <w:pStyle w:val="CalloutDefinition"/>
      </w:pPr>
      <w:r>
        <w:rPr>
          <w:bCs/>
          <w:b/>
        </w:rPr>
        <w:t xml:space="preserve">Definition — HTTP adaptive streaming.</w:t>
      </w:r>
      <w:r>
        <w:t xml:space="preserve"> </w:t>
      </w:r>
      <w:r>
        <w:t xml:space="preserve">Video is encoded at several quality levels (a</w:t>
      </w:r>
      <w:r>
        <w:t xml:space="preserve"> </w:t>
      </w:r>
      <w:r>
        <w:rPr>
          <w:bCs/>
          <w:b/>
        </w:rPr>
        <w:t xml:space="preserve">bitrate ladder</w:t>
      </w:r>
      <w:r>
        <w:t xml:space="preserve">), each cut into</w:t>
      </w:r>
      <w:r>
        <w:t xml:space="preserve"> </w:t>
      </w:r>
      <w:r>
        <w:rPr>
          <w:bCs/>
          <w:b/>
        </w:rPr>
        <w:t xml:space="preserve">segments</w:t>
      </w:r>
      <w:r>
        <w:t xml:space="preserve"> </w:t>
      </w:r>
      <w:r>
        <w:t xml:space="preserve">of a few seconds stored as ordinary files. A</w:t>
      </w:r>
      <w:r>
        <w:t xml:space="preserve"> </w:t>
      </w:r>
      <w:r>
        <w:rPr>
          <w:bCs/>
          <w:b/>
        </w:rPr>
        <w:t xml:space="preserve">manifest</w:t>
      </w:r>
      <w:r>
        <w:t xml:space="preserve"> </w:t>
      </w:r>
      <w:r>
        <w:t xml:space="preserve">lists the levels and segment URLs. The player downloads the manifest, then fetches segments one by one over HTTP, choosing a level for each segment.</w:t>
      </w:r>
    </w:p>
    <w:p>
      <w:pPr>
        <w:pStyle w:val="BodyText"/>
      </w:pPr>
      <w:r>
        <w:t xml:space="preserve">Two formats dominate.</w:t>
      </w:r>
      <w:r>
        <w:t xml:space="preserve"> </w:t>
      </w:r>
      <w:r>
        <w:rPr>
          <w:bCs/>
          <w:b/>
        </w:rPr>
        <w:t xml:space="preserve">HLS</w:t>
      </w:r>
      <w:r>
        <w:t xml:space="preserve"> </w:t>
      </w:r>
      <w:r>
        <w:t xml:space="preserve">(HTTP Live Streaming), created by Apple and published as RFC 8216, uses text playlists (</w:t>
      </w:r>
      <w:r>
        <w:rPr>
          <w:rStyle w:val="VerbatimChar"/>
        </w:rPr>
        <w:t xml:space="preserve">.m3u8</w:t>
      </w:r>
      <w:r>
        <w:t xml:space="preserve">): a multivariant (master) playlist listing renditions and a media playlist per rendition listing segments [RFC 8216].</w:t>
      </w:r>
      <w:r>
        <w:t xml:space="preserve"> </w:t>
      </w:r>
      <w:r>
        <w:rPr>
          <w:bCs/>
          <w:b/>
        </w:rPr>
        <w:t xml:space="preserve">MPEG-DASH</w:t>
      </w:r>
      <w:r>
        <w:t xml:space="preserve">, the international standard ISO/IEC 23009-1, uses an XML</w:t>
      </w:r>
      <w:r>
        <w:t xml:space="preserve"> </w:t>
      </w:r>
      <w:r>
        <w:rPr>
          <w:bCs/>
          <w:b/>
        </w:rPr>
        <w:t xml:space="preserve">Media Presentation Description</w:t>
      </w:r>
      <w:r>
        <w:t xml:space="preserve"> </w:t>
      </w:r>
      <w:r>
        <w:t xml:space="preserve">(MPD) [ISO/IEC 23009-1]. Historically HLS used MPEG-2 transport-stream segments and DASH used fragmented MP4, so a service supporting both stored everything twice.</w:t>
      </w:r>
      <w:r>
        <w:t xml:space="preserve"> </w:t>
      </w:r>
      <w:r>
        <w:rPr>
          <w:bCs/>
          <w:b/>
        </w:rPr>
        <w:t xml:space="preserve">CMAF</w:t>
      </w:r>
      <w:r>
        <w:t xml:space="preserve"> </w:t>
      </w:r>
      <w:r>
        <w:t xml:space="preserve">(Common Media Application Format, ISO/IEC 23000-19) defines one fragmented-MP4 segment format that both manifests can reference, halving storage and doubling cache efficiency.</w:t>
      </w:r>
    </w:p>
    <w:p>
      <w:pPr>
        <w:pStyle w:val="SourceCode"/>
      </w:pPr>
      <w:r>
        <w:rPr>
          <w:rStyle w:val="VerbatimChar"/>
        </w:rPr>
        <w:t xml:space="preserve">#EXTM3U</w:t>
      </w:r>
      <w:r>
        <w:br/>
      </w:r>
      <w:r>
        <w:rPr>
          <w:rStyle w:val="VerbatimChar"/>
        </w:rPr>
        <w:t xml:space="preserve">#EXT-X-STREAM-INF:BANDWIDTH=3300000,RESOLUTION=1280x720,CODECS="avc1.64001f,mp4a.40.2"</w:t>
      </w:r>
      <w:r>
        <w:br/>
      </w:r>
      <w:r>
        <w:rPr>
          <w:rStyle w:val="VerbatimChar"/>
        </w:rPr>
        <w:t xml:space="preserve">720p/playlist.m3u8</w:t>
      </w:r>
      <w:r>
        <w:br/>
      </w:r>
      <w:r>
        <w:rPr>
          <w:rStyle w:val="VerbatimChar"/>
        </w:rPr>
        <w:t xml:space="preserve">#EXT-X-STREAM-INF:BANDWIDTH=6600000,RESOLUTION=1920x1080,CODECS="avc1.640028,mp4a.40.2"</w:t>
      </w:r>
      <w:r>
        <w:br/>
      </w:r>
      <w:r>
        <w:rPr>
          <w:rStyle w:val="VerbatimChar"/>
        </w:rPr>
        <w:t xml:space="preserve">1080p/playlist.m3u8</w:t>
      </w:r>
    </w:p>
    <w:p>
      <w:pPr>
        <w:pStyle w:val="FirstParagraph"/>
      </w:pPr>
      <w:r>
        <w:rPr>
          <w:bCs/>
          <w:b/>
        </w:rPr>
        <w:t xml:space="preserve">Figure 21.8 — HLS and DASH structure on a CDN.</w:t>
      </w:r>
    </w:p>
    <w:p>
      <w:pPr>
        <w:pStyle w:val="BodyText"/>
      </w:pPr>
      <w:r>
        <w:drawing>
          <wp:inline>
            <wp:extent cx="5334000" cy="3241980"/>
            <wp:effectExtent b="0" l="0" r="0" t="0"/>
            <wp:docPr descr="" title="" id="2411" name="Picture"/>
            <a:graphic>
              <a:graphicData uri="http://schemas.openxmlformats.org/drawingml/2006/picture">
                <pic:pic>
                  <pic:nvPicPr>
                    <pic:cNvPr descr="/home/user/System-Design/build/.cache/diagrams/2a549417938c.png" id="2412" name="Picture"/>
                    <pic:cNvPicPr>
                      <a:picLocks noChangeArrowheads="1" noChangeAspect="1"/>
                    </pic:cNvPicPr>
                  </pic:nvPicPr>
                  <pic:blipFill>
                    <a:blip r:embed="rId2410"/>
                    <a:stretch>
                      <a:fillRect/>
                    </a:stretch>
                  </pic:blipFill>
                  <pic:spPr bwMode="auto">
                    <a:xfrm>
                      <a:off x="0" y="0"/>
                      <a:ext cx="5334000" cy="3241980"/>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player first fetches the master manifest, then a media playlist, then segments; step 4 switches to 1080p for the next segment, which is just a different URL. All player requests are synchronous HTTP GETs to the edge; misses go through the shield to the packager or to object storage. The encoder produces renditions asynchronously (dotted) as CMAF segments. Storage boundaries: edge and shield caches, and object storage for video on demand (VOD). Failure points: for live video, the packager and encoder (a missing segment stalls every viewer); for VOD, cold long-tail titles. Scaling: segments are immutable and cacheable for a long time; live media playlists change every segment and get TTLs of about half a segment duration.</w:t>
      </w:r>
    </w:p>
    <w:bookmarkEnd w:id="2413"/>
    <w:bookmarkStart w:id="2414" w:name="bandwidth-arithmetic"/>
    <w:p>
      <w:pPr>
        <w:pStyle w:val="Heading3"/>
      </w:pPr>
      <w:r>
        <w:t xml:space="preserve">21.8.2 Bandwidth arithmetic</w:t>
      </w:r>
    </w:p>
    <w:p>
      <w:pPr>
        <w:pStyle w:val="CalloutFormula"/>
      </w:pPr>
      <w:r>
        <w:rPr>
          <w:bCs/>
          <w:b/>
        </w:rPr>
        <w:t xml:space="preserve">FORMULA</w:t>
      </w:r>
    </w:p>
    <w:p>
      <w:pPr>
        <w:pStyle w:val="CalloutFormula"/>
      </w:pPr>
      <w:r>
        <w:rPr>
          <w:bCs/>
          <w:b/>
        </w:rPr>
        <w:t xml:space="preserve">Edge egress and storage for a bitrate ladder</w:t>
      </w:r>
    </w:p>
    <w:p>
      <w:pPr>
        <w:pStyle w:val="CalloutFormula"/>
      </w:pPr>
      <m:oMathPara>
        <m:oMathParaPr>
          <m:jc m:val="center"/>
        </m:oMathParaPr>
        <m:oMath>
          <m:sSub>
            <m:e>
              <m:r>
                <m:t>B</m:t>
              </m:r>
            </m:e>
            <m:sub>
              <m:r>
                <m:rPr>
                  <m:nor/>
                  <m:sty m:val="p"/>
                </m:rPr>
                <m:t>edge</m:t>
              </m:r>
            </m:sub>
          </m:sSub>
          <m:r>
            <m:rPr>
              <m:sty m:val="p"/>
            </m:rPr>
            <m:t>=</m:t>
          </m:r>
          <m:r>
            <m:t>V</m:t>
          </m:r>
          <m:r>
            <m:rPr>
              <m:sty m:val="p"/>
            </m:rPr>
            <m:t>×</m:t>
          </m:r>
          <m:nary>
            <m:naryPr>
              <m:chr m:val="∑"/>
              <m:limLoc m:val="undOvr"/>
              <m:subHide m:val="off"/>
              <m:supHide m:val="on"/>
            </m:naryPr>
            <m:sub>
              <m:r>
                <m:t>r</m:t>
              </m:r>
            </m:sub>
            <m:sup>
              <m:r>
                <m:t>​</m:t>
              </m:r>
            </m:sup>
            <m:e>
              <m:sSub>
                <m:e>
                  <m:r>
                    <m:t>s</m:t>
                  </m:r>
                </m:e>
                <m:sub>
                  <m:r>
                    <m:t>r</m:t>
                  </m:r>
                </m:sub>
              </m:sSub>
            </m:e>
          </m:nary>
          <m:sSub>
            <m:e>
              <m:r>
                <m:t>b</m:t>
              </m:r>
            </m:e>
            <m:sub>
              <m:r>
                <m:t>r</m:t>
              </m:r>
            </m:sub>
          </m:sSub>
          <m:r>
            <m:t>  </m:t>
          </m:r>
          <m:sSub>
            <m:e>
              <m:r>
                <m:t>B</m:t>
              </m:r>
            </m:e>
            <m:sub>
              <m:r>
                <m:rPr>
                  <m:nor/>
                  <m:sty m:val="p"/>
                </m:rPr>
                <m:t>origin,live</m:t>
              </m:r>
            </m:sub>
          </m:sSub>
          <m:r>
            <m:rPr>
              <m:sty m:val="p"/>
            </m:rPr>
            <m:t>≈</m:t>
          </m:r>
          <m:r>
            <m:t>M</m:t>
          </m:r>
          <m:r>
            <m:rPr>
              <m:sty m:val="p"/>
            </m:rPr>
            <m:t>×</m:t>
          </m:r>
          <m:nary>
            <m:naryPr>
              <m:chr m:val="∑"/>
              <m:limLoc m:val="undOvr"/>
              <m:subHide m:val="off"/>
              <m:supHide m:val="on"/>
            </m:naryPr>
            <m:sub>
              <m:r>
                <m:t>r</m:t>
              </m:r>
            </m:sub>
            <m:sup>
              <m:r>
                <m:t>​</m:t>
              </m:r>
            </m:sup>
            <m:e>
              <m:sSub>
                <m:e>
                  <m:r>
                    <m:t>b</m:t>
                  </m:r>
                </m:e>
                <m:sub>
                  <m:r>
                    <m:t>r</m:t>
                  </m:r>
                </m:sub>
              </m:sSub>
            </m:e>
          </m:nary>
          <m:r>
            <m:t>  </m:t>
          </m:r>
          <m:sSub>
            <m:e>
              <m:r>
                <m:t>S</m:t>
              </m:r>
            </m:e>
            <m:sub>
              <m:r>
                <m:rPr>
                  <m:nor/>
                  <m:sty m:val="p"/>
                </m:rPr>
                <m:t>title</m:t>
              </m:r>
            </m:sub>
          </m:sSub>
          <m:r>
            <m:rPr>
              <m:sty m:val="p"/>
            </m:rPr>
            <m:t>=</m:t>
          </m:r>
          <m:f>
            <m:fPr>
              <m:type m:val="bar"/>
            </m:fPr>
            <m:num>
              <m:r>
                <m:t>D</m:t>
              </m:r>
            </m:num>
            <m:den>
              <m:r>
                <m:t>8</m:t>
              </m:r>
            </m:den>
          </m:f>
          <m:nary>
            <m:naryPr>
              <m:chr m:val="∑"/>
              <m:limLoc m:val="undOvr"/>
              <m:subHide m:val="off"/>
              <m:supHide m:val="on"/>
            </m:naryPr>
            <m:sub>
              <m:r>
                <m:t>r</m:t>
              </m:r>
            </m:sub>
            <m:sup>
              <m:r>
                <m:t>​</m:t>
              </m:r>
            </m:sup>
            <m:e>
              <m:sSub>
                <m:e>
                  <m:r>
                    <m:t>b</m:t>
                  </m:r>
                </m:e>
                <m:sub>
                  <m:r>
                    <m:t>r</m:t>
                  </m:r>
                </m:sub>
              </m:sSub>
            </m:e>
          </m:nary>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V</m:t>
              </m:r>
            </m:oMath>
          </w:p>
        </w:tc>
        <w:tc>
          <w:tcPr/>
          <w:p>
            <w:pPr>
              <w:pStyle w:val="Compact"/>
              <w:jc w:val="left"/>
            </w:pPr>
            <w:r>
              <w:t xml:space="preserve">Concurrent viewers</w:t>
            </w:r>
          </w:p>
        </w:tc>
        <w:tc>
          <w:tcPr/>
          <w:p>
            <w:pPr>
              <w:pStyle w:val="Compact"/>
              <w:jc w:val="left"/>
            </w:pPr>
            <w:r>
              <w:t xml:space="preserve">viewers</w:t>
            </w:r>
          </w:p>
        </w:tc>
      </w:tr>
      <w:tr>
        <w:tc>
          <w:tcPr/>
          <w:p>
            <w:pPr>
              <w:pStyle w:val="Compact"/>
              <w:jc w:val="left"/>
            </w:pPr>
            <m:oMath>
              <m:sSub>
                <m:e>
                  <m:r>
                    <m:t>b</m:t>
                  </m:r>
                </m:e>
                <m:sub>
                  <m:r>
                    <m:t>r</m:t>
                  </m:r>
                </m:sub>
              </m:sSub>
            </m:oMath>
          </w:p>
        </w:tc>
        <w:tc>
          <w:tcPr/>
          <w:p>
            <w:pPr>
              <w:pStyle w:val="Compact"/>
              <w:jc w:val="left"/>
            </w:pPr>
            <w:r>
              <w:t xml:space="preserve">Bitrate of rendition</w:t>
            </w:r>
            <w:r>
              <w:t xml:space="preserve"> </w:t>
            </w:r>
            <m:oMath>
              <m:r>
                <m:t>r</m:t>
              </m:r>
            </m:oMath>
          </w:p>
        </w:tc>
        <w:tc>
          <w:tcPr/>
          <w:p>
            <w:pPr>
              <w:pStyle w:val="Compact"/>
              <w:jc w:val="left"/>
            </w:pPr>
            <w:r>
              <w:t xml:space="preserve">Mb/s</w:t>
            </w:r>
          </w:p>
        </w:tc>
      </w:tr>
      <w:tr>
        <w:tc>
          <w:tcPr/>
          <w:p>
            <w:pPr>
              <w:pStyle w:val="Compact"/>
              <w:jc w:val="left"/>
            </w:pPr>
            <m:oMath>
              <m:sSub>
                <m:e>
                  <m:r>
                    <m:t>s</m:t>
                  </m:r>
                </m:e>
                <m:sub>
                  <m:r>
                    <m:t>r</m:t>
                  </m:r>
                </m:sub>
              </m:sSub>
            </m:oMath>
          </w:p>
        </w:tc>
        <w:tc>
          <w:tcPr/>
          <w:p>
            <w:pPr>
              <w:pStyle w:val="Compact"/>
              <w:jc w:val="left"/>
            </w:pPr>
            <w:r>
              <w:t xml:space="preserve">Share of viewers on rendition</w:t>
            </w:r>
            <w:r>
              <w:t xml:space="preserve"> </w:t>
            </w:r>
            <m:oMath>
              <m:r>
                <m:t>r</m:t>
              </m:r>
            </m:oMath>
            <w:r>
              <w:t xml:space="preserve"> </w:t>
            </w:r>
            <w:r>
              <w:t xml:space="preserve">(</w:t>
            </w:r>
            <m:oMath>
              <m:r>
                <m:rPr>
                  <m:sty m:val="p"/>
                </m:rPr>
                <m:t>∑</m:t>
              </m:r>
              <m:sSub>
                <m:e>
                  <m:r>
                    <m:t>s</m:t>
                  </m:r>
                </m:e>
                <m:sub>
                  <m:r>
                    <m:t>r</m:t>
                  </m:r>
                </m:sub>
              </m:sSub>
              <m:r>
                <m:rPr>
                  <m:sty m:val="p"/>
                </m:rPr>
                <m:t>=</m:t>
              </m:r>
              <m:r>
                <m:t>1</m:t>
              </m:r>
            </m:oMath>
            <w:r>
              <w:t xml:space="preserve">)</w:t>
            </w:r>
          </w:p>
        </w:tc>
        <w:tc>
          <w:tcPr/>
          <w:p>
            <w:pPr>
              <w:pStyle w:val="Compact"/>
              <w:jc w:val="left"/>
            </w:pPr>
            <w:r>
              <w:t xml:space="preserve">dimensionless</w:t>
            </w:r>
          </w:p>
        </w:tc>
      </w:tr>
      <w:tr>
        <w:tc>
          <w:tcPr/>
          <w:p>
            <w:pPr>
              <w:pStyle w:val="Compact"/>
              <w:jc w:val="left"/>
            </w:pPr>
            <m:oMath>
              <m:r>
                <m:t>M</m:t>
              </m:r>
            </m:oMath>
          </w:p>
        </w:tc>
        <w:tc>
          <w:tcPr/>
          <w:p>
            <w:pPr>
              <w:pStyle w:val="Compact"/>
              <w:jc w:val="left"/>
            </w:pPr>
            <w:r>
              <w:t xml:space="preserve">Number of shields (or PoPs, if unshielded) fetching each live rendition</w:t>
            </w:r>
          </w:p>
        </w:tc>
        <w:tc>
          <w:tcPr/>
          <w:p>
            <w:pPr>
              <w:pStyle w:val="Compact"/>
              <w:jc w:val="left"/>
            </w:pPr>
            <w:r>
              <w:t xml:space="preserve">count</w:t>
            </w:r>
          </w:p>
        </w:tc>
      </w:tr>
      <w:tr>
        <w:tc>
          <w:tcPr/>
          <w:p>
            <w:pPr>
              <w:pStyle w:val="Compact"/>
              <w:jc w:val="left"/>
            </w:pPr>
            <m:oMath>
              <m:r>
                <m:t>D</m:t>
              </m:r>
            </m:oMath>
          </w:p>
        </w:tc>
        <w:tc>
          <w:tcPr/>
          <w:p>
            <w:pPr>
              <w:pStyle w:val="Compact"/>
              <w:jc w:val="left"/>
            </w:pPr>
            <w:r>
              <w:t xml:space="preserve">Title duration</w:t>
            </w:r>
          </w:p>
        </w:tc>
        <w:tc>
          <w:tcPr/>
          <w:p>
            <w:pPr>
              <w:pStyle w:val="Compact"/>
              <w:jc w:val="left"/>
            </w:pPr>
            <w:r>
              <w:t xml:space="preserve">s</w:t>
            </w:r>
          </w:p>
        </w:tc>
      </w:tr>
      <w:tr>
        <w:tc>
          <w:tcPr/>
          <w:p>
            <w:pPr>
              <w:pStyle w:val="Compact"/>
              <w:jc w:val="left"/>
            </w:pPr>
            <m:oMath>
              <m:sSub>
                <m:e>
                  <m:r>
                    <m:t>S</m:t>
                  </m:r>
                </m:e>
                <m:sub>
                  <m:r>
                    <m:rPr>
                      <m:nor/>
                      <m:sty m:val="p"/>
                    </m:rPr>
                    <m:t>title</m:t>
                  </m:r>
                </m:sub>
              </m:sSub>
            </m:oMath>
          </w:p>
        </w:tc>
        <w:tc>
          <w:tcPr/>
          <w:p>
            <w:pPr>
              <w:pStyle w:val="Compact"/>
              <w:jc w:val="left"/>
            </w:pPr>
            <w:r>
              <w:t xml:space="preserve">Stored size of one encoding of the full ladder</w:t>
            </w:r>
          </w:p>
        </w:tc>
        <w:tc>
          <w:tcPr/>
          <w:p>
            <w:pPr>
              <w:pStyle w:val="Compact"/>
              <w:jc w:val="left"/>
            </w:pPr>
            <w:r>
              <w:t xml:space="preserve">Mb ÷ 8 = MB</w:t>
            </w:r>
          </w:p>
        </w:tc>
      </w:tr>
    </w:tbl>
    <w:p>
      <w:pPr>
        <w:pStyle w:val="CalloutExample"/>
      </w:pPr>
      <w:r>
        <w:rPr>
          <w:bCs/>
          <w:b/>
        </w:rPr>
        <w:t xml:space="preserve">WORKED EXAMPLE</w:t>
      </w:r>
    </w:p>
    <w:p>
      <w:pPr>
        <w:pStyle w:val="CalloutExample"/>
      </w:pPr>
      <w:r>
        <w:rPr>
          <w:bCs/>
          <w:b/>
        </w:rPr>
        <w:t xml:space="preserve">Worked example — A live match for two million viewers.</w:t>
      </w:r>
      <w:r>
        <w:t xml:space="preserve"> </w:t>
      </w:r>
      <w:r>
        <w:t xml:space="preserve">Ladder: 0.4, 0.8, 1.5, 3.0, 4.5, 6.0 Mb/s (sum 16.2 Mb/s). Viewer shares: 5% at 0.8, 15% at 1.5, 30% at 3.0, 30% at 4.5, 20% at 6.0.</w:t>
      </w:r>
    </w:p>
    <w:p>
      <w:pPr>
        <w:numPr>
          <w:ilvl w:val="0"/>
          <w:numId w:val="1698"/>
        </w:numPr>
        <w:pStyle w:val="Compact"/>
      </w:pPr>
      <w:r>
        <w:t xml:space="preserve">Mean bitrate:</w:t>
      </w:r>
      <w:r>
        <w:t xml:space="preserve"> </w:t>
      </w:r>
      <m:oMath>
        <m:r>
          <m:t>0.04</m:t>
        </m:r>
        <m:r>
          <m:rPr>
            <m:sty m:val="p"/>
          </m:rPr>
          <m:t>+</m:t>
        </m:r>
        <m:r>
          <m:t>0.225</m:t>
        </m:r>
        <m:r>
          <m:rPr>
            <m:sty m:val="p"/>
          </m:rPr>
          <m:t>+</m:t>
        </m:r>
        <m:r>
          <m:t>0.9</m:t>
        </m:r>
        <m:r>
          <m:rPr>
            <m:sty m:val="p"/>
          </m:rPr>
          <m:t>+</m:t>
        </m:r>
        <m:r>
          <m:t>1.35</m:t>
        </m:r>
        <m:r>
          <m:rPr>
            <m:sty m:val="p"/>
          </m:rPr>
          <m:t>+</m:t>
        </m:r>
        <m:r>
          <m:t>1.2</m:t>
        </m:r>
        <m:r>
          <m:rPr>
            <m:sty m:val="p"/>
          </m:rPr>
          <m:t>=</m:t>
        </m:r>
        <m:r>
          <m:t>3.715</m:t>
        </m:r>
      </m:oMath>
      <w:r>
        <w:t xml:space="preserve"> </w:t>
      </w:r>
      <w:r>
        <w:t xml:space="preserve">Mb/s.</w:t>
      </w:r>
    </w:p>
    <w:p>
      <w:pPr>
        <w:numPr>
          <w:ilvl w:val="0"/>
          <w:numId w:val="1698"/>
        </w:numPr>
        <w:pStyle w:val="Compact"/>
      </w:pPr>
      <w:r>
        <w:t xml:space="preserve">Edge egress:</w:t>
      </w:r>
      <w:r>
        <w:t xml:space="preserve"> </w:t>
      </w:r>
      <m:oMath>
        <m:r>
          <m:t>2</m:t>
        </m:r>
        <m:r>
          <m:rPr>
            <m:sty m:val="p"/>
          </m:rPr>
          <m:t>×</m:t>
        </m:r>
        <m:sSup>
          <m:e>
            <m:r>
              <m:t>10</m:t>
            </m:r>
          </m:e>
          <m:sup>
            <m:r>
              <m:t>6</m:t>
            </m:r>
          </m:sup>
        </m:sSup>
        <m:r>
          <m:rPr>
            <m:sty m:val="p"/>
          </m:rPr>
          <m:t>×</m:t>
        </m:r>
        <m:r>
          <m:t>3.715</m:t>
        </m:r>
        <m:r>
          <m:rPr>
            <m:sty m:val="p"/>
          </m:rPr>
          <m:t>=</m:t>
        </m:r>
        <m:r>
          <m:t>7.43</m:t>
        </m:r>
        <m:r>
          <m:rPr>
            <m:sty m:val="p"/>
          </m:rPr>
          <m:t>×</m:t>
        </m:r>
        <m:sSup>
          <m:e>
            <m:r>
              <m:t>10</m:t>
            </m:r>
          </m:e>
          <m:sup>
            <m:r>
              <m:t>6</m:t>
            </m:r>
          </m:sup>
        </m:sSup>
      </m:oMath>
      <w:r>
        <w:t xml:space="preserve"> </w:t>
      </w:r>
      <w:r>
        <w:t xml:space="preserve">Mb/s</w:t>
      </w:r>
      <w:r>
        <w:t xml:space="preserve"> </w:t>
      </w:r>
      <m:oMath>
        <m:r>
          <m:rPr>
            <m:sty m:val="p"/>
          </m:rPr>
          <m:t>=</m:t>
        </m:r>
        <m:r>
          <m:t>7.43</m:t>
        </m:r>
      </m:oMath>
      <w:r>
        <w:t xml:space="preserve"> </w:t>
      </w:r>
      <w:r>
        <w:t xml:space="preserve">Tb/s.</w:t>
      </w:r>
    </w:p>
    <w:p>
      <w:pPr>
        <w:numPr>
          <w:ilvl w:val="0"/>
          <w:numId w:val="1698"/>
        </w:numPr>
        <w:pStyle w:val="Compact"/>
      </w:pPr>
      <w:r>
        <w:t xml:space="preserve">Origin egress with 10 shields:</w:t>
      </w:r>
      <w:r>
        <w:t xml:space="preserve"> </w:t>
      </w:r>
      <m:oMath>
        <m:r>
          <m:t>10</m:t>
        </m:r>
        <m:r>
          <m:rPr>
            <m:sty m:val="p"/>
          </m:rPr>
          <m:t>×</m:t>
        </m:r>
        <m:r>
          <m:t>16.2</m:t>
        </m:r>
        <m:r>
          <m:rPr>
            <m:sty m:val="p"/>
          </m:rPr>
          <m:t>=</m:t>
        </m:r>
        <m:r>
          <m:t>162</m:t>
        </m:r>
      </m:oMath>
      <w:r>
        <w:t xml:space="preserve"> </w:t>
      </w:r>
      <w:r>
        <w:t xml:space="preserve">Mb/s. Without shields, 200 PoPs each pull every rendition:</w:t>
      </w:r>
      <w:r>
        <w:t xml:space="preserve"> </w:t>
      </w:r>
      <m:oMath>
        <m:r>
          <m:t>200</m:t>
        </m:r>
        <m:r>
          <m:rPr>
            <m:sty m:val="p"/>
          </m:rPr>
          <m:t>×</m:t>
        </m:r>
        <m:r>
          <m:t>16.2</m:t>
        </m:r>
        <m:r>
          <m:rPr>
            <m:sty m:val="p"/>
          </m:rPr>
          <m:t>=</m:t>
        </m:r>
        <m:r>
          <m:t>3</m:t>
        </m:r>
        <m:r>
          <m:rPr>
            <m:sty m:val="p"/>
          </m:rPr>
          <m:t>,</m:t>
        </m:r>
        <m:r>
          <m:t>240</m:t>
        </m:r>
      </m:oMath>
      <w:r>
        <w:t xml:space="preserve"> </w:t>
      </w:r>
      <w:r>
        <w:t xml:space="preserve">Mb/s.</w:t>
      </w:r>
    </w:p>
    <w:p>
      <w:pPr>
        <w:numPr>
          <w:ilvl w:val="0"/>
          <w:numId w:val="1698"/>
        </w:numPr>
        <w:pStyle w:val="Compact"/>
      </w:pPr>
      <w:r>
        <w:t xml:space="preserve">Byte offload with shields:</w:t>
      </w:r>
      <w:r>
        <w:t xml:space="preserve"> </w:t>
      </w:r>
      <m:oMath>
        <m:r>
          <m:t>1</m:t>
        </m:r>
        <m:r>
          <m:rPr>
            <m:sty m:val="p"/>
          </m:rPr>
          <m:t>−</m:t>
        </m:r>
        <m:r>
          <m:t>162</m:t>
        </m:r>
        <m:r>
          <m:rPr>
            <m:sty m:val="p"/>
          </m:rPr>
          <m:t>/</m:t>
        </m:r>
        <m:d>
          <m:dPr>
            <m:begChr m:val="("/>
            <m:endChr m:val=")"/>
            <m:sepChr m:val=""/>
            <m:grow/>
          </m:dPr>
          <m:e>
            <m:r>
              <m:t>7.43</m:t>
            </m:r>
            <m:r>
              <m:rPr>
                <m:sty m:val="p"/>
              </m:rPr>
              <m:t>×</m:t>
            </m:r>
            <m:sSup>
              <m:e>
                <m:r>
                  <m:t>10</m:t>
                </m:r>
              </m:e>
              <m:sup>
                <m:r>
                  <m:t>6</m:t>
                </m:r>
              </m:sup>
            </m:sSup>
          </m:e>
        </m:d>
        <m:r>
          <m:rPr>
            <m:sty m:val="p"/>
          </m:rPr>
          <m:t>=</m:t>
        </m:r>
        <m:r>
          <m:t>99.998</m:t>
        </m:r>
        <m:r>
          <m:rPr>
            <m:sty m:val="p"/>
          </m:rPr>
          <m:t>%</m:t>
        </m:r>
      </m:oMath>
      <w:r>
        <w:t xml:space="preserve">.</w:t>
      </w:r>
    </w:p>
    <w:p>
      <w:pPr>
        <w:numPr>
          <w:ilvl w:val="0"/>
          <w:numId w:val="1698"/>
        </w:numPr>
        <w:pStyle w:val="Compact"/>
      </w:pPr>
      <w:r>
        <w:t xml:space="preserve">Storage for a 2-hour VOD title:</w:t>
      </w:r>
      <w:r>
        <w:t xml:space="preserve"> </w:t>
      </w:r>
      <m:oMath>
        <m:r>
          <m:t>7</m:t>
        </m:r>
        <m:r>
          <m:rPr>
            <m:sty m:val="p"/>
          </m:rPr>
          <m:t>,</m:t>
        </m:r>
        <m:r>
          <m:t>200</m:t>
        </m:r>
        <m:r>
          <m:rPr>
            <m:sty m:val="p"/>
          </m:rPr>
          <m:t>×</m:t>
        </m:r>
        <m:r>
          <m:t>16.2</m:t>
        </m:r>
        <m:r>
          <m:rPr>
            <m:sty m:val="p"/>
          </m:rPr>
          <m:t>/</m:t>
        </m:r>
        <m:r>
          <m:t>8</m:t>
        </m:r>
        <m:r>
          <m:rPr>
            <m:sty m:val="p"/>
          </m:rPr>
          <m:t>=</m:t>
        </m:r>
        <m:r>
          <m:t>14</m:t>
        </m:r>
        <m:r>
          <m:rPr>
            <m:sty m:val="p"/>
          </m:rPr>
          <m:t>,</m:t>
        </m:r>
        <m:r>
          <m:t>580</m:t>
        </m:r>
      </m:oMath>
      <w:r>
        <w:t xml:space="preserve"> </w:t>
      </w:r>
      <w:r>
        <w:t xml:space="preserve">MB</w:t>
      </w:r>
      <w:r>
        <w:t xml:space="preserve"> </w:t>
      </w:r>
      <m:oMath>
        <m:r>
          <m:rPr>
            <m:sty m:val="p"/>
          </m:rPr>
          <m:t>≈</m:t>
        </m:r>
        <m:r>
          <m:t>14.6</m:t>
        </m:r>
      </m:oMath>
      <w:r>
        <w:t xml:space="preserve"> </w:t>
      </w:r>
      <w:r>
        <w:t xml:space="preserve">GB per codec.</w:t>
      </w:r>
    </w:p>
    <w:p>
      <w:pPr>
        <w:pStyle w:val="CalloutExample"/>
      </w:pPr>
      <w:r>
        <w:rPr>
          <w:bCs/>
          <w:b/>
        </w:rPr>
        <w:t xml:space="preserve">Interpretation.</w:t>
      </w:r>
      <w:r>
        <w:t xml:space="preserve"> </w:t>
      </w:r>
      <w:r>
        <w:t xml:space="preserve">The origin’s job is trivial; the hard part is 7.4 Tb/s of edge capacity in the right places, which is why large live events are often spread across several CDNs.</w:t>
      </w:r>
      <w:r>
        <w:t xml:space="preserve"> </w:t>
      </w:r>
      <w:r>
        <w:rPr>
          <w:bCs/>
          <w:b/>
        </w:rPr>
        <w:t xml:space="preserve">Engineering implication.</w:t>
      </w:r>
      <w:r>
        <w:t xml:space="preserve"> </w:t>
      </w:r>
      <w:r>
        <w:t xml:space="preserve">Plan live events from the edge inward (capacity per metro and per ISP), and shield so the packager is never exposed to PoP count.</w:t>
      </w:r>
    </w:p>
    <w:bookmarkEnd w:id="2414"/>
    <w:bookmarkStart w:id="2418" w:name="adaptive-bitrate-algorithms"/>
    <w:p>
      <w:pPr>
        <w:pStyle w:val="Heading3"/>
      </w:pPr>
      <w:r>
        <w:t xml:space="preserve">21.8.3 Adaptive bitrate algorithms</w:t>
      </w:r>
    </w:p>
    <w:p>
      <w:pPr>
        <w:pStyle w:val="FirstParagraph"/>
      </w:pPr>
      <w:r>
        <w:t xml:space="preserve">The player’s</w:t>
      </w:r>
      <w:r>
        <w:t xml:space="preserve"> </w:t>
      </w:r>
      <w:r>
        <w:rPr>
          <w:bCs/>
          <w:b/>
        </w:rPr>
        <w:t xml:space="preserve">adaptive bitrate (ABR)</w:t>
      </w:r>
      <w:r>
        <w:t xml:space="preserve"> </w:t>
      </w:r>
      <w:r>
        <w:t xml:space="preserve">algorithm chooses the rendition for each segment. Too high and the buffer drains and video</w:t>
      </w:r>
      <w:r>
        <w:t xml:space="preserve"> </w:t>
      </w:r>
      <w:r>
        <w:rPr>
          <w:bCs/>
          <w:b/>
        </w:rPr>
        <w:t xml:space="preserve">rebuffers</w:t>
      </w:r>
      <w:r>
        <w:t xml:space="preserve"> </w:t>
      </w:r>
      <w:r>
        <w:t xml:space="preserve">(freezes); too low and quality suffers needlessly; too jumpy and viewers notice switches.</w:t>
      </w:r>
    </w:p>
    <w:p>
      <w:pPr>
        <w:numPr>
          <w:ilvl w:val="0"/>
          <w:numId w:val="1699"/>
        </w:numPr>
        <w:pStyle w:val="Compact"/>
      </w:pPr>
      <w:r>
        <w:rPr>
          <w:bCs/>
          <w:b/>
        </w:rPr>
        <w:t xml:space="preserve">Throughput-based.</w:t>
      </w:r>
      <w:r>
        <w:t xml:space="preserve"> </w:t>
      </w:r>
      <w:r>
        <w:t xml:space="preserve">Estimate bandwidth from recent segment downloads, typically a harmonic mean, which discounts outliers that would inflate an arithmetic mean, and choose the highest rendition below a safety fraction of it [Jiang et al. 2012].</w:t>
      </w:r>
    </w:p>
    <w:p>
      <w:pPr>
        <w:numPr>
          <w:ilvl w:val="0"/>
          <w:numId w:val="1699"/>
        </w:numPr>
        <w:pStyle w:val="Compact"/>
      </w:pPr>
      <w:r>
        <w:rPr>
          <w:bCs/>
          <w:b/>
        </w:rPr>
        <w:t xml:space="preserve">Buffer-based (BBA).</w:t>
      </w:r>
      <w:r>
        <w:t xml:space="preserve"> </w:t>
      </w:r>
      <w:r>
        <w:t xml:space="preserve">Ignore the estimate in steady state and choose the rate from the buffer level: the minimum rate below a</w:t>
      </w:r>
      <w:r>
        <w:t xml:space="preserve"> </w:t>
      </w:r>
      <w:r>
        <w:rPr>
          <w:bCs/>
          <w:b/>
        </w:rPr>
        <w:t xml:space="preserve">reservoir</w:t>
      </w:r>
      <w:r>
        <w:t xml:space="preserve">, the maximum above reservoir plus</w:t>
      </w:r>
      <w:r>
        <w:t xml:space="preserve"> </w:t>
      </w:r>
      <w:r>
        <w:rPr>
          <w:bCs/>
          <w:b/>
        </w:rPr>
        <w:t xml:space="preserve">cushion</w:t>
      </w:r>
      <w:r>
        <w:t xml:space="preserve">, and linearly in between [Huang et al. 2014].</w:t>
      </w:r>
    </w:p>
    <w:p>
      <w:pPr>
        <w:numPr>
          <w:ilvl w:val="0"/>
          <w:numId w:val="1699"/>
        </w:numPr>
        <w:pStyle w:val="Compact"/>
      </w:pPr>
      <w:r>
        <w:rPr>
          <w:bCs/>
          <w:b/>
        </w:rPr>
        <w:t xml:space="preserve">Hybrids and learning.</w:t>
      </w:r>
      <w:r>
        <w:t xml:space="preserve"> </w:t>
      </w:r>
      <w:r>
        <w:t xml:space="preserve">Model-predictive control combines both signals [Yin et al. 2015]; BOLA derives a buffer-based rule from utility maximization and is used in the open-source dash.js player [Spiteri et al. 2016]; Pensieve learns a policy with reinforcement learning [Mao et al. 2017].</w:t>
      </w:r>
    </w:p>
    <w:p>
      <w:pPr>
        <w:pStyle w:val="CalloutFormula"/>
      </w:pPr>
      <w:r>
        <w:rPr>
          <w:bCs/>
          <w:b/>
        </w:rPr>
        <w:t xml:space="preserve">FORMULA</w:t>
      </w:r>
    </w:p>
    <w:p>
      <w:pPr>
        <w:pStyle w:val="CalloutFormula"/>
      </w:pPr>
      <w:r>
        <w:rPr>
          <w:bCs/>
          <w:b/>
        </w:rPr>
        <w:t xml:space="preserve">Throughput rule and buffer-based rate map</w:t>
      </w:r>
    </w:p>
    <w:p>
      <w:pPr>
        <w:pStyle w:val="CalloutFormula"/>
      </w:pPr>
      <m:oMathPara>
        <m:oMathParaPr>
          <m:jc m:val="center"/>
        </m:oMathParaPr>
        <m:oMath>
          <m:acc>
            <m:accPr>
              <m:chr m:val="̂"/>
            </m:accPr>
            <m:e>
              <m:r>
                <m:t>C</m:t>
              </m:r>
            </m:e>
          </m:acc>
          <m:r>
            <m:rPr>
              <m:sty m:val="p"/>
            </m:rPr>
            <m:t>=</m:t>
          </m:r>
          <m:f>
            <m:fPr>
              <m:type m:val="bar"/>
            </m:fPr>
            <m:num>
              <m:r>
                <m:t>n</m:t>
              </m:r>
            </m:num>
            <m:den>
              <m:nary>
                <m:naryPr>
                  <m:chr m:val="∑"/>
                  <m:limLoc m:val="undOvr"/>
                  <m:subHide m:val="off"/>
                  <m:supHide m:val="off"/>
                </m:naryPr>
                <m:sub>
                  <m:r>
                    <m:t>i</m:t>
                  </m:r>
                  <m:r>
                    <m:rPr>
                      <m:sty m:val="p"/>
                    </m:rPr>
                    <m:t>=</m:t>
                  </m:r>
                  <m:r>
                    <m:t>1</m:t>
                  </m:r>
                </m:sub>
                <m:sup>
                  <m:r>
                    <m:t>n</m:t>
                  </m:r>
                </m:sup>
                <m:e>
                  <m:r>
                    <m:t>1</m:t>
                  </m:r>
                </m:e>
              </m:nary>
              <m:r>
                <m:rPr>
                  <m:sty m:val="p"/>
                </m:rPr>
                <m:t>/</m:t>
              </m:r>
              <m:sSub>
                <m:e>
                  <m:r>
                    <m:t>c</m:t>
                  </m:r>
                </m:e>
                <m:sub>
                  <m:r>
                    <m:t>i</m:t>
                  </m:r>
                </m:sub>
              </m:sSub>
            </m:den>
          </m:f>
          <m:r>
            <m:rPr>
              <m:sty m:val="p"/>
            </m:rPr>
            <m:t>,</m:t>
          </m:r>
          <m:r>
            <m:t> </m:t>
          </m:r>
          <m:sSub>
            <m:e>
              <m:r>
                <m:t>R</m:t>
              </m:r>
            </m:e>
            <m:sub>
              <m:r>
                <m:rPr>
                  <m:nor/>
                  <m:sty m:val="p"/>
                </m:rPr>
                <m:t>tput</m:t>
              </m:r>
            </m:sub>
          </m:sSub>
          <m:r>
            <m:rPr>
              <m:sty m:val="p"/>
            </m:rPr>
            <m:t>=</m:t>
          </m:r>
          <m:r>
            <m:rPr>
              <m:sty m:val="p"/>
            </m:rPr>
            <m:t>max</m:t>
          </m:r>
          <m:r>
            <m:rPr>
              <m:sty m:val="p"/>
            </m:rPr>
            <m:t>{</m:t>
          </m:r>
          <m:sSub>
            <m:e>
              <m:r>
                <m:t>b</m:t>
              </m:r>
            </m:e>
            <m:sub>
              <m:r>
                <m:t>r</m:t>
              </m:r>
            </m:sub>
          </m:sSub>
          <m:r>
            <m:rPr>
              <m:sty m:val="p"/>
            </m:rPr>
            <m:t>≤</m:t>
          </m:r>
          <m:r>
            <m:t>β</m:t>
          </m:r>
          <m:acc>
            <m:accPr>
              <m:chr m:val="̂"/>
            </m:accPr>
            <m:e>
              <m:r>
                <m:t>C</m:t>
              </m:r>
            </m:e>
          </m:acc>
          <m:r>
            <m:rPr>
              <m:sty m:val="p"/>
            </m:rPr>
            <m:t>}</m:t>
          </m:r>
          <m:r>
            <m:t>  </m:t>
          </m:r>
          <m:sSub>
            <m:e>
              <m:r>
                <m:t>R</m:t>
              </m:r>
            </m:e>
            <m:sub>
              <m:r>
                <m:rPr>
                  <m:nor/>
                  <m:sty m:val="p"/>
                </m:rPr>
                <m:t>BBA</m:t>
              </m:r>
            </m:sub>
          </m:sSub>
          <m:d>
            <m:dPr>
              <m:begChr m:val="("/>
              <m:endChr m:val=")"/>
              <m:sepChr m:val=""/>
              <m:grow/>
            </m:dPr>
            <m:e>
              <m:r>
                <m:t>x</m:t>
              </m:r>
            </m:e>
          </m:d>
          <m:r>
            <m:rPr>
              <m:sty m:val="p"/>
            </m:rPr>
            <m:t>=</m:t>
          </m:r>
          <m:d>
            <m:dPr>
              <m:begChr m:val="{"/>
              <m:endChr m:val=""/>
              <m:sepChr m:val=""/>
              <m:grow/>
            </m:dPr>
            <m:e>
              <m:m>
                <m:mPr>
                  <m:baseJc m:val="center"/>
                  <m:plcHide m:val="on"/>
                  <m:mcs>
                    <m:mc>
                      <m:mcPr>
                        <m:mcJc m:val="left"/>
                        <m:count m:val="1"/>
                      </m:mcPr>
                    </m:mc>
                    <m:mc>
                      <m:mcPr>
                        <m:mcJc m:val="left"/>
                        <m:count m:val="1"/>
                      </m:mcPr>
                    </m:mc>
                  </m:mcs>
                </m:mPr>
                <m:mr>
                  <m:e>
                    <m:sSub>
                      <m:e>
                        <m:r>
                          <m:t>b</m:t>
                        </m:r>
                      </m:e>
                      <m:sub>
                        <m:r>
                          <m:rPr>
                            <m:sty m:val="p"/>
                          </m:rPr>
                          <m:t>min</m:t>
                        </m:r>
                      </m:sub>
                    </m:sSub>
                  </m:e>
                  <m:e>
                    <m:r>
                      <m:t>x</m:t>
                    </m:r>
                    <m:r>
                      <m:rPr>
                        <m:sty m:val="p"/>
                      </m:rPr>
                      <m:t>≤</m:t>
                    </m:r>
                    <m:sSub>
                      <m:e>
                        <m:r>
                          <m:t>x</m:t>
                        </m:r>
                      </m:e>
                      <m:sub>
                        <m:r>
                          <m:t>r</m:t>
                        </m:r>
                      </m:sub>
                    </m:sSub>
                  </m:e>
                </m:mr>
                <m:mr>
                  <m:e>
                    <m:sSub>
                      <m:e>
                        <m:r>
                          <m:t>b</m:t>
                        </m:r>
                      </m:e>
                      <m:sub>
                        <m:r>
                          <m:rPr>
                            <m:sty m:val="p"/>
                          </m:rPr>
                          <m:t>min</m:t>
                        </m:r>
                      </m:sub>
                    </m:sSub>
                    <m:r>
                      <m:rPr>
                        <m:sty m:val="p"/>
                      </m:rPr>
                      <m:t>+</m:t>
                    </m:r>
                    <m:f>
                      <m:fPr>
                        <m:type m:val="bar"/>
                      </m:fPr>
                      <m:num>
                        <m:r>
                          <m:t>x</m:t>
                        </m:r>
                        <m:r>
                          <m:rPr>
                            <m:sty m:val="p"/>
                          </m:rPr>
                          <m:t>−</m:t>
                        </m:r>
                        <m:sSub>
                          <m:e>
                            <m:r>
                              <m:t>x</m:t>
                            </m:r>
                          </m:e>
                          <m:sub>
                            <m:r>
                              <m:t>r</m:t>
                            </m:r>
                          </m:sub>
                        </m:sSub>
                      </m:num>
                      <m:den>
                        <m:sSub>
                          <m:e>
                            <m:r>
                              <m:t>x</m:t>
                            </m:r>
                          </m:e>
                          <m:sub>
                            <m:r>
                              <m:t>c</m:t>
                            </m:r>
                          </m:sub>
                        </m:sSub>
                      </m:den>
                    </m:f>
                    <m:d>
                      <m:dPr>
                        <m:begChr m:val="("/>
                        <m:endChr m:val=")"/>
                        <m:sepChr m:val=""/>
                        <m:grow/>
                      </m:dPr>
                      <m:e>
                        <m:sSub>
                          <m:e>
                            <m:r>
                              <m:t>b</m:t>
                            </m:r>
                          </m:e>
                          <m:sub>
                            <m:r>
                              <m:rPr>
                                <m:sty m:val="p"/>
                              </m:rPr>
                              <m:t>max</m:t>
                            </m:r>
                          </m:sub>
                        </m:sSub>
                        <m:r>
                          <m:rPr>
                            <m:sty m:val="p"/>
                          </m:rPr>
                          <m:t>−</m:t>
                        </m:r>
                        <m:sSub>
                          <m:e>
                            <m:r>
                              <m:t>b</m:t>
                            </m:r>
                          </m:e>
                          <m:sub>
                            <m:r>
                              <m:rPr>
                                <m:sty m:val="p"/>
                              </m:rPr>
                              <m:t>min</m:t>
                            </m:r>
                          </m:sub>
                        </m:sSub>
                      </m:e>
                    </m:d>
                  </m:e>
                  <m:e>
                    <m:sSub>
                      <m:e>
                        <m:r>
                          <m:t>x</m:t>
                        </m:r>
                      </m:e>
                      <m:sub>
                        <m:r>
                          <m:t>r</m:t>
                        </m:r>
                      </m:sub>
                    </m:sSub>
                    <m:r>
                      <m:rPr>
                        <m:sty m:val="p"/>
                      </m:rPr>
                      <m:t>&lt;</m:t>
                    </m:r>
                    <m:r>
                      <m:t>x</m:t>
                    </m:r>
                    <m:r>
                      <m:rPr>
                        <m:sty m:val="p"/>
                      </m:rPr>
                      <m:t>&lt;</m:t>
                    </m:r>
                    <m:sSub>
                      <m:e>
                        <m:r>
                          <m:t>x</m:t>
                        </m:r>
                      </m:e>
                      <m:sub>
                        <m:r>
                          <m:t>r</m:t>
                        </m:r>
                      </m:sub>
                    </m:sSub>
                    <m:r>
                      <m:rPr>
                        <m:sty m:val="p"/>
                      </m:rPr>
                      <m:t>+</m:t>
                    </m:r>
                    <m:sSub>
                      <m:e>
                        <m:r>
                          <m:t>x</m:t>
                        </m:r>
                      </m:e>
                      <m:sub>
                        <m:r>
                          <m:t>c</m:t>
                        </m:r>
                      </m:sub>
                    </m:sSub>
                  </m:e>
                </m:mr>
                <m:mr>
                  <m:e>
                    <m:sSub>
                      <m:e>
                        <m:r>
                          <m:t>b</m:t>
                        </m:r>
                      </m:e>
                      <m:sub>
                        <m:r>
                          <m:rPr>
                            <m:sty m:val="p"/>
                          </m:rPr>
                          <m:t>max</m:t>
                        </m:r>
                      </m:sub>
                    </m:sSub>
                  </m:e>
                  <m:e>
                    <m:r>
                      <m:t>x</m:t>
                    </m:r>
                    <m:r>
                      <m:rPr>
                        <m:sty m:val="p"/>
                      </m:rPr>
                      <m:t>≥</m:t>
                    </m:r>
                    <m:sSub>
                      <m:e>
                        <m:r>
                          <m:t>x</m:t>
                        </m:r>
                      </m:e>
                      <m:sub>
                        <m:r>
                          <m:t>r</m:t>
                        </m:r>
                      </m:sub>
                    </m:sSub>
                    <m:r>
                      <m:rPr>
                        <m:sty m:val="p"/>
                      </m:rPr>
                      <m:t>+</m:t>
                    </m:r>
                    <m:sSub>
                      <m:e>
                        <m:r>
                          <m:t>x</m:t>
                        </m:r>
                      </m:e>
                      <m:sub>
                        <m:r>
                          <m:t>c</m:t>
                        </m:r>
                      </m:sub>
                    </m:sSub>
                  </m:e>
                </m:mr>
              </m:m>
            </m:e>
          </m:d>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c</m:t>
                  </m:r>
                </m:e>
                <m:sub>
                  <m:r>
                    <m:t>i</m:t>
                  </m:r>
                </m:sub>
              </m:sSub>
            </m:oMath>
          </w:p>
        </w:tc>
        <w:tc>
          <w:tcPr/>
          <w:p>
            <w:pPr>
              <w:pStyle w:val="Compact"/>
              <w:jc w:val="left"/>
            </w:pPr>
            <w:r>
              <w:t xml:space="preserve">Measured throughput of the</w:t>
            </w:r>
            <w:r>
              <w:t xml:space="preserve"> </w:t>
            </w:r>
            <m:oMath>
              <m:r>
                <m:t>i</m:t>
              </m:r>
            </m:oMath>
            <w:r>
              <w:t xml:space="preserve">-th most recent segment download</w:t>
            </w:r>
          </w:p>
        </w:tc>
        <w:tc>
          <w:tcPr/>
          <w:p>
            <w:pPr>
              <w:pStyle w:val="Compact"/>
              <w:jc w:val="left"/>
            </w:pPr>
            <w:r>
              <w:t xml:space="preserve">Mb/s</w:t>
            </w:r>
          </w:p>
        </w:tc>
      </w:tr>
      <w:tr>
        <w:tc>
          <w:tcPr/>
          <w:p>
            <w:pPr>
              <w:pStyle w:val="Compact"/>
              <w:jc w:val="left"/>
            </w:pPr>
            <m:oMath>
              <m:r>
                <m:t>n</m:t>
              </m:r>
            </m:oMath>
          </w:p>
        </w:tc>
        <w:tc>
          <w:tcPr/>
          <w:p>
            <w:pPr>
              <w:pStyle w:val="Compact"/>
              <w:jc w:val="left"/>
            </w:pPr>
            <w:r>
              <w:t xml:space="preserve">Number of recent segments averaged</w:t>
            </w:r>
          </w:p>
        </w:tc>
        <w:tc>
          <w:tcPr/>
          <w:p>
            <w:pPr>
              <w:pStyle w:val="Compact"/>
              <w:jc w:val="left"/>
            </w:pPr>
            <w:r>
              <w:t xml:space="preserve">count</w:t>
            </w:r>
          </w:p>
        </w:tc>
      </w:tr>
      <w:tr>
        <w:tc>
          <w:tcPr/>
          <w:p>
            <w:pPr>
              <w:pStyle w:val="Compact"/>
              <w:jc w:val="left"/>
            </w:pPr>
            <m:oMath>
              <m:acc>
                <m:accPr>
                  <m:chr m:val="̂"/>
                </m:accPr>
                <m:e>
                  <m:r>
                    <m:t>C</m:t>
                  </m:r>
                </m:e>
              </m:acc>
            </m:oMath>
          </w:p>
        </w:tc>
        <w:tc>
          <w:tcPr/>
          <w:p>
            <w:pPr>
              <w:pStyle w:val="Compact"/>
              <w:jc w:val="left"/>
            </w:pPr>
            <w:r>
              <w:t xml:space="preserve">Harmonic-mean throughput estimate</w:t>
            </w:r>
          </w:p>
        </w:tc>
        <w:tc>
          <w:tcPr/>
          <w:p>
            <w:pPr>
              <w:pStyle w:val="Compact"/>
              <w:jc w:val="left"/>
            </w:pPr>
            <w:r>
              <w:t xml:space="preserve">Mb/s</w:t>
            </w:r>
          </w:p>
        </w:tc>
      </w:tr>
      <w:tr>
        <w:tc>
          <w:tcPr/>
          <w:p>
            <w:pPr>
              <w:pStyle w:val="Compact"/>
              <w:jc w:val="left"/>
            </w:pPr>
            <m:oMath>
              <m:r>
                <m:t>β</m:t>
              </m:r>
            </m:oMath>
          </w:p>
        </w:tc>
        <w:tc>
          <w:tcPr/>
          <w:p>
            <w:pPr>
              <w:pStyle w:val="Compact"/>
              <w:jc w:val="left"/>
            </w:pPr>
            <w:r>
              <w:t xml:space="preserve">Safety factor (e.g. 0.8)</w:t>
            </w:r>
          </w:p>
        </w:tc>
        <w:tc>
          <w:tcPr/>
          <w:p>
            <w:pPr>
              <w:pStyle w:val="Compact"/>
              <w:jc w:val="left"/>
            </w:pPr>
            <w:r>
              <w:t xml:space="preserve">dimensionless</w:t>
            </w:r>
          </w:p>
        </w:tc>
      </w:tr>
      <w:tr>
        <w:tc>
          <w:tcPr/>
          <w:p>
            <w:pPr>
              <w:pStyle w:val="Compact"/>
              <w:jc w:val="left"/>
            </w:pPr>
            <m:oMath>
              <m:r>
                <m:t>x</m:t>
              </m:r>
            </m:oMath>
          </w:p>
        </w:tc>
        <w:tc>
          <w:tcPr/>
          <w:p>
            <w:pPr>
              <w:pStyle w:val="Compact"/>
              <w:jc w:val="left"/>
            </w:pPr>
            <w:r>
              <w:t xml:space="preserve">Current buffer level</w:t>
            </w:r>
          </w:p>
        </w:tc>
        <w:tc>
          <w:tcPr/>
          <w:p>
            <w:pPr>
              <w:pStyle w:val="Compact"/>
              <w:jc w:val="left"/>
            </w:pPr>
            <w:r>
              <w:t xml:space="preserve">s</w:t>
            </w:r>
          </w:p>
        </w:tc>
      </w:tr>
      <w:tr>
        <w:tc>
          <w:tcPr/>
          <w:p>
            <w:pPr>
              <w:pStyle w:val="Compact"/>
              <w:jc w:val="left"/>
            </w:pPr>
            <m:oMath>
              <m:sSub>
                <m:e>
                  <m:r>
                    <m:t>x</m:t>
                  </m:r>
                </m:e>
                <m:sub>
                  <m:r>
                    <m:t>r</m:t>
                  </m:r>
                </m:sub>
              </m:sSub>
            </m:oMath>
            <w:r>
              <w:t xml:space="preserve">,</w:t>
            </w:r>
            <w:r>
              <w:t xml:space="preserve"> </w:t>
            </w:r>
            <m:oMath>
              <m:sSub>
                <m:e>
                  <m:r>
                    <m:t>x</m:t>
                  </m:r>
                </m:e>
                <m:sub>
                  <m:r>
                    <m:t>c</m:t>
                  </m:r>
                </m:sub>
              </m:sSub>
            </m:oMath>
          </w:p>
        </w:tc>
        <w:tc>
          <w:tcPr/>
          <w:p>
            <w:pPr>
              <w:pStyle w:val="Compact"/>
              <w:jc w:val="left"/>
            </w:pPr>
            <w:r>
              <w:t xml:space="preserve">Reservoir and cushion</w:t>
            </w:r>
          </w:p>
        </w:tc>
        <w:tc>
          <w:tcPr/>
          <w:p>
            <w:pPr>
              <w:pStyle w:val="Compact"/>
              <w:jc w:val="left"/>
            </w:pPr>
            <w:r>
              <w:t xml:space="preserve">s</w:t>
            </w:r>
          </w:p>
        </w:tc>
      </w:tr>
      <w:tr>
        <w:tc>
          <w:tcPr/>
          <w:p>
            <w:pPr>
              <w:pStyle w:val="Compact"/>
              <w:jc w:val="left"/>
            </w:pPr>
            <m:oMath>
              <m:sSub>
                <m:e>
                  <m:r>
                    <m:t>b</m:t>
                  </m:r>
                </m:e>
                <m:sub>
                  <m:r>
                    <m:rPr>
                      <m:sty m:val="p"/>
                    </m:rPr>
                    <m:t>min</m:t>
                  </m:r>
                </m:sub>
              </m:sSub>
            </m:oMath>
            <w:r>
              <w:t xml:space="preserve">,</w:t>
            </w:r>
            <w:r>
              <w:t xml:space="preserve"> </w:t>
            </w:r>
            <m:oMath>
              <m:sSub>
                <m:e>
                  <m:r>
                    <m:t>b</m:t>
                  </m:r>
                </m:e>
                <m:sub>
                  <m:r>
                    <m:rPr>
                      <m:sty m:val="p"/>
                    </m:rPr>
                    <m:t>max</m:t>
                  </m:r>
                </m:sub>
              </m:sSub>
            </m:oMath>
          </w:p>
        </w:tc>
        <w:tc>
          <w:tcPr/>
          <w:p>
            <w:pPr>
              <w:pStyle w:val="Compact"/>
              <w:jc w:val="left"/>
            </w:pPr>
            <w:r>
              <w:t xml:space="preserve">Lowest and highest ladder rates; the BBA result is rounded down to a ladder rung</w:t>
            </w:r>
          </w:p>
        </w:tc>
        <w:tc>
          <w:tcPr/>
          <w:p>
            <w:pPr>
              <w:pStyle w:val="Compact"/>
              <w:jc w:val="left"/>
            </w:pPr>
            <w:r>
              <w:t xml:space="preserve">Mb/s</w:t>
            </w:r>
          </w:p>
        </w:tc>
      </w:tr>
    </w:tbl>
    <w:p>
      <w:pPr>
        <w:pStyle w:val="CalloutExample"/>
      </w:pPr>
      <w:r>
        <w:rPr>
          <w:bCs/>
          <w:b/>
        </w:rPr>
        <w:t xml:space="preserve">WORKED EXAMPLE</w:t>
      </w:r>
    </w:p>
    <w:p>
      <w:pPr>
        <w:pStyle w:val="CalloutExample"/>
      </w:pPr>
      <w:r>
        <w:rPr>
          <w:bCs/>
          <w:b/>
        </w:rPr>
        <w:t xml:space="preserve">Worked example — Both rules on the ladder above.</w:t>
      </w:r>
      <w:r>
        <w:t xml:space="preserve"> </w:t>
      </w:r>
      <w:r>
        <w:t xml:space="preserve">Throughput rule: the last five segments downloaded at 8, 7, 6, 2 and 8 Mb/s.</w:t>
      </w:r>
    </w:p>
    <w:p>
      <w:pPr>
        <w:numPr>
          <w:ilvl w:val="0"/>
          <w:numId w:val="1700"/>
        </w:numPr>
        <w:pStyle w:val="Compact"/>
      </w:pPr>
      <w:r>
        <w:t xml:space="preserve">Harmonic mean:</w:t>
      </w:r>
      <w:r>
        <w:t xml:space="preserve"> </w:t>
      </w:r>
      <m:oMath>
        <m:r>
          <m:t>5</m:t>
        </m:r>
        <m:r>
          <m:rPr>
            <m:sty m:val="p"/>
          </m:rPr>
          <m:t>/</m:t>
        </m:r>
        <m:d>
          <m:dPr>
            <m:begChr m:val="("/>
            <m:endChr m:val=")"/>
            <m:sepChr m:val=""/>
            <m:grow/>
          </m:dPr>
          <m:e>
            <m:r>
              <m:t>0.125</m:t>
            </m:r>
            <m:r>
              <m:rPr>
                <m:sty m:val="p"/>
              </m:rPr>
              <m:t>+</m:t>
            </m:r>
            <m:r>
              <m:t>0.143</m:t>
            </m:r>
            <m:r>
              <m:rPr>
                <m:sty m:val="p"/>
              </m:rPr>
              <m:t>+</m:t>
            </m:r>
            <m:r>
              <m:t>0.167</m:t>
            </m:r>
            <m:r>
              <m:rPr>
                <m:sty m:val="p"/>
              </m:rPr>
              <m:t>+</m:t>
            </m:r>
            <m:r>
              <m:t>0.5</m:t>
            </m:r>
            <m:r>
              <m:rPr>
                <m:sty m:val="p"/>
              </m:rPr>
              <m:t>+</m:t>
            </m:r>
            <m:r>
              <m:t>0.125</m:t>
            </m:r>
          </m:e>
        </m:d>
        <m:r>
          <m:rPr>
            <m:sty m:val="p"/>
          </m:rPr>
          <m:t>=</m:t>
        </m:r>
        <m:r>
          <m:t>5</m:t>
        </m:r>
        <m:r>
          <m:rPr>
            <m:sty m:val="p"/>
          </m:rPr>
          <m:t>/</m:t>
        </m:r>
        <m:r>
          <m:t>1.060</m:t>
        </m:r>
        <m:r>
          <m:rPr>
            <m:sty m:val="p"/>
          </m:rPr>
          <m:t>=</m:t>
        </m:r>
        <m:r>
          <m:t>4.72</m:t>
        </m:r>
      </m:oMath>
      <w:r>
        <w:t xml:space="preserve"> </w:t>
      </w:r>
      <w:r>
        <w:t xml:space="preserve">Mb/s;</w:t>
      </w:r>
      <w:r>
        <w:t xml:space="preserve"> </w:t>
      </w:r>
      <m:oMath>
        <m:r>
          <m:rPr>
            <m:sty m:val="p"/>
          </m:rPr>
          <m:t>×</m:t>
        </m:r>
        <m:r>
          <m:t>0.8</m:t>
        </m:r>
        <m:r>
          <m:rPr>
            <m:sty m:val="p"/>
          </m:rPr>
          <m:t>=</m:t>
        </m:r>
        <m:r>
          <m:t>3.78</m:t>
        </m:r>
      </m:oMath>
      <w:r>
        <w:t xml:space="preserve"> </w:t>
      </w:r>
      <w:r>
        <w:t xml:space="preserve">→ choose 3.0 Mb/s.</w:t>
      </w:r>
    </w:p>
    <w:p>
      <w:pPr>
        <w:numPr>
          <w:ilvl w:val="0"/>
          <w:numId w:val="1700"/>
        </w:numPr>
        <w:pStyle w:val="Compact"/>
      </w:pPr>
      <w:r>
        <w:t xml:space="preserve">The arithmetic mean would be 6.2 Mb/s;</w:t>
      </w:r>
      <w:r>
        <w:t xml:space="preserve"> </w:t>
      </w:r>
      <m:oMath>
        <m:r>
          <m:rPr>
            <m:sty m:val="p"/>
          </m:rPr>
          <m:t>×</m:t>
        </m:r>
        <m:r>
          <m:t>0.8</m:t>
        </m:r>
        <m:r>
          <m:rPr>
            <m:sty m:val="p"/>
          </m:rPr>
          <m:t>=</m:t>
        </m:r>
        <m:r>
          <m:t>4.96</m:t>
        </m:r>
      </m:oMath>
      <w:r>
        <w:t xml:space="preserve"> </w:t>
      </w:r>
      <w:r>
        <w:t xml:space="preserve">→ 4.5 Mb/s, betting on a link that just delivered 2 Mb/s.</w:t>
      </w:r>
    </w:p>
    <w:p>
      <w:pPr>
        <w:pStyle w:val="CalloutExample"/>
      </w:pPr>
      <w:r>
        <w:t xml:space="preserve">BBA with</w:t>
      </w:r>
      <w:r>
        <w:t xml:space="preserve"> </w:t>
      </w:r>
      <m:oMath>
        <m:sSub>
          <m:e>
            <m:r>
              <m:t>x</m:t>
            </m:r>
          </m:e>
          <m:sub>
            <m:r>
              <m:t>r</m:t>
            </m:r>
          </m:sub>
        </m:sSub>
        <m:r>
          <m:rPr>
            <m:sty m:val="p"/>
          </m:rPr>
          <m:t>=</m:t>
        </m:r>
        <m:r>
          <m:t>10</m:t>
        </m:r>
      </m:oMath>
      <w:r>
        <w:t xml:space="preserve"> </w:t>
      </w:r>
      <w:r>
        <w:t xml:space="preserve">s,</w:t>
      </w:r>
      <w:r>
        <w:t xml:space="preserve"> </w:t>
      </w:r>
      <m:oMath>
        <m:sSub>
          <m:e>
            <m:r>
              <m:t>x</m:t>
            </m:r>
          </m:e>
          <m:sub>
            <m:r>
              <m:t>c</m:t>
            </m:r>
          </m:sub>
        </m:sSub>
        <m:r>
          <m:rPr>
            <m:sty m:val="p"/>
          </m:rPr>
          <m:t>=</m:t>
        </m:r>
        <m:r>
          <m:t>30</m:t>
        </m:r>
      </m:oMath>
      <w:r>
        <w:t xml:space="preserve"> </w:t>
      </w:r>
      <w:r>
        <w:t xml:space="preserve">s: at a 25 s buffer,</w:t>
      </w:r>
      <w:r>
        <w:t xml:space="preserve"> </w:t>
      </w:r>
      <m:oMath>
        <m:r>
          <m:t>0.4</m:t>
        </m:r>
        <m:r>
          <m:rPr>
            <m:sty m:val="p"/>
          </m:rPr>
          <m:t>+</m:t>
        </m:r>
        <m:d>
          <m:dPr>
            <m:begChr m:val="("/>
            <m:endChr m:val=")"/>
            <m:sepChr m:val=""/>
            <m:grow/>
          </m:dPr>
          <m:e>
            <m:r>
              <m:t>15</m:t>
            </m:r>
            <m:r>
              <m:rPr>
                <m:sty m:val="p"/>
              </m:rPr>
              <m:t>/</m:t>
            </m:r>
            <m:r>
              <m:t>30</m:t>
            </m:r>
          </m:e>
        </m:d>
        <m:d>
          <m:dPr>
            <m:begChr m:val="("/>
            <m:endChr m:val=")"/>
            <m:sepChr m:val=""/>
            <m:grow/>
          </m:dPr>
          <m:e>
            <m:r>
              <m:t>5.6</m:t>
            </m:r>
          </m:e>
        </m:d>
        <m:r>
          <m:rPr>
            <m:sty m:val="p"/>
          </m:rPr>
          <m:t>=</m:t>
        </m:r>
        <m:r>
          <m:t>3.2</m:t>
        </m:r>
      </m:oMath>
      <w:r>
        <w:t xml:space="preserve"> </w:t>
      </w:r>
      <w:r>
        <w:t xml:space="preserve">→ 3.0 Mb/s; at 8 s → 0.4 Mb/s; at 45 s → 6.0 Mb/s.</w:t>
      </w:r>
    </w:p>
    <w:p>
      <w:pPr>
        <w:pStyle w:val="CalloutExample"/>
      </w:pPr>
      <w:r>
        <w:rPr>
          <w:bCs/>
          <w:b/>
        </w:rPr>
        <w:t xml:space="preserve">Interpretation.</w:t>
      </w:r>
      <w:r>
        <w:t xml:space="preserve"> </w:t>
      </w:r>
      <w:r>
        <w:t xml:space="preserve">The throughput rule reacts to the network, the buffer rule to the consequence that matters, a draining buffer.</w:t>
      </w:r>
      <w:r>
        <w:t xml:space="preserve"> </w:t>
      </w:r>
      <w:r>
        <w:rPr>
          <w:bCs/>
          <w:b/>
        </w:rPr>
        <w:t xml:space="preserve">Engineering implication.</w:t>
      </w:r>
      <w:r>
        <w:t xml:space="preserve"> </w:t>
      </w:r>
      <w:r>
        <w:t xml:space="preserve">Throughput estimates are essential at startup, when the buffer is empty and says nothing; in steady state the buffer is the more reliable signal.</w:t>
      </w:r>
    </w:p>
    <w:p>
      <w:pPr>
        <w:pStyle w:val="BodyText"/>
      </w:pPr>
      <w:r>
        <w:rPr>
          <w:bCs/>
          <w:b/>
        </w:rPr>
        <w:t xml:space="preserve">Figure 21.9 — The ABR control loop.</w:t>
      </w:r>
    </w:p>
    <w:p>
      <w:pPr>
        <w:pStyle w:val="BodyText"/>
      </w:pPr>
      <w:r>
        <w:drawing>
          <wp:inline>
            <wp:extent cx="5334000" cy="1285655"/>
            <wp:effectExtent b="0" l="0" r="0" t="0"/>
            <wp:docPr descr="" title="" id="2416" name="Picture"/>
            <a:graphic>
              <a:graphicData uri="http://schemas.openxmlformats.org/drawingml/2006/picture">
                <pic:pic>
                  <pic:nvPicPr>
                    <pic:cNvPr descr="/home/user/System-Design/build/.cache/diagrams/c832dfafb027.png" id="2417" name="Picture"/>
                    <pic:cNvPicPr>
                      <a:picLocks noChangeArrowheads="1" noChangeAspect="1"/>
                    </pic:cNvPicPr>
                  </pic:nvPicPr>
                  <pic:blipFill>
                    <a:blip r:embed="rId2415"/>
                    <a:stretch>
                      <a:fillRect/>
                    </a:stretch>
                  </pic:blipFill>
                  <pic:spPr bwMode="auto">
                    <a:xfrm>
                      <a:off x="0" y="0"/>
                      <a:ext cx="5334000" cy="1285655"/>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downloader fetches one segment at a time across the network (hexagon, outside the player’s control), adding its duration to the buffer (cylinder), which the decoder drains at one second per second. The ABR rule reads the throughput estimate, the buffer level or both, and picks the next rendition, closing a feedback loop. Fetches are synchronous; the buffer decouples download from playback. The failure point is an empty buffer (a rebuffer). Each client runs its own loop; CDN load is the sum of their choices.</w:t>
      </w:r>
    </w:p>
    <w:p>
      <w:pPr>
        <w:pStyle w:val="SourceCode"/>
      </w:pPr>
      <w:r>
        <w:rPr>
          <w:rStyle w:val="CommentTok"/>
        </w:rPr>
        <w:t xml:space="preserve"># Throughput-based versus buffer-based (BBA-style) bitrate selection on the</w:t>
      </w:r>
      <w:r>
        <w:br/>
      </w:r>
      <w:r>
        <w:rPr>
          <w:rStyle w:val="CommentTok"/>
        </w:rPr>
        <w:t xml:space="preserve"># same synthetic bandwidth trace. Rates in Mb/s, times in seconds.</w:t>
      </w:r>
      <w:r>
        <w:br/>
      </w:r>
      <w:r>
        <w:rPr>
          <w:rStyle w:val="NormalTok"/>
        </w:rPr>
        <w:t xml:space="preserve">LADDER </w:t>
      </w:r>
      <w:r>
        <w:rPr>
          <w:rStyle w:val="OperatorTok"/>
        </w:rPr>
        <w:t xml:space="preserve">=</w:t>
      </w:r>
      <w:r>
        <w:rPr>
          <w:rStyle w:val="NormalTok"/>
        </w:rPr>
        <w:t xml:space="preserve"> [</w:t>
      </w:r>
      <w:r>
        <w:rPr>
          <w:rStyle w:val="FloatTok"/>
        </w:rPr>
        <w:t xml:space="preserve">0.4</w:t>
      </w:r>
      <w:r>
        <w:rPr>
          <w:rStyle w:val="NormalTok"/>
        </w:rPr>
        <w:t xml:space="preserve">, </w:t>
      </w:r>
      <w:r>
        <w:rPr>
          <w:rStyle w:val="FloatTok"/>
        </w:rPr>
        <w:t xml:space="preserve">0.8</w:t>
      </w:r>
      <w:r>
        <w:rPr>
          <w:rStyle w:val="NormalTok"/>
        </w:rPr>
        <w:t xml:space="preserve">, </w:t>
      </w:r>
      <w:r>
        <w:rPr>
          <w:rStyle w:val="FloatTok"/>
        </w:rPr>
        <w:t xml:space="preserve">1.5</w:t>
      </w:r>
      <w:r>
        <w:rPr>
          <w:rStyle w:val="NormalTok"/>
        </w:rPr>
        <w:t xml:space="preserve">, </w:t>
      </w:r>
      <w:r>
        <w:rPr>
          <w:rStyle w:val="FloatTok"/>
        </w:rPr>
        <w:t xml:space="preserve">3.0</w:t>
      </w:r>
      <w:r>
        <w:rPr>
          <w:rStyle w:val="NormalTok"/>
        </w:rPr>
        <w:t xml:space="preserve">, </w:t>
      </w:r>
      <w:r>
        <w:rPr>
          <w:rStyle w:val="FloatTok"/>
        </w:rPr>
        <w:t xml:space="preserve">4.5</w:t>
      </w:r>
      <w:r>
        <w:rPr>
          <w:rStyle w:val="NormalTok"/>
        </w:rPr>
        <w:t xml:space="preserve">, </w:t>
      </w:r>
      <w:r>
        <w:rPr>
          <w:rStyle w:val="FloatTok"/>
        </w:rPr>
        <w:t xml:space="preserve">6.0</w:t>
      </w:r>
      <w:r>
        <w:rPr>
          <w:rStyle w:val="NormalTok"/>
        </w:rPr>
        <w:t xml:space="preserve">]   </w:t>
      </w:r>
      <w:r>
        <w:rPr>
          <w:rStyle w:val="CommentTok"/>
        </w:rPr>
        <w:t xml:space="preserve"># bitrate ladder, Mb/s</w:t>
      </w:r>
      <w:r>
        <w:br/>
      </w:r>
      <w:r>
        <w:rPr>
          <w:rStyle w:val="NormalTok"/>
        </w:rPr>
        <w:t xml:space="preserve">SEG </w:t>
      </w:r>
      <w:r>
        <w:rPr>
          <w:rStyle w:val="OperatorTok"/>
        </w:rPr>
        <w:t xml:space="preserve">=</w:t>
      </w:r>
      <w:r>
        <w:rPr>
          <w:rStyle w:val="NormalTok"/>
        </w:rPr>
        <w:t xml:space="preserve"> </w:t>
      </w:r>
      <w:r>
        <w:rPr>
          <w:rStyle w:val="FloatTok"/>
        </w:rPr>
        <w:t xml:space="preserve">4.0</w:t>
      </w:r>
      <w:r>
        <w:rPr>
          <w:rStyle w:val="NormalTok"/>
        </w:rPr>
        <w:t xml:space="preserve">                                  </w:t>
      </w:r>
      <w:r>
        <w:rPr>
          <w:rStyle w:val="CommentTok"/>
        </w:rPr>
        <w:t xml:space="preserve"># segment duration, s</w:t>
      </w:r>
      <w:r>
        <w:br/>
      </w:r>
      <w:r>
        <w:rPr>
          <w:rStyle w:val="NormalTok"/>
        </w:rPr>
        <w:t xml:space="preserve">B_MAX </w:t>
      </w:r>
      <w:r>
        <w:rPr>
          <w:rStyle w:val="OperatorTok"/>
        </w:rPr>
        <w:t xml:space="preserve">=</w:t>
      </w:r>
      <w:r>
        <w:rPr>
          <w:rStyle w:val="NormalTok"/>
        </w:rPr>
        <w:t xml:space="preserve"> </w:t>
      </w:r>
      <w:r>
        <w:rPr>
          <w:rStyle w:val="FloatTok"/>
        </w:rPr>
        <w:t xml:space="preserve">60.0</w:t>
      </w:r>
      <w:r>
        <w:rPr>
          <w:rStyle w:val="NormalTok"/>
        </w:rPr>
        <w:t xml:space="preserve">                               </w:t>
      </w:r>
      <w:r>
        <w:rPr>
          <w:rStyle w:val="CommentTok"/>
        </w:rPr>
        <w:t xml:space="preserve"># player buffer limit, s</w:t>
      </w:r>
      <w:r>
        <w:br/>
      </w:r>
      <w:r>
        <w:rPr>
          <w:rStyle w:val="NormalTok"/>
        </w:rPr>
        <w:t xml:space="preserve">DT </w:t>
      </w:r>
      <w:r>
        <w:rPr>
          <w:rStyle w:val="OperatorTok"/>
        </w:rPr>
        <w:t xml:space="preserve">=</w:t>
      </w:r>
      <w:r>
        <w:rPr>
          <w:rStyle w:val="NormalTok"/>
        </w:rPr>
        <w:t xml:space="preserve"> </w:t>
      </w:r>
      <w:r>
        <w:rPr>
          <w:rStyle w:val="FloatTok"/>
        </w:rPr>
        <w:t xml:space="preserve">0.05</w:t>
      </w:r>
      <w:r>
        <w:rPr>
          <w:rStyle w:val="NormalTok"/>
        </w:rPr>
        <w:t xml:space="preserve">                                  </w:t>
      </w:r>
      <w:r>
        <w:rPr>
          <w:rStyle w:val="CommentTok"/>
        </w:rPr>
        <w:t xml:space="preserve"># simulation step, s</w:t>
      </w:r>
      <w:r>
        <w:br/>
      </w:r>
      <w:r>
        <w:br/>
      </w:r>
      <w:r>
        <w:br/>
      </w:r>
      <w:r>
        <w:rPr>
          <w:rStyle w:val="KeywordTok"/>
        </w:rPr>
        <w:t xml:space="preserve">def</w:t>
      </w:r>
      <w:r>
        <w:rPr>
          <w:rStyle w:val="NormalTok"/>
        </w:rPr>
        <w:t xml:space="preserve"> bandwidth(t):</w:t>
      </w:r>
      <w:r>
        <w:br/>
      </w:r>
      <w:r>
        <w:rPr>
          <w:rStyle w:val="NormalTok"/>
        </w:rPr>
        <w:t xml:space="preserve">    </w:t>
      </w:r>
      <w:r>
        <w:rPr>
          <w:rStyle w:val="CommentTok"/>
        </w:rPr>
        <w:t xml:space="preserve">"""6 Mb/s, except a 60 s collapse to 0.6 Mb/s starting at t = 30 s."""</w:t>
      </w:r>
      <w:r>
        <w:br/>
      </w:r>
      <w:r>
        <w:rPr>
          <w:rStyle w:val="NormalTok"/>
        </w:rPr>
        <w:t xml:space="preserve">    </w:t>
      </w:r>
      <w:r>
        <w:rPr>
          <w:rStyle w:val="ControlFlowTok"/>
        </w:rPr>
        <w:t xml:space="preserve">return</w:t>
      </w:r>
      <w:r>
        <w:rPr>
          <w:rStyle w:val="NormalTok"/>
        </w:rPr>
        <w:t xml:space="preserve"> </w:t>
      </w:r>
      <w:r>
        <w:rPr>
          <w:rStyle w:val="FloatTok"/>
        </w:rPr>
        <w:t xml:space="preserve">0.6</w:t>
      </w:r>
      <w:r>
        <w:rPr>
          <w:rStyle w:val="NormalTok"/>
        </w:rPr>
        <w:t xml:space="preserve"> </w:t>
      </w:r>
      <w:r>
        <w:rPr>
          <w:rStyle w:val="ControlFlowTok"/>
        </w:rPr>
        <w:t xml:space="preserve">if</w:t>
      </w:r>
      <w:r>
        <w:rPr>
          <w:rStyle w:val="NormalTok"/>
        </w:rPr>
        <w:t xml:space="preserve"> </w:t>
      </w:r>
      <w:r>
        <w:rPr>
          <w:rStyle w:val="DecValTok"/>
        </w:rPr>
        <w:t xml:space="preserve">30</w:t>
      </w:r>
      <w:r>
        <w:rPr>
          <w:rStyle w:val="NormalTok"/>
        </w:rPr>
        <w:t xml:space="preserve"> </w:t>
      </w:r>
      <w:r>
        <w:rPr>
          <w:rStyle w:val="OperatorTok"/>
        </w:rPr>
        <w:t xml:space="preserve">&lt;=</w:t>
      </w:r>
      <w:r>
        <w:rPr>
          <w:rStyle w:val="NormalTok"/>
        </w:rPr>
        <w:t xml:space="preserve"> t </w:t>
      </w:r>
      <w:r>
        <w:rPr>
          <w:rStyle w:val="OperatorTok"/>
        </w:rPr>
        <w:t xml:space="preserve">&lt;</w:t>
      </w:r>
      <w:r>
        <w:rPr>
          <w:rStyle w:val="NormalTok"/>
        </w:rPr>
        <w:t xml:space="preserve"> </w:t>
      </w:r>
      <w:r>
        <w:rPr>
          <w:rStyle w:val="DecValTok"/>
        </w:rPr>
        <w:t xml:space="preserve">90</w:t>
      </w:r>
      <w:r>
        <w:rPr>
          <w:rStyle w:val="NormalTok"/>
        </w:rPr>
        <w:t xml:space="preserve"> </w:t>
      </w:r>
      <w:r>
        <w:rPr>
          <w:rStyle w:val="ControlFlowTok"/>
        </w:rPr>
        <w:t xml:space="preserve">else</w:t>
      </w:r>
      <w:r>
        <w:rPr>
          <w:rStyle w:val="NormalTok"/>
        </w:rPr>
        <w:t xml:space="preserve"> </w:t>
      </w:r>
      <w:r>
        <w:rPr>
          <w:rStyle w:val="FloatTok"/>
        </w:rPr>
        <w:t xml:space="preserve">6.0</w:t>
      </w:r>
      <w:r>
        <w:br/>
      </w:r>
      <w:r>
        <w:br/>
      </w:r>
      <w:r>
        <w:br/>
      </w:r>
      <w:r>
        <w:rPr>
          <w:rStyle w:val="KeywordTok"/>
        </w:rPr>
        <w:t xml:space="preserve">def</w:t>
      </w:r>
      <w:r>
        <w:rPr>
          <w:rStyle w:val="NormalTok"/>
        </w:rPr>
        <w:t xml:space="preserve"> throughput_rule(history, </w:t>
      </w:r>
      <w:r>
        <w:rPr>
          <w:rStyle w:val="BuiltInTok"/>
        </w:rPr>
        <w:t xml:space="preserve">buffer</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history:</w:t>
      </w:r>
      <w:r>
        <w:br/>
      </w:r>
      <w:r>
        <w:rPr>
          <w:rStyle w:val="NormalTok"/>
        </w:rPr>
        <w:t xml:space="preserve">        </w:t>
      </w:r>
      <w:r>
        <w:rPr>
          <w:rStyle w:val="ControlFlowTok"/>
        </w:rPr>
        <w:t xml:space="preserve">return</w:t>
      </w:r>
      <w:r>
        <w:rPr>
          <w:rStyle w:val="NormalTok"/>
        </w:rPr>
        <w:t xml:space="preserve"> LADDER[</w:t>
      </w:r>
      <w:r>
        <w:rPr>
          <w:rStyle w:val="DecValTok"/>
        </w:rPr>
        <w:t xml:space="preserve">0</w:t>
      </w:r>
      <w:r>
        <w:rPr>
          <w:rStyle w:val="NormalTok"/>
        </w:rPr>
        <w:t xml:space="preserve">]</w:t>
      </w:r>
      <w:r>
        <w:br/>
      </w:r>
      <w:r>
        <w:rPr>
          <w:rStyle w:val="NormalTok"/>
        </w:rPr>
        <w:t xml:space="preserve">    recent </w:t>
      </w:r>
      <w:r>
        <w:rPr>
          <w:rStyle w:val="OperatorTok"/>
        </w:rPr>
        <w:t xml:space="preserve">=</w:t>
      </w:r>
      <w:r>
        <w:rPr>
          <w:rStyle w:val="NormalTok"/>
        </w:rPr>
        <w:t xml:space="preserve"> history[</w:t>
      </w:r>
      <w:r>
        <w:rPr>
          <w:rStyle w:val="OperatorTok"/>
        </w:rPr>
        <w:t xml:space="preserve">-</w:t>
      </w:r>
      <w:r>
        <w:rPr>
          <w:rStyle w:val="DecValTok"/>
        </w:rPr>
        <w:t xml:space="preserve">5</w:t>
      </w:r>
      <w:r>
        <w:rPr>
          <w:rStyle w:val="NormalTok"/>
        </w:rPr>
        <w:t xml:space="preserve">:]</w:t>
      </w:r>
      <w:r>
        <w:br/>
      </w:r>
      <w:r>
        <w:rPr>
          <w:rStyle w:val="NormalTok"/>
        </w:rPr>
        <w:t xml:space="preserve">    estimate </w:t>
      </w:r>
      <w:r>
        <w:rPr>
          <w:rStyle w:val="OperatorTok"/>
        </w:rPr>
        <w:t xml:space="preserve">=</w:t>
      </w:r>
      <w:r>
        <w:rPr>
          <w:rStyle w:val="NormalTok"/>
        </w:rPr>
        <w:t xml:space="preserve"> </w:t>
      </w:r>
      <w:r>
        <w:rPr>
          <w:rStyle w:val="BuiltInTok"/>
        </w:rPr>
        <w:t xml:space="preserve">len</w:t>
      </w:r>
      <w:r>
        <w:rPr>
          <w:rStyle w:val="NormalTok"/>
        </w:rPr>
        <w:t xml:space="preserve">(recent)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x </w:t>
      </w:r>
      <w:r>
        <w:rPr>
          <w:rStyle w:val="ControlFlowTok"/>
        </w:rPr>
        <w:t xml:space="preserve">for</w:t>
      </w:r>
      <w:r>
        <w:rPr>
          <w:rStyle w:val="NormalTok"/>
        </w:rPr>
        <w:t xml:space="preserve"> x </w:t>
      </w:r>
      <w:r>
        <w:rPr>
          <w:rStyle w:val="KeywordTok"/>
        </w:rPr>
        <w:t xml:space="preserve">in</w:t>
      </w:r>
      <w:r>
        <w:rPr>
          <w:rStyle w:val="NormalTok"/>
        </w:rPr>
        <w:t xml:space="preserve"> recent)   </w:t>
      </w:r>
      <w:r>
        <w:rPr>
          <w:rStyle w:val="CommentTok"/>
        </w:rPr>
        <w:t xml:space="preserve"># harmonic mean</w:t>
      </w:r>
      <w:r>
        <w:br/>
      </w:r>
      <w:r>
        <w:rPr>
          <w:rStyle w:val="NormalTok"/>
        </w:rPr>
        <w:t xml:space="preserve">    fits </w:t>
      </w:r>
      <w:r>
        <w:rPr>
          <w:rStyle w:val="OperatorTok"/>
        </w:rPr>
        <w:t xml:space="preserve">=</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LADDER </w:t>
      </w:r>
      <w:r>
        <w:rPr>
          <w:rStyle w:val="ControlFlowTok"/>
        </w:rPr>
        <w:t xml:space="preserve">if</w:t>
      </w:r>
      <w:r>
        <w:rPr>
          <w:rStyle w:val="NormalTok"/>
        </w:rPr>
        <w:t xml:space="preserve"> r </w:t>
      </w:r>
      <w:r>
        <w:rPr>
          <w:rStyle w:val="OperatorTok"/>
        </w:rPr>
        <w:t xml:space="preserve">&lt;=</w:t>
      </w:r>
      <w:r>
        <w:rPr>
          <w:rStyle w:val="NormalTok"/>
        </w:rPr>
        <w:t xml:space="preserve"> </w:t>
      </w:r>
      <w:r>
        <w:rPr>
          <w:rStyle w:val="FloatTok"/>
        </w:rPr>
        <w:t xml:space="preserve">0.8</w:t>
      </w:r>
      <w:r>
        <w:rPr>
          <w:rStyle w:val="NormalTok"/>
        </w:rPr>
        <w:t xml:space="preserve"> </w:t>
      </w:r>
      <w:r>
        <w:rPr>
          <w:rStyle w:val="OperatorTok"/>
        </w:rPr>
        <w:t xml:space="preserve">*</w:t>
      </w:r>
      <w:r>
        <w:rPr>
          <w:rStyle w:val="NormalTok"/>
        </w:rPr>
        <w:t xml:space="preserve"> estimate]     </w:t>
      </w:r>
      <w:r>
        <w:rPr>
          <w:rStyle w:val="CommentTok"/>
        </w:rPr>
        <w:t xml:space="preserve"># 20% safety margin</w:t>
      </w:r>
      <w:r>
        <w:br/>
      </w:r>
      <w:r>
        <w:rPr>
          <w:rStyle w:val="NormalTok"/>
        </w:rPr>
        <w:t xml:space="preserve">    </w:t>
      </w:r>
      <w:r>
        <w:rPr>
          <w:rStyle w:val="ControlFlowTok"/>
        </w:rPr>
        <w:t xml:space="preserve">return</w:t>
      </w:r>
      <w:r>
        <w:rPr>
          <w:rStyle w:val="NormalTok"/>
        </w:rPr>
        <w:t xml:space="preserve"> fits[</w:t>
      </w:r>
      <w:r>
        <w:rPr>
          <w:rStyle w:val="OperatorTok"/>
        </w:rPr>
        <w:t xml:space="preserve">-</w:t>
      </w:r>
      <w:r>
        <w:rPr>
          <w:rStyle w:val="DecValTok"/>
        </w:rPr>
        <w:t xml:space="preserve">1</w:t>
      </w:r>
      <w:r>
        <w:rPr>
          <w:rStyle w:val="NormalTok"/>
        </w:rPr>
        <w:t xml:space="preserve">] </w:t>
      </w:r>
      <w:r>
        <w:rPr>
          <w:rStyle w:val="ControlFlowTok"/>
        </w:rPr>
        <w:t xml:space="preserve">if</w:t>
      </w:r>
      <w:r>
        <w:rPr>
          <w:rStyle w:val="NormalTok"/>
        </w:rPr>
        <w:t xml:space="preserve"> fits </w:t>
      </w:r>
      <w:r>
        <w:rPr>
          <w:rStyle w:val="ControlFlowTok"/>
        </w:rPr>
        <w:t xml:space="preserve">else</w:t>
      </w:r>
      <w:r>
        <w:rPr>
          <w:rStyle w:val="NormalTok"/>
        </w:rPr>
        <w:t xml:space="preserve"> LADDER[</w:t>
      </w:r>
      <w:r>
        <w:rPr>
          <w:rStyle w:val="DecValTok"/>
        </w:rPr>
        <w:t xml:space="preserve">0</w:t>
      </w:r>
      <w:r>
        <w:rPr>
          <w:rStyle w:val="NormalTok"/>
        </w:rPr>
        <w:t xml:space="preserve">]</w:t>
      </w:r>
      <w:r>
        <w:br/>
      </w:r>
      <w:r>
        <w:br/>
      </w:r>
      <w:r>
        <w:br/>
      </w:r>
      <w:r>
        <w:rPr>
          <w:rStyle w:val="KeywordTok"/>
        </w:rPr>
        <w:t xml:space="preserve">def</w:t>
      </w:r>
      <w:r>
        <w:rPr>
          <w:rStyle w:val="NormalTok"/>
        </w:rPr>
        <w:t xml:space="preserve"> buffer_rule(history, </w:t>
      </w:r>
      <w:r>
        <w:rPr>
          <w:rStyle w:val="BuiltInTok"/>
        </w:rPr>
        <w:t xml:space="preserve">buffer</w:t>
      </w:r>
      <w:r>
        <w:rPr>
          <w:rStyle w:val="NormalTok"/>
        </w:rPr>
        <w:t xml:space="preserve">, reservoir</w:t>
      </w:r>
      <w:r>
        <w:rPr>
          <w:rStyle w:val="OperatorTok"/>
        </w:rPr>
        <w:t xml:space="preserve">=</w:t>
      </w:r>
      <w:r>
        <w:rPr>
          <w:rStyle w:val="FloatTok"/>
        </w:rPr>
        <w:t xml:space="preserve">10.0</w:t>
      </w:r>
      <w:r>
        <w:rPr>
          <w:rStyle w:val="NormalTok"/>
        </w:rPr>
        <w:t xml:space="preserve">, cushion</w:t>
      </w:r>
      <w:r>
        <w:rPr>
          <w:rStyle w:val="OperatorTok"/>
        </w:rPr>
        <w:t xml:space="preserve">=</w:t>
      </w:r>
      <w:r>
        <w:rPr>
          <w:rStyle w:val="FloatTok"/>
        </w:rPr>
        <w:t xml:space="preserve">30.0</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buffer</w:t>
      </w:r>
      <w:r>
        <w:rPr>
          <w:rStyle w:val="NormalTok"/>
        </w:rPr>
        <w:t xml:space="preserve"> </w:t>
      </w:r>
      <w:r>
        <w:rPr>
          <w:rStyle w:val="OperatorTok"/>
        </w:rPr>
        <w:t xml:space="preserve">&lt;=</w:t>
      </w:r>
      <w:r>
        <w:rPr>
          <w:rStyle w:val="NormalTok"/>
        </w:rPr>
        <w:t xml:space="preserve"> reservoir:</w:t>
      </w:r>
      <w:r>
        <w:br/>
      </w:r>
      <w:r>
        <w:rPr>
          <w:rStyle w:val="NormalTok"/>
        </w:rPr>
        <w:t xml:space="preserve">        </w:t>
      </w:r>
      <w:r>
        <w:rPr>
          <w:rStyle w:val="ControlFlowTok"/>
        </w:rPr>
        <w:t xml:space="preserve">return</w:t>
      </w:r>
      <w:r>
        <w:rPr>
          <w:rStyle w:val="NormalTok"/>
        </w:rPr>
        <w:t xml:space="preserve"> LADDER[</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buffer</w:t>
      </w:r>
      <w:r>
        <w:rPr>
          <w:rStyle w:val="NormalTok"/>
        </w:rPr>
        <w:t xml:space="preserve"> </w:t>
      </w:r>
      <w:r>
        <w:rPr>
          <w:rStyle w:val="OperatorTok"/>
        </w:rPr>
        <w:t xml:space="preserve">&gt;=</w:t>
      </w:r>
      <w:r>
        <w:rPr>
          <w:rStyle w:val="NormalTok"/>
        </w:rPr>
        <w:t xml:space="preserve"> reservoir </w:t>
      </w:r>
      <w:r>
        <w:rPr>
          <w:rStyle w:val="OperatorTok"/>
        </w:rPr>
        <w:t xml:space="preserve">+</w:t>
      </w:r>
      <w:r>
        <w:rPr>
          <w:rStyle w:val="NormalTok"/>
        </w:rPr>
        <w:t xml:space="preserve"> cushion:</w:t>
      </w:r>
      <w:r>
        <w:br/>
      </w:r>
      <w:r>
        <w:rPr>
          <w:rStyle w:val="NormalTok"/>
        </w:rPr>
        <w:t xml:space="preserve">        </w:t>
      </w:r>
      <w:r>
        <w:rPr>
          <w:rStyle w:val="ControlFlowTok"/>
        </w:rPr>
        <w:t xml:space="preserve">return</w:t>
      </w:r>
      <w:r>
        <w:rPr>
          <w:rStyle w:val="NormalTok"/>
        </w:rPr>
        <w:t xml:space="preserve"> LADDER[</w:t>
      </w:r>
      <w:r>
        <w:rPr>
          <w:rStyle w:val="OperatorTok"/>
        </w:rPr>
        <w:t xml:space="preserve">-</w:t>
      </w:r>
      <w:r>
        <w:rPr>
          <w:rStyle w:val="DecValTok"/>
        </w:rPr>
        <w:t xml:space="preserve">1</w:t>
      </w:r>
      <w:r>
        <w:rPr>
          <w:rStyle w:val="NormalTok"/>
        </w:rPr>
        <w:t xml:space="preserve">]</w:t>
      </w:r>
      <w:r>
        <w:br/>
      </w:r>
      <w:r>
        <w:rPr>
          <w:rStyle w:val="NormalTok"/>
        </w:rPr>
        <w:t xml:space="preserve">    target </w:t>
      </w:r>
      <w:r>
        <w:rPr>
          <w:rStyle w:val="OperatorTok"/>
        </w:rPr>
        <w:t xml:space="preserve">=</w:t>
      </w:r>
      <w:r>
        <w:rPr>
          <w:rStyle w:val="NormalTok"/>
        </w:rPr>
        <w:t xml:space="preserve"> LADDER[</w:t>
      </w:r>
      <w:r>
        <w:rPr>
          <w:rStyle w:val="DecValTok"/>
        </w:rPr>
        <w:t xml:space="preserve">0</w:t>
      </w:r>
      <w:r>
        <w:rPr>
          <w:rStyle w:val="NormalTok"/>
        </w:rPr>
        <w:t xml:space="preserve">] </w:t>
      </w:r>
      <w:r>
        <w:rPr>
          <w:rStyle w:val="OperatorTok"/>
        </w:rPr>
        <w:t xml:space="preserve">+</w:t>
      </w:r>
      <w:r>
        <w:rPr>
          <w:rStyle w:val="NormalTok"/>
        </w:rPr>
        <w:t xml:space="preserve"> (</w:t>
      </w:r>
      <w:r>
        <w:rPr>
          <w:rStyle w:val="BuiltInTok"/>
        </w:rPr>
        <w:t xml:space="preserve">buffer</w:t>
      </w:r>
      <w:r>
        <w:rPr>
          <w:rStyle w:val="NormalTok"/>
        </w:rPr>
        <w:t xml:space="preserve"> </w:t>
      </w:r>
      <w:r>
        <w:rPr>
          <w:rStyle w:val="OperatorTok"/>
        </w:rPr>
        <w:t xml:space="preserve">-</w:t>
      </w:r>
      <w:r>
        <w:rPr>
          <w:rStyle w:val="NormalTok"/>
        </w:rPr>
        <w:t xml:space="preserve"> reservoir) </w:t>
      </w:r>
      <w:r>
        <w:rPr>
          <w:rStyle w:val="OperatorTok"/>
        </w:rPr>
        <w:t xml:space="preserve">/</w:t>
      </w:r>
      <w:r>
        <w:rPr>
          <w:rStyle w:val="NormalTok"/>
        </w:rPr>
        <w:t xml:space="preserve"> cushion </w:t>
      </w:r>
      <w:r>
        <w:rPr>
          <w:rStyle w:val="OperatorTok"/>
        </w:rPr>
        <w:t xml:space="preserve">*</w:t>
      </w:r>
      <w:r>
        <w:rPr>
          <w:rStyle w:val="NormalTok"/>
        </w:rPr>
        <w:t xml:space="preserve"> (LADDER[</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LADDER[</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max</w:t>
      </w:r>
      <w:r>
        <w:rPr>
          <w:rStyle w:val="NormalTok"/>
        </w:rPr>
        <w:t xml:space="preserve">(r </w:t>
      </w:r>
      <w:r>
        <w:rPr>
          <w:rStyle w:val="ControlFlowTok"/>
        </w:rPr>
        <w:t xml:space="preserve">for</w:t>
      </w:r>
      <w:r>
        <w:rPr>
          <w:rStyle w:val="NormalTok"/>
        </w:rPr>
        <w:t xml:space="preserve"> r </w:t>
      </w:r>
      <w:r>
        <w:rPr>
          <w:rStyle w:val="KeywordTok"/>
        </w:rPr>
        <w:t xml:space="preserve">in</w:t>
      </w:r>
      <w:r>
        <w:rPr>
          <w:rStyle w:val="NormalTok"/>
        </w:rPr>
        <w:t xml:space="preserve"> LADDER </w:t>
      </w:r>
      <w:r>
        <w:rPr>
          <w:rStyle w:val="ControlFlowTok"/>
        </w:rPr>
        <w:t xml:space="preserve">if</w:t>
      </w:r>
      <w:r>
        <w:rPr>
          <w:rStyle w:val="NormalTok"/>
        </w:rPr>
        <w:t xml:space="preserve"> r </w:t>
      </w:r>
      <w:r>
        <w:rPr>
          <w:rStyle w:val="OperatorTok"/>
        </w:rPr>
        <w:t xml:space="preserve">&lt;=</w:t>
      </w:r>
      <w:r>
        <w:rPr>
          <w:rStyle w:val="NormalTok"/>
        </w:rPr>
        <w:t xml:space="preserve"> target)</w:t>
      </w:r>
      <w:r>
        <w:br/>
      </w:r>
      <w:r>
        <w:br/>
      </w:r>
      <w:r>
        <w:br/>
      </w:r>
      <w:r>
        <w:rPr>
          <w:rStyle w:val="KeywordTok"/>
        </w:rPr>
        <w:t xml:space="preserve">def</w:t>
      </w:r>
      <w:r>
        <w:rPr>
          <w:rStyle w:val="NormalTok"/>
        </w:rPr>
        <w:t xml:space="preserve"> play(rule, duration</w:t>
      </w:r>
      <w:r>
        <w:rPr>
          <w:rStyle w:val="OperatorTok"/>
        </w:rPr>
        <w:t xml:space="preserve">=</w:t>
      </w:r>
      <w:r>
        <w:rPr>
          <w:rStyle w:val="FloatTok"/>
        </w:rPr>
        <w:t xml:space="preserve">200.0</w:t>
      </w:r>
      <w:r>
        <w:rPr>
          <w:rStyle w:val="NormalTok"/>
        </w:rPr>
        <w:t xml:space="preserve">):</w:t>
      </w:r>
      <w:r>
        <w:br/>
      </w:r>
      <w:r>
        <w:rPr>
          <w:rStyle w:val="NormalTok"/>
        </w:rPr>
        <w:t xml:space="preserve">    t </w:t>
      </w:r>
      <w:r>
        <w:rPr>
          <w:rStyle w:val="OperatorTok"/>
        </w:rPr>
        <w:t xml:space="preserve">=</w:t>
      </w:r>
      <w:r>
        <w:rPr>
          <w:rStyle w:val="NormalTok"/>
        </w:rPr>
        <w:t xml:space="preserve"> </w:t>
      </w:r>
      <w:r>
        <w:rPr>
          <w:rStyle w:val="BuiltInTok"/>
        </w:rPr>
        <w:t xml:space="preserve">buffer</w:t>
      </w:r>
      <w:r>
        <w:rPr>
          <w:rStyle w:val="NormalTok"/>
        </w:rPr>
        <w:t xml:space="preserve"> </w:t>
      </w:r>
      <w:r>
        <w:rPr>
          <w:rStyle w:val="OperatorTok"/>
        </w:rPr>
        <w:t xml:space="preserve">=</w:t>
      </w:r>
      <w:r>
        <w:rPr>
          <w:rStyle w:val="NormalTok"/>
        </w:rPr>
        <w:t xml:space="preserve"> stall </w:t>
      </w:r>
      <w:r>
        <w:rPr>
          <w:rStyle w:val="OperatorTok"/>
        </w:rPr>
        <w:t xml:space="preserve">=</w:t>
      </w:r>
      <w:r>
        <w:rPr>
          <w:rStyle w:val="NormalTok"/>
        </w:rPr>
        <w:t xml:space="preserve"> </w:t>
      </w:r>
      <w:r>
        <w:rPr>
          <w:rStyle w:val="FloatTok"/>
        </w:rPr>
        <w:t xml:space="preserve">0.0</w:t>
      </w:r>
      <w:r>
        <w:br/>
      </w:r>
      <w:r>
        <w:rPr>
          <w:rStyle w:val="NormalTok"/>
        </w:rPr>
        <w:t xml:space="preserve">    history, chosen, started </w:t>
      </w:r>
      <w:r>
        <w:rPr>
          <w:rStyle w:val="OperatorTok"/>
        </w:rPr>
        <w:t xml:space="preserve">=</w:t>
      </w:r>
      <w:r>
        <w:rPr>
          <w:rStyle w:val="NormalTok"/>
        </w:rPr>
        <w:t xml:space="preserve"> [], [], </w:t>
      </w:r>
      <w:r>
        <w:rPr>
          <w:rStyle w:val="VariableTok"/>
        </w:rPr>
        <w:t xml:space="preserve">False</w:t>
      </w:r>
      <w:r>
        <w:br/>
      </w:r>
      <w:r>
        <w:rPr>
          <w:rStyle w:val="NormalTok"/>
        </w:rPr>
        <w:t xml:space="preserve">    </w:t>
      </w:r>
      <w:r>
        <w:rPr>
          <w:rStyle w:val="ControlFlowTok"/>
        </w:rPr>
        <w:t xml:space="preserve">while</w:t>
      </w:r>
      <w:r>
        <w:rPr>
          <w:rStyle w:val="NormalTok"/>
        </w:rPr>
        <w:t xml:space="preserve"> t </w:t>
      </w:r>
      <w:r>
        <w:rPr>
          <w:rStyle w:val="OperatorTok"/>
        </w:rPr>
        <w:t xml:space="preserve">&lt;</w:t>
      </w:r>
      <w:r>
        <w:rPr>
          <w:rStyle w:val="NormalTok"/>
        </w:rPr>
        <w:t xml:space="preserve"> duration:</w:t>
      </w:r>
      <w:r>
        <w:br/>
      </w:r>
      <w:r>
        <w:rPr>
          <w:rStyle w:val="NormalTok"/>
        </w:rPr>
        <w:t xml:space="preserve">        rate </w:t>
      </w:r>
      <w:r>
        <w:rPr>
          <w:rStyle w:val="OperatorTok"/>
        </w:rPr>
        <w:t xml:space="preserve">=</w:t>
      </w:r>
      <w:r>
        <w:rPr>
          <w:rStyle w:val="NormalTok"/>
        </w:rPr>
        <w:t xml:space="preserve"> rule(history, </w:t>
      </w:r>
      <w:r>
        <w:rPr>
          <w:rStyle w:val="BuiltInTok"/>
        </w:rPr>
        <w:t xml:space="preserve">buffer</w:t>
      </w:r>
      <w:r>
        <w:rPr>
          <w:rStyle w:val="NormalTok"/>
        </w:rPr>
        <w:t xml:space="preserve">)</w:t>
      </w:r>
      <w:r>
        <w:br/>
      </w:r>
      <w:r>
        <w:rPr>
          <w:rStyle w:val="NormalTok"/>
        </w:rPr>
        <w:t xml:space="preserve">        bits, start </w:t>
      </w:r>
      <w:r>
        <w:rPr>
          <w:rStyle w:val="OperatorTok"/>
        </w:rPr>
        <w:t xml:space="preserve">=</w:t>
      </w:r>
      <w:r>
        <w:rPr>
          <w:rStyle w:val="NormalTok"/>
        </w:rPr>
        <w:t xml:space="preserve"> rate </w:t>
      </w:r>
      <w:r>
        <w:rPr>
          <w:rStyle w:val="OperatorTok"/>
        </w:rPr>
        <w:t xml:space="preserve">*</w:t>
      </w:r>
      <w:r>
        <w:rPr>
          <w:rStyle w:val="NormalTok"/>
        </w:rPr>
        <w:t xml:space="preserve"> SEG, t</w:t>
      </w:r>
      <w:r>
        <w:br/>
      </w:r>
      <w:r>
        <w:rPr>
          <w:rStyle w:val="NormalTok"/>
        </w:rPr>
        <w:t xml:space="preserve">        </w:t>
      </w:r>
      <w:r>
        <w:rPr>
          <w:rStyle w:val="ControlFlowTok"/>
        </w:rPr>
        <w:t xml:space="preserve">while</w:t>
      </w:r>
      <w:r>
        <w:rPr>
          <w:rStyle w:val="NormalTok"/>
        </w:rPr>
        <w:t xml:space="preserve"> bits </w:t>
      </w:r>
      <w:r>
        <w:rPr>
          <w:rStyle w:val="OperatorTok"/>
        </w:rPr>
        <w:t xml:space="preserve">&gt;</w:t>
      </w:r>
      <w:r>
        <w:rPr>
          <w:rStyle w:val="NormalTok"/>
        </w:rPr>
        <w:t xml:space="preserve"> </w:t>
      </w:r>
      <w:r>
        <w:rPr>
          <w:rStyle w:val="DecValTok"/>
        </w:rPr>
        <w:t xml:space="preserve">0</w:t>
      </w:r>
      <w:r>
        <w:rPr>
          <w:rStyle w:val="NormalTok"/>
        </w:rPr>
        <w:t xml:space="preserve">:                   </w:t>
      </w:r>
      <w:r>
        <w:rPr>
          <w:rStyle w:val="CommentTok"/>
        </w:rPr>
        <w:t xml:space="preserve"># download one segment</w:t>
      </w:r>
      <w:r>
        <w:br/>
      </w:r>
      <w:r>
        <w:rPr>
          <w:rStyle w:val="NormalTok"/>
        </w:rPr>
        <w:t xml:space="preserve">            bits </w:t>
      </w:r>
      <w:r>
        <w:rPr>
          <w:rStyle w:val="OperatorTok"/>
        </w:rPr>
        <w:t xml:space="preserve">-=</w:t>
      </w:r>
      <w:r>
        <w:rPr>
          <w:rStyle w:val="NormalTok"/>
        </w:rPr>
        <w:t xml:space="preserve"> bandwidth(t) </w:t>
      </w:r>
      <w:r>
        <w:rPr>
          <w:rStyle w:val="OperatorTok"/>
        </w:rPr>
        <w:t xml:space="preserve">*</w:t>
      </w:r>
      <w:r>
        <w:rPr>
          <w:rStyle w:val="NormalTok"/>
        </w:rPr>
        <w:t xml:space="preserve"> DT</w:t>
      </w:r>
      <w:r>
        <w:br/>
      </w:r>
      <w:r>
        <w:rPr>
          <w:rStyle w:val="NormalTok"/>
        </w:rPr>
        <w:t xml:space="preserve">            t </w:t>
      </w:r>
      <w:r>
        <w:rPr>
          <w:rStyle w:val="OperatorTok"/>
        </w:rPr>
        <w:t xml:space="preserve">+=</w:t>
      </w:r>
      <w:r>
        <w:rPr>
          <w:rStyle w:val="NormalTok"/>
        </w:rPr>
        <w:t xml:space="preserve"> DT</w:t>
      </w:r>
      <w:r>
        <w:br/>
      </w:r>
      <w:r>
        <w:rPr>
          <w:rStyle w:val="NormalTok"/>
        </w:rPr>
        <w:t xml:space="preserve">            </w:t>
      </w:r>
      <w:r>
        <w:rPr>
          <w:rStyle w:val="ControlFlowTok"/>
        </w:rPr>
        <w:t xml:space="preserve">if</w:t>
      </w:r>
      <w:r>
        <w:rPr>
          <w:rStyle w:val="NormalTok"/>
        </w:rPr>
        <w:t xml:space="preserve"> started:</w:t>
      </w:r>
      <w:r>
        <w:br/>
      </w:r>
      <w:r>
        <w:rPr>
          <w:rStyle w:val="NormalTok"/>
        </w:rPr>
        <w:t xml:space="preserve">                </w:t>
      </w:r>
      <w:r>
        <w:rPr>
          <w:rStyle w:val="ControlFlowTok"/>
        </w:rPr>
        <w:t xml:space="preserve">if</w:t>
      </w:r>
      <w:r>
        <w:rPr>
          <w:rStyle w:val="NormalTok"/>
        </w:rPr>
        <w:t xml:space="preserve"> </w:t>
      </w:r>
      <w:r>
        <w:rPr>
          <w:rStyle w:val="BuiltInTok"/>
        </w:rPr>
        <w:t xml:space="preserve">buffer</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buffer</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w:t>
      </w:r>
      <w:r>
        <w:rPr>
          <w:rStyle w:val="BuiltInTok"/>
        </w:rPr>
        <w:t xml:space="preserve">buffer</w:t>
      </w:r>
      <w:r>
        <w:rPr>
          <w:rStyle w:val="NormalTok"/>
        </w:rPr>
        <w:t xml:space="preserve"> </w:t>
      </w:r>
      <w:r>
        <w:rPr>
          <w:rStyle w:val="OperatorTok"/>
        </w:rPr>
        <w:t xml:space="preserve">-</w:t>
      </w:r>
      <w:r>
        <w:rPr>
          <w:rStyle w:val="NormalTok"/>
        </w:rPr>
        <w:t xml:space="preserve"> DT)</w:t>
      </w:r>
      <w:r>
        <w:br/>
      </w:r>
      <w:r>
        <w:rPr>
          <w:rStyle w:val="NormalTok"/>
        </w:rPr>
        <w:t xml:space="preserve">                </w:t>
      </w:r>
      <w:r>
        <w:rPr>
          <w:rStyle w:val="ControlFlowTok"/>
        </w:rPr>
        <w:t xml:space="preserve">else</w:t>
      </w:r>
      <w:r>
        <w:rPr>
          <w:rStyle w:val="NormalTok"/>
        </w:rPr>
        <w:t xml:space="preserve">:</w:t>
      </w:r>
      <w:r>
        <w:br/>
      </w:r>
      <w:r>
        <w:rPr>
          <w:rStyle w:val="NormalTok"/>
        </w:rPr>
        <w:t xml:space="preserve">                    stall </w:t>
      </w:r>
      <w:r>
        <w:rPr>
          <w:rStyle w:val="OperatorTok"/>
        </w:rPr>
        <w:t xml:space="preserve">+=</w:t>
      </w:r>
      <w:r>
        <w:rPr>
          <w:rStyle w:val="NormalTok"/>
        </w:rPr>
        <w:t xml:space="preserve"> DT           </w:t>
      </w:r>
      <w:r>
        <w:rPr>
          <w:rStyle w:val="CommentTok"/>
        </w:rPr>
        <w:t xml:space="preserve"># empty buffer: the video freezes</w:t>
      </w:r>
      <w:r>
        <w:br/>
      </w:r>
      <w:r>
        <w:rPr>
          <w:rStyle w:val="NormalTok"/>
        </w:rPr>
        <w:t xml:space="preserve">        history.append(rate </w:t>
      </w:r>
      <w:r>
        <w:rPr>
          <w:rStyle w:val="OperatorTok"/>
        </w:rPr>
        <w:t xml:space="preserve">*</w:t>
      </w:r>
      <w:r>
        <w:rPr>
          <w:rStyle w:val="NormalTok"/>
        </w:rPr>
        <w:t xml:space="preserve"> SEG </w:t>
      </w:r>
      <w:r>
        <w:rPr>
          <w:rStyle w:val="OperatorTok"/>
        </w:rPr>
        <w:t xml:space="preserve">/</w:t>
      </w:r>
      <w:r>
        <w:rPr>
          <w:rStyle w:val="NormalTok"/>
        </w:rPr>
        <w:t xml:space="preserve"> (t </w:t>
      </w:r>
      <w:r>
        <w:rPr>
          <w:rStyle w:val="OperatorTok"/>
        </w:rPr>
        <w:t xml:space="preserve">-</w:t>
      </w:r>
      <w:r>
        <w:rPr>
          <w:rStyle w:val="NormalTok"/>
        </w:rPr>
        <w:t xml:space="preserve"> start))</w:t>
      </w:r>
      <w:r>
        <w:br/>
      </w:r>
      <w:r>
        <w:rPr>
          <w:rStyle w:val="NormalTok"/>
        </w:rPr>
        <w:t xml:space="preserve">        </w:t>
      </w:r>
      <w:r>
        <w:rPr>
          <w:rStyle w:val="BuiltInTok"/>
        </w:rPr>
        <w:t xml:space="preserve">buffer</w:t>
      </w:r>
      <w:r>
        <w:rPr>
          <w:rStyle w:val="NormalTok"/>
        </w:rPr>
        <w:t xml:space="preserve"> </w:t>
      </w:r>
      <w:r>
        <w:rPr>
          <w:rStyle w:val="OperatorTok"/>
        </w:rPr>
        <w:t xml:space="preserve">+=</w:t>
      </w:r>
      <w:r>
        <w:rPr>
          <w:rStyle w:val="NormalTok"/>
        </w:rPr>
        <w:t xml:space="preserve"> SEG</w:t>
      </w:r>
      <w:r>
        <w:br/>
      </w:r>
      <w:r>
        <w:rPr>
          <w:rStyle w:val="NormalTok"/>
        </w:rPr>
        <w:t xml:space="preserve">        started </w:t>
      </w:r>
      <w:r>
        <w:rPr>
          <w:rStyle w:val="OperatorTok"/>
        </w:rPr>
        <w:t xml:space="preserve">=</w:t>
      </w:r>
      <w:r>
        <w:rPr>
          <w:rStyle w:val="NormalTok"/>
        </w:rPr>
        <w:t xml:space="preserve"> </w:t>
      </w:r>
      <w:r>
        <w:rPr>
          <w:rStyle w:val="VariableTok"/>
        </w:rPr>
        <w:t xml:space="preserve">True</w:t>
      </w:r>
      <w:r>
        <w:br/>
      </w:r>
      <w:r>
        <w:rPr>
          <w:rStyle w:val="NormalTok"/>
        </w:rPr>
        <w:t xml:space="preserve">        chosen.append(rate)</w:t>
      </w:r>
      <w:r>
        <w:br/>
      </w:r>
      <w:r>
        <w:rPr>
          <w:rStyle w:val="NormalTok"/>
        </w:rPr>
        <w:t xml:space="preserve">        </w:t>
      </w:r>
      <w:r>
        <w:rPr>
          <w:rStyle w:val="ControlFlowTok"/>
        </w:rPr>
        <w:t xml:space="preserve">if</w:t>
      </w:r>
      <w:r>
        <w:rPr>
          <w:rStyle w:val="NormalTok"/>
        </w:rPr>
        <w:t xml:space="preserve"> </w:t>
      </w:r>
      <w:r>
        <w:rPr>
          <w:rStyle w:val="BuiltInTok"/>
        </w:rPr>
        <w:t xml:space="preserve">buffer</w:t>
      </w:r>
      <w:r>
        <w:rPr>
          <w:rStyle w:val="NormalTok"/>
        </w:rPr>
        <w:t xml:space="preserve"> </w:t>
      </w:r>
      <w:r>
        <w:rPr>
          <w:rStyle w:val="OperatorTok"/>
        </w:rPr>
        <w:t xml:space="preserve">&gt;</w:t>
      </w:r>
      <w:r>
        <w:rPr>
          <w:rStyle w:val="NormalTok"/>
        </w:rPr>
        <w:t xml:space="preserve"> B_MAX </w:t>
      </w:r>
      <w:r>
        <w:rPr>
          <w:rStyle w:val="OperatorTok"/>
        </w:rPr>
        <w:t xml:space="preserve">-</w:t>
      </w:r>
      <w:r>
        <w:rPr>
          <w:rStyle w:val="NormalTok"/>
        </w:rPr>
        <w:t xml:space="preserve"> SEG:          </w:t>
      </w:r>
      <w:r>
        <w:rPr>
          <w:rStyle w:val="CommentTok"/>
        </w:rPr>
        <w:t xml:space="preserve"># buffer full: idle until room</w:t>
      </w:r>
      <w:r>
        <w:br/>
      </w:r>
      <w:r>
        <w:rPr>
          <w:rStyle w:val="NormalTok"/>
        </w:rPr>
        <w:t xml:space="preserve">            t </w:t>
      </w:r>
      <w:r>
        <w:rPr>
          <w:rStyle w:val="OperatorTok"/>
        </w:rPr>
        <w:t xml:space="preserve">+=</w:t>
      </w:r>
      <w:r>
        <w:rPr>
          <w:rStyle w:val="NormalTok"/>
        </w:rPr>
        <w:t xml:space="preserve"> </w:t>
      </w:r>
      <w:r>
        <w:rPr>
          <w:rStyle w:val="BuiltInTok"/>
        </w:rPr>
        <w:t xml:space="preserve">buffer</w:t>
      </w:r>
      <w:r>
        <w:rPr>
          <w:rStyle w:val="NormalTok"/>
        </w:rPr>
        <w:t xml:space="preserve"> </w:t>
      </w:r>
      <w:r>
        <w:rPr>
          <w:rStyle w:val="OperatorTok"/>
        </w:rPr>
        <w:t xml:space="preserve">-</w:t>
      </w:r>
      <w:r>
        <w:rPr>
          <w:rStyle w:val="NormalTok"/>
        </w:rPr>
        <w:t xml:space="preserve"> (B_MAX </w:t>
      </w:r>
      <w:r>
        <w:rPr>
          <w:rStyle w:val="OperatorTok"/>
        </w:rPr>
        <w:t xml:space="preserve">-</w:t>
      </w:r>
      <w:r>
        <w:rPr>
          <w:rStyle w:val="NormalTok"/>
        </w:rPr>
        <w:t xml:space="preserve"> SEG)</w:t>
      </w:r>
      <w:r>
        <w:br/>
      </w:r>
      <w:r>
        <w:rPr>
          <w:rStyle w:val="NormalTok"/>
        </w:rPr>
        <w:t xml:space="preserve">            </w:t>
      </w:r>
      <w:r>
        <w:rPr>
          <w:rStyle w:val="BuiltInTok"/>
        </w:rPr>
        <w:t xml:space="preserve">buffer</w:t>
      </w:r>
      <w:r>
        <w:rPr>
          <w:rStyle w:val="NormalTok"/>
        </w:rPr>
        <w:t xml:space="preserve"> </w:t>
      </w:r>
      <w:r>
        <w:rPr>
          <w:rStyle w:val="OperatorTok"/>
        </w:rPr>
        <w:t xml:space="preserve">=</w:t>
      </w:r>
      <w:r>
        <w:rPr>
          <w:rStyle w:val="NormalTok"/>
        </w:rPr>
        <w:t xml:space="preserve"> B_MAX </w:t>
      </w:r>
      <w:r>
        <w:rPr>
          <w:rStyle w:val="OperatorTok"/>
        </w:rPr>
        <w:t xml:space="preserve">-</w:t>
      </w:r>
      <w:r>
        <w:rPr>
          <w:rStyle w:val="NormalTok"/>
        </w:rPr>
        <w:t xml:space="preserve"> SEG</w:t>
      </w:r>
      <w:r>
        <w:br/>
      </w:r>
      <w:r>
        <w:rPr>
          <w:rStyle w:val="NormalTok"/>
        </w:rPr>
        <w:t xml:space="preserve">    switches </w:t>
      </w:r>
      <w:r>
        <w:rPr>
          <w:rStyle w:val="OperatorTok"/>
        </w:rPr>
        <w:t xml:space="preserve">=</w:t>
      </w:r>
      <w:r>
        <w:rPr>
          <w:rStyle w:val="NormalTok"/>
        </w:rPr>
        <w:t xml:space="preserve"> </w:t>
      </w:r>
      <w:r>
        <w:rPr>
          <w:rStyle w:val="BuiltInTok"/>
        </w:rPr>
        <w:t xml:space="preserve">sum</w:t>
      </w:r>
      <w:r>
        <w:rPr>
          <w:rStyle w:val="NormalTok"/>
        </w:rPr>
        <w:t xml:space="preserve">(a </w:t>
      </w:r>
      <w:r>
        <w:rPr>
          <w:rStyle w:val="OperatorTok"/>
        </w:rPr>
        <w:t xml:space="preserve">!=</w:t>
      </w:r>
      <w:r>
        <w:rPr>
          <w:rStyle w:val="NormalTok"/>
        </w:rPr>
        <w:t xml:space="preserve"> b </w:t>
      </w:r>
      <w:r>
        <w:rPr>
          <w:rStyle w:val="ControlFlowTok"/>
        </w:rPr>
        <w:t xml:space="preserve">for</w:t>
      </w:r>
      <w:r>
        <w:rPr>
          <w:rStyle w:val="NormalTok"/>
        </w:rPr>
        <w:t xml:space="preserve"> a, b </w:t>
      </w:r>
      <w:r>
        <w:rPr>
          <w:rStyle w:val="KeywordTok"/>
        </w:rPr>
        <w:t xml:space="preserve">in</w:t>
      </w:r>
      <w:r>
        <w:rPr>
          <w:rStyle w:val="NormalTok"/>
        </w:rPr>
        <w:t xml:space="preserve"> </w:t>
      </w:r>
      <w:r>
        <w:rPr>
          <w:rStyle w:val="BuiltInTok"/>
        </w:rPr>
        <w:t xml:space="preserve">zip</w:t>
      </w:r>
      <w:r>
        <w:rPr>
          <w:rStyle w:val="NormalTok"/>
        </w:rPr>
        <w:t xml:space="preserve">(chosen, chosen[</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(chosen) </w:t>
      </w:r>
      <w:r>
        <w:rPr>
          <w:rStyle w:val="OperatorTok"/>
        </w:rPr>
        <w:t xml:space="preserve">/</w:t>
      </w:r>
      <w:r>
        <w:rPr>
          <w:rStyle w:val="NormalTok"/>
        </w:rPr>
        <w:t xml:space="preserve"> </w:t>
      </w:r>
      <w:r>
        <w:rPr>
          <w:rStyle w:val="BuiltInTok"/>
        </w:rPr>
        <w:t xml:space="preserve">len</w:t>
      </w:r>
      <w:r>
        <w:rPr>
          <w:rStyle w:val="NormalTok"/>
        </w:rPr>
        <w:t xml:space="preserve">(chosen), stall, switches</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ntrolFlowTok"/>
        </w:rPr>
        <w:t xml:space="preserve">for</w:t>
      </w:r>
      <w:r>
        <w:rPr>
          <w:rStyle w:val="NormalTok"/>
        </w:rPr>
        <w:t xml:space="preserve"> name, rule </w:t>
      </w:r>
      <w:r>
        <w:rPr>
          <w:rStyle w:val="KeywordTok"/>
        </w:rPr>
        <w:t xml:space="preserve">in</w:t>
      </w:r>
      <w:r>
        <w:rPr>
          <w:rStyle w:val="NormalTok"/>
        </w:rPr>
        <w:t xml:space="preserve"> [(</w:t>
      </w:r>
      <w:r>
        <w:rPr>
          <w:rStyle w:val="StringTok"/>
        </w:rPr>
        <w:t xml:space="preserve">"throughput-based"</w:t>
      </w:r>
      <w:r>
        <w:rPr>
          <w:rStyle w:val="NormalTok"/>
        </w:rPr>
        <w:t xml:space="preserve">, throughput_rule), (</w:t>
      </w:r>
      <w:r>
        <w:rPr>
          <w:rStyle w:val="StringTok"/>
        </w:rPr>
        <w:t xml:space="preserve">"buffer-based"</w:t>
      </w:r>
      <w:r>
        <w:rPr>
          <w:rStyle w:val="NormalTok"/>
        </w:rPr>
        <w:t xml:space="preserve">, buffer_rule)]:</w:t>
      </w:r>
      <w:r>
        <w:br/>
      </w:r>
      <w:r>
        <w:rPr>
          <w:rStyle w:val="NormalTok"/>
        </w:rPr>
        <w:t xml:space="preserve">        avg, stall, switches </w:t>
      </w:r>
      <w:r>
        <w:rPr>
          <w:rStyle w:val="OperatorTok"/>
        </w:rPr>
        <w:t xml:space="preserve">=</w:t>
      </w:r>
      <w:r>
        <w:rPr>
          <w:rStyle w:val="NormalTok"/>
        </w:rPr>
        <w:t xml:space="preserve"> play(rule)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:&lt;17}</w:t>
      </w:r>
      <w:r>
        <w:rPr>
          <w:rStyle w:val="SpecialStringTok"/>
        </w:rPr>
        <w:t xml:space="preserve"> mean bitrate </w:t>
      </w:r>
      <w:r>
        <w:rPr>
          <w:rStyle w:val="SpecialCharTok"/>
        </w:rPr>
        <w:t xml:space="preserve">{</w:t>
      </w:r>
      <w:r>
        <w:rPr>
          <w:rStyle w:val="NormalTok"/>
        </w:rPr>
        <w:t xml:space="preserve">avg</w:t>
      </w:r>
      <w:r>
        <w:rPr>
          <w:rStyle w:val="SpecialCharTok"/>
        </w:rPr>
        <w:t xml:space="preserve">:4.2f}</w:t>
      </w:r>
      <w:r>
        <w:rPr>
          <w:rStyle w:val="SpecialStringTok"/>
        </w:rPr>
        <w:t xml:space="preserve"> Mb/s  stalled </w:t>
      </w:r>
      <w:r>
        <w:rPr>
          <w:rStyle w:val="SpecialCharTok"/>
        </w:rPr>
        <w:t xml:space="preserve">{</w:t>
      </w:r>
      <w:r>
        <w:rPr>
          <w:rStyle w:val="NormalTok"/>
        </w:rPr>
        <w:t xml:space="preserve">stall</w:t>
      </w:r>
      <w:r>
        <w:rPr>
          <w:rStyle w:val="SpecialCharTok"/>
        </w:rPr>
        <w:t xml:space="preserve">:4.1f}</w:t>
      </w:r>
      <w:r>
        <w:rPr>
          <w:rStyle w:val="SpecialStringTok"/>
        </w:rPr>
        <w:t xml:space="preserve"> s  "</w:t>
      </w:r>
      <w:r>
        <w:br/>
      </w:r>
      <w:r>
        <w:rPr>
          <w:rStyle w:val="NormalTok"/>
        </w:rPr>
        <w:t xml:space="preserve">              </w:t>
      </w:r>
      <w:r>
        <w:rPr>
          <w:rStyle w:val="SpecialStringTok"/>
        </w:rPr>
        <w:t xml:space="preserve">f"switches </w:t>
      </w:r>
      <w:r>
        <w:rPr>
          <w:rStyle w:val="SpecialCharTok"/>
        </w:rPr>
        <w:t xml:space="preserve">{</w:t>
      </w:r>
      <w:r>
        <w:rPr>
          <w:rStyle w:val="NormalTok"/>
        </w:rPr>
        <w:t xml:space="preserve">switches</w:t>
      </w:r>
      <w:r>
        <w:rPr>
          <w:rStyle w:val="SpecialCharTok"/>
        </w:rPr>
        <w:t xml:space="preserve">}</w:t>
      </w:r>
      <w:r>
        <w:rPr>
          <w:rStyle w:val="SpecialStringTok"/>
        </w:rPr>
        <w:t xml:space="preserve">"</w:t>
      </w:r>
      <w:r>
        <w:rPr>
          <w:rStyle w:val="NormalTok"/>
        </w:rPr>
        <w:t xml:space="preserve">)</w:t>
      </w:r>
    </w:p>
    <w:p>
      <w:pPr>
        <w:pStyle w:val="FirstParagraph"/>
      </w:pPr>
      <w:r>
        <w:t xml:space="preserve">Output:</w:t>
      </w:r>
    </w:p>
    <w:p>
      <w:pPr>
        <w:pStyle w:val="SourceCode"/>
      </w:pPr>
      <w:r>
        <w:rPr>
          <w:rStyle w:val="VerbatimChar"/>
        </w:rPr>
        <w:t xml:space="preserve">throughput-based  mean bitrate 3.48 Mb/s  stalled 17.3 s  switches 9</w:t>
      </w:r>
      <w:r>
        <w:br/>
      </w:r>
      <w:r>
        <w:rPr>
          <w:rStyle w:val="VerbatimChar"/>
        </w:rPr>
        <w:t xml:space="preserve">buffer-based      mean bitrate 3.64 Mb/s  stalled  0.0 s  switches 15</w:t>
      </w:r>
    </w:p>
    <w:p>
      <w:pPr>
        <w:pStyle w:val="FirstParagraph"/>
      </w:pPr>
      <w:r>
        <w:t xml:space="preserve">What to notice:</w:t>
      </w:r>
    </w:p>
    <w:p>
      <w:pPr>
        <w:numPr>
          <w:ilvl w:val="0"/>
          <w:numId w:val="1701"/>
        </w:numPr>
        <w:pStyle w:val="Compact"/>
      </w:pPr>
      <w:r>
        <w:t xml:space="preserve">Just before the collapse at</w:t>
      </w:r>
      <w:r>
        <w:t xml:space="preserve"> </w:t>
      </w:r>
      <m:oMath>
        <m:r>
          <m:t>t</m:t>
        </m:r>
        <m:r>
          <m:rPr>
            <m:sty m:val="p"/>
          </m:rPr>
          <m:t>=</m:t>
        </m:r>
        <m:r>
          <m:t>30</m:t>
        </m:r>
      </m:oMath>
      <w:r>
        <w:t xml:space="preserve"> </w:t>
      </w:r>
      <w:r>
        <w:t xml:space="preserve">s, both rules request a 4.5 Mb/s segment (18 Mb), which takes about 29 s at 0.6 Mb/s. The throughput rule ramped up at once and holds only 15 s of buffer, so the video freezes; the buffer rule started conservatively, built 38.5 s of buffer, and rides it out.</w:t>
      </w:r>
    </w:p>
    <w:p>
      <w:pPr>
        <w:numPr>
          <w:ilvl w:val="0"/>
          <w:numId w:val="1701"/>
        </w:numPr>
        <w:pStyle w:val="Compact"/>
      </w:pPr>
      <w:r>
        <w:t xml:space="preserve">Afterwards the throughput rule’s history still contains fast samples, so it overestimates and stalls again. The buffer rule oscillates between 0.4 and 0.8 Mb/s near its reservoir, hence more switches; real players add hysteresis.</w:t>
      </w:r>
    </w:p>
    <w:p>
      <w:pPr>
        <w:numPr>
          <w:ilvl w:val="0"/>
          <w:numId w:val="1701"/>
        </w:numPr>
        <w:pStyle w:val="Compact"/>
      </w:pPr>
      <w:r>
        <w:t xml:space="preserve">This is one synthetic trace, an illustration rather than a benchmark.</w:t>
      </w:r>
    </w:p>
    <w:p>
      <w:pPr>
        <w:pStyle w:val="CalloutIndustry"/>
      </w:pPr>
      <w:r>
        <w:rPr>
          <w:bCs/>
          <w:b/>
        </w:rPr>
        <w:t xml:space="preserve">INDUSTRY EXAMPLE</w:t>
      </w:r>
    </w:p>
    <w:p>
      <w:pPr>
        <w:pStyle w:val="CalloutIndustry"/>
      </w:pPr>
      <w:r>
        <w:rPr>
          <w:bCs/>
          <w:b/>
        </w:rPr>
        <w:t xml:space="preserve">Netflix and buffer-based adaptation.</w:t>
      </w:r>
      <w:r>
        <w:t xml:space="preserve"> </w:t>
      </w:r>
      <w:r>
        <w:t xml:space="preserve">Netflix and Stanford researchers ran buffer-based algorithms in a randomized experiment on Netflix’s production service. They reported that BBA reduced the rebuffer rate by roughly 10–20% compared with the then-default ABR algorithm while delivering a similar average video rate, and that throughput estimates remained useful during startup, when the buffer is still filling [Huang et al. 2014].</w:t>
      </w:r>
      <w:r>
        <w:t xml:space="preserve"> </w:t>
      </w:r>
      <w:r>
        <w:rPr>
          <w:iCs/>
          <w:i/>
        </w:rPr>
        <w:t xml:space="preserve">Evidence: Primary</w:t>
      </w:r>
      <w:r>
        <w:t xml:space="preserve"> </w:t>
      </w:r>
      <w:r>
        <w:t xml:space="preserve">— [Huang et al. 2014]</w:t>
      </w:r>
    </w:p>
    <w:bookmarkEnd w:id="2418"/>
    <w:bookmarkStart w:id="2419" w:name="live-latency"/>
    <w:p>
      <w:pPr>
        <w:pStyle w:val="Heading3"/>
      </w:pPr>
      <w:r>
        <w:t xml:space="preserve">21.8.4 Live latency</w:t>
      </w:r>
    </w:p>
    <w:p>
      <w:pPr>
        <w:pStyle w:val="FirstParagraph"/>
      </w:pPr>
      <w:r>
        <w:t xml:space="preserve">For live video, the player starts several segments behind the newest one so that it has a buffer; RFC 8216 says a client should not start playback less than three target durations from the end of the playlist [RFC 8216].</w:t>
      </w:r>
    </w:p>
    <w:p>
      <w:pPr>
        <w:pStyle w:val="CalloutFormula"/>
      </w:pPr>
      <w:r>
        <w:rPr>
          <w:bCs/>
          <w:b/>
        </w:rPr>
        <w:t xml:space="preserve">FORMULA</w:t>
      </w:r>
    </w:p>
    <w:p>
      <w:pPr>
        <w:pStyle w:val="CalloutFormula"/>
      </w:pPr>
      <w:r>
        <w:rPr>
          <w:bCs/>
          <w:b/>
        </w:rPr>
        <w:t xml:space="preserve">Glass-to-glass latency of segmented live video</w:t>
      </w:r>
    </w:p>
    <w:p>
      <w:pPr>
        <w:pStyle w:val="CalloutFormula"/>
      </w:pPr>
      <m:oMathPara>
        <m:oMathParaPr>
          <m:jc m:val="center"/>
        </m:oMathParaPr>
        <m:oMath>
          <m:r>
            <m:t>L</m:t>
          </m:r>
          <m:r>
            <m:rPr>
              <m:sty m:val="p"/>
            </m:rPr>
            <m:t>≈</m:t>
          </m:r>
          <m:sSub>
            <m:e>
              <m:r>
                <m:t>t</m:t>
              </m:r>
            </m:e>
            <m:sub>
              <m:r>
                <m:rPr>
                  <m:nor/>
                  <m:sty m:val="p"/>
                </m:rPr>
                <m:t>enc</m:t>
              </m:r>
            </m:sub>
          </m:sSub>
          <m:r>
            <m:rPr>
              <m:sty m:val="p"/>
            </m:rPr>
            <m:t>+</m:t>
          </m:r>
          <m:r>
            <m:t>k</m:t>
          </m:r>
          <m:r>
            <m:rPr>
              <m:sty m:val="p"/>
            </m:rPr>
            <m:t>×</m:t>
          </m:r>
          <m:sSub>
            <m:e>
              <m:r>
                <m:t>D</m:t>
              </m:r>
            </m:e>
            <m:sub>
              <m:r>
                <m:rPr>
                  <m:nor/>
                  <m:sty m:val="p"/>
                </m:rPr>
                <m:t>seg</m:t>
              </m:r>
            </m:sub>
          </m:sSub>
          <m:r>
            <m:rPr>
              <m:sty m:val="p"/>
            </m:rPr>
            <m:t>+</m:t>
          </m:r>
          <m:sSub>
            <m:e>
              <m:r>
                <m:t>t</m:t>
              </m:r>
            </m:e>
            <m:sub>
              <m:r>
                <m:rPr>
                  <m:nor/>
                  <m:sty m:val="p"/>
                </m:rPr>
                <m:t>poll</m:t>
              </m:r>
            </m:sub>
          </m:sSub>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t</m:t>
                  </m:r>
                </m:e>
                <m:sub>
                  <m:r>
                    <m:rPr>
                      <m:nor/>
                      <m:sty m:val="p"/>
                    </m:rPr>
                    <m:t>enc</m:t>
                  </m:r>
                </m:sub>
              </m:sSub>
            </m:oMath>
          </w:p>
        </w:tc>
        <w:tc>
          <w:tcPr/>
          <w:p>
            <w:pPr>
              <w:pStyle w:val="Compact"/>
              <w:jc w:val="left"/>
            </w:pPr>
            <w:r>
              <w:t xml:space="preserve">Capture, encode and package delay</w:t>
            </w:r>
          </w:p>
        </w:tc>
        <w:tc>
          <w:tcPr/>
          <w:p>
            <w:pPr>
              <w:pStyle w:val="Compact"/>
              <w:jc w:val="left"/>
            </w:pPr>
            <w:r>
              <w:t xml:space="preserve">s</w:t>
            </w:r>
          </w:p>
        </w:tc>
      </w:tr>
      <w:tr>
        <w:tc>
          <w:tcPr/>
          <w:p>
            <w:pPr>
              <w:pStyle w:val="Compact"/>
              <w:jc w:val="left"/>
            </w:pPr>
            <m:oMath>
              <m:r>
                <m:t>k</m:t>
              </m:r>
            </m:oMath>
          </w:p>
        </w:tc>
        <w:tc>
          <w:tcPr/>
          <w:p>
            <w:pPr>
              <w:pStyle w:val="Compact"/>
              <w:jc w:val="left"/>
            </w:pPr>
            <w:r>
              <w:t xml:space="preserve">Segments (or parts) held back by the player</w:t>
            </w:r>
          </w:p>
        </w:tc>
        <w:tc>
          <w:tcPr/>
          <w:p>
            <w:pPr>
              <w:pStyle w:val="Compact"/>
              <w:jc w:val="left"/>
            </w:pPr>
            <w:r>
              <w:t xml:space="preserve">count</w:t>
            </w:r>
          </w:p>
        </w:tc>
      </w:tr>
      <w:tr>
        <w:tc>
          <w:tcPr/>
          <w:p>
            <w:pPr>
              <w:pStyle w:val="Compact"/>
              <w:jc w:val="left"/>
            </w:pPr>
            <m:oMath>
              <m:sSub>
                <m:e>
                  <m:r>
                    <m:t>D</m:t>
                  </m:r>
                </m:e>
                <m:sub>
                  <m:r>
                    <m:rPr>
                      <m:nor/>
                      <m:sty m:val="p"/>
                    </m:rPr>
                    <m:t>seg</m:t>
                  </m:r>
                </m:sub>
              </m:sSub>
            </m:oMath>
          </w:p>
        </w:tc>
        <w:tc>
          <w:tcPr/>
          <w:p>
            <w:pPr>
              <w:pStyle w:val="Compact"/>
              <w:jc w:val="left"/>
            </w:pPr>
            <w:r>
              <w:t xml:space="preserve">Segment (or part) duration</w:t>
            </w:r>
          </w:p>
        </w:tc>
        <w:tc>
          <w:tcPr/>
          <w:p>
            <w:pPr>
              <w:pStyle w:val="Compact"/>
              <w:jc w:val="left"/>
            </w:pPr>
            <w:r>
              <w:t xml:space="preserve">s</w:t>
            </w:r>
          </w:p>
        </w:tc>
      </w:tr>
      <w:tr>
        <w:tc>
          <w:tcPr/>
          <w:p>
            <w:pPr>
              <w:pStyle w:val="Compact"/>
              <w:jc w:val="left"/>
            </w:pPr>
            <m:oMath>
              <m:sSub>
                <m:e>
                  <m:r>
                    <m:t>t</m:t>
                  </m:r>
                </m:e>
                <m:sub>
                  <m:r>
                    <m:rPr>
                      <m:nor/>
                      <m:sty m:val="p"/>
                    </m:rPr>
                    <m:t>poll</m:t>
                  </m:r>
                </m:sub>
              </m:sSub>
            </m:oMath>
          </w:p>
        </w:tc>
        <w:tc>
          <w:tcPr/>
          <w:p>
            <w:pPr>
              <w:pStyle w:val="Compact"/>
              <w:jc w:val="left"/>
            </w:pPr>
            <w:r>
              <w:t xml:space="preserve">Delay before the player learns a new segment exists, plus download</w:t>
            </w:r>
          </w:p>
        </w:tc>
        <w:tc>
          <w:tcPr/>
          <w:p>
            <w:pPr>
              <w:pStyle w:val="Compact"/>
              <w:jc w:val="left"/>
            </w:pPr>
            <w:r>
              <w:t xml:space="preserve">s</w:t>
            </w:r>
          </w:p>
        </w:tc>
      </w:tr>
      <w:tr>
        <w:tc>
          <w:tcPr/>
          <w:p>
            <w:pPr>
              <w:pStyle w:val="Compact"/>
              <w:jc w:val="left"/>
            </w:pPr>
            <m:oMath>
              <m:r>
                <m:t>L</m:t>
              </m:r>
            </m:oMath>
          </w:p>
        </w:tc>
        <w:tc>
          <w:tcPr/>
          <w:p>
            <w:pPr>
              <w:pStyle w:val="Compact"/>
              <w:jc w:val="left"/>
            </w:pPr>
            <w:r>
              <w:t xml:space="preserve">Delay from camera to screen</w:t>
            </w:r>
          </w:p>
        </w:tc>
        <w:tc>
          <w:tcPr/>
          <w:p>
            <w:pPr>
              <w:pStyle w:val="Compact"/>
              <w:jc w:val="left"/>
            </w:pPr>
            <w:r>
              <w:t xml:space="preserve">s</w:t>
            </w:r>
          </w:p>
        </w:tc>
      </w:tr>
    </w:tbl>
    <w:p>
      <w:pPr>
        <w:pStyle w:val="CalloutExample"/>
      </w:pPr>
      <w:r>
        <w:rPr>
          <w:bCs/>
          <w:b/>
        </w:rPr>
        <w:t xml:space="preserve">WORKED EXAMPLE</w:t>
      </w:r>
    </w:p>
    <w:p>
      <w:pPr>
        <w:pStyle w:val="CalloutExample"/>
      </w:pPr>
      <w:r>
        <w:rPr>
          <w:bCs/>
          <w:b/>
        </w:rPr>
        <w:t xml:space="preserve">Worked example — Classic HLS versus low-latency parts.</w:t>
      </w:r>
      <w:r>
        <w:t xml:space="preserve"> </w:t>
      </w:r>
      <w:r>
        <w:t xml:space="preserve">Classic:</w:t>
      </w:r>
      <w:r>
        <w:t xml:space="preserve"> </w:t>
      </w:r>
      <m:oMath>
        <m:sSub>
          <m:e>
            <m:r>
              <m:t>t</m:t>
            </m:r>
          </m:e>
          <m:sub>
            <m:r>
              <m:rPr>
                <m:nor/>
                <m:sty m:val="p"/>
              </m:rPr>
              <m:t>enc</m:t>
            </m:r>
          </m:sub>
        </m:sSub>
        <m:r>
          <m:rPr>
            <m:sty m:val="p"/>
          </m:rPr>
          <m:t>=</m:t>
        </m:r>
        <m:r>
          <m:t>2</m:t>
        </m:r>
      </m:oMath>
      <w:r>
        <w:t xml:space="preserve"> </w:t>
      </w:r>
      <w:r>
        <w:t xml:space="preserve">s,</w:t>
      </w:r>
      <w:r>
        <w:t xml:space="preserve"> </w:t>
      </w:r>
      <m:oMath>
        <m:r>
          <m:t>k</m:t>
        </m:r>
        <m:r>
          <m:rPr>
            <m:sty m:val="p"/>
          </m:rPr>
          <m:t>=</m:t>
        </m:r>
        <m:r>
          <m:t>3</m:t>
        </m:r>
      </m:oMath>
      <w:r>
        <w:t xml:space="preserve">,</w:t>
      </w:r>
      <w:r>
        <w:t xml:space="preserve"> </w:t>
      </w:r>
      <m:oMath>
        <m:sSub>
          <m:e>
            <m:r>
              <m:t>D</m:t>
            </m:r>
          </m:e>
          <m:sub>
            <m:r>
              <m:rPr>
                <m:nor/>
                <m:sty m:val="p"/>
              </m:rPr>
              <m:t>seg</m:t>
            </m:r>
          </m:sub>
        </m:sSub>
        <m:r>
          <m:rPr>
            <m:sty m:val="p"/>
          </m:rPr>
          <m:t>=</m:t>
        </m:r>
        <m:r>
          <m:t>6</m:t>
        </m:r>
      </m:oMath>
      <w:r>
        <w:t xml:space="preserve"> </w:t>
      </w:r>
      <w:r>
        <w:t xml:space="preserve">s,</w:t>
      </w:r>
      <w:r>
        <w:t xml:space="preserve"> </w:t>
      </w:r>
      <m:oMath>
        <m:sSub>
          <m:e>
            <m:r>
              <m:t>t</m:t>
            </m:r>
          </m:e>
          <m:sub>
            <m:r>
              <m:rPr>
                <m:nor/>
                <m:sty m:val="p"/>
              </m:rPr>
              <m:t>poll</m:t>
            </m:r>
          </m:sub>
        </m:sSub>
        <m:r>
          <m:rPr>
            <m:sty m:val="p"/>
          </m:rPr>
          <m:t>≈</m:t>
        </m:r>
        <m:r>
          <m:t>3</m:t>
        </m:r>
      </m:oMath>
      <w:r>
        <w:t xml:space="preserve"> </w:t>
      </w:r>
      <w:r>
        <w:t xml:space="preserve">s, so</w:t>
      </w:r>
      <w:r>
        <w:t xml:space="preserve"> </w:t>
      </w:r>
      <m:oMath>
        <m:r>
          <m:t>L</m:t>
        </m:r>
        <m:r>
          <m:rPr>
            <m:sty m:val="p"/>
          </m:rPr>
          <m:t>≈</m:t>
        </m:r>
        <m:r>
          <m:t>2</m:t>
        </m:r>
        <m:r>
          <m:rPr>
            <m:sty m:val="p"/>
          </m:rPr>
          <m:t>+</m:t>
        </m:r>
        <m:r>
          <m:t>18</m:t>
        </m:r>
        <m:r>
          <m:rPr>
            <m:sty m:val="p"/>
          </m:rPr>
          <m:t>+</m:t>
        </m:r>
        <m:r>
          <m:t>3</m:t>
        </m:r>
        <m:r>
          <m:rPr>
            <m:sty m:val="p"/>
          </m:rPr>
          <m:t>=</m:t>
        </m:r>
        <m:r>
          <m:t>23</m:t>
        </m:r>
      </m:oMath>
      <w:r>
        <w:t xml:space="preserve"> </w:t>
      </w:r>
      <w:r>
        <w:t xml:space="preserve">s. With 1 s parts and blocking playlist reloads:</w:t>
      </w:r>
      <w:r>
        <w:t xml:space="preserve"> </w:t>
      </w:r>
      <m:oMath>
        <m:r>
          <m:t>L</m:t>
        </m:r>
        <m:r>
          <m:rPr>
            <m:sty m:val="p"/>
          </m:rPr>
          <m:t>≈</m:t>
        </m:r>
        <m:r>
          <m:t>1</m:t>
        </m:r>
        <m:r>
          <m:rPr>
            <m:sty m:val="p"/>
          </m:rPr>
          <m:t>+</m:t>
        </m:r>
        <m:r>
          <m:t>3</m:t>
        </m:r>
        <m:r>
          <m:rPr>
            <m:sty m:val="p"/>
          </m:rPr>
          <m:t>×</m:t>
        </m:r>
        <m:r>
          <m:t>1</m:t>
        </m:r>
        <m:r>
          <m:rPr>
            <m:sty m:val="p"/>
          </m:rPr>
          <m:t>+</m:t>
        </m:r>
        <m:r>
          <m:t>0.5</m:t>
        </m:r>
        <m:r>
          <m:rPr>
            <m:sty m:val="p"/>
          </m:rPr>
          <m:t>=</m:t>
        </m:r>
        <m:r>
          <m:t>4.5</m:t>
        </m:r>
      </m:oMath>
      <w:r>
        <w:t xml:space="preserve"> </w:t>
      </w:r>
      <w:r>
        <w:t xml:space="preserve">s.</w:t>
      </w:r>
    </w:p>
    <w:p>
      <w:pPr>
        <w:pStyle w:val="CalloutExample"/>
      </w:pPr>
      <w:r>
        <w:rPr>
          <w:bCs/>
          <w:b/>
        </w:rPr>
        <w:t xml:space="preserve">Interpretation.</w:t>
      </w:r>
      <w:r>
        <w:t xml:space="preserve"> </w:t>
      </w:r>
      <w:r>
        <w:t xml:space="preserve">Segment duration dominates.</w:t>
      </w:r>
      <w:r>
        <w:t xml:space="preserve"> </w:t>
      </w:r>
      <w:r>
        <w:rPr>
          <w:bCs/>
          <w:b/>
        </w:rPr>
        <w:t xml:space="preserve">Engineering implication.</w:t>
      </w:r>
      <w:r>
        <w:t xml:space="preserve"> </w:t>
      </w:r>
      <w:r>
        <w:t xml:space="preserve">Cutting latency means smaller units and push-like signaling, which multiplies requests per viewer and makes request collapsing at the CDN essential.</w:t>
      </w:r>
    </w:p>
    <w:p>
      <w:pPr>
        <w:pStyle w:val="BodyText"/>
      </w:pPr>
      <w:r>
        <w:rPr>
          <w:bCs/>
          <w:b/>
        </w:rPr>
        <w:t xml:space="preserve">Low-Latency HLS</w:t>
      </w:r>
      <w:r>
        <w:t xml:space="preserve"> </w:t>
      </w:r>
      <w:r>
        <w:t xml:space="preserve">(introduced by Apple in 2019) adds</w:t>
      </w:r>
      <w:r>
        <w:t xml:space="preserve"> </w:t>
      </w:r>
      <w:r>
        <w:rPr>
          <w:bCs/>
          <w:b/>
        </w:rPr>
        <w:t xml:space="preserve">partial segments</w:t>
      </w:r>
      <w:r>
        <w:t xml:space="preserve"> </w:t>
      </w:r>
      <w:r>
        <w:t xml:space="preserve">published while the full segment is still being encoded,</w:t>
      </w:r>
      <w:r>
        <w:t xml:space="preserve"> </w:t>
      </w:r>
      <w:r>
        <w:rPr>
          <w:bCs/>
          <w:b/>
        </w:rPr>
        <w:t xml:space="preserve">blocking playlist reloads</w:t>
      </w:r>
      <w:r>
        <w:t xml:space="preserve"> </w:t>
      </w:r>
      <w:r>
        <w:t xml:space="preserve">(the edge holds a playlist request until the next part exists, removing polling delay) and</w:t>
      </w:r>
      <w:r>
        <w:t xml:space="preserve"> </w:t>
      </w:r>
      <w:r>
        <w:rPr>
          <w:bCs/>
          <w:b/>
        </w:rPr>
        <w:t xml:space="preserve">preload hints</w:t>
      </w:r>
      <w:r>
        <w:t xml:space="preserve"> </w:t>
      </w:r>
      <w:r>
        <w:t xml:space="preserve">[Apple Docs: Low-Latency HLS].</w:t>
      </w:r>
      <w:r>
        <w:t xml:space="preserve"> </w:t>
      </w:r>
      <w:r>
        <w:rPr>
          <w:bCs/>
          <w:b/>
        </w:rPr>
        <w:t xml:space="preserve">Low-latency DASH</w:t>
      </w:r>
      <w:r>
        <w:t xml:space="preserve"> </w:t>
      </w:r>
      <w:r>
        <w:t xml:space="preserve">achieves similar results by delivering CMAF chunks of a segment with HTTP chunked transfer as they are encoded. Both demand CDNs that can hold requests open and stream objects that are still being written.</w:t>
      </w:r>
    </w:p>
    <w:bookmarkEnd w:id="2419"/>
    <w:bookmarkEnd w:id="2420"/>
    <w:bookmarkStart w:id="2421" w:name="edge-computing-on-cdns"/>
    <w:p>
      <w:pPr>
        <w:pStyle w:val="Heading2"/>
      </w:pPr>
      <w:r>
        <w:t xml:space="preserve">21.9 Edge computing on CDNs</w:t>
      </w:r>
    </w:p>
    <w:p>
      <w:pPr>
        <w:pStyle w:val="FirstParagraph"/>
      </w:pPr>
      <w:r>
        <w:t xml:space="preserve">Since every request already passes through a programmable proxy 10 ms from the user, you can run your own code there: validating tokens, A/B-test assignment, redirects, image-format choice, custom cache keys, page assembly. The problem is isolation: thousands of customers’ code must share each server safely and start far faster than a container or virtual machine can.</w:t>
      </w:r>
    </w:p>
    <w:p>
      <w:pPr>
        <w:pStyle w:val="BodyText"/>
      </w:pPr>
      <w:r>
        <w:rPr>
          <w:bCs/>
          <w:b/>
        </w:rPr>
        <w:t xml:space="preserve">Table 21.7 — Edge compute runtimes (brief; as of 2026).</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Platform</w:t>
            </w:r>
          </w:p>
        </w:tc>
        <w:tc>
          <w:tcPr/>
          <w:p>
            <w:pPr>
              <w:pStyle w:val="Compact"/>
              <w:jc w:val="left"/>
            </w:pPr>
            <w:r>
              <w:t xml:space="preserve">Isolation model</w:t>
            </w:r>
          </w:p>
        </w:tc>
        <w:tc>
          <w:tcPr/>
          <w:p>
            <w:pPr>
              <w:pStyle w:val="Compact"/>
              <w:jc w:val="left"/>
            </w:pPr>
            <w:r>
              <w:t xml:space="preserve">Where it runs</w:t>
            </w:r>
          </w:p>
        </w:tc>
        <w:tc>
          <w:tcPr/>
          <w:p>
            <w:pPr>
              <w:pStyle w:val="Compact"/>
              <w:jc w:val="left"/>
            </w:pPr>
            <w:r>
              <w:t xml:space="preserve">Notable limits and traits</w:t>
            </w:r>
          </w:p>
        </w:tc>
      </w:tr>
      <w:tr>
        <w:tc>
          <w:tcPr/>
          <w:p>
            <w:pPr>
              <w:pStyle w:val="Compact"/>
              <w:jc w:val="left"/>
            </w:pPr>
            <w:r>
              <w:t xml:space="preserve">Cloudflare Workers</w:t>
            </w:r>
          </w:p>
        </w:tc>
        <w:tc>
          <w:tcPr/>
          <w:p>
            <w:pPr>
              <w:pStyle w:val="Compact"/>
              <w:jc w:val="left"/>
            </w:pPr>
            <w:r>
              <w:t xml:space="preserve">V8</w:t>
            </w:r>
            <w:r>
              <w:t xml:space="preserve"> </w:t>
            </w:r>
            <w:r>
              <w:rPr>
                <w:bCs/>
                <w:b/>
              </w:rPr>
              <w:t xml:space="preserve">isolates</w:t>
            </w:r>
            <w:r>
              <w:t xml:space="preserve">: many customers’ scripts in one process, each in its own JavaScript heap</w:t>
            </w:r>
          </w:p>
        </w:tc>
        <w:tc>
          <w:tcPr/>
          <w:p>
            <w:pPr>
              <w:pStyle w:val="Compact"/>
              <w:jc w:val="left"/>
            </w:pPr>
            <w:r>
              <w:t xml:space="preserve">Every Cloudflare data center</w:t>
            </w:r>
          </w:p>
        </w:tc>
        <w:tc>
          <w:tcPr/>
          <w:p>
            <w:pPr>
              <w:pStyle w:val="Compact"/>
              <w:jc w:val="left"/>
            </w:pPr>
            <w:r>
              <w:t xml:space="preserve">JavaScript and WebAssembly; isolates start in milliseconds, avoiding container cold starts [Bloom 2018]</w:t>
            </w:r>
          </w:p>
        </w:tc>
      </w:tr>
      <w:tr>
        <w:tc>
          <w:tcPr/>
          <w:p>
            <w:pPr>
              <w:pStyle w:val="Compact"/>
              <w:jc w:val="left"/>
            </w:pPr>
            <w:r>
              <w:t xml:space="preserve">CloudFront Functions</w:t>
            </w:r>
          </w:p>
        </w:tc>
        <w:tc>
          <w:tcPr/>
          <w:p>
            <w:pPr>
              <w:pStyle w:val="Compact"/>
              <w:jc w:val="left"/>
            </w:pPr>
            <w:r>
              <w:t xml:space="preserve">Lightweight JavaScript runtime</w:t>
            </w:r>
          </w:p>
        </w:tc>
        <w:tc>
          <w:tcPr/>
          <w:p>
            <w:pPr>
              <w:pStyle w:val="Compact"/>
              <w:jc w:val="left"/>
            </w:pPr>
            <w:r>
              <w:t xml:space="preserve">CloudFront edge locations</w:t>
            </w:r>
          </w:p>
        </w:tc>
        <w:tc>
          <w:tcPr/>
          <w:p>
            <w:pPr>
              <w:pStyle w:val="Compact"/>
              <w:jc w:val="left"/>
            </w:pPr>
            <w:r>
              <w:t xml:space="preserve">Viewer request and response only; sub-millisecond execution budget; no network calls [AWS 2021]</w:t>
            </w:r>
          </w:p>
        </w:tc>
      </w:tr>
      <w:tr>
        <w:tc>
          <w:tcPr/>
          <w:p>
            <w:pPr>
              <w:pStyle w:val="Compact"/>
              <w:jc w:val="left"/>
            </w:pPr>
            <w:r>
              <w:t xml:space="preserve">Lambda@Edge</w:t>
            </w:r>
          </w:p>
        </w:tc>
        <w:tc>
          <w:tcPr/>
          <w:p>
            <w:pPr>
              <w:pStyle w:val="Compact"/>
              <w:jc w:val="left"/>
            </w:pPr>
            <w:r>
              <w:t xml:space="preserve">AWS Lambda functions</w:t>
            </w:r>
          </w:p>
        </w:tc>
        <w:tc>
          <w:tcPr/>
          <w:p>
            <w:pPr>
              <w:pStyle w:val="Compact"/>
              <w:jc w:val="left"/>
            </w:pPr>
            <w:r>
              <w:t xml:space="preserve">Regional edge caches</w:t>
            </w:r>
          </w:p>
        </w:tc>
        <w:tc>
          <w:tcPr/>
          <w:p>
            <w:pPr>
              <w:pStyle w:val="Compact"/>
              <w:jc w:val="left"/>
            </w:pPr>
            <w:r>
              <w:t xml:space="preserve">Node.js and Python; network access; up to 5 s on viewer triggers and 30 s on origin triggers [AWS 2021]</w:t>
            </w:r>
          </w:p>
        </w:tc>
      </w:tr>
      <w:tr>
        <w:tc>
          <w:tcPr/>
          <w:p>
            <w:pPr>
              <w:pStyle w:val="Compact"/>
              <w:jc w:val="left"/>
            </w:pPr>
            <w:r>
              <w:t xml:space="preserve">Fastly Compute</w:t>
            </w:r>
          </w:p>
        </w:tc>
        <w:tc>
          <w:tcPr/>
          <w:p>
            <w:pPr>
              <w:pStyle w:val="Compact"/>
              <w:jc w:val="left"/>
            </w:pPr>
            <w:r>
              <w:t xml:space="preserve">WebAssembly module instantiated per request</w:t>
            </w:r>
          </w:p>
        </w:tc>
        <w:tc>
          <w:tcPr/>
          <w:p>
            <w:pPr>
              <w:pStyle w:val="Compact"/>
              <w:jc w:val="left"/>
            </w:pPr>
            <w:r>
              <w:t xml:space="preserve">Fastly PoPs</w:t>
            </w:r>
          </w:p>
        </w:tc>
        <w:tc>
          <w:tcPr/>
          <w:p>
            <w:pPr>
              <w:pStyle w:val="Compact"/>
              <w:jc w:val="left"/>
            </w:pPr>
            <w:r>
              <w:t xml:space="preserve">Any language compiling to Wasm (Rust, Go, JavaScript); sandbox per request [Fastly Docs: Compute]</w:t>
            </w:r>
          </w:p>
        </w:tc>
      </w:tr>
    </w:tbl>
    <w:p>
      <w:pPr>
        <w:pStyle w:val="BodyText"/>
      </w:pPr>
      <w:r>
        <w:t xml:space="preserve">The design rule is to keep edge code stateless and cheap, and to treat edge storage (key-value stores, durable objects) as a separate consistency question. Runtimes, cold starts, Firecracker microVMs and edge data patterns are covered in depth in Chapter 48.</w:t>
      </w:r>
    </w:p>
    <w:bookmarkEnd w:id="2421"/>
    <w:bookmarkStart w:id="2426" w:name="netflix-open-connect"/>
    <w:p>
      <w:pPr>
        <w:pStyle w:val="Heading2"/>
      </w:pPr>
      <w:r>
        <w:t xml:space="preserve">21.10 Netflix Open Connect</w:t>
      </w:r>
    </w:p>
    <w:p>
      <w:pPr>
        <w:pStyle w:val="FirstParagraph"/>
      </w:pPr>
      <w:r>
        <w:t xml:space="preserve">Netflix is the extreme case of video delivery: at peak it is one of the largest sources of Internet traffic, and its content is long-form, licensed, and therefore known in advance. Since 2012 it has delivered video through its own CDN,</w:t>
      </w:r>
      <w:r>
        <w:t xml:space="preserve"> </w:t>
      </w:r>
      <w:r>
        <w:rPr>
          <w:bCs/>
          <w:b/>
        </w:rPr>
        <w:t xml:space="preserve">Open Connect</w:t>
      </w:r>
      <w:r>
        <w:t xml:space="preserve">.</w:t>
      </w:r>
    </w:p>
    <w:p>
      <w:pPr>
        <w:pStyle w:val="CalloutIndustry"/>
      </w:pPr>
      <w:r>
        <w:rPr>
          <w:bCs/>
          <w:b/>
        </w:rPr>
        <w:t xml:space="preserve">INDUSTRY EXAMPLE</w:t>
      </w:r>
    </w:p>
    <w:p>
      <w:pPr>
        <w:pStyle w:val="CalloutIndustry"/>
      </w:pPr>
      <w:r>
        <w:rPr>
          <w:bCs/>
          <w:b/>
        </w:rPr>
        <w:t xml:space="preserve">Netflix Open Connect.</w:t>
      </w:r>
      <w:r>
        <w:t xml:space="preserve"> </w:t>
      </w:r>
      <w:r>
        <w:t xml:space="preserve">Netflix designs its own cache servers,</w:t>
      </w:r>
      <w:r>
        <w:t xml:space="preserve"> </w:t>
      </w:r>
      <w:r>
        <w:rPr>
          <w:bCs/>
          <w:b/>
        </w:rPr>
        <w:t xml:space="preserve">Open Connect Appliances (OCAs)</w:t>
      </w:r>
      <w:r>
        <w:t xml:space="preserve">, and deploys them in two ways:</w:t>
      </w:r>
      <w:r>
        <w:t xml:space="preserve"> </w:t>
      </w:r>
      <w:r>
        <w:rPr>
          <w:bCs/>
          <w:b/>
        </w:rPr>
        <w:t xml:space="preserve">embedded</w:t>
      </w:r>
      <w:r>
        <w:t xml:space="preserve"> </w:t>
      </w:r>
      <w:r>
        <w:t xml:space="preserve">inside ISP networks, where Netflix provides the hardware to qualifying ISPs at no charge and the ISP provides space, power and connectivity, and at</w:t>
      </w:r>
      <w:r>
        <w:t xml:space="preserve"> </w:t>
      </w:r>
      <w:r>
        <w:rPr>
          <w:bCs/>
          <w:b/>
        </w:rPr>
        <w:t xml:space="preserve">Internet exchange points</w:t>
      </w:r>
      <w:r>
        <w:t xml:space="preserve">, where Netflix peers with ISPs directly. The split of responsibilities is clean: services running in AWS handle everything before playback (browsing, authorization, choosing which OCAs a client should use) and return URLs pointing at OCAs; the OCAs then serve the video bytes. Rather than fill caches on demand, Netflix predicts what each OCA’s population will watch and</w:t>
      </w:r>
      <w:r>
        <w:t xml:space="preserve"> </w:t>
      </w:r>
      <w:r>
        <w:rPr>
          <w:bCs/>
          <w:b/>
        </w:rPr>
        <w:t xml:space="preserve">proactively fills</w:t>
      </w:r>
      <w:r>
        <w:t xml:space="preserve"> </w:t>
      </w:r>
      <w:r>
        <w:t xml:space="preserve">OCAs during an off-peak</w:t>
      </w:r>
      <w:r>
        <w:t xml:space="preserve"> </w:t>
      </w:r>
      <w:r>
        <w:rPr>
          <w:bCs/>
          <w:b/>
        </w:rPr>
        <w:t xml:space="preserve">fill window</w:t>
      </w:r>
      <w:r>
        <w:t xml:space="preserve"> </w:t>
      </w:r>
      <w:r>
        <w:t xml:space="preserve">agreed with each ISP, so that peak-hour traffic is served almost entirely from caches that are already full. Fill is tiered: an OCA copies from a peer in the same location first, then from an upstream OCA, and only then from origin storage in AWS [Netflix TechBlog 2016].</w:t>
      </w:r>
      <w:r>
        <w:t xml:space="preserve"> </w:t>
      </w:r>
      <w:r>
        <w:rPr>
          <w:iCs/>
          <w:i/>
        </w:rPr>
        <w:t xml:space="preserve">Evidence: Primary</w:t>
      </w:r>
      <w:r>
        <w:t xml:space="preserve"> </w:t>
      </w:r>
      <w:r>
        <w:t xml:space="preserve">— [Netflix Open Connect Overview]; [Netflix TechBlog 2016]</w:t>
      </w:r>
    </w:p>
    <w:p>
      <w:pPr>
        <w:pStyle w:val="BodyText"/>
      </w:pPr>
      <w:r>
        <w:rPr>
          <w:bCs/>
          <w:b/>
        </w:rPr>
        <w:t xml:space="preserve">Figure 21.10 — Open Connect: control plane in the cloud, bytes from the ISP.</w:t>
      </w:r>
    </w:p>
    <w:p>
      <w:pPr>
        <w:pStyle w:val="BodyText"/>
      </w:pPr>
      <w:r>
        <w:drawing>
          <wp:inline>
            <wp:extent cx="5334000" cy="953361"/>
            <wp:effectExtent b="0" l="0" r="0" t="0"/>
            <wp:docPr descr="" title="" id="2423" name="Picture"/>
            <a:graphic>
              <a:graphicData uri="http://schemas.openxmlformats.org/drawingml/2006/picture">
                <pic:pic>
                  <pic:nvPicPr>
                    <pic:cNvPr descr="/home/user/System-Design/build/.cache/diagrams/3dbd2ebeb595.png" id="2424" name="Picture"/>
                    <pic:cNvPicPr>
                      <a:picLocks noChangeArrowheads="1" noChangeAspect="1"/>
                    </pic:cNvPicPr>
                  </pic:nvPicPr>
                  <pic:blipFill>
                    <a:blip r:embed="rId2422"/>
                    <a:stretch>
                      <a:fillRect/>
                    </a:stretch>
                  </pic:blipFill>
                  <pic:spPr bwMode="auto">
                    <a:xfrm>
                      <a:off x="0" y="0"/>
                      <a:ext cx="5334000" cy="953361"/>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Steps 1–2 are synchronous API calls to Netflix’s control plane in AWS, which knows which OCAs hold each file and how healthy and loaded they are. Step 3 streams segments from an embedded OCA inside the user’s ISP; an OCA at an exchange point is the fallback. Dotted edges are asynchronous: content is pushed from origin storage to exchange-point OCAs and then to embedded OCAs during off-peak fill windows, and OCAs report health and contents to the control plane. Storage boundaries: origin storage in AWS and each OCA’s disks and flash. Failure points: an OCA failure (the client is directed to another), a missed fill (the title is served from a farther OCA), and the control plane (playback cannot start, but running streams continue). Scaling: add OCAs in ISPs, which also removes traffic from the ISP’s transit links.</w:t>
      </w:r>
    </w:p>
    <w:bookmarkStart w:id="2425" w:name="why-it-works-and-when-it-would-not"/>
    <w:p>
      <w:pPr>
        <w:pStyle w:val="Heading3"/>
      </w:pPr>
      <w:r>
        <w:t xml:space="preserve">21.10.1 Why it works, and when it would not</w:t>
      </w:r>
    </w:p>
    <w:p>
      <w:pPr>
        <w:pStyle w:val="FirstParagraph"/>
      </w:pPr>
      <w:r>
        <w:t xml:space="preserve">Proactive fill turns caching into</w:t>
      </w:r>
      <w:r>
        <w:t xml:space="preserve"> </w:t>
      </w:r>
      <w:r>
        <w:rPr>
          <w:bCs/>
          <w:b/>
        </w:rPr>
        <w:t xml:space="preserve">replica placement</w:t>
      </w:r>
      <w:r>
        <w:t xml:space="preserve">: with a known catalog and good popularity predictions, peak-hour hit ratios approach those of a perfect cache, and fill uses idle off-peak capacity. Embedding removes transit costs for both parties, which is why ISPs accept the boxes. It depends on a curated catalog, predictable demand and enormous volume; a site with viral user-generated content or modest volume is better served by a commercial CDN with tiered caching.</w:t>
      </w:r>
    </w:p>
    <w:p>
      <w:pPr>
        <w:pStyle w:val="CalloutMistake"/>
      </w:pPr>
      <w:r>
        <w:rPr>
          <w:bCs/>
          <w:b/>
        </w:rPr>
        <w:t xml:space="preserve">COMMON MISTAKE</w:t>
      </w:r>
    </w:p>
    <w:p>
      <w:pPr>
        <w:pStyle w:val="CalloutMistake"/>
      </w:pPr>
      <w:r>
        <w:rPr>
          <w:bCs/>
          <w:b/>
        </w:rPr>
        <w:t xml:space="preserve">“</w:t>
      </w:r>
      <w:r>
        <w:rPr>
          <w:bCs/>
          <w:b/>
        </w:rPr>
        <w:t xml:space="preserve">Netflix streams from AWS.</w:t>
      </w:r>
      <w:r>
        <w:rPr>
          <w:bCs/>
          <w:b/>
        </w:rPr>
        <w:t xml:space="preserve">”</w:t>
      </w:r>
      <w:r>
        <w:t xml:space="preserve"> </w:t>
      </w:r>
      <w:r>
        <w:t xml:space="preserve">Netflix runs its control plane in AWS, but the video bytes come from Open Connect appliances, mostly inside or next to the viewer’s ISP. Conflating the two leads to wildly wrong egress estimates in interviews (§54.2 develops the full design).</w:t>
      </w:r>
    </w:p>
    <w:bookmarkEnd w:id="2425"/>
    <w:bookmarkEnd w:id="2426"/>
    <w:bookmarkStart w:id="2427" w:name="cdn-security"/>
    <w:p>
      <w:pPr>
        <w:pStyle w:val="Heading2"/>
      </w:pPr>
      <w:r>
        <w:t xml:space="preserve">21.11 CDN security</w:t>
      </w:r>
    </w:p>
    <w:p>
      <w:pPr>
        <w:pStyle w:val="FirstParagraph"/>
      </w:pPr>
      <w:r>
        <w:t xml:space="preserve">A CDN sits in front of everything, so it becomes the natural place for several security controls (Chapter 10 holds the foundations).</w:t>
      </w:r>
    </w:p>
    <w:p>
      <w:pPr>
        <w:numPr>
          <w:ilvl w:val="0"/>
          <w:numId w:val="1702"/>
        </w:numPr>
        <w:pStyle w:val="Compact"/>
      </w:pPr>
      <w:r>
        <w:rPr>
          <w:bCs/>
          <w:b/>
        </w:rPr>
        <w:t xml:space="preserve">DDoS absorption.</w:t>
      </w:r>
      <w:r>
        <w:t xml:space="preserve"> </w:t>
      </w:r>
      <w:r>
        <w:t xml:space="preserve">Anycast spreads volumetric floods across every PoP, and the aggregate capacity of a large CDN exceeds any single attack’s bandwidth; stateless edge proxies absorb SYN floods (Figure 10.9, §10.11).</w:t>
      </w:r>
    </w:p>
    <w:p>
      <w:pPr>
        <w:numPr>
          <w:ilvl w:val="0"/>
          <w:numId w:val="1702"/>
        </w:numPr>
        <w:pStyle w:val="Compact"/>
      </w:pPr>
      <w:r>
        <w:rPr>
          <w:bCs/>
          <w:b/>
        </w:rPr>
        <w:t xml:space="preserve">WAF, bot management and rate limiting.</w:t>
      </w:r>
      <w:r>
        <w:t xml:space="preserve"> </w:t>
      </w:r>
      <w:r>
        <w:t xml:space="preserve">Application-layer rules, challenges and per-client limits (§22.3) run at the edge, before traffic reaches the origin.</w:t>
      </w:r>
    </w:p>
    <w:p>
      <w:pPr>
        <w:numPr>
          <w:ilvl w:val="0"/>
          <w:numId w:val="1702"/>
        </w:numPr>
        <w:pStyle w:val="Compact"/>
      </w:pPr>
      <w:r>
        <w:rPr>
          <w:bCs/>
          <w:b/>
        </w:rPr>
        <w:t xml:space="preserve">TLS certificate management.</w:t>
      </w:r>
      <w:r>
        <w:t xml:space="preserve"> </w:t>
      </w:r>
      <w:r>
        <w:t xml:space="preserve">To terminate TLS, the CDN needs a certificate and private key for your domain. CDNs automate issuance and renewal with ACME [RFC 8555] and select certificates per hostname with SNI. If policy forbids handing over the private key, designs such as Cloudflare’s</w:t>
      </w:r>
      <w:r>
        <w:t xml:space="preserve"> </w:t>
      </w:r>
      <w:r>
        <w:rPr>
          <w:bCs/>
          <w:b/>
        </w:rPr>
        <w:t xml:space="preserve">Keyless SSL</w:t>
      </w:r>
      <w:r>
        <w:t xml:space="preserve"> </w:t>
      </w:r>
      <w:r>
        <w:t xml:space="preserve">keep the key on the customer’s server and perform only the private-key operation there [Sullivan 2014]. Certificate expiry at the edge is a classic outage (§10.5).</w:t>
      </w:r>
    </w:p>
    <w:p>
      <w:pPr>
        <w:numPr>
          <w:ilvl w:val="0"/>
          <w:numId w:val="1702"/>
        </w:numPr>
        <w:pStyle w:val="Compact"/>
      </w:pPr>
      <w:r>
        <w:rPr>
          <w:bCs/>
          <w:b/>
        </w:rPr>
        <w:t xml:space="preserve">Origin protection.</w:t>
      </w:r>
      <w:r>
        <w:t xml:space="preserve"> </w:t>
      </w:r>
      <w:r>
        <w:t xml:space="preserve">Accept origin traffic only from the CDN, using address allow-lists plus authenticated origin pulls (mutual TLS) or a secret header; otherwise attackers bypass every control above.</w:t>
      </w:r>
    </w:p>
    <w:p>
      <w:pPr>
        <w:numPr>
          <w:ilvl w:val="0"/>
          <w:numId w:val="1702"/>
        </w:numPr>
        <w:pStyle w:val="Compact"/>
      </w:pPr>
      <w:r>
        <w:rPr>
          <w:bCs/>
          <w:b/>
        </w:rPr>
        <w:t xml:space="preserve">Private content.</w:t>
      </w:r>
      <w:r>
        <w:t xml:space="preserve"> </w:t>
      </w:r>
      <w:r>
        <w:t xml:space="preserve">For PhotoShare’s private photos, the API issues a short-lived</w:t>
      </w:r>
      <w:r>
        <w:t xml:space="preserve"> </w:t>
      </w:r>
      <w:r>
        <w:rPr>
          <w:bCs/>
          <w:b/>
        </w:rPr>
        <w:t xml:space="preserve">signed URL</w:t>
      </w:r>
      <w:r>
        <w:t xml:space="preserve"> </w:t>
      </w:r>
      <w:r>
        <w:t xml:space="preserve">or token (an HMAC over path and expiry, §10.4.6), and the edge verifies it before serving from cache. The signature is excluded from the cache key, so one cached copy serves all authorized viewers while unauthorized requests are rejected at the edge.</w:t>
      </w:r>
    </w:p>
    <w:bookmarkEnd w:id="2427"/>
    <w:bookmarkStart w:id="2428" w:name="summary-and-revision-notes-20"/>
    <w:p>
      <w:pPr>
        <w:pStyle w:val="Heading2"/>
      </w:pPr>
      <w:r>
        <w:t xml:space="preserve">21.12 Summary and revision notes</w:t>
      </w:r>
    </w:p>
    <w:p>
      <w:pPr>
        <w:pStyle w:val="CalloutSummary"/>
      </w:pPr>
      <w:r>
        <w:rPr>
          <w:bCs/>
          <w:b/>
        </w:rPr>
        <w:t xml:space="preserve">SUMMARY</w:t>
      </w:r>
    </w:p>
    <w:p>
      <w:pPr>
        <w:numPr>
          <w:ilvl w:val="0"/>
          <w:numId w:val="1703"/>
        </w:numPr>
        <w:pStyle w:val="Compact"/>
      </w:pPr>
      <w:r>
        <w:t xml:space="preserve">A</w:t>
      </w:r>
      <w:r>
        <w:t xml:space="preserve"> </w:t>
      </w:r>
      <w:r>
        <w:rPr>
          <w:bCs/>
          <w:b/>
        </w:rPr>
        <w:t xml:space="preserve">CDN</w:t>
      </w:r>
      <w:r>
        <w:t xml:space="preserve"> </w:t>
      </w:r>
      <w:r>
        <w:t xml:space="preserve">is a hierarchy of caching reverse proxies:</w:t>
      </w:r>
      <w:r>
        <w:t xml:space="preserve"> </w:t>
      </w:r>
      <w:r>
        <w:rPr>
          <w:bCs/>
          <w:b/>
        </w:rPr>
        <w:t xml:space="preserve">edge PoPs</w:t>
      </w:r>
      <w:r>
        <w:t xml:space="preserve"> </w:t>
      </w:r>
      <w:r>
        <w:t xml:space="preserve">near users,</w:t>
      </w:r>
      <w:r>
        <w:t xml:space="preserve"> </w:t>
      </w:r>
      <w:r>
        <w:rPr>
          <w:bCs/>
          <w:b/>
        </w:rPr>
        <w:t xml:space="preserve">mid-tier/shield</w:t>
      </w:r>
      <w:r>
        <w:t xml:space="preserve"> </w:t>
      </w:r>
      <w:r>
        <w:t xml:space="preserve">caches, and the authoritative</w:t>
      </w:r>
      <w:r>
        <w:t xml:space="preserve"> </w:t>
      </w:r>
      <w:r>
        <w:rPr>
          <w:bCs/>
          <w:b/>
        </w:rPr>
        <w:t xml:space="preserve">origin</w:t>
      </w:r>
      <w:r>
        <w:t xml:space="preserve">. It cuts latency (round trips, not bandwidth), origin load, egress cost and DDoS exposure.</w:t>
      </w:r>
    </w:p>
    <w:p>
      <w:pPr>
        <w:numPr>
          <w:ilvl w:val="0"/>
          <w:numId w:val="1703"/>
        </w:numPr>
        <w:pStyle w:val="Compact"/>
      </w:pPr>
      <w:r>
        <w:rPr>
          <w:bCs/>
          <w:b/>
        </w:rPr>
        <w:t xml:space="preserve">Request routing</w:t>
      </w:r>
      <w:r>
        <w:t xml:space="preserve">: DNS mapping steers precisely but per resolver and bounded by TTLs (ECS helps);</w:t>
      </w:r>
      <w:r>
        <w:t xml:space="preserve"> </w:t>
      </w:r>
      <w:r>
        <w:rPr>
          <w:bCs/>
          <w:b/>
        </w:rPr>
        <w:t xml:space="preserve">anycast</w:t>
      </w:r>
      <w:r>
        <w:t xml:space="preserve"> </w:t>
      </w:r>
      <w:r>
        <w:t xml:space="preserve">steers by BGP, fails over automatically and disperses attacks, but with coarse load control. Real CDNs combine them.</w:t>
      </w:r>
    </w:p>
    <w:p>
      <w:pPr>
        <w:numPr>
          <w:ilvl w:val="0"/>
          <w:numId w:val="1703"/>
        </w:numPr>
        <w:pStyle w:val="Compact"/>
      </w:pPr>
      <w:r>
        <w:rPr>
          <w:bCs/>
          <w:b/>
        </w:rPr>
        <w:t xml:space="preserve">Offload</w:t>
      </w:r>
      <w:r>
        <w:t xml:space="preserve">:</w:t>
      </w:r>
      <w:r>
        <w:t xml:space="preserve"> </w:t>
      </w:r>
      <m:oMath>
        <m:sSub>
          <m:e>
            <m:r>
              <m:t>O</m:t>
            </m:r>
          </m:e>
          <m:sub>
            <m:r>
              <m:t>R</m:t>
            </m:r>
          </m:sub>
        </m:sSub>
      </m:oMath>
      <w:r>
        <w:t xml:space="preserve"> </w:t>
      </w:r>
      <w:r>
        <w:t xml:space="preserve">(requests) and</w:t>
      </w:r>
      <w:r>
        <w:t xml:space="preserve"> </w:t>
      </w:r>
      <m:oMath>
        <m:sSub>
          <m:e>
            <m:r>
              <m:t>O</m:t>
            </m:r>
          </m:e>
          <m:sub>
            <m:r>
              <m:t>B</m:t>
            </m:r>
          </m:sub>
        </m:sSub>
      </m:oMath>
      <w:r>
        <w:t xml:space="preserve"> </w:t>
      </w:r>
      <w:r>
        <w:t xml:space="preserve">(bytes) differ; miss ratios multiply across tiers,</w:t>
      </w:r>
      <w:r>
        <w:t xml:space="preserve"> </w:t>
      </w:r>
      <m:oMath>
        <m:sSub>
          <m:e>
            <m:r>
              <m:t>f</m:t>
            </m:r>
          </m:e>
          <m:sub>
            <m:r>
              <m:rPr>
                <m:nor/>
                <m:sty m:val="p"/>
              </m:rPr>
              <m:t>origin</m:t>
            </m:r>
          </m:sub>
        </m:sSub>
        <m:r>
          <m:rPr>
            <m:sty m:val="p"/>
          </m:rPr>
          <m:t>=</m:t>
        </m:r>
        <m:r>
          <m:rPr>
            <m:sty m:val="p"/>
          </m:rPr>
          <m:t>∏</m:t>
        </m:r>
        <m:d>
          <m:dPr>
            <m:begChr m:val="("/>
            <m:endChr m:val=")"/>
            <m:sepChr m:val=""/>
            <m:grow/>
          </m:dPr>
          <m:e>
            <m:r>
              <m:t>1</m:t>
            </m:r>
            <m:r>
              <m:rPr>
                <m:sty m:val="p"/>
              </m:rPr>
              <m:t>−</m:t>
            </m:r>
            <m:sSub>
              <m:e>
                <m:r>
                  <m:t>h</m:t>
                </m:r>
              </m:e>
              <m:sub>
                <m:r>
                  <m:t>i</m:t>
                </m:r>
              </m:sub>
            </m:sSub>
          </m:e>
        </m:d>
      </m:oMath>
      <w:r>
        <w:t xml:space="preserve">;</w:t>
      </w:r>
      <w:r>
        <w:t xml:space="preserve"> </w:t>
      </w:r>
      <m:oMath>
        <m:sSub>
          <m:e>
            <m:r>
              <m:t>B</m:t>
            </m:r>
          </m:e>
          <m:sub>
            <m:r>
              <m:rPr>
                <m:nor/>
                <m:sty m:val="p"/>
              </m:rPr>
              <m:t>origin</m:t>
            </m:r>
          </m:sub>
        </m:sSub>
        <m:r>
          <m:rPr>
            <m:sty m:val="p"/>
          </m:rPr>
          <m:t>=</m:t>
        </m:r>
        <m:sSub>
          <m:e>
            <m:r>
              <m:t>B</m:t>
            </m:r>
          </m:e>
          <m:sub>
            <m:r>
              <m:rPr>
                <m:nor/>
                <m:sty m:val="p"/>
              </m:rPr>
              <m:t>users</m:t>
            </m:r>
          </m:sub>
        </m:sSub>
        <m:d>
          <m:dPr>
            <m:begChr m:val="("/>
            <m:endChr m:val=")"/>
            <m:sepChr m:val=""/>
            <m:grow/>
          </m:dPr>
          <m:e>
            <m:r>
              <m:t>1</m:t>
            </m:r>
            <m:r>
              <m:rPr>
                <m:sty m:val="p"/>
              </m:rPr>
              <m:t>−</m:t>
            </m:r>
            <m:sSub>
              <m:e>
                <m:r>
                  <m:t>O</m:t>
                </m:r>
              </m:e>
              <m:sub>
                <m:r>
                  <m:t>B</m:t>
                </m:r>
              </m:sub>
            </m:sSub>
          </m:e>
        </m:d>
      </m:oMath>
      <w:r>
        <w:t xml:space="preserve">. Going from 90% to 98% offload cuts origin load fivefold.</w:t>
      </w:r>
    </w:p>
    <w:p>
      <w:pPr>
        <w:numPr>
          <w:ilvl w:val="0"/>
          <w:numId w:val="1703"/>
        </w:numPr>
        <w:pStyle w:val="Compact"/>
      </w:pPr>
      <w:r>
        <w:rPr>
          <w:bCs/>
          <w:b/>
        </w:rPr>
        <w:t xml:space="preserve">Shielding</w:t>
      </w:r>
      <w:r>
        <w:t xml:space="preserve"> </w:t>
      </w:r>
      <w:r>
        <w:t xml:space="preserve">funnels all misses through one tier: per object and TTL the origin sees about 1 fetch instead of</w:t>
      </w:r>
      <w:r>
        <w:t xml:space="preserve"> </w:t>
      </w:r>
      <m:oMath>
        <m:r>
          <m:t>N</m:t>
        </m:r>
        <m:d>
          <m:dPr>
            <m:begChr m:val="("/>
            <m:endChr m:val=")"/>
            <m:sepChr m:val=""/>
            <m:grow/>
          </m:dPr>
          <m:e>
            <m:r>
              <m:t>1</m:t>
            </m:r>
            <m:r>
              <m:rPr>
                <m:sty m:val="p"/>
              </m:rPr>
              <m:t>−</m:t>
            </m:r>
            <m:sSup>
              <m:e>
                <m:r>
                  <m:t>e</m:t>
                </m:r>
              </m:e>
              <m:sup>
                <m:r>
                  <m:rPr>
                    <m:sty m:val="p"/>
                  </m:rPr>
                  <m:t>−</m:t>
                </m:r>
                <m:r>
                  <m:t>λ</m:t>
                </m:r>
                <m:r>
                  <m:t>T</m:t>
                </m:r>
                <m:r>
                  <m:rPr>
                    <m:sty m:val="p"/>
                  </m:rPr>
                  <m:t>/</m:t>
                </m:r>
                <m:r>
                  <m:t>N</m:t>
                </m:r>
              </m:sup>
            </m:sSup>
          </m:e>
        </m:d>
      </m:oMath>
      <w:r>
        <w:t xml:space="preserve">. It matters most with many PoPs, long tails, short TTLs and frequent purges.</w:t>
      </w:r>
    </w:p>
    <w:p>
      <w:pPr>
        <w:numPr>
          <w:ilvl w:val="0"/>
          <w:numId w:val="1703"/>
        </w:numPr>
        <w:pStyle w:val="Compact"/>
      </w:pPr>
      <w:r>
        <w:rPr>
          <w:bCs/>
          <w:b/>
        </w:rPr>
        <w:t xml:space="preserve">RFC 9111 headers</w:t>
      </w:r>
      <w:r>
        <w:t xml:space="preserve">:</w:t>
      </w:r>
      <w:r>
        <w:t xml:space="preserve"> </w:t>
      </w:r>
      <w:r>
        <w:rPr>
          <w:rStyle w:val="VerbatimChar"/>
        </w:rPr>
        <w:t xml:space="preserve">s-maxage</w:t>
      </w:r>
      <w:r>
        <w:t xml:space="preserve"> </w:t>
      </w:r>
      <w:r>
        <w:t xml:space="preserve">for the CDN, short</w:t>
      </w:r>
      <w:r>
        <w:t xml:space="preserve"> </w:t>
      </w:r>
      <w:r>
        <w:rPr>
          <w:rStyle w:val="VerbatimChar"/>
        </w:rPr>
        <w:t xml:space="preserve">max-age</w:t>
      </w:r>
      <w:r>
        <w:t xml:space="preserve"> </w:t>
      </w:r>
      <w:r>
        <w:t xml:space="preserve">for browsers,</w:t>
      </w:r>
      <w:r>
        <w:t xml:space="preserve"> </w:t>
      </w:r>
      <w:r>
        <w:rPr>
          <w:rStyle w:val="VerbatimChar"/>
        </w:rPr>
        <w:t xml:space="preserve">stale-while-revalidate</w:t>
      </w:r>
      <w:r>
        <w:t xml:space="preserve"> </w:t>
      </w:r>
      <w:r>
        <w:t xml:space="preserve">and</w:t>
      </w:r>
      <w:r>
        <w:t xml:space="preserve"> </w:t>
      </w:r>
      <w:r>
        <w:rPr>
          <w:rStyle w:val="VerbatimChar"/>
        </w:rPr>
        <w:t xml:space="preserve">stale-if-error</w:t>
      </w:r>
      <w:r>
        <w:t xml:space="preserve"> </w:t>
      </w:r>
      <w:r>
        <w:t xml:space="preserve">for resilience,</w:t>
      </w:r>
      <w:r>
        <w:t xml:space="preserve"> </w:t>
      </w:r>
      <w:r>
        <w:rPr>
          <w:rStyle w:val="VerbatimChar"/>
        </w:rPr>
        <w:t xml:space="preserve">ETag</w:t>
      </w:r>
      <w:r>
        <w:t xml:space="preserve"> </w:t>
      </w:r>
      <w:r>
        <w:t xml:space="preserve">with</w:t>
      </w:r>
      <w:r>
        <w:t xml:space="preserve"> </w:t>
      </w:r>
      <w:r>
        <w:rPr>
          <w:rStyle w:val="VerbatimChar"/>
        </w:rPr>
        <w:t xml:space="preserve">304</w:t>
      </w:r>
      <w:r>
        <w:t xml:space="preserve"> </w:t>
      </w:r>
      <w:r>
        <w:t xml:space="preserve">for cheap revalidation,</w:t>
      </w:r>
      <w:r>
        <w:t xml:space="preserve"> </w:t>
      </w:r>
      <w:r>
        <w:rPr>
          <w:rStyle w:val="VerbatimChar"/>
        </w:rPr>
        <w:t xml:space="preserve">private</w:t>
      </w:r>
      <w:r>
        <w:t xml:space="preserve">/</w:t>
      </w:r>
      <w:r>
        <w:rPr>
          <w:rStyle w:val="VerbatimChar"/>
        </w:rPr>
        <w:t xml:space="preserve">no-store</w:t>
      </w:r>
      <w:r>
        <w:t xml:space="preserve"> </w:t>
      </w:r>
      <w:r>
        <w:t xml:space="preserve">for personal data.</w:t>
      </w:r>
    </w:p>
    <w:p>
      <w:pPr>
        <w:numPr>
          <w:ilvl w:val="0"/>
          <w:numId w:val="1703"/>
        </w:numPr>
        <w:pStyle w:val="Compact"/>
      </w:pPr>
      <w:r>
        <w:rPr>
          <w:bCs/>
          <w:b/>
        </w:rPr>
        <w:t xml:space="preserve">Cache keys</w:t>
      </w:r>
      <w:r>
        <w:t xml:space="preserve">: normalize (host case, sorted allow-listed parameters, collapsed</w:t>
      </w:r>
      <w:r>
        <w:t xml:space="preserve"> </w:t>
      </w:r>
      <w:r>
        <w:rPr>
          <w:rStyle w:val="VerbatimChar"/>
        </w:rPr>
        <w:t xml:space="preserve">Accept-Encoding</w:t>
      </w:r>
      <w:r>
        <w:t xml:space="preserve">), avoid</w:t>
      </w:r>
      <w:r>
        <w:t xml:space="preserve"> </w:t>
      </w:r>
      <w:r>
        <w:rPr>
          <w:rStyle w:val="VerbatimChar"/>
        </w:rPr>
        <w:t xml:space="preserve">Vary: User-Agent</w:t>
      </w:r>
      <w:r>
        <w:t xml:space="preserve"> </w:t>
      </w:r>
      <w:r>
        <w:t xml:space="preserve">and raw cookies; unkeyed inputs enable cache poisoning.</w:t>
      </w:r>
    </w:p>
    <w:p>
      <w:pPr>
        <w:numPr>
          <w:ilvl w:val="0"/>
          <w:numId w:val="1703"/>
        </w:numPr>
        <w:pStyle w:val="Compact"/>
      </w:pPr>
      <w:r>
        <w:rPr>
          <w:bCs/>
          <w:b/>
        </w:rPr>
        <w:t xml:space="preserve">Invalidation</w:t>
      </w:r>
      <w:r>
        <w:t xml:space="preserve">: URL purge,</w:t>
      </w:r>
      <w:r>
        <w:t xml:space="preserve"> </w:t>
      </w:r>
      <w:r>
        <w:rPr>
          <w:bCs/>
          <w:b/>
        </w:rPr>
        <w:t xml:space="preserve">tag (surrogate-key) purge</w:t>
      </w:r>
      <w:r>
        <w:t xml:space="preserve"> </w:t>
      </w:r>
      <w:r>
        <w:t xml:space="preserve">in about 150 ms on fast CDNs, soft purge, and</w:t>
      </w:r>
      <w:r>
        <w:t xml:space="preserve"> </w:t>
      </w:r>
      <w:r>
        <w:rPr>
          <w:bCs/>
          <w:b/>
        </w:rPr>
        <w:t xml:space="preserve">versioned URLs</w:t>
      </w:r>
      <w:r>
        <w:t xml:space="preserve"> </w:t>
      </w:r>
      <w:r>
        <w:t xml:space="preserve">with</w:t>
      </w:r>
      <w:r>
        <w:t xml:space="preserve"> </w:t>
      </w:r>
      <w:r>
        <w:rPr>
          <w:rStyle w:val="VerbatimChar"/>
        </w:rPr>
        <w:t xml:space="preserve">immutable</w:t>
      </w:r>
      <w:r>
        <w:t xml:space="preserve"> </w:t>
      </w:r>
      <w:r>
        <w:t xml:space="preserve">for static assets.</w:t>
      </w:r>
    </w:p>
    <w:p>
      <w:pPr>
        <w:numPr>
          <w:ilvl w:val="0"/>
          <w:numId w:val="1703"/>
        </w:numPr>
        <w:pStyle w:val="Compact"/>
      </w:pPr>
      <w:r>
        <w:rPr>
          <w:bCs/>
          <w:b/>
        </w:rPr>
        <w:t xml:space="preserve">Dynamic content</w:t>
      </w:r>
      <w:r>
        <w:t xml:space="preserve">: micro-caching, ESI fragments, and</w:t>
      </w:r>
      <w:r>
        <w:t xml:space="preserve"> </w:t>
      </w:r>
      <w:r>
        <w:rPr>
          <w:bCs/>
          <w:b/>
        </w:rPr>
        <w:t xml:space="preserve">dynamic site acceleration</w:t>
      </w:r>
      <w:r>
        <w:t xml:space="preserve"> </w:t>
      </w:r>
      <w:r>
        <w:t xml:space="preserve">(TLS near the user, warm connections to origin).</w:t>
      </w:r>
    </w:p>
    <w:p>
      <w:pPr>
        <w:numPr>
          <w:ilvl w:val="0"/>
          <w:numId w:val="1703"/>
        </w:numPr>
        <w:pStyle w:val="Compact"/>
      </w:pPr>
      <w:r>
        <w:rPr>
          <w:bCs/>
          <w:b/>
        </w:rPr>
        <w:t xml:space="preserve">Video</w:t>
      </w:r>
      <w:r>
        <w:t xml:space="preserve">: HLS (RFC 8216) and DASH (ISO/IEC 23009-1) cut renditions into segments listed in manifests; CMAF unifies segments. ABR is throughput-based (harmonic mean × safety factor), buffer-based (reservoir and cushion) or hybrid; live latency ≈ encode + held-back segments × duration, reduced by LL-HLS parts.</w:t>
      </w:r>
    </w:p>
    <w:p>
      <w:pPr>
        <w:numPr>
          <w:ilvl w:val="0"/>
          <w:numId w:val="1703"/>
        </w:numPr>
        <w:pStyle w:val="Compact"/>
      </w:pPr>
      <w:r>
        <w:rPr>
          <w:bCs/>
          <w:b/>
        </w:rPr>
        <w:t xml:space="preserve">Netflix Open Connect</w:t>
      </w:r>
      <w:r>
        <w:t xml:space="preserve"> </w:t>
      </w:r>
      <w:r>
        <w:t xml:space="preserve">embeds appliances in ISPs and fills them proactively off-peak; the control plane lives in AWS. Edge compute (isolates, Wasm, Lambda@Edge) runs small stateless logic at PoPs (Chapter 48).</w:t>
      </w:r>
    </w:p>
    <w:bookmarkEnd w:id="2428"/>
    <w:bookmarkStart w:id="2429" w:name="knowledge-checkpoint-20"/>
    <w:p>
      <w:pPr>
        <w:pStyle w:val="Heading2"/>
      </w:pPr>
      <w:r>
        <w:t xml:space="preserve">21.13 Knowledge checkpoint</w:t>
      </w:r>
    </w:p>
    <w:p>
      <w:pPr>
        <w:numPr>
          <w:ilvl w:val="0"/>
          <w:numId w:val="1704"/>
        </w:numPr>
        <w:pStyle w:val="Compact"/>
      </w:pPr>
      <w:r>
        <w:t xml:space="preserve">Why does a CDN reduce the time to fetch a 100 KB object even when the origin has plenty of bandwidth?</w:t>
      </w:r>
    </w:p>
    <w:p>
      <w:pPr>
        <w:numPr>
          <w:ilvl w:val="0"/>
          <w:numId w:val="1704"/>
        </w:numPr>
        <w:pStyle w:val="Compact"/>
      </w:pPr>
      <w:r>
        <w:t xml:space="preserve">Give one advantage and one disadvantage of anycast relative to DNS-based routing.</w:t>
      </w:r>
    </w:p>
    <w:p>
      <w:pPr>
        <w:numPr>
          <w:ilvl w:val="0"/>
          <w:numId w:val="1704"/>
        </w:numPr>
        <w:pStyle w:val="Compact"/>
      </w:pPr>
      <w:r>
        <w:t xml:space="preserve">A CDN’s request offload is 97% but its byte offload is 85%. What does that suggest?</w:t>
      </w:r>
    </w:p>
    <w:p>
      <w:pPr>
        <w:numPr>
          <w:ilvl w:val="0"/>
          <w:numId w:val="1704"/>
        </w:numPr>
        <w:pStyle w:val="Compact"/>
      </w:pPr>
      <w:r>
        <w:t xml:space="preserve">Edge hit ratio is 80% and shield hit ratio (on edge misses) is 60%. What fraction of requests reaches the origin?</w:t>
      </w:r>
    </w:p>
    <w:p>
      <w:pPr>
        <w:numPr>
          <w:ilvl w:val="0"/>
          <w:numId w:val="1704"/>
        </w:numPr>
        <w:pStyle w:val="Compact"/>
      </w:pPr>
      <w:r>
        <w:t xml:space="preserve">Why does a shield help a long-tail object more than its edge hit ratio suggests?</w:t>
      </w:r>
    </w:p>
    <w:p>
      <w:pPr>
        <w:numPr>
          <w:ilvl w:val="0"/>
          <w:numId w:val="1704"/>
        </w:numPr>
        <w:pStyle w:val="Compact"/>
      </w:pPr>
      <w:r>
        <w:t xml:space="preserve">With</w:t>
      </w:r>
      <w:r>
        <w:t xml:space="preserve"> </w:t>
      </w:r>
      <w:r>
        <w:rPr>
          <w:rStyle w:val="VerbatimChar"/>
        </w:rPr>
        <w:t xml:space="preserve">Cache-Control: max-age=300</w:t>
      </w:r>
      <w:r>
        <w:t xml:space="preserve"> </w:t>
      </w:r>
      <w:r>
        <w:t xml:space="preserve">and</w:t>
      </w:r>
      <w:r>
        <w:t xml:space="preserve"> </w:t>
      </w:r>
      <w:r>
        <w:rPr>
          <w:rStyle w:val="VerbatimChar"/>
        </w:rPr>
        <w:t xml:space="preserve">Age: 280</w:t>
      </w:r>
      <w:r>
        <w:t xml:space="preserve"> </w:t>
      </w:r>
      <w:r>
        <w:t xml:space="preserve">from the CDN, how long is the browser’s copy fresh?</w:t>
      </w:r>
    </w:p>
    <w:p>
      <w:pPr>
        <w:numPr>
          <w:ilvl w:val="0"/>
          <w:numId w:val="1704"/>
        </w:numPr>
        <w:pStyle w:val="Compact"/>
      </w:pPr>
      <w:r>
        <w:t xml:space="preserve">What does</w:t>
      </w:r>
      <w:r>
        <w:t xml:space="preserve"> </w:t>
      </w:r>
      <w:r>
        <w:rPr>
          <w:rStyle w:val="VerbatimChar"/>
        </w:rPr>
        <w:t xml:space="preserve">stale-if-error=3600</w:t>
      </w:r>
      <w:r>
        <w:t xml:space="preserve"> </w:t>
      </w:r>
      <w:r>
        <w:t xml:space="preserve">allow?</w:t>
      </w:r>
    </w:p>
    <w:p>
      <w:pPr>
        <w:numPr>
          <w:ilvl w:val="0"/>
          <w:numId w:val="1704"/>
        </w:numPr>
        <w:pStyle w:val="Compact"/>
      </w:pPr>
      <w:r>
        <w:t xml:space="preserve">Why is</w:t>
      </w:r>
      <w:r>
        <w:t xml:space="preserve"> </w:t>
      </w:r>
      <w:r>
        <w:rPr>
          <w:rStyle w:val="VerbatimChar"/>
        </w:rPr>
        <w:t xml:space="preserve">Vary: User-Agent</w:t>
      </w:r>
      <w:r>
        <w:t xml:space="preserve"> </w:t>
      </w:r>
      <w:r>
        <w:t xml:space="preserve">harmful at a CDN?</w:t>
      </w:r>
    </w:p>
    <w:p>
      <w:pPr>
        <w:numPr>
          <w:ilvl w:val="0"/>
          <w:numId w:val="1704"/>
        </w:numPr>
        <w:pStyle w:val="Compact"/>
      </w:pPr>
      <w:r>
        <w:t xml:space="preserve">Compare tag purge with versioned URLs.</w:t>
      </w:r>
    </w:p>
    <w:p>
      <w:pPr>
        <w:numPr>
          <w:ilvl w:val="0"/>
          <w:numId w:val="1704"/>
        </w:numPr>
        <w:pStyle w:val="Compact"/>
      </w:pPr>
      <w:r>
        <w:t xml:space="preserve">When does dynamic site acceleration</w:t>
      </w:r>
      <w:r>
        <w:t xml:space="preserve"> </w:t>
      </w:r>
      <w:r>
        <w:rPr>
          <w:iCs/>
          <w:i/>
        </w:rPr>
        <w:t xml:space="preserve">not</w:t>
      </w:r>
      <w:r>
        <w:t xml:space="preserve"> </w:t>
      </w:r>
      <w:r>
        <w:t xml:space="preserve">reduce latency?</w:t>
      </w:r>
    </w:p>
    <w:p>
      <w:pPr>
        <w:numPr>
          <w:ilvl w:val="0"/>
          <w:numId w:val="1704"/>
        </w:numPr>
        <w:pStyle w:val="Compact"/>
      </w:pPr>
      <w:r>
        <w:t xml:space="preserve">Why did HLS and DASH originally require storing video twice, and what fixed it?</w:t>
      </w:r>
    </w:p>
    <w:p>
      <w:pPr>
        <w:numPr>
          <w:ilvl w:val="0"/>
          <w:numId w:val="1704"/>
        </w:numPr>
        <w:pStyle w:val="Compact"/>
      </w:pPr>
      <w:r>
        <w:t xml:space="preserve">Compute the harmonic mean of 4 and 1 Mb/s and explain why ABR uses it.</w:t>
      </w:r>
    </w:p>
    <w:p>
      <w:pPr>
        <w:numPr>
          <w:ilvl w:val="0"/>
          <w:numId w:val="1704"/>
        </w:numPr>
        <w:pStyle w:val="Compact"/>
      </w:pPr>
      <w:r>
        <w:t xml:space="preserve">Why can Netflix fill caches before demand arrives, and why can most sites not?</w:t>
      </w:r>
    </w:p>
    <w:p>
      <w:pPr>
        <w:numPr>
          <w:ilvl w:val="0"/>
          <w:numId w:val="1704"/>
        </w:numPr>
        <w:pStyle w:val="Compact"/>
      </w:pPr>
      <w:r>
        <w:t xml:space="preserve">How should a CDN serve private photos without caching one copy per user?</w:t>
      </w:r>
    </w:p>
    <w:p>
      <w:pPr>
        <w:pStyle w:val="FirstParagraph"/>
      </w:pPr>
      <w:r>
        <w:t xml:space="preserve">Answers</w:t>
      </w:r>
    </w:p>
    <w:p>
      <w:pPr>
        <w:numPr>
          <w:ilvl w:val="0"/>
          <w:numId w:val="1705"/>
        </w:numPr>
        <w:pStyle w:val="Compact"/>
      </w:pPr>
      <w:r>
        <w:t xml:space="preserve">Fetch time is dominated by handshake and slow-start round trips; the edge shortens each round trip (for example from 200 ms to 10 ms).</w:t>
      </w:r>
    </w:p>
    <w:p>
      <w:pPr>
        <w:numPr>
          <w:ilvl w:val="0"/>
          <w:numId w:val="1705"/>
        </w:numPr>
        <w:pStyle w:val="Compact"/>
      </w:pPr>
      <w:r>
        <w:t xml:space="preserve">Advantage: automatic failover and DDoS dispersion with one IP. Disadvantage: BGP may choose a non-lowest-latency PoP, and load is hard to steer.</w:t>
      </w:r>
    </w:p>
    <w:p>
      <w:pPr>
        <w:numPr>
          <w:ilvl w:val="0"/>
          <w:numId w:val="1705"/>
        </w:numPr>
        <w:pStyle w:val="Compact"/>
      </w:pPr>
      <w:r>
        <w:t xml:space="preserve">Misses are disproportionately large objects (long-tail video or downloads); origin egress is driven by those.</w:t>
      </w:r>
    </w:p>
    <w:p>
      <w:pPr>
        <w:numPr>
          <w:ilvl w:val="0"/>
          <w:numId w:val="1705"/>
        </w:numPr>
        <w:pStyle w:val="Compact"/>
      </w:pPr>
      <m:oMath>
        <m:r>
          <m:t>0.2</m:t>
        </m:r>
        <m:r>
          <m:rPr>
            <m:sty m:val="p"/>
          </m:rPr>
          <m:t>×</m:t>
        </m:r>
        <m:r>
          <m:t>0.4</m:t>
        </m:r>
        <m:r>
          <m:rPr>
            <m:sty m:val="p"/>
          </m:rPr>
          <m:t>=</m:t>
        </m:r>
        <m:r>
          <m:t>0.08</m:t>
        </m:r>
      </m:oMath>
      <w:r>
        <w:t xml:space="preserve">, i.e. 8%.</w:t>
      </w:r>
    </w:p>
    <w:p>
      <w:pPr>
        <w:numPr>
          <w:ilvl w:val="0"/>
          <w:numId w:val="1705"/>
        </w:numPr>
        <w:pStyle w:val="Compact"/>
      </w:pPr>
      <w:r>
        <w:t xml:space="preserve">The object is rare at each PoP but common across all of them; the shield aggregates those misses into one fetch per TTL.</w:t>
      </w:r>
    </w:p>
    <w:p>
      <w:pPr>
        <w:numPr>
          <w:ilvl w:val="0"/>
          <w:numId w:val="1705"/>
        </w:numPr>
        <w:pStyle w:val="Compact"/>
      </w:pPr>
      <m:oMath>
        <m:r>
          <m:t>300</m:t>
        </m:r>
        <m:r>
          <m:rPr>
            <m:sty m:val="p"/>
          </m:rPr>
          <m:t>−</m:t>
        </m:r>
        <m:r>
          <m:t>280</m:t>
        </m:r>
        <m:r>
          <m:rPr>
            <m:sty m:val="p"/>
          </m:rPr>
          <m:t>=</m:t>
        </m:r>
        <m:r>
          <m:t>20</m:t>
        </m:r>
      </m:oMath>
      <w:r>
        <w:t xml:space="preserve"> </w:t>
      </w:r>
      <w:r>
        <w:t xml:space="preserve">s.</w:t>
      </w:r>
    </w:p>
    <w:p>
      <w:pPr>
        <w:numPr>
          <w:ilvl w:val="0"/>
          <w:numId w:val="1705"/>
        </w:numPr>
        <w:pStyle w:val="Compact"/>
      </w:pPr>
      <w:r>
        <w:t xml:space="preserve">Serving the stale response for up to an hour after it becomes stale if the origin returns errors or is unreachable.</w:t>
      </w:r>
    </w:p>
    <w:p>
      <w:pPr>
        <w:numPr>
          <w:ilvl w:val="0"/>
          <w:numId w:val="1705"/>
        </w:numPr>
        <w:pStyle w:val="Compact"/>
      </w:pPr>
      <w:r>
        <w:t xml:space="preserve">It creates a separate cache entry for every distinct User-Agent string (thousands), destroying the hit ratio.</w:t>
      </w:r>
    </w:p>
    <w:p>
      <w:pPr>
        <w:numPr>
          <w:ilvl w:val="0"/>
          <w:numId w:val="1705"/>
        </w:numPr>
        <w:pStyle w:val="Compact"/>
      </w:pPr>
      <w:r>
        <w:t xml:space="preserve">Tag purge actively removes everything labeled with an entity, across pages, but needs tagging and a purge API; versioned URLs need no purge and cache forever, but need a referring document that changes.</w:t>
      </w:r>
    </w:p>
    <w:p>
      <w:pPr>
        <w:numPr>
          <w:ilvl w:val="0"/>
          <w:numId w:val="1705"/>
        </w:numPr>
        <w:pStyle w:val="Compact"/>
      </w:pPr>
      <w:r>
        <w:t xml:space="preserve">When the client already has a warm connection to the origin, or the user is near the origin: the edge then adds about one user–edge RTT.</w:t>
      </w:r>
    </w:p>
    <w:p>
      <w:pPr>
        <w:numPr>
          <w:ilvl w:val="0"/>
          <w:numId w:val="1705"/>
        </w:numPr>
        <w:pStyle w:val="Compact"/>
      </w:pPr>
      <w:r>
        <w:t xml:space="preserve">HLS used MPEG-2 transport stream and DASH fragmented MP4; CMAF defines one fragmented-MP4 format both manifests can reference.</w:t>
      </w:r>
    </w:p>
    <w:p>
      <w:pPr>
        <w:numPr>
          <w:ilvl w:val="0"/>
          <w:numId w:val="1705"/>
        </w:numPr>
        <w:pStyle w:val="Compact"/>
      </w:pPr>
      <m:oMath>
        <m:r>
          <m:t>2</m:t>
        </m:r>
        <m:r>
          <m:rPr>
            <m:sty m:val="p"/>
          </m:rPr>
          <m:t>/</m:t>
        </m:r>
        <m:d>
          <m:dPr>
            <m:begChr m:val="("/>
            <m:endChr m:val=")"/>
            <m:sepChr m:val=""/>
            <m:grow/>
          </m:dPr>
          <m:e>
            <m:r>
              <m:t>1</m:t>
            </m:r>
            <m:r>
              <m:rPr>
                <m:sty m:val="p"/>
              </m:rPr>
              <m:t>/</m:t>
            </m:r>
            <m:r>
              <m:t>4</m:t>
            </m:r>
            <m:r>
              <m:rPr>
                <m:sty m:val="p"/>
              </m:rPr>
              <m:t>+</m:t>
            </m:r>
            <m:r>
              <m:t>1</m:t>
            </m:r>
            <m:r>
              <m:rPr>
                <m:sty m:val="p"/>
              </m:rPr>
              <m:t>/</m:t>
            </m:r>
            <m:r>
              <m:t>1</m:t>
            </m:r>
          </m:e>
        </m:d>
        <m:r>
          <m:rPr>
            <m:sty m:val="p"/>
          </m:rPr>
          <m:t>=</m:t>
        </m:r>
        <m:r>
          <m:t>1.6</m:t>
        </m:r>
      </m:oMath>
      <w:r>
        <w:t xml:space="preserve"> </w:t>
      </w:r>
      <w:r>
        <w:t xml:space="preserve">Mb/s. It is dominated by slow samples, so a single fast outlier does not lead the player to choose a rate the link cannot sustain.</w:t>
      </w:r>
    </w:p>
    <w:p>
      <w:pPr>
        <w:numPr>
          <w:ilvl w:val="0"/>
          <w:numId w:val="1705"/>
        </w:numPr>
        <w:pStyle w:val="Compact"/>
      </w:pPr>
      <w:r>
        <w:t xml:space="preserve">Its catalog is curated and demand is predictable from viewing history; user-generated, viral content is not predictable.</w:t>
      </w:r>
    </w:p>
    <w:p>
      <w:pPr>
        <w:numPr>
          <w:ilvl w:val="0"/>
          <w:numId w:val="1705"/>
        </w:numPr>
        <w:pStyle w:val="Compact"/>
      </w:pPr>
      <w:r>
        <w:t xml:space="preserve">Verify a short-lived signed URL or token at the edge and exclude the signature from the cache key, so one cached copy serves all authorized viewers.</w:t>
      </w:r>
    </w:p>
    <w:bookmarkEnd w:id="2429"/>
    <w:bookmarkStart w:id="2433" w:name="interview-questions-20"/>
    <w:p>
      <w:pPr>
        <w:pStyle w:val="Heading2"/>
      </w:pPr>
      <w:r>
        <w:t xml:space="preserve">21.14 Interview questions</w:t>
      </w:r>
    </w:p>
    <w:bookmarkStart w:id="2430" w:name="basic-20"/>
    <w:p>
      <w:pPr>
        <w:pStyle w:val="Heading3"/>
      </w:pPr>
      <w:r>
        <w:t xml:space="preserve">Basic</w:t>
      </w:r>
    </w:p>
    <w:p>
      <w:pPr>
        <w:pStyle w:val="FirstParagraph"/>
      </w:pPr>
      <w:r>
        <w:rPr>
          <w:bCs/>
          <w:b/>
        </w:rPr>
        <w:t xml:space="preserve">Q1. What is a CDN and when would you add one?</w:t>
      </w:r>
      <w:r>
        <w:t xml:space="preserve"> </w:t>
      </w:r>
      <w:r>
        <w:rPr>
          <w:bCs/>
          <w:b/>
        </w:rPr>
        <w:t xml:space="preserve">Answer.</w:t>
      </w:r>
      <w:r>
        <w:t xml:space="preserve"> </w:t>
      </w:r>
      <w:r>
        <w:t xml:space="preserve">A distributed set of caching reverse proxies near users that serves content for an origin. Add one when users are far from your servers, when static or shareable content dominates bandwidth, when origin egress or load is expensive, or when you need DDoS protection. Quantify the gain: round trips saved per request and origin bandwidth</w:t>
      </w:r>
      <w:r>
        <w:t xml:space="preserve"> </w:t>
      </w:r>
      <m:oMath>
        <m:sSub>
          <m:e>
            <m:r>
              <m:t>B</m:t>
            </m:r>
          </m:e>
          <m:sub>
            <m:r>
              <m:rPr>
                <m:nor/>
                <m:sty m:val="p"/>
              </m:rPr>
              <m:t>users</m:t>
            </m:r>
          </m:sub>
        </m:sSub>
        <m:d>
          <m:dPr>
            <m:begChr m:val="("/>
            <m:endChr m:val=")"/>
            <m:sepChr m:val=""/>
            <m:grow/>
          </m:dPr>
          <m:e>
            <m:r>
              <m:t>1</m:t>
            </m:r>
            <m:r>
              <m:rPr>
                <m:sty m:val="p"/>
              </m:rPr>
              <m:t>−</m:t>
            </m:r>
            <m:sSub>
              <m:e>
                <m:r>
                  <m:t>O</m:t>
                </m:r>
              </m:e>
              <m:sub>
                <m:r>
                  <m:t>B</m:t>
                </m:r>
              </m:sub>
            </m:sSub>
          </m:e>
        </m:d>
      </m:oMath>
      <w:r>
        <w:t xml:space="preserve">.</w:t>
      </w:r>
    </w:p>
    <w:p>
      <w:pPr>
        <w:pStyle w:val="BodyText"/>
      </w:pPr>
      <w:r>
        <w:rPr>
          <w:bCs/>
          <w:b/>
        </w:rPr>
        <w:t xml:space="preserve">Q2. How does a user get routed to a nearby PoP?</w:t>
      </w:r>
      <w:r>
        <w:t xml:space="preserve"> </w:t>
      </w:r>
      <w:r>
        <w:rPr>
          <w:bCs/>
          <w:b/>
        </w:rPr>
        <w:t xml:space="preserve">Answer.</w:t>
      </w:r>
      <w:r>
        <w:t xml:space="preserve"> </w:t>
      </w:r>
      <w:r>
        <w:t xml:space="preserve">Either the CDN’s DNS answers with a PoP chosen by a mapping system (using resolver location, ECS, load and health), or all PoPs announce the same anycast prefix and BGP delivers packets to the nearest. DNS gives finer control but is bounded by TTLs; anycast fails over automatically and spreads attacks.</w:t>
      </w:r>
    </w:p>
    <w:bookmarkEnd w:id="2430"/>
    <w:bookmarkStart w:id="2431" w:name="intermediate-20"/>
    <w:p>
      <w:pPr>
        <w:pStyle w:val="Heading3"/>
      </w:pPr>
      <w:r>
        <w:t xml:space="preserve">Intermediate</w:t>
      </w:r>
    </w:p>
    <w:p>
      <w:pPr>
        <w:pStyle w:val="FirstParagraph"/>
      </w:pPr>
      <w:r>
        <w:rPr>
          <w:bCs/>
          <w:b/>
        </w:rPr>
        <w:t xml:space="preserve">Q3. Your origin falls over every time marketing purges the home page. Why, and what do you change?</w:t>
      </w:r>
      <w:r>
        <w:t xml:space="preserve"> </w:t>
      </w:r>
      <w:r>
        <w:rPr>
          <w:bCs/>
          <w:b/>
        </w:rPr>
        <w:t xml:space="preserve">Answer.</w:t>
      </w:r>
      <w:r>
        <w:t xml:space="preserve"> </w:t>
      </w:r>
      <w:r>
        <w:t xml:space="preserve">Every PoP misses simultaneously and fetches independently, a CDN-wide stampede. Enable origin shielding and request collapsing, use soft purge so stale content is served while revalidating, add</w:t>
      </w:r>
      <w:r>
        <w:t xml:space="preserve"> </w:t>
      </w:r>
      <w:r>
        <w:rPr>
          <w:rStyle w:val="VerbatimChar"/>
        </w:rPr>
        <w:t xml:space="preserve">stale-while-revalidate</w:t>
      </w:r>
      <w:r>
        <w:t xml:space="preserve">, purge by tag rather than everything, and cache the page briefly (micro-caching) instead of marking it uncacheable.</w:t>
      </w:r>
    </w:p>
    <w:p>
      <w:pPr>
        <w:pStyle w:val="BodyText"/>
      </w:pPr>
      <w:r>
        <w:rPr>
          <w:bCs/>
          <w:b/>
        </w:rPr>
        <w:t xml:space="preserve">Q4. Design the caching policy for PhotoShare.</w:t>
      </w:r>
      <w:r>
        <w:t xml:space="preserve"> </w:t>
      </w:r>
      <w:r>
        <w:rPr>
          <w:bCs/>
          <w:b/>
        </w:rPr>
        <w:t xml:space="preserve">Answer.</w:t>
      </w:r>
      <w:r>
        <w:t xml:space="preserve"> </w:t>
      </w:r>
      <w:r>
        <w:t xml:space="preserve">Images: URL carries photo ID and rendition,</w:t>
      </w:r>
      <w:r>
        <w:t xml:space="preserve"> </w:t>
      </w:r>
      <w:r>
        <w:rPr>
          <w:rStyle w:val="VerbatimChar"/>
        </w:rPr>
        <w:t xml:space="preserve">s-maxage</w:t>
      </w:r>
      <w:r>
        <w:t xml:space="preserve"> </w:t>
      </w:r>
      <w:r>
        <w:t xml:space="preserve">of days, tagged by photo ID for deletion, private photos via edge-verified signed URLs. JS and CSS: hashed filenames,</w:t>
      </w:r>
      <w:r>
        <w:t xml:space="preserve"> </w:t>
      </w:r>
      <w:r>
        <w:rPr>
          <w:rStyle w:val="VerbatimChar"/>
        </w:rPr>
        <w:t xml:space="preserve">max-age=31536000, immutable</w:t>
      </w:r>
      <w:r>
        <w:t xml:space="preserve">. Feed API:</w:t>
      </w:r>
      <w:r>
        <w:t xml:space="preserve"> </w:t>
      </w:r>
      <w:r>
        <w:rPr>
          <w:rStyle w:val="VerbatimChar"/>
        </w:rPr>
        <w:t xml:space="preserve">private</w:t>
      </w:r>
      <w:r>
        <w:t xml:space="preserve">, or micro-cache public parts. Normalize keys, add</w:t>
      </w:r>
      <w:r>
        <w:t xml:space="preserve"> </w:t>
      </w:r>
      <w:r>
        <w:rPr>
          <w:rStyle w:val="VerbatimChar"/>
        </w:rPr>
        <w:t xml:space="preserve">stale-if-error</w:t>
      </w:r>
      <w:r>
        <w:t xml:space="preserve">, shield near the origin, and measure offload at the origin.</w:t>
      </w:r>
    </w:p>
    <w:p>
      <w:pPr>
        <w:pStyle w:val="BodyText"/>
      </w:pPr>
      <w:r>
        <w:rPr>
          <w:bCs/>
          <w:b/>
        </w:rPr>
        <w:t xml:space="preserve">Q5. How does a video player decide which quality to download?</w:t>
      </w:r>
      <w:r>
        <w:t xml:space="preserve"> </w:t>
      </w:r>
      <w:r>
        <w:rPr>
          <w:bCs/>
          <w:b/>
        </w:rPr>
        <w:t xml:space="preserve">Answer.</w:t>
      </w:r>
      <w:r>
        <w:t xml:space="preserve"> </w:t>
      </w:r>
      <w:r>
        <w:t xml:space="preserve">Throughput-based rules pick the highest ladder rung below a safety fraction of a harmonic-mean bandwidth estimate; buffer-based rules map buffer level to rate (minimum below a reservoir, maximum above reservoir plus cushion). Production players use hybrids: throughput at startup, buffer in steady state, with hysteresis to limit switching.</w:t>
      </w:r>
    </w:p>
    <w:bookmarkEnd w:id="2431"/>
    <w:bookmarkStart w:id="2432" w:name="advanced-20"/>
    <w:p>
      <w:pPr>
        <w:pStyle w:val="Heading3"/>
      </w:pPr>
      <w:r>
        <w:t xml:space="preserve">Advanced</w:t>
      </w:r>
    </w:p>
    <w:p>
      <w:pPr>
        <w:pStyle w:val="FirstParagraph"/>
      </w:pPr>
      <w:r>
        <w:rPr>
          <w:bCs/>
          <w:b/>
        </w:rPr>
        <w:t xml:space="preserve">Q6. Estimate CDN and origin capacity for a 5-million-viewer live event.</w:t>
      </w:r>
      <w:r>
        <w:t xml:space="preserve"> </w:t>
      </w:r>
      <w:r>
        <w:rPr>
          <w:bCs/>
          <w:b/>
        </w:rPr>
        <w:t xml:space="preserve">Answer.</w:t>
      </w:r>
      <w:r>
        <w:t xml:space="preserve"> </w:t>
      </w:r>
      <w:r>
        <w:t xml:space="preserve">With a mean bitrate of about 3.7 Mb/s, edge egress is</w:t>
      </w:r>
      <w:r>
        <w:t xml:space="preserve"> </w:t>
      </w:r>
      <m:oMath>
        <m:r>
          <m:t>5</m:t>
        </m:r>
        <m:r>
          <m:rPr>
            <m:sty m:val="p"/>
          </m:rPr>
          <m:t>×</m:t>
        </m:r>
        <m:sSup>
          <m:e>
            <m:r>
              <m:t>10</m:t>
            </m:r>
          </m:e>
          <m:sup>
            <m:r>
              <m:t>6</m:t>
            </m:r>
          </m:sup>
        </m:sSup>
        <m:r>
          <m:rPr>
            <m:sty m:val="p"/>
          </m:rPr>
          <m:t>×</m:t>
        </m:r>
        <m:r>
          <m:t>3.7</m:t>
        </m:r>
        <m:r>
          <m:rPr>
            <m:sty m:val="p"/>
          </m:rPr>
          <m:t>≈</m:t>
        </m:r>
        <m:r>
          <m:t>18.5</m:t>
        </m:r>
      </m:oMath>
      <w:r>
        <w:t xml:space="preserve"> </w:t>
      </w:r>
      <w:r>
        <w:t xml:space="preserve">Tb/s, so plan capacity per metro and per ISP and probably use several CDNs. Origin egress is only shields × the ladder sum (for example</w:t>
      </w:r>
      <w:r>
        <w:t xml:space="preserve"> </w:t>
      </w:r>
      <m:oMath>
        <m:r>
          <m:t>20</m:t>
        </m:r>
        <m:r>
          <m:rPr>
            <m:sty m:val="p"/>
          </m:rPr>
          <m:t>×</m:t>
        </m:r>
        <m:r>
          <m:t>16.2</m:t>
        </m:r>
        <m:r>
          <m:rPr>
            <m:sty m:val="p"/>
          </m:rPr>
          <m:t>=</m:t>
        </m:r>
        <m:r>
          <m:t>324</m:t>
        </m:r>
      </m:oMath>
      <w:r>
        <w:t xml:space="preserve"> </w:t>
      </w:r>
      <w:r>
        <w:t xml:space="preserve">Mb/s). Use 2–4 s segments or LL-HLS parts, short TTLs on live playlists, long TTLs on segments, request collapsing, redundant encoders and packagers, and a lower maximum rung as a load-shedding lever.</w:t>
      </w:r>
    </w:p>
    <w:p>
      <w:pPr>
        <w:pStyle w:val="BodyText"/>
      </w:pPr>
      <w:r>
        <w:rPr>
          <w:bCs/>
          <w:b/>
        </w:rPr>
        <w:t xml:space="preserve">Q7. Would you build your own CDN?</w:t>
      </w:r>
      <w:r>
        <w:t xml:space="preserve"> </w:t>
      </w:r>
      <w:r>
        <w:rPr>
          <w:bCs/>
          <w:b/>
        </w:rPr>
        <w:t xml:space="preserve">Answer.</w:t>
      </w:r>
      <w:r>
        <w:t xml:space="preserve"> </w:t>
      </w:r>
      <w:r>
        <w:t xml:space="preserve">Only at very large, predictable volume where transit costs dominate and you can run hardware and ISP partnerships, as Netflix does. Otherwise commercial CDNs (possibly several, steered by DNS) give reach, DDoS capacity and features at lower total cost; a middle path is a commercial CDN plus your own shield.</w:t>
      </w:r>
    </w:p>
    <w:bookmarkEnd w:id="2432"/>
    <w:bookmarkEnd w:id="2433"/>
    <w:bookmarkStart w:id="2434" w:name="practical-exercises-20"/>
    <w:p>
      <w:pPr>
        <w:pStyle w:val="Heading2"/>
      </w:pPr>
      <w:r>
        <w:t xml:space="preserve">21.15 Practical exercises</w:t>
      </w:r>
    </w:p>
    <w:p>
      <w:pPr>
        <w:numPr>
          <w:ilvl w:val="0"/>
          <w:numId w:val="1706"/>
        </w:numPr>
        <w:pStyle w:val="Compact"/>
      </w:pPr>
      <w:r>
        <w:t xml:space="preserve">Run the shielding simulation with Zipf exponents 0.7, 1.0 and 1.2 and with 5, 20 and 100 PoPs. Plot origin fetches with and without a 30% shield, and explain which parameter makes shielding most valuable.</w:t>
      </w:r>
    </w:p>
    <w:p>
      <w:pPr>
        <w:numPr>
          <w:ilvl w:val="0"/>
          <w:numId w:val="1706"/>
        </w:numPr>
        <w:pStyle w:val="Compact"/>
      </w:pPr>
      <w:r>
        <w:t xml:space="preserve">Configure NGINX or Varnish as a caching reverse proxy in front of a small origin. Verify</w:t>
      </w:r>
      <w:r>
        <w:t xml:space="preserve"> </w:t>
      </w:r>
      <w:r>
        <w:rPr>
          <w:rStyle w:val="VerbatimChar"/>
        </w:rPr>
        <w:t xml:space="preserve">s-maxage</w:t>
      </w:r>
      <w:r>
        <w:t xml:space="preserve">,</w:t>
      </w:r>
      <w:r>
        <w:t xml:space="preserve"> </w:t>
      </w:r>
      <w:r>
        <w:rPr>
          <w:rStyle w:val="VerbatimChar"/>
        </w:rPr>
        <w:t xml:space="preserve">stale-while-revalidate</w:t>
      </w:r>
      <w:r>
        <w:t xml:space="preserve"> </w:t>
      </w:r>
      <w:r>
        <w:t xml:space="preserve">and</w:t>
      </w:r>
      <w:r>
        <w:t xml:space="preserve"> </w:t>
      </w:r>
      <w:r>
        <w:rPr>
          <w:rStyle w:val="VerbatimChar"/>
        </w:rPr>
        <w:t xml:space="preserve">stale-if-error</w:t>
      </w:r>
      <w:r>
        <w:t xml:space="preserve"> </w:t>
      </w:r>
      <w:r>
        <w:t xml:space="preserve">with</w:t>
      </w:r>
      <w:r>
        <w:t xml:space="preserve"> </w:t>
      </w:r>
      <w:r>
        <w:rPr>
          <w:rStyle w:val="VerbatimChar"/>
        </w:rPr>
        <w:t xml:space="preserve">curl -I</w:t>
      </w:r>
      <w:r>
        <w:t xml:space="preserve"> </w:t>
      </w:r>
      <w:r>
        <w:t xml:space="preserve">while stopping the origin, and confirm request collapsing with 100 concurrent requests.</w:t>
      </w:r>
    </w:p>
    <w:p>
      <w:pPr>
        <w:numPr>
          <w:ilvl w:val="0"/>
          <w:numId w:val="1706"/>
        </w:numPr>
        <w:pStyle w:val="Compact"/>
      </w:pPr>
      <w:r>
        <w:t xml:space="preserve">Extend the ABR program with a hybrid rule (throughput during the first 20 s, buffer afterwards, switch only if the new rate differs for two consecutive decisions). Compare stalls and switches on three bandwidth traces.</w:t>
      </w:r>
    </w:p>
    <w:bookmarkEnd w:id="2434"/>
    <w:bookmarkStart w:id="2435" w:name="design-challenges-20"/>
    <w:p>
      <w:pPr>
        <w:pStyle w:val="Heading2"/>
      </w:pPr>
      <w:r>
        <w:t xml:space="preserve">21.16 Design challenges</w:t>
      </w:r>
    </w:p>
    <w:p>
      <w:pPr>
        <w:numPr>
          <w:ilvl w:val="0"/>
          <w:numId w:val="1707"/>
        </w:numPr>
        <w:pStyle w:val="Compact"/>
      </w:pPr>
      <w:r>
        <w:rPr>
          <w:bCs/>
          <w:b/>
        </w:rPr>
        <w:t xml:space="preserve">Global news site.</w:t>
      </w:r>
      <w:r>
        <w:t xml:space="preserve"> </w:t>
      </w:r>
      <w:r>
        <w:t xml:space="preserve">50 million page views per day, breaking-news articles that must update within 5 seconds of an edit, personalized headers, and an origin in one region. Choose cache keys, TTLs, tagging and purge strategy, ESI or edge compute for personalization, and shielding; estimate offload and origin request rate.</w:t>
      </w:r>
    </w:p>
    <w:p>
      <w:pPr>
        <w:numPr>
          <w:ilvl w:val="0"/>
          <w:numId w:val="1707"/>
        </w:numPr>
        <w:pStyle w:val="Compact"/>
      </w:pPr>
      <w:r>
        <w:rPr>
          <w:bCs/>
          <w:b/>
        </w:rPr>
        <w:t xml:space="preserve">Live sports streaming.</w:t>
      </w:r>
      <w:r>
        <w:t xml:space="preserve"> </w:t>
      </w:r>
      <w:r>
        <w:t xml:space="preserve">3 million concurrent viewers across three continents with a 5-second latency target. Choose segment and part durations, ladder, CDN strategy (single or multi-CDN), shield placement and failure handling for an encoder outage; estimate edge and origin bandwidth.</w:t>
      </w:r>
    </w:p>
    <w:bookmarkEnd w:id="2435"/>
    <w:bookmarkStart w:id="2436" w:name="references-20"/>
    <w:p>
      <w:pPr>
        <w:pStyle w:val="Heading2"/>
      </w:pPr>
      <w:r>
        <w:t xml:space="preserve">21.17 References</w:t>
      </w:r>
    </w:p>
    <w:p>
      <w:pPr>
        <w:numPr>
          <w:ilvl w:val="0"/>
          <w:numId w:val="1708"/>
        </w:numPr>
        <w:pStyle w:val="Compact"/>
      </w:pPr>
      <w:r>
        <w:t xml:space="preserve">Nygren, E., Sitaraman, R. K., and Sun, J.</w:t>
      </w:r>
      <w:r>
        <w:t xml:space="preserve"> </w:t>
      </w:r>
      <w:r>
        <w:t xml:space="preserve">“</w:t>
      </w:r>
      <w:r>
        <w:t xml:space="preserve">The Akamai Network: A Platform for High-Performance Internet Applications.</w:t>
      </w:r>
      <w:r>
        <w:t xml:space="preserve">”</w:t>
      </w:r>
      <w:r>
        <w:t xml:space="preserve"> </w:t>
      </w:r>
      <w:r>
        <w:rPr>
          <w:iCs/>
          <w:i/>
        </w:rPr>
        <w:t xml:space="preserve">ACM SIGOPS Operating Systems Review</w:t>
      </w:r>
      <w:r>
        <w:t xml:space="preserve"> </w:t>
      </w:r>
      <w:r>
        <w:t xml:space="preserve">44(3), 2010.</w:t>
      </w:r>
    </w:p>
    <w:p>
      <w:pPr>
        <w:numPr>
          <w:ilvl w:val="0"/>
          <w:numId w:val="1708"/>
        </w:numPr>
        <w:pStyle w:val="Compact"/>
      </w:pPr>
      <w:r>
        <w:t xml:space="preserve">Fielding, R., Nottingham, M., and Reschke, J.</w:t>
      </w:r>
      <w:r>
        <w:t xml:space="preserve"> </w:t>
      </w:r>
      <w:r>
        <w:rPr>
          <w:iCs/>
          <w:i/>
        </w:rPr>
        <w:t xml:space="preserve">RFC 9111: HTTP Caching</w:t>
      </w:r>
      <w:r>
        <w:t xml:space="preserve">. IETF, 2022. https://www.rfc-editor.org/rfc/rfc9111</w:t>
      </w:r>
    </w:p>
    <w:p>
      <w:pPr>
        <w:numPr>
          <w:ilvl w:val="0"/>
          <w:numId w:val="1708"/>
        </w:numPr>
        <w:pStyle w:val="Compact"/>
      </w:pPr>
      <w:r>
        <w:t xml:space="preserve">Fielding, R., Nottingham, M., and Reschke, J.</w:t>
      </w:r>
      <w:r>
        <w:t xml:space="preserve"> </w:t>
      </w:r>
      <w:r>
        <w:rPr>
          <w:iCs/>
          <w:i/>
        </w:rPr>
        <w:t xml:space="preserve">RFC 9110: HTTP Semantics</w:t>
      </w:r>
      <w:r>
        <w:t xml:space="preserve">. IETF, 2022. https://www.rfc-editor.org/rfc/rfc9110</w:t>
      </w:r>
    </w:p>
    <w:p>
      <w:pPr>
        <w:numPr>
          <w:ilvl w:val="0"/>
          <w:numId w:val="1708"/>
        </w:numPr>
        <w:pStyle w:val="Compact"/>
      </w:pPr>
      <w:r>
        <w:t xml:space="preserve">Nottingham, M.</w:t>
      </w:r>
      <w:r>
        <w:t xml:space="preserve"> </w:t>
      </w:r>
      <w:r>
        <w:rPr>
          <w:iCs/>
          <w:i/>
        </w:rPr>
        <w:t xml:space="preserve">RFC 5861: HTTP Cache-Control Extensions for Stale Content</w:t>
      </w:r>
      <w:r>
        <w:t xml:space="preserve">. IETF, 2010.</w:t>
      </w:r>
    </w:p>
    <w:p>
      <w:pPr>
        <w:numPr>
          <w:ilvl w:val="0"/>
          <w:numId w:val="1708"/>
        </w:numPr>
        <w:pStyle w:val="Compact"/>
      </w:pPr>
      <w:r>
        <w:t xml:space="preserve">McManus, P.</w:t>
      </w:r>
      <w:r>
        <w:t xml:space="preserve"> </w:t>
      </w:r>
      <w:r>
        <w:rPr>
          <w:iCs/>
          <w:i/>
        </w:rPr>
        <w:t xml:space="preserve">RFC 8246: HTTP Immutable Responses</w:t>
      </w:r>
      <w:r>
        <w:t xml:space="preserve">. IETF, 2017.</w:t>
      </w:r>
    </w:p>
    <w:p>
      <w:pPr>
        <w:numPr>
          <w:ilvl w:val="0"/>
          <w:numId w:val="1708"/>
        </w:numPr>
        <w:pStyle w:val="Compact"/>
      </w:pPr>
      <w:r>
        <w:t xml:space="preserve">Ludin, S., Nottingham, M., and Wu, Y.</w:t>
      </w:r>
      <w:r>
        <w:t xml:space="preserve"> </w:t>
      </w:r>
      <w:r>
        <w:rPr>
          <w:iCs/>
          <w:i/>
        </w:rPr>
        <w:t xml:space="preserve">RFC 9213: Targeted HTTP Cache Control</w:t>
      </w:r>
      <w:r>
        <w:t xml:space="preserve">. IETF, 2022.</w:t>
      </w:r>
    </w:p>
    <w:p>
      <w:pPr>
        <w:numPr>
          <w:ilvl w:val="0"/>
          <w:numId w:val="1708"/>
        </w:numPr>
        <w:pStyle w:val="Compact"/>
      </w:pPr>
      <w:r>
        <w:t xml:space="preserve">Pantos, R., and May, W.</w:t>
      </w:r>
      <w:r>
        <w:t xml:space="preserve"> </w:t>
      </w:r>
      <w:r>
        <w:rPr>
          <w:iCs/>
          <w:i/>
        </w:rPr>
        <w:t xml:space="preserve">RFC 8216: HTTP Live Streaming</w:t>
      </w:r>
      <w:r>
        <w:t xml:space="preserve">. IETF, 2017. https://www.rfc-editor.org/rfc/rfc8216</w:t>
      </w:r>
    </w:p>
    <w:p>
      <w:pPr>
        <w:numPr>
          <w:ilvl w:val="0"/>
          <w:numId w:val="1708"/>
        </w:numPr>
        <w:pStyle w:val="Compact"/>
      </w:pPr>
      <w:r>
        <w:t xml:space="preserve">ISO/IEC 23009-1.</w:t>
      </w:r>
      <w:r>
        <w:t xml:space="preserve"> </w:t>
      </w:r>
      <w:r>
        <w:rPr>
          <w:iCs/>
          <w:i/>
        </w:rPr>
        <w:t xml:space="preserve">Information technology — Dynamic adaptive streaming over HTTP (DASH) — Part 1: Media presentation description and segment formats</w:t>
      </w:r>
      <w:r>
        <w:t xml:space="preserve">.</w:t>
      </w:r>
    </w:p>
    <w:p>
      <w:pPr>
        <w:numPr>
          <w:ilvl w:val="0"/>
          <w:numId w:val="1708"/>
        </w:numPr>
        <w:pStyle w:val="Compact"/>
      </w:pPr>
      <w:r>
        <w:t xml:space="preserve">ISO/IEC 23000-19.</w:t>
      </w:r>
      <w:r>
        <w:t xml:space="preserve"> </w:t>
      </w:r>
      <w:r>
        <w:rPr>
          <w:iCs/>
          <w:i/>
        </w:rPr>
        <w:t xml:space="preserve">Information technology — Multimedia application format (MPEG-A) — Part 19: Common media application format (CMAF) for segmented media</w:t>
      </w:r>
      <w:r>
        <w:t xml:space="preserve">.</w:t>
      </w:r>
    </w:p>
    <w:p>
      <w:pPr>
        <w:numPr>
          <w:ilvl w:val="0"/>
          <w:numId w:val="1708"/>
        </w:numPr>
        <w:pStyle w:val="Compact"/>
      </w:pPr>
      <w:r>
        <w:t xml:space="preserve">Huang, T.-Y., Johari, R., McKeown, N., Trunnell, M., and Watson, M.</w:t>
      </w:r>
      <w:r>
        <w:t xml:space="preserve"> </w:t>
      </w:r>
      <w:r>
        <w:t xml:space="preserve">“</w:t>
      </w:r>
      <w:r>
        <w:t xml:space="preserve">A Buffer-Based Approach to Rate Adaptation: Evidence from a Large Video Streaming Service.</w:t>
      </w:r>
      <w:r>
        <w:t xml:space="preserve">”</w:t>
      </w:r>
      <w:r>
        <w:t xml:space="preserve"> </w:t>
      </w:r>
      <w:r>
        <w:rPr>
          <w:iCs/>
          <w:i/>
        </w:rPr>
        <w:t xml:space="preserve">ACM SIGCOMM</w:t>
      </w:r>
      <w:r>
        <w:t xml:space="preserve">, 2014.</w:t>
      </w:r>
    </w:p>
    <w:p>
      <w:pPr>
        <w:numPr>
          <w:ilvl w:val="0"/>
          <w:numId w:val="1708"/>
        </w:numPr>
        <w:pStyle w:val="Compact"/>
      </w:pPr>
      <w:r>
        <w:t xml:space="preserve">Jiang, J., Sekar, V., and Zhang, H.</w:t>
      </w:r>
      <w:r>
        <w:t xml:space="preserve"> </w:t>
      </w:r>
      <w:r>
        <w:t xml:space="preserve">“</w:t>
      </w:r>
      <w:r>
        <w:t xml:space="preserve">Improving Fairness, Efficiency, and Stability in HTTP-based Adaptive Video Streaming with FESTIVE.</w:t>
      </w:r>
      <w:r>
        <w:t xml:space="preserve">”</w:t>
      </w:r>
      <w:r>
        <w:t xml:space="preserve"> </w:t>
      </w:r>
      <w:r>
        <w:rPr>
          <w:iCs/>
          <w:i/>
        </w:rPr>
        <w:t xml:space="preserve">ACM CoNEXT</w:t>
      </w:r>
      <w:r>
        <w:t xml:space="preserve">, 2012.</w:t>
      </w:r>
    </w:p>
    <w:p>
      <w:pPr>
        <w:numPr>
          <w:ilvl w:val="0"/>
          <w:numId w:val="1708"/>
        </w:numPr>
        <w:pStyle w:val="Compact"/>
      </w:pPr>
      <w:r>
        <w:t xml:space="preserve">Yin, X., Jindal, A., Sekar, V., and Sinopoli, B.</w:t>
      </w:r>
      <w:r>
        <w:t xml:space="preserve"> </w:t>
      </w:r>
      <w:r>
        <w:t xml:space="preserve">“</w:t>
      </w:r>
      <w:r>
        <w:t xml:space="preserve">A Control-Theoretic Approach for Dynamic Adaptive Video Streaming over HTTP.</w:t>
      </w:r>
      <w:r>
        <w:t xml:space="preserve">”</w:t>
      </w:r>
      <w:r>
        <w:t xml:space="preserve"> </w:t>
      </w:r>
      <w:r>
        <w:rPr>
          <w:iCs/>
          <w:i/>
        </w:rPr>
        <w:t xml:space="preserve">ACM SIGCOMM</w:t>
      </w:r>
      <w:r>
        <w:t xml:space="preserve">, 2015.</w:t>
      </w:r>
    </w:p>
    <w:p>
      <w:pPr>
        <w:numPr>
          <w:ilvl w:val="0"/>
          <w:numId w:val="1708"/>
        </w:numPr>
        <w:pStyle w:val="Compact"/>
      </w:pPr>
      <w:r>
        <w:t xml:space="preserve">Spiteri, K., Urgaonkar, R., and Sitaraman, R. K.</w:t>
      </w:r>
      <w:r>
        <w:t xml:space="preserve"> </w:t>
      </w:r>
      <w:r>
        <w:t xml:space="preserve">“</w:t>
      </w:r>
      <w:r>
        <w:t xml:space="preserve">BOLA: Near-Optimal Bitrate Adaptation for Online Videos.</w:t>
      </w:r>
      <w:r>
        <w:t xml:space="preserve">”</w:t>
      </w:r>
      <w:r>
        <w:t xml:space="preserve"> </w:t>
      </w:r>
      <w:r>
        <w:rPr>
          <w:iCs/>
          <w:i/>
        </w:rPr>
        <w:t xml:space="preserve">IEEE INFOCOM</w:t>
      </w:r>
      <w:r>
        <w:t xml:space="preserve">, 2016.</w:t>
      </w:r>
    </w:p>
    <w:p>
      <w:pPr>
        <w:numPr>
          <w:ilvl w:val="0"/>
          <w:numId w:val="1708"/>
        </w:numPr>
        <w:pStyle w:val="Compact"/>
      </w:pPr>
      <w:r>
        <w:t xml:space="preserve">Mao, H., Netravali, R., and Alizadeh, M.</w:t>
      </w:r>
      <w:r>
        <w:t xml:space="preserve"> </w:t>
      </w:r>
      <w:r>
        <w:t xml:space="preserve">“</w:t>
      </w:r>
      <w:r>
        <w:t xml:space="preserve">Neural Adaptive Video Streaming with Pensieve.</w:t>
      </w:r>
      <w:r>
        <w:t xml:space="preserve">”</w:t>
      </w:r>
      <w:r>
        <w:t xml:space="preserve"> </w:t>
      </w:r>
      <w:r>
        <w:rPr>
          <w:iCs/>
          <w:i/>
        </w:rPr>
        <w:t xml:space="preserve">ACM SIGCOMM</w:t>
      </w:r>
      <w:r>
        <w:t xml:space="preserve">, 2017.</w:t>
      </w:r>
    </w:p>
    <w:p>
      <w:pPr>
        <w:numPr>
          <w:ilvl w:val="0"/>
          <w:numId w:val="1708"/>
        </w:numPr>
        <w:pStyle w:val="Compact"/>
      </w:pPr>
      <w:r>
        <w:t xml:space="preserve">Huang, Q., Birman, K., van Renesse, R., Lloyd, W., Kumar, S., and Li, H. C.</w:t>
      </w:r>
      <w:r>
        <w:t xml:space="preserve"> </w:t>
      </w:r>
      <w:r>
        <w:t xml:space="preserve">“</w:t>
      </w:r>
      <w:r>
        <w:t xml:space="preserve">An Analysis of Facebook Photo Caching.</w:t>
      </w:r>
      <w:r>
        <w:t xml:space="preserve">”</w:t>
      </w:r>
      <w:r>
        <w:t xml:space="preserve"> </w:t>
      </w:r>
      <w:r>
        <w:rPr>
          <w:iCs/>
          <w:i/>
        </w:rPr>
        <w:t xml:space="preserve">ACM SOSP</w:t>
      </w:r>
      <w:r>
        <w:t xml:space="preserve">, 2013.</w:t>
      </w:r>
    </w:p>
    <w:p>
      <w:pPr>
        <w:numPr>
          <w:ilvl w:val="0"/>
          <w:numId w:val="1708"/>
        </w:numPr>
        <w:pStyle w:val="Compact"/>
      </w:pPr>
      <w:r>
        <w:t xml:space="preserve">Grigorik, I.</w:t>
      </w:r>
      <w:r>
        <w:t xml:space="preserve"> </w:t>
      </w:r>
      <w:r>
        <w:rPr>
          <w:iCs/>
          <w:i/>
        </w:rPr>
        <w:t xml:space="preserve">High Performance Browser Networking</w:t>
      </w:r>
      <w:r>
        <w:t xml:space="preserve">. O’Reilly, 2013. https://hpbn.co</w:t>
      </w:r>
    </w:p>
    <w:p>
      <w:pPr>
        <w:numPr>
          <w:ilvl w:val="0"/>
          <w:numId w:val="1708"/>
        </w:numPr>
        <w:pStyle w:val="Compact"/>
      </w:pPr>
      <w:r>
        <w:t xml:space="preserve">Karger, D., Lehman, E., Leighton, T., Panigrahy, R., Levine, M., and Lewin, D.</w:t>
      </w:r>
      <w:r>
        <w:t xml:space="preserve"> </w:t>
      </w:r>
      <w:r>
        <w:t xml:space="preserve">“</w:t>
      </w:r>
      <w:r>
        <w:t xml:space="preserve">Consistent Hashing and Random Trees: Distributed Caching Protocols for Relieving Hot Spots on the World Wide Web.</w:t>
      </w:r>
      <w:r>
        <w:t xml:space="preserve">”</w:t>
      </w:r>
      <w:r>
        <w:t xml:space="preserve"> </w:t>
      </w:r>
      <w:r>
        <w:rPr>
          <w:iCs/>
          <w:i/>
        </w:rPr>
        <w:t xml:space="preserve">ACM STOC</w:t>
      </w:r>
      <w:r>
        <w:t xml:space="preserve">, 1997.</w:t>
      </w:r>
    </w:p>
    <w:p>
      <w:pPr>
        <w:numPr>
          <w:ilvl w:val="0"/>
          <w:numId w:val="1708"/>
        </w:numPr>
        <w:pStyle w:val="Compact"/>
      </w:pPr>
      <w:r>
        <w:t xml:space="preserve">Contavalli, C., van der Gaast, W., Lawrence, D., and Kumari, W.</w:t>
      </w:r>
      <w:r>
        <w:t xml:space="preserve"> </w:t>
      </w:r>
      <w:r>
        <w:rPr>
          <w:iCs/>
          <w:i/>
        </w:rPr>
        <w:t xml:space="preserve">RFC 7871: Client Subnet in DNS Queries</w:t>
      </w:r>
      <w:r>
        <w:t xml:space="preserve">. IETF, 2016.</w:t>
      </w:r>
    </w:p>
    <w:p>
      <w:pPr>
        <w:numPr>
          <w:ilvl w:val="0"/>
          <w:numId w:val="1708"/>
        </w:numPr>
        <w:pStyle w:val="Compact"/>
      </w:pPr>
      <w:r>
        <w:t xml:space="preserve">Chen, F., Sitaraman, R. K., and Torres, M.</w:t>
      </w:r>
      <w:r>
        <w:t xml:space="preserve"> </w:t>
      </w:r>
      <w:r>
        <w:t xml:space="preserve">“</w:t>
      </w:r>
      <w:r>
        <w:t xml:space="preserve">End-User Mapping: Next Generation Request Routing for Content Delivery.</w:t>
      </w:r>
      <w:r>
        <w:t xml:space="preserve">”</w:t>
      </w:r>
      <w:r>
        <w:t xml:space="preserve"> </w:t>
      </w:r>
      <w:r>
        <w:rPr>
          <w:iCs/>
          <w:i/>
        </w:rPr>
        <w:t xml:space="preserve">ACM SIGCOMM</w:t>
      </w:r>
      <w:r>
        <w:t xml:space="preserve">, 2015.</w:t>
      </w:r>
    </w:p>
    <w:p>
      <w:pPr>
        <w:numPr>
          <w:ilvl w:val="0"/>
          <w:numId w:val="1708"/>
        </w:numPr>
        <w:pStyle w:val="Compact"/>
      </w:pPr>
      <w:r>
        <w:t xml:space="preserve">Calder, M., Flavel, A., Katz-Bassett, E., Mahajan, R., and Padhye, J.</w:t>
      </w:r>
      <w:r>
        <w:t xml:space="preserve"> </w:t>
      </w:r>
      <w:r>
        <w:t xml:space="preserve">“</w:t>
      </w:r>
      <w:r>
        <w:t xml:space="preserve">Analyzing the Performance of an Anycast CDN.</w:t>
      </w:r>
      <w:r>
        <w:t xml:space="preserve">”</w:t>
      </w:r>
      <w:r>
        <w:t xml:space="preserve"> </w:t>
      </w:r>
      <w:r>
        <w:rPr>
          <w:iCs/>
          <w:i/>
        </w:rPr>
        <w:t xml:space="preserve">ACM IMC</w:t>
      </w:r>
      <w:r>
        <w:t xml:space="preserve">, 2015.</w:t>
      </w:r>
    </w:p>
    <w:p>
      <w:pPr>
        <w:numPr>
          <w:ilvl w:val="0"/>
          <w:numId w:val="1708"/>
        </w:numPr>
        <w:pStyle w:val="Compact"/>
      </w:pPr>
      <w:r>
        <w:t xml:space="preserve">Tsimelzon, M., et al. </w:t>
      </w:r>
      <w:r>
        <w:rPr>
          <w:iCs/>
          <w:i/>
        </w:rPr>
        <w:t xml:space="preserve">ESI Language Specification 1.0</w:t>
      </w:r>
      <w:r>
        <w:t xml:space="preserve">. W3C Note, 2001.</w:t>
      </w:r>
    </w:p>
    <w:p>
      <w:pPr>
        <w:numPr>
          <w:ilvl w:val="0"/>
          <w:numId w:val="1708"/>
        </w:numPr>
        <w:pStyle w:val="Compact"/>
      </w:pPr>
      <w:r>
        <w:t xml:space="preserve">Kettle, J.</w:t>
      </w:r>
      <w:r>
        <w:t xml:space="preserve"> </w:t>
      </w:r>
      <w:r>
        <w:t xml:space="preserve">“</w:t>
      </w:r>
      <w:r>
        <w:t xml:space="preserve">Practical Web Cache Poisoning.</w:t>
      </w:r>
      <w:r>
        <w:t xml:space="preserve">”</w:t>
      </w:r>
      <w:r>
        <w:t xml:space="preserve"> </w:t>
      </w:r>
      <w:r>
        <w:t xml:space="preserve">PortSwigger Research, 2018.</w:t>
      </w:r>
    </w:p>
    <w:p>
      <w:pPr>
        <w:numPr>
          <w:ilvl w:val="0"/>
          <w:numId w:val="1708"/>
        </w:numPr>
        <w:pStyle w:val="Compact"/>
      </w:pPr>
      <w:r>
        <w:t xml:space="preserve">Gil, O.</w:t>
      </w:r>
      <w:r>
        <w:t xml:space="preserve"> </w:t>
      </w:r>
      <w:r>
        <w:t xml:space="preserve">“</w:t>
      </w:r>
      <w:r>
        <w:t xml:space="preserve">Web Cache Deception Attack.</w:t>
      </w:r>
      <w:r>
        <w:t xml:space="preserve">”</w:t>
      </w:r>
      <w:r>
        <w:t xml:space="preserve"> </w:t>
      </w:r>
      <w:r>
        <w:t xml:space="preserve">Black Hat USA, 2017.</w:t>
      </w:r>
    </w:p>
    <w:p>
      <w:pPr>
        <w:numPr>
          <w:ilvl w:val="0"/>
          <w:numId w:val="1708"/>
        </w:numPr>
        <w:pStyle w:val="Compact"/>
      </w:pPr>
      <w:r>
        <w:t xml:space="preserve">Netflix.</w:t>
      </w:r>
      <w:r>
        <w:t xml:space="preserve"> </w:t>
      </w:r>
      <w:r>
        <w:rPr>
          <w:iCs/>
          <w:i/>
        </w:rPr>
        <w:t xml:space="preserve">Open Connect Overview</w:t>
      </w:r>
      <w:r>
        <w:t xml:space="preserve">. https://openconnect.netflix.com/Open-Connect-Overview.pdf (accessed 2026).</w:t>
      </w:r>
    </w:p>
    <w:p>
      <w:pPr>
        <w:numPr>
          <w:ilvl w:val="0"/>
          <w:numId w:val="1708"/>
        </w:numPr>
        <w:pStyle w:val="Compact"/>
      </w:pPr>
      <w:r>
        <w:t xml:space="preserve">Netflix Technology Blog.</w:t>
      </w:r>
      <w:r>
        <w:t xml:space="preserve"> </w:t>
      </w:r>
      <w:r>
        <w:t xml:space="preserve">“</w:t>
      </w:r>
      <w:r>
        <w:t xml:space="preserve">Netflix and Fill.</w:t>
      </w:r>
      <w:r>
        <w:t xml:space="preserve">”</w:t>
      </w:r>
      <w:r>
        <w:t xml:space="preserve"> </w:t>
      </w:r>
      <w:r>
        <w:t xml:space="preserve">2016.</w:t>
      </w:r>
    </w:p>
    <w:p>
      <w:pPr>
        <w:numPr>
          <w:ilvl w:val="0"/>
          <w:numId w:val="1708"/>
        </w:numPr>
        <w:pStyle w:val="Compact"/>
      </w:pPr>
      <w:r>
        <w:t xml:space="preserve">Bloom, Z.</w:t>
      </w:r>
      <w:r>
        <w:t xml:space="preserve"> </w:t>
      </w:r>
      <w:r>
        <w:t xml:space="preserve">“</w:t>
      </w:r>
      <w:r>
        <w:t xml:space="preserve">Cloud Computing without Containers.</w:t>
      </w:r>
      <w:r>
        <w:t xml:space="preserve">”</w:t>
      </w:r>
      <w:r>
        <w:t xml:space="preserve"> </w:t>
      </w:r>
      <w:r>
        <w:rPr>
          <w:iCs/>
          <w:i/>
        </w:rPr>
        <w:t xml:space="preserve">Cloudflare Blog</w:t>
      </w:r>
      <w:r>
        <w:t xml:space="preserve">, 2018.</w:t>
      </w:r>
    </w:p>
    <w:p>
      <w:pPr>
        <w:numPr>
          <w:ilvl w:val="0"/>
          <w:numId w:val="1708"/>
        </w:numPr>
        <w:pStyle w:val="Compact"/>
      </w:pPr>
      <w:r>
        <w:t xml:space="preserve">Amazon Web Services.</w:t>
      </w:r>
      <w:r>
        <w:t xml:space="preserve"> </w:t>
      </w:r>
      <w:r>
        <w:t xml:space="preserve">“</w:t>
      </w:r>
      <w:r>
        <w:t xml:space="preserve">Introducing CloudFront Functions – Run Your Code at the Edge with Low Latency at Any Scale.</w:t>
      </w:r>
      <w:r>
        <w:t xml:space="preserve">”</w:t>
      </w:r>
      <w:r>
        <w:t xml:space="preserve"> </w:t>
      </w:r>
      <w:r>
        <w:rPr>
          <w:iCs/>
          <w:i/>
        </w:rPr>
        <w:t xml:space="preserve">AWS News Blog</w:t>
      </w:r>
      <w:r>
        <w:t xml:space="preserve">, 2021.</w:t>
      </w:r>
    </w:p>
    <w:p>
      <w:pPr>
        <w:numPr>
          <w:ilvl w:val="0"/>
          <w:numId w:val="1708"/>
        </w:numPr>
        <w:pStyle w:val="Compact"/>
      </w:pPr>
      <w:r>
        <w:t xml:space="preserve">Amazon Web Services.</w:t>
      </w:r>
      <w:r>
        <w:t xml:space="preserve"> </w:t>
      </w:r>
      <w:r>
        <w:rPr>
          <w:iCs/>
          <w:i/>
        </w:rPr>
        <w:t xml:space="preserve">Amazon CloudFront Developer Guide</w:t>
      </w:r>
      <w:r>
        <w:t xml:space="preserve">:</w:t>
      </w:r>
      <w:r>
        <w:t xml:space="preserve"> </w:t>
      </w:r>
      <w:r>
        <w:t xml:space="preserve">“</w:t>
      </w:r>
      <w:r>
        <w:t xml:space="preserve">Using Amazon CloudFront Origin Shield</w:t>
      </w:r>
      <w:r>
        <w:t xml:space="preserve">”</w:t>
      </w:r>
      <w:r>
        <w:t xml:space="preserve">; regional edge caches. Accessed 2026.</w:t>
      </w:r>
    </w:p>
    <w:p>
      <w:pPr>
        <w:numPr>
          <w:ilvl w:val="0"/>
          <w:numId w:val="1708"/>
        </w:numPr>
        <w:pStyle w:val="Compact"/>
      </w:pPr>
      <w:r>
        <w:t xml:space="preserve">Cloudflare.</w:t>
      </w:r>
      <w:r>
        <w:t xml:space="preserve"> </w:t>
      </w:r>
      <w:r>
        <w:rPr>
          <w:iCs/>
          <w:i/>
        </w:rPr>
        <w:t xml:space="preserve">Cloudflare documentation</w:t>
      </w:r>
      <w:r>
        <w:t xml:space="preserve">: Network; Tiered Cache; Cache keys; Purge cache by tag. https://developers.cloudflare.com/ (accessed 2026).</w:t>
      </w:r>
    </w:p>
    <w:p>
      <w:pPr>
        <w:numPr>
          <w:ilvl w:val="0"/>
          <w:numId w:val="1708"/>
        </w:numPr>
        <w:pStyle w:val="Compact"/>
      </w:pPr>
      <w:r>
        <w:t xml:space="preserve">Fastly.</w:t>
      </w:r>
      <w:r>
        <w:t xml:space="preserve"> </w:t>
      </w:r>
      <w:r>
        <w:rPr>
          <w:iCs/>
          <w:i/>
        </w:rPr>
        <w:t xml:space="preserve">Fastly documentation</w:t>
      </w:r>
      <w:r>
        <w:t xml:space="preserve">: Purging (surrogate keys); Compute. https://www.fastly.com/documentation/ (accessed 2026).</w:t>
      </w:r>
    </w:p>
    <w:p>
      <w:pPr>
        <w:numPr>
          <w:ilvl w:val="0"/>
          <w:numId w:val="1708"/>
        </w:numPr>
        <w:pStyle w:val="Compact"/>
      </w:pPr>
      <w:r>
        <w:t xml:space="preserve">Betts, A.</w:t>
      </w:r>
      <w:r>
        <w:t xml:space="preserve"> </w:t>
      </w:r>
      <w:r>
        <w:t xml:space="preserve">“</w:t>
      </w:r>
      <w:r>
        <w:t xml:space="preserve">Is purging still the hardest problem in computer science?</w:t>
      </w:r>
      <w:r>
        <w:t xml:space="preserve">”</w:t>
      </w:r>
      <w:r>
        <w:t xml:space="preserve"> </w:t>
      </w:r>
      <w:r>
        <w:rPr>
          <w:iCs/>
          <w:i/>
        </w:rPr>
        <w:t xml:space="preserve">Fastly Blog</w:t>
      </w:r>
      <w:r>
        <w:t xml:space="preserve">. https://www.fastly.com/blog/is-purging-still-the-hardest-problem-in-computer-science</w:t>
      </w:r>
    </w:p>
    <w:p>
      <w:pPr>
        <w:numPr>
          <w:ilvl w:val="0"/>
          <w:numId w:val="1708"/>
        </w:numPr>
        <w:pStyle w:val="Compact"/>
      </w:pPr>
      <w:r>
        <w:t xml:space="preserve">Apple.</w:t>
      </w:r>
      <w:r>
        <w:t xml:space="preserve"> </w:t>
      </w:r>
      <w:r>
        <w:rPr>
          <w:iCs/>
          <w:i/>
        </w:rPr>
        <w:t xml:space="preserve">Enabling Low-Latency HTTP Live Streaming (HLS)</w:t>
      </w:r>
      <w:r>
        <w:t xml:space="preserve">;</w:t>
      </w:r>
      <w:r>
        <w:t xml:space="preserve"> </w:t>
      </w:r>
      <w:r>
        <w:rPr>
          <w:iCs/>
          <w:i/>
        </w:rPr>
        <w:t xml:space="preserve">HLS Authoring Specification for Apple Devices</w:t>
      </w:r>
      <w:r>
        <w:t xml:space="preserve">. Apple Developer documentation. Accessed 2026.</w:t>
      </w:r>
    </w:p>
    <w:p>
      <w:pPr>
        <w:numPr>
          <w:ilvl w:val="0"/>
          <w:numId w:val="1708"/>
        </w:numPr>
        <w:pStyle w:val="Compact"/>
      </w:pPr>
      <w:r>
        <w:t xml:space="preserve">Sullivan, N.</w:t>
      </w:r>
      <w:r>
        <w:t xml:space="preserve"> </w:t>
      </w:r>
      <w:r>
        <w:t xml:space="preserve">“</w:t>
      </w:r>
      <w:r>
        <w:t xml:space="preserve">Keyless SSL: The Nitty Gritty Technical Details.</w:t>
      </w:r>
      <w:r>
        <w:t xml:space="preserve">”</w:t>
      </w:r>
      <w:r>
        <w:t xml:space="preserve"> </w:t>
      </w:r>
      <w:r>
        <w:rPr>
          <w:iCs/>
          <w:i/>
        </w:rPr>
        <w:t xml:space="preserve">Cloudflare Blog</w:t>
      </w:r>
      <w:r>
        <w:t xml:space="preserve">, 2014.</w:t>
      </w:r>
    </w:p>
    <w:p>
      <w:pPr>
        <w:numPr>
          <w:ilvl w:val="0"/>
          <w:numId w:val="1708"/>
        </w:numPr>
        <w:pStyle w:val="Compact"/>
      </w:pPr>
      <w:r>
        <w:t xml:space="preserve">Barnes, R., Hoffman-Andrews, J., McCarney, D., and Kasten, J.</w:t>
      </w:r>
      <w:r>
        <w:t xml:space="preserve"> </w:t>
      </w:r>
      <w:r>
        <w:rPr>
          <w:iCs/>
          <w:i/>
        </w:rPr>
        <w:t xml:space="preserve">RFC 8555: Automatic Certificate Management Environment (ACME)</w:t>
      </w:r>
      <w:r>
        <w:t xml:space="preserve">. IETF, 2019.</w:t>
      </w:r>
    </w:p>
    <w:bookmarkEnd w:id="2436"/>
    <w:bookmarkStart w:id="2437" w:name="open-verification-items-20"/>
    <w:p>
      <w:pPr>
        <w:pStyle w:val="Heading2"/>
      </w:pPr>
      <w:r>
        <w:t xml:space="preserve">21.18 Open verification items</w:t>
      </w:r>
    </w:p>
    <w:p>
      <w:pPr>
        <w:numPr>
          <w:ilvl w:val="0"/>
          <w:numId w:val="1709"/>
        </w:numPr>
        <w:pStyle w:val="Compact"/>
      </w:pPr>
      <w:r>
        <w:t xml:space="preserve">Fastly purge timing (~150 ms) and the publication date of [Betts, Fastly Blog]; fastly.com was unreachable from the authoring environment.</w:t>
      </w:r>
    </w:p>
    <w:p>
      <w:pPr>
        <w:numPr>
          <w:ilvl w:val="0"/>
          <w:numId w:val="1709"/>
        </w:numPr>
        <w:pStyle w:val="Compact"/>
      </w:pPr>
      <w:r>
        <w:t xml:space="preserve">Netflix Open Connect claims (no-charge embedded OCAs, AWS control plane, fill-window and tiered-fill order, 2012 launch): openconnect.netflix.com was unreachable; confirm against the Overview PDF and the 2016</w:t>
      </w:r>
      <w:r>
        <w:t xml:space="preserve"> </w:t>
      </w:r>
      <w:r>
        <w:t xml:space="preserve">“</w:t>
      </w:r>
      <w:r>
        <w:t xml:space="preserve">Netflix and Fill</w:t>
      </w:r>
      <w:r>
        <w:t xml:space="preserve">”</w:t>
      </w:r>
      <w:r>
        <w:t xml:space="preserve"> </w:t>
      </w:r>
      <w:r>
        <w:t xml:space="preserve">post (exact date and authors).</w:t>
      </w:r>
    </w:p>
    <w:p>
      <w:pPr>
        <w:numPr>
          <w:ilvl w:val="0"/>
          <w:numId w:val="1709"/>
        </w:numPr>
        <w:pStyle w:val="Compact"/>
      </w:pPr>
      <w:r>
        <w:t xml:space="preserve">Huang et al. 2014: confirm the</w:t>
      </w:r>
      <w:r>
        <w:t xml:space="preserve"> </w:t>
      </w:r>
      <w:r>
        <w:t xml:space="preserve">“</w:t>
      </w:r>
      <w:r>
        <w:t xml:space="preserve">10–20% rebuffer reduction</w:t>
      </w:r>
      <w:r>
        <w:t xml:space="preserve">”</w:t>
      </w:r>
      <w:r>
        <w:t xml:space="preserve"> </w:t>
      </w:r>
      <w:r>
        <w:t xml:space="preserve">wording.</w:t>
      </w:r>
    </w:p>
    <w:p>
      <w:pPr>
        <w:numPr>
          <w:ilvl w:val="0"/>
          <w:numId w:val="1709"/>
        </w:numPr>
        <w:pStyle w:val="Compact"/>
      </w:pPr>
      <w:r>
        <w:t xml:space="preserve">Illustrative 2026 prices in §21.5.4 ($0.05/GB origin egress tier, $0.01/GB negotiated CDN rate).</w:t>
      </w:r>
    </w:p>
    <w:p>
      <w:pPr>
        <w:numPr>
          <w:ilvl w:val="0"/>
          <w:numId w:val="1709"/>
        </w:numPr>
        <w:pStyle w:val="Compact"/>
      </w:pPr>
      <w:r>
        <w:t xml:space="preserve">CloudFront Functions and Lambda@Edge limits (sub-millisecond; 5 s/30 s) as of 2026.</w:t>
      </w:r>
    </w:p>
    <w:p>
      <w:pPr>
        <w:numPr>
          <w:ilvl w:val="0"/>
          <w:numId w:val="1709"/>
        </w:numPr>
        <w:pStyle w:val="Compact"/>
      </w:pPr>
      <w:r>
        <w:t xml:space="preserve">LL-HLS details (part hold-back of about three parts; 2019 introduction).</w:t>
      </w:r>
    </w:p>
    <w:p>
      <w:pPr>
        <w:numPr>
          <w:ilvl w:val="0"/>
          <w:numId w:val="1709"/>
        </w:numPr>
        <w:pStyle w:val="Compact"/>
      </w:pPr>
      <w:r>
        <w:t xml:space="preserve">Exact title and authors of the ESI 1.0 W3C Note.</w:t>
      </w:r>
    </w:p>
    <w:bookmarkEnd w:id="2437"/>
    <w:bookmarkEnd w:id="2438"/>
    <w:bookmarkStart w:id="2556" w:name="chapter-22-api-and-traffic-management"/>
    <w:p>
      <w:pPr>
        <w:pStyle w:val="Heading1"/>
      </w:pPr>
      <w:r>
        <w:t xml:space="preserve">Chapter 22 — API and Traffic Management</w:t>
      </w:r>
    </w:p>
    <w:p>
      <w:pPr>
        <w:pStyle w:val="BlockText"/>
      </w:pPr>
      <w:r>
        <w:rPr>
          <w:bCs/>
          <w:b/>
        </w:rPr>
        <w:t xml:space="preserve">Level:</w:t>
      </w:r>
      <w:r>
        <w:t xml:space="preserve"> </w:t>
      </w:r>
      <w:r>
        <w:t xml:space="preserve">2–3 ·</w:t>
      </w:r>
      <w:r>
        <w:t xml:space="preserve"> </w:t>
      </w:r>
      <w:r>
        <w:rPr>
          <w:bCs/>
          <w:b/>
        </w:rPr>
        <w:t xml:space="preserve">Track:</w:t>
      </w:r>
      <w:r>
        <w:t xml:space="preserve"> </w:t>
      </w:r>
      <w:r>
        <w:t xml:space="preserve">A (Traditional) ·</w:t>
      </w:r>
      <w:r>
        <w:t xml:space="preserve"> </w:t>
      </w:r>
      <w:r>
        <w:rPr>
          <w:bCs/>
          <w:b/>
        </w:rPr>
        <w:t xml:space="preserve">Estimated reading time:</w:t>
      </w:r>
      <w:r>
        <w:t xml:space="preserve"> </w:t>
      </w:r>
      <w:r>
        <w:t xml:space="preserve">3 h</w:t>
      </w:r>
    </w:p>
    <w:p>
      <w:pPr>
        <w:pStyle w:val="FirstParagraph"/>
      </w:pPr>
      <w:r>
        <w:t xml:space="preserve">Every service eventually receives more requests than it can handle: from success (a launch), abuse (a scraper) or, very often, itself (a slow database makes callers time out, they retry, and the retries triple the load). As utilization approaches 100%, queueing delay grows without bound (§4.10.3); this chapter is the toolbox for staying on the safe side of that curve. It covers</w:t>
      </w:r>
      <w:r>
        <w:t xml:space="preserve"> </w:t>
      </w:r>
      <w:r>
        <w:rPr>
          <w:bCs/>
          <w:b/>
        </w:rPr>
        <w:t xml:space="preserve">rate limiting</w:t>
      </w:r>
      <w:r>
        <w:t xml:space="preserve"> </w:t>
      </w:r>
      <w:r>
        <w:t xml:space="preserve">(deciding how much each client may send),</w:t>
      </w:r>
      <w:r>
        <w:t xml:space="preserve"> </w:t>
      </w:r>
      <w:r>
        <w:rPr>
          <w:bCs/>
          <w:b/>
        </w:rPr>
        <w:t xml:space="preserve">load shedding</w:t>
      </w:r>
      <w:r>
        <w:t xml:space="preserve"> </w:t>
      </w:r>
      <w:r>
        <w:t xml:space="preserve">and</w:t>
      </w:r>
      <w:r>
        <w:t xml:space="preserve"> </w:t>
      </w:r>
      <w:r>
        <w:rPr>
          <w:bCs/>
          <w:b/>
        </w:rPr>
        <w:t xml:space="preserve">backpressure</w:t>
      </w:r>
      <w:r>
        <w:t xml:space="preserve"> </w:t>
      </w:r>
      <w:r>
        <w:t xml:space="preserve">(what a server does when total demand exceeds capacity), the client-side disciplines of</w:t>
      </w:r>
      <w:r>
        <w:t xml:space="preserve"> </w:t>
      </w:r>
      <w:r>
        <w:rPr>
          <w:bCs/>
          <w:b/>
        </w:rPr>
        <w:t xml:space="preserve">timeouts, deadlines, retries, circuit breakers and bulkheads</w:t>
      </w:r>
      <w:r>
        <w:t xml:space="preserve">, and finally</w:t>
      </w:r>
      <w:r>
        <w:t xml:space="preserve"> </w:t>
      </w:r>
      <w:r>
        <w:rPr>
          <w:bCs/>
          <w:b/>
        </w:rPr>
        <w:t xml:space="preserve">idempotency keys</w:t>
      </w:r>
      <w:r>
        <w:t xml:space="preserve">, which make retries safe for operations that must never happen twice, such as charging a card.</w:t>
      </w:r>
    </w:p>
    <w:p>
      <w:pPr>
        <w:pStyle w:val="BodyText"/>
      </w:pPr>
      <w:r>
        <w:t xml:space="preserve">The running example is PhotoShare (Chapter 1), which now offers a public API and sells a</w:t>
      </w:r>
      <w:r>
        <w:t xml:space="preserve"> </w:t>
      </w:r>
      <w:r>
        <w:t xml:space="preserve">“</w:t>
      </w:r>
      <w:r>
        <w:t xml:space="preserve">PhotoShare Pro</w:t>
      </w:r>
      <w:r>
        <w:t xml:space="preserve">”</w:t>
      </w:r>
      <w:r>
        <w:t xml:space="preserve"> </w:t>
      </w:r>
      <w:r>
        <w:t xml:space="preserve">subscription through an external payment provider: the API needs quotas, the upload service needs overload protection, and the purchase must never charge twice. The traffic figures in this chapter describe PhotoShare several years after the v3 stage of §1.9, with rates 15–30× higher than Chapter 1’s; each worked example states its own capacity and load, so treat them as independent scenarios rather than one consistent fleet.</w:t>
      </w:r>
    </w:p>
    <w:bookmarkStart w:id="2439" w:name="learning-objectives-21"/>
    <w:p>
      <w:pPr>
        <w:pStyle w:val="Heading2"/>
      </w:pPr>
      <w:r>
        <w:t xml:space="preserve">22.1 Learning objectives</w:t>
      </w:r>
    </w:p>
    <w:p>
      <w:pPr>
        <w:pStyle w:val="FirstParagraph"/>
      </w:pPr>
      <w:r>
        <w:t xml:space="preserve">After this chapter you should be able to:</w:t>
      </w:r>
    </w:p>
    <w:p>
      <w:pPr>
        <w:numPr>
          <w:ilvl w:val="0"/>
          <w:numId w:val="1710"/>
        </w:numPr>
        <w:pStyle w:val="Compact"/>
      </w:pPr>
      <w:r>
        <w:t xml:space="preserve">Choose where to enforce a rate limit (client, edge, gateway, service) and what to key it on, and signal limits correctly with HTTP 429,</w:t>
      </w:r>
      <w:r>
        <w:t xml:space="preserve"> </w:t>
      </w:r>
      <w:r>
        <w:rPr>
          <w:rStyle w:val="VerbatimChar"/>
        </w:rPr>
        <w:t xml:space="preserve">Retry-After</w:t>
      </w:r>
      <w:r>
        <w:t xml:space="preserve"> </w:t>
      </w:r>
      <w:r>
        <w:t xml:space="preserve">and the draft</w:t>
      </w:r>
      <w:r>
        <w:t xml:space="preserve"> </w:t>
      </w:r>
      <w:r>
        <w:rPr>
          <w:rStyle w:val="VerbatimChar"/>
        </w:rPr>
        <w:t xml:space="preserve">RateLimit</w:t>
      </w:r>
      <w:r>
        <w:t xml:space="preserve"> </w:t>
      </w:r>
      <w:r>
        <w:t xml:space="preserve">header fields.</w:t>
      </w:r>
    </w:p>
    <w:p>
      <w:pPr>
        <w:numPr>
          <w:ilvl w:val="0"/>
          <w:numId w:val="1710"/>
        </w:numPr>
        <w:pStyle w:val="Compact"/>
      </w:pPr>
      <w:r>
        <w:t xml:space="preserve">Implement and parameterize the token bucket, leaky bucket (including GCRA), fixed window, sliding log and sliding window counter algorithms, and compare their accuracy, memory and burst behavior with numbers.</w:t>
      </w:r>
    </w:p>
    <w:p>
      <w:pPr>
        <w:numPr>
          <w:ilvl w:val="0"/>
          <w:numId w:val="1710"/>
        </w:numPr>
        <w:pStyle w:val="Compact"/>
      </w:pPr>
      <w:r>
        <w:t xml:space="preserve">Design a distributed rate limiter (centralized Redis with Lua, local counting with synchronization, quota distribution) and quantify its latency/accuracy trade-off.</w:t>
      </w:r>
    </w:p>
    <w:p>
      <w:pPr>
        <w:numPr>
          <w:ilvl w:val="0"/>
          <w:numId w:val="1710"/>
        </w:numPr>
        <w:pStyle w:val="Compact"/>
      </w:pPr>
      <w:r>
        <w:t xml:space="preserve">Explain load shedding, priority-based shedding, CoDel-style queue control and adaptive LIFO, and compute when an overloaded server’s goodput collapses.</w:t>
      </w:r>
    </w:p>
    <w:p>
      <w:pPr>
        <w:numPr>
          <w:ilvl w:val="0"/>
          <w:numId w:val="1710"/>
        </w:numPr>
        <w:pStyle w:val="Compact"/>
      </w:pPr>
      <w:r>
        <w:t xml:space="preserve">Size bounded queues and connection pools with Little’s Law, and explain backpressure from TCP to reactive streams.</w:t>
      </w:r>
    </w:p>
    <w:p>
      <w:pPr>
        <w:numPr>
          <w:ilvl w:val="0"/>
          <w:numId w:val="1710"/>
        </w:numPr>
        <w:pStyle w:val="Compact"/>
      </w:pPr>
      <w:r>
        <w:t xml:space="preserve">Propagate deadlines across a call chain and allocate a timeout budget.</w:t>
      </w:r>
    </w:p>
    <w:p>
      <w:pPr>
        <w:numPr>
          <w:ilvl w:val="0"/>
          <w:numId w:val="1710"/>
        </w:numPr>
        <w:pStyle w:val="Compact"/>
      </w:pPr>
      <w:r>
        <w:t xml:space="preserve">Configure retries with exponential backoff, full/equal/decorrelated jitter and retry budgets, and calculate retry amplification in a deep call graph.</w:t>
      </w:r>
    </w:p>
    <w:p>
      <w:pPr>
        <w:numPr>
          <w:ilvl w:val="0"/>
          <w:numId w:val="1710"/>
        </w:numPr>
        <w:pStyle w:val="Compact"/>
      </w:pPr>
      <w:r>
        <w:t xml:space="preserve">Implement a circuit breaker and bulkheads, and choose their thresholds.</w:t>
      </w:r>
    </w:p>
    <w:p>
      <w:pPr>
        <w:numPr>
          <w:ilvl w:val="0"/>
          <w:numId w:val="1710"/>
        </w:numPr>
        <w:pStyle w:val="Compact"/>
      </w:pPr>
      <w:r>
        <w:t xml:space="preserve">Design an idempotency-key layer: key scope, request fingerprinting, storage schema, concurrency control, leases and retention.</w:t>
      </w:r>
    </w:p>
    <w:bookmarkEnd w:id="2439"/>
    <w:bookmarkStart w:id="2440" w:name="prerequisites-21"/>
    <w:p>
      <w:pPr>
        <w:pStyle w:val="Heading2"/>
      </w:pPr>
      <w:r>
        <w:t xml:space="preserve">22.2 Prerequisites</w:t>
      </w:r>
    </w:p>
    <w:p>
      <w:pPr>
        <w:numPr>
          <w:ilvl w:val="0"/>
          <w:numId w:val="1711"/>
        </w:numPr>
        <w:pStyle w:val="Compact"/>
      </w:pPr>
      <w:r>
        <w:t xml:space="preserve">Queueing, utilization and the M/M/1 latency curve — §4.10 (why overload makes latency explode).</w:t>
      </w:r>
    </w:p>
    <w:p>
      <w:pPr>
        <w:numPr>
          <w:ilvl w:val="0"/>
          <w:numId w:val="1711"/>
        </w:numPr>
        <w:pStyle w:val="Compact"/>
      </w:pPr>
      <w:r>
        <w:t xml:space="preserve">Little’s Law,</w:t>
      </w:r>
      <w:r>
        <w:t xml:space="preserve"> </w:t>
      </w:r>
      <m:oMath>
        <m:r>
          <m:t>L</m:t>
        </m:r>
        <m:r>
          <m:rPr>
            <m:sty m:val="p"/>
          </m:rPr>
          <m:t>=</m:t>
        </m:r>
        <m:r>
          <m:t>λ</m:t>
        </m:r>
        <m:r>
          <m:t>W</m:t>
        </m:r>
      </m:oMath>
      <w:r>
        <w:t xml:space="preserve"> </w:t>
      </w:r>
      <w:r>
        <w:t xml:space="preserve">— §4.11 (sizing queues, pools and in-flight limits).</w:t>
      </w:r>
    </w:p>
    <w:p>
      <w:pPr>
        <w:numPr>
          <w:ilvl w:val="0"/>
          <w:numId w:val="1711"/>
        </w:numPr>
        <w:pStyle w:val="Compact"/>
      </w:pPr>
      <w:r>
        <w:t xml:space="preserve">TCP flow control and the receive window — §7.7.6 (the original backpressure mechanism).</w:t>
      </w:r>
    </w:p>
    <w:p>
      <w:pPr>
        <w:numPr>
          <w:ilvl w:val="0"/>
          <w:numId w:val="1711"/>
        </w:numPr>
        <w:pStyle w:val="Compact"/>
      </w:pPr>
      <w:r>
        <w:t xml:space="preserve">HTTP methods, safety and idempotency; status codes 429 and 503 — §8.6.3–§8.6.4 (this chapter builds the full idempotency design on them).</w:t>
      </w:r>
    </w:p>
    <w:p>
      <w:pPr>
        <w:numPr>
          <w:ilvl w:val="0"/>
          <w:numId w:val="1711"/>
        </w:numPr>
        <w:pStyle w:val="Compact"/>
      </w:pPr>
      <w:r>
        <w:t xml:space="preserve">gRPC status codes and deadlines — §8.8 (deadline propagation in RPC frameworks).</w:t>
      </w:r>
    </w:p>
    <w:p>
      <w:pPr>
        <w:numPr>
          <w:ilvl w:val="0"/>
          <w:numId w:val="1711"/>
        </w:numPr>
        <w:pStyle w:val="Compact"/>
      </w:pPr>
      <w:r>
        <w:t xml:space="preserve">Redis basics (in-memory key-value store) — §12.4 (the usual home for shared rate-limit counters; internals in §20.6).</w:t>
      </w:r>
    </w:p>
    <w:p>
      <w:pPr>
        <w:numPr>
          <w:ilvl w:val="0"/>
          <w:numId w:val="1711"/>
        </w:numPr>
        <w:pStyle w:val="Compact"/>
      </w:pPr>
      <w:r>
        <w:t xml:space="preserve">Units: time in milliseconds (ms) and seconds (s); request rates in requests per second (RPS); storage in decimal units (1 KB = 10³ bytes, 1 GB = 10⁹ bytes).</w:t>
      </w:r>
    </w:p>
    <w:bookmarkEnd w:id="2440"/>
    <w:bookmarkStart w:id="2450" w:name="rate-limiting"/>
    <w:p>
      <w:pPr>
        <w:pStyle w:val="Heading2"/>
      </w:pPr>
      <w:r>
        <w:t xml:space="preserve">22.3 Rate limiting</w:t>
      </w:r>
    </w:p>
    <w:bookmarkStart w:id="2443" w:name="what-rate-limiting-is-and-why-it-exists"/>
    <w:p>
      <w:pPr>
        <w:pStyle w:val="Heading3"/>
      </w:pPr>
      <w:r>
        <w:t xml:space="preserve">22.3.1 What rate limiting is and why it exists</w:t>
      </w:r>
    </w:p>
    <w:p>
      <w:pPr>
        <w:pStyle w:val="CalloutDefinition"/>
      </w:pPr>
      <w:r>
        <w:rPr>
          <w:bCs/>
          <w:b/>
        </w:rPr>
        <w:t xml:space="preserve">DEFINITION</w:t>
      </w:r>
    </w:p>
    <w:p>
      <w:pPr>
        <w:pStyle w:val="CalloutDefinition"/>
      </w:pPr>
      <w:r>
        <w:rPr>
          <w:bCs/>
          <w:b/>
        </w:rPr>
        <w:t xml:space="preserve">Definition — Rate limiting.</w:t>
      </w:r>
      <w:r>
        <w:t xml:space="preserve"> </w:t>
      </w:r>
      <w:r>
        <w:t xml:space="preserve">Enforcing an upper bound on how many requests (or how much work) a given</w:t>
      </w:r>
      <w:r>
        <w:t xml:space="preserve"> </w:t>
      </w:r>
      <w:r>
        <w:rPr>
          <w:bCs/>
          <w:b/>
        </w:rPr>
        <w:t xml:space="preserve">client identity</w:t>
      </w:r>
      <w:r>
        <w:t xml:space="preserve"> </w:t>
      </w:r>
      <w:r>
        <w:t xml:space="preserve">may submit to a resource over time. Requests beyond the bound are rejected (or, less often, delayed). The bound is usually stated as a</w:t>
      </w:r>
      <w:r>
        <w:t xml:space="preserve"> </w:t>
      </w:r>
      <w:r>
        <w:rPr>
          <w:bCs/>
          <w:b/>
        </w:rPr>
        <w:t xml:space="preserve">rate</w:t>
      </w:r>
      <w:r>
        <w:t xml:space="preserve"> </w:t>
      </w:r>
      <w:r>
        <w:t xml:space="preserve">(for example 100 requests per minute) plus a</w:t>
      </w:r>
      <w:r>
        <w:t xml:space="preserve"> </w:t>
      </w:r>
      <w:r>
        <w:rPr>
          <w:bCs/>
          <w:b/>
        </w:rPr>
        <w:t xml:space="preserve">burst</w:t>
      </w:r>
      <w:r>
        <w:t xml:space="preserve"> </w:t>
      </w:r>
      <w:r>
        <w:t xml:space="preserve">allowance.</w:t>
      </w:r>
    </w:p>
    <w:bookmarkStart w:id="2441" w:name="first-principles-explanation-128"/>
    <w:p>
      <w:pPr>
        <w:pStyle w:val="Heading4"/>
      </w:pPr>
      <w:r>
        <w:t xml:space="preserve">First-principles explanation</w:t>
      </w:r>
    </w:p>
    <w:p>
      <w:pPr>
        <w:pStyle w:val="FirstParagraph"/>
      </w:pPr>
      <w:r>
        <w:t xml:space="preserve">A popular museum caps entries per half hour and per booking, so that one tour bus of 200 people cannot crowd out everyone else. A rate limiter does the same for an API: it caps how many requests each client may make per unit of time, so no single client can consume the shared capacity.</w:t>
      </w:r>
    </w:p>
    <w:bookmarkEnd w:id="2441"/>
    <w:bookmarkStart w:id="2442" w:name="why-does-this-exist-81"/>
    <w:p>
      <w:pPr>
        <w:pStyle w:val="Heading4"/>
      </w:pPr>
      <w:r>
        <w:t xml:space="preserve">Why does this exist?</w:t>
      </w:r>
    </w:p>
    <w:p>
      <w:pPr>
        <w:pStyle w:val="FirstParagraph"/>
      </w:pPr>
      <w:r>
        <w:t xml:space="preserve">Rate limits solve five distinct problems:</w:t>
      </w:r>
      <w:r>
        <w:t xml:space="preserve"> </w:t>
      </w:r>
      <w:r>
        <w:rPr>
          <w:bCs/>
          <w:b/>
        </w:rPr>
        <w:t xml:space="preserve">abuse</w:t>
      </w:r>
      <w:r>
        <w:t xml:space="preserve"> </w:t>
      </w:r>
      <w:r>
        <w:t xml:space="preserve">(credential stuffing, scraping, application-layer DoS, §10.11; 5 login attempts per minute turns a million-password attack into a multi-year project),</w:t>
      </w:r>
      <w:r>
        <w:t xml:space="preserve"> </w:t>
      </w:r>
      <w:r>
        <w:rPr>
          <w:bCs/>
          <w:b/>
        </w:rPr>
        <w:t xml:space="preserve">fairness</w:t>
      </w:r>
      <w:r>
        <w:t xml:space="preserve"> </w:t>
      </w:r>
      <w:r>
        <w:t xml:space="preserve">between tenants,</w:t>
      </w:r>
      <w:r>
        <w:t xml:space="preserve"> </w:t>
      </w:r>
      <w:r>
        <w:rPr>
          <w:bCs/>
          <w:b/>
        </w:rPr>
        <w:t xml:space="preserve">protecting downstream capacity</w:t>
      </w:r>
      <w:r>
        <w:t xml:space="preserve">,</w:t>
      </w:r>
      <w:r>
        <w:t xml:space="preserve"> </w:t>
      </w:r>
      <w:r>
        <w:rPr>
          <w:bCs/>
          <w:b/>
        </w:rPr>
        <w:t xml:space="preserve">cost control</w:t>
      </w:r>
      <w:r>
        <w:t xml:space="preserve"> </w:t>
      </w:r>
      <w:r>
        <w:t xml:space="preserve">for expensive calls (paid APIs, GPU inference), and</w:t>
      </w:r>
      <w:r>
        <w:t xml:space="preserve"> </w:t>
      </w:r>
      <w:r>
        <w:rPr>
          <w:bCs/>
          <w:b/>
        </w:rPr>
        <w:t xml:space="preserve">product tiers</w:t>
      </w:r>
      <w:r>
        <w:t xml:space="preserve"> </w:t>
      </w:r>
      <w:r>
        <w:t xml:space="preserve">(</w:t>
      </w:r>
      <w:r>
        <w:t xml:space="preserve">“</w:t>
      </w:r>
      <w:r>
        <w:t xml:space="preserve">Free: 60 requests/minute; Pro: 5,000</w:t>
      </w:r>
      <w:r>
        <w:t xml:space="preserve">”</w:t>
      </w:r>
      <w:r>
        <w:t xml:space="preserve">).</w:t>
      </w:r>
    </w:p>
    <w:p>
      <w:pPr>
        <w:pStyle w:val="BodyText"/>
      </w:pPr>
      <w:r>
        <w:t xml:space="preserve">Rate limits answer</w:t>
      </w:r>
      <w:r>
        <w:t xml:space="preserve"> </w:t>
      </w:r>
      <w:r>
        <w:t xml:space="preserve">“</w:t>
      </w:r>
      <w:r>
        <w:t xml:space="preserve">is this client within its contract?</w:t>
      </w:r>
      <w:r>
        <w:t xml:space="preserve">”</w:t>
      </w:r>
      <w:r>
        <w:t xml:space="preserve">; load shedding (§22.9) answers</w:t>
      </w:r>
      <w:r>
        <w:t xml:space="preserve"> </w:t>
      </w:r>
      <w:r>
        <w:t xml:space="preserve">“</w:t>
      </w:r>
      <w:r>
        <w:t xml:space="preserve">can I afford this request right now?</w:t>
      </w:r>
      <w:r>
        <w:t xml:space="preserve">”</w:t>
      </w:r>
      <w:r>
        <w:t xml:space="preserve">. Keep the two separate.</w:t>
      </w:r>
    </w:p>
    <w:bookmarkEnd w:id="2442"/>
    <w:bookmarkEnd w:id="2443"/>
    <w:bookmarkStart w:id="2447" w:name="where-to-enforce-limits"/>
    <w:p>
      <w:pPr>
        <w:pStyle w:val="Heading3"/>
      </w:pPr>
      <w:r>
        <w:t xml:space="preserve">22.3.2 Where to enforce limits</w:t>
      </w:r>
    </w:p>
    <w:p>
      <w:pPr>
        <w:pStyle w:val="FirstParagraph"/>
      </w:pPr>
      <w:r>
        <w:t xml:space="preserve">Mature systems enforce limits in layers:</w:t>
      </w:r>
    </w:p>
    <w:p>
      <w:pPr>
        <w:numPr>
          <w:ilvl w:val="0"/>
          <w:numId w:val="1712"/>
        </w:numPr>
        <w:pStyle w:val="Compact"/>
      </w:pPr>
      <w:r>
        <w:rPr>
          <w:bCs/>
          <w:b/>
        </w:rPr>
        <w:t xml:space="preserve">Client side.</w:t>
      </w:r>
      <w:r>
        <w:t xml:space="preserve"> </w:t>
      </w:r>
      <w:r>
        <w:t xml:space="preserve">SDKs pace themselves and honor</w:t>
      </w:r>
      <w:r>
        <w:t xml:space="preserve"> </w:t>
      </w:r>
      <w:r>
        <w:rPr>
          <w:rStyle w:val="VerbatimChar"/>
        </w:rPr>
        <w:t xml:space="preserve">Retry-After</w:t>
      </w:r>
      <w:r>
        <w:t xml:space="preserve">; useful, but never trusted for protection.</w:t>
      </w:r>
    </w:p>
    <w:p>
      <w:pPr>
        <w:numPr>
          <w:ilvl w:val="0"/>
          <w:numId w:val="1712"/>
        </w:numPr>
        <w:pStyle w:val="Compact"/>
      </w:pPr>
      <w:r>
        <w:rPr>
          <w:bCs/>
          <w:b/>
        </w:rPr>
        <w:t xml:space="preserve">Edge (CDN or WAF).</w:t>
      </w:r>
      <w:r>
        <w:t xml:space="preserve"> </w:t>
      </w:r>
      <w:r>
        <w:t xml:space="preserve">Coarse per-IP limits stop floods before they reach your network (§10.11).</w:t>
      </w:r>
    </w:p>
    <w:p>
      <w:pPr>
        <w:numPr>
          <w:ilvl w:val="0"/>
          <w:numId w:val="1712"/>
        </w:numPr>
        <w:pStyle w:val="Compact"/>
      </w:pPr>
      <w:r>
        <w:rPr>
          <w:bCs/>
          <w:b/>
        </w:rPr>
        <w:t xml:space="preserve">API gateway.</w:t>
      </w:r>
      <w:r>
        <w:t xml:space="preserve"> </w:t>
      </w:r>
      <w:r>
        <w:t xml:space="preserve">After authentication it can limit per API key, user, tenant and route; the usual home of contractual quotas.</w:t>
      </w:r>
    </w:p>
    <w:p>
      <w:pPr>
        <w:numPr>
          <w:ilvl w:val="0"/>
          <w:numId w:val="1712"/>
        </w:numPr>
        <w:pStyle w:val="Compact"/>
      </w:pPr>
      <w:r>
        <w:rPr>
          <w:bCs/>
          <w:b/>
        </w:rPr>
        <w:t xml:space="preserve">Service.</w:t>
      </w:r>
      <w:r>
        <w:t xml:space="preserve"> </w:t>
      </w:r>
      <w:r>
        <w:t xml:space="preserve">Only the service knows a request’s true cost (rows scanned, bytes uploaded, tokens generated), so it can limit on cost rather than count.</w:t>
      </w:r>
    </w:p>
    <w:p>
      <w:pPr>
        <w:pStyle w:val="FirstParagraph"/>
      </w:pPr>
      <w:r>
        <w:rPr>
          <w:bCs/>
          <w:b/>
        </w:rPr>
        <w:t xml:space="preserve">Figure 22.1 — Layered rate limiting for the PhotoShare API.</w:t>
      </w:r>
    </w:p>
    <w:p>
      <w:pPr>
        <w:pStyle w:val="BodyText"/>
      </w:pPr>
      <w:r>
        <w:drawing>
          <wp:inline>
            <wp:extent cx="5334000" cy="1024327"/>
            <wp:effectExtent b="0" l="0" r="0" t="0"/>
            <wp:docPr descr="" title="" id="2445" name="Picture"/>
            <a:graphic>
              <a:graphicData uri="http://schemas.openxmlformats.org/drawingml/2006/picture">
                <pic:pic>
                  <pic:nvPicPr>
                    <pic:cNvPr descr="/home/user/System-Design/build/.cache/diagrams/16a7f1128887.png" id="2446" name="Picture"/>
                    <pic:cNvPicPr>
                      <a:picLocks noChangeArrowheads="1" noChangeAspect="1"/>
                    </pic:cNvPicPr>
                  </pic:nvPicPr>
                  <pic:blipFill>
                    <a:blip r:embed="rId2444"/>
                    <a:stretch>
                      <a:fillRect/>
                    </a:stretch>
                  </pic:blipFill>
                  <pic:spPr bwMode="auto">
                    <a:xfrm>
                      <a:off x="0" y="0"/>
                      <a:ext cx="5334000" cy="1024327"/>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A third-party app sends HTTPS requests through three enforcement layers: the</w:t>
      </w:r>
      <w:r>
        <w:t xml:space="preserve"> </w:t>
      </w:r>
      <w:r>
        <w:rPr>
          <w:iCs/>
          <w:i/>
        </w:rPr>
        <w:t xml:space="preserve">CDN/WAF</w:t>
      </w:r>
      <w:r>
        <w:t xml:space="preserve"> </w:t>
      </w:r>
      <w:r>
        <w:t xml:space="preserve">(cheap per-IP limits), the</w:t>
      </w:r>
      <w:r>
        <w:t xml:space="preserve"> </w:t>
      </w:r>
      <w:r>
        <w:rPr>
          <w:iCs/>
          <w:i/>
        </w:rPr>
        <w:t xml:space="preserve">API gateway</w:t>
      </w:r>
      <w:r>
        <w:t xml:space="preserve"> </w:t>
      </w:r>
      <w:r>
        <w:t xml:space="preserve">(per-key and per-tenant quotas checked against</w:t>
      </w:r>
      <w:r>
        <w:t xml:space="preserve"> </w:t>
      </w:r>
      <w:r>
        <w:rPr>
          <w:iCs/>
          <w:i/>
        </w:rPr>
        <w:t xml:space="preserve">shared counters</w:t>
      </w:r>
      <w:r>
        <w:t xml:space="preserve"> </w:t>
      </w:r>
      <w:r>
        <w:t xml:space="preserve">in Redis, a storage boundary shared by all gateway nodes, §22.8) and the</w:t>
      </w:r>
      <w:r>
        <w:t xml:space="preserve"> </w:t>
      </w:r>
      <w:r>
        <w:rPr>
          <w:iCs/>
          <w:i/>
        </w:rPr>
        <w:t xml:space="preserve">upload service</w:t>
      </w:r>
      <w:r>
        <w:t xml:space="preserve"> </w:t>
      </w:r>
      <w:r>
        <w:t xml:space="preserve">(a cost-based limit in bytes per minute). Solid arrows are synchronous; the thumbnail queue is asynchronous. Whichever layer rejects returns 429 with</w:t>
      </w:r>
      <w:r>
        <w:t xml:space="preserve"> </w:t>
      </w:r>
      <w:r>
        <w:rPr>
          <w:rStyle w:val="VerbatimChar"/>
        </w:rPr>
        <w:t xml:space="preserve">Retry-After</w:t>
      </w:r>
      <w:r>
        <w:t xml:space="preserve">. Failure point: the counter store is on every request’s hot path, so its outage policy (§22.8.5) must be decided in advance. Scaling: edge and gateway scale horizontally; counters are partitioned by key.</w:t>
      </w:r>
    </w:p>
    <w:bookmarkEnd w:id="2447"/>
    <w:bookmarkStart w:id="2448" w:name="choosing-the-key"/>
    <w:p>
      <w:pPr>
        <w:pStyle w:val="Heading3"/>
      </w:pPr>
      <w:r>
        <w:t xml:space="preserve">22.3.3 Choosing the key</w:t>
      </w:r>
    </w:p>
    <w:p>
      <w:pPr>
        <w:pStyle w:val="FirstParagraph"/>
      </w:pPr>
      <w:r>
        <w:t xml:space="preserve">The</w:t>
      </w:r>
      <w:r>
        <w:t xml:space="preserve"> </w:t>
      </w:r>
      <w:r>
        <w:rPr>
          <w:bCs/>
          <w:b/>
        </w:rPr>
        <w:t xml:space="preserve">rate-limit key</w:t>
      </w:r>
      <w:r>
        <w:t xml:space="preserve"> </w:t>
      </w:r>
      <w:r>
        <w:t xml:space="preserve">is the identity whose usage is counted.</w:t>
      </w:r>
    </w:p>
    <w:p>
      <w:pPr>
        <w:pStyle w:val="BodyText"/>
      </w:pPr>
      <w:r>
        <w:rPr>
          <w:bCs/>
          <w:b/>
        </w:rPr>
        <w:t xml:space="preserve">Table 22.1 — Rate-limit keys.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Key</w:t>
            </w:r>
          </w:p>
        </w:tc>
        <w:tc>
          <w:tcPr/>
          <w:p>
            <w:pPr>
              <w:pStyle w:val="Compact"/>
              <w:jc w:val="left"/>
            </w:pPr>
            <w:r>
              <w:t xml:space="preserve">Strengths</w:t>
            </w:r>
          </w:p>
        </w:tc>
        <w:tc>
          <w:tcPr/>
          <w:p>
            <w:pPr>
              <w:pStyle w:val="Compact"/>
              <w:jc w:val="left"/>
            </w:pPr>
            <w:r>
              <w:t xml:space="preserve">Weaknesses</w:t>
            </w:r>
          </w:p>
        </w:tc>
        <w:tc>
          <w:tcPr/>
          <w:p>
            <w:pPr>
              <w:pStyle w:val="Compact"/>
              <w:jc w:val="left"/>
            </w:pPr>
            <w:r>
              <w:t xml:space="preserve">Typical use</w:t>
            </w:r>
          </w:p>
        </w:tc>
      </w:tr>
      <w:tr>
        <w:tc>
          <w:tcPr/>
          <w:p>
            <w:pPr>
              <w:pStyle w:val="Compact"/>
              <w:jc w:val="left"/>
            </w:pPr>
            <w:r>
              <w:t xml:space="preserve">Client IP address</w:t>
            </w:r>
          </w:p>
        </w:tc>
        <w:tc>
          <w:tcPr/>
          <w:p>
            <w:pPr>
              <w:pStyle w:val="Compact"/>
              <w:jc w:val="left"/>
            </w:pPr>
            <w:r>
              <w:t xml:space="preserve">Available before authentication</w:t>
            </w:r>
          </w:p>
        </w:tc>
        <w:tc>
          <w:tcPr/>
          <w:p>
            <w:pPr>
              <w:pStyle w:val="Compact"/>
              <w:jc w:val="left"/>
            </w:pPr>
            <w:r>
              <w:t xml:space="preserve">Many users share one IP behind carrier-grade NAT (§7.13); attackers rotate IPs</w:t>
            </w:r>
          </w:p>
        </w:tc>
        <w:tc>
          <w:tcPr/>
          <w:p>
            <w:pPr>
              <w:pStyle w:val="Compact"/>
              <w:jc w:val="left"/>
            </w:pPr>
            <w:r>
              <w:t xml:space="preserve">Edge flood control, login, sign-up</w:t>
            </w:r>
          </w:p>
        </w:tc>
      </w:tr>
      <w:tr>
        <w:tc>
          <w:tcPr/>
          <w:p>
            <w:pPr>
              <w:pStyle w:val="Compact"/>
              <w:jc w:val="left"/>
            </w:pPr>
            <w:r>
              <w:t xml:space="preserve">User or account ID</w:t>
            </w:r>
          </w:p>
        </w:tc>
        <w:tc>
          <w:tcPr/>
          <w:p>
            <w:pPr>
              <w:pStyle w:val="Compact"/>
              <w:jc w:val="left"/>
            </w:pPr>
            <w:r>
              <w:t xml:space="preserve">Fair per person</w:t>
            </w:r>
          </w:p>
        </w:tc>
        <w:tc>
          <w:tcPr/>
          <w:p>
            <w:pPr>
              <w:pStyle w:val="Compact"/>
              <w:jc w:val="left"/>
            </w:pPr>
            <w:r>
              <w:t xml:space="preserve">Needs authentication; attackers create accounts</w:t>
            </w:r>
          </w:p>
        </w:tc>
        <w:tc>
          <w:tcPr/>
          <w:p>
            <w:pPr>
              <w:pStyle w:val="Compact"/>
              <w:jc w:val="left"/>
            </w:pPr>
            <w:r>
              <w:t xml:space="preserve">Per-user actions</w:t>
            </w:r>
          </w:p>
        </w:tc>
      </w:tr>
      <w:tr>
        <w:tc>
          <w:tcPr/>
          <w:p>
            <w:pPr>
              <w:pStyle w:val="Compact"/>
              <w:jc w:val="left"/>
            </w:pPr>
            <w:r>
              <w:t xml:space="preserve">API key or OAuth client ID</w:t>
            </w:r>
          </w:p>
        </w:tc>
        <w:tc>
          <w:tcPr/>
          <w:p>
            <w:pPr>
              <w:pStyle w:val="Compact"/>
              <w:jc w:val="left"/>
            </w:pPr>
            <w:r>
              <w:t xml:space="preserve">Maps to a contract and a bill</w:t>
            </w:r>
          </w:p>
        </w:tc>
        <w:tc>
          <w:tcPr/>
          <w:p>
            <w:pPr>
              <w:pStyle w:val="Compact"/>
              <w:jc w:val="left"/>
            </w:pPr>
            <w:r>
              <w:t xml:space="preserve">A leaked key consumes the owner’s quota</w:t>
            </w:r>
          </w:p>
        </w:tc>
        <w:tc>
          <w:tcPr/>
          <w:p>
            <w:pPr>
              <w:pStyle w:val="Compact"/>
              <w:jc w:val="left"/>
            </w:pPr>
            <w:r>
              <w:t xml:space="preserve">Public developer APIs</w:t>
            </w:r>
          </w:p>
        </w:tc>
      </w:tr>
      <w:tr>
        <w:tc>
          <w:tcPr/>
          <w:p>
            <w:pPr>
              <w:pStyle w:val="Compact"/>
              <w:jc w:val="left"/>
            </w:pPr>
            <w:r>
              <w:t xml:space="preserve">Tenant</w:t>
            </w:r>
          </w:p>
        </w:tc>
        <w:tc>
          <w:tcPr/>
          <w:p>
            <w:pPr>
              <w:pStyle w:val="Compact"/>
              <w:jc w:val="left"/>
            </w:pPr>
            <w:r>
              <w:t xml:space="preserve">Isolates customers</w:t>
            </w:r>
          </w:p>
        </w:tc>
        <w:tc>
          <w:tcPr/>
          <w:p>
            <w:pPr>
              <w:pStyle w:val="Compact"/>
              <w:jc w:val="left"/>
            </w:pPr>
            <w:r>
              <w:t xml:space="preserve">One heavy user exhausts the tenant</w:t>
            </w:r>
          </w:p>
        </w:tc>
        <w:tc>
          <w:tcPr/>
          <w:p>
            <w:pPr>
              <w:pStyle w:val="Compact"/>
              <w:jc w:val="left"/>
            </w:pPr>
            <w:r>
              <w:t xml:space="preserve">Noisy-neighbor control</w:t>
            </w:r>
          </w:p>
        </w:tc>
      </w:tr>
      <w:tr>
        <w:tc>
          <w:tcPr/>
          <w:p>
            <w:pPr>
              <w:pStyle w:val="Compact"/>
              <w:jc w:val="left"/>
            </w:pPr>
            <w:r>
              <w:t xml:space="preserve">Route plus one of the above</w:t>
            </w:r>
          </w:p>
        </w:tc>
        <w:tc>
          <w:tcPr/>
          <w:p>
            <w:pPr>
              <w:pStyle w:val="Compact"/>
              <w:jc w:val="left"/>
            </w:pPr>
            <w:r>
              <w:t xml:space="preserve">Tighter limits on expensive endpoints</w:t>
            </w:r>
          </w:p>
        </w:tc>
        <w:tc>
          <w:tcPr/>
          <w:p>
            <w:pPr>
              <w:pStyle w:val="Compact"/>
              <w:jc w:val="left"/>
            </w:pPr>
            <w:r>
              <w:t xml:space="preserve">More counters</w:t>
            </w:r>
          </w:p>
        </w:tc>
        <w:tc>
          <w:tcPr/>
          <w:p>
            <w:pPr>
              <w:pStyle w:val="Compact"/>
              <w:jc w:val="left"/>
            </w:pPr>
            <w:r>
              <w:rPr>
                <w:rStyle w:val="VerbatimChar"/>
              </w:rPr>
              <w:t xml:space="preserve">POST /uploads</w:t>
            </w:r>
          </w:p>
        </w:tc>
      </w:tr>
      <w:tr>
        <w:tc>
          <w:tcPr/>
          <w:p>
            <w:pPr>
              <w:pStyle w:val="Compact"/>
              <w:jc w:val="left"/>
            </w:pPr>
            <w:r>
              <w:t xml:space="preserve">Cost units</w:t>
            </w:r>
          </w:p>
        </w:tc>
        <w:tc>
          <w:tcPr/>
          <w:p>
            <w:pPr>
              <w:pStyle w:val="Compact"/>
              <w:jc w:val="left"/>
            </w:pPr>
            <w:r>
              <w:t xml:space="preserve">Reflects true resource use</w:t>
            </w:r>
          </w:p>
        </w:tc>
        <w:tc>
          <w:tcPr/>
          <w:p>
            <w:pPr>
              <w:pStyle w:val="Compact"/>
              <w:jc w:val="left"/>
            </w:pPr>
            <w:r>
              <w:t xml:space="preserve">Cost must be estimated up front</w:t>
            </w:r>
          </w:p>
        </w:tc>
        <w:tc>
          <w:tcPr/>
          <w:p>
            <w:pPr>
              <w:pStyle w:val="Compact"/>
              <w:jc w:val="left"/>
            </w:pPr>
            <w:r>
              <w:t xml:space="preserve">GraphQL cost (§8.7), LLM tokens</w:t>
            </w:r>
          </w:p>
        </w:tc>
      </w:tr>
    </w:tbl>
    <w:p>
      <w:pPr>
        <w:pStyle w:val="BodyText"/>
      </w:pPr>
      <w:r>
        <w:t xml:space="preserve">Production systems apply</w:t>
      </w:r>
      <w:r>
        <w:t xml:space="preserve"> </w:t>
      </w:r>
      <w:r>
        <w:rPr>
          <w:bCs/>
          <w:b/>
        </w:rPr>
        <w:t xml:space="preserve">hierarchical limits</w:t>
      </w:r>
      <w:r>
        <w:t xml:space="preserve">: a request must pass every applicable bucket (per-IP</w:t>
      </w:r>
      <w:r>
        <w:t xml:space="preserve"> </w:t>
      </w:r>
      <w:r>
        <w:rPr>
          <w:iCs/>
          <w:i/>
        </w:rPr>
        <w:t xml:space="preserve">and</w:t>
      </w:r>
      <w:r>
        <w:t xml:space="preserve"> </w:t>
      </w:r>
      <w:r>
        <w:t xml:space="preserve">per-key</w:t>
      </w:r>
      <w:r>
        <w:t xml:space="preserve"> </w:t>
      </w:r>
      <w:r>
        <w:rPr>
          <w:iCs/>
          <w:i/>
        </w:rPr>
        <w:t xml:space="preserve">and</w:t>
      </w:r>
      <w:r>
        <w:t xml:space="preserve"> </w:t>
      </w:r>
      <w:r>
        <w:t xml:space="preserve">per-tenant</w:t>
      </w:r>
      <w:r>
        <w:t xml:space="preserve"> </w:t>
      </w:r>
      <w:r>
        <w:rPr>
          <w:iCs/>
          <w:i/>
        </w:rPr>
        <w:t xml:space="preserve">and</w:t>
      </w:r>
      <w:r>
        <w:t xml:space="preserve"> </w:t>
      </w:r>
      <w:r>
        <w:t xml:space="preserve">a route ceiling).</w:t>
      </w:r>
    </w:p>
    <w:bookmarkEnd w:id="2448"/>
    <w:bookmarkStart w:id="2449" w:name="Xa66e52b4fbffa5cfa512a28ec21dc52fd2251e5"/>
    <w:p>
      <w:pPr>
        <w:pStyle w:val="Heading3"/>
      </w:pPr>
      <w:r>
        <w:t xml:space="preserve">22.3.4 Telling the client: 429, Retry-After and RateLimit headers</w:t>
      </w:r>
    </w:p>
    <w:p>
      <w:pPr>
        <w:numPr>
          <w:ilvl w:val="0"/>
          <w:numId w:val="1713"/>
        </w:numPr>
        <w:pStyle w:val="Compact"/>
      </w:pPr>
      <w:r>
        <w:rPr>
          <w:bCs/>
          <w:b/>
        </w:rPr>
        <w:t xml:space="preserve">429 Too Many Requests</w:t>
      </w:r>
      <w:r>
        <w:t xml:space="preserve"> </w:t>
      </w:r>
      <w:r>
        <w:t xml:space="preserve">[Nottingham and Fielding 2012] blames the client;</w:t>
      </w:r>
      <w:r>
        <w:t xml:space="preserve"> </w:t>
      </w:r>
      <w:r>
        <w:rPr>
          <w:bCs/>
          <w:b/>
        </w:rPr>
        <w:t xml:space="preserve">503 Service Unavailable</w:t>
      </w:r>
      <w:r>
        <w:t xml:space="preserve"> </w:t>
      </w:r>
      <w:r>
        <w:t xml:space="preserve">blames the server and is right for load shedding (§22.9).</w:t>
      </w:r>
    </w:p>
    <w:p>
      <w:pPr>
        <w:numPr>
          <w:ilvl w:val="0"/>
          <w:numId w:val="1713"/>
        </w:numPr>
        <w:pStyle w:val="Compact"/>
      </w:pPr>
      <w:r>
        <w:rPr>
          <w:rStyle w:val="VerbatimChar"/>
          <w:bCs/>
          <w:b/>
        </w:rPr>
        <w:t xml:space="preserve">Retry-After</w:t>
      </w:r>
      <w:r>
        <w:t xml:space="preserve"> </w:t>
      </w:r>
      <w:r>
        <w:t xml:space="preserve">(RFC 9110 §10.2.3) gives seconds or a date after which to retry; compute it from the limiter’s state.</w:t>
      </w:r>
    </w:p>
    <w:p>
      <w:pPr>
        <w:numPr>
          <w:ilvl w:val="0"/>
          <w:numId w:val="1713"/>
        </w:numPr>
        <w:pStyle w:val="Compact"/>
      </w:pPr>
      <w:r>
        <w:rPr>
          <w:bCs/>
          <w:b/>
        </w:rPr>
        <w:t xml:space="preserve">RateLimit header fields</w:t>
      </w:r>
      <w:r>
        <w:t xml:space="preserve"> </w:t>
      </w:r>
      <w:r>
        <w:t xml:space="preserve">are being standardized in the IETF Internet-Draft</w:t>
      </w:r>
      <w:r>
        <w:t xml:space="preserve"> </w:t>
      </w:r>
      <w:r>
        <w:rPr>
          <w:iCs/>
          <w:i/>
        </w:rPr>
        <w:t xml:space="preserve">RateLimit header fields for HTTP</w:t>
      </w:r>
      <w:r>
        <w:t xml:space="preserve"> </w:t>
      </w:r>
      <w:r>
        <w:t xml:space="preserve">[Polli et al., draft], as of 2026 still a</w:t>
      </w:r>
      <w:r>
        <w:t xml:space="preserve"> </w:t>
      </w:r>
      <w:r>
        <w:rPr>
          <w:bCs/>
          <w:b/>
        </w:rPr>
        <w:t xml:space="preserve">draft, not an RFC</w:t>
      </w:r>
      <w:r>
        <w:t xml:space="preserve">. Early drafts used</w:t>
      </w:r>
      <w:r>
        <w:t xml:space="preserve"> </w:t>
      </w:r>
      <w:r>
        <w:rPr>
          <w:rStyle w:val="VerbatimChar"/>
        </w:rPr>
        <w:t xml:space="preserve">RateLimit-Limit</w:t>
      </w:r>
      <w:r>
        <w:t xml:space="preserve">,</w:t>
      </w:r>
      <w:r>
        <w:t xml:space="preserve"> </w:t>
      </w:r>
      <w:r>
        <w:rPr>
          <w:rStyle w:val="VerbatimChar"/>
        </w:rPr>
        <w:t xml:space="preserve">-Remaining</w:t>
      </w:r>
      <w:r>
        <w:t xml:space="preserve"> </w:t>
      </w:r>
      <w:r>
        <w:t xml:space="preserve">and</w:t>
      </w:r>
      <w:r>
        <w:t xml:space="preserve"> </w:t>
      </w:r>
      <w:r>
        <w:rPr>
          <w:rStyle w:val="VerbatimChar"/>
        </w:rPr>
        <w:t xml:space="preserve">-Reset</w:t>
      </w:r>
      <w:r>
        <w:t xml:space="preserve">; recent drafts use</w:t>
      </w:r>
      <w:r>
        <w:t xml:space="preserve"> </w:t>
      </w:r>
      <w:r>
        <w:rPr>
          <w:rStyle w:val="VerbatimChar"/>
        </w:rPr>
        <w:t xml:space="preserve">RateLimit-Policy</w:t>
      </w:r>
      <w:r>
        <w:t xml:space="preserve"> </w:t>
      </w:r>
      <w:r>
        <w:t xml:space="preserve">(quota</w:t>
      </w:r>
      <w:r>
        <w:t xml:space="preserve"> </w:t>
      </w:r>
      <w:r>
        <w:rPr>
          <w:rStyle w:val="VerbatimChar"/>
        </w:rPr>
        <w:t xml:space="preserve">q</w:t>
      </w:r>
      <w:r>
        <w:t xml:space="preserve">, window</w:t>
      </w:r>
      <w:r>
        <w:t xml:space="preserve"> </w:t>
      </w:r>
      <w:r>
        <w:rPr>
          <w:rStyle w:val="VerbatimChar"/>
        </w:rPr>
        <w:t xml:space="preserve">w</w:t>
      </w:r>
      <w:r>
        <w:t xml:space="preserve">) and</w:t>
      </w:r>
      <w:r>
        <w:t xml:space="preserve"> </w:t>
      </w:r>
      <w:r>
        <w:rPr>
          <w:rStyle w:val="VerbatimChar"/>
        </w:rPr>
        <w:t xml:space="preserve">RateLimit</w:t>
      </w:r>
      <w:r>
        <w:t xml:space="preserve"> </w:t>
      </w:r>
      <w:r>
        <w:t xml:space="preserve">(remaining</w:t>
      </w:r>
      <w:r>
        <w:t xml:space="preserve"> </w:t>
      </w:r>
      <w:r>
        <w:rPr>
          <w:rStyle w:val="VerbatimChar"/>
        </w:rPr>
        <w:t xml:space="preserve">r</w:t>
      </w:r>
      <w:r>
        <w:t xml:space="preserve">, seconds to reset</w:t>
      </w:r>
      <w:r>
        <w:t xml:space="preserve"> </w:t>
      </w:r>
      <w:r>
        <w:rPr>
          <w:rStyle w:val="VerbatimChar"/>
        </w:rPr>
        <w:t xml:space="preserve">t</w:t>
      </w:r>
      <w:r>
        <w:t xml:space="preserve">). Many APIs still use their own</w:t>
      </w:r>
      <w:r>
        <w:t xml:space="preserve"> </w:t>
      </w:r>
      <w:r>
        <w:rPr>
          <w:rStyle w:val="VerbatimChar"/>
        </w:rPr>
        <w:t xml:space="preserve">X-RateLimit-*</w:t>
      </w:r>
      <w:r>
        <w:t xml:space="preserve"> </w:t>
      </w:r>
      <w:r>
        <w:t xml:space="preserve">headers.</w:t>
      </w:r>
    </w:p>
    <w:p>
      <w:pPr>
        <w:pStyle w:val="SourceCode"/>
      </w:pPr>
      <w:r>
        <w:rPr>
          <w:rStyle w:val="VerbatimChar"/>
        </w:rPr>
        <w:t xml:space="preserve">HTTP/1.1 429 Too Many Requests</w:t>
      </w:r>
      <w:r>
        <w:br/>
      </w:r>
      <w:r>
        <w:rPr>
          <w:rStyle w:val="VerbatimChar"/>
        </w:rPr>
        <w:t xml:space="preserve">Content-Type: application/problem+json</w:t>
      </w:r>
      <w:r>
        <w:br/>
      </w:r>
      <w:r>
        <w:rPr>
          <w:rStyle w:val="VerbatimChar"/>
        </w:rPr>
        <w:t xml:space="preserve">Retry-After: 18</w:t>
      </w:r>
      <w:r>
        <w:br/>
      </w:r>
      <w:r>
        <w:rPr>
          <w:rStyle w:val="VerbatimChar"/>
        </w:rPr>
        <w:t xml:space="preserve">RateLimit-Policy: "default";q=100;w=60</w:t>
      </w:r>
      <w:r>
        <w:br/>
      </w:r>
      <w:r>
        <w:rPr>
          <w:rStyle w:val="VerbatimChar"/>
        </w:rPr>
        <w:t xml:space="preserve">RateLimit: "default";r=0;t=18</w:t>
      </w:r>
      <w:r>
        <w:br/>
      </w:r>
      <w:r>
        <w:br/>
      </w:r>
      <w:r>
        <w:rPr>
          <w:rStyle w:val="VerbatimChar"/>
        </w:rPr>
        <w:t xml:space="preserve">{"type": "https://api.photoshare.example/errors/rate-limited",</w:t>
      </w:r>
      <w:r>
        <w:br/>
      </w:r>
      <w:r>
        <w:rPr>
          <w:rStyle w:val="VerbatimChar"/>
        </w:rPr>
        <w:t xml:space="preserve"> "title": "Rate limit exceeded", "status": 429,</w:t>
      </w:r>
      <w:r>
        <w:br/>
      </w:r>
      <w:r>
        <w:rPr>
          <w:rStyle w:val="VerbatimChar"/>
        </w:rPr>
        <w:t xml:space="preserve"> "detail": "API key pk_live_42 is limited to 100 requests per 60 s."}</w:t>
      </w:r>
    </w:p>
    <w:p>
      <w:pPr>
        <w:pStyle w:val="FirstParagraph"/>
      </w:pPr>
      <w:r>
        <w:t xml:space="preserve">What to notice:</w:t>
      </w:r>
    </w:p>
    <w:p>
      <w:pPr>
        <w:numPr>
          <w:ilvl w:val="0"/>
          <w:numId w:val="1714"/>
        </w:numPr>
        <w:pStyle w:val="Compact"/>
      </w:pPr>
      <w:r>
        <w:t xml:space="preserve">The body uses RFC 9457 problem details;</w:t>
      </w:r>
      <w:r>
        <w:t xml:space="preserve"> </w:t>
      </w:r>
      <w:r>
        <w:rPr>
          <w:rStyle w:val="VerbatimChar"/>
        </w:rPr>
        <w:t xml:space="preserve">Retry-After: 18</w:t>
      </w:r>
      <w:r>
        <w:t xml:space="preserve"> </w:t>
      </w:r>
      <w:r>
        <w:t xml:space="preserve">and</w:t>
      </w:r>
      <w:r>
        <w:t xml:space="preserve"> </w:t>
      </w:r>
      <w:r>
        <w:rPr>
          <w:rStyle w:val="VerbatimChar"/>
        </w:rPr>
        <w:t xml:space="preserve">t=18</w:t>
      </w:r>
      <w:r>
        <w:t xml:space="preserve"> </w:t>
      </w:r>
      <w:r>
        <w:t xml:space="preserve">agree, so older clients still behave.</w:t>
      </w:r>
    </w:p>
    <w:p>
      <w:pPr>
        <w:numPr>
          <w:ilvl w:val="0"/>
          <w:numId w:val="1714"/>
        </w:numPr>
        <w:pStyle w:val="Compact"/>
      </w:pPr>
      <w:r>
        <w:t xml:space="preserve">Send the</w:t>
      </w:r>
      <w:r>
        <w:t xml:space="preserve"> </w:t>
      </w:r>
      <w:r>
        <w:rPr>
          <w:rStyle w:val="VerbatimChar"/>
        </w:rPr>
        <w:t xml:space="preserve">RateLimit</w:t>
      </w:r>
      <w:r>
        <w:t xml:space="preserve"> </w:t>
      </w:r>
      <w:r>
        <w:t xml:space="preserve">fields on</w:t>
      </w:r>
      <w:r>
        <w:t xml:space="preserve"> </w:t>
      </w:r>
      <w:r>
        <w:rPr>
          <w:iCs/>
          <w:i/>
        </w:rPr>
        <w:t xml:space="preserve">successful</w:t>
      </w:r>
      <w:r>
        <w:t xml:space="preserve"> </w:t>
      </w:r>
      <w:r>
        <w:t xml:space="preserve">responses too, so clients slow down before being rejected.</w:t>
      </w:r>
    </w:p>
    <w:p>
      <w:pPr>
        <w:pStyle w:val="CalloutIndustry"/>
      </w:pPr>
      <w:r>
        <w:rPr>
          <w:bCs/>
          <w:b/>
        </w:rPr>
        <w:t xml:space="preserve">INDUSTRY EXAMPLE</w:t>
      </w:r>
    </w:p>
    <w:p>
      <w:pPr>
        <w:pStyle w:val="CalloutIndustry"/>
      </w:pPr>
      <w:r>
        <w:rPr>
          <w:bCs/>
          <w:b/>
        </w:rPr>
        <w:t xml:space="preserve">GitHub REST API.</w:t>
      </w:r>
      <w:r>
        <w:t xml:space="preserve"> </w:t>
      </w:r>
      <w:r>
        <w:t xml:space="preserve">GitHub returns</w:t>
      </w:r>
      <w:r>
        <w:t xml:space="preserve"> </w:t>
      </w:r>
      <w:r>
        <w:rPr>
          <w:rStyle w:val="VerbatimChar"/>
        </w:rPr>
        <w:t xml:space="preserve">x-ratelimit-limit</w:t>
      </w:r>
      <w:r>
        <w:t xml:space="preserve">,</w:t>
      </w:r>
      <w:r>
        <w:t xml:space="preserve"> </w:t>
      </w:r>
      <w:r>
        <w:rPr>
          <w:rStyle w:val="VerbatimChar"/>
        </w:rPr>
        <w:t xml:space="preserve">x-ratelimit-remaining</w:t>
      </w:r>
      <w:r>
        <w:t xml:space="preserve">,</w:t>
      </w:r>
      <w:r>
        <w:t xml:space="preserve"> </w:t>
      </w:r>
      <w:r>
        <w:rPr>
          <w:rStyle w:val="VerbatimChar"/>
        </w:rPr>
        <w:t xml:space="preserve">x-ratelimit-used</w:t>
      </w:r>
      <w:r>
        <w:t xml:space="preserve">,</w:t>
      </w:r>
      <w:r>
        <w:t xml:space="preserve"> </w:t>
      </w:r>
      <w:r>
        <w:rPr>
          <w:rStyle w:val="VerbatimChar"/>
        </w:rPr>
        <w:t xml:space="preserve">x-ratelimit-reset</w:t>
      </w:r>
      <w:r>
        <w:t xml:space="preserve"> </w:t>
      </w:r>
      <w:r>
        <w:t xml:space="preserve">(a Unix timestamp) and</w:t>
      </w:r>
      <w:r>
        <w:t xml:space="preserve"> </w:t>
      </w:r>
      <w:r>
        <w:rPr>
          <w:rStyle w:val="VerbatimChar"/>
        </w:rPr>
        <w:t xml:space="preserve">x-ratelimit-resource</w:t>
      </w:r>
      <w:r>
        <w:t xml:space="preserve">, answers excess requests with 403 or 429, and may send</w:t>
      </w:r>
      <w:r>
        <w:t xml:space="preserve"> </w:t>
      </w:r>
      <w:r>
        <w:rPr>
          <w:rStyle w:val="VerbatimChar"/>
        </w:rPr>
        <w:t xml:space="preserve">retry-after</w:t>
      </w:r>
      <w:r>
        <w:t xml:space="preserve"> </w:t>
      </w:r>
      <w:r>
        <w:t xml:space="preserve">for secondary limits [GitHub Docs: REST rate limits]. De-facto conventions predate the IETF draft, so client libraries must handle several dialects.</w:t>
      </w:r>
      <w:r>
        <w:t xml:space="preserve"> </w:t>
      </w:r>
      <w:r>
        <w:rPr>
          <w:iCs/>
          <w:i/>
        </w:rPr>
        <w:t xml:space="preserve">Evidence: Primary</w:t>
      </w:r>
      <w:r>
        <w:t xml:space="preserve"> </w:t>
      </w:r>
      <w:r>
        <w:t xml:space="preserve">— [GitHub Docs: REST rate limits]</w:t>
      </w:r>
    </w:p>
    <w:p>
      <w:pPr>
        <w:pStyle w:val="BodyText"/>
      </w:pPr>
      <w:r>
        <w:rPr>
          <w:bCs/>
          <w:b/>
        </w:rPr>
        <w:t xml:space="preserve">Table 22.2 — Rate-limiting 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Thousands of mobile users blocked at once</w:t>
            </w:r>
          </w:p>
        </w:tc>
        <w:tc>
          <w:tcPr/>
          <w:p>
            <w:pPr>
              <w:pStyle w:val="Compact"/>
              <w:jc w:val="left"/>
            </w:pPr>
            <w:r>
              <w:t xml:space="preserve">Per-IP limit applied to a carrier NAT address</w:t>
            </w:r>
          </w:p>
        </w:tc>
        <w:tc>
          <w:tcPr/>
          <w:p>
            <w:pPr>
              <w:pStyle w:val="Compact"/>
              <w:jc w:val="left"/>
            </w:pPr>
            <w:r>
              <w:t xml:space="preserve">429 spike concentrated on few IPs with many user agents</w:t>
            </w:r>
          </w:p>
        </w:tc>
        <w:tc>
          <w:tcPr/>
          <w:p>
            <w:pPr>
              <w:pStyle w:val="Compact"/>
              <w:jc w:val="left"/>
            </w:pPr>
            <w:r>
              <w:t xml:space="preserve">Raise or bypass the IP limit for authenticated traffic</w:t>
            </w:r>
          </w:p>
        </w:tc>
        <w:tc>
          <w:tcPr/>
          <w:p>
            <w:pPr>
              <w:pStyle w:val="Compact"/>
              <w:jc w:val="left"/>
            </w:pPr>
            <w:r>
              <w:t xml:space="preserve">Key on user or API key after authentication; IP limits only pre-auth</w:t>
            </w:r>
          </w:p>
        </w:tc>
      </w:tr>
      <w:tr>
        <w:tc>
          <w:tcPr/>
          <w:p>
            <w:pPr>
              <w:pStyle w:val="Compact"/>
              <w:jc w:val="left"/>
            </w:pPr>
            <w:r>
              <w:t xml:space="preserve">Clients hammer after 429</w:t>
            </w:r>
          </w:p>
        </w:tc>
        <w:tc>
          <w:tcPr/>
          <w:p>
            <w:pPr>
              <w:pStyle w:val="Compact"/>
              <w:jc w:val="left"/>
            </w:pPr>
            <w:r>
              <w:t xml:space="preserve">No</w:t>
            </w:r>
            <w:r>
              <w:t xml:space="preserve"> </w:t>
            </w:r>
            <w:r>
              <w:rPr>
                <w:rStyle w:val="VerbatimChar"/>
              </w:rPr>
              <w:t xml:space="preserve">Retry-After</w:t>
            </w:r>
            <w:r>
              <w:t xml:space="preserve">; SDK retries immediately</w:t>
            </w:r>
          </w:p>
        </w:tc>
        <w:tc>
          <w:tcPr/>
          <w:p>
            <w:pPr>
              <w:pStyle w:val="Compact"/>
              <w:jc w:val="left"/>
            </w:pPr>
            <w:r>
              <w:t xml:space="preserve">429 rate rises in lockstep with request rate</w:t>
            </w:r>
          </w:p>
        </w:tc>
        <w:tc>
          <w:tcPr/>
          <w:p>
            <w:pPr>
              <w:pStyle w:val="Compact"/>
              <w:jc w:val="left"/>
            </w:pPr>
            <w:r>
              <w:t xml:space="preserve">Return</w:t>
            </w:r>
            <w:r>
              <w:t xml:space="preserve"> </w:t>
            </w:r>
            <w:r>
              <w:rPr>
                <w:rStyle w:val="VerbatimChar"/>
              </w:rPr>
              <w:t xml:space="preserve">Retry-After</w:t>
            </w:r>
            <w:r>
              <w:t xml:space="preserve">; block abusive keys</w:t>
            </w:r>
          </w:p>
        </w:tc>
        <w:tc>
          <w:tcPr/>
          <w:p>
            <w:pPr>
              <w:pStyle w:val="Compact"/>
              <w:jc w:val="left"/>
            </w:pPr>
            <w:r>
              <w:t xml:space="preserve">SDK backoff with jitter (§22.12)</w:t>
            </w:r>
          </w:p>
        </w:tc>
      </w:tr>
      <w:tr>
        <w:tc>
          <w:tcPr/>
          <w:p>
            <w:pPr>
              <w:pStyle w:val="Compact"/>
              <w:jc w:val="left"/>
            </w:pPr>
            <w:r>
              <w:t xml:space="preserve">Legitimate burst rejected</w:t>
            </w:r>
          </w:p>
        </w:tc>
        <w:tc>
          <w:tcPr/>
          <w:p>
            <w:pPr>
              <w:pStyle w:val="Compact"/>
              <w:jc w:val="left"/>
            </w:pPr>
            <w:r>
              <w:t xml:space="preserve">Burst allowance smaller than the client’s natural burst (app start-up sync)</w:t>
            </w:r>
          </w:p>
        </w:tc>
        <w:tc>
          <w:tcPr/>
          <w:p>
            <w:pPr>
              <w:pStyle w:val="Compact"/>
              <w:jc w:val="left"/>
            </w:pPr>
            <w:r>
              <w:t xml:space="preserve">429s at app launch time, low average usage</w:t>
            </w:r>
          </w:p>
        </w:tc>
        <w:tc>
          <w:tcPr/>
          <w:p>
            <w:pPr>
              <w:pStyle w:val="Compact"/>
              <w:jc w:val="left"/>
            </w:pPr>
            <w:r>
              <w:t xml:space="preserve">Increase bucket capacity</w:t>
            </w:r>
          </w:p>
        </w:tc>
        <w:tc>
          <w:tcPr/>
          <w:p>
            <w:pPr>
              <w:pStyle w:val="Compact"/>
              <w:jc w:val="left"/>
            </w:pPr>
            <w:r>
              <w:t xml:space="preserve">Size burst from observed per-session peaks (§22.4)</w:t>
            </w:r>
          </w:p>
        </w:tc>
      </w:tr>
    </w:tbl>
    <w:p>
      <w:pPr>
        <w:pStyle w:val="CalloutMistake"/>
      </w:pPr>
      <w:r>
        <w:rPr>
          <w:bCs/>
          <w:b/>
        </w:rPr>
        <w:t xml:space="preserve">COMMON MISTAKE</w:t>
      </w:r>
    </w:p>
    <w:p>
      <w:pPr>
        <w:pStyle w:val="CalloutMistake"/>
      </w:pPr>
      <w:r>
        <w:rPr>
          <w:bCs/>
          <w:b/>
        </w:rPr>
        <w:t xml:space="preserve">Mistake —</w:t>
      </w:r>
      <w:r>
        <w:rPr>
          <w:bCs/>
          <w:b/>
        </w:rPr>
        <w:t xml:space="preserve"> </w:t>
      </w:r>
      <w:r>
        <w:rPr>
          <w:bCs/>
          <w:b/>
        </w:rPr>
        <w:t xml:space="preserve">“</w:t>
      </w:r>
      <w:r>
        <w:rPr>
          <w:bCs/>
          <w:b/>
        </w:rPr>
        <w:t xml:space="preserve">Rate limiting protects my service from overload.</w:t>
      </w:r>
      <w:r>
        <w:rPr>
          <w:bCs/>
          <w:b/>
        </w:rPr>
        <w:t xml:space="preserve">”</w:t>
      </w:r>
      <w:r>
        <w:t xml:space="preserve"> </w:t>
      </w:r>
      <w:r>
        <w:t xml:space="preserve">10,000 customers each within 100 RPS can still send 1,000,000 RPS in total. Capacity protection needs load shedding and backpressure (§22.9–§22.10).</w:t>
      </w:r>
    </w:p>
    <w:bookmarkEnd w:id="2449"/>
    <w:bookmarkEnd w:id="2450"/>
    <w:bookmarkStart w:id="2462" w:name="token-bucket"/>
    <w:p>
      <w:pPr>
        <w:pStyle w:val="Heading2"/>
      </w:pPr>
      <w:r>
        <w:t xml:space="preserve">22.4 Token bucket</w:t>
      </w:r>
    </w:p>
    <w:bookmarkStart w:id="2461" w:name="the-algorithm"/>
    <w:p>
      <w:pPr>
        <w:pStyle w:val="Heading3"/>
      </w:pPr>
      <w:r>
        <w:t xml:space="preserve">22.4.1 The algorithm</w:t>
      </w:r>
    </w:p>
    <w:p>
      <w:pPr>
        <w:pStyle w:val="CalloutDefinition"/>
      </w:pPr>
      <w:r>
        <w:rPr>
          <w:bCs/>
          <w:b/>
        </w:rPr>
        <w:t xml:space="preserve">DEFINITION</w:t>
      </w:r>
    </w:p>
    <w:p>
      <w:pPr>
        <w:pStyle w:val="CalloutDefinition"/>
      </w:pPr>
      <w:r>
        <w:rPr>
          <w:bCs/>
          <w:b/>
        </w:rPr>
        <w:t xml:space="preserve">Definition — Token bucket.</w:t>
      </w:r>
      <w:r>
        <w:t xml:space="preserve"> </w:t>
      </w:r>
      <w:r>
        <w:t xml:space="preserve">A rate limiter that keeps a counter of</w:t>
      </w:r>
      <w:r>
        <w:t xml:space="preserve"> </w:t>
      </w:r>
      <w:r>
        <w:rPr>
          <w:bCs/>
          <w:b/>
        </w:rPr>
        <w:t xml:space="preserve">tokens</w:t>
      </w:r>
      <w:r>
        <w:t xml:space="preserve">, refilled continuously at</w:t>
      </w:r>
      <w:r>
        <w:t xml:space="preserve"> </w:t>
      </w:r>
      <w:r>
        <w:rPr>
          <w:bCs/>
          <w:b/>
        </w:rPr>
        <w:t xml:space="preserve">rate</w:t>
      </w:r>
      <w:r>
        <w:t xml:space="preserve"> </w:t>
      </w:r>
      <m:oMath>
        <m:r>
          <m:t>r</m:t>
        </m:r>
      </m:oMath>
      <w:r>
        <w:t xml:space="preserve"> </w:t>
      </w:r>
      <w:r>
        <w:t xml:space="preserve">up to a maximum</w:t>
      </w:r>
      <w:r>
        <w:t xml:space="preserve"> </w:t>
      </w:r>
      <w:r>
        <w:rPr>
          <w:bCs/>
          <w:b/>
        </w:rPr>
        <w:t xml:space="preserve">capacity</w:t>
      </w:r>
      <w:r>
        <w:t xml:space="preserve"> </w:t>
      </w:r>
      <w:r>
        <w:t xml:space="preserve">(burst size)</w:t>
      </w:r>
      <w:r>
        <w:t xml:space="preserve"> </w:t>
      </w:r>
      <m:oMath>
        <m:r>
          <m:t>b</m:t>
        </m:r>
      </m:oMath>
      <w:r>
        <w:t xml:space="preserve">. Each request consumes one token (or a cost</w:t>
      </w:r>
      <w:r>
        <w:t xml:space="preserve"> </w:t>
      </w:r>
      <m:oMath>
        <m:r>
          <m:t>c</m:t>
        </m:r>
      </m:oMath>
      <w:r>
        <w:t xml:space="preserve">); a request that finds too few tokens is rejected. The long-run admitted rate is at most</w:t>
      </w:r>
      <w:r>
        <w:t xml:space="preserve"> </w:t>
      </w:r>
      <m:oMath>
        <m:r>
          <m:t>r</m:t>
        </m:r>
      </m:oMath>
      <w:r>
        <w:t xml:space="preserve">, and up to</w:t>
      </w:r>
      <w:r>
        <w:t xml:space="preserve"> </w:t>
      </w:r>
      <m:oMath>
        <m:r>
          <m:t>b</m:t>
        </m:r>
      </m:oMath>
      <w:r>
        <w:t xml:space="preserve"> </w:t>
      </w:r>
      <w:r>
        <w:t xml:space="preserve">requests may be admitted at once.</w:t>
      </w:r>
    </w:p>
    <w:bookmarkStart w:id="2451" w:name="first-principles-explanation-129"/>
    <w:p>
      <w:pPr>
        <w:pStyle w:val="Heading4"/>
      </w:pPr>
      <w:r>
        <w:t xml:space="preserve">First-principles explanation</w:t>
      </w:r>
    </w:p>
    <w:p>
      <w:pPr>
        <w:pStyle w:val="FirstParagraph"/>
      </w:pPr>
      <w:r>
        <w:t xml:space="preserve">A jar is topped up with one sweet every six seconds but holds only 20. After an hour away you can eat 20 in a row (a</w:t>
      </w:r>
      <w:r>
        <w:t xml:space="preserve"> </w:t>
      </w:r>
      <w:r>
        <w:rPr>
          <w:bCs/>
          <w:b/>
        </w:rPr>
        <w:t xml:space="preserve">burst</w:t>
      </w:r>
      <w:r>
        <w:t xml:space="preserve">), then only as fast as sweets arrive. The jar size limits the burst; the top-up speed limits the average.</w:t>
      </w:r>
    </w:p>
    <w:bookmarkEnd w:id="2451"/>
    <w:bookmarkStart w:id="2452" w:name="why-does-this-exist-82"/>
    <w:p>
      <w:pPr>
        <w:pStyle w:val="Heading4"/>
      </w:pPr>
      <w:r>
        <w:t xml:space="preserve">Why does this exist?</w:t>
      </w:r>
    </w:p>
    <w:p>
      <w:pPr>
        <w:pStyle w:val="FirstParagraph"/>
      </w:pPr>
      <w:r>
        <w:t xml:space="preserve">Real clients are bursty: an app opening fetches a profile, a feed and ten thumbnails in one second, then goes quiet. The token bucket separates average rate from burst size, exactly how capacity is planned; it came from network traffic policing and underlies most gateways’</w:t>
      </w:r>
      <w:r>
        <w:t xml:space="preserve"> </w:t>
      </w:r>
      <w:r>
        <w:t xml:space="preserve">“</w:t>
      </w:r>
      <w:r>
        <w:t xml:space="preserve">rate and burst</w:t>
      </w:r>
      <w:r>
        <w:t xml:space="preserve">”</w:t>
      </w:r>
      <w:r>
        <w:t xml:space="preserve"> </w:t>
      </w:r>
      <w:r>
        <w:t xml:space="preserve">settings.</w:t>
      </w:r>
    </w:p>
    <w:bookmarkEnd w:id="2452"/>
    <w:bookmarkStart w:id="2456" w:name="how-it-works-internally-86"/>
    <w:p>
      <w:pPr>
        <w:pStyle w:val="Heading4"/>
      </w:pPr>
      <w:r>
        <w:t xml:space="preserve">How it works internally</w:t>
      </w:r>
    </w:p>
    <w:p>
      <w:pPr>
        <w:pStyle w:val="FirstParagraph"/>
      </w:pPr>
      <w:r>
        <w:t xml:space="preserve">No timer is needed. Store</w:t>
      </w:r>
      <w:r>
        <w:t xml:space="preserve"> </w:t>
      </w:r>
      <w:r>
        <w:rPr>
          <w:rStyle w:val="VerbatimChar"/>
        </w:rPr>
        <w:t xml:space="preserve">tokens</w:t>
      </w:r>
      <w:r>
        <w:t xml:space="preserve"> </w:t>
      </w:r>
      <w:r>
        <w:t xml:space="preserve">and</w:t>
      </w:r>
      <w:r>
        <w:t xml:space="preserve"> </w:t>
      </w:r>
      <w:r>
        <w:rPr>
          <w:rStyle w:val="VerbatimChar"/>
        </w:rPr>
        <w:t xml:space="preserve">last</w:t>
      </w:r>
      <w:r>
        <w:t xml:space="preserve"> </w:t>
      </w:r>
      <w:r>
        <w:t xml:space="preserve">(time of last update) per key and refill lazily:</w:t>
      </w:r>
    </w:p>
    <w:p>
      <w:pPr>
        <w:numPr>
          <w:ilvl w:val="0"/>
          <w:numId w:val="1715"/>
        </w:numPr>
        <w:pStyle w:val="Compact"/>
      </w:pPr>
      <w:r>
        <w:rPr>
          <w:rStyle w:val="VerbatimChar"/>
        </w:rPr>
        <w:t xml:space="preserve">elapsed = now − last</w:t>
      </w:r>
      <w:r>
        <w:t xml:space="preserve">;</w:t>
      </w:r>
      <w:r>
        <w:t xml:space="preserve"> </w:t>
      </w:r>
      <w:r>
        <w:rPr>
          <w:rStyle w:val="VerbatimChar"/>
        </w:rPr>
        <w:t xml:space="preserve">tokens = min(b, tokens + elapsed × r)</w:t>
      </w:r>
      <w:r>
        <w:t xml:space="preserve">;</w:t>
      </w:r>
      <w:r>
        <w:t xml:space="preserve"> </w:t>
      </w:r>
      <w:r>
        <w:rPr>
          <w:rStyle w:val="VerbatimChar"/>
        </w:rPr>
        <w:t xml:space="preserve">last = now</w:t>
      </w:r>
      <w:r>
        <w:t xml:space="preserve">.</w:t>
      </w:r>
    </w:p>
    <w:p>
      <w:pPr>
        <w:numPr>
          <w:ilvl w:val="0"/>
          <w:numId w:val="1715"/>
        </w:numPr>
        <w:pStyle w:val="Compact"/>
      </w:pPr>
      <w:r>
        <w:t xml:space="preserve">If</w:t>
      </w:r>
      <w:r>
        <w:t xml:space="preserve"> </w:t>
      </w:r>
      <w:r>
        <w:rPr>
          <w:rStyle w:val="VerbatimChar"/>
        </w:rPr>
        <w:t xml:space="preserve">tokens ≥ cost</w:t>
      </w:r>
      <w:r>
        <w:t xml:space="preserve">: subtract the cost and admit.</w:t>
      </w:r>
    </w:p>
    <w:p>
      <w:pPr>
        <w:numPr>
          <w:ilvl w:val="0"/>
          <w:numId w:val="1715"/>
        </w:numPr>
        <w:pStyle w:val="Compact"/>
      </w:pPr>
      <w:r>
        <w:t xml:space="preserve">Otherwise reject, and report</w:t>
      </w:r>
      <w:r>
        <w:t xml:space="preserve"> </w:t>
      </w:r>
      <w:r>
        <w:rPr>
          <w:rStyle w:val="VerbatimChar"/>
        </w:rPr>
        <w:t xml:space="preserve">Retry-After = (cost − tokens) / r</w:t>
      </w:r>
      <w:r>
        <w:t xml:space="preserve">.</w:t>
      </w:r>
    </w:p>
    <w:p>
      <w:pPr>
        <w:pStyle w:val="FirstParagraph"/>
      </w:pPr>
      <w:r>
        <w:rPr>
          <w:bCs/>
          <w:b/>
        </w:rPr>
        <w:t xml:space="preserve">Figure 22.2 — Token bucket admission decision.</w:t>
      </w:r>
    </w:p>
    <w:p>
      <w:pPr>
        <w:pStyle w:val="BodyText"/>
      </w:pPr>
      <w:r>
        <w:drawing>
          <wp:inline>
            <wp:extent cx="5334000" cy="1008226"/>
            <wp:effectExtent b="0" l="0" r="0" t="0"/>
            <wp:docPr descr="" title="" id="2454" name="Picture"/>
            <a:graphic>
              <a:graphicData uri="http://schemas.openxmlformats.org/drawingml/2006/picture">
                <pic:pic>
                  <pic:nvPicPr>
                    <pic:cNvPr descr="/home/user/System-Design/build/.cache/diagrams/74298b6e3020.png" id="2455" name="Picture"/>
                    <pic:cNvPicPr>
                      <a:picLocks noChangeArrowheads="1" noChangeAspect="1"/>
                    </pic:cNvPicPr>
                  </pic:nvPicPr>
                  <pic:blipFill>
                    <a:blip r:embed="rId2453"/>
                    <a:stretch>
                      <a:fillRect/>
                    </a:stretch>
                  </pic:blipFill>
                  <pic:spPr bwMode="auto">
                    <a:xfrm>
                      <a:off x="0" y="0"/>
                      <a:ext cx="5334000" cy="1008226"/>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A request triggers a lazy refill capped at</w:t>
      </w:r>
      <w:r>
        <w:t xml:space="preserve"> </w:t>
      </w:r>
      <m:oMath>
        <m:r>
          <m:t>b</m:t>
        </m:r>
      </m:oMath>
      <w:r>
        <w:t xml:space="preserve">; the decision compares tokens with the request’s cost; admitted requests subtract it, rejected ones compute when the deficit refills. Both paths write the two-number state back to storage (local memory, or a shared store in §22.8). Everything is synchronous and constant-time. Failure point: the read-modify-write must be atomic when threads or nodes share a key (§22.8.2). Scaling: two numbers per key, so millions of keys are cheap.</w:t>
      </w:r>
    </w:p>
    <w:bookmarkEnd w:id="2456"/>
    <w:bookmarkStart w:id="2457" w:name="mathematical-foundations-46"/>
    <w:p>
      <w:pPr>
        <w:pStyle w:val="Heading4"/>
      </w:pPr>
      <w:r>
        <w:t xml:space="preserve">Mathematical foundations</w:t>
      </w:r>
    </w:p>
    <w:p>
      <w:pPr>
        <w:pStyle w:val="CalloutFormula"/>
      </w:pPr>
      <w:r>
        <w:rPr>
          <w:bCs/>
          <w:b/>
        </w:rPr>
        <w:t xml:space="preserve">FORMULA</w:t>
      </w:r>
    </w:p>
    <w:p>
      <w:pPr>
        <w:pStyle w:val="CalloutFormula"/>
      </w:pPr>
      <w:r>
        <w:rPr>
          <w:bCs/>
          <w:b/>
        </w:rPr>
        <w:t xml:space="preserve">Token bucket state and admission bound</w:t>
      </w:r>
    </w:p>
    <w:p>
      <w:pPr>
        <w:pStyle w:val="CalloutFormula"/>
      </w:pPr>
      <m:oMathPara>
        <m:oMathParaPr>
          <m:jc m:val="center"/>
        </m:oMathParaPr>
        <m:oMath>
          <m:r>
            <m:rPr>
              <m:nor/>
              <m:sty m:val="p"/>
            </m:rPr>
            <m:t>tokens</m:t>
          </m:r>
          <m:d>
            <m:dPr>
              <m:begChr m:val="("/>
              <m:endChr m:val=")"/>
              <m:sepChr m:val=""/>
              <m:grow/>
            </m:dPr>
            <m:e>
              <m:r>
                <m:t>t</m:t>
              </m:r>
            </m:e>
          </m:d>
          <m:r>
            <m:rPr>
              <m:sty m:val="p"/>
            </m:rPr>
            <m:t>=</m:t>
          </m:r>
          <m:r>
            <m:rPr>
              <m:sty m:val="p"/>
            </m:rPr>
            <m:t>min</m:t>
          </m:r>
          <m:d>
            <m:dPr>
              <m:begChr m:val="("/>
              <m:endChr m:val=")"/>
              <m:sepChr m:val=""/>
              <m:grow/>
            </m:dPr>
            <m:e>
              <m:r>
                <m:t>b</m:t>
              </m:r>
              <m:r>
                <m:rPr>
                  <m:sty m:val="p"/>
                </m:rPr>
                <m:t>,</m:t>
              </m:r>
              <m:r>
                <m:t> </m:t>
              </m:r>
              <m:r>
                <m:rPr>
                  <m:nor/>
                  <m:sty m:val="p"/>
                </m:rPr>
                <m:t>tokens</m:t>
              </m:r>
              <m:d>
                <m:dPr>
                  <m:begChr m:val="("/>
                  <m:endChr m:val=")"/>
                  <m:sepChr m:val=""/>
                  <m:grow/>
                </m:dPr>
                <m:e>
                  <m:sSub>
                    <m:e>
                      <m:r>
                        <m:t>t</m:t>
                      </m:r>
                    </m:e>
                    <m:sub>
                      <m:r>
                        <m:t>0</m:t>
                      </m:r>
                    </m:sub>
                  </m:sSub>
                </m:e>
              </m:d>
              <m:r>
                <m:rPr>
                  <m:sty m:val="p"/>
                </m:rPr>
                <m:t>+</m:t>
              </m:r>
              <m:r>
                <m:t>r</m:t>
              </m:r>
              <m:r>
                <m:t> </m:t>
              </m:r>
              <m:d>
                <m:dPr>
                  <m:begChr m:val="("/>
                  <m:endChr m:val=")"/>
                  <m:sepChr m:val=""/>
                  <m:grow/>
                </m:dPr>
                <m:e>
                  <m:r>
                    <m:t>t</m:t>
                  </m:r>
                  <m:r>
                    <m:rPr>
                      <m:sty m:val="p"/>
                    </m:rPr>
                    <m:t>−</m:t>
                  </m:r>
                  <m:sSub>
                    <m:e>
                      <m:r>
                        <m:t>t</m:t>
                      </m:r>
                    </m:e>
                    <m:sub>
                      <m:r>
                        <m:t>0</m:t>
                      </m:r>
                    </m:sub>
                  </m:sSub>
                </m:e>
              </m:d>
            </m:e>
          </m:d>
          <m:r>
            <m:t>  </m:t>
          </m:r>
          <m:r>
            <m:t>  </m:t>
          </m:r>
          <m:r>
            <m:t>A</m:t>
          </m:r>
          <m:d>
            <m:dPr>
              <m:begChr m:val="("/>
              <m:endChr m:val=")"/>
              <m:sepChr m:val=""/>
              <m:grow/>
            </m:dPr>
            <m:e>
              <m:r>
                <m:t>T</m:t>
              </m:r>
            </m:e>
          </m:d>
          <m:r>
            <m:rPr>
              <m:sty m:val="p"/>
            </m:rPr>
            <m:t>≤</m:t>
          </m:r>
          <m:r>
            <m:t>b</m:t>
          </m:r>
          <m:r>
            <m:rPr>
              <m:sty m:val="p"/>
            </m:rPr>
            <m:t>+</m:t>
          </m:r>
          <m:r>
            <m:t>r</m:t>
          </m:r>
          <m:r>
            <m:t>T</m:t>
          </m:r>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r</m:t>
              </m:r>
            </m:oMath>
          </w:p>
        </w:tc>
        <w:tc>
          <w:tcPr/>
          <w:p>
            <w:pPr>
              <w:pStyle w:val="Compact"/>
              <w:jc w:val="left"/>
            </w:pPr>
            <w:r>
              <w:t xml:space="preserve">Refill rate (sustained allowed rate)</w:t>
            </w:r>
          </w:p>
        </w:tc>
        <w:tc>
          <w:tcPr/>
          <w:p>
            <w:pPr>
              <w:pStyle w:val="Compact"/>
              <w:jc w:val="left"/>
            </w:pPr>
            <w:r>
              <w:t xml:space="preserve">tokens/s (= requests/s at unit cost)</w:t>
            </w:r>
          </w:p>
        </w:tc>
      </w:tr>
      <w:tr>
        <w:tc>
          <w:tcPr/>
          <w:p>
            <w:pPr>
              <w:pStyle w:val="Compact"/>
              <w:jc w:val="left"/>
            </w:pPr>
            <m:oMath>
              <m:r>
                <m:t>b</m:t>
              </m:r>
            </m:oMath>
          </w:p>
        </w:tc>
        <w:tc>
          <w:tcPr/>
          <w:p>
            <w:pPr>
              <w:pStyle w:val="Compact"/>
              <w:jc w:val="left"/>
            </w:pPr>
            <w:r>
              <w:t xml:space="preserve">Bucket capacity (maximum burst)</w:t>
            </w:r>
          </w:p>
        </w:tc>
        <w:tc>
          <w:tcPr/>
          <w:p>
            <w:pPr>
              <w:pStyle w:val="Compact"/>
              <w:jc w:val="left"/>
            </w:pPr>
            <w:r>
              <w:t xml:space="preserve">tokens</w:t>
            </w:r>
          </w:p>
        </w:tc>
      </w:tr>
      <w:tr>
        <w:tc>
          <w:tcPr/>
          <w:p>
            <w:pPr>
              <w:pStyle w:val="Compact"/>
              <w:jc w:val="left"/>
            </w:pPr>
            <m:oMath>
              <m:sSub>
                <m:e>
                  <m:r>
                    <m:t>t</m:t>
                  </m:r>
                </m:e>
                <m:sub>
                  <m:r>
                    <m:t>0</m:t>
                  </m:r>
                </m:sub>
              </m:sSub>
            </m:oMath>
            <w:r>
              <w:t xml:space="preserve">,</w:t>
            </w:r>
            <w:r>
              <w:t xml:space="preserve"> </w:t>
            </w:r>
            <m:oMath>
              <m:r>
                <m:t>t</m:t>
              </m:r>
            </m:oMath>
          </w:p>
        </w:tc>
        <w:tc>
          <w:tcPr/>
          <w:p>
            <w:pPr>
              <w:pStyle w:val="Compact"/>
              <w:jc w:val="left"/>
            </w:pPr>
            <w:r>
              <w:t xml:space="preserve">Time of last update, current time</w:t>
            </w:r>
          </w:p>
        </w:tc>
        <w:tc>
          <w:tcPr/>
          <w:p>
            <w:pPr>
              <w:pStyle w:val="Compact"/>
              <w:jc w:val="left"/>
            </w:pPr>
            <w:r>
              <w:t xml:space="preserve">s</w:t>
            </w:r>
          </w:p>
        </w:tc>
      </w:tr>
      <w:tr>
        <w:tc>
          <w:tcPr/>
          <w:p>
            <w:pPr>
              <w:pStyle w:val="Compact"/>
              <w:jc w:val="left"/>
            </w:pPr>
            <m:oMath>
              <m:r>
                <m:t>A</m:t>
              </m:r>
              <m:d>
                <m:dPr>
                  <m:begChr m:val="("/>
                  <m:endChr m:val=")"/>
                  <m:sepChr m:val=""/>
                  <m:grow/>
                </m:dPr>
                <m:e>
                  <m:r>
                    <m:t>T</m:t>
                  </m:r>
                </m:e>
              </m:d>
            </m:oMath>
          </w:p>
        </w:tc>
        <w:tc>
          <w:tcPr/>
          <w:p>
            <w:pPr>
              <w:pStyle w:val="Compact"/>
              <w:jc w:val="left"/>
            </w:pPr>
            <w:r>
              <w:t xml:space="preserve">Maximum requests admitted in any interval of length</w:t>
            </w:r>
            <w:r>
              <w:t xml:space="preserve"> </w:t>
            </w:r>
            <m:oMath>
              <m:r>
                <m:t>T</m:t>
              </m:r>
            </m:oMath>
          </w:p>
        </w:tc>
        <w:tc>
          <w:tcPr/>
          <w:p>
            <w:pPr>
              <w:pStyle w:val="Compact"/>
              <w:jc w:val="left"/>
            </w:pPr>
            <w:r>
              <w:t xml:space="preserve">requests</w:t>
            </w:r>
          </w:p>
        </w:tc>
      </w:tr>
    </w:tbl>
    <w:p>
      <w:pPr>
        <w:pStyle w:val="CalloutExample"/>
      </w:pPr>
      <w:r>
        <w:rPr>
          <w:bCs/>
          <w:b/>
        </w:rPr>
        <w:t xml:space="preserve">WORKED EXAMPLE</w:t>
      </w:r>
    </w:p>
    <w:p>
      <w:pPr>
        <w:pStyle w:val="CalloutExample"/>
      </w:pPr>
      <w:r>
        <w:rPr>
          <w:bCs/>
          <w:b/>
        </w:rPr>
        <w:t xml:space="preserve">Worked example — PhotoShare free tier:</w:t>
      </w:r>
      <w:r>
        <w:rPr>
          <w:bCs/>
          <w:b/>
        </w:rPr>
        <w:t xml:space="preserve"> </w:t>
      </w:r>
      <m:oMath>
        <m:r>
          <m:t>r</m:t>
        </m:r>
        <m:r>
          <m:rPr>
            <m:sty m:val="p"/>
          </m:rPr>
          <m:t>=</m:t>
        </m:r>
        <m:r>
          <m:t>10</m:t>
        </m:r>
      </m:oMath>
      <w:r>
        <w:rPr>
          <w:bCs/>
          <w:b/>
        </w:rPr>
        <w:t xml:space="preserve"> </w:t>
      </w:r>
      <w:r>
        <w:rPr>
          <w:bCs/>
          <w:b/>
        </w:rPr>
        <w:t xml:space="preserve">RPS,</w:t>
      </w:r>
      <w:r>
        <w:rPr>
          <w:bCs/>
          <w:b/>
        </w:rPr>
        <w:t xml:space="preserve"> </w:t>
      </w:r>
      <m:oMath>
        <m:r>
          <m:t>b</m:t>
        </m:r>
        <m:r>
          <m:rPr>
            <m:sty m:val="p"/>
          </m:rPr>
          <m:t>=</m:t>
        </m:r>
        <m:r>
          <m:t>20</m:t>
        </m:r>
      </m:oMath>
      <w:r>
        <w:rPr>
          <w:bCs/>
          <w:b/>
        </w:rPr>
        <w:t xml:space="preserve">.</w:t>
      </w:r>
    </w:p>
    <w:p>
      <w:pPr>
        <w:numPr>
          <w:ilvl w:val="0"/>
          <w:numId w:val="1716"/>
        </w:numPr>
        <w:pStyle w:val="Compact"/>
      </w:pPr>
      <w:r>
        <w:t xml:space="preserve">A client idle for a while has a full bucket of 20. It fires 50 requests at</w:t>
      </w:r>
      <w:r>
        <w:t xml:space="preserve"> </w:t>
      </w:r>
      <m:oMath>
        <m:r>
          <m:t>t</m:t>
        </m:r>
        <m:r>
          <m:rPr>
            <m:sty m:val="p"/>
          </m:rPr>
          <m:t>=</m:t>
        </m:r>
        <m:r>
          <m:t>0</m:t>
        </m:r>
      </m:oMath>
      <w:r>
        <w:t xml:space="preserve">: the first 20 are admitted, 30 are rejected. Deficit for the next request is 1 token, so</w:t>
      </w:r>
      <w:r>
        <w:t xml:space="preserve"> </w:t>
      </w:r>
      <w:r>
        <w:rPr>
          <w:rStyle w:val="VerbatimChar"/>
        </w:rPr>
        <w:t xml:space="preserve">Retry-After</w:t>
      </w:r>
      <w:r>
        <w:t xml:space="preserve"> </w:t>
      </w:r>
      <m:oMath>
        <m:r>
          <m:rPr>
            <m:sty m:val="p"/>
          </m:rPr>
          <m:t>=</m:t>
        </m:r>
        <m:r>
          <m:t>1</m:t>
        </m:r>
        <m:r>
          <m:rPr>
            <m:sty m:val="p"/>
          </m:rPr>
          <m:t>/</m:t>
        </m:r>
        <m:r>
          <m:t>10</m:t>
        </m:r>
        <m:r>
          <m:rPr>
            <m:sty m:val="p"/>
          </m:rPr>
          <m:t>=</m:t>
        </m:r>
        <m:r>
          <m:t>0.1</m:t>
        </m:r>
      </m:oMath>
      <w:r>
        <w:t xml:space="preserve"> </w:t>
      </w:r>
      <w:r>
        <w:t xml:space="preserve">s.</w:t>
      </w:r>
    </w:p>
    <w:p>
      <w:pPr>
        <w:numPr>
          <w:ilvl w:val="0"/>
          <w:numId w:val="1716"/>
        </w:numPr>
        <w:pStyle w:val="Compact"/>
      </w:pPr>
      <w:r>
        <w:t xml:space="preserve">The client waits 1 s: the bucket refills</w:t>
      </w:r>
      <w:r>
        <w:t xml:space="preserve"> </w:t>
      </w:r>
      <m:oMath>
        <m:r>
          <m:t>1</m:t>
        </m:r>
        <m:r>
          <m:rPr>
            <m:sty m:val="p"/>
          </m:rPr>
          <m:t>×</m:t>
        </m:r>
        <m:r>
          <m:t>10</m:t>
        </m:r>
        <m:r>
          <m:rPr>
            <m:sty m:val="p"/>
          </m:rPr>
          <m:t>=</m:t>
        </m:r>
        <m:r>
          <m:t>10</m:t>
        </m:r>
      </m:oMath>
      <w:r>
        <w:t xml:space="preserve"> </w:t>
      </w:r>
      <w:r>
        <w:t xml:space="preserve">tokens, so 10 more requests succeed.</w:t>
      </w:r>
    </w:p>
    <w:p>
      <w:pPr>
        <w:numPr>
          <w:ilvl w:val="0"/>
          <w:numId w:val="1716"/>
        </w:numPr>
        <w:pStyle w:val="Compact"/>
      </w:pPr>
      <w:r>
        <w:t xml:space="preserve">Maximum admitted in any 60 s interval:</w:t>
      </w:r>
      <w:r>
        <w:t xml:space="preserve"> </w:t>
      </w:r>
      <m:oMath>
        <m:r>
          <m:t>A</m:t>
        </m:r>
        <m:d>
          <m:dPr>
            <m:begChr m:val="("/>
            <m:endChr m:val=")"/>
            <m:sepChr m:val=""/>
            <m:grow/>
          </m:dPr>
          <m:e>
            <m:r>
              <m:t>60</m:t>
            </m:r>
          </m:e>
        </m:d>
        <m:r>
          <m:rPr>
            <m:sty m:val="p"/>
          </m:rPr>
          <m:t>=</m:t>
        </m:r>
        <m:r>
          <m:t>20</m:t>
        </m:r>
        <m:r>
          <m:rPr>
            <m:sty m:val="p"/>
          </m:rPr>
          <m:t>+</m:t>
        </m:r>
        <m:r>
          <m:t>10</m:t>
        </m:r>
        <m:r>
          <m:rPr>
            <m:sty m:val="p"/>
          </m:rPr>
          <m:t>×</m:t>
        </m:r>
        <m:r>
          <m:t>60</m:t>
        </m:r>
        <m:r>
          <m:rPr>
            <m:sty m:val="p"/>
          </m:rPr>
          <m:t>=</m:t>
        </m:r>
        <m:r>
          <m:t>620</m:t>
        </m:r>
      </m:oMath>
      <w:r>
        <w:t xml:space="preserve"> </w:t>
      </w:r>
      <w:r>
        <w:t xml:space="preserve">requests, an average of 10.3 RPS. The burst adds only 3% over a minute.</w:t>
      </w:r>
    </w:p>
    <w:p>
      <w:pPr>
        <w:numPr>
          <w:ilvl w:val="0"/>
          <w:numId w:val="1716"/>
        </w:numPr>
        <w:pStyle w:val="Compact"/>
      </w:pPr>
      <w:r>
        <w:t xml:space="preserve">Time to refill from empty to full:</w:t>
      </w:r>
      <w:r>
        <w:t xml:space="preserve"> </w:t>
      </w:r>
      <m:oMath>
        <m:r>
          <m:t>b</m:t>
        </m:r>
        <m:r>
          <m:rPr>
            <m:sty m:val="p"/>
          </m:rPr>
          <m:t>/</m:t>
        </m:r>
        <m:r>
          <m:t>r</m:t>
        </m:r>
        <m:r>
          <m:rPr>
            <m:sty m:val="p"/>
          </m:rPr>
          <m:t>=</m:t>
        </m:r>
        <m:r>
          <m:t>20</m:t>
        </m:r>
        <m:r>
          <m:rPr>
            <m:sty m:val="p"/>
          </m:rPr>
          <m:t>/</m:t>
        </m:r>
        <m:r>
          <m:t>10</m:t>
        </m:r>
        <m:r>
          <m:rPr>
            <m:sty m:val="p"/>
          </m:rPr>
          <m:t>=</m:t>
        </m:r>
        <m:r>
          <m:t>2</m:t>
        </m:r>
      </m:oMath>
      <w:r>
        <w:t xml:space="preserve"> </w:t>
      </w:r>
      <w:r>
        <w:t xml:space="preserve">s.</w:t>
      </w:r>
    </w:p>
    <w:p>
      <w:pPr>
        <w:numPr>
          <w:ilvl w:val="0"/>
          <w:numId w:val="1716"/>
        </w:numPr>
        <w:pStyle w:val="Compact"/>
      </w:pPr>
      <w:r>
        <w:t xml:space="preserve">Sustained 15 RPS for 10 s against a full bucket (150 requests over a 9.93 s span): the bound is</w:t>
      </w:r>
      <w:r>
        <w:t xml:space="preserve"> </w:t>
      </w:r>
      <m:oMath>
        <m:r>
          <m:t>20</m:t>
        </m:r>
        <m:r>
          <m:rPr>
            <m:sty m:val="p"/>
          </m:rPr>
          <m:t>+</m:t>
        </m:r>
        <m:r>
          <m:t>10</m:t>
        </m:r>
        <m:r>
          <m:rPr>
            <m:sty m:val="p"/>
          </m:rPr>
          <m:t>×</m:t>
        </m:r>
        <m:r>
          <m:t>9.93</m:t>
        </m:r>
        <m:r>
          <m:rPr>
            <m:sty m:val="p"/>
          </m:rPr>
          <m:t>=</m:t>
        </m:r>
        <m:r>
          <m:t>119.3</m:t>
        </m:r>
      </m:oMath>
      <w:r>
        <w:t xml:space="preserve">, so at most 119 are admitted; the code below admits exactly 119.</w:t>
      </w:r>
    </w:p>
    <w:p>
      <w:pPr>
        <w:pStyle w:val="CalloutExample"/>
      </w:pPr>
      <w:r>
        <w:rPr>
          <w:bCs/>
          <w:b/>
        </w:rPr>
        <w:t xml:space="preserve">Interpretation.</w:t>
      </w:r>
      <w:r>
        <w:t xml:space="preserve"> </w:t>
      </w:r>
      <m:oMath>
        <m:r>
          <m:t>r</m:t>
        </m:r>
      </m:oMath>
      <w:r>
        <w:t xml:space="preserve"> </w:t>
      </w:r>
      <w:r>
        <w:t xml:space="preserve">governs the minute-scale average;</w:t>
      </w:r>
      <w:r>
        <w:t xml:space="preserve"> </w:t>
      </w:r>
      <m:oMath>
        <m:r>
          <m:t>b</m:t>
        </m:r>
      </m:oMath>
      <w:r>
        <w:t xml:space="preserve"> </w:t>
      </w:r>
      <w:r>
        <w:t xml:space="preserve">only the first seconds.</w:t>
      </w:r>
      <w:r>
        <w:t xml:space="preserve"> </w:t>
      </w:r>
      <w:r>
        <w:rPr>
          <w:bCs/>
          <w:b/>
        </w:rPr>
        <w:t xml:space="preserve">Engineering implication.</w:t>
      </w:r>
      <w:r>
        <w:t xml:space="preserve"> </w:t>
      </w:r>
      <w:r>
        <w:t xml:space="preserve">Set</w:t>
      </w:r>
      <w:r>
        <w:t xml:space="preserve"> </w:t>
      </w:r>
      <m:oMath>
        <m:r>
          <m:t>r</m:t>
        </m:r>
      </m:oMath>
      <w:r>
        <w:t xml:space="preserve"> </w:t>
      </w:r>
      <w:r>
        <w:t xml:space="preserve">from capacity planning and</w:t>
      </w:r>
      <w:r>
        <w:t xml:space="preserve"> </w:t>
      </w:r>
      <m:oMath>
        <m:r>
          <m:t>b</m:t>
        </m:r>
      </m:oMath>
      <w:r>
        <w:t xml:space="preserve"> </w:t>
      </w:r>
      <w:r>
        <w:t xml:space="preserve">from the largest legitimate client burst; if the downstream cannot absorb</w:t>
      </w:r>
      <w:r>
        <w:t xml:space="preserve"> </w:t>
      </w:r>
      <m:oMath>
        <m:r>
          <m:t>b</m:t>
        </m:r>
      </m:oMath>
      <w:r>
        <w:t xml:space="preserve"> </w:t>
      </w:r>
      <w:r>
        <w:t xml:space="preserve">requests at once from many clients, the burst, not the rate, will hurt you.</w:t>
      </w:r>
    </w:p>
    <w:bookmarkEnd w:id="2457"/>
    <w:bookmarkStart w:id="2458" w:name="code-example-25"/>
    <w:p>
      <w:pPr>
        <w:pStyle w:val="Heading4"/>
      </w:pPr>
      <w:r>
        <w:t xml:space="preserve">Code example</w:t>
      </w:r>
    </w:p>
    <w:p>
      <w:pPr>
        <w:pStyle w:val="SourceCode"/>
      </w:pPr>
      <w:r>
        <w:rPr>
          <w:rStyle w:val="ImportTok"/>
        </w:rPr>
        <w:t xml:space="preserve">import</w:t>
      </w:r>
      <w:r>
        <w:rPr>
          <w:rStyle w:val="NormalTok"/>
        </w:rPr>
        <w:t xml:space="preserve"> random</w:t>
      </w:r>
      <w:r>
        <w:br/>
      </w:r>
      <w:r>
        <w:rPr>
          <w:rStyle w:val="ImportTok"/>
        </w:rPr>
        <w:t xml:space="preserve">import</w:t>
      </w:r>
      <w:r>
        <w:rPr>
          <w:rStyle w:val="NormalTok"/>
        </w:rPr>
        <w:t xml:space="preserve"> time</w:t>
      </w:r>
      <w:r>
        <w:br/>
      </w:r>
      <w:r>
        <w:br/>
      </w:r>
      <w:r>
        <w:br/>
      </w:r>
      <w:r>
        <w:rPr>
          <w:rStyle w:val="KeywordTok"/>
        </w:rPr>
        <w:t xml:space="preserve">class</w:t>
      </w:r>
      <w:r>
        <w:rPr>
          <w:rStyle w:val="NormalTok"/>
        </w:rPr>
        <w:t xml:space="preserve"> FakeClock:</w:t>
      </w:r>
      <w:r>
        <w:br/>
      </w:r>
      <w:r>
        <w:rPr>
          <w:rStyle w:val="NormalTok"/>
        </w:rPr>
        <w:t xml:space="preserve">    </w:t>
      </w:r>
      <w:r>
        <w:rPr>
          <w:rStyle w:val="CommentTok"/>
        </w:rPr>
        <w:t xml:space="preserve">"""A controllable clock so tests are deterministic (time in seconds)."""</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t</w:t>
      </w:r>
      <w:r>
        <w:rPr>
          <w:rStyle w:val="OperatorTok"/>
        </w:rPr>
        <w:t xml:space="preserve">=</w:t>
      </w:r>
      <w:r>
        <w:rPr>
          <w:rStyle w:val="FloatTok"/>
        </w:rPr>
        <w:t xml:space="preserve">0.0</w:t>
      </w:r>
      <w:r>
        <w:rPr>
          <w:rStyle w:val="NormalTok"/>
        </w:rPr>
        <w:t xml:space="preserve">):</w:t>
      </w:r>
      <w:r>
        <w:br/>
      </w:r>
      <w:r>
        <w:rPr>
          <w:rStyle w:val="NormalTok"/>
        </w:rPr>
        <w:t xml:space="preserve">        </w:t>
      </w:r>
      <w:r>
        <w:rPr>
          <w:rStyle w:val="VariableTok"/>
        </w:rPr>
        <w:t xml:space="preserve">self</w:t>
      </w:r>
      <w:r>
        <w:rPr>
          <w:rStyle w:val="NormalTok"/>
        </w:rPr>
        <w:t xml:space="preserve">.t </w:t>
      </w:r>
      <w:r>
        <w:rPr>
          <w:rStyle w:val="OperatorTok"/>
        </w:rPr>
        <w:t xml:space="preserve">=</w:t>
      </w:r>
      <w:r>
        <w:rPr>
          <w:rStyle w:val="NormalTok"/>
        </w:rPr>
        <w:t xml:space="preserve"> t</w:t>
      </w:r>
      <w:r>
        <w:br/>
      </w:r>
      <w:r>
        <w:rPr>
          <w:rStyle w:val="NormalTok"/>
        </w:rPr>
        <w:t xml:space="preserve">    </w:t>
      </w:r>
      <w:r>
        <w:rPr>
          <w:rStyle w:val="KeywordTok"/>
        </w:rPr>
        <w:t xml:space="preserve">def</w:t>
      </w:r>
      <w:r>
        <w:rPr>
          <w:rStyle w:val="NormalTok"/>
        </w:rPr>
        <w:t xml:space="preserve"> </w:t>
      </w:r>
      <w:r>
        <w:rPr>
          <w:rStyle w:val="FunctionTok"/>
        </w:rPr>
        <w:t xml:space="preserve">__call__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.t</w:t>
      </w:r>
      <w:r>
        <w:br/>
      </w:r>
      <w:r>
        <w:rPr>
          <w:rStyle w:val="NormalTok"/>
        </w:rPr>
        <w:t xml:space="preserve">    </w:t>
      </w:r>
      <w:r>
        <w:rPr>
          <w:rStyle w:val="KeywordTok"/>
        </w:rPr>
        <w:t xml:space="preserve">def</w:t>
      </w:r>
      <w:r>
        <w:rPr>
          <w:rStyle w:val="NormalTok"/>
        </w:rPr>
        <w:t xml:space="preserve"> advance(</w:t>
      </w:r>
      <w:r>
        <w:rPr>
          <w:rStyle w:val="VariableTok"/>
        </w:rPr>
        <w:t xml:space="preserve">self</w:t>
      </w:r>
      <w:r>
        <w:rPr>
          <w:rStyle w:val="NormalTok"/>
        </w:rPr>
        <w:t xml:space="preserve">, dt):</w:t>
      </w:r>
      <w:r>
        <w:br/>
      </w:r>
      <w:r>
        <w:rPr>
          <w:rStyle w:val="NormalTok"/>
        </w:rPr>
        <w:t xml:space="preserve">        </w:t>
      </w:r>
      <w:r>
        <w:rPr>
          <w:rStyle w:val="VariableTok"/>
        </w:rPr>
        <w:t xml:space="preserve">self</w:t>
      </w:r>
      <w:r>
        <w:rPr>
          <w:rStyle w:val="NormalTok"/>
        </w:rPr>
        <w:t xml:space="preserve">.t </w:t>
      </w:r>
      <w:r>
        <w:rPr>
          <w:rStyle w:val="OperatorTok"/>
        </w:rPr>
        <w:t xml:space="preserve">+=</w:t>
      </w:r>
      <w:r>
        <w:rPr>
          <w:rStyle w:val="NormalTok"/>
        </w:rPr>
        <w:t xml:space="preserve"> dt</w:t>
      </w:r>
      <w:r>
        <w:br/>
      </w:r>
      <w:r>
        <w:br/>
      </w:r>
      <w:r>
        <w:br/>
      </w:r>
      <w:r>
        <w:rPr>
          <w:rStyle w:val="KeywordTok"/>
        </w:rPr>
        <w:t xml:space="preserve">class</w:t>
      </w:r>
      <w:r>
        <w:rPr>
          <w:rStyle w:val="NormalTok"/>
        </w:rPr>
        <w:t xml:space="preserve"> TokenBucket:</w:t>
      </w:r>
      <w:r>
        <w:br/>
      </w:r>
      <w:r>
        <w:rPr>
          <w:rStyle w:val="NormalTok"/>
        </w:rPr>
        <w:t xml:space="preserve">    </w:t>
      </w:r>
      <w:r>
        <w:rPr>
          <w:rStyle w:val="CommentTok"/>
        </w:rPr>
        <w:t xml:space="preserve">"""Refill at `rate` tokens/s up to `capacity`; each request spends `cost` tokens."""</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rate, capacity, clock</w:t>
      </w:r>
      <w:r>
        <w:rPr>
          <w:rStyle w:val="OperatorTok"/>
        </w:rPr>
        <w:t xml:space="preserve">=</w:t>
      </w:r>
      <w:r>
        <w:rPr>
          <w:rStyle w:val="NormalTok"/>
        </w:rPr>
        <w:t xml:space="preserve">time.monotonic):</w:t>
      </w:r>
      <w:r>
        <w:br/>
      </w:r>
      <w:r>
        <w:rPr>
          <w:rStyle w:val="NormalTok"/>
        </w:rPr>
        <w:t xml:space="preserve">        </w:t>
      </w:r>
      <w:r>
        <w:rPr>
          <w:rStyle w:val="VariableTok"/>
        </w:rPr>
        <w:t xml:space="preserve">self</w:t>
      </w:r>
      <w:r>
        <w:rPr>
          <w:rStyle w:val="NormalTok"/>
        </w:rPr>
        <w:t xml:space="preserve">.rate, </w:t>
      </w:r>
      <w:r>
        <w:rPr>
          <w:rStyle w:val="VariableTok"/>
        </w:rPr>
        <w:t xml:space="preserve">self</w:t>
      </w:r>
      <w:r>
        <w:rPr>
          <w:rStyle w:val="NormalTok"/>
        </w:rPr>
        <w:t xml:space="preserve">.capacity, </w:t>
      </w:r>
      <w:r>
        <w:rPr>
          <w:rStyle w:val="VariableTok"/>
        </w:rPr>
        <w:t xml:space="preserve">self</w:t>
      </w:r>
      <w:r>
        <w:rPr>
          <w:rStyle w:val="NormalTok"/>
        </w:rPr>
        <w:t xml:space="preserve">.clock </w:t>
      </w:r>
      <w:r>
        <w:rPr>
          <w:rStyle w:val="OperatorTok"/>
        </w:rPr>
        <w:t xml:space="preserve">=</w:t>
      </w:r>
      <w:r>
        <w:rPr>
          <w:rStyle w:val="NormalTok"/>
        </w:rPr>
        <w:t xml:space="preserve"> </w:t>
      </w:r>
      <w:r>
        <w:rPr>
          <w:rStyle w:val="BuiltInTok"/>
        </w:rPr>
        <w:t xml:space="preserve">float</w:t>
      </w:r>
      <w:r>
        <w:rPr>
          <w:rStyle w:val="NormalTok"/>
        </w:rPr>
        <w:t xml:space="preserve">(rate), </w:t>
      </w:r>
      <w:r>
        <w:rPr>
          <w:rStyle w:val="BuiltInTok"/>
        </w:rPr>
        <w:t xml:space="preserve">float</w:t>
      </w:r>
      <w:r>
        <w:rPr>
          <w:rStyle w:val="NormalTok"/>
        </w:rPr>
        <w:t xml:space="preserve">(capacity), clock</w:t>
      </w:r>
      <w:r>
        <w:br/>
      </w:r>
      <w:r>
        <w:rPr>
          <w:rStyle w:val="NormalTok"/>
        </w:rPr>
        <w:t xml:space="preserve">        </w:t>
      </w:r>
      <w:r>
        <w:rPr>
          <w:rStyle w:val="VariableTok"/>
        </w:rPr>
        <w:t xml:space="preserve">self</w:t>
      </w:r>
      <w:r>
        <w:rPr>
          <w:rStyle w:val="NormalTok"/>
        </w:rPr>
        <w:t xml:space="preserve">.tokens </w:t>
      </w:r>
      <w:r>
        <w:rPr>
          <w:rStyle w:val="OperatorTok"/>
        </w:rPr>
        <w:t xml:space="preserve">=</w:t>
      </w:r>
      <w:r>
        <w:rPr>
          <w:rStyle w:val="NormalTok"/>
        </w:rPr>
        <w:t xml:space="preserve"> </w:t>
      </w:r>
      <w:r>
        <w:rPr>
          <w:rStyle w:val="BuiltInTok"/>
        </w:rPr>
        <w:t xml:space="preserve">float</w:t>
      </w:r>
      <w:r>
        <w:rPr>
          <w:rStyle w:val="NormalTok"/>
        </w:rPr>
        <w:t xml:space="preserve">(capacity)          </w:t>
      </w:r>
      <w:r>
        <w:rPr>
          <w:rStyle w:val="CommentTok"/>
        </w:rPr>
        <w:t xml:space="preserve"># start full: a new client may burst at once</w:t>
      </w:r>
      <w:r>
        <w:br/>
      </w:r>
      <w:r>
        <w:rPr>
          <w:rStyle w:val="NormalTok"/>
        </w:rPr>
        <w:t xml:space="preserve">        </w:t>
      </w:r>
      <w:r>
        <w:rPr>
          <w:rStyle w:val="VariableTok"/>
        </w:rPr>
        <w:t xml:space="preserve">self</w:t>
      </w:r>
      <w:r>
        <w:rPr>
          <w:rStyle w:val="NormalTok"/>
        </w:rPr>
        <w:t xml:space="preserve">.last </w:t>
      </w:r>
      <w:r>
        <w:rPr>
          <w:rStyle w:val="OperatorTok"/>
        </w:rPr>
        <w:t xml:space="preserve">=</w:t>
      </w:r>
      <w:r>
        <w:rPr>
          <w:rStyle w:val="NormalTok"/>
        </w:rPr>
        <w:t xml:space="preserve"> clock()</w:t>
      </w:r>
      <w:r>
        <w:br/>
      </w:r>
      <w:r>
        <w:br/>
      </w:r>
      <w:r>
        <w:rPr>
          <w:rStyle w:val="NormalTok"/>
        </w:rPr>
        <w:t xml:space="preserve">    </w:t>
      </w:r>
      <w:r>
        <w:rPr>
          <w:rStyle w:val="KeywordTok"/>
        </w:rPr>
        <w:t xml:space="preserve">def</w:t>
      </w:r>
      <w:r>
        <w:rPr>
          <w:rStyle w:val="NormalTok"/>
        </w:rPr>
        <w:t xml:space="preserve"> _refill(</w:t>
      </w:r>
      <w:r>
        <w:rPr>
          <w:rStyle w:val="VariableTok"/>
        </w:rPr>
        <w:t xml:space="preserve">self</w:t>
      </w:r>
      <w:r>
        <w:rPr>
          <w:rStyle w:val="NormalTok"/>
        </w:rPr>
        <w:t xml:space="preserve">):</w:t>
      </w:r>
      <w:r>
        <w:br/>
      </w:r>
      <w:r>
        <w:rPr>
          <w:rStyle w:val="NormalTok"/>
        </w:rPr>
        <w:t xml:space="preserve">        now </w:t>
      </w:r>
      <w:r>
        <w:rPr>
          <w:rStyle w:val="OperatorTok"/>
        </w:rPr>
        <w:t xml:space="preserve">=</w:t>
      </w:r>
      <w:r>
        <w:rPr>
          <w:rStyle w:val="NormalTok"/>
        </w:rPr>
        <w:t xml:space="preserve"> </w:t>
      </w:r>
      <w:r>
        <w:rPr>
          <w:rStyle w:val="VariableTok"/>
        </w:rPr>
        <w:t xml:space="preserve">self</w:t>
      </w:r>
      <w:r>
        <w:rPr>
          <w:rStyle w:val="NormalTok"/>
        </w:rPr>
        <w:t xml:space="preserve">.clock()</w:t>
      </w:r>
      <w:r>
        <w:br/>
      </w:r>
      <w:r>
        <w:rPr>
          <w:rStyle w:val="NormalTok"/>
        </w:rPr>
        <w:t xml:space="preserve">        elapsed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now </w:t>
      </w:r>
      <w:r>
        <w:rPr>
          <w:rStyle w:val="OperatorTok"/>
        </w:rPr>
        <w:t xml:space="preserve">-</w:t>
      </w:r>
      <w:r>
        <w:rPr>
          <w:rStyle w:val="NormalTok"/>
        </w:rPr>
        <w:t xml:space="preserve"> </w:t>
      </w:r>
      <w:r>
        <w:rPr>
          <w:rStyle w:val="VariableTok"/>
        </w:rPr>
        <w:t xml:space="preserve">self</w:t>
      </w:r>
      <w:r>
        <w:rPr>
          <w:rStyle w:val="NormalTok"/>
        </w:rPr>
        <w:t xml:space="preserve">.last)    </w:t>
      </w:r>
      <w:r>
        <w:rPr>
          <w:rStyle w:val="CommentTok"/>
        </w:rPr>
        <w:t xml:space="preserve"># ignore a clock that steps backwards</w:t>
      </w:r>
      <w:r>
        <w:br/>
      </w:r>
      <w:r>
        <w:rPr>
          <w:rStyle w:val="NormalTok"/>
        </w:rPr>
        <w:t xml:space="preserve">        </w:t>
      </w:r>
      <w:r>
        <w:rPr>
          <w:rStyle w:val="VariableTok"/>
        </w:rPr>
        <w:t xml:space="preserve">self</w:t>
      </w:r>
      <w:r>
        <w:rPr>
          <w:rStyle w:val="NormalTok"/>
        </w:rPr>
        <w:t xml:space="preserve">.tokens </w:t>
      </w:r>
      <w:r>
        <w:rPr>
          <w:rStyle w:val="OperatorTok"/>
        </w:rPr>
        <w:t xml:space="preserve">=</w:t>
      </w:r>
      <w:r>
        <w:rPr>
          <w:rStyle w:val="NormalTok"/>
        </w:rPr>
        <w:t xml:space="preserve"> </w:t>
      </w:r>
      <w:r>
        <w:rPr>
          <w:rStyle w:val="BuiltInTok"/>
        </w:rPr>
        <w:t xml:space="preserve">min</w:t>
      </w:r>
      <w:r>
        <w:rPr>
          <w:rStyle w:val="NormalTok"/>
        </w:rPr>
        <w:t xml:space="preserve">(</w:t>
      </w:r>
      <w:r>
        <w:rPr>
          <w:rStyle w:val="VariableTok"/>
        </w:rPr>
        <w:t xml:space="preserve">self</w:t>
      </w:r>
      <w:r>
        <w:rPr>
          <w:rStyle w:val="NormalTok"/>
        </w:rPr>
        <w:t xml:space="preserve">.capacity, </w:t>
      </w:r>
      <w:r>
        <w:rPr>
          <w:rStyle w:val="VariableTok"/>
        </w:rPr>
        <w:t xml:space="preserve">self</w:t>
      </w:r>
      <w:r>
        <w:rPr>
          <w:rStyle w:val="NormalTok"/>
        </w:rPr>
        <w:t xml:space="preserve">.tokens </w:t>
      </w:r>
      <w:r>
        <w:rPr>
          <w:rStyle w:val="OperatorTok"/>
        </w:rPr>
        <w:t xml:space="preserve">+</w:t>
      </w:r>
      <w:r>
        <w:rPr>
          <w:rStyle w:val="NormalTok"/>
        </w:rPr>
        <w:t xml:space="preserve"> elapsed </w:t>
      </w:r>
      <w:r>
        <w:rPr>
          <w:rStyle w:val="OperatorTok"/>
        </w:rPr>
        <w:t xml:space="preserve">*</w:t>
      </w:r>
      <w:r>
        <w:rPr>
          <w:rStyle w:val="NormalTok"/>
        </w:rPr>
        <w:t xml:space="preserve"> </w:t>
      </w:r>
      <w:r>
        <w:rPr>
          <w:rStyle w:val="VariableTok"/>
        </w:rPr>
        <w:t xml:space="preserve">self</w:t>
      </w:r>
      <w:r>
        <w:rPr>
          <w:rStyle w:val="NormalTok"/>
        </w:rPr>
        <w:t xml:space="preserve">.rate)</w:t>
      </w:r>
      <w:r>
        <w:br/>
      </w:r>
      <w:r>
        <w:rPr>
          <w:rStyle w:val="NormalTok"/>
        </w:rPr>
        <w:t xml:space="preserve">        </w:t>
      </w:r>
      <w:r>
        <w:rPr>
          <w:rStyle w:val="VariableTok"/>
        </w:rPr>
        <w:t xml:space="preserve">self</w:t>
      </w:r>
      <w:r>
        <w:rPr>
          <w:rStyle w:val="NormalTok"/>
        </w:rPr>
        <w:t xml:space="preserve">.last </w:t>
      </w:r>
      <w:r>
        <w:rPr>
          <w:rStyle w:val="OperatorTok"/>
        </w:rPr>
        <w:t xml:space="preserve">=</w:t>
      </w:r>
      <w:r>
        <w:rPr>
          <w:rStyle w:val="NormalTok"/>
        </w:rPr>
        <w:t xml:space="preserve"> now</w:t>
      </w:r>
      <w:r>
        <w:br/>
      </w:r>
      <w:r>
        <w:br/>
      </w:r>
      <w:r>
        <w:rPr>
          <w:rStyle w:val="NormalTok"/>
        </w:rPr>
        <w:t xml:space="preserve">    </w:t>
      </w:r>
      <w:r>
        <w:rPr>
          <w:rStyle w:val="KeywordTok"/>
        </w:rPr>
        <w:t xml:space="preserve">def</w:t>
      </w:r>
      <w:r>
        <w:rPr>
          <w:rStyle w:val="NormalTok"/>
        </w:rPr>
        <w:t xml:space="preserve"> try_acquire(</w:t>
      </w:r>
      <w:r>
        <w:rPr>
          <w:rStyle w:val="VariableTok"/>
        </w:rPr>
        <w:t xml:space="preserve">self</w:t>
      </w:r>
      <w:r>
        <w:rPr>
          <w:rStyle w:val="NormalTok"/>
        </w:rPr>
        <w:t xml:space="preserve">, cost</w:t>
      </w:r>
      <w:r>
        <w:rPr>
          <w:rStyle w:val="OperatorTok"/>
        </w:rPr>
        <w:t xml:space="preserve">=</w:t>
      </w:r>
      <w:r>
        <w:rPr>
          <w:rStyle w:val="FloatTok"/>
        </w:rPr>
        <w:t xml:space="preserve">1.0</w:t>
      </w:r>
      <w:r>
        <w:rPr>
          <w:rStyle w:val="NormalTok"/>
        </w:rPr>
        <w:t xml:space="preserve">):</w:t>
      </w:r>
      <w:r>
        <w:br/>
      </w:r>
      <w:r>
        <w:rPr>
          <w:rStyle w:val="NormalTok"/>
        </w:rPr>
        <w:t xml:space="preserve">        </w:t>
      </w:r>
      <w:r>
        <w:rPr>
          <w:rStyle w:val="VariableTok"/>
        </w:rPr>
        <w:t xml:space="preserve">self</w:t>
      </w:r>
      <w:r>
        <w:rPr>
          <w:rStyle w:val="NormalTok"/>
        </w:rPr>
        <w:t xml:space="preserve">._refill()</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.tokens </w:t>
      </w:r>
      <w:r>
        <w:rPr>
          <w:rStyle w:val="OperatorTok"/>
        </w:rPr>
        <w:t xml:space="preserve">&gt;=</w:t>
      </w:r>
      <w:r>
        <w:rPr>
          <w:rStyle w:val="NormalTok"/>
        </w:rPr>
        <w:t xml:space="preserve"> cost:</w:t>
      </w:r>
      <w:r>
        <w:br/>
      </w:r>
      <w:r>
        <w:rPr>
          <w:rStyle w:val="NormalTok"/>
        </w:rPr>
        <w:t xml:space="preserve">            </w:t>
      </w:r>
      <w:r>
        <w:rPr>
          <w:rStyle w:val="VariableTok"/>
        </w:rPr>
        <w:t xml:space="preserve">self</w:t>
      </w:r>
      <w:r>
        <w:rPr>
          <w:rStyle w:val="NormalTok"/>
        </w:rPr>
        <w:t xml:space="preserve">.tokens </w:t>
      </w:r>
      <w:r>
        <w:rPr>
          <w:rStyle w:val="OperatorTok"/>
        </w:rPr>
        <w:t xml:space="preserve">-=</w:t>
      </w:r>
      <w:r>
        <w:rPr>
          <w:rStyle w:val="NormalTok"/>
        </w:rPr>
        <w:t xml:space="preserve"> cost</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    </w:t>
      </w:r>
      <w:r>
        <w:rPr>
          <w:rStyle w:val="KeywordTok"/>
        </w:rPr>
        <w:t xml:space="preserve">def</w:t>
      </w:r>
      <w:r>
        <w:rPr>
          <w:rStyle w:val="NormalTok"/>
        </w:rPr>
        <w:t xml:space="preserve"> retry_after(</w:t>
      </w:r>
      <w:r>
        <w:rPr>
          <w:rStyle w:val="VariableTok"/>
        </w:rPr>
        <w:t xml:space="preserve">self</w:t>
      </w:r>
      <w:r>
        <w:rPr>
          <w:rStyle w:val="NormalTok"/>
        </w:rPr>
        <w:t xml:space="preserve">, cost</w:t>
      </w:r>
      <w:r>
        <w:rPr>
          <w:rStyle w:val="OperatorTok"/>
        </w:rPr>
        <w:t xml:space="preserve">=</w:t>
      </w:r>
      <w:r>
        <w:rPr>
          <w:rStyle w:val="FloatTok"/>
        </w:rPr>
        <w:t xml:space="preserve">1.0</w:t>
      </w:r>
      <w:r>
        <w:rPr>
          <w:rStyle w:val="NormalTok"/>
        </w:rPr>
        <w:t xml:space="preserve">):</w:t>
      </w:r>
      <w:r>
        <w:br/>
      </w:r>
      <w:r>
        <w:rPr>
          <w:rStyle w:val="NormalTok"/>
        </w:rPr>
        <w:t xml:space="preserve">        </w:t>
      </w:r>
      <w:r>
        <w:rPr>
          <w:rStyle w:val="CommentTok"/>
        </w:rPr>
        <w:t xml:space="preserve">"""Seconds until `cost` tokens are available: the value for a Retry-After header."""</w:t>
      </w:r>
      <w:r>
        <w:br/>
      </w:r>
      <w:r>
        <w:rPr>
          <w:rStyle w:val="NormalTok"/>
        </w:rPr>
        <w:t xml:space="preserve">        </w:t>
      </w:r>
      <w:r>
        <w:rPr>
          <w:rStyle w:val="VariableTok"/>
        </w:rPr>
        <w:t xml:space="preserve">self</w:t>
      </w:r>
      <w:r>
        <w:rPr>
          <w:rStyle w:val="NormalTok"/>
        </w:rPr>
        <w:t xml:space="preserve">._refill()</w:t>
      </w:r>
      <w:r>
        <w:br/>
      </w:r>
      <w:r>
        <w:rPr>
          <w:rStyle w:val="NormalTok"/>
        </w:rPr>
        <w:t xml:space="preserve">        </w:t>
      </w:r>
      <w:r>
        <w:rPr>
          <w:rStyle w:val="ControlFlowTok"/>
        </w:rPr>
        <w:t xml:space="preserve">return</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(cost </w:t>
      </w:r>
      <w:r>
        <w:rPr>
          <w:rStyle w:val="OperatorTok"/>
        </w:rPr>
        <w:t xml:space="preserve">-</w:t>
      </w:r>
      <w:r>
        <w:rPr>
          <w:rStyle w:val="NormalTok"/>
        </w:rPr>
        <w:t xml:space="preserve"> </w:t>
      </w:r>
      <w:r>
        <w:rPr>
          <w:rStyle w:val="VariableTok"/>
        </w:rPr>
        <w:t xml:space="preserve">self</w:t>
      </w:r>
      <w:r>
        <w:rPr>
          <w:rStyle w:val="NormalTok"/>
        </w:rPr>
        <w:t xml:space="preserve">.tokens) </w:t>
      </w:r>
      <w:r>
        <w:rPr>
          <w:rStyle w:val="OperatorTok"/>
        </w:rPr>
        <w:t xml:space="preserve">/</w:t>
      </w:r>
      <w:r>
        <w:rPr>
          <w:rStyle w:val="NormalTok"/>
        </w:rPr>
        <w:t xml:space="preserve"> </w:t>
      </w:r>
      <w:r>
        <w:rPr>
          <w:rStyle w:val="VariableTok"/>
        </w:rPr>
        <w:t xml:space="preserve">self</w:t>
      </w:r>
      <w:r>
        <w:rPr>
          <w:rStyle w:val="NormalTok"/>
        </w:rPr>
        <w:t xml:space="preserve">.rate)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clock </w:t>
      </w:r>
      <w:r>
        <w:rPr>
          <w:rStyle w:val="OperatorTok"/>
        </w:rPr>
        <w:t xml:space="preserve">=</w:t>
      </w:r>
      <w:r>
        <w:rPr>
          <w:rStyle w:val="NormalTok"/>
        </w:rPr>
        <w:t xml:space="preserve"> FakeClock()</w:t>
      </w:r>
      <w:r>
        <w:br/>
      </w:r>
      <w:r>
        <w:rPr>
          <w:rStyle w:val="NormalTok"/>
        </w:rPr>
        <w:t xml:space="preserve">    tb </w:t>
      </w:r>
      <w:r>
        <w:rPr>
          <w:rStyle w:val="OperatorTok"/>
        </w:rPr>
        <w:t xml:space="preserve">=</w:t>
      </w:r>
      <w:r>
        <w:rPr>
          <w:rStyle w:val="NormalTok"/>
        </w:rPr>
        <w:t xml:space="preserve"> TokenBucket(rate</w:t>
      </w:r>
      <w:r>
        <w:rPr>
          <w:rStyle w:val="OperatorTok"/>
        </w:rPr>
        <w:t xml:space="preserve">=</w:t>
      </w:r>
      <w:r>
        <w:rPr>
          <w:rStyle w:val="DecValTok"/>
        </w:rPr>
        <w:t xml:space="preserve">10</w:t>
      </w:r>
      <w:r>
        <w:rPr>
          <w:rStyle w:val="NormalTok"/>
        </w:rPr>
        <w:t xml:space="preserve">, capacity</w:t>
      </w:r>
      <w:r>
        <w:rPr>
          <w:rStyle w:val="OperatorTok"/>
        </w:rPr>
        <w:t xml:space="preserve">=</w:t>
      </w:r>
      <w:r>
        <w:rPr>
          <w:rStyle w:val="DecValTok"/>
        </w:rPr>
        <w:t xml:space="preserve">20</w:t>
      </w:r>
      <w:r>
        <w:rPr>
          <w:rStyle w:val="NormalTok"/>
        </w:rPr>
        <w:t xml:space="preserve">, clock</w:t>
      </w:r>
      <w:r>
        <w:rPr>
          <w:rStyle w:val="OperatorTok"/>
        </w:rPr>
        <w:t xml:space="preserve">=</w:t>
      </w:r>
      <w:r>
        <w:rPr>
          <w:rStyle w:val="NormalTok"/>
        </w:rPr>
        <w:t xml:space="preserve">clock)</w:t>
      </w:r>
      <w:r>
        <w:br/>
      </w:r>
      <w:r>
        <w:br/>
      </w:r>
      <w:r>
        <w:rPr>
          <w:rStyle w:val="NormalTok"/>
        </w:rPr>
        <w:t xml:space="preserve">    </w:t>
      </w:r>
      <w:r>
        <w:rPr>
          <w:rStyle w:val="CommentTok"/>
        </w:rPr>
        <w:t xml:space="preserve"># 1. A burst of 50 requests at t = 0</w:t>
      </w:r>
      <w:r>
        <w:br/>
      </w:r>
      <w:r>
        <w:rPr>
          <w:rStyle w:val="NormalTok"/>
        </w:rPr>
        <w:t xml:space="preserve">    admitted </w:t>
      </w:r>
      <w:r>
        <w:rPr>
          <w:rStyle w:val="OperatorTok"/>
        </w:rPr>
        <w:t xml:space="preserve">=</w:t>
      </w:r>
      <w:r>
        <w:rPr>
          <w:rStyle w:val="NormalTok"/>
        </w:rPr>
        <w:t xml:space="preserve"> </w:t>
      </w:r>
      <w:r>
        <w:rPr>
          <w:rStyle w:val="BuiltInTok"/>
        </w:rPr>
        <w:t xml:space="preserve">sum</w:t>
      </w:r>
      <w:r>
        <w:rPr>
          <w:rStyle w:val="NormalTok"/>
        </w:rPr>
        <w:t xml:space="preserve">(tb.try_acquire()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50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f"t=0.0 s burst of 50: admitted </w:t>
      </w:r>
      <w:r>
        <w:rPr>
          <w:rStyle w:val="SpecialCharTok"/>
        </w:rPr>
        <w:t xml:space="preserve">{</w:t>
      </w:r>
      <w:r>
        <w:rPr>
          <w:rStyle w:val="NormalTok"/>
        </w:rPr>
        <w:t xml:space="preserve">admitted</w:t>
      </w:r>
      <w:r>
        <w:rPr>
          <w:rStyle w:val="SpecialCharTok"/>
        </w:rPr>
        <w:t xml:space="preserve">}</w:t>
      </w:r>
      <w:r>
        <w:rPr>
          <w:rStyle w:val="SpecialStringTok"/>
        </w:rPr>
        <w:t xml:space="preserve">, retry after </w:t>
      </w:r>
      <w:r>
        <w:rPr>
          <w:rStyle w:val="SpecialCharTok"/>
        </w:rPr>
        <w:t xml:space="preserve">{</w:t>
      </w:r>
      <w:r>
        <w:rPr>
          <w:rStyle w:val="NormalTok"/>
        </w:rPr>
        <w:t xml:space="preserve">tb</w:t>
      </w:r>
      <w:r>
        <w:rPr>
          <w:rStyle w:val="SpecialCharTok"/>
        </w:rPr>
        <w:t xml:space="preserve">.</w:t>
      </w:r>
      <w:r>
        <w:rPr>
          <w:rStyle w:val="NormalTok"/>
        </w:rPr>
        <w:t xml:space="preserve">retry_after()</w:t>
      </w:r>
      <w:r>
        <w:rPr>
          <w:rStyle w:val="SpecialCharTok"/>
        </w:rPr>
        <w:t xml:space="preserve">:.2f}</w:t>
      </w:r>
      <w:r>
        <w:rPr>
          <w:rStyle w:val="SpecialStringTok"/>
        </w:rPr>
        <w:t xml:space="preserve"> s"</w:t>
      </w:r>
      <w:r>
        <w:rPr>
          <w:rStyle w:val="NormalTok"/>
        </w:rPr>
        <w:t xml:space="preserve">)</w:t>
      </w:r>
      <w:r>
        <w:br/>
      </w:r>
      <w:r>
        <w:rPr>
          <w:rStyle w:val="NormalTok"/>
        </w:rPr>
        <w:t xml:space="preserve">    </w:t>
      </w:r>
      <w:r>
        <w:rPr>
          <w:rStyle w:val="ControlFlowTok"/>
        </w:rPr>
        <w:t xml:space="preserve">assert</w:t>
      </w:r>
      <w:r>
        <w:rPr>
          <w:rStyle w:val="NormalTok"/>
        </w:rPr>
        <w:t xml:space="preserve"> admitted </w:t>
      </w:r>
      <w:r>
        <w:rPr>
          <w:rStyle w:val="OperatorTok"/>
        </w:rPr>
        <w:t xml:space="preserve">==</w:t>
      </w:r>
      <w:r>
        <w:rPr>
          <w:rStyle w:val="NormalTok"/>
        </w:rPr>
        <w:t xml:space="preserve"> </w:t>
      </w:r>
      <w:r>
        <w:rPr>
          <w:rStyle w:val="DecValTok"/>
        </w:rPr>
        <w:t xml:space="preserve">20</w:t>
      </w:r>
      <w:r>
        <w:br/>
      </w:r>
      <w:r>
        <w:br/>
      </w:r>
      <w:r>
        <w:rPr>
          <w:rStyle w:val="NormalTok"/>
        </w:rPr>
        <w:t xml:space="preserve">    </w:t>
      </w:r>
      <w:r>
        <w:rPr>
          <w:rStyle w:val="CommentTok"/>
        </w:rPr>
        <w:t xml:space="preserve"># 2. One second later the bucket has refilled 10 tokens</w:t>
      </w:r>
      <w:r>
        <w:br/>
      </w:r>
      <w:r>
        <w:rPr>
          <w:rStyle w:val="NormalTok"/>
        </w:rPr>
        <w:t xml:space="preserve">    clock.advance(</w:t>
      </w:r>
      <w:r>
        <w:rPr>
          <w:rStyle w:val="FloatTok"/>
        </w:rPr>
        <w:t xml:space="preserve">1.0</w:t>
      </w:r>
      <w:r>
        <w:rPr>
          <w:rStyle w:val="NormalTok"/>
        </w:rPr>
        <w:t xml:space="preserve">)</w:t>
      </w:r>
      <w:r>
        <w:br/>
      </w:r>
      <w:r>
        <w:rPr>
          <w:rStyle w:val="NormalTok"/>
        </w:rPr>
        <w:t xml:space="preserve">    admitted </w:t>
      </w:r>
      <w:r>
        <w:rPr>
          <w:rStyle w:val="OperatorTok"/>
        </w:rPr>
        <w:t xml:space="preserve">=</w:t>
      </w:r>
      <w:r>
        <w:rPr>
          <w:rStyle w:val="NormalTok"/>
        </w:rPr>
        <w:t xml:space="preserve"> </w:t>
      </w:r>
      <w:r>
        <w:rPr>
          <w:rStyle w:val="BuiltInTok"/>
        </w:rPr>
        <w:t xml:space="preserve">sum</w:t>
      </w:r>
      <w:r>
        <w:rPr>
          <w:rStyle w:val="NormalTok"/>
        </w:rPr>
        <w:t xml:space="preserve">(tb.try_acquire()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50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f"t=1.0 s burst of 50: admitted </w:t>
      </w:r>
      <w:r>
        <w:rPr>
          <w:rStyle w:val="SpecialCharTok"/>
        </w:rPr>
        <w:t xml:space="preserve">{</w:t>
      </w:r>
      <w:r>
        <w:rPr>
          <w:rStyle w:val="NormalTok"/>
        </w:rPr>
        <w:t xml:space="preserve">admitted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assert</w:t>
      </w:r>
      <w:r>
        <w:rPr>
          <w:rStyle w:val="NormalTok"/>
        </w:rPr>
        <w:t xml:space="preserve"> admitted </w:t>
      </w:r>
      <w:r>
        <w:rPr>
          <w:rStyle w:val="OperatorTok"/>
        </w:rPr>
        <w:t xml:space="preserve">==</w:t>
      </w:r>
      <w:r>
        <w:rPr>
          <w:rStyle w:val="NormalTok"/>
        </w:rPr>
        <w:t xml:space="preserve"> </w:t>
      </w:r>
      <w:r>
        <w:rPr>
          <w:rStyle w:val="DecValTok"/>
        </w:rPr>
        <w:t xml:space="preserve">10</w:t>
      </w:r>
      <w:r>
        <w:br/>
      </w:r>
      <w:r>
        <w:br/>
      </w:r>
      <w:r>
        <w:rPr>
          <w:rStyle w:val="NormalTok"/>
        </w:rPr>
        <w:t xml:space="preserve">    </w:t>
      </w:r>
      <w:r>
        <w:rPr>
          <w:rStyle w:val="CommentTok"/>
        </w:rPr>
        <w:t xml:space="preserve"># 3. Sustained 15 RPS for 10 s against a fresh (full) bucket</w:t>
      </w:r>
      <w:r>
        <w:br/>
      </w:r>
      <w:r>
        <w:rPr>
          <w:rStyle w:val="NormalTok"/>
        </w:rPr>
        <w:t xml:space="preserve">    clock, n_ok </w:t>
      </w:r>
      <w:r>
        <w:rPr>
          <w:rStyle w:val="OperatorTok"/>
        </w:rPr>
        <w:t xml:space="preserve">=</w:t>
      </w:r>
      <w:r>
        <w:rPr>
          <w:rStyle w:val="NormalTok"/>
        </w:rPr>
        <w:t xml:space="preserve"> FakeClock(), </w:t>
      </w:r>
      <w:r>
        <w:rPr>
          <w:rStyle w:val="DecValTok"/>
        </w:rPr>
        <w:t xml:space="preserve">0</w:t>
      </w:r>
      <w:r>
        <w:br/>
      </w:r>
      <w:r>
        <w:rPr>
          <w:rStyle w:val="NormalTok"/>
        </w:rPr>
        <w:t xml:space="preserve">    tb </w:t>
      </w:r>
      <w:r>
        <w:rPr>
          <w:rStyle w:val="OperatorTok"/>
        </w:rPr>
        <w:t xml:space="preserve">=</w:t>
      </w:r>
      <w:r>
        <w:rPr>
          <w:rStyle w:val="NormalTok"/>
        </w:rPr>
        <w:t xml:space="preserve"> TokenBucket(rate</w:t>
      </w:r>
      <w:r>
        <w:rPr>
          <w:rStyle w:val="OperatorTok"/>
        </w:rPr>
        <w:t xml:space="preserve">=</w:t>
      </w:r>
      <w:r>
        <w:rPr>
          <w:rStyle w:val="DecValTok"/>
        </w:rPr>
        <w:t xml:space="preserve">10</w:t>
      </w:r>
      <w:r>
        <w:rPr>
          <w:rStyle w:val="NormalTok"/>
        </w:rPr>
        <w:t xml:space="preserve">, capacity</w:t>
      </w:r>
      <w:r>
        <w:rPr>
          <w:rStyle w:val="OperatorTok"/>
        </w:rPr>
        <w:t xml:space="preserve">=</w:t>
      </w:r>
      <w:r>
        <w:rPr>
          <w:rStyle w:val="DecValTok"/>
        </w:rPr>
        <w:t xml:space="preserve">20</w:t>
      </w:r>
      <w:r>
        <w:rPr>
          <w:rStyle w:val="NormalTok"/>
        </w:rPr>
        <w:t xml:space="preserve">, clock</w:t>
      </w:r>
      <w:r>
        <w:rPr>
          <w:rStyle w:val="OperatorTok"/>
        </w:rPr>
        <w:t xml:space="preserve">=</w:t>
      </w:r>
      <w:r>
        <w:rPr>
          <w:rStyle w:val="NormalTok"/>
        </w:rPr>
        <w:t xml:space="preserve">clock)</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150</w:t>
      </w:r>
      <w:r>
        <w:rPr>
          <w:rStyle w:val="NormalTok"/>
        </w:rPr>
        <w:t xml:space="preserve">):</w:t>
      </w:r>
      <w:r>
        <w:br/>
      </w:r>
      <w:r>
        <w:rPr>
          <w:rStyle w:val="NormalTok"/>
        </w:rPr>
        <w:t xml:space="preserve">        clock.t </w:t>
      </w:r>
      <w:r>
        <w:rPr>
          <w:rStyle w:val="OperatorTok"/>
        </w:rPr>
        <w:t xml:space="preserve">=</w:t>
      </w:r>
      <w:r>
        <w:rPr>
          <w:rStyle w:val="NormalTok"/>
        </w:rPr>
        <w:t xml:space="preserve"> k </w:t>
      </w:r>
      <w:r>
        <w:rPr>
          <w:rStyle w:val="OperatorTok"/>
        </w:rPr>
        <w:t xml:space="preserve">/</w:t>
      </w:r>
      <w:r>
        <w:rPr>
          <w:rStyle w:val="NormalTok"/>
        </w:rPr>
        <w:t xml:space="preserve"> </w:t>
      </w:r>
      <w:r>
        <w:rPr>
          <w:rStyle w:val="DecValTok"/>
        </w:rPr>
        <w:t xml:space="preserve">15</w:t>
      </w:r>
      <w:r>
        <w:br/>
      </w:r>
      <w:r>
        <w:rPr>
          <w:rStyle w:val="NormalTok"/>
        </w:rPr>
        <w:t xml:space="preserve">        n_ok </w:t>
      </w:r>
      <w:r>
        <w:rPr>
          <w:rStyle w:val="OperatorTok"/>
        </w:rPr>
        <w:t xml:space="preserve">+=</w:t>
      </w:r>
      <w:r>
        <w:rPr>
          <w:rStyle w:val="NormalTok"/>
        </w:rPr>
        <w:t xml:space="preserve"> tb.try_acquire()</w:t>
      </w:r>
      <w:r>
        <w:br/>
      </w:r>
      <w:r>
        <w:rPr>
          <w:rStyle w:val="NormalTok"/>
        </w:rPr>
        <w:t xml:space="preserve">    bound </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149</w:t>
      </w:r>
      <w:r>
        <w:rPr>
          <w:rStyle w:val="NormalTok"/>
        </w:rPr>
        <w:t xml:space="preserve"> </w:t>
      </w:r>
      <w:r>
        <w:rPr>
          <w:rStyle w:val="OperatorTok"/>
        </w:rPr>
        <w:t xml:space="preserve">/</w:t>
      </w:r>
      <w:r>
        <w:rPr>
          <w:rStyle w:val="NormalTok"/>
        </w:rPr>
        <w:t xml:space="preserve"> </w:t>
      </w:r>
      <w:r>
        <w:rPr>
          <w:rStyle w:val="DecValTok"/>
        </w:rPr>
        <w:t xml:space="preserve">15</w:t>
      </w:r>
      <w:r>
        <w:rPr>
          <w:rStyle w:val="NormalTok"/>
        </w:rPr>
        <w:t xml:space="preserve">)               </w:t>
      </w:r>
      <w:r>
        <w:rPr>
          <w:rStyle w:val="CommentTok"/>
        </w:rPr>
        <w:t xml:space="preserve"># b + r*T over the 9.93 s span</w:t>
      </w:r>
      <w:r>
        <w:br/>
      </w:r>
      <w:r>
        <w:rPr>
          <w:rStyle w:val="NormalTok"/>
        </w:rPr>
        <w:t xml:space="preserve">    </w:t>
      </w:r>
      <w:r>
        <w:rPr>
          <w:rStyle w:val="BuiltInTok"/>
        </w:rPr>
        <w:t xml:space="preserve">print</w:t>
      </w:r>
      <w:r>
        <w:rPr>
          <w:rStyle w:val="NormalTok"/>
        </w:rPr>
        <w:t xml:space="preserve">(</w:t>
      </w:r>
      <w:r>
        <w:rPr>
          <w:rStyle w:val="SpecialStringTok"/>
        </w:rPr>
        <w:t xml:space="preserve">f"15 RPS for 10 s: admitted </w:t>
      </w:r>
      <w:r>
        <w:rPr>
          <w:rStyle w:val="SpecialCharTok"/>
        </w:rPr>
        <w:t xml:space="preserve">{</w:t>
      </w:r>
      <w:r>
        <w:rPr>
          <w:rStyle w:val="NormalTok"/>
        </w:rPr>
        <w:t xml:space="preserve">n_ok</w:t>
      </w:r>
      <w:r>
        <w:rPr>
          <w:rStyle w:val="SpecialCharTok"/>
        </w:rPr>
        <w:t xml:space="preserve">}</w:t>
      </w:r>
      <w:r>
        <w:rPr>
          <w:rStyle w:val="SpecialStringTok"/>
        </w:rPr>
        <w:t xml:space="preserve"> of 150 (bound b + rT = </w:t>
      </w:r>
      <w:r>
        <w:rPr>
          <w:rStyle w:val="SpecialCharTok"/>
        </w:rPr>
        <w:t xml:space="preserve">{</w:t>
      </w:r>
      <w:r>
        <w:rPr>
          <w:rStyle w:val="NormalTok"/>
        </w:rPr>
        <w:t xml:space="preserve">bound</w:t>
      </w:r>
      <w:r>
        <w:rPr>
          <w:rStyle w:val="SpecialCharTok"/>
        </w:rPr>
        <w:t xml:space="preserve">:.1f}</w:t>
      </w:r>
      <w:r>
        <w:rPr>
          <w:rStyle w:val="SpecialStringTok"/>
        </w:rPr>
        <w:t xml:space="preserve">)"</w:t>
      </w:r>
      <w:r>
        <w:rPr>
          <w:rStyle w:val="NormalTok"/>
        </w:rPr>
        <w:t xml:space="preserve">)</w:t>
      </w:r>
      <w:r>
        <w:br/>
      </w:r>
      <w:r>
        <w:rPr>
          <w:rStyle w:val="NormalTok"/>
        </w:rPr>
        <w:t xml:space="preserve">    </w:t>
      </w:r>
      <w:r>
        <w:rPr>
          <w:rStyle w:val="ControlFlowTok"/>
        </w:rPr>
        <w:t xml:space="preserve">assert</w:t>
      </w:r>
      <w:r>
        <w:rPr>
          <w:rStyle w:val="NormalTok"/>
        </w:rPr>
        <w:t xml:space="preserve"> n_ok </w:t>
      </w:r>
      <w:r>
        <w:rPr>
          <w:rStyle w:val="OperatorTok"/>
        </w:rPr>
        <w:t xml:space="preserve">&lt;=</w:t>
      </w:r>
      <w:r>
        <w:rPr>
          <w:rStyle w:val="NormalTok"/>
        </w:rPr>
        <w:t xml:space="preserve"> bound</w:t>
      </w:r>
    </w:p>
    <w:p>
      <w:pPr>
        <w:pStyle w:val="FirstParagraph"/>
      </w:pPr>
      <w:r>
        <w:t xml:space="preserve">Output:</w:t>
      </w:r>
    </w:p>
    <w:p>
      <w:pPr>
        <w:pStyle w:val="SourceCode"/>
      </w:pPr>
      <w:r>
        <w:rPr>
          <w:rStyle w:val="VerbatimChar"/>
        </w:rPr>
        <w:t xml:space="preserve">t=0.0 s burst of 50: admitted 20, retry after 0.10 s</w:t>
      </w:r>
      <w:r>
        <w:br/>
      </w:r>
      <w:r>
        <w:rPr>
          <w:rStyle w:val="VerbatimChar"/>
        </w:rPr>
        <w:t xml:space="preserve">t=1.0 s burst of 50: admitted 10</w:t>
      </w:r>
      <w:r>
        <w:br/>
      </w:r>
      <w:r>
        <w:rPr>
          <w:rStyle w:val="VerbatimChar"/>
        </w:rPr>
        <w:t xml:space="preserve">15 RPS for 10 s: admitted 119 of 150 (bound b + rT = 119.3)</w:t>
      </w:r>
    </w:p>
    <w:p>
      <w:pPr>
        <w:pStyle w:val="FirstParagraph"/>
      </w:pPr>
      <w:r>
        <w:t xml:space="preserve">What to notice:</w:t>
      </w:r>
    </w:p>
    <w:p>
      <w:pPr>
        <w:numPr>
          <w:ilvl w:val="0"/>
          <w:numId w:val="1717"/>
        </w:numPr>
        <w:pStyle w:val="Compact"/>
      </w:pPr>
      <w:r>
        <w:t xml:space="preserve">The injected clock makes tests exact. In production use a</w:t>
      </w:r>
      <w:r>
        <w:t xml:space="preserve"> </w:t>
      </w:r>
      <w:r>
        <w:rPr>
          <w:bCs/>
          <w:b/>
        </w:rPr>
        <w:t xml:space="preserve">monotonic</w:t>
      </w:r>
      <w:r>
        <w:t xml:space="preserve"> </w:t>
      </w:r>
      <w:r>
        <w:t xml:space="preserve">clock, never wall-clock time, which can jump backwards (§24.9).</w:t>
      </w:r>
    </w:p>
    <w:p>
      <w:pPr>
        <w:numPr>
          <w:ilvl w:val="0"/>
          <w:numId w:val="1717"/>
        </w:numPr>
        <w:pStyle w:val="Compact"/>
      </w:pPr>
      <w:r>
        <w:rPr>
          <w:rStyle w:val="VerbatimChar"/>
        </w:rPr>
        <w:t xml:space="preserve">retry_after</w:t>
      </w:r>
      <w:r>
        <w:t xml:space="preserve"> </w:t>
      </w:r>
      <w:r>
        <w:t xml:space="preserve">falls out of the state, so the 429 can say exactly when to return; a non-unit</w:t>
      </w:r>
      <w:r>
        <w:t xml:space="preserve"> </w:t>
      </w:r>
      <w:r>
        <w:rPr>
          <w:rStyle w:val="VerbatimChar"/>
        </w:rPr>
        <w:t xml:space="preserve">cost</w:t>
      </w:r>
      <w:r>
        <w:t xml:space="preserve"> </w:t>
      </w:r>
      <w:r>
        <w:t xml:space="preserve">makes it a cost-based limiter.</w:t>
      </w:r>
    </w:p>
    <w:bookmarkEnd w:id="2458"/>
    <w:bookmarkStart w:id="2459" w:name="real-world-industry-applications-35"/>
    <w:p>
      <w:pPr>
        <w:pStyle w:val="Heading4"/>
      </w:pPr>
      <w:r>
        <w:t xml:space="preserve">Real-world industry applications</w:t>
      </w:r>
    </w:p>
    <w:p>
      <w:pPr>
        <w:pStyle w:val="CalloutIndustry"/>
      </w:pPr>
      <w:r>
        <w:rPr>
          <w:bCs/>
          <w:b/>
        </w:rPr>
        <w:t xml:space="preserve">INDUSTRY EXAMPLE</w:t>
      </w:r>
    </w:p>
    <w:p>
      <w:pPr>
        <w:pStyle w:val="CalloutIndustry"/>
      </w:pPr>
      <w:r>
        <w:rPr>
          <w:bCs/>
          <w:b/>
        </w:rPr>
        <w:t xml:space="preserve">Stripe’s API rate limiters.</w:t>
      </w:r>
      <w:r>
        <w:t xml:space="preserve"> </w:t>
      </w:r>
      <w:r>
        <w:t xml:space="preserve">Stripe described four limiters: a per-user</w:t>
      </w:r>
      <w:r>
        <w:t xml:space="preserve"> </w:t>
      </w:r>
      <w:r>
        <w:rPr>
          <w:bCs/>
          <w:b/>
        </w:rPr>
        <w:t xml:space="preserve">request rate limiter</w:t>
      </w:r>
      <w:r>
        <w:t xml:space="preserve"> </w:t>
      </w:r>
      <w:r>
        <w:t xml:space="preserve">(a token bucket in Redis, shared by all API servers), a</w:t>
      </w:r>
      <w:r>
        <w:t xml:space="preserve"> </w:t>
      </w:r>
      <w:r>
        <w:rPr>
          <w:bCs/>
          <w:b/>
        </w:rPr>
        <w:t xml:space="preserve">concurrent requests limiter</w:t>
      </w:r>
      <w:r>
        <w:t xml:space="preserve">, a</w:t>
      </w:r>
      <w:r>
        <w:t xml:space="preserve"> </w:t>
      </w:r>
      <w:r>
        <w:rPr>
          <w:bCs/>
          <w:b/>
        </w:rPr>
        <w:t xml:space="preserve">fleet usage load shedder</w:t>
      </w:r>
      <w:r>
        <w:t xml:space="preserve"> </w:t>
      </w:r>
      <w:r>
        <w:t xml:space="preserve">reserving capacity for critical requests, and a</w:t>
      </w:r>
      <w:r>
        <w:t xml:space="preserve"> </w:t>
      </w:r>
      <w:r>
        <w:rPr>
          <w:bCs/>
          <w:b/>
        </w:rPr>
        <w:t xml:space="preserve">worker utilization load shedder</w:t>
      </w:r>
      <w:r>
        <w:t xml:space="preserve"> </w:t>
      </w:r>
      <w:r>
        <w:t xml:space="preserve">that sheds lower-priority traffic first. It recommends dark-launching new limiters, logging what would be rejected before enforcing [Tarjan 2017].</w:t>
      </w:r>
      <w:r>
        <w:t xml:space="preserve"> </w:t>
      </w:r>
      <w:r>
        <w:rPr>
          <w:iCs/>
          <w:i/>
        </w:rPr>
        <w:t xml:space="preserve">Evidence: Primary</w:t>
      </w:r>
      <w:r>
        <w:t xml:space="preserve"> </w:t>
      </w:r>
      <w:r>
        <w:t xml:space="preserve">— [Tarjan 2017]</w:t>
      </w:r>
    </w:p>
    <w:p>
      <w:pPr>
        <w:pStyle w:val="CalloutIndustry"/>
      </w:pPr>
      <w:r>
        <w:rPr>
          <w:bCs/>
          <w:b/>
        </w:rPr>
        <w:t xml:space="preserve">INDUSTRY EXAMPLE</w:t>
      </w:r>
    </w:p>
    <w:p>
      <w:pPr>
        <w:pStyle w:val="CalloutIndustry"/>
      </w:pPr>
      <w:r>
        <w:rPr>
          <w:bCs/>
          <w:b/>
        </w:rPr>
        <w:t xml:space="preserve">Amazon API Gateway.</w:t>
      </w:r>
      <w:r>
        <w:t xml:space="preserve"> </w:t>
      </w:r>
      <w:r>
        <w:t xml:space="preserve">AWS documents token-bucket throttling with a configurable</w:t>
      </w:r>
      <w:r>
        <w:t xml:space="preserve"> </w:t>
      </w:r>
      <w:r>
        <w:rPr>
          <w:iCs/>
          <w:i/>
        </w:rPr>
        <w:t xml:space="preserve">rate</w:t>
      </w:r>
      <w:r>
        <w:t xml:space="preserve"> </w:t>
      </w:r>
      <w:r>
        <w:t xml:space="preserve">and</w:t>
      </w:r>
      <w:r>
        <w:t xml:space="preserve"> </w:t>
      </w:r>
      <w:r>
        <w:rPr>
          <w:iCs/>
          <w:i/>
        </w:rPr>
        <w:t xml:space="preserve">burst</w:t>
      </w:r>
      <w:r>
        <w:t xml:space="preserve"> </w:t>
      </w:r>
      <w:r>
        <w:t xml:space="preserve">per account, stage, method or usage-plan client; excess requests receive 429 [AWS Docs: API Gateway throttling].</w:t>
      </w:r>
      <w:r>
        <w:t xml:space="preserve"> </w:t>
      </w:r>
      <w:r>
        <w:rPr>
          <w:iCs/>
          <w:i/>
        </w:rPr>
        <w:t xml:space="preserve">Evidence: Primary</w:t>
      </w:r>
      <w:r>
        <w:t xml:space="preserve"> </w:t>
      </w:r>
      <w:r>
        <w:t xml:space="preserve">— [AWS Docs: API Gateway throttling]</w:t>
      </w:r>
    </w:p>
    <w:bookmarkEnd w:id="2459"/>
    <w:bookmarkStart w:id="2460" w:name="common-misconceptions-40"/>
    <w:p>
      <w:pPr>
        <w:pStyle w:val="Heading4"/>
      </w:pPr>
      <w:r>
        <w:t xml:space="preserve">Common misconceptions</w:t>
      </w:r>
    </w:p>
    <w:p>
      <w:pPr>
        <w:pStyle w:val="CalloutMistake"/>
      </w:pPr>
      <w:r>
        <w:rPr>
          <w:bCs/>
          <w:b/>
        </w:rPr>
        <w:t xml:space="preserve">COMMON MISTAKE</w:t>
      </w:r>
    </w:p>
    <w:p>
      <w:pPr>
        <w:pStyle w:val="CalloutMistake"/>
      </w:pPr>
      <w:r>
        <w:rPr>
          <w:bCs/>
          <w:b/>
        </w:rPr>
        <w:t xml:space="preserve">Mistake —</w:t>
      </w:r>
      <w:r>
        <w:rPr>
          <w:bCs/>
          <w:b/>
        </w:rPr>
        <w:t xml:space="preserve"> </w:t>
      </w:r>
      <w:r>
        <w:rPr>
          <w:bCs/>
          <w:b/>
        </w:rPr>
        <w:t xml:space="preserve">“</w:t>
      </w:r>
      <m:oMath>
        <m:r>
          <m:t>r</m:t>
        </m:r>
        <m:r>
          <m:rPr>
            <m:sty m:val="p"/>
          </m:rPr>
          <m:t>=</m:t>
        </m:r>
        <m:r>
          <m:t>10</m:t>
        </m:r>
      </m:oMath>
      <w:r>
        <w:rPr>
          <w:bCs/>
          <w:b/>
        </w:rPr>
        <w:t xml:space="preserve"> </w:t>
      </w:r>
      <w:r>
        <w:rPr>
          <w:bCs/>
          <w:b/>
        </w:rPr>
        <w:t xml:space="preserve">RPS means no client ever exceeds 10 RPS.</w:t>
      </w:r>
      <w:r>
        <w:rPr>
          <w:bCs/>
          <w:b/>
        </w:rPr>
        <w:t xml:space="preserve">”</w:t>
      </w:r>
      <w:r>
        <w:t xml:space="preserve"> </w:t>
      </w:r>
      <w:r>
        <w:t xml:space="preserve">At</w:t>
      </w:r>
      <w:r>
        <w:t xml:space="preserve"> </w:t>
      </w:r>
      <m:oMath>
        <m:r>
          <m:t>b</m:t>
        </m:r>
        <m:r>
          <m:rPr>
            <m:sty m:val="p"/>
          </m:rPr>
          <m:t>=</m:t>
        </m:r>
        <m:r>
          <m:t>20</m:t>
        </m:r>
      </m:oMath>
      <w:r>
        <w:t xml:space="preserve">, 20 requests can arrive in one millisecond. By Little’s Law, in-flight requests</w:t>
      </w:r>
      <w:r>
        <w:t xml:space="preserve"> </w:t>
      </w:r>
      <m:oMath>
        <m:r>
          <m:rPr>
            <m:sty m:val="p"/>
          </m:rPr>
          <m:t>=</m:t>
        </m:r>
        <m:r>
          <m:t>λ</m:t>
        </m:r>
        <m:r>
          <m:t>W</m:t>
        </m:r>
      </m:oMath>
      <w:r>
        <w:t xml:space="preserve"> </w:t>
      </w:r>
      <w:r>
        <w:t xml:space="preserve">(§4.11), so a rate limit bounds concurrency only while latency stays bounded; add a</w:t>
      </w:r>
      <w:r>
        <w:t xml:space="preserve"> </w:t>
      </w:r>
      <w:r>
        <w:rPr>
          <w:bCs/>
          <w:b/>
        </w:rPr>
        <w:t xml:space="preserve">concurrency limit</w:t>
      </w:r>
      <w:r>
        <w:t xml:space="preserve"> </w:t>
      </w:r>
      <w:r>
        <w:t xml:space="preserve">too.</w:t>
      </w:r>
    </w:p>
    <w:bookmarkEnd w:id="2460"/>
    <w:bookmarkEnd w:id="2461"/>
    <w:bookmarkEnd w:id="2462"/>
    <w:bookmarkStart w:id="2471" w:name="leaky-bucket"/>
    <w:p>
      <w:pPr>
        <w:pStyle w:val="Heading2"/>
      </w:pPr>
      <w:r>
        <w:t xml:space="preserve">22.5 Leaky bucket</w:t>
      </w:r>
    </w:p>
    <w:bookmarkStart w:id="2468" w:name="two-different-algorithms-with-one-name"/>
    <w:p>
      <w:pPr>
        <w:pStyle w:val="Heading3"/>
      </w:pPr>
      <w:r>
        <w:t xml:space="preserve">22.5.1 Two different algorithms with one name</w:t>
      </w:r>
    </w:p>
    <w:p>
      <w:pPr>
        <w:pStyle w:val="CalloutDefinition"/>
      </w:pPr>
      <w:r>
        <w:rPr>
          <w:bCs/>
          <w:b/>
        </w:rPr>
        <w:t xml:space="preserve">DEFINITION</w:t>
      </w:r>
    </w:p>
    <w:p>
      <w:pPr>
        <w:pStyle w:val="CalloutDefinition"/>
      </w:pPr>
      <w:r>
        <w:rPr>
          <w:bCs/>
          <w:b/>
        </w:rPr>
        <w:t xml:space="preserve">Definition — Leaky bucket.</w:t>
      </w:r>
      <w:r>
        <w:t xml:space="preserve"> </w:t>
      </w:r>
      <w:r>
        <w:t xml:space="preserve">(a)</w:t>
      </w:r>
      <w:r>
        <w:t xml:space="preserve"> </w:t>
      </w:r>
      <w:r>
        <w:rPr>
          <w:bCs/>
          <w:b/>
        </w:rPr>
        <w:t xml:space="preserve">As a queue:</w:t>
      </w:r>
      <w:r>
        <w:t xml:space="preserve"> </w:t>
      </w:r>
      <w:r>
        <w:t xml:space="preserve">requests enter a FIFO buffer of capacity</w:t>
      </w:r>
      <w:r>
        <w:t xml:space="preserve"> </w:t>
      </w:r>
      <m:oMath>
        <m:r>
          <m:t>Q</m:t>
        </m:r>
      </m:oMath>
      <w:r>
        <w:t xml:space="preserve"> </w:t>
      </w:r>
      <w:r>
        <w:t xml:space="preserve">that is drained at a constant rate</w:t>
      </w:r>
      <w:r>
        <w:t xml:space="preserve"> </w:t>
      </w:r>
      <m:oMath>
        <m:r>
          <m:t>r</m:t>
        </m:r>
      </m:oMath>
      <w:r>
        <w:t xml:space="preserve">; arrivals that find the buffer full are dropped. Output is perfectly smooth. (b)</w:t>
      </w:r>
      <w:r>
        <w:t xml:space="preserve"> </w:t>
      </w:r>
      <w:r>
        <w:rPr>
          <w:bCs/>
          <w:b/>
        </w:rPr>
        <w:t xml:space="preserve">As a meter:</w:t>
      </w:r>
      <w:r>
        <w:t xml:space="preserve"> </w:t>
      </w:r>
      <w:r>
        <w:t xml:space="preserve">a counter (the</w:t>
      </w:r>
      <w:r>
        <w:t xml:space="preserve"> </w:t>
      </w:r>
      <w:r>
        <w:t xml:space="preserve">“</w:t>
      </w:r>
      <w:r>
        <w:t xml:space="preserve">water level</w:t>
      </w:r>
      <w:r>
        <w:t xml:space="preserve">”</w:t>
      </w:r>
      <w:r>
        <w:t xml:space="preserve">) increases by one per admitted request and leaks at rate</w:t>
      </w:r>
      <w:r>
        <w:t xml:space="preserve"> </w:t>
      </w:r>
      <m:oMath>
        <m:r>
          <m:t>r</m:t>
        </m:r>
      </m:oMath>
      <w:r>
        <w:t xml:space="preserve">; a request that would overflow capacity is rejected immediately. The meter form makes the same admit/reject decisions as a token bucket with the same rate and capacity.</w:t>
      </w:r>
    </w:p>
    <w:bookmarkStart w:id="2463" w:name="first-principles-explanation-130"/>
    <w:p>
      <w:pPr>
        <w:pStyle w:val="Heading4"/>
      </w:pPr>
      <w:r>
        <w:t xml:space="preserve">First-principles explanation</w:t>
      </w:r>
    </w:p>
    <w:p>
      <w:pPr>
        <w:pStyle w:val="FirstParagraph"/>
      </w:pPr>
      <w:r>
        <w:t xml:space="preserve">Water poured unevenly into a bucket with a hole leaks out at a steady drip; pour too fast and it overflows. In the</w:t>
      </w:r>
      <w:r>
        <w:t xml:space="preserve"> </w:t>
      </w:r>
      <w:r>
        <w:rPr>
          <w:bCs/>
          <w:b/>
        </w:rPr>
        <w:t xml:space="preserve">queue</w:t>
      </w:r>
      <w:r>
        <w:t xml:space="preserve"> </w:t>
      </w:r>
      <w:r>
        <w:t xml:space="preserve">form the water is the requests themselves: they wait and leave smoothly, but</w:t>
      </w:r>
      <w:r>
        <w:t xml:space="preserve"> </w:t>
      </w:r>
      <w:r>
        <w:rPr>
          <w:iCs/>
          <w:i/>
        </w:rPr>
        <w:t xml:space="preserve">delayed</w:t>
      </w:r>
      <w:r>
        <w:t xml:space="preserve">. In the</w:t>
      </w:r>
      <w:r>
        <w:t xml:space="preserve"> </w:t>
      </w:r>
      <w:r>
        <w:rPr>
          <w:bCs/>
          <w:b/>
        </w:rPr>
        <w:t xml:space="preserve">meter</w:t>
      </w:r>
      <w:r>
        <w:t xml:space="preserve"> </w:t>
      </w:r>
      <w:r>
        <w:t xml:space="preserve">form the water is only a measurement: each request is admitted or rejected at once.</w:t>
      </w:r>
    </w:p>
    <w:bookmarkEnd w:id="2463"/>
    <w:bookmarkStart w:id="2467" w:name="why-does-this-exist-83"/>
    <w:p>
      <w:pPr>
        <w:pStyle w:val="Heading4"/>
      </w:pPr>
      <w:r>
        <w:t xml:space="preserve">Why does this exist?</w:t>
      </w:r>
    </w:p>
    <w:p>
      <w:pPr>
        <w:pStyle w:val="FirstParagraph"/>
      </w:pPr>
      <w:r>
        <w:t xml:space="preserve">It comes from telecommunications, where switches policed and shaped fixed-size cells. For APIs, the queue form suits a downstream that needs smooth arrivals (a partner API allowing exactly 5 calls/s); the meter form needs only</w:t>
      </w:r>
      <w:r>
        <w:t xml:space="preserve"> </w:t>
      </w:r>
      <w:r>
        <w:rPr>
          <w:iCs/>
          <w:i/>
        </w:rPr>
        <w:t xml:space="preserve">one</w:t>
      </w:r>
      <w:r>
        <w:t xml:space="preserve"> </w:t>
      </w:r>
      <w:r>
        <w:t xml:space="preserve">number per key.</w:t>
      </w:r>
    </w:p>
    <w:p>
      <w:pPr>
        <w:pStyle w:val="BodyText"/>
      </w:pPr>
      <w:r>
        <w:rPr>
          <w:bCs/>
          <w:b/>
        </w:rPr>
        <w:t xml:space="preserve">Figure 22.3 — Leaky bucket as a queue versus as a meter.</w:t>
      </w:r>
    </w:p>
    <w:p>
      <w:pPr>
        <w:pStyle w:val="BodyText"/>
      </w:pPr>
      <w:r>
        <w:drawing>
          <wp:inline>
            <wp:extent cx="5334000" cy="10783642"/>
            <wp:effectExtent b="0" l="0" r="0" t="0"/>
            <wp:docPr descr="" title="" id="2465" name="Picture"/>
            <a:graphic>
              <a:graphicData uri="http://schemas.openxmlformats.org/drawingml/2006/picture">
                <pic:pic>
                  <pic:nvPicPr>
                    <pic:cNvPr descr="/home/user/System-Design/build/.cache/diagrams/46dd252990a8.png" id="2466" name="Picture"/>
                    <pic:cNvPicPr>
                      <a:picLocks noChangeArrowheads="1" noChangeAspect="1"/>
                    </pic:cNvPicPr>
                  </pic:nvPicPr>
                  <pic:blipFill>
                    <a:blip r:embed="rId2464"/>
                    <a:stretch>
                      <a:fillRect/>
                    </a:stretch>
                  </pic:blipFill>
                  <pic:spPr bwMode="auto">
                    <a:xfrm>
                      <a:off x="0" y="0"/>
                      <a:ext cx="5334000" cy="10783642"/>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Left: arrivals are buffered in a FIFO (an in-memory storage boundary of size</w:t>
      </w:r>
      <w:r>
        <w:t xml:space="preserve"> </w:t>
      </w:r>
      <m:oMath>
        <m:r>
          <m:t>Q</m:t>
        </m:r>
      </m:oMath>
      <w:r>
        <w:t xml:space="preserve">) and released asynchronously at rate</w:t>
      </w:r>
      <w:r>
        <w:t xml:space="preserve"> </w:t>
      </w:r>
      <m:oMath>
        <m:r>
          <m:t>r</m:t>
        </m:r>
      </m:oMath>
      <w:r>
        <w:t xml:space="preserve">, adding up to</w:t>
      </w:r>
      <w:r>
        <w:t xml:space="preserve"> </w:t>
      </w:r>
      <m:oMath>
        <m:r>
          <m:t>Q</m:t>
        </m:r>
        <m:r>
          <m:rPr>
            <m:sty m:val="p"/>
          </m:rPr>
          <m:t>/</m:t>
        </m:r>
        <m:r>
          <m:t>r</m:t>
        </m:r>
      </m:oMath>
      <w:r>
        <w:t xml:space="preserve"> </w:t>
      </w:r>
      <w:r>
        <w:t xml:space="preserve">latency; a full buffer drops arrivals. Right: nothing is buffered; each arrival is checked synchronously against one stored timestamp (TAT, below) and admitted or rejected. The queue</w:t>
      </w:r>
      <w:r>
        <w:t xml:space="preserve"> </w:t>
      </w:r>
      <w:r>
        <w:rPr>
          <w:iCs/>
          <w:i/>
        </w:rPr>
        <w:t xml:space="preserve">shapes</w:t>
      </w:r>
      <w:r>
        <w:t xml:space="preserve">, the meter</w:t>
      </w:r>
      <w:r>
        <w:t xml:space="preserve"> </w:t>
      </w:r>
      <w:r>
        <w:rPr>
          <w:iCs/>
          <w:i/>
        </w:rPr>
        <w:t xml:space="preserve">polices</w:t>
      </w:r>
      <w:r>
        <w:t xml:space="preserve">. Failure points: queued requests are lost on a crash and may time out while waiting. Scaling: the meter’s single number per key shards trivially.</w:t>
      </w:r>
    </w:p>
    <w:bookmarkEnd w:id="2467"/>
    <w:bookmarkEnd w:id="2468"/>
    <w:bookmarkStart w:id="2470" w:name="X822a264ba2f57a436e34454f733e4af6bead62b"/>
    <w:p>
      <w:pPr>
        <w:pStyle w:val="Heading3"/>
      </w:pPr>
      <w:r>
        <w:t xml:space="preserve">22.5.2 GCRA: the leaky bucket as a single timestamp</w:t>
      </w:r>
    </w:p>
    <w:p>
      <w:pPr>
        <w:pStyle w:val="FirstParagraph"/>
      </w:pPr>
      <w:r>
        <w:t xml:space="preserve">The</w:t>
      </w:r>
      <w:r>
        <w:t xml:space="preserve"> </w:t>
      </w:r>
      <w:r>
        <w:rPr>
          <w:bCs/>
          <w:b/>
        </w:rPr>
        <w:t xml:space="preserve">Generic Cell Rate Algorithm (GCRA)</w:t>
      </w:r>
      <w:r>
        <w:t xml:space="preserve"> </w:t>
      </w:r>
      <w:r>
        <w:t xml:space="preserve">is the meter form defined for ATM (Asynchronous Transfer Mode) networks in ITU-T Recommendation I.371 and the ATM Forum Traffic Management specification [ITU-T I.371; ATM Forum TM 4.0]. Of its two equivalent formulations, the</w:t>
      </w:r>
      <w:r>
        <w:t xml:space="preserve"> </w:t>
      </w:r>
      <w:r>
        <w:t xml:space="preserve">“</w:t>
      </w:r>
      <w:r>
        <w:t xml:space="preserve">virtual scheduling</w:t>
      </w:r>
      <w:r>
        <w:t xml:space="preserve">”</w:t>
      </w:r>
      <w:r>
        <w:t xml:space="preserve"> </w:t>
      </w:r>
      <w:r>
        <w:t xml:space="preserve">form is the one adapted for APIs: instead of counting tokens, it remembers when the next request is</w:t>
      </w:r>
      <w:r>
        <w:t xml:space="preserve"> </w:t>
      </w:r>
      <w:r>
        <w:rPr>
          <w:iCs/>
          <w:i/>
        </w:rPr>
        <w:t xml:space="preserve">due</w:t>
      </w:r>
      <w:r>
        <w:t xml:space="preserve"> </w:t>
      </w:r>
      <w:r>
        <w:t xml:space="preserve">at exactly the allowed rate.</w:t>
      </w:r>
    </w:p>
    <w:p>
      <w:pPr>
        <w:pStyle w:val="CalloutFormula"/>
      </w:pPr>
      <w:r>
        <w:rPr>
          <w:bCs/>
          <w:b/>
        </w:rPr>
        <w:t xml:space="preserve">FORMULA</w:t>
      </w:r>
    </w:p>
    <w:p>
      <w:pPr>
        <w:pStyle w:val="CalloutFormula"/>
      </w:pPr>
      <w:r>
        <w:rPr>
          <w:bCs/>
          <w:b/>
        </w:rPr>
        <w:t xml:space="preserve">GCRA (virtual scheduling form)</w:t>
      </w:r>
    </w:p>
    <w:p>
      <w:pPr>
        <w:pStyle w:val="CalloutFormula"/>
      </w:pPr>
      <m:oMathPara>
        <m:oMathParaPr>
          <m:jc m:val="center"/>
        </m:oMathParaPr>
        <m:oMath>
          <m:r>
            <m:t>T</m:t>
          </m:r>
          <m:r>
            <m:rPr>
              <m:sty m:val="p"/>
            </m:rPr>
            <m:t>=</m:t>
          </m:r>
          <m:f>
            <m:fPr>
              <m:type m:val="bar"/>
            </m:fPr>
            <m:num>
              <m:r>
                <m:t>1</m:t>
              </m:r>
            </m:num>
            <m:den>
              <m:r>
                <m:t>r</m:t>
              </m:r>
            </m:den>
          </m:f>
          <m:r>
            <m:rPr>
              <m:sty m:val="p"/>
            </m:rPr>
            <m:t>,</m:t>
          </m:r>
          <m:r>
            <m:t>  </m:t>
          </m:r>
          <m:r>
            <m:t>τ</m:t>
          </m:r>
          <m:r>
            <m:rPr>
              <m:sty m:val="p"/>
            </m:rPr>
            <m:t>=</m:t>
          </m:r>
          <m:d>
            <m:dPr>
              <m:begChr m:val="("/>
              <m:endChr m:val=")"/>
              <m:sepChr m:val=""/>
              <m:grow/>
            </m:dPr>
            <m:e>
              <m:r>
                <m:t>b</m:t>
              </m:r>
              <m:r>
                <m:rPr>
                  <m:sty m:val="p"/>
                </m:rPr>
                <m:t>−</m:t>
              </m:r>
              <m:r>
                <m:t>1</m:t>
              </m:r>
            </m:e>
          </m:d>
          <m:r>
            <m:t> </m:t>
          </m:r>
          <m:r>
            <m:t>T</m:t>
          </m:r>
          <m:r>
            <m:rPr>
              <m:sty m:val="p"/>
            </m:rPr>
            <m:t>,</m:t>
          </m:r>
          <m:r>
            <m:t>  </m:t>
          </m:r>
          <m:r>
            <m:rPr>
              <m:nor/>
              <m:sty m:val="p"/>
            </m:rPr>
            <m:t>admit at time </m:t>
          </m:r>
          <m:r>
            <m:t>t</m:t>
          </m:r>
          <m:r>
            <m:rPr>
              <m:sty m:val="p"/>
            </m:rPr>
            <m:t>⇔</m:t>
          </m:r>
          <m:r>
            <m:t>t</m:t>
          </m:r>
          <m:r>
            <m:rPr>
              <m:sty m:val="p"/>
            </m:rPr>
            <m:t>≥</m:t>
          </m:r>
          <m:r>
            <m:rPr>
              <m:nor/>
              <m:sty m:val="p"/>
            </m:rPr>
            <m:t>TAT</m:t>
          </m:r>
          <m:r>
            <m:rPr>
              <m:sty m:val="p"/>
            </m:rPr>
            <m:t>−</m:t>
          </m:r>
          <m:r>
            <m:t>τ</m:t>
          </m:r>
          <m:r>
            <m:rPr>
              <m:sty m:val="p"/>
            </m:rPr>
            <m:t>,</m:t>
          </m:r>
          <m:r>
            <m:t>  </m:t>
          </m:r>
          <m:r>
            <m:rPr>
              <m:nor/>
              <m:sty m:val="p"/>
            </m:rPr>
            <m:t>then </m:t>
          </m:r>
          <m:r>
            <m:rPr>
              <m:nor/>
              <m:sty m:val="p"/>
            </m:rPr>
            <m:t>TAT</m:t>
          </m:r>
          <m:r>
            <m:rPr>
              <m:sty m:val="p"/>
            </m:rPr>
            <m:t>←</m:t>
          </m:r>
          <m:r>
            <m:rPr>
              <m:sty m:val="p"/>
            </m:rPr>
            <m:t>max</m:t>
          </m:r>
          <m:d>
            <m:dPr>
              <m:begChr m:val="("/>
              <m:endChr m:val=")"/>
              <m:sepChr m:val=""/>
              <m:grow/>
            </m:dPr>
            <m:e>
              <m:r>
                <m:rPr>
                  <m:nor/>
                  <m:sty m:val="p"/>
                </m:rPr>
                <m:t>TAT</m:t>
              </m:r>
              <m:r>
                <m:rPr>
                  <m:sty m:val="p"/>
                </m:rPr>
                <m:t>,</m:t>
              </m:r>
              <m:r>
                <m:t>t</m:t>
              </m:r>
            </m:e>
          </m:d>
          <m:r>
            <m:rPr>
              <m:sty m:val="p"/>
            </m:rPr>
            <m:t>+</m:t>
          </m:r>
          <m:r>
            <m:t>T</m:t>
          </m:r>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r</m:t>
              </m:r>
            </m:oMath>
          </w:p>
        </w:tc>
        <w:tc>
          <w:tcPr/>
          <w:p>
            <w:pPr>
              <w:pStyle w:val="Compact"/>
              <w:jc w:val="left"/>
            </w:pPr>
            <w:r>
              <w:t xml:space="preserve">Sustained allowed rate</w:t>
            </w:r>
          </w:p>
        </w:tc>
        <w:tc>
          <w:tcPr/>
          <w:p>
            <w:pPr>
              <w:pStyle w:val="Compact"/>
              <w:jc w:val="left"/>
            </w:pPr>
            <w:r>
              <w:t xml:space="preserve">requests/s</w:t>
            </w:r>
          </w:p>
        </w:tc>
      </w:tr>
      <w:tr>
        <w:tc>
          <w:tcPr/>
          <w:p>
            <w:pPr>
              <w:pStyle w:val="Compact"/>
              <w:jc w:val="left"/>
            </w:pPr>
            <m:oMath>
              <m:r>
                <m:t>T</m:t>
              </m:r>
            </m:oMath>
          </w:p>
        </w:tc>
        <w:tc>
          <w:tcPr/>
          <w:p>
            <w:pPr>
              <w:pStyle w:val="Compact"/>
              <w:jc w:val="left"/>
            </w:pPr>
            <w:r>
              <w:t xml:space="preserve">Emission interval: ideal spacing between requests</w:t>
            </w:r>
          </w:p>
        </w:tc>
        <w:tc>
          <w:tcPr/>
          <w:p>
            <w:pPr>
              <w:pStyle w:val="Compact"/>
              <w:jc w:val="left"/>
            </w:pPr>
            <w:r>
              <w:t xml:space="preserve">s</w:t>
            </w:r>
          </w:p>
        </w:tc>
      </w:tr>
      <w:tr>
        <w:tc>
          <w:tcPr/>
          <w:p>
            <w:pPr>
              <w:pStyle w:val="Compact"/>
              <w:jc w:val="left"/>
            </w:pPr>
            <m:oMath>
              <m:r>
                <m:t>b</m:t>
              </m:r>
            </m:oMath>
          </w:p>
        </w:tc>
        <w:tc>
          <w:tcPr/>
          <w:p>
            <w:pPr>
              <w:pStyle w:val="Compact"/>
              <w:jc w:val="left"/>
            </w:pPr>
            <w:r>
              <w:t xml:space="preserve">Burst size (requests that may arrive back to back)</w:t>
            </w:r>
          </w:p>
        </w:tc>
        <w:tc>
          <w:tcPr/>
          <w:p>
            <w:pPr>
              <w:pStyle w:val="Compact"/>
              <w:jc w:val="left"/>
            </w:pPr>
            <w:r>
              <w:t xml:space="preserve">requests</w:t>
            </w:r>
          </w:p>
        </w:tc>
      </w:tr>
      <w:tr>
        <w:tc>
          <w:tcPr/>
          <w:p>
            <w:pPr>
              <w:pStyle w:val="Compact"/>
              <w:jc w:val="left"/>
            </w:pPr>
            <m:oMath>
              <m:r>
                <m:t>τ</m:t>
              </m:r>
            </m:oMath>
          </w:p>
        </w:tc>
        <w:tc>
          <w:tcPr/>
          <w:p>
            <w:pPr>
              <w:pStyle w:val="Compact"/>
              <w:jc w:val="left"/>
            </w:pPr>
            <w:r>
              <w:t xml:space="preserve">Tolerance: how early a request may be relative to its ideal schedule</w:t>
            </w:r>
          </w:p>
        </w:tc>
        <w:tc>
          <w:tcPr/>
          <w:p>
            <w:pPr>
              <w:pStyle w:val="Compact"/>
              <w:jc w:val="left"/>
            </w:pPr>
            <w:r>
              <w:t xml:space="preserve">s</w:t>
            </w:r>
          </w:p>
        </w:tc>
      </w:tr>
      <w:tr>
        <w:tc>
          <w:tcPr/>
          <w:p>
            <w:pPr>
              <w:pStyle w:val="Compact"/>
              <w:jc w:val="left"/>
            </w:pPr>
            <w:r>
              <w:t xml:space="preserve">TAT</w:t>
            </w:r>
          </w:p>
        </w:tc>
        <w:tc>
          <w:tcPr/>
          <w:p>
            <w:pPr>
              <w:pStyle w:val="Compact"/>
              <w:jc w:val="left"/>
            </w:pPr>
            <w:r>
              <w:t xml:space="preserve">Theoretical arrival time of the next request (the only stored state)</w:t>
            </w:r>
          </w:p>
        </w:tc>
        <w:tc>
          <w:tcPr/>
          <w:p>
            <w:pPr>
              <w:pStyle w:val="Compact"/>
              <w:jc w:val="left"/>
            </w:pPr>
            <w:r>
              <w:t xml:space="preserve">s (timestamp)</w:t>
            </w:r>
          </w:p>
        </w:tc>
      </w:tr>
      <w:tr>
        <w:tc>
          <w:tcPr/>
          <w:p>
            <w:pPr>
              <w:pStyle w:val="Compact"/>
              <w:jc w:val="left"/>
            </w:pPr>
            <m:oMath>
              <m:r>
                <m:t>t</m:t>
              </m:r>
            </m:oMath>
          </w:p>
        </w:tc>
        <w:tc>
          <w:tcPr/>
          <w:p>
            <w:pPr>
              <w:pStyle w:val="Compact"/>
              <w:jc w:val="left"/>
            </w:pPr>
            <w:r>
              <w:t xml:space="preserve">Arrival time of the current request</w:t>
            </w:r>
          </w:p>
        </w:tc>
        <w:tc>
          <w:tcPr/>
          <w:p>
            <w:pPr>
              <w:pStyle w:val="Compact"/>
              <w:jc w:val="left"/>
            </w:pPr>
            <w:r>
              <w:t xml:space="preserve">s (timestamp)</w:t>
            </w:r>
          </w:p>
        </w:tc>
      </w:tr>
    </w:tbl>
    <w:p>
      <w:pPr>
        <w:pStyle w:val="CalloutExample"/>
      </w:pPr>
      <w:r>
        <w:rPr>
          <w:bCs/>
          <w:b/>
        </w:rPr>
        <w:t xml:space="preserve">WORKED EXAMPLE</w:t>
      </w:r>
    </w:p>
    <w:p>
      <w:pPr>
        <w:pStyle w:val="CalloutExample"/>
      </w:pPr>
      <w:r>
        <w:rPr>
          <w:bCs/>
          <w:b/>
        </w:rPr>
        <w:t xml:space="preserve">Worked example — GCRA with</w:t>
      </w:r>
      <w:r>
        <w:rPr>
          <w:bCs/>
          <w:b/>
        </w:rPr>
        <w:t xml:space="preserve"> </w:t>
      </w:r>
      <m:oMath>
        <m:r>
          <m:t>r</m:t>
        </m:r>
        <m:r>
          <m:rPr>
            <m:sty m:val="p"/>
          </m:rPr>
          <m:t>=</m:t>
        </m:r>
        <m:r>
          <m:t>10</m:t>
        </m:r>
      </m:oMath>
      <w:r>
        <w:rPr>
          <w:bCs/>
          <w:b/>
        </w:rPr>
        <w:t xml:space="preserve"> </w:t>
      </w:r>
      <w:r>
        <w:rPr>
          <w:bCs/>
          <w:b/>
        </w:rPr>
        <w:t xml:space="preserve">RPS,</w:t>
      </w:r>
      <w:r>
        <w:rPr>
          <w:bCs/>
          <w:b/>
        </w:rPr>
        <w:t xml:space="preserve"> </w:t>
      </w:r>
      <m:oMath>
        <m:r>
          <m:t>b</m:t>
        </m:r>
        <m:r>
          <m:rPr>
            <m:sty m:val="p"/>
          </m:rPr>
          <m:t>=</m:t>
        </m:r>
        <m:r>
          <m:t>20</m:t>
        </m:r>
      </m:oMath>
      <w:r>
        <w:rPr>
          <w:bCs/>
          <w:b/>
        </w:rPr>
        <w:t xml:space="preserve">.</w:t>
      </w:r>
    </w:p>
    <w:p>
      <w:pPr>
        <w:numPr>
          <w:ilvl w:val="0"/>
          <w:numId w:val="1718"/>
        </w:numPr>
        <w:pStyle w:val="Compact"/>
      </w:pPr>
      <m:oMath>
        <m:r>
          <m:t>T</m:t>
        </m:r>
        <m:r>
          <m:rPr>
            <m:sty m:val="p"/>
          </m:rPr>
          <m:t>=</m:t>
        </m:r>
        <m:r>
          <m:t>1</m:t>
        </m:r>
        <m:r>
          <m:rPr>
            <m:sty m:val="p"/>
          </m:rPr>
          <m:t>/</m:t>
        </m:r>
        <m:r>
          <m:t>10</m:t>
        </m:r>
        <m:r>
          <m:rPr>
            <m:sty m:val="p"/>
          </m:rPr>
          <m:t>=</m:t>
        </m:r>
        <m:r>
          <m:t>100</m:t>
        </m:r>
      </m:oMath>
      <w:r>
        <w:t xml:space="preserve"> </w:t>
      </w:r>
      <w:r>
        <w:t xml:space="preserve">ms;</w:t>
      </w:r>
      <w:r>
        <w:t xml:space="preserve"> </w:t>
      </w:r>
      <m:oMath>
        <m:r>
          <m:t>τ</m:t>
        </m:r>
        <m:r>
          <m:rPr>
            <m:sty m:val="p"/>
          </m:rPr>
          <m:t>=</m:t>
        </m:r>
        <m:r>
          <m:t>19</m:t>
        </m:r>
        <m:r>
          <m:rPr>
            <m:sty m:val="p"/>
          </m:rPr>
          <m:t>×</m:t>
        </m:r>
        <m:r>
          <m:t>100</m:t>
        </m:r>
        <m:r>
          <m:rPr>
            <m:sty m:val="p"/>
          </m:rPr>
          <m:t>=</m:t>
        </m:r>
        <m:r>
          <m:t>1</m:t>
        </m:r>
        <m:r>
          <m:rPr>
            <m:sty m:val="p"/>
          </m:rPr>
          <m:t>,</m:t>
        </m:r>
        <m:r>
          <m:t>900</m:t>
        </m:r>
      </m:oMath>
      <w:r>
        <w:t xml:space="preserve"> </w:t>
      </w:r>
      <w:r>
        <w:t xml:space="preserve">ms.</w:t>
      </w:r>
    </w:p>
    <w:p>
      <w:pPr>
        <w:numPr>
          <w:ilvl w:val="0"/>
          <w:numId w:val="1718"/>
        </w:numPr>
        <w:pStyle w:val="Compact"/>
      </w:pPr>
      <w:r>
        <w:t xml:space="preserve">An idle client sends 50 requests at</w:t>
      </w:r>
      <w:r>
        <w:t xml:space="preserve"> </w:t>
      </w:r>
      <m:oMath>
        <m:r>
          <m:t>t</m:t>
        </m:r>
        <m:r>
          <m:rPr>
            <m:sty m:val="p"/>
          </m:rPr>
          <m:t>=</m:t>
        </m:r>
        <m:r>
          <m:t>0</m:t>
        </m:r>
      </m:oMath>
      <w:r>
        <w:t xml:space="preserve">. TAT starts at 0 (or is reset to</w:t>
      </w:r>
      <w:r>
        <w:t xml:space="preserve"> </w:t>
      </w:r>
      <m:oMath>
        <m:r>
          <m:t>t</m:t>
        </m:r>
      </m:oMath>
      <w:r>
        <w:t xml:space="preserve"> </w:t>
      </w:r>
      <w:r>
        <w:t xml:space="preserve">because</w:t>
      </w:r>
      <w:r>
        <w:t xml:space="preserve"> </w:t>
      </w:r>
      <m:oMath>
        <m:r>
          <m:rPr>
            <m:sty m:val="p"/>
          </m:rPr>
          <m:t>max</m:t>
        </m:r>
        <m:d>
          <m:dPr>
            <m:begChr m:val="("/>
            <m:endChr m:val=")"/>
            <m:sepChr m:val=""/>
            <m:grow/>
          </m:dPr>
          <m:e>
            <m:r>
              <m:rPr>
                <m:nor/>
                <m:sty m:val="p"/>
              </m:rPr>
              <m:t>TAT</m:t>
            </m:r>
            <m:r>
              <m:rPr>
                <m:sty m:val="p"/>
              </m:rPr>
              <m:t>,</m:t>
            </m:r>
            <m:r>
              <m:t>t</m:t>
            </m:r>
          </m:e>
        </m:d>
      </m:oMath>
      <w:r>
        <w:t xml:space="preserve"> </w:t>
      </w:r>
      <w:r>
        <w:t xml:space="preserve">ignores a stale past TAT).</w:t>
      </w:r>
    </w:p>
    <w:p>
      <w:pPr>
        <w:numPr>
          <w:ilvl w:val="0"/>
          <w:numId w:val="1718"/>
        </w:numPr>
        <w:pStyle w:val="Compact"/>
      </w:pPr>
      <w:r>
        <w:t xml:space="preserve">Request 1:</w:t>
      </w:r>
      <w:r>
        <w:t xml:space="preserve"> </w:t>
      </w:r>
      <m:oMath>
        <m:r>
          <m:t>0</m:t>
        </m:r>
        <m:r>
          <m:rPr>
            <m:sty m:val="p"/>
          </m:rPr>
          <m:t>≥</m:t>
        </m:r>
        <m:r>
          <m:t>0</m:t>
        </m:r>
        <m:r>
          <m:rPr>
            <m:sty m:val="p"/>
          </m:rPr>
          <m:t>−</m:t>
        </m:r>
        <m:r>
          <m:t>1.9</m:t>
        </m:r>
      </m:oMath>
      <w:r>
        <w:t xml:space="preserve"> </w:t>
      </w:r>
      <w:r>
        <w:t xml:space="preserve">✓; TAT</w:t>
      </w:r>
      <w:r>
        <w:t xml:space="preserve"> </w:t>
      </w:r>
      <m:oMath>
        <m:r>
          <m:rPr>
            <m:sty m:val="p"/>
          </m:rPr>
          <m:t>=</m:t>
        </m:r>
        <m:r>
          <m:t>0.1</m:t>
        </m:r>
      </m:oMath>
      <w:r>
        <w:t xml:space="preserve"> </w:t>
      </w:r>
      <w:r>
        <w:t xml:space="preserve">s. Request 20: TAT before it is</w:t>
      </w:r>
      <w:r>
        <w:t xml:space="preserve"> </w:t>
      </w:r>
      <m:oMath>
        <m:r>
          <m:t>1.9</m:t>
        </m:r>
      </m:oMath>
      <w:r>
        <w:t xml:space="preserve">;</w:t>
      </w:r>
      <w:r>
        <w:t xml:space="preserve"> </w:t>
      </w:r>
      <m:oMath>
        <m:r>
          <m:t>0</m:t>
        </m:r>
        <m:r>
          <m:rPr>
            <m:sty m:val="p"/>
          </m:rPr>
          <m:t>≥</m:t>
        </m:r>
        <m:r>
          <m:t>1.9</m:t>
        </m:r>
        <m:r>
          <m:rPr>
            <m:sty m:val="p"/>
          </m:rPr>
          <m:t>−</m:t>
        </m:r>
        <m:r>
          <m:t>1.9</m:t>
        </m:r>
        <m:r>
          <m:rPr>
            <m:sty m:val="p"/>
          </m:rPr>
          <m:t>=</m:t>
        </m:r>
        <m:r>
          <m:t>0</m:t>
        </m:r>
      </m:oMath>
      <w:r>
        <w:t xml:space="preserve"> </w:t>
      </w:r>
      <w:r>
        <w:t xml:space="preserve">✓; TAT becomes</w:t>
      </w:r>
      <w:r>
        <w:t xml:space="preserve"> </w:t>
      </w:r>
      <m:oMath>
        <m:r>
          <m:t>2.0</m:t>
        </m:r>
      </m:oMath>
      <w:r>
        <w:t xml:space="preserve">.</w:t>
      </w:r>
    </w:p>
    <w:p>
      <w:pPr>
        <w:numPr>
          <w:ilvl w:val="0"/>
          <w:numId w:val="1718"/>
        </w:numPr>
        <w:pStyle w:val="Compact"/>
      </w:pPr>
      <w:r>
        <w:t xml:space="preserve">Request 21:</w:t>
      </w:r>
      <w:r>
        <w:t xml:space="preserve"> </w:t>
      </w:r>
      <m:oMath>
        <m:r>
          <m:t>0</m:t>
        </m:r>
        <m:r>
          <m:rPr>
            <m:sty m:val="p"/>
          </m:rPr>
          <m:t>≥</m:t>
        </m:r>
        <m:r>
          <m:t>2.0</m:t>
        </m:r>
        <m:r>
          <m:rPr>
            <m:sty m:val="p"/>
          </m:rPr>
          <m:t>−</m:t>
        </m:r>
        <m:r>
          <m:t>1.9</m:t>
        </m:r>
        <m:r>
          <m:rPr>
            <m:sty m:val="p"/>
          </m:rPr>
          <m:t>=</m:t>
        </m:r>
        <m:r>
          <m:t>0.1</m:t>
        </m:r>
      </m:oMath>
      <w:r>
        <w:t xml:space="preserve">? No → reject.</w:t>
      </w:r>
      <w:r>
        <w:t xml:space="preserve"> </w:t>
      </w:r>
      <w:r>
        <w:rPr>
          <w:rStyle w:val="VerbatimChar"/>
        </w:rPr>
        <w:t xml:space="preserve">Retry-After</w:t>
      </w:r>
      <w:r>
        <w:t xml:space="preserve"> </w:t>
      </w:r>
      <m:oMath>
        <m:r>
          <m:rPr>
            <m:sty m:val="p"/>
          </m:rPr>
          <m:t>=</m:t>
        </m:r>
      </m:oMath>
      <w:r>
        <w:t xml:space="preserve"> </w:t>
      </w:r>
      <w:r>
        <w:t xml:space="preserve">TAT</w:t>
      </w:r>
      <w:r>
        <w:t xml:space="preserve"> </w:t>
      </w:r>
      <m:oMath>
        <m:r>
          <m:rPr>
            <m:sty m:val="p"/>
          </m:rPr>
          <m:t>−</m:t>
        </m:r>
        <m:r>
          <m:t>τ</m:t>
        </m:r>
        <m:r>
          <m:rPr>
            <m:sty m:val="p"/>
          </m:rPr>
          <m:t>−</m:t>
        </m:r>
        <m:r>
          <m:t>t</m:t>
        </m:r>
        <m:r>
          <m:rPr>
            <m:sty m:val="p"/>
          </m:rPr>
          <m:t>=</m:t>
        </m:r>
        <m:r>
          <m:t>0.1</m:t>
        </m:r>
      </m:oMath>
      <w:r>
        <w:t xml:space="preserve"> </w:t>
      </w:r>
      <w:r>
        <w:t xml:space="preserve">s.</w:t>
      </w:r>
    </w:p>
    <w:p>
      <w:pPr>
        <w:pStyle w:val="CalloutExample"/>
      </w:pPr>
      <w:r>
        <w:rPr>
          <w:bCs/>
          <w:b/>
        </w:rPr>
        <w:t xml:space="preserve">Interpretation.</w:t>
      </w:r>
      <w:r>
        <w:t xml:space="preserve"> </w:t>
      </w:r>
      <w:r>
        <w:t xml:space="preserve">Identical to the token bucket of §22.4.</w:t>
      </w:r>
      <w:r>
        <w:t xml:space="preserve"> </w:t>
      </w:r>
      <w:r>
        <w:rPr>
          <w:bCs/>
          <w:b/>
        </w:rPr>
        <w:t xml:space="preserve">Engineering implication.</w:t>
      </w:r>
      <w:r>
        <w:t xml:space="preserve"> </w:t>
      </w:r>
      <w:r>
        <w:t xml:space="preserve">One timestamp per key and no refill arithmetic make GCRA attractive in shared stores such as Redis.</w:t>
      </w:r>
    </w:p>
    <w:p>
      <w:pPr>
        <w:pStyle w:val="SourceCode"/>
      </w:pPr>
      <w:r>
        <w:rPr>
          <w:rStyle w:val="ImportTok"/>
        </w:rPr>
        <w:t xml:space="preserve">import</w:t>
      </w:r>
      <w:r>
        <w:rPr>
          <w:rStyle w:val="NormalTok"/>
        </w:rPr>
        <w:t xml:space="preserve"> random</w:t>
      </w:r>
      <w:r>
        <w:br/>
      </w:r>
      <w:r>
        <w:br/>
      </w:r>
      <w:r>
        <w:br/>
      </w:r>
      <w:r>
        <w:rPr>
          <w:rStyle w:val="KeywordTok"/>
        </w:rPr>
        <w:t xml:space="preserve">class</w:t>
      </w:r>
      <w:r>
        <w:rPr>
          <w:rStyle w:val="NormalTok"/>
        </w:rPr>
        <w:t xml:space="preserve"> GCRA:</w:t>
      </w:r>
      <w:r>
        <w:br/>
      </w:r>
      <w:r>
        <w:rPr>
          <w:rStyle w:val="NormalTok"/>
        </w:rPr>
        <w:t xml:space="preserve">    </w:t>
      </w:r>
      <w:r>
        <w:rPr>
          <w:rStyle w:val="CommentTok"/>
        </w:rPr>
        <w:t xml:space="preserve">"""Generic Cell Rate Algorithm, virtual-scheduling form. State per key: one integer (TAT).</w:t>
      </w:r>
      <w:r>
        <w:br/>
      </w:r>
      <w:r>
        <w:rPr>
          <w:rStyle w:val="CommentTok"/>
        </w:rPr>
        <w:t xml:space="preserve">    Times are integer nanoseconds so that repeated additions do not drift."""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rate, burst):</w:t>
      </w:r>
      <w:r>
        <w:br/>
      </w:r>
      <w:r>
        <w:rPr>
          <w:rStyle w:val="NormalTok"/>
        </w:rPr>
        <w:t xml:space="preserve">        </w:t>
      </w:r>
      <w:r>
        <w:rPr>
          <w:rStyle w:val="VariableTok"/>
        </w:rPr>
        <w:t xml:space="preserve">self</w:t>
      </w:r>
      <w:r>
        <w:rPr>
          <w:rStyle w:val="NormalTok"/>
        </w:rPr>
        <w:t xml:space="preserve">.T </w:t>
      </w:r>
      <w:r>
        <w:rPr>
          <w:rStyle w:val="OperatorTok"/>
        </w:rPr>
        <w:t xml:space="preserve">=</w:t>
      </w:r>
      <w:r>
        <w:rPr>
          <w:rStyle w:val="NormalTok"/>
        </w:rPr>
        <w:t xml:space="preserve"> </w:t>
      </w:r>
      <w:r>
        <w:rPr>
          <w:rStyle w:val="BuiltInTok"/>
        </w:rPr>
        <w:t xml:space="preserve">round</w:t>
      </w:r>
      <w:r>
        <w:rPr>
          <w:rStyle w:val="NormalTok"/>
        </w:rPr>
        <w:t xml:space="preserve">(</w:t>
      </w:r>
      <w:r>
        <w:rPr>
          <w:rStyle w:val="FloatTok"/>
        </w:rPr>
        <w:t xml:space="preserve">1e9</w:t>
      </w:r>
      <w:r>
        <w:rPr>
          <w:rStyle w:val="NormalTok"/>
        </w:rPr>
        <w:t xml:space="preserve"> </w:t>
      </w:r>
      <w:r>
        <w:rPr>
          <w:rStyle w:val="OperatorTok"/>
        </w:rPr>
        <w:t xml:space="preserve">/</w:t>
      </w:r>
      <w:r>
        <w:rPr>
          <w:rStyle w:val="NormalTok"/>
        </w:rPr>
        <w:t xml:space="preserve"> rate)          </w:t>
      </w:r>
      <w:r>
        <w:rPr>
          <w:rStyle w:val="CommentTok"/>
        </w:rPr>
        <w:t xml:space="preserve"># emission interval (ns): ideal gap between requests</w:t>
      </w:r>
      <w:r>
        <w:br/>
      </w:r>
      <w:r>
        <w:rPr>
          <w:rStyle w:val="NormalTok"/>
        </w:rPr>
        <w:t xml:space="preserve">        </w:t>
      </w:r>
      <w:r>
        <w:rPr>
          <w:rStyle w:val="VariableTok"/>
        </w:rPr>
        <w:t xml:space="preserve">self</w:t>
      </w:r>
      <w:r>
        <w:rPr>
          <w:rStyle w:val="NormalTok"/>
        </w:rPr>
        <w:t xml:space="preserve">.tau </w:t>
      </w:r>
      <w:r>
        <w:rPr>
          <w:rStyle w:val="OperatorTok"/>
        </w:rPr>
        <w:t xml:space="preserve">=</w:t>
      </w:r>
      <w:r>
        <w:rPr>
          <w:rStyle w:val="NormalTok"/>
        </w:rPr>
        <w:t xml:space="preserve"> (burst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.T     </w:t>
      </w:r>
      <w:r>
        <w:rPr>
          <w:rStyle w:val="CommentTok"/>
        </w:rPr>
        <w:t xml:space="preserve"># tolerance (ns): how far ahead of schedule we accept</w:t>
      </w:r>
      <w:r>
        <w:br/>
      </w:r>
      <w:r>
        <w:rPr>
          <w:rStyle w:val="NormalTok"/>
        </w:rPr>
        <w:t xml:space="preserve">        </w:t>
      </w:r>
      <w:r>
        <w:rPr>
          <w:rStyle w:val="VariableTok"/>
        </w:rPr>
        <w:t xml:space="preserve">self</w:t>
      </w:r>
      <w:r>
        <w:rPr>
          <w:rStyle w:val="NormalTok"/>
        </w:rPr>
        <w:t xml:space="preserve">.tat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theoretical arrival time of the next request</w:t>
      </w:r>
      <w:r>
        <w:br/>
      </w:r>
      <w:r>
        <w:br/>
      </w:r>
      <w:r>
        <w:rPr>
          <w:rStyle w:val="NormalTok"/>
        </w:rPr>
        <w:t xml:space="preserve">    </w:t>
      </w:r>
      <w:r>
        <w:rPr>
          <w:rStyle w:val="KeywordTok"/>
        </w:rPr>
        <w:t xml:space="preserve">def</w:t>
      </w:r>
      <w:r>
        <w:rPr>
          <w:rStyle w:val="NormalTok"/>
        </w:rPr>
        <w:t xml:space="preserve"> try_acquire(</w:t>
      </w:r>
      <w:r>
        <w:rPr>
          <w:rStyle w:val="VariableTok"/>
        </w:rPr>
        <w:t xml:space="preserve">self</w:t>
      </w:r>
      <w:r>
        <w:rPr>
          <w:rStyle w:val="NormalTok"/>
        </w:rPr>
        <w:t xml:space="preserve">, now_s):</w:t>
      </w:r>
      <w:r>
        <w:br/>
      </w:r>
      <w:r>
        <w:rPr>
          <w:rStyle w:val="NormalTok"/>
        </w:rPr>
        <w:t xml:space="preserve">        now </w:t>
      </w:r>
      <w:r>
        <w:rPr>
          <w:rStyle w:val="OperatorTok"/>
        </w:rPr>
        <w:t xml:space="preserve">=</w:t>
      </w:r>
      <w:r>
        <w:rPr>
          <w:rStyle w:val="NormalTok"/>
        </w:rPr>
        <w:t xml:space="preserve"> </w:t>
      </w:r>
      <w:r>
        <w:rPr>
          <w:rStyle w:val="BuiltInTok"/>
        </w:rPr>
        <w:t xml:space="preserve">round</w:t>
      </w:r>
      <w:r>
        <w:rPr>
          <w:rStyle w:val="NormalTok"/>
        </w:rPr>
        <w:t xml:space="preserve">(now_s </w:t>
      </w:r>
      <w:r>
        <w:rPr>
          <w:rStyle w:val="OperatorTok"/>
        </w:rPr>
        <w:t xml:space="preserve">*</w:t>
      </w:r>
      <w:r>
        <w:rPr>
          <w:rStyle w:val="NormalTok"/>
        </w:rPr>
        <w:t xml:space="preserve"> </w:t>
      </w:r>
      <w:r>
        <w:rPr>
          <w:rStyle w:val="FloatTok"/>
        </w:rPr>
        <w:t xml:space="preserve">1e9</w:t>
      </w:r>
      <w:r>
        <w:rPr>
          <w:rStyle w:val="NormalTok"/>
        </w:rPr>
        <w:t xml:space="preserve">)</w:t>
      </w:r>
      <w:r>
        <w:br/>
      </w:r>
      <w:r>
        <w:rPr>
          <w:rStyle w:val="NormalTok"/>
        </w:rPr>
        <w:t xml:space="preserve">        tat </w:t>
      </w:r>
      <w:r>
        <w:rPr>
          <w:rStyle w:val="OperatorTok"/>
        </w:rPr>
        <w:t xml:space="preserve">=</w:t>
      </w:r>
      <w:r>
        <w:rPr>
          <w:rStyle w:val="NormalTok"/>
        </w:rPr>
        <w:t xml:space="preserve"> now </w:t>
      </w:r>
      <w:r>
        <w:rPr>
          <w:rStyle w:val="ControlFlowTok"/>
        </w:rPr>
        <w:t xml:space="preserve">if</w:t>
      </w:r>
      <w:r>
        <w:rPr>
          <w:rStyle w:val="NormalTok"/>
        </w:rPr>
        <w:t xml:space="preserve"> </w:t>
      </w:r>
      <w:r>
        <w:rPr>
          <w:rStyle w:val="VariableTok"/>
        </w:rPr>
        <w:t xml:space="preserve">self</w:t>
      </w:r>
      <w:r>
        <w:rPr>
          <w:rStyle w:val="NormalTok"/>
        </w:rPr>
        <w:t xml:space="preserve">.tat </w:t>
      </w:r>
      <w:r>
        <w:rPr>
          <w:rStyle w:val="KeywordTok"/>
        </w:rPr>
        <w:t xml:space="preserve">is</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w:t>
      </w:r>
      <w:r>
        <w:rPr>
          <w:rStyle w:val="BuiltInTok"/>
        </w:rPr>
        <w:t xml:space="preserve">max</w:t>
      </w:r>
      <w:r>
        <w:rPr>
          <w:rStyle w:val="NormalTok"/>
        </w:rPr>
        <w:t xml:space="preserve">(</w:t>
      </w:r>
      <w:r>
        <w:rPr>
          <w:rStyle w:val="VariableTok"/>
        </w:rPr>
        <w:t xml:space="preserve">self</w:t>
      </w:r>
      <w:r>
        <w:rPr>
          <w:rStyle w:val="NormalTok"/>
        </w:rPr>
        <w:t xml:space="preserve">.tat, now)</w:t>
      </w:r>
      <w:r>
        <w:br/>
      </w:r>
      <w:r>
        <w:rPr>
          <w:rStyle w:val="NormalTok"/>
        </w:rPr>
        <w:t xml:space="preserve">        </w:t>
      </w:r>
      <w:r>
        <w:rPr>
          <w:rStyle w:val="ControlFlowTok"/>
        </w:rPr>
        <w:t xml:space="preserve">if</w:t>
      </w:r>
      <w:r>
        <w:rPr>
          <w:rStyle w:val="NormalTok"/>
        </w:rPr>
        <w:t xml:space="preserve"> tat </w:t>
      </w:r>
      <w:r>
        <w:rPr>
          <w:rStyle w:val="OperatorTok"/>
        </w:rPr>
        <w:t xml:space="preserve">-</w:t>
      </w:r>
      <w:r>
        <w:rPr>
          <w:rStyle w:val="NormalTok"/>
        </w:rPr>
        <w:t xml:space="preserve"> now </w:t>
      </w:r>
      <w:r>
        <w:rPr>
          <w:rStyle w:val="OperatorTok"/>
        </w:rPr>
        <w:t xml:space="preserve">&gt;</w:t>
      </w:r>
      <w:r>
        <w:rPr>
          <w:rStyle w:val="NormalTok"/>
        </w:rPr>
        <w:t xml:space="preserve"> </w:t>
      </w:r>
      <w:r>
        <w:rPr>
          <w:rStyle w:val="VariableTok"/>
        </w:rPr>
        <w:t xml:space="preserve">self</w:t>
      </w:r>
      <w:r>
        <w:rPr>
          <w:rStyle w:val="NormalTok"/>
        </w:rPr>
        <w:t xml:space="preserve">.tau:            </w:t>
      </w:r>
      <w:r>
        <w:rPr>
          <w:rStyle w:val="CommentTok"/>
        </w:rPr>
        <w:t xml:space="preserve"># arrived earlier than TAT - tau: non-conforming</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VariableTok"/>
        </w:rPr>
        <w:t xml:space="preserve">self</w:t>
      </w:r>
      <w:r>
        <w:rPr>
          <w:rStyle w:val="NormalTok"/>
        </w:rPr>
        <w:t xml:space="preserve">.tat </w:t>
      </w:r>
      <w:r>
        <w:rPr>
          <w:rStyle w:val="OperatorTok"/>
        </w:rPr>
        <w:t xml:space="preserve">=</w:t>
      </w:r>
      <w:r>
        <w:rPr>
          <w:rStyle w:val="NormalTok"/>
        </w:rPr>
        <w:t xml:space="preserve"> tat </w:t>
      </w:r>
      <w:r>
        <w:rPr>
          <w:rStyle w:val="OperatorTok"/>
        </w:rPr>
        <w:t xml:space="preserve">+</w:t>
      </w:r>
      <w:r>
        <w:rPr>
          <w:rStyle w:val="NormalTok"/>
        </w:rPr>
        <w:t xml:space="preserve"> </w:t>
      </w:r>
      <w:r>
        <w:rPr>
          <w:rStyle w:val="VariableTok"/>
        </w:rPr>
        <w:t xml:space="preserve">self</w:t>
      </w:r>
      <w:r>
        <w:rPr>
          <w:rStyle w:val="NormalTok"/>
        </w:rPr>
        <w:t xml:space="preserve">.T             </w:t>
      </w:r>
      <w:r>
        <w:rPr>
          <w:rStyle w:val="CommentTok"/>
        </w:rPr>
        <w:t xml:space="preserve"># conforming: push the schedule one interval out</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rPr>
          <w:rStyle w:val="NormalTok"/>
        </w:rPr>
        <w:t xml:space="preserve">    </w:t>
      </w:r>
      <w:r>
        <w:rPr>
          <w:rStyle w:val="KeywordTok"/>
        </w:rPr>
        <w:t xml:space="preserve">def</w:t>
      </w:r>
      <w:r>
        <w:rPr>
          <w:rStyle w:val="NormalTok"/>
        </w:rPr>
        <w:t xml:space="preserve"> retry_after(</w:t>
      </w:r>
      <w:r>
        <w:rPr>
          <w:rStyle w:val="VariableTok"/>
        </w:rPr>
        <w:t xml:space="preserve">self</w:t>
      </w:r>
      <w:r>
        <w:rPr>
          <w:rStyle w:val="NormalTok"/>
        </w:rPr>
        <w:t xml:space="preserve">, now_s):</w:t>
      </w:r>
      <w:r>
        <w:br/>
      </w:r>
      <w:r>
        <w:rPr>
          <w:rStyle w:val="NormalTok"/>
        </w:rPr>
        <w:t xml:space="preserve">        </w:t>
      </w:r>
      <w:r>
        <w:rPr>
          <w:rStyle w:val="CommentTok"/>
        </w:rPr>
        <w:t xml:space="preserve">"""Seconds until the next request would conform."""</w:t>
      </w:r>
      <w:r>
        <w:br/>
      </w:r>
      <w:r>
        <w:rPr>
          <w:rStyle w:val="NormalTok"/>
        </w:rPr>
        <w:t xml:space="preserve">        </w:t>
      </w:r>
      <w:r>
        <w:rPr>
          <w:rStyle w:val="ControlFlowTok"/>
        </w:rPr>
        <w:t xml:space="preserve">return</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w:t>
      </w:r>
      <w:r>
        <w:rPr>
          <w:rStyle w:val="VariableTok"/>
        </w:rPr>
        <w:t xml:space="preserve">self</w:t>
      </w:r>
      <w:r>
        <w:rPr>
          <w:rStyle w:val="NormalTok"/>
        </w:rPr>
        <w:t xml:space="preserve">.tat </w:t>
      </w:r>
      <w:r>
        <w:rPr>
          <w:rStyle w:val="OperatorTok"/>
        </w:rPr>
        <w:t xml:space="preserve">-</w:t>
      </w:r>
      <w:r>
        <w:rPr>
          <w:rStyle w:val="NormalTok"/>
        </w:rPr>
        <w:t xml:space="preserve"> </w:t>
      </w:r>
      <w:r>
        <w:rPr>
          <w:rStyle w:val="VariableTok"/>
        </w:rPr>
        <w:t xml:space="preserve">self</w:t>
      </w:r>
      <w:r>
        <w:rPr>
          <w:rStyle w:val="NormalTok"/>
        </w:rPr>
        <w:t xml:space="preserve">.tau) </w:t>
      </w:r>
      <w:r>
        <w:rPr>
          <w:rStyle w:val="OperatorTok"/>
        </w:rPr>
        <w:t xml:space="preserve">/</w:t>
      </w:r>
      <w:r>
        <w:rPr>
          <w:rStyle w:val="NormalTok"/>
        </w:rPr>
        <w:t xml:space="preserve"> </w:t>
      </w:r>
      <w:r>
        <w:rPr>
          <w:rStyle w:val="FloatTok"/>
        </w:rPr>
        <w:t xml:space="preserve">1e9</w:t>
      </w:r>
      <w:r>
        <w:rPr>
          <w:rStyle w:val="NormalTok"/>
        </w:rPr>
        <w:t xml:space="preserve"> </w:t>
      </w:r>
      <w:r>
        <w:rPr>
          <w:rStyle w:val="OperatorTok"/>
        </w:rPr>
        <w:t xml:space="preserve">-</w:t>
      </w:r>
      <w:r>
        <w:rPr>
          <w:rStyle w:val="NormalTok"/>
        </w:rPr>
        <w:t xml:space="preserve"> now_s)</w:t>
      </w:r>
      <w:r>
        <w:br/>
      </w:r>
      <w:r>
        <w:br/>
      </w:r>
      <w:r>
        <w:br/>
      </w:r>
      <w:r>
        <w:rPr>
          <w:rStyle w:val="KeywordTok"/>
        </w:rPr>
        <w:t xml:space="preserve">def</w:t>
      </w:r>
      <w:r>
        <w:rPr>
          <w:rStyle w:val="NormalTok"/>
        </w:rPr>
        <w:t xml:space="preserve"> token_bucket_decisions(rate, capacity, times):</w:t>
      </w:r>
      <w:r>
        <w:br/>
      </w:r>
      <w:r>
        <w:rPr>
          <w:rStyle w:val="NormalTok"/>
        </w:rPr>
        <w:t xml:space="preserve">    </w:t>
      </w:r>
      <w:r>
        <w:rPr>
          <w:rStyle w:val="CommentTok"/>
        </w:rPr>
        <w:t xml:space="preserve">"""Reference token bucket (starts full) for comparison."""</w:t>
      </w:r>
      <w:r>
        <w:br/>
      </w:r>
      <w:r>
        <w:rPr>
          <w:rStyle w:val="NormalTok"/>
        </w:rPr>
        <w:t xml:space="preserve">    tokens, last, out </w:t>
      </w:r>
      <w:r>
        <w:rPr>
          <w:rStyle w:val="OperatorTok"/>
        </w:rPr>
        <w:t xml:space="preserve">=</w:t>
      </w:r>
      <w:r>
        <w:rPr>
          <w:rStyle w:val="NormalTok"/>
        </w:rPr>
        <w:t xml:space="preserve"> </w:t>
      </w:r>
      <w:r>
        <w:rPr>
          <w:rStyle w:val="BuiltInTok"/>
        </w:rPr>
        <w:t xml:space="preserve">float</w:t>
      </w:r>
      <w:r>
        <w:rPr>
          <w:rStyle w:val="NormalTok"/>
        </w:rPr>
        <w:t xml:space="preserve">(capacity), times[</w:t>
      </w:r>
      <w:r>
        <w:rPr>
          <w:rStyle w:val="DecValTok"/>
        </w:rPr>
        <w:t xml:space="preserve">0</w:t>
      </w:r>
      <w:r>
        <w:rPr>
          <w:rStyle w:val="NormalTok"/>
        </w:rPr>
        <w:t xml:space="preserve">], []</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times:</w:t>
      </w:r>
      <w:r>
        <w:br/>
      </w:r>
      <w:r>
        <w:rPr>
          <w:rStyle w:val="NormalTok"/>
        </w:rPr>
        <w:t xml:space="preserve">        tokens </w:t>
      </w:r>
      <w:r>
        <w:rPr>
          <w:rStyle w:val="OperatorTok"/>
        </w:rPr>
        <w:t xml:space="preserve">=</w:t>
      </w:r>
      <w:r>
        <w:rPr>
          <w:rStyle w:val="NormalTok"/>
        </w:rPr>
        <w:t xml:space="preserve"> </w:t>
      </w:r>
      <w:r>
        <w:rPr>
          <w:rStyle w:val="BuiltInTok"/>
        </w:rPr>
        <w:t xml:space="preserve">min</w:t>
      </w:r>
      <w:r>
        <w:rPr>
          <w:rStyle w:val="NormalTok"/>
        </w:rPr>
        <w:t xml:space="preserve">(capacity, tokens </w:t>
      </w:r>
      <w:r>
        <w:rPr>
          <w:rStyle w:val="OperatorTok"/>
        </w:rPr>
        <w:t xml:space="preserve">+</w:t>
      </w:r>
      <w:r>
        <w:rPr>
          <w:rStyle w:val="NormalTok"/>
        </w:rPr>
        <w:t xml:space="preserve"> (t </w:t>
      </w:r>
      <w:r>
        <w:rPr>
          <w:rStyle w:val="OperatorTok"/>
        </w:rPr>
        <w:t xml:space="preserve">-</w:t>
      </w:r>
      <w:r>
        <w:rPr>
          <w:rStyle w:val="NormalTok"/>
        </w:rPr>
        <w:t xml:space="preserve"> last) </w:t>
      </w:r>
      <w:r>
        <w:rPr>
          <w:rStyle w:val="OperatorTok"/>
        </w:rPr>
        <w:t xml:space="preserve">*</w:t>
      </w:r>
      <w:r>
        <w:rPr>
          <w:rStyle w:val="NormalTok"/>
        </w:rPr>
        <w:t xml:space="preserve"> rate)</w:t>
      </w:r>
      <w:r>
        <w:br/>
      </w:r>
      <w:r>
        <w:rPr>
          <w:rStyle w:val="NormalTok"/>
        </w:rPr>
        <w:t xml:space="preserve">        last </w:t>
      </w:r>
      <w:r>
        <w:rPr>
          <w:rStyle w:val="OperatorTok"/>
        </w:rPr>
        <w:t xml:space="preserve">=</w:t>
      </w:r>
      <w:r>
        <w:rPr>
          <w:rStyle w:val="NormalTok"/>
        </w:rPr>
        <w:t xml:space="preserve"> t</w:t>
      </w:r>
      <w:r>
        <w:br/>
      </w:r>
      <w:r>
        <w:rPr>
          <w:rStyle w:val="NormalTok"/>
        </w:rPr>
        <w:t xml:space="preserve">        ok </w:t>
      </w:r>
      <w:r>
        <w:rPr>
          <w:rStyle w:val="OperatorTok"/>
        </w:rPr>
        <w:t xml:space="preserve">=</w:t>
      </w:r>
      <w:r>
        <w:rPr>
          <w:rStyle w:val="NormalTok"/>
        </w:rPr>
        <w:t xml:space="preserve"> tokens </w:t>
      </w:r>
      <w:r>
        <w:rPr>
          <w:rStyle w:val="OperatorTok"/>
        </w:rPr>
        <w:t xml:space="preserve">&gt;=</w:t>
      </w:r>
      <w:r>
        <w:rPr>
          <w:rStyle w:val="NormalTok"/>
        </w:rPr>
        <w:t xml:space="preserve"> </w:t>
      </w:r>
      <w:r>
        <w:rPr>
          <w:rStyle w:val="FloatTok"/>
        </w:rPr>
        <w:t xml:space="preserve">1.0</w:t>
      </w:r>
      <w:r>
        <w:br/>
      </w:r>
      <w:r>
        <w:rPr>
          <w:rStyle w:val="NormalTok"/>
        </w:rPr>
        <w:t xml:space="preserve">        tokens </w:t>
      </w:r>
      <w:r>
        <w:rPr>
          <w:rStyle w:val="OperatorTok"/>
        </w:rPr>
        <w:t xml:space="preserve">-=</w:t>
      </w:r>
      <w:r>
        <w:rPr>
          <w:rStyle w:val="NormalTok"/>
        </w:rPr>
        <w:t xml:space="preserve"> </w:t>
      </w:r>
      <w:r>
        <w:rPr>
          <w:rStyle w:val="FloatTok"/>
        </w:rPr>
        <w:t xml:space="preserve">1.0</w:t>
      </w:r>
      <w:r>
        <w:rPr>
          <w:rStyle w:val="NormalTok"/>
        </w:rPr>
        <w:t xml:space="preserve"> </w:t>
      </w:r>
      <w:r>
        <w:rPr>
          <w:rStyle w:val="ControlFlowTok"/>
        </w:rPr>
        <w:t xml:space="preserve">if</w:t>
      </w:r>
      <w:r>
        <w:rPr>
          <w:rStyle w:val="NormalTok"/>
        </w:rPr>
        <w:t xml:space="preserve"> ok </w:t>
      </w:r>
      <w:r>
        <w:rPr>
          <w:rStyle w:val="ControlFlowTok"/>
        </w:rPr>
        <w:t xml:space="preserve">else</w:t>
      </w:r>
      <w:r>
        <w:rPr>
          <w:rStyle w:val="NormalTok"/>
        </w:rPr>
        <w:t xml:space="preserve"> </w:t>
      </w:r>
      <w:r>
        <w:rPr>
          <w:rStyle w:val="FloatTok"/>
        </w:rPr>
        <w:t xml:space="preserve">0.0</w:t>
      </w:r>
      <w:r>
        <w:br/>
      </w:r>
      <w:r>
        <w:rPr>
          <w:rStyle w:val="NormalTok"/>
        </w:rPr>
        <w:t xml:space="preserve">        out.append(ok)</w:t>
      </w:r>
      <w:r>
        <w:br/>
      </w:r>
      <w:r>
        <w:rPr>
          <w:rStyle w:val="NormalTok"/>
        </w:rPr>
        <w:t xml:space="preserve">    </w:t>
      </w:r>
      <w:r>
        <w:rPr>
          <w:rStyle w:val="ControlFlowTok"/>
        </w:rPr>
        <w:t xml:space="preserve">return</w:t>
      </w:r>
      <w:r>
        <w:rPr>
          <w:rStyle w:val="NormalTok"/>
        </w:rPr>
        <w:t xml:space="preserve"> out</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g </w:t>
      </w:r>
      <w:r>
        <w:rPr>
          <w:rStyle w:val="OperatorTok"/>
        </w:rPr>
        <w:t xml:space="preserve">=</w:t>
      </w:r>
      <w:r>
        <w:rPr>
          <w:rStyle w:val="NormalTok"/>
        </w:rPr>
        <w:t xml:space="preserve"> GCRA(rate</w:t>
      </w:r>
      <w:r>
        <w:rPr>
          <w:rStyle w:val="OperatorTok"/>
        </w:rPr>
        <w:t xml:space="preserve">=</w:t>
      </w:r>
      <w:r>
        <w:rPr>
          <w:rStyle w:val="DecValTok"/>
        </w:rPr>
        <w:t xml:space="preserve">10</w:t>
      </w:r>
      <w:r>
        <w:rPr>
          <w:rStyle w:val="NormalTok"/>
        </w:rPr>
        <w:t xml:space="preserve">, burst</w:t>
      </w:r>
      <w:r>
        <w:rPr>
          <w:rStyle w:val="OperatorTok"/>
        </w:rPr>
        <w:t xml:space="preserve">=</w:t>
      </w:r>
      <w:r>
        <w:rPr>
          <w:rStyle w:val="DecValTok"/>
        </w:rPr>
        <w:t xml:space="preserve">20</w:t>
      </w:r>
      <w:r>
        <w:rPr>
          <w:rStyle w:val="NormalTok"/>
        </w:rPr>
        <w:t xml:space="preserve">)</w:t>
      </w:r>
      <w:r>
        <w:br/>
      </w:r>
      <w:r>
        <w:rPr>
          <w:rStyle w:val="NormalTok"/>
        </w:rPr>
        <w:t xml:space="preserve">    burst </w:t>
      </w:r>
      <w:r>
        <w:rPr>
          <w:rStyle w:val="OperatorTok"/>
        </w:rPr>
        <w:t xml:space="preserve">=</w:t>
      </w:r>
      <w:r>
        <w:rPr>
          <w:rStyle w:val="NormalTok"/>
        </w:rPr>
        <w:t xml:space="preserve"> [g.try_acquire(</w:t>
      </w:r>
      <w:r>
        <w:rPr>
          <w:rStyle w:val="FloatTok"/>
        </w:rPr>
        <w:t xml:space="preserve">0.0</w:t>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50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f"burst of 50 at t=0: admitted </w:t>
      </w:r>
      <w:r>
        <w:rPr>
          <w:rStyle w:val="SpecialCharTok"/>
        </w:rPr>
        <w:t xml:space="preserve">{</w:t>
      </w:r>
      <w:r>
        <w:rPr>
          <w:rStyle w:val="BuiltInTok"/>
        </w:rPr>
        <w:t xml:space="preserve">sum</w:t>
      </w:r>
      <w:r>
        <w:rPr>
          <w:rStyle w:val="NormalTok"/>
        </w:rPr>
        <w:t xml:space="preserve">(burst)</w:t>
      </w:r>
      <w:r>
        <w:rPr>
          <w:rStyle w:val="SpecialCharTok"/>
        </w:rPr>
        <w:t xml:space="preserve">}</w:t>
      </w:r>
      <w:r>
        <w:rPr>
          <w:rStyle w:val="SpecialStringTok"/>
        </w:rPr>
        <w:t xml:space="preserve">, retry after </w:t>
      </w:r>
      <w:r>
        <w:rPr>
          <w:rStyle w:val="SpecialCharTok"/>
        </w:rPr>
        <w:t xml:space="preserve">{</w:t>
      </w:r>
      <w:r>
        <w:rPr>
          <w:rStyle w:val="NormalTok"/>
        </w:rPr>
        <w:t xml:space="preserve">g</w:t>
      </w:r>
      <w:r>
        <w:rPr>
          <w:rStyle w:val="SpecialCharTok"/>
        </w:rPr>
        <w:t xml:space="preserve">.</w:t>
      </w:r>
      <w:r>
        <w:rPr>
          <w:rStyle w:val="NormalTok"/>
        </w:rPr>
        <w:t xml:space="preserve">retry_after(</w:t>
      </w:r>
      <w:r>
        <w:rPr>
          <w:rStyle w:val="FloatTok"/>
        </w:rPr>
        <w:t xml:space="preserve">0.0</w:t>
      </w:r>
      <w:r>
        <w:rPr>
          <w:rStyle w:val="NormalTok"/>
        </w:rPr>
        <w:t xml:space="preserve">)</w:t>
      </w:r>
      <w:r>
        <w:rPr>
          <w:rStyle w:val="SpecialCharTok"/>
        </w:rPr>
        <w:t xml:space="preserve">:.2f}</w:t>
      </w:r>
      <w:r>
        <w:rPr>
          <w:rStyle w:val="SpecialStringTok"/>
        </w:rPr>
        <w:t xml:space="preserve"> s"</w:t>
      </w:r>
      <w:r>
        <w:rPr>
          <w:rStyle w:val="NormalTok"/>
        </w:rPr>
        <w:t xml:space="preserve">)</w:t>
      </w:r>
      <w:r>
        <w:br/>
      </w:r>
      <w:r>
        <w:br/>
      </w:r>
      <w:r>
        <w:rPr>
          <w:rStyle w:val="NormalTok"/>
        </w:rPr>
        <w:t xml:space="preserve">    </w:t>
      </w:r>
      <w:r>
        <w:rPr>
          <w:rStyle w:val="CommentTok"/>
        </w:rPr>
        <w:t xml:space="preserve"># Equivalence check on 100,000 random arrivals (Poisson, average 14 RPS)</w:t>
      </w:r>
      <w:r>
        <w:br/>
      </w:r>
      <w:r>
        <w:rPr>
          <w:rStyle w:val="NormalTok"/>
        </w:rPr>
        <w:t xml:space="preserve">    rng </w:t>
      </w:r>
      <w:r>
        <w:rPr>
          <w:rStyle w:val="OperatorTok"/>
        </w:rPr>
        <w:t xml:space="preserve">=</w:t>
      </w:r>
      <w:r>
        <w:rPr>
          <w:rStyle w:val="NormalTok"/>
        </w:rPr>
        <w:t xml:space="preserve"> random.Random(</w:t>
      </w:r>
      <w:r>
        <w:rPr>
          <w:rStyle w:val="DecValTok"/>
        </w:rPr>
        <w:t xml:space="preserve">7</w:t>
      </w:r>
      <w:r>
        <w:rPr>
          <w:rStyle w:val="NormalTok"/>
        </w:rPr>
        <w:t xml:space="preserve">)</w:t>
      </w:r>
      <w:r>
        <w:br/>
      </w:r>
      <w:r>
        <w:rPr>
          <w:rStyle w:val="NormalTok"/>
        </w:rPr>
        <w:t xml:space="preserve">    times, t </w:t>
      </w:r>
      <w:r>
        <w:rPr>
          <w:rStyle w:val="OperatorTok"/>
        </w:rPr>
        <w:t xml:space="preserve">=</w:t>
      </w:r>
      <w:r>
        <w:rPr>
          <w:rStyle w:val="NormalTok"/>
        </w:rPr>
        <w:t xml:space="preserve"> [], </w:t>
      </w:r>
      <w:r>
        <w:rPr>
          <w:rStyle w:val="FloatTok"/>
        </w:rPr>
        <w:t xml:space="preserve">0.0</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100_000</w:t>
      </w:r>
      <w:r>
        <w:rPr>
          <w:rStyle w:val="NormalTok"/>
        </w:rPr>
        <w:t xml:space="preserve">):</w:t>
      </w:r>
      <w:r>
        <w:br/>
      </w:r>
      <w:r>
        <w:rPr>
          <w:rStyle w:val="NormalTok"/>
        </w:rPr>
        <w:t xml:space="preserve">        t </w:t>
      </w:r>
      <w:r>
        <w:rPr>
          <w:rStyle w:val="OperatorTok"/>
        </w:rPr>
        <w:t xml:space="preserve">+=</w:t>
      </w:r>
      <w:r>
        <w:rPr>
          <w:rStyle w:val="NormalTok"/>
        </w:rPr>
        <w:t xml:space="preserve"> rng.expovariate(</w:t>
      </w:r>
      <w:r>
        <w:rPr>
          <w:rStyle w:val="FloatTok"/>
        </w:rPr>
        <w:t xml:space="preserve">14.0</w:t>
      </w:r>
      <w:r>
        <w:rPr>
          <w:rStyle w:val="NormalTok"/>
        </w:rPr>
        <w:t xml:space="preserve">)</w:t>
      </w:r>
      <w:r>
        <w:br/>
      </w:r>
      <w:r>
        <w:rPr>
          <w:rStyle w:val="NormalTok"/>
        </w:rPr>
        <w:t xml:space="preserve">        times.append(t)</w:t>
      </w:r>
      <w:r>
        <w:br/>
      </w:r>
      <w:r>
        <w:rPr>
          <w:rStyle w:val="NormalTok"/>
        </w:rPr>
        <w:t xml:space="preserve">    g </w:t>
      </w:r>
      <w:r>
        <w:rPr>
          <w:rStyle w:val="OperatorTok"/>
        </w:rPr>
        <w:t xml:space="preserve">=</w:t>
      </w:r>
      <w:r>
        <w:rPr>
          <w:rStyle w:val="NormalTok"/>
        </w:rPr>
        <w:t xml:space="preserve"> GCRA(rate</w:t>
      </w:r>
      <w:r>
        <w:rPr>
          <w:rStyle w:val="OperatorTok"/>
        </w:rPr>
        <w:t xml:space="preserve">=</w:t>
      </w:r>
      <w:r>
        <w:rPr>
          <w:rStyle w:val="DecValTok"/>
        </w:rPr>
        <w:t xml:space="preserve">10</w:t>
      </w:r>
      <w:r>
        <w:rPr>
          <w:rStyle w:val="NormalTok"/>
        </w:rPr>
        <w:t xml:space="preserve">, burst</w:t>
      </w:r>
      <w:r>
        <w:rPr>
          <w:rStyle w:val="OperatorTok"/>
        </w:rPr>
        <w:t xml:space="preserve">=</w:t>
      </w:r>
      <w:r>
        <w:rPr>
          <w:rStyle w:val="DecValTok"/>
        </w:rPr>
        <w:t xml:space="preserve">20</w:t>
      </w:r>
      <w:r>
        <w:rPr>
          <w:rStyle w:val="NormalTok"/>
        </w:rPr>
        <w:t xml:space="preserve">)</w:t>
      </w:r>
      <w:r>
        <w:br/>
      </w:r>
      <w:r>
        <w:rPr>
          <w:rStyle w:val="NormalTok"/>
        </w:rPr>
        <w:t xml:space="preserve">    gcra </w:t>
      </w:r>
      <w:r>
        <w:rPr>
          <w:rStyle w:val="OperatorTok"/>
        </w:rPr>
        <w:t xml:space="preserve">=</w:t>
      </w:r>
      <w:r>
        <w:rPr>
          <w:rStyle w:val="NormalTok"/>
        </w:rPr>
        <w:t xml:space="preserve"> [g.try_acquire(x) </w:t>
      </w:r>
      <w:r>
        <w:rPr>
          <w:rStyle w:val="ControlFlowTok"/>
        </w:rPr>
        <w:t xml:space="preserve">for</w:t>
      </w:r>
      <w:r>
        <w:rPr>
          <w:rStyle w:val="NormalTok"/>
        </w:rPr>
        <w:t xml:space="preserve"> x </w:t>
      </w:r>
      <w:r>
        <w:rPr>
          <w:rStyle w:val="KeywordTok"/>
        </w:rPr>
        <w:t xml:space="preserve">in</w:t>
      </w:r>
      <w:r>
        <w:rPr>
          <w:rStyle w:val="NormalTok"/>
        </w:rPr>
        <w:t xml:space="preserve"> times]</w:t>
      </w:r>
      <w:r>
        <w:br/>
      </w:r>
      <w:r>
        <w:rPr>
          <w:rStyle w:val="NormalTok"/>
        </w:rPr>
        <w:t xml:space="preserve">    tb </w:t>
      </w:r>
      <w:r>
        <w:rPr>
          <w:rStyle w:val="OperatorTok"/>
        </w:rPr>
        <w:t xml:space="preserve">=</w:t>
      </w:r>
      <w:r>
        <w:rPr>
          <w:rStyle w:val="NormalTok"/>
        </w:rPr>
        <w:t xml:space="preserve"> token_bucket_decisions(</w:t>
      </w:r>
      <w:r>
        <w:rPr>
          <w:rStyle w:val="DecValTok"/>
        </w:rPr>
        <w:t xml:space="preserve">10</w:t>
      </w:r>
      <w:r>
        <w:rPr>
          <w:rStyle w:val="NormalTok"/>
        </w:rPr>
        <w:t xml:space="preserve">, </w:t>
      </w:r>
      <w:r>
        <w:rPr>
          <w:rStyle w:val="DecValTok"/>
        </w:rPr>
        <w:t xml:space="preserve">20</w:t>
      </w:r>
      <w:r>
        <w:rPr>
          <w:rStyle w:val="NormalTok"/>
        </w:rPr>
        <w:t xml:space="preserve">, times)</w:t>
      </w:r>
      <w:r>
        <w:br/>
      </w:r>
      <w:r>
        <w:rPr>
          <w:rStyle w:val="NormalTok"/>
        </w:rPr>
        <w:t xml:space="preserve">    mismatches </w:t>
      </w:r>
      <w:r>
        <w:rPr>
          <w:rStyle w:val="OperatorTok"/>
        </w:rPr>
        <w:t xml:space="preserve">=</w:t>
      </w:r>
      <w:r>
        <w:rPr>
          <w:rStyle w:val="NormalTok"/>
        </w:rPr>
        <w:t xml:space="preserve"> </w:t>
      </w:r>
      <w:r>
        <w:rPr>
          <w:rStyle w:val="BuiltInTok"/>
        </w:rPr>
        <w:t xml:space="preserve">sum</w:t>
      </w:r>
      <w:r>
        <w:rPr>
          <w:rStyle w:val="NormalTok"/>
        </w:rPr>
        <w:t xml:space="preserve">(a </w:t>
      </w:r>
      <w:r>
        <w:rPr>
          <w:rStyle w:val="OperatorTok"/>
        </w:rPr>
        <w:t xml:space="preserve">!=</w:t>
      </w:r>
      <w:r>
        <w:rPr>
          <w:rStyle w:val="NormalTok"/>
        </w:rPr>
        <w:t xml:space="preserve"> b </w:t>
      </w:r>
      <w:r>
        <w:rPr>
          <w:rStyle w:val="ControlFlowTok"/>
        </w:rPr>
        <w:t xml:space="preserve">for</w:t>
      </w:r>
      <w:r>
        <w:rPr>
          <w:rStyle w:val="NormalTok"/>
        </w:rPr>
        <w:t xml:space="preserve"> a, b </w:t>
      </w:r>
      <w:r>
        <w:rPr>
          <w:rStyle w:val="KeywordTok"/>
        </w:rPr>
        <w:t xml:space="preserve">in</w:t>
      </w:r>
      <w:r>
        <w:rPr>
          <w:rStyle w:val="NormalTok"/>
        </w:rPr>
        <w:t xml:space="preserve"> </w:t>
      </w:r>
      <w:r>
        <w:rPr>
          <w:rStyle w:val="BuiltInTok"/>
        </w:rPr>
        <w:t xml:space="preserve">zip</w:t>
      </w:r>
      <w:r>
        <w:rPr>
          <w:rStyle w:val="NormalTok"/>
        </w:rPr>
        <w:t xml:space="preserve">(gcra, tb))</w:t>
      </w:r>
      <w:r>
        <w:br/>
      </w:r>
      <w:r>
        <w:rPr>
          <w:rStyle w:val="NormalTok"/>
        </w:rPr>
        <w:t xml:space="preserve">    </w:t>
      </w:r>
      <w:r>
        <w:rPr>
          <w:rStyle w:val="BuiltInTok"/>
        </w:rPr>
        <w:t xml:space="preserve">print</w:t>
      </w:r>
      <w:r>
        <w:rPr>
          <w:rStyle w:val="NormalTok"/>
        </w:rPr>
        <w:t xml:space="preserve">(</w:t>
      </w:r>
      <w:r>
        <w:rPr>
          <w:rStyle w:val="SpecialStringTok"/>
        </w:rPr>
        <w:t xml:space="preserve">f"admitted: GCRA </w:t>
      </w:r>
      <w:r>
        <w:rPr>
          <w:rStyle w:val="SpecialCharTok"/>
        </w:rPr>
        <w:t xml:space="preserve">{</w:t>
      </w:r>
      <w:r>
        <w:rPr>
          <w:rStyle w:val="BuiltInTok"/>
        </w:rPr>
        <w:t xml:space="preserve">sum</w:t>
      </w:r>
      <w:r>
        <w:rPr>
          <w:rStyle w:val="NormalTok"/>
        </w:rPr>
        <w:t xml:space="preserve">(gcra)</w:t>
      </w:r>
      <w:r>
        <w:rPr>
          <w:rStyle w:val="SpecialCharTok"/>
        </w:rPr>
        <w:t xml:space="preserve">}</w:t>
      </w:r>
      <w:r>
        <w:rPr>
          <w:rStyle w:val="SpecialStringTok"/>
        </w:rPr>
        <w:t xml:space="preserve">, token bucket </w:t>
      </w:r>
      <w:r>
        <w:rPr>
          <w:rStyle w:val="SpecialCharTok"/>
        </w:rPr>
        <w:t xml:space="preserve">{</w:t>
      </w:r>
      <w:r>
        <w:rPr>
          <w:rStyle w:val="BuiltInTok"/>
        </w:rPr>
        <w:t xml:space="preserve">sum</w:t>
      </w:r>
      <w:r>
        <w:rPr>
          <w:rStyle w:val="NormalTok"/>
        </w:rPr>
        <w:t xml:space="preserve">(tb)</w:t>
      </w:r>
      <w:r>
        <w:rPr>
          <w:rStyle w:val="SpecialCharTok"/>
        </w:rPr>
        <w:t xml:space="preserve">}</w:t>
      </w:r>
      <w:r>
        <w:rPr>
          <w:rStyle w:val="SpecialStringTok"/>
        </w:rPr>
        <w:t xml:space="preserve">; "</w:t>
      </w:r>
      <w:r>
        <w:br/>
      </w:r>
      <w:r>
        <w:rPr>
          <w:rStyle w:val="NormalTok"/>
        </w:rPr>
        <w:t xml:space="preserve">          </w:t>
      </w:r>
      <w:r>
        <w:rPr>
          <w:rStyle w:val="SpecialStringTok"/>
        </w:rPr>
        <w:t xml:space="preserve">f"decisions that differ: </w:t>
      </w:r>
      <w:r>
        <w:rPr>
          <w:rStyle w:val="SpecialCharTok"/>
        </w:rPr>
        <w:t xml:space="preserve">{</w:t>
      </w:r>
      <w:r>
        <w:rPr>
          <w:rStyle w:val="NormalTok"/>
        </w:rPr>
        <w:t xml:space="preserve">mismatches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BuiltInTok"/>
        </w:rPr>
        <w:t xml:space="preserve">sum</w:t>
      </w:r>
      <w:r>
        <w:rPr>
          <w:rStyle w:val="NormalTok"/>
        </w:rPr>
        <w:t xml:space="preserve">(burst) </w:t>
      </w:r>
      <w:r>
        <w:rPr>
          <w:rStyle w:val="OperatorTok"/>
        </w:rPr>
        <w:t xml:space="preserve">==</w:t>
      </w:r>
      <w:r>
        <w:rPr>
          <w:rStyle w:val="NormalTok"/>
        </w:rPr>
        <w:t xml:space="preserve"> </w:t>
      </w:r>
      <w:r>
        <w:rPr>
          <w:rStyle w:val="DecValTok"/>
        </w:rPr>
        <w:t xml:space="preserve">20</w:t>
      </w:r>
      <w:r>
        <w:rPr>
          <w:rStyle w:val="NormalTok"/>
        </w:rPr>
        <w:t xml:space="preserve"> </w:t>
      </w:r>
      <w:r>
        <w:rPr>
          <w:rStyle w:val="KeywordTok"/>
        </w:rPr>
        <w:t xml:space="preserve">and</w:t>
      </w:r>
      <w:r>
        <w:rPr>
          <w:rStyle w:val="NormalTok"/>
        </w:rPr>
        <w:t xml:space="preserve"> mismatches </w:t>
      </w:r>
      <w:r>
        <w:rPr>
          <w:rStyle w:val="OperatorTok"/>
        </w:rPr>
        <w:t xml:space="preserve">==</w:t>
      </w:r>
      <w:r>
        <w:rPr>
          <w:rStyle w:val="NormalTok"/>
        </w:rPr>
        <w:t xml:space="preserve"> </w:t>
      </w:r>
      <w:r>
        <w:rPr>
          <w:rStyle w:val="DecValTok"/>
        </w:rPr>
        <w:t xml:space="preserve">0</w:t>
      </w:r>
    </w:p>
    <w:p>
      <w:pPr>
        <w:pStyle w:val="FirstParagraph"/>
      </w:pPr>
      <w:r>
        <w:t xml:space="preserve">Output:</w:t>
      </w:r>
    </w:p>
    <w:p>
      <w:pPr>
        <w:pStyle w:val="SourceCode"/>
      </w:pPr>
      <w:r>
        <w:rPr>
          <w:rStyle w:val="VerbatimChar"/>
        </w:rPr>
        <w:t xml:space="preserve">burst of 50 at t=0: admitted 20, retry after 0.10 s</w:t>
      </w:r>
      <w:r>
        <w:br/>
      </w:r>
      <w:r>
        <w:rPr>
          <w:rStyle w:val="VerbatimChar"/>
        </w:rPr>
        <w:t xml:space="preserve">admitted: GCRA 71137, token bucket 71137; decisions that differ: 0</w:t>
      </w:r>
    </w:p>
    <w:p>
      <w:pPr>
        <w:pStyle w:val="FirstParagraph"/>
      </w:pPr>
      <w:r>
        <w:t xml:space="preserve">What to notice:</w:t>
      </w:r>
    </w:p>
    <w:p>
      <w:pPr>
        <w:numPr>
          <w:ilvl w:val="0"/>
          <w:numId w:val="1719"/>
        </w:numPr>
        <w:pStyle w:val="Compact"/>
      </w:pPr>
      <w:r>
        <w:t xml:space="preserve">Identical decisions on 100,000 arrivals: GCRA with</w:t>
      </w:r>
      <w:r>
        <w:t xml:space="preserve"> </w:t>
      </w:r>
      <m:oMath>
        <m:r>
          <m:t>τ</m:t>
        </m:r>
        <m:r>
          <m:rPr>
            <m:sty m:val="p"/>
          </m:rPr>
          <m:t>=</m:t>
        </m:r>
        <m:d>
          <m:dPr>
            <m:begChr m:val="("/>
            <m:endChr m:val=")"/>
            <m:sepChr m:val=""/>
            <m:grow/>
          </m:dPr>
          <m:e>
            <m:r>
              <m:t>b</m:t>
            </m:r>
            <m:r>
              <m:rPr>
                <m:sty m:val="p"/>
              </m:rPr>
              <m:t>−</m:t>
            </m:r>
            <m:r>
              <m:t>1</m:t>
            </m:r>
          </m:e>
        </m:d>
        <m:r>
          <m:rPr>
            <m:sty m:val="p"/>
          </m:rPr>
          <m:t>/</m:t>
        </m:r>
        <m:r>
          <m:t>r</m:t>
        </m:r>
      </m:oMath>
      <w:r>
        <w:t xml:space="preserve"> </w:t>
      </w:r>
      <w:r>
        <w:rPr>
          <w:iCs/>
          <w:i/>
        </w:rPr>
        <w:t xml:space="preserve">is</w:t>
      </w:r>
      <w:r>
        <w:t xml:space="preserve"> </w:t>
      </w:r>
      <w:r>
        <w:t xml:space="preserve">a token bucket of capacity</w:t>
      </w:r>
      <w:r>
        <w:t xml:space="preserve"> </w:t>
      </w:r>
      <m:oMath>
        <m:r>
          <m:t>b</m:t>
        </m:r>
      </m:oMath>
      <w:r>
        <w:t xml:space="preserve">.</w:t>
      </w:r>
    </w:p>
    <w:p>
      <w:pPr>
        <w:numPr>
          <w:ilvl w:val="0"/>
          <w:numId w:val="1719"/>
        </w:numPr>
        <w:pStyle w:val="Compact"/>
      </w:pPr>
      <w:r>
        <w:t xml:space="preserve">Integer nanoseconds matter: a floating-point version admitted only 19, because repeated addition of 0.1 slightly exceeded 1.9.</w:t>
      </w:r>
    </w:p>
    <w:p>
      <w:pPr>
        <w:numPr>
          <w:ilvl w:val="0"/>
          <w:numId w:val="1719"/>
        </w:numPr>
        <w:pStyle w:val="Compact"/>
      </w:pPr>
      <w:r>
        <w:rPr>
          <w:rStyle w:val="VerbatimChar"/>
        </w:rPr>
        <w:t xml:space="preserve">max(self.tat, now)</w:t>
      </w:r>
      <w:r>
        <w:t xml:space="preserve"> </w:t>
      </w:r>
      <w:r>
        <w:t xml:space="preserve">stops an idle client banking more than the burst.</w:t>
      </w:r>
    </w:p>
    <w:bookmarkStart w:id="2469" w:name="alternatives-and-trade-offs-10"/>
    <w:p>
      <w:pPr>
        <w:pStyle w:val="Heading4"/>
      </w:pPr>
      <w:r>
        <w:t xml:space="preserve">Alternatives and trade-offs</w:t>
      </w:r>
    </w:p>
    <w:p>
      <w:pPr>
        <w:pStyle w:val="FirstParagraph"/>
      </w:pPr>
      <w:r>
        <w:t xml:space="preserve">Use the</w:t>
      </w:r>
      <w:r>
        <w:t xml:space="preserve"> </w:t>
      </w:r>
      <w:r>
        <w:rPr>
          <w:bCs/>
          <w:b/>
        </w:rPr>
        <w:t xml:space="preserve">queue form</w:t>
      </w:r>
      <w:r>
        <w:t xml:space="preserve"> </w:t>
      </w:r>
      <w:r>
        <w:t xml:space="preserve">only when the downstream needs smooth arrivals and callers can wait, keeping</w:t>
      </w:r>
      <w:r>
        <w:t xml:space="preserve"> </w:t>
      </w:r>
      <m:oMath>
        <m:r>
          <m:t>Q</m:t>
        </m:r>
        <m:r>
          <m:rPr>
            <m:sty m:val="p"/>
          </m:rPr>
          <m:t>/</m:t>
        </m:r>
        <m:r>
          <m:t>r</m:t>
        </m:r>
      </m:oMath>
      <w:r>
        <w:t xml:space="preserve"> </w:t>
      </w:r>
      <w:r>
        <w:t xml:space="preserve">below their timeout (§22.10); use the</w:t>
      </w:r>
      <w:r>
        <w:t xml:space="preserve"> </w:t>
      </w:r>
      <w:r>
        <w:rPr>
          <w:bCs/>
          <w:b/>
        </w:rPr>
        <w:t xml:space="preserve">meter form</w:t>
      </w:r>
      <w:r>
        <w:t xml:space="preserve"> </w:t>
      </w:r>
      <w:r>
        <w:t xml:space="preserve">for API admission.</w:t>
      </w:r>
    </w:p>
    <w:p>
      <w:pPr>
        <w:pStyle w:val="CalloutMistake"/>
      </w:pPr>
      <w:r>
        <w:rPr>
          <w:bCs/>
          <w:b/>
        </w:rPr>
        <w:t xml:space="preserve">COMMON MISTAKE</w:t>
      </w:r>
    </w:p>
    <w:p>
      <w:pPr>
        <w:pStyle w:val="CalloutMistake"/>
      </w:pPr>
      <w:r>
        <w:rPr>
          <w:bCs/>
          <w:b/>
        </w:rPr>
        <w:t xml:space="preserve">Mistake — Treating</w:t>
      </w:r>
      <w:r>
        <w:rPr>
          <w:bCs/>
          <w:b/>
        </w:rPr>
        <w:t xml:space="preserve"> </w:t>
      </w:r>
      <w:r>
        <w:rPr>
          <w:bCs/>
          <w:b/>
        </w:rPr>
        <w:t xml:space="preserve">“</w:t>
      </w:r>
      <w:r>
        <w:rPr>
          <w:bCs/>
          <w:b/>
        </w:rPr>
        <w:t xml:space="preserve">leaky bucket</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token bucket</w:t>
      </w:r>
      <w:r>
        <w:rPr>
          <w:bCs/>
          <w:b/>
        </w:rPr>
        <w:t xml:space="preserve">”</w:t>
      </w:r>
      <w:r>
        <w:rPr>
          <w:bCs/>
          <w:b/>
        </w:rPr>
        <w:t xml:space="preserve"> </w:t>
      </w:r>
      <w:r>
        <w:rPr>
          <w:bCs/>
          <w:b/>
        </w:rPr>
        <w:t xml:space="preserve">as rivals.</w:t>
      </w:r>
      <w:r>
        <w:t xml:space="preserve"> </w:t>
      </w:r>
      <w:r>
        <w:t xml:space="preserve">The meter form and the token bucket are the same policy. The real distinction is</w:t>
      </w:r>
      <w:r>
        <w:t xml:space="preserve"> </w:t>
      </w:r>
      <w:r>
        <w:rPr>
          <w:iCs/>
          <w:i/>
        </w:rPr>
        <w:t xml:space="preserve">shaping</w:t>
      </w:r>
      <w:r>
        <w:t xml:space="preserve"> </w:t>
      </w:r>
      <w:r>
        <w:t xml:space="preserve">(queue and delay) versus</w:t>
      </w:r>
      <w:r>
        <w:t xml:space="preserve"> </w:t>
      </w:r>
      <w:r>
        <w:rPr>
          <w:iCs/>
          <w:i/>
        </w:rPr>
        <w:t xml:space="preserve">policing</w:t>
      </w:r>
      <w:r>
        <w:t xml:space="preserve"> </w:t>
      </w:r>
      <w:r>
        <w:t xml:space="preserve">(admit or reject); ask which one is meant.</w:t>
      </w:r>
    </w:p>
    <w:bookmarkEnd w:id="2469"/>
    <w:bookmarkEnd w:id="2470"/>
    <w:bookmarkEnd w:id="2471"/>
    <w:bookmarkStart w:id="2477" w:name="fixed-window"/>
    <w:p>
      <w:pPr>
        <w:pStyle w:val="Heading2"/>
      </w:pPr>
      <w:r>
        <w:t xml:space="preserve">22.6 Fixed window</w:t>
      </w:r>
    </w:p>
    <w:bookmarkStart w:id="2476" w:name="counting-per-calendar-window"/>
    <w:p>
      <w:pPr>
        <w:pStyle w:val="Heading3"/>
      </w:pPr>
      <w:r>
        <w:t xml:space="preserve">22.6.1 Counting per calendar window</w:t>
      </w:r>
    </w:p>
    <w:p>
      <w:pPr>
        <w:pStyle w:val="CalloutDefinition"/>
      </w:pPr>
      <w:r>
        <w:rPr>
          <w:bCs/>
          <w:b/>
        </w:rPr>
        <w:t xml:space="preserve">DEFINITION</w:t>
      </w:r>
    </w:p>
    <w:p>
      <w:pPr>
        <w:pStyle w:val="CalloutDefinition"/>
      </w:pPr>
      <w:r>
        <w:rPr>
          <w:bCs/>
          <w:b/>
        </w:rPr>
        <w:t xml:space="preserve">Definition — Fixed window counter.</w:t>
      </w:r>
      <w:r>
        <w:t xml:space="preserve"> </w:t>
      </w:r>
      <w:r>
        <w:t xml:space="preserve">A limiter that divides time into aligned windows of length</w:t>
      </w:r>
      <w:r>
        <w:t xml:space="preserve"> </w:t>
      </w:r>
      <m:oMath>
        <m:r>
          <m:t>W</m:t>
        </m:r>
      </m:oMath>
      <w:r>
        <w:t xml:space="preserve"> </w:t>
      </w:r>
      <w:r>
        <w:t xml:space="preserve">(for example each clock minute), keeps one counter per key per window, and admits a request if the current window’s counter is below the limit</w:t>
      </w:r>
      <w:r>
        <w:t xml:space="preserve"> </w:t>
      </w:r>
      <m:oMath>
        <m:r>
          <m:t>L</m:t>
        </m:r>
      </m:oMath>
      <w:r>
        <w:t xml:space="preserve">. The counter resets at each window boundary.</w:t>
      </w:r>
    </w:p>
    <w:bookmarkStart w:id="2475" w:name="how-it-works-internally-87"/>
    <w:p>
      <w:pPr>
        <w:pStyle w:val="Heading4"/>
      </w:pPr>
      <w:r>
        <w:t xml:space="preserve">How it works internally</w:t>
      </w:r>
    </w:p>
    <w:p>
      <w:pPr>
        <w:numPr>
          <w:ilvl w:val="0"/>
          <w:numId w:val="1720"/>
        </w:numPr>
        <w:pStyle w:val="Compact"/>
      </w:pPr>
      <w:r>
        <w:t xml:space="preserve">Window index</w:t>
      </w:r>
      <w:r>
        <w:t xml:space="preserve"> </w:t>
      </w:r>
      <m:oMath>
        <m:r>
          <m:rPr>
            <m:sty m:val="p"/>
          </m:rPr>
          <m:t>=</m:t>
        </m:r>
        <m:r>
          <m:rPr>
            <m:sty m:val="p"/>
          </m:rPr>
          <m:t>⌊</m:t>
        </m:r>
        <m:r>
          <m:t>t</m:t>
        </m:r>
        <m:r>
          <m:rPr>
            <m:sty m:val="p"/>
          </m:rPr>
          <m:t>/</m:t>
        </m:r>
        <m:r>
          <m:t>W</m:t>
        </m:r>
        <m:r>
          <m:rPr>
            <m:sty m:val="p"/>
          </m:rPr>
          <m:t>⌋</m:t>
        </m:r>
      </m:oMath>
      <w:r>
        <w:t xml:space="preserve">; counter key =</w:t>
      </w:r>
      <w:r>
        <w:t xml:space="preserve"> </w:t>
      </w:r>
      <w:r>
        <w:rPr>
          <w:rStyle w:val="VerbatimChar"/>
        </w:rPr>
        <w:t xml:space="preserve">key:window_index</w:t>
      </w:r>
      <w:r>
        <w:t xml:space="preserve">.</w:t>
      </w:r>
    </w:p>
    <w:p>
      <w:pPr>
        <w:numPr>
          <w:ilvl w:val="0"/>
          <w:numId w:val="1720"/>
        </w:numPr>
        <w:pStyle w:val="Compact"/>
      </w:pPr>
      <w:r>
        <w:t xml:space="preserve">Increment the counter atomically (in Redis:</w:t>
      </w:r>
      <w:r>
        <w:t xml:space="preserve"> </w:t>
      </w:r>
      <w:r>
        <w:rPr>
          <w:rStyle w:val="VerbatimChar"/>
        </w:rPr>
        <w:t xml:space="preserve">INCR</w:t>
      </w:r>
      <w:r>
        <w:t xml:space="preserve"> </w:t>
      </w:r>
      <w:r>
        <w:t xml:space="preserve">plus</w:t>
      </w:r>
      <w:r>
        <w:t xml:space="preserve"> </w:t>
      </w:r>
      <w:r>
        <w:rPr>
          <w:rStyle w:val="VerbatimChar"/>
        </w:rPr>
        <w:t xml:space="preserve">EXPIRE</w:t>
      </w:r>
      <w:r>
        <w:t xml:space="preserve"> </w:t>
      </w:r>
      <w:r>
        <w:t xml:space="preserve">set to</w:t>
      </w:r>
      <w:r>
        <w:t xml:space="preserve"> </w:t>
      </w:r>
      <m:oMath>
        <m:r>
          <m:t>W</m:t>
        </m:r>
      </m:oMath>
      <w:r>
        <w:t xml:space="preserve">).</w:t>
      </w:r>
    </w:p>
    <w:p>
      <w:pPr>
        <w:numPr>
          <w:ilvl w:val="0"/>
          <w:numId w:val="1720"/>
        </w:numPr>
        <w:pStyle w:val="Compact"/>
      </w:pPr>
      <w:r>
        <w:t xml:space="preserve">Admit if the new value is at most</w:t>
      </w:r>
      <w:r>
        <w:t xml:space="preserve"> </w:t>
      </w:r>
      <m:oMath>
        <m:r>
          <m:t>L</m:t>
        </m:r>
      </m:oMath>
      <w:r>
        <w:t xml:space="preserve">.</w:t>
      </w:r>
    </w:p>
    <w:p>
      <w:pPr>
        <w:pStyle w:val="FirstParagraph"/>
      </w:pPr>
      <w:r>
        <w:t xml:space="preserve">It is simple (one integer, one atomic increment, automatic cleanup), but suffers the</w:t>
      </w:r>
      <w:r>
        <w:t xml:space="preserve"> </w:t>
      </w:r>
      <w:r>
        <w:rPr>
          <w:bCs/>
          <w:b/>
        </w:rPr>
        <w:t xml:space="preserve">boundary burst</w:t>
      </w:r>
      <w:r>
        <w:t xml:space="preserve">: a full quota at the end of one window and another at the start of the next.</w:t>
      </w:r>
    </w:p>
    <w:p>
      <w:pPr>
        <w:pStyle w:val="BodyText"/>
      </w:pPr>
      <w:r>
        <w:rPr>
          <w:bCs/>
          <w:b/>
        </w:rPr>
        <w:t xml:space="preserve">Figure 22.4 — The fixed-window boundary burst.</w:t>
      </w:r>
    </w:p>
    <w:p>
      <w:pPr>
        <w:pStyle w:val="BodyText"/>
      </w:pPr>
      <w:r>
        <w:drawing>
          <wp:inline>
            <wp:extent cx="5334000" cy="770974"/>
            <wp:effectExtent b="0" l="0" r="0" t="0"/>
            <wp:docPr descr="" title="" id="2473" name="Picture"/>
            <a:graphic>
              <a:graphicData uri="http://schemas.openxmlformats.org/drawingml/2006/picture">
                <pic:pic>
                  <pic:nvPicPr>
                    <pic:cNvPr descr="/home/user/System-Design/build/.cache/diagrams/88f41bff1815.png" id="2474" name="Picture"/>
                    <pic:cNvPicPr>
                      <a:picLocks noChangeArrowheads="1" noChangeAspect="1"/>
                    </pic:cNvPicPr>
                  </pic:nvPicPr>
                  <pic:blipFill>
                    <a:blip r:embed="rId2472"/>
                    <a:stretch>
                      <a:fillRect/>
                    </a:stretch>
                  </pic:blipFill>
                  <pic:spPr bwMode="auto">
                    <a:xfrm>
                      <a:off x="0" y="0"/>
                      <a:ext cx="5334000" cy="770974"/>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Two one-minute windows, limit 100 each. The client sends 100 requests in the last second of window 1 (counter reaches 100); the counter, a per-window storage record, is discarded at the boundary, so 100 more in the first second of window 2 are also admitted. The failure point is the downstream service, which receives 200 requests in two seconds; clients whose cron jobs fire on the minute produce such synchronized bursts.</w:t>
      </w:r>
    </w:p>
    <w:p>
      <w:pPr>
        <w:pStyle w:val="CalloutFormula"/>
      </w:pPr>
      <w:r>
        <w:rPr>
          <w:bCs/>
          <w:b/>
        </w:rPr>
        <w:t xml:space="preserve">FORMULA</w:t>
      </w:r>
    </w:p>
    <w:p>
      <w:pPr>
        <w:pStyle w:val="CalloutFormula"/>
      </w:pPr>
      <w:r>
        <w:rPr>
          <w:bCs/>
          <w:b/>
        </w:rPr>
        <w:t xml:space="preserve">Worst-case burst of a fixed window</w:t>
      </w:r>
    </w:p>
    <w:p>
      <w:pPr>
        <w:pStyle w:val="CalloutFormula"/>
      </w:pPr>
      <m:oMathPara>
        <m:oMathParaPr>
          <m:jc m:val="center"/>
        </m:oMathParaPr>
        <m:oMath>
          <m:sSub>
            <m:e>
              <m:r>
                <m:t>A</m:t>
              </m:r>
            </m:e>
            <m:sub>
              <m:r>
                <m:rPr>
                  <m:sty m:val="p"/>
                </m:rPr>
                <m:t>max</m:t>
              </m:r>
            </m:sub>
          </m:sSub>
          <m:d>
            <m:dPr>
              <m:begChr m:val="("/>
              <m:endChr m:val=")"/>
              <m:sepChr m:val=""/>
              <m:grow/>
            </m:dPr>
            <m:e>
              <m:r>
                <m:t>W</m:t>
              </m:r>
            </m:e>
          </m:d>
          <m:r>
            <m:rPr>
              <m:sty m:val="p"/>
            </m:rPr>
            <m:t>=</m:t>
          </m:r>
          <m:r>
            <m:t>2</m:t>
          </m:r>
          <m:r>
            <m:t>L</m:t>
          </m:r>
          <m:r>
            <m:t>  </m:t>
          </m:r>
          <m:r>
            <m:t>  </m:t>
          </m:r>
          <m:r>
            <m:rPr>
              <m:nor/>
              <m:sty m:val="p"/>
            </m:rPr>
            <m:t>peak short-term rate</m:t>
          </m:r>
          <m:r>
            <m:rPr>
              <m:sty m:val="p"/>
            </m:rPr>
            <m:t>≈</m:t>
          </m:r>
          <m:f>
            <m:fPr>
              <m:type m:val="bar"/>
            </m:fPr>
            <m:num>
              <m:r>
                <m:t>2</m:t>
              </m:r>
              <m:r>
                <m:t>L</m:t>
              </m:r>
            </m:num>
            <m:den>
              <m:r>
                <m:t>δ</m:t>
              </m:r>
            </m:den>
          </m:f>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L</m:t>
              </m:r>
            </m:oMath>
          </w:p>
        </w:tc>
        <w:tc>
          <w:tcPr/>
          <w:p>
            <w:pPr>
              <w:pStyle w:val="Compact"/>
              <w:jc w:val="left"/>
            </w:pPr>
            <w:r>
              <w:t xml:space="preserve">Limit per window</w:t>
            </w:r>
          </w:p>
        </w:tc>
        <w:tc>
          <w:tcPr/>
          <w:p>
            <w:pPr>
              <w:pStyle w:val="Compact"/>
              <w:jc w:val="left"/>
            </w:pPr>
            <w:r>
              <w:t xml:space="preserve">requests</w:t>
            </w:r>
          </w:p>
        </w:tc>
      </w:tr>
      <w:tr>
        <w:tc>
          <w:tcPr/>
          <w:p>
            <w:pPr>
              <w:pStyle w:val="Compact"/>
              <w:jc w:val="left"/>
            </w:pPr>
            <m:oMath>
              <m:r>
                <m:t>W</m:t>
              </m:r>
            </m:oMath>
          </w:p>
        </w:tc>
        <w:tc>
          <w:tcPr/>
          <w:p>
            <w:pPr>
              <w:pStyle w:val="Compact"/>
              <w:jc w:val="left"/>
            </w:pPr>
            <w:r>
              <w:t xml:space="preserve">Window length</w:t>
            </w:r>
          </w:p>
        </w:tc>
        <w:tc>
          <w:tcPr/>
          <w:p>
            <w:pPr>
              <w:pStyle w:val="Compact"/>
              <w:jc w:val="left"/>
            </w:pPr>
            <w:r>
              <w:t xml:space="preserve">s</w:t>
            </w:r>
          </w:p>
        </w:tc>
      </w:tr>
      <w:tr>
        <w:tc>
          <w:tcPr/>
          <w:p>
            <w:pPr>
              <w:pStyle w:val="Compact"/>
              <w:jc w:val="left"/>
            </w:pPr>
            <m:oMath>
              <m:sSub>
                <m:e>
                  <m:r>
                    <m:t>A</m:t>
                  </m:r>
                </m:e>
                <m:sub>
                  <m:r>
                    <m:rPr>
                      <m:sty m:val="p"/>
                    </m:rPr>
                    <m:t>max</m:t>
                  </m:r>
                </m:sub>
              </m:sSub>
              <m:d>
                <m:dPr>
                  <m:begChr m:val="("/>
                  <m:endChr m:val=")"/>
                  <m:sepChr m:val=""/>
                  <m:grow/>
                </m:dPr>
                <m:e>
                  <m:r>
                    <m:t>W</m:t>
                  </m:r>
                </m:e>
              </m:d>
            </m:oMath>
          </w:p>
        </w:tc>
        <w:tc>
          <w:tcPr/>
          <w:p>
            <w:pPr>
              <w:pStyle w:val="Compact"/>
              <w:jc w:val="left"/>
            </w:pPr>
            <w:r>
              <w:t xml:space="preserve">Most requests admitted in some interval of length</w:t>
            </w:r>
            <w:r>
              <w:t xml:space="preserve"> </w:t>
            </w:r>
            <m:oMath>
              <m:r>
                <m:t>W</m:t>
              </m:r>
            </m:oMath>
            <w:r>
              <w:t xml:space="preserve"> </w:t>
            </w:r>
            <w:r>
              <w:t xml:space="preserve">that straddles a boundary</w:t>
            </w:r>
          </w:p>
        </w:tc>
        <w:tc>
          <w:tcPr/>
          <w:p>
            <w:pPr>
              <w:pStyle w:val="Compact"/>
              <w:jc w:val="left"/>
            </w:pPr>
            <w:r>
              <w:t xml:space="preserve">requests</w:t>
            </w:r>
          </w:p>
        </w:tc>
      </w:tr>
      <w:tr>
        <w:tc>
          <w:tcPr/>
          <w:p>
            <w:pPr>
              <w:pStyle w:val="Compact"/>
              <w:jc w:val="left"/>
            </w:pPr>
            <m:oMath>
              <m:r>
                <m:t>δ</m:t>
              </m:r>
            </m:oMath>
          </w:p>
        </w:tc>
        <w:tc>
          <w:tcPr/>
          <w:p>
            <w:pPr>
              <w:pStyle w:val="Compact"/>
              <w:jc w:val="left"/>
            </w:pPr>
            <w:r>
              <w:t xml:space="preserve">Duration of the straddling burst (can be arbitrarily small)</w:t>
            </w:r>
          </w:p>
        </w:tc>
        <w:tc>
          <w:tcPr/>
          <w:p>
            <w:pPr>
              <w:pStyle w:val="Compact"/>
              <w:jc w:val="left"/>
            </w:pPr>
            <w:r>
              <w:t xml:space="preserve">s</w:t>
            </w:r>
          </w:p>
        </w:tc>
      </w:tr>
    </w:tbl>
    <w:p>
      <w:pPr>
        <w:pStyle w:val="CalloutExample"/>
      </w:pPr>
      <w:r>
        <w:rPr>
          <w:bCs/>
          <w:b/>
        </w:rPr>
        <w:t xml:space="preserve">WORKED EXAMPLE</w:t>
      </w:r>
    </w:p>
    <w:p>
      <w:pPr>
        <w:pStyle w:val="CalloutExample"/>
      </w:pPr>
      <w:r>
        <w:rPr>
          <w:bCs/>
          <w:b/>
        </w:rPr>
        <w:t xml:space="preserve">Worked example — 100 requests per minute.</w:t>
      </w:r>
    </w:p>
    <w:p>
      <w:pPr>
        <w:numPr>
          <w:ilvl w:val="0"/>
          <w:numId w:val="1721"/>
        </w:numPr>
        <w:pStyle w:val="Compact"/>
      </w:pPr>
      <w:r>
        <w:t xml:space="preserve">Intended average rate:</w:t>
      </w:r>
      <w:r>
        <w:t xml:space="preserve"> </w:t>
      </w:r>
      <m:oMath>
        <m:r>
          <m:t>100</m:t>
        </m:r>
        <m:r>
          <m:rPr>
            <m:sty m:val="p"/>
          </m:rPr>
          <m:t>/</m:t>
        </m:r>
        <m:r>
          <m:t>60</m:t>
        </m:r>
        <m:r>
          <m:rPr>
            <m:sty m:val="p"/>
          </m:rPr>
          <m:t>=</m:t>
        </m:r>
        <m:r>
          <m:t>1.67</m:t>
        </m:r>
      </m:oMath>
      <w:r>
        <w:t xml:space="preserve"> </w:t>
      </w:r>
      <w:r>
        <w:t xml:space="preserve">RPS.</w:t>
      </w:r>
    </w:p>
    <w:p>
      <w:pPr>
        <w:numPr>
          <w:ilvl w:val="0"/>
          <w:numId w:val="1721"/>
        </w:numPr>
        <w:pStyle w:val="Compact"/>
      </w:pPr>
      <w:r>
        <w:t xml:space="preserve">Client sends 100 requests during 00:59.00–00:59.99 and 100 during 01:00.00–01:00.99. All 200 are admitted (the code in §22.7 confirms it).</w:t>
      </w:r>
    </w:p>
    <w:p>
      <w:pPr>
        <w:numPr>
          <w:ilvl w:val="0"/>
          <w:numId w:val="1721"/>
        </w:numPr>
        <w:pStyle w:val="Compact"/>
      </w:pPr>
      <w:r>
        <w:t xml:space="preserve">In the 2 s interval the client achieved</w:t>
      </w:r>
      <w:r>
        <w:t xml:space="preserve"> </w:t>
      </w:r>
      <m:oMath>
        <m:r>
          <m:t>200</m:t>
        </m:r>
        <m:r>
          <m:rPr>
            <m:sty m:val="p"/>
          </m:rPr>
          <m:t>/</m:t>
        </m:r>
        <m:r>
          <m:t>2</m:t>
        </m:r>
        <m:r>
          <m:rPr>
            <m:sty m:val="p"/>
          </m:rPr>
          <m:t>=</m:t>
        </m:r>
        <m:r>
          <m:t>100</m:t>
        </m:r>
      </m:oMath>
      <w:r>
        <w:t xml:space="preserve"> </w:t>
      </w:r>
      <w:r>
        <w:t xml:space="preserve">RPS, which is</w:t>
      </w:r>
      <w:r>
        <w:t xml:space="preserve"> </w:t>
      </w:r>
      <m:oMath>
        <m:r>
          <m:t>100</m:t>
        </m:r>
        <m:r>
          <m:rPr>
            <m:sty m:val="p"/>
          </m:rPr>
          <m:t>/</m:t>
        </m:r>
        <m:r>
          <m:t>1.67</m:t>
        </m:r>
        <m:r>
          <m:rPr>
            <m:sty m:val="p"/>
          </m:rPr>
          <m:t>=</m:t>
        </m:r>
        <m:r>
          <m:t>60</m:t>
        </m:r>
      </m:oMath>
      <w:r>
        <w:t xml:space="preserve"> </w:t>
      </w:r>
      <w:r>
        <w:t xml:space="preserve">times the intended average, and any 60 s interval containing both bursts held</w:t>
      </w:r>
      <w:r>
        <w:t xml:space="preserve"> </w:t>
      </w:r>
      <m:oMath>
        <m:r>
          <m:t>2</m:t>
        </m:r>
        <m:r>
          <m:t>L</m:t>
        </m:r>
        <m:r>
          <m:rPr>
            <m:sty m:val="p"/>
          </m:rPr>
          <m:t>=</m:t>
        </m:r>
        <m:r>
          <m:t>200</m:t>
        </m:r>
      </m:oMath>
      <w:r>
        <w:t xml:space="preserve"> </w:t>
      </w:r>
      <w:r>
        <w:t xml:space="preserve">requests.</w:t>
      </w:r>
    </w:p>
    <w:p>
      <w:pPr>
        <w:pStyle w:val="CalloutExample"/>
      </w:pPr>
      <w:r>
        <w:rPr>
          <w:bCs/>
          <w:b/>
        </w:rPr>
        <w:t xml:space="preserve">Interpretation.</w:t>
      </w:r>
      <w:r>
        <w:t xml:space="preserve"> </w:t>
      </w:r>
      <w:r>
        <w:t xml:space="preserve">The limit holds per calendar window, not per sliding minute.</w:t>
      </w:r>
      <w:r>
        <w:t xml:space="preserve"> </w:t>
      </w:r>
      <w:r>
        <w:rPr>
          <w:bCs/>
          <w:b/>
        </w:rPr>
        <w:t xml:space="preserve">Engineering implication.</w:t>
      </w:r>
      <w:r>
        <w:t xml:space="preserve"> </w:t>
      </w:r>
      <w:r>
        <w:t xml:space="preserve">Use fixed windows only for coarse daily or monthly quotas; protect backends with a token bucket or sliding window.</w:t>
      </w:r>
    </w:p>
    <w:bookmarkEnd w:id="2475"/>
    <w:bookmarkEnd w:id="2476"/>
    <w:bookmarkEnd w:id="2477"/>
    <w:bookmarkStart w:id="2483" w:name="X6b76c6c434381792918051fe2a50df98e241dd2"/>
    <w:p>
      <w:pPr>
        <w:pStyle w:val="Heading2"/>
      </w:pPr>
      <w:r>
        <w:t xml:space="preserve">22.7 Sliding window log and sliding window counter</w:t>
      </w:r>
    </w:p>
    <w:bookmarkStart w:id="2478" w:name="sliding-window-log"/>
    <w:p>
      <w:pPr>
        <w:pStyle w:val="Heading3"/>
      </w:pPr>
      <w:r>
        <w:t xml:space="preserve">22.7.1 Sliding window log</w:t>
      </w:r>
    </w:p>
    <w:p>
      <w:pPr>
        <w:pStyle w:val="CalloutDefinition"/>
      </w:pPr>
      <w:r>
        <w:rPr>
          <w:bCs/>
          <w:b/>
        </w:rPr>
        <w:t xml:space="preserve">DEFINITION</w:t>
      </w:r>
    </w:p>
    <w:p>
      <w:pPr>
        <w:pStyle w:val="CalloutDefinition"/>
      </w:pPr>
      <w:r>
        <w:rPr>
          <w:bCs/>
          <w:b/>
        </w:rPr>
        <w:t xml:space="preserve">Definition — Sliding window log.</w:t>
      </w:r>
      <w:r>
        <w:t xml:space="preserve"> </w:t>
      </w:r>
      <w:r>
        <w:t xml:space="preserve">A limiter that stores the timestamp of every admitted request per key and admits a new request only if fewer than</w:t>
      </w:r>
      <w:r>
        <w:t xml:space="preserve"> </w:t>
      </w:r>
      <m:oMath>
        <m:r>
          <m:t>L</m:t>
        </m:r>
      </m:oMath>
      <w:r>
        <w:t xml:space="preserve"> </w:t>
      </w:r>
      <w:r>
        <w:t xml:space="preserve">timestamps fall in the interval</w:t>
      </w:r>
      <w:r>
        <w:t xml:space="preserve"> </w:t>
      </w:r>
      <m:oMath>
        <m:r>
          <m:rPr>
            <m:sty m:val="p"/>
          </m:rPr>
          <m:t>(</m:t>
        </m:r>
        <m:r>
          <m:t>t</m:t>
        </m:r>
        <m:r>
          <m:rPr>
            <m:sty m:val="p"/>
          </m:rPr>
          <m:t>−</m:t>
        </m:r>
        <m:r>
          <m:t>W</m:t>
        </m:r>
        <m:r>
          <m:rPr>
            <m:sty m:val="p"/>
          </m:rPr>
          <m:t>,</m:t>
        </m:r>
        <m:r>
          <m:t>t</m:t>
        </m:r>
        <m:r>
          <m:rPr>
            <m:sty m:val="p"/>
          </m:rPr>
          <m:t>]</m:t>
        </m:r>
      </m:oMath>
      <w:r>
        <w:t xml:space="preserve">.</w:t>
      </w:r>
    </w:p>
    <w:p>
      <w:pPr>
        <w:pStyle w:val="BodyText"/>
      </w:pPr>
      <w:r>
        <w:t xml:space="preserve">The log is exact (in Redis, a sorted set per key) but costs up to</w:t>
      </w:r>
      <w:r>
        <w:t xml:space="preserve"> </w:t>
      </w:r>
      <m:oMath>
        <m:r>
          <m:t>L</m:t>
        </m:r>
      </m:oMath>
      <w:r>
        <w:t xml:space="preserve"> </w:t>
      </w:r>
      <w:r>
        <w:t xml:space="preserve">timestamps per key: 1 million keys at 1,000 requests per hour need</w:t>
      </w:r>
      <w:r>
        <w:t xml:space="preserve"> </w:t>
      </w:r>
      <m:oMath>
        <m:sSup>
          <m:e>
            <m:r>
              <m:t>10</m:t>
            </m:r>
          </m:e>
          <m:sup>
            <m:r>
              <m:t>6</m:t>
            </m:r>
          </m:sup>
        </m:sSup>
        <m:r>
          <m:rPr>
            <m:sty m:val="p"/>
          </m:rPr>
          <m:t>×</m:t>
        </m:r>
        <m:r>
          <m:t>1</m:t>
        </m:r>
        <m:r>
          <m:rPr>
            <m:sty m:val="p"/>
          </m:rPr>
          <m:t>,</m:t>
        </m:r>
        <m:r>
          <m:t>000</m:t>
        </m:r>
        <m:r>
          <m:rPr>
            <m:sty m:val="p"/>
          </m:rPr>
          <m:t>×</m:t>
        </m:r>
        <m:r>
          <m:t>8</m:t>
        </m:r>
      </m:oMath>
      <w:r>
        <w:t xml:space="preserve"> </w:t>
      </w:r>
      <w:r>
        <w:t xml:space="preserve">bytes</w:t>
      </w:r>
      <w:r>
        <w:t xml:space="preserve"> </w:t>
      </w:r>
      <m:oMath>
        <m:r>
          <m:rPr>
            <m:sty m:val="p"/>
          </m:rPr>
          <m:t>=</m:t>
        </m:r>
        <m:r>
          <m:t>8</m:t>
        </m:r>
      </m:oMath>
      <w:r>
        <w:t xml:space="preserve"> </w:t>
      </w:r>
      <w:r>
        <w:t xml:space="preserve">GB raw, more with sorted-set overhead. Use it when</w:t>
      </w:r>
      <w:r>
        <w:t xml:space="preserve"> </w:t>
      </w:r>
      <m:oMath>
        <m:r>
          <m:t>L</m:t>
        </m:r>
      </m:oMath>
      <w:r>
        <w:t xml:space="preserve"> </w:t>
      </w:r>
      <w:r>
        <w:t xml:space="preserve">is small (5 login attempts per 15 minutes) or exactness is contractual.</w:t>
      </w:r>
    </w:p>
    <w:bookmarkEnd w:id="2478"/>
    <w:bookmarkStart w:id="2481" w:name="sliding-window-counter"/>
    <w:p>
      <w:pPr>
        <w:pStyle w:val="Heading3"/>
      </w:pPr>
      <w:r>
        <w:t xml:space="preserve">22.7.2 Sliding window counter</w:t>
      </w:r>
    </w:p>
    <w:p>
      <w:pPr>
        <w:pStyle w:val="CalloutDefinition"/>
      </w:pPr>
      <w:r>
        <w:rPr>
          <w:bCs/>
          <w:b/>
        </w:rPr>
        <w:t xml:space="preserve">DEFINITION</w:t>
      </w:r>
    </w:p>
    <w:p>
      <w:pPr>
        <w:pStyle w:val="CalloutDefinition"/>
      </w:pPr>
      <w:r>
        <w:rPr>
          <w:bCs/>
          <w:b/>
        </w:rPr>
        <w:t xml:space="preserve">Definition — Sliding window counter.</w:t>
      </w:r>
      <w:r>
        <w:t xml:space="preserve"> </w:t>
      </w:r>
      <w:r>
        <w:t xml:space="preserve">A limiter that keeps fixed-window counters for the current and previous windows and estimates the count over the last</w:t>
      </w:r>
      <w:r>
        <w:t xml:space="preserve"> </w:t>
      </w:r>
      <m:oMath>
        <m:r>
          <m:t>W</m:t>
        </m:r>
      </m:oMath>
      <w:r>
        <w:t xml:space="preserve"> </w:t>
      </w:r>
      <w:r>
        <w:t xml:space="preserve">seconds by weighting the previous window’s count by the fraction of it that still overlaps the sliding interval.</w:t>
      </w:r>
    </w:p>
    <w:bookmarkStart w:id="2479" w:name="first-principles-explanation-131"/>
    <w:p>
      <w:pPr>
        <w:pStyle w:val="Heading4"/>
      </w:pPr>
      <w:r>
        <w:t xml:space="preserve">First-principles explanation</w:t>
      </w:r>
    </w:p>
    <w:p>
      <w:pPr>
        <w:pStyle w:val="FirstParagraph"/>
      </w:pPr>
      <w:r>
        <w:t xml:space="preserve">You made 84 calls last hour and 36 so far this hour; it is quarter past. If last hour’s calls were spread evenly, three-quarters (63) fall inside the sliding hour, so the estimate is</w:t>
      </w:r>
      <w:r>
        <w:t xml:space="preserve"> </w:t>
      </w:r>
      <m:oMath>
        <m:r>
          <m:t>63</m:t>
        </m:r>
        <m:r>
          <m:rPr>
            <m:sty m:val="p"/>
          </m:rPr>
          <m:t>+</m:t>
        </m:r>
        <m:r>
          <m:t>36</m:t>
        </m:r>
        <m:r>
          <m:rPr>
            <m:sty m:val="p"/>
          </m:rPr>
          <m:t>=</m:t>
        </m:r>
        <m:r>
          <m:t>99</m:t>
        </m:r>
      </m:oMath>
      <w:r>
        <w:t xml:space="preserve">. The counter assumes exactly this uniformity.</w:t>
      </w:r>
    </w:p>
    <w:p>
      <w:pPr>
        <w:pStyle w:val="CalloutFormula"/>
      </w:pPr>
      <w:r>
        <w:rPr>
          <w:bCs/>
          <w:b/>
        </w:rPr>
        <w:t xml:space="preserve">FORMULA</w:t>
      </w:r>
    </w:p>
    <w:p>
      <w:pPr>
        <w:pStyle w:val="CalloutFormula"/>
      </w:pPr>
      <w:r>
        <w:rPr>
          <w:bCs/>
          <w:b/>
        </w:rPr>
        <w:t xml:space="preserve">Sliding window counter estimate</w:t>
      </w:r>
    </w:p>
    <w:p>
      <w:pPr>
        <w:pStyle w:val="CalloutFormula"/>
      </w:pPr>
      <m:oMathPara>
        <m:oMathParaPr>
          <m:jc m:val="center"/>
        </m:oMathParaPr>
        <m:oMath>
          <m:acc>
            <m:accPr>
              <m:chr m:val="̂"/>
            </m:accPr>
            <m:e>
              <m:r>
                <m:t>N</m:t>
              </m:r>
            </m:e>
          </m:acc>
          <m:d>
            <m:dPr>
              <m:begChr m:val="("/>
              <m:endChr m:val=")"/>
              <m:sepChr m:val=""/>
              <m:grow/>
            </m:dPr>
            <m:e>
              <m:r>
                <m:t>t</m:t>
              </m:r>
            </m:e>
          </m:d>
          <m:r>
            <m:rPr>
              <m:sty m:val="p"/>
            </m:rPr>
            <m:t>=</m:t>
          </m:r>
          <m:sSub>
            <m:e>
              <m:r>
                <m:t>C</m:t>
              </m:r>
            </m:e>
            <m:sub>
              <m:r>
                <m:rPr>
                  <m:nor/>
                  <m:sty m:val="p"/>
                </m:rPr>
                <m:t>prev</m:t>
              </m:r>
            </m:sub>
          </m:sSub>
          <m:r>
            <m:rPr>
              <m:sty m:val="p"/>
            </m:rPr>
            <m:t>⋅</m:t>
          </m:r>
          <m:f>
            <m:fPr>
              <m:type m:val="bar"/>
            </m:fPr>
            <m:num>
              <m:r>
                <m:t>W</m:t>
              </m:r>
              <m:r>
                <m:rPr>
                  <m:sty m:val="p"/>
                </m:rPr>
                <m:t>−</m:t>
              </m:r>
              <m:r>
                <m:t>e</m:t>
              </m:r>
            </m:num>
            <m:den>
              <m:r>
                <m:t>W</m:t>
              </m:r>
            </m:den>
          </m:f>
          <m:r>
            <m:rPr>
              <m:sty m:val="p"/>
            </m:rPr>
            <m:t>+</m:t>
          </m:r>
          <m:sSub>
            <m:e>
              <m:r>
                <m:t>C</m:t>
              </m:r>
            </m:e>
            <m:sub>
              <m:r>
                <m:rPr>
                  <m:nor/>
                  <m:sty m:val="p"/>
                </m:rPr>
                <m:t>curr</m:t>
              </m:r>
            </m:sub>
          </m:sSub>
          <m:r>
            <m:rPr>
              <m:sty m:val="p"/>
            </m:rPr>
            <m:t>,</m:t>
          </m:r>
          <m:r>
            <m:t>  </m:t>
          </m:r>
          <m:r>
            <m:rPr>
              <m:nor/>
              <m:sty m:val="p"/>
            </m:rPr>
            <m:t>admit if </m:t>
          </m:r>
          <m:acc>
            <m:accPr>
              <m:chr m:val="̂"/>
            </m:accPr>
            <m:e>
              <m:r>
                <m:t>N</m:t>
              </m:r>
            </m:e>
          </m:acc>
          <m:d>
            <m:dPr>
              <m:begChr m:val="("/>
              <m:endChr m:val=")"/>
              <m:sepChr m:val=""/>
              <m:grow/>
            </m:dPr>
            <m:e>
              <m:r>
                <m:t>t</m:t>
              </m:r>
            </m:e>
          </m:d>
          <m:r>
            <m:rPr>
              <m:sty m:val="p"/>
            </m:rPr>
            <m:t>+</m:t>
          </m:r>
          <m:r>
            <m:t>1</m:t>
          </m:r>
          <m:r>
            <m:rPr>
              <m:sty m:val="p"/>
            </m:rPr>
            <m:t>≤</m:t>
          </m:r>
          <m:r>
            <m:t>L</m:t>
          </m:r>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acc>
                <m:accPr>
                  <m:chr m:val="̂"/>
                </m:accPr>
                <m:e>
                  <m:r>
                    <m:t>N</m:t>
                  </m:r>
                </m:e>
              </m:acc>
              <m:d>
                <m:dPr>
                  <m:begChr m:val="("/>
                  <m:endChr m:val=")"/>
                  <m:sepChr m:val=""/>
                  <m:grow/>
                </m:dPr>
                <m:e>
                  <m:r>
                    <m:t>t</m:t>
                  </m:r>
                </m:e>
              </m:d>
            </m:oMath>
          </w:p>
        </w:tc>
        <w:tc>
          <w:tcPr/>
          <w:p>
            <w:pPr>
              <w:pStyle w:val="Compact"/>
              <w:jc w:val="left"/>
            </w:pPr>
            <w:r>
              <w:t xml:space="preserve">Estimated requests in the sliding interval</w:t>
            </w:r>
            <w:r>
              <w:t xml:space="preserve"> </w:t>
            </w:r>
            <m:oMath>
              <m:r>
                <m:rPr>
                  <m:sty m:val="p"/>
                </m:rPr>
                <m:t>(</m:t>
              </m:r>
              <m:r>
                <m:t>t</m:t>
              </m:r>
              <m:r>
                <m:rPr>
                  <m:sty m:val="p"/>
                </m:rPr>
                <m:t>−</m:t>
              </m:r>
              <m:r>
                <m:t>W</m:t>
              </m:r>
              <m:r>
                <m:rPr>
                  <m:sty m:val="p"/>
                </m:rPr>
                <m:t>,</m:t>
              </m:r>
              <m:r>
                <m:t>t</m:t>
              </m:r>
              <m:r>
                <m:rPr>
                  <m:sty m:val="p"/>
                </m:rPr>
                <m:t>]</m:t>
              </m:r>
            </m:oMath>
          </w:p>
        </w:tc>
        <w:tc>
          <w:tcPr/>
          <w:p>
            <w:pPr>
              <w:pStyle w:val="Compact"/>
              <w:jc w:val="left"/>
            </w:pPr>
            <w:r>
              <w:t xml:space="preserve">requests</w:t>
            </w:r>
          </w:p>
        </w:tc>
      </w:tr>
      <w:tr>
        <w:tc>
          <w:tcPr/>
          <w:p>
            <w:pPr>
              <w:pStyle w:val="Compact"/>
              <w:jc w:val="left"/>
            </w:pPr>
            <m:oMath>
              <m:sSub>
                <m:e>
                  <m:r>
                    <m:t>C</m:t>
                  </m:r>
                </m:e>
                <m:sub>
                  <m:r>
                    <m:rPr>
                      <m:nor/>
                      <m:sty m:val="p"/>
                    </m:rPr>
                    <m:t>prev</m:t>
                  </m:r>
                </m:sub>
              </m:sSub>
            </m:oMath>
          </w:p>
        </w:tc>
        <w:tc>
          <w:tcPr/>
          <w:p>
            <w:pPr>
              <w:pStyle w:val="Compact"/>
              <w:jc w:val="left"/>
            </w:pPr>
            <w:r>
              <w:t xml:space="preserve">Count in the previous fixed window</w:t>
            </w:r>
          </w:p>
        </w:tc>
        <w:tc>
          <w:tcPr/>
          <w:p>
            <w:pPr>
              <w:pStyle w:val="Compact"/>
              <w:jc w:val="left"/>
            </w:pPr>
            <w:r>
              <w:t xml:space="preserve">requests</w:t>
            </w:r>
          </w:p>
        </w:tc>
      </w:tr>
      <w:tr>
        <w:tc>
          <w:tcPr/>
          <w:p>
            <w:pPr>
              <w:pStyle w:val="Compact"/>
              <w:jc w:val="left"/>
            </w:pPr>
            <m:oMath>
              <m:sSub>
                <m:e>
                  <m:r>
                    <m:t>C</m:t>
                  </m:r>
                </m:e>
                <m:sub>
                  <m:r>
                    <m:rPr>
                      <m:nor/>
                      <m:sty m:val="p"/>
                    </m:rPr>
                    <m:t>curr</m:t>
                  </m:r>
                </m:sub>
              </m:sSub>
            </m:oMath>
          </w:p>
        </w:tc>
        <w:tc>
          <w:tcPr/>
          <w:p>
            <w:pPr>
              <w:pStyle w:val="Compact"/>
              <w:jc w:val="left"/>
            </w:pPr>
            <w:r>
              <w:t xml:space="preserve">Count so far in the current fixed window</w:t>
            </w:r>
          </w:p>
        </w:tc>
        <w:tc>
          <w:tcPr/>
          <w:p>
            <w:pPr>
              <w:pStyle w:val="Compact"/>
              <w:jc w:val="left"/>
            </w:pPr>
            <w:r>
              <w:t xml:space="preserve">requests</w:t>
            </w:r>
          </w:p>
        </w:tc>
      </w:tr>
      <w:tr>
        <w:tc>
          <w:tcPr/>
          <w:p>
            <w:pPr>
              <w:pStyle w:val="Compact"/>
              <w:jc w:val="left"/>
            </w:pPr>
            <m:oMath>
              <m:r>
                <m:t>e</m:t>
              </m:r>
            </m:oMath>
          </w:p>
        </w:tc>
        <w:tc>
          <w:tcPr/>
          <w:p>
            <w:pPr>
              <w:pStyle w:val="Compact"/>
              <w:jc w:val="left"/>
            </w:pPr>
            <w:r>
              <w:t xml:space="preserve">Time elapsed since the current window started</w:t>
            </w:r>
          </w:p>
        </w:tc>
        <w:tc>
          <w:tcPr/>
          <w:p>
            <w:pPr>
              <w:pStyle w:val="Compact"/>
              <w:jc w:val="left"/>
            </w:pPr>
            <w:r>
              <w:t xml:space="preserve">s</w:t>
            </w:r>
          </w:p>
        </w:tc>
      </w:tr>
      <w:tr>
        <w:tc>
          <w:tcPr/>
          <w:p>
            <w:pPr>
              <w:pStyle w:val="Compact"/>
              <w:jc w:val="left"/>
            </w:pPr>
            <m:oMath>
              <m:r>
                <m:t>W</m:t>
              </m:r>
            </m:oMath>
          </w:p>
        </w:tc>
        <w:tc>
          <w:tcPr/>
          <w:p>
            <w:pPr>
              <w:pStyle w:val="Compact"/>
              <w:jc w:val="left"/>
            </w:pPr>
            <w:r>
              <w:t xml:space="preserve">Window length</w:t>
            </w:r>
          </w:p>
        </w:tc>
        <w:tc>
          <w:tcPr/>
          <w:p>
            <w:pPr>
              <w:pStyle w:val="Compact"/>
              <w:jc w:val="left"/>
            </w:pPr>
            <w:r>
              <w:t xml:space="preserve">s</w:t>
            </w:r>
          </w:p>
        </w:tc>
      </w:tr>
      <w:tr>
        <w:tc>
          <w:tcPr/>
          <w:p>
            <w:pPr>
              <w:pStyle w:val="Compact"/>
              <w:jc w:val="left"/>
            </w:pPr>
            <m:oMath>
              <m:r>
                <m:t>L</m:t>
              </m:r>
            </m:oMath>
          </w:p>
        </w:tc>
        <w:tc>
          <w:tcPr/>
          <w:p>
            <w:pPr>
              <w:pStyle w:val="Compact"/>
              <w:jc w:val="left"/>
            </w:pPr>
            <w:r>
              <w:t xml:space="preserve">Limit per sliding window</w:t>
            </w:r>
          </w:p>
        </w:tc>
        <w:tc>
          <w:tcPr/>
          <w:p>
            <w:pPr>
              <w:pStyle w:val="Compact"/>
              <w:jc w:val="left"/>
            </w:pPr>
            <w:r>
              <w:t xml:space="preserve">requests</w:t>
            </w:r>
          </w:p>
        </w:tc>
      </w:tr>
    </w:tbl>
    <w:p>
      <w:pPr>
        <w:pStyle w:val="CalloutExample"/>
      </w:pPr>
      <w:r>
        <w:rPr>
          <w:bCs/>
          <w:b/>
        </w:rPr>
        <w:t xml:space="preserve">WORKED EXAMPLE</w:t>
      </w:r>
    </w:p>
    <w:p>
      <w:pPr>
        <w:pStyle w:val="CalloutExample"/>
      </w:pPr>
      <w:r>
        <w:rPr>
          <w:bCs/>
          <w:b/>
        </w:rPr>
        <w:t xml:space="preserve">Worked example —</w:t>
      </w:r>
      <w:r>
        <w:rPr>
          <w:bCs/>
          <w:b/>
        </w:rPr>
        <w:t xml:space="preserve"> </w:t>
      </w:r>
      <m:oMath>
        <m:r>
          <m:t>L</m:t>
        </m:r>
        <m:r>
          <m:rPr>
            <m:sty m:val="p"/>
          </m:rPr>
          <m:t>=</m:t>
        </m:r>
        <m:r>
          <m:t>100</m:t>
        </m:r>
      </m:oMath>
      <w:r>
        <w:rPr>
          <w:bCs/>
          <w:b/>
        </w:rPr>
        <w:t xml:space="preserve"> </w:t>
      </w:r>
      <w:r>
        <w:rPr>
          <w:bCs/>
          <w:b/>
        </w:rPr>
        <w:t xml:space="preserve">per minute, 15 s into the current minute.</w:t>
      </w:r>
    </w:p>
    <w:p>
      <w:pPr>
        <w:numPr>
          <w:ilvl w:val="0"/>
          <w:numId w:val="1722"/>
        </w:numPr>
        <w:pStyle w:val="Compact"/>
      </w:pPr>
      <m:oMath>
        <m:sSub>
          <m:e>
            <m:r>
              <m:t>C</m:t>
            </m:r>
          </m:e>
          <m:sub>
            <m:r>
              <m:rPr>
                <m:nor/>
                <m:sty m:val="p"/>
              </m:rPr>
              <m:t>prev</m:t>
            </m:r>
          </m:sub>
        </m:sSub>
        <m:r>
          <m:rPr>
            <m:sty m:val="p"/>
          </m:rPr>
          <m:t>=</m:t>
        </m:r>
        <m:r>
          <m:t>84</m:t>
        </m:r>
      </m:oMath>
      <w:r>
        <w:t xml:space="preserve">,</w:t>
      </w:r>
      <w:r>
        <w:t xml:space="preserve"> </w:t>
      </w:r>
      <m:oMath>
        <m:sSub>
          <m:e>
            <m:r>
              <m:t>C</m:t>
            </m:r>
          </m:e>
          <m:sub>
            <m:r>
              <m:rPr>
                <m:nor/>
                <m:sty m:val="p"/>
              </m:rPr>
              <m:t>curr</m:t>
            </m:r>
          </m:sub>
        </m:sSub>
        <m:r>
          <m:rPr>
            <m:sty m:val="p"/>
          </m:rPr>
          <m:t>=</m:t>
        </m:r>
        <m:r>
          <m:t>36</m:t>
        </m:r>
      </m:oMath>
      <w:r>
        <w:t xml:space="preserve">,</w:t>
      </w:r>
      <w:r>
        <w:t xml:space="preserve"> </w:t>
      </w:r>
      <m:oMath>
        <m:r>
          <m:t>e</m:t>
        </m:r>
        <m:r>
          <m:rPr>
            <m:sty m:val="p"/>
          </m:rPr>
          <m:t>=</m:t>
        </m:r>
        <m:r>
          <m:t>15</m:t>
        </m:r>
      </m:oMath>
      <w:r>
        <w:t xml:space="preserve"> </w:t>
      </w:r>
      <w:r>
        <w:t xml:space="preserve">s,</w:t>
      </w:r>
      <w:r>
        <w:t xml:space="preserve"> </w:t>
      </w:r>
      <m:oMath>
        <m:r>
          <m:t>W</m:t>
        </m:r>
        <m:r>
          <m:rPr>
            <m:sty m:val="p"/>
          </m:rPr>
          <m:t>=</m:t>
        </m:r>
        <m:r>
          <m:t>60</m:t>
        </m:r>
      </m:oMath>
      <w:r>
        <w:t xml:space="preserve"> </w:t>
      </w:r>
      <w:r>
        <w:t xml:space="preserve">s.</w:t>
      </w:r>
    </w:p>
    <w:p>
      <w:pPr>
        <w:numPr>
          <w:ilvl w:val="0"/>
          <w:numId w:val="1722"/>
        </w:numPr>
        <w:pStyle w:val="Compact"/>
      </w:pPr>
      <w:r>
        <w:t xml:space="preserve">Overlap weight:</w:t>
      </w:r>
      <w:r>
        <w:t xml:space="preserve"> </w:t>
      </w:r>
      <m:oMath>
        <m:d>
          <m:dPr>
            <m:begChr m:val="("/>
            <m:endChr m:val=")"/>
            <m:sepChr m:val=""/>
            <m:grow/>
          </m:dPr>
          <m:e>
            <m:r>
              <m:t>60</m:t>
            </m:r>
            <m:r>
              <m:rPr>
                <m:sty m:val="p"/>
              </m:rPr>
              <m:t>−</m:t>
            </m:r>
            <m:r>
              <m:t>15</m:t>
            </m:r>
          </m:e>
        </m:d>
        <m:r>
          <m:rPr>
            <m:sty m:val="p"/>
          </m:rPr>
          <m:t>/</m:t>
        </m:r>
        <m:r>
          <m:t>60</m:t>
        </m:r>
        <m:r>
          <m:rPr>
            <m:sty m:val="p"/>
          </m:rPr>
          <m:t>=</m:t>
        </m:r>
        <m:r>
          <m:t>0.75</m:t>
        </m:r>
      </m:oMath>
      <w:r>
        <w:t xml:space="preserve">; weighted previous count:</w:t>
      </w:r>
      <w:r>
        <w:t xml:space="preserve"> </w:t>
      </w:r>
      <m:oMath>
        <m:r>
          <m:t>84</m:t>
        </m:r>
        <m:r>
          <m:rPr>
            <m:sty m:val="p"/>
          </m:rPr>
          <m:t>×</m:t>
        </m:r>
        <m:r>
          <m:t>0.75</m:t>
        </m:r>
        <m:r>
          <m:rPr>
            <m:sty m:val="p"/>
          </m:rPr>
          <m:t>=</m:t>
        </m:r>
        <m:r>
          <m:t>63</m:t>
        </m:r>
      </m:oMath>
      <w:r>
        <w:t xml:space="preserve">.</w:t>
      </w:r>
    </w:p>
    <w:p>
      <w:pPr>
        <w:numPr>
          <w:ilvl w:val="0"/>
          <w:numId w:val="1722"/>
        </w:numPr>
        <w:pStyle w:val="Compact"/>
      </w:pPr>
      <m:oMath>
        <m:acc>
          <m:accPr>
            <m:chr m:val="̂"/>
          </m:accPr>
          <m:e>
            <m:r>
              <m:t>N</m:t>
            </m:r>
          </m:e>
        </m:acc>
        <m:r>
          <m:rPr>
            <m:sty m:val="p"/>
          </m:rPr>
          <m:t>=</m:t>
        </m:r>
        <m:r>
          <m:t>63</m:t>
        </m:r>
        <m:r>
          <m:rPr>
            <m:sty m:val="p"/>
          </m:rPr>
          <m:t>+</m:t>
        </m:r>
        <m:r>
          <m:t>36</m:t>
        </m:r>
        <m:r>
          <m:rPr>
            <m:sty m:val="p"/>
          </m:rPr>
          <m:t>=</m:t>
        </m:r>
        <m:r>
          <m:t>99</m:t>
        </m:r>
      </m:oMath>
      <w:r>
        <w:t xml:space="preserve">. Admit test:</w:t>
      </w:r>
      <w:r>
        <w:t xml:space="preserve"> </w:t>
      </w:r>
      <m:oMath>
        <m:r>
          <m:t>99</m:t>
        </m:r>
        <m:r>
          <m:rPr>
            <m:sty m:val="p"/>
          </m:rPr>
          <m:t>+</m:t>
        </m:r>
        <m:r>
          <m:t>1</m:t>
        </m:r>
        <m:r>
          <m:rPr>
            <m:sty m:val="p"/>
          </m:rPr>
          <m:t>=</m:t>
        </m:r>
        <m:r>
          <m:t>100</m:t>
        </m:r>
        <m:r>
          <m:rPr>
            <m:sty m:val="p"/>
          </m:rPr>
          <m:t>≤</m:t>
        </m:r>
        <m:r>
          <m:t>100</m:t>
        </m:r>
      </m:oMath>
      <w:r>
        <w:t xml:space="preserve"> </w:t>
      </w:r>
      <w:r>
        <w:t xml:space="preserve">→ admit;</w:t>
      </w:r>
      <w:r>
        <w:t xml:space="preserve"> </w:t>
      </w:r>
      <m:oMath>
        <m:sSub>
          <m:e>
            <m:r>
              <m:t>C</m:t>
            </m:r>
          </m:e>
          <m:sub>
            <m:r>
              <m:rPr>
                <m:nor/>
                <m:sty m:val="p"/>
              </m:rPr>
              <m:t>curr</m:t>
            </m:r>
          </m:sub>
        </m:sSub>
      </m:oMath>
      <w:r>
        <w:t xml:space="preserve"> </w:t>
      </w:r>
      <w:r>
        <w:t xml:space="preserve">becomes 37.</w:t>
      </w:r>
    </w:p>
    <w:p>
      <w:pPr>
        <w:numPr>
          <w:ilvl w:val="0"/>
          <w:numId w:val="1722"/>
        </w:numPr>
        <w:pStyle w:val="Compact"/>
      </w:pPr>
      <w:r>
        <w:t xml:space="preserve">Next request at the same instant:</w:t>
      </w:r>
      <w:r>
        <w:t xml:space="preserve"> </w:t>
      </w:r>
      <m:oMath>
        <m:acc>
          <m:accPr>
            <m:chr m:val="̂"/>
          </m:accPr>
          <m:e>
            <m:r>
              <m:t>N</m:t>
            </m:r>
          </m:e>
        </m:acc>
        <m:r>
          <m:rPr>
            <m:sty m:val="p"/>
          </m:rPr>
          <m:t>=</m:t>
        </m:r>
        <m:r>
          <m:t>63</m:t>
        </m:r>
        <m:r>
          <m:rPr>
            <m:sty m:val="p"/>
          </m:rPr>
          <m:t>+</m:t>
        </m:r>
        <m:r>
          <m:t>37</m:t>
        </m:r>
        <m:r>
          <m:rPr>
            <m:sty m:val="p"/>
          </m:rPr>
          <m:t>=</m:t>
        </m:r>
        <m:r>
          <m:t>100</m:t>
        </m:r>
      </m:oMath>
      <w:r>
        <w:t xml:space="preserve">;</w:t>
      </w:r>
      <w:r>
        <w:t xml:space="preserve"> </w:t>
      </w:r>
      <m:oMath>
        <m:r>
          <m:t>100</m:t>
        </m:r>
        <m:r>
          <m:rPr>
            <m:sty m:val="p"/>
          </m:rPr>
          <m:t>+</m:t>
        </m:r>
        <m:r>
          <m:t>1</m:t>
        </m:r>
        <m:r>
          <m:rPr>
            <m:sty m:val="p"/>
          </m:rPr>
          <m:t>&gt;</m:t>
        </m:r>
        <m:r>
          <m:t>100</m:t>
        </m:r>
      </m:oMath>
      <w:r>
        <w:t xml:space="preserve"> </w:t>
      </w:r>
      <w:r>
        <w:t xml:space="preserve">→ reject.</w:t>
      </w:r>
    </w:p>
    <w:p>
      <w:pPr>
        <w:numPr>
          <w:ilvl w:val="0"/>
          <w:numId w:val="1722"/>
        </w:numPr>
        <w:pStyle w:val="Compact"/>
      </w:pPr>
      <w:r>
        <w:t xml:space="preserve">When does the next request fit? The previous window’s contribution falls by</w:t>
      </w:r>
      <w:r>
        <w:t xml:space="preserve"> </w:t>
      </w:r>
      <m:oMath>
        <m:r>
          <m:t>84</m:t>
        </m:r>
        <m:r>
          <m:rPr>
            <m:sty m:val="p"/>
          </m:rPr>
          <m:t>/</m:t>
        </m:r>
        <m:r>
          <m:t>60</m:t>
        </m:r>
        <m:r>
          <m:rPr>
            <m:sty m:val="p"/>
          </m:rPr>
          <m:t>=</m:t>
        </m:r>
        <m:r>
          <m:t>1.4</m:t>
        </m:r>
      </m:oMath>
      <w:r>
        <w:t xml:space="preserve"> </w:t>
      </w:r>
      <w:r>
        <w:t xml:space="preserve">requests per second, so after</w:t>
      </w:r>
      <w:r>
        <w:t xml:space="preserve"> </w:t>
      </w:r>
      <m:oMath>
        <m:r>
          <m:t>1</m:t>
        </m:r>
        <m:r>
          <m:rPr>
            <m:sty m:val="p"/>
          </m:rPr>
          <m:t>/</m:t>
        </m:r>
        <m:r>
          <m:t>1.4</m:t>
        </m:r>
        <m:r>
          <m:rPr>
            <m:sty m:val="p"/>
          </m:rPr>
          <m:t>≈</m:t>
        </m:r>
        <m:r>
          <m:t>0.71</m:t>
        </m:r>
      </m:oMath>
      <w:r>
        <w:t xml:space="preserve"> </w:t>
      </w:r>
      <w:r>
        <w:t xml:space="preserve">s the estimate drops to 99.</w:t>
      </w:r>
      <w:r>
        <w:t xml:space="preserve"> </w:t>
      </w:r>
      <w:r>
        <w:rPr>
          <w:rStyle w:val="VerbatimChar"/>
        </w:rPr>
        <w:t xml:space="preserve">Retry-After</w:t>
      </w:r>
      <w:r>
        <w:t xml:space="preserve"> </w:t>
      </w:r>
      <w:r>
        <w:t xml:space="preserve">rounds up to 1 s.</w:t>
      </w:r>
    </w:p>
    <w:p>
      <w:pPr>
        <w:numPr>
          <w:ilvl w:val="0"/>
          <w:numId w:val="1722"/>
        </w:numPr>
        <w:pStyle w:val="Compact"/>
      </w:pPr>
      <w:r>
        <w:t xml:space="preserve">Memory: two counters plus a window start, about 16 bytes per key, versus up to 8,000 bytes for a log at</w:t>
      </w:r>
      <w:r>
        <w:t xml:space="preserve"> </w:t>
      </w:r>
      <m:oMath>
        <m:r>
          <m:t>L</m:t>
        </m:r>
        <m:r>
          <m:rPr>
            <m:sty m:val="p"/>
          </m:rPr>
          <m:t>=</m:t>
        </m:r>
        <m:r>
          <m:t>1</m:t>
        </m:r>
        <m:r>
          <m:rPr>
            <m:sty m:val="p"/>
          </m:rPr>
          <m:t>,</m:t>
        </m:r>
        <m:r>
          <m:t>000</m:t>
        </m:r>
      </m:oMath>
      <w:r>
        <w:t xml:space="preserve">; for 1 million keys, 16 MB versus 8 GB.</w:t>
      </w:r>
    </w:p>
    <w:p>
      <w:pPr>
        <w:pStyle w:val="CalloutExample"/>
      </w:pPr>
      <w:r>
        <w:rPr>
          <w:bCs/>
          <w:b/>
        </w:rPr>
        <w:t xml:space="preserve">Interpretation.</w:t>
      </w:r>
      <w:r>
        <w:t xml:space="preserve"> </w:t>
      </w:r>
      <w:r>
        <w:t xml:space="preserve">Two integers per key give a smooth sliding limit.</w:t>
      </w:r>
      <w:r>
        <w:t xml:space="preserve"> </w:t>
      </w:r>
      <w:r>
        <w:rPr>
          <w:bCs/>
          <w:b/>
        </w:rPr>
        <w:t xml:space="preserve">Engineering implication.</w:t>
      </w:r>
      <w:r>
        <w:t xml:space="preserve"> </w:t>
      </w:r>
      <w:r>
        <w:t xml:space="preserve">It is the usual choice for large-scale per-minute or per-hour limits; its error depends on how uneven traffic is within a window, measured below.</w:t>
      </w:r>
    </w:p>
    <w:bookmarkEnd w:id="2479"/>
    <w:bookmarkStart w:id="2480" w:name="code-example-26"/>
    <w:p>
      <w:pPr>
        <w:pStyle w:val="Heading4"/>
      </w:pPr>
      <w:r>
        <w:t xml:space="preserve">Code example</w:t>
      </w:r>
    </w:p>
    <w:p>
      <w:pPr>
        <w:pStyle w:val="SourceCode"/>
      </w:pPr>
      <w:r>
        <w:rPr>
          <w:rStyle w:val="ImportTok"/>
        </w:rPr>
        <w:t xml:space="preserve">import</w:t>
      </w:r>
      <w:r>
        <w:rPr>
          <w:rStyle w:val="NormalTok"/>
        </w:rPr>
        <w:t xml:space="preserve"> math</w:t>
      </w:r>
      <w:r>
        <w:br/>
      </w:r>
      <w:r>
        <w:rPr>
          <w:rStyle w:val="ImportTok"/>
        </w:rPr>
        <w:t xml:space="preserve">import</w:t>
      </w:r>
      <w:r>
        <w:rPr>
          <w:rStyle w:val="NormalTok"/>
        </w:rPr>
        <w:t xml:space="preserve"> random</w:t>
      </w:r>
      <w:r>
        <w:br/>
      </w:r>
      <w:r>
        <w:rPr>
          <w:rStyle w:val="ImportTok"/>
        </w:rPr>
        <w:t xml:space="preserve">from</w:t>
      </w:r>
      <w:r>
        <w:rPr>
          <w:rStyle w:val="NormalTok"/>
        </w:rPr>
        <w:t xml:space="preserve"> collections </w:t>
      </w:r>
      <w:r>
        <w:rPr>
          <w:rStyle w:val="ImportTok"/>
        </w:rPr>
        <w:t xml:space="preserve">import</w:t>
      </w:r>
      <w:r>
        <w:rPr>
          <w:rStyle w:val="NormalTok"/>
        </w:rPr>
        <w:t xml:space="preserve"> deque</w:t>
      </w:r>
      <w:r>
        <w:br/>
      </w:r>
      <w:r>
        <w:br/>
      </w:r>
      <w:r>
        <w:br/>
      </w:r>
      <w:r>
        <w:rPr>
          <w:rStyle w:val="KeywordTok"/>
        </w:rPr>
        <w:t xml:space="preserve">class</w:t>
      </w:r>
      <w:r>
        <w:rPr>
          <w:rStyle w:val="NormalTok"/>
        </w:rPr>
        <w:t xml:space="preserve"> FixedWindow:</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limit, window):</w:t>
      </w:r>
      <w:r>
        <w:br/>
      </w:r>
      <w:r>
        <w:rPr>
          <w:rStyle w:val="NormalTok"/>
        </w:rPr>
        <w:t xml:space="preserve">        </w:t>
      </w:r>
      <w:r>
        <w:rPr>
          <w:rStyle w:val="VariableTok"/>
        </w:rPr>
        <w:t xml:space="preserve">self</w:t>
      </w:r>
      <w:r>
        <w:rPr>
          <w:rStyle w:val="NormalTok"/>
        </w:rPr>
        <w:t xml:space="preserve">.limit, </w:t>
      </w:r>
      <w:r>
        <w:rPr>
          <w:rStyle w:val="VariableTok"/>
        </w:rPr>
        <w:t xml:space="preserve">self</w:t>
      </w:r>
      <w:r>
        <w:rPr>
          <w:rStyle w:val="NormalTok"/>
        </w:rPr>
        <w:t xml:space="preserve">.window </w:t>
      </w:r>
      <w:r>
        <w:rPr>
          <w:rStyle w:val="OperatorTok"/>
        </w:rPr>
        <w:t xml:space="preserve">=</w:t>
      </w:r>
      <w:r>
        <w:rPr>
          <w:rStyle w:val="NormalTok"/>
        </w:rPr>
        <w:t xml:space="preserve"> limit, window</w:t>
      </w:r>
      <w:r>
        <w:br/>
      </w:r>
      <w:r>
        <w:rPr>
          <w:rStyle w:val="NormalTok"/>
        </w:rPr>
        <w:t xml:space="preserve">        </w:t>
      </w:r>
      <w:r>
        <w:rPr>
          <w:rStyle w:val="VariableTok"/>
        </w:rPr>
        <w:t xml:space="preserve">self</w:t>
      </w:r>
      <w:r>
        <w:rPr>
          <w:rStyle w:val="NormalTok"/>
        </w:rPr>
        <w:t xml:space="preserve">.start, </w:t>
      </w:r>
      <w:r>
        <w:rPr>
          <w:rStyle w:val="VariableTok"/>
        </w:rPr>
        <w:t xml:space="preserve">self</w:t>
      </w:r>
      <w:r>
        <w:rPr>
          <w:rStyle w:val="NormalTok"/>
        </w:rPr>
        <w:t xml:space="preserve">.count </w:t>
      </w:r>
      <w:r>
        <w:rPr>
          <w:rStyle w:val="OperatorTok"/>
        </w:rPr>
        <w:t xml:space="preserve">=</w:t>
      </w:r>
      <w:r>
        <w:rPr>
          <w:rStyle w:val="NormalTok"/>
        </w:rPr>
        <w:t xml:space="preserve"> </w:t>
      </w:r>
      <w:r>
        <w:rPr>
          <w:rStyle w:val="VariableTok"/>
        </w:rPr>
        <w:t xml:space="preserve">None</w:t>
      </w:r>
      <w:r>
        <w:rPr>
          <w:rStyle w:val="NormalTok"/>
        </w:rPr>
        <w:t xml:space="preserve">, </w:t>
      </w:r>
      <w:r>
        <w:rPr>
          <w:rStyle w:val="DecValTok"/>
        </w:rPr>
        <w:t xml:space="preserve">0</w:t>
      </w:r>
      <w:r>
        <w:br/>
      </w:r>
      <w:r>
        <w:br/>
      </w:r>
      <w:r>
        <w:rPr>
          <w:rStyle w:val="NormalTok"/>
        </w:rPr>
        <w:t xml:space="preserve">    </w:t>
      </w:r>
      <w:r>
        <w:rPr>
          <w:rStyle w:val="KeywordTok"/>
        </w:rPr>
        <w:t xml:space="preserve">def</w:t>
      </w:r>
      <w:r>
        <w:rPr>
          <w:rStyle w:val="NormalTok"/>
        </w:rPr>
        <w:t xml:space="preserve"> try_acquire(</w:t>
      </w:r>
      <w:r>
        <w:rPr>
          <w:rStyle w:val="VariableTok"/>
        </w:rPr>
        <w:t xml:space="preserve">self</w:t>
      </w:r>
      <w:r>
        <w:rPr>
          <w:rStyle w:val="NormalTok"/>
        </w:rPr>
        <w:t xml:space="preserve">, now):</w:t>
      </w:r>
      <w:r>
        <w:br/>
      </w:r>
      <w:r>
        <w:rPr>
          <w:rStyle w:val="NormalTok"/>
        </w:rPr>
        <w:t xml:space="preserve">        start </w:t>
      </w:r>
      <w:r>
        <w:rPr>
          <w:rStyle w:val="OperatorTok"/>
        </w:rPr>
        <w:t xml:space="preserve">=</w:t>
      </w:r>
      <w:r>
        <w:rPr>
          <w:rStyle w:val="NormalTok"/>
        </w:rPr>
        <w:t xml:space="preserve"> math.floor(now </w:t>
      </w:r>
      <w:r>
        <w:rPr>
          <w:rStyle w:val="OperatorTok"/>
        </w:rPr>
        <w:t xml:space="preserve">/</w:t>
      </w:r>
      <w:r>
        <w:rPr>
          <w:rStyle w:val="NormalTok"/>
        </w:rPr>
        <w:t xml:space="preserve"> </w:t>
      </w:r>
      <w:r>
        <w:rPr>
          <w:rStyle w:val="VariableTok"/>
        </w:rPr>
        <w:t xml:space="preserve">self</w:t>
      </w:r>
      <w:r>
        <w:rPr>
          <w:rStyle w:val="NormalTok"/>
        </w:rPr>
        <w:t xml:space="preserve">.window) </w:t>
      </w:r>
      <w:r>
        <w:rPr>
          <w:rStyle w:val="OperatorTok"/>
        </w:rPr>
        <w:t xml:space="preserve">*</w:t>
      </w:r>
      <w:r>
        <w:rPr>
          <w:rStyle w:val="NormalTok"/>
        </w:rPr>
        <w:t xml:space="preserve"> </w:t>
      </w:r>
      <w:r>
        <w:rPr>
          <w:rStyle w:val="VariableTok"/>
        </w:rPr>
        <w:t xml:space="preserve">self</w:t>
      </w:r>
      <w:r>
        <w:rPr>
          <w:rStyle w:val="NormalTok"/>
        </w:rPr>
        <w:t xml:space="preserve">.window</w:t>
      </w:r>
      <w:r>
        <w:br/>
      </w:r>
      <w:r>
        <w:rPr>
          <w:rStyle w:val="NormalTok"/>
        </w:rPr>
        <w:t xml:space="preserve">        </w:t>
      </w:r>
      <w:r>
        <w:rPr>
          <w:rStyle w:val="ControlFlowTok"/>
        </w:rPr>
        <w:t xml:space="preserve">if</w:t>
      </w:r>
      <w:r>
        <w:rPr>
          <w:rStyle w:val="NormalTok"/>
        </w:rPr>
        <w:t xml:space="preserve"> start </w:t>
      </w:r>
      <w:r>
        <w:rPr>
          <w:rStyle w:val="OperatorTok"/>
        </w:rPr>
        <w:t xml:space="preserve">!=</w:t>
      </w:r>
      <w:r>
        <w:rPr>
          <w:rStyle w:val="NormalTok"/>
        </w:rPr>
        <w:t xml:space="preserve"> </w:t>
      </w:r>
      <w:r>
        <w:rPr>
          <w:rStyle w:val="VariableTok"/>
        </w:rPr>
        <w:t xml:space="preserve">self</w:t>
      </w:r>
      <w:r>
        <w:rPr>
          <w:rStyle w:val="NormalTok"/>
        </w:rPr>
        <w:t xml:space="preserve">.start:                      </w:t>
      </w:r>
      <w:r>
        <w:rPr>
          <w:rStyle w:val="CommentTok"/>
        </w:rPr>
        <w:t xml:space="preserve"># a new window: reset the counter</w:t>
      </w:r>
      <w:r>
        <w:br/>
      </w:r>
      <w:r>
        <w:rPr>
          <w:rStyle w:val="NormalTok"/>
        </w:rPr>
        <w:t xml:space="preserve">            </w:t>
      </w:r>
      <w:r>
        <w:rPr>
          <w:rStyle w:val="VariableTok"/>
        </w:rPr>
        <w:t xml:space="preserve">self</w:t>
      </w:r>
      <w:r>
        <w:rPr>
          <w:rStyle w:val="NormalTok"/>
        </w:rPr>
        <w:t xml:space="preserve">.start, </w:t>
      </w:r>
      <w:r>
        <w:rPr>
          <w:rStyle w:val="VariableTok"/>
        </w:rPr>
        <w:t xml:space="preserve">self</w:t>
      </w:r>
      <w:r>
        <w:rPr>
          <w:rStyle w:val="NormalTok"/>
        </w:rPr>
        <w:t xml:space="preserve">.count </w:t>
      </w:r>
      <w:r>
        <w:rPr>
          <w:rStyle w:val="OperatorTok"/>
        </w:rPr>
        <w:t xml:space="preserve">=</w:t>
      </w:r>
      <w:r>
        <w:rPr>
          <w:rStyle w:val="NormalTok"/>
        </w:rPr>
        <w:t xml:space="preserve"> start, </w:t>
      </w:r>
      <w:r>
        <w:rPr>
          <w:rStyle w:val="DecValTok"/>
        </w:rPr>
        <w:t xml:space="preserve">0</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.count </w:t>
      </w:r>
      <w:r>
        <w:rPr>
          <w:rStyle w:val="OperatorTok"/>
        </w:rPr>
        <w:t xml:space="preserve">&lt;</w:t>
      </w:r>
      <w:r>
        <w:rPr>
          <w:rStyle w:val="NormalTok"/>
        </w:rPr>
        <w:t xml:space="preserve"> </w:t>
      </w:r>
      <w:r>
        <w:rPr>
          <w:rStyle w:val="VariableTok"/>
        </w:rPr>
        <w:t xml:space="preserve">self</w:t>
      </w:r>
      <w:r>
        <w:rPr>
          <w:rStyle w:val="NormalTok"/>
        </w:rPr>
        <w:t xml:space="preserve">.limit:</w:t>
      </w:r>
      <w:r>
        <w:br/>
      </w:r>
      <w:r>
        <w:rPr>
          <w:rStyle w:val="NormalTok"/>
        </w:rPr>
        <w:t xml:space="preserve">            </w:t>
      </w:r>
      <w:r>
        <w:rPr>
          <w:rStyle w:val="VariableTok"/>
        </w:rPr>
        <w:t xml:space="preserve">self</w:t>
      </w:r>
      <w:r>
        <w:rPr>
          <w:rStyle w:val="NormalTok"/>
        </w:rPr>
        <w:t xml:space="preserve">.count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br/>
      </w:r>
      <w:r>
        <w:rPr>
          <w:rStyle w:val="KeywordTok"/>
        </w:rPr>
        <w:t xml:space="preserve">class</w:t>
      </w:r>
      <w:r>
        <w:rPr>
          <w:rStyle w:val="NormalTok"/>
        </w:rPr>
        <w:t xml:space="preserve"> SlidingLog:</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limit, window):</w:t>
      </w:r>
      <w:r>
        <w:br/>
      </w:r>
      <w:r>
        <w:rPr>
          <w:rStyle w:val="NormalTok"/>
        </w:rPr>
        <w:t xml:space="preserve">        </w:t>
      </w:r>
      <w:r>
        <w:rPr>
          <w:rStyle w:val="VariableTok"/>
        </w:rPr>
        <w:t xml:space="preserve">self</w:t>
      </w:r>
      <w:r>
        <w:rPr>
          <w:rStyle w:val="NormalTok"/>
        </w:rPr>
        <w:t xml:space="preserve">.limit, </w:t>
      </w:r>
      <w:r>
        <w:rPr>
          <w:rStyle w:val="VariableTok"/>
        </w:rPr>
        <w:t xml:space="preserve">self</w:t>
      </w:r>
      <w:r>
        <w:rPr>
          <w:rStyle w:val="NormalTok"/>
        </w:rPr>
        <w:t xml:space="preserve">.window, </w:t>
      </w:r>
      <w:r>
        <w:rPr>
          <w:rStyle w:val="VariableTok"/>
        </w:rPr>
        <w:t xml:space="preserve">self</w:t>
      </w:r>
      <w:r>
        <w:rPr>
          <w:rStyle w:val="NormalTok"/>
        </w:rPr>
        <w:t xml:space="preserve">.log </w:t>
      </w:r>
      <w:r>
        <w:rPr>
          <w:rStyle w:val="OperatorTok"/>
        </w:rPr>
        <w:t xml:space="preserve">=</w:t>
      </w:r>
      <w:r>
        <w:rPr>
          <w:rStyle w:val="NormalTok"/>
        </w:rPr>
        <w:t xml:space="preserve"> limit, window, deque()</w:t>
      </w:r>
      <w:r>
        <w:br/>
      </w:r>
      <w:r>
        <w:br/>
      </w:r>
      <w:r>
        <w:rPr>
          <w:rStyle w:val="NormalTok"/>
        </w:rPr>
        <w:t xml:space="preserve">    </w:t>
      </w:r>
      <w:r>
        <w:rPr>
          <w:rStyle w:val="KeywordTok"/>
        </w:rPr>
        <w:t xml:space="preserve">def</w:t>
      </w:r>
      <w:r>
        <w:rPr>
          <w:rStyle w:val="NormalTok"/>
        </w:rPr>
        <w:t xml:space="preserve"> try_acquire(</w:t>
      </w:r>
      <w:r>
        <w:rPr>
          <w:rStyle w:val="VariableTok"/>
        </w:rPr>
        <w:t xml:space="preserve">self</w:t>
      </w:r>
      <w:r>
        <w:rPr>
          <w:rStyle w:val="NormalTok"/>
        </w:rPr>
        <w:t xml:space="preserve">, now):</w:t>
      </w:r>
      <w:r>
        <w:br/>
      </w:r>
      <w:r>
        <w:rPr>
          <w:rStyle w:val="NormalTok"/>
        </w:rPr>
        <w:t xml:space="preserve">        </w:t>
      </w:r>
      <w:r>
        <w:rPr>
          <w:rStyle w:val="ControlFlowTok"/>
        </w:rPr>
        <w:t xml:space="preserve">while</w:t>
      </w:r>
      <w:r>
        <w:rPr>
          <w:rStyle w:val="NormalTok"/>
        </w:rPr>
        <w:t xml:space="preserve"> </w:t>
      </w:r>
      <w:r>
        <w:rPr>
          <w:rStyle w:val="VariableTok"/>
        </w:rPr>
        <w:t xml:space="preserve">self</w:t>
      </w:r>
      <w:r>
        <w:rPr>
          <w:rStyle w:val="NormalTok"/>
        </w:rPr>
        <w:t xml:space="preserve">.log </w:t>
      </w:r>
      <w:r>
        <w:rPr>
          <w:rStyle w:val="KeywordTok"/>
        </w:rPr>
        <w:t xml:space="preserve">and</w:t>
      </w:r>
      <w:r>
        <w:rPr>
          <w:rStyle w:val="NormalTok"/>
        </w:rPr>
        <w:t xml:space="preserve"> </w:t>
      </w:r>
      <w:r>
        <w:rPr>
          <w:rStyle w:val="VariableTok"/>
        </w:rPr>
        <w:t xml:space="preserve">self</w:t>
      </w:r>
      <w:r>
        <w:rPr>
          <w:rStyle w:val="NormalTok"/>
        </w:rPr>
        <w:t xml:space="preserve">.log[</w:t>
      </w:r>
      <w:r>
        <w:rPr>
          <w:rStyle w:val="DecValTok"/>
        </w:rPr>
        <w:t xml:space="preserve">0</w:t>
      </w:r>
      <w:r>
        <w:rPr>
          <w:rStyle w:val="NormalTok"/>
        </w:rPr>
        <w:t xml:space="preserve">] </w:t>
      </w:r>
      <w:r>
        <w:rPr>
          <w:rStyle w:val="OperatorTok"/>
        </w:rPr>
        <w:t xml:space="preserve">&lt;=</w:t>
      </w:r>
      <w:r>
        <w:rPr>
          <w:rStyle w:val="NormalTok"/>
        </w:rPr>
        <w:t xml:space="preserve"> now </w:t>
      </w:r>
      <w:r>
        <w:rPr>
          <w:rStyle w:val="OperatorTok"/>
        </w:rPr>
        <w:t xml:space="preserve">-</w:t>
      </w:r>
      <w:r>
        <w:rPr>
          <w:rStyle w:val="NormalTok"/>
        </w:rPr>
        <w:t xml:space="preserve"> </w:t>
      </w:r>
      <w:r>
        <w:rPr>
          <w:rStyle w:val="VariableTok"/>
        </w:rPr>
        <w:t xml:space="preserve">self</w:t>
      </w:r>
      <w:r>
        <w:rPr>
          <w:rStyle w:val="NormalTok"/>
        </w:rPr>
        <w:t xml:space="preserve">.window:</w:t>
      </w:r>
      <w:r>
        <w:br/>
      </w:r>
      <w:r>
        <w:rPr>
          <w:rStyle w:val="NormalTok"/>
        </w:rPr>
        <w:t xml:space="preserve">            </w:t>
      </w:r>
      <w:r>
        <w:rPr>
          <w:rStyle w:val="VariableTok"/>
        </w:rPr>
        <w:t xml:space="preserve">self</w:t>
      </w:r>
      <w:r>
        <w:rPr>
          <w:rStyle w:val="NormalTok"/>
        </w:rPr>
        <w:t xml:space="preserve">.log.popleft()                       </w:t>
      </w:r>
      <w:r>
        <w:rPr>
          <w:rStyle w:val="CommentTok"/>
        </w:rPr>
        <w:t xml:space="preserve"># forget requests older than one window</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.log) </w:t>
      </w:r>
      <w:r>
        <w:rPr>
          <w:rStyle w:val="OperatorTok"/>
        </w:rPr>
        <w:t xml:space="preserve">&lt;</w:t>
      </w:r>
      <w:r>
        <w:rPr>
          <w:rStyle w:val="NormalTok"/>
        </w:rPr>
        <w:t xml:space="preserve"> </w:t>
      </w:r>
      <w:r>
        <w:rPr>
          <w:rStyle w:val="VariableTok"/>
        </w:rPr>
        <w:t xml:space="preserve">self</w:t>
      </w:r>
      <w:r>
        <w:rPr>
          <w:rStyle w:val="NormalTok"/>
        </w:rPr>
        <w:t xml:space="preserve">.limit:</w:t>
      </w:r>
      <w:r>
        <w:br/>
      </w:r>
      <w:r>
        <w:rPr>
          <w:rStyle w:val="NormalTok"/>
        </w:rPr>
        <w:t xml:space="preserve">            </w:t>
      </w:r>
      <w:r>
        <w:rPr>
          <w:rStyle w:val="VariableTok"/>
        </w:rPr>
        <w:t xml:space="preserve">self</w:t>
      </w:r>
      <w:r>
        <w:rPr>
          <w:rStyle w:val="NormalTok"/>
        </w:rPr>
        <w:t xml:space="preserve">.log.append(now)</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br/>
      </w:r>
      <w:r>
        <w:rPr>
          <w:rStyle w:val="KeywordTok"/>
        </w:rPr>
        <w:t xml:space="preserve">class</w:t>
      </w:r>
      <w:r>
        <w:rPr>
          <w:rStyle w:val="NormalTok"/>
        </w:rPr>
        <w:t xml:space="preserve"> SlidingWindowCounter:</w:t>
      </w:r>
      <w:r>
        <w:br/>
      </w:r>
      <w:r>
        <w:rPr>
          <w:rStyle w:val="NormalTok"/>
        </w:rPr>
        <w:t xml:space="preserve">    </w:t>
      </w:r>
      <w:r>
        <w:rPr>
          <w:rStyle w:val="CommentTok"/>
        </w:rPr>
        <w:t xml:space="preserve">"""Two counters per key; estimate = prev * (overlap fraction) + curr."""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limit, window):</w:t>
      </w:r>
      <w:r>
        <w:br/>
      </w:r>
      <w:r>
        <w:rPr>
          <w:rStyle w:val="NormalTok"/>
        </w:rPr>
        <w:t xml:space="preserve">        </w:t>
      </w:r>
      <w:r>
        <w:rPr>
          <w:rStyle w:val="VariableTok"/>
        </w:rPr>
        <w:t xml:space="preserve">self</w:t>
      </w:r>
      <w:r>
        <w:rPr>
          <w:rStyle w:val="NormalTok"/>
        </w:rPr>
        <w:t xml:space="preserve">.limit, </w:t>
      </w:r>
      <w:r>
        <w:rPr>
          <w:rStyle w:val="VariableTok"/>
        </w:rPr>
        <w:t xml:space="preserve">self</w:t>
      </w:r>
      <w:r>
        <w:rPr>
          <w:rStyle w:val="NormalTok"/>
        </w:rPr>
        <w:t xml:space="preserve">.window </w:t>
      </w:r>
      <w:r>
        <w:rPr>
          <w:rStyle w:val="OperatorTok"/>
        </w:rPr>
        <w:t xml:space="preserve">=</w:t>
      </w:r>
      <w:r>
        <w:rPr>
          <w:rStyle w:val="NormalTok"/>
        </w:rPr>
        <w:t xml:space="preserve"> limit, window</w:t>
      </w:r>
      <w:r>
        <w:br/>
      </w:r>
      <w:r>
        <w:rPr>
          <w:rStyle w:val="NormalTok"/>
        </w:rPr>
        <w:t xml:space="preserve">        </w:t>
      </w:r>
      <w:r>
        <w:rPr>
          <w:rStyle w:val="VariableTok"/>
        </w:rPr>
        <w:t xml:space="preserve">self</w:t>
      </w:r>
      <w:r>
        <w:rPr>
          <w:rStyle w:val="NormalTok"/>
        </w:rPr>
        <w:t xml:space="preserve">.start, </w:t>
      </w:r>
      <w:r>
        <w:rPr>
          <w:rStyle w:val="VariableTok"/>
        </w:rPr>
        <w:t xml:space="preserve">self</w:t>
      </w:r>
      <w:r>
        <w:rPr>
          <w:rStyle w:val="NormalTok"/>
        </w:rPr>
        <w:t xml:space="preserve">.curr, </w:t>
      </w:r>
      <w:r>
        <w:rPr>
          <w:rStyle w:val="VariableTok"/>
        </w:rPr>
        <w:t xml:space="preserve">self</w:t>
      </w:r>
      <w:r>
        <w:rPr>
          <w:rStyle w:val="NormalTok"/>
        </w:rPr>
        <w:t xml:space="preserve">.prev </w:t>
      </w:r>
      <w:r>
        <w:rPr>
          <w:rStyle w:val="OperatorTok"/>
        </w:rPr>
        <w:t xml:space="preserve">=</w:t>
      </w:r>
      <w:r>
        <w:rPr>
          <w:rStyle w:val="NormalTok"/>
        </w:rPr>
        <w:t xml:space="preserve"> </w:t>
      </w:r>
      <w:r>
        <w:rPr>
          <w:rStyle w:val="FloatTok"/>
        </w:rPr>
        <w:t xml:space="preserve">0.0</w:t>
      </w:r>
      <w:r>
        <w:rPr>
          <w:rStyle w:val="NormalTok"/>
        </w:rPr>
        <w:t xml:space="preserve">, </w:t>
      </w:r>
      <w:r>
        <w:rPr>
          <w:rStyle w:val="DecValTok"/>
        </w:rPr>
        <w:t xml:space="preserve">0</w:t>
      </w:r>
      <w:r>
        <w:rPr>
          <w:rStyle w:val="NormalTok"/>
        </w:rPr>
        <w:t xml:space="preserve">, </w:t>
      </w:r>
      <w:r>
        <w:rPr>
          <w:rStyle w:val="DecValTok"/>
        </w:rPr>
        <w:t xml:space="preserve">0</w:t>
      </w:r>
      <w:r>
        <w:br/>
      </w:r>
      <w:r>
        <w:br/>
      </w:r>
      <w:r>
        <w:rPr>
          <w:rStyle w:val="NormalTok"/>
        </w:rPr>
        <w:t xml:space="preserve">    </w:t>
      </w:r>
      <w:r>
        <w:rPr>
          <w:rStyle w:val="KeywordTok"/>
        </w:rPr>
        <w:t xml:space="preserve">def</w:t>
      </w:r>
      <w:r>
        <w:rPr>
          <w:rStyle w:val="NormalTok"/>
        </w:rPr>
        <w:t xml:space="preserve"> estimate(</w:t>
      </w:r>
      <w:r>
        <w:rPr>
          <w:rStyle w:val="VariableTok"/>
        </w:rPr>
        <w:t xml:space="preserve">self</w:t>
      </w:r>
      <w:r>
        <w:rPr>
          <w:rStyle w:val="NormalTok"/>
        </w:rPr>
        <w:t xml:space="preserve">, now):</w:t>
      </w:r>
      <w:r>
        <w:br/>
      </w:r>
      <w:r>
        <w:rPr>
          <w:rStyle w:val="NormalTok"/>
        </w:rPr>
        <w:t xml:space="preserve">        start </w:t>
      </w:r>
      <w:r>
        <w:rPr>
          <w:rStyle w:val="OperatorTok"/>
        </w:rPr>
        <w:t xml:space="preserve">=</w:t>
      </w:r>
      <w:r>
        <w:rPr>
          <w:rStyle w:val="NormalTok"/>
        </w:rPr>
        <w:t xml:space="preserve"> math.floor(now </w:t>
      </w:r>
      <w:r>
        <w:rPr>
          <w:rStyle w:val="OperatorTok"/>
        </w:rPr>
        <w:t xml:space="preserve">/</w:t>
      </w:r>
      <w:r>
        <w:rPr>
          <w:rStyle w:val="NormalTok"/>
        </w:rPr>
        <w:t xml:space="preserve"> </w:t>
      </w:r>
      <w:r>
        <w:rPr>
          <w:rStyle w:val="VariableTok"/>
        </w:rPr>
        <w:t xml:space="preserve">self</w:t>
      </w:r>
      <w:r>
        <w:rPr>
          <w:rStyle w:val="NormalTok"/>
        </w:rPr>
        <w:t xml:space="preserve">.window) </w:t>
      </w:r>
      <w:r>
        <w:rPr>
          <w:rStyle w:val="OperatorTok"/>
        </w:rPr>
        <w:t xml:space="preserve">*</w:t>
      </w:r>
      <w:r>
        <w:rPr>
          <w:rStyle w:val="NormalTok"/>
        </w:rPr>
        <w:t xml:space="preserve"> </w:t>
      </w:r>
      <w:r>
        <w:rPr>
          <w:rStyle w:val="VariableTok"/>
        </w:rPr>
        <w:t xml:space="preserve">self</w:t>
      </w:r>
      <w:r>
        <w:rPr>
          <w:rStyle w:val="NormalTok"/>
        </w:rPr>
        <w:t xml:space="preserve">.window</w:t>
      </w:r>
      <w:r>
        <w:br/>
      </w:r>
      <w:r>
        <w:rPr>
          <w:rStyle w:val="NormalTok"/>
        </w:rPr>
        <w:t xml:space="preserve">        </w:t>
      </w:r>
      <w:r>
        <w:rPr>
          <w:rStyle w:val="ControlFlowTok"/>
        </w:rPr>
        <w:t xml:space="preserve">if</w:t>
      </w:r>
      <w:r>
        <w:rPr>
          <w:rStyle w:val="NormalTok"/>
        </w:rPr>
        <w:t xml:space="preserve"> start </w:t>
      </w:r>
      <w:r>
        <w:rPr>
          <w:rStyle w:val="OperatorTok"/>
        </w:rPr>
        <w:t xml:space="preserve">!=</w:t>
      </w:r>
      <w:r>
        <w:rPr>
          <w:rStyle w:val="NormalTok"/>
        </w:rPr>
        <w:t xml:space="preserve"> </w:t>
      </w:r>
      <w:r>
        <w:rPr>
          <w:rStyle w:val="VariableTok"/>
        </w:rPr>
        <w:t xml:space="preserve">self</w:t>
      </w:r>
      <w:r>
        <w:rPr>
          <w:rStyle w:val="NormalTok"/>
        </w:rPr>
        <w:t xml:space="preserve">.start:                      </w:t>
      </w:r>
      <w:r>
        <w:rPr>
          <w:rStyle w:val="CommentTok"/>
        </w:rPr>
        <w:t xml:space="preserve"># roll forward</w:t>
      </w:r>
      <w:r>
        <w:br/>
      </w:r>
      <w:r>
        <w:rPr>
          <w:rStyle w:val="NormalTok"/>
        </w:rPr>
        <w:t xml:space="preserve">            gap </w:t>
      </w:r>
      <w:r>
        <w:rPr>
          <w:rStyle w:val="OperatorTok"/>
        </w:rPr>
        <w:t xml:space="preserve">=</w:t>
      </w:r>
      <w:r>
        <w:rPr>
          <w:rStyle w:val="NormalTok"/>
        </w:rPr>
        <w:t xml:space="preserve"> </w:t>
      </w:r>
      <w:r>
        <w:rPr>
          <w:rStyle w:val="BuiltInTok"/>
        </w:rPr>
        <w:t xml:space="preserve">round</w:t>
      </w:r>
      <w:r>
        <w:rPr>
          <w:rStyle w:val="NormalTok"/>
        </w:rPr>
        <w:t xml:space="preserve">((start </w:t>
      </w:r>
      <w:r>
        <w:rPr>
          <w:rStyle w:val="OperatorTok"/>
        </w:rPr>
        <w:t xml:space="preserve">-</w:t>
      </w:r>
      <w:r>
        <w:rPr>
          <w:rStyle w:val="NormalTok"/>
        </w:rPr>
        <w:t xml:space="preserve"> </w:t>
      </w:r>
      <w:r>
        <w:rPr>
          <w:rStyle w:val="VariableTok"/>
        </w:rPr>
        <w:t xml:space="preserve">self</w:t>
      </w:r>
      <w:r>
        <w:rPr>
          <w:rStyle w:val="NormalTok"/>
        </w:rPr>
        <w:t xml:space="preserve">.start) </w:t>
      </w:r>
      <w:r>
        <w:rPr>
          <w:rStyle w:val="OperatorTok"/>
        </w:rPr>
        <w:t xml:space="preserve">/</w:t>
      </w:r>
      <w:r>
        <w:rPr>
          <w:rStyle w:val="NormalTok"/>
        </w:rPr>
        <w:t xml:space="preserve"> </w:t>
      </w:r>
      <w:r>
        <w:rPr>
          <w:rStyle w:val="VariableTok"/>
        </w:rPr>
        <w:t xml:space="preserve">self</w:t>
      </w:r>
      <w:r>
        <w:rPr>
          <w:rStyle w:val="NormalTok"/>
        </w:rPr>
        <w:t xml:space="preserve">.window)</w:t>
      </w:r>
      <w:r>
        <w:br/>
      </w:r>
      <w:r>
        <w:rPr>
          <w:rStyle w:val="NormalTok"/>
        </w:rPr>
        <w:t xml:space="preserve">            </w:t>
      </w:r>
      <w:r>
        <w:rPr>
          <w:rStyle w:val="VariableTok"/>
        </w:rPr>
        <w:t xml:space="preserve">self</w:t>
      </w:r>
      <w:r>
        <w:rPr>
          <w:rStyle w:val="NormalTok"/>
        </w:rPr>
        <w:t xml:space="preserve">.prev </w:t>
      </w:r>
      <w:r>
        <w:rPr>
          <w:rStyle w:val="OperatorTok"/>
        </w:rPr>
        <w:t xml:space="preserve">=</w:t>
      </w:r>
      <w:r>
        <w:rPr>
          <w:rStyle w:val="NormalTok"/>
        </w:rPr>
        <w:t xml:space="preserve"> </w:t>
      </w:r>
      <w:r>
        <w:rPr>
          <w:rStyle w:val="VariableTok"/>
        </w:rPr>
        <w:t xml:space="preserve">self</w:t>
      </w:r>
      <w:r>
        <w:rPr>
          <w:rStyle w:val="NormalTok"/>
        </w:rPr>
        <w:t xml:space="preserve">.curr </w:t>
      </w:r>
      <w:r>
        <w:rPr>
          <w:rStyle w:val="ControlFlowTok"/>
        </w:rPr>
        <w:t xml:space="preserve">if</w:t>
      </w:r>
      <w:r>
        <w:rPr>
          <w:rStyle w:val="NormalTok"/>
        </w:rPr>
        <w:t xml:space="preserve"> gap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mmentTok"/>
        </w:rPr>
        <w:t xml:space="preserve"># an idle gap &gt; 1 window empties both</w:t>
      </w:r>
      <w:r>
        <w:br/>
      </w:r>
      <w:r>
        <w:rPr>
          <w:rStyle w:val="NormalTok"/>
        </w:rPr>
        <w:t xml:space="preserve">            </w:t>
      </w:r>
      <w:r>
        <w:rPr>
          <w:rStyle w:val="VariableTok"/>
        </w:rPr>
        <w:t xml:space="preserve">self</w:t>
      </w:r>
      <w:r>
        <w:rPr>
          <w:rStyle w:val="NormalTok"/>
        </w:rPr>
        <w:t xml:space="preserve">.curr, </w:t>
      </w:r>
      <w:r>
        <w:rPr>
          <w:rStyle w:val="VariableTok"/>
        </w:rPr>
        <w:t xml:space="preserve">self</w:t>
      </w:r>
      <w:r>
        <w:rPr>
          <w:rStyle w:val="NormalTok"/>
        </w:rPr>
        <w:t xml:space="preserve">.start </w:t>
      </w:r>
      <w:r>
        <w:rPr>
          <w:rStyle w:val="OperatorTok"/>
        </w:rPr>
        <w:t xml:space="preserve">=</w:t>
      </w:r>
      <w:r>
        <w:rPr>
          <w:rStyle w:val="NormalTok"/>
        </w:rPr>
        <w:t xml:space="preserve"> </w:t>
      </w:r>
      <w:r>
        <w:rPr>
          <w:rStyle w:val="DecValTok"/>
        </w:rPr>
        <w:t xml:space="preserve">0</w:t>
      </w:r>
      <w:r>
        <w:rPr>
          <w:rStyle w:val="NormalTok"/>
        </w:rPr>
        <w:t xml:space="preserve">, start</w:t>
      </w:r>
      <w:r>
        <w:br/>
      </w:r>
      <w:r>
        <w:rPr>
          <w:rStyle w:val="NormalTok"/>
        </w:rPr>
        <w:t xml:space="preserve">        overlap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(now </w:t>
      </w:r>
      <w:r>
        <w:rPr>
          <w:rStyle w:val="OperatorTok"/>
        </w:rPr>
        <w:t xml:space="preserve">-</w:t>
      </w:r>
      <w:r>
        <w:rPr>
          <w:rStyle w:val="NormalTok"/>
        </w:rPr>
        <w:t xml:space="preserve"> start) </w:t>
      </w:r>
      <w:r>
        <w:rPr>
          <w:rStyle w:val="OperatorTok"/>
        </w:rPr>
        <w:t xml:space="preserve">/</w:t>
      </w:r>
      <w:r>
        <w:rPr>
          <w:rStyle w:val="NormalTok"/>
        </w:rPr>
        <w:t xml:space="preserve"> </w:t>
      </w:r>
      <w:r>
        <w:rPr>
          <w:rStyle w:val="VariableTok"/>
        </w:rPr>
        <w:t xml:space="preserve">self</w:t>
      </w:r>
      <w:r>
        <w:rPr>
          <w:rStyle w:val="NormalTok"/>
        </w:rPr>
        <w:t xml:space="preserve">.window  </w:t>
      </w:r>
      <w:r>
        <w:rPr>
          <w:rStyle w:val="CommentTok"/>
        </w:rPr>
        <w:t xml:space="preserve"># share of previous window still inside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.prev </w:t>
      </w:r>
      <w:r>
        <w:rPr>
          <w:rStyle w:val="OperatorTok"/>
        </w:rPr>
        <w:t xml:space="preserve">*</w:t>
      </w:r>
      <w:r>
        <w:rPr>
          <w:rStyle w:val="NormalTok"/>
        </w:rPr>
        <w:t xml:space="preserve"> overlap </w:t>
      </w:r>
      <w:r>
        <w:rPr>
          <w:rStyle w:val="OperatorTok"/>
        </w:rPr>
        <w:t xml:space="preserve">+</w:t>
      </w:r>
      <w:r>
        <w:rPr>
          <w:rStyle w:val="NormalTok"/>
        </w:rPr>
        <w:t xml:space="preserve"> </w:t>
      </w:r>
      <w:r>
        <w:rPr>
          <w:rStyle w:val="VariableTok"/>
        </w:rPr>
        <w:t xml:space="preserve">self</w:t>
      </w:r>
      <w:r>
        <w:rPr>
          <w:rStyle w:val="NormalTok"/>
        </w:rPr>
        <w:t xml:space="preserve">.curr</w:t>
      </w:r>
      <w:r>
        <w:br/>
      </w:r>
      <w:r>
        <w:br/>
      </w:r>
      <w:r>
        <w:rPr>
          <w:rStyle w:val="NormalTok"/>
        </w:rPr>
        <w:t xml:space="preserve">    </w:t>
      </w:r>
      <w:r>
        <w:rPr>
          <w:rStyle w:val="KeywordTok"/>
        </w:rPr>
        <w:t xml:space="preserve">def</w:t>
      </w:r>
      <w:r>
        <w:rPr>
          <w:rStyle w:val="NormalTok"/>
        </w:rPr>
        <w:t xml:space="preserve"> try_acquire(</w:t>
      </w:r>
      <w:r>
        <w:rPr>
          <w:rStyle w:val="VariableTok"/>
        </w:rPr>
        <w:t xml:space="preserve">self</w:t>
      </w:r>
      <w:r>
        <w:rPr>
          <w:rStyle w:val="NormalTok"/>
        </w:rPr>
        <w:t xml:space="preserve">, now):</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.estimate(now)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w:t>
      </w:r>
      <w:r>
        <w:rPr>
          <w:rStyle w:val="NormalTok"/>
        </w:rPr>
        <w:t xml:space="preserve"> </w:t>
      </w:r>
      <w:r>
        <w:rPr>
          <w:rStyle w:val="VariableTok"/>
        </w:rPr>
        <w:t xml:space="preserve">self</w:t>
      </w:r>
      <w:r>
        <w:rPr>
          <w:rStyle w:val="NormalTok"/>
        </w:rPr>
        <w:t xml:space="preserve">.limit:     </w:t>
      </w:r>
      <w:r>
        <w:rPr>
          <w:rStyle w:val="CommentTok"/>
        </w:rPr>
        <w:t xml:space="preserve"># never let the estimate exceed the limit</w:t>
      </w:r>
      <w:r>
        <w:br/>
      </w:r>
      <w:r>
        <w:rPr>
          <w:rStyle w:val="NormalTok"/>
        </w:rPr>
        <w:t xml:space="preserve">            </w:t>
      </w:r>
      <w:r>
        <w:rPr>
          <w:rStyle w:val="VariableTok"/>
        </w:rPr>
        <w:t xml:space="preserve">self</w:t>
      </w:r>
      <w:r>
        <w:rPr>
          <w:rStyle w:val="NormalTok"/>
        </w:rPr>
        <w:t xml:space="preserve">.curr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br/>
      </w:r>
      <w:r>
        <w:rPr>
          <w:rStyle w:val="KeywordTok"/>
        </w:rPr>
        <w:t xml:space="preserve">def</w:t>
      </w:r>
      <w:r>
        <w:rPr>
          <w:rStyle w:val="NormalTok"/>
        </w:rPr>
        <w:t xml:space="preserve"> boundary_burst(limiter):</w:t>
      </w:r>
      <w:r>
        <w:br/>
      </w:r>
      <w:r>
        <w:rPr>
          <w:rStyle w:val="NormalTok"/>
        </w:rPr>
        <w:t xml:space="preserve">    </w:t>
      </w:r>
      <w:r>
        <w:rPr>
          <w:rStyle w:val="CommentTok"/>
        </w:rPr>
        <w:t xml:space="preserve">"""100 requests in the last second of a minute, 100 in the first second of the next."""</w:t>
      </w:r>
      <w:r>
        <w:br/>
      </w:r>
      <w:r>
        <w:rPr>
          <w:rStyle w:val="NormalTok"/>
        </w:rPr>
        <w:t xml:space="preserve">    times </w:t>
      </w:r>
      <w:r>
        <w:rPr>
          <w:rStyle w:val="OperatorTok"/>
        </w:rPr>
        <w:t xml:space="preserve">=</w:t>
      </w:r>
      <w:r>
        <w:rPr>
          <w:rStyle w:val="NormalTok"/>
        </w:rPr>
        <w:t xml:space="preserve"> [</w:t>
      </w:r>
      <w:r>
        <w:rPr>
          <w:rStyle w:val="DecValTok"/>
        </w:rPr>
        <w:t xml:space="preserve">59</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100</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100</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(limiter.try_acquire(t) </w:t>
      </w:r>
      <w:r>
        <w:rPr>
          <w:rStyle w:val="ControlFlowTok"/>
        </w:rPr>
        <w:t xml:space="preserve">for</w:t>
      </w:r>
      <w:r>
        <w:rPr>
          <w:rStyle w:val="NormalTok"/>
        </w:rPr>
        <w:t xml:space="preserve"> t </w:t>
      </w:r>
      <w:r>
        <w:rPr>
          <w:rStyle w:val="KeywordTok"/>
        </w:rPr>
        <w:t xml:space="preserve">in</w:t>
      </w:r>
      <w:r>
        <w:rPr>
          <w:rStyle w:val="NormalTok"/>
        </w:rPr>
        <w:t xml:space="preserve"> times)</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L, W </w:t>
      </w:r>
      <w:r>
        <w:rPr>
          <w:rStyle w:val="OperatorTok"/>
        </w:rPr>
        <w:t xml:space="preserve">=</w:t>
      </w:r>
      <w:r>
        <w:rPr>
          <w:rStyle w:val="NormalTok"/>
        </w:rPr>
        <w:t xml:space="preserve"> </w:t>
      </w:r>
      <w:r>
        <w:rPr>
          <w:rStyle w:val="DecValTok"/>
        </w:rPr>
        <w:t xml:space="preserve">100</w:t>
      </w:r>
      <w:r>
        <w:rPr>
          <w:rStyle w:val="NormalTok"/>
        </w:rPr>
        <w:t xml:space="preserve">, </w:t>
      </w:r>
      <w:r>
        <w:rPr>
          <w:rStyle w:val="FloatTok"/>
        </w:rPr>
        <w:t xml:space="preserve">60.0</w:t>
      </w:r>
      <w:r>
        <w:br/>
      </w:r>
      <w:r>
        <w:rPr>
          <w:rStyle w:val="NormalTok"/>
        </w:rPr>
        <w:t xml:space="preserve">    </w:t>
      </w:r>
      <w:r>
        <w:rPr>
          <w:rStyle w:val="BuiltInTok"/>
        </w:rPr>
        <w:t xml:space="preserve">print</w:t>
      </w:r>
      <w:r>
        <w:rPr>
          <w:rStyle w:val="NormalTok"/>
        </w:rPr>
        <w:t xml:space="preserve">(</w:t>
      </w:r>
      <w:r>
        <w:rPr>
          <w:rStyle w:val="StringTok"/>
        </w:rPr>
        <w:t xml:space="preserve">"Boundary burst (limit 100 per 60 s, 200 requests within 2 s):"</w:t>
      </w:r>
      <w:r>
        <w:rPr>
          <w:rStyle w:val="NormalTok"/>
        </w:rPr>
        <w:t xml:space="preserve">)</w:t>
      </w:r>
      <w:r>
        <w:br/>
      </w:r>
      <w:r>
        <w:rPr>
          <w:rStyle w:val="NormalTok"/>
        </w:rPr>
        <w:t xml:space="preserve">    </w:t>
      </w:r>
      <w:r>
        <w:rPr>
          <w:rStyle w:val="ControlFlowTok"/>
        </w:rPr>
        <w:t xml:space="preserve">for</w:t>
      </w:r>
      <w:r>
        <w:rPr>
          <w:rStyle w:val="NormalTok"/>
        </w:rPr>
        <w:t xml:space="preserve"> name, cls </w:t>
      </w:r>
      <w:r>
        <w:rPr>
          <w:rStyle w:val="KeywordTok"/>
        </w:rPr>
        <w:t xml:space="preserve">in</w:t>
      </w:r>
      <w:r>
        <w:rPr>
          <w:rStyle w:val="NormalTok"/>
        </w:rPr>
        <w:t xml:space="preserve"> [(</w:t>
      </w:r>
      <w:r>
        <w:rPr>
          <w:rStyle w:val="StringTok"/>
        </w:rPr>
        <w:t xml:space="preserve">"fixed window"</w:t>
      </w:r>
      <w:r>
        <w:rPr>
          <w:rStyle w:val="NormalTok"/>
        </w:rPr>
        <w:t xml:space="preserve">, FixedWindow), (</w:t>
      </w:r>
      <w:r>
        <w:rPr>
          <w:rStyle w:val="StringTok"/>
        </w:rPr>
        <w:t xml:space="preserve">"sliding log"</w:t>
      </w:r>
      <w:r>
        <w:rPr>
          <w:rStyle w:val="NormalTok"/>
        </w:rPr>
        <w:t xml:space="preserve">, SlidingLog),</w:t>
      </w:r>
      <w:r>
        <w:br/>
      </w:r>
      <w:r>
        <w:rPr>
          <w:rStyle w:val="NormalTok"/>
        </w:rPr>
        <w:t xml:space="preserve">                      (</w:t>
      </w:r>
      <w:r>
        <w:rPr>
          <w:rStyle w:val="StringTok"/>
        </w:rPr>
        <w:t xml:space="preserve">"sliding counter"</w:t>
      </w:r>
      <w:r>
        <w:rPr>
          <w:rStyle w:val="NormalTok"/>
        </w:rPr>
        <w:t xml:space="preserve">, SlidingWindowCounter)]:</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name</w:t>
      </w:r>
      <w:r>
        <w:rPr>
          <w:rStyle w:val="SpecialCharTok"/>
        </w:rPr>
        <w:t xml:space="preserve">:16s}</w:t>
      </w:r>
      <w:r>
        <w:rPr>
          <w:rStyle w:val="SpecialStringTok"/>
        </w:rPr>
        <w:t xml:space="preserve"> admitted </w:t>
      </w:r>
      <w:r>
        <w:rPr>
          <w:rStyle w:val="SpecialCharTok"/>
        </w:rPr>
        <w:t xml:space="preserve">{</w:t>
      </w:r>
      <w:r>
        <w:rPr>
          <w:rStyle w:val="NormalTok"/>
        </w:rPr>
        <w:t xml:space="preserve">boundary_burst(cls(L, W))</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Worked example of section 22.7: prev = 84, curr = 36, 15 s into the window</w:t>
      </w:r>
      <w:r>
        <w:br/>
      </w:r>
      <w:r>
        <w:rPr>
          <w:rStyle w:val="NormalTok"/>
        </w:rPr>
        <w:t xml:space="preserve">    swc </w:t>
      </w:r>
      <w:r>
        <w:rPr>
          <w:rStyle w:val="OperatorTok"/>
        </w:rPr>
        <w:t xml:space="preserve">=</w:t>
      </w:r>
      <w:r>
        <w:rPr>
          <w:rStyle w:val="NormalTok"/>
        </w:rPr>
        <w:t xml:space="preserve"> SlidingWindowCounter(L, W)</w:t>
      </w:r>
      <w:r>
        <w:br/>
      </w:r>
      <w:r>
        <w:rPr>
          <w:rStyle w:val="NormalTok"/>
        </w:rPr>
        <w:t xml:space="preserve">    swc.start, swc.prev, swc.curr </w:t>
      </w:r>
      <w:r>
        <w:rPr>
          <w:rStyle w:val="OperatorTok"/>
        </w:rPr>
        <w:t xml:space="preserve">=</w:t>
      </w:r>
      <w:r>
        <w:rPr>
          <w:rStyle w:val="NormalTok"/>
        </w:rPr>
        <w:t xml:space="preserve"> </w:t>
      </w:r>
      <w:r>
        <w:rPr>
          <w:rStyle w:val="FloatTok"/>
        </w:rPr>
        <w:t xml:space="preserve">60.0</w:t>
      </w:r>
      <w:r>
        <w:rPr>
          <w:rStyle w:val="NormalTok"/>
        </w:rPr>
        <w:t xml:space="preserve">, </w:t>
      </w:r>
      <w:r>
        <w:rPr>
          <w:rStyle w:val="DecValTok"/>
        </w:rPr>
        <w:t xml:space="preserve">84</w:t>
      </w:r>
      <w:r>
        <w:rPr>
          <w:rStyle w:val="NormalTok"/>
        </w:rPr>
        <w:t xml:space="preserve">, </w:t>
      </w:r>
      <w:r>
        <w:rPr>
          <w:rStyle w:val="DecValTok"/>
        </w:rPr>
        <w:t xml:space="preserve">36</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estimate at t=75 s: </w:t>
      </w:r>
      <w:r>
        <w:rPr>
          <w:rStyle w:val="SpecialCharTok"/>
        </w:rPr>
        <w:t xml:space="preserve">{</w:t>
      </w:r>
      <w:r>
        <w:rPr>
          <w:rStyle w:val="NormalTok"/>
        </w:rPr>
        <w:t xml:space="preserve">swc</w:t>
      </w:r>
      <w:r>
        <w:rPr>
          <w:rStyle w:val="SpecialCharTok"/>
        </w:rPr>
        <w:t xml:space="preserve">.</w:t>
      </w:r>
      <w:r>
        <w:rPr>
          <w:rStyle w:val="NormalTok"/>
        </w:rPr>
        <w:t xml:space="preserve">estimate(</w:t>
      </w:r>
      <w:r>
        <w:rPr>
          <w:rStyle w:val="FloatTok"/>
        </w:rPr>
        <w:t xml:space="preserve">75.0</w:t>
      </w:r>
      <w:r>
        <w:rPr>
          <w:rStyle w:val="NormalTok"/>
        </w:rPr>
        <w:t xml:space="preserve">)</w:t>
      </w:r>
      <w:r>
        <w:rPr>
          <w:rStyle w:val="SpecialCharTok"/>
        </w:rPr>
        <w:t xml:space="preserve">:.1f}</w:t>
      </w:r>
      <w:r>
        <w:rPr>
          <w:rStyle w:val="SpecialStringTok"/>
        </w:rPr>
        <w:t xml:space="preserve">; "</w:t>
      </w:r>
      <w:r>
        <w:br/>
      </w:r>
      <w:r>
        <w:rPr>
          <w:rStyle w:val="NormalTok"/>
        </w:rPr>
        <w:t xml:space="preserve">          </w:t>
      </w:r>
      <w:r>
        <w:rPr>
          <w:rStyle w:val="SpecialStringTok"/>
        </w:rPr>
        <w:t xml:space="preserve">f"next two requests: </w:t>
      </w:r>
      <w:r>
        <w:rPr>
          <w:rStyle w:val="SpecialCharTok"/>
        </w:rPr>
        <w:t xml:space="preserve">{</w:t>
      </w:r>
      <w:r>
        <w:rPr>
          <w:rStyle w:val="NormalTok"/>
        </w:rPr>
        <w:t xml:space="preserve">swc</w:t>
      </w:r>
      <w:r>
        <w:rPr>
          <w:rStyle w:val="SpecialCharTok"/>
        </w:rPr>
        <w:t xml:space="preserve">.</w:t>
      </w:r>
      <w:r>
        <w:rPr>
          <w:rStyle w:val="NormalTok"/>
        </w:rPr>
        <w:t xml:space="preserve">try_acquire(</w:t>
      </w:r>
      <w:r>
        <w:rPr>
          <w:rStyle w:val="FloatTok"/>
        </w:rPr>
        <w:t xml:space="preserve">75.0</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swc</w:t>
      </w:r>
      <w:r>
        <w:rPr>
          <w:rStyle w:val="SpecialCharTok"/>
        </w:rPr>
        <w:t xml:space="preserve">.</w:t>
      </w:r>
      <w:r>
        <w:rPr>
          <w:rStyle w:val="NormalTok"/>
        </w:rPr>
        <w:t xml:space="preserve">try_acquire(</w:t>
      </w:r>
      <w:r>
        <w:rPr>
          <w:rStyle w:val="FloatTok"/>
        </w:rPr>
        <w:t xml:space="preserve">75.0</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Accuracy against the exact sliding log: 4 hours of random traffic</w:t>
      </w:r>
      <w:r>
        <w:br/>
      </w:r>
      <w:r>
        <w:rPr>
          <w:rStyle w:val="NormalTok"/>
        </w:rPr>
        <w:t xml:space="preserve">    </w:t>
      </w:r>
      <w:r>
        <w:rPr>
          <w:rStyle w:val="KeywordTok"/>
        </w:rPr>
        <w:t xml:space="preserve">def</w:t>
      </w:r>
      <w:r>
        <w:rPr>
          <w:rStyle w:val="NormalTok"/>
        </w:rPr>
        <w:t xml:space="preserve"> worst_window(ts):                            </w:t>
      </w:r>
      <w:r>
        <w:rPr>
          <w:rStyle w:val="CommentTok"/>
        </w:rPr>
        <w:t xml:space="preserve"># most admitted requests in any 60 s span</w:t>
      </w:r>
      <w:r>
        <w:br/>
      </w:r>
      <w:r>
        <w:rPr>
          <w:rStyle w:val="NormalTok"/>
        </w:rPr>
        <w:t xml:space="preserve">        best, j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i, x </w:t>
      </w:r>
      <w:r>
        <w:rPr>
          <w:rStyle w:val="KeywordTok"/>
        </w:rPr>
        <w:t xml:space="preserve">in</w:t>
      </w:r>
      <w:r>
        <w:rPr>
          <w:rStyle w:val="NormalTok"/>
        </w:rPr>
        <w:t xml:space="preserve"> </w:t>
      </w:r>
      <w:r>
        <w:rPr>
          <w:rStyle w:val="BuiltInTok"/>
        </w:rPr>
        <w:t xml:space="preserve">enumerate</w:t>
      </w:r>
      <w:r>
        <w:rPr>
          <w:rStyle w:val="NormalTok"/>
        </w:rPr>
        <w:t xml:space="preserve">(ts):</w:t>
      </w:r>
      <w:r>
        <w:br/>
      </w:r>
      <w:r>
        <w:rPr>
          <w:rStyle w:val="NormalTok"/>
        </w:rPr>
        <w:t xml:space="preserve">            </w:t>
      </w:r>
      <w:r>
        <w:rPr>
          <w:rStyle w:val="ControlFlowTok"/>
        </w:rPr>
        <w:t xml:space="preserve">while</w:t>
      </w:r>
      <w:r>
        <w:rPr>
          <w:rStyle w:val="NormalTok"/>
        </w:rPr>
        <w:t xml:space="preserve"> ts[j] </w:t>
      </w:r>
      <w:r>
        <w:rPr>
          <w:rStyle w:val="OperatorTok"/>
        </w:rPr>
        <w:t xml:space="preserve">&lt;=</w:t>
      </w:r>
      <w:r>
        <w:rPr>
          <w:rStyle w:val="NormalTok"/>
        </w:rPr>
        <w:t xml:space="preserve"> x </w:t>
      </w:r>
      <w:r>
        <w:rPr>
          <w:rStyle w:val="OperatorTok"/>
        </w:rPr>
        <w:t xml:space="preserve">-</w:t>
      </w:r>
      <w:r>
        <w:rPr>
          <w:rStyle w:val="NormalTok"/>
        </w:rPr>
        <w:t xml:space="preserve"> W:</w:t>
      </w:r>
      <w:r>
        <w:br/>
      </w:r>
      <w:r>
        <w:rPr>
          <w:rStyle w:val="NormalTok"/>
        </w:rPr>
        <w:t xml:space="preserve">                j </w:t>
      </w:r>
      <w:r>
        <w:rPr>
          <w:rStyle w:val="OperatorTok"/>
        </w:rPr>
        <w:t xml:space="preserve">+=</w:t>
      </w:r>
      <w:r>
        <w:rPr>
          <w:rStyle w:val="NormalTok"/>
        </w:rPr>
        <w:t xml:space="preserve"> </w:t>
      </w:r>
      <w:r>
        <w:rPr>
          <w:rStyle w:val="DecValTok"/>
        </w:rPr>
        <w:t xml:space="preserve">1</w:t>
      </w:r>
      <w:r>
        <w:br/>
      </w:r>
      <w:r>
        <w:rPr>
          <w:rStyle w:val="NormalTok"/>
        </w:rPr>
        <w:t xml:space="preserve">            best </w:t>
      </w:r>
      <w:r>
        <w:rPr>
          <w:rStyle w:val="OperatorTok"/>
        </w:rPr>
        <w:t xml:space="preserve">=</w:t>
      </w:r>
      <w:r>
        <w:rPr>
          <w:rStyle w:val="NormalTok"/>
        </w:rPr>
        <w:t xml:space="preserve"> </w:t>
      </w:r>
      <w:r>
        <w:rPr>
          <w:rStyle w:val="BuiltInTok"/>
        </w:rPr>
        <w:t xml:space="preserve">max</w:t>
      </w:r>
      <w:r>
        <w:rPr>
          <w:rStyle w:val="NormalTok"/>
        </w:rPr>
        <w:t xml:space="preserve">(best, i </w:t>
      </w:r>
      <w:r>
        <w:rPr>
          <w:rStyle w:val="OperatorTok"/>
        </w:rPr>
        <w:t xml:space="preserve">-</w:t>
      </w:r>
      <w:r>
        <w:rPr>
          <w:rStyle w:val="NormalTok"/>
        </w:rPr>
        <w:t xml:space="preserve"> j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best</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pattern  RPS  offered  | log: admitted worst60 | counter: admitted worst60 "</w:t>
      </w:r>
      <w:r>
        <w:br/>
      </w:r>
      <w:r>
        <w:rPr>
          <w:rStyle w:val="NormalTok"/>
        </w:rPr>
        <w:t xml:space="preserve">          </w:t>
      </w:r>
      <w:r>
        <w:rPr>
          <w:rStyle w:val="StringTok"/>
        </w:rPr>
        <w:t xml:space="preserve">"| fixed: admitted worst60"</w:t>
      </w:r>
      <w:r>
        <w:rPr>
          <w:rStyle w:val="NormalTok"/>
        </w:rPr>
        <w:t xml:space="preserve">)</w:t>
      </w:r>
      <w:r>
        <w:br/>
      </w:r>
      <w:r>
        <w:rPr>
          <w:rStyle w:val="NormalTok"/>
        </w:rPr>
        <w:t xml:space="preserve">    </w:t>
      </w:r>
      <w:r>
        <w:rPr>
          <w:rStyle w:val="ControlFlowTok"/>
        </w:rPr>
        <w:t xml:space="preserve">for</w:t>
      </w:r>
      <w:r>
        <w:rPr>
          <w:rStyle w:val="NormalTok"/>
        </w:rPr>
        <w:t xml:space="preserve"> pattern </w:t>
      </w:r>
      <w:r>
        <w:rPr>
          <w:rStyle w:val="KeywordTok"/>
        </w:rPr>
        <w:t xml:space="preserve">in</w:t>
      </w:r>
      <w:r>
        <w:rPr>
          <w:rStyle w:val="NormalTok"/>
        </w:rPr>
        <w:t xml:space="preserve"> (</w:t>
      </w:r>
      <w:r>
        <w:rPr>
          <w:rStyle w:val="StringTok"/>
        </w:rPr>
        <w:t xml:space="preserve">"steady"</w:t>
      </w:r>
      <w:r>
        <w:rPr>
          <w:rStyle w:val="NormalTok"/>
        </w:rPr>
        <w:t xml:space="preserve">, </w:t>
      </w:r>
      <w:r>
        <w:rPr>
          <w:rStyle w:val="StringTok"/>
        </w:rPr>
        <w:t xml:space="preserve">"on/off"</w:t>
      </w:r>
      <w:r>
        <w:rPr>
          <w:rStyle w:val="NormalTok"/>
        </w:rPr>
        <w:t xml:space="preserve">):             </w:t>
      </w:r>
      <w:r>
        <w:rPr>
          <w:rStyle w:val="CommentTok"/>
        </w:rPr>
        <w:t xml:space="preserve"># on/off: 40 s on, 20 s silent</w:t>
      </w:r>
      <w:r>
        <w:br/>
      </w:r>
      <w:r>
        <w:rPr>
          <w:rStyle w:val="NormalTok"/>
        </w:rPr>
        <w:t xml:space="preserve">        </w:t>
      </w:r>
      <w:r>
        <w:rPr>
          <w:rStyle w:val="ControlFlowTok"/>
        </w:rPr>
        <w:t xml:space="preserve">for</w:t>
      </w:r>
      <w:r>
        <w:rPr>
          <w:rStyle w:val="NormalTok"/>
        </w:rPr>
        <w:t xml:space="preserve"> rate </w:t>
      </w:r>
      <w:r>
        <w:rPr>
          <w:rStyle w:val="KeywordTok"/>
        </w:rPr>
        <w:t xml:space="preserve">in</w:t>
      </w:r>
      <w:r>
        <w:rPr>
          <w:rStyle w:val="NormalTok"/>
        </w:rPr>
        <w:t xml:space="preserve"> (</w:t>
      </w:r>
      <w:r>
        <w:rPr>
          <w:rStyle w:val="FloatTok"/>
        </w:rPr>
        <w:t xml:space="preserve">1.5</w:t>
      </w:r>
      <w:r>
        <w:rPr>
          <w:rStyle w:val="NormalTok"/>
        </w:rPr>
        <w:t xml:space="preserve">, </w:t>
      </w:r>
      <w:r>
        <w:rPr>
          <w:rStyle w:val="FloatTok"/>
        </w:rPr>
        <w:t xml:space="preserve">3.0</w:t>
      </w:r>
      <w:r>
        <w:rPr>
          <w:rStyle w:val="NormalTok"/>
        </w:rPr>
        <w:t xml:space="preserve">):</w:t>
      </w:r>
      <w:r>
        <w:br/>
      </w:r>
      <w:r>
        <w:rPr>
          <w:rStyle w:val="NormalTok"/>
        </w:rPr>
        <w:t xml:space="preserve">            rng, times, t </w:t>
      </w:r>
      <w:r>
        <w:rPr>
          <w:rStyle w:val="OperatorTok"/>
        </w:rPr>
        <w:t xml:space="preserve">=</w:t>
      </w:r>
      <w:r>
        <w:rPr>
          <w:rStyle w:val="NormalTok"/>
        </w:rPr>
        <w:t xml:space="preserve"> random.Random(</w:t>
      </w:r>
      <w:r>
        <w:rPr>
          <w:rStyle w:val="DecValTok"/>
        </w:rPr>
        <w:t xml:space="preserve">42</w:t>
      </w:r>
      <w:r>
        <w:rPr>
          <w:rStyle w:val="NormalTok"/>
        </w:rPr>
        <w:t xml:space="preserve">), [], </w:t>
      </w:r>
      <w:r>
        <w:rPr>
          <w:rStyle w:val="FloatTok"/>
        </w:rPr>
        <w:t xml:space="preserve">0.0</w:t>
      </w:r>
      <w:r>
        <w:br/>
      </w:r>
      <w:r>
        <w:rPr>
          <w:rStyle w:val="NormalTok"/>
        </w:rPr>
        <w:t xml:space="preserve">            </w:t>
      </w:r>
      <w:r>
        <w:rPr>
          <w:rStyle w:val="ControlFlowTok"/>
        </w:rPr>
        <w:t xml:space="preserve">while</w:t>
      </w:r>
      <w:r>
        <w:rPr>
          <w:rStyle w:val="NormalTok"/>
        </w:rPr>
        <w:t xml:space="preserve"> t </w:t>
      </w:r>
      <w:r>
        <w:rPr>
          <w:rStyle w:val="OperatorTok"/>
        </w:rPr>
        <w:t xml:space="preserve">&lt;</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3600</w:t>
      </w:r>
      <w:r>
        <w:rPr>
          <w:rStyle w:val="NormalTok"/>
        </w:rPr>
        <w:t xml:space="preserve">:</w:t>
      </w:r>
      <w:r>
        <w:br/>
      </w:r>
      <w:r>
        <w:rPr>
          <w:rStyle w:val="NormalTok"/>
        </w:rPr>
        <w:t xml:space="preserve">                t </w:t>
      </w:r>
      <w:r>
        <w:rPr>
          <w:rStyle w:val="OperatorTok"/>
        </w:rPr>
        <w:t xml:space="preserve">+=</w:t>
      </w:r>
      <w:r>
        <w:rPr>
          <w:rStyle w:val="NormalTok"/>
        </w:rPr>
        <w:t xml:space="preserve"> rng.expovariate(rate)</w:t>
      </w:r>
      <w:r>
        <w:br/>
      </w:r>
      <w:r>
        <w:rPr>
          <w:rStyle w:val="NormalTok"/>
        </w:rPr>
        <w:t xml:space="preserve">                </w:t>
      </w:r>
      <w:r>
        <w:rPr>
          <w:rStyle w:val="ControlFlowTok"/>
        </w:rPr>
        <w:t xml:space="preserve">if</w:t>
      </w:r>
      <w:r>
        <w:rPr>
          <w:rStyle w:val="NormalTok"/>
        </w:rPr>
        <w:t xml:space="preserve"> pattern </w:t>
      </w:r>
      <w:r>
        <w:rPr>
          <w:rStyle w:val="OperatorTok"/>
        </w:rPr>
        <w:t xml:space="preserve">==</w:t>
      </w:r>
      <w:r>
        <w:rPr>
          <w:rStyle w:val="NormalTok"/>
        </w:rPr>
        <w:t xml:space="preserve"> </w:t>
      </w:r>
      <w:r>
        <w:rPr>
          <w:rStyle w:val="StringTok"/>
        </w:rPr>
        <w:t xml:space="preserve">"steady"</w:t>
      </w:r>
      <w:r>
        <w:rPr>
          <w:rStyle w:val="NormalTok"/>
        </w:rPr>
        <w:t xml:space="preserve"> </w:t>
      </w:r>
      <w:r>
        <w:rPr>
          <w:rStyle w:val="KeywordTok"/>
        </w:rPr>
        <w:t xml:space="preserve">or</w:t>
      </w:r>
      <w:r>
        <w:rPr>
          <w:rStyle w:val="NormalTok"/>
        </w:rPr>
        <w:t xml:space="preserve"> </w:t>
      </w:r>
      <w:r>
        <w:rPr>
          <w:rStyle w:val="BuiltInTok"/>
        </w:rPr>
        <w:t xml:space="preserve">int</w:t>
      </w:r>
      <w:r>
        <w:rPr>
          <w:rStyle w:val="NormalTok"/>
        </w:rPr>
        <w:t xml:space="preserve">(t </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times.append(t)</w:t>
      </w:r>
      <w:r>
        <w:br/>
      </w:r>
      <w:r>
        <w:rPr>
          <w:rStyle w:val="NormalTok"/>
        </w:rPr>
        <w:t xml:space="preserve">            row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cls </w:t>
      </w:r>
      <w:r>
        <w:rPr>
          <w:rStyle w:val="KeywordTok"/>
        </w:rPr>
        <w:t xml:space="preserve">in</w:t>
      </w:r>
      <w:r>
        <w:rPr>
          <w:rStyle w:val="NormalTok"/>
        </w:rPr>
        <w:t xml:space="preserve"> (SlidingLog, SlidingWindowCounter, FixedWindow):</w:t>
      </w:r>
      <w:r>
        <w:br/>
      </w:r>
      <w:r>
        <w:rPr>
          <w:rStyle w:val="NormalTok"/>
        </w:rPr>
        <w:t xml:space="preserve">                lim </w:t>
      </w:r>
      <w:r>
        <w:rPr>
          <w:rStyle w:val="OperatorTok"/>
        </w:rPr>
        <w:t xml:space="preserve">=</w:t>
      </w:r>
      <w:r>
        <w:rPr>
          <w:rStyle w:val="NormalTok"/>
        </w:rPr>
        <w:t xml:space="preserve"> cls(L, W)</w:t>
      </w:r>
      <w:r>
        <w:br/>
      </w:r>
      <w:r>
        <w:rPr>
          <w:rStyle w:val="NormalTok"/>
        </w:rPr>
        <w:t xml:space="preserve">                ok </w:t>
      </w:r>
      <w:r>
        <w:rPr>
          <w:rStyle w:val="OperatorTok"/>
        </w:rPr>
        <w:t xml:space="preserve">=</w:t>
      </w:r>
      <w:r>
        <w:rPr>
          <w:rStyle w:val="NormalTok"/>
        </w:rPr>
        <w:t xml:space="preserve"> [x </w:t>
      </w:r>
      <w:r>
        <w:rPr>
          <w:rStyle w:val="ControlFlowTok"/>
        </w:rPr>
        <w:t xml:space="preserve">for</w:t>
      </w:r>
      <w:r>
        <w:rPr>
          <w:rStyle w:val="NormalTok"/>
        </w:rPr>
        <w:t xml:space="preserve"> x </w:t>
      </w:r>
      <w:r>
        <w:rPr>
          <w:rStyle w:val="KeywordTok"/>
        </w:rPr>
        <w:t xml:space="preserve">in</w:t>
      </w:r>
      <w:r>
        <w:rPr>
          <w:rStyle w:val="NormalTok"/>
        </w:rPr>
        <w:t xml:space="preserve"> times </w:t>
      </w:r>
      <w:r>
        <w:rPr>
          <w:rStyle w:val="ControlFlowTok"/>
        </w:rPr>
        <w:t xml:space="preserve">if</w:t>
      </w:r>
      <w:r>
        <w:rPr>
          <w:rStyle w:val="NormalTok"/>
        </w:rPr>
        <w:t xml:space="preserve"> lim.try_acquire(x)]</w:t>
      </w:r>
      <w:r>
        <w:br/>
      </w:r>
      <w:r>
        <w:rPr>
          <w:rStyle w:val="NormalTok"/>
        </w:rPr>
        <w:t xml:space="preserve">                row.append(</w:t>
      </w:r>
      <w:r>
        <w:rPr>
          <w:rStyle w:val="SpecialStringTok"/>
        </w:rPr>
        <w:t xml:space="preserve">f"</w:t>
      </w:r>
      <w:r>
        <w:rPr>
          <w:rStyle w:val="SpecialCharTok"/>
        </w:rPr>
        <w:t xml:space="preserve">{</w:t>
      </w:r>
      <w:r>
        <w:rPr>
          <w:rStyle w:val="BuiltInTok"/>
        </w:rPr>
        <w:t xml:space="preserve">len</w:t>
      </w:r>
      <w:r>
        <w:rPr>
          <w:rStyle w:val="NormalTok"/>
        </w:rPr>
        <w:t xml:space="preserve">(ok)</w:t>
      </w:r>
      <w:r>
        <w:rPr>
          <w:rStyle w:val="SpecialCharTok"/>
        </w:rPr>
        <w:t xml:space="preserve">:&gt;6}</w:t>
      </w:r>
      <w:r>
        <w:rPr>
          <w:rStyle w:val="SpecialStringTok"/>
        </w:rPr>
        <w:t xml:space="preserve"> </w:t>
      </w:r>
      <w:r>
        <w:rPr>
          <w:rStyle w:val="SpecialCharTok"/>
        </w:rPr>
        <w:t xml:space="preserve">{</w:t>
      </w:r>
      <w:r>
        <w:rPr>
          <w:rStyle w:val="NormalTok"/>
        </w:rPr>
        <w:t xml:space="preserve">worst_window(ok)</w:t>
      </w:r>
      <w:r>
        <w:rPr>
          <w:rStyle w:val="SpecialCharTok"/>
        </w:rPr>
        <w:t xml:space="preserve">:&gt;4}</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pattern</w:t>
      </w:r>
      <w:r>
        <w:rPr>
          <w:rStyle w:val="SpecialCharTok"/>
        </w:rPr>
        <w:t xml:space="preserve">:7s}</w:t>
      </w:r>
      <w:r>
        <w:rPr>
          <w:rStyle w:val="SpecialStringTok"/>
        </w:rPr>
        <w:t xml:space="preserve"> </w:t>
      </w:r>
      <w:r>
        <w:rPr>
          <w:rStyle w:val="SpecialCharTok"/>
        </w:rPr>
        <w:t xml:space="preserve">{</w:t>
      </w:r>
      <w:r>
        <w:rPr>
          <w:rStyle w:val="NormalTok"/>
        </w:rPr>
        <w:t xml:space="preserve">rate</w:t>
      </w:r>
      <w:r>
        <w:rPr>
          <w:rStyle w:val="SpecialCharTok"/>
        </w:rPr>
        <w:t xml:space="preserve">:4.1f}</w:t>
      </w:r>
      <w:r>
        <w:rPr>
          <w:rStyle w:val="SpecialStringTok"/>
        </w:rPr>
        <w:t xml:space="preserve"> </w:t>
      </w:r>
      <w:r>
        <w:rPr>
          <w:rStyle w:val="SpecialCharTok"/>
        </w:rPr>
        <w:t xml:space="preserve">{</w:t>
      </w:r>
      <w:r>
        <w:rPr>
          <w:rStyle w:val="BuiltInTok"/>
        </w:rPr>
        <w:t xml:space="preserve">len</w:t>
      </w:r>
      <w:r>
        <w:rPr>
          <w:rStyle w:val="NormalTok"/>
        </w:rPr>
        <w:t xml:space="preserve">(times)</w:t>
      </w:r>
      <w:r>
        <w:rPr>
          <w:rStyle w:val="SpecialCharTok"/>
        </w:rPr>
        <w:t xml:space="preserve">:&gt;8}</w:t>
      </w:r>
      <w:r>
        <w:rPr>
          <w:rStyle w:val="SpecialStringTok"/>
        </w:rPr>
        <w:t xml:space="preserve">  |  "</w:t>
      </w:r>
      <w:r>
        <w:rPr>
          <w:rStyle w:val="NormalTok"/>
        </w:rPr>
        <w:t xml:space="preserve"> </w:t>
      </w:r>
      <w:r>
        <w:rPr>
          <w:rStyle w:val="OperatorTok"/>
        </w:rPr>
        <w:t xml:space="preserve">+</w:t>
      </w:r>
      <w:r>
        <w:rPr>
          <w:rStyle w:val="NormalTok"/>
        </w:rPr>
        <w:t xml:space="preserve"> </w:t>
      </w:r>
      <w:r>
        <w:rPr>
          <w:rStyle w:val="StringTok"/>
        </w:rPr>
        <w:t xml:space="preserve">"      |  "</w:t>
      </w:r>
      <w:r>
        <w:rPr>
          <w:rStyle w:val="NormalTok"/>
        </w:rPr>
        <w:t xml:space="preserve">.join(row))</w:t>
      </w:r>
      <w:r>
        <w:br/>
      </w:r>
      <w:r>
        <w:br/>
      </w:r>
      <w:r>
        <w:rPr>
          <w:rStyle w:val="NormalTok"/>
        </w:rPr>
        <w:t xml:space="preserve">    </w:t>
      </w:r>
      <w:r>
        <w:rPr>
          <w:rStyle w:val="ControlFlowTok"/>
        </w:rPr>
        <w:t xml:space="preserve">assert</w:t>
      </w:r>
      <w:r>
        <w:rPr>
          <w:rStyle w:val="NormalTok"/>
        </w:rPr>
        <w:t xml:space="preserve"> boundary_burst(FixedWindow(L, W)) </w:t>
      </w:r>
      <w:r>
        <w:rPr>
          <w:rStyle w:val="OperatorTok"/>
        </w:rPr>
        <w:t xml:space="preserve">==</w:t>
      </w:r>
      <w:r>
        <w:rPr>
          <w:rStyle w:val="NormalTok"/>
        </w:rPr>
        <w:t xml:space="preserve"> </w:t>
      </w:r>
      <w:r>
        <w:rPr>
          <w:rStyle w:val="DecValTok"/>
        </w:rPr>
        <w:t xml:space="preserve">200</w:t>
      </w:r>
      <w:r>
        <w:br/>
      </w:r>
      <w:r>
        <w:rPr>
          <w:rStyle w:val="NormalTok"/>
        </w:rPr>
        <w:t xml:space="preserve">    </w:t>
      </w:r>
      <w:r>
        <w:rPr>
          <w:rStyle w:val="ControlFlowTok"/>
        </w:rPr>
        <w:t xml:space="preserve">assert</w:t>
      </w:r>
      <w:r>
        <w:rPr>
          <w:rStyle w:val="NormalTok"/>
        </w:rPr>
        <w:t xml:space="preserve"> boundary_burst(SlidingLog(L, W)) </w:t>
      </w:r>
      <w:r>
        <w:rPr>
          <w:rStyle w:val="OperatorTok"/>
        </w:rPr>
        <w:t xml:space="preserve">==</w:t>
      </w:r>
      <w:r>
        <w:rPr>
          <w:rStyle w:val="NormalTok"/>
        </w:rPr>
        <w:t xml:space="preserve"> </w:t>
      </w:r>
      <w:r>
        <w:rPr>
          <w:rStyle w:val="DecValTok"/>
        </w:rPr>
        <w:t xml:space="preserve">100</w:t>
      </w:r>
    </w:p>
    <w:p>
      <w:pPr>
        <w:pStyle w:val="FirstParagraph"/>
      </w:pPr>
      <w:r>
        <w:t xml:space="preserve">Output:</w:t>
      </w:r>
    </w:p>
    <w:p>
      <w:pPr>
        <w:pStyle w:val="SourceCode"/>
      </w:pPr>
      <w:r>
        <w:rPr>
          <w:rStyle w:val="VerbatimChar"/>
        </w:rPr>
        <w:t xml:space="preserve">Boundary burst (limit 100 per 60 s, 200 requests within 2 s):</w:t>
      </w:r>
      <w:r>
        <w:br/>
      </w:r>
      <w:r>
        <w:rPr>
          <w:rStyle w:val="VerbatimChar"/>
        </w:rPr>
        <w:t xml:space="preserve">  fixed window     admitted 200</w:t>
      </w:r>
      <w:r>
        <w:br/>
      </w:r>
      <w:r>
        <w:rPr>
          <w:rStyle w:val="VerbatimChar"/>
        </w:rPr>
        <w:t xml:space="preserve">  sliding log      admitted 100</w:t>
      </w:r>
      <w:r>
        <w:br/>
      </w:r>
      <w:r>
        <w:rPr>
          <w:rStyle w:val="VerbatimChar"/>
        </w:rPr>
        <w:t xml:space="preserve">  sliding counter  admitted 101</w:t>
      </w:r>
      <w:r>
        <w:br/>
      </w:r>
      <w:r>
        <w:br/>
      </w:r>
      <w:r>
        <w:rPr>
          <w:rStyle w:val="VerbatimChar"/>
        </w:rPr>
        <w:t xml:space="preserve">estimate at t=75 s: 99.0; next two requests: True, False</w:t>
      </w:r>
      <w:r>
        <w:br/>
      </w:r>
      <w:r>
        <w:br/>
      </w:r>
      <w:r>
        <w:rPr>
          <w:rStyle w:val="VerbatimChar"/>
        </w:rPr>
        <w:t xml:space="preserve">pattern  RPS  offered  | log: admitted worst60 | counter: admitted worst60 | fixed: admitted worst60</w:t>
      </w:r>
      <w:r>
        <w:br/>
      </w:r>
      <w:r>
        <w:rPr>
          <w:rStyle w:val="VerbatimChar"/>
        </w:rPr>
        <w:t xml:space="preserve">steady   1.5    21574  |   21034  100      |   21166  113      |   21383  115</w:t>
      </w:r>
      <w:r>
        <w:br/>
      </w:r>
      <w:r>
        <w:rPr>
          <w:rStyle w:val="VerbatimChar"/>
        </w:rPr>
        <w:t xml:space="preserve">steady   3.0    43246  |   23726  100      |   23683  105      |   24001  137</w:t>
      </w:r>
      <w:r>
        <w:br/>
      </w:r>
      <w:r>
        <w:rPr>
          <w:rStyle w:val="VerbatimChar"/>
        </w:rPr>
        <w:t xml:space="preserve">on/off   1.5    14342  |   14342   86      |   14339   85      |   14342   86</w:t>
      </w:r>
      <w:r>
        <w:br/>
      </w:r>
      <w:r>
        <w:rPr>
          <w:rStyle w:val="VerbatimChar"/>
        </w:rPr>
        <w:t xml:space="preserve">on/off   3.0    28717  |   23110  100      |   17845  100      |   23929  137</w:t>
      </w:r>
    </w:p>
    <w:p>
      <w:pPr>
        <w:pStyle w:val="FirstParagraph"/>
      </w:pPr>
      <w:r>
        <w:t xml:space="preserve">What to notice:</w:t>
      </w:r>
    </w:p>
    <w:p>
      <w:pPr>
        <w:numPr>
          <w:ilvl w:val="0"/>
          <w:numId w:val="1723"/>
        </w:numPr>
        <w:pStyle w:val="Compact"/>
      </w:pPr>
      <w:r>
        <w:rPr>
          <w:bCs/>
          <w:b/>
        </w:rPr>
        <w:t xml:space="preserve">Boundary burst:</w:t>
      </w:r>
      <w:r>
        <w:t xml:space="preserve"> </w:t>
      </w:r>
      <w:r>
        <w:t xml:space="preserve">fixed admits 200, log 100, counter 101 (one slips in 0.6 s after the boundary).</w:t>
      </w:r>
    </w:p>
    <w:p>
      <w:pPr>
        <w:numPr>
          <w:ilvl w:val="0"/>
          <w:numId w:val="1723"/>
        </w:numPr>
        <w:pStyle w:val="Compact"/>
      </w:pPr>
      <w:r>
        <w:rPr>
          <w:bCs/>
          <w:b/>
        </w:rPr>
        <w:t xml:space="preserve">Steady traffic:</w:t>
      </w:r>
      <w:r>
        <w:t xml:space="preserve"> </w:t>
      </w:r>
      <w:r>
        <w:t xml:space="preserve">the counter admits within 1% of the log; its worst real 60 s window is 105–113 (5–13% over) versus 137 for the fixed window.</w:t>
      </w:r>
    </w:p>
    <w:p>
      <w:pPr>
        <w:numPr>
          <w:ilvl w:val="0"/>
          <w:numId w:val="1723"/>
        </w:numPr>
        <w:pStyle w:val="Compact"/>
      </w:pPr>
      <w:r>
        <w:rPr>
          <w:bCs/>
          <w:b/>
        </w:rPr>
        <w:t xml:space="preserve">Periodic traffic</w:t>
      </w:r>
      <w:r>
        <w:t xml:space="preserve"> </w:t>
      </w:r>
      <w:r>
        <w:t xml:space="preserve">(40 s on, 20 s off, in step with the window) breaks the uniformity assumption: at 3 RPS the counter admits 23% fewer than the log (17,845 versus 23,110).</w:t>
      </w:r>
    </w:p>
    <w:p>
      <w:pPr>
        <w:pStyle w:val="CalloutIndustry"/>
      </w:pPr>
      <w:r>
        <w:rPr>
          <w:bCs/>
          <w:b/>
        </w:rPr>
        <w:t xml:space="preserve">INDUSTRY EXAMPLE</w:t>
      </w:r>
    </w:p>
    <w:p>
      <w:pPr>
        <w:pStyle w:val="CalloutIndustry"/>
      </w:pPr>
      <w:r>
        <w:rPr>
          <w:bCs/>
          <w:b/>
        </w:rPr>
        <w:t xml:space="preserve">Cloudflare’s rate limiting.</w:t>
      </w:r>
      <w:r>
        <w:t xml:space="preserve"> </w:t>
      </w:r>
      <w:r>
        <w:t xml:space="preserve">Cloudflare described rate limiting for millions of domains with this two-counter approximation, chosen for its tiny per-key memory; its analysis of 400 million requests from 270,000 sources found 0.003% wrongly allowed or limited [Desgats 2017].</w:t>
      </w:r>
      <w:r>
        <w:t xml:space="preserve"> </w:t>
      </w:r>
      <w:r>
        <w:rPr>
          <w:iCs/>
          <w:i/>
        </w:rPr>
        <w:t xml:space="preserve">Evidence: Primary</w:t>
      </w:r>
      <w:r>
        <w:t xml:space="preserve"> </w:t>
      </w:r>
      <w:r>
        <w:t xml:space="preserve">— [Desgats 2017]</w:t>
      </w:r>
    </w:p>
    <w:bookmarkEnd w:id="2480"/>
    <w:bookmarkEnd w:id="2481"/>
    <w:bookmarkStart w:id="2482" w:name="comparing-the-algorithms"/>
    <w:p>
      <w:pPr>
        <w:pStyle w:val="Heading3"/>
      </w:pPr>
      <w:r>
        <w:t xml:space="preserve">22.7.3 Comparing the algorithms</w:t>
      </w:r>
    </w:p>
    <w:p>
      <w:pPr>
        <w:pStyle w:val="FirstParagraph"/>
      </w:pPr>
      <w:r>
        <w:rPr>
          <w:bCs/>
          <w:b/>
        </w:rPr>
        <w:t xml:space="preserve">Table 22.3 — Rate-limiting algorithms compared.</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pPr>
          </w:p>
        </w:tc>
        <w:tc>
          <w:tcPr/>
          <w:p>
            <w:pPr>
              <w:pStyle w:val="Compact"/>
              <w:jc w:val="left"/>
            </w:pPr>
            <w:r>
              <w:t xml:space="preserve">Token bucket</w:t>
            </w:r>
          </w:p>
        </w:tc>
        <w:tc>
          <w:tcPr/>
          <w:p>
            <w:pPr>
              <w:pStyle w:val="Compact"/>
              <w:jc w:val="left"/>
            </w:pPr>
            <w:r>
              <w:t xml:space="preserve">Leaky bucket (queue)</w:t>
            </w:r>
          </w:p>
        </w:tc>
        <w:tc>
          <w:tcPr/>
          <w:p>
            <w:pPr>
              <w:pStyle w:val="Compact"/>
              <w:jc w:val="left"/>
            </w:pPr>
            <w:r>
              <w:t xml:space="preserve">GCRA (meter)</w:t>
            </w:r>
          </w:p>
        </w:tc>
        <w:tc>
          <w:tcPr/>
          <w:p>
            <w:pPr>
              <w:pStyle w:val="Compact"/>
              <w:jc w:val="left"/>
            </w:pPr>
            <w:r>
              <w:t xml:space="preserve">Fixed window</w:t>
            </w:r>
          </w:p>
        </w:tc>
        <w:tc>
          <w:tcPr/>
          <w:p>
            <w:pPr>
              <w:pStyle w:val="Compact"/>
              <w:jc w:val="left"/>
            </w:pPr>
            <w:r>
              <w:t xml:space="preserve">Sliding log</w:t>
            </w:r>
          </w:p>
        </w:tc>
        <w:tc>
          <w:tcPr/>
          <w:p>
            <w:pPr>
              <w:pStyle w:val="Compact"/>
              <w:jc w:val="left"/>
            </w:pPr>
            <w:r>
              <w:t xml:space="preserve">Sliding counter</w:t>
            </w:r>
          </w:p>
        </w:tc>
      </w:tr>
      <w:tr>
        <w:tc>
          <w:tcPr/>
          <w:p>
            <w:pPr>
              <w:pStyle w:val="Compact"/>
              <w:jc w:val="left"/>
            </w:pPr>
            <w:r>
              <w:t xml:space="preserve">What it is</w:t>
            </w:r>
          </w:p>
        </w:tc>
        <w:tc>
          <w:tcPr/>
          <w:p>
            <w:pPr>
              <w:pStyle w:val="Compact"/>
              <w:jc w:val="left"/>
            </w:pPr>
            <w:r>
              <w:t xml:space="preserve">Tokens refill at</w:t>
            </w:r>
            <w:r>
              <w:t xml:space="preserve"> </w:t>
            </w:r>
            <m:oMath>
              <m:r>
                <m:t>r</m:t>
              </m:r>
            </m:oMath>
            <w:r>
              <w:t xml:space="preserve"> </w:t>
            </w:r>
            <w:r>
              <w:t xml:space="preserve">up to</w:t>
            </w:r>
            <w:r>
              <w:t xml:space="preserve"> </w:t>
            </w:r>
            <m:oMath>
              <m:r>
                <m:t>b</m:t>
              </m:r>
            </m:oMath>
          </w:p>
        </w:tc>
        <w:tc>
          <w:tcPr/>
          <w:p>
            <w:pPr>
              <w:pStyle w:val="Compact"/>
              <w:jc w:val="left"/>
            </w:pPr>
            <w:r>
              <w:t xml:space="preserve">FIFO drained at</w:t>
            </w:r>
            <w:r>
              <w:t xml:space="preserve"> </w:t>
            </w:r>
            <m:oMath>
              <m:r>
                <m:t>r</m:t>
              </m:r>
            </m:oMath>
          </w:p>
        </w:tc>
        <w:tc>
          <w:tcPr/>
          <w:p>
            <w:pPr>
              <w:pStyle w:val="Compact"/>
              <w:jc w:val="left"/>
            </w:pPr>
            <w:r>
              <w:t xml:space="preserve">One timestamp (TAT)</w:t>
            </w:r>
          </w:p>
        </w:tc>
        <w:tc>
          <w:tcPr/>
          <w:p>
            <w:pPr>
              <w:pStyle w:val="Compact"/>
              <w:jc w:val="left"/>
            </w:pPr>
            <w:r>
              <w:t xml:space="preserve">Counter per aligned window</w:t>
            </w:r>
          </w:p>
        </w:tc>
        <w:tc>
          <w:tcPr/>
          <w:p>
            <w:pPr>
              <w:pStyle w:val="Compact"/>
              <w:jc w:val="left"/>
            </w:pPr>
            <w:r>
              <w:t xml:space="preserve">Timestamp per request</w:t>
            </w:r>
          </w:p>
        </w:tc>
        <w:tc>
          <w:tcPr/>
          <w:p>
            <w:pPr>
              <w:pStyle w:val="Compact"/>
              <w:jc w:val="left"/>
            </w:pPr>
            <w:r>
              <w:t xml:space="preserve">Two window counters, weighted</w:t>
            </w:r>
          </w:p>
        </w:tc>
      </w:tr>
      <w:tr>
        <w:tc>
          <w:tcPr/>
          <w:p>
            <w:pPr>
              <w:pStyle w:val="Compact"/>
              <w:jc w:val="left"/>
            </w:pPr>
            <w:r>
              <w:t xml:space="preserve">State per key</w:t>
            </w:r>
          </w:p>
        </w:tc>
        <w:tc>
          <w:tcPr/>
          <w:p>
            <w:pPr>
              <w:pStyle w:val="Compact"/>
              <w:jc w:val="left"/>
            </w:pPr>
            <w:r>
              <w:t xml:space="preserve">2 numbers</w:t>
            </w:r>
          </w:p>
        </w:tc>
        <w:tc>
          <w:tcPr/>
          <w:p>
            <w:pPr>
              <w:pStyle w:val="Compact"/>
              <w:jc w:val="left"/>
            </w:pPr>
            <w:r>
              <w:t xml:space="preserve">Queue of up to</w:t>
            </w:r>
            <w:r>
              <w:t xml:space="preserve"> </w:t>
            </w:r>
            <m:oMath>
              <m:r>
                <m:t>Q</m:t>
              </m:r>
            </m:oMath>
            <w:r>
              <w:t xml:space="preserve"> </w:t>
            </w:r>
            <w:r>
              <w:t xml:space="preserve">requests</w:t>
            </w:r>
          </w:p>
        </w:tc>
        <w:tc>
          <w:tcPr/>
          <w:p>
            <w:pPr>
              <w:pStyle w:val="Compact"/>
              <w:jc w:val="left"/>
            </w:pPr>
            <w:r>
              <w:t xml:space="preserve">1 number</w:t>
            </w:r>
          </w:p>
        </w:tc>
        <w:tc>
          <w:tcPr/>
          <w:p>
            <w:pPr>
              <w:pStyle w:val="Compact"/>
              <w:jc w:val="left"/>
            </w:pPr>
            <w:r>
              <w:t xml:space="preserve">1 counter</w:t>
            </w:r>
          </w:p>
        </w:tc>
        <w:tc>
          <w:tcPr/>
          <w:p>
            <w:pPr>
              <w:pStyle w:val="Compact"/>
              <w:jc w:val="left"/>
            </w:pPr>
            <w:r>
              <w:t xml:space="preserve">Up to</w:t>
            </w:r>
            <w:r>
              <w:t xml:space="preserve"> </w:t>
            </w:r>
            <m:oMath>
              <m:r>
                <m:t>L</m:t>
              </m:r>
            </m:oMath>
            <w:r>
              <w:t xml:space="preserve"> </w:t>
            </w:r>
            <w:r>
              <w:t xml:space="preserve">timestamps</w:t>
            </w:r>
          </w:p>
        </w:tc>
        <w:tc>
          <w:tcPr/>
          <w:p>
            <w:pPr>
              <w:pStyle w:val="Compact"/>
              <w:jc w:val="left"/>
            </w:pPr>
            <w:r>
              <w:t xml:space="preserve">2 counters</w:t>
            </w:r>
          </w:p>
        </w:tc>
      </w:tr>
      <w:tr>
        <w:tc>
          <w:tcPr/>
          <w:p>
            <w:pPr>
              <w:pStyle w:val="Compact"/>
              <w:jc w:val="left"/>
            </w:pPr>
            <w:r>
              <w:t xml:space="preserve">Burst behavior</w:t>
            </w:r>
          </w:p>
        </w:tc>
        <w:tc>
          <w:tcPr/>
          <w:p>
            <w:pPr>
              <w:pStyle w:val="Compact"/>
              <w:jc w:val="left"/>
            </w:pPr>
            <w:r>
              <w:t xml:space="preserve">Up to</w:t>
            </w:r>
            <w:r>
              <w:t xml:space="preserve"> </w:t>
            </w:r>
            <m:oMath>
              <m:r>
                <m:t>b</m:t>
              </m:r>
            </m:oMath>
            <w:r>
              <w:t xml:space="preserve"> </w:t>
            </w:r>
            <w:r>
              <w:t xml:space="preserve">at once</w:t>
            </w:r>
          </w:p>
        </w:tc>
        <w:tc>
          <w:tcPr/>
          <w:p>
            <w:pPr>
              <w:pStyle w:val="Compact"/>
              <w:jc w:val="left"/>
            </w:pPr>
            <w:r>
              <w:t xml:space="preserve">Absorbs bursts by delaying</w:t>
            </w:r>
          </w:p>
        </w:tc>
        <w:tc>
          <w:tcPr/>
          <w:p>
            <w:pPr>
              <w:pStyle w:val="Compact"/>
              <w:jc w:val="left"/>
            </w:pPr>
            <w:r>
              <w:t xml:space="preserve">Up to</w:t>
            </w:r>
            <w:r>
              <w:t xml:space="preserve"> </w:t>
            </w:r>
            <m:oMath>
              <m:r>
                <m:t>b</m:t>
              </m:r>
            </m:oMath>
            <w:r>
              <w:t xml:space="preserve"> </w:t>
            </w:r>
            <w:r>
              <w:t xml:space="preserve">at once</w:t>
            </w:r>
          </w:p>
        </w:tc>
        <w:tc>
          <w:tcPr/>
          <w:p>
            <w:pPr>
              <w:pStyle w:val="Compact"/>
              <w:jc w:val="left"/>
            </w:pPr>
            <w:r>
              <w:t xml:space="preserve">Up to</w:t>
            </w:r>
            <w:r>
              <w:t xml:space="preserve"> </w:t>
            </w:r>
            <m:oMath>
              <m:r>
                <m:t>2</m:t>
              </m:r>
              <m:r>
                <m:t>L</m:t>
              </m:r>
            </m:oMath>
            <w:r>
              <w:t xml:space="preserve"> </w:t>
            </w:r>
            <w:r>
              <w:t xml:space="preserve">across a boundary</w:t>
            </w:r>
          </w:p>
        </w:tc>
        <w:tc>
          <w:tcPr/>
          <w:p>
            <w:pPr>
              <w:pStyle w:val="Compact"/>
              <w:jc w:val="left"/>
            </w:pPr>
            <w:r>
              <w:t xml:space="preserve">Exactly</w:t>
            </w:r>
            <w:r>
              <w:t xml:space="preserve"> </w:t>
            </w:r>
            <m:oMath>
              <m:r>
                <m:t>L</m:t>
              </m:r>
            </m:oMath>
            <w:r>
              <w:t xml:space="preserve"> </w:t>
            </w:r>
            <w:r>
              <w:t xml:space="preserve">per window</w:t>
            </w:r>
          </w:p>
        </w:tc>
        <w:tc>
          <w:tcPr/>
          <w:p>
            <w:pPr>
              <w:pStyle w:val="Compact"/>
              <w:jc w:val="left"/>
            </w:pPr>
            <w:r>
              <w:t xml:space="preserve">About</w:t>
            </w:r>
            <w:r>
              <w:t xml:space="preserve"> </w:t>
            </w:r>
            <m:oMath>
              <m:r>
                <m:t>L</m:t>
              </m:r>
            </m:oMath>
            <w:r>
              <w:t xml:space="preserve">; small overshoot</w:t>
            </w:r>
          </w:p>
        </w:tc>
      </w:tr>
      <w:tr>
        <w:tc>
          <w:tcPr/>
          <w:p>
            <w:pPr>
              <w:pStyle w:val="Compact"/>
              <w:jc w:val="left"/>
            </w:pPr>
            <w:r>
              <w:t xml:space="preserve">Accuracy</w:t>
            </w:r>
          </w:p>
        </w:tc>
        <w:tc>
          <w:tcPr/>
          <w:p>
            <w:pPr>
              <w:pStyle w:val="Compact"/>
              <w:jc w:val="left"/>
            </w:pPr>
            <w:r>
              <w:t xml:space="preserve">Exact for its definition</w:t>
            </w:r>
          </w:p>
        </w:tc>
        <w:tc>
          <w:tcPr/>
          <w:p>
            <w:pPr>
              <w:pStyle w:val="Compact"/>
              <w:jc w:val="left"/>
            </w:pPr>
            <w:r>
              <w:t xml:space="preserve">Exact; adds latency</w:t>
            </w:r>
          </w:p>
        </w:tc>
        <w:tc>
          <w:tcPr/>
          <w:p>
            <w:pPr>
              <w:pStyle w:val="Compact"/>
              <w:jc w:val="left"/>
            </w:pPr>
            <w:r>
              <w:t xml:space="preserve">Exact (= token bucket)</w:t>
            </w:r>
          </w:p>
        </w:tc>
        <w:tc>
          <w:tcPr/>
          <w:p>
            <w:pPr>
              <w:pStyle w:val="Compact"/>
              <w:jc w:val="left"/>
            </w:pPr>
            <w:r>
              <w:t xml:space="preserve">Poor at boundaries</w:t>
            </w:r>
          </w:p>
        </w:tc>
        <w:tc>
          <w:tcPr/>
          <w:p>
            <w:pPr>
              <w:pStyle w:val="Compact"/>
              <w:jc w:val="left"/>
            </w:pPr>
            <w:r>
              <w:t xml:space="preserve">Exact</w:t>
            </w:r>
          </w:p>
        </w:tc>
        <w:tc>
          <w:tcPr/>
          <w:p>
            <w:pPr>
              <w:pStyle w:val="Compact"/>
              <w:jc w:val="left"/>
            </w:pPr>
            <w:r>
              <w:t xml:space="preserve">Approximate (uniformity assumption)</w:t>
            </w:r>
          </w:p>
        </w:tc>
      </w:tr>
      <w:tr>
        <w:tc>
          <w:tcPr/>
          <w:p>
            <w:pPr>
              <w:pStyle w:val="Compact"/>
              <w:jc w:val="left"/>
            </w:pPr>
            <w:r>
              <w:t xml:space="preserve">Rejects or delays?</w:t>
            </w:r>
          </w:p>
        </w:tc>
        <w:tc>
          <w:tcPr/>
          <w:p>
            <w:pPr>
              <w:pStyle w:val="Compact"/>
              <w:jc w:val="left"/>
            </w:pPr>
            <w:r>
              <w:t xml:space="preserve">Rejects</w:t>
            </w:r>
          </w:p>
        </w:tc>
        <w:tc>
          <w:tcPr/>
          <w:p>
            <w:pPr>
              <w:pStyle w:val="Compact"/>
              <w:jc w:val="left"/>
            </w:pPr>
            <w:r>
              <w:t xml:space="preserve">Delays, drops when full</w:t>
            </w:r>
          </w:p>
        </w:tc>
        <w:tc>
          <w:tcPr/>
          <w:p>
            <w:pPr>
              <w:pStyle w:val="Compact"/>
              <w:jc w:val="left"/>
            </w:pPr>
            <w:r>
              <w:t xml:space="preserve">Rejects</w:t>
            </w:r>
          </w:p>
        </w:tc>
        <w:tc>
          <w:tcPr/>
          <w:p>
            <w:pPr>
              <w:pStyle w:val="Compact"/>
              <w:jc w:val="left"/>
            </w:pPr>
            <w:r>
              <w:t xml:space="preserve">Rejects</w:t>
            </w:r>
          </w:p>
        </w:tc>
        <w:tc>
          <w:tcPr/>
          <w:p>
            <w:pPr>
              <w:pStyle w:val="Compact"/>
              <w:jc w:val="left"/>
            </w:pPr>
            <w:r>
              <w:t xml:space="preserve">Rejects</w:t>
            </w:r>
          </w:p>
        </w:tc>
        <w:tc>
          <w:tcPr/>
          <w:p>
            <w:pPr>
              <w:pStyle w:val="Compact"/>
              <w:jc w:val="left"/>
            </w:pPr>
            <w:r>
              <w:t xml:space="preserve">Rejects</w:t>
            </w:r>
          </w:p>
        </w:tc>
      </w:tr>
      <w:tr>
        <w:tc>
          <w:tcPr/>
          <w:p>
            <w:pPr>
              <w:pStyle w:val="Compact"/>
              <w:jc w:val="left"/>
            </w:pPr>
            <w:r>
              <w:t xml:space="preserve">Operational complexity</w:t>
            </w:r>
          </w:p>
        </w:tc>
        <w:tc>
          <w:tcPr/>
          <w:p>
            <w:pPr>
              <w:pStyle w:val="Compact"/>
              <w:jc w:val="left"/>
            </w:pPr>
            <w:r>
              <w:t xml:space="preserve">Low</w:t>
            </w:r>
          </w:p>
        </w:tc>
        <w:tc>
          <w:tcPr/>
          <w:p>
            <w:pPr>
              <w:pStyle w:val="Compact"/>
              <w:jc w:val="left"/>
            </w:pPr>
            <w:r>
              <w:t xml:space="preserve">Medium (queue, timeouts)</w:t>
            </w:r>
          </w:p>
        </w:tc>
        <w:tc>
          <w:tcPr/>
          <w:p>
            <w:pPr>
              <w:pStyle w:val="Compact"/>
              <w:jc w:val="left"/>
            </w:pPr>
            <w:r>
              <w:t xml:space="preserve">Low</w:t>
            </w:r>
          </w:p>
        </w:tc>
        <w:tc>
          <w:tcPr/>
          <w:p>
            <w:pPr>
              <w:pStyle w:val="Compact"/>
              <w:jc w:val="left"/>
            </w:pPr>
            <w:r>
              <w:t xml:space="preserve">Lowest</w:t>
            </w:r>
          </w:p>
        </w:tc>
        <w:tc>
          <w:tcPr/>
          <w:p>
            <w:pPr>
              <w:pStyle w:val="Compact"/>
              <w:jc w:val="left"/>
            </w:pPr>
            <w:r>
              <w:t xml:space="preserve">Medium (memory)</w:t>
            </w:r>
          </w:p>
        </w:tc>
        <w:tc>
          <w:tcPr/>
          <w:p>
            <w:pPr>
              <w:pStyle w:val="Compact"/>
              <w:jc w:val="left"/>
            </w:pPr>
            <w:r>
              <w:t xml:space="preserve">Low</w:t>
            </w:r>
          </w:p>
        </w:tc>
      </w:tr>
      <w:tr>
        <w:tc>
          <w:tcPr/>
          <w:p>
            <w:pPr>
              <w:pStyle w:val="Compact"/>
              <w:jc w:val="left"/>
            </w:pPr>
            <w:r>
              <w:t xml:space="preserve">Choose when</w:t>
            </w:r>
          </w:p>
        </w:tc>
        <w:tc>
          <w:tcPr/>
          <w:p>
            <w:pPr>
              <w:pStyle w:val="Compact"/>
              <w:jc w:val="left"/>
            </w:pPr>
            <w:r>
              <w:t xml:space="preserve">API rate plus burst</w:t>
            </w:r>
          </w:p>
        </w:tc>
        <w:tc>
          <w:tcPr/>
          <w:p>
            <w:pPr>
              <w:pStyle w:val="Compact"/>
              <w:jc w:val="left"/>
            </w:pPr>
            <w:r>
              <w:t xml:space="preserve">Downstream needs smooth flow</w:t>
            </w:r>
          </w:p>
        </w:tc>
        <w:tc>
          <w:tcPr/>
          <w:p>
            <w:pPr>
              <w:pStyle w:val="Compact"/>
              <w:jc w:val="left"/>
            </w:pPr>
            <w:r>
              <w:t xml:space="preserve">Minimal shared state</w:t>
            </w:r>
          </w:p>
        </w:tc>
        <w:tc>
          <w:tcPr/>
          <w:p>
            <w:pPr>
              <w:pStyle w:val="Compact"/>
              <w:jc w:val="left"/>
            </w:pPr>
            <w:r>
              <w:t xml:space="preserve">Coarse daily or monthly quotas</w:t>
            </w:r>
          </w:p>
        </w:tc>
        <w:tc>
          <w:tcPr/>
          <w:p>
            <w:pPr>
              <w:pStyle w:val="Compact"/>
              <w:jc w:val="left"/>
            </w:pPr>
            <w:r>
              <w:t xml:space="preserve">Small exact limits</w:t>
            </w:r>
          </w:p>
        </w:tc>
        <w:tc>
          <w:tcPr/>
          <w:p>
            <w:pPr>
              <w:pStyle w:val="Compact"/>
              <w:jc w:val="left"/>
            </w:pPr>
            <w:r>
              <w:t xml:space="preserve">Large-scale per-minute limits</w:t>
            </w:r>
          </w:p>
        </w:tc>
      </w:tr>
    </w:tbl>
    <w:bookmarkEnd w:id="2482"/>
    <w:bookmarkEnd w:id="2483"/>
    <w:bookmarkStart w:id="2500" w:name="distributed-rate-limiting"/>
    <w:p>
      <w:pPr>
        <w:pStyle w:val="Heading2"/>
      </w:pPr>
      <w:r>
        <w:t xml:space="preserve">22.8 Distributed rate limiting</w:t>
      </w:r>
    </w:p>
    <w:bookmarkStart w:id="2484" w:name="the-problem"/>
    <w:p>
      <w:pPr>
        <w:pStyle w:val="Heading3"/>
      </w:pPr>
      <w:r>
        <w:t xml:space="preserve">22.8.1 The problem</w:t>
      </w:r>
    </w:p>
    <w:p>
      <w:pPr>
        <w:pStyle w:val="FirstParagraph"/>
      </w:pPr>
      <m:oMath>
        <m:r>
          <m:t>N</m:t>
        </m:r>
      </m:oMath>
      <w:r>
        <w:t xml:space="preserve"> </w:t>
      </w:r>
      <w:r>
        <w:t xml:space="preserve">gateway nodes must enforce</w:t>
      </w:r>
      <w:r>
        <w:t xml:space="preserve"> </w:t>
      </w:r>
      <w:r>
        <w:rPr>
          <w:iCs/>
          <w:i/>
        </w:rPr>
        <w:t xml:space="preserve">one</w:t>
      </w:r>
      <w:r>
        <w:t xml:space="preserve"> </w:t>
      </w:r>
      <w:r>
        <w:t xml:space="preserve">limit per key, but each sees only part of the traffic, rarely split evenly (long-lived connections concentrate a client on few nodes, §19.6), and every coordination step either adds latency or lets counts go stale.</w:t>
      </w:r>
    </w:p>
    <w:bookmarkEnd w:id="2484"/>
    <w:bookmarkStart w:id="2491" w:name="centralized-counters-redis-with-lua"/>
    <w:p>
      <w:pPr>
        <w:pStyle w:val="Heading3"/>
      </w:pPr>
      <w:r>
        <w:t xml:space="preserve">22.8.2 Centralized counters: Redis with Lua</w:t>
      </w:r>
    </w:p>
    <w:p>
      <w:pPr>
        <w:pStyle w:val="FirstParagraph"/>
      </w:pPr>
      <w:r>
        <w:t xml:space="preserve">The simplest correct design keeps state in a shared store, usually Redis, partitioned by key. The naive implementation races.</w:t>
      </w:r>
    </w:p>
    <w:p>
      <w:pPr>
        <w:pStyle w:val="BodyText"/>
      </w:pPr>
      <w:r>
        <w:rPr>
          <w:bCs/>
          <w:b/>
        </w:rPr>
        <w:t xml:space="preserve">Figure 22.5 — The read-modify-write race in a shared counter.</w:t>
      </w:r>
    </w:p>
    <w:p>
      <w:pPr>
        <w:pStyle w:val="BodyText"/>
      </w:pPr>
      <w:r>
        <w:drawing>
          <wp:inline>
            <wp:extent cx="5334000" cy="2626074"/>
            <wp:effectExtent b="0" l="0" r="0" t="0"/>
            <wp:docPr descr="" title="" id="2486" name="Picture"/>
            <a:graphic>
              <a:graphicData uri="http://schemas.openxmlformats.org/drawingml/2006/picture">
                <pic:pic>
                  <pic:nvPicPr>
                    <pic:cNvPr descr="/home/user/System-Design/build/.cache/diagrams/3ba79fd24c59.png" id="2487" name="Picture"/>
                    <pic:cNvPicPr>
                      <a:picLocks noChangeArrowheads="1" noChangeAspect="1"/>
                    </pic:cNvPicPr>
                  </pic:nvPicPr>
                  <pic:blipFill>
                    <a:blip r:embed="rId2485"/>
                    <a:stretch>
                      <a:fillRect/>
                    </a:stretch>
                  </pic:blipFill>
                  <pic:spPr bwMode="auto">
                    <a:xfrm>
                      <a:off x="0" y="0"/>
                      <a:ext cx="5334000" cy="2626074"/>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Two gateways issue synchronous</w:t>
      </w:r>
      <w:r>
        <w:t xml:space="preserve"> </w:t>
      </w:r>
      <w:r>
        <w:rPr>
          <w:rStyle w:val="VerbatimChar"/>
        </w:rPr>
        <w:t xml:space="preserve">GET</w:t>
      </w:r>
      <w:r>
        <w:t xml:space="preserve">s for the same key, both see 99, both admit and both write 100: the limit is exceeded and the stored count is wrong. The failure point is the gap between read and write, which more nodes and hotter keys widen. The fix moves the decision into the store so read, decide and write are one atomic step.</w:t>
      </w:r>
    </w:p>
    <w:p>
      <w:pPr>
        <w:pStyle w:val="BodyText"/>
      </w:pPr>
      <w:r>
        <w:t xml:space="preserve">Redis executes a Lua script atomically: no other command runs on that shard while the script executes [Redis Docs: Lua scripting]. The token bucket of §22.4 becomes:</w:t>
      </w:r>
    </w:p>
    <w:p>
      <w:pPr>
        <w:pStyle w:val="SourceCode"/>
      </w:pPr>
      <w:r>
        <w:rPr>
          <w:rStyle w:val="CommentTok"/>
        </w:rPr>
        <w:t xml:space="preserve">-- Token bucket in Redis. KEYS[1] = bucket key; ARGV = rate (tokens/s), capacity, cost</w:t>
      </w:r>
      <w:r>
        <w:br/>
      </w:r>
      <w:r>
        <w:rPr>
          <w:rStyle w:val="KeywordTok"/>
        </w:rPr>
        <w:t xml:space="preserve">local</w:t>
      </w:r>
      <w:r>
        <w:rPr>
          <w:rStyle w:val="NormalTok"/>
        </w:rPr>
        <w:t xml:space="preserve"> </w:t>
      </w:r>
      <w:r>
        <w:rPr>
          <w:rStyle w:val="VariableTok"/>
        </w:rPr>
        <w:t xml:space="preserve">rate</w:t>
      </w:r>
      <w:r>
        <w:rPr>
          <w:rStyle w:val="NormalTok"/>
        </w:rPr>
        <w:t xml:space="preserve">     </w:t>
      </w:r>
      <w:r>
        <w:rPr>
          <w:rStyle w:val="OperatorTok"/>
        </w:rPr>
        <w:t xml:space="preserve">=</w:t>
      </w:r>
      <w:r>
        <w:rPr>
          <w:rStyle w:val="NormalTok"/>
        </w:rPr>
        <w:t xml:space="preserve"> </w:t>
      </w:r>
      <w:r>
        <w:rPr>
          <w:rStyle w:val="FunctionTok"/>
        </w:rPr>
        <w:t xml:space="preserve">tonumber</w:t>
      </w:r>
      <w:r>
        <w:rPr>
          <w:rStyle w:val="OperatorTok"/>
        </w:rPr>
        <w:t xml:space="preserve">(</w:t>
      </w:r>
      <w:r>
        <w:rPr>
          <w:rStyle w:val="ConstantTok"/>
        </w:rPr>
        <w:t xml:space="preserve">ARGV</w:t>
      </w:r>
      <w:r>
        <w:rPr>
          <w:rStyle w:val="OperatorTok"/>
        </w:rPr>
        <w:t xml:space="preserve">[</w:t>
      </w:r>
      <w:r>
        <w:rPr>
          <w:rStyle w:val="DecValTok"/>
        </w:rPr>
        <w:t xml:space="preserve">1</w:t>
      </w:r>
      <w:r>
        <w:rPr>
          <w:rStyle w:val="OperatorTok"/>
        </w:rPr>
        <w:t xml:space="preserve">])</w:t>
      </w:r>
      <w:r>
        <w:br/>
      </w:r>
      <w:r>
        <w:rPr>
          <w:rStyle w:val="KeywordTok"/>
        </w:rPr>
        <w:t xml:space="preserve">local</w:t>
      </w:r>
      <w:r>
        <w:rPr>
          <w:rStyle w:val="NormalTok"/>
        </w:rPr>
        <w:t xml:space="preserve"> </w:t>
      </w:r>
      <w:r>
        <w:rPr>
          <w:rStyle w:val="VariableTok"/>
        </w:rPr>
        <w:t xml:space="preserve">capacity</w:t>
      </w:r>
      <w:r>
        <w:rPr>
          <w:rStyle w:val="NormalTok"/>
        </w:rPr>
        <w:t xml:space="preserve"> </w:t>
      </w:r>
      <w:r>
        <w:rPr>
          <w:rStyle w:val="OperatorTok"/>
        </w:rPr>
        <w:t xml:space="preserve">=</w:t>
      </w:r>
      <w:r>
        <w:rPr>
          <w:rStyle w:val="NormalTok"/>
        </w:rPr>
        <w:t xml:space="preserve"> </w:t>
      </w:r>
      <w:r>
        <w:rPr>
          <w:rStyle w:val="FunctionTok"/>
        </w:rPr>
        <w:t xml:space="preserve">tonumber</w:t>
      </w:r>
      <w:r>
        <w:rPr>
          <w:rStyle w:val="OperatorTok"/>
        </w:rPr>
        <w:t xml:space="preserve">(</w:t>
      </w:r>
      <w:r>
        <w:rPr>
          <w:rStyle w:val="ConstantTok"/>
        </w:rPr>
        <w:t xml:space="preserve">ARGV</w:t>
      </w:r>
      <w:r>
        <w:rPr>
          <w:rStyle w:val="OperatorTok"/>
        </w:rPr>
        <w:t xml:space="preserve">[</w:t>
      </w:r>
      <w:r>
        <w:rPr>
          <w:rStyle w:val="DecValTok"/>
        </w:rPr>
        <w:t xml:space="preserve">2</w:t>
      </w:r>
      <w:r>
        <w:rPr>
          <w:rStyle w:val="OperatorTok"/>
        </w:rPr>
        <w:t xml:space="preserve">])</w:t>
      </w:r>
      <w:r>
        <w:br/>
      </w:r>
      <w:r>
        <w:rPr>
          <w:rStyle w:val="KeywordTok"/>
        </w:rPr>
        <w:t xml:space="preserve">local</w:t>
      </w:r>
      <w:r>
        <w:rPr>
          <w:rStyle w:val="NormalTok"/>
        </w:rPr>
        <w:t xml:space="preserve"> </w:t>
      </w:r>
      <w:r>
        <w:rPr>
          <w:rStyle w:val="VariableTok"/>
        </w:rPr>
        <w:t xml:space="preserve">cost</w:t>
      </w:r>
      <w:r>
        <w:rPr>
          <w:rStyle w:val="NormalTok"/>
        </w:rPr>
        <w:t xml:space="preserve">     </w:t>
      </w:r>
      <w:r>
        <w:rPr>
          <w:rStyle w:val="OperatorTok"/>
        </w:rPr>
        <w:t xml:space="preserve">=</w:t>
      </w:r>
      <w:r>
        <w:rPr>
          <w:rStyle w:val="NormalTok"/>
        </w:rPr>
        <w:t xml:space="preserve"> </w:t>
      </w:r>
      <w:r>
        <w:rPr>
          <w:rStyle w:val="FunctionTok"/>
        </w:rPr>
        <w:t xml:space="preserve">tonumber</w:t>
      </w:r>
      <w:r>
        <w:rPr>
          <w:rStyle w:val="OperatorTok"/>
        </w:rPr>
        <w:t xml:space="preserve">(</w:t>
      </w:r>
      <w:r>
        <w:rPr>
          <w:rStyle w:val="ConstantTok"/>
        </w:rPr>
        <w:t xml:space="preserve">ARGV</w:t>
      </w:r>
      <w:r>
        <w:rPr>
          <w:rStyle w:val="OperatorTok"/>
        </w:rPr>
        <w:t xml:space="preserve">[</w:t>
      </w:r>
      <w:r>
        <w:rPr>
          <w:rStyle w:val="DecValTok"/>
        </w:rPr>
        <w:t xml:space="preserve">3</w:t>
      </w:r>
      <w:r>
        <w:rPr>
          <w:rStyle w:val="OperatorTok"/>
        </w:rPr>
        <w:t xml:space="preserve">])</w:t>
      </w:r>
      <w:r>
        <w:br/>
      </w:r>
      <w:r>
        <w:rPr>
          <w:rStyle w:val="KeywordTok"/>
        </w:rPr>
        <w:t xml:space="preserve">local</w:t>
      </w:r>
      <w:r>
        <w:rPr>
          <w:rStyle w:val="NormalTok"/>
        </w:rPr>
        <w:t xml:space="preserve"> </w:t>
      </w:r>
      <w:r>
        <w:rPr>
          <w:rStyle w:val="VariableTok"/>
        </w:rPr>
        <w:t xml:space="preserve">t</w:t>
      </w:r>
      <w:r>
        <w:rPr>
          <w:rStyle w:val="NormalTok"/>
        </w:rPr>
        <w:t xml:space="preserve">        </w:t>
      </w:r>
      <w:r>
        <w:rPr>
          <w:rStyle w:val="OperatorTok"/>
        </w:rPr>
        <w:t xml:space="preserve">=</w:t>
      </w:r>
      <w:r>
        <w:rPr>
          <w:rStyle w:val="NormalTok"/>
        </w:rPr>
        <w:t xml:space="preserve"> </w:t>
      </w:r>
      <w:r>
        <w:rPr>
          <w:rStyle w:val="VariableTok"/>
        </w:rPr>
        <w:t xml:space="preserve">redis</w:t>
      </w:r>
      <w:r>
        <w:rPr>
          <w:rStyle w:val="OperatorTok"/>
        </w:rPr>
        <w:t xml:space="preserve">.</w:t>
      </w:r>
      <w:r>
        <w:rPr>
          <w:rStyle w:val="NormalTok"/>
        </w:rPr>
        <w:t xml:space="preserve">call</w:t>
      </w:r>
      <w:r>
        <w:rPr>
          <w:rStyle w:val="OperatorTok"/>
        </w:rPr>
        <w:t xml:space="preserve">(</w:t>
      </w:r>
      <w:r>
        <w:rPr>
          <w:rStyle w:val="StringTok"/>
        </w:rPr>
        <w:t xml:space="preserve">'TIME'</w:t>
      </w:r>
      <w:r>
        <w:rPr>
          <w:rStyle w:val="OperatorTok"/>
        </w:rPr>
        <w:t xml:space="preserve">)</w:t>
      </w:r>
      <w:r>
        <w:rPr>
          <w:rStyle w:val="NormalTok"/>
        </w:rPr>
        <w:t xml:space="preserve">                 </w:t>
      </w:r>
      <w:r>
        <w:rPr>
          <w:rStyle w:val="CommentTok"/>
        </w:rPr>
        <w:t xml:space="preserve">-- Redis server clock, not the caller's</w:t>
      </w:r>
      <w:r>
        <w:br/>
      </w:r>
      <w:r>
        <w:rPr>
          <w:rStyle w:val="KeywordTok"/>
        </w:rPr>
        <w:t xml:space="preserve">local</w:t>
      </w:r>
      <w:r>
        <w:rPr>
          <w:rStyle w:val="NormalTok"/>
        </w:rPr>
        <w:t xml:space="preserve"> </w:t>
      </w:r>
      <w:r>
        <w:rPr>
          <w:rStyle w:val="VariableTok"/>
        </w:rPr>
        <w:t xml:space="preserve">now</w:t>
      </w:r>
      <w:r>
        <w:rPr>
          <w:rStyle w:val="NormalTok"/>
        </w:rPr>
        <w:t xml:space="preserve">      </w:t>
      </w:r>
      <w:r>
        <w:rPr>
          <w:rStyle w:val="OperatorTok"/>
        </w:rPr>
        <w:t xml:space="preserve">=</w:t>
      </w:r>
      <w:r>
        <w:rPr>
          <w:rStyle w:val="NormalTok"/>
        </w:rPr>
        <w:t xml:space="preserve"> </w:t>
      </w:r>
      <w:r>
        <w:rPr>
          <w:rStyle w:val="FunctionTok"/>
        </w:rPr>
        <w:t xml:space="preserve">tonumber</w:t>
      </w:r>
      <w:r>
        <w:rPr>
          <w:rStyle w:val="OperatorTok"/>
        </w:rPr>
        <w:t xml:space="preserve">(</w:t>
      </w:r>
      <w:r>
        <w:rPr>
          <w:rStyle w:val="VariableTok"/>
        </w:rPr>
        <w:t xml:space="preserve">t</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tonumber</w:t>
      </w:r>
      <w:r>
        <w:rPr>
          <w:rStyle w:val="OperatorTok"/>
        </w:rPr>
        <w:t xml:space="preserve">(</w:t>
      </w:r>
      <w:r>
        <w:rPr>
          <w:rStyle w:val="VariableTok"/>
        </w:rPr>
        <w:t xml:space="preserve">t</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1000000</w:t>
      </w:r>
      <w:r>
        <w:br/>
      </w:r>
      <w:r>
        <w:rPr>
          <w:rStyle w:val="KeywordTok"/>
        </w:rPr>
        <w:t xml:space="preserve">local</w:t>
      </w:r>
      <w:r>
        <w:rPr>
          <w:rStyle w:val="NormalTok"/>
        </w:rPr>
        <w:t xml:space="preserve"> </w:t>
      </w:r>
      <w:r>
        <w:rPr>
          <w:rStyle w:val="VariableTok"/>
        </w:rPr>
        <w:t xml:space="preserve">state</w:t>
      </w:r>
      <w:r>
        <w:rPr>
          <w:rStyle w:val="NormalTok"/>
        </w:rPr>
        <w:t xml:space="preserve">    </w:t>
      </w:r>
      <w:r>
        <w:rPr>
          <w:rStyle w:val="OperatorTok"/>
        </w:rPr>
        <w:t xml:space="preserve">=</w:t>
      </w:r>
      <w:r>
        <w:rPr>
          <w:rStyle w:val="NormalTok"/>
        </w:rPr>
        <w:t xml:space="preserve"> </w:t>
      </w:r>
      <w:r>
        <w:rPr>
          <w:rStyle w:val="VariableTok"/>
        </w:rPr>
        <w:t xml:space="preserve">redis</w:t>
      </w:r>
      <w:r>
        <w:rPr>
          <w:rStyle w:val="OperatorTok"/>
        </w:rPr>
        <w:t xml:space="preserve">.</w:t>
      </w:r>
      <w:r>
        <w:rPr>
          <w:rStyle w:val="NormalTok"/>
        </w:rPr>
        <w:t xml:space="preserve">call</w:t>
      </w:r>
      <w:r>
        <w:rPr>
          <w:rStyle w:val="OperatorTok"/>
        </w:rPr>
        <w:t xml:space="preserve">(</w:t>
      </w:r>
      <w:r>
        <w:rPr>
          <w:rStyle w:val="StringTok"/>
        </w:rPr>
        <w:t xml:space="preserve">'HMGET'</w:t>
      </w:r>
      <w:r>
        <w:rPr>
          <w:rStyle w:val="OperatorTok"/>
        </w:rPr>
        <w:t xml:space="preserve">,</w:t>
      </w:r>
      <w:r>
        <w:rPr>
          <w:rStyle w:val="NormalTok"/>
        </w:rPr>
        <w:t xml:space="preserve"> </w:t>
      </w:r>
      <w:r>
        <w:rPr>
          <w:rStyle w:val="ConstantTok"/>
        </w:rPr>
        <w:t xml:space="preserve">KEYS</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'tokens'</w:t>
      </w:r>
      <w:r>
        <w:rPr>
          <w:rStyle w:val="OperatorTok"/>
        </w:rPr>
        <w:t xml:space="preserve">,</w:t>
      </w:r>
      <w:r>
        <w:rPr>
          <w:rStyle w:val="NormalTok"/>
        </w:rPr>
        <w:t xml:space="preserve"> </w:t>
      </w:r>
      <w:r>
        <w:rPr>
          <w:rStyle w:val="StringTok"/>
        </w:rPr>
        <w:t xml:space="preserve">'ts'</w:t>
      </w:r>
      <w:r>
        <w:rPr>
          <w:rStyle w:val="OperatorTok"/>
        </w:rPr>
        <w:t xml:space="preserve">)</w:t>
      </w:r>
      <w:r>
        <w:br/>
      </w:r>
      <w:r>
        <w:rPr>
          <w:rStyle w:val="KeywordTok"/>
        </w:rPr>
        <w:t xml:space="preserve">local</w:t>
      </w:r>
      <w:r>
        <w:rPr>
          <w:rStyle w:val="NormalTok"/>
        </w:rPr>
        <w:t xml:space="preserve"> </w:t>
      </w:r>
      <w:r>
        <w:rPr>
          <w:rStyle w:val="VariableTok"/>
        </w:rPr>
        <w:t xml:space="preserve">tokens</w:t>
      </w:r>
      <w:r>
        <w:rPr>
          <w:rStyle w:val="NormalTok"/>
        </w:rPr>
        <w:t xml:space="preserve">   </w:t>
      </w:r>
      <w:r>
        <w:rPr>
          <w:rStyle w:val="OperatorTok"/>
        </w:rPr>
        <w:t xml:space="preserve">=</w:t>
      </w:r>
      <w:r>
        <w:rPr>
          <w:rStyle w:val="NormalTok"/>
        </w:rPr>
        <w:t xml:space="preserve"> </w:t>
      </w:r>
      <w:r>
        <w:rPr>
          <w:rStyle w:val="FunctionTok"/>
        </w:rPr>
        <w:t xml:space="preserve">tonumber</w:t>
      </w:r>
      <w:r>
        <w:rPr>
          <w:rStyle w:val="OperatorTok"/>
        </w:rPr>
        <w:t xml:space="preserve">(</w:t>
      </w:r>
      <w:r>
        <w:rPr>
          <w:rStyle w:val="VariableTok"/>
        </w:rPr>
        <w:t xml:space="preserve">state</w:t>
      </w:r>
      <w:r>
        <w:rPr>
          <w:rStyle w:val="OperatorTok"/>
        </w:rPr>
        <w:t xml:space="preserve">[</w:t>
      </w:r>
      <w:r>
        <w:rPr>
          <w:rStyle w:val="DecValTok"/>
        </w:rPr>
        <w:t xml:space="preserve">1</w:t>
      </w:r>
      <w:r>
        <w:rPr>
          <w:rStyle w:val="OperatorTok"/>
        </w:rPr>
        <w:t xml:space="preserve">])</w:t>
      </w:r>
      <w:r>
        <w:rPr>
          <w:rStyle w:val="NormalTok"/>
        </w:rPr>
        <w:t xml:space="preserve"> </w:t>
      </w:r>
      <w:r>
        <w:rPr>
          <w:rStyle w:val="KeywordTok"/>
        </w:rPr>
        <w:t xml:space="preserve">or</w:t>
      </w:r>
      <w:r>
        <w:rPr>
          <w:rStyle w:val="NormalTok"/>
        </w:rPr>
        <w:t xml:space="preserve"> </w:t>
      </w:r>
      <w:r>
        <w:rPr>
          <w:rStyle w:val="VariableTok"/>
        </w:rPr>
        <w:t xml:space="preserve">capacity</w:t>
      </w:r>
      <w:r>
        <w:rPr>
          <w:rStyle w:val="NormalTok"/>
        </w:rPr>
        <w:t xml:space="preserve">     </w:t>
      </w:r>
      <w:r>
        <w:rPr>
          <w:rStyle w:val="CommentTok"/>
        </w:rPr>
        <w:t xml:space="preserve">-- unknown key: start with a full bucket</w:t>
      </w:r>
      <w:r>
        <w:br/>
      </w:r>
      <w:r>
        <w:rPr>
          <w:rStyle w:val="KeywordTok"/>
        </w:rPr>
        <w:t xml:space="preserve">local</w:t>
      </w:r>
      <w:r>
        <w:rPr>
          <w:rStyle w:val="NormalTok"/>
        </w:rPr>
        <w:t xml:space="preserve"> </w:t>
      </w:r>
      <w:r>
        <w:rPr>
          <w:rStyle w:val="VariableTok"/>
        </w:rPr>
        <w:t xml:space="preserve">ts</w:t>
      </w:r>
      <w:r>
        <w:rPr>
          <w:rStyle w:val="NormalTok"/>
        </w:rPr>
        <w:t xml:space="preserve">       </w:t>
      </w:r>
      <w:r>
        <w:rPr>
          <w:rStyle w:val="OperatorTok"/>
        </w:rPr>
        <w:t xml:space="preserve">=</w:t>
      </w:r>
      <w:r>
        <w:rPr>
          <w:rStyle w:val="NormalTok"/>
        </w:rPr>
        <w:t xml:space="preserve"> </w:t>
      </w:r>
      <w:r>
        <w:rPr>
          <w:rStyle w:val="FunctionTok"/>
        </w:rPr>
        <w:t xml:space="preserve">tonumber</w:t>
      </w:r>
      <w:r>
        <w:rPr>
          <w:rStyle w:val="OperatorTok"/>
        </w:rPr>
        <w:t xml:space="preserve">(</w:t>
      </w:r>
      <w:r>
        <w:rPr>
          <w:rStyle w:val="VariableTok"/>
        </w:rPr>
        <w:t xml:space="preserve">state</w:t>
      </w:r>
      <w:r>
        <w:rPr>
          <w:rStyle w:val="OperatorTok"/>
        </w:rPr>
        <w:t xml:space="preserve">[</w:t>
      </w:r>
      <w:r>
        <w:rPr>
          <w:rStyle w:val="DecValTok"/>
        </w:rPr>
        <w:t xml:space="preserve">2</w:t>
      </w:r>
      <w:r>
        <w:rPr>
          <w:rStyle w:val="OperatorTok"/>
        </w:rPr>
        <w:t xml:space="preserve">])</w:t>
      </w:r>
      <w:r>
        <w:rPr>
          <w:rStyle w:val="NormalTok"/>
        </w:rPr>
        <w:t xml:space="preserve"> </w:t>
      </w:r>
      <w:r>
        <w:rPr>
          <w:rStyle w:val="KeywordTok"/>
        </w:rPr>
        <w:t xml:space="preserve">or</w:t>
      </w:r>
      <w:r>
        <w:rPr>
          <w:rStyle w:val="NormalTok"/>
        </w:rPr>
        <w:t xml:space="preserve"> </w:t>
      </w:r>
      <w:r>
        <w:rPr>
          <w:rStyle w:val="VariableTok"/>
        </w:rPr>
        <w:t xml:space="preserve">now</w:t>
      </w:r>
      <w:r>
        <w:br/>
      </w:r>
      <w:r>
        <w:rPr>
          <w:rStyle w:val="VariableTok"/>
        </w:rPr>
        <w:t xml:space="preserve">tokens</w:t>
      </w:r>
      <w:r>
        <w:rPr>
          <w:rStyle w:val="NormalTok"/>
        </w:rPr>
        <w:t xml:space="preserve"> </w:t>
      </w:r>
      <w:r>
        <w:rPr>
          <w:rStyle w:val="OperatorTok"/>
        </w:rPr>
        <w:t xml:space="preserve">=</w:t>
      </w:r>
      <w:r>
        <w:rPr>
          <w:rStyle w:val="NormalTok"/>
        </w:rPr>
        <w:t xml:space="preserve"> </w:t>
      </w:r>
      <w:r>
        <w:rPr>
          <w:rStyle w:val="FunctionTok"/>
        </w:rPr>
        <w:t xml:space="preserve">math.min</w:t>
      </w:r>
      <w:r>
        <w:rPr>
          <w:rStyle w:val="OperatorTok"/>
        </w:rPr>
        <w:t xml:space="preserve">(</w:t>
      </w:r>
      <w:r>
        <w:rPr>
          <w:rStyle w:val="VariableTok"/>
        </w:rPr>
        <w:t xml:space="preserve">capacity</w:t>
      </w:r>
      <w:r>
        <w:rPr>
          <w:rStyle w:val="OperatorTok"/>
        </w:rPr>
        <w:t xml:space="preserve">,</w:t>
      </w:r>
      <w:r>
        <w:rPr>
          <w:rStyle w:val="NormalTok"/>
        </w:rPr>
        <w:t xml:space="preserve"> </w:t>
      </w:r>
      <w:r>
        <w:rPr>
          <w:rStyle w:val="VariableTok"/>
        </w:rPr>
        <w:t xml:space="preserve">tokens</w:t>
      </w:r>
      <w:r>
        <w:rPr>
          <w:rStyle w:val="NormalTok"/>
        </w:rPr>
        <w:t xml:space="preserve"> </w:t>
      </w:r>
      <w:r>
        <w:rPr>
          <w:rStyle w:val="OperatorTok"/>
        </w:rPr>
        <w:t xml:space="preserve">+</w:t>
      </w:r>
      <w:r>
        <w:rPr>
          <w:rStyle w:val="NormalTok"/>
        </w:rPr>
        <w:t xml:space="preserve"> </w:t>
      </w:r>
      <w:r>
        <w:rPr>
          <w:rStyle w:val="FunctionTok"/>
        </w:rPr>
        <w:t xml:space="preserve">math.max</w:t>
      </w:r>
      <w:r>
        <w:rPr>
          <w:rStyle w:val="OperatorTok"/>
        </w:rPr>
        <w:t xml:space="preserve">(</w:t>
      </w:r>
      <w:r>
        <w:rPr>
          <w:rStyle w:val="DecValTok"/>
        </w:rPr>
        <w:t xml:space="preserve">0</w:t>
      </w:r>
      <w:r>
        <w:rPr>
          <w:rStyle w:val="OperatorTok"/>
        </w:rPr>
        <w:t xml:space="preserve">,</w:t>
      </w:r>
      <w:r>
        <w:rPr>
          <w:rStyle w:val="NormalTok"/>
        </w:rPr>
        <w:t xml:space="preserve"> </w:t>
      </w:r>
      <w:r>
        <w:rPr>
          <w:rStyle w:val="VariableTok"/>
        </w:rPr>
        <w:t xml:space="preserve">now</w:t>
      </w:r>
      <w:r>
        <w:rPr>
          <w:rStyle w:val="NormalTok"/>
        </w:rPr>
        <w:t xml:space="preserve"> </w:t>
      </w:r>
      <w:r>
        <w:rPr>
          <w:rStyle w:val="OperatorTok"/>
        </w:rPr>
        <w:t xml:space="preserve">-</w:t>
      </w:r>
      <w:r>
        <w:rPr>
          <w:rStyle w:val="NormalTok"/>
        </w:rPr>
        <w:t xml:space="preserve"> </w:t>
      </w:r>
      <w:r>
        <w:rPr>
          <w:rStyle w:val="VariableTok"/>
        </w:rPr>
        <w:t xml:space="preserve">ts</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rate</w:t>
      </w:r>
      <w:r>
        <w:rPr>
          <w:rStyle w:val="OperatorTok"/>
        </w:rPr>
        <w:t xml:space="preserve">)</w:t>
      </w:r>
      <w:r>
        <w:br/>
      </w:r>
      <w:r>
        <w:rPr>
          <w:rStyle w:val="KeywordTok"/>
        </w:rPr>
        <w:t xml:space="preserve">local</w:t>
      </w:r>
      <w:r>
        <w:rPr>
          <w:rStyle w:val="NormalTok"/>
        </w:rPr>
        <w:t xml:space="preserve"> </w:t>
      </w:r>
      <w:r>
        <w:rPr>
          <w:rStyle w:val="VariableTok"/>
        </w:rPr>
        <w:t xml:space="preserve">allowed</w:t>
      </w:r>
      <w:r>
        <w:rPr>
          <w:rStyle w:val="OperatorTok"/>
        </w:rPr>
        <w:t xml:space="preserve">,</w:t>
      </w:r>
      <w:r>
        <w:rPr>
          <w:rStyle w:val="NormalTok"/>
        </w:rPr>
        <w:t xml:space="preserve"> </w:t>
      </w:r>
      <w:r>
        <w:rPr>
          <w:rStyle w:val="VariableTok"/>
        </w:rPr>
        <w:t xml:space="preserve">retry_after</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br/>
      </w:r>
      <w:r>
        <w:rPr>
          <w:rStyle w:val="ControlFlowTok"/>
        </w:rPr>
        <w:t xml:space="preserve">if</w:t>
      </w:r>
      <w:r>
        <w:rPr>
          <w:rStyle w:val="NormalTok"/>
        </w:rPr>
        <w:t xml:space="preserve"> </w:t>
      </w:r>
      <w:r>
        <w:rPr>
          <w:rStyle w:val="VariableTok"/>
        </w:rPr>
        <w:t xml:space="preserve">tokens</w:t>
      </w:r>
      <w:r>
        <w:rPr>
          <w:rStyle w:val="NormalTok"/>
        </w:rPr>
        <w:t xml:space="preserve"> </w:t>
      </w:r>
      <w:r>
        <w:rPr>
          <w:rStyle w:val="OperatorTok"/>
        </w:rPr>
        <w:t xml:space="preserve">&gt;=</w:t>
      </w:r>
      <w:r>
        <w:rPr>
          <w:rStyle w:val="NormalTok"/>
        </w:rPr>
        <w:t xml:space="preserve"> </w:t>
      </w:r>
      <w:r>
        <w:rPr>
          <w:rStyle w:val="VariableTok"/>
        </w:rPr>
        <w:t xml:space="preserve">cost</w:t>
      </w:r>
      <w:r>
        <w:rPr>
          <w:rStyle w:val="NormalTok"/>
        </w:rPr>
        <w:t xml:space="preserve"> </w:t>
      </w:r>
      <w:r>
        <w:rPr>
          <w:rStyle w:val="ControlFlowTok"/>
        </w:rPr>
        <w:t xml:space="preserve">then</w:t>
      </w:r>
      <w:r>
        <w:br/>
      </w:r>
      <w:r>
        <w:rPr>
          <w:rStyle w:val="NormalTok"/>
        </w:rPr>
        <w:t xml:space="preserve">  </w:t>
      </w:r>
      <w:r>
        <w:rPr>
          <w:rStyle w:val="VariableTok"/>
        </w:rPr>
        <w:t xml:space="preserve">tokens</w:t>
      </w:r>
      <w:r>
        <w:rPr>
          <w:rStyle w:val="OperatorTok"/>
        </w:rPr>
        <w:t xml:space="preserve">,</w:t>
      </w:r>
      <w:r>
        <w:rPr>
          <w:rStyle w:val="NormalTok"/>
        </w:rPr>
        <w:t xml:space="preserve"> </w:t>
      </w:r>
      <w:r>
        <w:rPr>
          <w:rStyle w:val="VariableTok"/>
        </w:rPr>
        <w:t xml:space="preserve">allowed</w:t>
      </w:r>
      <w:r>
        <w:rPr>
          <w:rStyle w:val="NormalTok"/>
        </w:rPr>
        <w:t xml:space="preserve"> </w:t>
      </w:r>
      <w:r>
        <w:rPr>
          <w:rStyle w:val="OperatorTok"/>
        </w:rPr>
        <w:t xml:space="preserve">=</w:t>
      </w:r>
      <w:r>
        <w:rPr>
          <w:rStyle w:val="NormalTok"/>
        </w:rPr>
        <w:t xml:space="preserve"> </w:t>
      </w:r>
      <w:r>
        <w:rPr>
          <w:rStyle w:val="VariableTok"/>
        </w:rPr>
        <w:t xml:space="preserve">tokens</w:t>
      </w:r>
      <w:r>
        <w:rPr>
          <w:rStyle w:val="NormalTok"/>
        </w:rPr>
        <w:t xml:space="preserve"> </w:t>
      </w:r>
      <w:r>
        <w:rPr>
          <w:rStyle w:val="OperatorTok"/>
        </w:rPr>
        <w:t xml:space="preserve">-</w:t>
      </w:r>
      <w:r>
        <w:rPr>
          <w:rStyle w:val="NormalTok"/>
        </w:rPr>
        <w:t xml:space="preserve"> </w:t>
      </w:r>
      <w:r>
        <w:rPr>
          <w:rStyle w:val="VariableTok"/>
        </w:rPr>
        <w:t xml:space="preserve">cost</w:t>
      </w:r>
      <w:r>
        <w:rPr>
          <w:rStyle w:val="OperatorTok"/>
        </w:rPr>
        <w:t xml:space="preserve">,</w:t>
      </w:r>
      <w:r>
        <w:rPr>
          <w:rStyle w:val="NormalTok"/>
        </w:rPr>
        <w:t xml:space="preserve"> </w:t>
      </w:r>
      <w:r>
        <w:rPr>
          <w:rStyle w:val="DecValTok"/>
        </w:rPr>
        <w:t xml:space="preserve">1</w:t>
      </w:r>
      <w:r>
        <w:br/>
      </w:r>
      <w:r>
        <w:rPr>
          <w:rStyle w:val="ControlFlowTok"/>
        </w:rPr>
        <w:t xml:space="preserve">else</w:t>
      </w:r>
      <w:r>
        <w:br/>
      </w:r>
      <w:r>
        <w:rPr>
          <w:rStyle w:val="NormalTok"/>
        </w:rPr>
        <w:t xml:space="preserve">  </w:t>
      </w:r>
      <w:r>
        <w:rPr>
          <w:rStyle w:val="VariableTok"/>
        </w:rPr>
        <w:t xml:space="preserve">retry_after</w:t>
      </w:r>
      <w:r>
        <w:rPr>
          <w:rStyle w:val="NormalTok"/>
        </w:rPr>
        <w:t xml:space="preserve"> </w:t>
      </w:r>
      <w:r>
        <w:rPr>
          <w:rStyle w:val="OperatorTok"/>
        </w:rPr>
        <w:t xml:space="preserve">=</w:t>
      </w:r>
      <w:r>
        <w:rPr>
          <w:rStyle w:val="NormalTok"/>
        </w:rPr>
        <w:t xml:space="preserve"> </w:t>
      </w:r>
      <w:r>
        <w:rPr>
          <w:rStyle w:val="OperatorTok"/>
        </w:rPr>
        <w:t xml:space="preserve">(</w:t>
      </w:r>
      <w:r>
        <w:rPr>
          <w:rStyle w:val="VariableTok"/>
        </w:rPr>
        <w:t xml:space="preserve">cost</w:t>
      </w:r>
      <w:r>
        <w:rPr>
          <w:rStyle w:val="NormalTok"/>
        </w:rPr>
        <w:t xml:space="preserve"> </w:t>
      </w:r>
      <w:r>
        <w:rPr>
          <w:rStyle w:val="OperatorTok"/>
        </w:rPr>
        <w:t xml:space="preserve">-</w:t>
      </w:r>
      <w:r>
        <w:rPr>
          <w:rStyle w:val="NormalTok"/>
        </w:rPr>
        <w:t xml:space="preserve"> </w:t>
      </w:r>
      <w:r>
        <w:rPr>
          <w:rStyle w:val="VariableTok"/>
        </w:rPr>
        <w:t xml:space="preserve">tokens</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rate</w:t>
      </w:r>
      <w:r>
        <w:br/>
      </w:r>
      <w:r>
        <w:rPr>
          <w:rStyle w:val="ControlFlowTok"/>
        </w:rPr>
        <w:t xml:space="preserve">end</w:t>
      </w:r>
      <w:r>
        <w:br/>
      </w:r>
      <w:r>
        <w:rPr>
          <w:rStyle w:val="VariableTok"/>
        </w:rPr>
        <w:t xml:space="preserve">redis</w:t>
      </w:r>
      <w:r>
        <w:rPr>
          <w:rStyle w:val="OperatorTok"/>
        </w:rPr>
        <w:t xml:space="preserve">.</w:t>
      </w:r>
      <w:r>
        <w:rPr>
          <w:rStyle w:val="NormalTok"/>
        </w:rPr>
        <w:t xml:space="preserve">call</w:t>
      </w:r>
      <w:r>
        <w:rPr>
          <w:rStyle w:val="OperatorTok"/>
        </w:rPr>
        <w:t xml:space="preserve">(</w:t>
      </w:r>
      <w:r>
        <w:rPr>
          <w:rStyle w:val="StringTok"/>
        </w:rPr>
        <w:t xml:space="preserve">'HSET'</w:t>
      </w:r>
      <w:r>
        <w:rPr>
          <w:rStyle w:val="OperatorTok"/>
        </w:rPr>
        <w:t xml:space="preserve">,</w:t>
      </w:r>
      <w:r>
        <w:rPr>
          <w:rStyle w:val="NormalTok"/>
        </w:rPr>
        <w:t xml:space="preserve"> </w:t>
      </w:r>
      <w:r>
        <w:rPr>
          <w:rStyle w:val="ConstantTok"/>
        </w:rPr>
        <w:t xml:space="preserve">KEYS</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'tokens'</w:t>
      </w:r>
      <w:r>
        <w:rPr>
          <w:rStyle w:val="OperatorTok"/>
        </w:rPr>
        <w:t xml:space="preserve">,</w:t>
      </w:r>
      <w:r>
        <w:rPr>
          <w:rStyle w:val="NormalTok"/>
        </w:rPr>
        <w:t xml:space="preserve"> </w:t>
      </w:r>
      <w:r>
        <w:rPr>
          <w:rStyle w:val="VariableTok"/>
        </w:rPr>
        <w:t xml:space="preserve">tokens</w:t>
      </w:r>
      <w:r>
        <w:rPr>
          <w:rStyle w:val="OperatorTok"/>
        </w:rPr>
        <w:t xml:space="preserve">,</w:t>
      </w:r>
      <w:r>
        <w:rPr>
          <w:rStyle w:val="NormalTok"/>
        </w:rPr>
        <w:t xml:space="preserve"> </w:t>
      </w:r>
      <w:r>
        <w:rPr>
          <w:rStyle w:val="StringTok"/>
        </w:rPr>
        <w:t xml:space="preserve">'ts'</w:t>
      </w:r>
      <w:r>
        <w:rPr>
          <w:rStyle w:val="OperatorTok"/>
        </w:rPr>
        <w:t xml:space="preserve">,</w:t>
      </w:r>
      <w:r>
        <w:rPr>
          <w:rStyle w:val="NormalTok"/>
        </w:rPr>
        <w:t xml:space="preserve"> </w:t>
      </w:r>
      <w:r>
        <w:rPr>
          <w:rStyle w:val="VariableTok"/>
        </w:rPr>
        <w:t xml:space="preserve">now</w:t>
      </w:r>
      <w:r>
        <w:rPr>
          <w:rStyle w:val="OperatorTok"/>
        </w:rPr>
        <w:t xml:space="preserve">)</w:t>
      </w:r>
      <w:r>
        <w:br/>
      </w:r>
      <w:r>
        <w:rPr>
          <w:rStyle w:val="VariableTok"/>
        </w:rPr>
        <w:t xml:space="preserve">redis</w:t>
      </w:r>
      <w:r>
        <w:rPr>
          <w:rStyle w:val="OperatorTok"/>
        </w:rPr>
        <w:t xml:space="preserve">.</w:t>
      </w:r>
      <w:r>
        <w:rPr>
          <w:rStyle w:val="NormalTok"/>
        </w:rPr>
        <w:t xml:space="preserve">call</w:t>
      </w:r>
      <w:r>
        <w:rPr>
          <w:rStyle w:val="OperatorTok"/>
        </w:rPr>
        <w:t xml:space="preserve">(</w:t>
      </w:r>
      <w:r>
        <w:rPr>
          <w:rStyle w:val="StringTok"/>
        </w:rPr>
        <w:t xml:space="preserve">'PEXPIRE'</w:t>
      </w:r>
      <w:r>
        <w:rPr>
          <w:rStyle w:val="OperatorTok"/>
        </w:rPr>
        <w:t xml:space="preserve">,</w:t>
      </w:r>
      <w:r>
        <w:rPr>
          <w:rStyle w:val="NormalTok"/>
        </w:rPr>
        <w:t xml:space="preserve"> </w:t>
      </w:r>
      <w:r>
        <w:rPr>
          <w:rStyle w:val="ConstantTok"/>
        </w:rPr>
        <w:t xml:space="preserve">KEYS</w:t>
      </w:r>
      <w:r>
        <w:rPr>
          <w:rStyle w:val="OperatorTok"/>
        </w:rPr>
        <w:t xml:space="preserve">[</w:t>
      </w:r>
      <w:r>
        <w:rPr>
          <w:rStyle w:val="DecValTok"/>
        </w:rPr>
        <w:t xml:space="preserve">1</w:t>
      </w:r>
      <w:r>
        <w:rPr>
          <w:rStyle w:val="OperatorTok"/>
        </w:rPr>
        <w:t xml:space="preserve">],</w:t>
      </w:r>
      <w:r>
        <w:rPr>
          <w:rStyle w:val="NormalTok"/>
        </w:rPr>
        <w:t xml:space="preserve"> </w:t>
      </w:r>
      <w:r>
        <w:rPr>
          <w:rStyle w:val="FunctionTok"/>
        </w:rPr>
        <w:t xml:space="preserve">math.ceil</w:t>
      </w:r>
      <w:r>
        <w:rPr>
          <w:rStyle w:val="OperatorTok"/>
        </w:rPr>
        <w:t xml:space="preserve">(</w:t>
      </w:r>
      <w:r>
        <w:rPr>
          <w:rStyle w:val="VariableTok"/>
        </w:rPr>
        <w:t xml:space="preserve">capacity</w:t>
      </w:r>
      <w:r>
        <w:rPr>
          <w:rStyle w:val="NormalTok"/>
        </w:rPr>
        <w:t xml:space="preserve"> </w:t>
      </w:r>
      <w:r>
        <w:rPr>
          <w:rStyle w:val="OperatorTok"/>
        </w:rPr>
        <w:t xml:space="preserve">/</w:t>
      </w:r>
      <w:r>
        <w:rPr>
          <w:rStyle w:val="NormalTok"/>
        </w:rPr>
        <w:t xml:space="preserve"> </w:t>
      </w:r>
      <w:r>
        <w:rPr>
          <w:rStyle w:val="VariableTok"/>
        </w:rPr>
        <w:t xml:space="preserve">rate</w:t>
      </w:r>
      <w:r>
        <w:rPr>
          <w:rStyle w:val="NormalTok"/>
        </w:rPr>
        <w:t xml:space="preserve"> </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CommentTok"/>
        </w:rPr>
        <w:t xml:space="preserve">-- idle keys vanish</w:t>
      </w:r>
      <w:r>
        <w:br/>
      </w:r>
      <w:r>
        <w:rPr>
          <w:rStyle w:val="ControlFlowTok"/>
        </w:rPr>
        <w:t xml:space="preserve">return</w:t>
      </w:r>
      <w:r>
        <w:rPr>
          <w:rStyle w:val="NormalTok"/>
        </w:rPr>
        <w:t xml:space="preserve"> </w:t>
      </w:r>
      <w:r>
        <w:rPr>
          <w:rStyle w:val="OperatorTok"/>
        </w:rPr>
        <w:t xml:space="preserve">{</w:t>
      </w:r>
      <w:r>
        <w:rPr>
          <w:rStyle w:val="VariableTok"/>
        </w:rPr>
        <w:t xml:space="preserve">allowed</w:t>
      </w:r>
      <w:r>
        <w:rPr>
          <w:rStyle w:val="OperatorTok"/>
        </w:rPr>
        <w:t xml:space="preserve">,</w:t>
      </w:r>
      <w:r>
        <w:rPr>
          <w:rStyle w:val="NormalTok"/>
        </w:rPr>
        <w:t xml:space="preserve"> </w:t>
      </w:r>
      <w:r>
        <w:rPr>
          <w:rStyle w:val="FunctionTok"/>
        </w:rPr>
        <w:t xml:space="preserve">tostring</w:t>
      </w:r>
      <w:r>
        <w:rPr>
          <w:rStyle w:val="OperatorTok"/>
        </w:rPr>
        <w:t xml:space="preserve">(</w:t>
      </w:r>
      <w:r>
        <w:rPr>
          <w:rStyle w:val="VariableTok"/>
        </w:rPr>
        <w:t xml:space="preserve">retry_after</w:t>
      </w:r>
      <w:r>
        <w:rPr>
          <w:rStyle w:val="OperatorTok"/>
        </w:rPr>
        <w:t xml:space="preserve">)}</w:t>
      </w:r>
      <w:r>
        <w:rPr>
          <w:rStyle w:val="NormalTok"/>
        </w:rPr>
        <w:t xml:space="preserve">            </w:t>
      </w:r>
      <w:r>
        <w:rPr>
          <w:rStyle w:val="CommentTok"/>
        </w:rPr>
        <w:t xml:space="preserve">-- Lua numbers would be truncated to integers</w:t>
      </w:r>
    </w:p>
    <w:p>
      <w:pPr>
        <w:pStyle w:val="FirstParagraph"/>
      </w:pPr>
      <w:r>
        <w:t xml:space="preserve">What to notice:</w:t>
      </w:r>
    </w:p>
    <w:p>
      <w:pPr>
        <w:numPr>
          <w:ilvl w:val="0"/>
          <w:numId w:val="1724"/>
        </w:numPr>
        <w:pStyle w:val="Compact"/>
      </w:pPr>
      <w:r>
        <w:t xml:space="preserve">Tested on Redis 7.0: 50 pipelined</w:t>
      </w:r>
      <w:r>
        <w:t xml:space="preserve"> </w:t>
      </w:r>
      <w:r>
        <w:rPr>
          <w:rStyle w:val="VerbatimChar"/>
        </w:rPr>
        <w:t xml:space="preserve">EVALSHA</w:t>
      </w:r>
      <w:r>
        <w:t xml:space="preserve"> </w:t>
      </w:r>
      <w:r>
        <w:t xml:space="preserve">calls on a fresh key (</w:t>
      </w:r>
      <w:r>
        <w:rPr>
          <w:rStyle w:val="VerbatimChar"/>
        </w:rPr>
        <w:t xml:space="preserve">10 20 1</w:t>
      </w:r>
      <w:r>
        <w:t xml:space="preserve">) returned 20 admits and 30 rejections.</w:t>
      </w:r>
    </w:p>
    <w:p>
      <w:pPr>
        <w:numPr>
          <w:ilvl w:val="0"/>
          <w:numId w:val="1724"/>
        </w:numPr>
        <w:pStyle w:val="Compact"/>
      </w:pPr>
      <w:r>
        <w:rPr>
          <w:rStyle w:val="VerbatimChar"/>
        </w:rPr>
        <w:t xml:space="preserve">TIME</w:t>
      </w:r>
      <w:r>
        <w:t xml:space="preserve"> </w:t>
      </w:r>
      <w:r>
        <w:t xml:space="preserve">uses the server’s clock, so skewed gateway clocks (§24.9) cannot corrupt buckets; Redis 5+ replicates script</w:t>
      </w:r>
      <w:r>
        <w:t xml:space="preserve"> </w:t>
      </w:r>
      <w:r>
        <w:rPr>
          <w:iCs/>
          <w:i/>
        </w:rPr>
        <w:t xml:space="preserve">effects</w:t>
      </w:r>
      <w:r>
        <w:t xml:space="preserve">, which makes this safe.</w:t>
      </w:r>
    </w:p>
    <w:p>
      <w:pPr>
        <w:numPr>
          <w:ilvl w:val="0"/>
          <w:numId w:val="1724"/>
        </w:numPr>
        <w:pStyle w:val="Compact"/>
      </w:pPr>
      <w:r>
        <w:t xml:space="preserve">Idle keys expire. In Redis Cluster all keys a script touches must share a shard (use a hash tag such as</w:t>
      </w:r>
      <w:r>
        <w:t xml:space="preserve"> </w:t>
      </w:r>
      <w:r>
        <w:rPr>
          <w:rStyle w:val="VerbatimChar"/>
        </w:rPr>
        <w:t xml:space="preserve">{tenant42}</w:t>
      </w:r>
      <w:r>
        <w:t xml:space="preserve">).</w:t>
      </w:r>
    </w:p>
    <w:p>
      <w:pPr>
        <w:pStyle w:val="FirstParagraph"/>
      </w:pPr>
      <w:r>
        <w:rPr>
          <w:bCs/>
          <w:b/>
        </w:rPr>
        <w:t xml:space="preserve">Figure 22.6 — Centralized rate limiting with an atomic script.</w:t>
      </w:r>
    </w:p>
    <w:p>
      <w:pPr>
        <w:pStyle w:val="BodyText"/>
      </w:pPr>
      <w:r>
        <w:drawing>
          <wp:inline>
            <wp:extent cx="5334000" cy="2868005"/>
            <wp:effectExtent b="0" l="0" r="0" t="0"/>
            <wp:docPr descr="" title="" id="2489" name="Picture"/>
            <a:graphic>
              <a:graphicData uri="http://schemas.openxmlformats.org/drawingml/2006/picture">
                <pic:pic>
                  <pic:nvPicPr>
                    <pic:cNvPr descr="/home/user/System-Design/build/.cache/diagrams/723b06c4c70e.png" id="2490" name="Picture"/>
                    <pic:cNvPicPr>
                      <a:picLocks noChangeArrowheads="1" noChangeAspect="1"/>
                    </pic:cNvPicPr>
                  </pic:nvPicPr>
                  <pic:blipFill>
                    <a:blip r:embed="rId2488"/>
                    <a:stretch>
                      <a:fillRect/>
                    </a:stretch>
                  </pic:blipFill>
                  <pic:spPr bwMode="auto">
                    <a:xfrm>
                      <a:off x="0" y="0"/>
                      <a:ext cx="5334000" cy="2868005"/>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gateway makes one synchronous round trip to the Redis shard owning the key (§14.8); the script runs atomically and returns a decision and retry hint. Admitted requests go to the upload service; rejected ones get 429 without touching it. The Redis shard is the storage boundary; failover may reset some buckets (usually acceptable). Failure points: Redis latency on every request, a failed shard blocking its keys, and hot keys. Scaling: add shards; pre-aggregate hot keys locally (§22.8.3).</w:t>
      </w:r>
    </w:p>
    <w:bookmarkEnd w:id="2491"/>
    <w:bookmarkStart w:id="2497" w:name="X63c799427070a6136bafa5f1a660fc737225e7b"/>
    <w:p>
      <w:pPr>
        <w:pStyle w:val="Heading3"/>
      </w:pPr>
      <w:r>
        <w:t xml:space="preserve">22.8.3 Local counting with synchronization, and quota distribution</w:t>
      </w:r>
    </w:p>
    <w:p>
      <w:pPr>
        <w:pStyle w:val="FirstParagraph"/>
      </w:pPr>
      <w:r>
        <w:t xml:space="preserve">Two families avoid a remote call on every request.</w:t>
      </w:r>
    </w:p>
    <w:p>
      <w:pPr>
        <w:numPr>
          <w:ilvl w:val="0"/>
          <w:numId w:val="1725"/>
        </w:numPr>
        <w:pStyle w:val="Compact"/>
      </w:pPr>
      <w:r>
        <w:rPr>
          <w:bCs/>
          <w:b/>
        </w:rPr>
        <w:t xml:space="preserve">Local counting with periodic synchronization.</w:t>
      </w:r>
      <w:r>
        <w:t xml:space="preserve"> </w:t>
      </w:r>
      <w:r>
        <w:t xml:space="preserve">Nodes count locally and exchange counts every</w:t>
      </w:r>
      <w:r>
        <w:t xml:space="preserve"> </w:t>
      </w:r>
      <m:oMath>
        <m:r>
          <m:t>Δ</m:t>
        </m:r>
      </m:oMath>
      <w:r>
        <w:t xml:space="preserve"> </w:t>
      </w:r>
      <w:r>
        <w:t xml:space="preserve">seconds, deciding in between on a stale global view.</w:t>
      </w:r>
    </w:p>
    <w:p>
      <w:pPr>
        <w:numPr>
          <w:ilvl w:val="0"/>
          <w:numId w:val="1725"/>
        </w:numPr>
        <w:pStyle w:val="Compact"/>
      </w:pPr>
      <w:r>
        <w:rPr>
          <w:bCs/>
          <w:b/>
        </w:rPr>
        <w:t xml:space="preserve">Quota distribution (leases).</w:t>
      </w:r>
      <w:r>
        <w:t xml:space="preserve"> </w:t>
      </w:r>
      <w:r>
        <w:t xml:space="preserve">A coordinator divides the limit into per-node allowances in proportion to recent demand, re-divided periodically; nodes enforce them with local buckets. Gateways offer related building blocks: Envoy, for example, supports an external global rate-limit service and a local token-bucket filter [Envoy Docs: rate limiting].</w:t>
      </w:r>
    </w:p>
    <w:p>
      <w:pPr>
        <w:pStyle w:val="FirstParagraph"/>
      </w:pPr>
      <w:r>
        <w:rPr>
          <w:bCs/>
          <w:b/>
        </w:rPr>
        <w:t xml:space="preserve">Figure 22.7 — Local enforcement with synchronization or quota leases.</w:t>
      </w:r>
    </w:p>
    <w:p>
      <w:pPr>
        <w:pStyle w:val="BodyText"/>
      </w:pPr>
      <w:r>
        <w:drawing>
          <wp:inline>
            <wp:extent cx="5334000" cy="1712433"/>
            <wp:effectExtent b="0" l="0" r="0" t="0"/>
            <wp:docPr descr="" title="" id="2493" name="Picture"/>
            <a:graphic>
              <a:graphicData uri="http://schemas.openxmlformats.org/drawingml/2006/picture">
                <pic:pic>
                  <pic:nvPicPr>
                    <pic:cNvPr descr="/home/user/System-Design/build/.cache/diagrams/0c225495eb8d.png" id="2494" name="Picture"/>
                    <pic:cNvPicPr>
                      <a:picLocks noChangeArrowheads="1" noChangeAspect="1"/>
                    </pic:cNvPicPr>
                  </pic:nvPicPr>
                  <pic:blipFill>
                    <a:blip r:embed="rId2492"/>
                    <a:stretch>
                      <a:fillRect/>
                    </a:stretch>
                  </pic:blipFill>
                  <pic:spPr bwMode="auto">
                    <a:xfrm>
                      <a:off x="0" y="0"/>
                      <a:ext cx="5334000" cy="1712433"/>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Each gateway decides synchronously against a local bucket, so the request path has no remote call. Asynchronously (dotted), nodes report demand to a coordinator, which persists state and pushes back allowances summing to the global limit (in the sync variant, nodes exchange counts instead). Failure points: an unreachable coordinator leaves nodes on their last allowance; allowances lag demand by one period. Scaling: coordination grows with</w:t>
      </w:r>
      <w:r>
        <w:t xml:space="preserve"> </w:t>
      </w:r>
      <m:oMath>
        <m:r>
          <m:t>N</m:t>
        </m:r>
      </m:oMath>
      <w:r>
        <w:t xml:space="preserve"> </w:t>
      </w:r>
      <w:r>
        <w:t xml:space="preserve">per period, not with request rate.</w:t>
      </w:r>
    </w:p>
    <w:bookmarkStart w:id="2495" w:name="mathematical-foundations-47"/>
    <w:p>
      <w:pPr>
        <w:pStyle w:val="Heading4"/>
      </w:pPr>
      <w:r>
        <w:t xml:space="preserve">Mathematical foundations</w:t>
      </w:r>
    </w:p>
    <w:p>
      <w:pPr>
        <w:pStyle w:val="CalloutFormula"/>
      </w:pPr>
      <w:r>
        <w:rPr>
          <w:bCs/>
          <w:b/>
        </w:rPr>
        <w:t xml:space="preserve">FORMULA</w:t>
      </w:r>
    </w:p>
    <w:p>
      <w:pPr>
        <w:pStyle w:val="CalloutFormula"/>
      </w:pPr>
      <w:r>
        <w:rPr>
          <w:bCs/>
          <w:b/>
        </w:rPr>
        <w:t xml:space="preserve">Overshoot of local counting with synchronization interval</w:t>
      </w:r>
      <w:r>
        <w:rPr>
          <w:bCs/>
          <w:b/>
        </w:rPr>
        <w:t xml:space="preserve"> </w:t>
      </w:r>
      <m:oMath>
        <m:r>
          <m:t>Δ</m:t>
        </m:r>
      </m:oMath>
    </w:p>
    <w:p>
      <w:pPr>
        <w:pStyle w:val="CalloutFormula"/>
      </w:pPr>
      <m:oMathPara>
        <m:oMathParaPr>
          <m:jc m:val="center"/>
        </m:oMathParaPr>
        <m:oMath>
          <m:sSub>
            <m:e>
              <m:r>
                <m:t>E</m:t>
              </m:r>
            </m:e>
            <m:sub>
              <m:r>
                <m:rPr>
                  <m:sty m:val="p"/>
                </m:rPr>
                <m:t>max</m:t>
              </m:r>
            </m:sub>
          </m:sSub>
          <m:r>
            <m:rPr>
              <m:sty m:val="p"/>
            </m:rPr>
            <m:t>≈</m:t>
          </m:r>
          <m:r>
            <m:t>λ</m:t>
          </m:r>
          <m:r>
            <m:rPr>
              <m:sty m:val="p"/>
            </m:rPr>
            <m:t>⋅</m:t>
          </m:r>
          <m:r>
            <m:t>Δ</m:t>
          </m:r>
          <m:r>
            <m:t>  </m:t>
          </m:r>
          <m:r>
            <m:t>  </m:t>
          </m:r>
          <m:sSub>
            <m:e>
              <m:r>
                <m:t>M</m:t>
              </m:r>
            </m:e>
            <m:sub>
              <m:r>
                <m:rPr>
                  <m:nor/>
                  <m:sty m:val="p"/>
                </m:rPr>
                <m:t>sync</m:t>
              </m:r>
            </m:sub>
          </m:sSub>
          <m:r>
            <m:rPr>
              <m:sty m:val="p"/>
            </m:rPr>
            <m:t>=</m:t>
          </m:r>
          <m:f>
            <m:fPr>
              <m:type m:val="bar"/>
            </m:fPr>
            <m:num>
              <m:r>
                <m:t>N</m:t>
              </m:r>
              <m:d>
                <m:dPr>
                  <m:begChr m:val="("/>
                  <m:endChr m:val=")"/>
                  <m:sepChr m:val=""/>
                  <m:grow/>
                </m:dPr>
                <m:e>
                  <m:r>
                    <m:t>N</m:t>
                  </m:r>
                  <m:r>
                    <m:rPr>
                      <m:sty m:val="p"/>
                    </m:rPr>
                    <m:t>−</m:t>
                  </m:r>
                  <m:r>
                    <m:t>1</m:t>
                  </m:r>
                </m:e>
              </m:d>
            </m:num>
            <m:den>
              <m:r>
                <m:t>Δ</m:t>
              </m:r>
            </m:den>
          </m:f>
          <m:r>
            <m:t> </m:t>
          </m:r>
          <m:r>
            <m:rPr>
              <m:nor/>
              <m:sty m:val="p"/>
            </m:rPr>
            <m:t>(all-to-all)</m:t>
          </m:r>
          <m:r>
            <m:t> </m:t>
          </m:r>
          <m:r>
            <m:rPr>
              <m:nor/>
              <m:sty m:val="p"/>
            </m:rPr>
            <m:t>or</m:t>
          </m:r>
          <m:r>
            <m:t> </m:t>
          </m:r>
          <m:f>
            <m:fPr>
              <m:type m:val="bar"/>
            </m:fPr>
            <m:num>
              <m:r>
                <m:t>2</m:t>
              </m:r>
              <m:r>
                <m:t>N</m:t>
              </m:r>
            </m:num>
            <m:den>
              <m:r>
                <m:t>Δ</m:t>
              </m:r>
            </m:den>
          </m:f>
          <m:r>
            <m:t> </m:t>
          </m:r>
          <m:r>
            <m:rPr>
              <m:nor/>
              <m:sty m:val="p"/>
            </m:rPr>
            <m:t>(via a store or coordinator)</m:t>
          </m:r>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E</m:t>
                  </m:r>
                </m:e>
                <m:sub>
                  <m:r>
                    <m:rPr>
                      <m:sty m:val="p"/>
                    </m:rPr>
                    <m:t>max</m:t>
                  </m:r>
                </m:sub>
              </m:sSub>
            </m:oMath>
          </w:p>
        </w:tc>
        <w:tc>
          <w:tcPr/>
          <w:p>
            <w:pPr>
              <w:pStyle w:val="Compact"/>
              <w:jc w:val="left"/>
            </w:pPr>
            <w:r>
              <w:t xml:space="preserve">Worst-case requests admitted beyond the limit per window</w:t>
            </w:r>
          </w:p>
        </w:tc>
        <w:tc>
          <w:tcPr/>
          <w:p>
            <w:pPr>
              <w:pStyle w:val="Compact"/>
              <w:jc w:val="left"/>
            </w:pPr>
            <w:r>
              <w:t xml:space="preserve">requests</w:t>
            </w:r>
          </w:p>
        </w:tc>
      </w:tr>
      <w:tr>
        <w:tc>
          <w:tcPr/>
          <w:p>
            <w:pPr>
              <w:pStyle w:val="Compact"/>
              <w:jc w:val="left"/>
            </w:pPr>
            <m:oMath>
              <m:r>
                <m:t>λ</m:t>
              </m:r>
            </m:oMath>
          </w:p>
        </w:tc>
        <w:tc>
          <w:tcPr/>
          <w:p>
            <w:pPr>
              <w:pStyle w:val="Compact"/>
              <w:jc w:val="left"/>
            </w:pPr>
            <w:r>
              <w:t xml:space="preserve">Offered rate for the key across all nodes</w:t>
            </w:r>
          </w:p>
        </w:tc>
        <w:tc>
          <w:tcPr/>
          <w:p>
            <w:pPr>
              <w:pStyle w:val="Compact"/>
              <w:jc w:val="left"/>
            </w:pPr>
            <w:r>
              <w:t xml:space="preserve">requests/s</w:t>
            </w:r>
          </w:p>
        </w:tc>
      </w:tr>
      <w:tr>
        <w:tc>
          <w:tcPr/>
          <w:p>
            <w:pPr>
              <w:pStyle w:val="Compact"/>
              <w:jc w:val="left"/>
            </w:pPr>
            <m:oMath>
              <m:r>
                <m:t>Δ</m:t>
              </m:r>
            </m:oMath>
          </w:p>
        </w:tc>
        <w:tc>
          <w:tcPr/>
          <w:p>
            <w:pPr>
              <w:pStyle w:val="Compact"/>
              <w:jc w:val="left"/>
            </w:pPr>
            <w:r>
              <w:t xml:space="preserve">Synchronization interval</w:t>
            </w:r>
          </w:p>
        </w:tc>
        <w:tc>
          <w:tcPr/>
          <w:p>
            <w:pPr>
              <w:pStyle w:val="Compact"/>
              <w:jc w:val="left"/>
            </w:pPr>
            <w:r>
              <w:t xml:space="preserve">s</w:t>
            </w:r>
          </w:p>
        </w:tc>
      </w:tr>
      <w:tr>
        <w:tc>
          <w:tcPr/>
          <w:p>
            <w:pPr>
              <w:pStyle w:val="Compact"/>
              <w:jc w:val="left"/>
            </w:pPr>
            <m:oMath>
              <m:r>
                <m:t>N</m:t>
              </m:r>
            </m:oMath>
          </w:p>
        </w:tc>
        <w:tc>
          <w:tcPr/>
          <w:p>
            <w:pPr>
              <w:pStyle w:val="Compact"/>
              <w:jc w:val="left"/>
            </w:pPr>
            <w:r>
              <w:t xml:space="preserve">Number of gateway nodes</w:t>
            </w:r>
          </w:p>
        </w:tc>
        <w:tc>
          <w:tcPr/>
          <w:p>
            <w:pPr>
              <w:pStyle w:val="Compact"/>
              <w:jc w:val="left"/>
            </w:pPr>
            <w:r>
              <w:t xml:space="preserve">nodes</w:t>
            </w:r>
          </w:p>
        </w:tc>
      </w:tr>
      <w:tr>
        <w:tc>
          <w:tcPr/>
          <w:p>
            <w:pPr>
              <w:pStyle w:val="Compact"/>
              <w:jc w:val="left"/>
            </w:pPr>
            <m:oMath>
              <m:sSub>
                <m:e>
                  <m:r>
                    <m:t>M</m:t>
                  </m:r>
                </m:e>
                <m:sub>
                  <m:r>
                    <m:rPr>
                      <m:nor/>
                      <m:sty m:val="p"/>
                    </m:rPr>
                    <m:t>sync</m:t>
                  </m:r>
                </m:sub>
              </m:sSub>
            </m:oMath>
          </w:p>
        </w:tc>
        <w:tc>
          <w:tcPr/>
          <w:p>
            <w:pPr>
              <w:pStyle w:val="Compact"/>
              <w:jc w:val="left"/>
            </w:pPr>
            <w:r>
              <w:t xml:space="preserve">Coordination messages per second (each message can carry all keys)</w:t>
            </w:r>
          </w:p>
        </w:tc>
        <w:tc>
          <w:tcPr/>
          <w:p>
            <w:pPr>
              <w:pStyle w:val="Compact"/>
              <w:jc w:val="left"/>
            </w:pPr>
            <w:r>
              <w:t xml:space="preserve">messages/s</w:t>
            </w:r>
          </w:p>
        </w:tc>
      </w:tr>
    </w:tbl>
    <w:p>
      <w:pPr>
        <w:pStyle w:val="CalloutExample"/>
      </w:pPr>
      <w:r>
        <w:rPr>
          <w:bCs/>
          <w:b/>
        </w:rPr>
        <w:t xml:space="preserve">WORKED EXAMPLE</w:t>
      </w:r>
    </w:p>
    <w:p>
      <w:pPr>
        <w:pStyle w:val="CalloutExample"/>
      </w:pPr>
      <w:r>
        <w:rPr>
          <w:bCs/>
          <w:b/>
        </w:rPr>
        <w:t xml:space="preserve">Worked example — 10 gateways, limit 1,000 requests/s for one tenant, offered 3,000 RPS.</w:t>
      </w:r>
    </w:p>
    <w:p>
      <w:pPr>
        <w:numPr>
          <w:ilvl w:val="0"/>
          <w:numId w:val="1726"/>
        </w:numPr>
        <w:pStyle w:val="Compact"/>
      </w:pPr>
      <m:oMath>
        <m:r>
          <m:t>Δ</m:t>
        </m:r>
        <m:r>
          <m:rPr>
            <m:sty m:val="p"/>
          </m:rPr>
          <m:t>=</m:t>
        </m:r>
        <m:r>
          <m:t>100</m:t>
        </m:r>
      </m:oMath>
      <w:r>
        <w:t xml:space="preserve"> </w:t>
      </w:r>
      <w:r>
        <w:t xml:space="preserve">ms:</w:t>
      </w:r>
      <w:r>
        <w:t xml:space="preserve"> </w:t>
      </w:r>
      <m:oMath>
        <m:sSub>
          <m:e>
            <m:r>
              <m:t>E</m:t>
            </m:r>
          </m:e>
          <m:sub>
            <m:r>
              <m:rPr>
                <m:sty m:val="p"/>
              </m:rPr>
              <m:t>max</m:t>
            </m:r>
          </m:sub>
        </m:sSub>
        <m:r>
          <m:rPr>
            <m:sty m:val="p"/>
          </m:rPr>
          <m:t>≈</m:t>
        </m:r>
        <m:r>
          <m:t>3</m:t>
        </m:r>
        <m:r>
          <m:rPr>
            <m:sty m:val="p"/>
          </m:rPr>
          <m:t>,</m:t>
        </m:r>
        <m:r>
          <m:t>000</m:t>
        </m:r>
        <m:r>
          <m:rPr>
            <m:sty m:val="p"/>
          </m:rPr>
          <m:t>×</m:t>
        </m:r>
        <m:r>
          <m:t>0.1</m:t>
        </m:r>
        <m:r>
          <m:rPr>
            <m:sty m:val="p"/>
          </m:rPr>
          <m:t>=</m:t>
        </m:r>
        <m:r>
          <m:t>300</m:t>
        </m:r>
      </m:oMath>
      <w:r>
        <w:t xml:space="preserve"> </w:t>
      </w:r>
      <w:r>
        <w:t xml:space="preserve">excess requests per second, up to 30% over. Messages:</w:t>
      </w:r>
      <w:r>
        <w:t xml:space="preserve"> </w:t>
      </w:r>
      <m:oMath>
        <m:r>
          <m:t>10</m:t>
        </m:r>
        <m:r>
          <m:rPr>
            <m:sty m:val="p"/>
          </m:rPr>
          <m:t>×</m:t>
        </m:r>
        <m:r>
          <m:t>9</m:t>
        </m:r>
        <m:r>
          <m:rPr>
            <m:sty m:val="p"/>
          </m:rPr>
          <m:t>/</m:t>
        </m:r>
        <m:r>
          <m:t>0.1</m:t>
        </m:r>
        <m:r>
          <m:rPr>
            <m:sty m:val="p"/>
          </m:rPr>
          <m:t>=</m:t>
        </m:r>
        <m:r>
          <m:t>900</m:t>
        </m:r>
      </m:oMath>
      <w:r>
        <w:t xml:space="preserve">/s all-to-all.</w:t>
      </w:r>
    </w:p>
    <w:p>
      <w:pPr>
        <w:numPr>
          <w:ilvl w:val="0"/>
          <w:numId w:val="1726"/>
        </w:numPr>
        <w:pStyle w:val="Compact"/>
      </w:pPr>
      <m:oMath>
        <m:r>
          <m:t>Δ</m:t>
        </m:r>
        <m:r>
          <m:rPr>
            <m:sty m:val="p"/>
          </m:rPr>
          <m:t>=</m:t>
        </m:r>
        <m:r>
          <m:t>10</m:t>
        </m:r>
      </m:oMath>
      <w:r>
        <w:t xml:space="preserve"> </w:t>
      </w:r>
      <w:r>
        <w:t xml:space="preserve">ms:</w:t>
      </w:r>
      <w:r>
        <w:t xml:space="preserve"> </w:t>
      </w:r>
      <m:oMath>
        <m:sSub>
          <m:e>
            <m:r>
              <m:t>E</m:t>
            </m:r>
          </m:e>
          <m:sub>
            <m:r>
              <m:rPr>
                <m:sty m:val="p"/>
              </m:rPr>
              <m:t>max</m:t>
            </m:r>
          </m:sub>
        </m:sSub>
        <m:r>
          <m:rPr>
            <m:sty m:val="p"/>
          </m:rPr>
          <m:t>≈</m:t>
        </m:r>
        <m:r>
          <m:t>30</m:t>
        </m:r>
      </m:oMath>
      <w:r>
        <w:t xml:space="preserve"> </w:t>
      </w:r>
      <w:r>
        <w:t xml:space="preserve">(3%); messages</w:t>
      </w:r>
      <w:r>
        <w:t xml:space="preserve"> </w:t>
      </w:r>
      <m:oMath>
        <m:r>
          <m:rPr>
            <m:sty m:val="p"/>
          </m:rPr>
          <m:t>=</m:t>
        </m:r>
        <m:r>
          <m:t>9</m:t>
        </m:r>
        <m:r>
          <m:rPr>
            <m:sty m:val="p"/>
          </m:rPr>
          <m:t>,</m:t>
        </m:r>
        <m:r>
          <m:t>000</m:t>
        </m:r>
      </m:oMath>
      <w:r>
        <w:t xml:space="preserve">/s.</w:t>
      </w:r>
    </w:p>
    <w:p>
      <w:pPr>
        <w:numPr>
          <w:ilvl w:val="0"/>
          <w:numId w:val="1726"/>
        </w:numPr>
        <w:pStyle w:val="Compact"/>
      </w:pPr>
      <w:r>
        <w:t xml:space="preserve">Centralized Redis: zero overshoot, but one round trip per request: 3,000 Redis calls/s for this tenant alone, and roughly 0.2–1 ms added to each request inside a datacenter (§7.15).</w:t>
      </w:r>
    </w:p>
    <w:p>
      <w:pPr>
        <w:numPr>
          <w:ilvl w:val="0"/>
          <w:numId w:val="1726"/>
        </w:numPr>
        <w:pStyle w:val="Compact"/>
      </w:pPr>
      <w:r>
        <w:t xml:space="preserve">Simulation (below): with</w:t>
      </w:r>
      <w:r>
        <w:t xml:space="preserve"> </w:t>
      </w:r>
      <m:oMath>
        <m:r>
          <m:t>Δ</m:t>
        </m:r>
        <m:r>
          <m:rPr>
            <m:sty m:val="p"/>
          </m:rPr>
          <m:t>=</m:t>
        </m:r>
        <m:r>
          <m:t>100</m:t>
        </m:r>
      </m:oMath>
      <w:r>
        <w:t xml:space="preserve"> </w:t>
      </w:r>
      <w:r>
        <w:t xml:space="preserve">ms the measured overshoot averages 147/s (bound 300); with</w:t>
      </w:r>
      <w:r>
        <w:t xml:space="preserve"> </w:t>
      </w:r>
      <m:oMath>
        <m:r>
          <m:t>Δ</m:t>
        </m:r>
        <m:r>
          <m:rPr>
            <m:sty m:val="p"/>
          </m:rPr>
          <m:t>=</m:t>
        </m:r>
        <m:r>
          <m:t>10</m:t>
        </m:r>
      </m:oMath>
      <w:r>
        <w:t xml:space="preserve"> </w:t>
      </w:r>
      <w:r>
        <w:t xml:space="preserve">ms, 9.5/s (bound 30).</w:t>
      </w:r>
    </w:p>
    <w:p>
      <w:pPr>
        <w:pStyle w:val="CalloutExample"/>
      </w:pPr>
      <w:r>
        <w:rPr>
          <w:bCs/>
          <w:b/>
        </w:rPr>
        <w:t xml:space="preserve">Interpretation.</w:t>
      </w:r>
      <w:r>
        <w:t xml:space="preserve"> </w:t>
      </w:r>
      <w:r>
        <w:t xml:space="preserve">Accuracy, latency and coordination traffic form a triangle; pick two.</w:t>
      </w:r>
      <w:r>
        <w:t xml:space="preserve"> </w:t>
      </w:r>
      <w:r>
        <w:rPr>
          <w:bCs/>
          <w:b/>
        </w:rPr>
        <w:t xml:space="preserve">Engineering implication.</w:t>
      </w:r>
      <w:r>
        <w:t xml:space="preserve"> </w:t>
      </w:r>
      <w:r>
        <w:t xml:space="preserve">Centralize contractual limits on costly operations; use local-plus-sync or quotas on hot paths where a few percent of overshoot is harmless.</w:t>
      </w:r>
    </w:p>
    <w:bookmarkEnd w:id="2495"/>
    <w:bookmarkStart w:id="2496" w:name="code-example-a-redis-free-simulation"/>
    <w:p>
      <w:pPr>
        <w:pStyle w:val="Heading4"/>
      </w:pPr>
      <w:r>
        <w:t xml:space="preserve">Code example: a Redis-free simulation</w:t>
      </w:r>
    </w:p>
    <w:p>
      <w:pPr>
        <w:pStyle w:val="SourceCode"/>
      </w:pPr>
      <w:r>
        <w:rPr>
          <w:rStyle w:val="CommentTok"/>
        </w:rPr>
        <w:t xml:space="preserve">"""Simulate one tenant's global limit of 1,000 requests per 1-second window, enforced by</w:t>
      </w:r>
      <w:r>
        <w:br/>
      </w:r>
      <w:r>
        <w:rPr>
          <w:rStyle w:val="CommentTok"/>
        </w:rPr>
        <w:t xml:space="preserve">10 gateway nodes that receive skewed traffic. No Redis needed: the 'central store' is a dict."""</w:t>
      </w:r>
      <w:r>
        <w:br/>
      </w:r>
      <w:r>
        <w:rPr>
          <w:rStyle w:val="ImportTok"/>
        </w:rPr>
        <w:t xml:space="preserve">import</w:t>
      </w:r>
      <w:r>
        <w:rPr>
          <w:rStyle w:val="NormalTok"/>
        </w:rPr>
        <w:t xml:space="preserve"> random</w:t>
      </w:r>
      <w:r>
        <w:br/>
      </w:r>
      <w:r>
        <w:br/>
      </w:r>
      <w:r>
        <w:rPr>
          <w:rStyle w:val="NormalTok"/>
        </w:rPr>
        <w:t xml:space="preserve">LIMIT, NODES, SECONDS </w:t>
      </w:r>
      <w:r>
        <w:rPr>
          <w:rStyle w:val="OperatorTok"/>
        </w:rPr>
        <w:t xml:space="preserve">=</w:t>
      </w:r>
      <w:r>
        <w:rPr>
          <w:rStyle w:val="NormalTok"/>
        </w:rPr>
        <w:t xml:space="preserve"> </w:t>
      </w:r>
      <w:r>
        <w:rPr>
          <w:rStyle w:val="DecValTok"/>
        </w:rPr>
        <w:t xml:space="preserve">1000</w:t>
      </w:r>
      <w:r>
        <w:rPr>
          <w:rStyle w:val="NormalTok"/>
        </w:rPr>
        <w:t xml:space="preserve">, </w:t>
      </w:r>
      <w:r>
        <w:rPr>
          <w:rStyle w:val="DecValTok"/>
        </w:rPr>
        <w:t xml:space="preserve">10</w:t>
      </w:r>
      <w:r>
        <w:rPr>
          <w:rStyle w:val="NormalTok"/>
        </w:rPr>
        <w:t xml:space="preserve">, </w:t>
      </w:r>
      <w:r>
        <w:rPr>
          <w:rStyle w:val="DecValTok"/>
        </w:rPr>
        <w:t xml:space="preserve">20</w:t>
      </w:r>
      <w:r>
        <w:br/>
      </w:r>
      <w:r>
        <w:rPr>
          <w:rStyle w:val="NormalTok"/>
        </w:rPr>
        <w:t xml:space="preserve">WEIGHTS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DecValTok"/>
        </w:rPr>
        <w:t xml:space="preserve">9</w:t>
      </w:r>
      <w:r>
        <w:rPr>
          <w:rStyle w:val="NormalTok"/>
        </w:rPr>
        <w:t xml:space="preserve">] </w:t>
      </w:r>
      <w:r>
        <w:rPr>
          <w:rStyle w:val="OperatorTok"/>
        </w:rPr>
        <w:t xml:space="preserve">*</w:t>
      </w:r>
      <w:r>
        <w:rPr>
          <w:rStyle w:val="NormalTok"/>
        </w:rPr>
        <w:t xml:space="preserve"> </w:t>
      </w:r>
      <w:r>
        <w:rPr>
          <w:rStyle w:val="DecValTok"/>
        </w:rPr>
        <w:t xml:space="preserve">9</w:t>
      </w:r>
      <w:r>
        <w:rPr>
          <w:rStyle w:val="NormalTok"/>
        </w:rPr>
        <w:t xml:space="preserve">                 </w:t>
      </w:r>
      <w:r>
        <w:rPr>
          <w:rStyle w:val="CommentTok"/>
        </w:rPr>
        <w:t xml:space="preserve"># node 0 gets half the tenant's traffic</w:t>
      </w:r>
      <w:r>
        <w:br/>
      </w:r>
      <w:r>
        <w:br/>
      </w:r>
      <w:r>
        <w:br/>
      </w:r>
      <w:r>
        <w:rPr>
          <w:rStyle w:val="KeywordTok"/>
        </w:rPr>
        <w:t xml:space="preserve">def</w:t>
      </w:r>
      <w:r>
        <w:rPr>
          <w:rStyle w:val="NormalTok"/>
        </w:rPr>
        <w:t xml:space="preserve"> arrivals(offered_rps, seed</w:t>
      </w:r>
      <w:r>
        <w:rPr>
          <w:rStyle w:val="OperatorTok"/>
        </w:rPr>
        <w:t xml:space="preserve">=</w:t>
      </w:r>
      <w:r>
        <w:rPr>
          <w:rStyle w:val="DecValTok"/>
        </w:rPr>
        <w:t xml:space="preserve">1</w:t>
      </w:r>
      <w:r>
        <w:rPr>
          <w:rStyle w:val="NormalTok"/>
        </w:rPr>
        <w:t xml:space="preserve">):</w:t>
      </w:r>
      <w:r>
        <w:br/>
      </w:r>
      <w:r>
        <w:rPr>
          <w:rStyle w:val="NormalTok"/>
        </w:rPr>
        <w:t xml:space="preserve">    rng, events </w:t>
      </w:r>
      <w:r>
        <w:rPr>
          <w:rStyle w:val="OperatorTok"/>
        </w:rPr>
        <w:t xml:space="preserve">=</w:t>
      </w:r>
      <w:r>
        <w:rPr>
          <w:rStyle w:val="NormalTok"/>
        </w:rPr>
        <w:t xml:space="preserve"> random.Random(seed), []</w:t>
      </w:r>
      <w:r>
        <w:br/>
      </w:r>
      <w:r>
        <w:rPr>
          <w:rStyle w:val="NormalTok"/>
        </w:rPr>
        <w:t xml:space="preserve">    </w:t>
      </w:r>
      <w:r>
        <w:rPr>
          <w:rStyle w:val="ControlFlowTok"/>
        </w:rPr>
        <w:t xml:space="preserve">for</w:t>
      </w:r>
      <w:r>
        <w:rPr>
          <w:rStyle w:val="NormalTok"/>
        </w:rPr>
        <w:t xml:space="preserve"> node, w </w:t>
      </w:r>
      <w:r>
        <w:rPr>
          <w:rStyle w:val="KeywordTok"/>
        </w:rPr>
        <w:t xml:space="preserve">in</w:t>
      </w:r>
      <w:r>
        <w:rPr>
          <w:rStyle w:val="NormalTok"/>
        </w:rPr>
        <w:t xml:space="preserve"> </w:t>
      </w:r>
      <w:r>
        <w:rPr>
          <w:rStyle w:val="BuiltInTok"/>
        </w:rPr>
        <w:t xml:space="preserve">enumerate</w:t>
      </w:r>
      <w:r>
        <w:rPr>
          <w:rStyle w:val="NormalTok"/>
        </w:rPr>
        <w:t xml:space="preserve">(WEIGHTS):</w:t>
      </w:r>
      <w:r>
        <w:br/>
      </w:r>
      <w:r>
        <w:rPr>
          <w:rStyle w:val="NormalTok"/>
        </w:rPr>
        <w:t xml:space="preserve">        t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t </w:t>
      </w:r>
      <w:r>
        <w:rPr>
          <w:rStyle w:val="OperatorTok"/>
        </w:rPr>
        <w:t xml:space="preserve">+=</w:t>
      </w:r>
      <w:r>
        <w:rPr>
          <w:rStyle w:val="NormalTok"/>
        </w:rPr>
        <w:t xml:space="preserve"> rng.expovariate(offered_rps </w:t>
      </w:r>
      <w:r>
        <w:rPr>
          <w:rStyle w:val="OperatorTok"/>
        </w:rPr>
        <w:t xml:space="preserve">*</w:t>
      </w:r>
      <w:r>
        <w:rPr>
          <w:rStyle w:val="NormalTok"/>
        </w:rPr>
        <w:t xml:space="preserve"> w)</w:t>
      </w:r>
      <w:r>
        <w:br/>
      </w:r>
      <w:r>
        <w:rPr>
          <w:rStyle w:val="NormalTok"/>
        </w:rPr>
        <w:t xml:space="preserve">            </w:t>
      </w:r>
      <w:r>
        <w:rPr>
          <w:rStyle w:val="ControlFlowTok"/>
        </w:rPr>
        <w:t xml:space="preserve">if</w:t>
      </w:r>
      <w:r>
        <w:rPr>
          <w:rStyle w:val="NormalTok"/>
        </w:rPr>
        <w:t xml:space="preserve"> t </w:t>
      </w:r>
      <w:r>
        <w:rPr>
          <w:rStyle w:val="OperatorTok"/>
        </w:rPr>
        <w:t xml:space="preserve">&gt;=</w:t>
      </w:r>
      <w:r>
        <w:rPr>
          <w:rStyle w:val="NormalTok"/>
        </w:rPr>
        <w:t xml:space="preserve"> SECONDS:</w:t>
      </w:r>
      <w:r>
        <w:br/>
      </w:r>
      <w:r>
        <w:rPr>
          <w:rStyle w:val="NormalTok"/>
        </w:rPr>
        <w:t xml:space="preserve">                </w:t>
      </w:r>
      <w:r>
        <w:rPr>
          <w:rStyle w:val="ControlFlowTok"/>
        </w:rPr>
        <w:t xml:space="preserve">break</w:t>
      </w:r>
      <w:r>
        <w:br/>
      </w:r>
      <w:r>
        <w:rPr>
          <w:rStyle w:val="NormalTok"/>
        </w:rPr>
        <w:t xml:space="preserve">            events.append((t, node))</w:t>
      </w:r>
      <w:r>
        <w:br/>
      </w:r>
      <w:r>
        <w:rPr>
          <w:rStyle w:val="NormalTok"/>
        </w:rPr>
        <w:t xml:space="preserve">    </w:t>
      </w:r>
      <w:r>
        <w:rPr>
          <w:rStyle w:val="ControlFlowTok"/>
        </w:rPr>
        <w:t xml:space="preserve">return</w:t>
      </w:r>
      <w:r>
        <w:rPr>
          <w:rStyle w:val="NormalTok"/>
        </w:rPr>
        <w:t xml:space="preserve"> </w:t>
      </w:r>
      <w:r>
        <w:rPr>
          <w:rStyle w:val="BuiltInTok"/>
        </w:rPr>
        <w:t xml:space="preserve">sorted</w:t>
      </w:r>
      <w:r>
        <w:rPr>
          <w:rStyle w:val="NormalTok"/>
        </w:rPr>
        <w:t xml:space="preserve">(events)</w:t>
      </w:r>
      <w:r>
        <w:br/>
      </w:r>
      <w:r>
        <w:br/>
      </w:r>
      <w:r>
        <w:br/>
      </w:r>
      <w:r>
        <w:rPr>
          <w:rStyle w:val="KeywordTok"/>
        </w:rPr>
        <w:t xml:space="preserve">def</w:t>
      </w:r>
      <w:r>
        <w:rPr>
          <w:rStyle w:val="NormalTok"/>
        </w:rPr>
        <w:t xml:space="preserve"> static_split(events):</w:t>
      </w:r>
      <w:r>
        <w:br/>
      </w:r>
      <w:r>
        <w:rPr>
          <w:rStyle w:val="NormalTok"/>
        </w:rPr>
        <w:t xml:space="preserve">    </w:t>
      </w:r>
      <w:r>
        <w:rPr>
          <w:rStyle w:val="CommentTok"/>
        </w:rPr>
        <w:t xml:space="preserve">"""Each node enforces LIMIT/N locally. Zero coordination."""</w:t>
      </w:r>
      <w:r>
        <w:br/>
      </w:r>
      <w:r>
        <w:rPr>
          <w:rStyle w:val="NormalTok"/>
        </w:rPr>
        <w:t xml:space="preserve">    counts </w:t>
      </w:r>
      <w:r>
        <w:rPr>
          <w:rStyle w:val="OperatorTok"/>
        </w:rPr>
        <w:t xml:space="preserve">=</w:t>
      </w:r>
      <w:r>
        <w:rPr>
          <w:rStyle w:val="NormalTok"/>
        </w:rPr>
        <w:t xml:space="preserve"> {}</w:t>
      </w:r>
      <w:r>
        <w:br/>
      </w:r>
      <w:r>
        <w:rPr>
          <w:rStyle w:val="NormalTok"/>
        </w:rPr>
        <w:t xml:space="preserve">    </w:t>
      </w:r>
      <w:r>
        <w:rPr>
          <w:rStyle w:val="KeywordTok"/>
        </w:rPr>
        <w:t xml:space="preserve">def</w:t>
      </w:r>
      <w:r>
        <w:rPr>
          <w:rStyle w:val="NormalTok"/>
        </w:rPr>
        <w:t xml:space="preserve"> allow(t, node):</w:t>
      </w:r>
      <w:r>
        <w:br/>
      </w:r>
      <w:r>
        <w:rPr>
          <w:rStyle w:val="NormalTok"/>
        </w:rPr>
        <w:t xml:space="preserve">        k </w:t>
      </w:r>
      <w:r>
        <w:rPr>
          <w:rStyle w:val="OperatorTok"/>
        </w:rPr>
        <w:t xml:space="preserve">=</w:t>
      </w:r>
      <w:r>
        <w:rPr>
          <w:rStyle w:val="NormalTok"/>
        </w:rPr>
        <w:t xml:space="preserve"> (</w:t>
      </w:r>
      <w:r>
        <w:rPr>
          <w:rStyle w:val="BuiltInTok"/>
        </w:rPr>
        <w:t xml:space="preserve">int</w:t>
      </w:r>
      <w:r>
        <w:rPr>
          <w:rStyle w:val="NormalTok"/>
        </w:rPr>
        <w:t xml:space="preserve">(t), node)</w:t>
      </w:r>
      <w:r>
        <w:br/>
      </w:r>
      <w:r>
        <w:rPr>
          <w:rStyle w:val="NormalTok"/>
        </w:rPr>
        <w:t xml:space="preserve">        </w:t>
      </w:r>
      <w:r>
        <w:rPr>
          <w:rStyle w:val="ControlFlowTok"/>
        </w:rPr>
        <w:t xml:space="preserve">if</w:t>
      </w:r>
      <w:r>
        <w:rPr>
          <w:rStyle w:val="NormalTok"/>
        </w:rPr>
        <w:t xml:space="preserve"> counts.get(k, </w:t>
      </w:r>
      <w:r>
        <w:rPr>
          <w:rStyle w:val="DecValTok"/>
        </w:rPr>
        <w:t xml:space="preserve">0</w:t>
      </w:r>
      <w:r>
        <w:rPr>
          <w:rStyle w:val="NormalTok"/>
        </w:rPr>
        <w:t xml:space="preserve">) </w:t>
      </w:r>
      <w:r>
        <w:rPr>
          <w:rStyle w:val="OperatorTok"/>
        </w:rPr>
        <w:t xml:space="preserve">&lt;</w:t>
      </w:r>
      <w:r>
        <w:rPr>
          <w:rStyle w:val="NormalTok"/>
        </w:rPr>
        <w:t xml:space="preserve"> LIMIT </w:t>
      </w:r>
      <w:r>
        <w:rPr>
          <w:rStyle w:val="OperatorTok"/>
        </w:rPr>
        <w:t xml:space="preserve">/</w:t>
      </w:r>
      <w:r>
        <w:rPr>
          <w:rStyle w:val="NormalTok"/>
        </w:rPr>
        <w:t xml:space="preserve"> NODES:</w:t>
      </w:r>
      <w:r>
        <w:br/>
      </w:r>
      <w:r>
        <w:rPr>
          <w:rStyle w:val="NormalTok"/>
        </w:rPr>
        <w:t xml:space="preserve">            counts[k] </w:t>
      </w:r>
      <w:r>
        <w:rPr>
          <w:rStyle w:val="OperatorTok"/>
        </w:rPr>
        <w:t xml:space="preserve">=</w:t>
      </w:r>
      <w:r>
        <w:rPr>
          <w:rStyle w:val="NormalTok"/>
        </w:rPr>
        <w:t xml:space="preserve"> counts.get(k,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ntrolFlowTok"/>
        </w:rPr>
        <w:t xml:space="preserve">return</w:t>
      </w:r>
      <w:r>
        <w:rPr>
          <w:rStyle w:val="NormalTok"/>
        </w:rPr>
        <w:t xml:space="preserve"> allow, </w:t>
      </w:r>
      <w:r>
        <w:rPr>
          <w:rStyle w:val="KeywordTok"/>
        </w:rPr>
        <w:t xml:space="preserve">lambda</w:t>
      </w:r>
      <w:r>
        <w:rPr>
          <w:rStyle w:val="NormalTok"/>
        </w:rPr>
        <w:t xml:space="preserve">: </w:t>
      </w:r>
      <w:r>
        <w:rPr>
          <w:rStyle w:val="DecValTok"/>
        </w:rPr>
        <w:t xml:space="preserve">0</w:t>
      </w:r>
      <w:r>
        <w:br/>
      </w:r>
      <w:r>
        <w:br/>
      </w:r>
      <w:r>
        <w:br/>
      </w:r>
      <w:r>
        <w:rPr>
          <w:rStyle w:val="KeywordTok"/>
        </w:rPr>
        <w:t xml:space="preserve">def</w:t>
      </w:r>
      <w:r>
        <w:rPr>
          <w:rStyle w:val="NormalTok"/>
        </w:rPr>
        <w:t xml:space="preserve"> centralized(events):</w:t>
      </w:r>
      <w:r>
        <w:br/>
      </w:r>
      <w:r>
        <w:rPr>
          <w:rStyle w:val="NormalTok"/>
        </w:rPr>
        <w:t xml:space="preserve">    </w:t>
      </w:r>
      <w:r>
        <w:rPr>
          <w:rStyle w:val="CommentTok"/>
        </w:rPr>
        <w:t xml:space="preserve">"""Every decision is an atomic increment on one shared counter (Redis + Lua in production)."""</w:t>
      </w:r>
      <w:r>
        <w:br/>
      </w:r>
      <w:r>
        <w:rPr>
          <w:rStyle w:val="NormalTok"/>
        </w:rPr>
        <w:t xml:space="preserve">    counts, calls </w:t>
      </w:r>
      <w:r>
        <w:rPr>
          <w:rStyle w:val="OperatorTok"/>
        </w:rPr>
        <w:t xml:space="preserve">=</w:t>
      </w:r>
      <w:r>
        <w:rPr>
          <w:rStyle w:val="NormalTok"/>
        </w:rPr>
        <w:t xml:space="preserve"> {}, [</w:t>
      </w:r>
      <w:r>
        <w:rPr>
          <w:rStyle w:val="DecValTok"/>
        </w:rPr>
        <w:t xml:space="preserve">0</w:t>
      </w:r>
      <w:r>
        <w:rPr>
          <w:rStyle w:val="NormalTok"/>
        </w:rPr>
        <w:t xml:space="preserve">]</w:t>
      </w:r>
      <w:r>
        <w:br/>
      </w:r>
      <w:r>
        <w:rPr>
          <w:rStyle w:val="NormalTok"/>
        </w:rPr>
        <w:t xml:space="preserve">    </w:t>
      </w:r>
      <w:r>
        <w:rPr>
          <w:rStyle w:val="KeywordTok"/>
        </w:rPr>
        <w:t xml:space="preserve">def</w:t>
      </w:r>
      <w:r>
        <w:rPr>
          <w:rStyle w:val="NormalTok"/>
        </w:rPr>
        <w:t xml:space="preserve"> allow(t, node):</w:t>
      </w:r>
      <w:r>
        <w:br/>
      </w:r>
      <w:r>
        <w:rPr>
          <w:rStyle w:val="NormalTok"/>
        </w:rPr>
        <w:t xml:space="preserve">        calls[</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one network round trip per request</w:t>
      </w:r>
      <w:r>
        <w:br/>
      </w:r>
      <w:r>
        <w:rPr>
          <w:rStyle w:val="NormalTok"/>
        </w:rPr>
        <w:t xml:space="preserve">        k </w:t>
      </w:r>
      <w:r>
        <w:rPr>
          <w:rStyle w:val="OperatorTok"/>
        </w:rPr>
        <w:t xml:space="preserve">=</w:t>
      </w:r>
      <w:r>
        <w:rPr>
          <w:rStyle w:val="NormalTok"/>
        </w:rPr>
        <w:t xml:space="preserve"> </w:t>
      </w:r>
      <w:r>
        <w:rPr>
          <w:rStyle w:val="BuiltInTok"/>
        </w:rPr>
        <w:t xml:space="preserve">int</w:t>
      </w:r>
      <w:r>
        <w:rPr>
          <w:rStyle w:val="NormalTok"/>
        </w:rPr>
        <w:t xml:space="preserve">(t)</w:t>
      </w:r>
      <w:r>
        <w:br/>
      </w:r>
      <w:r>
        <w:rPr>
          <w:rStyle w:val="NormalTok"/>
        </w:rPr>
        <w:t xml:space="preserve">        </w:t>
      </w:r>
      <w:r>
        <w:rPr>
          <w:rStyle w:val="ControlFlowTok"/>
        </w:rPr>
        <w:t xml:space="preserve">if</w:t>
      </w:r>
      <w:r>
        <w:rPr>
          <w:rStyle w:val="NormalTok"/>
        </w:rPr>
        <w:t xml:space="preserve"> counts.get(k, </w:t>
      </w:r>
      <w:r>
        <w:rPr>
          <w:rStyle w:val="DecValTok"/>
        </w:rPr>
        <w:t xml:space="preserve">0</w:t>
      </w:r>
      <w:r>
        <w:rPr>
          <w:rStyle w:val="NormalTok"/>
        </w:rPr>
        <w:t xml:space="preserve">) </w:t>
      </w:r>
      <w:r>
        <w:rPr>
          <w:rStyle w:val="OperatorTok"/>
        </w:rPr>
        <w:t xml:space="preserve">&lt;</w:t>
      </w:r>
      <w:r>
        <w:rPr>
          <w:rStyle w:val="NormalTok"/>
        </w:rPr>
        <w:t xml:space="preserve"> LIMIT:</w:t>
      </w:r>
      <w:r>
        <w:br/>
      </w:r>
      <w:r>
        <w:rPr>
          <w:rStyle w:val="NormalTok"/>
        </w:rPr>
        <w:t xml:space="preserve">            counts[k] </w:t>
      </w:r>
      <w:r>
        <w:rPr>
          <w:rStyle w:val="OperatorTok"/>
        </w:rPr>
        <w:t xml:space="preserve">=</w:t>
      </w:r>
      <w:r>
        <w:rPr>
          <w:rStyle w:val="NormalTok"/>
        </w:rPr>
        <w:t xml:space="preserve"> counts.get(k,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ntrolFlowTok"/>
        </w:rPr>
        <w:t xml:space="preserve">return</w:t>
      </w:r>
      <w:r>
        <w:rPr>
          <w:rStyle w:val="NormalTok"/>
        </w:rPr>
        <w:t xml:space="preserve"> allow, </w:t>
      </w:r>
      <w:r>
        <w:rPr>
          <w:rStyle w:val="KeywordTok"/>
        </w:rPr>
        <w:t xml:space="preserve">lambda</w:t>
      </w:r>
      <w:r>
        <w:rPr>
          <w:rStyle w:val="NormalTok"/>
        </w:rPr>
        <w:t xml:space="preserve">: calls[</w:t>
      </w:r>
      <w:r>
        <w:rPr>
          <w:rStyle w:val="DecValTok"/>
        </w:rPr>
        <w:t xml:space="preserve">0</w:t>
      </w:r>
      <w:r>
        <w:rPr>
          <w:rStyle w:val="NormalTok"/>
        </w:rPr>
        <w:t xml:space="preserve">]</w:t>
      </w:r>
      <w:r>
        <w:br/>
      </w:r>
      <w:r>
        <w:br/>
      </w:r>
      <w:r>
        <w:br/>
      </w:r>
      <w:r>
        <w:rPr>
          <w:rStyle w:val="KeywordTok"/>
        </w:rPr>
        <w:t xml:space="preserve">def</w:t>
      </w:r>
      <w:r>
        <w:rPr>
          <w:rStyle w:val="NormalTok"/>
        </w:rPr>
        <w:t xml:space="preserve"> local_with_sync(events, sync_interval):</w:t>
      </w:r>
      <w:r>
        <w:br/>
      </w:r>
      <w:r>
        <w:rPr>
          <w:rStyle w:val="NormalTok"/>
        </w:rPr>
        <w:t xml:space="preserve">    </w:t>
      </w:r>
      <w:r>
        <w:rPr>
          <w:rStyle w:val="CommentTok"/>
        </w:rPr>
        <w:t xml:space="preserve">"""Nodes count locally and exchange counts every sync_interval seconds."""</w:t>
      </w:r>
      <w:r>
        <w:br/>
      </w:r>
      <w:r>
        <w:rPr>
          <w:rStyle w:val="NormalTok"/>
        </w:rPr>
        <w:t xml:space="preserve">    local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NODES                          </w:t>
      </w:r>
      <w:r>
        <w:rPr>
          <w:rStyle w:val="CommentTok"/>
        </w:rPr>
        <w:t xml:space="preserve"># this window's admits per node (true values)</w:t>
      </w:r>
      <w:r>
        <w:br/>
      </w:r>
      <w:r>
        <w:rPr>
          <w:rStyle w:val="NormalTok"/>
        </w:rPr>
        <w:t xml:space="preserve">    seen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NODES                           </w:t>
      </w:r>
      <w:r>
        <w:rPr>
          <w:rStyle w:val="CommentTok"/>
        </w:rPr>
        <w:t xml:space="preserve"># each node's last snapshot of the others' total</w:t>
      </w:r>
      <w:r>
        <w:br/>
      </w:r>
      <w:r>
        <w:rPr>
          <w:rStyle w:val="NormalTok"/>
        </w:rPr>
        <w:t xml:space="preserve">    state </w:t>
      </w:r>
      <w:r>
        <w:rPr>
          <w:rStyle w:val="OperatorTok"/>
        </w:rPr>
        <w:t xml:space="preserve">=</w:t>
      </w:r>
      <w:r>
        <w:rPr>
          <w:rStyle w:val="NormalTok"/>
        </w:rPr>
        <w:t xml:space="preserve"> {</w:t>
      </w:r>
      <w:r>
        <w:rPr>
          <w:rStyle w:val="StringTok"/>
        </w:rPr>
        <w:t xml:space="preserve">"window"</w:t>
      </w:r>
      <w:r>
        <w:rPr>
          <w:rStyle w:val="NormalTok"/>
        </w:rPr>
        <w:t xml:space="preserve">: </w:t>
      </w:r>
      <w:r>
        <w:rPr>
          <w:rStyle w:val="DecValTok"/>
        </w:rPr>
        <w:t xml:space="preserve">0</w:t>
      </w:r>
      <w:r>
        <w:rPr>
          <w:rStyle w:val="NormalTok"/>
        </w:rPr>
        <w:t xml:space="preserve">, </w:t>
      </w:r>
      <w:r>
        <w:rPr>
          <w:rStyle w:val="StringTok"/>
        </w:rPr>
        <w:t xml:space="preserve">"next_sync"</w:t>
      </w:r>
      <w:r>
        <w:rPr>
          <w:rStyle w:val="NormalTok"/>
        </w:rPr>
        <w:t xml:space="preserve">: sync_interval, </w:t>
      </w:r>
      <w:r>
        <w:rPr>
          <w:rStyle w:val="StringTok"/>
        </w:rPr>
        <w:t xml:space="preserve">"msgs"</w:t>
      </w:r>
      <w:r>
        <w:rPr>
          <w:rStyle w:val="NormalTok"/>
        </w:rPr>
        <w:t xml:space="preserve">: </w:t>
      </w:r>
      <w:r>
        <w:rPr>
          <w:rStyle w:val="DecValTok"/>
        </w:rPr>
        <w:t xml:space="preserve">0</w:t>
      </w:r>
      <w:r>
        <w:rPr>
          <w:rStyle w:val="NormalTok"/>
        </w:rPr>
        <w:t xml:space="preserve">}</w:t>
      </w:r>
      <w:r>
        <w:br/>
      </w:r>
      <w:r>
        <w:rPr>
          <w:rStyle w:val="NormalTok"/>
        </w:rPr>
        <w:t xml:space="preserve">    </w:t>
      </w:r>
      <w:r>
        <w:rPr>
          <w:rStyle w:val="KeywordTok"/>
        </w:rPr>
        <w:t xml:space="preserve">def</w:t>
      </w:r>
      <w:r>
        <w:rPr>
          <w:rStyle w:val="NormalTok"/>
        </w:rPr>
        <w:t xml:space="preserve"> allow(t, node):</w:t>
      </w:r>
      <w:r>
        <w:br/>
      </w:r>
      <w:r>
        <w:rPr>
          <w:rStyle w:val="NormalTok"/>
        </w:rPr>
        <w:t xml:space="preserve">        </w:t>
      </w:r>
      <w:r>
        <w:rPr>
          <w:rStyle w:val="ControlFlowTok"/>
        </w:rPr>
        <w:t xml:space="preserve">while</w:t>
      </w:r>
      <w:r>
        <w:rPr>
          <w:rStyle w:val="NormalTok"/>
        </w:rPr>
        <w:t xml:space="preserve"> t </w:t>
      </w:r>
      <w:r>
        <w:rPr>
          <w:rStyle w:val="OperatorTok"/>
        </w:rPr>
        <w:t xml:space="preserve">&gt;=</w:t>
      </w:r>
      <w:r>
        <w:rPr>
          <w:rStyle w:val="NormalTok"/>
        </w:rPr>
        <w:t xml:space="preserve"> state[</w:t>
      </w:r>
      <w:r>
        <w:rPr>
          <w:rStyle w:val="StringTok"/>
        </w:rPr>
        <w:t xml:space="preserve">"next_sync"</w:t>
      </w:r>
      <w:r>
        <w:rPr>
          <w:rStyle w:val="NormalTok"/>
        </w:rPr>
        <w:t xml:space="preserve">]:           </w:t>
      </w:r>
      <w:r>
        <w:rPr>
          <w:rStyle w:val="CommentTok"/>
        </w:rPr>
        <w:t xml:space="preserve"># periodic all-to-all exchange of counters</w:t>
      </w:r>
      <w:r>
        <w:br/>
      </w:r>
      <w:r>
        <w:rPr>
          <w:rStyle w:val="NormalTok"/>
        </w:rPr>
        <w:t xml:space="preserve">            total </w:t>
      </w:r>
      <w:r>
        <w:rPr>
          <w:rStyle w:val="OperatorTok"/>
        </w:rPr>
        <w:t xml:space="preserve">=</w:t>
      </w:r>
      <w:r>
        <w:rPr>
          <w:rStyle w:val="NormalTok"/>
        </w:rPr>
        <w:t xml:space="preserve"> </w:t>
      </w:r>
      <w:r>
        <w:rPr>
          <w:rStyle w:val="BuiltInTok"/>
        </w:rPr>
        <w:t xml:space="preserve">sum</w:t>
      </w:r>
      <w:r>
        <w:rPr>
          <w:rStyle w:val="NormalTok"/>
        </w:rPr>
        <w:t xml:space="preserve">(local)</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(NODES):</w:t>
      </w:r>
      <w:r>
        <w:br/>
      </w:r>
      <w:r>
        <w:rPr>
          <w:rStyle w:val="NormalTok"/>
        </w:rPr>
        <w:t xml:space="preserve">                seen[i] </w:t>
      </w:r>
      <w:r>
        <w:rPr>
          <w:rStyle w:val="OperatorTok"/>
        </w:rPr>
        <w:t xml:space="preserve">=</w:t>
      </w:r>
      <w:r>
        <w:rPr>
          <w:rStyle w:val="NormalTok"/>
        </w:rPr>
        <w:t xml:space="preserve"> total </w:t>
      </w:r>
      <w:r>
        <w:rPr>
          <w:rStyle w:val="OperatorTok"/>
        </w:rPr>
        <w:t xml:space="preserve">-</w:t>
      </w:r>
      <w:r>
        <w:rPr>
          <w:rStyle w:val="NormalTok"/>
        </w:rPr>
        <w:t xml:space="preserve"> local[i]</w:t>
      </w:r>
      <w:r>
        <w:br/>
      </w:r>
      <w:r>
        <w:rPr>
          <w:rStyle w:val="NormalTok"/>
        </w:rPr>
        <w:t xml:space="preserve">            state[</w:t>
      </w:r>
      <w:r>
        <w:rPr>
          <w:rStyle w:val="StringTok"/>
        </w:rPr>
        <w:t xml:space="preserve">"msgs"</w:t>
      </w:r>
      <w:r>
        <w:rPr>
          <w:rStyle w:val="NormalTok"/>
        </w:rPr>
        <w:t xml:space="preserve">] </w:t>
      </w:r>
      <w:r>
        <w:rPr>
          <w:rStyle w:val="OperatorTok"/>
        </w:rPr>
        <w:t xml:space="preserve">+=</w:t>
      </w:r>
      <w:r>
        <w:rPr>
          <w:rStyle w:val="NormalTok"/>
        </w:rPr>
        <w:t xml:space="preserve"> NODES </w:t>
      </w:r>
      <w:r>
        <w:rPr>
          <w:rStyle w:val="OperatorTok"/>
        </w:rPr>
        <w:t xml:space="preserve">*</w:t>
      </w:r>
      <w:r>
        <w:rPr>
          <w:rStyle w:val="NormalTok"/>
        </w:rPr>
        <w:t xml:space="preserve"> (NODES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state[</w:t>
      </w:r>
      <w:r>
        <w:rPr>
          <w:rStyle w:val="StringTok"/>
        </w:rPr>
        <w:t xml:space="preserve">"next_sync"</w:t>
      </w:r>
      <w:r>
        <w:rPr>
          <w:rStyle w:val="NormalTok"/>
        </w:rPr>
        <w:t xml:space="preserve">] </w:t>
      </w:r>
      <w:r>
        <w:rPr>
          <w:rStyle w:val="OperatorTok"/>
        </w:rPr>
        <w:t xml:space="preserve">+=</w:t>
      </w:r>
      <w:r>
        <w:rPr>
          <w:rStyle w:val="NormalTok"/>
        </w:rPr>
        <w:t xml:space="preserve"> sync_interval</w:t>
      </w:r>
      <w:r>
        <w:br/>
      </w:r>
      <w:r>
        <w:rPr>
          <w:rStyle w:val="NormalTok"/>
        </w:rPr>
        <w:t xml:space="preserve">        </w:t>
      </w:r>
      <w:r>
        <w:rPr>
          <w:rStyle w:val="ControlFlowTok"/>
        </w:rPr>
        <w:t xml:space="preserve">if</w:t>
      </w:r>
      <w:r>
        <w:rPr>
          <w:rStyle w:val="NormalTok"/>
        </w:rPr>
        <w:t xml:space="preserve"> </w:t>
      </w:r>
      <w:r>
        <w:rPr>
          <w:rStyle w:val="BuiltInTok"/>
        </w:rPr>
        <w:t xml:space="preserve">int</w:t>
      </w:r>
      <w:r>
        <w:rPr>
          <w:rStyle w:val="NormalTok"/>
        </w:rPr>
        <w:t xml:space="preserve">(t) </w:t>
      </w:r>
      <w:r>
        <w:rPr>
          <w:rStyle w:val="OperatorTok"/>
        </w:rPr>
        <w:t xml:space="preserve">!=</w:t>
      </w:r>
      <w:r>
        <w:rPr>
          <w:rStyle w:val="NormalTok"/>
        </w:rPr>
        <w:t xml:space="preserve"> state[</w:t>
      </w:r>
      <w:r>
        <w:rPr>
          <w:rStyle w:val="StringTok"/>
        </w:rPr>
        <w:t xml:space="preserve">"window"</w:t>
      </w:r>
      <w:r>
        <w:rPr>
          <w:rStyle w:val="NormalTok"/>
        </w:rPr>
        <w:t xml:space="preserve">]:            </w:t>
      </w:r>
      <w:r>
        <w:rPr>
          <w:rStyle w:val="CommentTok"/>
        </w:rPr>
        <w:t xml:space="preserve"># new window: everyone resets</w:t>
      </w:r>
      <w:r>
        <w:br/>
      </w:r>
      <w:r>
        <w:rPr>
          <w:rStyle w:val="NormalTok"/>
        </w:rPr>
        <w:t xml:space="preserve">            state[</w:t>
      </w:r>
      <w:r>
        <w:rPr>
          <w:rStyle w:val="StringTok"/>
        </w:rPr>
        <w:t xml:space="preserve">"window"</w:t>
      </w:r>
      <w:r>
        <w:rPr>
          <w:rStyle w:val="NormalTok"/>
        </w:rPr>
        <w:t xml:space="preserve">] </w:t>
      </w:r>
      <w:r>
        <w:rPr>
          <w:rStyle w:val="OperatorTok"/>
        </w:rPr>
        <w:t xml:space="preserve">=</w:t>
      </w:r>
      <w:r>
        <w:rPr>
          <w:rStyle w:val="NormalTok"/>
        </w:rPr>
        <w:t xml:space="preserve"> </w:t>
      </w:r>
      <w:r>
        <w:rPr>
          <w:rStyle w:val="BuiltInTok"/>
        </w:rPr>
        <w:t xml:space="preserve">int</w:t>
      </w:r>
      <w:r>
        <w:rPr>
          <w:rStyle w:val="NormalTok"/>
        </w:rPr>
        <w:t xml:space="preserve">(t)</w:t>
      </w:r>
      <w:r>
        <w:br/>
      </w:r>
      <w:r>
        <w:rPr>
          <w:rStyle w:val="NormalTok"/>
        </w:rPr>
        <w:t xml:space="preserve">            local[:]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NODES</w:t>
      </w:r>
      <w:r>
        <w:br/>
      </w:r>
      <w:r>
        <w:rPr>
          <w:rStyle w:val="NormalTok"/>
        </w:rPr>
        <w:t xml:space="preserve">            seen[:]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NODES</w:t>
      </w:r>
      <w:r>
        <w:br/>
      </w:r>
      <w:r>
        <w:rPr>
          <w:rStyle w:val="NormalTok"/>
        </w:rPr>
        <w:t xml:space="preserve">        </w:t>
      </w:r>
      <w:r>
        <w:rPr>
          <w:rStyle w:val="ControlFlowTok"/>
        </w:rPr>
        <w:t xml:space="preserve">if</w:t>
      </w:r>
      <w:r>
        <w:rPr>
          <w:rStyle w:val="NormalTok"/>
        </w:rPr>
        <w:t xml:space="preserve"> seen[node] </w:t>
      </w:r>
      <w:r>
        <w:rPr>
          <w:rStyle w:val="OperatorTok"/>
        </w:rPr>
        <w:t xml:space="preserve">+</w:t>
      </w:r>
      <w:r>
        <w:rPr>
          <w:rStyle w:val="NormalTok"/>
        </w:rPr>
        <w:t xml:space="preserve"> local[node] </w:t>
      </w:r>
      <w:r>
        <w:rPr>
          <w:rStyle w:val="OperatorTok"/>
        </w:rPr>
        <w:t xml:space="preserve">&lt;</w:t>
      </w:r>
      <w:r>
        <w:rPr>
          <w:rStyle w:val="NormalTok"/>
        </w:rPr>
        <w:t xml:space="preserve"> LIMIT:     </w:t>
      </w:r>
      <w:r>
        <w:rPr>
          <w:rStyle w:val="CommentTok"/>
        </w:rPr>
        <w:t xml:space="preserve"># decide on a possibly stale global view</w:t>
      </w:r>
      <w:r>
        <w:br/>
      </w:r>
      <w:r>
        <w:rPr>
          <w:rStyle w:val="NormalTok"/>
        </w:rPr>
        <w:t xml:space="preserve">            local[node]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ntrolFlowTok"/>
        </w:rPr>
        <w:t xml:space="preserve">return</w:t>
      </w:r>
      <w:r>
        <w:rPr>
          <w:rStyle w:val="NormalTok"/>
        </w:rPr>
        <w:t xml:space="preserve"> allow, </w:t>
      </w:r>
      <w:r>
        <w:rPr>
          <w:rStyle w:val="KeywordTok"/>
        </w:rPr>
        <w:t xml:space="preserve">lambda</w:t>
      </w:r>
      <w:r>
        <w:rPr>
          <w:rStyle w:val="NormalTok"/>
        </w:rPr>
        <w:t xml:space="preserve">: state[</w:t>
      </w:r>
      <w:r>
        <w:rPr>
          <w:rStyle w:val="StringTok"/>
        </w:rPr>
        <w:t xml:space="preserve">"msgs"</w:t>
      </w:r>
      <w:r>
        <w:rPr>
          <w:rStyle w:val="NormalTok"/>
        </w:rPr>
        <w:t xml:space="preserve">]</w:t>
      </w:r>
      <w:r>
        <w:br/>
      </w:r>
      <w:r>
        <w:br/>
      </w:r>
      <w:r>
        <w:br/>
      </w:r>
      <w:r>
        <w:rPr>
          <w:rStyle w:val="KeywordTok"/>
        </w:rPr>
        <w:t xml:space="preserve">def</w:t>
      </w:r>
      <w:r>
        <w:rPr>
          <w:rStyle w:val="NormalTok"/>
        </w:rPr>
        <w:t xml:space="preserve"> quota_leases(events):</w:t>
      </w:r>
      <w:r>
        <w:br/>
      </w:r>
      <w:r>
        <w:rPr>
          <w:rStyle w:val="NormalTok"/>
        </w:rPr>
        <w:t xml:space="preserve">    </w:t>
      </w:r>
      <w:r>
        <w:rPr>
          <w:rStyle w:val="CommentTok"/>
        </w:rPr>
        <w:t xml:space="preserve">"""A coordinator re-divides the limit once per window in proportion to each node's</w:t>
      </w:r>
      <w:r>
        <w:br/>
      </w:r>
      <w:r>
        <w:rPr>
          <w:rStyle w:val="CommentTok"/>
        </w:rPr>
        <w:t xml:space="preserve">    demand in the previous window; nodes then enforce their quota locally."""</w:t>
      </w:r>
      <w:r>
        <w:br/>
      </w:r>
      <w:r>
        <w:rPr>
          <w:rStyle w:val="NormalTok"/>
        </w:rPr>
        <w:t xml:space="preserve">    quota </w:t>
      </w:r>
      <w:r>
        <w:rPr>
          <w:rStyle w:val="OperatorTok"/>
        </w:rPr>
        <w:t xml:space="preserve">=</w:t>
      </w:r>
      <w:r>
        <w:rPr>
          <w:rStyle w:val="NormalTok"/>
        </w:rPr>
        <w:t xml:space="preserve"> [LIMIT </w:t>
      </w:r>
      <w:r>
        <w:rPr>
          <w:rStyle w:val="OperatorTok"/>
        </w:rPr>
        <w:t xml:space="preserve">/</w:t>
      </w:r>
      <w:r>
        <w:rPr>
          <w:rStyle w:val="NormalTok"/>
        </w:rPr>
        <w:t xml:space="preserve"> NODES] </w:t>
      </w:r>
      <w:r>
        <w:rPr>
          <w:rStyle w:val="OperatorTok"/>
        </w:rPr>
        <w:t xml:space="preserve">*</w:t>
      </w:r>
      <w:r>
        <w:rPr>
          <w:rStyle w:val="NormalTok"/>
        </w:rPr>
        <w:t xml:space="preserve"> NODES</w:t>
      </w:r>
      <w:r>
        <w:br/>
      </w:r>
      <w:r>
        <w:rPr>
          <w:rStyle w:val="NormalTok"/>
        </w:rPr>
        <w:t xml:space="preserve">    demand, used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NODES, [</w:t>
      </w:r>
      <w:r>
        <w:rPr>
          <w:rStyle w:val="DecValTok"/>
        </w:rPr>
        <w:t xml:space="preserve">0</w:t>
      </w:r>
      <w:r>
        <w:rPr>
          <w:rStyle w:val="NormalTok"/>
        </w:rPr>
        <w:t xml:space="preserve">] </w:t>
      </w:r>
      <w:r>
        <w:rPr>
          <w:rStyle w:val="OperatorTok"/>
        </w:rPr>
        <w:t xml:space="preserve">*</w:t>
      </w:r>
      <w:r>
        <w:rPr>
          <w:rStyle w:val="NormalTok"/>
        </w:rPr>
        <w:t xml:space="preserve"> NODES</w:t>
      </w:r>
      <w:r>
        <w:br/>
      </w:r>
      <w:r>
        <w:rPr>
          <w:rStyle w:val="NormalTok"/>
        </w:rPr>
        <w:t xml:space="preserve">    state </w:t>
      </w:r>
      <w:r>
        <w:rPr>
          <w:rStyle w:val="OperatorTok"/>
        </w:rPr>
        <w:t xml:space="preserve">=</w:t>
      </w:r>
      <w:r>
        <w:rPr>
          <w:rStyle w:val="NormalTok"/>
        </w:rPr>
        <w:t xml:space="preserve"> {</w:t>
      </w:r>
      <w:r>
        <w:rPr>
          <w:rStyle w:val="StringTok"/>
        </w:rPr>
        <w:t xml:space="preserve">"window"</w:t>
      </w:r>
      <w:r>
        <w:rPr>
          <w:rStyle w:val="NormalTok"/>
        </w:rPr>
        <w:t xml:space="preserve">: </w:t>
      </w:r>
      <w:r>
        <w:rPr>
          <w:rStyle w:val="DecValTok"/>
        </w:rPr>
        <w:t xml:space="preserve">0</w:t>
      </w:r>
      <w:r>
        <w:rPr>
          <w:rStyle w:val="NormalTok"/>
        </w:rPr>
        <w:t xml:space="preserve">, </w:t>
      </w:r>
      <w:r>
        <w:rPr>
          <w:rStyle w:val="StringTok"/>
        </w:rPr>
        <w:t xml:space="preserve">"msgs"</w:t>
      </w:r>
      <w:r>
        <w:rPr>
          <w:rStyle w:val="NormalTok"/>
        </w:rPr>
        <w:t xml:space="preserve">: </w:t>
      </w:r>
      <w:r>
        <w:rPr>
          <w:rStyle w:val="DecValTok"/>
        </w:rPr>
        <w:t xml:space="preserve">0</w:t>
      </w:r>
      <w:r>
        <w:rPr>
          <w:rStyle w:val="NormalTok"/>
        </w:rPr>
        <w:t xml:space="preserve">}</w:t>
      </w:r>
      <w:r>
        <w:br/>
      </w:r>
      <w:r>
        <w:rPr>
          <w:rStyle w:val="NormalTok"/>
        </w:rPr>
        <w:t xml:space="preserve">    </w:t>
      </w:r>
      <w:r>
        <w:rPr>
          <w:rStyle w:val="KeywordTok"/>
        </w:rPr>
        <w:t xml:space="preserve">def</w:t>
      </w:r>
      <w:r>
        <w:rPr>
          <w:rStyle w:val="NormalTok"/>
        </w:rPr>
        <w:t xml:space="preserve"> allow(t, node):</w:t>
      </w:r>
      <w:r>
        <w:br/>
      </w:r>
      <w:r>
        <w:rPr>
          <w:rStyle w:val="NormalTok"/>
        </w:rPr>
        <w:t xml:space="preserve">        </w:t>
      </w:r>
      <w:r>
        <w:rPr>
          <w:rStyle w:val="ControlFlowTok"/>
        </w:rPr>
        <w:t xml:space="preserve">if</w:t>
      </w:r>
      <w:r>
        <w:rPr>
          <w:rStyle w:val="NormalTok"/>
        </w:rPr>
        <w:t xml:space="preserve"> </w:t>
      </w:r>
      <w:r>
        <w:rPr>
          <w:rStyle w:val="BuiltInTok"/>
        </w:rPr>
        <w:t xml:space="preserve">int</w:t>
      </w:r>
      <w:r>
        <w:rPr>
          <w:rStyle w:val="NormalTok"/>
        </w:rPr>
        <w:t xml:space="preserve">(t) </w:t>
      </w:r>
      <w:r>
        <w:rPr>
          <w:rStyle w:val="OperatorTok"/>
        </w:rPr>
        <w:t xml:space="preserve">!=</w:t>
      </w:r>
      <w:r>
        <w:rPr>
          <w:rStyle w:val="NormalTok"/>
        </w:rPr>
        <w:t xml:space="preserve"> state[</w:t>
      </w:r>
      <w:r>
        <w:rPr>
          <w:rStyle w:val="StringTok"/>
        </w:rPr>
        <w:t xml:space="preserve">"window"</w:t>
      </w:r>
      <w:r>
        <w:rPr>
          <w:rStyle w:val="NormalTok"/>
        </w:rPr>
        <w:t xml:space="preserve">]:            </w:t>
      </w:r>
      <w:r>
        <w:rPr>
          <w:rStyle w:val="CommentTok"/>
        </w:rPr>
        <w:t xml:space="preserve"># window boundary: report demand, get quotas</w:t>
      </w:r>
      <w:r>
        <w:br/>
      </w:r>
      <w:r>
        <w:rPr>
          <w:rStyle w:val="NormalTok"/>
        </w:rPr>
        <w:t xml:space="preserve">            total </w:t>
      </w:r>
      <w:r>
        <w:rPr>
          <w:rStyle w:val="OperatorTok"/>
        </w:rPr>
        <w:t xml:space="preserve">=</w:t>
      </w:r>
      <w:r>
        <w:rPr>
          <w:rStyle w:val="NormalTok"/>
        </w:rPr>
        <w:t xml:space="preserve"> </w:t>
      </w:r>
      <w:r>
        <w:rPr>
          <w:rStyle w:val="BuiltInTok"/>
        </w:rPr>
        <w:t xml:space="preserve">sum</w:t>
      </w:r>
      <w:r>
        <w:rPr>
          <w:rStyle w:val="NormalTok"/>
        </w:rPr>
        <w:t xml:space="preserve">(demand) </w:t>
      </w:r>
      <w:r>
        <w:rPr>
          <w:rStyle w:val="KeywordTok"/>
        </w:rPr>
        <w:t xml:space="preserve">or</w:t>
      </w:r>
      <w:r>
        <w:rPr>
          <w:rStyle w:val="NormalTok"/>
        </w:rPr>
        <w:t xml:space="preserve"> </w:t>
      </w:r>
      <w:r>
        <w:rPr>
          <w:rStyle w:val="DecValTok"/>
        </w:rPr>
        <w:t xml:space="preserve">1</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(NODES):</w:t>
      </w:r>
      <w:r>
        <w:br/>
      </w:r>
      <w:r>
        <w:rPr>
          <w:rStyle w:val="NormalTok"/>
        </w:rPr>
        <w:t xml:space="preserve">                quota[i] </w:t>
      </w:r>
      <w:r>
        <w:rPr>
          <w:rStyle w:val="OperatorTok"/>
        </w:rPr>
        <w:t xml:space="preserve">=</w:t>
      </w:r>
      <w:r>
        <w:rPr>
          <w:rStyle w:val="NormalTok"/>
        </w:rPr>
        <w:t xml:space="preserve"> LIMIT </w:t>
      </w:r>
      <w:r>
        <w:rPr>
          <w:rStyle w:val="OperatorTok"/>
        </w:rPr>
        <w:t xml:space="preserve">*</w:t>
      </w:r>
      <w:r>
        <w:rPr>
          <w:rStyle w:val="NormalTok"/>
        </w:rPr>
        <w:t xml:space="preserve"> demand[i] </w:t>
      </w:r>
      <w:r>
        <w:rPr>
          <w:rStyle w:val="OperatorTok"/>
        </w:rPr>
        <w:t xml:space="preserve">/</w:t>
      </w:r>
      <w:r>
        <w:rPr>
          <w:rStyle w:val="NormalTok"/>
        </w:rPr>
        <w:t xml:space="preserve"> total</w:t>
      </w:r>
      <w:r>
        <w:br/>
      </w:r>
      <w:r>
        <w:rPr>
          <w:rStyle w:val="NormalTok"/>
        </w:rPr>
        <w:t xml:space="preserve">            state[</w:t>
      </w:r>
      <w:r>
        <w:rPr>
          <w:rStyle w:val="StringTok"/>
        </w:rPr>
        <w:t xml:space="preserve">"msgs"</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NODES           </w:t>
      </w:r>
      <w:r>
        <w:rPr>
          <w:rStyle w:val="CommentTok"/>
        </w:rPr>
        <w:t xml:space="preserve"># N reports in, N quota grants out</w:t>
      </w:r>
      <w:r>
        <w:br/>
      </w:r>
      <w:r>
        <w:rPr>
          <w:rStyle w:val="NormalTok"/>
        </w:rPr>
        <w:t xml:space="preserve">            state[</w:t>
      </w:r>
      <w:r>
        <w:rPr>
          <w:rStyle w:val="StringTok"/>
        </w:rPr>
        <w:t xml:space="preserve">"window"</w:t>
      </w:r>
      <w:r>
        <w:rPr>
          <w:rStyle w:val="NormalTok"/>
        </w:rPr>
        <w:t xml:space="preserve">] </w:t>
      </w:r>
      <w:r>
        <w:rPr>
          <w:rStyle w:val="OperatorTok"/>
        </w:rPr>
        <w:t xml:space="preserve">=</w:t>
      </w:r>
      <w:r>
        <w:rPr>
          <w:rStyle w:val="NormalTok"/>
        </w:rPr>
        <w:t xml:space="preserve"> </w:t>
      </w:r>
      <w:r>
        <w:rPr>
          <w:rStyle w:val="BuiltInTok"/>
        </w:rPr>
        <w:t xml:space="preserve">int</w:t>
      </w:r>
      <w:r>
        <w:rPr>
          <w:rStyle w:val="NormalTok"/>
        </w:rPr>
        <w:t xml:space="preserve">(t)</w:t>
      </w:r>
      <w:r>
        <w:br/>
      </w:r>
      <w:r>
        <w:rPr>
          <w:rStyle w:val="NormalTok"/>
        </w:rPr>
        <w:t xml:space="preserve">            demand[:], used[:]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NODES, [</w:t>
      </w:r>
      <w:r>
        <w:rPr>
          <w:rStyle w:val="DecValTok"/>
        </w:rPr>
        <w:t xml:space="preserve">0</w:t>
      </w:r>
      <w:r>
        <w:rPr>
          <w:rStyle w:val="NormalTok"/>
        </w:rPr>
        <w:t xml:space="preserve">] </w:t>
      </w:r>
      <w:r>
        <w:rPr>
          <w:rStyle w:val="OperatorTok"/>
        </w:rPr>
        <w:t xml:space="preserve">*</w:t>
      </w:r>
      <w:r>
        <w:rPr>
          <w:rStyle w:val="NormalTok"/>
        </w:rPr>
        <w:t xml:space="preserve"> NODES</w:t>
      </w:r>
      <w:r>
        <w:br/>
      </w:r>
      <w:r>
        <w:rPr>
          <w:rStyle w:val="NormalTok"/>
        </w:rPr>
        <w:t xml:space="preserve">        demand[node]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used[node]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w:t>
      </w:r>
      <w:r>
        <w:rPr>
          <w:rStyle w:val="NormalTok"/>
        </w:rPr>
        <w:t xml:space="preserve"> quota[node]:</w:t>
      </w:r>
      <w:r>
        <w:br/>
      </w:r>
      <w:r>
        <w:rPr>
          <w:rStyle w:val="NormalTok"/>
        </w:rPr>
        <w:t xml:space="preserve">            used[node]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ntrolFlowTok"/>
        </w:rPr>
        <w:t xml:space="preserve">return</w:t>
      </w:r>
      <w:r>
        <w:rPr>
          <w:rStyle w:val="NormalTok"/>
        </w:rPr>
        <w:t xml:space="preserve"> allow, </w:t>
      </w:r>
      <w:r>
        <w:rPr>
          <w:rStyle w:val="KeywordTok"/>
        </w:rPr>
        <w:t xml:space="preserve">lambda</w:t>
      </w:r>
      <w:r>
        <w:rPr>
          <w:rStyle w:val="NormalTok"/>
        </w:rPr>
        <w:t xml:space="preserve">: state[</w:t>
      </w:r>
      <w:r>
        <w:rPr>
          <w:rStyle w:val="StringTok"/>
        </w:rPr>
        <w:t xml:space="preserve">"msgs"</w:t>
      </w:r>
      <w:r>
        <w:rPr>
          <w:rStyle w:val="NormalTok"/>
        </w:rPr>
        <w:t xml:space="preserve">]</w:t>
      </w:r>
      <w:r>
        <w:br/>
      </w:r>
      <w:r>
        <w:br/>
      </w:r>
      <w:r>
        <w:br/>
      </w:r>
      <w:r>
        <w:rPr>
          <w:rStyle w:val="KeywordTok"/>
        </w:rPr>
        <w:t xml:space="preserve">def</w:t>
      </w:r>
      <w:r>
        <w:rPr>
          <w:rStyle w:val="NormalTok"/>
        </w:rPr>
        <w:t xml:space="preserve"> run(name, factory, events):</w:t>
      </w:r>
      <w:r>
        <w:br/>
      </w:r>
      <w:r>
        <w:rPr>
          <w:rStyle w:val="NormalTok"/>
        </w:rPr>
        <w:t xml:space="preserve">    allow, cost </w:t>
      </w:r>
      <w:r>
        <w:rPr>
          <w:rStyle w:val="OperatorTok"/>
        </w:rPr>
        <w:t xml:space="preserve">=</w:t>
      </w:r>
      <w:r>
        <w:rPr>
          <w:rStyle w:val="NormalTok"/>
        </w:rPr>
        <w:t xml:space="preserve"> factory(events)</w:t>
      </w:r>
      <w:r>
        <w:br/>
      </w:r>
      <w:r>
        <w:rPr>
          <w:rStyle w:val="NormalTok"/>
        </w:rPr>
        <w:t xml:space="preserve">    per_window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SECONDS</w:t>
      </w:r>
      <w:r>
        <w:br/>
      </w:r>
      <w:r>
        <w:rPr>
          <w:rStyle w:val="NormalTok"/>
        </w:rPr>
        <w:t xml:space="preserve">    </w:t>
      </w:r>
      <w:r>
        <w:rPr>
          <w:rStyle w:val="ControlFlowTok"/>
        </w:rPr>
        <w:t xml:space="preserve">for</w:t>
      </w:r>
      <w:r>
        <w:rPr>
          <w:rStyle w:val="NormalTok"/>
        </w:rPr>
        <w:t xml:space="preserve"> t, node </w:t>
      </w:r>
      <w:r>
        <w:rPr>
          <w:rStyle w:val="KeywordTok"/>
        </w:rPr>
        <w:t xml:space="preserve">in</w:t>
      </w:r>
      <w:r>
        <w:rPr>
          <w:rStyle w:val="NormalTok"/>
        </w:rPr>
        <w:t xml:space="preserve"> events:</w:t>
      </w:r>
      <w:r>
        <w:br/>
      </w:r>
      <w:r>
        <w:rPr>
          <w:rStyle w:val="NormalTok"/>
        </w:rPr>
        <w:t xml:space="preserve">        </w:t>
      </w:r>
      <w:r>
        <w:rPr>
          <w:rStyle w:val="ControlFlowTok"/>
        </w:rPr>
        <w:t xml:space="preserve">if</w:t>
      </w:r>
      <w:r>
        <w:rPr>
          <w:rStyle w:val="NormalTok"/>
        </w:rPr>
        <w:t xml:space="preserve"> allow(t, node):</w:t>
      </w:r>
      <w:r>
        <w:br/>
      </w:r>
      <w:r>
        <w:rPr>
          <w:rStyle w:val="NormalTok"/>
        </w:rPr>
        <w:t xml:space="preserve">            per_window[</w:t>
      </w:r>
      <w:r>
        <w:rPr>
          <w:rStyle w:val="BuiltInTok"/>
        </w:rPr>
        <w:t xml:space="preserve">int</w:t>
      </w:r>
      <w:r>
        <w:rPr>
          <w:rStyle w:val="NormalTok"/>
        </w:rPr>
        <w:t xml:space="preserve">(t)] </w:t>
      </w:r>
      <w:r>
        <w:rPr>
          <w:rStyle w:val="OperatorTok"/>
        </w:rPr>
        <w:t xml:space="preserve">+=</w:t>
      </w:r>
      <w:r>
        <w:rPr>
          <w:rStyle w:val="NormalTok"/>
        </w:rPr>
        <w:t xml:space="preserve"> </w:t>
      </w:r>
      <w:r>
        <w:rPr>
          <w:rStyle w:val="DecValTok"/>
        </w:rPr>
        <w:t xml:space="preserve">1</w:t>
      </w:r>
      <w:r>
        <w:br/>
      </w:r>
      <w:r>
        <w:rPr>
          <w:rStyle w:val="NormalTok"/>
        </w:rPr>
        <w:t xml:space="preserve">    steady </w:t>
      </w:r>
      <w:r>
        <w:rPr>
          <w:rStyle w:val="OperatorTok"/>
        </w:rPr>
        <w:t xml:space="preserve">=</w:t>
      </w:r>
      <w:r>
        <w:rPr>
          <w:rStyle w:val="NormalTok"/>
        </w:rPr>
        <w:t xml:space="preserve"> per_window[</w:t>
      </w:r>
      <w:r>
        <w:rPr>
          <w:rStyle w:val="DecValTok"/>
        </w:rPr>
        <w:t xml:space="preserve">1</w:t>
      </w:r>
      <w:r>
        <w:rPr>
          <w:rStyle w:val="NormalTok"/>
        </w:rPr>
        <w:t xml:space="preserve">:]                      </w:t>
      </w:r>
      <w:r>
        <w:rPr>
          <w:rStyle w:val="CommentTok"/>
        </w:rPr>
        <w:t xml:space="preserve"># skip the first window (warm-up)</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:26s}</w:t>
      </w:r>
      <w:r>
        <w:rPr>
          <w:rStyle w:val="SpecialStringTok"/>
        </w:rPr>
        <w:t xml:space="preserve"> mean </w:t>
      </w:r>
      <w:r>
        <w:rPr>
          <w:rStyle w:val="SpecialCharTok"/>
        </w:rPr>
        <w:t xml:space="preserve">{</w:t>
      </w:r>
      <w:r>
        <w:rPr>
          <w:rStyle w:val="BuiltInTok"/>
        </w:rPr>
        <w:t xml:space="preserve">sum</w:t>
      </w:r>
      <w:r>
        <w:rPr>
          <w:rStyle w:val="NormalTok"/>
        </w:rPr>
        <w:t xml:space="preserve">(steady)</w:t>
      </w:r>
      <w:r>
        <w:rPr>
          <w:rStyle w:val="OperatorTok"/>
        </w:rPr>
        <w:t xml:space="preserve">/</w:t>
      </w:r>
      <w:r>
        <w:rPr>
          <w:rStyle w:val="BuiltInTok"/>
        </w:rPr>
        <w:t xml:space="preserve">len</w:t>
      </w:r>
      <w:r>
        <w:rPr>
          <w:rStyle w:val="NormalTok"/>
        </w:rPr>
        <w:t xml:space="preserve">(steady)</w:t>
      </w:r>
      <w:r>
        <w:rPr>
          <w:rStyle w:val="SpecialCharTok"/>
        </w:rPr>
        <w:t xml:space="preserve">:7.1f}</w:t>
      </w:r>
      <w:r>
        <w:rPr>
          <w:rStyle w:val="SpecialStringTok"/>
        </w:rPr>
        <w:t xml:space="preserve">/s  max </w:t>
      </w:r>
      <w:r>
        <w:rPr>
          <w:rStyle w:val="SpecialCharTok"/>
        </w:rPr>
        <w:t xml:space="preserve">{</w:t>
      </w:r>
      <w:r>
        <w:rPr>
          <w:rStyle w:val="BuiltInTok"/>
        </w:rPr>
        <w:t xml:space="preserve">max</w:t>
      </w:r>
      <w:r>
        <w:rPr>
          <w:rStyle w:val="NormalTok"/>
        </w:rPr>
        <w:t xml:space="preserve">(steady)</w:t>
      </w:r>
      <w:r>
        <w:rPr>
          <w:rStyle w:val="SpecialCharTok"/>
        </w:rPr>
        <w:t xml:space="preserve">:5d}</w:t>
      </w:r>
      <w:r>
        <w:rPr>
          <w:rStyle w:val="SpecialStringTok"/>
        </w:rPr>
        <w:t xml:space="preserve">  "</w:t>
      </w:r>
      <w:r>
        <w:br/>
      </w:r>
      <w:r>
        <w:rPr>
          <w:rStyle w:val="NormalTok"/>
        </w:rPr>
        <w:t xml:space="preserve">          </w:t>
      </w:r>
      <w:r>
        <w:rPr>
          <w:rStyle w:val="SpecialStringTok"/>
        </w:rPr>
        <w:t xml:space="preserve">f"coordination msgs/s </w:t>
      </w:r>
      <w:r>
        <w:rPr>
          <w:rStyle w:val="SpecialCharTok"/>
        </w:rPr>
        <w:t xml:space="preserve">{</w:t>
      </w:r>
      <w:r>
        <w:rPr>
          <w:rStyle w:val="NormalTok"/>
        </w:rPr>
        <w:t xml:space="preserve">cost()</w:t>
      </w:r>
      <w:r>
        <w:rPr>
          <w:rStyle w:val="OperatorTok"/>
        </w:rPr>
        <w:t xml:space="preserve">/</w:t>
      </w:r>
      <w:r>
        <w:rPr>
          <w:rStyle w:val="NormalTok"/>
        </w:rPr>
        <w:t xml:space="preserve">SECONDS</w:t>
      </w:r>
      <w:r>
        <w:rPr>
          <w:rStyle w:val="SpecialCharTok"/>
        </w:rPr>
        <w:t xml:space="preserve">:9.0f}</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per_window</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ntrolFlowTok"/>
        </w:rPr>
        <w:t xml:space="preserve">for</w:t>
      </w:r>
      <w:r>
        <w:rPr>
          <w:rStyle w:val="NormalTok"/>
        </w:rPr>
        <w:t xml:space="preserve"> offered </w:t>
      </w:r>
      <w:r>
        <w:rPr>
          <w:rStyle w:val="KeywordTok"/>
        </w:rPr>
        <w:t xml:space="preserve">in</w:t>
      </w:r>
      <w:r>
        <w:rPr>
          <w:rStyle w:val="NormalTok"/>
        </w:rPr>
        <w:t xml:space="preserve"> (</w:t>
      </w:r>
      <w:r>
        <w:rPr>
          <w:rStyle w:val="DecValTok"/>
        </w:rPr>
        <w:t xml:space="preserve">1500</w:t>
      </w:r>
      <w:r>
        <w:rPr>
          <w:rStyle w:val="NormalTok"/>
        </w:rPr>
        <w:t xml:space="preserve">, </w:t>
      </w:r>
      <w:r>
        <w:rPr>
          <w:rStyle w:val="DecValTok"/>
        </w:rPr>
        <w:t xml:space="preserve">3000</w:t>
      </w:r>
      <w:r>
        <w:rPr>
          <w:rStyle w:val="NormalTok"/>
        </w:rPr>
        <w:t xml:space="preserve">):</w:t>
      </w:r>
      <w:r>
        <w:br/>
      </w:r>
      <w:r>
        <w:rPr>
          <w:rStyle w:val="NormalTok"/>
        </w:rPr>
        <w:t xml:space="preserve">        events </w:t>
      </w:r>
      <w:r>
        <w:rPr>
          <w:rStyle w:val="OperatorTok"/>
        </w:rPr>
        <w:t xml:space="preserve">=</w:t>
      </w:r>
      <w:r>
        <w:rPr>
          <w:rStyle w:val="NormalTok"/>
        </w:rPr>
        <w:t xml:space="preserve"> arrivals(offered)</w:t>
      </w:r>
      <w:r>
        <w:br/>
      </w:r>
      <w:r>
        <w:rPr>
          <w:rStyle w:val="NormalTok"/>
        </w:rPr>
        <w:t xml:space="preserve">        </w:t>
      </w:r>
      <w:r>
        <w:rPr>
          <w:rStyle w:val="BuiltInTok"/>
        </w:rPr>
        <w:t xml:space="preserve">print</w:t>
      </w:r>
      <w:r>
        <w:rPr>
          <w:rStyle w:val="NormalTok"/>
        </w:rPr>
        <w:t xml:space="preserve">(</w:t>
      </w:r>
      <w:r>
        <w:rPr>
          <w:rStyle w:val="SpecialStringTok"/>
        </w:rPr>
        <w:t xml:space="preserve">f"Offered </w:t>
      </w:r>
      <w:r>
        <w:rPr>
          <w:rStyle w:val="SpecialCharTok"/>
        </w:rPr>
        <w:t xml:space="preserve">{</w:t>
      </w:r>
      <w:r>
        <w:rPr>
          <w:rStyle w:val="NormalTok"/>
        </w:rPr>
        <w:t xml:space="preserve">offered</w:t>
      </w:r>
      <w:r>
        <w:rPr>
          <w:rStyle w:val="SpecialCharTok"/>
        </w:rPr>
        <w:t xml:space="preserve">}</w:t>
      </w:r>
      <w:r>
        <w:rPr>
          <w:rStyle w:val="SpecialStringTok"/>
        </w:rPr>
        <w:t xml:space="preserve"> RPS, global limit </w:t>
      </w:r>
      <w:r>
        <w:rPr>
          <w:rStyle w:val="SpecialCharTok"/>
        </w:rPr>
        <w:t xml:space="preserve">{</w:t>
      </w:r>
      <w:r>
        <w:rPr>
          <w:rStyle w:val="NormalTok"/>
        </w:rPr>
        <w:t xml:space="preserve">LIMIT</w:t>
      </w:r>
      <w:r>
        <w:rPr>
          <w:rStyle w:val="SpecialCharTok"/>
        </w:rPr>
        <w:t xml:space="preserve">}</w:t>
      </w:r>
      <w:r>
        <w:rPr>
          <w:rStyle w:val="SpecialStringTok"/>
        </w:rPr>
        <w:t xml:space="preserve">/s, </w:t>
      </w:r>
      <w:r>
        <w:rPr>
          <w:rStyle w:val="SpecialCharTok"/>
        </w:rPr>
        <w:t xml:space="preserve">{</w:t>
      </w:r>
      <w:r>
        <w:rPr>
          <w:rStyle w:val="NormalTok"/>
        </w:rPr>
        <w:t xml:space="preserve">NODES</w:t>
      </w:r>
      <w:r>
        <w:rPr>
          <w:rStyle w:val="SpecialCharTok"/>
        </w:rPr>
        <w:t xml:space="preserve">}</w:t>
      </w:r>
      <w:r>
        <w:rPr>
          <w:rStyle w:val="SpecialStringTok"/>
        </w:rPr>
        <w:t xml:space="preserve"> nodes, node 0 gets 50%"</w:t>
      </w:r>
      <w:r>
        <w:rPr>
          <w:rStyle w:val="NormalTok"/>
        </w:rPr>
        <w:t xml:space="preserve">)</w:t>
      </w:r>
      <w:r>
        <w:br/>
      </w:r>
      <w:r>
        <w:rPr>
          <w:rStyle w:val="NormalTok"/>
        </w:rPr>
        <w:t xml:space="preserve">        s </w:t>
      </w:r>
      <w:r>
        <w:rPr>
          <w:rStyle w:val="OperatorTok"/>
        </w:rPr>
        <w:t xml:space="preserve">=</w:t>
      </w:r>
      <w:r>
        <w:rPr>
          <w:rStyle w:val="NormalTok"/>
        </w:rPr>
        <w:t xml:space="preserve"> run(</w:t>
      </w:r>
      <w:r>
        <w:rPr>
          <w:rStyle w:val="StringTok"/>
        </w:rPr>
        <w:t xml:space="preserve">"static split (L/N each)"</w:t>
      </w:r>
      <w:r>
        <w:rPr>
          <w:rStyle w:val="NormalTok"/>
        </w:rPr>
        <w:t xml:space="preserve">, static_split, events)</w:t>
      </w:r>
      <w:r>
        <w:br/>
      </w:r>
      <w:r>
        <w:rPr>
          <w:rStyle w:val="NormalTok"/>
        </w:rPr>
        <w:t xml:space="preserve">        c </w:t>
      </w:r>
      <w:r>
        <w:rPr>
          <w:rStyle w:val="OperatorTok"/>
        </w:rPr>
        <w:t xml:space="preserve">=</w:t>
      </w:r>
      <w:r>
        <w:rPr>
          <w:rStyle w:val="NormalTok"/>
        </w:rPr>
        <w:t xml:space="preserve"> run(</w:t>
      </w:r>
      <w:r>
        <w:rPr>
          <w:rStyle w:val="StringTok"/>
        </w:rPr>
        <w:t xml:space="preserve">"centralized counter"</w:t>
      </w:r>
      <w:r>
        <w:rPr>
          <w:rStyle w:val="NormalTok"/>
        </w:rPr>
        <w:t xml:space="preserve">, centralized, events)</w:t>
      </w:r>
      <w:r>
        <w:br/>
      </w:r>
      <w:r>
        <w:rPr>
          <w:rStyle w:val="NormalTok"/>
        </w:rPr>
        <w:t xml:space="preserve">        y100 </w:t>
      </w:r>
      <w:r>
        <w:rPr>
          <w:rStyle w:val="OperatorTok"/>
        </w:rPr>
        <w:t xml:space="preserve">=</w:t>
      </w:r>
      <w:r>
        <w:rPr>
          <w:rStyle w:val="NormalTok"/>
        </w:rPr>
        <w:t xml:space="preserve"> run(</w:t>
      </w:r>
      <w:r>
        <w:rPr>
          <w:rStyle w:val="StringTok"/>
        </w:rPr>
        <w:t xml:space="preserve">"local + sync every 100 ms"</w:t>
      </w:r>
      <w:r>
        <w:rPr>
          <w:rStyle w:val="NormalTok"/>
        </w:rPr>
        <w:t xml:space="preserve">, </w:t>
      </w:r>
      <w:r>
        <w:rPr>
          <w:rStyle w:val="KeywordTok"/>
        </w:rPr>
        <w:t xml:space="preserve">lambda</w:t>
      </w:r>
      <w:r>
        <w:rPr>
          <w:rStyle w:val="NormalTok"/>
        </w:rPr>
        <w:t xml:space="preserve"> e: local_with_sync(e, </w:t>
      </w:r>
      <w:r>
        <w:rPr>
          <w:rStyle w:val="FloatTok"/>
        </w:rPr>
        <w:t xml:space="preserve">0.1</w:t>
      </w:r>
      <w:r>
        <w:rPr>
          <w:rStyle w:val="NormalTok"/>
        </w:rPr>
        <w:t xml:space="preserve">), events)</w:t>
      </w:r>
      <w:r>
        <w:br/>
      </w:r>
      <w:r>
        <w:rPr>
          <w:rStyle w:val="NormalTok"/>
        </w:rPr>
        <w:t xml:space="preserve">        y10 </w:t>
      </w:r>
      <w:r>
        <w:rPr>
          <w:rStyle w:val="OperatorTok"/>
        </w:rPr>
        <w:t xml:space="preserve">=</w:t>
      </w:r>
      <w:r>
        <w:rPr>
          <w:rStyle w:val="NormalTok"/>
        </w:rPr>
        <w:t xml:space="preserve"> run(</w:t>
      </w:r>
      <w:r>
        <w:rPr>
          <w:rStyle w:val="StringTok"/>
        </w:rPr>
        <w:t xml:space="preserve">"local + sync every 10 ms"</w:t>
      </w:r>
      <w:r>
        <w:rPr>
          <w:rStyle w:val="NormalTok"/>
        </w:rPr>
        <w:t xml:space="preserve">, </w:t>
      </w:r>
      <w:r>
        <w:rPr>
          <w:rStyle w:val="KeywordTok"/>
        </w:rPr>
        <w:t xml:space="preserve">lambda</w:t>
      </w:r>
      <w:r>
        <w:rPr>
          <w:rStyle w:val="NormalTok"/>
        </w:rPr>
        <w:t xml:space="preserve"> e: local_with_sync(e, </w:t>
      </w:r>
      <w:r>
        <w:rPr>
          <w:rStyle w:val="FloatTok"/>
        </w:rPr>
        <w:t xml:space="preserve">0.01</w:t>
      </w:r>
      <w:r>
        <w:rPr>
          <w:rStyle w:val="NormalTok"/>
        </w:rPr>
        <w:t xml:space="preserve">), events)</w:t>
      </w:r>
      <w:r>
        <w:br/>
      </w:r>
      <w:r>
        <w:rPr>
          <w:rStyle w:val="NormalTok"/>
        </w:rPr>
        <w:t xml:space="preserve">        q </w:t>
      </w:r>
      <w:r>
        <w:rPr>
          <w:rStyle w:val="OperatorTok"/>
        </w:rPr>
        <w:t xml:space="preserve">=</w:t>
      </w:r>
      <w:r>
        <w:rPr>
          <w:rStyle w:val="NormalTok"/>
        </w:rPr>
        <w:t xml:space="preserve"> run(</w:t>
      </w:r>
      <w:r>
        <w:rPr>
          <w:rStyle w:val="StringTok"/>
        </w:rPr>
        <w:t xml:space="preserve">"demand-weighted quotas"</w:t>
      </w:r>
      <w:r>
        <w:rPr>
          <w:rStyle w:val="NormalTok"/>
        </w:rPr>
        <w:t xml:space="preserve">, quota_leases, events)</w:t>
      </w:r>
      <w:r>
        <w:br/>
      </w:r>
      <w:r>
        <w:rPr>
          <w:rStyle w:val="NormalTok"/>
        </w:rPr>
        <w:t xml:space="preserve">        </w:t>
      </w:r>
      <w:r>
        <w:rPr>
          <w:rStyle w:val="BuiltInTok"/>
        </w:rPr>
        <w:t xml:space="preserve">print</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BuiltInTok"/>
        </w:rPr>
        <w:t xml:space="preserve">max</w:t>
      </w:r>
      <w:r>
        <w:rPr>
          <w:rStyle w:val="NormalTok"/>
        </w:rPr>
        <w:t xml:space="preserve">(c) </w:t>
      </w:r>
      <w:r>
        <w:rPr>
          <w:rStyle w:val="OperatorTok"/>
        </w:rPr>
        <w:t xml:space="preserve">&lt;=</w:t>
      </w:r>
      <w:r>
        <w:rPr>
          <w:rStyle w:val="NormalTok"/>
        </w:rPr>
        <w:t xml:space="preserve"> LIMIT </w:t>
      </w:r>
      <w:r>
        <w:rPr>
          <w:rStyle w:val="KeywordTok"/>
        </w:rPr>
        <w:t xml:space="preserve">and</w:t>
      </w:r>
      <w:r>
        <w:rPr>
          <w:rStyle w:val="NormalTok"/>
        </w:rPr>
        <w:t xml:space="preserve"> </w:t>
      </w:r>
      <w:r>
        <w:rPr>
          <w:rStyle w:val="BuiltInTok"/>
        </w:rPr>
        <w:t xml:space="preserve">max</w:t>
      </w:r>
      <w:r>
        <w:rPr>
          <w:rStyle w:val="NormalTok"/>
        </w:rPr>
        <w:t xml:space="preserve">(s) </w:t>
      </w:r>
      <w:r>
        <w:rPr>
          <w:rStyle w:val="OperatorTok"/>
        </w:rPr>
        <w:t xml:space="preserve">&lt;=</w:t>
      </w:r>
      <w:r>
        <w:rPr>
          <w:rStyle w:val="NormalTok"/>
        </w:rPr>
        <w:t xml:space="preserve"> LIMIT </w:t>
      </w:r>
      <w:r>
        <w:rPr>
          <w:rStyle w:val="KeywordTok"/>
        </w:rPr>
        <w:t xml:space="preserve">and</w:t>
      </w:r>
      <w:r>
        <w:rPr>
          <w:rStyle w:val="NormalTok"/>
        </w:rPr>
        <w:t xml:space="preserve"> </w:t>
      </w:r>
      <w:r>
        <w:rPr>
          <w:rStyle w:val="BuiltInTok"/>
        </w:rPr>
        <w:t xml:space="preserve">max</w:t>
      </w:r>
      <w:r>
        <w:rPr>
          <w:rStyle w:val="NormalTok"/>
        </w:rPr>
        <w:t xml:space="preserve">(q) </w:t>
      </w:r>
      <w:r>
        <w:rPr>
          <w:rStyle w:val="OperatorTok"/>
        </w:rPr>
        <w:t xml:space="preserve">&lt;=</w:t>
      </w:r>
      <w:r>
        <w:rPr>
          <w:rStyle w:val="NormalTok"/>
        </w:rPr>
        <w:t xml:space="preserve"> LIMIT</w:t>
      </w:r>
      <w:r>
        <w:br/>
      </w:r>
      <w:r>
        <w:rPr>
          <w:rStyle w:val="NormalTok"/>
        </w:rPr>
        <w:t xml:space="preserve">        </w:t>
      </w:r>
      <w:r>
        <w:rPr>
          <w:rStyle w:val="ControlFlowTok"/>
        </w:rPr>
        <w:t xml:space="preserve">assert</w:t>
      </w:r>
      <w:r>
        <w:rPr>
          <w:rStyle w:val="NormalTok"/>
        </w:rPr>
        <w:t xml:space="preserve"> </w:t>
      </w:r>
      <w:r>
        <w:rPr>
          <w:rStyle w:val="BuiltInTok"/>
        </w:rPr>
        <w:t xml:space="preserve">max</w:t>
      </w:r>
      <w:r>
        <w:rPr>
          <w:rStyle w:val="NormalTok"/>
        </w:rPr>
        <w:t xml:space="preserve">(y100) </w:t>
      </w:r>
      <w:r>
        <w:rPr>
          <w:rStyle w:val="OperatorTok"/>
        </w:rPr>
        <w:t xml:space="preserve">&gt;</w:t>
      </w:r>
      <w:r>
        <w:rPr>
          <w:rStyle w:val="NormalTok"/>
        </w:rPr>
        <w:t xml:space="preserve"> LIMIT </w:t>
      </w:r>
      <w:r>
        <w:rPr>
          <w:rStyle w:val="OperatorTok"/>
        </w:rPr>
        <w:t xml:space="preserve">&gt;=</w:t>
      </w:r>
      <w:r>
        <w:rPr>
          <w:rStyle w:val="NormalTok"/>
        </w:rPr>
        <w:t xml:space="preserve"> </w:t>
      </w:r>
      <w:r>
        <w:rPr>
          <w:rStyle w:val="BuiltInTok"/>
        </w:rPr>
        <w:t xml:space="preserve">max</w:t>
      </w:r>
      <w:r>
        <w:rPr>
          <w:rStyle w:val="NormalTok"/>
        </w:rPr>
        <w:t xml:space="preserve">(c)       </w:t>
      </w:r>
      <w:r>
        <w:rPr>
          <w:rStyle w:val="CommentTok"/>
        </w:rPr>
        <w:t xml:space="preserve"># stale views overshoot; exact counting does not</w:t>
      </w:r>
    </w:p>
    <w:p>
      <w:pPr>
        <w:pStyle w:val="FirstParagraph"/>
      </w:pPr>
      <w:r>
        <w:t xml:space="preserve">Output:</w:t>
      </w:r>
    </w:p>
    <w:p>
      <w:pPr>
        <w:pStyle w:val="SourceCode"/>
      </w:pPr>
      <w:r>
        <w:rPr>
          <w:rStyle w:val="VerbatimChar"/>
        </w:rPr>
        <w:t xml:space="preserve">Offered 1500 RPS, global limit 1000/s, 10 nodes, node 0 gets 50%</w:t>
      </w:r>
      <w:r>
        <w:br/>
      </w:r>
      <w:r>
        <w:rPr>
          <w:rStyle w:val="VerbatimChar"/>
        </w:rPr>
        <w:t xml:space="preserve">static split (L/N each)    mean   840.1/s  max   895  coordination msgs/s         0</w:t>
      </w:r>
      <w:r>
        <w:br/>
      </w:r>
      <w:r>
        <w:rPr>
          <w:rStyle w:val="VerbatimChar"/>
        </w:rPr>
        <w:t xml:space="preserve">centralized counter        mean  1000.0/s  max  1000  coordination msgs/s      1495</w:t>
      </w:r>
      <w:r>
        <w:br/>
      </w:r>
      <w:r>
        <w:rPr>
          <w:rStyle w:val="VerbatimChar"/>
        </w:rPr>
        <w:t xml:space="preserve">local + sync every 100 ms  mean  1041.2/s  max  1079  coordination msgs/s       896</w:t>
      </w:r>
      <w:r>
        <w:br/>
      </w:r>
      <w:r>
        <w:rPr>
          <w:rStyle w:val="VerbatimChar"/>
        </w:rPr>
        <w:t xml:space="preserve">local + sync every 10 ms   mean  1005.5/s  max  1010  coordination msgs/s      8996</w:t>
      </w:r>
      <w:r>
        <w:br/>
      </w:r>
      <w:r>
        <w:rPr>
          <w:rStyle w:val="VerbatimChar"/>
        </w:rPr>
        <w:t xml:space="preserve">demand-weighted quotas     mean   995.4/s  max   997  coordination msgs/s        19</w:t>
      </w:r>
      <w:r>
        <w:br/>
      </w:r>
      <w:r>
        <w:br/>
      </w:r>
      <w:r>
        <w:rPr>
          <w:rStyle w:val="VerbatimChar"/>
        </w:rPr>
        <w:t xml:space="preserve">Offered 3000 RPS, global limit 1000/s, 10 nodes, node 0 gets 50%</w:t>
      </w:r>
      <w:r>
        <w:br/>
      </w:r>
      <w:r>
        <w:rPr>
          <w:rStyle w:val="VerbatimChar"/>
        </w:rPr>
        <w:t xml:space="preserve">static split (L/N each)    mean  1000.0/s  max  1000  coordination msgs/s         0</w:t>
      </w:r>
      <w:r>
        <w:br/>
      </w:r>
      <w:r>
        <w:rPr>
          <w:rStyle w:val="VerbatimChar"/>
        </w:rPr>
        <w:t xml:space="preserve">centralized counter        mean  1000.0/s  max  1000  coordination msgs/s      2979</w:t>
      </w:r>
      <w:r>
        <w:br/>
      </w:r>
      <w:r>
        <w:rPr>
          <w:rStyle w:val="VerbatimChar"/>
        </w:rPr>
        <w:t xml:space="preserve">local + sync every 100 ms  mean  1147.4/s  max  1170  coordination msgs/s       896</w:t>
      </w:r>
      <w:r>
        <w:br/>
      </w:r>
      <w:r>
        <w:rPr>
          <w:rStyle w:val="VerbatimChar"/>
        </w:rPr>
        <w:t xml:space="preserve">local + sync every 10 ms   mean  1009.5/s  max  1020  coordination msgs/s      8996</w:t>
      </w:r>
      <w:r>
        <w:br/>
      </w:r>
      <w:r>
        <w:rPr>
          <w:rStyle w:val="VerbatimChar"/>
        </w:rPr>
        <w:t xml:space="preserve">demand-weighted quotas     mean   994.5/s  max   996  coordination msgs/s        19</w:t>
      </w:r>
    </w:p>
    <w:p>
      <w:pPr>
        <w:pStyle w:val="FirstParagraph"/>
      </w:pPr>
      <w:r>
        <w:t xml:space="preserve">What to notice:</w:t>
      </w:r>
    </w:p>
    <w:p>
      <w:pPr>
        <w:numPr>
          <w:ilvl w:val="0"/>
          <w:numId w:val="1727"/>
        </w:numPr>
        <w:pStyle w:val="Compact"/>
      </w:pPr>
      <w:r>
        <w:rPr>
          <w:bCs/>
          <w:b/>
        </w:rPr>
        <w:t xml:space="preserve">Static split under-admits under skew:</w:t>
      </w:r>
      <w:r>
        <w:t xml:space="preserve"> </w:t>
      </w:r>
      <w:r>
        <w:t xml:space="preserve">at 1,500 RPS the tenant gets only 840/s because node 0 sees 750 RPS but may admit 100.</w:t>
      </w:r>
    </w:p>
    <w:p>
      <w:pPr>
        <w:numPr>
          <w:ilvl w:val="0"/>
          <w:numId w:val="1727"/>
        </w:numPr>
        <w:pStyle w:val="Compact"/>
      </w:pPr>
      <w:r>
        <w:rPr>
          <w:bCs/>
          <w:b/>
        </w:rPr>
        <w:t xml:space="preserve">Synchronization overshoots</w:t>
      </w:r>
      <w:r>
        <w:t xml:space="preserve"> </w:t>
      </w:r>
      <w:r>
        <w:t xml:space="preserve">in proportion to</w:t>
      </w:r>
      <w:r>
        <w:t xml:space="preserve"> </w:t>
      </w:r>
      <m:oMath>
        <m:r>
          <m:t>Δ</m:t>
        </m:r>
      </m:oMath>
      <w:r>
        <w:t xml:space="preserve">, within</w:t>
      </w:r>
      <w:r>
        <w:t xml:space="preserve"> </w:t>
      </w:r>
      <m:oMath>
        <m:r>
          <m:t>λ</m:t>
        </m:r>
        <m:r>
          <m:t>Δ</m:t>
        </m:r>
      </m:oMath>
      <w:r>
        <w:t xml:space="preserve">.</w:t>
      </w:r>
    </w:p>
    <w:p>
      <w:pPr>
        <w:numPr>
          <w:ilvl w:val="0"/>
          <w:numId w:val="1727"/>
        </w:numPr>
        <w:pStyle w:val="Compact"/>
      </w:pPr>
      <w:r>
        <w:rPr>
          <w:bCs/>
          <w:b/>
        </w:rPr>
        <w:t xml:space="preserve">Quotas</w:t>
      </w:r>
      <w:r>
        <w:t xml:space="preserve"> </w:t>
      </w:r>
      <w:r>
        <w:t xml:space="preserve">are accurate with 19 messages/s only because demand is stationary.</w:t>
      </w:r>
    </w:p>
    <w:bookmarkEnd w:id="2496"/>
    <w:bookmarkEnd w:id="2497"/>
    <w:bookmarkStart w:id="2498" w:name="comparison-1"/>
    <w:p>
      <w:pPr>
        <w:pStyle w:val="Heading3"/>
      </w:pPr>
      <w:r>
        <w:t xml:space="preserve">22.8.4 Comparison</w:t>
      </w:r>
    </w:p>
    <w:p>
      <w:pPr>
        <w:pStyle w:val="FirstParagraph"/>
      </w:pPr>
      <w:r>
        <w:rPr>
          <w:bCs/>
          <w:b/>
        </w:rPr>
        <w:t xml:space="preserve">Table 22.4 — Distributed rate-limiting strategies.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Strategy</w:t>
            </w:r>
          </w:p>
        </w:tc>
        <w:tc>
          <w:tcPr/>
          <w:p>
            <w:pPr>
              <w:pStyle w:val="Compact"/>
              <w:jc w:val="left"/>
            </w:pPr>
            <w:r>
              <w:t xml:space="preserve">Added latency</w:t>
            </w:r>
          </w:p>
        </w:tc>
        <w:tc>
          <w:tcPr/>
          <w:p>
            <w:pPr>
              <w:pStyle w:val="Compact"/>
              <w:jc w:val="left"/>
            </w:pPr>
            <w:r>
              <w:t xml:space="preserve">Accuracy</w:t>
            </w:r>
          </w:p>
        </w:tc>
        <w:tc>
          <w:tcPr/>
          <w:p>
            <w:pPr>
              <w:pStyle w:val="Compact"/>
              <w:jc w:val="left"/>
            </w:pPr>
            <w:r>
              <w:t xml:space="preserve">Coordination cost</w:t>
            </w:r>
          </w:p>
        </w:tc>
        <w:tc>
          <w:tcPr/>
          <w:p>
            <w:pPr>
              <w:pStyle w:val="Compact"/>
              <w:jc w:val="left"/>
            </w:pPr>
            <w:r>
              <w:t xml:space="preserve">Failure behavior</w:t>
            </w:r>
          </w:p>
        </w:tc>
        <w:tc>
          <w:tcPr/>
          <w:p>
            <w:pPr>
              <w:pStyle w:val="Compact"/>
              <w:jc w:val="left"/>
            </w:pPr>
            <w:r>
              <w:t xml:space="preserve">Choose when</w:t>
            </w:r>
          </w:p>
        </w:tc>
      </w:tr>
      <w:tr>
        <w:tc>
          <w:tcPr/>
          <w:p>
            <w:pPr>
              <w:pStyle w:val="Compact"/>
              <w:jc w:val="left"/>
            </w:pPr>
            <w:r>
              <w:t xml:space="preserve">Static split</w:t>
            </w:r>
            <w:r>
              <w:t xml:space="preserve"> </w:t>
            </w:r>
            <m:oMath>
              <m:r>
                <m:t>L</m:t>
              </m:r>
              <m:r>
                <m:rPr>
                  <m:sty m:val="p"/>
                </m:rPr>
                <m:t>/</m:t>
              </m:r>
              <m:r>
                <m:t>N</m:t>
              </m:r>
            </m:oMath>
          </w:p>
        </w:tc>
        <w:tc>
          <w:tcPr/>
          <w:p>
            <w:pPr>
              <w:pStyle w:val="Compact"/>
              <w:jc w:val="left"/>
            </w:pPr>
            <w:r>
              <w:t xml:space="preserve">None</w:t>
            </w:r>
          </w:p>
        </w:tc>
        <w:tc>
          <w:tcPr/>
          <w:p>
            <w:pPr>
              <w:pStyle w:val="Compact"/>
              <w:jc w:val="left"/>
            </w:pPr>
            <w:r>
              <w:t xml:space="preserve">Under-admits with skewed traffic</w:t>
            </w:r>
          </w:p>
        </w:tc>
        <w:tc>
          <w:tcPr/>
          <w:p>
            <w:pPr>
              <w:pStyle w:val="Compact"/>
              <w:jc w:val="left"/>
            </w:pPr>
            <w:r>
              <w:t xml:space="preserve">None</w:t>
            </w:r>
          </w:p>
        </w:tc>
        <w:tc>
          <w:tcPr/>
          <w:p>
            <w:pPr>
              <w:pStyle w:val="Compact"/>
              <w:jc w:val="left"/>
            </w:pPr>
            <w:r>
              <w:t xml:space="preserve">Independent</w:t>
            </w:r>
          </w:p>
        </w:tc>
        <w:tc>
          <w:tcPr/>
          <w:p>
            <w:pPr>
              <w:pStyle w:val="Compact"/>
              <w:jc w:val="left"/>
            </w:pPr>
            <w:r>
              <w:t xml:space="preserve">Even traffic, rough limits</w:t>
            </w:r>
          </w:p>
        </w:tc>
      </w:tr>
      <w:tr>
        <w:tc>
          <w:tcPr/>
          <w:p>
            <w:pPr>
              <w:pStyle w:val="Compact"/>
              <w:jc w:val="left"/>
            </w:pPr>
            <w:r>
              <w:t xml:space="preserve">Centralized (Redis + Lua)</w:t>
            </w:r>
          </w:p>
        </w:tc>
        <w:tc>
          <w:tcPr/>
          <w:p>
            <w:pPr>
              <w:pStyle w:val="Compact"/>
              <w:jc w:val="left"/>
            </w:pPr>
            <w:r>
              <w:t xml:space="preserve">One round trip per request</w:t>
            </w:r>
          </w:p>
        </w:tc>
        <w:tc>
          <w:tcPr/>
          <w:p>
            <w:pPr>
              <w:pStyle w:val="Compact"/>
              <w:jc w:val="left"/>
            </w:pPr>
            <w:r>
              <w:t xml:space="preserve">Exact</w:t>
            </w:r>
          </w:p>
        </w:tc>
        <w:tc>
          <w:tcPr/>
          <w:p>
            <w:pPr>
              <w:pStyle w:val="Compact"/>
              <w:jc w:val="left"/>
            </w:pPr>
            <w:r>
              <w:t xml:space="preserve">One call per request</w:t>
            </w:r>
          </w:p>
        </w:tc>
        <w:tc>
          <w:tcPr/>
          <w:p>
            <w:pPr>
              <w:pStyle w:val="Compact"/>
              <w:jc w:val="left"/>
            </w:pPr>
            <w:r>
              <w:t xml:space="preserve">Store outage blocks the decision</w:t>
            </w:r>
          </w:p>
        </w:tc>
        <w:tc>
          <w:tcPr/>
          <w:p>
            <w:pPr>
              <w:pStyle w:val="Compact"/>
              <w:jc w:val="left"/>
            </w:pPr>
            <w:r>
              <w:t xml:space="preserve">Contractual or costly limits</w:t>
            </w:r>
          </w:p>
        </w:tc>
      </w:tr>
      <w:tr>
        <w:tc>
          <w:tcPr/>
          <w:p>
            <w:pPr>
              <w:pStyle w:val="Compact"/>
              <w:jc w:val="left"/>
            </w:pPr>
            <w:r>
              <w:t xml:space="preserve">Local + periodic sync</w:t>
            </w:r>
          </w:p>
        </w:tc>
        <w:tc>
          <w:tcPr/>
          <w:p>
            <w:pPr>
              <w:pStyle w:val="Compact"/>
              <w:jc w:val="left"/>
            </w:pPr>
            <w:r>
              <w:t xml:space="preserve">None</w:t>
            </w:r>
          </w:p>
        </w:tc>
        <w:tc>
          <w:tcPr/>
          <w:p>
            <w:pPr>
              <w:pStyle w:val="Compact"/>
              <w:jc w:val="left"/>
            </w:pPr>
            <w:r>
              <w:t xml:space="preserve">Overshoot up to</w:t>
            </w:r>
            <w:r>
              <w:t xml:space="preserve"> </w:t>
            </w:r>
            <m:oMath>
              <m:r>
                <m:t>λ</m:t>
              </m:r>
              <m:r>
                <m:t>Δ</m:t>
              </m:r>
            </m:oMath>
          </w:p>
        </w:tc>
        <w:tc>
          <w:tcPr/>
          <w:p>
            <w:pPr>
              <w:pStyle w:val="Compact"/>
              <w:jc w:val="left"/>
            </w:pPr>
            <m:oMath>
              <m:r>
                <m:t>O</m:t>
              </m:r>
              <m:d>
                <m:dPr>
                  <m:begChr m:val="("/>
                  <m:endChr m:val=")"/>
                  <m:sepChr m:val=""/>
                  <m:grow/>
                </m:dPr>
                <m:e>
                  <m:sSup>
                    <m:e>
                      <m:r>
                        <m:t>N</m:t>
                      </m:r>
                    </m:e>
                    <m:sup>
                      <m:r>
                        <m:t>2</m:t>
                      </m:r>
                    </m:sup>
                  </m:sSup>
                  <m:r>
                    <m:rPr>
                      <m:sty m:val="p"/>
                    </m:rPr>
                    <m:t>/</m:t>
                  </m:r>
                  <m:r>
                    <m:t>Δ</m:t>
                  </m:r>
                </m:e>
              </m:d>
            </m:oMath>
            <w:r>
              <w:t xml:space="preserve"> </w:t>
            </w:r>
            <w:r>
              <w:t xml:space="preserve">or</w:t>
            </w:r>
            <w:r>
              <w:t xml:space="preserve"> </w:t>
            </w:r>
            <m:oMath>
              <m:r>
                <m:t>O</m:t>
              </m:r>
              <m:d>
                <m:dPr>
                  <m:begChr m:val="("/>
                  <m:endChr m:val=")"/>
                  <m:sepChr m:val=""/>
                  <m:grow/>
                </m:dPr>
                <m:e>
                  <m:r>
                    <m:t>N</m:t>
                  </m:r>
                  <m:r>
                    <m:rPr>
                      <m:sty m:val="p"/>
                    </m:rPr>
                    <m:t>/</m:t>
                  </m:r>
                  <m:r>
                    <m:t>Δ</m:t>
                  </m:r>
                </m:e>
              </m:d>
            </m:oMath>
          </w:p>
        </w:tc>
        <w:tc>
          <w:tcPr/>
          <w:p>
            <w:pPr>
              <w:pStyle w:val="Compact"/>
              <w:jc w:val="left"/>
            </w:pPr>
            <w:r>
              <w:t xml:space="preserve">Stale but working</w:t>
            </w:r>
          </w:p>
        </w:tc>
        <w:tc>
          <w:tcPr/>
          <w:p>
            <w:pPr>
              <w:pStyle w:val="Compact"/>
              <w:jc w:val="left"/>
            </w:pPr>
            <w:r>
              <w:t xml:space="preserve">Very high rates, tolerant limits</w:t>
            </w:r>
          </w:p>
        </w:tc>
      </w:tr>
      <w:tr>
        <w:tc>
          <w:tcPr/>
          <w:p>
            <w:pPr>
              <w:pStyle w:val="Compact"/>
              <w:jc w:val="left"/>
            </w:pPr>
            <w:r>
              <w:t xml:space="preserve">Quota distribution (leases)</w:t>
            </w:r>
          </w:p>
        </w:tc>
        <w:tc>
          <w:tcPr/>
          <w:p>
            <w:pPr>
              <w:pStyle w:val="Compact"/>
              <w:jc w:val="left"/>
            </w:pPr>
            <w:r>
              <w:t xml:space="preserve">None</w:t>
            </w:r>
          </w:p>
        </w:tc>
        <w:tc>
          <w:tcPr/>
          <w:p>
            <w:pPr>
              <w:pStyle w:val="Compact"/>
              <w:jc w:val="left"/>
            </w:pPr>
            <w:r>
              <w:t xml:space="preserve">Exact sum; lags demand shifts</w:t>
            </w:r>
          </w:p>
        </w:tc>
        <w:tc>
          <w:tcPr/>
          <w:p>
            <w:pPr>
              <w:pStyle w:val="Compact"/>
              <w:jc w:val="left"/>
            </w:pPr>
            <m:oMath>
              <m:r>
                <m:t>O</m:t>
              </m:r>
              <m:d>
                <m:dPr>
                  <m:begChr m:val="("/>
                  <m:endChr m:val=")"/>
                  <m:sepChr m:val=""/>
                  <m:grow/>
                </m:dPr>
                <m:e>
                  <m:r>
                    <m:t>N</m:t>
                  </m:r>
                  <m:r>
                    <m:rPr>
                      <m:sty m:val="p"/>
                    </m:rPr>
                    <m:t>/</m:t>
                  </m:r>
                  <m:r>
                    <m:t>Δ</m:t>
                  </m:r>
                </m:e>
              </m:d>
            </m:oMath>
          </w:p>
        </w:tc>
        <w:tc>
          <w:tcPr/>
          <w:p>
            <w:pPr>
              <w:pStyle w:val="Compact"/>
              <w:jc w:val="left"/>
            </w:pPr>
            <w:r>
              <w:t xml:space="preserve">Keeps last allowance</w:t>
            </w:r>
          </w:p>
        </w:tc>
        <w:tc>
          <w:tcPr/>
          <w:p>
            <w:pPr>
              <w:pStyle w:val="Compact"/>
              <w:jc w:val="left"/>
            </w:pPr>
            <w:r>
              <w:t xml:space="preserve">Large fleets, stable demand</w:t>
            </w:r>
          </w:p>
        </w:tc>
      </w:tr>
      <w:tr>
        <w:tc>
          <w:tcPr/>
          <w:p>
            <w:pPr>
              <w:pStyle w:val="Compact"/>
              <w:jc w:val="left"/>
            </w:pPr>
            <w:r>
              <w:t xml:space="preserve">Hybrid: local bucket batches reservations from a central store</w:t>
            </w:r>
          </w:p>
        </w:tc>
        <w:tc>
          <w:tcPr/>
          <w:p>
            <w:pPr>
              <w:pStyle w:val="Compact"/>
              <w:jc w:val="left"/>
            </w:pPr>
            <w:r>
              <w:t xml:space="preserve">Rare round trips</w:t>
            </w:r>
          </w:p>
        </w:tc>
        <w:tc>
          <w:tcPr/>
          <w:p>
            <w:pPr>
              <w:pStyle w:val="Compact"/>
              <w:jc w:val="left"/>
            </w:pPr>
            <w:r>
              <w:t xml:space="preserve">Bounded by batch size</w:t>
            </w:r>
          </w:p>
        </w:tc>
        <w:tc>
          <w:tcPr/>
          <w:p>
            <w:pPr>
              <w:pStyle w:val="Compact"/>
              <w:jc w:val="left"/>
            </w:pPr>
            <w:r>
              <w:t xml:space="preserve">One call per batch</w:t>
            </w:r>
          </w:p>
        </w:tc>
        <w:tc>
          <w:tcPr/>
          <w:p>
            <w:pPr>
              <w:pStyle w:val="Compact"/>
              <w:jc w:val="left"/>
            </w:pPr>
            <w:r>
              <w:t xml:space="preserve">Degrades to local</w:t>
            </w:r>
          </w:p>
        </w:tc>
        <w:tc>
          <w:tcPr/>
          <w:p>
            <w:pPr>
              <w:pStyle w:val="Compact"/>
              <w:jc w:val="left"/>
            </w:pPr>
            <w:r>
              <w:t xml:space="preserve">Hot keys at very high rates</w:t>
            </w:r>
          </w:p>
        </w:tc>
      </w:tr>
    </w:tbl>
    <w:bookmarkEnd w:id="2498"/>
    <w:bookmarkStart w:id="2499" w:name="failure-scenarios-55"/>
    <w:p>
      <w:pPr>
        <w:pStyle w:val="Heading3"/>
      </w:pPr>
      <w:r>
        <w:t xml:space="preserve">22.8.5 Failure scenarios</w:t>
      </w:r>
    </w:p>
    <w:p>
      <w:pPr>
        <w:pStyle w:val="FirstParagraph"/>
      </w:pPr>
      <w:r>
        <w:rPr>
          <w:bCs/>
          <w:b/>
        </w:rPr>
        <w:t xml:space="preserve">Table 22.5 — Distributed limiter 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All requests fail when Redis is down</w:t>
            </w:r>
          </w:p>
        </w:tc>
        <w:tc>
          <w:tcPr/>
          <w:p>
            <w:pPr>
              <w:pStyle w:val="Compact"/>
              <w:jc w:val="left"/>
            </w:pPr>
            <w:r>
              <w:t xml:space="preserve">Limiter fails</w:t>
            </w:r>
            <w:r>
              <w:t xml:space="preserve"> </w:t>
            </w:r>
            <w:r>
              <w:rPr>
                <w:iCs/>
                <w:i/>
              </w:rPr>
              <w:t xml:space="preserve">closed</w:t>
            </w:r>
          </w:p>
        </w:tc>
        <w:tc>
          <w:tcPr/>
          <w:p>
            <w:pPr>
              <w:pStyle w:val="Compact"/>
              <w:jc w:val="left"/>
            </w:pPr>
            <w:r>
              <w:t xml:space="preserve">Limiter error spike</w:t>
            </w:r>
          </w:p>
        </w:tc>
        <w:tc>
          <w:tcPr/>
          <w:p>
            <w:pPr>
              <w:pStyle w:val="Compact"/>
              <w:jc w:val="left"/>
            </w:pPr>
            <w:r>
              <w:t xml:space="preserve">Fail open with local limits</w:t>
            </w:r>
          </w:p>
        </w:tc>
        <w:tc>
          <w:tcPr/>
          <w:p>
            <w:pPr>
              <w:pStyle w:val="Compact"/>
              <w:jc w:val="left"/>
            </w:pPr>
            <w:r>
              <w:t xml:space="preserve">Per limit: open for quotas, closed for login limits</w:t>
            </w:r>
          </w:p>
        </w:tc>
      </w:tr>
      <w:tr>
        <w:tc>
          <w:tcPr/>
          <w:p>
            <w:pPr>
              <w:pStyle w:val="Compact"/>
              <w:jc w:val="left"/>
            </w:pPr>
            <w:r>
              <w:t xml:space="preserve">One shard at 100% CPU</w:t>
            </w:r>
          </w:p>
        </w:tc>
        <w:tc>
          <w:tcPr/>
          <w:p>
            <w:pPr>
              <w:pStyle w:val="Compact"/>
              <w:jc w:val="left"/>
            </w:pPr>
            <w:r>
              <w:t xml:space="preserve">Hot key (one huge tenant)</w:t>
            </w:r>
          </w:p>
        </w:tc>
        <w:tc>
          <w:tcPr/>
          <w:p>
            <w:pPr>
              <w:pStyle w:val="Compact"/>
              <w:jc w:val="left"/>
            </w:pPr>
            <w:r>
              <w:t xml:space="preserve">Per-shard skew</w:t>
            </w:r>
          </w:p>
        </w:tc>
        <w:tc>
          <w:tcPr/>
          <w:p>
            <w:pPr>
              <w:pStyle w:val="Compact"/>
              <w:jc w:val="left"/>
            </w:pPr>
            <w:r>
              <w:t xml:space="preserve">Split key or pre-aggregate locally</w:t>
            </w:r>
          </w:p>
        </w:tc>
        <w:tc>
          <w:tcPr/>
          <w:p>
            <w:pPr>
              <w:pStyle w:val="Compact"/>
              <w:jc w:val="left"/>
            </w:pPr>
            <w:r>
              <w:t xml:space="preserve">Hot-key detection (§17.6, §20.15)</w:t>
            </w:r>
          </w:p>
        </w:tc>
      </w:tr>
      <w:tr>
        <w:tc>
          <w:tcPr/>
          <w:p>
            <w:pPr>
              <w:pStyle w:val="Compact"/>
              <w:jc w:val="left"/>
            </w:pPr>
            <w:r>
              <w:t xml:space="preserve">Buckets drift</w:t>
            </w:r>
          </w:p>
        </w:tc>
        <w:tc>
          <w:tcPr/>
          <w:p>
            <w:pPr>
              <w:pStyle w:val="Compact"/>
              <w:jc w:val="left"/>
            </w:pPr>
            <w:r>
              <w:t xml:space="preserve">Gateway clocks skewed</w:t>
            </w:r>
          </w:p>
        </w:tc>
        <w:tc>
          <w:tcPr/>
          <w:p>
            <w:pPr>
              <w:pStyle w:val="Compact"/>
              <w:jc w:val="left"/>
            </w:pPr>
            <w:r>
              <w:t xml:space="preserve">Inconsistent</w:t>
            </w:r>
            <w:r>
              <w:t xml:space="preserve"> </w:t>
            </w:r>
            <w:r>
              <w:rPr>
                <w:rStyle w:val="VerbatimChar"/>
              </w:rPr>
              <w:t xml:space="preserve">Retry-After</w:t>
            </w:r>
          </w:p>
        </w:tc>
        <w:tc>
          <w:tcPr/>
          <w:p>
            <w:pPr>
              <w:pStyle w:val="Compact"/>
              <w:jc w:val="left"/>
            </w:pPr>
            <w:r>
              <w:t xml:space="preserve">Server-side time</w:t>
            </w:r>
          </w:p>
        </w:tc>
        <w:tc>
          <w:tcPr/>
          <w:p>
            <w:pPr>
              <w:pStyle w:val="Compact"/>
              <w:jc w:val="left"/>
            </w:pPr>
            <w:r>
              <w:t xml:space="preserve">Redis</w:t>
            </w:r>
            <w:r>
              <w:t xml:space="preserve"> </w:t>
            </w:r>
            <w:r>
              <w:rPr>
                <w:rStyle w:val="VerbatimChar"/>
              </w:rPr>
              <w:t xml:space="preserve">TIME</w:t>
            </w:r>
          </w:p>
        </w:tc>
      </w:tr>
      <w:tr>
        <w:tc>
          <w:tcPr/>
          <w:p>
            <w:pPr>
              <w:pStyle w:val="Compact"/>
              <w:jc w:val="left"/>
            </w:pPr>
            <w:r>
              <w:t xml:space="preserve">Limiter adds p99 latency</w:t>
            </w:r>
          </w:p>
        </w:tc>
        <w:tc>
          <w:tcPr/>
          <w:p>
            <w:pPr>
              <w:pStyle w:val="Compact"/>
              <w:jc w:val="left"/>
            </w:pPr>
            <w:r>
              <w:t xml:space="preserve">Remote call per request</w:t>
            </w:r>
          </w:p>
        </w:tc>
        <w:tc>
          <w:tcPr/>
          <w:p>
            <w:pPr>
              <w:pStyle w:val="Compact"/>
              <w:jc w:val="left"/>
            </w:pPr>
            <w:r>
              <w:t xml:space="preserve">Gateway p99 tracks Redis p99</w:t>
            </w:r>
          </w:p>
        </w:tc>
        <w:tc>
          <w:tcPr/>
          <w:p>
            <w:pPr>
              <w:pStyle w:val="Compact"/>
              <w:jc w:val="left"/>
            </w:pPr>
            <w:r>
              <w:t xml:space="preserve">Short limiter timeout, then fail open</w:t>
            </w:r>
          </w:p>
        </w:tc>
        <w:tc>
          <w:tcPr/>
          <w:p>
            <w:pPr>
              <w:pStyle w:val="Compact"/>
              <w:jc w:val="left"/>
            </w:pPr>
            <w:r>
              <w:t xml:space="preserve">Cache</w:t>
            </w:r>
            <w:r>
              <w:t xml:space="preserve"> </w:t>
            </w:r>
            <w:r>
              <w:t xml:space="preserve">“</w:t>
            </w:r>
            <w:r>
              <w:t xml:space="preserve">deny</w:t>
            </w:r>
            <w:r>
              <w:t xml:space="preserve">”</w:t>
            </w:r>
            <w:r>
              <w:t xml:space="preserve"> </w:t>
            </w:r>
            <w:r>
              <w:t xml:space="preserve">until</w:t>
            </w:r>
            <w:r>
              <w:t xml:space="preserve"> </w:t>
            </w:r>
            <w:r>
              <w:rPr>
                <w:rStyle w:val="VerbatimChar"/>
              </w:rPr>
              <w:t xml:space="preserve">Retry-After</w:t>
            </w:r>
          </w:p>
        </w:tc>
      </w:tr>
    </w:tbl>
    <w:bookmarkEnd w:id="2499"/>
    <w:bookmarkEnd w:id="2500"/>
    <w:bookmarkStart w:id="2507" w:name="throttling-and-load-shedding"/>
    <w:p>
      <w:pPr>
        <w:pStyle w:val="Heading2"/>
      </w:pPr>
      <w:r>
        <w:t xml:space="preserve">22.9 Throttling and load shedding</w:t>
      </w:r>
    </w:p>
    <w:bookmarkStart w:id="2501" w:name="goodput-and-overload"/>
    <w:p>
      <w:pPr>
        <w:pStyle w:val="Heading3"/>
      </w:pPr>
      <w:r>
        <w:t xml:space="preserve">22.9.1 Goodput and overload</w:t>
      </w:r>
    </w:p>
    <w:p>
      <w:pPr>
        <w:pStyle w:val="CalloutDefinition"/>
      </w:pPr>
      <w:r>
        <w:rPr>
          <w:bCs/>
          <w:b/>
        </w:rPr>
        <w:t xml:space="preserve">DEFINITION</w:t>
      </w:r>
    </w:p>
    <w:p>
      <w:pPr>
        <w:pStyle w:val="CalloutDefinition"/>
      </w:pPr>
      <w:r>
        <w:rPr>
          <w:bCs/>
          <w:b/>
        </w:rPr>
        <w:t xml:space="preserve">Definition — Load shedding and throttling.</w:t>
      </w:r>
      <w:r>
        <w:t xml:space="preserve"> </w:t>
      </w:r>
      <w:r>
        <w:rPr>
          <w:bCs/>
          <w:b/>
        </w:rPr>
        <w:t xml:space="preserve">Load shedding</w:t>
      </w:r>
      <w:r>
        <w:t xml:space="preserve"> </w:t>
      </w:r>
      <w:r>
        <w:t xml:space="preserve">is a server rejecting some requests early and cheaply (usually with 503) because accepting them would push it past capacity, regardless of whether each client is within its quota.</w:t>
      </w:r>
      <w:r>
        <w:t xml:space="preserve"> </w:t>
      </w:r>
      <w:r>
        <w:rPr>
          <w:bCs/>
          <w:b/>
        </w:rPr>
        <w:t xml:space="preserve">Throttling</w:t>
      </w:r>
      <w:r>
        <w:t xml:space="preserve"> </w:t>
      </w:r>
      <w:r>
        <w:t xml:space="preserve">is slowing a client down, by delaying or rejecting its requests; rate limiting is the quota-based form.</w:t>
      </w:r>
      <w:r>
        <w:t xml:space="preserve"> </w:t>
      </w:r>
      <w:r>
        <w:rPr>
          <w:bCs/>
          <w:b/>
        </w:rPr>
        <w:t xml:space="preserve">Goodput</w:t>
      </w:r>
      <w:r>
        <w:t xml:space="preserve"> </w:t>
      </w:r>
      <w:r>
        <w:t xml:space="preserve">is the rate of requests completed</w:t>
      </w:r>
      <w:r>
        <w:t xml:space="preserve"> </w:t>
      </w:r>
      <w:r>
        <w:rPr>
          <w:iCs/>
          <w:i/>
        </w:rPr>
        <w:t xml:space="preserve">usefully</w:t>
      </w:r>
      <w:r>
        <w:t xml:space="preserve">: correctly and before the client gave up.</w:t>
      </w:r>
    </w:p>
    <w:p>
      <w:pPr>
        <w:pStyle w:val="BodyText"/>
      </w:pPr>
      <w:r>
        <w:t xml:space="preserve">A kitchen that accepts every order on a busy night serves every dish late; diners leave before food arrives, so it works flat out producing nothing useful. Turning new arrivals away keeps the seated diners served. The AWS Builders’ Library describes this failure: once latency exceeds client timeouts, a server can run at maximum throughput while goodput falls toward zero [Yanacek: load shedding].</w:t>
      </w:r>
    </w:p>
    <w:p>
      <w:pPr>
        <w:pStyle w:val="CalloutFormula"/>
      </w:pPr>
      <w:r>
        <w:rPr>
          <w:bCs/>
          <w:b/>
        </w:rPr>
        <w:t xml:space="preserve">FORMULA</w:t>
      </w:r>
    </w:p>
    <w:p>
      <w:pPr>
        <w:pStyle w:val="CalloutFormula"/>
      </w:pPr>
      <w:r>
        <w:rPr>
          <w:bCs/>
          <w:b/>
        </w:rPr>
        <w:t xml:space="preserve">Time until goodput collapses without shedding</w:t>
      </w:r>
    </w:p>
    <w:p>
      <w:pPr>
        <w:pStyle w:val="CalloutFormula"/>
      </w:pPr>
      <m:oMathPara>
        <m:oMathParaPr>
          <m:jc m:val="center"/>
        </m:oMathParaPr>
        <m:oMath>
          <m:r>
            <m:t>q</m:t>
          </m:r>
          <m:d>
            <m:dPr>
              <m:begChr m:val="("/>
              <m:endChr m:val=")"/>
              <m:sepChr m:val=""/>
              <m:grow/>
            </m:dPr>
            <m:e>
              <m:r>
                <m:t>t</m:t>
              </m:r>
            </m:e>
          </m:d>
          <m:r>
            <m:rPr>
              <m:sty m:val="p"/>
            </m:rPr>
            <m:t>=</m:t>
          </m:r>
          <m:d>
            <m:dPr>
              <m:begChr m:val="("/>
              <m:endChr m:val=")"/>
              <m:sepChr m:val=""/>
              <m:grow/>
            </m:dPr>
            <m:e>
              <m:r>
                <m:t>λ</m:t>
              </m:r>
              <m:r>
                <m:rPr>
                  <m:sty m:val="p"/>
                </m:rPr>
                <m:t>−</m:t>
              </m:r>
              <m:r>
                <m:t>μ</m:t>
              </m:r>
            </m:e>
          </m:d>
          <m:r>
            <m:t> </m:t>
          </m:r>
          <m:r>
            <m:t>t</m:t>
          </m:r>
          <m:r>
            <m:rPr>
              <m:sty m:val="p"/>
            </m:rPr>
            <m:t>,</m:t>
          </m:r>
          <m:r>
            <m:t>  </m:t>
          </m:r>
          <m:r>
            <m:t>w</m:t>
          </m:r>
          <m:d>
            <m:dPr>
              <m:begChr m:val="("/>
              <m:endChr m:val=")"/>
              <m:sepChr m:val=""/>
              <m:grow/>
            </m:dPr>
            <m:e>
              <m:r>
                <m:t>t</m:t>
              </m:r>
            </m:e>
          </m:d>
          <m:r>
            <m:rPr>
              <m:sty m:val="p"/>
            </m:rPr>
            <m:t>=</m:t>
          </m:r>
          <m:f>
            <m:fPr>
              <m:type m:val="bar"/>
            </m:fPr>
            <m:num>
              <m:r>
                <m:t>q</m:t>
              </m:r>
              <m:d>
                <m:dPr>
                  <m:begChr m:val="("/>
                  <m:endChr m:val=")"/>
                  <m:sepChr m:val=""/>
                  <m:grow/>
                </m:dPr>
                <m:e>
                  <m:r>
                    <m:t>t</m:t>
                  </m:r>
                </m:e>
              </m:d>
            </m:num>
            <m:den>
              <m:r>
                <m:t>μ</m:t>
              </m:r>
            </m:den>
          </m:f>
          <m:r>
            <m:rPr>
              <m:sty m:val="p"/>
            </m:rPr>
            <m:t>,</m:t>
          </m:r>
          <m:r>
            <m:t>  </m:t>
          </m:r>
          <m:sSub>
            <m:e>
              <m:r>
                <m:t>t</m:t>
              </m:r>
            </m:e>
            <m:sub>
              <m:r>
                <m:rPr>
                  <m:nor/>
                  <m:sty m:val="p"/>
                </m:rPr>
                <m:t>collapse</m:t>
              </m:r>
            </m:sub>
          </m:sSub>
          <m:r>
            <m:rPr>
              <m:sty m:val="p"/>
            </m:rPr>
            <m:t>=</m:t>
          </m:r>
          <m:f>
            <m:fPr>
              <m:type m:val="bar"/>
            </m:fPr>
            <m:num>
              <m:r>
                <m:t>μ</m:t>
              </m:r>
              <m:r>
                <m:t> </m:t>
              </m:r>
              <m:sSub>
                <m:e>
                  <m:r>
                    <m:t>T</m:t>
                  </m:r>
                </m:e>
                <m:sub>
                  <m:r>
                    <m:rPr>
                      <m:nor/>
                      <m:sty m:val="p"/>
                    </m:rPr>
                    <m:t>out</m:t>
                  </m:r>
                </m:sub>
              </m:sSub>
            </m:num>
            <m:den>
              <m:r>
                <m:t>λ</m:t>
              </m:r>
              <m:r>
                <m:rPr>
                  <m:sty m:val="p"/>
                </m:rPr>
                <m:t>−</m:t>
              </m:r>
              <m:r>
                <m:t>μ</m:t>
              </m:r>
            </m:den>
          </m:f>
          <m:r>
            <m:t> </m:t>
          </m:r>
          <m:d>
            <m:dPr>
              <m:begChr m:val="("/>
              <m:endChr m:val=")"/>
              <m:sepChr m:val=""/>
              <m:grow/>
            </m:dPr>
            <m:e>
              <m:r>
                <m:t>λ</m:t>
              </m:r>
              <m:r>
                <m:rPr>
                  <m:sty m:val="p"/>
                </m:rPr>
                <m:t>&gt;</m:t>
              </m:r>
              <m:r>
                <m:t>μ</m:t>
              </m:r>
            </m:e>
          </m:d>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λ</m:t>
              </m:r>
            </m:oMath>
          </w:p>
        </w:tc>
        <w:tc>
          <w:tcPr/>
          <w:p>
            <w:pPr>
              <w:pStyle w:val="Compact"/>
              <w:jc w:val="left"/>
            </w:pPr>
            <w:r>
              <w:t xml:space="preserve">Offered request rate</w:t>
            </w:r>
          </w:p>
        </w:tc>
        <w:tc>
          <w:tcPr/>
          <w:p>
            <w:pPr>
              <w:pStyle w:val="Compact"/>
              <w:jc w:val="left"/>
            </w:pPr>
            <w:r>
              <w:t xml:space="preserve">requests/s</w:t>
            </w:r>
          </w:p>
        </w:tc>
      </w:tr>
      <w:tr>
        <w:tc>
          <w:tcPr/>
          <w:p>
            <w:pPr>
              <w:pStyle w:val="Compact"/>
              <w:jc w:val="left"/>
            </w:pPr>
            <m:oMath>
              <m:r>
                <m:t>μ</m:t>
              </m:r>
            </m:oMath>
          </w:p>
        </w:tc>
        <w:tc>
          <w:tcPr/>
          <w:p>
            <w:pPr>
              <w:pStyle w:val="Compact"/>
              <w:jc w:val="left"/>
            </w:pPr>
            <w:r>
              <w:t xml:space="preserve">Server capacity (maximum completion rate)</w:t>
            </w:r>
          </w:p>
        </w:tc>
        <w:tc>
          <w:tcPr/>
          <w:p>
            <w:pPr>
              <w:pStyle w:val="Compact"/>
              <w:jc w:val="left"/>
            </w:pPr>
            <w:r>
              <w:t xml:space="preserve">requests/s</w:t>
            </w:r>
          </w:p>
        </w:tc>
      </w:tr>
      <w:tr>
        <w:tc>
          <w:tcPr/>
          <w:p>
            <w:pPr>
              <w:pStyle w:val="Compact"/>
              <w:jc w:val="left"/>
            </w:pPr>
            <m:oMath>
              <m:r>
                <m:t>q</m:t>
              </m:r>
              <m:d>
                <m:dPr>
                  <m:begChr m:val="("/>
                  <m:endChr m:val=")"/>
                  <m:sepChr m:val=""/>
                  <m:grow/>
                </m:dPr>
                <m:e>
                  <m:r>
                    <m:t>t</m:t>
                  </m:r>
                </m:e>
              </m:d>
            </m:oMath>
          </w:p>
        </w:tc>
        <w:tc>
          <w:tcPr/>
          <w:p>
            <w:pPr>
              <w:pStyle w:val="Compact"/>
              <w:jc w:val="left"/>
            </w:pPr>
            <w:r>
              <w:t xml:space="preserve">Queue length after</w:t>
            </w:r>
            <w:r>
              <w:t xml:space="preserve"> </w:t>
            </w:r>
            <m:oMath>
              <m:r>
                <m:t>t</m:t>
              </m:r>
            </m:oMath>
            <w:r>
              <w:t xml:space="preserve"> </w:t>
            </w:r>
            <w:r>
              <w:t xml:space="preserve">seconds of overload (unbounded FIFO)</w:t>
            </w:r>
          </w:p>
        </w:tc>
        <w:tc>
          <w:tcPr/>
          <w:p>
            <w:pPr>
              <w:pStyle w:val="Compact"/>
              <w:jc w:val="left"/>
            </w:pPr>
            <w:r>
              <w:t xml:space="preserve">requests</w:t>
            </w:r>
          </w:p>
        </w:tc>
      </w:tr>
      <w:tr>
        <w:tc>
          <w:tcPr/>
          <w:p>
            <w:pPr>
              <w:pStyle w:val="Compact"/>
              <w:jc w:val="left"/>
            </w:pPr>
            <m:oMath>
              <m:r>
                <m:t>w</m:t>
              </m:r>
              <m:d>
                <m:dPr>
                  <m:begChr m:val="("/>
                  <m:endChr m:val=")"/>
                  <m:sepChr m:val=""/>
                  <m:grow/>
                </m:dPr>
                <m:e>
                  <m:r>
                    <m:t>t</m:t>
                  </m:r>
                </m:e>
              </m:d>
            </m:oMath>
          </w:p>
        </w:tc>
        <w:tc>
          <w:tcPr/>
          <w:p>
            <w:pPr>
              <w:pStyle w:val="Compact"/>
              <w:jc w:val="left"/>
            </w:pPr>
            <w:r>
              <w:t xml:space="preserve">Queueing delay seen by a request arriving at</w:t>
            </w:r>
            <w:r>
              <w:t xml:space="preserve"> </w:t>
            </w:r>
            <m:oMath>
              <m:r>
                <m:t>t</m:t>
              </m:r>
            </m:oMath>
          </w:p>
        </w:tc>
        <w:tc>
          <w:tcPr/>
          <w:p>
            <w:pPr>
              <w:pStyle w:val="Compact"/>
              <w:jc w:val="left"/>
            </w:pPr>
            <w:r>
              <w:t xml:space="preserve">s</w:t>
            </w:r>
          </w:p>
        </w:tc>
      </w:tr>
      <w:tr>
        <w:tc>
          <w:tcPr/>
          <w:p>
            <w:pPr>
              <w:pStyle w:val="Compact"/>
              <w:jc w:val="left"/>
            </w:pPr>
            <m:oMath>
              <m:sSub>
                <m:e>
                  <m:r>
                    <m:t>T</m:t>
                  </m:r>
                </m:e>
                <m:sub>
                  <m:r>
                    <m:rPr>
                      <m:nor/>
                      <m:sty m:val="p"/>
                    </m:rPr>
                    <m:t>out</m:t>
                  </m:r>
                </m:sub>
              </m:sSub>
            </m:oMath>
          </w:p>
        </w:tc>
        <w:tc>
          <w:tcPr/>
          <w:p>
            <w:pPr>
              <w:pStyle w:val="Compact"/>
              <w:jc w:val="left"/>
            </w:pPr>
            <w:r>
              <w:t xml:space="preserve">Client timeout</w:t>
            </w:r>
          </w:p>
        </w:tc>
        <w:tc>
          <w:tcPr/>
          <w:p>
            <w:pPr>
              <w:pStyle w:val="Compact"/>
              <w:jc w:val="left"/>
            </w:pPr>
            <w:r>
              <w:t xml:space="preserve">s</w:t>
            </w:r>
          </w:p>
        </w:tc>
      </w:tr>
      <w:tr>
        <w:tc>
          <w:tcPr/>
          <w:p>
            <w:pPr>
              <w:pStyle w:val="Compact"/>
              <w:jc w:val="left"/>
            </w:pPr>
            <m:oMath>
              <m:sSub>
                <m:e>
                  <m:r>
                    <m:t>t</m:t>
                  </m:r>
                </m:e>
                <m:sub>
                  <m:r>
                    <m:rPr>
                      <m:nor/>
                      <m:sty m:val="p"/>
                    </m:rPr>
                    <m:t>collapse</m:t>
                  </m:r>
                </m:sub>
              </m:sSub>
            </m:oMath>
          </w:p>
        </w:tc>
        <w:tc>
          <w:tcPr/>
          <w:p>
            <w:pPr>
              <w:pStyle w:val="Compact"/>
              <w:jc w:val="left"/>
            </w:pPr>
            <w:r>
              <w:t xml:space="preserve">Time after which every completed request is already too late</w:t>
            </w:r>
          </w:p>
        </w:tc>
        <w:tc>
          <w:tcPr/>
          <w:p>
            <w:pPr>
              <w:pStyle w:val="Compact"/>
              <w:jc w:val="left"/>
            </w:pPr>
            <w:r>
              <w:t xml:space="preserve">s</w:t>
            </w:r>
          </w:p>
        </w:tc>
      </w:tr>
    </w:tbl>
    <w:p>
      <w:pPr>
        <w:pStyle w:val="CalloutExample"/>
      </w:pPr>
      <w:r>
        <w:rPr>
          <w:bCs/>
          <w:b/>
        </w:rPr>
        <w:t xml:space="preserve">WORKED EXAMPLE</w:t>
      </w:r>
    </w:p>
    <w:p>
      <w:pPr>
        <w:pStyle w:val="CalloutExample"/>
      </w:pPr>
      <w:r>
        <w:rPr>
          <w:bCs/>
          <w:b/>
        </w:rPr>
        <w:t xml:space="preserve">Worked example — PhotoShare upload service,</w:t>
      </w:r>
      <w:r>
        <w:rPr>
          <w:bCs/>
          <w:b/>
        </w:rPr>
        <w:t xml:space="preserve"> </w:t>
      </w:r>
      <m:oMath>
        <m:r>
          <m:t>μ</m:t>
        </m:r>
        <m:r>
          <m:rPr>
            <m:sty m:val="p"/>
          </m:rPr>
          <m:t>=</m:t>
        </m:r>
        <m:r>
          <m:t>1</m:t>
        </m:r>
        <m:r>
          <m:rPr>
            <m:sty m:val="p"/>
          </m:rPr>
          <m:t>,</m:t>
        </m:r>
        <m:r>
          <m:t>000</m:t>
        </m:r>
      </m:oMath>
      <w:r>
        <w:rPr>
          <w:bCs/>
          <w:b/>
        </w:rPr>
        <w:t xml:space="preserve"> </w:t>
      </w:r>
      <w:r>
        <w:rPr>
          <w:bCs/>
          <w:b/>
        </w:rPr>
        <w:t xml:space="preserve">RPS, clients time out after 1 s, a spike brings</w:t>
      </w:r>
      <w:r>
        <w:rPr>
          <w:bCs/>
          <w:b/>
        </w:rPr>
        <w:t xml:space="preserve"> </w:t>
      </w:r>
      <m:oMath>
        <m:r>
          <m:t>λ</m:t>
        </m:r>
        <m:r>
          <m:rPr>
            <m:sty m:val="p"/>
          </m:rPr>
          <m:t>=</m:t>
        </m:r>
        <m:r>
          <m:t>1</m:t>
        </m:r>
        <m:r>
          <m:rPr>
            <m:sty m:val="p"/>
          </m:rPr>
          <m:t>,</m:t>
        </m:r>
        <m:r>
          <m:t>500</m:t>
        </m:r>
      </m:oMath>
      <w:r>
        <w:rPr>
          <w:bCs/>
          <w:b/>
        </w:rPr>
        <w:t xml:space="preserve"> </w:t>
      </w:r>
      <w:r>
        <w:rPr>
          <w:bCs/>
          <w:b/>
        </w:rPr>
        <w:t xml:space="preserve">RPS.</w:t>
      </w:r>
    </w:p>
    <w:p>
      <w:pPr>
        <w:numPr>
          <w:ilvl w:val="0"/>
          <w:numId w:val="1728"/>
        </w:numPr>
        <w:pStyle w:val="Compact"/>
      </w:pPr>
      <w:r>
        <w:t xml:space="preserve">The queue grows at</w:t>
      </w:r>
      <w:r>
        <w:t xml:space="preserve"> </w:t>
      </w:r>
      <m:oMath>
        <m:r>
          <m:t>1</m:t>
        </m:r>
        <m:r>
          <m:rPr>
            <m:sty m:val="p"/>
          </m:rPr>
          <m:t>,</m:t>
        </m:r>
        <m:r>
          <m:t>500</m:t>
        </m:r>
        <m:r>
          <m:rPr>
            <m:sty m:val="p"/>
          </m:rPr>
          <m:t>−</m:t>
        </m:r>
        <m:r>
          <m:t>1</m:t>
        </m:r>
        <m:r>
          <m:rPr>
            <m:sty m:val="p"/>
          </m:rPr>
          <m:t>,</m:t>
        </m:r>
        <m:r>
          <m:t>000</m:t>
        </m:r>
        <m:r>
          <m:rPr>
            <m:sty m:val="p"/>
          </m:rPr>
          <m:t>=</m:t>
        </m:r>
        <m:r>
          <m:t>500</m:t>
        </m:r>
      </m:oMath>
      <w:r>
        <w:t xml:space="preserve"> </w:t>
      </w:r>
      <w:r>
        <w:t xml:space="preserve">requests per second.</w:t>
      </w:r>
    </w:p>
    <w:p>
      <w:pPr>
        <w:numPr>
          <w:ilvl w:val="0"/>
          <w:numId w:val="1728"/>
        </w:numPr>
        <w:pStyle w:val="Compact"/>
      </w:pPr>
      <m:oMath>
        <m:sSub>
          <m:e>
            <m:r>
              <m:t>t</m:t>
            </m:r>
          </m:e>
          <m:sub>
            <m:r>
              <m:rPr>
                <m:nor/>
                <m:sty m:val="p"/>
              </m:rPr>
              <m:t>collapse</m:t>
            </m:r>
          </m:sub>
        </m:sSub>
        <m:r>
          <m:rPr>
            <m:sty m:val="p"/>
          </m:rPr>
          <m:t>=</m:t>
        </m:r>
        <m:r>
          <m:t>1</m:t>
        </m:r>
        <m:r>
          <m:rPr>
            <m:sty m:val="p"/>
          </m:rPr>
          <m:t>,</m:t>
        </m:r>
        <m:r>
          <m:t>000</m:t>
        </m:r>
        <m:r>
          <m:rPr>
            <m:sty m:val="p"/>
          </m:rPr>
          <m:t>×</m:t>
        </m:r>
        <m:r>
          <m:t>1</m:t>
        </m:r>
        <m:r>
          <m:rPr>
            <m:sty m:val="p"/>
          </m:rPr>
          <m:t>/</m:t>
        </m:r>
        <m:r>
          <m:t>500</m:t>
        </m:r>
        <m:r>
          <m:rPr>
            <m:sty m:val="p"/>
          </m:rPr>
          <m:t>=</m:t>
        </m:r>
        <m:r>
          <m:t>2</m:t>
        </m:r>
      </m:oMath>
      <w:r>
        <w:t xml:space="preserve"> </w:t>
      </w:r>
      <w:r>
        <w:t xml:space="preserve">s. After two seconds the queue holds 1,000 requests and every new request waits 1 s, the full timeout.</w:t>
      </w:r>
    </w:p>
    <w:p>
      <w:pPr>
        <w:numPr>
          <w:ilvl w:val="0"/>
          <w:numId w:val="1728"/>
        </w:numPr>
        <w:pStyle w:val="Compact"/>
      </w:pPr>
      <w:r>
        <w:t xml:space="preserve">From then on the server still completes 1,000 requests/s, but goodput is roughly zero. Worse, clients retry, raising</w:t>
      </w:r>
      <w:r>
        <w:t xml:space="preserve"> </w:t>
      </w:r>
      <m:oMath>
        <m:r>
          <m:t>λ</m:t>
        </m:r>
      </m:oMath>
      <w:r>
        <w:t xml:space="preserve"> </w:t>
      </w:r>
      <w:r>
        <w:t xml:space="preserve">further (§22.12).</w:t>
      </w:r>
    </w:p>
    <w:p>
      <w:pPr>
        <w:numPr>
          <w:ilvl w:val="0"/>
          <w:numId w:val="1728"/>
        </w:numPr>
        <w:pStyle w:val="Compact"/>
      </w:pPr>
      <w:r>
        <w:t xml:space="preserve">With shedding (a queue bounded at 200 requests, i.e. at most</w:t>
      </w:r>
      <w:r>
        <w:t xml:space="preserve"> </w:t>
      </w:r>
      <m:oMath>
        <m:r>
          <m:t>200</m:t>
        </m:r>
        <m:r>
          <m:rPr>
            <m:sty m:val="p"/>
          </m:rPr>
          <m:t>/</m:t>
        </m:r>
        <m:r>
          <m:t>1</m:t>
        </m:r>
        <m:r>
          <m:rPr>
            <m:sty m:val="p"/>
          </m:rPr>
          <m:t>,</m:t>
        </m:r>
        <m:r>
          <m:t>000</m:t>
        </m:r>
        <m:r>
          <m:rPr>
            <m:sty m:val="p"/>
          </m:rPr>
          <m:t>=</m:t>
        </m:r>
        <m:r>
          <m:t>200</m:t>
        </m:r>
      </m:oMath>
      <w:r>
        <w:t xml:space="preserve"> </w:t>
      </w:r>
      <w:r>
        <w:t xml:space="preserve">ms of waiting), the server rejects the excess 500 RPS in microseconds and goodput stays at 1,000 RPS.</w:t>
      </w:r>
    </w:p>
    <w:p>
      <w:pPr>
        <w:pStyle w:val="CalloutExample"/>
      </w:pPr>
      <w:r>
        <w:rPr>
          <w:bCs/>
          <w:b/>
        </w:rPr>
        <w:t xml:space="preserve">Interpretation.</w:t>
      </w:r>
      <w:r>
        <w:t xml:space="preserve"> </w:t>
      </w:r>
      <w:r>
        <w:t xml:space="preserve">Unbounded queueing turns a 50% overload into a total outage in two seconds.</w:t>
      </w:r>
      <w:r>
        <w:t xml:space="preserve"> </w:t>
      </w:r>
      <w:r>
        <w:rPr>
          <w:bCs/>
          <w:b/>
        </w:rPr>
        <w:t xml:space="preserve">Engineering implication.</w:t>
      </w:r>
      <w:r>
        <w:t xml:space="preserve"> </w:t>
      </w:r>
      <w:r>
        <w:t xml:space="preserve">Bound queues by</w:t>
      </w:r>
      <w:r>
        <w:t xml:space="preserve"> </w:t>
      </w:r>
      <w:r>
        <w:rPr>
          <w:iCs/>
          <w:i/>
        </w:rPr>
        <w:t xml:space="preserve">time</w:t>
      </w:r>
      <w:r>
        <w:t xml:space="preserve">, and make rejection far cheaper than service.</w:t>
      </w:r>
    </w:p>
    <w:bookmarkEnd w:id="2501"/>
    <w:bookmarkStart w:id="2502" w:name="priority-based-shedding"/>
    <w:p>
      <w:pPr>
        <w:pStyle w:val="Heading3"/>
      </w:pPr>
      <w:r>
        <w:t xml:space="preserve">22.9.2 Priority-based shedding</w:t>
      </w:r>
    </w:p>
    <w:p>
      <w:pPr>
        <w:pStyle w:val="FirstParagraph"/>
      </w:pPr>
      <w:r>
        <w:t xml:space="preserve">An upload or checkout matters more than a recommendations prefetch.</w:t>
      </w:r>
      <w:r>
        <w:t xml:space="preserve"> </w:t>
      </w:r>
      <w:r>
        <w:rPr>
          <w:bCs/>
          <w:b/>
        </w:rPr>
        <w:t xml:space="preserve">Priority-based shedding</w:t>
      </w:r>
      <w:r>
        <w:t xml:space="preserve"> </w:t>
      </w:r>
      <w:r>
        <w:t xml:space="preserve">tags each request with a</w:t>
      </w:r>
      <w:r>
        <w:t xml:space="preserve"> </w:t>
      </w:r>
      <w:r>
        <w:rPr>
          <w:bCs/>
          <w:b/>
        </w:rPr>
        <w:t xml:space="preserve">criticality</w:t>
      </w:r>
      <w:r>
        <w:t xml:space="preserve"> </w:t>
      </w:r>
      <w:r>
        <w:t xml:space="preserve">class at the edge, propagates it, and sheds the lowest class first. Google’s SRE book describes four classes:</w:t>
      </w:r>
      <w:r>
        <w:t xml:space="preserve"> </w:t>
      </w:r>
      <w:r>
        <w:rPr>
          <w:rStyle w:val="VerbatimChar"/>
        </w:rPr>
        <w:t xml:space="preserve">CRITICAL_PLUS</w:t>
      </w:r>
      <w:r>
        <w:t xml:space="preserve">,</w:t>
      </w:r>
      <w:r>
        <w:t xml:space="preserve"> </w:t>
      </w:r>
      <w:r>
        <w:rPr>
          <w:rStyle w:val="VerbatimChar"/>
        </w:rPr>
        <w:t xml:space="preserve">CRITICAL</w:t>
      </w:r>
      <w:r>
        <w:t xml:space="preserve">,</w:t>
      </w:r>
      <w:r>
        <w:t xml:space="preserve"> </w:t>
      </w:r>
      <w:r>
        <w:rPr>
          <w:rStyle w:val="VerbatimChar"/>
        </w:rPr>
        <w:t xml:space="preserve">SHEDDABLE_PLUS</w:t>
      </w:r>
      <w:r>
        <w:t xml:space="preserve"> </w:t>
      </w:r>
      <w:r>
        <w:t xml:space="preserve">and</w:t>
      </w:r>
      <w:r>
        <w:t xml:space="preserve"> </w:t>
      </w:r>
      <w:r>
        <w:rPr>
          <w:rStyle w:val="VerbatimChar"/>
        </w:rPr>
        <w:t xml:space="preserve">SHEDDABLE</w:t>
      </w:r>
      <w:r>
        <w:t xml:space="preserve">, propagated automatically with RPCs [Beyer et al. 2016, ch. 21]. Stripe’s worker-utilization load shedder similarly sheds test-mode and other lower-priority traffic before critical API methods [Tarjan 2017].</w:t>
      </w:r>
    </w:p>
    <w:p>
      <w:pPr>
        <w:pStyle w:val="BodyText"/>
      </w:pPr>
      <w:r>
        <w:t xml:space="preserve">Clients can shed too. In the SRE book’s</w:t>
      </w:r>
      <w:r>
        <w:t xml:space="preserve"> </w:t>
      </w:r>
      <w:r>
        <w:rPr>
          <w:bCs/>
          <w:b/>
        </w:rPr>
        <w:t xml:space="preserve">client-side adaptive throttling</w:t>
      </w:r>
      <w:r>
        <w:t xml:space="preserve">, each client tracks requests sent and accepted over the last two minutes and drops requests locally as rejections grow.</w:t>
      </w:r>
    </w:p>
    <w:p>
      <w:pPr>
        <w:pStyle w:val="CalloutFormula"/>
      </w:pPr>
      <w:r>
        <w:rPr>
          <w:bCs/>
          <w:b/>
        </w:rPr>
        <w:t xml:space="preserve">FORMULA</w:t>
      </w:r>
    </w:p>
    <w:p>
      <w:pPr>
        <w:pStyle w:val="CalloutFormula"/>
      </w:pPr>
      <w:r>
        <w:rPr>
          <w:bCs/>
          <w:b/>
        </w:rPr>
        <w:t xml:space="preserve">Client-side adaptive throttling (Google SRE)</w:t>
      </w:r>
    </w:p>
    <w:p>
      <w:pPr>
        <w:pStyle w:val="CalloutFormula"/>
      </w:pPr>
      <m:oMathPara>
        <m:oMathParaPr>
          <m:jc m:val="center"/>
        </m:oMathParaPr>
        <m:oMath>
          <m:sSub>
            <m:e>
              <m:r>
                <m:t>P</m:t>
              </m:r>
            </m:e>
            <m:sub>
              <m:r>
                <m:rPr>
                  <m:nor/>
                  <m:sty m:val="p"/>
                </m:rPr>
                <m:t>reject</m:t>
              </m:r>
            </m:sub>
          </m:sSub>
          <m:r>
            <m:rPr>
              <m:sty m:val="p"/>
            </m:rPr>
            <m:t>=</m:t>
          </m:r>
          <m:r>
            <m:rPr>
              <m:sty m:val="p"/>
            </m:rPr>
            <m:t>max</m:t>
          </m:r>
          <m:r>
            <m:t>​</m:t>
          </m:r>
          <m:d>
            <m:dPr>
              <m:begChr m:val="("/>
              <m:endChr m:val=")"/>
              <m:sepChr m:val=""/>
              <m:grow/>
            </m:dPr>
            <m:e>
              <m:r>
                <m:t>0</m:t>
              </m:r>
              <m:r>
                <m:rPr>
                  <m:sty m:val="p"/>
                </m:rPr>
                <m:t>,</m:t>
              </m:r>
              <m:r>
                <m:t> </m:t>
              </m:r>
              <m:f>
                <m:fPr>
                  <m:type m:val="bar"/>
                </m:fPr>
                <m:num>
                  <m:r>
                    <m:rPr>
                      <m:nor/>
                      <m:sty m:val="p"/>
                    </m:rPr>
                    <m:t>requests</m:t>
                  </m:r>
                  <m:r>
                    <m:rPr>
                      <m:sty m:val="p"/>
                    </m:rPr>
                    <m:t>−</m:t>
                  </m:r>
                  <m:r>
                    <m:t>K</m:t>
                  </m:r>
                  <m:r>
                    <m:rPr>
                      <m:sty m:val="p"/>
                    </m:rPr>
                    <m:t>⋅</m:t>
                  </m:r>
                  <m:r>
                    <m:rPr>
                      <m:nor/>
                      <m:sty m:val="p"/>
                    </m:rPr>
                    <m:t>accepts</m:t>
                  </m:r>
                </m:num>
                <m:den>
                  <m:r>
                    <m:rPr>
                      <m:nor/>
                      <m:sty m:val="p"/>
                    </m:rPr>
                    <m:t>requests</m:t>
                  </m:r>
                  <m:r>
                    <m:rPr>
                      <m:sty m:val="p"/>
                    </m:rPr>
                    <m:t>+</m:t>
                  </m:r>
                  <m:r>
                    <m:t>1</m:t>
                  </m:r>
                </m:den>
              </m:f>
            </m:e>
          </m:d>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w:r>
              <w:t xml:space="preserve">requests</w:t>
            </w:r>
          </w:p>
        </w:tc>
        <w:tc>
          <w:tcPr/>
          <w:p>
            <w:pPr>
              <w:pStyle w:val="Compact"/>
              <w:jc w:val="left"/>
            </w:pPr>
            <w:r>
              <w:t xml:space="preserve">Requests the client attempted in the recent window</w:t>
            </w:r>
          </w:p>
        </w:tc>
        <w:tc>
          <w:tcPr/>
          <w:p>
            <w:pPr>
              <w:pStyle w:val="Compact"/>
              <w:jc w:val="left"/>
            </w:pPr>
            <w:r>
              <w:t xml:space="preserve">count</w:t>
            </w:r>
          </w:p>
        </w:tc>
      </w:tr>
      <w:tr>
        <w:tc>
          <w:tcPr/>
          <w:p>
            <w:pPr>
              <w:pStyle w:val="Compact"/>
              <w:jc w:val="left"/>
            </w:pPr>
            <w:r>
              <w:t xml:space="preserve">accepts</w:t>
            </w:r>
          </w:p>
        </w:tc>
        <w:tc>
          <w:tcPr/>
          <w:p>
            <w:pPr>
              <w:pStyle w:val="Compact"/>
              <w:jc w:val="left"/>
            </w:pPr>
            <w:r>
              <w:t xml:space="preserve">Requests the backend accepted (did not reject for overload)</w:t>
            </w:r>
          </w:p>
        </w:tc>
        <w:tc>
          <w:tcPr/>
          <w:p>
            <w:pPr>
              <w:pStyle w:val="Compact"/>
              <w:jc w:val="left"/>
            </w:pPr>
            <w:r>
              <w:t xml:space="preserve">count</w:t>
            </w:r>
          </w:p>
        </w:tc>
      </w:tr>
      <w:tr>
        <w:tc>
          <w:tcPr/>
          <w:p>
            <w:pPr>
              <w:pStyle w:val="Compact"/>
              <w:jc w:val="left"/>
            </w:pPr>
            <m:oMath>
              <m:r>
                <m:t>K</m:t>
              </m:r>
            </m:oMath>
          </w:p>
        </w:tc>
        <w:tc>
          <w:tcPr/>
          <w:p>
            <w:pPr>
              <w:pStyle w:val="Compact"/>
              <w:jc w:val="left"/>
            </w:pPr>
            <w:r>
              <w:t xml:space="preserve">Multiplier; how many requests per accept the client may still send (typically 2)</w:t>
            </w:r>
          </w:p>
        </w:tc>
        <w:tc>
          <w:tcPr/>
          <w:p>
            <w:pPr>
              <w:pStyle w:val="Compact"/>
              <w:jc w:val="left"/>
            </w:pPr>
            <w:r>
              <w:t xml:space="preserve">dimensionless</w:t>
            </w:r>
          </w:p>
        </w:tc>
      </w:tr>
      <w:tr>
        <w:tc>
          <w:tcPr/>
          <w:p>
            <w:pPr>
              <w:pStyle w:val="Compact"/>
              <w:jc w:val="left"/>
            </w:pPr>
            <m:oMath>
              <m:sSub>
                <m:e>
                  <m:r>
                    <m:t>P</m:t>
                  </m:r>
                </m:e>
                <m:sub>
                  <m:r>
                    <m:rPr>
                      <m:nor/>
                      <m:sty m:val="p"/>
                    </m:rPr>
                    <m:t>reject</m:t>
                  </m:r>
                </m:sub>
              </m:sSub>
            </m:oMath>
          </w:p>
        </w:tc>
        <w:tc>
          <w:tcPr/>
          <w:p>
            <w:pPr>
              <w:pStyle w:val="Compact"/>
              <w:jc w:val="left"/>
            </w:pPr>
            <w:r>
              <w:t xml:space="preserve">Probability the client rejects a new request locally, without sending it</w:t>
            </w:r>
          </w:p>
        </w:tc>
        <w:tc>
          <w:tcPr/>
          <w:p>
            <w:pPr>
              <w:pStyle w:val="Compact"/>
              <w:jc w:val="left"/>
            </w:pPr>
            <w:r>
              <w:t xml:space="preserve">dimensionless</w:t>
            </w:r>
          </w:p>
        </w:tc>
      </w:tr>
    </w:tbl>
    <w:p>
      <w:pPr>
        <w:pStyle w:val="CalloutExample"/>
      </w:pPr>
      <w:r>
        <w:rPr>
          <w:bCs/>
          <w:b/>
        </w:rPr>
        <w:t xml:space="preserve">WORKED EXAMPLE</w:t>
      </w:r>
    </w:p>
    <w:p>
      <w:pPr>
        <w:pStyle w:val="CalloutExample"/>
      </w:pPr>
      <w:r>
        <w:rPr>
          <w:bCs/>
          <w:b/>
        </w:rPr>
        <w:t xml:space="preserve">Worked example — A client in a two-minute window sent 10,000 requests and 4,000 were accepted,</w:t>
      </w:r>
      <w:r>
        <w:rPr>
          <w:bCs/>
          <w:b/>
        </w:rPr>
        <w:t xml:space="preserve"> </w:t>
      </w:r>
      <m:oMath>
        <m:r>
          <m:t>K</m:t>
        </m:r>
        <m:r>
          <m:rPr>
            <m:sty m:val="p"/>
          </m:rPr>
          <m:t>=</m:t>
        </m:r>
        <m:r>
          <m:t>2</m:t>
        </m:r>
      </m:oMath>
      <w:r>
        <w:rPr>
          <w:bCs/>
          <w:b/>
        </w:rPr>
        <w:t xml:space="preserve">.</w:t>
      </w:r>
    </w:p>
    <w:p>
      <w:pPr>
        <w:numPr>
          <w:ilvl w:val="0"/>
          <w:numId w:val="1729"/>
        </w:numPr>
        <w:pStyle w:val="Compact"/>
      </w:pPr>
      <m:oMath>
        <m:r>
          <m:t>K</m:t>
        </m:r>
        <m:r>
          <m:rPr>
            <m:sty m:val="p"/>
          </m:rPr>
          <m:t>×</m:t>
        </m:r>
        <m:r>
          <m:rPr>
            <m:nor/>
            <m:sty m:val="p"/>
          </m:rPr>
          <m:t>accepts</m:t>
        </m:r>
        <m:r>
          <m:rPr>
            <m:sty m:val="p"/>
          </m:rPr>
          <m:t>=</m:t>
        </m:r>
        <m:r>
          <m:t>8</m:t>
        </m:r>
        <m:r>
          <m:rPr>
            <m:sty m:val="p"/>
          </m:rPr>
          <m:t>,</m:t>
        </m:r>
        <m:r>
          <m:t>000</m:t>
        </m:r>
      </m:oMath>
      <w:r>
        <w:t xml:space="preserve">.</w:t>
      </w:r>
    </w:p>
    <w:p>
      <w:pPr>
        <w:numPr>
          <w:ilvl w:val="0"/>
          <w:numId w:val="1729"/>
        </w:numPr>
        <w:pStyle w:val="Compact"/>
      </w:pPr>
      <m:oMath>
        <m:sSub>
          <m:e>
            <m:r>
              <m:t>P</m:t>
            </m:r>
          </m:e>
          <m:sub>
            <m:r>
              <m:rPr>
                <m:nor/>
                <m:sty m:val="p"/>
              </m:rPr>
              <m:t>reject</m:t>
            </m:r>
          </m:sub>
        </m:sSub>
        <m:r>
          <m:rPr>
            <m:sty m:val="p"/>
          </m:rPr>
          <m:t>=</m:t>
        </m:r>
        <m:d>
          <m:dPr>
            <m:begChr m:val="("/>
            <m:endChr m:val=")"/>
            <m:sepChr m:val=""/>
            <m:grow/>
          </m:dPr>
          <m:e>
            <m:r>
              <m:t>10</m:t>
            </m:r>
            <m:r>
              <m:rPr>
                <m:sty m:val="p"/>
              </m:rPr>
              <m:t>,</m:t>
            </m:r>
            <m:r>
              <m:t>000</m:t>
            </m:r>
            <m:r>
              <m:rPr>
                <m:sty m:val="p"/>
              </m:rPr>
              <m:t>−</m:t>
            </m:r>
            <m:r>
              <m:t>8</m:t>
            </m:r>
            <m:r>
              <m:rPr>
                <m:sty m:val="p"/>
              </m:rPr>
              <m:t>,</m:t>
            </m:r>
            <m:r>
              <m:t>000</m:t>
            </m:r>
          </m:e>
        </m:d>
        <m:r>
          <m:rPr>
            <m:sty m:val="p"/>
          </m:rPr>
          <m:t>/</m:t>
        </m:r>
        <m:r>
          <m:t>10</m:t>
        </m:r>
        <m:r>
          <m:rPr>
            <m:sty m:val="p"/>
          </m:rPr>
          <m:t>,</m:t>
        </m:r>
        <m:r>
          <m:t>001</m:t>
        </m:r>
        <m:r>
          <m:rPr>
            <m:sty m:val="p"/>
          </m:rPr>
          <m:t>=</m:t>
        </m:r>
        <m:r>
          <m:t>0.20</m:t>
        </m:r>
      </m:oMath>
      <w:r>
        <w:t xml:space="preserve">.</w:t>
      </w:r>
    </w:p>
    <w:p>
      <w:pPr>
        <w:numPr>
          <w:ilvl w:val="0"/>
          <w:numId w:val="1729"/>
        </w:numPr>
        <w:pStyle w:val="Compact"/>
      </w:pPr>
      <w:r>
        <w:t xml:space="preserve">The client now drops 20% of new requests locally at zero network cost. If the backend recovers and accepts everything,</w:t>
      </w:r>
      <w:r>
        <w:t xml:space="preserve"> </w:t>
      </w:r>
      <m:oMath>
        <m:r>
          <m:rPr>
            <m:nor/>
            <m:sty m:val="p"/>
          </m:rPr>
          <m:t>requests</m:t>
        </m:r>
        <m:r>
          <m:rPr>
            <m:sty m:val="p"/>
          </m:rPr>
          <m:t>&lt;</m:t>
        </m:r>
        <m:r>
          <m:t>2</m:t>
        </m:r>
        <m:r>
          <m:rPr>
            <m:sty m:val="p"/>
          </m:rPr>
          <m:t>×</m:t>
        </m:r>
        <m:r>
          <m:rPr>
            <m:nor/>
            <m:sty m:val="p"/>
          </m:rPr>
          <m:t>accepts</m:t>
        </m:r>
      </m:oMath>
      <w:r>
        <w:t xml:space="preserve"> </w:t>
      </w:r>
      <w:r>
        <w:t xml:space="preserve">and</w:t>
      </w:r>
      <w:r>
        <w:t xml:space="preserve"> </w:t>
      </w:r>
      <m:oMath>
        <m:sSub>
          <m:e>
            <m:r>
              <m:t>P</m:t>
            </m:r>
          </m:e>
          <m:sub>
            <m:r>
              <m:rPr>
                <m:nor/>
                <m:sty m:val="p"/>
              </m:rPr>
              <m:t>reject</m:t>
            </m:r>
          </m:sub>
        </m:sSub>
      </m:oMath>
      <w:r>
        <w:t xml:space="preserve"> </w:t>
      </w:r>
      <w:r>
        <w:t xml:space="preserve">returns to 0.</w:t>
      </w:r>
    </w:p>
    <w:p>
      <w:pPr>
        <w:pStyle w:val="CalloutExample"/>
      </w:pPr>
      <w:r>
        <w:rPr>
          <w:bCs/>
          <w:b/>
        </w:rPr>
        <w:t xml:space="preserve">Interpretation.</w:t>
      </w:r>
      <w:r>
        <w:t xml:space="preserve"> </w:t>
      </w:r>
      <w:r>
        <w:t xml:space="preserve">The client sends about</w:t>
      </w:r>
      <w:r>
        <w:t xml:space="preserve"> </w:t>
      </w:r>
      <m:oMath>
        <m:r>
          <m:t>K</m:t>
        </m:r>
      </m:oMath>
      <w:r>
        <w:t xml:space="preserve"> </w:t>
      </w:r>
      <w:r>
        <w:t xml:space="preserve">times what the backend accepts, enough to detect recovery.</w:t>
      </w:r>
      <w:r>
        <w:t xml:space="preserve"> </w:t>
      </w:r>
      <w:r>
        <w:rPr>
          <w:bCs/>
          <w:b/>
        </w:rPr>
        <w:t xml:space="preserve">Engineering implication.</w:t>
      </w:r>
      <w:r>
        <w:t xml:space="preserve"> </w:t>
      </w:r>
      <w:r>
        <w:t xml:space="preserve">Lower</w:t>
      </w:r>
      <w:r>
        <w:t xml:space="preserve"> </w:t>
      </w:r>
      <m:oMath>
        <m:r>
          <m:t>K</m:t>
        </m:r>
      </m:oMath>
      <w:r>
        <w:t xml:space="preserve"> </w:t>
      </w:r>
      <w:r>
        <w:t xml:space="preserve">sheds harder but recovers slower;</w:t>
      </w:r>
      <w:r>
        <w:t xml:space="preserve"> </w:t>
      </w:r>
      <m:oMath>
        <m:r>
          <m:t>K</m:t>
        </m:r>
        <m:r>
          <m:rPr>
            <m:sty m:val="p"/>
          </m:rPr>
          <m:t>=</m:t>
        </m:r>
        <m:r>
          <m:t>2</m:t>
        </m:r>
      </m:oMath>
      <w:r>
        <w:t xml:space="preserve"> </w:t>
      </w:r>
      <w:r>
        <w:t xml:space="preserve">is a sensible default.</w:t>
      </w:r>
    </w:p>
    <w:bookmarkEnd w:id="2502"/>
    <w:bookmarkStart w:id="2506" w:name="X64f2c0a0c55392fb3f0e27d7dba4cfee6dfb439"/>
    <w:p>
      <w:pPr>
        <w:pStyle w:val="Heading3"/>
      </w:pPr>
      <w:r>
        <w:t xml:space="preserve">22.9.3 Controlling queue delay: CoDel and adaptive LIFO</w:t>
      </w:r>
    </w:p>
    <w:p>
      <w:pPr>
        <w:pStyle w:val="FirstParagraph"/>
      </w:pPr>
      <w:r>
        <w:t xml:space="preserve">Queue</w:t>
      </w:r>
      <w:r>
        <w:t xml:space="preserve"> </w:t>
      </w:r>
      <w:r>
        <w:rPr>
          <w:iCs/>
          <w:i/>
        </w:rPr>
        <w:t xml:space="preserve">length</w:t>
      </w:r>
      <w:r>
        <w:t xml:space="preserve"> </w:t>
      </w:r>
      <w:r>
        <w:t xml:space="preserve">is a poor overload signal; queue</w:t>
      </w:r>
      <w:r>
        <w:t xml:space="preserve"> </w:t>
      </w:r>
      <w:r>
        <w:rPr>
          <w:iCs/>
          <w:i/>
        </w:rPr>
        <w:t xml:space="preserve">delay</w:t>
      </w:r>
      <w:r>
        <w:t xml:space="preserve"> </w:t>
      </w:r>
      <w:r>
        <w:t xml:space="preserve">is better.</w:t>
      </w:r>
      <w:r>
        <w:t xml:space="preserve"> </w:t>
      </w:r>
      <w:r>
        <w:rPr>
          <w:bCs/>
          <w:b/>
        </w:rPr>
        <w:t xml:space="preserve">CoDel</w:t>
      </w:r>
      <w:r>
        <w:t xml:space="preserve"> </w:t>
      </w:r>
      <w:r>
        <w:t xml:space="preserve">(Controlled Delay), designed by Nichols and Jacobson for network routers, watches the time packets spend in the queue (their</w:t>
      </w:r>
      <w:r>
        <w:t xml:space="preserve"> </w:t>
      </w:r>
      <w:r>
        <w:rPr>
          <w:iCs/>
          <w:i/>
        </w:rPr>
        <w:t xml:space="preserve">sojourn time</w:t>
      </w:r>
      <w:r>
        <w:t xml:space="preserve">). If the</w:t>
      </w:r>
      <w:r>
        <w:t xml:space="preserve"> </w:t>
      </w:r>
      <w:r>
        <w:rPr>
          <w:iCs/>
          <w:i/>
        </w:rPr>
        <w:t xml:space="preserve">minimum</w:t>
      </w:r>
      <w:r>
        <w:t xml:space="preserve"> </w:t>
      </w:r>
      <w:r>
        <w:t xml:space="preserve">sojourn time over an interval (100 ms by default) stays above a target (5 ms), the queue is a standing queue rather than a passing burst, and CoDel starts dropping, with the gap between drops shrinking as</w:t>
      </w:r>
      <w:r>
        <w:t xml:space="preserve"> </w:t>
      </w:r>
      <m:oMath>
        <m:r>
          <m:rPr>
            <m:nor/>
            <m:sty m:val="p"/>
          </m:rPr>
          <m:t>interval</m:t>
        </m:r>
        <m:r>
          <m:rPr>
            <m:sty m:val="p"/>
          </m:rPr>
          <m:t>/</m:t>
        </m:r>
        <m:rad>
          <m:radPr>
            <m:degHide m:val="on"/>
          </m:radPr>
          <m:deg/>
          <m:e>
            <m:r>
              <m:t>n</m:t>
            </m:r>
          </m:e>
        </m:rad>
      </m:oMath>
      <w:r>
        <w:t xml:space="preserve"> </w:t>
      </w:r>
      <w:r>
        <w:t xml:space="preserve">for the</w:t>
      </w:r>
      <w:r>
        <w:t xml:space="preserve"> </w:t>
      </w:r>
      <m:oMath>
        <m:r>
          <m:t>n</m:t>
        </m:r>
      </m:oMath>
      <w:r>
        <w:t xml:space="preserve">-th drop: 100 ms, 70.7 ms, 57.7 ms, 50 ms, until the delay falls below target [Nichols and Jacobson 2012].</w:t>
      </w:r>
    </w:p>
    <w:p>
      <w:pPr>
        <w:pStyle w:val="BodyText"/>
      </w:pPr>
      <w:r>
        <w:t xml:space="preserve">Facebook adapted this to RPC queues with</w:t>
      </w:r>
      <w:r>
        <w:t xml:space="preserve"> </w:t>
      </w:r>
      <w:r>
        <w:rPr>
          <w:bCs/>
          <w:b/>
        </w:rPr>
        <w:t xml:space="preserve">adaptive LIFO</w:t>
      </w:r>
      <w:r>
        <w:t xml:space="preserve"> </w:t>
      </w:r>
      <w:r>
        <w:t xml:space="preserve">[Maurer 2015]: when the queue has not been empty for</w:t>
      </w:r>
      <w:r>
        <w:t xml:space="preserve"> </w:t>
      </w:r>
      <m:oMath>
        <m:r>
          <m:t>N</m:t>
        </m:r>
      </m:oMath>
      <w:r>
        <w:t xml:space="preserve"> </w:t>
      </w:r>
      <w:r>
        <w:t xml:space="preserve">ms (100 ms), requests may wait at most</w:t>
      </w:r>
      <w:r>
        <w:t xml:space="preserve"> </w:t>
      </w:r>
      <m:oMath>
        <m:r>
          <m:t>M</m:t>
        </m:r>
      </m:oMath>
      <w:r>
        <w:t xml:space="preserve"> </w:t>
      </w:r>
      <w:r>
        <w:t xml:space="preserve">ms (5 ms), and the queue switches to</w:t>
      </w:r>
      <w:r>
        <w:t xml:space="preserve"> </w:t>
      </w:r>
      <w:r>
        <w:rPr>
          <w:bCs/>
          <w:b/>
        </w:rPr>
        <w:t xml:space="preserve">LIFO</w:t>
      </w:r>
      <w:r>
        <w:t xml:space="preserve">, because the newest request’s client is the one most likely still waiting.</w:t>
      </w:r>
    </w:p>
    <w:p>
      <w:pPr>
        <w:pStyle w:val="BodyText"/>
      </w:pPr>
      <w:r>
        <w:rPr>
          <w:bCs/>
          <w:b/>
        </w:rPr>
        <w:t xml:space="preserve">Figure 22.8 — Overload control at a service: priority shedding and an adaptive queue.</w:t>
      </w:r>
    </w:p>
    <w:p>
      <w:pPr>
        <w:pStyle w:val="BodyText"/>
      </w:pPr>
      <w:r>
        <w:drawing>
          <wp:inline>
            <wp:extent cx="5334000" cy="1199971"/>
            <wp:effectExtent b="0" l="0" r="0" t="0"/>
            <wp:docPr descr="" title="" id="2504" name="Picture"/>
            <a:graphic>
              <a:graphicData uri="http://schemas.openxmlformats.org/drawingml/2006/picture">
                <pic:pic>
                  <pic:nvPicPr>
                    <pic:cNvPr descr="/home/user/System-Design/build/.cache/diagrams/9eccc905c408.png" id="2505" name="Picture"/>
                    <pic:cNvPicPr>
                      <a:picLocks noChangeArrowheads="1" noChangeAspect="1"/>
                    </pic:cNvPicPr>
                  </pic:nvPicPr>
                  <pic:blipFill>
                    <a:blip r:embed="rId2503"/>
                    <a:stretch>
                      <a:fillRect/>
                    </a:stretch>
                  </pic:blipFill>
                  <pic:spPr bwMode="auto">
                    <a:xfrm>
                      <a:off x="0" y="0"/>
                      <a:ext cx="5334000" cy="1199971"/>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Requests carry a criticality tag. Above a utilization threshold, sheddable requests get a fast 503 while critical ones are queued. The queue is FIFO while it drains regularly and LIFO with a 5 ms wait limit once it has stayed non-empty for 100 ms; requests over their limit are rejected. Workers call the data store synchronously. Failure points: tagging everything critical, or a threshold above where latency explodes. Scaling: all controls are per instance.</w:t>
      </w:r>
    </w:p>
    <w:p>
      <w:pPr>
        <w:pStyle w:val="CalloutMistake"/>
      </w:pPr>
      <w:r>
        <w:rPr>
          <w:bCs/>
          <w:b/>
        </w:rPr>
        <w:t xml:space="preserve">COMMON MISTAKE</w:t>
      </w:r>
    </w:p>
    <w:p>
      <w:pPr>
        <w:pStyle w:val="CalloutMistake"/>
      </w:pPr>
      <w:r>
        <w:rPr>
          <w:bCs/>
          <w:b/>
        </w:rPr>
        <w:t xml:space="preserve">Mistake —</w:t>
      </w:r>
      <w:r>
        <w:rPr>
          <w:bCs/>
          <w:b/>
        </w:rPr>
        <w:t xml:space="preserve"> </w:t>
      </w:r>
      <w:r>
        <w:rPr>
          <w:bCs/>
          <w:b/>
        </w:rPr>
        <w:t xml:space="preserve">“</w:t>
      </w:r>
      <w:r>
        <w:rPr>
          <w:bCs/>
          <w:b/>
        </w:rPr>
        <w:t xml:space="preserve">Autoscaling makes load shedding unnecessary.</w:t>
      </w:r>
      <w:r>
        <w:rPr>
          <w:bCs/>
          <w:b/>
        </w:rPr>
        <w:t xml:space="preserve">”</w:t>
      </w:r>
      <w:r>
        <w:t xml:space="preserve"> </w:t>
      </w:r>
      <w:r>
        <w:t xml:space="preserve">Instances take minutes to start; a queue passes client timeouts in seconds (§22.9.1). You need both.</w:t>
      </w:r>
    </w:p>
    <w:bookmarkEnd w:id="2506"/>
    <w:bookmarkEnd w:id="2507"/>
    <w:bookmarkStart w:id="2511" w:name="backpressure-1"/>
    <w:p>
      <w:pPr>
        <w:pStyle w:val="Heading2"/>
      </w:pPr>
      <w:r>
        <w:t xml:space="preserve">22.10 Backpressure</w:t>
      </w:r>
    </w:p>
    <w:p>
      <w:pPr>
        <w:pStyle w:val="CalloutDefinition"/>
      </w:pPr>
      <w:r>
        <w:rPr>
          <w:bCs/>
          <w:b/>
        </w:rPr>
        <w:t xml:space="preserve">DEFINITION</w:t>
      </w:r>
    </w:p>
    <w:p>
      <w:pPr>
        <w:pStyle w:val="CalloutDefinition"/>
      </w:pPr>
      <w:r>
        <w:rPr>
          <w:bCs/>
          <w:b/>
        </w:rPr>
        <w:t xml:space="preserve">Definition — Backpressure.</w:t>
      </w:r>
      <w:r>
        <w:t xml:space="preserve"> </w:t>
      </w:r>
      <w:r>
        <w:t xml:space="preserve">A flow-control mechanism in which a slower downstream component signals upstream components to reduce their sending rate, by blocking, by advertising available capacity, or by rejecting, so that work in progress stays bounded instead of piling up in unbounded buffers.</w:t>
      </w:r>
    </w:p>
    <w:p>
      <w:pPr>
        <w:pStyle w:val="BodyText"/>
      </w:pPr>
      <w:r>
        <w:t xml:space="preserve">When a packing station falls behind, the assembly line stops feeding it rather than heaping goods on the floor (an unbounded queue). Backpressure is that stop signal traveling upstream.</w:t>
      </w:r>
    </w:p>
    <w:p>
      <w:pPr>
        <w:pStyle w:val="BodyText"/>
      </w:pPr>
      <w:r>
        <w:t xml:space="preserve">TCP is the canonical example (§7.7.6): when the receiver stops reading, its advertised window drops to zero and the sender’s</w:t>
      </w:r>
      <w:r>
        <w:t xml:space="preserve"> </w:t>
      </w:r>
      <w:r>
        <w:rPr>
          <w:rStyle w:val="VerbatimChar"/>
        </w:rPr>
        <w:t xml:space="preserve">write()</w:t>
      </w:r>
      <w:r>
        <w:t xml:space="preserve"> </w:t>
      </w:r>
      <w:r>
        <w:t xml:space="preserve">blocks. Systems break the chain by inserting</w:t>
      </w:r>
      <w:r>
        <w:t xml:space="preserve"> </w:t>
      </w:r>
      <w:r>
        <w:rPr>
          <w:bCs/>
          <w:b/>
        </w:rPr>
        <w:t xml:space="preserve">unbounded</w:t>
      </w:r>
      <w:r>
        <w:t xml:space="preserve"> </w:t>
      </w:r>
      <w:r>
        <w:t xml:space="preserve">buffers (a list a handler appends to, a task per message), turning backpressure into memory growth and latency.</w:t>
      </w:r>
    </w:p>
    <w:p>
      <w:pPr>
        <w:pStyle w:val="BodyText"/>
      </w:pPr>
      <w:r>
        <w:t xml:space="preserve">Three rules give you backpressure at the application level:</w:t>
      </w:r>
    </w:p>
    <w:p>
      <w:pPr>
        <w:numPr>
          <w:ilvl w:val="0"/>
          <w:numId w:val="1730"/>
        </w:numPr>
        <w:pStyle w:val="Compact"/>
      </w:pPr>
      <w:r>
        <w:rPr>
          <w:bCs/>
          <w:b/>
        </w:rPr>
        <w:t xml:space="preserve">Bound every queue,</w:t>
      </w:r>
      <w:r>
        <w:t xml:space="preserve"> </w:t>
      </w:r>
      <w:r>
        <w:t xml:space="preserve">and size the bound from the latency you can tolerate, not from available memory (formula below).</w:t>
      </w:r>
    </w:p>
    <w:p>
      <w:pPr>
        <w:numPr>
          <w:ilvl w:val="0"/>
          <w:numId w:val="1730"/>
        </w:numPr>
        <w:pStyle w:val="Compact"/>
      </w:pPr>
      <w:r>
        <w:rPr>
          <w:bCs/>
          <w:b/>
        </w:rPr>
        <w:t xml:space="preserve">Decide what happens when it is full:</w:t>
      </w:r>
      <w:r>
        <w:t xml:space="preserve"> </w:t>
      </w:r>
      <w:r>
        <w:t xml:space="preserve">block the producer (pipelines inside one process), reject (request/response APIs: 503 or 429), or drop the oldest or least important (telemetry, video frames).</w:t>
      </w:r>
    </w:p>
    <w:p>
      <w:pPr>
        <w:numPr>
          <w:ilvl w:val="0"/>
          <w:numId w:val="1730"/>
        </w:numPr>
        <w:pStyle w:val="Compact"/>
      </w:pPr>
      <w:r>
        <w:rPr>
          <w:bCs/>
          <w:b/>
        </w:rPr>
        <w:t xml:space="preserve">Signal demand explicitly across asynchronous boundaries.</w:t>
      </w:r>
      <w:r>
        <w:t xml:space="preserve"> </w:t>
      </w:r>
      <w:r>
        <w:t xml:space="preserve">The</w:t>
      </w:r>
      <w:r>
        <w:t xml:space="preserve"> </w:t>
      </w:r>
      <w:r>
        <w:rPr>
          <w:bCs/>
          <w:b/>
        </w:rPr>
        <w:t xml:space="preserve">Reactive Streams</w:t>
      </w:r>
      <w:r>
        <w:t xml:space="preserve"> </w:t>
      </w:r>
      <w:r>
        <w:t xml:space="preserve">specification standardizes this for asynchronous stream libraries on the JVM: a subscriber calls</w:t>
      </w:r>
      <w:r>
        <w:t xml:space="preserve"> </w:t>
      </w:r>
      <w:r>
        <w:rPr>
          <w:rStyle w:val="VerbatimChar"/>
        </w:rPr>
        <w:t xml:space="preserve">request(n)</w:t>
      </w:r>
      <w:r>
        <w:t xml:space="preserve"> </w:t>
      </w:r>
      <w:r>
        <w:t xml:space="preserve">to say it can accept</w:t>
      </w:r>
      <w:r>
        <w:t xml:space="preserve"> </w:t>
      </w:r>
      <m:oMath>
        <m:r>
          <m:t>n</m:t>
        </m:r>
      </m:oMath>
      <w:r>
        <w:t xml:space="preserve"> </w:t>
      </w:r>
      <w:r>
        <w:t xml:space="preserve">more items, and a publisher may never send more than has been requested [Reactive Streams 2015]. Java 9’s</w:t>
      </w:r>
      <w:r>
        <w:t xml:space="preserve"> </w:t>
      </w:r>
      <w:r>
        <w:rPr>
          <w:rStyle w:val="VerbatimChar"/>
        </w:rPr>
        <w:t xml:space="preserve">java.util.concurrent.Flow</w:t>
      </w:r>
      <w:r>
        <w:t xml:space="preserve"> </w:t>
      </w:r>
      <w:r>
        <w:t xml:space="preserve">adopted the same interfaces, and gRPC and HTTP/2 use per-stream flow-control windows for the same purpose.</w:t>
      </w:r>
    </w:p>
    <w:p>
      <w:pPr>
        <w:pStyle w:val="FirstParagraph"/>
      </w:pPr>
      <w:r>
        <w:rPr>
          <w:bCs/>
          <w:b/>
        </w:rPr>
        <w:t xml:space="preserve">Figure 22.9 — Backpressure through a processing pipeline.</w:t>
      </w:r>
    </w:p>
    <w:p>
      <w:pPr>
        <w:pStyle w:val="BodyText"/>
      </w:pPr>
      <w:r>
        <w:drawing>
          <wp:inline>
            <wp:extent cx="5334000" cy="451371"/>
            <wp:effectExtent b="0" l="0" r="0" t="0"/>
            <wp:docPr descr="" title="" id="2509" name="Picture"/>
            <a:graphic>
              <a:graphicData uri="http://schemas.openxmlformats.org/drawingml/2006/picture">
                <pic:pic>
                  <pic:nvPicPr>
                    <pic:cNvPr descr="/home/user/System-Design/build/.cache/diagrams/a04b4cffdd20.png" id="2510" name="Picture"/>
                    <pic:cNvPicPr>
                      <a:picLocks noChangeArrowheads="1" noChangeAspect="1"/>
                    </pic:cNvPicPr>
                  </pic:nvPicPr>
                  <pic:blipFill>
                    <a:blip r:embed="rId2508"/>
                    <a:stretch>
                      <a:fillRect/>
                    </a:stretch>
                  </pic:blipFill>
                  <pic:spPr bwMode="auto">
                    <a:xfrm>
                      <a:off x="0" y="0"/>
                      <a:ext cx="5334000" cy="451371"/>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Items flow left to right through bounded in-memory buffers (100 items) to a sink that writes to a database. Demand flows right to left as asynchronous</w:t>
      </w:r>
      <w:r>
        <w:t xml:space="preserve"> </w:t>
      </w:r>
      <w:r>
        <w:rPr>
          <w:rStyle w:val="VerbatimChar"/>
        </w:rPr>
        <w:t xml:space="preserve">request(n)</w:t>
      </w:r>
      <w:r>
        <w:t xml:space="preserve"> </w:t>
      </w:r>
      <w:r>
        <w:t xml:space="preserve">signals (dotted). If the database slows, the sink requests less, buffers fill, and the producer stops being asked, so at most about 200 items are in flight. Failure point: any component accepting data without demand. Scaling: add parallel sinks; demand rises automatically.</w:t>
      </w:r>
    </w:p>
    <w:p>
      <w:pPr>
        <w:pStyle w:val="CalloutFormula"/>
      </w:pPr>
      <w:r>
        <w:rPr>
          <w:bCs/>
          <w:b/>
        </w:rPr>
        <w:t xml:space="preserve">FORMULA</w:t>
      </w:r>
    </w:p>
    <w:p>
      <w:pPr>
        <w:pStyle w:val="CalloutFormula"/>
      </w:pPr>
      <w:r>
        <w:rPr>
          <w:bCs/>
          <w:b/>
        </w:rPr>
        <w:t xml:space="preserve">Bounding a queue by time (Little’s Law)</w:t>
      </w:r>
    </w:p>
    <w:p>
      <w:pPr>
        <w:pStyle w:val="CalloutFormula"/>
      </w:pPr>
      <m:oMathPara>
        <m:oMathParaPr>
          <m:jc m:val="center"/>
        </m:oMathParaPr>
        <m:oMath>
          <m:sSub>
            <m:e>
              <m:r>
                <m:t>Q</m:t>
              </m:r>
            </m:e>
            <m:sub>
              <m:r>
                <m:rPr>
                  <m:sty m:val="p"/>
                </m:rPr>
                <m:t>max</m:t>
              </m:r>
            </m:sub>
          </m:sSub>
          <m:r>
            <m:rPr>
              <m:sty m:val="p"/>
            </m:rPr>
            <m:t>=</m:t>
          </m:r>
          <m:r>
            <m:t>μ</m:t>
          </m:r>
          <m:r>
            <m:rPr>
              <m:sty m:val="p"/>
            </m:rPr>
            <m:t>×</m:t>
          </m:r>
          <m:sSub>
            <m:e>
              <m:r>
                <m:t>D</m:t>
              </m:r>
            </m:e>
            <m:sub>
              <m:r>
                <m:rPr>
                  <m:nor/>
                  <m:sty m:val="p"/>
                </m:rPr>
                <m:t>queue</m:t>
              </m:r>
            </m:sub>
          </m:sSub>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Q</m:t>
                  </m:r>
                </m:e>
                <m:sub>
                  <m:r>
                    <m:rPr>
                      <m:sty m:val="p"/>
                    </m:rPr>
                    <m:t>max</m:t>
                  </m:r>
                </m:sub>
              </m:sSub>
            </m:oMath>
          </w:p>
        </w:tc>
        <w:tc>
          <w:tcPr/>
          <w:p>
            <w:pPr>
              <w:pStyle w:val="Compact"/>
              <w:jc w:val="left"/>
            </w:pPr>
            <w:r>
              <w:t xml:space="preserve">Maximum queue length</w:t>
            </w:r>
          </w:p>
        </w:tc>
        <w:tc>
          <w:tcPr/>
          <w:p>
            <w:pPr>
              <w:pStyle w:val="Compact"/>
              <w:jc w:val="left"/>
            </w:pPr>
            <w:r>
              <w:t xml:space="preserve">items</w:t>
            </w:r>
          </w:p>
        </w:tc>
      </w:tr>
      <w:tr>
        <w:tc>
          <w:tcPr/>
          <w:p>
            <w:pPr>
              <w:pStyle w:val="Compact"/>
              <w:jc w:val="left"/>
            </w:pPr>
            <m:oMath>
              <m:r>
                <m:t>μ</m:t>
              </m:r>
            </m:oMath>
          </w:p>
        </w:tc>
        <w:tc>
          <w:tcPr/>
          <w:p>
            <w:pPr>
              <w:pStyle w:val="Compact"/>
              <w:jc w:val="left"/>
            </w:pPr>
            <w:r>
              <w:t xml:space="preserve">Rate at which the consumer drains the queue</w:t>
            </w:r>
          </w:p>
        </w:tc>
        <w:tc>
          <w:tcPr/>
          <w:p>
            <w:pPr>
              <w:pStyle w:val="Compact"/>
              <w:jc w:val="left"/>
            </w:pPr>
            <w:r>
              <w:t xml:space="preserve">items/s</w:t>
            </w:r>
          </w:p>
        </w:tc>
      </w:tr>
      <w:tr>
        <w:tc>
          <w:tcPr/>
          <w:p>
            <w:pPr>
              <w:pStyle w:val="Compact"/>
              <w:jc w:val="left"/>
            </w:pPr>
            <m:oMath>
              <m:sSub>
                <m:e>
                  <m:r>
                    <m:t>D</m:t>
                  </m:r>
                </m:e>
                <m:sub>
                  <m:r>
                    <m:rPr>
                      <m:nor/>
                      <m:sty m:val="p"/>
                    </m:rPr>
                    <m:t>queue</m:t>
                  </m:r>
                </m:sub>
              </m:sSub>
            </m:oMath>
          </w:p>
        </w:tc>
        <w:tc>
          <w:tcPr/>
          <w:p>
            <w:pPr>
              <w:pStyle w:val="Compact"/>
              <w:jc w:val="left"/>
            </w:pPr>
            <w:r>
              <w:t xml:space="preserve">Maximum acceptable time an item may wait in the queue</w:t>
            </w:r>
          </w:p>
        </w:tc>
        <w:tc>
          <w:tcPr/>
          <w:p>
            <w:pPr>
              <w:pStyle w:val="Compact"/>
              <w:jc w:val="left"/>
            </w:pPr>
            <w:r>
              <w:t xml:space="preserve">s</w:t>
            </w:r>
          </w:p>
        </w:tc>
      </w:tr>
    </w:tbl>
    <w:p>
      <w:pPr>
        <w:pStyle w:val="CalloutExample"/>
      </w:pPr>
      <w:r>
        <w:rPr>
          <w:bCs/>
          <w:b/>
        </w:rPr>
        <w:t xml:space="preserve">WORKED EXAMPLE</w:t>
      </w:r>
    </w:p>
    <w:p>
      <w:pPr>
        <w:pStyle w:val="CalloutExample"/>
      </w:pPr>
      <w:r>
        <w:rPr>
          <w:bCs/>
          <w:b/>
        </w:rPr>
        <w:t xml:space="preserve">Worked example — Sizing the upload service’s request queue.</w:t>
      </w:r>
      <w:r>
        <w:t xml:space="preserve"> </w:t>
      </w:r>
      <w:r>
        <w:t xml:space="preserve">Consider a single upload cell (half the fleet of §22.9’s example) whose workers complete</w:t>
      </w:r>
      <w:r>
        <w:t xml:space="preserve"> </w:t>
      </w:r>
      <m:oMath>
        <m:r>
          <m:t>μ</m:t>
        </m:r>
        <m:r>
          <m:rPr>
            <m:sty m:val="p"/>
          </m:rPr>
          <m:t>=</m:t>
        </m:r>
        <m:r>
          <m:t>500</m:t>
        </m:r>
      </m:oMath>
      <w:r>
        <w:t xml:space="preserve"> </w:t>
      </w:r>
      <w:r>
        <w:t xml:space="preserve">requests/s; the gateway’s timeout leaves at most 200 ms for queueing.</w:t>
      </w:r>
    </w:p>
    <w:p>
      <w:pPr>
        <w:numPr>
          <w:ilvl w:val="0"/>
          <w:numId w:val="1731"/>
        </w:numPr>
        <w:pStyle w:val="Compact"/>
      </w:pPr>
      <m:oMath>
        <m:sSub>
          <m:e>
            <m:r>
              <m:t>Q</m:t>
            </m:r>
          </m:e>
          <m:sub>
            <m:r>
              <m:rPr>
                <m:sty m:val="p"/>
              </m:rPr>
              <m:t>max</m:t>
            </m:r>
          </m:sub>
        </m:sSub>
        <m:r>
          <m:rPr>
            <m:sty m:val="p"/>
          </m:rPr>
          <m:t>=</m:t>
        </m:r>
        <m:r>
          <m:t>500</m:t>
        </m:r>
        <m:r>
          <m:rPr>
            <m:sty m:val="p"/>
          </m:rPr>
          <m:t>×</m:t>
        </m:r>
        <m:r>
          <m:t>0.2</m:t>
        </m:r>
        <m:r>
          <m:rPr>
            <m:sty m:val="p"/>
          </m:rPr>
          <m:t>=</m:t>
        </m:r>
        <m:r>
          <m:t>100</m:t>
        </m:r>
      </m:oMath>
      <w:r>
        <w:t xml:space="preserve"> </w:t>
      </w:r>
      <w:r>
        <w:t xml:space="preserve">requests.</w:t>
      </w:r>
    </w:p>
    <w:p>
      <w:pPr>
        <w:numPr>
          <w:ilvl w:val="0"/>
          <w:numId w:val="1731"/>
        </w:numPr>
        <w:pStyle w:val="Compact"/>
      </w:pPr>
      <w:r>
        <w:t xml:space="preserve">A request arriving behind 100 others waits</w:t>
      </w:r>
      <w:r>
        <w:t xml:space="preserve"> </w:t>
      </w:r>
      <m:oMath>
        <m:r>
          <m:t>100</m:t>
        </m:r>
        <m:r>
          <m:rPr>
            <m:sty m:val="p"/>
          </m:rPr>
          <m:t>/</m:t>
        </m:r>
        <m:r>
          <m:t>500</m:t>
        </m:r>
        <m:r>
          <m:rPr>
            <m:sty m:val="p"/>
          </m:rPr>
          <m:t>=</m:t>
        </m:r>
        <m:r>
          <m:t>0.2</m:t>
        </m:r>
      </m:oMath>
      <w:r>
        <w:t xml:space="preserve"> </w:t>
      </w:r>
      <w:r>
        <w:t xml:space="preserve">s, the full budget; request 101 should be rejected immediately rather than queued to time out.</w:t>
      </w:r>
    </w:p>
    <w:p>
      <w:pPr>
        <w:numPr>
          <w:ilvl w:val="0"/>
          <w:numId w:val="1731"/>
        </w:numPr>
        <w:pStyle w:val="Compact"/>
      </w:pPr>
      <w:r>
        <w:t xml:space="preserve">If workers slow to</w:t>
      </w:r>
      <w:r>
        <w:t xml:space="preserve"> </w:t>
      </w:r>
      <m:oMath>
        <m:r>
          <m:t>μ</m:t>
        </m:r>
        <m:r>
          <m:rPr>
            <m:sty m:val="p"/>
          </m:rPr>
          <m:t>=</m:t>
        </m:r>
        <m:r>
          <m:t>250</m:t>
        </m:r>
      </m:oMath>
      <w:r>
        <w:t xml:space="preserve">/s (a slow database), the same 100-item queue now means 400 ms of waiting. Bound queues by</w:t>
      </w:r>
      <w:r>
        <w:t xml:space="preserve"> </w:t>
      </w:r>
      <w:r>
        <w:rPr>
          <w:iCs/>
          <w:i/>
        </w:rPr>
        <w:t xml:space="preserve">measured wait time</w:t>
      </w:r>
      <w:r>
        <w:t xml:space="preserve"> </w:t>
      </w:r>
      <w:r>
        <w:t xml:space="preserve">(as CoDel does) rather than by item count when service time varies.</w:t>
      </w:r>
    </w:p>
    <w:p>
      <w:pPr>
        <w:pStyle w:val="CalloutExample"/>
      </w:pPr>
      <w:r>
        <w:rPr>
          <w:bCs/>
          <w:b/>
        </w:rPr>
        <w:t xml:space="preserve">Interpretation.</w:t>
      </w:r>
      <w:r>
        <w:t xml:space="preserve"> </w:t>
      </w:r>
      <w:r>
        <w:t xml:space="preserve">A queue longer than</w:t>
      </w:r>
      <w:r>
        <w:t xml:space="preserve"> </w:t>
      </w:r>
      <m:oMath>
        <m:r>
          <m:t>μ</m:t>
        </m:r>
        <m:r>
          <m:rPr>
            <m:sty m:val="p"/>
          </m:rPr>
          <m:t>×</m:t>
        </m:r>
      </m:oMath>
      <w:r>
        <w:t xml:space="preserve"> </w:t>
      </w:r>
      <w:r>
        <w:t xml:space="preserve">timeout holds only doomed requests.</w:t>
      </w:r>
      <w:r>
        <w:t xml:space="preserve"> </w:t>
      </w:r>
      <w:r>
        <w:rPr>
          <w:bCs/>
          <w:b/>
        </w:rPr>
        <w:t xml:space="preserve">Engineering implication.</w:t>
      </w:r>
      <w:r>
        <w:t xml:space="preserve"> </w:t>
      </w:r>
      <w:r>
        <w:t xml:space="preserve">Framework default queue sizes are usually far too large for interactive services.</w:t>
      </w:r>
    </w:p>
    <w:bookmarkEnd w:id="2511"/>
    <w:bookmarkStart w:id="2515" w:name="timeouts-and-deadlines"/>
    <w:p>
      <w:pPr>
        <w:pStyle w:val="Heading2"/>
      </w:pPr>
      <w:r>
        <w:t xml:space="preserve">22.11 Timeouts and deadlines</w:t>
      </w:r>
    </w:p>
    <w:p>
      <w:pPr>
        <w:pStyle w:val="CalloutDefinition"/>
      </w:pPr>
      <w:r>
        <w:rPr>
          <w:bCs/>
          <w:b/>
        </w:rPr>
        <w:t xml:space="preserve">DEFINITION</w:t>
      </w:r>
    </w:p>
    <w:p>
      <w:pPr>
        <w:pStyle w:val="CalloutDefinition"/>
      </w:pPr>
      <w:r>
        <w:rPr>
          <w:bCs/>
          <w:b/>
        </w:rPr>
        <w:t xml:space="preserve">Definition — Timeout and deadline.</w:t>
      </w:r>
      <w:r>
        <w:t xml:space="preserve"> </w:t>
      </w:r>
      <w:r>
        <w:t xml:space="preserve">A</w:t>
      </w:r>
      <w:r>
        <w:t xml:space="preserve"> </w:t>
      </w:r>
      <w:r>
        <w:rPr>
          <w:bCs/>
          <w:b/>
        </w:rPr>
        <w:t xml:space="preserve">timeout</w:t>
      </w:r>
      <w:r>
        <w:t xml:space="preserve"> </w:t>
      </w:r>
      <w:r>
        <w:t xml:space="preserve">is a relative duration after which a caller stops waiting for one operation (for example 300 ms). A</w:t>
      </w:r>
      <w:r>
        <w:t xml:space="preserve"> </w:t>
      </w:r>
      <w:r>
        <w:rPr>
          <w:bCs/>
          <w:b/>
        </w:rPr>
        <w:t xml:space="preserve">deadline</w:t>
      </w:r>
      <w:r>
        <w:t xml:space="preserve"> </w:t>
      </w:r>
      <w:r>
        <w:t xml:space="preserve">is an absolute point in time by which the</w:t>
      </w:r>
      <w:r>
        <w:t xml:space="preserve"> </w:t>
      </w:r>
      <w:r>
        <w:rPr>
          <w:iCs/>
          <w:i/>
        </w:rPr>
        <w:t xml:space="preserve">whole</w:t>
      </w:r>
      <w:r>
        <w:t xml:space="preserve"> </w:t>
      </w:r>
      <w:r>
        <w:t xml:space="preserve">request must complete; it is passed along the call chain so that every downstream call knows how much time remains.</w:t>
      </w:r>
    </w:p>
    <w:p>
      <w:pPr>
        <w:pStyle w:val="BodyText"/>
      </w:pPr>
      <w:r>
        <w:t xml:space="preserve">Without a timeout, a caller waits forever on a hung dependency, holding a thread and a connection; by Little’s Law (§4.11) held resources grow until the caller itself stops. Every network call needs connect and request timeouts.</w:t>
      </w:r>
    </w:p>
    <w:p>
      <w:pPr>
        <w:pStyle w:val="BodyText"/>
      </w:pPr>
      <w:r>
        <w:rPr>
          <w:bCs/>
          <w:b/>
        </w:rPr>
        <w:t xml:space="preserve">Choosing a timeout.</w:t>
      </w:r>
      <w:r>
        <w:t xml:space="preserve"> </w:t>
      </w:r>
      <w:r>
        <w:t xml:space="preserve">Set it from the dependency’s measured latency distribution, not from intuition. The AWS Builders’ Library recommends choosing an acceptable rate of false timeouts (for example 0.1%) and using the corresponding latency percentile (p99.9) of the downstream service, plus padding for network variance [Brooker: timeouts and retries].</w:t>
      </w:r>
    </w:p>
    <w:p>
      <w:pPr>
        <w:pStyle w:val="BodyText"/>
      </w:pPr>
      <w:r>
        <w:rPr>
          <w:bCs/>
          <w:b/>
        </w:rPr>
        <w:t xml:space="preserve">Why deadlines must propagate.</w:t>
      </w:r>
      <w:r>
        <w:t xml:space="preserve"> </w:t>
      </w:r>
      <w:r>
        <w:t xml:space="preserve">Suppose each hop independently uses a 1 s timeout. The user’s app gives up after 1 s, but a service three hops down started 600 ms late and keeps working for its full second, then the database query beneath it keeps running too. All of that work is wasted. With</w:t>
      </w:r>
      <w:r>
        <w:t xml:space="preserve"> </w:t>
      </w:r>
      <w:r>
        <w:rPr>
          <w:bCs/>
          <w:b/>
        </w:rPr>
        <w:t xml:space="preserve">deadline propagation</w:t>
      </w:r>
      <w:r>
        <w:t xml:space="preserve">, the edge sets an absolute deadline and each hop passes the</w:t>
      </w:r>
      <w:r>
        <w:t xml:space="preserve"> </w:t>
      </w:r>
      <w:r>
        <w:rPr>
          <w:iCs/>
          <w:i/>
        </w:rPr>
        <w:t xml:space="preserve">remaining</w:t>
      </w:r>
      <w:r>
        <w:t xml:space="preserve"> </w:t>
      </w:r>
      <w:r>
        <w:t xml:space="preserve">time downstream; gRPC does this automatically, sending the remaining time in the</w:t>
      </w:r>
      <w:r>
        <w:t xml:space="preserve"> </w:t>
      </w:r>
      <w:r>
        <w:rPr>
          <w:rStyle w:val="VerbatimChar"/>
        </w:rPr>
        <w:t xml:space="preserve">grpc-timeout</w:t>
      </w:r>
      <w:r>
        <w:t xml:space="preserve"> </w:t>
      </w:r>
      <w:r>
        <w:t xml:space="preserve">header and failing calls with</w:t>
      </w:r>
      <w:r>
        <w:t xml:space="preserve"> </w:t>
      </w:r>
      <w:r>
        <w:rPr>
          <w:rStyle w:val="VerbatimChar"/>
        </w:rPr>
        <w:t xml:space="preserve">DEADLINE_EXCEEDED</w:t>
      </w:r>
      <w:r>
        <w:t xml:space="preserve"> </w:t>
      </w:r>
      <w:r>
        <w:t xml:space="preserve">once it passes [gRPC Docs: deadlines]. Over HTTP you carry it in a header of your own. Each service should check the remaining budget before starting expensive work and refuse work it cannot finish in time [Beyer et al. 2016, ch. 22].</w:t>
      </w:r>
    </w:p>
    <w:p>
      <w:pPr>
        <w:pStyle w:val="CalloutFormula"/>
      </w:pPr>
      <w:r>
        <w:rPr>
          <w:bCs/>
          <w:b/>
        </w:rPr>
        <w:t xml:space="preserve">FORMULA</w:t>
      </w:r>
    </w:p>
    <w:p>
      <w:pPr>
        <w:pStyle w:val="CalloutFormula"/>
      </w:pPr>
      <w:r>
        <w:rPr>
          <w:bCs/>
          <w:b/>
        </w:rPr>
        <w:t xml:space="preserve">Timeout budget along a call chain</w:t>
      </w:r>
    </w:p>
    <w:p>
      <w:pPr>
        <w:pStyle w:val="CalloutFormula"/>
      </w:pPr>
      <m:oMathPara>
        <m:oMathParaPr>
          <m:jc m:val="center"/>
        </m:oMathParaPr>
        <m:oMath>
          <m:sSub>
            <m:e>
              <m:r>
                <m:t>B</m:t>
              </m:r>
            </m:e>
            <m:sub>
              <m:r>
                <m:t>i</m:t>
              </m:r>
              <m:r>
                <m:rPr>
                  <m:sty m:val="p"/>
                </m:rPr>
                <m:t>+</m:t>
              </m:r>
              <m:r>
                <m:t>1</m:t>
              </m:r>
            </m:sub>
          </m:sSub>
          <m:r>
            <m:rPr>
              <m:sty m:val="p"/>
            </m:rPr>
            <m:t>=</m:t>
          </m:r>
          <m:sSub>
            <m:e>
              <m:r>
                <m:t>B</m:t>
              </m:r>
            </m:e>
            <m:sub>
              <m:r>
                <m:t>i</m:t>
              </m:r>
            </m:sub>
          </m:sSub>
          <m:r>
            <m:rPr>
              <m:sty m:val="p"/>
            </m:rPr>
            <m:t>−</m:t>
          </m:r>
          <m:sSub>
            <m:e>
              <m:r>
                <m:t>e</m:t>
              </m:r>
            </m:e>
            <m:sub>
              <m:r>
                <m:t>i</m:t>
              </m:r>
            </m:sub>
          </m:sSub>
          <m:r>
            <m:rPr>
              <m:sty m:val="p"/>
            </m:rPr>
            <m:t>−</m:t>
          </m:r>
          <m:sSub>
            <m:e>
              <m:r>
                <m:t>m</m:t>
              </m:r>
            </m:e>
            <m:sub>
              <m:r>
                <m:t>i</m:t>
              </m:r>
            </m:sub>
          </m:sSub>
          <m:r>
            <m:rPr>
              <m:sty m:val="p"/>
            </m:rPr>
            <m:t>,</m:t>
          </m:r>
          <m:r>
            <m:t>  </m:t>
          </m:r>
          <m:r>
            <m:rPr>
              <m:nor/>
              <m:sty m:val="p"/>
            </m:rPr>
            <m:t>start the call only if </m:t>
          </m:r>
          <m:sSub>
            <m:e>
              <m:r>
                <m:t>B</m:t>
              </m:r>
            </m:e>
            <m:sub>
              <m:r>
                <m:t>i</m:t>
              </m:r>
              <m:r>
                <m:rPr>
                  <m:sty m:val="p"/>
                </m:rPr>
                <m:t>+</m:t>
              </m:r>
              <m:r>
                <m:t>1</m:t>
              </m:r>
            </m:sub>
          </m:sSub>
          <m:r>
            <m:rPr>
              <m:sty m:val="p"/>
            </m:rPr>
            <m:t>&gt;</m:t>
          </m:r>
          <m:sSub>
            <m:e>
              <m:acc>
                <m:accPr>
                  <m:chr m:val="̂"/>
                </m:accPr>
                <m:e>
                  <m:r>
                    <m:t>s</m:t>
                  </m:r>
                </m:e>
              </m:acc>
            </m:e>
            <m:sub>
              <m:r>
                <m:t>i</m:t>
              </m:r>
              <m:r>
                <m:rPr>
                  <m:sty m:val="p"/>
                </m:rPr>
                <m:t>+</m:t>
              </m:r>
              <m:r>
                <m:t>1</m:t>
              </m:r>
            </m:sub>
          </m:sSub>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B</m:t>
                  </m:r>
                </m:e>
                <m:sub>
                  <m:r>
                    <m:t>i</m:t>
                  </m:r>
                </m:sub>
              </m:sSub>
            </m:oMath>
          </w:p>
        </w:tc>
        <w:tc>
          <w:tcPr/>
          <w:p>
            <w:pPr>
              <w:pStyle w:val="Compact"/>
              <w:jc w:val="left"/>
            </w:pPr>
            <w:r>
              <w:t xml:space="preserve">Remaining budget when hop</w:t>
            </w:r>
            <w:r>
              <w:t xml:space="preserve"> </w:t>
            </w:r>
            <m:oMath>
              <m:r>
                <m:t>i</m:t>
              </m:r>
            </m:oMath>
            <w:r>
              <w:t xml:space="preserve"> </w:t>
            </w:r>
            <w:r>
              <w:t xml:space="preserve">receives the request</w:t>
            </w:r>
          </w:p>
        </w:tc>
        <w:tc>
          <w:tcPr/>
          <w:p>
            <w:pPr>
              <w:pStyle w:val="Compact"/>
              <w:jc w:val="left"/>
            </w:pPr>
            <w:r>
              <w:t xml:space="preserve">ms</w:t>
            </w:r>
          </w:p>
        </w:tc>
      </w:tr>
      <w:tr>
        <w:tc>
          <w:tcPr/>
          <w:p>
            <w:pPr>
              <w:pStyle w:val="Compact"/>
              <w:jc w:val="left"/>
            </w:pPr>
            <m:oMath>
              <m:sSub>
                <m:e>
                  <m:r>
                    <m:t>e</m:t>
                  </m:r>
                </m:e>
                <m:sub>
                  <m:r>
                    <m:t>i</m:t>
                  </m:r>
                </m:sub>
              </m:sSub>
            </m:oMath>
          </w:p>
        </w:tc>
        <w:tc>
          <w:tcPr/>
          <w:p>
            <w:pPr>
              <w:pStyle w:val="Compact"/>
              <w:jc w:val="left"/>
            </w:pPr>
            <w:r>
              <w:t xml:space="preserve">Time hop</w:t>
            </w:r>
            <w:r>
              <w:t xml:space="preserve"> </w:t>
            </w:r>
            <m:oMath>
              <m:r>
                <m:t>i</m:t>
              </m:r>
            </m:oMath>
            <w:r>
              <w:t xml:space="preserve"> </w:t>
            </w:r>
            <w:r>
              <w:t xml:space="preserve">spends before calling hop</w:t>
            </w:r>
            <w:r>
              <w:t xml:space="preserve"> </w:t>
            </w:r>
            <m:oMath>
              <m:r>
                <m:t>i</m:t>
              </m:r>
              <m:r>
                <m:rPr>
                  <m:sty m:val="p"/>
                </m:rPr>
                <m:t>+</m:t>
              </m:r>
              <m:r>
                <m:t>1</m:t>
              </m:r>
            </m:oMath>
            <w:r>
              <w:t xml:space="preserve"> </w:t>
            </w:r>
            <w:r>
              <w:t xml:space="preserve">(local work, earlier calls)</w:t>
            </w:r>
          </w:p>
        </w:tc>
        <w:tc>
          <w:tcPr/>
          <w:p>
            <w:pPr>
              <w:pStyle w:val="Compact"/>
              <w:jc w:val="left"/>
            </w:pPr>
            <w:r>
              <w:t xml:space="preserve">ms</w:t>
            </w:r>
          </w:p>
        </w:tc>
      </w:tr>
      <w:tr>
        <w:tc>
          <w:tcPr/>
          <w:p>
            <w:pPr>
              <w:pStyle w:val="Compact"/>
              <w:jc w:val="left"/>
            </w:pPr>
            <m:oMath>
              <m:sSub>
                <m:e>
                  <m:r>
                    <m:t>m</m:t>
                  </m:r>
                </m:e>
                <m:sub>
                  <m:r>
                    <m:t>i</m:t>
                  </m:r>
                </m:sub>
              </m:sSub>
            </m:oMath>
          </w:p>
        </w:tc>
        <w:tc>
          <w:tcPr/>
          <w:p>
            <w:pPr>
              <w:pStyle w:val="Compact"/>
              <w:jc w:val="left"/>
            </w:pPr>
            <w:r>
              <w:t xml:space="preserve">Margin hop</w:t>
            </w:r>
            <w:r>
              <w:t xml:space="preserve"> </w:t>
            </w:r>
            <m:oMath>
              <m:r>
                <m:t>i</m:t>
              </m:r>
            </m:oMath>
            <w:r>
              <w:t xml:space="preserve"> </w:t>
            </w:r>
            <w:r>
              <w:t xml:space="preserve">reserves to build and return its own response</w:t>
            </w:r>
          </w:p>
        </w:tc>
        <w:tc>
          <w:tcPr/>
          <w:p>
            <w:pPr>
              <w:pStyle w:val="Compact"/>
              <w:jc w:val="left"/>
            </w:pPr>
            <w:r>
              <w:t xml:space="preserve">ms</w:t>
            </w:r>
          </w:p>
        </w:tc>
      </w:tr>
      <w:tr>
        <w:tc>
          <w:tcPr/>
          <w:p>
            <w:pPr>
              <w:pStyle w:val="Compact"/>
              <w:jc w:val="left"/>
            </w:pPr>
            <m:oMath>
              <m:sSub>
                <m:e>
                  <m:r>
                    <m:t>B</m:t>
                  </m:r>
                </m:e>
                <m:sub>
                  <m:r>
                    <m:t>i</m:t>
                  </m:r>
                  <m:r>
                    <m:rPr>
                      <m:sty m:val="p"/>
                    </m:rPr>
                    <m:t>+</m:t>
                  </m:r>
                  <m:r>
                    <m:t>1</m:t>
                  </m:r>
                </m:sub>
              </m:sSub>
            </m:oMath>
          </w:p>
        </w:tc>
        <w:tc>
          <w:tcPr/>
          <w:p>
            <w:pPr>
              <w:pStyle w:val="Compact"/>
              <w:jc w:val="left"/>
            </w:pPr>
            <w:r>
              <w:t xml:space="preserve">Budget passed to hop</w:t>
            </w:r>
            <w:r>
              <w:t xml:space="preserve"> </w:t>
            </w:r>
            <m:oMath>
              <m:r>
                <m:t>i</m:t>
              </m:r>
              <m:r>
                <m:rPr>
                  <m:sty m:val="p"/>
                </m:rPr>
                <m:t>+</m:t>
              </m:r>
              <m:r>
                <m:t>1</m:t>
              </m:r>
            </m:oMath>
          </w:p>
        </w:tc>
        <w:tc>
          <w:tcPr/>
          <w:p>
            <w:pPr>
              <w:pStyle w:val="Compact"/>
              <w:jc w:val="left"/>
            </w:pPr>
            <w:r>
              <w:t xml:space="preserve">ms</w:t>
            </w:r>
          </w:p>
        </w:tc>
      </w:tr>
      <w:tr>
        <w:tc>
          <w:tcPr/>
          <w:p>
            <w:pPr>
              <w:pStyle w:val="Compact"/>
              <w:jc w:val="left"/>
            </w:pPr>
            <m:oMath>
              <m:sSub>
                <m:e>
                  <m:acc>
                    <m:accPr>
                      <m:chr m:val="̂"/>
                    </m:accPr>
                    <m:e>
                      <m:r>
                        <m:t>s</m:t>
                      </m:r>
                    </m:e>
                  </m:acc>
                </m:e>
                <m:sub>
                  <m:r>
                    <m:t>i</m:t>
                  </m:r>
                  <m:r>
                    <m:rPr>
                      <m:sty m:val="p"/>
                    </m:rPr>
                    <m:t>+</m:t>
                  </m:r>
                  <m:r>
                    <m:t>1</m:t>
                  </m:r>
                </m:sub>
              </m:sSub>
            </m:oMath>
          </w:p>
        </w:tc>
        <w:tc>
          <w:tcPr/>
          <w:p>
            <w:pPr>
              <w:pStyle w:val="Compact"/>
              <w:jc w:val="left"/>
            </w:pPr>
            <w:r>
              <w:t xml:space="preserve">Typical latency of hop</w:t>
            </w:r>
            <w:r>
              <w:t xml:space="preserve"> </w:t>
            </w:r>
            <m:oMath>
              <m:r>
                <m:t>i</m:t>
              </m:r>
              <m:r>
                <m:rPr>
                  <m:sty m:val="p"/>
                </m:rPr>
                <m:t>+</m:t>
              </m:r>
              <m:r>
                <m:t>1</m:t>
              </m:r>
            </m:oMath>
            <w:r>
              <w:t xml:space="preserve"> </w:t>
            </w:r>
            <w:r>
              <w:t xml:space="preserve">(for example its p50)</w:t>
            </w:r>
          </w:p>
        </w:tc>
        <w:tc>
          <w:tcPr/>
          <w:p>
            <w:pPr>
              <w:pStyle w:val="Compact"/>
              <w:jc w:val="left"/>
            </w:pPr>
            <w:r>
              <w:t xml:space="preserve">ms</w:t>
            </w:r>
          </w:p>
        </w:tc>
      </w:tr>
    </w:tbl>
    <w:p>
      <w:pPr>
        <w:pStyle w:val="BodyText"/>
      </w:pPr>
      <w:r>
        <w:rPr>
          <w:bCs/>
          <w:b/>
        </w:rPr>
        <w:t xml:space="preserve">Figure 22.10 — Deadline propagation through the PhotoShare Pro purchase path.</w:t>
      </w:r>
    </w:p>
    <w:p>
      <w:pPr>
        <w:pStyle w:val="BodyText"/>
      </w:pPr>
      <w:r>
        <w:drawing>
          <wp:inline>
            <wp:extent cx="5334000" cy="2565977"/>
            <wp:effectExtent b="0" l="0" r="0" t="0"/>
            <wp:docPr descr="" title="" id="2513" name="Picture"/>
            <a:graphic>
              <a:graphicData uri="http://schemas.openxmlformats.org/drawingml/2006/picture">
                <pic:pic>
                  <pic:nvPicPr>
                    <pic:cNvPr descr="/home/user/System-Design/build/.cache/diagrams/a1e2c7df68a1.png" id="2514" name="Picture"/>
                    <pic:cNvPicPr>
                      <a:picLocks noChangeArrowheads="1" noChangeAspect="1"/>
                    </pic:cNvPicPr>
                  </pic:nvPicPr>
                  <pic:blipFill>
                    <a:blip r:embed="rId2512"/>
                    <a:stretch>
                      <a:fillRect/>
                    </a:stretch>
                  </pic:blipFill>
                  <pic:spPr bwMode="auto">
                    <a:xfrm>
                      <a:off x="0" y="0"/>
                      <a:ext cx="5334000" cy="2565977"/>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app waits at most 1,000 ms. Each hop subtracts elapsed time and a response margin before passing the budget on: 970, 830, then 780 ms for the external provider. All calls are synchronous. When the provider misses its budget, the payment service reports an</w:t>
      </w:r>
      <w:r>
        <w:t xml:space="preserve"> </w:t>
      </w:r>
      <w:r>
        <w:rPr>
          <w:iCs/>
          <w:i/>
        </w:rPr>
        <w:t xml:space="preserve">unknown outcome</w:t>
      </w:r>
      <w:r>
        <w:t xml:space="preserve">, and every hop still has its margin to answer before the app gives up. The provider’s state is the critical storage boundary, which is why retries need an idempotency key (§22.15). Budgets are per request and need no shared state.</w:t>
      </w:r>
    </w:p>
    <w:p>
      <w:pPr>
        <w:pStyle w:val="CalloutExample"/>
      </w:pPr>
      <w:r>
        <w:rPr>
          <w:bCs/>
          <w:b/>
        </w:rPr>
        <w:t xml:space="preserve">WORKED EXAMPLE</w:t>
      </w:r>
    </w:p>
    <w:p>
      <w:pPr>
        <w:pStyle w:val="CalloutExample"/>
      </w:pPr>
      <w:r>
        <w:rPr>
          <w:bCs/>
          <w:b/>
        </w:rPr>
        <w:t xml:space="preserve">Worked example — Budget for the purchase path, client deadline 1,000 ms.</w:t>
      </w:r>
    </w:p>
    <w:p>
      <w:pPr>
        <w:numPr>
          <w:ilvl w:val="0"/>
          <w:numId w:val="1732"/>
        </w:numPr>
        <w:pStyle w:val="Compact"/>
      </w:pPr>
      <w:r>
        <w:t xml:space="preserve">Gateway:</w:t>
      </w:r>
      <w:r>
        <w:t xml:space="preserve"> </w:t>
      </w:r>
      <m:oMath>
        <m:sSub>
          <m:e>
            <m:r>
              <m:t>B</m:t>
            </m:r>
          </m:e>
          <m:sub>
            <m:r>
              <m:t>1</m:t>
            </m:r>
          </m:sub>
        </m:sSub>
        <m:r>
          <m:rPr>
            <m:sty m:val="p"/>
          </m:rPr>
          <m:t>=</m:t>
        </m:r>
        <m:r>
          <m:t>1</m:t>
        </m:r>
        <m:r>
          <m:rPr>
            <m:sty m:val="p"/>
          </m:rPr>
          <m:t>,</m:t>
        </m:r>
        <m:r>
          <m:t>000</m:t>
        </m:r>
      </m:oMath>
      <w:r>
        <w:t xml:space="preserve">;</w:t>
      </w:r>
      <w:r>
        <w:t xml:space="preserve"> </w:t>
      </w:r>
      <m:oMath>
        <m:sSub>
          <m:e>
            <m:r>
              <m:t>e</m:t>
            </m:r>
          </m:e>
          <m:sub>
            <m:r>
              <m:t>1</m:t>
            </m:r>
          </m:sub>
        </m:sSub>
        <m:r>
          <m:rPr>
            <m:sty m:val="p"/>
          </m:rPr>
          <m:t>=</m:t>
        </m:r>
        <m:r>
          <m:t>20</m:t>
        </m:r>
      </m:oMath>
      <w:r>
        <w:t xml:space="preserve"> </w:t>
      </w:r>
      <w:r>
        <w:t xml:space="preserve">(authentication, rate-limit check),</w:t>
      </w:r>
      <w:r>
        <w:t xml:space="preserve"> </w:t>
      </w:r>
      <m:oMath>
        <m:sSub>
          <m:e>
            <m:r>
              <m:t>m</m:t>
            </m:r>
          </m:e>
          <m:sub>
            <m:r>
              <m:t>1</m:t>
            </m:r>
          </m:sub>
        </m:sSub>
        <m:r>
          <m:rPr>
            <m:sty m:val="p"/>
          </m:rPr>
          <m:t>=</m:t>
        </m:r>
        <m:r>
          <m:t>10</m:t>
        </m:r>
      </m:oMath>
      <w:r>
        <w:t xml:space="preserve"> </w:t>
      </w:r>
      <w:r>
        <w:t xml:space="preserve">→</w:t>
      </w:r>
      <w:r>
        <w:t xml:space="preserve"> </w:t>
      </w:r>
      <m:oMath>
        <m:sSub>
          <m:e>
            <m:r>
              <m:t>B</m:t>
            </m:r>
          </m:e>
          <m:sub>
            <m:r>
              <m:t>2</m:t>
            </m:r>
          </m:sub>
        </m:sSub>
        <m:r>
          <m:rPr>
            <m:sty m:val="p"/>
          </m:rPr>
          <m:t>=</m:t>
        </m:r>
        <m:r>
          <m:t>970</m:t>
        </m:r>
      </m:oMath>
      <w:r>
        <w:t xml:space="preserve"> </w:t>
      </w:r>
      <w:r>
        <w:t xml:space="preserve">ms.</w:t>
      </w:r>
    </w:p>
    <w:p>
      <w:pPr>
        <w:numPr>
          <w:ilvl w:val="0"/>
          <w:numId w:val="1732"/>
        </w:numPr>
        <w:pStyle w:val="Compact"/>
      </w:pPr>
      <w:r>
        <w:t xml:space="preserve">Order service:</w:t>
      </w:r>
      <w:r>
        <w:t xml:space="preserve"> </w:t>
      </w:r>
      <m:oMath>
        <m:sSub>
          <m:e>
            <m:r>
              <m:t>e</m:t>
            </m:r>
          </m:e>
          <m:sub>
            <m:r>
              <m:t>2</m:t>
            </m:r>
          </m:sub>
        </m:sSub>
        <m:r>
          <m:rPr>
            <m:sty m:val="p"/>
          </m:rPr>
          <m:t>=</m:t>
        </m:r>
        <m:r>
          <m:t>120</m:t>
        </m:r>
      </m:oMath>
      <w:r>
        <w:t xml:space="preserve"> </w:t>
      </w:r>
      <w:r>
        <w:t xml:space="preserve">(database read, fraud check),</w:t>
      </w:r>
      <w:r>
        <w:t xml:space="preserve"> </w:t>
      </w:r>
      <m:oMath>
        <m:sSub>
          <m:e>
            <m:r>
              <m:t>m</m:t>
            </m:r>
          </m:e>
          <m:sub>
            <m:r>
              <m:t>2</m:t>
            </m:r>
          </m:sub>
        </m:sSub>
        <m:r>
          <m:rPr>
            <m:sty m:val="p"/>
          </m:rPr>
          <m:t>=</m:t>
        </m:r>
        <m:r>
          <m:t>20</m:t>
        </m:r>
      </m:oMath>
      <w:r>
        <w:t xml:space="preserve"> </w:t>
      </w:r>
      <w:r>
        <w:t xml:space="preserve">→</w:t>
      </w:r>
      <w:r>
        <w:t xml:space="preserve"> </w:t>
      </w:r>
      <m:oMath>
        <m:sSub>
          <m:e>
            <m:r>
              <m:t>B</m:t>
            </m:r>
          </m:e>
          <m:sub>
            <m:r>
              <m:t>3</m:t>
            </m:r>
          </m:sub>
        </m:sSub>
        <m:r>
          <m:rPr>
            <m:sty m:val="p"/>
          </m:rPr>
          <m:t>=</m:t>
        </m:r>
        <m:r>
          <m:t>830</m:t>
        </m:r>
      </m:oMath>
      <w:r>
        <w:t xml:space="preserve"> </w:t>
      </w:r>
      <w:r>
        <w:t xml:space="preserve">ms.</w:t>
      </w:r>
    </w:p>
    <w:p>
      <w:pPr>
        <w:numPr>
          <w:ilvl w:val="0"/>
          <w:numId w:val="1732"/>
        </w:numPr>
        <w:pStyle w:val="Compact"/>
      </w:pPr>
      <w:r>
        <w:t xml:space="preserve">Payment service:</w:t>
      </w:r>
      <w:r>
        <w:t xml:space="preserve"> </w:t>
      </w:r>
      <m:oMath>
        <m:sSub>
          <m:e>
            <m:r>
              <m:t>e</m:t>
            </m:r>
          </m:e>
          <m:sub>
            <m:r>
              <m:t>3</m:t>
            </m:r>
          </m:sub>
        </m:sSub>
        <m:r>
          <m:rPr>
            <m:sty m:val="p"/>
          </m:rPr>
          <m:t>=</m:t>
        </m:r>
        <m:r>
          <m:t>30</m:t>
        </m:r>
      </m:oMath>
      <w:r>
        <w:t xml:space="preserve">,</w:t>
      </w:r>
      <w:r>
        <w:t xml:space="preserve"> </w:t>
      </w:r>
      <m:oMath>
        <m:sSub>
          <m:e>
            <m:r>
              <m:t>m</m:t>
            </m:r>
          </m:e>
          <m:sub>
            <m:r>
              <m:t>3</m:t>
            </m:r>
          </m:sub>
        </m:sSub>
        <m:r>
          <m:rPr>
            <m:sty m:val="p"/>
          </m:rPr>
          <m:t>=</m:t>
        </m:r>
        <m:r>
          <m:t>20</m:t>
        </m:r>
      </m:oMath>
      <w:r>
        <w:t xml:space="preserve"> </w:t>
      </w:r>
      <w:r>
        <w:t xml:space="preserve">→</w:t>
      </w:r>
      <w:r>
        <w:t xml:space="preserve"> </w:t>
      </w:r>
      <m:oMath>
        <m:sSub>
          <m:e>
            <m:r>
              <m:t>B</m:t>
            </m:r>
          </m:e>
          <m:sub>
            <m:r>
              <m:t>4</m:t>
            </m:r>
          </m:sub>
        </m:sSub>
        <m:r>
          <m:rPr>
            <m:sty m:val="p"/>
          </m:rPr>
          <m:t>=</m:t>
        </m:r>
        <m:r>
          <m:t>780</m:t>
        </m:r>
      </m:oMath>
      <w:r>
        <w:t xml:space="preserve"> </w:t>
      </w:r>
      <w:r>
        <w:t xml:space="preserve">ms for the provider call. The provider’s p50 is 300 ms and p99.9 is 900 ms, so</w:t>
      </w:r>
      <w:r>
        <w:t xml:space="preserve"> </w:t>
      </w:r>
      <m:oMath>
        <m:sSub>
          <m:e>
            <m:r>
              <m:t>B</m:t>
            </m:r>
          </m:e>
          <m:sub>
            <m:r>
              <m:t>4</m:t>
            </m:r>
          </m:sub>
        </m:sSub>
        <m:r>
          <m:rPr>
            <m:sty m:val="p"/>
          </m:rPr>
          <m:t>&gt;</m:t>
        </m:r>
        <m:sSub>
          <m:e>
            <m:acc>
              <m:accPr>
                <m:chr m:val="̂"/>
              </m:accPr>
              <m:e>
                <m:r>
                  <m:t>s</m:t>
                </m:r>
              </m:e>
            </m:acc>
          </m:e>
          <m:sub>
            <m:r>
              <m:t>4</m:t>
            </m:r>
          </m:sub>
        </m:sSub>
      </m:oMath>
      <w:r>
        <w:t xml:space="preserve"> </w:t>
      </w:r>
      <w:r>
        <w:t xml:space="preserve">and the call starts.</w:t>
      </w:r>
    </w:p>
    <w:p>
      <w:pPr>
        <w:numPr>
          <w:ilvl w:val="0"/>
          <w:numId w:val="1732"/>
        </w:numPr>
        <w:pStyle w:val="Compact"/>
      </w:pPr>
      <w:r>
        <w:t xml:space="preserve">Contrast with fixed per-hop timeouts of 1 s, 1 s and 2 s: when the provider hangs, the payment service, which started the call at 170 ms, waits until 2,170 ms: 1,170 ms after the app has given up; every thread on the path is held for work nobody receives.</w:t>
      </w:r>
    </w:p>
    <w:p>
      <w:pPr>
        <w:pStyle w:val="CalloutExample"/>
      </w:pPr>
      <w:r>
        <w:rPr>
          <w:bCs/>
          <w:b/>
        </w:rPr>
        <w:t xml:space="preserve">Interpretation.</w:t>
      </w:r>
      <w:r>
        <w:t xml:space="preserve"> </w:t>
      </w:r>
      <w:r>
        <w:t xml:space="preserve">The provider gets 78% of the user’s budget, the most that is consistent with the earlier hops.</w:t>
      </w:r>
      <w:r>
        <w:t xml:space="preserve"> </w:t>
      </w:r>
      <w:r>
        <w:rPr>
          <w:bCs/>
          <w:b/>
        </w:rPr>
        <w:t xml:space="preserve">Engineering implication.</w:t>
      </w:r>
      <w:r>
        <w:t xml:space="preserve"> </w:t>
      </w:r>
      <w:r>
        <w:t xml:space="preserve">Propagate absolute deadlines (or remaining durations), subtract as you go, and make inner timeouts shorter than outer ones. Note the provider’s p99.9 (900 ms) exceeds its budget, so roughly 0.1–1% of purchases will hit the deadline; either raise the client budget or make the purchase asynchronous (accept with 202 and confirm by push).</w:t>
      </w:r>
    </w:p>
    <w:p>
      <w:pPr>
        <w:pStyle w:val="CalloutMistake"/>
      </w:pPr>
      <w:r>
        <w:rPr>
          <w:bCs/>
          <w:b/>
        </w:rPr>
        <w:t xml:space="preserve">COMMON MISTAKE</w:t>
      </w:r>
    </w:p>
    <w:p>
      <w:pPr>
        <w:pStyle w:val="CalloutMistake"/>
      </w:pPr>
      <w:r>
        <w:rPr>
          <w:bCs/>
          <w:b/>
        </w:rPr>
        <w:t xml:space="preserve">Mistake —</w:t>
      </w:r>
      <w:r>
        <w:rPr>
          <w:bCs/>
          <w:b/>
        </w:rPr>
        <w:t xml:space="preserve"> </w:t>
      </w:r>
      <w:r>
        <w:rPr>
          <w:bCs/>
          <w:b/>
        </w:rPr>
        <w:t xml:space="preserve">“</w:t>
      </w:r>
      <w:r>
        <w:rPr>
          <w:bCs/>
          <w:b/>
        </w:rPr>
        <w:t xml:space="preserve">A timeout means the operation failed.</w:t>
      </w:r>
      <w:r>
        <w:rPr>
          <w:bCs/>
          <w:b/>
        </w:rPr>
        <w:t xml:space="preserve">”</w:t>
      </w:r>
      <w:r>
        <w:t xml:space="preserve"> </w:t>
      </w:r>
      <w:r>
        <w:t xml:space="preserve">It means</w:t>
      </w:r>
      <w:r>
        <w:t xml:space="preserve"> </w:t>
      </w:r>
      <w:r>
        <w:rPr>
          <w:iCs/>
          <w:i/>
        </w:rPr>
        <w:t xml:space="preserve">you do not know</w:t>
      </w:r>
      <w:r>
        <w:t xml:space="preserve">. The request may never have arrived, may have failed, or may have succeeded with the response lost. For reads this ambiguity is harmless; for writes it is the central problem that idempotency keys solve (§22.15).</w:t>
      </w:r>
    </w:p>
    <w:bookmarkEnd w:id="2515"/>
    <w:bookmarkStart w:id="2524" w:name="Xd32c7f5e7aaa41a30286563f87937fd208fee50"/>
    <w:p>
      <w:pPr>
        <w:pStyle w:val="Heading2"/>
      </w:pPr>
      <w:r>
        <w:t xml:space="preserve">22.12 Retries with exponential backoff and jitter</w:t>
      </w:r>
    </w:p>
    <w:bookmarkStart w:id="2516" w:name="when-to-retry"/>
    <w:p>
      <w:pPr>
        <w:pStyle w:val="Heading3"/>
      </w:pPr>
      <w:r>
        <w:t xml:space="preserve">22.12.1 When to retry</w:t>
      </w:r>
    </w:p>
    <w:p>
      <w:pPr>
        <w:pStyle w:val="FirstParagraph"/>
      </w:pPr>
      <w:r>
        <w:t xml:space="preserve">Retries turn transient failures (lost packets, restarts, elections) into successes, but each is</w:t>
      </w:r>
      <w:r>
        <w:t xml:space="preserve"> </w:t>
      </w:r>
      <w:r>
        <w:rPr>
          <w:iCs/>
          <w:i/>
        </w:rPr>
        <w:t xml:space="preserve">extra load on a system that just failed</w:t>
      </w:r>
      <w:r>
        <w:t xml:space="preserve">. Retry only when all hold:</w:t>
      </w:r>
    </w:p>
    <w:p>
      <w:pPr>
        <w:numPr>
          <w:ilvl w:val="0"/>
          <w:numId w:val="1733"/>
        </w:numPr>
        <w:pStyle w:val="Compact"/>
      </w:pPr>
      <w:r>
        <w:t xml:space="preserve">The error is</w:t>
      </w:r>
      <w:r>
        <w:t xml:space="preserve"> </w:t>
      </w:r>
      <w:r>
        <w:rPr>
          <w:bCs/>
          <w:b/>
        </w:rPr>
        <w:t xml:space="preserve">retryable</w:t>
      </w:r>
      <w:r>
        <w:t xml:space="preserve">: timeouts, connection resets, 429, 502, 503, 504, gRPC</w:t>
      </w:r>
      <w:r>
        <w:t xml:space="preserve"> </w:t>
      </w:r>
      <w:r>
        <w:rPr>
          <w:rStyle w:val="VerbatimChar"/>
        </w:rPr>
        <w:t xml:space="preserve">UNAVAILABLE</w:t>
      </w:r>
      <w:r>
        <w:t xml:space="preserve">. Never retry 400, 401, 403, 404 or 422; they will fail again.</w:t>
      </w:r>
    </w:p>
    <w:p>
      <w:pPr>
        <w:numPr>
          <w:ilvl w:val="0"/>
          <w:numId w:val="1733"/>
        </w:numPr>
        <w:pStyle w:val="Compact"/>
      </w:pPr>
      <w:r>
        <w:t xml:space="preserve">The operation is</w:t>
      </w:r>
      <w:r>
        <w:t xml:space="preserve"> </w:t>
      </w:r>
      <w:r>
        <w:rPr>
          <w:bCs/>
          <w:b/>
        </w:rPr>
        <w:t xml:space="preserve">idempotent</w:t>
      </w:r>
      <w:r>
        <w:t xml:space="preserve"> </w:t>
      </w:r>
      <w:r>
        <w:t xml:space="preserve">or carries an idempotency key (§22.15).</w:t>
      </w:r>
    </w:p>
    <w:p>
      <w:pPr>
        <w:numPr>
          <w:ilvl w:val="0"/>
          <w:numId w:val="1733"/>
        </w:numPr>
        <w:pStyle w:val="Compact"/>
      </w:pPr>
      <w:r>
        <w:rPr>
          <w:bCs/>
          <w:b/>
        </w:rPr>
        <w:t xml:space="preserve">Time remains</w:t>
      </w:r>
      <w:r>
        <w:t xml:space="preserve"> </w:t>
      </w:r>
      <w:r>
        <w:t xml:space="preserve">in the deadline (§22.11).</w:t>
      </w:r>
    </w:p>
    <w:p>
      <w:pPr>
        <w:numPr>
          <w:ilvl w:val="0"/>
          <w:numId w:val="1733"/>
        </w:numPr>
        <w:pStyle w:val="Compact"/>
      </w:pPr>
      <w:r>
        <w:t xml:space="preserve">The</w:t>
      </w:r>
      <w:r>
        <w:t xml:space="preserve"> </w:t>
      </w:r>
      <w:r>
        <w:rPr>
          <w:bCs/>
          <w:b/>
        </w:rPr>
        <w:t xml:space="preserve">retry budget</w:t>
      </w:r>
      <w:r>
        <w:t xml:space="preserve"> </w:t>
      </w:r>
      <w:r>
        <w:t xml:space="preserve">is not exhausted (§22.12.4).</w:t>
      </w:r>
    </w:p>
    <w:bookmarkEnd w:id="2516"/>
    <w:bookmarkStart w:id="2518" w:name="exponential-backoff-and-jitter"/>
    <w:p>
      <w:pPr>
        <w:pStyle w:val="Heading3"/>
      </w:pPr>
      <w:r>
        <w:t xml:space="preserve">22.12.2 Exponential backoff and jitter</w:t>
      </w:r>
    </w:p>
    <w:p>
      <w:pPr>
        <w:pStyle w:val="FirstParagraph"/>
      </w:pPr>
      <w:r>
        <w:rPr>
          <w:bCs/>
          <w:b/>
        </w:rPr>
        <w:t xml:space="preserve">Exponential backoff</w:t>
      </w:r>
      <w:r>
        <w:t xml:space="preserve"> </w:t>
      </w:r>
      <w:r>
        <w:t xml:space="preserve">doubles the wait after each failure, up to a cap. Clients that failed together still retry in synchronized waves;</w:t>
      </w:r>
      <w:r>
        <w:t xml:space="preserve"> </w:t>
      </w:r>
      <w:r>
        <w:rPr>
          <w:bCs/>
          <w:b/>
        </w:rPr>
        <w:t xml:space="preserve">jitter</w:t>
      </w:r>
      <w:r>
        <w:t xml:space="preserve"> </w:t>
      </w:r>
      <w:r>
        <w:t xml:space="preserve">randomizes the wait to spread them. Brooker’s analysis for the AWS Architecture Blog compared three variants [Brooker 2015]:</w:t>
      </w:r>
    </w:p>
    <w:p>
      <w:pPr>
        <w:pStyle w:val="CalloutFormula"/>
      </w:pPr>
      <w:r>
        <w:rPr>
          <w:bCs/>
          <w:b/>
        </w:rPr>
        <w:t xml:space="preserve">FORMULA</w:t>
      </w:r>
    </w:p>
    <w:p>
      <w:pPr>
        <w:pStyle w:val="CalloutFormula"/>
      </w:pPr>
      <w:r>
        <w:rPr>
          <w:bCs/>
          <w:b/>
        </w:rPr>
        <w:t xml:space="preserve">Backoff with jitter (attempt</w:t>
      </w:r>
      <w:r>
        <w:rPr>
          <w:bCs/>
          <w:b/>
        </w:rPr>
        <w:t xml:space="preserve"> </w:t>
      </w:r>
      <m:oMath>
        <m:r>
          <m:t>k</m:t>
        </m:r>
        <m:r>
          <m:rPr>
            <m:sty m:val="p"/>
          </m:rPr>
          <m:t>=</m:t>
        </m:r>
        <m:r>
          <m:t>1</m:t>
        </m:r>
        <m:r>
          <m:rPr>
            <m:sty m:val="p"/>
          </m:rPr>
          <m:t>,</m:t>
        </m:r>
        <m:r>
          <m:t>2</m:t>
        </m:r>
        <m:r>
          <m:rPr>
            <m:sty m:val="p"/>
          </m:rPr>
          <m:t>,</m:t>
        </m:r>
        <m:r>
          <m:rPr>
            <m:sty m:val="p"/>
          </m:rPr>
          <m:t>…</m:t>
        </m:r>
      </m:oMath>
      <w:r>
        <w:rPr>
          <w:bCs/>
          <w:b/>
        </w:rPr>
        <w:t xml:space="preserve">)</w:t>
      </w:r>
    </w:p>
    <w:p>
      <w:pPr>
        <w:pStyle w:val="CalloutFormula"/>
      </w:pPr>
      <m:oMathPara>
        <m:oMathParaPr>
          <m:jc m:val="center"/>
        </m:oMathParaPr>
        <m:oMath>
          <m:sSub>
            <m:e>
              <m:r>
                <m:t>s</m:t>
              </m:r>
            </m:e>
            <m:sub>
              <m:r>
                <m:t>k</m:t>
              </m:r>
            </m:sub>
          </m:sSub>
          <m:r>
            <m:rPr>
              <m:sty m:val="p"/>
            </m:rPr>
            <m:t>=</m:t>
          </m:r>
          <m:r>
            <m:rPr>
              <m:sty m:val="p"/>
            </m:rPr>
            <m:t>min</m:t>
          </m:r>
          <m:d>
            <m:dPr>
              <m:begChr m:val="("/>
              <m:endChr m:val=")"/>
              <m:sepChr m:val=""/>
              <m:grow/>
            </m:dPr>
            <m:e>
              <m:r>
                <m:rPr>
                  <m:nor/>
                  <m:sty m:val="p"/>
                </m:rPr>
                <m:t>cap</m:t>
              </m:r>
              <m:r>
                <m:rPr>
                  <m:sty m:val="p"/>
                </m:rPr>
                <m:t>,</m:t>
              </m:r>
              <m:r>
                <m:t> </m:t>
              </m:r>
              <m:r>
                <m:rPr>
                  <m:nor/>
                  <m:sty m:val="p"/>
                </m:rPr>
                <m:t>base</m:t>
              </m:r>
              <m:r>
                <m:rPr>
                  <m:sty m:val="p"/>
                </m:rPr>
                <m:t>⋅</m:t>
              </m:r>
              <m:sSup>
                <m:e>
                  <m:r>
                    <m:t>2</m:t>
                  </m:r>
                </m:e>
                <m:sup>
                  <m:r>
                    <m:t>k</m:t>
                  </m:r>
                </m:sup>
              </m:sSup>
            </m:e>
          </m:d>
        </m:oMath>
      </m:oMathPara>
    </w:p>
    <w:p>
      <w:pPr>
        <w:pStyle w:val="CalloutFormula"/>
      </w:pPr>
      <m:oMathPara>
        <m:oMathParaPr>
          <m:jc m:val="center"/>
        </m:oMathParaPr>
        <m:oMath>
          <m:r>
            <m:rPr>
              <m:nor/>
              <m:sty m:val="p"/>
            </m:rPr>
            <m:t>full: </m:t>
          </m:r>
          <m:r>
            <m:t>U</m:t>
          </m:r>
          <m:d>
            <m:dPr>
              <m:begChr m:val="("/>
              <m:endChr m:val=")"/>
              <m:sepChr m:val=""/>
              <m:grow/>
            </m:dPr>
            <m:e>
              <m:r>
                <m:t>0</m:t>
              </m:r>
              <m:r>
                <m:rPr>
                  <m:sty m:val="p"/>
                </m:rPr>
                <m:t>,</m:t>
              </m:r>
              <m:sSub>
                <m:e>
                  <m:r>
                    <m:t>s</m:t>
                  </m:r>
                </m:e>
                <m:sub>
                  <m:r>
                    <m:t>k</m:t>
                  </m:r>
                </m:sub>
              </m:sSub>
            </m:e>
          </m:d>
          <m:r>
            <m:t>  </m:t>
          </m:r>
          <m:r>
            <m:rPr>
              <m:nor/>
              <m:sty m:val="p"/>
            </m:rPr>
            <m:t>equal: </m:t>
          </m:r>
          <m:f>
            <m:fPr>
              <m:type m:val="lin"/>
            </m:fPr>
            <m:num>
              <m:sSub>
                <m:e>
                  <m:r>
                    <m:t>s</m:t>
                  </m:r>
                </m:e>
                <m:sub>
                  <m:r>
                    <m:t>k</m:t>
                  </m:r>
                </m:sub>
              </m:sSub>
            </m:num>
            <m:den>
              <m:r>
                <m:t>2</m:t>
              </m:r>
            </m:den>
          </m:f>
          <m:r>
            <m:rPr>
              <m:sty m:val="p"/>
            </m:rPr>
            <m:t>+</m:t>
          </m:r>
          <m:r>
            <m:t>U</m:t>
          </m:r>
          <m:r>
            <m:t>​</m:t>
          </m:r>
          <m:d>
            <m:dPr>
              <m:begChr m:val="("/>
              <m:endChr m:val=")"/>
              <m:sepChr m:val=""/>
              <m:grow/>
            </m:dPr>
            <m:e>
              <m:r>
                <m:t>0</m:t>
              </m:r>
              <m:r>
                <m:rPr>
                  <m:sty m:val="p"/>
                </m:rPr>
                <m:t>,</m:t>
              </m:r>
              <m:f>
                <m:fPr>
                  <m:type m:val="lin"/>
                </m:fPr>
                <m:num>
                  <m:sSub>
                    <m:e>
                      <m:r>
                        <m:t>s</m:t>
                      </m:r>
                    </m:e>
                    <m:sub>
                      <m:r>
                        <m:t>k</m:t>
                      </m:r>
                    </m:sub>
                  </m:sSub>
                </m:num>
                <m:den>
                  <m:r>
                    <m:t>2</m:t>
                  </m:r>
                </m:den>
              </m:f>
            </m:e>
          </m:d>
          <m:r>
            <m:t>  </m:t>
          </m:r>
          <m:r>
            <m:rPr>
              <m:nor/>
              <m:sty m:val="p"/>
            </m:rPr>
            <m:t>decorrelated: </m:t>
          </m:r>
          <m:r>
            <m:rPr>
              <m:sty m:val="p"/>
            </m:rPr>
            <m:t>min</m:t>
          </m:r>
          <m:d>
            <m:dPr>
              <m:begChr m:val="("/>
              <m:endChr m:val=")"/>
              <m:sepChr m:val=""/>
              <m:grow/>
            </m:dPr>
            <m:e>
              <m:r>
                <m:rPr>
                  <m:nor/>
                  <m:sty m:val="p"/>
                </m:rPr>
                <m:t>cap</m:t>
              </m:r>
              <m:r>
                <m:rPr>
                  <m:sty m:val="p"/>
                </m:rPr>
                <m:t>,</m:t>
              </m:r>
              <m:r>
                <m:t> </m:t>
              </m:r>
              <m:r>
                <m:t>U</m:t>
              </m:r>
              <m:d>
                <m:dPr>
                  <m:begChr m:val="("/>
                  <m:endChr m:val=")"/>
                  <m:sepChr m:val=""/>
                  <m:grow/>
                </m:dPr>
                <m:e>
                  <m:r>
                    <m:rPr>
                      <m:nor/>
                      <m:sty m:val="p"/>
                    </m:rPr>
                    <m:t>base</m:t>
                  </m:r>
                  <m:r>
                    <m:rPr>
                      <m:sty m:val="p"/>
                    </m:rPr>
                    <m:t>,</m:t>
                  </m:r>
                  <m:r>
                    <m:t> </m:t>
                  </m:r>
                  <m:r>
                    <m:t>3</m:t>
                  </m:r>
                  <m:r>
                    <m:t> </m:t>
                  </m:r>
                  <m:sSub>
                    <m:e>
                      <m:r>
                        <m:t>w</m:t>
                      </m:r>
                    </m:e>
                    <m:sub>
                      <m:r>
                        <m:t>k</m:t>
                      </m:r>
                      <m:r>
                        <m:rPr>
                          <m:sty m:val="p"/>
                        </m:rPr>
                        <m:t>−</m:t>
                      </m:r>
                      <m:r>
                        <m:t>1</m:t>
                      </m:r>
                    </m:sub>
                  </m:sSub>
                </m:e>
              </m:d>
            </m:e>
          </m:d>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k</m:t>
              </m:r>
            </m:oMath>
          </w:p>
        </w:tc>
        <w:tc>
          <w:tcPr/>
          <w:p>
            <w:pPr>
              <w:pStyle w:val="Compact"/>
              <w:jc w:val="left"/>
            </w:pPr>
            <w:r>
              <w:t xml:space="preserve">Retry number</w:t>
            </w:r>
          </w:p>
        </w:tc>
        <w:tc>
          <w:tcPr/>
          <w:p>
            <w:pPr>
              <w:pStyle w:val="Compact"/>
              <w:jc w:val="left"/>
            </w:pPr>
            <w:r>
              <w:t xml:space="preserve">count</w:t>
            </w:r>
          </w:p>
        </w:tc>
      </w:tr>
      <w:tr>
        <w:tc>
          <w:tcPr/>
          <w:p>
            <w:pPr>
              <w:pStyle w:val="Compact"/>
              <w:jc w:val="left"/>
            </w:pPr>
            <w:r>
              <w:t xml:space="preserve">base</w:t>
            </w:r>
          </w:p>
        </w:tc>
        <w:tc>
          <w:tcPr/>
          <w:p>
            <w:pPr>
              <w:pStyle w:val="Compact"/>
              <w:jc w:val="left"/>
            </w:pPr>
            <w:r>
              <w:t xml:space="preserve">Initial backoff unit</w:t>
            </w:r>
          </w:p>
        </w:tc>
        <w:tc>
          <w:tcPr/>
          <w:p>
            <w:pPr>
              <w:pStyle w:val="Compact"/>
              <w:jc w:val="left"/>
            </w:pPr>
            <w:r>
              <w:t xml:space="preserve">ms</w:t>
            </w:r>
          </w:p>
        </w:tc>
      </w:tr>
      <w:tr>
        <w:tc>
          <w:tcPr/>
          <w:p>
            <w:pPr>
              <w:pStyle w:val="Compact"/>
              <w:jc w:val="left"/>
            </w:pPr>
            <w:r>
              <w:t xml:space="preserve">cap</w:t>
            </w:r>
          </w:p>
        </w:tc>
        <w:tc>
          <w:tcPr/>
          <w:p>
            <w:pPr>
              <w:pStyle w:val="Compact"/>
              <w:jc w:val="left"/>
            </w:pPr>
            <w:r>
              <w:t xml:space="preserve">Maximum wait</w:t>
            </w:r>
          </w:p>
        </w:tc>
        <w:tc>
          <w:tcPr/>
          <w:p>
            <w:pPr>
              <w:pStyle w:val="Compact"/>
              <w:jc w:val="left"/>
            </w:pPr>
            <w:r>
              <w:t xml:space="preserve">ms</w:t>
            </w:r>
          </w:p>
        </w:tc>
      </w:tr>
      <w:tr>
        <w:tc>
          <w:tcPr/>
          <w:p>
            <w:pPr>
              <w:pStyle w:val="Compact"/>
              <w:jc w:val="left"/>
            </w:pPr>
            <m:oMath>
              <m:sSub>
                <m:e>
                  <m:r>
                    <m:t>s</m:t>
                  </m:r>
                </m:e>
                <m:sub>
                  <m:r>
                    <m:t>k</m:t>
                  </m:r>
                </m:sub>
              </m:sSub>
            </m:oMath>
          </w:p>
        </w:tc>
        <w:tc>
          <w:tcPr/>
          <w:p>
            <w:pPr>
              <w:pStyle w:val="Compact"/>
              <w:jc w:val="left"/>
            </w:pPr>
            <w:r>
              <w:t xml:space="preserve">Exponential backoff ceiling for retry</w:t>
            </w:r>
            <w:r>
              <w:t xml:space="preserve"> </w:t>
            </w:r>
            <m:oMath>
              <m:r>
                <m:t>k</m:t>
              </m:r>
            </m:oMath>
          </w:p>
        </w:tc>
        <w:tc>
          <w:tcPr/>
          <w:p>
            <w:pPr>
              <w:pStyle w:val="Compact"/>
              <w:jc w:val="left"/>
            </w:pPr>
            <w:r>
              <w:t xml:space="preserve">ms</w:t>
            </w:r>
          </w:p>
        </w:tc>
      </w:tr>
      <w:tr>
        <w:tc>
          <w:tcPr/>
          <w:p>
            <w:pPr>
              <w:pStyle w:val="Compact"/>
              <w:jc w:val="left"/>
            </w:pPr>
            <m:oMath>
              <m:r>
                <m:t>U</m:t>
              </m:r>
              <m:d>
                <m:dPr>
                  <m:begChr m:val="("/>
                  <m:endChr m:val=")"/>
                  <m:sepChr m:val=""/>
                  <m:grow/>
                </m:dPr>
                <m:e>
                  <m:r>
                    <m:t>a</m:t>
                  </m:r>
                  <m:r>
                    <m:rPr>
                      <m:sty m:val="p"/>
                    </m:rPr>
                    <m:t>,</m:t>
                  </m:r>
                  <m:r>
                    <m:t>b</m:t>
                  </m:r>
                </m:e>
              </m:d>
            </m:oMath>
          </w:p>
        </w:tc>
        <w:tc>
          <w:tcPr/>
          <w:p>
            <w:pPr>
              <w:pStyle w:val="Compact"/>
              <w:jc w:val="left"/>
            </w:pPr>
            <w:r>
              <w:t xml:space="preserve">A uniformly random value between</w:t>
            </w:r>
            <w:r>
              <w:t xml:space="preserve"> </w:t>
            </w:r>
            <m:oMath>
              <m:r>
                <m:t>a</m:t>
              </m:r>
            </m:oMath>
            <w:r>
              <w:t xml:space="preserve"> </w:t>
            </w:r>
            <w:r>
              <w:t xml:space="preserve">and</w:t>
            </w:r>
            <w:r>
              <w:t xml:space="preserve"> </w:t>
            </w:r>
            <m:oMath>
              <m:r>
                <m:t>b</m:t>
              </m:r>
            </m:oMath>
          </w:p>
        </w:tc>
        <w:tc>
          <w:tcPr/>
          <w:p>
            <w:pPr>
              <w:pStyle w:val="Compact"/>
              <w:jc w:val="left"/>
            </w:pPr>
            <w:r>
              <w:t xml:space="preserve">ms</w:t>
            </w:r>
          </w:p>
        </w:tc>
      </w:tr>
      <w:tr>
        <w:tc>
          <w:tcPr/>
          <w:p>
            <w:pPr>
              <w:pStyle w:val="Compact"/>
              <w:jc w:val="left"/>
            </w:pPr>
            <m:oMath>
              <m:sSub>
                <m:e>
                  <m:r>
                    <m:t>w</m:t>
                  </m:r>
                </m:e>
                <m:sub>
                  <m:r>
                    <m:t>k</m:t>
                  </m:r>
                  <m:r>
                    <m:rPr>
                      <m:sty m:val="p"/>
                    </m:rPr>
                    <m:t>−</m:t>
                  </m:r>
                  <m:r>
                    <m:t>1</m:t>
                  </m:r>
                </m:sub>
              </m:sSub>
            </m:oMath>
          </w:p>
        </w:tc>
        <w:tc>
          <w:tcPr/>
          <w:p>
            <w:pPr>
              <w:pStyle w:val="Compact"/>
              <w:jc w:val="left"/>
            </w:pPr>
            <w:r>
              <w:t xml:space="preserve">The previous wait for decorrelated jitter (</w:t>
            </w:r>
            <m:oMath>
              <m:sSub>
                <m:e>
                  <m:r>
                    <m:t>w</m:t>
                  </m:r>
                </m:e>
                <m:sub>
                  <m:r>
                    <m:t>0</m:t>
                  </m:r>
                </m:sub>
              </m:sSub>
              <m:r>
                <m:rPr>
                  <m:sty m:val="p"/>
                </m:rPr>
                <m:t>=</m:t>
              </m:r>
              <m:r>
                <m:rPr>
                  <m:nor/>
                  <m:sty m:val="p"/>
                </m:rPr>
                <m:t>base</m:t>
              </m:r>
            </m:oMath>
            <w:r>
              <w:t xml:space="preserve">)</w:t>
            </w:r>
          </w:p>
        </w:tc>
        <w:tc>
          <w:tcPr/>
          <w:p>
            <w:pPr>
              <w:pStyle w:val="Compact"/>
              <w:jc w:val="left"/>
            </w:pPr>
            <w:r>
              <w:t xml:space="preserve">ms</w:t>
            </w:r>
          </w:p>
        </w:tc>
      </w:tr>
    </w:tbl>
    <w:p>
      <w:pPr>
        <w:pStyle w:val="CalloutExample"/>
      </w:pPr>
      <w:r>
        <w:rPr>
          <w:bCs/>
          <w:b/>
        </w:rPr>
        <w:t xml:space="preserve">WORKED EXAMPLE</w:t>
      </w:r>
    </w:p>
    <w:p>
      <w:pPr>
        <w:pStyle w:val="CalloutExample"/>
      </w:pPr>
      <w:r>
        <w:rPr>
          <w:bCs/>
          <w:b/>
        </w:rPr>
        <w:t xml:space="preserve">Worked example — base 100 ms, cap 20 s.</w:t>
      </w:r>
    </w:p>
    <w:p>
      <w:pPr>
        <w:numPr>
          <w:ilvl w:val="0"/>
          <w:numId w:val="1734"/>
        </w:numPr>
        <w:pStyle w:val="Compact"/>
      </w:pPr>
      <w:r>
        <w:t xml:space="preserve">Ceilings</w:t>
      </w:r>
      <w:r>
        <w:t xml:space="preserve"> </w:t>
      </w:r>
      <m:oMath>
        <m:sSub>
          <m:e>
            <m:r>
              <m:t>s</m:t>
            </m:r>
          </m:e>
          <m:sub>
            <m:r>
              <m:t>k</m:t>
            </m:r>
          </m:sub>
        </m:sSub>
      </m:oMath>
      <w:r>
        <w:t xml:space="preserve"> </w:t>
      </w:r>
      <w:r>
        <w:t xml:space="preserve">for</w:t>
      </w:r>
      <w:r>
        <w:t xml:space="preserve"> </w:t>
      </w:r>
      <m:oMath>
        <m:r>
          <m:t>k</m:t>
        </m:r>
        <m:r>
          <m:rPr>
            <m:sty m:val="p"/>
          </m:rPr>
          <m:t>=</m:t>
        </m:r>
        <m:r>
          <m:t>1</m:t>
        </m:r>
        <m:r>
          <m:rPr>
            <m:sty m:val="p"/>
          </m:rPr>
          <m:t>…</m:t>
        </m:r>
        <m:r>
          <m:t>8</m:t>
        </m:r>
      </m:oMath>
      <w:r>
        <w:t xml:space="preserve">: 200, 400, 800, 1,600, 3,200, 6,400, 12,800, 20,000 (capped) ms.</w:t>
      </w:r>
    </w:p>
    <w:p>
      <w:pPr>
        <w:numPr>
          <w:ilvl w:val="0"/>
          <w:numId w:val="1734"/>
        </w:numPr>
        <w:pStyle w:val="Compact"/>
      </w:pPr>
      <w:r>
        <w:t xml:space="preserve">Full jitter at</w:t>
      </w:r>
      <w:r>
        <w:t xml:space="preserve"> </w:t>
      </w:r>
      <m:oMath>
        <m:r>
          <m:t>k</m:t>
        </m:r>
        <m:r>
          <m:rPr>
            <m:sty m:val="p"/>
          </m:rPr>
          <m:t>=</m:t>
        </m:r>
        <m:r>
          <m:t>3</m:t>
        </m:r>
      </m:oMath>
      <w:r>
        <w:t xml:space="preserve">: a wait anywhere in 0–800 ms, mean 400 ms. Equal jitter: 400–800 ms, mean 600 ms.</w:t>
      </w:r>
    </w:p>
    <w:p>
      <w:pPr>
        <w:numPr>
          <w:ilvl w:val="0"/>
          <w:numId w:val="1734"/>
        </w:numPr>
        <w:pStyle w:val="Compact"/>
      </w:pPr>
      <w:r>
        <w:t xml:space="preserve">Cumulative worst-case wait before the 5th retry with full jitter:</w:t>
      </w:r>
      <w:r>
        <w:t xml:space="preserve"> </w:t>
      </w:r>
      <m:oMath>
        <m:r>
          <m:t>200</m:t>
        </m:r>
        <m:r>
          <m:rPr>
            <m:sty m:val="p"/>
          </m:rPr>
          <m:t>+</m:t>
        </m:r>
        <m:r>
          <m:t>400</m:t>
        </m:r>
        <m:r>
          <m:rPr>
            <m:sty m:val="p"/>
          </m:rPr>
          <m:t>+</m:t>
        </m:r>
        <m:r>
          <m:t>800</m:t>
        </m:r>
        <m:r>
          <m:rPr>
            <m:sty m:val="p"/>
          </m:rPr>
          <m:t>+</m:t>
        </m:r>
        <m:r>
          <m:t>1</m:t>
        </m:r>
        <m:r>
          <m:rPr>
            <m:sty m:val="p"/>
          </m:rPr>
          <m:t>,</m:t>
        </m:r>
        <m:r>
          <m:t>600</m:t>
        </m:r>
        <m:r>
          <m:rPr>
            <m:sty m:val="p"/>
          </m:rPr>
          <m:t>+</m:t>
        </m:r>
        <m:r>
          <m:t>3</m:t>
        </m:r>
        <m:r>
          <m:rPr>
            <m:sty m:val="p"/>
          </m:rPr>
          <m:t>,</m:t>
        </m:r>
        <m:r>
          <m:t>200</m:t>
        </m:r>
        <m:r>
          <m:rPr>
            <m:sty m:val="p"/>
          </m:rPr>
          <m:t>=</m:t>
        </m:r>
        <m:r>
          <m:t>6</m:t>
        </m:r>
        <m:r>
          <m:rPr>
            <m:sty m:val="p"/>
          </m:rPr>
          <m:t>,</m:t>
        </m:r>
        <m:r>
          <m:t>200</m:t>
        </m:r>
      </m:oMath>
      <w:r>
        <w:t xml:space="preserve"> </w:t>
      </w:r>
      <w:r>
        <w:t xml:space="preserve">ms, so five retries do not fit a 1 s user deadline; they fit a background job.</w:t>
      </w:r>
    </w:p>
    <w:p>
      <w:pPr>
        <w:pStyle w:val="CalloutExample"/>
      </w:pPr>
      <w:r>
        <w:rPr>
          <w:bCs/>
          <w:b/>
        </w:rPr>
        <w:t xml:space="preserve">Interpretation.</w:t>
      </w:r>
      <w:r>
        <w:t xml:space="preserve"> </w:t>
      </w:r>
      <w:r>
        <w:t xml:space="preserve">Exponential growth reaches the cap quickly; jitter decides how evenly clients are spread within each ceiling.</w:t>
      </w:r>
      <w:r>
        <w:t xml:space="preserve"> </w:t>
      </w:r>
      <w:r>
        <w:rPr>
          <w:bCs/>
          <w:b/>
        </w:rPr>
        <w:t xml:space="preserve">Engineering implication.</w:t>
      </w:r>
      <w:r>
        <w:t xml:space="preserve"> </w:t>
      </w:r>
      <w:r>
        <w:t xml:space="preserve">For interactive requests, one or two retries with small bases are all the deadline allows; long backoff sequences belong to asynchronous work.</w:t>
      </w:r>
    </w:p>
    <w:bookmarkStart w:id="2517" w:name="code-example-measuring-contention"/>
    <w:p>
      <w:pPr>
        <w:pStyle w:val="Heading4"/>
      </w:pPr>
      <w:r>
        <w:t xml:space="preserve">Code example: measuring contention</w:t>
      </w:r>
    </w:p>
    <w:p>
      <w:pPr>
        <w:pStyle w:val="FirstParagraph"/>
      </w:pPr>
      <w:r>
        <w:t xml:space="preserve">The simulation has</w:t>
      </w:r>
      <w:r>
        <w:t xml:space="preserve"> </w:t>
      </w:r>
      <m:oMath>
        <m:r>
          <m:t>N</m:t>
        </m:r>
      </m:oMath>
      <w:r>
        <w:t xml:space="preserve"> </w:t>
      </w:r>
      <w:r>
        <w:t xml:space="preserve">clients each needing one successful write to a contended resource with optimistic concurrency: a write conflicts and fails if another started less than 1 ms earlier. All clients begin within the same millisecond, as after a brief outage.</w:t>
      </w:r>
    </w:p>
    <w:p>
      <w:pPr>
        <w:pStyle w:val="SourceCode"/>
      </w:pPr>
      <w:r>
        <w:rPr>
          <w:rStyle w:val="CommentTok"/>
        </w:rPr>
        <w:t xml:space="preserve">"""N clients each need one successful write to a contended resource (optimistic</w:t>
      </w:r>
      <w:r>
        <w:br/>
      </w:r>
      <w:r>
        <w:rPr>
          <w:rStyle w:val="CommentTok"/>
        </w:rPr>
        <w:t xml:space="preserve">concurrency: if another write started less than WORK ms earlier, this one conflicts).</w:t>
      </w:r>
      <w:r>
        <w:br/>
      </w:r>
      <w:r>
        <w:rPr>
          <w:rStyle w:val="CommentTok"/>
        </w:rPr>
        <w:t xml:space="preserve">Compare backoff strategies by total calls (work) and time until every client succeeds."""</w:t>
      </w:r>
      <w:r>
        <w:br/>
      </w:r>
      <w:r>
        <w:rPr>
          <w:rStyle w:val="ImportTok"/>
        </w:rPr>
        <w:t xml:space="preserve">import</w:t>
      </w:r>
      <w:r>
        <w:rPr>
          <w:rStyle w:val="NormalTok"/>
        </w:rPr>
        <w:t xml:space="preserve"> heapq</w:t>
      </w:r>
      <w:r>
        <w:br/>
      </w:r>
      <w:r>
        <w:rPr>
          <w:rStyle w:val="ImportTok"/>
        </w:rPr>
        <w:t xml:space="preserve">import</w:t>
      </w:r>
      <w:r>
        <w:rPr>
          <w:rStyle w:val="NormalTok"/>
        </w:rPr>
        <w:t xml:space="preserve"> random</w:t>
      </w:r>
      <w:r>
        <w:br/>
      </w:r>
      <w:r>
        <w:br/>
      </w:r>
      <w:r>
        <w:rPr>
          <w:rStyle w:val="NormalTok"/>
        </w:rPr>
        <w:t xml:space="preserve">BASE, CAP, WORK </w:t>
      </w:r>
      <w:r>
        <w:rPr>
          <w:rStyle w:val="OperatorTok"/>
        </w:rPr>
        <w:t xml:space="preserve">=</w:t>
      </w:r>
      <w:r>
        <w:rPr>
          <w:rStyle w:val="NormalTok"/>
        </w:rPr>
        <w:t xml:space="preserve"> </w:t>
      </w:r>
      <w:r>
        <w:rPr>
          <w:rStyle w:val="FloatTok"/>
        </w:rPr>
        <w:t xml:space="preserve">5.0</w:t>
      </w:r>
      <w:r>
        <w:rPr>
          <w:rStyle w:val="NormalTok"/>
        </w:rPr>
        <w:t xml:space="preserve">, </w:t>
      </w:r>
      <w:r>
        <w:rPr>
          <w:rStyle w:val="FloatTok"/>
        </w:rPr>
        <w:t xml:space="preserve">2000.0</w:t>
      </w:r>
      <w:r>
        <w:rPr>
          <w:rStyle w:val="NormalTok"/>
        </w:rPr>
        <w:t xml:space="preserve">, </w:t>
      </w:r>
      <w:r>
        <w:rPr>
          <w:rStyle w:val="FloatTok"/>
        </w:rPr>
        <w:t xml:space="preserve">1.0</w:t>
      </w:r>
      <w:r>
        <w:rPr>
          <w:rStyle w:val="NormalTok"/>
        </w:rPr>
        <w:t xml:space="preserve">               </w:t>
      </w:r>
      <w:r>
        <w:rPr>
          <w:rStyle w:val="CommentTok"/>
        </w:rPr>
        <w:t xml:space="preserve"># milliseconds</w:t>
      </w:r>
      <w:r>
        <w:br/>
      </w:r>
      <w:r>
        <w:br/>
      </w:r>
      <w:r>
        <w:br/>
      </w:r>
      <w:r>
        <w:rPr>
          <w:rStyle w:val="KeywordTok"/>
        </w:rPr>
        <w:t xml:space="preserve">def</w:t>
      </w:r>
      <w:r>
        <w:rPr>
          <w:rStyle w:val="NormalTok"/>
        </w:rPr>
        <w:t xml:space="preserve"> no_jitter(attempt, prev, rng):</w:t>
      </w:r>
      <w:r>
        <w:br/>
      </w:r>
      <w:r>
        <w:rPr>
          <w:rStyle w:val="NormalTok"/>
        </w:rPr>
        <w:t xml:space="preserve">    </w:t>
      </w:r>
      <w:r>
        <w:rPr>
          <w:rStyle w:val="ControlFlowTok"/>
        </w:rPr>
        <w:t xml:space="preserve">return</w:t>
      </w:r>
      <w:r>
        <w:rPr>
          <w:rStyle w:val="NormalTok"/>
        </w:rPr>
        <w:t xml:space="preserve"> </w:t>
      </w:r>
      <w:r>
        <w:rPr>
          <w:rStyle w:val="BuiltInTok"/>
        </w:rPr>
        <w:t xml:space="preserve">min</w:t>
      </w:r>
      <w:r>
        <w:rPr>
          <w:rStyle w:val="NormalTok"/>
        </w:rPr>
        <w:t xml:space="preserve">(CAP, BASE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attempt)</w:t>
      </w:r>
      <w:r>
        <w:br/>
      </w:r>
      <w:r>
        <w:br/>
      </w:r>
      <w:r>
        <w:rPr>
          <w:rStyle w:val="KeywordTok"/>
        </w:rPr>
        <w:t xml:space="preserve">def</w:t>
      </w:r>
      <w:r>
        <w:rPr>
          <w:rStyle w:val="NormalTok"/>
        </w:rPr>
        <w:t xml:space="preserve"> full_jitter(attempt, prev, rng):</w:t>
      </w:r>
      <w:r>
        <w:br/>
      </w:r>
      <w:r>
        <w:rPr>
          <w:rStyle w:val="NormalTok"/>
        </w:rPr>
        <w:t xml:space="preserve">    </w:t>
      </w:r>
      <w:r>
        <w:rPr>
          <w:rStyle w:val="ControlFlowTok"/>
        </w:rPr>
        <w:t xml:space="preserve">return</w:t>
      </w:r>
      <w:r>
        <w:rPr>
          <w:rStyle w:val="NormalTok"/>
        </w:rPr>
        <w:t xml:space="preserve"> rng.uniform(</w:t>
      </w:r>
      <w:r>
        <w:rPr>
          <w:rStyle w:val="DecValTok"/>
        </w:rPr>
        <w:t xml:space="preserve">0</w:t>
      </w:r>
      <w:r>
        <w:rPr>
          <w:rStyle w:val="NormalTok"/>
        </w:rPr>
        <w:t xml:space="preserve">, </w:t>
      </w:r>
      <w:r>
        <w:rPr>
          <w:rStyle w:val="BuiltInTok"/>
        </w:rPr>
        <w:t xml:space="preserve">min</w:t>
      </w:r>
      <w:r>
        <w:rPr>
          <w:rStyle w:val="NormalTok"/>
        </w:rPr>
        <w:t xml:space="preserve">(CAP, BASE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attempt))</w:t>
      </w:r>
      <w:r>
        <w:br/>
      </w:r>
      <w:r>
        <w:br/>
      </w:r>
      <w:r>
        <w:rPr>
          <w:rStyle w:val="KeywordTok"/>
        </w:rPr>
        <w:t xml:space="preserve">def</w:t>
      </w:r>
      <w:r>
        <w:rPr>
          <w:rStyle w:val="NormalTok"/>
        </w:rPr>
        <w:t xml:space="preserve"> equal_jitter(attempt, prev, rng):</w:t>
      </w:r>
      <w:r>
        <w:br/>
      </w:r>
      <w:r>
        <w:rPr>
          <w:rStyle w:val="NormalTok"/>
        </w:rPr>
        <w:t xml:space="preserve">    v </w:t>
      </w:r>
      <w:r>
        <w:rPr>
          <w:rStyle w:val="OperatorTok"/>
        </w:rPr>
        <w:t xml:space="preserve">=</w:t>
      </w:r>
      <w:r>
        <w:rPr>
          <w:rStyle w:val="NormalTok"/>
        </w:rPr>
        <w:t xml:space="preserve"> </w:t>
      </w:r>
      <w:r>
        <w:rPr>
          <w:rStyle w:val="BuiltInTok"/>
        </w:rPr>
        <w:t xml:space="preserve">min</w:t>
      </w:r>
      <w:r>
        <w:rPr>
          <w:rStyle w:val="NormalTok"/>
        </w:rPr>
        <w:t xml:space="preserve">(CAP, BASE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attempt)</w:t>
      </w:r>
      <w:r>
        <w:br/>
      </w:r>
      <w:r>
        <w:rPr>
          <w:rStyle w:val="NormalTok"/>
        </w:rPr>
        <w:t xml:space="preserve">    </w:t>
      </w:r>
      <w:r>
        <w:rPr>
          <w:rStyle w:val="ControlFlowTok"/>
        </w:rPr>
        <w:t xml:space="preserve">return</w:t>
      </w:r>
      <w:r>
        <w:rPr>
          <w:rStyle w:val="NormalTok"/>
        </w:rPr>
        <w:t xml:space="preserve"> v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rng.uniform(</w:t>
      </w:r>
      <w:r>
        <w:rPr>
          <w:rStyle w:val="DecValTok"/>
        </w:rPr>
        <w:t xml:space="preserve">0</w:t>
      </w:r>
      <w:r>
        <w:rPr>
          <w:rStyle w:val="NormalTok"/>
        </w:rPr>
        <w:t xml:space="preserve">, v </w:t>
      </w:r>
      <w:r>
        <w:rPr>
          <w:rStyle w:val="OperatorTok"/>
        </w:rPr>
        <w:t xml:space="preserve">/</w:t>
      </w:r>
      <w:r>
        <w:rPr>
          <w:rStyle w:val="NormalTok"/>
        </w:rPr>
        <w:t xml:space="preserve"> </w:t>
      </w:r>
      <w:r>
        <w:rPr>
          <w:rStyle w:val="DecValTok"/>
        </w:rPr>
        <w:t xml:space="preserve">2</w:t>
      </w:r>
      <w:r>
        <w:rPr>
          <w:rStyle w:val="NormalTok"/>
        </w:rPr>
        <w:t xml:space="preserve">)</w:t>
      </w:r>
      <w:r>
        <w:br/>
      </w:r>
      <w:r>
        <w:br/>
      </w:r>
      <w:r>
        <w:rPr>
          <w:rStyle w:val="KeywordTok"/>
        </w:rPr>
        <w:t xml:space="preserve">def</w:t>
      </w:r>
      <w:r>
        <w:rPr>
          <w:rStyle w:val="NormalTok"/>
        </w:rPr>
        <w:t xml:space="preserve"> decorrelated_jitter(attempt, prev, rng):</w:t>
      </w:r>
      <w:r>
        <w:br/>
      </w:r>
      <w:r>
        <w:rPr>
          <w:rStyle w:val="NormalTok"/>
        </w:rPr>
        <w:t xml:space="preserve">    </w:t>
      </w:r>
      <w:r>
        <w:rPr>
          <w:rStyle w:val="ControlFlowTok"/>
        </w:rPr>
        <w:t xml:space="preserve">return</w:t>
      </w:r>
      <w:r>
        <w:rPr>
          <w:rStyle w:val="NormalTok"/>
        </w:rPr>
        <w:t xml:space="preserve"> </w:t>
      </w:r>
      <w:r>
        <w:rPr>
          <w:rStyle w:val="BuiltInTok"/>
        </w:rPr>
        <w:t xml:space="preserve">min</w:t>
      </w:r>
      <w:r>
        <w:rPr>
          <w:rStyle w:val="NormalTok"/>
        </w:rPr>
        <w:t xml:space="preserve">(CAP, rng.uniform(BASE, prev </w:t>
      </w:r>
      <w:r>
        <w:rPr>
          <w:rStyle w:val="OperatorTok"/>
        </w:rPr>
        <w:t xml:space="preserve">*</w:t>
      </w:r>
      <w:r>
        <w:rPr>
          <w:rStyle w:val="NormalTok"/>
        </w:rPr>
        <w:t xml:space="preserve"> </w:t>
      </w:r>
      <w:r>
        <w:rPr>
          <w:rStyle w:val="DecValTok"/>
        </w:rPr>
        <w:t xml:space="preserve">3</w:t>
      </w:r>
      <w:r>
        <w:rPr>
          <w:rStyle w:val="NormalTok"/>
        </w:rPr>
        <w:t xml:space="preserve">))</w:t>
      </w:r>
      <w:r>
        <w:br/>
      </w:r>
      <w:r>
        <w:br/>
      </w:r>
      <w:r>
        <w:br/>
      </w:r>
      <w:r>
        <w:rPr>
          <w:rStyle w:val="KeywordTok"/>
        </w:rPr>
        <w:t xml:space="preserve">def</w:t>
      </w:r>
      <w:r>
        <w:rPr>
          <w:rStyle w:val="NormalTok"/>
        </w:rPr>
        <w:t xml:space="preserve"> simulate(strategy, clients, seed, max_attempts</w:t>
      </w:r>
      <w:r>
        <w:rPr>
          <w:rStyle w:val="OperatorTok"/>
        </w:rPr>
        <w:t xml:space="preserve">=</w:t>
      </w:r>
      <w:r>
        <w:rPr>
          <w:rStyle w:val="DecValTok"/>
        </w:rPr>
        <w:t xml:space="preserve">200</w:t>
      </w:r>
      <w:r>
        <w:rPr>
          <w:rStyle w:val="NormalTok"/>
        </w:rPr>
        <w:t xml:space="preserve">):</w:t>
      </w:r>
      <w:r>
        <w:br/>
      </w:r>
      <w:r>
        <w:rPr>
          <w:rStyle w:val="NormalTok"/>
        </w:rPr>
        <w:t xml:space="preserve">    rng </w:t>
      </w:r>
      <w:r>
        <w:rPr>
          <w:rStyle w:val="OperatorTok"/>
        </w:rPr>
        <w:t xml:space="preserve">=</w:t>
      </w:r>
      <w:r>
        <w:rPr>
          <w:rStyle w:val="NormalTok"/>
        </w:rPr>
        <w:t xml:space="preserve"> random.Random(seed)</w:t>
      </w:r>
      <w:r>
        <w:br/>
      </w:r>
      <w:r>
        <w:rPr>
          <w:rStyle w:val="NormalTok"/>
        </w:rPr>
        <w:t xml:space="preserve">    </w:t>
      </w:r>
      <w:r>
        <w:rPr>
          <w:rStyle w:val="CommentTok"/>
        </w:rPr>
        <w:t xml:space="preserve"># every client makes its first call within the same 1 ms (a synchronized wave)</w:t>
      </w:r>
      <w:r>
        <w:br/>
      </w:r>
      <w:r>
        <w:rPr>
          <w:rStyle w:val="NormalTok"/>
        </w:rPr>
        <w:t xml:space="preserve">    queue </w:t>
      </w:r>
      <w:r>
        <w:rPr>
          <w:rStyle w:val="OperatorTok"/>
        </w:rPr>
        <w:t xml:space="preserve">=</w:t>
      </w:r>
      <w:r>
        <w:rPr>
          <w:rStyle w:val="NormalTok"/>
        </w:rPr>
        <w:t xml:space="preserve"> [(rng.uniform(</w:t>
      </w:r>
      <w:r>
        <w:rPr>
          <w:rStyle w:val="DecValTok"/>
        </w:rPr>
        <w:t xml:space="preserve">0</w:t>
      </w:r>
      <w:r>
        <w:rPr>
          <w:rStyle w:val="NormalTok"/>
        </w:rPr>
        <w:t xml:space="preserve">, </w:t>
      </w:r>
      <w:r>
        <w:rPr>
          <w:rStyle w:val="FloatTok"/>
        </w:rPr>
        <w:t xml:space="preserve">1.0</w:t>
      </w:r>
      <w:r>
        <w:rPr>
          <w:rStyle w:val="NormalTok"/>
        </w:rPr>
        <w:t xml:space="preserve">), c, </w:t>
      </w:r>
      <w:r>
        <w:rPr>
          <w:rStyle w:val="DecValTok"/>
        </w:rPr>
        <w:t xml:space="preserve">0</w:t>
      </w:r>
      <w:r>
        <w:rPr>
          <w:rStyle w:val="NormalTok"/>
        </w:rPr>
        <w:t xml:space="preserve">, BASE)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BuiltInTok"/>
        </w:rPr>
        <w:t xml:space="preserve">range</w:t>
      </w:r>
      <w:r>
        <w:rPr>
          <w:rStyle w:val="NormalTok"/>
        </w:rPr>
        <w:t xml:space="preserve">(clients)]</w:t>
      </w:r>
      <w:r>
        <w:br/>
      </w:r>
      <w:r>
        <w:rPr>
          <w:rStyle w:val="NormalTok"/>
        </w:rPr>
        <w:t xml:space="preserve">    heapq.heapify(queue)</w:t>
      </w:r>
      <w:r>
        <w:br/>
      </w:r>
      <w:r>
        <w:rPr>
          <w:rStyle w:val="NormalTok"/>
        </w:rPr>
        <w:t xml:space="preserve">    busy_until, calls, finish </w:t>
      </w:r>
      <w:r>
        <w:rPr>
          <w:rStyle w:val="OperatorTok"/>
        </w:rPr>
        <w:t xml:space="preserve">=</w:t>
      </w:r>
      <w:r>
        <w:rPr>
          <w:rStyle w:val="NormalTok"/>
        </w:rPr>
        <w:t xml:space="preserve"> </w:t>
      </w:r>
      <w:r>
        <w:rPr>
          <w:rStyle w:val="OperatorTok"/>
        </w:rPr>
        <w:t xml:space="preserve">-</w:t>
      </w:r>
      <w:r>
        <w:rPr>
          <w:rStyle w:val="FloatTok"/>
        </w:rPr>
        <w:t xml:space="preserve">1.0</w:t>
      </w:r>
      <w:r>
        <w:rPr>
          <w:rStyle w:val="NormalTok"/>
        </w:rPr>
        <w:t xml:space="preserve">, </w:t>
      </w:r>
      <w:r>
        <w:rPr>
          <w:rStyle w:val="DecValTok"/>
        </w:rPr>
        <w:t xml:space="preserve">0</w:t>
      </w:r>
      <w:r>
        <w:rPr>
          <w:rStyle w:val="NormalTok"/>
        </w:rPr>
        <w:t xml:space="preserve">, </w:t>
      </w:r>
      <w:r>
        <w:rPr>
          <w:rStyle w:val="FloatTok"/>
        </w:rPr>
        <w:t xml:space="preserve">0.0</w:t>
      </w:r>
      <w:r>
        <w:br/>
      </w:r>
      <w:r>
        <w:rPr>
          <w:rStyle w:val="NormalTok"/>
        </w:rPr>
        <w:t xml:space="preserve">    </w:t>
      </w:r>
      <w:r>
        <w:rPr>
          <w:rStyle w:val="ControlFlowTok"/>
        </w:rPr>
        <w:t xml:space="preserve">while</w:t>
      </w:r>
      <w:r>
        <w:rPr>
          <w:rStyle w:val="NormalTok"/>
        </w:rPr>
        <w:t xml:space="preserve"> queue:</w:t>
      </w:r>
      <w:r>
        <w:br/>
      </w:r>
      <w:r>
        <w:rPr>
          <w:rStyle w:val="NormalTok"/>
        </w:rPr>
        <w:t xml:space="preserve">        t, c, attempt, prev </w:t>
      </w:r>
      <w:r>
        <w:rPr>
          <w:rStyle w:val="OperatorTok"/>
        </w:rPr>
        <w:t xml:space="preserve">=</w:t>
      </w:r>
      <w:r>
        <w:rPr>
          <w:rStyle w:val="NormalTok"/>
        </w:rPr>
        <w:t xml:space="preserve"> heapq.heappop(queue)</w:t>
      </w:r>
      <w:r>
        <w:br/>
      </w:r>
      <w:r>
        <w:rPr>
          <w:rStyle w:val="NormalTok"/>
        </w:rPr>
        <w:t xml:space="preserve">        calls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t </w:t>
      </w:r>
      <w:r>
        <w:rPr>
          <w:rStyle w:val="OperatorTok"/>
        </w:rPr>
        <w:t xml:space="preserve">&gt;=</w:t>
      </w:r>
      <w:r>
        <w:rPr>
          <w:rStyle w:val="NormalTok"/>
        </w:rPr>
        <w:t xml:space="preserve"> busy_until:                      </w:t>
      </w:r>
      <w:r>
        <w:rPr>
          <w:rStyle w:val="CommentTok"/>
        </w:rPr>
        <w:t xml:space="preserve"># no conflicting write in flight: success</w:t>
      </w:r>
      <w:r>
        <w:br/>
      </w:r>
      <w:r>
        <w:rPr>
          <w:rStyle w:val="NormalTok"/>
        </w:rPr>
        <w:t xml:space="preserve">            busy_until, finish </w:t>
      </w:r>
      <w:r>
        <w:rPr>
          <w:rStyle w:val="OperatorTok"/>
        </w:rPr>
        <w:t xml:space="preserve">=</w:t>
      </w:r>
      <w:r>
        <w:rPr>
          <w:rStyle w:val="NormalTok"/>
        </w:rPr>
        <w:t xml:space="preserve"> t </w:t>
      </w:r>
      <w:r>
        <w:rPr>
          <w:rStyle w:val="OperatorTok"/>
        </w:rPr>
        <w:t xml:space="preserve">+</w:t>
      </w:r>
      <w:r>
        <w:rPr>
          <w:rStyle w:val="NormalTok"/>
        </w:rPr>
        <w:t xml:space="preserve"> WORK, t</w:t>
      </w:r>
      <w:r>
        <w:br/>
      </w:r>
      <w:r>
        <w:rPr>
          <w:rStyle w:val="NormalTok"/>
        </w:rPr>
        <w:t xml:space="preserve">        </w:t>
      </w:r>
      <w:r>
        <w:rPr>
          <w:rStyle w:val="ControlFlowTok"/>
        </w:rPr>
        <w:t xml:space="preserve">elif</w:t>
      </w:r>
      <w:r>
        <w:rPr>
          <w:rStyle w:val="NormalTok"/>
        </w:rPr>
        <w:t xml:space="preserve"> attempt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w:t>
      </w:r>
      <w:r>
        <w:rPr>
          <w:rStyle w:val="NormalTok"/>
        </w:rPr>
        <w:t xml:space="preserve"> max_attempts:         </w:t>
      </w:r>
      <w:r>
        <w:rPr>
          <w:rStyle w:val="CommentTok"/>
        </w:rPr>
        <w:t xml:space="preserve"># conflict: back off and try again</w:t>
      </w:r>
      <w:r>
        <w:br/>
      </w:r>
      <w:r>
        <w:rPr>
          <w:rStyle w:val="NormalTok"/>
        </w:rPr>
        <w:t xml:space="preserve">            sleep </w:t>
      </w:r>
      <w:r>
        <w:rPr>
          <w:rStyle w:val="OperatorTok"/>
        </w:rPr>
        <w:t xml:space="preserve">=</w:t>
      </w:r>
      <w:r>
        <w:rPr>
          <w:rStyle w:val="NormalTok"/>
        </w:rPr>
        <w:t xml:space="preserve"> strategy(attempt </w:t>
      </w:r>
      <w:r>
        <w:rPr>
          <w:rStyle w:val="OperatorTok"/>
        </w:rPr>
        <w:t xml:space="preserve">+</w:t>
      </w:r>
      <w:r>
        <w:rPr>
          <w:rStyle w:val="NormalTok"/>
        </w:rPr>
        <w:t xml:space="preserve"> </w:t>
      </w:r>
      <w:r>
        <w:rPr>
          <w:rStyle w:val="DecValTok"/>
        </w:rPr>
        <w:t xml:space="preserve">1</w:t>
      </w:r>
      <w:r>
        <w:rPr>
          <w:rStyle w:val="NormalTok"/>
        </w:rPr>
        <w:t xml:space="preserve">, prev, rng)</w:t>
      </w:r>
      <w:r>
        <w:br/>
      </w:r>
      <w:r>
        <w:rPr>
          <w:rStyle w:val="NormalTok"/>
        </w:rPr>
        <w:t xml:space="preserve">            heapq.heappush(queue, (t </w:t>
      </w:r>
      <w:r>
        <w:rPr>
          <w:rStyle w:val="OperatorTok"/>
        </w:rPr>
        <w:t xml:space="preserve">+</w:t>
      </w:r>
      <w:r>
        <w:rPr>
          <w:rStyle w:val="NormalTok"/>
        </w:rPr>
        <w:t xml:space="preserve"> WORK </w:t>
      </w:r>
      <w:r>
        <w:rPr>
          <w:rStyle w:val="OperatorTok"/>
        </w:rPr>
        <w:t xml:space="preserve">+</w:t>
      </w:r>
      <w:r>
        <w:rPr>
          <w:rStyle w:val="NormalTok"/>
        </w:rPr>
        <w:t xml:space="preserve"> sleep, c, attempt </w:t>
      </w:r>
      <w:r>
        <w:rPr>
          <w:rStyle w:val="OperatorTok"/>
        </w:rPr>
        <w:t xml:space="preserve">+</w:t>
      </w:r>
      <w:r>
        <w:rPr>
          <w:rStyle w:val="NormalTok"/>
        </w:rPr>
        <w:t xml:space="preserve"> </w:t>
      </w:r>
      <w:r>
        <w:rPr>
          <w:rStyle w:val="DecValTok"/>
        </w:rPr>
        <w:t xml:space="preserve">1</w:t>
      </w:r>
      <w:r>
        <w:rPr>
          <w:rStyle w:val="NormalTok"/>
        </w:rPr>
        <w:t xml:space="preserve">, sleep))</w:t>
      </w:r>
      <w:r>
        <w:br/>
      </w:r>
      <w:r>
        <w:rPr>
          <w:rStyle w:val="NormalTok"/>
        </w:rPr>
        <w:t xml:space="preserve">    </w:t>
      </w:r>
      <w:r>
        <w:rPr>
          <w:rStyle w:val="ControlFlowTok"/>
        </w:rPr>
        <w:t xml:space="preserve">return</w:t>
      </w:r>
      <w:r>
        <w:rPr>
          <w:rStyle w:val="NormalTok"/>
        </w:rPr>
        <w:t xml:space="preserve"> calls, finish</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strategies </w:t>
      </w:r>
      <w:r>
        <w:rPr>
          <w:rStyle w:val="OperatorTok"/>
        </w:rPr>
        <w:t xml:space="preserve">=</w:t>
      </w:r>
      <w:r>
        <w:rPr>
          <w:rStyle w:val="NormalTok"/>
        </w:rPr>
        <w:t xml:space="preserve"> [(</w:t>
      </w:r>
      <w:r>
        <w:rPr>
          <w:rStyle w:val="StringTok"/>
        </w:rPr>
        <w:t xml:space="preserve">"exponential, no jitter"</w:t>
      </w:r>
      <w:r>
        <w:rPr>
          <w:rStyle w:val="NormalTok"/>
        </w:rPr>
        <w:t xml:space="preserve">, no_jitter), (</w:t>
      </w:r>
      <w:r>
        <w:rPr>
          <w:rStyle w:val="StringTok"/>
        </w:rPr>
        <w:t xml:space="preserve">"full jitter"</w:t>
      </w:r>
      <w:r>
        <w:rPr>
          <w:rStyle w:val="NormalTok"/>
        </w:rPr>
        <w:t xml:space="preserve">, full_jitter),</w:t>
      </w:r>
      <w:r>
        <w:br/>
      </w:r>
      <w:r>
        <w:rPr>
          <w:rStyle w:val="NormalTok"/>
        </w:rPr>
        <w:t xml:space="preserve">                  (</w:t>
      </w:r>
      <w:r>
        <w:rPr>
          <w:rStyle w:val="StringTok"/>
        </w:rPr>
        <w:t xml:space="preserve">"equal jitter"</w:t>
      </w:r>
      <w:r>
        <w:rPr>
          <w:rStyle w:val="NormalTok"/>
        </w:rPr>
        <w:t xml:space="preserve">, equal_jitter), (</w:t>
      </w:r>
      <w:r>
        <w:rPr>
          <w:rStyle w:val="StringTok"/>
        </w:rPr>
        <w:t xml:space="preserve">"decorrelated jitter"</w:t>
      </w:r>
      <w:r>
        <w:rPr>
          <w:rStyle w:val="NormalTok"/>
        </w:rPr>
        <w:t xml:space="preserve">, decorrelated_jitter)]</w:t>
      </w:r>
      <w:r>
        <w:br/>
      </w:r>
      <w:r>
        <w:rPr>
          <w:rStyle w:val="NormalTok"/>
        </w:rPr>
        <w:t xml:space="preserve">    seeds </w:t>
      </w:r>
      <w:r>
        <w:rPr>
          <w:rStyle w:val="OperatorTok"/>
        </w:rPr>
        <w:t xml:space="preserve">=</w:t>
      </w:r>
      <w:r>
        <w:rPr>
          <w:rStyle w:val="NormalTok"/>
        </w:rPr>
        <w:t xml:space="preserve"> </w:t>
      </w:r>
      <w:r>
        <w:rPr>
          <w:rStyle w:val="BuiltInTok"/>
        </w:rPr>
        <w:t xml:space="preserve">range</w:t>
      </w:r>
      <w:r>
        <w:rPr>
          <w:rStyle w:val="NormalTok"/>
        </w:rPr>
        <w:t xml:space="preserve">(</w:t>
      </w:r>
      <w:r>
        <w:rPr>
          <w:rStyle w:val="DecValTok"/>
        </w:rPr>
        <w:t xml:space="preserve">20</w:t>
      </w:r>
      <w:r>
        <w:rPr>
          <w:rStyle w:val="NormalTok"/>
        </w:rPr>
        <w:t xml:space="preserve">)</w:t>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DecValTok"/>
        </w:rPr>
        <w:t xml:space="preserve">25</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w:t>
      </w:r>
      <w:r>
        <w:rPr>
          <w:rStyle w:val="SpecialCharTok"/>
        </w:rPr>
        <w:t xml:space="preserve">}</w:t>
      </w:r>
      <w:r>
        <w:rPr>
          <w:rStyle w:val="SpecialStringTok"/>
        </w:rPr>
        <w:t xml:space="preserve"> clients (mean of </w:t>
      </w:r>
      <w:r>
        <w:rPr>
          <w:rStyle w:val="SpecialCharTok"/>
        </w:rPr>
        <w:t xml:space="preserve">{</w:t>
      </w:r>
      <w:r>
        <w:rPr>
          <w:rStyle w:val="BuiltInTok"/>
        </w:rPr>
        <w:t xml:space="preserve">len</w:t>
      </w:r>
      <w:r>
        <w:rPr>
          <w:rStyle w:val="NormalTok"/>
        </w:rPr>
        <w:t xml:space="preserve">(seeds)</w:t>
      </w:r>
      <w:r>
        <w:rPr>
          <w:rStyle w:val="SpecialCharTok"/>
        </w:rPr>
        <w:t xml:space="preserve">}</w:t>
      </w:r>
      <w:r>
        <w:rPr>
          <w:rStyle w:val="SpecialStringTok"/>
        </w:rPr>
        <w:t xml:space="preserve"> runs)     calls   calls/client   time to finish"</w:t>
      </w:r>
      <w:r>
        <w:rPr>
          <w:rStyle w:val="NormalTok"/>
        </w:rPr>
        <w:t xml:space="preserve">)</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name, fn </w:t>
      </w:r>
      <w:r>
        <w:rPr>
          <w:rStyle w:val="KeywordTok"/>
        </w:rPr>
        <w:t xml:space="preserve">in</w:t>
      </w:r>
      <w:r>
        <w:rPr>
          <w:rStyle w:val="NormalTok"/>
        </w:rPr>
        <w:t xml:space="preserve"> strategies:</w:t>
      </w:r>
      <w:r>
        <w:br/>
      </w:r>
      <w:r>
        <w:rPr>
          <w:rStyle w:val="NormalTok"/>
        </w:rPr>
        <w:t xml:space="preserve">            runs </w:t>
      </w:r>
      <w:r>
        <w:rPr>
          <w:rStyle w:val="OperatorTok"/>
        </w:rPr>
        <w:t xml:space="preserve">=</w:t>
      </w:r>
      <w:r>
        <w:rPr>
          <w:rStyle w:val="NormalTok"/>
        </w:rPr>
        <w:t xml:space="preserve"> [simulate(fn, n, s) </w:t>
      </w:r>
      <w:r>
        <w:rPr>
          <w:rStyle w:val="ControlFlowTok"/>
        </w:rPr>
        <w:t xml:space="preserve">for</w:t>
      </w:r>
      <w:r>
        <w:rPr>
          <w:rStyle w:val="NormalTok"/>
        </w:rPr>
        <w:t xml:space="preserve"> s </w:t>
      </w:r>
      <w:r>
        <w:rPr>
          <w:rStyle w:val="KeywordTok"/>
        </w:rPr>
        <w:t xml:space="preserve">in</w:t>
      </w:r>
      <w:r>
        <w:rPr>
          <w:rStyle w:val="NormalTok"/>
        </w:rPr>
        <w:t xml:space="preserve"> seeds]</w:t>
      </w:r>
      <w:r>
        <w:br/>
      </w:r>
      <w:r>
        <w:rPr>
          <w:rStyle w:val="NormalTok"/>
        </w:rPr>
        <w:t xml:space="preserve">            calls </w:t>
      </w:r>
      <w:r>
        <w:rPr>
          <w:rStyle w:val="OperatorTok"/>
        </w:rPr>
        <w:t xml:space="preserve">=</w:t>
      </w:r>
      <w:r>
        <w:rPr>
          <w:rStyle w:val="NormalTok"/>
        </w:rPr>
        <w:t xml:space="preserve"> </w:t>
      </w:r>
      <w:r>
        <w:rPr>
          <w:rStyle w:val="BuiltInTok"/>
        </w:rPr>
        <w:t xml:space="preserve">sum</w:t>
      </w:r>
      <w:r>
        <w:rPr>
          <w:rStyle w:val="NormalTok"/>
        </w:rPr>
        <w:t xml:space="preserve">(r[</w:t>
      </w:r>
      <w:r>
        <w:rPr>
          <w:rStyle w:val="DecValTok"/>
        </w:rPr>
        <w:t xml:space="preserve">0</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runs) </w:t>
      </w:r>
      <w:r>
        <w:rPr>
          <w:rStyle w:val="OperatorTok"/>
        </w:rPr>
        <w:t xml:space="preserve">/</w:t>
      </w:r>
      <w:r>
        <w:rPr>
          <w:rStyle w:val="NormalTok"/>
        </w:rPr>
        <w:t xml:space="preserve"> </w:t>
      </w:r>
      <w:r>
        <w:rPr>
          <w:rStyle w:val="BuiltInTok"/>
        </w:rPr>
        <w:t xml:space="preserve">len</w:t>
      </w:r>
      <w:r>
        <w:rPr>
          <w:rStyle w:val="NormalTok"/>
        </w:rPr>
        <w:t xml:space="preserve">(runs)</w:t>
      </w:r>
      <w:r>
        <w:br/>
      </w:r>
      <w:r>
        <w:rPr>
          <w:rStyle w:val="NormalTok"/>
        </w:rPr>
        <w:t xml:space="preserve">            finish </w:t>
      </w:r>
      <w:r>
        <w:rPr>
          <w:rStyle w:val="OperatorTok"/>
        </w:rPr>
        <w:t xml:space="preserve">=</w:t>
      </w:r>
      <w:r>
        <w:rPr>
          <w:rStyle w:val="NormalTok"/>
        </w:rPr>
        <w:t xml:space="preserve"> </w:t>
      </w:r>
      <w:r>
        <w:rPr>
          <w:rStyle w:val="BuiltInTok"/>
        </w:rPr>
        <w:t xml:space="preserve">sum</w:t>
      </w:r>
      <w:r>
        <w:rPr>
          <w:rStyle w:val="NormalTok"/>
        </w:rPr>
        <w:t xml:space="preserve">(r[</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runs) </w:t>
      </w:r>
      <w:r>
        <w:rPr>
          <w:rStyle w:val="OperatorTok"/>
        </w:rPr>
        <w:t xml:space="preserve">/</w:t>
      </w:r>
      <w:r>
        <w:rPr>
          <w:rStyle w:val="NormalTok"/>
        </w:rPr>
        <w:t xml:space="preserve"> </w:t>
      </w:r>
      <w:r>
        <w:rPr>
          <w:rStyle w:val="BuiltInTok"/>
        </w:rPr>
        <w:t xml:space="preserve">len</w:t>
      </w:r>
      <w:r>
        <w:rPr>
          <w:rStyle w:val="NormalTok"/>
        </w:rPr>
        <w:t xml:space="preserve">(runs)</w:t>
      </w:r>
      <w:r>
        <w:br/>
      </w:r>
      <w:r>
        <w:rPr>
          <w:rStyle w:val="NormalTok"/>
        </w:rPr>
        <w:t xml:space="preserve">            results[name] </w:t>
      </w:r>
      <w:r>
        <w:rPr>
          <w:rStyle w:val="OperatorTok"/>
        </w:rPr>
        <w:t xml:space="preserve">=</w:t>
      </w:r>
      <w:r>
        <w:rPr>
          <w:rStyle w:val="NormalTok"/>
        </w:rPr>
        <w:t xml:space="preserve"> calls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name</w:t>
      </w:r>
      <w:r>
        <w:rPr>
          <w:rStyle w:val="SpecialCharTok"/>
        </w:rPr>
        <w:t xml:space="preserve">:24s}</w:t>
      </w:r>
      <w:r>
        <w:rPr>
          <w:rStyle w:val="SpecialStringTok"/>
        </w:rPr>
        <w:t xml:space="preserve"> </w:t>
      </w:r>
      <w:r>
        <w:rPr>
          <w:rStyle w:val="SpecialCharTok"/>
        </w:rPr>
        <w:t xml:space="preserve">{</w:t>
      </w:r>
      <w:r>
        <w:rPr>
          <w:rStyle w:val="NormalTok"/>
        </w:rPr>
        <w:t xml:space="preserve">calls</w:t>
      </w:r>
      <w:r>
        <w:rPr>
          <w:rStyle w:val="SpecialCharTok"/>
        </w:rPr>
        <w:t xml:space="preserve">:8.0f}</w:t>
      </w:r>
      <w:r>
        <w:rPr>
          <w:rStyle w:val="SpecialStringTok"/>
        </w:rPr>
        <w:t xml:space="preserve">   </w:t>
      </w:r>
      <w:r>
        <w:rPr>
          <w:rStyle w:val="SpecialCharTok"/>
        </w:rPr>
        <w:t xml:space="preserve">{</w:t>
      </w:r>
      <w:r>
        <w:rPr>
          <w:rStyle w:val="NormalTok"/>
        </w:rPr>
        <w:t xml:space="preserve">calls </w:t>
      </w:r>
      <w:r>
        <w:rPr>
          <w:rStyle w:val="OperatorTok"/>
        </w:rPr>
        <w:t xml:space="preserve">/</w:t>
      </w:r>
      <w:r>
        <w:rPr>
          <w:rStyle w:val="NormalTok"/>
        </w:rPr>
        <w:t xml:space="preserve"> n</w:t>
      </w:r>
      <w:r>
        <w:rPr>
          <w:rStyle w:val="SpecialCharTok"/>
        </w:rPr>
        <w:t xml:space="preserve">:10.1f}</w:t>
      </w:r>
      <w:r>
        <w:rPr>
          <w:rStyle w:val="SpecialStringTok"/>
        </w:rPr>
        <w:t xml:space="preserve">   </w:t>
      </w:r>
      <w:r>
        <w:rPr>
          <w:rStyle w:val="SpecialCharTok"/>
        </w:rPr>
        <w:t xml:space="preserve">{</w:t>
      </w:r>
      <w:r>
        <w:rPr>
          <w:rStyle w:val="NormalTok"/>
        </w:rPr>
        <w:t xml:space="preserve">finish</w:t>
      </w:r>
      <w:r>
        <w:rPr>
          <w:rStyle w:val="SpecialCharTok"/>
        </w:rPr>
        <w:t xml:space="preserve">:10.0f}</w:t>
      </w:r>
      <w:r>
        <w:rPr>
          <w:rStyle w:val="SpecialStringTok"/>
        </w:rPr>
        <w:t xml:space="preserve"> ms"</w:t>
      </w:r>
      <w:r>
        <w:rPr>
          <w:rStyle w:val="NormalTok"/>
        </w:rPr>
        <w:t xml:space="preserve">)</w:t>
      </w:r>
      <w:r>
        <w:br/>
      </w:r>
      <w:r>
        <w:rPr>
          <w:rStyle w:val="NormalTok"/>
        </w:rPr>
        <w:t xml:space="preserve">        </w:t>
      </w:r>
      <w:r>
        <w:rPr>
          <w:rStyle w:val="BuiltInTok"/>
        </w:rPr>
        <w:t xml:space="preserve">print</w:t>
      </w:r>
      <w:r>
        <w:rPr>
          <w:rStyle w:val="NormalTok"/>
        </w:rPr>
        <w:t xml:space="preserve">()</w:t>
      </w:r>
      <w:r>
        <w:br/>
      </w:r>
      <w:r>
        <w:rPr>
          <w:rStyle w:val="NormalTok"/>
        </w:rPr>
        <w:t xml:space="preserve">        </w:t>
      </w:r>
      <w:r>
        <w:rPr>
          <w:rStyle w:val="ControlFlowTok"/>
        </w:rPr>
        <w:t xml:space="preserve">assert</w:t>
      </w:r>
      <w:r>
        <w:rPr>
          <w:rStyle w:val="NormalTok"/>
        </w:rPr>
        <w:t xml:space="preserve"> results[</w:t>
      </w:r>
      <w:r>
        <w:rPr>
          <w:rStyle w:val="StringTok"/>
        </w:rPr>
        <w:t xml:space="preserve">"full jitter"</w:t>
      </w:r>
      <w:r>
        <w:rPr>
          <w:rStyle w:val="NormalTok"/>
        </w:rPr>
        <w:t xml:space="preserve">] </w:t>
      </w:r>
      <w:r>
        <w:rPr>
          <w:rStyle w:val="OperatorTok"/>
        </w:rPr>
        <w:t xml:space="preserve">&lt;</w:t>
      </w:r>
      <w:r>
        <w:rPr>
          <w:rStyle w:val="NormalTok"/>
        </w:rPr>
        <w:t xml:space="preserve"> results[</w:t>
      </w:r>
      <w:r>
        <w:rPr>
          <w:rStyle w:val="StringTok"/>
        </w:rPr>
        <w:t xml:space="preserve">"exponential, no jitter"</w:t>
      </w:r>
      <w:r>
        <w:rPr>
          <w:rStyle w:val="NormalTok"/>
        </w:rPr>
        <w:t xml:space="preserve">] </w:t>
      </w:r>
      <w:r>
        <w:rPr>
          <w:rStyle w:val="OperatorTok"/>
        </w:rPr>
        <w:t xml:space="preserve">/</w:t>
      </w:r>
      <w:r>
        <w:rPr>
          <w:rStyle w:val="NormalTok"/>
        </w:rPr>
        <w:t xml:space="preserve"> </w:t>
      </w:r>
      <w:r>
        <w:rPr>
          <w:rStyle w:val="DecValTok"/>
        </w:rPr>
        <w:t xml:space="preserve">3</w:t>
      </w:r>
    </w:p>
    <w:p>
      <w:pPr>
        <w:pStyle w:val="FirstParagraph"/>
      </w:pPr>
      <w:r>
        <w:t xml:space="preserve">Output:</w:t>
      </w:r>
    </w:p>
    <w:p>
      <w:pPr>
        <w:pStyle w:val="SourceCode"/>
      </w:pPr>
      <w:r>
        <w:rPr>
          <w:rStyle w:val="VerbatimChar"/>
        </w:rPr>
        <w:t xml:space="preserve">25 clients (mean of 20 runs)     calls   calls/client   time to finish</w:t>
      </w:r>
      <w:r>
        <w:br/>
      </w:r>
      <w:r>
        <w:rPr>
          <w:rStyle w:val="VerbatimChar"/>
        </w:rPr>
        <w:t xml:space="preserve">  exponential, no jitter        325         13.0        34575 ms</w:t>
      </w:r>
      <w:r>
        <w:br/>
      </w:r>
      <w:r>
        <w:rPr>
          <w:rStyle w:val="VerbatimChar"/>
        </w:rPr>
        <w:t xml:space="preserve">  full jitter                    76          3.1           93 ms</w:t>
      </w:r>
      <w:r>
        <w:br/>
      </w:r>
      <w:r>
        <w:rPr>
          <w:rStyle w:val="VerbatimChar"/>
        </w:rPr>
        <w:t xml:space="preserve">  equal jitter                   83          3.3          139 ms</w:t>
      </w:r>
      <w:r>
        <w:br/>
      </w:r>
      <w:r>
        <w:rPr>
          <w:rStyle w:val="VerbatimChar"/>
        </w:rPr>
        <w:t xml:space="preserve">  decorrelated jitter            73          2.9          108 ms</w:t>
      </w:r>
      <w:r>
        <w:br/>
      </w:r>
      <w:r>
        <w:br/>
      </w:r>
      <w:r>
        <w:rPr>
          <w:rStyle w:val="VerbatimChar"/>
        </w:rPr>
        <w:t xml:space="preserve">100 clients (mean of 20 runs)     calls   calls/client   time to finish</w:t>
      </w:r>
      <w:r>
        <w:br/>
      </w:r>
      <w:r>
        <w:rPr>
          <w:rStyle w:val="VerbatimChar"/>
        </w:rPr>
        <w:t xml:space="preserve">  exponential, no jitter       5050         50.5       184650 ms</w:t>
      </w:r>
      <w:r>
        <w:br/>
      </w:r>
      <w:r>
        <w:rPr>
          <w:rStyle w:val="VerbatimChar"/>
        </w:rPr>
        <w:t xml:space="preserve">  full jitter                   459          4.6          498 ms</w:t>
      </w:r>
      <w:r>
        <w:br/>
      </w:r>
      <w:r>
        <w:rPr>
          <w:rStyle w:val="VerbatimChar"/>
        </w:rPr>
        <w:t xml:space="preserve">  equal jitter                  475          4.8          636 ms</w:t>
      </w:r>
      <w:r>
        <w:br/>
      </w:r>
      <w:r>
        <w:rPr>
          <w:rStyle w:val="VerbatimChar"/>
        </w:rPr>
        <w:t xml:space="preserve">  decorrelated jitter           450          4.5          406 ms</w:t>
      </w:r>
    </w:p>
    <w:p>
      <w:pPr>
        <w:pStyle w:val="FirstParagraph"/>
      </w:pPr>
      <w:r>
        <w:t xml:space="preserve">What to notice:</w:t>
      </w:r>
    </w:p>
    <w:p>
      <w:pPr>
        <w:numPr>
          <w:ilvl w:val="0"/>
          <w:numId w:val="1735"/>
        </w:numPr>
        <w:pStyle w:val="Compact"/>
      </w:pPr>
      <w:r>
        <w:rPr>
          <w:bCs/>
          <w:b/>
        </w:rPr>
        <w:t xml:space="preserve">Without jitter, contention is quadratic.</w:t>
      </w:r>
      <w:r>
        <w:t xml:space="preserve"> </w:t>
      </w:r>
      <w:r>
        <w:t xml:space="preserve">The clients stay synchronized forever, so each wave lets exactly one through:</w:t>
      </w:r>
      <w:r>
        <w:t xml:space="preserve"> </w:t>
      </w:r>
      <m:oMath>
        <m:r>
          <m:t>100</m:t>
        </m:r>
        <m:r>
          <m:rPr>
            <m:sty m:val="p"/>
          </m:rPr>
          <m:t>+</m:t>
        </m:r>
        <m:r>
          <m:t>99</m:t>
        </m:r>
        <m:r>
          <m:rPr>
            <m:sty m:val="p"/>
          </m:rPr>
          <m:t>+</m:t>
        </m:r>
        <m:r>
          <m:rPr>
            <m:sty m:val="p"/>
          </m:rPr>
          <m:t>…</m:t>
        </m:r>
        <m:r>
          <m:rPr>
            <m:sty m:val="p"/>
          </m:rPr>
          <m:t>+</m:t>
        </m:r>
        <m:r>
          <m:t>1</m:t>
        </m:r>
        <m:r>
          <m:rPr>
            <m:sty m:val="p"/>
          </m:rPr>
          <m:t>=</m:t>
        </m:r>
        <m:r>
          <m:t>5</m:t>
        </m:r>
        <m:r>
          <m:rPr>
            <m:sty m:val="p"/>
          </m:rPr>
          <m:t>,</m:t>
        </m:r>
        <m:r>
          <m:t>050</m:t>
        </m:r>
      </m:oMath>
      <w:r>
        <w:t xml:space="preserve"> </w:t>
      </w:r>
      <w:r>
        <w:t xml:space="preserve">calls, and the last client finishes after three minutes because waits hit the 2 s cap.</w:t>
      </w:r>
    </w:p>
    <w:p>
      <w:pPr>
        <w:numPr>
          <w:ilvl w:val="0"/>
          <w:numId w:val="1735"/>
        </w:numPr>
        <w:pStyle w:val="Compact"/>
      </w:pPr>
      <w:r>
        <w:rPr>
          <w:bCs/>
          <w:b/>
        </w:rPr>
        <w:t xml:space="preserve">Any jitter cuts work by 11×</w:t>
      </w:r>
      <w:r>
        <w:t xml:space="preserve"> </w:t>
      </w:r>
      <w:r>
        <w:t xml:space="preserve">(5,050 → about 460 calls) and completion time by over 300×. Full and decorrelated jitter are slightly better than equal jitter, matching Brooker’s qualitative result; the exact numbers depend on the model.</w:t>
      </w:r>
    </w:p>
    <w:bookmarkEnd w:id="2517"/>
    <w:bookmarkEnd w:id="2518"/>
    <w:bookmarkStart w:id="2522" w:name="retry-storms-and-amplification"/>
    <w:p>
      <w:pPr>
        <w:pStyle w:val="Heading3"/>
      </w:pPr>
      <w:r>
        <w:t xml:space="preserve">22.12.3 Retry storms and amplification</w:t>
      </w:r>
    </w:p>
    <w:p>
      <w:pPr>
        <w:pStyle w:val="FirstParagraph"/>
      </w:pPr>
      <w:r>
        <w:rPr>
          <w:bCs/>
          <w:b/>
        </w:rPr>
        <w:t xml:space="preserve">Figure 22.11 — Retry amplification in a four-layer call graph.</w:t>
      </w:r>
    </w:p>
    <w:p>
      <w:pPr>
        <w:pStyle w:val="BodyText"/>
      </w:pPr>
      <w:r>
        <w:drawing>
          <wp:inline>
            <wp:extent cx="5334000" cy="400696"/>
            <wp:effectExtent b="0" l="0" r="0" t="0"/>
            <wp:docPr descr="" title="" id="2520" name="Picture"/>
            <a:graphic>
              <a:graphicData uri="http://schemas.openxmlformats.org/drawingml/2006/picture">
                <pic:pic>
                  <pic:nvPicPr>
                    <pic:cNvPr descr="/home/user/System-Design/build/.cache/diagrams/09854e697d61.png" id="2521" name="Picture"/>
                    <pic:cNvPicPr>
                      <a:picLocks noChangeArrowheads="1" noChangeAspect="1"/>
                    </pic:cNvPicPr>
                  </pic:nvPicPr>
                  <pic:blipFill>
                    <a:blip r:embed="rId2519"/>
                    <a:stretch>
                      <a:fillRect/>
                    </a:stretch>
                  </pic:blipFill>
                  <pic:spPr bwMode="auto">
                    <a:xfrm>
                      <a:off x="0" y="0"/>
                      <a:ext cx="5334000" cy="400696"/>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Each layer, reasonably in isolation, makes up to three attempts. When the database fails every call, attempts multiply synchronously down the chain: 3, 9, 27, then 81 calls at the database, aimed precisely at the failing component: a</w:t>
      </w:r>
      <w:r>
        <w:t xml:space="preserve"> </w:t>
      </w:r>
      <w:r>
        <w:rPr>
          <w:bCs/>
          <w:b/>
        </w:rPr>
        <w:t xml:space="preserve">retry storm</w:t>
      </w:r>
      <w:r>
        <w:t xml:space="preserve">. The fix is structural: retry at one layer, cap retries with budgets, and stop when a circuit breaker opens (§22.13).</w:t>
      </w:r>
    </w:p>
    <w:p>
      <w:pPr>
        <w:pStyle w:val="CalloutFormula"/>
      </w:pPr>
      <w:r>
        <w:rPr>
          <w:bCs/>
          <w:b/>
        </w:rPr>
        <w:t xml:space="preserve">FORMULA</w:t>
      </w:r>
    </w:p>
    <w:p>
      <w:pPr>
        <w:pStyle w:val="CalloutFormula"/>
      </w:pPr>
      <w:r>
        <w:rPr>
          <w:bCs/>
          <w:b/>
        </w:rPr>
        <w:t xml:space="preserve">Retry amplification</w:t>
      </w:r>
    </w:p>
    <w:p>
      <w:pPr>
        <w:pStyle w:val="CalloutFormula"/>
      </w:pPr>
      <m:oMathPara>
        <m:oMathParaPr>
          <m:jc m:val="center"/>
        </m:oMathParaPr>
        <m:oMath>
          <m:r>
            <m:t>A</m:t>
          </m:r>
          <m:r>
            <m:rPr>
              <m:sty m:val="p"/>
            </m:rPr>
            <m:t>=</m:t>
          </m:r>
          <m:nary>
            <m:naryPr>
              <m:chr m:val="∏"/>
              <m:limLoc m:val="undOvr"/>
              <m:subHide m:val="off"/>
              <m:supHide m:val="off"/>
            </m:naryPr>
            <m:sub>
              <m:r>
                <m:t>i</m:t>
              </m:r>
              <m:r>
                <m:rPr>
                  <m:sty m:val="p"/>
                </m:rPr>
                <m:t>=</m:t>
              </m:r>
              <m:r>
                <m:t>1</m:t>
              </m:r>
            </m:sub>
            <m:sup>
              <m:r>
                <m:t>d</m:t>
              </m:r>
            </m:sup>
            <m:e>
              <m:sSub>
                <m:e>
                  <m:r>
                    <m:t>a</m:t>
                  </m:r>
                </m:e>
                <m:sub>
                  <m:r>
                    <m:t>i</m:t>
                  </m:r>
                </m:sub>
              </m:sSub>
            </m:e>
          </m:nary>
          <m:r>
            <m:rPr>
              <m:sty m:val="p"/>
            </m:rPr>
            <m:t>=</m:t>
          </m:r>
          <m:sSup>
            <m:e>
              <m:r>
                <m:t>a</m:t>
              </m:r>
            </m:e>
            <m:sup>
              <m:r>
                <m:t>d</m:t>
              </m:r>
            </m:sup>
          </m:sSup>
          <m:r>
            <m:t> </m:t>
          </m:r>
          <m:r>
            <m:t> </m:t>
          </m:r>
          <m:r>
            <m:rPr>
              <m:nor/>
              <m:sty m:val="p"/>
            </m:rPr>
            <m:t>(identical layers)</m:t>
          </m:r>
          <m:r>
            <m:rPr>
              <m:sty m:val="p"/>
            </m:rPr>
            <m:t>,</m:t>
          </m:r>
          <m:r>
            <m:t>  </m:t>
          </m:r>
          <m:r>
            <m:rPr>
              <m:sty m:val="p"/>
              <m:scr m:val="double-struck"/>
            </m:rPr>
            <m:t>E</m:t>
          </m:r>
          <m:d>
            <m:dPr>
              <m:begChr m:val="["/>
              <m:endChr m:val="]"/>
              <m:sepChr m:val=""/>
              <m:grow/>
            </m:dPr>
            <m:e>
              <m:r>
                <m:rPr>
                  <m:nor/>
                  <m:sty m:val="p"/>
                </m:rPr>
                <m:t>attempts per layer</m:t>
              </m:r>
            </m:e>
          </m:d>
          <m:r>
            <m:rPr>
              <m:sty m:val="p"/>
            </m:rPr>
            <m:t>=</m:t>
          </m:r>
          <m:nary>
            <m:naryPr>
              <m:chr m:val="∑"/>
              <m:limLoc m:val="undOvr"/>
              <m:subHide m:val="off"/>
              <m:supHide m:val="off"/>
            </m:naryPr>
            <m:sub>
              <m:r>
                <m:t>j</m:t>
              </m:r>
              <m:r>
                <m:rPr>
                  <m:sty m:val="p"/>
                </m:rPr>
                <m:t>=</m:t>
              </m:r>
              <m:r>
                <m:t>0</m:t>
              </m:r>
            </m:sub>
            <m:sup>
              <m:r>
                <m:t>a</m:t>
              </m:r>
              <m:r>
                <m:rPr>
                  <m:sty m:val="p"/>
                </m:rPr>
                <m:t>−</m:t>
              </m:r>
              <m:r>
                <m:t>1</m:t>
              </m:r>
            </m:sup>
            <m:e>
              <m:sSup>
                <m:e>
                  <m:r>
                    <m:t>p</m:t>
                  </m:r>
                </m:e>
                <m:sup>
                  <m:r>
                    <m:t>j</m:t>
                  </m:r>
                </m:sup>
              </m:sSup>
            </m:e>
          </m:nary>
          <m:r>
            <m:rPr>
              <m:sty m:val="p"/>
            </m:rPr>
            <m:t>=</m:t>
          </m:r>
          <m:f>
            <m:fPr>
              <m:type m:val="bar"/>
            </m:fPr>
            <m:num>
              <m:r>
                <m:t>1</m:t>
              </m:r>
              <m:r>
                <m:rPr>
                  <m:sty m:val="p"/>
                </m:rPr>
                <m:t>−</m:t>
              </m:r>
              <m:sSup>
                <m:e>
                  <m:r>
                    <m:t>p</m:t>
                  </m:r>
                </m:e>
                <m:sup>
                  <m:r>
                    <m:t>a</m:t>
                  </m:r>
                </m:sup>
              </m:sSup>
            </m:num>
            <m:den>
              <m:r>
                <m:t>1</m:t>
              </m:r>
              <m:r>
                <m:rPr>
                  <m:sty m:val="p"/>
                </m:rPr>
                <m:t>−</m:t>
              </m:r>
              <m:r>
                <m:t>p</m:t>
              </m:r>
            </m:den>
          </m:f>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A</m:t>
              </m:r>
            </m:oMath>
          </w:p>
        </w:tc>
        <w:tc>
          <w:tcPr/>
          <w:p>
            <w:pPr>
              <w:pStyle w:val="Compact"/>
              <w:jc w:val="left"/>
            </w:pPr>
            <w:r>
              <w:t xml:space="preserve">Worst-case calls reaching the bottom layer per user request</w:t>
            </w:r>
          </w:p>
        </w:tc>
        <w:tc>
          <w:tcPr/>
          <w:p>
            <w:pPr>
              <w:pStyle w:val="Compact"/>
              <w:jc w:val="left"/>
            </w:pPr>
            <w:r>
              <w:t xml:space="preserve">calls</w:t>
            </w:r>
          </w:p>
        </w:tc>
      </w:tr>
      <w:tr>
        <w:tc>
          <w:tcPr/>
          <w:p>
            <w:pPr>
              <w:pStyle w:val="Compact"/>
              <w:jc w:val="left"/>
            </w:pPr>
            <m:oMath>
              <m:sSub>
                <m:e>
                  <m:r>
                    <m:t>a</m:t>
                  </m:r>
                </m:e>
                <m:sub>
                  <m:r>
                    <m:t>i</m:t>
                  </m:r>
                </m:sub>
              </m:sSub>
            </m:oMath>
          </w:p>
        </w:tc>
        <w:tc>
          <w:tcPr/>
          <w:p>
            <w:pPr>
              <w:pStyle w:val="Compact"/>
              <w:jc w:val="left"/>
            </w:pPr>
            <w:r>
              <w:t xml:space="preserve">Maximum attempts (1 + retries) at layer</w:t>
            </w:r>
            <w:r>
              <w:t xml:space="preserve"> </w:t>
            </w:r>
            <m:oMath>
              <m:r>
                <m:t>i</m:t>
              </m:r>
            </m:oMath>
          </w:p>
        </w:tc>
        <w:tc>
          <w:tcPr/>
          <w:p>
            <w:pPr>
              <w:pStyle w:val="Compact"/>
              <w:jc w:val="left"/>
            </w:pPr>
            <w:r>
              <w:t xml:space="preserve">attempts</w:t>
            </w:r>
          </w:p>
        </w:tc>
      </w:tr>
      <w:tr>
        <w:tc>
          <w:tcPr/>
          <w:p>
            <w:pPr>
              <w:pStyle w:val="Compact"/>
              <w:jc w:val="left"/>
            </w:pPr>
            <m:oMath>
              <m:r>
                <m:t>d</m:t>
              </m:r>
            </m:oMath>
          </w:p>
        </w:tc>
        <w:tc>
          <w:tcPr/>
          <w:p>
            <w:pPr>
              <w:pStyle w:val="Compact"/>
              <w:jc w:val="left"/>
            </w:pPr>
            <w:r>
              <w:t xml:space="preserve">Number of layers that retry</w:t>
            </w:r>
          </w:p>
        </w:tc>
        <w:tc>
          <w:tcPr/>
          <w:p>
            <w:pPr>
              <w:pStyle w:val="Compact"/>
              <w:jc w:val="left"/>
            </w:pPr>
            <w:r>
              <w:t xml:space="preserve">layers</w:t>
            </w:r>
          </w:p>
        </w:tc>
      </w:tr>
      <w:tr>
        <w:tc>
          <w:tcPr/>
          <w:p>
            <w:pPr>
              <w:pStyle w:val="Compact"/>
              <w:jc w:val="left"/>
            </w:pPr>
            <m:oMath>
              <m:r>
                <m:t>p</m:t>
              </m:r>
            </m:oMath>
          </w:p>
        </w:tc>
        <w:tc>
          <w:tcPr/>
          <w:p>
            <w:pPr>
              <w:pStyle w:val="Compact"/>
              <w:jc w:val="left"/>
            </w:pPr>
            <w:r>
              <w:t xml:space="preserve">Probability that one attempt fails (</w:t>
            </w:r>
            <m:oMath>
              <m:r>
                <m:t>p</m:t>
              </m:r>
              <m:r>
                <m:rPr>
                  <m:sty m:val="p"/>
                </m:rPr>
                <m:t>&lt;</m:t>
              </m:r>
              <m:r>
                <m:t>1</m:t>
              </m:r>
            </m:oMath>
            <w:r>
              <w:t xml:space="preserve">)</w:t>
            </w:r>
          </w:p>
        </w:tc>
        <w:tc>
          <w:tcPr/>
          <w:p>
            <w:pPr>
              <w:pStyle w:val="Compact"/>
              <w:jc w:val="left"/>
            </w:pPr>
            <w:r>
              <w:t xml:space="preserve">dimensionless</w:t>
            </w:r>
          </w:p>
        </w:tc>
      </w:tr>
    </w:tbl>
    <w:p>
      <w:pPr>
        <w:pStyle w:val="CalloutExample"/>
      </w:pPr>
      <w:r>
        <w:rPr>
          <w:bCs/>
          <w:b/>
        </w:rPr>
        <w:t xml:space="preserve">WORKED EXAMPLE</w:t>
      </w:r>
    </w:p>
    <w:p>
      <w:pPr>
        <w:pStyle w:val="CalloutExample"/>
      </w:pPr>
      <w:r>
        <w:rPr>
          <w:bCs/>
          <w:b/>
        </w:rPr>
        <w:t xml:space="preserve">Worked example — 10,000 user RPS through four retrying layers.</w:t>
      </w:r>
    </w:p>
    <w:p>
      <w:pPr>
        <w:numPr>
          <w:ilvl w:val="0"/>
          <w:numId w:val="1736"/>
        </w:numPr>
        <w:pStyle w:val="Compact"/>
      </w:pPr>
      <w:r>
        <w:t xml:space="preserve">Database hard down (</w:t>
      </w:r>
      <m:oMath>
        <m:r>
          <m:t>p</m:t>
        </m:r>
        <m:r>
          <m:rPr>
            <m:sty m:val="p"/>
          </m:rPr>
          <m:t>=</m:t>
        </m:r>
        <m:r>
          <m:t>1</m:t>
        </m:r>
      </m:oMath>
      <w:r>
        <w:t xml:space="preserve">):</w:t>
      </w:r>
      <w:r>
        <w:t xml:space="preserve"> </w:t>
      </w:r>
      <m:oMath>
        <m:r>
          <m:t>A</m:t>
        </m:r>
        <m:r>
          <m:rPr>
            <m:sty m:val="p"/>
          </m:rPr>
          <m:t>=</m:t>
        </m:r>
        <m:sSup>
          <m:e>
            <m:r>
              <m:t>3</m:t>
            </m:r>
          </m:e>
          <m:sup>
            <m:r>
              <m:t>4</m:t>
            </m:r>
          </m:sup>
        </m:sSup>
        <m:r>
          <m:rPr>
            <m:sty m:val="p"/>
          </m:rPr>
          <m:t>=</m:t>
        </m:r>
        <m:r>
          <m:t>81</m:t>
        </m:r>
      </m:oMath>
      <w:r>
        <w:t xml:space="preserve">; the database receives</w:t>
      </w:r>
      <w:r>
        <w:t xml:space="preserve"> </w:t>
      </w:r>
      <m:oMath>
        <m:r>
          <m:t>10</m:t>
        </m:r>
        <m:r>
          <m:rPr>
            <m:sty m:val="p"/>
          </m:rPr>
          <m:t>,</m:t>
        </m:r>
        <m:r>
          <m:t>000</m:t>
        </m:r>
        <m:r>
          <m:rPr>
            <m:sty m:val="p"/>
          </m:rPr>
          <m:t>×</m:t>
        </m:r>
        <m:r>
          <m:t>81</m:t>
        </m:r>
        <m:r>
          <m:rPr>
            <m:sty m:val="p"/>
          </m:rPr>
          <m:t>=</m:t>
        </m:r>
        <m:r>
          <m:t>810</m:t>
        </m:r>
        <m:r>
          <m:rPr>
            <m:sty m:val="p"/>
          </m:rPr>
          <m:t>,</m:t>
        </m:r>
        <m:r>
          <m:t>000</m:t>
        </m:r>
      </m:oMath>
      <w:r>
        <w:t xml:space="preserve"> </w:t>
      </w:r>
      <w:r>
        <w:t xml:space="preserve">RPS of doomed calls.</w:t>
      </w:r>
    </w:p>
    <w:p>
      <w:pPr>
        <w:numPr>
          <w:ilvl w:val="0"/>
          <w:numId w:val="1736"/>
        </w:numPr>
        <w:pStyle w:val="Compact"/>
      </w:pPr>
      <w:r>
        <w:t xml:space="preserve">Database partly overloaded,</w:t>
      </w:r>
      <w:r>
        <w:t xml:space="preserve"> </w:t>
      </w:r>
      <m:oMath>
        <m:r>
          <m:t>p</m:t>
        </m:r>
        <m:r>
          <m:rPr>
            <m:sty m:val="p"/>
          </m:rPr>
          <m:t>=</m:t>
        </m:r>
        <m:r>
          <m:t>0.5</m:t>
        </m:r>
      </m:oMath>
      <w:r>
        <w:t xml:space="preserve">: expected attempts per layer</w:t>
      </w:r>
      <w:r>
        <w:t xml:space="preserve"> </w:t>
      </w:r>
      <m:oMath>
        <m:r>
          <m:rPr>
            <m:sty m:val="p"/>
          </m:rPr>
          <m:t>=</m:t>
        </m:r>
        <m:d>
          <m:dPr>
            <m:begChr m:val="("/>
            <m:endChr m:val=")"/>
            <m:sepChr m:val=""/>
            <m:grow/>
          </m:dPr>
          <m:e>
            <m:r>
              <m:t>1</m:t>
            </m:r>
            <m:r>
              <m:rPr>
                <m:sty m:val="p"/>
              </m:rPr>
              <m:t>−</m:t>
            </m:r>
            <m:sSup>
              <m:e>
                <m:r>
                  <m:t>0.5</m:t>
                </m:r>
              </m:e>
              <m:sup>
                <m:r>
                  <m:t>3</m:t>
                </m:r>
              </m:sup>
            </m:sSup>
          </m:e>
        </m:d>
        <m:r>
          <m:rPr>
            <m:sty m:val="p"/>
          </m:rPr>
          <m:t>/</m:t>
        </m:r>
        <m:d>
          <m:dPr>
            <m:begChr m:val="("/>
            <m:endChr m:val=")"/>
            <m:sepChr m:val=""/>
            <m:grow/>
          </m:dPr>
          <m:e>
            <m:r>
              <m:t>1</m:t>
            </m:r>
            <m:r>
              <m:rPr>
                <m:sty m:val="p"/>
              </m:rPr>
              <m:t>−</m:t>
            </m:r>
            <m:r>
              <m:t>0.5</m:t>
            </m:r>
          </m:e>
        </m:d>
        <m:r>
          <m:rPr>
            <m:sty m:val="p"/>
          </m:rPr>
          <m:t>=</m:t>
        </m:r>
        <m:r>
          <m:t>1.75</m:t>
        </m:r>
      </m:oMath>
      <w:r>
        <w:t xml:space="preserve">; if failures compound through layers, the multiplier approaches</w:t>
      </w:r>
      <w:r>
        <w:t xml:space="preserve"> </w:t>
      </w:r>
      <m:oMath>
        <m:sSup>
          <m:e>
            <m:r>
              <m:t>1.75</m:t>
            </m:r>
          </m:e>
          <m:sup>
            <m:r>
              <m:t>4</m:t>
            </m:r>
          </m:sup>
        </m:sSup>
        <m:r>
          <m:rPr>
            <m:sty m:val="p"/>
          </m:rPr>
          <m:t>≈</m:t>
        </m:r>
        <m:r>
          <m:t>9.4</m:t>
        </m:r>
      </m:oMath>
      <w:r>
        <w:t xml:space="preserve">, a 9× load increase on a system already failing half its calls.</w:t>
      </w:r>
    </w:p>
    <w:p>
      <w:pPr>
        <w:numPr>
          <w:ilvl w:val="0"/>
          <w:numId w:val="1736"/>
        </w:numPr>
        <w:pStyle w:val="Compact"/>
      </w:pPr>
      <w:r>
        <w:t xml:space="preserve">Retry only at the SDK:</w:t>
      </w:r>
      <w:r>
        <w:t xml:space="preserve"> </w:t>
      </w:r>
      <m:oMath>
        <m:r>
          <m:t>A</m:t>
        </m:r>
        <m:r>
          <m:rPr>
            <m:sty m:val="p"/>
          </m:rPr>
          <m:t>=</m:t>
        </m:r>
        <m:r>
          <m:t>3</m:t>
        </m:r>
      </m:oMath>
      <w:r>
        <w:t xml:space="preserve">, so 30,000 RPS at worst.</w:t>
      </w:r>
    </w:p>
    <w:p>
      <w:pPr>
        <w:numPr>
          <w:ilvl w:val="0"/>
          <w:numId w:val="1736"/>
        </w:numPr>
        <w:pStyle w:val="Compact"/>
      </w:pPr>
      <w:r>
        <w:t xml:space="preserve">Retry budget of 10% at every layer: each layer adds at most 10%, so</w:t>
      </w:r>
      <w:r>
        <w:t xml:space="preserve"> </w:t>
      </w:r>
      <m:oMath>
        <m:r>
          <m:t>A</m:t>
        </m:r>
        <m:r>
          <m:rPr>
            <m:sty m:val="p"/>
          </m:rPr>
          <m:t>≤</m:t>
        </m:r>
        <m:sSup>
          <m:e>
            <m:r>
              <m:t>1.1</m:t>
            </m:r>
          </m:e>
          <m:sup>
            <m:r>
              <m:t>4</m:t>
            </m:r>
          </m:sup>
        </m:sSup>
        <m:r>
          <m:rPr>
            <m:sty m:val="p"/>
          </m:rPr>
          <m:t>=</m:t>
        </m:r>
        <m:r>
          <m:t>1.46</m:t>
        </m:r>
      </m:oMath>
      <w:r>
        <w:t xml:space="preserve">, about 14,600 RPS.</w:t>
      </w:r>
    </w:p>
    <w:p>
      <w:pPr>
        <w:pStyle w:val="CalloutExample"/>
      </w:pPr>
      <w:r>
        <w:rPr>
          <w:bCs/>
          <w:b/>
        </w:rPr>
        <w:t xml:space="preserve">Interpretation.</w:t>
      </w:r>
      <w:r>
        <w:t xml:space="preserve"> </w:t>
      </w:r>
      <w:r>
        <w:t xml:space="preserve">Per-layer retries look harmless locally but compound exponentially with depth.</w:t>
      </w:r>
      <w:r>
        <w:t xml:space="preserve"> </w:t>
      </w:r>
      <w:r>
        <w:rPr>
          <w:bCs/>
          <w:b/>
        </w:rPr>
        <w:t xml:space="preserve">Engineering implication.</w:t>
      </w:r>
      <w:r>
        <w:t xml:space="preserve"> </w:t>
      </w:r>
      <w:r>
        <w:t xml:space="preserve">Retry at one layer, or bound retries by a budget that is a fraction of normal traffic; never let every layer retry independently.</w:t>
      </w:r>
    </w:p>
    <w:bookmarkEnd w:id="2522"/>
    <w:bookmarkStart w:id="2523" w:name="retry-budgets"/>
    <w:p>
      <w:pPr>
        <w:pStyle w:val="Heading3"/>
      </w:pPr>
      <w:r>
        <w:t xml:space="preserve">22.12.4 Retry budgets</w:t>
      </w:r>
    </w:p>
    <w:p>
      <w:pPr>
        <w:pStyle w:val="FirstParagraph"/>
      </w:pPr>
      <w:r>
        <w:t xml:space="preserve">A</w:t>
      </w:r>
      <w:r>
        <w:t xml:space="preserve"> </w:t>
      </w:r>
      <w:r>
        <w:rPr>
          <w:bCs/>
          <w:b/>
        </w:rPr>
        <w:t xml:space="preserve">retry budget</w:t>
      </w:r>
      <w:r>
        <w:t xml:space="preserve"> </w:t>
      </w:r>
      <w:r>
        <w:t xml:space="preserve">caps retries as a fraction of successful or total requests, rather than per request. Google’s SRE book describes a per-request limit (at most three attempts) combined with a per-client budget (retries no more than 10% of requests) [Beyer et al. 2016, ch. 21]. A simple implementation is a token bucket for retries: each success deposits 0.1 token, each retry spends 1, and when the bucket is empty the error is returned to the caller without a retry. When the dependency is healthy, occasional retries always find tokens; when it fails broadly, retries are limited to 10% extra load. The AWS SDKs implement a comparable client-side retry quota, and Envoy offers a retry budget expressed as a percentage of active requests [AWS SDK Docs: retry behavior; Envoy Docs: retry budgets].</w:t>
      </w:r>
    </w:p>
    <w:p>
      <w:pPr>
        <w:pStyle w:val="CalloutIndustry"/>
      </w:pPr>
      <w:r>
        <w:rPr>
          <w:bCs/>
          <w:b/>
        </w:rPr>
        <w:t xml:space="preserve">INDUSTRY EXAMPLE</w:t>
      </w:r>
    </w:p>
    <w:p>
      <w:pPr>
        <w:pStyle w:val="CalloutIndustry"/>
      </w:pPr>
      <w:r>
        <w:rPr>
          <w:bCs/>
          <w:b/>
        </w:rPr>
        <w:t xml:space="preserve">AWS guidance on retries.</w:t>
      </w:r>
      <w:r>
        <w:t xml:space="preserve"> </w:t>
      </w:r>
      <w:r>
        <w:t xml:space="preserve">The Builders’ Library article on timeouts and retries recommends capped exponential backoff with jitter, retrying at a single point in the stack, local retry limits implemented with a token bucket so that retries stop when most calls fail, and treating timeouts as signals to be measured; it also warns that retries are</w:t>
      </w:r>
      <w:r>
        <w:t xml:space="preserve"> </w:t>
      </w:r>
      <w:r>
        <w:t xml:space="preserve">“</w:t>
      </w:r>
      <w:r>
        <w:t xml:space="preserve">selfish</w:t>
      </w:r>
      <w:r>
        <w:t xml:space="preserve">”</w:t>
      </w:r>
      <w:r>
        <w:t xml:space="preserve">: they spend server resources to raise one client’s chance of success [Brooker: timeouts and retries].</w:t>
      </w:r>
      <w:r>
        <w:t xml:space="preserve"> </w:t>
      </w:r>
      <w:r>
        <w:rPr>
          <w:iCs/>
          <w:i/>
        </w:rPr>
        <w:t xml:space="preserve">Evidence: Primary</w:t>
      </w:r>
      <w:r>
        <w:t xml:space="preserve"> </w:t>
      </w:r>
      <w:r>
        <w:t xml:space="preserve">— [Brooker: timeouts and retries]</w:t>
      </w:r>
    </w:p>
    <w:p>
      <w:pPr>
        <w:pStyle w:val="BodyText"/>
      </w:pPr>
      <w:r>
        <w:rPr>
          <w:bCs/>
          <w:b/>
        </w:rPr>
        <w:t xml:space="preserve">Table 22.6 — Retry 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Outage worsens as clients retry</w:t>
            </w:r>
          </w:p>
        </w:tc>
        <w:tc>
          <w:tcPr/>
          <w:p>
            <w:pPr>
              <w:pStyle w:val="Compact"/>
              <w:jc w:val="left"/>
            </w:pPr>
            <w:r>
              <w:t xml:space="preserve">Every layer retries; no budget</w:t>
            </w:r>
          </w:p>
        </w:tc>
        <w:tc>
          <w:tcPr/>
          <w:p>
            <w:pPr>
              <w:pStyle w:val="Compact"/>
              <w:jc w:val="left"/>
            </w:pPr>
            <w:r>
              <w:t xml:space="preserve">Request rate rises while success rate falls</w:t>
            </w:r>
          </w:p>
        </w:tc>
        <w:tc>
          <w:tcPr/>
          <w:p>
            <w:pPr>
              <w:pStyle w:val="Compact"/>
              <w:jc w:val="left"/>
            </w:pPr>
            <w:r>
              <w:t xml:space="preserve">Disable retries via configuration; open breakers; shed</w:t>
            </w:r>
          </w:p>
        </w:tc>
        <w:tc>
          <w:tcPr/>
          <w:p>
            <w:pPr>
              <w:pStyle w:val="Compact"/>
              <w:jc w:val="left"/>
            </w:pPr>
            <w:r>
              <w:t xml:space="preserve">One retrying layer, budgets, jitter</w:t>
            </w:r>
          </w:p>
        </w:tc>
      </w:tr>
      <w:tr>
        <w:tc>
          <w:tcPr/>
          <w:p>
            <w:pPr>
              <w:pStyle w:val="Compact"/>
              <w:jc w:val="left"/>
            </w:pPr>
            <w:r>
              <w:t xml:space="preserve">Synchronized retry waves every few seconds</w:t>
            </w:r>
          </w:p>
        </w:tc>
        <w:tc>
          <w:tcPr/>
          <w:p>
            <w:pPr>
              <w:pStyle w:val="Compact"/>
              <w:jc w:val="left"/>
            </w:pPr>
            <w:r>
              <w:t xml:space="preserve">Backoff without jitter; reconnect after a shared failure</w:t>
            </w:r>
          </w:p>
        </w:tc>
        <w:tc>
          <w:tcPr/>
          <w:p>
            <w:pPr>
              <w:pStyle w:val="Compact"/>
              <w:jc w:val="left"/>
            </w:pPr>
            <w:r>
              <w:t xml:space="preserve">Periodic spikes at backoff intervals</w:t>
            </w:r>
          </w:p>
        </w:tc>
        <w:tc>
          <w:tcPr/>
          <w:p>
            <w:pPr>
              <w:pStyle w:val="Compact"/>
              <w:jc w:val="left"/>
            </w:pPr>
            <w:r>
              <w:t xml:space="preserve">Add jitter, server-side shedding</w:t>
            </w:r>
          </w:p>
        </w:tc>
        <w:tc>
          <w:tcPr/>
          <w:p>
            <w:pPr>
              <w:pStyle w:val="Compact"/>
              <w:jc w:val="left"/>
            </w:pPr>
            <w:r>
              <w:t xml:space="preserve">Full or decorrelated jitter (§9.9 reconnect storms)</w:t>
            </w:r>
          </w:p>
        </w:tc>
      </w:tr>
      <w:tr>
        <w:tc>
          <w:tcPr/>
          <w:p>
            <w:pPr>
              <w:pStyle w:val="Compact"/>
              <w:jc w:val="left"/>
            </w:pPr>
            <w:r>
              <w:t xml:space="preserve">Duplicate side effects</w:t>
            </w:r>
          </w:p>
        </w:tc>
        <w:tc>
          <w:tcPr/>
          <w:p>
            <w:pPr>
              <w:pStyle w:val="Compact"/>
              <w:jc w:val="left"/>
            </w:pPr>
            <w:r>
              <w:t xml:space="preserve">Retried non-idempotent</w:t>
            </w:r>
            <w:r>
              <w:t xml:space="preserve"> </w:t>
            </w:r>
            <w:r>
              <w:rPr>
                <w:rStyle w:val="VerbatimChar"/>
              </w:rPr>
              <w:t xml:space="preserve">POST</w:t>
            </w:r>
            <w:r>
              <w:t xml:space="preserve"> </w:t>
            </w:r>
            <w:r>
              <w:t xml:space="preserve">after a timeout</w:t>
            </w:r>
          </w:p>
        </w:tc>
        <w:tc>
          <w:tcPr/>
          <w:p>
            <w:pPr>
              <w:pStyle w:val="Compact"/>
              <w:jc w:val="left"/>
            </w:pPr>
            <w:r>
              <w:t xml:space="preserve">Duplicate rows seconds apart</w:t>
            </w:r>
          </w:p>
        </w:tc>
        <w:tc>
          <w:tcPr/>
          <w:p>
            <w:pPr>
              <w:pStyle w:val="Compact"/>
              <w:jc w:val="left"/>
            </w:pPr>
            <w:r>
              <w:t xml:space="preserve">Reconcile and refund</w:t>
            </w:r>
          </w:p>
        </w:tc>
        <w:tc>
          <w:tcPr/>
          <w:p>
            <w:pPr>
              <w:pStyle w:val="Compact"/>
              <w:jc w:val="left"/>
            </w:pPr>
            <w:r>
              <w:t xml:space="preserve">Idempotency keys (§22.15)</w:t>
            </w:r>
          </w:p>
        </w:tc>
      </w:tr>
      <w:tr>
        <w:tc>
          <w:tcPr/>
          <w:p>
            <w:pPr>
              <w:pStyle w:val="Compact"/>
              <w:jc w:val="left"/>
            </w:pPr>
            <w:r>
              <w:t xml:space="preserve">Retries outlive the user</w:t>
            </w:r>
          </w:p>
        </w:tc>
        <w:tc>
          <w:tcPr/>
          <w:p>
            <w:pPr>
              <w:pStyle w:val="Compact"/>
              <w:jc w:val="left"/>
            </w:pPr>
            <w:r>
              <w:t xml:space="preserve">Retry delays ignore the deadline</w:t>
            </w:r>
          </w:p>
        </w:tc>
        <w:tc>
          <w:tcPr/>
          <w:p>
            <w:pPr>
              <w:pStyle w:val="Compact"/>
              <w:jc w:val="left"/>
            </w:pPr>
            <w:r>
              <w:t xml:space="preserve">Work completing after client timeout</w:t>
            </w:r>
          </w:p>
        </w:tc>
        <w:tc>
          <w:tcPr/>
          <w:p>
            <w:pPr>
              <w:pStyle w:val="Compact"/>
              <w:jc w:val="left"/>
            </w:pPr>
            <w:r>
              <w:t xml:space="preserve">Check remaining budget before retrying</w:t>
            </w:r>
          </w:p>
        </w:tc>
        <w:tc>
          <w:tcPr/>
          <w:p>
            <w:pPr>
              <w:pStyle w:val="Compact"/>
              <w:jc w:val="left"/>
            </w:pPr>
            <w:r>
              <w:t xml:space="preserve">Deadline propagation (§22.11)</w:t>
            </w:r>
          </w:p>
        </w:tc>
      </w:tr>
    </w:tbl>
    <w:bookmarkEnd w:id="2523"/>
    <w:bookmarkEnd w:id="2524"/>
    <w:bookmarkStart w:id="2529" w:name="circuit-breakers"/>
    <w:p>
      <w:pPr>
        <w:pStyle w:val="Heading2"/>
      </w:pPr>
      <w:r>
        <w:t xml:space="preserve">22.13 Circuit breakers</w:t>
      </w:r>
    </w:p>
    <w:p>
      <w:pPr>
        <w:pStyle w:val="CalloutDefinition"/>
      </w:pPr>
      <w:r>
        <w:rPr>
          <w:bCs/>
          <w:b/>
        </w:rPr>
        <w:t xml:space="preserve">DEFINITION</w:t>
      </w:r>
    </w:p>
    <w:p>
      <w:pPr>
        <w:pStyle w:val="CalloutDefinition"/>
      </w:pPr>
      <w:r>
        <w:rPr>
          <w:bCs/>
          <w:b/>
        </w:rPr>
        <w:t xml:space="preserve">Definition — Circuit breaker.</w:t>
      </w:r>
      <w:r>
        <w:t xml:space="preserve"> </w:t>
      </w:r>
      <w:r>
        <w:t xml:space="preserve">A client-side proxy for calls to a dependency that tracks recent failures and, when they cross a threshold,</w:t>
      </w:r>
      <w:r>
        <w:t xml:space="preserve"> </w:t>
      </w:r>
      <w:r>
        <w:rPr>
          <w:bCs/>
          <w:b/>
        </w:rPr>
        <w:t xml:space="preserve">opens</w:t>
      </w:r>
      <w:r>
        <w:t xml:space="preserve">: it fails calls immediately without contacting the dependency for a cool-down period, then lets a few trial calls through (</w:t>
      </w:r>
      <w:r>
        <w:rPr>
          <w:bCs/>
          <w:b/>
        </w:rPr>
        <w:t xml:space="preserve">half-open</w:t>
      </w:r>
      <w:r>
        <w:t xml:space="preserve">) and</w:t>
      </w:r>
      <w:r>
        <w:t xml:space="preserve"> </w:t>
      </w:r>
      <w:r>
        <w:rPr>
          <w:bCs/>
          <w:b/>
        </w:rPr>
        <w:t xml:space="preserve">closes</w:t>
      </w:r>
      <w:r>
        <w:t xml:space="preserve"> </w:t>
      </w:r>
      <w:r>
        <w:t xml:space="preserve">again only if they succeed.</w:t>
      </w:r>
    </w:p>
    <w:p>
      <w:pPr>
        <w:pStyle w:val="BodyText"/>
      </w:pPr>
      <w:r>
        <w:t xml:space="preserve">An electrical circuit breaker cuts power when current is dangerous, so a fault in one appliance does not burn down the house; you reset it once the fault is fixed. The software version, popularized by Nygard’s</w:t>
      </w:r>
      <w:r>
        <w:t xml:space="preserve"> </w:t>
      </w:r>
      <w:r>
        <w:rPr>
          <w:iCs/>
          <w:i/>
        </w:rPr>
        <w:t xml:space="preserve">Release It!</w:t>
      </w:r>
      <w:r>
        <w:t xml:space="preserve"> </w:t>
      </w:r>
      <w:r>
        <w:t xml:space="preserve">[Nygard 2018] and Fowler’s description [Fowler 2014], protects two parties: the</w:t>
      </w:r>
      <w:r>
        <w:t xml:space="preserve"> </w:t>
      </w:r>
      <w:r>
        <w:rPr>
          <w:iCs/>
          <w:i/>
        </w:rPr>
        <w:t xml:space="preserve">caller</w:t>
      </w:r>
      <w:r>
        <w:t xml:space="preserve">, which stops tying up threads waiting on a dead dependency, and the</w:t>
      </w:r>
      <w:r>
        <w:t xml:space="preserve"> </w:t>
      </w:r>
      <w:r>
        <w:rPr>
          <w:iCs/>
          <w:i/>
        </w:rPr>
        <w:t xml:space="preserve">dependency</w:t>
      </w:r>
      <w:r>
        <w:t xml:space="preserve">, which gets breathing room to recover instead of a retry storm.</w:t>
      </w:r>
    </w:p>
    <w:p>
      <w:pPr>
        <w:pStyle w:val="BodyText"/>
      </w:pPr>
      <w:r>
        <w:rPr>
          <w:bCs/>
          <w:b/>
        </w:rPr>
        <w:t xml:space="preserve">Figure 22.12 — Circuit breaker state machine.</w:t>
      </w:r>
    </w:p>
    <w:p>
      <w:pPr>
        <w:pStyle w:val="BodyText"/>
      </w:pPr>
      <w:r>
        <w:drawing>
          <wp:inline>
            <wp:extent cx="5334000" cy="2893016"/>
            <wp:effectExtent b="0" l="0" r="0" t="0"/>
            <wp:docPr descr="" title="" id="2526" name="Picture"/>
            <a:graphic>
              <a:graphicData uri="http://schemas.openxmlformats.org/drawingml/2006/picture">
                <pic:pic>
                  <pic:nvPicPr>
                    <pic:cNvPr descr="/home/user/System-Design/build/.cache/diagrams/e3fc6c58fa34.png" id="2527" name="Picture"/>
                    <pic:cNvPicPr>
                      <a:picLocks noChangeArrowheads="1" noChangeAspect="1"/>
                    </pic:cNvPicPr>
                  </pic:nvPicPr>
                  <pic:blipFill>
                    <a:blip r:embed="rId2525"/>
                    <a:stretch>
                      <a:fillRect/>
                    </a:stretch>
                  </pic:blipFill>
                  <pic:spPr bwMode="auto">
                    <a:xfrm>
                      <a:off x="0" y="0"/>
                      <a:ext cx="5334000" cy="2893016"/>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In</w:t>
      </w:r>
      <w:r>
        <w:t xml:space="preserve"> </w:t>
      </w:r>
      <w:r>
        <w:rPr>
          <w:bCs/>
          <w:b/>
        </w:rPr>
        <w:t xml:space="preserve">Closed</w:t>
      </w:r>
      <w:r>
        <w:t xml:space="preserve">, calls pass through and outcomes are recorded in a sliding window (the last</w:t>
      </w:r>
      <w:r>
        <w:t xml:space="preserve"> </w:t>
      </w:r>
      <m:oMath>
        <m:r>
          <m:t>n</m:t>
        </m:r>
      </m:oMath>
      <w:r>
        <w:t xml:space="preserve"> </w:t>
      </w:r>
      <w:r>
        <w:t xml:space="preserve">calls, or the last</w:t>
      </w:r>
      <w:r>
        <w:t xml:space="preserve"> </w:t>
      </w:r>
      <m:oMath>
        <m:r>
          <m:t>t</m:t>
        </m:r>
      </m:oMath>
      <w:r>
        <w:t xml:space="preserve"> </w:t>
      </w:r>
      <w:r>
        <w:t xml:space="preserve">seconds). When the window’s failure rate reaches the threshold (and a minimum number of calls has been seen), the breaker moves to</w:t>
      </w:r>
      <w:r>
        <w:t xml:space="preserve"> </w:t>
      </w:r>
      <w:r>
        <w:rPr>
          <w:bCs/>
          <w:b/>
        </w:rPr>
        <w:t xml:space="preserve">Open</w:t>
      </w:r>
      <w:r>
        <w:t xml:space="preserve">, where every call fails immediately with a local error, costing microseconds and no network traffic. After the cool-down, the next caller moves it to</w:t>
      </w:r>
      <w:r>
        <w:t xml:space="preserve"> </w:t>
      </w:r>
      <w:r>
        <w:rPr>
          <w:bCs/>
          <w:b/>
        </w:rPr>
        <w:t xml:space="preserve">HalfOpen</w:t>
      </w:r>
      <w:r>
        <w:t xml:space="preserve">, where a small fixed number of trial calls reach the dependency; one failure reopens it, success of all trials closes it. Transitions are local to each client instance (no shared storage), so different instances may briefly disagree. Failure points: thresholds set too low trip on normal noise; too high trip only after the damage is done. Fallbacks (cached data, a default, a degraded page) decide what the user sees while open.</w:t>
      </w:r>
    </w:p>
    <w:p>
      <w:pPr>
        <w:pStyle w:val="BodyText"/>
      </w:pPr>
      <w:r>
        <w:rPr>
          <w:bCs/>
          <w:b/>
        </w:rPr>
        <w:t xml:space="preserve">Choosing thresholds.</w:t>
      </w:r>
    </w:p>
    <w:p>
      <w:pPr>
        <w:numPr>
          <w:ilvl w:val="0"/>
          <w:numId w:val="1737"/>
        </w:numPr>
        <w:pStyle w:val="Compact"/>
      </w:pPr>
      <w:r>
        <w:rPr>
          <w:bCs/>
          <w:b/>
        </w:rPr>
        <w:t xml:space="preserve">Window and minimum volume.</w:t>
      </w:r>
      <w:r>
        <w:t xml:space="preserve"> </w:t>
      </w:r>
      <w:r>
        <w:t xml:space="preserve">Count-based (last 20–100 calls) or time-based (last 10 s). Require a minimum number of calls so that 2 failures out of 3 at 3 a.m. do not trip it. Netflix’s Hystrix library, for example, documented defaults of a 10 s rolling window, a minimum of 20 requests and a 50% error threshold, with a 5 s sleep window [Netflix Hystrix wiki]; Hystrix has been in maintenance mode since 2018, and Resilience4j is a common successor on the JVM.</w:t>
      </w:r>
    </w:p>
    <w:p>
      <w:pPr>
        <w:numPr>
          <w:ilvl w:val="0"/>
          <w:numId w:val="1737"/>
        </w:numPr>
        <w:pStyle w:val="Compact"/>
      </w:pPr>
      <w:r>
        <w:rPr>
          <w:bCs/>
          <w:b/>
        </w:rPr>
        <w:t xml:space="preserve">What counts as failure.</w:t>
      </w:r>
      <w:r>
        <w:t xml:space="preserve"> </w:t>
      </w:r>
      <w:r>
        <w:t xml:space="preserve">Timeouts, connection errors and 5xx, but not 4xx: a client’s bad request says nothing about the dependency’s health. Slow calls above a latency threshold can also count.</w:t>
      </w:r>
    </w:p>
    <w:p>
      <w:pPr>
        <w:numPr>
          <w:ilvl w:val="0"/>
          <w:numId w:val="1737"/>
        </w:numPr>
        <w:pStyle w:val="Compact"/>
      </w:pPr>
      <w:r>
        <w:rPr>
          <w:bCs/>
          <w:b/>
        </w:rPr>
        <w:t xml:space="preserve">Cool-down.</w:t>
      </w:r>
      <w:r>
        <w:t xml:space="preserve"> </w:t>
      </w:r>
      <w:r>
        <w:t xml:space="preserve">Long enough for typical recovery (seconds to a minute), ideally with jitter so that many instances do not probe in unison.</w:t>
      </w:r>
    </w:p>
    <w:bookmarkStart w:id="2528" w:name="implementation-and-simulation"/>
    <w:p>
      <w:pPr>
        <w:pStyle w:val="Heading3"/>
      </w:pPr>
      <w:r>
        <w:t xml:space="preserve">22.13.1 Implementation and simulation</w:t>
      </w:r>
    </w:p>
    <w:p>
      <w:pPr>
        <w:pStyle w:val="SourceCode"/>
      </w:pPr>
      <w:r>
        <w:rPr>
          <w:rStyle w:val="ImportTok"/>
        </w:rPr>
        <w:t xml:space="preserve">import</w:t>
      </w:r>
      <w:r>
        <w:rPr>
          <w:rStyle w:val="NormalTok"/>
        </w:rPr>
        <w:t xml:space="preserve"> time</w:t>
      </w:r>
      <w:r>
        <w:br/>
      </w:r>
      <w:r>
        <w:rPr>
          <w:rStyle w:val="ImportTok"/>
        </w:rPr>
        <w:t xml:space="preserve">from</w:t>
      </w:r>
      <w:r>
        <w:rPr>
          <w:rStyle w:val="NormalTok"/>
        </w:rPr>
        <w:t xml:space="preserve"> collections </w:t>
      </w:r>
      <w:r>
        <w:rPr>
          <w:rStyle w:val="ImportTok"/>
        </w:rPr>
        <w:t xml:space="preserve">import</w:t>
      </w:r>
      <w:r>
        <w:rPr>
          <w:rStyle w:val="NormalTok"/>
        </w:rPr>
        <w:t xml:space="preserve"> deque</w:t>
      </w:r>
      <w:r>
        <w:br/>
      </w:r>
      <w:r>
        <w:br/>
      </w:r>
      <w:r>
        <w:br/>
      </w:r>
      <w:r>
        <w:rPr>
          <w:rStyle w:val="KeywordTok"/>
        </w:rPr>
        <w:t xml:space="preserve">class</w:t>
      </w:r>
      <w:r>
        <w:rPr>
          <w:rStyle w:val="NormalTok"/>
        </w:rPr>
        <w:t xml:space="preserve"> CircuitOpenError(</w:t>
      </w:r>
      <w:r>
        <w:rPr>
          <w:rStyle w:val="PreprocessorTok"/>
        </w:rPr>
        <w:t xml:space="preserve">Exception</w:t>
      </w:r>
      <w:r>
        <w:rPr>
          <w:rStyle w:val="NormalTok"/>
        </w:rPr>
        <w:t xml:space="preserve">):</w:t>
      </w:r>
      <w:r>
        <w:br/>
      </w:r>
      <w:r>
        <w:rPr>
          <w:rStyle w:val="NormalTok"/>
        </w:rPr>
        <w:t xml:space="preserve">    </w:t>
      </w:r>
      <w:r>
        <w:rPr>
          <w:rStyle w:val="CommentTok"/>
        </w:rPr>
        <w:t xml:space="preserve">"""Raised instead of calling the dependency while the breaker is open."""</w:t>
      </w:r>
      <w:r>
        <w:br/>
      </w:r>
      <w:r>
        <w:br/>
      </w:r>
      <w:r>
        <w:br/>
      </w:r>
      <w:r>
        <w:rPr>
          <w:rStyle w:val="KeywordTok"/>
        </w:rPr>
        <w:t xml:space="preserve">class</w:t>
      </w:r>
      <w:r>
        <w:rPr>
          <w:rStyle w:val="NormalTok"/>
        </w:rPr>
        <w:t xml:space="preserve"> CircuitBreaker: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failure_rate</w:t>
      </w:r>
      <w:r>
        <w:rPr>
          <w:rStyle w:val="OperatorTok"/>
        </w:rPr>
        <w:t xml:space="preserve">=</w:t>
      </w:r>
      <w:r>
        <w:rPr>
          <w:rStyle w:val="FloatTok"/>
        </w:rPr>
        <w:t xml:space="preserve">0.5</w:t>
      </w:r>
      <w:r>
        <w:rPr>
          <w:rStyle w:val="NormalTok"/>
        </w:rPr>
        <w:t xml:space="preserve">, window</w:t>
      </w:r>
      <w:r>
        <w:rPr>
          <w:rStyle w:val="OperatorTok"/>
        </w:rPr>
        <w:t xml:space="preserve">=</w:t>
      </w:r>
      <w:r>
        <w:rPr>
          <w:rStyle w:val="DecValTok"/>
        </w:rPr>
        <w:t xml:space="preserve">20</w:t>
      </w:r>
      <w:r>
        <w:rPr>
          <w:rStyle w:val="NormalTok"/>
        </w:rPr>
        <w:t xml:space="preserve">, open_for</w:t>
      </w:r>
      <w:r>
        <w:rPr>
          <w:rStyle w:val="OperatorTok"/>
        </w:rPr>
        <w:t xml:space="preserve">=</w:t>
      </w:r>
      <w:r>
        <w:rPr>
          <w:rStyle w:val="FloatTok"/>
        </w:rPr>
        <w:t xml:space="preserve">5.0</w:t>
      </w:r>
      <w:r>
        <w:rPr>
          <w:rStyle w:val="NormalTok"/>
        </w:rPr>
        <w:t xml:space="preserve">, probes</w:t>
      </w:r>
      <w:r>
        <w:rPr>
          <w:rStyle w:val="OperatorTok"/>
        </w:rPr>
        <w:t xml:space="preserve">=</w:t>
      </w:r>
      <w:r>
        <w:rPr>
          <w:rStyle w:val="DecValTok"/>
        </w:rPr>
        <w:t xml:space="preserve">3</w:t>
      </w:r>
      <w:r>
        <w:rPr>
          <w:rStyle w:val="NormalTok"/>
        </w:rPr>
        <w:t xml:space="preserve">,</w:t>
      </w:r>
      <w:r>
        <w:br/>
      </w:r>
      <w:r>
        <w:rPr>
          <w:rStyle w:val="NormalTok"/>
        </w:rPr>
        <w:t xml:space="preserve">                 clock</w:t>
      </w:r>
      <w:r>
        <w:rPr>
          <w:rStyle w:val="OperatorTok"/>
        </w:rPr>
        <w:t xml:space="preserve">=</w:t>
      </w:r>
      <w:r>
        <w:rPr>
          <w:rStyle w:val="NormalTok"/>
        </w:rPr>
        <w:t xml:space="preserve">time.monotonic):</w:t>
      </w:r>
      <w:r>
        <w:br/>
      </w:r>
      <w:r>
        <w:rPr>
          <w:rStyle w:val="NormalTok"/>
        </w:rPr>
        <w:t xml:space="preserve">        </w:t>
      </w:r>
      <w:r>
        <w:rPr>
          <w:rStyle w:val="VariableTok"/>
        </w:rPr>
        <w:t xml:space="preserve">self</w:t>
      </w:r>
      <w:r>
        <w:rPr>
          <w:rStyle w:val="NormalTok"/>
        </w:rPr>
        <w:t xml:space="preserve">.failure_rate, </w:t>
      </w:r>
      <w:r>
        <w:rPr>
          <w:rStyle w:val="VariableTok"/>
        </w:rPr>
        <w:t xml:space="preserve">self</w:t>
      </w:r>
      <w:r>
        <w:rPr>
          <w:rStyle w:val="NormalTok"/>
        </w:rPr>
        <w:t xml:space="preserve">.window </w:t>
      </w:r>
      <w:r>
        <w:rPr>
          <w:rStyle w:val="OperatorTok"/>
        </w:rPr>
        <w:t xml:space="preserve">=</w:t>
      </w:r>
      <w:r>
        <w:rPr>
          <w:rStyle w:val="NormalTok"/>
        </w:rPr>
        <w:t xml:space="preserve"> failure_rate, window</w:t>
      </w:r>
      <w:r>
        <w:br/>
      </w:r>
      <w:r>
        <w:rPr>
          <w:rStyle w:val="NormalTok"/>
        </w:rPr>
        <w:t xml:space="preserve">        </w:t>
      </w:r>
      <w:r>
        <w:rPr>
          <w:rStyle w:val="VariableTok"/>
        </w:rPr>
        <w:t xml:space="preserve">self</w:t>
      </w:r>
      <w:r>
        <w:rPr>
          <w:rStyle w:val="NormalTok"/>
        </w:rPr>
        <w:t xml:space="preserve">.open_for, </w:t>
      </w:r>
      <w:r>
        <w:rPr>
          <w:rStyle w:val="VariableTok"/>
        </w:rPr>
        <w:t xml:space="preserve">self</w:t>
      </w:r>
      <w:r>
        <w:rPr>
          <w:rStyle w:val="NormalTok"/>
        </w:rPr>
        <w:t xml:space="preserve">.probes, </w:t>
      </w:r>
      <w:r>
        <w:rPr>
          <w:rStyle w:val="VariableTok"/>
        </w:rPr>
        <w:t xml:space="preserve">self</w:t>
      </w:r>
      <w:r>
        <w:rPr>
          <w:rStyle w:val="NormalTok"/>
        </w:rPr>
        <w:t xml:space="preserve">.clock </w:t>
      </w:r>
      <w:r>
        <w:rPr>
          <w:rStyle w:val="OperatorTok"/>
        </w:rPr>
        <w:t xml:space="preserve">=</w:t>
      </w:r>
      <w:r>
        <w:rPr>
          <w:rStyle w:val="NormalTok"/>
        </w:rPr>
        <w:t xml:space="preserve"> open_for, probes, clock</w:t>
      </w:r>
      <w:r>
        <w:br/>
      </w:r>
      <w:r>
        <w:rPr>
          <w:rStyle w:val="NormalTok"/>
        </w:rPr>
        <w:t xml:space="preserve">        </w:t>
      </w:r>
      <w:r>
        <w:rPr>
          <w:rStyle w:val="VariableTok"/>
        </w:rPr>
        <w:t xml:space="preserve">self</w:t>
      </w:r>
      <w:r>
        <w:rPr>
          <w:rStyle w:val="NormalTok"/>
        </w:rPr>
        <w:t xml:space="preserve">.state, </w:t>
      </w:r>
      <w:r>
        <w:rPr>
          <w:rStyle w:val="VariableTok"/>
        </w:rPr>
        <w:t xml:space="preserve">self</w:t>
      </w:r>
      <w:r>
        <w:rPr>
          <w:rStyle w:val="NormalTok"/>
        </w:rPr>
        <w:t xml:space="preserve">.opened_at </w:t>
      </w:r>
      <w:r>
        <w:rPr>
          <w:rStyle w:val="OperatorTok"/>
        </w:rPr>
        <w:t xml:space="preserve">=</w:t>
      </w:r>
      <w:r>
        <w:rPr>
          <w:rStyle w:val="NormalTok"/>
        </w:rPr>
        <w:t xml:space="preserve"> </w:t>
      </w:r>
      <w:r>
        <w:rPr>
          <w:rStyle w:val="StringTok"/>
        </w:rPr>
        <w:t xml:space="preserve">"closed"</w:t>
      </w:r>
      <w:r>
        <w:rPr>
          <w:rStyle w:val="NormalTok"/>
        </w:rPr>
        <w:t xml:space="preserve">, </w:t>
      </w:r>
      <w:r>
        <w:rPr>
          <w:rStyle w:val="FloatTok"/>
        </w:rPr>
        <w:t xml:space="preserve">0.0</w:t>
      </w:r>
      <w:r>
        <w:br/>
      </w:r>
      <w:r>
        <w:rPr>
          <w:rStyle w:val="NormalTok"/>
        </w:rPr>
        <w:t xml:space="preserve">        </w:t>
      </w:r>
      <w:r>
        <w:rPr>
          <w:rStyle w:val="VariableTok"/>
        </w:rPr>
        <w:t xml:space="preserve">self</w:t>
      </w:r>
      <w:r>
        <w:rPr>
          <w:rStyle w:val="NormalTok"/>
        </w:rPr>
        <w:t xml:space="preserve">.results </w:t>
      </w:r>
      <w:r>
        <w:rPr>
          <w:rStyle w:val="OperatorTok"/>
        </w:rPr>
        <w:t xml:space="preserve">=</w:t>
      </w:r>
      <w:r>
        <w:rPr>
          <w:rStyle w:val="NormalTok"/>
        </w:rPr>
        <w:t xml:space="preserve"> deque(maxlen</w:t>
      </w:r>
      <w:r>
        <w:rPr>
          <w:rStyle w:val="OperatorTok"/>
        </w:rPr>
        <w:t xml:space="preserve">=</w:t>
      </w:r>
      <w:r>
        <w:rPr>
          <w:rStyle w:val="NormalTok"/>
        </w:rPr>
        <w:t xml:space="preserve">window)          </w:t>
      </w:r>
      <w:r>
        <w:rPr>
          <w:rStyle w:val="CommentTok"/>
        </w:rPr>
        <w:t xml:space="preserve"># outcomes of the last `window` calls</w:t>
      </w:r>
      <w:r>
        <w:br/>
      </w:r>
      <w:r>
        <w:rPr>
          <w:rStyle w:val="NormalTok"/>
        </w:rPr>
        <w:t xml:space="preserve">        </w:t>
      </w:r>
      <w:r>
        <w:rPr>
          <w:rStyle w:val="VariableTok"/>
        </w:rPr>
        <w:t xml:space="preserve">self</w:t>
      </w:r>
      <w:r>
        <w:rPr>
          <w:rStyle w:val="NormalTok"/>
        </w:rPr>
        <w:t xml:space="preserve">.probes_sent </w:t>
      </w:r>
      <w:r>
        <w:rPr>
          <w:rStyle w:val="OperatorTok"/>
        </w:rPr>
        <w:t xml:space="preserve">=</w:t>
      </w:r>
      <w:r>
        <w:rPr>
          <w:rStyle w:val="NormalTok"/>
        </w:rPr>
        <w:t xml:space="preserve"> </w:t>
      </w:r>
      <w:r>
        <w:rPr>
          <w:rStyle w:val="VariableTok"/>
        </w:rPr>
        <w:t xml:space="preserve">self</w:t>
      </w:r>
      <w:r>
        <w:rPr>
          <w:rStyle w:val="NormalTok"/>
        </w:rPr>
        <w:t xml:space="preserve">.probe_successes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.transitions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_move(</w:t>
      </w:r>
      <w:r>
        <w:rPr>
          <w:rStyle w:val="VariableTok"/>
        </w:rPr>
        <w:t xml:space="preserve">self</w:t>
      </w:r>
      <w:r>
        <w:rPr>
          <w:rStyle w:val="NormalTok"/>
        </w:rPr>
        <w:t xml:space="preserve">, state):</w:t>
      </w:r>
      <w:r>
        <w:br/>
      </w:r>
      <w:r>
        <w:rPr>
          <w:rStyle w:val="NormalTok"/>
        </w:rPr>
        <w:t xml:space="preserve">        </w:t>
      </w:r>
      <w:r>
        <w:rPr>
          <w:rStyle w:val="VariableTok"/>
        </w:rPr>
        <w:t xml:space="preserve">self</w:t>
      </w:r>
      <w:r>
        <w:rPr>
          <w:rStyle w:val="NormalTok"/>
        </w:rPr>
        <w:t xml:space="preserve">.transitions.append((</w:t>
      </w:r>
      <w:r>
        <w:rPr>
          <w:rStyle w:val="BuiltInTok"/>
        </w:rPr>
        <w:t xml:space="preserve">round</w:t>
      </w:r>
      <w:r>
        <w:rPr>
          <w:rStyle w:val="NormalTok"/>
        </w:rPr>
        <w:t xml:space="preserve">(</w:t>
      </w:r>
      <w:r>
        <w:rPr>
          <w:rStyle w:val="VariableTok"/>
        </w:rPr>
        <w:t xml:space="preserve">self</w:t>
      </w:r>
      <w:r>
        <w:rPr>
          <w:rStyle w:val="NormalTok"/>
        </w:rPr>
        <w:t xml:space="preserve">.clock(), </w:t>
      </w:r>
      <w:r>
        <w:rPr>
          <w:rStyle w:val="DecValTok"/>
        </w:rPr>
        <w:t xml:space="preserve">1</w:t>
      </w:r>
      <w:r>
        <w:rPr>
          <w:rStyle w:val="NormalTok"/>
        </w:rPr>
        <w:t xml:space="preserve">), state))</w:t>
      </w:r>
      <w:r>
        <w:br/>
      </w:r>
      <w:r>
        <w:rPr>
          <w:rStyle w:val="NormalTok"/>
        </w:rPr>
        <w:t xml:space="preserve">        </w:t>
      </w:r>
      <w:r>
        <w:rPr>
          <w:rStyle w:val="VariableTok"/>
        </w:rPr>
        <w:t xml:space="preserve">self</w:t>
      </w:r>
      <w:r>
        <w:rPr>
          <w:rStyle w:val="NormalTok"/>
        </w:rPr>
        <w:t xml:space="preserve">.state </w:t>
      </w:r>
      <w:r>
        <w:rPr>
          <w:rStyle w:val="OperatorTok"/>
        </w:rPr>
        <w:t xml:space="preserve">=</w:t>
      </w:r>
      <w:r>
        <w:rPr>
          <w:rStyle w:val="NormalTok"/>
        </w:rPr>
        <w:t xml:space="preserve"> state</w:t>
      </w:r>
      <w:r>
        <w:br/>
      </w:r>
      <w:r>
        <w:br/>
      </w:r>
      <w:r>
        <w:rPr>
          <w:rStyle w:val="NormalTok"/>
        </w:rPr>
        <w:t xml:space="preserve">    </w:t>
      </w:r>
      <w:r>
        <w:rPr>
          <w:rStyle w:val="KeywordTok"/>
        </w:rPr>
        <w:t xml:space="preserve">def</w:t>
      </w:r>
      <w:r>
        <w:rPr>
          <w:rStyle w:val="NormalTok"/>
        </w:rPr>
        <w:t xml:space="preserve"> _allow(</w:t>
      </w:r>
      <w:r>
        <w:rPr>
          <w:rStyle w:val="VariableTok"/>
        </w:rPr>
        <w:t xml:space="preserve">self</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.state </w:t>
      </w:r>
      <w:r>
        <w:rPr>
          <w:rStyle w:val="OperatorTok"/>
        </w:rPr>
        <w:t xml:space="preserve">==</w:t>
      </w:r>
      <w:r>
        <w:rPr>
          <w:rStyle w:val="NormalTok"/>
        </w:rPr>
        <w:t xml:space="preserve"> </w:t>
      </w:r>
      <w:r>
        <w:rPr>
          <w:rStyle w:val="StringTok"/>
        </w:rPr>
        <w:t xml:space="preserve">"open"</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.clock() </w:t>
      </w:r>
      <w:r>
        <w:rPr>
          <w:rStyle w:val="OperatorTok"/>
        </w:rPr>
        <w:t xml:space="preserve">-</w:t>
      </w:r>
      <w:r>
        <w:rPr>
          <w:rStyle w:val="NormalTok"/>
        </w:rPr>
        <w:t xml:space="preserve"> </w:t>
      </w:r>
      <w:r>
        <w:rPr>
          <w:rStyle w:val="VariableTok"/>
        </w:rPr>
        <w:t xml:space="preserve">self</w:t>
      </w:r>
      <w:r>
        <w:rPr>
          <w:rStyle w:val="NormalTok"/>
        </w:rPr>
        <w:t xml:space="preserve">.opened_at </w:t>
      </w:r>
      <w:r>
        <w:rPr>
          <w:rStyle w:val="OperatorTok"/>
        </w:rPr>
        <w:t xml:space="preserve">&lt;</w:t>
      </w:r>
      <w:r>
        <w:rPr>
          <w:rStyle w:val="NormalTok"/>
        </w:rPr>
        <w:t xml:space="preserve"> </w:t>
      </w:r>
      <w:r>
        <w:rPr>
          <w:rStyle w:val="VariableTok"/>
        </w:rPr>
        <w:t xml:space="preserve">self</w:t>
      </w:r>
      <w:r>
        <w:rPr>
          <w:rStyle w:val="NormalTok"/>
        </w:rPr>
        <w:t xml:space="preserve">.open_for:</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CommentTok"/>
        </w:rPr>
        <w:t xml:space="preserve"># fail fast: do not touch the dependency</w:t>
      </w:r>
      <w:r>
        <w:br/>
      </w:r>
      <w:r>
        <w:rPr>
          <w:rStyle w:val="NormalTok"/>
        </w:rPr>
        <w:t xml:space="preserve">            </w:t>
      </w:r>
      <w:r>
        <w:rPr>
          <w:rStyle w:val="VariableTok"/>
        </w:rPr>
        <w:t xml:space="preserve">self</w:t>
      </w:r>
      <w:r>
        <w:rPr>
          <w:rStyle w:val="NormalTok"/>
        </w:rPr>
        <w:t xml:space="preserve">._move(</w:t>
      </w:r>
      <w:r>
        <w:rPr>
          <w:rStyle w:val="StringTok"/>
        </w:rPr>
        <w:t xml:space="preserve">"half_open"</w:t>
      </w:r>
      <w:r>
        <w:rPr>
          <w:rStyle w:val="NormalTok"/>
        </w:rPr>
        <w:t xml:space="preserve">)</w:t>
      </w:r>
      <w:r>
        <w:br/>
      </w:r>
      <w:r>
        <w:rPr>
          <w:rStyle w:val="NormalTok"/>
        </w:rPr>
        <w:t xml:space="preserve">            </w:t>
      </w:r>
      <w:r>
        <w:rPr>
          <w:rStyle w:val="VariableTok"/>
        </w:rPr>
        <w:t xml:space="preserve">self</w:t>
      </w:r>
      <w:r>
        <w:rPr>
          <w:rStyle w:val="NormalTok"/>
        </w:rPr>
        <w:t xml:space="preserve">.probes_sent </w:t>
      </w:r>
      <w:r>
        <w:rPr>
          <w:rStyle w:val="OperatorTok"/>
        </w:rPr>
        <w:t xml:space="preserve">=</w:t>
      </w:r>
      <w:r>
        <w:rPr>
          <w:rStyle w:val="NormalTok"/>
        </w:rPr>
        <w:t xml:space="preserve"> </w:t>
      </w:r>
      <w:r>
        <w:rPr>
          <w:rStyle w:val="VariableTok"/>
        </w:rPr>
        <w:t xml:space="preserve">self</w:t>
      </w:r>
      <w:r>
        <w:rPr>
          <w:rStyle w:val="NormalTok"/>
        </w:rPr>
        <w:t xml:space="preserve">.probe_successes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.state </w:t>
      </w:r>
      <w:r>
        <w:rPr>
          <w:rStyle w:val="OperatorTok"/>
        </w:rPr>
        <w:t xml:space="preserve">==</w:t>
      </w:r>
      <w:r>
        <w:rPr>
          <w:rStyle w:val="NormalTok"/>
        </w:rPr>
        <w:t xml:space="preserve"> </w:t>
      </w:r>
      <w:r>
        <w:rPr>
          <w:rStyle w:val="StringTok"/>
        </w:rPr>
        <w:t xml:space="preserve">"half_open"</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.probes_sent </w:t>
      </w:r>
      <w:r>
        <w:rPr>
          <w:rStyle w:val="OperatorTok"/>
        </w:rPr>
        <w:t xml:space="preserve">&gt;=</w:t>
      </w:r>
      <w:r>
        <w:rPr>
          <w:rStyle w:val="NormalTok"/>
        </w:rPr>
        <w:t xml:space="preserve"> </w:t>
      </w:r>
      <w:r>
        <w:rPr>
          <w:rStyle w:val="VariableTok"/>
        </w:rPr>
        <w:t xml:space="preserve">self</w:t>
      </w:r>
      <w:r>
        <w:rPr>
          <w:rStyle w:val="NormalTok"/>
        </w:rPr>
        <w:t xml:space="preserve">.probes:      </w:t>
      </w:r>
      <w:r>
        <w:rPr>
          <w:rStyle w:val="CommentTok"/>
        </w:rPr>
        <w:t xml:space="preserve"># only a few trial calls at a time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VariableTok"/>
        </w:rPr>
        <w:t xml:space="preserve">self</w:t>
      </w:r>
      <w:r>
        <w:rPr>
          <w:rStyle w:val="NormalTok"/>
        </w:rPr>
        <w:t xml:space="preserve">.probes_sent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rPr>
          <w:rStyle w:val="NormalTok"/>
        </w:rPr>
        <w:t xml:space="preserve">    </w:t>
      </w:r>
      <w:r>
        <w:rPr>
          <w:rStyle w:val="KeywordTok"/>
        </w:rPr>
        <w:t xml:space="preserve">def</w:t>
      </w:r>
      <w:r>
        <w:rPr>
          <w:rStyle w:val="NormalTok"/>
        </w:rPr>
        <w:t xml:space="preserve"> _record(</w:t>
      </w:r>
      <w:r>
        <w:rPr>
          <w:rStyle w:val="VariableTok"/>
        </w:rPr>
        <w:t xml:space="preserve">self</w:t>
      </w:r>
      <w:r>
        <w:rPr>
          <w:rStyle w:val="NormalTok"/>
        </w:rPr>
        <w:t xml:space="preserve">, ok):</w:t>
      </w:r>
      <w:r>
        <w:br/>
      </w:r>
      <w:r>
        <w:rPr>
          <w:rStyle w:val="NormalTok"/>
        </w:rPr>
        <w:t xml:space="preserve">        now </w:t>
      </w:r>
      <w:r>
        <w:rPr>
          <w:rStyle w:val="OperatorTok"/>
        </w:rPr>
        <w:t xml:space="preserve">=</w:t>
      </w:r>
      <w:r>
        <w:rPr>
          <w:rStyle w:val="NormalTok"/>
        </w:rPr>
        <w:t xml:space="preserve"> </w:t>
      </w:r>
      <w:r>
        <w:rPr>
          <w:rStyle w:val="VariableTok"/>
        </w:rPr>
        <w:t xml:space="preserve">self</w:t>
      </w:r>
      <w:r>
        <w:rPr>
          <w:rStyle w:val="NormalTok"/>
        </w:rPr>
        <w:t xml:space="preserve">.clock()</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.state </w:t>
      </w:r>
      <w:r>
        <w:rPr>
          <w:rStyle w:val="OperatorTok"/>
        </w:rPr>
        <w:t xml:space="preserve">==</w:t>
      </w:r>
      <w:r>
        <w:rPr>
          <w:rStyle w:val="NormalTok"/>
        </w:rPr>
        <w:t xml:space="preserve"> </w:t>
      </w:r>
      <w:r>
        <w:rPr>
          <w:rStyle w:val="StringTok"/>
        </w:rPr>
        <w:t xml:space="preserve">"half_open"</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ok:                               </w:t>
      </w:r>
      <w:r>
        <w:rPr>
          <w:rStyle w:val="CommentTok"/>
        </w:rPr>
        <w:t xml:space="preserve"># dependency still sick: reopen</w:t>
      </w:r>
      <w:r>
        <w:br/>
      </w:r>
      <w:r>
        <w:rPr>
          <w:rStyle w:val="NormalTok"/>
        </w:rPr>
        <w:t xml:space="preserve">                </w:t>
      </w:r>
      <w:r>
        <w:rPr>
          <w:rStyle w:val="VariableTok"/>
        </w:rPr>
        <w:t xml:space="preserve">self</w:t>
      </w:r>
      <w:r>
        <w:rPr>
          <w:rStyle w:val="NormalTok"/>
        </w:rPr>
        <w:t xml:space="preserve">.opened_at </w:t>
      </w:r>
      <w:r>
        <w:rPr>
          <w:rStyle w:val="OperatorTok"/>
        </w:rPr>
        <w:t xml:space="preserve">=</w:t>
      </w:r>
      <w:r>
        <w:rPr>
          <w:rStyle w:val="NormalTok"/>
        </w:rPr>
        <w:t xml:space="preserve"> now</w:t>
      </w:r>
      <w:r>
        <w:br/>
      </w:r>
      <w:r>
        <w:rPr>
          <w:rStyle w:val="NormalTok"/>
        </w:rPr>
        <w:t xml:space="preserve">                </w:t>
      </w:r>
      <w:r>
        <w:rPr>
          <w:rStyle w:val="VariableTok"/>
        </w:rPr>
        <w:t xml:space="preserve">self</w:t>
      </w:r>
      <w:r>
        <w:rPr>
          <w:rStyle w:val="NormalTok"/>
        </w:rPr>
        <w:t xml:space="preserve">._move(</w:t>
      </w:r>
      <w:r>
        <w:rPr>
          <w:rStyle w:val="StringTok"/>
        </w:rPr>
        <w:t xml:space="preserve">"open"</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VariableTok"/>
        </w:rPr>
        <w:t xml:space="preserve">self</w:t>
      </w:r>
      <w:r>
        <w:rPr>
          <w:rStyle w:val="NormalTok"/>
        </w:rPr>
        <w:t xml:space="preserve">.probe_successes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.probe_successes </w:t>
      </w:r>
      <w:r>
        <w:rPr>
          <w:rStyle w:val="OperatorTok"/>
        </w:rPr>
        <w:t xml:space="preserve">&gt;=</w:t>
      </w:r>
      <w:r>
        <w:rPr>
          <w:rStyle w:val="NormalTok"/>
        </w:rPr>
        <w:t xml:space="preserve"> </w:t>
      </w:r>
      <w:r>
        <w:rPr>
          <w:rStyle w:val="VariableTok"/>
        </w:rPr>
        <w:t xml:space="preserve">self</w:t>
      </w:r>
      <w:r>
        <w:rPr>
          <w:rStyle w:val="NormalTok"/>
        </w:rPr>
        <w:t xml:space="preserve">.probes:</w:t>
      </w:r>
      <w:r>
        <w:br/>
      </w:r>
      <w:r>
        <w:rPr>
          <w:rStyle w:val="NormalTok"/>
        </w:rPr>
        <w:t xml:space="preserve">                    </w:t>
      </w:r>
      <w:r>
        <w:rPr>
          <w:rStyle w:val="VariableTok"/>
        </w:rPr>
        <w:t xml:space="preserve">self</w:t>
      </w:r>
      <w:r>
        <w:rPr>
          <w:rStyle w:val="NormalTok"/>
        </w:rPr>
        <w:t xml:space="preserve">.results.clear()</w:t>
      </w:r>
      <w:r>
        <w:br/>
      </w:r>
      <w:r>
        <w:rPr>
          <w:rStyle w:val="NormalTok"/>
        </w:rPr>
        <w:t xml:space="preserve">                    </w:t>
      </w:r>
      <w:r>
        <w:rPr>
          <w:rStyle w:val="VariableTok"/>
        </w:rPr>
        <w:t xml:space="preserve">self</w:t>
      </w:r>
      <w:r>
        <w:rPr>
          <w:rStyle w:val="NormalTok"/>
        </w:rPr>
        <w:t xml:space="preserve">._move(</w:t>
      </w:r>
      <w:r>
        <w:rPr>
          <w:rStyle w:val="StringTok"/>
        </w:rPr>
        <w:t xml:space="preserve">"closed"</w:t>
      </w:r>
      <w:r>
        <w:rPr>
          <w:rStyle w:val="NormalTok"/>
        </w:rPr>
        <w:t xml:space="preserve">)</w:t>
      </w:r>
      <w:r>
        <w:br/>
      </w:r>
      <w:r>
        <w:rPr>
          <w:rStyle w:val="NormalTok"/>
        </w:rPr>
        <w:t xml:space="preserve">            </w:t>
      </w:r>
      <w:r>
        <w:rPr>
          <w:rStyle w:val="ControlFlowTok"/>
        </w:rPr>
        <w:t xml:space="preserve">return</w:t>
      </w:r>
      <w:r>
        <w:br/>
      </w:r>
      <w:r>
        <w:rPr>
          <w:rStyle w:val="NormalTok"/>
        </w:rPr>
        <w:t xml:space="preserve">        </w:t>
      </w:r>
      <w:r>
        <w:rPr>
          <w:rStyle w:val="VariableTok"/>
        </w:rPr>
        <w:t xml:space="preserve">self</w:t>
      </w:r>
      <w:r>
        <w:rPr>
          <w:rStyle w:val="NormalTok"/>
        </w:rPr>
        <w:t xml:space="preserve">.results.append(ok)</w:t>
      </w:r>
      <w:r>
        <w:br/>
      </w:r>
      <w:r>
        <w:rPr>
          <w:rStyle w:val="NormalTok"/>
        </w:rPr>
        <w:t xml:space="preserve">        failures </w:t>
      </w:r>
      <w:r>
        <w:rPr>
          <w:rStyle w:val="OperatorTok"/>
        </w:rPr>
        <w:t xml:space="preserve">=</w:t>
      </w:r>
      <w:r>
        <w:rPr>
          <w:rStyle w:val="NormalTok"/>
        </w:rPr>
        <w:t xml:space="preserve"> </w:t>
      </w:r>
      <w:r>
        <w:rPr>
          <w:rStyle w:val="VariableTok"/>
        </w:rPr>
        <w:t xml:space="preserve">self</w:t>
      </w:r>
      <w:r>
        <w:rPr>
          <w:rStyle w:val="NormalTok"/>
        </w:rPr>
        <w:t xml:space="preserve">.results.count(</w:t>
      </w:r>
      <w:r>
        <w:rPr>
          <w:rStyle w:val="VariableTok"/>
        </w:rPr>
        <w:t xml:space="preserve">False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.results) </w:t>
      </w:r>
      <w:r>
        <w:rPr>
          <w:rStyle w:val="OperatorTok"/>
        </w:rPr>
        <w:t xml:space="preserve">==</w:t>
      </w:r>
      <w:r>
        <w:rPr>
          <w:rStyle w:val="NormalTok"/>
        </w:rPr>
        <w:t xml:space="preserve"> </w:t>
      </w:r>
      <w:r>
        <w:rPr>
          <w:rStyle w:val="VariableTok"/>
        </w:rPr>
        <w:t xml:space="preserve">self</w:t>
      </w:r>
      <w:r>
        <w:rPr>
          <w:rStyle w:val="NormalTok"/>
        </w:rPr>
        <w:t xml:space="preserve">.window </w:t>
      </w:r>
      <w:r>
        <w:rPr>
          <w:rStyle w:val="KeywordTok"/>
        </w:rPr>
        <w:t xml:space="preserve">and</w:t>
      </w:r>
      <w:r>
        <w:rPr>
          <w:rStyle w:val="NormalTok"/>
        </w:rPr>
        <w:t xml:space="preserve"> failures </w:t>
      </w:r>
      <w:r>
        <w:rPr>
          <w:rStyle w:val="OperatorTok"/>
        </w:rPr>
        <w:t xml:space="preserve">/</w:t>
      </w:r>
      <w:r>
        <w:rPr>
          <w:rStyle w:val="NormalTok"/>
        </w:rPr>
        <w:t xml:space="preserve"> </w:t>
      </w:r>
      <w:r>
        <w:rPr>
          <w:rStyle w:val="VariableTok"/>
        </w:rPr>
        <w:t xml:space="preserve">self</w:t>
      </w:r>
      <w:r>
        <w:rPr>
          <w:rStyle w:val="NormalTok"/>
        </w:rPr>
        <w:t xml:space="preserve">.window </w:t>
      </w:r>
      <w:r>
        <w:rPr>
          <w:rStyle w:val="OperatorTok"/>
        </w:rPr>
        <w:t xml:space="preserve">&gt;=</w:t>
      </w:r>
      <w:r>
        <w:rPr>
          <w:rStyle w:val="NormalTok"/>
        </w:rPr>
        <w:t xml:space="preserve"> </w:t>
      </w:r>
      <w:r>
        <w:rPr>
          <w:rStyle w:val="VariableTok"/>
        </w:rPr>
        <w:t xml:space="preserve">self</w:t>
      </w:r>
      <w:r>
        <w:rPr>
          <w:rStyle w:val="NormalTok"/>
        </w:rPr>
        <w:t xml:space="preserve">.failure_rate:</w:t>
      </w:r>
      <w:r>
        <w:br/>
      </w:r>
      <w:r>
        <w:rPr>
          <w:rStyle w:val="NormalTok"/>
        </w:rPr>
        <w:t xml:space="preserve">            </w:t>
      </w:r>
      <w:r>
        <w:rPr>
          <w:rStyle w:val="VariableTok"/>
        </w:rPr>
        <w:t xml:space="preserve">self</w:t>
      </w:r>
      <w:r>
        <w:rPr>
          <w:rStyle w:val="NormalTok"/>
        </w:rPr>
        <w:t xml:space="preserve">.opened_at </w:t>
      </w:r>
      <w:r>
        <w:rPr>
          <w:rStyle w:val="OperatorTok"/>
        </w:rPr>
        <w:t xml:space="preserve">=</w:t>
      </w:r>
      <w:r>
        <w:rPr>
          <w:rStyle w:val="NormalTok"/>
        </w:rPr>
        <w:t xml:space="preserve"> now</w:t>
      </w:r>
      <w:r>
        <w:br/>
      </w:r>
      <w:r>
        <w:rPr>
          <w:rStyle w:val="NormalTok"/>
        </w:rPr>
        <w:t xml:space="preserve">            </w:t>
      </w:r>
      <w:r>
        <w:rPr>
          <w:rStyle w:val="VariableTok"/>
        </w:rPr>
        <w:t xml:space="preserve">self</w:t>
      </w:r>
      <w:r>
        <w:rPr>
          <w:rStyle w:val="NormalTok"/>
        </w:rPr>
        <w:t xml:space="preserve">._move(</w:t>
      </w:r>
      <w:r>
        <w:rPr>
          <w:rStyle w:val="StringTok"/>
        </w:rPr>
        <w:t xml:space="preserve">"open"</w:t>
      </w:r>
      <w:r>
        <w:rPr>
          <w:rStyle w:val="NormalTok"/>
        </w:rPr>
        <w:t xml:space="preserve">)</w:t>
      </w:r>
      <w:r>
        <w:br/>
      </w:r>
      <w:r>
        <w:br/>
      </w:r>
      <w:r>
        <w:rPr>
          <w:rStyle w:val="NormalTok"/>
        </w:rPr>
        <w:t xml:space="preserve">    </w:t>
      </w:r>
      <w:r>
        <w:rPr>
          <w:rStyle w:val="KeywordTok"/>
        </w:rPr>
        <w:t xml:space="preserve">def</w:t>
      </w:r>
      <w:r>
        <w:rPr>
          <w:rStyle w:val="NormalTok"/>
        </w:rPr>
        <w:t xml:space="preserve"> call(</w:t>
      </w:r>
      <w:r>
        <w:rPr>
          <w:rStyle w:val="VariableTok"/>
        </w:rPr>
        <w:t xml:space="preserve">self</w:t>
      </w:r>
      <w:r>
        <w:rPr>
          <w:rStyle w:val="NormalTok"/>
        </w:rPr>
        <w:t xml:space="preserve">, fn, </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._allow():</w:t>
      </w:r>
      <w:r>
        <w:br/>
      </w:r>
      <w:r>
        <w:rPr>
          <w:rStyle w:val="NormalTok"/>
        </w:rPr>
        <w:t xml:space="preserve">            </w:t>
      </w:r>
      <w:r>
        <w:rPr>
          <w:rStyle w:val="ControlFlowTok"/>
        </w:rPr>
        <w:t xml:space="preserve">raise</w:t>
      </w:r>
      <w:r>
        <w:rPr>
          <w:rStyle w:val="NormalTok"/>
        </w:rPr>
        <w:t xml:space="preserve"> CircuitOpenError(</w:t>
      </w:r>
      <w:r>
        <w:rPr>
          <w:rStyle w:val="StringTok"/>
        </w:rPr>
        <w:t xml:space="preserve">"circuit open"</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result </w:t>
      </w:r>
      <w:r>
        <w:rPr>
          <w:rStyle w:val="OperatorTok"/>
        </w:rPr>
        <w:t xml:space="preserve">=</w:t>
      </w:r>
      <w:r>
        <w:rPr>
          <w:rStyle w:val="NormalTok"/>
        </w:rPr>
        <w:t xml:space="preserve"> fn(</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VariableTok"/>
        </w:rPr>
        <w:t xml:space="preserve">self</w:t>
      </w:r>
      <w:r>
        <w:rPr>
          <w:rStyle w:val="NormalTok"/>
        </w:rPr>
        <w:t xml:space="preserve">._record(</w:t>
      </w:r>
      <w:r>
        <w:rPr>
          <w:rStyle w:val="VariableTok"/>
        </w:rPr>
        <w:t xml:space="preserve">False</w:t>
      </w:r>
      <w:r>
        <w:rPr>
          <w:rStyle w:val="NormalTok"/>
        </w:rPr>
        <w:t xml:space="preserve">)</w:t>
      </w:r>
      <w:r>
        <w:br/>
      </w:r>
      <w:r>
        <w:rPr>
          <w:rStyle w:val="NormalTok"/>
        </w:rPr>
        <w:t xml:space="preserve">            </w:t>
      </w:r>
      <w:r>
        <w:rPr>
          <w:rStyle w:val="ControlFlowTok"/>
        </w:rPr>
        <w:t xml:space="preserve">raise</w:t>
      </w:r>
      <w:r>
        <w:br/>
      </w:r>
      <w:r>
        <w:rPr>
          <w:rStyle w:val="NormalTok"/>
        </w:rPr>
        <w:t xml:space="preserve">        </w:t>
      </w:r>
      <w:r>
        <w:rPr>
          <w:rStyle w:val="VariableTok"/>
        </w:rPr>
        <w:t xml:space="preserve">self</w:t>
      </w:r>
      <w:r>
        <w:rPr>
          <w:rStyle w:val="NormalTok"/>
        </w:rPr>
        <w:t xml:space="preserve">._record(</w:t>
      </w:r>
      <w:r>
        <w:rPr>
          <w:rStyle w:val="VariableTok"/>
        </w:rPr>
        <w:t xml:space="preserve">True</w:t>
      </w:r>
      <w:r>
        <w:rPr>
          <w:rStyle w:val="NormalTok"/>
        </w:rPr>
        <w:t xml:space="preserve">)</w:t>
      </w:r>
      <w:r>
        <w:br/>
      </w:r>
      <w:r>
        <w:rPr>
          <w:rStyle w:val="NormalTok"/>
        </w:rPr>
        <w:t xml:space="preserve">        </w:t>
      </w:r>
      <w:r>
        <w:rPr>
          <w:rStyle w:val="ControlFlowTok"/>
        </w:rPr>
        <w:t xml:space="preserve">return</w:t>
      </w:r>
      <w:r>
        <w:rPr>
          <w:rStyle w:val="NormalTok"/>
        </w:rPr>
        <w:t xml:space="preserve"> result</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ImportTok"/>
        </w:rPr>
        <w:t xml:space="preserve">from</w:t>
      </w:r>
      <w:r>
        <w:rPr>
          <w:rStyle w:val="NormalTok"/>
        </w:rPr>
        <w:t xml:space="preserve"> itertools </w:t>
      </w:r>
      <w:r>
        <w:rPr>
          <w:rStyle w:val="ImportTok"/>
        </w:rPr>
        <w:t xml:space="preserve">import</w:t>
      </w:r>
      <w:r>
        <w:rPr>
          <w:rStyle w:val="NormalTok"/>
        </w:rPr>
        <w:t xml:space="preserve"> count</w:t>
      </w:r>
      <w:r>
        <w:br/>
      </w:r>
      <w:r>
        <w:br/>
      </w:r>
      <w:r>
        <w:rPr>
          <w:rStyle w:val="NormalTok"/>
        </w:rPr>
        <w:t xml:space="preserve">    </w:t>
      </w:r>
      <w:r>
        <w:rPr>
          <w:rStyle w:val="KeywordTok"/>
        </w:rPr>
        <w:t xml:space="preserve">class</w:t>
      </w:r>
      <w:r>
        <w:rPr>
          <w:rStyle w:val="NormalTok"/>
        </w:rPr>
        <w:t xml:space="preserve"> Clock:</w:t>
      </w:r>
      <w:r>
        <w:br/>
      </w:r>
      <w:r>
        <w:rPr>
          <w:rStyle w:val="NormalTok"/>
        </w:rPr>
        <w:t xml:space="preserve">        t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KeywordTok"/>
        </w:rPr>
        <w:t xml:space="preserve">def</w:t>
      </w:r>
      <w:r>
        <w:rPr>
          <w:rStyle w:val="NormalTok"/>
        </w:rPr>
        <w:t xml:space="preserve"> </w:t>
      </w:r>
      <w:r>
        <w:rPr>
          <w:rStyle w:val="FunctionTok"/>
        </w:rPr>
        <w:t xml:space="preserve">__call__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.t</w:t>
      </w:r>
      <w:r>
        <w:br/>
      </w:r>
      <w:r>
        <w:br/>
      </w:r>
      <w:r>
        <w:rPr>
          <w:rStyle w:val="NormalTok"/>
        </w:rPr>
        <w:t xml:space="preserve">    clock </w:t>
      </w:r>
      <w:r>
        <w:rPr>
          <w:rStyle w:val="OperatorTok"/>
        </w:rPr>
        <w:t xml:space="preserve">=</w:t>
      </w:r>
      <w:r>
        <w:rPr>
          <w:rStyle w:val="NormalTok"/>
        </w:rPr>
        <w:t xml:space="preserve"> Clock()</w:t>
      </w:r>
      <w:r>
        <w:br/>
      </w:r>
      <w:r>
        <w:rPr>
          <w:rStyle w:val="NormalTok"/>
        </w:rPr>
        <w:t xml:space="preserve">    breaker </w:t>
      </w:r>
      <w:r>
        <w:rPr>
          <w:rStyle w:val="OperatorTok"/>
        </w:rPr>
        <w:t xml:space="preserve">=</w:t>
      </w:r>
      <w:r>
        <w:rPr>
          <w:rStyle w:val="NormalTok"/>
        </w:rPr>
        <w:t xml:space="preserve"> CircuitBreaker(clock</w:t>
      </w:r>
      <w:r>
        <w:rPr>
          <w:rStyle w:val="OperatorTok"/>
        </w:rPr>
        <w:t xml:space="preserve">=</w:t>
      </w:r>
      <w:r>
        <w:rPr>
          <w:rStyle w:val="NormalTok"/>
        </w:rPr>
        <w:t xml:space="preserve">clock)</w:t>
      </w:r>
      <w:r>
        <w:br/>
      </w:r>
      <w:r>
        <w:rPr>
          <w:rStyle w:val="NormalTok"/>
        </w:rPr>
        <w:t xml:space="preserve">    reached </w:t>
      </w:r>
      <w:r>
        <w:rPr>
          <w:rStyle w:val="OperatorTok"/>
        </w:rPr>
        <w:t xml:space="preserve">=</w:t>
      </w:r>
      <w:r>
        <w:rPr>
          <w:rStyle w:val="NormalTok"/>
        </w:rPr>
        <w:t xml:space="preserve"> short_circuited </w:t>
      </w:r>
      <w:r>
        <w:rPr>
          <w:rStyle w:val="OperatorTok"/>
        </w:rPr>
        <w:t xml:space="preserve">=</w:t>
      </w:r>
      <w:r>
        <w:rPr>
          <w:rStyle w:val="NormalTok"/>
        </w:rPr>
        <w:t xml:space="preserve"> failed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KeywordTok"/>
        </w:rPr>
        <w:t xml:space="preserve">def</w:t>
      </w:r>
      <w:r>
        <w:rPr>
          <w:rStyle w:val="NormalTok"/>
        </w:rPr>
        <w:t xml:space="preserve"> dependency():</w:t>
      </w:r>
      <w:r>
        <w:br/>
      </w:r>
      <w:r>
        <w:rPr>
          <w:rStyle w:val="NormalTok"/>
        </w:rPr>
        <w:t xml:space="preserve">        </w:t>
      </w:r>
      <w:r>
        <w:rPr>
          <w:rStyle w:val="KeywordTok"/>
        </w:rPr>
        <w:t xml:space="preserve">global</w:t>
      </w:r>
      <w:r>
        <w:rPr>
          <w:rStyle w:val="NormalTok"/>
        </w:rPr>
        <w:t xml:space="preserve"> reached</w:t>
      </w:r>
      <w:r>
        <w:br/>
      </w:r>
      <w:r>
        <w:rPr>
          <w:rStyle w:val="NormalTok"/>
        </w:rPr>
        <w:t xml:space="preserve">        reached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w:t>
      </w:r>
      <w:r>
        <w:rPr>
          <w:rStyle w:val="FloatTok"/>
        </w:rPr>
        <w:t xml:space="preserve">10.0</w:t>
      </w:r>
      <w:r>
        <w:rPr>
          <w:rStyle w:val="NormalTok"/>
        </w:rPr>
        <w:t xml:space="preserve"> </w:t>
      </w:r>
      <w:r>
        <w:rPr>
          <w:rStyle w:val="OperatorTok"/>
        </w:rPr>
        <w:t xml:space="preserve">&lt;=</w:t>
      </w:r>
      <w:r>
        <w:rPr>
          <w:rStyle w:val="NormalTok"/>
        </w:rPr>
        <w:t xml:space="preserve"> clock.t </w:t>
      </w:r>
      <w:r>
        <w:rPr>
          <w:rStyle w:val="OperatorTok"/>
        </w:rPr>
        <w:t xml:space="preserve">&lt;</w:t>
      </w:r>
      <w:r>
        <w:rPr>
          <w:rStyle w:val="NormalTok"/>
        </w:rPr>
        <w:t xml:space="preserve"> </w:t>
      </w:r>
      <w:r>
        <w:rPr>
          <w:rStyle w:val="FloatTok"/>
        </w:rPr>
        <w:t xml:space="preserve">28.0</w:t>
      </w:r>
      <w:r>
        <w:rPr>
          <w:rStyle w:val="NormalTok"/>
        </w:rPr>
        <w:t xml:space="preserve">:                   </w:t>
      </w:r>
      <w:r>
        <w:rPr>
          <w:rStyle w:val="CommentTok"/>
        </w:rPr>
        <w:t xml:space="preserve"># outage from t = 10 s to t = 28 s</w:t>
      </w:r>
      <w:r>
        <w:br/>
      </w:r>
      <w:r>
        <w:rPr>
          <w:rStyle w:val="NormalTok"/>
        </w:rPr>
        <w:t xml:space="preserve">            </w:t>
      </w:r>
      <w:r>
        <w:rPr>
          <w:rStyle w:val="ControlFlowTok"/>
        </w:rPr>
        <w:t xml:space="preserve">raise</w:t>
      </w:r>
      <w:r>
        <w:rPr>
          <w:rStyle w:val="NormalTok"/>
        </w:rPr>
        <w:t xml:space="preserve"> </w:t>
      </w:r>
      <w:r>
        <w:rPr>
          <w:rStyle w:val="PreprocessorTok"/>
        </w:rPr>
        <w:t xml:space="preserve">ConnectionError</w:t>
      </w:r>
      <w:r>
        <w:rPr>
          <w:rStyle w:val="NormalTok"/>
        </w:rPr>
        <w:t xml:space="preserve">(</w:t>
      </w:r>
      <w:r>
        <w:rPr>
          <w:rStyle w:val="StringTok"/>
        </w:rPr>
        <w:t xml:space="preserve">"upstream down"</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"ok"</w:t>
      </w:r>
      <w:r>
        <w:br/>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count():                                </w:t>
      </w:r>
      <w:r>
        <w:rPr>
          <w:rStyle w:val="CommentTok"/>
        </w:rPr>
        <w:t xml:space="preserve"># 20 requests per second for 60 s</w:t>
      </w:r>
      <w:r>
        <w:br/>
      </w:r>
      <w:r>
        <w:rPr>
          <w:rStyle w:val="NormalTok"/>
        </w:rPr>
        <w:t xml:space="preserve">        clock.t </w:t>
      </w:r>
      <w:r>
        <w:rPr>
          <w:rStyle w:val="OperatorTok"/>
        </w:rPr>
        <w:t xml:space="preserve">=</w:t>
      </w:r>
      <w:r>
        <w:rPr>
          <w:rStyle w:val="NormalTok"/>
        </w:rPr>
        <w:t xml:space="preserve"> i </w:t>
      </w:r>
      <w:r>
        <w:rPr>
          <w:rStyle w:val="OperatorTok"/>
        </w:rPr>
        <w:t xml:space="preserve">*</w:t>
      </w:r>
      <w:r>
        <w:rPr>
          <w:rStyle w:val="NormalTok"/>
        </w:rPr>
        <w:t xml:space="preserve"> </w:t>
      </w:r>
      <w:r>
        <w:rPr>
          <w:rStyle w:val="FloatTok"/>
        </w:rPr>
        <w:t xml:space="preserve">0.05</w:t>
      </w:r>
      <w:r>
        <w:br/>
      </w:r>
      <w:r>
        <w:rPr>
          <w:rStyle w:val="NormalTok"/>
        </w:rPr>
        <w:t xml:space="preserve">        </w:t>
      </w:r>
      <w:r>
        <w:rPr>
          <w:rStyle w:val="ControlFlowTok"/>
        </w:rPr>
        <w:t xml:space="preserve">if</w:t>
      </w:r>
      <w:r>
        <w:rPr>
          <w:rStyle w:val="NormalTok"/>
        </w:rPr>
        <w:t xml:space="preserve"> clock.t </w:t>
      </w:r>
      <w:r>
        <w:rPr>
          <w:rStyle w:val="OperatorTok"/>
        </w:rPr>
        <w:t xml:space="preserve">&gt;=</w:t>
      </w:r>
      <w:r>
        <w:rPr>
          <w:rStyle w:val="NormalTok"/>
        </w:rPr>
        <w:t xml:space="preserve"> </w:t>
      </w:r>
      <w:r>
        <w:rPr>
          <w:rStyle w:val="FloatTok"/>
        </w:rPr>
        <w:t xml:space="preserve">60.0</w:t>
      </w:r>
      <w:r>
        <w:rPr>
          <w:rStyle w:val="NormalTok"/>
        </w:rPr>
        <w:t xml:space="preserve">:</w:t>
      </w:r>
      <w:r>
        <w:br/>
      </w:r>
      <w:r>
        <w:rPr>
          <w:rStyle w:val="NormalTok"/>
        </w:rPr>
        <w:t xml:space="preserve">            </w:t>
      </w:r>
      <w:r>
        <w:rPr>
          <w:rStyle w:val="ControlFlowTok"/>
        </w:rPr>
        <w:t xml:space="preserve">break</w:t>
      </w:r>
      <w:r>
        <w:br/>
      </w:r>
      <w:r>
        <w:rPr>
          <w:rStyle w:val="NormalTok"/>
        </w:rPr>
        <w:t xml:space="preserve">        </w:t>
      </w:r>
      <w:r>
        <w:rPr>
          <w:rStyle w:val="ControlFlowTok"/>
        </w:rPr>
        <w:t xml:space="preserve">try</w:t>
      </w:r>
      <w:r>
        <w:rPr>
          <w:rStyle w:val="NormalTok"/>
        </w:rPr>
        <w:t xml:space="preserve">:</w:t>
      </w:r>
      <w:r>
        <w:br/>
      </w:r>
      <w:r>
        <w:rPr>
          <w:rStyle w:val="NormalTok"/>
        </w:rPr>
        <w:t xml:space="preserve">            breaker.call(dependency)</w:t>
      </w:r>
      <w:r>
        <w:br/>
      </w:r>
      <w:r>
        <w:rPr>
          <w:rStyle w:val="NormalTok"/>
        </w:rPr>
        <w:t xml:space="preserve">        </w:t>
      </w:r>
      <w:r>
        <w:rPr>
          <w:rStyle w:val="ControlFlowTok"/>
        </w:rPr>
        <w:t xml:space="preserve">except</w:t>
      </w:r>
      <w:r>
        <w:rPr>
          <w:rStyle w:val="NormalTok"/>
        </w:rPr>
        <w:t xml:space="preserve"> CircuitOpenError:</w:t>
      </w:r>
      <w:r>
        <w:br/>
      </w:r>
      <w:r>
        <w:rPr>
          <w:rStyle w:val="NormalTok"/>
        </w:rPr>
        <w:t xml:space="preserve">            short_circuited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except</w:t>
      </w:r>
      <w:r>
        <w:rPr>
          <w:rStyle w:val="NormalTok"/>
        </w:rPr>
        <w:t xml:space="preserve"> </w:t>
      </w:r>
      <w:r>
        <w:rPr>
          <w:rStyle w:val="PreprocessorTok"/>
        </w:rPr>
        <w:t xml:space="preserve">ConnectionError</w:t>
      </w:r>
      <w:r>
        <w:rPr>
          <w:rStyle w:val="NormalTok"/>
        </w:rPr>
        <w:t xml:space="preserve">:</w:t>
      </w:r>
      <w:r>
        <w:br/>
      </w:r>
      <w:r>
        <w:rPr>
          <w:rStyle w:val="NormalTok"/>
        </w:rPr>
        <w:t xml:space="preserve">            failed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BuiltInTok"/>
        </w:rPr>
        <w:t xml:space="preserve">print</w:t>
      </w:r>
      <w:r>
        <w:rPr>
          <w:rStyle w:val="NormalTok"/>
        </w:rPr>
        <w:t xml:space="preserve">(</w:t>
      </w:r>
      <w:r>
        <w:rPr>
          <w:rStyle w:val="SpecialStringTok"/>
        </w:rPr>
        <w:t xml:space="preserve">f"requests 1200, reached dependency </w:t>
      </w:r>
      <w:r>
        <w:rPr>
          <w:rStyle w:val="SpecialCharTok"/>
        </w:rPr>
        <w:t xml:space="preserve">{</w:t>
      </w:r>
      <w:r>
        <w:rPr>
          <w:rStyle w:val="NormalTok"/>
        </w:rPr>
        <w:t xml:space="preserve">reached</w:t>
      </w:r>
      <w:r>
        <w:rPr>
          <w:rStyle w:val="SpecialCharTok"/>
        </w:rPr>
        <w:t xml:space="preserve">}</w:t>
      </w:r>
      <w:r>
        <w:rPr>
          <w:rStyle w:val="SpecialStringTok"/>
        </w:rPr>
        <w:t xml:space="preserve">, failed </w:t>
      </w:r>
      <w:r>
        <w:rPr>
          <w:rStyle w:val="SpecialCharTok"/>
        </w:rPr>
        <w:t xml:space="preserve">{</w:t>
      </w:r>
      <w:r>
        <w:rPr>
          <w:rStyle w:val="NormalTok"/>
        </w:rPr>
        <w:t xml:space="preserve">failed</w:t>
      </w:r>
      <w:r>
        <w:rPr>
          <w:rStyle w:val="SpecialCharTok"/>
        </w:rPr>
        <w:t xml:space="preserve">}</w:t>
      </w:r>
      <w:r>
        <w:rPr>
          <w:rStyle w:val="SpecialStringTok"/>
        </w:rPr>
        <w:t xml:space="preserve">, "</w:t>
      </w:r>
      <w:r>
        <w:br/>
      </w:r>
      <w:r>
        <w:rPr>
          <w:rStyle w:val="NormalTok"/>
        </w:rPr>
        <w:t xml:space="preserve">          </w:t>
      </w:r>
      <w:r>
        <w:rPr>
          <w:rStyle w:val="SpecialStringTok"/>
        </w:rPr>
        <w:t xml:space="preserve">f"short-circuited </w:t>
      </w:r>
      <w:r>
        <w:rPr>
          <w:rStyle w:val="SpecialCharTok"/>
        </w:rPr>
        <w:t xml:space="preserve">{</w:t>
      </w:r>
      <w:r>
        <w:rPr>
          <w:rStyle w:val="NormalTok"/>
        </w:rPr>
        <w:t xml:space="preserve">short_circuited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"transitions:"</w:t>
      </w:r>
      <w:r>
        <w:rPr>
          <w:rStyle w:val="NormalTok"/>
        </w:rPr>
        <w:t xml:space="preserve">, breaker.transitions)</w:t>
      </w:r>
      <w:r>
        <w:br/>
      </w:r>
      <w:r>
        <w:rPr>
          <w:rStyle w:val="NormalTok"/>
        </w:rPr>
        <w:t xml:space="preserve">    </w:t>
      </w:r>
      <w:r>
        <w:rPr>
          <w:rStyle w:val="ControlFlowTok"/>
        </w:rPr>
        <w:t xml:space="preserve">assert</w:t>
      </w:r>
      <w:r>
        <w:rPr>
          <w:rStyle w:val="NormalTok"/>
        </w:rPr>
        <w:t xml:space="preserve"> breaker.state </w:t>
      </w:r>
      <w:r>
        <w:rPr>
          <w:rStyle w:val="OperatorTok"/>
        </w:rPr>
        <w:t xml:space="preserve">==</w:t>
      </w:r>
      <w:r>
        <w:rPr>
          <w:rStyle w:val="NormalTok"/>
        </w:rPr>
        <w:t xml:space="preserve"> </w:t>
      </w:r>
      <w:r>
        <w:rPr>
          <w:rStyle w:val="StringTok"/>
        </w:rPr>
        <w:t xml:space="preserve">"closed"</w:t>
      </w:r>
      <w:r>
        <w:rPr>
          <w:rStyle w:val="NormalTok"/>
        </w:rPr>
        <w:t xml:space="preserve"> </w:t>
      </w:r>
      <w:r>
        <w:rPr>
          <w:rStyle w:val="KeywordTok"/>
        </w:rPr>
        <w:t xml:space="preserve">and</w:t>
      </w:r>
      <w:r>
        <w:rPr>
          <w:rStyle w:val="NormalTok"/>
        </w:rPr>
        <w:t xml:space="preserve"> short_circuited </w:t>
      </w:r>
      <w:r>
        <w:rPr>
          <w:rStyle w:val="OperatorTok"/>
        </w:rPr>
        <w:t xml:space="preserve">&gt;</w:t>
      </w:r>
      <w:r>
        <w:rPr>
          <w:rStyle w:val="NormalTok"/>
        </w:rPr>
        <w:t xml:space="preserve"> </w:t>
      </w:r>
      <w:r>
        <w:rPr>
          <w:rStyle w:val="DecValTok"/>
        </w:rPr>
        <w:t xml:space="preserve">350</w:t>
      </w:r>
      <w:r>
        <w:rPr>
          <w:rStyle w:val="NormalTok"/>
        </w:rPr>
        <w:t xml:space="preserve"> </w:t>
      </w:r>
      <w:r>
        <w:rPr>
          <w:rStyle w:val="KeywordTok"/>
        </w:rPr>
        <w:t xml:space="preserve">and</w:t>
      </w:r>
      <w:r>
        <w:rPr>
          <w:rStyle w:val="NormalTok"/>
        </w:rPr>
        <w:t xml:space="preserve"> failed </w:t>
      </w:r>
      <w:r>
        <w:rPr>
          <w:rStyle w:val="OperatorTok"/>
        </w:rPr>
        <w:t xml:space="preserve">&lt;</w:t>
      </w:r>
      <w:r>
        <w:rPr>
          <w:rStyle w:val="NormalTok"/>
        </w:rPr>
        <w:t xml:space="preserve"> </w:t>
      </w:r>
      <w:r>
        <w:rPr>
          <w:rStyle w:val="DecValTok"/>
        </w:rPr>
        <w:t xml:space="preserve">20</w:t>
      </w:r>
    </w:p>
    <w:p>
      <w:pPr>
        <w:pStyle w:val="FirstParagraph"/>
      </w:pPr>
      <w:r>
        <w:t xml:space="preserve">Output:</w:t>
      </w:r>
    </w:p>
    <w:p>
      <w:pPr>
        <w:pStyle w:val="SourceCode"/>
      </w:pPr>
      <w:r>
        <w:rPr>
          <w:rStyle w:val="VerbatimChar"/>
        </w:rPr>
        <w:t xml:space="preserve">requests 1200, reached dependency 804, failed 13, short-circuited 396</w:t>
      </w:r>
      <w:r>
        <w:br/>
      </w:r>
      <w:r>
        <w:rPr>
          <w:rStyle w:val="VerbatimChar"/>
        </w:rPr>
        <w:t xml:space="preserve">transitions: [(10.5, 'open'), (15.5, 'half_open'), (15.5, 'open'), (20.5, 'half_open'), (20.5, 'open'), (25.5, 'half_open'), (25.5, 'open'), (30.5, 'half_open'), (30.6, 'closed')]</w:t>
      </w:r>
    </w:p>
    <w:p>
      <w:pPr>
        <w:pStyle w:val="FirstParagraph"/>
      </w:pPr>
      <w:r>
        <w:t xml:space="preserve">What to notice:</w:t>
      </w:r>
    </w:p>
    <w:p>
      <w:pPr>
        <w:numPr>
          <w:ilvl w:val="0"/>
          <w:numId w:val="1738"/>
        </w:numPr>
        <w:pStyle w:val="Compact"/>
      </w:pPr>
      <w:r>
        <w:t xml:space="preserve">The breaker trips 0.5 s into the 18 s outage (10 failures out of the last 20 calls) and probes every 5 s; only 13 calls fail against the dead dependency instead of 360.</w:t>
      </w:r>
    </w:p>
    <w:p>
      <w:pPr>
        <w:numPr>
          <w:ilvl w:val="0"/>
          <w:numId w:val="1738"/>
        </w:numPr>
        <w:pStyle w:val="Compact"/>
      </w:pPr>
      <w:r>
        <w:t xml:space="preserve">It closes at 30.6 s, 2.6 s after recovery: the cool-down trades recovery speed against probing load.</w:t>
      </w:r>
    </w:p>
    <w:p>
      <w:pPr>
        <w:numPr>
          <w:ilvl w:val="0"/>
          <w:numId w:val="1738"/>
        </w:numPr>
        <w:pStyle w:val="Compact"/>
      </w:pPr>
      <w:r>
        <w:t xml:space="preserve">Little’s Law shows the saving: if each failed call had hung for a 2 s timeout, 360 calls over 18 s would have held</w:t>
      </w:r>
      <w:r>
        <w:t xml:space="preserve"> </w:t>
      </w:r>
      <m:oMath>
        <m:d>
          <m:dPr>
            <m:begChr m:val="("/>
            <m:endChr m:val=")"/>
            <m:sepChr m:val=""/>
            <m:grow/>
          </m:dPr>
          <m:e>
            <m:r>
              <m:t>360</m:t>
            </m:r>
            <m:r>
              <m:rPr>
                <m:sty m:val="p"/>
              </m:rPr>
              <m:t>/</m:t>
            </m:r>
            <m:r>
              <m:t>18</m:t>
            </m:r>
          </m:e>
        </m:d>
        <m:r>
          <m:rPr>
            <m:sty m:val="p"/>
          </m:rPr>
          <m:t>×</m:t>
        </m:r>
        <m:r>
          <m:t>2</m:t>
        </m:r>
        <m:r>
          <m:rPr>
            <m:sty m:val="p"/>
          </m:rPr>
          <m:t>=</m:t>
        </m:r>
        <m:r>
          <m:t>40</m:t>
        </m:r>
      </m:oMath>
      <w:r>
        <w:t xml:space="preserve"> </w:t>
      </w:r>
      <w:r>
        <w:t xml:space="preserve">threads continuously; with the breaker, almost none.</w:t>
      </w:r>
    </w:p>
    <w:p>
      <w:pPr>
        <w:pStyle w:val="CalloutMistake"/>
      </w:pPr>
      <w:r>
        <w:rPr>
          <w:bCs/>
          <w:b/>
        </w:rPr>
        <w:t xml:space="preserve">COMMON MISTAKE</w:t>
      </w:r>
    </w:p>
    <w:p>
      <w:pPr>
        <w:pStyle w:val="CalloutMistake"/>
      </w:pPr>
      <w:r>
        <w:rPr>
          <w:bCs/>
          <w:b/>
        </w:rPr>
        <w:t xml:space="preserve">Mistake — Using a breaker instead of a timeout.</w:t>
      </w:r>
      <w:r>
        <w:t xml:space="preserve"> </w:t>
      </w:r>
      <w:r>
        <w:t xml:space="preserve">A breaker learns only from completed calls. If calls hang with no timeout, nothing is ever recorded as failed and the breaker never opens. Timeouts come first; breakers build on them.</w:t>
      </w:r>
    </w:p>
    <w:bookmarkEnd w:id="2528"/>
    <w:bookmarkEnd w:id="2529"/>
    <w:bookmarkStart w:id="2533" w:name="bulkheads"/>
    <w:p>
      <w:pPr>
        <w:pStyle w:val="Heading2"/>
      </w:pPr>
      <w:r>
        <w:t xml:space="preserve">22.14 Bulkheads</w:t>
      </w:r>
    </w:p>
    <w:p>
      <w:pPr>
        <w:pStyle w:val="CalloutDefinition"/>
      </w:pPr>
      <w:r>
        <w:rPr>
          <w:bCs/>
          <w:b/>
        </w:rPr>
        <w:t xml:space="preserve">DEFINITION</w:t>
      </w:r>
    </w:p>
    <w:p>
      <w:pPr>
        <w:pStyle w:val="CalloutDefinition"/>
      </w:pPr>
      <w:r>
        <w:rPr>
          <w:bCs/>
          <w:b/>
        </w:rPr>
        <w:t xml:space="preserve">Definition — Bulkhead.</w:t>
      </w:r>
      <w:r>
        <w:t xml:space="preserve"> </w:t>
      </w:r>
      <w:r>
        <w:t xml:space="preserve">Partitioning a service’s limited resources (threads, connections, memory, instances) into isolated pools, one per dependency, tenant or workload class, so that exhaustion of one pool cannot starve the others.</w:t>
      </w:r>
    </w:p>
    <w:p>
      <w:pPr>
        <w:pStyle w:val="BodyText"/>
      </w:pPr>
      <w:r>
        <w:t xml:space="preserve">A ship’s hull is divided into watertight compartments (bulkheads): a breach floods one compartment, not the whole ship [Nygard 2018]. In a service, the classic failure is a shared thread pool: one slow dependency holds every thread, and requests that never touch that dependency also stall. Bulkheads give each dependency its own pool (or a semaphore limiting concurrent calls to it) sized from Little’s Law, so that when a pool is full, calls to that dependency are rejected immediately while the rest of the service carries on. The same idea applies at larger scale: separate connection pools per database, separate instance groups for internal and public traffic, and cell-based architectures that confine a failure to one cell of customers (§33.12).</w:t>
      </w:r>
    </w:p>
    <w:p>
      <w:pPr>
        <w:pStyle w:val="BodyText"/>
      </w:pPr>
      <w:r>
        <w:rPr>
          <w:bCs/>
          <w:b/>
        </w:rPr>
        <w:t xml:space="preserve">Figure 22.13 — Bulkheads isolating dependencies in the feed service.</w:t>
      </w:r>
    </w:p>
    <w:p>
      <w:pPr>
        <w:pStyle w:val="BodyText"/>
      </w:pPr>
      <w:r>
        <w:drawing>
          <wp:inline>
            <wp:extent cx="5334000" cy="1352788"/>
            <wp:effectExtent b="0" l="0" r="0" t="0"/>
            <wp:docPr descr="" title="" id="2531" name="Picture"/>
            <a:graphic>
              <a:graphicData uri="http://schemas.openxmlformats.org/drawingml/2006/picture">
                <pic:pic>
                  <pic:nvPicPr>
                    <pic:cNvPr descr="/home/user/System-Design/build/.cache/diagrams/c785f72e0733.png" id="2532" name="Picture"/>
                    <pic:cNvPicPr>
                      <a:picLocks noChangeArrowheads="1" noChangeAspect="1"/>
                    </pic:cNvPicPr>
                  </pic:nvPicPr>
                  <pic:blipFill>
                    <a:blip r:embed="rId2530"/>
                    <a:stretch>
                      <a:fillRect/>
                    </a:stretch>
                  </pic:blipFill>
                  <pic:spPr bwMode="auto">
                    <a:xfrm>
                      <a:off x="0" y="0"/>
                      <a:ext cx="5334000" cy="1352788"/>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feed service makes synchronous calls to three dependencies, each through its own bounded pool of concurrent slots. When the recommendation service slows to 3 s, its 25 slots fill and further calls fail fast (the feed is rendered without recommendations, a graceful degradation), while profile and payment-status calls keep their own slots and continue normally. There is no shared storage between pools. Failure points: pools sized too small reject healthy traffic; too large a sum exhausts the host. Scaling: pools are per instance, so fleet capacity for a dependency is pool size × instances.</w:t>
      </w:r>
    </w:p>
    <w:p>
      <w:pPr>
        <w:pStyle w:val="CalloutExample"/>
      </w:pPr>
      <w:r>
        <w:rPr>
          <w:bCs/>
          <w:b/>
        </w:rPr>
        <w:t xml:space="preserve">WORKED EXAMPLE</w:t>
      </w:r>
    </w:p>
    <w:p>
      <w:pPr>
        <w:pStyle w:val="CalloutExample"/>
      </w:pPr>
      <w:r>
        <w:rPr>
          <w:bCs/>
          <w:b/>
        </w:rPr>
        <w:t xml:space="preserve">Worked example — Sizing the pools with Little’s Law (</w:t>
      </w:r>
      <m:oMath>
        <m:r>
          <m:t>L</m:t>
        </m:r>
        <m:r>
          <m:rPr>
            <m:sty m:val="p"/>
          </m:rPr>
          <m:t>=</m:t>
        </m:r>
        <m:r>
          <m:t>λ</m:t>
        </m:r>
        <m:r>
          <m:t>W</m:t>
        </m:r>
      </m:oMath>
      <w:r>
        <w:rPr>
          <w:bCs/>
          <w:b/>
        </w:rPr>
        <w:t xml:space="preserve">) and 1.5–2× headroom.</w:t>
      </w:r>
    </w:p>
    <w:p>
      <w:pPr>
        <w:numPr>
          <w:ilvl w:val="0"/>
          <w:numId w:val="1739"/>
        </w:numPr>
        <w:pStyle w:val="Compact"/>
      </w:pPr>
      <w:r>
        <w:t xml:space="preserve">Profile: 300 RPS × 0.020 s = 6 in flight → pool 10.</w:t>
      </w:r>
    </w:p>
    <w:p>
      <w:pPr>
        <w:numPr>
          <w:ilvl w:val="0"/>
          <w:numId w:val="1739"/>
        </w:numPr>
        <w:pStyle w:val="Compact"/>
      </w:pPr>
      <w:r>
        <w:t xml:space="preserve">Recommendations: 100 RPS × 0.150 s = 15 → pool 25.</w:t>
      </w:r>
    </w:p>
    <w:p>
      <w:pPr>
        <w:numPr>
          <w:ilvl w:val="0"/>
          <w:numId w:val="1739"/>
        </w:numPr>
        <w:pStyle w:val="Compact"/>
      </w:pPr>
      <w:r>
        <w:t xml:space="preserve">Payment status: 20 RPS × 0.400 s = 8 → pool 15.</w:t>
      </w:r>
    </w:p>
    <w:p>
      <w:pPr>
        <w:numPr>
          <w:ilvl w:val="0"/>
          <w:numId w:val="1739"/>
        </w:numPr>
        <w:pStyle w:val="Compact"/>
      </w:pPr>
      <w:r>
        <w:t xml:space="preserve">Incident: recommendations slow to 3 s. Demand becomes</w:t>
      </w:r>
      <w:r>
        <w:t xml:space="preserve"> </w:t>
      </w:r>
      <m:oMath>
        <m:r>
          <m:t>100</m:t>
        </m:r>
        <m:r>
          <m:rPr>
            <m:sty m:val="p"/>
          </m:rPr>
          <m:t>×</m:t>
        </m:r>
        <m:r>
          <m:t>3</m:t>
        </m:r>
        <m:r>
          <m:rPr>
            <m:sty m:val="p"/>
          </m:rPr>
          <m:t>=</m:t>
        </m:r>
        <m:r>
          <m:t>300</m:t>
        </m:r>
      </m:oMath>
      <w:r>
        <w:t xml:space="preserve"> </w:t>
      </w:r>
      <w:r>
        <w:t xml:space="preserve">concurrent calls. In a single shared 200-thread pool, all 200 threads would block on recommendations within about 2 s and the whole feed would stop. With bulkheads, the 25 slots stay busy and complete only</w:t>
      </w:r>
      <w:r>
        <w:t xml:space="preserve"> </w:t>
      </w:r>
      <m:oMath>
        <m:r>
          <m:t>25</m:t>
        </m:r>
        <m:r>
          <m:rPr>
            <m:sty m:val="p"/>
          </m:rPr>
          <m:t>/</m:t>
        </m:r>
        <m:r>
          <m:t>3</m:t>
        </m:r>
        <m:r>
          <m:rPr>
            <m:sty m:val="p"/>
          </m:rPr>
          <m:t>≈</m:t>
        </m:r>
        <m:r>
          <m:t>8</m:t>
        </m:r>
      </m:oMath>
      <w:r>
        <w:t xml:space="preserve"> </w:t>
      </w:r>
      <w:r>
        <w:t xml:space="preserve">recommendation calls per second, so about 92 of the 100 per second fail fast (the 275 calls of excess concurrency are never admitted), and profile and payment calls use their own 10 and 15 slots normally.</w:t>
      </w:r>
    </w:p>
    <w:p>
      <w:pPr>
        <w:pStyle w:val="CalloutExample"/>
      </w:pPr>
      <w:r>
        <w:rPr>
          <w:bCs/>
          <w:b/>
        </w:rPr>
        <w:t xml:space="preserve">Interpretation.</w:t>
      </w:r>
      <w:r>
        <w:t xml:space="preserve"> </w:t>
      </w:r>
      <w:r>
        <w:t xml:space="preserve">Bulkheads convert a total outage into a partial degradation.</w:t>
      </w:r>
      <w:r>
        <w:t xml:space="preserve"> </w:t>
      </w:r>
      <w:r>
        <w:rPr>
          <w:bCs/>
          <w:b/>
        </w:rPr>
        <w:t xml:space="preserve">Engineering implication.</w:t>
      </w:r>
      <w:r>
        <w:t xml:space="preserve"> </w:t>
      </w:r>
      <w:r>
        <w:t xml:space="preserve">Give every remote dependency its own concurrency limit, combine it with timeouts and a breaker, and design the fallback the user sees when the bulkhead rejects.</w:t>
      </w:r>
    </w:p>
    <w:bookmarkEnd w:id="2533"/>
    <w:bookmarkStart w:id="2545" w:name="idempotency-and-idempotency-keys"/>
    <w:p>
      <w:pPr>
        <w:pStyle w:val="Heading2"/>
      </w:pPr>
      <w:r>
        <w:t xml:space="preserve">22.15 Idempotency and idempotency keys</w:t>
      </w:r>
    </w:p>
    <w:bookmarkStart w:id="2534" w:name="why-retries-need-idempotency"/>
    <w:p>
      <w:pPr>
        <w:pStyle w:val="Heading3"/>
      </w:pPr>
      <w:r>
        <w:t xml:space="preserve">22.15.1 Why retries need idempotency</w:t>
      </w:r>
    </w:p>
    <w:p>
      <w:pPr>
        <w:pStyle w:val="FirstParagraph"/>
      </w:pPr>
      <w:r>
        <w:t xml:space="preserve">Section 8.6.3 defined an</w:t>
      </w:r>
      <w:r>
        <w:t xml:space="preserve"> </w:t>
      </w:r>
      <w:r>
        <w:rPr>
          <w:bCs/>
          <w:b/>
        </w:rPr>
        <w:t xml:space="preserve">idempotent</w:t>
      </w:r>
      <w:r>
        <w:t xml:space="preserve"> </w:t>
      </w:r>
      <w:r>
        <w:t xml:space="preserve">operation: performing it</w:t>
      </w:r>
      <w:r>
        <w:t xml:space="preserve"> </w:t>
      </w:r>
      <m:oMath>
        <m:r>
          <m:t>N</m:t>
        </m:r>
        <m:r>
          <m:rPr>
            <m:sty m:val="p"/>
          </m:rPr>
          <m:t>&gt;</m:t>
        </m:r>
        <m:r>
          <m:t>0</m:t>
        </m:r>
      </m:oMath>
      <w:r>
        <w:t xml:space="preserve"> </w:t>
      </w:r>
      <w:r>
        <w:t xml:space="preserve">times has the same effect as performing it once.</w:t>
      </w:r>
      <w:r>
        <w:t xml:space="preserve"> </w:t>
      </w:r>
      <w:r>
        <w:rPr>
          <w:rStyle w:val="VerbatimChar"/>
        </w:rPr>
        <w:t xml:space="preserve">GET</w:t>
      </w:r>
      <w:r>
        <w:t xml:space="preserve">,</w:t>
      </w:r>
      <w:r>
        <w:t xml:space="preserve"> </w:t>
      </w:r>
      <w:r>
        <w:rPr>
          <w:rStyle w:val="VerbatimChar"/>
        </w:rPr>
        <w:t xml:space="preserve">PUT</w:t>
      </w:r>
      <w:r>
        <w:t xml:space="preserve"> </w:t>
      </w:r>
      <w:r>
        <w:t xml:space="preserve">and</w:t>
      </w:r>
      <w:r>
        <w:t xml:space="preserve"> </w:t>
      </w:r>
      <w:r>
        <w:rPr>
          <w:rStyle w:val="VerbatimChar"/>
        </w:rPr>
        <w:t xml:space="preserve">DELETE</w:t>
      </w:r>
      <w:r>
        <w:t xml:space="preserve"> </w:t>
      </w:r>
      <w:r>
        <w:t xml:space="preserve">are idempotent by definition;</w:t>
      </w:r>
      <w:r>
        <w:t xml:space="preserve"> </w:t>
      </w:r>
      <w:r>
        <w:rPr>
          <w:rStyle w:val="VerbatimChar"/>
        </w:rPr>
        <w:t xml:space="preserve">POST</w:t>
      </w:r>
      <w:r>
        <w:t xml:space="preserve"> </w:t>
      </w:r>
      <w:r>
        <w:t xml:space="preserve">and most</w:t>
      </w:r>
      <w:r>
        <w:t xml:space="preserve"> </w:t>
      </w:r>
      <w:r>
        <w:rPr>
          <w:rStyle w:val="VerbatimChar"/>
        </w:rPr>
        <w:t xml:space="preserve">PATCH</w:t>
      </w:r>
      <w:r>
        <w:t xml:space="preserve"> </w:t>
      </w:r>
      <w:r>
        <w:t xml:space="preserve">operations are not. Every technique in §22.11–§22.13 ends in the same place: a client that timed out does not know whether its request took effect, and the only safe way to find out is to send it again. For</w:t>
      </w:r>
      <w:r>
        <w:t xml:space="preserve"> </w:t>
      </w:r>
      <w:r>
        <w:t xml:space="preserve">“</w:t>
      </w:r>
      <w:r>
        <w:t xml:space="preserve">create a charge</w:t>
      </w:r>
      <w:r>
        <w:t xml:space="preserve">”</w:t>
      </w:r>
      <w:r>
        <w:t xml:space="preserve">,</w:t>
      </w:r>
      <w:r>
        <w:t xml:space="preserve"> </w:t>
      </w:r>
      <w:r>
        <w:t xml:space="preserve">“</w:t>
      </w:r>
      <w:r>
        <w:t xml:space="preserve">send a message</w:t>
      </w:r>
      <w:r>
        <w:t xml:space="preserve">”</w:t>
      </w:r>
      <w:r>
        <w:t xml:space="preserve"> </w:t>
      </w:r>
      <w:r>
        <w:t xml:space="preserve">or</w:t>
      </w:r>
      <w:r>
        <w:t xml:space="preserve"> </w:t>
      </w:r>
      <w:r>
        <w:t xml:space="preserve">“</w:t>
      </w:r>
      <w:r>
        <w:t xml:space="preserve">place an order</w:t>
      </w:r>
      <w:r>
        <w:t xml:space="preserve">”</w:t>
      </w:r>
      <w:r>
        <w:t xml:space="preserve">, a naive retry can do the thing twice. This chapter owns the deep treatment of how to make such operations safe to retry; Chapters 30 and 32 apply the same idea to message consumers (§32.10).</w:t>
      </w:r>
    </w:p>
    <w:p>
      <w:pPr>
        <w:pStyle w:val="CalloutDefinition"/>
      </w:pPr>
      <w:r>
        <w:rPr>
          <w:bCs/>
          <w:b/>
        </w:rPr>
        <w:t xml:space="preserve">DEFINITION</w:t>
      </w:r>
    </w:p>
    <w:p>
      <w:pPr>
        <w:pStyle w:val="CalloutDefinition"/>
      </w:pPr>
      <w:r>
        <w:rPr>
          <w:bCs/>
          <w:b/>
        </w:rPr>
        <w:t xml:space="preserve">Definition — Idempotency key.</w:t>
      </w:r>
      <w:r>
        <w:t xml:space="preserve"> </w:t>
      </w:r>
      <w:r>
        <w:t xml:space="preserve">A unique value, generated by the client once per</w:t>
      </w:r>
      <w:r>
        <w:t xml:space="preserve"> </w:t>
      </w:r>
      <w:r>
        <w:rPr>
          <w:iCs/>
          <w:i/>
        </w:rPr>
        <w:t xml:space="preserve">logical</w:t>
      </w:r>
      <w:r>
        <w:t xml:space="preserve"> </w:t>
      </w:r>
      <w:r>
        <w:t xml:space="preserve">operation and sent with every attempt of that operation (for example in an</w:t>
      </w:r>
      <w:r>
        <w:t xml:space="preserve"> </w:t>
      </w:r>
      <w:r>
        <w:rPr>
          <w:rStyle w:val="VerbatimChar"/>
        </w:rPr>
        <w:t xml:space="preserve">Idempotency-Key</w:t>
      </w:r>
      <w:r>
        <w:t xml:space="preserve"> </w:t>
      </w:r>
      <w:r>
        <w:t xml:space="preserve">header), that the server uses to recognize retries: the first attempt executes and its result is stored under the key; later attempts with the same key return the stored result instead of executing again.</w:t>
      </w:r>
    </w:p>
    <w:p>
      <w:pPr>
        <w:pStyle w:val="BodyText"/>
      </w:pPr>
      <w:r>
        <w:t xml:space="preserve">Think of a cloakroom ticket you write</w:t>
      </w:r>
      <w:r>
        <w:t xml:space="preserve"> </w:t>
      </w:r>
      <w:r>
        <w:rPr>
          <w:iCs/>
          <w:i/>
        </w:rPr>
        <w:t xml:space="preserve">before</w:t>
      </w:r>
      <w:r>
        <w:t xml:space="preserve"> </w:t>
      </w:r>
      <w:r>
        <w:t xml:space="preserve">handing over your coat: if unsure the attendant took it, you show the same number again, and the attendant finds ticket 417 already on the rack. The client must choose the key before the first attempt, because it may never see the server’s reply.</w:t>
      </w:r>
    </w:p>
    <w:bookmarkEnd w:id="2534"/>
    <w:bookmarkStart w:id="2538" w:name="the-protocol-1"/>
    <w:p>
      <w:pPr>
        <w:pStyle w:val="Heading3"/>
      </w:pPr>
      <w:r>
        <w:t xml:space="preserve">22.15.2 The protocol</w:t>
      </w:r>
    </w:p>
    <w:p>
      <w:pPr>
        <w:pStyle w:val="FirstParagraph"/>
      </w:pPr>
      <w:r>
        <w:t xml:space="preserve">Stripe’s API popularized the pattern: clients send an</w:t>
      </w:r>
      <w:r>
        <w:t xml:space="preserve"> </w:t>
      </w:r>
      <w:r>
        <w:rPr>
          <w:rStyle w:val="VerbatimChar"/>
        </w:rPr>
        <w:t xml:space="preserve">Idempotency-Key</w:t>
      </w:r>
      <w:r>
        <w:t xml:space="preserve"> </w:t>
      </w:r>
      <w:r>
        <w:t xml:space="preserve">header (a random V4 UUID is recommended) on</w:t>
      </w:r>
      <w:r>
        <w:t xml:space="preserve"> </w:t>
      </w:r>
      <w:r>
        <w:rPr>
          <w:rStyle w:val="VerbatimChar"/>
        </w:rPr>
        <w:t xml:space="preserve">POST</w:t>
      </w:r>
      <w:r>
        <w:t xml:space="preserve"> </w:t>
      </w:r>
      <w:r>
        <w:t xml:space="preserve">requests, and the server guarantees at-most-once execution per key within a retention window [Leach 2017; Stripe Docs: idempotent requests]. The IETF HTTPAPI working group has an Internet-Draft standardizing the header,</w:t>
      </w:r>
      <w:r>
        <w:t xml:space="preserve"> </w:t>
      </w:r>
      <w:r>
        <w:rPr>
          <w:iCs/>
          <w:i/>
        </w:rPr>
        <w:t xml:space="preserve">The Idempotency-Key HTTP Header Field</w:t>
      </w:r>
      <w:r>
        <w:t xml:space="preserve"> </w:t>
      </w:r>
      <w:r>
        <w:t xml:space="preserve">[Jena and Dalal, draft], which, as of its 2025 revision, suggests 409 Conflict when a retry arrives while the original is still being processed and 422 when a key is reused with a different payload; it is a draft, not an RFC.</w:t>
      </w:r>
    </w:p>
    <w:p>
      <w:pPr>
        <w:pStyle w:val="BodyText"/>
      </w:pPr>
      <w:r>
        <w:rPr>
          <w:bCs/>
          <w:b/>
        </w:rPr>
        <w:t xml:space="preserve">Figure 22.14 — An idempotent purchase retried after a lost response.</w:t>
      </w:r>
    </w:p>
    <w:p>
      <w:pPr>
        <w:pStyle w:val="BodyText"/>
      </w:pPr>
      <w:r>
        <w:drawing>
          <wp:inline>
            <wp:extent cx="5334000" cy="2846797"/>
            <wp:effectExtent b="0" l="0" r="0" t="0"/>
            <wp:docPr descr="" title="" id="2536" name="Picture"/>
            <a:graphic>
              <a:graphicData uri="http://schemas.openxmlformats.org/drawingml/2006/picture">
                <pic:pic>
                  <pic:nvPicPr>
                    <pic:cNvPr descr="/home/user/System-Design/build/.cache/diagrams/d455e682076b.png" id="2537" name="Picture"/>
                    <pic:cNvPicPr>
                      <a:picLocks noChangeArrowheads="1" noChangeAspect="1"/>
                    </pic:cNvPicPr>
                  </pic:nvPicPr>
                  <pic:blipFill>
                    <a:blip r:embed="rId2535"/>
                    <a:stretch>
                      <a:fillRect/>
                    </a:stretch>
                  </pic:blipFill>
                  <pic:spPr bwMode="auto">
                    <a:xfrm>
                      <a:off x="0" y="0"/>
                      <a:ext cx="5334000" cy="2846797"/>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app generates</w:t>
      </w:r>
      <w:r>
        <w:t xml:space="preserve"> </w:t>
      </w:r>
      <w:r>
        <w:rPr>
          <w:rStyle w:val="VerbatimChar"/>
        </w:rPr>
        <w:t xml:space="preserve">k1</w:t>
      </w:r>
      <w:r>
        <w:t xml:space="preserve"> </w:t>
      </w:r>
      <w:r>
        <w:t xml:space="preserve">before the first attempt and persists it with the cart, so even an app restart reuses it. The API records</w:t>
      </w:r>
      <w:r>
        <w:t xml:space="preserve"> </w:t>
      </w:r>
      <w:r>
        <w:rPr>
          <w:rStyle w:val="VerbatimChar"/>
        </w:rPr>
        <w:t xml:space="preserve">k1</w:t>
      </w:r>
      <w:r>
        <w:t xml:space="preserve"> </w:t>
      </w:r>
      <w:r>
        <w:t xml:space="preserve">as in progress in the key store (a table in its own database, the storage boundary), calls the provider with a key derived from</w:t>
      </w:r>
      <w:r>
        <w:t xml:space="preserve"> </w:t>
      </w:r>
      <w:r>
        <w:rPr>
          <w:rStyle w:val="VerbatimChar"/>
        </w:rPr>
        <w:t xml:space="preserve">k1</w:t>
      </w:r>
      <w:r>
        <w:t xml:space="preserve">, records the response and replies; the reply is lost. The retry finds a completed record with a matching fingerprint and gets the stored response without a second charge. All calls are synchronous. Failure points: a crash between charge and</w:t>
      </w:r>
      <w:r>
        <w:t xml:space="preserve"> </w:t>
      </w:r>
      <w:r>
        <w:t xml:space="preserve">“</w:t>
      </w:r>
      <w:r>
        <w:t xml:space="preserve">completed</w:t>
      </w:r>
      <w:r>
        <w:t xml:space="preserve">”</w:t>
      </w:r>
      <w:r>
        <w:t xml:space="preserve"> </w:t>
      </w:r>
      <w:r>
        <w:t xml:space="preserve">write (§22.15.4) and a concurrent retry (the in-progress state). Scaling: partition the key store by account.</w:t>
      </w:r>
    </w:p>
    <w:bookmarkEnd w:id="2538"/>
    <w:bookmarkStart w:id="2543" w:name="storage-fingerprinting-and-concurrency"/>
    <w:p>
      <w:pPr>
        <w:pStyle w:val="Heading3"/>
      </w:pPr>
      <w:r>
        <w:t xml:space="preserve">22.15.3 Storage, fingerprinting and concurrency</w:t>
      </w:r>
    </w:p>
    <w:p>
      <w:pPr>
        <w:pStyle w:val="FirstParagraph"/>
      </w:pPr>
      <w:r>
        <w:t xml:space="preserve">A production idempotency layer must answer five questions.</w:t>
      </w:r>
    </w:p>
    <w:p>
      <w:pPr>
        <w:numPr>
          <w:ilvl w:val="0"/>
          <w:numId w:val="1740"/>
        </w:numPr>
        <w:pStyle w:val="Compact"/>
      </w:pPr>
      <w:r>
        <w:rPr>
          <w:bCs/>
          <w:b/>
        </w:rPr>
        <w:t xml:space="preserve">Scope.</w:t>
      </w:r>
      <w:r>
        <w:t xml:space="preserve"> </w:t>
      </w:r>
      <w:r>
        <w:t xml:space="preserve">Keys are unique</w:t>
      </w:r>
      <w:r>
        <w:t xml:space="preserve"> </w:t>
      </w:r>
      <w:r>
        <w:rPr>
          <w:iCs/>
          <w:i/>
        </w:rPr>
        <w:t xml:space="preserve">per client account</w:t>
      </w:r>
      <w:r>
        <w:t xml:space="preserve">, not globally: the primary key is</w:t>
      </w:r>
      <w:r>
        <w:t xml:space="preserve"> </w:t>
      </w:r>
      <w:r>
        <w:rPr>
          <w:rStyle w:val="VerbatimChar"/>
        </w:rPr>
        <w:t xml:space="preserve">(account_id, idem_key)</w:t>
      </w:r>
      <w:r>
        <w:t xml:space="preserve">, so one customer cannot collide with, or probe, another’s keys.</w:t>
      </w:r>
    </w:p>
    <w:p>
      <w:pPr>
        <w:numPr>
          <w:ilvl w:val="0"/>
          <w:numId w:val="1740"/>
        </w:numPr>
        <w:pStyle w:val="Compact"/>
      </w:pPr>
      <w:r>
        <w:rPr>
          <w:bCs/>
          <w:b/>
        </w:rPr>
        <w:t xml:space="preserve">Fingerprint.</w:t>
      </w:r>
      <w:r>
        <w:t xml:space="preserve"> </w:t>
      </w:r>
      <w:r>
        <w:t xml:space="preserve">Store a hash of the method, path and canonicalized body. A retry with the same key but a different body is a client bug (or a reused key) and must be rejected (422), not answered with the first request’s result.</w:t>
      </w:r>
    </w:p>
    <w:p>
      <w:pPr>
        <w:numPr>
          <w:ilvl w:val="0"/>
          <w:numId w:val="1740"/>
        </w:numPr>
        <w:pStyle w:val="Compact"/>
      </w:pPr>
      <w:r>
        <w:rPr>
          <w:bCs/>
          <w:b/>
        </w:rPr>
        <w:t xml:space="preserve">Concurrency.</w:t>
      </w:r>
      <w:r>
        <w:t xml:space="preserve"> </w:t>
      </w:r>
      <w:r>
        <w:t xml:space="preserve">Two attempts with the same key can arrive at once (a client that retries before the first attempt times out at the server). Exactly one may execute: insert the key with a uniqueness constraint (</w:t>
      </w:r>
      <w:r>
        <w:rPr>
          <w:rStyle w:val="VerbatimChar"/>
        </w:rPr>
        <w:t xml:space="preserve">INSERT ... ON CONFLICT DO NOTHING</w:t>
      </w:r>
      <w:r>
        <w:t xml:space="preserve">); the loser receives 409 and retries later.</w:t>
      </w:r>
    </w:p>
    <w:p>
      <w:pPr>
        <w:numPr>
          <w:ilvl w:val="0"/>
          <w:numId w:val="1740"/>
        </w:numPr>
        <w:pStyle w:val="Compact"/>
      </w:pPr>
      <w:r>
        <w:rPr>
          <w:bCs/>
          <w:b/>
        </w:rPr>
        <w:t xml:space="preserve">Crash recovery.</w:t>
      </w:r>
      <w:r>
        <w:t xml:space="preserve"> </w:t>
      </w:r>
      <w:r>
        <w:t xml:space="preserve">A worker can die after claiming a key. Give the claim a</w:t>
      </w:r>
      <w:r>
        <w:t xml:space="preserve"> </w:t>
      </w:r>
      <w:r>
        <w:rPr>
          <w:bCs/>
          <w:b/>
        </w:rPr>
        <w:t xml:space="preserve">lease</w:t>
      </w:r>
      <w:r>
        <w:t xml:space="preserve"> </w:t>
      </w:r>
      <w:r>
        <w:t xml:space="preserve">(</w:t>
      </w:r>
      <w:r>
        <w:rPr>
          <w:rStyle w:val="VerbatimChar"/>
        </w:rPr>
        <w:t xml:space="preserve">locked_until</w:t>
      </w:r>
      <w:r>
        <w:t xml:space="preserve">); once it expires, a retry may take over. A worker that was merely slow must not then complete as well, so the final write checks that it still holds its lease, a</w:t>
      </w:r>
      <w:r>
        <w:t xml:space="preserve"> </w:t>
      </w:r>
      <w:r>
        <w:rPr>
          <w:bCs/>
          <w:b/>
        </w:rPr>
        <w:t xml:space="preserve">fencing token</w:t>
      </w:r>
      <w:r>
        <w:t xml:space="preserve"> </w:t>
      </w:r>
      <w:r>
        <w:t xml:space="preserve">(§26.13).</w:t>
      </w:r>
    </w:p>
    <w:p>
      <w:pPr>
        <w:numPr>
          <w:ilvl w:val="0"/>
          <w:numId w:val="1740"/>
        </w:numPr>
        <w:pStyle w:val="Compact"/>
      </w:pPr>
      <w:r>
        <w:rPr>
          <w:bCs/>
          <w:b/>
        </w:rPr>
        <w:t xml:space="preserve">Atomicity.</w:t>
      </w:r>
      <w:r>
        <w:t xml:space="preserve"> </w:t>
      </w:r>
      <w:r>
        <w:t xml:space="preserve">The business write (the charge row) and the</w:t>
      </w:r>
      <w:r>
        <w:t xml:space="preserve"> </w:t>
      </w:r>
      <w:r>
        <w:t xml:space="preserve">“</w:t>
      </w:r>
      <w:r>
        <w:t xml:space="preserve">completed</w:t>
      </w:r>
      <w:r>
        <w:t xml:space="preserve">”</w:t>
      </w:r>
      <w:r>
        <w:t xml:space="preserve"> </w:t>
      </w:r>
      <w:r>
        <w:t xml:space="preserve">record must commit in the</w:t>
      </w:r>
      <w:r>
        <w:t xml:space="preserve"> </w:t>
      </w:r>
      <w:r>
        <w:rPr>
          <w:iCs/>
          <w:i/>
        </w:rPr>
        <w:t xml:space="preserve">same</w:t>
      </w:r>
      <w:r>
        <w:t xml:space="preserve"> </w:t>
      </w:r>
      <w:r>
        <w:t xml:space="preserve">database transaction. Then a crash leaves either both or neither, and a takeover after lease expiry can safely re-execute.</w:t>
      </w:r>
    </w:p>
    <w:p>
      <w:pPr>
        <w:pStyle w:val="FirstParagraph"/>
      </w:pPr>
      <w:r>
        <w:rPr>
          <w:bCs/>
          <w:b/>
        </w:rPr>
        <w:t xml:space="preserve">Figure 22.15 — Lifecycle of an idempotency-key record.</w:t>
      </w:r>
    </w:p>
    <w:p>
      <w:pPr>
        <w:pStyle w:val="BodyText"/>
      </w:pPr>
      <w:r>
        <w:drawing>
          <wp:inline>
            <wp:extent cx="5334000" cy="2498599"/>
            <wp:effectExtent b="0" l="0" r="0" t="0"/>
            <wp:docPr descr="" title="" id="2540" name="Picture"/>
            <a:graphic>
              <a:graphicData uri="http://schemas.openxmlformats.org/drawingml/2006/picture">
                <pic:pic>
                  <pic:nvPicPr>
                    <pic:cNvPr descr="/home/user/System-Design/build/.cache/diagrams/14c77d8ca018.png" id="2541" name="Picture"/>
                    <pic:cNvPicPr>
                      <a:picLocks noChangeArrowheads="1" noChangeAspect="1"/>
                    </pic:cNvPicPr>
                  </pic:nvPicPr>
                  <pic:blipFill>
                    <a:blip r:embed="rId2539"/>
                    <a:stretch>
                      <a:fillRect/>
                    </a:stretch>
                  </pic:blipFill>
                  <pic:spPr bwMode="auto">
                    <a:xfrm>
                      <a:off x="0" y="0"/>
                      <a:ext cx="5334000" cy="2498599"/>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first request’s insert creates the record</w:t>
      </w:r>
      <w:r>
        <w:t xml:space="preserve"> </w:t>
      </w:r>
      <w:r>
        <w:rPr>
          <w:bCs/>
          <w:b/>
        </w:rPr>
        <w:t xml:space="preserve">InProgress</w:t>
      </w:r>
      <w:r>
        <w:t xml:space="preserve">, atomically thanks to the uniqueness constraint. Duplicates get 409 while the lease is live; after it expires a retry takes over and the original worker’s late completion is fenced off. Work and response commit together into</w:t>
      </w:r>
      <w:r>
        <w:t xml:space="preserve"> </w:t>
      </w:r>
      <w:r>
        <w:rPr>
          <w:bCs/>
          <w:b/>
        </w:rPr>
        <w:t xml:space="preserve">Completed</w:t>
      </w:r>
      <w:r>
        <w:t xml:space="preserve">; then retries get the stored response and mismatched bodies 422. At TTL expiry the record is deleted and the key would execute again. Storage boundary: one row per key in the business database, which enables the atomic commit.</w:t>
      </w:r>
    </w:p>
    <w:bookmarkStart w:id="2542" w:name="code-example-27"/>
    <w:p>
      <w:pPr>
        <w:pStyle w:val="Heading4"/>
      </w:pPr>
      <w:r>
        <w:t xml:space="preserve">Code example</w:t>
      </w:r>
    </w:p>
    <w:p>
      <w:pPr>
        <w:pStyle w:val="SourceCode"/>
      </w:pPr>
      <w:r>
        <w:rPr>
          <w:rStyle w:val="ImportTok"/>
        </w:rPr>
        <w:t xml:space="preserve">import</w:t>
      </w:r>
      <w:r>
        <w:rPr>
          <w:rStyle w:val="NormalTok"/>
        </w:rPr>
        <w:t xml:space="preserve"> hashlib</w:t>
      </w:r>
      <w:r>
        <w:br/>
      </w:r>
      <w:r>
        <w:rPr>
          <w:rStyle w:val="ImportTok"/>
        </w:rPr>
        <w:t xml:space="preserve">import</w:t>
      </w:r>
      <w:r>
        <w:rPr>
          <w:rStyle w:val="NormalTok"/>
        </w:rPr>
        <w:t xml:space="preserve"> json</w:t>
      </w:r>
      <w:r>
        <w:br/>
      </w:r>
      <w:r>
        <w:rPr>
          <w:rStyle w:val="ImportTok"/>
        </w:rPr>
        <w:t xml:space="preserve">import</w:t>
      </w:r>
      <w:r>
        <w:rPr>
          <w:rStyle w:val="NormalTok"/>
        </w:rPr>
        <w:t xml:space="preserve"> sqlite3</w:t>
      </w:r>
      <w:r>
        <w:br/>
      </w:r>
      <w:r>
        <w:rPr>
          <w:rStyle w:val="ImportTok"/>
        </w:rPr>
        <w:t xml:space="preserve">import</w:t>
      </w:r>
      <w:r>
        <w:rPr>
          <w:rStyle w:val="NormalTok"/>
        </w:rPr>
        <w:t xml:space="preserve"> uuid</w:t>
      </w:r>
      <w:r>
        <w:br/>
      </w:r>
      <w:r>
        <w:br/>
      </w:r>
      <w:r>
        <w:rPr>
          <w:rStyle w:val="NormalTok"/>
        </w:rPr>
        <w:t xml:space="preserve">SCHEMA </w:t>
      </w:r>
      <w:r>
        <w:rPr>
          <w:rStyle w:val="OperatorTok"/>
        </w:rPr>
        <w:t xml:space="preserve">=</w:t>
      </w:r>
      <w:r>
        <w:rPr>
          <w:rStyle w:val="NormalTok"/>
        </w:rPr>
        <w:t xml:space="preserve"> </w:t>
      </w:r>
      <w:r>
        <w:rPr>
          <w:rStyle w:val="StringTok"/>
        </w:rPr>
        <w:t xml:space="preserve">"""</w:t>
      </w:r>
      <w:r>
        <w:br/>
      </w:r>
      <w:r>
        <w:rPr>
          <w:rStyle w:val="StringTok"/>
        </w:rPr>
        <w:t xml:space="preserve">CREATE TABLE idempotency_keys (</w:t>
      </w:r>
      <w:r>
        <w:br/>
      </w:r>
      <w:r>
        <w:rPr>
          <w:rStyle w:val="StringTok"/>
        </w:rPr>
        <w:t xml:space="preserve">    account_id    TEXT    NOT NULL,</w:t>
      </w:r>
      <w:r>
        <w:br/>
      </w:r>
      <w:r>
        <w:rPr>
          <w:rStyle w:val="StringTok"/>
        </w:rPr>
        <w:t xml:space="preserve">    idem_key      TEXT    NOT NULL,</w:t>
      </w:r>
      <w:r>
        <w:br/>
      </w:r>
      <w:r>
        <w:rPr>
          <w:rStyle w:val="StringTok"/>
        </w:rPr>
        <w:t xml:space="preserve">    fingerprint   TEXT    NOT NULL,          -- hash of method + path + canonical body</w:t>
      </w:r>
      <w:r>
        <w:br/>
      </w:r>
      <w:r>
        <w:rPr>
          <w:rStyle w:val="StringTok"/>
        </w:rPr>
        <w:t xml:space="preserve">    status        TEXT    NOT NULL,          -- 'in_progress' or 'completed'</w:t>
      </w:r>
      <w:r>
        <w:br/>
      </w:r>
      <w:r>
        <w:rPr>
          <w:rStyle w:val="StringTok"/>
        </w:rPr>
        <w:t xml:space="preserve">    locked_until  REAL,                      -- lease for the worker executing the request</w:t>
      </w:r>
      <w:r>
        <w:br/>
      </w:r>
      <w:r>
        <w:rPr>
          <w:rStyle w:val="StringTok"/>
        </w:rPr>
        <w:t xml:space="preserve">    response_code INTEGER,</w:t>
      </w:r>
      <w:r>
        <w:br/>
      </w:r>
      <w:r>
        <w:rPr>
          <w:rStyle w:val="StringTok"/>
        </w:rPr>
        <w:t xml:space="preserve">    response_body TEXT,</w:t>
      </w:r>
      <w:r>
        <w:br/>
      </w:r>
      <w:r>
        <w:rPr>
          <w:rStyle w:val="StringTok"/>
        </w:rPr>
        <w:t xml:space="preserve">    created_at    REAL    NOT NULL,</w:t>
      </w:r>
      <w:r>
        <w:br/>
      </w:r>
      <w:r>
        <w:rPr>
          <w:rStyle w:val="StringTok"/>
        </w:rPr>
        <w:t xml:space="preserve">    PRIMARY KEY (account_id, idem_key)       -- keys are scoped to the caller</w:t>
      </w:r>
      <w:r>
        <w:br/>
      </w:r>
      <w:r>
        <w:rPr>
          <w:rStyle w:val="StringTok"/>
        </w:rPr>
        <w:t xml:space="preserve">);</w:t>
      </w:r>
      <w:r>
        <w:br/>
      </w:r>
      <w:r>
        <w:rPr>
          <w:rStyle w:val="StringTok"/>
        </w:rPr>
        <w:t xml:space="preserve">CREATE TABLE charges (id TEXT PRIMARY KEY, account_id TEXT, amount INTEGER, currency TEXT);</w:t>
      </w:r>
      <w:r>
        <w:br/>
      </w:r>
      <w:r>
        <w:rPr>
          <w:rStyle w:val="StringTok"/>
        </w:rPr>
        <w:t xml:space="preserve">"""</w:t>
      </w:r>
      <w:r>
        <w:br/>
      </w:r>
      <w:r>
        <w:br/>
      </w:r>
      <w:r>
        <w:br/>
      </w:r>
      <w:r>
        <w:rPr>
          <w:rStyle w:val="KeywordTok"/>
        </w:rPr>
        <w:t xml:space="preserve">def</w:t>
      </w:r>
      <w:r>
        <w:rPr>
          <w:rStyle w:val="NormalTok"/>
        </w:rPr>
        <w:t xml:space="preserve"> fingerprint(method, path, body):</w:t>
      </w:r>
      <w:r>
        <w:br/>
      </w:r>
      <w:r>
        <w:rPr>
          <w:rStyle w:val="NormalTok"/>
        </w:rPr>
        <w:t xml:space="preserve">    canonical </w:t>
      </w:r>
      <w:r>
        <w:rPr>
          <w:rStyle w:val="OperatorTok"/>
        </w:rPr>
        <w:t xml:space="preserve">=</w:t>
      </w:r>
      <w:r>
        <w:rPr>
          <w:rStyle w:val="NormalTok"/>
        </w:rPr>
        <w:t xml:space="preserve"> json.dumps(body, sort_keys</w:t>
      </w:r>
      <w:r>
        <w:rPr>
          <w:rStyle w:val="OperatorTok"/>
        </w:rPr>
        <w:t xml:space="preserve">=</w:t>
      </w:r>
      <w:r>
        <w:rPr>
          <w:rStyle w:val="VariableTok"/>
        </w:rPr>
        <w:t xml:space="preserve">True</w:t>
      </w:r>
      <w:r>
        <w:rPr>
          <w:rStyle w:val="NormalTok"/>
        </w:rPr>
        <w:t xml:space="preserve">, separators</w:t>
      </w:r>
      <w:r>
        <w:rPr>
          <w:rStyle w:val="OperatorTok"/>
        </w:rPr>
        <w:t xml:space="preserve">=</w:t>
      </w:r>
      <w:r>
        <w:rPr>
          <w:rStyle w:val="NormalTok"/>
        </w:rPr>
        <w:t xml:space="preserve">(</w:t>
      </w:r>
      <w:r>
        <w:rPr>
          <w:rStyle w:v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hashlib.sha256(</w:t>
      </w:r>
      <w:r>
        <w:rPr>
          <w:rStyle w:val="SpecialStringTok"/>
        </w:rPr>
        <w:t xml:space="preserve">f"</w:t>
      </w:r>
      <w:r>
        <w:rPr>
          <w:rStyle w:val="SpecialCharTok"/>
        </w:rPr>
        <w:t xml:space="preserve">{</w:t>
      </w:r>
      <w:r>
        <w:rPr>
          <w:rStyle w:val="NormalTok"/>
        </w:rPr>
        <w:t xml:space="preserve">method</w:t>
      </w:r>
      <w:r>
        <w:rPr>
          <w:rStyle w:val="SpecialCharTok"/>
        </w:rPr>
        <w:t xml:space="preserve">}</w:t>
      </w:r>
      <w:r>
        <w:rPr>
          <w:rStyle w:val="SpecialStringTok"/>
        </w:rPr>
        <w:t xml:space="preserve"> </w:t>
      </w:r>
      <w:r>
        <w:rPr>
          <w:rStyle w:val="SpecialCharTok"/>
        </w:rPr>
        <w:t xml:space="preserve">{</w:t>
      </w:r>
      <w:r>
        <w:rPr>
          <w:rStyle w:val="NormalTok"/>
        </w:rPr>
        <w:t xml:space="preserve">path</w:t>
      </w:r>
      <w:r>
        <w:rPr>
          <w:rStyle w:val="SpecialCharTok"/>
        </w:rPr>
        <w:t xml:space="preserve">}</w:t>
      </w:r>
      <w:r>
        <w:rPr>
          <w:rStyle w:val="CharTok"/>
        </w:rPr>
        <w:t xml:space="preserve">\n</w:t>
      </w:r>
      <w:r>
        <w:rPr>
          <w:rStyle w:val="SpecialCharTok"/>
        </w:rPr>
        <w:t xml:space="preserve">{</w:t>
      </w:r>
      <w:r>
        <w:rPr>
          <w:rStyle w:val="NormalTok"/>
        </w:rPr>
        <w:t xml:space="preserve">canonical</w:t>
      </w:r>
      <w:r>
        <w:rPr>
          <w:rStyle w:val="SpecialCharTok"/>
        </w:rPr>
        <w:t xml:space="preserve">}</w:t>
      </w:r>
      <w:r>
        <w:rPr>
          <w:rStyle w:val="SpecialStringTok"/>
        </w:rPr>
        <w:t xml:space="preserve">"</w:t>
      </w:r>
      <w:r>
        <w:rPr>
          <w:rStyle w:val="NormalTok"/>
        </w:rPr>
        <w:t xml:space="preserve">.encode()).hexdigest()</w:t>
      </w:r>
      <w:r>
        <w:br/>
      </w:r>
      <w:r>
        <w:br/>
      </w:r>
      <w:r>
        <w:br/>
      </w:r>
      <w:r>
        <w:rPr>
          <w:rStyle w:val="KeywordTok"/>
        </w:rPr>
        <w:t xml:space="preserve">class</w:t>
      </w:r>
      <w:r>
        <w:rPr>
          <w:rStyle w:val="NormalTok"/>
        </w:rPr>
        <w:t xml:space="preserve"> LeaseLost(</w:t>
      </w:r>
      <w:r>
        <w:rPr>
          <w:rStyle w:val="PreprocessorTok"/>
        </w:rPr>
        <w:t xml:space="preserve">Exception</w:t>
      </w:r>
      <w:r>
        <w:rPr>
          <w:rStyle w:val="NormalTok"/>
        </w:rPr>
        <w:t xml:space="preserve">):</w:t>
      </w:r>
      <w:r>
        <w:br/>
      </w:r>
      <w:r>
        <w:rPr>
          <w:rStyle w:val="NormalTok"/>
        </w:rPr>
        <w:t xml:space="preserve">    </w:t>
      </w:r>
      <w:r>
        <w:rPr>
          <w:rStyle w:val="CommentTok"/>
        </w:rPr>
        <w:t xml:space="preserve">"""Another worker took over this key; our business writes must roll back."""</w:t>
      </w:r>
      <w:r>
        <w:br/>
      </w:r>
      <w:r>
        <w:br/>
      </w:r>
      <w:r>
        <w:br/>
      </w:r>
      <w:r>
        <w:rPr>
          <w:rStyle w:val="KeywordTok"/>
        </w:rPr>
        <w:t xml:space="preserve">class</w:t>
      </w:r>
      <w:r>
        <w:rPr>
          <w:rStyle w:val="NormalTok"/>
        </w:rPr>
        <w:t xml:space="preserve"> IdempotencyLayer: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db, clock, lease</w:t>
      </w:r>
      <w:r>
        <w:rPr>
          <w:rStyle w:val="OperatorTok"/>
        </w:rPr>
        <w:t xml:space="preserve">=</w:t>
      </w:r>
      <w:r>
        <w:rPr>
          <w:rStyle w:val="FloatTok"/>
        </w:rPr>
        <w:t xml:space="preserve">30.0</w:t>
      </w:r>
      <w:r>
        <w:rPr>
          <w:rStyle w:val="NormalTok"/>
        </w:rPr>
        <w:t xml:space="preserve">, ttl</w:t>
      </w:r>
      <w:r>
        <w:rPr>
          <w:rStyle w:val="OperatorTok"/>
        </w:rPr>
        <w:t xml:space="preserve">=</w:t>
      </w:r>
      <w:r>
        <w:rPr>
          <w:rStyle w:val="DecValTok"/>
        </w:rPr>
        <w:t xml:space="preserve">24</w:t>
      </w:r>
      <w:r>
        <w:rPr>
          <w:rStyle w:val="NormalTok"/>
        </w:rPr>
        <w:t xml:space="preserve"> </w:t>
      </w:r>
      <w:r>
        <w:rPr>
          <w:rStyle w:val="OperatorTok"/>
        </w:rPr>
        <w:t xml:space="preserve">*</w:t>
      </w:r>
      <w:r>
        <w:rPr>
          <w:rStyle w:val="NormalTok"/>
        </w:rPr>
        <w:t xml:space="preserve"> </w:t>
      </w:r>
      <w:r>
        <w:rPr>
          <w:rStyle w:val="FloatTok"/>
        </w:rPr>
        <w:t xml:space="preserve">3600.0</w:t>
      </w:r>
      <w:r>
        <w:rPr>
          <w:rStyle w:val="NormalTok"/>
        </w:rPr>
        <w:t xml:space="preserve">):</w:t>
      </w:r>
      <w:r>
        <w:br/>
      </w:r>
      <w:r>
        <w:rPr>
          <w:rStyle w:val="NormalTok"/>
        </w:rPr>
        <w:t xml:space="preserve">        </w:t>
      </w:r>
      <w:r>
        <w:rPr>
          <w:rStyle w:val="VariableTok"/>
        </w:rPr>
        <w:t xml:space="preserve">self</w:t>
      </w:r>
      <w:r>
        <w:rPr>
          <w:rStyle w:val="NormalTok"/>
        </w:rPr>
        <w:t xml:space="preserve">.db, </w:t>
      </w:r>
      <w:r>
        <w:rPr>
          <w:rStyle w:val="VariableTok"/>
        </w:rPr>
        <w:t xml:space="preserve">self</w:t>
      </w:r>
      <w:r>
        <w:rPr>
          <w:rStyle w:val="NormalTok"/>
        </w:rPr>
        <w:t xml:space="preserve">.clock, </w:t>
      </w:r>
      <w:r>
        <w:rPr>
          <w:rStyle w:val="VariableTok"/>
        </w:rPr>
        <w:t xml:space="preserve">self</w:t>
      </w:r>
      <w:r>
        <w:rPr>
          <w:rStyle w:val="NormalTok"/>
        </w:rPr>
        <w:t xml:space="preserve">.lease, </w:t>
      </w:r>
      <w:r>
        <w:rPr>
          <w:rStyle w:val="VariableTok"/>
        </w:rPr>
        <w:t xml:space="preserve">self</w:t>
      </w:r>
      <w:r>
        <w:rPr>
          <w:rStyle w:val="NormalTok"/>
        </w:rPr>
        <w:t xml:space="preserve">.ttl </w:t>
      </w:r>
      <w:r>
        <w:rPr>
          <w:rStyle w:val="OperatorTok"/>
        </w:rPr>
        <w:t xml:space="preserve">=</w:t>
      </w:r>
      <w:r>
        <w:rPr>
          <w:rStyle w:val="NormalTok"/>
        </w:rPr>
        <w:t xml:space="preserve"> db, clock, lease, ttl</w:t>
      </w:r>
      <w:r>
        <w:br/>
      </w:r>
      <w:r>
        <w:br/>
      </w:r>
      <w:r>
        <w:rPr>
          <w:rStyle w:val="NormalTok"/>
        </w:rPr>
        <w:t xml:space="preserve">    </w:t>
      </w:r>
      <w:r>
        <w:rPr>
          <w:rStyle w:val="KeywordTok"/>
        </w:rPr>
        <w:t xml:space="preserve">def</w:t>
      </w:r>
      <w:r>
        <w:rPr>
          <w:rStyle w:val="NormalTok"/>
        </w:rPr>
        <w:t xml:space="preserve"> claim(</w:t>
      </w:r>
      <w:r>
        <w:rPr>
          <w:rStyle w:val="VariableTok"/>
        </w:rPr>
        <w:t xml:space="preserve">self</w:t>
      </w:r>
      <w:r>
        <w:rPr>
          <w:rStyle w:val="NormalTok"/>
        </w:rPr>
        <w:t xml:space="preserve">, account, key, method, path, body):</w:t>
      </w:r>
      <w:r>
        <w:br/>
      </w:r>
      <w:r>
        <w:rPr>
          <w:rStyle w:val="NormalTok"/>
        </w:rPr>
        <w:t xml:space="preserve">        </w:t>
      </w:r>
      <w:r>
        <w:rPr>
          <w:rStyle w:val="CommentTok"/>
        </w:rPr>
        <w:t xml:space="preserve">"""Phase 1. Returns ('proceed', lease) or ('respond', (status, body))."""</w:t>
      </w:r>
      <w:r>
        <w:br/>
      </w:r>
      <w:r>
        <w:rPr>
          <w:rStyle w:val="NormalTok"/>
        </w:rPr>
        <w:t xml:space="preserve">        fp, now </w:t>
      </w:r>
      <w:r>
        <w:rPr>
          <w:rStyle w:val="OperatorTok"/>
        </w:rPr>
        <w:t xml:space="preserve">=</w:t>
      </w:r>
      <w:r>
        <w:rPr>
          <w:rStyle w:val="NormalTok"/>
        </w:rPr>
        <w:t xml:space="preserve"> fingerprint(method, path, body), </w:t>
      </w:r>
      <w:r>
        <w:rPr>
          <w:rStyle w:val="VariableTok"/>
        </w:rPr>
        <w:t xml:space="preserve">self</w:t>
      </w:r>
      <w:r>
        <w:rPr>
          <w:rStyle w:val="NormalTok"/>
        </w:rPr>
        <w:t xml:space="preserve">.clock()</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.db:                                    </w:t>
      </w:r>
      <w:r>
        <w:rPr>
          <w:rStyle w:val="CommentTok"/>
        </w:rPr>
        <w:t xml:space="preserve"># one transaction</w:t>
      </w:r>
      <w:r>
        <w:br/>
      </w:r>
      <w:r>
        <w:rPr>
          <w:rStyle w:val="NormalTok"/>
        </w:rPr>
        <w:t xml:space="preserve">            </w:t>
      </w:r>
      <w:r>
        <w:rPr>
          <w:rStyle w:val="VariableTok"/>
        </w:rPr>
        <w:t xml:space="preserve">self</w:t>
      </w:r>
      <w:r>
        <w:rPr>
          <w:rStyle w:val="NormalTok"/>
        </w:rPr>
        <w:t xml:space="preserve">.db.execute(</w:t>
      </w:r>
      <w:r>
        <w:rPr>
          <w:rStyle w:val="StringTok"/>
        </w:rPr>
        <w:t xml:space="preserve">"DELETE FROM idempotency_keys WHERE account_id=? AND idem_key=? "</w:t>
      </w:r>
      <w:r>
        <w:br/>
      </w:r>
      <w:r>
        <w:rPr>
          <w:rStyle w:val="NormalTok"/>
        </w:rPr>
        <w:t xml:space="preserve">                            </w:t>
      </w:r>
      <w:r>
        <w:rPr>
          <w:rStyle w:val="StringTok"/>
        </w:rPr>
        <w:t xml:space="preserve">"AND created_at &lt; ?"</w:t>
      </w:r>
      <w:r>
        <w:rPr>
          <w:rStyle w:val="NormalTok"/>
        </w:rPr>
        <w:t xml:space="preserve">, (account, key, now </w:t>
      </w:r>
      <w:r>
        <w:rPr>
          <w:rStyle w:val="OperatorTok"/>
        </w:rPr>
        <w:t xml:space="preserve">-</w:t>
      </w:r>
      <w:r>
        <w:rPr>
          <w:rStyle w:val="NormalTok"/>
        </w:rPr>
        <w:t xml:space="preserve"> </w:t>
      </w:r>
      <w:r>
        <w:rPr>
          <w:rStyle w:val="VariableTok"/>
        </w:rPr>
        <w:t xml:space="preserve">self</w:t>
      </w:r>
      <w:r>
        <w:rPr>
          <w:rStyle w:val="NormalTok"/>
        </w:rPr>
        <w:t xml:space="preserve">.ttl))</w:t>
      </w:r>
      <w:r>
        <w:br/>
      </w:r>
      <w:r>
        <w:rPr>
          <w:rStyle w:val="NormalTok"/>
        </w:rPr>
        <w:t xml:space="preserve">            inserted </w:t>
      </w:r>
      <w:r>
        <w:rPr>
          <w:rStyle w:val="OperatorTok"/>
        </w:rPr>
        <w:t xml:space="preserve">=</w:t>
      </w:r>
      <w:r>
        <w:rPr>
          <w:rStyle w:val="NormalTok"/>
        </w:rPr>
        <w:t xml:space="preserve"> </w:t>
      </w:r>
      <w:r>
        <w:rPr>
          <w:rStyle w:val="VariableTok"/>
        </w:rPr>
        <w:t xml:space="preserve">self</w:t>
      </w:r>
      <w:r>
        <w:rPr>
          <w:rStyle w:val="NormalTok"/>
        </w:rPr>
        <w:t xml:space="preserve">.db.execute(</w:t>
      </w:r>
      <w:r>
        <w:br/>
      </w:r>
      <w:r>
        <w:rPr>
          <w:rStyle w:val="NormalTok"/>
        </w:rPr>
        <w:t xml:space="preserve">                </w:t>
      </w:r>
      <w:r>
        <w:rPr>
          <w:rStyle w:val="StringTok"/>
        </w:rPr>
        <w:t xml:space="preserve">"INSERT INTO idempotency_keys VALUES (?,?,?,'in_progress',?,NULL,NULL,?) "</w:t>
      </w:r>
      <w:r>
        <w:br/>
      </w:r>
      <w:r>
        <w:rPr>
          <w:rStyle w:val="NormalTok"/>
        </w:rPr>
        <w:t xml:space="preserve">                </w:t>
      </w:r>
      <w:r>
        <w:rPr>
          <w:rStyle w:val="StringTok"/>
        </w:rPr>
        <w:t xml:space="preserve">"ON CONFLICT DO NOTHING"</w:t>
      </w:r>
      <w:r>
        <w:rPr>
          <w:rStyle w:val="NormalTok"/>
        </w:rPr>
        <w:t xml:space="preserve">, (account, key, fp, now </w:t>
      </w:r>
      <w:r>
        <w:rPr>
          <w:rStyle w:val="OperatorTok"/>
        </w:rPr>
        <w:t xml:space="preserve">+</w:t>
      </w:r>
      <w:r>
        <w:rPr>
          <w:rStyle w:val="NormalTok"/>
        </w:rPr>
        <w:t xml:space="preserve"> </w:t>
      </w:r>
      <w:r>
        <w:rPr>
          <w:rStyle w:val="VariableTok"/>
        </w:rPr>
        <w:t xml:space="preserve">self</w:t>
      </w:r>
      <w:r>
        <w:rPr>
          <w:rStyle w:val="NormalTok"/>
        </w:rPr>
        <w:t xml:space="preserve">.lease, now)).rowcount</w:t>
      </w:r>
      <w:r>
        <w:br/>
      </w:r>
      <w:r>
        <w:rPr>
          <w:rStyle w:val="NormalTok"/>
        </w:rPr>
        <w:t xml:space="preserve">            </w:t>
      </w:r>
      <w:r>
        <w:rPr>
          <w:rStyle w:val="ControlFlowTok"/>
        </w:rPr>
        <w:t xml:space="preserve">if</w:t>
      </w:r>
      <w:r>
        <w:rPr>
          <w:rStyle w:val="NormalTok"/>
        </w:rPr>
        <w:t xml:space="preserve"> inserted:</w:t>
      </w:r>
      <w:r>
        <w:br/>
      </w:r>
      <w:r>
        <w:rPr>
          <w:rStyle w:val="NormalTok"/>
        </w:rPr>
        <w:t xml:space="preserve">                </w:t>
      </w:r>
      <w:r>
        <w:rPr>
          <w:rStyle w:val="ControlFlowTok"/>
        </w:rPr>
        <w:t xml:space="preserve">return</w:t>
      </w:r>
      <w:r>
        <w:rPr>
          <w:rStyle w:val="NormalTok"/>
        </w:rPr>
        <w:t xml:space="preserve"> </w:t>
      </w:r>
      <w:r>
        <w:rPr>
          <w:rStyle w:val="StringTok"/>
        </w:rPr>
        <w:t xml:space="preserve">"proceed"</w:t>
      </w:r>
      <w:r>
        <w:rPr>
          <w:rStyle w:val="NormalTok"/>
        </w:rPr>
        <w:t xml:space="preserve">, now </w:t>
      </w:r>
      <w:r>
        <w:rPr>
          <w:rStyle w:val="OperatorTok"/>
        </w:rPr>
        <w:t xml:space="preserve">+</w:t>
      </w:r>
      <w:r>
        <w:rPr>
          <w:rStyle w:val="NormalTok"/>
        </w:rPr>
        <w:t xml:space="preserve"> </w:t>
      </w:r>
      <w:r>
        <w:rPr>
          <w:rStyle w:val="VariableTok"/>
        </w:rPr>
        <w:t xml:space="preserve">self</w:t>
      </w:r>
      <w:r>
        <w:rPr>
          <w:rStyle w:val="NormalTok"/>
        </w:rPr>
        <w:t xml:space="preserve">.lease       </w:t>
      </w:r>
      <w:r>
        <w:rPr>
          <w:rStyle w:val="CommentTok"/>
        </w:rPr>
        <w:t xml:space="preserve"># first time we see this key</w:t>
      </w:r>
      <w:r>
        <w:br/>
      </w:r>
      <w:r>
        <w:rPr>
          <w:rStyle w:val="NormalTok"/>
        </w:rPr>
        <w:t xml:space="preserve">            fp0, status, locked_until, code, resp </w:t>
      </w:r>
      <w:r>
        <w:rPr>
          <w:rStyle w:val="OperatorTok"/>
        </w:rPr>
        <w:t xml:space="preserve">=</w:t>
      </w:r>
      <w:r>
        <w:rPr>
          <w:rStyle w:val="NormalTok"/>
        </w:rPr>
        <w:t xml:space="preserve"> </w:t>
      </w:r>
      <w:r>
        <w:rPr>
          <w:rStyle w:val="VariableTok"/>
        </w:rPr>
        <w:t xml:space="preserve">self</w:t>
      </w:r>
      <w:r>
        <w:rPr>
          <w:rStyle w:val="NormalTok"/>
        </w:rPr>
        <w:t xml:space="preserve">.db.execute(</w:t>
      </w:r>
      <w:r>
        <w:br/>
      </w:r>
      <w:r>
        <w:rPr>
          <w:rStyle w:val="NormalTok"/>
        </w:rPr>
        <w:t xml:space="preserve">                </w:t>
      </w:r>
      <w:r>
        <w:rPr>
          <w:rStyle w:val="StringTok"/>
        </w:rPr>
        <w:t xml:space="preserve">"SELECT fingerprint, status, locked_until, response_code, response_body "</w:t>
      </w:r>
      <w:r>
        <w:br/>
      </w:r>
      <w:r>
        <w:rPr>
          <w:rStyle w:val="NormalTok"/>
        </w:rPr>
        <w:t xml:space="preserve">                </w:t>
      </w:r>
      <w:r>
        <w:rPr>
          <w:rStyle w:val="StringTok"/>
        </w:rPr>
        <w:t xml:space="preserve">"FROM idempotency_keys WHERE account_id=? AND idem_key=?"</w:t>
      </w:r>
      <w:r>
        <w:rPr>
          <w:rStyle w:val="NormalTok"/>
        </w:rPr>
        <w:t xml:space="preserve">, (account, key)).fetchone()</w:t>
      </w:r>
      <w:r>
        <w:br/>
      </w:r>
      <w:r>
        <w:rPr>
          <w:rStyle w:val="NormalTok"/>
        </w:rPr>
        <w:t xml:space="preserve">            </w:t>
      </w:r>
      <w:r>
        <w:rPr>
          <w:rStyle w:val="ControlFlowTok"/>
        </w:rPr>
        <w:t xml:space="preserve">if</w:t>
      </w:r>
      <w:r>
        <w:rPr>
          <w:rStyle w:val="NormalTok"/>
        </w:rPr>
        <w:t xml:space="preserve"> fp0 </w:t>
      </w:r>
      <w:r>
        <w:rPr>
          <w:rStyle w:val="OperatorTok"/>
        </w:rPr>
        <w:t xml:space="preserve">!=</w:t>
      </w:r>
      <w:r>
        <w:rPr>
          <w:rStyle w:val="NormalTok"/>
        </w:rPr>
        <w:t xml:space="preserve"> fp:</w:t>
      </w:r>
      <w:r>
        <w:br/>
      </w:r>
      <w:r>
        <w:rPr>
          <w:rStyle w:val="NormalTok"/>
        </w:rPr>
        <w:t xml:space="preserve">                </w:t>
      </w:r>
      <w:r>
        <w:rPr>
          <w:rStyle w:val="ControlFlowTok"/>
        </w:rPr>
        <w:t xml:space="preserve">return</w:t>
      </w:r>
      <w:r>
        <w:rPr>
          <w:rStyle w:val="NormalTok"/>
        </w:rPr>
        <w:t xml:space="preserve"> </w:t>
      </w:r>
      <w:r>
        <w:rPr>
          <w:rStyle w:val="StringTok"/>
        </w:rPr>
        <w:t xml:space="preserve">"respond"</w:t>
      </w:r>
      <w:r>
        <w:rPr>
          <w:rStyle w:val="NormalTok"/>
        </w:rPr>
        <w:t xml:space="preserve">, (</w:t>
      </w:r>
      <w:r>
        <w:rPr>
          <w:rStyle w:val="DecValTok"/>
        </w:rPr>
        <w:t xml:space="preserve">422</w:t>
      </w:r>
      <w:r>
        <w:rPr>
          <w:rStyle w:val="NormalTok"/>
        </w:rPr>
        <w:t xml:space="preserve">, {</w:t>
      </w:r>
      <w:r>
        <w:rPr>
          <w:rStyle w:val="StringTok"/>
        </w:rPr>
        <w:t xml:space="preserve">"error"</w:t>
      </w:r>
      <w:r>
        <w:rPr>
          <w:rStyle w:val="NormalTok"/>
        </w:rPr>
        <w:t xml:space="preserve">: </w:t>
      </w:r>
      <w:r>
        <w:rPr>
          <w:rStyle w:val="StringTok"/>
        </w:rPr>
        <w:t xml:space="preserve">"idempotency key reused with different request"</w:t>
      </w:r>
      <w:r>
        <w:rPr>
          <w:rStyle w:val="NormalTok"/>
        </w:rPr>
        <w:t xml:space="preserve">})</w:t>
      </w:r>
      <w:r>
        <w:br/>
      </w:r>
      <w:r>
        <w:rPr>
          <w:rStyle w:val="NormalTok"/>
        </w:rPr>
        <w:t xml:space="preserve">            </w:t>
      </w:r>
      <w:r>
        <w:rPr>
          <w:rStyle w:val="ControlFlowTok"/>
        </w:rPr>
        <w:t xml:space="preserve">if</w:t>
      </w:r>
      <w:r>
        <w:rPr>
          <w:rStyle w:val="NormalTok"/>
        </w:rPr>
        <w:t xml:space="preserve"> status </w:t>
      </w:r>
      <w:r>
        <w:rPr>
          <w:rStyle w:val="OperatorTok"/>
        </w:rPr>
        <w:t xml:space="preserve">==</w:t>
      </w:r>
      <w:r>
        <w:rPr>
          <w:rStyle w:val="NormalTok"/>
        </w:rPr>
        <w:t xml:space="preserve"> </w:t>
      </w:r>
      <w:r>
        <w:rPr>
          <w:rStyle w:val="StringTok"/>
        </w:rPr>
        <w:t xml:space="preserve">"completed"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"respond"</w:t>
      </w:r>
      <w:r>
        <w:rPr>
          <w:rStyle w:val="NormalTok"/>
        </w:rPr>
        <w:t xml:space="preserve">, (code, json.loads(resp))   </w:t>
      </w:r>
      <w:r>
        <w:rPr>
          <w:rStyle w:val="CommentTok"/>
        </w:rPr>
        <w:t xml:space="preserve"># replay the stored response</w:t>
      </w:r>
      <w:r>
        <w:br/>
      </w:r>
      <w:r>
        <w:rPr>
          <w:rStyle w:val="NormalTok"/>
        </w:rPr>
        <w:t xml:space="preserve">            </w:t>
      </w:r>
      <w:r>
        <w:rPr>
          <w:rStyle w:val="ControlFlowTok"/>
        </w:rPr>
        <w:t xml:space="preserve">if</w:t>
      </w:r>
      <w:r>
        <w:rPr>
          <w:rStyle w:val="NormalTok"/>
        </w:rPr>
        <w:t xml:space="preserve"> locked_until </w:t>
      </w:r>
      <w:r>
        <w:rPr>
          <w:rStyle w:val="OperatorTok"/>
        </w:rPr>
        <w:t xml:space="preserve">&gt;</w:t>
      </w:r>
      <w:r>
        <w:rPr>
          <w:rStyle w:val="NormalTok"/>
        </w:rPr>
        <w:t xml:space="preserve"> now:</w:t>
      </w:r>
      <w:r>
        <w:br/>
      </w:r>
      <w:r>
        <w:rPr>
          <w:rStyle w:val="NormalTok"/>
        </w:rPr>
        <w:t xml:space="preserve">                </w:t>
      </w:r>
      <w:r>
        <w:rPr>
          <w:rStyle w:val="ControlFlowTok"/>
        </w:rPr>
        <w:t xml:space="preserve">return</w:t>
      </w:r>
      <w:r>
        <w:rPr>
          <w:rStyle w:val="NormalTok"/>
        </w:rPr>
        <w:t xml:space="preserve"> </w:t>
      </w:r>
      <w:r>
        <w:rPr>
          <w:rStyle w:val="StringTok"/>
        </w:rPr>
        <w:t xml:space="preserve">"respond"</w:t>
      </w:r>
      <w:r>
        <w:rPr>
          <w:rStyle w:val="NormalTok"/>
        </w:rPr>
        <w:t xml:space="preserve">, (</w:t>
      </w:r>
      <w:r>
        <w:rPr>
          <w:rStyle w:val="DecValTok"/>
        </w:rPr>
        <w:t xml:space="preserve">409</w:t>
      </w:r>
      <w:r>
        <w:rPr>
          <w:rStyle w:val="NormalTok"/>
        </w:rPr>
        <w:t xml:space="preserve">, {</w:t>
      </w:r>
      <w:r>
        <w:rPr>
          <w:rStyle w:val="StringTok"/>
        </w:rPr>
        <w:t xml:space="preserve">"error"</w:t>
      </w:r>
      <w:r>
        <w:rPr>
          <w:rStyle w:val="NormalTok"/>
        </w:rPr>
        <w:t xml:space="preserve">: </w:t>
      </w:r>
      <w:r>
        <w:rPr>
          <w:rStyle w:val="StringTok"/>
        </w:rPr>
        <w:t xml:space="preserve">"request with this key is in progress"</w:t>
      </w:r>
      <w:r>
        <w:rPr>
          <w:rStyle w:val="NormalTok"/>
        </w:rPr>
        <w:t xml:space="preserve">})</w:t>
      </w:r>
      <w:r>
        <w:br/>
      </w:r>
      <w:r>
        <w:rPr>
          <w:rStyle w:val="NormalTok"/>
        </w:rPr>
        <w:t xml:space="preserve">            </w:t>
      </w:r>
      <w:r>
        <w:rPr>
          <w:rStyle w:val="VariableTok"/>
        </w:rPr>
        <w:t xml:space="preserve">self</w:t>
      </w:r>
      <w:r>
        <w:rPr>
          <w:rStyle w:val="NormalTok"/>
        </w:rPr>
        <w:t xml:space="preserve">.db.execute(</w:t>
      </w:r>
      <w:r>
        <w:rPr>
          <w:rStyle w:val="StringTok"/>
        </w:rPr>
        <w:t xml:space="preserve">"UPDATE idempotency_keys SET locked_until=? WHERE account_id=? "</w:t>
      </w:r>
      <w:r>
        <w:br/>
      </w:r>
      <w:r>
        <w:rPr>
          <w:rStyle w:val="NormalTok"/>
        </w:rPr>
        <w:t xml:space="preserve">                            </w:t>
      </w:r>
      <w:r>
        <w:rPr>
          <w:rStyle w:val="StringTok"/>
        </w:rPr>
        <w:t xml:space="preserve">"AND idem_key=?"</w:t>
      </w:r>
      <w:r>
        <w:rPr>
          <w:rStyle w:val="NormalTok"/>
        </w:rPr>
        <w:t xml:space="preserve">, (now </w:t>
      </w:r>
      <w:r>
        <w:rPr>
          <w:rStyle w:val="OperatorTok"/>
        </w:rPr>
        <w:t xml:space="preserve">+</w:t>
      </w:r>
      <w:r>
        <w:rPr>
          <w:rStyle w:val="NormalTok"/>
        </w:rPr>
        <w:t xml:space="preserve"> </w:t>
      </w:r>
      <w:r>
        <w:rPr>
          <w:rStyle w:val="VariableTok"/>
        </w:rPr>
        <w:t xml:space="preserve">self</w:t>
      </w:r>
      <w:r>
        <w:rPr>
          <w:rStyle w:val="NormalTok"/>
        </w:rPr>
        <w:t xml:space="preserve">.lease, account, key))</w:t>
      </w:r>
      <w:r>
        <w:br/>
      </w:r>
      <w:r>
        <w:rPr>
          <w:rStyle w:val="NormalTok"/>
        </w:rPr>
        <w:t xml:space="preserve">            </w:t>
      </w:r>
      <w:r>
        <w:rPr>
          <w:rStyle w:val="ControlFlowTok"/>
        </w:rPr>
        <w:t xml:space="preserve">return</w:t>
      </w:r>
      <w:r>
        <w:rPr>
          <w:rStyle w:val="NormalTok"/>
        </w:rPr>
        <w:t xml:space="preserve"> </w:t>
      </w:r>
      <w:r>
        <w:rPr>
          <w:rStyle w:val="StringTok"/>
        </w:rPr>
        <w:t xml:space="preserve">"proceed"</w:t>
      </w:r>
      <w:r>
        <w:rPr>
          <w:rStyle w:val="NormalTok"/>
        </w:rPr>
        <w:t xml:space="preserve">, now </w:t>
      </w:r>
      <w:r>
        <w:rPr>
          <w:rStyle w:val="OperatorTok"/>
        </w:rPr>
        <w:t xml:space="preserve">+</w:t>
      </w:r>
      <w:r>
        <w:rPr>
          <w:rStyle w:val="NormalTok"/>
        </w:rPr>
        <w:t xml:space="preserve"> </w:t>
      </w:r>
      <w:r>
        <w:rPr>
          <w:rStyle w:val="VariableTok"/>
        </w:rPr>
        <w:t xml:space="preserve">self</w:t>
      </w:r>
      <w:r>
        <w:rPr>
          <w:rStyle w:val="NormalTok"/>
        </w:rPr>
        <w:t xml:space="preserve">.lease           </w:t>
      </w:r>
      <w:r>
        <w:rPr>
          <w:rStyle w:val="CommentTok"/>
        </w:rPr>
        <w:t xml:space="preserve"># previous worker died: take over</w:t>
      </w:r>
      <w:r>
        <w:br/>
      </w:r>
      <w:r>
        <w:br/>
      </w:r>
      <w:r>
        <w:rPr>
          <w:rStyle w:val="NormalTok"/>
        </w:rPr>
        <w:t xml:space="preserve">    </w:t>
      </w:r>
      <w:r>
        <w:rPr>
          <w:rStyle w:val="KeywordTok"/>
        </w:rPr>
        <w:t xml:space="preserve">def</w:t>
      </w:r>
      <w:r>
        <w:rPr>
          <w:rStyle w:val="NormalTok"/>
        </w:rPr>
        <w:t xml:space="preserve"> execute(</w:t>
      </w:r>
      <w:r>
        <w:rPr>
          <w:rStyle w:val="VariableTok"/>
        </w:rPr>
        <w:t xml:space="preserve">self</w:t>
      </w:r>
      <w:r>
        <w:rPr>
          <w:rStyle w:val="NormalTok"/>
        </w:rPr>
        <w:t xml:space="preserve">, account, key, lease, handler, body):</w:t>
      </w:r>
      <w:r>
        <w:br/>
      </w:r>
      <w:r>
        <w:rPr>
          <w:rStyle w:val="NormalTok"/>
        </w:rPr>
        <w:t xml:space="preserve">        </w:t>
      </w:r>
      <w:r>
        <w:rPr>
          <w:rStyle w:val="CommentTok"/>
        </w:rPr>
        <w:t xml:space="preserve">"""Phase 2. Business writes and the stored response commit atomically, and only</w:t>
      </w:r>
      <w:r>
        <w:br/>
      </w:r>
      <w:r>
        <w:rPr>
          <w:rStyle w:val="CommentTok"/>
        </w:rPr>
        <w:t xml:space="preserve">        if we still hold the lease we were given (the lease value acts as a fencing token)."""</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.db:</w:t>
      </w:r>
      <w:r>
        <w:br/>
      </w:r>
      <w:r>
        <w:rPr>
          <w:rStyle w:val="NormalTok"/>
        </w:rPr>
        <w:t xml:space="preserve">            code, resp </w:t>
      </w:r>
      <w:r>
        <w:rPr>
          <w:rStyle w:val="OperatorTok"/>
        </w:rPr>
        <w:t xml:space="preserve">=</w:t>
      </w:r>
      <w:r>
        <w:rPr>
          <w:rStyle w:val="NormalTok"/>
        </w:rPr>
        <w:t xml:space="preserve"> handler(</w:t>
      </w:r>
      <w:r>
        <w:rPr>
          <w:rStyle w:val="VariableTok"/>
        </w:rPr>
        <w:t xml:space="preserve">self</w:t>
      </w:r>
      <w:r>
        <w:rPr>
          <w:rStyle w:val="NormalTok"/>
        </w:rPr>
        <w:t xml:space="preserve">.db, account, body)</w:t>
      </w:r>
      <w:r>
        <w:br/>
      </w:r>
      <w:r>
        <w:rPr>
          <w:rStyle w:val="NormalTok"/>
        </w:rPr>
        <w:t xml:space="preserve">            done </w:t>
      </w:r>
      <w:r>
        <w:rPr>
          <w:rStyle w:val="OperatorTok"/>
        </w:rPr>
        <w:t xml:space="preserve">=</w:t>
      </w:r>
      <w:r>
        <w:rPr>
          <w:rStyle w:val="NormalTok"/>
        </w:rPr>
        <w:t xml:space="preserve"> </w:t>
      </w:r>
      <w:r>
        <w:rPr>
          <w:rStyle w:val="VariableTok"/>
        </w:rPr>
        <w:t xml:space="preserve">self</w:t>
      </w:r>
      <w:r>
        <w:rPr>
          <w:rStyle w:val="NormalTok"/>
        </w:rPr>
        <w:t xml:space="preserve">.db.execute(</w:t>
      </w:r>
      <w:r>
        <w:br/>
      </w:r>
      <w:r>
        <w:rPr>
          <w:rStyle w:val="NormalTok"/>
        </w:rPr>
        <w:t xml:space="preserve">                </w:t>
      </w:r>
      <w:r>
        <w:rPr>
          <w:rStyle w:val="StringTok"/>
        </w:rPr>
        <w:t xml:space="preserve">"UPDATE idempotency_keys SET status='completed', locked_until=NULL, "</w:t>
      </w:r>
      <w:r>
        <w:br/>
      </w:r>
      <w:r>
        <w:rPr>
          <w:rStyle w:val="NormalTok"/>
        </w:rPr>
        <w:t xml:space="preserve">                </w:t>
      </w:r>
      <w:r>
        <w:rPr>
          <w:rStyle w:val="StringTok"/>
        </w:rPr>
        <w:t xml:space="preserve">"response_code=?, response_body=? WHERE account_id=? AND idem_key=? "</w:t>
      </w:r>
      <w:r>
        <w:br/>
      </w:r>
      <w:r>
        <w:rPr>
          <w:rStyle w:val="NormalTok"/>
        </w:rPr>
        <w:t xml:space="preserve">                </w:t>
      </w:r>
      <w:r>
        <w:rPr>
          <w:rStyle w:val="StringTok"/>
        </w:rPr>
        <w:t xml:space="preserve">"AND status='in_progress' AND locked_until=?"</w:t>
      </w:r>
      <w:r>
        <w:rPr>
          <w:rStyle w:val="NormalTok"/>
        </w:rPr>
        <w:t xml:space="preserve">,</w:t>
      </w:r>
      <w:r>
        <w:br/>
      </w:r>
      <w:r>
        <w:rPr>
          <w:rStyle w:val="NormalTok"/>
        </w:rPr>
        <w:t xml:space="preserve">                (code, json.dumps(resp), account, key, lease)).rowcount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done:</w:t>
      </w:r>
      <w:r>
        <w:br/>
      </w:r>
      <w:r>
        <w:rPr>
          <w:rStyle w:val="NormalTok"/>
        </w:rPr>
        <w:t xml:space="preserve">                </w:t>
      </w:r>
      <w:r>
        <w:rPr>
          <w:rStyle w:val="ControlFlowTok"/>
        </w:rPr>
        <w:t xml:space="preserve">raise</w:t>
      </w:r>
      <w:r>
        <w:rPr>
          <w:rStyle w:val="NormalTok"/>
        </w:rPr>
        <w:t xml:space="preserve"> LeaseLost(key)                     </w:t>
      </w:r>
      <w:r>
        <w:rPr>
          <w:rStyle w:val="CommentTok"/>
        </w:rPr>
        <w:t xml:space="preserve"># exception =&gt; transaction rolls back</w:t>
      </w:r>
      <w:r>
        <w:br/>
      </w:r>
      <w:r>
        <w:rPr>
          <w:rStyle w:val="NormalTok"/>
        </w:rPr>
        <w:t xml:space="preserve">        </w:t>
      </w:r>
      <w:r>
        <w:rPr>
          <w:rStyle w:val="ControlFlowTok"/>
        </w:rPr>
        <w:t xml:space="preserve">return</w:t>
      </w:r>
      <w:r>
        <w:rPr>
          <w:rStyle w:val="NormalTok"/>
        </w:rPr>
        <w:t xml:space="preserve"> code, resp</w:t>
      </w:r>
      <w:r>
        <w:br/>
      </w:r>
      <w:r>
        <w:br/>
      </w:r>
      <w:r>
        <w:rPr>
          <w:rStyle w:val="NormalTok"/>
        </w:rPr>
        <w:t xml:space="preserve">    </w:t>
      </w:r>
      <w:r>
        <w:rPr>
          <w:rStyle w:val="KeywordTok"/>
        </w:rPr>
        <w:t xml:space="preserve">def</w:t>
      </w:r>
      <w:r>
        <w:rPr>
          <w:rStyle w:val="NormalTok"/>
        </w:rPr>
        <w:t xml:space="preserve"> handle(</w:t>
      </w:r>
      <w:r>
        <w:rPr>
          <w:rStyle w:val="VariableTok"/>
        </w:rPr>
        <w:t xml:space="preserve">self</w:t>
      </w:r>
      <w:r>
        <w:rPr>
          <w:rStyle w:val="NormalTok"/>
        </w:rPr>
        <w:t xml:space="preserve">, account, key, method, path, body, handler):</w:t>
      </w:r>
      <w:r>
        <w:br/>
      </w:r>
      <w:r>
        <w:rPr>
          <w:rStyle w:val="NormalTok"/>
        </w:rPr>
        <w:t xml:space="preserve">        action, value </w:t>
      </w:r>
      <w:r>
        <w:rPr>
          <w:rStyle w:val="OperatorTok"/>
        </w:rPr>
        <w:t xml:space="preserve">=</w:t>
      </w:r>
      <w:r>
        <w:rPr>
          <w:rStyle w:val="NormalTok"/>
        </w:rPr>
        <w:t xml:space="preserve"> </w:t>
      </w:r>
      <w:r>
        <w:rPr>
          <w:rStyle w:val="VariableTok"/>
        </w:rPr>
        <w:t xml:space="preserve">self</w:t>
      </w:r>
      <w:r>
        <w:rPr>
          <w:rStyle w:val="NormalTok"/>
        </w:rPr>
        <w:t xml:space="preserve">.claim(account, key, method, path, body)</w:t>
      </w:r>
      <w:r>
        <w:br/>
      </w:r>
      <w:r>
        <w:rPr>
          <w:rStyle w:val="NormalTok"/>
        </w:rPr>
        <w:t xml:space="preserve">        </w:t>
      </w:r>
      <w:r>
        <w:rPr>
          <w:rStyle w:val="ControlFlowTok"/>
        </w:rPr>
        <w:t xml:space="preserve">return</w:t>
      </w:r>
      <w:r>
        <w:rPr>
          <w:rStyle w:val="NormalTok"/>
        </w:rPr>
        <w:t xml:space="preserve"> value </w:t>
      </w: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"respond"</w:t>
      </w:r>
      <w:r>
        <w:rPr>
          <w:rStyle w:val="NormalTok"/>
        </w:rPr>
        <w:t xml:space="preserve"> </w:t>
      </w:r>
      <w:r>
        <w:rPr>
          <w:rStyle w:val="ControlFlowTok"/>
        </w:rPr>
        <w:t xml:space="preserve">else</w:t>
      </w:r>
      <w:r>
        <w:rPr>
          <w:rStyle w:val="NormalTok"/>
        </w:rPr>
        <w:t xml:space="preserve"> </w:t>
      </w:r>
      <w:r>
        <w:rPr>
          <w:rStyle w:val="VariableTok"/>
        </w:rPr>
        <w:t xml:space="preserve">self</w:t>
      </w:r>
      <w:r>
        <w:rPr>
          <w:rStyle w:val="NormalTok"/>
        </w:rPr>
        <w:t xml:space="preserve">.execute(account, key, value, handler, body)</w:t>
      </w:r>
      <w:r>
        <w:br/>
      </w:r>
      <w:r>
        <w:br/>
      </w:r>
      <w:r>
        <w:br/>
      </w:r>
      <w:r>
        <w:rPr>
          <w:rStyle w:val="KeywordTok"/>
        </w:rPr>
        <w:t xml:space="preserve">def</w:t>
      </w:r>
      <w:r>
        <w:rPr>
          <w:rStyle w:val="NormalTok"/>
        </w:rPr>
        <w:t xml:space="preserve"> create_charge(db, account, body):</w:t>
      </w:r>
      <w:r>
        <w:br/>
      </w:r>
      <w:r>
        <w:rPr>
          <w:rStyle w:val="NormalTok"/>
        </w:rPr>
        <w:t xml:space="preserve">    charge_id </w:t>
      </w:r>
      <w:r>
        <w:rPr>
          <w:rStyle w:val="OperatorTok"/>
        </w:rPr>
        <w:t xml:space="preserve">=</w:t>
      </w:r>
      <w:r>
        <w:rPr>
          <w:rStyle w:val="NormalTok"/>
        </w:rPr>
        <w:t xml:space="preserve"> </w:t>
      </w:r>
      <w:r>
        <w:rPr>
          <w:rStyle w:val="StringTok"/>
        </w:rPr>
        <w:t xml:space="preserve">"ch_"</w:t>
      </w:r>
      <w:r>
        <w:rPr>
          <w:rStyle w:val="NormalTok"/>
        </w:rPr>
        <w:t xml:space="preserve"> </w:t>
      </w:r>
      <w:r>
        <w:rPr>
          <w:rStyle w:val="OperatorTok"/>
        </w:rPr>
        <w:t xml:space="preserve">+</w:t>
      </w:r>
      <w:r>
        <w:rPr>
          <w:rStyle w:val="NormalTok"/>
        </w:rPr>
        <w:t xml:space="preserve"> uuid.uuid4().</w:t>
      </w:r>
      <w:r>
        <w:rPr>
          <w:rStyle w:val="BuiltInTok"/>
        </w:rPr>
        <w:t xml:space="preserve">hex</w:t>
      </w:r>
      <w:r>
        <w:rPr>
          <w:rStyle w:val="NormalTok"/>
        </w:rPr>
        <w:t xml:space="preserve">[:</w:t>
      </w:r>
      <w:r>
        <w:rPr>
          <w:rStyle w:val="DecValTok"/>
        </w:rPr>
        <w:t xml:space="preserve">12</w:t>
      </w:r>
      <w:r>
        <w:rPr>
          <w:rStyle w:val="NormalTok"/>
        </w:rPr>
        <w:t xml:space="preserve">]</w:t>
      </w:r>
      <w:r>
        <w:br/>
      </w:r>
      <w:r>
        <w:rPr>
          <w:rStyle w:val="NormalTok"/>
        </w:rPr>
        <w:t xml:space="preserve">    db.execute(</w:t>
      </w:r>
      <w:r>
        <w:rPr>
          <w:rStyle w:val="StringTok"/>
        </w:rPr>
        <w:t xml:space="preserve">"INSERT INTO charges VALUES (?,?,?,?)"</w:t>
      </w:r>
      <w:r>
        <w:rPr>
          <w:rStyle w:val="NormalTok"/>
        </w:rPr>
        <w:t xml:space="preserve">,</w:t>
      </w:r>
      <w:r>
        <w:br/>
      </w:r>
      <w:r>
        <w:rPr>
          <w:rStyle w:val="NormalTok"/>
        </w:rPr>
        <w:t xml:space="preserve">               (charge_id, account, body[</w:t>
      </w:r>
      <w:r>
        <w:rPr>
          <w:rStyle w:val="StringTok"/>
        </w:rPr>
        <w:t xml:space="preserve">"amount"</w:t>
      </w:r>
      <w:r>
        <w:rPr>
          <w:rStyle w:val="NormalTok"/>
        </w:rPr>
        <w:t xml:space="preserve">], body[</w:t>
      </w:r>
      <w:r>
        <w:rPr>
          <w:rStyle w:val="StringTok"/>
        </w:rPr>
        <w:t xml:space="preserve">"currency"</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201</w:t>
      </w:r>
      <w:r>
        <w:rPr>
          <w:rStyle w:val="NormalTok"/>
        </w:rPr>
        <w:t xml:space="preserve">, {</w:t>
      </w:r>
      <w:r>
        <w:rPr>
          <w:rStyle w:val="StringTok"/>
        </w:rPr>
        <w:t xml:space="preserve">"id"</w:t>
      </w:r>
      <w:r>
        <w:rPr>
          <w:rStyle w:val="NormalTok"/>
        </w:rPr>
        <w:t xml:space="preserve">: charge_id, </w:t>
      </w:r>
      <w:r>
        <w:rPr>
          <w:rStyle w:val="StringTok"/>
        </w:rPr>
        <w:t xml:space="preserve">"amount"</w:t>
      </w:r>
      <w:r>
        <w:rPr>
          <w:rStyle w:val="NormalTok"/>
        </w:rPr>
        <w:t xml:space="preserve">: body[</w:t>
      </w:r>
      <w:r>
        <w:rPr>
          <w:rStyle w:val="StringTok"/>
        </w:rPr>
        <w:t xml:space="preserve">"amount"</w:t>
      </w:r>
      <w:r>
        <w:rPr>
          <w:rStyle w:val="NormalTok"/>
        </w:rPr>
        <w:t xml:space="preserve">], </w:t>
      </w:r>
      <w:r>
        <w:rPr>
          <w:rStyle w:val="StringTok"/>
        </w:rPr>
        <w:t xml:space="preserve">"status"</w:t>
      </w:r>
      <w:r>
        <w:rPr>
          <w:rStyle w:val="NormalTok"/>
        </w:rPr>
        <w:t xml:space="preserve">: </w:t>
      </w:r>
      <w:r>
        <w:rPr>
          <w:rStyle w:val="StringTok"/>
        </w:rPr>
        <w:t xml:space="preserve">"succeeded"</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KeywordTok"/>
        </w:rPr>
        <w:t xml:space="preserve">class</w:t>
      </w:r>
      <w:r>
        <w:rPr>
          <w:rStyle w:val="NormalTok"/>
        </w:rPr>
        <w:t xml:space="preserve"> Clock:</w:t>
      </w:r>
      <w:r>
        <w:br/>
      </w:r>
      <w:r>
        <w:rPr>
          <w:rStyle w:val="NormalTok"/>
        </w:rPr>
        <w:t xml:space="preserve">        t </w:t>
      </w:r>
      <w:r>
        <w:rPr>
          <w:rStyle w:val="OperatorTok"/>
        </w:rPr>
        <w:t xml:space="preserve">=</w:t>
      </w:r>
      <w:r>
        <w:rPr>
          <w:rStyle w:val="NormalTok"/>
        </w:rPr>
        <w:t xml:space="preserve"> </w:t>
      </w:r>
      <w:r>
        <w:rPr>
          <w:rStyle w:val="FloatTok"/>
        </w:rPr>
        <w:t xml:space="preserve">1_000.0</w:t>
      </w:r>
      <w:r>
        <w:br/>
      </w:r>
      <w:r>
        <w:rPr>
          <w:rStyle w:val="NormalTok"/>
        </w:rPr>
        <w:t xml:space="preserve">        </w:t>
      </w:r>
      <w:r>
        <w:rPr>
          <w:rStyle w:val="KeywordTok"/>
        </w:rPr>
        <w:t xml:space="preserve">def</w:t>
      </w:r>
      <w:r>
        <w:rPr>
          <w:rStyle w:val="NormalTok"/>
        </w:rPr>
        <w:t xml:space="preserve"> </w:t>
      </w:r>
      <w:r>
        <w:rPr>
          <w:rStyle w:val="FunctionTok"/>
        </w:rPr>
        <w:t xml:space="preserve">__call__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.t</w:t>
      </w:r>
      <w:r>
        <w:br/>
      </w:r>
      <w:r>
        <w:br/>
      </w:r>
      <w:r>
        <w:rPr>
          <w:rStyle w:val="NormalTok"/>
        </w:rPr>
        <w:t xml:space="preserve">    clock, db </w:t>
      </w:r>
      <w:r>
        <w:rPr>
          <w:rStyle w:val="OperatorTok"/>
        </w:rPr>
        <w:t xml:space="preserve">=</w:t>
      </w:r>
      <w:r>
        <w:rPr>
          <w:rStyle w:val="NormalTok"/>
        </w:rPr>
        <w:t xml:space="preserve"> Clock(), sqlite3.</w:t>
      </w:r>
      <w:r>
        <w:rPr>
          <w:rStyle w:val="ExtensionTok"/>
        </w:rPr>
        <w:t xml:space="preserve">connect</w:t>
      </w:r>
      <w:r>
        <w:rPr>
          <w:rStyle w:val="NormalTok"/>
        </w:rPr>
        <w:t xml:space="preserve">(</w:t>
      </w:r>
      <w:r>
        <w:rPr>
          <w:rStyle w:val="StringTok"/>
        </w:rPr>
        <w:t xml:space="preserve">":memory:"</w:t>
      </w:r>
      <w:r>
        <w:rPr>
          <w:rStyle w:val="NormalTok"/>
        </w:rPr>
        <w:t xml:space="preserve">)</w:t>
      </w:r>
      <w:r>
        <w:br/>
      </w:r>
      <w:r>
        <w:rPr>
          <w:rStyle w:val="NormalTok"/>
        </w:rPr>
        <w:t xml:space="preserve">    db.executescript(SCHEMA)</w:t>
      </w:r>
      <w:r>
        <w:br/>
      </w:r>
      <w:r>
        <w:rPr>
          <w:rStyle w:val="NormalTok"/>
        </w:rPr>
        <w:t xml:space="preserve">    api </w:t>
      </w:r>
      <w:r>
        <w:rPr>
          <w:rStyle w:val="OperatorTok"/>
        </w:rPr>
        <w:t xml:space="preserve">=</w:t>
      </w:r>
      <w:r>
        <w:rPr>
          <w:rStyle w:val="NormalTok"/>
        </w:rPr>
        <w:t xml:space="preserve"> IdempotencyLayer(db, clock)</w:t>
      </w:r>
      <w:r>
        <w:br/>
      </w:r>
      <w:r>
        <w:rPr>
          <w:rStyle w:val="NormalTok"/>
        </w:rPr>
        <w:t xml:space="preserve">    charges </w:t>
      </w:r>
      <w:r>
        <w:rPr>
          <w:rStyle w:val="OperatorTok"/>
        </w:rPr>
        <w:t xml:space="preserve">=</w:t>
      </w:r>
      <w:r>
        <w:rPr>
          <w:rStyle w:val="NormalTok"/>
        </w:rPr>
        <w:t xml:space="preserve"> </w:t>
      </w:r>
      <w:r>
        <w:rPr>
          <w:rStyle w:val="KeywordTok"/>
        </w:rPr>
        <w:t xml:space="preserve">lambda</w:t>
      </w:r>
      <w:r>
        <w:rPr>
          <w:rStyle w:val="NormalTok"/>
        </w:rPr>
        <w:t xml:space="preserve">: db.execute(</w:t>
      </w:r>
      <w:r>
        <w:rPr>
          <w:rStyle w:val="StringTok"/>
        </w:rPr>
        <w:t xml:space="preserve">"SELECT COUNT(*) FROM charges"</w:t>
      </w:r>
      <w:r>
        <w:rPr>
          <w:rStyle w:val="NormalTok"/>
        </w:rPr>
        <w:t xml:space="preserve">).fetchone()[</w:t>
      </w:r>
      <w:r>
        <w:rPr>
          <w:rStyle w:val="DecValTok"/>
        </w:rPr>
        <w:t xml:space="preserve">0</w:t>
      </w:r>
      <w:r>
        <w:rPr>
          <w:rStyle w:val="NormalTok"/>
        </w:rPr>
        <w:t xml:space="preserve">]</w:t>
      </w:r>
      <w:r>
        <w:br/>
      </w:r>
      <w:r>
        <w:rPr>
          <w:rStyle w:val="NormalTok"/>
        </w:rPr>
        <w:t xml:space="preserve">    body, key </w:t>
      </w:r>
      <w:r>
        <w:rPr>
          <w:rStyle w:val="OperatorTok"/>
        </w:rPr>
        <w:t xml:space="preserve">=</w:t>
      </w:r>
      <w:r>
        <w:rPr>
          <w:rStyle w:val="NormalTok"/>
        </w:rPr>
        <w:t xml:space="preserve"> {</w:t>
      </w:r>
      <w:r>
        <w:rPr>
          <w:rStyle w:val="StringTok"/>
        </w:rPr>
        <w:t xml:space="preserve">"amount"</w:t>
      </w:r>
      <w:r>
        <w:rPr>
          <w:rStyle w:val="NormalTok"/>
        </w:rPr>
        <w:t xml:space="preserve">: </w:t>
      </w:r>
      <w:r>
        <w:rPr>
          <w:rStyle w:val="DecValTok"/>
        </w:rPr>
        <w:t xml:space="preserve">2000</w:t>
      </w:r>
      <w:r>
        <w:rPr>
          <w:rStyle w:val="NormalTok"/>
        </w:rPr>
        <w:t xml:space="preserve">, </w:t>
      </w:r>
      <w:r>
        <w:rPr>
          <w:rStyle w:val="StringTok"/>
        </w:rPr>
        <w:t xml:space="preserve">"currency"</w:t>
      </w:r>
      <w:r>
        <w:rPr>
          <w:rStyle w:val="NormalTok"/>
        </w:rPr>
        <w:t xml:space="preserve">: </w:t>
      </w:r>
      <w:r>
        <w:rPr>
          <w:rStyle w:val="StringTok"/>
        </w:rPr>
        <w:t xml:space="preserve">"usd"</w:t>
      </w:r>
      <w:r>
        <w:rPr>
          <w:rStyle w:val="NormalTok"/>
        </w:rPr>
        <w:t xml:space="preserve">}, </w:t>
      </w:r>
      <w:r>
        <w:rPr>
          <w:rStyle w:val="BuiltInTok"/>
        </w:rPr>
        <w:t xml:space="preserve">str</w:t>
      </w:r>
      <w:r>
        <w:rPr>
          <w:rStyle w:val="NormalTok"/>
        </w:rPr>
        <w:t xml:space="preserve">(uuid.uuid4())</w:t>
      </w:r>
      <w:r>
        <w:br/>
      </w:r>
      <w:r>
        <w:br/>
      </w:r>
      <w:r>
        <w:rPr>
          <w:rStyle w:val="NormalTok"/>
        </w:rPr>
        <w:t xml:space="preserve">    first </w:t>
      </w:r>
      <w:r>
        <w:rPr>
          <w:rStyle w:val="OperatorTok"/>
        </w:rPr>
        <w:t xml:space="preserve">=</w:t>
      </w:r>
      <w:r>
        <w:rPr>
          <w:rStyle w:val="NormalTok"/>
        </w:rPr>
        <w:t xml:space="preserve"> api.handle(</w:t>
      </w:r>
      <w:r>
        <w:rPr>
          <w:rStyle w:val="StringTok"/>
        </w:rPr>
        <w:t xml:space="preserve">"acct_1"</w:t>
      </w:r>
      <w:r>
        <w:rPr>
          <w:rStyle w:val="NormalTok"/>
        </w:rPr>
        <w:t xml:space="preserve">, key, </w:t>
      </w:r>
      <w:r>
        <w:rPr>
          <w:rStyle w:val="StringTok"/>
        </w:rPr>
        <w:t xml:space="preserve">"POST"</w:t>
      </w:r>
      <w:r>
        <w:rPr>
          <w:rStyle w:val="NormalTok"/>
        </w:rPr>
        <w:t xml:space="preserve">, </w:t>
      </w:r>
      <w:r>
        <w:rPr>
          <w:rStyle w:val="StringTok"/>
        </w:rPr>
        <w:t xml:space="preserve">"/v1/charges"</w:t>
      </w:r>
      <w:r>
        <w:rPr>
          <w:rStyle w:val="NormalTok"/>
        </w:rPr>
        <w:t xml:space="preserve">, body, create_charge)</w:t>
      </w:r>
      <w:r>
        <w:br/>
      </w:r>
      <w:r>
        <w:rPr>
          <w:rStyle w:val="NormalTok"/>
        </w:rPr>
        <w:t xml:space="preserve">    retry </w:t>
      </w:r>
      <w:r>
        <w:rPr>
          <w:rStyle w:val="OperatorTok"/>
        </w:rPr>
        <w:t xml:space="preserve">=</w:t>
      </w:r>
      <w:r>
        <w:rPr>
          <w:rStyle w:val="NormalTok"/>
        </w:rPr>
        <w:t xml:space="preserve"> api.handle(</w:t>
      </w:r>
      <w:r>
        <w:rPr>
          <w:rStyle w:val="StringTok"/>
        </w:rPr>
        <w:t xml:space="preserve">"acct_1"</w:t>
      </w:r>
      <w:r>
        <w:rPr>
          <w:rStyle w:val="NormalTok"/>
        </w:rPr>
        <w:t xml:space="preserve">, key, </w:t>
      </w:r>
      <w:r>
        <w:rPr>
          <w:rStyle w:val="StringTok"/>
        </w:rPr>
        <w:t xml:space="preserve">"POST"</w:t>
      </w:r>
      <w:r>
        <w:rPr>
          <w:rStyle w:val="NormalTok"/>
        </w:rPr>
        <w:t xml:space="preserve">, </w:t>
      </w:r>
      <w:r>
        <w:rPr>
          <w:rStyle w:val="StringTok"/>
        </w:rPr>
        <w:t xml:space="preserve">"/v1/charges"</w:t>
      </w:r>
      <w:r>
        <w:rPr>
          <w:rStyle w:val="NormalTok"/>
        </w:rPr>
        <w:t xml:space="preserve">, </w:t>
      </w:r>
      <w:r>
        <w:rPr>
          <w:rStyle w:val="BuiltInTok"/>
        </w:rPr>
        <w:t xml:space="preserve">dict</w:t>
      </w:r>
      <w:r>
        <w:rPr>
          <w:rStyle w:val="NormalTok"/>
        </w:rPr>
        <w:t xml:space="preserve">(body), create_charge)</w:t>
      </w:r>
      <w:r>
        <w:br/>
      </w:r>
      <w:r>
        <w:rPr>
          <w:rStyle w:val="NormalTok"/>
        </w:rPr>
        <w:t xml:space="preserve">    </w:t>
      </w:r>
      <w:r>
        <w:rPr>
          <w:rStyle w:val="BuiltInTok"/>
        </w:rPr>
        <w:t xml:space="preserve">print</w:t>
      </w:r>
      <w:r>
        <w:rPr>
          <w:rStyle w:val="NormalTok"/>
        </w:rPr>
        <w:t xml:space="preserve">(</w:t>
      </w:r>
      <w:r>
        <w:rPr>
          <w:rStyle w:val="StringTok"/>
        </w:rPr>
        <w:t xml:space="preserve">"1. first call:"</w:t>
      </w:r>
      <w:r>
        <w:rPr>
          <w:rStyle w:val="NormalTok"/>
        </w:rPr>
        <w:t xml:space="preserve">, first)</w:t>
      </w:r>
      <w:r>
        <w:br/>
      </w:r>
      <w:r>
        <w:rPr>
          <w:rStyle w:val="NormalTok"/>
        </w:rPr>
        <w:t xml:space="preserve">    </w:t>
      </w:r>
      <w:r>
        <w:rPr>
          <w:rStyle w:val="BuiltInTok"/>
        </w:rPr>
        <w:t xml:space="preserve">print</w:t>
      </w:r>
      <w:r>
        <w:rPr>
          <w:rStyle w:val="NormalTok"/>
        </w:rPr>
        <w:t xml:space="preserve">(</w:t>
      </w:r>
      <w:r>
        <w:rPr>
          <w:rStyle w:val="StringTok"/>
        </w:rPr>
        <w:t xml:space="preserve">"2. retry     :"</w:t>
      </w:r>
      <w:r>
        <w:rPr>
          <w:rStyle w:val="NormalTok"/>
        </w:rPr>
        <w:t xml:space="preserve">, retry, </w:t>
      </w:r>
      <w:r>
        <w:rPr>
          <w:rStyle w:val="StringTok"/>
        </w:rPr>
        <w:t xml:space="preserve">"| charges in DB:"</w:t>
      </w:r>
      <w:r>
        <w:rPr>
          <w:rStyle w:val="NormalTok"/>
        </w:rPr>
        <w:t xml:space="preserve">, charges())</w:t>
      </w:r>
      <w:r>
        <w:br/>
      </w:r>
      <w:r>
        <w:rPr>
          <w:rStyle w:val="NormalTok"/>
        </w:rPr>
        <w:t xml:space="preserve">    </w:t>
      </w:r>
      <w:r>
        <w:rPr>
          <w:rStyle w:val="ControlFlowTok"/>
        </w:rPr>
        <w:t xml:space="preserve">assert</w:t>
      </w:r>
      <w:r>
        <w:rPr>
          <w:rStyle w:val="NormalTok"/>
        </w:rPr>
        <w:t xml:space="preserve"> first </w:t>
      </w:r>
      <w:r>
        <w:rPr>
          <w:rStyle w:val="OperatorTok"/>
        </w:rPr>
        <w:t xml:space="preserve">==</w:t>
      </w:r>
      <w:r>
        <w:rPr>
          <w:rStyle w:val="NormalTok"/>
        </w:rPr>
        <w:t xml:space="preserve"> retry </w:t>
      </w:r>
      <w:r>
        <w:rPr>
          <w:rStyle w:val="KeywordTok"/>
        </w:rPr>
        <w:t xml:space="preserve">and</w:t>
      </w:r>
      <w:r>
        <w:rPr>
          <w:rStyle w:val="NormalTok"/>
        </w:rPr>
        <w:t xml:space="preserve"> charges() </w:t>
      </w:r>
      <w:r>
        <w:rPr>
          <w:rStyle w:val="OperatorTok"/>
        </w:rPr>
        <w:t xml:space="preserve">==</w:t>
      </w:r>
      <w:r>
        <w:rPr>
          <w:rStyle w:val="NormalTok"/>
        </w:rPr>
        <w:t xml:space="preserve"> </w:t>
      </w:r>
      <w:r>
        <w:rPr>
          <w:rStyle w:val="DecValTok"/>
        </w:rPr>
        <w:t xml:space="preserve">1</w:t>
      </w:r>
      <w:r>
        <w:br/>
      </w:r>
      <w:r>
        <w:br/>
      </w:r>
      <w:r>
        <w:rPr>
          <w:rStyle w:val="NormalTok"/>
        </w:rPr>
        <w:t xml:space="preserve">    other </w:t>
      </w:r>
      <w:r>
        <w:rPr>
          <w:rStyle w:val="OperatorTok"/>
        </w:rPr>
        <w:t xml:space="preserve">=</w:t>
      </w:r>
      <w:r>
        <w:rPr>
          <w:rStyle w:val="NormalTok"/>
        </w:rPr>
        <w:t xml:space="preserve"> api.handle(</w:t>
      </w:r>
      <w:r>
        <w:rPr>
          <w:rStyle w:val="StringTok"/>
        </w:rPr>
        <w:t xml:space="preserve">"acct_1"</w:t>
      </w:r>
      <w:r>
        <w:rPr>
          <w:rStyle w:val="NormalTok"/>
        </w:rPr>
        <w:t xml:space="preserve">, key, </w:t>
      </w:r>
      <w:r>
        <w:rPr>
          <w:rStyle w:val="StringTok"/>
        </w:rPr>
        <w:t xml:space="preserve">"POST"</w:t>
      </w:r>
      <w:r>
        <w:rPr>
          <w:rStyle w:val="NormalTok"/>
        </w:rPr>
        <w:t xml:space="preserve">, </w:t>
      </w:r>
      <w:r>
        <w:rPr>
          <w:rStyle w:val="StringTok"/>
        </w:rPr>
        <w:t xml:space="preserve">"/v1/charges"</w:t>
      </w:r>
      <w:r>
        <w:rPr>
          <w:rStyle w:val="NormalTok"/>
        </w:rPr>
        <w:t xml:space="preserve">, {</w:t>
      </w:r>
      <w:r>
        <w:rPr>
          <w:rStyle w:val="StringTok"/>
        </w:rPr>
        <w:t xml:space="preserve">"amount"</w:t>
      </w:r>
      <w:r>
        <w:rPr>
          <w:rStyle w:val="NormalTok"/>
        </w:rPr>
        <w:t xml:space="preserve">: </w:t>
      </w:r>
      <w:r>
        <w:rPr>
          <w:rStyle w:val="DecValTok"/>
        </w:rPr>
        <w:t xml:space="preserve">9999</w:t>
      </w:r>
      <w:r>
        <w:rPr>
          <w:rStyle w:val="NormalTok"/>
        </w:rPr>
        <w:t xml:space="preserve">, </w:t>
      </w:r>
      <w:r>
        <w:rPr>
          <w:rStyle w:val="StringTok"/>
        </w:rPr>
        <w:t xml:space="preserve">"currency"</w:t>
      </w:r>
      <w:r>
        <w:rPr>
          <w:rStyle w:val="NormalTok"/>
        </w:rPr>
        <w:t xml:space="preserve">: </w:t>
      </w:r>
      <w:r>
        <w:rPr>
          <w:rStyle w:val="StringTok"/>
        </w:rPr>
        <w:t xml:space="preserve">"usd"</w:t>
      </w:r>
      <w:r>
        <w:rPr>
          <w:rStyle w:val="NormalTok"/>
        </w:rPr>
        <w:t xml:space="preserve">},</w:t>
      </w:r>
      <w:r>
        <w:br/>
      </w:r>
      <w:r>
        <w:rPr>
          <w:rStyle w:val="NormalTok"/>
        </w:rPr>
        <w:t xml:space="preserve">                       create_charge)</w:t>
      </w:r>
      <w:r>
        <w:br/>
      </w:r>
      <w:r>
        <w:rPr>
          <w:rStyle w:val="NormalTok"/>
        </w:rPr>
        <w:t xml:space="preserve">    </w:t>
      </w:r>
      <w:r>
        <w:rPr>
          <w:rStyle w:val="BuiltInTok"/>
        </w:rPr>
        <w:t xml:space="preserve">print</w:t>
      </w:r>
      <w:r>
        <w:rPr>
          <w:rStyle w:val="NormalTok"/>
        </w:rPr>
        <w:t xml:space="preserve">(</w:t>
      </w:r>
      <w:r>
        <w:rPr>
          <w:rStyle w:val="StringTok"/>
        </w:rPr>
        <w:t xml:space="preserve">"3. same key, different body:"</w:t>
      </w:r>
      <w:r>
        <w:rPr>
          <w:rStyle w:val="NormalTok"/>
        </w:rPr>
        <w:t xml:space="preserve">, other[</w:t>
      </w:r>
      <w:r>
        <w:rPr>
          <w:rStyle w:val="DecValTok"/>
        </w:rPr>
        <w:t xml:space="preserve">0</w:t>
      </w:r>
      <w:r>
        <w:rPr>
          <w:rStyle w:val="NormalTok"/>
        </w:rPr>
        <w:t xml:space="preserve">])</w:t>
      </w:r>
      <w:r>
        <w:br/>
      </w:r>
      <w:r>
        <w:rPr>
          <w:rStyle w:val="NormalTok"/>
        </w:rPr>
        <w:t xml:space="preserve">    </w:t>
      </w:r>
      <w:r>
        <w:rPr>
          <w:rStyle w:val="ControlFlowTok"/>
        </w:rPr>
        <w:t xml:space="preserve">assert</w:t>
      </w:r>
      <w:r>
        <w:rPr>
          <w:rStyle w:val="NormalTok"/>
        </w:rPr>
        <w:t xml:space="preserve"> other[</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422</w:t>
      </w:r>
      <w:r>
        <w:br/>
      </w:r>
      <w:r>
        <w:br/>
      </w:r>
      <w:r>
        <w:rPr>
          <w:rStyle w:val="NormalTok"/>
        </w:rPr>
        <w:t xml:space="preserve">    k2 </w:t>
      </w:r>
      <w:r>
        <w:rPr>
          <w:rStyle w:val="OperatorTok"/>
        </w:rPr>
        <w:t xml:space="preserve">=</w:t>
      </w:r>
      <w:r>
        <w:rPr>
          <w:rStyle w:val="NormalTok"/>
        </w:rPr>
        <w:t xml:space="preserve"> </w:t>
      </w:r>
      <w:r>
        <w:rPr>
          <w:rStyle w:val="BuiltInTok"/>
        </w:rPr>
        <w:t xml:space="preserve">str</w:t>
      </w:r>
      <w:r>
        <w:rPr>
          <w:rStyle w:val="NormalTok"/>
        </w:rPr>
        <w:t xml:space="preserve">(uuid.uuid4())                               </w:t>
      </w:r>
      <w:r>
        <w:rPr>
          <w:rStyle w:val="CommentTok"/>
        </w:rPr>
        <w:t xml:space="preserve"># two concurrent duplicates</w:t>
      </w:r>
      <w:r>
        <w:br/>
      </w:r>
      <w:r>
        <w:rPr>
          <w:rStyle w:val="NormalTok"/>
        </w:rPr>
        <w:t xml:space="preserve">    a </w:t>
      </w:r>
      <w:r>
        <w:rPr>
          <w:rStyle w:val="OperatorTok"/>
        </w:rPr>
        <w:t xml:space="preserve">=</w:t>
      </w:r>
      <w:r>
        <w:rPr>
          <w:rStyle w:val="NormalTok"/>
        </w:rPr>
        <w:t xml:space="preserve"> api.claim(</w:t>
      </w:r>
      <w:r>
        <w:rPr>
          <w:rStyle w:val="StringTok"/>
        </w:rPr>
        <w:t xml:space="preserve">"acct_1"</w:t>
      </w:r>
      <w:r>
        <w:rPr>
          <w:rStyle w:val="NormalTok"/>
        </w:rPr>
        <w:t xml:space="preserve">, k2, </w:t>
      </w:r>
      <w:r>
        <w:rPr>
          <w:rStyle w:val="StringTok"/>
        </w:rPr>
        <w:t xml:space="preserve">"POST"</w:t>
      </w:r>
      <w:r>
        <w:rPr>
          <w:rStyle w:val="NormalTok"/>
        </w:rPr>
        <w:t xml:space="preserve">, </w:t>
      </w:r>
      <w:r>
        <w:rPr>
          <w:rStyle w:val="StringTok"/>
        </w:rPr>
        <w:t xml:space="preserve">"/v1/charges"</w:t>
      </w:r>
      <w:r>
        <w:rPr>
          <w:rStyle w:val="NormalTok"/>
        </w:rPr>
        <w:t xml:space="preserve">, body)</w:t>
      </w:r>
      <w:r>
        <w:br/>
      </w:r>
      <w:r>
        <w:rPr>
          <w:rStyle w:val="NormalTok"/>
        </w:rPr>
        <w:t xml:space="preserve">    b </w:t>
      </w:r>
      <w:r>
        <w:rPr>
          <w:rStyle w:val="OperatorTok"/>
        </w:rPr>
        <w:t xml:space="preserve">=</w:t>
      </w:r>
      <w:r>
        <w:rPr>
          <w:rStyle w:val="NormalTok"/>
        </w:rPr>
        <w:t xml:space="preserve"> api.claim(</w:t>
      </w:r>
      <w:r>
        <w:rPr>
          <w:rStyle w:val="StringTok"/>
        </w:rPr>
        <w:t xml:space="preserve">"acct_1"</w:t>
      </w:r>
      <w:r>
        <w:rPr>
          <w:rStyle w:val="NormalTok"/>
        </w:rPr>
        <w:t xml:space="preserve">, k2, </w:t>
      </w:r>
      <w:r>
        <w:rPr>
          <w:rStyle w:val="StringTok"/>
        </w:rPr>
        <w:t xml:space="preserve">"POST"</w:t>
      </w:r>
      <w:r>
        <w:rPr>
          <w:rStyle w:val="NormalTok"/>
        </w:rPr>
        <w:t xml:space="preserve">, </w:t>
      </w:r>
      <w:r>
        <w:rPr>
          <w:rStyle w:val="StringTok"/>
        </w:rPr>
        <w:t xml:space="preserve">"/v1/charges"</w:t>
      </w:r>
      <w:r>
        <w:rPr>
          <w:rStyle w:val="NormalTok"/>
        </w:rPr>
        <w:t xml:space="preserve">, body)</w:t>
      </w:r>
      <w:r>
        <w:br/>
      </w:r>
      <w:r>
        <w:rPr>
          <w:rStyle w:val="NormalTok"/>
        </w:rPr>
        <w:t xml:space="preserve">    </w:t>
      </w:r>
      <w:r>
        <w:rPr>
          <w:rStyle w:val="BuiltInTok"/>
        </w:rPr>
        <w:t xml:space="preserve">print</w:t>
      </w:r>
      <w:r>
        <w:rPr>
          <w:rStyle w:val="NormalTok"/>
        </w:rPr>
        <w:t xml:space="preserve">(</w:t>
      </w:r>
      <w:r>
        <w:rPr>
          <w:rStyle w:val="StringTok"/>
        </w:rPr>
        <w:t xml:space="preserve">"4. concurrent duplicate while first in progress:"</w:t>
      </w:r>
      <w:r>
        <w:rPr>
          <w:rStyle w:val="NormalTok"/>
        </w:rPr>
        <w:t xml:space="preserve">, b[</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w:t>
      </w:r>
      <w:r>
        <w:rPr>
          <w:rStyle w:val="ControlFlowTok"/>
        </w:rPr>
        <w:t xml:space="preserve">assert</w:t>
      </w:r>
      <w:r>
        <w:rPr>
          <w:rStyle w:val="NormalTok"/>
        </w:rPr>
        <w:t xml:space="preserve"> a[</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"proceed"</w:t>
      </w:r>
      <w:r>
        <w:rPr>
          <w:rStyle w:val="NormalTok"/>
        </w:rPr>
        <w:t xml:space="preserve"> </w:t>
      </w:r>
      <w:r>
        <w:rPr>
          <w:rStyle w:val="KeywordTok"/>
        </w:rPr>
        <w:t xml:space="preserve">and</w:t>
      </w:r>
      <w:r>
        <w:rPr>
          <w:rStyle w:val="NormalTok"/>
        </w:rPr>
        <w:t xml:space="preserve"> b[</w:t>
      </w:r>
      <w:r>
        <w:rPr>
          <w:rStyle w:val="DecValTok"/>
        </w:rPr>
        <w:t xml:space="preserve">1</w:t>
      </w:r>
      <w:r>
        <w:rPr>
          <w:rStyle w:val="NormalTok"/>
        </w:rPr>
        <w:t xml:space="preserve">][</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409</w:t>
      </w:r>
      <w:r>
        <w:br/>
      </w:r>
      <w:r>
        <w:br/>
      </w:r>
      <w:r>
        <w:rPr>
          <w:rStyle w:val="NormalTok"/>
        </w:rPr>
        <w:t xml:space="preserve">    clock.t </w:t>
      </w:r>
      <w:r>
        <w:rPr>
          <w:rStyle w:val="OperatorTok"/>
        </w:rPr>
        <w:t xml:space="preserve">+=</w:t>
      </w:r>
      <w:r>
        <w:rPr>
          <w:rStyle w:val="NormalTok"/>
        </w:rPr>
        <w:t xml:space="preserve"> </w:t>
      </w:r>
      <w:r>
        <w:rPr>
          <w:rStyle w:val="DecValTok"/>
        </w:rPr>
        <w:t xml:space="preserve">31</w:t>
      </w:r>
      <w:r>
        <w:rPr>
          <w:rStyle w:val="NormalTok"/>
        </w:rPr>
        <w:t xml:space="preserve">                                        </w:t>
      </w:r>
      <w:r>
        <w:rPr>
          <w:rStyle w:val="CommentTok"/>
        </w:rPr>
        <w:t xml:space="preserve"># first worker stalls past its lease</w:t>
      </w:r>
      <w:r>
        <w:br/>
      </w:r>
      <w:r>
        <w:rPr>
          <w:rStyle w:val="NormalTok"/>
        </w:rPr>
        <w:t xml:space="preserve">    c </w:t>
      </w:r>
      <w:r>
        <w:rPr>
          <w:rStyle w:val="OperatorTok"/>
        </w:rPr>
        <w:t xml:space="preserve">=</w:t>
      </w:r>
      <w:r>
        <w:rPr>
          <w:rStyle w:val="NormalTok"/>
        </w:rPr>
        <w:t xml:space="preserve"> api.claim(</w:t>
      </w:r>
      <w:r>
        <w:rPr>
          <w:rStyle w:val="StringTok"/>
        </w:rPr>
        <w:t xml:space="preserve">"acct_1"</w:t>
      </w:r>
      <w:r>
        <w:rPr>
          <w:rStyle w:val="NormalTok"/>
        </w:rPr>
        <w:t xml:space="preserve">, k2, </w:t>
      </w:r>
      <w:r>
        <w:rPr>
          <w:rStyle w:val="StringTok"/>
        </w:rPr>
        <w:t xml:space="preserve">"POST"</w:t>
      </w:r>
      <w:r>
        <w:rPr>
          <w:rStyle w:val="NormalTok"/>
        </w:rPr>
        <w:t xml:space="preserve">, </w:t>
      </w:r>
      <w:r>
        <w:rPr>
          <w:rStyle w:val="StringTok"/>
        </w:rPr>
        <w:t xml:space="preserve">"/v1/charges"</w:t>
      </w:r>
      <w:r>
        <w:rPr>
          <w:rStyle w:val="NormalTok"/>
        </w:rPr>
        <w:t xml:space="preserve">, body)</w:t>
      </w:r>
      <w:r>
        <w:br/>
      </w:r>
      <w:r>
        <w:rPr>
          <w:rStyle w:val="NormalTok"/>
        </w:rPr>
        <w:t xml:space="preserve">    api.execute(</w:t>
      </w:r>
      <w:r>
        <w:rPr>
          <w:rStyle w:val="StringTok"/>
        </w:rPr>
        <w:t xml:space="preserve">"acct_1"</w:t>
      </w:r>
      <w:r>
        <w:rPr>
          <w:rStyle w:val="NormalTok"/>
        </w:rPr>
        <w:t xml:space="preserve">, k2, c[</w:t>
      </w:r>
      <w:r>
        <w:rPr>
          <w:rStyle w:val="DecValTok"/>
        </w:rPr>
        <w:t xml:space="preserve">1</w:t>
      </w:r>
      <w:r>
        <w:rPr>
          <w:rStyle w:val="NormalTok"/>
        </w:rPr>
        <w:t xml:space="preserve">], create_charge, body)  </w:t>
      </w:r>
      <w:r>
        <w:rPr>
          <w:rStyle w:val="CommentTok"/>
        </w:rPr>
        <w:t xml:space="preserve"># the retry takes over and finishes</w:t>
      </w:r>
      <w:r>
        <w:br/>
      </w:r>
      <w:r>
        <w:rPr>
          <w:rStyle w:val="NormalTok"/>
        </w:rPr>
        <w:t xml:space="preserve">    </w:t>
      </w:r>
      <w:r>
        <w:rPr>
          <w:rStyle w:val="ControlFlowTok"/>
        </w:rPr>
        <w:t xml:space="preserve">try</w:t>
      </w:r>
      <w:r>
        <w:rPr>
          <w:rStyle w:val="NormalTok"/>
        </w:rPr>
        <w:t xml:space="preserve">:</w:t>
      </w:r>
      <w:r>
        <w:br/>
      </w:r>
      <w:r>
        <w:rPr>
          <w:rStyle w:val="NormalTok"/>
        </w:rPr>
        <w:t xml:space="preserve">        api.execute(</w:t>
      </w:r>
      <w:r>
        <w:rPr>
          <w:rStyle w:val="StringTok"/>
        </w:rPr>
        <w:t xml:space="preserve">"acct_1"</w:t>
      </w:r>
      <w:r>
        <w:rPr>
          <w:rStyle w:val="NormalTok"/>
        </w:rPr>
        <w:t xml:space="preserve">, k2, a[</w:t>
      </w:r>
      <w:r>
        <w:rPr>
          <w:rStyle w:val="DecValTok"/>
        </w:rPr>
        <w:t xml:space="preserve">1</w:t>
      </w:r>
      <w:r>
        <w:rPr>
          <w:rStyle w:val="NormalTok"/>
        </w:rPr>
        <w:t xml:space="preserve">], create_charge, body)  </w:t>
      </w:r>
      <w:r>
        <w:rPr>
          <w:rStyle w:val="CommentTok"/>
        </w:rPr>
        <w:t xml:space="preserve"># the stalled worker wakes up</w:t>
      </w:r>
      <w:r>
        <w:br/>
      </w:r>
      <w:r>
        <w:rPr>
          <w:rStyle w:val="NormalTok"/>
        </w:rPr>
        <w:t xml:space="preserve">    </w:t>
      </w:r>
      <w:r>
        <w:rPr>
          <w:rStyle w:val="ControlFlowTok"/>
        </w:rPr>
        <w:t xml:space="preserve">except</w:t>
      </w:r>
      <w:r>
        <w:rPr>
          <w:rStyle w:val="NormalTok"/>
        </w:rPr>
        <w:t xml:space="preserve"> LeaseLost:</w:t>
      </w:r>
      <w:r>
        <w:br/>
      </w:r>
      <w:r>
        <w:rPr>
          <w:rStyle w:val="NormalTok"/>
        </w:rPr>
        <w:t xml:space="preserve">        </w:t>
      </w:r>
      <w:r>
        <w:rPr>
          <w:rStyle w:val="BuiltInTok"/>
        </w:rPr>
        <w:t xml:space="preserve">print</w:t>
      </w:r>
      <w:r>
        <w:rPr>
          <w:rStyle w:val="NormalTok"/>
        </w:rPr>
        <w:t xml:space="preserve">(</w:t>
      </w:r>
      <w:r>
        <w:rPr>
          <w:rStyle w:val="StringTok"/>
        </w:rPr>
        <w:t xml:space="preserve">"5. stalled worker's late write rejected and rolled back"</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retry took over:"</w:t>
      </w:r>
      <w:r>
        <w:rPr>
          <w:rStyle w:val="NormalTok"/>
        </w:rPr>
        <w:t xml:space="preserve">, c[</w:t>
      </w:r>
      <w:r>
        <w:rPr>
          <w:rStyle w:val="DecValTok"/>
        </w:rPr>
        <w:t xml:space="preserve">0</w:t>
      </w:r>
      <w:r>
        <w:rPr>
          <w:rStyle w:val="NormalTok"/>
        </w:rPr>
        <w:t xml:space="preserve">], </w:t>
      </w:r>
      <w:r>
        <w:rPr>
          <w:rStyle w:val="StringTok"/>
        </w:rPr>
        <w:t xml:space="preserve">"| charges in DB:"</w:t>
      </w:r>
      <w:r>
        <w:rPr>
          <w:rStyle w:val="NormalTok"/>
        </w:rPr>
        <w:t xml:space="preserve">, charges())</w:t>
      </w:r>
      <w:r>
        <w:br/>
      </w:r>
      <w:r>
        <w:rPr>
          <w:rStyle w:val="NormalTok"/>
        </w:rPr>
        <w:t xml:space="preserve">    </w:t>
      </w:r>
      <w:r>
        <w:rPr>
          <w:rStyle w:val="ControlFlowTok"/>
        </w:rPr>
        <w:t xml:space="preserve">assert</w:t>
      </w:r>
      <w:r>
        <w:rPr>
          <w:rStyle w:val="NormalTok"/>
        </w:rPr>
        <w:t xml:space="preserve"> c[</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"proceed"</w:t>
      </w:r>
      <w:r>
        <w:rPr>
          <w:rStyle w:val="NormalTok"/>
        </w:rPr>
        <w:t xml:space="preserve"> </w:t>
      </w:r>
      <w:r>
        <w:rPr>
          <w:rStyle w:val="KeywordTok"/>
        </w:rPr>
        <w:t xml:space="preserve">and</w:t>
      </w:r>
      <w:r>
        <w:rPr>
          <w:rStyle w:val="NormalTok"/>
        </w:rPr>
        <w:t xml:space="preserve"> charges()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one charge per logical operation</w:t>
      </w:r>
      <w:r>
        <w:br/>
      </w:r>
      <w:r>
        <w:br/>
      </w:r>
      <w:r>
        <w:rPr>
          <w:rStyle w:val="NormalTok"/>
        </w:rPr>
        <w:t xml:space="preserve">    clock.t </w:t>
      </w:r>
      <w:r>
        <w:rPr>
          <w:rStyle w:val="OperatorTok"/>
        </w:rPr>
        <w:t xml:space="preserve">+=</w:t>
      </w:r>
      <w:r>
        <w:rPr>
          <w:rStyle w:val="NormalTok"/>
        </w:rPr>
        <w:t xml:space="preserve"> </w:t>
      </w:r>
      <w:r>
        <w:rPr>
          <w:rStyle w:val="DecValTok"/>
        </w:rPr>
        <w:t xml:space="preserve">25</w:t>
      </w:r>
      <w:r>
        <w:rPr>
          <w:rStyle w:val="NormalTok"/>
        </w:rPr>
        <w:t xml:space="preserve"> </w:t>
      </w:r>
      <w:r>
        <w:rPr>
          <w:rStyle w:val="OperatorTok"/>
        </w:rPr>
        <w:t xml:space="preserve">*</w:t>
      </w:r>
      <w:r>
        <w:rPr>
          <w:rStyle w:val="NormalTok"/>
        </w:rPr>
        <w:t xml:space="preserve"> </w:t>
      </w:r>
      <w:r>
        <w:rPr>
          <w:rStyle w:val="DecValTok"/>
        </w:rPr>
        <w:t xml:space="preserve">3600</w:t>
      </w:r>
      <w:r>
        <w:rPr>
          <w:rStyle w:val="NormalTok"/>
        </w:rPr>
        <w:t xml:space="preserve">                                 </w:t>
      </w:r>
      <w:r>
        <w:rPr>
          <w:rStyle w:val="CommentTok"/>
        </w:rPr>
        <w:t xml:space="preserve"># beyond the 24 h retention window</w:t>
      </w:r>
      <w:r>
        <w:br/>
      </w:r>
      <w:r>
        <w:rPr>
          <w:rStyle w:val="NormalTok"/>
        </w:rPr>
        <w:t xml:space="preserve">    late </w:t>
      </w:r>
      <w:r>
        <w:rPr>
          <w:rStyle w:val="OperatorTok"/>
        </w:rPr>
        <w:t xml:space="preserve">=</w:t>
      </w:r>
      <w:r>
        <w:rPr>
          <w:rStyle w:val="NormalTok"/>
        </w:rPr>
        <w:t xml:space="preserve"> api.handle(</w:t>
      </w:r>
      <w:r>
        <w:rPr>
          <w:rStyle w:val="StringTok"/>
        </w:rPr>
        <w:t xml:space="preserve">"acct_1"</w:t>
      </w:r>
      <w:r>
        <w:rPr>
          <w:rStyle w:val="NormalTok"/>
        </w:rPr>
        <w:t xml:space="preserve">, key, </w:t>
      </w:r>
      <w:r>
        <w:rPr>
          <w:rStyle w:val="StringTok"/>
        </w:rPr>
        <w:t xml:space="preserve">"POST"</w:t>
      </w:r>
      <w:r>
        <w:rPr>
          <w:rStyle w:val="NormalTok"/>
        </w:rPr>
        <w:t xml:space="preserve">, </w:t>
      </w:r>
      <w:r>
        <w:rPr>
          <w:rStyle w:val="StringTok"/>
        </w:rPr>
        <w:t xml:space="preserve">"/v1/charges"</w:t>
      </w:r>
      <w:r>
        <w:rPr>
          <w:rStyle w:val="NormalTok"/>
        </w:rPr>
        <w:t xml:space="preserve">, body, create_charge)</w:t>
      </w:r>
      <w:r>
        <w:br/>
      </w:r>
      <w:r>
        <w:rPr>
          <w:rStyle w:val="NormalTok"/>
        </w:rPr>
        <w:t xml:space="preserve">    </w:t>
      </w:r>
      <w:r>
        <w:rPr>
          <w:rStyle w:val="BuiltInTok"/>
        </w:rPr>
        <w:t xml:space="preserve">print</w:t>
      </w:r>
      <w:r>
        <w:rPr>
          <w:rStyle w:val="NormalTok"/>
        </w:rPr>
        <w:t xml:space="preserve">(</w:t>
      </w:r>
      <w:r>
        <w:rPr>
          <w:rStyle w:val="StringTok"/>
        </w:rPr>
        <w:t xml:space="preserve">"6. same key after TTL expired:"</w:t>
      </w:r>
      <w:r>
        <w:rPr>
          <w:rStyle w:val="NormalTok"/>
        </w:rPr>
        <w:t xml:space="preserve">, late[</w:t>
      </w:r>
      <w:r>
        <w:rPr>
          <w:rStyle w:val="DecValTok"/>
        </w:rPr>
        <w:t xml:space="preserve">0</w:t>
      </w:r>
      <w:r>
        <w:rPr>
          <w:rStyle w:val="NormalTok"/>
        </w:rPr>
        <w:t xml:space="preserve">], </w:t>
      </w:r>
      <w:r>
        <w:rPr>
          <w:rStyle w:val="StringTok"/>
        </w:rPr>
        <w:t xml:space="preserve">"| charges in DB:"</w:t>
      </w:r>
      <w:r>
        <w:rPr>
          <w:rStyle w:val="NormalTok"/>
        </w:rPr>
        <w:t xml:space="preserve">, charges())</w:t>
      </w:r>
      <w:r>
        <w:br/>
      </w:r>
      <w:r>
        <w:rPr>
          <w:rStyle w:val="NormalTok"/>
        </w:rPr>
        <w:t xml:space="preserve">    </w:t>
      </w:r>
      <w:r>
        <w:rPr>
          <w:rStyle w:val="ControlFlowTok"/>
        </w:rPr>
        <w:t xml:space="preserve">assert</w:t>
      </w:r>
      <w:r>
        <w:rPr>
          <w:rStyle w:val="NormalTok"/>
        </w:rPr>
        <w:t xml:space="preserve"> late[</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201</w:t>
      </w:r>
      <w:r>
        <w:rPr>
          <w:rStyle w:val="NormalTok"/>
        </w:rPr>
        <w:t xml:space="preserve"> </w:t>
      </w:r>
      <w:r>
        <w:rPr>
          <w:rStyle w:val="KeywordTok"/>
        </w:rPr>
        <w:t xml:space="preserve">and</w:t>
      </w:r>
      <w:r>
        <w:rPr>
          <w:rStyle w:val="NormalTok"/>
        </w:rPr>
        <w:t xml:space="preserve"> charges() </w:t>
      </w:r>
      <w:r>
        <w:rPr>
          <w:rStyle w:val="OperatorTok"/>
        </w:rPr>
        <w:t xml:space="preserve">==</w:t>
      </w:r>
      <w:r>
        <w:rPr>
          <w:rStyle w:val="NormalTok"/>
        </w:rPr>
        <w:t xml:space="preserve"> </w:t>
      </w:r>
      <w:r>
        <w:rPr>
          <w:rStyle w:val="DecValTok"/>
        </w:rPr>
        <w:t xml:space="preserve">3</w:t>
      </w:r>
      <w:r>
        <w:rPr>
          <w:rStyle w:val="NormalTok"/>
        </w:rPr>
        <w:t xml:space="preserve">             </w:t>
      </w:r>
      <w:r>
        <w:rPr>
          <w:rStyle w:val="CommentTok"/>
        </w:rPr>
        <w:t xml:space="preserve"># the duplicate is no longer caught</w:t>
      </w:r>
    </w:p>
    <w:p>
      <w:pPr>
        <w:pStyle w:val="FirstParagraph"/>
      </w:pPr>
      <w:r>
        <w:t xml:space="preserve">Output (charge IDs are random):</w:t>
      </w:r>
    </w:p>
    <w:p>
      <w:pPr>
        <w:pStyle w:val="SourceCode"/>
      </w:pPr>
      <w:r>
        <w:rPr>
          <w:rStyle w:val="VerbatimChar"/>
        </w:rPr>
        <w:t xml:space="preserve">1. first call: (201, {'id': 'ch_56b3f43ff904', 'amount': 2000, 'status': 'succeeded'})</w:t>
      </w:r>
      <w:r>
        <w:br/>
      </w:r>
      <w:r>
        <w:rPr>
          <w:rStyle w:val="VerbatimChar"/>
        </w:rPr>
        <w:t xml:space="preserve">2. retry     : (201, {'id': 'ch_56b3f43ff904', 'amount': 2000, 'status': 'succeeded'}) | charges in DB: 1</w:t>
      </w:r>
      <w:r>
        <w:br/>
      </w:r>
      <w:r>
        <w:rPr>
          <w:rStyle w:val="VerbatimChar"/>
        </w:rPr>
        <w:t xml:space="preserve">3. same key, different body: 422</w:t>
      </w:r>
      <w:r>
        <w:br/>
      </w:r>
      <w:r>
        <w:rPr>
          <w:rStyle w:val="VerbatimChar"/>
        </w:rPr>
        <w:t xml:space="preserve">4. concurrent duplicate while first in progress: 409</w:t>
      </w:r>
      <w:r>
        <w:br/>
      </w:r>
      <w:r>
        <w:rPr>
          <w:rStyle w:val="VerbatimChar"/>
        </w:rPr>
        <w:t xml:space="preserve">5. stalled worker's late write rejected and rolled back</w:t>
      </w:r>
      <w:r>
        <w:br/>
      </w:r>
      <w:r>
        <w:rPr>
          <w:rStyle w:val="VerbatimChar"/>
        </w:rPr>
        <w:t xml:space="preserve">   retry took over: proceed | charges in DB: 2</w:t>
      </w:r>
      <w:r>
        <w:br/>
      </w:r>
      <w:r>
        <w:rPr>
          <w:rStyle w:val="VerbatimChar"/>
        </w:rPr>
        <w:t xml:space="preserve">6. same key after TTL expired: 201 | charges in DB: 3</w:t>
      </w:r>
    </w:p>
    <w:p>
      <w:pPr>
        <w:pStyle w:val="FirstParagraph"/>
      </w:pPr>
      <w:r>
        <w:t xml:space="preserve">What to notice:</w:t>
      </w:r>
    </w:p>
    <w:p>
      <w:pPr>
        <w:numPr>
          <w:ilvl w:val="0"/>
          <w:numId w:val="1741"/>
        </w:numPr>
        <w:pStyle w:val="Compact"/>
      </w:pPr>
      <w:r>
        <w:t xml:space="preserve">The uniqueness constraint, not application logic, decides who executes:</w:t>
      </w:r>
      <w:r>
        <w:t xml:space="preserve"> </w:t>
      </w:r>
      <w:r>
        <w:rPr>
          <w:rStyle w:val="VerbatimChar"/>
        </w:rPr>
        <w:t xml:space="preserve">INSERT ... ON CONFLICT DO NOTHING</w:t>
      </w:r>
      <w:r>
        <w:t xml:space="preserve"> </w:t>
      </w:r>
      <w:r>
        <w:t xml:space="preserve">(SQLite 3.24+, PostgreSQL 9.5+) returns a row count of 1 for exactly one claimant.</w:t>
      </w:r>
    </w:p>
    <w:p>
      <w:pPr>
        <w:numPr>
          <w:ilvl w:val="0"/>
          <w:numId w:val="1741"/>
        </w:numPr>
        <w:pStyle w:val="Compact"/>
      </w:pPr>
      <w:r>
        <w:t xml:space="preserve">Canonical JSON (</w:t>
      </w:r>
      <w:r>
        <w:rPr>
          <w:rStyle w:val="VerbatimChar"/>
        </w:rPr>
        <w:t xml:space="preserve">sort_keys=True</w:t>
      </w:r>
      <w:r>
        <w:t xml:space="preserve">) makes</w:t>
      </w:r>
      <w:r>
        <w:t xml:space="preserve"> </w:t>
      </w:r>
      <w:r>
        <w:rPr>
          <w:rStyle w:val="VerbatimChar"/>
        </w:rPr>
        <w:t xml:space="preserve">{"a":1,"b":2}</w:t>
      </w:r>
      <w:r>
        <w:t xml:space="preserve"> </w:t>
      </w:r>
      <w:r>
        <w:t xml:space="preserve">and</w:t>
      </w:r>
      <w:r>
        <w:t xml:space="preserve"> </w:t>
      </w:r>
      <w:r>
        <w:rPr>
          <w:rStyle w:val="VerbatimChar"/>
        </w:rPr>
        <w:t xml:space="preserve">{"b":2,"a":1}</w:t>
      </w:r>
      <w:r>
        <w:t xml:space="preserve"> </w:t>
      </w:r>
      <w:r>
        <w:t xml:space="preserve">the same fingerprint; whitespace and key order must not turn a retry into a</w:t>
      </w:r>
      <w:r>
        <w:t xml:space="preserve"> </w:t>
      </w:r>
      <w:r>
        <w:t xml:space="preserve">“</w:t>
      </w:r>
      <w:r>
        <w:t xml:space="preserve">different request</w:t>
      </w:r>
      <w:r>
        <w:t xml:space="preserve">”</w:t>
      </w:r>
      <w:r>
        <w:t xml:space="preserve">.</w:t>
      </w:r>
    </w:p>
    <w:p>
      <w:pPr>
        <w:numPr>
          <w:ilvl w:val="0"/>
          <w:numId w:val="1741"/>
        </w:numPr>
        <w:pStyle w:val="Compact"/>
      </w:pPr>
      <w:r>
        <w:t xml:space="preserve">Case 5 is the subtle one: without the</w:t>
      </w:r>
      <w:r>
        <w:t xml:space="preserve"> </w:t>
      </w:r>
      <w:r>
        <w:rPr>
          <w:rStyle w:val="VerbatimChar"/>
        </w:rPr>
        <w:t xml:space="preserve">locked_until=?</w:t>
      </w:r>
      <w:r>
        <w:t xml:space="preserve"> </w:t>
      </w:r>
      <w:r>
        <w:t xml:space="preserve">fencing condition, the stalled worker’s late commit would have created a second charge.</w:t>
      </w:r>
    </w:p>
    <w:p>
      <w:pPr>
        <w:numPr>
          <w:ilvl w:val="0"/>
          <w:numId w:val="1741"/>
        </w:numPr>
        <w:pStyle w:val="Compact"/>
      </w:pPr>
      <w:r>
        <w:t xml:space="preserve">Case 6 shows the retention trade-off: after the TTL the key is forgotten and a very late retry executes again.</w:t>
      </w:r>
    </w:p>
    <w:bookmarkEnd w:id="2542"/>
    <w:bookmarkEnd w:id="2543"/>
    <w:bookmarkStart w:id="2544" w:name="Xcb8b38ea3477d56daede0f10aba8e75d987e7b6"/>
    <w:p>
      <w:pPr>
        <w:pStyle w:val="Heading3"/>
      </w:pPr>
      <w:r>
        <w:t xml:space="preserve">22.15.4 External side effects, retention and alternatives</w:t>
      </w:r>
    </w:p>
    <w:p>
      <w:pPr>
        <w:pStyle w:val="FirstParagraph"/>
      </w:pPr>
      <w:r>
        <w:rPr>
          <w:bCs/>
          <w:b/>
        </w:rPr>
        <w:t xml:space="preserve">Side effects outside your database.</w:t>
      </w:r>
      <w:r>
        <w:t xml:space="preserve"> </w:t>
      </w:r>
      <w:r>
        <w:t xml:space="preserve">The atomic commit in case 5 works only when the effect lives in the same database as the key. A call to a payment provider, an email gateway or another service cannot join your transaction. The remedies, in order of preference: pass an idempotency key</w:t>
      </w:r>
      <w:r>
        <w:t xml:space="preserve"> </w:t>
      </w:r>
      <w:r>
        <w:rPr>
          <w:iCs/>
          <w:i/>
        </w:rPr>
        <w:t xml:space="preserve">downstream</w:t>
      </w:r>
      <w:r>
        <w:t xml:space="preserve"> </w:t>
      </w:r>
      <w:r>
        <w:t xml:space="preserve">(derived from yours, for example</w:t>
      </w:r>
      <w:r>
        <w:t xml:space="preserve"> </w:t>
      </w:r>
      <w:r>
        <w:rPr>
          <w:rStyle w:val="VerbatimChar"/>
        </w:rPr>
        <w:t xml:space="preserve">k1:charge</w:t>
      </w:r>
      <w:r>
        <w:t xml:space="preserve">), so the provider deduplicates; split the request into</w:t>
      </w:r>
      <w:r>
        <w:t xml:space="preserve"> </w:t>
      </w:r>
      <w:r>
        <w:rPr>
          <w:bCs/>
          <w:b/>
        </w:rPr>
        <w:t xml:space="preserve">atomic phases</w:t>
      </w:r>
      <w:r>
        <w:t xml:space="preserve"> </w:t>
      </w:r>
      <w:r>
        <w:t xml:space="preserve">with recorded</w:t>
      </w:r>
      <w:r>
        <w:t xml:space="preserve"> </w:t>
      </w:r>
      <w:r>
        <w:rPr>
          <w:bCs/>
          <w:b/>
        </w:rPr>
        <w:t xml:space="preserve">recovery points</w:t>
      </w:r>
      <w:r>
        <w:t xml:space="preserve">, so a retry resumes after the last completed phase instead of starting over, as described in Leach’s PostgreSQL implementation [Leach 2017b]; or, for effects that cannot be made idempotent, record intent first and reconcile later (the transactional outbox, §32.5).</w:t>
      </w:r>
    </w:p>
    <w:p>
      <w:pPr>
        <w:pStyle w:val="CalloutFormula"/>
      </w:pPr>
      <w:r>
        <w:rPr>
          <w:bCs/>
          <w:b/>
        </w:rPr>
        <w:t xml:space="preserve">FORMULA</w:t>
      </w:r>
    </w:p>
    <w:p>
      <w:pPr>
        <w:pStyle w:val="CalloutFormula"/>
      </w:pPr>
      <w:r>
        <w:rPr>
          <w:bCs/>
          <w:b/>
        </w:rPr>
        <w:t xml:space="preserve">Idempotency-key storage</w:t>
      </w:r>
    </w:p>
    <w:p>
      <w:pPr>
        <w:pStyle w:val="CalloutFormula"/>
      </w:pPr>
      <m:oMathPara>
        <m:oMathParaPr>
          <m:jc m:val="center"/>
        </m:oMathParaPr>
        <m:oMath>
          <m:r>
            <m:t>S</m:t>
          </m:r>
          <m:r>
            <m:rPr>
              <m:sty m:val="p"/>
            </m:rPr>
            <m:t>=</m:t>
          </m:r>
          <m:sSub>
            <m:e>
              <m:r>
                <m:t>λ</m:t>
              </m:r>
            </m:e>
            <m:sub>
              <m:r>
                <m:t>w</m:t>
              </m:r>
            </m:sub>
          </m:sSub>
          <m:r>
            <m:rPr>
              <m:sty m:val="p"/>
            </m:rPr>
            <m:t>×</m:t>
          </m:r>
          <m:sSub>
            <m:e>
              <m:r>
                <m:t>T</m:t>
              </m:r>
            </m:e>
            <m:sub>
              <m:r>
                <m:rPr>
                  <m:nor/>
                  <m:sty m:val="p"/>
                </m:rPr>
                <m:t>ttl</m:t>
              </m:r>
            </m:sub>
          </m:sSub>
          <m:r>
            <m:rPr>
              <m:sty m:val="p"/>
            </m:rPr>
            <m:t>×</m:t>
          </m:r>
          <m:sSub>
            <m:e>
              <m:r>
                <m:t>s</m:t>
              </m:r>
            </m:e>
            <m:sub>
              <m:r>
                <m:t>r</m:t>
              </m:r>
            </m:sub>
          </m:sSub>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S</m:t>
              </m:r>
            </m:oMath>
          </w:p>
        </w:tc>
        <w:tc>
          <w:tcPr/>
          <w:p>
            <w:pPr>
              <w:pStyle w:val="Compact"/>
              <w:jc w:val="left"/>
            </w:pPr>
            <w:r>
              <w:t xml:space="preserve">Steady-state storage for key records</w:t>
            </w:r>
          </w:p>
        </w:tc>
        <w:tc>
          <w:tcPr/>
          <w:p>
            <w:pPr>
              <w:pStyle w:val="Compact"/>
              <w:jc w:val="left"/>
            </w:pPr>
            <w:r>
              <w:t xml:space="preserve">bytes</w:t>
            </w:r>
          </w:p>
        </w:tc>
      </w:tr>
      <w:tr>
        <w:tc>
          <w:tcPr/>
          <w:p>
            <w:pPr>
              <w:pStyle w:val="Compact"/>
              <w:jc w:val="left"/>
            </w:pPr>
            <m:oMath>
              <m:sSub>
                <m:e>
                  <m:r>
                    <m:t>λ</m:t>
                  </m:r>
                </m:e>
                <m:sub>
                  <m:r>
                    <m:t>w</m:t>
                  </m:r>
                </m:sub>
              </m:sSub>
            </m:oMath>
          </w:p>
        </w:tc>
        <w:tc>
          <w:tcPr/>
          <w:p>
            <w:pPr>
              <w:pStyle w:val="Compact"/>
              <w:jc w:val="left"/>
            </w:pPr>
            <w:r>
              <w:t xml:space="preserve">Rate of keyed (non-idempotent) requests</w:t>
            </w:r>
          </w:p>
        </w:tc>
        <w:tc>
          <w:tcPr/>
          <w:p>
            <w:pPr>
              <w:pStyle w:val="Compact"/>
              <w:jc w:val="left"/>
            </w:pPr>
            <w:r>
              <w:t xml:space="preserve">requests/s</w:t>
            </w:r>
          </w:p>
        </w:tc>
      </w:tr>
      <w:tr>
        <w:tc>
          <w:tcPr/>
          <w:p>
            <w:pPr>
              <w:pStyle w:val="Compact"/>
              <w:jc w:val="left"/>
            </w:pPr>
            <m:oMath>
              <m:sSub>
                <m:e>
                  <m:r>
                    <m:t>T</m:t>
                  </m:r>
                </m:e>
                <m:sub>
                  <m:r>
                    <m:rPr>
                      <m:nor/>
                      <m:sty m:val="p"/>
                    </m:rPr>
                    <m:t>ttl</m:t>
                  </m:r>
                </m:sub>
              </m:sSub>
            </m:oMath>
          </w:p>
        </w:tc>
        <w:tc>
          <w:tcPr/>
          <w:p>
            <w:pPr>
              <w:pStyle w:val="Compact"/>
              <w:jc w:val="left"/>
            </w:pPr>
            <w:r>
              <w:t xml:space="preserve">Retention window</w:t>
            </w:r>
          </w:p>
        </w:tc>
        <w:tc>
          <w:tcPr/>
          <w:p>
            <w:pPr>
              <w:pStyle w:val="Compact"/>
              <w:jc w:val="left"/>
            </w:pPr>
            <w:r>
              <w:t xml:space="preserve">s</w:t>
            </w:r>
          </w:p>
        </w:tc>
      </w:tr>
      <w:tr>
        <w:tc>
          <w:tcPr/>
          <w:p>
            <w:pPr>
              <w:pStyle w:val="Compact"/>
              <w:jc w:val="left"/>
            </w:pPr>
            <m:oMath>
              <m:sSub>
                <m:e>
                  <m:r>
                    <m:t>s</m:t>
                  </m:r>
                </m:e>
                <m:sub>
                  <m:r>
                    <m:t>r</m:t>
                  </m:r>
                </m:sub>
              </m:sSub>
            </m:oMath>
          </w:p>
        </w:tc>
        <w:tc>
          <w:tcPr/>
          <w:p>
            <w:pPr>
              <w:pStyle w:val="Compact"/>
              <w:jc w:val="left"/>
            </w:pPr>
            <w:r>
              <w:t xml:space="preserve">Average record size (key, fingerprint, stored response)</w:t>
            </w:r>
          </w:p>
        </w:tc>
        <w:tc>
          <w:tcPr/>
          <w:p>
            <w:pPr>
              <w:pStyle w:val="Compact"/>
              <w:jc w:val="left"/>
            </w:pPr>
            <w:r>
              <w:t xml:space="preserve">bytes</w:t>
            </w:r>
          </w:p>
        </w:tc>
      </w:tr>
    </w:tbl>
    <w:p>
      <w:pPr>
        <w:pStyle w:val="CalloutExample"/>
      </w:pPr>
      <w:r>
        <w:rPr>
          <w:bCs/>
          <w:b/>
        </w:rPr>
        <w:t xml:space="preserve">WORKED EXAMPLE</w:t>
      </w:r>
    </w:p>
    <w:p>
      <w:pPr>
        <w:pStyle w:val="CalloutExample"/>
      </w:pPr>
      <w:r>
        <w:rPr>
          <w:bCs/>
          <w:b/>
        </w:rPr>
        <w:t xml:space="preserve">Worked example — PhotoShare’s write APIs.</w:t>
      </w:r>
      <w:r>
        <w:t xml:space="preserve"> </w:t>
      </w:r>
      <w:r>
        <w:t xml:space="preserve">2,000 keyed</w:t>
      </w:r>
      <w:r>
        <w:t xml:space="preserve"> </w:t>
      </w:r>
      <w:r>
        <w:rPr>
          <w:rStyle w:val="VerbatimChar"/>
        </w:rPr>
        <w:t xml:space="preserve">POST</w:t>
      </w:r>
      <w:r>
        <w:t xml:space="preserve"> </w:t>
      </w:r>
      <w:r>
        <w:t xml:space="preserve">requests per second at peak (use peak as a conservative average), 24 h retention, records of about 1 KB (a 36-byte key, a 32-byte fingerprint, a stored JSON response of most of the rest).</w:t>
      </w:r>
    </w:p>
    <w:p>
      <w:pPr>
        <w:numPr>
          <w:ilvl w:val="0"/>
          <w:numId w:val="1742"/>
        </w:numPr>
        <w:pStyle w:val="Compact"/>
      </w:pPr>
      <w:r>
        <w:t xml:space="preserve">Records retained:</w:t>
      </w:r>
      <w:r>
        <w:t xml:space="preserve"> </w:t>
      </w:r>
      <m:oMath>
        <m:r>
          <m:t>2</m:t>
        </m:r>
        <m:r>
          <m:rPr>
            <m:sty m:val="p"/>
          </m:rPr>
          <m:t>,</m:t>
        </m:r>
        <m:r>
          <m:t>000</m:t>
        </m:r>
        <m:r>
          <m:rPr>
            <m:sty m:val="p"/>
          </m:rPr>
          <m:t>×</m:t>
        </m:r>
        <m:r>
          <m:t>86</m:t>
        </m:r>
        <m:r>
          <m:rPr>
            <m:sty m:val="p"/>
          </m:rPr>
          <m:t>,</m:t>
        </m:r>
        <m:r>
          <m:t>400</m:t>
        </m:r>
        <m:r>
          <m:rPr>
            <m:sty m:val="p"/>
          </m:rPr>
          <m:t>=</m:t>
        </m:r>
        <m:r>
          <m:t>172.8</m:t>
        </m:r>
      </m:oMath>
      <w:r>
        <w:t xml:space="preserve"> </w:t>
      </w:r>
      <w:r>
        <w:t xml:space="preserve">million.</w:t>
      </w:r>
    </w:p>
    <w:p>
      <w:pPr>
        <w:numPr>
          <w:ilvl w:val="0"/>
          <w:numId w:val="1742"/>
        </w:numPr>
        <w:pStyle w:val="Compact"/>
      </w:pPr>
      <w:r>
        <w:t xml:space="preserve">Storage:</w:t>
      </w:r>
      <w:r>
        <w:t xml:space="preserve"> </w:t>
      </w:r>
      <m:oMath>
        <m:r>
          <m:t>172.8</m:t>
        </m:r>
        <m:r>
          <m:rPr>
            <m:sty m:val="p"/>
          </m:rPr>
          <m:t>×</m:t>
        </m:r>
        <m:sSup>
          <m:e>
            <m:r>
              <m:t>10</m:t>
            </m:r>
          </m:e>
          <m:sup>
            <m:r>
              <m:t>6</m:t>
            </m:r>
          </m:sup>
        </m:sSup>
        <m:r>
          <m:rPr>
            <m:sty m:val="p"/>
          </m:rPr>
          <m:t>×</m:t>
        </m:r>
        <m:r>
          <m:t>1</m:t>
        </m:r>
        <m:r>
          <m:rPr>
            <m:sty m:val="p"/>
          </m:rPr>
          <m:t>,</m:t>
        </m:r>
        <m:r>
          <m:t>000</m:t>
        </m:r>
      </m:oMath>
      <w:r>
        <w:t xml:space="preserve"> </w:t>
      </w:r>
      <w:r>
        <w:t xml:space="preserve">bytes</w:t>
      </w:r>
      <w:r>
        <w:t xml:space="preserve"> </w:t>
      </w:r>
      <m:oMath>
        <m:r>
          <m:rPr>
            <m:sty m:val="p"/>
          </m:rPr>
          <m:t>=</m:t>
        </m:r>
        <m:r>
          <m:t>172.8</m:t>
        </m:r>
      </m:oMath>
      <w:r>
        <w:t xml:space="preserve"> </w:t>
      </w:r>
      <w:r>
        <w:t xml:space="preserve">GB.</w:t>
      </w:r>
    </w:p>
    <w:p>
      <w:pPr>
        <w:numPr>
          <w:ilvl w:val="0"/>
          <w:numId w:val="1742"/>
        </w:numPr>
        <w:pStyle w:val="Compact"/>
      </w:pPr>
      <w:r>
        <w:t xml:space="preserve">Storing only the response’s status and resource ID (about 200 bytes per record) and re-reading the resource on replay cuts this to 34.6 GB.</w:t>
      </w:r>
    </w:p>
    <w:p>
      <w:pPr>
        <w:pStyle w:val="CalloutExample"/>
      </w:pPr>
      <w:r>
        <w:rPr>
          <w:bCs/>
          <w:b/>
        </w:rPr>
        <w:t xml:space="preserve">Interpretation.</w:t>
      </w:r>
      <w:r>
        <w:t xml:space="preserve"> </w:t>
      </w:r>
      <w:r>
        <w:t xml:space="preserve">Retention is a capacity decision.</w:t>
      </w:r>
      <w:r>
        <w:t xml:space="preserve"> </w:t>
      </w:r>
      <w:r>
        <w:rPr>
          <w:bCs/>
          <w:b/>
        </w:rPr>
        <w:t xml:space="preserve">Engineering implication.</w:t>
      </w:r>
      <w:r>
        <w:t xml:space="preserve"> </w:t>
      </w:r>
      <w:r>
        <w:t xml:space="preserve">Make</w:t>
      </w:r>
      <w:r>
        <w:t xml:space="preserve"> </w:t>
      </w:r>
      <m:oMath>
        <m:sSub>
          <m:e>
            <m:r>
              <m:t>T</m:t>
            </m:r>
          </m:e>
          <m:sub>
            <m:r>
              <m:rPr>
                <m:nor/>
                <m:sty m:val="p"/>
              </m:rPr>
              <m:t>ttl</m:t>
            </m:r>
          </m:sub>
        </m:sSub>
      </m:oMath>
      <w:r>
        <w:t xml:space="preserve"> </w:t>
      </w:r>
      <w:r>
        <w:t xml:space="preserve">exceed the longest retry horizon (including offline mobile queues), partition by time so expiry is a cheap partition drop, and document the window.</w:t>
      </w:r>
    </w:p>
    <w:p>
      <w:pPr>
        <w:pStyle w:val="CalloutIndustry"/>
      </w:pPr>
      <w:r>
        <w:rPr>
          <w:bCs/>
          <w:b/>
        </w:rPr>
        <w:t xml:space="preserve">INDUSTRY EXAMPLE</w:t>
      </w:r>
    </w:p>
    <w:p>
      <w:pPr>
        <w:pStyle w:val="CalloutIndustry"/>
      </w:pPr>
      <w:r>
        <w:rPr>
          <w:bCs/>
          <w:b/>
        </w:rPr>
        <w:t xml:space="preserve">Stripe idempotency keys.</w:t>
      </w:r>
      <w:r>
        <w:t xml:space="preserve"> </w:t>
      </w:r>
      <w:r>
        <w:t xml:space="preserve">Stripe’s documentation (as of 2026) describes keys of up to 255 characters, recommends V4 UUIDs, stores the status code and body of the first request for a key</w:t>
      </w:r>
      <w:r>
        <w:t xml:space="preserve"> </w:t>
      </w:r>
      <w:r>
        <w:rPr>
          <w:iCs/>
          <w:i/>
        </w:rPr>
        <w:t xml:space="preserve">whether it succeeded or failed</w:t>
      </w:r>
      <w:r>
        <w:t xml:space="preserve"> </w:t>
      </w:r>
      <w:r>
        <w:t xml:space="preserve">(including 500 errors) and returns them for retries, compares parameters and returns an error if a retry’s parameters differ, and allows keys to be removed after they are at least 24 hours old. Leach’s 2017 engineering post explains the motivation: networks fail in ambiguous ways, so clients must be able to retry any mutating request safely, with backoff and jitter [Stripe Docs: idempotent requests; Leach 2017].</w:t>
      </w:r>
      <w:r>
        <w:t xml:space="preserve"> </w:t>
      </w:r>
      <w:r>
        <w:rPr>
          <w:iCs/>
          <w:i/>
        </w:rPr>
        <w:t xml:space="preserve">Evidence: Primary</w:t>
      </w:r>
      <w:r>
        <w:t xml:space="preserve"> </w:t>
      </w:r>
      <w:r>
        <w:t xml:space="preserve">— [Stripe Docs: idempotent requests; Leach 2017]</w:t>
      </w:r>
    </w:p>
    <w:p>
      <w:pPr>
        <w:pStyle w:val="CalloutIndustry"/>
      </w:pPr>
      <w:r>
        <w:rPr>
          <w:bCs/>
          <w:b/>
        </w:rPr>
        <w:t xml:space="preserve">INDUSTRY EXAMPLE</w:t>
      </w:r>
    </w:p>
    <w:p>
      <w:pPr>
        <w:pStyle w:val="CalloutIndustry"/>
      </w:pPr>
      <w:r>
        <w:rPr>
          <w:bCs/>
          <w:b/>
        </w:rPr>
        <w:t xml:space="preserve">Amazon EC2 client tokens.</w:t>
      </w:r>
      <w:r>
        <w:t xml:space="preserve"> </w:t>
      </w:r>
      <w:r>
        <w:t xml:space="preserve">EC2’s</w:t>
      </w:r>
      <w:r>
        <w:t xml:space="preserve"> </w:t>
      </w:r>
      <w:r>
        <w:rPr>
          <w:rStyle w:val="VerbatimChar"/>
        </w:rPr>
        <w:t xml:space="preserve">RunInstances</w:t>
      </w:r>
      <w:r>
        <w:t xml:space="preserve"> </w:t>
      </w:r>
      <w:r>
        <w:t xml:space="preserve">accepts a</w:t>
      </w:r>
      <w:r>
        <w:t xml:space="preserve"> </w:t>
      </w:r>
      <w:r>
        <w:rPr>
          <w:rStyle w:val="VerbatimChar"/>
        </w:rPr>
        <w:t xml:space="preserve">ClientToken</w:t>
      </w:r>
      <w:r>
        <w:t xml:space="preserve">; retrying with the same token returns the original result instead of launching more instances, and reusing a token with different parameters fails with an</w:t>
      </w:r>
      <w:r>
        <w:t xml:space="preserve"> </w:t>
      </w:r>
      <w:r>
        <w:rPr>
          <w:rStyle w:val="VerbatimChar"/>
        </w:rPr>
        <w:t xml:space="preserve">IdempotentParameterMismatch</w:t>
      </w:r>
      <w:r>
        <w:t xml:space="preserve"> </w:t>
      </w:r>
      <w:r>
        <w:t xml:space="preserve">error. The AWS Builders’ Library article on idempotent APIs explains why the service, not the client, must detect parameter mismatch and why the response to a retry should be semantically equivalent to the original [Yanacek: idempotent APIs].</w:t>
      </w:r>
      <w:r>
        <w:t xml:space="preserve"> </w:t>
      </w:r>
      <w:r>
        <w:rPr>
          <w:iCs/>
          <w:i/>
        </w:rPr>
        <w:t xml:space="preserve">Evidence: Primary</w:t>
      </w:r>
      <w:r>
        <w:t xml:space="preserve"> </w:t>
      </w:r>
      <w:r>
        <w:t xml:space="preserve">— [Yanacek: idempotent APIs]</w:t>
      </w:r>
    </w:p>
    <w:p>
      <w:pPr>
        <w:pStyle w:val="BodyText"/>
      </w:pPr>
      <w:r>
        <w:rPr>
          <w:bCs/>
          <w:b/>
        </w:rPr>
        <w:t xml:space="preserve">Alternatives.</w:t>
      </w:r>
      <w:r>
        <w:t xml:space="preserve"> </w:t>
      </w:r>
      <w:r>
        <w:t xml:space="preserve">Not every operation needs a key store. A</w:t>
      </w:r>
      <w:r>
        <w:t xml:space="preserve"> </w:t>
      </w:r>
      <w:r>
        <w:rPr>
          <w:bCs/>
          <w:b/>
        </w:rPr>
        <w:t xml:space="preserve">client-chosen resource ID</w:t>
      </w:r>
      <w:r>
        <w:t xml:space="preserve"> </w:t>
      </w:r>
      <w:r>
        <w:t xml:space="preserve">with</w:t>
      </w:r>
      <w:r>
        <w:t xml:space="preserve"> </w:t>
      </w:r>
      <w:r>
        <w:rPr>
          <w:rStyle w:val="VerbatimChar"/>
        </w:rPr>
        <w:t xml:space="preserve">PUT /subscriptions/{uuid}</w:t>
      </w:r>
      <w:r>
        <w:t xml:space="preserve"> </w:t>
      </w:r>
      <w:r>
        <w:t xml:space="preserve">is naturally idempotent.</w:t>
      </w:r>
      <w:r>
        <w:t xml:space="preserve"> </w:t>
      </w:r>
      <w:r>
        <w:rPr>
          <w:bCs/>
          <w:b/>
        </w:rPr>
        <w:t xml:space="preserve">Conditional requests</w:t>
      </w:r>
      <w:r>
        <w:t xml:space="preserve"> </w:t>
      </w:r>
      <w:r>
        <w:t xml:space="preserve">(</w:t>
      </w:r>
      <w:r>
        <w:rPr>
          <w:rStyle w:val="VerbatimChar"/>
        </w:rPr>
        <w:t xml:space="preserve">If-Match</w:t>
      </w:r>
      <w:r>
        <w:t xml:space="preserve"> </w:t>
      </w:r>
      <w:r>
        <w:t xml:space="preserve">with an ETag, §8.6) make updates safe to retry. A</w:t>
      </w:r>
      <w:r>
        <w:t xml:space="preserve"> </w:t>
      </w:r>
      <w:r>
        <w:rPr>
          <w:bCs/>
          <w:b/>
        </w:rPr>
        <w:t xml:space="preserve">natural unique constraint</w:t>
      </w:r>
      <w:r>
        <w:t xml:space="preserve"> </w:t>
      </w:r>
      <w:r>
        <w:t xml:space="preserve">(one active subscription per user) rejects duplicates in the database. Idempotency keys are the general solution when the operation is a</w:t>
      </w:r>
      <w:r>
        <w:t xml:space="preserve"> </w:t>
      </w:r>
      <w:r>
        <w:rPr>
          <w:rStyle w:val="VerbatimChar"/>
        </w:rPr>
        <w:t xml:space="preserve">POST</w:t>
      </w:r>
      <w:r>
        <w:t xml:space="preserve"> </w:t>
      </w:r>
      <w:r>
        <w:t xml:space="preserve">with server-assigned identity and real-world effects.</w:t>
      </w:r>
    </w:p>
    <w:p>
      <w:pPr>
        <w:pStyle w:val="BodyText"/>
      </w:pPr>
      <w:r>
        <w:rPr>
          <w:bCs/>
          <w:b/>
        </w:rPr>
        <w:t xml:space="preserve">Table 22.7 — Idempotency 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Customer charged twice</w:t>
            </w:r>
          </w:p>
        </w:tc>
        <w:tc>
          <w:tcPr/>
          <w:p>
            <w:pPr>
              <w:pStyle w:val="Compact"/>
              <w:jc w:val="left"/>
            </w:pPr>
            <w:r>
              <w:t xml:space="preserve">Key generated per</w:t>
            </w:r>
            <w:r>
              <w:t xml:space="preserve"> </w:t>
            </w:r>
            <w:r>
              <w:rPr>
                <w:iCs/>
                <w:i/>
              </w:rPr>
              <w:t xml:space="preserve">attempt</w:t>
            </w:r>
            <w:r>
              <w:t xml:space="preserve">, not per operation</w:t>
            </w:r>
          </w:p>
        </w:tc>
        <w:tc>
          <w:tcPr/>
          <w:p>
            <w:pPr>
              <w:pStyle w:val="Compact"/>
              <w:jc w:val="left"/>
            </w:pPr>
            <w:r>
              <w:t xml:space="preserve">Two charges, two different keys, same cart</w:t>
            </w:r>
          </w:p>
        </w:tc>
        <w:tc>
          <w:tcPr/>
          <w:p>
            <w:pPr>
              <w:pStyle w:val="Compact"/>
              <w:jc w:val="left"/>
            </w:pPr>
            <w:r>
              <w:t xml:space="preserve">Refund and reconcile</w:t>
            </w:r>
          </w:p>
        </w:tc>
        <w:tc>
          <w:tcPr/>
          <w:p>
            <w:pPr>
              <w:pStyle w:val="Compact"/>
              <w:jc w:val="left"/>
            </w:pPr>
            <w:r>
              <w:t xml:space="preserve">Generate the key once and persist it with the cart</w:t>
            </w:r>
          </w:p>
        </w:tc>
      </w:tr>
      <w:tr>
        <w:tc>
          <w:tcPr/>
          <w:p>
            <w:pPr>
              <w:pStyle w:val="Compact"/>
              <w:jc w:val="left"/>
            </w:pPr>
            <w:r>
              <w:t xml:space="preserve">Retry gets the wrong result</w:t>
            </w:r>
          </w:p>
        </w:tc>
        <w:tc>
          <w:tcPr/>
          <w:p>
            <w:pPr>
              <w:pStyle w:val="Compact"/>
              <w:jc w:val="left"/>
            </w:pPr>
            <w:r>
              <w:t xml:space="preserve">No fingerprint; key reused for a new purchase</w:t>
            </w:r>
          </w:p>
        </w:tc>
        <w:tc>
          <w:tcPr/>
          <w:p>
            <w:pPr>
              <w:pStyle w:val="Compact"/>
              <w:jc w:val="left"/>
            </w:pPr>
            <w:r>
              <w:t xml:space="preserve">Responses that do not match request bodies</w:t>
            </w:r>
          </w:p>
        </w:tc>
        <w:tc>
          <w:tcPr/>
          <w:p>
            <w:pPr>
              <w:pStyle w:val="Compact"/>
              <w:jc w:val="left"/>
            </w:pPr>
            <w:r>
              <w:t xml:space="preserve">Return 422 on mismatch</w:t>
            </w:r>
          </w:p>
        </w:tc>
        <w:tc>
          <w:tcPr/>
          <w:p>
            <w:pPr>
              <w:pStyle w:val="Compact"/>
              <w:jc w:val="left"/>
            </w:pPr>
            <w:r>
              <w:t xml:space="preserve">Fingerprint method, path and canonical body</w:t>
            </w:r>
          </w:p>
        </w:tc>
      </w:tr>
      <w:tr>
        <w:tc>
          <w:tcPr/>
          <w:p>
            <w:pPr>
              <w:pStyle w:val="Compact"/>
              <w:jc w:val="left"/>
            </w:pPr>
            <w:r>
              <w:t xml:space="preserve">Double execution under concurrency</w:t>
            </w:r>
          </w:p>
        </w:tc>
        <w:tc>
          <w:tcPr/>
          <w:p>
            <w:pPr>
              <w:pStyle w:val="Compact"/>
              <w:jc w:val="left"/>
            </w:pPr>
            <w:r>
              <w:t xml:space="preserve">Check-then-insert race on the key</w:t>
            </w:r>
          </w:p>
        </w:tc>
        <w:tc>
          <w:tcPr/>
          <w:p>
            <w:pPr>
              <w:pStyle w:val="Compact"/>
              <w:jc w:val="left"/>
            </w:pPr>
            <w:r>
              <w:t xml:space="preserve">Duplicate effects milliseconds apart</w:t>
            </w:r>
          </w:p>
        </w:tc>
        <w:tc>
          <w:tcPr/>
          <w:p>
            <w:pPr>
              <w:pStyle w:val="Compact"/>
              <w:jc w:val="left"/>
            </w:pPr>
            <w:r>
              <w:t xml:space="preserve">Reconcile</w:t>
            </w:r>
          </w:p>
        </w:tc>
        <w:tc>
          <w:tcPr/>
          <w:p>
            <w:pPr>
              <w:pStyle w:val="Compact"/>
              <w:jc w:val="left"/>
            </w:pPr>
            <w:r>
              <w:t xml:space="preserve">Uniqueness constraint plus lease and fencing</w:t>
            </w:r>
          </w:p>
        </w:tc>
      </w:tr>
      <w:tr>
        <w:tc>
          <w:tcPr/>
          <w:p>
            <w:pPr>
              <w:pStyle w:val="Compact"/>
              <w:jc w:val="left"/>
            </w:pPr>
            <w:r>
              <w:t xml:space="preserve">Charge made, record says in progress</w:t>
            </w:r>
          </w:p>
        </w:tc>
        <w:tc>
          <w:tcPr/>
          <w:p>
            <w:pPr>
              <w:pStyle w:val="Compact"/>
              <w:jc w:val="left"/>
            </w:pPr>
            <w:r>
              <w:t xml:space="preserve">Crash between external call and commit</w:t>
            </w:r>
          </w:p>
        </w:tc>
        <w:tc>
          <w:tcPr/>
          <w:p>
            <w:pPr>
              <w:pStyle w:val="Compact"/>
              <w:jc w:val="left"/>
            </w:pPr>
            <w:r>
              <w:t xml:space="preserve">Stuck in-progress keys past lease</w:t>
            </w:r>
          </w:p>
        </w:tc>
        <w:tc>
          <w:tcPr/>
          <w:p>
            <w:pPr>
              <w:pStyle w:val="Compact"/>
              <w:jc w:val="left"/>
            </w:pPr>
            <w:r>
              <w:t xml:space="preserve">Retry passes the same downstream key; provider deduplicates</w:t>
            </w:r>
          </w:p>
        </w:tc>
        <w:tc>
          <w:tcPr/>
          <w:p>
            <w:pPr>
              <w:pStyle w:val="Compact"/>
              <w:jc w:val="left"/>
            </w:pPr>
            <w:r>
              <w:t xml:space="preserve">Downstream keys, recovery points</w:t>
            </w:r>
          </w:p>
        </w:tc>
      </w:tr>
      <w:tr>
        <w:tc>
          <w:tcPr/>
          <w:p>
            <w:pPr>
              <w:pStyle w:val="Compact"/>
              <w:jc w:val="left"/>
            </w:pPr>
            <w:r>
              <w:t xml:space="preserve">Late retry executes again</w:t>
            </w:r>
          </w:p>
        </w:tc>
        <w:tc>
          <w:tcPr/>
          <w:p>
            <w:pPr>
              <w:pStyle w:val="Compact"/>
              <w:jc w:val="left"/>
            </w:pPr>
            <w:r>
              <w:t xml:space="preserve">Retry after the retention TTL</w:t>
            </w:r>
          </w:p>
        </w:tc>
        <w:tc>
          <w:tcPr/>
          <w:p>
            <w:pPr>
              <w:pStyle w:val="Compact"/>
              <w:jc w:val="left"/>
            </w:pPr>
            <w:r>
              <w:t xml:space="preserve">Duplicates spaced by more than the TTL</w:t>
            </w:r>
          </w:p>
        </w:tc>
        <w:tc>
          <w:tcPr/>
          <w:p>
            <w:pPr>
              <w:pStyle w:val="Compact"/>
              <w:jc w:val="left"/>
            </w:pPr>
            <w:r>
              <w:t xml:space="preserve">Reconcile</w:t>
            </w:r>
          </w:p>
        </w:tc>
        <w:tc>
          <w:tcPr/>
          <w:p>
            <w:pPr>
              <w:pStyle w:val="Compact"/>
              <w:jc w:val="left"/>
            </w:pPr>
            <w:r>
              <w:t xml:space="preserve">TTL longer than client retry horizon</w:t>
            </w:r>
          </w:p>
        </w:tc>
      </w:tr>
    </w:tbl>
    <w:p>
      <w:pPr>
        <w:pStyle w:val="CalloutMistake"/>
      </w:pPr>
      <w:r>
        <w:rPr>
          <w:bCs/>
          <w:b/>
        </w:rPr>
        <w:t xml:space="preserve">COMMON MISTAKE</w:t>
      </w:r>
    </w:p>
    <w:p>
      <w:pPr>
        <w:pStyle w:val="CalloutMistake"/>
      </w:pPr>
      <w:r>
        <w:rPr>
          <w:bCs/>
          <w:b/>
        </w:rPr>
        <w:t xml:space="preserve">Mistake —</w:t>
      </w:r>
      <w:r>
        <w:rPr>
          <w:bCs/>
          <w:b/>
        </w:rPr>
        <w:t xml:space="preserve"> </w:t>
      </w:r>
      <w:r>
        <w:rPr>
          <w:bCs/>
          <w:b/>
        </w:rPr>
        <w:t xml:space="preserve">“</w:t>
      </w:r>
      <w:r>
        <w:rPr>
          <w:bCs/>
          <w:b/>
        </w:rPr>
        <w:t xml:space="preserve">We return the stored response, so the operation is exactly-once.</w:t>
      </w:r>
      <w:r>
        <w:rPr>
          <w:bCs/>
          <w:b/>
        </w:rPr>
        <w:t xml:space="preserve">”</w:t>
      </w:r>
      <w:r>
        <w:t xml:space="preserve"> </w:t>
      </w:r>
      <w:r>
        <w:t xml:space="preserve">Idempotency keys give</w:t>
      </w:r>
      <w:r>
        <w:t xml:space="preserve"> </w:t>
      </w:r>
      <w:r>
        <w:rPr>
          <w:iCs/>
          <w:i/>
        </w:rPr>
        <w:t xml:space="preserve">at-most-once execution per key within the retention window</w:t>
      </w:r>
      <w:r>
        <w:t xml:space="preserve"> </w:t>
      </w:r>
      <w:r>
        <w:t xml:space="preserve">on top of</w:t>
      </w:r>
      <w:r>
        <w:t xml:space="preserve"> </w:t>
      </w:r>
      <w:r>
        <w:rPr>
          <w:iCs/>
          <w:i/>
        </w:rPr>
        <w:t xml:space="preserve">at-least-once delivery</w:t>
      </w:r>
      <w:r>
        <w:t xml:space="preserve"> </w:t>
      </w:r>
      <w:r>
        <w:t xml:space="preserve">by the client: effectively-once processing. They say nothing about a client that generates a new key per attempt, a key that has expired, or a side effect that escaped your transaction. Exactly-once delivery is not achievable over an unreliable network; effectively-once processing is (§32.9).</w:t>
      </w:r>
    </w:p>
    <w:bookmarkEnd w:id="2544"/>
    <w:bookmarkEnd w:id="2545"/>
    <w:bookmarkStart w:id="2546" w:name="summary-and-revision-notes-21"/>
    <w:p>
      <w:pPr>
        <w:pStyle w:val="Heading2"/>
      </w:pPr>
      <w:r>
        <w:t xml:space="preserve">22.16 Summary and revision notes</w:t>
      </w:r>
    </w:p>
    <w:p>
      <w:pPr>
        <w:pStyle w:val="CalloutSummary"/>
      </w:pPr>
      <w:r>
        <w:rPr>
          <w:bCs/>
          <w:b/>
        </w:rPr>
        <w:t xml:space="preserve">SUMMARY</w:t>
      </w:r>
    </w:p>
    <w:p>
      <w:pPr>
        <w:numPr>
          <w:ilvl w:val="0"/>
          <w:numId w:val="1743"/>
        </w:numPr>
        <w:pStyle w:val="Compact"/>
      </w:pPr>
      <w:r>
        <w:rPr>
          <w:bCs/>
          <w:b/>
        </w:rPr>
        <w:t xml:space="preserve">Rate limits are per-client contracts; load shedding protects total capacity.</w:t>
      </w:r>
      <w:r>
        <w:t xml:space="preserve"> </w:t>
      </w:r>
      <w:r>
        <w:t xml:space="preserve">You need both. Enforce limits in layers (edge per IP, gateway per key/tenant, service per cost) and signal them with 429,</w:t>
      </w:r>
      <w:r>
        <w:t xml:space="preserve"> </w:t>
      </w:r>
      <w:r>
        <w:rPr>
          <w:rStyle w:val="VerbatimChar"/>
        </w:rPr>
        <w:t xml:space="preserve">Retry-After</w:t>
      </w:r>
      <w:r>
        <w:t xml:space="preserve">, and the draft</w:t>
      </w:r>
      <w:r>
        <w:t xml:space="preserve"> </w:t>
      </w:r>
      <w:r>
        <w:rPr>
          <w:rStyle w:val="VerbatimChar"/>
        </w:rPr>
        <w:t xml:space="preserve">RateLimit-Policy</w:t>
      </w:r>
      <w:r>
        <w:t xml:space="preserve">/</w:t>
      </w:r>
      <w:r>
        <w:rPr>
          <w:rStyle w:val="VerbatimChar"/>
        </w:rPr>
        <w:t xml:space="preserve">RateLimit</w:t>
      </w:r>
      <w:r>
        <w:t xml:space="preserve"> </w:t>
      </w:r>
      <w:r>
        <w:t xml:space="preserve">fields.</w:t>
      </w:r>
    </w:p>
    <w:p>
      <w:pPr>
        <w:numPr>
          <w:ilvl w:val="0"/>
          <w:numId w:val="1743"/>
        </w:numPr>
        <w:pStyle w:val="Compact"/>
      </w:pPr>
      <w:r>
        <w:rPr>
          <w:bCs/>
          <w:b/>
        </w:rPr>
        <w:t xml:space="preserve">Token bucket:</w:t>
      </w:r>
      <w:r>
        <w:t xml:space="preserve"> </w:t>
      </w:r>
      <w:r>
        <w:t xml:space="preserve">rate</w:t>
      </w:r>
      <w:r>
        <w:t xml:space="preserve"> </w:t>
      </w:r>
      <m:oMath>
        <m:r>
          <m:t>r</m:t>
        </m:r>
      </m:oMath>
      <w:r>
        <w:t xml:space="preserve">, burst</w:t>
      </w:r>
      <w:r>
        <w:t xml:space="preserve"> </w:t>
      </w:r>
      <m:oMath>
        <m:r>
          <m:t>b</m:t>
        </m:r>
      </m:oMath>
      <w:r>
        <w:t xml:space="preserve">, admitted</w:t>
      </w:r>
      <w:r>
        <w:t xml:space="preserve"> </w:t>
      </w:r>
      <m:oMath>
        <m:r>
          <m:t>A</m:t>
        </m:r>
        <m:d>
          <m:dPr>
            <m:begChr m:val="("/>
            <m:endChr m:val=")"/>
            <m:sepChr m:val=""/>
            <m:grow/>
          </m:dPr>
          <m:e>
            <m:r>
              <m:t>T</m:t>
            </m:r>
          </m:e>
        </m:d>
        <m:r>
          <m:rPr>
            <m:sty m:val="p"/>
          </m:rPr>
          <m:t>≤</m:t>
        </m:r>
        <m:r>
          <m:t>b</m:t>
        </m:r>
        <m:r>
          <m:rPr>
            <m:sty m:val="p"/>
          </m:rPr>
          <m:t>+</m:t>
        </m:r>
        <m:r>
          <m:t>r</m:t>
        </m:r>
        <m:r>
          <m:t>T</m:t>
        </m:r>
      </m:oMath>
      <w:r>
        <w:t xml:space="preserve">; two numbers per key;</w:t>
      </w:r>
      <w:r>
        <w:t xml:space="preserve"> </w:t>
      </w:r>
      <w:r>
        <w:rPr>
          <w:rStyle w:val="VerbatimChar"/>
        </w:rPr>
        <w:t xml:space="preserve">Retry-After</w:t>
      </w:r>
      <w:r>
        <w:t xml:space="preserve"> </w:t>
      </w:r>
      <m:oMath>
        <m:r>
          <m:rPr>
            <m:sty m:val="p"/>
          </m:rPr>
          <m:t>=</m:t>
        </m:r>
        <m:r>
          <m:rPr>
            <m:nor/>
            <m:sty m:val="p"/>
          </m:rPr>
          <m:t>deficit</m:t>
        </m:r>
        <m:r>
          <m:rPr>
            <m:sty m:val="p"/>
          </m:rPr>
          <m:t>/</m:t>
        </m:r>
        <m:r>
          <m:t>r</m:t>
        </m:r>
      </m:oMath>
      <w:r>
        <w:t xml:space="preserve">.</w:t>
      </w:r>
      <w:r>
        <w:t xml:space="preserve"> </w:t>
      </w:r>
      <w:r>
        <w:rPr>
          <w:bCs/>
          <w:b/>
        </w:rPr>
        <w:t xml:space="preserve">GCRA</w:t>
      </w:r>
      <w:r>
        <w:t xml:space="preserve"> </w:t>
      </w:r>
      <w:r>
        <w:t xml:space="preserve">is the same policy stored as one timestamp. The leaky bucket</w:t>
      </w:r>
      <w:r>
        <w:t xml:space="preserve"> </w:t>
      </w:r>
      <w:r>
        <w:rPr>
          <w:iCs/>
          <w:i/>
        </w:rPr>
        <w:t xml:space="preserve">as a queue</w:t>
      </w:r>
      <w:r>
        <w:t xml:space="preserve"> </w:t>
      </w:r>
      <w:r>
        <w:t xml:space="preserve">shapes traffic by delaying it.</w:t>
      </w:r>
    </w:p>
    <w:p>
      <w:pPr>
        <w:numPr>
          <w:ilvl w:val="0"/>
          <w:numId w:val="1743"/>
        </w:numPr>
        <w:pStyle w:val="Compact"/>
      </w:pPr>
      <w:r>
        <w:rPr>
          <w:bCs/>
          <w:b/>
        </w:rPr>
        <w:t xml:space="preserve">Fixed window</w:t>
      </w:r>
      <w:r>
        <w:t xml:space="preserve"> </w:t>
      </w:r>
      <w:r>
        <w:t xml:space="preserve">admits up to</w:t>
      </w:r>
      <w:r>
        <w:t xml:space="preserve"> </w:t>
      </w:r>
      <m:oMath>
        <m:r>
          <m:t>2</m:t>
        </m:r>
        <m:r>
          <m:t>L</m:t>
        </m:r>
      </m:oMath>
      <w:r>
        <w:t xml:space="preserve"> </w:t>
      </w:r>
      <w:r>
        <w:t xml:space="preserve">across a boundary. The</w:t>
      </w:r>
      <w:r>
        <w:t xml:space="preserve"> </w:t>
      </w:r>
      <w:r>
        <w:rPr>
          <w:bCs/>
          <w:b/>
        </w:rPr>
        <w:t xml:space="preserve">sliding log</w:t>
      </w:r>
      <w:r>
        <w:t xml:space="preserve"> </w:t>
      </w:r>
      <w:r>
        <w:t xml:space="preserve">is exact but stores</w:t>
      </w:r>
      <w:r>
        <w:t xml:space="preserve"> </w:t>
      </w:r>
      <m:oMath>
        <m:r>
          <m:t>L</m:t>
        </m:r>
      </m:oMath>
      <w:r>
        <w:t xml:space="preserve"> </w:t>
      </w:r>
      <w:r>
        <w:t xml:space="preserve">timestamps per key. The</w:t>
      </w:r>
      <w:r>
        <w:t xml:space="preserve"> </w:t>
      </w:r>
      <w:r>
        <w:rPr>
          <w:bCs/>
          <w:b/>
        </w:rPr>
        <w:t xml:space="preserve">sliding window counter</w:t>
      </w:r>
      <w:r>
        <w:t xml:space="preserve"> </w:t>
      </w:r>
      <m:oMath>
        <m:acc>
          <m:accPr>
            <m:chr m:val="̂"/>
          </m:accPr>
          <m:e>
            <m:r>
              <m:t>N</m:t>
            </m:r>
          </m:e>
        </m:acc>
        <m:r>
          <m:rPr>
            <m:sty m:val="p"/>
          </m:rPr>
          <m:t>=</m:t>
        </m:r>
        <m:sSub>
          <m:e>
            <m:r>
              <m:t>C</m:t>
            </m:r>
          </m:e>
          <m:sub>
            <m:r>
              <m:rPr>
                <m:nor/>
                <m:sty m:val="p"/>
              </m:rPr>
              <m:t>prev</m:t>
            </m:r>
          </m:sub>
        </m:sSub>
        <m:d>
          <m:dPr>
            <m:begChr m:val="("/>
            <m:endChr m:val=")"/>
            <m:sepChr m:val=""/>
            <m:grow/>
          </m:dPr>
          <m:e>
            <m:r>
              <m:t>W</m:t>
            </m:r>
            <m:r>
              <m:rPr>
                <m:sty m:val="p"/>
              </m:rPr>
              <m:t>−</m:t>
            </m:r>
            <m:r>
              <m:t>e</m:t>
            </m:r>
          </m:e>
        </m:d>
        <m:r>
          <m:rPr>
            <m:sty m:val="p"/>
          </m:rPr>
          <m:t>/</m:t>
        </m:r>
        <m:r>
          <m:t>W</m:t>
        </m:r>
        <m:r>
          <m:rPr>
            <m:sty m:val="p"/>
          </m:rPr>
          <m:t>+</m:t>
        </m:r>
        <m:sSub>
          <m:e>
            <m:r>
              <m:t>C</m:t>
            </m:r>
          </m:e>
          <m:sub>
            <m:r>
              <m:rPr>
                <m:nor/>
                <m:sty m:val="p"/>
              </m:rPr>
              <m:t>curr</m:t>
            </m:r>
          </m:sub>
        </m:sSub>
      </m:oMath>
      <w:r>
        <w:t xml:space="preserve"> </w:t>
      </w:r>
      <w:r>
        <w:t xml:space="preserve">is cheap and close to exact for random traffic, but biased for traffic phase-locked to the window.</w:t>
      </w:r>
    </w:p>
    <w:p>
      <w:pPr>
        <w:numPr>
          <w:ilvl w:val="0"/>
          <w:numId w:val="1743"/>
        </w:numPr>
        <w:pStyle w:val="Compact"/>
      </w:pPr>
      <w:r>
        <w:rPr>
          <w:bCs/>
          <w:b/>
        </w:rPr>
        <w:t xml:space="preserve">Distributed limiting:</w:t>
      </w:r>
      <w:r>
        <w:t xml:space="preserve"> </w:t>
      </w:r>
      <w:r>
        <w:t xml:space="preserve">centralized Redis with an atomic Lua script is exact but costs a round trip; local counting with sync overshoots by up to</w:t>
      </w:r>
      <w:r>
        <w:t xml:space="preserve"> </w:t>
      </w:r>
      <m:oMath>
        <m:r>
          <m:t>λ</m:t>
        </m:r>
        <m:r>
          <m:t>Δ</m:t>
        </m:r>
      </m:oMath>
      <w:r>
        <w:t xml:space="preserve">; quota distribution is cheap but lags demand shifts. Decide fail-open versus fail-closed per limit.</w:t>
      </w:r>
    </w:p>
    <w:p>
      <w:pPr>
        <w:numPr>
          <w:ilvl w:val="0"/>
          <w:numId w:val="1743"/>
        </w:numPr>
        <w:pStyle w:val="Compact"/>
      </w:pPr>
      <w:r>
        <w:rPr>
          <w:bCs/>
          <w:b/>
        </w:rPr>
        <w:t xml:space="preserve">Overload:</w:t>
      </w:r>
      <w:r>
        <w:t xml:space="preserve"> </w:t>
      </w:r>
      <w:r>
        <w:t xml:space="preserve">without shedding, goodput collapses after</w:t>
      </w:r>
      <w:r>
        <w:t xml:space="preserve"> </w:t>
      </w:r>
      <m:oMath>
        <m:r>
          <m:t>t</m:t>
        </m:r>
        <m:r>
          <m:rPr>
            <m:sty m:val="p"/>
          </m:rPr>
          <m:t>=</m:t>
        </m:r>
        <m:r>
          <m:t>μ</m:t>
        </m:r>
        <m:sSub>
          <m:e>
            <m:r>
              <m:t>T</m:t>
            </m:r>
          </m:e>
          <m:sub>
            <m:r>
              <m:rPr>
                <m:nor/>
                <m:sty m:val="p"/>
              </m:rPr>
              <m:t>out</m:t>
            </m:r>
          </m:sub>
        </m:sSub>
        <m:r>
          <m:rPr>
            <m:sty m:val="p"/>
          </m:rPr>
          <m:t>/</m:t>
        </m:r>
        <m:d>
          <m:dPr>
            <m:begChr m:val="("/>
            <m:endChr m:val=")"/>
            <m:sepChr m:val=""/>
            <m:grow/>
          </m:dPr>
          <m:e>
            <m:r>
              <m:t>λ</m:t>
            </m:r>
            <m:r>
              <m:rPr>
                <m:sty m:val="p"/>
              </m:rPr>
              <m:t>−</m:t>
            </m:r>
            <m:r>
              <m:t>μ</m:t>
            </m:r>
          </m:e>
        </m:d>
      </m:oMath>
      <w:r>
        <w:t xml:space="preserve">. Shed by priority, bound queues by time (</w:t>
      </w:r>
      <m:oMath>
        <m:sSub>
          <m:e>
            <m:r>
              <m:t>Q</m:t>
            </m:r>
          </m:e>
          <m:sub>
            <m:r>
              <m:rPr>
                <m:sty m:val="p"/>
              </m:rPr>
              <m:t>max</m:t>
            </m:r>
          </m:sub>
        </m:sSub>
        <m:r>
          <m:rPr>
            <m:sty m:val="p"/>
          </m:rPr>
          <m:t>=</m:t>
        </m:r>
        <m:r>
          <m:t>μ</m:t>
        </m:r>
        <m:r>
          <m:t>D</m:t>
        </m:r>
      </m:oMath>
      <w:r>
        <w:t xml:space="preserve">), and use CoDel-style delay targets and adaptive LIFO.</w:t>
      </w:r>
    </w:p>
    <w:p>
      <w:pPr>
        <w:numPr>
          <w:ilvl w:val="0"/>
          <w:numId w:val="1743"/>
        </w:numPr>
        <w:pStyle w:val="Compact"/>
      </w:pPr>
      <w:r>
        <w:rPr>
          <w:bCs/>
          <w:b/>
        </w:rPr>
        <w:t xml:space="preserve">Backpressure</w:t>
      </w:r>
      <w:r>
        <w:t xml:space="preserve"> </w:t>
      </w:r>
      <w:r>
        <w:t xml:space="preserve">propagates</w:t>
      </w:r>
      <w:r>
        <w:t xml:space="preserve"> </w:t>
      </w:r>
      <w:r>
        <w:t xml:space="preserve">“</w:t>
      </w:r>
      <w:r>
        <w:t xml:space="preserve">slow down</w:t>
      </w:r>
      <w:r>
        <w:t xml:space="preserve">”</w:t>
      </w:r>
      <w:r>
        <w:t xml:space="preserve"> </w:t>
      </w:r>
      <w:r>
        <w:t xml:space="preserve">upstream: bounded buffers, blocking or rejection, and explicit demand (</w:t>
      </w:r>
      <w:r>
        <w:rPr>
          <w:rStyle w:val="VerbatimChar"/>
        </w:rPr>
        <w:t xml:space="preserve">request(n)</w:t>
      </w:r>
      <w:r>
        <w:t xml:space="preserve">, TCP windows).</w:t>
      </w:r>
    </w:p>
    <w:p>
      <w:pPr>
        <w:numPr>
          <w:ilvl w:val="0"/>
          <w:numId w:val="1743"/>
        </w:numPr>
        <w:pStyle w:val="Compact"/>
      </w:pPr>
      <w:r>
        <w:rPr>
          <w:bCs/>
          <w:b/>
        </w:rPr>
        <w:t xml:space="preserve">Deadlines</w:t>
      </w:r>
      <w:r>
        <w:t xml:space="preserve"> </w:t>
      </w:r>
      <w:r>
        <w:t xml:space="preserve">propagate absolute time budgets:</w:t>
      </w:r>
      <w:r>
        <w:t xml:space="preserve"> </w:t>
      </w:r>
      <m:oMath>
        <m:sSub>
          <m:e>
            <m:r>
              <m:t>B</m:t>
            </m:r>
          </m:e>
          <m:sub>
            <m:r>
              <m:t>i</m:t>
            </m:r>
            <m:r>
              <m:rPr>
                <m:sty m:val="p"/>
              </m:rPr>
              <m:t>+</m:t>
            </m:r>
            <m:r>
              <m:t>1</m:t>
            </m:r>
          </m:sub>
        </m:sSub>
        <m:r>
          <m:rPr>
            <m:sty m:val="p"/>
          </m:rPr>
          <m:t>=</m:t>
        </m:r>
        <m:sSub>
          <m:e>
            <m:r>
              <m:t>B</m:t>
            </m:r>
          </m:e>
          <m:sub>
            <m:r>
              <m:t>i</m:t>
            </m:r>
          </m:sub>
        </m:sSub>
        <m:r>
          <m:rPr>
            <m:sty m:val="p"/>
          </m:rPr>
          <m:t>−</m:t>
        </m:r>
        <m:sSub>
          <m:e>
            <m:r>
              <m:t>e</m:t>
            </m:r>
          </m:e>
          <m:sub>
            <m:r>
              <m:t>i</m:t>
            </m:r>
          </m:sub>
        </m:sSub>
        <m:r>
          <m:rPr>
            <m:sty m:val="p"/>
          </m:rPr>
          <m:t>−</m:t>
        </m:r>
        <m:sSub>
          <m:e>
            <m:r>
              <m:t>m</m:t>
            </m:r>
          </m:e>
          <m:sub>
            <m:r>
              <m:t>i</m:t>
            </m:r>
          </m:sub>
        </m:sSub>
      </m:oMath>
      <w:r>
        <w:t xml:space="preserve">. A timeout means</w:t>
      </w:r>
      <w:r>
        <w:t xml:space="preserve"> </w:t>
      </w:r>
      <w:r>
        <w:t xml:space="preserve">“</w:t>
      </w:r>
      <w:r>
        <w:t xml:space="preserve">unknown outcome</w:t>
      </w:r>
      <w:r>
        <w:t xml:space="preserve">”</w:t>
      </w:r>
      <w:r>
        <w:t xml:space="preserve">, not</w:t>
      </w:r>
      <w:r>
        <w:t xml:space="preserve"> </w:t>
      </w:r>
      <w:r>
        <w:t xml:space="preserve">“</w:t>
      </w:r>
      <w:r>
        <w:t xml:space="preserve">failed</w:t>
      </w:r>
      <w:r>
        <w:t xml:space="preserve">”</w:t>
      </w:r>
      <w:r>
        <w:t xml:space="preserve">.</w:t>
      </w:r>
    </w:p>
    <w:p>
      <w:pPr>
        <w:numPr>
          <w:ilvl w:val="0"/>
          <w:numId w:val="1743"/>
        </w:numPr>
        <w:pStyle w:val="Compact"/>
      </w:pPr>
      <w:r>
        <w:rPr>
          <w:bCs/>
          <w:b/>
        </w:rPr>
        <w:t xml:space="preserve">Retries:</w:t>
      </w:r>
      <w:r>
        <w:t xml:space="preserve"> </w:t>
      </w:r>
      <w:r>
        <w:t xml:space="preserve">only retryable errors, idempotent operations, remaining budget. Use capped exponential backoff with full or decorrelated jitter. Amplification is</w:t>
      </w:r>
      <w:r>
        <w:t xml:space="preserve"> </w:t>
      </w:r>
      <m:oMath>
        <m:sSup>
          <m:e>
            <m:r>
              <m:t>a</m:t>
            </m:r>
          </m:e>
          <m:sup>
            <m:r>
              <m:t>d</m:t>
            </m:r>
          </m:sup>
        </m:sSup>
      </m:oMath>
      <w:r>
        <w:t xml:space="preserve"> </w:t>
      </w:r>
      <w:r>
        <w:t xml:space="preserve">across</w:t>
      </w:r>
      <w:r>
        <w:t xml:space="preserve"> </w:t>
      </w:r>
      <m:oMath>
        <m:r>
          <m:t>d</m:t>
        </m:r>
      </m:oMath>
      <w:r>
        <w:t xml:space="preserve"> </w:t>
      </w:r>
      <w:r>
        <w:t xml:space="preserve">retrying layers; retry at one layer and cap with a budget (about 10%).</w:t>
      </w:r>
    </w:p>
    <w:p>
      <w:pPr>
        <w:numPr>
          <w:ilvl w:val="0"/>
          <w:numId w:val="1743"/>
        </w:numPr>
        <w:pStyle w:val="Compact"/>
      </w:pPr>
      <w:r>
        <w:rPr>
          <w:bCs/>
          <w:b/>
        </w:rPr>
        <w:t xml:space="preserve">Circuit breakers</w:t>
      </w:r>
      <w:r>
        <w:t xml:space="preserve"> </w:t>
      </w:r>
      <w:r>
        <w:t xml:space="preserve">fail fast when a dependency’s failure rate crosses a threshold, probe in half-open, and need timeouts underneath.</w:t>
      </w:r>
      <w:r>
        <w:t xml:space="preserve"> </w:t>
      </w:r>
      <w:r>
        <w:rPr>
          <w:bCs/>
          <w:b/>
        </w:rPr>
        <w:t xml:space="preserve">Bulkheads</w:t>
      </w:r>
      <w:r>
        <w:t xml:space="preserve"> </w:t>
      </w:r>
      <w:r>
        <w:t xml:space="preserve">give each dependency its own Little’s-Law-sized pool.</w:t>
      </w:r>
    </w:p>
    <w:p>
      <w:pPr>
        <w:numPr>
          <w:ilvl w:val="0"/>
          <w:numId w:val="1743"/>
        </w:numPr>
        <w:pStyle w:val="Compact"/>
      </w:pPr>
      <w:r>
        <w:rPr>
          <w:bCs/>
          <w:b/>
        </w:rPr>
        <w:t xml:space="preserve">Idempotency keys:</w:t>
      </w:r>
      <w:r>
        <w:t xml:space="preserve"> </w:t>
      </w:r>
      <w:r>
        <w:t xml:space="preserve">client-generated once per logical operation; scoped per account; fingerprinted; claimed with a uniqueness constraint; leased and fenced; committed atomically with the business write; retained longer than the retry horizon (</w:t>
      </w:r>
      <m:oMath>
        <m:r>
          <m:t>S</m:t>
        </m:r>
        <m:r>
          <m:rPr>
            <m:sty m:val="p"/>
          </m:rPr>
          <m:t>=</m:t>
        </m:r>
        <m:sSub>
          <m:e>
            <m:r>
              <m:t>λ</m:t>
            </m:r>
          </m:e>
          <m:sub>
            <m:r>
              <m:t>w</m:t>
            </m:r>
          </m:sub>
        </m:sSub>
        <m:sSub>
          <m:e>
            <m:r>
              <m:t>T</m:t>
            </m:r>
          </m:e>
          <m:sub>
            <m:r>
              <m:rPr>
                <m:nor/>
                <m:sty m:val="p"/>
              </m:rPr>
              <m:t>ttl</m:t>
            </m:r>
          </m:sub>
        </m:sSub>
        <m:sSub>
          <m:e>
            <m:r>
              <m:t>s</m:t>
            </m:r>
          </m:e>
          <m:sub>
            <m:r>
              <m:t>r</m:t>
            </m:r>
          </m:sub>
        </m:sSub>
      </m:oMath>
      <w:r>
        <w:t xml:space="preserve">).</w:t>
      </w:r>
    </w:p>
    <w:bookmarkEnd w:id="2546"/>
    <w:bookmarkStart w:id="2547" w:name="knowledge-checkpoint-21"/>
    <w:p>
      <w:pPr>
        <w:pStyle w:val="Heading2"/>
      </w:pPr>
      <w:r>
        <w:t xml:space="preserve">22.17 Knowledge checkpoint</w:t>
      </w:r>
    </w:p>
    <w:p>
      <w:pPr>
        <w:numPr>
          <w:ilvl w:val="0"/>
          <w:numId w:val="1744"/>
        </w:numPr>
        <w:pStyle w:val="Compact"/>
      </w:pPr>
      <w:r>
        <w:t xml:space="preserve">Why is a rate limit not sufficient protection against overload?</w:t>
      </w:r>
    </w:p>
    <w:p>
      <w:pPr>
        <w:numPr>
          <w:ilvl w:val="0"/>
          <w:numId w:val="1744"/>
        </w:numPr>
        <w:pStyle w:val="Compact"/>
      </w:pPr>
      <w:r>
        <w:t xml:space="preserve">A token bucket has</w:t>
      </w:r>
      <w:r>
        <w:t xml:space="preserve"> </w:t>
      </w:r>
      <m:oMath>
        <m:r>
          <m:t>r</m:t>
        </m:r>
        <m:r>
          <m:rPr>
            <m:sty m:val="p"/>
          </m:rPr>
          <m:t>=</m:t>
        </m:r>
        <m:r>
          <m:t>50</m:t>
        </m:r>
      </m:oMath>
      <w:r>
        <w:t xml:space="preserve"> </w:t>
      </w:r>
      <w:r>
        <w:t xml:space="preserve">RPS and</w:t>
      </w:r>
      <w:r>
        <w:t xml:space="preserve"> </w:t>
      </w:r>
      <m:oMath>
        <m:r>
          <m:t>b</m:t>
        </m:r>
        <m:r>
          <m:rPr>
            <m:sty m:val="p"/>
          </m:rPr>
          <m:t>=</m:t>
        </m:r>
        <m:r>
          <m:t>200</m:t>
        </m:r>
      </m:oMath>
      <w:r>
        <w:t xml:space="preserve">. What is the most it admits in any 10 s interval, and how long does it take to refill from empty?</w:t>
      </w:r>
    </w:p>
    <w:p>
      <w:pPr>
        <w:numPr>
          <w:ilvl w:val="0"/>
          <w:numId w:val="1744"/>
        </w:numPr>
        <w:pStyle w:val="Compact"/>
      </w:pPr>
      <w:r>
        <w:t xml:space="preserve">What is the difference between the leaky bucket as a queue and as a meter?</w:t>
      </w:r>
    </w:p>
    <w:p>
      <w:pPr>
        <w:numPr>
          <w:ilvl w:val="0"/>
          <w:numId w:val="1744"/>
        </w:numPr>
        <w:pStyle w:val="Compact"/>
      </w:pPr>
      <w:r>
        <w:t xml:space="preserve">With a fixed window of 1,000 requests per hour, what is the most a client can send in any one-hour interval?</w:t>
      </w:r>
    </w:p>
    <w:p>
      <w:pPr>
        <w:numPr>
          <w:ilvl w:val="0"/>
          <w:numId w:val="1744"/>
        </w:numPr>
        <w:pStyle w:val="Compact"/>
      </w:pPr>
      <w:r>
        <w:t xml:space="preserve">Sliding window counter,</w:t>
      </w:r>
      <w:r>
        <w:t xml:space="preserve"> </w:t>
      </w:r>
      <m:oMath>
        <m:r>
          <m:t>L</m:t>
        </m:r>
        <m:r>
          <m:rPr>
            <m:sty m:val="p"/>
          </m:rPr>
          <m:t>=</m:t>
        </m:r>
        <m:r>
          <m:t>60</m:t>
        </m:r>
      </m:oMath>
      <w:r>
        <w:t xml:space="preserve">/min: previous window 40, current 25, 30 s elapsed. Is the next request admitted?</w:t>
      </w:r>
    </w:p>
    <w:p>
      <w:pPr>
        <w:numPr>
          <w:ilvl w:val="0"/>
          <w:numId w:val="1744"/>
        </w:numPr>
        <w:pStyle w:val="Compact"/>
      </w:pPr>
      <w:r>
        <w:t xml:space="preserve">Why must a Redis-based limiter use a Lua script (or equivalent atomic operation) rather than</w:t>
      </w:r>
      <w:r>
        <w:t xml:space="preserve"> </w:t>
      </w:r>
      <w:r>
        <w:rPr>
          <w:rStyle w:val="VerbatimChar"/>
        </w:rPr>
        <w:t xml:space="preserve">GET</w:t>
      </w:r>
      <w:r>
        <w:t xml:space="preserve"> </w:t>
      </w:r>
      <w:r>
        <w:t xml:space="preserve">then</w:t>
      </w:r>
      <w:r>
        <w:t xml:space="preserve"> </w:t>
      </w:r>
      <w:r>
        <w:rPr>
          <w:rStyle w:val="VerbatimChar"/>
        </w:rPr>
        <w:t xml:space="preserve">SET</w:t>
      </w:r>
      <w:r>
        <w:t xml:space="preserve">?</w:t>
      </w:r>
    </w:p>
    <w:p>
      <w:pPr>
        <w:numPr>
          <w:ilvl w:val="0"/>
          <w:numId w:val="1744"/>
        </w:numPr>
        <w:pStyle w:val="Compact"/>
      </w:pPr>
      <w:r>
        <w:t xml:space="preserve">With 20 gateways synchronizing every 50 ms and 4,000 RPS offered for one key, what is the worst-case overshoot per second?</w:t>
      </w:r>
    </w:p>
    <w:p>
      <w:pPr>
        <w:numPr>
          <w:ilvl w:val="0"/>
          <w:numId w:val="1744"/>
        </w:numPr>
        <w:pStyle w:val="Compact"/>
      </w:pPr>
      <w:r>
        <w:t xml:space="preserve">A server handles 400 RPS; clients time out after 2 s; 600 RPS arrive. When does goodput collapse without shedding?</w:t>
      </w:r>
    </w:p>
    <w:p>
      <w:pPr>
        <w:numPr>
          <w:ilvl w:val="0"/>
          <w:numId w:val="1744"/>
        </w:numPr>
        <w:pStyle w:val="Compact"/>
      </w:pPr>
      <w:r>
        <w:t xml:space="preserve">Why does adaptive LIFO help an overloaded server?</w:t>
      </w:r>
    </w:p>
    <w:p>
      <w:pPr>
        <w:numPr>
          <w:ilvl w:val="0"/>
          <w:numId w:val="1744"/>
        </w:numPr>
        <w:pStyle w:val="Compact"/>
      </w:pPr>
      <w:r>
        <w:t xml:space="preserve">What does a timeout tell the caller about a write operation?</w:t>
      </w:r>
    </w:p>
    <w:p>
      <w:pPr>
        <w:numPr>
          <w:ilvl w:val="0"/>
          <w:numId w:val="1744"/>
        </w:numPr>
        <w:pStyle w:val="Compact"/>
      </w:pPr>
      <w:r>
        <w:t xml:space="preserve">Five layers each make up to 2 attempts. What is the worst-case amplification at the bottom?</w:t>
      </w:r>
    </w:p>
    <w:p>
      <w:pPr>
        <w:numPr>
          <w:ilvl w:val="0"/>
          <w:numId w:val="1744"/>
        </w:numPr>
        <w:pStyle w:val="Compact"/>
      </w:pPr>
      <w:r>
        <w:t xml:space="preserve">Why does a circuit breaker need a minimum call volume?</w:t>
      </w:r>
    </w:p>
    <w:p>
      <w:pPr>
        <w:numPr>
          <w:ilvl w:val="0"/>
          <w:numId w:val="1744"/>
        </w:numPr>
        <w:pStyle w:val="Compact"/>
      </w:pPr>
      <w:r>
        <w:t xml:space="preserve">What does the fencing check in an idempotency layer prevent?</w:t>
      </w:r>
    </w:p>
    <w:p>
      <w:pPr>
        <w:numPr>
          <w:ilvl w:val="0"/>
          <w:numId w:val="1744"/>
        </w:numPr>
        <w:pStyle w:val="Compact"/>
      </w:pPr>
      <w:r>
        <w:t xml:space="preserve">Name three request properties that should go into an idempotency fingerprint.</w:t>
      </w:r>
    </w:p>
    <w:p>
      <w:pPr>
        <w:pStyle w:val="FirstParagraph"/>
      </w:pPr>
      <w:r>
        <w:t xml:space="preserve">Answers</w:t>
      </w:r>
    </w:p>
    <w:p>
      <w:pPr>
        <w:numPr>
          <w:ilvl w:val="0"/>
          <w:numId w:val="1745"/>
        </w:numPr>
        <w:pStyle w:val="Compact"/>
      </w:pPr>
      <w:r>
        <w:t xml:space="preserve">It bounds each client individually; the sum of all clients’ allowed traffic can still exceed capacity. Global protection needs load shedding and backpressure.</w:t>
      </w:r>
    </w:p>
    <w:p>
      <w:pPr>
        <w:numPr>
          <w:ilvl w:val="0"/>
          <w:numId w:val="1745"/>
        </w:numPr>
        <w:pStyle w:val="Compact"/>
      </w:pPr>
      <m:oMath>
        <m:r>
          <m:t>A</m:t>
        </m:r>
        <m:d>
          <m:dPr>
            <m:begChr m:val="("/>
            <m:endChr m:val=")"/>
            <m:sepChr m:val=""/>
            <m:grow/>
          </m:dPr>
          <m:e>
            <m:r>
              <m:t>10</m:t>
            </m:r>
          </m:e>
        </m:d>
        <m:r>
          <m:rPr>
            <m:sty m:val="p"/>
          </m:rPr>
          <m:t>=</m:t>
        </m:r>
        <m:r>
          <m:t>200</m:t>
        </m:r>
        <m:r>
          <m:rPr>
            <m:sty m:val="p"/>
          </m:rPr>
          <m:t>+</m:t>
        </m:r>
        <m:r>
          <m:t>50</m:t>
        </m:r>
        <m:r>
          <m:rPr>
            <m:sty m:val="p"/>
          </m:rPr>
          <m:t>×</m:t>
        </m:r>
        <m:r>
          <m:t>10</m:t>
        </m:r>
        <m:r>
          <m:rPr>
            <m:sty m:val="p"/>
          </m:rPr>
          <m:t>=</m:t>
        </m:r>
        <m:r>
          <m:t>700</m:t>
        </m:r>
      </m:oMath>
      <w:r>
        <w:t xml:space="preserve"> </w:t>
      </w:r>
      <w:r>
        <w:t xml:space="preserve">requests; refill time</w:t>
      </w:r>
      <w:r>
        <w:t xml:space="preserve"> </w:t>
      </w:r>
      <m:oMath>
        <m:r>
          <m:t>b</m:t>
        </m:r>
        <m:r>
          <m:rPr>
            <m:sty m:val="p"/>
          </m:rPr>
          <m:t>/</m:t>
        </m:r>
        <m:r>
          <m:t>r</m:t>
        </m:r>
        <m:r>
          <m:rPr>
            <m:sty m:val="p"/>
          </m:rPr>
          <m:t>=</m:t>
        </m:r>
        <m:r>
          <m:t>200</m:t>
        </m:r>
        <m:r>
          <m:rPr>
            <m:sty m:val="p"/>
          </m:rPr>
          <m:t>/</m:t>
        </m:r>
        <m:r>
          <m:t>50</m:t>
        </m:r>
        <m:r>
          <m:rPr>
            <m:sty m:val="p"/>
          </m:rPr>
          <m:t>=</m:t>
        </m:r>
        <m:r>
          <m:t>4</m:t>
        </m:r>
      </m:oMath>
      <w:r>
        <w:t xml:space="preserve"> </w:t>
      </w:r>
      <w:r>
        <w:t xml:space="preserve">s.</w:t>
      </w:r>
    </w:p>
    <w:p>
      <w:pPr>
        <w:numPr>
          <w:ilvl w:val="0"/>
          <w:numId w:val="1745"/>
        </w:numPr>
        <w:pStyle w:val="Compact"/>
      </w:pPr>
      <w:r>
        <w:t xml:space="preserve">The queue form buffers requests and releases them at a constant rate (delaying them, smoothing output); the meter form admits or rejects immediately and is equivalent to a token bucket.</w:t>
      </w:r>
    </w:p>
    <w:p>
      <w:pPr>
        <w:numPr>
          <w:ilvl w:val="0"/>
          <w:numId w:val="1745"/>
        </w:numPr>
        <w:pStyle w:val="Compact"/>
      </w:pPr>
      <m:oMath>
        <m:r>
          <m:t>2</m:t>
        </m:r>
        <m:r>
          <m:t>L</m:t>
        </m:r>
        <m:r>
          <m:rPr>
            <m:sty m:val="p"/>
          </m:rPr>
          <m:t>=</m:t>
        </m:r>
        <m:r>
          <m:t>2</m:t>
        </m:r>
        <m:r>
          <m:rPr>
            <m:sty m:val="p"/>
          </m:rPr>
          <m:t>,</m:t>
        </m:r>
        <m:r>
          <m:t>000</m:t>
        </m:r>
      </m:oMath>
      <w:r>
        <w:t xml:space="preserve">, by spending a full quota at the end of one window and another at the start of the next.</w:t>
      </w:r>
    </w:p>
    <w:p>
      <w:pPr>
        <w:numPr>
          <w:ilvl w:val="0"/>
          <w:numId w:val="1745"/>
        </w:numPr>
        <w:pStyle w:val="Compact"/>
      </w:pPr>
      <m:oMath>
        <m:acc>
          <m:accPr>
            <m:chr m:val="̂"/>
          </m:accPr>
          <m:e>
            <m:r>
              <m:t>N</m:t>
            </m:r>
          </m:e>
        </m:acc>
        <m:r>
          <m:rPr>
            <m:sty m:val="p"/>
          </m:rPr>
          <m:t>=</m:t>
        </m:r>
        <m:r>
          <m:t>40</m:t>
        </m:r>
        <m:r>
          <m:rPr>
            <m:sty m:val="p"/>
          </m:rPr>
          <m:t>×</m:t>
        </m:r>
        <m:r>
          <m:t>0.5</m:t>
        </m:r>
        <m:r>
          <m:rPr>
            <m:sty m:val="p"/>
          </m:rPr>
          <m:t>+</m:t>
        </m:r>
        <m:r>
          <m:t>25</m:t>
        </m:r>
        <m:r>
          <m:rPr>
            <m:sty m:val="p"/>
          </m:rPr>
          <m:t>=</m:t>
        </m:r>
        <m:r>
          <m:t>45</m:t>
        </m:r>
      </m:oMath>
      <w:r>
        <w:t xml:space="preserve">;</w:t>
      </w:r>
      <w:r>
        <w:t xml:space="preserve"> </w:t>
      </w:r>
      <m:oMath>
        <m:r>
          <m:t>45</m:t>
        </m:r>
        <m:r>
          <m:rPr>
            <m:sty m:val="p"/>
          </m:rPr>
          <m:t>+</m:t>
        </m:r>
        <m:r>
          <m:t>1</m:t>
        </m:r>
        <m:r>
          <m:rPr>
            <m:sty m:val="p"/>
          </m:rPr>
          <m:t>≤</m:t>
        </m:r>
        <m:r>
          <m:t>60</m:t>
        </m:r>
      </m:oMath>
      <w:r>
        <w:t xml:space="preserve">, so yes.</w:t>
      </w:r>
    </w:p>
    <w:p>
      <w:pPr>
        <w:numPr>
          <w:ilvl w:val="0"/>
          <w:numId w:val="1745"/>
        </w:numPr>
        <w:pStyle w:val="Compact"/>
      </w:pPr>
      <w:r>
        <w:t xml:space="preserve">Between a read and a write, other nodes can read the same value and also admit, exceeding the limit and losing increments. A script runs atomically on the shard.</w:t>
      </w:r>
    </w:p>
    <w:p>
      <w:pPr>
        <w:numPr>
          <w:ilvl w:val="0"/>
          <w:numId w:val="1745"/>
        </w:numPr>
        <w:pStyle w:val="Compact"/>
      </w:pPr>
      <m:oMath>
        <m:sSub>
          <m:e>
            <m:r>
              <m:t>E</m:t>
            </m:r>
          </m:e>
          <m:sub>
            <m:r>
              <m:rPr>
                <m:sty m:val="p"/>
              </m:rPr>
              <m:t>max</m:t>
            </m:r>
          </m:sub>
        </m:sSub>
        <m:r>
          <m:rPr>
            <m:sty m:val="p"/>
          </m:rPr>
          <m:t>≈</m:t>
        </m:r>
        <m:r>
          <m:t>λ</m:t>
        </m:r>
        <m:r>
          <m:t>Δ</m:t>
        </m:r>
        <m:r>
          <m:rPr>
            <m:sty m:val="p"/>
          </m:rPr>
          <m:t>=</m:t>
        </m:r>
        <m:r>
          <m:t>4</m:t>
        </m:r>
        <m:r>
          <m:rPr>
            <m:sty m:val="p"/>
          </m:rPr>
          <m:t>,</m:t>
        </m:r>
        <m:r>
          <m:t>000</m:t>
        </m:r>
        <m:r>
          <m:rPr>
            <m:sty m:val="p"/>
          </m:rPr>
          <m:t>×</m:t>
        </m:r>
        <m:r>
          <m:t>0.05</m:t>
        </m:r>
        <m:r>
          <m:rPr>
            <m:sty m:val="p"/>
          </m:rPr>
          <m:t>=</m:t>
        </m:r>
        <m:r>
          <m:t>200</m:t>
        </m:r>
      </m:oMath>
      <w:r>
        <w:t xml:space="preserve"> </w:t>
      </w:r>
      <w:r>
        <w:t xml:space="preserve">requests.</w:t>
      </w:r>
    </w:p>
    <w:p>
      <w:pPr>
        <w:numPr>
          <w:ilvl w:val="0"/>
          <w:numId w:val="1745"/>
        </w:numPr>
        <w:pStyle w:val="Compact"/>
      </w:pPr>
      <m:oMath>
        <m:r>
          <m:t>t</m:t>
        </m:r>
        <m:r>
          <m:rPr>
            <m:sty m:val="p"/>
          </m:rPr>
          <m:t>=</m:t>
        </m:r>
        <m:r>
          <m:t>μ</m:t>
        </m:r>
        <m:r>
          <m:t>T</m:t>
        </m:r>
        <m:r>
          <m:rPr>
            <m:sty m:val="p"/>
          </m:rPr>
          <m:t>/</m:t>
        </m:r>
        <m:d>
          <m:dPr>
            <m:begChr m:val="("/>
            <m:endChr m:val=")"/>
            <m:sepChr m:val=""/>
            <m:grow/>
          </m:dPr>
          <m:e>
            <m:r>
              <m:t>λ</m:t>
            </m:r>
            <m:r>
              <m:rPr>
                <m:sty m:val="p"/>
              </m:rPr>
              <m:t>−</m:t>
            </m:r>
            <m:r>
              <m:t>μ</m:t>
            </m:r>
          </m:e>
        </m:d>
        <m:r>
          <m:rPr>
            <m:sty m:val="p"/>
          </m:rPr>
          <m:t>=</m:t>
        </m:r>
        <m:r>
          <m:t>400</m:t>
        </m:r>
        <m:r>
          <m:rPr>
            <m:sty m:val="p"/>
          </m:rPr>
          <m:t>×</m:t>
        </m:r>
        <m:r>
          <m:t>2</m:t>
        </m:r>
        <m:r>
          <m:rPr>
            <m:sty m:val="p"/>
          </m:rPr>
          <m:t>/</m:t>
        </m:r>
        <m:r>
          <m:t>200</m:t>
        </m:r>
        <m:r>
          <m:rPr>
            <m:sty m:val="p"/>
          </m:rPr>
          <m:t>=</m:t>
        </m:r>
        <m:r>
          <m:t>4</m:t>
        </m:r>
      </m:oMath>
      <w:r>
        <w:t xml:space="preserve"> </w:t>
      </w:r>
      <w:r>
        <w:t xml:space="preserve">s.</w:t>
      </w:r>
    </w:p>
    <w:p>
      <w:pPr>
        <w:numPr>
          <w:ilvl w:val="0"/>
          <w:numId w:val="1745"/>
        </w:numPr>
        <w:pStyle w:val="Compact"/>
      </w:pPr>
      <w:r>
        <w:t xml:space="preserve">Under a standing queue the oldest requests have probably timed out at the client; serving the newest first spends capacity on requests someone is still waiting for.</w:t>
      </w:r>
    </w:p>
    <w:p>
      <w:pPr>
        <w:numPr>
          <w:ilvl w:val="0"/>
          <w:numId w:val="1745"/>
        </w:numPr>
        <w:pStyle w:val="Compact"/>
      </w:pPr>
      <w:r>
        <w:t xml:space="preserve">Nothing definite: the write may not have arrived, may have failed, or may have succeeded with the response lost.</w:t>
      </w:r>
    </w:p>
    <w:p>
      <w:pPr>
        <w:numPr>
          <w:ilvl w:val="0"/>
          <w:numId w:val="1745"/>
        </w:numPr>
        <w:pStyle w:val="Compact"/>
      </w:pPr>
      <m:oMath>
        <m:sSup>
          <m:e>
            <m:r>
              <m:t>2</m:t>
            </m:r>
          </m:e>
          <m:sup>
            <m:r>
              <m:t>5</m:t>
            </m:r>
          </m:sup>
        </m:sSup>
        <m:r>
          <m:rPr>
            <m:sty m:val="p"/>
          </m:rPr>
          <m:t>=</m:t>
        </m:r>
        <m:r>
          <m:t>32</m:t>
        </m:r>
      </m:oMath>
      <w:r>
        <w:t xml:space="preserve">.</w:t>
      </w:r>
    </w:p>
    <w:p>
      <w:pPr>
        <w:numPr>
          <w:ilvl w:val="0"/>
          <w:numId w:val="1745"/>
        </w:numPr>
        <w:pStyle w:val="Compact"/>
      </w:pPr>
      <w:r>
        <w:t xml:space="preserve">Without it, a handful of failures at low traffic (2 of 3 calls) would exceed a percentage threshold and trip the breaker on noise.</w:t>
      </w:r>
    </w:p>
    <w:p>
      <w:pPr>
        <w:numPr>
          <w:ilvl w:val="0"/>
          <w:numId w:val="1745"/>
        </w:numPr>
        <w:pStyle w:val="Compact"/>
      </w:pPr>
      <w:r>
        <w:t xml:space="preserve">A slow worker whose lease expired committing its result after another worker took over, which would execute the operation twice.</w:t>
      </w:r>
    </w:p>
    <w:p>
      <w:pPr>
        <w:numPr>
          <w:ilvl w:val="0"/>
          <w:numId w:val="1745"/>
        </w:numPr>
        <w:pStyle w:val="Compact"/>
      </w:pPr>
      <w:r>
        <w:t xml:space="preserve">HTTP method, path (resource), and canonicalized body; optionally the API version and relevant headers.</w:t>
      </w:r>
    </w:p>
    <w:bookmarkEnd w:id="2547"/>
    <w:bookmarkStart w:id="2551" w:name="interview-questions-21"/>
    <w:p>
      <w:pPr>
        <w:pStyle w:val="Heading2"/>
      </w:pPr>
      <w:r>
        <w:t xml:space="preserve">22.18 Interview questions</w:t>
      </w:r>
    </w:p>
    <w:bookmarkStart w:id="2548" w:name="basic-21"/>
    <w:p>
      <w:pPr>
        <w:pStyle w:val="Heading3"/>
      </w:pPr>
      <w:r>
        <w:t xml:space="preserve">Basic</w:t>
      </w:r>
    </w:p>
    <w:p>
      <w:pPr>
        <w:pStyle w:val="FirstParagraph"/>
      </w:pPr>
      <w:r>
        <w:rPr>
          <w:bCs/>
          <w:b/>
        </w:rPr>
        <w:t xml:space="preserve">Q1. Design a rate limiter for a public API.</w:t>
      </w:r>
      <w:r>
        <w:t xml:space="preserve"> </w:t>
      </w:r>
      <w:r>
        <w:rPr>
          <w:bCs/>
          <w:b/>
        </w:rPr>
        <w:t xml:space="preserve">Answer.</w:t>
      </w:r>
      <w:r>
        <w:t xml:space="preserve"> </w:t>
      </w:r>
      <w:r>
        <w:t xml:space="preserve">Clarify keys (API key; per-IP before authentication), tiers (rate and burst) and accuracy. Token bucket per key in Redis, updated by an atomic Lua script from the gateway; 429 with</w:t>
      </w:r>
      <w:r>
        <w:t xml:space="preserve"> </w:t>
      </w:r>
      <w:r>
        <w:rPr>
          <w:rStyle w:val="VerbatimChar"/>
        </w:rPr>
        <w:t xml:space="preserve">Retry-After</w:t>
      </w:r>
      <w:r>
        <w:t xml:space="preserve"> </w:t>
      </w:r>
      <w:r>
        <w:t xml:space="preserve">and</w:t>
      </w:r>
      <w:r>
        <w:t xml:space="preserve"> </w:t>
      </w:r>
      <w:r>
        <w:rPr>
          <w:rStyle w:val="VerbatimChar"/>
        </w:rPr>
        <w:t xml:space="preserve">RateLimit</w:t>
      </w:r>
      <w:r>
        <w:t xml:space="preserve"> </w:t>
      </w:r>
      <w:r>
        <w:t xml:space="preserve">headers. Discuss the added round trip, hot keys, fail-open versus fail-closed, and hierarchical tenant and route limits.</w:t>
      </w:r>
    </w:p>
    <w:p>
      <w:pPr>
        <w:pStyle w:val="BodyText"/>
      </w:pPr>
      <w:r>
        <w:rPr>
          <w:bCs/>
          <w:b/>
        </w:rPr>
        <w:t xml:space="preserve">Q2. Why add jitter to exponential backoff?</w:t>
      </w:r>
      <w:r>
        <w:t xml:space="preserve"> </w:t>
      </w:r>
      <w:r>
        <w:rPr>
          <w:bCs/>
          <w:b/>
        </w:rPr>
        <w:t xml:space="preserve">Answer.</w:t>
      </w:r>
      <w:r>
        <w:t xml:space="preserve"> </w:t>
      </w:r>
      <w:r>
        <w:t xml:space="preserve">Clients that failed together back off by identical amounts and retry together, so each wave collides again. Randomizing the wait spreads retries over time; in this chapter’s simulation, jitter reduced calls from 5,050 to about 460 for 100 contending clients.</w:t>
      </w:r>
    </w:p>
    <w:bookmarkEnd w:id="2548"/>
    <w:bookmarkStart w:id="2549" w:name="intermediate-21"/>
    <w:p>
      <w:pPr>
        <w:pStyle w:val="Heading3"/>
      </w:pPr>
      <w:r>
        <w:t xml:space="preserve">Intermediate</w:t>
      </w:r>
    </w:p>
    <w:p>
      <w:pPr>
        <w:pStyle w:val="FirstParagraph"/>
      </w:pPr>
      <w:r>
        <w:rPr>
          <w:bCs/>
          <w:b/>
        </w:rPr>
        <w:t xml:space="preserve">Q3. Compare token bucket, fixed window and sliding window counter for a 100-requests-per-minute limit.</w:t>
      </w:r>
      <w:r>
        <w:t xml:space="preserve"> </w:t>
      </w:r>
      <w:r>
        <w:rPr>
          <w:bCs/>
          <w:b/>
        </w:rPr>
        <w:t xml:space="preserve">Answer.</w:t>
      </w:r>
      <w:r>
        <w:t xml:space="preserve"> </w:t>
      </w:r>
      <w:r>
        <w:t xml:space="preserve">Token bucket (</w:t>
      </w:r>
      <m:oMath>
        <m:r>
          <m:t>r</m:t>
        </m:r>
        <m:r>
          <m:rPr>
            <m:sty m:val="p"/>
          </m:rPr>
          <m:t>=</m:t>
        </m:r>
        <m:r>
          <m:t>1.67</m:t>
        </m:r>
      </m:oMath>
      <w:r>
        <w:t xml:space="preserve">/s,</w:t>
      </w:r>
      <w:r>
        <w:t xml:space="preserve"> </w:t>
      </w:r>
      <m:oMath>
        <m:r>
          <m:t>b</m:t>
        </m:r>
      </m:oMath>
      <w:r>
        <w:t xml:space="preserve"> </w:t>
      </w:r>
      <w:r>
        <w:t xml:space="preserve">chosen for bursts) is exact, two numbers per key, controls bursts explicitly. Fixed window is one counter but admits up to 200 across a boundary. Sliding counter is two counters and approximates a true sliding minute well for random traffic (5–13% worst-window overshoot in simulation) but is biased for periodic traffic. Choose token bucket for API admission, fixed windows for coarse daily quotas.</w:t>
      </w:r>
    </w:p>
    <w:p>
      <w:pPr>
        <w:pStyle w:val="BodyText"/>
      </w:pPr>
      <w:r>
        <w:rPr>
          <w:bCs/>
          <w:b/>
        </w:rPr>
        <w:t xml:space="preserve">Q4. A dependency gets slow and your service’s p99 explodes even for endpoints that don’t call it. Why and what do you change?</w:t>
      </w:r>
      <w:r>
        <w:t xml:space="preserve"> </w:t>
      </w:r>
      <w:r>
        <w:rPr>
          <w:bCs/>
          <w:b/>
        </w:rPr>
        <w:t xml:space="preserve">Answer.</w:t>
      </w:r>
      <w:r>
        <w:t xml:space="preserve"> </w:t>
      </w:r>
      <w:r>
        <w:t xml:space="preserve">The slow dependency holds threads from a shared pool (Little’s Law: in-flight</w:t>
      </w:r>
      <w:r>
        <w:t xml:space="preserve"> </w:t>
      </w:r>
      <m:oMath>
        <m:r>
          <m:rPr>
            <m:sty m:val="p"/>
          </m:rPr>
          <m:t>=</m:t>
        </m:r>
        <m:r>
          <m:t>λ</m:t>
        </m:r>
        <m:r>
          <m:t>W</m:t>
        </m:r>
      </m:oMath>
      <w:r>
        <w:t xml:space="preserve"> </w:t>
      </w:r>
      <w:r>
        <w:t xml:space="preserve">grows with</w:t>
      </w:r>
      <w:r>
        <w:t xml:space="preserve"> </w:t>
      </w:r>
      <m:oMath>
        <m:r>
          <m:t>W</m:t>
        </m:r>
      </m:oMath>
      <w:r>
        <w:t xml:space="preserve">), starving other endpoints. Add timeouts set from the dependency’s p99.9, a bulkhead (dedicated pool or semaphore) sized for normal concurrency, a circuit breaker to fail fast, and a fallback.</w:t>
      </w:r>
    </w:p>
    <w:bookmarkEnd w:id="2549"/>
    <w:bookmarkStart w:id="2550" w:name="advanced-21"/>
    <w:p>
      <w:pPr>
        <w:pStyle w:val="Heading3"/>
      </w:pPr>
      <w:r>
        <w:t xml:space="preserve">Advanced</w:t>
      </w:r>
    </w:p>
    <w:p>
      <w:pPr>
        <w:pStyle w:val="FirstParagraph"/>
      </w:pPr>
      <w:r>
        <w:rPr>
          <w:bCs/>
          <w:b/>
        </w:rPr>
        <w:t xml:space="preserve">Q5. Design idempotent payment creation across your API and an external payment provider.</w:t>
      </w:r>
      <w:r>
        <w:t xml:space="preserve"> </w:t>
      </w:r>
      <w:r>
        <w:rPr>
          <w:bCs/>
          <w:b/>
        </w:rPr>
        <w:t xml:space="preserve">Answer.</w:t>
      </w:r>
      <w:r>
        <w:t xml:space="preserve"> </w:t>
      </w:r>
      <w:r>
        <w:t xml:space="preserve">Client generates a UUID key per checkout and persists it; server scopes keys per account, stores fingerprint and status with a uniqueness constraint; concurrent duplicates get 409; mismatched bodies 422. The server passes a derived key to the provider so that a crash between charge and commit is safe to retry; it splits work into atomic phases with recovery points; stores the final response atomically with local state; leases claims and fences completions; retains keys longer than the client’s retry horizon; and reconciles stuck in-progress keys with the provider.</w:t>
      </w:r>
    </w:p>
    <w:p>
      <w:pPr>
        <w:pStyle w:val="BodyText"/>
      </w:pPr>
      <w:r>
        <w:rPr>
          <w:bCs/>
          <w:b/>
        </w:rPr>
        <w:t xml:space="preserve">Q6. A five-service call chain melts down during a database brownout. Explain the dynamics and a fix.</w:t>
      </w:r>
      <w:r>
        <w:t xml:space="preserve"> </w:t>
      </w:r>
      <w:r>
        <w:rPr>
          <w:bCs/>
          <w:b/>
        </w:rPr>
        <w:t xml:space="preserve">Answer.</w:t>
      </w:r>
      <w:r>
        <w:t xml:space="preserve"> </w:t>
      </w:r>
      <w:r>
        <w:t xml:space="preserve">Each layer retries three times, so load at the database multiplies up to</w:t>
      </w:r>
      <w:r>
        <w:t xml:space="preserve"> </w:t>
      </w:r>
      <m:oMath>
        <m:sSup>
          <m:e>
            <m:r>
              <m:t>3</m:t>
            </m:r>
          </m:e>
          <m:sup>
            <m:r>
              <m:t>5</m:t>
            </m:r>
          </m:sup>
        </m:sSup>
        <m:r>
          <m:rPr>
            <m:sty m:val="p"/>
          </m:rPr>
          <m:t>=</m:t>
        </m:r>
        <m:r>
          <m:t>243</m:t>
        </m:r>
        <m:r>
          <m:rPr>
            <m:sty m:val="p"/>
          </m:rPr>
          <m:t>×</m:t>
        </m:r>
      </m:oMath>
      <w:r>
        <w:t xml:space="preserve">; queues grow beyond client timeouts so goodput collapses; fixed per-hop timeouts keep inner calls running after the user has given up. Fix: retry at one layer with jittered backoff and a 10% budget, propagate deadlines, shed sheddable traffic by priority with bounded queues, add circuit breakers at each dependency, and use adaptive client throttling.</w:t>
      </w:r>
    </w:p>
    <w:bookmarkEnd w:id="2550"/>
    <w:bookmarkEnd w:id="2551"/>
    <w:bookmarkStart w:id="2552" w:name="practical-exercises-21"/>
    <w:p>
      <w:pPr>
        <w:pStyle w:val="Heading2"/>
      </w:pPr>
      <w:r>
        <w:t xml:space="preserve">22.19 Practical exercises</w:t>
      </w:r>
    </w:p>
    <w:p>
      <w:pPr>
        <w:numPr>
          <w:ilvl w:val="0"/>
          <w:numId w:val="1746"/>
        </w:numPr>
        <w:pStyle w:val="Compact"/>
      </w:pPr>
      <w:r>
        <w:t xml:space="preserve">Extend the</w:t>
      </w:r>
      <w:r>
        <w:t xml:space="preserve"> </w:t>
      </w:r>
      <w:r>
        <w:rPr>
          <w:rStyle w:val="VerbatimChar"/>
        </w:rPr>
        <w:t xml:space="preserve">TokenBucket</w:t>
      </w:r>
      <w:r>
        <w:t xml:space="preserve"> </w:t>
      </w:r>
      <w:r>
        <w:t xml:space="preserve">class with per-request cost and a</w:t>
      </w:r>
      <w:r>
        <w:t xml:space="preserve"> </w:t>
      </w:r>
      <w:r>
        <w:rPr>
          <w:rStyle w:val="VerbatimChar"/>
        </w:rPr>
        <w:t xml:space="preserve">RateLimit</w:t>
      </w:r>
      <w:r>
        <w:t xml:space="preserve"> </w:t>
      </w:r>
      <w:r>
        <w:t xml:space="preserve">header generator; test with a fake clock that a 5-token upload request is rejected when 3 tokens remain and that</w:t>
      </w:r>
      <w:r>
        <w:t xml:space="preserve"> </w:t>
      </w:r>
      <w:r>
        <w:rPr>
          <w:rStyle w:val="VerbatimChar"/>
        </w:rPr>
        <w:t xml:space="preserve">Retry-After</w:t>
      </w:r>
      <w:r>
        <w:t xml:space="preserve"> </w:t>
      </w:r>
      <w:r>
        <w:t xml:space="preserve">is correct.</w:t>
      </w:r>
    </w:p>
    <w:p>
      <w:pPr>
        <w:numPr>
          <w:ilvl w:val="0"/>
          <w:numId w:val="1746"/>
        </w:numPr>
        <w:pStyle w:val="Compact"/>
      </w:pPr>
      <w:r>
        <w:t xml:space="preserve">Run the Lua script from §22.8.2 against a local Redis, then write a version</w:t>
      </w:r>
      <w:r>
        <w:t xml:space="preserve"> </w:t>
      </w:r>
      <w:r>
        <w:rPr>
          <w:iCs/>
          <w:i/>
        </w:rPr>
        <w:t xml:space="preserve">without</w:t>
      </w:r>
      <w:r>
        <w:t xml:space="preserve"> </w:t>
      </w:r>
      <w:r>
        <w:t xml:space="preserve">atomicity (separate</w:t>
      </w:r>
      <w:r>
        <w:t xml:space="preserve"> </w:t>
      </w:r>
      <w:r>
        <w:rPr>
          <w:rStyle w:val="VerbatimChar"/>
        </w:rPr>
        <w:t xml:space="preserve">HMGET</w:t>
      </w:r>
      <w:r>
        <w:t xml:space="preserve"> </w:t>
      </w:r>
      <w:r>
        <w:t xml:space="preserve">and</w:t>
      </w:r>
      <w:r>
        <w:t xml:space="preserve"> </w:t>
      </w:r>
      <w:r>
        <w:rPr>
          <w:rStyle w:val="VerbatimChar"/>
        </w:rPr>
        <w:t xml:space="preserve">HSET</w:t>
      </w:r>
      <w:r>
        <w:t xml:space="preserve"> </w:t>
      </w:r>
      <w:r>
        <w:t xml:space="preserve">from 20 concurrent threads) and measure how many requests exceed the limit.</w:t>
      </w:r>
    </w:p>
    <w:p>
      <w:pPr>
        <w:numPr>
          <w:ilvl w:val="0"/>
          <w:numId w:val="1746"/>
        </w:numPr>
        <w:pStyle w:val="Compact"/>
      </w:pPr>
      <w:r>
        <w:t xml:space="preserve">Modify the distributed limiter simulation so that node 0’s share of traffic jumps from 10% to 60% at</w:t>
      </w:r>
      <w:r>
        <w:t xml:space="preserve"> </w:t>
      </w:r>
      <m:oMath>
        <m:r>
          <m:t>t</m:t>
        </m:r>
        <m:r>
          <m:rPr>
            <m:sty m:val="p"/>
          </m:rPr>
          <m:t>=</m:t>
        </m:r>
        <m:r>
          <m:t>10</m:t>
        </m:r>
      </m:oMath>
      <w:r>
        <w:t xml:space="preserve"> </w:t>
      </w:r>
      <w:r>
        <w:t xml:space="preserve">s. Measure how long each strategy under- or over-admits.</w:t>
      </w:r>
    </w:p>
    <w:p>
      <w:pPr>
        <w:numPr>
          <w:ilvl w:val="0"/>
          <w:numId w:val="1746"/>
        </w:numPr>
        <w:pStyle w:val="Compact"/>
      </w:pPr>
      <w:r>
        <w:t xml:space="preserve">Add a retry budget (10% token bucket) to the backoff simulation and measure total calls when the resource fails every call for 5 s.</w:t>
      </w:r>
    </w:p>
    <w:p>
      <w:pPr>
        <w:numPr>
          <w:ilvl w:val="0"/>
          <w:numId w:val="1746"/>
        </w:numPr>
        <w:pStyle w:val="Compact"/>
      </w:pPr>
      <w:r>
        <w:t xml:space="preserve">Port the idempotency layer to PostgreSQL and test concurrent claims from two processes with</w:t>
      </w:r>
      <w:r>
        <w:t xml:space="preserve"> </w:t>
      </w:r>
      <w:r>
        <w:rPr>
          <w:rStyle w:val="VerbatimChar"/>
        </w:rPr>
        <w:t xml:space="preserve">INSERT ... ON CONFLICT DO NOTHING</w:t>
      </w:r>
      <w:r>
        <w:t xml:space="preserve">.</w:t>
      </w:r>
    </w:p>
    <w:bookmarkEnd w:id="2552"/>
    <w:bookmarkStart w:id="2553" w:name="design-challenges-21"/>
    <w:p>
      <w:pPr>
        <w:pStyle w:val="Heading2"/>
      </w:pPr>
      <w:r>
        <w:t xml:space="preserve">22.20 Design challenges</w:t>
      </w:r>
    </w:p>
    <w:p>
      <w:pPr>
        <w:numPr>
          <w:ilvl w:val="0"/>
          <w:numId w:val="1747"/>
        </w:numPr>
        <w:pStyle w:val="Compact"/>
      </w:pPr>
      <w:r>
        <w:rPr>
          <w:bCs/>
          <w:b/>
        </w:rPr>
        <w:t xml:space="preserve">Multi-tier quota service.</w:t>
      </w:r>
      <w:r>
        <w:t xml:space="preserve"> </w:t>
      </w:r>
      <w:r>
        <w:t xml:space="preserve">A SaaS platform with 50,000 tenants, 200 gateway nodes in three regions and 1 million RPS must enforce per-tenant per-minute quotas and per-user burst limits with less than 1 ms added p99 latency. Choose algorithms, storage and synchronization; quantify overshoot and coordination traffic; define behavior during a region partition.</w:t>
      </w:r>
    </w:p>
    <w:p>
      <w:pPr>
        <w:numPr>
          <w:ilvl w:val="0"/>
          <w:numId w:val="1747"/>
        </w:numPr>
        <w:pStyle w:val="Compact"/>
      </w:pPr>
      <w:r>
        <w:rPr>
          <w:bCs/>
          <w:b/>
        </w:rPr>
        <w:t xml:space="preserve">Overload-proof checkout.</w:t>
      </w:r>
      <w:r>
        <w:t xml:space="preserve"> </w:t>
      </w:r>
      <w:r>
        <w:t xml:space="preserve">Design PhotoShare Pro’s purchase path to survive a 5× traffic spike and a 10-minute payment-provider brownout without double charges: deadlines, retries, breakers, bulkheads, shedding priorities and the idempotency layer, with a failure-mode table.</w:t>
      </w:r>
    </w:p>
    <w:bookmarkEnd w:id="2553"/>
    <w:bookmarkStart w:id="2554" w:name="references-21"/>
    <w:p>
      <w:pPr>
        <w:pStyle w:val="Heading2"/>
      </w:pPr>
      <w:r>
        <w:t xml:space="preserve">22.21 References</w:t>
      </w:r>
    </w:p>
    <w:p>
      <w:pPr>
        <w:numPr>
          <w:ilvl w:val="0"/>
          <w:numId w:val="1748"/>
        </w:numPr>
        <w:pStyle w:val="Compact"/>
      </w:pPr>
      <w:r>
        <w:t xml:space="preserve">Amazon Web Services.</w:t>
      </w:r>
      <w:r>
        <w:t xml:space="preserve"> </w:t>
      </w:r>
      <w:r>
        <w:rPr>
          <w:iCs/>
          <w:i/>
        </w:rPr>
        <w:t xml:space="preserve">Throttle requests to your REST APIs for better throughput in API Gateway</w:t>
      </w:r>
      <w:r>
        <w:t xml:space="preserve">. AWS Documentation, accessed 2026. https://docs.aws.amazon.com/apigateway/latest/developerguide/api-gateway-request-throttling.html</w:t>
      </w:r>
    </w:p>
    <w:p>
      <w:pPr>
        <w:numPr>
          <w:ilvl w:val="0"/>
          <w:numId w:val="1748"/>
        </w:numPr>
        <w:pStyle w:val="Compact"/>
      </w:pPr>
      <w:r>
        <w:t xml:space="preserve">Amazon Web Services.</w:t>
      </w:r>
      <w:r>
        <w:t xml:space="preserve"> </w:t>
      </w:r>
      <w:r>
        <w:rPr>
          <w:iCs/>
          <w:i/>
        </w:rPr>
        <w:t xml:space="preserve">Retry behavior</w:t>
      </w:r>
      <w:r>
        <w:t xml:space="preserve">. AWS SDKs and Tools Reference Guide, accessed 2026. https://docs.aws.amazon.com/sdkref/latest/guide/feature-retry-behavior.html</w:t>
      </w:r>
    </w:p>
    <w:p>
      <w:pPr>
        <w:numPr>
          <w:ilvl w:val="0"/>
          <w:numId w:val="1748"/>
        </w:numPr>
        <w:pStyle w:val="Compact"/>
      </w:pPr>
      <w:r>
        <w:t xml:space="preserve">ATM Forum.</w:t>
      </w:r>
      <w:r>
        <w:t xml:space="preserve"> </w:t>
      </w:r>
      <w:r>
        <w:rPr>
          <w:iCs/>
          <w:i/>
        </w:rPr>
        <w:t xml:space="preserve">Traffic Management Specification Version 4.0</w:t>
      </w:r>
      <w:r>
        <w:t xml:space="preserve"> </w:t>
      </w:r>
      <w:r>
        <w:t xml:space="preserve">(af-tm-0056.000). ATM Forum, 1996.</w:t>
      </w:r>
    </w:p>
    <w:p>
      <w:pPr>
        <w:numPr>
          <w:ilvl w:val="0"/>
          <w:numId w:val="1748"/>
        </w:numPr>
        <w:pStyle w:val="Compact"/>
      </w:pPr>
      <w:r>
        <w:t xml:space="preserve">Beyer, B., Jones, C., Petoff, J., Murphy, N. R. (eds.).</w:t>
      </w:r>
      <w:r>
        <w:t xml:space="preserve"> </w:t>
      </w:r>
      <w:r>
        <w:rPr>
          <w:iCs/>
          <w:i/>
        </w:rPr>
        <w:t xml:space="preserve">Site Reliability Engineering: How Google Runs Production Systems</w:t>
      </w:r>
      <w:r>
        <w:t xml:space="preserve">, ch. 21</w:t>
      </w:r>
      <w:r>
        <w:t xml:space="preserve"> </w:t>
      </w:r>
      <w:r>
        <w:t xml:space="preserve">“</w:t>
      </w:r>
      <w:r>
        <w:t xml:space="preserve">Handling Overload</w:t>
      </w:r>
      <w:r>
        <w:t xml:space="preserve">”</w:t>
      </w:r>
      <w:r>
        <w:t xml:space="preserve"> </w:t>
      </w:r>
      <w:r>
        <w:t xml:space="preserve">and ch. 22</w:t>
      </w:r>
      <w:r>
        <w:t xml:space="preserve"> </w:t>
      </w:r>
      <w:r>
        <w:t xml:space="preserve">“</w:t>
      </w:r>
      <w:r>
        <w:t xml:space="preserve">Addressing Cascading Failures</w:t>
      </w:r>
      <w:r>
        <w:t xml:space="preserve">”</w:t>
      </w:r>
      <w:r>
        <w:t xml:space="preserve">. O’Reilly, 2016. https://sre.google/sre-book/table-of-contents/</w:t>
      </w:r>
    </w:p>
    <w:p>
      <w:pPr>
        <w:numPr>
          <w:ilvl w:val="0"/>
          <w:numId w:val="1748"/>
        </w:numPr>
        <w:pStyle w:val="Compact"/>
      </w:pPr>
      <w:r>
        <w:t xml:space="preserve">Brooker, M.</w:t>
      </w:r>
      <w:r>
        <w:t xml:space="preserve"> </w:t>
      </w:r>
      <w:r>
        <w:rPr>
          <w:iCs/>
          <w:i/>
        </w:rPr>
        <w:t xml:space="preserve">Exponential Backoff and Jitter</w:t>
      </w:r>
      <w:r>
        <w:t xml:space="preserve">. AWS Architecture Blog, 2015. https://aws.amazon.com/blogs/architecture/exponential-backoff-and-jitter/</w:t>
      </w:r>
    </w:p>
    <w:p>
      <w:pPr>
        <w:numPr>
          <w:ilvl w:val="0"/>
          <w:numId w:val="1748"/>
        </w:numPr>
        <w:pStyle w:val="Compact"/>
      </w:pPr>
      <w:r>
        <w:t xml:space="preserve">Brooker, M.</w:t>
      </w:r>
      <w:r>
        <w:t xml:space="preserve"> </w:t>
      </w:r>
      <w:r>
        <w:rPr>
          <w:iCs/>
          <w:i/>
        </w:rPr>
        <w:t xml:space="preserve">Timeouts, retries, and backoff with jitter</w:t>
      </w:r>
      <w:r>
        <w:t xml:space="preserve">. Amazon Builders’ Library, 2019. https://aws.amazon.com/builders-library/timeouts-retries-and-backoff-with-jitter/</w:t>
      </w:r>
    </w:p>
    <w:p>
      <w:pPr>
        <w:numPr>
          <w:ilvl w:val="0"/>
          <w:numId w:val="1748"/>
        </w:numPr>
        <w:pStyle w:val="Compact"/>
      </w:pPr>
      <w:r>
        <w:t xml:space="preserve">Desgats, J.</w:t>
      </w:r>
      <w:r>
        <w:t xml:space="preserve"> </w:t>
      </w:r>
      <w:r>
        <w:rPr>
          <w:iCs/>
          <w:i/>
        </w:rPr>
        <w:t xml:space="preserve">How we built rate limiting capable of scaling to millions of domains</w:t>
      </w:r>
      <w:r>
        <w:t xml:space="preserve">. Cloudflare Blog, 2017.</w:t>
      </w:r>
    </w:p>
    <w:p>
      <w:pPr>
        <w:numPr>
          <w:ilvl w:val="0"/>
          <w:numId w:val="1748"/>
        </w:numPr>
        <w:pStyle w:val="Compact"/>
      </w:pPr>
      <w:r>
        <w:t xml:space="preserve">Envoy Project.</w:t>
      </w:r>
      <w:r>
        <w:t xml:space="preserve"> </w:t>
      </w:r>
      <w:r>
        <w:rPr>
          <w:iCs/>
          <w:i/>
        </w:rPr>
        <w:t xml:space="preserve">Global rate limiting</w:t>
      </w:r>
      <w:r>
        <w:t xml:space="preserve">,</w:t>
      </w:r>
      <w:r>
        <w:t xml:space="preserve"> </w:t>
      </w:r>
      <w:r>
        <w:rPr>
          <w:iCs/>
          <w:i/>
        </w:rPr>
        <w:t xml:space="preserve">Local rate limit filter</w:t>
      </w:r>
      <w:r>
        <w:t xml:space="preserve"> </w:t>
      </w:r>
      <w:r>
        <w:t xml:space="preserve">and</w:t>
      </w:r>
      <w:r>
        <w:t xml:space="preserve"> </w:t>
      </w:r>
      <w:r>
        <w:rPr>
          <w:iCs/>
          <w:i/>
        </w:rPr>
        <w:t xml:space="preserve">Circuit breaking</w:t>
      </w:r>
      <w:r>
        <w:t xml:space="preserve"> </w:t>
      </w:r>
      <w:r>
        <w:t xml:space="preserve">(retry budgets). Envoy Proxy documentation, accessed 2026. https://www.envoyproxy.io/docs</w:t>
      </w:r>
    </w:p>
    <w:p>
      <w:pPr>
        <w:numPr>
          <w:ilvl w:val="0"/>
          <w:numId w:val="1748"/>
        </w:numPr>
        <w:pStyle w:val="Compact"/>
      </w:pPr>
      <w:r>
        <w:t xml:space="preserve">Fowler, M.</w:t>
      </w:r>
      <w:r>
        <w:t xml:space="preserve"> </w:t>
      </w:r>
      <w:r>
        <w:rPr>
          <w:iCs/>
          <w:i/>
        </w:rPr>
        <w:t xml:space="preserve">CircuitBreaker</w:t>
      </w:r>
      <w:r>
        <w:t xml:space="preserve">. martinfowler.com, 2014. https://martinfowler.com/bliki/CircuitBreaker.html</w:t>
      </w:r>
    </w:p>
    <w:p>
      <w:pPr>
        <w:numPr>
          <w:ilvl w:val="0"/>
          <w:numId w:val="1748"/>
        </w:numPr>
        <w:pStyle w:val="Compact"/>
      </w:pPr>
      <w:r>
        <w:t xml:space="preserve">GitHub.</w:t>
      </w:r>
      <w:r>
        <w:t xml:space="preserve"> </w:t>
      </w:r>
      <w:r>
        <w:rPr>
          <w:iCs/>
          <w:i/>
        </w:rPr>
        <w:t xml:space="preserve">Rate limits for the REST API</w:t>
      </w:r>
      <w:r>
        <w:t xml:space="preserve">. GitHub Docs, accessed 2026. https://docs.github.com/en/rest/using-the-rest-api/rate-limits-for-the-rest-api</w:t>
      </w:r>
    </w:p>
    <w:p>
      <w:pPr>
        <w:numPr>
          <w:ilvl w:val="0"/>
          <w:numId w:val="1748"/>
        </w:numPr>
        <w:pStyle w:val="Compact"/>
      </w:pPr>
      <w:r>
        <w:t xml:space="preserve">gRPC Authors.</w:t>
      </w:r>
      <w:r>
        <w:t xml:space="preserve"> </w:t>
      </w:r>
      <w:r>
        <w:rPr>
          <w:iCs/>
          <w:i/>
        </w:rPr>
        <w:t xml:space="preserve">Deadlines</w:t>
      </w:r>
      <w:r>
        <w:t xml:space="preserve">. gRPC documentation, accessed 2026. https://grpc.io/docs/guides/deadlines/</w:t>
      </w:r>
    </w:p>
    <w:p>
      <w:pPr>
        <w:numPr>
          <w:ilvl w:val="0"/>
          <w:numId w:val="1748"/>
        </w:numPr>
        <w:pStyle w:val="Compact"/>
      </w:pPr>
      <w:r>
        <w:t xml:space="preserve">ITU-T.</w:t>
      </w:r>
      <w:r>
        <w:t xml:space="preserve"> </w:t>
      </w:r>
      <w:r>
        <w:rPr>
          <w:iCs/>
          <w:i/>
        </w:rPr>
        <w:t xml:space="preserve">Recommendation I.371: Traffic control and congestion control in B-ISDN</w:t>
      </w:r>
      <w:r>
        <w:t xml:space="preserve">. International Telecommunication Union (several editions since 1993).</w:t>
      </w:r>
    </w:p>
    <w:p>
      <w:pPr>
        <w:numPr>
          <w:ilvl w:val="0"/>
          <w:numId w:val="1748"/>
        </w:numPr>
        <w:pStyle w:val="Compact"/>
      </w:pPr>
      <w:r>
        <w:t xml:space="preserve">Jena, J., Dalal, S.</w:t>
      </w:r>
      <w:r>
        <w:t xml:space="preserve"> </w:t>
      </w:r>
      <w:r>
        <w:rPr>
          <w:iCs/>
          <w:i/>
        </w:rPr>
        <w:t xml:space="preserve">The Idempotency-Key HTTP Header Field</w:t>
      </w:r>
      <w:r>
        <w:t xml:space="preserve">. IETF Internet-Draft draft-ietf-httpapi-idempotency-key-header, work in progress (revision -07, October 2025).</w:t>
      </w:r>
    </w:p>
    <w:p>
      <w:pPr>
        <w:numPr>
          <w:ilvl w:val="0"/>
          <w:numId w:val="1748"/>
        </w:numPr>
        <w:pStyle w:val="Compact"/>
      </w:pPr>
      <w:r>
        <w:t xml:space="preserve">Leach, B.</w:t>
      </w:r>
      <w:r>
        <w:t xml:space="preserve"> </w:t>
      </w:r>
      <w:r>
        <w:rPr>
          <w:iCs/>
          <w:i/>
        </w:rPr>
        <w:t xml:space="preserve">Designing robust and predictable APIs with idempotency</w:t>
      </w:r>
      <w:r>
        <w:t xml:space="preserve">. Stripe Blog, 2017. https://stripe.com/blog/idempotency</w:t>
      </w:r>
    </w:p>
    <w:p>
      <w:pPr>
        <w:numPr>
          <w:ilvl w:val="0"/>
          <w:numId w:val="1748"/>
        </w:numPr>
        <w:pStyle w:val="Compact"/>
      </w:pPr>
      <w:r>
        <w:t xml:space="preserve">Leach, B.</w:t>
      </w:r>
      <w:r>
        <w:t xml:space="preserve"> </w:t>
      </w:r>
      <w:r>
        <w:rPr>
          <w:iCs/>
          <w:i/>
        </w:rPr>
        <w:t xml:space="preserve">Implementing Stripe-like Idempotency Keys in Postgres</w:t>
      </w:r>
      <w:r>
        <w:t xml:space="preserve">. brandur.org, 2017. https://brandur.org/idempotency-keys (cited as Leach 2017b)</w:t>
      </w:r>
    </w:p>
    <w:p>
      <w:pPr>
        <w:numPr>
          <w:ilvl w:val="0"/>
          <w:numId w:val="1748"/>
        </w:numPr>
        <w:pStyle w:val="Compact"/>
      </w:pPr>
      <w:r>
        <w:t xml:space="preserve">Maurer, B.</w:t>
      </w:r>
      <w:r>
        <w:t xml:space="preserve"> </w:t>
      </w:r>
      <w:r>
        <w:rPr>
          <w:iCs/>
          <w:i/>
        </w:rPr>
        <w:t xml:space="preserve">Fail at Scale: Reliability in the face of rapid change</w:t>
      </w:r>
      <w:r>
        <w:t xml:space="preserve">. ACM Queue 13(8), 2015.</w:t>
      </w:r>
    </w:p>
    <w:p>
      <w:pPr>
        <w:numPr>
          <w:ilvl w:val="0"/>
          <w:numId w:val="1748"/>
        </w:numPr>
        <w:pStyle w:val="Compact"/>
      </w:pPr>
      <w:r>
        <w:t xml:space="preserve">Netflix.</w:t>
      </w:r>
      <w:r>
        <w:t xml:space="preserve"> </w:t>
      </w:r>
      <w:r>
        <w:rPr>
          <w:iCs/>
          <w:i/>
        </w:rPr>
        <w:t xml:space="preserve">Hystrix Configuration</w:t>
      </w:r>
      <w:r>
        <w:t xml:space="preserve">. Hystrix wiki on GitHub, accessed 2026. https://github.com/Netflix/Hystrix/wiki/Configuration</w:t>
      </w:r>
    </w:p>
    <w:p>
      <w:pPr>
        <w:numPr>
          <w:ilvl w:val="0"/>
          <w:numId w:val="1748"/>
        </w:numPr>
        <w:pStyle w:val="Compact"/>
      </w:pPr>
      <w:r>
        <w:t xml:space="preserve">Nichols, K., Jacobson, V.</w:t>
      </w:r>
      <w:r>
        <w:t xml:space="preserve"> </w:t>
      </w:r>
      <w:r>
        <w:rPr>
          <w:iCs/>
          <w:i/>
        </w:rPr>
        <w:t xml:space="preserve">Controlling Queue Delay</w:t>
      </w:r>
      <w:r>
        <w:t xml:space="preserve">. ACM Queue 10(5), 2012.</w:t>
      </w:r>
    </w:p>
    <w:p>
      <w:pPr>
        <w:numPr>
          <w:ilvl w:val="0"/>
          <w:numId w:val="1748"/>
        </w:numPr>
        <w:pStyle w:val="Compact"/>
      </w:pPr>
      <w:r>
        <w:t xml:space="preserve">Nottingham, M., Fielding, R.</w:t>
      </w:r>
      <w:r>
        <w:t xml:space="preserve"> </w:t>
      </w:r>
      <w:r>
        <w:rPr>
          <w:iCs/>
          <w:i/>
        </w:rPr>
        <w:t xml:space="preserve">Additional HTTP Status Codes</w:t>
      </w:r>
      <w:r>
        <w:t xml:space="preserve">. RFC 6585, IETF, 2012.</w:t>
      </w:r>
    </w:p>
    <w:p>
      <w:pPr>
        <w:numPr>
          <w:ilvl w:val="0"/>
          <w:numId w:val="1748"/>
        </w:numPr>
        <w:pStyle w:val="Compact"/>
      </w:pPr>
      <w:r>
        <w:t xml:space="preserve">Nottingham, M., Wilde, E., Dalal, S.</w:t>
      </w:r>
      <w:r>
        <w:t xml:space="preserve"> </w:t>
      </w:r>
      <w:r>
        <w:rPr>
          <w:iCs/>
          <w:i/>
        </w:rPr>
        <w:t xml:space="preserve">Problem Details for HTTP APIs</w:t>
      </w:r>
      <w:r>
        <w:t xml:space="preserve">. RFC 9457, IETF, 2023.</w:t>
      </w:r>
    </w:p>
    <w:p>
      <w:pPr>
        <w:numPr>
          <w:ilvl w:val="0"/>
          <w:numId w:val="1748"/>
        </w:numPr>
        <w:pStyle w:val="Compact"/>
      </w:pPr>
      <w:r>
        <w:t xml:space="preserve">Fielding, R., Nottingham, M., Reschke, J. (eds.).</w:t>
      </w:r>
      <w:r>
        <w:t xml:space="preserve"> </w:t>
      </w:r>
      <w:r>
        <w:rPr>
          <w:iCs/>
          <w:i/>
        </w:rPr>
        <w:t xml:space="preserve">HTTP Semantics</w:t>
      </w:r>
      <w:r>
        <w:t xml:space="preserve">. RFC 9110, IETF, 2022.</w:t>
      </w:r>
    </w:p>
    <w:p>
      <w:pPr>
        <w:numPr>
          <w:ilvl w:val="0"/>
          <w:numId w:val="1748"/>
        </w:numPr>
        <w:pStyle w:val="Compact"/>
      </w:pPr>
      <w:r>
        <w:t xml:space="preserve">Nygard, M. T.</w:t>
      </w:r>
      <w:r>
        <w:t xml:space="preserve"> </w:t>
      </w:r>
      <w:r>
        <w:rPr>
          <w:iCs/>
          <w:i/>
        </w:rPr>
        <w:t xml:space="preserve">Release It! Design and Deploy Production-Ready Software</w:t>
      </w:r>
      <w:r>
        <w:t xml:space="preserve">, 2nd ed. Pragmatic Bookshelf, 2018.</w:t>
      </w:r>
    </w:p>
    <w:p>
      <w:pPr>
        <w:numPr>
          <w:ilvl w:val="0"/>
          <w:numId w:val="1748"/>
        </w:numPr>
        <w:pStyle w:val="Compact"/>
      </w:pPr>
      <w:r>
        <w:t xml:space="preserve">Polli, R., Martínez Ruiz, A., Miller, D.</w:t>
      </w:r>
      <w:r>
        <w:t xml:space="preserve"> </w:t>
      </w:r>
      <w:r>
        <w:rPr>
          <w:iCs/>
          <w:i/>
        </w:rPr>
        <w:t xml:space="preserve">RateLimit header fields for HTTP</w:t>
      </w:r>
      <w:r>
        <w:t xml:space="preserve">. IETF Internet-Draft draft-ietf-httpapi-ratelimit-headers, work in progress (revisions through 2025–2026).</w:t>
      </w:r>
    </w:p>
    <w:p>
      <w:pPr>
        <w:numPr>
          <w:ilvl w:val="0"/>
          <w:numId w:val="1748"/>
        </w:numPr>
        <w:pStyle w:val="Compact"/>
      </w:pPr>
      <w:r>
        <w:t xml:space="preserve">Reactive Streams.</w:t>
      </w:r>
      <w:r>
        <w:t xml:space="preserve"> </w:t>
      </w:r>
      <w:r>
        <w:rPr>
          <w:iCs/>
          <w:i/>
        </w:rPr>
        <w:t xml:space="preserve">Reactive Streams Specification for the JVM</w:t>
      </w:r>
      <w:r>
        <w:t xml:space="preserve">, version 1.0.0, 2015. https://www.reactive-streams.org/</w:t>
      </w:r>
    </w:p>
    <w:p>
      <w:pPr>
        <w:numPr>
          <w:ilvl w:val="0"/>
          <w:numId w:val="1748"/>
        </w:numPr>
        <w:pStyle w:val="Compact"/>
      </w:pPr>
      <w:r>
        <w:t xml:space="preserve">Redis.</w:t>
      </w:r>
      <w:r>
        <w:t xml:space="preserve"> </w:t>
      </w:r>
      <w:r>
        <w:rPr>
          <w:iCs/>
          <w:i/>
        </w:rPr>
        <w:t xml:space="preserve">Scripting with Lua</w:t>
      </w:r>
      <w:r>
        <w:t xml:space="preserve">. Redis documentation, accessed 2026. https://redis.io/docs/latest/develop/interact/programmability/eval-intro/</w:t>
      </w:r>
    </w:p>
    <w:p>
      <w:pPr>
        <w:numPr>
          <w:ilvl w:val="0"/>
          <w:numId w:val="1748"/>
        </w:numPr>
        <w:pStyle w:val="Compact"/>
      </w:pPr>
      <w:r>
        <w:t xml:space="preserve">Stripe.</w:t>
      </w:r>
      <w:r>
        <w:t xml:space="preserve"> </w:t>
      </w:r>
      <w:r>
        <w:rPr>
          <w:iCs/>
          <w:i/>
        </w:rPr>
        <w:t xml:space="preserve">Idempotent requests</w:t>
      </w:r>
      <w:r>
        <w:t xml:space="preserve">. Stripe API reference, accessed 2026. https://docs.stripe.com/api/idempotent_requests</w:t>
      </w:r>
    </w:p>
    <w:p>
      <w:pPr>
        <w:numPr>
          <w:ilvl w:val="0"/>
          <w:numId w:val="1748"/>
        </w:numPr>
        <w:pStyle w:val="Compact"/>
      </w:pPr>
      <w:r>
        <w:t xml:space="preserve">Tarjan, P.</w:t>
      </w:r>
      <w:r>
        <w:t xml:space="preserve"> </w:t>
      </w:r>
      <w:r>
        <w:rPr>
          <w:iCs/>
          <w:i/>
        </w:rPr>
        <w:t xml:space="preserve">Scaling your API with rate limiters</w:t>
      </w:r>
      <w:r>
        <w:t xml:space="preserve">. Stripe Blog, 2017. https://stripe.com/blog/rate-limiters</w:t>
      </w:r>
    </w:p>
    <w:p>
      <w:pPr>
        <w:numPr>
          <w:ilvl w:val="0"/>
          <w:numId w:val="1748"/>
        </w:numPr>
        <w:pStyle w:val="Compact"/>
      </w:pPr>
      <w:r>
        <w:t xml:space="preserve">Yanacek, D.</w:t>
      </w:r>
      <w:r>
        <w:t xml:space="preserve"> </w:t>
      </w:r>
      <w:r>
        <w:rPr>
          <w:iCs/>
          <w:i/>
        </w:rPr>
        <w:t xml:space="preserve">Using load shedding to avoid overload</w:t>
      </w:r>
      <w:r>
        <w:t xml:space="preserve">. Amazon Builders’ Library. https://aws.amazon.com/builders-library/using-load-shedding-to-avoid-overload/</w:t>
      </w:r>
    </w:p>
    <w:p>
      <w:pPr>
        <w:numPr>
          <w:ilvl w:val="0"/>
          <w:numId w:val="1748"/>
        </w:numPr>
        <w:pStyle w:val="Compact"/>
      </w:pPr>
      <w:r>
        <w:t xml:space="preserve">Yanacek, D.</w:t>
      </w:r>
      <w:r>
        <w:t xml:space="preserve"> </w:t>
      </w:r>
      <w:r>
        <w:rPr>
          <w:iCs/>
          <w:i/>
        </w:rPr>
        <w:t xml:space="preserve">Making retries safe with idempotent APIs</w:t>
      </w:r>
      <w:r>
        <w:t xml:space="preserve">. Amazon Builders’ Library. https://aws.amazon.com/builders-library/making-retries-safe-with-idempotent-apis/</w:t>
      </w:r>
    </w:p>
    <w:bookmarkEnd w:id="2554"/>
    <w:bookmarkStart w:id="2555" w:name="open-verification-items-21"/>
    <w:p>
      <w:pPr>
        <w:pStyle w:val="Heading2"/>
      </w:pPr>
      <w:r>
        <w:t xml:space="preserve">22.22 Open verification items</w:t>
      </w:r>
    </w:p>
    <w:p>
      <w:pPr>
        <w:numPr>
          <w:ilvl w:val="0"/>
          <w:numId w:val="1749"/>
        </w:numPr>
        <w:pStyle w:val="Compact"/>
      </w:pPr>
      <w:r>
        <w:t xml:space="preserve">ITU-T I.371 edition year and the exact ATM Forum TM 4.0 document number for the GCRA definition (cited without a specific edition).</w:t>
      </w:r>
    </w:p>
    <w:p>
      <w:pPr>
        <w:numPr>
          <w:ilvl w:val="0"/>
          <w:numId w:val="1749"/>
        </w:numPr>
        <w:pStyle w:val="Compact"/>
      </w:pPr>
      <w:r>
        <w:t xml:space="preserve">Current revision and field syntax of the IETF RateLimit header draft (search results indicated draft-10, September 2025, and draft-11, May 2026; ietf.org was unreachable from the build environment).</w:t>
      </w:r>
    </w:p>
    <w:p>
      <w:pPr>
        <w:numPr>
          <w:ilvl w:val="0"/>
          <w:numId w:val="1749"/>
        </w:numPr>
        <w:pStyle w:val="Compact"/>
      </w:pPr>
      <w:r>
        <w:t xml:space="preserve">Idempotency-Key draft: status after revision -07 (October 2025) and whether its 409/422 recommendations changed.</w:t>
      </w:r>
    </w:p>
    <w:p>
      <w:pPr>
        <w:numPr>
          <w:ilvl w:val="0"/>
          <w:numId w:val="1749"/>
        </w:numPr>
        <w:pStyle w:val="Compact"/>
      </w:pPr>
      <w:r>
        <w:t xml:space="preserve">Cloudflare post (Desgats 2017): exact URL and the</w:t>
      </w:r>
      <w:r>
        <w:t xml:space="preserve"> </w:t>
      </w:r>
      <w:r>
        <w:t xml:space="preserve">“</w:t>
      </w:r>
      <w:r>
        <w:t xml:space="preserve">0.003% of 400 million requests</w:t>
      </w:r>
      <w:r>
        <w:t xml:space="preserve">”</w:t>
      </w:r>
      <w:r>
        <w:t xml:space="preserve"> </w:t>
      </w:r>
      <w:r>
        <w:t xml:space="preserve">figure.</w:t>
      </w:r>
    </w:p>
    <w:p>
      <w:pPr>
        <w:numPr>
          <w:ilvl w:val="0"/>
          <w:numId w:val="1749"/>
        </w:numPr>
        <w:pStyle w:val="Compact"/>
      </w:pPr>
      <w:r>
        <w:t xml:space="preserve">Stripe documentation details (255-character keys, 24-hour pruning, stored 500 responses) as of 2026.</w:t>
      </w:r>
    </w:p>
    <w:p>
      <w:pPr>
        <w:numPr>
          <w:ilvl w:val="0"/>
          <w:numId w:val="1749"/>
        </w:numPr>
        <w:pStyle w:val="Compact"/>
      </w:pPr>
      <w:r>
        <w:t xml:space="preserve">Hystrix default values and AWS SDK retry-quota behavior; ACM Queue URLs for Nichols and Jacobson 2012 and Maurer 2015.</w:t>
      </w:r>
    </w:p>
    <w:bookmarkEnd w:id="2555"/>
    <w:bookmarkEnd w:id="2556"/>
    <w:bookmarkStart w:id="2653" w:name="chapter-23-performance-engineering"/>
    <w:p>
      <w:pPr>
        <w:pStyle w:val="Heading1"/>
      </w:pPr>
      <w:r>
        <w:t xml:space="preserve">Chapter 23 — Performance Engineering</w:t>
      </w:r>
    </w:p>
    <w:p>
      <w:pPr>
        <w:pStyle w:val="BlockText"/>
      </w:pPr>
      <w:r>
        <w:rPr>
          <w:bCs/>
          <w:b/>
        </w:rPr>
        <w:t xml:space="preserve">Level:</w:t>
      </w:r>
      <w:r>
        <w:t xml:space="preserve"> </w:t>
      </w:r>
      <w:r>
        <w:t xml:space="preserve">3 ·</w:t>
      </w:r>
      <w:r>
        <w:t xml:space="preserve"> </w:t>
      </w:r>
      <w:r>
        <w:rPr>
          <w:bCs/>
          <w:b/>
        </w:rPr>
        <w:t xml:space="preserve">Track:</w:t>
      </w:r>
      <w:r>
        <w:t xml:space="preserve"> </w:t>
      </w:r>
      <w:r>
        <w:t xml:space="preserve">A (Traditional) ·</w:t>
      </w:r>
      <w:r>
        <w:t xml:space="preserve"> </w:t>
      </w:r>
      <w:r>
        <w:rPr>
          <w:bCs/>
          <w:b/>
        </w:rPr>
        <w:t xml:space="preserve">Estimated reading time:</w:t>
      </w:r>
      <w:r>
        <w:t xml:space="preserve"> </w:t>
      </w:r>
      <w:r>
        <w:t xml:space="preserve">6 h</w:t>
      </w:r>
    </w:p>
    <w:p>
      <w:pPr>
        <w:pStyle w:val="FirstParagraph"/>
      </w:pPr>
      <w:r>
        <w:t xml:space="preserve">A checkout page that was fast last month now takes two seconds for one user in fifty. The dashboards show 40% CPU. Someone suggests doubling the instance count; someone else blames the database; a third engineer wants to rewrite the JSON serializer. All three are guessing. Performance engineering replaces the guessing with method: a checklist that finds the saturated resource, a profiler that finds the hot code, a load test that measures what users actually experience, and a model that predicts how many machines next year’s traffic will need.</w:t>
      </w:r>
    </w:p>
    <w:p>
      <w:pPr>
        <w:pStyle w:val="BodyText"/>
      </w:pPr>
      <w:r>
        <w:t xml:space="preserve">Chapter 4 gave you the mathematics (percentiles, queueing, Little’s Law, the Universal Scalability Law) and Chapter 2 the bottleneck and the utilization law. This chapter turns them into a practice: where to look first, how to measure without fooling yourself, why the slowest 1% of requests dominates large systems, and how to cut that tail. Four runnable Python programs reproduce the key effects.</w:t>
      </w:r>
    </w:p>
    <w:bookmarkStart w:id="2557" w:name="learning-objectives-22"/>
    <w:p>
      <w:pPr>
        <w:pStyle w:val="Heading2"/>
      </w:pPr>
      <w:r>
        <w:t xml:space="preserve">23.1 Learning objectives</w:t>
      </w:r>
    </w:p>
    <w:p>
      <w:pPr>
        <w:pStyle w:val="FirstParagraph"/>
      </w:pPr>
      <w:r>
        <w:t xml:space="preserve">After this chapter you should be able to:</w:t>
      </w:r>
    </w:p>
    <w:p>
      <w:pPr>
        <w:numPr>
          <w:ilvl w:val="0"/>
          <w:numId w:val="1750"/>
        </w:numPr>
        <w:pStyle w:val="Compact"/>
      </w:pPr>
      <w:r>
        <w:t xml:space="preserve">Apply USE to resources and RED or the four golden signals to services, following a workflow from symptom to cause.</w:t>
      </w:r>
    </w:p>
    <w:p>
      <w:pPr>
        <w:numPr>
          <w:ilvl w:val="0"/>
          <w:numId w:val="1750"/>
        </w:numPr>
        <w:pStyle w:val="Compact"/>
      </w:pPr>
      <w:r>
        <w:t xml:space="preserve">Choose sampling or instrumenting profilers, read flame graphs, use off-CPU analysis, and profile Python with</w:t>
      </w:r>
      <w:r>
        <w:t xml:space="preserve"> </w:t>
      </w:r>
      <w:r>
        <w:rPr>
          <w:rStyle w:val="VerbatimChar"/>
        </w:rPr>
        <w:t xml:space="preserve">cProfile</w:t>
      </w:r>
      <w:r>
        <w:t xml:space="preserve"> </w:t>
      </w:r>
      <w:r>
        <w:t xml:space="preserve">and</w:t>
      </w:r>
      <w:r>
        <w:t xml:space="preserve"> </w:t>
      </w:r>
      <w:r>
        <w:rPr>
          <w:rStyle w:val="VerbatimChar"/>
        </w:rPr>
        <w:t xml:space="preserve">tracemalloc</w:t>
      </w:r>
      <w:r>
        <w:t xml:space="preserve">.</w:t>
      </w:r>
    </w:p>
    <w:p>
      <w:pPr>
        <w:numPr>
          <w:ilvl w:val="0"/>
          <w:numId w:val="1750"/>
        </w:numPr>
        <w:pStyle w:val="Compact"/>
      </w:pPr>
      <w:r>
        <w:t xml:space="preserve">Distinguish open and closed workload models, demonstrate coordinated omission and correct for it, and record latency with HDR histograms.</w:t>
      </w:r>
    </w:p>
    <w:p>
      <w:pPr>
        <w:numPr>
          <w:ilvl w:val="0"/>
          <w:numId w:val="1750"/>
        </w:numPr>
        <w:pStyle w:val="Compact"/>
      </w:pPr>
      <w:r>
        <w:t xml:space="preserve">Quantify fan-out tail amplification and list the main sources of latency variability (garbage collection, queueing, background work, noisy neighbors, CPU throttling).</w:t>
      </w:r>
    </w:p>
    <w:p>
      <w:pPr>
        <w:numPr>
          <w:ilvl w:val="0"/>
          <w:numId w:val="1750"/>
        </w:numPr>
        <w:pStyle w:val="Compact"/>
      </w:pPr>
      <w:r>
        <w:t xml:space="preserve">Design hedged and tied requests, compute their latency benefit and extra load, and explain when hedging becomes dangerous.</w:t>
      </w:r>
    </w:p>
    <w:p>
      <w:pPr>
        <w:numPr>
          <w:ilvl w:val="0"/>
          <w:numId w:val="1750"/>
        </w:numPr>
        <w:pStyle w:val="Compact"/>
      </w:pPr>
      <w:r>
        <w:t xml:space="preserve">Size batches and pipelines with a latency–throughput model and decide when compression pays for its CPU cost.</w:t>
      </w:r>
    </w:p>
    <w:p>
      <w:pPr>
        <w:numPr>
          <w:ilvl w:val="0"/>
          <w:numId w:val="1750"/>
        </w:numPr>
        <w:pStyle w:val="Compact"/>
      </w:pPr>
      <w:r>
        <w:t xml:space="preserve">Explain generational GC, stop-the-world pauses, collector trade-offs (G1, ZGC, Shenandoah, Go) and JIT warm-up.</w:t>
      </w:r>
    </w:p>
    <w:p>
      <w:pPr>
        <w:numPr>
          <w:ilvl w:val="0"/>
          <w:numId w:val="1750"/>
        </w:numPr>
        <w:pStyle w:val="Compact"/>
      </w:pPr>
      <w:r>
        <w:t xml:space="preserve">Fit the Universal Scalability Law to benchmark data, predict the throughput peak and convert the model into a fleet size.</w:t>
      </w:r>
    </w:p>
    <w:bookmarkEnd w:id="2557"/>
    <w:bookmarkStart w:id="2558" w:name="prerequisites-22"/>
    <w:p>
      <w:pPr>
        <w:pStyle w:val="Heading2"/>
      </w:pPr>
      <w:r>
        <w:t xml:space="preserve">23.2 Prerequisites</w:t>
      </w:r>
    </w:p>
    <w:p>
      <w:pPr>
        <w:numPr>
          <w:ilvl w:val="0"/>
          <w:numId w:val="1751"/>
        </w:numPr>
        <w:pStyle w:val="Compact"/>
      </w:pPr>
      <w:r>
        <w:t xml:space="preserve">Percentiles, histograms and fan-out amplification — §4.8 (tail latency is the central quantity of this chapter).</w:t>
      </w:r>
    </w:p>
    <w:p>
      <w:pPr>
        <w:numPr>
          <w:ilvl w:val="0"/>
          <w:numId w:val="1751"/>
        </w:numPr>
        <w:pStyle w:val="Compact"/>
      </w:pPr>
      <w:r>
        <w:t xml:space="preserve">Queueing theory, Little’s Law and the M/M/1 latency curve — §4.10, §4.11 (load testing and hedging both change utilization).</w:t>
      </w:r>
    </w:p>
    <w:p>
      <w:pPr>
        <w:numPr>
          <w:ilvl w:val="0"/>
          <w:numId w:val="1751"/>
        </w:numPr>
        <w:pStyle w:val="Compact"/>
      </w:pPr>
      <w:r>
        <w:t xml:space="preserve">Amdahl’s Law and the Universal Scalability Law — §4.12, §4.13 (§23.10 fits the USL to data).</w:t>
      </w:r>
    </w:p>
    <w:p>
      <w:pPr>
        <w:numPr>
          <w:ilvl w:val="0"/>
          <w:numId w:val="1751"/>
        </w:numPr>
        <w:pStyle w:val="Compact"/>
      </w:pPr>
      <w:r>
        <w:t xml:space="preserve">The resource model, utilization law and USE method overview — §2.6 (§23.3 extends them into a full workflow).</w:t>
      </w:r>
    </w:p>
    <w:p>
      <w:pPr>
        <w:numPr>
          <w:ilvl w:val="0"/>
          <w:numId w:val="1751"/>
        </w:numPr>
        <w:pStyle w:val="Compact"/>
      </w:pPr>
      <w:r>
        <w:t xml:space="preserve">CPU caches, CPU-bound versus I/O-bound workloads — §5.4, §5.8 (what a CPU profile can and cannot show).</w:t>
      </w:r>
    </w:p>
    <w:p>
      <w:pPr>
        <w:numPr>
          <w:ilvl w:val="0"/>
          <w:numId w:val="1751"/>
        </w:numPr>
        <w:pStyle w:val="Compact"/>
      </w:pPr>
      <w:r>
        <w:t xml:space="preserve">Threads, scheduling and context switches — §6.3–§6.5 (on-CPU versus off-CPU time).</w:t>
      </w:r>
    </w:p>
    <w:p>
      <w:pPr>
        <w:numPr>
          <w:ilvl w:val="0"/>
          <w:numId w:val="1751"/>
        </w:numPr>
        <w:pStyle w:val="Compact"/>
      </w:pPr>
      <w:r>
        <w:t xml:space="preserve">TCP behavior, including Nagle’s algorithm — §7.7.8 (the original batching trade-off).</w:t>
      </w:r>
    </w:p>
    <w:bookmarkEnd w:id="2558"/>
    <w:bookmarkStart w:id="2572" w:name="performance-methodology"/>
    <w:p>
      <w:pPr>
        <w:pStyle w:val="Heading2"/>
      </w:pPr>
      <w:r>
        <w:t xml:space="preserve">23.3 Performance methodology</w:t>
      </w:r>
    </w:p>
    <w:bookmarkStart w:id="2560" w:name="what-performance-engineering-is"/>
    <w:p>
      <w:pPr>
        <w:pStyle w:val="Heading3"/>
      </w:pPr>
      <w:r>
        <w:t xml:space="preserve">23.3.1 What performance engineering is</w:t>
      </w:r>
    </w:p>
    <w:p>
      <w:pPr>
        <w:pStyle w:val="CalloutDefinition"/>
      </w:pPr>
      <w:r>
        <w:rPr>
          <w:bCs/>
          <w:b/>
        </w:rPr>
        <w:t xml:space="preserve">DEFINITION</w:t>
      </w:r>
    </w:p>
    <w:p>
      <w:pPr>
        <w:pStyle w:val="CalloutDefinition"/>
      </w:pPr>
      <w:r>
        <w:rPr>
          <w:bCs/>
          <w:b/>
        </w:rPr>
        <w:t xml:space="preserve">Definition — Performance engineering.</w:t>
      </w:r>
      <w:r>
        <w:t xml:space="preserve"> </w:t>
      </w:r>
      <w:r>
        <w:t xml:space="preserve">The practice of measuring, explaining and improving the</w:t>
      </w:r>
      <w:r>
        <w:t xml:space="preserve"> </w:t>
      </w:r>
      <w:r>
        <w:rPr>
          <w:bCs/>
          <w:b/>
        </w:rPr>
        <w:t xml:space="preserve">latency</w:t>
      </w:r>
      <w:r>
        <w:t xml:space="preserve">,</w:t>
      </w:r>
      <w:r>
        <w:t xml:space="preserve"> </w:t>
      </w:r>
      <w:r>
        <w:rPr>
          <w:bCs/>
          <w:b/>
        </w:rPr>
        <w:t xml:space="preserve">throughput</w:t>
      </w:r>
      <w:r>
        <w:t xml:space="preserve"> </w:t>
      </w:r>
      <w:r>
        <w:t xml:space="preserve">and</w:t>
      </w:r>
      <w:r>
        <w:t xml:space="preserve"> </w:t>
      </w:r>
      <w:r>
        <w:rPr>
          <w:bCs/>
          <w:b/>
        </w:rPr>
        <w:t xml:space="preserve">resource efficiency</w:t>
      </w:r>
      <w:r>
        <w:t xml:space="preserve"> </w:t>
      </w:r>
      <w:r>
        <w:t xml:space="preserve">of a system against explicit targets, using repeatable methods rather than intuition. Its outputs are diagnoses (why is it slow?), changes (make it faster or cheaper) and predictions (how much capacity will we need?).</w:t>
      </w:r>
    </w:p>
    <w:bookmarkStart w:id="2559" w:name="first-principles-explanation-132"/>
    <w:p>
      <w:pPr>
        <w:pStyle w:val="Heading4"/>
      </w:pPr>
      <w:r>
        <w:t xml:space="preserve">First-principles explanation</w:t>
      </w:r>
    </w:p>
    <w:p>
      <w:pPr>
        <w:pStyle w:val="FirstParagraph"/>
      </w:pPr>
      <w:r>
        <w:t xml:space="preserve">A doctor facing a fever does not start with antibiotics. She takes vital signs in a fixed order, forms a hypothesis, orders a targeted test, treats, and follows up. In performance work the vital signs are a few metrics per resource and per service, the tests are profilers and tracers, and the follow-up is a measurement confirming the fix.</w:t>
      </w:r>
    </w:p>
    <w:p>
      <w:pPr>
        <w:pStyle w:val="BodyText"/>
      </w:pPr>
      <w:r>
        <w:t xml:space="preserve">Brendan Gregg names the</w:t>
      </w:r>
      <w:r>
        <w:t xml:space="preserve"> </w:t>
      </w:r>
      <w:r>
        <w:rPr>
          <w:bCs/>
          <w:b/>
        </w:rPr>
        <w:t xml:space="preserve">anti-methods</w:t>
      </w:r>
      <w:r>
        <w:t xml:space="preserve"> </w:t>
      </w:r>
      <w:r>
        <w:t xml:space="preserve">that replace this discipline [Gregg 2020]: the</w:t>
      </w:r>
      <w:r>
        <w:t xml:space="preserve"> </w:t>
      </w:r>
      <w:r>
        <w:rPr>
          <w:iCs/>
          <w:i/>
        </w:rPr>
        <w:t xml:space="preserve">streetlight</w:t>
      </w:r>
      <w:r>
        <w:t xml:space="preserve"> </w:t>
      </w:r>
      <w:r>
        <w:t xml:space="preserve">anti-method (look only where your favorite tool shines),</w:t>
      </w:r>
      <w:r>
        <w:t xml:space="preserve"> </w:t>
      </w:r>
      <w:r>
        <w:rPr>
          <w:iCs/>
          <w:i/>
        </w:rPr>
        <w:t xml:space="preserve">random change</w:t>
      </w:r>
      <w:r>
        <w:t xml:space="preserve"> </w:t>
      </w:r>
      <w:r>
        <w:t xml:space="preserve">(tweak settings until the problem goes away) and</w:t>
      </w:r>
      <w:r>
        <w:t xml:space="preserve"> </w:t>
      </w:r>
      <w:r>
        <w:rPr>
          <w:iCs/>
          <w:i/>
        </w:rPr>
        <w:t xml:space="preserve">blame-someone-else</w:t>
      </w:r>
      <w:r>
        <w:t xml:space="preserve"> </w:t>
      </w:r>
      <w:r>
        <w:t xml:space="preserve">(</w:t>
      </w:r>
      <w:r>
        <w:t xml:space="preserve">“</w:t>
      </w:r>
      <w:r>
        <w:t xml:space="preserve">it’s the network</w:t>
      </w:r>
      <w:r>
        <w:t xml:space="preserve">”</w:t>
      </w:r>
      <w:r>
        <w:t xml:space="preserve">). The methods below are evidence-driven and take minutes.</w:t>
      </w:r>
    </w:p>
    <w:bookmarkEnd w:id="2559"/>
    <w:bookmarkEnd w:id="2560"/>
    <w:bookmarkStart w:id="2566" w:name="the-use-method"/>
    <w:p>
      <w:pPr>
        <w:pStyle w:val="Heading3"/>
      </w:pPr>
      <w:r>
        <w:t xml:space="preserve">23.3.2 The USE method</w:t>
      </w:r>
    </w:p>
    <w:p>
      <w:pPr>
        <w:pStyle w:val="CalloutDefinition"/>
      </w:pPr>
      <w:r>
        <w:rPr>
          <w:bCs/>
          <w:b/>
        </w:rPr>
        <w:t xml:space="preserve">DEFINITION</w:t>
      </w:r>
    </w:p>
    <w:p>
      <w:pPr>
        <w:pStyle w:val="CalloutDefinition"/>
      </w:pPr>
      <w:r>
        <w:rPr>
          <w:bCs/>
          <w:b/>
        </w:rPr>
        <w:t xml:space="preserve">Definition — USE method.</w:t>
      </w:r>
      <w:r>
        <w:t xml:space="preserve"> </w:t>
      </w:r>
      <w:r>
        <w:t xml:space="preserve">For every</w:t>
      </w:r>
      <w:r>
        <w:t xml:space="preserve"> </w:t>
      </w:r>
      <w:r>
        <w:rPr>
          <w:bCs/>
          <w:b/>
        </w:rPr>
        <w:t xml:space="preserve">resource</w:t>
      </w:r>
      <w:r>
        <w:t xml:space="preserve">, check</w:t>
      </w:r>
      <w:r>
        <w:t xml:space="preserve"> </w:t>
      </w:r>
      <w:r>
        <w:rPr>
          <w:bCs/>
          <w:b/>
        </w:rPr>
        <w:t xml:space="preserve">U</w:t>
      </w:r>
      <w:r>
        <w:t xml:space="preserve">tilization (the fraction of time the resource was busy, or the fraction of its capacity in use),</w:t>
      </w:r>
      <w:r>
        <w:t xml:space="preserve"> </w:t>
      </w:r>
      <w:r>
        <w:rPr>
          <w:bCs/>
          <w:b/>
        </w:rPr>
        <w:t xml:space="preserve">S</w:t>
      </w:r>
      <w:r>
        <w:t xml:space="preserve">aturation (the amount of extra work queued because the resource could not service it) and</w:t>
      </w:r>
      <w:r>
        <w:t xml:space="preserve"> </w:t>
      </w:r>
      <w:r>
        <w:rPr>
          <w:bCs/>
          <w:b/>
        </w:rPr>
        <w:t xml:space="preserve">E</w:t>
      </w:r>
      <w:r>
        <w:t xml:space="preserve">rrors (the count of error events) [Gregg USE]. A resource is any physical or software component with finite capacity: CPUs, memory, disks, network interfaces, controllers and interconnects, but also locks, thread pools, connection pools and file descriptors.</w:t>
      </w:r>
    </w:p>
    <w:bookmarkStart w:id="2561" w:name="why-does-this-exist-84"/>
    <w:p>
      <w:pPr>
        <w:pStyle w:val="Heading4"/>
      </w:pPr>
      <w:r>
        <w:t xml:space="preserve">Why does this exist?</w:t>
      </w:r>
    </w:p>
    <w:p>
      <w:pPr>
        <w:pStyle w:val="FirstParagraph"/>
      </w:pPr>
      <w:r>
        <w:t xml:space="preserve">Dashboards built from whatever metrics were easy to collect are both overwhelming and incomplete. USE inverts the process: start from the finite list of resources and ask three questions of each, so no saturated resource is missed because nobody graphed it. Chapter 2 introduced USE as a bottleneck finder (§2.6); here it becomes a complete procedure.</w:t>
      </w:r>
    </w:p>
    <w:bookmarkEnd w:id="2561"/>
    <w:bookmarkStart w:id="2565" w:name="how-it-works-internally-88"/>
    <w:p>
      <w:pPr>
        <w:pStyle w:val="Heading4"/>
      </w:pPr>
      <w:r>
        <w:t xml:space="preserve">How it works internally</w:t>
      </w:r>
    </w:p>
    <w:p>
      <w:pPr>
        <w:numPr>
          <w:ilvl w:val="0"/>
          <w:numId w:val="1752"/>
        </w:numPr>
        <w:pStyle w:val="Compact"/>
      </w:pPr>
      <w:r>
        <w:rPr>
          <w:bCs/>
          <w:b/>
        </w:rPr>
        <w:t xml:space="preserve">Enumerate resources</w:t>
      </w:r>
      <w:r>
        <w:t xml:space="preserve"> </w:t>
      </w:r>
      <w:r>
        <w:t xml:space="preserve">from a block diagram of the server: CPUs, memory, disks and controllers, network interfaces, plus software resources.</w:t>
      </w:r>
    </w:p>
    <w:p>
      <w:pPr>
        <w:numPr>
          <w:ilvl w:val="0"/>
          <w:numId w:val="1752"/>
        </w:numPr>
        <w:pStyle w:val="Compact"/>
      </w:pPr>
      <w:r>
        <w:rPr>
          <w:bCs/>
          <w:b/>
        </w:rPr>
        <w:t xml:space="preserve">Check errors first.</w:t>
      </w:r>
      <w:r>
        <w:t xml:space="preserve"> </w:t>
      </w:r>
      <w:r>
        <w:t xml:space="preserve">They are quick to interpret (disk retries, NIC drops) and can explain everything else.</w:t>
      </w:r>
    </w:p>
    <w:p>
      <w:pPr>
        <w:numPr>
          <w:ilvl w:val="0"/>
          <w:numId w:val="1752"/>
        </w:numPr>
        <w:pStyle w:val="Compact"/>
      </w:pPr>
      <w:r>
        <w:rPr>
          <w:bCs/>
          <w:b/>
        </w:rPr>
        <w:t xml:space="preserve">Check utilization</w:t>
      </w:r>
      <w:r>
        <w:t xml:space="preserve"> </w:t>
      </w:r>
      <w:r>
        <w:t xml:space="preserve">per device and per CPU: an 8-core average of 25% can hide one core at 100% running a single-threaded event loop.</w:t>
      </w:r>
    </w:p>
    <w:p>
      <w:pPr>
        <w:numPr>
          <w:ilvl w:val="0"/>
          <w:numId w:val="1752"/>
        </w:numPr>
        <w:pStyle w:val="Compact"/>
      </w:pPr>
      <w:r>
        <w:rPr>
          <w:bCs/>
          <w:b/>
        </w:rPr>
        <w:t xml:space="preserve">Check saturation</w:t>
      </w:r>
      <w:r>
        <w:t xml:space="preserve">: run-queue length, swapping, disk queue size, drops and retransmits, waiters on locks and pools. Sustained saturation is always a problem, because queued work is latency (§4.10).</w:t>
      </w:r>
    </w:p>
    <w:p>
      <w:pPr>
        <w:numPr>
          <w:ilvl w:val="0"/>
          <w:numId w:val="1752"/>
        </w:numPr>
        <w:pStyle w:val="Compact"/>
      </w:pPr>
      <w:r>
        <w:rPr>
          <w:bCs/>
          <w:b/>
        </w:rPr>
        <w:t xml:space="preserve">Iterate</w:t>
      </w:r>
      <w:r>
        <w:t xml:space="preserve"> </w:t>
      </w:r>
      <w:r>
        <w:t xml:space="preserve">until the problem is found or every resource is cleared.</w:t>
      </w:r>
    </w:p>
    <w:p>
      <w:pPr>
        <w:pStyle w:val="FirstParagraph"/>
      </w:pPr>
      <w:r>
        <w:rPr>
          <w:bCs/>
          <w:b/>
        </w:rPr>
        <w:t xml:space="preserve">Figure 23.1 — The USE method procedure.</w:t>
      </w:r>
    </w:p>
    <w:p>
      <w:pPr>
        <w:pStyle w:val="BodyText"/>
      </w:pPr>
      <w:r>
        <w:drawing>
          <wp:inline>
            <wp:extent cx="5334000" cy="16956293"/>
            <wp:effectExtent b="0" l="0" r="0" t="0"/>
            <wp:docPr descr="" title="" id="2563" name="Picture"/>
            <a:graphic>
              <a:graphicData uri="http://schemas.openxmlformats.org/drawingml/2006/picture">
                <pic:pic>
                  <pic:nvPicPr>
                    <pic:cNvPr descr="/home/user/System-Design/build/.cache/diagrams/f054ed9a2654.png" id="2564" name="Picture"/>
                    <pic:cNvPicPr>
                      <a:picLocks noChangeArrowheads="1" noChangeAspect="1"/>
                    </pic:cNvPicPr>
                  </pic:nvPicPr>
                  <pic:blipFill>
                    <a:blip r:embed="rId2562"/>
                    <a:stretch>
                      <a:fillRect/>
                    </a:stretch>
                  </pic:blipFill>
                  <pic:spPr bwMode="auto">
                    <a:xfrm>
                      <a:off x="0" y="0"/>
                      <a:ext cx="5334000" cy="16956293"/>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This is a reasoning loop, not a running system: there are no protocols or storage boundaries, and every arrow is a step the engineer takes. Iterating over a finite resource list is what makes the method complete, and each check is one counter, so a pass takes minutes. A finding must</w:t>
      </w:r>
      <w:r>
        <w:t xml:space="preserve"> </w:t>
      </w:r>
      <w:r>
        <w:rPr>
          <w:iCs/>
          <w:i/>
        </w:rPr>
        <w:t xml:space="preserve">explain</w:t>
      </w:r>
      <w:r>
        <w:t xml:space="preserve"> </w:t>
      </w:r>
      <w:r>
        <w:t xml:space="preserve">the complaint (a busy disk may be a symptom of swapping), otherwise the loop continues. The method’s failure point is the resource list: a forgotten resource (a connection pool, a file-descriptor limit, a cloud API quota) can never be found. If every resource is clear, look outside the host (§23.3.3). The same checks scale to fleets per instance and resource class.</w:t>
      </w:r>
    </w:p>
    <w:p>
      <w:pPr>
        <w:pStyle w:val="BodyText"/>
      </w:pPr>
      <w:r>
        <w:rPr>
          <w:bCs/>
          <w:b/>
        </w:rPr>
        <w:t xml:space="preserve">Table 23.1 — USE metrics for common resources (Linux tools in parentheses).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Resource</w:t>
            </w:r>
          </w:p>
        </w:tc>
        <w:tc>
          <w:tcPr/>
          <w:p>
            <w:pPr>
              <w:pStyle w:val="Compact"/>
              <w:jc w:val="left"/>
            </w:pPr>
            <w:r>
              <w:t xml:space="preserve">Utilization</w:t>
            </w:r>
          </w:p>
        </w:tc>
        <w:tc>
          <w:tcPr/>
          <w:p>
            <w:pPr>
              <w:pStyle w:val="Compact"/>
              <w:jc w:val="left"/>
            </w:pPr>
            <w:r>
              <w:t xml:space="preserve">Saturation</w:t>
            </w:r>
          </w:p>
        </w:tc>
        <w:tc>
          <w:tcPr/>
          <w:p>
            <w:pPr>
              <w:pStyle w:val="Compact"/>
              <w:jc w:val="left"/>
            </w:pPr>
            <w:r>
              <w:t xml:space="preserve">Errors</w:t>
            </w:r>
          </w:p>
        </w:tc>
      </w:tr>
      <w:tr>
        <w:tc>
          <w:tcPr/>
          <w:p>
            <w:pPr>
              <w:pStyle w:val="Compact"/>
              <w:jc w:val="left"/>
            </w:pPr>
            <w:r>
              <w:t xml:space="preserve">CPU</w:t>
            </w:r>
          </w:p>
        </w:tc>
        <w:tc>
          <w:tcPr/>
          <w:p>
            <w:pPr>
              <w:pStyle w:val="Compact"/>
              <w:jc w:val="left"/>
            </w:pPr>
            <w:r>
              <w:t xml:space="preserve">Per-CPU busy % (</w:t>
            </w:r>
            <w:r>
              <w:rPr>
                <w:rStyle w:val="VerbatimChar"/>
              </w:rPr>
              <w:t xml:space="preserve">mpstat -P ALL</w:t>
            </w:r>
            <w:r>
              <w:t xml:space="preserve">)</w:t>
            </w:r>
          </w:p>
        </w:tc>
        <w:tc>
          <w:tcPr/>
          <w:p>
            <w:pPr>
              <w:pStyle w:val="Compact"/>
              <w:jc w:val="left"/>
            </w:pPr>
            <w:r>
              <w:t xml:space="preserve">Run-queue length; scheduler latency (</w:t>
            </w:r>
            <w:r>
              <w:rPr>
                <w:rStyle w:val="VerbatimChar"/>
              </w:rPr>
              <w:t xml:space="preserve">vmstat</w:t>
            </w:r>
            <w:r>
              <w:t xml:space="preserve"> </w:t>
            </w:r>
            <w:r>
              <w:t xml:space="preserve">r column,</w:t>
            </w:r>
            <w:r>
              <w:t xml:space="preserve"> </w:t>
            </w:r>
            <w:r>
              <w:rPr>
                <w:rStyle w:val="VerbatimChar"/>
              </w:rPr>
              <w:t xml:space="preserve">runqlat</w:t>
            </w:r>
            <w:r>
              <w:t xml:space="preserve">)</w:t>
            </w:r>
          </w:p>
        </w:tc>
        <w:tc>
          <w:tcPr/>
          <w:p>
            <w:pPr>
              <w:pStyle w:val="Compact"/>
              <w:jc w:val="left"/>
            </w:pPr>
            <w:r>
              <w:t xml:space="preserve">Machine-check events (rare)</w:t>
            </w:r>
          </w:p>
        </w:tc>
      </w:tr>
      <w:tr>
        <w:tc>
          <w:tcPr/>
          <w:p>
            <w:pPr>
              <w:pStyle w:val="Compact"/>
              <w:jc w:val="left"/>
            </w:pPr>
            <w:r>
              <w:t xml:space="preserve">Memory</w:t>
            </w:r>
          </w:p>
        </w:tc>
        <w:tc>
          <w:tcPr/>
          <w:p>
            <w:pPr>
              <w:pStyle w:val="Compact"/>
              <w:jc w:val="left"/>
            </w:pPr>
            <w:r>
              <w:t xml:space="preserve">Used vs. available (</w:t>
            </w:r>
            <w:r>
              <w:rPr>
                <w:rStyle w:val="VerbatimChar"/>
              </w:rPr>
              <w:t xml:space="preserve">free</w:t>
            </w:r>
            <w:r>
              <w:t xml:space="preserve">)</w:t>
            </w:r>
          </w:p>
        </w:tc>
        <w:tc>
          <w:tcPr/>
          <w:p>
            <w:pPr>
              <w:pStyle w:val="Compact"/>
              <w:jc w:val="left"/>
            </w:pPr>
            <w:r>
              <w:t xml:space="preserve">Swapping, page scanning, OOM kills (</w:t>
            </w:r>
            <w:r>
              <w:rPr>
                <w:rStyle w:val="VerbatimChar"/>
              </w:rPr>
              <w:t xml:space="preserve">vmstat</w:t>
            </w:r>
            <w:r>
              <w:t xml:space="preserve"> </w:t>
            </w:r>
            <w:r>
              <w:t xml:space="preserve">si/so,</w:t>
            </w:r>
            <w:r>
              <w:t xml:space="preserve"> </w:t>
            </w:r>
            <w:r>
              <w:rPr>
                <w:rStyle w:val="VerbatimChar"/>
              </w:rPr>
              <w:t xml:space="preserve">dmesg</w:t>
            </w:r>
            <w:r>
              <w:t xml:space="preserve">)</w:t>
            </w:r>
          </w:p>
        </w:tc>
        <w:tc>
          <w:tcPr/>
          <w:p>
            <w:pPr>
              <w:pStyle w:val="Compact"/>
              <w:jc w:val="left"/>
            </w:pPr>
            <w:r>
              <w:t xml:space="preserve">Allocation failures</w:t>
            </w:r>
          </w:p>
        </w:tc>
      </w:tr>
      <w:tr>
        <w:tc>
          <w:tcPr/>
          <w:p>
            <w:pPr>
              <w:pStyle w:val="Compact"/>
              <w:jc w:val="left"/>
            </w:pPr>
            <w:r>
              <w:t xml:space="preserve">Disk</w:t>
            </w:r>
          </w:p>
        </w:tc>
        <w:tc>
          <w:tcPr/>
          <w:p>
            <w:pPr>
              <w:pStyle w:val="Compact"/>
              <w:jc w:val="left"/>
            </w:pPr>
            <w:r>
              <w:t xml:space="preserve">Busy % per device (</w:t>
            </w:r>
            <w:r>
              <w:rPr>
                <w:rStyle w:val="VerbatimChar"/>
              </w:rPr>
              <w:t xml:space="preserve">iostat -x</w:t>
            </w:r>
            <w:r>
              <w:t xml:space="preserve">)</w:t>
            </w:r>
          </w:p>
        </w:tc>
        <w:tc>
          <w:tcPr/>
          <w:p>
            <w:pPr>
              <w:pStyle w:val="Compact"/>
              <w:jc w:val="left"/>
            </w:pPr>
            <w:r>
              <w:t xml:space="preserve">Average queue size; await time (</w:t>
            </w:r>
            <w:r>
              <w:rPr>
                <w:rStyle w:val="VerbatimChar"/>
              </w:rPr>
              <w:t xml:space="preserve">iostat -x</w:t>
            </w:r>
            <w:r>
              <w:t xml:space="preserve">)</w:t>
            </w:r>
          </w:p>
        </w:tc>
        <w:tc>
          <w:tcPr/>
          <w:p>
            <w:pPr>
              <w:pStyle w:val="Compact"/>
              <w:jc w:val="left"/>
            </w:pPr>
            <w:r>
              <w:t xml:space="preserve">Device errors (</w:t>
            </w:r>
            <w:r>
              <w:rPr>
                <w:rStyle w:val="VerbatimChar"/>
              </w:rPr>
              <w:t xml:space="preserve">smartctl</w:t>
            </w:r>
            <w:r>
              <w:t xml:space="preserve">, kernel log)</w:t>
            </w:r>
          </w:p>
        </w:tc>
      </w:tr>
      <w:tr>
        <w:tc>
          <w:tcPr/>
          <w:p>
            <w:pPr>
              <w:pStyle w:val="Compact"/>
              <w:jc w:val="left"/>
            </w:pPr>
            <w:r>
              <w:t xml:space="preserve">Network interface</w:t>
            </w:r>
          </w:p>
        </w:tc>
        <w:tc>
          <w:tcPr/>
          <w:p>
            <w:pPr>
              <w:pStyle w:val="Compact"/>
              <w:jc w:val="left"/>
            </w:pPr>
            <w:r>
              <w:t xml:space="preserve">Throughput vs. link speed (</w:t>
            </w:r>
            <w:r>
              <w:rPr>
                <w:rStyle w:val="VerbatimChar"/>
              </w:rPr>
              <w:t xml:space="preserve">sar -n DEV</w:t>
            </w:r>
            <w:r>
              <w:t xml:space="preserve">)</w:t>
            </w:r>
          </w:p>
        </w:tc>
        <w:tc>
          <w:tcPr/>
          <w:p>
            <w:pPr>
              <w:pStyle w:val="Compact"/>
              <w:jc w:val="left"/>
            </w:pPr>
            <w:r>
              <w:t xml:space="preserve">Drops, overruns, TCP retransmits (</w:t>
            </w:r>
            <w:r>
              <w:rPr>
                <w:rStyle w:val="VerbatimChar"/>
              </w:rPr>
              <w:t xml:space="preserve">nstat</w:t>
            </w:r>
            <w:r>
              <w:t xml:space="preserve">,</w:t>
            </w:r>
            <w:r>
              <w:t xml:space="preserve"> </w:t>
            </w:r>
            <w:r>
              <w:rPr>
                <w:rStyle w:val="VerbatimChar"/>
              </w:rPr>
              <w:t xml:space="preserve">ss -ti</w:t>
            </w:r>
            <w:r>
              <w:t xml:space="preserve">)</w:t>
            </w:r>
          </w:p>
        </w:tc>
        <w:tc>
          <w:tcPr/>
          <w:p>
            <w:pPr>
              <w:pStyle w:val="Compact"/>
              <w:jc w:val="left"/>
            </w:pPr>
            <w:r>
              <w:t xml:space="preserve">Interface errors (</w:t>
            </w:r>
            <w:r>
              <w:rPr>
                <w:rStyle w:val="VerbatimChar"/>
              </w:rPr>
              <w:t xml:space="preserve">ip -s link</w:t>
            </w:r>
            <w:r>
              <w:t xml:space="preserve">)</w:t>
            </w:r>
          </w:p>
        </w:tc>
      </w:tr>
      <w:tr>
        <w:tc>
          <w:tcPr/>
          <w:p>
            <w:pPr>
              <w:pStyle w:val="Compact"/>
              <w:jc w:val="left"/>
            </w:pPr>
            <w:r>
              <w:t xml:space="preserve">Container CPU limit</w:t>
            </w:r>
          </w:p>
        </w:tc>
        <w:tc>
          <w:tcPr/>
          <w:p>
            <w:pPr>
              <w:pStyle w:val="Compact"/>
              <w:jc w:val="left"/>
            </w:pPr>
            <w:r>
              <w:t xml:space="preserve">CPU time vs. quota</w:t>
            </w:r>
          </w:p>
        </w:tc>
        <w:tc>
          <w:tcPr/>
          <w:p>
            <w:pPr>
              <w:pStyle w:val="Compact"/>
              <w:jc w:val="left"/>
            </w:pPr>
            <w:r>
              <w:t xml:space="preserve">Throttled periods (</w:t>
            </w:r>
            <w:r>
              <w:rPr>
                <w:rStyle w:val="VerbatimChar"/>
              </w:rPr>
              <w:t xml:space="preserve">cpu.stat</w:t>
            </w:r>
            <w:r>
              <w:t xml:space="preserve"> </w:t>
            </w:r>
            <w:r>
              <w:t xml:space="preserve">in cgroup)</w:t>
            </w:r>
          </w:p>
        </w:tc>
        <w:tc>
          <w:tcPr/>
          <w:p>
            <w:pPr>
              <w:pStyle w:val="Compact"/>
              <w:jc w:val="left"/>
            </w:pPr>
            <w:r>
              <w:t xml:space="preserve">—</w:t>
            </w:r>
          </w:p>
        </w:tc>
      </w:tr>
      <w:tr>
        <w:tc>
          <w:tcPr/>
          <w:p>
            <w:pPr>
              <w:pStyle w:val="Compact"/>
              <w:jc w:val="left"/>
            </w:pPr>
            <w:r>
              <w:t xml:space="preserve">Thread / connection pool</w:t>
            </w:r>
          </w:p>
        </w:tc>
        <w:tc>
          <w:tcPr/>
          <w:p>
            <w:pPr>
              <w:pStyle w:val="Compact"/>
              <w:jc w:val="left"/>
            </w:pPr>
            <w:r>
              <w:t xml:space="preserve">Busy workers / pool size</w:t>
            </w:r>
          </w:p>
        </w:tc>
        <w:tc>
          <w:tcPr/>
          <w:p>
            <w:pPr>
              <w:pStyle w:val="Compact"/>
              <w:jc w:val="left"/>
            </w:pPr>
            <w:r>
              <w:t xml:space="preserve">Requests waiting for a worker</w:t>
            </w:r>
          </w:p>
        </w:tc>
        <w:tc>
          <w:tcPr/>
          <w:p>
            <w:pPr>
              <w:pStyle w:val="Compact"/>
              <w:jc w:val="left"/>
            </w:pPr>
            <w:r>
              <w:t xml:space="preserve">Rejected tasks, acquisition timeouts</w:t>
            </w:r>
          </w:p>
        </w:tc>
      </w:tr>
      <w:tr>
        <w:tc>
          <w:tcPr/>
          <w:p>
            <w:pPr>
              <w:pStyle w:val="Compact"/>
              <w:jc w:val="left"/>
            </w:pPr>
            <w:r>
              <w:t xml:space="preserve">Lock</w:t>
            </w:r>
          </w:p>
        </w:tc>
        <w:tc>
          <w:tcPr/>
          <w:p>
            <w:pPr>
              <w:pStyle w:val="Compact"/>
              <w:jc w:val="left"/>
            </w:pPr>
            <w:r>
              <w:t xml:space="preserve">Fraction of time held</w:t>
            </w:r>
          </w:p>
        </w:tc>
        <w:tc>
          <w:tcPr/>
          <w:p>
            <w:pPr>
              <w:pStyle w:val="Compact"/>
              <w:jc w:val="left"/>
            </w:pPr>
            <w:r>
              <w:t xml:space="preserve">Waiting threads; contention time</w:t>
            </w:r>
          </w:p>
        </w:tc>
        <w:tc>
          <w:tcPr/>
          <w:p>
            <w:pPr>
              <w:pStyle w:val="Compact"/>
              <w:jc w:val="left"/>
            </w:pPr>
            <w:r>
              <w:t xml:space="preserve">Deadlock detections, timeouts</w:t>
            </w:r>
          </w:p>
        </w:tc>
      </w:tr>
    </w:tbl>
    <w:p>
      <w:pPr>
        <w:pStyle w:val="BodyText"/>
      </w:pPr>
      <w:r>
        <w:t xml:space="preserve">The container row deserves emphasis: a container that exhausts its CPU</w:t>
      </w:r>
      <w:r>
        <w:t xml:space="preserve"> </w:t>
      </w:r>
      <w:r>
        <w:rPr>
          <w:bCs/>
          <w:b/>
        </w:rPr>
        <w:t xml:space="preserve">quota</w:t>
      </w:r>
      <w:r>
        <w:t xml:space="preserve"> </w:t>
      </w:r>
      <w:r>
        <w:t xml:space="preserve">is</w:t>
      </w:r>
      <w:r>
        <w:t xml:space="preserve"> </w:t>
      </w:r>
      <w:r>
        <w:rPr>
          <w:bCs/>
          <w:b/>
        </w:rPr>
        <w:t xml:space="preserve">throttled</w:t>
      </w:r>
      <w:r>
        <w:t xml:space="preserve"> </w:t>
      </w:r>
      <w:r>
        <w:t xml:space="preserve">for the rest of the period even if the host is idle (§23.6.3), so host CPU looks low while latency spikes.</w:t>
      </w:r>
    </w:p>
    <w:bookmarkEnd w:id="2565"/>
    <w:bookmarkEnd w:id="2566"/>
    <w:bookmarkStart w:id="2567" w:name="X37e5ac8a3cb34ead1c19a2b419cba3b275dc34a"/>
    <w:p>
      <w:pPr>
        <w:pStyle w:val="Heading3"/>
      </w:pPr>
      <w:r>
        <w:t xml:space="preserve">23.3.3 The RED method and the four golden signals</w:t>
      </w:r>
    </w:p>
    <w:p>
      <w:pPr>
        <w:pStyle w:val="FirstParagraph"/>
      </w:pPr>
      <w:r>
        <w:t xml:space="preserve">USE looks at a system from the inside; users experience it request by request. Two request-centric checklists cover that view.</w:t>
      </w:r>
    </w:p>
    <w:p>
      <w:pPr>
        <w:pStyle w:val="CalloutDefinition"/>
      </w:pPr>
      <w:r>
        <w:rPr>
          <w:bCs/>
          <w:b/>
        </w:rPr>
        <w:t xml:space="preserve">DEFINITION</w:t>
      </w:r>
    </w:p>
    <w:p>
      <w:pPr>
        <w:pStyle w:val="CalloutDefinition"/>
      </w:pPr>
      <w:r>
        <w:rPr>
          <w:bCs/>
          <w:b/>
        </w:rPr>
        <w:t xml:space="preserve">Definition — RED method.</w:t>
      </w:r>
      <w:r>
        <w:t xml:space="preserve"> </w:t>
      </w:r>
      <w:r>
        <w:t xml:space="preserve">For every</w:t>
      </w:r>
      <w:r>
        <w:t xml:space="preserve"> </w:t>
      </w:r>
      <w:r>
        <w:rPr>
          <w:bCs/>
          <w:b/>
        </w:rPr>
        <w:t xml:space="preserve">service</w:t>
      </w:r>
      <w:r>
        <w:t xml:space="preserve">, monitor</w:t>
      </w:r>
      <w:r>
        <w:t xml:space="preserve"> </w:t>
      </w:r>
      <w:r>
        <w:rPr>
          <w:bCs/>
          <w:b/>
        </w:rPr>
        <w:t xml:space="preserve">R</w:t>
      </w:r>
      <w:r>
        <w:t xml:space="preserve">ate (requests per second),</w:t>
      </w:r>
      <w:r>
        <w:t xml:space="preserve"> </w:t>
      </w:r>
      <w:r>
        <w:rPr>
          <w:bCs/>
          <w:b/>
        </w:rPr>
        <w:t xml:space="preserve">E</w:t>
      </w:r>
      <w:r>
        <w:t xml:space="preserve">rrors (failed requests per second) and</w:t>
      </w:r>
      <w:r>
        <w:t xml:space="preserve"> </w:t>
      </w:r>
      <w:r>
        <w:rPr>
          <w:bCs/>
          <w:b/>
        </w:rPr>
        <w:t xml:space="preserve">D</w:t>
      </w:r>
      <w:r>
        <w:t xml:space="preserve">uration (the distribution of request latency, as a histogram from which percentiles are read). Tom Wilkie proposed it while at Weaveworks as a service-level complement to USE [Wilkie 2018].</w:t>
      </w:r>
    </w:p>
    <w:p>
      <w:pPr>
        <w:pStyle w:val="CalloutDefinition"/>
      </w:pPr>
      <w:r>
        <w:rPr>
          <w:bCs/>
          <w:b/>
        </w:rPr>
        <w:t xml:space="preserve">DEFINITION</w:t>
      </w:r>
    </w:p>
    <w:p>
      <w:pPr>
        <w:pStyle w:val="CalloutDefinition"/>
      </w:pPr>
      <w:r>
        <w:rPr>
          <w:bCs/>
          <w:b/>
        </w:rPr>
        <w:t xml:space="preserve">Definition — Four golden signals.</w:t>
      </w:r>
      <w:r>
        <w:t xml:space="preserve"> </w:t>
      </w:r>
      <w:r>
        <w:t xml:space="preserve">Google’s site reliability engineering guidance says that if you can measure only four metrics of a user-facing system, measure</w:t>
      </w:r>
      <w:r>
        <w:t xml:space="preserve"> </w:t>
      </w:r>
      <w:r>
        <w:rPr>
          <w:bCs/>
          <w:b/>
        </w:rPr>
        <w:t xml:space="preserve">latency</w:t>
      </w:r>
      <w:r>
        <w:t xml:space="preserve"> </w:t>
      </w:r>
      <w:r>
        <w:t xml:space="preserve">(time to serve a request, tracking successful and failed requests separately),</w:t>
      </w:r>
      <w:r>
        <w:t xml:space="preserve"> </w:t>
      </w:r>
      <w:r>
        <w:rPr>
          <w:bCs/>
          <w:b/>
        </w:rPr>
        <w:t xml:space="preserve">traffic</w:t>
      </w:r>
      <w:r>
        <w:t xml:space="preserve"> </w:t>
      </w:r>
      <w:r>
        <w:t xml:space="preserve">(demand, such as requests per second),</w:t>
      </w:r>
      <w:r>
        <w:t xml:space="preserve"> </w:t>
      </w:r>
      <w:r>
        <w:rPr>
          <w:bCs/>
          <w:b/>
        </w:rPr>
        <w:t xml:space="preserve">errors</w:t>
      </w:r>
      <w:r>
        <w:t xml:space="preserve"> </w:t>
      </w:r>
      <w:r>
        <w:t xml:space="preserve">(rate of failed requests, explicit or implicit) and</w:t>
      </w:r>
      <w:r>
        <w:t xml:space="preserve"> </w:t>
      </w:r>
      <w:r>
        <w:rPr>
          <w:bCs/>
          <w:b/>
        </w:rPr>
        <w:t xml:space="preserve">saturation</w:t>
      </w:r>
      <w:r>
        <w:t xml:space="preserve"> </w:t>
      </w:r>
      <w:r>
        <w:t xml:space="preserve">(how</w:t>
      </w:r>
      <w:r>
        <w:t xml:space="preserve"> </w:t>
      </w:r>
      <w:r>
        <w:t xml:space="preserve">“</w:t>
      </w:r>
      <w:r>
        <w:t xml:space="preserve">full</w:t>
      </w:r>
      <w:r>
        <w:t xml:space="preserve">”</w:t>
      </w:r>
      <w:r>
        <w:t xml:space="preserve"> </w:t>
      </w:r>
      <w:r>
        <w:t xml:space="preserve">the service is, emphasizing its most constrained resource) [Beyer et al. 2016, ch. 6].</w:t>
      </w:r>
    </w:p>
    <w:p>
      <w:pPr>
        <w:pStyle w:val="BodyText"/>
      </w:pPr>
      <w:r>
        <w:t xml:space="preserve">The golden signals are RED plus saturation. Separating success and failure latency matters: a backend failing fast in 2 ms makes the latency histogram look</w:t>
      </w:r>
      <w:r>
        <w:t xml:space="preserve"> </w:t>
      </w:r>
      <w:r>
        <w:rPr>
          <w:iCs/>
          <w:i/>
        </w:rPr>
        <w:t xml:space="preserve">better</w:t>
      </w:r>
      <w:r>
        <w:t xml:space="preserve"> </w:t>
      </w:r>
      <w:r>
        <w:t xml:space="preserve">while users suffer. Saturation is the leading signal: a pool at 90% occupancy says users are</w:t>
      </w:r>
      <w:r>
        <w:t xml:space="preserve"> </w:t>
      </w:r>
      <w:r>
        <w:rPr>
          <w:iCs/>
          <w:i/>
        </w:rPr>
        <w:t xml:space="preserve">about</w:t>
      </w:r>
      <w:r>
        <w:t xml:space="preserve"> </w:t>
      </w:r>
      <w:r>
        <w:t xml:space="preserve">to hurt.</w:t>
      </w:r>
    </w:p>
    <w:p>
      <w:pPr>
        <w:pStyle w:val="BodyText"/>
      </w:pPr>
      <w:r>
        <w:rPr>
          <w:bCs/>
          <w:b/>
        </w:rPr>
        <w:t xml:space="preserve">Table 23.2 — USE, RED and the four golden signals compared.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USE</w:t>
            </w:r>
          </w:p>
        </w:tc>
        <w:tc>
          <w:tcPr/>
          <w:p>
            <w:pPr>
              <w:pStyle w:val="Compact"/>
              <w:jc w:val="left"/>
            </w:pPr>
            <w:r>
              <w:t xml:space="preserve">RED</w:t>
            </w:r>
          </w:p>
        </w:tc>
        <w:tc>
          <w:tcPr/>
          <w:p>
            <w:pPr>
              <w:pStyle w:val="Compact"/>
              <w:jc w:val="left"/>
            </w:pPr>
            <w:r>
              <w:t xml:space="preserve">Four golden signals</w:t>
            </w:r>
          </w:p>
        </w:tc>
      </w:tr>
      <w:tr>
        <w:tc>
          <w:tcPr/>
          <w:p>
            <w:pPr>
              <w:pStyle w:val="Compact"/>
              <w:jc w:val="left"/>
            </w:pPr>
            <w:r>
              <w:t xml:space="preserve">Unit of analysis</w:t>
            </w:r>
          </w:p>
        </w:tc>
        <w:tc>
          <w:tcPr/>
          <w:p>
            <w:pPr>
              <w:pStyle w:val="Compact"/>
              <w:jc w:val="left"/>
            </w:pPr>
            <w:r>
              <w:t xml:space="preserve">Resource</w:t>
            </w:r>
          </w:p>
        </w:tc>
        <w:tc>
          <w:tcPr/>
          <w:p>
            <w:pPr>
              <w:pStyle w:val="Compact"/>
              <w:jc w:val="left"/>
            </w:pPr>
            <w:r>
              <w:t xml:space="preserve">Service (endpoint)</w:t>
            </w:r>
          </w:p>
        </w:tc>
        <w:tc>
          <w:tcPr/>
          <w:p>
            <w:pPr>
              <w:pStyle w:val="Compact"/>
              <w:jc w:val="left"/>
            </w:pPr>
            <w:r>
              <w:t xml:space="preserve">User-facing service</w:t>
            </w:r>
          </w:p>
        </w:tc>
      </w:tr>
      <w:tr>
        <w:tc>
          <w:tcPr/>
          <w:p>
            <w:pPr>
              <w:pStyle w:val="Compact"/>
              <w:jc w:val="left"/>
            </w:pPr>
            <w:r>
              <w:t xml:space="preserve">Questions</w:t>
            </w:r>
          </w:p>
        </w:tc>
        <w:tc>
          <w:tcPr/>
          <w:p>
            <w:pPr>
              <w:pStyle w:val="Compact"/>
              <w:jc w:val="left"/>
            </w:pPr>
            <w:r>
              <w:t xml:space="preserve">Busy? Queued? Failing?</w:t>
            </w:r>
          </w:p>
        </w:tc>
        <w:tc>
          <w:tcPr/>
          <w:p>
            <w:pPr>
              <w:pStyle w:val="Compact"/>
              <w:jc w:val="left"/>
            </w:pPr>
            <w:r>
              <w:t xml:space="preserve">How much? How many fail? How long?</w:t>
            </w:r>
          </w:p>
        </w:tc>
        <w:tc>
          <w:tcPr/>
          <w:p>
            <w:pPr>
              <w:pStyle w:val="Compact"/>
              <w:jc w:val="left"/>
            </w:pPr>
            <w:r>
              <w:t xml:space="preserve">RED + how full?</w:t>
            </w:r>
          </w:p>
        </w:tc>
      </w:tr>
      <w:tr>
        <w:tc>
          <w:tcPr/>
          <w:p>
            <w:pPr>
              <w:pStyle w:val="Compact"/>
              <w:jc w:val="left"/>
            </w:pPr>
            <w:r>
              <w:t xml:space="preserve">Best for</w:t>
            </w:r>
          </w:p>
        </w:tc>
        <w:tc>
          <w:tcPr/>
          <w:p>
            <w:pPr>
              <w:pStyle w:val="Compact"/>
              <w:jc w:val="left"/>
            </w:pPr>
            <w:r>
              <w:t xml:space="preserve">Root-causing on one host or component</w:t>
            </w:r>
          </w:p>
        </w:tc>
        <w:tc>
          <w:tcPr/>
          <w:p>
            <w:pPr>
              <w:pStyle w:val="Compact"/>
              <w:jc w:val="left"/>
            </w:pPr>
            <w:r>
              <w:t xml:space="preserve">Finding</w:t>
            </w:r>
            <w:r>
              <w:t xml:space="preserve"> </w:t>
            </w:r>
            <w:r>
              <w:rPr>
                <w:iCs/>
                <w:i/>
              </w:rPr>
              <w:t xml:space="preserve">which</w:t>
            </w:r>
            <w:r>
              <w:t xml:space="preserve"> </w:t>
            </w:r>
            <w:r>
              <w:t xml:space="preserve">service in a call graph is slow</w:t>
            </w:r>
          </w:p>
        </w:tc>
        <w:tc>
          <w:tcPr/>
          <w:p>
            <w:pPr>
              <w:pStyle w:val="Compact"/>
              <w:jc w:val="left"/>
            </w:pPr>
            <w:r>
              <w:t xml:space="preserve">Alerting and SLOs</w:t>
            </w:r>
          </w:p>
        </w:tc>
      </w:tr>
      <w:tr>
        <w:tc>
          <w:tcPr/>
          <w:p>
            <w:pPr>
              <w:pStyle w:val="Compact"/>
              <w:jc w:val="left"/>
            </w:pPr>
            <w:r>
              <w:t xml:space="preserve">Typical source</w:t>
            </w:r>
          </w:p>
        </w:tc>
        <w:tc>
          <w:tcPr/>
          <w:p>
            <w:pPr>
              <w:pStyle w:val="Compact"/>
              <w:jc w:val="left"/>
            </w:pPr>
            <w:r>
              <w:t xml:space="preserve">OS counters, cgroup stats, pool gauges</w:t>
            </w:r>
          </w:p>
        </w:tc>
        <w:tc>
          <w:tcPr/>
          <w:p>
            <w:pPr>
              <w:pStyle w:val="Compact"/>
              <w:jc w:val="left"/>
            </w:pPr>
            <w:r>
              <w:t xml:space="preserve">Request middleware, service mesh, load balancer logs</w:t>
            </w:r>
          </w:p>
        </w:tc>
        <w:tc>
          <w:tcPr/>
          <w:p>
            <w:pPr>
              <w:pStyle w:val="Compact"/>
              <w:jc w:val="left"/>
            </w:pPr>
            <w:r>
              <w:t xml:space="preserve">Same as RED plus capacity gauges</w:t>
            </w:r>
          </w:p>
        </w:tc>
      </w:tr>
      <w:tr>
        <w:tc>
          <w:tcPr/>
          <w:p>
            <w:pPr>
              <w:pStyle w:val="Compact"/>
              <w:jc w:val="left"/>
            </w:pPr>
            <w:r>
              <w:t xml:space="preserve">Blind spot</w:t>
            </w:r>
          </w:p>
        </w:tc>
        <w:tc>
          <w:tcPr/>
          <w:p>
            <w:pPr>
              <w:pStyle w:val="Compact"/>
              <w:jc w:val="left"/>
            </w:pPr>
            <w:r>
              <w:t xml:space="preserve">Code-level causes; external dependencies</w:t>
            </w:r>
          </w:p>
        </w:tc>
        <w:tc>
          <w:tcPr/>
          <w:p>
            <w:pPr>
              <w:pStyle w:val="Compact"/>
              <w:jc w:val="left"/>
            </w:pPr>
            <w:r>
              <w:t xml:space="preserve">Why a service is slow</w:t>
            </w:r>
          </w:p>
        </w:tc>
        <w:tc>
          <w:tcPr/>
          <w:p>
            <w:pPr>
              <w:pStyle w:val="Compact"/>
              <w:jc w:val="left"/>
            </w:pPr>
            <w:r>
              <w:t xml:space="preserve">Why a service is slow</w:t>
            </w:r>
          </w:p>
        </w:tc>
      </w:tr>
      <w:tr>
        <w:tc>
          <w:tcPr/>
          <w:p>
            <w:pPr>
              <w:pStyle w:val="Compact"/>
              <w:jc w:val="left"/>
            </w:pPr>
            <w:r>
              <w:t xml:space="preserve">Origin</w:t>
            </w:r>
          </w:p>
        </w:tc>
        <w:tc>
          <w:tcPr/>
          <w:p>
            <w:pPr>
              <w:pStyle w:val="Compact"/>
              <w:jc w:val="left"/>
            </w:pPr>
            <w:r>
              <w:t xml:space="preserve">Gregg (2012 onward)</w:t>
            </w:r>
          </w:p>
        </w:tc>
        <w:tc>
          <w:tcPr/>
          <w:p>
            <w:pPr>
              <w:pStyle w:val="Compact"/>
              <w:jc w:val="left"/>
            </w:pPr>
            <w:r>
              <w:t xml:space="preserve">Wilkie (Weaveworks)</w:t>
            </w:r>
          </w:p>
        </w:tc>
        <w:tc>
          <w:tcPr/>
          <w:p>
            <w:pPr>
              <w:pStyle w:val="Compact"/>
              <w:jc w:val="left"/>
            </w:pPr>
            <w:r>
              <w:t xml:space="preserve">Google SRE book (2016)</w:t>
            </w:r>
          </w:p>
        </w:tc>
      </w:tr>
    </w:tbl>
    <w:bookmarkEnd w:id="2567"/>
    <w:bookmarkStart w:id="2571" w:name="from-symptom-to-cause"/>
    <w:p>
      <w:pPr>
        <w:pStyle w:val="Heading3"/>
      </w:pPr>
      <w:r>
        <w:t xml:space="preserve">23.3.4 From symptom to cause</w:t>
      </w:r>
    </w:p>
    <w:p>
      <w:pPr>
        <w:pStyle w:val="FirstParagraph"/>
      </w:pPr>
      <w:r>
        <w:t xml:space="preserve">A real investigation chains the checklists: RED narrows the problem to a service and endpoint, USE finds the saturated resource, a profiler (§23.4) or trace (§40.6) finds the responsible code or call, and a load test (§23.5) confirms the fix.</w:t>
      </w:r>
    </w:p>
    <w:p>
      <w:pPr>
        <w:pStyle w:val="BodyText"/>
      </w:pPr>
      <w:r>
        <w:rPr>
          <w:bCs/>
          <w:b/>
        </w:rPr>
        <w:t xml:space="preserve">Figure 23.2 — Workflow from symptom to cause.</w:t>
      </w:r>
    </w:p>
    <w:p>
      <w:pPr>
        <w:pStyle w:val="BodyText"/>
      </w:pPr>
      <w:r>
        <w:drawing>
          <wp:inline>
            <wp:extent cx="5334000" cy="7816040"/>
            <wp:effectExtent b="0" l="0" r="0" t="0"/>
            <wp:docPr descr="" title="" id="2569" name="Picture"/>
            <a:graphic>
              <a:graphicData uri="http://schemas.openxmlformats.org/drawingml/2006/picture">
                <pic:pic>
                  <pic:nvPicPr>
                    <pic:cNvPr descr="/home/user/System-Design/build/.cache/diagrams/c6bece65fb3f.png" id="2570" name="Picture"/>
                    <pic:cNvPicPr>
                      <a:picLocks noChangeArrowheads="1" noChangeAspect="1"/>
                    </pic:cNvPicPr>
                  </pic:nvPicPr>
                  <pic:blipFill>
                    <a:blip r:embed="rId2568"/>
                    <a:stretch>
                      <a:fillRect/>
                    </a:stretch>
                  </pic:blipFill>
                  <pic:spPr bwMode="auto">
                    <a:xfrm>
                      <a:off x="0" y="0"/>
                      <a:ext cx="5334000" cy="7816040"/>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Start from a user-visible symptom and first ask</w:t>
      </w:r>
      <w:r>
        <w:t xml:space="preserve"> </w:t>
      </w:r>
      <w:r>
        <w:rPr>
          <w:iCs/>
          <w:i/>
        </w:rPr>
        <w:t xml:space="preserve">what changed</w:t>
      </w:r>
      <w:r>
        <w:t xml:space="preserve">: most regressions follow a deployment, configuration change or traffic shift, and rollback is the fastest fix. Otherwise RED metrics across the call graph (from middleware or a service mesh, over HTTP or gRPC) locate the slowest service, and USE on its resources selects the instrument: a CPU flame graph if CPUs are busy; off-CPU analysis and traces if nothing is busy but requests wait (locks, pools, dependencies); allocation profiles and GC logs if memory dominates. Solid steps are synchronous actions; the dotted edge reopens the investigation if verification fails. The main failure point is skipping scoping:</w:t>
      </w:r>
      <w:r>
        <w:t xml:space="preserve"> </w:t>
      </w:r>
      <w:r>
        <w:t xml:space="preserve">“</w:t>
      </w:r>
      <w:r>
        <w:t xml:space="preserve">the site is slow</w:t>
      </w:r>
      <w:r>
        <w:t xml:space="preserve">”</w:t>
      </w:r>
      <w:r>
        <w:t xml:space="preserve"> </w:t>
      </w:r>
      <w:r>
        <w:t xml:space="preserve">without an endpoint, percentile and start time cannot converge.</w:t>
      </w:r>
    </w:p>
    <w:p>
      <w:pPr>
        <w:pStyle w:val="CalloutExample"/>
      </w:pPr>
      <w:r>
        <w:rPr>
          <w:bCs/>
          <w:b/>
        </w:rPr>
        <w:t xml:space="preserve">WORKED EXAMPLE</w:t>
      </w:r>
    </w:p>
    <w:p>
      <w:pPr>
        <w:pStyle w:val="CalloutExample"/>
      </w:pPr>
      <w:r>
        <w:rPr>
          <w:bCs/>
          <w:b/>
        </w:rPr>
        <w:t xml:space="preserve">Worked example — Locating the bottleneck with the utilization law.</w:t>
      </w:r>
      <w:r>
        <w:t xml:space="preserve"> </w:t>
      </w:r>
      <w:r>
        <w:t xml:space="preserve">RED shows the</w:t>
      </w:r>
      <w:r>
        <w:t xml:space="preserve"> </w:t>
      </w:r>
      <w:r>
        <w:rPr>
          <w:rStyle w:val="VerbatimChar"/>
        </w:rPr>
        <w:t xml:space="preserve">/search</w:t>
      </w:r>
      <w:r>
        <w:t xml:space="preserve"> </w:t>
      </w:r>
      <w:r>
        <w:t xml:space="preserve">endpoint’s p99 rose from 120 ms to 900 ms at 2,400 RPS across 12 instances. USE on one instance (200 RPS) shows 8 CPUs at 35%, and a database connection pool of 16 connections reporting 14.8 busy on average with 40 waiters. Each request holds a connection for 74 ms.</w:t>
      </w:r>
    </w:p>
    <w:p>
      <w:pPr>
        <w:numPr>
          <w:ilvl w:val="0"/>
          <w:numId w:val="1753"/>
        </w:numPr>
        <w:pStyle w:val="Compact"/>
      </w:pPr>
      <w:r>
        <w:t xml:space="preserve">Connection pool utilization by Little’s Law (§4.11):</w:t>
      </w:r>
      <w:r>
        <w:t xml:space="preserve"> </w:t>
      </w:r>
      <m:oMath>
        <m:r>
          <m:t>L</m:t>
        </m:r>
        <m:r>
          <m:rPr>
            <m:sty m:val="p"/>
          </m:rPr>
          <m:t>=</m:t>
        </m:r>
        <m:r>
          <m:t>λ</m:t>
        </m:r>
        <m:r>
          <m:t>W</m:t>
        </m:r>
        <m:r>
          <m:rPr>
            <m:sty m:val="p"/>
          </m:rPr>
          <m:t>=</m:t>
        </m:r>
        <m:r>
          <m:t>200</m:t>
        </m:r>
        <m:r>
          <m:rPr>
            <m:sty m:val="p"/>
          </m:rPr>
          <m:t>×</m:t>
        </m:r>
        <m:r>
          <m:t>0.074</m:t>
        </m:r>
        <m:r>
          <m:rPr>
            <m:sty m:val="p"/>
          </m:rPr>
          <m:t>=</m:t>
        </m:r>
        <m:r>
          <m:t>14.8</m:t>
        </m:r>
      </m:oMath>
      <w:r>
        <w:t xml:space="preserve"> </w:t>
      </w:r>
      <w:r>
        <w:t xml:space="preserve">connections, so</w:t>
      </w:r>
      <w:r>
        <w:t xml:space="preserve"> </w:t>
      </w:r>
      <m:oMath>
        <m:r>
          <m:t>U</m:t>
        </m:r>
        <m:r>
          <m:rPr>
            <m:sty m:val="p"/>
          </m:rPr>
          <m:t>=</m:t>
        </m:r>
        <m:r>
          <m:t>14.8</m:t>
        </m:r>
        <m:r>
          <m:rPr>
            <m:sty m:val="p"/>
          </m:rPr>
          <m:t>/</m:t>
        </m:r>
        <m:r>
          <m:t>16</m:t>
        </m:r>
        <m:r>
          <m:rPr>
            <m:sty m:val="p"/>
          </m:rPr>
          <m:t>=</m:t>
        </m:r>
        <m:r>
          <m:t>92.5</m:t>
        </m:r>
        <m:r>
          <m:rPr>
            <m:sty m:val="p"/>
          </m:rPr>
          <m:t>%</m:t>
        </m:r>
      </m:oMath>
      <w:r>
        <w:t xml:space="preserve">.</w:t>
      </w:r>
    </w:p>
    <w:p>
      <w:pPr>
        <w:numPr>
          <w:ilvl w:val="0"/>
          <w:numId w:val="1753"/>
        </w:numPr>
        <w:pStyle w:val="Compact"/>
      </w:pPr>
      <w:r>
        <w:t xml:space="preserve">CPU utilization is 35% per CPU, far from saturation, and the run queue is short.</w:t>
      </w:r>
    </w:p>
    <w:p>
      <w:pPr>
        <w:numPr>
          <w:ilvl w:val="0"/>
          <w:numId w:val="1753"/>
        </w:numPr>
        <w:pStyle w:val="Compact"/>
      </w:pPr>
      <w:r>
        <w:t xml:space="preserve">Saturation evidence: 40 waiters on the pool. At 92.5% utilization a queue is expected (§4.10).</w:t>
      </w:r>
    </w:p>
    <w:p>
      <w:pPr>
        <w:numPr>
          <w:ilvl w:val="0"/>
          <w:numId w:val="1753"/>
        </w:numPr>
        <w:pStyle w:val="Compact"/>
      </w:pPr>
      <w:r>
        <w:t xml:space="preserve">Hypothesis: connection hold time rose. Tracing shows a new query taking 50 ms inside each request; before the change hold time was 24 ms, giving</w:t>
      </w:r>
      <w:r>
        <w:t xml:space="preserve"> </w:t>
      </w:r>
      <m:oMath>
        <m:r>
          <m:t>200</m:t>
        </m:r>
        <m:r>
          <m:rPr>
            <m:sty m:val="p"/>
          </m:rPr>
          <m:t>×</m:t>
        </m:r>
        <m:r>
          <m:t>0.024</m:t>
        </m:r>
        <m:r>
          <m:rPr>
            <m:sty m:val="p"/>
          </m:rPr>
          <m:t>=</m:t>
        </m:r>
        <m:r>
          <m:t>4.8</m:t>
        </m:r>
      </m:oMath>
      <w:r>
        <w:t xml:space="preserve"> </w:t>
      </w:r>
      <w:r>
        <w:t xml:space="preserve">busy connections (30%).</w:t>
      </w:r>
    </w:p>
    <w:p>
      <w:pPr>
        <w:pStyle w:val="CalloutExample"/>
      </w:pPr>
      <w:r>
        <w:rPr>
          <w:bCs/>
          <w:b/>
        </w:rPr>
        <w:t xml:space="preserve">Interpretation.</w:t>
      </w:r>
      <w:r>
        <w:t xml:space="preserve"> </w:t>
      </w:r>
      <w:r>
        <w:t xml:space="preserve">The CPU dashboard (35%) said</w:t>
      </w:r>
      <w:r>
        <w:t xml:space="preserve"> </w:t>
      </w:r>
      <w:r>
        <w:t xml:space="preserve">“</w:t>
      </w:r>
      <w:r>
        <w:t xml:space="preserve">plenty of capacity</w:t>
      </w:r>
      <w:r>
        <w:t xml:space="preserve">”</w:t>
      </w:r>
      <w:r>
        <w:t xml:space="preserve">; the pool said</w:t>
      </w:r>
      <w:r>
        <w:t xml:space="preserve"> </w:t>
      </w:r>
      <w:r>
        <w:t xml:space="preserve">“</w:t>
      </w:r>
      <w:r>
        <w:t xml:space="preserve">saturated</w:t>
      </w:r>
      <w:r>
        <w:t xml:space="preserve">”</w:t>
      </w:r>
      <w:r>
        <w:t xml:space="preserve">.</w:t>
      </w:r>
      <w:r>
        <w:t xml:space="preserve"> </w:t>
      </w:r>
      <w:r>
        <w:rPr>
          <w:bCs/>
          <w:b/>
        </w:rPr>
        <w:t xml:space="preserve">Engineering implication.</w:t>
      </w:r>
      <w:r>
        <w:t xml:space="preserve"> </w:t>
      </w:r>
      <w:r>
        <w:t xml:space="preserve">Software resources must be in your USE list and on your dashboards. The fix is to make the query faster or move it off the request path, not to add instances: twelve more instances would double the connection count the database must serve.</w:t>
      </w:r>
    </w:p>
    <w:p>
      <w:pPr>
        <w:pStyle w:val="CalloutMistake"/>
      </w:pPr>
      <w:r>
        <w:rPr>
          <w:bCs/>
          <w:b/>
        </w:rPr>
        <w:t xml:space="preserve">COMMON MISTAKE</w:t>
      </w:r>
    </w:p>
    <w:p>
      <w:pPr>
        <w:pStyle w:val="CalloutMistake"/>
      </w:pPr>
      <w:r>
        <w:rPr>
          <w:bCs/>
          <w:b/>
        </w:rPr>
        <w:t xml:space="preserve">Mistake — Treating utilization as the only signal.</w:t>
      </w:r>
      <w:r>
        <w:t xml:space="preserve"> </w:t>
      </w:r>
      <w:r>
        <w:t xml:space="preserve">A disk at 60% utilization can still be the bottleneck if its queue is long and its requests are bursty, and a CPU at 100% may be harmless for a batch job. Utilization tells you how busy a resource is; saturation tells you whether work is</w:t>
      </w:r>
      <w:r>
        <w:t xml:space="preserve"> </w:t>
      </w:r>
      <w:r>
        <w:rPr>
          <w:iCs/>
          <w:i/>
        </w:rPr>
        <w:t xml:space="preserve">waiting</w:t>
      </w:r>
      <w:r>
        <w:t xml:space="preserve"> </w:t>
      </w:r>
      <w:r>
        <w:t xml:space="preserve">for it. Latency comes from waiting.</w:t>
      </w:r>
    </w:p>
    <w:bookmarkEnd w:id="2571"/>
    <w:bookmarkEnd w:id="2572"/>
    <w:bookmarkStart w:id="2587" w:name="profiling-cpu-and-memory"/>
    <w:p>
      <w:pPr>
        <w:pStyle w:val="Heading2"/>
      </w:pPr>
      <w:r>
        <w:t xml:space="preserve">23.4 Profiling CPU and memory</w:t>
      </w:r>
    </w:p>
    <w:bookmarkStart w:id="2575" w:name="sampling-versus-instrumentation"/>
    <w:p>
      <w:pPr>
        <w:pStyle w:val="Heading3"/>
      </w:pPr>
      <w:r>
        <w:t xml:space="preserve">23.4.1 Sampling versus instrumentation</w:t>
      </w:r>
    </w:p>
    <w:p>
      <w:pPr>
        <w:pStyle w:val="CalloutDefinition"/>
      </w:pPr>
      <w:r>
        <w:rPr>
          <w:bCs/>
          <w:b/>
        </w:rPr>
        <w:t xml:space="preserve">DEFINITION</w:t>
      </w:r>
    </w:p>
    <w:p>
      <w:pPr>
        <w:pStyle w:val="CalloutDefinition"/>
      </w:pPr>
      <w:r>
        <w:rPr>
          <w:bCs/>
          <w:b/>
        </w:rPr>
        <w:t xml:space="preserve">Definition — Profiler.</w:t>
      </w:r>
      <w:r>
        <w:t xml:space="preserve"> </w:t>
      </w:r>
      <w:r>
        <w:t xml:space="preserve">A tool that attributes a resource (CPU time, wall-clock time, allocated bytes, lock wait time) to the code locations that consumed it. A</w:t>
      </w:r>
      <w:r>
        <w:t xml:space="preserve"> </w:t>
      </w:r>
      <w:r>
        <w:rPr>
          <w:bCs/>
          <w:b/>
        </w:rPr>
        <w:t xml:space="preserve">sampling profiler</w:t>
      </w:r>
      <w:r>
        <w:t xml:space="preserve"> </w:t>
      </w:r>
      <w:r>
        <w:t xml:space="preserve">interrupts the program at a fixed frequency and records the current call stack; a function’s share of samples estimates its share of time. An</w:t>
      </w:r>
      <w:r>
        <w:t xml:space="preserve"> </w:t>
      </w:r>
      <w:r>
        <w:rPr>
          <w:bCs/>
          <w:b/>
        </w:rPr>
        <w:t xml:space="preserve">instrumenting</w:t>
      </w:r>
      <w:r>
        <w:t xml:space="preserve"> </w:t>
      </w:r>
      <w:r>
        <w:t xml:space="preserve">(deterministic, tracing) profiler inserts hooks at every function entry and exit and records exact call counts and durations.</w:t>
      </w:r>
    </w:p>
    <w:bookmarkStart w:id="2573" w:name="first-principles-explanation-133"/>
    <w:p>
      <w:pPr>
        <w:pStyle w:val="Heading4"/>
      </w:pPr>
      <w:r>
        <w:t xml:space="preserve">First-principles explanation</w:t>
      </w:r>
    </w:p>
    <w:p>
      <w:pPr>
        <w:pStyle w:val="FirstParagraph"/>
      </w:pPr>
      <w:r>
        <w:t xml:space="preserve">To learn how a colleague spends the day you could follow them with a stopwatch (instrumentation) or glance at their desk a few hundred times at random and tally what you see (sampling). The stopwatch is exact but intrusive; the glances are cheap and give percentages accurate to a point or two. Production profiling almost always samples, because overhead is fixed by the sampling rate, not by how many functions the program calls.</w:t>
      </w:r>
    </w:p>
    <w:bookmarkEnd w:id="2573"/>
    <w:bookmarkStart w:id="2574" w:name="how-it-works-internally-89"/>
    <w:p>
      <w:pPr>
        <w:pStyle w:val="Heading4"/>
      </w:pPr>
      <w:r>
        <w:t xml:space="preserve">How it works internally</w:t>
      </w:r>
    </w:p>
    <w:p>
      <w:pPr>
        <w:numPr>
          <w:ilvl w:val="0"/>
          <w:numId w:val="1754"/>
        </w:numPr>
        <w:pStyle w:val="Compact"/>
      </w:pPr>
      <w:r>
        <w:t xml:space="preserve">A timer or hardware counter fires an interrupt or signal.</w:t>
      </w:r>
    </w:p>
    <w:p>
      <w:pPr>
        <w:numPr>
          <w:ilvl w:val="0"/>
          <w:numId w:val="1754"/>
        </w:numPr>
        <w:pStyle w:val="Compact"/>
      </w:pPr>
      <w:r>
        <w:t xml:space="preserve">The handler walks the running thread’s stack (via frame pointers, DWARF unwind tables or a runtime API), including kernel frames.</w:t>
      </w:r>
    </w:p>
    <w:p>
      <w:pPr>
        <w:numPr>
          <w:ilvl w:val="0"/>
          <w:numId w:val="1754"/>
        </w:numPr>
        <w:pStyle w:val="Compact"/>
      </w:pPr>
      <w:r>
        <w:t xml:space="preserve">Addresses are later</w:t>
      </w:r>
      <w:r>
        <w:t xml:space="preserve"> </w:t>
      </w:r>
      <w:r>
        <w:rPr>
          <w:bCs/>
          <w:b/>
        </w:rPr>
        <w:t xml:space="preserve">symbolized</w:t>
      </w:r>
      <w:r>
        <w:t xml:space="preserve"> </w:t>
      </w:r>
      <w:r>
        <w:t xml:space="preserve">into function names, and identical stacks are counted; each count divided by the total estimates that stack’s share of CPU time.</w:t>
      </w:r>
    </w:p>
    <w:p>
      <w:pPr>
        <w:pStyle w:val="FirstParagraph"/>
      </w:pPr>
      <w:r>
        <w:t xml:space="preserve">Linux</w:t>
      </w:r>
      <w:r>
        <w:t xml:space="preserve"> </w:t>
      </w:r>
      <w:r>
        <w:rPr>
          <w:rStyle w:val="VerbatimChar"/>
        </w:rPr>
        <w:t xml:space="preserve">perf</w:t>
      </w:r>
      <w:r>
        <w:t xml:space="preserve"> </w:t>
      </w:r>
      <w:r>
        <w:t xml:space="preserve">typically samples at 99 Hz rather than 100 Hz to avoid lockstep with periodic activity [Gregg 2020].</w:t>
      </w:r>
    </w:p>
    <w:p>
      <w:pPr>
        <w:pStyle w:val="CalloutFormula"/>
      </w:pPr>
      <w:r>
        <w:rPr>
          <w:bCs/>
          <w:b/>
        </w:rPr>
        <w:t xml:space="preserve">FORMULA</w:t>
      </w:r>
    </w:p>
    <w:p>
      <w:pPr>
        <w:pStyle w:val="CalloutFormula"/>
      </w:pPr>
      <w:r>
        <w:rPr>
          <w:bCs/>
          <w:b/>
        </w:rPr>
        <w:t xml:space="preserve">Sampling error of a profile</w:t>
      </w:r>
    </w:p>
    <w:p>
      <w:pPr>
        <w:pStyle w:val="CalloutFormula"/>
      </w:pPr>
      <m:oMathPara>
        <m:oMathParaPr>
          <m:jc m:val="center"/>
        </m:oMathParaPr>
        <m:oMath>
          <m:r>
            <m:t>n</m:t>
          </m:r>
          <m:r>
            <m:rPr>
              <m:sty m:val="p"/>
            </m:rPr>
            <m:t>=</m:t>
          </m:r>
          <m:r>
            <m:t>f</m:t>
          </m:r>
          <m:r>
            <m:rPr>
              <m:sty m:val="p"/>
            </m:rPr>
            <m:t>×</m:t>
          </m:r>
          <m:r>
            <m:t>T</m:t>
          </m:r>
          <m:r>
            <m:rPr>
              <m:sty m:val="p"/>
            </m:rPr>
            <m:t>×</m:t>
          </m:r>
          <m:r>
            <m:t>c</m:t>
          </m:r>
          <m:r>
            <m:t>  </m:t>
          </m:r>
          <m:acc>
            <m:accPr>
              <m:chr m:val="̂"/>
            </m:accPr>
            <m:e>
              <m:r>
                <m:t>p</m:t>
              </m:r>
            </m:e>
          </m:acc>
          <m:r>
            <m:rPr>
              <m:sty m:val="p"/>
            </m:rPr>
            <m:t>=</m:t>
          </m:r>
          <m:f>
            <m:fPr>
              <m:type m:val="bar"/>
            </m:fPr>
            <m:num>
              <m:r>
                <m:t>k</m:t>
              </m:r>
            </m:num>
            <m:den>
              <m:r>
                <m:t>n</m:t>
              </m:r>
            </m:den>
          </m:f>
          <m:r>
            <m:t>  </m:t>
          </m:r>
          <m:r>
            <m:rPr>
              <m:sty m:val="p"/>
            </m:rPr>
            <m:t>S</m:t>
          </m:r>
          <m:r>
            <m:rPr>
              <m:sty m:val="p"/>
            </m:rPr>
            <m:t>E</m:t>
          </m:r>
          <m:d>
            <m:dPr>
              <m:begChr m:val="("/>
              <m:endChr m:val=")"/>
              <m:sepChr m:val=""/>
              <m:grow/>
            </m:dPr>
            <m:e>
              <m:acc>
                <m:accPr>
                  <m:chr m:val="̂"/>
                </m:accPr>
                <m:e>
                  <m:r>
                    <m:t>p</m:t>
                  </m:r>
                </m:e>
              </m:acc>
            </m:e>
          </m:d>
          <m:r>
            <m:rPr>
              <m:sty m:val="p"/>
            </m:rPr>
            <m:t>=</m:t>
          </m:r>
          <m:rad>
            <m:radPr>
              <m:degHide m:val="on"/>
            </m:radPr>
            <m:deg/>
            <m:e>
              <m:f>
                <m:fPr>
                  <m:type m:val="bar"/>
                </m:fPr>
                <m:num>
                  <m:acc>
                    <m:accPr>
                      <m:chr m:val="̂"/>
                    </m:accPr>
                    <m:e>
                      <m:r>
                        <m:t>p</m:t>
                      </m:r>
                    </m:e>
                  </m:acc>
                  <m:r>
                    <m:t> </m:t>
                  </m:r>
                  <m:d>
                    <m:dPr>
                      <m:begChr m:val="("/>
                      <m:endChr m:val=")"/>
                      <m:sepChr m:val=""/>
                      <m:grow/>
                    </m:dPr>
                    <m:e>
                      <m:r>
                        <m:t>1</m:t>
                      </m:r>
                      <m:r>
                        <m:rPr>
                          <m:sty m:val="p"/>
                        </m:rPr>
                        <m:t>−</m:t>
                      </m:r>
                      <m:acc>
                        <m:accPr>
                          <m:chr m:val="̂"/>
                        </m:accPr>
                        <m:e>
                          <m:r>
                            <m:t>p</m:t>
                          </m:r>
                        </m:e>
                      </m:acc>
                    </m:e>
                  </m:d>
                </m:num>
                <m:den>
                  <m:r>
                    <m:t>n</m:t>
                  </m:r>
                </m:den>
              </m:f>
            </m:e>
          </m:rad>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f</m:t>
              </m:r>
            </m:oMath>
          </w:p>
        </w:tc>
        <w:tc>
          <w:tcPr/>
          <w:p>
            <w:pPr>
              <w:pStyle w:val="Compact"/>
              <w:jc w:val="left"/>
            </w:pPr>
            <w:r>
              <w:t xml:space="preserve">Sampling frequency per CPU</w:t>
            </w:r>
          </w:p>
        </w:tc>
        <w:tc>
          <w:tcPr/>
          <w:p>
            <w:pPr>
              <w:pStyle w:val="Compact"/>
              <w:jc w:val="left"/>
            </w:pPr>
            <w:r>
              <w:t xml:space="preserve">samples/second</w:t>
            </w:r>
          </w:p>
        </w:tc>
      </w:tr>
      <w:tr>
        <w:tc>
          <w:tcPr/>
          <w:p>
            <w:pPr>
              <w:pStyle w:val="Compact"/>
              <w:jc w:val="left"/>
            </w:pPr>
            <m:oMath>
              <m:r>
                <m:t>T</m:t>
              </m:r>
            </m:oMath>
          </w:p>
        </w:tc>
        <w:tc>
          <w:tcPr/>
          <w:p>
            <w:pPr>
              <w:pStyle w:val="Compact"/>
              <w:jc w:val="left"/>
            </w:pPr>
            <w:r>
              <w:t xml:space="preserve">Profiling duration</w:t>
            </w:r>
          </w:p>
        </w:tc>
        <w:tc>
          <w:tcPr/>
          <w:p>
            <w:pPr>
              <w:pStyle w:val="Compact"/>
              <w:jc w:val="left"/>
            </w:pPr>
            <w:r>
              <w:t xml:space="preserve">seconds</w:t>
            </w:r>
          </w:p>
        </w:tc>
      </w:tr>
      <w:tr>
        <w:tc>
          <w:tcPr/>
          <w:p>
            <w:pPr>
              <w:pStyle w:val="Compact"/>
              <w:jc w:val="left"/>
            </w:pPr>
            <m:oMath>
              <m:r>
                <m:t>c</m:t>
              </m:r>
            </m:oMath>
          </w:p>
        </w:tc>
        <w:tc>
          <w:tcPr/>
          <w:p>
            <w:pPr>
              <w:pStyle w:val="Compact"/>
              <w:jc w:val="left"/>
            </w:pPr>
            <w:r>
              <w:t xml:space="preserve">Number of busy CPUs sampled</w:t>
            </w:r>
          </w:p>
        </w:tc>
        <w:tc>
          <w:tcPr/>
          <w:p>
            <w:pPr>
              <w:pStyle w:val="Compact"/>
              <w:jc w:val="left"/>
            </w:pPr>
            <w:r>
              <w:t xml:space="preserve">count</w:t>
            </w:r>
          </w:p>
        </w:tc>
      </w:tr>
      <w:tr>
        <w:tc>
          <w:tcPr/>
          <w:p>
            <w:pPr>
              <w:pStyle w:val="Compact"/>
              <w:jc w:val="left"/>
            </w:pPr>
            <m:oMath>
              <m:r>
                <m:t>n</m:t>
              </m:r>
            </m:oMath>
          </w:p>
        </w:tc>
        <w:tc>
          <w:tcPr/>
          <w:p>
            <w:pPr>
              <w:pStyle w:val="Compact"/>
              <w:jc w:val="left"/>
            </w:pPr>
            <w:r>
              <w:t xml:space="preserve">Total samples collected</w:t>
            </w:r>
          </w:p>
        </w:tc>
        <w:tc>
          <w:tcPr/>
          <w:p>
            <w:pPr>
              <w:pStyle w:val="Compact"/>
              <w:jc w:val="left"/>
            </w:pPr>
            <w:r>
              <w:t xml:space="preserve">samples</w:t>
            </w:r>
          </w:p>
        </w:tc>
      </w:tr>
      <w:tr>
        <w:tc>
          <w:tcPr/>
          <w:p>
            <w:pPr>
              <w:pStyle w:val="Compact"/>
              <w:jc w:val="left"/>
            </w:pPr>
            <m:oMath>
              <m:r>
                <m:t>k</m:t>
              </m:r>
            </m:oMath>
          </w:p>
        </w:tc>
        <w:tc>
          <w:tcPr/>
          <w:p>
            <w:pPr>
              <w:pStyle w:val="Compact"/>
              <w:jc w:val="left"/>
            </w:pPr>
            <w:r>
              <w:t xml:space="preserve">Samples whose stack contains the function</w:t>
            </w:r>
          </w:p>
        </w:tc>
        <w:tc>
          <w:tcPr/>
          <w:p>
            <w:pPr>
              <w:pStyle w:val="Compact"/>
              <w:jc w:val="left"/>
            </w:pPr>
            <w:r>
              <w:t xml:space="preserve">samples</w:t>
            </w:r>
          </w:p>
        </w:tc>
      </w:tr>
      <w:tr>
        <w:tc>
          <w:tcPr/>
          <w:p>
            <w:pPr>
              <w:pStyle w:val="Compact"/>
              <w:jc w:val="left"/>
            </w:pPr>
            <m:oMath>
              <m:acc>
                <m:accPr>
                  <m:chr m:val="̂"/>
                </m:accPr>
                <m:e>
                  <m:r>
                    <m:t>p</m:t>
                  </m:r>
                </m:e>
              </m:acc>
            </m:oMath>
          </w:p>
        </w:tc>
        <w:tc>
          <w:tcPr/>
          <w:p>
            <w:pPr>
              <w:pStyle w:val="Compact"/>
              <w:jc w:val="left"/>
            </w:pPr>
            <w:r>
              <w:t xml:space="preserve">Estimated fraction of CPU time in the function</w:t>
            </w:r>
          </w:p>
        </w:tc>
        <w:tc>
          <w:tcPr/>
          <w:p>
            <w:pPr>
              <w:pStyle w:val="Compact"/>
              <w:jc w:val="left"/>
            </w:pPr>
            <w:r>
              <w:t xml:space="preserve">dimensionless</w:t>
            </w:r>
          </w:p>
        </w:tc>
      </w:tr>
      <w:tr>
        <w:tc>
          <w:tcPr/>
          <w:p>
            <w:pPr>
              <w:pStyle w:val="Compact"/>
              <w:jc w:val="left"/>
            </w:pPr>
            <m:oMath>
              <m:r>
                <m:rPr>
                  <m:sty m:val="p"/>
                </m:rPr>
                <m:t>S</m:t>
              </m:r>
              <m:r>
                <m:rPr>
                  <m:sty m:val="p"/>
                </m:rPr>
                <m:t>E</m:t>
              </m:r>
            </m:oMath>
          </w:p>
        </w:tc>
        <w:tc>
          <w:tcPr/>
          <w:p>
            <w:pPr>
              <w:pStyle w:val="Compact"/>
              <w:jc w:val="left"/>
            </w:pPr>
            <w:r>
              <w:t xml:space="preserve">Standard error of the estimate (binomial approximation)</w:t>
            </w:r>
          </w:p>
        </w:tc>
        <w:tc>
          <w:tcPr/>
          <w:p>
            <w:pPr>
              <w:pStyle w:val="Compact"/>
              <w:jc w:val="left"/>
            </w:pPr>
            <w:r>
              <w:t xml:space="preserve">dimensionless</w:t>
            </w:r>
          </w:p>
        </w:tc>
      </w:tr>
    </w:tbl>
    <w:p>
      <w:pPr>
        <w:pStyle w:val="CalloutExample"/>
      </w:pPr>
      <w:r>
        <w:rPr>
          <w:bCs/>
          <w:b/>
        </w:rPr>
        <w:t xml:space="preserve">WORKED EXAMPLE</w:t>
      </w:r>
    </w:p>
    <w:p>
      <w:pPr>
        <w:pStyle w:val="CalloutExample"/>
      </w:pPr>
      <w:r>
        <w:rPr>
          <w:bCs/>
          <w:b/>
        </w:rPr>
        <w:t xml:space="preserve">Worked example — How long to profile.</w:t>
      </w:r>
      <w:r>
        <w:t xml:space="preserve"> </w:t>
      </w:r>
      <w:r>
        <w:t xml:space="preserve">A service runs on 8 busy CPUs. You sample at 99 Hz for 30 s.</w:t>
      </w:r>
    </w:p>
    <w:p>
      <w:pPr>
        <w:numPr>
          <w:ilvl w:val="0"/>
          <w:numId w:val="1755"/>
        </w:numPr>
        <w:pStyle w:val="Compact"/>
      </w:pPr>
      <m:oMath>
        <m:r>
          <m:t>n</m:t>
        </m:r>
        <m:r>
          <m:rPr>
            <m:sty m:val="p"/>
          </m:rPr>
          <m:t>=</m:t>
        </m:r>
        <m:r>
          <m:t>99</m:t>
        </m:r>
        <m:r>
          <m:rPr>
            <m:sty m:val="p"/>
          </m:rPr>
          <m:t>×</m:t>
        </m:r>
        <m:r>
          <m:t>30</m:t>
        </m:r>
        <m:r>
          <m:rPr>
            <m:sty m:val="p"/>
          </m:rPr>
          <m:t>×</m:t>
        </m:r>
        <m:r>
          <m:t>8</m:t>
        </m:r>
        <m:r>
          <m:rPr>
            <m:sty m:val="p"/>
          </m:rPr>
          <m:t>=</m:t>
        </m:r>
        <m:r>
          <m:t>23</m:t>
        </m:r>
        <m:r>
          <m:rPr>
            <m:sty m:val="p"/>
          </m:rPr>
          <m:t>,</m:t>
        </m:r>
        <m:r>
          <m:t>760</m:t>
        </m:r>
      </m:oMath>
      <w:r>
        <w:t xml:space="preserve"> </w:t>
      </w:r>
      <w:r>
        <w:t xml:space="preserve">samples.</w:t>
      </w:r>
    </w:p>
    <w:p>
      <w:pPr>
        <w:numPr>
          <w:ilvl w:val="0"/>
          <w:numId w:val="1755"/>
        </w:numPr>
        <w:pStyle w:val="Compact"/>
      </w:pPr>
      <w:r>
        <w:t xml:space="preserve">A function at</w:t>
      </w:r>
      <w:r>
        <w:t xml:space="preserve"> </w:t>
      </w:r>
      <m:oMath>
        <m:acc>
          <m:accPr>
            <m:chr m:val="̂"/>
          </m:accPr>
          <m:e>
            <m:r>
              <m:t>p</m:t>
            </m:r>
          </m:e>
        </m:acc>
        <m:r>
          <m:rPr>
            <m:sty m:val="p"/>
          </m:rPr>
          <m:t>=</m:t>
        </m:r>
        <m:r>
          <m:t>2</m:t>
        </m:r>
        <m:r>
          <m:rPr>
            <m:sty m:val="p"/>
          </m:rPr>
          <m:t>%</m:t>
        </m:r>
      </m:oMath>
      <w:r>
        <w:t xml:space="preserve">:</w:t>
      </w:r>
      <w:r>
        <w:t xml:space="preserve"> </w:t>
      </w:r>
      <m:oMath>
        <m:r>
          <m:rPr>
            <m:sty m:val="p"/>
          </m:rPr>
          <m:t>S</m:t>
        </m:r>
        <m:r>
          <m:rPr>
            <m:sty m:val="p"/>
          </m:rPr>
          <m:t>E</m:t>
        </m:r>
        <m:r>
          <m:rPr>
            <m:sty m:val="p"/>
          </m:rPr>
          <m:t>=</m:t>
        </m:r>
        <m:rad>
          <m:radPr>
            <m:degHide m:val="on"/>
          </m:radPr>
          <m:deg/>
          <m:e>
            <m:r>
              <m:t>0.02</m:t>
            </m:r>
            <m:r>
              <m:rPr>
                <m:sty m:val="p"/>
              </m:rPr>
              <m:t>×</m:t>
            </m:r>
            <m:r>
              <m:t>0.98</m:t>
            </m:r>
            <m:r>
              <m:rPr>
                <m:sty m:val="p"/>
              </m:rPr>
              <m:t>/</m:t>
            </m:r>
            <m:r>
              <m:t>23</m:t>
            </m:r>
            <m:r>
              <m:rPr>
                <m:sty m:val="p"/>
              </m:rPr>
              <m:t>,</m:t>
            </m:r>
            <m:r>
              <m:t>760</m:t>
            </m:r>
          </m:e>
        </m:rad>
        <m:r>
          <m:rPr>
            <m:sty m:val="p"/>
          </m:rPr>
          <m:t>=</m:t>
        </m:r>
        <m:rad>
          <m:radPr>
            <m:degHide m:val="on"/>
          </m:radPr>
          <m:deg/>
          <m:e>
            <m:r>
              <m:t>8.25</m:t>
            </m:r>
            <m:r>
              <m:rPr>
                <m:sty m:val="p"/>
              </m:rPr>
              <m:t>×</m:t>
            </m:r>
            <m:sSup>
              <m:e>
                <m:r>
                  <m:t>10</m:t>
                </m:r>
              </m:e>
              <m:sup>
                <m:r>
                  <m:rPr>
                    <m:sty m:val="p"/>
                  </m:rPr>
                  <m:t>−</m:t>
                </m:r>
                <m:r>
                  <m:t>7</m:t>
                </m:r>
              </m:sup>
            </m:sSup>
          </m:e>
        </m:rad>
        <m:r>
          <m:rPr>
            <m:sty m:val="p"/>
          </m:rPr>
          <m:t>=</m:t>
        </m:r>
        <m:r>
          <m:t>0.00091</m:t>
        </m:r>
      </m:oMath>
      <w:r>
        <w:t xml:space="preserve">, i.e. ±0.09 percentage points; a 95% interval is about 2.0% ± 0.18%.</w:t>
      </w:r>
    </w:p>
    <w:p>
      <w:pPr>
        <w:numPr>
          <w:ilvl w:val="0"/>
          <w:numId w:val="1755"/>
        </w:numPr>
        <w:pStyle w:val="Compact"/>
      </w:pPr>
      <w:r>
        <w:t xml:space="preserve">A function at</w:t>
      </w:r>
      <w:r>
        <w:t xml:space="preserve"> </w:t>
      </w:r>
      <m:oMath>
        <m:acc>
          <m:accPr>
            <m:chr m:val="̂"/>
          </m:accPr>
          <m:e>
            <m:r>
              <m:t>p</m:t>
            </m:r>
          </m:e>
        </m:acc>
        <m:r>
          <m:rPr>
            <m:sty m:val="p"/>
          </m:rPr>
          <m:t>=</m:t>
        </m:r>
        <m:r>
          <m:t>0.1</m:t>
        </m:r>
        <m:r>
          <m:rPr>
            <m:sty m:val="p"/>
          </m:rPr>
          <m:t>%</m:t>
        </m:r>
      </m:oMath>
      <w:r>
        <w:t xml:space="preserve"> </w:t>
      </w:r>
      <w:r>
        <w:t xml:space="preserve">(about 24 samples):</w:t>
      </w:r>
      <w:r>
        <w:t xml:space="preserve"> </w:t>
      </w:r>
      <m:oMath>
        <m:r>
          <m:rPr>
            <m:sty m:val="p"/>
          </m:rPr>
          <m:t>S</m:t>
        </m:r>
        <m:r>
          <m:rPr>
            <m:sty m:val="p"/>
          </m:rPr>
          <m:t>E</m:t>
        </m:r>
        <m:r>
          <m:rPr>
            <m:sty m:val="p"/>
          </m:rPr>
          <m:t>=</m:t>
        </m:r>
        <m:rad>
          <m:radPr>
            <m:degHide m:val="on"/>
          </m:radPr>
          <m:deg/>
          <m:e>
            <m:r>
              <m:t>0.001</m:t>
            </m:r>
            <m:r>
              <m:rPr>
                <m:sty m:val="p"/>
              </m:rPr>
              <m:t>×</m:t>
            </m:r>
            <m:r>
              <m:t>0.999</m:t>
            </m:r>
            <m:r>
              <m:rPr>
                <m:sty m:val="p"/>
              </m:rPr>
              <m:t>/</m:t>
            </m:r>
            <m:r>
              <m:t>23</m:t>
            </m:r>
            <m:r>
              <m:rPr>
                <m:sty m:val="p"/>
              </m:rPr>
              <m:t>,</m:t>
            </m:r>
            <m:r>
              <m:t>760</m:t>
            </m:r>
          </m:e>
        </m:rad>
        <m:r>
          <m:rPr>
            <m:sty m:val="p"/>
          </m:rPr>
          <m:t>=</m:t>
        </m:r>
        <m:r>
          <m:t>0.000205</m:t>
        </m:r>
      </m:oMath>
      <w:r>
        <w:t xml:space="preserve">, a</w:t>
      </w:r>
      <w:r>
        <w:t xml:space="preserve"> </w:t>
      </w:r>
      <w:r>
        <w:rPr>
          <w:iCs/>
          <w:i/>
        </w:rPr>
        <w:t xml:space="preserve">relative</w:t>
      </w:r>
      <w:r>
        <w:t xml:space="preserve"> </w:t>
      </w:r>
      <w:r>
        <w:t xml:space="preserve">error of about 20%.</w:t>
      </w:r>
    </w:p>
    <w:p>
      <w:pPr>
        <w:pStyle w:val="CalloutExample"/>
      </w:pPr>
      <w:r>
        <w:rPr>
          <w:bCs/>
          <w:b/>
        </w:rPr>
        <w:t xml:space="preserve">Interpretation.</w:t>
      </w:r>
      <w:r>
        <w:t xml:space="preserve"> </w:t>
      </w:r>
      <w:r>
        <w:t xml:space="preserve">Thirty seconds measures anything that matters (above 1%) precisely; tiny functions are noisy, but they are not where the time is.</w:t>
      </w:r>
      <w:r>
        <w:t xml:space="preserve"> </w:t>
      </w:r>
      <w:r>
        <w:rPr>
          <w:bCs/>
          <w:b/>
        </w:rPr>
        <w:t xml:space="preserve">Engineering implication.</w:t>
      </w:r>
      <w:r>
        <w:t xml:space="preserve"> </w:t>
      </w:r>
      <w:r>
        <w:t xml:space="preserve">Profile for tens of seconds under representative load, and do not chase differences smaller than two standard errors between two profiles.</w:t>
      </w:r>
    </w:p>
    <w:p>
      <w:pPr>
        <w:pStyle w:val="BodyText"/>
      </w:pPr>
      <w:r>
        <w:t xml:space="preserve">Instrumentation has exact counts but overhead proportional to call frequency: 10 million calls per second at 50 ns of hook cost adds 0.5 CPU-seconds per second, distorting exactly the small hot functions you want to measure. It suits call counts, coarse spans (distributed tracing, §40.6) and offline analysis.</w:t>
      </w:r>
    </w:p>
    <w:bookmarkEnd w:id="2574"/>
    <w:bookmarkEnd w:id="2575"/>
    <w:bookmarkStart w:id="2579" w:name="flame-graphs"/>
    <w:p>
      <w:pPr>
        <w:pStyle w:val="Heading3"/>
      </w:pPr>
      <w:r>
        <w:t xml:space="preserve">23.4.2 Flame graphs</w:t>
      </w:r>
    </w:p>
    <w:p>
      <w:pPr>
        <w:pStyle w:val="FirstParagraph"/>
      </w:pPr>
      <w:r>
        <w:t xml:space="preserve">A profile of a real service contains tens of thousands of distinct stacks, far too many to read as text. Gregg’s</w:t>
      </w:r>
      <w:r>
        <w:t xml:space="preserve"> </w:t>
      </w:r>
      <w:r>
        <w:rPr>
          <w:bCs/>
          <w:b/>
        </w:rPr>
        <w:t xml:space="preserve">flame graph</w:t>
      </w:r>
      <w:r>
        <w:t xml:space="preserve"> </w:t>
      </w:r>
      <w:r>
        <w:t xml:space="preserve">visualizes them [Gregg 2016]: each box is a function in a stack; the y-axis is stack depth (callers below, callees above); the</w:t>
      </w:r>
      <w:r>
        <w:t xml:space="preserve"> </w:t>
      </w:r>
      <w:r>
        <w:rPr>
          <w:bCs/>
          <w:b/>
        </w:rPr>
        <w:t xml:space="preserve">width</w:t>
      </w:r>
      <w:r>
        <w:t xml:space="preserve"> </w:t>
      </w:r>
      <w:r>
        <w:t xml:space="preserve">of a box is proportional to the number of samples containing it; boxes are sorted alphabetically along the x-axis so identical stacks merge. The x-axis is</w:t>
      </w:r>
      <w:r>
        <w:t xml:space="preserve"> </w:t>
      </w:r>
      <w:r>
        <w:rPr>
          <w:iCs/>
          <w:i/>
        </w:rPr>
        <w:t xml:space="preserve">not</w:t>
      </w:r>
      <w:r>
        <w:t xml:space="preserve"> </w:t>
      </w:r>
      <w:r>
        <w:t xml:space="preserve">time.</w:t>
      </w:r>
    </w:p>
    <w:p>
      <w:pPr>
        <w:pStyle w:val="BodyText"/>
      </w:pPr>
      <w:r>
        <w:rPr>
          <w:bCs/>
          <w:b/>
        </w:rPr>
        <w:t xml:space="preserve">Figure 23.3 — From samples to a flame graph.</w:t>
      </w:r>
    </w:p>
    <w:p>
      <w:pPr>
        <w:pStyle w:val="BodyText"/>
      </w:pPr>
      <w:r>
        <w:drawing>
          <wp:inline>
            <wp:extent cx="5334000" cy="284996"/>
            <wp:effectExtent b="0" l="0" r="0" t="0"/>
            <wp:docPr descr="" title="" id="2577" name="Picture"/>
            <a:graphic>
              <a:graphicData uri="http://schemas.openxmlformats.org/drawingml/2006/picture">
                <pic:pic>
                  <pic:nvPicPr>
                    <pic:cNvPr descr="/home/user/System-Design/build/.cache/diagrams/b57bdd1117ab.png" id="2578" name="Picture"/>
                    <pic:cNvPicPr>
                      <a:picLocks noChangeArrowheads="1" noChangeAspect="1"/>
                    </pic:cNvPicPr>
                  </pic:nvPicPr>
                  <pic:blipFill>
                    <a:blip r:embed="rId2576"/>
                    <a:stretch>
                      <a:fillRect/>
                    </a:stretch>
                  </pic:blipFill>
                  <pic:spPr bwMode="auto">
                    <a:xfrm>
                      <a:off x="0" y="0"/>
                      <a:ext cx="5334000" cy="284996"/>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sampler observes the service (perf and eBPF from the kernel, py-spy by reading process memory, async-profiler inside the JVM) and writes raw stacks to a profile file, the storage boundary; everything after it runs offline. Arrows are batch hand-offs, not request paths. Symbolization fails when symbols are stripped or JIT code lacks a symbol map, leaving hexadecimal frames. Collapsing merges identical stacks into counts that the flame graph draws as widths. Look first for wide</w:t>
      </w:r>
      <w:r>
        <w:t xml:space="preserve"> </w:t>
      </w:r>
      <w:r>
        <w:rPr>
          <w:bCs/>
          <w:b/>
        </w:rPr>
        <w:t xml:space="preserve">plateaus</w:t>
      </w:r>
      <w:r>
        <w:t xml:space="preserve">, boxes with nothing on top, which burn CPU themselves. Continuous profiling on every host scales this to a fleet.</w:t>
      </w:r>
    </w:p>
    <w:bookmarkEnd w:id="2579"/>
    <w:bookmarkStart w:id="2583" w:name="off-cpu-analysis"/>
    <w:p>
      <w:pPr>
        <w:pStyle w:val="Heading3"/>
      </w:pPr>
      <w:r>
        <w:t xml:space="preserve">23.4.3 Off-CPU analysis</w:t>
      </w:r>
    </w:p>
    <w:p>
      <w:pPr>
        <w:pStyle w:val="FirstParagraph"/>
      </w:pPr>
      <w:r>
        <w:t xml:space="preserve">A CPU profile shows only time spent</w:t>
      </w:r>
      <w:r>
        <w:t xml:space="preserve"> </w:t>
      </w:r>
      <w:r>
        <w:rPr>
          <w:iCs/>
          <w:i/>
        </w:rPr>
        <w:t xml:space="preserve">running</w:t>
      </w:r>
      <w:r>
        <w:t xml:space="preserve">. A request that takes 300 ms of wall-clock time but uses 5 ms of CPU is invisible to it. The missing 295 ms is</w:t>
      </w:r>
      <w:r>
        <w:t xml:space="preserve"> </w:t>
      </w:r>
      <w:r>
        <w:rPr>
          <w:bCs/>
          <w:b/>
        </w:rPr>
        <w:t xml:space="preserve">off-CPU time</w:t>
      </w:r>
      <w:r>
        <w:t xml:space="preserve">: the thread was blocked on disk or network I/O, waiting for a lock, sleeping, or runnable but waiting for a CPU.</w:t>
      </w:r>
    </w:p>
    <w:p>
      <w:pPr>
        <w:pStyle w:val="BodyText"/>
      </w:pPr>
      <w:r>
        <w:rPr>
          <w:bCs/>
          <w:b/>
        </w:rPr>
        <w:t xml:space="preserve">Figure 23.4 — On-CPU and off-CPU thread states.</w:t>
      </w:r>
    </w:p>
    <w:p>
      <w:pPr>
        <w:pStyle w:val="BodyText"/>
      </w:pPr>
      <w:r>
        <w:drawing>
          <wp:inline>
            <wp:extent cx="5334000" cy="2417677"/>
            <wp:effectExtent b="0" l="0" r="0" t="0"/>
            <wp:docPr descr="" title="" id="2581" name="Picture"/>
            <a:graphic>
              <a:graphicData uri="http://schemas.openxmlformats.org/drawingml/2006/picture">
                <pic:pic>
                  <pic:nvPicPr>
                    <pic:cNvPr descr="/home/user/System-Design/build/.cache/diagrams/a01810371e27.png" id="2582" name="Picture"/>
                    <pic:cNvPicPr>
                      <a:picLocks noChangeArrowheads="1" noChangeAspect="1"/>
                    </pic:cNvPicPr>
                  </pic:nvPicPr>
                  <pic:blipFill>
                    <a:blip r:embed="rId2580"/>
                    <a:stretch>
                      <a:fillRect/>
                    </a:stretch>
                  </pic:blipFill>
                  <pic:spPr bwMode="auto">
                    <a:xfrm>
                      <a:off x="0" y="0"/>
                      <a:ext cx="5334000" cy="2417677"/>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Only</w:t>
      </w:r>
      <w:r>
        <w:t xml:space="preserve"> </w:t>
      </w:r>
      <w:r>
        <w:rPr>
          <w:rStyle w:val="VerbatimChar"/>
        </w:rPr>
        <w:t xml:space="preserve">OnCPU</w:t>
      </w:r>
      <w:r>
        <w:t xml:space="preserve"> </w:t>
      </w:r>
      <w:r>
        <w:t xml:space="preserve">appears in a CPU profile.</w:t>
      </w:r>
      <w:r>
        <w:t xml:space="preserve"> </w:t>
      </w:r>
      <w:r>
        <w:rPr>
          <w:rStyle w:val="VerbatimChar"/>
        </w:rPr>
        <w:t xml:space="preserve">Runnable</w:t>
      </w:r>
      <w:r>
        <w:t xml:space="preserve"> </w:t>
      </w:r>
      <w:r>
        <w:t xml:space="preserve">time is scheduler latency (CPU saturation or throttling, measured by</w:t>
      </w:r>
      <w:r>
        <w:t xml:space="preserve"> </w:t>
      </w:r>
      <w:r>
        <w:rPr>
          <w:rStyle w:val="VerbatimChar"/>
        </w:rPr>
        <w:t xml:space="preserve">runqlat</w:t>
      </w:r>
      <w:r>
        <w:t xml:space="preserve">);</w:t>
      </w:r>
      <w:r>
        <w:t xml:space="preserve"> </w:t>
      </w:r>
      <w:r>
        <w:rPr>
          <w:rStyle w:val="VerbatimChar"/>
        </w:rPr>
        <w:t xml:space="preserve">BlockedIO</w:t>
      </w:r>
      <w:r>
        <w:t xml:space="preserve"> </w:t>
      </w:r>
      <w:r>
        <w:t xml:space="preserve">is waiting on storage or network calls;</w:t>
      </w:r>
      <w:r>
        <w:t xml:space="preserve"> </w:t>
      </w:r>
      <w:r>
        <w:rPr>
          <w:rStyle w:val="VerbatimChar"/>
        </w:rPr>
        <w:t xml:space="preserve">BlockedLock</w:t>
      </w:r>
      <w:r>
        <w:t xml:space="preserve"> </w:t>
      </w:r>
      <w:r>
        <w:t xml:space="preserve">is mutex or pool contention;</w:t>
      </w:r>
      <w:r>
        <w:t xml:space="preserve"> </w:t>
      </w:r>
      <w:r>
        <w:rPr>
          <w:rStyle w:val="VerbatimChar"/>
        </w:rPr>
        <w:t xml:space="preserve">Sleeping</w:t>
      </w:r>
      <w:r>
        <w:t xml:space="preserve"> </w:t>
      </w:r>
      <w:r>
        <w:t xml:space="preserve">is voluntary. Transitions out of</w:t>
      </w:r>
      <w:r>
        <w:t xml:space="preserve"> </w:t>
      </w:r>
      <w:r>
        <w:rPr>
          <w:rStyle w:val="VerbatimChar"/>
        </w:rPr>
        <w:t xml:space="preserve">OnCPU</w:t>
      </w:r>
      <w:r>
        <w:t xml:space="preserve"> </w:t>
      </w:r>
      <w:r>
        <w:t xml:space="preserve">are context switches (§6.4).</w:t>
      </w:r>
      <w:r>
        <w:t xml:space="preserve"> </w:t>
      </w:r>
      <w:r>
        <w:rPr>
          <w:bCs/>
          <w:b/>
        </w:rPr>
        <w:t xml:space="preserve">Off-CPU profiling</w:t>
      </w:r>
      <w:r>
        <w:t xml:space="preserve"> </w:t>
      </w:r>
      <w:r>
        <w:t xml:space="preserve">records the stack and blocked duration at each switch-out, typically with eBPF (</w:t>
      </w:r>
      <w:r>
        <w:rPr>
          <w:rStyle w:val="VerbatimChar"/>
        </w:rPr>
        <w:t xml:space="preserve">offcputime</w:t>
      </w:r>
      <w:r>
        <w:t xml:space="preserve">), and draws a flame graph whose width is blocked</w:t>
      </w:r>
      <w:r>
        <w:t xml:space="preserve"> </w:t>
      </w:r>
      <w:r>
        <w:rPr>
          <w:iCs/>
          <w:i/>
        </w:rPr>
        <w:t xml:space="preserve">time</w:t>
      </w:r>
      <w:r>
        <w:t xml:space="preserve">. Wall-clock profilers (async-profiler’s</w:t>
      </w:r>
      <w:r>
        <w:t xml:space="preserve"> </w:t>
      </w:r>
      <w:r>
        <w:rPr>
          <w:rStyle w:val="VerbatimChar"/>
        </w:rPr>
        <w:t xml:space="preserve">wall</w:t>
      </w:r>
      <w:r>
        <w:t xml:space="preserve"> </w:t>
      </w:r>
      <w:r>
        <w:t xml:space="preserve">mode) sample all threads in any state. Pitfall: idle pool workers dominate off-CPU profiles, so filter to threads serving requests.</w:t>
      </w:r>
    </w:p>
    <w:p>
      <w:pPr>
        <w:pStyle w:val="BodyText"/>
      </w:pPr>
      <w:r>
        <w:t xml:space="preserve">Request latency equals on-CPU plus off-CPU time. Latency problems in I/O-heavy services are usually off-CPU; throughput and cost problems usually on-CPU.</w:t>
      </w:r>
    </w:p>
    <w:bookmarkEnd w:id="2583"/>
    <w:bookmarkStart w:id="2584" w:name="tools-by-runtime"/>
    <w:p>
      <w:pPr>
        <w:pStyle w:val="Heading3"/>
      </w:pPr>
      <w:r>
        <w:t xml:space="preserve">23.4.4 Tools by runtime</w:t>
      </w:r>
    </w:p>
    <w:p>
      <w:pPr>
        <w:pStyle w:val="FirstParagraph"/>
      </w:pPr>
      <w:r>
        <w:rPr>
          <w:bCs/>
          <w:b/>
        </w:rPr>
        <w:t xml:space="preserve">Table 23.3 — Common profilers (as of 2026).</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Tool</w:t>
            </w:r>
          </w:p>
        </w:tc>
        <w:tc>
          <w:tcPr/>
          <w:p>
            <w:pPr>
              <w:pStyle w:val="Compact"/>
              <w:jc w:val="left"/>
            </w:pPr>
            <w:r>
              <w:t xml:space="preserve">Runtime</w:t>
            </w:r>
          </w:p>
        </w:tc>
        <w:tc>
          <w:tcPr/>
          <w:p>
            <w:pPr>
              <w:pStyle w:val="Compact"/>
              <w:jc w:val="left"/>
            </w:pPr>
            <w:r>
              <w:t xml:space="preserve">Method</w:t>
            </w:r>
          </w:p>
        </w:tc>
        <w:tc>
          <w:tcPr/>
          <w:p>
            <w:pPr>
              <w:pStyle w:val="Compact"/>
              <w:jc w:val="left"/>
            </w:pPr>
            <w:r>
              <w:t xml:space="preserve">Notable features</w:t>
            </w:r>
          </w:p>
        </w:tc>
      </w:tr>
      <w:tr>
        <w:tc>
          <w:tcPr/>
          <w:p>
            <w:pPr>
              <w:pStyle w:val="Compact"/>
              <w:jc w:val="left"/>
            </w:pPr>
            <w:r>
              <w:rPr>
                <w:rStyle w:val="VerbatimChar"/>
              </w:rPr>
              <w:t xml:space="preserve">perf</w:t>
            </w:r>
          </w:p>
        </w:tc>
        <w:tc>
          <w:tcPr/>
          <w:p>
            <w:pPr>
              <w:pStyle w:val="Compact"/>
              <w:jc w:val="left"/>
            </w:pPr>
            <w:r>
              <w:t xml:space="preserve">Any (Linux)</w:t>
            </w:r>
          </w:p>
        </w:tc>
        <w:tc>
          <w:tcPr/>
          <w:p>
            <w:pPr>
              <w:pStyle w:val="Compact"/>
              <w:jc w:val="left"/>
            </w:pPr>
            <w:r>
              <w:t xml:space="preserve">Sampling via kernel perf events</w:t>
            </w:r>
          </w:p>
        </w:tc>
        <w:tc>
          <w:tcPr/>
          <w:p>
            <w:pPr>
              <w:pStyle w:val="Compact"/>
              <w:jc w:val="left"/>
            </w:pPr>
            <w:r>
              <w:t xml:space="preserve">CPU, hardware counters, kernel stacks; needs frame pointers or DWARF for user stacks</w:t>
            </w:r>
          </w:p>
        </w:tc>
      </w:tr>
      <w:tr>
        <w:tc>
          <w:tcPr/>
          <w:p>
            <w:pPr>
              <w:pStyle w:val="Compact"/>
              <w:jc w:val="left"/>
            </w:pPr>
            <w:r>
              <w:t xml:space="preserve">eBPF tools (BCC, bpftrace)</w:t>
            </w:r>
          </w:p>
        </w:tc>
        <w:tc>
          <w:tcPr/>
          <w:p>
            <w:pPr>
              <w:pStyle w:val="Compact"/>
              <w:jc w:val="left"/>
            </w:pPr>
            <w:r>
              <w:t xml:space="preserve">Any (Linux)</w:t>
            </w:r>
          </w:p>
        </w:tc>
        <w:tc>
          <w:tcPr/>
          <w:p>
            <w:pPr>
              <w:pStyle w:val="Compact"/>
              <w:jc w:val="left"/>
            </w:pPr>
            <w:r>
              <w:t xml:space="preserve">In-kernel programs on events</w:t>
            </w:r>
          </w:p>
        </w:tc>
        <w:tc>
          <w:tcPr/>
          <w:p>
            <w:pPr>
              <w:pStyle w:val="Compact"/>
              <w:jc w:val="left"/>
            </w:pPr>
            <w:r>
              <w:t xml:space="preserve">Low-overhead off-CPU, run-queue, block I/O latency histograms</w:t>
            </w:r>
          </w:p>
        </w:tc>
      </w:tr>
      <w:tr>
        <w:tc>
          <w:tcPr/>
          <w:p>
            <w:pPr>
              <w:pStyle w:val="Compact"/>
              <w:jc w:val="left"/>
            </w:pPr>
            <w:r>
              <w:t xml:space="preserve">py-spy</w:t>
            </w:r>
          </w:p>
        </w:tc>
        <w:tc>
          <w:tcPr/>
          <w:p>
            <w:pPr>
              <w:pStyle w:val="Compact"/>
              <w:jc w:val="left"/>
            </w:pPr>
            <w:r>
              <w:t xml:space="preserve">CPython</w:t>
            </w:r>
          </w:p>
        </w:tc>
        <w:tc>
          <w:tcPr/>
          <w:p>
            <w:pPr>
              <w:pStyle w:val="Compact"/>
              <w:jc w:val="left"/>
            </w:pPr>
            <w:r>
              <w:t xml:space="preserve">Sampling by reading process memory</w:t>
            </w:r>
          </w:p>
        </w:tc>
        <w:tc>
          <w:tcPr/>
          <w:p>
            <w:pPr>
              <w:pStyle w:val="Compact"/>
              <w:jc w:val="left"/>
            </w:pPr>
            <w:r>
              <w:t xml:space="preserve">No code change; attaches to a running PID; flame graph output</w:t>
            </w:r>
          </w:p>
        </w:tc>
      </w:tr>
      <w:tr>
        <w:tc>
          <w:tcPr/>
          <w:p>
            <w:pPr>
              <w:pStyle w:val="Compact"/>
              <w:jc w:val="left"/>
            </w:pPr>
            <w:r>
              <w:t xml:space="preserve">async-profiler</w:t>
            </w:r>
          </w:p>
        </w:tc>
        <w:tc>
          <w:tcPr/>
          <w:p>
            <w:pPr>
              <w:pStyle w:val="Compact"/>
              <w:jc w:val="left"/>
            </w:pPr>
            <w:r>
              <w:t xml:space="preserve">JVM</w:t>
            </w:r>
          </w:p>
        </w:tc>
        <w:tc>
          <w:tcPr/>
          <w:p>
            <w:pPr>
              <w:pStyle w:val="Compact"/>
              <w:jc w:val="left"/>
            </w:pPr>
            <w:r>
              <w:t xml:space="preserve">Sampling with perf events and JVM APIs</w:t>
            </w:r>
          </w:p>
        </w:tc>
        <w:tc>
          <w:tcPr/>
          <w:p>
            <w:pPr>
              <w:pStyle w:val="Compact"/>
              <w:jc w:val="left"/>
            </w:pPr>
            <w:r>
              <w:t xml:space="preserve">Avoids safepoint bias; CPU, allocation, lock and wall-clock modes</w:t>
            </w:r>
          </w:p>
        </w:tc>
      </w:tr>
      <w:tr>
        <w:tc>
          <w:tcPr/>
          <w:p>
            <w:pPr>
              <w:pStyle w:val="Compact"/>
              <w:jc w:val="left"/>
            </w:pPr>
            <w:r>
              <w:t xml:space="preserve">Java Flight Recorder</w:t>
            </w:r>
          </w:p>
        </w:tc>
        <w:tc>
          <w:tcPr/>
          <w:p>
            <w:pPr>
              <w:pStyle w:val="Compact"/>
              <w:jc w:val="left"/>
            </w:pPr>
            <w:r>
              <w:t xml:space="preserve">JVM</w:t>
            </w:r>
          </w:p>
        </w:tc>
        <w:tc>
          <w:tcPr/>
          <w:p>
            <w:pPr>
              <w:pStyle w:val="Compact"/>
              <w:jc w:val="left"/>
            </w:pPr>
            <w:r>
              <w:t xml:space="preserve">Built-in event recording</w:t>
            </w:r>
          </w:p>
        </w:tc>
        <w:tc>
          <w:tcPr/>
          <w:p>
            <w:pPr>
              <w:pStyle w:val="Compact"/>
              <w:jc w:val="left"/>
            </w:pPr>
            <w:r>
              <w:t xml:space="preserve">Low overhead, always-on in production; GC and lock events</w:t>
            </w:r>
          </w:p>
        </w:tc>
      </w:tr>
      <w:tr>
        <w:tc>
          <w:tcPr/>
          <w:p>
            <w:pPr>
              <w:pStyle w:val="Compact"/>
              <w:jc w:val="left"/>
            </w:pPr>
            <w:r>
              <w:t xml:space="preserve">pprof</w:t>
            </w:r>
          </w:p>
        </w:tc>
        <w:tc>
          <w:tcPr/>
          <w:p>
            <w:pPr>
              <w:pStyle w:val="Compact"/>
              <w:jc w:val="left"/>
            </w:pPr>
            <w:r>
              <w:t xml:space="preserve">Go</w:t>
            </w:r>
          </w:p>
        </w:tc>
        <w:tc>
          <w:tcPr/>
          <w:p>
            <w:pPr>
              <w:pStyle w:val="Compact"/>
              <w:jc w:val="left"/>
            </w:pPr>
            <w:r>
              <w:t xml:space="preserve">Built-in sampling (CPU 100 Hz), heap sampling</w:t>
            </w:r>
          </w:p>
        </w:tc>
        <w:tc>
          <w:tcPr/>
          <w:p>
            <w:pPr>
              <w:pStyle w:val="Compact"/>
              <w:jc w:val="left"/>
            </w:pPr>
            <w:r>
              <w:rPr>
                <w:rStyle w:val="VerbatimChar"/>
              </w:rPr>
              <w:t xml:space="preserve">net/http/pprof</w:t>
            </w:r>
            <w:r>
              <w:t xml:space="preserve"> </w:t>
            </w:r>
            <w:r>
              <w:t xml:space="preserve">endpoint; CPU, heap, goroutine, block, mutex profiles</w:t>
            </w:r>
          </w:p>
        </w:tc>
      </w:tr>
    </w:tbl>
    <w:p>
      <w:pPr>
        <w:pStyle w:val="BodyText"/>
      </w:pPr>
      <w:r>
        <w:rPr>
          <w:bCs/>
          <w:b/>
        </w:rPr>
        <w:t xml:space="preserve">Safepoint bias</w:t>
      </w:r>
      <w:r>
        <w:t xml:space="preserve">: older JVM profilers sampled threads only at</w:t>
      </w:r>
      <w:r>
        <w:t xml:space="preserve"> </w:t>
      </w:r>
      <w:r>
        <w:rPr>
          <w:bCs/>
          <w:b/>
        </w:rPr>
        <w:t xml:space="preserve">safepoints</w:t>
      </w:r>
      <w:r>
        <w:t xml:space="preserve">, so time in loops without safepoints was misattributed, and a study of four Java profilers found they often disagreed about the hottest method [Mytkowicz et al. 2010]. Signal-based asynchronous profilers such as async-profiler avoid this.</w:t>
      </w:r>
    </w:p>
    <w:bookmarkEnd w:id="2584"/>
    <w:bookmarkStart w:id="2586" w:name="allocation-profiling"/>
    <w:p>
      <w:pPr>
        <w:pStyle w:val="Heading3"/>
      </w:pPr>
      <w:r>
        <w:t xml:space="preserve">23.4.5 Allocation profiling</w:t>
      </w:r>
    </w:p>
    <w:p>
      <w:pPr>
        <w:pStyle w:val="FirstParagraph"/>
      </w:pPr>
      <w:r>
        <w:t xml:space="preserve">In garbage-collected runtimes the</w:t>
      </w:r>
      <w:r>
        <w:t xml:space="preserve"> </w:t>
      </w:r>
      <w:r>
        <w:rPr>
          <w:bCs/>
          <w:b/>
        </w:rPr>
        <w:t xml:space="preserve">allocation rate</w:t>
      </w:r>
      <w:r>
        <w:t xml:space="preserve"> </w:t>
      </w:r>
      <w:r>
        <w:t xml:space="preserve">sets how often the collector runs (§23.9). Allocation profilers answer two questions:</w:t>
      </w:r>
      <w:r>
        <w:t xml:space="preserve"> </w:t>
      </w:r>
      <w:r>
        <w:rPr>
          <w:iCs/>
          <w:i/>
        </w:rPr>
        <w:t xml:space="preserve">who allocates most</w:t>
      </w:r>
      <w:r>
        <w:t xml:space="preserve"> </w:t>
      </w:r>
      <w:r>
        <w:t xml:space="preserve">(drives GC frequency) and</w:t>
      </w:r>
      <w:r>
        <w:t xml:space="preserve"> </w:t>
      </w:r>
      <w:r>
        <w:rPr>
          <w:iCs/>
          <w:i/>
        </w:rPr>
        <w:t xml:space="preserve">who holds memory now</w:t>
      </w:r>
      <w:r>
        <w:t xml:space="preserve"> </w:t>
      </w:r>
      <w:r>
        <w:t xml:space="preserve">(drives heap size); diffing heap snapshots taken minutes apart finds leaks. The program below profiles CPU with</w:t>
      </w:r>
      <w:r>
        <w:t xml:space="preserve"> </w:t>
      </w:r>
      <w:r>
        <w:rPr>
          <w:rStyle w:val="VerbatimChar"/>
        </w:rPr>
        <w:t xml:space="preserve">cProfile</w:t>
      </w:r>
      <w:r>
        <w:t xml:space="preserve"> </w:t>
      </w:r>
      <w:r>
        <w:t xml:space="preserve">and memory with</w:t>
      </w:r>
      <w:r>
        <w:t xml:space="preserve"> </w:t>
      </w:r>
      <w:r>
        <w:rPr>
          <w:rStyle w:val="VerbatimChar"/>
        </w:rPr>
        <w:t xml:space="preserve">tracemalloc</w:t>
      </w:r>
      <w:r>
        <w:t xml:space="preserve">, counting distinct users in a request log with a list (O(n) membership test) and with a set.</w:t>
      </w:r>
    </w:p>
    <w:p>
      <w:pPr>
        <w:pStyle w:val="SourceCode"/>
      </w:pPr>
      <w:r>
        <w:rPr>
          <w:rStyle w:val="ImportTok"/>
        </w:rPr>
        <w:t xml:space="preserve">import</w:t>
      </w:r>
      <w:r>
        <w:rPr>
          <w:rStyle w:val="NormalTok"/>
        </w:rPr>
        <w:t xml:space="preserve"> cProfile</w:t>
      </w:r>
      <w:r>
        <w:br/>
      </w:r>
      <w:r>
        <w:rPr>
          <w:rStyle w:val="ImportTok"/>
        </w:rPr>
        <w:t xml:space="preserve">import</w:t>
      </w:r>
      <w:r>
        <w:rPr>
          <w:rStyle w:val="NormalTok"/>
        </w:rPr>
        <w:t xml:space="preserve"> json</w:t>
      </w:r>
      <w:r>
        <w:br/>
      </w:r>
      <w:r>
        <w:rPr>
          <w:rStyle w:val="ImportTok"/>
        </w:rPr>
        <w:t xml:space="preserve">import</w:t>
      </w:r>
      <w:r>
        <w:rPr>
          <w:rStyle w:val="NormalTok"/>
        </w:rPr>
        <w:t xml:space="preserve"> linecache</w:t>
      </w:r>
      <w:r>
        <w:br/>
      </w:r>
      <w:r>
        <w:rPr>
          <w:rStyle w:val="ImportTok"/>
        </w:rPr>
        <w:t xml:space="preserve">import</w:t>
      </w:r>
      <w:r>
        <w:rPr>
          <w:rStyle w:val="NormalTok"/>
        </w:rPr>
        <w:t xml:space="preserve"> pstats</w:t>
      </w:r>
      <w:r>
        <w:br/>
      </w:r>
      <w:r>
        <w:rPr>
          <w:rStyle w:val="ImportTok"/>
        </w:rPr>
        <w:t xml:space="preserve">import</w:t>
      </w:r>
      <w:r>
        <w:rPr>
          <w:rStyle w:val="NormalTok"/>
        </w:rPr>
        <w:t xml:space="preserve"> random</w:t>
      </w:r>
      <w:r>
        <w:br/>
      </w:r>
      <w:r>
        <w:rPr>
          <w:rStyle w:val="ImportTok"/>
        </w:rPr>
        <w:t xml:space="preserve">import</w:t>
      </w:r>
      <w:r>
        <w:rPr>
          <w:rStyle w:val="NormalTok"/>
        </w:rPr>
        <w:t xml:space="preserve"> tracemalloc</w:t>
      </w:r>
      <w:r>
        <w:br/>
      </w:r>
      <w:r>
        <w:br/>
      </w:r>
      <w:r>
        <w:rPr>
          <w:rStyle w:val="KeywordTok"/>
        </w:rPr>
        <w:t xml:space="preserve">def</w:t>
      </w:r>
      <w:r>
        <w:rPr>
          <w:rStyle w:val="NormalTok"/>
        </w:rPr>
        <w:t xml:space="preserve"> make_events(n, seed</w:t>
      </w:r>
      <w:r>
        <w:rPr>
          <w:rStyle w:val="OperatorTok"/>
        </w:rPr>
        <w:t xml:space="preserve">=</w:t>
      </w:r>
      <w:r>
        <w:rPr>
          <w:rStyle w:val="DecValTok"/>
        </w:rPr>
        <w:t xml:space="preserve">7</w:t>
      </w:r>
      <w:r>
        <w:rPr>
          <w:rStyle w:val="NormalTok"/>
        </w:rPr>
        <w:t xml:space="preserve">):</w:t>
      </w:r>
      <w:r>
        <w:br/>
      </w:r>
      <w:r>
        <w:rPr>
          <w:rStyle w:val="NormalTok"/>
        </w:rPr>
        <w:t xml:space="preserve">    </w:t>
      </w:r>
      <w:r>
        <w:rPr>
          <w:rStyle w:val="CommentTok"/>
        </w:rPr>
        <w:t xml:space="preserve">"""Synthetic request log: JSON lines with a user id and a latency."""</w:t>
      </w:r>
      <w:r>
        <w:br/>
      </w:r>
      <w:r>
        <w:rPr>
          <w:rStyle w:val="NormalTok"/>
        </w:rPr>
        <w:t xml:space="preserve">    rng </w:t>
      </w:r>
      <w:r>
        <w:rPr>
          <w:rStyle w:val="OperatorTok"/>
        </w:rPr>
        <w:t xml:space="preserve">=</w:t>
      </w:r>
      <w:r>
        <w:rPr>
          <w:rStyle w:val="NormalTok"/>
        </w:rPr>
        <w:t xml:space="preserve"> random.Random(seed)</w:t>
      </w:r>
      <w:r>
        <w:br/>
      </w:r>
      <w:r>
        <w:rPr>
          <w:rStyle w:val="NormalTok"/>
        </w:rPr>
        <w:t xml:space="preserve">    </w:t>
      </w:r>
      <w:r>
        <w:rPr>
          <w:rStyle w:val="ControlFlowTok"/>
        </w:rPr>
        <w:t xml:space="preserve">return</w:t>
      </w:r>
      <w:r>
        <w:rPr>
          <w:rStyle w:val="NormalTok"/>
        </w:rPr>
        <w:t xml:space="preserve"> [json.dumps({</w:t>
      </w:r>
      <w:r>
        <w:rPr>
          <w:rStyle w:val="StringTok"/>
        </w:rPr>
        <w:t xml:space="preserve">"user"</w:t>
      </w:r>
      <w:r>
        <w:rPr>
          <w:rStyle w:val="NormalTok"/>
        </w:rPr>
        <w:t xml:space="preserve">: </w:t>
      </w:r>
      <w:r>
        <w:rPr>
          <w:rStyle w:val="SpecialStringTok"/>
        </w:rPr>
        <w:t xml:space="preserve">f"u</w:t>
      </w:r>
      <w:r>
        <w:rPr>
          <w:rStyle w:val="SpecialCharTok"/>
        </w:rPr>
        <w:t xml:space="preserve">{</w:t>
      </w:r>
      <w:r>
        <w:rPr>
          <w:rStyle w:val="NormalTok"/>
        </w:rPr>
        <w:t xml:space="preserve">rng</w:t>
      </w:r>
      <w:r>
        <w:rPr>
          <w:rStyle w:val="SpecialCharTok"/>
        </w:rPr>
        <w:t xml:space="preserve">.</w:t>
      </w:r>
      <w:r>
        <w:rPr>
          <w:rStyle w:val="NormalTok"/>
        </w:rPr>
        <w:t xml:space="preserve">randrange(</w:t>
      </w:r>
      <w:r>
        <w:rPr>
          <w:rStyle w:val="DecValTok"/>
        </w:rPr>
        <w:t xml:space="preserve">5_000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"ms"</w:t>
      </w:r>
      <w:r>
        <w:rPr>
          <w:rStyle w:val="NormalTok"/>
        </w:rPr>
        <w:t xml:space="preserve">: </w:t>
      </w:r>
      <w:r>
        <w:rPr>
          <w:rStyle w:val="BuiltInTok"/>
        </w:rPr>
        <w:t xml:space="preserve">round</w:t>
      </w:r>
      <w:r>
        <w:rPr>
          <w:rStyle w:val="NormalTok"/>
        </w:rPr>
        <w:t xml:space="preserve">(rng.lognormvariate(</w:t>
      </w:r>
      <w:r>
        <w:rPr>
          <w:rStyle w:val="DecValTok"/>
        </w:rPr>
        <w:t xml:space="preserve">3</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w:t>
      </w:r>
      <w:r>
        <w:br/>
      </w:r>
      <w:r>
        <w:br/>
      </w:r>
      <w:r>
        <w:rPr>
          <w:rStyle w:val="KeywordTok"/>
        </w:rPr>
        <w:t xml:space="preserve">def</w:t>
      </w:r>
      <w:r>
        <w:rPr>
          <w:rStyle w:val="NormalTok"/>
        </w:rPr>
        <w:t xml:space="preserve"> distinct_users_slow(events):</w:t>
      </w:r>
      <w:r>
        <w:br/>
      </w:r>
      <w:r>
        <w:rPr>
          <w:rStyle w:val="NormalTok"/>
        </w:rPr>
        <w:t xml:space="preserve">    seen </w:t>
      </w:r>
      <w:r>
        <w:rPr>
          <w:rStyle w:val="OperatorTok"/>
        </w:rPr>
        <w:t xml:space="preserve">=</w:t>
      </w:r>
      <w:r>
        <w:rPr>
          <w:rStyle w:val="NormalTok"/>
        </w:rPr>
        <w:t xml:space="preserve"> []                          </w:t>
      </w:r>
      <w:r>
        <w:rPr>
          <w:rStyle w:val="CommentTok"/>
        </w:rPr>
        <w:t xml:space="preserve"># list: membership test is O(n)</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events:</w:t>
      </w:r>
      <w:r>
        <w:br/>
      </w:r>
      <w:r>
        <w:rPr>
          <w:rStyle w:val="NormalTok"/>
        </w:rPr>
        <w:t xml:space="preserve">        user </w:t>
      </w:r>
      <w:r>
        <w:rPr>
          <w:rStyle w:val="OperatorTok"/>
        </w:rPr>
        <w:t xml:space="preserve">=</w:t>
      </w:r>
      <w:r>
        <w:rPr>
          <w:rStyle w:val="NormalTok"/>
        </w:rPr>
        <w:t xml:space="preserve"> json.loads(line)[</w:t>
      </w:r>
      <w:r>
        <w:rPr>
          <w:rStyle w:val="StringTok"/>
        </w:rPr>
        <w:t xml:space="preserve">"user"</w:t>
      </w:r>
      <w:r>
        <w:rPr>
          <w:rStyle w:val="NormalTok"/>
        </w:rPr>
        <w:t xml:space="preserve">]</w:t>
      </w:r>
      <w:r>
        <w:br/>
      </w:r>
      <w:r>
        <w:rPr>
          <w:rStyle w:val="NormalTok"/>
        </w:rPr>
        <w:t xml:space="preserve">        </w:t>
      </w:r>
      <w:r>
        <w:rPr>
          <w:rStyle w:val="ControlFlowTok"/>
        </w:rPr>
        <w:t xml:space="preserve">if</w:t>
      </w:r>
      <w:r>
        <w:rPr>
          <w:rStyle w:val="NormalTok"/>
        </w:rPr>
        <w:t xml:space="preserve"> user </w:t>
      </w:r>
      <w:r>
        <w:rPr>
          <w:rStyle w:val="KeywordTok"/>
        </w:rPr>
        <w:t xml:space="preserve">not</w:t>
      </w:r>
      <w:r>
        <w:rPr>
          <w:rStyle w:val="NormalTok"/>
        </w:rPr>
        <w:t xml:space="preserve"> </w:t>
      </w:r>
      <w:r>
        <w:rPr>
          <w:rStyle w:val="KeywordTok"/>
        </w:rPr>
        <w:t xml:space="preserve">in</w:t>
      </w:r>
      <w:r>
        <w:rPr>
          <w:rStyle w:val="NormalTok"/>
        </w:rPr>
        <w:t xml:space="preserve"> seen:</w:t>
      </w:r>
      <w:r>
        <w:br/>
      </w:r>
      <w:r>
        <w:rPr>
          <w:rStyle w:val="NormalTok"/>
        </w:rPr>
        <w:t xml:space="preserve">            seen.append(user)</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(seen)</w:t>
      </w:r>
      <w:r>
        <w:br/>
      </w:r>
      <w:r>
        <w:br/>
      </w:r>
      <w:r>
        <w:rPr>
          <w:rStyle w:val="KeywordTok"/>
        </w:rPr>
        <w:t xml:space="preserve">def</w:t>
      </w:r>
      <w:r>
        <w:rPr>
          <w:rStyle w:val="NormalTok"/>
        </w:rPr>
        <w:t xml:space="preserve"> distinct_users_fast(events):</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({json.loads(line)[</w:t>
      </w:r>
      <w:r>
        <w:rPr>
          <w:rStyle w:val="StringTok"/>
        </w:rPr>
        <w:t xml:space="preserve">"user"</w:t>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events})  </w:t>
      </w:r>
      <w:r>
        <w:rPr>
          <w:rStyle w:val="CommentTok"/>
        </w:rPr>
        <w:t xml:space="preserve"># set: O(1)</w:t>
      </w:r>
      <w:r>
        <w:br/>
      </w:r>
      <w:r>
        <w:br/>
      </w:r>
      <w:r>
        <w:rPr>
          <w:rStyle w:val="KeywordTok"/>
        </w:rPr>
        <w:t xml:space="preserve">def</w:t>
      </w:r>
      <w:r>
        <w:rPr>
          <w:rStyle w:val="NormalTok"/>
        </w:rPr>
        <w:t xml:space="preserve"> report(events):</w:t>
      </w:r>
      <w:r>
        <w:br/>
      </w:r>
      <w:r>
        <w:rPr>
          <w:rStyle w:val="NormalTok"/>
        </w:rPr>
        <w:t xml:space="preserve">    </w:t>
      </w:r>
      <w:r>
        <w:rPr>
          <w:rStyle w:val="ControlFlowTok"/>
        </w:rPr>
        <w:t xml:space="preserve">return</w:t>
      </w:r>
      <w:r>
        <w:rPr>
          <w:rStyle w:val="NormalTok"/>
        </w:rPr>
        <w:t xml:space="preserve"> distinct_users_slow(events), distinct_users_fast(events)</w:t>
      </w:r>
      <w:r>
        <w:br/>
      </w:r>
      <w:r>
        <w:br/>
      </w:r>
      <w:r>
        <w:rPr>
          <w:rStyle w:val="NormalTok"/>
        </w:rPr>
        <w:t xml:space="preserve">events </w:t>
      </w:r>
      <w:r>
        <w:rPr>
          <w:rStyle w:val="OperatorTok"/>
        </w:rPr>
        <w:t xml:space="preserve">=</w:t>
      </w:r>
      <w:r>
        <w:rPr>
          <w:rStyle w:val="NormalTok"/>
        </w:rPr>
        <w:t xml:space="preserve"> make_events(</w:t>
      </w:r>
      <w:r>
        <w:rPr>
          <w:rStyle w:val="DecValTok"/>
        </w:rPr>
        <w:t xml:space="preserve">50_000</w:t>
      </w:r>
      <w:r>
        <w:rPr>
          <w:rStyle w:val="NormalTok"/>
        </w:rPr>
        <w:t xml:space="preserve">)</w:t>
      </w:r>
      <w:r>
        <w:br/>
      </w:r>
      <w:r>
        <w:br/>
      </w:r>
      <w:r>
        <w:rPr>
          <w:rStyle w:val="CommentTok"/>
        </w:rPr>
        <w:t xml:space="preserve"># 1. CPU: cProfile is a deterministic (instrumenting) profiler</w:t>
      </w:r>
      <w:r>
        <w:br/>
      </w:r>
      <w:r>
        <w:rPr>
          <w:rStyle w:val="NormalTok"/>
        </w:rPr>
        <w:t xml:space="preserve">profiler </w:t>
      </w:r>
      <w:r>
        <w:rPr>
          <w:rStyle w:val="OperatorTok"/>
        </w:rPr>
        <w:t xml:space="preserve">=</w:t>
      </w:r>
      <w:r>
        <w:rPr>
          <w:rStyle w:val="NormalTok"/>
        </w:rPr>
        <w:t xml:space="preserve"> cProfile.Profile()</w:t>
      </w:r>
      <w:r>
        <w:br/>
      </w:r>
      <w:r>
        <w:rPr>
          <w:rStyle w:val="NormalTok"/>
        </w:rPr>
        <w:t xml:space="preserve">profiler.enable()</w:t>
      </w:r>
      <w:r>
        <w:br/>
      </w:r>
      <w:r>
        <w:rPr>
          <w:rStyle w:val="BuiltInTok"/>
        </w:rPr>
        <w:t xml:space="preserve">print</w:t>
      </w:r>
      <w:r>
        <w:rPr>
          <w:rStyle w:val="NormalTok"/>
        </w:rPr>
        <w:t xml:space="preserve">(</w:t>
      </w:r>
      <w:r>
        <w:rPr>
          <w:rStyle w:val="StringTok"/>
        </w:rPr>
        <w:t xml:space="preserve">"distinct users (slow, fast):"</w:t>
      </w:r>
      <w:r>
        <w:rPr>
          <w:rStyle w:val="NormalTok"/>
        </w:rPr>
        <w:t xml:space="preserve">, report(events))</w:t>
      </w:r>
      <w:r>
        <w:br/>
      </w:r>
      <w:r>
        <w:rPr>
          <w:rStyle w:val="NormalTok"/>
        </w:rPr>
        <w:t xml:space="preserve">profiler.disable()</w:t>
      </w:r>
      <w:r>
        <w:br/>
      </w:r>
      <w:r>
        <w:rPr>
          <w:rStyle w:val="NormalTok"/>
        </w:rPr>
        <w:t xml:space="preserve">stats </w:t>
      </w:r>
      <w:r>
        <w:rPr>
          <w:rStyle w:val="OperatorTok"/>
        </w:rPr>
        <w:t xml:space="preserve">=</w:t>
      </w:r>
      <w:r>
        <w:rPr>
          <w:rStyle w:val="NormalTok"/>
        </w:rPr>
        <w:t xml:space="preserve"> pstats.Stats(profiler)</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'function'</w:t>
      </w:r>
      <w:r>
        <w:rPr>
          <w:rStyle w:val="SpecialCharTok"/>
        </w:rPr>
        <w:t xml:space="preserve">:&lt;22}{</w:t>
      </w:r>
      <w:r>
        <w:rPr>
          <w:rStyle w:val="StringTok"/>
        </w:rPr>
        <w:t xml:space="preserve">'calls'</w:t>
      </w:r>
      <w:r>
        <w:rPr>
          <w:rStyle w:val="SpecialCharTok"/>
        </w:rPr>
        <w:t xml:space="preserve">:&gt;8}{</w:t>
      </w:r>
      <w:r>
        <w:rPr>
          <w:rStyle w:val="StringTok"/>
        </w:rPr>
        <w:t xml:space="preserve">'self s'</w:t>
      </w:r>
      <w:r>
        <w:rPr>
          <w:rStyle w:val="SpecialCharTok"/>
        </w:rPr>
        <w:t xml:space="preserve">:&gt;9}{</w:t>
      </w:r>
      <w:r>
        <w:rPr>
          <w:rStyle w:val="StringTok"/>
        </w:rPr>
        <w:t xml:space="preserve">'total s'</w:t>
      </w:r>
      <w:r>
        <w:rPr>
          <w:rStyle w:val="SpecialCharTok"/>
        </w:rPr>
        <w:t xml:space="preserve">:&gt;9}</w:t>
      </w:r>
      <w:r>
        <w:rPr>
          <w:rStyle w:val="SpecialStringTok"/>
        </w:rPr>
        <w:t xml:space="preserve">"</w:t>
      </w:r>
      <w:r>
        <w:rPr>
          <w:rStyle w:val="NormalTok"/>
        </w:rPr>
        <w:t xml:space="preserve">)</w:t>
      </w:r>
      <w:r>
        <w:br/>
      </w:r>
      <w:r>
        <w:rPr>
          <w:rStyle w:val="NormalTok"/>
        </w:rPr>
        <w:t xml:space="preserve">rows </w:t>
      </w:r>
      <w:r>
        <w:rPr>
          <w:rStyle w:val="OperatorTok"/>
        </w:rPr>
        <w:t xml:space="preserve">=</w:t>
      </w:r>
      <w:r>
        <w:rPr>
          <w:rStyle w:val="NormalTok"/>
        </w:rPr>
        <w:t xml:space="preserve"> </w:t>
      </w:r>
      <w:r>
        <w:rPr>
          <w:rStyle w:val="BuiltInTok"/>
        </w:rPr>
        <w:t xml:space="preserve">sorted</w:t>
      </w:r>
      <w:r>
        <w:rPr>
          <w:rStyle w:val="NormalTok"/>
        </w:rPr>
        <w:t xml:space="preserve">(((k, v) </w:t>
      </w:r>
      <w:r>
        <w:rPr>
          <w:rStyle w:val="ControlFlowTok"/>
        </w:rPr>
        <w:t xml:space="preserve">for</w:t>
      </w:r>
      <w:r>
        <w:rPr>
          <w:rStyle w:val="NormalTok"/>
        </w:rPr>
        <w:t xml:space="preserve"> k, v </w:t>
      </w:r>
      <w:r>
        <w:rPr>
          <w:rStyle w:val="KeywordTok"/>
        </w:rPr>
        <w:t xml:space="preserve">in</w:t>
      </w:r>
      <w:r>
        <w:rPr>
          <w:rStyle w:val="NormalTok"/>
        </w:rPr>
        <w:t xml:space="preserve"> stats.stats.items() </w:t>
      </w:r>
      <w:r>
        <w:rPr>
          <w:rStyle w:val="ControlFlowTok"/>
        </w:rPr>
        <w:t xml:space="preserve">if</w:t>
      </w:r>
      <w:r>
        <w:rPr>
          <w:rStyle w:val="NormalTok"/>
        </w:rPr>
        <w:t xml:space="preserve"> </w:t>
      </w:r>
      <w:r>
        <w:rPr>
          <w:rStyle w:val="KeywordTok"/>
        </w:rPr>
        <w:t xml:space="preserve">not</w:t>
      </w:r>
      <w:r>
        <w:rPr>
          <w:rStyle w:val="NormalTok"/>
        </w:rPr>
        <w:t xml:space="preserve"> k[</w:t>
      </w:r>
      <w:r>
        <w:rPr>
          <w:rStyle w:val="DecValTok"/>
        </w:rPr>
        <w:t xml:space="preserve">2</w:t>
      </w:r>
      <w:r>
        <w:rPr>
          <w:rStyle w:val="NormalTok"/>
        </w:rPr>
        <w:t xml:space="preserve">].startswith(</w:t>
      </w:r>
      <w:r>
        <w:rPr>
          <w:rStyle w:val="StringTok"/>
        </w:rPr>
        <w:t xml:space="preserve">"&lt;"</w:t>
      </w:r>
      <w:r>
        <w:rPr>
          <w:rStyle w:val="NormalTok"/>
        </w:rPr>
        <w:t xml:space="preserve">)),</w:t>
      </w:r>
      <w:r>
        <w:br/>
      </w:r>
      <w:r>
        <w:rPr>
          <w:rStyle w:val="NormalTok"/>
        </w:rPr>
        <w:t xml:space="preserve">              key</w:t>
      </w:r>
      <w:r>
        <w:rPr>
          <w:rStyle w:val="OperatorTok"/>
        </w:rPr>
        <w:t xml:space="preserve">=</w:t>
      </w:r>
      <w:r>
        <w:rPr>
          <w:rStyle w:val="KeywordTok"/>
        </w:rPr>
        <w:t xml:space="preserve">lambda</w:t>
      </w:r>
      <w:r>
        <w:rPr>
          <w:rStyle w:val="NormalTok"/>
        </w:rPr>
        <w:t xml:space="preserve"> kv: kv[</w:t>
      </w:r>
      <w:r>
        <w:rPr>
          <w:rStyle w:val="DecValTok"/>
        </w:rPr>
        <w:t xml:space="preserve">1</w:t>
      </w:r>
      <w:r>
        <w:rPr>
          <w:rStyle w:val="NormalTok"/>
        </w:rPr>
        <w:t xml:space="preserve">][</w:t>
      </w:r>
      <w:r>
        <w:rPr>
          <w:rStyle w:val="DecValTok"/>
        </w:rPr>
        <w:t xml:space="preserve">3</w:t>
      </w:r>
      <w:r>
        <w:rPr>
          <w:rStyle w:val="NormalTok"/>
        </w:rPr>
        <w:t xml:space="preserve">], reverse</w:t>
      </w:r>
      <w:r>
        <w:rPr>
          <w:rStyle w:val="OperatorTok"/>
        </w:rPr>
        <w:t xml:space="preserve">=</w:t>
      </w:r>
      <w:r>
        <w:rPr>
          <w:rStyle w:val="VariableTok"/>
        </w:rPr>
        <w:t xml:space="preserve">True</w:t>
      </w:r>
      <w:r>
        <w:rPr>
          <w:rStyle w:val="NormalTok"/>
        </w:rPr>
        <w:t xml:space="preserve">)[:</w:t>
      </w:r>
      <w:r>
        <w:rPr>
          <w:rStyle w:val="DecValTok"/>
        </w:rPr>
        <w:t xml:space="preserve">6</w:t>
      </w:r>
      <w:r>
        <w:rPr>
          <w:rStyle w:val="NormalTok"/>
        </w:rPr>
        <w:t xml:space="preserve">]       </w:t>
      </w:r>
      <w:r>
        <w:rPr>
          <w:rStyle w:val="CommentTok"/>
        </w:rPr>
        <w:t xml:space="preserve"># by total time</w:t>
      </w:r>
      <w:r>
        <w:br/>
      </w:r>
      <w:r>
        <w:rPr>
          <w:rStyle w:val="ControlFlowTok"/>
        </w:rPr>
        <w:t xml:space="preserve">for</w:t>
      </w:r>
      <w:r>
        <w:rPr>
          <w:rStyle w:val="NormalTok"/>
        </w:rPr>
        <w:t xml:space="preserve"> (filename, line, name), (cc, nc, tottime, cumtime, _) </w:t>
      </w:r>
      <w:r>
        <w:rPr>
          <w:rStyle w:val="KeywordTok"/>
        </w:rPr>
        <w:t xml:space="preserve">in</w:t>
      </w:r>
      <w:r>
        <w:rPr>
          <w:rStyle w:val="NormalTok"/>
        </w:rPr>
        <w:t xml:space="preserve"> rows: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DecValTok"/>
        </w:rPr>
        <w:t xml:space="preserve">21</w:t>
      </w:r>
      <w:r>
        <w:rPr>
          <w:rStyle w:val="NormalTok"/>
        </w:rPr>
        <w:t xml:space="preserve">]</w:t>
      </w:r>
      <w:r>
        <w:rPr>
          <w:rStyle w:val="SpecialCharTok"/>
        </w:rPr>
        <w:t xml:space="preserve">:&lt;22}{</w:t>
      </w:r>
      <w:r>
        <w:rPr>
          <w:rStyle w:val="NormalTok"/>
        </w:rPr>
        <w:t xml:space="preserve">nc</w:t>
      </w:r>
      <w:r>
        <w:rPr>
          <w:rStyle w:val="SpecialCharTok"/>
        </w:rPr>
        <w:t xml:space="preserve">:&gt;8}{</w:t>
      </w:r>
      <w:r>
        <w:rPr>
          <w:rStyle w:val="NormalTok"/>
        </w:rPr>
        <w:t xml:space="preserve">tottime</w:t>
      </w:r>
      <w:r>
        <w:rPr>
          <w:rStyle w:val="SpecialCharTok"/>
        </w:rPr>
        <w:t xml:space="preserve">:&gt;9.3f}{</w:t>
      </w:r>
      <w:r>
        <w:rPr>
          <w:rStyle w:val="NormalTok"/>
        </w:rPr>
        <w:t xml:space="preserve">cumtime</w:t>
      </w:r>
      <w:r>
        <w:rPr>
          <w:rStyle w:val="SpecialCharTok"/>
        </w:rPr>
        <w:t xml:space="preserve">:&gt;9.3f}</w:t>
      </w:r>
      <w:r>
        <w:rPr>
          <w:rStyle w:val="SpecialStringTok"/>
        </w:rPr>
        <w:t xml:space="preserve">"</w:t>
      </w:r>
      <w:r>
        <w:rPr>
          <w:rStyle w:val="NormalTok"/>
        </w:rPr>
        <w:t xml:space="preserve">)</w:t>
      </w:r>
      <w:r>
        <w:br/>
      </w:r>
      <w:r>
        <w:br/>
      </w:r>
      <w:r>
        <w:rPr>
          <w:rStyle w:val="CommentTok"/>
        </w:rPr>
        <w:t xml:space="preserve"># 2. Memory: tracemalloc attributes live allocations to source lines</w:t>
      </w:r>
      <w:r>
        <w:br/>
      </w:r>
      <w:r>
        <w:rPr>
          <w:rStyle w:val="NormalTok"/>
        </w:rPr>
        <w:t xml:space="preserve">tracemalloc.start()</w:t>
      </w:r>
      <w:r>
        <w:br/>
      </w:r>
      <w:r>
        <w:rPr>
          <w:rStyle w:val="NormalTok"/>
        </w:rPr>
        <w:t xml:space="preserve">more_events </w:t>
      </w:r>
      <w:r>
        <w:rPr>
          <w:rStyle w:val="OperatorTok"/>
        </w:rPr>
        <w:t xml:space="preserve">=</w:t>
      </w:r>
      <w:r>
        <w:rPr>
          <w:rStyle w:val="NormalTok"/>
        </w:rPr>
        <w:t xml:space="preserve"> make_events(</w:t>
      </w:r>
      <w:r>
        <w:rPr>
          <w:rStyle w:val="DecValTok"/>
        </w:rPr>
        <w:t xml:space="preserve">50_000</w:t>
      </w:r>
      <w:r>
        <w:rPr>
          <w:rStyle w:val="NormalTok"/>
        </w:rPr>
        <w:t xml:space="preserve">)</w:t>
      </w:r>
      <w:r>
        <w:br/>
      </w:r>
      <w:r>
        <w:rPr>
          <w:rStyle w:val="NormalTok"/>
        </w:rPr>
        <w:t xml:space="preserve">snapshot </w:t>
      </w:r>
      <w:r>
        <w:rPr>
          <w:rStyle w:val="OperatorTok"/>
        </w:rPr>
        <w:t xml:space="preserve">=</w:t>
      </w:r>
      <w:r>
        <w:rPr>
          <w:rStyle w:val="NormalTok"/>
        </w:rPr>
        <w:t xml:space="preserve"> tracemalloc.take_snapshot()</w:t>
      </w:r>
      <w:r>
        <w:br/>
      </w:r>
      <w:r>
        <w:rPr>
          <w:rStyle w:val="NormalTok"/>
        </w:rPr>
        <w:t xml:space="preserve">tracemalloc.stop()</w:t>
      </w:r>
      <w:r>
        <w:br/>
      </w:r>
      <w:r>
        <w:rPr>
          <w:rStyle w:val="ControlFlowTok"/>
        </w:rPr>
        <w:t xml:space="preserve">for</w:t>
      </w:r>
      <w:r>
        <w:rPr>
          <w:rStyle w:val="NormalTok"/>
        </w:rPr>
        <w:t xml:space="preserve"> stat </w:t>
      </w:r>
      <w:r>
        <w:rPr>
          <w:rStyle w:val="KeywordTok"/>
        </w:rPr>
        <w:t xml:space="preserve">in</w:t>
      </w:r>
      <w:r>
        <w:rPr>
          <w:rStyle w:val="NormalTok"/>
        </w:rPr>
        <w:t xml:space="preserve"> snapshot.statistics(</w:t>
      </w:r>
      <w:r>
        <w:rPr>
          <w:rStyle w:val="StringTok"/>
        </w:rPr>
        <w:t xml:space="preserve">"lineno"</w:t>
      </w:r>
      <w:r>
        <w:rPr>
          <w:rStyle w:val="NormalTok"/>
        </w:rPr>
        <w:t xml:space="preserve">)[:</w:t>
      </w:r>
      <w:r>
        <w:rPr>
          <w:rStyle w:val="DecValTok"/>
        </w:rPr>
        <w:t xml:space="preserve">2</w:t>
      </w:r>
      <w:r>
        <w:rPr>
          <w:rStyle w:val="NormalTok"/>
        </w:rPr>
        <w:t xml:space="preserve">]:</w:t>
      </w:r>
      <w:r>
        <w:br/>
      </w:r>
      <w:r>
        <w:rPr>
          <w:rStyle w:val="NormalTok"/>
        </w:rPr>
        <w:t xml:space="preserve">    frame </w:t>
      </w:r>
      <w:r>
        <w:rPr>
          <w:rStyle w:val="OperatorTok"/>
        </w:rPr>
        <w:t xml:space="preserve">=</w:t>
      </w:r>
      <w:r>
        <w:rPr>
          <w:rStyle w:val="NormalTok"/>
        </w:rPr>
        <w:t xml:space="preserve"> stat.traceback[</w:t>
      </w:r>
      <w:r>
        <w:rPr>
          <w:rStyle w:val="DecValTok"/>
        </w:rPr>
        <w:t xml:space="preserve">0</w:t>
      </w:r>
      <w:r>
        <w:rPr>
          <w:rStyle w:val="NormalTok"/>
        </w:rPr>
        <w:t xml:space="preserve">]</w:t>
      </w:r>
      <w:r>
        <w:br/>
      </w:r>
      <w:r>
        <w:rPr>
          <w:rStyle w:val="NormalTok"/>
        </w:rPr>
        <w:t xml:space="preserve">    code </w:t>
      </w:r>
      <w:r>
        <w:rPr>
          <w:rStyle w:val="OperatorTok"/>
        </w:rPr>
        <w:t xml:space="preserve">=</w:t>
      </w:r>
      <w:r>
        <w:rPr>
          <w:rStyle w:val="NormalTok"/>
        </w:rPr>
        <w:t xml:space="preserve"> linecache.getline(frame.filename, frame.lineno).strip()</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stat</w:t>
      </w:r>
      <w:r>
        <w:rPr>
          <w:rStyle w:val="SpecialCharTok"/>
        </w:rPr>
        <w:t xml:space="preserve">.</w:t>
      </w:r>
      <w:r>
        <w:rPr>
          <w:rStyle w:val="NormalTok"/>
        </w:rPr>
        <w:t xml:space="preserve">size </w:t>
      </w:r>
      <w:r>
        <w:rPr>
          <w:rStyle w:val="OperatorTok"/>
        </w:rPr>
        <w:t xml:space="preserve">/</w:t>
      </w:r>
      <w:r>
        <w:rPr>
          <w:rStyle w:val="NormalTok"/>
        </w:rPr>
        <w:t xml:space="preserve"> </w:t>
      </w:r>
      <w:r>
        <w:rPr>
          <w:rStyle w:val="DecValTok"/>
        </w:rPr>
        <w:t xml:space="preserve">1024</w:t>
      </w:r>
      <w:r>
        <w:rPr>
          <w:rStyle w:val="SpecialCharTok"/>
        </w:rPr>
        <w:t xml:space="preserve">:6.0f}</w:t>
      </w:r>
      <w:r>
        <w:rPr>
          <w:rStyle w:val="SpecialStringTok"/>
        </w:rPr>
        <w:t xml:space="preserve"> KiB in </w:t>
      </w:r>
      <w:r>
        <w:rPr>
          <w:rStyle w:val="SpecialCharTok"/>
        </w:rPr>
        <w:t xml:space="preserve">{</w:t>
      </w:r>
      <w:r>
        <w:rPr>
          <w:rStyle w:val="NormalTok"/>
        </w:rPr>
        <w:t xml:space="preserve">stat</w:t>
      </w:r>
      <w:r>
        <w:rPr>
          <w:rStyle w:val="SpecialCharTok"/>
        </w:rPr>
        <w:t xml:space="preserve">.</w:t>
      </w:r>
      <w:r>
        <w:rPr>
          <w:rStyle w:val="NormalTok"/>
        </w:rPr>
        <w:t xml:space="preserve">count</w:t>
      </w:r>
      <w:r>
        <w:rPr>
          <w:rStyle w:val="SpecialCharTok"/>
        </w:rPr>
        <w:t xml:space="preserve">:6d}</w:t>
      </w:r>
      <w:r>
        <w:rPr>
          <w:rStyle w:val="SpecialStringTok"/>
        </w:rPr>
        <w:t xml:space="preserve"> blocks: </w:t>
      </w:r>
      <w:r>
        <w:rPr>
          <w:rStyle w:val="SpecialCharTok"/>
        </w:rPr>
        <w:t xml:space="preserve">{</w:t>
      </w:r>
      <w:r>
        <w:rPr>
          <w:rStyle w:val="NormalTok"/>
        </w:rPr>
        <w:t xml:space="preserve">code[:</w:t>
      </w:r>
      <w:r>
        <w:rPr>
          <w:rStyle w:val="DecValTok"/>
        </w:rPr>
        <w:t xml:space="preserve">38</w:t>
      </w:r>
      <w:r>
        <w:rPr>
          <w:rStyle w:val="NormalTok"/>
        </w:rPr>
        <w:t xml:space="preserve">]</w:t>
      </w:r>
      <w:r>
        <w:rPr>
          <w:rStyle w:val="SpecialCharTok"/>
        </w:rPr>
        <w:t xml:space="preserve">}</w:t>
      </w:r>
      <w:r>
        <w:rPr>
          <w:rStyle w:val="SpecialStringTok"/>
        </w:rPr>
        <w:t xml:space="preserve">"</w:t>
      </w:r>
      <w:r>
        <w:rPr>
          <w:rStyle w:val="NormalTok"/>
        </w:rPr>
        <w:t xml:space="preserve">)</w:t>
      </w:r>
    </w:p>
    <w:p>
      <w:pPr>
        <w:pStyle w:val="FirstParagraph"/>
      </w:pPr>
      <w:r>
        <w:t xml:space="preserve">Output (Python 3.13; timings vary by machine):</w:t>
      </w:r>
    </w:p>
    <w:p>
      <w:pPr>
        <w:pStyle w:val="SourceCode"/>
      </w:pPr>
      <w:r>
        <w:rPr>
          <w:rStyle w:val="VerbatimChar"/>
        </w:rPr>
        <w:t xml:space="preserve">distinct users (slow, fast): (5000, 5000)</w:t>
      </w:r>
      <w:r>
        <w:br/>
      </w:r>
      <w:r>
        <w:rPr>
          <w:rStyle w:val="VerbatimChar"/>
        </w:rPr>
        <w:t xml:space="preserve">function                 calls   self s  total s</w:t>
      </w:r>
      <w:r>
        <w:br/>
      </w:r>
      <w:r>
        <w:rPr>
          <w:rStyle w:val="VerbatimChar"/>
        </w:rPr>
        <w:t xml:space="preserve">report                       1    0.000    1.486</w:t>
      </w:r>
      <w:r>
        <w:br/>
      </w:r>
      <w:r>
        <w:rPr>
          <w:rStyle w:val="VerbatimChar"/>
        </w:rPr>
        <w:t xml:space="preserve">distinct_users_slow          1    1.028    1.266</w:t>
      </w:r>
      <w:r>
        <w:br/>
      </w:r>
      <w:r>
        <w:rPr>
          <w:rStyle w:val="VerbatimChar"/>
        </w:rPr>
        <w:t xml:space="preserve">loads                   100000    0.092    0.436</w:t>
      </w:r>
      <w:r>
        <w:br/>
      </w:r>
      <w:r>
        <w:rPr>
          <w:rStyle w:val="VerbatimChar"/>
        </w:rPr>
        <w:t xml:space="preserve">decode                  100000    0.142    0.314</w:t>
      </w:r>
      <w:r>
        <w:br/>
      </w:r>
      <w:r>
        <w:rPr>
          <w:rStyle w:val="VerbatimChar"/>
        </w:rPr>
        <w:t xml:space="preserve">distinct_users_fast          1    0.021    0.220</w:t>
      </w:r>
      <w:r>
        <w:br/>
      </w:r>
      <w:r>
        <w:rPr>
          <w:rStyle w:val="VerbatimChar"/>
        </w:rPr>
        <w:t xml:space="preserve">raw_decode              100000    0.072    0.072</w:t>
      </w:r>
      <w:r>
        <w:br/>
      </w:r>
      <w:r>
        <w:rPr>
          <w:rStyle w:val="VerbatimChar"/>
        </w:rPr>
        <w:t xml:space="preserve">  3442 KiB in  50000 blocks: return _iterencode(o, 0)</w:t>
      </w:r>
      <w:r>
        <w:br/>
      </w:r>
      <w:r>
        <w:rPr>
          <w:rStyle w:val="VerbatimChar"/>
        </w:rPr>
        <w:t xml:space="preserve">   434 KiB in      3 blocks: return [json.dumps({"user": f"u{rng.ra</w:t>
      </w:r>
    </w:p>
    <w:p>
      <w:pPr>
        <w:pStyle w:val="FirstParagraph"/>
      </w:pPr>
      <w:r>
        <w:t xml:space="preserve">What to notice:</w:t>
      </w:r>
    </w:p>
    <w:p>
      <w:pPr>
        <w:numPr>
          <w:ilvl w:val="0"/>
          <w:numId w:val="1756"/>
        </w:numPr>
        <w:pStyle w:val="Compact"/>
      </w:pPr>
      <w:r>
        <w:rPr>
          <w:bCs/>
          <w:b/>
        </w:rPr>
        <w:t xml:space="preserve">Self time versus total time.</w:t>
      </w:r>
      <w:r>
        <w:t xml:space="preserve"> </w:t>
      </w:r>
      <w:r>
        <w:rPr>
          <w:rStyle w:val="VerbatimChar"/>
        </w:rPr>
        <w:t xml:space="preserve">distinct_users_slow</w:t>
      </w:r>
      <w:r>
        <w:t xml:space="preserve"> </w:t>
      </w:r>
      <w:r>
        <w:t xml:space="preserve">has 1.03 s of</w:t>
      </w:r>
      <w:r>
        <w:t xml:space="preserve"> </w:t>
      </w:r>
      <w:r>
        <w:rPr>
          <w:iCs/>
          <w:i/>
        </w:rPr>
        <w:t xml:space="preserve">self</w:t>
      </w:r>
      <w:r>
        <w:t xml:space="preserve"> </w:t>
      </w:r>
      <w:r>
        <w:t xml:space="preserve">time: the</w:t>
      </w:r>
      <w:r>
        <w:t xml:space="preserve"> </w:t>
      </w:r>
      <w:r>
        <w:rPr>
          <w:rStyle w:val="VerbatimChar"/>
        </w:rPr>
        <w:t xml:space="preserve">user not in seen</w:t>
      </w:r>
      <w:r>
        <w:t xml:space="preserve"> </w:t>
      </w:r>
      <w:r>
        <w:t xml:space="preserve">scan is an operator, not a function call, so cProfile charges it to the enclosing function. Its JSON parsing (</w:t>
      </w:r>
      <w:r>
        <w:rPr>
          <w:rStyle w:val="VerbatimChar"/>
        </w:rPr>
        <w:t xml:space="preserve">loads</w:t>
      </w:r>
      <w:r>
        <w:t xml:space="preserve">, about 0.22 s per 50,000 calls) is the same in both versions. The fix (a set) makes the function about 6 times faster overall.</w:t>
      </w:r>
    </w:p>
    <w:p>
      <w:pPr>
        <w:numPr>
          <w:ilvl w:val="0"/>
          <w:numId w:val="1756"/>
        </w:numPr>
        <w:pStyle w:val="Compact"/>
      </w:pPr>
      <w:r>
        <w:rPr>
          <w:bCs/>
          <w:b/>
        </w:rPr>
        <w:t xml:space="preserve">Call counts are exact</w:t>
      </w:r>
      <w:r>
        <w:t xml:space="preserve">: 100,000 calls to</w:t>
      </w:r>
      <w:r>
        <w:t xml:space="preserve"> </w:t>
      </w:r>
      <w:r>
        <w:rPr>
          <w:rStyle w:val="VerbatimChar"/>
        </w:rPr>
        <w:t xml:space="preserve">loads</w:t>
      </w:r>
      <w:r>
        <w:t xml:space="preserve"> </w:t>
      </w:r>
      <w:r>
        <w:t xml:space="preserve">(50,000 per version). A sampling profiler would give percentages but not counts.</w:t>
      </w:r>
    </w:p>
    <w:p>
      <w:pPr>
        <w:numPr>
          <w:ilvl w:val="0"/>
          <w:numId w:val="1756"/>
        </w:numPr>
        <w:pStyle w:val="Compact"/>
      </w:pPr>
      <w:r>
        <w:rPr>
          <w:bCs/>
          <w:b/>
        </w:rPr>
        <w:t xml:space="preserve">Instrumentation overhead.</w:t>
      </w:r>
      <w:r>
        <w:t xml:space="preserve"> </w:t>
      </w:r>
      <w:r>
        <w:t xml:space="preserve">Each of the 100,000</w:t>
      </w:r>
      <w:r>
        <w:t xml:space="preserve"> </w:t>
      </w:r>
      <w:r>
        <w:rPr>
          <w:rStyle w:val="VerbatimChar"/>
        </w:rPr>
        <w:t xml:space="preserve">loads</w:t>
      </w:r>
      <w:r>
        <w:t xml:space="preserve"> </w:t>
      </w:r>
      <w:r>
        <w:t xml:space="preserve">calls passes through cProfile’s hooks, so the absolute times are inflated; compare ratios, not absolutes.</w:t>
      </w:r>
    </w:p>
    <w:p>
      <w:pPr>
        <w:numPr>
          <w:ilvl w:val="0"/>
          <w:numId w:val="1756"/>
        </w:numPr>
        <w:pStyle w:val="Compact"/>
      </w:pPr>
      <w:r>
        <w:rPr>
          <w:bCs/>
          <w:b/>
        </w:rPr>
        <w:t xml:space="preserve">tracemalloc</w:t>
      </w:r>
      <w:r>
        <w:t xml:space="preserve"> </w:t>
      </w:r>
      <w:r>
        <w:t xml:space="preserve">attributes 3.4 MiB of live memory to a line inside the JSON encoder: 50,000 strings of about 70 bytes each. The list comprehension holding them costs 434 KiB of pointers. In a production service the same view, diffed over time, finds leaks.</w:t>
      </w:r>
    </w:p>
    <w:p>
      <w:pPr>
        <w:pStyle w:val="FirstParagraph"/>
      </w:pPr>
      <w:r>
        <w:t xml:space="preserve">For a running production Python process you would use a sampling profiler instead:</w:t>
      </w:r>
      <w:r>
        <w:t xml:space="preserve"> </w:t>
      </w:r>
      <w:r>
        <w:rPr>
          <w:rStyle w:val="VerbatimChar"/>
        </w:rPr>
        <w:t xml:space="preserve">py-spy record -o profile.svg --pid &lt;PID&gt; --duration 30</w:t>
      </w:r>
      <w:r>
        <w:t xml:space="preserve"> </w:t>
      </w:r>
      <w:r>
        <w:t xml:space="preserve">produces a flame graph without restarting or modifying the program.</w:t>
      </w:r>
    </w:p>
    <w:bookmarkStart w:id="2585" w:name="real-world-industry-applications-36"/>
    <w:p>
      <w:pPr>
        <w:pStyle w:val="Heading4"/>
      </w:pPr>
      <w:r>
        <w:t xml:space="preserve">Real-world industry applications</w:t>
      </w:r>
    </w:p>
    <w:p>
      <w:pPr>
        <w:pStyle w:val="CalloutIndustry"/>
      </w:pPr>
      <w:r>
        <w:rPr>
          <w:bCs/>
          <w:b/>
        </w:rPr>
        <w:t xml:space="preserve">INDUSTRY EXAMPLE</w:t>
      </w:r>
    </w:p>
    <w:p>
      <w:pPr>
        <w:pStyle w:val="CalloutIndustry"/>
      </w:pPr>
      <w:r>
        <w:rPr>
          <w:bCs/>
          <w:b/>
        </w:rPr>
        <w:t xml:space="preserve">Google-Wide Profiling.</w:t>
      </w:r>
      <w:r>
        <w:t xml:space="preserve"> </w:t>
      </w:r>
      <w:r>
        <w:t xml:space="preserve">Google runs continuous, low-overhead sampling profiling across its fleet, collecting CPU and heap profiles from a small random subset of machines at a time and aggregating them in a central repository. The fleet-wide view lets engineers rank the most expensive functions across all services and attribute cost to specific libraries, which guides optimization work with the largest fleet-wide payoff. Trade-off: individual profiles are sparse, so the value comes from aggregation over many machines and long periods.</w:t>
      </w:r>
      <w:r>
        <w:t xml:space="preserve"> </w:t>
      </w:r>
      <w:r>
        <w:rPr>
          <w:iCs/>
          <w:i/>
        </w:rPr>
        <w:t xml:space="preserve">Evidence: Primary</w:t>
      </w:r>
      <w:r>
        <w:t xml:space="preserve"> </w:t>
      </w:r>
      <w:r>
        <w:t xml:space="preserve">— [Ren et al. 2010]</w:t>
      </w:r>
    </w:p>
    <w:p>
      <w:pPr>
        <w:pStyle w:val="CalloutIndustry"/>
      </w:pPr>
      <w:r>
        <w:rPr>
          <w:bCs/>
          <w:b/>
        </w:rPr>
        <w:t xml:space="preserve">INDUSTRY EXAMPLE</w:t>
      </w:r>
    </w:p>
    <w:p>
      <w:pPr>
        <w:pStyle w:val="CalloutIndustry"/>
      </w:pPr>
      <w:r>
        <w:rPr>
          <w:bCs/>
          <w:b/>
        </w:rPr>
        <w:t xml:space="preserve">Netflix — mixed-mode flame graphs for Java.</w:t>
      </w:r>
      <w:r>
        <w:t xml:space="preserve"> </w:t>
      </w:r>
      <w:r>
        <w:t xml:space="preserve">Netflix engineers produced CPU flame graphs showing Java, JIT-compiled, kernel and native frames together by running the JVM with frame pointers preserved and exporting a symbol map for JIT code so</w:t>
      </w:r>
      <w:r>
        <w:t xml:space="preserve"> </w:t>
      </w:r>
      <w:r>
        <w:rPr>
          <w:rStyle w:val="VerbatimChar"/>
        </w:rPr>
        <w:t xml:space="preserve">perf</w:t>
      </w:r>
      <w:r>
        <w:t xml:space="preserve"> </w:t>
      </w:r>
      <w:r>
        <w:t xml:space="preserve">can name it. Trade-off: frame pointers cost a little CPU, accepted for the visibility.</w:t>
      </w:r>
      <w:r>
        <w:t xml:space="preserve"> </w:t>
      </w:r>
      <w:r>
        <w:rPr>
          <w:iCs/>
          <w:i/>
        </w:rPr>
        <w:t xml:space="preserve">Evidence: Primary</w:t>
      </w:r>
      <w:r>
        <w:t xml:space="preserve"> </w:t>
      </w:r>
      <w:r>
        <w:t xml:space="preserve">— [Gregg and Spier 2015]</w:t>
      </w:r>
    </w:p>
    <w:p>
      <w:pPr>
        <w:pStyle w:val="CalloutMistake"/>
      </w:pPr>
      <w:r>
        <w:rPr>
          <w:bCs/>
          <w:b/>
        </w:rPr>
        <w:t xml:space="preserve">COMMON MISTAKE</w:t>
      </w:r>
    </w:p>
    <w:p>
      <w:pPr>
        <w:pStyle w:val="CalloutMistake"/>
      </w:pPr>
      <w:r>
        <w:rPr>
          <w:bCs/>
          <w:b/>
        </w:rPr>
        <w:t xml:space="preserve">Mistake — Optimizing the function with the largest</w:t>
      </w:r>
      <w:r>
        <w:rPr>
          <w:bCs/>
          <w:b/>
        </w:rPr>
        <w:t xml:space="preserve"> </w:t>
      </w:r>
      <w:r>
        <w:rPr>
          <w:iCs/>
          <w:i/>
          <w:bCs/>
          <w:b/>
        </w:rPr>
        <w:t xml:space="preserve">total</w:t>
      </w:r>
      <w:r>
        <w:rPr>
          <w:bCs/>
          <w:b/>
        </w:rPr>
        <w:t xml:space="preserve"> </w:t>
      </w:r>
      <w:r>
        <w:rPr>
          <w:bCs/>
          <w:b/>
        </w:rPr>
        <w:t xml:space="preserve">time.</w:t>
      </w:r>
      <w:r>
        <w:t xml:space="preserve"> </w:t>
      </w:r>
      <w:r>
        <w:rPr>
          <w:rStyle w:val="VerbatimChar"/>
        </w:rPr>
        <w:t xml:space="preserve">main</w:t>
      </w:r>
      <w:r>
        <w:t xml:space="preserve"> </w:t>
      </w:r>
      <w:r>
        <w:t xml:space="preserve">has 100% total time and nothing to optimize. Look for large</w:t>
      </w:r>
      <w:r>
        <w:t xml:space="preserve"> </w:t>
      </w:r>
      <w:r>
        <w:rPr>
          <w:iCs/>
          <w:i/>
        </w:rPr>
        <w:t xml:space="preserve">self</w:t>
      </w:r>
      <w:r>
        <w:t xml:space="preserve"> </w:t>
      </w:r>
      <w:r>
        <w:t xml:space="preserve">time (the plateaus of a flame graph). Conversely, a function with small self time but huge total time is a good target only if you can avoid</w:t>
      </w:r>
      <w:r>
        <w:t xml:space="preserve"> </w:t>
      </w:r>
      <w:r>
        <w:rPr>
          <w:iCs/>
          <w:i/>
        </w:rPr>
        <w:t xml:space="preserve">calling</w:t>
      </w:r>
      <w:r>
        <w:t xml:space="preserve"> </w:t>
      </w:r>
      <w:r>
        <w:t xml:space="preserve">the expensive callees.</w:t>
      </w:r>
    </w:p>
    <w:bookmarkEnd w:id="2585"/>
    <w:bookmarkEnd w:id="2586"/>
    <w:bookmarkEnd w:id="2587"/>
    <w:bookmarkStart w:id="2601" w:name="load-testing-and-benchmarking-pitfalls"/>
    <w:p>
      <w:pPr>
        <w:pStyle w:val="Heading2"/>
      </w:pPr>
      <w:r>
        <w:t xml:space="preserve">23.5 Load testing and benchmarking pitfalls</w:t>
      </w:r>
    </w:p>
    <w:bookmarkStart w:id="2588" w:name="kinds-of-performance-test"/>
    <w:p>
      <w:pPr>
        <w:pStyle w:val="Heading3"/>
      </w:pPr>
      <w:r>
        <w:t xml:space="preserve">23.5.1 Kinds of performance test</w:t>
      </w:r>
    </w:p>
    <w:p>
      <w:pPr>
        <w:pStyle w:val="FirstParagraph"/>
      </w:pPr>
      <w:r>
        <w:rPr>
          <w:bCs/>
          <w:b/>
        </w:rPr>
        <w:t xml:space="preserve">Table 23.4 — Performance test types.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Test</w:t>
            </w:r>
          </w:p>
        </w:tc>
        <w:tc>
          <w:tcPr/>
          <w:p>
            <w:pPr>
              <w:pStyle w:val="Compact"/>
              <w:jc w:val="left"/>
            </w:pPr>
            <w:r>
              <w:t xml:space="preserve">Question it answers</w:t>
            </w:r>
          </w:p>
        </w:tc>
        <w:tc>
          <w:tcPr/>
          <w:p>
            <w:pPr>
              <w:pStyle w:val="Compact"/>
              <w:jc w:val="left"/>
            </w:pPr>
            <w:r>
              <w:t xml:space="preserve">Typical shape</w:t>
            </w:r>
          </w:p>
        </w:tc>
      </w:tr>
      <w:tr>
        <w:tc>
          <w:tcPr/>
          <w:p>
            <w:pPr>
              <w:pStyle w:val="Compact"/>
              <w:jc w:val="left"/>
            </w:pPr>
            <w:r>
              <w:t xml:space="preserve">Microbenchmark</w:t>
            </w:r>
          </w:p>
        </w:tc>
        <w:tc>
          <w:tcPr/>
          <w:p>
            <w:pPr>
              <w:pStyle w:val="Compact"/>
              <w:jc w:val="left"/>
            </w:pPr>
            <w:r>
              <w:t xml:space="preserve">How fast is this function or data structure?</w:t>
            </w:r>
          </w:p>
        </w:tc>
        <w:tc>
          <w:tcPr/>
          <w:p>
            <w:pPr>
              <w:pStyle w:val="Compact"/>
              <w:jc w:val="left"/>
            </w:pPr>
            <w:r>
              <w:t xml:space="preserve">Tight loop in a harness (JMH,</w:t>
            </w:r>
            <w:r>
              <w:t xml:space="preserve"> </w:t>
            </w:r>
            <w:r>
              <w:rPr>
                <w:rStyle w:val="VerbatimChar"/>
              </w:rPr>
              <w:t xml:space="preserve">pytest-benchmark</w:t>
            </w:r>
            <w:r>
              <w:t xml:space="preserve">, Go</w:t>
            </w:r>
            <w:r>
              <w:t xml:space="preserve"> </w:t>
            </w:r>
            <w:r>
              <w:rPr>
                <w:rStyle w:val="VerbatimChar"/>
              </w:rPr>
              <w:t xml:space="preserve">testing.B</w:t>
            </w:r>
            <w:r>
              <w:t xml:space="preserve">)</w:t>
            </w:r>
          </w:p>
        </w:tc>
      </w:tr>
      <w:tr>
        <w:tc>
          <w:tcPr/>
          <w:p>
            <w:pPr>
              <w:pStyle w:val="Compact"/>
              <w:jc w:val="left"/>
            </w:pPr>
            <w:r>
              <w:t xml:space="preserve">Load test</w:t>
            </w:r>
          </w:p>
        </w:tc>
        <w:tc>
          <w:tcPr/>
          <w:p>
            <w:pPr>
              <w:pStyle w:val="Compact"/>
              <w:jc w:val="left"/>
            </w:pPr>
            <w:r>
              <w:t xml:space="preserve">Does the system meet its SLO at expected peak?</w:t>
            </w:r>
          </w:p>
        </w:tc>
        <w:tc>
          <w:tcPr/>
          <w:p>
            <w:pPr>
              <w:pStyle w:val="Compact"/>
              <w:jc w:val="left"/>
            </w:pPr>
            <w:r>
              <w:t xml:space="preserve">Steady target rate at forecast peak for 30–60 min</w:t>
            </w:r>
          </w:p>
        </w:tc>
      </w:tr>
      <w:tr>
        <w:tc>
          <w:tcPr/>
          <w:p>
            <w:pPr>
              <w:pStyle w:val="Compact"/>
              <w:jc w:val="left"/>
            </w:pPr>
            <w:r>
              <w:t xml:space="preserve">Stress test</w:t>
            </w:r>
          </w:p>
        </w:tc>
        <w:tc>
          <w:tcPr/>
          <w:p>
            <w:pPr>
              <w:pStyle w:val="Compact"/>
              <w:jc w:val="left"/>
            </w:pPr>
            <w:r>
              <w:t xml:space="preserve">Where and how does it break?</w:t>
            </w:r>
          </w:p>
        </w:tc>
        <w:tc>
          <w:tcPr/>
          <w:p>
            <w:pPr>
              <w:pStyle w:val="Compact"/>
              <w:jc w:val="left"/>
            </w:pPr>
            <w:r>
              <w:t xml:space="preserve">Rate ramps until errors or latency explode</w:t>
            </w:r>
          </w:p>
        </w:tc>
      </w:tr>
      <w:tr>
        <w:tc>
          <w:tcPr/>
          <w:p>
            <w:pPr>
              <w:pStyle w:val="Compact"/>
              <w:jc w:val="left"/>
            </w:pPr>
            <w:r>
              <w:t xml:space="preserve">Soak (endurance) test</w:t>
            </w:r>
          </w:p>
        </w:tc>
        <w:tc>
          <w:tcPr/>
          <w:p>
            <w:pPr>
              <w:pStyle w:val="Compact"/>
              <w:jc w:val="left"/>
            </w:pPr>
            <w:r>
              <w:t xml:space="preserve">Does it degrade over hours?</w:t>
            </w:r>
          </w:p>
        </w:tc>
        <w:tc>
          <w:tcPr/>
          <w:p>
            <w:pPr>
              <w:pStyle w:val="Compact"/>
              <w:jc w:val="left"/>
            </w:pPr>
            <w:r>
              <w:t xml:space="preserve">Moderate load for 8–72 h; watch memory, handles, GC</w:t>
            </w:r>
          </w:p>
        </w:tc>
      </w:tr>
      <w:tr>
        <w:tc>
          <w:tcPr/>
          <w:p>
            <w:pPr>
              <w:pStyle w:val="Compact"/>
              <w:jc w:val="left"/>
            </w:pPr>
            <w:r>
              <w:t xml:space="preserve">Spike test</w:t>
            </w:r>
          </w:p>
        </w:tc>
        <w:tc>
          <w:tcPr/>
          <w:p>
            <w:pPr>
              <w:pStyle w:val="Compact"/>
              <w:jc w:val="left"/>
            </w:pPr>
            <w:r>
              <w:t xml:space="preserve">Does it survive a sudden surge, and recover?</w:t>
            </w:r>
          </w:p>
        </w:tc>
        <w:tc>
          <w:tcPr/>
          <w:p>
            <w:pPr>
              <w:pStyle w:val="Compact"/>
              <w:jc w:val="left"/>
            </w:pPr>
            <w:r>
              <w:t xml:space="preserve">Step from normal to 3–10× for minutes</w:t>
            </w:r>
          </w:p>
        </w:tc>
      </w:tr>
      <w:tr>
        <w:tc>
          <w:tcPr/>
          <w:p>
            <w:pPr>
              <w:pStyle w:val="Compact"/>
              <w:jc w:val="left"/>
            </w:pPr>
            <w:r>
              <w:t xml:space="preserve">Capacity benchmark</w:t>
            </w:r>
          </w:p>
        </w:tc>
        <w:tc>
          <w:tcPr/>
          <w:p>
            <w:pPr>
              <w:pStyle w:val="Compact"/>
              <w:jc w:val="left"/>
            </w:pPr>
            <w:r>
              <w:t xml:space="preserve">Throughput as a function of concurrency or nodes</w:t>
            </w:r>
          </w:p>
        </w:tc>
        <w:tc>
          <w:tcPr/>
          <w:p>
            <w:pPr>
              <w:pStyle w:val="Compact"/>
              <w:jc w:val="left"/>
            </w:pPr>
            <w:r>
              <w:t xml:space="preserve">Series of steady runs at increasing</w:t>
            </w:r>
            <w:r>
              <w:t xml:space="preserve"> </w:t>
            </w:r>
            <m:oMath>
              <m:r>
                <m:t>N</m:t>
              </m:r>
            </m:oMath>
            <w:r>
              <w:t xml:space="preserve"> </w:t>
            </w:r>
            <w:r>
              <w:t xml:space="preserve">(§23.10)</w:t>
            </w:r>
          </w:p>
        </w:tc>
      </w:tr>
    </w:tbl>
    <w:bookmarkEnd w:id="2588"/>
    <w:bookmarkStart w:id="2592" w:name="open-versus-closed-workload-models"/>
    <w:p>
      <w:pPr>
        <w:pStyle w:val="Heading3"/>
      </w:pPr>
      <w:r>
        <w:t xml:space="preserve">23.5.2 Open versus closed workload models</w:t>
      </w:r>
    </w:p>
    <w:p>
      <w:pPr>
        <w:pStyle w:val="CalloutDefinition"/>
      </w:pPr>
      <w:r>
        <w:rPr>
          <w:bCs/>
          <w:b/>
        </w:rPr>
        <w:t xml:space="preserve">DEFINITION</w:t>
      </w:r>
    </w:p>
    <w:p>
      <w:pPr>
        <w:pStyle w:val="CalloutDefinition"/>
      </w:pPr>
      <w:r>
        <w:rPr>
          <w:bCs/>
          <w:b/>
        </w:rPr>
        <w:t xml:space="preserve">Definition — Open and closed workload models.</w:t>
      </w:r>
      <w:r>
        <w:t xml:space="preserve"> </w:t>
      </w:r>
      <w:r>
        <w:t xml:space="preserve">In an</w:t>
      </w:r>
      <w:r>
        <w:t xml:space="preserve"> </w:t>
      </w:r>
      <w:r>
        <w:rPr>
          <w:bCs/>
          <w:b/>
        </w:rPr>
        <w:t xml:space="preserve">open</w:t>
      </w:r>
      <w:r>
        <w:t xml:space="preserve"> </w:t>
      </w:r>
      <w:r>
        <w:t xml:space="preserve">model, new requests arrive at a rate that is independent of how fast the system answers: users on the internet do not wait for each other. In a</w:t>
      </w:r>
      <w:r>
        <w:t xml:space="preserve"> </w:t>
      </w:r>
      <w:r>
        <w:rPr>
          <w:bCs/>
          <w:b/>
        </w:rPr>
        <w:t xml:space="preserve">closed</w:t>
      </w:r>
      <w:r>
        <w:t xml:space="preserve"> </w:t>
      </w:r>
      <w:r>
        <w:t xml:space="preserve">model, a fixed population of</w:t>
      </w:r>
      <w:r>
        <w:t xml:space="preserve"> </w:t>
      </w:r>
      <m:oMath>
        <m:r>
          <m:t>N</m:t>
        </m:r>
      </m:oMath>
      <w:r>
        <w:t xml:space="preserve"> </w:t>
      </w:r>
      <w:r>
        <w:t xml:space="preserve">users (or load-generator threads) each sends a request, waits for the response, optionally pauses for a</w:t>
      </w:r>
      <w:r>
        <w:t xml:space="preserve"> </w:t>
      </w:r>
      <w:r>
        <w:rPr>
          <w:bCs/>
          <w:b/>
        </w:rPr>
        <w:t xml:space="preserve">think time</w:t>
      </w:r>
      <w:r>
        <w:t xml:space="preserve"> </w:t>
      </w:r>
      <m:oMath>
        <m:r>
          <m:t>Z</m:t>
        </m:r>
      </m:oMath>
      <w:r>
        <w:t xml:space="preserve">, and only then sends the next. A</w:t>
      </w:r>
      <w:r>
        <w:t xml:space="preserve"> </w:t>
      </w:r>
      <w:r>
        <w:rPr>
          <w:bCs/>
          <w:b/>
        </w:rPr>
        <w:t xml:space="preserve">partly open</w:t>
      </w:r>
      <w:r>
        <w:t xml:space="preserve"> </w:t>
      </w:r>
      <w:r>
        <w:t xml:space="preserve">model has sessions that arrive openly but issue several requests each, closed-loop, within the session [Schroeder et al. 2006].</w:t>
      </w:r>
    </w:p>
    <w:p>
      <w:pPr>
        <w:pStyle w:val="BodyText"/>
      </w:pPr>
      <w:r>
        <w:rPr>
          <w:bCs/>
          <w:b/>
        </w:rPr>
        <w:t xml:space="preserve">Figure 23.5 — Open and closed load generators.</w:t>
      </w:r>
    </w:p>
    <w:p>
      <w:pPr>
        <w:pStyle w:val="BodyText"/>
      </w:pPr>
      <w:r>
        <w:drawing>
          <wp:inline>
            <wp:extent cx="5334000" cy="8385228"/>
            <wp:effectExtent b="0" l="0" r="0" t="0"/>
            <wp:docPr descr="" title="" id="2590" name="Picture"/>
            <a:graphic>
              <a:graphicData uri="http://schemas.openxmlformats.org/drawingml/2006/picture">
                <pic:pic>
                  <pic:nvPicPr>
                    <pic:cNvPr descr="/home/user/System-Design/build/.cache/diagrams/185379994691.png" id="2591" name="Picture"/>
                    <pic:cNvPicPr>
                      <a:picLocks noChangeArrowheads="1" noChangeAspect="1"/>
                    </pic:cNvPicPr>
                  </pic:nvPicPr>
                  <pic:blipFill>
                    <a:blip r:embed="rId2589"/>
                    <a:stretch>
                      <a:fillRect/>
                    </a:stretch>
                  </pic:blipFill>
                  <pic:spPr bwMode="auto">
                    <a:xfrm>
                      <a:off x="0" y="0"/>
                      <a:ext cx="5334000" cy="8385228"/>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In the open model a scheduler issues requests (for example, HTTP) at rate</w:t>
      </w:r>
      <w:r>
        <w:t xml:space="preserve"> </w:t>
      </w:r>
      <m:oMath>
        <m:r>
          <m:t>λ</m:t>
        </m:r>
      </m:oMath>
      <w:r>
        <w:t xml:space="preserve"> </w:t>
      </w:r>
      <w:r>
        <w:t xml:space="preserve">and never waits, so when the system slows down requests pile up inside it, as real internet traffic does; responses are recorded asynchronously (dotted) into a histogram, the test’s storage boundary. In the closed model each of</w:t>
      </w:r>
      <w:r>
        <w:t xml:space="preserve"> </w:t>
      </w:r>
      <m:oMath>
        <m:r>
          <m:t>N</m:t>
        </m:r>
      </m:oMath>
      <w:r>
        <w:t xml:space="preserve"> </w:t>
      </w:r>
      <w:r>
        <w:t xml:space="preserve">users loops synchronously: send, wait, think, repeat. When the system slows, users send</w:t>
      </w:r>
      <w:r>
        <w:t xml:space="preserve"> </w:t>
      </w:r>
      <w:r>
        <w:rPr>
          <w:iCs/>
          <w:i/>
        </w:rPr>
        <w:t xml:space="preserve">less</w:t>
      </w:r>
      <w:r>
        <w:t xml:space="preserve">, so the generator reduces load exactly when the system struggles. That is the closed model’s failure point: it cannot reach the queueing regime real users would cause. Open tests scale by adding generator machines; closed tests by adding users, which raises load only while the system keeps up.</w:t>
      </w:r>
    </w:p>
    <w:p>
      <w:pPr>
        <w:pStyle w:val="CalloutFormula"/>
      </w:pPr>
      <w:r>
        <w:rPr>
          <w:bCs/>
          <w:b/>
        </w:rPr>
        <w:t xml:space="preserve">FORMULA</w:t>
      </w:r>
    </w:p>
    <w:p>
      <w:pPr>
        <w:pStyle w:val="CalloutFormula"/>
      </w:pPr>
      <w:r>
        <w:rPr>
          <w:bCs/>
          <w:b/>
        </w:rPr>
        <w:t xml:space="preserve">Interactive response time law (closed systems)</w:t>
      </w:r>
    </w:p>
    <w:p>
      <w:pPr>
        <w:pStyle w:val="CalloutFormula"/>
      </w:pPr>
      <m:oMathPara>
        <m:oMathParaPr>
          <m:jc m:val="center"/>
        </m:oMathParaPr>
        <m:oMath>
          <m:r>
            <m:t>X</m:t>
          </m:r>
          <m:r>
            <m:rPr>
              <m:sty m:val="p"/>
            </m:rPr>
            <m:t>=</m:t>
          </m:r>
          <m:f>
            <m:fPr>
              <m:type m:val="bar"/>
            </m:fPr>
            <m:num>
              <m:r>
                <m:t>N</m:t>
              </m:r>
            </m:num>
            <m:den>
              <m:r>
                <m:t>R</m:t>
              </m:r>
              <m:r>
                <m:rPr>
                  <m:sty m:val="p"/>
                </m:rPr>
                <m:t>+</m:t>
              </m:r>
              <m:r>
                <m:t>Z</m:t>
              </m:r>
            </m:den>
          </m:f>
          <m:r>
            <m:t>  </m:t>
          </m:r>
          <m:r>
            <m:rPr>
              <m:sty m:val="p"/>
            </m:rPr>
            <m:t>⇔</m:t>
          </m:r>
          <m:r>
            <m:t>  </m:t>
          </m:r>
          <m:r>
            <m:t>R</m:t>
          </m:r>
          <m:r>
            <m:rPr>
              <m:sty m:val="p"/>
            </m:rPr>
            <m:t>=</m:t>
          </m:r>
          <m:f>
            <m:fPr>
              <m:type m:val="bar"/>
            </m:fPr>
            <m:num>
              <m:r>
                <m:t>N</m:t>
              </m:r>
            </m:num>
            <m:den>
              <m:r>
                <m:t>X</m:t>
              </m:r>
            </m:den>
          </m:f>
          <m:r>
            <m:rPr>
              <m:sty m:val="p"/>
            </m:rPr>
            <m:t>−</m:t>
          </m:r>
          <m:r>
            <m:t>Z</m:t>
          </m:r>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N</m:t>
              </m:r>
            </m:oMath>
          </w:p>
        </w:tc>
        <w:tc>
          <w:tcPr/>
          <w:p>
            <w:pPr>
              <w:pStyle w:val="Compact"/>
              <w:jc w:val="left"/>
            </w:pPr>
            <w:r>
              <w:t xml:space="preserve">Number of users (or load-generator threads) in the closed loop</w:t>
            </w:r>
          </w:p>
        </w:tc>
        <w:tc>
          <w:tcPr/>
          <w:p>
            <w:pPr>
              <w:pStyle w:val="Compact"/>
              <w:jc w:val="left"/>
            </w:pPr>
            <w:r>
              <w:t xml:space="preserve">count</w:t>
            </w:r>
          </w:p>
        </w:tc>
      </w:tr>
      <w:tr>
        <w:tc>
          <w:tcPr/>
          <w:p>
            <w:pPr>
              <w:pStyle w:val="Compact"/>
              <w:jc w:val="left"/>
            </w:pPr>
            <m:oMath>
              <m:r>
                <m:t>X</m:t>
              </m:r>
            </m:oMath>
          </w:p>
        </w:tc>
        <w:tc>
          <w:tcPr/>
          <w:p>
            <w:pPr>
              <w:pStyle w:val="Compact"/>
              <w:jc w:val="left"/>
            </w:pPr>
            <w:r>
              <w:t xml:space="preserve">Throughput</w:t>
            </w:r>
          </w:p>
        </w:tc>
        <w:tc>
          <w:tcPr/>
          <w:p>
            <w:pPr>
              <w:pStyle w:val="Compact"/>
              <w:jc w:val="left"/>
            </w:pPr>
            <w:r>
              <w:t xml:space="preserve">requests/second</w:t>
            </w:r>
          </w:p>
        </w:tc>
      </w:tr>
      <w:tr>
        <w:tc>
          <w:tcPr/>
          <w:p>
            <w:pPr>
              <w:pStyle w:val="Compact"/>
              <w:jc w:val="left"/>
            </w:pPr>
            <m:oMath>
              <m:r>
                <m:t>R</m:t>
              </m:r>
            </m:oMath>
          </w:p>
        </w:tc>
        <w:tc>
          <w:tcPr/>
          <w:p>
            <w:pPr>
              <w:pStyle w:val="Compact"/>
              <w:jc w:val="left"/>
            </w:pPr>
            <w:r>
              <w:t xml:space="preserve">Mean response time</w:t>
            </w:r>
          </w:p>
        </w:tc>
        <w:tc>
          <w:tcPr/>
          <w:p>
            <w:pPr>
              <w:pStyle w:val="Compact"/>
              <w:jc w:val="left"/>
            </w:pPr>
            <w:r>
              <w:t xml:space="preserve">seconds</w:t>
            </w:r>
          </w:p>
        </w:tc>
      </w:tr>
      <w:tr>
        <w:tc>
          <w:tcPr/>
          <w:p>
            <w:pPr>
              <w:pStyle w:val="Compact"/>
              <w:jc w:val="left"/>
            </w:pPr>
            <m:oMath>
              <m:r>
                <m:t>Z</m:t>
              </m:r>
            </m:oMath>
          </w:p>
        </w:tc>
        <w:tc>
          <w:tcPr/>
          <w:p>
            <w:pPr>
              <w:pStyle w:val="Compact"/>
              <w:jc w:val="left"/>
            </w:pPr>
            <w:r>
              <w:t xml:space="preserve">Mean think time between a response and the next request</w:t>
            </w:r>
          </w:p>
        </w:tc>
        <w:tc>
          <w:tcPr/>
          <w:p>
            <w:pPr>
              <w:pStyle w:val="Compact"/>
              <w:jc w:val="left"/>
            </w:pPr>
            <w:r>
              <w:t xml:space="preserve">seconds</w:t>
            </w:r>
          </w:p>
        </w:tc>
      </w:tr>
    </w:tbl>
    <w:p>
      <w:pPr>
        <w:pStyle w:val="BodyText"/>
      </w:pPr>
      <w:r>
        <w:t xml:space="preserve">This is Little’s Law (§4.11) applied to the whole loop of users plus system [Lazowska et al. 1984].</w:t>
      </w:r>
    </w:p>
    <w:p>
      <w:pPr>
        <w:pStyle w:val="CalloutExample"/>
      </w:pPr>
      <w:r>
        <w:rPr>
          <w:bCs/>
          <w:b/>
        </w:rPr>
        <w:t xml:space="preserve">WORKED EXAMPLE</w:t>
      </w:r>
    </w:p>
    <w:p>
      <w:pPr>
        <w:pStyle w:val="CalloutExample"/>
      </w:pPr>
      <w:r>
        <w:rPr>
          <w:bCs/>
          <w:b/>
        </w:rPr>
        <w:t xml:space="preserve">Worked example — A closed test that cannot find the problem.</w:t>
      </w:r>
      <w:r>
        <w:t xml:space="preserve"> </w:t>
      </w:r>
      <w:r>
        <w:t xml:space="preserve">A load test uses</w:t>
      </w:r>
      <w:r>
        <w:t xml:space="preserve"> </w:t>
      </w:r>
      <m:oMath>
        <m:r>
          <m:t>N</m:t>
        </m:r>
        <m:r>
          <m:rPr>
            <m:sty m:val="p"/>
          </m:rPr>
          <m:t>=</m:t>
        </m:r>
        <m:r>
          <m:t>50</m:t>
        </m:r>
      </m:oMath>
      <w:r>
        <w:t xml:space="preserve"> </w:t>
      </w:r>
      <w:r>
        <w:t xml:space="preserve">threads with no think time (</w:t>
      </w:r>
      <m:oMath>
        <m:r>
          <m:t>Z</m:t>
        </m:r>
        <m:r>
          <m:rPr>
            <m:sty m:val="p"/>
          </m:rPr>
          <m:t>=</m:t>
        </m:r>
        <m:r>
          <m:t>0</m:t>
        </m:r>
      </m:oMath>
      <w:r>
        <w:t xml:space="preserve">). With</w:t>
      </w:r>
      <w:r>
        <w:t xml:space="preserve"> </w:t>
      </w:r>
      <m:oMath>
        <m:r>
          <m:t>R</m:t>
        </m:r>
        <m:r>
          <m:rPr>
            <m:sty m:val="p"/>
          </m:rPr>
          <m:t>=</m:t>
        </m:r>
        <m:r>
          <m:t>10</m:t>
        </m:r>
      </m:oMath>
      <w:r>
        <w:t xml:space="preserve"> </w:t>
      </w:r>
      <w:r>
        <w:t xml:space="preserve">ms the generator produces</w:t>
      </w:r>
      <w:r>
        <w:t xml:space="preserve"> </w:t>
      </w:r>
      <m:oMath>
        <m:r>
          <m:t>X</m:t>
        </m:r>
        <m:r>
          <m:rPr>
            <m:sty m:val="p"/>
          </m:rPr>
          <m:t>=</m:t>
        </m:r>
        <m:r>
          <m:t>50</m:t>
        </m:r>
        <m:r>
          <m:rPr>
            <m:sty m:val="p"/>
          </m:rPr>
          <m:t>/</m:t>
        </m:r>
        <m:r>
          <m:t>0.010</m:t>
        </m:r>
        <m:r>
          <m:rPr>
            <m:sty m:val="p"/>
          </m:rPr>
          <m:t>=</m:t>
        </m:r>
        <m:r>
          <m:t>5</m:t>
        </m:r>
        <m:r>
          <m:rPr>
            <m:sty m:val="p"/>
          </m:rPr>
          <m:t>,</m:t>
        </m:r>
        <m:r>
          <m:t>000</m:t>
        </m:r>
      </m:oMath>
      <w:r>
        <w:t xml:space="preserve"> </w:t>
      </w:r>
      <w:r>
        <w:t xml:space="preserve">RPS. Production peak is 5,000 RPS, open.</w:t>
      </w:r>
    </w:p>
    <w:p>
      <w:pPr>
        <w:numPr>
          <w:ilvl w:val="0"/>
          <w:numId w:val="1757"/>
        </w:numPr>
        <w:pStyle w:val="Compact"/>
      </w:pPr>
      <w:r>
        <w:t xml:space="preserve">Suppose a regression doubles service time so</w:t>
      </w:r>
      <w:r>
        <w:t xml:space="preserve"> </w:t>
      </w:r>
      <m:oMath>
        <m:r>
          <m:t>R</m:t>
        </m:r>
        <m:r>
          <m:rPr>
            <m:sty m:val="p"/>
          </m:rPr>
          <m:t>=</m:t>
        </m:r>
        <m:r>
          <m:t>20</m:t>
        </m:r>
      </m:oMath>
      <w:r>
        <w:t xml:space="preserve"> </w:t>
      </w:r>
      <w:r>
        <w:t xml:space="preserve">ms at the same concurrency. The closed test now produces</w:t>
      </w:r>
      <w:r>
        <w:t xml:space="preserve"> </w:t>
      </w:r>
      <m:oMath>
        <m:r>
          <m:t>X</m:t>
        </m:r>
        <m:r>
          <m:rPr>
            <m:sty m:val="p"/>
          </m:rPr>
          <m:t>=</m:t>
        </m:r>
        <m:r>
          <m:t>50</m:t>
        </m:r>
        <m:r>
          <m:rPr>
            <m:sty m:val="p"/>
          </m:rPr>
          <m:t>/</m:t>
        </m:r>
        <m:r>
          <m:t>0.020</m:t>
        </m:r>
        <m:r>
          <m:rPr>
            <m:sty m:val="p"/>
          </m:rPr>
          <m:t>=</m:t>
        </m:r>
        <m:r>
          <m:t>2</m:t>
        </m:r>
        <m:r>
          <m:rPr>
            <m:sty m:val="p"/>
          </m:rPr>
          <m:t>,</m:t>
        </m:r>
        <m:r>
          <m:t>500</m:t>
        </m:r>
      </m:oMath>
      <w:r>
        <w:t xml:space="preserve"> </w:t>
      </w:r>
      <w:r>
        <w:t xml:space="preserve">RPS: it halves the offered load and reports latency of 20 ms,</w:t>
      </w:r>
      <w:r>
        <w:t xml:space="preserve"> </w:t>
      </w:r>
      <w:r>
        <w:t xml:space="preserve">“</w:t>
      </w:r>
      <w:r>
        <w:t xml:space="preserve">a bit slower</w:t>
      </w:r>
      <w:r>
        <w:t xml:space="preserve">”</w:t>
      </w:r>
      <w:r>
        <w:t xml:space="preserve">.</w:t>
      </w:r>
    </w:p>
    <w:p>
      <w:pPr>
        <w:numPr>
          <w:ilvl w:val="0"/>
          <w:numId w:val="1757"/>
        </w:numPr>
        <w:pStyle w:val="Compact"/>
      </w:pPr>
      <w:r>
        <w:t xml:space="preserve">In production the 5,000 RPS keeps arriving. If capacity has fallen to about 2,500 RPS, utilization exceeds 100%, the queue grows without bound (§4.10.3), and latency rises until requests time out.</w:t>
      </w:r>
    </w:p>
    <w:p>
      <w:pPr>
        <w:pStyle w:val="CalloutExample"/>
      </w:pPr>
      <w:r>
        <w:rPr>
          <w:bCs/>
          <w:b/>
        </w:rPr>
        <w:t xml:space="preserve">Interpretation.</w:t>
      </w:r>
      <w:r>
        <w:t xml:space="preserve"> </w:t>
      </w:r>
      <w:r>
        <w:t xml:space="preserve">The closed test turns an outage into a mild regression, because it measures the system at whatever rate the system can sustain.</w:t>
      </w:r>
      <w:r>
        <w:t xml:space="preserve"> </w:t>
      </w:r>
      <w:r>
        <w:rPr>
          <w:bCs/>
          <w:b/>
        </w:rPr>
        <w:t xml:space="preserve">Engineering implication.</w:t>
      </w:r>
      <w:r>
        <w:t xml:space="preserve"> </w:t>
      </w:r>
      <w:r>
        <w:t xml:space="preserve">To check an SLO at a target rate, use an open (constant-arrival-rate) generator. Use closed tests only for systems that really are closed (a fixed pool of batch workers, a connection-limited client) or to measure capacity curves as a function of concurrency (§23.10).</w:t>
      </w:r>
    </w:p>
    <w:p>
      <w:pPr>
        <w:pStyle w:val="BodyText"/>
      </w:pPr>
      <w:r>
        <w:t xml:space="preserve">Schroeder, Wierman and Harchol-Balter showed that at the same load the two models give very different response times and respond differently to scheduling policies, and that many standard benchmarks used closed generators although web traffic is better described as open or partly open [Schroeder et al. 2006].</w:t>
      </w:r>
    </w:p>
    <w:bookmarkEnd w:id="2592"/>
    <w:bookmarkStart w:id="2597" w:name="coordinated-omission"/>
    <w:p>
      <w:pPr>
        <w:pStyle w:val="Heading3"/>
      </w:pPr>
      <w:r>
        <w:t xml:space="preserve">23.5.3 Coordinated omission</w:t>
      </w:r>
    </w:p>
    <w:p>
      <w:pPr>
        <w:pStyle w:val="CalloutDefinition"/>
      </w:pPr>
      <w:r>
        <w:rPr>
          <w:bCs/>
          <w:b/>
        </w:rPr>
        <w:t xml:space="preserve">DEFINITION</w:t>
      </w:r>
    </w:p>
    <w:p>
      <w:pPr>
        <w:pStyle w:val="CalloutDefinition"/>
      </w:pPr>
      <w:r>
        <w:rPr>
          <w:bCs/>
          <w:b/>
        </w:rPr>
        <w:t xml:space="preserve">Definition — Coordinated omission.</w:t>
      </w:r>
      <w:r>
        <w:t xml:space="preserve"> </w:t>
      </w:r>
      <w:r>
        <w:t xml:space="preserve">A measurement error in which the load generator, by waiting for slow responses before sending more requests, fails to send (and therefore fails to measure) the requests that would have experienced the slowness. The tester and the system</w:t>
      </w:r>
      <w:r>
        <w:t xml:space="preserve"> </w:t>
      </w:r>
      <w:r>
        <w:t xml:space="preserve">“</w:t>
      </w:r>
      <w:r>
        <w:t xml:space="preserve">coordinate</w:t>
      </w:r>
      <w:r>
        <w:t xml:space="preserve">”</w:t>
      </w:r>
      <w:r>
        <w:t xml:space="preserve"> </w:t>
      </w:r>
      <w:r>
        <w:t xml:space="preserve">to omit the worst samples. The term and diagnosis are due to Gil Tene [Tene, How NOT to Measure Latency].</w:t>
      </w:r>
    </w:p>
    <w:bookmarkStart w:id="2596" w:name="first-principles-explanation-134"/>
    <w:p>
      <w:pPr>
        <w:pStyle w:val="Heading4"/>
      </w:pPr>
      <w:r>
        <w:t xml:space="preserve">First-principles explanation</w:t>
      </w:r>
    </w:p>
    <w:p>
      <w:pPr>
        <w:pStyle w:val="FirstParagraph"/>
      </w:pPr>
      <w:r>
        <w:t xml:space="preserve">A manager measures checkout waits by sending one shopper through every two minutes. At noon the till jams for 30 minutes; the shopper reports one bad wait, and the next goes at 12:32. Fifteen real customers who would have waited 2–30 minutes were never sampled, so the report shows one bad wait in hundreds: a perfect-looking p99.</w:t>
      </w:r>
    </w:p>
    <w:p>
      <w:pPr>
        <w:pStyle w:val="BodyText"/>
      </w:pPr>
      <w:r>
        <w:rPr>
          <w:bCs/>
          <w:b/>
        </w:rPr>
        <w:t xml:space="preserve">Figure 23.6 — How a closed-loop tester omits the stall.</w:t>
      </w:r>
    </w:p>
    <w:p>
      <w:pPr>
        <w:pStyle w:val="BodyText"/>
      </w:pPr>
      <w:r>
        <w:drawing>
          <wp:inline>
            <wp:extent cx="5334000" cy="5417343"/>
            <wp:effectExtent b="0" l="0" r="0" t="0"/>
            <wp:docPr descr="" title="" id="2594" name="Picture"/>
            <a:graphic>
              <a:graphicData uri="http://schemas.openxmlformats.org/drawingml/2006/picture">
                <pic:pic>
                  <pic:nvPicPr>
                    <pic:cNvPr descr="/home/user/System-Design/build/.cache/diagrams/dd1292fad792.png" id="2595" name="Picture"/>
                    <pic:cNvPicPr>
                      <a:picLocks noChangeArrowheads="1" noChangeAspect="1"/>
                    </pic:cNvPicPr>
                  </pic:nvPicPr>
                  <pic:blipFill>
                    <a:blip r:embed="rId2593"/>
                    <a:stretch>
                      <a:fillRect/>
                    </a:stretch>
                  </pic:blipFill>
                  <pic:spPr bwMode="auto">
                    <a:xfrm>
                      <a:off x="0" y="0"/>
                      <a:ext cx="5334000" cy="5417343"/>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generator plans one request every 2 ms over a single connection and waits synchronously for each reply. When the server stalls for 1.5 s (a GC pause, a failover), request 2 waits throughout, the ~750 requests scheduled during the stall are never sent, and one 1.5 s sample is recorded. In an open model those requests would have queued at the server, and the backlog would have delayed requests after the stall too. The failure point is coupling sending to receiving; the fix is to decouple them and measure each request from its</w:t>
      </w:r>
      <w:r>
        <w:t xml:space="preserve"> </w:t>
      </w:r>
      <w:r>
        <w:rPr>
          <w:iCs/>
          <w:i/>
        </w:rPr>
        <w:t xml:space="preserve">intended</w:t>
      </w:r>
      <w:r>
        <w:t xml:space="preserve"> </w:t>
      </w:r>
      <w:r>
        <w:t xml:space="preserve">send time.</w:t>
      </w:r>
    </w:p>
    <w:p>
      <w:pPr>
        <w:pStyle w:val="CalloutFormula"/>
      </w:pPr>
      <w:r>
        <w:rPr>
          <w:bCs/>
          <w:b/>
        </w:rPr>
        <w:t xml:space="preserve">FORMULA</w:t>
      </w:r>
    </w:p>
    <w:p>
      <w:pPr>
        <w:pStyle w:val="CalloutFormula"/>
      </w:pPr>
      <w:r>
        <w:rPr>
          <w:bCs/>
          <w:b/>
        </w:rPr>
        <w:t xml:space="preserve">Damage done by a stall in an open system</w:t>
      </w:r>
    </w:p>
    <w:p>
      <w:pPr>
        <w:pStyle w:val="CalloutFormula"/>
      </w:pPr>
      <m:oMathPara>
        <m:oMathParaPr>
          <m:jc m:val="center"/>
        </m:oMathParaPr>
        <m:oMath>
          <m:r>
            <m:rPr>
              <m:nor/>
              <m:sty m:val="p"/>
            </m:rPr>
            <m:t>missed by closed tester</m:t>
          </m:r>
          <m:r>
            <m:rPr>
              <m:sty m:val="p"/>
            </m:rPr>
            <m:t>≈</m:t>
          </m:r>
          <m:f>
            <m:fPr>
              <m:type m:val="bar"/>
            </m:fPr>
            <m:num>
              <m:sSub>
                <m:e>
                  <m:r>
                    <m:t>T</m:t>
                  </m:r>
                </m:e>
                <m:sub>
                  <m:r>
                    <m:t>s</m:t>
                  </m:r>
                </m:sub>
              </m:sSub>
            </m:num>
            <m:den>
              <m:r>
                <m:t>Δ</m:t>
              </m:r>
            </m:den>
          </m:f>
          <m:r>
            <m:t>  </m:t>
          </m:r>
          <m:sSub>
            <m:e>
              <m:r>
                <m:t>t</m:t>
              </m:r>
            </m:e>
            <m:sub>
              <m:r>
                <m:rPr>
                  <m:nor/>
                  <m:sty m:val="p"/>
                </m:rPr>
                <m:t>drain</m:t>
              </m:r>
            </m:sub>
          </m:sSub>
          <m:r>
            <m:rPr>
              <m:sty m:val="p"/>
            </m:rPr>
            <m:t>=</m:t>
          </m:r>
          <m:f>
            <m:fPr>
              <m:type m:val="bar"/>
            </m:fPr>
            <m:num>
              <m:r>
                <m:t>λ</m:t>
              </m:r>
              <m:sSub>
                <m:e>
                  <m:r>
                    <m:t>T</m:t>
                  </m:r>
                </m:e>
                <m:sub>
                  <m:r>
                    <m:t>s</m:t>
                  </m:r>
                </m:sub>
              </m:sSub>
            </m:num>
            <m:den>
              <m:r>
                <m:t>μ</m:t>
              </m:r>
              <m:r>
                <m:rPr>
                  <m:sty m:val="p"/>
                </m:rPr>
                <m:t>−</m:t>
              </m:r>
              <m:r>
                <m:t>λ</m:t>
              </m:r>
            </m:den>
          </m:f>
          <m:r>
            <m:t>  </m:t>
          </m:r>
          <m:r>
            <m:rPr>
              <m:nor/>
              <m:sty m:val="p"/>
            </m:rPr>
            <m:t>affected requests</m:t>
          </m:r>
          <m:r>
            <m:rPr>
              <m:sty m:val="p"/>
            </m:rPr>
            <m:t>=</m:t>
          </m:r>
          <m:r>
            <m:t>λ</m:t>
          </m:r>
          <m:r>
            <m:t> </m:t>
          </m:r>
          <m:d>
            <m:dPr>
              <m:begChr m:val="("/>
              <m:endChr m:val=")"/>
              <m:sepChr m:val=""/>
              <m:grow/>
            </m:dPr>
            <m:e>
              <m:sSub>
                <m:e>
                  <m:r>
                    <m:t>T</m:t>
                  </m:r>
                </m:e>
                <m:sub>
                  <m:r>
                    <m:t>s</m:t>
                  </m:r>
                </m:sub>
              </m:sSub>
              <m:r>
                <m:rPr>
                  <m:sty m:val="p"/>
                </m:rPr>
                <m:t>+</m:t>
              </m:r>
              <m:sSub>
                <m:e>
                  <m:r>
                    <m:t>t</m:t>
                  </m:r>
                </m:e>
                <m:sub>
                  <m:r>
                    <m:rPr>
                      <m:nor/>
                      <m:sty m:val="p"/>
                    </m:rPr>
                    <m:t>drain</m:t>
                  </m:r>
                </m:sub>
              </m:sSub>
            </m:e>
          </m:d>
          <m:r>
            <m:rPr>
              <m:sty m:val="p"/>
            </m:rPr>
            <m:t>=</m:t>
          </m:r>
          <m:f>
            <m:fPr>
              <m:type m:val="bar"/>
            </m:fPr>
            <m:num>
              <m:r>
                <m:t>λ</m:t>
              </m:r>
              <m:r>
                <m:t> </m:t>
              </m:r>
              <m:r>
                <m:t>μ</m:t>
              </m:r>
              <m:r>
                <m:t> </m:t>
              </m:r>
              <m:sSub>
                <m:e>
                  <m:r>
                    <m:t>T</m:t>
                  </m:r>
                </m:e>
                <m:sub>
                  <m:r>
                    <m:t>s</m:t>
                  </m:r>
                </m:sub>
              </m:sSub>
            </m:num>
            <m:den>
              <m:r>
                <m:t>μ</m:t>
              </m:r>
              <m:r>
                <m:rPr>
                  <m:sty m:val="p"/>
                </m:rPr>
                <m:t>−</m:t>
              </m:r>
              <m:r>
                <m:t>λ</m:t>
              </m:r>
            </m:den>
          </m:f>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T</m:t>
                  </m:r>
                </m:e>
                <m:sub>
                  <m:r>
                    <m:t>s</m:t>
                  </m:r>
                </m:sub>
              </m:sSub>
            </m:oMath>
          </w:p>
        </w:tc>
        <w:tc>
          <w:tcPr/>
          <w:p>
            <w:pPr>
              <w:pStyle w:val="Compact"/>
              <w:jc w:val="left"/>
            </w:pPr>
            <w:r>
              <w:t xml:space="preserve">Duration of the stall</w:t>
            </w:r>
          </w:p>
        </w:tc>
        <w:tc>
          <w:tcPr/>
          <w:p>
            <w:pPr>
              <w:pStyle w:val="Compact"/>
              <w:jc w:val="left"/>
            </w:pPr>
            <w:r>
              <w:t xml:space="preserve">seconds</w:t>
            </w:r>
          </w:p>
        </w:tc>
      </w:tr>
      <w:tr>
        <w:tc>
          <w:tcPr/>
          <w:p>
            <w:pPr>
              <w:pStyle w:val="Compact"/>
              <w:jc w:val="left"/>
            </w:pPr>
            <m:oMath>
              <m:r>
                <m:t>Δ</m:t>
              </m:r>
              <m:r>
                <m:rPr>
                  <m:sty m:val="p"/>
                </m:rPr>
                <m:t>=</m:t>
              </m:r>
              <m:r>
                <m:t>1</m:t>
              </m:r>
              <m:r>
                <m:rPr>
                  <m:sty m:val="p"/>
                </m:rPr>
                <m:t>/</m:t>
              </m:r>
              <m:r>
                <m:t>λ</m:t>
              </m:r>
            </m:oMath>
          </w:p>
        </w:tc>
        <w:tc>
          <w:tcPr/>
          <w:p>
            <w:pPr>
              <w:pStyle w:val="Compact"/>
              <w:jc w:val="left"/>
            </w:pPr>
            <w:r>
              <w:t xml:space="preserve">Intended interval between requests</w:t>
            </w:r>
          </w:p>
        </w:tc>
        <w:tc>
          <w:tcPr/>
          <w:p>
            <w:pPr>
              <w:pStyle w:val="Compact"/>
              <w:jc w:val="left"/>
            </w:pPr>
            <w:r>
              <w:t xml:space="preserve">seconds</w:t>
            </w:r>
          </w:p>
        </w:tc>
      </w:tr>
      <w:tr>
        <w:tc>
          <w:tcPr/>
          <w:p>
            <w:pPr>
              <w:pStyle w:val="Compact"/>
              <w:jc w:val="left"/>
            </w:pPr>
            <m:oMath>
              <m:r>
                <m:t>λ</m:t>
              </m:r>
            </m:oMath>
          </w:p>
        </w:tc>
        <w:tc>
          <w:tcPr/>
          <w:p>
            <w:pPr>
              <w:pStyle w:val="Compact"/>
              <w:jc w:val="left"/>
            </w:pPr>
            <w:r>
              <w:t xml:space="preserve">Intended (open) arrival rate</w:t>
            </w:r>
          </w:p>
        </w:tc>
        <w:tc>
          <w:tcPr/>
          <w:p>
            <w:pPr>
              <w:pStyle w:val="Compact"/>
              <w:jc w:val="left"/>
            </w:pPr>
            <w:r>
              <w:t xml:space="preserve">requests/second</w:t>
            </w:r>
          </w:p>
        </w:tc>
      </w:tr>
      <w:tr>
        <w:tc>
          <w:tcPr/>
          <w:p>
            <w:pPr>
              <w:pStyle w:val="Compact"/>
              <w:jc w:val="left"/>
            </w:pPr>
            <m:oMath>
              <m:r>
                <m:t>μ</m:t>
              </m:r>
            </m:oMath>
          </w:p>
        </w:tc>
        <w:tc>
          <w:tcPr/>
          <w:p>
            <w:pPr>
              <w:pStyle w:val="Compact"/>
              <w:jc w:val="left"/>
            </w:pPr>
            <w:r>
              <w:t xml:space="preserve">Service rate once the server resumes (</w:t>
            </w:r>
            <m:oMath>
              <m:r>
                <m:rPr>
                  <m:sty m:val="p"/>
                </m:rPr>
                <m:t>&gt;</m:t>
              </m:r>
              <m:r>
                <m:t>λ</m:t>
              </m:r>
            </m:oMath>
            <w:r>
              <w:t xml:space="preserve">)</w:t>
            </w:r>
          </w:p>
        </w:tc>
        <w:tc>
          <w:tcPr/>
          <w:p>
            <w:pPr>
              <w:pStyle w:val="Compact"/>
              <w:jc w:val="left"/>
            </w:pPr>
            <w:r>
              <w:t xml:space="preserve">requests/second</w:t>
            </w:r>
          </w:p>
        </w:tc>
      </w:tr>
      <w:tr>
        <w:tc>
          <w:tcPr/>
          <w:p>
            <w:pPr>
              <w:pStyle w:val="Compact"/>
              <w:jc w:val="left"/>
            </w:pPr>
            <m:oMath>
              <m:sSub>
                <m:e>
                  <m:r>
                    <m:t>t</m:t>
                  </m:r>
                </m:e>
                <m:sub>
                  <m:r>
                    <m:rPr>
                      <m:nor/>
                      <m:sty m:val="p"/>
                    </m:rPr>
                    <m:t>drain</m:t>
                  </m:r>
                </m:sub>
              </m:sSub>
            </m:oMath>
          </w:p>
        </w:tc>
        <w:tc>
          <w:tcPr/>
          <w:p>
            <w:pPr>
              <w:pStyle w:val="Compact"/>
              <w:jc w:val="left"/>
            </w:pPr>
            <w:r>
              <w:t xml:space="preserve">Time to drain the backlog after the stall</w:t>
            </w:r>
          </w:p>
        </w:tc>
        <w:tc>
          <w:tcPr/>
          <w:p>
            <w:pPr>
              <w:pStyle w:val="Compact"/>
              <w:jc w:val="left"/>
            </w:pPr>
            <w:r>
              <w:t xml:space="preserve">seconds</w:t>
            </w:r>
          </w:p>
        </w:tc>
      </w:tr>
    </w:tbl>
    <w:p>
      <w:pPr>
        <w:pStyle w:val="CalloutExample"/>
      </w:pPr>
      <w:r>
        <w:rPr>
          <w:bCs/>
          <w:b/>
        </w:rPr>
        <w:t xml:space="preserve">WORKED EXAMPLE</w:t>
      </w:r>
    </w:p>
    <w:p>
      <w:pPr>
        <w:pStyle w:val="CalloutExample"/>
      </w:pPr>
      <w:r>
        <w:rPr>
          <w:bCs/>
          <w:b/>
        </w:rPr>
        <w:t xml:space="preserve">Worked example — A 1.5 s stall in a 60 s test.</w:t>
      </w:r>
      <w:r>
        <w:t xml:space="preserve"> </w:t>
      </w:r>
      <m:oMath>
        <m:r>
          <m:t>λ</m:t>
        </m:r>
        <m:r>
          <m:rPr>
            <m:sty m:val="p"/>
          </m:rPr>
          <m:t>=</m:t>
        </m:r>
        <m:r>
          <m:t>500</m:t>
        </m:r>
      </m:oMath>
      <w:r>
        <w:t xml:space="preserve"> </w:t>
      </w:r>
      <w:r>
        <w:t xml:space="preserve">RPS,</w:t>
      </w:r>
      <w:r>
        <w:t xml:space="preserve"> </w:t>
      </w:r>
      <m:oMath>
        <m:r>
          <m:t>Δ</m:t>
        </m:r>
        <m:r>
          <m:rPr>
            <m:sty m:val="p"/>
          </m:rPr>
          <m:t>=</m:t>
        </m:r>
        <m:r>
          <m:t>2</m:t>
        </m:r>
      </m:oMath>
      <w:r>
        <w:t xml:space="preserve"> </w:t>
      </w:r>
      <w:r>
        <w:t xml:space="preserve">ms,</w:t>
      </w:r>
      <w:r>
        <w:t xml:space="preserve"> </w:t>
      </w:r>
      <m:oMath>
        <m:r>
          <m:t>μ</m:t>
        </m:r>
        <m:r>
          <m:rPr>
            <m:sty m:val="p"/>
          </m:rPr>
          <m:t>=</m:t>
        </m:r>
        <m:r>
          <m:t>1</m:t>
        </m:r>
        <m:r>
          <m:rPr>
            <m:sty m:val="p"/>
          </m:rPr>
          <m:t>,</m:t>
        </m:r>
        <m:r>
          <m:t>000</m:t>
        </m:r>
      </m:oMath>
      <w:r>
        <w:t xml:space="preserve"> </w:t>
      </w:r>
      <w:r>
        <w:t xml:space="preserve">RPS (1 ms per request),</w:t>
      </w:r>
      <w:r>
        <w:t xml:space="preserve"> </w:t>
      </w:r>
      <m:oMath>
        <m:sSub>
          <m:e>
            <m:r>
              <m:t>T</m:t>
            </m:r>
          </m:e>
          <m:sub>
            <m:r>
              <m:t>s</m:t>
            </m:r>
          </m:sub>
        </m:sSub>
        <m:r>
          <m:rPr>
            <m:sty m:val="p"/>
          </m:rPr>
          <m:t>=</m:t>
        </m:r>
        <m:r>
          <m:t>1.5</m:t>
        </m:r>
      </m:oMath>
      <w:r>
        <w:t xml:space="preserve"> </w:t>
      </w:r>
      <w:r>
        <w:t xml:space="preserve">s, test length 60 s (30,000 intended requests).</w:t>
      </w:r>
    </w:p>
    <w:p>
      <w:pPr>
        <w:numPr>
          <w:ilvl w:val="0"/>
          <w:numId w:val="1758"/>
        </w:numPr>
        <w:pStyle w:val="Compact"/>
      </w:pPr>
      <w:r>
        <w:t xml:space="preserve">Missed by the closed tester:</w:t>
      </w:r>
      <w:r>
        <w:t xml:space="preserve"> </w:t>
      </w:r>
      <m:oMath>
        <m:r>
          <m:t>1.5</m:t>
        </m:r>
        <m:r>
          <m:rPr>
            <m:sty m:val="p"/>
          </m:rPr>
          <m:t>/</m:t>
        </m:r>
        <m:r>
          <m:t>0.002</m:t>
        </m:r>
        <m:r>
          <m:rPr>
            <m:sty m:val="p"/>
          </m:rPr>
          <m:t>=</m:t>
        </m:r>
        <m:r>
          <m:t>750</m:t>
        </m:r>
      </m:oMath>
      <w:r>
        <w:t xml:space="preserve"> </w:t>
      </w:r>
      <w:r>
        <w:t xml:space="preserve">requests (about 2.5% of the test).</w:t>
      </w:r>
    </w:p>
    <w:p>
      <w:pPr>
        <w:numPr>
          <w:ilvl w:val="0"/>
          <w:numId w:val="1758"/>
        </w:numPr>
        <w:pStyle w:val="Compact"/>
      </w:pPr>
      <w:r>
        <w:t xml:space="preserve">Backlog at the end of the stall:</w:t>
      </w:r>
      <w:r>
        <w:t xml:space="preserve"> </w:t>
      </w:r>
      <m:oMath>
        <m:r>
          <m:t>500</m:t>
        </m:r>
        <m:r>
          <m:rPr>
            <m:sty m:val="p"/>
          </m:rPr>
          <m:t>×</m:t>
        </m:r>
        <m:r>
          <m:t>1.5</m:t>
        </m:r>
        <m:r>
          <m:rPr>
            <m:sty m:val="p"/>
          </m:rPr>
          <m:t>=</m:t>
        </m:r>
        <m:r>
          <m:t>750</m:t>
        </m:r>
      </m:oMath>
      <w:r>
        <w:t xml:space="preserve"> </w:t>
      </w:r>
      <w:r>
        <w:t xml:space="preserve">requests; it drains at the net rate</w:t>
      </w:r>
      <w:r>
        <w:t xml:space="preserve"> </w:t>
      </w:r>
      <m:oMath>
        <m:r>
          <m:t>μ</m:t>
        </m:r>
        <m:r>
          <m:rPr>
            <m:sty m:val="p"/>
          </m:rPr>
          <m:t>−</m:t>
        </m:r>
        <m:r>
          <m:t>λ</m:t>
        </m:r>
        <m:r>
          <m:rPr>
            <m:sty m:val="p"/>
          </m:rPr>
          <m:t>=</m:t>
        </m:r>
        <m:r>
          <m:t>500</m:t>
        </m:r>
      </m:oMath>
      <w:r>
        <w:t xml:space="preserve">/s, so</w:t>
      </w:r>
      <w:r>
        <w:t xml:space="preserve"> </w:t>
      </w:r>
      <m:oMath>
        <m:sSub>
          <m:e>
            <m:r>
              <m:t>t</m:t>
            </m:r>
          </m:e>
          <m:sub>
            <m:r>
              <m:rPr>
                <m:nor/>
                <m:sty m:val="p"/>
              </m:rPr>
              <m:t>drain</m:t>
            </m:r>
          </m:sub>
        </m:sSub>
        <m:r>
          <m:rPr>
            <m:sty m:val="p"/>
          </m:rPr>
          <m:t>=</m:t>
        </m:r>
        <m:r>
          <m:t>1.5</m:t>
        </m:r>
      </m:oMath>
      <w:r>
        <w:t xml:space="preserve"> </w:t>
      </w:r>
      <w:r>
        <w:t xml:space="preserve">s.</w:t>
      </w:r>
    </w:p>
    <w:p>
      <w:pPr>
        <w:numPr>
          <w:ilvl w:val="0"/>
          <w:numId w:val="1758"/>
        </w:numPr>
        <w:pStyle w:val="Compact"/>
      </w:pPr>
      <w:r>
        <w:t xml:space="preserve">Affected requests:</w:t>
      </w:r>
      <w:r>
        <w:t xml:space="preserve"> </w:t>
      </w:r>
      <m:oMath>
        <m:r>
          <m:t>500</m:t>
        </m:r>
        <m:r>
          <m:rPr>
            <m:sty m:val="p"/>
          </m:rPr>
          <m:t>×</m:t>
        </m:r>
        <m:d>
          <m:dPr>
            <m:begChr m:val="("/>
            <m:endChr m:val=")"/>
            <m:sepChr m:val=""/>
            <m:grow/>
          </m:dPr>
          <m:e>
            <m:r>
              <m:t>1.5</m:t>
            </m:r>
            <m:r>
              <m:rPr>
                <m:sty m:val="p"/>
              </m:rPr>
              <m:t>+</m:t>
            </m:r>
            <m:r>
              <m:t>1.5</m:t>
            </m:r>
          </m:e>
        </m:d>
        <m:r>
          <m:rPr>
            <m:sty m:val="p"/>
          </m:rPr>
          <m:t>=</m:t>
        </m:r>
        <m:r>
          <m:t>1</m:t>
        </m:r>
        <m:r>
          <m:rPr>
            <m:sty m:val="p"/>
          </m:rPr>
          <m:t>,</m:t>
        </m:r>
        <m:r>
          <m:t>500</m:t>
        </m:r>
      </m:oMath>
      <w:r>
        <w:t xml:space="preserve">, which is 5% of the test. Their latencies fall linearly from 1.5 s to about 0.</w:t>
      </w:r>
    </w:p>
    <w:p>
      <w:pPr>
        <w:numPr>
          <w:ilvl w:val="0"/>
          <w:numId w:val="1758"/>
        </w:numPr>
        <w:pStyle w:val="Compact"/>
      </w:pPr>
      <w:r>
        <w:t xml:space="preserve">True p99 is the 300th worst of these:</w:t>
      </w:r>
      <w:r>
        <w:t xml:space="preserve"> </w:t>
      </w:r>
      <m:oMath>
        <m:r>
          <m:t>1.5</m:t>
        </m:r>
        <m:r>
          <m:rPr>
            <m:sty m:val="p"/>
          </m:rPr>
          <m:t>−</m:t>
        </m:r>
        <m:r>
          <m:t>300</m:t>
        </m:r>
        <m:r>
          <m:rPr>
            <m:sty m:val="p"/>
          </m:rPr>
          <m:t>×</m:t>
        </m:r>
        <m:d>
          <m:dPr>
            <m:begChr m:val="("/>
            <m:endChr m:val=")"/>
            <m:sepChr m:val=""/>
            <m:grow/>
          </m:dPr>
          <m:e>
            <m:r>
              <m:t>1.5</m:t>
            </m:r>
            <m:r>
              <m:rPr>
                <m:sty m:val="p"/>
              </m:rPr>
              <m:t>/</m:t>
            </m:r>
            <m:r>
              <m:t>1</m:t>
            </m:r>
            <m:r>
              <m:rPr>
                <m:sty m:val="p"/>
              </m:rPr>
              <m:t>,</m:t>
            </m:r>
            <m:r>
              <m:t>500</m:t>
            </m:r>
          </m:e>
        </m:d>
        <m:r>
          <m:rPr>
            <m:sty m:val="p"/>
          </m:rPr>
          <m:t>=</m:t>
        </m:r>
        <m:r>
          <m:t>1.2</m:t>
        </m:r>
      </m:oMath>
      <w:r>
        <w:t xml:space="preserve"> </w:t>
      </w:r>
      <w:r>
        <w:t xml:space="preserve">s.</w:t>
      </w:r>
    </w:p>
    <w:p>
      <w:pPr>
        <w:pStyle w:val="CalloutExample"/>
      </w:pPr>
      <w:r>
        <w:rPr>
          <w:bCs/>
          <w:b/>
        </w:rPr>
        <w:t xml:space="preserve">Interpretation.</w:t>
      </w:r>
      <w:r>
        <w:t xml:space="preserve"> </w:t>
      </w:r>
      <w:r>
        <w:t xml:space="preserve">The real p99 is 1.2 s; a closed tester reports the ordinary 1–2 ms.</w:t>
      </w:r>
      <w:r>
        <w:t xml:space="preserve"> </w:t>
      </w:r>
      <w:r>
        <w:rPr>
          <w:bCs/>
          <w:b/>
        </w:rPr>
        <w:t xml:space="preserve">Engineering implication.</w:t>
      </w:r>
      <w:r>
        <w:t xml:space="preserve"> </w:t>
      </w:r>
      <w:r>
        <w:t xml:space="preserve">Generators that wait for responses under-report every percentile a stall touches, often by orders of magnitude.</w:t>
      </w:r>
    </w:p>
    <w:p>
      <w:pPr>
        <w:pStyle w:val="BodyText"/>
      </w:pPr>
      <w:r>
        <w:t xml:space="preserve">The following program simulates this exact scenario with three measurement strategies: the naive closed loop, the closed loop with HdrHistogram’s after-the-fact correction (which adds the</w:t>
      </w:r>
      <w:r>
        <w:t xml:space="preserve"> </w:t>
      </w:r>
      <w:r>
        <w:t xml:space="preserve">“</w:t>
      </w:r>
      <w:r>
        <w:t xml:space="preserve">missing</w:t>
      </w:r>
      <w:r>
        <w:t xml:space="preserve">”</w:t>
      </w:r>
      <w:r>
        <w:t xml:space="preserve"> </w:t>
      </w:r>
      <w:r>
        <w:t xml:space="preserve">samples</w:t>
      </w:r>
      <w:r>
        <w:t xml:space="preserve"> </w:t>
      </w:r>
      <m:oMath>
        <m:r>
          <m:t>v</m:t>
        </m:r>
        <m:r>
          <m:rPr>
            <m:sty m:val="p"/>
          </m:rPr>
          <m:t>−</m:t>
        </m:r>
        <m:r>
          <m:t>Δ</m:t>
        </m:r>
        <m:r>
          <m:rPr>
            <m:sty m:val="p"/>
          </m:rPr>
          <m:t>,</m:t>
        </m:r>
        <m:r>
          <m:t>v</m:t>
        </m:r>
        <m:r>
          <m:rPr>
            <m:sty m:val="p"/>
          </m:rPr>
          <m:t>−</m:t>
        </m:r>
        <m:r>
          <m:t>2</m:t>
        </m:r>
        <m:r>
          <m:t>Δ</m:t>
        </m:r>
        <m:r>
          <m:rPr>
            <m:sty m:val="p"/>
          </m:rPr>
          <m:t>,</m:t>
        </m:r>
        <m:r>
          <m:rPr>
            <m:sty m:val="p"/>
          </m:rPr>
          <m:t>…</m:t>
        </m:r>
      </m:oMath>
      <w:r>
        <w:t xml:space="preserve"> </w:t>
      </w:r>
      <w:r>
        <w:t xml:space="preserve">for each long sample</w:t>
      </w:r>
      <w:r>
        <w:t xml:space="preserve"> </w:t>
      </w:r>
      <m:oMath>
        <m:r>
          <m:t>v</m:t>
        </m:r>
      </m:oMath>
      <w:r>
        <w:t xml:space="preserve">), and an open-loop generator that measures from the intended send time.</w:t>
      </w:r>
    </w:p>
    <w:p>
      <w:pPr>
        <w:pStyle w:val="SourceCode"/>
      </w:pPr>
      <w:r>
        <w:rPr>
          <w:rStyle w:val="ImportTok"/>
        </w:rPr>
        <w:t xml:space="preserve">import</w:t>
      </w:r>
      <w:r>
        <w:rPr>
          <w:rStyle w:val="NormalTok"/>
        </w:rPr>
        <w:t xml:space="preserve"> math</w:t>
      </w:r>
      <w:r>
        <w:br/>
      </w:r>
      <w:r>
        <w:rPr>
          <w:rStyle w:val="ImportTok"/>
        </w:rPr>
        <w:t xml:space="preserve">import</w:t>
      </w:r>
      <w:r>
        <w:rPr>
          <w:rStyle w:val="NormalTok"/>
        </w:rPr>
        <w:t xml:space="preserve"> random</w:t>
      </w:r>
      <w:r>
        <w:br/>
      </w:r>
      <w:r>
        <w:br/>
      </w:r>
      <w:r>
        <w:rPr>
          <w:rStyle w:val="NormalTok"/>
        </w:rPr>
        <w:t xml:space="preserve">RATE </w:t>
      </w:r>
      <w:r>
        <w:rPr>
          <w:rStyle w:val="OperatorTok"/>
        </w:rPr>
        <w:t xml:space="preserve">=</w:t>
      </w:r>
      <w:r>
        <w:rPr>
          <w:rStyle w:val="NormalTok"/>
        </w:rPr>
        <w:t xml:space="preserve"> </w:t>
      </w:r>
      <w:r>
        <w:rPr>
          <w:rStyle w:val="DecValTok"/>
        </w:rPr>
        <w:t xml:space="preserve">500</w:t>
      </w:r>
      <w:r>
        <w:rPr>
          <w:rStyle w:val="NormalTok"/>
        </w:rPr>
        <w:t xml:space="preserve">                    </w:t>
      </w:r>
      <w:r>
        <w:rPr>
          <w:rStyle w:val="CommentTok"/>
        </w:rPr>
        <w:t xml:space="preserve"># intended request rate, requests/second</w:t>
      </w:r>
      <w:r>
        <w:br/>
      </w:r>
      <w:r>
        <w:rPr>
          <w:rStyle w:val="NormalTok"/>
        </w:rPr>
        <w:t xml:space="preserve">INTERVAL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RATE           </w:t>
      </w:r>
      <w:r>
        <w:rPr>
          <w:rStyle w:val="CommentTok"/>
        </w:rPr>
        <w:t xml:space="preserve"># 2 ms between scheduled sends</w:t>
      </w:r>
      <w:r>
        <w:br/>
      </w:r>
      <w:r>
        <w:rPr>
          <w:rStyle w:val="NormalTok"/>
        </w:rPr>
        <w:t xml:space="preserve">DURATION </w:t>
      </w:r>
      <w:r>
        <w:rPr>
          <w:rStyle w:val="OperatorTok"/>
        </w:rPr>
        <w:t xml:space="preserve">=</w:t>
      </w:r>
      <w:r>
        <w:rPr>
          <w:rStyle w:val="NormalTok"/>
        </w:rPr>
        <w:t xml:space="preserve"> </w:t>
      </w:r>
      <w:r>
        <w:rPr>
          <w:rStyle w:val="FloatTok"/>
        </w:rPr>
        <w:t xml:space="preserve">60.0</w:t>
      </w:r>
      <w:r>
        <w:rPr>
          <w:rStyle w:val="NormalTok"/>
        </w:rPr>
        <w:t xml:space="preserve">               </w:t>
      </w:r>
      <w:r>
        <w:rPr>
          <w:rStyle w:val="CommentTok"/>
        </w:rPr>
        <w:t xml:space="preserve"># seconds of test</w:t>
      </w:r>
      <w:r>
        <w:br/>
      </w:r>
      <w:r>
        <w:rPr>
          <w:rStyle w:val="NormalTok"/>
        </w:rPr>
        <w:t xml:space="preserve">STALL </w:t>
      </w:r>
      <w:r>
        <w:rPr>
          <w:rStyle w:val="OperatorTok"/>
        </w:rPr>
        <w:t xml:space="preserve">=</w:t>
      </w:r>
      <w:r>
        <w:rPr>
          <w:rStyle w:val="NormalTok"/>
        </w:rPr>
        <w:t xml:space="preserve"> (</w:t>
      </w:r>
      <w:r>
        <w:rPr>
          <w:rStyle w:val="FloatTok"/>
        </w:rPr>
        <w:t xml:space="preserve">30.0</w:t>
      </w:r>
      <w:r>
        <w:rPr>
          <w:rStyle w:val="NormalTok"/>
        </w:rPr>
        <w:t xml:space="preserve">, </w:t>
      </w:r>
      <w:r>
        <w:rPr>
          <w:rStyle w:val="FloatTok"/>
        </w:rPr>
        <w:t xml:space="preserve">31.5</w:t>
      </w:r>
      <w:r>
        <w:rPr>
          <w:rStyle w:val="NormalTok"/>
        </w:rPr>
        <w:t xml:space="preserve">)          </w:t>
      </w:r>
      <w:r>
        <w:rPr>
          <w:rStyle w:val="CommentTok"/>
        </w:rPr>
        <w:t xml:space="preserve"># server freezes for 1.5 s (GC pause, failover...)</w:t>
      </w:r>
      <w:r>
        <w:br/>
      </w:r>
      <w:r>
        <w:br/>
      </w:r>
      <w:r>
        <w:rPr>
          <w:rStyle w:val="KeywordTok"/>
        </w:rPr>
        <w:t xml:space="preserve">class</w:t>
      </w:r>
      <w:r>
        <w:rPr>
          <w:rStyle w:val="NormalTok"/>
        </w:rPr>
        <w:t xml:space="preserve"> Server:</w:t>
      </w:r>
      <w:r>
        <w:br/>
      </w:r>
      <w:r>
        <w:rPr>
          <w:rStyle w:val="NormalTok"/>
        </w:rPr>
        <w:t xml:space="preserve">    </w:t>
      </w:r>
      <w:r>
        <w:rPr>
          <w:rStyle w:val="CommentTok"/>
        </w:rPr>
        <w:t xml:space="preserve">"""Single-threaded FIFO server; service time ~1 ms; one 1.5 s stall."""</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seed</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.rng </w:t>
      </w:r>
      <w:r>
        <w:rPr>
          <w:rStyle w:val="OperatorTok"/>
        </w:rPr>
        <w:t xml:space="preserve">=</w:t>
      </w:r>
      <w:r>
        <w:rPr>
          <w:rStyle w:val="NormalTok"/>
        </w:rPr>
        <w:t xml:space="preserve"> random.Random(seed)</w:t>
      </w:r>
      <w:r>
        <w:br/>
      </w:r>
      <w:r>
        <w:rPr>
          <w:rStyle w:val="NormalTok"/>
        </w:rPr>
        <w:t xml:space="preserve">        </w:t>
      </w:r>
      <w:r>
        <w:rPr>
          <w:rStyle w:val="VariableTok"/>
        </w:rPr>
        <w:t xml:space="preserve">self</w:t>
      </w:r>
      <w:r>
        <w:rPr>
          <w:rStyle w:val="NormalTok"/>
        </w:rPr>
        <w:t xml:space="preserve">.free_at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KeywordTok"/>
        </w:rPr>
        <w:t xml:space="preserve">def</w:t>
      </w:r>
      <w:r>
        <w:rPr>
          <w:rStyle w:val="NormalTok"/>
        </w:rPr>
        <w:t xml:space="preserve"> submit(</w:t>
      </w:r>
      <w:r>
        <w:rPr>
          <w:rStyle w:val="VariableTok"/>
        </w:rPr>
        <w:t xml:space="preserve">self</w:t>
      </w:r>
      <w:r>
        <w:rPr>
          <w:rStyle w:val="NormalTok"/>
        </w:rPr>
        <w:t xml:space="preserve">, t):</w:t>
      </w:r>
      <w:r>
        <w:br/>
      </w:r>
      <w:r>
        <w:rPr>
          <w:rStyle w:val="NormalTok"/>
        </w:rPr>
        <w:t xml:space="preserve">        start </w:t>
      </w:r>
      <w:r>
        <w:rPr>
          <w:rStyle w:val="OperatorTok"/>
        </w:rPr>
        <w:t xml:space="preserve">=</w:t>
      </w:r>
      <w:r>
        <w:rPr>
          <w:rStyle w:val="NormalTok"/>
        </w:rPr>
        <w:t xml:space="preserve"> </w:t>
      </w:r>
      <w:r>
        <w:rPr>
          <w:rStyle w:val="BuiltInTok"/>
        </w:rPr>
        <w:t xml:space="preserve">max</w:t>
      </w:r>
      <w:r>
        <w:rPr>
          <w:rStyle w:val="NormalTok"/>
        </w:rPr>
        <w:t xml:space="preserve">(t, </w:t>
      </w:r>
      <w:r>
        <w:rPr>
          <w:rStyle w:val="VariableTok"/>
        </w:rPr>
        <w:t xml:space="preserve">self</w:t>
      </w:r>
      <w:r>
        <w:rPr>
          <w:rStyle w:val="NormalTok"/>
        </w:rPr>
        <w:t xml:space="preserve">.free_at)</w:t>
      </w:r>
      <w:r>
        <w:br/>
      </w:r>
      <w:r>
        <w:rPr>
          <w:rStyle w:val="NormalTok"/>
        </w:rPr>
        <w:t xml:space="preserve">        </w:t>
      </w:r>
      <w:r>
        <w:rPr>
          <w:rStyle w:val="ControlFlowTok"/>
        </w:rPr>
        <w:t xml:space="preserve">if</w:t>
      </w:r>
      <w:r>
        <w:rPr>
          <w:rStyle w:val="NormalTok"/>
        </w:rPr>
        <w:t xml:space="preserve"> STALL[</w:t>
      </w:r>
      <w:r>
        <w:rPr>
          <w:rStyle w:val="DecValTok"/>
        </w:rPr>
        <w:t xml:space="preserve">0</w:t>
      </w:r>
      <w:r>
        <w:rPr>
          <w:rStyle w:val="NormalTok"/>
        </w:rPr>
        <w:t xml:space="preserve">] </w:t>
      </w:r>
      <w:r>
        <w:rPr>
          <w:rStyle w:val="OperatorTok"/>
        </w:rPr>
        <w:t xml:space="preserve">&lt;=</w:t>
      </w:r>
      <w:r>
        <w:rPr>
          <w:rStyle w:val="NormalTok"/>
        </w:rPr>
        <w:t xml:space="preserve"> start </w:t>
      </w:r>
      <w:r>
        <w:rPr>
          <w:rStyle w:val="OperatorTok"/>
        </w:rPr>
        <w:t xml:space="preserve">&lt;</w:t>
      </w:r>
      <w:r>
        <w:rPr>
          <w:rStyle w:val="NormalTok"/>
        </w:rPr>
        <w:t xml:space="preserve"> STALL[</w:t>
      </w:r>
      <w:r>
        <w:rPr>
          <w:rStyle w:val="DecValTok"/>
        </w:rPr>
        <w:t xml:space="preserve">1</w:t>
      </w:r>
      <w:r>
        <w:rPr>
          <w:rStyle w:val="NormalTok"/>
        </w:rPr>
        <w:t xml:space="preserve">]:          </w:t>
      </w:r>
      <w:r>
        <w:rPr>
          <w:rStyle w:val="CommentTok"/>
        </w:rPr>
        <w:t xml:space="preserve"># frozen: wait for the stall to end</w:t>
      </w:r>
      <w:r>
        <w:br/>
      </w:r>
      <w:r>
        <w:rPr>
          <w:rStyle w:val="NormalTok"/>
        </w:rPr>
        <w:t xml:space="preserve">            start </w:t>
      </w:r>
      <w:r>
        <w:rPr>
          <w:rStyle w:val="OperatorTok"/>
        </w:rPr>
        <w:t xml:space="preserve">=</w:t>
      </w:r>
      <w:r>
        <w:rPr>
          <w:rStyle w:val="NormalTok"/>
        </w:rPr>
        <w:t xml:space="preserve"> STALL[</w:t>
      </w:r>
      <w:r>
        <w:rPr>
          <w:rStyle w:val="DecValTok"/>
        </w:rPr>
        <w:t xml:space="preserve">1</w:t>
      </w:r>
      <w:r>
        <w:rPr>
          <w:rStyle w:val="NormalTok"/>
        </w:rPr>
        <w:t xml:space="preserve">]</w:t>
      </w:r>
      <w:r>
        <w:br/>
      </w:r>
      <w:r>
        <w:rPr>
          <w:rStyle w:val="NormalTok"/>
        </w:rPr>
        <w:t xml:space="preserve">        service </w:t>
      </w:r>
      <w:r>
        <w:rPr>
          <w:rStyle w:val="OperatorTok"/>
        </w:rPr>
        <w:t xml:space="preserve">=</w:t>
      </w:r>
      <w:r>
        <w:rPr>
          <w:rStyle w:val="NormalTok"/>
        </w:rPr>
        <w:t xml:space="preserve"> </w:t>
      </w:r>
      <w:r>
        <w:rPr>
          <w:rStyle w:val="FloatTok"/>
        </w:rPr>
        <w:t xml:space="preserve">0.0008</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.rng.expovariate(</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0.0002</w:t>
      </w:r>
      <w:r>
        <w:rPr>
          <w:rStyle w:val="NormalTok"/>
        </w:rPr>
        <w:t xml:space="preserve">)</w:t>
      </w:r>
      <w:r>
        <w:br/>
      </w:r>
      <w:r>
        <w:rPr>
          <w:rStyle w:val="NormalTok"/>
        </w:rPr>
        <w:t xml:space="preserve">        </w:t>
      </w:r>
      <w:r>
        <w:rPr>
          <w:rStyle w:val="ControlFlowTok"/>
        </w:rPr>
        <w:t xml:space="preserve">if</w:t>
      </w:r>
      <w:r>
        <w:rPr>
          <w:rStyle w:val="NormalTok"/>
        </w:rPr>
        <w:t xml:space="preserve"> start </w:t>
      </w:r>
      <w:r>
        <w:rPr>
          <w:rStyle w:val="OperatorTok"/>
        </w:rPr>
        <w:t xml:space="preserve">&lt;</w:t>
      </w:r>
      <w:r>
        <w:rPr>
          <w:rStyle w:val="NormalTok"/>
        </w:rPr>
        <w:t xml:space="preserve"> STALL[</w:t>
      </w:r>
      <w:r>
        <w:rPr>
          <w:rStyle w:val="DecValTok"/>
        </w:rPr>
        <w:t xml:space="preserve">0</w:t>
      </w:r>
      <w:r>
        <w:rPr>
          <w:rStyle w:val="NormalTok"/>
        </w:rPr>
        <w:t xml:space="preserve">] </w:t>
      </w:r>
      <w:r>
        <w:rPr>
          <w:rStyle w:val="OperatorTok"/>
        </w:rPr>
        <w:t xml:space="preserve">&lt;</w:t>
      </w:r>
      <w:r>
        <w:rPr>
          <w:rStyle w:val="NormalTok"/>
        </w:rPr>
        <w:t xml:space="preserve"> start </w:t>
      </w:r>
      <w:r>
        <w:rPr>
          <w:rStyle w:val="OperatorTok"/>
        </w:rPr>
        <w:t xml:space="preserve">+</w:t>
      </w:r>
      <w:r>
        <w:rPr>
          <w:rStyle w:val="NormalTok"/>
        </w:rPr>
        <w:t xml:space="preserve"> service:    </w:t>
      </w:r>
      <w:r>
        <w:rPr>
          <w:rStyle w:val="CommentTok"/>
        </w:rPr>
        <w:t xml:space="preserve"># stall hits mid-request</w:t>
      </w:r>
      <w:r>
        <w:br/>
      </w:r>
      <w:r>
        <w:rPr>
          <w:rStyle w:val="NormalTok"/>
        </w:rPr>
        <w:t xml:space="preserve">            service </w:t>
      </w:r>
      <w:r>
        <w:rPr>
          <w:rStyle w:val="OperatorTok"/>
        </w:rPr>
        <w:t xml:space="preserve">+=</w:t>
      </w:r>
      <w:r>
        <w:rPr>
          <w:rStyle w:val="NormalTok"/>
        </w:rPr>
        <w:t xml:space="preserve"> STALL[</w:t>
      </w:r>
      <w:r>
        <w:rPr>
          <w:rStyle w:val="DecValTok"/>
        </w:rPr>
        <w:t xml:space="preserve">1</w:t>
      </w:r>
      <w:r>
        <w:rPr>
          <w:rStyle w:val="NormalTok"/>
        </w:rPr>
        <w:t xml:space="preserve">] </w:t>
      </w:r>
      <w:r>
        <w:rPr>
          <w:rStyle w:val="OperatorTok"/>
        </w:rPr>
        <w:t xml:space="preserve">-</w:t>
      </w:r>
      <w:r>
        <w:rPr>
          <w:rStyle w:val="NormalTok"/>
        </w:rPr>
        <w:t xml:space="preserve"> STALL[</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.free_at </w:t>
      </w:r>
      <w:r>
        <w:rPr>
          <w:rStyle w:val="OperatorTok"/>
        </w:rPr>
        <w:t xml:space="preserve">=</w:t>
      </w:r>
      <w:r>
        <w:rPr>
          <w:rStyle w:val="NormalTok"/>
        </w:rPr>
        <w:t xml:space="preserve"> start </w:t>
      </w:r>
      <w:r>
        <w:rPr>
          <w:rStyle w:val="OperatorTok"/>
        </w:rPr>
        <w:t xml:space="preserve">+</w:t>
      </w:r>
      <w:r>
        <w:rPr>
          <w:rStyle w:val="NormalTok"/>
        </w:rPr>
        <w:t xml:space="preserve"> service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.free_at                       </w:t>
      </w:r>
      <w:r>
        <w:rPr>
          <w:rStyle w:val="CommentTok"/>
        </w:rPr>
        <w:t xml:space="preserve"># completion time</w:t>
      </w:r>
      <w:r>
        <w:br/>
      </w:r>
      <w:r>
        <w:br/>
      </w:r>
      <w:r>
        <w:rPr>
          <w:rStyle w:val="KeywordTok"/>
        </w:rPr>
        <w:t xml:space="preserve">def</w:t>
      </w:r>
      <w:r>
        <w:rPr>
          <w:rStyle w:val="NormalTok"/>
        </w:rPr>
        <w:t xml:space="preserve"> closed_loop():</w:t>
      </w:r>
      <w:r>
        <w:br/>
      </w:r>
      <w:r>
        <w:rPr>
          <w:rStyle w:val="NormalTok"/>
        </w:rPr>
        <w:t xml:space="preserve">    </w:t>
      </w:r>
      <w:r>
        <w:rPr>
          <w:rStyle w:val="CommentTok"/>
        </w:rPr>
        <w:t xml:space="preserve">"""Naive tester: one connection; waits for each reply before sending the</w:t>
      </w:r>
      <w:r>
        <w:br/>
      </w:r>
      <w:r>
        <w:rPr>
          <w:rStyle w:val="CommentTok"/>
        </w:rPr>
        <w:t xml:space="preserve">    next; measures from the actual send time (like wrk or a simple script)."""</w:t>
      </w:r>
      <w:r>
        <w:br/>
      </w:r>
      <w:r>
        <w:rPr>
          <w:rStyle w:val="NormalTok"/>
        </w:rPr>
        <w:t xml:space="preserve">    server, t, lat </w:t>
      </w:r>
      <w:r>
        <w:rPr>
          <w:rStyle w:val="OperatorTok"/>
        </w:rPr>
        <w:t xml:space="preserve">=</w:t>
      </w:r>
      <w:r>
        <w:rPr>
          <w:rStyle w:val="NormalTok"/>
        </w:rPr>
        <w:t xml:space="preserve"> Server(), </w:t>
      </w:r>
      <w:r>
        <w:rPr>
          <w:rStyle w:val="FloatTok"/>
        </w:rPr>
        <w:t xml:space="preserve">0.0</w:t>
      </w:r>
      <w:r>
        <w:rPr>
          <w:rStyle w:val="NormalTok"/>
        </w:rPr>
        <w:t xml:space="preserve">, []</w:t>
      </w:r>
      <w:r>
        <w:br/>
      </w:r>
      <w:r>
        <w:rPr>
          <w:rStyle w:val="NormalTok"/>
        </w:rPr>
        <w:t xml:space="preserve">    </w:t>
      </w:r>
      <w:r>
        <w:rPr>
          <w:rStyle w:val="ControlFlowTok"/>
        </w:rPr>
        <w:t xml:space="preserve">while</w:t>
      </w:r>
      <w:r>
        <w:rPr>
          <w:rStyle w:val="NormalTok"/>
        </w:rPr>
        <w:t xml:space="preserve"> t </w:t>
      </w:r>
      <w:r>
        <w:rPr>
          <w:rStyle w:val="OperatorTok"/>
        </w:rPr>
        <w:t xml:space="preserve">&lt;</w:t>
      </w:r>
      <w:r>
        <w:rPr>
          <w:rStyle w:val="NormalTok"/>
        </w:rPr>
        <w:t xml:space="preserve"> DURATION:</w:t>
      </w:r>
      <w:r>
        <w:br/>
      </w:r>
      <w:r>
        <w:rPr>
          <w:rStyle w:val="NormalTok"/>
        </w:rPr>
        <w:t xml:space="preserve">        done </w:t>
      </w:r>
      <w:r>
        <w:rPr>
          <w:rStyle w:val="OperatorTok"/>
        </w:rPr>
        <w:t xml:space="preserve">=</w:t>
      </w:r>
      <w:r>
        <w:rPr>
          <w:rStyle w:val="NormalTok"/>
        </w:rPr>
        <w:t xml:space="preserve"> server.submit(t)</w:t>
      </w:r>
      <w:r>
        <w:br/>
      </w:r>
      <w:r>
        <w:rPr>
          <w:rStyle w:val="NormalTok"/>
        </w:rPr>
        <w:t xml:space="preserve">        lat.append(done </w:t>
      </w:r>
      <w:r>
        <w:rPr>
          <w:rStyle w:val="OperatorTok"/>
        </w:rPr>
        <w:t xml:space="preserve">-</w:t>
      </w:r>
      <w:r>
        <w:rPr>
          <w:rStyle w:val="NormalTok"/>
        </w:rPr>
        <w:t xml:space="preserve"> t)</w:t>
      </w:r>
      <w:r>
        <w:br/>
      </w:r>
      <w:r>
        <w:rPr>
          <w:rStyle w:val="NormalTok"/>
        </w:rPr>
        <w:t xml:space="preserve">        t </w:t>
      </w:r>
      <w:r>
        <w:rPr>
          <w:rStyle w:val="OperatorTok"/>
        </w:rPr>
        <w:t xml:space="preserve">=</w:t>
      </w:r>
      <w:r>
        <w:rPr>
          <w:rStyle w:val="NormalTok"/>
        </w:rPr>
        <w:t xml:space="preserve"> </w:t>
      </w:r>
      <w:r>
        <w:rPr>
          <w:rStyle w:val="BuiltInTok"/>
        </w:rPr>
        <w:t xml:space="preserve">max</w:t>
      </w:r>
      <w:r>
        <w:rPr>
          <w:rStyle w:val="NormalTok"/>
        </w:rPr>
        <w:t xml:space="preserve">(t </w:t>
      </w:r>
      <w:r>
        <w:rPr>
          <w:rStyle w:val="OperatorTok"/>
        </w:rPr>
        <w:t xml:space="preserve">+</w:t>
      </w:r>
      <w:r>
        <w:rPr>
          <w:rStyle w:val="NormalTok"/>
        </w:rPr>
        <w:t xml:space="preserve"> INTERVAL, done)               </w:t>
      </w:r>
      <w:r>
        <w:rPr>
          <w:rStyle w:val="CommentTok"/>
        </w:rPr>
        <w:t xml:space="preserve"># late? just carry on from now</w:t>
      </w:r>
      <w:r>
        <w:br/>
      </w:r>
      <w:r>
        <w:rPr>
          <w:rStyle w:val="NormalTok"/>
        </w:rPr>
        <w:t xml:space="preserve">    </w:t>
      </w:r>
      <w:r>
        <w:rPr>
          <w:rStyle w:val="ControlFlowTok"/>
        </w:rPr>
        <w:t xml:space="preserve">return</w:t>
      </w:r>
      <w:r>
        <w:rPr>
          <w:rStyle w:val="NormalTok"/>
        </w:rPr>
        <w:t xml:space="preserve"> lat</w:t>
      </w:r>
      <w:r>
        <w:br/>
      </w:r>
      <w:r>
        <w:br/>
      </w:r>
      <w:r>
        <w:rPr>
          <w:rStyle w:val="KeywordTok"/>
        </w:rPr>
        <w:t xml:space="preserve">def</w:t>
      </w:r>
      <w:r>
        <w:rPr>
          <w:rStyle w:val="NormalTok"/>
        </w:rPr>
        <w:t xml:space="preserve"> corrected(lat):</w:t>
      </w:r>
      <w:r>
        <w:br/>
      </w:r>
      <w:r>
        <w:rPr>
          <w:rStyle w:val="NormalTok"/>
        </w:rPr>
        <w:t xml:space="preserve">    </w:t>
      </w:r>
      <w:r>
        <w:rPr>
          <w:rStyle w:val="CommentTok"/>
        </w:rPr>
        <w:t xml:space="preserve">"""HdrHistogram-style correction: a reply that took v &gt; INTERVAL implies</w:t>
      </w:r>
      <w:r>
        <w:br/>
      </w:r>
      <w:r>
        <w:rPr>
          <w:rStyle w:val="CommentTok"/>
        </w:rPr>
        <w:t xml:space="preserve">    missed sends that would have seen v - INTERVAL, v - 2*INTERVAL, ..."""</w:t>
      </w:r>
      <w:r>
        <w:br/>
      </w:r>
      <w:r>
        <w:rPr>
          <w:rStyle w:val="NormalTok"/>
        </w:rPr>
        <w:t xml:space="preserve">    out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lat:</w:t>
      </w:r>
      <w:r>
        <w:br/>
      </w:r>
      <w:r>
        <w:rPr>
          <w:rStyle w:val="NormalTok"/>
        </w:rPr>
        <w:t xml:space="preserve">        out.append(v)</w:t>
      </w:r>
      <w:r>
        <w:br/>
      </w:r>
      <w:r>
        <w:rPr>
          <w:rStyle w:val="NormalTok"/>
        </w:rPr>
        <w:t xml:space="preserve">        missing </w:t>
      </w:r>
      <w:r>
        <w:rPr>
          <w:rStyle w:val="OperatorTok"/>
        </w:rPr>
        <w:t xml:space="preserve">=</w:t>
      </w:r>
      <w:r>
        <w:rPr>
          <w:rStyle w:val="NormalTok"/>
        </w:rPr>
        <w:t xml:space="preserve"> v </w:t>
      </w:r>
      <w:r>
        <w:rPr>
          <w:rStyle w:val="OperatorTok"/>
        </w:rPr>
        <w:t xml:space="preserve">-</w:t>
      </w:r>
      <w:r>
        <w:rPr>
          <w:rStyle w:val="NormalTok"/>
        </w:rPr>
        <w:t xml:space="preserve"> INTERVAL</w:t>
      </w:r>
      <w:r>
        <w:br/>
      </w:r>
      <w:r>
        <w:rPr>
          <w:rStyle w:val="NormalTok"/>
        </w:rPr>
        <w:t xml:space="preserve">        </w:t>
      </w:r>
      <w:r>
        <w:rPr>
          <w:rStyle w:val="ControlFlowTok"/>
        </w:rPr>
        <w:t xml:space="preserve">while</w:t>
      </w:r>
      <w:r>
        <w:rPr>
          <w:rStyle w:val="NormalTok"/>
        </w:rPr>
        <w:t xml:space="preserve"> missing </w:t>
      </w:r>
      <w:r>
        <w:rPr>
          <w:rStyle w:val="OperatorTok"/>
        </w:rPr>
        <w:t xml:space="preserve">&gt;</w:t>
      </w:r>
      <w:r>
        <w:rPr>
          <w:rStyle w:val="NormalTok"/>
        </w:rPr>
        <w:t xml:space="preserve"> INTERVAL:</w:t>
      </w:r>
      <w:r>
        <w:br/>
      </w:r>
      <w:r>
        <w:rPr>
          <w:rStyle w:val="NormalTok"/>
        </w:rPr>
        <w:t xml:space="preserve">            out.append(missing)</w:t>
      </w:r>
      <w:r>
        <w:br/>
      </w:r>
      <w:r>
        <w:rPr>
          <w:rStyle w:val="NormalTok"/>
        </w:rPr>
        <w:t xml:space="preserve">            missing </w:t>
      </w:r>
      <w:r>
        <w:rPr>
          <w:rStyle w:val="OperatorTok"/>
        </w:rPr>
        <w:t xml:space="preserve">-=</w:t>
      </w:r>
      <w:r>
        <w:rPr>
          <w:rStyle w:val="NormalTok"/>
        </w:rPr>
        <w:t xml:space="preserve"> INTERVAL</w:t>
      </w:r>
      <w:r>
        <w:br/>
      </w:r>
      <w:r>
        <w:rPr>
          <w:rStyle w:val="NormalTok"/>
        </w:rPr>
        <w:t xml:space="preserve">    </w:t>
      </w:r>
      <w:r>
        <w:rPr>
          <w:rStyle w:val="ControlFlowTok"/>
        </w:rPr>
        <w:t xml:space="preserve">return</w:t>
      </w:r>
      <w:r>
        <w:rPr>
          <w:rStyle w:val="NormalTok"/>
        </w:rPr>
        <w:t xml:space="preserve"> out</w:t>
      </w:r>
      <w:r>
        <w:br/>
      </w:r>
      <w:r>
        <w:br/>
      </w:r>
      <w:r>
        <w:rPr>
          <w:rStyle w:val="KeywordTok"/>
        </w:rPr>
        <w:t xml:space="preserve">def</w:t>
      </w:r>
      <w:r>
        <w:rPr>
          <w:rStyle w:val="NormalTok"/>
        </w:rPr>
        <w:t xml:space="preserve"> open_loop():</w:t>
      </w:r>
      <w:r>
        <w:br/>
      </w:r>
      <w:r>
        <w:rPr>
          <w:rStyle w:val="NormalTok"/>
        </w:rPr>
        <w:t xml:space="preserve">    </w:t>
      </w:r>
      <w:r>
        <w:rPr>
          <w:rStyle w:val="CommentTok"/>
        </w:rPr>
        <w:t xml:space="preserve">"""Correct tester: sends on a fixed schedule whatever happens and measures</w:t>
      </w:r>
      <w:r>
        <w:br/>
      </w:r>
      <w:r>
        <w:rPr>
          <w:rStyle w:val="CommentTok"/>
        </w:rPr>
        <w:t xml:space="preserve">    from the *intended* send time (like wrk2, or k6 constant-arrival-rate)."""</w:t>
      </w:r>
      <w:r>
        <w:br/>
      </w:r>
      <w:r>
        <w:rPr>
          <w:rStyle w:val="NormalTok"/>
        </w:rPr>
        <w:t xml:space="preserve">    server, lat </w:t>
      </w:r>
      <w:r>
        <w:rPr>
          <w:rStyle w:val="OperatorTok"/>
        </w:rPr>
        <w:t xml:space="preserve">=</w:t>
      </w:r>
      <w:r>
        <w:rPr>
          <w:rStyle w:val="NormalTok"/>
        </w:rPr>
        <w:t xml:space="preserve"> Server(),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int</w:t>
      </w:r>
      <w:r>
        <w:rPr>
          <w:rStyle w:val="NormalTok"/>
        </w:rPr>
        <w:t xml:space="preserve">(DURATION </w:t>
      </w:r>
      <w:r>
        <w:rPr>
          <w:rStyle w:val="OperatorTok"/>
        </w:rPr>
        <w:t xml:space="preserve">*</w:t>
      </w:r>
      <w:r>
        <w:rPr>
          <w:rStyle w:val="NormalTok"/>
        </w:rPr>
        <w:t xml:space="preserve"> RATE)):</w:t>
      </w:r>
      <w:r>
        <w:br/>
      </w:r>
      <w:r>
        <w:rPr>
          <w:rStyle w:val="NormalTok"/>
        </w:rPr>
        <w:t xml:space="preserve">        t </w:t>
      </w:r>
      <w:r>
        <w:rPr>
          <w:rStyle w:val="OperatorTok"/>
        </w:rPr>
        <w:t xml:space="preserve">=</w:t>
      </w:r>
      <w:r>
        <w:rPr>
          <w:rStyle w:val="NormalTok"/>
        </w:rPr>
        <w:t xml:space="preserve"> i </w:t>
      </w:r>
      <w:r>
        <w:rPr>
          <w:rStyle w:val="OperatorTok"/>
        </w:rPr>
        <w:t xml:space="preserve">*</w:t>
      </w:r>
      <w:r>
        <w:rPr>
          <w:rStyle w:val="NormalTok"/>
        </w:rPr>
        <w:t xml:space="preserve"> INTERVAL</w:t>
      </w:r>
      <w:r>
        <w:br/>
      </w:r>
      <w:r>
        <w:rPr>
          <w:rStyle w:val="NormalTok"/>
        </w:rPr>
        <w:t xml:space="preserve">        lat.append(server.submit(t) </w:t>
      </w:r>
      <w:r>
        <w:rPr>
          <w:rStyle w:val="OperatorTok"/>
        </w:rPr>
        <w:t xml:space="preserve">-</w:t>
      </w:r>
      <w:r>
        <w:rPr>
          <w:rStyle w:val="NormalTok"/>
        </w:rPr>
        <w:t xml:space="preserve"> t)</w:t>
      </w:r>
      <w:r>
        <w:br/>
      </w:r>
      <w:r>
        <w:rPr>
          <w:rStyle w:val="NormalTok"/>
        </w:rPr>
        <w:t xml:space="preserve">    </w:t>
      </w:r>
      <w:r>
        <w:rPr>
          <w:rStyle w:val="ControlFlowTok"/>
        </w:rPr>
        <w:t xml:space="preserve">return</w:t>
      </w:r>
      <w:r>
        <w:rPr>
          <w:rStyle w:val="NormalTok"/>
        </w:rPr>
        <w:t xml:space="preserve"> lat</w:t>
      </w:r>
      <w:r>
        <w:br/>
      </w:r>
      <w:r>
        <w:br/>
      </w:r>
      <w:r>
        <w:rPr>
          <w:rStyle w:val="KeywordTok"/>
        </w:rPr>
        <w:t xml:space="preserve">def</w:t>
      </w:r>
      <w:r>
        <w:rPr>
          <w:rStyle w:val="NormalTok"/>
        </w:rPr>
        <w:t xml:space="preserve"> pct(sorted_ms, q):</w:t>
      </w:r>
      <w:r>
        <w:br/>
      </w:r>
      <w:r>
        <w:rPr>
          <w:rStyle w:val="NormalTok"/>
        </w:rPr>
        <w:t xml:space="preserve">    </w:t>
      </w:r>
      <w:r>
        <w:rPr>
          <w:rStyle w:val="ControlFlowTok"/>
        </w:rPr>
        <w:t xml:space="preserve">return</w:t>
      </w:r>
      <w:r>
        <w:rPr>
          <w:rStyle w:val="NormalTok"/>
        </w:rPr>
        <w:t xml:space="preserve"> sorted_ms[</w:t>
      </w:r>
      <w:r>
        <w:rPr>
          <w:rStyle w:val="BuiltInTok"/>
        </w:rPr>
        <w:t xml:space="preserve">max</w:t>
      </w:r>
      <w:r>
        <w:rPr>
          <w:rStyle w:val="NormalTok"/>
        </w:rPr>
        <w:t xml:space="preserve">(math.ceil(q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(sorted_ms)),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'tester'</w:t>
      </w:r>
      <w:r>
        <w:rPr>
          <w:rStyle w:val="SpecialCharTok"/>
        </w:rPr>
        <w:t xml:space="preserve">:&lt;22}{</w:t>
      </w:r>
      <w:r>
        <w:rPr>
          <w:rStyle w:val="StringTok"/>
        </w:rPr>
        <w:t xml:space="preserve">'count'</w:t>
      </w:r>
      <w:r>
        <w:rPr>
          <w:rStyle w:val="SpecialCharTok"/>
        </w:rPr>
        <w:t xml:space="preserve">:&gt;7}{</w:t>
      </w:r>
      <w:r>
        <w:rPr>
          <w:rStyle w:val="StringTok"/>
        </w:rPr>
        <w:t xml:space="preserve">'p50'</w:t>
      </w:r>
      <w:r>
        <w:rPr>
          <w:rStyle w:val="SpecialCharTok"/>
        </w:rPr>
        <w:t xml:space="preserve">:&gt;8}{</w:t>
      </w:r>
      <w:r>
        <w:rPr>
          <w:rStyle w:val="StringTok"/>
        </w:rPr>
        <w:t xml:space="preserve">'p90'</w:t>
      </w:r>
      <w:r>
        <w:rPr>
          <w:rStyle w:val="SpecialCharTok"/>
        </w:rPr>
        <w:t xml:space="preserve">:&gt;8}{</w:t>
      </w:r>
      <w:r>
        <w:rPr>
          <w:rStyle w:val="StringTok"/>
        </w:rPr>
        <w:t xml:space="preserve">'p99'</w:t>
      </w:r>
      <w:r>
        <w:rPr>
          <w:rStyle w:val="SpecialCharTok"/>
        </w:rPr>
        <w:t xml:space="preserve">:&gt;8}</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StringTok"/>
        </w:rPr>
        <w:t xml:space="preserve">'p99.9'</w:t>
      </w:r>
      <w:r>
        <w:rPr>
          <w:rStyle w:val="SpecialCharTok"/>
        </w:rPr>
        <w:t xml:space="preserve">:&gt;8}{</w:t>
      </w:r>
      <w:r>
        <w:rPr>
          <w:rStyle w:val="StringTok"/>
        </w:rPr>
        <w:t xml:space="preserve">'max'</w:t>
      </w:r>
      <w:r>
        <w:rPr>
          <w:rStyle w:val="SpecialCharTok"/>
        </w:rPr>
        <w:t xml:space="preserve">:&gt;8}</w:t>
      </w:r>
      <w:r>
        <w:rPr>
          <w:rStyle w:val="SpecialStringTok"/>
        </w:rPr>
        <w:t xml:space="preserve">   (ms)"</w:t>
      </w:r>
      <w:r>
        <w:rPr>
          <w:rStyle w:val="NormalTok"/>
        </w:rPr>
        <w:t xml:space="preserve">)</w:t>
      </w:r>
      <w:r>
        <w:br/>
      </w:r>
      <w:r>
        <w:rPr>
          <w:rStyle w:val="ControlFlowTok"/>
        </w:rPr>
        <w:t xml:space="preserve">for</w:t>
      </w:r>
      <w:r>
        <w:rPr>
          <w:rStyle w:val="NormalTok"/>
        </w:rPr>
        <w:t xml:space="preserve"> name, lat </w:t>
      </w:r>
      <w:r>
        <w:rPr>
          <w:rStyle w:val="KeywordTok"/>
        </w:rPr>
        <w:t xml:space="preserve">in</w:t>
      </w:r>
      <w:r>
        <w:rPr>
          <w:rStyle w:val="NormalTok"/>
        </w:rPr>
        <w:t xml:space="preserve"> ((</w:t>
      </w:r>
      <w:r>
        <w:rPr>
          <w:rStyle w:val="StringTok"/>
        </w:rPr>
        <w:t xml:space="preserve">"closed loop (naive)"</w:t>
      </w:r>
      <w:r>
        <w:rPr>
          <w:rStyle w:val="NormalTok"/>
        </w:rPr>
        <w:t xml:space="preserve">, closed_loop()),</w:t>
      </w:r>
      <w:r>
        <w:br/>
      </w:r>
      <w:r>
        <w:rPr>
          <w:rStyle w:val="NormalTok"/>
        </w:rPr>
        <w:t xml:space="preserve">                  (</w:t>
      </w:r>
      <w:r>
        <w:rPr>
          <w:rStyle w:val="StringTok"/>
        </w:rPr>
        <w:t xml:space="preserve">"closed + correction"</w:t>
      </w:r>
      <w:r>
        <w:rPr>
          <w:rStyle w:val="NormalTok"/>
        </w:rPr>
        <w:t xml:space="preserve">, corrected(closed_loop())),</w:t>
      </w:r>
      <w:r>
        <w:br/>
      </w:r>
      <w:r>
        <w:rPr>
          <w:rStyle w:val="NormalTok"/>
        </w:rPr>
        <w:t xml:space="preserve">                  (</w:t>
      </w:r>
      <w:r>
        <w:rPr>
          <w:rStyle w:val="StringTok"/>
        </w:rPr>
        <w:t xml:space="preserve">"open loop (truth)"</w:t>
      </w:r>
      <w:r>
        <w:rPr>
          <w:rStyle w:val="NormalTok"/>
        </w:rPr>
        <w:t xml:space="preserve">, open_loop())):</w:t>
      </w:r>
      <w:r>
        <w:br/>
      </w:r>
      <w:r>
        <w:rPr>
          <w:rStyle w:val="NormalTok"/>
        </w:rPr>
        <w:t xml:space="preserve">    ms </w:t>
      </w:r>
      <w:r>
        <w:rPr>
          <w:rStyle w:val="OperatorTok"/>
        </w:rPr>
        <w:t xml:space="preserve">=</w:t>
      </w:r>
      <w:r>
        <w:rPr>
          <w:rStyle w:val="NormalTok"/>
        </w:rPr>
        <w:t xml:space="preserve"> </w:t>
      </w:r>
      <w:r>
        <w:rPr>
          <w:rStyle w:val="BuiltInTok"/>
        </w:rPr>
        <w:t xml:space="preserve">sorted</w:t>
      </w:r>
      <w:r>
        <w:rPr>
          <w:rStyle w:val="NormalTok"/>
        </w:rPr>
        <w:t xml:space="preserve">(v </w:t>
      </w:r>
      <w:r>
        <w:rPr>
          <w:rStyle w:val="OperatorTok"/>
        </w:rPr>
        <w:t xml:space="preserve">*</w:t>
      </w:r>
      <w:r>
        <w:rPr>
          <w:rStyle w:val="NormalTok"/>
        </w:rPr>
        <w:t xml:space="preserve"> </w:t>
      </w:r>
      <w:r>
        <w:rPr>
          <w:rStyle w:val="DecValTok"/>
        </w:rPr>
        <w:t xml:space="preserve">1000</w:t>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lat)</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:&lt;22}{</w:t>
      </w:r>
      <w:r>
        <w:rPr>
          <w:rStyle w:val="BuiltInTok"/>
        </w:rPr>
        <w:t xml:space="preserve">len</w:t>
      </w:r>
      <w:r>
        <w:rPr>
          <w:rStyle w:val="NormalTok"/>
        </w:rPr>
        <w:t xml:space="preserve">(ms)</w:t>
      </w:r>
      <w:r>
        <w:rPr>
          <w:rStyle w:val="SpecialCharTok"/>
        </w:rPr>
        <w:t xml:space="preserve">:&gt;7}</w:t>
      </w:r>
      <w:r>
        <w:rPr>
          <w:rStyle w:val="SpecialString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w:t>
      </w:r>
      <w:r>
        <w:rPr>
          <w:rStyle w:val="NormalTok"/>
        </w:rPr>
        <w:t xml:space="preserve">.join(</w:t>
      </w:r>
      <w:r>
        <w:rPr>
          <w:rStyle w:val="SpecialStringTok"/>
        </w:rPr>
        <w:t xml:space="preserve">f"</w:t>
      </w:r>
      <w:r>
        <w:rPr>
          <w:rStyle w:val="SpecialCharTok"/>
        </w:rPr>
        <w:t xml:space="preserve">{</w:t>
      </w:r>
      <w:r>
        <w:rPr>
          <w:rStyle w:val="NormalTok"/>
        </w:rPr>
        <w:t xml:space="preserve">pct(ms, q)</w:t>
      </w:r>
      <w:r>
        <w:rPr>
          <w:rStyle w:val="SpecialCharTok"/>
        </w:rPr>
        <w:t xml:space="preserve">:&gt;8.1f}</w:t>
      </w:r>
      <w:r>
        <w:rPr>
          <w:rStyle w:val="SpecialStringTok"/>
        </w:rPr>
        <w:t xml:space="preserve">"</w:t>
      </w:r>
      <w:r>
        <w:rPr>
          <w:rStyle w:val="NormalTok"/>
        </w:rPr>
        <w:t xml:space="preserve"> </w:t>
      </w:r>
      <w:r>
        <w:rPr>
          <w:rStyle w:val="ControlFlowTok"/>
        </w:rPr>
        <w:t xml:space="preserve">for</w:t>
      </w:r>
      <w:r>
        <w:rPr>
          <w:rStyle w:val="NormalTok"/>
        </w:rPr>
        <w:t xml:space="preserve"> q </w:t>
      </w:r>
      <w:r>
        <w:rPr>
          <w:rStyle w:val="KeywordTok"/>
        </w:rPr>
        <w:t xml:space="preserve">in</w:t>
      </w:r>
      <w:r>
        <w:rPr>
          <w:rStyle w:val="NormalTok"/>
        </w:rPr>
        <w:t xml:space="preserve"> (</w:t>
      </w:r>
      <w:r>
        <w:rPr>
          <w:rStyle w:val="DecValTok"/>
        </w:rPr>
        <w:t xml:space="preserve">50</w:t>
      </w:r>
      <w:r>
        <w:rPr>
          <w:rStyle w:val="NormalTok"/>
        </w:rPr>
        <w:t xml:space="preserve">, </w:t>
      </w:r>
      <w:r>
        <w:rPr>
          <w:rStyle w:val="DecValTok"/>
        </w:rPr>
        <w:t xml:space="preserve">90</w:t>
      </w:r>
      <w:r>
        <w:rPr>
          <w:rStyle w:val="NormalTok"/>
        </w:rPr>
        <w:t xml:space="preserve">, </w:t>
      </w:r>
      <w:r>
        <w:rPr>
          <w:rStyle w:val="DecValTok"/>
        </w:rPr>
        <w:t xml:space="preserve">99</w:t>
      </w:r>
      <w:r>
        <w:rPr>
          <w:rStyle w:val="NormalTok"/>
        </w:rPr>
        <w:t xml:space="preserve">, </w:t>
      </w:r>
      <w:r>
        <w:rPr>
          <w:rStyle w:val="FloatTok"/>
        </w:rPr>
        <w:t xml:space="preserve">99.9</w:t>
      </w:r>
      <w:r>
        <w:rPr>
          <w:rStyle w:val="NormalTok"/>
        </w:rPr>
        <w:t xml:space="preserve">)) </w:t>
      </w:r>
      <w:r>
        <w:rPr>
          <w:rStyle w:val="Operator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ms[</w:t>
      </w:r>
      <w:r>
        <w:rPr>
          <w:rStyle w:val="OperatorTok"/>
        </w:rPr>
        <w:t xml:space="preserve">-</w:t>
      </w:r>
      <w:r>
        <w:rPr>
          <w:rStyle w:val="DecValTok"/>
        </w:rPr>
        <w:t xml:space="preserve">1</w:t>
      </w:r>
      <w:r>
        <w:rPr>
          <w:rStyle w:val="NormalTok"/>
        </w:rPr>
        <w:t xml:space="preserve">]</w:t>
      </w:r>
      <w:r>
        <w:rPr>
          <w:rStyle w:val="SpecialCharTok"/>
        </w:rPr>
        <w:t xml:space="preserve">:&gt;8.0f}</w:t>
      </w:r>
      <w:r>
        <w:rPr>
          <w:rStyle w:val="SpecialStringTok"/>
        </w:rPr>
        <w:t xml:space="preserve">"</w:t>
      </w:r>
      <w:r>
        <w:rPr>
          <w:rStyle w:val="NormalTok"/>
        </w:rPr>
        <w:t xml:space="preserve">)</w:t>
      </w:r>
    </w:p>
    <w:p>
      <w:pPr>
        <w:pStyle w:val="FirstParagraph"/>
      </w:pPr>
      <w:r>
        <w:t xml:space="preserve">Output:</w:t>
      </w:r>
    </w:p>
    <w:p>
      <w:pPr>
        <w:pStyle w:val="SourceCode"/>
      </w:pPr>
      <w:r>
        <w:rPr>
          <w:rStyle w:val="VerbatimChar"/>
        </w:rPr>
        <w:t xml:space="preserve">tester                  count     p50     p90     p99   p99.9     max   (ms)</w:t>
      </w:r>
      <w:r>
        <w:br/>
      </w:r>
      <w:r>
        <w:rPr>
          <w:rStyle w:val="VerbatimChar"/>
        </w:rPr>
        <w:t xml:space="preserve">closed loop (naive)     29245     0.9     1.3     1.7     2.1    1500</w:t>
      </w:r>
      <w:r>
        <w:br/>
      </w:r>
      <w:r>
        <w:rPr>
          <w:rStyle w:val="VerbatimChar"/>
        </w:rPr>
        <w:t xml:space="preserve">closed + correction     29994     0.9     1.3   902.2  1442.2    1500</w:t>
      </w:r>
      <w:r>
        <w:br/>
      </w:r>
      <w:r>
        <w:rPr>
          <w:rStyle w:val="VerbatimChar"/>
        </w:rPr>
        <w:t xml:space="preserve">open loop (truth)       30000     1.0     1.4  1199.8  1471.4    1501</w:t>
      </w:r>
    </w:p>
    <w:p>
      <w:pPr>
        <w:pStyle w:val="FirstParagraph"/>
      </w:pPr>
      <w:r>
        <w:t xml:space="preserve">What to notice:</w:t>
      </w:r>
    </w:p>
    <w:p>
      <w:pPr>
        <w:numPr>
          <w:ilvl w:val="0"/>
          <w:numId w:val="1759"/>
        </w:numPr>
        <w:pStyle w:val="Compact"/>
      </w:pPr>
      <w:r>
        <w:t xml:space="preserve">The naive tester sent 755 fewer requests and reports p99 = 1.7 ms. The truth is 1,200 ms, as the worked example predicted: a 700-fold understatement. Only the max (1.5 s) hints at the stall, and averages and p99 dashboards hide it.</w:t>
      </w:r>
    </w:p>
    <w:p>
      <w:pPr>
        <w:numPr>
          <w:ilvl w:val="0"/>
          <w:numId w:val="1759"/>
        </w:numPr>
        <w:pStyle w:val="Compact"/>
      </w:pPr>
      <w:r>
        <w:t xml:space="preserve">The correction recovers most of the tail (p99 902 ms) but not all: it reconstructs the requests missed</w:t>
      </w:r>
      <w:r>
        <w:t xml:space="preserve"> </w:t>
      </w:r>
      <w:r>
        <w:rPr>
          <w:iCs/>
          <w:i/>
        </w:rPr>
        <w:t xml:space="preserve">during</w:t>
      </w:r>
      <w:r>
        <w:t xml:space="preserve"> </w:t>
      </w:r>
      <w:r>
        <w:t xml:space="preserve">the stall but not the backlog that would have delayed requests</w:t>
      </w:r>
      <w:r>
        <w:t xml:space="preserve"> </w:t>
      </w:r>
      <w:r>
        <w:rPr>
          <w:iCs/>
          <w:i/>
        </w:rPr>
        <w:t xml:space="preserve">after</w:t>
      </w:r>
      <w:r>
        <w:t xml:space="preserve"> </w:t>
      </w:r>
      <w:r>
        <w:t xml:space="preserve">it, because the naive tester never built a queue.</w:t>
      </w:r>
    </w:p>
    <w:p>
      <w:pPr>
        <w:numPr>
          <w:ilvl w:val="0"/>
          <w:numId w:val="1759"/>
        </w:numPr>
        <w:pStyle w:val="Compact"/>
      </w:pPr>
      <w:r>
        <w:t xml:space="preserve">The open-loop tester’s numbers are the only ones that describe what users would see. Its generator must itself never stall: real generators use many connections or asynchronous I/O so that a slow reply does not delay the next scheduled send.</w:t>
      </w:r>
    </w:p>
    <w:bookmarkEnd w:id="2596"/>
    <w:bookmarkEnd w:id="2597"/>
    <w:bookmarkStart w:id="2598" w:name="warm-up-think-time-and-other-pitfalls"/>
    <w:p>
      <w:pPr>
        <w:pStyle w:val="Heading3"/>
      </w:pPr>
      <w:r>
        <w:t xml:space="preserve">23.5.4 Warm-up, think time and other pitfalls</w:t>
      </w:r>
    </w:p>
    <w:p>
      <w:pPr>
        <w:numPr>
          <w:ilvl w:val="0"/>
          <w:numId w:val="1760"/>
        </w:numPr>
        <w:pStyle w:val="Compact"/>
      </w:pPr>
      <w:r>
        <w:rPr>
          <w:bCs/>
          <w:b/>
        </w:rPr>
        <w:t xml:space="preserve">Warm-up.</w:t>
      </w:r>
      <w:r>
        <w:t xml:space="preserve"> </w:t>
      </w:r>
      <w:r>
        <w:t xml:space="preserve">Early minutes run with cold caches, empty pools and interpreted code (§23.9.3). Report warm-up separately: it is what users see after every deployment.</w:t>
      </w:r>
    </w:p>
    <w:p>
      <w:pPr>
        <w:numPr>
          <w:ilvl w:val="0"/>
          <w:numId w:val="1760"/>
        </w:numPr>
        <w:pStyle w:val="Compact"/>
      </w:pPr>
      <w:r>
        <w:rPr>
          <w:bCs/>
          <w:b/>
        </w:rPr>
        <w:t xml:space="preserve">Think time.</w:t>
      </w:r>
      <w:r>
        <w:t xml:space="preserve"> </w:t>
      </w:r>
      <w:r>
        <w:t xml:space="preserve">Closed tests with</w:t>
      </w:r>
      <w:r>
        <w:t xml:space="preserve"> </w:t>
      </w:r>
      <m:oMath>
        <m:r>
          <m:t>Z</m:t>
        </m:r>
        <m:r>
          <m:rPr>
            <m:sty m:val="p"/>
          </m:rPr>
          <m:t>=</m:t>
        </m:r>
        <m:r>
          <m:t>0</m:t>
        </m:r>
      </m:oMath>
      <w:r>
        <w:t xml:space="preserve"> </w:t>
      </w:r>
      <w:r>
        <w:t xml:space="preserve">model nobody. Use measured think times, or an open model if you need a target rate.</w:t>
      </w:r>
    </w:p>
    <w:p>
      <w:pPr>
        <w:numPr>
          <w:ilvl w:val="0"/>
          <w:numId w:val="1760"/>
        </w:numPr>
        <w:pStyle w:val="Compact"/>
      </w:pPr>
      <w:r>
        <w:rPr>
          <w:bCs/>
          <w:b/>
        </w:rPr>
        <w:t xml:space="preserve">Generator saturation.</w:t>
      </w:r>
      <w:r>
        <w:t xml:space="preserve"> </w:t>
      </w:r>
      <w:r>
        <w:t xml:space="preserve">A generator at 100% CPU delays its own sends, which is coordinated omission from the client side. Apply USE to generators too.</w:t>
      </w:r>
    </w:p>
    <w:p>
      <w:pPr>
        <w:numPr>
          <w:ilvl w:val="0"/>
          <w:numId w:val="1760"/>
        </w:numPr>
        <w:pStyle w:val="Compact"/>
      </w:pPr>
      <w:r>
        <w:rPr>
          <w:bCs/>
          <w:b/>
        </w:rPr>
        <w:t xml:space="preserve">Unrealistic data.</w:t>
      </w:r>
      <w:r>
        <w:t xml:space="preserve"> </w:t>
      </w:r>
      <w:r>
        <w:t xml:space="preserve">Repeated keys hit caches; replay production traffic or sample keys from the measured popularity distribution.</w:t>
      </w:r>
    </w:p>
    <w:p>
      <w:pPr>
        <w:numPr>
          <w:ilvl w:val="0"/>
          <w:numId w:val="1760"/>
        </w:numPr>
        <w:pStyle w:val="Compact"/>
      </w:pPr>
      <w:r>
        <w:rPr>
          <w:bCs/>
          <w:b/>
        </w:rPr>
        <w:t xml:space="preserve">Too-short runs.</w:t>
      </w:r>
      <w:r>
        <w:t xml:space="preserve"> </w:t>
      </w:r>
      <w:r>
        <w:t xml:space="preserve">Near saturation averages converge slowly (§4.10.3), and leaks and GC behavior appear only in soak tests.</w:t>
      </w:r>
    </w:p>
    <w:p>
      <w:pPr>
        <w:numPr>
          <w:ilvl w:val="0"/>
          <w:numId w:val="1760"/>
        </w:numPr>
        <w:pStyle w:val="Compact"/>
      </w:pPr>
      <w:r>
        <w:rPr>
          <w:bCs/>
          <w:b/>
        </w:rPr>
        <w:t xml:space="preserve">Averaging percentiles.</w:t>
      </w:r>
      <w:r>
        <w:t xml:space="preserve"> </w:t>
      </w:r>
      <w:r>
        <w:t xml:space="preserve">Merge histograms, then read the percentile (§4.8.3).</w:t>
      </w:r>
    </w:p>
    <w:bookmarkEnd w:id="2598"/>
    <w:bookmarkStart w:id="2599" w:name="recording-latency-with-hdr-histograms"/>
    <w:p>
      <w:pPr>
        <w:pStyle w:val="Heading3"/>
      </w:pPr>
      <w:r>
        <w:t xml:space="preserve">23.5.5 Recording latency with HDR histograms</w:t>
      </w:r>
    </w:p>
    <w:p>
      <w:pPr>
        <w:pStyle w:val="FirstParagraph"/>
      </w:pPr>
      <w:r>
        <w:t xml:space="preserve">Fixed-width buckets lose resolution at one end of the range.</w:t>
      </w:r>
      <w:r>
        <w:t xml:space="preserve"> </w:t>
      </w:r>
      <w:r>
        <w:rPr>
          <w:bCs/>
          <w:b/>
        </w:rPr>
        <w:t xml:space="preserve">HdrHistogram</w:t>
      </w:r>
      <w:r>
        <w:t xml:space="preserve"> </w:t>
      </w:r>
      <w:r>
        <w:t xml:space="preserve">preserves a chosen number of</w:t>
      </w:r>
      <w:r>
        <w:t xml:space="preserve"> </w:t>
      </w:r>
      <w:r>
        <w:rPr>
          <w:bCs/>
          <w:b/>
        </w:rPr>
        <w:t xml:space="preserve">significant decimal digits</w:t>
      </w:r>
      <w:r>
        <w:t xml:space="preserve"> </w:t>
      </w:r>
      <w:r>
        <w:t xml:space="preserve">over a wide range by splitting power-of-two buckets into linear sub-buckets, so</w:t>
      </w:r>
      <w:r>
        <w:t xml:space="preserve"> </w:t>
      </w:r>
      <w:r>
        <w:rPr>
          <w:iCs/>
          <w:i/>
        </w:rPr>
        <w:t xml:space="preserve">relative</w:t>
      </w:r>
      <w:r>
        <w:t xml:space="preserve"> </w:t>
      </w:r>
      <w:r>
        <w:t xml:space="preserve">error stays below</w:t>
      </w:r>
      <w:r>
        <w:t xml:space="preserve"> </w:t>
      </w:r>
      <m:oMath>
        <m:sSup>
          <m:e>
            <m:r>
              <m:t>10</m:t>
            </m:r>
          </m:e>
          <m:sup>
            <m:r>
              <m:rPr>
                <m:sty m:val="p"/>
              </m:rPr>
              <m:t>−</m:t>
            </m:r>
            <m:r>
              <m:t>d</m:t>
            </m:r>
          </m:sup>
        </m:sSup>
      </m:oMath>
      <w:r>
        <w:t xml:space="preserve"> </w:t>
      </w:r>
      <w:r>
        <w:t xml:space="preserve">[Tene, HdrHistogram].</w:t>
      </w:r>
    </w:p>
    <w:p>
      <w:pPr>
        <w:pStyle w:val="CalloutFormula"/>
      </w:pPr>
      <w:r>
        <w:rPr>
          <w:bCs/>
          <w:b/>
        </w:rPr>
        <w:t xml:space="preserve">FORMULA</w:t>
      </w:r>
    </w:p>
    <w:p>
      <w:pPr>
        <w:pStyle w:val="CalloutFormula"/>
      </w:pPr>
      <w:r>
        <w:rPr>
          <w:bCs/>
          <w:b/>
        </w:rPr>
        <w:t xml:space="preserve">HdrHistogram footprint (simplified from the reference implementation)</w:t>
      </w:r>
    </w:p>
    <w:p>
      <w:pPr>
        <w:pStyle w:val="CalloutFormula"/>
      </w:pPr>
      <m:oMathPara>
        <m:oMathParaPr>
          <m:jc m:val="center"/>
        </m:oMathParaPr>
        <m:oMath>
          <m:r>
            <m:t>s</m:t>
          </m:r>
          <m:r>
            <m:rPr>
              <m:sty m:val="p"/>
            </m:rPr>
            <m:t>=</m:t>
          </m:r>
          <m:sSup>
            <m:e>
              <m:r>
                <m:t>2</m:t>
              </m:r>
            </m:e>
            <m:sup>
              <m:r>
                <m:rPr>
                  <m:sty m:val="p"/>
                </m:rPr>
                <m:t>⌈</m:t>
              </m:r>
              <m:sSub>
                <m:e>
                  <m:r>
                    <m:rPr>
                      <m:sty m:val="p"/>
                    </m:rPr>
                    <m:t>log</m:t>
                  </m:r>
                </m:e>
                <m:sub>
                  <m:r>
                    <m:t>2</m:t>
                  </m:r>
                </m:sub>
              </m:sSub>
              <m:d>
                <m:dPr>
                  <m:begChr m:val="("/>
                  <m:endChr m:val=")"/>
                  <m:sepChr m:val=""/>
                  <m:grow/>
                </m:dPr>
                <m:e>
                  <m:r>
                    <m:t>2</m:t>
                  </m:r>
                  <m:r>
                    <m:rPr>
                      <m:sty m:val="p"/>
                    </m:rPr>
                    <m:t>×</m:t>
                  </m:r>
                  <m:sSup>
                    <m:e>
                      <m:r>
                        <m:t>10</m:t>
                      </m:r>
                    </m:e>
                    <m:sup>
                      <m:r>
                        <m:t>d</m:t>
                      </m:r>
                    </m:sup>
                  </m:sSup>
                </m:e>
              </m:d>
              <m:r>
                <m:rPr>
                  <m:sty m:val="p"/>
                </m:rPr>
                <m:t>⌉</m:t>
              </m:r>
            </m:sup>
          </m:sSup>
          <m:r>
            <m:t>  </m:t>
          </m:r>
          <m:r>
            <m:t>b</m:t>
          </m:r>
          <m:r>
            <m:rPr>
              <m:sty m:val="p"/>
            </m:rPr>
            <m:t>=</m:t>
          </m:r>
          <m:r>
            <m:t>1</m:t>
          </m:r>
          <m:r>
            <m:rPr>
              <m:sty m:val="p"/>
            </m:rPr>
            <m:t>+</m:t>
          </m:r>
          <m:d>
            <m:dPr>
              <m:begChr m:val="⌈"/>
              <m:endChr m:val="⌉"/>
              <m:sepChr m:val=""/>
              <m:grow/>
            </m:dPr>
            <m:e>
              <m:sSub>
                <m:e>
                  <m:r>
                    <m:rPr>
                      <m:sty m:val="p"/>
                    </m:rPr>
                    <m:t>log</m:t>
                  </m:r>
                </m:e>
                <m:sub>
                  <m:r>
                    <m:t>2</m:t>
                  </m:r>
                </m:sub>
              </m:sSub>
              <m:f>
                <m:fPr>
                  <m:type m:val="bar"/>
                </m:fPr>
                <m:num>
                  <m:r>
                    <m:t>H</m:t>
                  </m:r>
                </m:num>
                <m:den>
                  <m:r>
                    <m:t>s</m:t>
                  </m:r>
                  <m:r>
                    <m:rPr>
                      <m:sty m:val="p"/>
                    </m:rPr>
                    <m:t>⋅</m:t>
                  </m:r>
                  <m:r>
                    <m:t>L</m:t>
                  </m:r>
                </m:den>
              </m:f>
            </m:e>
          </m:d>
          <m:r>
            <m:t>  </m:t>
          </m:r>
          <m:r>
            <m:rPr>
              <m:nor/>
              <m:sty m:val="p"/>
            </m:rPr>
            <m:t>counters</m:t>
          </m:r>
          <m:r>
            <m:rPr>
              <m:sty m:val="p"/>
            </m:rPr>
            <m:t>=</m:t>
          </m:r>
          <m:d>
            <m:dPr>
              <m:begChr m:val="("/>
              <m:endChr m:val=")"/>
              <m:sepChr m:val=""/>
              <m:grow/>
            </m:dPr>
            <m:e>
              <m:r>
                <m:t>b</m:t>
              </m:r>
              <m:r>
                <m:rPr>
                  <m:sty m:val="p"/>
                </m:rPr>
                <m:t>+</m:t>
              </m:r>
              <m:r>
                <m:t>1</m:t>
              </m:r>
            </m:e>
          </m:d>
          <m:r>
            <m:t> </m:t>
          </m:r>
          <m:f>
            <m:fPr>
              <m:type m:val="bar"/>
            </m:fPr>
            <m:num>
              <m:r>
                <m:t>s</m:t>
              </m:r>
            </m:num>
            <m:den>
              <m:r>
                <m:t>2</m:t>
              </m:r>
            </m:den>
          </m:f>
          <m:r>
            <m:t>  </m:t>
          </m:r>
          <m:r>
            <m:rPr>
              <m:nor/>
              <m:sty m:val="p"/>
            </m:rPr>
            <m:t>memory</m:t>
          </m:r>
          <m:r>
            <m:rPr>
              <m:sty m:val="p"/>
            </m:rPr>
            <m:t>≈</m:t>
          </m:r>
          <m:r>
            <m:t>8</m:t>
          </m:r>
          <m:r>
            <m:rPr>
              <m:sty m:val="p"/>
            </m:rPr>
            <m:t>×</m:t>
          </m:r>
          <m:r>
            <m:rPr>
              <m:nor/>
              <m:sty m:val="p"/>
            </m:rPr>
            <m:t>counters</m:t>
          </m:r>
        </m:oMath>
      </m:oMathPara>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d</m:t>
              </m:r>
            </m:oMath>
          </w:p>
        </w:tc>
        <w:tc>
          <w:tcPr/>
          <w:p>
            <w:pPr>
              <w:pStyle w:val="Compact"/>
              <w:jc w:val="left"/>
            </w:pPr>
            <w:r>
              <w:t xml:space="preserve">Significant decimal digits preserved</w:t>
            </w:r>
          </w:p>
        </w:tc>
        <w:tc>
          <w:tcPr/>
          <w:p>
            <w:pPr>
              <w:pStyle w:val="Compact"/>
              <w:jc w:val="left"/>
            </w:pPr>
            <w:r>
              <w:t xml:space="preserve">digits</w:t>
            </w:r>
          </w:p>
        </w:tc>
      </w:tr>
      <w:tr>
        <w:tc>
          <w:tcPr/>
          <w:p>
            <w:pPr>
              <w:pStyle w:val="Compact"/>
              <w:jc w:val="left"/>
            </w:pPr>
            <m:oMath>
              <m:r>
                <m:t>s</m:t>
              </m:r>
            </m:oMath>
          </w:p>
        </w:tc>
        <w:tc>
          <w:tcPr/>
          <w:p>
            <w:pPr>
              <w:pStyle w:val="Compact"/>
              <w:jc w:val="left"/>
            </w:pPr>
            <w:r>
              <w:t xml:space="preserve">Sub-buckets per bucket</w:t>
            </w:r>
          </w:p>
        </w:tc>
        <w:tc>
          <w:tcPr/>
          <w:p>
            <w:pPr>
              <w:pStyle w:val="Compact"/>
              <w:jc w:val="left"/>
            </w:pPr>
            <w:r>
              <w:t xml:space="preserve">count</w:t>
            </w:r>
          </w:p>
        </w:tc>
      </w:tr>
      <w:tr>
        <w:tc>
          <w:tcPr/>
          <w:p>
            <w:pPr>
              <w:pStyle w:val="Compact"/>
              <w:jc w:val="left"/>
            </w:pPr>
            <m:oMath>
              <m:r>
                <m:t>L</m:t>
              </m:r>
            </m:oMath>
            <w:r>
              <w:t xml:space="preserve">,</w:t>
            </w:r>
            <w:r>
              <w:t xml:space="preserve"> </w:t>
            </w:r>
            <m:oMath>
              <m:r>
                <m:t>H</m:t>
              </m:r>
            </m:oMath>
          </w:p>
        </w:tc>
        <w:tc>
          <w:tcPr/>
          <w:p>
            <w:pPr>
              <w:pStyle w:val="Compact"/>
              <w:jc w:val="left"/>
            </w:pPr>
            <w:r>
              <w:t xml:space="preserve">Lowest discernible and highest trackable values</w:t>
            </w:r>
          </w:p>
        </w:tc>
        <w:tc>
          <w:tcPr/>
          <w:p>
            <w:pPr>
              <w:pStyle w:val="Compact"/>
              <w:jc w:val="left"/>
            </w:pPr>
            <w:r>
              <w:t xml:space="preserve">e.g. µs</w:t>
            </w:r>
          </w:p>
        </w:tc>
      </w:tr>
      <w:tr>
        <w:tc>
          <w:tcPr/>
          <w:p>
            <w:pPr>
              <w:pStyle w:val="Compact"/>
              <w:jc w:val="left"/>
            </w:pPr>
            <m:oMath>
              <m:r>
                <m:t>b</m:t>
              </m:r>
            </m:oMath>
          </w:p>
        </w:tc>
        <w:tc>
          <w:tcPr/>
          <w:p>
            <w:pPr>
              <w:pStyle w:val="Compact"/>
              <w:jc w:val="left"/>
            </w:pPr>
            <w:r>
              <w:t xml:space="preserve">Number of power-of-two buckets</w:t>
            </w:r>
          </w:p>
        </w:tc>
        <w:tc>
          <w:tcPr/>
          <w:p>
            <w:pPr>
              <w:pStyle w:val="Compact"/>
              <w:jc w:val="left"/>
            </w:pPr>
            <w:r>
              <w:t xml:space="preserve">count</w:t>
            </w:r>
          </w:p>
        </w:tc>
      </w:tr>
      <w:tr>
        <w:tc>
          <w:tcPr/>
          <w:p>
            <w:pPr>
              <w:pStyle w:val="Compact"/>
              <w:jc w:val="left"/>
            </w:pPr>
            <w:r>
              <w:t xml:space="preserve">memory</w:t>
            </w:r>
          </w:p>
        </w:tc>
        <w:tc>
          <w:tcPr/>
          <w:p>
            <w:pPr>
              <w:pStyle w:val="Compact"/>
              <w:jc w:val="left"/>
            </w:pPr>
            <w:r>
              <w:t xml:space="preserve">Size with 64-bit counters</w:t>
            </w:r>
          </w:p>
        </w:tc>
        <w:tc>
          <w:tcPr/>
          <w:p>
            <w:pPr>
              <w:pStyle w:val="Compact"/>
              <w:jc w:val="left"/>
            </w:pPr>
            <w:r>
              <w:t xml:space="preserve">bytes</w:t>
            </w:r>
          </w:p>
        </w:tc>
      </w:tr>
    </w:tbl>
    <w:p>
      <w:pPr>
        <w:pStyle w:val="CalloutExample"/>
      </w:pPr>
      <w:r>
        <w:rPr>
          <w:bCs/>
          <w:b/>
        </w:rPr>
        <w:t xml:space="preserve">WORKED EXAMPLE</w:t>
      </w:r>
    </w:p>
    <w:p>
      <w:pPr>
        <w:pStyle w:val="CalloutExample"/>
      </w:pPr>
      <w:r>
        <w:rPr>
          <w:bCs/>
          <w:b/>
        </w:rPr>
        <w:t xml:space="preserve">Worked example — 1 µs to 1 hour at 3 significant digits.</w:t>
      </w:r>
      <w:r>
        <w:t xml:space="preserve"> </w:t>
      </w:r>
      <m:oMath>
        <m:r>
          <m:t>d</m:t>
        </m:r>
        <m:r>
          <m:rPr>
            <m:sty m:val="p"/>
          </m:rPr>
          <m:t>=</m:t>
        </m:r>
        <m:r>
          <m:t>3</m:t>
        </m:r>
      </m:oMath>
      <w:r>
        <w:t xml:space="preserve">,</w:t>
      </w:r>
      <w:r>
        <w:t xml:space="preserve"> </w:t>
      </w:r>
      <m:oMath>
        <m:r>
          <m:t>L</m:t>
        </m:r>
        <m:r>
          <m:rPr>
            <m:sty m:val="p"/>
          </m:rPr>
          <m:t>=</m:t>
        </m:r>
        <m:r>
          <m:t>1</m:t>
        </m:r>
      </m:oMath>
      <w:r>
        <w:t xml:space="preserve"> </w:t>
      </w:r>
      <w:r>
        <w:t xml:space="preserve">µs,</w:t>
      </w:r>
      <w:r>
        <w:t xml:space="preserve"> </w:t>
      </w:r>
      <m:oMath>
        <m:r>
          <m:t>H</m:t>
        </m:r>
        <m:r>
          <m:rPr>
            <m:sty m:val="p"/>
          </m:rPr>
          <m:t>=</m:t>
        </m:r>
        <m:r>
          <m:t>3.6</m:t>
        </m:r>
        <m:r>
          <m:rPr>
            <m:sty m:val="p"/>
          </m:rPr>
          <m:t>×</m:t>
        </m:r>
        <m:sSup>
          <m:e>
            <m:r>
              <m:t>10</m:t>
            </m:r>
          </m:e>
          <m:sup>
            <m:r>
              <m:t>9</m:t>
            </m:r>
          </m:sup>
        </m:sSup>
      </m:oMath>
      <w:r>
        <w:t xml:space="preserve"> </w:t>
      </w:r>
      <w:r>
        <w:t xml:space="preserve">µs.</w:t>
      </w:r>
    </w:p>
    <w:p>
      <w:pPr>
        <w:numPr>
          <w:ilvl w:val="0"/>
          <w:numId w:val="1761"/>
        </w:numPr>
        <w:pStyle w:val="Compact"/>
      </w:pPr>
      <m:oMath>
        <m:r>
          <m:t>s</m:t>
        </m:r>
        <m:r>
          <m:rPr>
            <m:sty m:val="p"/>
          </m:rPr>
          <m:t>=</m:t>
        </m:r>
        <m:sSup>
          <m:e>
            <m:r>
              <m:t>2</m:t>
            </m:r>
          </m:e>
          <m:sup>
            <m:r>
              <m:rPr>
                <m:sty m:val="p"/>
              </m:rPr>
              <m:t>⌈</m:t>
            </m:r>
            <m:sSub>
              <m:e>
                <m:r>
                  <m:rPr>
                    <m:sty m:val="p"/>
                  </m:rPr>
                  <m:t>log</m:t>
                </m:r>
              </m:e>
              <m:sub>
                <m:r>
                  <m:t>2</m:t>
                </m:r>
              </m:sub>
            </m:sSub>
            <m:r>
              <m:t>2</m:t>
            </m:r>
            <m:r>
              <m:rPr>
                <m:sty m:val="p"/>
              </m:rPr>
              <m:t>,</m:t>
            </m:r>
            <m:r>
              <m:t>000</m:t>
            </m:r>
            <m:r>
              <m:rPr>
                <m:sty m:val="p"/>
              </m:rPr>
              <m:t>⌉</m:t>
            </m:r>
          </m:sup>
        </m:sSup>
        <m:r>
          <m:rPr>
            <m:sty m:val="p"/>
          </m:rPr>
          <m:t>=</m:t>
        </m:r>
        <m:sSup>
          <m:e>
            <m:r>
              <m:t>2</m:t>
            </m:r>
          </m:e>
          <m:sup>
            <m:r>
              <m:t>11</m:t>
            </m:r>
          </m:sup>
        </m:sSup>
        <m:r>
          <m:rPr>
            <m:sty m:val="p"/>
          </m:rPr>
          <m:t>=</m:t>
        </m:r>
        <m:r>
          <m:t>2</m:t>
        </m:r>
        <m:r>
          <m:rPr>
            <m:sty m:val="p"/>
          </m:rPr>
          <m:t>,</m:t>
        </m:r>
        <m:r>
          <m:t>048</m:t>
        </m:r>
      </m:oMath>
      <w:r>
        <w:t xml:space="preserve">.</w:t>
      </w:r>
    </w:p>
    <w:p>
      <w:pPr>
        <w:numPr>
          <w:ilvl w:val="0"/>
          <w:numId w:val="1761"/>
        </w:numPr>
        <w:pStyle w:val="Compact"/>
      </w:pPr>
      <m:oMath>
        <m:r>
          <m:t>H</m:t>
        </m:r>
        <m:r>
          <m:rPr>
            <m:sty m:val="p"/>
          </m:rPr>
          <m:t>/</m:t>
        </m:r>
        <m:d>
          <m:dPr>
            <m:begChr m:val="("/>
            <m:endChr m:val=")"/>
            <m:sepChr m:val=""/>
            <m:grow/>
          </m:dPr>
          <m:e>
            <m:r>
              <m:t>s</m:t>
            </m:r>
            <m:r>
              <m:t>L</m:t>
            </m:r>
          </m:e>
        </m:d>
        <m:r>
          <m:rPr>
            <m:sty m:val="p"/>
          </m:rPr>
          <m:t>=</m:t>
        </m:r>
        <m:r>
          <m:t>3.6</m:t>
        </m:r>
        <m:r>
          <m:rPr>
            <m:sty m:val="p"/>
          </m:rPr>
          <m:t>×</m:t>
        </m:r>
        <m:sSup>
          <m:e>
            <m:r>
              <m:t>10</m:t>
            </m:r>
          </m:e>
          <m:sup>
            <m:r>
              <m:t>9</m:t>
            </m:r>
          </m:sup>
        </m:sSup>
        <m:r>
          <m:rPr>
            <m:sty m:val="p"/>
          </m:rPr>
          <m:t>/</m:t>
        </m:r>
        <m:r>
          <m:t>2</m:t>
        </m:r>
        <m:r>
          <m:rPr>
            <m:sty m:val="p"/>
          </m:rPr>
          <m:t>,</m:t>
        </m:r>
        <m:r>
          <m:t>048</m:t>
        </m:r>
        <m:r>
          <m:rPr>
            <m:sty m:val="p"/>
          </m:rPr>
          <m:t>=</m:t>
        </m:r>
        <m:r>
          <m:t>1.76</m:t>
        </m:r>
        <m:r>
          <m:rPr>
            <m:sty m:val="p"/>
          </m:rPr>
          <m:t>×</m:t>
        </m:r>
        <m:sSup>
          <m:e>
            <m:r>
              <m:t>10</m:t>
            </m:r>
          </m:e>
          <m:sup>
            <m:r>
              <m:t>6</m:t>
            </m:r>
          </m:sup>
        </m:sSup>
      </m:oMath>
      <w:r>
        <w:t xml:space="preserve">;</w:t>
      </w:r>
      <w:r>
        <w:t xml:space="preserve"> </w:t>
      </w:r>
      <m:oMath>
        <m:sSub>
          <m:e>
            <m:r>
              <m:rPr>
                <m:sty m:val="p"/>
              </m:rPr>
              <m:t>log</m:t>
            </m:r>
          </m:e>
          <m:sub>
            <m:r>
              <m:t>2</m:t>
            </m:r>
          </m:sub>
        </m:sSub>
      </m:oMath>
      <w:r>
        <w:t xml:space="preserve"> </w:t>
      </w:r>
      <w:r>
        <w:t xml:space="preserve">of that is 20.7, so</w:t>
      </w:r>
      <w:r>
        <w:t xml:space="preserve"> </w:t>
      </w:r>
      <m:oMath>
        <m:r>
          <m:t>b</m:t>
        </m:r>
        <m:r>
          <m:rPr>
            <m:sty m:val="p"/>
          </m:rPr>
          <m:t>=</m:t>
        </m:r>
        <m:r>
          <m:t>1</m:t>
        </m:r>
        <m:r>
          <m:rPr>
            <m:sty m:val="p"/>
          </m:rPr>
          <m:t>+</m:t>
        </m:r>
        <m:r>
          <m:t>21</m:t>
        </m:r>
        <m:r>
          <m:rPr>
            <m:sty m:val="p"/>
          </m:rPr>
          <m:t>=</m:t>
        </m:r>
        <m:r>
          <m:t>22</m:t>
        </m:r>
      </m:oMath>
      <w:r>
        <w:t xml:space="preserve">.</w:t>
      </w:r>
    </w:p>
    <w:p>
      <w:pPr>
        <w:numPr>
          <w:ilvl w:val="0"/>
          <w:numId w:val="1761"/>
        </w:numPr>
        <w:pStyle w:val="Compact"/>
      </w:pPr>
      <w:r>
        <w:t xml:space="preserve">Counters</w:t>
      </w:r>
      <w:r>
        <w:t xml:space="preserve"> </w:t>
      </w:r>
      <m:oMath>
        <m:r>
          <m:rPr>
            <m:sty m:val="p"/>
          </m:rPr>
          <m:t>=</m:t>
        </m:r>
        <m:r>
          <m:t>23</m:t>
        </m:r>
        <m:r>
          <m:rPr>
            <m:sty m:val="p"/>
          </m:rPr>
          <m:t>×</m:t>
        </m:r>
        <m:r>
          <m:t>1</m:t>
        </m:r>
        <m:r>
          <m:rPr>
            <m:sty m:val="p"/>
          </m:rPr>
          <m:t>,</m:t>
        </m:r>
        <m:r>
          <m:t>024</m:t>
        </m:r>
        <m:r>
          <m:rPr>
            <m:sty m:val="p"/>
          </m:rPr>
          <m:t>=</m:t>
        </m:r>
        <m:r>
          <m:t>23</m:t>
        </m:r>
        <m:r>
          <m:rPr>
            <m:sty m:val="p"/>
          </m:rPr>
          <m:t>,</m:t>
        </m:r>
        <m:r>
          <m:t>552</m:t>
        </m:r>
      </m:oMath>
      <w:r>
        <w:t xml:space="preserve">; memory</w:t>
      </w:r>
      <w:r>
        <w:t xml:space="preserve"> </w:t>
      </w:r>
      <m:oMath>
        <m:r>
          <m:rPr>
            <m:sty m:val="p"/>
          </m:rPr>
          <m:t>=</m:t>
        </m:r>
        <m:r>
          <m:t>23</m:t>
        </m:r>
        <m:r>
          <m:rPr>
            <m:sty m:val="p"/>
          </m:rPr>
          <m:t>,</m:t>
        </m:r>
        <m:r>
          <m:t>552</m:t>
        </m:r>
        <m:r>
          <m:rPr>
            <m:sty m:val="p"/>
          </m:rPr>
          <m:t>×</m:t>
        </m:r>
        <m:r>
          <m:t>8</m:t>
        </m:r>
        <m:r>
          <m:rPr>
            <m:sty m:val="p"/>
          </m:rPr>
          <m:t>=</m:t>
        </m:r>
        <m:r>
          <m:t>188</m:t>
        </m:r>
        <m:r>
          <m:rPr>
            <m:sty m:val="p"/>
          </m:rPr>
          <m:t>,</m:t>
        </m:r>
        <m:r>
          <m:t>416</m:t>
        </m:r>
      </m:oMath>
      <w:r>
        <w:t xml:space="preserve"> </w:t>
      </w:r>
      <w:r>
        <w:t xml:space="preserve">bytes ≈ 184 KiB.</w:t>
      </w:r>
    </w:p>
    <w:p>
      <w:pPr>
        <w:pStyle w:val="CalloutExample"/>
      </w:pPr>
      <w:r>
        <w:rPr>
          <w:bCs/>
          <w:b/>
        </w:rPr>
        <w:t xml:space="preserve">Interpretation.</w:t>
      </w:r>
      <w:r>
        <w:t xml:space="preserve"> </w:t>
      </w:r>
      <w:r>
        <w:t xml:space="preserve">Under 200 KB records any latency from 1 µs to an hour with 0.1% relative error, and histograms merge by adding counters.</w:t>
      </w:r>
      <w:r>
        <w:t xml:space="preserve"> </w:t>
      </w:r>
      <w:r>
        <w:rPr>
          <w:bCs/>
          <w:b/>
        </w:rPr>
        <w:t xml:space="preserve">Engineering implication.</w:t>
      </w:r>
      <w:r>
        <w:t xml:space="preserve"> </w:t>
      </w:r>
      <w:r>
        <w:t xml:space="preserve">Record latency in HDR or similar log-linear histograms in generators and services, and ship histograms, not precomputed percentiles.</w:t>
      </w:r>
    </w:p>
    <w:bookmarkEnd w:id="2599"/>
    <w:bookmarkStart w:id="2600" w:name="load-testing-tools"/>
    <w:p>
      <w:pPr>
        <w:pStyle w:val="Heading3"/>
      </w:pPr>
      <w:r>
        <w:t xml:space="preserve">23.5.6 Load-testing tools</w:t>
      </w:r>
    </w:p>
    <w:p>
      <w:pPr>
        <w:pStyle w:val="FirstParagraph"/>
      </w:pPr>
      <w:r>
        <w:rPr>
          <w:bCs/>
          <w:b/>
        </w:rPr>
        <w:t xml:space="preserve">Table 23.5 — Load generators and their workload models (as of 2026).</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Tool</w:t>
            </w:r>
          </w:p>
        </w:tc>
        <w:tc>
          <w:tcPr/>
          <w:p>
            <w:pPr>
              <w:pStyle w:val="Compact"/>
              <w:jc w:val="left"/>
            </w:pPr>
            <w:r>
              <w:t xml:space="preserve">Scripting</w:t>
            </w:r>
          </w:p>
        </w:tc>
        <w:tc>
          <w:tcPr/>
          <w:p>
            <w:pPr>
              <w:pStyle w:val="Compact"/>
              <w:jc w:val="left"/>
            </w:pPr>
            <w:r>
              <w:t xml:space="preserve">Open model</w:t>
            </w:r>
          </w:p>
        </w:tc>
        <w:tc>
          <w:tcPr/>
          <w:p>
            <w:pPr>
              <w:pStyle w:val="Compact"/>
              <w:jc w:val="left"/>
            </w:pPr>
            <w:r>
              <w:t xml:space="preserve">Closed model</w:t>
            </w:r>
          </w:p>
        </w:tc>
        <w:tc>
          <w:tcPr/>
          <w:p>
            <w:pPr>
              <w:pStyle w:val="Compact"/>
              <w:jc w:val="left"/>
            </w:pPr>
            <w:r>
              <w:t xml:space="preserve">Notes</w:t>
            </w:r>
          </w:p>
        </w:tc>
      </w:tr>
      <w:tr>
        <w:tc>
          <w:tcPr/>
          <w:p>
            <w:pPr>
              <w:pStyle w:val="Compact"/>
              <w:jc w:val="left"/>
            </w:pPr>
            <w:r>
              <w:t xml:space="preserve">wrk2</w:t>
            </w:r>
          </w:p>
        </w:tc>
        <w:tc>
          <w:tcPr/>
          <w:p>
            <w:pPr>
              <w:pStyle w:val="Compact"/>
              <w:jc w:val="left"/>
            </w:pPr>
            <w:r>
              <w:t xml:space="preserve">Lua</w:t>
            </w:r>
          </w:p>
        </w:tc>
        <w:tc>
          <w:tcPr/>
          <w:p>
            <w:pPr>
              <w:pStyle w:val="Compact"/>
              <w:jc w:val="left"/>
            </w:pPr>
            <w:r>
              <w:t xml:space="preserve">Yes: constant throughput,</w:t>
            </w:r>
            <w:r>
              <w:t xml:space="preserve"> </w:t>
            </w:r>
            <w:r>
              <w:rPr>
                <w:rStyle w:val="VerbatimChar"/>
              </w:rPr>
              <w:t xml:space="preserve">-R</w:t>
            </w:r>
            <w:r>
              <w:t xml:space="preserve"> </w:t>
            </w:r>
            <w:r>
              <w:t xml:space="preserve">rate</w:t>
            </w:r>
          </w:p>
        </w:tc>
        <w:tc>
          <w:tcPr/>
          <w:p>
            <w:pPr>
              <w:pStyle w:val="Compact"/>
              <w:jc w:val="left"/>
            </w:pPr>
            <w:r>
              <w:t xml:space="preserve">—</w:t>
            </w:r>
          </w:p>
        </w:tc>
        <w:tc>
          <w:tcPr/>
          <w:p>
            <w:pPr>
              <w:pStyle w:val="Compact"/>
              <w:jc w:val="left"/>
            </w:pPr>
            <w:r>
              <w:t xml:space="preserve">Measures from intended send time; HdrHistogram output</w:t>
            </w:r>
          </w:p>
        </w:tc>
      </w:tr>
      <w:tr>
        <w:tc>
          <w:tcPr/>
          <w:p>
            <w:pPr>
              <w:pStyle w:val="Compact"/>
              <w:jc w:val="left"/>
            </w:pPr>
            <w:r>
              <w:t xml:space="preserve">k6</w:t>
            </w:r>
          </w:p>
        </w:tc>
        <w:tc>
          <w:tcPr/>
          <w:p>
            <w:pPr>
              <w:pStyle w:val="Compact"/>
              <w:jc w:val="left"/>
            </w:pPr>
            <w:r>
              <w:t xml:space="preserve">JavaScript</w:t>
            </w:r>
          </w:p>
        </w:tc>
        <w:tc>
          <w:tcPr/>
          <w:p>
            <w:pPr>
              <w:pStyle w:val="Compact"/>
              <w:jc w:val="left"/>
            </w:pPr>
            <w:r>
              <w:rPr>
                <w:rStyle w:val="VerbatimChar"/>
              </w:rPr>
              <w:t xml:space="preserve">constant-arrival-rate</w:t>
            </w:r>
            <w:r>
              <w:t xml:space="preserve">,</w:t>
            </w:r>
            <w:r>
              <w:t xml:space="preserve"> </w:t>
            </w:r>
            <w:r>
              <w:rPr>
                <w:rStyle w:val="VerbatimChar"/>
              </w:rPr>
              <w:t xml:space="preserve">ramping-arrival-rate</w:t>
            </w:r>
            <w:r>
              <w:t xml:space="preserve"> </w:t>
            </w:r>
            <w:r>
              <w:t xml:space="preserve">executors</w:t>
            </w:r>
          </w:p>
        </w:tc>
        <w:tc>
          <w:tcPr/>
          <w:p>
            <w:pPr>
              <w:pStyle w:val="Compact"/>
              <w:jc w:val="left"/>
            </w:pPr>
            <w:r>
              <w:rPr>
                <w:rStyle w:val="VerbatimChar"/>
              </w:rPr>
              <w:t xml:space="preserve">constant-vus</w:t>
            </w:r>
            <w:r>
              <w:t xml:space="preserve">,</w:t>
            </w:r>
            <w:r>
              <w:t xml:space="preserve"> </w:t>
            </w:r>
            <w:r>
              <w:rPr>
                <w:rStyle w:val="VerbatimChar"/>
              </w:rPr>
              <w:t xml:space="preserve">ramping-vus</w:t>
            </w:r>
            <w:r>
              <w:t xml:space="preserve"> </w:t>
            </w:r>
            <w:r>
              <w:t xml:space="preserve">executors</w:t>
            </w:r>
          </w:p>
        </w:tc>
        <w:tc>
          <w:tcPr/>
          <w:p>
            <w:pPr>
              <w:pStyle w:val="Compact"/>
              <w:jc w:val="left"/>
            </w:pPr>
            <w:r>
              <w:t xml:space="preserve">Documents the open/closed distinction explicitly</w:t>
            </w:r>
          </w:p>
        </w:tc>
      </w:tr>
      <w:tr>
        <w:tc>
          <w:tcPr/>
          <w:p>
            <w:pPr>
              <w:pStyle w:val="Compact"/>
              <w:jc w:val="left"/>
            </w:pPr>
            <w:r>
              <w:t xml:space="preserve">Gatling</w:t>
            </w:r>
          </w:p>
        </w:tc>
        <w:tc>
          <w:tcPr/>
          <w:p>
            <w:pPr>
              <w:pStyle w:val="Compact"/>
              <w:jc w:val="left"/>
            </w:pPr>
            <w:r>
              <w:t xml:space="preserve">Scala, Java, Kotlin</w:t>
            </w:r>
          </w:p>
        </w:tc>
        <w:tc>
          <w:tcPr/>
          <w:p>
            <w:pPr>
              <w:pStyle w:val="Compact"/>
              <w:jc w:val="left"/>
            </w:pPr>
            <w:r>
              <w:rPr>
                <w:rStyle w:val="VerbatimChar"/>
              </w:rPr>
              <w:t xml:space="preserve">constantUsersPerSec</w:t>
            </w:r>
            <w:r>
              <w:t xml:space="preserve">,</w:t>
            </w:r>
            <w:r>
              <w:t xml:space="preserve"> </w:t>
            </w:r>
            <w:r>
              <w:rPr>
                <w:rStyle w:val="VerbatimChar"/>
              </w:rPr>
              <w:t xml:space="preserve">rampUsersPerSec</w:t>
            </w:r>
            <w:r>
              <w:t xml:space="preserve"> </w:t>
            </w:r>
            <w:r>
              <w:t xml:space="preserve">injection</w:t>
            </w:r>
          </w:p>
        </w:tc>
        <w:tc>
          <w:tcPr/>
          <w:p>
            <w:pPr>
              <w:pStyle w:val="Compact"/>
              <w:jc w:val="left"/>
            </w:pPr>
            <w:r>
              <w:rPr>
                <w:rStyle w:val="VerbatimChar"/>
              </w:rPr>
              <w:t xml:space="preserve">constantConcurrentUsers</w:t>
            </w:r>
            <w:r>
              <w:t xml:space="preserve"> </w:t>
            </w:r>
            <w:r>
              <w:t xml:space="preserve">injection</w:t>
            </w:r>
          </w:p>
        </w:tc>
        <w:tc>
          <w:tcPr/>
          <w:p>
            <w:pPr>
              <w:pStyle w:val="Compact"/>
              <w:jc w:val="left"/>
            </w:pPr>
            <w:r>
              <w:t xml:space="preserve">Detailed HTML reports</w:t>
            </w:r>
          </w:p>
        </w:tc>
      </w:tr>
      <w:tr>
        <w:tc>
          <w:tcPr/>
          <w:p>
            <w:pPr>
              <w:pStyle w:val="Compact"/>
              <w:jc w:val="left"/>
            </w:pPr>
            <w:r>
              <w:t xml:space="preserve">Locust</w:t>
            </w:r>
          </w:p>
        </w:tc>
        <w:tc>
          <w:tcPr/>
          <w:p>
            <w:pPr>
              <w:pStyle w:val="Compact"/>
              <w:jc w:val="left"/>
            </w:pPr>
            <w:r>
              <w:t xml:space="preserve">Python</w:t>
            </w:r>
          </w:p>
        </w:tc>
        <w:tc>
          <w:tcPr/>
          <w:p>
            <w:pPr>
              <w:pStyle w:val="Compact"/>
              <w:jc w:val="left"/>
            </w:pPr>
            <w:r>
              <w:t xml:space="preserve">Approximate via</w:t>
            </w:r>
            <w:r>
              <w:t xml:space="preserve"> </w:t>
            </w:r>
            <w:r>
              <w:rPr>
                <w:rStyle w:val="VerbatimChar"/>
              </w:rPr>
              <w:t xml:space="preserve">constant_throughput</w:t>
            </w:r>
            <w:r>
              <w:t xml:space="preserve"> </w:t>
            </w:r>
            <w:r>
              <w:t xml:space="preserve">per user</w:t>
            </w:r>
          </w:p>
        </w:tc>
        <w:tc>
          <w:tcPr/>
          <w:p>
            <w:pPr>
              <w:pStyle w:val="Compact"/>
              <w:jc w:val="left"/>
            </w:pPr>
            <w:r>
              <w:t xml:space="preserve">Default: users with</w:t>
            </w:r>
            <w:r>
              <w:t xml:space="preserve"> </w:t>
            </w:r>
            <w:r>
              <w:rPr>
                <w:rStyle w:val="VerbatimChar"/>
              </w:rPr>
              <w:t xml:space="preserve">wait_time</w:t>
            </w:r>
          </w:p>
        </w:tc>
        <w:tc>
          <w:tcPr/>
          <w:p>
            <w:pPr>
              <w:pStyle w:val="Compact"/>
              <w:jc w:val="left"/>
            </w:pPr>
            <w:r>
              <w:t xml:space="preserve">Easy to write; one user per greenlet</w:t>
            </w:r>
          </w:p>
        </w:tc>
      </w:tr>
      <w:tr>
        <w:tc>
          <w:tcPr/>
          <w:p>
            <w:pPr>
              <w:pStyle w:val="Compact"/>
              <w:jc w:val="left"/>
            </w:pPr>
            <w:r>
              <w:t xml:space="preserve">wrk (original)</w:t>
            </w:r>
          </w:p>
        </w:tc>
        <w:tc>
          <w:tcPr/>
          <w:p>
            <w:pPr>
              <w:pStyle w:val="Compact"/>
              <w:jc w:val="left"/>
            </w:pPr>
            <w:r>
              <w:t xml:space="preserve">Lua</w:t>
            </w:r>
          </w:p>
        </w:tc>
        <w:tc>
          <w:tcPr/>
          <w:p>
            <w:pPr>
              <w:pStyle w:val="Compact"/>
              <w:jc w:val="left"/>
            </w:pPr>
            <w:r>
              <w:t xml:space="preserve">—</w:t>
            </w:r>
          </w:p>
        </w:tc>
        <w:tc>
          <w:tcPr/>
          <w:p>
            <w:pPr>
              <w:pStyle w:val="Compact"/>
              <w:jc w:val="left"/>
            </w:pPr>
            <w:r>
              <w:t xml:space="preserve">Yes</w:t>
            </w:r>
          </w:p>
        </w:tc>
        <w:tc>
          <w:tcPr/>
          <w:p>
            <w:pPr>
              <w:pStyle w:val="Compact"/>
              <w:jc w:val="left"/>
            </w:pPr>
            <w:r>
              <w:t xml:space="preserve">Fast, but subject to coordinated omission</w:t>
            </w:r>
          </w:p>
        </w:tc>
      </w:tr>
    </w:tbl>
    <w:p>
      <w:pPr>
        <w:pStyle w:val="CalloutIndustry"/>
      </w:pPr>
      <w:r>
        <w:rPr>
          <w:bCs/>
          <w:b/>
        </w:rPr>
        <w:t xml:space="preserve">INDUSTRY EXAMPLE</w:t>
      </w:r>
    </w:p>
    <w:p>
      <w:pPr>
        <w:pStyle w:val="CalloutIndustry"/>
      </w:pPr>
      <w:r>
        <w:rPr>
          <w:bCs/>
          <w:b/>
        </w:rPr>
        <w:t xml:space="preserve">Facebook — Kraken load tests with live traffic.</w:t>
      </w:r>
      <w:r>
        <w:t xml:space="preserve"> </w:t>
      </w:r>
      <w:r>
        <w:t xml:space="preserve">Instead of synthetic load, Kraken shifts a controlled share of</w:t>
      </w:r>
      <w:r>
        <w:t xml:space="preserve"> </w:t>
      </w:r>
      <w:r>
        <w:rPr>
          <w:iCs/>
          <w:i/>
        </w:rPr>
        <w:t xml:space="preserve">real</w:t>
      </w:r>
      <w:r>
        <w:t xml:space="preserve"> </w:t>
      </w:r>
      <w:r>
        <w:t xml:space="preserve">user traffic onto a target cluster or region by adjusting load-balancer weights, monitors health metrics, and stops automatically if latency or errors degrade. Regular tests exposed bottlenecks synthetic tests missed. Trade-off: the</w:t>
      </w:r>
      <w:r>
        <w:t xml:space="preserve"> </w:t>
      </w:r>
      <w:r>
        <w:t xml:space="preserve">“</w:t>
      </w:r>
      <w:r>
        <w:t xml:space="preserve">test load</w:t>
      </w:r>
      <w:r>
        <w:t xml:space="preserve">”</w:t>
      </w:r>
      <w:r>
        <w:t xml:space="preserve"> </w:t>
      </w:r>
      <w:r>
        <w:t xml:space="preserve">is real users, so safety stops must be fast and automatic.</w:t>
      </w:r>
      <w:r>
        <w:t xml:space="preserve"> </w:t>
      </w:r>
      <w:r>
        <w:rPr>
          <w:iCs/>
          <w:i/>
        </w:rPr>
        <w:t xml:space="preserve">Evidence: Primary</w:t>
      </w:r>
      <w:r>
        <w:t xml:space="preserve"> </w:t>
      </w:r>
      <w:r>
        <w:t xml:space="preserve">— [Veeraraghavan et al. 2016]</w:t>
      </w:r>
    </w:p>
    <w:p>
      <w:pPr>
        <w:pStyle w:val="CalloutMistake"/>
      </w:pPr>
      <w:r>
        <w:rPr>
          <w:bCs/>
          <w:b/>
        </w:rPr>
        <w:t xml:space="preserve">COMMON MISTAKE</w:t>
      </w:r>
    </w:p>
    <w:p>
      <w:pPr>
        <w:pStyle w:val="CalloutMistake"/>
      </w:pPr>
      <w:r>
        <w:rPr>
          <w:bCs/>
          <w:b/>
        </w:rPr>
        <w:t xml:space="preserve">Mistake —</w:t>
      </w:r>
      <w:r>
        <w:rPr>
          <w:bCs/>
          <w:b/>
        </w:rPr>
        <w:t xml:space="preserve"> </w:t>
      </w:r>
      <w:r>
        <w:rPr>
          <w:bCs/>
          <w:b/>
        </w:rPr>
        <w:t xml:space="preserve">“</w:t>
      </w:r>
      <w:r>
        <w:rPr>
          <w:bCs/>
          <w:b/>
        </w:rPr>
        <w:t xml:space="preserve">The load test passed at 10,000 RPS</w:t>
      </w:r>
      <w:r>
        <w:rPr>
          <w:bCs/>
          <w:b/>
        </w:rPr>
        <w:t xml:space="preserve">”</w:t>
      </w:r>
      <w:r>
        <w:rPr>
          <w:bCs/>
          <w:b/>
        </w:rPr>
        <w:t xml:space="preserve"> </w:t>
      </w:r>
      <w:r>
        <w:rPr>
          <w:bCs/>
          <w:b/>
        </w:rPr>
        <w:t xml:space="preserve">when the generator achieved 6,000.</w:t>
      </w:r>
      <w:r>
        <w:t xml:space="preserve"> </w:t>
      </w:r>
      <w:r>
        <w:t xml:space="preserve">Closed-loop generators report whatever rate the system allowed. Print the</w:t>
      </w:r>
      <w:r>
        <w:t xml:space="preserve"> </w:t>
      </w:r>
      <w:r>
        <w:rPr>
          <w:iCs/>
          <w:i/>
        </w:rPr>
        <w:t xml:space="preserve">achieved</w:t>
      </w:r>
      <w:r>
        <w:t xml:space="preserve"> </w:t>
      </w:r>
      <w:r>
        <w:t xml:space="preserve">rate next to latency results, and fail the test if it falls short.</w:t>
      </w:r>
    </w:p>
    <w:bookmarkEnd w:id="2600"/>
    <w:bookmarkEnd w:id="2601"/>
    <w:bookmarkStart w:id="2608" w:name="tail-latency-at-scale"/>
    <w:p>
      <w:pPr>
        <w:pStyle w:val="Heading2"/>
      </w:pPr>
      <w:r>
        <w:t xml:space="preserve">23.6 Tail latency at scale</w:t>
      </w:r>
    </w:p>
    <w:bookmarkStart w:id="2602" w:name="fan-out-amplification-quantified"/>
    <w:p>
      <w:pPr>
        <w:pStyle w:val="Heading3"/>
      </w:pPr>
      <w:r>
        <w:t xml:space="preserve">23.6.1 Fan-out amplification, quantified</w:t>
      </w:r>
    </w:p>
    <w:p>
      <w:pPr>
        <w:pStyle w:val="FirstParagraph"/>
      </w:pPr>
      <w:r>
        <w:t xml:space="preserve">Section 4.8.4 showed that a root waiting for</w:t>
      </w:r>
      <w:r>
        <w:t xml:space="preserve"> </w:t>
      </w:r>
      <m:oMath>
        <m:r>
          <m:t>N</m:t>
        </m:r>
      </m:oMath>
      <w:r>
        <w:t xml:space="preserve"> </w:t>
      </w:r>
      <w:r>
        <w:t xml:space="preserve">independent leaves is slow whenever</w:t>
      </w:r>
      <w:r>
        <w:t xml:space="preserve"> </w:t>
      </w:r>
      <w:r>
        <w:rPr>
          <w:iCs/>
          <w:i/>
        </w:rPr>
        <w:t xml:space="preserve">any</w:t>
      </w:r>
      <w:r>
        <w:t xml:space="preserve"> </w:t>
      </w:r>
      <w:r>
        <w:t xml:space="preserve">leaf is slow: with a leaf p99 threshold,</w:t>
      </w:r>
      <w:r>
        <w:t xml:space="preserve"> </w:t>
      </w:r>
      <m:oMath>
        <m:r>
          <m:t>1</m:t>
        </m:r>
        <m:r>
          <m:rPr>
            <m:sty m:val="p"/>
          </m:rPr>
          <m:t>−</m:t>
        </m:r>
        <m:sSup>
          <m:e>
            <m:r>
              <m:t>0.99</m:t>
            </m:r>
          </m:e>
          <m:sup>
            <m:r>
              <m:t>N</m:t>
            </m:r>
          </m:sup>
        </m:sSup>
      </m:oMath>
      <w:r>
        <w:t xml:space="preserve"> </w:t>
      </w:r>
      <w:r>
        <w:t xml:space="preserve">of root requests exceed it. The same idea gives the root’s whole latency distribution.</w:t>
      </w:r>
    </w:p>
    <w:p>
      <w:pPr>
        <w:pStyle w:val="CalloutFormula"/>
      </w:pPr>
      <w:r>
        <w:rPr>
          <w:bCs/>
          <w:b/>
        </w:rPr>
        <w:t xml:space="preserve">FORMULA</w:t>
      </w:r>
    </w:p>
    <w:p>
      <w:pPr>
        <w:pStyle w:val="CalloutFormula"/>
      </w:pPr>
      <w:r>
        <w:rPr>
          <w:bCs/>
          <w:b/>
        </w:rPr>
        <w:t xml:space="preserve">Percentiles of a fan-out request</w:t>
      </w:r>
    </w:p>
    <w:p>
      <w:pPr>
        <w:pStyle w:val="CalloutFormula"/>
      </w:pPr>
      <m:oMathPara>
        <m:oMathParaPr>
          <m:jc m:val="center"/>
        </m:oMathParaPr>
        <m:oMath>
          <m:r>
            <m:t>P</m:t>
          </m:r>
          <m:d>
            <m:dPr>
              <m:begChr m:val="("/>
              <m:endChr m:val=")"/>
              <m:sepChr m:val=""/>
              <m:grow/>
            </m:dPr>
            <m:e>
              <m:sSub>
                <m:e>
                  <m:r>
                    <m:t>T</m:t>
                  </m:r>
                </m:e>
                <m:sub>
                  <m:r>
                    <m:rPr>
                      <m:nor/>
                      <m:sty m:val="p"/>
                    </m:rPr>
                    <m:t>root</m:t>
                  </m:r>
                </m:sub>
              </m:sSub>
              <m:r>
                <m:rPr>
                  <m:sty m:val="p"/>
                </m:rPr>
                <m:t>≤</m:t>
              </m:r>
              <m:r>
                <m:t>t</m:t>
              </m:r>
            </m:e>
          </m:d>
          <m:r>
            <m:rPr>
              <m:sty m:val="p"/>
            </m:rPr>
            <m:t>=</m:t>
          </m:r>
          <m:r>
            <m:t>F</m:t>
          </m:r>
          <m:sSup>
            <m:e>
              <m:d>
                <m:dPr>
                  <m:begChr m:val="("/>
                  <m:endChr m:val=")"/>
                  <m:sepChr m:val=""/>
                  <m:grow/>
                </m:dPr>
                <m:e>
                  <m:r>
                    <m:t>t</m:t>
                  </m:r>
                </m:e>
              </m:d>
            </m:e>
            <m:sup>
              <m:r>
                <m:t>N</m:t>
              </m:r>
            </m:sup>
          </m:sSup>
          <m:r>
            <m:t>  </m:t>
          </m:r>
          <m:sSubSup>
            <m:e>
              <m:r>
                <m:t>t</m:t>
              </m:r>
            </m:e>
            <m:sub>
              <m:r>
                <m:t>q</m:t>
              </m:r>
            </m:sub>
            <m:sup>
              <m:r>
                <m:rPr>
                  <m:nor/>
                  <m:sty m:val="p"/>
                </m:rPr>
                <m:t>root</m:t>
              </m:r>
            </m:sup>
          </m:sSubSup>
          <m:r>
            <m:rPr>
              <m:sty m:val="p"/>
            </m:rPr>
            <m:t>=</m:t>
          </m:r>
          <m:sSup>
            <m:e>
              <m:r>
                <m:t>F</m:t>
              </m:r>
            </m:e>
            <m:sup>
              <m:r>
                <m:rPr>
                  <m:sty m:val="p"/>
                </m:rPr>
                <m:t>−</m:t>
              </m:r>
              <m:r>
                <m:t>1</m:t>
              </m:r>
            </m:sup>
          </m:sSup>
          <m:r>
            <m:t>​</m:t>
          </m:r>
          <m:d>
            <m:dPr>
              <m:begChr m:val="("/>
              <m:endChr m:val=")"/>
              <m:sepChr m:val=""/>
              <m:grow/>
            </m:dPr>
            <m:e>
              <m:sSup>
                <m:e>
                  <m:r>
                    <m:t>q</m:t>
                  </m:r>
                </m:e>
                <m:sup>
                  <m:r>
                    <m:t>1</m:t>
                  </m:r>
                  <m:r>
                    <m:rPr>
                      <m:sty m:val="p"/>
                    </m:rPr>
                    <m:t>/</m:t>
                  </m:r>
                  <m:r>
                    <m:t>N</m:t>
                  </m:r>
                </m:sup>
              </m:sSup>
            </m:e>
          </m:d>
          <m:r>
            <m:t>  </m:t>
          </m:r>
          <m:r>
            <m:rPr>
              <m:nor/>
              <m:sty m:val="p"/>
            </m:rPr>
            <m:t>exponential leaves: </m:t>
          </m:r>
          <m:sSubSup>
            <m:e>
              <m:r>
                <m:t>t</m:t>
              </m:r>
            </m:e>
            <m:sub>
              <m:r>
                <m:t>q</m:t>
              </m:r>
            </m:sub>
            <m:sup>
              <m:r>
                <m:rPr>
                  <m:nor/>
                  <m:sty m:val="p"/>
                </m:rPr>
                <m:t>root</m:t>
              </m:r>
            </m:sup>
          </m:sSubSup>
          <m:r>
            <m:rPr>
              <m:sty m:val="p"/>
            </m:rPr>
            <m:t>=</m:t>
          </m:r>
          <m:r>
            <m:t>m</m:t>
          </m:r>
          <m:r>
            <m:rPr>
              <m:sty m:val="p"/>
            </m:rPr>
            <m:t>ln</m:t>
          </m:r>
          <m:f>
            <m:fPr>
              <m:type m:val="bar"/>
            </m:fPr>
            <m:num>
              <m:r>
                <m:t>1</m:t>
              </m:r>
            </m:num>
            <m:den>
              <m:r>
                <m:t>1</m:t>
              </m:r>
              <m:r>
                <m:rPr>
                  <m:sty m:val="p"/>
                </m:rPr>
                <m:t>−</m:t>
              </m:r>
              <m:sSup>
                <m:e>
                  <m:r>
                    <m:t>q</m:t>
                  </m:r>
                </m:e>
                <m:sup>
                  <m:r>
                    <m:t>1</m:t>
                  </m:r>
                  <m:r>
                    <m:rPr>
                      <m:sty m:val="p"/>
                    </m:rPr>
                    <m:t>/</m:t>
                  </m:r>
                  <m:r>
                    <m:t>N</m:t>
                  </m:r>
                </m:sup>
              </m:sSup>
            </m:den>
          </m:f>
        </m:oMath>
      </m:oMathPara>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F</m:t>
              </m:r>
              <m:d>
                <m:dPr>
                  <m:begChr m:val="("/>
                  <m:endChr m:val=")"/>
                  <m:sepChr m:val=""/>
                  <m:grow/>
                </m:dPr>
                <m:e>
                  <m:r>
                    <m:t>t</m:t>
                  </m:r>
                </m:e>
              </m:d>
            </m:oMath>
          </w:p>
        </w:tc>
        <w:tc>
          <w:tcPr/>
          <w:p>
            <w:pPr>
              <w:pStyle w:val="Compact"/>
              <w:jc w:val="left"/>
            </w:pPr>
            <w:r>
              <w:t xml:space="preserve">CDF of one leaf’s latency</w:t>
            </w:r>
          </w:p>
        </w:tc>
        <w:tc>
          <w:tcPr/>
          <w:p>
            <w:pPr>
              <w:pStyle w:val="Compact"/>
              <w:jc w:val="left"/>
            </w:pPr>
            <w:r>
              <w:t xml:space="preserve">dimensionless</w:t>
            </w:r>
          </w:p>
        </w:tc>
      </w:tr>
      <w:tr>
        <w:tc>
          <w:tcPr/>
          <w:p>
            <w:pPr>
              <w:pStyle w:val="Compact"/>
              <w:jc w:val="left"/>
            </w:pPr>
            <m:oMath>
              <m:r>
                <m:t>N</m:t>
              </m:r>
            </m:oMath>
          </w:p>
        </w:tc>
        <w:tc>
          <w:tcPr/>
          <w:p>
            <w:pPr>
              <w:pStyle w:val="Compact"/>
              <w:jc w:val="left"/>
            </w:pPr>
            <w:r>
              <w:t xml:space="preserve">Number of leaves the root waits for</w:t>
            </w:r>
          </w:p>
        </w:tc>
        <w:tc>
          <w:tcPr/>
          <w:p>
            <w:pPr>
              <w:pStyle w:val="Compact"/>
              <w:jc w:val="left"/>
            </w:pPr>
            <w:r>
              <w:t xml:space="preserve">count</w:t>
            </w:r>
          </w:p>
        </w:tc>
      </w:tr>
      <w:tr>
        <w:tc>
          <w:tcPr/>
          <w:p>
            <w:pPr>
              <w:pStyle w:val="Compact"/>
              <w:jc w:val="left"/>
            </w:pPr>
            <m:oMath>
              <m:r>
                <m:t>q</m:t>
              </m:r>
            </m:oMath>
          </w:p>
        </w:tc>
        <w:tc>
          <w:tcPr/>
          <w:p>
            <w:pPr>
              <w:pStyle w:val="Compact"/>
              <w:jc w:val="left"/>
            </w:pPr>
            <w:r>
              <w:t xml:space="preserve">Desired root percentile (as a fraction)</w:t>
            </w:r>
          </w:p>
        </w:tc>
        <w:tc>
          <w:tcPr/>
          <w:p>
            <w:pPr>
              <w:pStyle w:val="Compact"/>
              <w:jc w:val="left"/>
            </w:pPr>
            <w:r>
              <w:t xml:space="preserve">dimensionless</w:t>
            </w:r>
          </w:p>
        </w:tc>
      </w:tr>
      <w:tr>
        <w:tc>
          <w:tcPr/>
          <w:p>
            <w:pPr>
              <w:pStyle w:val="Compact"/>
              <w:jc w:val="left"/>
            </w:pPr>
            <m:oMath>
              <m:sSubSup>
                <m:e>
                  <m:r>
                    <m:t>t</m:t>
                  </m:r>
                </m:e>
                <m:sub>
                  <m:r>
                    <m:t>q</m:t>
                  </m:r>
                </m:sub>
                <m:sup>
                  <m:r>
                    <m:rPr>
                      <m:nor/>
                      <m:sty m:val="p"/>
                    </m:rPr>
                    <m:t>root</m:t>
                  </m:r>
                </m:sup>
              </m:sSubSup>
            </m:oMath>
          </w:p>
        </w:tc>
        <w:tc>
          <w:tcPr/>
          <w:p>
            <w:pPr>
              <w:pStyle w:val="Compact"/>
              <w:jc w:val="left"/>
            </w:pPr>
            <w:r>
              <w:t xml:space="preserve">Root latency at percentile</w:t>
            </w:r>
            <w:r>
              <w:t xml:space="preserve"> </w:t>
            </w:r>
            <m:oMath>
              <m:r>
                <m:t>q</m:t>
              </m:r>
            </m:oMath>
          </w:p>
        </w:tc>
        <w:tc>
          <w:tcPr/>
          <w:p>
            <w:pPr>
              <w:pStyle w:val="Compact"/>
              <w:jc w:val="left"/>
            </w:pPr>
            <w:r>
              <w:t xml:space="preserve">ms</w:t>
            </w:r>
          </w:p>
        </w:tc>
      </w:tr>
      <w:tr>
        <w:tc>
          <w:tcPr/>
          <w:p>
            <w:pPr>
              <w:pStyle w:val="Compact"/>
              <w:jc w:val="left"/>
            </w:pPr>
            <m:oMath>
              <m:r>
                <m:t>m</m:t>
              </m:r>
            </m:oMath>
          </w:p>
        </w:tc>
        <w:tc>
          <w:tcPr/>
          <w:p>
            <w:pPr>
              <w:pStyle w:val="Compact"/>
              <w:jc w:val="left"/>
            </w:pPr>
            <w:r>
              <w:t xml:space="preserve">Mean leaf latency for exponentially distributed leaves</w:t>
            </w:r>
          </w:p>
        </w:tc>
        <w:tc>
          <w:tcPr/>
          <w:p>
            <w:pPr>
              <w:pStyle w:val="Compact"/>
              <w:jc w:val="left"/>
            </w:pPr>
            <w:r>
              <w:t xml:space="preserve">ms</w:t>
            </w:r>
          </w:p>
        </w:tc>
      </w:tr>
    </w:tbl>
    <w:p>
      <w:pPr>
        <w:pStyle w:val="CalloutExample"/>
      </w:pPr>
      <w:r>
        <w:rPr>
          <w:bCs/>
          <w:b/>
        </w:rPr>
        <w:t xml:space="preserve">WORKED EXAMPLE</w:t>
      </w:r>
    </w:p>
    <w:p>
      <w:pPr>
        <w:pStyle w:val="CalloutExample"/>
      </w:pPr>
      <w:r>
        <w:rPr>
          <w:bCs/>
          <w:b/>
        </w:rPr>
        <w:t xml:space="preserve">Worked example — 100 leaves with exponential latency.</w:t>
      </w:r>
      <w:r>
        <w:t xml:space="preserve"> </w:t>
      </w:r>
      <w:r>
        <w:t xml:space="preserve">Leaf latency is exponential with mean</w:t>
      </w:r>
      <w:r>
        <w:t xml:space="preserve"> </w:t>
      </w:r>
      <m:oMath>
        <m:r>
          <m:t>m</m:t>
        </m:r>
        <m:r>
          <m:rPr>
            <m:sty m:val="p"/>
          </m:rPr>
          <m:t>=</m:t>
        </m:r>
        <m:r>
          <m:t>10</m:t>
        </m:r>
      </m:oMath>
      <w:r>
        <w:t xml:space="preserve"> </w:t>
      </w:r>
      <w:r>
        <w:t xml:space="preserve">ms.</w:t>
      </w:r>
    </w:p>
    <w:p>
      <w:pPr>
        <w:numPr>
          <w:ilvl w:val="0"/>
          <w:numId w:val="1762"/>
        </w:numPr>
        <w:pStyle w:val="Compact"/>
      </w:pPr>
      <w:r>
        <w:t xml:space="preserve">One leaf’s p99:</w:t>
      </w:r>
      <w:r>
        <w:t xml:space="preserve"> </w:t>
      </w:r>
      <m:oMath>
        <m:r>
          <m:t>10</m:t>
        </m:r>
        <m:r>
          <m:rPr>
            <m:sty m:val="p"/>
          </m:rPr>
          <m:t>ln</m:t>
        </m:r>
        <m:r>
          <m:t>100</m:t>
        </m:r>
        <m:r>
          <m:rPr>
            <m:sty m:val="p"/>
          </m:rPr>
          <m:t>=</m:t>
        </m:r>
        <m:r>
          <m:t>46.1</m:t>
        </m:r>
      </m:oMath>
      <w:r>
        <w:t xml:space="preserve"> </w:t>
      </w:r>
      <w:r>
        <w:t xml:space="preserve">ms.</w:t>
      </w:r>
    </w:p>
    <w:p>
      <w:pPr>
        <w:numPr>
          <w:ilvl w:val="0"/>
          <w:numId w:val="1762"/>
        </w:numPr>
        <w:pStyle w:val="Compact"/>
      </w:pPr>
      <w:r>
        <w:t xml:space="preserve">Root p50 with</w:t>
      </w:r>
      <w:r>
        <w:t xml:space="preserve"> </w:t>
      </w:r>
      <m:oMath>
        <m:r>
          <m:t>N</m:t>
        </m:r>
        <m:r>
          <m:rPr>
            <m:sty m:val="p"/>
          </m:rPr>
          <m:t>=</m:t>
        </m:r>
        <m:r>
          <m:t>100</m:t>
        </m:r>
      </m:oMath>
      <w:r>
        <w:t xml:space="preserve">:</w:t>
      </w:r>
      <w:r>
        <w:t xml:space="preserve"> </w:t>
      </w:r>
      <m:oMath>
        <m:sSup>
          <m:e>
            <m:r>
              <m:t>0.5</m:t>
            </m:r>
          </m:e>
          <m:sup>
            <m:r>
              <m:t>1</m:t>
            </m:r>
            <m:r>
              <m:rPr>
                <m:sty m:val="p"/>
              </m:rPr>
              <m:t>/</m:t>
            </m:r>
            <m:r>
              <m:t>100</m:t>
            </m:r>
          </m:sup>
        </m:sSup>
        <m:r>
          <m:rPr>
            <m:sty m:val="p"/>
          </m:rPr>
          <m:t>=</m:t>
        </m:r>
        <m:r>
          <m:t>0.99309</m:t>
        </m:r>
      </m:oMath>
      <w:r>
        <w:t xml:space="preserve">, so</w:t>
      </w:r>
      <w:r>
        <w:t xml:space="preserve"> </w:t>
      </w:r>
      <m:oMath>
        <m:r>
          <m:t>t</m:t>
        </m:r>
        <m:r>
          <m:rPr>
            <m:sty m:val="p"/>
          </m:rPr>
          <m:t>=</m:t>
        </m:r>
        <m:r>
          <m:t>10</m:t>
        </m:r>
        <m:r>
          <m:rPr>
            <m:sty m:val="p"/>
          </m:rPr>
          <m:t>ln</m:t>
        </m:r>
        <m:d>
          <m:dPr>
            <m:begChr m:val="("/>
            <m:endChr m:val=")"/>
            <m:sepChr m:val=""/>
            <m:grow/>
          </m:dPr>
          <m:e>
            <m:r>
              <m:t>1</m:t>
            </m:r>
            <m:r>
              <m:rPr>
                <m:sty m:val="p"/>
              </m:rPr>
              <m:t>/</m:t>
            </m:r>
            <m:r>
              <m:t>0.00691</m:t>
            </m:r>
          </m:e>
        </m:d>
        <m:r>
          <m:rPr>
            <m:sty m:val="p"/>
          </m:rPr>
          <m:t>=</m:t>
        </m:r>
        <m:r>
          <m:t>10</m:t>
        </m:r>
        <m:r>
          <m:rPr>
            <m:sty m:val="p"/>
          </m:rPr>
          <m:t>×</m:t>
        </m:r>
        <m:r>
          <m:t>4.975</m:t>
        </m:r>
        <m:r>
          <m:rPr>
            <m:sty m:val="p"/>
          </m:rPr>
          <m:t>=</m:t>
        </m:r>
        <m:r>
          <m:t>49.8</m:t>
        </m:r>
      </m:oMath>
      <w:r>
        <w:t xml:space="preserve"> </w:t>
      </w:r>
      <w:r>
        <w:t xml:space="preserve">ms.</w:t>
      </w:r>
    </w:p>
    <w:p>
      <w:pPr>
        <w:numPr>
          <w:ilvl w:val="0"/>
          <w:numId w:val="1762"/>
        </w:numPr>
        <w:pStyle w:val="Compact"/>
      </w:pPr>
      <w:r>
        <w:t xml:space="preserve">Root p99:</w:t>
      </w:r>
      <w:r>
        <w:t xml:space="preserve"> </w:t>
      </w:r>
      <m:oMath>
        <m:sSup>
          <m:e>
            <m:r>
              <m:t>0.99</m:t>
            </m:r>
          </m:e>
          <m:sup>
            <m:r>
              <m:t>1</m:t>
            </m:r>
            <m:r>
              <m:rPr>
                <m:sty m:val="p"/>
              </m:rPr>
              <m:t>/</m:t>
            </m:r>
            <m:r>
              <m:t>100</m:t>
            </m:r>
          </m:sup>
        </m:sSup>
        <m:r>
          <m:rPr>
            <m:sty m:val="p"/>
          </m:rPr>
          <m:t>=</m:t>
        </m:r>
        <m:r>
          <m:t>0.9998995</m:t>
        </m:r>
      </m:oMath>
      <w:r>
        <w:t xml:space="preserve">, so</w:t>
      </w:r>
      <w:r>
        <w:t xml:space="preserve"> </w:t>
      </w:r>
      <m:oMath>
        <m:r>
          <m:t>t</m:t>
        </m:r>
        <m:r>
          <m:rPr>
            <m:sty m:val="p"/>
          </m:rPr>
          <m:t>=</m:t>
        </m:r>
        <m:r>
          <m:t>10</m:t>
        </m:r>
        <m:r>
          <m:rPr>
            <m:sty m:val="p"/>
          </m:rPr>
          <m:t>ln</m:t>
        </m:r>
        <m:d>
          <m:dPr>
            <m:begChr m:val="("/>
            <m:endChr m:val=")"/>
            <m:sepChr m:val=""/>
            <m:grow/>
          </m:dPr>
          <m:e>
            <m:r>
              <m:t>1</m:t>
            </m:r>
            <m:r>
              <m:rPr>
                <m:sty m:val="p"/>
              </m:rPr>
              <m:t>/</m:t>
            </m:r>
            <m:r>
              <m:t>0.0001005</m:t>
            </m:r>
          </m:e>
        </m:d>
        <m:r>
          <m:rPr>
            <m:sty m:val="p"/>
          </m:rPr>
          <m:t>=</m:t>
        </m:r>
        <m:r>
          <m:t>10</m:t>
        </m:r>
        <m:r>
          <m:rPr>
            <m:sty m:val="p"/>
          </m:rPr>
          <m:t>×</m:t>
        </m:r>
        <m:r>
          <m:t>9.205</m:t>
        </m:r>
        <m:r>
          <m:rPr>
            <m:sty m:val="p"/>
          </m:rPr>
          <m:t>=</m:t>
        </m:r>
        <m:r>
          <m:t>92.1</m:t>
        </m:r>
      </m:oMath>
      <w:r>
        <w:t xml:space="preserve"> </w:t>
      </w:r>
      <w:r>
        <w:t xml:space="preserve">ms.</w:t>
      </w:r>
    </w:p>
    <w:p>
      <w:pPr>
        <w:pStyle w:val="CalloutExample"/>
      </w:pPr>
      <w:r>
        <w:rPr>
          <w:bCs/>
          <w:b/>
        </w:rPr>
        <w:t xml:space="preserve">Interpretation.</w:t>
      </w:r>
      <w:r>
        <w:t xml:space="preserve"> </w:t>
      </w:r>
      <w:r>
        <w:t xml:space="preserve">The root’s</w:t>
      </w:r>
      <w:r>
        <w:t xml:space="preserve"> </w:t>
      </w:r>
      <w:r>
        <w:rPr>
          <w:iCs/>
          <w:i/>
        </w:rPr>
        <w:t xml:space="preserve">median</w:t>
      </w:r>
      <w:r>
        <w:t xml:space="preserve"> </w:t>
      </w:r>
      <w:r>
        <w:t xml:space="preserve">(49.8 ms) is worse than one leaf’s p99 (46.1 ms).</w:t>
      </w:r>
      <w:r>
        <w:t xml:space="preserve"> </w:t>
      </w:r>
      <w:r>
        <w:rPr>
          <w:bCs/>
          <w:b/>
        </w:rPr>
        <w:t xml:space="preserve">Engineering implication.</w:t>
      </w:r>
      <w:r>
        <w:t xml:space="preserve"> </w:t>
      </w:r>
      <w:r>
        <w:t xml:space="preserve">In fan-out services the leaf tail</w:t>
      </w:r>
      <w:r>
        <w:t xml:space="preserve"> </w:t>
      </w:r>
      <w:r>
        <w:rPr>
          <w:iCs/>
          <w:i/>
        </w:rPr>
        <w:t xml:space="preserve">is</w:t>
      </w:r>
      <w:r>
        <w:t xml:space="preserve"> </w:t>
      </w:r>
      <w:r>
        <w:t xml:space="preserve">the user-facing median: engineer leaves to extreme percentiles or use tail-tolerant techniques (§23.7).</w:t>
      </w:r>
    </w:p>
    <w:p>
      <w:pPr>
        <w:pStyle w:val="BodyText"/>
      </w:pPr>
      <w:r>
        <w:t xml:space="preserve">Real leaves are not fully independent: a shared cause (a switch hiccup) slows many at once. Dean and Barroso measured a large fan-out service at Google and reported that waiting for the slowest 5% of leaf requests accounted for roughly half of the root’s p99 latency [Dean and Barroso 2013].</w:t>
      </w:r>
    </w:p>
    <w:bookmarkEnd w:id="2602"/>
    <w:bookmarkStart w:id="2606" w:name="sources-of-variability"/>
    <w:p>
      <w:pPr>
        <w:pStyle w:val="Heading3"/>
      </w:pPr>
      <w:r>
        <w:t xml:space="preserve">23.6.2 Sources of variability</w:t>
      </w:r>
    </w:p>
    <w:p>
      <w:pPr>
        <w:pStyle w:val="FirstParagraph"/>
      </w:pPr>
      <w:r>
        <w:t xml:space="preserve">Dean and Barroso list the usual suspects: contention with co-located work, daemons and background activities, shared global resources (switches, file systems), maintenance, queueing at many layers, power and thermal throttling, SSD garbage collection and runtime garbage collection [Dean and Barroso 2013].</w:t>
      </w:r>
    </w:p>
    <w:p>
      <w:pPr>
        <w:pStyle w:val="BodyText"/>
      </w:pPr>
      <w:r>
        <w:rPr>
          <w:bCs/>
          <w:b/>
        </w:rPr>
        <w:t xml:space="preserve">Figure 23.7 — Where variability enters a request.</w:t>
      </w:r>
    </w:p>
    <w:p>
      <w:pPr>
        <w:pStyle w:val="BodyText"/>
      </w:pPr>
      <w:r>
        <w:drawing>
          <wp:inline>
            <wp:extent cx="5334000" cy="1529328"/>
            <wp:effectExtent b="0" l="0" r="0" t="0"/>
            <wp:docPr descr="" title="" id="2604" name="Picture"/>
            <a:graphic>
              <a:graphicData uri="http://schemas.openxmlformats.org/drawingml/2006/picture">
                <pic:pic>
                  <pic:nvPicPr>
                    <pic:cNvPr descr="/home/user/System-Design/build/.cache/diagrams/08dd718dbdcb.png" id="2605" name="Picture"/>
                    <pic:cNvPicPr>
                      <a:picLocks noChangeArrowheads="1" noChangeAspect="1"/>
                    </pic:cNvPicPr>
                  </pic:nvPicPr>
                  <pic:blipFill>
                    <a:blip r:embed="rId2603"/>
                    <a:stretch>
                      <a:fillRect/>
                    </a:stretch>
                  </pic:blipFill>
                  <pic:spPr bwMode="auto">
                    <a:xfrm>
                      <a:off x="0" y="0"/>
                      <a:ext cx="5334000" cy="1529328"/>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Solid arrows are the synchronous request path (TCP, then HTTP or RPC, then a storage read at the storage boundary). Each dotted arrow is an asynchronous disturbance that delays the request without belonging to it: a dropped packet costs a ≥ 200 ms retransmission timeout (§7.7); co-located tenants, CPU quotas (§23.6.3) and runtime pauses (§23.9) stall the instance; a request queued behind an expensive one inherits its delay; compaction (§13.9), SSD garbage collection (§5.6) and backups steal storage I/O. Every box is a tail-latency failure point, and scaling out multiplies their combined effect.</w:t>
      </w:r>
    </w:p>
    <w:p>
      <w:pPr>
        <w:pStyle w:val="BodyText"/>
      </w:pPr>
      <w:r>
        <w:rPr>
          <w:bCs/>
          <w:b/>
        </w:rPr>
        <w:t xml:space="preserve">Table 23.6 — Common sources of tail latency.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Source</w:t>
            </w:r>
          </w:p>
        </w:tc>
        <w:tc>
          <w:tcPr/>
          <w:p>
            <w:pPr>
              <w:pStyle w:val="Compact"/>
              <w:jc w:val="left"/>
            </w:pPr>
            <w:r>
              <w:t xml:space="preserve">Typical magnitude</w:t>
            </w:r>
          </w:p>
        </w:tc>
        <w:tc>
          <w:tcPr/>
          <w:p>
            <w:pPr>
              <w:pStyle w:val="Compact"/>
              <w:jc w:val="left"/>
            </w:pPr>
            <w:r>
              <w:t xml:space="preserve">Detection</w:t>
            </w:r>
          </w:p>
        </w:tc>
        <w:tc>
          <w:tcPr/>
          <w:p>
            <w:pPr>
              <w:pStyle w:val="Compact"/>
              <w:jc w:val="left"/>
            </w:pPr>
            <w:r>
              <w:t xml:space="preserve">Mitigation</w:t>
            </w:r>
          </w:p>
        </w:tc>
      </w:tr>
      <w:tr>
        <w:tc>
          <w:tcPr/>
          <w:p>
            <w:pPr>
              <w:pStyle w:val="Compact"/>
              <w:jc w:val="left"/>
            </w:pPr>
            <w:r>
              <w:t xml:space="preserve">GC stop-the-world pause</w:t>
            </w:r>
          </w:p>
        </w:tc>
        <w:tc>
          <w:tcPr/>
          <w:p>
            <w:pPr>
              <w:pStyle w:val="Compact"/>
              <w:jc w:val="left"/>
            </w:pPr>
            <w:r>
              <w:t xml:space="preserve">1 ms – seconds</w:t>
            </w:r>
          </w:p>
        </w:tc>
        <w:tc>
          <w:tcPr/>
          <w:p>
            <w:pPr>
              <w:pStyle w:val="Compact"/>
              <w:jc w:val="left"/>
            </w:pPr>
            <w:r>
              <w:t xml:space="preserve">GC logs; pause histograms</w:t>
            </w:r>
          </w:p>
        </w:tc>
        <w:tc>
          <w:tcPr/>
          <w:p>
            <w:pPr>
              <w:pStyle w:val="Compact"/>
              <w:jc w:val="left"/>
            </w:pPr>
            <w:r>
              <w:t xml:space="preserve">Lower allocation; concurrent collector (§23.9)</w:t>
            </w:r>
          </w:p>
        </w:tc>
      </w:tr>
      <w:tr>
        <w:tc>
          <w:tcPr/>
          <w:p>
            <w:pPr>
              <w:pStyle w:val="Compact"/>
              <w:jc w:val="left"/>
            </w:pPr>
            <w:r>
              <w:t xml:space="preserve">Queueing behind large requests</w:t>
            </w:r>
          </w:p>
        </w:tc>
        <w:tc>
          <w:tcPr/>
          <w:p>
            <w:pPr>
              <w:pStyle w:val="Compact"/>
              <w:jc w:val="left"/>
            </w:pPr>
            <w:r>
              <w:t xml:space="preserve">Size of the large request</w:t>
            </w:r>
          </w:p>
        </w:tc>
        <w:tc>
          <w:tcPr/>
          <w:p>
            <w:pPr>
              <w:pStyle w:val="Compact"/>
              <w:jc w:val="left"/>
            </w:pPr>
            <w:r>
              <w:t xml:space="preserve">Per-request size vs. latency</w:t>
            </w:r>
          </w:p>
        </w:tc>
        <w:tc>
          <w:tcPr/>
          <w:p>
            <w:pPr>
              <w:pStyle w:val="Compact"/>
              <w:jc w:val="left"/>
            </w:pPr>
            <w:r>
              <w:t xml:space="preserve">Split large requests; priority classes</w:t>
            </w:r>
          </w:p>
        </w:tc>
      </w:tr>
      <w:tr>
        <w:tc>
          <w:tcPr/>
          <w:p>
            <w:pPr>
              <w:pStyle w:val="Compact"/>
              <w:jc w:val="left"/>
            </w:pPr>
            <w:r>
              <w:t xml:space="preserve">Background tasks (compaction, backups)</w:t>
            </w:r>
          </w:p>
        </w:tc>
        <w:tc>
          <w:tcPr/>
          <w:p>
            <w:pPr>
              <w:pStyle w:val="Compact"/>
              <w:jc w:val="left"/>
            </w:pPr>
            <w:r>
              <w:t xml:space="preserve">10s–100s of ms</w:t>
            </w:r>
          </w:p>
        </w:tc>
        <w:tc>
          <w:tcPr/>
          <w:p>
            <w:pPr>
              <w:pStyle w:val="Compact"/>
              <w:jc w:val="left"/>
            </w:pPr>
            <w:r>
              <w:t xml:space="preserve">Latency correlates with job schedule</w:t>
            </w:r>
          </w:p>
        </w:tc>
        <w:tc>
          <w:tcPr/>
          <w:p>
            <w:pPr>
              <w:pStyle w:val="Compact"/>
              <w:jc w:val="left"/>
            </w:pPr>
            <w:r>
              <w:t xml:space="preserve">Throttle; schedule off-peak; stagger across replicas</w:t>
            </w:r>
          </w:p>
        </w:tc>
      </w:tr>
      <w:tr>
        <w:tc>
          <w:tcPr/>
          <w:p>
            <w:pPr>
              <w:pStyle w:val="Compact"/>
              <w:jc w:val="left"/>
            </w:pPr>
            <w:r>
              <w:t xml:space="preserve">Noisy neighbor</w:t>
            </w:r>
          </w:p>
        </w:tc>
        <w:tc>
          <w:tcPr/>
          <w:p>
            <w:pPr>
              <w:pStyle w:val="Compact"/>
              <w:jc w:val="left"/>
            </w:pPr>
            <w:r>
              <w:t xml:space="preserve">10s of % slowdown</w:t>
            </w:r>
          </w:p>
        </w:tc>
        <w:tc>
          <w:tcPr/>
          <w:p>
            <w:pPr>
              <w:pStyle w:val="Compact"/>
              <w:jc w:val="left"/>
            </w:pPr>
            <w:r>
              <w:t xml:space="preserve">Cache misses, CPU steal time</w:t>
            </w:r>
          </w:p>
        </w:tc>
        <w:tc>
          <w:tcPr/>
          <w:p>
            <w:pPr>
              <w:pStyle w:val="Compact"/>
              <w:jc w:val="left"/>
            </w:pPr>
            <w:r>
              <w:t xml:space="preserve">Isolation, dedicated hosts</w:t>
            </w:r>
          </w:p>
        </w:tc>
      </w:tr>
      <w:tr>
        <w:tc>
          <w:tcPr/>
          <w:p>
            <w:pPr>
              <w:pStyle w:val="Compact"/>
              <w:jc w:val="left"/>
            </w:pPr>
            <w:r>
              <w:t xml:space="preserve">CPU quota throttling</w:t>
            </w:r>
          </w:p>
        </w:tc>
        <w:tc>
          <w:tcPr/>
          <w:p>
            <w:pPr>
              <w:pStyle w:val="Compact"/>
              <w:jc w:val="left"/>
            </w:pPr>
            <w:r>
              <w:t xml:space="preserve">Rest of a 100 ms period</w:t>
            </w:r>
          </w:p>
        </w:tc>
        <w:tc>
          <w:tcPr/>
          <w:p>
            <w:pPr>
              <w:pStyle w:val="Compact"/>
              <w:jc w:val="left"/>
            </w:pPr>
            <w:r>
              <w:rPr>
                <w:rStyle w:val="VerbatimChar"/>
              </w:rPr>
              <w:t xml:space="preserve">nr_throttled</w:t>
            </w:r>
            <w:r>
              <w:t xml:space="preserve"> </w:t>
            </w:r>
            <w:r>
              <w:t xml:space="preserve">in cgroup</w:t>
            </w:r>
            <w:r>
              <w:t xml:space="preserve"> </w:t>
            </w:r>
            <w:r>
              <w:rPr>
                <w:rStyle w:val="VerbatimChar"/>
              </w:rPr>
              <w:t xml:space="preserve">cpu.stat</w:t>
            </w:r>
          </w:p>
        </w:tc>
        <w:tc>
          <w:tcPr/>
          <w:p>
            <w:pPr>
              <w:pStyle w:val="Compact"/>
              <w:jc w:val="left"/>
            </w:pPr>
            <w:r>
              <w:t xml:space="preserve">Raise or remove limits; fewer threads</w:t>
            </w:r>
          </w:p>
        </w:tc>
      </w:tr>
      <w:tr>
        <w:tc>
          <w:tcPr/>
          <w:p>
            <w:pPr>
              <w:pStyle w:val="Compact"/>
              <w:jc w:val="left"/>
            </w:pPr>
            <w:r>
              <w:t xml:space="preserve">Packet loss</w:t>
            </w:r>
          </w:p>
        </w:tc>
        <w:tc>
          <w:tcPr/>
          <w:p>
            <w:pPr>
              <w:pStyle w:val="Compact"/>
              <w:jc w:val="left"/>
            </w:pPr>
            <w:r>
              <w:t xml:space="preserve">≥ 200 ms per retransmission</w:t>
            </w:r>
          </w:p>
        </w:tc>
        <w:tc>
          <w:tcPr/>
          <w:p>
            <w:pPr>
              <w:pStyle w:val="Compact"/>
              <w:jc w:val="left"/>
            </w:pPr>
            <w:r>
              <w:t xml:space="preserve">TCP retransmit counters</w:t>
            </w:r>
          </w:p>
        </w:tc>
        <w:tc>
          <w:tcPr/>
          <w:p>
            <w:pPr>
              <w:pStyle w:val="Compact"/>
              <w:jc w:val="left"/>
            </w:pPr>
            <w:r>
              <w:t xml:space="preserve">Avoid drops; hedging (§23.7)</w:t>
            </w:r>
          </w:p>
        </w:tc>
      </w:tr>
    </w:tbl>
    <w:bookmarkEnd w:id="2606"/>
    <w:bookmarkStart w:id="2607" w:name="a-worked-trap-cpu-quota-throttling"/>
    <w:p>
      <w:pPr>
        <w:pStyle w:val="Heading3"/>
      </w:pPr>
      <w:r>
        <w:t xml:space="preserve">23.6.3 A worked trap: CPU quota throttling</w:t>
      </w:r>
    </w:p>
    <w:p>
      <w:pPr>
        <w:pStyle w:val="FirstParagraph"/>
      </w:pPr>
      <w:r>
        <w:t xml:space="preserve">Linux enforces container CPU limits (including Kubernetes limits) with the CFS bandwidth controller: in each</w:t>
      </w:r>
      <w:r>
        <w:t xml:space="preserve"> </w:t>
      </w:r>
      <w:r>
        <w:rPr>
          <w:bCs/>
          <w:b/>
        </w:rPr>
        <w:t xml:space="preserve">period</w:t>
      </w:r>
      <w:r>
        <w:t xml:space="preserve"> </w:t>
      </w:r>
      <m:oMath>
        <m:r>
          <m:t>P</m:t>
        </m:r>
      </m:oMath>
      <w:r>
        <w:t xml:space="preserve"> </w:t>
      </w:r>
      <w:r>
        <w:t xml:space="preserve">(100 ms by default) a cgroup may use at most its</w:t>
      </w:r>
      <w:r>
        <w:t xml:space="preserve"> </w:t>
      </w:r>
      <w:r>
        <w:rPr>
          <w:bCs/>
          <w:b/>
        </w:rPr>
        <w:t xml:space="preserve">quota</w:t>
      </w:r>
      <w:r>
        <w:t xml:space="preserve"> </w:t>
      </w:r>
      <m:oMath>
        <m:r>
          <m:t>Q</m:t>
        </m:r>
      </m:oMath>
      <w:r>
        <w:t xml:space="preserve"> </w:t>
      </w:r>
      <w:r>
        <w:t xml:space="preserve">of CPU time across all its threads.</w:t>
      </w:r>
    </w:p>
    <w:p>
      <w:pPr>
        <w:pStyle w:val="CalloutFormula"/>
      </w:pPr>
      <w:r>
        <w:rPr>
          <w:bCs/>
          <w:b/>
        </w:rPr>
        <w:t xml:space="preserve">FORMULA</w:t>
      </w:r>
    </w:p>
    <w:p>
      <w:pPr>
        <w:pStyle w:val="CalloutFormula"/>
      </w:pPr>
      <w:r>
        <w:rPr>
          <w:bCs/>
          <w:b/>
        </w:rPr>
        <w:t xml:space="preserve">Throttling under a CPU quota</w:t>
      </w:r>
    </w:p>
    <w:p>
      <w:pPr>
        <w:pStyle w:val="CalloutFormula"/>
      </w:pPr>
      <m:oMathPara>
        <m:oMathParaPr>
          <m:jc m:val="center"/>
        </m:oMathParaPr>
        <m:oMath>
          <m:sSub>
            <m:e>
              <m:r>
                <m:t>t</m:t>
              </m:r>
            </m:e>
            <m:sub>
              <m:r>
                <m:rPr>
                  <m:nor/>
                  <m:sty m:val="p"/>
                </m:rPr>
                <m:t>run</m:t>
              </m:r>
            </m:sub>
          </m:sSub>
          <m:r>
            <m:rPr>
              <m:sty m:val="p"/>
            </m:rPr>
            <m:t>=</m:t>
          </m:r>
          <m:f>
            <m:fPr>
              <m:type m:val="bar"/>
            </m:fPr>
            <m:num>
              <m:r>
                <m:t>Q</m:t>
              </m:r>
            </m:num>
            <m:den>
              <m:r>
                <m:t>k</m:t>
              </m:r>
            </m:den>
          </m:f>
          <m:r>
            <m:t>  </m:t>
          </m:r>
          <m:sSub>
            <m:e>
              <m:r>
                <m:t>t</m:t>
              </m:r>
            </m:e>
            <m:sub>
              <m:r>
                <m:rPr>
                  <m:nor/>
                  <m:sty m:val="p"/>
                </m:rPr>
                <m:t>throttled</m:t>
              </m:r>
            </m:sub>
          </m:sSub>
          <m:r>
            <m:rPr>
              <m:sty m:val="p"/>
            </m:rPr>
            <m:t>=</m:t>
          </m:r>
          <m:r>
            <m:t>P</m:t>
          </m:r>
          <m:r>
            <m:rPr>
              <m:sty m:val="p"/>
            </m:rPr>
            <m:t>−</m:t>
          </m:r>
          <m:f>
            <m:fPr>
              <m:type m:val="bar"/>
            </m:fPr>
            <m:num>
              <m:r>
                <m:t>Q</m:t>
              </m:r>
            </m:num>
            <m:den>
              <m:r>
                <m:t>k</m:t>
              </m:r>
            </m:den>
          </m:f>
          <m:r>
            <m:t>  </m:t>
          </m:r>
          <m:d>
            <m:dPr>
              <m:begChr m:val="("/>
              <m:endChr m:val=")"/>
              <m:sepChr m:val=""/>
              <m:grow/>
            </m:dPr>
            <m:e>
              <m:r>
                <m:rPr>
                  <m:nor/>
                  <m:sty m:val="p"/>
                </m:rPr>
                <m:t>when </m:t>
              </m:r>
              <m:r>
                <m:t>k</m:t>
              </m:r>
              <m:r>
                <m:rPr>
                  <m:sty m:val="p"/>
                </m:rPr>
                <m:t>&gt;</m:t>
              </m:r>
              <m:r>
                <m:t>Q</m:t>
              </m:r>
              <m:r>
                <m:rPr>
                  <m:sty m:val="p"/>
                </m:rPr>
                <m:t>/</m:t>
              </m:r>
              <m:r>
                <m:t>P</m:t>
              </m:r>
            </m:e>
          </m:d>
        </m:oMath>
      </m:oMathPara>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P</m:t>
              </m:r>
            </m:oMath>
          </w:p>
        </w:tc>
        <w:tc>
          <w:tcPr/>
          <w:p>
            <w:pPr>
              <w:pStyle w:val="Compact"/>
              <w:jc w:val="left"/>
            </w:pPr>
            <w:r>
              <w:t xml:space="preserve">Enforcement period</w:t>
            </w:r>
          </w:p>
        </w:tc>
        <w:tc>
          <w:tcPr/>
          <w:p>
            <w:pPr>
              <w:pStyle w:val="Compact"/>
              <w:jc w:val="left"/>
            </w:pPr>
            <w:r>
              <w:t xml:space="preserve">ms</w:t>
            </w:r>
          </w:p>
        </w:tc>
      </w:tr>
      <w:tr>
        <w:tc>
          <w:tcPr/>
          <w:p>
            <w:pPr>
              <w:pStyle w:val="Compact"/>
              <w:jc w:val="left"/>
            </w:pPr>
            <m:oMath>
              <m:r>
                <m:t>Q</m:t>
              </m:r>
            </m:oMath>
          </w:p>
        </w:tc>
        <w:tc>
          <w:tcPr/>
          <w:p>
            <w:pPr>
              <w:pStyle w:val="Compact"/>
              <w:jc w:val="left"/>
            </w:pPr>
            <w:r>
              <w:t xml:space="preserve">CPU-time quota per period (2 CPUs =</w:t>
            </w:r>
            <w:r>
              <w:t xml:space="preserve"> </w:t>
            </w:r>
            <m:oMath>
              <m:r>
                <m:t>2</m:t>
              </m:r>
              <m:r>
                <m:t>P</m:t>
              </m:r>
            </m:oMath>
            <w:r>
              <w:t xml:space="preserve">)</w:t>
            </w:r>
          </w:p>
        </w:tc>
        <w:tc>
          <w:tcPr/>
          <w:p>
            <w:pPr>
              <w:pStyle w:val="Compact"/>
              <w:jc w:val="left"/>
            </w:pPr>
            <w:r>
              <w:t xml:space="preserve">CPU·ms</w:t>
            </w:r>
          </w:p>
        </w:tc>
      </w:tr>
      <w:tr>
        <w:tc>
          <w:tcPr/>
          <w:p>
            <w:pPr>
              <w:pStyle w:val="Compact"/>
              <w:jc w:val="left"/>
            </w:pPr>
            <m:oMath>
              <m:r>
                <m:t>k</m:t>
              </m:r>
            </m:oMath>
          </w:p>
        </w:tc>
        <w:tc>
          <w:tcPr/>
          <w:p>
            <w:pPr>
              <w:pStyle w:val="Compact"/>
              <w:jc w:val="left"/>
            </w:pPr>
            <w:r>
              <w:t xml:space="preserve">Threads runnable at the same time</w:t>
            </w:r>
          </w:p>
        </w:tc>
        <w:tc>
          <w:tcPr/>
          <w:p>
            <w:pPr>
              <w:pStyle w:val="Compact"/>
              <w:jc w:val="left"/>
            </w:pPr>
            <w:r>
              <w:t xml:space="preserve">count</w:t>
            </w:r>
          </w:p>
        </w:tc>
      </w:tr>
      <w:tr>
        <w:tc>
          <w:tcPr/>
          <w:p>
            <w:pPr>
              <w:pStyle w:val="Compact"/>
              <w:jc w:val="left"/>
            </w:pPr>
            <m:oMath>
              <m:sSub>
                <m:e>
                  <m:r>
                    <m:t>t</m:t>
                  </m:r>
                </m:e>
                <m:sub>
                  <m:r>
                    <m:rPr>
                      <m:nor/>
                      <m:sty m:val="p"/>
                    </m:rPr>
                    <m:t>run</m:t>
                  </m:r>
                </m:sub>
              </m:sSub>
            </m:oMath>
          </w:p>
        </w:tc>
        <w:tc>
          <w:tcPr/>
          <w:p>
            <w:pPr>
              <w:pStyle w:val="Compact"/>
              <w:jc w:val="left"/>
            </w:pPr>
            <w:r>
              <w:t xml:space="preserve">Wall time until the quota is exhausted</w:t>
            </w:r>
          </w:p>
        </w:tc>
        <w:tc>
          <w:tcPr/>
          <w:p>
            <w:pPr>
              <w:pStyle w:val="Compact"/>
              <w:jc w:val="left"/>
            </w:pPr>
            <w:r>
              <w:t xml:space="preserve">ms</w:t>
            </w:r>
          </w:p>
        </w:tc>
      </w:tr>
      <w:tr>
        <w:tc>
          <w:tcPr/>
          <w:p>
            <w:pPr>
              <w:pStyle w:val="Compact"/>
              <w:jc w:val="left"/>
            </w:pPr>
            <m:oMath>
              <m:sSub>
                <m:e>
                  <m:r>
                    <m:t>t</m:t>
                  </m:r>
                </m:e>
                <m:sub>
                  <m:r>
                    <m:rPr>
                      <m:nor/>
                      <m:sty m:val="p"/>
                    </m:rPr>
                    <m:t>throttled</m:t>
                  </m:r>
                </m:sub>
              </m:sSub>
            </m:oMath>
          </w:p>
        </w:tc>
        <w:tc>
          <w:tcPr/>
          <w:p>
            <w:pPr>
              <w:pStyle w:val="Compact"/>
              <w:jc w:val="left"/>
            </w:pPr>
            <w:r>
              <w:t xml:space="preserve">Wall time the whole cgroup is frozen</w:t>
            </w:r>
          </w:p>
        </w:tc>
        <w:tc>
          <w:tcPr/>
          <w:p>
            <w:pPr>
              <w:pStyle w:val="Compact"/>
              <w:jc w:val="left"/>
            </w:pPr>
            <w:r>
              <w:t xml:space="preserve">ms</w:t>
            </w:r>
          </w:p>
        </w:tc>
      </w:tr>
    </w:tbl>
    <w:p>
      <w:pPr>
        <w:pStyle w:val="CalloutExample"/>
      </w:pPr>
      <w:r>
        <w:rPr>
          <w:bCs/>
          <w:b/>
        </w:rPr>
        <w:t xml:space="preserve">WORKED EXAMPLE</w:t>
      </w:r>
    </w:p>
    <w:p>
      <w:pPr>
        <w:pStyle w:val="CalloutExample"/>
      </w:pPr>
      <w:r>
        <w:rPr>
          <w:bCs/>
          <w:b/>
        </w:rPr>
        <w:t xml:space="preserve">Worked example — Two CPUs of quota, eight busy threads.</w:t>
      </w:r>
      <w:r>
        <w:t xml:space="preserve"> </w:t>
      </w:r>
      <m:oMath>
        <m:r>
          <m:t>P</m:t>
        </m:r>
        <m:r>
          <m:rPr>
            <m:sty m:val="p"/>
          </m:rPr>
          <m:t>=</m:t>
        </m:r>
        <m:r>
          <m:t>100</m:t>
        </m:r>
      </m:oMath>
      <w:r>
        <w:t xml:space="preserve"> </w:t>
      </w:r>
      <w:r>
        <w:t xml:space="preserve">ms,</w:t>
      </w:r>
      <w:r>
        <w:t xml:space="preserve"> </w:t>
      </w:r>
      <m:oMath>
        <m:r>
          <m:t>Q</m:t>
        </m:r>
        <m:r>
          <m:rPr>
            <m:sty m:val="p"/>
          </m:rPr>
          <m:t>=</m:t>
        </m:r>
        <m:r>
          <m:t>200</m:t>
        </m:r>
      </m:oMath>
      <w:r>
        <w:t xml:space="preserve"> </w:t>
      </w:r>
      <w:r>
        <w:t xml:space="preserve">ms (a limit of 2 CPUs), and a burst makes</w:t>
      </w:r>
      <w:r>
        <w:t xml:space="preserve"> </w:t>
      </w:r>
      <m:oMath>
        <m:r>
          <m:t>k</m:t>
        </m:r>
        <m:r>
          <m:rPr>
            <m:sty m:val="p"/>
          </m:rPr>
          <m:t>=</m:t>
        </m:r>
        <m:r>
          <m:t>8</m:t>
        </m:r>
      </m:oMath>
      <w:r>
        <w:t xml:space="preserve"> </w:t>
      </w:r>
      <w:r>
        <w:t xml:space="preserve">threads runnable on an 8-core host.</w:t>
      </w:r>
    </w:p>
    <w:p>
      <w:pPr>
        <w:numPr>
          <w:ilvl w:val="0"/>
          <w:numId w:val="1763"/>
        </w:numPr>
        <w:pStyle w:val="Compact"/>
      </w:pPr>
      <m:oMath>
        <m:sSub>
          <m:e>
            <m:r>
              <m:t>t</m:t>
            </m:r>
          </m:e>
          <m:sub>
            <m:r>
              <m:rPr>
                <m:nor/>
                <m:sty m:val="p"/>
              </m:rPr>
              <m:t>run</m:t>
            </m:r>
          </m:sub>
        </m:sSub>
        <m:r>
          <m:rPr>
            <m:sty m:val="p"/>
          </m:rPr>
          <m:t>=</m:t>
        </m:r>
        <m:r>
          <m:t>200</m:t>
        </m:r>
        <m:r>
          <m:rPr>
            <m:sty m:val="p"/>
          </m:rPr>
          <m:t>/</m:t>
        </m:r>
        <m:r>
          <m:t>8</m:t>
        </m:r>
        <m:r>
          <m:rPr>
            <m:sty m:val="p"/>
          </m:rPr>
          <m:t>=</m:t>
        </m:r>
        <m:r>
          <m:t>25</m:t>
        </m:r>
      </m:oMath>
      <w:r>
        <w:t xml:space="preserve"> </w:t>
      </w:r>
      <w:r>
        <w:t xml:space="preserve">ms;</w:t>
      </w:r>
      <w:r>
        <w:t xml:space="preserve"> </w:t>
      </w:r>
      <m:oMath>
        <m:sSub>
          <m:e>
            <m:r>
              <m:t>t</m:t>
            </m:r>
          </m:e>
          <m:sub>
            <m:r>
              <m:rPr>
                <m:nor/>
                <m:sty m:val="p"/>
              </m:rPr>
              <m:t>throttled</m:t>
            </m:r>
          </m:sub>
        </m:sSub>
        <m:r>
          <m:rPr>
            <m:sty m:val="p"/>
          </m:rPr>
          <m:t>=</m:t>
        </m:r>
        <m:r>
          <m:t>100</m:t>
        </m:r>
        <m:r>
          <m:rPr>
            <m:sty m:val="p"/>
          </m:rPr>
          <m:t>−</m:t>
        </m:r>
        <m:r>
          <m:t>25</m:t>
        </m:r>
        <m:r>
          <m:rPr>
            <m:sty m:val="p"/>
          </m:rPr>
          <m:t>=</m:t>
        </m:r>
        <m:r>
          <m:t>75</m:t>
        </m:r>
      </m:oMath>
      <w:r>
        <w:t xml:space="preserve"> </w:t>
      </w:r>
      <w:r>
        <w:t xml:space="preserve">ms.</w:t>
      </w:r>
    </w:p>
    <w:p>
      <w:pPr>
        <w:numPr>
          <w:ilvl w:val="0"/>
          <w:numId w:val="1763"/>
        </w:numPr>
        <w:pStyle w:val="Compact"/>
      </w:pPr>
      <w:r>
        <w:t xml:space="preserve">A request needing 40 ms of CPU on one of those threads gets 25 ms, waits 75 ms, then finishes after 15 ms more: latency 115 ms instead of 40 ms.</w:t>
      </w:r>
    </w:p>
    <w:p>
      <w:pPr>
        <w:numPr>
          <w:ilvl w:val="0"/>
          <w:numId w:val="1763"/>
        </w:numPr>
        <w:pStyle w:val="Compact"/>
      </w:pPr>
      <w:r>
        <w:t xml:space="preserve">Average CPU use over the period is still only 2 cores out of 8, so host dashboards show 25%.</w:t>
      </w:r>
    </w:p>
    <w:p>
      <w:pPr>
        <w:pStyle w:val="CalloutExample"/>
      </w:pPr>
      <w:r>
        <w:rPr>
          <w:bCs/>
          <w:b/>
        </w:rPr>
        <w:t xml:space="preserve">Interpretation.</w:t>
      </w:r>
      <w:r>
        <w:t xml:space="preserve"> </w:t>
      </w:r>
      <w:r>
        <w:t xml:space="preserve">A limit expressed as an</w:t>
      </w:r>
      <w:r>
        <w:t xml:space="preserve"> </w:t>
      </w:r>
      <w:r>
        <w:rPr>
          <w:iCs/>
          <w:i/>
        </w:rPr>
        <w:t xml:space="preserve">average</w:t>
      </w:r>
      <w:r>
        <w:t xml:space="preserve"> </w:t>
      </w:r>
      <w:r>
        <w:t xml:space="preserve">(2 CPUs) is enforced over a short window, so bursty multi-threaded work is frozen for most of each period.</w:t>
      </w:r>
      <w:r>
        <w:t xml:space="preserve"> </w:t>
      </w:r>
      <w:r>
        <w:rPr>
          <w:bCs/>
          <w:b/>
        </w:rPr>
        <w:t xml:space="preserve">Engineering implication.</w:t>
      </w:r>
      <w:r>
        <w:t xml:space="preserve"> </w:t>
      </w:r>
      <w:r>
        <w:t xml:space="preserve">Watch throttled-period counters, size thread pools to the quota rather than the host’s core count (runtimes such as the JVM and Go read the limit for this reason in recent versions), and consider CPU requests without hard limits for latency-sensitive services.</w:t>
      </w:r>
    </w:p>
    <w:p>
      <w:pPr>
        <w:pStyle w:val="BodyText"/>
      </w:pPr>
      <w:r>
        <w:t xml:space="preserve">Within a server, mitigations are</w:t>
      </w:r>
      <w:r>
        <w:t xml:space="preserve"> </w:t>
      </w:r>
      <w:r>
        <w:rPr>
          <w:bCs/>
          <w:b/>
        </w:rPr>
        <w:t xml:space="preserve">service classes</w:t>
      </w:r>
      <w:r>
        <w:t xml:space="preserve"> </w:t>
      </w:r>
      <w:r>
        <w:t xml:space="preserve">(interactive before batch),</w:t>
      </w:r>
      <w:r>
        <w:t xml:space="preserve"> </w:t>
      </w:r>
      <w:r>
        <w:rPr>
          <w:bCs/>
          <w:b/>
        </w:rPr>
        <w:t xml:space="preserve">splitting large requests</w:t>
      </w:r>
      <w:r>
        <w:t xml:space="preserve">, and</w:t>
      </w:r>
      <w:r>
        <w:t xml:space="preserve"> </w:t>
      </w:r>
      <w:r>
        <w:rPr>
          <w:bCs/>
          <w:b/>
        </w:rPr>
        <w:t xml:space="preserve">managing background activity</w:t>
      </w:r>
      <w:r>
        <w:t xml:space="preserve"> </w:t>
      </w:r>
      <w:r>
        <w:t xml:space="preserve">(throttle it, or synchronize it across machines so it disturbs one short window) [Dean and Barroso 2013]. Across servers, it is often better to</w:t>
      </w:r>
      <w:r>
        <w:t xml:space="preserve"> </w:t>
      </w:r>
      <w:r>
        <w:rPr>
          <w:iCs/>
          <w:i/>
        </w:rPr>
        <w:t xml:space="preserve">tolerate</w:t>
      </w:r>
      <w:r>
        <w:t xml:space="preserve"> </w:t>
      </w:r>
      <w:r>
        <w:t xml:space="preserve">variability, as the next section shows.</w:t>
      </w:r>
    </w:p>
    <w:bookmarkEnd w:id="2607"/>
    <w:bookmarkEnd w:id="2608"/>
    <w:bookmarkStart w:id="2621" w:name="hedged-and-tied-requests"/>
    <w:p>
      <w:pPr>
        <w:pStyle w:val="Heading2"/>
      </w:pPr>
      <w:r>
        <w:t xml:space="preserve">23.7 Hedged and tied requests</w:t>
      </w:r>
    </w:p>
    <w:bookmarkStart w:id="2613" w:name="hedged-requests"/>
    <w:p>
      <w:pPr>
        <w:pStyle w:val="Heading3"/>
      </w:pPr>
      <w:r>
        <w:t xml:space="preserve">23.7.1 Hedged requests</w:t>
      </w:r>
    </w:p>
    <w:p>
      <w:pPr>
        <w:pStyle w:val="CalloutDefinition"/>
      </w:pPr>
      <w:r>
        <w:rPr>
          <w:bCs/>
          <w:b/>
        </w:rPr>
        <w:t xml:space="preserve">DEFINITION</w:t>
      </w:r>
    </w:p>
    <w:p>
      <w:pPr>
        <w:pStyle w:val="CalloutDefinition"/>
      </w:pPr>
      <w:r>
        <w:rPr>
          <w:bCs/>
          <w:b/>
        </w:rPr>
        <w:t xml:space="preserve">Definition — Hedged request.</w:t>
      </w:r>
      <w:r>
        <w:t xml:space="preserve"> </w:t>
      </w:r>
      <w:r>
        <w:t xml:space="preserve">A request sent to one replica and, if no response arrives within a</w:t>
      </w:r>
      <w:r>
        <w:t xml:space="preserve"> </w:t>
      </w:r>
      <w:r>
        <w:rPr>
          <w:bCs/>
          <w:b/>
        </w:rPr>
        <w:t xml:space="preserve">hedge delay</w:t>
      </w:r>
      <w:r>
        <w:t xml:space="preserve"> </w:t>
      </w:r>
      <m:oMath>
        <m:r>
          <m:t>d</m:t>
        </m:r>
      </m:oMath>
      <w:r>
        <w:t xml:space="preserve">, sent again to a second replica; the client uses whichever response arrives first and cancels or ignores the other [Dean and Barroso 2013].</w:t>
      </w:r>
    </w:p>
    <w:bookmarkStart w:id="2612" w:name="first-principles-explanation-135"/>
    <w:p>
      <w:pPr>
        <w:pStyle w:val="Heading4"/>
      </w:pPr>
      <w:r>
        <w:t xml:space="preserve">First-principles explanation</w:t>
      </w:r>
    </w:p>
    <w:p>
      <w:pPr>
        <w:pStyle w:val="FirstParagraph"/>
      </w:pPr>
      <w:r>
        <w:t xml:space="preserve">You order a taxi through one app; if no driver accepts within five minutes, you also order through a second and take whichever car comes first. An occasional canceled booking buys protection from the rare 40-minute wait. The key choice is the delay: order from both at once and you double the load on drivers; wait too long and the hedge is useless.</w:t>
      </w:r>
    </w:p>
    <w:p>
      <w:pPr>
        <w:pStyle w:val="BodyText"/>
      </w:pPr>
      <w:r>
        <w:rPr>
          <w:bCs/>
          <w:b/>
        </w:rPr>
        <w:t xml:space="preserve">Figure 23.8 — A hedged request.</w:t>
      </w:r>
    </w:p>
    <w:p>
      <w:pPr>
        <w:pStyle w:val="BodyText"/>
      </w:pPr>
      <w:r>
        <w:drawing>
          <wp:inline>
            <wp:extent cx="5334000" cy="3319442"/>
            <wp:effectExtent b="0" l="0" r="0" t="0"/>
            <wp:docPr descr="" title="" id="2610" name="Picture"/>
            <a:graphic>
              <a:graphicData uri="http://schemas.openxmlformats.org/drawingml/2006/picture">
                <pic:pic>
                  <pic:nvPicPr>
                    <pic:cNvPr descr="/home/user/System-Design/build/.cache/diagrams/95afd2d76659.png" id="2611" name="Picture"/>
                    <pic:cNvPicPr>
                      <a:picLocks noChangeArrowheads="1" noChangeAspect="1"/>
                    </pic:cNvPicPr>
                  </pic:nvPicPr>
                  <pic:blipFill>
                    <a:blip r:embed="rId2609"/>
                    <a:stretch>
                      <a:fillRect/>
                    </a:stretch>
                  </pic:blipFill>
                  <pic:spPr bwMode="auto">
                    <a:xfrm>
                      <a:off x="0" y="0"/>
                      <a:ext cx="5334000" cy="3319442"/>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client sends a synchronous RPC to replica A, which is paused. When the hedge timer</w:t>
      </w:r>
      <w:r>
        <w:t xml:space="preserve"> </w:t>
      </w:r>
      <m:oMath>
        <m:r>
          <m:t>d</m:t>
        </m:r>
      </m:oMath>
      <w:r>
        <w:t xml:space="preserve"> </w:t>
      </w:r>
      <w:r>
        <w:t xml:space="preserve">expires, the client sends the same idempotent read to replica B and uses B’s earlier answer. The cancel to A is asynchronous and best effort, so A’s work may be wasted. Both replicas must hold the data (a replication boundary), and the operation must be safe to run twice (reads, or writes with an idempotency key, §22.15). The failure point is load: if the whole system slows, many requests exceed</w:t>
      </w:r>
      <w:r>
        <w:t xml:space="preserve"> </w:t>
      </w:r>
      <m:oMath>
        <m:r>
          <m:t>d</m:t>
        </m:r>
      </m:oMath>
      <w:r>
        <w:t xml:space="preserve"> </w:t>
      </w:r>
      <w:r>
        <w:t xml:space="preserve">and hedging adds load when there is none to spare.</w:t>
      </w:r>
    </w:p>
    <w:p>
      <w:pPr>
        <w:pStyle w:val="CalloutFormula"/>
      </w:pPr>
      <w:r>
        <w:rPr>
          <w:bCs/>
          <w:b/>
        </w:rPr>
        <w:t xml:space="preserve">FORMULA</w:t>
      </w:r>
    </w:p>
    <w:p>
      <w:pPr>
        <w:pStyle w:val="CalloutFormula"/>
      </w:pPr>
      <w:r>
        <w:rPr>
          <w:bCs/>
          <w:b/>
        </w:rPr>
        <w:t xml:space="preserve">Hedged latency and extra load (independent replicas)</w:t>
      </w:r>
    </w:p>
    <w:p>
      <w:pPr>
        <w:pStyle w:val="CalloutFormula"/>
      </w:pPr>
      <m:oMathPara>
        <m:oMathParaPr>
          <m:jc m:val="center"/>
        </m:oMathParaPr>
        <m:oMath>
          <m:r>
            <m:t>T</m:t>
          </m:r>
          <m:r>
            <m:rPr>
              <m:sty m:val="p"/>
            </m:rPr>
            <m:t>=</m:t>
          </m:r>
          <m:r>
            <m:rPr>
              <m:sty m:val="p"/>
            </m:rPr>
            <m:t>min</m:t>
          </m:r>
          <m:d>
            <m:dPr>
              <m:begChr m:val="("/>
              <m:endChr m:val=")"/>
              <m:sepChr m:val=""/>
              <m:grow/>
            </m:dPr>
            <m:e>
              <m:sSub>
                <m:e>
                  <m:r>
                    <m:t>X</m:t>
                  </m:r>
                </m:e>
                <m:sub>
                  <m:r>
                    <m:t>1</m:t>
                  </m:r>
                </m:sub>
              </m:sSub>
              <m:r>
                <m:rPr>
                  <m:sty m:val="p"/>
                </m:rPr>
                <m:t>,</m:t>
              </m:r>
              <m:r>
                <m:t> </m:t>
              </m:r>
              <m:r>
                <m:t>d</m:t>
              </m:r>
              <m:r>
                <m:rPr>
                  <m:sty m:val="p"/>
                </m:rPr>
                <m:t>+</m:t>
              </m:r>
              <m:sSub>
                <m:e>
                  <m:r>
                    <m:t>X</m:t>
                  </m:r>
                </m:e>
                <m:sub>
                  <m:r>
                    <m:t>2</m:t>
                  </m:r>
                </m:sub>
              </m:sSub>
            </m:e>
          </m:d>
          <m:r>
            <m:t>  </m:t>
          </m:r>
          <m:r>
            <m:t>P</m:t>
          </m:r>
          <m:d>
            <m:dPr>
              <m:begChr m:val="("/>
              <m:endChr m:val=")"/>
              <m:sepChr m:val=""/>
              <m:grow/>
            </m:dPr>
            <m:e>
              <m:r>
                <m:t>T</m:t>
              </m:r>
              <m:r>
                <m:rPr>
                  <m:sty m:val="p"/>
                </m:rPr>
                <m:t>&gt;</m:t>
              </m:r>
              <m:r>
                <m:t>t</m:t>
              </m:r>
            </m:e>
          </m:d>
          <m:r>
            <m:rPr>
              <m:sty m:val="p"/>
            </m:rPr>
            <m:t>=</m:t>
          </m:r>
          <m:d>
            <m:dPr>
              <m:begChr m:val="{"/>
              <m:endChr m:val=""/>
              <m:sepChr m:val=""/>
              <m:grow/>
            </m:dPr>
            <m:e>
              <m:m>
                <m:mPr>
                  <m:baseJc m:val="center"/>
                  <m:plcHide m:val="on"/>
                  <m:mcs>
                    <m:mc>
                      <m:mcPr>
                        <m:mcJc m:val="left"/>
                        <m:count m:val="1"/>
                      </m:mcPr>
                    </m:mc>
                    <m:mc>
                      <m:mcPr>
                        <m:mcJc m:val="left"/>
                        <m:count m:val="1"/>
                      </m:mcPr>
                    </m:mc>
                  </m:mcs>
                </m:mPr>
                <m:mr>
                  <m:e>
                    <m:r>
                      <m:t>P</m:t>
                    </m:r>
                    <m:d>
                      <m:dPr>
                        <m:begChr m:val="("/>
                        <m:endChr m:val=")"/>
                        <m:sepChr m:val=""/>
                        <m:grow/>
                      </m:dPr>
                      <m:e>
                        <m:r>
                          <m:t>X</m:t>
                        </m:r>
                        <m:r>
                          <m:rPr>
                            <m:sty m:val="p"/>
                          </m:rPr>
                          <m:t>&gt;</m:t>
                        </m:r>
                        <m:r>
                          <m:t>t</m:t>
                        </m:r>
                      </m:e>
                    </m:d>
                  </m:e>
                  <m:e>
                    <m:r>
                      <m:t>t</m:t>
                    </m:r>
                    <m:r>
                      <m:rPr>
                        <m:sty m:val="p"/>
                      </m:rPr>
                      <m:t>&lt;</m:t>
                    </m:r>
                    <m:r>
                      <m:t>d</m:t>
                    </m:r>
                  </m:e>
                </m:mr>
                <m:mr>
                  <m:e>
                    <m:r>
                      <m:t>P</m:t>
                    </m:r>
                    <m:d>
                      <m:dPr>
                        <m:begChr m:val="("/>
                        <m:endChr m:val=")"/>
                        <m:sepChr m:val=""/>
                        <m:grow/>
                      </m:dPr>
                      <m:e>
                        <m:r>
                          <m:t>X</m:t>
                        </m:r>
                        <m:r>
                          <m:rPr>
                            <m:sty m:val="p"/>
                          </m:rPr>
                          <m:t>&gt;</m:t>
                        </m:r>
                        <m:r>
                          <m:t>t</m:t>
                        </m:r>
                      </m:e>
                    </m:d>
                    <m:r>
                      <m:t> </m:t>
                    </m:r>
                    <m:r>
                      <m:t>P</m:t>
                    </m:r>
                    <m:d>
                      <m:dPr>
                        <m:begChr m:val="("/>
                        <m:endChr m:val=")"/>
                        <m:sepChr m:val=""/>
                        <m:grow/>
                      </m:dPr>
                      <m:e>
                        <m:r>
                          <m:t>X</m:t>
                        </m:r>
                        <m:r>
                          <m:rPr>
                            <m:sty m:val="p"/>
                          </m:rPr>
                          <m:t>&gt;</m:t>
                        </m:r>
                        <m:r>
                          <m:t>t</m:t>
                        </m:r>
                        <m:r>
                          <m:rPr>
                            <m:sty m:val="p"/>
                          </m:rPr>
                          <m:t>−</m:t>
                        </m:r>
                        <m:r>
                          <m:t>d</m:t>
                        </m:r>
                      </m:e>
                    </m:d>
                  </m:e>
                  <m:e>
                    <m:r>
                      <m:t>t</m:t>
                    </m:r>
                    <m:r>
                      <m:rPr>
                        <m:sty m:val="p"/>
                      </m:rPr>
                      <m:t>≥</m:t>
                    </m:r>
                    <m:r>
                      <m:t>d</m:t>
                    </m:r>
                  </m:e>
                </m:mr>
              </m:m>
            </m:e>
          </m:d>
          <m:r>
            <m:t>  </m:t>
          </m:r>
          <m:r>
            <m:rPr>
              <m:nor/>
              <m:sty m:val="p"/>
            </m:rPr>
            <m:t>extra load</m:t>
          </m:r>
          <m:r>
            <m:rPr>
              <m:sty m:val="p"/>
            </m:rPr>
            <m:t>=</m:t>
          </m:r>
          <m:r>
            <m:t>P</m:t>
          </m:r>
          <m:d>
            <m:dPr>
              <m:begChr m:val="("/>
              <m:endChr m:val=")"/>
              <m:sepChr m:val=""/>
              <m:grow/>
            </m:dPr>
            <m:e>
              <m:r>
                <m:t>X</m:t>
              </m:r>
              <m:r>
                <m:rPr>
                  <m:sty m:val="p"/>
                </m:rPr>
                <m:t>&gt;</m:t>
              </m:r>
              <m:r>
                <m:t>d</m:t>
              </m:r>
            </m:e>
          </m:d>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X</m:t>
                  </m:r>
                </m:e>
                <m:sub>
                  <m:r>
                    <m:t>1</m:t>
                  </m:r>
                </m:sub>
              </m:sSub>
              <m:r>
                <m:rPr>
                  <m:sty m:val="p"/>
                </m:rPr>
                <m:t>,</m:t>
              </m:r>
              <m:sSub>
                <m:e>
                  <m:r>
                    <m:t>X</m:t>
                  </m:r>
                </m:e>
                <m:sub>
                  <m:r>
                    <m:t>2</m:t>
                  </m:r>
                </m:sub>
              </m:sSub>
            </m:oMath>
          </w:p>
        </w:tc>
        <w:tc>
          <w:tcPr/>
          <w:p>
            <w:pPr>
              <w:pStyle w:val="Compact"/>
              <w:jc w:val="left"/>
            </w:pPr>
            <w:r>
              <w:t xml:space="preserve">Latencies of the primary and the hedge, same distribution as</w:t>
            </w:r>
            <w:r>
              <w:t xml:space="preserve"> </w:t>
            </w:r>
            <m:oMath>
              <m:r>
                <m:t>X</m:t>
              </m:r>
            </m:oMath>
          </w:p>
        </w:tc>
        <w:tc>
          <w:tcPr/>
          <w:p>
            <w:pPr>
              <w:pStyle w:val="Compact"/>
              <w:jc w:val="left"/>
            </w:pPr>
            <w:r>
              <w:t xml:space="preserve">ms</w:t>
            </w:r>
          </w:p>
        </w:tc>
      </w:tr>
      <w:tr>
        <w:tc>
          <w:tcPr/>
          <w:p>
            <w:pPr>
              <w:pStyle w:val="Compact"/>
              <w:jc w:val="left"/>
            </w:pPr>
            <m:oMath>
              <m:r>
                <m:t>d</m:t>
              </m:r>
            </m:oMath>
          </w:p>
        </w:tc>
        <w:tc>
          <w:tcPr/>
          <w:p>
            <w:pPr>
              <w:pStyle w:val="Compact"/>
              <w:jc w:val="left"/>
            </w:pPr>
            <w:r>
              <w:t xml:space="preserve">Hedge delay</w:t>
            </w:r>
          </w:p>
        </w:tc>
        <w:tc>
          <w:tcPr/>
          <w:p>
            <w:pPr>
              <w:pStyle w:val="Compact"/>
              <w:jc w:val="left"/>
            </w:pPr>
            <w:r>
              <w:t xml:space="preserve">ms</w:t>
            </w:r>
          </w:p>
        </w:tc>
      </w:tr>
      <w:tr>
        <w:tc>
          <w:tcPr/>
          <w:p>
            <w:pPr>
              <w:pStyle w:val="Compact"/>
              <w:jc w:val="left"/>
            </w:pPr>
            <m:oMath>
              <m:r>
                <m:t>T</m:t>
              </m:r>
            </m:oMath>
          </w:p>
        </w:tc>
        <w:tc>
          <w:tcPr/>
          <w:p>
            <w:pPr>
              <w:pStyle w:val="Compact"/>
              <w:jc w:val="left"/>
            </w:pPr>
            <w:r>
              <w:t xml:space="preserve">Latency seen by the client</w:t>
            </w:r>
          </w:p>
        </w:tc>
        <w:tc>
          <w:tcPr/>
          <w:p>
            <w:pPr>
              <w:pStyle w:val="Compact"/>
              <w:jc w:val="left"/>
            </w:pPr>
            <w:r>
              <w:t xml:space="preserve">ms</w:t>
            </w:r>
          </w:p>
        </w:tc>
      </w:tr>
      <w:tr>
        <w:tc>
          <w:tcPr/>
          <w:p>
            <w:pPr>
              <w:pStyle w:val="Compact"/>
              <w:jc w:val="left"/>
            </w:pPr>
            <w:r>
              <w:t xml:space="preserve">extra load</w:t>
            </w:r>
          </w:p>
        </w:tc>
        <w:tc>
          <w:tcPr/>
          <w:p>
            <w:pPr>
              <w:pStyle w:val="Compact"/>
              <w:jc w:val="left"/>
            </w:pPr>
            <w:r>
              <w:t xml:space="preserve">Fraction of requests that send a second copy</w:t>
            </w:r>
          </w:p>
        </w:tc>
        <w:tc>
          <w:tcPr/>
          <w:p>
            <w:pPr>
              <w:pStyle w:val="Compact"/>
              <w:jc w:val="left"/>
            </w:pPr>
            <w:r>
              <w:t xml:space="preserve">dimensionless</w:t>
            </w:r>
          </w:p>
        </w:tc>
      </w:tr>
    </w:tbl>
    <w:p>
      <w:pPr>
        <w:pStyle w:val="CalloutExample"/>
      </w:pPr>
      <w:r>
        <w:rPr>
          <w:bCs/>
          <w:b/>
        </w:rPr>
        <w:t xml:space="preserve">WORKED EXAMPLE</w:t>
      </w:r>
    </w:p>
    <w:p>
      <w:pPr>
        <w:pStyle w:val="CalloutExample"/>
      </w:pPr>
      <w:r>
        <w:rPr>
          <w:bCs/>
          <w:b/>
        </w:rPr>
        <w:t xml:space="preserve">Worked example — Hedging a bimodal leaf.</w:t>
      </w:r>
      <w:r>
        <w:t xml:space="preserve"> </w:t>
      </w:r>
      <w:r>
        <w:t xml:space="preserve">A replica answers in 8 ms with probability 0.98 and in 400 ms with probability 0.02 (a pause). Without hedging, p95 = 8 ms and p99 = 400 ms. Hedge after</w:t>
      </w:r>
      <w:r>
        <w:t xml:space="preserve"> </w:t>
      </w:r>
      <m:oMath>
        <m:r>
          <m:t>d</m:t>
        </m:r>
        <m:r>
          <m:rPr>
            <m:sty m:val="p"/>
          </m:rPr>
          <m:t>=</m:t>
        </m:r>
        <m:r>
          <m:t>10</m:t>
        </m:r>
      </m:oMath>
      <w:r>
        <w:t xml:space="preserve"> </w:t>
      </w:r>
      <w:r>
        <w:t xml:space="preserve">ms.</w:t>
      </w:r>
    </w:p>
    <w:p>
      <w:pPr>
        <w:numPr>
          <w:ilvl w:val="0"/>
          <w:numId w:val="1764"/>
        </w:numPr>
        <w:pStyle w:val="Compact"/>
      </w:pPr>
      <w:r>
        <w:t xml:space="preserve">With probability 0.98 the first reply arrives at 8 ms; no hedge is sent.</w:t>
      </w:r>
    </w:p>
    <w:p>
      <w:pPr>
        <w:numPr>
          <w:ilvl w:val="0"/>
          <w:numId w:val="1764"/>
        </w:numPr>
        <w:pStyle w:val="Compact"/>
      </w:pPr>
      <w:r>
        <w:t xml:space="preserve">With probability 0.02 the hedge goes at 10 ms. It returns at</w:t>
      </w:r>
      <w:r>
        <w:t xml:space="preserve"> </w:t>
      </w:r>
      <m:oMath>
        <m:r>
          <m:t>10</m:t>
        </m:r>
        <m:r>
          <m:rPr>
            <m:sty m:val="p"/>
          </m:rPr>
          <m:t>+</m:t>
        </m:r>
        <m:r>
          <m:t>8</m:t>
        </m:r>
        <m:r>
          <m:rPr>
            <m:sty m:val="p"/>
          </m:rPr>
          <m:t>=</m:t>
        </m:r>
        <m:r>
          <m:t>18</m:t>
        </m:r>
      </m:oMath>
      <w:r>
        <w:t xml:space="preserve"> </w:t>
      </w:r>
      <w:r>
        <w:t xml:space="preserve">ms with probability 0.98; otherwise both are slow and the reply arrives at 400 ms.</w:t>
      </w:r>
    </w:p>
    <w:p>
      <w:pPr>
        <w:numPr>
          <w:ilvl w:val="0"/>
          <w:numId w:val="1764"/>
        </w:numPr>
        <w:pStyle w:val="Compact"/>
      </w:pPr>
      <m:oMath>
        <m:r>
          <m:t>P</m:t>
        </m:r>
        <m:d>
          <m:dPr>
            <m:begChr m:val="("/>
            <m:endChr m:val=")"/>
            <m:sepChr m:val=""/>
            <m:grow/>
          </m:dPr>
          <m:e>
            <m:r>
              <m:t>T</m:t>
            </m:r>
            <m:r>
              <m:rPr>
                <m:sty m:val="p"/>
              </m:rPr>
              <m:t>&gt;</m:t>
            </m:r>
            <m:r>
              <m:t>18</m:t>
            </m:r>
            <m:r>
              <m:rPr>
                <m:nor/>
                <m:sty m:val="p"/>
              </m:rPr>
              <m:t> ms</m:t>
            </m:r>
          </m:e>
        </m:d>
        <m:r>
          <m:rPr>
            <m:sty m:val="p"/>
          </m:rPr>
          <m:t>=</m:t>
        </m:r>
        <m:r>
          <m:t>0.02</m:t>
        </m:r>
        <m:r>
          <m:rPr>
            <m:sty m:val="p"/>
          </m:rPr>
          <m:t>×</m:t>
        </m:r>
        <m:r>
          <m:t>0.02</m:t>
        </m:r>
        <m:r>
          <m:rPr>
            <m:sty m:val="p"/>
          </m:rPr>
          <m:t>=</m:t>
        </m:r>
        <m:r>
          <m:t>0.0004</m:t>
        </m:r>
      </m:oMath>
      <w:r>
        <w:t xml:space="preserve">. So p99 and p99.9 fall from 400 ms to 18 ms; only p99.96 and above remain at 400 ms.</w:t>
      </w:r>
    </w:p>
    <w:p>
      <w:pPr>
        <w:numPr>
          <w:ilvl w:val="0"/>
          <w:numId w:val="1764"/>
        </w:numPr>
        <w:pStyle w:val="Compact"/>
      </w:pPr>
      <w:r>
        <w:t xml:space="preserve">Extra load</w:t>
      </w:r>
      <w:r>
        <w:t xml:space="preserve"> </w:t>
      </w:r>
      <m:oMath>
        <m:r>
          <m:rPr>
            <m:sty m:val="p"/>
          </m:rPr>
          <m:t>=</m:t>
        </m:r>
        <m:r>
          <m:t>P</m:t>
        </m:r>
        <m:d>
          <m:dPr>
            <m:begChr m:val="("/>
            <m:endChr m:val=")"/>
            <m:sepChr m:val=""/>
            <m:grow/>
          </m:dPr>
          <m:e>
            <m:r>
              <m:t>X</m:t>
            </m:r>
            <m:r>
              <m:rPr>
                <m:sty m:val="p"/>
              </m:rPr>
              <m:t>&gt;</m:t>
            </m:r>
            <m:r>
              <m:t>10</m:t>
            </m:r>
            <m:r>
              <m:rPr>
                <m:nor/>
                <m:sty m:val="p"/>
              </m:rPr>
              <m:t> ms</m:t>
            </m:r>
          </m:e>
        </m:d>
        <m:r>
          <m:rPr>
            <m:sty m:val="p"/>
          </m:rPr>
          <m:t>=</m:t>
        </m:r>
        <m:r>
          <m:t>2</m:t>
        </m:r>
        <m:r>
          <m:rPr>
            <m:sty m:val="p"/>
          </m:rPr>
          <m:t>%</m:t>
        </m:r>
      </m:oMath>
      <w:r>
        <w:t xml:space="preserve">.</w:t>
      </w:r>
    </w:p>
    <w:p>
      <w:pPr>
        <w:numPr>
          <w:ilvl w:val="0"/>
          <w:numId w:val="1764"/>
        </w:numPr>
        <w:pStyle w:val="Compact"/>
      </w:pPr>
      <w:r>
        <w:t xml:space="preserve">With a 100-leaf fan-out:</w:t>
      </w:r>
      <w:r>
        <w:t xml:space="preserve"> </w:t>
      </w:r>
      <m:oMath>
        <m:r>
          <m:t>P</m:t>
        </m:r>
        <m:d>
          <m:dPr>
            <m:begChr m:val="("/>
            <m:endChr m:val=")"/>
            <m:sepChr m:val=""/>
            <m:grow/>
          </m:dPr>
          <m:e>
            <m:r>
              <m:rPr>
                <m:nor/>
                <m:sty m:val="p"/>
              </m:rPr>
              <m:t>all leaves</m:t>
            </m:r>
            <m:r>
              <m:rPr>
                <m:sty m:val="p"/>
              </m:rPr>
              <m:t>≤</m:t>
            </m:r>
            <m:r>
              <m:t>18</m:t>
            </m:r>
            <m:r>
              <m:rPr>
                <m:nor/>
                <m:sty m:val="p"/>
              </m:rPr>
              <m:t> ms</m:t>
            </m:r>
          </m:e>
        </m:d>
        <m:r>
          <m:rPr>
            <m:sty m:val="p"/>
          </m:rPr>
          <m:t>=</m:t>
        </m:r>
        <m:sSup>
          <m:e>
            <m:d>
              <m:dPr>
                <m:begChr m:val="("/>
                <m:endChr m:val=")"/>
                <m:sepChr m:val=""/>
                <m:grow/>
              </m:dPr>
              <m:e>
                <m:r>
                  <m:t>1</m:t>
                </m:r>
                <m:r>
                  <m:rPr>
                    <m:sty m:val="p"/>
                  </m:rPr>
                  <m:t>−</m:t>
                </m:r>
                <m:r>
                  <m:t>0.0004</m:t>
                </m:r>
              </m:e>
            </m:d>
          </m:e>
          <m:sup>
            <m:r>
              <m:t>100</m:t>
            </m:r>
          </m:sup>
        </m:sSup>
        <m:r>
          <m:rPr>
            <m:sty m:val="p"/>
          </m:rPr>
          <m:t>=</m:t>
        </m:r>
        <m:r>
          <m:t>0.961</m:t>
        </m:r>
      </m:oMath>
      <w:r>
        <w:t xml:space="preserve">, versus</w:t>
      </w:r>
      <w:r>
        <w:t xml:space="preserve"> </w:t>
      </w:r>
      <m:oMath>
        <m:sSup>
          <m:e>
            <m:r>
              <m:t>0.98</m:t>
            </m:r>
          </m:e>
          <m:sup>
            <m:r>
              <m:t>100</m:t>
            </m:r>
          </m:sup>
        </m:sSup>
        <m:r>
          <m:rPr>
            <m:sty m:val="p"/>
          </m:rPr>
          <m:t>=</m:t>
        </m:r>
        <m:r>
          <m:t>0.133</m:t>
        </m:r>
      </m:oMath>
      <w:r>
        <w:t xml:space="preserve"> </w:t>
      </w:r>
      <w:r>
        <w:t xml:space="preserve">unhedged.</w:t>
      </w:r>
    </w:p>
    <w:p>
      <w:pPr>
        <w:pStyle w:val="CalloutExample"/>
      </w:pPr>
      <w:r>
        <w:rPr>
          <w:bCs/>
          <w:b/>
        </w:rPr>
        <w:t xml:space="preserve">Interpretation.</w:t>
      </w:r>
      <w:r>
        <w:t xml:space="preserve"> </w:t>
      </w:r>
      <w:r>
        <w:t xml:space="preserve">Two percent more requests turn 87% slow fan-out queries into 4%.</w:t>
      </w:r>
      <w:r>
        <w:t xml:space="preserve"> </w:t>
      </w:r>
      <w:r>
        <w:rPr>
          <w:bCs/>
          <w:b/>
        </w:rPr>
        <w:t xml:space="preserve">Engineering implication.</w:t>
      </w:r>
      <w:r>
        <w:t xml:space="preserve"> </w:t>
      </w:r>
      <w:r>
        <w:t xml:space="preserve">Hedge idempotent operations after about the p95, bounding extra load near 5%.</w:t>
      </w:r>
    </w:p>
    <w:bookmarkEnd w:id="2612"/>
    <w:bookmarkEnd w:id="2613"/>
    <w:bookmarkStart w:id="2614" w:name="simulating-hedging-including-its-cost"/>
    <w:p>
      <w:pPr>
        <w:pStyle w:val="Heading3"/>
      </w:pPr>
      <w:r>
        <w:t xml:space="preserve">23.7.2 Simulating hedging, including its cost</w:t>
      </w:r>
    </w:p>
    <w:p>
      <w:pPr>
        <w:pStyle w:val="FirstParagraph"/>
      </w:pPr>
      <w:r>
        <w:t xml:space="preserve">The worked example ignores a feedback: hedges add load, load adds queueing, and higher latency triggers more hedges. The simulation models 20 FIFO replicas with Poisson arrivals, about 1 ms of work per request, and a 50 ms hiccup on 0.1% of requests that also delays everything queued behind it. It compares no hedging, hedging after the unhedged p95, hedging with cancellation (a copy not yet started when the original finishes is dropped), and hedging after the p50.</w:t>
      </w:r>
    </w:p>
    <w:p>
      <w:pPr>
        <w:pStyle w:val="SourceCode"/>
      </w:pPr>
      <w:r>
        <w:rPr>
          <w:rStyle w:val="ImportTok"/>
        </w:rPr>
        <w:t xml:space="preserve">import</w:t>
      </w:r>
      <w:r>
        <w:rPr>
          <w:rStyle w:val="NormalTok"/>
        </w:rPr>
        <w:t xml:space="preserve"> heapq</w:t>
      </w:r>
      <w:r>
        <w:br/>
      </w:r>
      <w:r>
        <w:rPr>
          <w:rStyle w:val="ImportTok"/>
        </w:rPr>
        <w:t xml:space="preserve">import</w:t>
      </w:r>
      <w:r>
        <w:rPr>
          <w:rStyle w:val="NormalTok"/>
        </w:rPr>
        <w:t xml:space="preserve"> math</w:t>
      </w:r>
      <w:r>
        <w:br/>
      </w:r>
      <w:r>
        <w:rPr>
          <w:rStyle w:val="ImportTok"/>
        </w:rPr>
        <w:t xml:space="preserve">import</w:t>
      </w:r>
      <w:r>
        <w:rPr>
          <w:rStyle w:val="NormalTok"/>
        </w:rPr>
        <w:t xml:space="preserve"> random</w:t>
      </w:r>
      <w:r>
        <w:br/>
      </w:r>
      <w:r>
        <w:br/>
      </w:r>
      <w:r>
        <w:rPr>
          <w:rStyle w:val="NormalTok"/>
        </w:rPr>
        <w:t xml:space="preserve">SERVERS </w:t>
      </w:r>
      <w:r>
        <w:rPr>
          <w:rStyle w:val="OperatorTok"/>
        </w:rPr>
        <w:t xml:space="preserve">=</w:t>
      </w:r>
      <w:r>
        <w:rPr>
          <w:rStyle w:val="NormalTok"/>
        </w:rPr>
        <w:t xml:space="preserve"> </w:t>
      </w:r>
      <w:r>
        <w:rPr>
          <w:rStyle w:val="DecValTok"/>
        </w:rPr>
        <w:t xml:space="preserve">20</w:t>
      </w:r>
      <w:r>
        <w:br/>
      </w:r>
      <w:r>
        <w:rPr>
          <w:rStyle w:val="NormalTok"/>
        </w:rPr>
        <w:t xml:space="preserve">N_REQ </w:t>
      </w:r>
      <w:r>
        <w:rPr>
          <w:rStyle w:val="OperatorTok"/>
        </w:rPr>
        <w:t xml:space="preserve">=</w:t>
      </w:r>
      <w:r>
        <w:rPr>
          <w:rStyle w:val="NormalTok"/>
        </w:rPr>
        <w:t xml:space="preserve"> </w:t>
      </w:r>
      <w:r>
        <w:rPr>
          <w:rStyle w:val="DecValTok"/>
        </w:rPr>
        <w:t xml:space="preserve">400_000</w:t>
      </w:r>
      <w:r>
        <w:br/>
      </w:r>
      <w:r>
        <w:br/>
      </w:r>
      <w:r>
        <w:rPr>
          <w:rStyle w:val="KeywordTok"/>
        </w:rPr>
        <w:t xml:space="preserve">def</w:t>
      </w:r>
      <w:r>
        <w:rPr>
          <w:rStyle w:val="NormalTok"/>
        </w:rPr>
        <w:t xml:space="preserve"> service_time(rng):</w:t>
      </w:r>
      <w:r>
        <w:br/>
      </w:r>
      <w:r>
        <w:rPr>
          <w:rStyle w:val="NormalTok"/>
        </w:rPr>
        <w:t xml:space="preserve">    </w:t>
      </w:r>
      <w:r>
        <w:rPr>
          <w:rStyle w:val="CommentTok"/>
        </w:rPr>
        <w:t xml:space="preserve">"""~1 ms of work; 0.1% of requests hit a 50 ms hiccup (GC, compaction...)."""</w:t>
      </w:r>
      <w:r>
        <w:br/>
      </w:r>
      <w:r>
        <w:rPr>
          <w:rStyle w:val="NormalTok"/>
        </w:rPr>
        <w:t xml:space="preserve">    t </w:t>
      </w:r>
      <w:r>
        <w:rPr>
          <w:rStyle w:val="OperatorTok"/>
        </w:rPr>
        <w:t xml:space="preserve">=</w:t>
      </w:r>
      <w:r>
        <w:rPr>
          <w:rStyle w:val="NormalTok"/>
        </w:rPr>
        <w:t xml:space="preserve"> </w:t>
      </w:r>
      <w:r>
        <w:rPr>
          <w:rStyle w:val="FloatTok"/>
        </w:rPr>
        <w:t xml:space="preserve">0.0005</w:t>
      </w:r>
      <w:r>
        <w:rPr>
          <w:rStyle w:val="NormalTok"/>
        </w:rPr>
        <w:t xml:space="preserve"> </w:t>
      </w:r>
      <w:r>
        <w:rPr>
          <w:rStyle w:val="OperatorTok"/>
        </w:rPr>
        <w:t xml:space="preserve">+</w:t>
      </w:r>
      <w:r>
        <w:rPr>
          <w:rStyle w:val="NormalTok"/>
        </w:rPr>
        <w:t xml:space="preserve"> rng.expovariate(</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0.0005</w:t>
      </w:r>
      <w:r>
        <w:rPr>
          <w:rStyle w:val="NormalTok"/>
        </w:rPr>
        <w:t xml:space="preserve">)</w:t>
      </w:r>
      <w:r>
        <w:br/>
      </w:r>
      <w:r>
        <w:rPr>
          <w:rStyle w:val="NormalTok"/>
        </w:rPr>
        <w:t xml:space="preserve">    </w:t>
      </w:r>
      <w:r>
        <w:rPr>
          <w:rStyle w:val="ControlFlowTok"/>
        </w:rPr>
        <w:t xml:space="preserve">if</w:t>
      </w:r>
      <w:r>
        <w:rPr>
          <w:rStyle w:val="NormalTok"/>
        </w:rPr>
        <w:t xml:space="preserve"> rng.random() </w:t>
      </w:r>
      <w:r>
        <w:rPr>
          <w:rStyle w:val="OperatorTok"/>
        </w:rPr>
        <w:t xml:space="preserve">&lt;</w:t>
      </w:r>
      <w:r>
        <w:rPr>
          <w:rStyle w:val="NormalTok"/>
        </w:rPr>
        <w:t xml:space="preserve"> </w:t>
      </w:r>
      <w:r>
        <w:rPr>
          <w:rStyle w:val="FloatTok"/>
        </w:rPr>
        <w:t xml:space="preserve">0.001</w:t>
      </w:r>
      <w:r>
        <w:rPr>
          <w:rStyle w:val="NormalTok"/>
        </w:rPr>
        <w:t xml:space="preserve">:</w:t>
      </w:r>
      <w:r>
        <w:br/>
      </w:r>
      <w:r>
        <w:rPr>
          <w:rStyle w:val="NormalTok"/>
        </w:rPr>
        <w:t xml:space="preserve">        t </w:t>
      </w:r>
      <w:r>
        <w:rPr>
          <w:rStyle w:val="OperatorTok"/>
        </w:rPr>
        <w:t xml:space="preserve">+=</w:t>
      </w:r>
      <w:r>
        <w:rPr>
          <w:rStyle w:val="NormalTok"/>
        </w:rPr>
        <w:t xml:space="preserve"> </w:t>
      </w:r>
      <w:r>
        <w:rPr>
          <w:rStyle w:val="FloatTok"/>
        </w:rPr>
        <w:t xml:space="preserve">0.050</w:t>
      </w:r>
      <w:r>
        <w:br/>
      </w:r>
      <w:r>
        <w:rPr>
          <w:rStyle w:val="NormalTok"/>
        </w:rPr>
        <w:t xml:space="preserve">    </w:t>
      </w:r>
      <w:r>
        <w:rPr>
          <w:rStyle w:val="ControlFlowTok"/>
        </w:rPr>
        <w:t xml:space="preserve">return</w:t>
      </w:r>
      <w:r>
        <w:rPr>
          <w:rStyle w:val="NormalTok"/>
        </w:rPr>
        <w:t xml:space="preserve"> t</w:t>
      </w:r>
      <w:r>
        <w:br/>
      </w:r>
      <w:r>
        <w:br/>
      </w:r>
      <w:r>
        <w:rPr>
          <w:rStyle w:val="KeywordTok"/>
        </w:rPr>
        <w:t xml:space="preserve">def</w:t>
      </w:r>
      <w:r>
        <w:rPr>
          <w:rStyle w:val="NormalTok"/>
        </w:rPr>
        <w:t xml:space="preserve"> simulate(rho, hedge_after</w:t>
      </w:r>
      <w:r>
        <w:rPr>
          <w:rStyle w:val="OperatorTok"/>
        </w:rPr>
        <w:t xml:space="preserve">=</w:t>
      </w:r>
      <w:r>
        <w:rPr>
          <w:rStyle w:val="VariableTok"/>
        </w:rPr>
        <w:t xml:space="preserve">None</w:t>
      </w:r>
      <w:r>
        <w:rPr>
          <w:rStyle w:val="NormalTok"/>
        </w:rPr>
        <w:t xml:space="preserve">, cancel</w:t>
      </w:r>
      <w:r>
        <w:rPr>
          <w:rStyle w:val="OperatorTok"/>
        </w:rPr>
        <w:t xml:space="preserve">=</w:t>
      </w:r>
      <w:r>
        <w:rPr>
          <w:rStyle w:val="VariableTok"/>
        </w:rPr>
        <w:t xml:space="preserve">False</w:t>
      </w:r>
      <w:r>
        <w:rPr>
          <w:rStyle w:val="NormalTok"/>
        </w:rPr>
        <w:t xml:space="preserve">, seed</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CommentTok"/>
        </w:rPr>
        <w:t xml:space="preserve">"""FIFO replicas; Poisson arrivals; optional hedge to a second replica.</w:t>
      </w:r>
      <w:r>
        <w:br/>
      </w:r>
      <w:r>
        <w:rPr>
          <w:rStyle w:val="CommentTok"/>
        </w:rPr>
        <w:t xml:space="preserve">    Returns (latencies in ms, extra work as a fraction of original work)."""</w:t>
      </w:r>
      <w:r>
        <w:br/>
      </w:r>
      <w:r>
        <w:rPr>
          <w:rStyle w:val="NormalTok"/>
        </w:rPr>
        <w:t xml:space="preserve">    rng </w:t>
      </w:r>
      <w:r>
        <w:rPr>
          <w:rStyle w:val="OperatorTok"/>
        </w:rPr>
        <w:t xml:space="preserve">=</w:t>
      </w:r>
      <w:r>
        <w:rPr>
          <w:rStyle w:val="NormalTok"/>
        </w:rPr>
        <w:t xml:space="preserve"> random.Random(seed)</w:t>
      </w:r>
      <w:r>
        <w:br/>
      </w:r>
      <w:r>
        <w:rPr>
          <w:rStyle w:val="NormalTok"/>
        </w:rPr>
        <w:t xml:space="preserve">    lam </w:t>
      </w:r>
      <w:r>
        <w:rPr>
          <w:rStyle w:val="OperatorTok"/>
        </w:rPr>
        <w:t xml:space="preserve">=</w:t>
      </w:r>
      <w:r>
        <w:rPr>
          <w:rStyle w:val="NormalTok"/>
        </w:rPr>
        <w:t xml:space="preserve"> rho </w:t>
      </w:r>
      <w:r>
        <w:rPr>
          <w:rStyle w:val="OperatorTok"/>
        </w:rPr>
        <w:t xml:space="preserve">*</w:t>
      </w:r>
      <w:r>
        <w:rPr>
          <w:rStyle w:val="NormalTok"/>
        </w:rPr>
        <w:t xml:space="preserve"> SERVERS </w:t>
      </w:r>
      <w:r>
        <w:rPr>
          <w:rStyle w:val="OperatorTok"/>
        </w:rPr>
        <w:t xml:space="preserve">/</w:t>
      </w:r>
      <w:r>
        <w:rPr>
          <w:rStyle w:val="NormalTok"/>
        </w:rPr>
        <w:t xml:space="preserve"> </w:t>
      </w:r>
      <w:r>
        <w:rPr>
          <w:rStyle w:val="FloatTok"/>
        </w:rPr>
        <w:t xml:space="preserve">0.00105</w:t>
      </w:r>
      <w:r>
        <w:rPr>
          <w:rStyle w:val="NormalTok"/>
        </w:rPr>
        <w:t xml:space="preserve">            </w:t>
      </w:r>
      <w:r>
        <w:rPr>
          <w:rStyle w:val="CommentTok"/>
        </w:rPr>
        <w:t xml:space="preserve"># mean service time is 1.05 ms</w:t>
      </w:r>
      <w:r>
        <w:br/>
      </w:r>
      <w:r>
        <w:rPr>
          <w:rStyle w:val="NormalTok"/>
        </w:rPr>
        <w:t xml:space="preserve">    free_at </w:t>
      </w:r>
      <w:r>
        <w:rPr>
          <w:rStyle w:val="OperatorTok"/>
        </w:rPr>
        <w:t xml:space="preserve">=</w:t>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 SERVERS</w:t>
      </w:r>
      <w:r>
        <w:br/>
      </w:r>
      <w:r>
        <w:rPr>
          <w:rStyle w:val="NormalTok"/>
        </w:rPr>
        <w:t xml:space="preserve">    events, t </w:t>
      </w:r>
      <w:r>
        <w:rPr>
          <w:rStyle w:val="OperatorTok"/>
        </w:rPr>
        <w:t xml:space="preserve">=</w:t>
      </w:r>
      <w:r>
        <w:rPr>
          <w:rStyle w:val="NormalTok"/>
        </w:rPr>
        <w:t xml:space="preserve"> [], </w:t>
      </w:r>
      <w:r>
        <w:rPr>
          <w:rStyle w:val="FloatTok"/>
        </w:rPr>
        <w:t xml:space="preserve">0.0</w:t>
      </w:r>
      <w:r>
        <w:rPr>
          <w:rStyle w:val="NormalTok"/>
        </w:rPr>
        <w:t xml:space="preserve">                      </w:t>
      </w:r>
      <w:r>
        <w:rPr>
          <w:rStyle w:val="CommentTok"/>
        </w:rPr>
        <w:t xml:space="preserve"># (submit_time, seq, req_id, is_hedge, avoid)</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(N_REQ):</w:t>
      </w:r>
      <w:r>
        <w:br/>
      </w:r>
      <w:r>
        <w:rPr>
          <w:rStyle w:val="NormalTok"/>
        </w:rPr>
        <w:t xml:space="preserve">        t </w:t>
      </w:r>
      <w:r>
        <w:rPr>
          <w:rStyle w:val="OperatorTok"/>
        </w:rPr>
        <w:t xml:space="preserve">+=</w:t>
      </w:r>
      <w:r>
        <w:rPr>
          <w:rStyle w:val="NormalTok"/>
        </w:rPr>
        <w:t xml:space="preserve"> rng.expovariate(lam)</w:t>
      </w:r>
      <w:r>
        <w:br/>
      </w:r>
      <w:r>
        <w:rPr>
          <w:rStyle w:val="NormalTok"/>
        </w:rPr>
        <w:t xml:space="preserve">        heapq.heappush(events, (t, i, i, </w:t>
      </w:r>
      <w:r>
        <w:rPr>
          <w:rStyle w:val="VariableTok"/>
        </w:rPr>
        <w:t xml:space="preserve">False</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done </w:t>
      </w:r>
      <w:r>
        <w:rPr>
          <w:rStyle w:val="OperatorTok"/>
        </w:rPr>
        <w:t xml:space="preserve">=</w:t>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 N_REQ</w:t>
      </w:r>
      <w:r>
        <w:br/>
      </w:r>
      <w:r>
        <w:rPr>
          <w:rStyle w:val="NormalTok"/>
        </w:rPr>
        <w:t xml:space="preserve">    sent </w:t>
      </w:r>
      <w:r>
        <w:rPr>
          <w:rStyle w:val="OperatorTok"/>
        </w:rPr>
        <w:t xml:space="preserve">=</w:t>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 N_REQ</w:t>
      </w:r>
      <w:r>
        <w:br/>
      </w:r>
      <w:r>
        <w:rPr>
          <w:rStyle w:val="NormalTok"/>
        </w:rPr>
        <w:t xml:space="preserve">    seq, base_work, extra_work </w:t>
      </w:r>
      <w:r>
        <w:rPr>
          <w:rStyle w:val="OperatorTok"/>
        </w:rPr>
        <w:t xml:space="preserve">=</w:t>
      </w:r>
      <w:r>
        <w:rPr>
          <w:rStyle w:val="NormalTok"/>
        </w:rPr>
        <w:t xml:space="preserve"> N_REQ, </w:t>
      </w:r>
      <w:r>
        <w:rPr>
          <w:rStyle w:val="FloatTok"/>
        </w:rPr>
        <w:t xml:space="preserve">0.0</w:t>
      </w:r>
      <w:r>
        <w:rPr>
          <w:rStyle w:val="NormalTok"/>
        </w:rPr>
        <w:t xml:space="preserve">, </w:t>
      </w:r>
      <w:r>
        <w:rPr>
          <w:rStyle w:val="FloatTok"/>
        </w:rPr>
        <w:t xml:space="preserve">0.0</w:t>
      </w:r>
      <w:r>
        <w:br/>
      </w:r>
      <w:r>
        <w:rPr>
          <w:rStyle w:val="NormalTok"/>
        </w:rPr>
        <w:t xml:space="preserve">    </w:t>
      </w:r>
      <w:r>
        <w:rPr>
          <w:rStyle w:val="ControlFlowTok"/>
        </w:rPr>
        <w:t xml:space="preserve">while</w:t>
      </w:r>
      <w:r>
        <w:rPr>
          <w:rStyle w:val="NormalTok"/>
        </w:rPr>
        <w:t xml:space="preserve"> events:</w:t>
      </w:r>
      <w:r>
        <w:br/>
      </w:r>
      <w:r>
        <w:rPr>
          <w:rStyle w:val="NormalTok"/>
        </w:rPr>
        <w:t xml:space="preserve">        now, _, rid, is_hedge, avoid </w:t>
      </w:r>
      <w:r>
        <w:rPr>
          <w:rStyle w:val="OperatorTok"/>
        </w:rPr>
        <w:t xml:space="preserve">=</w:t>
      </w:r>
      <w:r>
        <w:rPr>
          <w:rStyle w:val="NormalTok"/>
        </w:rPr>
        <w:t xml:space="preserve"> heapq.heappop(events)</w:t>
      </w:r>
      <w:r>
        <w:br/>
      </w:r>
      <w:r>
        <w:rPr>
          <w:rStyle w:val="NormalTok"/>
        </w:rPr>
        <w:t xml:space="preserve">        server </w:t>
      </w:r>
      <w:r>
        <w:rPr>
          <w:rStyle w:val="OperatorTok"/>
        </w:rPr>
        <w:t xml:space="preserve">=</w:t>
      </w:r>
      <w:r>
        <w:rPr>
          <w:rStyle w:val="NormalTok"/>
        </w:rPr>
        <w:t xml:space="preserve"> rng.randrange(SERVERS)</w:t>
      </w:r>
      <w:r>
        <w:br/>
      </w:r>
      <w:r>
        <w:rPr>
          <w:rStyle w:val="NormalTok"/>
        </w:rPr>
        <w:t xml:space="preserve">        </w:t>
      </w:r>
      <w:r>
        <w:rPr>
          <w:rStyle w:val="ControlFlowTok"/>
        </w:rPr>
        <w:t xml:space="preserve">while</w:t>
      </w:r>
      <w:r>
        <w:rPr>
          <w:rStyle w:val="NormalTok"/>
        </w:rPr>
        <w:t xml:space="preserve"> server </w:t>
      </w:r>
      <w:r>
        <w:rPr>
          <w:rStyle w:val="OperatorTok"/>
        </w:rPr>
        <w:t xml:space="preserve">==</w:t>
      </w:r>
      <w:r>
        <w:rPr>
          <w:rStyle w:val="NormalTok"/>
        </w:rPr>
        <w:t xml:space="preserve"> avoid:</w:t>
      </w:r>
      <w:r>
        <w:br/>
      </w:r>
      <w:r>
        <w:rPr>
          <w:rStyle w:val="NormalTok"/>
        </w:rPr>
        <w:t xml:space="preserve">            server </w:t>
      </w:r>
      <w:r>
        <w:rPr>
          <w:rStyle w:val="OperatorTok"/>
        </w:rPr>
        <w:t xml:space="preserve">=</w:t>
      </w:r>
      <w:r>
        <w:rPr>
          <w:rStyle w:val="NormalTok"/>
        </w:rPr>
        <w:t xml:space="preserve"> rng.randrange(SERVERS)</w:t>
      </w:r>
      <w:r>
        <w:br/>
      </w:r>
      <w:r>
        <w:rPr>
          <w:rStyle w:val="NormalTok"/>
        </w:rPr>
        <w:t xml:space="preserve">        start </w:t>
      </w:r>
      <w:r>
        <w:rPr>
          <w:rStyle w:val="OperatorTok"/>
        </w:rPr>
        <w:t xml:space="preserve">=</w:t>
      </w:r>
      <w:r>
        <w:rPr>
          <w:rStyle w:val="NormalTok"/>
        </w:rPr>
        <w:t xml:space="preserve"> </w:t>
      </w:r>
      <w:r>
        <w:rPr>
          <w:rStyle w:val="BuiltInTok"/>
        </w:rPr>
        <w:t xml:space="preserve">max</w:t>
      </w:r>
      <w:r>
        <w:rPr>
          <w:rStyle w:val="NormalTok"/>
        </w:rPr>
        <w:t xml:space="preserve">(now, free_at[server])</w:t>
      </w:r>
      <w:r>
        <w:br/>
      </w:r>
      <w:r>
        <w:rPr>
          <w:rStyle w:val="NormalTok"/>
        </w:rPr>
        <w:t xml:space="preserve">        </w:t>
      </w:r>
      <w:r>
        <w:rPr>
          <w:rStyle w:val="ControlFlowTok"/>
        </w:rPr>
        <w:t xml:space="preserve">if</w:t>
      </w:r>
      <w:r>
        <w:rPr>
          <w:rStyle w:val="NormalTok"/>
        </w:rPr>
        <w:t xml:space="preserve"> is_hedge:</w:t>
      </w:r>
      <w:r>
        <w:br/>
      </w:r>
      <w:r>
        <w:rPr>
          <w:rStyle w:val="NormalTok"/>
        </w:rPr>
        <w:t xml:space="preserve">            </w:t>
      </w:r>
      <w:r>
        <w:rPr>
          <w:rStyle w:val="ControlFlowTok"/>
        </w:rPr>
        <w:t xml:space="preserve">if</w:t>
      </w:r>
      <w:r>
        <w:rPr>
          <w:rStyle w:val="NormalTok"/>
        </w:rPr>
        <w:t xml:space="preserve"> cancel </w:t>
      </w:r>
      <w:r>
        <w:rPr>
          <w:rStyle w:val="KeywordTok"/>
        </w:rPr>
        <w:t xml:space="preserve">and</w:t>
      </w:r>
      <w:r>
        <w:rPr>
          <w:rStyle w:val="NormalTok"/>
        </w:rPr>
        <w:t xml:space="preserve"> done[rid] </w:t>
      </w:r>
      <w:r>
        <w:rPr>
          <w:rStyle w:val="OperatorTok"/>
        </w:rPr>
        <w:t xml:space="preserve">&lt;=</w:t>
      </w:r>
      <w:r>
        <w:rPr>
          <w:rStyle w:val="NormalTok"/>
        </w:rPr>
        <w:t xml:space="preserve"> start:  </w:t>
      </w:r>
      <w:r>
        <w:rPr>
          <w:rStyle w:val="CommentTok"/>
        </w:rPr>
        <w:t xml:space="preserve"># original already answered: drop copy</w:t>
      </w:r>
      <w:r>
        <w:br/>
      </w:r>
      <w:r>
        <w:rPr>
          <w:rStyle w:val="NormalTok"/>
        </w:rPr>
        <w:t xml:space="preserve">                </w:t>
      </w:r>
      <w:r>
        <w:rPr>
          <w:rStyle w:val="ControlFlowTok"/>
        </w:rPr>
        <w:t xml:space="preserve">continue</w:t>
      </w:r>
      <w:r>
        <w:br/>
      </w:r>
      <w:r>
        <w:rPr>
          <w:rStyle w:val="NormalTok"/>
        </w:rPr>
        <w:t xml:space="preserve">            work </w:t>
      </w:r>
      <w:r>
        <w:rPr>
          <w:rStyle w:val="OperatorTok"/>
        </w:rPr>
        <w:t xml:space="preserve">=</w:t>
      </w:r>
      <w:r>
        <w:rPr>
          <w:rStyle w:val="NormalTok"/>
        </w:rPr>
        <w:t xml:space="preserve"> service_time(rng)</w:t>
      </w:r>
      <w:r>
        <w:br/>
      </w:r>
      <w:r>
        <w:rPr>
          <w:rStyle w:val="NormalTok"/>
        </w:rPr>
        <w:t xml:space="preserve">            free_at[server] </w:t>
      </w:r>
      <w:r>
        <w:rPr>
          <w:rStyle w:val="OperatorTok"/>
        </w:rPr>
        <w:t xml:space="preserve">=</w:t>
      </w:r>
      <w:r>
        <w:rPr>
          <w:rStyle w:val="NormalTok"/>
        </w:rPr>
        <w:t xml:space="preserve"> start </w:t>
      </w:r>
      <w:r>
        <w:rPr>
          <w:rStyle w:val="OperatorTok"/>
        </w:rPr>
        <w:t xml:space="preserve">+</w:t>
      </w:r>
      <w:r>
        <w:rPr>
          <w:rStyle w:val="NormalTok"/>
        </w:rPr>
        <w:t xml:space="preserve"> work</w:t>
      </w:r>
      <w:r>
        <w:br/>
      </w:r>
      <w:r>
        <w:rPr>
          <w:rStyle w:val="NormalTok"/>
        </w:rPr>
        <w:t xml:space="preserve">            extra_work </w:t>
      </w:r>
      <w:r>
        <w:rPr>
          <w:rStyle w:val="OperatorTok"/>
        </w:rPr>
        <w:t xml:space="preserve">+=</w:t>
      </w:r>
      <w:r>
        <w:rPr>
          <w:rStyle w:val="NormalTok"/>
        </w:rPr>
        <w:t xml:space="preserve"> work</w:t>
      </w:r>
      <w:r>
        <w:br/>
      </w:r>
      <w:r>
        <w:rPr>
          <w:rStyle w:val="NormalTok"/>
        </w:rPr>
        <w:t xml:space="preserve">            done[rid] </w:t>
      </w:r>
      <w:r>
        <w:rPr>
          <w:rStyle w:val="OperatorTok"/>
        </w:rPr>
        <w:t xml:space="preserve">=</w:t>
      </w:r>
      <w:r>
        <w:rPr>
          <w:rStyle w:val="NormalTok"/>
        </w:rPr>
        <w:t xml:space="preserve"> </w:t>
      </w:r>
      <w:r>
        <w:rPr>
          <w:rStyle w:val="BuiltInTok"/>
        </w:rPr>
        <w:t xml:space="preserve">min</w:t>
      </w:r>
      <w:r>
        <w:rPr>
          <w:rStyle w:val="NormalTok"/>
        </w:rPr>
        <w:t xml:space="preserve">(done[rid], free_at[server])</w:t>
      </w:r>
      <w:r>
        <w:br/>
      </w:r>
      <w:r>
        <w:rPr>
          <w:rStyle w:val="NormalTok"/>
        </w:rPr>
        <w:t xml:space="preserve">        </w:t>
      </w:r>
      <w:r>
        <w:rPr>
          <w:rStyle w:val="ControlFlowTok"/>
        </w:rPr>
        <w:t xml:space="preserve">else</w:t>
      </w:r>
      <w:r>
        <w:rPr>
          <w:rStyle w:val="NormalTok"/>
        </w:rPr>
        <w:t xml:space="preserve">:</w:t>
      </w:r>
      <w:r>
        <w:br/>
      </w:r>
      <w:r>
        <w:rPr>
          <w:rStyle w:val="NormalTok"/>
        </w:rPr>
        <w:t xml:space="preserve">            work </w:t>
      </w:r>
      <w:r>
        <w:rPr>
          <w:rStyle w:val="OperatorTok"/>
        </w:rPr>
        <w:t xml:space="preserve">=</w:t>
      </w:r>
      <w:r>
        <w:rPr>
          <w:rStyle w:val="NormalTok"/>
        </w:rPr>
        <w:t xml:space="preserve"> service_time(rng)</w:t>
      </w:r>
      <w:r>
        <w:br/>
      </w:r>
      <w:r>
        <w:rPr>
          <w:rStyle w:val="NormalTok"/>
        </w:rPr>
        <w:t xml:space="preserve">            free_at[server] </w:t>
      </w:r>
      <w:r>
        <w:rPr>
          <w:rStyle w:val="OperatorTok"/>
        </w:rPr>
        <w:t xml:space="preserve">=</w:t>
      </w:r>
      <w:r>
        <w:rPr>
          <w:rStyle w:val="NormalTok"/>
        </w:rPr>
        <w:t xml:space="preserve"> start </w:t>
      </w:r>
      <w:r>
        <w:rPr>
          <w:rStyle w:val="OperatorTok"/>
        </w:rPr>
        <w:t xml:space="preserve">+</w:t>
      </w:r>
      <w:r>
        <w:rPr>
          <w:rStyle w:val="NormalTok"/>
        </w:rPr>
        <w:t xml:space="preserve"> work</w:t>
      </w:r>
      <w:r>
        <w:br/>
      </w:r>
      <w:r>
        <w:rPr>
          <w:rStyle w:val="NormalTok"/>
        </w:rPr>
        <w:t xml:space="preserve">            base_work </w:t>
      </w:r>
      <w:r>
        <w:rPr>
          <w:rStyle w:val="OperatorTok"/>
        </w:rPr>
        <w:t xml:space="preserve">+=</w:t>
      </w:r>
      <w:r>
        <w:rPr>
          <w:rStyle w:val="NormalTok"/>
        </w:rPr>
        <w:t xml:space="preserve"> work</w:t>
      </w:r>
      <w:r>
        <w:br/>
      </w:r>
      <w:r>
        <w:rPr>
          <w:rStyle w:val="NormalTok"/>
        </w:rPr>
        <w:t xml:space="preserve">            sent[rid], done[rid] </w:t>
      </w:r>
      <w:r>
        <w:rPr>
          <w:rStyle w:val="OperatorTok"/>
        </w:rPr>
        <w:t xml:space="preserve">=</w:t>
      </w:r>
      <w:r>
        <w:rPr>
          <w:rStyle w:val="NormalTok"/>
        </w:rPr>
        <w:t xml:space="preserve"> now, free_at[server]</w:t>
      </w:r>
      <w:r>
        <w:br/>
      </w:r>
      <w:r>
        <w:rPr>
          <w:rStyle w:val="NormalTok"/>
        </w:rPr>
        <w:t xml:space="preserve">            </w:t>
      </w:r>
      <w:r>
        <w:rPr>
          <w:rStyle w:val="ControlFlowTok"/>
        </w:rPr>
        <w:t xml:space="preserve">if</w:t>
      </w:r>
      <w:r>
        <w:rPr>
          <w:rStyle w:val="NormalTok"/>
        </w:rPr>
        <w:t xml:space="preserve"> hedge_after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done[rid] </w:t>
      </w:r>
      <w:r>
        <w:rPr>
          <w:rStyle w:val="OperatorTok"/>
        </w:rPr>
        <w:t xml:space="preserve">&gt;</w:t>
      </w:r>
      <w:r>
        <w:rPr>
          <w:rStyle w:val="NormalTok"/>
        </w:rPr>
        <w:t xml:space="preserve"> now </w:t>
      </w:r>
      <w:r>
        <w:rPr>
          <w:rStyle w:val="OperatorTok"/>
        </w:rPr>
        <w:t xml:space="preserve">+</w:t>
      </w:r>
      <w:r>
        <w:rPr>
          <w:rStyle w:val="NormalTok"/>
        </w:rPr>
        <w:t xml:space="preserve"> hedge_after:</w:t>
      </w:r>
      <w:r>
        <w:br/>
      </w:r>
      <w:r>
        <w:rPr>
          <w:rStyle w:val="NormalTok"/>
        </w:rPr>
        <w:t xml:space="preserve">                seq </w:t>
      </w:r>
      <w:r>
        <w:rPr>
          <w:rStyle w:val="OperatorTok"/>
        </w:rPr>
        <w:t xml:space="preserve">+=</w:t>
      </w:r>
      <w:r>
        <w:rPr>
          <w:rStyle w:val="NormalTok"/>
        </w:rPr>
        <w:t xml:space="preserve"> </w:t>
      </w:r>
      <w:r>
        <w:rPr>
          <w:rStyle w:val="DecValTok"/>
        </w:rPr>
        <w:t xml:space="preserve">1</w:t>
      </w:r>
      <w:r>
        <w:br/>
      </w:r>
      <w:r>
        <w:rPr>
          <w:rStyle w:val="NormalTok"/>
        </w:rPr>
        <w:t xml:space="preserve">                heapq.heappush(events, (now </w:t>
      </w:r>
      <w:r>
        <w:rPr>
          <w:rStyle w:val="OperatorTok"/>
        </w:rPr>
        <w:t xml:space="preserve">+</w:t>
      </w:r>
      <w:r>
        <w:rPr>
          <w:rStyle w:val="NormalTok"/>
        </w:rPr>
        <w:t xml:space="preserve"> hedge_after, seq, rid, </w:t>
      </w:r>
      <w:r>
        <w:rPr>
          <w:rStyle w:val="VariableTok"/>
        </w:rPr>
        <w:t xml:space="preserve">True</w:t>
      </w:r>
      <w:r>
        <w:rPr>
          <w:rStyle w:val="NormalTok"/>
        </w:rPr>
        <w:t xml:space="preserve">, server))</w:t>
      </w:r>
      <w:r>
        <w:br/>
      </w:r>
      <w:r>
        <w:rPr>
          <w:rStyle w:val="NormalTok"/>
        </w:rPr>
        <w:t xml:space="preserve">    lat </w:t>
      </w:r>
      <w:r>
        <w:rPr>
          <w:rStyle w:val="OperatorTok"/>
        </w:rPr>
        <w:t xml:space="preserve">=</w:t>
      </w:r>
      <w:r>
        <w:rPr>
          <w:rStyle w:val="NormalTok"/>
        </w:rPr>
        <w:t xml:space="preserve"> </w:t>
      </w:r>
      <w:r>
        <w:rPr>
          <w:rStyle w:val="BuiltInTok"/>
        </w:rPr>
        <w:t xml:space="preserve">sorted</w:t>
      </w:r>
      <w:r>
        <w:rPr>
          <w:rStyle w:val="NormalTok"/>
        </w:rPr>
        <w:t xml:space="preserve">((d </w:t>
      </w:r>
      <w:r>
        <w:rPr>
          <w:rStyle w:val="OperatorTok"/>
        </w:rPr>
        <w:t xml:space="preserve">-</w:t>
      </w:r>
      <w:r>
        <w:rPr>
          <w:rStyle w:val="NormalTok"/>
        </w:rPr>
        <w:t xml:space="preserve"> s) </w:t>
      </w:r>
      <w:r>
        <w:rPr>
          <w:rStyle w:val="OperatorTok"/>
        </w:rPr>
        <w:t xml:space="preserve">*</w:t>
      </w:r>
      <w:r>
        <w:rPr>
          <w:rStyle w:val="NormalTok"/>
        </w:rPr>
        <w:t xml:space="preserve"> </w:t>
      </w:r>
      <w:r>
        <w:rPr>
          <w:rStyle w:val="DecValTok"/>
        </w:rPr>
        <w:t xml:space="preserve">1000</w:t>
      </w:r>
      <w:r>
        <w:rPr>
          <w:rStyle w:val="NormalTok"/>
        </w:rPr>
        <w:t xml:space="preserve"> </w:t>
      </w:r>
      <w:r>
        <w:rPr>
          <w:rStyle w:val="ControlFlowTok"/>
        </w:rPr>
        <w:t xml:space="preserve">for</w:t>
      </w:r>
      <w:r>
        <w:rPr>
          <w:rStyle w:val="NormalTok"/>
        </w:rPr>
        <w:t xml:space="preserve"> d, s </w:t>
      </w:r>
      <w:r>
        <w:rPr>
          <w:rStyle w:val="KeywordTok"/>
        </w:rPr>
        <w:t xml:space="preserve">in</w:t>
      </w:r>
      <w:r>
        <w:rPr>
          <w:rStyle w:val="NormalTok"/>
        </w:rPr>
        <w:t xml:space="preserve"> </w:t>
      </w:r>
      <w:r>
        <w:rPr>
          <w:rStyle w:val="BuiltInTok"/>
        </w:rPr>
        <w:t xml:space="preserve">zip</w:t>
      </w:r>
      <w:r>
        <w:rPr>
          <w:rStyle w:val="NormalTok"/>
        </w:rPr>
        <w:t xml:space="preserve">(done, sent))</w:t>
      </w:r>
      <w:r>
        <w:br/>
      </w:r>
      <w:r>
        <w:rPr>
          <w:rStyle w:val="NormalTok"/>
        </w:rPr>
        <w:t xml:space="preserve">    </w:t>
      </w:r>
      <w:r>
        <w:rPr>
          <w:rStyle w:val="ControlFlowTok"/>
        </w:rPr>
        <w:t xml:space="preserve">return</w:t>
      </w:r>
      <w:r>
        <w:rPr>
          <w:rStyle w:val="NormalTok"/>
        </w:rPr>
        <w:t xml:space="preserve"> lat, extra_work </w:t>
      </w:r>
      <w:r>
        <w:rPr>
          <w:rStyle w:val="OperatorTok"/>
        </w:rPr>
        <w:t xml:space="preserve">/</w:t>
      </w:r>
      <w:r>
        <w:rPr>
          <w:rStyle w:val="NormalTok"/>
        </w:rPr>
        <w:t xml:space="preserve"> base_work</w:t>
      </w:r>
      <w:r>
        <w:br/>
      </w:r>
      <w:r>
        <w:br/>
      </w:r>
      <w:r>
        <w:rPr>
          <w:rStyle w:val="KeywordTok"/>
        </w:rPr>
        <w:t xml:space="preserve">def</w:t>
      </w:r>
      <w:r>
        <w:rPr>
          <w:rStyle w:val="NormalTok"/>
        </w:rPr>
        <w:t xml:space="preserve"> pct(xs, q):</w:t>
      </w:r>
      <w:r>
        <w:br/>
      </w:r>
      <w:r>
        <w:rPr>
          <w:rStyle w:val="NormalTok"/>
        </w:rPr>
        <w:t xml:space="preserve">    </w:t>
      </w:r>
      <w:r>
        <w:rPr>
          <w:rStyle w:val="ControlFlowTok"/>
        </w:rPr>
        <w:t xml:space="preserve">return</w:t>
      </w:r>
      <w:r>
        <w:rPr>
          <w:rStyle w:val="NormalTok"/>
        </w:rPr>
        <w:t xml:space="preserve"> xs[</w:t>
      </w:r>
      <w:r>
        <w:rPr>
          <w:rStyle w:val="BuiltInTok"/>
        </w:rPr>
        <w:t xml:space="preserve">max</w:t>
      </w:r>
      <w:r>
        <w:rPr>
          <w:rStyle w:val="NormalTok"/>
        </w:rPr>
        <w:t xml:space="preserve">(math.ceil(q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(xs)),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ControlFlowTok"/>
        </w:rPr>
        <w:t xml:space="preserve">for</w:t>
      </w:r>
      <w:r>
        <w:rPr>
          <w:rStyle w:val="NormalTok"/>
        </w:rPr>
        <w:t xml:space="preserve"> rho </w:t>
      </w:r>
      <w:r>
        <w:rPr>
          <w:rStyle w:val="KeywordTok"/>
        </w:rPr>
        <w:t xml:space="preserve">in</w:t>
      </w:r>
      <w:r>
        <w:rPr>
          <w:rStyle w:val="NormalTok"/>
        </w:rPr>
        <w:t xml:space="preserve"> (</w:t>
      </w:r>
      <w:r>
        <w:rPr>
          <w:rStyle w:val="FloatTok"/>
        </w:rPr>
        <w:t xml:space="preserve">0.5</w:t>
      </w:r>
      <w:r>
        <w:rPr>
          <w:rStyle w:val="NormalTok"/>
        </w:rPr>
        <w:t xml:space="preserve">, </w:t>
      </w:r>
      <w:r>
        <w:rPr>
          <w:rStyle w:val="FloatTok"/>
        </w:rPr>
        <w:t xml:space="preserve">0.8</w:t>
      </w:r>
      <w:r>
        <w:rPr>
          <w:rStyle w:val="NormalTok"/>
        </w:rPr>
        <w:t xml:space="preserve">):</w:t>
      </w:r>
      <w:r>
        <w:br/>
      </w:r>
      <w:r>
        <w:rPr>
          <w:rStyle w:val="NormalTok"/>
        </w:rPr>
        <w:t xml:space="preserve">    base, _ </w:t>
      </w:r>
      <w:r>
        <w:rPr>
          <w:rStyle w:val="OperatorTok"/>
        </w:rPr>
        <w:t xml:space="preserve">=</w:t>
      </w:r>
      <w:r>
        <w:rPr>
          <w:rStyle w:val="NormalTok"/>
        </w:rPr>
        <w:t xml:space="preserve"> simulate(rho)</w:t>
      </w:r>
      <w:r>
        <w:br/>
      </w:r>
      <w:r>
        <w:rPr>
          <w:rStyle w:val="NormalTok"/>
        </w:rPr>
        <w:t xml:space="preserve">    d </w:t>
      </w:r>
      <w:r>
        <w:rPr>
          <w:rStyle w:val="OperatorTok"/>
        </w:rPr>
        <w:t xml:space="preserve">=</w:t>
      </w:r>
      <w:r>
        <w:rPr>
          <w:rStyle w:val="NormalTok"/>
        </w:rPr>
        <w:t xml:space="preserve"> pct(base, </w:t>
      </w:r>
      <w:r>
        <w:rPr>
          <w:rStyle w:val="DecValTok"/>
        </w:rPr>
        <w:t xml:space="preserve">95</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                 </w:t>
      </w:r>
      <w:r>
        <w:rPr>
          <w:rStyle w:val="CommentTok"/>
        </w:rPr>
        <w:t xml:space="preserve"># hedge after the unhedged p95</w:t>
      </w:r>
      <w:r>
        <w:br/>
      </w:r>
      <w:r>
        <w:rPr>
          <w:rStyle w:val="NormalTok"/>
        </w:rPr>
        <w:t xml:space="preserve">    </w:t>
      </w:r>
      <w:r>
        <w:rPr>
          <w:rStyle w:val="BuiltInTok"/>
        </w:rPr>
        <w:t xml:space="preserve">print</w:t>
      </w:r>
      <w:r>
        <w:rPr>
          <w:rStyle w:val="NormalTok"/>
        </w:rPr>
        <w:t xml:space="preserve">(</w:t>
      </w:r>
      <w:r>
        <w:rPr>
          <w:rStyle w:val="SpecialStringTok"/>
        </w:rPr>
        <w:t xml:space="preserve">f"utilization </w:t>
      </w:r>
      <w:r>
        <w:rPr>
          <w:rStyle w:val="SpecialCharTok"/>
        </w:rPr>
        <w:t xml:space="preserve">{</w:t>
      </w:r>
      <w:r>
        <w:rPr>
          <w:rStyle w:val="NormalTok"/>
        </w:rPr>
        <w:t xml:space="preserve">rho</w:t>
      </w:r>
      <w:r>
        <w:rPr>
          <w:rStyle w:val="SpecialCharTok"/>
        </w:rPr>
        <w:t xml:space="preserve">:.0%}</w:t>
      </w:r>
      <w:r>
        <w:rPr>
          <w:rStyle w:val="SpecialStringTok"/>
        </w:rPr>
        <w:t xml:space="preserve">: hedge delay = p95 = </w:t>
      </w:r>
      <w:r>
        <w:rPr>
          <w:rStyle w:val="SpecialCharTok"/>
        </w:rPr>
        <w:t xml:space="preserve">{</w:t>
      </w:r>
      <w:r>
        <w:rPr>
          <w:rStyle w:val="NormalTok"/>
        </w:rPr>
        <w:t xml:space="preserve">d</w:t>
      </w:r>
      <w:r>
        <w:rPr>
          <w:rStyle w:val="OperatorTok"/>
        </w:rPr>
        <w:t xml:space="preserve">*</w:t>
      </w:r>
      <w:r>
        <w:rPr>
          <w:rStyle w:val="DecValTok"/>
        </w:rPr>
        <w:t xml:space="preserve">1000</w:t>
      </w:r>
      <w:r>
        <w:rPr>
          <w:rStyle w:val="SpecialCharTok"/>
        </w:rPr>
        <w:t xml:space="preserve">:.2f}</w:t>
      </w:r>
      <w:r>
        <w:rPr>
          <w:rStyle w:val="SpecialStringTok"/>
        </w:rPr>
        <w:t xml:space="preserve"> ms"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StringTok"/>
        </w:rPr>
        <w:t xml:space="preserve">'policy'</w:t>
      </w:r>
      <w:r>
        <w:rPr>
          <w:rStyle w:val="SpecialCharTok"/>
        </w:rPr>
        <w:t xml:space="preserve">:&lt;16}{</w:t>
      </w:r>
      <w:r>
        <w:rPr>
          <w:rStyle w:val="StringTok"/>
        </w:rPr>
        <w:t xml:space="preserve">'p50'</w:t>
      </w:r>
      <w:r>
        <w:rPr>
          <w:rStyle w:val="SpecialCharTok"/>
        </w:rPr>
        <w:t xml:space="preserve">:&gt;8}{</w:t>
      </w:r>
      <w:r>
        <w:rPr>
          <w:rStyle w:val="StringTok"/>
        </w:rPr>
        <w:t xml:space="preserve">'p95'</w:t>
      </w:r>
      <w:r>
        <w:rPr>
          <w:rStyle w:val="SpecialCharTok"/>
        </w:rPr>
        <w:t xml:space="preserve">:&gt;8}{</w:t>
      </w:r>
      <w:r>
        <w:rPr>
          <w:rStyle w:val="StringTok"/>
        </w:rPr>
        <w:t xml:space="preserve">'p99'</w:t>
      </w:r>
      <w:r>
        <w:rPr>
          <w:rStyle w:val="SpecialCharTok"/>
        </w:rPr>
        <w:t xml:space="preserve">:&gt;8}{</w:t>
      </w:r>
      <w:r>
        <w:rPr>
          <w:rStyle w:val="StringTok"/>
        </w:rPr>
        <w:t xml:space="preserve">'p99.9'</w:t>
      </w:r>
      <w:r>
        <w:rPr>
          <w:rStyle w:val="SpecialCharTok"/>
        </w:rPr>
        <w:t xml:space="preserve">:&gt;8}{</w:t>
      </w:r>
      <w:r>
        <w:rPr>
          <w:rStyle w:val="StringTok"/>
        </w:rPr>
        <w:t xml:space="preserve">'extra work'</w:t>
      </w:r>
      <w:r>
        <w:rPr>
          <w:rStyle w:val="SpecialCharTok"/>
        </w:rPr>
        <w:t xml:space="preserve">:&gt;12}</w:t>
      </w:r>
      <w:r>
        <w:rPr>
          <w:rStyle w:val="Speci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name, kw </w:t>
      </w:r>
      <w:r>
        <w:rPr>
          <w:rStyle w:val="KeywordTok"/>
        </w:rPr>
        <w:t xml:space="preserve">in</w:t>
      </w:r>
      <w:r>
        <w:rPr>
          <w:rStyle w:val="NormalTok"/>
        </w:rPr>
        <w:t xml:space="preserve"> ((</w:t>
      </w:r>
      <w:r>
        <w:rPr>
          <w:rStyle w:val="StringTok"/>
        </w:rPr>
        <w:t xml:space="preserve">"no hedging"</w:t>
      </w:r>
      <w:r>
        <w:rPr>
          <w:rStyle w:val="NormalTok"/>
        </w:rPr>
        <w:t xml:space="preserve">, {}),</w:t>
      </w:r>
      <w:r>
        <w:br/>
      </w:r>
      <w:r>
        <w:rPr>
          <w:rStyle w:val="NormalTok"/>
        </w:rPr>
        <w:t xml:space="preserve">                     (</w:t>
      </w:r>
      <w:r>
        <w:rPr>
          <w:rStyle w:val="StringTok"/>
        </w:rPr>
        <w:t xml:space="preserve">"hedge at p95"</w:t>
      </w:r>
      <w:r>
        <w:rPr>
          <w:rStyle w:val="NormalTok"/>
        </w:rPr>
        <w:t xml:space="preserve">, {</w:t>
      </w:r>
      <w:r>
        <w:rPr>
          <w:rStyle w:val="StringTok"/>
        </w:rPr>
        <w:t xml:space="preserve">"hedge_after"</w:t>
      </w:r>
      <w:r>
        <w:rPr>
          <w:rStyle w:val="NormalTok"/>
        </w:rPr>
        <w:t xml:space="preserve">: d}),</w:t>
      </w:r>
      <w:r>
        <w:br/>
      </w:r>
      <w:r>
        <w:rPr>
          <w:rStyle w:val="NormalTok"/>
        </w:rPr>
        <w:t xml:space="preserve">                     (</w:t>
      </w:r>
      <w:r>
        <w:rPr>
          <w:rStyle w:val="StringTok"/>
        </w:rPr>
        <w:t xml:space="preserve">"hedge + cancel"</w:t>
      </w:r>
      <w:r>
        <w:rPr>
          <w:rStyle w:val="NormalTok"/>
        </w:rPr>
        <w:t xml:space="preserve">, {</w:t>
      </w:r>
      <w:r>
        <w:rPr>
          <w:rStyle w:val="StringTok"/>
        </w:rPr>
        <w:t xml:space="preserve">"hedge_after"</w:t>
      </w:r>
      <w:r>
        <w:rPr>
          <w:rStyle w:val="NormalTok"/>
        </w:rPr>
        <w:t xml:space="preserve">: d, </w:t>
      </w:r>
      <w:r>
        <w:rPr>
          <w:rStyle w:val="StringTok"/>
        </w:rPr>
        <w:t xml:space="preserve">"cancel"</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"hedge at p50"</w:t>
      </w:r>
      <w:r>
        <w:rPr>
          <w:rStyle w:val="NormalTok"/>
        </w:rPr>
        <w:t xml:space="preserve">, {</w:t>
      </w:r>
      <w:r>
        <w:rPr>
          <w:rStyle w:val="StringTok"/>
        </w:rPr>
        <w:t xml:space="preserve">"hedge_after"</w:t>
      </w:r>
      <w:r>
        <w:rPr>
          <w:rStyle w:val="NormalTok"/>
        </w:rPr>
        <w:t xml:space="preserve">: pct(base, </w:t>
      </w:r>
      <w:r>
        <w:rPr>
          <w:rStyle w:val="DecValTok"/>
        </w:rPr>
        <w:t xml:space="preserve">50</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lat, extra </w:t>
      </w:r>
      <w:r>
        <w:rPr>
          <w:rStyle w:val="OperatorTok"/>
        </w:rPr>
        <w:t xml:space="preserve">=</w:t>
      </w:r>
      <w:r>
        <w:rPr>
          <w:rStyle w:val="NormalTok"/>
        </w:rPr>
        <w:t xml:space="preserve"> simulate(rho, </w:t>
      </w:r>
      <w:r>
        <w:rPr>
          <w:rStyle w:val="OperatorTok"/>
        </w:rPr>
        <w:t xml:space="preserve">**</w:t>
      </w:r>
      <w:r>
        <w:rPr>
          <w:rStyle w:val="NormalTok"/>
        </w:rPr>
        <w:t xml:space="preserve">kw)</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name</w:t>
      </w:r>
      <w:r>
        <w:rPr>
          <w:rStyle w:val="SpecialCharTok"/>
        </w:rPr>
        <w:t xml:space="preserve">:&lt;16}</w:t>
      </w:r>
      <w:r>
        <w:rPr>
          <w:rStyle w:val="Speci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.join(</w:t>
      </w:r>
      <w:r>
        <w:rPr>
          <w:rStyle w:val="SpecialStringTok"/>
        </w:rPr>
        <w:t xml:space="preserve">f"</w:t>
      </w:r>
      <w:r>
        <w:rPr>
          <w:rStyle w:val="SpecialCharTok"/>
        </w:rPr>
        <w:t xml:space="preserve">{</w:t>
      </w:r>
      <w:r>
        <w:rPr>
          <w:rStyle w:val="NormalTok"/>
        </w:rPr>
        <w:t xml:space="preserve">pct(lat, q)</w:t>
      </w:r>
      <w:r>
        <w:rPr>
          <w:rStyle w:val="SpecialCharTok"/>
        </w:rPr>
        <w:t xml:space="preserve">:&gt;8.1f}</w:t>
      </w:r>
      <w:r>
        <w:rPr>
          <w:rStyle w:val="SpecialStringTok"/>
        </w:rPr>
        <w:t xml:space="preserve">"</w:t>
      </w:r>
      <w:r>
        <w:rPr>
          <w:rStyle w:val="NormalTok"/>
        </w:rPr>
        <w:t xml:space="preserve"> </w:t>
      </w:r>
      <w:r>
        <w:rPr>
          <w:rStyle w:val="ControlFlowTok"/>
        </w:rPr>
        <w:t xml:space="preserve">for</w:t>
      </w:r>
      <w:r>
        <w:rPr>
          <w:rStyle w:val="NormalTok"/>
        </w:rPr>
        <w:t xml:space="preserve"> q </w:t>
      </w:r>
      <w:r>
        <w:rPr>
          <w:rStyle w:val="KeywordTok"/>
        </w:rPr>
        <w:t xml:space="preserve">in</w:t>
      </w:r>
      <w:r>
        <w:rPr>
          <w:rStyle w:val="NormalTok"/>
        </w:rPr>
        <w:t xml:space="preserve"> (</w:t>
      </w:r>
      <w:r>
        <w:rPr>
          <w:rStyle w:val="DecValTok"/>
        </w:rPr>
        <w:t xml:space="preserve">50</w:t>
      </w:r>
      <w:r>
        <w:rPr>
          <w:rStyle w:val="NormalTok"/>
        </w:rPr>
        <w:t xml:space="preserve">, </w:t>
      </w:r>
      <w:r>
        <w:rPr>
          <w:rStyle w:val="DecValTok"/>
        </w:rPr>
        <w:t xml:space="preserve">95</w:t>
      </w:r>
      <w:r>
        <w:rPr>
          <w:rStyle w:val="NormalTok"/>
        </w:rPr>
        <w:t xml:space="preserve">, </w:t>
      </w:r>
      <w:r>
        <w:rPr>
          <w:rStyle w:val="DecValTok"/>
        </w:rPr>
        <w:t xml:space="preserve">99</w:t>
      </w:r>
      <w:r>
        <w:rPr>
          <w:rStyle w:val="NormalTok"/>
        </w:rPr>
        <w:t xml:space="preserve">, </w:t>
      </w:r>
      <w:r>
        <w:rPr>
          <w:rStyle w:val="FloatTok"/>
        </w:rPr>
        <w:t xml:space="preserve">99.9</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extra</w:t>
      </w:r>
      <w:r>
        <w:rPr>
          <w:rStyle w:val="SpecialCharTok"/>
        </w:rPr>
        <w:t xml:space="preserve">:&gt;12.1%}</w:t>
      </w:r>
      <w:r>
        <w:rPr>
          <w:rStyle w:val="SpecialStringTok"/>
        </w:rPr>
        <w:t xml:space="preserve">"</w:t>
      </w:r>
      <w:r>
        <w:rPr>
          <w:rStyle w:val="NormalTok"/>
        </w:rPr>
        <w:t xml:space="preserve">)</w:t>
      </w:r>
    </w:p>
    <w:p>
      <w:pPr>
        <w:pStyle w:val="FirstParagraph"/>
      </w:pPr>
      <w:r>
        <w:t xml:space="preserve">Output (latencies in ms):</w:t>
      </w:r>
    </w:p>
    <w:p>
      <w:pPr>
        <w:pStyle w:val="SourceCode"/>
      </w:pPr>
      <w:r>
        <w:rPr>
          <w:rStyle w:val="VerbatimChar"/>
        </w:rPr>
        <w:t xml:space="preserve">utilization 50%: hedge delay = p95 = 5.89 ms</w:t>
      </w:r>
      <w:r>
        <w:br/>
      </w:r>
      <w:r>
        <w:rPr>
          <w:rStyle w:val="VerbatimChar"/>
        </w:rPr>
        <w:t xml:space="preserve">  policy               p50     p95     p99   p99.9  extra work</w:t>
      </w:r>
      <w:r>
        <w:br/>
      </w:r>
      <w:r>
        <w:rPr>
          <w:rStyle w:val="VerbatimChar"/>
        </w:rPr>
        <w:t xml:space="preserve">  no hedging           1.3     5.9    44.6    61.0        0.0%</w:t>
      </w:r>
      <w:r>
        <w:br/>
      </w:r>
      <w:r>
        <w:rPr>
          <w:rStyle w:val="VerbatimChar"/>
        </w:rPr>
        <w:t xml:space="preserve">  hedge at p95         1.3     6.5     8.6    28.3        5.8%</w:t>
      </w:r>
      <w:r>
        <w:br/>
      </w:r>
      <w:r>
        <w:rPr>
          <w:rStyle w:val="VerbatimChar"/>
        </w:rPr>
        <w:t xml:space="preserve">  hedge + cancel       1.3     6.4     8.5    26.3        5.0%</w:t>
      </w:r>
      <w:r>
        <w:br/>
      </w:r>
      <w:r>
        <w:rPr>
          <w:rStyle w:val="VerbatimChar"/>
        </w:rPr>
        <w:t xml:space="preserve">  hedge at p50        48.6   244.1   401.8   579.2       98.7%</w:t>
      </w:r>
      <w:r>
        <w:br/>
      </w:r>
      <w:r>
        <w:rPr>
          <w:rStyle w:val="VerbatimChar"/>
        </w:rPr>
        <w:t xml:space="preserve">utilization 80%: hedge delay = p95 = 45.05 ms</w:t>
      </w:r>
      <w:r>
        <w:br/>
      </w:r>
      <w:r>
        <w:rPr>
          <w:rStyle w:val="VerbatimChar"/>
        </w:rPr>
        <w:t xml:space="preserve">  policy               p50     p95     p99   p99.9  extra work</w:t>
      </w:r>
      <w:r>
        <w:br/>
      </w:r>
      <w:r>
        <w:rPr>
          <w:rStyle w:val="VerbatimChar"/>
        </w:rPr>
        <w:t xml:space="preserve">  no hedging           2.7    45.0    68.2   127.0        0.0%</w:t>
      </w:r>
      <w:r>
        <w:br/>
      </w:r>
      <w:r>
        <w:rPr>
          <w:rStyle w:val="VerbatimChar"/>
        </w:rPr>
        <w:t xml:space="preserve">  hedge at p95      3456.8 10502.8 11149.5 11550.1       75.5%</w:t>
      </w:r>
      <w:r>
        <w:br/>
      </w:r>
      <w:r>
        <w:rPr>
          <w:rStyle w:val="VerbatimChar"/>
        </w:rPr>
        <w:t xml:space="preserve">  hedge + cancel       3.2    45.7    51.7    74.6        3.9%</w:t>
      </w:r>
      <w:r>
        <w:br/>
      </w:r>
      <w:r>
        <w:rPr>
          <w:rStyle w:val="VerbatimChar"/>
        </w:rPr>
        <w:t xml:space="preserve">  hedge at p50      7696.8 14771.3 15513.6 15978.4      100.2%</w:t>
      </w:r>
    </w:p>
    <w:p>
      <w:pPr>
        <w:pStyle w:val="FirstParagraph"/>
      </w:pPr>
      <w:r>
        <w:t xml:space="preserve">What to notice:</w:t>
      </w:r>
    </w:p>
    <w:p>
      <w:pPr>
        <w:numPr>
          <w:ilvl w:val="0"/>
          <w:numId w:val="1765"/>
        </w:numPr>
        <w:pStyle w:val="Compact"/>
      </w:pPr>
      <w:r>
        <w:rPr>
          <w:bCs/>
          <w:b/>
        </w:rPr>
        <w:t xml:space="preserve">At 50% utilization, hedging at p95 cuts p99 from 44.6 ms to 8.6 ms</w:t>
      </w:r>
      <w:r>
        <w:t xml:space="preserve"> </w:t>
      </w:r>
      <w:r>
        <w:t xml:space="preserve">(5×) and p99.9 by more than half, for about 6% extra work. The median is untouched.</w:t>
      </w:r>
    </w:p>
    <w:p>
      <w:pPr>
        <w:numPr>
          <w:ilvl w:val="0"/>
          <w:numId w:val="1765"/>
        </w:numPr>
        <w:pStyle w:val="Compact"/>
      </w:pPr>
      <w:r>
        <w:rPr>
          <w:bCs/>
          <w:b/>
        </w:rPr>
        <w:t xml:space="preserve">At 80% utilization the same policy without cancellation collapses</w:t>
      </w:r>
      <w:r>
        <w:t xml:space="preserve"> </w:t>
      </w:r>
      <w:r>
        <w:t xml:space="preserve">in a positive feedback loop: hedges raise utilization, queues grow, more requests exceed</w:t>
      </w:r>
      <w:r>
        <w:t xml:space="preserve"> </w:t>
      </w:r>
      <m:oMath>
        <m:r>
          <m:t>d</m:t>
        </m:r>
      </m:oMath>
      <w:r>
        <w:t xml:space="preserve">. Extra work reaches 75%, demand exceeds capacity, and latency grows for as long as the run lasts.</w:t>
      </w:r>
      <w:r>
        <w:t xml:space="preserve"> </w:t>
      </w:r>
      <w:r>
        <w:rPr>
          <w:iCs/>
          <w:i/>
        </w:rPr>
        <w:t xml:space="preserve">With</w:t>
      </w:r>
      <w:r>
        <w:t xml:space="preserve"> </w:t>
      </w:r>
      <w:r>
        <w:t xml:space="preserve">cancellation the policy stays stable and still cuts the tail.</w:t>
      </w:r>
    </w:p>
    <w:p>
      <w:pPr>
        <w:numPr>
          <w:ilvl w:val="0"/>
          <w:numId w:val="1765"/>
        </w:numPr>
        <w:pStyle w:val="Compact"/>
      </w:pPr>
      <w:r>
        <w:rPr>
          <w:bCs/>
          <w:b/>
        </w:rPr>
        <w:t xml:space="preserve">Hedging at p50 is a self-inflicted denial of service</w:t>
      </w:r>
      <w:r>
        <w:t xml:space="preserve">, nearly doubling the work.</w:t>
      </w:r>
    </w:p>
    <w:p>
      <w:pPr>
        <w:numPr>
          <w:ilvl w:val="0"/>
          <w:numId w:val="1765"/>
        </w:numPr>
        <w:pStyle w:val="Compact"/>
      </w:pPr>
      <w:r>
        <w:t xml:space="preserve">The model cannot cancel a queued original; real tied requests (below) can.</w:t>
      </w:r>
    </w:p>
    <w:bookmarkEnd w:id="2614"/>
    <w:bookmarkStart w:id="2620" w:name="tied-requests"/>
    <w:p>
      <w:pPr>
        <w:pStyle w:val="Heading3"/>
      </w:pPr>
      <w:r>
        <w:t xml:space="preserve">23.7.3 Tied requests</w:t>
      </w:r>
    </w:p>
    <w:p>
      <w:pPr>
        <w:pStyle w:val="FirstParagraph"/>
      </w:pPr>
      <w:r>
        <w:t xml:space="preserve">Hedging waits before sending the second copy, so it helps only the slowest few percent.</w:t>
      </w:r>
      <w:r>
        <w:t xml:space="preserve"> </w:t>
      </w:r>
      <w:r>
        <w:rPr>
          <w:bCs/>
          <w:b/>
        </w:rPr>
        <w:t xml:space="preserve">Tied requests</w:t>
      </w:r>
      <w:r>
        <w:t xml:space="preserve"> </w:t>
      </w:r>
      <w:r>
        <w:t xml:space="preserve">send both copies (almost) at once, but each copy carries the identity of the other server, and whichever server</w:t>
      </w:r>
      <w:r>
        <w:t xml:space="preserve"> </w:t>
      </w:r>
      <w:r>
        <w:rPr>
          <w:iCs/>
          <w:i/>
        </w:rPr>
        <w:t xml:space="preserve">starts</w:t>
      </w:r>
      <w:r>
        <w:t xml:space="preserve"> </w:t>
      </w:r>
      <w:r>
        <w:t xml:space="preserve">executing the request first sends a cancellation to the other [Dean and Barroso 2013]. The request thus waits in the</w:t>
      </w:r>
      <w:r>
        <w:t xml:space="preserve"> </w:t>
      </w:r>
      <w:r>
        <w:rPr>
          <w:iCs/>
          <w:i/>
        </w:rPr>
        <w:t xml:space="preserve">shorter</w:t>
      </w:r>
      <w:r>
        <w:t xml:space="preserve"> </w:t>
      </w:r>
      <w:r>
        <w:t xml:space="preserve">of two queues, which approximates a shared queue across servers (pooling, §4.10.4), and is executed only once in the common case.</w:t>
      </w:r>
    </w:p>
    <w:p>
      <w:pPr>
        <w:pStyle w:val="BodyText"/>
      </w:pPr>
      <w:r>
        <w:rPr>
          <w:bCs/>
          <w:b/>
        </w:rPr>
        <w:t xml:space="preserve">Figure 23.9 — Tied requests with cross-server cancellation.</w:t>
      </w:r>
    </w:p>
    <w:p>
      <w:pPr>
        <w:pStyle w:val="BodyText"/>
      </w:pPr>
      <w:r>
        <w:drawing>
          <wp:inline>
            <wp:extent cx="5334000" cy="3069641"/>
            <wp:effectExtent b="0" l="0" r="0" t="0"/>
            <wp:docPr descr="" title="" id="2616" name="Picture"/>
            <a:graphic>
              <a:graphicData uri="http://schemas.openxmlformats.org/drawingml/2006/picture">
                <pic:pic>
                  <pic:nvPicPr>
                    <pic:cNvPr descr="/home/user/System-Design/build/.cache/diagrams/2ee066f8b436.png" id="2617" name="Picture"/>
                    <pic:cNvPicPr>
                      <a:picLocks noChangeArrowheads="1" noChangeAspect="1"/>
                    </pic:cNvPicPr>
                  </pic:nvPicPr>
                  <pic:blipFill>
                    <a:blip r:embed="rId2615"/>
                    <a:stretch>
                      <a:fillRect/>
                    </a:stretch>
                  </pic:blipFill>
                  <pic:spPr bwMode="auto">
                    <a:xfrm>
                      <a:off x="0" y="0"/>
                      <a:ext cx="5334000" cy="3069641"/>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client enqueues the request on two servers, delaying the second send by about one network message delay, and each copy names its twin. When A starts the request, it sends an asynchronous cancel to B, which drops its queued copy, so one server does the work and the client gets one response. If both dequeue before the cancel arrives, both execute (one duplicate). Unlike hedging, this needs server-side support for queue manipulation and peer messages.</w:t>
      </w:r>
    </w:p>
    <w:p>
      <w:pPr>
        <w:pStyle w:val="BodyText"/>
      </w:pPr>
      <w:r>
        <w:t xml:space="preserve">Dean and Barroso report that in a BigTable benchmark, tied requests made the latency of a cluster running a concurrent large sort job nearly as good as that of an idle cluster without tied requests, at a disk-utilization cost below 1% [Dean and Barroso 2013]. They also report the hedged-request benchmark quoted in §4.8.4: hedging after 10 ms reduced the p99.9 of a 1,000-key read across 100 servers from 1,800 ms to 74 ms with 2% more requests.</w:t>
      </w:r>
    </w:p>
    <w:bookmarkStart w:id="2618" w:name="real-world-industry-applications-37"/>
    <w:p>
      <w:pPr>
        <w:pStyle w:val="Heading4"/>
      </w:pPr>
      <w:r>
        <w:t xml:space="preserve">Real-world industry applications</w:t>
      </w:r>
    </w:p>
    <w:p>
      <w:pPr>
        <w:pStyle w:val="CalloutIndustry"/>
      </w:pPr>
      <w:r>
        <w:rPr>
          <w:bCs/>
          <w:b/>
        </w:rPr>
        <w:t xml:space="preserve">INDUSTRY EXAMPLE</w:t>
      </w:r>
    </w:p>
    <w:p>
      <w:pPr>
        <w:pStyle w:val="CalloutIndustry"/>
      </w:pPr>
      <w:r>
        <w:rPr>
          <w:bCs/>
          <w:b/>
        </w:rPr>
        <w:t xml:space="preserve">Speculative execution in batch and storage systems.</w:t>
      </w:r>
      <w:r>
        <w:t xml:space="preserve"> </w:t>
      </w:r>
      <w:r>
        <w:t xml:space="preserve">MapReduce schedules</w:t>
      </w:r>
      <w:r>
        <w:t xml:space="preserve"> </w:t>
      </w:r>
      <w:r>
        <w:rPr>
          <w:bCs/>
          <w:b/>
        </w:rPr>
        <w:t xml:space="preserve">backup tasks</w:t>
      </w:r>
      <w:r>
        <w:t xml:space="preserve"> </w:t>
      </w:r>
      <w:r>
        <w:t xml:space="preserve">for the last in-progress tasks of a job, taking whichever copy finishes first; the original paper reports a sort taking 44% longer with backup tasks disabled [Dean and Ghemawat 2004]. Apache Cassandra offers a per-table</w:t>
      </w:r>
      <w:r>
        <w:t xml:space="preserve"> </w:t>
      </w:r>
      <w:r>
        <w:rPr>
          <w:rStyle w:val="VerbatimChar"/>
        </w:rPr>
        <w:t xml:space="preserve">speculative_retry</w:t>
      </w:r>
      <w:r>
        <w:t xml:space="preserve"> </w:t>
      </w:r>
      <w:r>
        <w:t xml:space="preserve">setting that sends a read to an extra replica when the first has not answered by a chosen percentile or fixed delay [Apache Cassandra Docs]. gRPC’s retry design defines a</w:t>
      </w:r>
      <w:r>
        <w:t xml:space="preserve"> </w:t>
      </w:r>
      <w:r>
        <w:rPr>
          <w:rStyle w:val="VerbatimChar"/>
        </w:rPr>
        <w:t xml:space="preserve">hedgingPolicy</w:t>
      </w:r>
      <w:r>
        <w:t xml:space="preserve"> </w:t>
      </w:r>
      <w:r>
        <w:t xml:space="preserve">with a maximum number of attempts and a hedging delay, and the server can throttle hedges with pushback [gRPC A6].</w:t>
      </w:r>
      <w:r>
        <w:t xml:space="preserve"> </w:t>
      </w:r>
      <w:r>
        <w:rPr>
          <w:iCs/>
          <w:i/>
        </w:rPr>
        <w:t xml:space="preserve">Evidence: Primary</w:t>
      </w:r>
      <w:r>
        <w:t xml:space="preserve"> </w:t>
      </w:r>
      <w:r>
        <w:t xml:space="preserve">— [Dean and Ghemawat 2004], [Apache Cassandra Docs], [gRPC A6]</w:t>
      </w:r>
    </w:p>
    <w:bookmarkEnd w:id="2618"/>
    <w:bookmarkStart w:id="2619" w:name="failure-scenarios-56"/>
    <w:p>
      <w:pPr>
        <w:pStyle w:val="Heading4"/>
      </w:pPr>
      <w:r>
        <w:t xml:space="preserve">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Overload spiral</w:t>
            </w:r>
          </w:p>
        </w:tc>
        <w:tc>
          <w:tcPr/>
          <w:p>
            <w:pPr>
              <w:pStyle w:val="Compact"/>
              <w:jc w:val="left"/>
            </w:pPr>
            <w:r>
              <w:t xml:space="preserve">Hedges add load as latency rises</w:t>
            </w:r>
          </w:p>
        </w:tc>
        <w:tc>
          <w:tcPr/>
          <w:p>
            <w:pPr>
              <w:pStyle w:val="Compact"/>
              <w:jc w:val="left"/>
            </w:pPr>
            <w:r>
              <w:t xml:space="preserve">Hedge rate climbs with latency</w:t>
            </w:r>
          </w:p>
        </w:tc>
        <w:tc>
          <w:tcPr/>
          <w:p>
            <w:pPr>
              <w:pStyle w:val="Compact"/>
              <w:jc w:val="left"/>
            </w:pPr>
            <w:r>
              <w:t xml:space="preserve">Disable hedging; shed load</w:t>
            </w:r>
          </w:p>
        </w:tc>
        <w:tc>
          <w:tcPr/>
          <w:p>
            <w:pPr>
              <w:pStyle w:val="Compact"/>
              <w:jc w:val="left"/>
            </w:pPr>
            <w:r>
              <w:t xml:space="preserve">Hedge budget (e.g., ≤ 5% of requests); adaptive delay</w:t>
            </w:r>
          </w:p>
        </w:tc>
      </w:tr>
      <w:tr>
        <w:tc>
          <w:tcPr/>
          <w:p>
            <w:pPr>
              <w:pStyle w:val="Compact"/>
              <w:jc w:val="left"/>
            </w:pPr>
            <w:r>
              <w:t xml:space="preserve">Duplicate side effects</w:t>
            </w:r>
          </w:p>
        </w:tc>
        <w:tc>
          <w:tcPr/>
          <w:p>
            <w:pPr>
              <w:pStyle w:val="Compact"/>
              <w:jc w:val="left"/>
            </w:pPr>
            <w:r>
              <w:t xml:space="preserve">Non-idempotent operation hedged</w:t>
            </w:r>
          </w:p>
        </w:tc>
        <w:tc>
          <w:tcPr/>
          <w:p>
            <w:pPr>
              <w:pStyle w:val="Compact"/>
              <w:jc w:val="left"/>
            </w:pPr>
            <w:r>
              <w:t xml:space="preserve">Duplicate records, double charges</w:t>
            </w:r>
          </w:p>
        </w:tc>
        <w:tc>
          <w:tcPr/>
          <w:p>
            <w:pPr>
              <w:pStyle w:val="Compact"/>
              <w:jc w:val="left"/>
            </w:pPr>
            <w:r>
              <w:t xml:space="preserve">Compensating actions</w:t>
            </w:r>
          </w:p>
        </w:tc>
        <w:tc>
          <w:tcPr/>
          <w:p>
            <w:pPr>
              <w:pStyle w:val="Compact"/>
              <w:jc w:val="left"/>
            </w:pPr>
            <w:r>
              <w:t xml:space="preserve">Hedge reads only, or use idempotency keys (§22.15)</w:t>
            </w:r>
          </w:p>
        </w:tc>
      </w:tr>
      <w:tr>
        <w:tc>
          <w:tcPr/>
          <w:p>
            <w:pPr>
              <w:pStyle w:val="Compact"/>
              <w:jc w:val="left"/>
            </w:pPr>
            <w:r>
              <w:t xml:space="preserve">No improvement</w:t>
            </w:r>
          </w:p>
        </w:tc>
        <w:tc>
          <w:tcPr/>
          <w:p>
            <w:pPr>
              <w:pStyle w:val="Compact"/>
              <w:jc w:val="left"/>
            </w:pPr>
            <w:r>
              <w:t xml:space="preserve">Replicas share the slow cause (same disk, same switch)</w:t>
            </w:r>
          </w:p>
        </w:tc>
        <w:tc>
          <w:tcPr/>
          <w:p>
            <w:pPr>
              <w:pStyle w:val="Compact"/>
              <w:jc w:val="left"/>
            </w:pPr>
            <w:r>
              <w:t xml:space="preserve">Hedge and primary equally slow</w:t>
            </w:r>
          </w:p>
        </w:tc>
        <w:tc>
          <w:tcPr/>
          <w:p>
            <w:pPr>
              <w:pStyle w:val="Compact"/>
              <w:jc w:val="left"/>
            </w:pPr>
            <w:r>
              <w:t xml:space="preserve">Choose replicas in other failure domains</w:t>
            </w:r>
          </w:p>
        </w:tc>
        <w:tc>
          <w:tcPr/>
          <w:p>
            <w:pPr>
              <w:pStyle w:val="Compact"/>
              <w:jc w:val="left"/>
            </w:pPr>
            <w:r>
              <w:t xml:space="preserve">Spread replicas across racks and zones</w:t>
            </w:r>
          </w:p>
        </w:tc>
      </w:tr>
      <w:tr>
        <w:tc>
          <w:tcPr/>
          <w:p>
            <w:pPr>
              <w:pStyle w:val="Compact"/>
              <w:jc w:val="left"/>
            </w:pPr>
            <w:r>
              <w:t xml:space="preserve">Hedges amplify retries</w:t>
            </w:r>
          </w:p>
        </w:tc>
        <w:tc>
          <w:tcPr/>
          <w:p>
            <w:pPr>
              <w:pStyle w:val="Compact"/>
              <w:jc w:val="left"/>
            </w:pPr>
            <w:r>
              <w:t xml:space="preserve">Hedging and retries both enabled at every layer</w:t>
            </w:r>
          </w:p>
        </w:tc>
        <w:tc>
          <w:tcPr/>
          <w:p>
            <w:pPr>
              <w:pStyle w:val="Compact"/>
              <w:jc w:val="left"/>
            </w:pPr>
            <w:r>
              <w:t xml:space="preserve">Request count ≫ user requests</w:t>
            </w:r>
          </w:p>
        </w:tc>
        <w:tc>
          <w:tcPr/>
          <w:p>
            <w:pPr>
              <w:pStyle w:val="Compact"/>
              <w:jc w:val="left"/>
            </w:pPr>
            <w:r>
              <w:t xml:space="preserve">Remove one layer’s hedging</w:t>
            </w:r>
          </w:p>
        </w:tc>
        <w:tc>
          <w:tcPr/>
          <w:p>
            <w:pPr>
              <w:pStyle w:val="Compact"/>
              <w:jc w:val="left"/>
            </w:pPr>
            <w:r>
              <w:t xml:space="preserve">Hedge at one layer only, with a shared budget (§22.12)</w:t>
            </w:r>
          </w:p>
        </w:tc>
      </w:tr>
    </w:tbl>
    <w:p>
      <w:pPr>
        <w:pStyle w:val="CalloutMistake"/>
      </w:pPr>
      <w:r>
        <w:rPr>
          <w:bCs/>
          <w:b/>
        </w:rPr>
        <w:t xml:space="preserve">COMMON MISTAKE</w:t>
      </w:r>
    </w:p>
    <w:p>
      <w:pPr>
        <w:pStyle w:val="CalloutMistake"/>
      </w:pPr>
      <w:r>
        <w:rPr>
          <w:bCs/>
          <w:b/>
        </w:rPr>
        <w:t xml:space="preserve">Mistake — Hedging with a fixed delay forever.</w:t>
      </w:r>
      <w:r>
        <w:t xml:space="preserve"> </w:t>
      </w:r>
      <w:r>
        <w:t xml:space="preserve">A delay tuned to last quarter’s p95 becomes the p60 after a regression, and the hedge rate jumps from 5% to 40%. Derive the delay from a recent latency histogram, cap the fraction of requests that may hedge, and turn hedging off when the service is overloaded.</w:t>
      </w:r>
    </w:p>
    <w:bookmarkEnd w:id="2619"/>
    <w:bookmarkEnd w:id="2620"/>
    <w:bookmarkEnd w:id="2621"/>
    <w:bookmarkStart w:id="2628" w:name="batching-pipelining-and-compression"/>
    <w:p>
      <w:pPr>
        <w:pStyle w:val="Heading2"/>
      </w:pPr>
      <w:r>
        <w:t xml:space="preserve">23.8 Batching, pipelining and compression</w:t>
      </w:r>
    </w:p>
    <w:bookmarkStart w:id="2625" w:name="batching-with-a-size-and-a-time-limit"/>
    <w:p>
      <w:pPr>
        <w:pStyle w:val="Heading3"/>
      </w:pPr>
      <w:r>
        <w:t xml:space="preserve">23.8.1 Batching with a size and a time limit</w:t>
      </w:r>
    </w:p>
    <w:p>
      <w:pPr>
        <w:pStyle w:val="FirstParagraph"/>
      </w:pPr>
      <w:r>
        <w:t xml:space="preserve">Section 4.18.6 modeled a batch of</w:t>
      </w:r>
      <w:r>
        <w:t xml:space="preserve"> </w:t>
      </w:r>
      <m:oMath>
        <m:r>
          <m:t>B</m:t>
        </m:r>
      </m:oMath>
      <w:r>
        <w:t xml:space="preserve"> </w:t>
      </w:r>
      <w:r>
        <w:t xml:space="preserve">items as costing</w:t>
      </w:r>
      <w:r>
        <w:t xml:space="preserve"> </w:t>
      </w:r>
      <m:oMath>
        <m:sSub>
          <m:e>
            <m:r>
              <m:t>t</m:t>
            </m:r>
          </m:e>
          <m:sub>
            <m:r>
              <m:t>0</m:t>
            </m:r>
          </m:sub>
        </m:sSub>
        <m:r>
          <m:rPr>
            <m:sty m:val="p"/>
          </m:rPr>
          <m:t>+</m:t>
        </m:r>
        <m:r>
          <m:t>B</m:t>
        </m:r>
        <m:sSub>
          <m:e>
            <m:r>
              <m:t>t</m:t>
            </m:r>
          </m:e>
          <m:sub>
            <m:r>
              <m:t>1</m:t>
            </m:r>
          </m:sub>
        </m:sSub>
      </m:oMath>
      <w:r>
        <w:t xml:space="preserve">: the fixed cost</w:t>
      </w:r>
      <w:r>
        <w:t xml:space="preserve"> </w:t>
      </w:r>
      <m:oMath>
        <m:sSub>
          <m:e>
            <m:r>
              <m:t>t</m:t>
            </m:r>
          </m:e>
          <m:sub>
            <m:r>
              <m:t>0</m:t>
            </m:r>
          </m:sub>
        </m:sSub>
      </m:oMath>
      <w:r>
        <w:t xml:space="preserve"> </w:t>
      </w:r>
      <w:r>
        <w:t xml:space="preserve">(a system call, a network round trip, a disk flush, a GPU kernel launch) is shared by all items. Real batchers close a batch on whichever comes first, a</w:t>
      </w:r>
      <w:r>
        <w:t xml:space="preserve"> </w:t>
      </w:r>
      <w:r>
        <w:rPr>
          <w:bCs/>
          <w:b/>
        </w:rPr>
        <w:t xml:space="preserve">size limit</w:t>
      </w:r>
      <w:r>
        <w:t xml:space="preserve"> </w:t>
      </w:r>
      <w:r>
        <w:t xml:space="preserve">or a</w:t>
      </w:r>
      <w:r>
        <w:t xml:space="preserve"> </w:t>
      </w:r>
      <w:r>
        <w:rPr>
          <w:bCs/>
          <w:b/>
        </w:rPr>
        <w:t xml:space="preserve">time limit</w:t>
      </w:r>
      <w:r>
        <w:t xml:space="preserve">, so that light traffic is not stuck waiting for a full batch. Kafka’s producer</w:t>
      </w:r>
      <w:r>
        <w:t xml:space="preserve"> </w:t>
      </w:r>
      <w:r>
        <w:rPr>
          <w:rStyle w:val="VerbatimChar"/>
        </w:rPr>
        <w:t xml:space="preserve">batch.size</w:t>
      </w:r>
      <w:r>
        <w:t xml:space="preserve"> </w:t>
      </w:r>
      <w:r>
        <w:t xml:space="preserve">and</w:t>
      </w:r>
      <w:r>
        <w:t xml:space="preserve"> </w:t>
      </w:r>
      <w:r>
        <w:rPr>
          <w:rStyle w:val="VerbatimChar"/>
        </w:rPr>
        <w:t xml:space="preserve">linger.ms</w:t>
      </w:r>
      <w:r>
        <w:t xml:space="preserve"> </w:t>
      </w:r>
      <w:r>
        <w:t xml:space="preserve">settings are exactly this pair (§31.6).</w:t>
      </w:r>
    </w:p>
    <w:p>
      <w:pPr>
        <w:pStyle w:val="BodyText"/>
      </w:pPr>
      <w:r>
        <w:rPr>
          <w:bCs/>
          <w:b/>
        </w:rPr>
        <w:t xml:space="preserve">Figure 23.10 — A batcher with size and time triggers.</w:t>
      </w:r>
    </w:p>
    <w:p>
      <w:pPr>
        <w:pStyle w:val="BodyText"/>
      </w:pPr>
      <w:r>
        <w:drawing>
          <wp:inline>
            <wp:extent cx="5334000" cy="939619"/>
            <wp:effectExtent b="0" l="0" r="0" t="0"/>
            <wp:docPr descr="" title="" id="2623" name="Picture"/>
            <a:graphic>
              <a:graphicData uri="http://schemas.openxmlformats.org/drawingml/2006/picture">
                <pic:pic>
                  <pic:nvPicPr>
                    <pic:cNvPr descr="/home/user/System-Design/build/.cache/diagrams/24f3cd5c34a8.png" id="2624" name="Picture"/>
                    <pic:cNvPicPr>
                      <a:picLocks noChangeArrowheads="1" noChangeAspect="1"/>
                    </pic:cNvPicPr>
                  </pic:nvPicPr>
                  <pic:blipFill>
                    <a:blip r:embed="rId2622"/>
                    <a:stretch>
                      <a:fillRect/>
                    </a:stretch>
                  </pic:blipFill>
                  <pic:spPr bwMode="auto">
                    <a:xfrm>
                      <a:off x="0" y="0"/>
                      <a:ext cx="5334000" cy="939619"/>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Producers append asynchronously to an in-memory buffer, a failure point: its contents are lost on a crash unless callers wait for acknowledgment. Two triggers are checked on every append and by a timer; when either fires, the batch goes as one synchronous RPC or write to the sink (the storage boundary). Heavy load fills batches (maximum throughput); light load fires the timer, bounding added latency at</w:t>
      </w:r>
      <w:r>
        <w:t xml:space="preserve"> </w:t>
      </w:r>
      <m:oMath>
        <m:sSub>
          <m:e>
            <m:r>
              <m:t>T</m:t>
            </m:r>
          </m:e>
          <m:sub>
            <m:r>
              <m:rPr>
                <m:sty m:val="p"/>
              </m:rPr>
              <m:t>max</m:t>
            </m:r>
          </m:sub>
        </m:sSub>
      </m:oMath>
      <w:r>
        <w:t xml:space="preserve">. Scale with parallel batchers (per partition or core).</w:t>
      </w:r>
    </w:p>
    <w:p>
      <w:pPr>
        <w:pStyle w:val="CalloutFormula"/>
      </w:pPr>
      <w:r>
        <w:rPr>
          <w:bCs/>
          <w:b/>
        </w:rPr>
        <w:t xml:space="preserve">FORMULA</w:t>
      </w:r>
    </w:p>
    <w:p>
      <w:pPr>
        <w:pStyle w:val="CalloutFormula"/>
      </w:pPr>
      <w:r>
        <w:rPr>
          <w:bCs/>
          <w:b/>
        </w:rPr>
        <w:t xml:space="preserve">Batch size and latency with a time limit</w:t>
      </w:r>
    </w:p>
    <w:p>
      <w:pPr>
        <w:pStyle w:val="CalloutFormula"/>
      </w:pPr>
      <m:oMathPara>
        <m:oMathParaPr>
          <m:jc m:val="center"/>
        </m:oMathParaPr>
        <m:oMath>
          <m:sSub>
            <m:e>
              <m:r>
                <m:t>B</m:t>
              </m:r>
            </m:e>
            <m:sub>
              <m:r>
                <m:rPr>
                  <m:nor/>
                  <m:sty m:val="p"/>
                </m:rPr>
                <m:t>eff</m:t>
              </m:r>
            </m:sub>
          </m:sSub>
          <m:r>
            <m:rPr>
              <m:sty m:val="p"/>
            </m:rPr>
            <m:t>≈</m:t>
          </m:r>
          <m:r>
            <m:rPr>
              <m:sty m:val="p"/>
            </m:rPr>
            <m:t>min</m:t>
          </m:r>
          <m:r>
            <m:t>​</m:t>
          </m:r>
          <m:d>
            <m:dPr>
              <m:begChr m:val="("/>
              <m:endChr m:val=")"/>
              <m:sepChr m:val=""/>
              <m:grow/>
            </m:dPr>
            <m:e>
              <m:sSub>
                <m:e>
                  <m:r>
                    <m:t>B</m:t>
                  </m:r>
                </m:e>
                <m:sub>
                  <m:r>
                    <m:rPr>
                      <m:sty m:val="p"/>
                    </m:rPr>
                    <m:t>max</m:t>
                  </m:r>
                </m:sub>
              </m:sSub>
              <m:r>
                <m:rPr>
                  <m:sty m:val="p"/>
                </m:rPr>
                <m:t>,</m:t>
              </m:r>
              <m:r>
                <m:t> </m:t>
              </m:r>
              <m:r>
                <m:rPr>
                  <m:sty m:val="p"/>
                </m:rPr>
                <m:t>max</m:t>
              </m:r>
              <m:d>
                <m:dPr>
                  <m:begChr m:val="("/>
                  <m:endChr m:val=")"/>
                  <m:sepChr m:val=""/>
                  <m:grow/>
                </m:dPr>
                <m:e>
                  <m:r>
                    <m:t>1</m:t>
                  </m:r>
                  <m:r>
                    <m:rPr>
                      <m:sty m:val="p"/>
                    </m:rPr>
                    <m:t>,</m:t>
                  </m:r>
                  <m:r>
                    <m:t>λ</m:t>
                  </m:r>
                  <m:sSub>
                    <m:e>
                      <m:r>
                        <m:t>T</m:t>
                      </m:r>
                    </m:e>
                    <m:sub>
                      <m:r>
                        <m:rPr>
                          <m:sty m:val="p"/>
                        </m:rPr>
                        <m:t>max</m:t>
                      </m:r>
                    </m:sub>
                  </m:sSub>
                </m:e>
              </m:d>
            </m:e>
          </m:d>
          <m:r>
            <m:t>  </m:t>
          </m:r>
          <m:sSub>
            <m:e>
              <m:r>
                <m:t>X</m:t>
              </m:r>
            </m:e>
            <m:sub>
              <m:r>
                <m:rPr>
                  <m:sty m:val="p"/>
                </m:rPr>
                <m:t>max</m:t>
              </m:r>
            </m:sub>
          </m:sSub>
          <m:r>
            <m:rPr>
              <m:sty m:val="p"/>
            </m:rPr>
            <m:t>=</m:t>
          </m:r>
          <m:f>
            <m:fPr>
              <m:type m:val="bar"/>
            </m:fPr>
            <m:num>
              <m:sSub>
                <m:e>
                  <m:r>
                    <m:t>B</m:t>
                  </m:r>
                </m:e>
                <m:sub>
                  <m:r>
                    <m:rPr>
                      <m:nor/>
                      <m:sty m:val="p"/>
                    </m:rPr>
                    <m:t>eff</m:t>
                  </m:r>
                </m:sub>
              </m:sSub>
            </m:num>
            <m:den>
              <m:sSub>
                <m:e>
                  <m:r>
                    <m:t>t</m:t>
                  </m:r>
                </m:e>
                <m:sub>
                  <m:r>
                    <m:t>0</m:t>
                  </m:r>
                </m:sub>
              </m:sSub>
              <m:r>
                <m:rPr>
                  <m:sty m:val="p"/>
                </m:rPr>
                <m:t>+</m:t>
              </m:r>
              <m:sSub>
                <m:e>
                  <m:r>
                    <m:t>B</m:t>
                  </m:r>
                </m:e>
                <m:sub>
                  <m:r>
                    <m:rPr>
                      <m:nor/>
                      <m:sty m:val="p"/>
                    </m:rPr>
                    <m:t>eff</m:t>
                  </m:r>
                </m:sub>
              </m:sSub>
              <m:r>
                <m:t> </m:t>
              </m:r>
              <m:sSub>
                <m:e>
                  <m:r>
                    <m:t>t</m:t>
                  </m:r>
                </m:e>
                <m:sub>
                  <m:r>
                    <m:t>1</m:t>
                  </m:r>
                </m:sub>
              </m:sSub>
            </m:den>
          </m:f>
          <m:r>
            <m:t>  </m:t>
          </m:r>
          <m:sSub>
            <m:e>
              <m:r>
                <m:t>W</m:t>
              </m:r>
            </m:e>
            <m:sub>
              <m:r>
                <m:rPr>
                  <m:nor/>
                  <m:sty m:val="p"/>
                </m:rPr>
                <m:t>worst</m:t>
              </m:r>
            </m:sub>
          </m:sSub>
          <m:r>
            <m:rPr>
              <m:sty m:val="p"/>
            </m:rPr>
            <m:t>≈</m:t>
          </m:r>
          <m:sSub>
            <m:e>
              <m:r>
                <m:t>T</m:t>
              </m:r>
            </m:e>
            <m:sub>
              <m:r>
                <m:rPr>
                  <m:sty m:val="p"/>
                </m:rPr>
                <m:t>max</m:t>
              </m:r>
            </m:sub>
          </m:sSub>
          <m:r>
            <m:rPr>
              <m:sty m:val="p"/>
            </m:rPr>
            <m:t>+</m:t>
          </m:r>
          <m:sSub>
            <m:e>
              <m:r>
                <m:t>t</m:t>
              </m:r>
            </m:e>
            <m:sub>
              <m:r>
                <m:t>0</m:t>
              </m:r>
            </m:sub>
          </m:sSub>
          <m:r>
            <m:rPr>
              <m:sty m:val="p"/>
            </m:rPr>
            <m:t>+</m:t>
          </m:r>
          <m:sSub>
            <m:e>
              <m:r>
                <m:t>B</m:t>
              </m:r>
            </m:e>
            <m:sub>
              <m:r>
                <m:rPr>
                  <m:nor/>
                  <m:sty m:val="p"/>
                </m:rPr>
                <m:t>eff</m:t>
              </m:r>
            </m:sub>
          </m:sSub>
          <m:r>
            <m:t> </m:t>
          </m:r>
          <m:sSub>
            <m:e>
              <m:r>
                <m:t>t</m:t>
              </m:r>
            </m:e>
            <m:sub>
              <m:r>
                <m:t>1</m:t>
              </m:r>
            </m:sub>
          </m:sSub>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λ</m:t>
              </m:r>
            </m:oMath>
          </w:p>
        </w:tc>
        <w:tc>
          <w:tcPr/>
          <w:p>
            <w:pPr>
              <w:pStyle w:val="Compact"/>
              <w:jc w:val="left"/>
            </w:pPr>
            <w:r>
              <w:t xml:space="preserve">Item arrival rate</w:t>
            </w:r>
          </w:p>
        </w:tc>
        <w:tc>
          <w:tcPr/>
          <w:p>
            <w:pPr>
              <w:pStyle w:val="Compact"/>
              <w:jc w:val="left"/>
            </w:pPr>
            <w:r>
              <w:t xml:space="preserve">items/second</w:t>
            </w:r>
          </w:p>
        </w:tc>
      </w:tr>
      <w:tr>
        <w:tc>
          <w:tcPr/>
          <w:p>
            <w:pPr>
              <w:pStyle w:val="Compact"/>
              <w:jc w:val="left"/>
            </w:pPr>
            <m:oMath>
              <m:sSub>
                <m:e>
                  <m:r>
                    <m:t>B</m:t>
                  </m:r>
                </m:e>
                <m:sub>
                  <m:r>
                    <m:rPr>
                      <m:sty m:val="p"/>
                    </m:rPr>
                    <m:t>max</m:t>
                  </m:r>
                </m:sub>
              </m:sSub>
            </m:oMath>
            <w:r>
              <w:t xml:space="preserve">,</w:t>
            </w:r>
            <w:r>
              <w:t xml:space="preserve"> </w:t>
            </w:r>
            <m:oMath>
              <m:sSub>
                <m:e>
                  <m:r>
                    <m:t>T</m:t>
                  </m:r>
                </m:e>
                <m:sub>
                  <m:r>
                    <m:rPr>
                      <m:sty m:val="p"/>
                    </m:rPr>
                    <m:t>max</m:t>
                  </m:r>
                </m:sub>
              </m:sSub>
            </m:oMath>
          </w:p>
        </w:tc>
        <w:tc>
          <w:tcPr/>
          <w:p>
            <w:pPr>
              <w:pStyle w:val="Compact"/>
              <w:jc w:val="left"/>
            </w:pPr>
            <w:r>
              <w:t xml:space="preserve">Size and time limits of the batcher</w:t>
            </w:r>
          </w:p>
        </w:tc>
        <w:tc>
          <w:tcPr/>
          <w:p>
            <w:pPr>
              <w:pStyle w:val="Compact"/>
              <w:jc w:val="left"/>
            </w:pPr>
            <w:r>
              <w:t xml:space="preserve">items, seconds</w:t>
            </w:r>
          </w:p>
        </w:tc>
      </w:tr>
      <w:tr>
        <w:tc>
          <w:tcPr/>
          <w:p>
            <w:pPr>
              <w:pStyle w:val="Compact"/>
              <w:jc w:val="left"/>
            </w:pPr>
            <m:oMath>
              <m:sSub>
                <m:e>
                  <m:r>
                    <m:t>B</m:t>
                  </m:r>
                </m:e>
                <m:sub>
                  <m:r>
                    <m:rPr>
                      <m:nor/>
                      <m:sty m:val="p"/>
                    </m:rPr>
                    <m:t>eff</m:t>
                  </m:r>
                </m:sub>
              </m:sSub>
            </m:oMath>
          </w:p>
        </w:tc>
        <w:tc>
          <w:tcPr/>
          <w:p>
            <w:pPr>
              <w:pStyle w:val="Compact"/>
              <w:jc w:val="left"/>
            </w:pPr>
            <w:r>
              <w:t xml:space="preserve">Typical batch size actually sent</w:t>
            </w:r>
          </w:p>
        </w:tc>
        <w:tc>
          <w:tcPr/>
          <w:p>
            <w:pPr>
              <w:pStyle w:val="Compact"/>
              <w:jc w:val="left"/>
            </w:pPr>
            <w:r>
              <w:t xml:space="preserve">items</w:t>
            </w:r>
          </w:p>
        </w:tc>
      </w:tr>
      <w:tr>
        <w:tc>
          <w:tcPr/>
          <w:p>
            <w:pPr>
              <w:pStyle w:val="Compact"/>
              <w:jc w:val="left"/>
            </w:pPr>
            <m:oMath>
              <m:sSub>
                <m:e>
                  <m:r>
                    <m:t>t</m:t>
                  </m:r>
                </m:e>
                <m:sub>
                  <m:r>
                    <m:t>0</m:t>
                  </m:r>
                </m:sub>
              </m:sSub>
            </m:oMath>
            <w:r>
              <w:t xml:space="preserve">,</w:t>
            </w:r>
            <w:r>
              <w:t xml:space="preserve"> </w:t>
            </w:r>
            <m:oMath>
              <m:sSub>
                <m:e>
                  <m:r>
                    <m:t>t</m:t>
                  </m:r>
                </m:e>
                <m:sub>
                  <m:r>
                    <m:t>1</m:t>
                  </m:r>
                </m:sub>
              </m:sSub>
            </m:oMath>
          </w:p>
        </w:tc>
        <w:tc>
          <w:tcPr/>
          <w:p>
            <w:pPr>
              <w:pStyle w:val="Compact"/>
              <w:jc w:val="left"/>
            </w:pPr>
            <w:r>
              <w:t xml:space="preserve">Fixed cost per batch, marginal cost per item</w:t>
            </w:r>
          </w:p>
        </w:tc>
        <w:tc>
          <w:tcPr/>
          <w:p>
            <w:pPr>
              <w:pStyle w:val="Compact"/>
              <w:jc w:val="left"/>
            </w:pPr>
            <w:r>
              <w:t xml:space="preserve">seconds, seconds/item</w:t>
            </w:r>
          </w:p>
        </w:tc>
      </w:tr>
      <w:tr>
        <w:tc>
          <w:tcPr/>
          <w:p>
            <w:pPr>
              <w:pStyle w:val="Compact"/>
              <w:jc w:val="left"/>
            </w:pPr>
            <m:oMath>
              <m:sSub>
                <m:e>
                  <m:r>
                    <m:t>X</m:t>
                  </m:r>
                </m:e>
                <m:sub>
                  <m:r>
                    <m:rPr>
                      <m:sty m:val="p"/>
                    </m:rPr>
                    <m:t>max</m:t>
                  </m:r>
                </m:sub>
              </m:sSub>
            </m:oMath>
          </w:p>
        </w:tc>
        <w:tc>
          <w:tcPr/>
          <w:p>
            <w:pPr>
              <w:pStyle w:val="Compact"/>
              <w:jc w:val="left"/>
            </w:pPr>
            <w:r>
              <w:t xml:space="preserve">Throughput one sender can sustain</w:t>
            </w:r>
          </w:p>
        </w:tc>
        <w:tc>
          <w:tcPr/>
          <w:p>
            <w:pPr>
              <w:pStyle w:val="Compact"/>
              <w:jc w:val="left"/>
            </w:pPr>
            <w:r>
              <w:t xml:space="preserve">items/second</w:t>
            </w:r>
          </w:p>
        </w:tc>
      </w:tr>
      <w:tr>
        <w:tc>
          <w:tcPr/>
          <w:p>
            <w:pPr>
              <w:pStyle w:val="Compact"/>
              <w:jc w:val="left"/>
            </w:pPr>
            <m:oMath>
              <m:sSub>
                <m:e>
                  <m:r>
                    <m:t>W</m:t>
                  </m:r>
                </m:e>
                <m:sub>
                  <m:r>
                    <m:rPr>
                      <m:nor/>
                      <m:sty m:val="p"/>
                    </m:rPr>
                    <m:t>worst</m:t>
                  </m:r>
                </m:sub>
              </m:sSub>
            </m:oMath>
          </w:p>
        </w:tc>
        <w:tc>
          <w:tcPr/>
          <w:p>
            <w:pPr>
              <w:pStyle w:val="Compact"/>
              <w:jc w:val="left"/>
            </w:pPr>
            <w:r>
              <w:t xml:space="preserve">Worst-case latency added by batching and sending</w:t>
            </w:r>
          </w:p>
        </w:tc>
        <w:tc>
          <w:tcPr/>
          <w:p>
            <w:pPr>
              <w:pStyle w:val="Compact"/>
              <w:jc w:val="left"/>
            </w:pPr>
            <w:r>
              <w:t xml:space="preserve">seconds</w:t>
            </w:r>
          </w:p>
        </w:tc>
      </w:tr>
    </w:tbl>
    <w:p>
      <w:pPr>
        <w:pStyle w:val="CalloutExample"/>
      </w:pPr>
      <w:r>
        <w:rPr>
          <w:bCs/>
          <w:b/>
        </w:rPr>
        <w:t xml:space="preserve">WORKED EXAMPLE</w:t>
      </w:r>
    </w:p>
    <w:p>
      <w:pPr>
        <w:pStyle w:val="CalloutExample"/>
      </w:pPr>
      <w:r>
        <w:rPr>
          <w:bCs/>
          <w:b/>
        </w:rPr>
        <w:t xml:space="preserve">Worked example — A log shipper.</w:t>
      </w:r>
      <w:r>
        <w:t xml:space="preserve"> </w:t>
      </w:r>
      <w:r>
        <w:t xml:space="preserve">Each send costs</w:t>
      </w:r>
      <w:r>
        <w:t xml:space="preserve"> </w:t>
      </w:r>
      <m:oMath>
        <m:sSub>
          <m:e>
            <m:r>
              <m:t>t</m:t>
            </m:r>
          </m:e>
          <m:sub>
            <m:r>
              <m:t>0</m:t>
            </m:r>
          </m:sub>
        </m:sSub>
        <m:r>
          <m:rPr>
            <m:sty m:val="p"/>
          </m:rPr>
          <m:t>=</m:t>
        </m:r>
        <m:r>
          <m:t>0.5</m:t>
        </m:r>
      </m:oMath>
      <w:r>
        <w:t xml:space="preserve"> </w:t>
      </w:r>
      <w:r>
        <w:t xml:space="preserve">ms (round trip and system call) plus</w:t>
      </w:r>
      <w:r>
        <w:t xml:space="preserve"> </w:t>
      </w:r>
      <m:oMath>
        <m:sSub>
          <m:e>
            <m:r>
              <m:t>t</m:t>
            </m:r>
          </m:e>
          <m:sub>
            <m:r>
              <m:t>1</m:t>
            </m:r>
          </m:sub>
        </m:sSub>
        <m:r>
          <m:rPr>
            <m:sty m:val="p"/>
          </m:rPr>
          <m:t>=</m:t>
        </m:r>
        <m:r>
          <m:t>10</m:t>
        </m:r>
      </m:oMath>
      <w:r>
        <w:t xml:space="preserve"> </w:t>
      </w:r>
      <w:r>
        <w:t xml:space="preserve">µs per record. Records arrive at</w:t>
      </w:r>
      <w:r>
        <w:t xml:space="preserve"> </w:t>
      </w:r>
      <m:oMath>
        <m:r>
          <m:t>λ</m:t>
        </m:r>
        <m:r>
          <m:rPr>
            <m:sty m:val="p"/>
          </m:rPr>
          <m:t>=</m:t>
        </m:r>
        <m:r>
          <m:t>20</m:t>
        </m:r>
        <m:r>
          <m:rPr>
            <m:sty m:val="p"/>
          </m:rPr>
          <m:t>,</m:t>
        </m:r>
        <m:r>
          <m:t>000</m:t>
        </m:r>
      </m:oMath>
      <w:r>
        <w:t xml:space="preserve">/s; one sender has one batch in flight at a time.</w:t>
      </w:r>
    </w:p>
    <w:p>
      <w:pPr>
        <w:numPr>
          <w:ilvl w:val="0"/>
          <w:numId w:val="1766"/>
        </w:numPr>
        <w:pStyle w:val="Compact"/>
      </w:pPr>
      <w:r>
        <w:t xml:space="preserve">Unbatched (</w:t>
      </w:r>
      <m:oMath>
        <m:r>
          <m:t>B</m:t>
        </m:r>
        <m:r>
          <m:rPr>
            <m:sty m:val="p"/>
          </m:rPr>
          <m:t>=</m:t>
        </m:r>
        <m:r>
          <m:t>1</m:t>
        </m:r>
      </m:oMath>
      <w:r>
        <w:t xml:space="preserve">):</w:t>
      </w:r>
      <w:r>
        <w:t xml:space="preserve"> </w:t>
      </w:r>
      <m:oMath>
        <m:sSub>
          <m:e>
            <m:r>
              <m:t>X</m:t>
            </m:r>
          </m:e>
          <m:sub>
            <m:r>
              <m:rPr>
                <m:sty m:val="p"/>
              </m:rPr>
              <m:t>max</m:t>
            </m:r>
          </m:sub>
        </m:sSub>
        <m:r>
          <m:rPr>
            <m:sty m:val="p"/>
          </m:rPr>
          <m:t>=</m:t>
        </m:r>
        <m:r>
          <m:t>1</m:t>
        </m:r>
        <m:r>
          <m:rPr>
            <m:sty m:val="p"/>
          </m:rPr>
          <m:t>/</m:t>
        </m:r>
        <m:r>
          <m:t>0.00051</m:t>
        </m:r>
        <m:r>
          <m:rPr>
            <m:sty m:val="p"/>
          </m:rPr>
          <m:t>=</m:t>
        </m:r>
        <m:r>
          <m:t>1</m:t>
        </m:r>
        <m:r>
          <m:rPr>
            <m:sty m:val="p"/>
          </m:rPr>
          <m:t>,</m:t>
        </m:r>
        <m:r>
          <m:t>961</m:t>
        </m:r>
      </m:oMath>
      <w:r>
        <w:t xml:space="preserve">/s. The sender falls 18,000 records/s behind.</w:t>
      </w:r>
    </w:p>
    <w:p>
      <w:pPr>
        <w:numPr>
          <w:ilvl w:val="0"/>
          <w:numId w:val="1766"/>
        </w:numPr>
        <w:pStyle w:val="Compact"/>
      </w:pPr>
      <w:r>
        <w:t xml:space="preserve">With</w:t>
      </w:r>
      <w:r>
        <w:t xml:space="preserve"> </w:t>
      </w:r>
      <m:oMath>
        <m:sSub>
          <m:e>
            <m:r>
              <m:t>T</m:t>
            </m:r>
          </m:e>
          <m:sub>
            <m:r>
              <m:rPr>
                <m:sty m:val="p"/>
              </m:rPr>
              <m:t>max</m:t>
            </m:r>
          </m:sub>
        </m:sSub>
        <m:r>
          <m:rPr>
            <m:sty m:val="p"/>
          </m:rPr>
          <m:t>=</m:t>
        </m:r>
        <m:r>
          <m:t>5</m:t>
        </m:r>
      </m:oMath>
      <w:r>
        <w:t xml:space="preserve"> </w:t>
      </w:r>
      <w:r>
        <w:t xml:space="preserve">ms and</w:t>
      </w:r>
      <w:r>
        <w:t xml:space="preserve"> </w:t>
      </w:r>
      <m:oMath>
        <m:sSub>
          <m:e>
            <m:r>
              <m:t>B</m:t>
            </m:r>
          </m:e>
          <m:sub>
            <m:r>
              <m:rPr>
                <m:sty m:val="p"/>
              </m:rPr>
              <m:t>max</m:t>
            </m:r>
          </m:sub>
        </m:sSub>
        <m:r>
          <m:rPr>
            <m:sty m:val="p"/>
          </m:rPr>
          <m:t>=</m:t>
        </m:r>
        <m:r>
          <m:t>500</m:t>
        </m:r>
      </m:oMath>
      <w:r>
        <w:t xml:space="preserve">:</w:t>
      </w:r>
      <w:r>
        <w:t xml:space="preserve"> </w:t>
      </w:r>
      <m:oMath>
        <m:sSub>
          <m:e>
            <m:r>
              <m:t>B</m:t>
            </m:r>
          </m:e>
          <m:sub>
            <m:r>
              <m:rPr>
                <m:nor/>
                <m:sty m:val="p"/>
              </m:rPr>
              <m:t>eff</m:t>
            </m:r>
          </m:sub>
        </m:sSub>
        <m:r>
          <m:rPr>
            <m:sty m:val="p"/>
          </m:rPr>
          <m:t>=</m:t>
        </m:r>
        <m:r>
          <m:rPr>
            <m:sty m:val="p"/>
          </m:rPr>
          <m:t>min</m:t>
        </m:r>
        <m:d>
          <m:dPr>
            <m:begChr m:val="("/>
            <m:endChr m:val=")"/>
            <m:sepChr m:val=""/>
            <m:grow/>
          </m:dPr>
          <m:e>
            <m:r>
              <m:t>500</m:t>
            </m:r>
            <m:r>
              <m:rPr>
                <m:sty m:val="p"/>
              </m:rPr>
              <m:t>,</m:t>
            </m:r>
            <m:r>
              <m:t>20</m:t>
            </m:r>
            <m:r>
              <m:rPr>
                <m:sty m:val="p"/>
              </m:rPr>
              <m:t>,</m:t>
            </m:r>
            <m:r>
              <m:t>000</m:t>
            </m:r>
            <m:r>
              <m:rPr>
                <m:sty m:val="p"/>
              </m:rPr>
              <m:t>×</m:t>
            </m:r>
            <m:r>
              <m:t>0.005</m:t>
            </m:r>
          </m:e>
        </m:d>
        <m:r>
          <m:rPr>
            <m:sty m:val="p"/>
          </m:rPr>
          <m:t>=</m:t>
        </m:r>
        <m:r>
          <m:t>100</m:t>
        </m:r>
      </m:oMath>
      <w:r>
        <w:t xml:space="preserve">.</w:t>
      </w:r>
    </w:p>
    <w:p>
      <w:pPr>
        <w:numPr>
          <w:ilvl w:val="0"/>
          <w:numId w:val="1766"/>
        </w:numPr>
        <w:pStyle w:val="Compact"/>
      </w:pPr>
      <w:r>
        <w:t xml:space="preserve">Batch time</w:t>
      </w:r>
      <w:r>
        <w:t xml:space="preserve"> </w:t>
      </w:r>
      <m:oMath>
        <m:r>
          <m:rPr>
            <m:sty m:val="p"/>
          </m:rPr>
          <m:t>=</m:t>
        </m:r>
        <m:r>
          <m:t>0.5</m:t>
        </m:r>
        <m:r>
          <m:rPr>
            <m:sty m:val="p"/>
          </m:rPr>
          <m:t>+</m:t>
        </m:r>
        <m:r>
          <m:t>100</m:t>
        </m:r>
        <m:r>
          <m:rPr>
            <m:sty m:val="p"/>
          </m:rPr>
          <m:t>×</m:t>
        </m:r>
        <m:r>
          <m:t>0.01</m:t>
        </m:r>
        <m:r>
          <m:rPr>
            <m:sty m:val="p"/>
          </m:rPr>
          <m:t>=</m:t>
        </m:r>
        <m:r>
          <m:t>1.5</m:t>
        </m:r>
      </m:oMath>
      <w:r>
        <w:t xml:space="preserve"> </w:t>
      </w:r>
      <w:r>
        <w:t xml:space="preserve">ms, so</w:t>
      </w:r>
      <w:r>
        <w:t xml:space="preserve"> </w:t>
      </w:r>
      <m:oMath>
        <m:sSub>
          <m:e>
            <m:r>
              <m:t>X</m:t>
            </m:r>
          </m:e>
          <m:sub>
            <m:r>
              <m:rPr>
                <m:sty m:val="p"/>
              </m:rPr>
              <m:t>max</m:t>
            </m:r>
          </m:sub>
        </m:sSub>
        <m:r>
          <m:rPr>
            <m:sty m:val="p"/>
          </m:rPr>
          <m:t>=</m:t>
        </m:r>
        <m:r>
          <m:t>100</m:t>
        </m:r>
        <m:r>
          <m:rPr>
            <m:sty m:val="p"/>
          </m:rPr>
          <m:t>/</m:t>
        </m:r>
        <m:r>
          <m:t>0.0015</m:t>
        </m:r>
        <m:r>
          <m:rPr>
            <m:sty m:val="p"/>
          </m:rPr>
          <m:t>=</m:t>
        </m:r>
        <m:r>
          <m:t>66</m:t>
        </m:r>
        <m:r>
          <m:rPr>
            <m:sty m:val="p"/>
          </m:rPr>
          <m:t>,</m:t>
        </m:r>
        <m:r>
          <m:t>667</m:t>
        </m:r>
      </m:oMath>
      <w:r>
        <w:t xml:space="preserve">/s: 3.3× headroom.</w:t>
      </w:r>
    </w:p>
    <w:p>
      <w:pPr>
        <w:numPr>
          <w:ilvl w:val="0"/>
          <w:numId w:val="1766"/>
        </w:numPr>
        <w:pStyle w:val="Compact"/>
      </w:pPr>
      <w:r>
        <w:t xml:space="preserve">Worst-case added latency</w:t>
      </w:r>
      <w:r>
        <w:t xml:space="preserve"> </w:t>
      </w:r>
      <m:oMath>
        <m:r>
          <m:rPr>
            <m:sty m:val="p"/>
          </m:rPr>
          <m:t>≈</m:t>
        </m:r>
        <m:r>
          <m:t>5</m:t>
        </m:r>
        <m:r>
          <m:rPr>
            <m:sty m:val="p"/>
          </m:rPr>
          <m:t>+</m:t>
        </m:r>
        <m:r>
          <m:t>1.5</m:t>
        </m:r>
        <m:r>
          <m:rPr>
            <m:sty m:val="p"/>
          </m:rPr>
          <m:t>=</m:t>
        </m:r>
        <m:r>
          <m:t>6.5</m:t>
        </m:r>
      </m:oMath>
      <w:r>
        <w:t xml:space="preserve"> </w:t>
      </w:r>
      <w:r>
        <w:t xml:space="preserve">ms; the average record waits about half of</w:t>
      </w:r>
      <w:r>
        <w:t xml:space="preserve"> </w:t>
      </w:r>
      <m:oMath>
        <m:sSub>
          <m:e>
            <m:r>
              <m:t>T</m:t>
            </m:r>
          </m:e>
          <m:sub>
            <m:r>
              <m:rPr>
                <m:sty m:val="p"/>
              </m:rPr>
              <m:t>max</m:t>
            </m:r>
          </m:sub>
        </m:sSub>
      </m:oMath>
      <w:r>
        <w:t xml:space="preserve">, 2.5 ms.</w:t>
      </w:r>
    </w:p>
    <w:p>
      <w:pPr>
        <w:pStyle w:val="CalloutExample"/>
      </w:pPr>
      <w:r>
        <w:rPr>
          <w:bCs/>
          <w:b/>
        </w:rPr>
        <w:t xml:space="preserve">Interpretation.</w:t>
      </w:r>
      <w:r>
        <w:t xml:space="preserve"> </w:t>
      </w:r>
      <w:r>
        <w:t xml:space="preserve">A 5 ms latency budget buys a 34× throughput increase.</w:t>
      </w:r>
      <w:r>
        <w:t xml:space="preserve"> </w:t>
      </w:r>
      <w:r>
        <w:rPr>
          <w:bCs/>
          <w:b/>
        </w:rPr>
        <w:t xml:space="preserve">Engineering implication.</w:t>
      </w:r>
      <w:r>
        <w:t xml:space="preserve"> </w:t>
      </w:r>
      <w:r>
        <w:t xml:space="preserve">Choose</w:t>
      </w:r>
      <w:r>
        <w:t xml:space="preserve"> </w:t>
      </w:r>
      <m:oMath>
        <m:sSub>
          <m:e>
            <m:r>
              <m:t>T</m:t>
            </m:r>
          </m:e>
          <m:sub>
            <m:r>
              <m:rPr>
                <m:sty m:val="p"/>
              </m:rPr>
              <m:t>max</m:t>
            </m:r>
          </m:sub>
        </m:sSub>
      </m:oMath>
      <w:r>
        <w:t xml:space="preserve"> </w:t>
      </w:r>
      <w:r>
        <w:t xml:space="preserve">from the latency budget, not from throughput; at high load the batch fills before the timer anyway.</w:t>
      </w:r>
    </w:p>
    <w:p>
      <w:pPr>
        <w:pStyle w:val="BodyText"/>
      </w:pPr>
      <w:r>
        <w:rPr>
          <w:bCs/>
          <w:b/>
        </w:rPr>
        <w:t xml:space="preserve">The Nagle analogy.</w:t>
      </w:r>
      <w:r>
        <w:t xml:space="preserve"> </w:t>
      </w:r>
      <w:r>
        <w:t xml:space="preserve">Nagle’s algorithm (§7.7.8) is a batcher whose</w:t>
      </w:r>
      <w:r>
        <w:t xml:space="preserve"> </w:t>
      </w:r>
      <w:r>
        <w:t xml:space="preserve">“</w:t>
      </w:r>
      <w:r>
        <w:t xml:space="preserve">timer</w:t>
      </w:r>
      <w:r>
        <w:t xml:space="preserve">”</w:t>
      </w:r>
      <w:r>
        <w:t xml:space="preserve"> </w:t>
      </w:r>
      <w:r>
        <w:t xml:space="preserve">is the arrival of an acknowledgment: small writes are held while data is unacknowledged. It improves throughput for chatty senders, but combined with the receiver’s delayed-ACK timer it adds tens of milliseconds to request/response traffic. The general lesson is that</w:t>
      </w:r>
      <w:r>
        <w:t xml:space="preserve"> </w:t>
      </w:r>
      <w:r>
        <w:rPr>
          <w:iCs/>
          <w:i/>
        </w:rPr>
        <w:t xml:space="preserve">two batchers in series can deadlock each other until a timer fires</w:t>
      </w:r>
      <w:r>
        <w:t xml:space="preserve">. When you add batching to a client, check what the server does with small, incomplete messages.</w:t>
      </w:r>
    </w:p>
    <w:bookmarkEnd w:id="2625"/>
    <w:bookmarkStart w:id="2626" w:name="pipelining"/>
    <w:p>
      <w:pPr>
        <w:pStyle w:val="Heading3"/>
      </w:pPr>
      <w:r>
        <w:t xml:space="preserve">23.8.2 Pipelining</w:t>
      </w:r>
    </w:p>
    <w:p>
      <w:pPr>
        <w:pStyle w:val="FirstParagraph"/>
      </w:pPr>
      <w:r>
        <w:rPr>
          <w:bCs/>
          <w:b/>
        </w:rPr>
        <w:t xml:space="preserve">Pipelining</w:t>
      </w:r>
      <w:r>
        <w:t xml:space="preserve"> </w:t>
      </w:r>
      <w:r>
        <w:t xml:space="preserve">sends several requests on one connection without waiting for each response, overlapping network round trips with server work.</w:t>
      </w:r>
    </w:p>
    <w:p>
      <w:pPr>
        <w:pStyle w:val="CalloutFormula"/>
      </w:pPr>
      <w:r>
        <w:rPr>
          <w:bCs/>
          <w:b/>
        </w:rPr>
        <w:t xml:space="preserve">FORMULA</w:t>
      </w:r>
    </w:p>
    <w:p>
      <w:pPr>
        <w:pStyle w:val="CalloutFormula"/>
      </w:pPr>
      <w:r>
        <w:rPr>
          <w:bCs/>
          <w:b/>
        </w:rPr>
        <w:t xml:space="preserve">Sequential versus pipelined requests</w:t>
      </w:r>
    </w:p>
    <w:p>
      <w:pPr>
        <w:pStyle w:val="CalloutFormula"/>
      </w:pPr>
      <m:oMathPara>
        <m:oMathParaPr>
          <m:jc m:val="center"/>
        </m:oMathParaPr>
        <m:oMath>
          <m:sSub>
            <m:e>
              <m:r>
                <m:t>T</m:t>
              </m:r>
            </m:e>
            <m:sub>
              <m:r>
                <m:rPr>
                  <m:nor/>
                  <m:sty m:val="p"/>
                </m:rPr>
                <m:t>seq</m:t>
              </m:r>
            </m:sub>
          </m:sSub>
          <m:r>
            <m:rPr>
              <m:sty m:val="p"/>
            </m:rPr>
            <m:t>=</m:t>
          </m:r>
          <m:r>
            <m:t>n</m:t>
          </m:r>
          <m:r>
            <m:t> </m:t>
          </m:r>
          <m:d>
            <m:dPr>
              <m:begChr m:val="("/>
              <m:endChr m:val=")"/>
              <m:sepChr m:val=""/>
              <m:grow/>
            </m:dPr>
            <m:e>
              <m:r>
                <m:t>r</m:t>
              </m:r>
              <m:r>
                <m:rPr>
                  <m:sty m:val="p"/>
                </m:rPr>
                <m:t>+</m:t>
              </m:r>
              <m:r>
                <m:t>s</m:t>
              </m:r>
            </m:e>
          </m:d>
          <m:r>
            <m:t>  </m:t>
          </m:r>
          <m:sSub>
            <m:e>
              <m:r>
                <m:t>T</m:t>
              </m:r>
            </m:e>
            <m:sub>
              <m:r>
                <m:rPr>
                  <m:nor/>
                  <m:sty m:val="p"/>
                </m:rPr>
                <m:t>pipe</m:t>
              </m:r>
            </m:sub>
          </m:sSub>
          <m:r>
            <m:rPr>
              <m:sty m:val="p"/>
            </m:rPr>
            <m:t>≈</m:t>
          </m:r>
          <m:r>
            <m:t>r</m:t>
          </m:r>
          <m:r>
            <m:rPr>
              <m:sty m:val="p"/>
            </m:rPr>
            <m:t>+</m:t>
          </m:r>
          <m:r>
            <m:t>n</m:t>
          </m:r>
          <m:r>
            <m:t> </m:t>
          </m:r>
          <m:r>
            <m:t>s</m:t>
          </m:r>
          <m:r>
            <m:t> </m:t>
          </m:r>
          <m:d>
            <m:dPr>
              <m:begChr m:val="("/>
              <m:endChr m:val=")"/>
              <m:sepChr m:val=""/>
              <m:grow/>
            </m:dPr>
            <m:e>
              <m:r>
                <m:rPr>
                  <m:nor/>
                  <m:sty m:val="p"/>
                </m:rPr>
                <m:t>window</m:t>
              </m:r>
              <m:r>
                <m:rPr>
                  <m:sty m:val="p"/>
                </m:rPr>
                <m:t>≥</m:t>
              </m:r>
              <m:r>
                <m:t>n</m:t>
              </m:r>
            </m:e>
          </m:d>
        </m:oMath>
      </m:oMathPara>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n</m:t>
              </m:r>
            </m:oMath>
          </w:p>
        </w:tc>
        <w:tc>
          <w:tcPr/>
          <w:p>
            <w:pPr>
              <w:pStyle w:val="Compact"/>
              <w:jc w:val="left"/>
            </w:pPr>
            <w:r>
              <w:t xml:space="preserve">Number of requests</w:t>
            </w:r>
          </w:p>
        </w:tc>
        <w:tc>
          <w:tcPr/>
          <w:p>
            <w:pPr>
              <w:pStyle w:val="Compact"/>
              <w:jc w:val="left"/>
            </w:pPr>
            <w:r>
              <w:t xml:space="preserve">count</w:t>
            </w:r>
          </w:p>
        </w:tc>
      </w:tr>
      <w:tr>
        <w:tc>
          <w:tcPr/>
          <w:p>
            <w:pPr>
              <w:pStyle w:val="Compact"/>
              <w:jc w:val="left"/>
            </w:pPr>
            <m:oMath>
              <m:r>
                <m:t>r</m:t>
              </m:r>
            </m:oMath>
          </w:p>
        </w:tc>
        <w:tc>
          <w:tcPr/>
          <w:p>
            <w:pPr>
              <w:pStyle w:val="Compact"/>
              <w:jc w:val="left"/>
            </w:pPr>
            <w:r>
              <w:t xml:space="preserve">Network round-trip time</w:t>
            </w:r>
          </w:p>
        </w:tc>
        <w:tc>
          <w:tcPr/>
          <w:p>
            <w:pPr>
              <w:pStyle w:val="Compact"/>
              <w:jc w:val="left"/>
            </w:pPr>
            <w:r>
              <w:t xml:space="preserve">seconds</w:t>
            </w:r>
          </w:p>
        </w:tc>
      </w:tr>
      <w:tr>
        <w:tc>
          <w:tcPr/>
          <w:p>
            <w:pPr>
              <w:pStyle w:val="Compact"/>
              <w:jc w:val="left"/>
            </w:pPr>
            <m:oMath>
              <m:r>
                <m:t>s</m:t>
              </m:r>
            </m:oMath>
          </w:p>
        </w:tc>
        <w:tc>
          <w:tcPr/>
          <w:p>
            <w:pPr>
              <w:pStyle w:val="Compact"/>
              <w:jc w:val="left"/>
            </w:pPr>
            <w:r>
              <w:t xml:space="preserve">Server processing time per request</w:t>
            </w:r>
          </w:p>
        </w:tc>
        <w:tc>
          <w:tcPr/>
          <w:p>
            <w:pPr>
              <w:pStyle w:val="Compact"/>
              <w:jc w:val="left"/>
            </w:pPr>
            <w:r>
              <w:t xml:space="preserve">seconds</w:t>
            </w:r>
          </w:p>
        </w:tc>
      </w:tr>
    </w:tbl>
    <w:p>
      <w:pPr>
        <w:pStyle w:val="CalloutExample"/>
      </w:pPr>
      <w:r>
        <w:rPr>
          <w:bCs/>
          <w:b/>
        </w:rPr>
        <w:t xml:space="preserve">WORKED EXAMPLE</w:t>
      </w:r>
    </w:p>
    <w:p>
      <w:pPr>
        <w:pStyle w:val="CalloutExample"/>
      </w:pPr>
      <w:r>
        <w:rPr>
          <w:bCs/>
          <w:b/>
        </w:rPr>
        <w:t xml:space="preserve">Worked example — 1,000 cache reads.</w:t>
      </w:r>
      <w:r>
        <w:t xml:space="preserve"> </w:t>
      </w:r>
      <m:oMath>
        <m:r>
          <m:t>r</m:t>
        </m:r>
        <m:r>
          <m:rPr>
            <m:sty m:val="p"/>
          </m:rPr>
          <m:t>=</m:t>
        </m:r>
        <m:r>
          <m:t>0.5</m:t>
        </m:r>
      </m:oMath>
      <w:r>
        <w:t xml:space="preserve"> </w:t>
      </w:r>
      <w:r>
        <w:t xml:space="preserve">ms within a datacenter,</w:t>
      </w:r>
      <w:r>
        <w:t xml:space="preserve"> </w:t>
      </w:r>
      <m:oMath>
        <m:r>
          <m:t>s</m:t>
        </m:r>
        <m:r>
          <m:rPr>
            <m:sty m:val="p"/>
          </m:rPr>
          <m:t>=</m:t>
        </m:r>
        <m:r>
          <m:t>5</m:t>
        </m:r>
      </m:oMath>
      <w:r>
        <w:t xml:space="preserve"> </w:t>
      </w:r>
      <w:r>
        <w:t xml:space="preserve">µs per GET in an in-memory store.</w:t>
      </w:r>
    </w:p>
    <w:p>
      <w:pPr>
        <w:numPr>
          <w:ilvl w:val="0"/>
          <w:numId w:val="1767"/>
        </w:numPr>
        <w:pStyle w:val="Compact"/>
      </w:pPr>
      <w:r>
        <w:t xml:space="preserve">Sequential:</w:t>
      </w:r>
      <w:r>
        <w:t xml:space="preserve"> </w:t>
      </w:r>
      <m:oMath>
        <m:r>
          <m:t>1</m:t>
        </m:r>
        <m:r>
          <m:rPr>
            <m:sty m:val="p"/>
          </m:rPr>
          <m:t>,</m:t>
        </m:r>
        <m:r>
          <m:t>000</m:t>
        </m:r>
        <m:r>
          <m:rPr>
            <m:sty m:val="p"/>
          </m:rPr>
          <m:t>×</m:t>
        </m:r>
        <m:d>
          <m:dPr>
            <m:begChr m:val="("/>
            <m:endChr m:val=")"/>
            <m:sepChr m:val=""/>
            <m:grow/>
          </m:dPr>
          <m:e>
            <m:r>
              <m:t>0.5</m:t>
            </m:r>
            <m:r>
              <m:rPr>
                <m:sty m:val="p"/>
              </m:rPr>
              <m:t>+</m:t>
            </m:r>
            <m:r>
              <m:t>0.005</m:t>
            </m:r>
          </m:e>
        </m:d>
        <m:r>
          <m:rPr>
            <m:sty m:val="p"/>
          </m:rPr>
          <m:t>=</m:t>
        </m:r>
        <m:r>
          <m:t>505</m:t>
        </m:r>
      </m:oMath>
      <w:r>
        <w:t xml:space="preserve"> </w:t>
      </w:r>
      <w:r>
        <w:t xml:space="preserve">ms.</w:t>
      </w:r>
    </w:p>
    <w:p>
      <w:pPr>
        <w:numPr>
          <w:ilvl w:val="0"/>
          <w:numId w:val="1767"/>
        </w:numPr>
        <w:pStyle w:val="Compact"/>
      </w:pPr>
      <w:r>
        <w:t xml:space="preserve">Pipelined:</w:t>
      </w:r>
      <w:r>
        <w:t xml:space="preserve"> </w:t>
      </w:r>
      <m:oMath>
        <m:r>
          <m:t>0.5</m:t>
        </m:r>
        <m:r>
          <m:rPr>
            <m:sty m:val="p"/>
          </m:rPr>
          <m:t>+</m:t>
        </m:r>
        <m:r>
          <m:t>1</m:t>
        </m:r>
        <m:r>
          <m:rPr>
            <m:sty m:val="p"/>
          </m:rPr>
          <m:t>,</m:t>
        </m:r>
        <m:r>
          <m:t>000</m:t>
        </m:r>
        <m:r>
          <m:rPr>
            <m:sty m:val="p"/>
          </m:rPr>
          <m:t>×</m:t>
        </m:r>
        <m:r>
          <m:t>0.005</m:t>
        </m:r>
        <m:r>
          <m:rPr>
            <m:sty m:val="p"/>
          </m:rPr>
          <m:t>=</m:t>
        </m:r>
        <m:r>
          <m:t>5.5</m:t>
        </m:r>
      </m:oMath>
      <w:r>
        <w:t xml:space="preserve"> </w:t>
      </w:r>
      <w:r>
        <w:t xml:space="preserve">ms, 92× faster.</w:t>
      </w:r>
    </w:p>
    <w:p>
      <w:pPr>
        <w:pStyle w:val="CalloutExample"/>
      </w:pPr>
      <w:r>
        <w:rPr>
          <w:bCs/>
          <w:b/>
        </w:rPr>
        <w:t xml:space="preserve">Interpretation.</w:t>
      </w:r>
      <w:r>
        <w:t xml:space="preserve"> </w:t>
      </w:r>
      <w:r>
        <w:t xml:space="preserve">For small operations the round trip, not the server, is the cost.</w:t>
      </w:r>
      <w:r>
        <w:t xml:space="preserve"> </w:t>
      </w:r>
      <w:r>
        <w:rPr>
          <w:bCs/>
          <w:b/>
        </w:rPr>
        <w:t xml:space="preserve">Engineering implication.</w:t>
      </w:r>
      <w:r>
        <w:t xml:space="preserve"> </w:t>
      </w:r>
      <w:r>
        <w:t xml:space="preserve">Use pipelining or multi-key commands (Redis pipelines,</w:t>
      </w:r>
      <w:r>
        <w:t xml:space="preserve"> </w:t>
      </w:r>
      <w:r>
        <w:rPr>
          <w:rStyle w:val="VerbatimChar"/>
        </w:rPr>
        <w:t xml:space="preserve">MGET</w:t>
      </w:r>
      <w:r>
        <w:t xml:space="preserve">) and multiplexed protocols such as HTTP/2 for many small requests. Strict in-order pipelining suffers head-of-line blocking: one slow response delays all later ones, which is why HTTP/1.1 pipelining failed and HTTP/2 multiplexes independent streams (§7.9).</w:t>
      </w:r>
    </w:p>
    <w:bookmarkEnd w:id="2626"/>
    <w:bookmarkStart w:id="2627" w:name="compression-ratio-versus-cpu"/>
    <w:p>
      <w:pPr>
        <w:pStyle w:val="Heading3"/>
      </w:pPr>
      <w:r>
        <w:t xml:space="preserve">23.8.3 Compression: ratio versus CPU</w:t>
      </w:r>
    </w:p>
    <w:p>
      <w:pPr>
        <w:pStyle w:val="FirstParagraph"/>
      </w:pPr>
      <w:r>
        <w:t xml:space="preserve">Compression trades CPU for bytes: it pays when bytes are the bottleneck (slow links, egress charges, storage, cache capacity).</w:t>
      </w:r>
    </w:p>
    <w:p>
      <w:pPr>
        <w:pStyle w:val="BodyText"/>
      </w:pPr>
      <w:r>
        <w:rPr>
          <w:bCs/>
          <w:b/>
        </w:rPr>
        <w:t xml:space="preserve">Table 23.7 — Fast compressors on one CPU core (as of 2026; zstd project benchmark, lzbench on the Silesia corpus, Core i7-9700K).</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Compressor and level</w:t>
            </w:r>
          </w:p>
        </w:tc>
        <w:tc>
          <w:tcPr/>
          <w:p>
            <w:pPr>
              <w:pStyle w:val="Compact"/>
              <w:jc w:val="left"/>
            </w:pPr>
            <w:r>
              <w:t xml:space="preserve">Ratio</w:t>
            </w:r>
          </w:p>
        </w:tc>
        <w:tc>
          <w:tcPr/>
          <w:p>
            <w:pPr>
              <w:pStyle w:val="Compact"/>
              <w:jc w:val="left"/>
            </w:pPr>
            <w:r>
              <w:t xml:space="preserve">Compression (MB/s)</w:t>
            </w:r>
          </w:p>
        </w:tc>
        <w:tc>
          <w:tcPr/>
          <w:p>
            <w:pPr>
              <w:pStyle w:val="Compact"/>
              <w:jc w:val="left"/>
            </w:pPr>
            <w:r>
              <w:t xml:space="preserve">Decompression (MB/s)</w:t>
            </w:r>
          </w:p>
        </w:tc>
      </w:tr>
      <w:tr>
        <w:tc>
          <w:tcPr/>
          <w:p>
            <w:pPr>
              <w:pStyle w:val="Compact"/>
              <w:jc w:val="left"/>
            </w:pPr>
            <w:r>
              <w:t xml:space="preserve">zstd 1.5.7, level 1</w:t>
            </w:r>
          </w:p>
        </w:tc>
        <w:tc>
          <w:tcPr/>
          <w:p>
            <w:pPr>
              <w:pStyle w:val="Compact"/>
              <w:jc w:val="left"/>
            </w:pPr>
            <w:r>
              <w:t xml:space="preserve">2.896</w:t>
            </w:r>
          </w:p>
        </w:tc>
        <w:tc>
          <w:tcPr/>
          <w:p>
            <w:pPr>
              <w:pStyle w:val="Compact"/>
              <w:jc w:val="left"/>
            </w:pPr>
            <w:r>
              <w:t xml:space="preserve">510</w:t>
            </w:r>
          </w:p>
        </w:tc>
        <w:tc>
          <w:tcPr/>
          <w:p>
            <w:pPr>
              <w:pStyle w:val="Compact"/>
              <w:jc w:val="left"/>
            </w:pPr>
            <w:r>
              <w:t xml:space="preserve">1,550</w:t>
            </w:r>
          </w:p>
        </w:tc>
      </w:tr>
      <w:tr>
        <w:tc>
          <w:tcPr/>
          <w:p>
            <w:pPr>
              <w:pStyle w:val="Compact"/>
              <w:jc w:val="left"/>
            </w:pPr>
            <w:r>
              <w:t xml:space="preserve">brotli 1.1.0, level 1</w:t>
            </w:r>
          </w:p>
        </w:tc>
        <w:tc>
          <w:tcPr/>
          <w:p>
            <w:pPr>
              <w:pStyle w:val="Compact"/>
              <w:jc w:val="left"/>
            </w:pPr>
            <w:r>
              <w:t xml:space="preserve">2.883</w:t>
            </w:r>
          </w:p>
        </w:tc>
        <w:tc>
          <w:tcPr/>
          <w:p>
            <w:pPr>
              <w:pStyle w:val="Compact"/>
              <w:jc w:val="left"/>
            </w:pPr>
            <w:r>
              <w:t xml:space="preserve">290</w:t>
            </w:r>
          </w:p>
        </w:tc>
        <w:tc>
          <w:tcPr/>
          <w:p>
            <w:pPr>
              <w:pStyle w:val="Compact"/>
              <w:jc w:val="left"/>
            </w:pPr>
            <w:r>
              <w:t xml:space="preserve">425</w:t>
            </w:r>
          </w:p>
        </w:tc>
      </w:tr>
      <w:tr>
        <w:tc>
          <w:tcPr/>
          <w:p>
            <w:pPr>
              <w:pStyle w:val="Compact"/>
              <w:jc w:val="left"/>
            </w:pPr>
            <w:r>
              <w:t xml:space="preserve">zlib 1.3.1, level 1 (gzip’s DEFLATE)</w:t>
            </w:r>
          </w:p>
        </w:tc>
        <w:tc>
          <w:tcPr/>
          <w:p>
            <w:pPr>
              <w:pStyle w:val="Compact"/>
              <w:jc w:val="left"/>
            </w:pPr>
            <w:r>
              <w:t xml:space="preserve">2.743</w:t>
            </w:r>
          </w:p>
        </w:tc>
        <w:tc>
          <w:tcPr/>
          <w:p>
            <w:pPr>
              <w:pStyle w:val="Compact"/>
              <w:jc w:val="left"/>
            </w:pPr>
            <w:r>
              <w:t xml:space="preserve">105</w:t>
            </w:r>
          </w:p>
        </w:tc>
        <w:tc>
          <w:tcPr/>
          <w:p>
            <w:pPr>
              <w:pStyle w:val="Compact"/>
              <w:jc w:val="left"/>
            </w:pPr>
            <w:r>
              <w:t xml:space="preserve">390</w:t>
            </w:r>
          </w:p>
        </w:tc>
      </w:tr>
      <w:tr>
        <w:tc>
          <w:tcPr/>
          <w:p>
            <w:pPr>
              <w:pStyle w:val="Compact"/>
              <w:jc w:val="left"/>
            </w:pPr>
            <w:r>
              <w:t xml:space="preserve">lz4 1.10.0</w:t>
            </w:r>
          </w:p>
        </w:tc>
        <w:tc>
          <w:tcPr/>
          <w:p>
            <w:pPr>
              <w:pStyle w:val="Compact"/>
              <w:jc w:val="left"/>
            </w:pPr>
            <w:r>
              <w:t xml:space="preserve">2.101</w:t>
            </w:r>
          </w:p>
        </w:tc>
        <w:tc>
          <w:tcPr/>
          <w:p>
            <w:pPr>
              <w:pStyle w:val="Compact"/>
              <w:jc w:val="left"/>
            </w:pPr>
            <w:r>
              <w:t xml:space="preserve">675</w:t>
            </w:r>
          </w:p>
        </w:tc>
        <w:tc>
          <w:tcPr/>
          <w:p>
            <w:pPr>
              <w:pStyle w:val="Compact"/>
              <w:jc w:val="left"/>
            </w:pPr>
            <w:r>
              <w:t xml:space="preserve">3,850</w:t>
            </w:r>
          </w:p>
        </w:tc>
      </w:tr>
      <w:tr>
        <w:tc>
          <w:tcPr/>
          <w:p>
            <w:pPr>
              <w:pStyle w:val="Compact"/>
              <w:jc w:val="left"/>
            </w:pPr>
            <w:r>
              <w:t xml:space="preserve">snappy 1.2.1</w:t>
            </w:r>
          </w:p>
        </w:tc>
        <w:tc>
          <w:tcPr/>
          <w:p>
            <w:pPr>
              <w:pStyle w:val="Compact"/>
              <w:jc w:val="left"/>
            </w:pPr>
            <w:r>
              <w:t xml:space="preserve">2.089</w:t>
            </w:r>
          </w:p>
        </w:tc>
        <w:tc>
          <w:tcPr/>
          <w:p>
            <w:pPr>
              <w:pStyle w:val="Compact"/>
              <w:jc w:val="left"/>
            </w:pPr>
            <w:r>
              <w:t xml:space="preserve">520</w:t>
            </w:r>
          </w:p>
        </w:tc>
        <w:tc>
          <w:tcPr/>
          <w:p>
            <w:pPr>
              <w:pStyle w:val="Compact"/>
              <w:jc w:val="left"/>
            </w:pPr>
            <w:r>
              <w:t xml:space="preserve">1,500</w:t>
            </w:r>
          </w:p>
        </w:tc>
      </w:tr>
    </w:tbl>
    <w:p>
      <w:pPr>
        <w:pStyle w:val="BodyText"/>
      </w:pPr>
      <w:r>
        <w:t xml:space="preserve">Source: [Zstandard README]. Higher levels compress better and far more slowly; benchmark your own payloads.</w:t>
      </w:r>
    </w:p>
    <w:p>
      <w:pPr>
        <w:pStyle w:val="CalloutFormula"/>
      </w:pPr>
      <w:r>
        <w:rPr>
          <w:bCs/>
          <w:b/>
        </w:rPr>
        <w:t xml:space="preserve">FORMULA</w:t>
      </w:r>
    </w:p>
    <w:p>
      <w:pPr>
        <w:pStyle w:val="CalloutFormula"/>
      </w:pPr>
      <w:r>
        <w:rPr>
          <w:bCs/>
          <w:b/>
        </w:rPr>
        <w:t xml:space="preserve">When compression reduces transfer time (store-and-forward)</w:t>
      </w:r>
    </w:p>
    <w:p>
      <w:pPr>
        <w:pStyle w:val="CalloutFormula"/>
      </w:pPr>
      <m:oMathPara>
        <m:oMathParaPr>
          <m:jc m:val="center"/>
        </m:oMathParaPr>
        <m:oMath>
          <m:sSub>
            <m:e>
              <m:r>
                <m:t>t</m:t>
              </m:r>
            </m:e>
            <m:sub>
              <m:r>
                <m:rPr>
                  <m:nor/>
                  <m:sty m:val="p"/>
                </m:rPr>
                <m:t>plain</m:t>
              </m:r>
            </m:sub>
          </m:sSub>
          <m:r>
            <m:rPr>
              <m:sty m:val="p"/>
            </m:rPr>
            <m:t>=</m:t>
          </m:r>
          <m:f>
            <m:fPr>
              <m:type m:val="bar"/>
            </m:fPr>
            <m:num>
              <m:r>
                <m:t>S</m:t>
              </m:r>
            </m:num>
            <m:den>
              <m:r>
                <m:t>W</m:t>
              </m:r>
            </m:den>
          </m:f>
          <m:r>
            <m:t>  </m:t>
          </m:r>
          <m:sSub>
            <m:e>
              <m:r>
                <m:t>t</m:t>
              </m:r>
            </m:e>
            <m:sub>
              <m:r>
                <m:rPr>
                  <m:nor/>
                  <m:sty m:val="p"/>
                </m:rPr>
                <m:t>comp</m:t>
              </m:r>
            </m:sub>
          </m:sSub>
          <m:r>
            <m:rPr>
              <m:sty m:val="p"/>
            </m:rPr>
            <m:t>=</m:t>
          </m:r>
          <m:f>
            <m:fPr>
              <m:type m:val="bar"/>
            </m:fPr>
            <m:num>
              <m:r>
                <m:t>S</m:t>
              </m:r>
            </m:num>
            <m:den>
              <m:sSub>
                <m:e>
                  <m:r>
                    <m:t>C</m:t>
                  </m:r>
                </m:e>
                <m:sub>
                  <m:r>
                    <m:t>c</m:t>
                  </m:r>
                </m:sub>
              </m:sSub>
            </m:den>
          </m:f>
          <m:r>
            <m:rPr>
              <m:sty m:val="p"/>
            </m:rPr>
            <m:t>+</m:t>
          </m:r>
          <m:f>
            <m:fPr>
              <m:type m:val="bar"/>
            </m:fPr>
            <m:num>
              <m:r>
                <m:t>S</m:t>
              </m:r>
            </m:num>
            <m:den>
              <m:r>
                <m:t>ρ</m:t>
              </m:r>
              <m:r>
                <m:t> </m:t>
              </m:r>
              <m:r>
                <m:t>W</m:t>
              </m:r>
            </m:den>
          </m:f>
          <m:r>
            <m:rPr>
              <m:sty m:val="p"/>
            </m:rPr>
            <m:t>+</m:t>
          </m:r>
          <m:f>
            <m:fPr>
              <m:type m:val="bar"/>
            </m:fPr>
            <m:num>
              <m:r>
                <m:t>S</m:t>
              </m:r>
            </m:num>
            <m:den>
              <m:sSub>
                <m:e>
                  <m:r>
                    <m:t>C</m:t>
                  </m:r>
                </m:e>
                <m:sub>
                  <m:r>
                    <m:t>d</m:t>
                  </m:r>
                </m:sub>
              </m:sSub>
            </m:den>
          </m:f>
          <m:r>
            <m:t>  </m:t>
          </m:r>
          <m:r>
            <m:rPr>
              <m:nor/>
              <m:sty m:val="p"/>
            </m:rPr>
            <m:t>compress if </m:t>
          </m:r>
          <m:f>
            <m:fPr>
              <m:type m:val="bar"/>
            </m:fPr>
            <m:num>
              <m:r>
                <m:t>1</m:t>
              </m:r>
            </m:num>
            <m:den>
              <m:sSub>
                <m:e>
                  <m:r>
                    <m:t>C</m:t>
                  </m:r>
                </m:e>
                <m:sub>
                  <m:r>
                    <m:t>c</m:t>
                  </m:r>
                </m:sub>
              </m:sSub>
            </m:den>
          </m:f>
          <m:r>
            <m:rPr>
              <m:sty m:val="p"/>
            </m:rPr>
            <m:t>+</m:t>
          </m:r>
          <m:f>
            <m:fPr>
              <m:type m:val="bar"/>
            </m:fPr>
            <m:num>
              <m:r>
                <m:t>1</m:t>
              </m:r>
            </m:num>
            <m:den>
              <m:r>
                <m:t>ρ</m:t>
              </m:r>
              <m:r>
                <m:t>W</m:t>
              </m:r>
            </m:den>
          </m:f>
          <m:r>
            <m:rPr>
              <m:sty m:val="p"/>
            </m:rPr>
            <m:t>+</m:t>
          </m:r>
          <m:f>
            <m:fPr>
              <m:type m:val="bar"/>
            </m:fPr>
            <m:num>
              <m:r>
                <m:t>1</m:t>
              </m:r>
            </m:num>
            <m:den>
              <m:sSub>
                <m:e>
                  <m:r>
                    <m:t>C</m:t>
                  </m:r>
                </m:e>
                <m:sub>
                  <m:r>
                    <m:t>d</m:t>
                  </m:r>
                </m:sub>
              </m:sSub>
            </m:den>
          </m:f>
          <m:r>
            <m:rPr>
              <m:sty m:val="p"/>
            </m:rPr>
            <m:t>&lt;</m:t>
          </m:r>
          <m:f>
            <m:fPr>
              <m:type m:val="bar"/>
            </m:fPr>
            <m:num>
              <m:r>
                <m:t>1</m:t>
              </m:r>
            </m:num>
            <m:den>
              <m:r>
                <m:t>W</m:t>
              </m:r>
            </m:den>
          </m:f>
        </m:oMath>
      </m:oMathPara>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S</m:t>
              </m:r>
            </m:oMath>
          </w:p>
        </w:tc>
        <w:tc>
          <w:tcPr/>
          <w:p>
            <w:pPr>
              <w:pStyle w:val="Compact"/>
              <w:jc w:val="left"/>
            </w:pPr>
            <w:r>
              <w:t xml:space="preserve">Uncompressed size</w:t>
            </w:r>
          </w:p>
        </w:tc>
        <w:tc>
          <w:tcPr/>
          <w:p>
            <w:pPr>
              <w:pStyle w:val="Compact"/>
              <w:jc w:val="left"/>
            </w:pPr>
            <w:r>
              <w:t xml:space="preserve">MB</w:t>
            </w:r>
          </w:p>
        </w:tc>
      </w:tr>
      <w:tr>
        <w:tc>
          <w:tcPr/>
          <w:p>
            <w:pPr>
              <w:pStyle w:val="Compact"/>
              <w:jc w:val="left"/>
            </w:pPr>
            <m:oMath>
              <m:r>
                <m:t>W</m:t>
              </m:r>
            </m:oMath>
          </w:p>
        </w:tc>
        <w:tc>
          <w:tcPr/>
          <w:p>
            <w:pPr>
              <w:pStyle w:val="Compact"/>
              <w:jc w:val="left"/>
            </w:pPr>
            <w:r>
              <w:t xml:space="preserve">Network (or disk) bandwidth</w:t>
            </w:r>
          </w:p>
        </w:tc>
        <w:tc>
          <w:tcPr/>
          <w:p>
            <w:pPr>
              <w:pStyle w:val="Compact"/>
              <w:jc w:val="left"/>
            </w:pPr>
            <w:r>
              <w:t xml:space="preserve">MB/s</w:t>
            </w:r>
          </w:p>
        </w:tc>
      </w:tr>
      <w:tr>
        <w:tc>
          <w:tcPr/>
          <w:p>
            <w:pPr>
              <w:pStyle w:val="Compact"/>
              <w:jc w:val="left"/>
            </w:pPr>
            <m:oMath>
              <m:r>
                <m:t>ρ</m:t>
              </m:r>
            </m:oMath>
          </w:p>
        </w:tc>
        <w:tc>
          <w:tcPr/>
          <w:p>
            <w:pPr>
              <w:pStyle w:val="Compact"/>
              <w:jc w:val="left"/>
            </w:pPr>
            <w:r>
              <w:t xml:space="preserve">Compression ratio (original / compressed)</w:t>
            </w:r>
          </w:p>
        </w:tc>
        <w:tc>
          <w:tcPr/>
          <w:p>
            <w:pPr>
              <w:pStyle w:val="Compact"/>
              <w:jc w:val="left"/>
            </w:pPr>
            <w:r>
              <w:t xml:space="preserve">dimensionless</w:t>
            </w:r>
          </w:p>
        </w:tc>
      </w:tr>
      <w:tr>
        <w:tc>
          <w:tcPr/>
          <w:p>
            <w:pPr>
              <w:pStyle w:val="Compact"/>
              <w:jc w:val="left"/>
            </w:pPr>
            <m:oMath>
              <m:sSub>
                <m:e>
                  <m:r>
                    <m:t>C</m:t>
                  </m:r>
                </m:e>
                <m:sub>
                  <m:r>
                    <m:t>c</m:t>
                  </m:r>
                </m:sub>
              </m:sSub>
            </m:oMath>
            <w:r>
              <w:t xml:space="preserve">,</w:t>
            </w:r>
            <w:r>
              <w:t xml:space="preserve"> </w:t>
            </w:r>
            <m:oMath>
              <m:sSub>
                <m:e>
                  <m:r>
                    <m:t>C</m:t>
                  </m:r>
                </m:e>
                <m:sub>
                  <m:r>
                    <m:t>d</m:t>
                  </m:r>
                </m:sub>
              </m:sSub>
            </m:oMath>
          </w:p>
        </w:tc>
        <w:tc>
          <w:tcPr/>
          <w:p>
            <w:pPr>
              <w:pStyle w:val="Compact"/>
              <w:jc w:val="left"/>
            </w:pPr>
            <w:r>
              <w:t xml:space="preserve">Compression and decompression speed</w:t>
            </w:r>
          </w:p>
        </w:tc>
        <w:tc>
          <w:tcPr/>
          <w:p>
            <w:pPr>
              <w:pStyle w:val="Compact"/>
              <w:jc w:val="left"/>
            </w:pPr>
            <w:r>
              <w:t xml:space="preserve">MB/s</w:t>
            </w:r>
          </w:p>
        </w:tc>
      </w:tr>
    </w:tbl>
    <w:p>
      <w:pPr>
        <w:pStyle w:val="BodyText"/>
      </w:pPr>
      <w:r>
        <w:t xml:space="preserve">With streaming, stages overlap and time approaches the</w:t>
      </w:r>
      <w:r>
        <w:t xml:space="preserve"> </w:t>
      </w:r>
      <w:r>
        <w:rPr>
          <w:iCs/>
          <w:i/>
        </w:rPr>
        <w:t xml:space="preserve">slowest</w:t>
      </w:r>
      <w:r>
        <w:t xml:space="preserve"> </w:t>
      </w:r>
      <w:r>
        <w:t xml:space="preserve">stage rather than the sum.</w:t>
      </w:r>
    </w:p>
    <w:p>
      <w:pPr>
        <w:pStyle w:val="CalloutExample"/>
      </w:pPr>
      <w:r>
        <w:rPr>
          <w:bCs/>
          <w:b/>
        </w:rPr>
        <w:t xml:space="preserve">WORKED EXAMPLE</w:t>
      </w:r>
    </w:p>
    <w:p>
      <w:pPr>
        <w:pStyle w:val="CalloutExample"/>
      </w:pPr>
      <w:r>
        <w:rPr>
          <w:bCs/>
          <w:b/>
        </w:rPr>
        <w:t xml:space="preserve">Worked example — Shipping 100 MB.</w:t>
      </w:r>
      <w:r>
        <w:t xml:space="preserve"> </w:t>
      </w:r>
      <w:r>
        <w:t xml:space="preserve">Use Table 23.7.</w:t>
      </w:r>
    </w:p>
    <w:p>
      <w:pPr>
        <w:numPr>
          <w:ilvl w:val="0"/>
          <w:numId w:val="1768"/>
        </w:numPr>
        <w:pStyle w:val="Compact"/>
      </w:pPr>
      <w:r>
        <w:t xml:space="preserve">1 Gb/s link (</w:t>
      </w:r>
      <m:oMath>
        <m:r>
          <m:t>W</m:t>
        </m:r>
        <m:r>
          <m:rPr>
            <m:sty m:val="p"/>
          </m:rPr>
          <m:t>=</m:t>
        </m:r>
        <m:r>
          <m:t>125</m:t>
        </m:r>
      </m:oMath>
      <w:r>
        <w:t xml:space="preserve"> </w:t>
      </w:r>
      <w:r>
        <w:t xml:space="preserve">MB/s): plain</w:t>
      </w:r>
      <w:r>
        <w:t xml:space="preserve"> </w:t>
      </w:r>
      <m:oMath>
        <m:r>
          <m:rPr>
            <m:sty m:val="p"/>
          </m:rPr>
          <m:t>=</m:t>
        </m:r>
        <m:r>
          <m:t>0.80</m:t>
        </m:r>
      </m:oMath>
      <w:r>
        <w:t xml:space="preserve"> </w:t>
      </w:r>
      <w:r>
        <w:t xml:space="preserve">s. lz4:</w:t>
      </w:r>
      <w:r>
        <w:t xml:space="preserve"> </w:t>
      </w:r>
      <m:oMath>
        <m:r>
          <m:t>0.148</m:t>
        </m:r>
        <m:r>
          <m:rPr>
            <m:sty m:val="p"/>
          </m:rPr>
          <m:t>+</m:t>
        </m:r>
        <m:r>
          <m:t>100</m:t>
        </m:r>
        <m:r>
          <m:rPr>
            <m:sty m:val="p"/>
          </m:rPr>
          <m:t>/</m:t>
        </m:r>
        <m:r>
          <m:t>262.6</m:t>
        </m:r>
        <m:r>
          <m:rPr>
            <m:sty m:val="p"/>
          </m:rPr>
          <m:t>+</m:t>
        </m:r>
        <m:r>
          <m:t>0.026</m:t>
        </m:r>
        <m:r>
          <m:rPr>
            <m:sty m:val="p"/>
          </m:rPr>
          <m:t>=</m:t>
        </m:r>
        <m:r>
          <m:t>0.148</m:t>
        </m:r>
        <m:r>
          <m:rPr>
            <m:sty m:val="p"/>
          </m:rPr>
          <m:t>+</m:t>
        </m:r>
        <m:r>
          <m:t>0.381</m:t>
        </m:r>
        <m:r>
          <m:rPr>
            <m:sty m:val="p"/>
          </m:rPr>
          <m:t>+</m:t>
        </m:r>
        <m:r>
          <m:t>0.026</m:t>
        </m:r>
        <m:r>
          <m:rPr>
            <m:sty m:val="p"/>
          </m:rPr>
          <m:t>=</m:t>
        </m:r>
        <m:r>
          <m:t>0.555</m:t>
        </m:r>
      </m:oMath>
      <w:r>
        <w:t xml:space="preserve"> </w:t>
      </w:r>
      <w:r>
        <w:t xml:space="preserve">s. zstd-1:</w:t>
      </w:r>
      <w:r>
        <w:t xml:space="preserve"> </w:t>
      </w:r>
      <m:oMath>
        <m:r>
          <m:t>0.196</m:t>
        </m:r>
        <m:r>
          <m:rPr>
            <m:sty m:val="p"/>
          </m:rPr>
          <m:t>+</m:t>
        </m:r>
        <m:r>
          <m:t>100</m:t>
        </m:r>
        <m:r>
          <m:rPr>
            <m:sty m:val="p"/>
          </m:rPr>
          <m:t>/</m:t>
        </m:r>
        <m:r>
          <m:t>362</m:t>
        </m:r>
        <m:r>
          <m:rPr>
            <m:sty m:val="p"/>
          </m:rPr>
          <m:t>+</m:t>
        </m:r>
        <m:r>
          <m:t>0.065</m:t>
        </m:r>
        <m:r>
          <m:rPr>
            <m:sty m:val="p"/>
          </m:rPr>
          <m:t>=</m:t>
        </m:r>
        <m:r>
          <m:t>0.196</m:t>
        </m:r>
        <m:r>
          <m:rPr>
            <m:sty m:val="p"/>
          </m:rPr>
          <m:t>+</m:t>
        </m:r>
        <m:r>
          <m:t>0.276</m:t>
        </m:r>
        <m:r>
          <m:rPr>
            <m:sty m:val="p"/>
          </m:rPr>
          <m:t>+</m:t>
        </m:r>
        <m:r>
          <m:t>0.065</m:t>
        </m:r>
        <m:r>
          <m:rPr>
            <m:sty m:val="p"/>
          </m:rPr>
          <m:t>=</m:t>
        </m:r>
        <m:r>
          <m:t>0.537</m:t>
        </m:r>
      </m:oMath>
      <w:r>
        <w:t xml:space="preserve"> </w:t>
      </w:r>
      <w:r>
        <w:t xml:space="preserve">s. zlib-1:</w:t>
      </w:r>
      <w:r>
        <w:t xml:space="preserve"> </w:t>
      </w:r>
      <m:oMath>
        <m:r>
          <m:t>0.952</m:t>
        </m:r>
        <m:r>
          <m:rPr>
            <m:sty m:val="p"/>
          </m:rPr>
          <m:t>+</m:t>
        </m:r>
        <m:r>
          <m:t>0.292</m:t>
        </m:r>
        <m:r>
          <m:rPr>
            <m:sty m:val="p"/>
          </m:rPr>
          <m:t>+</m:t>
        </m:r>
        <m:r>
          <m:t>0.256</m:t>
        </m:r>
        <m:r>
          <m:rPr>
            <m:sty m:val="p"/>
          </m:rPr>
          <m:t>=</m:t>
        </m:r>
        <m:r>
          <m:t>1.50</m:t>
        </m:r>
      </m:oMath>
      <w:r>
        <w:t xml:space="preserve"> </w:t>
      </w:r>
      <w:r>
        <w:t xml:space="preserve">s.</w:t>
      </w:r>
    </w:p>
    <w:p>
      <w:pPr>
        <w:numPr>
          <w:ilvl w:val="0"/>
          <w:numId w:val="1768"/>
        </w:numPr>
        <w:pStyle w:val="Compact"/>
      </w:pPr>
      <w:r>
        <w:t xml:space="preserve">10 Gb/s link (</w:t>
      </w:r>
      <m:oMath>
        <m:r>
          <m:t>W</m:t>
        </m:r>
        <m:r>
          <m:rPr>
            <m:sty m:val="p"/>
          </m:rPr>
          <m:t>=</m:t>
        </m:r>
        <m:r>
          <m:t>1</m:t>
        </m:r>
        <m:r>
          <m:rPr>
            <m:sty m:val="p"/>
          </m:rPr>
          <m:t>,</m:t>
        </m:r>
        <m:r>
          <m:t>250</m:t>
        </m:r>
      </m:oMath>
      <w:r>
        <w:t xml:space="preserve"> </w:t>
      </w:r>
      <w:r>
        <w:t xml:space="preserve">MB/s): plain</w:t>
      </w:r>
      <w:r>
        <w:t xml:space="preserve"> </w:t>
      </w:r>
      <m:oMath>
        <m:r>
          <m:rPr>
            <m:sty m:val="p"/>
          </m:rPr>
          <m:t>=</m:t>
        </m:r>
        <m:r>
          <m:t>0.08</m:t>
        </m:r>
      </m:oMath>
      <w:r>
        <w:t xml:space="preserve"> </w:t>
      </w:r>
      <w:r>
        <w:t xml:space="preserve">s; lz4</w:t>
      </w:r>
      <w:r>
        <w:t xml:space="preserve"> </w:t>
      </w:r>
      <m:oMath>
        <m:r>
          <m:rPr>
            <m:sty m:val="p"/>
          </m:rPr>
          <m:t>=</m:t>
        </m:r>
        <m:r>
          <m:t>0.148</m:t>
        </m:r>
        <m:r>
          <m:rPr>
            <m:sty m:val="p"/>
          </m:rPr>
          <m:t>+</m:t>
        </m:r>
        <m:r>
          <m:t>0.038</m:t>
        </m:r>
        <m:r>
          <m:rPr>
            <m:sty m:val="p"/>
          </m:rPr>
          <m:t>+</m:t>
        </m:r>
        <m:r>
          <m:t>0.026</m:t>
        </m:r>
        <m:r>
          <m:rPr>
            <m:sty m:val="p"/>
          </m:rPr>
          <m:t>=</m:t>
        </m:r>
        <m:r>
          <m:t>0.212</m:t>
        </m:r>
      </m:oMath>
      <w:r>
        <w:t xml:space="preserve"> </w:t>
      </w:r>
      <w:r>
        <w:t xml:space="preserve">s; zstd-1</w:t>
      </w:r>
      <w:r>
        <w:t xml:space="preserve"> </w:t>
      </w:r>
      <m:oMath>
        <m:r>
          <m:rPr>
            <m:sty m:val="p"/>
          </m:rPr>
          <m:t>=</m:t>
        </m:r>
        <m:r>
          <m:t>0.196</m:t>
        </m:r>
        <m:r>
          <m:rPr>
            <m:sty m:val="p"/>
          </m:rPr>
          <m:t>+</m:t>
        </m:r>
        <m:r>
          <m:t>0.028</m:t>
        </m:r>
        <m:r>
          <m:rPr>
            <m:sty m:val="p"/>
          </m:rPr>
          <m:t>+</m:t>
        </m:r>
        <m:r>
          <m:t>0.065</m:t>
        </m:r>
        <m:r>
          <m:rPr>
            <m:sty m:val="p"/>
          </m:rPr>
          <m:t>=</m:t>
        </m:r>
        <m:r>
          <m:t>0.288</m:t>
        </m:r>
      </m:oMath>
      <w:r>
        <w:t xml:space="preserve"> </w:t>
      </w:r>
      <w:r>
        <w:t xml:space="preserve">s.</w:t>
      </w:r>
    </w:p>
    <w:p>
      <w:pPr>
        <w:pStyle w:val="CalloutExample"/>
      </w:pPr>
      <w:r>
        <w:rPr>
          <w:bCs/>
          <w:b/>
        </w:rPr>
        <w:t xml:space="preserve">Interpretation.</w:t>
      </w:r>
      <w:r>
        <w:t xml:space="preserve"> </w:t>
      </w:r>
      <w:r>
        <w:t xml:space="preserve">On a 1 Gb/s link, fast compressors cut transfer time by about a third and zlib nearly doubles it; on a 10 Gb/s datacenter link, compression</w:t>
      </w:r>
      <w:r>
        <w:t xml:space="preserve"> </w:t>
      </w:r>
      <w:r>
        <w:rPr>
          <w:iCs/>
          <w:i/>
        </w:rPr>
        <w:t xml:space="preserve">slows</w:t>
      </w:r>
      <w:r>
        <w:t xml:space="preserve"> </w:t>
      </w:r>
      <w:r>
        <w:t xml:space="preserve">a single-stream transfer by 2.6–3.6× (parallel compression across cores narrows the gap).</w:t>
      </w:r>
      <w:r>
        <w:t xml:space="preserve"> </w:t>
      </w:r>
      <w:r>
        <w:rPr>
          <w:bCs/>
          <w:b/>
        </w:rPr>
        <w:t xml:space="preserve">Engineering implication.</w:t>
      </w:r>
      <w:r>
        <w:t xml:space="preserve"> </w:t>
      </w:r>
      <w:r>
        <w:t xml:space="preserve">Compress for slow or metered links, storage and cache capacity, and cross-region traffic (where egress is billed per byte); prefer zstd or lz4 over gzip for machine-to-machine traffic; compress batches rather than single small messages, since ratio improves with more context.</w:t>
      </w:r>
    </w:p>
    <w:bookmarkEnd w:id="2627"/>
    <w:bookmarkEnd w:id="2628"/>
    <w:bookmarkStart w:id="2635" w:name="garbage-collection-and-runtime-effects"/>
    <w:p>
      <w:pPr>
        <w:pStyle w:val="Heading2"/>
      </w:pPr>
      <w:r>
        <w:t xml:space="preserve">23.9 Garbage collection and runtime effects</w:t>
      </w:r>
    </w:p>
    <w:bookmarkStart w:id="2632" w:name="generational-garbage-collection"/>
    <w:p>
      <w:pPr>
        <w:pStyle w:val="Heading3"/>
      </w:pPr>
      <w:r>
        <w:t xml:space="preserve">23.9.1 Generational garbage collection</w:t>
      </w:r>
    </w:p>
    <w:p>
      <w:pPr>
        <w:pStyle w:val="CalloutDefinition"/>
      </w:pPr>
      <w:r>
        <w:rPr>
          <w:bCs/>
          <w:b/>
        </w:rPr>
        <w:t xml:space="preserve">DEFINITION</w:t>
      </w:r>
    </w:p>
    <w:p>
      <w:pPr>
        <w:pStyle w:val="CalloutDefinition"/>
      </w:pPr>
      <w:r>
        <w:rPr>
          <w:bCs/>
          <w:b/>
        </w:rPr>
        <w:t xml:space="preserve">Definition — Garbage collection (GC).</w:t>
      </w:r>
      <w:r>
        <w:t xml:space="preserve"> </w:t>
      </w:r>
      <w:r>
        <w:t xml:space="preserve">Automatic reclamation of heap memory that the program can no longer reach. A</w:t>
      </w:r>
      <w:r>
        <w:t xml:space="preserve"> </w:t>
      </w:r>
      <w:r>
        <w:rPr>
          <w:bCs/>
          <w:b/>
        </w:rPr>
        <w:t xml:space="preserve">tracing</w:t>
      </w:r>
      <w:r>
        <w:t xml:space="preserve"> </w:t>
      </w:r>
      <w:r>
        <w:t xml:space="preserve">collector finds live objects by following references from</w:t>
      </w:r>
      <w:r>
        <w:t xml:space="preserve"> </w:t>
      </w:r>
      <w:r>
        <w:rPr>
          <w:bCs/>
          <w:b/>
        </w:rPr>
        <w:t xml:space="preserve">roots</w:t>
      </w:r>
      <w:r>
        <w:t xml:space="preserve"> </w:t>
      </w:r>
      <w:r>
        <w:t xml:space="preserve">(stacks, globals, registers) and reclaims everything else. A</w:t>
      </w:r>
      <w:r>
        <w:t xml:space="preserve"> </w:t>
      </w:r>
      <w:r>
        <w:rPr>
          <w:bCs/>
          <w:b/>
        </w:rPr>
        <w:t xml:space="preserve">stop-the-world (STW) pause</w:t>
      </w:r>
      <w:r>
        <w:t xml:space="preserve"> </w:t>
      </w:r>
      <w:r>
        <w:t xml:space="preserve">is an interval in which all application threads (the</w:t>
      </w:r>
      <w:r>
        <w:t xml:space="preserve"> </w:t>
      </w:r>
      <w:r>
        <w:rPr>
          <w:bCs/>
          <w:b/>
        </w:rPr>
        <w:t xml:space="preserve">mutator</w:t>
      </w:r>
      <w:r>
        <w:t xml:space="preserve">) are halted so the collector can work on a consistent heap [Jones et al. 2023].</w:t>
      </w:r>
    </w:p>
    <w:p>
      <w:pPr>
        <w:pStyle w:val="BodyText"/>
      </w:pPr>
      <w:r>
        <w:t xml:space="preserve">A restaurant can clear tables while diners eat (concurrent collection) or close the room for ten minutes every hour (stop-the-world): simpler and cheaper overall, but everyone present waits. Most objects die young (request buffers, temporary strings), the</w:t>
      </w:r>
      <w:r>
        <w:t xml:space="preserve"> </w:t>
      </w:r>
      <w:r>
        <w:rPr>
          <w:bCs/>
          <w:b/>
        </w:rPr>
        <w:t xml:space="preserve">weak generational hypothesis</w:t>
      </w:r>
      <w:r>
        <w:t xml:space="preserve">, which motivates</w:t>
      </w:r>
      <w:r>
        <w:t xml:space="preserve"> </w:t>
      </w:r>
      <w:r>
        <w:rPr>
          <w:bCs/>
          <w:b/>
        </w:rPr>
        <w:t xml:space="preserve">generational</w:t>
      </w:r>
      <w:r>
        <w:t xml:space="preserve"> </w:t>
      </w:r>
      <w:r>
        <w:t xml:space="preserve">collection [Ungar 1984]: allocate in a small</w:t>
      </w:r>
      <w:r>
        <w:t xml:space="preserve"> </w:t>
      </w:r>
      <w:r>
        <w:rPr>
          <w:bCs/>
          <w:b/>
        </w:rPr>
        <w:t xml:space="preserve">young generation</w:t>
      </w:r>
      <w:r>
        <w:t xml:space="preserve"> </w:t>
      </w:r>
      <w:r>
        <w:t xml:space="preserve">collected often by copying out the few survivors, and promote long-lived objects to an</w:t>
      </w:r>
      <w:r>
        <w:t xml:space="preserve"> </w:t>
      </w:r>
      <w:r>
        <w:rPr>
          <w:bCs/>
          <w:b/>
        </w:rPr>
        <w:t xml:space="preserve">old generation</w:t>
      </w:r>
      <w:r>
        <w:t xml:space="preserve"> </w:t>
      </w:r>
      <w:r>
        <w:t xml:space="preserve">collected rarely.</w:t>
      </w:r>
    </w:p>
    <w:p>
      <w:pPr>
        <w:pStyle w:val="BodyText"/>
      </w:pPr>
      <w:r>
        <w:rPr>
          <w:bCs/>
          <w:b/>
        </w:rPr>
        <w:t xml:space="preserve">Figure 23.11 — Generational heap.</w:t>
      </w:r>
    </w:p>
    <w:p>
      <w:pPr>
        <w:pStyle w:val="BodyText"/>
      </w:pPr>
      <w:r>
        <w:drawing>
          <wp:inline>
            <wp:extent cx="5334000" cy="625307"/>
            <wp:effectExtent b="0" l="0" r="0" t="0"/>
            <wp:docPr descr="" title="" id="2630" name="Picture"/>
            <a:graphic>
              <a:graphicData uri="http://schemas.openxmlformats.org/drawingml/2006/picture">
                <pic:pic>
                  <pic:nvPicPr>
                    <pic:cNvPr descr="/home/user/System-Design/build/.cache/diagrams/2400a5d91f34.png" id="2631" name="Picture"/>
                    <pic:cNvPicPr>
                      <a:picLocks noChangeArrowheads="1" noChangeAspect="1"/>
                    </pic:cNvPicPr>
                  </pic:nvPicPr>
                  <pic:blipFill>
                    <a:blip r:embed="rId2629"/>
                    <a:stretch>
                      <a:fillRect/>
                    </a:stretch>
                  </pic:blipFill>
                  <pic:spPr bwMode="auto">
                    <a:xfrm>
                      <a:off x="0" y="0"/>
                      <a:ext cx="5334000" cy="625307"/>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Allocation in Eden is a nearly free pointer bump. A minor GC copies live objects to a survivor space and reclaims the rest without touching it, so its cost scales with</w:t>
      </w:r>
      <w:r>
        <w:t xml:space="preserve"> </w:t>
      </w:r>
      <w:r>
        <w:rPr>
          <w:iCs/>
          <w:i/>
        </w:rPr>
        <w:t xml:space="preserve">survivors</w:t>
      </w:r>
      <w:r>
        <w:t xml:space="preserve">, not garbage. Long-lived objects are promoted to the old generation. A</w:t>
      </w:r>
      <w:r>
        <w:t xml:space="preserve"> </w:t>
      </w:r>
      <w:r>
        <w:rPr>
          <w:bCs/>
          <w:b/>
        </w:rPr>
        <w:t xml:space="preserve">write barrier</w:t>
      </w:r>
      <w:r>
        <w:t xml:space="preserve"> </w:t>
      </w:r>
      <w:r>
        <w:t xml:space="preserve">on reference stores records old-to-young pointers in a card table (dotted bookkeeping) so minor GCs need not scan the old generation, which is collected by a major collection, stop-the-world or largely concurrent. Failure points: promotion faster than old-generation collection forces a long full STW collection; a heap too small for the live set causes back-to-back collections.</w:t>
      </w:r>
    </w:p>
    <w:p>
      <w:pPr>
        <w:pStyle w:val="CalloutFormula"/>
      </w:pPr>
      <w:r>
        <w:rPr>
          <w:bCs/>
          <w:b/>
        </w:rPr>
        <w:t xml:space="preserve">FORMULA</w:t>
      </w:r>
    </w:p>
    <w:p>
      <w:pPr>
        <w:pStyle w:val="CalloutFormula"/>
      </w:pPr>
      <w:r>
        <w:rPr>
          <w:bCs/>
          <w:b/>
        </w:rPr>
        <w:t xml:space="preserve">GC frequency and pause exposure</w:t>
      </w:r>
    </w:p>
    <w:p>
      <w:pPr>
        <w:pStyle w:val="CalloutFormula"/>
      </w:pPr>
      <m:oMathPara>
        <m:oMathParaPr>
          <m:jc m:val="center"/>
        </m:oMathParaPr>
        <m:oMath>
          <m:sSub>
            <m:e>
              <m:r>
                <m:t>I</m:t>
              </m:r>
            </m:e>
            <m:sub>
              <m:r>
                <m:rPr>
                  <m:nor/>
                  <m:sty m:val="p"/>
                </m:rPr>
                <m:t>minor</m:t>
              </m:r>
            </m:sub>
          </m:sSub>
          <m:r>
            <m:rPr>
              <m:sty m:val="p"/>
            </m:rPr>
            <m:t>=</m:t>
          </m:r>
          <m:f>
            <m:fPr>
              <m:type m:val="bar"/>
            </m:fPr>
            <m:num>
              <m:r>
                <m:t>E</m:t>
              </m:r>
            </m:num>
            <m:den>
              <m:r>
                <m:t>a</m:t>
              </m:r>
            </m:den>
          </m:f>
          <m:r>
            <m:t>  </m:t>
          </m:r>
          <m:sSub>
            <m:e>
              <m:r>
                <m:t>f</m:t>
              </m:r>
            </m:e>
            <m:sub>
              <m:r>
                <m:rPr>
                  <m:nor/>
                  <m:sty m:val="p"/>
                </m:rPr>
                <m:t>hit</m:t>
              </m:r>
            </m:sub>
          </m:sSub>
          <m:r>
            <m:rPr>
              <m:sty m:val="p"/>
            </m:rPr>
            <m:t>≈</m:t>
          </m:r>
          <m:f>
            <m:fPr>
              <m:type m:val="bar"/>
            </m:fPr>
            <m:num>
              <m:r>
                <m:t>p</m:t>
              </m:r>
              <m:r>
                <m:rPr>
                  <m:sty m:val="p"/>
                </m:rPr>
                <m:t>+</m:t>
              </m:r>
              <m:r>
                <m:t>w</m:t>
              </m:r>
            </m:num>
            <m:den>
              <m:sSub>
                <m:e>
                  <m:r>
                    <m:t>I</m:t>
                  </m:r>
                </m:e>
                <m:sub>
                  <m:r>
                    <m:rPr>
                      <m:nor/>
                      <m:sty m:val="p"/>
                    </m:rPr>
                    <m:t>minor</m:t>
                  </m:r>
                </m:sub>
              </m:sSub>
            </m:den>
          </m:f>
          <m:r>
            <m:t>  </m:t>
          </m:r>
          <m:r>
            <m:rPr>
              <m:nor/>
              <m:sty m:val="p"/>
            </m:rPr>
            <m:t>Go heap target</m:t>
          </m:r>
          <m:r>
            <m:rPr>
              <m:sty m:val="p"/>
            </m:rPr>
            <m:t>=</m:t>
          </m:r>
          <m:sSub>
            <m:e>
              <m:r>
                <m:t>H</m:t>
              </m:r>
            </m:e>
            <m:sub>
              <m:r>
                <m:rPr>
                  <m:nor/>
                  <m:sty m:val="p"/>
                </m:rPr>
                <m:t>live</m:t>
              </m:r>
            </m:sub>
          </m:sSub>
          <m:r>
            <m:rPr>
              <m:sty m:val="p"/>
            </m:rPr>
            <m:t>×</m:t>
          </m:r>
          <m:d>
            <m:dPr>
              <m:begChr m:val="("/>
              <m:endChr m:val=")"/>
              <m:sepChr m:val=""/>
              <m:grow/>
            </m:dPr>
            <m:e>
              <m:r>
                <m:t>1</m:t>
              </m:r>
              <m:r>
                <m:rPr>
                  <m:sty m:val="p"/>
                </m:rPr>
                <m:t>+</m:t>
              </m:r>
              <m:f>
                <m:fPr>
                  <m:type m:val="bar"/>
                </m:fPr>
                <m:num>
                  <m:r>
                    <m:rPr>
                      <m:nor/>
                      <m:sty m:val="p"/>
                    </m:rPr>
                    <m:t>GOGC</m:t>
                  </m:r>
                </m:num>
                <m:den>
                  <m:r>
                    <m:t>100</m:t>
                  </m:r>
                </m:den>
              </m:f>
            </m:e>
          </m:d>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E</m:t>
              </m:r>
            </m:oMath>
          </w:p>
        </w:tc>
        <w:tc>
          <w:tcPr/>
          <w:p>
            <w:pPr>
              <w:pStyle w:val="Compact"/>
              <w:jc w:val="left"/>
            </w:pPr>
            <w:r>
              <w:t xml:space="preserve">Young-generation (Eden) size</w:t>
            </w:r>
          </w:p>
        </w:tc>
        <w:tc>
          <w:tcPr/>
          <w:p>
            <w:pPr>
              <w:pStyle w:val="Compact"/>
              <w:jc w:val="left"/>
            </w:pPr>
            <w:r>
              <w:t xml:space="preserve">MB</w:t>
            </w:r>
          </w:p>
        </w:tc>
      </w:tr>
      <w:tr>
        <w:tc>
          <w:tcPr/>
          <w:p>
            <w:pPr>
              <w:pStyle w:val="Compact"/>
              <w:jc w:val="left"/>
            </w:pPr>
            <m:oMath>
              <m:r>
                <m:t>a</m:t>
              </m:r>
            </m:oMath>
          </w:p>
        </w:tc>
        <w:tc>
          <w:tcPr/>
          <w:p>
            <w:pPr>
              <w:pStyle w:val="Compact"/>
              <w:jc w:val="left"/>
            </w:pPr>
            <w:r>
              <w:t xml:space="preserve">Allocation rate</w:t>
            </w:r>
          </w:p>
        </w:tc>
        <w:tc>
          <w:tcPr/>
          <w:p>
            <w:pPr>
              <w:pStyle w:val="Compact"/>
              <w:jc w:val="left"/>
            </w:pPr>
            <w:r>
              <w:t xml:space="preserve">MB/s</w:t>
            </w:r>
          </w:p>
        </w:tc>
      </w:tr>
      <w:tr>
        <w:tc>
          <w:tcPr/>
          <w:p>
            <w:pPr>
              <w:pStyle w:val="Compact"/>
              <w:jc w:val="left"/>
            </w:pPr>
            <m:oMath>
              <m:sSub>
                <m:e>
                  <m:r>
                    <m:t>I</m:t>
                  </m:r>
                </m:e>
                <m:sub>
                  <m:r>
                    <m:rPr>
                      <m:nor/>
                      <m:sty m:val="p"/>
                    </m:rPr>
                    <m:t>minor</m:t>
                  </m:r>
                </m:sub>
              </m:sSub>
            </m:oMath>
          </w:p>
        </w:tc>
        <w:tc>
          <w:tcPr/>
          <w:p>
            <w:pPr>
              <w:pStyle w:val="Compact"/>
              <w:jc w:val="left"/>
            </w:pPr>
            <w:r>
              <w:t xml:space="preserve">Interval between minor collections</w:t>
            </w:r>
          </w:p>
        </w:tc>
        <w:tc>
          <w:tcPr/>
          <w:p>
            <w:pPr>
              <w:pStyle w:val="Compact"/>
              <w:jc w:val="left"/>
            </w:pPr>
            <w:r>
              <w:t xml:space="preserve">seconds</w:t>
            </w:r>
          </w:p>
        </w:tc>
      </w:tr>
      <w:tr>
        <w:tc>
          <w:tcPr/>
          <w:p>
            <w:pPr>
              <w:pStyle w:val="Compact"/>
              <w:jc w:val="left"/>
            </w:pPr>
            <m:oMath>
              <m:r>
                <m:t>p</m:t>
              </m:r>
            </m:oMath>
          </w:p>
        </w:tc>
        <w:tc>
          <w:tcPr/>
          <w:p>
            <w:pPr>
              <w:pStyle w:val="Compact"/>
              <w:jc w:val="left"/>
            </w:pPr>
            <w:r>
              <w:t xml:space="preserve">STW pause per minor collection</w:t>
            </w:r>
          </w:p>
        </w:tc>
        <w:tc>
          <w:tcPr/>
          <w:p>
            <w:pPr>
              <w:pStyle w:val="Compact"/>
              <w:jc w:val="left"/>
            </w:pPr>
            <w:r>
              <w:t xml:space="preserve">seconds</w:t>
            </w:r>
          </w:p>
        </w:tc>
      </w:tr>
      <w:tr>
        <w:tc>
          <w:tcPr/>
          <w:p>
            <w:pPr>
              <w:pStyle w:val="Compact"/>
              <w:jc w:val="left"/>
            </w:pPr>
            <m:oMath>
              <m:r>
                <m:t>w</m:t>
              </m:r>
            </m:oMath>
          </w:p>
        </w:tc>
        <w:tc>
          <w:tcPr/>
          <w:p>
            <w:pPr>
              <w:pStyle w:val="Compact"/>
              <w:jc w:val="left"/>
            </w:pPr>
            <w:r>
              <w:t xml:space="preserve">Request duration</w:t>
            </w:r>
          </w:p>
        </w:tc>
        <w:tc>
          <w:tcPr/>
          <w:p>
            <w:pPr>
              <w:pStyle w:val="Compact"/>
              <w:jc w:val="left"/>
            </w:pPr>
            <w:r>
              <w:t xml:space="preserve">seconds</w:t>
            </w:r>
          </w:p>
        </w:tc>
      </w:tr>
      <w:tr>
        <w:tc>
          <w:tcPr/>
          <w:p>
            <w:pPr>
              <w:pStyle w:val="Compact"/>
              <w:jc w:val="left"/>
            </w:pPr>
            <m:oMath>
              <m:sSub>
                <m:e>
                  <m:r>
                    <m:t>f</m:t>
                  </m:r>
                </m:e>
                <m:sub>
                  <m:r>
                    <m:rPr>
                      <m:nor/>
                      <m:sty m:val="p"/>
                    </m:rPr>
                    <m:t>hit</m:t>
                  </m:r>
                </m:sub>
              </m:sSub>
            </m:oMath>
          </w:p>
        </w:tc>
        <w:tc>
          <w:tcPr/>
          <w:p>
            <w:pPr>
              <w:pStyle w:val="Compact"/>
              <w:jc w:val="left"/>
            </w:pPr>
            <w:r>
              <w:t xml:space="preserve">Approximate fraction of requests that overlap a pause</w:t>
            </w:r>
          </w:p>
        </w:tc>
        <w:tc>
          <w:tcPr/>
          <w:p>
            <w:pPr>
              <w:pStyle w:val="Compact"/>
              <w:jc w:val="left"/>
            </w:pPr>
            <w:r>
              <w:t xml:space="preserve">dimensionless</w:t>
            </w:r>
          </w:p>
        </w:tc>
      </w:tr>
      <w:tr>
        <w:tc>
          <w:tcPr/>
          <w:p>
            <w:pPr>
              <w:pStyle w:val="Compact"/>
              <w:jc w:val="left"/>
            </w:pPr>
            <m:oMath>
              <m:sSub>
                <m:e>
                  <m:r>
                    <m:t>H</m:t>
                  </m:r>
                </m:e>
                <m:sub>
                  <m:r>
                    <m:rPr>
                      <m:nor/>
                      <m:sty m:val="p"/>
                    </m:rPr>
                    <m:t>live</m:t>
                  </m:r>
                </m:sub>
              </m:sSub>
            </m:oMath>
          </w:p>
        </w:tc>
        <w:tc>
          <w:tcPr/>
          <w:p>
            <w:pPr>
              <w:pStyle w:val="Compact"/>
              <w:jc w:val="left"/>
            </w:pPr>
            <w:r>
              <w:t xml:space="preserve">Live heap after the previous Go collection</w:t>
            </w:r>
          </w:p>
        </w:tc>
        <w:tc>
          <w:tcPr/>
          <w:p>
            <w:pPr>
              <w:pStyle w:val="Compact"/>
              <w:jc w:val="left"/>
            </w:pPr>
            <w:r>
              <w:t xml:space="preserve">MB</w:t>
            </w:r>
          </w:p>
        </w:tc>
      </w:tr>
      <w:tr>
        <w:tc>
          <w:tcPr/>
          <w:p>
            <w:pPr>
              <w:pStyle w:val="Compact"/>
              <w:jc w:val="left"/>
            </w:pPr>
            <w:r>
              <w:t xml:space="preserve">GOGC</w:t>
            </w:r>
          </w:p>
        </w:tc>
        <w:tc>
          <w:tcPr/>
          <w:p>
            <w:pPr>
              <w:pStyle w:val="Compact"/>
              <w:jc w:val="left"/>
            </w:pPr>
            <w:r>
              <w:t xml:space="preserve">Go’s GC percentage setting (default 100)</w:t>
            </w:r>
          </w:p>
        </w:tc>
        <w:tc>
          <w:tcPr/>
          <w:p>
            <w:pPr>
              <w:pStyle w:val="Compact"/>
              <w:jc w:val="left"/>
            </w:pPr>
            <w:r>
              <w:t xml:space="preserve">percent</w:t>
            </w:r>
          </w:p>
        </w:tc>
      </w:tr>
    </w:tbl>
    <w:p>
      <w:pPr>
        <w:pStyle w:val="CalloutExample"/>
      </w:pPr>
      <w:r>
        <w:rPr>
          <w:bCs/>
          <w:b/>
        </w:rPr>
        <w:t xml:space="preserve">WORKED EXAMPLE</w:t>
      </w:r>
    </w:p>
    <w:p>
      <w:pPr>
        <w:pStyle w:val="CalloutExample"/>
      </w:pPr>
      <w:r>
        <w:rPr>
          <w:bCs/>
          <w:b/>
        </w:rPr>
        <w:t xml:space="preserve">Worked example — GC in the tail.</w:t>
      </w:r>
      <w:r>
        <w:t xml:space="preserve"> </w:t>
      </w:r>
      <w:r>
        <w:t xml:space="preserve">A JVM service allocates</w:t>
      </w:r>
      <w:r>
        <w:t xml:space="preserve"> </w:t>
      </w:r>
      <m:oMath>
        <m:r>
          <m:t>a</m:t>
        </m:r>
        <m:r>
          <m:rPr>
            <m:sty m:val="p"/>
          </m:rPr>
          <m:t>=</m:t>
        </m:r>
        <m:r>
          <m:t>500</m:t>
        </m:r>
      </m:oMath>
      <w:r>
        <w:t xml:space="preserve"> </w:t>
      </w:r>
      <w:r>
        <w:t xml:space="preserve">MB/s with a 2 GB Eden; minor pauses are</w:t>
      </w:r>
      <w:r>
        <w:t xml:space="preserve"> </w:t>
      </w:r>
      <m:oMath>
        <m:r>
          <m:t>p</m:t>
        </m:r>
        <m:r>
          <m:rPr>
            <m:sty m:val="p"/>
          </m:rPr>
          <m:t>=</m:t>
        </m:r>
        <m:r>
          <m:t>30</m:t>
        </m:r>
      </m:oMath>
      <w:r>
        <w:t xml:space="preserve"> </w:t>
      </w:r>
      <w:r>
        <w:t xml:space="preserve">ms. Its requests take 5 ms.</w:t>
      </w:r>
    </w:p>
    <w:p>
      <w:pPr>
        <w:numPr>
          <w:ilvl w:val="0"/>
          <w:numId w:val="1769"/>
        </w:numPr>
        <w:pStyle w:val="Compact"/>
      </w:pPr>
      <m:oMath>
        <m:sSub>
          <m:e>
            <m:r>
              <m:t>I</m:t>
            </m:r>
          </m:e>
          <m:sub>
            <m:r>
              <m:rPr>
                <m:nor/>
                <m:sty m:val="p"/>
              </m:rPr>
              <m:t>minor</m:t>
            </m:r>
          </m:sub>
        </m:sSub>
        <m:r>
          <m:rPr>
            <m:sty m:val="p"/>
          </m:rPr>
          <m:t>=</m:t>
        </m:r>
        <m:r>
          <m:t>2</m:t>
        </m:r>
        <m:r>
          <m:rPr>
            <m:sty m:val="p"/>
          </m:rPr>
          <m:t>,</m:t>
        </m:r>
        <m:r>
          <m:t>000</m:t>
        </m:r>
        <m:r>
          <m:rPr>
            <m:sty m:val="p"/>
          </m:rPr>
          <m:t>/</m:t>
        </m:r>
        <m:r>
          <m:t>500</m:t>
        </m:r>
        <m:r>
          <m:rPr>
            <m:sty m:val="p"/>
          </m:rPr>
          <m:t>=</m:t>
        </m:r>
        <m:r>
          <m:t>4</m:t>
        </m:r>
      </m:oMath>
      <w:r>
        <w:t xml:space="preserve"> </w:t>
      </w:r>
      <w:r>
        <w:t xml:space="preserve">s between pauses.</w:t>
      </w:r>
    </w:p>
    <w:p>
      <w:pPr>
        <w:numPr>
          <w:ilvl w:val="0"/>
          <w:numId w:val="1769"/>
        </w:numPr>
        <w:pStyle w:val="Compact"/>
      </w:pPr>
      <w:r>
        <w:t xml:space="preserve">Requests overlapping a pause:</w:t>
      </w:r>
      <w:r>
        <w:t xml:space="preserve"> </w:t>
      </w:r>
      <m:oMath>
        <m:sSub>
          <m:e>
            <m:r>
              <m:t>f</m:t>
            </m:r>
          </m:e>
          <m:sub>
            <m:r>
              <m:rPr>
                <m:nor/>
                <m:sty m:val="p"/>
              </m:rPr>
              <m:t>hit</m:t>
            </m:r>
          </m:sub>
        </m:sSub>
        <m:r>
          <m:rPr>
            <m:sty m:val="p"/>
          </m:rPr>
          <m:t>≈</m:t>
        </m:r>
        <m:d>
          <m:dPr>
            <m:begChr m:val="("/>
            <m:endChr m:val=")"/>
            <m:sepChr m:val=""/>
            <m:grow/>
          </m:dPr>
          <m:e>
            <m:r>
              <m:t>30</m:t>
            </m:r>
            <m:r>
              <m:rPr>
                <m:sty m:val="p"/>
              </m:rPr>
              <m:t>+</m:t>
            </m:r>
            <m:r>
              <m:t>5</m:t>
            </m:r>
          </m:e>
        </m:d>
        <m:r>
          <m:rPr>
            <m:sty m:val="p"/>
          </m:rPr>
          <m:t>/</m:t>
        </m:r>
        <m:r>
          <m:t>4</m:t>
        </m:r>
        <m:r>
          <m:rPr>
            <m:sty m:val="p"/>
          </m:rPr>
          <m:t>,</m:t>
        </m:r>
        <m:r>
          <m:t>000</m:t>
        </m:r>
        <m:r>
          <m:rPr>
            <m:sty m:val="p"/>
          </m:rPr>
          <m:t>≈</m:t>
        </m:r>
        <m:r>
          <m:t>0.9</m:t>
        </m:r>
        <m:r>
          <m:rPr>
            <m:sty m:val="p"/>
          </m:rPr>
          <m:t>%</m:t>
        </m:r>
      </m:oMath>
      <w:r>
        <w:t xml:space="preserve"> </w:t>
      </w:r>
      <w:r>
        <w:t xml:space="preserve">(in flight when it starts, or arriving during it), each delayed by up to 30 ms.</w:t>
      </w:r>
    </w:p>
    <w:p>
      <w:pPr>
        <w:numPr>
          <w:ilvl w:val="0"/>
          <w:numId w:val="1769"/>
        </w:numPr>
        <w:pStyle w:val="Compact"/>
      </w:pPr>
      <w:r>
        <w:t xml:space="preserve">So the service’s p99 sits at the edge of the GC effect and its p99.9 includes most of a full pause; at 100-way fan-out, most root requests (</w:t>
      </w:r>
      <m:oMath>
        <m:r>
          <m:t>1</m:t>
        </m:r>
        <m:r>
          <m:rPr>
            <m:sty m:val="p"/>
          </m:rPr>
          <m:t>−</m:t>
        </m:r>
        <m:sSup>
          <m:e>
            <m:r>
              <m:t>0.99125</m:t>
            </m:r>
          </m:e>
          <m:sup>
            <m:r>
              <m:t>100</m:t>
            </m:r>
          </m:sup>
        </m:sSup>
        <m:r>
          <m:rPr>
            <m:sty m:val="p"/>
          </m:rPr>
          <m:t>≈</m:t>
        </m:r>
        <m:r>
          <m:t>58</m:t>
        </m:r>
        <m:r>
          <m:rPr>
            <m:sty m:val="p"/>
          </m:rPr>
          <m:t>%</m:t>
        </m:r>
      </m:oMath>
      <w:r>
        <w:t xml:space="preserve">) see one.</w:t>
      </w:r>
    </w:p>
    <w:p>
      <w:pPr>
        <w:numPr>
          <w:ilvl w:val="0"/>
          <w:numId w:val="1769"/>
        </w:numPr>
        <w:pStyle w:val="Compact"/>
      </w:pPr>
      <w:r>
        <w:t xml:space="preserve">Halving the allocation rate doubles the interval and halves the exposure. For a Go service with 1 GB live heap and GOGC = 100, the heap grows to</w:t>
      </w:r>
      <w:r>
        <w:t xml:space="preserve"> </w:t>
      </w:r>
      <m:oMath>
        <m:r>
          <m:t>1</m:t>
        </m:r>
        <m:r>
          <m:rPr>
            <m:sty m:val="p"/>
          </m:rPr>
          <m:t>×</m:t>
        </m:r>
        <m:r>
          <m:t>2</m:t>
        </m:r>
        <m:r>
          <m:rPr>
            <m:sty m:val="p"/>
          </m:rPr>
          <m:t>=</m:t>
        </m:r>
        <m:r>
          <m:t>2</m:t>
        </m:r>
      </m:oMath>
      <w:r>
        <w:t xml:space="preserve"> </w:t>
      </w:r>
      <w:r>
        <w:t xml:space="preserve">GB before the next cycle; GOGC = 50 caps it at 1.5 GB but runs GC twice as often.</w:t>
      </w:r>
    </w:p>
    <w:p>
      <w:pPr>
        <w:pStyle w:val="CalloutExample"/>
      </w:pPr>
      <w:r>
        <w:rPr>
          <w:bCs/>
          <w:b/>
        </w:rPr>
        <w:t xml:space="preserve">Interpretation.</w:t>
      </w:r>
      <w:r>
        <w:t xml:space="preserve"> </w:t>
      </w:r>
      <w:r>
        <w:t xml:space="preserve">GC pauses are a</w:t>
      </w:r>
      <w:r>
        <w:t xml:space="preserve"> </w:t>
      </w:r>
      <w:r>
        <w:rPr>
          <w:iCs/>
          <w:i/>
        </w:rPr>
        <w:t xml:space="preserve">rate</w:t>
      </w:r>
      <w:r>
        <w:t xml:space="preserve"> </w:t>
      </w:r>
      <w:r>
        <w:t xml:space="preserve">problem (how often) times a</w:t>
      </w:r>
      <w:r>
        <w:t xml:space="preserve"> </w:t>
      </w:r>
      <w:r>
        <w:rPr>
          <w:iCs/>
          <w:i/>
        </w:rPr>
        <w:t xml:space="preserve">size</w:t>
      </w:r>
      <w:r>
        <w:t xml:space="preserve"> </w:t>
      </w:r>
      <w:r>
        <w:t xml:space="preserve">problem (how long).</w:t>
      </w:r>
      <w:r>
        <w:t xml:space="preserve"> </w:t>
      </w:r>
      <w:r>
        <w:rPr>
          <w:bCs/>
          <w:b/>
        </w:rPr>
        <w:t xml:space="preserve">Engineering implication.</w:t>
      </w:r>
      <w:r>
        <w:t xml:space="preserve"> </w:t>
      </w:r>
      <w:r>
        <w:t xml:space="preserve">Reduce allocation first (it lowers both CPU and pause frequency), then choose a collector whose pause behavior fits the SLO.</w:t>
      </w:r>
    </w:p>
    <w:bookmarkEnd w:id="2632"/>
    <w:bookmarkStart w:id="2633" w:name="collectors-in-practice"/>
    <w:p>
      <w:pPr>
        <w:pStyle w:val="Heading3"/>
      </w:pPr>
      <w:r>
        <w:t xml:space="preserve">23.9.2 Collectors in practice</w:t>
      </w:r>
    </w:p>
    <w:p>
      <w:pPr>
        <w:pStyle w:val="FirstParagraph"/>
      </w:pPr>
      <w:r>
        <w:rPr>
          <w:bCs/>
          <w:b/>
        </w:rPr>
        <w:t xml:space="preserve">Table 23.8 — Production collectors (as of 2026).</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Collector</w:t>
            </w:r>
          </w:p>
        </w:tc>
        <w:tc>
          <w:tcPr/>
          <w:p>
            <w:pPr>
              <w:pStyle w:val="Compact"/>
              <w:jc w:val="left"/>
            </w:pPr>
            <w:r>
              <w:t xml:space="preserve">Runtime</w:t>
            </w:r>
          </w:p>
        </w:tc>
        <w:tc>
          <w:tcPr/>
          <w:p>
            <w:pPr>
              <w:pStyle w:val="Compact"/>
              <w:jc w:val="left"/>
            </w:pPr>
            <w:r>
              <w:t xml:space="preserve">Approach</w:t>
            </w:r>
          </w:p>
        </w:tc>
        <w:tc>
          <w:tcPr/>
          <w:p>
            <w:pPr>
              <w:pStyle w:val="Compact"/>
              <w:jc w:val="left"/>
            </w:pPr>
            <w:r>
              <w:t xml:space="preserve">Pause behavior</w:t>
            </w:r>
          </w:p>
        </w:tc>
        <w:tc>
          <w:tcPr/>
          <w:p>
            <w:pPr>
              <w:pStyle w:val="Compact"/>
              <w:jc w:val="left"/>
            </w:pPr>
            <w:r>
              <w:t xml:space="preserve">Choose when</w:t>
            </w:r>
          </w:p>
        </w:tc>
      </w:tr>
      <w:tr>
        <w:tc>
          <w:tcPr/>
          <w:p>
            <w:pPr>
              <w:pStyle w:val="Compact"/>
              <w:jc w:val="left"/>
            </w:pPr>
            <w:r>
              <w:t xml:space="preserve">Parallel</w:t>
            </w:r>
          </w:p>
        </w:tc>
        <w:tc>
          <w:tcPr/>
          <w:p>
            <w:pPr>
              <w:pStyle w:val="Compact"/>
              <w:jc w:val="left"/>
            </w:pPr>
            <w:r>
              <w:t xml:space="preserve">JVM</w:t>
            </w:r>
          </w:p>
        </w:tc>
        <w:tc>
          <w:tcPr/>
          <w:p>
            <w:pPr>
              <w:pStyle w:val="Compact"/>
              <w:jc w:val="left"/>
            </w:pPr>
            <w:r>
              <w:t xml:space="preserve">Generational, STW, multi-threaded</w:t>
            </w:r>
          </w:p>
        </w:tc>
        <w:tc>
          <w:tcPr/>
          <w:p>
            <w:pPr>
              <w:pStyle w:val="Compact"/>
              <w:jc w:val="left"/>
            </w:pPr>
            <w:r>
              <w:t xml:space="preserve">Long pauses, best throughput</w:t>
            </w:r>
          </w:p>
        </w:tc>
        <w:tc>
          <w:tcPr/>
          <w:p>
            <w:pPr>
              <w:pStyle w:val="Compact"/>
              <w:jc w:val="left"/>
            </w:pPr>
            <w:r>
              <w:t xml:space="preserve">Batch jobs where latency is irrelevant</w:t>
            </w:r>
          </w:p>
        </w:tc>
      </w:tr>
      <w:tr>
        <w:tc>
          <w:tcPr/>
          <w:p>
            <w:pPr>
              <w:pStyle w:val="Compact"/>
              <w:jc w:val="left"/>
            </w:pPr>
            <w:r>
              <w:t xml:space="preserve">G1</w:t>
            </w:r>
          </w:p>
        </w:tc>
        <w:tc>
          <w:tcPr/>
          <w:p>
            <w:pPr>
              <w:pStyle w:val="Compact"/>
              <w:jc w:val="left"/>
            </w:pPr>
            <w:r>
              <w:t xml:space="preserve">JVM (default since JDK 9)</w:t>
            </w:r>
          </w:p>
        </w:tc>
        <w:tc>
          <w:tcPr/>
          <w:p>
            <w:pPr>
              <w:pStyle w:val="Compact"/>
              <w:jc w:val="left"/>
            </w:pPr>
            <w:r>
              <w:t xml:space="preserve">Region-based, generational, mostly concurrent marking, STW evacuation</w:t>
            </w:r>
          </w:p>
        </w:tc>
        <w:tc>
          <w:tcPr/>
          <w:p>
            <w:pPr>
              <w:pStyle w:val="Compact"/>
              <w:jc w:val="left"/>
            </w:pPr>
            <w:r>
              <w:t xml:space="preserve">Pause-time</w:t>
            </w:r>
            <w:r>
              <w:t xml:space="preserve"> </w:t>
            </w:r>
            <w:r>
              <w:rPr>
                <w:iCs/>
                <w:i/>
              </w:rPr>
              <w:t xml:space="preserve">goal</w:t>
            </w:r>
            <w:r>
              <w:t xml:space="preserve"> </w:t>
            </w:r>
            <w:r>
              <w:t xml:space="preserve">(default 200 ms), typically tens of ms</w:t>
            </w:r>
          </w:p>
        </w:tc>
        <w:tc>
          <w:tcPr/>
          <w:p>
            <w:pPr>
              <w:pStyle w:val="Compact"/>
              <w:jc w:val="left"/>
            </w:pPr>
            <w:r>
              <w:t xml:space="preserve">General-purpose services</w:t>
            </w:r>
          </w:p>
        </w:tc>
      </w:tr>
      <w:tr>
        <w:tc>
          <w:tcPr/>
          <w:p>
            <w:pPr>
              <w:pStyle w:val="Compact"/>
              <w:jc w:val="left"/>
            </w:pPr>
            <w:r>
              <w:t xml:space="preserve">ZGC</w:t>
            </w:r>
          </w:p>
        </w:tc>
        <w:tc>
          <w:tcPr/>
          <w:p>
            <w:pPr>
              <w:pStyle w:val="Compact"/>
              <w:jc w:val="left"/>
            </w:pPr>
            <w:r>
              <w:t xml:space="preserve">JVM (production since JDK 15; generational since JDK 21)</w:t>
            </w:r>
          </w:p>
        </w:tc>
        <w:tc>
          <w:tcPr/>
          <w:p>
            <w:pPr>
              <w:pStyle w:val="Compact"/>
              <w:jc w:val="left"/>
            </w:pPr>
            <w:r>
              <w:t xml:space="preserve">Concurrent marking and relocation with load barriers</w:t>
            </w:r>
          </w:p>
        </w:tc>
        <w:tc>
          <w:tcPr/>
          <w:p>
            <w:pPr>
              <w:pStyle w:val="Compact"/>
              <w:jc w:val="left"/>
            </w:pPr>
            <w:r>
              <w:t xml:space="preserve">Sub-millisecond pauses independent of heap size</w:t>
            </w:r>
          </w:p>
        </w:tc>
        <w:tc>
          <w:tcPr/>
          <w:p>
            <w:pPr>
              <w:pStyle w:val="Compact"/>
              <w:jc w:val="left"/>
            </w:pPr>
            <w:r>
              <w:t xml:space="preserve">Large heaps with strict tail SLOs</w:t>
            </w:r>
          </w:p>
        </w:tc>
      </w:tr>
      <w:tr>
        <w:tc>
          <w:tcPr/>
          <w:p>
            <w:pPr>
              <w:pStyle w:val="Compact"/>
              <w:jc w:val="left"/>
            </w:pPr>
            <w:r>
              <w:t xml:space="preserve">Shenandoah</w:t>
            </w:r>
          </w:p>
        </w:tc>
        <w:tc>
          <w:tcPr/>
          <w:p>
            <w:pPr>
              <w:pStyle w:val="Compact"/>
              <w:jc w:val="left"/>
            </w:pPr>
            <w:r>
              <w:t xml:space="preserve">JVM (production since JDK 15, in some builds)</w:t>
            </w:r>
          </w:p>
        </w:tc>
        <w:tc>
          <w:tcPr/>
          <w:p>
            <w:pPr>
              <w:pStyle w:val="Compact"/>
              <w:jc w:val="left"/>
            </w:pPr>
            <w:r>
              <w:t xml:space="preserve">Concurrent compaction with barriers</w:t>
            </w:r>
          </w:p>
        </w:tc>
        <w:tc>
          <w:tcPr/>
          <w:p>
            <w:pPr>
              <w:pStyle w:val="Compact"/>
              <w:jc w:val="left"/>
            </w:pPr>
            <w:r>
              <w:t xml:space="preserve">Short pauses independent of heap size</w:t>
            </w:r>
          </w:p>
        </w:tc>
        <w:tc>
          <w:tcPr/>
          <w:p>
            <w:pPr>
              <w:pStyle w:val="Compact"/>
              <w:jc w:val="left"/>
            </w:pPr>
            <w:r>
              <w:t xml:space="preserve">Similar to ZGC</w:t>
            </w:r>
          </w:p>
        </w:tc>
      </w:tr>
      <w:tr>
        <w:tc>
          <w:tcPr/>
          <w:p>
            <w:pPr>
              <w:pStyle w:val="Compact"/>
              <w:jc w:val="left"/>
            </w:pPr>
            <w:r>
              <w:t xml:space="preserve">Go GC</w:t>
            </w:r>
          </w:p>
        </w:tc>
        <w:tc>
          <w:tcPr/>
          <w:p>
            <w:pPr>
              <w:pStyle w:val="Compact"/>
              <w:jc w:val="left"/>
            </w:pPr>
            <w:r>
              <w:t xml:space="preserve">Go</w:t>
            </w:r>
          </w:p>
        </w:tc>
        <w:tc>
          <w:tcPr/>
          <w:p>
            <w:pPr>
              <w:pStyle w:val="Compact"/>
              <w:jc w:val="left"/>
            </w:pPr>
            <w:r>
              <w:t xml:space="preserve">Concurrent, non-generational, non-moving mark-sweep</w:t>
            </w:r>
          </w:p>
        </w:tc>
        <w:tc>
          <w:tcPr/>
          <w:p>
            <w:pPr>
              <w:pStyle w:val="Compact"/>
              <w:jc w:val="left"/>
            </w:pPr>
            <w:r>
              <w:t xml:space="preserve">Short STW phases;</w:t>
            </w:r>
            <w:r>
              <w:t xml:space="preserve"> </w:t>
            </w:r>
            <w:r>
              <w:rPr>
                <w:iCs/>
                <w:i/>
              </w:rPr>
              <w:t xml:space="preserve">GC assist</w:t>
            </w:r>
            <w:r>
              <w:t xml:space="preserve"> </w:t>
            </w:r>
            <w:r>
              <w:t xml:space="preserve">slows allocating goroutines</w:t>
            </w:r>
          </w:p>
        </w:tc>
        <w:tc>
          <w:tcPr/>
          <w:p>
            <w:pPr>
              <w:pStyle w:val="Compact"/>
              <w:jc w:val="left"/>
            </w:pPr>
            <w:r>
              <w:t xml:space="preserve">Default; tune GOGC and GOMEMLIMIT</w:t>
            </w:r>
          </w:p>
        </w:tc>
      </w:tr>
      <w:tr>
        <w:tc>
          <w:tcPr/>
          <w:p>
            <w:pPr>
              <w:pStyle w:val="Compact"/>
              <w:jc w:val="left"/>
            </w:pPr>
            <w:r>
              <w:t xml:space="preserve">CPython</w:t>
            </w:r>
          </w:p>
        </w:tc>
        <w:tc>
          <w:tcPr/>
          <w:p>
            <w:pPr>
              <w:pStyle w:val="Compact"/>
              <w:jc w:val="left"/>
            </w:pPr>
            <w:r>
              <w:t xml:space="preserve">Python</w:t>
            </w:r>
          </w:p>
        </w:tc>
        <w:tc>
          <w:tcPr/>
          <w:p>
            <w:pPr>
              <w:pStyle w:val="Compact"/>
              <w:jc w:val="left"/>
            </w:pPr>
            <w:r>
              <w:t xml:space="preserve">Reference counting plus a cycle collector</w:t>
            </w:r>
          </w:p>
        </w:tc>
        <w:tc>
          <w:tcPr/>
          <w:p>
            <w:pPr>
              <w:pStyle w:val="Compact"/>
              <w:jc w:val="left"/>
            </w:pPr>
            <w:r>
              <w:t xml:space="preserve">Immediate frees; occasional cycle-collection pauses</w:t>
            </w:r>
          </w:p>
        </w:tc>
        <w:tc>
          <w:tcPr/>
          <w:p>
            <w:pPr>
              <w:pStyle w:val="Compact"/>
              <w:jc w:val="left"/>
            </w:pPr>
            <w:r>
              <w:t xml:space="preserve">Default</w:t>
            </w:r>
          </w:p>
        </w:tc>
      </w:tr>
    </w:tbl>
    <w:p>
      <w:pPr>
        <w:pStyle w:val="BodyText"/>
      </w:pPr>
      <w:r>
        <w:t xml:space="preserve">Concurrent collectors trade throughput and memory for short pauses: they add barriers to reference loads or stores, consume CPU for collector threads (Go’s targets about 25% of available CPU during marking) and need heap headroom. Go 1.19 added</w:t>
      </w:r>
      <w:r>
        <w:t xml:space="preserve"> </w:t>
      </w:r>
      <w:r>
        <w:rPr>
          <w:rStyle w:val="VerbatimChar"/>
        </w:rPr>
        <w:t xml:space="preserve">GOMEMLIMIT</w:t>
      </w:r>
      <w:r>
        <w:t xml:space="preserve">, a soft limit that makes the collector run more often near it, which suits containers [Go GC Guide].</w:t>
      </w:r>
    </w:p>
    <w:bookmarkEnd w:id="2633"/>
    <w:bookmarkStart w:id="2634" w:name="jit-warm-up-and-other-runtime-effects"/>
    <w:p>
      <w:pPr>
        <w:pStyle w:val="Heading3"/>
      </w:pPr>
      <w:r>
        <w:t xml:space="preserve">23.9.3 JIT warm-up and other runtime effects</w:t>
      </w:r>
    </w:p>
    <w:p>
      <w:pPr>
        <w:pStyle w:val="FirstParagraph"/>
      </w:pPr>
      <w:r>
        <w:t xml:space="preserve">A</w:t>
      </w:r>
      <w:r>
        <w:t xml:space="preserve"> </w:t>
      </w:r>
      <w:r>
        <w:rPr>
          <w:bCs/>
          <w:b/>
        </w:rPr>
        <w:t xml:space="preserve">just-in-time (JIT)</w:t>
      </w:r>
      <w:r>
        <w:t xml:space="preserve"> </w:t>
      </w:r>
      <w:r>
        <w:t xml:space="preserve">compiler (JVM, .NET, JavaScript engines) interprets code first, profiles it and compiles hot methods with increasing optimization, so a fresh instance runs several times slower for seconds to minutes. Every deployment and autoscaling event therefore causes a p99 spike, and tests without warm-up misstate steady-state performance. Mitigations: replay warm-up traffic before marking an instance ready, ramp traffic with load-balancer</w:t>
      </w:r>
      <w:r>
        <w:t xml:space="preserve"> </w:t>
      </w:r>
      <w:r>
        <w:rPr>
          <w:bCs/>
          <w:b/>
        </w:rPr>
        <w:t xml:space="preserve">slow start</w:t>
      </w:r>
      <w:r>
        <w:t xml:space="preserve"> </w:t>
      </w:r>
      <w:r>
        <w:t xml:space="preserve">(Chapter 19), or use ahead-of-time compilation and class-data sharing.</w:t>
      </w:r>
    </w:p>
    <w:p>
      <w:pPr>
        <w:pStyle w:val="CalloutRecommendation"/>
      </w:pPr>
      <w:r>
        <w:rPr>
          <w:bCs/>
          <w:b/>
        </w:rPr>
        <w:t xml:space="preserve">RECOMMENDATION</w:t>
      </w:r>
    </w:p>
    <w:p>
      <w:pPr>
        <w:pStyle w:val="CalloutRecommendation"/>
      </w:pPr>
      <w:r>
        <w:rPr>
          <w:bCs/>
          <w:b/>
        </w:rPr>
        <w:t xml:space="preserve">GC and runtime tuning heuristics.</w:t>
      </w:r>
    </w:p>
    <w:p>
      <w:pPr>
        <w:numPr>
          <w:ilvl w:val="0"/>
          <w:numId w:val="1770"/>
        </w:numPr>
        <w:pStyle w:val="Compact"/>
      </w:pPr>
      <w:r>
        <w:t xml:space="preserve">Measure before tuning: enable GC logging (</w:t>
      </w:r>
      <w:r>
        <w:rPr>
          <w:rStyle w:val="VerbatimChar"/>
        </w:rPr>
        <w:t xml:space="preserve">-Xlog:gc*</w:t>
      </w:r>
      <w:r>
        <w:t xml:space="preserve"> </w:t>
      </w:r>
      <w:r>
        <w:t xml:space="preserve">on the JVM,</w:t>
      </w:r>
      <w:r>
        <w:t xml:space="preserve"> </w:t>
      </w:r>
      <w:r>
        <w:rPr>
          <w:rStyle w:val="VerbatimChar"/>
        </w:rPr>
        <w:t xml:space="preserve">GODEBUG=gctrace=1</w:t>
      </w:r>
      <w:r>
        <w:t xml:space="preserve"> </w:t>
      </w:r>
      <w:r>
        <w:t xml:space="preserve">in Go) and plot pause durations and frequency against latency percentiles.</w:t>
      </w:r>
    </w:p>
    <w:p>
      <w:pPr>
        <w:numPr>
          <w:ilvl w:val="0"/>
          <w:numId w:val="1770"/>
        </w:numPr>
        <w:pStyle w:val="Compact"/>
      </w:pPr>
      <w:r>
        <w:t xml:space="preserve">Reduce allocation rate with an allocation profiler (§23.4.5): reuse buffers, avoid boxing, stream instead of materializing.</w:t>
      </w:r>
    </w:p>
    <w:p>
      <w:pPr>
        <w:numPr>
          <w:ilvl w:val="0"/>
          <w:numId w:val="1770"/>
        </w:numPr>
        <w:pStyle w:val="Compact"/>
      </w:pPr>
      <w:r>
        <w:t xml:space="preserve">Give the collector headroom: a heap of a few times the live set is a common starting point; a nearly full heap means frequent collections.</w:t>
      </w:r>
    </w:p>
    <w:p>
      <w:pPr>
        <w:numPr>
          <w:ilvl w:val="0"/>
          <w:numId w:val="1770"/>
        </w:numPr>
        <w:pStyle w:val="Compact"/>
      </w:pPr>
      <w:r>
        <w:t xml:space="preserve">Pick the collector by goal: throughput (Parallel), balanced (G1), tail latency on large heaps (ZGC or Shenandoah).</w:t>
      </w:r>
    </w:p>
    <w:p>
      <w:pPr>
        <w:numPr>
          <w:ilvl w:val="0"/>
          <w:numId w:val="1770"/>
        </w:numPr>
        <w:pStyle w:val="Compact"/>
      </w:pPr>
      <w:r>
        <w:t xml:space="preserve">In containers, set the heap from the container limit (for example</w:t>
      </w:r>
      <w:r>
        <w:t xml:space="preserve"> </w:t>
      </w:r>
      <w:r>
        <w:rPr>
          <w:rStyle w:val="VerbatimChar"/>
        </w:rPr>
        <w:t xml:space="preserve">-XX:MaxRAMPercentage</w:t>
      </w:r>
      <w:r>
        <w:t xml:space="preserve">, or</w:t>
      </w:r>
      <w:r>
        <w:t xml:space="preserve"> </w:t>
      </w:r>
      <w:r>
        <w:rPr>
          <w:rStyle w:val="VerbatimChar"/>
        </w:rPr>
        <w:t xml:space="preserve">GOMEMLIMIT</w:t>
      </w:r>
      <w:r>
        <w:t xml:space="preserve"> </w:t>
      </w:r>
      <w:r>
        <w:t xml:space="preserve">below the cgroup limit) so the runtime is not killed before it collects.</w:t>
      </w:r>
    </w:p>
    <w:p>
      <w:pPr>
        <w:pStyle w:val="CalloutIndustry"/>
      </w:pPr>
      <w:r>
        <w:rPr>
          <w:bCs/>
          <w:b/>
        </w:rPr>
        <w:t xml:space="preserve">INDUSTRY EXAMPLE</w:t>
      </w:r>
    </w:p>
    <w:p>
      <w:pPr>
        <w:pStyle w:val="CalloutIndustry"/>
      </w:pPr>
      <w:r>
        <w:rPr>
          <w:bCs/>
          <w:b/>
        </w:rPr>
        <w:t xml:space="preserve">Discord — GC spikes in a Go service.</w:t>
      </w:r>
      <w:r>
        <w:t xml:space="preserve"> </w:t>
      </w:r>
      <w:r>
        <w:t xml:space="preserve">Discord described a Go service holding a large in-memory cache that showed latency spikes about every two minutes. The cause was Go’s forced garbage collection, which runs at least every two minutes even when little garbage exists; each cycle had to scan the large cache. Tuning reduced but did not remove the effect, and the team rewrote the service in Rust, which has no garbage collector, eliminating the spikes. Trade-off: a rewrite removed the runtime cause at significant engineering cost; reducing the number of heap pointers to scan is the usual cheaper alternative.</w:t>
      </w:r>
      <w:r>
        <w:t xml:space="preserve"> </w:t>
      </w:r>
      <w:r>
        <w:rPr>
          <w:iCs/>
          <w:i/>
        </w:rPr>
        <w:t xml:space="preserve">Evidence: Primary</w:t>
      </w:r>
      <w:r>
        <w:t xml:space="preserve"> </w:t>
      </w:r>
      <w:r>
        <w:t xml:space="preserve">— [Howarth 2020]</w:t>
      </w:r>
    </w:p>
    <w:bookmarkEnd w:id="2634"/>
    <w:bookmarkEnd w:id="2635"/>
    <w:bookmarkStart w:id="2642" w:name="capacity-models-from-measurements"/>
    <w:p>
      <w:pPr>
        <w:pStyle w:val="Heading2"/>
      </w:pPr>
      <w:r>
        <w:t xml:space="preserve">23.10 Capacity models from measurements</w:t>
      </w:r>
    </w:p>
    <w:bookmarkStart w:id="2639" w:name="from-benchmark-to-fleet"/>
    <w:p>
      <w:pPr>
        <w:pStyle w:val="Heading3"/>
      </w:pPr>
      <w:r>
        <w:t xml:space="preserve">23.10.1 From benchmark to fleet</w:t>
      </w:r>
    </w:p>
    <w:p>
      <w:pPr>
        <w:pStyle w:val="FirstParagraph"/>
      </w:pPr>
      <w:r>
        <w:t xml:space="preserve">Section 4.13 introduced the Universal Scalability Law (USL) with known coefficients. In practice you</w:t>
      </w:r>
      <w:r>
        <w:t xml:space="preserve"> </w:t>
      </w:r>
      <w:r>
        <w:rPr>
          <w:iCs/>
          <w:i/>
        </w:rPr>
        <w:t xml:space="preserve">measure</w:t>
      </w:r>
      <w:r>
        <w:t xml:space="preserve"> </w:t>
      </w:r>
      <w:r>
        <w:t xml:space="preserve">throughput at several concurrency levels,</w:t>
      </w:r>
      <w:r>
        <w:t xml:space="preserve"> </w:t>
      </w:r>
      <w:r>
        <w:rPr>
          <w:iCs/>
          <w:i/>
        </w:rPr>
        <w:t xml:space="preserve">fit</w:t>
      </w:r>
      <w:r>
        <w:t xml:space="preserve"> </w:t>
      </w:r>
      <w:r>
        <w:t xml:space="preserve">the coefficients, and use the fitted model to predict the peak, choose an operating point and size the fleet [Gunther 2007].</w:t>
      </w:r>
    </w:p>
    <w:p>
      <w:pPr>
        <w:pStyle w:val="BodyText"/>
      </w:pPr>
      <w:r>
        <w:rPr>
          <w:bCs/>
          <w:b/>
        </w:rPr>
        <w:t xml:space="preserve">Figure 23.12 — Capacity modeling workflow.</w:t>
      </w:r>
    </w:p>
    <w:p>
      <w:pPr>
        <w:pStyle w:val="BodyText"/>
      </w:pPr>
      <w:r>
        <w:drawing>
          <wp:inline>
            <wp:extent cx="5334000" cy="1099973"/>
            <wp:effectExtent b="0" l="0" r="0" t="0"/>
            <wp:docPr descr="" title="" id="2637" name="Picture"/>
            <a:graphic>
              <a:graphicData uri="http://schemas.openxmlformats.org/drawingml/2006/picture">
                <pic:pic>
                  <pic:nvPicPr>
                    <pic:cNvPr descr="/home/user/System-Design/build/.cache/diagrams/c2f023646d23.png" id="2638" name="Picture"/>
                    <pic:cNvPicPr>
                      <a:picLocks noChangeArrowheads="1" noChangeAspect="1"/>
                    </pic:cNvPicPr>
                  </pic:nvPicPr>
                  <pic:blipFill>
                    <a:blip r:embed="rId2636"/>
                    <a:stretch>
                      <a:fillRect/>
                    </a:stretch>
                  </pic:blipFill>
                  <pic:spPr bwMode="auto">
                    <a:xfrm>
                      <a:off x="0" y="0"/>
                      <a:ext cx="5334000" cy="1099973"/>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Each run is a warm, steady-state closed-loop test at fixed concurrency</w:t>
      </w:r>
      <w:r>
        <w:t xml:space="preserve"> </w:t>
      </w:r>
      <m:oMath>
        <m:r>
          <m:t>N</m:t>
        </m:r>
      </m:oMath>
      <w:r>
        <w:t xml:space="preserve"> </w:t>
      </w:r>
      <w:r>
        <w:t xml:space="preserve">(closed is right here, because concurrency is the independent variable); the throughputs are the stored data. If residuals are large or the fitted peak</w:t>
      </w:r>
      <w:r>
        <w:t xml:space="preserve"> </w:t>
      </w:r>
      <m:oMath>
        <m:sSup>
          <m:e>
            <m:r>
              <m:t>N</m:t>
            </m:r>
          </m:e>
          <m:sup>
            <m:r>
              <m:rPr>
                <m:sty m:val="p"/>
              </m:rPr>
              <m:t>*</m:t>
            </m:r>
          </m:sup>
        </m:sSup>
      </m:oMath>
      <w:r>
        <w:t xml:space="preserve"> </w:t>
      </w:r>
      <w:r>
        <w:t xml:space="preserve">lies outside the measured range, measure more points, because extrapolated peaks are unreliable. Operating point and fleet size follow by arithmetic, and production telemetry (dotted, asynchronous) refines the model.</w:t>
      </w:r>
    </w:p>
    <w:p>
      <w:pPr>
        <w:pStyle w:val="CalloutFormula"/>
      </w:pPr>
      <w:r>
        <w:rPr>
          <w:bCs/>
          <w:b/>
        </w:rPr>
        <w:t xml:space="preserve">FORMULA</w:t>
      </w:r>
    </w:p>
    <w:p>
      <w:pPr>
        <w:pStyle w:val="CalloutFormula"/>
      </w:pPr>
      <w:r>
        <w:rPr>
          <w:bCs/>
          <w:b/>
        </w:rPr>
        <w:t xml:space="preserve">USL for measured throughput, and its linearized form</w:t>
      </w:r>
    </w:p>
    <w:p>
      <w:pPr>
        <w:pStyle w:val="CalloutFormula"/>
      </w:pPr>
      <m:oMathPara>
        <m:oMathParaPr>
          <m:jc m:val="center"/>
        </m:oMathParaPr>
        <m:oMath>
          <m:r>
            <m:t>X</m:t>
          </m:r>
          <m:d>
            <m:dPr>
              <m:begChr m:val="("/>
              <m:endChr m:val=")"/>
              <m:sepChr m:val=""/>
              <m:grow/>
            </m:dPr>
            <m:e>
              <m:r>
                <m:t>N</m:t>
              </m:r>
            </m:e>
          </m:d>
          <m:r>
            <m:rPr>
              <m:sty m:val="p"/>
            </m:rPr>
            <m:t>=</m:t>
          </m:r>
          <m:f>
            <m:fPr>
              <m:type m:val="bar"/>
            </m:fPr>
            <m:num>
              <m:r>
                <m:t>γ</m:t>
              </m:r>
              <m:r>
                <m:t>N</m:t>
              </m:r>
            </m:num>
            <m:den>
              <m:r>
                <m:t>1</m:t>
              </m:r>
              <m:r>
                <m:rPr>
                  <m:sty m:val="p"/>
                </m:rPr>
                <m:t>+</m:t>
              </m:r>
              <m:r>
                <m:t>α</m:t>
              </m:r>
              <m:d>
                <m:dPr>
                  <m:begChr m:val="("/>
                  <m:endChr m:val=")"/>
                  <m:sepChr m:val=""/>
                  <m:grow/>
                </m:dPr>
                <m:e>
                  <m:r>
                    <m:t>N</m:t>
                  </m:r>
                  <m:r>
                    <m:rPr>
                      <m:sty m:val="p"/>
                    </m:rPr>
                    <m:t>−</m:t>
                  </m:r>
                  <m:r>
                    <m:t>1</m:t>
                  </m:r>
                </m:e>
              </m:d>
              <m:r>
                <m:rPr>
                  <m:sty m:val="p"/>
                </m:rPr>
                <m:t>+</m:t>
              </m:r>
              <m:r>
                <m:t>β</m:t>
              </m:r>
              <m:r>
                <m:t>N</m:t>
              </m:r>
              <m:d>
                <m:dPr>
                  <m:begChr m:val="("/>
                  <m:endChr m:val=")"/>
                  <m:sepChr m:val=""/>
                  <m:grow/>
                </m:dPr>
                <m:e>
                  <m:r>
                    <m:t>N</m:t>
                  </m:r>
                  <m:r>
                    <m:rPr>
                      <m:sty m:val="p"/>
                    </m:rPr>
                    <m:t>−</m:t>
                  </m:r>
                  <m:r>
                    <m:t>1</m:t>
                  </m:r>
                </m:e>
              </m:d>
            </m:den>
          </m:f>
          <m:r>
            <m:t>  </m:t>
          </m:r>
          <m:f>
            <m:fPr>
              <m:type m:val="bar"/>
            </m:fPr>
            <m:num>
              <m:r>
                <m:t>γ</m:t>
              </m:r>
              <m:r>
                <m:t>N</m:t>
              </m:r>
            </m:num>
            <m:den>
              <m:r>
                <m:t>X</m:t>
              </m:r>
              <m:d>
                <m:dPr>
                  <m:begChr m:val="("/>
                  <m:endChr m:val=")"/>
                  <m:sepChr m:val=""/>
                  <m:grow/>
                </m:dPr>
                <m:e>
                  <m:r>
                    <m:t>N</m:t>
                  </m:r>
                </m:e>
              </m:d>
            </m:den>
          </m:f>
          <m:r>
            <m:rPr>
              <m:sty m:val="p"/>
            </m:rPr>
            <m:t>−</m:t>
          </m:r>
          <m:r>
            <m:t>1</m:t>
          </m:r>
          <m:r>
            <m:rPr>
              <m:sty m:val="p"/>
            </m:rPr>
            <m:t>=</m:t>
          </m:r>
          <m:r>
            <m:t>α</m:t>
          </m:r>
          <m:d>
            <m:dPr>
              <m:begChr m:val="("/>
              <m:endChr m:val=")"/>
              <m:sepChr m:val=""/>
              <m:grow/>
            </m:dPr>
            <m:e>
              <m:r>
                <m:t>N</m:t>
              </m:r>
              <m:r>
                <m:rPr>
                  <m:sty m:val="p"/>
                </m:rPr>
                <m:t>−</m:t>
              </m:r>
              <m:r>
                <m:t>1</m:t>
              </m:r>
            </m:e>
          </m:d>
          <m:r>
            <m:rPr>
              <m:sty m:val="p"/>
            </m:rPr>
            <m:t>+</m:t>
          </m:r>
          <m:r>
            <m:t>β</m:t>
          </m:r>
          <m:r>
            <m:t>N</m:t>
          </m:r>
          <m:d>
            <m:dPr>
              <m:begChr m:val="("/>
              <m:endChr m:val=")"/>
              <m:sepChr m:val=""/>
              <m:grow/>
            </m:dPr>
            <m:e>
              <m:r>
                <m:t>N</m:t>
              </m:r>
              <m:r>
                <m:rPr>
                  <m:sty m:val="p"/>
                </m:rPr>
                <m:t>−</m:t>
              </m:r>
              <m:r>
                <m:t>1</m:t>
              </m:r>
            </m:e>
          </m:d>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N</m:t>
              </m:r>
            </m:oMath>
          </w:p>
        </w:tc>
        <w:tc>
          <w:tcPr/>
          <w:p>
            <w:pPr>
              <w:pStyle w:val="Compact"/>
              <w:jc w:val="left"/>
            </w:pPr>
            <w:r>
              <w:t xml:space="preserve">Concurrency (client threads, cores or nodes)</w:t>
            </w:r>
          </w:p>
        </w:tc>
        <w:tc>
          <w:tcPr/>
          <w:p>
            <w:pPr>
              <w:pStyle w:val="Compact"/>
              <w:jc w:val="left"/>
            </w:pPr>
            <w:r>
              <w:t xml:space="preserve">count</w:t>
            </w:r>
          </w:p>
        </w:tc>
      </w:tr>
      <w:tr>
        <w:tc>
          <w:tcPr/>
          <w:p>
            <w:pPr>
              <w:pStyle w:val="Compact"/>
              <w:jc w:val="left"/>
            </w:pPr>
            <m:oMath>
              <m:r>
                <m:t>X</m:t>
              </m:r>
              <m:d>
                <m:dPr>
                  <m:begChr m:val="("/>
                  <m:endChr m:val=")"/>
                  <m:sepChr m:val=""/>
                  <m:grow/>
                </m:dPr>
                <m:e>
                  <m:r>
                    <m:t>N</m:t>
                  </m:r>
                </m:e>
              </m:d>
            </m:oMath>
          </w:p>
        </w:tc>
        <w:tc>
          <w:tcPr/>
          <w:p>
            <w:pPr>
              <w:pStyle w:val="Compact"/>
              <w:jc w:val="left"/>
            </w:pPr>
            <w:r>
              <w:t xml:space="preserve">Measured throughput at concurrency</w:t>
            </w:r>
            <w:r>
              <w:t xml:space="preserve"> </w:t>
            </w:r>
            <m:oMath>
              <m:r>
                <m:t>N</m:t>
              </m:r>
            </m:oMath>
          </w:p>
        </w:tc>
        <w:tc>
          <w:tcPr/>
          <w:p>
            <w:pPr>
              <w:pStyle w:val="Compact"/>
              <w:jc w:val="left"/>
            </w:pPr>
            <w:r>
              <w:t xml:space="preserve">requests/second</w:t>
            </w:r>
          </w:p>
        </w:tc>
      </w:tr>
      <w:tr>
        <w:tc>
          <w:tcPr/>
          <w:p>
            <w:pPr>
              <w:pStyle w:val="Compact"/>
              <w:jc w:val="left"/>
            </w:pPr>
            <m:oMath>
              <m:r>
                <m:t>γ</m:t>
              </m:r>
            </m:oMath>
          </w:p>
        </w:tc>
        <w:tc>
          <w:tcPr/>
          <w:p>
            <w:pPr>
              <w:pStyle w:val="Compact"/>
              <w:jc w:val="left"/>
            </w:pPr>
            <w:r>
              <w:t xml:space="preserve">Throughput at</w:t>
            </w:r>
            <w:r>
              <w:t xml:space="preserve"> </w:t>
            </w:r>
            <m:oMath>
              <m:r>
                <m:t>N</m:t>
              </m:r>
              <m:r>
                <m:rPr>
                  <m:sty m:val="p"/>
                </m:rPr>
                <m:t>=</m:t>
              </m:r>
              <m:r>
                <m:t>1</m:t>
              </m:r>
            </m:oMath>
            <w:r>
              <w:t xml:space="preserve"> </w:t>
            </w:r>
            <w:r>
              <w:t xml:space="preserve">(the slope of ideal linear scaling)</w:t>
            </w:r>
          </w:p>
        </w:tc>
        <w:tc>
          <w:tcPr/>
          <w:p>
            <w:pPr>
              <w:pStyle w:val="Compact"/>
              <w:jc w:val="left"/>
            </w:pPr>
            <w:r>
              <w:t xml:space="preserve">requests/second</w:t>
            </w:r>
          </w:p>
        </w:tc>
      </w:tr>
      <w:tr>
        <w:tc>
          <w:tcPr/>
          <w:p>
            <w:pPr>
              <w:pStyle w:val="Compact"/>
              <w:jc w:val="left"/>
            </w:pPr>
            <m:oMath>
              <m:r>
                <m:t>α</m:t>
              </m:r>
            </m:oMath>
            <w:r>
              <w:t xml:space="preserve">,</w:t>
            </w:r>
            <w:r>
              <w:t xml:space="preserve"> </w:t>
            </w:r>
            <m:oMath>
              <m:r>
                <m:t>β</m:t>
              </m:r>
            </m:oMath>
          </w:p>
        </w:tc>
        <w:tc>
          <w:tcPr/>
          <w:p>
            <w:pPr>
              <w:pStyle w:val="Compact"/>
              <w:jc w:val="left"/>
            </w:pPr>
            <w:r>
              <w:t xml:space="preserve">Contention and coherency coefficients (§4.13)</w:t>
            </w:r>
          </w:p>
        </w:tc>
        <w:tc>
          <w:tcPr/>
          <w:p>
            <w:pPr>
              <w:pStyle w:val="Compact"/>
              <w:jc w:val="left"/>
            </w:pPr>
            <w:r>
              <w:t xml:space="preserve">dimensionless</w:t>
            </w:r>
          </w:p>
        </w:tc>
      </w:tr>
    </w:tbl>
    <w:p>
      <w:pPr>
        <w:pStyle w:val="BodyText"/>
      </w:pPr>
      <w:r>
        <w:t xml:space="preserve">The right-hand form is linear in</w:t>
      </w:r>
      <w:r>
        <w:t xml:space="preserve"> </w:t>
      </w:r>
      <m:oMath>
        <m:r>
          <m:t>α</m:t>
        </m:r>
      </m:oMath>
      <w:r>
        <w:t xml:space="preserve"> </w:t>
      </w:r>
      <w:r>
        <w:t xml:space="preserve">and</w:t>
      </w:r>
      <w:r>
        <w:t xml:space="preserve"> </w:t>
      </w:r>
      <m:oMath>
        <m:r>
          <m:t>β</m:t>
        </m:r>
      </m:oMath>
      <w:r>
        <w:t xml:space="preserve">, so with</w:t>
      </w:r>
      <w:r>
        <w:t xml:space="preserve"> </w:t>
      </w:r>
      <m:oMath>
        <m:r>
          <m:t>γ</m:t>
        </m:r>
      </m:oMath>
      <w:r>
        <w:t xml:space="preserve"> </w:t>
      </w:r>
      <w:r>
        <w:t xml:space="preserve">fixed at the measured</w:t>
      </w:r>
      <w:r>
        <w:t xml:space="preserve"> </w:t>
      </w:r>
      <m:oMath>
        <m:r>
          <m:t>X</m:t>
        </m:r>
        <m:d>
          <m:dPr>
            <m:begChr m:val="("/>
            <m:endChr m:val=")"/>
            <m:sepChr m:val=""/>
            <m:grow/>
          </m:dPr>
          <m:e>
            <m:r>
              <m:t>1</m:t>
            </m:r>
          </m:e>
        </m:d>
      </m:oMath>
      <w:r>
        <w:t xml:space="preserve"> </w:t>
      </w:r>
      <w:r>
        <w:t xml:space="preserve">an ordinary least-squares fit gives a starting estimate; a nonlinear fit of all three parameters to the raw throughputs then refines it.</w:t>
      </w:r>
    </w:p>
    <w:bookmarkEnd w:id="2639"/>
    <w:bookmarkStart w:id="2640" w:name="fitting-the-usl-in-python"/>
    <w:p>
      <w:pPr>
        <w:pStyle w:val="Heading3"/>
      </w:pPr>
      <w:r>
        <w:t xml:space="preserve">23.10.2 Fitting the USL in Python</w:t>
      </w:r>
    </w:p>
    <w:p>
      <w:pPr>
        <w:pStyle w:val="FirstParagraph"/>
      </w:pPr>
      <w:r>
        <w:t xml:space="preserve">The program fits benchmark data in two steps using only the standard library. The data are synthetic, generated from known coefficients (</w:t>
      </w:r>
      <m:oMath>
        <m:r>
          <m:t>γ</m:t>
        </m:r>
        <m:r>
          <m:rPr>
            <m:sty m:val="p"/>
          </m:rPr>
          <m:t>=</m:t>
        </m:r>
        <m:r>
          <m:t>950</m:t>
        </m:r>
      </m:oMath>
      <w:r>
        <w:t xml:space="preserve">,</w:t>
      </w:r>
      <w:r>
        <w:t xml:space="preserve"> </w:t>
      </w:r>
      <m:oMath>
        <m:r>
          <m:t>α</m:t>
        </m:r>
        <m:r>
          <m:rPr>
            <m:sty m:val="p"/>
          </m:rPr>
          <m:t>=</m:t>
        </m:r>
        <m:r>
          <m:t>0.03</m:t>
        </m:r>
      </m:oMath>
      <w:r>
        <w:t xml:space="preserve">,</w:t>
      </w:r>
      <w:r>
        <w:t xml:space="preserve"> </w:t>
      </w:r>
      <m:oMath>
        <m:r>
          <m:t>β</m:t>
        </m:r>
        <m:r>
          <m:rPr>
            <m:sty m:val="p"/>
          </m:rPr>
          <m:t>=</m:t>
        </m:r>
        <m:r>
          <m:t>0.0004</m:t>
        </m:r>
      </m:oMath>
      <w:r>
        <w:t xml:space="preserve">) with 3% measurement noise, so you can see how well the fit recovers them.</w:t>
      </w:r>
    </w:p>
    <w:p>
      <w:pPr>
        <w:pStyle w:val="SourceCode"/>
      </w:pPr>
      <w:r>
        <w:rPr>
          <w:rStyle w:val="ImportTok"/>
        </w:rPr>
        <w:t xml:space="preserve">import</w:t>
      </w:r>
      <w:r>
        <w:rPr>
          <w:rStyle w:val="NormalTok"/>
        </w:rPr>
        <w:t xml:space="preserve"> math</w:t>
      </w:r>
      <w:r>
        <w:br/>
      </w:r>
      <w:r>
        <w:rPr>
          <w:rStyle w:val="ImportTok"/>
        </w:rPr>
        <w:t xml:space="preserve">import</w:t>
      </w:r>
      <w:r>
        <w:rPr>
          <w:rStyle w:val="NormalTok"/>
        </w:rPr>
        <w:t xml:space="preserve"> random</w:t>
      </w:r>
      <w:r>
        <w:br/>
      </w:r>
      <w:r>
        <w:br/>
      </w:r>
      <w:r>
        <w:rPr>
          <w:rStyle w:val="KeywordTok"/>
        </w:rPr>
        <w:t xml:space="preserve">def</w:t>
      </w:r>
      <w:r>
        <w:rPr>
          <w:rStyle w:val="NormalTok"/>
        </w:rPr>
        <w:t xml:space="preserve"> usl(n, gamma, alpha, beta):</w:t>
      </w:r>
      <w:r>
        <w:br/>
      </w:r>
      <w:r>
        <w:rPr>
          <w:rStyle w:val="NormalTok"/>
        </w:rPr>
        <w:t xml:space="preserve">    </w:t>
      </w:r>
      <w:r>
        <w:rPr>
          <w:rStyle w:val="CommentTok"/>
        </w:rPr>
        <w:t xml:space="preserve">"""USL throughput: gamma = throughput at N = 1."""</w:t>
      </w:r>
      <w:r>
        <w:br/>
      </w:r>
      <w:r>
        <w:rPr>
          <w:rStyle w:val="NormalTok"/>
        </w:rPr>
        <w:t xml:space="preserve">    </w:t>
      </w:r>
      <w:r>
        <w:rPr>
          <w:rStyle w:val="ControlFlowTok"/>
        </w:rPr>
        <w:t xml:space="preserve">return</w:t>
      </w:r>
      <w:r>
        <w:rPr>
          <w:rStyle w:val="NormalTok"/>
        </w:rPr>
        <w:t xml:space="preserve"> gamma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alpha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beta </w:t>
      </w:r>
      <w:r>
        <w:rPr>
          <w:rStyle w:val="OperatorTok"/>
        </w:rPr>
        <w:t xml:space="preserve">*</w:t>
      </w:r>
      <w:r>
        <w:rPr>
          <w:rStyle w:val="NormalTok"/>
        </w:rPr>
        <w:t xml:space="preserve"> n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KeywordTok"/>
        </w:rPr>
        <w:t xml:space="preserve">def</w:t>
      </w:r>
      <w:r>
        <w:rPr>
          <w:rStyle w:val="NormalTok"/>
        </w:rPr>
        <w:t xml:space="preserve"> solve(a, b):</w:t>
      </w:r>
      <w:r>
        <w:br/>
      </w:r>
      <w:r>
        <w:rPr>
          <w:rStyle w:val="NormalTok"/>
        </w:rPr>
        <w:t xml:space="preserve">    </w:t>
      </w:r>
      <w:r>
        <w:rPr>
          <w:rStyle w:val="CommentTok"/>
        </w:rPr>
        <w:t xml:space="preserve">"""Solve the small linear system a x = b by Gaussian elimination."""</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(b)</w:t>
      </w:r>
      <w:r>
        <w:br/>
      </w:r>
      <w:r>
        <w:rPr>
          <w:rStyle w:val="NormalTok"/>
        </w:rPr>
        <w:t xml:space="preserve">    m </w:t>
      </w:r>
      <w:r>
        <w:rPr>
          <w:rStyle w:val="OperatorTok"/>
        </w:rPr>
        <w:t xml:space="preserve">=</w:t>
      </w:r>
      <w:r>
        <w:rPr>
          <w:rStyle w:val="NormalTok"/>
        </w:rPr>
        <w:t xml:space="preserve"> [row[:] </w:t>
      </w:r>
      <w:r>
        <w:rPr>
          <w:rStyle w:val="OperatorTok"/>
        </w:rPr>
        <w:t xml:space="preserve">+</w:t>
      </w:r>
      <w:r>
        <w:rPr>
          <w:rStyle w:val="NormalTok"/>
        </w:rPr>
        <w:t xml:space="preserve"> [b[i]] </w:t>
      </w:r>
      <w:r>
        <w:rPr>
          <w:rStyle w:val="ControlFlowTok"/>
        </w:rPr>
        <w:t xml:space="preserve">for</w:t>
      </w:r>
      <w:r>
        <w:rPr>
          <w:rStyle w:val="NormalTok"/>
        </w:rPr>
        <w:t xml:space="preserve"> i, row </w:t>
      </w:r>
      <w:r>
        <w:rPr>
          <w:rStyle w:val="KeywordTok"/>
        </w:rPr>
        <w:t xml:space="preserve">in</w:t>
      </w:r>
      <w:r>
        <w:rPr>
          <w:rStyle w:val="NormalTok"/>
        </w:rPr>
        <w:t xml:space="preserve"> </w:t>
      </w:r>
      <w:r>
        <w:rPr>
          <w:rStyle w:val="BuiltInTok"/>
        </w:rPr>
        <w:t xml:space="preserve">enumerate</w:t>
      </w:r>
      <w:r>
        <w:rPr>
          <w:rStyle w:val="NormalTok"/>
        </w:rPr>
        <w:t xml:space="preserve">(a)]</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p </w:t>
      </w:r>
      <w:r>
        <w:rPr>
          <w:rStyle w:val="OperatorTok"/>
        </w:rPr>
        <w:t xml:space="preserve">=</w:t>
      </w:r>
      <w:r>
        <w:rPr>
          <w:rStyle w:val="NormalTok"/>
        </w:rPr>
        <w:t xml:space="preserve"> </w:t>
      </w:r>
      <w:r>
        <w:rPr>
          <w:rStyle w:val="BuiltInTok"/>
        </w:rPr>
        <w:t xml:space="preserve">max</w:t>
      </w:r>
      <w:r>
        <w:rPr>
          <w:rStyle w:val="NormalTok"/>
        </w:rPr>
        <w:t xml:space="preserve">(</w:t>
      </w:r>
      <w:r>
        <w:rPr>
          <w:rStyle w:val="BuiltInTok"/>
        </w:rPr>
        <w:t xml:space="preserve">range</w:t>
      </w:r>
      <w:r>
        <w:rPr>
          <w:rStyle w:val="NormalTok"/>
        </w:rPr>
        <w:t xml:space="preserve">(c, n), key</w:t>
      </w:r>
      <w:r>
        <w:rPr>
          <w:rStyle w:val="OperatorTok"/>
        </w:rPr>
        <w:t xml:space="preserve">=</w:t>
      </w:r>
      <w:r>
        <w:rPr>
          <w:rStyle w:val="KeywordTok"/>
        </w:rPr>
        <w:t xml:space="preserve">lambda</w:t>
      </w:r>
      <w:r>
        <w:rPr>
          <w:rStyle w:val="NormalTok"/>
        </w:rPr>
        <w:t xml:space="preserve"> r: </w:t>
      </w:r>
      <w:r>
        <w:rPr>
          <w:rStyle w:val="BuiltInTok"/>
        </w:rPr>
        <w:t xml:space="preserve">abs</w:t>
      </w:r>
      <w:r>
        <w:rPr>
          <w:rStyle w:val="NormalTok"/>
        </w:rPr>
        <w:t xml:space="preserve">(m[r][c]))</w:t>
      </w:r>
      <w:r>
        <w:br/>
      </w:r>
      <w:r>
        <w:rPr>
          <w:rStyle w:val="NormalTok"/>
        </w:rPr>
        <w:t xml:space="preserve">        m[c], m[p] </w:t>
      </w:r>
      <w:r>
        <w:rPr>
          <w:rStyle w:val="OperatorTok"/>
        </w:rPr>
        <w:t xml:space="preserve">=</w:t>
      </w:r>
      <w:r>
        <w:rPr>
          <w:rStyle w:val="NormalTok"/>
        </w:rPr>
        <w:t xml:space="preserve"> m[p], m[c]</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w:t>
      </w:r>
      <w:r>
        <w:rPr>
          <w:rStyle w:val="BuiltInTok"/>
        </w:rPr>
        <w:t xml:space="preserve">range</w:t>
      </w:r>
      <w:r>
        <w:rPr>
          <w:rStyle w:val="NormalTok"/>
        </w:rPr>
        <w:t xml:space="preserve">(c </w:t>
      </w:r>
      <w:r>
        <w:rPr>
          <w:rStyle w:val="OperatorTok"/>
        </w:rPr>
        <w:t xml:space="preserve">+</w:t>
      </w:r>
      <w:r>
        <w:rPr>
          <w:rStyle w:val="NormalTok"/>
        </w:rPr>
        <w:t xml:space="preserve"> </w:t>
      </w:r>
      <w:r>
        <w:rPr>
          <w:rStyle w:val="DecValTok"/>
        </w:rPr>
        <w:t xml:space="preserve">1</w:t>
      </w:r>
      <w:r>
        <w:rPr>
          <w:rStyle w:val="NormalTok"/>
        </w:rPr>
        <w:t xml:space="preserve">, n):</w:t>
      </w:r>
      <w:r>
        <w:br/>
      </w:r>
      <w:r>
        <w:rPr>
          <w:rStyle w:val="NormalTok"/>
        </w:rPr>
        <w:t xml:space="preserve">            f </w:t>
      </w:r>
      <w:r>
        <w:rPr>
          <w:rStyle w:val="OperatorTok"/>
        </w:rPr>
        <w:t xml:space="preserve">=</w:t>
      </w:r>
      <w:r>
        <w:rPr>
          <w:rStyle w:val="NormalTok"/>
        </w:rPr>
        <w:t xml:space="preserve"> m[r][c] </w:t>
      </w:r>
      <w:r>
        <w:rPr>
          <w:rStyle w:val="OperatorTok"/>
        </w:rPr>
        <w:t xml:space="preserve">/</w:t>
      </w:r>
      <w:r>
        <w:rPr>
          <w:rStyle w:val="NormalTok"/>
        </w:rPr>
        <w:t xml:space="preserve"> m[c][c]</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(c, 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m[r][k] </w:t>
      </w:r>
      <w:r>
        <w:rPr>
          <w:rStyle w:val="OperatorTok"/>
        </w:rPr>
        <w:t xml:space="preserve">-=</w:t>
      </w:r>
      <w:r>
        <w:rPr>
          <w:rStyle w:val="NormalTok"/>
        </w:rPr>
        <w:t xml:space="preserve"> f </w:t>
      </w:r>
      <w:r>
        <w:rPr>
          <w:rStyle w:val="OperatorTok"/>
        </w:rPr>
        <w:t xml:space="preserve">*</w:t>
      </w:r>
      <w:r>
        <w:rPr>
          <w:rStyle w:val="NormalTok"/>
        </w:rPr>
        <w:t xml:space="preserve"> m[c][k]</w:t>
      </w:r>
      <w:r>
        <w:br/>
      </w:r>
      <w:r>
        <w:rPr>
          <w:rStyle w:val="NormalTok"/>
        </w:rPr>
        <w:t xml:space="preserve">    x </w:t>
      </w:r>
      <w:r>
        <w:rPr>
          <w:rStyle w:val="OperatorTok"/>
        </w:rPr>
        <w:t xml:space="preserve">=</w:t>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 n</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w:t>
      </w:r>
      <w:r>
        <w:rPr>
          <w:rStyle w:val="BuiltInTok"/>
        </w:rPr>
        <w:t xml:space="preserve">range</w:t>
      </w:r>
      <w:r>
        <w:rPr>
          <w:rStyle w:val="NormalTok"/>
        </w:rPr>
        <w:t xml:space="preserve">(n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x[r] </w:t>
      </w:r>
      <w:r>
        <w:rPr>
          <w:rStyle w:val="OperatorTok"/>
        </w:rPr>
        <w:t xml:space="preserve">=</w:t>
      </w:r>
      <w:r>
        <w:rPr>
          <w:rStyle w:val="NormalTok"/>
        </w:rPr>
        <w:t xml:space="preserve"> (m[r][n] </w:t>
      </w:r>
      <w:r>
        <w:rPr>
          <w:rStyle w:val="OperatorTok"/>
        </w:rPr>
        <w:t xml:space="preserve">-</w:t>
      </w:r>
      <w:r>
        <w:rPr>
          <w:rStyle w:val="NormalTok"/>
        </w:rPr>
        <w:t xml:space="preserve"> </w:t>
      </w:r>
      <w:r>
        <w:rPr>
          <w:rStyle w:val="BuiltInTok"/>
        </w:rPr>
        <w:t xml:space="preserve">sum</w:t>
      </w:r>
      <w:r>
        <w:rPr>
          <w:rStyle w:val="NormalTok"/>
        </w:rPr>
        <w:t xml:space="preserve">(m[r][k] </w:t>
      </w:r>
      <w:r>
        <w:rPr>
          <w:rStyle w:val="OperatorTok"/>
        </w:rPr>
        <w:t xml:space="preserve">*</w:t>
      </w:r>
      <w:r>
        <w:rPr>
          <w:rStyle w:val="NormalTok"/>
        </w:rPr>
        <w:t xml:space="preserve"> x[k]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(r </w:t>
      </w:r>
      <w:r>
        <w:rPr>
          <w:rStyle w:val="OperatorTok"/>
        </w:rPr>
        <w:t xml:space="preserve">+</w:t>
      </w:r>
      <w:r>
        <w:rPr>
          <w:rStyle w:val="NormalTok"/>
        </w:rPr>
        <w:t xml:space="preserve"> </w:t>
      </w:r>
      <w:r>
        <w:rPr>
          <w:rStyle w:val="DecValTok"/>
        </w:rPr>
        <w:t xml:space="preserve">1</w:t>
      </w:r>
      <w:r>
        <w:rPr>
          <w:rStyle w:val="NormalTok"/>
        </w:rPr>
        <w:t xml:space="preserve">, n))) </w:t>
      </w:r>
      <w:r>
        <w:rPr>
          <w:rStyle w:val="OperatorTok"/>
        </w:rPr>
        <w:t xml:space="preserve">/</w:t>
      </w:r>
      <w:r>
        <w:rPr>
          <w:rStyle w:val="NormalTok"/>
        </w:rPr>
        <w:t xml:space="preserve"> m[r][r]</w:t>
      </w:r>
      <w:r>
        <w:br/>
      </w:r>
      <w:r>
        <w:rPr>
          <w:rStyle w:val="NormalTok"/>
        </w:rPr>
        <w:t xml:space="preserve">    </w:t>
      </w:r>
      <w:r>
        <w:rPr>
          <w:rStyle w:val="ControlFlowTok"/>
        </w:rPr>
        <w:t xml:space="preserve">return</w:t>
      </w:r>
      <w:r>
        <w:rPr>
          <w:rStyle w:val="NormalTok"/>
        </w:rPr>
        <w:t xml:space="preserve"> x</w:t>
      </w:r>
      <w:r>
        <w:br/>
      </w:r>
      <w:r>
        <w:br/>
      </w:r>
      <w:r>
        <w:rPr>
          <w:rStyle w:val="KeywordTok"/>
        </w:rPr>
        <w:t xml:space="preserve">def</w:t>
      </w:r>
      <w:r>
        <w:rPr>
          <w:rStyle w:val="NormalTok"/>
        </w:rPr>
        <w:t xml:space="preserve"> fit_linearized(ns, xs):</w:t>
      </w:r>
      <w:r>
        <w:br/>
      </w:r>
      <w:r>
        <w:rPr>
          <w:rStyle w:val="NormalTok"/>
        </w:rPr>
        <w:t xml:space="preserve">    </w:t>
      </w:r>
      <w:r>
        <w:rPr>
          <w:rStyle w:val="CommentTok"/>
        </w:rPr>
        <w:t xml:space="preserve">"""Step 1: N*gamma/X - 1 = alpha (N-1) + beta N (N-1), with gamma = X(1)."""</w:t>
      </w:r>
      <w:r>
        <w:br/>
      </w:r>
      <w:r>
        <w:rPr>
          <w:rStyle w:val="NormalTok"/>
        </w:rPr>
        <w:t xml:space="preserve">    gamma </w:t>
      </w:r>
      <w:r>
        <w:rPr>
          <w:rStyle w:val="OperatorTok"/>
        </w:rPr>
        <w:t xml:space="preserve">=</w:t>
      </w:r>
      <w:r>
        <w:rPr>
          <w:rStyle w:val="NormalTok"/>
        </w:rPr>
        <w:t xml:space="preserve"> xs[ns.index(</w:t>
      </w:r>
      <w:r>
        <w:rPr>
          <w:rStyle w:val="DecValTok"/>
        </w:rPr>
        <w:t xml:space="preserve">1</w:t>
      </w:r>
      <w:r>
        <w:rPr>
          <w:rStyle w:val="NormalTok"/>
        </w:rPr>
        <w:t xml:space="preserve">)]</w:t>
      </w:r>
      <w:r>
        <w:br/>
      </w:r>
      <w:r>
        <w:rPr>
          <w:rStyle w:val="NormalTok"/>
        </w:rPr>
        <w:t xml:space="preserve">    rows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 n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ns]</w:t>
      </w:r>
      <w:r>
        <w:br/>
      </w:r>
      <w:r>
        <w:rPr>
          <w:rStyle w:val="NormalTok"/>
        </w:rPr>
        <w:t xml:space="preserve">    ys </w:t>
      </w:r>
      <w:r>
        <w:rPr>
          <w:rStyle w:val="OperatorTok"/>
        </w:rPr>
        <w:t xml:space="preserve">=</w:t>
      </w:r>
      <w:r>
        <w:rPr>
          <w:rStyle w:val="NormalTok"/>
        </w:rPr>
        <w:t xml:space="preserve"> [n </w:t>
      </w:r>
      <w:r>
        <w:rPr>
          <w:rStyle w:val="OperatorTok"/>
        </w:rPr>
        <w:t xml:space="preserve">*</w:t>
      </w:r>
      <w:r>
        <w:rPr>
          <w:rStyle w:val="NormalTok"/>
        </w:rPr>
        <w:t xml:space="preserve"> gamma </w:t>
      </w:r>
      <w:r>
        <w:rPr>
          <w:rStyle w:val="OperatorTok"/>
        </w:rPr>
        <w:t xml:space="preserve">/</w:t>
      </w:r>
      <w:r>
        <w:rPr>
          <w:rStyle w:val="NormalTok"/>
        </w:rPr>
        <w:t xml:space="preserve"> x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for</w:t>
      </w:r>
      <w:r>
        <w:rPr>
          <w:rStyle w:val="NormalTok"/>
        </w:rPr>
        <w:t xml:space="preserve"> n, x </w:t>
      </w:r>
      <w:r>
        <w:rPr>
          <w:rStyle w:val="KeywordTok"/>
        </w:rPr>
        <w:t xml:space="preserve">in</w:t>
      </w:r>
      <w:r>
        <w:rPr>
          <w:rStyle w:val="NormalTok"/>
        </w:rPr>
        <w:t xml:space="preserve"> </w:t>
      </w:r>
      <w:r>
        <w:rPr>
          <w:rStyle w:val="BuiltInTok"/>
        </w:rPr>
        <w:t xml:space="preserve">zip</w:t>
      </w:r>
      <w:r>
        <w:rPr>
          <w:rStyle w:val="NormalTok"/>
        </w:rPr>
        <w:t xml:space="preserve">(ns, xs)]</w:t>
      </w:r>
      <w:r>
        <w:br/>
      </w:r>
      <w:r>
        <w:rPr>
          <w:rStyle w:val="NormalTok"/>
        </w:rPr>
        <w:t xml:space="preserve">    ata </w:t>
      </w:r>
      <w:r>
        <w:rPr>
          <w:rStyle w:val="OperatorTok"/>
        </w:rPr>
        <w:t xml:space="preserve">=</w:t>
      </w:r>
      <w:r>
        <w:rPr>
          <w:rStyle w:val="NormalTok"/>
        </w:rPr>
        <w:t xml:space="preserve"> [[</w:t>
      </w:r>
      <w:r>
        <w:rPr>
          <w:rStyle w:val="BuiltInTok"/>
        </w:rPr>
        <w:t xml:space="preserve">sum</w:t>
      </w:r>
      <w:r>
        <w:rPr>
          <w:rStyle w:val="NormalTok"/>
        </w:rPr>
        <w:t xml:space="preserve">(r[i] </w:t>
      </w:r>
      <w:r>
        <w:rPr>
          <w:rStyle w:val="OperatorTok"/>
        </w:rPr>
        <w:t xml:space="preserve">*</w:t>
      </w:r>
      <w:r>
        <w:rPr>
          <w:rStyle w:val="NormalTok"/>
        </w:rPr>
        <w:t xml:space="preserve"> r[j] </w:t>
      </w:r>
      <w:r>
        <w:rPr>
          <w:rStyle w:val="ControlFlowTok"/>
        </w:rPr>
        <w:t xml:space="preserve">for</w:t>
      </w:r>
      <w:r>
        <w:rPr>
          <w:rStyle w:val="NormalTok"/>
        </w:rPr>
        <w:t xml:space="preserve"> r </w:t>
      </w:r>
      <w:r>
        <w:rPr>
          <w:rStyle w:val="KeywordTok"/>
        </w:rPr>
        <w:t xml:space="preserve">in</w:t>
      </w:r>
      <w:r>
        <w:rPr>
          <w:rStyle w:val="NormalTok"/>
        </w:rPr>
        <w:t xml:space="preserve"> rows)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w:t>
      </w:r>
      <w:r>
        <w:br/>
      </w:r>
      <w:r>
        <w:rPr>
          <w:rStyle w:val="NormalTok"/>
        </w:rPr>
        <w:t xml:space="preserve">    aty </w:t>
      </w:r>
      <w:r>
        <w:rPr>
          <w:rStyle w:val="OperatorTok"/>
        </w:rPr>
        <w:t xml:space="preserve">=</w:t>
      </w:r>
      <w:r>
        <w:rPr>
          <w:rStyle w:val="NormalTok"/>
        </w:rPr>
        <w:t xml:space="preserve"> [</w:t>
      </w:r>
      <w:r>
        <w:rPr>
          <w:rStyle w:val="BuiltInTok"/>
        </w:rPr>
        <w:t xml:space="preserve">sum</w:t>
      </w:r>
      <w:r>
        <w:rPr>
          <w:rStyle w:val="NormalTok"/>
        </w:rPr>
        <w:t xml:space="preserve">(r[i] </w:t>
      </w:r>
      <w:r>
        <w:rPr>
          <w:rStyle w:val="OperatorTok"/>
        </w:rPr>
        <w:t xml:space="preserve">*</w:t>
      </w:r>
      <w:r>
        <w:rPr>
          <w:rStyle w:val="NormalTok"/>
        </w:rPr>
        <w:t xml:space="preserve"> y </w:t>
      </w:r>
      <w:r>
        <w:rPr>
          <w:rStyle w:val="ControlFlowTok"/>
        </w:rPr>
        <w:t xml:space="preserve">for</w:t>
      </w:r>
      <w:r>
        <w:rPr>
          <w:rStyle w:val="NormalTok"/>
        </w:rPr>
        <w:t xml:space="preserve"> r, y </w:t>
      </w:r>
      <w:r>
        <w:rPr>
          <w:rStyle w:val="KeywordTok"/>
        </w:rPr>
        <w:t xml:space="preserve">in</w:t>
      </w:r>
      <w:r>
        <w:rPr>
          <w:rStyle w:val="NormalTok"/>
        </w:rPr>
        <w:t xml:space="preserve"> </w:t>
      </w:r>
      <w:r>
        <w:rPr>
          <w:rStyle w:val="BuiltInTok"/>
        </w:rPr>
        <w:t xml:space="preserve">zip</w:t>
      </w:r>
      <w:r>
        <w:rPr>
          <w:rStyle w:val="NormalTok"/>
        </w:rPr>
        <w:t xml:space="preserve">(rows, ys))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w:t>
      </w:r>
      <w:r>
        <w:br/>
      </w:r>
      <w:r>
        <w:rPr>
          <w:rStyle w:val="NormalTok"/>
        </w:rPr>
        <w:t xml:space="preserve">    alpha, beta </w:t>
      </w:r>
      <w:r>
        <w:rPr>
          <w:rStyle w:val="OperatorTok"/>
        </w:rPr>
        <w:t xml:space="preserve">=</w:t>
      </w:r>
      <w:r>
        <w:rPr>
          <w:rStyle w:val="NormalTok"/>
        </w:rPr>
        <w:t xml:space="preserve"> solve(ata, aty)</w:t>
      </w:r>
      <w:r>
        <w:br/>
      </w:r>
      <w:r>
        <w:rPr>
          <w:rStyle w:val="NormalTok"/>
        </w:rPr>
        <w:t xml:space="preserve">    </w:t>
      </w:r>
      <w:r>
        <w:rPr>
          <w:rStyle w:val="ControlFlowTok"/>
        </w:rPr>
        <w:t xml:space="preserve">return</w:t>
      </w:r>
      <w:r>
        <w:rPr>
          <w:rStyle w:val="NormalTok"/>
        </w:rPr>
        <w:t xml:space="preserve"> gamma, alpha, beta</w:t>
      </w:r>
      <w:r>
        <w:br/>
      </w:r>
      <w:r>
        <w:br/>
      </w:r>
      <w:r>
        <w:rPr>
          <w:rStyle w:val="KeywordTok"/>
        </w:rPr>
        <w:t xml:space="preserve">def</w:t>
      </w:r>
      <w:r>
        <w:rPr>
          <w:rStyle w:val="NormalTok"/>
        </w:rPr>
        <w:t xml:space="preserve"> fit_nonlinear(ns, xs, p, iters</w:t>
      </w:r>
      <w:r>
        <w:rPr>
          <w:rStyle w:val="OperatorTok"/>
        </w:rPr>
        <w:t xml:space="preserve">=</w:t>
      </w:r>
      <w:r>
        <w:rPr>
          <w:rStyle w:val="DecValTok"/>
        </w:rPr>
        <w:t xml:space="preserve">50</w:t>
      </w:r>
      <w:r>
        <w:rPr>
          <w:rStyle w:val="NormalTok"/>
        </w:rPr>
        <w:t xml:space="preserve">):</w:t>
      </w:r>
      <w:r>
        <w:br/>
      </w:r>
      <w:r>
        <w:rPr>
          <w:rStyle w:val="NormalTok"/>
        </w:rPr>
        <w:t xml:space="preserve">    </w:t>
      </w:r>
      <w:r>
        <w:rPr>
          <w:rStyle w:val="CommentTok"/>
        </w:rPr>
        <w:t xml:space="preserve">"""Step 2: Gauss-Newton refinement of (gamma, alpha, beta) on throughput."""</w:t>
      </w:r>
      <w:r>
        <w:br/>
      </w:r>
      <w:r>
        <w:rPr>
          <w:rStyle w:val="NormalTok"/>
        </w:rPr>
        <w:t xml:space="preserve">    p </w:t>
      </w:r>
      <w:r>
        <w:rPr>
          <w:rStyle w:val="OperatorTok"/>
        </w:rPr>
        <w:t xml:space="preserve">=</w:t>
      </w:r>
      <w:r>
        <w:rPr>
          <w:rStyle w:val="NormalTok"/>
        </w:rPr>
        <w:t xml:space="preserve"> </w:t>
      </w:r>
      <w:r>
        <w:rPr>
          <w:rStyle w:val="BuiltInTok"/>
        </w:rPr>
        <w:t xml:space="preserve">list</w:t>
      </w:r>
      <w:r>
        <w:rPr>
          <w:rStyle w:val="NormalTok"/>
        </w:rPr>
        <w:t xml:space="preserve">(p)</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(iters):</w:t>
      </w:r>
      <w:r>
        <w:br/>
      </w:r>
      <w:r>
        <w:rPr>
          <w:rStyle w:val="NormalTok"/>
        </w:rPr>
        <w:t xml:space="preserve">        r </w:t>
      </w:r>
      <w:r>
        <w:rPr>
          <w:rStyle w:val="OperatorTok"/>
        </w:rPr>
        <w:t xml:space="preserve">=</w:t>
      </w:r>
      <w:r>
        <w:rPr>
          <w:rStyle w:val="NormalTok"/>
        </w:rPr>
        <w:t xml:space="preserve"> [x </w:t>
      </w:r>
      <w:r>
        <w:rPr>
          <w:rStyle w:val="OperatorTok"/>
        </w:rPr>
        <w:t xml:space="preserve">-</w:t>
      </w:r>
      <w:r>
        <w:rPr>
          <w:rStyle w:val="NormalTok"/>
        </w:rPr>
        <w:t xml:space="preserve"> usl(n, </w:t>
      </w:r>
      <w:r>
        <w:rPr>
          <w:rStyle w:val="OperatorTok"/>
        </w:rPr>
        <w:t xml:space="preserve">*</w:t>
      </w:r>
      <w:r>
        <w:rPr>
          <w:rStyle w:val="NormalTok"/>
        </w:rPr>
        <w:t xml:space="preserve">p) </w:t>
      </w:r>
      <w:r>
        <w:rPr>
          <w:rStyle w:val="ControlFlowTok"/>
        </w:rPr>
        <w:t xml:space="preserve">for</w:t>
      </w:r>
      <w:r>
        <w:rPr>
          <w:rStyle w:val="NormalTok"/>
        </w:rPr>
        <w:t xml:space="preserve"> n, x </w:t>
      </w:r>
      <w:r>
        <w:rPr>
          <w:rStyle w:val="KeywordTok"/>
        </w:rPr>
        <w:t xml:space="preserve">in</w:t>
      </w:r>
      <w:r>
        <w:rPr>
          <w:rStyle w:val="NormalTok"/>
        </w:rPr>
        <w:t xml:space="preserve"> </w:t>
      </w:r>
      <w:r>
        <w:rPr>
          <w:rStyle w:val="BuiltInTok"/>
        </w:rPr>
        <w:t xml:space="preserve">zip</w:t>
      </w:r>
      <w:r>
        <w:rPr>
          <w:rStyle w:val="NormalTok"/>
        </w:rPr>
        <w:t xml:space="preserve">(ns, xs)]</w:t>
      </w:r>
      <w:r>
        <w:br/>
      </w:r>
      <w:r>
        <w:rPr>
          <w:rStyle w:val="NormalTok"/>
        </w:rPr>
        <w:t xml:space="preserve">        jac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ns:</w:t>
      </w:r>
      <w:r>
        <w:br/>
      </w:r>
      <w:r>
        <w:rPr>
          <w:rStyle w:val="NormalTok"/>
        </w:rPr>
        <w:t xml:space="preserve">            row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h </w:t>
      </w:r>
      <w:r>
        <w:rPr>
          <w:rStyle w:val="OperatorTok"/>
        </w:rPr>
        <w:t xml:space="preserve">=</w:t>
      </w:r>
      <w:r>
        <w:rPr>
          <w:rStyle w:val="NormalTok"/>
        </w:rPr>
        <w:t xml:space="preserve"> </w:t>
      </w:r>
      <w:r>
        <w:rPr>
          <w:rStyle w:val="FloatTok"/>
        </w:rPr>
        <w:t xml:space="preserve">1e-6</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w:t>
      </w:r>
      <w:r>
        <w:rPr>
          <w:rStyle w:val="BuiltInTok"/>
        </w:rPr>
        <w:t xml:space="preserve">abs</w:t>
      </w:r>
      <w:r>
        <w:rPr>
          <w:rStyle w:val="NormalTok"/>
        </w:rPr>
        <w:t xml:space="preserve">(p[k]), </w:t>
      </w:r>
      <w:r>
        <w:rPr>
          <w:rStyle w:val="FloatTok"/>
        </w:rPr>
        <w:t xml:space="preserve">1e-6</w:t>
      </w:r>
      <w:r>
        <w:rPr>
          <w:rStyle w:val="NormalTok"/>
        </w:rPr>
        <w:t xml:space="preserve">)</w:t>
      </w:r>
      <w:r>
        <w:br/>
      </w:r>
      <w:r>
        <w:rPr>
          <w:rStyle w:val="NormalTok"/>
        </w:rPr>
        <w:t xml:space="preserve">                q </w:t>
      </w:r>
      <w:r>
        <w:rPr>
          <w:rStyle w:val="OperatorTok"/>
        </w:rPr>
        <w:t xml:space="preserve">=</w:t>
      </w:r>
      <w:r>
        <w:rPr>
          <w:rStyle w:val="NormalTok"/>
        </w:rPr>
        <w:t xml:space="preserve"> p[:]</w:t>
      </w:r>
      <w:r>
        <w:rPr>
          <w:rStyle w:val="OperatorTok"/>
        </w:rPr>
        <w:t xml:space="preserve">;</w:t>
      </w:r>
      <w:r>
        <w:rPr>
          <w:rStyle w:val="NormalTok"/>
        </w:rPr>
        <w:t xml:space="preserve"> q[k] </w:t>
      </w:r>
      <w:r>
        <w:rPr>
          <w:rStyle w:val="OperatorTok"/>
        </w:rPr>
        <w:t xml:space="preserve">+=</w:t>
      </w:r>
      <w:r>
        <w:rPr>
          <w:rStyle w:val="NormalTok"/>
        </w:rPr>
        <w:t xml:space="preserve"> h</w:t>
      </w:r>
      <w:r>
        <w:br/>
      </w:r>
      <w:r>
        <w:rPr>
          <w:rStyle w:val="NormalTok"/>
        </w:rPr>
        <w:t xml:space="preserve">                row.append((usl(n, </w:t>
      </w:r>
      <w:r>
        <w:rPr>
          <w:rStyle w:val="OperatorTok"/>
        </w:rPr>
        <w:t xml:space="preserve">*</w:t>
      </w:r>
      <w:r>
        <w:rPr>
          <w:rStyle w:val="NormalTok"/>
        </w:rPr>
        <w:t xml:space="preserve">q) </w:t>
      </w:r>
      <w:r>
        <w:rPr>
          <w:rStyle w:val="OperatorTok"/>
        </w:rPr>
        <w:t xml:space="preserve">-</w:t>
      </w:r>
      <w:r>
        <w:rPr>
          <w:rStyle w:val="NormalTok"/>
        </w:rPr>
        <w:t xml:space="preserve"> usl(n, </w:t>
      </w:r>
      <w:r>
        <w:rPr>
          <w:rStyle w:val="OperatorTok"/>
        </w:rPr>
        <w:t xml:space="preserve">*</w:t>
      </w:r>
      <w:r>
        <w:rPr>
          <w:rStyle w:val="NormalTok"/>
        </w:rPr>
        <w:t xml:space="preserve">p)) </w:t>
      </w:r>
      <w:r>
        <w:rPr>
          <w:rStyle w:val="OperatorTok"/>
        </w:rPr>
        <w:t xml:space="preserve">/</w:t>
      </w:r>
      <w:r>
        <w:rPr>
          <w:rStyle w:val="NormalTok"/>
        </w:rPr>
        <w:t xml:space="preserve"> h)</w:t>
      </w:r>
      <w:r>
        <w:br/>
      </w:r>
      <w:r>
        <w:rPr>
          <w:rStyle w:val="NormalTok"/>
        </w:rPr>
        <w:t xml:space="preserve">            jac.append(row)</w:t>
      </w:r>
      <w:r>
        <w:br/>
      </w:r>
      <w:r>
        <w:rPr>
          <w:rStyle w:val="NormalTok"/>
        </w:rPr>
        <w:t xml:space="preserve">        jtj </w:t>
      </w:r>
      <w:r>
        <w:rPr>
          <w:rStyle w:val="OperatorTok"/>
        </w:rPr>
        <w:t xml:space="preserve">=</w:t>
      </w:r>
      <w:r>
        <w:rPr>
          <w:rStyle w:val="NormalTok"/>
        </w:rPr>
        <w:t xml:space="preserve"> [[</w:t>
      </w:r>
      <w:r>
        <w:rPr>
          <w:rStyle w:val="BuiltInTok"/>
        </w:rPr>
        <w:t xml:space="preserve">sum</w:t>
      </w:r>
      <w:r>
        <w:rPr>
          <w:rStyle w:val="NormalTok"/>
        </w:rPr>
        <w:t xml:space="preserve">(j[a] </w:t>
      </w:r>
      <w:r>
        <w:rPr>
          <w:rStyle w:val="OperatorTok"/>
        </w:rPr>
        <w:t xml:space="preserve">*</w:t>
      </w:r>
      <w:r>
        <w:rPr>
          <w:rStyle w:val="NormalTok"/>
        </w:rPr>
        <w:t xml:space="preserve"> j[b] </w:t>
      </w:r>
      <w:r>
        <w:rPr>
          <w:rStyle w:val="ControlFlowTok"/>
        </w:rPr>
        <w:t xml:space="preserve">for</w:t>
      </w:r>
      <w:r>
        <w:rPr>
          <w:rStyle w:val="NormalTok"/>
        </w:rPr>
        <w:t xml:space="preserve"> j </w:t>
      </w:r>
      <w:r>
        <w:rPr>
          <w:rStyle w:val="KeywordTok"/>
        </w:rPr>
        <w:t xml:space="preserve">in</w:t>
      </w:r>
      <w:r>
        <w:rPr>
          <w:rStyle w:val="NormalTok"/>
        </w:rPr>
        <w:t xml:space="preserve"> jac) </w:t>
      </w:r>
      <w:r>
        <w:rPr>
          <w:rStyle w:val="ControlFlowTok"/>
        </w:rPr>
        <w:t xml:space="preserve">for</w:t>
      </w:r>
      <w:r>
        <w:rPr>
          <w:rStyle w:val="NormalTok"/>
        </w:rPr>
        <w:t xml:space="preserve"> b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jtr </w:t>
      </w:r>
      <w:r>
        <w:rPr>
          <w:rStyle w:val="OperatorTok"/>
        </w:rPr>
        <w:t xml:space="preserve">=</w:t>
      </w:r>
      <w:r>
        <w:rPr>
          <w:rStyle w:val="NormalTok"/>
        </w:rPr>
        <w:t xml:space="preserve"> [</w:t>
      </w:r>
      <w:r>
        <w:rPr>
          <w:rStyle w:val="BuiltInTok"/>
        </w:rPr>
        <w:t xml:space="preserve">sum</w:t>
      </w:r>
      <w:r>
        <w:rPr>
          <w:rStyle w:val="NormalTok"/>
        </w:rPr>
        <w:t xml:space="preserve">(j[a] </w:t>
      </w:r>
      <w:r>
        <w:rPr>
          <w:rStyle w:val="OperatorTok"/>
        </w:rPr>
        <w:t xml:space="preserve">*</w:t>
      </w:r>
      <w:r>
        <w:rPr>
          <w:rStyle w:val="NormalTok"/>
        </w:rPr>
        <w:t xml:space="preserve"> ri </w:t>
      </w:r>
      <w:r>
        <w:rPr>
          <w:rStyle w:val="ControlFlowTok"/>
        </w:rPr>
        <w:t xml:space="preserve">for</w:t>
      </w:r>
      <w:r>
        <w:rPr>
          <w:rStyle w:val="NormalTok"/>
        </w:rPr>
        <w:t xml:space="preserve"> j, ri </w:t>
      </w:r>
      <w:r>
        <w:rPr>
          <w:rStyle w:val="KeywordTok"/>
        </w:rPr>
        <w:t xml:space="preserve">in</w:t>
      </w:r>
      <w:r>
        <w:rPr>
          <w:rStyle w:val="NormalTok"/>
        </w:rPr>
        <w:t xml:space="preserve"> </w:t>
      </w:r>
      <w:r>
        <w:rPr>
          <w:rStyle w:val="BuiltInTok"/>
        </w:rPr>
        <w:t xml:space="preserve">zip</w:t>
      </w:r>
      <w:r>
        <w:rPr>
          <w:rStyle w:val="NormalTok"/>
        </w:rPr>
        <w:t xml:space="preserve">(jac, r)) </w:t>
      </w:r>
      <w:r>
        <w:rPr>
          <w:rStyle w:val="ControlFlowTok"/>
        </w:rPr>
        <w:t xml:space="preserve">for</w:t>
      </w:r>
      <w:r>
        <w:rPr>
          <w:rStyle w:val="NormalTok"/>
        </w:rPr>
        <w:t xml:space="preserve"> a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step </w:t>
      </w:r>
      <w:r>
        <w:rPr>
          <w:rStyle w:val="OperatorTok"/>
        </w:rPr>
        <w:t xml:space="preserve">=</w:t>
      </w:r>
      <w:r>
        <w:rPr>
          <w:rStyle w:val="NormalTok"/>
        </w:rPr>
        <w:t xml:space="preserve"> solve(jtj, jtr)</w:t>
      </w:r>
      <w:r>
        <w:br/>
      </w:r>
      <w:r>
        <w:rPr>
          <w:rStyle w:val="NormalTok"/>
        </w:rPr>
        <w:t xml:space="preserve">        p </w:t>
      </w:r>
      <w:r>
        <w:rPr>
          <w:rStyle w:val="OperatorTok"/>
        </w:rPr>
        <w:t xml:space="preserve">=</w:t>
      </w:r>
      <w:r>
        <w:rPr>
          <w:rStyle w:val="NormalTok"/>
        </w:rPr>
        <w:t xml:space="preserve"> [pi </w:t>
      </w:r>
      <w:r>
        <w:rPr>
          <w:rStyle w:val="OperatorTok"/>
        </w:rPr>
        <w:t xml:space="preserve">+</w:t>
      </w:r>
      <w:r>
        <w:rPr>
          <w:rStyle w:val="NormalTok"/>
        </w:rPr>
        <w:t xml:space="preserve"> si </w:t>
      </w:r>
      <w:r>
        <w:rPr>
          <w:rStyle w:val="ControlFlowTok"/>
        </w:rPr>
        <w:t xml:space="preserve">for</w:t>
      </w:r>
      <w:r>
        <w:rPr>
          <w:rStyle w:val="NormalTok"/>
        </w:rPr>
        <w:t xml:space="preserve"> pi, si </w:t>
      </w:r>
      <w:r>
        <w:rPr>
          <w:rStyle w:val="KeywordTok"/>
        </w:rPr>
        <w:t xml:space="preserve">in</w:t>
      </w:r>
      <w:r>
        <w:rPr>
          <w:rStyle w:val="NormalTok"/>
        </w:rPr>
        <w:t xml:space="preserve"> </w:t>
      </w:r>
      <w:r>
        <w:rPr>
          <w:rStyle w:val="BuiltInTok"/>
        </w:rPr>
        <w:t xml:space="preserve">zip</w:t>
      </w:r>
      <w:r>
        <w:rPr>
          <w:rStyle w:val="NormalTok"/>
        </w:rPr>
        <w:t xml:space="preserve">(p, step)]</w:t>
      </w:r>
      <w:r>
        <w:br/>
      </w:r>
      <w:r>
        <w:rPr>
          <w:rStyle w:val="NormalTok"/>
        </w:rPr>
        <w:t xml:space="preserve">        </w:t>
      </w:r>
      <w:r>
        <w:rPr>
          <w:rStyle w:val="ControlFlowTok"/>
        </w:rPr>
        <w:t xml:space="preserve">if</w:t>
      </w:r>
      <w:r>
        <w:rPr>
          <w:rStyle w:val="NormalTok"/>
        </w:rPr>
        <w:t xml:space="preserve"> </w:t>
      </w:r>
      <w:r>
        <w:rPr>
          <w:rStyle w:val="BuiltInTok"/>
        </w:rPr>
        <w:t xml:space="preserve">max</w:t>
      </w:r>
      <w:r>
        <w:rPr>
          <w:rStyle w:val="NormalTok"/>
        </w:rPr>
        <w:t xml:space="preserve">(</w:t>
      </w:r>
      <w:r>
        <w:rPr>
          <w:rStyle w:val="BuiltInTok"/>
        </w:rPr>
        <w:t xml:space="preserve">abs</w:t>
      </w:r>
      <w:r>
        <w:rPr>
          <w:rStyle w:val="NormalTok"/>
        </w:rPr>
        <w:t xml:space="preserve">(s </w:t>
      </w:r>
      <w:r>
        <w:rPr>
          <w:rStyle w:val="OperatorTok"/>
        </w:rPr>
        <w:t xml:space="preserve">/</w:t>
      </w:r>
      <w:r>
        <w:rPr>
          <w:rStyle w:val="NormalTok"/>
        </w:rPr>
        <w:t xml:space="preserve"> pi) </w:t>
      </w:r>
      <w:r>
        <w:rPr>
          <w:rStyle w:val="ControlFlowTok"/>
        </w:rPr>
        <w:t xml:space="preserve">for</w:t>
      </w:r>
      <w:r>
        <w:rPr>
          <w:rStyle w:val="NormalTok"/>
        </w:rPr>
        <w:t xml:space="preserve"> s, pi </w:t>
      </w:r>
      <w:r>
        <w:rPr>
          <w:rStyle w:val="KeywordTok"/>
        </w:rPr>
        <w:t xml:space="preserve">in</w:t>
      </w:r>
      <w:r>
        <w:rPr>
          <w:rStyle w:val="NormalTok"/>
        </w:rPr>
        <w:t xml:space="preserve"> </w:t>
      </w:r>
      <w:r>
        <w:rPr>
          <w:rStyle w:val="BuiltInTok"/>
        </w:rPr>
        <w:t xml:space="preserve">zip</w:t>
      </w:r>
      <w:r>
        <w:rPr>
          <w:rStyle w:val="NormalTok"/>
        </w:rPr>
        <w:t xml:space="preserve">(step, p)) </w:t>
      </w:r>
      <w:r>
        <w:rPr>
          <w:rStyle w:val="OperatorTok"/>
        </w:rPr>
        <w:t xml:space="preserve">&lt;</w:t>
      </w:r>
      <w:r>
        <w:rPr>
          <w:rStyle w:val="NormalTok"/>
        </w:rPr>
        <w:t xml:space="preserve"> </w:t>
      </w:r>
      <w:r>
        <w:rPr>
          <w:rStyle w:val="FloatTok"/>
        </w:rPr>
        <w:t xml:space="preserve">1e-10</w:t>
      </w:r>
      <w:r>
        <w:rPr>
          <w:rStyle w:val="NormalTok"/>
        </w:rPr>
        <w:t xml:space="preserve">:</w:t>
      </w:r>
      <w:r>
        <w:br/>
      </w:r>
      <w:r>
        <w:rPr>
          <w:rStyle w:val="NormalTok"/>
        </w:rPr>
        <w:t xml:space="preserve">            </w:t>
      </w:r>
      <w:r>
        <w:rPr>
          <w:rStyle w:val="ControlFlowTok"/>
        </w:rPr>
        <w:t xml:space="preserve">break</w:t>
      </w:r>
      <w:r>
        <w:br/>
      </w:r>
      <w:r>
        <w:rPr>
          <w:rStyle w:val="NormalTok"/>
        </w:rPr>
        <w:t xml:space="preserve">    </w:t>
      </w:r>
      <w:r>
        <w:rPr>
          <w:rStyle w:val="ControlFlowTok"/>
        </w:rPr>
        <w:t xml:space="preserve">return</w:t>
      </w:r>
      <w:r>
        <w:rPr>
          <w:rStyle w:val="NormalTok"/>
        </w:rPr>
        <w:t xml:space="preserve"> p</w:t>
      </w:r>
      <w:r>
        <w:br/>
      </w:r>
      <w:r>
        <w:br/>
      </w:r>
      <w:r>
        <w:rPr>
          <w:rStyle w:val="CommentTok"/>
        </w:rPr>
        <w:t xml:space="preserve"># "Measured" throughput (req/s) at each client concurrency N. Synthetic:</w:t>
      </w:r>
      <w:r>
        <w:br/>
      </w:r>
      <w:r>
        <w:rPr>
          <w:rStyle w:val="CommentTok"/>
        </w:rPr>
        <w:t xml:space="preserve"># generated from gamma=950, alpha=0.03, beta=0.0004 with 3% noise.</w:t>
      </w:r>
      <w:r>
        <w:br/>
      </w:r>
      <w:r>
        <w:rPr>
          <w:rStyle w:val="NormalTok"/>
        </w:rPr>
        <w:t xml:space="preserve">rng </w:t>
      </w:r>
      <w:r>
        <w:rPr>
          <w:rStyle w:val="OperatorTok"/>
        </w:rPr>
        <w:t xml:space="preserve">=</w:t>
      </w:r>
      <w:r>
        <w:rPr>
          <w:rStyle w:val="NormalTok"/>
        </w:rPr>
        <w:t xml:space="preserve"> random.Random(</w:t>
      </w:r>
      <w:r>
        <w:rPr>
          <w:rStyle w:val="DecValTok"/>
        </w:rPr>
        <w:t xml:space="preserve">11</w:t>
      </w:r>
      <w:r>
        <w:rPr>
          <w:rStyle w:val="NormalTok"/>
        </w:rPr>
        <w:t xml:space="preserve">)</w:t>
      </w:r>
      <w:r>
        <w:br/>
      </w:r>
      <w:r>
        <w:rPr>
          <w:rStyle w:val="NormalTok"/>
        </w:rPr>
        <w:t xml:space="preserve">ns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12</w:t>
      </w:r>
      <w:r>
        <w:rPr>
          <w:rStyle w:val="NormalTok"/>
        </w:rPr>
        <w:t xml:space="preserve">, </w:t>
      </w:r>
      <w:r>
        <w:rPr>
          <w:rStyle w:val="DecValTok"/>
        </w:rPr>
        <w:t xml:space="preserve">16</w:t>
      </w:r>
      <w:r>
        <w:rPr>
          <w:rStyle w:val="NormalTok"/>
        </w:rPr>
        <w:t xml:space="preserve">, </w:t>
      </w:r>
      <w:r>
        <w:rPr>
          <w:rStyle w:val="DecValTok"/>
        </w:rPr>
        <w:t xml:space="preserve">24</w:t>
      </w:r>
      <w:r>
        <w:rPr>
          <w:rStyle w:val="NormalTok"/>
        </w:rPr>
        <w:t xml:space="preserve">, </w:t>
      </w:r>
      <w:r>
        <w:rPr>
          <w:rStyle w:val="DecValTok"/>
        </w:rPr>
        <w:t xml:space="preserve">32</w:t>
      </w:r>
      <w:r>
        <w:rPr>
          <w:rStyle w:val="NormalTok"/>
        </w:rPr>
        <w:t xml:space="preserve">, </w:t>
      </w:r>
      <w:r>
        <w:rPr>
          <w:rStyle w:val="DecValTok"/>
        </w:rPr>
        <w:t xml:space="preserve">48</w:t>
      </w:r>
      <w:r>
        <w:rPr>
          <w:rStyle w:val="NormalTok"/>
        </w:rPr>
        <w:t xml:space="preserve">, </w:t>
      </w:r>
      <w:r>
        <w:rPr>
          <w:rStyle w:val="DecValTok"/>
        </w:rPr>
        <w:t xml:space="preserve">64</w:t>
      </w:r>
      <w:r>
        <w:rPr>
          <w:rStyle w:val="NormalTok"/>
        </w:rPr>
        <w:t xml:space="preserve">]</w:t>
      </w:r>
      <w:r>
        <w:br/>
      </w:r>
      <w:r>
        <w:rPr>
          <w:rStyle w:val="NormalTok"/>
        </w:rPr>
        <w:t xml:space="preserve">xs </w:t>
      </w:r>
      <w:r>
        <w:rPr>
          <w:rStyle w:val="OperatorTok"/>
        </w:rPr>
        <w:t xml:space="preserve">=</w:t>
      </w:r>
      <w:r>
        <w:rPr>
          <w:rStyle w:val="NormalTok"/>
        </w:rPr>
        <w:t xml:space="preserve"> [</w:t>
      </w:r>
      <w:r>
        <w:rPr>
          <w:rStyle w:val="BuiltInTok"/>
        </w:rPr>
        <w:t xml:space="preserve">round</w:t>
      </w:r>
      <w:r>
        <w:rPr>
          <w:rStyle w:val="NormalTok"/>
        </w:rPr>
        <w:t xml:space="preserve">(usl(n, </w:t>
      </w:r>
      <w:r>
        <w:rPr>
          <w:rStyle w:val="DecValTok"/>
        </w:rPr>
        <w:t xml:space="preserve">950</w:t>
      </w:r>
      <w:r>
        <w:rPr>
          <w:rStyle w:val="NormalTok"/>
        </w:rPr>
        <w:t xml:space="preserve">, </w:t>
      </w:r>
      <w:r>
        <w:rPr>
          <w:rStyle w:val="FloatTok"/>
        </w:rPr>
        <w:t xml:space="preserve">0.03</w:t>
      </w:r>
      <w:r>
        <w:rPr>
          <w:rStyle w:val="NormalTok"/>
        </w:rPr>
        <w:t xml:space="preserve">, </w:t>
      </w:r>
      <w:r>
        <w:rPr>
          <w:rStyle w:val="FloatTok"/>
        </w:rPr>
        <w:t xml:space="preserve">0.0004</w:t>
      </w:r>
      <w:r>
        <w:rPr>
          <w:rStyle w:val="NormalTok"/>
        </w:rPr>
        <w:t xml:space="preserve">) </w:t>
      </w:r>
      <w:r>
        <w:rPr>
          <w:rStyle w:val="OperatorTok"/>
        </w:rPr>
        <w:t xml:space="preserve">*</w:t>
      </w:r>
      <w:r>
        <w:rPr>
          <w:rStyle w:val="NormalTok"/>
        </w:rPr>
        <w:t xml:space="preserve"> rng.gauss(</w:t>
      </w:r>
      <w:r>
        <w:rPr>
          <w:rStyle w:val="DecValTok"/>
        </w:rPr>
        <w:t xml:space="preserve">1</w:t>
      </w:r>
      <w:r>
        <w:rPr>
          <w:rStyle w:val="NormalTok"/>
        </w:rPr>
        <w:t xml:space="preserve">, </w:t>
      </w:r>
      <w:r>
        <w:rPr>
          <w:rStyle w:val="FloatTok"/>
        </w:rPr>
        <w:t xml:space="preserve">0.03</w:t>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ns]</w:t>
      </w:r>
      <w:r>
        <w:br/>
      </w:r>
      <w:r>
        <w:br/>
      </w:r>
      <w:r>
        <w:rPr>
          <w:rStyle w:val="NormalTok"/>
        </w:rPr>
        <w:t xml:space="preserve">g, a, b </w:t>
      </w:r>
      <w:r>
        <w:rPr>
          <w:rStyle w:val="OperatorTok"/>
        </w:rPr>
        <w:t xml:space="preserve">=</w:t>
      </w:r>
      <w:r>
        <w:rPr>
          <w:rStyle w:val="NormalTok"/>
        </w:rPr>
        <w:t xml:space="preserve"> fit_linearized(ns, xs)</w:t>
      </w:r>
      <w:r>
        <w:br/>
      </w:r>
      <w:r>
        <w:rPr>
          <w:rStyle w:val="BuiltInTok"/>
        </w:rPr>
        <w:t xml:space="preserve">print</w:t>
      </w:r>
      <w:r>
        <w:rPr>
          <w:rStyle w:val="NormalTok"/>
        </w:rPr>
        <w:t xml:space="preserve">(</w:t>
      </w:r>
      <w:r>
        <w:rPr>
          <w:rStyle w:val="SpecialStringTok"/>
        </w:rPr>
        <w:t xml:space="preserve">f"linearized fit : gamma=</w:t>
      </w:r>
      <w:r>
        <w:rPr>
          <w:rStyle w:val="SpecialCharTok"/>
        </w:rPr>
        <w:t xml:space="preserve">{</w:t>
      </w:r>
      <w:r>
        <w:rPr>
          <w:rStyle w:val="NormalTok"/>
        </w:rPr>
        <w:t xml:space="preserve">g</w:t>
      </w:r>
      <w:r>
        <w:rPr>
          <w:rStyle w:val="SpecialCharTok"/>
        </w:rPr>
        <w:t xml:space="preserve">:7.1f}</w:t>
      </w:r>
      <w:r>
        <w:rPr>
          <w:rStyle w:val="SpecialStringTok"/>
        </w:rPr>
        <w:t xml:space="preserve">  alpha=</w:t>
      </w:r>
      <w:r>
        <w:rPr>
          <w:rStyle w:val="SpecialCharTok"/>
        </w:rPr>
        <w:t xml:space="preserve">{</w:t>
      </w:r>
      <w:r>
        <w:rPr>
          <w:rStyle w:val="NormalTok"/>
        </w:rPr>
        <w:t xml:space="preserve">a</w:t>
      </w:r>
      <w:r>
        <w:rPr>
          <w:rStyle w:val="SpecialCharTok"/>
        </w:rPr>
        <w:t xml:space="preserve">:.4f}</w:t>
      </w:r>
      <w:r>
        <w:rPr>
          <w:rStyle w:val="SpecialStringTok"/>
        </w:rPr>
        <w:t xml:space="preserve">  beta=</w:t>
      </w:r>
      <w:r>
        <w:rPr>
          <w:rStyle w:val="SpecialCharTok"/>
        </w:rPr>
        <w:t xml:space="preserve">{</w:t>
      </w:r>
      <w:r>
        <w:rPr>
          <w:rStyle w:val="NormalTok"/>
        </w:rPr>
        <w:t xml:space="preserve">b</w:t>
      </w:r>
      <w:r>
        <w:rPr>
          <w:rStyle w:val="SpecialCharTok"/>
        </w:rPr>
        <w:t xml:space="preserve">:.6f}</w:t>
      </w:r>
      <w:r>
        <w:rPr>
          <w:rStyle w:val="SpecialStringTok"/>
        </w:rPr>
        <w:t xml:space="preserve">"</w:t>
      </w:r>
      <w:r>
        <w:rPr>
          <w:rStyle w:val="NormalTok"/>
        </w:rPr>
        <w:t xml:space="preserve">)</w:t>
      </w:r>
      <w:r>
        <w:br/>
      </w:r>
      <w:r>
        <w:rPr>
          <w:rStyle w:val="NormalTok"/>
        </w:rPr>
        <w:t xml:space="preserve">g, a, b </w:t>
      </w:r>
      <w:r>
        <w:rPr>
          <w:rStyle w:val="OperatorTok"/>
        </w:rPr>
        <w:t xml:space="preserve">=</w:t>
      </w:r>
      <w:r>
        <w:rPr>
          <w:rStyle w:val="NormalTok"/>
        </w:rPr>
        <w:t xml:space="preserve"> fit_nonlinear(ns, xs, (g, a, b))</w:t>
      </w:r>
      <w:r>
        <w:br/>
      </w:r>
      <w:r>
        <w:rPr>
          <w:rStyle w:val="BuiltInTok"/>
        </w:rPr>
        <w:t xml:space="preserve">print</w:t>
      </w:r>
      <w:r>
        <w:rPr>
          <w:rStyle w:val="NormalTok"/>
        </w:rPr>
        <w:t xml:space="preserve">(</w:t>
      </w:r>
      <w:r>
        <w:rPr>
          <w:rStyle w:val="SpecialStringTok"/>
        </w:rPr>
        <w:t xml:space="preserve">f"nonlinear fit  : gamma=</w:t>
      </w:r>
      <w:r>
        <w:rPr>
          <w:rStyle w:val="SpecialCharTok"/>
        </w:rPr>
        <w:t xml:space="preserve">{</w:t>
      </w:r>
      <w:r>
        <w:rPr>
          <w:rStyle w:val="NormalTok"/>
        </w:rPr>
        <w:t xml:space="preserve">g</w:t>
      </w:r>
      <w:r>
        <w:rPr>
          <w:rStyle w:val="SpecialCharTok"/>
        </w:rPr>
        <w:t xml:space="preserve">:7.1f}</w:t>
      </w:r>
      <w:r>
        <w:rPr>
          <w:rStyle w:val="SpecialStringTok"/>
        </w:rPr>
        <w:t xml:space="preserve">  alpha=</w:t>
      </w:r>
      <w:r>
        <w:rPr>
          <w:rStyle w:val="SpecialCharTok"/>
        </w:rPr>
        <w:t xml:space="preserve">{</w:t>
      </w:r>
      <w:r>
        <w:rPr>
          <w:rStyle w:val="NormalTok"/>
        </w:rPr>
        <w:t xml:space="preserve">a</w:t>
      </w:r>
      <w:r>
        <w:rPr>
          <w:rStyle w:val="SpecialCharTok"/>
        </w:rPr>
        <w:t xml:space="preserve">:.4f}</w:t>
      </w:r>
      <w:r>
        <w:rPr>
          <w:rStyle w:val="SpecialStringTok"/>
        </w:rPr>
        <w:t xml:space="preserve">  beta=</w:t>
      </w:r>
      <w:r>
        <w:rPr>
          <w:rStyle w:val="SpecialCharTok"/>
        </w:rPr>
        <w:t xml:space="preserve">{</w:t>
      </w:r>
      <w:r>
        <w:rPr>
          <w:rStyle w:val="NormalTok"/>
        </w:rPr>
        <w:t xml:space="preserve">b</w:t>
      </w:r>
      <w:r>
        <w:rPr>
          <w:rStyle w:val="SpecialCharTok"/>
        </w:rPr>
        <w:t xml:space="preserve">:.6f}</w:t>
      </w:r>
      <w:r>
        <w:rPr>
          <w:rStyle w:val="SpecialStringTok"/>
        </w:rPr>
        <w:t xml:space="preserve">"</w:t>
      </w:r>
      <w:r>
        <w:rPr>
          <w:rStyle w:val="NormalTok"/>
        </w:rPr>
        <w:t xml:space="preserve">)</w:t>
      </w:r>
      <w:r>
        <w:br/>
      </w:r>
      <w:r>
        <w:br/>
      </w:r>
      <w:r>
        <w:rPr>
          <w:rStyle w:val="NormalTok"/>
        </w:rPr>
        <w:t xml:space="preserve">mean </w:t>
      </w:r>
      <w:r>
        <w:rPr>
          <w:rStyle w:val="OperatorTok"/>
        </w:rPr>
        <w:t xml:space="preserve">=</w:t>
      </w:r>
      <w:r>
        <w:rPr>
          <w:rStyle w:val="NormalTok"/>
        </w:rPr>
        <w:t xml:space="preserve"> </w:t>
      </w:r>
      <w:r>
        <w:rPr>
          <w:rStyle w:val="BuiltInTok"/>
        </w:rPr>
        <w:t xml:space="preserve">sum</w:t>
      </w:r>
      <w:r>
        <w:rPr>
          <w:rStyle w:val="NormalTok"/>
        </w:rPr>
        <w:t xml:space="preserve">(xs) </w:t>
      </w:r>
      <w:r>
        <w:rPr>
          <w:rStyle w:val="OperatorTok"/>
        </w:rPr>
        <w:t xml:space="preserve">/</w:t>
      </w:r>
      <w:r>
        <w:rPr>
          <w:rStyle w:val="NormalTok"/>
        </w:rPr>
        <w:t xml:space="preserve"> </w:t>
      </w:r>
      <w:r>
        <w:rPr>
          <w:rStyle w:val="BuiltInTok"/>
        </w:rPr>
        <w:t xml:space="preserve">len</w:t>
      </w:r>
      <w:r>
        <w:rPr>
          <w:rStyle w:val="NormalTok"/>
        </w:rPr>
        <w:t xml:space="preserve">(xs)</w:t>
      </w:r>
      <w:r>
        <w:br/>
      </w:r>
      <w:r>
        <w:rPr>
          <w:rStyle w:val="NormalTok"/>
        </w:rPr>
        <w:t xml:space="preserve">ss_res </w:t>
      </w:r>
      <w:r>
        <w:rPr>
          <w:rStyle w:val="OperatorTok"/>
        </w:rPr>
        <w:t xml:space="preserve">=</w:t>
      </w:r>
      <w:r>
        <w:rPr>
          <w:rStyle w:val="NormalTok"/>
        </w:rPr>
        <w:t xml:space="preserve"> </w:t>
      </w:r>
      <w:r>
        <w:rPr>
          <w:rStyle w:val="BuiltInTok"/>
        </w:rPr>
        <w:t xml:space="preserve">sum</w:t>
      </w:r>
      <w:r>
        <w:rPr>
          <w:rStyle w:val="NormalTok"/>
        </w:rPr>
        <w:t xml:space="preserve">((x </w:t>
      </w:r>
      <w:r>
        <w:rPr>
          <w:rStyle w:val="OperatorTok"/>
        </w:rPr>
        <w:t xml:space="preserve">-</w:t>
      </w:r>
      <w:r>
        <w:rPr>
          <w:rStyle w:val="NormalTok"/>
        </w:rPr>
        <w:t xml:space="preserve"> usl(n, g, a, b))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for</w:t>
      </w:r>
      <w:r>
        <w:rPr>
          <w:rStyle w:val="NormalTok"/>
        </w:rPr>
        <w:t xml:space="preserve"> n, x </w:t>
      </w:r>
      <w:r>
        <w:rPr>
          <w:rStyle w:val="KeywordTok"/>
        </w:rPr>
        <w:t xml:space="preserve">in</w:t>
      </w:r>
      <w:r>
        <w:rPr>
          <w:rStyle w:val="NormalTok"/>
        </w:rPr>
        <w:t xml:space="preserve"> </w:t>
      </w:r>
      <w:r>
        <w:rPr>
          <w:rStyle w:val="BuiltInTok"/>
        </w:rPr>
        <w:t xml:space="preserve">zip</w:t>
      </w:r>
      <w:r>
        <w:rPr>
          <w:rStyle w:val="NormalTok"/>
        </w:rPr>
        <w:t xml:space="preserve">(ns, xs))</w:t>
      </w:r>
      <w:r>
        <w:br/>
      </w:r>
      <w:r>
        <w:rPr>
          <w:rStyle w:val="NormalTok"/>
        </w:rPr>
        <w:t xml:space="preserve">ss_tot </w:t>
      </w:r>
      <w:r>
        <w:rPr>
          <w:rStyle w:val="OperatorTok"/>
        </w:rPr>
        <w:t xml:space="preserve">=</w:t>
      </w:r>
      <w:r>
        <w:rPr>
          <w:rStyle w:val="NormalTok"/>
        </w:rPr>
        <w:t xml:space="preserve"> </w:t>
      </w:r>
      <w:r>
        <w:rPr>
          <w:rStyle w:val="BuiltInTok"/>
        </w:rPr>
        <w:t xml:space="preserve">sum</w:t>
      </w:r>
      <w:r>
        <w:rPr>
          <w:rStyle w:val="NormalTok"/>
        </w:rPr>
        <w:t xml:space="preserve">((x </w:t>
      </w:r>
      <w:r>
        <w:rPr>
          <w:rStyle w:val="OperatorTok"/>
        </w:rPr>
        <w:t xml:space="preserve">-</w:t>
      </w:r>
      <w:r>
        <w:rPr>
          <w:rStyle w:val="NormalTok"/>
        </w:rPr>
        <w:t xml:space="preserve"> mean)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xs)</w:t>
      </w:r>
      <w:r>
        <w:br/>
      </w:r>
      <w:r>
        <w:rPr>
          <w:rStyle w:val="NormalTok"/>
        </w:rPr>
        <w:t xml:space="preserve">n_star </w:t>
      </w:r>
      <w:r>
        <w:rPr>
          <w:rStyle w:val="OperatorTok"/>
        </w:rPr>
        <w:t xml:space="preserve">=</w:t>
      </w:r>
      <w:r>
        <w:rPr>
          <w:rStyle w:val="NormalTok"/>
        </w:rPr>
        <w:t xml:space="preserve"> math.sqrt((</w:t>
      </w:r>
      <w:r>
        <w:rPr>
          <w:rStyle w:val="DecValTok"/>
        </w:rPr>
        <w:t xml:space="preserve">1</w:t>
      </w:r>
      <w:r>
        <w:rPr>
          <w:rStyle w:val="NormalTok"/>
        </w:rPr>
        <w:t xml:space="preserve"> </w:t>
      </w:r>
      <w:r>
        <w:rPr>
          <w:rStyle w:val="OperatorTok"/>
        </w:rPr>
        <w:t xml:space="preserve">-</w:t>
      </w:r>
      <w:r>
        <w:rPr>
          <w:rStyle w:val="NormalTok"/>
        </w:rPr>
        <w:t xml:space="preserve"> a) </w:t>
      </w:r>
      <w:r>
        <w:rPr>
          <w:rStyle w:val="OperatorTok"/>
        </w:rPr>
        <w:t xml:space="preserve">/</w:t>
      </w:r>
      <w:r>
        <w:rPr>
          <w:rStyle w:val="NormalTok"/>
        </w:rPr>
        <w:t xml:space="preserve"> b)</w:t>
      </w:r>
      <w:r>
        <w:br/>
      </w:r>
      <w:r>
        <w:rPr>
          <w:rStyle w:val="NormalTok"/>
        </w:rPr>
        <w:t xml:space="preserve">x_max </w:t>
      </w:r>
      <w:r>
        <w:rPr>
          <w:rStyle w:val="OperatorTok"/>
        </w:rPr>
        <w:t xml:space="preserve">=</w:t>
      </w:r>
      <w:r>
        <w:rPr>
          <w:rStyle w:val="NormalTok"/>
        </w:rPr>
        <w:t xml:space="preserve"> usl(n_star, g, a, b)</w:t>
      </w:r>
      <w:r>
        <w:br/>
      </w:r>
      <w:r>
        <w:rPr>
          <w:rStyle w:val="BuiltInTok"/>
        </w:rPr>
        <w:t xml:space="preserve">print</w:t>
      </w:r>
      <w:r>
        <w:rPr>
          <w:rStyle w:val="NormalTok"/>
        </w:rPr>
        <w:t xml:space="preserve">(</w:t>
      </w:r>
      <w:r>
        <w:rPr>
          <w:rStyle w:val="SpecialStringTok"/>
        </w:rPr>
        <w:t xml:space="preserve">f"R^2 = </w:t>
      </w:r>
      <w:r>
        <w:rPr>
          <w:rStyle w:val="SpecialCharTok"/>
        </w:rPr>
        <w:t xml:space="preserve">{</w:t>
      </w:r>
      <w:r>
        <w:rPr>
          <w:rStyle w:val="DecValTok"/>
        </w:rPr>
        <w:t xml:space="preserve">1</w:t>
      </w:r>
      <w:r>
        <w:rPr>
          <w:rStyle w:val="NormalTok"/>
        </w:rPr>
        <w:t xml:space="preserve"> </w:t>
      </w:r>
      <w:r>
        <w:rPr>
          <w:rStyle w:val="OperatorTok"/>
        </w:rPr>
        <w:t xml:space="preserve">-</w:t>
      </w:r>
      <w:r>
        <w:rPr>
          <w:rStyle w:val="NormalTok"/>
        </w:rPr>
        <w:t xml:space="preserve"> ss_res </w:t>
      </w:r>
      <w:r>
        <w:rPr>
          <w:rStyle w:val="OperatorTok"/>
        </w:rPr>
        <w:t xml:space="preserve">/</w:t>
      </w:r>
      <w:r>
        <w:rPr>
          <w:rStyle w:val="NormalTok"/>
        </w:rPr>
        <w:t xml:space="preserve"> ss_tot</w:t>
      </w:r>
      <w:r>
        <w:rPr>
          <w:rStyle w:val="SpecialCharTok"/>
        </w:rPr>
        <w:t xml:space="preserve">:.4f}</w:t>
      </w:r>
      <w:r>
        <w:rPr>
          <w:rStyle w:val="SpecialStringTok"/>
        </w:rPr>
        <w:t xml:space="preserve">   N* = </w:t>
      </w:r>
      <w:r>
        <w:rPr>
          <w:rStyle w:val="SpecialCharTok"/>
        </w:rPr>
        <w:t xml:space="preserve">{</w:t>
      </w:r>
      <w:r>
        <w:rPr>
          <w:rStyle w:val="NormalTok"/>
        </w:rPr>
        <w:t xml:space="preserve">n_star</w:t>
      </w:r>
      <w:r>
        <w:rPr>
          <w:rStyle w:val="SpecialCharTok"/>
        </w:rPr>
        <w:t xml:space="preserve">:.1f}</w:t>
      </w:r>
      <w:r>
        <w:rPr>
          <w:rStyle w:val="SpecialStringTok"/>
        </w:rPr>
        <w:t xml:space="preserve">   X(N*) = </w:t>
      </w:r>
      <w:r>
        <w:rPr>
          <w:rStyle w:val="SpecialCharTok"/>
        </w:rPr>
        <w:t xml:space="preserve">{</w:t>
      </w:r>
      <w:r>
        <w:rPr>
          <w:rStyle w:val="NormalTok"/>
        </w:rPr>
        <w:t xml:space="preserve">x_max</w:t>
      </w:r>
      <w:r>
        <w:rPr>
          <w:rStyle w:val="SpecialCharTok"/>
        </w:rPr>
        <w:t xml:space="preserve">:,.0f}</w:t>
      </w:r>
      <w:r>
        <w:rPr>
          <w:rStyle w:val="SpecialStringTok"/>
        </w:rPr>
        <w:t xml:space="preserve"> req/s"</w:t>
      </w:r>
      <w:r>
        <w:rPr>
          <w:rStyle w:val="NormalTok"/>
        </w:rPr>
        <w:t xml:space="preserve">)</w:t>
      </w:r>
      <w:r>
        <w:br/>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'N'</w:t>
      </w:r>
      <w:r>
        <w:rPr>
          <w:rStyle w:val="SpecialCharTok"/>
        </w:rPr>
        <w:t xml:space="preserve">:&gt;4}{</w:t>
      </w:r>
      <w:r>
        <w:rPr>
          <w:rStyle w:val="StringTok"/>
        </w:rPr>
        <w:t xml:space="preserve">'measured'</w:t>
      </w:r>
      <w:r>
        <w:rPr>
          <w:rStyle w:val="SpecialCharTok"/>
        </w:rPr>
        <w:t xml:space="preserve">:&gt;10}{</w:t>
      </w:r>
      <w:r>
        <w:rPr>
          <w:rStyle w:val="StringTok"/>
        </w:rPr>
        <w:t xml:space="preserve">'model'</w:t>
      </w:r>
      <w:r>
        <w:rPr>
          <w:rStyle w:val="SpecialCharTok"/>
        </w:rPr>
        <w:t xml:space="preserve">:&gt;9}{</w:t>
      </w:r>
      <w:r>
        <w:rPr>
          <w:rStyle w:val="StringTok"/>
        </w:rPr>
        <w:t xml:space="preserve">'R=N/X ms'</w:t>
      </w:r>
      <w:r>
        <w:rPr>
          <w:rStyle w:val="SpecialCharTok"/>
        </w:rPr>
        <w:t xml:space="preserve">:&gt;10}{</w:t>
      </w:r>
      <w:r>
        <w:rPr>
          <w:rStyle w:val="StringTok"/>
        </w:rPr>
        <w:t xml:space="preserve">'efficiency'</w:t>
      </w:r>
      <w:r>
        <w:rPr>
          <w:rStyle w:val="SpecialCharTok"/>
        </w:rPr>
        <w:t xml:space="preserve">:&gt;12}</w:t>
      </w:r>
      <w:r>
        <w:rPr>
          <w:rStyle w:val="SpecialStringTok"/>
        </w:rPr>
        <w:t xml:space="preserve">"</w:t>
      </w:r>
      <w:r>
        <w:rPr>
          <w:rStyle w:val="NormalTok"/>
        </w:rPr>
        <w:t xml:space="preserve">)</w:t>
      </w:r>
      <w:r>
        <w:br/>
      </w:r>
      <w:r>
        <w:rPr>
          <w:rStyle w:val="ControlFlowTok"/>
        </w:rPr>
        <w:t xml:space="preserve">for</w:t>
      </w:r>
      <w:r>
        <w:rPr>
          <w:rStyle w:val="NormalTok"/>
        </w:rPr>
        <w:t xml:space="preserve"> n </w:t>
      </w:r>
      <w:r>
        <w:rPr>
          <w:rStyle w:val="KeywordTok"/>
        </w:rPr>
        <w:t xml:space="preserve">in</w:t>
      </w:r>
      <w:r>
        <w:rPr>
          <w:rStyle w:val="NormalTok"/>
        </w:rPr>
        <w:t xml:space="preserve"> ns </w:t>
      </w:r>
      <w:r>
        <w:rPr>
          <w:rStyle w:val="OperatorTok"/>
        </w:rPr>
        <w:t xml:space="preserve">+</w:t>
      </w:r>
      <w:r>
        <w:rPr>
          <w:rStyle w:val="NormalTok"/>
        </w:rPr>
        <w:t xml:space="preserve"> [</w:t>
      </w:r>
      <w:r>
        <w:rPr>
          <w:rStyle w:val="DecValTok"/>
        </w:rPr>
        <w:t xml:space="preserve">96</w:t>
      </w:r>
      <w:r>
        <w:rPr>
          <w:rStyle w:val="NormalTok"/>
        </w:rPr>
        <w:t xml:space="preserve">, </w:t>
      </w:r>
      <w:r>
        <w:rPr>
          <w:rStyle w:val="DecValTok"/>
        </w:rPr>
        <w:t xml:space="preserve">128</w:t>
      </w:r>
      <w:r>
        <w:rPr>
          <w:rStyle w:val="NormalTok"/>
        </w:rPr>
        <w:t xml:space="preserve">]:</w:t>
      </w:r>
      <w:r>
        <w:br/>
      </w:r>
      <w:r>
        <w:rPr>
          <w:rStyle w:val="NormalTok"/>
        </w:rPr>
        <w:t xml:space="preserve">    model </w:t>
      </w:r>
      <w:r>
        <w:rPr>
          <w:rStyle w:val="OperatorTok"/>
        </w:rPr>
        <w:t xml:space="preserve">=</w:t>
      </w:r>
      <w:r>
        <w:rPr>
          <w:rStyle w:val="NormalTok"/>
        </w:rPr>
        <w:t xml:space="preserve"> usl(n, g, a, b)</w:t>
      </w:r>
      <w:r>
        <w:br/>
      </w:r>
      <w:r>
        <w:rPr>
          <w:rStyle w:val="NormalTok"/>
        </w:rPr>
        <w:t xml:space="preserve">    meas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xs[ns.index(n)]</w:t>
      </w:r>
      <w:r>
        <w:rPr>
          <w:rStyle w:val="SpecialCharTok"/>
        </w:rPr>
        <w:t xml:space="preserve">:&gt;10,}</w:t>
      </w:r>
      <w:r>
        <w:rPr>
          <w:rStyle w:val="SpecialStringTok"/>
        </w:rPr>
        <w:t xml:space="preserve">"</w:t>
      </w:r>
      <w:r>
        <w:rPr>
          <w:rStyle w:val="NormalTok"/>
        </w:rPr>
        <w:t xml:space="preserve"> </w:t>
      </w:r>
      <w:r>
        <w:rPr>
          <w:rStyle w:val="ControlFlowTok"/>
        </w:rPr>
        <w:t xml:space="preserve">if</w:t>
      </w:r>
      <w:r>
        <w:rPr>
          <w:rStyle w:val="NormalTok"/>
        </w:rPr>
        <w:t xml:space="preserve"> n </w:t>
      </w:r>
      <w:r>
        <w:rPr>
          <w:rStyle w:val="KeywordTok"/>
        </w:rPr>
        <w:t xml:space="preserve">in</w:t>
      </w:r>
      <w:r>
        <w:rPr>
          <w:rStyle w:val="NormalTok"/>
        </w:rPr>
        <w:t xml:space="preserve"> ns </w:t>
      </w:r>
      <w:r>
        <w:rPr>
          <w:rStyle w:val="ControlFlowTok"/>
        </w:rPr>
        <w:t xml:space="preserve">else</w:t>
      </w:r>
      <w:r>
        <w:rPr>
          <w:rStyle w:val="NormalTok"/>
        </w:rPr>
        <w:t xml:space="preserve"> </w:t>
      </w:r>
      <w:r>
        <w:rPr>
          <w:rStyle w:val="SpecialStringTok"/>
        </w:rPr>
        <w:t xml:space="preserve">f"</w:t>
      </w:r>
      <w:r>
        <w:rPr>
          <w:rStyle w:val="SpecialCharTok"/>
        </w:rPr>
        <w:t xml:space="preserve">{</w:t>
      </w:r>
      <w:r>
        <w:rPr>
          <w:rStyle w:val="StringTok"/>
        </w:rPr>
        <w:t xml:space="preserve">'-'</w:t>
      </w:r>
      <w:r>
        <w:rPr>
          <w:rStyle w:val="SpecialCharTok"/>
        </w:rPr>
        <w:t xml:space="preserve">:&gt;10}</w:t>
      </w:r>
      <w:r>
        <w:rPr>
          <w:rStyle w:val="SpecialString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w:t>
      </w:r>
      <w:r>
        <w:rPr>
          <w:rStyle w:val="SpecialCharTok"/>
        </w:rPr>
        <w:t xml:space="preserve">:&gt;4}{</w:t>
      </w:r>
      <w:r>
        <w:rPr>
          <w:rStyle w:val="NormalTok"/>
        </w:rPr>
        <w:t xml:space="preserve">meas</w:t>
      </w:r>
      <w:r>
        <w:rPr>
          <w:rStyle w:val="SpecialCharTok"/>
        </w:rPr>
        <w:t xml:space="preserve">}{</w:t>
      </w:r>
      <w:r>
        <w:rPr>
          <w:rStyle w:val="NormalTok"/>
        </w:rPr>
        <w:t xml:space="preserve">model</w:t>
      </w:r>
      <w:r>
        <w:rPr>
          <w:rStyle w:val="SpecialCharTok"/>
        </w:rPr>
        <w:t xml:space="preserve">:&gt;9,.0f}{</w:t>
      </w:r>
      <w:r>
        <w:rPr>
          <w:rStyle w:val="DecValTok"/>
        </w:rPr>
        <w:t xml:space="preserve">1000</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model</w:t>
      </w:r>
      <w:r>
        <w:rPr>
          <w:rStyle w:val="SpecialCharTok"/>
        </w:rPr>
        <w:t xml:space="preserve">:&gt;10.2f}{</w:t>
      </w:r>
      <w:r>
        <w:rPr>
          <w:rStyle w:val="NormalTok"/>
        </w:rPr>
        <w:t xml:space="preserve">model </w:t>
      </w:r>
      <w:r>
        <w:rPr>
          <w:rStyle w:val="OperatorTok"/>
        </w:rPr>
        <w:t xml:space="preserve">/</w:t>
      </w:r>
      <w:r>
        <w:rPr>
          <w:rStyle w:val="NormalTok"/>
        </w:rPr>
        <w:t xml:space="preserve"> (n </w:t>
      </w:r>
      <w:r>
        <w:rPr>
          <w:rStyle w:val="OperatorTok"/>
        </w:rPr>
        <w:t xml:space="preserve">*</w:t>
      </w:r>
      <w:r>
        <w:rPr>
          <w:rStyle w:val="NormalTok"/>
        </w:rPr>
        <w:t xml:space="preserve"> g)</w:t>
      </w:r>
      <w:r>
        <w:rPr>
          <w:rStyle w:val="SpecialCharTok"/>
        </w:rPr>
        <w:t xml:space="preserve">:&gt;12.0%}</w:t>
      </w:r>
      <w:r>
        <w:rPr>
          <w:rStyle w:val="SpecialStringTok"/>
        </w:rPr>
        <w:t xml:space="preserve">"</w:t>
      </w:r>
      <w:r>
        <w:rPr>
          <w:rStyle w:val="NormalTok"/>
        </w:rPr>
        <w:t xml:space="preserve">)</w:t>
      </w:r>
    </w:p>
    <w:p>
      <w:pPr>
        <w:pStyle w:val="FirstParagraph"/>
      </w:pPr>
      <w:r>
        <w:t xml:space="preserve">Output:</w:t>
      </w:r>
    </w:p>
    <w:p>
      <w:pPr>
        <w:pStyle w:val="SourceCode"/>
      </w:pPr>
      <w:r>
        <w:rPr>
          <w:rStyle w:val="VerbatimChar"/>
        </w:rPr>
        <w:t xml:space="preserve">linearized fit : gamma=  915.0  alpha=0.0238  beta=0.000502</w:t>
      </w:r>
      <w:r>
        <w:br/>
      </w:r>
      <w:r>
        <w:rPr>
          <w:rStyle w:val="VerbatimChar"/>
        </w:rPr>
        <w:t xml:space="preserve">nonlinear fit  : gamma=  885.4  alpha=0.0205  beta=0.000522</w:t>
      </w:r>
      <w:r>
        <w:br/>
      </w:r>
      <w:r>
        <w:rPr>
          <w:rStyle w:val="VerbatimChar"/>
        </w:rPr>
        <w:t xml:space="preserve">R^2 = 0.9983   N* = 43.3   X(N*) = 13,588 req/s</w:t>
      </w:r>
      <w:r>
        <w:br/>
      </w:r>
      <w:r>
        <w:rPr>
          <w:rStyle w:val="VerbatimChar"/>
        </w:rPr>
        <w:t xml:space="preserve">   N  measured    model  R=N/X ms  efficiency</w:t>
      </w:r>
      <w:r>
        <w:br/>
      </w:r>
      <w:r>
        <w:rPr>
          <w:rStyle w:val="VerbatimChar"/>
        </w:rPr>
        <w:t xml:space="preserve">   1       915      885      1.13        100%</w:t>
      </w:r>
      <w:r>
        <w:br/>
      </w:r>
      <w:r>
        <w:rPr>
          <w:rStyle w:val="VerbatimChar"/>
        </w:rPr>
        <w:t xml:space="preserve">   2     1,864    1,734      1.15         98%</w:t>
      </w:r>
      <w:r>
        <w:br/>
      </w:r>
      <w:r>
        <w:rPr>
          <w:rStyle w:val="VerbatimChar"/>
        </w:rPr>
        <w:t xml:space="preserve">   4     3,575    3,317      1.21         94%</w:t>
      </w:r>
      <w:r>
        <w:br/>
      </w:r>
      <w:r>
        <w:rPr>
          <w:rStyle w:val="VerbatimChar"/>
        </w:rPr>
        <w:t xml:space="preserve">   8     6,072    6,041      1.32         85%</w:t>
      </w:r>
      <w:r>
        <w:br/>
      </w:r>
      <w:r>
        <w:rPr>
          <w:rStyle w:val="VerbatimChar"/>
        </w:rPr>
        <w:t xml:space="preserve">  12     7,915    8,211      1.46         77%</w:t>
      </w:r>
      <w:r>
        <w:br/>
      </w:r>
      <w:r>
        <w:rPr>
          <w:rStyle w:val="VerbatimChar"/>
        </w:rPr>
        <w:t xml:space="preserve">  16     9,812    9,891      1.62         70%</w:t>
      </w:r>
      <w:r>
        <w:br/>
      </w:r>
      <w:r>
        <w:rPr>
          <w:rStyle w:val="VerbatimChar"/>
        </w:rPr>
        <w:t xml:space="preserve">  24    12,103   12,082      1.99         57%</w:t>
      </w:r>
      <w:r>
        <w:br/>
      </w:r>
      <w:r>
        <w:rPr>
          <w:rStyle w:val="VerbatimChar"/>
        </w:rPr>
        <w:t xml:space="preserve">  32    13,496   13,165      2.43         46%</w:t>
      </w:r>
      <w:r>
        <w:br/>
      </w:r>
      <w:r>
        <w:rPr>
          <w:rStyle w:val="VerbatimChar"/>
        </w:rPr>
        <w:t xml:space="preserve">  48    13,264   13,539      3.55         32%</w:t>
      </w:r>
      <w:r>
        <w:br/>
      </w:r>
      <w:r>
        <w:rPr>
          <w:rStyle w:val="VerbatimChar"/>
        </w:rPr>
        <w:t xml:space="preserve">  64    12,979   12,899      4.96         23%</w:t>
      </w:r>
      <w:r>
        <w:br/>
      </w:r>
      <w:r>
        <w:rPr>
          <w:rStyle w:val="VerbatimChar"/>
        </w:rPr>
        <w:t xml:space="preserve">  96         -   11,035      8.70         13%</w:t>
      </w:r>
      <w:r>
        <w:br/>
      </w:r>
      <w:r>
        <w:rPr>
          <w:rStyle w:val="VerbatimChar"/>
        </w:rPr>
        <w:t xml:space="preserve"> 128         -    9,381     13.64          8%</w:t>
      </w:r>
    </w:p>
    <w:p>
      <w:pPr>
        <w:pStyle w:val="FirstParagraph"/>
      </w:pPr>
      <w:r>
        <w:t xml:space="preserve">What to notice:</w:t>
      </w:r>
    </w:p>
    <w:p>
      <w:pPr>
        <w:numPr>
          <w:ilvl w:val="0"/>
          <w:numId w:val="1771"/>
        </w:numPr>
        <w:pStyle w:val="Compact"/>
      </w:pPr>
      <w:r>
        <w:rPr>
          <w:bCs/>
          <w:b/>
        </w:rPr>
        <w:t xml:space="preserve">The fit is excellent (</w:t>
      </w:r>
      <m:oMath>
        <m:sSup>
          <m:e>
            <m:r>
              <m:t>R</m:t>
            </m:r>
          </m:e>
          <m:sup>
            <m:r>
              <m:t>2</m:t>
            </m:r>
          </m:sup>
        </m:sSup>
        <m:r>
          <m:rPr>
            <m:sty m:val="p"/>
          </m:rPr>
          <m:t>=</m:t>
        </m:r>
        <m:r>
          <m:t>0.998</m:t>
        </m:r>
      </m:oMath>
      <w:r>
        <w:rPr>
          <w:bCs/>
          <w:b/>
        </w:rPr>
        <w:t xml:space="preserve">) yet the coefficients are off.</w:t>
      </w:r>
      <w:r>
        <w:t xml:space="preserve"> </w:t>
      </w:r>
      <w:r>
        <w:t xml:space="preserve">The true peak is at</w:t>
      </w:r>
      <w:r>
        <w:t xml:space="preserve"> </w:t>
      </w:r>
      <m:oMath>
        <m:sSup>
          <m:e>
            <m:r>
              <m:t>N</m:t>
            </m:r>
          </m:e>
          <m:sup>
            <m:r>
              <m:rPr>
                <m:sty m:val="p"/>
              </m:rPr>
              <m:t>*</m:t>
            </m:r>
          </m:sup>
        </m:sSup>
        <m:r>
          <m:rPr>
            <m:sty m:val="p"/>
          </m:rPr>
          <m:t>=</m:t>
        </m:r>
        <m:rad>
          <m:radPr>
            <m:degHide m:val="on"/>
          </m:radPr>
          <m:deg/>
          <m:e>
            <m:r>
              <m:t>0.97</m:t>
            </m:r>
            <m:r>
              <m:rPr>
                <m:sty m:val="p"/>
              </m:rPr>
              <m:t>/</m:t>
            </m:r>
            <m:r>
              <m:t>0.0004</m:t>
            </m:r>
          </m:e>
        </m:rad>
        <m:r>
          <m:rPr>
            <m:sty m:val="p"/>
          </m:rPr>
          <m:t>=</m:t>
        </m:r>
        <m:r>
          <m:t>49</m:t>
        </m:r>
      </m:oMath>
      <w:r>
        <w:t xml:space="preserve"> </w:t>
      </w:r>
      <w:r>
        <w:t xml:space="preserve">with 13,770 req/s; the fit says 43 with 13,588 req/s. Throughput near the peak is flat, so the</w:t>
      </w:r>
      <w:r>
        <w:t xml:space="preserve"> </w:t>
      </w:r>
      <w:r>
        <w:rPr>
          <w:iCs/>
          <w:i/>
        </w:rPr>
        <w:t xml:space="preserve">location</w:t>
      </w:r>
      <w:r>
        <w:t xml:space="preserve"> </w:t>
      </w:r>
      <w:r>
        <w:t xml:space="preserve">of the peak is poorly determined while its</w:t>
      </w:r>
      <w:r>
        <w:t xml:space="preserve"> </w:t>
      </w:r>
      <w:r>
        <w:rPr>
          <w:iCs/>
          <w:i/>
        </w:rPr>
        <w:t xml:space="preserve">height</w:t>
      </w:r>
      <w:r>
        <w:t xml:space="preserve"> </w:t>
      </w:r>
      <w:r>
        <w:t xml:space="preserve">is well determined. Plan on throughput, not on the exact</w:t>
      </w:r>
      <w:r>
        <w:t xml:space="preserve"> </w:t>
      </w:r>
      <m:oMath>
        <m:sSup>
          <m:e>
            <m:r>
              <m:t>N</m:t>
            </m:r>
          </m:e>
          <m:sup>
            <m:r>
              <m:rPr>
                <m:sty m:val="p"/>
              </m:rPr>
              <m:t>*</m:t>
            </m:r>
          </m:sup>
        </m:sSup>
      </m:oMath>
      <w:r>
        <w:t xml:space="preserve">.</w:t>
      </w:r>
    </w:p>
    <w:p>
      <w:pPr>
        <w:numPr>
          <w:ilvl w:val="0"/>
          <w:numId w:val="1771"/>
        </w:numPr>
        <w:pStyle w:val="Compact"/>
      </w:pPr>
      <w:r>
        <w:rPr>
          <w:bCs/>
          <w:b/>
        </w:rPr>
        <w:t xml:space="preserve">The response-time column is Little’s Law</w:t>
      </w:r>
      <w:r>
        <w:t xml:space="preserve"> </w:t>
      </w:r>
      <w:r>
        <w:t xml:space="preserve">for a closed test with no think time,</w:t>
      </w:r>
      <w:r>
        <w:t xml:space="preserve"> </w:t>
      </w:r>
      <m:oMath>
        <m:r>
          <m:t>R</m:t>
        </m:r>
        <m:r>
          <m:rPr>
            <m:sty m:val="p"/>
          </m:rPr>
          <m:t>=</m:t>
        </m:r>
        <m:r>
          <m:t>N</m:t>
        </m:r>
        <m:r>
          <m:rPr>
            <m:sty m:val="p"/>
          </m:rPr>
          <m:t>/</m:t>
        </m:r>
        <m:r>
          <m:t>X</m:t>
        </m:r>
      </m:oMath>
      <w:r>
        <w:t xml:space="preserve"> </w:t>
      </w:r>
      <w:r>
        <w:t xml:space="preserve">(§23.5.2): latency rises more than fourfold from</w:t>
      </w:r>
      <w:r>
        <w:t xml:space="preserve"> </w:t>
      </w:r>
      <m:oMath>
        <m:r>
          <m:t>N</m:t>
        </m:r>
        <m:r>
          <m:rPr>
            <m:sty m:val="p"/>
          </m:rPr>
          <m:t>=</m:t>
        </m:r>
        <m:r>
          <m:t>24</m:t>
        </m:r>
      </m:oMath>
      <w:r>
        <w:t xml:space="preserve"> </w:t>
      </w:r>
      <w:r>
        <w:t xml:space="preserve">to</w:t>
      </w:r>
      <w:r>
        <w:t xml:space="preserve"> </w:t>
      </w:r>
      <m:oMath>
        <m:r>
          <m:t>N</m:t>
        </m:r>
        <m:r>
          <m:rPr>
            <m:sty m:val="p"/>
          </m:rPr>
          <m:t>=</m:t>
        </m:r>
        <m:r>
          <m:t>96</m:t>
        </m:r>
      </m:oMath>
      <w:r>
        <w:t xml:space="preserve"> </w:t>
      </w:r>
      <w:r>
        <w:t xml:space="preserve">while throughput falls.</w:t>
      </w:r>
    </w:p>
    <w:p>
      <w:pPr>
        <w:numPr>
          <w:ilvl w:val="0"/>
          <w:numId w:val="1771"/>
        </w:numPr>
        <w:pStyle w:val="Compact"/>
      </w:pPr>
      <w:r>
        <w:rPr>
          <w:bCs/>
          <w:b/>
        </w:rPr>
        <w:t xml:space="preserve">Efficiency</w:t>
      </w:r>
      <w:r>
        <w:t xml:space="preserve"> </w:t>
      </w:r>
      <m:oMath>
        <m:r>
          <m:t>X</m:t>
        </m:r>
        <m:d>
          <m:dPr>
            <m:begChr m:val="("/>
            <m:endChr m:val=")"/>
            <m:sepChr m:val=""/>
            <m:grow/>
          </m:dPr>
          <m:e>
            <m:r>
              <m:t>N</m:t>
            </m:r>
          </m:e>
        </m:d>
        <m:r>
          <m:rPr>
            <m:sty m:val="p"/>
          </m:rPr>
          <m:t>/</m:t>
        </m:r>
        <m:d>
          <m:dPr>
            <m:begChr m:val="("/>
            <m:endChr m:val=")"/>
            <m:sepChr m:val=""/>
            <m:grow/>
          </m:dPr>
          <m:e>
            <m:r>
              <m:t>N</m:t>
            </m:r>
            <m:r>
              <m:t>γ</m:t>
            </m:r>
          </m:e>
        </m:d>
      </m:oMath>
      <w:r>
        <w:t xml:space="preserve"> </w:t>
      </w:r>
      <w:r>
        <w:t xml:space="preserve">reaches 70% at</w:t>
      </w:r>
      <w:r>
        <w:t xml:space="preserve"> </w:t>
      </w:r>
      <m:oMath>
        <m:r>
          <m:t>N</m:t>
        </m:r>
        <m:r>
          <m:rPr>
            <m:sty m:val="p"/>
          </m:rPr>
          <m:t>=</m:t>
        </m:r>
        <m:r>
          <m:t>16</m:t>
        </m:r>
      </m:oMath>
      <w:r>
        <w:t xml:space="preserve"> </w:t>
      </w:r>
      <w:r>
        <w:t xml:space="preserve">and 57% at 24: the knee, beyond which concurrency buys little throughput for much latency.</w:t>
      </w:r>
    </w:p>
    <w:p>
      <w:pPr>
        <w:numPr>
          <w:ilvl w:val="0"/>
          <w:numId w:val="1771"/>
        </w:numPr>
        <w:pStyle w:val="Compact"/>
      </w:pPr>
      <w:r>
        <w:t xml:space="preserve">Rows 96 and 128 are extrapolations; measure before relying on them.</w:t>
      </w:r>
    </w:p>
    <w:bookmarkEnd w:id="2640"/>
    <w:bookmarkStart w:id="2641" w:name="converting-a-model-into-a-fleet-size"/>
    <w:p>
      <w:pPr>
        <w:pStyle w:val="Heading3"/>
      </w:pPr>
      <w:r>
        <w:t xml:space="preserve">23.10.3 Converting a model into a fleet size</w:t>
      </w:r>
    </w:p>
    <w:p>
      <w:pPr>
        <w:pStyle w:val="CalloutFormula"/>
      </w:pPr>
      <w:r>
        <w:rPr>
          <w:bCs/>
          <w:b/>
        </w:rPr>
        <w:t xml:space="preserve">FORMULA</w:t>
      </w:r>
    </w:p>
    <w:p>
      <w:pPr>
        <w:pStyle w:val="CalloutFormula"/>
      </w:pPr>
      <w:r>
        <w:rPr>
          <w:bCs/>
          <w:b/>
        </w:rPr>
        <w:t xml:space="preserve">Fleet size from per-instance capacity</w:t>
      </w:r>
    </w:p>
    <w:p>
      <w:pPr>
        <w:pStyle w:val="CalloutFormula"/>
      </w:pPr>
      <m:oMathPara>
        <m:oMathParaPr>
          <m:jc m:val="center"/>
        </m:oMathParaPr>
        <m:oMath>
          <m:r>
            <m:t>n</m:t>
          </m:r>
          <m:r>
            <m:rPr>
              <m:sty m:val="p"/>
            </m:rPr>
            <m:t>=</m:t>
          </m:r>
          <m:d>
            <m:dPr>
              <m:begChr m:val="⌈"/>
              <m:endChr m:val="⌉"/>
              <m:sepChr m:val=""/>
              <m:grow/>
            </m:dPr>
            <m:e>
              <m:f>
                <m:fPr>
                  <m:type m:val="bar"/>
                </m:fPr>
                <m:num>
                  <m:sSub>
                    <m:e>
                      <m:r>
                        <m:t>λ</m:t>
                      </m:r>
                    </m:e>
                    <m:sub>
                      <m:r>
                        <m:rPr>
                          <m:nor/>
                          <m:sty m:val="p"/>
                        </m:rPr>
                        <m:t>peak</m:t>
                      </m:r>
                    </m:sub>
                  </m:sSub>
                  <m:r>
                    <m:t> </m:t>
                  </m:r>
                  <m:d>
                    <m:dPr>
                      <m:begChr m:val="("/>
                      <m:endChr m:val=")"/>
                      <m:sepChr m:val=""/>
                      <m:grow/>
                    </m:dPr>
                    <m:e>
                      <m:r>
                        <m:t>1</m:t>
                      </m:r>
                      <m:r>
                        <m:rPr>
                          <m:sty m:val="p"/>
                        </m:rPr>
                        <m:t>+</m:t>
                      </m:r>
                      <m:r>
                        <m:t>g</m:t>
                      </m:r>
                    </m:e>
                  </m:d>
                </m:num>
                <m:den>
                  <m:r>
                    <m:t>u</m:t>
                  </m:r>
                  <m:r>
                    <m:rPr>
                      <m:sty m:val="p"/>
                    </m:rPr>
                    <m:t>⋅</m:t>
                  </m:r>
                  <m:sSub>
                    <m:e>
                      <m:r>
                        <m:t>X</m:t>
                      </m:r>
                    </m:e>
                    <m:sub>
                      <m:r>
                        <m:rPr>
                          <m:sty m:val="p"/>
                        </m:rPr>
                        <m:t>max</m:t>
                      </m:r>
                    </m:sub>
                  </m:sSub>
                </m:den>
              </m:f>
            </m:e>
          </m:d>
          <m:r>
            <m:t>  </m:t>
          </m:r>
          <m:sSub>
            <m:e>
              <m:r>
                <m:t>n</m:t>
              </m:r>
            </m:e>
            <m:sub>
              <m:r>
                <m:rPr>
                  <m:nor/>
                  <m:sty m:val="p"/>
                </m:rPr>
                <m:t>zones</m:t>
              </m:r>
            </m:sub>
          </m:sSub>
          <m:r>
            <m:rPr>
              <m:sty m:val="p"/>
            </m:rPr>
            <m:t>=</m:t>
          </m:r>
          <m:r>
            <m:t>Z</m:t>
          </m:r>
          <m:r>
            <m:rPr>
              <m:sty m:val="p"/>
            </m:rPr>
            <m:t>⋅</m:t>
          </m:r>
          <m:d>
            <m:dPr>
              <m:begChr m:val="⌈"/>
              <m:endChr m:val="⌉"/>
              <m:sepChr m:val=""/>
              <m:grow/>
            </m:dPr>
            <m:e>
              <m:f>
                <m:fPr>
                  <m:type m:val="bar"/>
                </m:fPr>
                <m:num>
                  <m:r>
                    <m:t>n</m:t>
                  </m:r>
                </m:num>
                <m:den>
                  <m:r>
                    <m:t>Z</m:t>
                  </m:r>
                  <m:r>
                    <m:rPr>
                      <m:sty m:val="p"/>
                    </m:rPr>
                    <m:t>−</m:t>
                  </m:r>
                  <m:r>
                    <m:t>1</m:t>
                  </m:r>
                </m:den>
              </m:f>
            </m:e>
          </m:d>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λ</m:t>
                  </m:r>
                </m:e>
                <m:sub>
                  <m:r>
                    <m:rPr>
                      <m:nor/>
                      <m:sty m:val="p"/>
                    </m:rPr>
                    <m:t>peak</m:t>
                  </m:r>
                </m:sub>
              </m:sSub>
            </m:oMath>
          </w:p>
        </w:tc>
        <w:tc>
          <w:tcPr/>
          <w:p>
            <w:pPr>
              <w:pStyle w:val="Compact"/>
              <w:jc w:val="left"/>
            </w:pPr>
            <w:r>
              <w:t xml:space="preserve">Forecast peak request rate</w:t>
            </w:r>
          </w:p>
        </w:tc>
        <w:tc>
          <w:tcPr/>
          <w:p>
            <w:pPr>
              <w:pStyle w:val="Compact"/>
              <w:jc w:val="left"/>
            </w:pPr>
            <w:r>
              <w:t xml:space="preserve">requests/second</w:t>
            </w:r>
          </w:p>
        </w:tc>
      </w:tr>
      <w:tr>
        <w:tc>
          <w:tcPr/>
          <w:p>
            <w:pPr>
              <w:pStyle w:val="Compact"/>
              <w:jc w:val="left"/>
            </w:pPr>
            <m:oMath>
              <m:r>
                <m:t>g</m:t>
              </m:r>
            </m:oMath>
          </w:p>
        </w:tc>
        <w:tc>
          <w:tcPr/>
          <w:p>
            <w:pPr>
              <w:pStyle w:val="Compact"/>
              <w:jc w:val="left"/>
            </w:pPr>
            <w:r>
              <w:t xml:space="preserve">Growth allowance over the planning horizon</w:t>
            </w:r>
          </w:p>
        </w:tc>
        <w:tc>
          <w:tcPr/>
          <w:p>
            <w:pPr>
              <w:pStyle w:val="Compact"/>
              <w:jc w:val="left"/>
            </w:pPr>
            <w:r>
              <w:t xml:space="preserve">dimensionless</w:t>
            </w:r>
          </w:p>
        </w:tc>
      </w:tr>
      <w:tr>
        <w:tc>
          <w:tcPr/>
          <w:p>
            <w:pPr>
              <w:pStyle w:val="Compact"/>
              <w:jc w:val="left"/>
            </w:pPr>
            <m:oMath>
              <m:sSub>
                <m:e>
                  <m:r>
                    <m:t>X</m:t>
                  </m:r>
                </m:e>
                <m:sub>
                  <m:r>
                    <m:rPr>
                      <m:sty m:val="p"/>
                    </m:rPr>
                    <m:t>max</m:t>
                  </m:r>
                </m:sub>
              </m:sSub>
            </m:oMath>
          </w:p>
        </w:tc>
        <w:tc>
          <w:tcPr/>
          <w:p>
            <w:pPr>
              <w:pStyle w:val="Compact"/>
              <w:jc w:val="left"/>
            </w:pPr>
            <w:r>
              <w:t xml:space="preserve">Fitted peak throughput of one instance</w:t>
            </w:r>
          </w:p>
        </w:tc>
        <w:tc>
          <w:tcPr/>
          <w:p>
            <w:pPr>
              <w:pStyle w:val="Compact"/>
              <w:jc w:val="left"/>
            </w:pPr>
            <w:r>
              <w:t xml:space="preserve">requests/second</w:t>
            </w:r>
          </w:p>
        </w:tc>
      </w:tr>
      <w:tr>
        <w:tc>
          <w:tcPr/>
          <w:p>
            <w:pPr>
              <w:pStyle w:val="Compact"/>
              <w:jc w:val="left"/>
            </w:pPr>
            <m:oMath>
              <m:r>
                <m:t>u</m:t>
              </m:r>
            </m:oMath>
          </w:p>
        </w:tc>
        <w:tc>
          <w:tcPr/>
          <w:p>
            <w:pPr>
              <w:pStyle w:val="Compact"/>
              <w:jc w:val="left"/>
            </w:pPr>
            <w:r>
              <w:t xml:space="preserve">Target fraction of</w:t>
            </w:r>
            <w:r>
              <w:t xml:space="preserve"> </w:t>
            </w:r>
            <m:oMath>
              <m:sSub>
                <m:e>
                  <m:r>
                    <m:t>X</m:t>
                  </m:r>
                </m:e>
                <m:sub>
                  <m:r>
                    <m:rPr>
                      <m:sty m:val="p"/>
                    </m:rPr>
                    <m:t>max</m:t>
                  </m:r>
                </m:sub>
              </m:sSub>
            </m:oMath>
            <w:r>
              <w:t xml:space="preserve"> </w:t>
            </w:r>
            <w:r>
              <w:t xml:space="preserve">at peak (headroom for queueing and variance)</w:t>
            </w:r>
          </w:p>
        </w:tc>
        <w:tc>
          <w:tcPr/>
          <w:p>
            <w:pPr>
              <w:pStyle w:val="Compact"/>
              <w:jc w:val="left"/>
            </w:pPr>
            <w:r>
              <w:t xml:space="preserve">dimensionless</w:t>
            </w:r>
          </w:p>
        </w:tc>
      </w:tr>
      <w:tr>
        <w:tc>
          <w:tcPr/>
          <w:p>
            <w:pPr>
              <w:pStyle w:val="Compact"/>
              <w:jc w:val="left"/>
            </w:pPr>
            <m:oMath>
              <m:r>
                <m:t>Z</m:t>
              </m:r>
            </m:oMath>
          </w:p>
        </w:tc>
        <w:tc>
          <w:tcPr/>
          <w:p>
            <w:pPr>
              <w:pStyle w:val="Compact"/>
              <w:jc w:val="left"/>
            </w:pPr>
            <w:r>
              <w:t xml:space="preserve">Number of availability zones, sized to survive the loss of one</w:t>
            </w:r>
          </w:p>
        </w:tc>
        <w:tc>
          <w:tcPr/>
          <w:p>
            <w:pPr>
              <w:pStyle w:val="Compact"/>
              <w:jc w:val="left"/>
            </w:pPr>
            <w:r>
              <w:t xml:space="preserve">count</w:t>
            </w:r>
          </w:p>
        </w:tc>
      </w:tr>
    </w:tbl>
    <w:p>
      <w:pPr>
        <w:pStyle w:val="BodyText"/>
      </w:pPr>
      <w:r>
        <w:t xml:space="preserve">This is the provisioning formula of §18.11.2 with</w:t>
      </w:r>
      <w:r>
        <w:t xml:space="preserve"> </w:t>
      </w:r>
      <m:oMath>
        <m:r>
          <m:t>c</m:t>
        </m:r>
        <m:r>
          <m:t> </m:t>
        </m:r>
        <m:sSub>
          <m:e>
            <m:r>
              <m:t>u</m:t>
            </m:r>
          </m:e>
          <m:sub>
            <m:r>
              <m:t>t</m:t>
            </m:r>
            <m:r>
              <m:t>a</m:t>
            </m:r>
            <m:r>
              <m:t>r</m:t>
            </m:r>
            <m:r>
              <m:t>g</m:t>
            </m:r>
            <m:r>
              <m:t>e</m:t>
            </m:r>
            <m:r>
              <m:t>t</m:t>
            </m:r>
          </m:sub>
        </m:sSub>
      </m:oMath>
      <w:r>
        <w:t xml:space="preserve"> </w:t>
      </w:r>
      <w:r>
        <w:t xml:space="preserve">replaced by the fitted</w:t>
      </w:r>
      <w:r>
        <w:t xml:space="preserve"> </w:t>
      </w:r>
      <m:oMath>
        <m:r>
          <m:t>u</m:t>
        </m:r>
        <m:r>
          <m:rPr>
            <m:sty m:val="p"/>
          </m:rPr>
          <m:t>⋅</m:t>
        </m:r>
        <m:sSub>
          <m:e>
            <m:r>
              <m:t>X</m:t>
            </m:r>
          </m:e>
          <m:sub>
            <m:r>
              <m:rPr>
                <m:sty m:val="p"/>
              </m:rPr>
              <m:t>max</m:t>
            </m:r>
          </m:sub>
        </m:sSub>
      </m:oMath>
      <w:r>
        <w:t xml:space="preserve">, the growth term written as one allowance</w:t>
      </w:r>
      <w:r>
        <w:t xml:space="preserve"> </w:t>
      </w:r>
      <m:oMath>
        <m:r>
          <m:t>g</m:t>
        </m:r>
      </m:oMath>
      <w:r>
        <w:t xml:space="preserve"> </w:t>
      </w:r>
      <w:r>
        <w:t xml:space="preserve">for the horizon, and the zone term rounded per zone so that every zone runs the same count (it can therefore exceed §18.11.2’s</w:t>
      </w:r>
      <w:r>
        <w:t xml:space="preserve"> </w:t>
      </w:r>
      <m:oMath>
        <m:r>
          <m:rPr>
            <m:sty m:val="p"/>
          </m:rPr>
          <m:t>⌈</m:t>
        </m:r>
        <m:r>
          <m:t>N</m:t>
        </m:r>
        <m:r>
          <m:rPr>
            <m:sty m:val="p"/>
          </m:rPr>
          <m:t>⋅</m:t>
        </m:r>
        <m:r>
          <m:t>Z</m:t>
        </m:r>
        <m:r>
          <m:rPr>
            <m:sty m:val="p"/>
          </m:rPr>
          <m:t>/</m:t>
        </m:r>
        <m:d>
          <m:dPr>
            <m:begChr m:val="("/>
            <m:endChr m:val=")"/>
            <m:sepChr m:val=""/>
            <m:grow/>
          </m:dPr>
          <m:e>
            <m:r>
              <m:t>Z</m:t>
            </m:r>
            <m:r>
              <m:rPr>
                <m:sty m:val="p"/>
              </m:rPr>
              <m:t>−</m:t>
            </m:r>
            <m:r>
              <m:t>1</m:t>
            </m:r>
          </m:e>
        </m:d>
        <m:r>
          <m:rPr>
            <m:sty m:val="p"/>
          </m:rPr>
          <m:t>⌉</m:t>
        </m:r>
      </m:oMath>
      <w:r>
        <w:t xml:space="preserve"> </w:t>
      </w:r>
      <w:r>
        <w:t xml:space="preserve">by up to</w:t>
      </w:r>
      <w:r>
        <w:t xml:space="preserve"> </w:t>
      </w:r>
      <m:oMath>
        <m:r>
          <m:t>Z</m:t>
        </m:r>
        <m:r>
          <m:rPr>
            <m:sty m:val="p"/>
          </m:rPr>
          <m:t>−</m:t>
        </m:r>
        <m:r>
          <m:t>2</m:t>
        </m:r>
      </m:oMath>
      <w:r>
        <w:t xml:space="preserve"> </w:t>
      </w:r>
      <w:r>
        <w:t xml:space="preserve">instances: 33 rather than 32 in the example below).</w:t>
      </w:r>
    </w:p>
    <w:p>
      <w:pPr>
        <w:pStyle w:val="CalloutExample"/>
      </w:pPr>
      <w:r>
        <w:rPr>
          <w:bCs/>
          <w:b/>
        </w:rPr>
        <w:t xml:space="preserve">WORKED EXAMPLE</w:t>
      </w:r>
    </w:p>
    <w:p>
      <w:pPr>
        <w:pStyle w:val="CalloutExample"/>
      </w:pPr>
      <w:r>
        <w:rPr>
          <w:bCs/>
          <w:b/>
        </w:rPr>
        <w:t xml:space="preserve">Worked example — Sizing from the fitted model.</w:t>
      </w:r>
      <w:r>
        <w:t xml:space="preserve"> </w:t>
      </w:r>
      <w:r>
        <w:t xml:space="preserve">Forecast peak 150,000 RPS, growth allowance 30%,</w:t>
      </w:r>
      <w:r>
        <w:t xml:space="preserve"> </w:t>
      </w:r>
      <m:oMath>
        <m:sSub>
          <m:e>
            <m:r>
              <m:t>X</m:t>
            </m:r>
          </m:e>
          <m:sub>
            <m:r>
              <m:rPr>
                <m:sty m:val="p"/>
              </m:rPr>
              <m:t>max</m:t>
            </m:r>
          </m:sub>
        </m:sSub>
        <m:r>
          <m:rPr>
            <m:sty m:val="p"/>
          </m:rPr>
          <m:t>=</m:t>
        </m:r>
        <m:r>
          <m:t>13</m:t>
        </m:r>
        <m:r>
          <m:rPr>
            <m:sty m:val="p"/>
          </m:rPr>
          <m:t>,</m:t>
        </m:r>
        <m:r>
          <m:t>588</m:t>
        </m:r>
      </m:oMath>
      <w:r>
        <w:t xml:space="preserve"> </w:t>
      </w:r>
      <w:r>
        <w:t xml:space="preserve">req/s per instance from the fit, target</w:t>
      </w:r>
      <w:r>
        <w:t xml:space="preserve"> </w:t>
      </w:r>
      <m:oMath>
        <m:r>
          <m:t>u</m:t>
        </m:r>
        <m:r>
          <m:rPr>
            <m:sty m:val="p"/>
          </m:rPr>
          <m:t>=</m:t>
        </m:r>
        <m:r>
          <m:t>0.7</m:t>
        </m:r>
      </m:oMath>
      <w:r>
        <w:t xml:space="preserve">, three zones.</w:t>
      </w:r>
    </w:p>
    <w:p>
      <w:pPr>
        <w:numPr>
          <w:ilvl w:val="0"/>
          <w:numId w:val="1772"/>
        </w:numPr>
        <w:pStyle w:val="Compact"/>
      </w:pPr>
      <w:r>
        <w:t xml:space="preserve">Per-instance planning capacity:</w:t>
      </w:r>
      <w:r>
        <w:t xml:space="preserve"> </w:t>
      </w:r>
      <m:oMath>
        <m:r>
          <m:t>0.7</m:t>
        </m:r>
        <m:r>
          <m:rPr>
            <m:sty m:val="p"/>
          </m:rPr>
          <m:t>×</m:t>
        </m:r>
        <m:r>
          <m:t>13</m:t>
        </m:r>
        <m:r>
          <m:rPr>
            <m:sty m:val="p"/>
          </m:rPr>
          <m:t>,</m:t>
        </m:r>
        <m:r>
          <m:t>588</m:t>
        </m:r>
        <m:r>
          <m:rPr>
            <m:sty m:val="p"/>
          </m:rPr>
          <m:t>=</m:t>
        </m:r>
        <m:r>
          <m:t>9</m:t>
        </m:r>
        <m:r>
          <m:rPr>
            <m:sty m:val="p"/>
          </m:rPr>
          <m:t>,</m:t>
        </m:r>
        <m:r>
          <m:t>512</m:t>
        </m:r>
      </m:oMath>
      <w:r>
        <w:t xml:space="preserve"> </w:t>
      </w:r>
      <w:r>
        <w:t xml:space="preserve">req/s. The fitted curve reaches this at</w:t>
      </w:r>
      <w:r>
        <w:t xml:space="preserve"> </w:t>
      </w:r>
      <m:oMath>
        <m:r>
          <m:t>N</m:t>
        </m:r>
        <m:r>
          <m:rPr>
            <m:sty m:val="p"/>
          </m:rPr>
          <m:t>≈</m:t>
        </m:r>
        <m:r>
          <m:t>16</m:t>
        </m:r>
      </m:oMath>
      <w:r>
        <w:t xml:space="preserve">, where</w:t>
      </w:r>
      <w:r>
        <w:t xml:space="preserve"> </w:t>
      </w:r>
      <m:oMath>
        <m:r>
          <m:t>R</m:t>
        </m:r>
        <m:r>
          <m:rPr>
            <m:sty m:val="p"/>
          </m:rPr>
          <m:t>≈</m:t>
        </m:r>
        <m:r>
          <m:t>1.6</m:t>
        </m:r>
      </m:oMath>
      <w:r>
        <w:t xml:space="preserve"> </w:t>
      </w:r>
      <w:r>
        <w:t xml:space="preserve">ms and efficiency is still 70%.</w:t>
      </w:r>
    </w:p>
    <w:p>
      <w:pPr>
        <w:numPr>
          <w:ilvl w:val="0"/>
          <w:numId w:val="1772"/>
        </w:numPr>
        <w:pStyle w:val="Compact"/>
      </w:pPr>
      <w:r>
        <w:t xml:space="preserve">Demand with growth:</w:t>
      </w:r>
      <w:r>
        <w:t xml:space="preserve"> </w:t>
      </w:r>
      <m:oMath>
        <m:r>
          <m:t>150</m:t>
        </m:r>
        <m:r>
          <m:rPr>
            <m:sty m:val="p"/>
          </m:rPr>
          <m:t>,</m:t>
        </m:r>
        <m:r>
          <m:t>000</m:t>
        </m:r>
        <m:r>
          <m:rPr>
            <m:sty m:val="p"/>
          </m:rPr>
          <m:t>×</m:t>
        </m:r>
        <m:r>
          <m:t>1.3</m:t>
        </m:r>
        <m:r>
          <m:rPr>
            <m:sty m:val="p"/>
          </m:rPr>
          <m:t>=</m:t>
        </m:r>
        <m:r>
          <m:t>195</m:t>
        </m:r>
        <m:r>
          <m:rPr>
            <m:sty m:val="p"/>
          </m:rPr>
          <m:t>,</m:t>
        </m:r>
        <m:r>
          <m:t>000</m:t>
        </m:r>
      </m:oMath>
      <w:r>
        <w:t xml:space="preserve"> </w:t>
      </w:r>
      <w:r>
        <w:t xml:space="preserve">RPS.</w:t>
      </w:r>
    </w:p>
    <w:p>
      <w:pPr>
        <w:numPr>
          <w:ilvl w:val="0"/>
          <w:numId w:val="1772"/>
        </w:numPr>
        <w:pStyle w:val="Compact"/>
      </w:pPr>
      <m:oMath>
        <m:r>
          <m:t>n</m:t>
        </m:r>
        <m:r>
          <m:rPr>
            <m:sty m:val="p"/>
          </m:rPr>
          <m:t>=</m:t>
        </m:r>
        <m:r>
          <m:rPr>
            <m:sty m:val="p"/>
          </m:rPr>
          <m:t>⌈</m:t>
        </m:r>
        <m:r>
          <m:t>195</m:t>
        </m:r>
        <m:r>
          <m:rPr>
            <m:sty m:val="p"/>
          </m:rPr>
          <m:t>,</m:t>
        </m:r>
        <m:r>
          <m:t>000</m:t>
        </m:r>
        <m:r>
          <m:rPr>
            <m:sty m:val="p"/>
          </m:rPr>
          <m:t>/</m:t>
        </m:r>
        <m:r>
          <m:t>9</m:t>
        </m:r>
        <m:r>
          <m:rPr>
            <m:sty m:val="p"/>
          </m:rPr>
          <m:t>,</m:t>
        </m:r>
        <m:r>
          <m:t>512</m:t>
        </m:r>
        <m:r>
          <m:rPr>
            <m:sty m:val="p"/>
          </m:rPr>
          <m:t>⌉</m:t>
        </m:r>
        <m:r>
          <m:rPr>
            <m:sty m:val="p"/>
          </m:rPr>
          <m:t>=</m:t>
        </m:r>
        <m:r>
          <m:rPr>
            <m:sty m:val="p"/>
          </m:rPr>
          <m:t>⌈</m:t>
        </m:r>
        <m:r>
          <m:t>20.5</m:t>
        </m:r>
        <m:r>
          <m:rPr>
            <m:sty m:val="p"/>
          </m:rPr>
          <m:t>⌉</m:t>
        </m:r>
        <m:r>
          <m:rPr>
            <m:sty m:val="p"/>
          </m:rPr>
          <m:t>=</m:t>
        </m:r>
        <m:r>
          <m:t>21</m:t>
        </m:r>
      </m:oMath>
      <w:r>
        <w:t xml:space="preserve"> </w:t>
      </w:r>
      <w:r>
        <w:t xml:space="preserve">instances.</w:t>
      </w:r>
    </w:p>
    <w:p>
      <w:pPr>
        <w:numPr>
          <w:ilvl w:val="0"/>
          <w:numId w:val="1772"/>
        </w:numPr>
        <w:pStyle w:val="Compact"/>
      </w:pPr>
      <w:r>
        <w:t xml:space="preserve">Survive a zone loss: each of the two remaining zones must carry the load, so</w:t>
      </w:r>
      <w:r>
        <w:t xml:space="preserve"> </w:t>
      </w:r>
      <m:oMath>
        <m:r>
          <m:rPr>
            <m:sty m:val="p"/>
          </m:rPr>
          <m:t>⌈</m:t>
        </m:r>
        <m:r>
          <m:t>21</m:t>
        </m:r>
        <m:r>
          <m:rPr>
            <m:sty m:val="p"/>
          </m:rPr>
          <m:t>/</m:t>
        </m:r>
        <m:r>
          <m:t>2</m:t>
        </m:r>
        <m:r>
          <m:rPr>
            <m:sty m:val="p"/>
          </m:rPr>
          <m:t>⌉</m:t>
        </m:r>
        <m:r>
          <m:rPr>
            <m:sty m:val="p"/>
          </m:rPr>
          <m:t>=</m:t>
        </m:r>
        <m:r>
          <m:t>11</m:t>
        </m:r>
      </m:oMath>
      <w:r>
        <w:t xml:space="preserve"> </w:t>
      </w:r>
      <w:r>
        <w:t xml:space="preserve">per zone,</w:t>
      </w:r>
      <w:r>
        <w:t xml:space="preserve"> </w:t>
      </w:r>
      <m:oMath>
        <m:r>
          <m:t>3</m:t>
        </m:r>
        <m:r>
          <m:rPr>
            <m:sty m:val="p"/>
          </m:rPr>
          <m:t>×</m:t>
        </m:r>
        <m:r>
          <m:t>11</m:t>
        </m:r>
        <m:r>
          <m:rPr>
            <m:sty m:val="p"/>
          </m:rPr>
          <m:t>=</m:t>
        </m:r>
        <m:r>
          <m:t>33</m:t>
        </m:r>
      </m:oMath>
      <w:r>
        <w:t xml:space="preserve"> </w:t>
      </w:r>
      <w:r>
        <w:t xml:space="preserve">instances.</w:t>
      </w:r>
    </w:p>
    <w:p>
      <w:pPr>
        <w:pStyle w:val="CalloutExample"/>
      </w:pPr>
      <w:r>
        <w:rPr>
          <w:bCs/>
          <w:b/>
        </w:rPr>
        <w:t xml:space="preserve">Interpretation.</w:t>
      </w:r>
      <w:r>
        <w:t xml:space="preserve"> </w:t>
      </w:r>
      <w:r>
        <w:t xml:space="preserve">Zone redundancy (33 vs 21) costs more than growth and headroom combined.</w:t>
      </w:r>
      <w:r>
        <w:t xml:space="preserve"> </w:t>
      </w:r>
      <w:r>
        <w:rPr>
          <w:bCs/>
          <w:b/>
        </w:rPr>
        <w:t xml:space="preserve">Engineering implication.</w:t>
      </w:r>
      <w:r>
        <w:t xml:space="preserve"> </w:t>
      </w:r>
      <w:r>
        <w:t xml:space="preserve">Re-run the benchmark and refit whenever code or instance type changes; the capacity estimate from Chapter 2 and Chapter 89 becomes a</w:t>
      </w:r>
      <w:r>
        <w:t xml:space="preserve"> </w:t>
      </w:r>
      <w:r>
        <w:rPr>
          <w:iCs/>
          <w:i/>
        </w:rPr>
        <w:t xml:space="preserve">measured</w:t>
      </w:r>
      <w:r>
        <w:t xml:space="preserve"> </w:t>
      </w:r>
      <w:r>
        <w:t xml:space="preserve">number only through this loop (§18.11 covers the planning process).</w:t>
      </w:r>
    </w:p>
    <w:p>
      <w:pPr>
        <w:pStyle w:val="CalloutMistake"/>
      </w:pPr>
      <w:r>
        <w:rPr>
          <w:bCs/>
          <w:b/>
        </w:rPr>
        <w:t xml:space="preserve">COMMON MISTAKE</w:t>
      </w:r>
    </w:p>
    <w:p>
      <w:pPr>
        <w:pStyle w:val="CalloutMistake"/>
      </w:pPr>
      <w:r>
        <w:rPr>
          <w:bCs/>
          <w:b/>
        </w:rPr>
        <w:t xml:space="preserve">Mistake — Planning to the peak of the curve.</w:t>
      </w:r>
      <w:r>
        <w:t xml:space="preserve"> </w:t>
      </w:r>
      <m:oMath>
        <m:sSub>
          <m:e>
            <m:r>
              <m:t>X</m:t>
            </m:r>
          </m:e>
          <m:sub>
            <m:r>
              <m:rPr>
                <m:sty m:val="p"/>
              </m:rPr>
              <m:t>max</m:t>
            </m:r>
          </m:sub>
        </m:sSub>
      </m:oMath>
      <w:r>
        <w:t xml:space="preserve"> </w:t>
      </w:r>
      <w:r>
        <w:t xml:space="preserve">is reached in a closed test at concurrency</w:t>
      </w:r>
      <w:r>
        <w:t xml:space="preserve"> </w:t>
      </w:r>
      <m:oMath>
        <m:sSup>
          <m:e>
            <m:r>
              <m:t>N</m:t>
            </m:r>
          </m:e>
          <m:sup>
            <m:r>
              <m:rPr>
                <m:sty m:val="p"/>
              </m:rPr>
              <m:t>*</m:t>
            </m:r>
          </m:sup>
        </m:sSup>
      </m:oMath>
      <w:r>
        <w:t xml:space="preserve">, where latency is already several times its unloaded value; in production, arrivals are open and bursty, so running an instance near</w:t>
      </w:r>
      <w:r>
        <w:t xml:space="preserve"> </w:t>
      </w:r>
      <m:oMath>
        <m:sSub>
          <m:e>
            <m:r>
              <m:t>X</m:t>
            </m:r>
          </m:e>
          <m:sub>
            <m:r>
              <m:rPr>
                <m:sty m:val="p"/>
              </m:rPr>
              <m:t>max</m:t>
            </m:r>
          </m:sub>
        </m:sSub>
      </m:oMath>
      <w:r>
        <w:t xml:space="preserve"> </w:t>
      </w:r>
      <w:r>
        <w:t xml:space="preserve">puts it on the steep part of the queueing curve (§4.10.3). Plan to a fraction of the peak and verify the latency at that point with an open-model load test.</w:t>
      </w:r>
    </w:p>
    <w:bookmarkEnd w:id="2641"/>
    <w:bookmarkEnd w:id="2642"/>
    <w:bookmarkStart w:id="2643" w:name="summary-and-revision-notes-22"/>
    <w:p>
      <w:pPr>
        <w:pStyle w:val="Heading2"/>
      </w:pPr>
      <w:r>
        <w:t xml:space="preserve">23.11 Summary and revision notes</w:t>
      </w:r>
    </w:p>
    <w:p>
      <w:pPr>
        <w:pStyle w:val="CalloutSummary"/>
      </w:pPr>
      <w:r>
        <w:rPr>
          <w:bCs/>
          <w:b/>
        </w:rPr>
        <w:t xml:space="preserve">SUMMARY</w:t>
      </w:r>
    </w:p>
    <w:p>
      <w:pPr>
        <w:numPr>
          <w:ilvl w:val="0"/>
          <w:numId w:val="1773"/>
        </w:numPr>
        <w:pStyle w:val="Compact"/>
      </w:pPr>
      <w:r>
        <w:rPr>
          <w:bCs/>
          <w:b/>
        </w:rPr>
        <w:t xml:space="preserve">Method beats intuition.</w:t>
      </w:r>
      <w:r>
        <w:t xml:space="preserve"> </w:t>
      </w:r>
      <w:r>
        <w:t xml:space="preserve">USE (utilization, saturation, errors per resource) finds saturated resources, including locks and pools; RED and the four golden signals (rate, errors, duration, plus saturation) find the slow service. Scope the symptom, check what changed, then profile.</w:t>
      </w:r>
    </w:p>
    <w:p>
      <w:pPr>
        <w:numPr>
          <w:ilvl w:val="0"/>
          <w:numId w:val="1773"/>
        </w:numPr>
        <w:pStyle w:val="Compact"/>
      </w:pPr>
      <w:r>
        <w:rPr>
          <w:bCs/>
          <w:b/>
        </w:rPr>
        <w:t xml:space="preserve">Profiling.</w:t>
      </w:r>
      <w:r>
        <w:t xml:space="preserve"> </w:t>
      </w:r>
      <w:r>
        <w:t xml:space="preserve">Sampling profilers have overhead fixed by frequency and error</w:t>
      </w:r>
      <w:r>
        <w:t xml:space="preserve"> </w:t>
      </w:r>
      <m:oMath>
        <m:rad>
          <m:radPr>
            <m:degHide m:val="on"/>
          </m:radPr>
          <m:deg/>
          <m:e>
            <m:r>
              <m:t>p</m:t>
            </m:r>
            <m:d>
              <m:dPr>
                <m:begChr m:val="("/>
                <m:endChr m:val=")"/>
                <m:sepChr m:val=""/>
                <m:grow/>
              </m:dPr>
              <m:e>
                <m:r>
                  <m:t>1</m:t>
                </m:r>
                <m:r>
                  <m:rPr>
                    <m:sty m:val="p"/>
                  </m:rPr>
                  <m:t>−</m:t>
                </m:r>
                <m:r>
                  <m:t>p</m:t>
                </m:r>
              </m:e>
            </m:d>
            <m:r>
              <m:rPr>
                <m:sty m:val="p"/>
              </m:rPr>
              <m:t>/</m:t>
            </m:r>
            <m:r>
              <m:t>n</m:t>
            </m:r>
          </m:e>
        </m:rad>
      </m:oMath>
      <w:r>
        <w:t xml:space="preserve">; instrumenting profilers give exact counts but distort hot paths. Flame-graph width is sample share; look for wide plateaus. CPU profiles miss off-CPU time (I/O, locks, run-queue waits), which usually dominates latency problems.</w:t>
      </w:r>
    </w:p>
    <w:p>
      <w:pPr>
        <w:numPr>
          <w:ilvl w:val="0"/>
          <w:numId w:val="1773"/>
        </w:numPr>
        <w:pStyle w:val="Compact"/>
      </w:pPr>
      <w:r>
        <w:rPr>
          <w:bCs/>
          <w:b/>
        </w:rPr>
        <w:t xml:space="preserve">Load testing.</w:t>
      </w:r>
      <w:r>
        <w:t xml:space="preserve"> </w:t>
      </w:r>
      <w:r>
        <w:t xml:space="preserve">Closed generators reduce load when the system slows and hide outages; use open (constant-arrival-rate) generators for SLO tests. Coordinated omission can understate p99 by orders of magnitude: measure from the intended send time. Record latency in HDR histograms and merge, never average, percentiles.</w:t>
      </w:r>
    </w:p>
    <w:p>
      <w:pPr>
        <w:numPr>
          <w:ilvl w:val="0"/>
          <w:numId w:val="1773"/>
        </w:numPr>
        <w:pStyle w:val="Compact"/>
      </w:pPr>
      <w:r>
        <w:rPr>
          <w:bCs/>
          <w:b/>
        </w:rPr>
        <w:t xml:space="preserve">Tail at scale.</w:t>
      </w:r>
      <w:r>
        <w:t xml:space="preserve"> </w:t>
      </w:r>
      <w:r>
        <w:t xml:space="preserve">For</w:t>
      </w:r>
      <w:r>
        <w:t xml:space="preserve"> </w:t>
      </w:r>
      <m:oMath>
        <m:r>
          <m:t>N</m:t>
        </m:r>
      </m:oMath>
      <w:r>
        <w:t xml:space="preserve">-way fan-out, root percentiles are leaf percentiles at</w:t>
      </w:r>
      <w:r>
        <w:t xml:space="preserve"> </w:t>
      </w:r>
      <m:oMath>
        <m:sSup>
          <m:e>
            <m:r>
              <m:t>q</m:t>
            </m:r>
          </m:e>
          <m:sup>
            <m:r>
              <m:t>1</m:t>
            </m:r>
            <m:r>
              <m:rPr>
                <m:sty m:val="p"/>
              </m:rPr>
              <m:t>/</m:t>
            </m:r>
            <m:r>
              <m:t>N</m:t>
            </m:r>
          </m:sup>
        </m:sSup>
      </m:oMath>
      <w:r>
        <w:t xml:space="preserve">; the leaf tail becomes the user median. Variability comes from GC, queueing, background work, noisy neighbors, CPU throttling and packet loss.</w:t>
      </w:r>
    </w:p>
    <w:p>
      <w:pPr>
        <w:numPr>
          <w:ilvl w:val="0"/>
          <w:numId w:val="1773"/>
        </w:numPr>
        <w:pStyle w:val="Compact"/>
      </w:pPr>
      <w:r>
        <w:rPr>
          <w:bCs/>
          <w:b/>
        </w:rPr>
        <w:t xml:space="preserve">Hedging.</w:t>
      </w:r>
      <w:r>
        <w:t xml:space="preserve"> </w:t>
      </w:r>
      <w:r>
        <w:t xml:space="preserve">Hedge idempotent requests after about the p95 for about 5% extra load; tied requests with cancellation do better. Without budgets and cancellation, hedging can collapse a loaded system.</w:t>
      </w:r>
    </w:p>
    <w:p>
      <w:pPr>
        <w:numPr>
          <w:ilvl w:val="0"/>
          <w:numId w:val="1773"/>
        </w:numPr>
        <w:pStyle w:val="Compact"/>
      </w:pPr>
      <w:r>
        <w:rPr>
          <w:bCs/>
          <w:b/>
        </w:rPr>
        <w:t xml:space="preserve">Batching, pipelining, compression.</w:t>
      </w:r>
      <w:r>
        <w:t xml:space="preserve"> </w:t>
      </w:r>
      <w:r>
        <w:t xml:space="preserve">Bound batch latency with a timer; pipeline small requests; compress when bytes, not CPU, are the bottleneck.</w:t>
      </w:r>
    </w:p>
    <w:p>
      <w:pPr>
        <w:numPr>
          <w:ilvl w:val="0"/>
          <w:numId w:val="1773"/>
        </w:numPr>
        <w:pStyle w:val="Compact"/>
      </w:pPr>
      <w:r>
        <w:rPr>
          <w:bCs/>
          <w:b/>
        </w:rPr>
        <w:t xml:space="preserve">Runtimes.</w:t>
      </w:r>
      <w:r>
        <w:t xml:space="preserve"> </w:t>
      </w:r>
      <w:r>
        <w:t xml:space="preserve">GC exposure is pause frequency (allocation rate / young size) times pause length; reduce allocation first, then choose a collector for the goal. Warm up JIT runtimes before they take traffic.</w:t>
      </w:r>
    </w:p>
    <w:p>
      <w:pPr>
        <w:numPr>
          <w:ilvl w:val="0"/>
          <w:numId w:val="1773"/>
        </w:numPr>
        <w:pStyle w:val="Compact"/>
      </w:pPr>
      <w:r>
        <w:rPr>
          <w:bCs/>
          <w:b/>
        </w:rPr>
        <w:t xml:space="preserve">Capacity.</w:t>
      </w:r>
      <w:r>
        <w:t xml:space="preserve"> </w:t>
      </w:r>
      <w:r>
        <w:t xml:space="preserve">Fit the USL to measured throughput, plan to a fraction of the fitted peak, then add growth and zone redundancy.</w:t>
      </w:r>
    </w:p>
    <w:bookmarkEnd w:id="2643"/>
    <w:bookmarkStart w:id="2644" w:name="knowledge-checkpoint-22"/>
    <w:p>
      <w:pPr>
        <w:pStyle w:val="Heading2"/>
      </w:pPr>
      <w:r>
        <w:t xml:space="preserve">23.12 Knowledge checkpoint</w:t>
      </w:r>
    </w:p>
    <w:p>
      <w:pPr>
        <w:numPr>
          <w:ilvl w:val="0"/>
          <w:numId w:val="1774"/>
        </w:numPr>
        <w:pStyle w:val="Compact"/>
      </w:pPr>
      <w:r>
        <w:t xml:space="preserve">What are the three USE questions, and why are software resources part of the resource list?</w:t>
      </w:r>
    </w:p>
    <w:p>
      <w:pPr>
        <w:numPr>
          <w:ilvl w:val="0"/>
          <w:numId w:val="1774"/>
        </w:numPr>
        <w:pStyle w:val="Compact"/>
      </w:pPr>
      <w:r>
        <w:t xml:space="preserve">How do the four golden signals differ from RED, and why should successful and failed request latencies be tracked separately?</w:t>
      </w:r>
    </w:p>
    <w:p>
      <w:pPr>
        <w:numPr>
          <w:ilvl w:val="0"/>
          <w:numId w:val="1774"/>
        </w:numPr>
        <w:pStyle w:val="Compact"/>
      </w:pPr>
      <w:r>
        <w:t xml:space="preserve">A 20 s profile at 49 Hz on 4 busy CPUs shows a function in 5% of samples. What is the standard error?</w:t>
      </w:r>
    </w:p>
    <w:p>
      <w:pPr>
        <w:numPr>
          <w:ilvl w:val="0"/>
          <w:numId w:val="1774"/>
        </w:numPr>
        <w:pStyle w:val="Compact"/>
      </w:pPr>
      <w:r>
        <w:t xml:space="preserve">Why can a CPU flame graph show nothing useful for a service whose p99 is 2 s?</w:t>
      </w:r>
    </w:p>
    <w:p>
      <w:pPr>
        <w:numPr>
          <w:ilvl w:val="0"/>
          <w:numId w:val="1774"/>
        </w:numPr>
        <w:pStyle w:val="Compact"/>
      </w:pPr>
      <w:r>
        <w:t xml:space="preserve">State the interactive response time law and explain why a closed load test understates an overload.</w:t>
      </w:r>
    </w:p>
    <w:p>
      <w:pPr>
        <w:numPr>
          <w:ilvl w:val="0"/>
          <w:numId w:val="1774"/>
        </w:numPr>
        <w:pStyle w:val="Compact"/>
      </w:pPr>
      <w:r>
        <w:t xml:space="preserve">Define coordinated omission and give two ways to avoid or correct it.</w:t>
      </w:r>
    </w:p>
    <w:p>
      <w:pPr>
        <w:numPr>
          <w:ilvl w:val="0"/>
          <w:numId w:val="1774"/>
        </w:numPr>
        <w:pStyle w:val="Compact"/>
      </w:pPr>
      <w:r>
        <w:t xml:space="preserve">Why must percentiles from several load generators be computed from merged histograms?</w:t>
      </w:r>
    </w:p>
    <w:p>
      <w:pPr>
        <w:numPr>
          <w:ilvl w:val="0"/>
          <w:numId w:val="1774"/>
        </w:numPr>
        <w:pStyle w:val="Compact"/>
      </w:pPr>
      <w:r>
        <w:t xml:space="preserve">Leaves have exponential latency with a 5 ms mean. What is the root’s median with 50-way fan-out?</w:t>
      </w:r>
    </w:p>
    <w:p>
      <w:pPr>
        <w:numPr>
          <w:ilvl w:val="0"/>
          <w:numId w:val="1774"/>
        </w:numPr>
        <w:pStyle w:val="Compact"/>
      </w:pPr>
      <w:r>
        <w:t xml:space="preserve">A container has a 1-CPU quota per 100 ms period and 4 runnable threads. How long is it throttled each period?</w:t>
      </w:r>
    </w:p>
    <w:p>
      <w:pPr>
        <w:numPr>
          <w:ilvl w:val="0"/>
          <w:numId w:val="1774"/>
        </w:numPr>
        <w:pStyle w:val="Compact"/>
      </w:pPr>
      <w:r>
        <w:t xml:space="preserve">A replica answers in 5 ms with probability 0.97 and 300 ms otherwise. Hedging after 6 ms, what fraction of requests exceeds 11 ms, and what is the extra load?</w:t>
      </w:r>
    </w:p>
    <w:p>
      <w:pPr>
        <w:numPr>
          <w:ilvl w:val="0"/>
          <w:numId w:val="1774"/>
        </w:numPr>
        <w:pStyle w:val="Compact"/>
      </w:pPr>
      <w:r>
        <w:t xml:space="preserve">Why did hedging without cancellation collapse at 80% utilization in the simulation of §23.7.2?</w:t>
      </w:r>
    </w:p>
    <w:p>
      <w:pPr>
        <w:numPr>
          <w:ilvl w:val="0"/>
          <w:numId w:val="1774"/>
        </w:numPr>
        <w:pStyle w:val="Compact"/>
      </w:pPr>
      <w:r>
        <w:t xml:space="preserve">When does compression increase transfer time?</w:t>
      </w:r>
    </w:p>
    <w:p>
      <w:pPr>
        <w:numPr>
          <w:ilvl w:val="0"/>
          <w:numId w:val="1774"/>
        </w:numPr>
        <w:pStyle w:val="Compact"/>
      </w:pPr>
      <w:r>
        <w:t xml:space="preserve">Why is the location of the USL peak</w:t>
      </w:r>
      <w:r>
        <w:t xml:space="preserve"> </w:t>
      </w:r>
      <m:oMath>
        <m:sSup>
          <m:e>
            <m:r>
              <m:t>N</m:t>
            </m:r>
          </m:e>
          <m:sup>
            <m:r>
              <m:rPr>
                <m:sty m:val="p"/>
              </m:rPr>
              <m:t>*</m:t>
            </m:r>
          </m:sup>
        </m:sSup>
      </m:oMath>
      <w:r>
        <w:t xml:space="preserve"> </w:t>
      </w:r>
      <w:r>
        <w:t xml:space="preserve">less reliable than its height?</w:t>
      </w:r>
    </w:p>
    <w:p>
      <w:pPr>
        <w:pStyle w:val="FirstParagraph"/>
      </w:pPr>
      <w:r>
        <w:t xml:space="preserve">Answers</w:t>
      </w:r>
    </w:p>
    <w:p>
      <w:pPr>
        <w:numPr>
          <w:ilvl w:val="0"/>
          <w:numId w:val="1775"/>
        </w:numPr>
        <w:pStyle w:val="Compact"/>
      </w:pPr>
      <w:r>
        <w:t xml:space="preserve">Utilization, saturation, errors. Locks, pools and descriptor limits are finite and can saturate while hardware is idle, so omitting them hides real bottlenecks.</w:t>
      </w:r>
    </w:p>
    <w:p>
      <w:pPr>
        <w:numPr>
          <w:ilvl w:val="0"/>
          <w:numId w:val="1775"/>
        </w:numPr>
        <w:pStyle w:val="Compact"/>
      </w:pPr>
      <w:r>
        <w:t xml:space="preserve">The golden signals add saturation, a leading indicator. Fast failures pull the latency distribution down, hiding user pain.</w:t>
      </w:r>
    </w:p>
    <w:p>
      <w:pPr>
        <w:numPr>
          <w:ilvl w:val="0"/>
          <w:numId w:val="1775"/>
        </w:numPr>
        <w:pStyle w:val="Compact"/>
      </w:pPr>
      <m:oMath>
        <m:r>
          <m:t>n</m:t>
        </m:r>
        <m:r>
          <m:rPr>
            <m:sty m:val="p"/>
          </m:rPr>
          <m:t>=</m:t>
        </m:r>
        <m:r>
          <m:t>49</m:t>
        </m:r>
        <m:r>
          <m:rPr>
            <m:sty m:val="p"/>
          </m:rPr>
          <m:t>×</m:t>
        </m:r>
        <m:r>
          <m:t>20</m:t>
        </m:r>
        <m:r>
          <m:rPr>
            <m:sty m:val="p"/>
          </m:rPr>
          <m:t>×</m:t>
        </m:r>
        <m:r>
          <m:t>4</m:t>
        </m:r>
        <m:r>
          <m:rPr>
            <m:sty m:val="p"/>
          </m:rPr>
          <m:t>=</m:t>
        </m:r>
        <m:r>
          <m:t>3</m:t>
        </m:r>
        <m:r>
          <m:rPr>
            <m:sty m:val="p"/>
          </m:rPr>
          <m:t>,</m:t>
        </m:r>
        <m:r>
          <m:t>920</m:t>
        </m:r>
      </m:oMath>
      <w:r>
        <w:t xml:space="preserve">;</w:t>
      </w:r>
      <w:r>
        <w:t xml:space="preserve"> </w:t>
      </w:r>
      <m:oMath>
        <m:r>
          <m:rPr>
            <m:sty m:val="p"/>
          </m:rPr>
          <m:t>S</m:t>
        </m:r>
        <m:r>
          <m:rPr>
            <m:sty m:val="p"/>
          </m:rPr>
          <m:t>E</m:t>
        </m:r>
        <m:r>
          <m:rPr>
            <m:sty m:val="p"/>
          </m:rPr>
          <m:t>=</m:t>
        </m:r>
        <m:rad>
          <m:radPr>
            <m:degHide m:val="on"/>
          </m:radPr>
          <m:deg/>
          <m:e>
            <m:r>
              <m:t>0.05</m:t>
            </m:r>
            <m:r>
              <m:rPr>
                <m:sty m:val="p"/>
              </m:rPr>
              <m:t>×</m:t>
            </m:r>
            <m:r>
              <m:t>0.95</m:t>
            </m:r>
            <m:r>
              <m:rPr>
                <m:sty m:val="p"/>
              </m:rPr>
              <m:t>/</m:t>
            </m:r>
            <m:r>
              <m:t>3</m:t>
            </m:r>
            <m:r>
              <m:rPr>
                <m:sty m:val="p"/>
              </m:rPr>
              <m:t>,</m:t>
            </m:r>
            <m:r>
              <m:t>920</m:t>
            </m:r>
          </m:e>
        </m:rad>
        <m:r>
          <m:rPr>
            <m:sty m:val="p"/>
          </m:rPr>
          <m:t>=</m:t>
        </m:r>
        <m:r>
          <m:t>0.0035</m:t>
        </m:r>
      </m:oMath>
      <w:r>
        <w:t xml:space="preserve">, i.e. ±0.35 percentage points.</w:t>
      </w:r>
    </w:p>
    <w:p>
      <w:pPr>
        <w:numPr>
          <w:ilvl w:val="0"/>
          <w:numId w:val="1775"/>
        </w:numPr>
        <w:pStyle w:val="Compact"/>
      </w:pPr>
      <w:r>
        <w:t xml:space="preserve">The time is off-CPU: waiting on I/O, locks, pools or the run queue. Use off-CPU or wall-clock profiling and traces.</w:t>
      </w:r>
    </w:p>
    <w:p>
      <w:pPr>
        <w:numPr>
          <w:ilvl w:val="0"/>
          <w:numId w:val="1775"/>
        </w:numPr>
        <w:pStyle w:val="Compact"/>
      </w:pPr>
      <m:oMath>
        <m:r>
          <m:t>X</m:t>
        </m:r>
        <m:r>
          <m:rPr>
            <m:sty m:val="p"/>
          </m:rPr>
          <m:t>=</m:t>
        </m:r>
        <m:r>
          <m:t>N</m:t>
        </m:r>
        <m:r>
          <m:rPr>
            <m:sty m:val="p"/>
          </m:rPr>
          <m:t>/</m:t>
        </m:r>
        <m:d>
          <m:dPr>
            <m:begChr m:val="("/>
            <m:endChr m:val=")"/>
            <m:sepChr m:val=""/>
            <m:grow/>
          </m:dPr>
          <m:e>
            <m:r>
              <m:t>R</m:t>
            </m:r>
            <m:r>
              <m:rPr>
                <m:sty m:val="p"/>
              </m:rPr>
              <m:t>+</m:t>
            </m:r>
            <m:r>
              <m:t>Z</m:t>
            </m:r>
          </m:e>
        </m:d>
      </m:oMath>
      <w:r>
        <w:t xml:space="preserve">. When</w:t>
      </w:r>
      <w:r>
        <w:t xml:space="preserve"> </w:t>
      </w:r>
      <m:oMath>
        <m:r>
          <m:t>R</m:t>
        </m:r>
      </m:oMath>
      <w:r>
        <w:t xml:space="preserve"> </w:t>
      </w:r>
      <w:r>
        <w:t xml:space="preserve">rises, a fixed population sends less, so offered load falls instead of queueing.</w:t>
      </w:r>
    </w:p>
    <w:p>
      <w:pPr>
        <w:numPr>
          <w:ilvl w:val="0"/>
          <w:numId w:val="1775"/>
        </w:numPr>
        <w:pStyle w:val="Compact"/>
      </w:pPr>
      <w:r>
        <w:t xml:space="preserve">The generator waits for slow replies and so skips sends during stalls, omitting the worst samples. Use an open-model generator that measures from the intended send time (wrk2, k6 arrival-rate executors), or apply expected-interval correction.</w:t>
      </w:r>
    </w:p>
    <w:p>
      <w:pPr>
        <w:numPr>
          <w:ilvl w:val="0"/>
          <w:numId w:val="1775"/>
        </w:numPr>
        <w:pStyle w:val="Compact"/>
      </w:pPr>
      <w:r>
        <w:t xml:space="preserve">Percentiles are not additive; averaging p99s from generators with different sample counts or distributions gives a number that is not the p99 of anything.</w:t>
      </w:r>
    </w:p>
    <w:p>
      <w:pPr>
        <w:numPr>
          <w:ilvl w:val="0"/>
          <w:numId w:val="1775"/>
        </w:numPr>
        <w:pStyle w:val="Compact"/>
      </w:pPr>
      <m:oMath>
        <m:sSup>
          <m:e>
            <m:r>
              <m:t>0.5</m:t>
            </m:r>
          </m:e>
          <m:sup>
            <m:r>
              <m:t>1</m:t>
            </m:r>
            <m:r>
              <m:rPr>
                <m:sty m:val="p"/>
              </m:rPr>
              <m:t>/</m:t>
            </m:r>
            <m:r>
              <m:t>50</m:t>
            </m:r>
          </m:sup>
        </m:sSup>
        <m:r>
          <m:rPr>
            <m:sty m:val="p"/>
          </m:rPr>
          <m:t>=</m:t>
        </m:r>
        <m:r>
          <m:t>0.98623</m:t>
        </m:r>
      </m:oMath>
      <w:r>
        <w:t xml:space="preserve">;</w:t>
      </w:r>
      <w:r>
        <w:t xml:space="preserve"> </w:t>
      </w:r>
      <m:oMath>
        <m:r>
          <m:t>t</m:t>
        </m:r>
        <m:r>
          <m:rPr>
            <m:sty m:val="p"/>
          </m:rPr>
          <m:t>=</m:t>
        </m:r>
        <m:r>
          <m:t>5</m:t>
        </m:r>
        <m:r>
          <m:rPr>
            <m:sty m:val="p"/>
          </m:rPr>
          <m:t>ln</m:t>
        </m:r>
        <m:d>
          <m:dPr>
            <m:begChr m:val="("/>
            <m:endChr m:val=")"/>
            <m:sepChr m:val=""/>
            <m:grow/>
          </m:dPr>
          <m:e>
            <m:r>
              <m:t>1</m:t>
            </m:r>
            <m:r>
              <m:rPr>
                <m:sty m:val="p"/>
              </m:rPr>
              <m:t>/</m:t>
            </m:r>
            <m:r>
              <m:t>0.01377</m:t>
            </m:r>
          </m:e>
        </m:d>
        <m:r>
          <m:rPr>
            <m:sty m:val="p"/>
          </m:rPr>
          <m:t>=</m:t>
        </m:r>
        <m:r>
          <m:t>5</m:t>
        </m:r>
        <m:r>
          <m:rPr>
            <m:sty m:val="p"/>
          </m:rPr>
          <m:t>×</m:t>
        </m:r>
        <m:r>
          <m:t>4.285</m:t>
        </m:r>
        <m:r>
          <m:rPr>
            <m:sty m:val="p"/>
          </m:rPr>
          <m:t>=</m:t>
        </m:r>
        <m:r>
          <m:t>21.4</m:t>
        </m:r>
      </m:oMath>
      <w:r>
        <w:t xml:space="preserve"> </w:t>
      </w:r>
      <w:r>
        <w:t xml:space="preserve">ms.</w:t>
      </w:r>
    </w:p>
    <w:p>
      <w:pPr>
        <w:numPr>
          <w:ilvl w:val="0"/>
          <w:numId w:val="1775"/>
        </w:numPr>
        <w:pStyle w:val="Compact"/>
      </w:pPr>
      <m:oMath>
        <m:sSub>
          <m:e>
            <m:r>
              <m:t>t</m:t>
            </m:r>
          </m:e>
          <m:sub>
            <m:r>
              <m:rPr>
                <m:nor/>
                <m:sty m:val="p"/>
              </m:rPr>
              <m:t>run</m:t>
            </m:r>
          </m:sub>
        </m:sSub>
        <m:r>
          <m:rPr>
            <m:sty m:val="p"/>
          </m:rPr>
          <m:t>=</m:t>
        </m:r>
        <m:r>
          <m:t>100</m:t>
        </m:r>
        <m:r>
          <m:rPr>
            <m:sty m:val="p"/>
          </m:rPr>
          <m:t>/</m:t>
        </m:r>
        <m:r>
          <m:t>4</m:t>
        </m:r>
        <m:r>
          <m:rPr>
            <m:sty m:val="p"/>
          </m:rPr>
          <m:t>=</m:t>
        </m:r>
        <m:r>
          <m:t>25</m:t>
        </m:r>
      </m:oMath>
      <w:r>
        <w:t xml:space="preserve"> </w:t>
      </w:r>
      <w:r>
        <w:t xml:space="preserve">ms, so it is throttled for 75 ms per period.</w:t>
      </w:r>
    </w:p>
    <w:p>
      <w:pPr>
        <w:numPr>
          <w:ilvl w:val="0"/>
          <w:numId w:val="1775"/>
        </w:numPr>
        <w:pStyle w:val="Compact"/>
      </w:pPr>
      <m:oMath>
        <m:r>
          <m:t>P</m:t>
        </m:r>
        <m:d>
          <m:dPr>
            <m:begChr m:val="("/>
            <m:endChr m:val=")"/>
            <m:sepChr m:val=""/>
            <m:grow/>
          </m:dPr>
          <m:e>
            <m:r>
              <m:t>T</m:t>
            </m:r>
            <m:r>
              <m:rPr>
                <m:sty m:val="p"/>
              </m:rPr>
              <m:t>&gt;</m:t>
            </m:r>
            <m:r>
              <m:t>11</m:t>
            </m:r>
          </m:e>
        </m:d>
        <m:r>
          <m:rPr>
            <m:sty m:val="p"/>
          </m:rPr>
          <m:t>=</m:t>
        </m:r>
        <m:r>
          <m:t>0.03</m:t>
        </m:r>
        <m:r>
          <m:rPr>
            <m:sty m:val="p"/>
          </m:rPr>
          <m:t>×</m:t>
        </m:r>
        <m:r>
          <m:t>0.03</m:t>
        </m:r>
        <m:r>
          <m:rPr>
            <m:sty m:val="p"/>
          </m:rPr>
          <m:t>=</m:t>
        </m:r>
        <m:r>
          <m:t>0.0009</m:t>
        </m:r>
      </m:oMath>
      <w:r>
        <w:t xml:space="preserve"> </w:t>
      </w:r>
      <w:r>
        <w:t xml:space="preserve">(0.09%); extra load is</w:t>
      </w:r>
      <w:r>
        <w:t xml:space="preserve"> </w:t>
      </w:r>
      <m:oMath>
        <m:r>
          <m:t>P</m:t>
        </m:r>
        <m:d>
          <m:dPr>
            <m:begChr m:val="("/>
            <m:endChr m:val=")"/>
            <m:sepChr m:val=""/>
            <m:grow/>
          </m:dPr>
          <m:e>
            <m:r>
              <m:t>X</m:t>
            </m:r>
            <m:r>
              <m:rPr>
                <m:sty m:val="p"/>
              </m:rPr>
              <m:t>&gt;</m:t>
            </m:r>
            <m:r>
              <m:t>6</m:t>
            </m:r>
          </m:e>
        </m:d>
        <m:r>
          <m:rPr>
            <m:sty m:val="p"/>
          </m:rPr>
          <m:t>=</m:t>
        </m:r>
        <m:r>
          <m:t>3</m:t>
        </m:r>
        <m:r>
          <m:rPr>
            <m:sty m:val="p"/>
          </m:rPr>
          <m:t>%</m:t>
        </m:r>
      </m:oMath>
      <w:r>
        <w:t xml:space="preserve">.</w:t>
      </w:r>
    </w:p>
    <w:p>
      <w:pPr>
        <w:numPr>
          <w:ilvl w:val="0"/>
          <w:numId w:val="1775"/>
        </w:numPr>
        <w:pStyle w:val="Compact"/>
      </w:pPr>
      <w:r>
        <w:t xml:space="preserve">Hedges raised utilization, which raised latency, which pushed more requests past the fixed hedge delay, a positive feedback loop that drove demand above capacity.</w:t>
      </w:r>
    </w:p>
    <w:p>
      <w:pPr>
        <w:numPr>
          <w:ilvl w:val="0"/>
          <w:numId w:val="1775"/>
        </w:numPr>
        <w:pStyle w:val="Compact"/>
      </w:pPr>
      <w:r>
        <w:t xml:space="preserve">When CPU time to compress and decompress exceeds the bandwidth time saved:</w:t>
      </w:r>
      <w:r>
        <w:t xml:space="preserve"> </w:t>
      </w:r>
      <m:oMath>
        <m:r>
          <m:t>1</m:t>
        </m:r>
        <m:r>
          <m:rPr>
            <m:sty m:val="p"/>
          </m:rPr>
          <m:t>/</m:t>
        </m:r>
        <m:sSub>
          <m:e>
            <m:r>
              <m:t>C</m:t>
            </m:r>
          </m:e>
          <m:sub>
            <m:r>
              <m:t>c</m:t>
            </m:r>
          </m:sub>
        </m:sSub>
        <m:r>
          <m:rPr>
            <m:sty m:val="p"/>
          </m:rPr>
          <m:t>+</m:t>
        </m:r>
        <m:r>
          <m:t>1</m:t>
        </m:r>
        <m:r>
          <m:rPr>
            <m:sty m:val="p"/>
          </m:rPr>
          <m:t>/</m:t>
        </m:r>
        <m:d>
          <m:dPr>
            <m:begChr m:val="("/>
            <m:endChr m:val=")"/>
            <m:sepChr m:val=""/>
            <m:grow/>
          </m:dPr>
          <m:e>
            <m:r>
              <m:t>ρ</m:t>
            </m:r>
            <m:r>
              <m:t>W</m:t>
            </m:r>
          </m:e>
        </m:d>
        <m:r>
          <m:rPr>
            <m:sty m:val="p"/>
          </m:rPr>
          <m:t>+</m:t>
        </m:r>
        <m:r>
          <m:t>1</m:t>
        </m:r>
        <m:r>
          <m:rPr>
            <m:sty m:val="p"/>
          </m:rPr>
          <m:t>/</m:t>
        </m:r>
        <m:sSub>
          <m:e>
            <m:r>
              <m:t>C</m:t>
            </m:r>
          </m:e>
          <m:sub>
            <m:r>
              <m:t>d</m:t>
            </m:r>
          </m:sub>
        </m:sSub>
        <m:r>
          <m:rPr>
            <m:sty m:val="p"/>
          </m:rPr>
          <m:t>&gt;</m:t>
        </m:r>
        <m:r>
          <m:t>1</m:t>
        </m:r>
        <m:r>
          <m:rPr>
            <m:sty m:val="p"/>
          </m:rPr>
          <m:t>/</m:t>
        </m:r>
        <m:r>
          <m:t>W</m:t>
        </m:r>
      </m:oMath>
      <w:r>
        <w:t xml:space="preserve">, typically on fast links with a single stream.</w:t>
      </w:r>
    </w:p>
    <w:p>
      <w:pPr>
        <w:numPr>
          <w:ilvl w:val="0"/>
          <w:numId w:val="1775"/>
        </w:numPr>
        <w:pStyle w:val="Compact"/>
      </w:pPr>
      <w:r>
        <w:t xml:space="preserve">Throughput is flat near the peak, so many values of</w:t>
      </w:r>
      <w:r>
        <w:t xml:space="preserve"> </w:t>
      </w:r>
      <m:oMath>
        <m:r>
          <m:t>N</m:t>
        </m:r>
      </m:oMath>
      <w:r>
        <w:t xml:space="preserve"> </w:t>
      </w:r>
      <w:r>
        <w:t xml:space="preserve">give nearly the same</w:t>
      </w:r>
      <w:r>
        <w:t xml:space="preserve"> </w:t>
      </w:r>
      <m:oMath>
        <m:r>
          <m:t>X</m:t>
        </m:r>
      </m:oMath>
      <w:r>
        <w:t xml:space="preserve">; small noise moves</w:t>
      </w:r>
      <w:r>
        <w:t xml:space="preserve"> </w:t>
      </w:r>
      <m:oMath>
        <m:sSup>
          <m:e>
            <m:r>
              <m:t>N</m:t>
            </m:r>
          </m:e>
          <m:sup>
            <m:r>
              <m:rPr>
                <m:sty m:val="p"/>
              </m:rPr>
              <m:t>*</m:t>
            </m:r>
          </m:sup>
        </m:sSup>
      </m:oMath>
      <w:r>
        <w:t xml:space="preserve"> </w:t>
      </w:r>
      <w:r>
        <w:t xml:space="preserve">a lot but</w:t>
      </w:r>
      <w:r>
        <w:t xml:space="preserve"> </w:t>
      </w:r>
      <m:oMath>
        <m:sSub>
          <m:e>
            <m:r>
              <m:t>X</m:t>
            </m:r>
          </m:e>
          <m:sub>
            <m:r>
              <m:rPr>
                <m:sty m:val="p"/>
              </m:rPr>
              <m:t>max</m:t>
            </m:r>
          </m:sub>
        </m:sSub>
      </m:oMath>
      <w:r>
        <w:t xml:space="preserve"> </w:t>
      </w:r>
      <w:r>
        <w:t xml:space="preserve">little.</w:t>
      </w:r>
    </w:p>
    <w:bookmarkEnd w:id="2644"/>
    <w:bookmarkStart w:id="2648" w:name="interview-questions-22"/>
    <w:p>
      <w:pPr>
        <w:pStyle w:val="Heading2"/>
      </w:pPr>
      <w:r>
        <w:t xml:space="preserve">23.13 Interview questions</w:t>
      </w:r>
    </w:p>
    <w:bookmarkStart w:id="2645" w:name="basic-22"/>
    <w:p>
      <w:pPr>
        <w:pStyle w:val="Heading3"/>
      </w:pPr>
      <w:r>
        <w:t xml:space="preserve">Basic</w:t>
      </w:r>
    </w:p>
    <w:p>
      <w:pPr>
        <w:pStyle w:val="FirstParagraph"/>
      </w:pPr>
      <w:r>
        <w:rPr>
          <w:bCs/>
          <w:b/>
        </w:rPr>
        <w:t xml:space="preserve">Q1. A service’s average latency is fine but users complain. Where do you start?</w:t>
      </w:r>
      <w:r>
        <w:t xml:space="preserve"> </w:t>
      </w:r>
      <w:r>
        <w:rPr>
          <w:bCs/>
          <w:b/>
        </w:rPr>
        <w:t xml:space="preserve">Answer.</w:t>
      </w:r>
      <w:r>
        <w:t xml:space="preserve"> </w:t>
      </w:r>
      <w:r>
        <w:t xml:space="preserve">Check per-endpoint percentiles (p99, p99.9) from histograms, split by success and error, and what changed when complaints began; then RED across the call graph and USE on the slow service. Averages hide tails, and with fan-out the unlucky fraction is often most users.</w:t>
      </w:r>
    </w:p>
    <w:p>
      <w:pPr>
        <w:pStyle w:val="BodyText"/>
      </w:pPr>
      <w:r>
        <w:rPr>
          <w:bCs/>
          <w:b/>
        </w:rPr>
        <w:t xml:space="preserve">Q2. What is coordinated omission?</w:t>
      </w:r>
      <w:r>
        <w:t xml:space="preserve"> </w:t>
      </w:r>
      <w:r>
        <w:rPr>
          <w:bCs/>
          <w:b/>
        </w:rPr>
        <w:t xml:space="preserve">Answer.</w:t>
      </w:r>
      <w:r>
        <w:t xml:space="preserve"> </w:t>
      </w:r>
      <w:r>
        <w:t xml:space="preserve">A load generator that waits for each response before sending the next stops sending during a stall, so the requests that would have suffered are never measured. Reported percentiles can be orders of magnitude too low. Use a constant-rate open generator that timestamps from the intended send time, and record into HDR histograms.</w:t>
      </w:r>
    </w:p>
    <w:bookmarkEnd w:id="2645"/>
    <w:bookmarkStart w:id="2646" w:name="intermediate-22"/>
    <w:p>
      <w:pPr>
        <w:pStyle w:val="Heading3"/>
      </w:pPr>
      <w:r>
        <w:t xml:space="preserve">Intermediate</w:t>
      </w:r>
    </w:p>
    <w:p>
      <w:pPr>
        <w:pStyle w:val="FirstParagraph"/>
      </w:pPr>
      <w:r>
        <w:rPr>
          <w:bCs/>
          <w:b/>
        </w:rPr>
        <w:t xml:space="preserve">Q3. Design hedging for a key-value read path with a p99 problem.</w:t>
      </w:r>
      <w:r>
        <w:t xml:space="preserve"> </w:t>
      </w:r>
      <w:r>
        <w:rPr>
          <w:bCs/>
          <w:b/>
        </w:rPr>
        <w:t xml:space="preserve">Answer.</w:t>
      </w:r>
      <w:r>
        <w:t xml:space="preserve"> </w:t>
      </w:r>
      <w:r>
        <w:t xml:space="preserve">Hedge only idempotent reads. Set the delay from a rolling histogram near the p95, cap hedges at about 5% of requests with a token-bucket budget, choose the second replica in a different failure domain, and cancel the loser. Disable hedging when the service is overloaded (rising queue depth or error rate) to avoid feedback. Measure p99, p99.9 and hedge rate before and after; consider tied requests if the storage servers can cancel queued work.</w:t>
      </w:r>
    </w:p>
    <w:p>
      <w:pPr>
        <w:pStyle w:val="BodyText"/>
      </w:pPr>
      <w:r>
        <w:rPr>
          <w:bCs/>
          <w:b/>
        </w:rPr>
        <w:t xml:space="preserve">Q4. CPU is at 30% but p99 is ten times the SLO. What could it be?</w:t>
      </w:r>
      <w:r>
        <w:t xml:space="preserve"> </w:t>
      </w:r>
      <w:r>
        <w:rPr>
          <w:bCs/>
          <w:b/>
        </w:rPr>
        <w:t xml:space="preserve">Answer.</w:t>
      </w:r>
      <w:r>
        <w:t xml:space="preserve"> </w:t>
      </w:r>
      <w:r>
        <w:t xml:space="preserve">Off-CPU causes: saturated pools, lock contention, slow dependencies, GC pauses, CPU quota throttling or retransmissions. Check pool waiters, cgroup</w:t>
      </w:r>
      <w:r>
        <w:t xml:space="preserve"> </w:t>
      </w:r>
      <w:r>
        <w:rPr>
          <w:rStyle w:val="VerbatimChar"/>
        </w:rPr>
        <w:t xml:space="preserve">nr_throttled</w:t>
      </w:r>
      <w:r>
        <w:t xml:space="preserve">, GC logs and retransmit counters, then take off-CPU profiles and traces of slow requests.</w:t>
      </w:r>
    </w:p>
    <w:bookmarkEnd w:id="2646"/>
    <w:bookmarkStart w:id="2647" w:name="advanced-22"/>
    <w:p>
      <w:pPr>
        <w:pStyle w:val="Heading3"/>
      </w:pPr>
      <w:r>
        <w:t xml:space="preserve">Advanced</w:t>
      </w:r>
    </w:p>
    <w:p>
      <w:pPr>
        <w:pStyle w:val="FirstParagraph"/>
      </w:pPr>
      <w:r>
        <w:rPr>
          <w:bCs/>
          <w:b/>
        </w:rPr>
        <w:t xml:space="preserve">Q5. How would you produce a capacity plan for a new service?</w:t>
      </w:r>
      <w:r>
        <w:t xml:space="preserve"> </w:t>
      </w:r>
      <w:r>
        <w:rPr>
          <w:bCs/>
          <w:b/>
        </w:rPr>
        <w:t xml:space="preserve">Answer.</w:t>
      </w:r>
      <w:r>
        <w:t xml:space="preserve"> </w:t>
      </w:r>
      <w:r>
        <w:t xml:space="preserve">Build a representative workload from production traces; run warm, steady-state closed tests at increasing concurrency on the target instance type; fit the USL; check residuals and that the peak lies within the measured range. Choose an operating point at a fraction of the fitted peak, verified by an open-model test at that rate against the latency SLO. Size</w:t>
      </w:r>
      <w:r>
        <w:t xml:space="preserve"> </w:t>
      </w:r>
      <m:oMath>
        <m:r>
          <m:t>n</m:t>
        </m:r>
        <m:r>
          <m:rPr>
            <m:sty m:val="p"/>
          </m:rPr>
          <m:t>=</m:t>
        </m:r>
        <m:r>
          <m:rPr>
            <m:sty m:val="p"/>
          </m:rPr>
          <m:t>⌈</m:t>
        </m:r>
        <m:sSub>
          <m:e>
            <m:r>
              <m:t>λ</m:t>
            </m:r>
          </m:e>
          <m:sub>
            <m:r>
              <m:rPr>
                <m:nor/>
                <m:sty m:val="p"/>
              </m:rPr>
              <m:t>peak</m:t>
            </m:r>
          </m:sub>
        </m:sSub>
        <m:d>
          <m:dPr>
            <m:begChr m:val="("/>
            <m:endChr m:val=")"/>
            <m:sepChr m:val=""/>
            <m:grow/>
          </m:dPr>
          <m:e>
            <m:r>
              <m:t>1</m:t>
            </m:r>
            <m:r>
              <m:rPr>
                <m:sty m:val="p"/>
              </m:rPr>
              <m:t>+</m:t>
            </m:r>
            <m:r>
              <m:t>g</m:t>
            </m:r>
          </m:e>
        </m:d>
        <m:r>
          <m:rPr>
            <m:sty m:val="p"/>
          </m:rPr>
          <m:t>/</m:t>
        </m:r>
        <m:d>
          <m:dPr>
            <m:begChr m:val="("/>
            <m:endChr m:val=")"/>
            <m:sepChr m:val=""/>
            <m:grow/>
          </m:dPr>
          <m:e>
            <m:r>
              <m:t>u</m:t>
            </m:r>
            <m:sSub>
              <m:e>
                <m:r>
                  <m:t>X</m:t>
                </m:r>
              </m:e>
              <m:sub>
                <m:r>
                  <m:rPr>
                    <m:sty m:val="p"/>
                  </m:rPr>
                  <m:t>max</m:t>
                </m:r>
              </m:sub>
            </m:sSub>
          </m:e>
        </m:d>
        <m:r>
          <m:rPr>
            <m:sty m:val="p"/>
          </m:rPr>
          <m:t>⌉</m:t>
        </m:r>
      </m:oMath>
      <w:r>
        <w:t xml:space="preserve">, add zone redundancy, and refit after every major change, comparing with production telemetry.</w:t>
      </w:r>
    </w:p>
    <w:p>
      <w:pPr>
        <w:pStyle w:val="BodyText"/>
      </w:pPr>
      <w:r>
        <w:rPr>
          <w:bCs/>
          <w:b/>
        </w:rPr>
        <w:t xml:space="preserve">Q6. A Java service’s p99.9 spikes every few seconds. Walk through diagnosis and fixes.</w:t>
      </w:r>
      <w:r>
        <w:t xml:space="preserve"> </w:t>
      </w:r>
      <w:r>
        <w:rPr>
          <w:bCs/>
          <w:b/>
        </w:rPr>
        <w:t xml:space="preserve">Answer.</w:t>
      </w:r>
      <w:r>
        <w:t xml:space="preserve"> </w:t>
      </w:r>
      <w:r>
        <w:t xml:space="preserve">Correlate spikes with GC logs. If they match minor pauses, measure the allocation rate and young-generation size: frequency is</w:t>
      </w:r>
      <w:r>
        <w:t xml:space="preserve"> </w:t>
      </w:r>
      <m:oMath>
        <m:r>
          <m:t>E</m:t>
        </m:r>
        <m:r>
          <m:rPr>
            <m:sty m:val="p"/>
          </m:rPr>
          <m:t>/</m:t>
        </m:r>
        <m:r>
          <m:t>a</m:t>
        </m:r>
      </m:oMath>
      <w:r>
        <w:t xml:space="preserve">, and pause length scales with survivors. Reduce allocation using an allocation profiler, size the heap with headroom, or move to a concurrent collector (ZGC or Shenandoah) for sub-millisecond pauses at some throughput and memory cost. Also rule out JIT warm-up after deployments, container throttling and background jobs.</w:t>
      </w:r>
    </w:p>
    <w:bookmarkEnd w:id="2647"/>
    <w:bookmarkEnd w:id="2648"/>
    <w:bookmarkStart w:id="2649" w:name="practical-exercises-22"/>
    <w:p>
      <w:pPr>
        <w:pStyle w:val="Heading2"/>
      </w:pPr>
      <w:r>
        <w:t xml:space="preserve">23.14 Practical exercises</w:t>
      </w:r>
    </w:p>
    <w:p>
      <w:pPr>
        <w:numPr>
          <w:ilvl w:val="0"/>
          <w:numId w:val="1776"/>
        </w:numPr>
        <w:pStyle w:val="Compact"/>
      </w:pPr>
      <w:r>
        <w:t xml:space="preserve">Run the coordinated-omission program of §23.5.3 with the stall moved to</w:t>
      </w:r>
      <w:r>
        <w:t xml:space="preserve"> </w:t>
      </w:r>
      <m:oMath>
        <m:r>
          <m:t>t</m:t>
        </m:r>
        <m:r>
          <m:rPr>
            <m:sty m:val="p"/>
          </m:rPr>
          <m:t>=</m:t>
        </m:r>
        <m:r>
          <m:t>5</m:t>
        </m:r>
      </m:oMath>
      <w:r>
        <w:t xml:space="preserve"> </w:t>
      </w:r>
      <w:r>
        <w:t xml:space="preserve">s and lengthened to 5 s. Predict the true p99 with the formula of §23.5.3 before running.</w:t>
      </w:r>
    </w:p>
    <w:p>
      <w:pPr>
        <w:numPr>
          <w:ilvl w:val="0"/>
          <w:numId w:val="1776"/>
        </w:numPr>
        <w:pStyle w:val="Compact"/>
      </w:pPr>
      <w:r>
        <w:t xml:space="preserve">Modify the hedging simulation to use an adaptive delay (the running p95 of the last 10,000 requests) and a budget capping hedges at 5% of requests. Does it remain stable at 80% and 90% utilization?</w:t>
      </w:r>
    </w:p>
    <w:p>
      <w:pPr>
        <w:numPr>
          <w:ilvl w:val="0"/>
          <w:numId w:val="1776"/>
        </w:numPr>
        <w:pStyle w:val="Compact"/>
      </w:pPr>
      <w:r>
        <w:t xml:space="preserve">Profile a Python program of your own with</w:t>
      </w:r>
      <w:r>
        <w:t xml:space="preserve"> </w:t>
      </w:r>
      <w:r>
        <w:rPr>
          <w:rStyle w:val="VerbatimChar"/>
        </w:rPr>
        <w:t xml:space="preserve">py-spy record</w:t>
      </w:r>
      <w:r>
        <w:t xml:space="preserve"> </w:t>
      </w:r>
      <w:r>
        <w:t xml:space="preserve">and with</w:t>
      </w:r>
      <w:r>
        <w:t xml:space="preserve"> </w:t>
      </w:r>
      <w:r>
        <w:rPr>
          <w:rStyle w:val="VerbatimChar"/>
        </w:rPr>
        <w:t xml:space="preserve">cProfile</w:t>
      </w:r>
      <w:r>
        <w:t xml:space="preserve">. Compare the hottest functions and explain any differences.</w:t>
      </w:r>
    </w:p>
    <w:p>
      <w:pPr>
        <w:numPr>
          <w:ilvl w:val="0"/>
          <w:numId w:val="1776"/>
        </w:numPr>
        <w:pStyle w:val="Compact"/>
      </w:pPr>
      <w:r>
        <w:t xml:space="preserve">Use k6 with a</w:t>
      </w:r>
      <w:r>
        <w:t xml:space="preserve"> </w:t>
      </w:r>
      <w:r>
        <w:rPr>
          <w:rStyle w:val="VerbatimChar"/>
        </w:rPr>
        <w:t xml:space="preserve">constant-vus</w:t>
      </w:r>
      <w:r>
        <w:t xml:space="preserve"> </w:t>
      </w:r>
      <w:r>
        <w:t xml:space="preserve">executor and then a</w:t>
      </w:r>
      <w:r>
        <w:t xml:space="preserve"> </w:t>
      </w:r>
      <w:r>
        <w:rPr>
          <w:rStyle w:val="VerbatimChar"/>
        </w:rPr>
        <w:t xml:space="preserve">constant-arrival-rate</w:t>
      </w:r>
      <w:r>
        <w:t xml:space="preserve"> </w:t>
      </w:r>
      <w:r>
        <w:t xml:space="preserve">executor against a test server that sleeps 1 s every 10 s. Compare reported p99 and achieved rates.</w:t>
      </w:r>
    </w:p>
    <w:p>
      <w:pPr>
        <w:numPr>
          <w:ilvl w:val="0"/>
          <w:numId w:val="1776"/>
        </w:numPr>
        <w:pStyle w:val="Compact"/>
      </w:pPr>
      <w:r>
        <w:t xml:space="preserve">Collect throughput at eight concurrency levels from any local service (for example, a database with a benchmark tool) and fit the USL with the program of §23.10.2.</w:t>
      </w:r>
    </w:p>
    <w:bookmarkEnd w:id="2649"/>
    <w:bookmarkStart w:id="2650" w:name="design-challenges-22"/>
    <w:p>
      <w:pPr>
        <w:pStyle w:val="Heading2"/>
      </w:pPr>
      <w:r>
        <w:t xml:space="preserve">23.15 Design challenges</w:t>
      </w:r>
    </w:p>
    <w:p>
      <w:pPr>
        <w:numPr>
          <w:ilvl w:val="0"/>
          <w:numId w:val="1777"/>
        </w:numPr>
        <w:pStyle w:val="Compact"/>
      </w:pPr>
      <w:r>
        <w:rPr>
          <w:bCs/>
          <w:b/>
        </w:rPr>
        <w:t xml:space="preserve">Search fan-out.</w:t>
      </w:r>
      <w:r>
        <w:t xml:space="preserve"> </w:t>
      </w:r>
      <w:r>
        <w:t xml:space="preserve">A query fans out to 200 index partitions with leaf p99 = 20 ms and p99.9 = 120 ms. The product requires root p99 ≤ 80 ms. Choose a combination of replication, hedging, tied requests and partial results, and quantify the extra load.</w:t>
      </w:r>
    </w:p>
    <w:p>
      <w:pPr>
        <w:numPr>
          <w:ilvl w:val="0"/>
          <w:numId w:val="1777"/>
        </w:numPr>
        <w:pStyle w:val="Compact"/>
      </w:pPr>
      <w:r>
        <w:rPr>
          <w:bCs/>
          <w:b/>
        </w:rPr>
        <w:t xml:space="preserve">Load-test platform.</w:t>
      </w:r>
      <w:r>
        <w:t xml:space="preserve"> </w:t>
      </w:r>
      <w:r>
        <w:t xml:space="preserve">Design an internal load-testing service for 100 teams: open-model generators, HDR histogram aggregation, safety limits for tests against shared dependencies, and automatic comparison with the previous release.</w:t>
      </w:r>
    </w:p>
    <w:bookmarkEnd w:id="2650"/>
    <w:bookmarkStart w:id="2651" w:name="references-22"/>
    <w:p>
      <w:pPr>
        <w:pStyle w:val="Heading2"/>
      </w:pPr>
      <w:r>
        <w:t xml:space="preserve">23.16 References</w:t>
      </w:r>
    </w:p>
    <w:p>
      <w:pPr>
        <w:numPr>
          <w:ilvl w:val="0"/>
          <w:numId w:val="1778"/>
        </w:numPr>
        <w:pStyle w:val="Compact"/>
      </w:pPr>
      <w:r>
        <w:t xml:space="preserve">Apache Cassandra.</w:t>
      </w:r>
      <w:r>
        <w:t xml:space="preserve"> </w:t>
      </w:r>
      <w:r>
        <w:rPr>
          <w:iCs/>
          <w:i/>
        </w:rPr>
        <w:t xml:space="preserve">Apache Cassandra Documentation — CREATE TABLE:</w:t>
      </w:r>
      <w:r>
        <w:rPr>
          <w:iCs/>
          <w:i/>
        </w:rPr>
        <w:t xml:space="preserve"> </w:t>
      </w:r>
      <w:r>
        <w:rPr>
          <w:rStyle w:val="VerbatimChar"/>
          <w:iCs/>
          <w:i/>
        </w:rPr>
        <w:t xml:space="preserve">speculative_retry</w:t>
      </w:r>
      <w:r>
        <w:rPr>
          <w:iCs/>
          <w:i/>
        </w:rPr>
        <w:t xml:space="preserve"> </w:t>
      </w:r>
      <w:r>
        <w:rPr>
          <w:iCs/>
          <w:i/>
        </w:rPr>
        <w:t xml:space="preserve">option</w:t>
      </w:r>
      <w:r>
        <w:t xml:space="preserve">. https://cassandra.apache.org/doc/latest/</w:t>
      </w:r>
    </w:p>
    <w:p>
      <w:pPr>
        <w:numPr>
          <w:ilvl w:val="0"/>
          <w:numId w:val="1778"/>
        </w:numPr>
        <w:pStyle w:val="Compact"/>
      </w:pPr>
      <w:r>
        <w:t xml:space="preserve">Beyer, B., Jones, C., Petoff, J., Murphy, N. R. (eds.).</w:t>
      </w:r>
      <w:r>
        <w:t xml:space="preserve"> </w:t>
      </w:r>
      <w:r>
        <w:rPr>
          <w:iCs/>
          <w:i/>
        </w:rPr>
        <w:t xml:space="preserve">Site Reliability Engineering: How Google Runs Production Systems</w:t>
      </w:r>
      <w:r>
        <w:t xml:space="preserve">, ch. 6</w:t>
      </w:r>
      <w:r>
        <w:t xml:space="preserve"> </w:t>
      </w:r>
      <w:r>
        <w:t xml:space="preserve">“</w:t>
      </w:r>
      <w:r>
        <w:t xml:space="preserve">Monitoring Distributed Systems.</w:t>
      </w:r>
      <w:r>
        <w:t xml:space="preserve">”</w:t>
      </w:r>
      <w:r>
        <w:t xml:space="preserve"> </w:t>
      </w:r>
      <w:r>
        <w:t xml:space="preserve">O’Reilly Media, 2016. https://sre.google/sre-book/monitoring-distributed-systems/</w:t>
      </w:r>
    </w:p>
    <w:p>
      <w:pPr>
        <w:numPr>
          <w:ilvl w:val="0"/>
          <w:numId w:val="1778"/>
        </w:numPr>
        <w:pStyle w:val="Compact"/>
      </w:pPr>
      <w:r>
        <w:t xml:space="preserve">Dean, J., Barroso, L. A.</w:t>
      </w:r>
      <w:r>
        <w:t xml:space="preserve"> </w:t>
      </w:r>
      <w:r>
        <w:t xml:space="preserve">“</w:t>
      </w:r>
      <w:r>
        <w:t xml:space="preserve">The Tail at Scale.</w:t>
      </w:r>
      <w:r>
        <w:t xml:space="preserve">”</w:t>
      </w:r>
      <w:r>
        <w:t xml:space="preserve"> </w:t>
      </w:r>
      <w:r>
        <w:rPr>
          <w:iCs/>
          <w:i/>
        </w:rPr>
        <w:t xml:space="preserve">Communications of the ACM</w:t>
      </w:r>
      <w:r>
        <w:t xml:space="preserve"> </w:t>
      </w:r>
      <w:r>
        <w:t xml:space="preserve">56(2):74–80, 2013.</w:t>
      </w:r>
    </w:p>
    <w:p>
      <w:pPr>
        <w:numPr>
          <w:ilvl w:val="0"/>
          <w:numId w:val="1778"/>
        </w:numPr>
        <w:pStyle w:val="Compact"/>
      </w:pPr>
      <w:r>
        <w:t xml:space="preserve">Dean, J., Ghemawat, S.</w:t>
      </w:r>
      <w:r>
        <w:t xml:space="preserve"> </w:t>
      </w:r>
      <w:r>
        <w:t xml:space="preserve">“</w:t>
      </w:r>
      <w:r>
        <w:t xml:space="preserve">MapReduce: Simplified Data Processing on Large Clusters.</w:t>
      </w:r>
      <w:r>
        <w:t xml:space="preserve">”</w:t>
      </w:r>
      <w:r>
        <w:t xml:space="preserve"> </w:t>
      </w:r>
      <w:r>
        <w:rPr>
          <w:iCs/>
          <w:i/>
        </w:rPr>
        <w:t xml:space="preserve">USENIX Symposium on Operating Systems Design and Implementation (OSDI)</w:t>
      </w:r>
      <w:r>
        <w:t xml:space="preserve">, 2004.</w:t>
      </w:r>
    </w:p>
    <w:p>
      <w:pPr>
        <w:numPr>
          <w:ilvl w:val="0"/>
          <w:numId w:val="1778"/>
        </w:numPr>
        <w:pStyle w:val="Compact"/>
      </w:pPr>
      <w:r>
        <w:t xml:space="preserve">The Go Authors.</w:t>
      </w:r>
      <w:r>
        <w:t xml:space="preserve"> </w:t>
      </w:r>
      <w:r>
        <w:rPr>
          <w:iCs/>
          <w:i/>
        </w:rPr>
        <w:t xml:space="preserve">A Guide to the Go Garbage Collector</w:t>
      </w:r>
      <w:r>
        <w:t xml:space="preserve">. https://go.dev/doc/gc-guide</w:t>
      </w:r>
    </w:p>
    <w:p>
      <w:pPr>
        <w:numPr>
          <w:ilvl w:val="0"/>
          <w:numId w:val="1778"/>
        </w:numPr>
        <w:pStyle w:val="Compact"/>
      </w:pPr>
      <w:r>
        <w:t xml:space="preserve">Gregg, B.</w:t>
      </w:r>
      <w:r>
        <w:t xml:space="preserve"> </w:t>
      </w:r>
      <w:r>
        <w:t xml:space="preserve">“</w:t>
      </w:r>
      <w:r>
        <w:t xml:space="preserve">The Flame Graph.</w:t>
      </w:r>
      <w:r>
        <w:t xml:space="preserve">”</w:t>
      </w:r>
      <w:r>
        <w:t xml:space="preserve"> </w:t>
      </w:r>
      <w:r>
        <w:rPr>
          <w:iCs/>
          <w:i/>
        </w:rPr>
        <w:t xml:space="preserve">Communications of the ACM</w:t>
      </w:r>
      <w:r>
        <w:t xml:space="preserve"> </w:t>
      </w:r>
      <w:r>
        <w:t xml:space="preserve">59(6):48–57, 2016.</w:t>
      </w:r>
    </w:p>
    <w:p>
      <w:pPr>
        <w:numPr>
          <w:ilvl w:val="0"/>
          <w:numId w:val="1778"/>
        </w:numPr>
        <w:pStyle w:val="Compact"/>
      </w:pPr>
      <w:r>
        <w:t xml:space="preserve">Gregg, B.</w:t>
      </w:r>
      <w:r>
        <w:t xml:space="preserve"> </w:t>
      </w:r>
      <w:r>
        <w:rPr>
          <w:iCs/>
          <w:i/>
        </w:rPr>
        <w:t xml:space="preserve">Systems Performance: Enterprise and the Cloud</w:t>
      </w:r>
      <w:r>
        <w:t xml:space="preserve">, 2nd ed. Addison-Wesley, 2020.</w:t>
      </w:r>
    </w:p>
    <w:p>
      <w:pPr>
        <w:numPr>
          <w:ilvl w:val="0"/>
          <w:numId w:val="1778"/>
        </w:numPr>
        <w:pStyle w:val="Compact"/>
      </w:pPr>
      <w:r>
        <w:t xml:space="preserve">Gregg, B.</w:t>
      </w:r>
      <w:r>
        <w:t xml:space="preserve"> </w:t>
      </w:r>
      <w:r>
        <w:rPr>
          <w:iCs/>
          <w:i/>
        </w:rPr>
        <w:t xml:space="preserve">The USE Method</w:t>
      </w:r>
      <w:r>
        <w:t xml:space="preserve">. brendangregg.com. https://www.brendangregg.com/usemethod.html</w:t>
      </w:r>
    </w:p>
    <w:p>
      <w:pPr>
        <w:numPr>
          <w:ilvl w:val="0"/>
          <w:numId w:val="1778"/>
        </w:numPr>
        <w:pStyle w:val="Compact"/>
      </w:pPr>
      <w:r>
        <w:t xml:space="preserve">Gregg, B., Spier, M.</w:t>
      </w:r>
      <w:r>
        <w:t xml:space="preserve"> </w:t>
      </w:r>
      <w:r>
        <w:t xml:space="preserve">“</w:t>
      </w:r>
      <w:r>
        <w:t xml:space="preserve">Java in Flames.</w:t>
      </w:r>
      <w:r>
        <w:t xml:space="preserve">”</w:t>
      </w:r>
      <w:r>
        <w:t xml:space="preserve"> </w:t>
      </w:r>
      <w:r>
        <w:t xml:space="preserve">Netflix Technology Blog, 2015.</w:t>
      </w:r>
    </w:p>
    <w:p>
      <w:pPr>
        <w:numPr>
          <w:ilvl w:val="0"/>
          <w:numId w:val="1778"/>
        </w:numPr>
        <w:pStyle w:val="Compact"/>
      </w:pPr>
      <w:r>
        <w:t xml:space="preserve">gRPC Authors.</w:t>
      </w:r>
      <w:r>
        <w:t xml:space="preserve"> </w:t>
      </w:r>
      <w:r>
        <w:rPr>
          <w:iCs/>
          <w:i/>
        </w:rPr>
        <w:t xml:space="preserve">gRFC A6: gRPC Retry Design</w:t>
      </w:r>
      <w:r>
        <w:t xml:space="preserve"> </w:t>
      </w:r>
      <w:r>
        <w:t xml:space="preserve">(includes hedging policy). https://github.com/grpc/proposal/blob/master/A6-client-retries.md</w:t>
      </w:r>
    </w:p>
    <w:p>
      <w:pPr>
        <w:numPr>
          <w:ilvl w:val="0"/>
          <w:numId w:val="1778"/>
        </w:numPr>
        <w:pStyle w:val="Compact"/>
      </w:pPr>
      <w:r>
        <w:t xml:space="preserve">Gunther, N. J.</w:t>
      </w:r>
      <w:r>
        <w:t xml:space="preserve"> </w:t>
      </w:r>
      <w:r>
        <w:rPr>
          <w:iCs/>
          <w:i/>
        </w:rPr>
        <w:t xml:space="preserve">Guerrilla Capacity Planning: A Tactical Approach to Planning for Highly Scalable Applications and Services</w:t>
      </w:r>
      <w:r>
        <w:t xml:space="preserve">. Springer, 2007.</w:t>
      </w:r>
    </w:p>
    <w:p>
      <w:pPr>
        <w:numPr>
          <w:ilvl w:val="0"/>
          <w:numId w:val="1778"/>
        </w:numPr>
        <w:pStyle w:val="Compact"/>
      </w:pPr>
      <w:r>
        <w:t xml:space="preserve">Howarth, J.</w:t>
      </w:r>
      <w:r>
        <w:t xml:space="preserve"> </w:t>
      </w:r>
      <w:r>
        <w:t xml:space="preserve">“</w:t>
      </w:r>
      <w:r>
        <w:t xml:space="preserve">Why Discord Is Switching from Go to Rust.</w:t>
      </w:r>
      <w:r>
        <w:t xml:space="preserve">”</w:t>
      </w:r>
      <w:r>
        <w:t xml:space="preserve"> </w:t>
      </w:r>
      <w:r>
        <w:t xml:space="preserve">Discord Blog, 2020. https://discord.com/blog/why-discord-is-switching-from-go-to-rust</w:t>
      </w:r>
    </w:p>
    <w:p>
      <w:pPr>
        <w:numPr>
          <w:ilvl w:val="0"/>
          <w:numId w:val="1778"/>
        </w:numPr>
        <w:pStyle w:val="Compact"/>
      </w:pPr>
      <w:r>
        <w:t xml:space="preserve">Jones, R., Hosking, A., Moss, E.</w:t>
      </w:r>
      <w:r>
        <w:t xml:space="preserve"> </w:t>
      </w:r>
      <w:r>
        <w:rPr>
          <w:iCs/>
          <w:i/>
        </w:rPr>
        <w:t xml:space="preserve">The Garbage Collection Handbook: The Art of Automatic Memory Management</w:t>
      </w:r>
      <w:r>
        <w:t xml:space="preserve">, 2nd ed. CRC Press, 2023.</w:t>
      </w:r>
    </w:p>
    <w:p>
      <w:pPr>
        <w:numPr>
          <w:ilvl w:val="0"/>
          <w:numId w:val="1778"/>
        </w:numPr>
        <w:pStyle w:val="Compact"/>
      </w:pPr>
      <w:r>
        <w:t xml:space="preserve">Lazowska, E. D., Zahorjan, J., Graham, G. S., Sevcik, K. C.</w:t>
      </w:r>
      <w:r>
        <w:t xml:space="preserve"> </w:t>
      </w:r>
      <w:r>
        <w:rPr>
          <w:iCs/>
          <w:i/>
        </w:rPr>
        <w:t xml:space="preserve">Quantitative System Performance: Computer System Analysis Using Queueing Network Models</w:t>
      </w:r>
      <w:r>
        <w:t xml:space="preserve">. Prentice Hall, 1984.</w:t>
      </w:r>
    </w:p>
    <w:p>
      <w:pPr>
        <w:numPr>
          <w:ilvl w:val="0"/>
          <w:numId w:val="1778"/>
        </w:numPr>
        <w:pStyle w:val="Compact"/>
      </w:pPr>
      <w:r>
        <w:t xml:space="preserve">Mytkowicz, T., Diwan, A., Hauswirth, M., Sweeney, P. F.</w:t>
      </w:r>
      <w:r>
        <w:t xml:space="preserve"> </w:t>
      </w:r>
      <w:r>
        <w:t xml:space="preserve">“</w:t>
      </w:r>
      <w:r>
        <w:t xml:space="preserve">Evaluating the Accuracy of Java Profilers.</w:t>
      </w:r>
      <w:r>
        <w:t xml:space="preserve">”</w:t>
      </w:r>
      <w:r>
        <w:t xml:space="preserve"> </w:t>
      </w:r>
      <w:r>
        <w:rPr>
          <w:iCs/>
          <w:i/>
        </w:rPr>
        <w:t xml:space="preserve">ACM SIGPLAN Conference on Programming Language Design and Implementation (PLDI)</w:t>
      </w:r>
      <w:r>
        <w:t xml:space="preserve">, 2010.</w:t>
      </w:r>
    </w:p>
    <w:p>
      <w:pPr>
        <w:numPr>
          <w:ilvl w:val="0"/>
          <w:numId w:val="1778"/>
        </w:numPr>
        <w:pStyle w:val="Compact"/>
      </w:pPr>
      <w:r>
        <w:t xml:space="preserve">Ren, G., Tune, E., Moseley, T., Shi, Y., Rus, S., Hundt, R.</w:t>
      </w:r>
      <w:r>
        <w:t xml:space="preserve"> </w:t>
      </w:r>
      <w:r>
        <w:t xml:space="preserve">“</w:t>
      </w:r>
      <w:r>
        <w:t xml:space="preserve">Google-Wide Profiling: A Continuous Profiling Infrastructure for Data Centers.</w:t>
      </w:r>
      <w:r>
        <w:t xml:space="preserve">”</w:t>
      </w:r>
      <w:r>
        <w:t xml:space="preserve"> </w:t>
      </w:r>
      <w:r>
        <w:rPr>
          <w:iCs/>
          <w:i/>
        </w:rPr>
        <w:t xml:space="preserve">IEEE Micro</w:t>
      </w:r>
      <w:r>
        <w:t xml:space="preserve"> </w:t>
      </w:r>
      <w:r>
        <w:t xml:space="preserve">30(4):65–79, 2010.</w:t>
      </w:r>
    </w:p>
    <w:p>
      <w:pPr>
        <w:numPr>
          <w:ilvl w:val="0"/>
          <w:numId w:val="1778"/>
        </w:numPr>
        <w:pStyle w:val="Compact"/>
      </w:pPr>
      <w:r>
        <w:t xml:space="preserve">Schroeder, B., Wierman, A., Harchol-Balter, M.</w:t>
      </w:r>
      <w:r>
        <w:t xml:space="preserve"> </w:t>
      </w:r>
      <w:r>
        <w:t xml:space="preserve">“</w:t>
      </w:r>
      <w:r>
        <w:t xml:space="preserve">Open Versus Closed: A Cautionary Tale.</w:t>
      </w:r>
      <w:r>
        <w:t xml:space="preserve">”</w:t>
      </w:r>
      <w:r>
        <w:t xml:space="preserve"> </w:t>
      </w:r>
      <w:r>
        <w:rPr>
          <w:iCs/>
          <w:i/>
        </w:rPr>
        <w:t xml:space="preserve">USENIX Symposium on Networked Systems Design and Implementation (NSDI)</w:t>
      </w:r>
      <w:r>
        <w:t xml:space="preserve">, 2006.</w:t>
      </w:r>
    </w:p>
    <w:p>
      <w:pPr>
        <w:numPr>
          <w:ilvl w:val="0"/>
          <w:numId w:val="1778"/>
        </w:numPr>
        <w:pStyle w:val="Compact"/>
      </w:pPr>
      <w:r>
        <w:t xml:space="preserve">Tene, G.</w:t>
      </w:r>
      <w:r>
        <w:t xml:space="preserve"> </w:t>
      </w:r>
      <w:r>
        <w:t xml:space="preserve">“</w:t>
      </w:r>
      <w:r>
        <w:t xml:space="preserve">How NOT to Measure Latency.</w:t>
      </w:r>
      <w:r>
        <w:t xml:space="preserve">”</w:t>
      </w:r>
      <w:r>
        <w:t xml:space="preserve"> </w:t>
      </w:r>
      <w:r>
        <w:t xml:space="preserve">Conference talk, presented at several venues (e.g., Strange Loop 2015).</w:t>
      </w:r>
    </w:p>
    <w:p>
      <w:pPr>
        <w:numPr>
          <w:ilvl w:val="0"/>
          <w:numId w:val="1778"/>
        </w:numPr>
        <w:pStyle w:val="Compact"/>
      </w:pPr>
      <w:r>
        <w:t xml:space="preserve">Tene, G.</w:t>
      </w:r>
      <w:r>
        <w:t xml:space="preserve"> </w:t>
      </w:r>
      <w:r>
        <w:rPr>
          <w:iCs/>
          <w:i/>
        </w:rPr>
        <w:t xml:space="preserve">HdrHistogram: A High Dynamic Range Histogram</w:t>
      </w:r>
      <w:r>
        <w:t xml:space="preserve">. http://hdrhistogram.org/</w:t>
      </w:r>
    </w:p>
    <w:p>
      <w:pPr>
        <w:numPr>
          <w:ilvl w:val="0"/>
          <w:numId w:val="1778"/>
        </w:numPr>
        <w:pStyle w:val="Compact"/>
      </w:pPr>
      <w:r>
        <w:t xml:space="preserve">Ungar, D.</w:t>
      </w:r>
      <w:r>
        <w:t xml:space="preserve"> </w:t>
      </w:r>
      <w:r>
        <w:t xml:space="preserve">“</w:t>
      </w:r>
      <w:r>
        <w:t xml:space="preserve">Generation Scavenging: A Non-disruptive High Performance Storage Reclamation Algorithm.</w:t>
      </w:r>
      <w:r>
        <w:t xml:space="preserve">”</w:t>
      </w:r>
      <w:r>
        <w:t xml:space="preserve"> </w:t>
      </w:r>
      <w:r>
        <w:rPr>
          <w:iCs/>
          <w:i/>
        </w:rPr>
        <w:t xml:space="preserve">ACM SIGSOFT/SIGPLAN Software Engineering Symposium on Practical Software Development Environments</w:t>
      </w:r>
      <w:r>
        <w:t xml:space="preserve">, 1984.</w:t>
      </w:r>
    </w:p>
    <w:p>
      <w:pPr>
        <w:numPr>
          <w:ilvl w:val="0"/>
          <w:numId w:val="1778"/>
        </w:numPr>
        <w:pStyle w:val="Compact"/>
      </w:pPr>
      <w:r>
        <w:t xml:space="preserve">Veeraraghavan, K., et al. </w:t>
      </w:r>
      <w:r>
        <w:t xml:space="preserve">“</w:t>
      </w:r>
      <w:r>
        <w:t xml:space="preserve">Kraken: Leveraging Live Traffic Tests to Identify and Resolve Resource Utilization Bottlenecks in Large Scale Web Services.</w:t>
      </w:r>
      <w:r>
        <w:t xml:space="preserve">”</w:t>
      </w:r>
      <w:r>
        <w:t xml:space="preserve"> </w:t>
      </w:r>
      <w:r>
        <w:rPr>
          <w:iCs/>
          <w:i/>
        </w:rPr>
        <w:t xml:space="preserve">USENIX OSDI</w:t>
      </w:r>
      <w:r>
        <w:t xml:space="preserve">, 2016.</w:t>
      </w:r>
    </w:p>
    <w:p>
      <w:pPr>
        <w:numPr>
          <w:ilvl w:val="0"/>
          <w:numId w:val="1778"/>
        </w:numPr>
        <w:pStyle w:val="Compact"/>
      </w:pPr>
      <w:r>
        <w:t xml:space="preserve">Wilkie, T.</w:t>
      </w:r>
      <w:r>
        <w:t xml:space="preserve"> </w:t>
      </w:r>
      <w:r>
        <w:t xml:space="preserve">“</w:t>
      </w:r>
      <w:r>
        <w:t xml:space="preserve">The RED Method: How to Instrument Your Services.</w:t>
      </w:r>
      <w:r>
        <w:t xml:space="preserve">”</w:t>
      </w:r>
      <w:r>
        <w:t xml:space="preserve"> </w:t>
      </w:r>
      <w:r>
        <w:t xml:space="preserve">Talk and Grafana Labs blog post, 2018.</w:t>
      </w:r>
    </w:p>
    <w:p>
      <w:pPr>
        <w:numPr>
          <w:ilvl w:val="0"/>
          <w:numId w:val="1778"/>
        </w:numPr>
        <w:pStyle w:val="Compact"/>
      </w:pPr>
      <w:r>
        <w:t xml:space="preserve">Meta Platforms.</w:t>
      </w:r>
      <w:r>
        <w:t xml:space="preserve"> </w:t>
      </w:r>
      <w:r>
        <w:rPr>
          <w:iCs/>
          <w:i/>
        </w:rPr>
        <w:t xml:space="preserve">Zstandard (zstd) README — benchmark table</w:t>
      </w:r>
      <w:r>
        <w:t xml:space="preserve">. https://github.com/facebook/zstd (accessed 2026).</w:t>
      </w:r>
    </w:p>
    <w:bookmarkEnd w:id="2651"/>
    <w:bookmarkStart w:id="2652" w:name="open-verification-items-22"/>
    <w:p>
      <w:pPr>
        <w:pStyle w:val="Heading2"/>
      </w:pPr>
      <w:r>
        <w:t xml:space="preserve">23.17 Open verification items</w:t>
      </w:r>
    </w:p>
    <w:p>
      <w:pPr>
        <w:numPr>
          <w:ilvl w:val="0"/>
          <w:numId w:val="1779"/>
        </w:numPr>
        <w:pStyle w:val="Compact"/>
      </w:pPr>
      <w:r>
        <w:t xml:space="preserve">RED method: confirm Wilkie’s original venue and date (Weaveworks-era talk, reportedly 2015; Grafana Labs blog 2018) and the exact title.</w:t>
      </w:r>
    </w:p>
    <w:p>
      <w:pPr>
        <w:numPr>
          <w:ilvl w:val="0"/>
          <w:numId w:val="1779"/>
        </w:numPr>
        <w:pStyle w:val="Compact"/>
      </w:pPr>
      <w:r>
        <w:t xml:space="preserve">Dean and Barroso (2013): confirm that the slowest 5% of leaves account for about half of root p99; the tied-request result (sort-job cluster near idle-cluster latency, disk overhead below 1%); and the hedging delay wording.</w:t>
      </w:r>
    </w:p>
    <w:p>
      <w:pPr>
        <w:numPr>
          <w:ilvl w:val="0"/>
          <w:numId w:val="1779"/>
        </w:numPr>
        <w:pStyle w:val="Compact"/>
      </w:pPr>
      <w:r>
        <w:t xml:space="preserve">Gregg and Spier</w:t>
      </w:r>
      <w:r>
        <w:t xml:space="preserve"> </w:t>
      </w:r>
      <w:r>
        <w:t xml:space="preserve">“</w:t>
      </w:r>
      <w:r>
        <w:t xml:space="preserve">Java in Flames</w:t>
      </w:r>
      <w:r>
        <w:t xml:space="preserve">”</w:t>
      </w:r>
      <w:r>
        <w:t xml:space="preserve">: confirm authorship, date and URL.</w:t>
      </w:r>
    </w:p>
    <w:p>
      <w:pPr>
        <w:numPr>
          <w:ilvl w:val="0"/>
          <w:numId w:val="1779"/>
        </w:numPr>
        <w:pStyle w:val="Compact"/>
      </w:pPr>
      <w:r>
        <w:t xml:space="preserve">Kraken (OSDI 2016): confirm the description of traffic shifting and safety stops; no numeric claims are made.</w:t>
      </w:r>
    </w:p>
    <w:p>
      <w:pPr>
        <w:numPr>
          <w:ilvl w:val="0"/>
          <w:numId w:val="1779"/>
        </w:numPr>
        <w:pStyle w:val="Compact"/>
      </w:pPr>
      <w:r>
        <w:t xml:space="preserve">Discord (2020): confirm the two-minute forced-GC explanation.</w:t>
      </w:r>
    </w:p>
    <w:p>
      <w:pPr>
        <w:numPr>
          <w:ilvl w:val="0"/>
          <w:numId w:val="1779"/>
        </w:numPr>
        <w:pStyle w:val="Compact"/>
      </w:pPr>
      <w:r>
        <w:t xml:space="preserve">Table 23.7: values copied from the zstd README as read in 2026; re-check before publication.</w:t>
      </w:r>
    </w:p>
    <w:p>
      <w:pPr>
        <w:numPr>
          <w:ilvl w:val="0"/>
          <w:numId w:val="1779"/>
        </w:numPr>
        <w:pStyle w:val="Compact"/>
      </w:pPr>
      <w:r>
        <w:t xml:space="preserve">JVM collector release versions (G1 default JDK 9; ZGC and Shenandoah production JDK 15; generational ZGC JDK 21) and Go’s 25% marking CPU target.</w:t>
      </w:r>
    </w:p>
    <w:p>
      <w:pPr>
        <w:numPr>
          <w:ilvl w:val="0"/>
          <w:numId w:val="1779"/>
        </w:numPr>
        <w:pStyle w:val="Compact"/>
      </w:pPr>
      <w:r>
        <w:t xml:space="preserve">Tene talk: confirm a canonical venue and year.</w:t>
      </w:r>
    </w:p>
    <w:bookmarkEnd w:id="2652"/>
    <w:bookmarkEnd w:id="2653"/>
    <w:bookmarkStart w:id="2654" w:name="part-v-distributed-systems"/>
    <w:p>
      <w:pPr>
        <w:pStyle w:val="Heading1"/>
      </w:pPr>
      <w:r>
        <w:t xml:space="preserve">Part V — Distributed Systems</w:t>
      </w:r>
    </w:p>
    <w:bookmarkEnd w:id="2654"/>
    <w:bookmarkStart w:id="2772" w:name="X5fb43fcd3b88b2e525950d8696f7b38836b4f1f"/>
    <w:p>
      <w:pPr>
        <w:pStyle w:val="Heading1"/>
      </w:pPr>
      <w:r>
        <w:t xml:space="preserve">Chapter 24 — Distributed Systems Fundamentals</w:t>
      </w:r>
    </w:p>
    <w:p>
      <w:pPr>
        <w:pStyle w:val="BlockText"/>
      </w:pPr>
      <w:r>
        <w:rPr>
          <w:bCs/>
          <w:b/>
        </w:rPr>
        <w:t xml:space="preserve">Level:</w:t>
      </w:r>
      <w:r>
        <w:t xml:space="preserve"> </w:t>
      </w:r>
      <w:r>
        <w:t xml:space="preserve">2–3 ·</w:t>
      </w:r>
      <w:r>
        <w:t xml:space="preserve"> </w:t>
      </w:r>
      <w:r>
        <w:rPr>
          <w:bCs/>
          <w:b/>
        </w:rPr>
        <w:t xml:space="preserve">Track:</w:t>
      </w:r>
      <w:r>
        <w:t xml:space="preserve"> </w:t>
      </w:r>
      <w:r>
        <w:t xml:space="preserve">A (Traditional) ·</w:t>
      </w:r>
      <w:r>
        <w:t xml:space="preserve"> </w:t>
      </w:r>
      <w:r>
        <w:rPr>
          <w:bCs/>
          <w:b/>
        </w:rPr>
        <w:t xml:space="preserve">Estimated reading time:</w:t>
      </w:r>
      <w:r>
        <w:t xml:space="preserve"> </w:t>
      </w:r>
      <w:r>
        <w:t xml:space="preserve">3.5 h</w:t>
      </w:r>
    </w:p>
    <w:p>
      <w:pPr>
        <w:pStyle w:val="FirstParagraph"/>
      </w:pPr>
      <w:r>
        <w:t xml:space="preserve">Replication (Chapter 14), caching (Chapter 20) and load balancing (Chapter 19) already showed that work spread across machines behaves differently from work on one computer: replicas lag, caches go stale, failovers can leave two primaries. This chapter names the reasons. Once machines talk only by messages over a network, you lose</w:t>
      </w:r>
      <w:r>
        <w:t xml:space="preserve"> </w:t>
      </w:r>
      <w:r>
        <w:rPr>
          <w:bCs/>
          <w:b/>
        </w:rPr>
        <w:t xml:space="preserve">a consistent view of what has failed</w:t>
      </w:r>
      <w:r>
        <w:t xml:space="preserve">,</w:t>
      </w:r>
      <w:r>
        <w:t xml:space="preserve"> </w:t>
      </w:r>
      <w:r>
        <w:rPr>
          <w:bCs/>
          <w:b/>
        </w:rPr>
        <w:t xml:space="preserve">a shared clock</w:t>
      </w:r>
      <w:r>
        <w:t xml:space="preserve"> </w:t>
      </w:r>
      <w:r>
        <w:t xml:space="preserve">and</w:t>
      </w:r>
      <w:r>
        <w:t xml:space="preserve"> </w:t>
      </w:r>
      <w:r>
        <w:rPr>
          <w:bCs/>
          <w:b/>
        </w:rPr>
        <w:t xml:space="preserve">guaranteed delivery</w:t>
      </w:r>
      <w:r>
        <w:t xml:space="preserve">. Consistency models (Chapter 25), consensus (Chapter 26), replication and failure detection (Chapter 27) and distributed transactions (Chapter 28) all respond to those losses. This chapter supplies the vocabulary: system models, partitions and partial failures, physical and logical clocks, the FLP result and the end-to-end argument.</w:t>
      </w:r>
    </w:p>
    <w:p>
      <w:pPr>
        <w:pStyle w:val="BodyText"/>
      </w:pPr>
      <w:r>
        <w:t xml:space="preserve">The running example is PhotoShare (Chapter 1), now deployed in two regions,</w:t>
      </w:r>
      <w:r>
        <w:t xml:space="preserve"> </w:t>
      </w:r>
      <w:r>
        <w:rPr>
          <w:rStyle w:val="VerbatimChar"/>
        </w:rPr>
        <w:t xml:space="preserve">us-east</w:t>
      </w:r>
      <w:r>
        <w:t xml:space="preserve"> </w:t>
      </w:r>
      <w:r>
        <w:t xml:space="preserve">and</w:t>
      </w:r>
      <w:r>
        <w:t xml:space="preserve"> </w:t>
      </w:r>
      <w:r>
        <w:rPr>
          <w:rStyle w:val="VerbatimChar"/>
        </w:rPr>
        <w:t xml:space="preserve">eu-west</w:t>
      </w:r>
      <w:r>
        <w:t xml:space="preserve">. Its examples are</w:t>
      </w:r>
      <w:r>
        <w:t xml:space="preserve"> </w:t>
      </w:r>
      <w:r>
        <w:rPr>
          <w:iCs/>
          <w:i/>
        </w:rPr>
        <w:t xml:space="preserve">illustrative</w:t>
      </w:r>
      <w:r>
        <w:t xml:space="preserve">, not a description of any real company’s system.</w:t>
      </w:r>
    </w:p>
    <w:bookmarkStart w:id="2655" w:name="learning-objectives-23"/>
    <w:p>
      <w:pPr>
        <w:pStyle w:val="Heading2"/>
      </w:pPr>
      <w:r>
        <w:t xml:space="preserve">24.1 Learning objectives</w:t>
      </w:r>
    </w:p>
    <w:p>
      <w:pPr>
        <w:pStyle w:val="FirstParagraph"/>
      </w:pPr>
      <w:r>
        <w:t xml:space="preserve">After this chapter you should be able to:</w:t>
      </w:r>
    </w:p>
    <w:p>
      <w:pPr>
        <w:numPr>
          <w:ilvl w:val="0"/>
          <w:numId w:val="1780"/>
        </w:numPr>
        <w:pStyle w:val="Compact"/>
      </w:pPr>
      <w:r>
        <w:t xml:space="preserve">Define a distributed system by its three essential properties and explain the two generals problem.</w:t>
      </w:r>
    </w:p>
    <w:p>
      <w:pPr>
        <w:numPr>
          <w:ilvl w:val="0"/>
          <w:numId w:val="1780"/>
        </w:numPr>
        <w:pStyle w:val="Compact"/>
      </w:pPr>
      <w:r>
        <w:t xml:space="preserve">Justify distribution by scale, fault tolerance, latency or data residency, and quantify replication’s availability gain.</w:t>
      </w:r>
    </w:p>
    <w:p>
      <w:pPr>
        <w:numPr>
          <w:ilvl w:val="0"/>
          <w:numId w:val="1780"/>
        </w:numPr>
        <w:pStyle w:val="Compact"/>
      </w:pPr>
      <w:r>
        <w:t xml:space="preserve">Give a concrete failure caused by each of the eight fallacies of distributed computing.</w:t>
      </w:r>
    </w:p>
    <w:p>
      <w:pPr>
        <w:numPr>
          <w:ilvl w:val="0"/>
          <w:numId w:val="1780"/>
        </w:numPr>
        <w:pStyle w:val="Compact"/>
      </w:pPr>
      <w:r>
        <w:t xml:space="preserve">State a protocol’s timing and failure model and compute the replicas each fault model needs.</w:t>
      </w:r>
    </w:p>
    <w:p>
      <w:pPr>
        <w:numPr>
          <w:ilvl w:val="0"/>
          <w:numId w:val="1780"/>
        </w:numPr>
        <w:pStyle w:val="Compact"/>
      </w:pPr>
      <w:r>
        <w:t xml:space="preserve">Distinguish complete, partial and asymmetric partitions, citing measured failure evidence.</w:t>
      </w:r>
    </w:p>
    <w:p>
      <w:pPr>
        <w:numPr>
          <w:ilvl w:val="0"/>
          <w:numId w:val="1780"/>
        </w:numPr>
        <w:pStyle w:val="Compact"/>
      </w:pPr>
      <w:r>
        <w:t xml:space="preserve">Explain partial and gray failures, and set a timeout from latency data.</w:t>
      </w:r>
    </w:p>
    <w:p>
      <w:pPr>
        <w:numPr>
          <w:ilvl w:val="0"/>
          <w:numId w:val="1780"/>
        </w:numPr>
        <w:pStyle w:val="Compact"/>
      </w:pPr>
      <w:r>
        <w:t xml:space="preserve">Calculate clock drift and NTP offset, delay and error bound; explain PTP and leap smearing; show why wall-clock last-writer-wins loses data.</w:t>
      </w:r>
    </w:p>
    <w:p>
      <w:pPr>
        <w:numPr>
          <w:ilvl w:val="0"/>
          <w:numId w:val="1780"/>
        </w:numPr>
        <w:pStyle w:val="Compact"/>
      </w:pPr>
      <w:r>
        <w:t xml:space="preserve">Implement and choose among Lamport clocks, vector clocks, version vectors and hybrid logical clocks.</w:t>
      </w:r>
    </w:p>
    <w:p>
      <w:pPr>
        <w:numPr>
          <w:ilvl w:val="0"/>
          <w:numId w:val="1780"/>
        </w:numPr>
        <w:pStyle w:val="Compact"/>
      </w:pPr>
      <w:r>
        <w:t xml:space="preserve">Explain what FLP forbids and how systems escape it, and apply the end-to-end argument.</w:t>
      </w:r>
    </w:p>
    <w:bookmarkEnd w:id="2655"/>
    <w:bookmarkStart w:id="2656" w:name="prerequisites-23"/>
    <w:p>
      <w:pPr>
        <w:pStyle w:val="Heading2"/>
      </w:pPr>
      <w:r>
        <w:t xml:space="preserve">24.2 Prerequisites</w:t>
      </w:r>
    </w:p>
    <w:p>
      <w:pPr>
        <w:numPr>
          <w:ilvl w:val="0"/>
          <w:numId w:val="1781"/>
        </w:numPr>
        <w:pStyle w:val="Compact"/>
      </w:pPr>
      <w:r>
        <w:t xml:space="preserve">Network latency components and the speed-of-light floor — §7.15 (message delay is never zero and is variable).</w:t>
      </w:r>
    </w:p>
    <w:p>
      <w:pPr>
        <w:numPr>
          <w:ilvl w:val="0"/>
          <w:numId w:val="1781"/>
        </w:numPr>
        <w:pStyle w:val="Compact"/>
      </w:pPr>
      <w:r>
        <w:t xml:space="preserve">TCP acknowledgments and retransmission — §7.7.5 (what a transport-level ACK does and does not promise).</w:t>
      </w:r>
    </w:p>
    <w:p>
      <w:pPr>
        <w:numPr>
          <w:ilvl w:val="0"/>
          <w:numId w:val="1781"/>
        </w:numPr>
        <w:pStyle w:val="Compact"/>
      </w:pPr>
      <w:r>
        <w:t xml:space="preserve">Primary–replica, synchronous and asynchronous replication, and multi-primary conflicts — §14.3–§14.5 (the replication settings in which clocks and partitions matter).</w:t>
      </w:r>
    </w:p>
    <w:p>
      <w:pPr>
        <w:numPr>
          <w:ilvl w:val="0"/>
          <w:numId w:val="1781"/>
        </w:numPr>
        <w:pStyle w:val="Compact"/>
      </w:pPr>
      <w:r>
        <w:t xml:space="preserve">Timeouts, retries and idempotency keys — §22.11–§22.15 (the request-level tools this chapter justifies).</w:t>
      </w:r>
    </w:p>
    <w:p>
      <w:pPr>
        <w:numPr>
          <w:ilvl w:val="0"/>
          <w:numId w:val="1781"/>
        </w:numPr>
        <w:pStyle w:val="Compact"/>
      </w:pPr>
      <w:r>
        <w:t xml:space="preserve">Probability of independent events and availability arithmetic — §4.6 and §4.14 (replication and fleet-failure calculations).</w:t>
      </w:r>
    </w:p>
    <w:p>
      <w:pPr>
        <w:numPr>
          <w:ilvl w:val="0"/>
          <w:numId w:val="1781"/>
        </w:numPr>
        <w:pStyle w:val="Compact"/>
      </w:pPr>
      <w:r>
        <w:t xml:space="preserve">Units: time in seconds (s), milliseconds (ms, 10⁻³ s), microseconds (µs, 10⁻⁶ s) and nanoseconds (ns, 10⁻⁹ s); drift in parts per million (ppm, 10⁻⁶); storage in decimal units (1 KB = 10³ bytes, 1 GB = 10⁹ bytes).</w:t>
      </w:r>
    </w:p>
    <w:bookmarkEnd w:id="2656"/>
    <w:bookmarkStart w:id="2669" w:name="what-is-a-distributed-system"/>
    <w:p>
      <w:pPr>
        <w:pStyle w:val="Heading2"/>
      </w:pPr>
      <w:r>
        <w:t xml:space="preserve">24.3 What is a distributed system?</w:t>
      </w:r>
    </w:p>
    <w:bookmarkStart w:id="2661" w:name="Xa5caa5f06e52743509b3edfb2559841b52dbee1"/>
    <w:p>
      <w:pPr>
        <w:pStyle w:val="Heading3"/>
      </w:pPr>
      <w:r>
        <w:t xml:space="preserve">24.3.1 Definition and the three defining properties</w:t>
      </w:r>
    </w:p>
    <w:p>
      <w:pPr>
        <w:pStyle w:val="CalloutDefinition"/>
      </w:pPr>
      <w:r>
        <w:rPr>
          <w:bCs/>
          <w:b/>
        </w:rPr>
        <w:t xml:space="preserve">DEFINITION</w:t>
      </w:r>
    </w:p>
    <w:p>
      <w:pPr>
        <w:pStyle w:val="CalloutDefinition"/>
      </w:pPr>
      <w:r>
        <w:rPr>
          <w:bCs/>
          <w:b/>
        </w:rPr>
        <w:t xml:space="preserve">Definition — Distributed system.</w:t>
      </w:r>
      <w:r>
        <w:t xml:space="preserve"> </w:t>
      </w:r>
      <w:r>
        <w:t xml:space="preserve">A set of independent computers (</w:t>
      </w:r>
      <w:r>
        <w:rPr>
          <w:bCs/>
          <w:b/>
        </w:rPr>
        <w:t xml:space="preserve">nodes</w:t>
      </w:r>
      <w:r>
        <w:t xml:space="preserve">) that have no shared memory and no shared clock, communicate only by exchanging messages over a network, and cooperate to provide a service. Van Steen and Tanenbaum describe it from the user’s side as</w:t>
      </w:r>
      <w:r>
        <w:t xml:space="preserve"> </w:t>
      </w:r>
      <w:r>
        <w:t xml:space="preserve">“</w:t>
      </w:r>
      <w:r>
        <w:t xml:space="preserve">a collection of autonomous computing elements that appears to its users as a single coherent system</w:t>
      </w:r>
      <w:r>
        <w:t xml:space="preserve">”</w:t>
      </w:r>
      <w:r>
        <w:t xml:space="preserve"> </w:t>
      </w:r>
      <w:r>
        <w:t xml:space="preserve">[van Steen and Tanenbaum 2017].</w:t>
      </w:r>
    </w:p>
    <w:p>
      <w:pPr>
        <w:pStyle w:val="BodyText"/>
      </w:pPr>
      <w:r>
        <w:t xml:space="preserve">Leslie Lamport’s definition is the one engineers remember. In an email of 28 May 1987 he wrote:</w:t>
      </w:r>
      <w:r>
        <w:t xml:space="preserve"> </w:t>
      </w:r>
      <w:r>
        <w:t xml:space="preserve">“</w:t>
      </w:r>
      <w:r>
        <w:t xml:space="preserve">A distributed system is one in which the failure of a computer you didn’t even know existed can render your own computer unusable</w:t>
      </w:r>
      <w:r>
        <w:t xml:space="preserve">”</w:t>
      </w:r>
      <w:r>
        <w:t xml:space="preserve"> </w:t>
      </w:r>
      <w:r>
        <w:t xml:space="preserve">[Lamport 1987]. The joke is a precise observation: in a distributed system, your work depends on machines you cannot see, and their failures reach you in forms you did not expect.</w:t>
      </w:r>
    </w:p>
    <w:bookmarkStart w:id="2660" w:name="first-principles-explanation-136"/>
    <w:p>
      <w:pPr>
        <w:pStyle w:val="Heading4"/>
      </w:pPr>
      <w:r>
        <w:t xml:space="preserve">First-principles explanation</w:t>
      </w:r>
    </w:p>
    <w:p>
      <w:pPr>
        <w:pStyle w:val="FirstParagraph"/>
      </w:pPr>
      <w:r>
        <w:t xml:space="preserve">Imagine a restaurant chain whose managers communicate only by post: letters arrive late or never, no two branch clocks agree, and a manager who quits is noticed only when letters stop, which looks exactly like slow post. That chain has the three defining properties:</w:t>
      </w:r>
    </w:p>
    <w:p>
      <w:pPr>
        <w:numPr>
          <w:ilvl w:val="0"/>
          <w:numId w:val="1782"/>
        </w:numPr>
        <w:pStyle w:val="Compact"/>
      </w:pPr>
      <w:r>
        <w:rPr>
          <w:bCs/>
          <w:b/>
        </w:rPr>
        <w:t xml:space="preserve">Independent (partial) failure.</w:t>
      </w:r>
      <w:r>
        <w:t xml:space="preserve"> </w:t>
      </w:r>
      <w:r>
        <w:t xml:space="preserve">Some nodes fail while others run, and the survivors do not know exactly which failed.</w:t>
      </w:r>
    </w:p>
    <w:p>
      <w:pPr>
        <w:numPr>
          <w:ilvl w:val="0"/>
          <w:numId w:val="1782"/>
        </w:numPr>
        <w:pStyle w:val="Compact"/>
      </w:pPr>
      <w:r>
        <w:rPr>
          <w:bCs/>
          <w:b/>
        </w:rPr>
        <w:t xml:space="preserve">No global clock.</w:t>
      </w:r>
      <w:r>
        <w:t xml:space="preserve"> </w:t>
      </w:r>
      <w:r>
        <w:t xml:space="preserve">Clocks disagree, so the order of events on different nodes is not directly observable.</w:t>
      </w:r>
    </w:p>
    <w:p>
      <w:pPr>
        <w:numPr>
          <w:ilvl w:val="0"/>
          <w:numId w:val="1782"/>
        </w:numPr>
        <w:pStyle w:val="Compact"/>
      </w:pPr>
      <w:r>
        <w:rPr>
          <w:bCs/>
          <w:b/>
        </w:rPr>
        <w:t xml:space="preserve">Unreliable, asynchronous communication.</w:t>
      </w:r>
      <w:r>
        <w:t xml:space="preserve"> </w:t>
      </w:r>
      <w:r>
        <w:t xml:space="preserve">Messages may be delayed without bound, lost, duplicated or reordered, and are out of date when they arrive.</w:t>
      </w:r>
    </w:p>
    <w:p>
      <w:pPr>
        <w:pStyle w:val="FirstParagraph"/>
      </w:pPr>
      <w:r>
        <w:rPr>
          <w:bCs/>
          <w:b/>
        </w:rPr>
        <w:t xml:space="preserve">Figure 24.1 — One computer versus a distributed system.</w:t>
      </w:r>
    </w:p>
    <w:p>
      <w:pPr>
        <w:pStyle w:val="BodyText"/>
      </w:pPr>
      <w:r>
        <w:drawing>
          <wp:inline>
            <wp:extent cx="5334000" cy="6287622"/>
            <wp:effectExtent b="0" l="0" r="0" t="0"/>
            <wp:docPr descr="" title="" id="2658" name="Picture"/>
            <a:graphic>
              <a:graphicData uri="http://schemas.openxmlformats.org/drawingml/2006/picture">
                <pic:pic>
                  <pic:nvPicPr>
                    <pic:cNvPr descr="/home/user/System-Design/build/.cache/diagrams/5112829af1ab.png" id="2659" name="Picture"/>
                    <pic:cNvPicPr>
                      <a:picLocks noChangeArrowheads="1" noChangeAspect="1"/>
                    </pic:cNvPicPr>
                  </pic:nvPicPr>
                  <pic:blipFill>
                    <a:blip r:embed="rId2657"/>
                    <a:stretch>
                      <a:fillRect/>
                    </a:stretch>
                  </pic:blipFill>
                  <pic:spPr bwMode="auto">
                    <a:xfrm>
                      <a:off x="0" y="0"/>
                      <a:ext cx="5334000" cy="6287622"/>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On the left, two processes share one memory and one clock: a write is visible to the other process within nanoseconds, and if the machine fails both processes stop together. On the right, each node has its own memory, disk (a separate storage boundary) and clock; the only connection is the network. Requests travel synchronously in the sense that a caller waits, but the dotted reply paths show what the caller cannot control: a reply may arrive late or never. Failure points are each node, each disk and the network itself, and they fail independently. Scaling comes from adding nodes, at the price of more independent failure points.</w:t>
      </w:r>
    </w:p>
    <w:bookmarkEnd w:id="2660"/>
    <w:bookmarkEnd w:id="2661"/>
    <w:bookmarkStart w:id="2662" w:name="X00984cd100bc2ebce77c00e056b4cc170250990"/>
    <w:p>
      <w:pPr>
        <w:pStyle w:val="Heading3"/>
      </w:pPr>
      <w:r>
        <w:t xml:space="preserve">24.3.2 Why this is hard: uncertainty about other nodes</w:t>
      </w:r>
    </w:p>
    <w:p>
      <w:pPr>
        <w:pStyle w:val="FirstParagraph"/>
      </w:pPr>
      <w:r>
        <w:t xml:space="preserve">Together the properties mean</w:t>
      </w:r>
      <w:r>
        <w:t xml:space="preserve"> </w:t>
      </w:r>
      <w:r>
        <w:rPr>
          <w:bCs/>
          <w:b/>
        </w:rPr>
        <w:t xml:space="preserve">a node can never be certain of another node’s current state.</w:t>
      </w:r>
      <w:r>
        <w:t xml:space="preserve"> </w:t>
      </w:r>
      <w:r>
        <w:t xml:space="preserve">Silence from node 2 could mean a lost request, a slow node, a crash before or after processing, a lost reply or a reply still in flight; §24.8.1 draws all six. Every distributed algorithm is a strategy for acting correctly despite this ambiguity.</w:t>
      </w:r>
    </w:p>
    <w:bookmarkEnd w:id="2662"/>
    <w:bookmarkStart w:id="2668" w:name="the-two-generals-problem"/>
    <w:p>
      <w:pPr>
        <w:pStyle w:val="Heading3"/>
      </w:pPr>
      <w:r>
        <w:t xml:space="preserve">24.3.3 The two generals problem</w:t>
      </w:r>
    </w:p>
    <w:p>
      <w:pPr>
        <w:pStyle w:val="FirstParagraph"/>
      </w:pPr>
      <w:r>
        <w:t xml:space="preserve">The oldest illustration of this ambiguity is the</w:t>
      </w:r>
      <w:r>
        <w:t xml:space="preserve"> </w:t>
      </w:r>
      <w:r>
        <w:rPr>
          <w:bCs/>
          <w:b/>
        </w:rPr>
        <w:t xml:space="preserve">two generals problem</w:t>
      </w:r>
      <w:r>
        <w:t xml:space="preserve">, first described by Akkoyunlu, Ekanadham and Huber [Akkoyunlu et al. 1975] and named by Jim Gray [Gray 1978].</w:t>
      </w:r>
    </w:p>
    <w:p>
      <w:pPr>
        <w:pStyle w:val="CalloutDefinition"/>
      </w:pPr>
      <w:r>
        <w:rPr>
          <w:bCs/>
          <w:b/>
        </w:rPr>
        <w:t xml:space="preserve">DEFINITION</w:t>
      </w:r>
    </w:p>
    <w:p>
      <w:pPr>
        <w:pStyle w:val="CalloutDefinition"/>
      </w:pPr>
      <w:r>
        <w:rPr>
          <w:bCs/>
          <w:b/>
        </w:rPr>
        <w:t xml:space="preserve">Definition — Two generals problem.</w:t>
      </w:r>
      <w:r>
        <w:t xml:space="preserve"> </w:t>
      </w:r>
      <w:r>
        <w:t xml:space="preserve">Two armies camped on opposite hills must attack a city in the valley at the same time; either attacking alone is defeated. Their generals can communicate only by messengers who cross the valley and may be captured. The problem is to design a messaging protocol after which both generals are</w:t>
      </w:r>
      <w:r>
        <w:t xml:space="preserve"> </w:t>
      </w:r>
      <w:r>
        <w:rPr>
          <w:iCs/>
          <w:i/>
        </w:rPr>
        <w:t xml:space="preserve">certain</w:t>
      </w:r>
      <w:r>
        <w:t xml:space="preserve"> </w:t>
      </w:r>
      <w:r>
        <w:t xml:space="preserve">that they will attack together. No such protocol with a finite number of messages exists.</w:t>
      </w:r>
    </w:p>
    <w:p>
      <w:pPr>
        <w:pStyle w:val="BodyText"/>
      </w:pPr>
      <w:r>
        <w:rPr>
          <w:bCs/>
          <w:b/>
        </w:rPr>
        <w:t xml:space="preserve">Figure 24.2 — The two generals problem: every acknowledgment needs another acknowledgment.</w:t>
      </w:r>
    </w:p>
    <w:p>
      <w:pPr>
        <w:pStyle w:val="BodyText"/>
      </w:pPr>
      <w:r>
        <w:drawing>
          <wp:inline>
            <wp:extent cx="5334000" cy="2694878"/>
            <wp:effectExtent b="0" l="0" r="0" t="0"/>
            <wp:docPr descr="" title="" id="2664" name="Picture"/>
            <a:graphic>
              <a:graphicData uri="http://schemas.openxmlformats.org/drawingml/2006/picture">
                <pic:pic>
                  <pic:nvPicPr>
                    <pic:cNvPr descr="/home/user/System-Design/build/.cache/diagrams/87e49d723caa.png" id="2665" name="Picture"/>
                    <pic:cNvPicPr>
                      <a:picLocks noChangeArrowheads="1" noChangeAspect="1"/>
                    </pic:cNvPicPr>
                  </pic:nvPicPr>
                  <pic:blipFill>
                    <a:blip r:embed="rId2663"/>
                    <a:stretch>
                      <a:fillRect/>
                    </a:stretch>
                  </pic:blipFill>
                  <pic:spPr bwMode="auto">
                    <a:xfrm>
                      <a:off x="0" y="0"/>
                      <a:ext cx="5334000" cy="2694878"/>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Solid arrows are messengers that arrived; the final arrow with a cross is a messenger captured in the valley. After each delivered message, the</w:t>
      </w:r>
      <w:r>
        <w:t xml:space="preserve"> </w:t>
      </w:r>
      <w:r>
        <w:rPr>
          <w:iCs/>
          <w:i/>
        </w:rPr>
        <w:t xml:space="preserve">sender</w:t>
      </w:r>
      <w:r>
        <w:t xml:space="preserve"> </w:t>
      </w:r>
      <w:r>
        <w:t xml:space="preserve">of the latest message is left unsure whether it arrived, so the other general’s knowledge is always one level short of certainty. The failure point is the unreliable channel itself; adding more messengers raises the probability of agreement but never makes it certain, so this</w:t>
      </w:r>
      <w:r>
        <w:t xml:space="preserve"> </w:t>
      </w:r>
      <w:r>
        <w:t xml:space="preserve">“</w:t>
      </w:r>
      <w:r>
        <w:t xml:space="preserve">protocol</w:t>
      </w:r>
      <w:r>
        <w:t xml:space="preserve">”</w:t>
      </w:r>
      <w:r>
        <w:t xml:space="preserve"> </w:t>
      </w:r>
      <w:r>
        <w:t xml:space="preserve">does not scale toward certainty at any message count.</w:t>
      </w:r>
    </w:p>
    <w:bookmarkStart w:id="2666" w:name="why-no-finite-protocol-works"/>
    <w:p>
      <w:pPr>
        <w:pStyle w:val="Heading4"/>
      </w:pPr>
      <w:r>
        <w:t xml:space="preserve">Why no finite protocol works</w:t>
      </w:r>
    </w:p>
    <w:p>
      <w:pPr>
        <w:pStyle w:val="FirstParagraph"/>
      </w:pPr>
      <w:r>
        <w:t xml:space="preserve">The proof is a short argument by contradiction. Suppose some protocol guarantees coordinated attack, and take the shortest such protocol, with</w:t>
      </w:r>
      <w:r>
        <w:t xml:space="preserve"> </w:t>
      </w:r>
      <m:oMath>
        <m:r>
          <m:t>k</m:t>
        </m:r>
      </m:oMath>
      <w:r>
        <w:t xml:space="preserve"> </w:t>
      </w:r>
      <w:r>
        <w:t xml:space="preserve">messages. Consider the last message. Its sender must decide to attack whether or not it arrives, because the sender cannot observe its loss. So the receiver must also decide to attack whether or not it arrives, since the protocol guarantees agreement. Then the last message affects no decision and can be removed, giving a working protocol with</w:t>
      </w:r>
      <w:r>
        <w:t xml:space="preserve"> </w:t>
      </w:r>
      <m:oMath>
        <m:r>
          <m:t>k</m:t>
        </m:r>
        <m:r>
          <m:rPr>
            <m:sty m:val="p"/>
          </m:rPr>
          <m:t>−</m:t>
        </m:r>
        <m:r>
          <m:t>1</m:t>
        </m:r>
      </m:oMath>
      <w:r>
        <w:t xml:space="preserve"> </w:t>
      </w:r>
      <w:r>
        <w:t xml:space="preserve">messages. That contradicts</w:t>
      </w:r>
      <w:r>
        <w:t xml:space="preserve"> </w:t>
      </w:r>
      <w:r>
        <w:t xml:space="preserve">“</w:t>
      </w:r>
      <w:r>
        <w:t xml:space="preserve">shortest</w:t>
      </w:r>
      <w:r>
        <w:t xml:space="preserve">”</w:t>
      </w:r>
      <w:r>
        <w:t xml:space="preserve">, so no finite protocol exists.</w:t>
      </w:r>
    </w:p>
    <w:bookmarkEnd w:id="2666"/>
    <w:bookmarkStart w:id="2667" w:name="what-engineers-do-instead"/>
    <w:p>
      <w:pPr>
        <w:pStyle w:val="Heading4"/>
      </w:pPr>
      <w:r>
        <w:t xml:space="preserve">What engineers do instead</w:t>
      </w:r>
    </w:p>
    <w:p>
      <w:pPr>
        <w:pStyle w:val="FirstParagraph"/>
      </w:pPr>
      <w:r>
        <w:t xml:space="preserve">Practical systems settle for less than certainty:</w:t>
      </w:r>
      <w:r>
        <w:t xml:space="preserve"> </w:t>
      </w:r>
      <w:r>
        <w:rPr>
          <w:bCs/>
          <w:b/>
        </w:rPr>
        <w:t xml:space="preserve">retry idempotent actions</w:t>
      </w:r>
      <w:r>
        <w:t xml:space="preserve"> </w:t>
      </w:r>
      <w:r>
        <w:t xml:space="preserve">until acknowledged (TCP, idempotency keys in §22.15);</w:t>
      </w:r>
      <w:r>
        <w:t xml:space="preserve"> </w:t>
      </w:r>
      <w:r>
        <w:rPr>
          <w:bCs/>
          <w:b/>
        </w:rPr>
        <w:t xml:space="preserve">accept high probability</w:t>
      </w:r>
      <w:r>
        <w:t xml:space="preserve"> </w:t>
      </w:r>
      <w:r>
        <w:t xml:space="preserve">(five messengers each captured with probability 0.1 all fail with probability</w:t>
      </w:r>
      <w:r>
        <w:t xml:space="preserve"> </w:t>
      </w:r>
      <m:oMath>
        <m:sSup>
          <m:e>
            <m:r>
              <m:t>10</m:t>
            </m:r>
          </m:e>
          <m:sup>
            <m:r>
              <m:rPr>
                <m:sty m:val="p"/>
              </m:rPr>
              <m:t>−</m:t>
            </m:r>
            <m:r>
              <m:t>5</m:t>
            </m:r>
          </m:sup>
        </m:sSup>
      </m:oMath>
      <w:r>
        <w:t xml:space="preserve">); or</w:t>
      </w:r>
      <w:r>
        <w:t xml:space="preserve"> </w:t>
      </w:r>
      <w:r>
        <w:rPr>
          <w:bCs/>
          <w:b/>
        </w:rPr>
        <w:t xml:space="preserve">persist state and allow blocking</w:t>
      </w:r>
      <w:r>
        <w:t xml:space="preserve">, as two-phase commit does (§28.4).</w:t>
      </w:r>
    </w:p>
    <w:p>
      <w:pPr>
        <w:pStyle w:val="CalloutMistake"/>
      </w:pPr>
      <w:r>
        <w:rPr>
          <w:bCs/>
          <w:b/>
        </w:rPr>
        <w:t xml:space="preserve">COMMON MISTAKE</w:t>
      </w:r>
    </w:p>
    <w:p>
      <w:pPr>
        <w:pStyle w:val="CalloutMistake"/>
      </w:pPr>
      <w:r>
        <w:rPr>
          <w:bCs/>
          <w:b/>
        </w:rPr>
        <w:t xml:space="preserve">Mistake —</w:t>
      </w:r>
      <w:r>
        <w:rPr>
          <w:bCs/>
          <w:b/>
        </w:rPr>
        <w:t xml:space="preserve"> </w:t>
      </w:r>
      <w:r>
        <w:rPr>
          <w:bCs/>
          <w:b/>
        </w:rPr>
        <w:t xml:space="preserve">“</w:t>
      </w:r>
      <w:r>
        <w:rPr>
          <w:bCs/>
          <w:b/>
        </w:rPr>
        <w:t xml:space="preserve">TCP solves the two generals problem.</w:t>
      </w:r>
      <w:r>
        <w:rPr>
          <w:bCs/>
          <w:b/>
        </w:rPr>
        <w:t xml:space="preserve">”</w:t>
      </w:r>
      <w:r>
        <w:t xml:space="preserve"> </w:t>
      </w:r>
      <w:r>
        <w:t xml:space="preserve">TCP makes delivery</w:t>
      </w:r>
      <w:r>
        <w:t xml:space="preserve"> </w:t>
      </w:r>
      <w:r>
        <w:rPr>
          <w:iCs/>
          <w:i/>
        </w:rPr>
        <w:t xml:space="preserve">reliable while the connection works</w:t>
      </w:r>
      <w:r>
        <w:t xml:space="preserve">, by retransmitting. It cannot tell the sender whether its final bytes were processed by the application before the peer crashed or the connection broke (§7.7). The connection-close handshake itself has the two generals shape, which is one reason for the</w:t>
      </w:r>
      <w:r>
        <w:t xml:space="preserve"> </w:t>
      </w:r>
      <w:r>
        <w:rPr>
          <w:rStyle w:val="VerbatimChar"/>
        </w:rPr>
        <w:t xml:space="preserve">TIME_WAIT</w:t>
      </w:r>
      <w:r>
        <w:t xml:space="preserve"> </w:t>
      </w:r>
      <w:r>
        <w:t xml:space="preserve">state.</w:t>
      </w:r>
    </w:p>
    <w:bookmarkEnd w:id="2667"/>
    <w:bookmarkEnd w:id="2668"/>
    <w:bookmarkEnd w:id="2669"/>
    <w:bookmarkStart w:id="2672" w:name="why-distributed-systems-exist"/>
    <w:p>
      <w:pPr>
        <w:pStyle w:val="Heading2"/>
      </w:pPr>
      <w:r>
        <w:t xml:space="preserve">24.4 Why distributed systems exist</w:t>
      </w:r>
    </w:p>
    <w:bookmarkStart w:id="2671" w:name="four-reasons-to-pay-the-price"/>
    <w:p>
      <w:pPr>
        <w:pStyle w:val="Heading3"/>
      </w:pPr>
      <w:r>
        <w:t xml:space="preserve">24.4.1 Four reasons to pay the price</w:t>
      </w:r>
    </w:p>
    <w:p>
      <w:pPr>
        <w:pStyle w:val="FirstParagraph"/>
      </w:pPr>
      <w:r>
        <w:t xml:space="preserve">If distribution is this hard, why do it? Because a single computer cannot meet some requirements at all. Table 24.1 lists the four main reasons.</w:t>
      </w:r>
    </w:p>
    <w:p>
      <w:pPr>
        <w:pStyle w:val="BodyText"/>
      </w:pPr>
      <w:r>
        <w:rPr>
          <w:bCs/>
          <w:b/>
        </w:rPr>
        <w:t xml:space="preserve">Table 24.1 — Why systems are distributed.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Reason</w:t>
            </w:r>
          </w:p>
        </w:tc>
        <w:tc>
          <w:tcPr/>
          <w:p>
            <w:pPr>
              <w:pStyle w:val="Compact"/>
              <w:jc w:val="left"/>
            </w:pPr>
            <w:r>
              <w:t xml:space="preserve">The limit of one machine</w:t>
            </w:r>
          </w:p>
        </w:tc>
        <w:tc>
          <w:tcPr/>
          <w:p>
            <w:pPr>
              <w:pStyle w:val="Compact"/>
              <w:jc w:val="left"/>
            </w:pPr>
            <w:r>
              <w:t xml:space="preserve">Distributed answer</w:t>
            </w:r>
          </w:p>
        </w:tc>
        <w:tc>
          <w:tcPr/>
          <w:p>
            <w:pPr>
              <w:pStyle w:val="Compact"/>
              <w:jc w:val="left"/>
            </w:pPr>
            <w:r>
              <w:t xml:space="preserve">What it costs</w:t>
            </w:r>
          </w:p>
        </w:tc>
      </w:tr>
      <w:tr>
        <w:tc>
          <w:tcPr/>
          <w:p>
            <w:pPr>
              <w:pStyle w:val="Compact"/>
              <w:jc w:val="left"/>
            </w:pPr>
            <w:r>
              <w:t xml:space="preserve">Scale</w:t>
            </w:r>
          </w:p>
        </w:tc>
        <w:tc>
          <w:tcPr/>
          <w:p>
            <w:pPr>
              <w:pStyle w:val="Compact"/>
              <w:jc w:val="left"/>
            </w:pPr>
            <w:r>
              <w:t xml:space="preserve">Even the largest single servers top out at hundreds of cores and a few tens of terabytes of memory (as of 2026); one disk array holds finite data</w:t>
            </w:r>
          </w:p>
        </w:tc>
        <w:tc>
          <w:tcPr/>
          <w:p>
            <w:pPr>
              <w:pStyle w:val="Compact"/>
              <w:jc w:val="left"/>
            </w:pPr>
            <w:r>
              <w:t xml:space="preserve">Partition data and work across nodes (§14.6, Ch 18)</w:t>
            </w:r>
          </w:p>
        </w:tc>
        <w:tc>
          <w:tcPr/>
          <w:p>
            <w:pPr>
              <w:pStyle w:val="Compact"/>
              <w:jc w:val="left"/>
            </w:pPr>
            <w:r>
              <w:t xml:space="preserve">Cross-node queries, rebalancing, coordination</w:t>
            </w:r>
          </w:p>
        </w:tc>
      </w:tr>
      <w:tr>
        <w:tc>
          <w:tcPr/>
          <w:p>
            <w:pPr>
              <w:pStyle w:val="Compact"/>
              <w:jc w:val="left"/>
            </w:pPr>
            <w:r>
              <w:t xml:space="preserve">Fault tolerance</w:t>
            </w:r>
          </w:p>
        </w:tc>
        <w:tc>
          <w:tcPr/>
          <w:p>
            <w:pPr>
              <w:pStyle w:val="Compact"/>
              <w:jc w:val="left"/>
            </w:pPr>
            <w:r>
              <w:t xml:space="preserve">One machine, power supply or datacenter is a single point of failure</w:t>
            </w:r>
          </w:p>
        </w:tc>
        <w:tc>
          <w:tcPr/>
          <w:p>
            <w:pPr>
              <w:pStyle w:val="Compact"/>
              <w:jc w:val="left"/>
            </w:pPr>
            <w:r>
              <w:t xml:space="preserve">Replicate across nodes, racks, zones and regions (Ch 14, Ch 27)</w:t>
            </w:r>
          </w:p>
        </w:tc>
        <w:tc>
          <w:tcPr/>
          <w:p>
            <w:pPr>
              <w:pStyle w:val="Compact"/>
              <w:jc w:val="left"/>
            </w:pPr>
            <w:r>
              <w:t xml:space="preserve">Keeping replicas consistent; failover</w:t>
            </w:r>
          </w:p>
        </w:tc>
      </w:tr>
      <w:tr>
        <w:tc>
          <w:tcPr/>
          <w:p>
            <w:pPr>
              <w:pStyle w:val="Compact"/>
              <w:jc w:val="left"/>
            </w:pPr>
            <w:r>
              <w:t xml:space="preserve">Latency and geography</w:t>
            </w:r>
          </w:p>
        </w:tc>
        <w:tc>
          <w:tcPr/>
          <w:p>
            <w:pPr>
              <w:pStyle w:val="Compact"/>
              <w:jc w:val="left"/>
            </w:pPr>
            <w:r>
              <w:t xml:space="preserve">The speed of light: New York–London RTT is at least about 56 ms over fiber (§7.15.1)</w:t>
            </w:r>
          </w:p>
        </w:tc>
        <w:tc>
          <w:tcPr/>
          <w:p>
            <w:pPr>
              <w:pStyle w:val="Compact"/>
              <w:jc w:val="left"/>
            </w:pPr>
            <w:r>
              <w:t xml:space="preserve">Place replicas and computation near users (Ch 21, Ch 44)</w:t>
            </w:r>
          </w:p>
        </w:tc>
        <w:tc>
          <w:tcPr/>
          <w:p>
            <w:pPr>
              <w:pStyle w:val="Compact"/>
              <w:jc w:val="left"/>
            </w:pPr>
            <w:r>
              <w:t xml:space="preserve">Cross-region consistency and conflicts</w:t>
            </w:r>
          </w:p>
        </w:tc>
      </w:tr>
      <w:tr>
        <w:tc>
          <w:tcPr/>
          <w:p>
            <w:pPr>
              <w:pStyle w:val="Compact"/>
              <w:jc w:val="left"/>
            </w:pPr>
            <w:r>
              <w:t xml:space="preserve">Data residency</w:t>
            </w:r>
          </w:p>
        </w:tc>
        <w:tc>
          <w:tcPr/>
          <w:p>
            <w:pPr>
              <w:pStyle w:val="Compact"/>
              <w:jc w:val="left"/>
            </w:pPr>
            <w:r>
              <w:t xml:space="preserve">Law may require that personal data stay within a jurisdiction</w:t>
            </w:r>
          </w:p>
        </w:tc>
        <w:tc>
          <w:tcPr/>
          <w:p>
            <w:pPr>
              <w:pStyle w:val="Compact"/>
              <w:jc w:val="left"/>
            </w:pPr>
            <w:r>
              <w:t xml:space="preserve">Region-pinned partitions and processing</w:t>
            </w:r>
          </w:p>
        </w:tc>
        <w:tc>
          <w:tcPr/>
          <w:p>
            <w:pPr>
              <w:pStyle w:val="Compact"/>
              <w:jc w:val="left"/>
            </w:pPr>
            <w:r>
              <w:t xml:space="preserve">Fragmented operations; per-region capacity</w:t>
            </w:r>
          </w:p>
        </w:tc>
      </w:tr>
    </w:tbl>
    <w:p>
      <w:pPr>
        <w:pStyle w:val="BodyText"/>
      </w:pPr>
      <w:r>
        <w:t xml:space="preserve">Some problems are also</w:t>
      </w:r>
      <w:r>
        <w:t xml:space="preserve"> </w:t>
      </w:r>
      <w:r>
        <w:rPr>
          <w:bCs/>
          <w:b/>
        </w:rPr>
        <w:t xml:space="preserve">inherently distributed</w:t>
      </w:r>
      <w:r>
        <w:t xml:space="preserve"> </w:t>
      </w:r>
      <w:r>
        <w:t xml:space="preserve">(banks in a payment network, offline edits on phones), and organizations split systems so teams deploy independently (Chapter 34). On residency, be precise: the EU GDPR does not generally require storage inside the EU, but its Chapter V restricts</w:t>
      </w:r>
      <w:r>
        <w:t xml:space="preserve"> </w:t>
      </w:r>
      <w:r>
        <w:rPr>
          <w:iCs/>
          <w:i/>
        </w:rPr>
        <w:t xml:space="preserve">transfers</w:t>
      </w:r>
      <w:r>
        <w:t xml:space="preserve"> </w:t>
      </w:r>
      <w:r>
        <w:t xml:space="preserve">of personal data outside it without safeguards [EU 2016]; some other jurisdictions mandate localization. Either way, partitions get pinned to regions.</w:t>
      </w:r>
    </w:p>
    <w:bookmarkStart w:id="2670" w:name="X509c12c48ee7eaac1c8416c7eab1629aa588750"/>
    <w:p>
      <w:pPr>
        <w:pStyle w:val="Heading4"/>
      </w:pPr>
      <w:r>
        <w:t xml:space="preserve">Mathematical foundations: why replicate, and why failure is normal</w:t>
      </w:r>
    </w:p>
    <w:p>
      <w:pPr>
        <w:pStyle w:val="CalloutFormula"/>
      </w:pPr>
      <w:r>
        <w:rPr>
          <w:bCs/>
          <w:b/>
        </w:rPr>
        <w:t xml:space="preserve">FORMULA</w:t>
      </w:r>
    </w:p>
    <w:p>
      <w:pPr>
        <w:pStyle w:val="CalloutFormula"/>
      </w:pPr>
      <w:r>
        <w:rPr>
          <w:bCs/>
          <w:b/>
        </w:rPr>
        <w:t xml:space="preserve">Availability of</w:t>
      </w:r>
      <w:r>
        <w:rPr>
          <w:bCs/>
          <w:b/>
        </w:rPr>
        <w:t xml:space="preserve"> </w:t>
      </w:r>
      <m:oMath>
        <m:r>
          <m:t>k</m:t>
        </m:r>
      </m:oMath>
      <w:r>
        <w:rPr>
          <w:bCs/>
          <w:b/>
        </w:rPr>
        <w:t xml:space="preserve"> </w:t>
      </w:r>
      <w:r>
        <w:rPr>
          <w:bCs/>
          <w:b/>
        </w:rPr>
        <w:t xml:space="preserve">independent replicas, and the chance that something in a fleet fails</w:t>
      </w:r>
    </w:p>
    <w:p>
      <w:pPr>
        <w:pStyle w:val="CalloutFormula"/>
      </w:pPr>
      <m:oMathPara>
        <m:oMathParaPr>
          <m:jc m:val="center"/>
        </m:oMathParaPr>
        <m:oMath>
          <m:sSub>
            <m:e>
              <m:r>
                <m:t>A</m:t>
              </m:r>
            </m:e>
            <m:sub>
              <m:r>
                <m:t>k</m:t>
              </m:r>
            </m:sub>
          </m:sSub>
          <m:r>
            <m:rPr>
              <m:sty m:val="p"/>
            </m:rPr>
            <m:t>=</m:t>
          </m:r>
          <m:r>
            <m:t>1</m:t>
          </m:r>
          <m:r>
            <m:rPr>
              <m:sty m:val="p"/>
            </m:rPr>
            <m:t>−</m:t>
          </m:r>
          <m:sSup>
            <m:e>
              <m:d>
                <m:dPr>
                  <m:begChr m:val="("/>
                  <m:endChr m:val=")"/>
                  <m:sepChr m:val=""/>
                  <m:grow/>
                </m:dPr>
                <m:e>
                  <m:r>
                    <m:t>1</m:t>
                  </m:r>
                  <m:r>
                    <m:rPr>
                      <m:sty m:val="p"/>
                    </m:rPr>
                    <m:t>−</m:t>
                  </m:r>
                  <m:r>
                    <m:t>a</m:t>
                  </m:r>
                </m:e>
              </m:d>
            </m:e>
            <m:sup>
              <m:r>
                <m:t>k</m:t>
              </m:r>
            </m:sup>
          </m:sSup>
          <m:r>
            <m:t>  </m:t>
          </m:r>
          <m:r>
            <m:t>  </m:t>
          </m:r>
          <m:sSub>
            <m:e>
              <m:r>
                <m:t>P</m:t>
              </m:r>
            </m:e>
            <m:sub>
              <m:r>
                <m:rPr>
                  <m:nor/>
                  <m:sty m:val="p"/>
                </m:rPr>
                <m:t>any</m:t>
              </m:r>
            </m:sub>
          </m:sSub>
          <m:r>
            <m:rPr>
              <m:sty m:val="p"/>
            </m:rPr>
            <m:t>=</m:t>
          </m:r>
          <m:r>
            <m:t>1</m:t>
          </m:r>
          <m:r>
            <m:rPr>
              <m:sty m:val="p"/>
            </m:rPr>
            <m:t>−</m:t>
          </m:r>
          <m:sSup>
            <m:e>
              <m:d>
                <m:dPr>
                  <m:begChr m:val="("/>
                  <m:endChr m:val=")"/>
                  <m:sepChr m:val=""/>
                  <m:grow/>
                </m:dPr>
                <m:e>
                  <m:r>
                    <m:t>1</m:t>
                  </m:r>
                  <m:r>
                    <m:rPr>
                      <m:sty m:val="p"/>
                    </m:rPr>
                    <m:t>−</m:t>
                  </m:r>
                  <m:r>
                    <m:t>p</m:t>
                  </m:r>
                </m:e>
              </m:d>
            </m:e>
            <m:sup>
              <m:r>
                <m:t>n</m:t>
              </m:r>
            </m:sup>
          </m:sSup>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a</m:t>
              </m:r>
            </m:oMath>
          </w:p>
        </w:tc>
        <w:tc>
          <w:tcPr/>
          <w:p>
            <w:pPr>
              <w:pStyle w:val="Compact"/>
              <w:jc w:val="left"/>
            </w:pPr>
            <w:r>
              <w:t xml:space="preserve">Availability of one replica (fraction of time it can serve)</w:t>
            </w:r>
          </w:p>
        </w:tc>
        <w:tc>
          <w:tcPr/>
          <w:p>
            <w:pPr>
              <w:pStyle w:val="Compact"/>
              <w:jc w:val="left"/>
            </w:pPr>
            <w:r>
              <w:t xml:space="preserve">dimensionless, 0–1</w:t>
            </w:r>
          </w:p>
        </w:tc>
      </w:tr>
      <w:tr>
        <w:tc>
          <w:tcPr/>
          <w:p>
            <w:pPr>
              <w:pStyle w:val="Compact"/>
              <w:jc w:val="left"/>
            </w:pPr>
            <m:oMath>
              <m:r>
                <m:t>k</m:t>
              </m:r>
            </m:oMath>
          </w:p>
        </w:tc>
        <w:tc>
          <w:tcPr/>
          <w:p>
            <w:pPr>
              <w:pStyle w:val="Compact"/>
              <w:jc w:val="left"/>
            </w:pPr>
            <w:r>
              <w:t xml:space="preserve">Number of replicas, any one of which can serve a request</w:t>
            </w:r>
          </w:p>
        </w:tc>
        <w:tc>
          <w:tcPr/>
          <w:p>
            <w:pPr>
              <w:pStyle w:val="Compact"/>
              <w:jc w:val="left"/>
            </w:pPr>
            <w:r>
              <w:t xml:space="preserve">count</w:t>
            </w:r>
          </w:p>
        </w:tc>
      </w:tr>
      <w:tr>
        <w:tc>
          <w:tcPr/>
          <w:p>
            <w:pPr>
              <w:pStyle w:val="Compact"/>
              <w:jc w:val="left"/>
            </w:pPr>
            <m:oMath>
              <m:sSub>
                <m:e>
                  <m:r>
                    <m:t>A</m:t>
                  </m:r>
                </m:e>
                <m:sub>
                  <m:r>
                    <m:t>k</m:t>
                  </m:r>
                </m:sub>
              </m:sSub>
            </m:oMath>
          </w:p>
        </w:tc>
        <w:tc>
          <w:tcPr/>
          <w:p>
            <w:pPr>
              <w:pStyle w:val="Compact"/>
              <w:jc w:val="left"/>
            </w:pPr>
            <w:r>
              <w:t xml:space="preserve">Availability of the replicated service, assuming independent failures and instant failover</w:t>
            </w:r>
          </w:p>
        </w:tc>
        <w:tc>
          <w:tcPr/>
          <w:p>
            <w:pPr>
              <w:pStyle w:val="Compact"/>
              <w:jc w:val="left"/>
            </w:pPr>
            <w:r>
              <w:t xml:space="preserve">dimensionless</w:t>
            </w:r>
          </w:p>
        </w:tc>
      </w:tr>
      <w:tr>
        <w:tc>
          <w:tcPr/>
          <w:p>
            <w:pPr>
              <w:pStyle w:val="Compact"/>
              <w:jc w:val="left"/>
            </w:pPr>
            <m:oMath>
              <m:r>
                <m:t>p</m:t>
              </m:r>
            </m:oMath>
          </w:p>
        </w:tc>
        <w:tc>
          <w:tcPr/>
          <w:p>
            <w:pPr>
              <w:pStyle w:val="Compact"/>
              <w:jc w:val="left"/>
            </w:pPr>
            <w:r>
              <w:t xml:space="preserve">Probability that one node fails during a given period</w:t>
            </w:r>
          </w:p>
        </w:tc>
        <w:tc>
          <w:tcPr/>
          <w:p>
            <w:pPr>
              <w:pStyle w:val="Compact"/>
              <w:jc w:val="left"/>
            </w:pPr>
            <w:r>
              <w:t xml:space="preserve">dimensionless</w:t>
            </w:r>
          </w:p>
        </w:tc>
      </w:tr>
      <w:tr>
        <w:tc>
          <w:tcPr/>
          <w:p>
            <w:pPr>
              <w:pStyle w:val="Compact"/>
              <w:jc w:val="left"/>
            </w:pPr>
            <m:oMath>
              <m:r>
                <m:t>n</m:t>
              </m:r>
            </m:oMath>
          </w:p>
        </w:tc>
        <w:tc>
          <w:tcPr/>
          <w:p>
            <w:pPr>
              <w:pStyle w:val="Compact"/>
              <w:jc w:val="left"/>
            </w:pPr>
            <w:r>
              <w:t xml:space="preserve">Number of nodes in the fleet</w:t>
            </w:r>
          </w:p>
        </w:tc>
        <w:tc>
          <w:tcPr/>
          <w:p>
            <w:pPr>
              <w:pStyle w:val="Compact"/>
              <w:jc w:val="left"/>
            </w:pPr>
            <w:r>
              <w:t xml:space="preserve">count</w:t>
            </w:r>
          </w:p>
        </w:tc>
      </w:tr>
      <w:tr>
        <w:tc>
          <w:tcPr/>
          <w:p>
            <w:pPr>
              <w:pStyle w:val="Compact"/>
              <w:jc w:val="left"/>
            </w:pPr>
            <m:oMath>
              <m:sSub>
                <m:e>
                  <m:r>
                    <m:t>P</m:t>
                  </m:r>
                </m:e>
                <m:sub>
                  <m:r>
                    <m:rPr>
                      <m:nor/>
                      <m:sty m:val="p"/>
                    </m:rPr>
                    <m:t>any</m:t>
                  </m:r>
                </m:sub>
              </m:sSub>
            </m:oMath>
          </w:p>
        </w:tc>
        <w:tc>
          <w:tcPr/>
          <w:p>
            <w:pPr>
              <w:pStyle w:val="Compact"/>
              <w:jc w:val="left"/>
            </w:pPr>
            <w:r>
              <w:t xml:space="preserve">Probability that at least one node fails in that period</w:t>
            </w:r>
          </w:p>
        </w:tc>
        <w:tc>
          <w:tcPr/>
          <w:p>
            <w:pPr>
              <w:pStyle w:val="Compact"/>
              <w:jc w:val="left"/>
            </w:pPr>
            <w:r>
              <w:t xml:space="preserve">dimensionless</w:t>
            </w:r>
          </w:p>
        </w:tc>
      </w:tr>
    </w:tbl>
    <w:p>
      <w:pPr>
        <w:pStyle w:val="CalloutExample"/>
      </w:pPr>
      <w:r>
        <w:rPr>
          <w:bCs/>
          <w:b/>
        </w:rPr>
        <w:t xml:space="preserve">WORKED EXAMPLE</w:t>
      </w:r>
    </w:p>
    <w:p>
      <w:pPr>
        <w:pStyle w:val="CalloutExample"/>
      </w:pPr>
      <w:r>
        <w:rPr>
          <w:bCs/>
          <w:b/>
        </w:rPr>
        <w:t xml:space="preserve">Worked example — PhotoShare’s metadata service.</w:t>
      </w:r>
    </w:p>
    <w:p>
      <w:pPr>
        <w:numPr>
          <w:ilvl w:val="0"/>
          <w:numId w:val="1783"/>
        </w:numPr>
        <w:pStyle w:val="Compact"/>
      </w:pPr>
      <w:r>
        <w:t xml:space="preserve">One server has availability</w:t>
      </w:r>
      <w:r>
        <w:t xml:space="preserve"> </w:t>
      </w:r>
      <m:oMath>
        <m:r>
          <m:t>a</m:t>
        </m:r>
        <m:r>
          <m:rPr>
            <m:sty m:val="p"/>
          </m:rPr>
          <m:t>=</m:t>
        </m:r>
        <m:r>
          <m:t>0.999</m:t>
        </m:r>
      </m:oMath>
      <w:r>
        <w:t xml:space="preserve"> </w:t>
      </w:r>
      <w:r>
        <w:t xml:space="preserve">(about 8.8 hours down per year).</w:t>
      </w:r>
    </w:p>
    <w:p>
      <w:pPr>
        <w:numPr>
          <w:ilvl w:val="0"/>
          <w:numId w:val="1783"/>
        </w:numPr>
        <w:pStyle w:val="Compact"/>
      </w:pPr>
      <w:r>
        <w:t xml:space="preserve">With</w:t>
      </w:r>
      <w:r>
        <w:t xml:space="preserve"> </w:t>
      </w:r>
      <m:oMath>
        <m:r>
          <m:t>k</m:t>
        </m:r>
        <m:r>
          <m:rPr>
            <m:sty m:val="p"/>
          </m:rPr>
          <m:t>=</m:t>
        </m:r>
        <m:r>
          <m:t>3</m:t>
        </m:r>
      </m:oMath>
      <w:r>
        <w:t xml:space="preserve"> </w:t>
      </w:r>
      <w:r>
        <w:t xml:space="preserve">independent replicas:</w:t>
      </w:r>
      <w:r>
        <w:t xml:space="preserve"> </w:t>
      </w:r>
      <m:oMath>
        <m:sSub>
          <m:e>
            <m:r>
              <m:t>A</m:t>
            </m:r>
          </m:e>
          <m:sub>
            <m:r>
              <m:t>3</m:t>
            </m:r>
          </m:sub>
        </m:sSub>
        <m:r>
          <m:rPr>
            <m:sty m:val="p"/>
          </m:rPr>
          <m:t>=</m:t>
        </m:r>
        <m:r>
          <m:t>1</m:t>
        </m:r>
        <m:r>
          <m:rPr>
            <m:sty m:val="p"/>
          </m:rPr>
          <m:t>−</m:t>
        </m:r>
        <m:sSup>
          <m:e>
            <m:d>
              <m:dPr>
                <m:begChr m:val="("/>
                <m:endChr m:val=")"/>
                <m:sepChr m:val=""/>
                <m:grow/>
              </m:dPr>
              <m:e>
                <m:r>
                  <m:t>0.001</m:t>
                </m:r>
              </m:e>
            </m:d>
          </m:e>
          <m:sup>
            <m:r>
              <m:t>3</m:t>
            </m:r>
          </m:sup>
        </m:sSup>
        <m:r>
          <m:rPr>
            <m:sty m:val="p"/>
          </m:rPr>
          <m:t>=</m:t>
        </m:r>
        <m:r>
          <m:t>1</m:t>
        </m:r>
        <m:r>
          <m:rPr>
            <m:sty m:val="p"/>
          </m:rPr>
          <m:t>−</m:t>
        </m:r>
        <m:sSup>
          <m:e>
            <m:r>
              <m:t>10</m:t>
            </m:r>
          </m:e>
          <m:sup>
            <m:r>
              <m:rPr>
                <m:sty m:val="p"/>
              </m:rPr>
              <m:t>−</m:t>
            </m:r>
            <m:r>
              <m:t>9</m:t>
            </m:r>
          </m:sup>
        </m:sSup>
      </m:oMath>
      <w:r>
        <w:t xml:space="preserve">, nine nines on paper.</w:t>
      </w:r>
    </w:p>
    <w:p>
      <w:pPr>
        <w:numPr>
          <w:ilvl w:val="0"/>
          <w:numId w:val="1783"/>
        </w:numPr>
        <w:pStyle w:val="Compact"/>
      </w:pPr>
      <w:r>
        <w:t xml:space="preserve">Now the fleet view. PhotoShare runs</w:t>
      </w:r>
      <w:r>
        <w:t xml:space="preserve"> </w:t>
      </w:r>
      <m:oMath>
        <m:r>
          <m:t>n</m:t>
        </m:r>
        <m:r>
          <m:rPr>
            <m:sty m:val="p"/>
          </m:rPr>
          <m:t>=</m:t>
        </m:r>
        <m:r>
          <m:t>1</m:t>
        </m:r>
        <m:r>
          <m:rPr>
            <m:sty m:val="p"/>
          </m:rPr>
          <m:t>,</m:t>
        </m:r>
        <m:r>
          <m:t>000</m:t>
        </m:r>
      </m:oMath>
      <w:r>
        <w:t xml:space="preserve"> </w:t>
      </w:r>
      <w:r>
        <w:t xml:space="preserve">nodes, each with probability</w:t>
      </w:r>
      <w:r>
        <w:t xml:space="preserve"> </w:t>
      </w:r>
      <m:oMath>
        <m:r>
          <m:t>p</m:t>
        </m:r>
        <m:r>
          <m:rPr>
            <m:sty m:val="p"/>
          </m:rPr>
          <m:t>=</m:t>
        </m:r>
        <m:r>
          <m:t>0.001</m:t>
        </m:r>
      </m:oMath>
      <w:r>
        <w:t xml:space="preserve"> </w:t>
      </w:r>
      <w:r>
        <w:t xml:space="preserve">of failing on a given day.</w:t>
      </w:r>
      <w:r>
        <w:t xml:space="preserve"> </w:t>
      </w:r>
      <m:oMath>
        <m:sSub>
          <m:e>
            <m:r>
              <m:t>P</m:t>
            </m:r>
          </m:e>
          <m:sub>
            <m:r>
              <m:rPr>
                <m:nor/>
                <m:sty m:val="p"/>
              </m:rPr>
              <m:t>any</m:t>
            </m:r>
          </m:sub>
        </m:sSub>
        <m:r>
          <m:rPr>
            <m:sty m:val="p"/>
          </m:rPr>
          <m:t>=</m:t>
        </m:r>
        <m:r>
          <m:t>1</m:t>
        </m:r>
        <m:r>
          <m:rPr>
            <m:sty m:val="p"/>
          </m:rPr>
          <m:t>−</m:t>
        </m:r>
        <m:sSup>
          <m:e>
            <m:r>
              <m:t>0.999</m:t>
            </m:r>
          </m:e>
          <m:sup>
            <m:r>
              <m:t>1000</m:t>
            </m:r>
          </m:sup>
        </m:sSup>
      </m:oMath>
      <w:r>
        <w:t xml:space="preserve">. Since</w:t>
      </w:r>
      <w:r>
        <w:t xml:space="preserve"> </w:t>
      </w:r>
      <m:oMath>
        <m:r>
          <m:rPr>
            <m:sty m:val="p"/>
          </m:rPr>
          <m:t>ln</m:t>
        </m:r>
        <m:r>
          <m:t>0.999</m:t>
        </m:r>
        <m:r>
          <m:rPr>
            <m:sty m:val="p"/>
          </m:rPr>
          <m:t>≈</m:t>
        </m:r>
        <m:r>
          <m:rPr>
            <m:sty m:val="p"/>
          </m:rPr>
          <m:t>−</m:t>
        </m:r>
        <m:r>
          <m:t>0.0010005</m:t>
        </m:r>
      </m:oMath>
      <w:r>
        <w:t xml:space="preserve">,</w:t>
      </w:r>
      <w:r>
        <w:t xml:space="preserve"> </w:t>
      </w:r>
      <m:oMath>
        <m:sSup>
          <m:e>
            <m:r>
              <m:t>0.999</m:t>
            </m:r>
          </m:e>
          <m:sup>
            <m:r>
              <m:t>1000</m:t>
            </m:r>
          </m:sup>
        </m:sSup>
        <m:r>
          <m:rPr>
            <m:sty m:val="p"/>
          </m:rPr>
          <m:t>≈</m:t>
        </m:r>
        <m:sSup>
          <m:e>
            <m:r>
              <m:t>e</m:t>
            </m:r>
          </m:e>
          <m:sup>
            <m:r>
              <m:rPr>
                <m:sty m:val="p"/>
              </m:rPr>
              <m:t>−</m:t>
            </m:r>
            <m:r>
              <m:t>1.0005</m:t>
            </m:r>
          </m:sup>
        </m:sSup>
        <m:r>
          <m:rPr>
            <m:sty m:val="p"/>
          </m:rPr>
          <m:t>≈</m:t>
        </m:r>
        <m:r>
          <m:t>0.368</m:t>
        </m:r>
      </m:oMath>
      <w:r>
        <w:t xml:space="preserve">, so</w:t>
      </w:r>
      <w:r>
        <w:t xml:space="preserve"> </w:t>
      </w:r>
      <m:oMath>
        <m:sSub>
          <m:e>
            <m:r>
              <m:t>P</m:t>
            </m:r>
          </m:e>
          <m:sub>
            <m:r>
              <m:rPr>
                <m:nor/>
                <m:sty m:val="p"/>
              </m:rPr>
              <m:t>any</m:t>
            </m:r>
          </m:sub>
        </m:sSub>
        <m:r>
          <m:rPr>
            <m:sty m:val="p"/>
          </m:rPr>
          <m:t>≈</m:t>
        </m:r>
        <m:r>
          <m:t>0.632</m:t>
        </m:r>
      </m:oMath>
      <w:r>
        <w:t xml:space="preserve">.</w:t>
      </w:r>
    </w:p>
    <w:p>
      <w:pPr>
        <w:pStyle w:val="CalloutExample"/>
      </w:pPr>
      <w:r>
        <w:t xml:space="preserve">Interpretation: replication makes the</w:t>
      </w:r>
      <w:r>
        <w:t xml:space="preserve"> </w:t>
      </w:r>
      <w:r>
        <w:rPr>
          <w:iCs/>
          <w:i/>
        </w:rPr>
        <w:t xml:space="preserve">service</w:t>
      </w:r>
      <w:r>
        <w:t xml:space="preserve"> </w:t>
      </w:r>
      <w:r>
        <w:t xml:space="preserve">far more available than any node, but the same scale guarantees that on about 63% of days</w:t>
      </w:r>
      <w:r>
        <w:t xml:space="preserve"> </w:t>
      </w:r>
      <w:r>
        <w:rPr>
          <w:iCs/>
          <w:i/>
        </w:rPr>
        <w:t xml:space="preserve">some</w:t>
      </w:r>
      <w:r>
        <w:t xml:space="preserve"> </w:t>
      </w:r>
      <w:r>
        <w:t xml:space="preserve">node fails. Failure is a daily routine, not an exception. Engineering implication: the nine nines are fiction, because replica failures are not independent (shared power, shared software bugs, shared network) and failover is not instant. The real gains come from placing replicas in separate failure domains and from making failover automatic and well tested, which is the subject of Chapter 27.</w:t>
      </w:r>
    </w:p>
    <w:p>
      <w:pPr>
        <w:pStyle w:val="CalloutRecommendation"/>
      </w:pPr>
      <w:r>
        <w:rPr>
          <w:bCs/>
          <w:b/>
        </w:rPr>
        <w:t xml:space="preserve">RECOMMENDATION</w:t>
      </w:r>
    </w:p>
    <w:p>
      <w:pPr>
        <w:pStyle w:val="CalloutRecommendation"/>
      </w:pPr>
      <w:r>
        <w:rPr>
          <w:bCs/>
          <w:b/>
        </w:rPr>
        <w:t xml:space="preserve">Recommendation — Distribute only for a stated reason.</w:t>
      </w:r>
      <w:r>
        <w:t xml:space="preserve"> </w:t>
      </w:r>
      <w:r>
        <w:t xml:space="preserve">A single well-provisioned database with a hot standby serves many products and avoids most of this chapter’s problems. When you do distribute, the reason tells you what to optimize: partitioning for scale, replication for fault tolerance, locality for latency, region pinning for residency.</w:t>
      </w:r>
    </w:p>
    <w:bookmarkEnd w:id="2670"/>
    <w:bookmarkEnd w:id="2671"/>
    <w:bookmarkEnd w:id="2672"/>
    <w:bookmarkStart w:id="2674" w:name="X9ca1057d61e209876eace14228f3825c2f3510d"/>
    <w:p>
      <w:pPr>
        <w:pStyle w:val="Heading2"/>
      </w:pPr>
      <w:r>
        <w:t xml:space="preserve">24.5 The eight fallacies of distributed computing</w:t>
      </w:r>
    </w:p>
    <w:bookmarkStart w:id="2673" w:name="origin-and-the-list"/>
    <w:p>
      <w:pPr>
        <w:pStyle w:val="Heading3"/>
      </w:pPr>
      <w:r>
        <w:t xml:space="preserve">24.5.1 Origin and the list</w:t>
      </w:r>
    </w:p>
    <w:p>
      <w:pPr>
        <w:pStyle w:val="FirstParagraph"/>
      </w:pPr>
      <w:r>
        <w:t xml:space="preserve">Around 1994, L. Peter Deutsch at Sun Microsystems listed seven false assumptions that newcomers to distributed applications make; James Gosling later added an eighth (Bill Joy and Tom Lyon are credited with the first four). The list circulated informally and was explained in detail by Rotem-Gal-Oz [Rotem-Gal-Oz 2006]. Each fallacy is the hidden assumption behind a class of outages; code that treats a remote call as a local one (§8.8) assumes several at once.</w:t>
      </w:r>
    </w:p>
    <w:p>
      <w:pPr>
        <w:pStyle w:val="BodyText"/>
      </w:pPr>
      <w:r>
        <w:rPr>
          <w:bCs/>
          <w:b/>
        </w:rPr>
        <w:t xml:space="preserve">Table 24.2 — The eight fallacies and what each one breaks.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Fallacy</w:t>
            </w:r>
          </w:p>
        </w:tc>
        <w:tc>
          <w:tcPr/>
          <w:p>
            <w:pPr>
              <w:pStyle w:val="Compact"/>
              <w:jc w:val="left"/>
            </w:pPr>
            <w:r>
              <w:t xml:space="preserve">Reality</w:t>
            </w:r>
          </w:p>
        </w:tc>
        <w:tc>
          <w:tcPr/>
          <w:p>
            <w:pPr>
              <w:pStyle w:val="Compact"/>
              <w:jc w:val="left"/>
            </w:pPr>
            <w:r>
              <w:t xml:space="preserve">A concrete consequence</w:t>
            </w:r>
          </w:p>
        </w:tc>
        <w:tc>
          <w:tcPr/>
          <w:p>
            <w:pPr>
              <w:pStyle w:val="Compact"/>
              <w:jc w:val="left"/>
            </w:pPr>
            <w:r>
              <w:t xml:space="preserve">Mitigation</w:t>
            </w:r>
          </w:p>
        </w:tc>
      </w:tr>
      <w:tr>
        <w:tc>
          <w:tcPr/>
          <w:p>
            <w:pPr>
              <w:pStyle w:val="Compact"/>
              <w:jc w:val="left"/>
            </w:pPr>
            <w:r>
              <w:t xml:space="preserve">1</w:t>
            </w:r>
          </w:p>
        </w:tc>
        <w:tc>
          <w:tcPr/>
          <w:p>
            <w:pPr>
              <w:pStyle w:val="Compact"/>
              <w:jc w:val="left"/>
            </w:pPr>
            <w:r>
              <w:t xml:space="preserve">The network is reliable</w:t>
            </w:r>
          </w:p>
        </w:tc>
        <w:tc>
          <w:tcPr/>
          <w:p>
            <w:pPr>
              <w:pStyle w:val="Compact"/>
              <w:jc w:val="left"/>
            </w:pPr>
            <w:r>
              <w:t xml:space="preserve">Packets and connections are lost; switches and links fail daily</w:t>
            </w:r>
          </w:p>
        </w:tc>
        <w:tc>
          <w:tcPr/>
          <w:p>
            <w:pPr>
              <w:pStyle w:val="Compact"/>
              <w:jc w:val="left"/>
            </w:pPr>
            <w:r>
              <w:t xml:space="preserve">A payment request times out; the client retries; the customer is charged twice</w:t>
            </w:r>
          </w:p>
        </w:tc>
        <w:tc>
          <w:tcPr/>
          <w:p>
            <w:pPr>
              <w:pStyle w:val="Compact"/>
              <w:jc w:val="left"/>
            </w:pPr>
            <w:r>
              <w:t xml:space="preserve">Timeouts, retries with backoff, idempotency keys (§22.12, §22.15)</w:t>
            </w:r>
          </w:p>
        </w:tc>
      </w:tr>
      <w:tr>
        <w:tc>
          <w:tcPr/>
          <w:p>
            <w:pPr>
              <w:pStyle w:val="Compact"/>
              <w:jc w:val="left"/>
            </w:pPr>
            <w:r>
              <w:t xml:space="preserve">2</w:t>
            </w:r>
          </w:p>
        </w:tc>
        <w:tc>
          <w:tcPr/>
          <w:p>
            <w:pPr>
              <w:pStyle w:val="Compact"/>
              <w:jc w:val="left"/>
            </w:pPr>
            <w:r>
              <w:t xml:space="preserve">Latency is zero</w:t>
            </w:r>
          </w:p>
        </w:tc>
        <w:tc>
          <w:tcPr/>
          <w:p>
            <w:pPr>
              <w:pStyle w:val="Compact"/>
              <w:jc w:val="left"/>
            </w:pPr>
            <w:r>
              <w:t xml:space="preserve">Within a datacenter about 0.5 ms per round trip; across oceans 60–150 ms</w:t>
            </w:r>
          </w:p>
        </w:tc>
        <w:tc>
          <w:tcPr/>
          <w:p>
            <w:pPr>
              <w:pStyle w:val="Compact"/>
              <w:jc w:val="left"/>
            </w:pPr>
            <w:r>
              <w:t xml:space="preserve">A page making 100 sequential calls takes 50 ms in one region and about 7 s across regions</w:t>
            </w:r>
          </w:p>
        </w:tc>
        <w:tc>
          <w:tcPr/>
          <w:p>
            <w:pPr>
              <w:pStyle w:val="Compact"/>
              <w:jc w:val="left"/>
            </w:pPr>
            <w:r>
              <w:t xml:space="preserve">Batch calls, parallelize, colocate chatty services</w:t>
            </w:r>
          </w:p>
        </w:tc>
      </w:tr>
      <w:tr>
        <w:tc>
          <w:tcPr/>
          <w:p>
            <w:pPr>
              <w:pStyle w:val="Compact"/>
              <w:jc w:val="left"/>
            </w:pPr>
            <w:r>
              <w:t xml:space="preserve">3</w:t>
            </w:r>
          </w:p>
        </w:tc>
        <w:tc>
          <w:tcPr/>
          <w:p>
            <w:pPr>
              <w:pStyle w:val="Compact"/>
              <w:jc w:val="left"/>
            </w:pPr>
            <w:r>
              <w:t xml:space="preserve">Bandwidth is infinite</w:t>
            </w:r>
          </w:p>
        </w:tc>
        <w:tc>
          <w:tcPr/>
          <w:p>
            <w:pPr>
              <w:pStyle w:val="Compact"/>
              <w:jc w:val="left"/>
            </w:pPr>
            <w:r>
              <w:t xml:space="preserve">Links are finite and shared</w:t>
            </w:r>
          </w:p>
        </w:tc>
        <w:tc>
          <w:tcPr/>
          <w:p>
            <w:pPr>
              <w:pStyle w:val="Compact"/>
              <w:jc w:val="left"/>
            </w:pPr>
            <w:r>
              <w:t xml:space="preserve">Re-replicating 10 TB over a 1 Gbps link takes about 22 hours</w:t>
            </w:r>
          </w:p>
        </w:tc>
        <w:tc>
          <w:tcPr/>
          <w:p>
            <w:pPr>
              <w:pStyle w:val="Compact"/>
              <w:jc w:val="left"/>
            </w:pPr>
            <w:r>
              <w:t xml:space="preserve">Compress, ship deltas, throttle background traffic</w:t>
            </w:r>
          </w:p>
        </w:tc>
      </w:tr>
      <w:tr>
        <w:tc>
          <w:tcPr/>
          <w:p>
            <w:pPr>
              <w:pStyle w:val="Compact"/>
              <w:jc w:val="left"/>
            </w:pPr>
            <w:r>
              <w:t xml:space="preserve">4</w:t>
            </w:r>
          </w:p>
        </w:tc>
        <w:tc>
          <w:tcPr/>
          <w:p>
            <w:pPr>
              <w:pStyle w:val="Compact"/>
              <w:jc w:val="left"/>
            </w:pPr>
            <w:r>
              <w:t xml:space="preserve">The network is secure</w:t>
            </w:r>
          </w:p>
        </w:tc>
        <w:tc>
          <w:tcPr/>
          <w:p>
            <w:pPr>
              <w:pStyle w:val="Compact"/>
              <w:jc w:val="left"/>
            </w:pPr>
            <w:r>
              <w:t xml:space="preserve">Internal networks are routinely breached</w:t>
            </w:r>
          </w:p>
        </w:tc>
        <w:tc>
          <w:tcPr/>
          <w:p>
            <w:pPr>
              <w:pStyle w:val="Compact"/>
              <w:jc w:val="left"/>
            </w:pPr>
            <w:r>
              <w:t xml:space="preserve">Plaintext service-to-service traffic leaks credentials after one compromised host</w:t>
            </w:r>
          </w:p>
        </w:tc>
        <w:tc>
          <w:tcPr/>
          <w:p>
            <w:pPr>
              <w:pStyle w:val="Compact"/>
              <w:jc w:val="left"/>
            </w:pPr>
            <w:r>
              <w:t xml:space="preserve">Mutual TLS, zero trust (Ch 10)</w:t>
            </w:r>
          </w:p>
        </w:tc>
      </w:tr>
      <w:tr>
        <w:tc>
          <w:tcPr/>
          <w:p>
            <w:pPr>
              <w:pStyle w:val="Compact"/>
              <w:jc w:val="left"/>
            </w:pPr>
            <w:r>
              <w:t xml:space="preserve">5</w:t>
            </w:r>
          </w:p>
        </w:tc>
        <w:tc>
          <w:tcPr/>
          <w:p>
            <w:pPr>
              <w:pStyle w:val="Compact"/>
              <w:jc w:val="left"/>
            </w:pPr>
            <w:r>
              <w:t xml:space="preserve">Topology does not change</w:t>
            </w:r>
          </w:p>
        </w:tc>
        <w:tc>
          <w:tcPr/>
          <w:p>
            <w:pPr>
              <w:pStyle w:val="Compact"/>
              <w:jc w:val="left"/>
            </w:pPr>
            <w:r>
              <w:t xml:space="preserve">Nodes, routes and addresses change continuously</w:t>
            </w:r>
          </w:p>
        </w:tc>
        <w:tc>
          <w:tcPr/>
          <w:p>
            <w:pPr>
              <w:pStyle w:val="Compact"/>
              <w:jc w:val="left"/>
            </w:pPr>
            <w:r>
              <w:t xml:space="preserve">A client caches a server IP; the node is replaced; requests fail until restart</w:t>
            </w:r>
          </w:p>
        </w:tc>
        <w:tc>
          <w:tcPr/>
          <w:p>
            <w:pPr>
              <w:pStyle w:val="Compact"/>
              <w:jc w:val="left"/>
            </w:pPr>
            <w:r>
              <w:t xml:space="preserve">Service discovery, short DNS TTLs, re-resolution (§7.6)</w:t>
            </w:r>
          </w:p>
        </w:tc>
      </w:tr>
      <w:tr>
        <w:tc>
          <w:tcPr/>
          <w:p>
            <w:pPr>
              <w:pStyle w:val="Compact"/>
              <w:jc w:val="left"/>
            </w:pPr>
            <w:r>
              <w:t xml:space="preserve">6</w:t>
            </w:r>
          </w:p>
        </w:tc>
        <w:tc>
          <w:tcPr/>
          <w:p>
            <w:pPr>
              <w:pStyle w:val="Compact"/>
              <w:jc w:val="left"/>
            </w:pPr>
            <w:r>
              <w:t xml:space="preserve">There is one administrator</w:t>
            </w:r>
          </w:p>
        </w:tc>
        <w:tc>
          <w:tcPr/>
          <w:p>
            <w:pPr>
              <w:pStyle w:val="Compact"/>
              <w:jc w:val="left"/>
            </w:pPr>
            <w:r>
              <w:t xml:space="preserve">Many teams and providers control parts of the path</w:t>
            </w:r>
          </w:p>
        </w:tc>
        <w:tc>
          <w:tcPr/>
          <w:p>
            <w:pPr>
              <w:pStyle w:val="Compact"/>
              <w:jc w:val="left"/>
            </w:pPr>
            <w:r>
              <w:t xml:space="preserve">Another team changes a firewall rule or lets a certificate expire, and your service breaks</w:t>
            </w:r>
          </w:p>
        </w:tc>
        <w:tc>
          <w:tcPr/>
          <w:p>
            <w:pPr>
              <w:pStyle w:val="Compact"/>
              <w:jc w:val="left"/>
            </w:pPr>
            <w:r>
              <w:t xml:space="preserve">Explicit dependency contracts, certificate automation, change visibility</w:t>
            </w:r>
          </w:p>
        </w:tc>
      </w:tr>
      <w:tr>
        <w:tc>
          <w:tcPr/>
          <w:p>
            <w:pPr>
              <w:pStyle w:val="Compact"/>
              <w:jc w:val="left"/>
            </w:pPr>
            <w:r>
              <w:t xml:space="preserve">7</w:t>
            </w:r>
          </w:p>
        </w:tc>
        <w:tc>
          <w:tcPr/>
          <w:p>
            <w:pPr>
              <w:pStyle w:val="Compact"/>
              <w:jc w:val="left"/>
            </w:pPr>
            <w:r>
              <w:t xml:space="preserve">Transport cost is zero</w:t>
            </w:r>
          </w:p>
        </w:tc>
        <w:tc>
          <w:tcPr/>
          <w:p>
            <w:pPr>
              <w:pStyle w:val="Compact"/>
              <w:jc w:val="left"/>
            </w:pPr>
            <w:r>
              <w:t xml:space="preserve">Serialization costs CPU; providers charge for data transfer</w:t>
            </w:r>
          </w:p>
        </w:tc>
        <w:tc>
          <w:tcPr/>
          <w:p>
            <w:pPr>
              <w:pStyle w:val="Compact"/>
              <w:jc w:val="left"/>
            </w:pPr>
            <w:r>
              <w:t xml:space="preserve">Cross-zone chatter appears as a large line item on the cloud bill</w:t>
            </w:r>
          </w:p>
        </w:tc>
        <w:tc>
          <w:tcPr/>
          <w:p>
            <w:pPr>
              <w:pStyle w:val="Compact"/>
              <w:jc w:val="left"/>
            </w:pPr>
            <w:r>
              <w:t xml:space="preserve">Measure bytes per request, keep traffic zone-local where safe</w:t>
            </w:r>
          </w:p>
        </w:tc>
      </w:tr>
      <w:tr>
        <w:tc>
          <w:tcPr/>
          <w:p>
            <w:pPr>
              <w:pStyle w:val="Compact"/>
              <w:jc w:val="left"/>
            </w:pPr>
            <w:r>
              <w:t xml:space="preserve">8</w:t>
            </w:r>
          </w:p>
        </w:tc>
        <w:tc>
          <w:tcPr/>
          <w:p>
            <w:pPr>
              <w:pStyle w:val="Compact"/>
              <w:jc w:val="left"/>
            </w:pPr>
            <w:r>
              <w:t xml:space="preserve">The network is homogeneous</w:t>
            </w:r>
          </w:p>
        </w:tc>
        <w:tc>
          <w:tcPr/>
          <w:p>
            <w:pPr>
              <w:pStyle w:val="Compact"/>
              <w:jc w:val="left"/>
            </w:pPr>
            <w:r>
              <w:t xml:space="preserve">Mixed hardware, OS, protocol and software versions</w:t>
            </w:r>
          </w:p>
        </w:tc>
        <w:tc>
          <w:tcPr/>
          <w:p>
            <w:pPr>
              <w:pStyle w:val="Compact"/>
              <w:jc w:val="left"/>
            </w:pPr>
            <w:r>
              <w:t xml:space="preserve">During a rolling upgrade, v1 nodes cannot parse v2 messages and requests fail</w:t>
            </w:r>
          </w:p>
        </w:tc>
        <w:tc>
          <w:tcPr/>
          <w:p>
            <w:pPr>
              <w:pStyle w:val="Compact"/>
              <w:jc w:val="left"/>
            </w:pPr>
            <w:r>
              <w:t xml:space="preserve">Versioned, backward- and forward-compatible encodings</w:t>
            </w:r>
          </w:p>
        </w:tc>
      </w:tr>
    </w:tbl>
    <w:p>
      <w:pPr>
        <w:pStyle w:val="BodyText"/>
      </w:pPr>
      <w:r>
        <w:t xml:space="preserve">The arithmetic behind three rows: 100 calls × 0.5 ms = 50 ms, but × 70 ms = 7 s;</w:t>
      </w:r>
      <w:r>
        <w:t xml:space="preserve"> </w:t>
      </w:r>
      <m:oMath>
        <m:r>
          <m:t>10</m:t>
        </m:r>
        <m:r>
          <m:rPr>
            <m:sty m:val="p"/>
          </m:rPr>
          <m:t>×</m:t>
        </m:r>
        <m:sSup>
          <m:e>
            <m:r>
              <m:t>10</m:t>
            </m:r>
          </m:e>
          <m:sup>
            <m:r>
              <m:t>12</m:t>
            </m:r>
          </m:sup>
        </m:sSup>
        <m:r>
          <m:rPr>
            <m:sty m:val="p"/>
          </m:rPr>
          <m:t>×</m:t>
        </m:r>
        <m:r>
          <m:t>8</m:t>
        </m:r>
        <m:r>
          <m:rPr>
            <m:sty m:val="p"/>
          </m:rPr>
          <m:t>/</m:t>
        </m:r>
        <m:sSup>
          <m:e>
            <m:r>
              <m:t>10</m:t>
            </m:r>
          </m:e>
          <m:sup>
            <m:r>
              <m:t>9</m:t>
            </m:r>
          </m:sup>
        </m:sSup>
        <m:r>
          <m:rPr>
            <m:sty m:val="p"/>
          </m:rPr>
          <m:t>=</m:t>
        </m:r>
        <m:r>
          <m:t>80</m:t>
        </m:r>
        <m:r>
          <m:rPr>
            <m:sty m:val="p"/>
          </m:rPr>
          <m:t>,</m:t>
        </m:r>
        <m:r>
          <m:t>000</m:t>
        </m:r>
      </m:oMath>
      <w:r>
        <w:t xml:space="preserve"> </w:t>
      </w:r>
      <w:r>
        <w:t xml:space="preserve">s ≈ 22 h to copy 10 TB at 1 Gbps (which is why recovery spreads a node’s data over many peers, §27.12); and at an</w:t>
      </w:r>
      <w:r>
        <w:t xml:space="preserve"> </w:t>
      </w:r>
      <w:r>
        <w:rPr>
          <w:iCs/>
          <w:i/>
        </w:rPr>
        <w:t xml:space="preserve">illustrative</w:t>
      </w:r>
      <w:r>
        <w:t xml:space="preserve"> </w:t>
      </w:r>
      <w:r>
        <w:t xml:space="preserve">$0.01/GB, 100 MB/s of cross-zone traffic is 8,640 GB/day, about $86 per day.</w:t>
      </w:r>
    </w:p>
    <w:p>
      <w:pPr>
        <w:pStyle w:val="CalloutIndustry"/>
      </w:pPr>
      <w:r>
        <w:rPr>
          <w:bCs/>
          <w:b/>
        </w:rPr>
        <w:t xml:space="preserve">INDUSTRY EXAMPLE</w:t>
      </w:r>
    </w:p>
    <w:p>
      <w:pPr>
        <w:pStyle w:val="CalloutIndustry"/>
      </w:pPr>
      <w:r>
        <w:rPr>
          <w:bCs/>
          <w:b/>
        </w:rPr>
        <w:t xml:space="preserve">AWS US-East, April 2011 — a topology change becomes an outage.</w:t>
      </w:r>
      <w:r>
        <w:t xml:space="preserve"> </w:t>
      </w:r>
      <w:r>
        <w:t xml:space="preserve">During a network upgrade in one Availability Zone, traffic was shifted onto a lower-capacity network. Elastic Block Store (EBS) nodes lost contact with their replicas and all began re-mirroring at once; the storm exhausted capacity and degraded EBS and dependent services for days. Fallacies 1, 3 and 5 combined: a topology change made the network unreliable, and recovery traffic assumed plentiful bandwidth.</w:t>
      </w:r>
      <w:r>
        <w:t xml:space="preserve"> </w:t>
      </w:r>
      <w:r>
        <w:rPr>
          <w:iCs/>
          <w:i/>
        </w:rPr>
        <w:t xml:space="preserve">Evidence: Primary</w:t>
      </w:r>
      <w:r>
        <w:t xml:space="preserve"> </w:t>
      </w:r>
      <w:r>
        <w:t xml:space="preserve">— [AWS 2011]</w:t>
      </w:r>
    </w:p>
    <w:p>
      <w:pPr>
        <w:pStyle w:val="CalloutMistake"/>
      </w:pPr>
      <w:r>
        <w:rPr>
          <w:bCs/>
          <w:b/>
        </w:rPr>
        <w:t xml:space="preserve">COMMON MISTAKE</w:t>
      </w:r>
    </w:p>
    <w:p>
      <w:pPr>
        <w:pStyle w:val="CalloutMistake"/>
      </w:pPr>
      <w:r>
        <w:rPr>
          <w:bCs/>
          <w:b/>
        </w:rPr>
        <w:t xml:space="preserve">Mistake —</w:t>
      </w:r>
      <w:r>
        <w:rPr>
          <w:bCs/>
          <w:b/>
        </w:rPr>
        <w:t xml:space="preserve"> </w:t>
      </w:r>
      <w:r>
        <w:rPr>
          <w:bCs/>
          <w:b/>
        </w:rPr>
        <w:t xml:space="preserve">“</w:t>
      </w:r>
      <w:r>
        <w:rPr>
          <w:bCs/>
          <w:b/>
        </w:rPr>
        <w:t xml:space="preserve">A remote procedure call is just a function call.</w:t>
      </w:r>
      <w:r>
        <w:rPr>
          <w:bCs/>
          <w:b/>
        </w:rPr>
        <w:t xml:space="preserve">”</w:t>
      </w:r>
      <w:r>
        <w:t xml:space="preserve"> </w:t>
      </w:r>
      <w:r>
        <w:t xml:space="preserve">A remote call can time out with an</w:t>
      </w:r>
      <w:r>
        <w:t xml:space="preserve"> </w:t>
      </w:r>
      <w:r>
        <w:rPr>
          <w:iCs/>
          <w:i/>
        </w:rPr>
        <w:t xml:space="preserve">unknown</w:t>
      </w:r>
      <w:r>
        <w:t xml:space="preserve"> </w:t>
      </w:r>
      <w:r>
        <w:t xml:space="preserve">outcome, take a million times longer, and run twice. Good RPC frameworks expose deadlines and status codes (§8.8, §22.11).</w:t>
      </w:r>
    </w:p>
    <w:bookmarkEnd w:id="2673"/>
    <w:bookmarkEnd w:id="2674"/>
    <w:bookmarkStart w:id="2682" w:name="system-models-timing-and-failures"/>
    <w:p>
      <w:pPr>
        <w:pStyle w:val="Heading2"/>
      </w:pPr>
      <w:r>
        <w:t xml:space="preserve">24.6 System models: timing and failures</w:t>
      </w:r>
    </w:p>
    <w:bookmarkStart w:id="2675" w:name="why-a-protocol-needs-a-system-model"/>
    <w:p>
      <w:pPr>
        <w:pStyle w:val="Heading3"/>
      </w:pPr>
      <w:r>
        <w:t xml:space="preserve">24.6.1 Why a protocol needs a system model</w:t>
      </w:r>
    </w:p>
    <w:p>
      <w:pPr>
        <w:pStyle w:val="FirstParagraph"/>
      </w:pPr>
      <w:r>
        <w:t xml:space="preserve">A protocol is correct only</w:t>
      </w:r>
      <w:r>
        <w:t xml:space="preserve"> </w:t>
      </w:r>
      <w:r>
        <w:rPr>
          <w:iCs/>
          <w:i/>
        </w:rPr>
        <w:t xml:space="preserve">relative to its assumptions</w:t>
      </w:r>
      <w:r>
        <w:t xml:space="preserve">: Raft (§26.7) tolerates nodes that crash but not nodes that lie, and a clock-based lease (§26.11) is safe only if drift is bounded.</w:t>
      </w:r>
    </w:p>
    <w:p>
      <w:pPr>
        <w:pStyle w:val="CalloutDefinition"/>
      </w:pPr>
      <w:r>
        <w:rPr>
          <w:bCs/>
          <w:b/>
        </w:rPr>
        <w:t xml:space="preserve">DEFINITION</w:t>
      </w:r>
    </w:p>
    <w:p>
      <w:pPr>
        <w:pStyle w:val="CalloutDefinition"/>
      </w:pPr>
      <w:r>
        <w:rPr>
          <w:bCs/>
          <w:b/>
        </w:rPr>
        <w:t xml:space="preserve">Definition — System model.</w:t>
      </w:r>
      <w:r>
        <w:t xml:space="preserve"> </w:t>
      </w:r>
      <w:r>
        <w:t xml:space="preserve">A precise statement of what a distributed algorithm may assume about (1)</w:t>
      </w:r>
      <w:r>
        <w:t xml:space="preserve"> </w:t>
      </w:r>
      <w:r>
        <w:rPr>
          <w:bCs/>
          <w:b/>
        </w:rPr>
        <w:t xml:space="preserve">timing</w:t>
      </w:r>
      <w:r>
        <w:t xml:space="preserve">: bounds on message delay, processing speed and clock drift, and (2)</w:t>
      </w:r>
      <w:r>
        <w:t xml:space="preserve"> </w:t>
      </w:r>
      <w:r>
        <w:rPr>
          <w:bCs/>
          <w:b/>
        </w:rPr>
        <w:t xml:space="preserve">faults</w:t>
      </w:r>
      <w:r>
        <w:t xml:space="preserve">: how nodes and links may misbehave. Proofs of correctness hold only within the stated model.</w:t>
      </w:r>
    </w:p>
    <w:p>
      <w:pPr>
        <w:pStyle w:val="BodyText"/>
      </w:pPr>
      <w:r>
        <w:t xml:space="preserve">Like a chess strategy proven under standard rules, a protocol proven for crash-stop nodes says nothing about a node that returns garbage from a corrupted disk.</w:t>
      </w:r>
    </w:p>
    <w:bookmarkEnd w:id="2675"/>
    <w:bookmarkStart w:id="2676" w:name="timing-models"/>
    <w:p>
      <w:pPr>
        <w:pStyle w:val="Heading3"/>
      </w:pPr>
      <w:r>
        <w:t xml:space="preserve">24.6.2 Timing models</w:t>
      </w:r>
    </w:p>
    <w:p>
      <w:pPr>
        <w:pStyle w:val="FirstParagraph"/>
      </w:pPr>
      <w:r>
        <w:rPr>
          <w:bCs/>
          <w:b/>
        </w:rPr>
        <w:t xml:space="preserve">Table 24.3 — Timing models.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Model</w:t>
            </w:r>
          </w:p>
        </w:tc>
        <w:tc>
          <w:tcPr/>
          <w:p>
            <w:pPr>
              <w:pStyle w:val="Compact"/>
              <w:jc w:val="left"/>
            </w:pPr>
            <w:r>
              <w:t xml:space="preserve">What is assumed</w:t>
            </w:r>
          </w:p>
        </w:tc>
        <w:tc>
          <w:tcPr/>
          <w:p>
            <w:pPr>
              <w:pStyle w:val="Compact"/>
              <w:jc w:val="left"/>
            </w:pPr>
            <w:r>
              <w:t xml:space="preserve">Strength of the assumption</w:t>
            </w:r>
          </w:p>
        </w:tc>
        <w:tc>
          <w:tcPr/>
          <w:p>
            <w:pPr>
              <w:pStyle w:val="Compact"/>
              <w:jc w:val="left"/>
            </w:pPr>
            <w:r>
              <w:t xml:space="preserve">What it allows</w:t>
            </w:r>
          </w:p>
        </w:tc>
        <w:tc>
          <w:tcPr/>
          <w:p>
            <w:pPr>
              <w:pStyle w:val="Compact"/>
              <w:jc w:val="left"/>
            </w:pPr>
            <w:r>
              <w:t xml:space="preserve">Realistic?</w:t>
            </w:r>
          </w:p>
        </w:tc>
      </w:tr>
      <w:tr>
        <w:tc>
          <w:tcPr/>
          <w:p>
            <w:pPr>
              <w:pStyle w:val="Compact"/>
              <w:jc w:val="left"/>
            </w:pPr>
            <w:r>
              <w:t xml:space="preserve">Synchronous</w:t>
            </w:r>
          </w:p>
        </w:tc>
        <w:tc>
          <w:tcPr/>
          <w:p>
            <w:pPr>
              <w:pStyle w:val="Compact"/>
              <w:jc w:val="left"/>
            </w:pPr>
            <w:r>
              <w:t xml:space="preserve">Known upper bounds on message delay, processing time and clock drift</w:t>
            </w:r>
          </w:p>
        </w:tc>
        <w:tc>
          <w:tcPr/>
          <w:p>
            <w:pPr>
              <w:pStyle w:val="Compact"/>
              <w:jc w:val="left"/>
            </w:pPr>
            <w:r>
              <w:t xml:space="preserve">Strongest</w:t>
            </w:r>
          </w:p>
        </w:tc>
        <w:tc>
          <w:tcPr/>
          <w:p>
            <w:pPr>
              <w:pStyle w:val="Compact"/>
              <w:jc w:val="left"/>
            </w:pPr>
            <w:r>
              <w:t xml:space="preserve">Perfect failure detection by timeout; consensus despite failures, even Byzantine with enough nodes</w:t>
            </w:r>
          </w:p>
        </w:tc>
        <w:tc>
          <w:tcPr/>
          <w:p>
            <w:pPr>
              <w:pStyle w:val="Compact"/>
              <w:jc w:val="left"/>
            </w:pPr>
            <w:r>
              <w:t xml:space="preserve">Only in special hardware (avionics buses); not in commodity networks</w:t>
            </w:r>
          </w:p>
        </w:tc>
      </w:tr>
      <w:tr>
        <w:tc>
          <w:tcPr/>
          <w:p>
            <w:pPr>
              <w:pStyle w:val="Compact"/>
              <w:jc w:val="left"/>
            </w:pPr>
            <w:r>
              <w:t xml:space="preserve">Partially synchronous</w:t>
            </w:r>
          </w:p>
        </w:tc>
        <w:tc>
          <w:tcPr/>
          <w:p>
            <w:pPr>
              <w:pStyle w:val="Compact"/>
              <w:jc w:val="left"/>
            </w:pPr>
            <w:r>
              <w:t xml:space="preserve">Bounds exist but are unknown, or known bounds hold only after an unknown</w:t>
            </w:r>
            <w:r>
              <w:t xml:space="preserve"> </w:t>
            </w:r>
            <w:r>
              <w:rPr>
                <w:bCs/>
                <w:b/>
              </w:rPr>
              <w:t xml:space="preserve">global stabilization time</w:t>
            </w:r>
            <w:r>
              <w:t xml:space="preserve"> </w:t>
            </w:r>
            <w:r>
              <w:t xml:space="preserve">(GST)</w:t>
            </w:r>
          </w:p>
        </w:tc>
        <w:tc>
          <w:tcPr/>
          <w:p>
            <w:pPr>
              <w:pStyle w:val="Compact"/>
              <w:jc w:val="left"/>
            </w:pPr>
            <w:r>
              <w:t xml:space="preserve">Middle</w:t>
            </w:r>
          </w:p>
        </w:tc>
        <w:tc>
          <w:tcPr/>
          <w:p>
            <w:pPr>
              <w:pStyle w:val="Compact"/>
              <w:jc w:val="left"/>
            </w:pPr>
            <w:r>
              <w:t xml:space="preserve">Consensus that is always safe and terminates once the system behaves</w:t>
            </w:r>
          </w:p>
        </w:tc>
        <w:tc>
          <w:tcPr/>
          <w:p>
            <w:pPr>
              <w:pStyle w:val="Compact"/>
              <w:jc w:val="left"/>
            </w:pPr>
            <w:r>
              <w:t xml:space="preserve">Yes: the model behind Paxos, Raft and most production systems</w:t>
            </w:r>
          </w:p>
        </w:tc>
      </w:tr>
      <w:tr>
        <w:tc>
          <w:tcPr/>
          <w:p>
            <w:pPr>
              <w:pStyle w:val="Compact"/>
              <w:jc w:val="left"/>
            </w:pPr>
            <w:r>
              <w:t xml:space="preserve">Asynchronous</w:t>
            </w:r>
          </w:p>
        </w:tc>
        <w:tc>
          <w:tcPr/>
          <w:p>
            <w:pPr>
              <w:pStyle w:val="Compact"/>
              <w:jc w:val="left"/>
            </w:pPr>
            <w:r>
              <w:t xml:space="preserve">No timing bounds at all; messages are eventually delivered</w:t>
            </w:r>
          </w:p>
        </w:tc>
        <w:tc>
          <w:tcPr/>
          <w:p>
            <w:pPr>
              <w:pStyle w:val="Compact"/>
              <w:jc w:val="left"/>
            </w:pPr>
            <w:r>
              <w:t xml:space="preserve">Weakest</w:t>
            </w:r>
          </w:p>
        </w:tc>
        <w:tc>
          <w:tcPr/>
          <w:p>
            <w:pPr>
              <w:pStyle w:val="Compact"/>
              <w:jc w:val="left"/>
            </w:pPr>
            <w:r>
              <w:t xml:space="preserve">Safety-only reasoning; deterministic consensus impossible with one crash (§24.13)</w:t>
            </w:r>
          </w:p>
        </w:tc>
        <w:tc>
          <w:tcPr/>
          <w:p>
            <w:pPr>
              <w:pStyle w:val="Compact"/>
              <w:jc w:val="left"/>
            </w:pPr>
            <w:r>
              <w:t xml:space="preserve">Safe to assume, but too weak to build consensus on alone</w:t>
            </w:r>
          </w:p>
        </w:tc>
      </w:tr>
    </w:tbl>
    <w:p>
      <w:pPr>
        <w:pStyle w:val="BodyText"/>
      </w:pPr>
      <w:r>
        <w:t xml:space="preserve">The</w:t>
      </w:r>
      <w:r>
        <w:t xml:space="preserve"> </w:t>
      </w:r>
      <w:r>
        <w:rPr>
          <w:bCs/>
          <w:b/>
        </w:rPr>
        <w:t xml:space="preserve">partially synchronous</w:t>
      </w:r>
      <w:r>
        <w:t xml:space="preserve"> </w:t>
      </w:r>
      <w:r>
        <w:t xml:space="preserve">model of Dwork, Lynch and Stockmeyer [Dwork et al. 1988] fits real datacenters: usually timely, occasionally not (pauses, congestion, partitions) for an unknown time. A protocol for it must never violate</w:t>
      </w:r>
      <w:r>
        <w:t xml:space="preserve"> </w:t>
      </w:r>
      <w:r>
        <w:rPr>
          <w:bCs/>
          <w:b/>
        </w:rPr>
        <w:t xml:space="preserve">safety</w:t>
      </w:r>
      <w:r>
        <w:t xml:space="preserve"> </w:t>
      </w:r>
      <w:r>
        <w:t xml:space="preserve">(nothing bad happens) in bad periods and must make progress (</w:t>
      </w:r>
      <w:r>
        <w:rPr>
          <w:bCs/>
          <w:b/>
        </w:rPr>
        <w:t xml:space="preserve">liveness</w:t>
      </w:r>
      <w:r>
        <w:t xml:space="preserve">) once a good period lasts long enough.</w:t>
      </w:r>
    </w:p>
    <w:bookmarkEnd w:id="2676"/>
    <w:bookmarkStart w:id="2681" w:name="failure-models"/>
    <w:p>
      <w:pPr>
        <w:pStyle w:val="Heading3"/>
      </w:pPr>
      <w:r>
        <w:t xml:space="preserve">24.6.3 Failure models</w:t>
      </w:r>
    </w:p>
    <w:p>
      <w:pPr>
        <w:pStyle w:val="FirstParagraph"/>
      </w:pPr>
      <w:r>
        <w:rPr>
          <w:bCs/>
          <w:b/>
        </w:rPr>
        <w:t xml:space="preserve">Table 24.4 — Failure models, from most benign to most severe.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Model</w:t>
            </w:r>
          </w:p>
        </w:tc>
        <w:tc>
          <w:tcPr/>
          <w:p>
            <w:pPr>
              <w:pStyle w:val="Compact"/>
              <w:jc w:val="left"/>
            </w:pPr>
            <w:r>
              <w:t xml:space="preserve">What a faulty node may do</w:t>
            </w:r>
          </w:p>
        </w:tc>
        <w:tc>
          <w:tcPr/>
          <w:p>
            <w:pPr>
              <w:pStyle w:val="Compact"/>
              <w:jc w:val="left"/>
            </w:pPr>
            <w:r>
              <w:t xml:space="preserve">Real-world example</w:t>
            </w:r>
          </w:p>
        </w:tc>
        <w:tc>
          <w:tcPr/>
          <w:p>
            <w:pPr>
              <w:pStyle w:val="Compact"/>
              <w:jc w:val="left"/>
            </w:pPr>
            <w:r>
              <w:t xml:space="preserve">Detectable by others?</w:t>
            </w:r>
          </w:p>
        </w:tc>
        <w:tc>
          <w:tcPr/>
          <w:p>
            <w:pPr>
              <w:pStyle w:val="Compact"/>
              <w:jc w:val="left"/>
            </w:pPr>
            <w:r>
              <w:t xml:space="preserve">Nodes needed to tolerate</w:t>
            </w:r>
            <w:r>
              <w:t xml:space="preserve"> </w:t>
            </w:r>
            <m:oMath>
              <m:r>
                <m:t>f</m:t>
              </m:r>
            </m:oMath>
            <w:r>
              <w:t xml:space="preserve"> </w:t>
            </w:r>
            <w:r>
              <w:t xml:space="preserve">faults in consensus</w:t>
            </w:r>
          </w:p>
        </w:tc>
        <w:tc>
          <w:tcPr/>
          <w:p>
            <w:pPr>
              <w:pStyle w:val="Compact"/>
              <w:jc w:val="left"/>
            </w:pPr>
            <w:r>
              <w:t xml:space="preserve">Typical systems</w:t>
            </w:r>
          </w:p>
        </w:tc>
      </w:tr>
      <w:tr>
        <w:tc>
          <w:tcPr/>
          <w:p>
            <w:pPr>
              <w:pStyle w:val="Compact"/>
              <w:jc w:val="left"/>
            </w:pPr>
            <w:r>
              <w:t xml:space="preserve">Crash-stop</w:t>
            </w:r>
          </w:p>
        </w:tc>
        <w:tc>
          <w:tcPr/>
          <w:p>
            <w:pPr>
              <w:pStyle w:val="Compact"/>
              <w:jc w:val="left"/>
            </w:pPr>
            <w:r>
              <w:t xml:space="preserve">Stops forever; until then behaves correctly</w:t>
            </w:r>
          </w:p>
        </w:tc>
        <w:tc>
          <w:tcPr/>
          <w:p>
            <w:pPr>
              <w:pStyle w:val="Compact"/>
              <w:jc w:val="left"/>
            </w:pPr>
            <w:r>
              <w:t xml:space="preserve">Hardware dies; VM terminated</w:t>
            </w:r>
          </w:p>
        </w:tc>
        <w:tc>
          <w:tcPr/>
          <w:p>
            <w:pPr>
              <w:pStyle w:val="Compact"/>
              <w:jc w:val="left"/>
            </w:pPr>
            <w:r>
              <w:t xml:space="preserve">Only by timeout (no certainty in async)</w:t>
            </w:r>
          </w:p>
        </w:tc>
        <w:tc>
          <w:tcPr/>
          <w:p>
            <w:pPr>
              <w:pStyle w:val="Compact"/>
              <w:jc w:val="left"/>
            </w:pPr>
            <m:oMath>
              <m:r>
                <m:t>2</m:t>
              </m:r>
              <m:r>
                <m:t>f</m:t>
              </m:r>
              <m:r>
                <m:rPr>
                  <m:sty m:val="p"/>
                </m:rPr>
                <m:t>+</m:t>
              </m:r>
              <m:r>
                <m:t>1</m:t>
              </m:r>
            </m:oMath>
          </w:p>
        </w:tc>
        <w:tc>
          <w:tcPr/>
          <w:p>
            <w:pPr>
              <w:pStyle w:val="Compact"/>
              <w:jc w:val="left"/>
            </w:pPr>
            <w:r>
              <w:t xml:space="preserve">Textbook protocols; Paxos variants</w:t>
            </w:r>
          </w:p>
        </w:tc>
      </w:tr>
      <w:tr>
        <w:tc>
          <w:tcPr/>
          <w:p>
            <w:pPr>
              <w:pStyle w:val="Compact"/>
              <w:jc w:val="left"/>
            </w:pPr>
            <w:r>
              <w:t xml:space="preserve">Crash-recovery</w:t>
            </w:r>
          </w:p>
        </w:tc>
        <w:tc>
          <w:tcPr/>
          <w:p>
            <w:pPr>
              <w:pStyle w:val="Compact"/>
              <w:jc w:val="left"/>
            </w:pPr>
            <w:r>
              <w:t xml:space="preserve">Crashes, later restarts; keeps only what it wrote to stable storage</w:t>
            </w:r>
          </w:p>
        </w:tc>
        <w:tc>
          <w:tcPr/>
          <w:p>
            <w:pPr>
              <w:pStyle w:val="Compact"/>
              <w:jc w:val="left"/>
            </w:pPr>
            <w:r>
              <w:t xml:space="preserve">Process restart after an OOM kill; power cycle</w:t>
            </w:r>
          </w:p>
        </w:tc>
        <w:tc>
          <w:tcPr/>
          <w:p>
            <w:pPr>
              <w:pStyle w:val="Compact"/>
              <w:jc w:val="left"/>
            </w:pPr>
            <w:r>
              <w:t xml:space="preserve">Only by timeout</w:t>
            </w:r>
          </w:p>
        </w:tc>
        <w:tc>
          <w:tcPr/>
          <w:p>
            <w:pPr>
              <w:pStyle w:val="Compact"/>
              <w:jc w:val="left"/>
            </w:pPr>
            <m:oMath>
              <m:r>
                <m:t>2</m:t>
              </m:r>
              <m:r>
                <m:t>f</m:t>
              </m:r>
              <m:r>
                <m:rPr>
                  <m:sty m:val="p"/>
                </m:rPr>
                <m:t>+</m:t>
              </m:r>
              <m:r>
                <m:t>1</m:t>
              </m:r>
            </m:oMath>
            <w:r>
              <w:t xml:space="preserve">, with durable logs</w:t>
            </w:r>
          </w:p>
        </w:tc>
        <w:tc>
          <w:tcPr/>
          <w:p>
            <w:pPr>
              <w:pStyle w:val="Compact"/>
              <w:jc w:val="left"/>
            </w:pPr>
            <w:r>
              <w:t xml:space="preserve">Raft, ZooKeeper, most databases</w:t>
            </w:r>
          </w:p>
        </w:tc>
      </w:tr>
      <w:tr>
        <w:tc>
          <w:tcPr/>
          <w:p>
            <w:pPr>
              <w:pStyle w:val="Compact"/>
              <w:jc w:val="left"/>
            </w:pPr>
            <w:r>
              <w:t xml:space="preserve">Omission</w:t>
            </w:r>
          </w:p>
        </w:tc>
        <w:tc>
          <w:tcPr/>
          <w:p>
            <w:pPr>
              <w:pStyle w:val="Compact"/>
              <w:jc w:val="left"/>
            </w:pPr>
            <w:r>
              <w:t xml:space="preserve">Fails to send or receive some messages, otherwise correct</w:t>
            </w:r>
          </w:p>
        </w:tc>
        <w:tc>
          <w:tcPr/>
          <w:p>
            <w:pPr>
              <w:pStyle w:val="Compact"/>
              <w:jc w:val="left"/>
            </w:pPr>
            <w:r>
              <w:t xml:space="preserve">Full NIC buffer; overloaded switch dropping packets</w:t>
            </w:r>
          </w:p>
        </w:tc>
        <w:tc>
          <w:tcPr/>
          <w:p>
            <w:pPr>
              <w:pStyle w:val="Compact"/>
              <w:jc w:val="left"/>
            </w:pPr>
            <w:r>
              <w:t xml:space="preserve">Only by timeout</w:t>
            </w:r>
          </w:p>
        </w:tc>
        <w:tc>
          <w:tcPr/>
          <w:p>
            <w:pPr>
              <w:pStyle w:val="Compact"/>
              <w:jc w:val="left"/>
            </w:pPr>
            <m:oMath>
              <m:r>
                <m:t>2</m:t>
              </m:r>
              <m:r>
                <m:t>f</m:t>
              </m:r>
              <m:r>
                <m:rPr>
                  <m:sty m:val="p"/>
                </m:rPr>
                <m:t>+</m:t>
              </m:r>
              <m:r>
                <m:t>1</m:t>
              </m:r>
            </m:oMath>
          </w:p>
        </w:tc>
        <w:tc>
          <w:tcPr/>
          <w:p>
            <w:pPr>
              <w:pStyle w:val="Compact"/>
              <w:jc w:val="left"/>
            </w:pPr>
            <w:r>
              <w:t xml:space="preserve">Covered by retransmission and quorums</w:t>
            </w:r>
          </w:p>
        </w:tc>
      </w:tr>
      <w:tr>
        <w:tc>
          <w:tcPr/>
          <w:p>
            <w:pPr>
              <w:pStyle w:val="Compact"/>
              <w:jc w:val="left"/>
            </w:pPr>
            <w:r>
              <w:t xml:space="preserve">Timing (performance)</w:t>
            </w:r>
          </w:p>
        </w:tc>
        <w:tc>
          <w:tcPr/>
          <w:p>
            <w:pPr>
              <w:pStyle w:val="Compact"/>
              <w:jc w:val="left"/>
            </w:pPr>
            <w:r>
              <w:t xml:space="preserve">Responds correctly but outside the assumed time bound</w:t>
            </w:r>
          </w:p>
        </w:tc>
        <w:tc>
          <w:tcPr/>
          <w:p>
            <w:pPr>
              <w:pStyle w:val="Compact"/>
              <w:jc w:val="left"/>
            </w:pPr>
            <w:r>
              <w:t xml:space="preserve">30 s garbage-collection pause; fail-slow disk</w:t>
            </w:r>
          </w:p>
        </w:tc>
        <w:tc>
          <w:tcPr/>
          <w:p>
            <w:pPr>
              <w:pStyle w:val="Compact"/>
              <w:jc w:val="left"/>
            </w:pPr>
            <w:r>
              <w:t xml:space="preserve">Only relative to a bound</w:t>
            </w:r>
          </w:p>
        </w:tc>
        <w:tc>
          <w:tcPr/>
          <w:p>
            <w:pPr>
              <w:pStyle w:val="Compact"/>
              <w:jc w:val="left"/>
            </w:pPr>
            <w:r>
              <w:t xml:space="preserve">Depends on the timing model</w:t>
            </w:r>
          </w:p>
        </w:tc>
        <w:tc>
          <w:tcPr/>
          <w:p>
            <w:pPr>
              <w:pStyle w:val="Compact"/>
              <w:jc w:val="left"/>
            </w:pPr>
            <w:r>
              <w:t xml:space="preserve">Lease-based systems are vulnerable</w:t>
            </w:r>
          </w:p>
        </w:tc>
      </w:tr>
      <w:tr>
        <w:tc>
          <w:tcPr/>
          <w:p>
            <w:pPr>
              <w:pStyle w:val="Compact"/>
              <w:jc w:val="left"/>
            </w:pPr>
            <w:r>
              <w:t xml:space="preserve">Byzantine (arbitrary)</w:t>
            </w:r>
          </w:p>
        </w:tc>
        <w:tc>
          <w:tcPr/>
          <w:p>
            <w:pPr>
              <w:pStyle w:val="Compact"/>
              <w:jc w:val="left"/>
            </w:pPr>
            <w:r>
              <w:t xml:space="preserve">Anything: wrong values, contradictory messages to different peers, forged messages</w:t>
            </w:r>
          </w:p>
        </w:tc>
        <w:tc>
          <w:tcPr/>
          <w:p>
            <w:pPr>
              <w:pStyle w:val="Compact"/>
              <w:jc w:val="left"/>
            </w:pPr>
            <w:r>
              <w:t xml:space="preserve">Memory corruption, software bug, malicious operator</w:t>
            </w:r>
          </w:p>
        </w:tc>
        <w:tc>
          <w:tcPr/>
          <w:p>
            <w:pPr>
              <w:pStyle w:val="Compact"/>
              <w:jc w:val="left"/>
            </w:pPr>
            <w:r>
              <w:t xml:space="preserve">Not in general</w:t>
            </w:r>
          </w:p>
        </w:tc>
        <w:tc>
          <w:tcPr/>
          <w:p>
            <w:pPr>
              <w:pStyle w:val="Compact"/>
              <w:jc w:val="left"/>
            </w:pPr>
            <m:oMath>
              <m:r>
                <m:t>3</m:t>
              </m:r>
              <m:r>
                <m:t>f</m:t>
              </m:r>
              <m:r>
                <m:rPr>
                  <m:sty m:val="p"/>
                </m:rPr>
                <m:t>+</m:t>
              </m:r>
              <m:r>
                <m:t>1</m:t>
              </m:r>
            </m:oMath>
          </w:p>
        </w:tc>
        <w:tc>
          <w:tcPr/>
          <w:p>
            <w:pPr>
              <w:pStyle w:val="Compact"/>
              <w:jc w:val="left"/>
            </w:pPr>
            <w:r>
              <w:t xml:space="preserve">Blockchains, some aerospace and financial systems</w:t>
            </w:r>
          </w:p>
        </w:tc>
      </w:tr>
    </w:tbl>
    <w:p>
      <w:pPr>
        <w:pStyle w:val="BodyText"/>
      </w:pPr>
      <w:r>
        <w:t xml:space="preserve">Clarifications: a</w:t>
      </w:r>
      <w:r>
        <w:t xml:space="preserve"> </w:t>
      </w:r>
      <w:r>
        <w:rPr>
          <w:bCs/>
          <w:b/>
        </w:rPr>
        <w:t xml:space="preserve">fail-stop</w:t>
      </w:r>
      <w:r>
        <w:t xml:space="preserve"> </w:t>
      </w:r>
      <w:r>
        <w:t xml:space="preserve">processor, as defined by Schlichting and Schneider, halts</w:t>
      </w:r>
      <w:r>
        <w:t xml:space="preserve"> </w:t>
      </w:r>
      <w:r>
        <w:rPr>
          <w:iCs/>
          <w:i/>
        </w:rPr>
        <w:t xml:space="preserve">detectably</w:t>
      </w:r>
      <w:r>
        <w:t xml:space="preserve"> </w:t>
      </w:r>
      <w:r>
        <w:t xml:space="preserve">[Schlichting and Schneider 1983]; plain crash-stop does not, which is the realistic case. Under</w:t>
      </w:r>
      <w:r>
        <w:t xml:space="preserve"> </w:t>
      </w:r>
      <w:r>
        <w:rPr>
          <w:bCs/>
          <w:b/>
        </w:rPr>
        <w:t xml:space="preserve">crash-recovery</w:t>
      </w:r>
      <w:r>
        <w:t xml:space="preserve">, anything a node promised (a vote, an acknowledgment) must reach stable storage before the promise is sent, which is why Raft persists its term and vote (§26.7). The classic</w:t>
      </w:r>
      <w:r>
        <w:t xml:space="preserve"> </w:t>
      </w:r>
      <w:r>
        <w:rPr>
          <w:bCs/>
          <w:b/>
        </w:rPr>
        <w:t xml:space="preserve">timing</w:t>
      </w:r>
      <w:r>
        <w:t xml:space="preserve"> </w:t>
      </w:r>
      <w:r>
        <w:t xml:space="preserve">fault is a lease holder that pauses for 30 s and then writes as if it still held the lease; fencing tokens (§26.13) exist for it.</w:t>
      </w:r>
      <w:r>
        <w:t xml:space="preserve"> </w:t>
      </w:r>
      <w:r>
        <w:rPr>
          <w:bCs/>
          <w:b/>
        </w:rPr>
        <w:t xml:space="preserve">Byzantine</w:t>
      </w:r>
      <w:r>
        <w:t xml:space="preserve"> </w:t>
      </w:r>
      <w:r>
        <w:t xml:space="preserve">faults, named in [Lamport et al. 1982], include bit flips and bugs, not just malice. Links have models too:</w:t>
      </w:r>
      <w:r>
        <w:t xml:space="preserve"> </w:t>
      </w:r>
      <w:r>
        <w:rPr>
          <w:bCs/>
          <w:b/>
        </w:rPr>
        <w:t xml:space="preserve">fair-loss</w:t>
      </w:r>
      <w:r>
        <w:t xml:space="preserve">,</w:t>
      </w:r>
      <w:r>
        <w:t xml:space="preserve"> </w:t>
      </w:r>
      <w:r>
        <w:rPr>
          <w:bCs/>
          <w:b/>
        </w:rPr>
        <w:t xml:space="preserve">stubborn</w:t>
      </w:r>
      <w:r>
        <w:t xml:space="preserve"> </w:t>
      </w:r>
      <w:r>
        <w:t xml:space="preserve">(retransmit forever) and</w:t>
      </w:r>
      <w:r>
        <w:t xml:space="preserve"> </w:t>
      </w:r>
      <w:r>
        <w:rPr>
          <w:bCs/>
          <w:b/>
        </w:rPr>
        <w:t xml:space="preserve">perfect</w:t>
      </w:r>
      <w:r>
        <w:t xml:space="preserve"> </w:t>
      </w:r>
      <w:r>
        <w:t xml:space="preserve">(exactly-once delivery, built with acknowledgments and duplicate suppression) [Cachin et al. 2011]; TCP approximates a perfect link only while a connection lasts.</w:t>
      </w:r>
    </w:p>
    <w:p>
      <w:pPr>
        <w:pStyle w:val="BodyText"/>
      </w:pPr>
      <w:r>
        <w:rPr>
          <w:bCs/>
          <w:b/>
        </w:rPr>
        <w:t xml:space="preserve">Figure 24.3 — Failure models nest: each one includes the behaviors of those inside it.</w:t>
      </w:r>
    </w:p>
    <w:p>
      <w:pPr>
        <w:pStyle w:val="BodyText"/>
      </w:pPr>
      <w:r>
        <w:drawing>
          <wp:inline>
            <wp:extent cx="5334000" cy="296333"/>
            <wp:effectExtent b="0" l="0" r="0" t="0"/>
            <wp:docPr descr="" title="" id="2678" name="Picture"/>
            <a:graphic>
              <a:graphicData uri="http://schemas.openxmlformats.org/drawingml/2006/picture">
                <pic:pic>
                  <pic:nvPicPr>
                    <pic:cNvPr descr="/home/user/System-Design/build/.cache/diagrams/106e672f0dc4.png" id="2679" name="Picture"/>
                    <pic:cNvPicPr>
                      <a:picLocks noChangeArrowheads="1" noChangeAspect="1"/>
                    </pic:cNvPicPr>
                  </pic:nvPicPr>
                  <pic:blipFill>
                    <a:blip r:embed="rId2677"/>
                    <a:stretch>
                      <a:fillRect/>
                    </a:stretch>
                  </pic:blipFill>
                  <pic:spPr bwMode="auto">
                    <a:xfrm>
                      <a:off x="0" y="0"/>
                      <a:ext cx="5334000" cy="296333"/>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Each arrow points to a more general model: a crash is a special omission, an omission is an infinitely late message, and everything is a special case of Byzantine. Tolerating a model on the right tolerates all to its left, at higher cost (final box). The hierarchy is conceptual, with no protocols, storage boundaries or sync/async paths; the practical failure point is assuming a model weaker than reality.</w:t>
      </w:r>
    </w:p>
    <w:bookmarkStart w:id="2680" w:name="Xcdcf17c6470811cf5916e13a03197c8d9c121cb"/>
    <w:p>
      <w:pPr>
        <w:pStyle w:val="Heading4"/>
      </w:pPr>
      <w:r>
        <w:t xml:space="preserve">Mathematical foundations: replicas needed per fault model</w:t>
      </w:r>
    </w:p>
    <w:p>
      <w:pPr>
        <w:pStyle w:val="CalloutFormula"/>
      </w:pPr>
      <w:r>
        <w:rPr>
          <w:bCs/>
          <w:b/>
        </w:rPr>
        <w:t xml:space="preserve">FORMULA</w:t>
      </w:r>
    </w:p>
    <w:p>
      <w:pPr>
        <w:pStyle w:val="CalloutFormula"/>
      </w:pPr>
      <w:r>
        <w:rPr>
          <w:bCs/>
          <w:b/>
        </w:rPr>
        <w:t xml:space="preserve">Minimum replicas for consensus in the partially synchronous model</w:t>
      </w:r>
    </w:p>
    <w:p>
      <w:pPr>
        <w:pStyle w:val="CalloutFormula"/>
      </w:pPr>
      <m:oMathPara>
        <m:oMathParaPr>
          <m:jc m:val="center"/>
        </m:oMathParaPr>
        <m:oMath>
          <m:sSub>
            <m:e>
              <m:r>
                <m:t>n</m:t>
              </m:r>
            </m:e>
            <m:sub>
              <m:r>
                <m:rPr>
                  <m:nor/>
                  <m:sty m:val="p"/>
                </m:rPr>
                <m:t>crash</m:t>
              </m:r>
            </m:sub>
          </m:sSub>
          <m:r>
            <m:rPr>
              <m:sty m:val="p"/>
            </m:rPr>
            <m:t>≥</m:t>
          </m:r>
          <m:r>
            <m:t>2</m:t>
          </m:r>
          <m:r>
            <m:t>f</m:t>
          </m:r>
          <m:r>
            <m:rPr>
              <m:sty m:val="p"/>
            </m:rPr>
            <m:t>+</m:t>
          </m:r>
          <m:r>
            <m:t>1</m:t>
          </m:r>
          <m:r>
            <m:t>  </m:t>
          </m:r>
          <m:r>
            <m:t>  </m:t>
          </m:r>
          <m:sSub>
            <m:e>
              <m:r>
                <m:t>n</m:t>
              </m:r>
            </m:e>
            <m:sub>
              <m:r>
                <m:rPr>
                  <m:nor/>
                  <m:sty m:val="p"/>
                </m:rPr>
                <m:t>Byz</m:t>
              </m:r>
            </m:sub>
          </m:sSub>
          <m:r>
            <m:rPr>
              <m:sty m:val="p"/>
            </m:rPr>
            <m:t>≥</m:t>
          </m:r>
          <m:r>
            <m:t>3</m:t>
          </m:r>
          <m:r>
            <m:t>f</m:t>
          </m:r>
          <m:r>
            <m:rPr>
              <m:sty m:val="p"/>
            </m:rPr>
            <m:t>+</m:t>
          </m:r>
          <m:r>
            <m:t>1</m:t>
          </m:r>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f</m:t>
              </m:r>
            </m:oMath>
          </w:p>
        </w:tc>
        <w:tc>
          <w:tcPr/>
          <w:p>
            <w:pPr>
              <w:pStyle w:val="Compact"/>
              <w:jc w:val="left"/>
            </w:pPr>
            <w:r>
              <w:t xml:space="preserve">Maximum number of nodes that may be faulty at once</w:t>
            </w:r>
          </w:p>
        </w:tc>
        <w:tc>
          <w:tcPr/>
          <w:p>
            <w:pPr>
              <w:pStyle w:val="Compact"/>
              <w:jc w:val="left"/>
            </w:pPr>
            <w:r>
              <w:t xml:space="preserve">count</w:t>
            </w:r>
          </w:p>
        </w:tc>
      </w:tr>
      <w:tr>
        <w:tc>
          <w:tcPr/>
          <w:p>
            <w:pPr>
              <w:pStyle w:val="Compact"/>
              <w:jc w:val="left"/>
            </w:pPr>
            <m:oMath>
              <m:sSub>
                <m:e>
                  <m:r>
                    <m:t>n</m:t>
                  </m:r>
                </m:e>
                <m:sub>
                  <m:r>
                    <m:rPr>
                      <m:nor/>
                      <m:sty m:val="p"/>
                    </m:rPr>
                    <m:t>crash</m:t>
                  </m:r>
                </m:sub>
              </m:sSub>
            </m:oMath>
          </w:p>
        </w:tc>
        <w:tc>
          <w:tcPr/>
          <w:p>
            <w:pPr>
              <w:pStyle w:val="Compact"/>
              <w:jc w:val="left"/>
            </w:pPr>
            <w:r>
              <w:t xml:space="preserve">Nodes needed when faults are crashes or omissions</w:t>
            </w:r>
          </w:p>
        </w:tc>
        <w:tc>
          <w:tcPr/>
          <w:p>
            <w:pPr>
              <w:pStyle w:val="Compact"/>
              <w:jc w:val="left"/>
            </w:pPr>
            <w:r>
              <w:t xml:space="preserve">count</w:t>
            </w:r>
          </w:p>
        </w:tc>
      </w:tr>
      <w:tr>
        <w:tc>
          <w:tcPr/>
          <w:p>
            <w:pPr>
              <w:pStyle w:val="Compact"/>
              <w:jc w:val="left"/>
            </w:pPr>
            <m:oMath>
              <m:sSub>
                <m:e>
                  <m:r>
                    <m:t>n</m:t>
                  </m:r>
                </m:e>
                <m:sub>
                  <m:r>
                    <m:rPr>
                      <m:nor/>
                      <m:sty m:val="p"/>
                    </m:rPr>
                    <m:t>Byz</m:t>
                  </m:r>
                </m:sub>
              </m:sSub>
            </m:oMath>
          </w:p>
        </w:tc>
        <w:tc>
          <w:tcPr/>
          <w:p>
            <w:pPr>
              <w:pStyle w:val="Compact"/>
              <w:jc w:val="left"/>
            </w:pPr>
            <w:r>
              <w:t xml:space="preserve">Nodes needed when faults may be arbitrary</w:t>
            </w:r>
          </w:p>
        </w:tc>
        <w:tc>
          <w:tcPr/>
          <w:p>
            <w:pPr>
              <w:pStyle w:val="Compact"/>
              <w:jc w:val="left"/>
            </w:pPr>
            <w:r>
              <w:t xml:space="preserve">count</w:t>
            </w:r>
          </w:p>
        </w:tc>
      </w:tr>
    </w:tbl>
    <w:p>
      <w:pPr>
        <w:pStyle w:val="BodyText"/>
      </w:pPr>
      <w:r>
        <w:t xml:space="preserve">The intuition for</w:t>
      </w:r>
      <w:r>
        <w:t xml:space="preserve"> </w:t>
      </w:r>
      <m:oMath>
        <m:r>
          <m:t>2</m:t>
        </m:r>
        <m:r>
          <m:t>f</m:t>
        </m:r>
        <m:r>
          <m:rPr>
            <m:sty m:val="p"/>
          </m:rPr>
          <m:t>+</m:t>
        </m:r>
        <m:r>
          <m:t>1</m:t>
        </m:r>
      </m:oMath>
      <w:r>
        <w:t xml:space="preserve">: any decision must be backed by a</w:t>
      </w:r>
      <w:r>
        <w:t xml:space="preserve"> </w:t>
      </w:r>
      <w:r>
        <w:rPr>
          <w:bCs/>
          <w:b/>
        </w:rPr>
        <w:t xml:space="preserve">majority quorum</w:t>
      </w:r>
      <w:r>
        <w:t xml:space="preserve"> </w:t>
      </w:r>
      <w:r>
        <w:t xml:space="preserve">of</w:t>
      </w:r>
      <w:r>
        <w:t xml:space="preserve"> </w:t>
      </w:r>
      <m:oMath>
        <m:r>
          <m:t>f</m:t>
        </m:r>
        <m:r>
          <m:rPr>
            <m:sty m:val="p"/>
          </m:rPr>
          <m:t>+</m:t>
        </m:r>
        <m:r>
          <m:t>1</m:t>
        </m:r>
      </m:oMath>
      <w:r>
        <w:t xml:space="preserve"> </w:t>
      </w:r>
      <w:r>
        <w:t xml:space="preserve">nodes, and any two majorities overlap in at least one node, so two conflicting decisions cannot both gather a quorum. For Byzantine faults, quorums of</w:t>
      </w:r>
      <w:r>
        <w:t xml:space="preserve"> </w:t>
      </w:r>
      <m:oMath>
        <m:r>
          <m:t>2</m:t>
        </m:r>
        <m:r>
          <m:t>f</m:t>
        </m:r>
        <m:r>
          <m:rPr>
            <m:sty m:val="p"/>
          </m:rPr>
          <m:t>+</m:t>
        </m:r>
        <m:r>
          <m:t>1</m:t>
        </m:r>
      </m:oMath>
      <w:r>
        <w:t xml:space="preserve"> </w:t>
      </w:r>
      <w:r>
        <w:t xml:space="preserve">out of</w:t>
      </w:r>
      <w:r>
        <w:t xml:space="preserve"> </w:t>
      </w:r>
      <m:oMath>
        <m:r>
          <m:t>3</m:t>
        </m:r>
        <m:r>
          <m:t>f</m:t>
        </m:r>
        <m:r>
          <m:rPr>
            <m:sty m:val="p"/>
          </m:rPr>
          <m:t>+</m:t>
        </m:r>
        <m:r>
          <m:t>1</m:t>
        </m:r>
      </m:oMath>
      <w:r>
        <w:t xml:space="preserve"> </w:t>
      </w:r>
      <w:r>
        <w:t xml:space="preserve">overlap in at least</w:t>
      </w:r>
      <w:r>
        <w:t xml:space="preserve"> </w:t>
      </w:r>
      <m:oMath>
        <m:r>
          <m:t>f</m:t>
        </m:r>
        <m:r>
          <m:rPr>
            <m:sty m:val="p"/>
          </m:rPr>
          <m:t>+</m:t>
        </m:r>
        <m:r>
          <m:t>1</m:t>
        </m:r>
      </m:oMath>
      <w:r>
        <w:t xml:space="preserve"> </w:t>
      </w:r>
      <w:r>
        <w:t xml:space="preserve">nodes, so at least one honest node is in every overlap. Quorums in depth are in §26.4.</w:t>
      </w:r>
    </w:p>
    <w:p>
      <w:pPr>
        <w:pStyle w:val="CalloutExample"/>
      </w:pPr>
      <w:r>
        <w:rPr>
          <w:bCs/>
          <w:b/>
        </w:rPr>
        <w:t xml:space="preserve">WORKED EXAMPLE</w:t>
      </w:r>
    </w:p>
    <w:p>
      <w:pPr>
        <w:pStyle w:val="CalloutExample"/>
      </w:pPr>
      <w:r>
        <w:rPr>
          <w:bCs/>
          <w:b/>
        </w:rPr>
        <w:t xml:space="preserve">Worked example — How many replicas for PhotoShare’s coordination service?</w:t>
      </w:r>
    </w:p>
    <w:p>
      <w:pPr>
        <w:numPr>
          <w:ilvl w:val="0"/>
          <w:numId w:val="1784"/>
        </w:numPr>
        <w:pStyle w:val="Compact"/>
      </w:pPr>
      <w:r>
        <w:t xml:space="preserve">Requirement: survive one zone outage, where each zone holds one replica, so</w:t>
      </w:r>
      <w:r>
        <w:t xml:space="preserve"> </w:t>
      </w:r>
      <m:oMath>
        <m:r>
          <m:t>f</m:t>
        </m:r>
        <m:r>
          <m:rPr>
            <m:sty m:val="p"/>
          </m:rPr>
          <m:t>=</m:t>
        </m:r>
        <m:r>
          <m:t>1</m:t>
        </m:r>
      </m:oMath>
      <w:r>
        <w:t xml:space="preserve">.</w:t>
      </w:r>
    </w:p>
    <w:p>
      <w:pPr>
        <w:numPr>
          <w:ilvl w:val="0"/>
          <w:numId w:val="1784"/>
        </w:numPr>
        <w:pStyle w:val="Compact"/>
      </w:pPr>
      <w:r>
        <w:t xml:space="preserve">Crash faults:</w:t>
      </w:r>
      <w:r>
        <w:t xml:space="preserve"> </w:t>
      </w:r>
      <m:oMath>
        <m:r>
          <m:t>n</m:t>
        </m:r>
        <m:r>
          <m:rPr>
            <m:sty m:val="p"/>
          </m:rPr>
          <m:t>≥</m:t>
        </m:r>
        <m:r>
          <m:t>2</m:t>
        </m:r>
        <m:d>
          <m:dPr>
            <m:begChr m:val="("/>
            <m:endChr m:val=")"/>
            <m:sepChr m:val=""/>
            <m:grow/>
          </m:dPr>
          <m:e>
            <m:r>
              <m:t>1</m:t>
            </m:r>
          </m:e>
        </m:d>
        <m:r>
          <m:rPr>
            <m:sty m:val="p"/>
          </m:rPr>
          <m:t>+</m:t>
        </m:r>
        <m:r>
          <m:t>1</m:t>
        </m:r>
        <m:r>
          <m:rPr>
            <m:sty m:val="p"/>
          </m:rPr>
          <m:t>=</m:t>
        </m:r>
        <m:r>
          <m:t>3</m:t>
        </m:r>
      </m:oMath>
      <w:r>
        <w:t xml:space="preserve"> </w:t>
      </w:r>
      <w:r>
        <w:t xml:space="preserve">replicas in 3 zones. A majority is 2, so with one zone down the other two still decide.</w:t>
      </w:r>
    </w:p>
    <w:p>
      <w:pPr>
        <w:numPr>
          <w:ilvl w:val="0"/>
          <w:numId w:val="1784"/>
        </w:numPr>
        <w:pStyle w:val="Compact"/>
      </w:pPr>
      <w:r>
        <w:t xml:space="preserve">Survive two simultaneous zone losses (</w:t>
      </w:r>
      <m:oMath>
        <m:r>
          <m:t>f</m:t>
        </m:r>
        <m:r>
          <m:rPr>
            <m:sty m:val="p"/>
          </m:rPr>
          <m:t>=</m:t>
        </m:r>
        <m:r>
          <m:t>2</m:t>
        </m:r>
      </m:oMath>
      <w:r>
        <w:t xml:space="preserve">):</w:t>
      </w:r>
      <w:r>
        <w:t xml:space="preserve"> </w:t>
      </w:r>
      <m:oMath>
        <m:r>
          <m:t>n</m:t>
        </m:r>
        <m:r>
          <m:rPr>
            <m:sty m:val="p"/>
          </m:rPr>
          <m:t>≥</m:t>
        </m:r>
        <m:r>
          <m:t>5</m:t>
        </m:r>
      </m:oMath>
      <w:r>
        <w:t xml:space="preserve">, so 5 replicas, which needs 5 failure domains.</w:t>
      </w:r>
    </w:p>
    <w:p>
      <w:pPr>
        <w:numPr>
          <w:ilvl w:val="0"/>
          <w:numId w:val="1784"/>
        </w:numPr>
        <w:pStyle w:val="Compact"/>
      </w:pPr>
      <w:r>
        <w:t xml:space="preserve">If the same service had to tolerate one</w:t>
      </w:r>
      <w:r>
        <w:t xml:space="preserve"> </w:t>
      </w:r>
      <w:r>
        <w:rPr>
          <w:iCs/>
          <w:i/>
        </w:rPr>
        <w:t xml:space="preserve">Byzantine</w:t>
      </w:r>
      <w:r>
        <w:t xml:space="preserve"> </w:t>
      </w:r>
      <w:r>
        <w:t xml:space="preserve">replica:</w:t>
      </w:r>
      <w:r>
        <w:t xml:space="preserve"> </w:t>
      </w:r>
      <m:oMath>
        <m:r>
          <m:t>n</m:t>
        </m:r>
        <m:r>
          <m:rPr>
            <m:sty m:val="p"/>
          </m:rPr>
          <m:t>≥</m:t>
        </m:r>
        <m:r>
          <m:t>3</m:t>
        </m:r>
        <m:d>
          <m:dPr>
            <m:begChr m:val="("/>
            <m:endChr m:val=")"/>
            <m:sepChr m:val=""/>
            <m:grow/>
          </m:dPr>
          <m:e>
            <m:r>
              <m:t>1</m:t>
            </m:r>
          </m:e>
        </m:d>
        <m:r>
          <m:rPr>
            <m:sty m:val="p"/>
          </m:rPr>
          <m:t>+</m:t>
        </m:r>
        <m:r>
          <m:t>1</m:t>
        </m:r>
        <m:r>
          <m:rPr>
            <m:sty m:val="p"/>
          </m:rPr>
          <m:t>=</m:t>
        </m:r>
        <m:r>
          <m:t>4</m:t>
        </m:r>
      </m:oMath>
      <w:r>
        <w:t xml:space="preserve">, and every decision needs</w:t>
      </w:r>
      <w:r>
        <w:t xml:space="preserve"> </w:t>
      </w:r>
      <m:oMath>
        <m:r>
          <m:t>2</m:t>
        </m:r>
        <m:r>
          <m:t>f</m:t>
        </m:r>
        <m:r>
          <m:rPr>
            <m:sty m:val="p"/>
          </m:rPr>
          <m:t>+</m:t>
        </m:r>
        <m:r>
          <m:t>1</m:t>
        </m:r>
        <m:r>
          <m:rPr>
            <m:sty m:val="p"/>
          </m:rPr>
          <m:t>=</m:t>
        </m:r>
        <m:r>
          <m:t>3</m:t>
        </m:r>
      </m:oMath>
      <w:r>
        <w:t xml:space="preserve"> </w:t>
      </w:r>
      <w:r>
        <w:t xml:space="preserve">matching votes.</w:t>
      </w:r>
    </w:p>
    <w:p>
      <w:pPr>
        <w:pStyle w:val="CalloutExample"/>
      </w:pPr>
      <w:r>
        <w:t xml:space="preserve">Interpretation: Byzantine tolerance costs a third more replicas at</w:t>
      </w:r>
      <w:r>
        <w:t xml:space="preserve"> </w:t>
      </w:r>
      <m:oMath>
        <m:r>
          <m:t>f</m:t>
        </m:r>
        <m:r>
          <m:rPr>
            <m:sty m:val="p"/>
          </m:rPr>
          <m:t>=</m:t>
        </m:r>
        <m:r>
          <m:t>1</m:t>
        </m:r>
      </m:oMath>
      <w:r>
        <w:t xml:space="preserve"> </w:t>
      </w:r>
      <w:r>
        <w:t xml:space="preserve">and many more messages per decision. Engineering implication: inside one organization, use crash-recovery protocols plus checksums (§24.14); reserve Byzantine tolerance for mutually distrustful parties.</w:t>
      </w:r>
    </w:p>
    <w:p>
      <w:pPr>
        <w:pStyle w:val="CalloutIndustry"/>
      </w:pPr>
      <w:r>
        <w:rPr>
          <w:bCs/>
          <w:b/>
        </w:rPr>
        <w:t xml:space="preserve">INDUSTRY EXAMPLE</w:t>
      </w:r>
    </w:p>
    <w:p>
      <w:pPr>
        <w:pStyle w:val="CalloutIndustry"/>
      </w:pPr>
      <w:r>
        <w:rPr>
          <w:bCs/>
          <w:b/>
        </w:rPr>
        <w:t xml:space="preserve">Raft clusters such as etcd.</w:t>
      </w:r>
      <w:r>
        <w:t xml:space="preserve"> </w:t>
      </w:r>
      <w:r>
        <w:t xml:space="preserve">Raft clusters typically run 3 or 5 members: 3 tolerate one failure, 5 tolerate two, and 4 still tolerate only one (a majority is 3), so even sizes add cost without tolerance. Raft assumes crash-recovery faults and partial synchrony.</w:t>
      </w:r>
      <w:r>
        <w:t xml:space="preserve"> </w:t>
      </w:r>
      <w:r>
        <w:rPr>
          <w:iCs/>
          <w:i/>
        </w:rPr>
        <w:t xml:space="preserve">Evidence: Primary</w:t>
      </w:r>
      <w:r>
        <w:t xml:space="preserve"> </w:t>
      </w:r>
      <w:r>
        <w:t xml:space="preserve">— [Ongaro and Ousterhout 2014]</w:t>
      </w:r>
    </w:p>
    <w:bookmarkEnd w:id="2680"/>
    <w:bookmarkEnd w:id="2681"/>
    <w:bookmarkEnd w:id="2682"/>
    <w:bookmarkStart w:id="2689" w:name="network-partitions"/>
    <w:p>
      <w:pPr>
        <w:pStyle w:val="Heading2"/>
      </w:pPr>
      <w:r>
        <w:t xml:space="preserve">24.7 Network partitions</w:t>
      </w:r>
    </w:p>
    <w:bookmarkStart w:id="2686" w:name="definition-and-types"/>
    <w:p>
      <w:pPr>
        <w:pStyle w:val="Heading3"/>
      </w:pPr>
      <w:r>
        <w:t xml:space="preserve">24.7.1 Definition and types</w:t>
      </w:r>
    </w:p>
    <w:p>
      <w:pPr>
        <w:pStyle w:val="CalloutDefinition"/>
      </w:pPr>
      <w:r>
        <w:rPr>
          <w:bCs/>
          <w:b/>
        </w:rPr>
        <w:t xml:space="preserve">DEFINITION</w:t>
      </w:r>
    </w:p>
    <w:p>
      <w:pPr>
        <w:pStyle w:val="CalloutDefinition"/>
      </w:pPr>
      <w:r>
        <w:rPr>
          <w:bCs/>
          <w:b/>
        </w:rPr>
        <w:t xml:space="preserve">Definition — Network partition.</w:t>
      </w:r>
      <w:r>
        <w:t xml:space="preserve"> </w:t>
      </w:r>
      <w:r>
        <w:t xml:space="preserve">A network fault after which some nodes that are running correctly cannot exchange messages with some other running nodes for a period of time. (This book reserves</w:t>
      </w:r>
      <w:r>
        <w:t xml:space="preserve"> </w:t>
      </w:r>
      <w:r>
        <w:t xml:space="preserve">“</w:t>
      </w:r>
      <w:r>
        <w:t xml:space="preserve">partition</w:t>
      </w:r>
      <w:r>
        <w:t xml:space="preserve">”</w:t>
      </w:r>
      <w:r>
        <w:t xml:space="preserve"> </w:t>
      </w:r>
      <w:r>
        <w:t xml:space="preserve">alone for a subset of data, §14.6; a network fault is always a</w:t>
      </w:r>
      <w:r>
        <w:t xml:space="preserve"> </w:t>
      </w:r>
      <w:r>
        <w:rPr>
          <w:bCs/>
          <w:b/>
        </w:rPr>
        <w:t xml:space="preserve">network partition</w:t>
      </w:r>
      <w:r>
        <w:t xml:space="preserve">.)</w:t>
      </w:r>
    </w:p>
    <w:p>
      <w:pPr>
        <w:pStyle w:val="BodyText"/>
      </w:pPr>
      <w:r>
        <w:t xml:space="preserve">From inside a node, a partition looks exactly like remote crashes, except that the</w:t>
      </w:r>
      <w:r>
        <w:t xml:space="preserve"> </w:t>
      </w:r>
      <w:r>
        <w:t xml:space="preserve">“</w:t>
      </w:r>
      <w:r>
        <w:t xml:space="preserve">crashed</w:t>
      </w:r>
      <w:r>
        <w:t xml:space="preserve">”</w:t>
      </w:r>
      <w:r>
        <w:t xml:space="preserve"> </w:t>
      </w:r>
      <w:r>
        <w:t xml:space="preserve">nodes keep running, may serve clients, and may believe</w:t>
      </w:r>
      <w:r>
        <w:t xml:space="preserve"> </w:t>
      </w:r>
      <w:r>
        <w:rPr>
          <w:iCs/>
          <w:i/>
        </w:rPr>
        <w:t xml:space="preserve">you</w:t>
      </w:r>
      <w:r>
        <w:t xml:space="preserve"> </w:t>
      </w:r>
      <w:r>
        <w:t xml:space="preserve">crashed. The less obvious shapes cause the worst bugs.</w:t>
      </w:r>
    </w:p>
    <w:p>
      <w:pPr>
        <w:pStyle w:val="BodyText"/>
      </w:pPr>
      <w:r>
        <w:rPr>
          <w:bCs/>
          <w:b/>
        </w:rPr>
        <w:t xml:space="preserve">Figure 24.4 — Three kinds of network partition.</w:t>
      </w:r>
    </w:p>
    <w:p>
      <w:pPr>
        <w:pStyle w:val="BodyText"/>
      </w:pPr>
      <w:r>
        <w:drawing>
          <wp:inline>
            <wp:extent cx="5334000" cy="16203705"/>
            <wp:effectExtent b="0" l="0" r="0" t="0"/>
            <wp:docPr descr="" title="" id="2684" name="Picture"/>
            <a:graphic>
              <a:graphicData uri="http://schemas.openxmlformats.org/drawingml/2006/picture">
                <pic:pic>
                  <pic:nvPicPr>
                    <pic:cNvPr descr="/home/user/System-Design/build/.cache/diagrams/33a94919fad8.png" id="2685" name="Picture"/>
                    <pic:cNvPicPr>
                      <a:picLocks noChangeArrowheads="1" noChangeAspect="1"/>
                    </pic:cNvPicPr>
                  </pic:nvPicPr>
                  <pic:blipFill>
                    <a:blip r:embed="rId2683"/>
                    <a:stretch>
                      <a:fillRect/>
                    </a:stretch>
                  </pic:blipFill>
                  <pic:spPr bwMode="auto">
                    <a:xfrm>
                      <a:off x="0" y="0"/>
                      <a:ext cx="5334000" cy="16203705"/>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In the</w:t>
      </w:r>
      <w:r>
        <w:t xml:space="preserve"> </w:t>
      </w:r>
      <w:r>
        <w:rPr>
          <w:iCs/>
          <w:i/>
        </w:rPr>
        <w:t xml:space="preserve">complete</w:t>
      </w:r>
      <w:r>
        <w:t xml:space="preserve"> </w:t>
      </w:r>
      <w:r>
        <w:t xml:space="preserve">partition, the cluster splits cleanly: A and B talk to each other, C is cut off from both. In the</w:t>
      </w:r>
      <w:r>
        <w:t xml:space="preserve"> </w:t>
      </w:r>
      <w:r>
        <w:rPr>
          <w:iCs/>
          <w:i/>
        </w:rPr>
        <w:t xml:space="preserve">partial</w:t>
      </w:r>
      <w:r>
        <w:t xml:space="preserve"> </w:t>
      </w:r>
      <w:r>
        <w:t xml:space="preserve">partition, A and B cannot reach each other, yet both reach C, so C sees a healthy cluster while A and B each see a missing peer. In the</w:t>
      </w:r>
      <w:r>
        <w:t xml:space="preserve"> </w:t>
      </w:r>
      <w:r>
        <w:rPr>
          <w:iCs/>
          <w:i/>
        </w:rPr>
        <w:t xml:space="preserve">asymmetric</w:t>
      </w:r>
      <w:r>
        <w:t xml:space="preserve"> </w:t>
      </w:r>
      <w:r>
        <w:t xml:space="preserve">(one-way) partition, messages from A to B arrive but B’s replies to A are lost. Solid lines are working links; dotted lines with crosses are failed directions. All traffic is the cluster’s own heartbeat and data traffic; the failure points are the links, not the nodes, and adding nodes multiplies the number of links that can fail independently.</w:t>
      </w:r>
    </w:p>
    <w:p>
      <w:pPr>
        <w:pStyle w:val="BodyText"/>
      </w:pPr>
      <w:r>
        <w:rPr>
          <w:bCs/>
          <w:b/>
        </w:rPr>
        <w:t xml:space="preserve">Table 24.5 — Partition types and the trouble each one causes.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Type</w:t>
            </w:r>
          </w:p>
        </w:tc>
        <w:tc>
          <w:tcPr/>
          <w:p>
            <w:pPr>
              <w:pStyle w:val="Compact"/>
              <w:jc w:val="left"/>
            </w:pPr>
            <w:r>
              <w:t xml:space="preserve">What happens</w:t>
            </w:r>
          </w:p>
        </w:tc>
        <w:tc>
          <w:tcPr/>
          <w:p>
            <w:pPr>
              <w:pStyle w:val="Compact"/>
              <w:jc w:val="left"/>
            </w:pPr>
            <w:r>
              <w:t xml:space="preserve">Typical cause</w:t>
            </w:r>
          </w:p>
        </w:tc>
        <w:tc>
          <w:tcPr/>
          <w:p>
            <w:pPr>
              <w:pStyle w:val="Compact"/>
              <w:jc w:val="left"/>
            </w:pPr>
            <w:r>
              <w:t xml:space="preserve">Why it is dangerous</w:t>
            </w:r>
          </w:p>
        </w:tc>
      </w:tr>
      <w:tr>
        <w:tc>
          <w:tcPr/>
          <w:p>
            <w:pPr>
              <w:pStyle w:val="Compact"/>
              <w:jc w:val="left"/>
            </w:pPr>
            <w:r>
              <w:t xml:space="preserve">Complete</w:t>
            </w:r>
          </w:p>
        </w:tc>
        <w:tc>
          <w:tcPr/>
          <w:p>
            <w:pPr>
              <w:pStyle w:val="Compact"/>
              <w:jc w:val="left"/>
            </w:pPr>
            <w:r>
              <w:t xml:space="preserve">The network splits into groups that cannot talk to each other</w:t>
            </w:r>
          </w:p>
        </w:tc>
        <w:tc>
          <w:tcPr/>
          <w:p>
            <w:pPr>
              <w:pStyle w:val="Compact"/>
              <w:jc w:val="left"/>
            </w:pPr>
            <w:r>
              <w:t xml:space="preserve">Lost uplink, failed inter-region link</w:t>
            </w:r>
          </w:p>
        </w:tc>
        <w:tc>
          <w:tcPr/>
          <w:p>
            <w:pPr>
              <w:pStyle w:val="Compact"/>
              <w:jc w:val="left"/>
            </w:pPr>
            <w:r>
              <w:t xml:space="preserve">Each side may elect a leader or accept writes:</w:t>
            </w:r>
            <w:r>
              <w:t xml:space="preserve"> </w:t>
            </w:r>
            <w:r>
              <w:rPr>
                <w:bCs/>
                <w:b/>
              </w:rPr>
              <w:t xml:space="preserve">split brain</w:t>
            </w:r>
            <w:r>
              <w:t xml:space="preserve"> </w:t>
            </w:r>
            <w:r>
              <w:t xml:space="preserve">(§26.12)</w:t>
            </w:r>
          </w:p>
        </w:tc>
      </w:tr>
      <w:tr>
        <w:tc>
          <w:tcPr/>
          <w:p>
            <w:pPr>
              <w:pStyle w:val="Compact"/>
              <w:jc w:val="left"/>
            </w:pPr>
            <w:r>
              <w:t xml:space="preserve">Partial</w:t>
            </w:r>
          </w:p>
        </w:tc>
        <w:tc>
          <w:tcPr/>
          <w:p>
            <w:pPr>
              <w:pStyle w:val="Compact"/>
              <w:jc w:val="left"/>
            </w:pPr>
            <w:r>
              <w:t xml:space="preserve">Some pairs cannot communicate while others can</w:t>
            </w:r>
          </w:p>
        </w:tc>
        <w:tc>
          <w:tcPr/>
          <w:p>
            <w:pPr>
              <w:pStyle w:val="Compact"/>
              <w:jc w:val="left"/>
            </w:pPr>
            <w:r>
              <w:t xml:space="preserve">Misconfigured firewall rule, failed link in a mesh, one bad switch port</w:t>
            </w:r>
          </w:p>
        </w:tc>
        <w:tc>
          <w:tcPr/>
          <w:p>
            <w:pPr>
              <w:pStyle w:val="Compact"/>
              <w:jc w:val="left"/>
            </w:pPr>
            <w:r>
              <w:t xml:space="preserve">Nodes disagree about who is alive; leadership can flap as nodes reach different peers</w:t>
            </w:r>
          </w:p>
        </w:tc>
      </w:tr>
      <w:tr>
        <w:tc>
          <w:tcPr/>
          <w:p>
            <w:pPr>
              <w:pStyle w:val="Compact"/>
              <w:jc w:val="left"/>
            </w:pPr>
            <w:r>
              <w:t xml:space="preserve">Asymmetric (one-way)</w:t>
            </w:r>
          </w:p>
        </w:tc>
        <w:tc>
          <w:tcPr/>
          <w:p>
            <w:pPr>
              <w:pStyle w:val="Compact"/>
              <w:jc w:val="left"/>
            </w:pPr>
            <w:r>
              <w:t xml:space="preserve">Traffic flows in one direction only</w:t>
            </w:r>
          </w:p>
        </w:tc>
        <w:tc>
          <w:tcPr/>
          <w:p>
            <w:pPr>
              <w:pStyle w:val="Compact"/>
              <w:jc w:val="left"/>
            </w:pPr>
            <w:r>
              <w:t xml:space="preserve">Saturated queue in one direction, ACL or routing asymmetry</w:t>
            </w:r>
          </w:p>
        </w:tc>
        <w:tc>
          <w:tcPr/>
          <w:p>
            <w:pPr>
              <w:pStyle w:val="Compact"/>
              <w:jc w:val="left"/>
            </w:pPr>
            <w:r>
              <w:t xml:space="preserve">A leader receives requests and heartbeats but its replies are lost, so it believes it is healthy while followers elect another leader</w:t>
            </w:r>
          </w:p>
        </w:tc>
      </w:tr>
      <w:tr>
        <w:tc>
          <w:tcPr/>
          <w:p>
            <w:pPr>
              <w:pStyle w:val="Compact"/>
              <w:jc w:val="left"/>
            </w:pPr>
            <w:r>
              <w:t xml:space="preserve">Intermittent (flapping)</w:t>
            </w:r>
          </w:p>
        </w:tc>
        <w:tc>
          <w:tcPr/>
          <w:p>
            <w:pPr>
              <w:pStyle w:val="Compact"/>
              <w:jc w:val="left"/>
            </w:pPr>
            <w:r>
              <w:t xml:space="preserve">Connectivity repeatedly comes and goes</w:t>
            </w:r>
          </w:p>
        </w:tc>
        <w:tc>
          <w:tcPr/>
          <w:p>
            <w:pPr>
              <w:pStyle w:val="Compact"/>
              <w:jc w:val="left"/>
            </w:pPr>
            <w:r>
              <w:t xml:space="preserve">Faulty optics, overloaded link</w:t>
            </w:r>
          </w:p>
        </w:tc>
        <w:tc>
          <w:tcPr/>
          <w:p>
            <w:pPr>
              <w:pStyle w:val="Compact"/>
              <w:jc w:val="left"/>
            </w:pPr>
            <w:r>
              <w:t xml:space="preserve">Constant failovers; each one costs work and risks inconsistency</w:t>
            </w:r>
          </w:p>
        </w:tc>
      </w:tr>
    </w:tbl>
    <w:bookmarkEnd w:id="2686"/>
    <w:bookmarkStart w:id="2687" w:name="how-often-do-networks-fail"/>
    <w:p>
      <w:pPr>
        <w:pStyle w:val="Heading3"/>
      </w:pPr>
      <w:r>
        <w:t xml:space="preserve">24.7.2 How often do networks fail?</w:t>
      </w:r>
    </w:p>
    <w:p>
      <w:pPr>
        <w:pStyle w:val="FirstParagraph"/>
      </w:pPr>
      <w:r>
        <w:t xml:space="preserve">Bailis and Kingsbury’s ironically titled survey</w:t>
      </w:r>
      <w:r>
        <w:t xml:space="preserve"> </w:t>
      </w:r>
      <w:r>
        <w:t xml:space="preserve">“</w:t>
      </w:r>
      <w:r>
        <w:t xml:space="preserve">The Network is Reliable</w:t>
      </w:r>
      <w:r>
        <w:t xml:space="preserve">”</w:t>
      </w:r>
      <w:r>
        <w:t xml:space="preserve"> </w:t>
      </w:r>
      <w:r>
        <w:t xml:space="preserve">collects the evidence [Bailis and Kingsbury 2014]:</w:t>
      </w:r>
    </w:p>
    <w:p>
      <w:pPr>
        <w:numPr>
          <w:ilvl w:val="0"/>
          <w:numId w:val="1785"/>
        </w:numPr>
        <w:pStyle w:val="Compact"/>
      </w:pPr>
      <w:r>
        <w:rPr>
          <w:bCs/>
          <w:b/>
        </w:rPr>
        <w:t xml:space="preserve">Microsoft datacenters.</w:t>
      </w:r>
      <w:r>
        <w:t xml:space="preserve"> </w:t>
      </w:r>
      <w:r>
        <w:t xml:space="preserve">A measurement study of several Microsoft datacenters over a year [Gill et al. 2011] reported on average 5.2 device failures and 40.8 link failures per day, with a median time to repair of about five minutes and some failures lasting much longer. It also found that network redundancy was far less effective than hoped, improving the median traffic carried during failures by only about 43%.</w:t>
      </w:r>
    </w:p>
    <w:p>
      <w:pPr>
        <w:numPr>
          <w:ilvl w:val="0"/>
          <w:numId w:val="1785"/>
        </w:numPr>
        <w:pStyle w:val="Compact"/>
      </w:pPr>
      <w:r>
        <w:rPr>
          <w:bCs/>
          <w:b/>
        </w:rPr>
        <w:t xml:space="preserve">Google clusters.</w:t>
      </w:r>
      <w:r>
        <w:t xml:space="preserve"> </w:t>
      </w:r>
      <w:r>
        <w:t xml:space="preserve">Jeff Dean’s description of a typical first year of a new cluster included, among many other events, around 20 rack failures, about 5 racks that</w:t>
      </w:r>
      <w:r>
        <w:t xml:space="preserve"> </w:t>
      </w:r>
      <w:r>
        <w:t xml:space="preserve">“</w:t>
      </w:r>
      <w:r>
        <w:t xml:space="preserve">go wonky</w:t>
      </w:r>
      <w:r>
        <w:t xml:space="preserve">”</w:t>
      </w:r>
      <w:r>
        <w:t xml:space="preserve"> </w:t>
      </w:r>
      <w:r>
        <w:t xml:space="preserve">with half their packets lost, around 8 network maintenances of which several cause about 30 minutes of random connectivity loss, and about 3 router failures [Dean 2009].</w:t>
      </w:r>
    </w:p>
    <w:p>
      <w:pPr>
        <w:numPr>
          <w:ilvl w:val="0"/>
          <w:numId w:val="1785"/>
        </w:numPr>
        <w:pStyle w:val="Compact"/>
      </w:pPr>
      <w:r>
        <w:rPr>
          <w:bCs/>
          <w:b/>
        </w:rPr>
        <w:t xml:space="preserve">Failures in deployed software.</w:t>
      </w:r>
      <w:r>
        <w:t xml:space="preserve"> </w:t>
      </w:r>
      <w:r>
        <w:t xml:space="preserve">Alquraan et al. studied 136 failures caused by network partitions in 25 widely used systems, including databases, coordination services and message brokers [Alquraan et al. 2018]. Most had catastrophic effects such as data loss, reappearance of deleted data and broken locks; many could be triggered by isolating a single node; and</w:t>
      </w:r>
      <w:r>
        <w:t xml:space="preserve"> </w:t>
      </w:r>
      <w:r>
        <w:rPr>
          <w:iCs/>
          <w:i/>
        </w:rPr>
        <w:t xml:space="preserve">partial</w:t>
      </w:r>
      <w:r>
        <w:t xml:space="preserve"> </w:t>
      </w:r>
      <w:r>
        <w:t xml:space="preserve">partitions were a significant and previously under-studied cause.</w:t>
      </w:r>
    </w:p>
    <w:p>
      <w:pPr>
        <w:pStyle w:val="FirstParagraph"/>
      </w:pPr>
      <w:r>
        <w:t xml:space="preserve">A large fleet therefore sees many small network faults every day: assume</w:t>
      </w:r>
      <w:r>
        <w:t xml:space="preserve"> </w:t>
      </w:r>
      <w:r>
        <w:rPr>
          <w:iCs/>
          <w:i/>
        </w:rPr>
        <w:t xml:space="preserve">some</w:t>
      </w:r>
      <w:r>
        <w:t xml:space="preserve"> </w:t>
      </w:r>
      <w:r>
        <w:t xml:space="preserve">pair of nodes cannot talk</w:t>
      </w:r>
      <w:r>
        <w:t xml:space="preserve"> </w:t>
      </w:r>
      <w:r>
        <w:rPr>
          <w:iCs/>
          <w:i/>
        </w:rPr>
        <w:t xml:space="preserve">right now</w:t>
      </w:r>
      <w:r>
        <w:t xml:space="preserve">.</w:t>
      </w:r>
    </w:p>
    <w:p>
      <w:pPr>
        <w:pStyle w:val="CalloutIndustry"/>
      </w:pPr>
      <w:r>
        <w:rPr>
          <w:bCs/>
          <w:b/>
        </w:rPr>
        <w:t xml:space="preserve">INDUSTRY EXAMPLE</w:t>
      </w:r>
    </w:p>
    <w:p>
      <w:pPr>
        <w:pStyle w:val="CalloutIndustry"/>
      </w:pPr>
      <w:r>
        <w:rPr>
          <w:bCs/>
          <w:b/>
        </w:rPr>
        <w:t xml:space="preserve">Cloudflare, November 2020 — a partial partition and a Raft cluster.</w:t>
      </w:r>
      <w:r>
        <w:t xml:space="preserve"> </w:t>
      </w:r>
      <w:r>
        <w:t xml:space="preserve">A partially failed switch left some members of an etcd (Raft) cluster able to reach each other and some not. The cluster could not keep a stable leader, so it could not accept writes; dependent automation that manages database primaries triggered failovers that overloaded other databases, and Cloudflare’s API and dashboard were degraded for several hours. The post-mortem’s title reflects that partial connectivity gave nodes contradictory views of the cluster.</w:t>
      </w:r>
      <w:r>
        <w:t xml:space="preserve"> </w:t>
      </w:r>
      <w:r>
        <w:rPr>
          <w:iCs/>
          <w:i/>
        </w:rPr>
        <w:t xml:space="preserve">Evidence: Primary</w:t>
      </w:r>
      <w:r>
        <w:t xml:space="preserve"> </w:t>
      </w:r>
      <w:r>
        <w:t xml:space="preserve">— [Lianza and Snook 2020]</w:t>
      </w:r>
    </w:p>
    <w:bookmarkEnd w:id="2687"/>
    <w:bookmarkStart w:id="2688" w:name="what-a-partition-forces-you-to-choose"/>
    <w:p>
      <w:pPr>
        <w:pStyle w:val="Heading3"/>
      </w:pPr>
      <w:r>
        <w:t xml:space="preserve">24.7.3 What a partition forces you to choose</w:t>
      </w:r>
    </w:p>
    <w:p>
      <w:pPr>
        <w:pStyle w:val="FirstParagraph"/>
      </w:pPr>
      <w:r>
        <w:t xml:space="preserve">A node cut off from its peers can</w:t>
      </w:r>
      <w:r>
        <w:t xml:space="preserve"> </w:t>
      </w:r>
      <w:r>
        <w:rPr>
          <w:bCs/>
          <w:b/>
        </w:rPr>
        <w:t xml:space="preserve">refuse</w:t>
      </w:r>
      <w:r>
        <w:t xml:space="preserve"> </w:t>
      </w:r>
      <w:r>
        <w:t xml:space="preserve">(keeping consistency, losing availability on the minority side) or</w:t>
      </w:r>
      <w:r>
        <w:t xml:space="preserve"> </w:t>
      </w:r>
      <w:r>
        <w:rPr>
          <w:bCs/>
          <w:b/>
        </w:rPr>
        <w:t xml:space="preserve">answer</w:t>
      </w:r>
      <w:r>
        <w:t xml:space="preserve"> </w:t>
      </w:r>
      <w:r>
        <w:t xml:space="preserve">from local data and reconcile later (keeping availability, allowing divergence to be resolved with version vectors, §24.11, and conflict resolution, §27.14). CAP and PACELC (§25.8–§25.9) make this precise; you choose not</w:t>
      </w:r>
      <w:r>
        <w:t xml:space="preserve"> </w:t>
      </w:r>
      <w:r>
        <w:rPr>
          <w:iCs/>
          <w:i/>
        </w:rPr>
        <w:t xml:space="preserve">whether</w:t>
      </w:r>
      <w:r>
        <w:t xml:space="preserve"> </w:t>
      </w:r>
      <w:r>
        <w:t xml:space="preserve">partitions happen, only how to behave during one.</w:t>
      </w:r>
    </w:p>
    <w:p>
      <w:pPr>
        <w:pStyle w:val="BodyText"/>
      </w:pPr>
      <w:r>
        <w:rPr>
          <w:bCs/>
          <w:b/>
        </w:rPr>
        <w:t xml:space="preserve">Table 24.6 — Partition 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Two primaries accept conflicting writes</w:t>
            </w:r>
          </w:p>
        </w:tc>
        <w:tc>
          <w:tcPr/>
          <w:p>
            <w:pPr>
              <w:pStyle w:val="Compact"/>
              <w:jc w:val="left"/>
            </w:pPr>
            <w:r>
              <w:t xml:space="preserve">Each side of a complete partition elects a leader</w:t>
            </w:r>
          </w:p>
        </w:tc>
        <w:tc>
          <w:tcPr/>
          <w:p>
            <w:pPr>
              <w:pStyle w:val="Compact"/>
              <w:jc w:val="left"/>
            </w:pPr>
            <w:r>
              <w:t xml:space="preserve">Two nodes report the primary role; divergent replication positions</w:t>
            </w:r>
          </w:p>
        </w:tc>
        <w:tc>
          <w:tcPr/>
          <w:p>
            <w:pPr>
              <w:pStyle w:val="Compact"/>
              <w:jc w:val="left"/>
            </w:pPr>
            <w:r>
              <w:t xml:space="preserve">Pick one history; reconcile or discard the other’s writes</w:t>
            </w:r>
          </w:p>
        </w:tc>
        <w:tc>
          <w:tcPr/>
          <w:p>
            <w:pPr>
              <w:pStyle w:val="Compact"/>
              <w:jc w:val="left"/>
            </w:pPr>
            <w:r>
              <w:t xml:space="preserve">Majority quorums; fencing tokens (§26.13)</w:t>
            </w:r>
          </w:p>
        </w:tc>
      </w:tr>
      <w:tr>
        <w:tc>
          <w:tcPr/>
          <w:p>
            <w:pPr>
              <w:pStyle w:val="Compact"/>
              <w:jc w:val="left"/>
            </w:pPr>
            <w:r>
              <w:t xml:space="preserve">Leader flapping during a partial partition</w:t>
            </w:r>
          </w:p>
        </w:tc>
        <w:tc>
          <w:tcPr/>
          <w:p>
            <w:pPr>
              <w:pStyle w:val="Compact"/>
              <w:jc w:val="left"/>
            </w:pPr>
            <w:r>
              <w:t xml:space="preserve">Different nodes see different sets of peers</w:t>
            </w:r>
          </w:p>
        </w:tc>
        <w:tc>
          <w:tcPr/>
          <w:p>
            <w:pPr>
              <w:pStyle w:val="Compact"/>
              <w:jc w:val="left"/>
            </w:pPr>
            <w:r>
              <w:t xml:space="preserve">Election count and term number climbing quickly</w:t>
            </w:r>
          </w:p>
        </w:tc>
        <w:tc>
          <w:tcPr/>
          <w:p>
            <w:pPr>
              <w:pStyle w:val="Compact"/>
              <w:jc w:val="left"/>
            </w:pPr>
            <w:r>
              <w:t xml:space="preserve">Isolate the bad link or node</w:t>
            </w:r>
          </w:p>
        </w:tc>
        <w:tc>
          <w:tcPr/>
          <w:p>
            <w:pPr>
              <w:pStyle w:val="Compact"/>
              <w:jc w:val="left"/>
            </w:pPr>
            <w:r>
              <w:t xml:space="preserve">Pre-vote and leader-stickiness checks in Raft (§26.7); per-link health monitoring</w:t>
            </w:r>
          </w:p>
        </w:tc>
      </w:tr>
      <w:tr>
        <w:tc>
          <w:tcPr/>
          <w:p>
            <w:pPr>
              <w:pStyle w:val="Compact"/>
              <w:jc w:val="left"/>
            </w:pPr>
            <w:r>
              <w:t xml:space="preserve">“</w:t>
            </w:r>
            <w:r>
              <w:t xml:space="preserve">Healthy</w:t>
            </w:r>
            <w:r>
              <w:t xml:space="preserve">”</w:t>
            </w:r>
            <w:r>
              <w:t xml:space="preserve"> </w:t>
            </w:r>
            <w:r>
              <w:t xml:space="preserve">leader that nobody hears</w:t>
            </w:r>
          </w:p>
        </w:tc>
        <w:tc>
          <w:tcPr/>
          <w:p>
            <w:pPr>
              <w:pStyle w:val="Compact"/>
              <w:jc w:val="left"/>
            </w:pPr>
            <w:r>
              <w:t xml:space="preserve">Asymmetric partition drops the leader’s outbound traffic</w:t>
            </w:r>
          </w:p>
        </w:tc>
        <w:tc>
          <w:tcPr/>
          <w:p>
            <w:pPr>
              <w:pStyle w:val="Compact"/>
              <w:jc w:val="left"/>
            </w:pPr>
            <w:r>
              <w:t xml:space="preserve">Followers time out while the leader’s own metrics look normal</w:t>
            </w:r>
          </w:p>
        </w:tc>
        <w:tc>
          <w:tcPr/>
          <w:p>
            <w:pPr>
              <w:pStyle w:val="Compact"/>
              <w:jc w:val="left"/>
            </w:pPr>
            <w:r>
              <w:t xml:space="preserve">Step the leader down on loss of quorum acknowledgments</w:t>
            </w:r>
          </w:p>
        </w:tc>
        <w:tc>
          <w:tcPr/>
          <w:p>
            <w:pPr>
              <w:pStyle w:val="Compact"/>
              <w:jc w:val="left"/>
            </w:pPr>
            <w:r>
              <w:t xml:space="preserve">Leaders check that a quorum acknowledges them within a lease period</w:t>
            </w:r>
          </w:p>
        </w:tc>
      </w:tr>
      <w:tr>
        <w:tc>
          <w:tcPr/>
          <w:p>
            <w:pPr>
              <w:pStyle w:val="Compact"/>
              <w:jc w:val="left"/>
            </w:pPr>
            <w:r>
              <w:t xml:space="preserve">Recovery storm after healing</w:t>
            </w:r>
          </w:p>
        </w:tc>
        <w:tc>
          <w:tcPr/>
          <w:p>
            <w:pPr>
              <w:pStyle w:val="Compact"/>
              <w:jc w:val="left"/>
            </w:pPr>
            <w:r>
              <w:t xml:space="preserve">All nodes resynchronize at once</w:t>
            </w:r>
          </w:p>
        </w:tc>
        <w:tc>
          <w:tcPr/>
          <w:p>
            <w:pPr>
              <w:pStyle w:val="Compact"/>
              <w:jc w:val="left"/>
            </w:pPr>
            <w:r>
              <w:t xml:space="preserve">Bandwidth and CPU spikes right after connectivity returns</w:t>
            </w:r>
          </w:p>
        </w:tc>
        <w:tc>
          <w:tcPr/>
          <w:p>
            <w:pPr>
              <w:pStyle w:val="Compact"/>
              <w:jc w:val="left"/>
            </w:pPr>
            <w:r>
              <w:t xml:space="preserve">Throttle resynchronization</w:t>
            </w:r>
          </w:p>
        </w:tc>
        <w:tc>
          <w:tcPr/>
          <w:p>
            <w:pPr>
              <w:pStyle w:val="Compact"/>
              <w:jc w:val="left"/>
            </w:pPr>
            <w:r>
              <w:t xml:space="preserve">Rate-limited, prioritized anti-entropy (§27.13)</w:t>
            </w:r>
          </w:p>
        </w:tc>
      </w:tr>
    </w:tbl>
    <w:p>
      <w:pPr>
        <w:pStyle w:val="CalloutMistake"/>
      </w:pPr>
      <w:r>
        <w:rPr>
          <w:bCs/>
          <w:b/>
        </w:rPr>
        <w:t xml:space="preserve">COMMON MISTAKE</w:t>
      </w:r>
    </w:p>
    <w:p>
      <w:pPr>
        <w:pStyle w:val="CalloutMistake"/>
      </w:pPr>
      <w:r>
        <w:rPr>
          <w:bCs/>
          <w:b/>
        </w:rPr>
        <w:t xml:space="preserve">Mistake —</w:t>
      </w:r>
      <w:r>
        <w:rPr>
          <w:bCs/>
          <w:b/>
        </w:rPr>
        <w:t xml:space="preserve"> </w:t>
      </w:r>
      <w:r>
        <w:rPr>
          <w:bCs/>
          <w:b/>
        </w:rPr>
        <w:t xml:space="preserve">“</w:t>
      </w:r>
      <w:r>
        <w:rPr>
          <w:bCs/>
          <w:b/>
        </w:rPr>
        <w:t xml:space="preserve">Partitions mean the cable was cut.</w:t>
      </w:r>
      <w:r>
        <w:rPr>
          <w:bCs/>
          <w:b/>
        </w:rPr>
        <w:t xml:space="preserve">”</w:t>
      </w:r>
      <w:r>
        <w:t xml:space="preserve"> </w:t>
      </w:r>
      <w:r>
        <w:t xml:space="preserve">Most partitions in practice are partial, short, or caused by software and configuration: a firewall change, a full queue, a long garbage-collection pause that makes a node unreachable for 20 s. A node that is alive but paused is, to its peers, partitioned.</w:t>
      </w:r>
    </w:p>
    <w:bookmarkEnd w:id="2688"/>
    <w:bookmarkEnd w:id="2689"/>
    <w:bookmarkStart w:id="2700" w:name="X919479eff29f258eb5123c49dface5252a9bc18"/>
    <w:p>
      <w:pPr>
        <w:pStyle w:val="Heading2"/>
      </w:pPr>
      <w:r>
        <w:t xml:space="preserve">24.8 Partial failures, gray failures and timeouts</w:t>
      </w:r>
    </w:p>
    <w:bookmarkStart w:id="2693" w:name="partial-failure"/>
    <w:p>
      <w:pPr>
        <w:pStyle w:val="Heading3"/>
      </w:pPr>
      <w:r>
        <w:t xml:space="preserve">24.8.1 Partial failure</w:t>
      </w:r>
    </w:p>
    <w:p>
      <w:pPr>
        <w:pStyle w:val="CalloutDefinition"/>
      </w:pPr>
      <w:r>
        <w:rPr>
          <w:bCs/>
          <w:b/>
        </w:rPr>
        <w:t xml:space="preserve">DEFINITION</w:t>
      </w:r>
    </w:p>
    <w:p>
      <w:pPr>
        <w:pStyle w:val="CalloutDefinition"/>
      </w:pPr>
      <w:r>
        <w:rPr>
          <w:bCs/>
          <w:b/>
        </w:rPr>
        <w:t xml:space="preserve">Definition — Partial failure.</w:t>
      </w:r>
      <w:r>
        <w:t xml:space="preserve"> </w:t>
      </w:r>
      <w:r>
        <w:t xml:space="preserve">A state in which some components of a system have failed while others continue to work, so that an operation may be applied in some places and not others, and the working components cannot reliably tell which components failed.</w:t>
      </w:r>
    </w:p>
    <w:p>
      <w:pPr>
        <w:pStyle w:val="BodyText"/>
      </w:pPr>
      <w:r>
        <w:t xml:space="preserve">On one computer, partial failure is rare enough to ignore; in a fleet it is normal (§24.4.1). The hard part is the</w:t>
      </w:r>
      <w:r>
        <w:t xml:space="preserve"> </w:t>
      </w:r>
      <w:r>
        <w:rPr>
          <w:iCs/>
          <w:i/>
        </w:rPr>
        <w:t xml:space="preserve">ambiguity</w:t>
      </w:r>
      <w:r>
        <w:t xml:space="preserve">.</w:t>
      </w:r>
    </w:p>
    <w:p>
      <w:pPr>
        <w:pStyle w:val="BodyText"/>
      </w:pPr>
      <w:r>
        <w:rPr>
          <w:bCs/>
          <w:b/>
        </w:rPr>
        <w:t xml:space="preserve">Figure 24.5 — Six things that can happen to one request, all of which look the same to the client.</w:t>
      </w:r>
    </w:p>
    <w:p>
      <w:pPr>
        <w:pStyle w:val="BodyText"/>
      </w:pPr>
      <w:r>
        <w:drawing>
          <wp:inline>
            <wp:extent cx="5334000" cy="3166450"/>
            <wp:effectExtent b="0" l="0" r="0" t="0"/>
            <wp:docPr descr="" title="" id="2691" name="Picture"/>
            <a:graphic>
              <a:graphicData uri="http://schemas.openxmlformats.org/drawingml/2006/picture">
                <pic:pic>
                  <pic:nvPicPr>
                    <pic:cNvPr descr="/home/user/System-Design/build/.cache/diagrams/1382596bf3b5.png" id="2692" name="Picture"/>
                    <pic:cNvPicPr>
                      <a:picLocks noChangeArrowheads="1" noChangeAspect="1"/>
                    </pic:cNvPicPr>
                  </pic:nvPicPr>
                  <pic:blipFill>
                    <a:blip r:embed="rId2690"/>
                    <a:stretch>
                      <a:fillRect/>
                    </a:stretch>
                  </pic:blipFill>
                  <pic:spPr bwMode="auto">
                    <a:xfrm>
                      <a:off x="0" y="0"/>
                      <a:ext cx="5334000" cy="3166450"/>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client sends a synchronous request (solid arrows) and waits for a response (dashed arrow). Outcome 1 loses the request; 2 delays it; 3 and 4 are server crashes before and after the side effect; 5 loses the response; 6 delivers it too late to matter. Outcomes 4, 5 and 6 mean the operation</w:t>
      </w:r>
      <w:r>
        <w:t xml:space="preserve"> </w:t>
      </w:r>
      <w:r>
        <w:rPr>
          <w:iCs/>
          <w:i/>
        </w:rPr>
        <w:t xml:space="preserve">happened</w:t>
      </w:r>
      <w:r>
        <w:t xml:space="preserve">; 1 and 3 mean it did not; 2 means it may still happen. The storage boundary is the server’s database, which may or may not contain the effect. The failure points are the network in both directions and the server. Retrying is safe only if the operation is idempotent (§22.15), because in half of these cases the retry is a duplicate.</w:t>
      </w:r>
    </w:p>
    <w:bookmarkEnd w:id="2693"/>
    <w:bookmarkStart w:id="2697" w:name="gray-failure"/>
    <w:p>
      <w:pPr>
        <w:pStyle w:val="Heading3"/>
      </w:pPr>
      <w:r>
        <w:t xml:space="preserve">24.8.2 Gray failure</w:t>
      </w:r>
    </w:p>
    <w:p>
      <w:pPr>
        <w:pStyle w:val="FirstParagraph"/>
      </w:pPr>
      <w:r>
        <w:t xml:space="preserve">Crashes are the easy case. Huang et al. found that many serious incidents in Microsoft’s cloud came from something subtler,</w:t>
      </w:r>
      <w:r>
        <w:t xml:space="preserve"> </w:t>
      </w:r>
      <w:r>
        <w:rPr>
          <w:bCs/>
          <w:b/>
        </w:rPr>
        <w:t xml:space="preserve">gray failure</w:t>
      </w:r>
      <w:r>
        <w:t xml:space="preserve"> </w:t>
      </w:r>
      <w:r>
        <w:t xml:space="preserve">[Huang et al. 2017].</w:t>
      </w:r>
    </w:p>
    <w:p>
      <w:pPr>
        <w:pStyle w:val="CalloutDefinition"/>
      </w:pPr>
      <w:r>
        <w:rPr>
          <w:bCs/>
          <w:b/>
        </w:rPr>
        <w:t xml:space="preserve">DEFINITION</w:t>
      </w:r>
    </w:p>
    <w:p>
      <w:pPr>
        <w:pStyle w:val="CalloutDefinition"/>
      </w:pPr>
      <w:r>
        <w:rPr>
          <w:bCs/>
          <w:b/>
        </w:rPr>
        <w:t xml:space="preserve">Definition — Gray failure.</w:t>
      </w:r>
      <w:r>
        <w:t xml:space="preserve"> </w:t>
      </w:r>
      <w:r>
        <w:t xml:space="preserve">A component failure that is</w:t>
      </w:r>
      <w:r>
        <w:t xml:space="preserve"> </w:t>
      </w:r>
      <w:r>
        <w:rPr>
          <w:iCs/>
          <w:i/>
        </w:rPr>
        <w:t xml:space="preserve">differentially observable</w:t>
      </w:r>
      <w:r>
        <w:t xml:space="preserve">: some observers (often the system’s own failure detector) consider the component healthy, while others (often the applications using it) experience it as failed or badly degraded.</w:t>
      </w:r>
    </w:p>
    <w:p>
      <w:pPr>
        <w:pStyle w:val="BodyText"/>
      </w:pPr>
      <w:r>
        <w:t xml:space="preserve">Examples of gray failure include a network interface that drops 1% of packets (TCP throughput collapses, §7.15.3, but pings succeed); a disk that completes every I/O but takes 500 ms instead of 5 ms (a</w:t>
      </w:r>
      <w:r>
        <w:t xml:space="preserve"> </w:t>
      </w:r>
      <w:r>
        <w:rPr>
          <w:bCs/>
          <w:b/>
        </w:rPr>
        <w:t xml:space="preserve">fail-slow</w:t>
      </w:r>
      <w:r>
        <w:t xml:space="preserve"> </w:t>
      </w:r>
      <w:r>
        <w:t xml:space="preserve">fault; Gunawi et al. collected over a hundred such hardware cases from large production systems [Gunawi et al. 2018]); and a process whose heartbeat thread runs happily while its request-handling threads are deadlocked.</w:t>
      </w:r>
    </w:p>
    <w:p>
      <w:pPr>
        <w:pStyle w:val="BodyText"/>
      </w:pPr>
      <w:r>
        <w:rPr>
          <w:bCs/>
          <w:b/>
        </w:rPr>
        <w:t xml:space="preserve">Figure 24.6 — Gray failure is a disagreement between observers.</w:t>
      </w:r>
    </w:p>
    <w:p>
      <w:pPr>
        <w:pStyle w:val="BodyText"/>
      </w:pPr>
      <w:r>
        <w:drawing>
          <wp:inline>
            <wp:extent cx="5334000" cy="1694000"/>
            <wp:effectExtent b="0" l="0" r="0" t="0"/>
            <wp:docPr descr="" title="" id="2695" name="Picture"/>
            <a:graphic>
              <a:graphicData uri="http://schemas.openxmlformats.org/drawingml/2006/picture">
                <pic:pic>
                  <pic:nvPicPr>
                    <pic:cNvPr descr="/home/user/System-Design/build/.cache/diagrams/7e9a9317e8e9.png" id="2696" name="Picture"/>
                    <pic:cNvPicPr>
                      <a:picLocks noChangeArrowheads="1" noChangeAspect="1"/>
                    </pic:cNvPicPr>
                  </pic:nvPicPr>
                  <pic:blipFill>
                    <a:blip r:embed="rId2694"/>
                    <a:stretch>
                      <a:fillRect/>
                    </a:stretch>
                  </pic:blipFill>
                  <pic:spPr bwMode="auto">
                    <a:xfrm>
                      <a:off x="0" y="0"/>
                      <a:ext cx="5334000" cy="1694000"/>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failure detector probes the storage node with a cheap heartbeat that never touches the disk, so it gets fast replies and concludes</w:t>
      </w:r>
      <w:r>
        <w:t xml:space="preserve"> </w:t>
      </w:r>
      <w:r>
        <w:t xml:space="preserve">“</w:t>
      </w:r>
      <w:r>
        <w:t xml:space="preserve">healthy</w:t>
      </w:r>
      <w:r>
        <w:t xml:space="preserve">”</w:t>
      </w:r>
      <w:r>
        <w:t xml:space="preserve">. The application’s synchronous read and write requests go through the slow disk and time out (dotted arrow: the response effectively never arrives in time). The storage boundary, the node’s disk, is the failure point, and it is invisible to the probe. Because the detector says healthy, the load balancer keeps sending traffic and no failover happens; adding more nodes does not help, since the sick node still receives its share. The fix is to make the detector observe what the application observes.</w:t>
      </w:r>
    </w:p>
    <w:p>
      <w:pPr>
        <w:pStyle w:val="BodyText"/>
      </w:pPr>
      <w:r>
        <w:t xml:space="preserve">Huang et al. recommend closing the observation gap: detect with what applications experience. In practice:</w:t>
      </w:r>
      <w:r>
        <w:t xml:space="preserve"> </w:t>
      </w:r>
      <w:r>
        <w:rPr>
          <w:bCs/>
          <w:b/>
        </w:rPr>
        <w:t xml:space="preserve">health checks that exercise the real dependency path</w:t>
      </w:r>
      <w:r>
        <w:t xml:space="preserve">,</w:t>
      </w:r>
      <w:r>
        <w:t xml:space="preserve"> </w:t>
      </w:r>
      <w:r>
        <w:rPr>
          <w:bCs/>
          <w:b/>
        </w:rPr>
        <w:t xml:space="preserve">outlier ejection</w:t>
      </w:r>
      <w:r>
        <w:t xml:space="preserve"> </w:t>
      </w:r>
      <w:r>
        <w:t xml:space="preserve">of nodes whose client-observed errors or latency are far worse than their peers’ (passive health checks, §19.5), and treating</w:t>
      </w:r>
      <w:r>
        <w:t xml:space="preserve"> </w:t>
      </w:r>
      <w:r>
        <w:t xml:space="preserve">“</w:t>
      </w:r>
      <w:r>
        <w:t xml:space="preserve">too slow</w:t>
      </w:r>
      <w:r>
        <w:t xml:space="preserve">”</w:t>
      </w:r>
      <w:r>
        <w:t xml:space="preserve"> </w:t>
      </w:r>
      <w:r>
        <w:t xml:space="preserve">as down.</w:t>
      </w:r>
    </w:p>
    <w:bookmarkEnd w:id="2697"/>
    <w:bookmarkStart w:id="2699" w:name="X909dd70238ae1062477a551c49d99f882c6da13"/>
    <w:p>
      <w:pPr>
        <w:pStyle w:val="Heading3"/>
      </w:pPr>
      <w:r>
        <w:t xml:space="preserve">24.8.3 Timeouts: the only failure detector you have</w:t>
      </w:r>
    </w:p>
    <w:p>
      <w:pPr>
        <w:pStyle w:val="FirstParagraph"/>
      </w:pPr>
      <w:r>
        <w:t xml:space="preserve">Without timing bounds you cannot</w:t>
      </w:r>
      <w:r>
        <w:t xml:space="preserve"> </w:t>
      </w:r>
      <w:r>
        <w:rPr>
          <w:iCs/>
          <w:i/>
        </w:rPr>
        <w:t xml:space="preserve">know</w:t>
      </w:r>
      <w:r>
        <w:t xml:space="preserve"> </w:t>
      </w:r>
      <w:r>
        <w:t xml:space="preserve">that a node crashed; you only see silence. Every failure detector, from a timeout to phi-accrual or SWIM (§27.10), turns silence into a</w:t>
      </w:r>
      <w:r>
        <w:t xml:space="preserve"> </w:t>
      </w:r>
      <w:r>
        <w:rPr>
          <w:iCs/>
          <w:i/>
        </w:rPr>
        <w:t xml:space="preserve">suspicion</w:t>
      </w:r>
      <w:r>
        <w:t xml:space="preserve">.</w:t>
      </w:r>
    </w:p>
    <w:bookmarkStart w:id="2698" w:name="Xf4179596b23ae129d124c61cd13d9e20483aa84"/>
    <w:p>
      <w:pPr>
        <w:pStyle w:val="Heading4"/>
      </w:pPr>
      <w:r>
        <w:t xml:space="preserve">Mathematical foundations: choosing a timeout</w:t>
      </w:r>
    </w:p>
    <w:p>
      <w:pPr>
        <w:pStyle w:val="CalloutFormula"/>
      </w:pPr>
      <w:r>
        <w:rPr>
          <w:bCs/>
          <w:b/>
        </w:rPr>
        <w:t xml:space="preserve">FORMULA</w:t>
      </w:r>
    </w:p>
    <w:p>
      <w:pPr>
        <w:pStyle w:val="CalloutFormula"/>
      </w:pPr>
      <w:r>
        <w:rPr>
          <w:bCs/>
          <w:b/>
        </w:rPr>
        <w:t xml:space="preserve">Timeout from bounded delays, and its practical percentile form</w:t>
      </w:r>
    </w:p>
    <w:p>
      <w:pPr>
        <w:pStyle w:val="CalloutFormula"/>
      </w:pPr>
      <m:oMathPara>
        <m:oMathParaPr>
          <m:jc m:val="center"/>
        </m:oMathParaPr>
        <m:oMath>
          <m:r>
            <m:t>T</m:t>
          </m:r>
          <m:r>
            <m:rPr>
              <m:sty m:val="p"/>
            </m:rPr>
            <m:t>=</m:t>
          </m:r>
          <m:r>
            <m:t>2</m:t>
          </m:r>
          <m:r>
            <m:t>d</m:t>
          </m:r>
          <m:r>
            <m:rPr>
              <m:sty m:val="p"/>
            </m:rPr>
            <m:t>+</m:t>
          </m:r>
          <m:r>
            <m:t>r</m:t>
          </m:r>
          <m:r>
            <m:t>  </m:t>
          </m:r>
          <m:r>
            <m:t>  </m:t>
          </m:r>
          <m:sSub>
            <m:e>
              <m:r>
                <m:t>T</m:t>
              </m:r>
            </m:e>
            <m:sub>
              <m:r>
                <m:rPr>
                  <m:nor/>
                  <m:sty m:val="p"/>
                </m:rPr>
                <m:t>practical</m:t>
              </m:r>
            </m:sub>
          </m:sSub>
          <m:r>
            <m:rPr>
              <m:sty m:val="p"/>
            </m:rPr>
            <m:t>=</m:t>
          </m:r>
          <m:sSub>
            <m:e>
              <m:r>
                <m:rPr>
                  <m:nor/>
                  <m:sty m:val="p"/>
                </m:rPr>
                <m:t>RTT</m:t>
              </m:r>
            </m:e>
            <m:sub>
              <m:r>
                <m:t>p</m:t>
              </m:r>
              <m:r>
                <m:t>99.9</m:t>
              </m:r>
            </m:sub>
          </m:sSub>
          <m:r>
            <m:rPr>
              <m:sty m:val="p"/>
            </m:rPr>
            <m:t>+</m:t>
          </m:r>
          <m:sSub>
            <m:e>
              <m:r>
                <m:t>r</m:t>
              </m:r>
            </m:e>
            <m:sub>
              <m:r>
                <m:t>p</m:t>
              </m:r>
              <m:r>
                <m:t>99.9</m:t>
              </m:r>
            </m:sub>
          </m:sSub>
          <m:r>
            <m:rPr>
              <m:sty m:val="p"/>
            </m:rPr>
            <m:t>+</m:t>
          </m:r>
          <m:r>
            <m:t>m</m:t>
          </m:r>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d</m:t>
              </m:r>
            </m:oMath>
          </w:p>
        </w:tc>
        <w:tc>
          <w:tcPr/>
          <w:p>
            <w:pPr>
              <w:pStyle w:val="Compact"/>
              <w:jc w:val="left"/>
            </w:pPr>
            <w:r>
              <w:t xml:space="preserve">Upper bound on one-way network delay</w:t>
            </w:r>
          </w:p>
        </w:tc>
        <w:tc>
          <w:tcPr/>
          <w:p>
            <w:pPr>
              <w:pStyle w:val="Compact"/>
              <w:jc w:val="left"/>
            </w:pPr>
            <w:r>
              <w:t xml:space="preserve">s</w:t>
            </w:r>
          </w:p>
        </w:tc>
      </w:tr>
      <w:tr>
        <w:tc>
          <w:tcPr/>
          <w:p>
            <w:pPr>
              <w:pStyle w:val="Compact"/>
              <w:jc w:val="left"/>
            </w:pPr>
            <m:oMath>
              <m:r>
                <m:t>r</m:t>
              </m:r>
            </m:oMath>
          </w:p>
        </w:tc>
        <w:tc>
          <w:tcPr/>
          <w:p>
            <w:pPr>
              <w:pStyle w:val="Compact"/>
              <w:jc w:val="left"/>
            </w:pPr>
            <w:r>
              <w:t xml:space="preserve">Upper bound on the time the remote node takes to process the request</w:t>
            </w:r>
          </w:p>
        </w:tc>
        <w:tc>
          <w:tcPr/>
          <w:p>
            <w:pPr>
              <w:pStyle w:val="Compact"/>
              <w:jc w:val="left"/>
            </w:pPr>
            <w:r>
              <w:t xml:space="preserve">s</w:t>
            </w:r>
          </w:p>
        </w:tc>
      </w:tr>
      <w:tr>
        <w:tc>
          <w:tcPr/>
          <w:p>
            <w:pPr>
              <w:pStyle w:val="Compact"/>
              <w:jc w:val="left"/>
            </w:pPr>
            <m:oMath>
              <m:r>
                <m:t>T</m:t>
              </m:r>
            </m:oMath>
          </w:p>
        </w:tc>
        <w:tc>
          <w:tcPr/>
          <w:p>
            <w:pPr>
              <w:pStyle w:val="Compact"/>
              <w:jc w:val="left"/>
            </w:pPr>
            <w:r>
              <w:t xml:space="preserve">Timeout after which the absence of a reply proves a fault (only if the bounds are real)</w:t>
            </w:r>
          </w:p>
        </w:tc>
        <w:tc>
          <w:tcPr/>
          <w:p>
            <w:pPr>
              <w:pStyle w:val="Compact"/>
              <w:jc w:val="left"/>
            </w:pPr>
            <w:r>
              <w:t xml:space="preserve">s</w:t>
            </w:r>
          </w:p>
        </w:tc>
      </w:tr>
      <w:tr>
        <w:tc>
          <w:tcPr/>
          <w:p>
            <w:pPr>
              <w:pStyle w:val="Compact"/>
              <w:jc w:val="left"/>
            </w:pPr>
            <m:oMath>
              <m:sSub>
                <m:e>
                  <m:r>
                    <m:rPr>
                      <m:nor/>
                      <m:sty m:val="p"/>
                    </m:rPr>
                    <m:t>RTT</m:t>
                  </m:r>
                </m:e>
                <m:sub>
                  <m:r>
                    <m:t>p</m:t>
                  </m:r>
                  <m:r>
                    <m:t>99.9</m:t>
                  </m:r>
                </m:sub>
              </m:sSub>
            </m:oMath>
          </w:p>
        </w:tc>
        <w:tc>
          <w:tcPr/>
          <w:p>
            <w:pPr>
              <w:pStyle w:val="Compact"/>
              <w:jc w:val="left"/>
            </w:pPr>
            <w:r>
              <w:t xml:space="preserve">Measured 99.9th-percentile round-trip time</w:t>
            </w:r>
          </w:p>
        </w:tc>
        <w:tc>
          <w:tcPr/>
          <w:p>
            <w:pPr>
              <w:pStyle w:val="Compact"/>
              <w:jc w:val="left"/>
            </w:pPr>
            <w:r>
              <w:t xml:space="preserve">s</w:t>
            </w:r>
          </w:p>
        </w:tc>
      </w:tr>
      <w:tr>
        <w:tc>
          <w:tcPr/>
          <w:p>
            <w:pPr>
              <w:pStyle w:val="Compact"/>
              <w:jc w:val="left"/>
            </w:pPr>
            <m:oMath>
              <m:sSub>
                <m:e>
                  <m:r>
                    <m:t>r</m:t>
                  </m:r>
                </m:e>
                <m:sub>
                  <m:r>
                    <m:t>p</m:t>
                  </m:r>
                  <m:r>
                    <m:t>99.9</m:t>
                  </m:r>
                </m:sub>
              </m:sSub>
            </m:oMath>
          </w:p>
        </w:tc>
        <w:tc>
          <w:tcPr/>
          <w:p>
            <w:pPr>
              <w:pStyle w:val="Compact"/>
              <w:jc w:val="left"/>
            </w:pPr>
            <w:r>
              <w:t xml:space="preserve">Measured 99.9th-percentile processing time</w:t>
            </w:r>
          </w:p>
        </w:tc>
        <w:tc>
          <w:tcPr/>
          <w:p>
            <w:pPr>
              <w:pStyle w:val="Compact"/>
              <w:jc w:val="left"/>
            </w:pPr>
            <w:r>
              <w:t xml:space="preserve">s</w:t>
            </w:r>
          </w:p>
        </w:tc>
      </w:tr>
      <w:tr>
        <w:tc>
          <w:tcPr/>
          <w:p>
            <w:pPr>
              <w:pStyle w:val="Compact"/>
              <w:jc w:val="left"/>
            </w:pPr>
            <m:oMath>
              <m:r>
                <m:t>m</m:t>
              </m:r>
            </m:oMath>
          </w:p>
        </w:tc>
        <w:tc>
          <w:tcPr/>
          <w:p>
            <w:pPr>
              <w:pStyle w:val="Compact"/>
              <w:jc w:val="left"/>
            </w:pPr>
            <w:r>
              <w:t xml:space="preserve">Safety margin for pauses (garbage collection, scheduling)</w:t>
            </w:r>
          </w:p>
        </w:tc>
        <w:tc>
          <w:tcPr/>
          <w:p>
            <w:pPr>
              <w:pStyle w:val="Compact"/>
              <w:jc w:val="left"/>
            </w:pPr>
            <w:r>
              <w:t xml:space="preserve">s</w:t>
            </w:r>
          </w:p>
        </w:tc>
      </w:tr>
    </w:tbl>
    <w:p>
      <w:pPr>
        <w:pStyle w:val="BodyText"/>
      </w:pPr>
      <w:r>
        <w:t xml:space="preserve">With real bounds, silence beyond</w:t>
      </w:r>
      <w:r>
        <w:t xml:space="preserve"> </w:t>
      </w:r>
      <m:oMath>
        <m:r>
          <m:t>2</m:t>
        </m:r>
        <m:r>
          <m:t>d</m:t>
        </m:r>
        <m:r>
          <m:rPr>
            <m:sty m:val="p"/>
          </m:rPr>
          <m:t>+</m:t>
        </m:r>
        <m:r>
          <m:t>r</m:t>
        </m:r>
      </m:oMath>
      <w:r>
        <w:t xml:space="preserve"> </w:t>
      </w:r>
      <w:r>
        <w:t xml:space="preserve">would prove a fault. Real networks have none, so the practical form accepts a small, chosen probability of mistaking slow for dead.</w:t>
      </w:r>
    </w:p>
    <w:p>
      <w:pPr>
        <w:pStyle w:val="CalloutExample"/>
      </w:pPr>
      <w:r>
        <w:rPr>
          <w:bCs/>
          <w:b/>
        </w:rPr>
        <w:t xml:space="preserve">WORKED EXAMPLE</w:t>
      </w:r>
    </w:p>
    <w:p>
      <w:pPr>
        <w:pStyle w:val="CalloutExample"/>
      </w:pPr>
      <w:r>
        <w:rPr>
          <w:bCs/>
          <w:b/>
        </w:rPr>
        <w:t xml:space="preserve">Worked example — Timeout for PhotoShare’s metadata replicas.</w:t>
      </w:r>
    </w:p>
    <w:p>
      <w:pPr>
        <w:numPr>
          <w:ilvl w:val="0"/>
          <w:numId w:val="1786"/>
        </w:numPr>
        <w:pStyle w:val="Compact"/>
      </w:pPr>
      <w:r>
        <w:t xml:space="preserve">Measured inside one region: RTT p50 = 0.4 ms, p99.9 = 4 ms; processing p99.9 = 20 ms.</w:t>
      </w:r>
    </w:p>
    <w:p>
      <w:pPr>
        <w:numPr>
          <w:ilvl w:val="0"/>
          <w:numId w:val="1786"/>
        </w:numPr>
        <w:pStyle w:val="Compact"/>
      </w:pPr>
      <w:r>
        <w:t xml:space="preserve">Garbage-collection pauses on these JVM nodes reach 150 ms a few times a day; choose</w:t>
      </w:r>
      <w:r>
        <w:t xml:space="preserve"> </w:t>
      </w:r>
      <m:oMath>
        <m:r>
          <m:t>m</m:t>
        </m:r>
        <m:r>
          <m:rPr>
            <m:sty m:val="p"/>
          </m:rPr>
          <m:t>=</m:t>
        </m:r>
        <m:r>
          <m:t>200</m:t>
        </m:r>
      </m:oMath>
      <w:r>
        <w:t xml:space="preserve"> </w:t>
      </w:r>
      <w:r>
        <w:t xml:space="preserve">ms.</w:t>
      </w:r>
    </w:p>
    <w:p>
      <w:pPr>
        <w:numPr>
          <w:ilvl w:val="0"/>
          <w:numId w:val="1786"/>
        </w:numPr>
        <w:pStyle w:val="Compact"/>
      </w:pPr>
      <m:oMath>
        <m:sSub>
          <m:e>
            <m:r>
              <m:t>T</m:t>
            </m:r>
          </m:e>
          <m:sub>
            <m:r>
              <m:rPr>
                <m:nor/>
                <m:sty m:val="p"/>
              </m:rPr>
              <m:t>practical</m:t>
            </m:r>
          </m:sub>
        </m:sSub>
        <m:r>
          <m:rPr>
            <m:sty m:val="p"/>
          </m:rPr>
          <m:t>=</m:t>
        </m:r>
        <m:r>
          <m:t>4</m:t>
        </m:r>
        <m:r>
          <m:rPr>
            <m:sty m:val="p"/>
          </m:rPr>
          <m:t>+</m:t>
        </m:r>
        <m:r>
          <m:t>20</m:t>
        </m:r>
        <m:r>
          <m:rPr>
            <m:sty m:val="p"/>
          </m:rPr>
          <m:t>+</m:t>
        </m:r>
        <m:r>
          <m:t>200</m:t>
        </m:r>
        <m:r>
          <m:rPr>
            <m:sty m:val="p"/>
          </m:rPr>
          <m:t>=</m:t>
        </m:r>
        <m:r>
          <m:t>224</m:t>
        </m:r>
      </m:oMath>
      <w:r>
        <w:t xml:space="preserve"> </w:t>
      </w:r>
      <w:r>
        <w:t xml:space="preserve">ms; round to 250 ms for a request timeout.</w:t>
      </w:r>
    </w:p>
    <w:p>
      <w:pPr>
        <w:numPr>
          <w:ilvl w:val="0"/>
          <w:numId w:val="1786"/>
        </w:numPr>
        <w:pStyle w:val="Compact"/>
      </w:pPr>
      <w:r>
        <w:t xml:space="preserve">For declaring a</w:t>
      </w:r>
      <w:r>
        <w:t xml:space="preserve"> </w:t>
      </w:r>
      <w:r>
        <w:rPr>
          <w:iCs/>
          <w:i/>
        </w:rPr>
        <w:t xml:space="preserve">node</w:t>
      </w:r>
      <w:r>
        <w:t xml:space="preserve"> </w:t>
      </w:r>
      <w:r>
        <w:t xml:space="preserve">dead (which triggers failover), require several consecutive misses: with heartbeats every 250 ms and 4 misses, detection takes about 1 s.</w:t>
      </w:r>
    </w:p>
    <w:p>
      <w:pPr>
        <w:pStyle w:val="CalloutExample"/>
      </w:pPr>
      <w:r>
        <w:t xml:space="preserve">Interpretation: the pause margin, not the network, dominates. Too low a</w:t>
      </w:r>
      <w:r>
        <w:t xml:space="preserve"> </w:t>
      </w:r>
      <m:oMath>
        <m:r>
          <m:t>T</m:t>
        </m:r>
      </m:oMath>
      <w:r>
        <w:t xml:space="preserve"> </w:t>
      </w:r>
      <w:r>
        <w:t xml:space="preserve">causes false failovers that can cascade; too high leaves users waiting. Engineering implication: measure pauses and tail latency first, use a short timeout for retrying a request (§22.11) and a longer, multi-miss rule for failing over a node, and prefer adaptive detectors (§27.10).</w:t>
      </w:r>
    </w:p>
    <w:p>
      <w:pPr>
        <w:pStyle w:val="BodyText"/>
      </w:pPr>
      <w:r>
        <w:rPr>
          <w:bCs/>
          <w:b/>
        </w:rPr>
        <w:t xml:space="preserve">Table 24.7 — Partial-failure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Duplicate side effect after timeout</w:t>
            </w:r>
          </w:p>
        </w:tc>
        <w:tc>
          <w:tcPr/>
          <w:p>
            <w:pPr>
              <w:pStyle w:val="Compact"/>
              <w:jc w:val="left"/>
            </w:pPr>
            <w:r>
              <w:t xml:space="preserve">Request succeeded, response lost; client retried</w:t>
            </w:r>
          </w:p>
        </w:tc>
        <w:tc>
          <w:tcPr/>
          <w:p>
            <w:pPr>
              <w:pStyle w:val="Compact"/>
              <w:jc w:val="left"/>
            </w:pPr>
            <w:r>
              <w:t xml:space="preserve">Duplicate rows, double charges</w:t>
            </w:r>
          </w:p>
        </w:tc>
        <w:tc>
          <w:tcPr/>
          <w:p>
            <w:pPr>
              <w:pStyle w:val="Compact"/>
              <w:jc w:val="left"/>
            </w:pPr>
            <w:r>
              <w:t xml:space="preserve">Compensate or deduplicate</w:t>
            </w:r>
          </w:p>
        </w:tc>
        <w:tc>
          <w:tcPr/>
          <w:p>
            <w:pPr>
              <w:pStyle w:val="Compact"/>
              <w:jc w:val="left"/>
            </w:pPr>
            <w:r>
              <w:t xml:space="preserve">Idempotency keys (§22.15)</w:t>
            </w:r>
          </w:p>
        </w:tc>
      </w:tr>
      <w:tr>
        <w:tc>
          <w:tcPr/>
          <w:p>
            <w:pPr>
              <w:pStyle w:val="Compact"/>
              <w:jc w:val="left"/>
            </w:pPr>
            <w:r>
              <w:t xml:space="preserve">Healthy node declared dead</w:t>
            </w:r>
          </w:p>
        </w:tc>
        <w:tc>
          <w:tcPr/>
          <w:p>
            <w:pPr>
              <w:pStyle w:val="Compact"/>
              <w:jc w:val="left"/>
            </w:pPr>
            <w:r>
              <w:t xml:space="preserve">Timeout shorter than a garbage-collection pause</w:t>
            </w:r>
          </w:p>
        </w:tc>
        <w:tc>
          <w:tcPr/>
          <w:p>
            <w:pPr>
              <w:pStyle w:val="Compact"/>
              <w:jc w:val="left"/>
            </w:pPr>
            <w:r>
              <w:t xml:space="preserve">Failover events correlated with pause logs</w:t>
            </w:r>
          </w:p>
        </w:tc>
        <w:tc>
          <w:tcPr/>
          <w:p>
            <w:pPr>
              <w:pStyle w:val="Compact"/>
              <w:jc w:val="left"/>
            </w:pPr>
            <w:r>
              <w:t xml:space="preserve">Let the node rejoin as follower</w:t>
            </w:r>
          </w:p>
        </w:tc>
        <w:tc>
          <w:tcPr/>
          <w:p>
            <w:pPr>
              <w:pStyle w:val="Compact"/>
              <w:jc w:val="left"/>
            </w:pPr>
            <w:r>
              <w:t xml:space="preserve">Timeouts from measured p99.9 plus pause margin; several misses</w:t>
            </w:r>
          </w:p>
        </w:tc>
      </w:tr>
      <w:tr>
        <w:tc>
          <w:tcPr/>
          <w:p>
            <w:pPr>
              <w:pStyle w:val="Compact"/>
              <w:jc w:val="left"/>
            </w:pPr>
            <w:r>
              <w:t xml:space="preserve">Sick node kept in rotation</w:t>
            </w:r>
          </w:p>
        </w:tc>
        <w:tc>
          <w:tcPr/>
          <w:p>
            <w:pPr>
              <w:pStyle w:val="Compact"/>
              <w:jc w:val="left"/>
            </w:pPr>
            <w:r>
              <w:t xml:space="preserve">Gray failure: health check misses the slow path</w:t>
            </w:r>
          </w:p>
        </w:tc>
        <w:tc>
          <w:tcPr/>
          <w:p>
            <w:pPr>
              <w:pStyle w:val="Compact"/>
              <w:jc w:val="left"/>
            </w:pPr>
            <w:r>
              <w:t xml:space="preserve">Client-side p99 and error rate high for one node</w:t>
            </w:r>
          </w:p>
        </w:tc>
        <w:tc>
          <w:tcPr/>
          <w:p>
            <w:pPr>
              <w:pStyle w:val="Compact"/>
              <w:jc w:val="left"/>
            </w:pPr>
            <w:r>
              <w:t xml:space="preserve">Eject the node manually</w:t>
            </w:r>
          </w:p>
        </w:tc>
        <w:tc>
          <w:tcPr/>
          <w:p>
            <w:pPr>
              <w:pStyle w:val="Compact"/>
              <w:jc w:val="left"/>
            </w:pPr>
            <w:r>
              <w:t xml:space="preserve">Deep health checks; outlier ejection</w:t>
            </w:r>
          </w:p>
        </w:tc>
      </w:tr>
      <w:tr>
        <w:tc>
          <w:tcPr/>
          <w:p>
            <w:pPr>
              <w:pStyle w:val="Compact"/>
              <w:jc w:val="left"/>
            </w:pPr>
            <w:r>
              <w:t xml:space="preserve">Cascading slowness</w:t>
            </w:r>
          </w:p>
        </w:tc>
        <w:tc>
          <w:tcPr/>
          <w:p>
            <w:pPr>
              <w:pStyle w:val="Compact"/>
              <w:jc w:val="left"/>
            </w:pPr>
            <w:r>
              <w:t xml:space="preserve">Callers wait the full timeout on a slow dependency</w:t>
            </w:r>
          </w:p>
        </w:tc>
        <w:tc>
          <w:tcPr/>
          <w:p>
            <w:pPr>
              <w:pStyle w:val="Compact"/>
              <w:jc w:val="left"/>
            </w:pPr>
            <w:r>
              <w:t xml:space="preserve">Thread pools full; latency rises everywhere</w:t>
            </w:r>
          </w:p>
        </w:tc>
        <w:tc>
          <w:tcPr/>
          <w:p>
            <w:pPr>
              <w:pStyle w:val="Compact"/>
              <w:jc w:val="left"/>
            </w:pPr>
            <w:r>
              <w:t xml:space="preserve">Shed load; open circuit breakers</w:t>
            </w:r>
          </w:p>
        </w:tc>
        <w:tc>
          <w:tcPr/>
          <w:p>
            <w:pPr>
              <w:pStyle w:val="Compact"/>
              <w:jc w:val="left"/>
            </w:pPr>
            <w:r>
              <w:t xml:space="preserve">Deadlines, bulkheads, breakers (§22.11–§22.14)</w:t>
            </w:r>
          </w:p>
        </w:tc>
      </w:tr>
    </w:tbl>
    <w:p>
      <w:pPr>
        <w:pStyle w:val="CalloutMistake"/>
      </w:pPr>
      <w:r>
        <w:rPr>
          <w:bCs/>
          <w:b/>
        </w:rPr>
        <w:t xml:space="preserve">COMMON MISTAKE</w:t>
      </w:r>
    </w:p>
    <w:p>
      <w:pPr>
        <w:pStyle w:val="CalloutMistake"/>
      </w:pPr>
      <w:r>
        <w:rPr>
          <w:bCs/>
          <w:b/>
        </w:rPr>
        <w:t xml:space="preserve">Mistake —</w:t>
      </w:r>
      <w:r>
        <w:rPr>
          <w:bCs/>
          <w:b/>
        </w:rPr>
        <w:t xml:space="preserve"> </w:t>
      </w:r>
      <w:r>
        <w:rPr>
          <w:bCs/>
          <w:b/>
        </w:rPr>
        <w:t xml:space="preserve">“</w:t>
      </w:r>
      <w:r>
        <w:rPr>
          <w:bCs/>
          <w:b/>
        </w:rPr>
        <w:t xml:space="preserve">If the node answered the health check, it is up.</w:t>
      </w:r>
      <w:r>
        <w:rPr>
          <w:bCs/>
          <w:b/>
        </w:rPr>
        <w:t xml:space="preserve">”</w:t>
      </w:r>
      <w:r>
        <w:t xml:space="preserve"> </w:t>
      </w:r>
      <w:r>
        <w:t xml:space="preserve">A health check answers one narrow question. Health is what clients experience.</w:t>
      </w:r>
    </w:p>
    <w:bookmarkEnd w:id="2698"/>
    <w:bookmarkEnd w:id="2699"/>
    <w:bookmarkEnd w:id="2700"/>
    <w:bookmarkStart w:id="2719" w:name="physical-clocks-drift-ntp-ptp-and-skew"/>
    <w:p>
      <w:pPr>
        <w:pStyle w:val="Heading2"/>
      </w:pPr>
      <w:r>
        <w:t xml:space="preserve">24.9 Physical clocks: drift, NTP, PTP and skew</w:t>
      </w:r>
    </w:p>
    <w:bookmarkStart w:id="2701" w:name="two-clocks-in-every-computer"/>
    <w:p>
      <w:pPr>
        <w:pStyle w:val="Heading3"/>
      </w:pPr>
      <w:r>
        <w:t xml:space="preserve">24.9.1 Two clocks in every computer</w:t>
      </w:r>
    </w:p>
    <w:p>
      <w:pPr>
        <w:pStyle w:val="CalloutDefinition"/>
      </w:pPr>
      <w:r>
        <w:rPr>
          <w:bCs/>
          <w:b/>
        </w:rPr>
        <w:t xml:space="preserve">DEFINITION</w:t>
      </w:r>
    </w:p>
    <w:p>
      <w:pPr>
        <w:pStyle w:val="CalloutDefinition"/>
      </w:pPr>
      <w:r>
        <w:rPr>
          <w:bCs/>
          <w:b/>
        </w:rPr>
        <w:t xml:space="preserve">Definition — Time-of-day clock and monotonic clock.</w:t>
      </w:r>
      <w:r>
        <w:t xml:space="preserve"> </w:t>
      </w:r>
      <w:r>
        <w:t xml:space="preserve">A</w:t>
      </w:r>
      <w:r>
        <w:t xml:space="preserve"> </w:t>
      </w:r>
      <w:r>
        <w:rPr>
          <w:bCs/>
          <w:b/>
        </w:rPr>
        <w:t xml:space="preserve">time-of-day</w:t>
      </w:r>
      <w:r>
        <w:t xml:space="preserve"> </w:t>
      </w:r>
      <w:r>
        <w:t xml:space="preserve">(wall-clock) clock returns the current date and time, for example as seconds since the Unix epoch (Linux</w:t>
      </w:r>
      <w:r>
        <w:t xml:space="preserve"> </w:t>
      </w:r>
      <w:r>
        <w:rPr>
          <w:rStyle w:val="VerbatimChar"/>
        </w:rPr>
        <w:t xml:space="preserve">CLOCK_REALTIME</w:t>
      </w:r>
      <w:r>
        <w:t xml:space="preserve">, Python</w:t>
      </w:r>
      <w:r>
        <w:t xml:space="preserve"> </w:t>
      </w:r>
      <w:r>
        <w:rPr>
          <w:rStyle w:val="VerbatimChar"/>
        </w:rPr>
        <w:t xml:space="preserve">time.time()</w:t>
      </w:r>
      <w:r>
        <w:t xml:space="preserve">). It is synchronized with other machines and</w:t>
      </w:r>
      <w:r>
        <w:t xml:space="preserve"> </w:t>
      </w:r>
      <w:r>
        <w:rPr>
          <w:iCs/>
          <w:i/>
        </w:rPr>
        <w:t xml:space="preserve">can jump</w:t>
      </w:r>
      <w:r>
        <w:t xml:space="preserve"> </w:t>
      </w:r>
      <w:r>
        <w:t xml:space="preserve">forward or backward when corrected. A</w:t>
      </w:r>
      <w:r>
        <w:t xml:space="preserve"> </w:t>
      </w:r>
      <w:r>
        <w:rPr>
          <w:bCs/>
          <w:b/>
        </w:rPr>
        <w:t xml:space="preserve">monotonic</w:t>
      </w:r>
      <w:r>
        <w:t xml:space="preserve"> </w:t>
      </w:r>
      <w:r>
        <w:t xml:space="preserve">clock (Linux</w:t>
      </w:r>
      <w:r>
        <w:t xml:space="preserve"> </w:t>
      </w:r>
      <w:r>
        <w:rPr>
          <w:rStyle w:val="VerbatimChar"/>
        </w:rPr>
        <w:t xml:space="preserve">CLOCK_MONOTONIC</w:t>
      </w:r>
      <w:r>
        <w:t xml:space="preserve">, Python</w:t>
      </w:r>
      <w:r>
        <w:t xml:space="preserve"> </w:t>
      </w:r>
      <w:r>
        <w:rPr>
          <w:rStyle w:val="VerbatimChar"/>
        </w:rPr>
        <w:t xml:space="preserve">time.monotonic()</w:t>
      </w:r>
      <w:r>
        <w:t xml:space="preserve">) only moves forward at a steady rate from an arbitrary starting point. It is meaningless across machines but correct for measuring durations on one machine.</w:t>
      </w:r>
    </w:p>
    <w:p>
      <w:pPr>
        <w:pStyle w:val="BodyText"/>
      </w:pPr>
      <w:r>
        <w:t xml:space="preserve">Use the monotonic clock for timeouts, rate-limiter refill (§22.4) and latency; never assume two machines’ wall clocks agree.</w:t>
      </w:r>
    </w:p>
    <w:bookmarkEnd w:id="2701"/>
    <w:bookmarkStart w:id="2702" w:name="quartz-drift"/>
    <w:p>
      <w:pPr>
        <w:pStyle w:val="Heading3"/>
      </w:pPr>
      <w:r>
        <w:t xml:space="preserve">24.9.2 Quartz drift</w:t>
      </w:r>
    </w:p>
    <w:p>
      <w:pPr>
        <w:pStyle w:val="FirstParagraph"/>
      </w:pPr>
      <w:r>
        <w:t xml:space="preserve">A computer counts the vibrations of a quartz crystal whose frequency varies with manufacturing tolerance, temperature and age. The error is expressed in</w:t>
      </w:r>
      <w:r>
        <w:t xml:space="preserve"> </w:t>
      </w:r>
      <w:r>
        <w:rPr>
          <w:bCs/>
          <w:b/>
        </w:rPr>
        <w:t xml:space="preserve">parts per million (ppm)</w:t>
      </w:r>
      <w:r>
        <w:t xml:space="preserve">: 1 ppm is 1 µs per second, or 86.4 ms per day. Commodity server oscillators typically drift by tens of ppm, and Google’s Spanner design conservatively assumes a worst case of 200 ppm [Corbett et al. 2012].</w:t>
      </w:r>
    </w:p>
    <w:p>
      <w:pPr>
        <w:pStyle w:val="CalloutFormula"/>
      </w:pPr>
      <w:r>
        <w:rPr>
          <w:bCs/>
          <w:b/>
        </w:rPr>
        <w:t xml:space="preserve">FORMULA</w:t>
      </w:r>
    </w:p>
    <w:p>
      <w:pPr>
        <w:pStyle w:val="CalloutFormula"/>
      </w:pPr>
      <w:r>
        <w:rPr>
          <w:bCs/>
          <w:b/>
        </w:rPr>
        <w:t xml:space="preserve">Clock drift and the resynchronization interval</w:t>
      </w:r>
    </w:p>
    <w:p>
      <w:pPr>
        <w:pStyle w:val="CalloutFormula"/>
      </w:pPr>
      <m:oMathPara>
        <m:oMathParaPr>
          <m:jc m:val="center"/>
        </m:oMathParaPr>
        <m:oMath>
          <m:r>
            <m:t>Δ</m:t>
          </m:r>
          <m:d>
            <m:dPr>
              <m:begChr m:val="("/>
              <m:endChr m:val=")"/>
              <m:sepChr m:val=""/>
              <m:grow/>
            </m:dPr>
            <m:e>
              <m:r>
                <m:t>t</m:t>
              </m:r>
            </m:e>
          </m:d>
          <m:r>
            <m:rPr>
              <m:sty m:val="p"/>
            </m:rPr>
            <m:t>=</m:t>
          </m:r>
          <m:r>
            <m:t>ρ</m:t>
          </m:r>
          <m:r>
            <m:t> </m:t>
          </m:r>
          <m:r>
            <m:t>t</m:t>
          </m:r>
          <m:r>
            <m:t>  </m:t>
          </m:r>
          <m:r>
            <m:t>  </m:t>
          </m:r>
          <m:sSub>
            <m:e>
              <m:r>
                <m:t>Δ</m:t>
              </m:r>
            </m:e>
            <m:sub>
              <m:r>
                <m:t>A</m:t>
              </m:r>
              <m:r>
                <m:t>B</m:t>
              </m:r>
            </m:sub>
          </m:sSub>
          <m:d>
            <m:dPr>
              <m:begChr m:val="("/>
              <m:endChr m:val=")"/>
              <m:sepChr m:val=""/>
              <m:grow/>
            </m:dPr>
            <m:e>
              <m:r>
                <m:t>t</m:t>
              </m:r>
            </m:e>
          </m:d>
          <m:r>
            <m:rPr>
              <m:sty m:val="p"/>
            </m:rPr>
            <m:t>≤</m:t>
          </m:r>
          <m:r>
            <m:t>2</m:t>
          </m:r>
          <m:r>
            <m:t>ρ</m:t>
          </m:r>
          <m:r>
            <m:t> </m:t>
          </m:r>
          <m:r>
            <m:t>t</m:t>
          </m:r>
          <m:r>
            <m:t>  </m:t>
          </m:r>
          <m:r>
            <m:t>  </m:t>
          </m:r>
          <m:sSub>
            <m:e>
              <m:r>
                <m:t>T</m:t>
              </m:r>
            </m:e>
            <m:sub>
              <m:r>
                <m:rPr>
                  <m:nor/>
                  <m:sty m:val="p"/>
                </m:rPr>
                <m:t>sync</m:t>
              </m:r>
            </m:sub>
          </m:sSub>
          <m:r>
            <m:rPr>
              <m:sty m:val="p"/>
            </m:rPr>
            <m:t>≤</m:t>
          </m:r>
          <m:f>
            <m:fPr>
              <m:type m:val="bar"/>
            </m:fPr>
            <m:num>
              <m:r>
                <m:t>ε</m:t>
              </m:r>
            </m:num>
            <m:den>
              <m:r>
                <m:t>2</m:t>
              </m:r>
              <m:r>
                <m:t>ρ</m:t>
              </m:r>
            </m:den>
          </m:f>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ρ</m:t>
              </m:r>
            </m:oMath>
          </w:p>
        </w:tc>
        <w:tc>
          <w:tcPr/>
          <w:p>
            <w:pPr>
              <w:pStyle w:val="Compact"/>
              <w:jc w:val="left"/>
            </w:pPr>
            <w:r>
              <w:t xml:space="preserve">Maximum drift rate of one clock</w:t>
            </w:r>
          </w:p>
        </w:tc>
        <w:tc>
          <w:tcPr/>
          <w:p>
            <w:pPr>
              <w:pStyle w:val="Compact"/>
              <w:jc w:val="left"/>
            </w:pPr>
            <w:r>
              <w:t xml:space="preserve">ppm (1 ppm =</w:t>
            </w:r>
            <w:r>
              <w:t xml:space="preserve"> </w:t>
            </w:r>
            <m:oMath>
              <m:sSup>
                <m:e>
                  <m:r>
                    <m:t>10</m:t>
                  </m:r>
                </m:e>
                <m:sup>
                  <m:r>
                    <m:rPr>
                      <m:sty m:val="p"/>
                    </m:rPr>
                    <m:t>−</m:t>
                  </m:r>
                  <m:r>
                    <m:t>6</m:t>
                  </m:r>
                </m:sup>
              </m:sSup>
            </m:oMath>
            <w:r>
              <w:t xml:space="preserve"> </w:t>
            </w:r>
            <w:r>
              <w:t xml:space="preserve">s/s)</w:t>
            </w:r>
          </w:p>
        </w:tc>
      </w:tr>
      <w:tr>
        <w:tc>
          <w:tcPr/>
          <w:p>
            <w:pPr>
              <w:pStyle w:val="Compact"/>
              <w:jc w:val="left"/>
            </w:pPr>
            <m:oMath>
              <m:r>
                <m:t>t</m:t>
              </m:r>
            </m:oMath>
          </w:p>
        </w:tc>
        <w:tc>
          <w:tcPr/>
          <w:p>
            <w:pPr>
              <w:pStyle w:val="Compact"/>
              <w:jc w:val="left"/>
            </w:pPr>
            <w:r>
              <w:t xml:space="preserve">Time since the clock was last synchronized</w:t>
            </w:r>
          </w:p>
        </w:tc>
        <w:tc>
          <w:tcPr/>
          <w:p>
            <w:pPr>
              <w:pStyle w:val="Compact"/>
              <w:jc w:val="left"/>
            </w:pPr>
            <w:r>
              <w:t xml:space="preserve">s</w:t>
            </w:r>
          </w:p>
        </w:tc>
      </w:tr>
      <w:tr>
        <w:tc>
          <w:tcPr/>
          <w:p>
            <w:pPr>
              <w:pStyle w:val="Compact"/>
              <w:jc w:val="left"/>
            </w:pPr>
            <m:oMath>
              <m:r>
                <m:t>Δ</m:t>
              </m:r>
              <m:d>
                <m:dPr>
                  <m:begChr m:val="("/>
                  <m:endChr m:val=")"/>
                  <m:sepChr m:val=""/>
                  <m:grow/>
                </m:dPr>
                <m:e>
                  <m:r>
                    <m:t>t</m:t>
                  </m:r>
                </m:e>
              </m:d>
            </m:oMath>
          </w:p>
        </w:tc>
        <w:tc>
          <w:tcPr/>
          <w:p>
            <w:pPr>
              <w:pStyle w:val="Compact"/>
              <w:jc w:val="left"/>
            </w:pPr>
            <w:r>
              <w:t xml:space="preserve">Worst-case error of one clock relative to true time</w:t>
            </w:r>
          </w:p>
        </w:tc>
        <w:tc>
          <w:tcPr/>
          <w:p>
            <w:pPr>
              <w:pStyle w:val="Compact"/>
              <w:jc w:val="left"/>
            </w:pPr>
            <w:r>
              <w:t xml:space="preserve">s</w:t>
            </w:r>
          </w:p>
        </w:tc>
      </w:tr>
      <w:tr>
        <w:tc>
          <w:tcPr/>
          <w:p>
            <w:pPr>
              <w:pStyle w:val="Compact"/>
              <w:jc w:val="left"/>
            </w:pPr>
            <m:oMath>
              <m:sSub>
                <m:e>
                  <m:r>
                    <m:t>Δ</m:t>
                  </m:r>
                </m:e>
                <m:sub>
                  <m:r>
                    <m:t>A</m:t>
                  </m:r>
                  <m:r>
                    <m:t>B</m:t>
                  </m:r>
                </m:sub>
              </m:sSub>
              <m:d>
                <m:dPr>
                  <m:begChr m:val="("/>
                  <m:endChr m:val=")"/>
                  <m:sepChr m:val=""/>
                  <m:grow/>
                </m:dPr>
                <m:e>
                  <m:r>
                    <m:t>t</m:t>
                  </m:r>
                </m:e>
              </m:d>
            </m:oMath>
          </w:p>
        </w:tc>
        <w:tc>
          <w:tcPr/>
          <w:p>
            <w:pPr>
              <w:pStyle w:val="Compact"/>
              <w:jc w:val="left"/>
            </w:pPr>
            <w:r>
              <w:t xml:space="preserve">Worst-case skew between two clocks drifting in opposite directions</w:t>
            </w:r>
          </w:p>
        </w:tc>
        <w:tc>
          <w:tcPr/>
          <w:p>
            <w:pPr>
              <w:pStyle w:val="Compact"/>
              <w:jc w:val="left"/>
            </w:pPr>
            <w:r>
              <w:t xml:space="preserve">s</w:t>
            </w:r>
          </w:p>
        </w:tc>
      </w:tr>
      <w:tr>
        <w:tc>
          <w:tcPr/>
          <w:p>
            <w:pPr>
              <w:pStyle w:val="Compact"/>
              <w:jc w:val="left"/>
            </w:pPr>
            <m:oMath>
              <m:r>
                <m:t>ε</m:t>
              </m:r>
            </m:oMath>
          </w:p>
        </w:tc>
        <w:tc>
          <w:tcPr/>
          <w:p>
            <w:pPr>
              <w:pStyle w:val="Compact"/>
              <w:jc w:val="left"/>
            </w:pPr>
            <w:r>
              <w:t xml:space="preserve">Largest skew you can tolerate between any two clocks</w:t>
            </w:r>
          </w:p>
        </w:tc>
        <w:tc>
          <w:tcPr/>
          <w:p>
            <w:pPr>
              <w:pStyle w:val="Compact"/>
              <w:jc w:val="left"/>
            </w:pPr>
            <w:r>
              <w:t xml:space="preserve">s</w:t>
            </w:r>
          </w:p>
        </w:tc>
      </w:tr>
      <w:tr>
        <w:tc>
          <w:tcPr/>
          <w:p>
            <w:pPr>
              <w:pStyle w:val="Compact"/>
              <w:jc w:val="left"/>
            </w:pPr>
            <m:oMath>
              <m:sSub>
                <m:e>
                  <m:r>
                    <m:t>T</m:t>
                  </m:r>
                </m:e>
                <m:sub>
                  <m:r>
                    <m:rPr>
                      <m:nor/>
                      <m:sty m:val="p"/>
                    </m:rPr>
                    <m:t>sync</m:t>
                  </m:r>
                </m:sub>
              </m:sSub>
            </m:oMath>
          </w:p>
        </w:tc>
        <w:tc>
          <w:tcPr/>
          <w:p>
            <w:pPr>
              <w:pStyle w:val="Compact"/>
              <w:jc w:val="left"/>
            </w:pPr>
            <w:r>
              <w:t xml:space="preserve">Longest interval between synchronizations that keeps skew within</w:t>
            </w:r>
            <w:r>
              <w:t xml:space="preserve"> </w:t>
            </w:r>
            <m:oMath>
              <m:r>
                <m:t>ε</m:t>
              </m:r>
            </m:oMath>
          </w:p>
        </w:tc>
        <w:tc>
          <w:tcPr/>
          <w:p>
            <w:pPr>
              <w:pStyle w:val="Compact"/>
              <w:jc w:val="left"/>
            </w:pPr>
            <w:r>
              <w:t xml:space="preserve">s</w:t>
            </w:r>
          </w:p>
        </w:tc>
      </w:tr>
    </w:tbl>
    <w:p>
      <w:pPr>
        <w:pStyle w:val="CalloutExample"/>
      </w:pPr>
      <w:r>
        <w:rPr>
          <w:bCs/>
          <w:b/>
        </w:rPr>
        <w:t xml:space="preserve">WORKED EXAMPLE</w:t>
      </w:r>
    </w:p>
    <w:p>
      <w:pPr>
        <w:pStyle w:val="CalloutExample"/>
      </w:pPr>
      <w:r>
        <w:rPr>
          <w:bCs/>
          <w:b/>
        </w:rPr>
        <w:t xml:space="preserve">Worked example — Drift on PhotoShare’s servers, and Spanner’s sawtooth.</w:t>
      </w:r>
    </w:p>
    <w:p>
      <w:pPr>
        <w:numPr>
          <w:ilvl w:val="0"/>
          <w:numId w:val="1787"/>
        </w:numPr>
        <w:pStyle w:val="Compact"/>
      </w:pPr>
      <w:r>
        <w:t xml:space="preserve">A server drifts at</w:t>
      </w:r>
      <w:r>
        <w:t xml:space="preserve"> </w:t>
      </w:r>
      <m:oMath>
        <m:r>
          <m:t>ρ</m:t>
        </m:r>
        <m:r>
          <m:rPr>
            <m:sty m:val="p"/>
          </m:rPr>
          <m:t>=</m:t>
        </m:r>
        <m:r>
          <m:t>50</m:t>
        </m:r>
      </m:oMath>
      <w:r>
        <w:t xml:space="preserve"> </w:t>
      </w:r>
      <w:r>
        <w:t xml:space="preserve">ppm</w:t>
      </w:r>
      <w:r>
        <w:t xml:space="preserve"> </w:t>
      </w:r>
      <m:oMath>
        <m:r>
          <m:rPr>
            <m:sty m:val="p"/>
          </m:rPr>
          <m:t>=</m:t>
        </m:r>
        <m:r>
          <m:t>50</m:t>
        </m:r>
        <m:r>
          <m:rPr>
            <m:sty m:val="p"/>
          </m:rPr>
          <m:t>×</m:t>
        </m:r>
        <m:sSup>
          <m:e>
            <m:r>
              <m:t>10</m:t>
            </m:r>
          </m:e>
          <m:sup>
            <m:r>
              <m:rPr>
                <m:sty m:val="p"/>
              </m:rPr>
              <m:t>−</m:t>
            </m:r>
            <m:r>
              <m:t>6</m:t>
            </m:r>
          </m:sup>
        </m:sSup>
      </m:oMath>
      <w:r>
        <w:t xml:space="preserve"> </w:t>
      </w:r>
      <w:r>
        <w:t xml:space="preserve">s/s. Unsynchronized for a day:</w:t>
      </w:r>
      <w:r>
        <w:t xml:space="preserve"> </w:t>
      </w:r>
      <m:oMath>
        <m:r>
          <m:t>Δ</m:t>
        </m:r>
        <m:r>
          <m:rPr>
            <m:sty m:val="p"/>
          </m:rPr>
          <m:t>=</m:t>
        </m:r>
        <m:r>
          <m:t>50</m:t>
        </m:r>
        <m:r>
          <m:rPr>
            <m:sty m:val="p"/>
          </m:rPr>
          <m:t>×</m:t>
        </m:r>
        <m:sSup>
          <m:e>
            <m:r>
              <m:t>10</m:t>
            </m:r>
          </m:e>
          <m:sup>
            <m:r>
              <m:rPr>
                <m:sty m:val="p"/>
              </m:rPr>
              <m:t>−</m:t>
            </m:r>
            <m:r>
              <m:t>6</m:t>
            </m:r>
          </m:sup>
        </m:sSup>
        <m:r>
          <m:rPr>
            <m:sty m:val="p"/>
          </m:rPr>
          <m:t>×</m:t>
        </m:r>
        <m:r>
          <m:t>86</m:t>
        </m:r>
        <m:r>
          <m:rPr>
            <m:sty m:val="p"/>
          </m:rPr>
          <m:t>,</m:t>
        </m:r>
        <m:r>
          <m:t>400</m:t>
        </m:r>
        <m:r>
          <m:rPr>
            <m:sty m:val="p"/>
          </m:rPr>
          <m:t>=</m:t>
        </m:r>
        <m:r>
          <m:t>4.32</m:t>
        </m:r>
      </m:oMath>
      <w:r>
        <w:t xml:space="preserve"> </w:t>
      </w:r>
      <w:r>
        <w:t xml:space="preserve">s.</w:t>
      </w:r>
    </w:p>
    <w:p>
      <w:pPr>
        <w:numPr>
          <w:ilvl w:val="0"/>
          <w:numId w:val="1787"/>
        </w:numPr>
        <w:pStyle w:val="Compact"/>
      </w:pPr>
      <w:r>
        <w:t xml:space="preserve">Two servers, one fast and one slow at 50 ppm, diverge at</w:t>
      </w:r>
      <w:r>
        <w:t xml:space="preserve"> </w:t>
      </w:r>
      <m:oMath>
        <m:r>
          <m:t>2</m:t>
        </m:r>
        <m:r>
          <m:rPr>
            <m:sty m:val="p"/>
          </m:rPr>
          <m:t>×</m:t>
        </m:r>
        <m:r>
          <m:t>50</m:t>
        </m:r>
        <m:r>
          <m:rPr>
            <m:sty m:val="p"/>
          </m:rPr>
          <m:t>=</m:t>
        </m:r>
        <m:r>
          <m:t>100</m:t>
        </m:r>
      </m:oMath>
      <w:r>
        <w:t xml:space="preserve"> </w:t>
      </w:r>
      <w:r>
        <w:t xml:space="preserve">µs per second.</w:t>
      </w:r>
    </w:p>
    <w:p>
      <w:pPr>
        <w:numPr>
          <w:ilvl w:val="0"/>
          <w:numId w:val="1787"/>
        </w:numPr>
        <w:pStyle w:val="Compact"/>
      </w:pPr>
      <w:r>
        <w:t xml:space="preserve">To keep them within</w:t>
      </w:r>
      <w:r>
        <w:t xml:space="preserve"> </w:t>
      </w:r>
      <m:oMath>
        <m:r>
          <m:t>ε</m:t>
        </m:r>
        <m:r>
          <m:rPr>
            <m:sty m:val="p"/>
          </m:rPr>
          <m:t>=</m:t>
        </m:r>
        <m:r>
          <m:t>1</m:t>
        </m:r>
      </m:oMath>
      <w:r>
        <w:t xml:space="preserve"> </w:t>
      </w:r>
      <w:r>
        <w:t xml:space="preserve">ms:</w:t>
      </w:r>
      <w:r>
        <w:t xml:space="preserve"> </w:t>
      </w:r>
      <m:oMath>
        <m:sSub>
          <m:e>
            <m:r>
              <m:t>T</m:t>
            </m:r>
          </m:e>
          <m:sub>
            <m:r>
              <m:rPr>
                <m:nor/>
                <m:sty m:val="p"/>
              </m:rPr>
              <m:t>sync</m:t>
            </m:r>
          </m:sub>
        </m:sSub>
        <m:r>
          <m:rPr>
            <m:sty m:val="p"/>
          </m:rPr>
          <m:t>≤</m:t>
        </m:r>
        <m:r>
          <m:t>0.001</m:t>
        </m:r>
        <m:r>
          <m:rPr>
            <m:sty m:val="p"/>
          </m:rPr>
          <m:t>/</m:t>
        </m:r>
        <m:d>
          <m:dPr>
            <m:begChr m:val="("/>
            <m:endChr m:val=")"/>
            <m:sepChr m:val=""/>
            <m:grow/>
          </m:dPr>
          <m:e>
            <m:r>
              <m:t>2</m:t>
            </m:r>
            <m:r>
              <m:rPr>
                <m:sty m:val="p"/>
              </m:rPr>
              <m:t>×</m:t>
            </m:r>
            <m:r>
              <m:t>50</m:t>
            </m:r>
            <m:r>
              <m:rPr>
                <m:sty m:val="p"/>
              </m:rPr>
              <m:t>×</m:t>
            </m:r>
            <m:sSup>
              <m:e>
                <m:r>
                  <m:t>10</m:t>
                </m:r>
              </m:e>
              <m:sup>
                <m:r>
                  <m:rPr>
                    <m:sty m:val="p"/>
                  </m:rPr>
                  <m:t>−</m:t>
                </m:r>
                <m:r>
                  <m:t>6</m:t>
                </m:r>
              </m:sup>
            </m:sSup>
          </m:e>
        </m:d>
        <m:r>
          <m:rPr>
            <m:sty m:val="p"/>
          </m:rPr>
          <m:t>=</m:t>
        </m:r>
        <m:r>
          <m:t>10</m:t>
        </m:r>
      </m:oMath>
      <w:r>
        <w:t xml:space="preserve"> </w:t>
      </w:r>
      <w:r>
        <w:t xml:space="preserve">s.</w:t>
      </w:r>
    </w:p>
    <w:p>
      <w:pPr>
        <w:numPr>
          <w:ilvl w:val="0"/>
          <w:numId w:val="1787"/>
        </w:numPr>
        <w:pStyle w:val="Compact"/>
      </w:pPr>
      <w:r>
        <w:t xml:space="preserve">Spanner: each server polls its time masters every 30 s and assumes 200 ppm, so uncertainty grows by up to</w:t>
      </w:r>
      <w:r>
        <w:t xml:space="preserve"> </w:t>
      </w:r>
      <m:oMath>
        <m:r>
          <m:t>200</m:t>
        </m:r>
        <m:r>
          <m:rPr>
            <m:sty m:val="p"/>
          </m:rPr>
          <m:t>×</m:t>
        </m:r>
        <m:sSup>
          <m:e>
            <m:r>
              <m:t>10</m:t>
            </m:r>
          </m:e>
          <m:sup>
            <m:r>
              <m:rPr>
                <m:sty m:val="p"/>
              </m:rPr>
              <m:t>−</m:t>
            </m:r>
            <m:r>
              <m:t>6</m:t>
            </m:r>
          </m:sup>
        </m:sSup>
        <m:r>
          <m:rPr>
            <m:sty m:val="p"/>
          </m:rPr>
          <m:t>×</m:t>
        </m:r>
        <m:r>
          <m:t>30</m:t>
        </m:r>
        <m:r>
          <m:rPr>
            <m:sty m:val="p"/>
          </m:rPr>
          <m:t>=</m:t>
        </m:r>
        <m:r>
          <m:t>6</m:t>
        </m:r>
      </m:oMath>
      <w:r>
        <w:t xml:space="preserve"> </w:t>
      </w:r>
      <w:r>
        <w:t xml:space="preserve">ms between polls. Corbett et al. describe exactly this sawtooth of 0 to 6 ms on top of about 1 ms of communication delay, giving a total uncertainty</w:t>
      </w:r>
      <w:r>
        <w:t xml:space="preserve"> </w:t>
      </w:r>
      <m:oMath>
        <m:r>
          <m:t>ε</m:t>
        </m:r>
      </m:oMath>
      <w:r>
        <w:t xml:space="preserve"> </w:t>
      </w:r>
      <w:r>
        <w:t xml:space="preserve">of about 1 to 7 ms [Corbett et al. 2012].</w:t>
      </w:r>
    </w:p>
    <w:p>
      <w:pPr>
        <w:pStyle w:val="CalloutExample"/>
      </w:pPr>
      <w:r>
        <w:t xml:space="preserve">Interpretation: drift is tiny per second but unbounded over time, so clocks must be resynchronized continually. Engineering implication: alert on</w:t>
      </w:r>
      <w:r>
        <w:t xml:space="preserve"> </w:t>
      </w:r>
      <w:r>
        <w:rPr>
          <w:iCs/>
          <w:i/>
        </w:rPr>
        <w:t xml:space="preserve">synchronization loss</w:t>
      </w:r>
      <w:r>
        <w:t xml:space="preserve">, not just offset; a host that silently stopped syncing drifts further every hour.</w:t>
      </w:r>
    </w:p>
    <w:bookmarkEnd w:id="2702"/>
    <w:bookmarkStart w:id="2710" w:name="ntp-synchronizing-over-a-network"/>
    <w:p>
      <w:pPr>
        <w:pStyle w:val="Heading3"/>
      </w:pPr>
      <w:r>
        <w:t xml:space="preserve">24.9.3 NTP: synchronizing over a network</w:t>
      </w:r>
    </w:p>
    <w:p>
      <w:pPr>
        <w:pStyle w:val="FirstParagraph"/>
      </w:pPr>
      <w:r>
        <w:t xml:space="preserve">The</w:t>
      </w:r>
      <w:r>
        <w:t xml:space="preserve"> </w:t>
      </w:r>
      <w:r>
        <w:rPr>
          <w:bCs/>
          <w:b/>
        </w:rPr>
        <w:t xml:space="preserve">Network Time Protocol</w:t>
      </w:r>
      <w:r>
        <w:t xml:space="preserve"> </w:t>
      </w:r>
      <w:r>
        <w:t xml:space="preserve">(NTP), designed by David Mills and specified as NTPv4 in RFC 5905 [Mills et al. 2010], measures a round trip, assumes equal delay in both directions, and computes the offset from four timestamps.</w:t>
      </w:r>
    </w:p>
    <w:p>
      <w:pPr>
        <w:pStyle w:val="BodyText"/>
      </w:pPr>
      <w:r>
        <w:rPr>
          <w:bCs/>
          <w:b/>
        </w:rPr>
        <w:t xml:space="preserve">Figure 24.7 — The NTP on-wire exchange.</w:t>
      </w:r>
    </w:p>
    <w:p>
      <w:pPr>
        <w:pStyle w:val="BodyText"/>
      </w:pPr>
      <w:r>
        <w:drawing>
          <wp:inline>
            <wp:extent cx="5334000" cy="4290199"/>
            <wp:effectExtent b="0" l="0" r="0" t="0"/>
            <wp:docPr descr="" title="" id="2704" name="Picture"/>
            <a:graphic>
              <a:graphicData uri="http://schemas.openxmlformats.org/drawingml/2006/picture">
                <pic:pic>
                  <pic:nvPicPr>
                    <pic:cNvPr descr="/home/user/System-Design/build/.cache/diagrams/3f934a3a7f00.png" id="2705" name="Picture"/>
                    <pic:cNvPicPr>
                      <a:picLocks noChangeArrowheads="1" noChangeAspect="1"/>
                    </pic:cNvPicPr>
                  </pic:nvPicPr>
                  <pic:blipFill>
                    <a:blip r:embed="rId2703"/>
                    <a:stretch>
                      <a:fillRect/>
                    </a:stretch>
                  </pic:blipFill>
                  <pic:spPr bwMode="auto">
                    <a:xfrm>
                      <a:off x="0" y="0"/>
                      <a:ext cx="5334000" cy="4290199"/>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One synchronous UDP request/response (port 123):</w:t>
      </w:r>
      <w:r>
        <w:t xml:space="preserve"> </w:t>
      </w:r>
      <m:oMath>
        <m:sSub>
          <m:e>
            <m:r>
              <m:t>T</m:t>
            </m:r>
          </m:e>
          <m:sub>
            <m:r>
              <m:t>1</m:t>
            </m:r>
          </m:sub>
        </m:sSub>
      </m:oMath>
      <w:r>
        <w:t xml:space="preserve"> </w:t>
      </w:r>
      <w:r>
        <w:t xml:space="preserve">and</w:t>
      </w:r>
      <w:r>
        <w:t xml:space="preserve"> </w:t>
      </w:r>
      <m:oMath>
        <m:sSub>
          <m:e>
            <m:r>
              <m:t>T</m:t>
            </m:r>
          </m:e>
          <m:sub>
            <m:r>
              <m:t>4</m:t>
            </m:r>
          </m:sub>
        </m:sSub>
      </m:oMath>
      <w:r>
        <w:t xml:space="preserve"> </w:t>
      </w:r>
      <w:r>
        <w:t xml:space="preserve">are read from the client’s clock,</w:t>
      </w:r>
      <w:r>
        <w:t xml:space="preserve"> </w:t>
      </w:r>
      <m:oMath>
        <m:sSub>
          <m:e>
            <m:r>
              <m:t>T</m:t>
            </m:r>
          </m:e>
          <m:sub>
            <m:r>
              <m:t>2</m:t>
            </m:r>
          </m:sub>
        </m:sSub>
      </m:oMath>
      <w:r>
        <w:t xml:space="preserve"> </w:t>
      </w:r>
      <w:r>
        <w:t xml:space="preserve">and</w:t>
      </w:r>
      <w:r>
        <w:t xml:space="preserve"> </w:t>
      </w:r>
      <m:oMath>
        <m:sSub>
          <m:e>
            <m:r>
              <m:t>T</m:t>
            </m:r>
          </m:e>
          <m:sub>
            <m:r>
              <m:t>3</m:t>
            </m:r>
          </m:sub>
        </m:sSub>
      </m:oMath>
      <w:r>
        <w:t xml:space="preserve"> </w:t>
      </w:r>
      <w:r>
        <w:t xml:space="preserve">from the server’s. No storage is involved. Failure points: asymmetric delay (biases the offset) and a wrong server clock (handled by querying several servers). NTP scales through a server hierarchy (Figure 24.8).</w:t>
      </w:r>
    </w:p>
    <w:p>
      <w:pPr>
        <w:pStyle w:val="CalloutFormula"/>
      </w:pPr>
      <w:r>
        <w:rPr>
          <w:bCs/>
          <w:b/>
        </w:rPr>
        <w:t xml:space="preserve">FORMULA</w:t>
      </w:r>
    </w:p>
    <w:p>
      <w:pPr>
        <w:pStyle w:val="CalloutFormula"/>
      </w:pPr>
      <w:r>
        <w:rPr>
          <w:bCs/>
          <w:b/>
        </w:rPr>
        <w:t xml:space="preserve">NTP offset, round-trip delay and error bound (RFC 5905)</w:t>
      </w:r>
    </w:p>
    <w:p>
      <w:pPr>
        <w:pStyle w:val="CalloutFormula"/>
      </w:pPr>
      <m:oMathPara>
        <m:oMathParaPr>
          <m:jc m:val="center"/>
        </m:oMathParaPr>
        <m:oMath>
          <m:r>
            <m:t>θ</m:t>
          </m:r>
          <m:r>
            <m:rPr>
              <m:sty m:val="p"/>
            </m:rPr>
            <m:t>=</m:t>
          </m:r>
          <m:f>
            <m:fPr>
              <m:type m:val="bar"/>
            </m:fPr>
            <m:num>
              <m:d>
                <m:dPr>
                  <m:begChr m:val="("/>
                  <m:endChr m:val=")"/>
                  <m:sepChr m:val=""/>
                  <m:grow/>
                </m:dPr>
                <m:e>
                  <m:sSub>
                    <m:e>
                      <m:r>
                        <m:t>T</m:t>
                      </m:r>
                    </m:e>
                    <m:sub>
                      <m:r>
                        <m:t>2</m:t>
                      </m:r>
                    </m:sub>
                  </m:sSub>
                  <m:r>
                    <m:rPr>
                      <m:sty m:val="p"/>
                    </m:rPr>
                    <m:t>−</m:t>
                  </m:r>
                  <m:sSub>
                    <m:e>
                      <m:r>
                        <m:t>T</m:t>
                      </m:r>
                    </m:e>
                    <m:sub>
                      <m:r>
                        <m:t>1</m:t>
                      </m:r>
                    </m:sub>
                  </m:sSub>
                </m:e>
              </m:d>
              <m:r>
                <m:rPr>
                  <m:sty m:val="p"/>
                </m:rPr>
                <m:t>+</m:t>
              </m:r>
              <m:d>
                <m:dPr>
                  <m:begChr m:val="("/>
                  <m:endChr m:val=")"/>
                  <m:sepChr m:val=""/>
                  <m:grow/>
                </m:dPr>
                <m:e>
                  <m:sSub>
                    <m:e>
                      <m:r>
                        <m:t>T</m:t>
                      </m:r>
                    </m:e>
                    <m:sub>
                      <m:r>
                        <m:t>3</m:t>
                      </m:r>
                    </m:sub>
                  </m:sSub>
                  <m:r>
                    <m:rPr>
                      <m:sty m:val="p"/>
                    </m:rPr>
                    <m:t>−</m:t>
                  </m:r>
                  <m:sSub>
                    <m:e>
                      <m:r>
                        <m:t>T</m:t>
                      </m:r>
                    </m:e>
                    <m:sub>
                      <m:r>
                        <m:t>4</m:t>
                      </m:r>
                    </m:sub>
                  </m:sSub>
                </m:e>
              </m:d>
            </m:num>
            <m:den>
              <m:r>
                <m:t>2</m:t>
              </m:r>
            </m:den>
          </m:f>
          <m:r>
            <m:t>  </m:t>
          </m:r>
          <m:r>
            <m:t>δ</m:t>
          </m:r>
          <m:r>
            <m:rPr>
              <m:sty m:val="p"/>
            </m:rPr>
            <m:t>=</m:t>
          </m:r>
          <m:d>
            <m:dPr>
              <m:begChr m:val="("/>
              <m:endChr m:val=")"/>
              <m:sepChr m:val=""/>
              <m:grow/>
            </m:dPr>
            <m:e>
              <m:sSub>
                <m:e>
                  <m:r>
                    <m:t>T</m:t>
                  </m:r>
                </m:e>
                <m:sub>
                  <m:r>
                    <m:t>4</m:t>
                  </m:r>
                </m:sub>
              </m:sSub>
              <m:r>
                <m:rPr>
                  <m:sty m:val="p"/>
                </m:rPr>
                <m:t>−</m:t>
              </m:r>
              <m:sSub>
                <m:e>
                  <m:r>
                    <m:t>T</m:t>
                  </m:r>
                </m:e>
                <m:sub>
                  <m:r>
                    <m:t>1</m:t>
                  </m:r>
                </m:sub>
              </m:sSub>
            </m:e>
          </m:d>
          <m:r>
            <m:rPr>
              <m:sty m:val="p"/>
            </m:rPr>
            <m:t>−</m:t>
          </m:r>
          <m:d>
            <m:dPr>
              <m:begChr m:val="("/>
              <m:endChr m:val=")"/>
              <m:sepChr m:val=""/>
              <m:grow/>
            </m:dPr>
            <m:e>
              <m:sSub>
                <m:e>
                  <m:r>
                    <m:t>T</m:t>
                  </m:r>
                </m:e>
                <m:sub>
                  <m:r>
                    <m:t>3</m:t>
                  </m:r>
                </m:sub>
              </m:sSub>
              <m:r>
                <m:rPr>
                  <m:sty m:val="p"/>
                </m:rPr>
                <m:t>−</m:t>
              </m:r>
              <m:sSub>
                <m:e>
                  <m:r>
                    <m:t>T</m:t>
                  </m:r>
                </m:e>
                <m:sub>
                  <m:r>
                    <m:t>2</m:t>
                  </m:r>
                </m:sub>
              </m:sSub>
            </m:e>
          </m:d>
          <m:r>
            <m:t>  </m:t>
          </m:r>
          <m:d>
            <m:dPr>
              <m:begChr m:val="|"/>
              <m:endChr m:val="|"/>
              <m:sepChr m:val=""/>
              <m:grow/>
            </m:dPr>
            <m:e>
              <m:r>
                <m:t>θ</m:t>
              </m:r>
              <m:r>
                <m:rPr>
                  <m:sty m:val="p"/>
                </m:rPr>
                <m:t>−</m:t>
              </m:r>
              <m:sSub>
                <m:e>
                  <m:r>
                    <m:t>θ</m:t>
                  </m:r>
                </m:e>
                <m:sub>
                  <m:r>
                    <m:rPr>
                      <m:nor/>
                      <m:sty m:val="p"/>
                    </m:rPr>
                    <m:t>true</m:t>
                  </m:r>
                </m:sub>
              </m:sSub>
            </m:e>
          </m:d>
          <m:r>
            <m:rPr>
              <m:sty m:val="p"/>
            </m:rPr>
            <m:t>≤</m:t>
          </m:r>
          <m:f>
            <m:fPr>
              <m:type m:val="bar"/>
            </m:fPr>
            <m:num>
              <m:r>
                <m:t>δ</m:t>
              </m:r>
            </m:num>
            <m:den>
              <m:r>
                <m:t>2</m:t>
              </m:r>
            </m:den>
          </m:f>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T</m:t>
                  </m:r>
                </m:e>
                <m:sub>
                  <m:r>
                    <m:t>1</m:t>
                  </m:r>
                </m:sub>
              </m:sSub>
            </m:oMath>
          </w:p>
        </w:tc>
        <w:tc>
          <w:tcPr/>
          <w:p>
            <w:pPr>
              <w:pStyle w:val="Compact"/>
              <w:jc w:val="left"/>
            </w:pPr>
            <w:r>
              <w:t xml:space="preserve">Client clock when the request is sent</w:t>
            </w:r>
          </w:p>
        </w:tc>
        <w:tc>
          <w:tcPr/>
          <w:p>
            <w:pPr>
              <w:pStyle w:val="Compact"/>
              <w:jc w:val="left"/>
            </w:pPr>
            <w:r>
              <w:t xml:space="preserve">s</w:t>
            </w:r>
          </w:p>
        </w:tc>
      </w:tr>
      <w:tr>
        <w:tc>
          <w:tcPr/>
          <w:p>
            <w:pPr>
              <w:pStyle w:val="Compact"/>
              <w:jc w:val="left"/>
            </w:pPr>
            <m:oMath>
              <m:sSub>
                <m:e>
                  <m:r>
                    <m:t>T</m:t>
                  </m:r>
                </m:e>
                <m:sub>
                  <m:r>
                    <m:t>2</m:t>
                  </m:r>
                </m:sub>
              </m:sSub>
            </m:oMath>
          </w:p>
        </w:tc>
        <w:tc>
          <w:tcPr/>
          <w:p>
            <w:pPr>
              <w:pStyle w:val="Compact"/>
              <w:jc w:val="left"/>
            </w:pPr>
            <w:r>
              <w:t xml:space="preserve">Server clock when the request arrives</w:t>
            </w:r>
          </w:p>
        </w:tc>
        <w:tc>
          <w:tcPr/>
          <w:p>
            <w:pPr>
              <w:pStyle w:val="Compact"/>
              <w:jc w:val="left"/>
            </w:pPr>
            <w:r>
              <w:t xml:space="preserve">s</w:t>
            </w:r>
          </w:p>
        </w:tc>
      </w:tr>
      <w:tr>
        <w:tc>
          <w:tcPr/>
          <w:p>
            <w:pPr>
              <w:pStyle w:val="Compact"/>
              <w:jc w:val="left"/>
            </w:pPr>
            <m:oMath>
              <m:sSub>
                <m:e>
                  <m:r>
                    <m:t>T</m:t>
                  </m:r>
                </m:e>
                <m:sub>
                  <m:r>
                    <m:t>3</m:t>
                  </m:r>
                </m:sub>
              </m:sSub>
            </m:oMath>
          </w:p>
        </w:tc>
        <w:tc>
          <w:tcPr/>
          <w:p>
            <w:pPr>
              <w:pStyle w:val="Compact"/>
              <w:jc w:val="left"/>
            </w:pPr>
            <w:r>
              <w:t xml:space="preserve">Server clock when the reply is sent</w:t>
            </w:r>
          </w:p>
        </w:tc>
        <w:tc>
          <w:tcPr/>
          <w:p>
            <w:pPr>
              <w:pStyle w:val="Compact"/>
              <w:jc w:val="left"/>
            </w:pPr>
            <w:r>
              <w:t xml:space="preserve">s</w:t>
            </w:r>
          </w:p>
        </w:tc>
      </w:tr>
      <w:tr>
        <w:tc>
          <w:tcPr/>
          <w:p>
            <w:pPr>
              <w:pStyle w:val="Compact"/>
              <w:jc w:val="left"/>
            </w:pPr>
            <m:oMath>
              <m:sSub>
                <m:e>
                  <m:r>
                    <m:t>T</m:t>
                  </m:r>
                </m:e>
                <m:sub>
                  <m:r>
                    <m:t>4</m:t>
                  </m:r>
                </m:sub>
              </m:sSub>
            </m:oMath>
          </w:p>
        </w:tc>
        <w:tc>
          <w:tcPr/>
          <w:p>
            <w:pPr>
              <w:pStyle w:val="Compact"/>
              <w:jc w:val="left"/>
            </w:pPr>
            <w:r>
              <w:t xml:space="preserve">Client clock when the reply arrives</w:t>
            </w:r>
          </w:p>
        </w:tc>
        <w:tc>
          <w:tcPr/>
          <w:p>
            <w:pPr>
              <w:pStyle w:val="Compact"/>
              <w:jc w:val="left"/>
            </w:pPr>
            <w:r>
              <w:t xml:space="preserve">s</w:t>
            </w:r>
          </w:p>
        </w:tc>
      </w:tr>
      <w:tr>
        <w:tc>
          <w:tcPr/>
          <w:p>
            <w:pPr>
              <w:pStyle w:val="Compact"/>
              <w:jc w:val="left"/>
            </w:pPr>
            <m:oMath>
              <m:r>
                <m:t>θ</m:t>
              </m:r>
            </m:oMath>
          </w:p>
        </w:tc>
        <w:tc>
          <w:tcPr/>
          <w:p>
            <w:pPr>
              <w:pStyle w:val="Compact"/>
              <w:jc w:val="left"/>
            </w:pPr>
            <w:r>
              <w:t xml:space="preserve">Estimated offset: server clock minus client clock; the client adds</w:t>
            </w:r>
            <w:r>
              <w:t xml:space="preserve"> </w:t>
            </w:r>
            <m:oMath>
              <m:r>
                <m:t>θ</m:t>
              </m:r>
            </m:oMath>
            <w:r>
              <w:t xml:space="preserve"> </w:t>
            </w:r>
            <w:r>
              <w:t xml:space="preserve">to correct itself</w:t>
            </w:r>
          </w:p>
        </w:tc>
        <w:tc>
          <w:tcPr/>
          <w:p>
            <w:pPr>
              <w:pStyle w:val="Compact"/>
              <w:jc w:val="left"/>
            </w:pPr>
            <w:r>
              <w:t xml:space="preserve">s</w:t>
            </w:r>
          </w:p>
        </w:tc>
      </w:tr>
      <w:tr>
        <w:tc>
          <w:tcPr/>
          <w:p>
            <w:pPr>
              <w:pStyle w:val="Compact"/>
              <w:jc w:val="left"/>
            </w:pPr>
            <m:oMath>
              <m:r>
                <m:t>δ</m:t>
              </m:r>
            </m:oMath>
          </w:p>
        </w:tc>
        <w:tc>
          <w:tcPr/>
          <w:p>
            <w:pPr>
              <w:pStyle w:val="Compact"/>
              <w:jc w:val="left"/>
            </w:pPr>
            <w:r>
              <w:t xml:space="preserve">Round-trip network delay, excluding the server’s processing time</w:t>
            </w:r>
          </w:p>
        </w:tc>
        <w:tc>
          <w:tcPr/>
          <w:p>
            <w:pPr>
              <w:pStyle w:val="Compact"/>
              <w:jc w:val="left"/>
            </w:pPr>
            <w:r>
              <w:t xml:space="preserve">s</w:t>
            </w:r>
          </w:p>
        </w:tc>
      </w:tr>
      <w:tr>
        <w:tc>
          <w:tcPr/>
          <w:p>
            <w:pPr>
              <w:pStyle w:val="Compact"/>
              <w:jc w:val="left"/>
            </w:pPr>
            <m:oMath>
              <m:sSub>
                <m:e>
                  <m:r>
                    <m:t>θ</m:t>
                  </m:r>
                </m:e>
                <m:sub>
                  <m:r>
                    <m:rPr>
                      <m:nor/>
                      <m:sty m:val="p"/>
                    </m:rPr>
                    <m:t>true</m:t>
                  </m:r>
                </m:sub>
              </m:sSub>
            </m:oMath>
          </w:p>
        </w:tc>
        <w:tc>
          <w:tcPr/>
          <w:p>
            <w:pPr>
              <w:pStyle w:val="Compact"/>
              <w:jc w:val="left"/>
            </w:pPr>
            <w:r>
              <w:t xml:space="preserve">Actual offset</w:t>
            </w:r>
          </w:p>
        </w:tc>
        <w:tc>
          <w:tcPr/>
          <w:p>
            <w:pPr>
              <w:pStyle w:val="Compact"/>
              <w:jc w:val="left"/>
            </w:pPr>
            <w:r>
              <w:t xml:space="preserve">s</w:t>
            </w:r>
          </w:p>
        </w:tc>
      </w:tr>
    </w:tbl>
    <w:p>
      <w:pPr>
        <w:pStyle w:val="BodyText"/>
      </w:pPr>
      <w:r>
        <w:t xml:space="preserve">If the request takes</w:t>
      </w:r>
      <w:r>
        <w:t xml:space="preserve"> </w:t>
      </w:r>
      <m:oMath>
        <m:sSub>
          <m:e>
            <m:r>
              <m:t>d</m:t>
            </m:r>
          </m:e>
          <m:sub>
            <m:r>
              <m:t>1</m:t>
            </m:r>
          </m:sub>
        </m:sSub>
      </m:oMath>
      <w:r>
        <w:t xml:space="preserve"> </w:t>
      </w:r>
      <w:r>
        <w:t xml:space="preserve">and the reply</w:t>
      </w:r>
      <w:r>
        <w:t xml:space="preserve"> </w:t>
      </w:r>
      <m:oMath>
        <m:sSub>
          <m:e>
            <m:r>
              <m:t>d</m:t>
            </m:r>
          </m:e>
          <m:sub>
            <m:r>
              <m:t>2</m:t>
            </m:r>
          </m:sub>
        </m:sSub>
      </m:oMath>
      <w:r>
        <w:t xml:space="preserve">, the error is</w:t>
      </w:r>
      <w:r>
        <w:t xml:space="preserve"> </w:t>
      </w:r>
      <m:oMath>
        <m:d>
          <m:dPr>
            <m:begChr m:val="("/>
            <m:endChr m:val=")"/>
            <m:sepChr m:val=""/>
            <m:grow/>
          </m:dPr>
          <m:e>
            <m:sSub>
              <m:e>
                <m:r>
                  <m:t>d</m:t>
                </m:r>
              </m:e>
              <m:sub>
                <m:r>
                  <m:t>1</m:t>
                </m:r>
              </m:sub>
            </m:sSub>
            <m:r>
              <m:rPr>
                <m:sty m:val="p"/>
              </m:rPr>
              <m:t>−</m:t>
            </m:r>
            <m:sSub>
              <m:e>
                <m:r>
                  <m:t>d</m:t>
                </m:r>
              </m:e>
              <m:sub>
                <m:r>
                  <m:t>2</m:t>
                </m:r>
              </m:sub>
            </m:sSub>
          </m:e>
        </m:d>
        <m:r>
          <m:rPr>
            <m:sty m:val="p"/>
          </m:rPr>
          <m:t>/</m:t>
        </m:r>
        <m:r>
          <m:t>2</m:t>
        </m:r>
      </m:oMath>
      <w:r>
        <w:t xml:space="preserve">, at most</w:t>
      </w:r>
      <w:r>
        <w:t xml:space="preserve"> </w:t>
      </w:r>
      <m:oMath>
        <m:r>
          <m:t>δ</m:t>
        </m:r>
        <m:r>
          <m:rPr>
            <m:sty m:val="p"/>
          </m:rPr>
          <m:t>/</m:t>
        </m:r>
        <m:r>
          <m:t>2</m:t>
        </m:r>
      </m:oMath>
      <w:r>
        <w:t xml:space="preserve"> </w:t>
      </w:r>
      <w:r>
        <w:t xml:space="preserve">because</w:t>
      </w:r>
      <w:r>
        <w:t xml:space="preserve"> </w:t>
      </w:r>
      <m:oMath>
        <m:sSub>
          <m:e>
            <m:r>
              <m:t>d</m:t>
            </m:r>
          </m:e>
          <m:sub>
            <m:r>
              <m:t>1</m:t>
            </m:r>
          </m:sub>
        </m:sSub>
        <m:r>
          <m:rPr>
            <m:sty m:val="p"/>
          </m:rPr>
          <m:t>+</m:t>
        </m:r>
        <m:sSub>
          <m:e>
            <m:r>
              <m:t>d</m:t>
            </m:r>
          </m:e>
          <m:sub>
            <m:r>
              <m:t>2</m:t>
            </m:r>
          </m:sub>
        </m:sSub>
        <m:r>
          <m:rPr>
            <m:sty m:val="p"/>
          </m:rPr>
          <m:t>=</m:t>
        </m:r>
        <m:r>
          <m:t>δ</m:t>
        </m:r>
      </m:oMath>
      <w:r>
        <w:t xml:space="preserve">; hence NTP prefers low-delay samples.</w:t>
      </w:r>
    </w:p>
    <w:p>
      <w:pPr>
        <w:pStyle w:val="CalloutExample"/>
      </w:pPr>
      <w:r>
        <w:rPr>
          <w:bCs/>
          <w:b/>
        </w:rPr>
        <w:t xml:space="preserve">WORKED EXAMPLE</w:t>
      </w:r>
    </w:p>
    <w:p>
      <w:pPr>
        <w:pStyle w:val="CalloutExample"/>
      </w:pPr>
      <w:r>
        <w:rPr>
          <w:bCs/>
          <w:b/>
        </w:rPr>
        <w:t xml:space="preserve">Worked example — One NTP exchange, symmetric and asymmetric.</w:t>
      </w:r>
    </w:p>
    <w:p>
      <w:pPr>
        <w:pStyle w:val="CalloutExample"/>
      </w:pPr>
      <w:r>
        <w:t xml:space="preserve">Timestamps in seconds after 10:00:00:</w:t>
      </w:r>
      <w:r>
        <w:t xml:space="preserve"> </w:t>
      </w:r>
      <m:oMath>
        <m:sSub>
          <m:e>
            <m:r>
              <m:t>T</m:t>
            </m:r>
          </m:e>
          <m:sub>
            <m:r>
              <m:t>1</m:t>
            </m:r>
          </m:sub>
        </m:sSub>
        <m:r>
          <m:rPr>
            <m:sty m:val="p"/>
          </m:rPr>
          <m:t>=</m:t>
        </m:r>
        <m:r>
          <m:t>0.000</m:t>
        </m:r>
      </m:oMath>
      <w:r>
        <w:t xml:space="preserve"> </w:t>
      </w:r>
      <w:r>
        <w:t xml:space="preserve">(client),</w:t>
      </w:r>
      <w:r>
        <w:t xml:space="preserve"> </w:t>
      </w:r>
      <m:oMath>
        <m:sSub>
          <m:e>
            <m:r>
              <m:t>T</m:t>
            </m:r>
          </m:e>
          <m:sub>
            <m:r>
              <m:t>2</m:t>
            </m:r>
          </m:sub>
        </m:sSub>
        <m:r>
          <m:rPr>
            <m:sty m:val="p"/>
          </m:rPr>
          <m:t>=</m:t>
        </m:r>
        <m:r>
          <m:t>0.120</m:t>
        </m:r>
      </m:oMath>
      <w:r>
        <w:t xml:space="preserve"> </w:t>
      </w:r>
      <w:r>
        <w:t xml:space="preserve">(server),</w:t>
      </w:r>
      <w:r>
        <w:t xml:space="preserve"> </w:t>
      </w:r>
      <m:oMath>
        <m:sSub>
          <m:e>
            <m:r>
              <m:t>T</m:t>
            </m:r>
          </m:e>
          <m:sub>
            <m:r>
              <m:t>3</m:t>
            </m:r>
          </m:sub>
        </m:sSub>
        <m:r>
          <m:rPr>
            <m:sty m:val="p"/>
          </m:rPr>
          <m:t>=</m:t>
        </m:r>
        <m:r>
          <m:t>0.121</m:t>
        </m:r>
      </m:oMath>
      <w:r>
        <w:t xml:space="preserve"> </w:t>
      </w:r>
      <w:r>
        <w:t xml:space="preserve">(server),</w:t>
      </w:r>
      <w:r>
        <w:t xml:space="preserve"> </w:t>
      </w:r>
      <m:oMath>
        <m:sSub>
          <m:e>
            <m:r>
              <m:t>T</m:t>
            </m:r>
          </m:e>
          <m:sub>
            <m:r>
              <m:t>4</m:t>
            </m:r>
          </m:sub>
        </m:sSub>
        <m:r>
          <m:rPr>
            <m:sty m:val="p"/>
          </m:rPr>
          <m:t>=</m:t>
        </m:r>
        <m:r>
          <m:t>0.061</m:t>
        </m:r>
      </m:oMath>
      <w:r>
        <w:t xml:space="preserve"> </w:t>
      </w:r>
      <w:r>
        <w:t xml:space="preserve">(client).</w:t>
      </w:r>
    </w:p>
    <w:p>
      <w:pPr>
        <w:numPr>
          <w:ilvl w:val="0"/>
          <w:numId w:val="1788"/>
        </w:numPr>
        <w:pStyle w:val="Compact"/>
      </w:pPr>
      <w:r>
        <w:t xml:space="preserve">Delay:</w:t>
      </w:r>
      <w:r>
        <w:t xml:space="preserve"> </w:t>
      </w:r>
      <m:oMath>
        <m:r>
          <m:t>δ</m:t>
        </m:r>
        <m:r>
          <m:rPr>
            <m:sty m:val="p"/>
          </m:rPr>
          <m:t>=</m:t>
        </m:r>
        <m:d>
          <m:dPr>
            <m:begChr m:val="("/>
            <m:endChr m:val=")"/>
            <m:sepChr m:val=""/>
            <m:grow/>
          </m:dPr>
          <m:e>
            <m:r>
              <m:t>0.061</m:t>
            </m:r>
            <m:r>
              <m:rPr>
                <m:sty m:val="p"/>
              </m:rPr>
              <m:t>−</m:t>
            </m:r>
            <m:r>
              <m:t>0.000</m:t>
            </m:r>
          </m:e>
        </m:d>
        <m:r>
          <m:rPr>
            <m:sty m:val="p"/>
          </m:rPr>
          <m:t>−</m:t>
        </m:r>
        <m:d>
          <m:dPr>
            <m:begChr m:val="("/>
            <m:endChr m:val=")"/>
            <m:sepChr m:val=""/>
            <m:grow/>
          </m:dPr>
          <m:e>
            <m:r>
              <m:t>0.121</m:t>
            </m:r>
            <m:r>
              <m:rPr>
                <m:sty m:val="p"/>
              </m:rPr>
              <m:t>−</m:t>
            </m:r>
            <m:r>
              <m:t>0.120</m:t>
            </m:r>
          </m:e>
        </m:d>
        <m:r>
          <m:rPr>
            <m:sty m:val="p"/>
          </m:rPr>
          <m:t>=</m:t>
        </m:r>
        <m:r>
          <m:t>0.061</m:t>
        </m:r>
        <m:r>
          <m:rPr>
            <m:sty m:val="p"/>
          </m:rPr>
          <m:t>−</m:t>
        </m:r>
        <m:r>
          <m:t>0.001</m:t>
        </m:r>
        <m:r>
          <m:rPr>
            <m:sty m:val="p"/>
          </m:rPr>
          <m:t>=</m:t>
        </m:r>
        <m:r>
          <m:t>0.060</m:t>
        </m:r>
      </m:oMath>
      <w:r>
        <w:t xml:space="preserve"> </w:t>
      </w:r>
      <w:r>
        <w:t xml:space="preserve">s = 60 ms.</w:t>
      </w:r>
    </w:p>
    <w:p>
      <w:pPr>
        <w:numPr>
          <w:ilvl w:val="0"/>
          <w:numId w:val="1788"/>
        </w:numPr>
        <w:pStyle w:val="Compact"/>
      </w:pPr>
      <w:r>
        <w:t xml:space="preserve">Offset:</w:t>
      </w:r>
      <w:r>
        <w:t xml:space="preserve"> </w:t>
      </w:r>
      <m:oMath>
        <m:r>
          <m:t>θ</m:t>
        </m:r>
        <m:r>
          <m:rPr>
            <m:sty m:val="p"/>
          </m:rPr>
          <m:t>=</m:t>
        </m:r>
        <m:d>
          <m:dPr>
            <m:begChr m:val="["/>
            <m:endChr m:val="]"/>
            <m:sepChr m:val=""/>
            <m:grow/>
          </m:dPr>
          <m:e>
            <m:d>
              <m:dPr>
                <m:begChr m:val="("/>
                <m:endChr m:val=")"/>
                <m:sepChr m:val=""/>
                <m:grow/>
              </m:dPr>
              <m:e>
                <m:r>
                  <m:t>0.120</m:t>
                </m:r>
                <m:r>
                  <m:rPr>
                    <m:sty m:val="p"/>
                  </m:rPr>
                  <m:t>−</m:t>
                </m:r>
                <m:r>
                  <m:t>0.000</m:t>
                </m:r>
              </m:e>
            </m:d>
            <m:r>
              <m:rPr>
                <m:sty m:val="p"/>
              </m:rPr>
              <m:t>+</m:t>
            </m:r>
            <m:d>
              <m:dPr>
                <m:begChr m:val="("/>
                <m:endChr m:val=")"/>
                <m:sepChr m:val=""/>
                <m:grow/>
              </m:dPr>
              <m:e>
                <m:r>
                  <m:t>0.121</m:t>
                </m:r>
                <m:r>
                  <m:rPr>
                    <m:sty m:val="p"/>
                  </m:rPr>
                  <m:t>−</m:t>
                </m:r>
                <m:r>
                  <m:t>0.061</m:t>
                </m:r>
              </m:e>
            </m:d>
          </m:e>
        </m:d>
        <m:r>
          <m:rPr>
            <m:sty m:val="p"/>
          </m:rPr>
          <m:t>/</m:t>
        </m:r>
        <m:r>
          <m:t>2</m:t>
        </m:r>
        <m:r>
          <m:rPr>
            <m:sty m:val="p"/>
          </m:rPr>
          <m:t>=</m:t>
        </m:r>
        <m:d>
          <m:dPr>
            <m:begChr m:val="("/>
            <m:endChr m:val=")"/>
            <m:sepChr m:val=""/>
            <m:grow/>
          </m:dPr>
          <m:e>
            <m:r>
              <m:t>0.120</m:t>
            </m:r>
            <m:r>
              <m:rPr>
                <m:sty m:val="p"/>
              </m:rPr>
              <m:t>+</m:t>
            </m:r>
            <m:r>
              <m:t>0.060</m:t>
            </m:r>
          </m:e>
        </m:d>
        <m:r>
          <m:rPr>
            <m:sty m:val="p"/>
          </m:rPr>
          <m:t>/</m:t>
        </m:r>
        <m:r>
          <m:t>2</m:t>
        </m:r>
        <m:r>
          <m:rPr>
            <m:sty m:val="p"/>
          </m:rPr>
          <m:t>=</m:t>
        </m:r>
        <m:r>
          <m:t>0.090</m:t>
        </m:r>
      </m:oMath>
      <w:r>
        <w:t xml:space="preserve"> </w:t>
      </w:r>
      <w:r>
        <w:t xml:space="preserve">s = 90 ms. The client’s clock is 90 ms behind the server’s.</w:t>
      </w:r>
    </w:p>
    <w:p>
      <w:pPr>
        <w:numPr>
          <w:ilvl w:val="0"/>
          <w:numId w:val="1788"/>
        </w:numPr>
        <w:pStyle w:val="Compact"/>
      </w:pPr>
      <w:r>
        <w:t xml:space="preserve">Check: if each direction took 30 ms and the client was 90 ms behind, the request sent at client time 0.000 (server time 0.090) arrives at server time 0.120, and the reply sent at 0.121 arrives at server time 0.151, which is client time 0.061. Both match.</w:t>
      </w:r>
    </w:p>
    <w:p>
      <w:pPr>
        <w:numPr>
          <w:ilvl w:val="0"/>
          <w:numId w:val="1788"/>
        </w:numPr>
        <w:pStyle w:val="Compact"/>
      </w:pPr>
      <w:r>
        <w:t xml:space="preserve">Asymmetric case: suppose the request actually took 50 ms and the reply 10 ms (same</w:t>
      </w:r>
      <w:r>
        <w:t xml:space="preserve"> </w:t>
      </w:r>
      <m:oMath>
        <m:r>
          <m:t>δ</m:t>
        </m:r>
        <m:r>
          <m:rPr>
            <m:sty m:val="p"/>
          </m:rPr>
          <m:t>=</m:t>
        </m:r>
        <m:r>
          <m:t>60</m:t>
        </m:r>
      </m:oMath>
      <w:r>
        <w:t xml:space="preserve"> </w:t>
      </w:r>
      <w:r>
        <w:t xml:space="preserve">ms). NTP still computes 90 ms, but the true offset is</w:t>
      </w:r>
      <w:r>
        <w:t xml:space="preserve"> </w:t>
      </w:r>
      <m:oMath>
        <m:r>
          <m:t>0.120</m:t>
        </m:r>
        <m:r>
          <m:rPr>
            <m:sty m:val="p"/>
          </m:rPr>
          <m:t>−</m:t>
        </m:r>
        <m:r>
          <m:t>0.050</m:t>
        </m:r>
        <m:r>
          <m:rPr>
            <m:sty m:val="p"/>
          </m:rPr>
          <m:t>=</m:t>
        </m:r>
        <m:r>
          <m:t>0.070</m:t>
        </m:r>
      </m:oMath>
      <w:r>
        <w:t xml:space="preserve"> </w:t>
      </w:r>
      <w:r>
        <w:t xml:space="preserve">s, an error of</w:t>
      </w:r>
      <w:r>
        <w:t xml:space="preserve"> </w:t>
      </w:r>
      <m:oMath>
        <m:d>
          <m:dPr>
            <m:begChr m:val="("/>
            <m:endChr m:val=")"/>
            <m:sepChr m:val=""/>
            <m:grow/>
          </m:dPr>
          <m:e>
            <m:r>
              <m:t>50</m:t>
            </m:r>
            <m:r>
              <m:rPr>
                <m:sty m:val="p"/>
              </m:rPr>
              <m:t>−</m:t>
            </m:r>
            <m:r>
              <m:t>10</m:t>
            </m:r>
          </m:e>
        </m:d>
        <m:r>
          <m:rPr>
            <m:sty m:val="p"/>
          </m:rPr>
          <m:t>/</m:t>
        </m:r>
        <m:r>
          <m:t>2</m:t>
        </m:r>
        <m:r>
          <m:rPr>
            <m:sty m:val="p"/>
          </m:rPr>
          <m:t>=</m:t>
        </m:r>
        <m:r>
          <m:t>20</m:t>
        </m:r>
      </m:oMath>
      <w:r>
        <w:t xml:space="preserve"> </w:t>
      </w:r>
      <w:r>
        <w:t xml:space="preserve">ms, within the bound</w:t>
      </w:r>
      <w:r>
        <w:t xml:space="preserve"> </w:t>
      </w:r>
      <m:oMath>
        <m:r>
          <m:t>δ</m:t>
        </m:r>
        <m:r>
          <m:rPr>
            <m:sty m:val="p"/>
          </m:rPr>
          <m:t>/</m:t>
        </m:r>
        <m:r>
          <m:t>2</m:t>
        </m:r>
        <m:r>
          <m:rPr>
            <m:sty m:val="p"/>
          </m:rPr>
          <m:t>=</m:t>
        </m:r>
        <m:r>
          <m:t>30</m:t>
        </m:r>
      </m:oMath>
      <w:r>
        <w:t xml:space="preserve"> </w:t>
      </w:r>
      <w:r>
        <w:t xml:space="preserve">ms.</w:t>
      </w:r>
    </w:p>
    <w:p>
      <w:pPr>
        <w:pStyle w:val="CalloutExample"/>
      </w:pPr>
      <w:r>
        <w:t xml:space="preserve">Interpretation: NTP cannot see path asymmetry, so one sample over a 60 ms path is good only to ±30 ms. Engineering implication: run stratum-1 or stratum-2 servers inside the datacenter, where sub-millisecond round trips shrink the bound.</w:t>
      </w:r>
    </w:p>
    <w:p>
      <w:pPr>
        <w:pStyle w:val="BodyText"/>
      </w:pPr>
      <w:r>
        <w:rPr>
          <w:bCs/>
          <w:b/>
        </w:rPr>
        <w:t xml:space="preserve">Figure 24.8 — The time-distribution hierarchy: NTP strata and a PTP domain.</w:t>
      </w:r>
    </w:p>
    <w:p>
      <w:pPr>
        <w:pStyle w:val="BodyText"/>
      </w:pPr>
      <w:r>
        <w:drawing>
          <wp:inline>
            <wp:extent cx="5334000" cy="3861892"/>
            <wp:effectExtent b="0" l="0" r="0" t="0"/>
            <wp:docPr descr="" title="" id="2707" name="Picture"/>
            <a:graphic>
              <a:graphicData uri="http://schemas.openxmlformats.org/drawingml/2006/picture">
                <pic:pic>
                  <pic:nvPicPr>
                    <pic:cNvPr descr="/home/user/System-Design/build/.cache/diagrams/7f41742c63af.png" id="2708" name="Picture"/>
                    <pic:cNvPicPr>
                      <a:picLocks noChangeArrowheads="1" noChangeAspect="1"/>
                    </pic:cNvPicPr>
                  </pic:nvPicPr>
                  <pic:blipFill>
                    <a:blip r:embed="rId2706"/>
                    <a:stretch>
                      <a:fillRect/>
                    </a:stretch>
                  </pic:blipFill>
                  <pic:spPr bwMode="auto">
                    <a:xfrm>
                      <a:off x="0" y="0"/>
                      <a:ext cx="5334000" cy="3861892"/>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A</w:t>
      </w:r>
      <w:r>
        <w:t xml:space="preserve"> </w:t>
      </w:r>
      <w:r>
        <w:rPr>
          <w:bCs/>
          <w:b/>
        </w:rPr>
        <w:t xml:space="preserve">stratum</w:t>
      </w:r>
      <w:r>
        <w:t xml:space="preserve"> </w:t>
      </w:r>
      <w:r>
        <w:t xml:space="preserve">is the distance from a reference clock: stratum-0 devices (GPS, atomic clocks) feed stratum-1 servers directly, and each NTP hop adds one (16 means unsynchronized). Clients query several servers so a bad one (a</w:t>
      </w:r>
      <w:r>
        <w:t xml:space="preserve"> </w:t>
      </w:r>
      <w:r>
        <w:rPr>
          <w:bCs/>
          <w:b/>
        </w:rPr>
        <w:t xml:space="preserve">falseticker</w:t>
      </w:r>
      <w:r>
        <w:t xml:space="preserve">) is outvoted. The right-hand PTP domain distributes time from a grandmaster through PTP-aware switches to hosts with hardware-timestamping NICs. Arrows are periodic request/response exchanges; failure points are reference loss, falsetickers and asymmetry; the tree scales because each server serves many clients.</w:t>
      </w:r>
    </w:p>
    <w:bookmarkStart w:id="2709" w:name="X7425de713f985fc1272b8aa043c21e3a2fa5c31"/>
    <w:p>
      <w:pPr>
        <w:pStyle w:val="Heading4"/>
      </w:pPr>
      <w:r>
        <w:t xml:space="preserve">How an NTP client turns samples into a clock</w:t>
      </w:r>
    </w:p>
    <w:p>
      <w:pPr>
        <w:pStyle w:val="FirstParagraph"/>
      </w:pPr>
      <w:r>
        <w:t xml:space="preserve">A daemon such as</w:t>
      </w:r>
      <w:r>
        <w:t xml:space="preserve"> </w:t>
      </w:r>
      <w:r>
        <w:rPr>
          <w:rStyle w:val="VerbatimChar"/>
        </w:rPr>
        <w:t xml:space="preserve">ntpd</w:t>
      </w:r>
      <w:r>
        <w:t xml:space="preserve"> </w:t>
      </w:r>
      <w:r>
        <w:t xml:space="preserve">or</w:t>
      </w:r>
      <w:r>
        <w:t xml:space="preserve"> </w:t>
      </w:r>
      <w:r>
        <w:rPr>
          <w:rStyle w:val="VerbatimChar"/>
        </w:rPr>
        <w:t xml:space="preserve">chrony</w:t>
      </w:r>
      <w:r>
        <w:t xml:space="preserve"> </w:t>
      </w:r>
      <w:r>
        <w:t xml:space="preserve">(1) polls several servers repeatedly (64–1,024 s by default in</w:t>
      </w:r>
      <w:r>
        <w:t xml:space="preserve"> </w:t>
      </w:r>
      <w:r>
        <w:rPr>
          <w:rStyle w:val="VerbatimChar"/>
        </w:rPr>
        <w:t xml:space="preserve">ntpd</w:t>
      </w:r>
      <w:r>
        <w:t xml:space="preserve">), (2) keeps the lowest-delay samples, (3)</w:t>
      </w:r>
      <w:r>
        <w:t xml:space="preserve"> </w:t>
      </w:r>
      <w:r>
        <w:rPr>
          <w:bCs/>
          <w:b/>
        </w:rPr>
        <w:t xml:space="preserve">selects</w:t>
      </w:r>
      <w:r>
        <w:t xml:space="preserve"> </w:t>
      </w:r>
      <w:r>
        <w:t xml:space="preserve">the largest group of servers whose error intervals overlap, discarding falsetickers, (4) combines the survivors, and (5) disciplines the clock: small offsets are</w:t>
      </w:r>
      <w:r>
        <w:t xml:space="preserve"> </w:t>
      </w:r>
      <w:r>
        <w:rPr>
          <w:bCs/>
          <w:b/>
        </w:rPr>
        <w:t xml:space="preserve">slewed</w:t>
      </w:r>
      <w:r>
        <w:t xml:space="preserve"> </w:t>
      </w:r>
      <w:r>
        <w:t xml:space="preserve">(</w:t>
      </w:r>
      <w:r>
        <w:rPr>
          <w:rStyle w:val="VerbatimChar"/>
        </w:rPr>
        <w:t xml:space="preserve">ntpd</w:t>
      </w:r>
      <w:r>
        <w:t xml:space="preserve"> </w:t>
      </w:r>
      <w:r>
        <w:t xml:space="preserve">runs the clock at most 500 ppm fast or slow), large ones (over 128 ms by default) are</w:t>
      </w:r>
      <w:r>
        <w:t xml:space="preserve"> </w:t>
      </w:r>
      <w:r>
        <w:rPr>
          <w:bCs/>
          <w:b/>
        </w:rPr>
        <w:t xml:space="preserve">stepped</w:t>
      </w:r>
      <w:r>
        <w:t xml:space="preserve">, possibly</w:t>
      </w:r>
      <w:r>
        <w:t xml:space="preserve"> </w:t>
      </w:r>
      <w:r>
        <w:rPr>
          <w:iCs/>
          <w:i/>
        </w:rPr>
        <w:t xml:space="preserve">backwards</w:t>
      </w:r>
      <w:r>
        <w:t xml:space="preserve">. Typical results are milliseconds over a good wide-area path and well under a millisecond on a quiet LAN, with no hard guarantee: congestion, asymmetry or a paused virtual machine can produce offsets of seconds.</w:t>
      </w:r>
    </w:p>
    <w:bookmarkEnd w:id="2709"/>
    <w:bookmarkEnd w:id="2710"/>
    <w:bookmarkStart w:id="2711" w:name="ptp-sub-microsecond-synchronization"/>
    <w:p>
      <w:pPr>
        <w:pStyle w:val="Heading3"/>
      </w:pPr>
      <w:r>
        <w:t xml:space="preserve">24.9.4 PTP: sub-microsecond synchronization</w:t>
      </w:r>
    </w:p>
    <w:p>
      <w:pPr>
        <w:pStyle w:val="FirstParagraph"/>
      </w:pPr>
      <w:r>
        <w:t xml:space="preserve">The</w:t>
      </w:r>
      <w:r>
        <w:t xml:space="preserve"> </w:t>
      </w:r>
      <w:r>
        <w:rPr>
          <w:bCs/>
          <w:b/>
        </w:rPr>
        <w:t xml:space="preserve">Precision Time Protocol</w:t>
      </w:r>
      <w:r>
        <w:t xml:space="preserve"> </w:t>
      </w:r>
      <w:r>
        <w:t xml:space="preserve">(PTP, IEEE 1588-2008 and its 2019 revision) [IEEE 2008; IEEE 2019] uses the same four-timestamp idea with three improvements:</w:t>
      </w:r>
      <w:r>
        <w:t xml:space="preserve"> </w:t>
      </w:r>
      <w:r>
        <w:rPr>
          <w:bCs/>
          <w:b/>
        </w:rPr>
        <w:t xml:space="preserve">hardware timestamping</w:t>
      </w:r>
      <w:r>
        <w:t xml:space="preserve"> </w:t>
      </w:r>
      <w:r>
        <w:t xml:space="preserve">in the NIC removes operating-system stack jitter, the main error in software NTP; switches act as</w:t>
      </w:r>
      <w:r>
        <w:t xml:space="preserve"> </w:t>
      </w:r>
      <w:r>
        <w:rPr>
          <w:bCs/>
          <w:b/>
        </w:rPr>
        <w:t xml:space="preserve">transparent clocks</w:t>
      </w:r>
      <w:r>
        <w:t xml:space="preserve"> </w:t>
      </w:r>
      <w:r>
        <w:t xml:space="preserve">(adding their queuing time to a correction field) or</w:t>
      </w:r>
      <w:r>
        <w:t xml:space="preserve"> </w:t>
      </w:r>
      <w:r>
        <w:rPr>
          <w:bCs/>
          <w:b/>
        </w:rPr>
        <w:t xml:space="preserve">boundary clocks</w:t>
      </w:r>
      <w:r>
        <w:t xml:space="preserve"> </w:t>
      </w:r>
      <w:r>
        <w:t xml:space="preserve">(re-serving time downstream), so asymmetry is measured rather than guessed; and</w:t>
      </w:r>
      <w:r>
        <w:t xml:space="preserve"> </w:t>
      </w:r>
      <w:r>
        <w:rPr>
          <w:bCs/>
          <w:b/>
        </w:rPr>
        <w:t xml:space="preserve">frequent exchanges</w:t>
      </w:r>
      <w:r>
        <w:t xml:space="preserve"> </w:t>
      </w:r>
      <w:r>
        <w:t xml:space="preserve">(</w:t>
      </w:r>
      <w:r>
        <w:rPr>
          <w:rStyle w:val="VerbatimChar"/>
        </w:rPr>
        <w:t xml:space="preserve">Sync</w:t>
      </w:r>
      <w:r>
        <w:t xml:space="preserve">,</w:t>
      </w:r>
      <w:r>
        <w:t xml:space="preserve"> </w:t>
      </w:r>
      <w:r>
        <w:rPr>
          <w:rStyle w:val="VerbatimChar"/>
        </w:rPr>
        <w:t xml:space="preserve">Delay_Req</w:t>
      </w:r>
      <w:r>
        <w:t xml:space="preserve">,</w:t>
      </w:r>
      <w:r>
        <w:t xml:space="preserve"> </w:t>
      </w:r>
      <w:r>
        <w:rPr>
          <w:rStyle w:val="VerbatimChar"/>
        </w:rPr>
        <w:t xml:space="preserve">Delay_Resp</w:t>
      </w:r>
      <w:r>
        <w:t xml:space="preserve">) track drift closely. A well-built network achieves sub-microsecond synchronization, at the cost of PTP-capable NICs, switches and GPS-referenced grandmasters.</w:t>
      </w:r>
    </w:p>
    <w:p>
      <w:pPr>
        <w:pStyle w:val="CalloutIndustry"/>
      </w:pPr>
      <w:r>
        <w:rPr>
          <w:bCs/>
          <w:b/>
        </w:rPr>
        <w:t xml:space="preserve">INDUSTRY EXAMPLE</w:t>
      </w:r>
    </w:p>
    <w:p>
      <w:pPr>
        <w:pStyle w:val="CalloutIndustry"/>
      </w:pPr>
      <w:r>
        <w:rPr>
          <w:bCs/>
          <w:b/>
        </w:rPr>
        <w:t xml:space="preserve">Precision time in public clouds and at Meta.</w:t>
      </w:r>
      <w:r>
        <w:t xml:space="preserve"> </w:t>
      </w:r>
      <w:r>
        <w:t xml:space="preserve">Meta has described deploying PTP across its datacenters for sub-microsecond precision [Obleukhov and Byagowi 2022]. AWS announced microsecond-accurate time from the Amazon Time Sync Service on supported instances in 2023, and publishes ClockBound, a daemon that returns the time together with an</w:t>
      </w:r>
      <w:r>
        <w:t xml:space="preserve"> </w:t>
      </w:r>
      <w:r>
        <w:rPr>
          <w:iCs/>
          <w:i/>
        </w:rPr>
        <w:t xml:space="preserve">error bound</w:t>
      </w:r>
      <w:r>
        <w:t xml:space="preserve"> </w:t>
      </w:r>
      <w:r>
        <w:t xml:space="preserve">[AWS 2023]. Applications increasingly ask</w:t>
      </w:r>
      <w:r>
        <w:t xml:space="preserve"> </w:t>
      </w:r>
      <w:r>
        <w:t xml:space="preserve">“</w:t>
      </w:r>
      <w:r>
        <w:t xml:space="preserve">what is the time,</w:t>
      </w:r>
      <w:r>
        <w:t xml:space="preserve"> </w:t>
      </w:r>
      <w:r>
        <w:rPr>
          <w:iCs/>
          <w:i/>
        </w:rPr>
        <w:t xml:space="preserve">and how wrong could it be</w:t>
      </w:r>
      <w:r>
        <w:t xml:space="preserve">?</w:t>
      </w:r>
      <w:r>
        <w:t xml:space="preserve">”</w:t>
      </w:r>
      <w:r>
        <w:t xml:space="preserve"> </w:t>
      </w:r>
      <w:r>
        <w:rPr>
          <w:iCs/>
          <w:i/>
        </w:rPr>
        <w:t xml:space="preserve">Evidence: Primary</w:t>
      </w:r>
      <w:r>
        <w:t xml:space="preserve"> </w:t>
      </w:r>
      <w:r>
        <w:t xml:space="preserve">— [Obleukhov and Byagowi 2022; AWS 2023]</w:t>
      </w:r>
    </w:p>
    <w:bookmarkEnd w:id="2711"/>
    <w:bookmarkStart w:id="2712" w:name="leap-seconds-and-smearing"/>
    <w:p>
      <w:pPr>
        <w:pStyle w:val="Heading3"/>
      </w:pPr>
      <w:r>
        <w:t xml:space="preserve">24.9.5 Leap seconds and smearing</w:t>
      </w:r>
    </w:p>
    <w:p>
      <w:pPr>
        <w:pStyle w:val="FirstParagraph"/>
      </w:pPr>
      <w:r>
        <w:t xml:space="preserve">UTC is kept within 0.9 s of the Earth’s irregular rotation by</w:t>
      </w:r>
      <w:r>
        <w:t xml:space="preserve"> </w:t>
      </w:r>
      <w:r>
        <w:rPr>
          <w:bCs/>
          <w:b/>
        </w:rPr>
        <w:t xml:space="preserve">leap seconds</w:t>
      </w:r>
      <w:r>
        <w:t xml:space="preserve">: a minute ending</w:t>
      </w:r>
      <w:r>
        <w:t xml:space="preserve"> </w:t>
      </w:r>
      <w:r>
        <w:rPr>
          <w:rStyle w:val="VerbatimChar"/>
        </w:rPr>
        <w:t xml:space="preserve">23:59:60</w:t>
      </w:r>
      <w:r>
        <w:t xml:space="preserve"> </w:t>
      </w:r>
      <w:r>
        <w:t xml:space="preserve">on 30 June or 31 December. Since 1972, 27 have been added, the latest at the end of 2016 (TAI − UTC = 37 s). Unix time cannot represent</w:t>
      </w:r>
      <w:r>
        <w:t xml:space="preserve"> </w:t>
      </w:r>
      <w:r>
        <w:rPr>
          <w:rStyle w:val="VerbatimChar"/>
        </w:rPr>
        <w:t xml:space="preserve">23:59:60</w:t>
      </w:r>
      <w:r>
        <w:t xml:space="preserve">, so systems typically repeat a second and time appears to go backwards. The 2012 leap second triggered a Linux kernel timer bug that left many Java and MySQL processes spinning at full CPU; at the end of 2016, Cloudflare’s DNS software computed a negative duration and some resolutions failed [Graham-Cumming 2017]. The mitigation is</w:t>
      </w:r>
      <w:r>
        <w:t xml:space="preserve"> </w:t>
      </w:r>
      <w:r>
        <w:rPr>
          <w:bCs/>
          <w:b/>
        </w:rPr>
        <w:t xml:space="preserve">leap smearing</w:t>
      </w:r>
      <w:r>
        <w:t xml:space="preserve">: servers run slightly slow over a long window, absorbing the second gradually. Google smears linearly over 24 hours, noon to noon UTC [Google: Leap Smear].</w:t>
      </w:r>
    </w:p>
    <w:p>
      <w:pPr>
        <w:pStyle w:val="CalloutFormula"/>
      </w:pPr>
      <w:r>
        <w:rPr>
          <w:bCs/>
          <w:b/>
        </w:rPr>
        <w:t xml:space="preserve">FORMULA</w:t>
      </w:r>
    </w:p>
    <w:p>
      <w:pPr>
        <w:pStyle w:val="CalloutFormula"/>
      </w:pPr>
      <w:r>
        <w:rPr>
          <w:bCs/>
          <w:b/>
        </w:rPr>
        <w:t xml:space="preserve">Leap-smear rate</w:t>
      </w:r>
    </w:p>
    <w:p>
      <w:pPr>
        <w:pStyle w:val="CalloutFormula"/>
      </w:pPr>
      <m:oMathPara>
        <m:oMathParaPr>
          <m:jc m:val="center"/>
        </m:oMathParaPr>
        <m:oMath>
          <m:sSub>
            <m:e>
              <m:r>
                <m:t>r</m:t>
              </m:r>
            </m:e>
            <m:sub>
              <m:r>
                <m:rPr>
                  <m:nor/>
                  <m:sty m:val="p"/>
                </m:rPr>
                <m:t>smear</m:t>
              </m:r>
            </m:sub>
          </m:sSub>
          <m:r>
            <m:rPr>
              <m:sty m:val="p"/>
            </m:rPr>
            <m:t>=</m:t>
          </m:r>
          <m:f>
            <m:fPr>
              <m:type m:val="bar"/>
            </m:fPr>
            <m:num>
              <m:r>
                <m:t>1</m:t>
              </m:r>
              <m:r>
                <m:t> </m:t>
              </m:r>
              <m:r>
                <m:rPr>
                  <m:nor/>
                  <m:sty m:val="p"/>
                </m:rPr>
                <m:t>s</m:t>
              </m:r>
            </m:num>
            <m:den>
              <m:r>
                <m:t>W</m:t>
              </m:r>
            </m:den>
          </m:f>
          <m:r>
            <m:t>  </m:t>
          </m:r>
          <m:r>
            <m:t>  </m:t>
          </m:r>
          <m:sSub>
            <m:e>
              <m:r>
                <m:t>e</m:t>
              </m:r>
            </m:e>
            <m:sub>
              <m:r>
                <m:rPr>
                  <m:sty m:val="p"/>
                </m:rPr>
                <m:t>max</m:t>
              </m:r>
            </m:sub>
          </m:sSub>
          <m:r>
            <m:rPr>
              <m:sty m:val="p"/>
            </m:rPr>
            <m:t>=</m:t>
          </m:r>
          <m:r>
            <m:t>0.5</m:t>
          </m:r>
          <m:r>
            <m:t> </m:t>
          </m:r>
          <m:r>
            <m:rPr>
              <m:nor/>
              <m:sty m:val="p"/>
            </m:rPr>
            <m:t>s</m:t>
          </m:r>
          <m:r>
            <m:t> </m:t>
          </m:r>
          <m:r>
            <m:rPr>
              <m:nor/>
              <m:sty m:val="p"/>
            </m:rPr>
            <m:t>(midpoint offset from UTC)</m:t>
          </m:r>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W</m:t>
              </m:r>
            </m:oMath>
          </w:p>
        </w:tc>
        <w:tc>
          <w:tcPr/>
          <w:p>
            <w:pPr>
              <w:pStyle w:val="Compact"/>
              <w:jc w:val="left"/>
            </w:pPr>
            <w:r>
              <w:t xml:space="preserve">Smear window</w:t>
            </w:r>
          </w:p>
        </w:tc>
        <w:tc>
          <w:tcPr/>
          <w:p>
            <w:pPr>
              <w:pStyle w:val="Compact"/>
              <w:jc w:val="left"/>
            </w:pPr>
            <w:r>
              <w:t xml:space="preserve">s</w:t>
            </w:r>
          </w:p>
        </w:tc>
      </w:tr>
      <w:tr>
        <w:tc>
          <w:tcPr/>
          <w:p>
            <w:pPr>
              <w:pStyle w:val="Compact"/>
              <w:jc w:val="left"/>
            </w:pPr>
            <m:oMath>
              <m:sSub>
                <m:e>
                  <m:r>
                    <m:t>r</m:t>
                  </m:r>
                </m:e>
                <m:sub>
                  <m:r>
                    <m:rPr>
                      <m:nor/>
                      <m:sty m:val="p"/>
                    </m:rPr>
                    <m:t>smear</m:t>
                  </m:r>
                </m:sub>
              </m:sSub>
            </m:oMath>
          </w:p>
        </w:tc>
        <w:tc>
          <w:tcPr/>
          <w:p>
            <w:pPr>
              <w:pStyle w:val="Compact"/>
              <w:jc w:val="left"/>
            </w:pPr>
            <w:r>
              <w:t xml:space="preserve">Rate by which smeared clocks run slow during the window</w:t>
            </w:r>
          </w:p>
        </w:tc>
        <w:tc>
          <w:tcPr/>
          <w:p>
            <w:pPr>
              <w:pStyle w:val="Compact"/>
              <w:jc w:val="left"/>
            </w:pPr>
            <w:r>
              <w:t xml:space="preserve">ppm</w:t>
            </w:r>
          </w:p>
        </w:tc>
      </w:tr>
      <w:tr>
        <w:tc>
          <w:tcPr/>
          <w:p>
            <w:pPr>
              <w:pStyle w:val="Compact"/>
              <w:jc w:val="left"/>
            </w:pPr>
            <m:oMath>
              <m:sSub>
                <m:e>
                  <m:r>
                    <m:t>e</m:t>
                  </m:r>
                </m:e>
                <m:sub>
                  <m:r>
                    <m:rPr>
                      <m:sty m:val="p"/>
                    </m:rPr>
                    <m:t>max</m:t>
                  </m:r>
                </m:sub>
              </m:sSub>
            </m:oMath>
          </w:p>
        </w:tc>
        <w:tc>
          <w:tcPr/>
          <w:p>
            <w:pPr>
              <w:pStyle w:val="Compact"/>
              <w:jc w:val="left"/>
            </w:pPr>
            <w:r>
              <w:t xml:space="preserve">Offset between a smeared clock and true UTC at the leap second instant</w:t>
            </w:r>
          </w:p>
        </w:tc>
        <w:tc>
          <w:tcPr/>
          <w:p>
            <w:pPr>
              <w:pStyle w:val="Compact"/>
              <w:jc w:val="left"/>
            </w:pPr>
            <w:r>
              <w:t xml:space="preserve">s</w:t>
            </w:r>
          </w:p>
        </w:tc>
      </w:tr>
    </w:tbl>
    <w:p>
      <w:pPr>
        <w:pStyle w:val="CalloutExample"/>
      </w:pPr>
      <w:r>
        <w:rPr>
          <w:bCs/>
          <w:b/>
        </w:rPr>
        <w:t xml:space="preserve">WORKED EXAMPLE</w:t>
      </w:r>
    </w:p>
    <w:p>
      <w:pPr>
        <w:pStyle w:val="CalloutExample"/>
      </w:pPr>
      <w:r>
        <w:rPr>
          <w:bCs/>
          <w:b/>
        </w:rPr>
        <w:t xml:space="preserve">Worked example — Google-style 24-hour smear.</w:t>
      </w:r>
    </w:p>
    <w:p>
      <w:pPr>
        <w:numPr>
          <w:ilvl w:val="0"/>
          <w:numId w:val="1789"/>
        </w:numPr>
        <w:pStyle w:val="Compact"/>
      </w:pPr>
      <m:oMath>
        <m:r>
          <m:t>W</m:t>
        </m:r>
        <m:r>
          <m:rPr>
            <m:sty m:val="p"/>
          </m:rPr>
          <m:t>=</m:t>
        </m:r>
        <m:r>
          <m:t>24</m:t>
        </m:r>
        <m:r>
          <m:rPr>
            <m:sty m:val="p"/>
          </m:rPr>
          <m:t>×</m:t>
        </m:r>
        <m:r>
          <m:t>3</m:t>
        </m:r>
        <m:r>
          <m:rPr>
            <m:sty m:val="p"/>
          </m:rPr>
          <m:t>,</m:t>
        </m:r>
        <m:r>
          <m:t>600</m:t>
        </m:r>
        <m:r>
          <m:rPr>
            <m:sty m:val="p"/>
          </m:rPr>
          <m:t>=</m:t>
        </m:r>
        <m:r>
          <m:t>86</m:t>
        </m:r>
        <m:r>
          <m:rPr>
            <m:sty m:val="p"/>
          </m:rPr>
          <m:t>,</m:t>
        </m:r>
        <m:r>
          <m:t>400</m:t>
        </m:r>
      </m:oMath>
      <w:r>
        <w:t xml:space="preserve"> </w:t>
      </w:r>
      <w:r>
        <w:t xml:space="preserve">s.</w:t>
      </w:r>
    </w:p>
    <w:p>
      <w:pPr>
        <w:numPr>
          <w:ilvl w:val="0"/>
          <w:numId w:val="1789"/>
        </w:numPr>
        <w:pStyle w:val="Compact"/>
      </w:pPr>
      <m:oMath>
        <m:sSub>
          <m:e>
            <m:r>
              <m:t>r</m:t>
            </m:r>
          </m:e>
          <m:sub>
            <m:r>
              <m:rPr>
                <m:nor/>
                <m:sty m:val="p"/>
              </m:rPr>
              <m:t>smear</m:t>
            </m:r>
          </m:sub>
        </m:sSub>
        <m:r>
          <m:rPr>
            <m:sty m:val="p"/>
          </m:rPr>
          <m:t>=</m:t>
        </m:r>
        <m:r>
          <m:t>1</m:t>
        </m:r>
        <m:r>
          <m:rPr>
            <m:sty m:val="p"/>
          </m:rPr>
          <m:t>/</m:t>
        </m:r>
        <m:r>
          <m:t>86</m:t>
        </m:r>
        <m:r>
          <m:rPr>
            <m:sty m:val="p"/>
          </m:rPr>
          <m:t>,</m:t>
        </m:r>
        <m:r>
          <m:t>400</m:t>
        </m:r>
        <m:r>
          <m:rPr>
            <m:sty m:val="p"/>
          </m:rPr>
          <m:t>=</m:t>
        </m:r>
        <m:r>
          <m:t>1.157</m:t>
        </m:r>
        <m:r>
          <m:rPr>
            <m:sty m:val="p"/>
          </m:rPr>
          <m:t>×</m:t>
        </m:r>
        <m:sSup>
          <m:e>
            <m:r>
              <m:t>10</m:t>
            </m:r>
          </m:e>
          <m:sup>
            <m:r>
              <m:rPr>
                <m:sty m:val="p"/>
              </m:rPr>
              <m:t>−</m:t>
            </m:r>
            <m:r>
              <m:t>5</m:t>
            </m:r>
          </m:sup>
        </m:sSup>
      </m:oMath>
      <w:r>
        <w:t xml:space="preserve"> </w:t>
      </w:r>
      <w:r>
        <w:t xml:space="preserve">s/s</w:t>
      </w:r>
      <w:r>
        <w:t xml:space="preserve"> </w:t>
      </w:r>
      <m:oMath>
        <m:r>
          <m:rPr>
            <m:sty m:val="p"/>
          </m:rPr>
          <m:t>≈</m:t>
        </m:r>
        <m:r>
          <m:t>11.6</m:t>
        </m:r>
      </m:oMath>
      <w:r>
        <w:t xml:space="preserve"> </w:t>
      </w:r>
      <w:r>
        <w:t xml:space="preserve">ppm.</w:t>
      </w:r>
    </w:p>
    <w:p>
      <w:pPr>
        <w:numPr>
          <w:ilvl w:val="0"/>
          <w:numId w:val="1789"/>
        </w:numPr>
        <w:pStyle w:val="Compact"/>
      </w:pPr>
      <w:r>
        <w:t xml:space="preserve">At the leap second, a smeared clock is half-way through: it differs from UTC by 0.5 s.</w:t>
      </w:r>
    </w:p>
    <w:p>
      <w:pPr>
        <w:pStyle w:val="CalloutExample"/>
      </w:pPr>
      <w:r>
        <w:t xml:space="preserve">Interpretation: 11.6 ppm is an ordinary slew, so no client sees a step. Engineering implication: never mix smeared and unsmeared sources, which would disagree by up to 0.5 s. In 2022 the CGPM resolved to let UT1 − UTC grow larger by 2035, in effect ending leap seconds [BIPM 2022]; until then, systems must handle them.</w:t>
      </w:r>
    </w:p>
    <w:bookmarkEnd w:id="2712"/>
    <w:bookmarkStart w:id="2717" w:name="X766437023a1de7cc3a3bf5e0fa1e6e63c5dcbc5"/>
    <w:p>
      <w:pPr>
        <w:pStyle w:val="Heading3"/>
      </w:pPr>
      <w:r>
        <w:t xml:space="preserve">24.9.6 Why wall-clock last-writer-wins loses data</w:t>
      </w:r>
    </w:p>
    <w:p>
      <w:pPr>
        <w:pStyle w:val="FirstParagraph"/>
      </w:pPr>
      <w:r>
        <w:t xml:space="preserve">Under</w:t>
      </w:r>
      <w:r>
        <w:t xml:space="preserve"> </w:t>
      </w:r>
      <w:r>
        <w:rPr>
          <w:bCs/>
          <w:b/>
        </w:rPr>
        <w:t xml:space="preserve">last-writer-wins (LWW)</w:t>
      </w:r>
      <w:r>
        <w:t xml:space="preserve">, the write with the higher timestamp survives (Cassandra per cell, §12.6; many multi-primary systems, §14.5). With wall-clock timestamps, skew rather than event order decides the winner.</w:t>
      </w:r>
    </w:p>
    <w:p>
      <w:pPr>
        <w:pStyle w:val="BodyText"/>
      </w:pPr>
      <w:r>
        <w:rPr>
          <w:bCs/>
          <w:b/>
        </w:rPr>
        <w:t xml:space="preserve">Figure 24.9 — Last-writer-wins discards the later write when one clock runs fast.</w:t>
      </w:r>
    </w:p>
    <w:p>
      <w:pPr>
        <w:pStyle w:val="BodyText"/>
      </w:pPr>
      <w:r>
        <w:drawing>
          <wp:inline>
            <wp:extent cx="5334000" cy="1861822"/>
            <wp:effectExtent b="0" l="0" r="0" t="0"/>
            <wp:docPr descr="" title="" id="2714" name="Picture"/>
            <a:graphic>
              <a:graphicData uri="http://schemas.openxmlformats.org/drawingml/2006/picture">
                <pic:pic>
                  <pic:nvPicPr>
                    <pic:cNvPr descr="/home/user/System-Design/build/.cache/diagrams/17e2f666f1fc.png" id="2715" name="Picture"/>
                    <pic:cNvPicPr>
                      <a:picLocks noChangeArrowheads="1" noChangeAspect="1"/>
                    </pic:cNvPicPr>
                  </pic:nvPicPr>
                  <pic:blipFill>
                    <a:blip r:embed="rId2713"/>
                    <a:stretch>
                      <a:fillRect/>
                    </a:stretch>
                  </pic:blipFill>
                  <pic:spPr bwMode="auto">
                    <a:xfrm>
                      <a:off x="0" y="0"/>
                      <a:ext cx="5334000" cy="1861822"/>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A user edits a PhotoShare caption through node A, then 50 ms later through node B. Each write is synchronous to its node and replicated asynchronously to the replica (the storage boundary). A’s clock is 150 ms fast, so the earlier write carries the larger stamp and v2 is silently discarded. The failure point is A’s clock; more replicas do not help, since all apply the same rule.</w:t>
      </w:r>
    </w:p>
    <w:p>
      <w:pPr>
        <w:pStyle w:val="CalloutExample"/>
      </w:pPr>
      <w:r>
        <w:rPr>
          <w:bCs/>
          <w:b/>
        </w:rPr>
        <w:t xml:space="preserve">WORKED EXAMPLE</w:t>
      </w:r>
    </w:p>
    <w:p>
      <w:pPr>
        <w:pStyle w:val="CalloutExample"/>
      </w:pPr>
      <w:r>
        <w:rPr>
          <w:bCs/>
          <w:b/>
        </w:rPr>
        <w:t xml:space="preserve">Worked example — How large is the danger window?</w:t>
      </w:r>
    </w:p>
    <w:p>
      <w:pPr>
        <w:numPr>
          <w:ilvl w:val="0"/>
          <w:numId w:val="1790"/>
        </w:numPr>
        <w:pStyle w:val="Compact"/>
      </w:pPr>
      <w:r>
        <w:t xml:space="preserve">Skew between A and B:</w:t>
      </w:r>
      <w:r>
        <w:t xml:space="preserve"> </w:t>
      </w:r>
      <m:oMath>
        <m:r>
          <m:t>ε</m:t>
        </m:r>
        <m:r>
          <m:rPr>
            <m:sty m:val="p"/>
          </m:rPr>
          <m:t>=</m:t>
        </m:r>
        <m:r>
          <m:t>150</m:t>
        </m:r>
      </m:oMath>
      <w:r>
        <w:t xml:space="preserve"> </w:t>
      </w:r>
      <w:r>
        <w:t xml:space="preserve">ms.</w:t>
      </w:r>
    </w:p>
    <w:p>
      <w:pPr>
        <w:numPr>
          <w:ilvl w:val="0"/>
          <w:numId w:val="1790"/>
        </w:numPr>
        <w:pStyle w:val="Compact"/>
      </w:pPr>
      <w:r>
        <w:t xml:space="preserve">A write through B at true time</w:t>
      </w:r>
      <w:r>
        <w:t xml:space="preserve"> </w:t>
      </w:r>
      <m:oMath>
        <m:r>
          <m:t>t</m:t>
        </m:r>
      </m:oMath>
      <w:r>
        <w:t xml:space="preserve"> </w:t>
      </w:r>
      <w:r>
        <w:t xml:space="preserve">loses to an earlier write through A at true time</w:t>
      </w:r>
      <w:r>
        <w:t xml:space="preserve"> </w:t>
      </w:r>
      <m:oMath>
        <m:r>
          <m:t>t</m:t>
        </m:r>
        <m:r>
          <m:rPr>
            <m:sty m:val="p"/>
          </m:rPr>
          <m:t>−</m:t>
        </m:r>
        <m:r>
          <m:t>x</m:t>
        </m:r>
      </m:oMath>
      <w:r>
        <w:t xml:space="preserve"> </w:t>
      </w:r>
      <w:r>
        <w:t xml:space="preserve">whenever A’s stamp is larger:</w:t>
      </w:r>
      <w:r>
        <w:t xml:space="preserve"> </w:t>
      </w:r>
      <m:oMath>
        <m:d>
          <m:dPr>
            <m:begChr m:val="("/>
            <m:endChr m:val=")"/>
            <m:sepChr m:val=""/>
            <m:grow/>
          </m:dPr>
          <m:e>
            <m:r>
              <m:t>t</m:t>
            </m:r>
            <m:r>
              <m:rPr>
                <m:sty m:val="p"/>
              </m:rPr>
              <m:t>−</m:t>
            </m:r>
            <m:r>
              <m:t>x</m:t>
            </m:r>
          </m:e>
        </m:d>
        <m:r>
          <m:rPr>
            <m:sty m:val="p"/>
          </m:rPr>
          <m:t>+</m:t>
        </m:r>
        <m:r>
          <m:t>0.150</m:t>
        </m:r>
        <m:r>
          <m:rPr>
            <m:sty m:val="p"/>
          </m:rPr>
          <m:t>&gt;</m:t>
        </m:r>
        <m:r>
          <m:t>t</m:t>
        </m:r>
      </m:oMath>
      <w:r>
        <w:t xml:space="preserve">, i.e.,</w:t>
      </w:r>
      <w:r>
        <w:t xml:space="preserve"> </w:t>
      </w:r>
      <m:oMath>
        <m:r>
          <m:t>x</m:t>
        </m:r>
        <m:r>
          <m:rPr>
            <m:sty m:val="p"/>
          </m:rPr>
          <m:t>&lt;</m:t>
        </m:r>
        <m:r>
          <m:t>150</m:t>
        </m:r>
      </m:oMath>
      <w:r>
        <w:t xml:space="preserve"> </w:t>
      </w:r>
      <w:r>
        <w:t xml:space="preserve">ms.</w:t>
      </w:r>
    </w:p>
    <w:p>
      <w:pPr>
        <w:numPr>
          <w:ilvl w:val="0"/>
          <w:numId w:val="1790"/>
        </w:numPr>
        <w:pStyle w:val="Compact"/>
      </w:pPr>
      <w:r>
        <w:t xml:space="preserve">So any two writes to the same key through these two nodes that are less than 150 ms apart may be reordered. PhotoShare’s caption edits are rare, but an inventory counter updated 50 times per second from several nodes would lose updates constantly.</w:t>
      </w:r>
    </w:p>
    <w:p>
      <w:pPr>
        <w:pStyle w:val="CalloutExample"/>
      </w:pPr>
      <w:r>
        <w:t xml:space="preserve">Interpretation: the skew is a window within which LWW silently discards</w:t>
      </w:r>
      <w:r>
        <w:t xml:space="preserve"> </w:t>
      </w:r>
      <w:r>
        <w:rPr>
          <w:iCs/>
          <w:i/>
        </w:rPr>
        <w:t xml:space="preserve">causally later</w:t>
      </w:r>
      <w:r>
        <w:t xml:space="preserve"> </w:t>
      </w:r>
      <w:r>
        <w:t xml:space="preserve">writes. Engineering implication: use wall-clock LWW only where losing one of two near-simultaneous writes is acceptable; otherwise use logical clocks (§24.10–§24.12), version vectors (§24.11), conditional writes, or CRDTs (§27.14).</w:t>
      </w:r>
    </w:p>
    <w:bookmarkStart w:id="2716" w:name="code-example-28"/>
    <w:p>
      <w:pPr>
        <w:pStyle w:val="Heading4"/>
      </w:pPr>
      <w:r>
        <w:t xml:space="preserve">Code example</w:t>
      </w:r>
    </w:p>
    <w:p>
      <w:pPr>
        <w:pStyle w:val="SourceCode"/>
      </w:pPr>
      <w:r>
        <w:rPr>
          <w:rStyle w:val="CommentTok"/>
        </w:rPr>
        <w:t xml:space="preserve">"""Clock arithmetic: NTP offset/delay, drift-based resync interval,</w:t>
      </w:r>
      <w:r>
        <w:br/>
      </w:r>
      <w:r>
        <w:rPr>
          <w:rStyle w:val="CommentTok"/>
        </w:rPr>
        <w:t xml:space="preserve">and how last-writer-wins (LWW) loses a write when clocks are skewed."""</w:t>
      </w:r>
      <w:r>
        <w:br/>
      </w:r>
      <w:r>
        <w:br/>
      </w:r>
      <w:r>
        <w:br/>
      </w:r>
      <w:r>
        <w:rPr>
          <w:rStyle w:val="KeywordTok"/>
        </w:rPr>
        <w:t xml:space="preserve">def</w:t>
      </w:r>
      <w:r>
        <w:rPr>
          <w:rStyle w:val="NormalTok"/>
        </w:rPr>
        <w:t xml:space="preserve"> ntp_offset_delay(t1, t2, t3, t4):</w:t>
      </w:r>
      <w:r>
        <w:br/>
      </w:r>
      <w:r>
        <w:rPr>
          <w:rStyle w:val="NormalTok"/>
        </w:rPr>
        <w:t xml:space="preserve">    </w:t>
      </w:r>
      <w:r>
        <w:rPr>
          <w:rStyle w:val="CommentTok"/>
        </w:rPr>
        <w:t xml:space="preserve">"""RFC 5905 on-wire calculation (all values in seconds).</w:t>
      </w:r>
      <w:r>
        <w:br/>
      </w:r>
      <w:r>
        <w:rPr>
          <w:rStyle w:val="CommentTok"/>
        </w:rPr>
        <w:t xml:space="preserve">    t1, t4 are read from the client clock; t2, t3 from the server clock."""</w:t>
      </w:r>
      <w:r>
        <w:br/>
      </w:r>
      <w:r>
        <w:rPr>
          <w:rStyle w:val="NormalTok"/>
        </w:rPr>
        <w:t xml:space="preserve">    offset </w:t>
      </w:r>
      <w:r>
        <w:rPr>
          <w:rStyle w:val="OperatorTok"/>
        </w:rPr>
        <w:t xml:space="preserve">=</w:t>
      </w:r>
      <w:r>
        <w:rPr>
          <w:rStyle w:val="NormalTok"/>
        </w:rPr>
        <w:t xml:space="preserve"> ((t2 </w:t>
      </w:r>
      <w:r>
        <w:rPr>
          <w:rStyle w:val="OperatorTok"/>
        </w:rPr>
        <w:t xml:space="preserve">-</w:t>
      </w:r>
      <w:r>
        <w:rPr>
          <w:rStyle w:val="NormalTok"/>
        </w:rPr>
        <w:t xml:space="preserve"> t1) </w:t>
      </w:r>
      <w:r>
        <w:rPr>
          <w:rStyle w:val="OperatorTok"/>
        </w:rPr>
        <w:t xml:space="preserve">+</w:t>
      </w:r>
      <w:r>
        <w:rPr>
          <w:rStyle w:val="NormalTok"/>
        </w:rPr>
        <w:t xml:space="preserve"> (t3 </w:t>
      </w:r>
      <w:r>
        <w:rPr>
          <w:rStyle w:val="OperatorTok"/>
        </w:rPr>
        <w:t xml:space="preserve">-</w:t>
      </w:r>
      <w:r>
        <w:rPr>
          <w:rStyle w:val="NormalTok"/>
        </w:rPr>
        <w:t xml:space="preserve"> t4))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theta: server clock minus client clock</w:t>
      </w:r>
      <w:r>
        <w:br/>
      </w:r>
      <w:r>
        <w:rPr>
          <w:rStyle w:val="NormalTok"/>
        </w:rPr>
        <w:t xml:space="preserve">    delay </w:t>
      </w:r>
      <w:r>
        <w:rPr>
          <w:rStyle w:val="OperatorTok"/>
        </w:rPr>
        <w:t xml:space="preserve">=</w:t>
      </w:r>
      <w:r>
        <w:rPr>
          <w:rStyle w:val="NormalTok"/>
        </w:rPr>
        <w:t xml:space="preserve"> (t4 </w:t>
      </w:r>
      <w:r>
        <w:rPr>
          <w:rStyle w:val="OperatorTok"/>
        </w:rPr>
        <w:t xml:space="preserve">-</w:t>
      </w:r>
      <w:r>
        <w:rPr>
          <w:rStyle w:val="NormalTok"/>
        </w:rPr>
        <w:t xml:space="preserve"> t1) </w:t>
      </w:r>
      <w:r>
        <w:rPr>
          <w:rStyle w:val="OperatorTok"/>
        </w:rPr>
        <w:t xml:space="preserve">-</w:t>
      </w:r>
      <w:r>
        <w:rPr>
          <w:rStyle w:val="NormalTok"/>
        </w:rPr>
        <w:t xml:space="preserve"> (t3 </w:t>
      </w:r>
      <w:r>
        <w:rPr>
          <w:rStyle w:val="OperatorTok"/>
        </w:rPr>
        <w:t xml:space="preserve">-</w:t>
      </w:r>
      <w:r>
        <w:rPr>
          <w:rStyle w:val="NormalTok"/>
        </w:rPr>
        <w:t xml:space="preserve"> t2)          </w:t>
      </w:r>
      <w:r>
        <w:rPr>
          <w:rStyle w:val="CommentTok"/>
        </w:rPr>
        <w:t xml:space="preserve"># delta: round trip minus server hold time</w:t>
      </w:r>
      <w:r>
        <w:br/>
      </w:r>
      <w:r>
        <w:rPr>
          <w:rStyle w:val="NormalTok"/>
        </w:rPr>
        <w:t xml:space="preserve">    </w:t>
      </w:r>
      <w:r>
        <w:rPr>
          <w:rStyle w:val="ControlFlowTok"/>
        </w:rPr>
        <w:t xml:space="preserve">return</w:t>
      </w:r>
      <w:r>
        <w:rPr>
          <w:rStyle w:val="NormalTok"/>
        </w:rPr>
        <w:t xml:space="preserve"> offset, delay</w:t>
      </w:r>
      <w:r>
        <w:br/>
      </w:r>
      <w:r>
        <w:br/>
      </w:r>
      <w:r>
        <w:br/>
      </w:r>
      <w:r>
        <w:rPr>
          <w:rStyle w:val="KeywordTok"/>
        </w:rPr>
        <w:t xml:space="preserve">def</w:t>
      </w:r>
      <w:r>
        <w:rPr>
          <w:rStyle w:val="NormalTok"/>
        </w:rPr>
        <w:t xml:space="preserve"> resync_interval(max_skew_s, drift_ppm):</w:t>
      </w:r>
      <w:r>
        <w:br/>
      </w:r>
      <w:r>
        <w:rPr>
          <w:rStyle w:val="NormalTok"/>
        </w:rPr>
        <w:t xml:space="preserve">    </w:t>
      </w:r>
      <w:r>
        <w:rPr>
          <w:rStyle w:val="CommentTok"/>
        </w:rPr>
        <w:t xml:space="preserve">"""Longest interval between syncs that keeps two clocks within max_skew_s</w:t>
      </w:r>
      <w:r>
        <w:br/>
      </w:r>
      <w:r>
        <w:rPr>
          <w:rStyle w:val="CommentTok"/>
        </w:rPr>
        <w:t xml:space="preserve">    when each may drift up to drift_ppm in opposite directions."""</w:t>
      </w:r>
      <w:r>
        <w:br/>
      </w:r>
      <w:r>
        <w:rPr>
          <w:rStyle w:val="NormalTok"/>
        </w:rPr>
        <w:t xml:space="preserve">    </w:t>
      </w:r>
      <w:r>
        <w:rPr>
          <w:rStyle w:val="ControlFlowTok"/>
        </w:rPr>
        <w:t xml:space="preserve">return</w:t>
      </w:r>
      <w:r>
        <w:rPr>
          <w:rStyle w:val="NormalTok"/>
        </w:rPr>
        <w:t xml:space="preserve"> max_skew_s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drift_ppm </w:t>
      </w:r>
      <w:r>
        <w:rPr>
          <w:rStyle w:val="OperatorTok"/>
        </w:rPr>
        <w:t xml:space="preserve">*</w:t>
      </w:r>
      <w:r>
        <w:rPr>
          <w:rStyle w:val="NormalTok"/>
        </w:rPr>
        <w:t xml:space="preserve"> </w:t>
      </w:r>
      <w:r>
        <w:rPr>
          <w:rStyle w:val="FloatTok"/>
        </w:rPr>
        <w:t xml:space="preserve">1e-6</w:t>
      </w:r>
      <w:r>
        <w:rPr>
          <w:rStyle w:val="NormalTok"/>
        </w:rPr>
        <w:t xml:space="preserve">)</w:t>
      </w:r>
      <w:r>
        <w:br/>
      </w:r>
      <w:r>
        <w:br/>
      </w:r>
      <w:r>
        <w:br/>
      </w:r>
      <w:r>
        <w:rPr>
          <w:rStyle w:val="KeywordTok"/>
        </w:rPr>
        <w:t xml:space="preserve">class</w:t>
      </w:r>
      <w:r>
        <w:rPr>
          <w:rStyle w:val="NormalTok"/>
        </w:rPr>
        <w:t xml:space="preserve"> LWWRegister:</w:t>
      </w:r>
      <w:r>
        <w:br/>
      </w:r>
      <w:r>
        <w:rPr>
          <w:rStyle w:val="NormalTok"/>
        </w:rPr>
        <w:t xml:space="preserve">    </w:t>
      </w:r>
      <w:r>
        <w:rPr>
          <w:rStyle w:val="CommentTok"/>
        </w:rPr>
        <w:t xml:space="preserve">"""A replica that keeps the value with the highest wall-clock timestamp."""</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.value, </w:t>
      </w:r>
      <w:r>
        <w:rPr>
          <w:rStyle w:val="VariableTok"/>
        </w:rPr>
        <w:t xml:space="preserve">self</w:t>
      </w:r>
      <w:r>
        <w:rPr>
          <w:rStyle w:val="NormalTok"/>
        </w:rPr>
        <w:t xml:space="preserve">.ts </w:t>
      </w:r>
      <w:r>
        <w:rPr>
          <w:rStyle w:val="OperatorTok"/>
        </w:rPr>
        <w:t xml:space="preserve">=</w:t>
      </w:r>
      <w:r>
        <w:rPr>
          <w:rStyle w:val="NormalTok"/>
        </w:rPr>
        <w:t xml:space="preserve"> </w:t>
      </w:r>
      <w:r>
        <w:rPr>
          <w:rStyle w:val="VariableTok"/>
        </w:rPr>
        <w:t xml:space="preserve">None</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w:t>
      </w:r>
      <w:r>
        <w:br/>
      </w:r>
      <w:r>
        <w:br/>
      </w:r>
      <w:r>
        <w:rPr>
          <w:rStyle w:val="NormalTok"/>
        </w:rPr>
        <w:t xml:space="preserve">    </w:t>
      </w:r>
      <w:r>
        <w:rPr>
          <w:rStyle w:val="KeywordTok"/>
        </w:rPr>
        <w:t xml:space="preserve">def</w:t>
      </w:r>
      <w:r>
        <w:rPr>
          <w:rStyle w:val="NormalTok"/>
        </w:rPr>
        <w:t xml:space="preserve"> </w:t>
      </w:r>
      <w:r>
        <w:rPr>
          <w:rStyle w:val="BuiltInTok"/>
        </w:rPr>
        <w:t xml:space="preserve">apply</w:t>
      </w:r>
      <w:r>
        <w:rPr>
          <w:rStyle w:val="NormalTok"/>
        </w:rPr>
        <w:t xml:space="preserve">(</w:t>
      </w:r>
      <w:r>
        <w:rPr>
          <w:rStyle w:val="VariableTok"/>
        </w:rPr>
        <w:t xml:space="preserve">self</w:t>
      </w:r>
      <w:r>
        <w:rPr>
          <w:rStyle w:val="NormalTok"/>
        </w:rPr>
        <w:t xml:space="preserve">, value, ts):</w:t>
      </w:r>
      <w:r>
        <w:br/>
      </w:r>
      <w:r>
        <w:rPr>
          <w:rStyle w:val="NormalTok"/>
        </w:rPr>
        <w:t xml:space="preserve">        </w:t>
      </w:r>
      <w:r>
        <w:rPr>
          <w:rStyle w:val="ControlFlowTok"/>
        </w:rPr>
        <w:t xml:space="preserve">if</w:t>
      </w:r>
      <w:r>
        <w:rPr>
          <w:rStyle w:val="NormalTok"/>
        </w:rPr>
        <w:t xml:space="preserve"> ts </w:t>
      </w:r>
      <w:r>
        <w:rPr>
          <w:rStyle w:val="OperatorTok"/>
        </w:rPr>
        <w:t xml:space="preserve">&gt;</w:t>
      </w:r>
      <w:r>
        <w:rPr>
          <w:rStyle w:val="NormalTok"/>
        </w:rPr>
        <w:t xml:space="preserve"> </w:t>
      </w:r>
      <w:r>
        <w:rPr>
          <w:rStyle w:val="VariableTok"/>
        </w:rPr>
        <w:t xml:space="preserve">self</w:t>
      </w:r>
      <w:r>
        <w:rPr>
          <w:rStyle w:val="NormalTok"/>
        </w:rPr>
        <w:t xml:space="preserve">.ts:</w:t>
      </w:r>
      <w:r>
        <w:br/>
      </w:r>
      <w:r>
        <w:rPr>
          <w:rStyle w:val="NormalTok"/>
        </w:rPr>
        <w:t xml:space="preserve">            </w:t>
      </w:r>
      <w:r>
        <w:rPr>
          <w:rStyle w:val="VariableTok"/>
        </w:rPr>
        <w:t xml:space="preserve">self</w:t>
      </w:r>
      <w:r>
        <w:rPr>
          <w:rStyle w:val="NormalTok"/>
        </w:rPr>
        <w:t xml:space="preserve">.value, </w:t>
      </w:r>
      <w:r>
        <w:rPr>
          <w:rStyle w:val="VariableTok"/>
        </w:rPr>
        <w:t xml:space="preserve">self</w:t>
      </w:r>
      <w:r>
        <w:rPr>
          <w:rStyle w:val="NormalTok"/>
        </w:rPr>
        <w:t xml:space="preserve">.ts </w:t>
      </w:r>
      <w:r>
        <w:rPr>
          <w:rStyle w:val="OperatorTok"/>
        </w:rPr>
        <w:t xml:space="preserve">=</w:t>
      </w:r>
      <w:r>
        <w:rPr>
          <w:rStyle w:val="NormalTok"/>
        </w:rPr>
        <w:t xml:space="preserve"> value, ts</w:t>
      </w:r>
      <w:r>
        <w:br/>
      </w:r>
      <w:r>
        <w:rPr>
          <w:rStyle w:val="NormalTok"/>
        </w:rPr>
        <w:t xml:space="preserve">            </w:t>
      </w:r>
      <w:r>
        <w:rPr>
          <w:rStyle w:val="ControlFlowTok"/>
        </w:rPr>
        <w:t xml:space="preserve">return</w:t>
      </w:r>
      <w:r>
        <w:rPr>
          <w:rStyle w:val="NormalTok"/>
        </w:rPr>
        <w:t xml:space="preserve"> </w:t>
      </w:r>
      <w:r>
        <w:rPr>
          <w:rStyle w:val="StringTok"/>
        </w:rPr>
        <w:t xml:space="preserve">"applied"</w:t>
      </w:r>
      <w:r>
        <w:br/>
      </w:r>
      <w:r>
        <w:rPr>
          <w:rStyle w:val="NormalTok"/>
        </w:rPr>
        <w:t xml:space="preserve">        </w:t>
      </w:r>
      <w:r>
        <w:rPr>
          <w:rStyle w:val="ControlFlowTok"/>
        </w:rPr>
        <w:t xml:space="preserve">return</w:t>
      </w:r>
      <w:r>
        <w:rPr>
          <w:rStyle w:val="NormalTok"/>
        </w:rPr>
        <w:t xml:space="preserve"> </w:t>
      </w:r>
      <w:r>
        <w:rPr>
          <w:rStyle w:val="StringTok"/>
        </w:rPr>
        <w:t xml:space="preserve">"discarded"</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theta, delta </w:t>
      </w:r>
      <w:r>
        <w:rPr>
          <w:rStyle w:val="OperatorTok"/>
        </w:rPr>
        <w:t xml:space="preserve">=</w:t>
      </w:r>
      <w:r>
        <w:rPr>
          <w:rStyle w:val="NormalTok"/>
        </w:rPr>
        <w:t xml:space="preserve"> ntp_offset_delay(</w:t>
      </w:r>
      <w:r>
        <w:rPr>
          <w:rStyle w:val="FloatTok"/>
        </w:rPr>
        <w:t xml:space="preserve">0.000</w:t>
      </w:r>
      <w:r>
        <w:rPr>
          <w:rStyle w:val="NormalTok"/>
        </w:rPr>
        <w:t xml:space="preserve">, </w:t>
      </w:r>
      <w:r>
        <w:rPr>
          <w:rStyle w:val="FloatTok"/>
        </w:rPr>
        <w:t xml:space="preserve">0.120</w:t>
      </w:r>
      <w:r>
        <w:rPr>
          <w:rStyle w:val="NormalTok"/>
        </w:rPr>
        <w:t xml:space="preserve">, </w:t>
      </w:r>
      <w:r>
        <w:rPr>
          <w:rStyle w:val="FloatTok"/>
        </w:rPr>
        <w:t xml:space="preserve">0.121</w:t>
      </w:r>
      <w:r>
        <w:rPr>
          <w:rStyle w:val="NormalTok"/>
        </w:rPr>
        <w:t xml:space="preserve">, </w:t>
      </w:r>
      <w:r>
        <w:rPr>
          <w:rStyle w:val="FloatTok"/>
        </w:rPr>
        <w:t xml:space="preserve">0.061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f"NTP: offset </w:t>
      </w:r>
      <w:r>
        <w:rPr>
          <w:rStyle w:val="SpecialCharTok"/>
        </w:rPr>
        <w:t xml:space="preserve">{</w:t>
      </w:r>
      <w:r>
        <w:rPr>
          <w:rStyle w:val="NormalTok"/>
        </w:rPr>
        <w:t xml:space="preserve">theta </w:t>
      </w:r>
      <w:r>
        <w:rPr>
          <w:rStyle w:val="OperatorTok"/>
        </w:rPr>
        <w:t xml:space="preserve">*</w:t>
      </w:r>
      <w:r>
        <w:rPr>
          <w:rStyle w:val="NormalTok"/>
        </w:rPr>
        <w:t xml:space="preserve"> </w:t>
      </w:r>
      <w:r>
        <w:rPr>
          <w:rStyle w:val="DecValTok"/>
        </w:rPr>
        <w:t xml:space="preserve">1000</w:t>
      </w:r>
      <w:r>
        <w:rPr>
          <w:rStyle w:val="SpecialCharTok"/>
        </w:rPr>
        <w:t xml:space="preserve">:.1f}</w:t>
      </w:r>
      <w:r>
        <w:rPr>
          <w:rStyle w:val="SpecialStringTok"/>
        </w:rPr>
        <w:t xml:space="preserve"> ms, delay </w:t>
      </w:r>
      <w:r>
        <w:rPr>
          <w:rStyle w:val="SpecialCharTok"/>
        </w:rPr>
        <w:t xml:space="preserve">{</w:t>
      </w:r>
      <w:r>
        <w:rPr>
          <w:rStyle w:val="NormalTok"/>
        </w:rPr>
        <w:t xml:space="preserve">delta </w:t>
      </w:r>
      <w:r>
        <w:rPr>
          <w:rStyle w:val="OperatorTok"/>
        </w:rPr>
        <w:t xml:space="preserve">*</w:t>
      </w:r>
      <w:r>
        <w:rPr>
          <w:rStyle w:val="NormalTok"/>
        </w:rPr>
        <w:t xml:space="preserve"> </w:t>
      </w:r>
      <w:r>
        <w:rPr>
          <w:rStyle w:val="DecValTok"/>
        </w:rPr>
        <w:t xml:space="preserve">1000</w:t>
      </w:r>
      <w:r>
        <w:rPr>
          <w:rStyle w:val="SpecialCharTok"/>
        </w:rPr>
        <w:t xml:space="preserve">:.1f}</w:t>
      </w:r>
      <w:r>
        <w:rPr>
          <w:rStyle w:val="SpecialStringTok"/>
        </w:rPr>
        <w:t xml:space="preserve"> ms, "</w:t>
      </w:r>
      <w:r>
        <w:br/>
      </w:r>
      <w:r>
        <w:rPr>
          <w:rStyle w:val="NormalTok"/>
        </w:rPr>
        <w:t xml:space="preserve">          </w:t>
      </w:r>
      <w:r>
        <w:rPr>
          <w:rStyle w:val="SpecialStringTok"/>
        </w:rPr>
        <w:t xml:space="preserve">f"error bound +/-</w:t>
      </w:r>
      <w:r>
        <w:rPr>
          <w:rStyle w:val="SpecialCharTok"/>
        </w:rPr>
        <w:t xml:space="preserve">{</w:t>
      </w:r>
      <w:r>
        <w:rPr>
          <w:rStyle w:val="NormalTok"/>
        </w:rPr>
        <w:t xml:space="preserve">delta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1000</w:t>
      </w:r>
      <w:r>
        <w:rPr>
          <w:rStyle w:val="SpecialCharTok"/>
        </w:rPr>
        <w:t xml:space="preserve">:.1f}</w:t>
      </w:r>
      <w:r>
        <w:rPr>
          <w:rStyle w:val="SpecialStringTok"/>
        </w:rPr>
        <w:t xml:space="preserve"> ms"</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pecialStringTok"/>
        </w:rPr>
        <w:t xml:space="preserve">f"Resync every </w:t>
      </w:r>
      <w:r>
        <w:rPr>
          <w:rStyle w:val="SpecialCharTok"/>
        </w:rPr>
        <w:t xml:space="preserve">{</w:t>
      </w:r>
      <w:r>
        <w:rPr>
          <w:rStyle w:val="NormalTok"/>
        </w:rPr>
        <w:t xml:space="preserve">resync_interval(</w:t>
      </w:r>
      <w:r>
        <w:rPr>
          <w:rStyle w:val="FloatTok"/>
        </w:rPr>
        <w:t xml:space="preserve">0.001</w:t>
      </w:r>
      <w:r>
        <w:rPr>
          <w:rStyle w:val="NormalTok"/>
        </w:rPr>
        <w:t xml:space="preserve">, </w:t>
      </w:r>
      <w:r>
        <w:rPr>
          <w:rStyle w:val="DecValTok"/>
        </w:rPr>
        <w:t xml:space="preserve">50</w:t>
      </w:r>
      <w:r>
        <w:rPr>
          <w:rStyle w:val="NormalTok"/>
        </w:rPr>
        <w:t xml:space="preserve">)</w:t>
      </w:r>
      <w:r>
        <w:rPr>
          <w:rStyle w:val="SpecialCharTok"/>
        </w:rPr>
        <w:t xml:space="preserve">:.0f}</w:t>
      </w:r>
      <w:r>
        <w:rPr>
          <w:rStyle w:val="SpecialStringTok"/>
        </w:rPr>
        <w:t xml:space="preserve"> s to stay within 1 ms at 50 ppm"</w:t>
      </w:r>
      <w:r>
        <w:rPr>
          <w:rStyle w:val="NormalTok"/>
        </w:rPr>
        <w:t xml:space="preserve">)</w:t>
      </w:r>
      <w:r>
        <w:br/>
      </w:r>
      <w:r>
        <w:br/>
      </w:r>
      <w:r>
        <w:rPr>
          <w:rStyle w:val="NormalTok"/>
        </w:rPr>
        <w:t xml:space="preserve">    </w:t>
      </w:r>
      <w:r>
        <w:rPr>
          <w:rStyle w:val="CommentTok"/>
        </w:rPr>
        <w:t xml:space="preserve"># Node A's clock runs 150 ms fast; node B's clock is correct.</w:t>
      </w:r>
      <w:r>
        <w:br/>
      </w:r>
      <w:r>
        <w:rPr>
          <w:rStyle w:val="NormalTok"/>
        </w:rPr>
        <w:t xml:space="preserve">    skew </w:t>
      </w:r>
      <w:r>
        <w:rPr>
          <w:rStyle w:val="OperatorTok"/>
        </w:rPr>
        <w:t xml:space="preserve">=</w:t>
      </w:r>
      <w:r>
        <w:rPr>
          <w:rStyle w:val="NormalTok"/>
        </w:rPr>
        <w:t xml:space="preserve"> {</w:t>
      </w:r>
      <w:r>
        <w:rPr>
          <w:rStyle w:val="StringTok"/>
        </w:rPr>
        <w:t xml:space="preserve">"A"</w:t>
      </w:r>
      <w:r>
        <w:rPr>
          <w:rStyle w:val="NormalTok"/>
        </w:rPr>
        <w:t xml:space="preserve">: </w:t>
      </w:r>
      <w:r>
        <w:rPr>
          <w:rStyle w:val="FloatTok"/>
        </w:rPr>
        <w:t xml:space="preserve">0.150</w:t>
      </w:r>
      <w:r>
        <w:rPr>
          <w:rStyle w:val="NormalTok"/>
        </w:rPr>
        <w:t xml:space="preserve">, </w:t>
      </w:r>
      <w:r>
        <w:rPr>
          <w:rStyle w:val="StringTok"/>
        </w:rPr>
        <w:t xml:space="preserve">"B"</w:t>
      </w:r>
      <w:r>
        <w:rPr>
          <w:rStyle w:val="NormalTok"/>
        </w:rPr>
        <w:t xml:space="preserve">: </w:t>
      </w:r>
      <w:r>
        <w:rPr>
          <w:rStyle w:val="FloatTok"/>
        </w:rPr>
        <w:t xml:space="preserve">0.000</w:t>
      </w:r>
      <w:r>
        <w:rPr>
          <w:rStyle w:val="NormalTok"/>
        </w:rPr>
        <w:t xml:space="preserve">}</w:t>
      </w:r>
      <w:r>
        <w:br/>
      </w:r>
      <w:r>
        <w:rPr>
          <w:rStyle w:val="NormalTok"/>
        </w:rPr>
        <w:t xml:space="preserve">    writes </w:t>
      </w:r>
      <w:r>
        <w:rPr>
          <w:rStyle w:val="OperatorTok"/>
        </w:rPr>
        <w:t xml:space="preserve">=</w:t>
      </w:r>
      <w:r>
        <w:rPr>
          <w:rStyle w:val="NormalTok"/>
        </w:rPr>
        <w:t xml:space="preserve"> [  </w:t>
      </w:r>
      <w:r>
        <w:rPr>
          <w:rStyle w:val="CommentTok"/>
        </w:rPr>
        <w:t xml:space="preserve"># (true time in s, node, value): the second write happens 50 ms later</w:t>
      </w:r>
      <w:r>
        <w:br/>
      </w:r>
      <w:r>
        <w:rPr>
          <w:rStyle w:val="NormalTok"/>
        </w:rPr>
        <w:t xml:space="preserve">        (</w:t>
      </w:r>
      <w:r>
        <w:rPr>
          <w:rStyle w:val="FloatTok"/>
        </w:rPr>
        <w:t xml:space="preserve">10.000</w:t>
      </w:r>
      <w:r>
        <w:rPr>
          <w:rStyle w:val="NormalTok"/>
        </w:rPr>
        <w:t xml:space="preserve">, </w:t>
      </w:r>
      <w:r>
        <w:rPr>
          <w:rStyle w:val="StringTok"/>
        </w:rPr>
        <w:t xml:space="preserve">"A"</w:t>
      </w:r>
      <w:r>
        <w:rPr>
          <w:rStyle w:val="NormalTok"/>
        </w:rPr>
        <w:t xml:space="preserve">, </w:t>
      </w:r>
      <w:r>
        <w:rPr>
          <w:rStyle w:val="StringTok"/>
        </w:rPr>
        <w:t xml:space="preserve">"caption v1"</w:t>
      </w:r>
      <w:r>
        <w:rPr>
          <w:rStyle w:val="NormalTok"/>
        </w:rPr>
        <w:t xml:space="preserve">),</w:t>
      </w:r>
      <w:r>
        <w:br/>
      </w:r>
      <w:r>
        <w:rPr>
          <w:rStyle w:val="NormalTok"/>
        </w:rPr>
        <w:t xml:space="preserve">        (</w:t>
      </w:r>
      <w:r>
        <w:rPr>
          <w:rStyle w:val="FloatTok"/>
        </w:rPr>
        <w:t xml:space="preserve">10.050</w:t>
      </w:r>
      <w:r>
        <w:rPr>
          <w:rStyle w:val="NormalTok"/>
        </w:rPr>
        <w:t xml:space="preserve">, </w:t>
      </w:r>
      <w:r>
        <w:rPr>
          <w:rStyle w:val="StringTok"/>
        </w:rPr>
        <w:t xml:space="preserve">"B"</w:t>
      </w:r>
      <w:r>
        <w:rPr>
          <w:rStyle w:val="NormalTok"/>
        </w:rPr>
        <w:t xml:space="preserve">, </w:t>
      </w:r>
      <w:r>
        <w:rPr>
          <w:rStyle w:val="StringTok"/>
        </w:rPr>
        <w:t xml:space="preserve">"caption v2"</w:t>
      </w:r>
      <w:r>
        <w:rPr>
          <w:rStyle w:val="NormalTok"/>
        </w:rPr>
        <w:t xml:space="preserve">),</w:t>
      </w:r>
      <w:r>
        <w:br/>
      </w:r>
      <w:r>
        <w:rPr>
          <w:rStyle w:val="NormalTok"/>
        </w:rPr>
        <w:t xml:space="preserve">    ]</w:t>
      </w:r>
      <w:r>
        <w:br/>
      </w:r>
      <w:r>
        <w:rPr>
          <w:rStyle w:val="NormalTok"/>
        </w:rPr>
        <w:t xml:space="preserve">    replica </w:t>
      </w:r>
      <w:r>
        <w:rPr>
          <w:rStyle w:val="OperatorTok"/>
        </w:rPr>
        <w:t xml:space="preserve">=</w:t>
      </w:r>
      <w:r>
        <w:rPr>
          <w:rStyle w:val="NormalTok"/>
        </w:rPr>
        <w:t xml:space="preserve"> LWWRegister()</w:t>
      </w:r>
      <w:r>
        <w:br/>
      </w:r>
      <w:r>
        <w:rPr>
          <w:rStyle w:val="NormalTok"/>
        </w:rPr>
        <w:t xml:space="preserve">    </w:t>
      </w:r>
      <w:r>
        <w:rPr>
          <w:rStyle w:val="ControlFlowTok"/>
        </w:rPr>
        <w:t xml:space="preserve">for</w:t>
      </w:r>
      <w:r>
        <w:rPr>
          <w:rStyle w:val="NormalTok"/>
        </w:rPr>
        <w:t xml:space="preserve"> true_t, node, value </w:t>
      </w:r>
      <w:r>
        <w:rPr>
          <w:rStyle w:val="KeywordTok"/>
        </w:rPr>
        <w:t xml:space="preserve">in</w:t>
      </w:r>
      <w:r>
        <w:rPr>
          <w:rStyle w:val="NormalTok"/>
        </w:rPr>
        <w:t xml:space="preserve"> writes:</w:t>
      </w:r>
      <w:r>
        <w:br/>
      </w:r>
      <w:r>
        <w:rPr>
          <w:rStyle w:val="NormalTok"/>
        </w:rPr>
        <w:t xml:space="preserve">        stamp </w:t>
      </w:r>
      <w:r>
        <w:rPr>
          <w:rStyle w:val="OperatorTok"/>
        </w:rPr>
        <w:t xml:space="preserve">=</w:t>
      </w:r>
      <w:r>
        <w:rPr>
          <w:rStyle w:val="NormalTok"/>
        </w:rPr>
        <w:t xml:space="preserve"> true_t </w:t>
      </w:r>
      <w:r>
        <w:rPr>
          <w:rStyle w:val="OperatorTok"/>
        </w:rPr>
        <w:t xml:space="preserve">+</w:t>
      </w:r>
      <w:r>
        <w:rPr>
          <w:rStyle w:val="NormalTok"/>
        </w:rPr>
        <w:t xml:space="preserve"> skew[node]                      </w:t>
      </w:r>
      <w:r>
        <w:rPr>
          <w:rStyle w:val="CommentTok"/>
        </w:rPr>
        <w:t xml:space="preserve"># what the node's clock says</w:t>
      </w:r>
      <w:r>
        <w:br/>
      </w:r>
      <w:r>
        <w:rPr>
          <w:rStyle w:val="NormalTok"/>
        </w:rPr>
        <w:t xml:space="preserve">        </w:t>
      </w:r>
      <w:r>
        <w:rPr>
          <w:rStyle w:val="BuiltInTok"/>
        </w:rPr>
        <w:t xml:space="preserve">print</w:t>
      </w:r>
      <w:r>
        <w:rPr>
          <w:rStyle w:val="NormalTok"/>
        </w:rPr>
        <w:t xml:space="preserve">(</w:t>
      </w:r>
      <w:r>
        <w:rPr>
          <w:rStyle w:val="SpecialStringTok"/>
        </w:rPr>
        <w:t xml:space="preserve">f"t=</w:t>
      </w:r>
      <w:r>
        <w:rPr>
          <w:rStyle w:val="SpecialCharTok"/>
        </w:rPr>
        <w:t xml:space="preserve">{</w:t>
      </w:r>
      <w:r>
        <w:rPr>
          <w:rStyle w:val="NormalTok"/>
        </w:rPr>
        <w:t xml:space="preserve">true_t</w:t>
      </w:r>
      <w:r>
        <w:rPr>
          <w:rStyle w:val="SpecialCharTok"/>
        </w:rPr>
        <w:t xml:space="preserve">:.3f}</w:t>
      </w:r>
      <w:r>
        <w:rPr>
          <w:rStyle w:val="SpecialStringTok"/>
        </w:rPr>
        <w:t xml:space="preserve"> node </w:t>
      </w:r>
      <w:r>
        <w:rPr>
          <w:rStyle w:val="SpecialCharTok"/>
        </w:rPr>
        <w:t xml:space="preserve">{</w:t>
      </w:r>
      <w:r>
        <w:rPr>
          <w:rStyle w:val="NormalTok"/>
        </w:rPr>
        <w:t xml:space="preserve">node</w:t>
      </w:r>
      <w:r>
        <w:rPr>
          <w:rStyle w:val="SpecialCharTok"/>
        </w:rPr>
        <w:t xml:space="preserve">}</w:t>
      </w:r>
      <w:r>
        <w:rPr>
          <w:rStyle w:val="SpecialStringTok"/>
        </w:rPr>
        <w:t xml:space="preserve"> writes </w:t>
      </w:r>
      <w:r>
        <w:rPr>
          <w:rStyle w:val="SpecialCharTok"/>
        </w:rPr>
        <w:t xml:space="preserve">{</w:t>
      </w:r>
      <w:r>
        <w:rPr>
          <w:rStyle w:val="NormalTok"/>
        </w:rPr>
        <w:t xml:space="preserve">value</w:t>
      </w:r>
      <w:r>
        <w:rPr>
          <w:rStyle w:val="SpecialCharTok"/>
        </w:rPr>
        <w:t xml:space="preserve">!r:13}</w:t>
      </w:r>
      <w:r>
        <w:rPr>
          <w:rStyle w:val="SpecialStringTok"/>
        </w:rPr>
        <w:t xml:space="preserve"> stamp=</w:t>
      </w:r>
      <w:r>
        <w:rPr>
          <w:rStyle w:val="SpecialCharTok"/>
        </w:rPr>
        <w:t xml:space="preserve">{</w:t>
      </w:r>
      <w:r>
        <w:rPr>
          <w:rStyle w:val="NormalTok"/>
        </w:rPr>
        <w:t xml:space="preserve">stamp</w:t>
      </w:r>
      <w:r>
        <w:rPr>
          <w:rStyle w:val="SpecialCharTok"/>
        </w:rPr>
        <w:t xml:space="preserve">:.3f}</w:t>
      </w:r>
      <w:r>
        <w:rPr>
          <w:rStyle w:val="SpecialStringTok"/>
        </w:rPr>
        <w:t xml:space="preserve">"</w:t>
      </w:r>
      <w:r>
        <w:br/>
      </w:r>
      <w:r>
        <w:rPr>
          <w:rStyle w:val="NormalTok"/>
        </w:rPr>
        <w:t xml:space="preserve">              </w:t>
      </w:r>
      <w:r>
        <w:rPr>
          <w:rStyle w:val="SpecialStringTok"/>
        </w:rPr>
        <w:t xml:space="preserve">f" -&gt; </w:t>
      </w:r>
      <w:r>
        <w:rPr>
          <w:rStyle w:val="SpecialCharTok"/>
        </w:rPr>
        <w:t xml:space="preserve">{</w:t>
      </w:r>
      <w:r>
        <w:rPr>
          <w:rStyle w:val="NormalTok"/>
        </w:rPr>
        <w:t xml:space="preserve">replica</w:t>
      </w:r>
      <w:r>
        <w:rPr>
          <w:rStyle w:val="SpecialCharTok"/>
        </w:rPr>
        <w:t xml:space="preserve">.</w:t>
      </w:r>
      <w:r>
        <w:rPr>
          <w:rStyle w:val="BuiltInTok"/>
        </w:rPr>
        <w:t xml:space="preserve">apply</w:t>
      </w:r>
      <w:r>
        <w:rPr>
          <w:rStyle w:val="NormalTok"/>
        </w:rPr>
        <w:t xml:space="preserve">(value, stamp)</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f"Final value: </w:t>
      </w:r>
      <w:r>
        <w:rPr>
          <w:rStyle w:val="SpecialCharTok"/>
        </w:rPr>
        <w:t xml:space="preserve">{</w:t>
      </w:r>
      <w:r>
        <w:rPr>
          <w:rStyle w:val="NormalTok"/>
        </w:rPr>
        <w:t xml:space="preserve">replica</w:t>
      </w:r>
      <w:r>
        <w:rPr>
          <w:rStyle w:val="SpecialCharTok"/>
        </w:rPr>
        <w:t xml:space="preserve">.</w:t>
      </w:r>
      <w:r>
        <w:rPr>
          <w:rStyle w:val="NormalTok"/>
        </w:rPr>
        <w:t xml:space="preserve">value</w:t>
      </w:r>
      <w:r>
        <w:rPr>
          <w:rStyle w:val="SpecialCharTok"/>
        </w:rPr>
        <w:t xml:space="preserve">!r}</w:t>
      </w:r>
      <w:r>
        <w:rPr>
          <w:rStyle w:val="SpecialStringTok"/>
        </w:rPr>
        <w:t xml:space="preserve"> (the later write was lost)"</w:t>
      </w:r>
      <w:r>
        <w:rPr>
          <w:rStyle w:val="NormalTok"/>
        </w:rPr>
        <w:t xml:space="preserve">)</w:t>
      </w:r>
    </w:p>
    <w:p>
      <w:pPr>
        <w:pStyle w:val="FirstParagraph"/>
      </w:pPr>
      <w:r>
        <w:t xml:space="preserve">Output:</w:t>
      </w:r>
    </w:p>
    <w:p>
      <w:pPr>
        <w:pStyle w:val="SourceCode"/>
      </w:pPr>
      <w:r>
        <w:rPr>
          <w:rStyle w:val="VerbatimChar"/>
        </w:rPr>
        <w:t xml:space="preserve">NTP: offset 90.0 ms, delay 60.0 ms, error bound +/-30.0 ms</w:t>
      </w:r>
      <w:r>
        <w:br/>
      </w:r>
      <w:r>
        <w:rPr>
          <w:rStyle w:val="VerbatimChar"/>
        </w:rPr>
        <w:t xml:space="preserve">Resync every 10 s to stay within 1 ms at 50 ppm</w:t>
      </w:r>
      <w:r>
        <w:br/>
      </w:r>
      <w:r>
        <w:rPr>
          <w:rStyle w:val="VerbatimChar"/>
        </w:rPr>
        <w:t xml:space="preserve">t=10.000 node A writes 'caption v1'  stamp=10.150 -&gt; applied</w:t>
      </w:r>
      <w:r>
        <w:br/>
      </w:r>
      <w:r>
        <w:rPr>
          <w:rStyle w:val="VerbatimChar"/>
        </w:rPr>
        <w:t xml:space="preserve">t=10.050 node B writes 'caption v2'  stamp=10.050 -&gt; discarded</w:t>
      </w:r>
      <w:r>
        <w:br/>
      </w:r>
      <w:r>
        <w:rPr>
          <w:rStyle w:val="VerbatimChar"/>
        </w:rPr>
        <w:t xml:space="preserve">Final value: 'caption v1' (the later write was lost)</w:t>
      </w:r>
    </w:p>
    <w:p>
      <w:pPr>
        <w:pStyle w:val="FirstParagraph"/>
      </w:pPr>
      <w:r>
        <w:t xml:space="preserve">What to notice:</w:t>
      </w:r>
    </w:p>
    <w:p>
      <w:pPr>
        <w:numPr>
          <w:ilvl w:val="0"/>
          <w:numId w:val="1791"/>
        </w:numPr>
        <w:pStyle w:val="Compact"/>
      </w:pPr>
      <w:r>
        <w:rPr>
          <w:rStyle w:val="VerbatimChar"/>
        </w:rPr>
        <w:t xml:space="preserve">ntp_offset_delay</w:t>
      </w:r>
      <w:r>
        <w:t xml:space="preserve"> </w:t>
      </w:r>
      <w:r>
        <w:t xml:space="preserve">is a direct transcription of the RFC 5905 formulas; the sign convention is</w:t>
      </w:r>
      <w:r>
        <w:t xml:space="preserve"> </w:t>
      </w:r>
      <w:r>
        <w:t xml:space="preserve">“</w:t>
      </w:r>
      <w:r>
        <w:t xml:space="preserve">server minus client</w:t>
      </w:r>
      <w:r>
        <w:t xml:space="preserve">”</w:t>
      </w:r>
      <w:r>
        <w:t xml:space="preserve">.</w:t>
      </w:r>
    </w:p>
    <w:p>
      <w:pPr>
        <w:numPr>
          <w:ilvl w:val="0"/>
          <w:numId w:val="1791"/>
        </w:numPr>
        <w:pStyle w:val="Compact"/>
      </w:pPr>
      <w:r>
        <w:rPr>
          <w:rStyle w:val="VerbatimChar"/>
        </w:rPr>
        <w:t xml:space="preserve">LWWRegister.apply</w:t>
      </w:r>
      <w:r>
        <w:t xml:space="preserve"> </w:t>
      </w:r>
      <w:r>
        <w:t xml:space="preserve">returns</w:t>
      </w:r>
      <w:r>
        <w:t xml:space="preserve"> </w:t>
      </w:r>
      <w:r>
        <w:rPr>
          <w:rStyle w:val="VerbatimChar"/>
        </w:rPr>
        <w:t xml:space="preserve">"discarded"</w:t>
      </w:r>
      <w:r>
        <w:t xml:space="preserve"> </w:t>
      </w:r>
      <w:r>
        <w:t xml:space="preserve">for the user’s</w:t>
      </w:r>
      <w:r>
        <w:t xml:space="preserve"> </w:t>
      </w:r>
      <w:r>
        <w:rPr>
          <w:iCs/>
          <w:i/>
        </w:rPr>
        <w:t xml:space="preserve">latest</w:t>
      </w:r>
      <w:r>
        <w:t xml:space="preserve"> </w:t>
      </w:r>
      <w:r>
        <w:t xml:space="preserve">edit, and nothing in the system raises an error: LWW data loss is silent.</w:t>
      </w:r>
    </w:p>
    <w:p>
      <w:pPr>
        <w:numPr>
          <w:ilvl w:val="0"/>
          <w:numId w:val="1791"/>
        </w:numPr>
        <w:pStyle w:val="Compact"/>
      </w:pPr>
      <w:r>
        <w:t xml:space="preserve">Even if the replica received v2 first, the outcome is the same, because LWW orders by timestamp, not by arrival.</w:t>
      </w:r>
    </w:p>
    <w:bookmarkEnd w:id="2716"/>
    <w:bookmarkEnd w:id="2717"/>
    <w:bookmarkStart w:id="2718" w:name="clock-sources-and-bounded-uncertainty"/>
    <w:p>
      <w:pPr>
        <w:pStyle w:val="Heading3"/>
      </w:pPr>
      <w:r>
        <w:t xml:space="preserve">24.9.7 Clock sources and bounded uncertainty</w:t>
      </w:r>
    </w:p>
    <w:p>
      <w:pPr>
        <w:pStyle w:val="FirstParagraph"/>
      </w:pPr>
      <w:r>
        <w:rPr>
          <w:bCs/>
          <w:b/>
        </w:rPr>
        <w:t xml:space="preserve">Table 24.8 — Clock synchronization options.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Option</w:t>
            </w:r>
          </w:p>
        </w:tc>
        <w:tc>
          <w:tcPr/>
          <w:p>
            <w:pPr>
              <w:pStyle w:val="Compact"/>
              <w:jc w:val="left"/>
            </w:pPr>
            <w:r>
              <w:t xml:space="preserve">How it works</w:t>
            </w:r>
          </w:p>
        </w:tc>
        <w:tc>
          <w:tcPr/>
          <w:p>
            <w:pPr>
              <w:pStyle w:val="Compact"/>
              <w:jc w:val="left"/>
            </w:pPr>
            <w:r>
              <w:t xml:space="preserve">Typical accuracy (as of 2026)</w:t>
            </w:r>
          </w:p>
        </w:tc>
        <w:tc>
          <w:tcPr/>
          <w:p>
            <w:pPr>
              <w:pStyle w:val="Compact"/>
              <w:jc w:val="left"/>
            </w:pPr>
            <w:r>
              <w:t xml:space="preserve">Cost</w:t>
            </w:r>
          </w:p>
        </w:tc>
        <w:tc>
          <w:tcPr/>
          <w:p>
            <w:pPr>
              <w:pStyle w:val="Compact"/>
              <w:jc w:val="left"/>
            </w:pPr>
            <w:r>
              <w:t xml:space="preserve">Use when</w:t>
            </w:r>
          </w:p>
        </w:tc>
      </w:tr>
      <w:tr>
        <w:tc>
          <w:tcPr/>
          <w:p>
            <w:pPr>
              <w:pStyle w:val="Compact"/>
              <w:jc w:val="left"/>
            </w:pPr>
            <w:r>
              <w:t xml:space="preserve">Unsynchronized quartz</w:t>
            </w:r>
          </w:p>
        </w:tc>
        <w:tc>
          <w:tcPr/>
          <w:p>
            <w:pPr>
              <w:pStyle w:val="Compact"/>
              <w:jc w:val="left"/>
            </w:pPr>
            <w:r>
              <w:t xml:space="preserve">Free-running oscillator</w:t>
            </w:r>
          </w:p>
        </w:tc>
        <w:tc>
          <w:tcPr/>
          <w:p>
            <w:pPr>
              <w:pStyle w:val="Compact"/>
              <w:jc w:val="left"/>
            </w:pPr>
            <w:r>
              <w:t xml:space="preserve">Drifts seconds per day</w:t>
            </w:r>
          </w:p>
        </w:tc>
        <w:tc>
          <w:tcPr/>
          <w:p>
            <w:pPr>
              <w:pStyle w:val="Compact"/>
              <w:jc w:val="left"/>
            </w:pPr>
            <w:r>
              <w:t xml:space="preserve">None</w:t>
            </w:r>
          </w:p>
        </w:tc>
        <w:tc>
          <w:tcPr/>
          <w:p>
            <w:pPr>
              <w:pStyle w:val="Compact"/>
              <w:jc w:val="left"/>
            </w:pPr>
            <w:r>
              <w:t xml:space="preserve">Never for timestamps shared across machines</w:t>
            </w:r>
          </w:p>
        </w:tc>
      </w:tr>
      <w:tr>
        <w:tc>
          <w:tcPr/>
          <w:p>
            <w:pPr>
              <w:pStyle w:val="Compact"/>
              <w:jc w:val="left"/>
            </w:pPr>
            <w:r>
              <w:t xml:space="preserve">NTP over the Internet</w:t>
            </w:r>
          </w:p>
        </w:tc>
        <w:tc>
          <w:tcPr/>
          <w:p>
            <w:pPr>
              <w:pStyle w:val="Compact"/>
              <w:jc w:val="left"/>
            </w:pPr>
            <w:r>
              <w:t xml:space="preserve">Software timestamps, public servers</w:t>
            </w:r>
          </w:p>
        </w:tc>
        <w:tc>
          <w:tcPr/>
          <w:p>
            <w:pPr>
              <w:pStyle w:val="Compact"/>
              <w:jc w:val="left"/>
            </w:pPr>
            <w:r>
              <w:t xml:space="preserve">Milliseconds to tens of milliseconds</w:t>
            </w:r>
          </w:p>
        </w:tc>
        <w:tc>
          <w:tcPr/>
          <w:p>
            <w:pPr>
              <w:pStyle w:val="Compact"/>
              <w:jc w:val="left"/>
            </w:pPr>
            <w:r>
              <w:t xml:space="preserve">Free</w:t>
            </w:r>
          </w:p>
        </w:tc>
        <w:tc>
          <w:tcPr/>
          <w:p>
            <w:pPr>
              <w:pStyle w:val="Compact"/>
              <w:jc w:val="left"/>
            </w:pPr>
            <w:r>
              <w:t xml:space="preserve">Laptops, small fleets, logging</w:t>
            </w:r>
          </w:p>
        </w:tc>
      </w:tr>
      <w:tr>
        <w:tc>
          <w:tcPr/>
          <w:p>
            <w:pPr>
              <w:pStyle w:val="Compact"/>
              <w:jc w:val="left"/>
            </w:pPr>
            <w:r>
              <w:t xml:space="preserve">NTP inside a datacenter</w:t>
            </w:r>
          </w:p>
        </w:tc>
        <w:tc>
          <w:tcPr/>
          <w:p>
            <w:pPr>
              <w:pStyle w:val="Compact"/>
              <w:jc w:val="left"/>
            </w:pPr>
            <w:r>
              <w:t xml:space="preserve">Local stratum-1/2 servers, short paths</w:t>
            </w:r>
          </w:p>
        </w:tc>
        <w:tc>
          <w:tcPr/>
          <w:p>
            <w:pPr>
              <w:pStyle w:val="Compact"/>
              <w:jc w:val="left"/>
            </w:pPr>
            <w:r>
              <w:t xml:space="preserve">Sub-millisecond to a few ms</w:t>
            </w:r>
          </w:p>
        </w:tc>
        <w:tc>
          <w:tcPr/>
          <w:p>
            <w:pPr>
              <w:pStyle w:val="Compact"/>
              <w:jc w:val="left"/>
            </w:pPr>
            <w:r>
              <w:t xml:space="preserve">Low</w:t>
            </w:r>
          </w:p>
        </w:tc>
        <w:tc>
          <w:tcPr/>
          <w:p>
            <w:pPr>
              <w:pStyle w:val="Compact"/>
              <w:jc w:val="left"/>
            </w:pPr>
            <w:r>
              <w:t xml:space="preserve">Default for server fleets</w:t>
            </w:r>
          </w:p>
        </w:tc>
      </w:tr>
      <w:tr>
        <w:tc>
          <w:tcPr/>
          <w:p>
            <w:pPr>
              <w:pStyle w:val="Compact"/>
              <w:jc w:val="left"/>
            </w:pPr>
            <w:r>
              <w:t xml:space="preserve">PTP with hardware timestamps</w:t>
            </w:r>
          </w:p>
        </w:tc>
        <w:tc>
          <w:tcPr/>
          <w:p>
            <w:pPr>
              <w:pStyle w:val="Compact"/>
              <w:jc w:val="left"/>
            </w:pPr>
            <w:r>
              <w:t xml:space="preserve">NIC and switch timestamping</w:t>
            </w:r>
          </w:p>
        </w:tc>
        <w:tc>
          <w:tcPr/>
          <w:p>
            <w:pPr>
              <w:pStyle w:val="Compact"/>
              <w:jc w:val="left"/>
            </w:pPr>
            <w:r>
              <w:t xml:space="preserve">Sub-microsecond in a well-built LAN</w:t>
            </w:r>
          </w:p>
        </w:tc>
        <w:tc>
          <w:tcPr/>
          <w:p>
            <w:pPr>
              <w:pStyle w:val="Compact"/>
              <w:jc w:val="left"/>
            </w:pPr>
            <w:r>
              <w:t xml:space="preserve">PTP-capable NICs, switches, grandmasters</w:t>
            </w:r>
          </w:p>
        </w:tc>
        <w:tc>
          <w:tcPr/>
          <w:p>
            <w:pPr>
              <w:pStyle w:val="Compact"/>
              <w:jc w:val="left"/>
            </w:pPr>
            <w:r>
              <w:t xml:space="preserve">Finance, telecom, databases that exploit tight bounds</w:t>
            </w:r>
          </w:p>
        </w:tc>
      </w:tr>
      <w:tr>
        <w:tc>
          <w:tcPr/>
          <w:p>
            <w:pPr>
              <w:pStyle w:val="Compact"/>
              <w:jc w:val="left"/>
            </w:pPr>
            <w:r>
              <w:t xml:space="preserve">Bounded-uncertainty APIs</w:t>
            </w:r>
          </w:p>
        </w:tc>
        <w:tc>
          <w:tcPr/>
          <w:p>
            <w:pPr>
              <w:pStyle w:val="Compact"/>
              <w:jc w:val="left"/>
            </w:pPr>
            <w:r>
              <w:t xml:space="preserve">Return an interval [earliest, latest] instead of one value</w:t>
            </w:r>
          </w:p>
        </w:tc>
        <w:tc>
          <w:tcPr/>
          <w:p>
            <w:pPr>
              <w:pStyle w:val="Compact"/>
              <w:jc w:val="left"/>
            </w:pPr>
            <w:r>
              <w:t xml:space="preserve">Interval width of microseconds to milliseconds</w:t>
            </w:r>
          </w:p>
        </w:tc>
        <w:tc>
          <w:tcPr/>
          <w:p>
            <w:pPr>
              <w:pStyle w:val="Compact"/>
              <w:jc w:val="left"/>
            </w:pPr>
            <w:r>
              <w:t xml:space="preserve">Infrastructure plus discipline in using the bound</w:t>
            </w:r>
          </w:p>
        </w:tc>
        <w:tc>
          <w:tcPr/>
          <w:p>
            <w:pPr>
              <w:pStyle w:val="Compact"/>
              <w:jc w:val="left"/>
            </w:pPr>
            <w:r>
              <w:t xml:space="preserve">Correctness that depends on time (leases, commit wait)</w:t>
            </w:r>
          </w:p>
        </w:tc>
      </w:tr>
    </w:tbl>
    <w:p>
      <w:pPr>
        <w:pStyle w:val="BodyText"/>
      </w:pPr>
      <w:r>
        <w:t xml:space="preserve">The last row matters most for Part V. Google’s</w:t>
      </w:r>
      <w:r>
        <w:t xml:space="preserve"> </w:t>
      </w:r>
      <w:r>
        <w:rPr>
          <w:bCs/>
          <w:b/>
        </w:rPr>
        <w:t xml:space="preserve">TrueTime</w:t>
      </w:r>
      <w:r>
        <w:t xml:space="preserve"> </w:t>
      </w:r>
      <w:r>
        <w:t xml:space="preserve">returns an interval guaranteed to contain true time, and Spanner waits out its width before making a commit visible (</w:t>
      </w:r>
      <w:r>
        <w:rPr>
          <w:bCs/>
          <w:b/>
        </w:rPr>
        <w:t xml:space="preserve">commit wait</w:t>
      </w:r>
      <w:r>
        <w:t xml:space="preserve">), turning bounded uncertainty into externally consistent transactions (§28.8).</w:t>
      </w:r>
    </w:p>
    <w:p>
      <w:pPr>
        <w:pStyle w:val="BodyText"/>
      </w:pPr>
      <w:r>
        <w:rPr>
          <w:bCs/>
          <w:b/>
        </w:rPr>
        <w:t xml:space="preserve">Table 24.9 — Clock 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Negative durations; timeouts fire early or never</w:t>
            </w:r>
          </w:p>
        </w:tc>
        <w:tc>
          <w:tcPr/>
          <w:p>
            <w:pPr>
              <w:pStyle w:val="Compact"/>
              <w:jc w:val="left"/>
            </w:pPr>
            <w:r>
              <w:t xml:space="preserve">Wall clock used for durations; NTP stepped it</w:t>
            </w:r>
          </w:p>
        </w:tc>
        <w:tc>
          <w:tcPr/>
          <w:p>
            <w:pPr>
              <w:pStyle w:val="Compact"/>
              <w:jc w:val="left"/>
            </w:pPr>
            <w:r>
              <w:t xml:space="preserve">Negative latency metrics; stuck timers</w:t>
            </w:r>
          </w:p>
        </w:tc>
        <w:tc>
          <w:tcPr/>
          <w:p>
            <w:pPr>
              <w:pStyle w:val="Compact"/>
              <w:jc w:val="left"/>
            </w:pPr>
            <w:r>
              <w:t xml:space="preserve">Restart affected processes</w:t>
            </w:r>
          </w:p>
        </w:tc>
        <w:tc>
          <w:tcPr/>
          <w:p>
            <w:pPr>
              <w:pStyle w:val="Compact"/>
              <w:jc w:val="left"/>
            </w:pPr>
            <w:r>
              <w:t xml:space="preserve">Monotonic clocks for all durations</w:t>
            </w:r>
          </w:p>
        </w:tc>
      </w:tr>
      <w:tr>
        <w:tc>
          <w:tcPr/>
          <w:p>
            <w:pPr>
              <w:pStyle w:val="Compact"/>
              <w:jc w:val="left"/>
            </w:pPr>
            <w:r>
              <w:t xml:space="preserve">Lost writes under LWW</w:t>
            </w:r>
          </w:p>
        </w:tc>
        <w:tc>
          <w:tcPr/>
          <w:p>
            <w:pPr>
              <w:pStyle w:val="Compact"/>
              <w:jc w:val="left"/>
            </w:pPr>
            <w:r>
              <w:t xml:space="preserve">Skew larger than gap between conflicting writes</w:t>
            </w:r>
          </w:p>
        </w:tc>
        <w:tc>
          <w:tcPr/>
          <w:p>
            <w:pPr>
              <w:pStyle w:val="Compact"/>
              <w:jc w:val="left"/>
            </w:pPr>
            <w:r>
              <w:t xml:space="preserve">Users report edits</w:t>
            </w:r>
            <w:r>
              <w:t xml:space="preserve"> </w:t>
            </w:r>
            <w:r>
              <w:t xml:space="preserve">“</w:t>
            </w:r>
            <w:r>
              <w:t xml:space="preserve">reverting</w:t>
            </w:r>
            <w:r>
              <w:t xml:space="preserve">”</w:t>
            </w:r>
            <w:r>
              <w:t xml:space="preserve">; audit logs disagree</w:t>
            </w:r>
          </w:p>
        </w:tc>
        <w:tc>
          <w:tcPr/>
          <w:p>
            <w:pPr>
              <w:pStyle w:val="Compact"/>
              <w:jc w:val="left"/>
            </w:pPr>
            <w:r>
              <w:t xml:space="preserve">Restore from log if kept</w:t>
            </w:r>
          </w:p>
        </w:tc>
        <w:tc>
          <w:tcPr/>
          <w:p>
            <w:pPr>
              <w:pStyle w:val="Compact"/>
              <w:jc w:val="left"/>
            </w:pPr>
            <w:r>
              <w:t xml:space="preserve">Logical or hybrid clocks, version vectors, CRDTs</w:t>
            </w:r>
          </w:p>
        </w:tc>
      </w:tr>
      <w:tr>
        <w:tc>
          <w:tcPr/>
          <w:p>
            <w:pPr>
              <w:pStyle w:val="Compact"/>
              <w:jc w:val="left"/>
            </w:pPr>
            <w:r>
              <w:t xml:space="preserve">Two lease holders at once</w:t>
            </w:r>
          </w:p>
        </w:tc>
        <w:tc>
          <w:tcPr/>
          <w:p>
            <w:pPr>
              <w:pStyle w:val="Compact"/>
              <w:jc w:val="left"/>
            </w:pPr>
            <w:r>
              <w:t xml:space="preserve">Lease holder’s clock slow or process paused</w:t>
            </w:r>
          </w:p>
        </w:tc>
        <w:tc>
          <w:tcPr/>
          <w:p>
            <w:pPr>
              <w:pStyle w:val="Compact"/>
              <w:jc w:val="left"/>
            </w:pPr>
            <w:r>
              <w:t xml:space="preserve">Two nodes acting as owner</w:t>
            </w:r>
          </w:p>
        </w:tc>
        <w:tc>
          <w:tcPr/>
          <w:p>
            <w:pPr>
              <w:pStyle w:val="Compact"/>
              <w:jc w:val="left"/>
            </w:pPr>
            <w:r>
              <w:t xml:space="preserve">Fencing rejects stale owner</w:t>
            </w:r>
          </w:p>
        </w:tc>
        <w:tc>
          <w:tcPr/>
          <w:p>
            <w:pPr>
              <w:pStyle w:val="Compact"/>
              <w:jc w:val="left"/>
            </w:pPr>
            <w:r>
              <w:t xml:space="preserve">Fencing tokens (§26.13); bounded-uncertainty clocks</w:t>
            </w:r>
          </w:p>
        </w:tc>
      </w:tr>
      <w:tr>
        <w:tc>
          <w:tcPr/>
          <w:p>
            <w:pPr>
              <w:pStyle w:val="Compact"/>
              <w:jc w:val="left"/>
            </w:pPr>
            <w:r>
              <w:t xml:space="preserve">One node far off after hypervisor pause or failed sync</w:t>
            </w:r>
          </w:p>
        </w:tc>
        <w:tc>
          <w:tcPr/>
          <w:p>
            <w:pPr>
              <w:pStyle w:val="Compact"/>
              <w:jc w:val="left"/>
            </w:pPr>
            <w:r>
              <w:t xml:space="preserve">Synchronization stopped silently</w:t>
            </w:r>
          </w:p>
        </w:tc>
        <w:tc>
          <w:tcPr/>
          <w:p>
            <w:pPr>
              <w:pStyle w:val="Compact"/>
              <w:jc w:val="left"/>
            </w:pPr>
            <w:r>
              <w:t xml:space="preserve">Offset and</w:t>
            </w:r>
            <w:r>
              <w:t xml:space="preserve"> </w:t>
            </w:r>
            <w:r>
              <w:t xml:space="preserve">“</w:t>
            </w:r>
            <w:r>
              <w:t xml:space="preserve">last sync</w:t>
            </w:r>
            <w:r>
              <w:t xml:space="preserve">”</w:t>
            </w:r>
            <w:r>
              <w:t xml:space="preserve"> </w:t>
            </w:r>
            <w:r>
              <w:t xml:space="preserve">metrics</w:t>
            </w:r>
          </w:p>
        </w:tc>
        <w:tc>
          <w:tcPr/>
          <w:p>
            <w:pPr>
              <w:pStyle w:val="Compact"/>
              <w:jc w:val="left"/>
            </w:pPr>
            <w:r>
              <w:t xml:space="preserve">Step clock; quarantine node</w:t>
            </w:r>
          </w:p>
        </w:tc>
        <w:tc>
          <w:tcPr/>
          <w:p>
            <w:pPr>
              <w:pStyle w:val="Compact"/>
              <w:jc w:val="left"/>
            </w:pPr>
            <w:r>
              <w:t xml:space="preserve">Alert on sync loss; nodes refuse to serve when offset exceeds a bound</w:t>
            </w:r>
          </w:p>
        </w:tc>
      </w:tr>
      <w:tr>
        <w:tc>
          <w:tcPr/>
          <w:p>
            <w:pPr>
              <w:pStyle w:val="Compact"/>
              <w:jc w:val="left"/>
            </w:pPr>
            <w:r>
              <w:t xml:space="preserve">Leap second crash or 0.5 s disagreement</w:t>
            </w:r>
          </w:p>
        </w:tc>
        <w:tc>
          <w:tcPr/>
          <w:p>
            <w:pPr>
              <w:pStyle w:val="Compact"/>
              <w:jc w:val="left"/>
            </w:pPr>
            <w:r>
              <w:t xml:space="preserve">Repeated second; mixed smeared and unsmeared sources</w:t>
            </w:r>
          </w:p>
        </w:tc>
        <w:tc>
          <w:tcPr/>
          <w:p>
            <w:pPr>
              <w:pStyle w:val="Compact"/>
              <w:jc w:val="left"/>
            </w:pPr>
            <w:r>
              <w:t xml:space="preserve">Errors clustered at 23:59:60 UTC</w:t>
            </w:r>
          </w:p>
        </w:tc>
        <w:tc>
          <w:tcPr/>
          <w:p>
            <w:pPr>
              <w:pStyle w:val="Compact"/>
              <w:jc w:val="left"/>
            </w:pPr>
            <w:r>
              <w:t xml:space="preserve">Restart; fix time sources</w:t>
            </w:r>
          </w:p>
        </w:tc>
        <w:tc>
          <w:tcPr/>
          <w:p>
            <w:pPr>
              <w:pStyle w:val="Compact"/>
              <w:jc w:val="left"/>
            </w:pPr>
            <w:r>
              <w:t xml:space="preserve">Smear consistently across the fleet</w:t>
            </w:r>
          </w:p>
        </w:tc>
      </w:tr>
    </w:tbl>
    <w:p>
      <w:pPr>
        <w:pStyle w:val="CalloutMistake"/>
      </w:pPr>
      <w:r>
        <w:rPr>
          <w:bCs/>
          <w:b/>
        </w:rPr>
        <w:t xml:space="preserve">COMMON MISTAKE</w:t>
      </w:r>
    </w:p>
    <w:p>
      <w:pPr>
        <w:pStyle w:val="CalloutMistake"/>
      </w:pPr>
      <w:r>
        <w:rPr>
          <w:bCs/>
          <w:b/>
        </w:rPr>
        <w:t xml:space="preserve">Mistake —</w:t>
      </w:r>
      <w:r>
        <w:rPr>
          <w:bCs/>
          <w:b/>
        </w:rPr>
        <w:t xml:space="preserve"> </w:t>
      </w:r>
      <w:r>
        <w:rPr>
          <w:bCs/>
          <w:b/>
        </w:rPr>
        <w:t xml:space="preserve">“</w:t>
      </w:r>
      <w:r>
        <w:rPr>
          <w:bCs/>
          <w:b/>
        </w:rPr>
        <w:t xml:space="preserve">NTP keeps all our clocks in sync, so timestamps give a total order.</w:t>
      </w:r>
      <w:r>
        <w:rPr>
          <w:bCs/>
          <w:b/>
        </w:rPr>
        <w:t xml:space="preserve">”</w:t>
      </w:r>
      <w:r>
        <w:t xml:space="preserve"> </w:t>
      </w:r>
      <w:r>
        <w:t xml:space="preserve">NTP gives an</w:t>
      </w:r>
      <w:r>
        <w:t xml:space="preserve"> </w:t>
      </w:r>
      <w:r>
        <w:rPr>
          <w:iCs/>
          <w:i/>
        </w:rPr>
        <w:t xml:space="preserve">estimate</w:t>
      </w:r>
      <w:r>
        <w:t xml:space="preserve">, usually off by milliseconds and occasionally by seconds; events closer than the skew cannot be ordered by timestamp (§17.10 makes the same point for IDs). Use logical clocks for ordering and explicit uncertainty bounds for real-time guarantees.</w:t>
      </w:r>
    </w:p>
    <w:bookmarkEnd w:id="2718"/>
    <w:bookmarkEnd w:id="2719"/>
    <w:bookmarkStart w:id="2728" w:name="logical-clocks-lamport-clocks"/>
    <w:p>
      <w:pPr>
        <w:pStyle w:val="Heading2"/>
      </w:pPr>
      <w:r>
        <w:t xml:space="preserve">24.10 Logical clocks: Lamport clocks</w:t>
      </w:r>
    </w:p>
    <w:bookmarkStart w:id="2720" w:name="happened-before"/>
    <w:p>
      <w:pPr>
        <w:pStyle w:val="Heading3"/>
      </w:pPr>
      <w:r>
        <w:t xml:space="preserve">24.10.1 Happened-before</w:t>
      </w:r>
    </w:p>
    <w:p>
      <w:pPr>
        <w:pStyle w:val="FirstParagraph"/>
      </w:pPr>
      <w:r>
        <w:t xml:space="preserve">Lamport’s 1978 insight was that most systems need to know not</w:t>
      </w:r>
      <w:r>
        <w:t xml:space="preserve"> </w:t>
      </w:r>
      <w:r>
        <w:rPr>
          <w:iCs/>
          <w:i/>
        </w:rPr>
        <w:t xml:space="preserve">when</w:t>
      </w:r>
      <w:r>
        <w:t xml:space="preserve"> </w:t>
      </w:r>
      <w:r>
        <w:t xml:space="preserve">events happened but which could have</w:t>
      </w:r>
      <w:r>
        <w:t xml:space="preserve"> </w:t>
      </w:r>
      <w:r>
        <w:rPr>
          <w:iCs/>
          <w:i/>
        </w:rPr>
        <w:t xml:space="preserve">influenced</w:t>
      </w:r>
      <w:r>
        <w:t xml:space="preserve"> </w:t>
      </w:r>
      <w:r>
        <w:t xml:space="preserve">which [Lamport 1978].</w:t>
      </w:r>
    </w:p>
    <w:p>
      <w:pPr>
        <w:pStyle w:val="CalloutDefinition"/>
      </w:pPr>
      <w:r>
        <w:rPr>
          <w:bCs/>
          <w:b/>
        </w:rPr>
        <w:t xml:space="preserve">DEFINITION</w:t>
      </w:r>
    </w:p>
    <w:p>
      <w:pPr>
        <w:pStyle w:val="CalloutDefinition"/>
      </w:pPr>
      <w:r>
        <w:rPr>
          <w:bCs/>
          <w:b/>
        </w:rPr>
        <w:t xml:space="preserve">Definition — Happened-before (→).</w:t>
      </w:r>
      <w:r>
        <w:t xml:space="preserve"> </w:t>
      </w:r>
      <w:r>
        <w:t xml:space="preserve">The smallest relation on events such that: (1) if</w:t>
      </w:r>
      <w:r>
        <w:t xml:space="preserve"> </w:t>
      </w:r>
      <m:oMath>
        <m:r>
          <m:t>a</m:t>
        </m:r>
      </m:oMath>
      <w:r>
        <w:t xml:space="preserve"> </w:t>
      </w:r>
      <w:r>
        <w:t xml:space="preserve">and</w:t>
      </w:r>
      <w:r>
        <w:t xml:space="preserve"> </w:t>
      </w:r>
      <m:oMath>
        <m:r>
          <m:t>b</m:t>
        </m:r>
      </m:oMath>
      <w:r>
        <w:t xml:space="preserve"> </w:t>
      </w:r>
      <w:r>
        <w:t xml:space="preserve">occur in the same process and</w:t>
      </w:r>
      <w:r>
        <w:t xml:space="preserve"> </w:t>
      </w:r>
      <m:oMath>
        <m:r>
          <m:t>a</m:t>
        </m:r>
      </m:oMath>
      <w:r>
        <w:t xml:space="preserve"> </w:t>
      </w:r>
      <w:r>
        <w:t xml:space="preserve">comes first,</w:t>
      </w:r>
      <w:r>
        <w:t xml:space="preserve"> </w:t>
      </w:r>
      <m:oMath>
        <m:r>
          <m:t>a</m:t>
        </m:r>
        <m:r>
          <m:rPr>
            <m:sty m:val="p"/>
          </m:rPr>
          <m:t>→</m:t>
        </m:r>
        <m:r>
          <m:t>b</m:t>
        </m:r>
      </m:oMath>
      <w:r>
        <w:t xml:space="preserve">; (2) if</w:t>
      </w:r>
      <w:r>
        <w:t xml:space="preserve"> </w:t>
      </w:r>
      <m:oMath>
        <m:r>
          <m:t>a</m:t>
        </m:r>
      </m:oMath>
      <w:r>
        <w:t xml:space="preserve"> </w:t>
      </w:r>
      <w:r>
        <w:t xml:space="preserve">is the sending of a message and</w:t>
      </w:r>
      <w:r>
        <w:t xml:space="preserve"> </w:t>
      </w:r>
      <m:oMath>
        <m:r>
          <m:t>b</m:t>
        </m:r>
      </m:oMath>
      <w:r>
        <w:t xml:space="preserve"> </w:t>
      </w:r>
      <w:r>
        <w:t xml:space="preserve">its receipt,</w:t>
      </w:r>
      <w:r>
        <w:t xml:space="preserve"> </w:t>
      </w:r>
      <m:oMath>
        <m:r>
          <m:t>a</m:t>
        </m:r>
        <m:r>
          <m:rPr>
            <m:sty m:val="p"/>
          </m:rPr>
          <m:t>→</m:t>
        </m:r>
        <m:r>
          <m:t>b</m:t>
        </m:r>
      </m:oMath>
      <w:r>
        <w:t xml:space="preserve">; (3) if</w:t>
      </w:r>
      <w:r>
        <w:t xml:space="preserve"> </w:t>
      </w:r>
      <m:oMath>
        <m:r>
          <m:t>a</m:t>
        </m:r>
        <m:r>
          <m:rPr>
            <m:sty m:val="p"/>
          </m:rPr>
          <m:t>→</m:t>
        </m:r>
        <m:r>
          <m:t>b</m:t>
        </m:r>
      </m:oMath>
      <w:r>
        <w:t xml:space="preserve"> </w:t>
      </w:r>
      <w:r>
        <w:t xml:space="preserve">and</w:t>
      </w:r>
      <w:r>
        <w:t xml:space="preserve"> </w:t>
      </w:r>
      <m:oMath>
        <m:r>
          <m:t>b</m:t>
        </m:r>
        <m:r>
          <m:rPr>
            <m:sty m:val="p"/>
          </m:rPr>
          <m:t>→</m:t>
        </m:r>
        <m:r>
          <m:t>c</m:t>
        </m:r>
      </m:oMath>
      <w:r>
        <w:t xml:space="preserve">, then</w:t>
      </w:r>
      <w:r>
        <w:t xml:space="preserve"> </w:t>
      </w:r>
      <m:oMath>
        <m:r>
          <m:t>a</m:t>
        </m:r>
        <m:r>
          <m:rPr>
            <m:sty m:val="p"/>
          </m:rPr>
          <m:t>→</m:t>
        </m:r>
        <m:r>
          <m:t>c</m:t>
        </m:r>
      </m:oMath>
      <w:r>
        <w:t xml:space="preserve">. Two distinct events are</w:t>
      </w:r>
      <w:r>
        <w:t xml:space="preserve"> </w:t>
      </w:r>
      <w:r>
        <w:rPr>
          <w:bCs/>
          <w:b/>
        </w:rPr>
        <w:t xml:space="preserve">concurrent</w:t>
      </w:r>
      <w:r>
        <w:t xml:space="preserve"> </w:t>
      </w:r>
      <w:r>
        <w:t xml:space="preserve">(</w:t>
      </w:r>
      <m:oMath>
        <m:r>
          <m:t>a</m:t>
        </m:r>
        <m:r>
          <m:rPr>
            <m:sty m:val="p"/>
          </m:rPr>
          <m:t>∥</m:t>
        </m:r>
        <m:r>
          <m:t>b</m:t>
        </m:r>
      </m:oMath>
      <w:r>
        <w:t xml:space="preserve">) if neither</w:t>
      </w:r>
      <w:r>
        <w:t xml:space="preserve"> </w:t>
      </w:r>
      <m:oMath>
        <m:r>
          <m:t>a</m:t>
        </m:r>
        <m:r>
          <m:rPr>
            <m:sty m:val="p"/>
          </m:rPr>
          <m:t>→</m:t>
        </m:r>
        <m:r>
          <m:t>b</m:t>
        </m:r>
      </m:oMath>
      <w:r>
        <w:t xml:space="preserve"> </w:t>
      </w:r>
      <w:r>
        <w:t xml:space="preserve">nor</w:t>
      </w:r>
      <w:r>
        <w:t xml:space="preserve"> </w:t>
      </w:r>
      <m:oMath>
        <m:r>
          <m:t>b</m:t>
        </m:r>
        <m:r>
          <m:rPr>
            <m:sty m:val="p"/>
          </m:rPr>
          <m:t>→</m:t>
        </m:r>
        <m:r>
          <m:t>a</m:t>
        </m:r>
      </m:oMath>
      <w:r>
        <w:t xml:space="preserve">.</w:t>
      </w:r>
    </w:p>
    <w:p>
      <w:pPr>
        <w:pStyle w:val="BodyText"/>
      </w:pPr>
      <w:r>
        <w:t xml:space="preserve">Happened-before is</w:t>
      </w:r>
      <w:r>
        <w:t xml:space="preserve"> </w:t>
      </w:r>
      <w:r>
        <w:rPr>
          <w:bCs/>
          <w:b/>
        </w:rPr>
        <w:t xml:space="preserve">potential causality</w:t>
      </w:r>
      <w:r>
        <w:t xml:space="preserve">: information from</w:t>
      </w:r>
      <w:r>
        <w:t xml:space="preserve"> </w:t>
      </w:r>
      <m:oMath>
        <m:r>
          <m:t>a</m:t>
        </m:r>
      </m:oMath>
      <w:r>
        <w:t xml:space="preserve"> </w:t>
      </w:r>
      <w:r>
        <w:rPr>
          <w:iCs/>
          <w:i/>
        </w:rPr>
        <w:t xml:space="preserve">could</w:t>
      </w:r>
      <w:r>
        <w:t xml:space="preserve"> </w:t>
      </w:r>
      <w:r>
        <w:t xml:space="preserve">have reached</w:t>
      </w:r>
      <w:r>
        <w:t xml:space="preserve"> </w:t>
      </w:r>
      <m:oMath>
        <m:r>
          <m:t>b</m:t>
        </m:r>
      </m:oMath>
      <w:r>
        <w:t xml:space="preserve">.</w:t>
      </w:r>
    </w:p>
    <w:bookmarkEnd w:id="2720"/>
    <w:bookmarkStart w:id="2721" w:name="the-algorithm-1"/>
    <w:p>
      <w:pPr>
        <w:pStyle w:val="Heading3"/>
      </w:pPr>
      <w:r>
        <w:t xml:space="preserve">24.10.2 The algorithm</w:t>
      </w:r>
    </w:p>
    <w:p>
      <w:pPr>
        <w:pStyle w:val="FirstParagraph"/>
      </w:pPr>
      <w:r>
        <w:t xml:space="preserve">Think of a diary page counter: turn a page per event, write the page number on each letter sent, and on receiving a letter skip past its page number if higher.</w:t>
      </w:r>
    </w:p>
    <w:p>
      <w:pPr>
        <w:pStyle w:val="CalloutDefinition"/>
      </w:pPr>
      <w:r>
        <w:rPr>
          <w:bCs/>
          <w:b/>
        </w:rPr>
        <w:t xml:space="preserve">DEFINITION</w:t>
      </w:r>
    </w:p>
    <w:p>
      <w:pPr>
        <w:pStyle w:val="CalloutDefinition"/>
      </w:pPr>
      <w:r>
        <w:rPr>
          <w:bCs/>
          <w:b/>
        </w:rPr>
        <w:t xml:space="preserve">Definition — Lamport clock.</w:t>
      </w:r>
      <w:r>
        <w:t xml:space="preserve"> </w:t>
      </w:r>
      <w:r>
        <w:t xml:space="preserve">Each process</w:t>
      </w:r>
      <w:r>
        <w:t xml:space="preserve"> </w:t>
      </w:r>
      <m:oMath>
        <m:sSub>
          <m:e>
            <m:r>
              <m:t>P</m:t>
            </m:r>
          </m:e>
          <m:sub>
            <m:r>
              <m:t>i</m:t>
            </m:r>
          </m:sub>
        </m:sSub>
      </m:oMath>
      <w:r>
        <w:t xml:space="preserve"> </w:t>
      </w:r>
      <w:r>
        <w:t xml:space="preserve">keeps an integer counter</w:t>
      </w:r>
      <w:r>
        <w:t xml:space="preserve"> </w:t>
      </w:r>
      <m:oMath>
        <m:sSub>
          <m:e>
            <m:r>
              <m:t>C</m:t>
            </m:r>
          </m:e>
          <m:sub>
            <m:r>
              <m:t>i</m:t>
            </m:r>
          </m:sub>
        </m:sSub>
      </m:oMath>
      <w:r>
        <w:t xml:space="preserve">, initially 0.</w:t>
      </w:r>
      <w:r>
        <w:t xml:space="preserve"> </w:t>
      </w:r>
      <w:r>
        <w:rPr>
          <w:bCs/>
          <w:b/>
        </w:rPr>
        <w:t xml:space="preserve">Rule 1:</w:t>
      </w:r>
      <w:r>
        <w:t xml:space="preserve"> </w:t>
      </w:r>
      <w:r>
        <w:t xml:space="preserve">before each event (local, send or receive),</w:t>
      </w:r>
      <w:r>
        <w:t xml:space="preserve"> </w:t>
      </w:r>
      <m:oMath>
        <m:sSub>
          <m:e>
            <m:r>
              <m:t>C</m:t>
            </m:r>
          </m:e>
          <m:sub>
            <m:r>
              <m:t>i</m:t>
            </m:r>
          </m:sub>
        </m:sSub>
        <m:r>
          <m:rPr>
            <m:sty m:val="p"/>
          </m:rPr>
          <m:t>←</m:t>
        </m:r>
        <m:sSub>
          <m:e>
            <m:r>
              <m:t>C</m:t>
            </m:r>
          </m:e>
          <m:sub>
            <m:r>
              <m:t>i</m:t>
            </m:r>
          </m:sub>
        </m:sSub>
        <m:r>
          <m:rPr>
            <m:sty m:val="p"/>
          </m:rPr>
          <m:t>+</m:t>
        </m:r>
        <m:r>
          <m:t>1</m:t>
        </m:r>
      </m:oMath>
      <w:r>
        <w:t xml:space="preserve">; a send attaches the new</w:t>
      </w:r>
      <w:r>
        <w:t xml:space="preserve"> </w:t>
      </w:r>
      <m:oMath>
        <m:sSub>
          <m:e>
            <m:r>
              <m:t>C</m:t>
            </m:r>
          </m:e>
          <m:sub>
            <m:r>
              <m:t>i</m:t>
            </m:r>
          </m:sub>
        </m:sSub>
      </m:oMath>
      <w:r>
        <w:t xml:space="preserve"> </w:t>
      </w:r>
      <w:r>
        <w:t xml:space="preserve">to the message.</w:t>
      </w:r>
      <w:r>
        <w:t xml:space="preserve"> </w:t>
      </w:r>
      <w:r>
        <w:rPr>
          <w:bCs/>
          <w:b/>
        </w:rPr>
        <w:t xml:space="preserve">Rule 2:</w:t>
      </w:r>
      <w:r>
        <w:t xml:space="preserve"> </w:t>
      </w:r>
      <w:r>
        <w:t xml:space="preserve">on receiving a message with timestamp</w:t>
      </w:r>
      <w:r>
        <w:t xml:space="preserve"> </w:t>
      </w:r>
      <m:oMath>
        <m:sSub>
          <m:e>
            <m:r>
              <m:t>t</m:t>
            </m:r>
          </m:e>
          <m:sub>
            <m:r>
              <m:t>m</m:t>
            </m:r>
          </m:sub>
        </m:sSub>
      </m:oMath>
      <w:r>
        <w:t xml:space="preserve">, set</w:t>
      </w:r>
      <w:r>
        <w:t xml:space="preserve"> </w:t>
      </w:r>
      <m:oMath>
        <m:sSub>
          <m:e>
            <m:r>
              <m:t>C</m:t>
            </m:r>
          </m:e>
          <m:sub>
            <m:r>
              <m:t>i</m:t>
            </m:r>
          </m:sub>
        </m:sSub>
        <m:r>
          <m:rPr>
            <m:sty m:val="p"/>
          </m:rPr>
          <m:t>←</m:t>
        </m:r>
        <m:r>
          <m:rPr>
            <m:sty m:val="p"/>
          </m:rPr>
          <m:t>max</m:t>
        </m:r>
        <m:d>
          <m:dPr>
            <m:begChr m:val="("/>
            <m:endChr m:val=")"/>
            <m:sepChr m:val=""/>
            <m:grow/>
          </m:dPr>
          <m:e>
            <m:sSub>
              <m:e>
                <m:r>
                  <m:t>C</m:t>
                </m:r>
              </m:e>
              <m:sub>
                <m:r>
                  <m:t>i</m:t>
                </m:r>
              </m:sub>
            </m:sSub>
            <m:r>
              <m:rPr>
                <m:sty m:val="p"/>
              </m:rPr>
              <m:t>,</m:t>
            </m:r>
            <m:sSub>
              <m:e>
                <m:r>
                  <m:t>t</m:t>
                </m:r>
              </m:e>
              <m:sub>
                <m:r>
                  <m:t>m</m:t>
                </m:r>
              </m:sub>
            </m:sSub>
          </m:e>
        </m:d>
      </m:oMath>
      <w:r>
        <w:t xml:space="preserve">, then apply rule 1. The event’s timestamp is the resulting</w:t>
      </w:r>
      <w:r>
        <w:t xml:space="preserve"> </w:t>
      </w:r>
      <m:oMath>
        <m:sSub>
          <m:e>
            <m:r>
              <m:t>C</m:t>
            </m:r>
          </m:e>
          <m:sub>
            <m:r>
              <m:t>i</m:t>
            </m:r>
          </m:sub>
        </m:sSub>
      </m:oMath>
      <w:r>
        <w:t xml:space="preserve">.</w:t>
      </w:r>
    </w:p>
    <w:p>
      <w:pPr>
        <w:pStyle w:val="BodyText"/>
      </w:pPr>
      <w:r>
        <w:t xml:space="preserve">The rules guarantee the</w:t>
      </w:r>
      <w:r>
        <w:t xml:space="preserve"> </w:t>
      </w:r>
      <w:r>
        <w:rPr>
          <w:bCs/>
          <w:b/>
        </w:rPr>
        <w:t xml:space="preserve">clock condition</w:t>
      </w:r>
      <w:r>
        <w:t xml:space="preserve">: if</w:t>
      </w:r>
      <w:r>
        <w:t xml:space="preserve"> </w:t>
      </w:r>
      <m:oMath>
        <m:r>
          <m:t>a</m:t>
        </m:r>
        <m:r>
          <m:rPr>
            <m:sty m:val="p"/>
          </m:rPr>
          <m:t>→</m:t>
        </m:r>
        <m:r>
          <m:t>b</m:t>
        </m:r>
      </m:oMath>
      <w:r>
        <w:t xml:space="preserve"> </w:t>
      </w:r>
      <w:r>
        <w:t xml:space="preserve">then</w:t>
      </w:r>
      <w:r>
        <w:t xml:space="preserve"> </w:t>
      </w:r>
      <m:oMath>
        <m:r>
          <m:t>C</m:t>
        </m:r>
        <m:d>
          <m:dPr>
            <m:begChr m:val="("/>
            <m:endChr m:val=")"/>
            <m:sepChr m:val=""/>
            <m:grow/>
          </m:dPr>
          <m:e>
            <m:r>
              <m:t>a</m:t>
            </m:r>
          </m:e>
        </m:d>
        <m:r>
          <m:rPr>
            <m:sty m:val="p"/>
          </m:rPr>
          <m:t>&lt;</m:t>
        </m:r>
        <m:r>
          <m:t>C</m:t>
        </m:r>
        <m:d>
          <m:dPr>
            <m:begChr m:val="("/>
            <m:endChr m:val=")"/>
            <m:sepChr m:val=""/>
            <m:grow/>
          </m:dPr>
          <m:e>
            <m:r>
              <m:t>b</m:t>
            </m:r>
          </m:e>
        </m:d>
      </m:oMath>
      <w:r>
        <w:t xml:space="preserve">. The converse does</w:t>
      </w:r>
      <w:r>
        <w:t xml:space="preserve"> </w:t>
      </w:r>
      <w:r>
        <w:rPr>
          <w:iCs/>
          <w:i/>
        </w:rPr>
        <w:t xml:space="preserve">not</w:t>
      </w:r>
      <w:r>
        <w:t xml:space="preserve"> </w:t>
      </w:r>
      <w:r>
        <w:t xml:space="preserve">hold:</w:t>
      </w:r>
      <w:r>
        <w:t xml:space="preserve"> </w:t>
      </w:r>
      <m:oMath>
        <m:r>
          <m:t>C</m:t>
        </m:r>
        <m:d>
          <m:dPr>
            <m:begChr m:val="("/>
            <m:endChr m:val=")"/>
            <m:sepChr m:val=""/>
            <m:grow/>
          </m:dPr>
          <m:e>
            <m:r>
              <m:t>a</m:t>
            </m:r>
          </m:e>
        </m:d>
        <m:r>
          <m:rPr>
            <m:sty m:val="p"/>
          </m:rPr>
          <m:t>&lt;</m:t>
        </m:r>
        <m:r>
          <m:t>C</m:t>
        </m:r>
        <m:d>
          <m:dPr>
            <m:begChr m:val="("/>
            <m:endChr m:val=")"/>
            <m:sepChr m:val=""/>
            <m:grow/>
          </m:dPr>
          <m:e>
            <m:r>
              <m:t>b</m:t>
            </m:r>
          </m:e>
        </m:d>
      </m:oMath>
      <w:r>
        <w:t xml:space="preserve"> </w:t>
      </w:r>
      <w:r>
        <w:t xml:space="preserve">says only that</w:t>
      </w:r>
      <w:r>
        <w:t xml:space="preserve"> </w:t>
      </w:r>
      <m:oMath>
        <m:r>
          <m:t>b</m:t>
        </m:r>
      </m:oMath>
      <w:r>
        <w:t xml:space="preserve"> </w:t>
      </w:r>
      <w:r>
        <w:t xml:space="preserve">did not happen before</w:t>
      </w:r>
      <w:r>
        <w:t xml:space="preserve"> </w:t>
      </w:r>
      <m:oMath>
        <m:r>
          <m:t>a</m:t>
        </m:r>
      </m:oMath>
      <w:r>
        <w:t xml:space="preserve">.</w:t>
      </w:r>
    </w:p>
    <w:bookmarkEnd w:id="2721"/>
    <w:bookmarkStart w:id="2725" w:name="a-worked-trace"/>
    <w:p>
      <w:pPr>
        <w:pStyle w:val="Heading3"/>
      </w:pPr>
      <w:r>
        <w:t xml:space="preserve">24.10.3 A worked trace</w:t>
      </w:r>
    </w:p>
    <w:p>
      <w:pPr>
        <w:pStyle w:val="FirstParagraph"/>
      </w:pPr>
      <w:r>
        <w:rPr>
          <w:bCs/>
          <w:b/>
        </w:rPr>
        <w:t xml:space="preserve">Figure 24.10 — Lamport timestamps on three processes.</w:t>
      </w:r>
    </w:p>
    <w:p>
      <w:pPr>
        <w:pStyle w:val="BodyText"/>
      </w:pPr>
      <w:r>
        <w:drawing>
          <wp:inline>
            <wp:extent cx="5334000" cy="4111945"/>
            <wp:effectExtent b="0" l="0" r="0" t="0"/>
            <wp:docPr descr="" title="" id="2723" name="Picture"/>
            <a:graphic>
              <a:graphicData uri="http://schemas.openxmlformats.org/drawingml/2006/picture">
                <pic:pic>
                  <pic:nvPicPr>
                    <pic:cNvPr descr="/home/user/System-Design/build/.cache/diagrams/acd1faf9376b.png" id="2724" name="Picture"/>
                    <pic:cNvPicPr>
                      <a:picLocks noChangeArrowheads="1" noChangeAspect="1"/>
                    </pic:cNvPicPr>
                  </pic:nvPicPr>
                  <pic:blipFill>
                    <a:blip r:embed="rId2722"/>
                    <a:stretch>
                      <a:fillRect/>
                    </a:stretch>
                  </pic:blipFill>
                  <pic:spPr bwMode="auto">
                    <a:xfrm>
                      <a:off x="0" y="0"/>
                      <a:ext cx="5334000" cy="4111945"/>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Lifelines are processes, notes are events with timestamps, and arrows are asynchronous messages carrying the sender’s timestamp. P2’s receipt</w:t>
      </w:r>
      <w:r>
        <w:t xml:space="preserve"> </w:t>
      </w:r>
      <w:r>
        <w:rPr>
          <w:rStyle w:val="VerbatimChar"/>
        </w:rPr>
        <w:t xml:space="preserve">d</w:t>
      </w:r>
      <w:r>
        <w:t xml:space="preserve"> </w:t>
      </w:r>
      <w:r>
        <w:t xml:space="preserve">jumps to</w:t>
      </w:r>
      <w:r>
        <w:t xml:space="preserve"> </w:t>
      </w:r>
      <m:oMath>
        <m:r>
          <m:rPr>
            <m:sty m:val="p"/>
          </m:rPr>
          <m:t>max</m:t>
        </m:r>
        <m:d>
          <m:dPr>
            <m:begChr m:val="("/>
            <m:endChr m:val=")"/>
            <m:sepChr m:val=""/>
            <m:grow/>
          </m:dPr>
          <m:e>
            <m:r>
              <m:t>1</m:t>
            </m:r>
            <m:r>
              <m:rPr>
                <m:sty m:val="p"/>
              </m:rPr>
              <m:t>,</m:t>
            </m:r>
            <m:r>
              <m:t>2</m:t>
            </m:r>
          </m:e>
        </m:d>
        <m:r>
          <m:rPr>
            <m:sty m:val="p"/>
          </m:rPr>
          <m:t>+</m:t>
        </m:r>
        <m:r>
          <m:t>1</m:t>
        </m:r>
        <m:r>
          <m:rPr>
            <m:sty m:val="p"/>
          </m:rPr>
          <m:t>=</m:t>
        </m:r>
        <m:r>
          <m:t>3</m:t>
        </m:r>
      </m:oMath>
      <w:r>
        <w:t xml:space="preserve">, and the chain continues through P3 back to P1. There is no storage or failure point; only causality is shown. Note the limitation:</w:t>
      </w:r>
      <w:r>
        <w:t xml:space="preserve"> </w:t>
      </w:r>
      <w:r>
        <w:rPr>
          <w:rStyle w:val="VerbatimChar"/>
        </w:rPr>
        <w:t xml:space="preserve">c</w:t>
      </w:r>
      <w:r>
        <w:t xml:space="preserve"> </w:t>
      </w:r>
      <w:r>
        <w:t xml:space="preserve">(1) &lt;</w:t>
      </w:r>
      <w:r>
        <w:t xml:space="preserve"> </w:t>
      </w:r>
      <w:r>
        <w:rPr>
          <w:rStyle w:val="VerbatimChar"/>
        </w:rPr>
        <w:t xml:space="preserve">b</w:t>
      </w:r>
      <w:r>
        <w:t xml:space="preserve"> </w:t>
      </w:r>
      <w:r>
        <w:t xml:space="preserve">(2), yet they are concurrent. The cost is one integer per message, at any scale.</w:t>
      </w:r>
    </w:p>
    <w:bookmarkEnd w:id="2725"/>
    <w:bookmarkStart w:id="2726" w:name="code-example-29"/>
    <w:p>
      <w:pPr>
        <w:pStyle w:val="Heading3"/>
      </w:pPr>
      <w:r>
        <w:t xml:space="preserve">24.10.4 Code example</w:t>
      </w:r>
    </w:p>
    <w:p>
      <w:pPr>
        <w:pStyle w:val="SourceCode"/>
      </w:pPr>
      <w:r>
        <w:rPr>
          <w:rStyle w:val="CommentTok"/>
        </w:rPr>
        <w:t xml:space="preserve">"""Lamport logical clocks: replay the trace of Figure 24.10 and derive a total order."""</w:t>
      </w:r>
      <w:r>
        <w:br/>
      </w:r>
      <w:r>
        <w:br/>
      </w:r>
      <w:r>
        <w:br/>
      </w:r>
      <w:r>
        <w:rPr>
          <w:rStyle w:val="KeywordTok"/>
        </w:rPr>
        <w:t xml:space="preserve">class</w:t>
      </w:r>
      <w:r>
        <w:rPr>
          <w:rStyle w:val="NormalTok"/>
        </w:rPr>
        <w:t xml:space="preserve"> LamportProcess:</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pid):</w:t>
      </w:r>
      <w:r>
        <w:br/>
      </w:r>
      <w:r>
        <w:rPr>
          <w:rStyle w:val="NormalTok"/>
        </w:rPr>
        <w:t xml:space="preserve">        </w:t>
      </w:r>
      <w:r>
        <w:rPr>
          <w:rStyle w:val="VariableTok"/>
        </w:rPr>
        <w:t xml:space="preserve">self</w:t>
      </w:r>
      <w:r>
        <w:rPr>
          <w:rStyle w:val="NormalTok"/>
        </w:rPr>
        <w:t xml:space="preserve">.pid, </w:t>
      </w:r>
      <w:r>
        <w:rPr>
          <w:rStyle w:val="VariableTok"/>
        </w:rPr>
        <w:t xml:space="preserve">self</w:t>
      </w:r>
      <w:r>
        <w:rPr>
          <w:rStyle w:val="NormalTok"/>
        </w:rPr>
        <w:t xml:space="preserve">.clock, </w:t>
      </w:r>
      <w:r>
        <w:rPr>
          <w:rStyle w:val="VariableTok"/>
        </w:rPr>
        <w:t xml:space="preserve">self</w:t>
      </w:r>
      <w:r>
        <w:rPr>
          <w:rStyle w:val="NormalTok"/>
        </w:rPr>
        <w:t xml:space="preserve">.log </w:t>
      </w:r>
      <w:r>
        <w:rPr>
          <w:rStyle w:val="OperatorTok"/>
        </w:rPr>
        <w:t xml:space="preserve">=</w:t>
      </w:r>
      <w:r>
        <w:rPr>
          <w:rStyle w:val="NormalTok"/>
        </w:rPr>
        <w:t xml:space="preserve"> pid, </w:t>
      </w:r>
      <w:r>
        <w:rPr>
          <w:rStyle w:val="DecValTok"/>
        </w:rPr>
        <w:t xml:space="preserve">0</w:t>
      </w:r>
      <w:r>
        <w:rPr>
          <w:rStyle w:val="NormalTok"/>
        </w:rPr>
        <w:t xml:space="preserve">, []</w:t>
      </w:r>
      <w:r>
        <w:br/>
      </w:r>
      <w:r>
        <w:br/>
      </w:r>
      <w:r>
        <w:rPr>
          <w:rStyle w:val="NormalTok"/>
        </w:rPr>
        <w:t xml:space="preserve">    </w:t>
      </w:r>
      <w:r>
        <w:rPr>
          <w:rStyle w:val="KeywordTok"/>
        </w:rPr>
        <w:t xml:space="preserve">def</w:t>
      </w:r>
      <w:r>
        <w:rPr>
          <w:rStyle w:val="NormalTok"/>
        </w:rPr>
        <w:t xml:space="preserve"> _tick(</w:t>
      </w:r>
      <w:r>
        <w:rPr>
          <w:rStyle w:val="VariableTok"/>
        </w:rPr>
        <w:t xml:space="preserve">self</w:t>
      </w:r>
      <w:r>
        <w:rPr>
          <w:rStyle w:val="NormalTok"/>
        </w:rPr>
        <w:t xml:space="preserve">, name, kind):</w:t>
      </w:r>
      <w:r>
        <w:br/>
      </w:r>
      <w:r>
        <w:rPr>
          <w:rStyle w:val="NormalTok"/>
        </w:rPr>
        <w:t xml:space="preserve">        </w:t>
      </w:r>
      <w:r>
        <w:rPr>
          <w:rStyle w:val="VariableTok"/>
        </w:rPr>
        <w:t xml:space="preserve">self</w:t>
      </w:r>
      <w:r>
        <w:rPr>
          <w:rStyle w:val="NormalTok"/>
        </w:rPr>
        <w:t xml:space="preserve">.clock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rule 1: increment before every event</w:t>
      </w:r>
      <w:r>
        <w:br/>
      </w:r>
      <w:r>
        <w:rPr>
          <w:rStyle w:val="NormalTok"/>
        </w:rPr>
        <w:t xml:space="preserve">        </w:t>
      </w:r>
      <w:r>
        <w:rPr>
          <w:rStyle w:val="VariableTok"/>
        </w:rPr>
        <w:t xml:space="preserve">self</w:t>
      </w:r>
      <w:r>
        <w:rPr>
          <w:rStyle w:val="NormalTok"/>
        </w:rPr>
        <w:t xml:space="preserve">.log.append((</w:t>
      </w:r>
      <w:r>
        <w:rPr>
          <w:rStyle w:val="VariableTok"/>
        </w:rPr>
        <w:t xml:space="preserve">self</w:t>
      </w:r>
      <w:r>
        <w:rPr>
          <w:rStyle w:val="NormalTok"/>
        </w:rPr>
        <w:t xml:space="preserve">.clock, </w:t>
      </w:r>
      <w:r>
        <w:rPr>
          <w:rStyle w:val="VariableTok"/>
        </w:rPr>
        <w:t xml:space="preserve">self</w:t>
      </w:r>
      <w:r>
        <w:rPr>
          <w:rStyle w:val="NormalTok"/>
        </w:rPr>
        <w:t xml:space="preserve">.pid, name, kind))</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.clock</w:t>
      </w:r>
      <w:r>
        <w:br/>
      </w:r>
      <w:r>
        <w:br/>
      </w:r>
      <w:r>
        <w:rPr>
          <w:rStyle w:val="NormalTok"/>
        </w:rPr>
        <w:t xml:space="preserve">    </w:t>
      </w:r>
      <w:r>
        <w:rPr>
          <w:rStyle w:val="KeywordTok"/>
        </w:rPr>
        <w:t xml:space="preserve">def</w:t>
      </w:r>
      <w:r>
        <w:rPr>
          <w:rStyle w:val="NormalTok"/>
        </w:rPr>
        <w:t xml:space="preserve"> local(</w:t>
      </w:r>
      <w:r>
        <w:rPr>
          <w:rStyle w:val="VariableTok"/>
        </w:rPr>
        <w:t xml:space="preserve">self</w:t>
      </w:r>
      <w:r>
        <w:rPr>
          <w:rStyle w:val="NormalTok"/>
        </w:rPr>
        <w:t xml:space="preserve">, name):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._tick(name, </w:t>
      </w:r>
      <w:r>
        <w:rPr>
          <w:rStyle w:val="StringTok"/>
        </w:rPr>
        <w:t xml:space="preserve">"local"</w:t>
      </w:r>
      <w:r>
        <w:rPr>
          <w:rStyle w:val="NormalTok"/>
        </w:rPr>
        <w:t xml:space="preserve">)</w:t>
      </w:r>
      <w:r>
        <w:br/>
      </w:r>
      <w:r>
        <w:br/>
      </w:r>
      <w:r>
        <w:rPr>
          <w:rStyle w:val="NormalTok"/>
        </w:rPr>
        <w:t xml:space="preserve">    </w:t>
      </w:r>
      <w:r>
        <w:rPr>
          <w:rStyle w:val="KeywordTok"/>
        </w:rPr>
        <w:t xml:space="preserve">def</w:t>
      </w:r>
      <w:r>
        <w:rPr>
          <w:rStyle w:val="NormalTok"/>
        </w:rPr>
        <w:t xml:space="preserve"> send(</w:t>
      </w:r>
      <w:r>
        <w:rPr>
          <w:rStyle w:val="VariableTok"/>
        </w:rPr>
        <w:t xml:space="preserve">self</w:t>
      </w:r>
      <w:r>
        <w:rPr>
          <w:rStyle w:val="NormalTok"/>
        </w:rPr>
        <w:t xml:space="preserve">, name):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._tick(name, </w:t>
      </w:r>
      <w:r>
        <w:rPr>
          <w:rStyle w:val="StringTok"/>
        </w:rPr>
        <w:t xml:space="preserve">"send"</w:t>
      </w:r>
      <w:r>
        <w:rPr>
          <w:rStyle w:val="NormalTok"/>
        </w:rPr>
        <w:t xml:space="preserve">)         </w:t>
      </w:r>
      <w:r>
        <w:rPr>
          <w:rStyle w:val="CommentTok"/>
        </w:rPr>
        <w:t xml:space="preserve"># the message carries this timestamp</w:t>
      </w:r>
      <w:r>
        <w:br/>
      </w:r>
      <w:r>
        <w:br/>
      </w:r>
      <w:r>
        <w:rPr>
          <w:rStyle w:val="NormalTok"/>
        </w:rPr>
        <w:t xml:space="preserve">    </w:t>
      </w:r>
      <w:r>
        <w:rPr>
          <w:rStyle w:val="KeywordTok"/>
        </w:rPr>
        <w:t xml:space="preserve">def</w:t>
      </w:r>
      <w:r>
        <w:rPr>
          <w:rStyle w:val="NormalTok"/>
        </w:rPr>
        <w:t xml:space="preserve"> receive(</w:t>
      </w:r>
      <w:r>
        <w:rPr>
          <w:rStyle w:val="VariableTok"/>
        </w:rPr>
        <w:t xml:space="preserve">self</w:t>
      </w:r>
      <w:r>
        <w:rPr>
          <w:rStyle w:val="NormalTok"/>
        </w:rPr>
        <w:t xml:space="preserve">, name, msg_ts):</w:t>
      </w:r>
      <w:r>
        <w:br/>
      </w:r>
      <w:r>
        <w:rPr>
          <w:rStyle w:val="NormalTok"/>
        </w:rPr>
        <w:t xml:space="preserve">        </w:t>
      </w:r>
      <w:r>
        <w:rPr>
          <w:rStyle w:val="VariableTok"/>
        </w:rPr>
        <w:t xml:space="preserve">self</w:t>
      </w:r>
      <w:r>
        <w:rPr>
          <w:rStyle w:val="NormalTok"/>
        </w:rPr>
        <w:t xml:space="preserve">.clock </w:t>
      </w:r>
      <w:r>
        <w:rPr>
          <w:rStyle w:val="OperatorTok"/>
        </w:rPr>
        <w:t xml:space="preserve">=</w:t>
      </w:r>
      <w:r>
        <w:rPr>
          <w:rStyle w:val="NormalTok"/>
        </w:rPr>
        <w:t xml:space="preserve"> </w:t>
      </w:r>
      <w:r>
        <w:rPr>
          <w:rStyle w:val="BuiltInTok"/>
        </w:rPr>
        <w:t xml:space="preserve">max</w:t>
      </w:r>
      <w:r>
        <w:rPr>
          <w:rStyle w:val="NormalTok"/>
        </w:rPr>
        <w:t xml:space="preserve">(</w:t>
      </w:r>
      <w:r>
        <w:rPr>
          <w:rStyle w:val="VariableTok"/>
        </w:rPr>
        <w:t xml:space="preserve">self</w:t>
      </w:r>
      <w:r>
        <w:rPr>
          <w:rStyle w:val="NormalTok"/>
        </w:rPr>
        <w:t xml:space="preserve">.clock, msg_ts)    </w:t>
      </w:r>
      <w:r>
        <w:rPr>
          <w:rStyle w:val="CommentTok"/>
        </w:rPr>
        <w:t xml:space="preserve"># rule 2: jump past the sender's time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._tick(name, </w:t>
      </w:r>
      <w:r>
        <w:rPr>
          <w:rStyle w:val="StringTok"/>
        </w:rPr>
        <w:t xml:space="preserve">"receive"</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p1, p2, p3 </w:t>
      </w:r>
      <w:r>
        <w:rPr>
          <w:rStyle w:val="OperatorTok"/>
        </w:rPr>
        <w:t xml:space="preserve">=</w:t>
      </w:r>
      <w:r>
        <w:rPr>
          <w:rStyle w:val="NormalTok"/>
        </w:rPr>
        <w:t xml:space="preserve"> LamportProcess(</w:t>
      </w:r>
      <w:r>
        <w:rPr>
          <w:rStyle w:val="StringTok"/>
        </w:rPr>
        <w:t xml:space="preserve">"P1"</w:t>
      </w:r>
      <w:r>
        <w:rPr>
          <w:rStyle w:val="NormalTok"/>
        </w:rPr>
        <w:t xml:space="preserve">), LamportProcess(</w:t>
      </w:r>
      <w:r>
        <w:rPr>
          <w:rStyle w:val="StringTok"/>
        </w:rPr>
        <w:t xml:space="preserve">"P2"</w:t>
      </w:r>
      <w:r>
        <w:rPr>
          <w:rStyle w:val="NormalTok"/>
        </w:rPr>
        <w:t xml:space="preserve">), LamportProcess(</w:t>
      </w:r>
      <w:r>
        <w:rPr>
          <w:rStyle w:val="StringTok"/>
        </w:rPr>
        <w:t xml:space="preserve">"P3"</w:t>
      </w:r>
      <w:r>
        <w:rPr>
          <w:rStyle w:val="NormalTok"/>
        </w:rPr>
        <w:t xml:space="preserve">)</w:t>
      </w:r>
      <w:r>
        <w:br/>
      </w:r>
      <w:r>
        <w:rPr>
          <w:rStyle w:val="NormalTok"/>
        </w:rPr>
        <w:t xml:space="preserve">    p1.local(</w:t>
      </w:r>
      <w:r>
        <w:rPr>
          <w:rStyle w:val="StringTok"/>
        </w:rPr>
        <w:t xml:space="preserve">"a"</w:t>
      </w:r>
      <w:r>
        <w:rPr>
          <w:rStyle w:val="NormalTok"/>
        </w:rPr>
        <w:t xml:space="preserve">)</w:t>
      </w:r>
      <w:r>
        <w:br/>
      </w:r>
      <w:r>
        <w:rPr>
          <w:rStyle w:val="NormalTok"/>
        </w:rPr>
        <w:t xml:space="preserve">    m1 </w:t>
      </w:r>
      <w:r>
        <w:rPr>
          <w:rStyle w:val="OperatorTok"/>
        </w:rPr>
        <w:t xml:space="preserve">=</w:t>
      </w:r>
      <w:r>
        <w:rPr>
          <w:rStyle w:val="NormalTok"/>
        </w:rPr>
        <w:t xml:space="preserve"> p1.send(</w:t>
      </w:r>
      <w:r>
        <w:rPr>
          <w:rStyle w:val="StringTok"/>
        </w:rPr>
        <w:t xml:space="preserve">"b"</w:t>
      </w:r>
      <w:r>
        <w:rPr>
          <w:rStyle w:val="NormalTok"/>
        </w:rPr>
        <w:t xml:space="preserve">)            </w:t>
      </w:r>
      <w:r>
        <w:rPr>
          <w:rStyle w:val="CommentTok"/>
        </w:rPr>
        <w:t xml:space="preserve"># m1: P1 -&gt; P2</w:t>
      </w:r>
      <w:r>
        <w:br/>
      </w:r>
      <w:r>
        <w:rPr>
          <w:rStyle w:val="NormalTok"/>
        </w:rPr>
        <w:t xml:space="preserve">    p2.local(</w:t>
      </w:r>
      <w:r>
        <w:rPr>
          <w:rStyle w:val="StringTok"/>
        </w:rPr>
        <w:t xml:space="preserve">"c"</w:t>
      </w:r>
      <w:r>
        <w:rPr>
          <w:rStyle w:val="NormalTok"/>
        </w:rPr>
        <w:t xml:space="preserve">)</w:t>
      </w:r>
      <w:r>
        <w:br/>
      </w:r>
      <w:r>
        <w:rPr>
          <w:rStyle w:val="NormalTok"/>
        </w:rPr>
        <w:t xml:space="preserve">    p2.receive(</w:t>
      </w:r>
      <w:r>
        <w:rPr>
          <w:rStyle w:val="StringTok"/>
        </w:rPr>
        <w:t xml:space="preserve">"d"</w:t>
      </w:r>
      <w:r>
        <w:rPr>
          <w:rStyle w:val="NormalTok"/>
        </w:rPr>
        <w:t xml:space="preserve">, m1)</w:t>
      </w:r>
      <w:r>
        <w:br/>
      </w:r>
      <w:r>
        <w:rPr>
          <w:rStyle w:val="NormalTok"/>
        </w:rPr>
        <w:t xml:space="preserve">    m2 </w:t>
      </w:r>
      <w:r>
        <w:rPr>
          <w:rStyle w:val="OperatorTok"/>
        </w:rPr>
        <w:t xml:space="preserve">=</w:t>
      </w:r>
      <w:r>
        <w:rPr>
          <w:rStyle w:val="NormalTok"/>
        </w:rPr>
        <w:t xml:space="preserve"> p2.send(</w:t>
      </w:r>
      <w:r>
        <w:rPr>
          <w:rStyle w:val="StringTok"/>
        </w:rPr>
        <w:t xml:space="preserve">"e"</w:t>
      </w:r>
      <w:r>
        <w:rPr>
          <w:rStyle w:val="NormalTok"/>
        </w:rPr>
        <w:t xml:space="preserve">)            </w:t>
      </w:r>
      <w:r>
        <w:rPr>
          <w:rStyle w:val="CommentTok"/>
        </w:rPr>
        <w:t xml:space="preserve"># m2: P2 -&gt; P3</w:t>
      </w:r>
      <w:r>
        <w:br/>
      </w:r>
      <w:r>
        <w:rPr>
          <w:rStyle w:val="NormalTok"/>
        </w:rPr>
        <w:t xml:space="preserve">    p3.local(</w:t>
      </w:r>
      <w:r>
        <w:rPr>
          <w:rStyle w:val="StringTok"/>
        </w:rPr>
        <w:t xml:space="preserve">"f"</w:t>
      </w:r>
      <w:r>
        <w:rPr>
          <w:rStyle w:val="NormalTok"/>
        </w:rPr>
        <w:t xml:space="preserve">)</w:t>
      </w:r>
      <w:r>
        <w:br/>
      </w:r>
      <w:r>
        <w:rPr>
          <w:rStyle w:val="NormalTok"/>
        </w:rPr>
        <w:t xml:space="preserve">    p3.receive(</w:t>
      </w:r>
      <w:r>
        <w:rPr>
          <w:rStyle w:val="StringTok"/>
        </w:rPr>
        <w:t xml:space="preserve">"g"</w:t>
      </w:r>
      <w:r>
        <w:rPr>
          <w:rStyle w:val="NormalTok"/>
        </w:rPr>
        <w:t xml:space="preserve">, m2)</w:t>
      </w:r>
      <w:r>
        <w:br/>
      </w:r>
      <w:r>
        <w:rPr>
          <w:rStyle w:val="NormalTok"/>
        </w:rPr>
        <w:t xml:space="preserve">    m3 </w:t>
      </w:r>
      <w:r>
        <w:rPr>
          <w:rStyle w:val="OperatorTok"/>
        </w:rPr>
        <w:t xml:space="preserve">=</w:t>
      </w:r>
      <w:r>
        <w:rPr>
          <w:rStyle w:val="NormalTok"/>
        </w:rPr>
        <w:t xml:space="preserve"> p3.send(</w:t>
      </w:r>
      <w:r>
        <w:rPr>
          <w:rStyle w:val="StringTok"/>
        </w:rPr>
        <w:t xml:space="preserve">"h"</w:t>
      </w:r>
      <w:r>
        <w:rPr>
          <w:rStyle w:val="NormalTok"/>
        </w:rPr>
        <w:t xml:space="preserve">)            </w:t>
      </w:r>
      <w:r>
        <w:rPr>
          <w:rStyle w:val="CommentTok"/>
        </w:rPr>
        <w:t xml:space="preserve"># m3: P3 -&gt; P1</w:t>
      </w:r>
      <w:r>
        <w:br/>
      </w:r>
      <w:r>
        <w:rPr>
          <w:rStyle w:val="NormalTok"/>
        </w:rPr>
        <w:t xml:space="preserve">    p1.receive(</w:t>
      </w:r>
      <w:r>
        <w:rPr>
          <w:rStyle w:val="StringTok"/>
        </w:rPr>
        <w:t xml:space="preserve">"i"</w:t>
      </w:r>
      <w:r>
        <w:rPr>
          <w:rStyle w:val="NormalTok"/>
        </w:rPr>
        <w:t xml:space="preserve">, m3)</w:t>
      </w:r>
      <w:r>
        <w:br/>
      </w:r>
      <w:r>
        <w:br/>
      </w:r>
      <w:r>
        <w:rPr>
          <w:rStyle w:val="NormalTok"/>
        </w:rPr>
        <w:t xml:space="preserve">    events </w:t>
      </w:r>
      <w:r>
        <w:rPr>
          <w:rStyle w:val="OperatorTok"/>
        </w:rPr>
        <w:t xml:space="preserve">=</w:t>
      </w:r>
      <w:r>
        <w:rPr>
          <w:rStyle w:val="NormalTok"/>
        </w:rPr>
        <w:t xml:space="preserve"> p1.log </w:t>
      </w:r>
      <w:r>
        <w:rPr>
          <w:rStyle w:val="OperatorTok"/>
        </w:rPr>
        <w:t xml:space="preserve">+</w:t>
      </w:r>
      <w:r>
        <w:rPr>
          <w:rStyle w:val="NormalTok"/>
        </w:rPr>
        <w:t xml:space="preserve"> p2.log </w:t>
      </w:r>
      <w:r>
        <w:rPr>
          <w:rStyle w:val="OperatorTok"/>
        </w:rPr>
        <w:t xml:space="preserve">+</w:t>
      </w:r>
      <w:r>
        <w:rPr>
          <w:rStyle w:val="NormalTok"/>
        </w:rPr>
        <w:t xml:space="preserve"> p3.log</w:t>
      </w:r>
      <w:r>
        <w:br/>
      </w:r>
      <w:r>
        <w:rPr>
          <w:rStyle w:val="NormalTok"/>
        </w:rPr>
        <w:t xml:space="preserve">    </w:t>
      </w:r>
      <w:r>
        <w:rPr>
          <w:rStyle w:val="ControlFlowTok"/>
        </w:rPr>
        <w:t xml:space="preserve">for</w:t>
      </w:r>
      <w:r>
        <w:rPr>
          <w:rStyle w:val="NormalTok"/>
        </w:rPr>
        <w:t xml:space="preserve"> ts, pid, name, kind </w:t>
      </w:r>
      <w:r>
        <w:rPr>
          <w:rStyle w:val="KeywordTok"/>
        </w:rPr>
        <w:t xml:space="preserve">in</w:t>
      </w:r>
      <w:r>
        <w:rPr>
          <w:rStyle w:val="NormalTok"/>
        </w:rPr>
        <w:t xml:space="preserve"> </w:t>
      </w:r>
      <w:r>
        <w:rPr>
          <w:rStyle w:val="BuiltInTok"/>
        </w:rPr>
        <w:t xml:space="preserve">sorted</w:t>
      </w:r>
      <w:r>
        <w:rPr>
          <w:rStyle w:val="NormalTok"/>
        </w:rPr>
        <w:t xml:space="preserve">(events):  </w:t>
      </w:r>
      <w:r>
        <w:rPr>
          <w:rStyle w:val="CommentTok"/>
        </w:rPr>
        <w:t xml:space="preserve"># total order: (timestamp, process id)</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ts</w:t>
      </w:r>
      <w:r>
        <w:rPr>
          <w:rStyle w:val="SpecialCharTok"/>
        </w:rPr>
        <w:t xml:space="preserve">:&gt;2}</w:t>
      </w:r>
      <w:r>
        <w:rPr>
          <w:rStyle w:val="SpecialStringTok"/>
        </w:rPr>
        <w:t xml:space="preserve"> </w:t>
      </w:r>
      <w:r>
        <w:rPr>
          <w:rStyle w:val="SpecialCharTok"/>
        </w:rPr>
        <w:t xml:space="preserve">{</w:t>
      </w:r>
      <w:r>
        <w:rPr>
          <w:rStyle w:val="NormalTok"/>
        </w:rPr>
        <w:t xml:space="preserve">pid</w:t>
      </w:r>
      <w:r>
        <w:rPr>
          <w:rStyle w:val="SpecialCharTok"/>
        </w:rPr>
        <w:t xml:space="preserve">}</w:t>
      </w:r>
      <w:r>
        <w:rPr>
          <w:rStyle w:val="SpecialStringTok"/>
        </w:rPr>
        <w:t xml:space="preserve"> </w:t>
      </w:r>
      <w:r>
        <w:rPr>
          <w:rStyle w:val="SpecialCharTok"/>
        </w:rPr>
        <w:t xml:space="preserve">{</w:t>
      </w:r>
      <w:r>
        <w:rPr>
          <w:rStyle w:val="NormalTok"/>
        </w:rPr>
        <w:t xml:space="preserve">name</w:t>
      </w:r>
      <w:r>
        <w:rPr>
          <w:rStyle w:val="SpecialCharTok"/>
        </w:rPr>
        <w:t xml:space="preserve">}</w:t>
      </w:r>
      <w:r>
        <w:rPr>
          <w:rStyle w:val="SpecialStringTok"/>
        </w:rPr>
        <w:t xml:space="preserve"> (</w:t>
      </w:r>
      <w:r>
        <w:rPr>
          <w:rStyle w:val="SpecialCharTok"/>
        </w:rPr>
        <w:t xml:space="preserve">{</w:t>
      </w:r>
      <w:r>
        <w:rPr>
          <w:rStyle w:val="NormalTok"/>
        </w:rPr>
        <w:t xml:space="preserve">kind</w:t>
      </w:r>
      <w:r>
        <w:rPr>
          <w:rStyle w:val="SpecialCharTok"/>
        </w:rPr>
        <w:t xml:space="preserve">}</w:t>
      </w:r>
      <w:r>
        <w:rPr>
          <w:rStyle w:val="SpecialStringTok"/>
        </w:rPr>
        <w:t xml:space="preserve">)"</w:t>
      </w:r>
      <w:r>
        <w:rPr>
          <w:rStyle w:val="NormalTok"/>
        </w:rPr>
        <w:t xml:space="preserve">)</w:t>
      </w:r>
    </w:p>
    <w:p>
      <w:pPr>
        <w:pStyle w:val="FirstParagraph"/>
      </w:pPr>
      <w:r>
        <w:t xml:space="preserve">Output:</w:t>
      </w:r>
    </w:p>
    <w:p>
      <w:pPr>
        <w:pStyle w:val="SourceCode"/>
      </w:pPr>
      <w:r>
        <w:rPr>
          <w:rStyle w:val="VerbatimChar"/>
        </w:rPr>
        <w:t xml:space="preserve"> 1 P1 a (local)</w:t>
      </w:r>
      <w:r>
        <w:br/>
      </w:r>
      <w:r>
        <w:rPr>
          <w:rStyle w:val="VerbatimChar"/>
        </w:rPr>
        <w:t xml:space="preserve"> 1 P2 c (local)</w:t>
      </w:r>
      <w:r>
        <w:br/>
      </w:r>
      <w:r>
        <w:rPr>
          <w:rStyle w:val="VerbatimChar"/>
        </w:rPr>
        <w:t xml:space="preserve"> 1 P3 f (local)</w:t>
      </w:r>
      <w:r>
        <w:br/>
      </w:r>
      <w:r>
        <w:rPr>
          <w:rStyle w:val="VerbatimChar"/>
        </w:rPr>
        <w:t xml:space="preserve"> 2 P1 b (send)</w:t>
      </w:r>
      <w:r>
        <w:br/>
      </w:r>
      <w:r>
        <w:rPr>
          <w:rStyle w:val="VerbatimChar"/>
        </w:rPr>
        <w:t xml:space="preserve"> 3 P2 d (receive)</w:t>
      </w:r>
      <w:r>
        <w:br/>
      </w:r>
      <w:r>
        <w:rPr>
          <w:rStyle w:val="VerbatimChar"/>
        </w:rPr>
        <w:t xml:space="preserve"> 4 P2 e (send)</w:t>
      </w:r>
      <w:r>
        <w:br/>
      </w:r>
      <w:r>
        <w:rPr>
          <w:rStyle w:val="VerbatimChar"/>
        </w:rPr>
        <w:t xml:space="preserve"> 5 P3 g (receive)</w:t>
      </w:r>
      <w:r>
        <w:br/>
      </w:r>
      <w:r>
        <w:rPr>
          <w:rStyle w:val="VerbatimChar"/>
        </w:rPr>
        <w:t xml:space="preserve"> 6 P3 h (send)</w:t>
      </w:r>
      <w:r>
        <w:br/>
      </w:r>
      <w:r>
        <w:rPr>
          <w:rStyle w:val="VerbatimChar"/>
        </w:rPr>
        <w:t xml:space="preserve"> 7 P1 i (receive)</w:t>
      </w:r>
    </w:p>
    <w:p>
      <w:pPr>
        <w:pStyle w:val="FirstParagraph"/>
      </w:pPr>
      <w:r>
        <w:t xml:space="preserve">What to notice:</w:t>
      </w:r>
    </w:p>
    <w:p>
      <w:pPr>
        <w:numPr>
          <w:ilvl w:val="0"/>
          <w:numId w:val="1792"/>
        </w:numPr>
        <w:pStyle w:val="Compact"/>
      </w:pPr>
      <w:r>
        <w:t xml:space="preserve">Sorting by the pair (timestamp, process ID) gives a</w:t>
      </w:r>
      <w:r>
        <w:t xml:space="preserve"> </w:t>
      </w:r>
      <w:r>
        <w:rPr>
          <w:bCs/>
          <w:b/>
        </w:rPr>
        <w:t xml:space="preserve">total order</w:t>
      </w:r>
      <w:r>
        <w:t xml:space="preserve"> </w:t>
      </w:r>
      <w:r>
        <w:t xml:space="preserve">that every process can compute identically and that is consistent with causality; ties such as</w:t>
      </w:r>
      <w:r>
        <w:t xml:space="preserve"> </w:t>
      </w:r>
      <w:r>
        <w:rPr>
          <w:rStyle w:val="VerbatimChar"/>
        </w:rPr>
        <w:t xml:space="preserve">a</w:t>
      </w:r>
      <w:r>
        <w:t xml:space="preserve">,</w:t>
      </w:r>
      <w:r>
        <w:t xml:space="preserve"> </w:t>
      </w:r>
      <w:r>
        <w:rPr>
          <w:rStyle w:val="VerbatimChar"/>
        </w:rPr>
        <w:t xml:space="preserve">c</w:t>
      </w:r>
      <w:r>
        <w:t xml:space="preserve">,</w:t>
      </w:r>
      <w:r>
        <w:t xml:space="preserve"> </w:t>
      </w:r>
      <w:r>
        <w:rPr>
          <w:rStyle w:val="VerbatimChar"/>
        </w:rPr>
        <w:t xml:space="preserve">f</w:t>
      </w:r>
      <w:r>
        <w:t xml:space="preserve"> </w:t>
      </w:r>
      <w:r>
        <w:t xml:space="preserve">at 1 are broken by process ID.</w:t>
      </w:r>
    </w:p>
    <w:p>
      <w:pPr>
        <w:numPr>
          <w:ilvl w:val="0"/>
          <w:numId w:val="1792"/>
        </w:numPr>
        <w:pStyle w:val="Compact"/>
      </w:pPr>
      <w:r>
        <w:t xml:space="preserve">The total order is</w:t>
      </w:r>
      <w:r>
        <w:t xml:space="preserve"> </w:t>
      </w:r>
      <w:r>
        <w:rPr>
          <w:iCs/>
          <w:i/>
        </w:rPr>
        <w:t xml:space="preserve">arbitrary</w:t>
      </w:r>
      <w:r>
        <w:t xml:space="preserve"> </w:t>
      </w:r>
      <w:r>
        <w:t xml:space="preserve">among concurrent events: it places</w:t>
      </w:r>
      <w:r>
        <w:t xml:space="preserve"> </w:t>
      </w:r>
      <w:r>
        <w:rPr>
          <w:rStyle w:val="VerbatimChar"/>
        </w:rPr>
        <w:t xml:space="preserve">c</w:t>
      </w:r>
      <w:r>
        <w:t xml:space="preserve"> </w:t>
      </w:r>
      <w:r>
        <w:t xml:space="preserve">before</w:t>
      </w:r>
      <w:r>
        <w:t xml:space="preserve"> </w:t>
      </w:r>
      <w:r>
        <w:rPr>
          <w:rStyle w:val="VerbatimChar"/>
        </w:rPr>
        <w:t xml:space="preserve">b</w:t>
      </w:r>
      <w:r>
        <w:t xml:space="preserve">, though neither influenced the other.</w:t>
      </w:r>
    </w:p>
    <w:bookmarkEnd w:id="2726"/>
    <w:bookmarkStart w:id="2727" w:name="uses-and-limits"/>
    <w:p>
      <w:pPr>
        <w:pStyle w:val="Heading3"/>
      </w:pPr>
      <w:r>
        <w:t xml:space="preserve">24.10.5 Uses and limits</w:t>
      </w:r>
    </w:p>
    <w:p>
      <w:pPr>
        <w:pStyle w:val="FirstParagraph"/>
      </w:pPr>
      <w:r>
        <w:t xml:space="preserve">Lamport used this total order for distributed mutual exclusion [Lamport 1978], the seed of</w:t>
      </w:r>
      <w:r>
        <w:t xml:space="preserve"> </w:t>
      </w:r>
      <w:r>
        <w:rPr>
          <w:bCs/>
          <w:b/>
        </w:rPr>
        <w:t xml:space="preserve">state machine replication</w:t>
      </w:r>
      <w:r>
        <w:t xml:space="preserve"> </w:t>
      </w:r>
      <w:r>
        <w:t xml:space="preserve">(§26.3). Raft’s</w:t>
      </w:r>
      <w:r>
        <w:t xml:space="preserve"> </w:t>
      </w:r>
      <w:r>
        <w:rPr>
          <w:bCs/>
          <w:b/>
        </w:rPr>
        <w:t xml:space="preserve">terms</w:t>
      </w:r>
      <w:r>
        <w:t xml:space="preserve"> </w:t>
      </w:r>
      <w:r>
        <w:t xml:space="preserve">behave like a Lamport clock: a node adopts any higher term it sees and rejects lower ones [Ongaro and Ousterhout 2014]; fencing tokens (§26.13) are similar. What Lamport clocks cannot do is detect concurrency.</w:t>
      </w:r>
    </w:p>
    <w:bookmarkEnd w:id="2727"/>
    <w:bookmarkEnd w:id="2728"/>
    <w:bookmarkStart w:id="2740" w:name="vector-clocks-and-version-vectors"/>
    <w:p>
      <w:pPr>
        <w:pStyle w:val="Heading2"/>
      </w:pPr>
      <w:r>
        <w:t xml:space="preserve">24.11 Vector clocks and version vectors</w:t>
      </w:r>
    </w:p>
    <w:bookmarkStart w:id="2732" w:name="the-algorithm-2"/>
    <w:p>
      <w:pPr>
        <w:pStyle w:val="Heading3"/>
      </w:pPr>
      <w:r>
        <w:t xml:space="preserve">24.11.1 The algorithm</w:t>
      </w:r>
    </w:p>
    <w:p>
      <w:pPr>
        <w:pStyle w:val="FirstParagraph"/>
      </w:pPr>
      <w:r>
        <w:t xml:space="preserve">Vector clocks were introduced independently by Fidge and Mattern [Fidge 1988; Mattern 1989]. Instead of one counter, each process keeps a counter</w:t>
      </w:r>
      <w:r>
        <w:t xml:space="preserve"> </w:t>
      </w:r>
      <w:r>
        <w:rPr>
          <w:iCs/>
          <w:i/>
        </w:rPr>
        <w:t xml:space="preserve">for every process</w:t>
      </w:r>
      <w:r>
        <w:t xml:space="preserve">: its knowledge of how many events each process has performed.</w:t>
      </w:r>
    </w:p>
    <w:p>
      <w:pPr>
        <w:pStyle w:val="CalloutDefinition"/>
      </w:pPr>
      <w:r>
        <w:rPr>
          <w:bCs/>
          <w:b/>
        </w:rPr>
        <w:t xml:space="preserve">DEFINITION</w:t>
      </w:r>
    </w:p>
    <w:p>
      <w:pPr>
        <w:pStyle w:val="CalloutDefinition"/>
      </w:pPr>
      <w:r>
        <w:rPr>
          <w:bCs/>
          <w:b/>
        </w:rPr>
        <w:t xml:space="preserve">Definition — Vector clock.</w:t>
      </w:r>
      <w:r>
        <w:t xml:space="preserve"> </w:t>
      </w:r>
      <w:r>
        <w:t xml:space="preserve">With</w:t>
      </w:r>
      <w:r>
        <w:t xml:space="preserve"> </w:t>
      </w:r>
      <m:oMath>
        <m:r>
          <m:t>n</m:t>
        </m:r>
      </m:oMath>
      <w:r>
        <w:t xml:space="preserve"> </w:t>
      </w:r>
      <w:r>
        <w:t xml:space="preserve">processes, each process</w:t>
      </w:r>
      <w:r>
        <w:t xml:space="preserve"> </w:t>
      </w:r>
      <m:oMath>
        <m:sSub>
          <m:e>
            <m:r>
              <m:t>P</m:t>
            </m:r>
          </m:e>
          <m:sub>
            <m:r>
              <m:t>i</m:t>
            </m:r>
          </m:sub>
        </m:sSub>
      </m:oMath>
      <w:r>
        <w:t xml:space="preserve"> </w:t>
      </w:r>
      <w:r>
        <w:t xml:space="preserve">keeps a vector</w:t>
      </w:r>
      <w:r>
        <w:t xml:space="preserve"> </w:t>
      </w:r>
      <m:oMath>
        <m:sSub>
          <m:e>
            <m:r>
              <m:t>V</m:t>
            </m:r>
          </m:e>
          <m:sub>
            <m:r>
              <m:t>i</m:t>
            </m:r>
          </m:sub>
        </m:sSub>
        <m:d>
          <m:dPr>
            <m:begChr m:val="["/>
            <m:endChr m:val="]"/>
            <m:sepChr m:val=""/>
            <m:grow/>
          </m:dPr>
          <m:e>
            <m:r>
              <m:t>1</m:t>
            </m:r>
            <m:r>
              <m:rPr>
                <m:sty m:val="p"/>
              </m:rPr>
              <m:t>.</m:t>
            </m:r>
            <m:r>
              <m:rPr>
                <m:sty m:val="p"/>
              </m:rPr>
              <m:t>.</m:t>
            </m:r>
            <m:r>
              <m:t>n</m:t>
            </m:r>
          </m:e>
        </m:d>
      </m:oMath>
      <w:r>
        <w:t xml:space="preserve">, initially all zeros. Before each event,</w:t>
      </w:r>
      <w:r>
        <w:t xml:space="preserve"> </w:t>
      </w:r>
      <m:oMath>
        <m:sSub>
          <m:e>
            <m:r>
              <m:t>P</m:t>
            </m:r>
          </m:e>
          <m:sub>
            <m:r>
              <m:t>i</m:t>
            </m:r>
          </m:sub>
        </m:sSub>
      </m:oMath>
      <w:r>
        <w:t xml:space="preserve"> </w:t>
      </w:r>
      <w:r>
        <w:t xml:space="preserve">increments</w:t>
      </w:r>
      <w:r>
        <w:t xml:space="preserve"> </w:t>
      </w:r>
      <m:oMath>
        <m:sSub>
          <m:e>
            <m:r>
              <m:t>V</m:t>
            </m:r>
          </m:e>
          <m:sub>
            <m:r>
              <m:t>i</m:t>
            </m:r>
          </m:sub>
        </m:sSub>
        <m:d>
          <m:dPr>
            <m:begChr m:val="["/>
            <m:endChr m:val="]"/>
            <m:sepChr m:val=""/>
            <m:grow/>
          </m:dPr>
          <m:e>
            <m:r>
              <m:t>i</m:t>
            </m:r>
          </m:e>
        </m:d>
      </m:oMath>
      <w:r>
        <w:t xml:space="preserve">; a send attaches a copy of</w:t>
      </w:r>
      <w:r>
        <w:t xml:space="preserve"> </w:t>
      </w:r>
      <m:oMath>
        <m:sSub>
          <m:e>
            <m:r>
              <m:t>V</m:t>
            </m:r>
          </m:e>
          <m:sub>
            <m:r>
              <m:t>i</m:t>
            </m:r>
          </m:sub>
        </m:sSub>
      </m:oMath>
      <w:r>
        <w:t xml:space="preserve">. On receiving a message carrying</w:t>
      </w:r>
      <w:r>
        <w:t xml:space="preserve"> </w:t>
      </w:r>
      <m:oMath>
        <m:sSub>
          <m:e>
            <m:r>
              <m:t>V</m:t>
            </m:r>
          </m:e>
          <m:sub>
            <m:r>
              <m:t>m</m:t>
            </m:r>
          </m:sub>
        </m:sSub>
      </m:oMath>
      <w:r>
        <w:t xml:space="preserve">,</w:t>
      </w:r>
      <w:r>
        <w:t xml:space="preserve"> </w:t>
      </w:r>
      <m:oMath>
        <m:sSub>
          <m:e>
            <m:r>
              <m:t>P</m:t>
            </m:r>
          </m:e>
          <m:sub>
            <m:r>
              <m:t>i</m:t>
            </m:r>
          </m:sub>
        </m:sSub>
      </m:oMath>
      <w:r>
        <w:t xml:space="preserve"> </w:t>
      </w:r>
      <w:r>
        <w:t xml:space="preserve">sets</w:t>
      </w:r>
      <w:r>
        <w:t xml:space="preserve"> </w:t>
      </w:r>
      <m:oMath>
        <m:sSub>
          <m:e>
            <m:r>
              <m:t>V</m:t>
            </m:r>
          </m:e>
          <m:sub>
            <m:r>
              <m:t>i</m:t>
            </m:r>
          </m:sub>
        </m:sSub>
        <m:d>
          <m:dPr>
            <m:begChr m:val="["/>
            <m:endChr m:val="]"/>
            <m:sepChr m:val=""/>
            <m:grow/>
          </m:dPr>
          <m:e>
            <m:r>
              <m:t>k</m:t>
            </m:r>
          </m:e>
        </m:d>
        <m:r>
          <m:rPr>
            <m:sty m:val="p"/>
          </m:rPr>
          <m:t>←</m:t>
        </m:r>
        <m:r>
          <m:rPr>
            <m:sty m:val="p"/>
          </m:rPr>
          <m:t>max</m:t>
        </m:r>
        <m:d>
          <m:dPr>
            <m:begChr m:val="("/>
            <m:endChr m:val=")"/>
            <m:sepChr m:val=""/>
            <m:grow/>
          </m:dPr>
          <m:e>
            <m:sSub>
              <m:e>
                <m:r>
                  <m:t>V</m:t>
                </m:r>
              </m:e>
              <m:sub>
                <m:r>
                  <m:t>i</m:t>
                </m:r>
              </m:sub>
            </m:sSub>
            <m:d>
              <m:dPr>
                <m:begChr m:val="["/>
                <m:endChr m:val="]"/>
                <m:sepChr m:val=""/>
                <m:grow/>
              </m:dPr>
              <m:e>
                <m:r>
                  <m:t>k</m:t>
                </m:r>
              </m:e>
            </m:d>
            <m:r>
              <m:rPr>
                <m:sty m:val="p"/>
              </m:rPr>
              <m:t>,</m:t>
            </m:r>
            <m:sSub>
              <m:e>
                <m:r>
                  <m:t>V</m:t>
                </m:r>
              </m:e>
              <m:sub>
                <m:r>
                  <m:t>m</m:t>
                </m:r>
              </m:sub>
            </m:sSub>
            <m:d>
              <m:dPr>
                <m:begChr m:val="["/>
                <m:endChr m:val="]"/>
                <m:sepChr m:val=""/>
                <m:grow/>
              </m:dPr>
              <m:e>
                <m:r>
                  <m:t>k</m:t>
                </m:r>
              </m:e>
            </m:d>
          </m:e>
        </m:d>
      </m:oMath>
      <w:r>
        <w:t xml:space="preserve"> </w:t>
      </w:r>
      <w:r>
        <w:t xml:space="preserve">for every</w:t>
      </w:r>
      <w:r>
        <w:t xml:space="preserve"> </w:t>
      </w:r>
      <m:oMath>
        <m:r>
          <m:t>k</m:t>
        </m:r>
      </m:oMath>
      <w:r>
        <w:t xml:space="preserve">, then increments</w:t>
      </w:r>
      <w:r>
        <w:t xml:space="preserve"> </w:t>
      </w:r>
      <m:oMath>
        <m:sSub>
          <m:e>
            <m:r>
              <m:t>V</m:t>
            </m:r>
          </m:e>
          <m:sub>
            <m:r>
              <m:t>i</m:t>
            </m:r>
          </m:sub>
        </m:sSub>
        <m:d>
          <m:dPr>
            <m:begChr m:val="["/>
            <m:endChr m:val="]"/>
            <m:sepChr m:val=""/>
            <m:grow/>
          </m:dPr>
          <m:e>
            <m:r>
              <m:t>i</m:t>
            </m:r>
          </m:e>
        </m:d>
      </m:oMath>
      <w:r>
        <w:t xml:space="preserve">.</w:t>
      </w:r>
    </w:p>
    <w:p>
      <w:pPr>
        <w:pStyle w:val="BodyText"/>
      </w:pPr>
      <w:r>
        <w:t xml:space="preserve">Comparison rules:</w:t>
      </w:r>
      <w:r>
        <w:t xml:space="preserve"> </w:t>
      </w:r>
      <m:oMath>
        <m:r>
          <m:t>V</m:t>
        </m:r>
        <m:r>
          <m:rPr>
            <m:sty m:val="p"/>
          </m:rPr>
          <m:t>≤</m:t>
        </m:r>
        <m:r>
          <m:t>W</m:t>
        </m:r>
      </m:oMath>
      <w:r>
        <w:t xml:space="preserve"> </w:t>
      </w:r>
      <w:r>
        <w:t xml:space="preserve">if</w:t>
      </w:r>
      <w:r>
        <w:t xml:space="preserve"> </w:t>
      </w:r>
      <m:oMath>
        <m:r>
          <m:t>V</m:t>
        </m:r>
        <m:d>
          <m:dPr>
            <m:begChr m:val="["/>
            <m:endChr m:val="]"/>
            <m:sepChr m:val=""/>
            <m:grow/>
          </m:dPr>
          <m:e>
            <m:r>
              <m:t>k</m:t>
            </m:r>
          </m:e>
        </m:d>
        <m:r>
          <m:rPr>
            <m:sty m:val="p"/>
          </m:rPr>
          <m:t>≤</m:t>
        </m:r>
        <m:r>
          <m:t>W</m:t>
        </m:r>
        <m:d>
          <m:dPr>
            <m:begChr m:val="["/>
            <m:endChr m:val="]"/>
            <m:sepChr m:val=""/>
            <m:grow/>
          </m:dPr>
          <m:e>
            <m:r>
              <m:t>k</m:t>
            </m:r>
          </m:e>
        </m:d>
      </m:oMath>
      <w:r>
        <w:t xml:space="preserve"> </w:t>
      </w:r>
      <w:r>
        <w:t xml:space="preserve">for all</w:t>
      </w:r>
      <w:r>
        <w:t xml:space="preserve"> </w:t>
      </w:r>
      <m:oMath>
        <m:r>
          <m:t>k</m:t>
        </m:r>
      </m:oMath>
      <w:r>
        <w:t xml:space="preserve">;</w:t>
      </w:r>
      <w:r>
        <w:t xml:space="preserve"> </w:t>
      </w:r>
      <m:oMath>
        <m:r>
          <m:t>V</m:t>
        </m:r>
        <m:r>
          <m:rPr>
            <m:sty m:val="p"/>
          </m:rPr>
          <m:t>&lt;</m:t>
        </m:r>
        <m:r>
          <m:t>W</m:t>
        </m:r>
      </m:oMath>
      <w:r>
        <w:t xml:space="preserve"> </w:t>
      </w:r>
      <w:r>
        <w:t xml:space="preserve">if</w:t>
      </w:r>
      <w:r>
        <w:t xml:space="preserve"> </w:t>
      </w:r>
      <m:oMath>
        <m:r>
          <m:t>V</m:t>
        </m:r>
        <m:r>
          <m:rPr>
            <m:sty m:val="p"/>
          </m:rPr>
          <m:t>≤</m:t>
        </m:r>
        <m:r>
          <m:t>W</m:t>
        </m:r>
      </m:oMath>
      <w:r>
        <w:t xml:space="preserve"> </w:t>
      </w:r>
      <w:r>
        <w:t xml:space="preserve">and</w:t>
      </w:r>
      <w:r>
        <w:t xml:space="preserve"> </w:t>
      </w:r>
      <m:oMath>
        <m:r>
          <m:t>V</m:t>
        </m:r>
        <m:r>
          <m:rPr>
            <m:sty m:val="p"/>
          </m:rPr>
          <m:t>≠</m:t>
        </m:r>
        <m:r>
          <m:t>W</m:t>
        </m:r>
      </m:oMath>
      <w:r>
        <w:t xml:space="preserve">;</w:t>
      </w:r>
      <w:r>
        <w:t xml:space="preserve"> </w:t>
      </w:r>
      <m:oMath>
        <m:r>
          <m:t>V</m:t>
        </m:r>
        <m:r>
          <m:rPr>
            <m:sty m:val="p"/>
          </m:rPr>
          <m:t>∥</m:t>
        </m:r>
        <m:r>
          <m:t>W</m:t>
        </m:r>
      </m:oMath>
      <w:r>
        <w:t xml:space="preserve"> </w:t>
      </w:r>
      <w:r>
        <w:t xml:space="preserve">(concurrent) if neither</w:t>
      </w:r>
      <w:r>
        <w:t xml:space="preserve"> </w:t>
      </w:r>
      <m:oMath>
        <m:r>
          <m:t>V</m:t>
        </m:r>
        <m:r>
          <m:rPr>
            <m:sty m:val="p"/>
          </m:rPr>
          <m:t>≤</m:t>
        </m:r>
        <m:r>
          <m:t>W</m:t>
        </m:r>
      </m:oMath>
      <w:r>
        <w:t xml:space="preserve"> </w:t>
      </w:r>
      <w:r>
        <w:t xml:space="preserve">nor</w:t>
      </w:r>
      <w:r>
        <w:t xml:space="preserve"> </w:t>
      </w:r>
      <m:oMath>
        <m:r>
          <m:t>W</m:t>
        </m:r>
        <m:r>
          <m:rPr>
            <m:sty m:val="p"/>
          </m:rPr>
          <m:t>≤</m:t>
        </m:r>
        <m:r>
          <m:t>V</m:t>
        </m:r>
      </m:oMath>
      <w:r>
        <w:t xml:space="preserve">. Unlike Lamport clocks, vector clocks</w:t>
      </w:r>
      <w:r>
        <w:t xml:space="preserve"> </w:t>
      </w:r>
      <w:r>
        <w:rPr>
          <w:bCs/>
          <w:b/>
        </w:rPr>
        <w:t xml:space="preserve">characterize</w:t>
      </w:r>
      <w:r>
        <w:t xml:space="preserve"> </w:t>
      </w:r>
      <w:r>
        <w:t xml:space="preserve">causality exactly:</w:t>
      </w:r>
      <w:r>
        <w:t xml:space="preserve"> </w:t>
      </w:r>
      <m:oMath>
        <m:r>
          <m:t>a</m:t>
        </m:r>
        <m:r>
          <m:rPr>
            <m:sty m:val="p"/>
          </m:rPr>
          <m:t>→</m:t>
        </m:r>
        <m:r>
          <m:t>b</m:t>
        </m:r>
      </m:oMath>
      <w:r>
        <w:t xml:space="preserve"> </w:t>
      </w:r>
      <w:r>
        <w:t xml:space="preserve">if and only if</w:t>
      </w:r>
      <w:r>
        <w:t xml:space="preserve"> </w:t>
      </w:r>
      <m:oMath>
        <m:r>
          <m:t>V</m:t>
        </m:r>
        <m:d>
          <m:dPr>
            <m:begChr m:val="("/>
            <m:endChr m:val=")"/>
            <m:sepChr m:val=""/>
            <m:grow/>
          </m:dPr>
          <m:e>
            <m:r>
              <m:t>a</m:t>
            </m:r>
          </m:e>
        </m:d>
        <m:r>
          <m:rPr>
            <m:sty m:val="p"/>
          </m:rPr>
          <m:t>&lt;</m:t>
        </m:r>
        <m:r>
          <m:t>V</m:t>
        </m:r>
        <m:d>
          <m:dPr>
            <m:begChr m:val="("/>
            <m:endChr m:val=")"/>
            <m:sepChr m:val=""/>
            <m:grow/>
          </m:dPr>
          <m:e>
            <m:r>
              <m:t>b</m:t>
            </m:r>
          </m:e>
        </m:d>
      </m:oMath>
      <w:r>
        <w:t xml:space="preserve">.</w:t>
      </w:r>
    </w:p>
    <w:p>
      <w:pPr>
        <w:pStyle w:val="BodyText"/>
      </w:pPr>
      <w:r>
        <w:rPr>
          <w:bCs/>
          <w:b/>
        </w:rPr>
        <w:t xml:space="preserve">Figure 24.11 — Vector clocks on the same trace.</w:t>
      </w:r>
    </w:p>
    <w:p>
      <w:pPr>
        <w:pStyle w:val="BodyText"/>
      </w:pPr>
      <w:r>
        <w:drawing>
          <wp:inline>
            <wp:extent cx="5334000" cy="3985600"/>
            <wp:effectExtent b="0" l="0" r="0" t="0"/>
            <wp:docPr descr="" title="" id="2730" name="Picture"/>
            <a:graphic>
              <a:graphicData uri="http://schemas.openxmlformats.org/drawingml/2006/picture">
                <pic:pic>
                  <pic:nvPicPr>
                    <pic:cNvPr descr="/home/user/System-Design/build/.cache/diagrams/22e72db5d3e1.png" id="2731" name="Picture"/>
                    <pic:cNvPicPr>
                      <a:picLocks noChangeArrowheads="1" noChangeAspect="1"/>
                    </pic:cNvPicPr>
                  </pic:nvPicPr>
                  <pic:blipFill>
                    <a:blip r:embed="rId2729"/>
                    <a:stretch>
                      <a:fillRect/>
                    </a:stretch>
                  </pic:blipFill>
                  <pic:spPr bwMode="auto">
                    <a:xfrm>
                      <a:off x="0" y="0"/>
                      <a:ext cx="5334000" cy="3985600"/>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Entries are [P1, P2, P3]; each event increments its own entry, and each receipt first takes the element-wise maximum. Asynchronous messages now carry</w:t>
      </w:r>
      <w:r>
        <w:t xml:space="preserve"> </w:t>
      </w:r>
      <m:oMath>
        <m:r>
          <m:t>n</m:t>
        </m:r>
      </m:oMath>
      <w:r>
        <w:t xml:space="preserve"> </w:t>
      </w:r>
      <w:r>
        <w:t xml:space="preserve">integers. Concurrency is visible:</w:t>
      </w:r>
      <w:r>
        <w:t xml:space="preserve"> </w:t>
      </w:r>
      <w:r>
        <w:rPr>
          <w:rStyle w:val="VerbatimChar"/>
        </w:rPr>
        <w:t xml:space="preserve">c</w:t>
      </w:r>
      <w:r>
        <w:t xml:space="preserve"> </w:t>
      </w:r>
      <w:r>
        <w:t xml:space="preserve">= [0,1,0] and</w:t>
      </w:r>
      <w:r>
        <w:t xml:space="preserve"> </w:t>
      </w:r>
      <w:r>
        <w:rPr>
          <w:rStyle w:val="VerbatimChar"/>
        </w:rPr>
        <w:t xml:space="preserve">b</w:t>
      </w:r>
      <w:r>
        <w:t xml:space="preserve"> </w:t>
      </w:r>
      <w:r>
        <w:t xml:space="preserve">= [2,0,0] are incomparable, while</w:t>
      </w:r>
      <w:r>
        <w:t xml:space="preserve"> </w:t>
      </w:r>
      <w:r>
        <w:rPr>
          <w:rStyle w:val="VerbatimChar"/>
        </w:rPr>
        <w:t xml:space="preserve">b</w:t>
      </w:r>
      <w:r>
        <w:t xml:space="preserve"> </w:t>
      </w:r>
      <w:r>
        <w:t xml:space="preserve">≤</w:t>
      </w:r>
      <w:r>
        <w:t xml:space="preserve"> </w:t>
      </w:r>
      <w:r>
        <w:rPr>
          <w:rStyle w:val="VerbatimChar"/>
        </w:rPr>
        <w:t xml:space="preserve">g</w:t>
      </w:r>
      <w:r>
        <w:t xml:space="preserve"> </w:t>
      </w:r>
      <w:r>
        <w:t xml:space="preserve">= [2,3,2] entry by entry, so</w:t>
      </w:r>
      <w:r>
        <w:t xml:space="preserve"> </w:t>
      </w:r>
      <w:r>
        <w:rPr>
          <w:rStyle w:val="VerbatimChar"/>
        </w:rPr>
        <w:t xml:space="preserve">b</w:t>
      </w:r>
      <w:r>
        <w:t xml:space="preserve"> </w:t>
      </w:r>
      <w:r>
        <w:t xml:space="preserve">→</w:t>
      </w:r>
      <w:r>
        <w:t xml:space="preserve"> </w:t>
      </w:r>
      <w:r>
        <w:rPr>
          <w:rStyle w:val="VerbatimChar"/>
        </w:rPr>
        <w:t xml:space="preserve">g</w:t>
      </w:r>
      <w:r>
        <w:t xml:space="preserve">. The scaling limit is vector size, which grows with the number of processes.</w:t>
      </w:r>
    </w:p>
    <w:bookmarkEnd w:id="2732"/>
    <w:bookmarkStart w:id="2736" w:name="version-vectors"/>
    <w:p>
      <w:pPr>
        <w:pStyle w:val="Heading3"/>
      </w:pPr>
      <w:r>
        <w:t xml:space="preserve">24.11.2 Version vectors</w:t>
      </w:r>
    </w:p>
    <w:p>
      <w:pPr>
        <w:pStyle w:val="FirstParagraph"/>
      </w:pPr>
      <w:r>
        <w:t xml:space="preserve">A</w:t>
      </w:r>
      <w:r>
        <w:t xml:space="preserve"> </w:t>
      </w:r>
      <w:r>
        <w:rPr>
          <w:bCs/>
          <w:b/>
        </w:rPr>
        <w:t xml:space="preserve">version vector</w:t>
      </w:r>
      <w:r>
        <w:t xml:space="preserve"> </w:t>
      </w:r>
      <w:r>
        <w:t xml:space="preserve">applies the same idea to</w:t>
      </w:r>
      <w:r>
        <w:t xml:space="preserve"> </w:t>
      </w:r>
      <w:r>
        <w:rPr>
          <w:iCs/>
          <w:i/>
        </w:rPr>
        <w:t xml:space="preserve">replicas of a data item</w:t>
      </w:r>
      <w:r>
        <w:t xml:space="preserve"> </w:t>
      </w:r>
      <w:r>
        <w:t xml:space="preserve">rather than to events in processes [Parker et al. 1983]. Each replica that accepts writes for a key has an entry counting the updates it has issued to that key. When two versions of a key have incomparable version vectors, they were written concurrently and are kept as</w:t>
      </w:r>
      <w:r>
        <w:t xml:space="preserve"> </w:t>
      </w:r>
      <w:r>
        <w:rPr>
          <w:bCs/>
          <w:b/>
        </w:rPr>
        <w:t xml:space="preserve">siblings</w:t>
      </w:r>
      <w:r>
        <w:t xml:space="preserve"> </w:t>
      </w:r>
      <w:r>
        <w:t xml:space="preserve">for the application (or a merge function) to reconcile; when one dominates, it replaces the other. The client passes the version vector it read (its</w:t>
      </w:r>
      <w:r>
        <w:t xml:space="preserve"> </w:t>
      </w:r>
      <w:r>
        <w:rPr>
          <w:bCs/>
          <w:b/>
        </w:rPr>
        <w:t xml:space="preserve">context</w:t>
      </w:r>
      <w:r>
        <w:t xml:space="preserve">) with each write, so the store knows which versions the client had seen. This section introduces the mechanism only; how replicated stores use siblings in practice (the Dynamo cart walk-through, Riak’s causal contexts, merge functions and their pitfalls) is in §27.14.2.</w:t>
      </w:r>
    </w:p>
    <w:p>
      <w:pPr>
        <w:pStyle w:val="BodyText"/>
      </w:pPr>
      <w:r>
        <w:rPr>
          <w:bCs/>
          <w:b/>
        </w:rPr>
        <w:t xml:space="preserve">Figure 24.12 — Version vectors detect a concurrent shopping-cart update.</w:t>
      </w:r>
    </w:p>
    <w:p>
      <w:pPr>
        <w:pStyle w:val="BodyText"/>
      </w:pPr>
      <w:r>
        <w:drawing>
          <wp:inline>
            <wp:extent cx="5334000" cy="2303220"/>
            <wp:effectExtent b="0" l="0" r="0" t="0"/>
            <wp:docPr descr="" title="" id="2734" name="Picture"/>
            <a:graphic>
              <a:graphicData uri="http://schemas.openxmlformats.org/drawingml/2006/picture">
                <pic:pic>
                  <pic:nvPicPr>
                    <pic:cNvPr descr="/home/user/System-Design/build/.cache/diagrams/e4cceaa4d932.png" id="2735" name="Picture"/>
                    <pic:cNvPicPr>
                      <a:picLocks noChangeArrowheads="1" noChangeAspect="1"/>
                    </pic:cNvPicPr>
                  </pic:nvPicPr>
                  <pic:blipFill>
                    <a:blip r:embed="rId2733"/>
                    <a:stretch>
                      <a:fillRect/>
                    </a:stretch>
                  </pic:blipFill>
                  <pic:spPr bwMode="auto">
                    <a:xfrm>
                      <a:off x="0" y="0"/>
                      <a:ext cx="5334000" cy="2303220"/>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Both clients read context {R1: 1} and write synchronously through different replicas, which later synchronize asynchronously. Neither {R1: 2} nor {R1: 1, R2: 1} dominates, so both values are kept as siblings; the next reader gets both and writes back a merge. The storage boundary is each replica’s copy. Unlike LWW (Figure 24.9), nothing is silently lost, at the cost of application merging.</w:t>
      </w:r>
    </w:p>
    <w:bookmarkEnd w:id="2736"/>
    <w:bookmarkStart w:id="2737" w:name="code-example-30"/>
    <w:p>
      <w:pPr>
        <w:pStyle w:val="Heading3"/>
      </w:pPr>
      <w:r>
        <w:t xml:space="preserve">24.11.3 Code example</w:t>
      </w:r>
    </w:p>
    <w:p>
      <w:pPr>
        <w:pStyle w:val="SourceCode"/>
      </w:pPr>
      <w:r>
        <w:rPr>
          <w:rStyle w:val="CommentTok"/>
        </w:rPr>
        <w:t xml:space="preserve">"""Vector clocks: comparison, the Figure 24.11 trace, and sibling detection with version vectors."""</w:t>
      </w:r>
      <w:r>
        <w:br/>
      </w:r>
      <w:r>
        <w:br/>
      </w:r>
      <w:r>
        <w:br/>
      </w:r>
      <w:r>
        <w:rPr>
          <w:rStyle w:val="KeywordTok"/>
        </w:rPr>
        <w:t xml:space="preserve">def</w:t>
      </w:r>
      <w:r>
        <w:rPr>
          <w:rStyle w:val="NormalTok"/>
        </w:rPr>
        <w:t xml:space="preserve"> compare(v, w):</w:t>
      </w:r>
      <w:r>
        <w:br/>
      </w:r>
      <w:r>
        <w:rPr>
          <w:rStyle w:val="NormalTok"/>
        </w:rPr>
        <w:t xml:space="preserve">    </w:t>
      </w:r>
      <w:r>
        <w:rPr>
          <w:rStyle w:val="CommentTok"/>
        </w:rPr>
        <w:t xml:space="preserve">"""Return 'equal', 'before' (v happened before w), 'after' or 'concurrent'."""</w:t>
      </w:r>
      <w:r>
        <w:br/>
      </w:r>
      <w:r>
        <w:rPr>
          <w:rStyle w:val="NormalTok"/>
        </w:rPr>
        <w:t xml:space="preserve">    keys </w:t>
      </w:r>
      <w:r>
        <w:rPr>
          <w:rStyle w:val="OperatorTok"/>
        </w:rPr>
        <w:t xml:space="preserve">=</w:t>
      </w:r>
      <w:r>
        <w:rPr>
          <w:rStyle w:val="NormalTok"/>
        </w:rPr>
        <w:t xml:space="preserve"> </w:t>
      </w:r>
      <w:r>
        <w:rPr>
          <w:rStyle w:val="BuiltInTok"/>
        </w:rPr>
        <w:t xml:space="preserve">set</w:t>
      </w:r>
      <w:r>
        <w:rPr>
          <w:rStyle w:val="NormalTok"/>
        </w:rPr>
        <w:t xml:space="preserve">(v) </w:t>
      </w:r>
      <w:r>
        <w:rPr>
          <w:rStyle w:val="OperatorTok"/>
        </w:rPr>
        <w:t xml:space="preserve">|</w:t>
      </w:r>
      <w:r>
        <w:rPr>
          <w:rStyle w:val="NormalTok"/>
        </w:rPr>
        <w:t xml:space="preserve"> </w:t>
      </w:r>
      <w:r>
        <w:rPr>
          <w:rStyle w:val="BuiltInTok"/>
        </w:rPr>
        <w:t xml:space="preserve">set</w:t>
      </w:r>
      <w:r>
        <w:rPr>
          <w:rStyle w:val="NormalTok"/>
        </w:rPr>
        <w:t xml:space="preserve">(w)</w:t>
      </w:r>
      <w:r>
        <w:br/>
      </w:r>
      <w:r>
        <w:rPr>
          <w:rStyle w:val="NormalTok"/>
        </w:rPr>
        <w:t xml:space="preserve">    le </w:t>
      </w:r>
      <w:r>
        <w:rPr>
          <w:rStyle w:val="OperatorTok"/>
        </w:rPr>
        <w:t xml:space="preserve">=</w:t>
      </w:r>
      <w:r>
        <w:rPr>
          <w:rStyle w:val="NormalTok"/>
        </w:rPr>
        <w:t xml:space="preserve"> </w:t>
      </w:r>
      <w:r>
        <w:rPr>
          <w:rStyle w:val="BuiltInTok"/>
        </w:rPr>
        <w:t xml:space="preserve">all</w:t>
      </w:r>
      <w:r>
        <w:rPr>
          <w:rStyle w:val="NormalTok"/>
        </w:rPr>
        <w:t xml:space="preserve">(v.get(k, </w:t>
      </w:r>
      <w:r>
        <w:rPr>
          <w:rStyle w:val="DecValTok"/>
        </w:rPr>
        <w:t xml:space="preserve">0</w:t>
      </w:r>
      <w:r>
        <w:rPr>
          <w:rStyle w:val="NormalTok"/>
        </w:rPr>
        <w:t xml:space="preserve">) </w:t>
      </w:r>
      <w:r>
        <w:rPr>
          <w:rStyle w:val="OperatorTok"/>
        </w:rPr>
        <w:t xml:space="preserve">&lt;=</w:t>
      </w:r>
      <w:r>
        <w:rPr>
          <w:rStyle w:val="NormalTok"/>
        </w:rPr>
        <w:t xml:space="preserve"> w.get(k, </w:t>
      </w:r>
      <w:r>
        <w:rPr>
          <w:rStyle w:val="DecValTok"/>
        </w:rPr>
        <w:t xml:space="preserve">0</w:t>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keys)</w:t>
      </w:r>
      <w:r>
        <w:br/>
      </w:r>
      <w:r>
        <w:rPr>
          <w:rStyle w:val="NormalTok"/>
        </w:rPr>
        <w:t xml:space="preserve">    ge </w:t>
      </w:r>
      <w:r>
        <w:rPr>
          <w:rStyle w:val="OperatorTok"/>
        </w:rPr>
        <w:t xml:space="preserve">=</w:t>
      </w:r>
      <w:r>
        <w:rPr>
          <w:rStyle w:val="NormalTok"/>
        </w:rPr>
        <w:t xml:space="preserve"> </w:t>
      </w:r>
      <w:r>
        <w:rPr>
          <w:rStyle w:val="BuiltInTok"/>
        </w:rPr>
        <w:t xml:space="preserve">all</w:t>
      </w:r>
      <w:r>
        <w:rPr>
          <w:rStyle w:val="NormalTok"/>
        </w:rPr>
        <w:t xml:space="preserve">(v.get(k, </w:t>
      </w:r>
      <w:r>
        <w:rPr>
          <w:rStyle w:val="DecValTok"/>
        </w:rPr>
        <w:t xml:space="preserve">0</w:t>
      </w:r>
      <w:r>
        <w:rPr>
          <w:rStyle w:val="NormalTok"/>
        </w:rPr>
        <w:t xml:space="preserve">) </w:t>
      </w:r>
      <w:r>
        <w:rPr>
          <w:rStyle w:val="OperatorTok"/>
        </w:rPr>
        <w:t xml:space="preserve">&gt;=</w:t>
      </w:r>
      <w:r>
        <w:rPr>
          <w:rStyle w:val="NormalTok"/>
        </w:rPr>
        <w:t xml:space="preserve"> w.get(k, </w:t>
      </w:r>
      <w:r>
        <w:rPr>
          <w:rStyle w:val="DecValTok"/>
        </w:rPr>
        <w:t xml:space="preserve">0</w:t>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keys)</w:t>
      </w:r>
      <w:r>
        <w:br/>
      </w:r>
      <w:r>
        <w:rPr>
          <w:rStyle w:val="NormalTok"/>
        </w:rPr>
        <w:t xml:space="preserve">    </w:t>
      </w:r>
      <w:r>
        <w:rPr>
          <w:rStyle w:val="ControlFlowTok"/>
        </w:rPr>
        <w:t xml:space="preserve">if</w:t>
      </w:r>
      <w:r>
        <w:rPr>
          <w:rStyle w:val="NormalTok"/>
        </w:rPr>
        <w:t xml:space="preserve"> le </w:t>
      </w:r>
      <w:r>
        <w:rPr>
          <w:rStyle w:val="KeywordTok"/>
        </w:rPr>
        <w:t xml:space="preserve">and</w:t>
      </w:r>
      <w:r>
        <w:rPr>
          <w:rStyle w:val="NormalTok"/>
        </w:rPr>
        <w:t xml:space="preserve"> ge:</w:t>
      </w:r>
      <w:r>
        <w:br/>
      </w:r>
      <w:r>
        <w:rPr>
          <w:rStyle w:val="NormalTok"/>
        </w:rPr>
        <w:t xml:space="preserve">        </w:t>
      </w:r>
      <w:r>
        <w:rPr>
          <w:rStyle w:val="ControlFlowTok"/>
        </w:rPr>
        <w:t xml:space="preserve">return</w:t>
      </w:r>
      <w:r>
        <w:rPr>
          <w:rStyle w:val="NormalTok"/>
        </w:rPr>
        <w:t xml:space="preserve"> </w:t>
      </w:r>
      <w:r>
        <w:rPr>
          <w:rStyle w:val="StringTok"/>
        </w:rPr>
        <w:t xml:space="preserve">"equal"</w:t>
      </w:r>
      <w:r>
        <w:br/>
      </w:r>
      <w:r>
        <w:rPr>
          <w:rStyle w:val="NormalTok"/>
        </w:rPr>
        <w:t xml:space="preserve">    </w:t>
      </w:r>
      <w:r>
        <w:rPr>
          <w:rStyle w:val="ControlFlowTok"/>
        </w:rPr>
        <w:t xml:space="preserve">if</w:t>
      </w:r>
      <w:r>
        <w:rPr>
          <w:rStyle w:val="NormalTok"/>
        </w:rPr>
        <w:t xml:space="preserve"> le:</w:t>
      </w:r>
      <w:r>
        <w:br/>
      </w:r>
      <w:r>
        <w:rPr>
          <w:rStyle w:val="NormalTok"/>
        </w:rPr>
        <w:t xml:space="preserve">        </w:t>
      </w:r>
      <w:r>
        <w:rPr>
          <w:rStyle w:val="ControlFlowTok"/>
        </w:rPr>
        <w:t xml:space="preserve">return</w:t>
      </w:r>
      <w:r>
        <w:rPr>
          <w:rStyle w:val="NormalTok"/>
        </w:rPr>
        <w:t xml:space="preserve"> </w:t>
      </w:r>
      <w:r>
        <w:rPr>
          <w:rStyle w:val="StringTok"/>
        </w:rPr>
        <w:t xml:space="preserve">"before"</w:t>
      </w:r>
      <w:r>
        <w:br/>
      </w:r>
      <w:r>
        <w:rPr>
          <w:rStyle w:val="NormalTok"/>
        </w:rPr>
        <w:t xml:space="preserve">    </w:t>
      </w:r>
      <w:r>
        <w:rPr>
          <w:rStyle w:val="ControlFlowTok"/>
        </w:rPr>
        <w:t xml:space="preserve">if</w:t>
      </w:r>
      <w:r>
        <w:rPr>
          <w:rStyle w:val="NormalTok"/>
        </w:rPr>
        <w:t xml:space="preserve"> ge:</w:t>
      </w:r>
      <w:r>
        <w:br/>
      </w:r>
      <w:r>
        <w:rPr>
          <w:rStyle w:val="NormalTok"/>
        </w:rPr>
        <w:t xml:space="preserve">        </w:t>
      </w:r>
      <w:r>
        <w:rPr>
          <w:rStyle w:val="ControlFlowTok"/>
        </w:rPr>
        <w:t xml:space="preserve">return</w:t>
      </w:r>
      <w:r>
        <w:rPr>
          <w:rStyle w:val="NormalTok"/>
        </w:rPr>
        <w:t xml:space="preserve"> </w:t>
      </w:r>
      <w:r>
        <w:rPr>
          <w:rStyle w:val="StringTok"/>
        </w:rPr>
        <w:t xml:space="preserve">"after"</w:t>
      </w:r>
      <w:r>
        <w:br/>
      </w:r>
      <w:r>
        <w:rPr>
          <w:rStyle w:val="NormalTok"/>
        </w:rPr>
        <w:t xml:space="preserve">    </w:t>
      </w:r>
      <w:r>
        <w:rPr>
          <w:rStyle w:val="ControlFlowTok"/>
        </w:rPr>
        <w:t xml:space="preserve">return</w:t>
      </w:r>
      <w:r>
        <w:rPr>
          <w:rStyle w:val="NormalTok"/>
        </w:rPr>
        <w:t xml:space="preserve"> </w:t>
      </w:r>
      <w:r>
        <w:rPr>
          <w:rStyle w:val="StringTok"/>
        </w:rPr>
        <w:t xml:space="preserve">"concurrent"</w:t>
      </w:r>
      <w:r>
        <w:br/>
      </w:r>
      <w:r>
        <w:br/>
      </w:r>
      <w:r>
        <w:br/>
      </w:r>
      <w:r>
        <w:rPr>
          <w:rStyle w:val="KeywordTok"/>
        </w:rPr>
        <w:t xml:space="preserve">def</w:t>
      </w:r>
      <w:r>
        <w:rPr>
          <w:rStyle w:val="NormalTok"/>
        </w:rPr>
        <w:t xml:space="preserve"> merge(v, w):</w:t>
      </w:r>
      <w:r>
        <w:br/>
      </w:r>
      <w:r>
        <w:rPr>
          <w:rStyle w:val="NormalTok"/>
        </w:rPr>
        <w:t xml:space="preserve">    </w:t>
      </w:r>
      <w:r>
        <w:rPr>
          <w:rStyle w:val="ControlFlowTok"/>
        </w:rPr>
        <w:t xml:space="preserve">return</w:t>
      </w:r>
      <w:r>
        <w:rPr>
          <w:rStyle w:val="NormalTok"/>
        </w:rPr>
        <w:t xml:space="preserve"> {k: </w:t>
      </w:r>
      <w:r>
        <w:rPr>
          <w:rStyle w:val="BuiltInTok"/>
        </w:rPr>
        <w:t xml:space="preserve">max</w:t>
      </w:r>
      <w:r>
        <w:rPr>
          <w:rStyle w:val="NormalTok"/>
        </w:rPr>
        <w:t xml:space="preserve">(v.get(k, </w:t>
      </w:r>
      <w:r>
        <w:rPr>
          <w:rStyle w:val="DecValTok"/>
        </w:rPr>
        <w:t xml:space="preserve">0</w:t>
      </w:r>
      <w:r>
        <w:rPr>
          <w:rStyle w:val="NormalTok"/>
        </w:rPr>
        <w:t xml:space="preserve">), w.get(k, </w:t>
      </w:r>
      <w:r>
        <w:rPr>
          <w:rStyle w:val="DecValTok"/>
        </w:rPr>
        <w:t xml:space="preserve">0</w:t>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sorted</w:t>
      </w:r>
      <w:r>
        <w:rPr>
          <w:rStyle w:val="NormalTok"/>
        </w:rPr>
        <w:t xml:space="preserve">(</w:t>
      </w:r>
      <w:r>
        <w:rPr>
          <w:rStyle w:val="BuiltInTok"/>
        </w:rPr>
        <w:t xml:space="preserve">set</w:t>
      </w:r>
      <w:r>
        <w:rPr>
          <w:rStyle w:val="NormalTok"/>
        </w:rPr>
        <w:t xml:space="preserve">(v) </w:t>
      </w:r>
      <w:r>
        <w:rPr>
          <w:rStyle w:val="OperatorTok"/>
        </w:rPr>
        <w:t xml:space="preserve">|</w:t>
      </w:r>
      <w:r>
        <w:rPr>
          <w:rStyle w:val="NormalTok"/>
        </w:rPr>
        <w:t xml:space="preserve"> </w:t>
      </w:r>
      <w:r>
        <w:rPr>
          <w:rStyle w:val="BuiltInTok"/>
        </w:rPr>
        <w:t xml:space="preserve">set</w:t>
      </w:r>
      <w:r>
        <w:rPr>
          <w:rStyle w:val="NormalTok"/>
        </w:rPr>
        <w:t xml:space="preserve">(w))}</w:t>
      </w:r>
      <w:r>
        <w:br/>
      </w:r>
      <w:r>
        <w:br/>
      </w:r>
      <w:r>
        <w:br/>
      </w:r>
      <w:r>
        <w:rPr>
          <w:rStyle w:val="KeywordTok"/>
        </w:rPr>
        <w:t xml:space="preserve">class</w:t>
      </w:r>
      <w:r>
        <w:rPr>
          <w:rStyle w:val="NormalTok"/>
        </w:rPr>
        <w:t xml:space="preserve"> VCProcess:</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pid):</w:t>
      </w:r>
      <w:r>
        <w:br/>
      </w:r>
      <w:r>
        <w:rPr>
          <w:rStyle w:val="NormalTok"/>
        </w:rPr>
        <w:t xml:space="preserve">        </w:t>
      </w:r>
      <w:r>
        <w:rPr>
          <w:rStyle w:val="VariableTok"/>
        </w:rPr>
        <w:t xml:space="preserve">self</w:t>
      </w:r>
      <w:r>
        <w:rPr>
          <w:rStyle w:val="NormalTok"/>
        </w:rPr>
        <w:t xml:space="preserve">.pid, </w:t>
      </w:r>
      <w:r>
        <w:rPr>
          <w:rStyle w:val="VariableTok"/>
        </w:rPr>
        <w:t xml:space="preserve">self</w:t>
      </w:r>
      <w:r>
        <w:rPr>
          <w:rStyle w:val="NormalTok"/>
        </w:rPr>
        <w:t xml:space="preserve">.vc, </w:t>
      </w:r>
      <w:r>
        <w:rPr>
          <w:rStyle w:val="VariableTok"/>
        </w:rPr>
        <w:t xml:space="preserve">self</w:t>
      </w:r>
      <w:r>
        <w:rPr>
          <w:rStyle w:val="NormalTok"/>
        </w:rPr>
        <w:t xml:space="preserve">.events </w:t>
      </w:r>
      <w:r>
        <w:rPr>
          <w:rStyle w:val="OperatorTok"/>
        </w:rPr>
        <w:t xml:space="preserve">=</w:t>
      </w:r>
      <w:r>
        <w:rPr>
          <w:rStyle w:val="NormalTok"/>
        </w:rPr>
        <w:t xml:space="preserve"> pid, {}, {}</w:t>
      </w:r>
      <w:r>
        <w:br/>
      </w:r>
      <w:r>
        <w:br/>
      </w:r>
      <w:r>
        <w:rPr>
          <w:rStyle w:val="NormalTok"/>
        </w:rPr>
        <w:t xml:space="preserve">    </w:t>
      </w:r>
      <w:r>
        <w:rPr>
          <w:rStyle w:val="KeywordTok"/>
        </w:rPr>
        <w:t xml:space="preserve">def</w:t>
      </w:r>
      <w:r>
        <w:rPr>
          <w:rStyle w:val="NormalTok"/>
        </w:rPr>
        <w:t xml:space="preserve"> _tick(</w:t>
      </w:r>
      <w:r>
        <w:rPr>
          <w:rStyle w:val="VariableTok"/>
        </w:rPr>
        <w:t xml:space="preserve">self</w:t>
      </w:r>
      <w:r>
        <w:rPr>
          <w:rStyle w:val="NormalTok"/>
        </w:rPr>
        <w:t xml:space="preserve">, name):</w:t>
      </w:r>
      <w:r>
        <w:br/>
      </w:r>
      <w:r>
        <w:rPr>
          <w:rStyle w:val="NormalTok"/>
        </w:rPr>
        <w:t xml:space="preserve">        </w:t>
      </w:r>
      <w:r>
        <w:rPr>
          <w:rStyle w:val="VariableTok"/>
        </w:rPr>
        <w:t xml:space="preserve">self</w:t>
      </w:r>
      <w:r>
        <w:rPr>
          <w:rStyle w:val="NormalTok"/>
        </w:rPr>
        <w:t xml:space="preserve">.vc </w:t>
      </w:r>
      <w:r>
        <w:rPr>
          <w:rStyle w:val="OperatorTok"/>
        </w:rPr>
        <w:t xml:space="preserve">=</w:t>
      </w:r>
      <w:r>
        <w:rPr>
          <w:rStyle w:val="NormalTok"/>
        </w:rPr>
        <w:t xml:space="preserve"> </w:t>
      </w:r>
      <w:r>
        <w:rPr>
          <w:rStyle w:val="BuiltInTok"/>
        </w:rPr>
        <w:t xml:space="preserve">dict</w:t>
      </w:r>
      <w:r>
        <w:rPr>
          <w:rStyle w:val="NormalTok"/>
        </w:rPr>
        <w:t xml:space="preserve">(</w:t>
      </w:r>
      <w:r>
        <w:rPr>
          <w:rStyle w:val="VariableTok"/>
        </w:rPr>
        <w:t xml:space="preserve">self</w:t>
      </w:r>
      <w:r>
        <w:rPr>
          <w:rStyle w:val="NormalTok"/>
        </w:rPr>
        <w:t xml:space="preserve">.vc)</w:t>
      </w:r>
      <w:r>
        <w:br/>
      </w:r>
      <w:r>
        <w:rPr>
          <w:rStyle w:val="NormalTok"/>
        </w:rPr>
        <w:t xml:space="preserve">        </w:t>
      </w:r>
      <w:r>
        <w:rPr>
          <w:rStyle w:val="VariableTok"/>
        </w:rPr>
        <w:t xml:space="preserve">self</w:t>
      </w:r>
      <w:r>
        <w:rPr>
          <w:rStyle w:val="NormalTok"/>
        </w:rPr>
        <w:t xml:space="preserve">.vc[</w:t>
      </w:r>
      <w:r>
        <w:rPr>
          <w:rStyle w:val="VariableTok"/>
        </w:rPr>
        <w:t xml:space="preserve">self</w:t>
      </w:r>
      <w:r>
        <w:rPr>
          <w:rStyle w:val="NormalTok"/>
        </w:rPr>
        <w:t xml:space="preserve">.pid] </w:t>
      </w:r>
      <w:r>
        <w:rPr>
          <w:rStyle w:val="OperatorTok"/>
        </w:rPr>
        <w:t xml:space="preserve">=</w:t>
      </w:r>
      <w:r>
        <w:rPr>
          <w:rStyle w:val="NormalTok"/>
        </w:rPr>
        <w:t xml:space="preserve"> </w:t>
      </w:r>
      <w:r>
        <w:rPr>
          <w:rStyle w:val="VariableTok"/>
        </w:rPr>
        <w:t xml:space="preserve">self</w:t>
      </w:r>
      <w:r>
        <w:rPr>
          <w:rStyle w:val="NormalTok"/>
        </w:rPr>
        <w:t xml:space="preserve">.vc.get(</w:t>
      </w:r>
      <w:r>
        <w:rPr>
          <w:rStyle w:val="VariableTok"/>
        </w:rPr>
        <w:t xml:space="preserve">self</w:t>
      </w:r>
      <w:r>
        <w:rPr>
          <w:rStyle w:val="NormalTok"/>
        </w:rPr>
        <w:t xml:space="preserve">.pid,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increment own entry</w:t>
      </w:r>
      <w:r>
        <w:br/>
      </w:r>
      <w:r>
        <w:rPr>
          <w:rStyle w:val="NormalTok"/>
        </w:rPr>
        <w:t xml:space="preserve">        </w:t>
      </w:r>
      <w:r>
        <w:rPr>
          <w:rStyle w:val="VariableTok"/>
        </w:rPr>
        <w:t xml:space="preserve">self</w:t>
      </w:r>
      <w:r>
        <w:rPr>
          <w:rStyle w:val="NormalTok"/>
        </w:rPr>
        <w:t xml:space="preserve">.events[name] </w:t>
      </w:r>
      <w:r>
        <w:rPr>
          <w:rStyle w:val="OperatorTok"/>
        </w:rPr>
        <w:t xml:space="preserve">=</w:t>
      </w:r>
      <w:r>
        <w:rPr>
          <w:rStyle w:val="NormalTok"/>
        </w:rPr>
        <w:t xml:space="preserve"> </w:t>
      </w:r>
      <w:r>
        <w:rPr>
          <w:rStyle w:val="VariableTok"/>
        </w:rPr>
        <w:t xml:space="preserve">self</w:t>
      </w:r>
      <w:r>
        <w:rPr>
          <w:rStyle w:val="NormalTok"/>
        </w:rPr>
        <w:t xml:space="preserve">.vc</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.vc</w:t>
      </w:r>
      <w:r>
        <w:br/>
      </w:r>
      <w:r>
        <w:br/>
      </w:r>
      <w:r>
        <w:rPr>
          <w:rStyle w:val="NormalTok"/>
        </w:rPr>
        <w:t xml:space="preserve">    </w:t>
      </w:r>
      <w:r>
        <w:rPr>
          <w:rStyle w:val="KeywordTok"/>
        </w:rPr>
        <w:t xml:space="preserve">def</w:t>
      </w:r>
      <w:r>
        <w:rPr>
          <w:rStyle w:val="NormalTok"/>
        </w:rPr>
        <w:t xml:space="preserve"> local(</w:t>
      </w:r>
      <w:r>
        <w:rPr>
          <w:rStyle w:val="VariableTok"/>
        </w:rPr>
        <w:t xml:space="preserve">self</w:t>
      </w:r>
      <w:r>
        <w:rPr>
          <w:rStyle w:val="NormalTok"/>
        </w:rPr>
        <w:t xml:space="preserve">, name):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._tick(name)</w:t>
      </w:r>
      <w:r>
        <w:br/>
      </w:r>
      <w:r>
        <w:br/>
      </w:r>
      <w:r>
        <w:rPr>
          <w:rStyle w:val="NormalTok"/>
        </w:rPr>
        <w:t xml:space="preserve">    </w:t>
      </w:r>
      <w:r>
        <w:rPr>
          <w:rStyle w:val="KeywordTok"/>
        </w:rPr>
        <w:t xml:space="preserve">def</w:t>
      </w:r>
      <w:r>
        <w:rPr>
          <w:rStyle w:val="NormalTok"/>
        </w:rPr>
        <w:t xml:space="preserve"> send(</w:t>
      </w:r>
      <w:r>
        <w:rPr>
          <w:rStyle w:val="VariableTok"/>
        </w:rPr>
        <w:t xml:space="preserve">self</w:t>
      </w:r>
      <w:r>
        <w:rPr>
          <w:rStyle w:val="NormalTok"/>
        </w:rPr>
        <w:t xml:space="preserve">, name):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._tick(name)                 </w:t>
      </w:r>
      <w:r>
        <w:rPr>
          <w:rStyle w:val="CommentTok"/>
        </w:rPr>
        <w:t xml:space="preserve"># the message carries a copy of vc</w:t>
      </w:r>
      <w:r>
        <w:br/>
      </w:r>
      <w:r>
        <w:br/>
      </w:r>
      <w:r>
        <w:rPr>
          <w:rStyle w:val="NormalTok"/>
        </w:rPr>
        <w:t xml:space="preserve">    </w:t>
      </w:r>
      <w:r>
        <w:rPr>
          <w:rStyle w:val="KeywordTok"/>
        </w:rPr>
        <w:t xml:space="preserve">def</w:t>
      </w:r>
      <w:r>
        <w:rPr>
          <w:rStyle w:val="NormalTok"/>
        </w:rPr>
        <w:t xml:space="preserve"> receive(</w:t>
      </w:r>
      <w:r>
        <w:rPr>
          <w:rStyle w:val="VariableTok"/>
        </w:rPr>
        <w:t xml:space="preserve">self</w:t>
      </w:r>
      <w:r>
        <w:rPr>
          <w:rStyle w:val="NormalTok"/>
        </w:rPr>
        <w:t xml:space="preserve">, name, msg_vc):</w:t>
      </w:r>
      <w:r>
        <w:br/>
      </w:r>
      <w:r>
        <w:rPr>
          <w:rStyle w:val="NormalTok"/>
        </w:rPr>
        <w:t xml:space="preserve">        </w:t>
      </w:r>
      <w:r>
        <w:rPr>
          <w:rStyle w:val="VariableTok"/>
        </w:rPr>
        <w:t xml:space="preserve">self</w:t>
      </w:r>
      <w:r>
        <w:rPr>
          <w:rStyle w:val="NormalTok"/>
        </w:rPr>
        <w:t xml:space="preserve">.vc </w:t>
      </w:r>
      <w:r>
        <w:rPr>
          <w:rStyle w:val="OperatorTok"/>
        </w:rPr>
        <w:t xml:space="preserve">=</w:t>
      </w:r>
      <w:r>
        <w:rPr>
          <w:rStyle w:val="NormalTok"/>
        </w:rPr>
        <w:t xml:space="preserve"> merge(</w:t>
      </w:r>
      <w:r>
        <w:rPr>
          <w:rStyle w:val="VariableTok"/>
        </w:rPr>
        <w:t xml:space="preserve">self</w:t>
      </w:r>
      <w:r>
        <w:rPr>
          <w:rStyle w:val="NormalTok"/>
        </w:rPr>
        <w:t xml:space="preserve">.vc, msg_vc)        </w:t>
      </w:r>
      <w:r>
        <w:rPr>
          <w:rStyle w:val="CommentTok"/>
        </w:rPr>
        <w:t xml:space="preserve"># element-wise maximum, then increment</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._tick(name)</w:t>
      </w:r>
      <w:r>
        <w:br/>
      </w:r>
      <w:r>
        <w:br/>
      </w:r>
      <w:r>
        <w:br/>
      </w:r>
      <w:r>
        <w:rPr>
          <w:rStyle w:val="KeywordTok"/>
        </w:rPr>
        <w:t xml:space="preserve">class</w:t>
      </w:r>
      <w:r>
        <w:rPr>
          <w:rStyle w:val="NormalTok"/>
        </w:rPr>
        <w:t xml:space="preserve"> VersionedStore:</w:t>
      </w:r>
      <w:r>
        <w:br/>
      </w:r>
      <w:r>
        <w:rPr>
          <w:rStyle w:val="NormalTok"/>
        </w:rPr>
        <w:t xml:space="preserve">    </w:t>
      </w:r>
      <w:r>
        <w:rPr>
          <w:rStyle w:val="CommentTok"/>
        </w:rPr>
        <w:t xml:space="preserve">"""One key replicated with version vectors keyed by replica id. Concurrent</w:t>
      </w:r>
      <w:r>
        <w:br/>
      </w:r>
      <w:r>
        <w:rPr>
          <w:rStyle w:val="CommentTok"/>
        </w:rPr>
        <w:t xml:space="preserve">    writes are kept as siblings instead of being silently overwritten."""</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.siblings </w:t>
      </w:r>
      <w:r>
        <w:rPr>
          <w:rStyle w:val="OperatorTok"/>
        </w:rPr>
        <w:t xml:space="preserve">=</w:t>
      </w:r>
      <w:r>
        <w:rPr>
          <w:rStyle w:val="NormalTok"/>
        </w:rPr>
        <w:t xml:space="preserve"> []                      </w:t>
      </w:r>
      <w:r>
        <w:rPr>
          <w:rStyle w:val="CommentTok"/>
        </w:rPr>
        <w:t xml:space="preserve"># list of (version_vector, value)</w:t>
      </w:r>
      <w:r>
        <w:br/>
      </w:r>
      <w:r>
        <w:br/>
      </w:r>
      <w:r>
        <w:rPr>
          <w:rStyle w:val="NormalTok"/>
        </w:rPr>
        <w:t xml:space="preserve">    </w:t>
      </w:r>
      <w:r>
        <w:rPr>
          <w:rStyle w:val="KeywordTok"/>
        </w:rPr>
        <w:t xml:space="preserve">def</w:t>
      </w:r>
      <w:r>
        <w:rPr>
          <w:rStyle w:val="NormalTok"/>
        </w:rPr>
        <w:t xml:space="preserve"> get(</w:t>
      </w:r>
      <w:r>
        <w:rPr>
          <w:rStyle w:val="VariableTok"/>
        </w:rPr>
        <w:t xml:space="preserve">self</w:t>
      </w:r>
      <w:r>
        <w:rPr>
          <w:rStyle w:val="NormalTok"/>
        </w:rPr>
        <w:t xml:space="preserve">):</w:t>
      </w:r>
      <w:r>
        <w:br/>
      </w:r>
      <w:r>
        <w:rPr>
          <w:rStyle w:val="NormalTok"/>
        </w:rPr>
        <w:t xml:space="preserve">        context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vv, _ </w:t>
      </w:r>
      <w:r>
        <w:rPr>
          <w:rStyle w:val="KeywordTok"/>
        </w:rPr>
        <w:t xml:space="preserve">in</w:t>
      </w:r>
      <w:r>
        <w:rPr>
          <w:rStyle w:val="NormalTok"/>
        </w:rPr>
        <w:t xml:space="preserve"> </w:t>
      </w:r>
      <w:r>
        <w:rPr>
          <w:rStyle w:val="VariableTok"/>
        </w:rPr>
        <w:t xml:space="preserve">self</w:t>
      </w:r>
      <w:r>
        <w:rPr>
          <w:rStyle w:val="NormalTok"/>
        </w:rPr>
        <w:t xml:space="preserve">.siblings:</w:t>
      </w:r>
      <w:r>
        <w:br/>
      </w:r>
      <w:r>
        <w:rPr>
          <w:rStyle w:val="NormalTok"/>
        </w:rPr>
        <w:t xml:space="preserve">            context </w:t>
      </w:r>
      <w:r>
        <w:rPr>
          <w:rStyle w:val="OperatorTok"/>
        </w:rPr>
        <w:t xml:space="preserve">=</w:t>
      </w:r>
      <w:r>
        <w:rPr>
          <w:rStyle w:val="NormalTok"/>
        </w:rPr>
        <w:t xml:space="preserve"> merge(context, vv)</w:t>
      </w:r>
      <w:r>
        <w:br/>
      </w:r>
      <w:r>
        <w:rPr>
          <w:rStyle w:val="NormalTok"/>
        </w:rPr>
        <w:t xml:space="preserve">        </w:t>
      </w:r>
      <w:r>
        <w:rPr>
          <w:rStyle w:val="ControlFlowTok"/>
        </w:rPr>
        <w:t xml:space="preserve">return</w:t>
      </w:r>
      <w:r>
        <w:rPr>
          <w:rStyle w:val="NormalTok"/>
        </w:rPr>
        <w:t xml:space="preserve"> [val </w:t>
      </w:r>
      <w:r>
        <w:rPr>
          <w:rStyle w:val="ControlFlowTok"/>
        </w:rPr>
        <w:t xml:space="preserve">for</w:t>
      </w:r>
      <w:r>
        <w:rPr>
          <w:rStyle w:val="NormalTok"/>
        </w:rPr>
        <w:t xml:space="preserve"> _, val </w:t>
      </w:r>
      <w:r>
        <w:rPr>
          <w:rStyle w:val="KeywordTok"/>
        </w:rPr>
        <w:t xml:space="preserve">in</w:t>
      </w:r>
      <w:r>
        <w:rPr>
          <w:rStyle w:val="NormalTok"/>
        </w:rPr>
        <w:t xml:space="preserve"> </w:t>
      </w:r>
      <w:r>
        <w:rPr>
          <w:rStyle w:val="VariableTok"/>
        </w:rPr>
        <w:t xml:space="preserve">self</w:t>
      </w:r>
      <w:r>
        <w:rPr>
          <w:rStyle w:val="NormalTok"/>
        </w:rPr>
        <w:t xml:space="preserve">.siblings], context</w:t>
      </w:r>
      <w:r>
        <w:br/>
      </w:r>
      <w:r>
        <w:br/>
      </w:r>
      <w:r>
        <w:rPr>
          <w:rStyle w:val="NormalTok"/>
        </w:rPr>
        <w:t xml:space="preserve">    </w:t>
      </w:r>
      <w:r>
        <w:rPr>
          <w:rStyle w:val="KeywordTok"/>
        </w:rPr>
        <w:t xml:space="preserve">def</w:t>
      </w:r>
      <w:r>
        <w:rPr>
          <w:rStyle w:val="NormalTok"/>
        </w:rPr>
        <w:t xml:space="preserve"> put(</w:t>
      </w:r>
      <w:r>
        <w:rPr>
          <w:rStyle w:val="VariableTok"/>
        </w:rPr>
        <w:t xml:space="preserve">self</w:t>
      </w:r>
      <w:r>
        <w:rPr>
          <w:rStyle w:val="NormalTok"/>
        </w:rPr>
        <w:t xml:space="preserve">, replica, value, context):</w:t>
      </w:r>
      <w:r>
        <w:br/>
      </w:r>
      <w:r>
        <w:rPr>
          <w:rStyle w:val="NormalTok"/>
        </w:rPr>
        <w:t xml:space="preserve">        new_vv </w:t>
      </w:r>
      <w:r>
        <w:rPr>
          <w:rStyle w:val="OperatorTok"/>
        </w:rPr>
        <w:t xml:space="preserve">=</w:t>
      </w:r>
      <w:r>
        <w:rPr>
          <w:rStyle w:val="NormalTok"/>
        </w:rPr>
        <w:t xml:space="preserve"> </w:t>
      </w:r>
      <w:r>
        <w:rPr>
          <w:rStyle w:val="BuiltInTok"/>
        </w:rPr>
        <w:t xml:space="preserve">dict</w:t>
      </w:r>
      <w:r>
        <w:rPr>
          <w:rStyle w:val="NormalTok"/>
        </w:rPr>
        <w:t xml:space="preserve">(context)</w:t>
      </w:r>
      <w:r>
        <w:br/>
      </w:r>
      <w:r>
        <w:rPr>
          <w:rStyle w:val="NormalTok"/>
        </w:rPr>
        <w:t xml:space="preserve">        counter </w:t>
      </w:r>
      <w:r>
        <w:rPr>
          <w:rStyle w:val="OperatorTok"/>
        </w:rPr>
        <w:t xml:space="preserve">=</w:t>
      </w:r>
      <w:r>
        <w:rPr>
          <w:rStyle w:val="NormalTok"/>
        </w:rPr>
        <w:t xml:space="preserve"> </w:t>
      </w:r>
      <w:r>
        <w:rPr>
          <w:rStyle w:val="BuiltInTok"/>
        </w:rPr>
        <w:t xml:space="preserve">max</w:t>
      </w:r>
      <w:r>
        <w:rPr>
          <w:rStyle w:val="NormalTok"/>
        </w:rPr>
        <w:t xml:space="preserve">((vv.get(replica, </w:t>
      </w:r>
      <w:r>
        <w:rPr>
          <w:rStyle w:val="DecValTok"/>
        </w:rPr>
        <w:t xml:space="preserve">0</w:t>
      </w:r>
      <w:r>
        <w:rPr>
          <w:rStyle w:val="NormalTok"/>
        </w:rPr>
        <w:t xml:space="preserve">) </w:t>
      </w:r>
      <w:r>
        <w:rPr>
          <w:rStyle w:val="ControlFlowTok"/>
        </w:rPr>
        <w:t xml:space="preserve">for</w:t>
      </w:r>
      <w:r>
        <w:rPr>
          <w:rStyle w:val="NormalTok"/>
        </w:rPr>
        <w:t xml:space="preserve"> vv, _ </w:t>
      </w:r>
      <w:r>
        <w:rPr>
          <w:rStyle w:val="KeywordTok"/>
        </w:rPr>
        <w:t xml:space="preserve">in</w:t>
      </w:r>
      <w:r>
        <w:rPr>
          <w:rStyle w:val="NormalTok"/>
        </w:rPr>
        <w:t xml:space="preserve"> </w:t>
      </w:r>
      <w:r>
        <w:rPr>
          <w:rStyle w:val="VariableTok"/>
        </w:rPr>
        <w:t xml:space="preserve">self</w:t>
      </w:r>
      <w:r>
        <w:rPr>
          <w:rStyle w:val="NormalTok"/>
        </w:rPr>
        <w:t xml:space="preserve">.siblings), default</w:t>
      </w:r>
      <w:r>
        <w:rPr>
          <w:rStyle w:val="OperatorTok"/>
        </w:rPr>
        <w:t xml:space="preserve">=</w:t>
      </w:r>
      <w:r>
        <w:rPr>
          <w:rStyle w:val="DecValTok"/>
        </w:rPr>
        <w:t xml:space="preserve">0</w:t>
      </w:r>
      <w:r>
        <w:rPr>
          <w:rStyle w:val="NormalTok"/>
        </w:rPr>
        <w:t xml:space="preserve">)</w:t>
      </w:r>
      <w:r>
        <w:br/>
      </w:r>
      <w:r>
        <w:rPr>
          <w:rStyle w:val="NormalTok"/>
        </w:rPr>
        <w:t xml:space="preserve">        new_vv[replica] </w:t>
      </w:r>
      <w:r>
        <w:rPr>
          <w:rStyle w:val="OperatorTok"/>
        </w:rPr>
        <w:t xml:space="preserve">=</w:t>
      </w:r>
      <w:r>
        <w:rPr>
          <w:rStyle w:val="NormalTok"/>
        </w:rPr>
        <w:t xml:space="preserve"> counter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replica issues its next counter value</w:t>
      </w:r>
      <w:r>
        <w:br/>
      </w:r>
      <w:r>
        <w:rPr>
          <w:rStyle w:val="NormalTok"/>
        </w:rPr>
        <w:t xml:space="preserve">        </w:t>
      </w:r>
      <w:r>
        <w:rPr>
          <w:rStyle w:val="CommentTok"/>
        </w:rPr>
        <w:t xml:space="preserve"># Keep only siblings that the new write did not causally overwrite.</w:t>
      </w:r>
      <w:r>
        <w:br/>
      </w:r>
      <w:r>
        <w:rPr>
          <w:rStyle w:val="NormalTok"/>
        </w:rPr>
        <w:t xml:space="preserve">        </w:t>
      </w:r>
      <w:r>
        <w:rPr>
          <w:rStyle w:val="VariableTok"/>
        </w:rPr>
        <w:t xml:space="preserve">self</w:t>
      </w:r>
      <w:r>
        <w:rPr>
          <w:rStyle w:val="NormalTok"/>
        </w:rPr>
        <w:t xml:space="preserve">.siblings </w:t>
      </w:r>
      <w:r>
        <w:rPr>
          <w:rStyle w:val="OperatorTok"/>
        </w:rPr>
        <w:t xml:space="preserve">=</w:t>
      </w:r>
      <w:r>
        <w:rPr>
          <w:rStyle w:val="NormalTok"/>
        </w:rPr>
        <w:t xml:space="preserve"> [(vv, val) </w:t>
      </w:r>
      <w:r>
        <w:rPr>
          <w:rStyle w:val="ControlFlowTok"/>
        </w:rPr>
        <w:t xml:space="preserve">for</w:t>
      </w:r>
      <w:r>
        <w:rPr>
          <w:rStyle w:val="NormalTok"/>
        </w:rPr>
        <w:t xml:space="preserve"> vv, val </w:t>
      </w:r>
      <w:r>
        <w:rPr>
          <w:rStyle w:val="KeywordTok"/>
        </w:rPr>
        <w:t xml:space="preserve">in</w:t>
      </w:r>
      <w:r>
        <w:rPr>
          <w:rStyle w:val="NormalTok"/>
        </w:rPr>
        <w:t xml:space="preserve"> </w:t>
      </w:r>
      <w:r>
        <w:rPr>
          <w:rStyle w:val="VariableTok"/>
        </w:rPr>
        <w:t xml:space="preserve">self</w:t>
      </w:r>
      <w:r>
        <w:rPr>
          <w:rStyle w:val="NormalTok"/>
        </w:rPr>
        <w:t xml:space="preserve">.siblings</w:t>
      </w:r>
      <w:r>
        <w:br/>
      </w:r>
      <w:r>
        <w:rPr>
          <w:rStyle w:val="NormalTok"/>
        </w:rPr>
        <w:t xml:space="preserve">                         </w:t>
      </w:r>
      <w:r>
        <w:rPr>
          <w:rStyle w:val="ControlFlowTok"/>
        </w:rPr>
        <w:t xml:space="preserve">if</w:t>
      </w:r>
      <w:r>
        <w:rPr>
          <w:rStyle w:val="NormalTok"/>
        </w:rPr>
        <w:t xml:space="preserve"> compare(vv, new_vv) </w:t>
      </w:r>
      <w:r>
        <w:rPr>
          <w:rStyle w:val="OperatorTok"/>
        </w:rPr>
        <w:t xml:space="preserve">==</w:t>
      </w:r>
      <w:r>
        <w:rPr>
          <w:rStyle w:val="NormalTok"/>
        </w:rPr>
        <w:t xml:space="preserve"> </w:t>
      </w:r>
      <w:r>
        <w:rPr>
          <w:rStyle w:val="StringTok"/>
        </w:rPr>
        <w:t xml:space="preserve">"concurrent"</w:t>
      </w:r>
      <w:r>
        <w:rPr>
          <w:rStyle w:val="NormalTok"/>
        </w:rPr>
        <w:t xml:space="preserve">]</w:t>
      </w:r>
      <w:r>
        <w:br/>
      </w:r>
      <w:r>
        <w:rPr>
          <w:rStyle w:val="NormalTok"/>
        </w:rPr>
        <w:t xml:space="preserve">        </w:t>
      </w:r>
      <w:r>
        <w:rPr>
          <w:rStyle w:val="VariableTok"/>
        </w:rPr>
        <w:t xml:space="preserve">self</w:t>
      </w:r>
      <w:r>
        <w:rPr>
          <w:rStyle w:val="NormalTok"/>
        </w:rPr>
        <w:t xml:space="preserve">.siblings.append((new_vv, value))</w:t>
      </w:r>
      <w:r>
        <w:br/>
      </w:r>
      <w:r>
        <w:br/>
      </w:r>
      <w:r>
        <w:br/>
      </w:r>
      <w:r>
        <w:rPr>
          <w:rStyle w:val="KeywordTok"/>
        </w:rPr>
        <w:t xml:space="preserve">def</w:t>
      </w:r>
      <w:r>
        <w:rPr>
          <w:rStyle w:val="NormalTok"/>
        </w:rPr>
        <w:t xml:space="preserve"> fmt(v):</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.join(</w:t>
      </w:r>
      <w:r>
        <w:rPr>
          <w:rStyle w:val="BuiltInTok"/>
        </w:rPr>
        <w:t xml:space="preserve">str</w:t>
      </w:r>
      <w:r>
        <w:rPr>
          <w:rStyle w:val="NormalTok"/>
        </w:rPr>
        <w:t xml:space="preserve">(v.get(p, </w:t>
      </w:r>
      <w:r>
        <w:rPr>
          <w:rStyle w:val="DecValTok"/>
        </w:rPr>
        <w:t xml:space="preserve">0</w:t>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w:t>
      </w:r>
      <w:r>
        <w:rPr>
          <w:rStyle w:val="StringTok"/>
        </w:rPr>
        <w:t xml:space="preserve">"P1"</w:t>
      </w:r>
      <w:r>
        <w:rPr>
          <w:rStyle w:val="NormalTok"/>
        </w:rPr>
        <w:t xml:space="preserve">, </w:t>
      </w:r>
      <w:r>
        <w:rPr>
          <w:rStyle w:val="StringTok"/>
        </w:rPr>
        <w:t xml:space="preserve">"P2"</w:t>
      </w:r>
      <w:r>
        <w:rPr>
          <w:rStyle w:val="NormalTok"/>
        </w:rPr>
        <w:t xml:space="preserve">, </w:t>
      </w:r>
      <w:r>
        <w:rPr>
          <w:rStyle w:val="StringTok"/>
        </w:rPr>
        <w:t xml:space="preserve">"P3"</w:t>
      </w:r>
      <w:r>
        <w:rPr>
          <w:rStyle w:val="NormalTok"/>
        </w:rPr>
        <w:t xml:space="preserve">)) </w:t>
      </w:r>
      <w:r>
        <w:rPr>
          <w:rStyle w:val="OperatorTok"/>
        </w:rPr>
        <w:t xml:space="preserve">+</w:t>
      </w:r>
      <w:r>
        <w:rPr>
          <w:rStyle w:val="NormalTok"/>
        </w:rPr>
        <w:t xml:space="preserve"> </w:t>
      </w:r>
      <w:r>
        <w:rPr>
          <w:rStyle w:val="String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p1, p2, p3 </w:t>
      </w:r>
      <w:r>
        <w:rPr>
          <w:rStyle w:val="OperatorTok"/>
        </w:rPr>
        <w:t xml:space="preserve">=</w:t>
      </w:r>
      <w:r>
        <w:rPr>
          <w:rStyle w:val="NormalTok"/>
        </w:rPr>
        <w:t xml:space="preserve"> VCProcess(</w:t>
      </w:r>
      <w:r>
        <w:rPr>
          <w:rStyle w:val="StringTok"/>
        </w:rPr>
        <w:t xml:space="preserve">"P1"</w:t>
      </w:r>
      <w:r>
        <w:rPr>
          <w:rStyle w:val="NormalTok"/>
        </w:rPr>
        <w:t xml:space="preserve">), VCProcess(</w:t>
      </w:r>
      <w:r>
        <w:rPr>
          <w:rStyle w:val="StringTok"/>
        </w:rPr>
        <w:t xml:space="preserve">"P2"</w:t>
      </w:r>
      <w:r>
        <w:rPr>
          <w:rStyle w:val="NormalTok"/>
        </w:rPr>
        <w:t xml:space="preserve">), VCProcess(</w:t>
      </w:r>
      <w:r>
        <w:rPr>
          <w:rStyle w:val="StringTok"/>
        </w:rPr>
        <w:t xml:space="preserve">"P3"</w:t>
      </w:r>
      <w:r>
        <w:rPr>
          <w:rStyle w:val="NormalTok"/>
        </w:rPr>
        <w:t xml:space="preserve">)</w:t>
      </w:r>
      <w:r>
        <w:br/>
      </w:r>
      <w:r>
        <w:rPr>
          <w:rStyle w:val="NormalTok"/>
        </w:rPr>
        <w:t xml:space="preserve">    p1.local(</w:t>
      </w:r>
      <w:r>
        <w:rPr>
          <w:rStyle w:val="StringTok"/>
        </w:rPr>
        <w:t xml:space="preserve">"a"</w:t>
      </w:r>
      <w:r>
        <w:rPr>
          <w:rStyle w:val="NormalTok"/>
        </w:rPr>
        <w:t xml:space="preserve">)</w:t>
      </w:r>
      <w:r>
        <w:rPr>
          <w:rStyle w:val="OperatorTok"/>
        </w:rPr>
        <w:t xml:space="preserve">;</w:t>
      </w:r>
      <w:r>
        <w:rPr>
          <w:rStyle w:val="NormalTok"/>
        </w:rPr>
        <w:t xml:space="preserve"> m1 </w:t>
      </w:r>
      <w:r>
        <w:rPr>
          <w:rStyle w:val="OperatorTok"/>
        </w:rPr>
        <w:t xml:space="preserve">=</w:t>
      </w:r>
      <w:r>
        <w:rPr>
          <w:rStyle w:val="NormalTok"/>
        </w:rPr>
        <w:t xml:space="preserve"> p1.send(</w:t>
      </w:r>
      <w:r>
        <w:rPr>
          <w:rStyle w:val="StringTok"/>
        </w:rPr>
        <w:t xml:space="preserve">"b"</w:t>
      </w:r>
      <w:r>
        <w:rPr>
          <w:rStyle w:val="NormalTok"/>
        </w:rPr>
        <w:t xml:space="preserve">)</w:t>
      </w:r>
      <w:r>
        <w:br/>
      </w:r>
      <w:r>
        <w:rPr>
          <w:rStyle w:val="NormalTok"/>
        </w:rPr>
        <w:t xml:space="preserve">    p2.local(</w:t>
      </w:r>
      <w:r>
        <w:rPr>
          <w:rStyle w:val="StringTok"/>
        </w:rPr>
        <w:t xml:space="preserve">"c"</w:t>
      </w:r>
      <w:r>
        <w:rPr>
          <w:rStyle w:val="NormalTok"/>
        </w:rPr>
        <w:t xml:space="preserve">)</w:t>
      </w:r>
      <w:r>
        <w:rPr>
          <w:rStyle w:val="OperatorTok"/>
        </w:rPr>
        <w:t xml:space="preserve">;</w:t>
      </w:r>
      <w:r>
        <w:rPr>
          <w:rStyle w:val="NormalTok"/>
        </w:rPr>
        <w:t xml:space="preserve"> p2.receive(</w:t>
      </w:r>
      <w:r>
        <w:rPr>
          <w:rStyle w:val="StringTok"/>
        </w:rPr>
        <w:t xml:space="preserve">"d"</w:t>
      </w:r>
      <w:r>
        <w:rPr>
          <w:rStyle w:val="NormalTok"/>
        </w:rPr>
        <w:t xml:space="preserve">, m1)</w:t>
      </w:r>
      <w:r>
        <w:rPr>
          <w:rStyle w:val="OperatorTok"/>
        </w:rPr>
        <w:t xml:space="preserve">;</w:t>
      </w:r>
      <w:r>
        <w:rPr>
          <w:rStyle w:val="NormalTok"/>
        </w:rPr>
        <w:t xml:space="preserve"> m2 </w:t>
      </w:r>
      <w:r>
        <w:rPr>
          <w:rStyle w:val="OperatorTok"/>
        </w:rPr>
        <w:t xml:space="preserve">=</w:t>
      </w:r>
      <w:r>
        <w:rPr>
          <w:rStyle w:val="NormalTok"/>
        </w:rPr>
        <w:t xml:space="preserve"> p2.send(</w:t>
      </w:r>
      <w:r>
        <w:rPr>
          <w:rStyle w:val="StringTok"/>
        </w:rPr>
        <w:t xml:space="preserve">"e"</w:t>
      </w:r>
      <w:r>
        <w:rPr>
          <w:rStyle w:val="NormalTok"/>
        </w:rPr>
        <w:t xml:space="preserve">)</w:t>
      </w:r>
      <w:r>
        <w:br/>
      </w:r>
      <w:r>
        <w:rPr>
          <w:rStyle w:val="NormalTok"/>
        </w:rPr>
        <w:t xml:space="preserve">    p3.local(</w:t>
      </w:r>
      <w:r>
        <w:rPr>
          <w:rStyle w:val="StringTok"/>
        </w:rPr>
        <w:t xml:space="preserve">"f"</w:t>
      </w:r>
      <w:r>
        <w:rPr>
          <w:rStyle w:val="NormalTok"/>
        </w:rPr>
        <w:t xml:space="preserve">)</w:t>
      </w:r>
      <w:r>
        <w:rPr>
          <w:rStyle w:val="OperatorTok"/>
        </w:rPr>
        <w:t xml:space="preserve">;</w:t>
      </w:r>
      <w:r>
        <w:rPr>
          <w:rStyle w:val="NormalTok"/>
        </w:rPr>
        <w:t xml:space="preserve"> p3.receive(</w:t>
      </w:r>
      <w:r>
        <w:rPr>
          <w:rStyle w:val="StringTok"/>
        </w:rPr>
        <w:t xml:space="preserve">"g"</w:t>
      </w:r>
      <w:r>
        <w:rPr>
          <w:rStyle w:val="NormalTok"/>
        </w:rPr>
        <w:t xml:space="preserve">, m2)</w:t>
      </w:r>
      <w:r>
        <w:rPr>
          <w:rStyle w:val="OperatorTok"/>
        </w:rPr>
        <w:t xml:space="preserve">;</w:t>
      </w:r>
      <w:r>
        <w:rPr>
          <w:rStyle w:val="NormalTok"/>
        </w:rPr>
        <w:t xml:space="preserve"> m3 </w:t>
      </w:r>
      <w:r>
        <w:rPr>
          <w:rStyle w:val="OperatorTok"/>
        </w:rPr>
        <w:t xml:space="preserve">=</w:t>
      </w:r>
      <w:r>
        <w:rPr>
          <w:rStyle w:val="NormalTok"/>
        </w:rPr>
        <w:t xml:space="preserve"> p3.send(</w:t>
      </w:r>
      <w:r>
        <w:rPr>
          <w:rStyle w:val="StringTok"/>
        </w:rPr>
        <w:t xml:space="preserve">"h"</w:t>
      </w:r>
      <w:r>
        <w:rPr>
          <w:rStyle w:val="NormalTok"/>
        </w:rPr>
        <w:t xml:space="preserve">)</w:t>
      </w:r>
      <w:r>
        <w:br/>
      </w:r>
      <w:r>
        <w:rPr>
          <w:rStyle w:val="NormalTok"/>
        </w:rPr>
        <w:t xml:space="preserve">    p1.receive(</w:t>
      </w:r>
      <w:r>
        <w:rPr>
          <w:rStyle w:val="StringTok"/>
        </w:rPr>
        <w:t xml:space="preserve">"i"</w:t>
      </w:r>
      <w:r>
        <w:rPr>
          <w:rStyle w:val="NormalTok"/>
        </w:rPr>
        <w:t xml:space="preserve">, m3)</w:t>
      </w:r>
      <w:r>
        <w:br/>
      </w:r>
      <w:r>
        <w:rPr>
          <w:rStyle w:val="NormalTok"/>
        </w:rPr>
        <w:t xml:space="preserve">    ev </w:t>
      </w:r>
      <w:r>
        <w:rPr>
          <w:rStyle w:val="OperatorTok"/>
        </w:rPr>
        <w:t xml:space="preserve">=</w:t>
      </w:r>
      <w:r>
        <w:rPr>
          <w:rStyle w:val="NormalTok"/>
        </w:rPr>
        <w:t xml:space="preserve"> {</w:t>
      </w:r>
      <w:r>
        <w:rPr>
          <w:rStyle w:val="OperatorTok"/>
        </w:rPr>
        <w:t xml:space="preserve">**</w:t>
      </w:r>
      <w:r>
        <w:rPr>
          <w:rStyle w:val="NormalTok"/>
        </w:rPr>
        <w:t xml:space="preserve">p1.events, </w:t>
      </w:r>
      <w:r>
        <w:rPr>
          <w:rStyle w:val="OperatorTok"/>
        </w:rPr>
        <w:t xml:space="preserve">**</w:t>
      </w:r>
      <w:r>
        <w:rPr>
          <w:rStyle w:val="NormalTok"/>
        </w:rPr>
        <w:t xml:space="preserve">p2.events, </w:t>
      </w:r>
      <w:r>
        <w:rPr>
          <w:rStyle w:val="OperatorTok"/>
        </w:rPr>
        <w:t xml:space="preserve">**</w:t>
      </w:r>
      <w:r>
        <w:rPr>
          <w:rStyle w:val="NormalTok"/>
        </w:rPr>
        <w:t xml:space="preserve">p3.events}</w:t>
      </w:r>
      <w:r>
        <w:br/>
      </w:r>
      <w:r>
        <w:rPr>
          <w:rStyle w:val="NormalTok"/>
        </w:rPr>
        <w:t xml:space="preserve">    </w:t>
      </w:r>
      <w:r>
        <w:rPr>
          <w:rStyle w:val="ControlFlowTok"/>
        </w:rPr>
        <w:t xml:space="preserve">for</w:t>
      </w:r>
      <w:r>
        <w:rPr>
          <w:rStyle w:val="NormalTok"/>
        </w:rPr>
        <w:t xml:space="preserve"> name </w:t>
      </w:r>
      <w:r>
        <w:rPr>
          <w:rStyle w:val="KeywordTok"/>
        </w:rPr>
        <w:t xml:space="preserve">in</w:t>
      </w:r>
      <w:r>
        <w:rPr>
          <w:rStyle w:val="NormalTok"/>
        </w:rPr>
        <w:t xml:space="preserve"> </w:t>
      </w:r>
      <w:r>
        <w:rPr>
          <w:rStyle w:val="StringTok"/>
        </w:rPr>
        <w:t xml:space="preserve">"abcdefghi"</w:t>
      </w:r>
      <w:r>
        <w:rPr>
          <w:rStyle w:val="NormalTok"/>
        </w:rPr>
        <w:t xml:space="preserve">:</w:t>
      </w:r>
      <w:r>
        <w:br/>
      </w:r>
      <w:r>
        <w:rPr>
          <w:rStyle w:val="NormalTok"/>
        </w:rPr>
        <w:t xml:space="preserve">        </w:t>
      </w:r>
      <w:r>
        <w:rPr>
          <w:rStyle w:val="BuiltInTok"/>
        </w:rPr>
        <w:t xml:space="preserve">print</w:t>
      </w:r>
      <w:r>
        <w:rPr>
          <w:rStyle w:val="NormalTok"/>
        </w:rPr>
        <w:t xml:space="preserve">(name, fmt(ev[name]))</w:t>
      </w:r>
      <w:r>
        <w:br/>
      </w:r>
      <w:r>
        <w:rPr>
          <w:rStyle w:val="NormalTok"/>
        </w:rPr>
        <w:t xml:space="preserve">    </w:t>
      </w:r>
      <w:r>
        <w:rPr>
          <w:rStyle w:val="ControlFlowTok"/>
        </w:rPr>
        <w:t xml:space="preserve">for</w:t>
      </w:r>
      <w:r>
        <w:rPr>
          <w:rStyle w:val="NormalTok"/>
        </w:rPr>
        <w:t xml:space="preserve"> x, y </w:t>
      </w:r>
      <w:r>
        <w:rPr>
          <w:rStyle w:val="KeywordTok"/>
        </w:rPr>
        <w:t xml:space="preserve">in</w:t>
      </w:r>
      <w:r>
        <w:rPr>
          <w:rStyle w:val="NormalTok"/>
        </w:rPr>
        <w:t xml:space="preserve"> [(</w:t>
      </w:r>
      <w:r>
        <w:rPr>
          <w:rStyle w:val="StringTok"/>
        </w:rPr>
        <w:t xml:space="preserve">"b"</w:t>
      </w:r>
      <w:r>
        <w:rPr>
          <w:rStyle w:val="NormalTok"/>
        </w:rPr>
        <w:t xml:space="preserve">, </w:t>
      </w:r>
      <w:r>
        <w:rPr>
          <w:rStyle w:val="StringTok"/>
        </w:rPr>
        <w:t xml:space="preserve">"g"</w:t>
      </w:r>
      <w:r>
        <w:rPr>
          <w:rStyle w:val="NormalTok"/>
        </w:rPr>
        <w:t xml:space="preserve">), (</w:t>
      </w:r>
      <w:r>
        <w:rPr>
          <w:rStyle w:val="StringTok"/>
        </w:rPr>
        <w:t xml:space="preserve">"c"</w:t>
      </w:r>
      <w:r>
        <w:rPr>
          <w:rStyle w:val="NormalTok"/>
        </w:rPr>
        <w:t xml:space="preserve">, </w:t>
      </w:r>
      <w:r>
        <w:rPr>
          <w:rStyle w:val="StringTok"/>
        </w:rPr>
        <w:t xml:space="preserve">"b"</w:t>
      </w:r>
      <w:r>
        <w:rPr>
          <w:rStyle w:val="NormalTok"/>
        </w:rPr>
        <w:t xml:space="preserve">), (</w:t>
      </w:r>
      <w:r>
        <w:rPr>
          <w:rStyle w:val="StringTok"/>
        </w:rPr>
        <w:t xml:space="preserve">"f"</w:t>
      </w:r>
      <w:r>
        <w:rPr>
          <w:rStyle w:val="NormalTok"/>
        </w:rPr>
        <w:t xml:space="preserve">, </w:t>
      </w:r>
      <w:r>
        <w:rPr>
          <w:rStyle w:val="StringTok"/>
        </w:rPr>
        <w:t xml:space="preserve">"e"</w:t>
      </w:r>
      <w:r>
        <w:rPr>
          <w:rStyle w:val="NormalTok"/>
        </w:rPr>
        <w:t xml:space="preserve">), (</w:t>
      </w:r>
      <w:r>
        <w:rPr>
          <w:rStyle w:val="StringTok"/>
        </w:rPr>
        <w:t xml:space="preserve">"a"</w:t>
      </w:r>
      <w:r>
        <w:rPr>
          <w:rStyle w:val="NormalTok"/>
        </w:rPr>
        <w:t xml:space="preserve">, </w:t>
      </w:r>
      <w:r>
        <w:rPr>
          <w:rStyle w:val="StringTok"/>
        </w:rPr>
        <w:t xml:space="preserve">"i"</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x</w:t>
      </w:r>
      <w:r>
        <w:rPr>
          <w:rStyle w:val="SpecialCharTok"/>
        </w:rPr>
        <w:t xml:space="preserve">}</w:t>
      </w:r>
      <w:r>
        <w:rPr>
          <w:rStyle w:val="SpecialStringTok"/>
        </w:rPr>
        <w:t xml:space="preserve"> vs </w:t>
      </w:r>
      <w:r>
        <w:rPr>
          <w:rStyle w:val="SpecialCharTok"/>
        </w:rPr>
        <w:t xml:space="preserve">{</w:t>
      </w:r>
      <w:r>
        <w:rPr>
          <w:rStyle w:val="NormalTok"/>
        </w:rPr>
        <w:t xml:space="preserve">y</w:t>
      </w:r>
      <w:r>
        <w:rPr>
          <w:rStyle w:val="SpecialCharTok"/>
        </w:rPr>
        <w:t xml:space="preserve">}</w:t>
      </w:r>
      <w:r>
        <w:rPr>
          <w:rStyle w:val="SpecialStringTok"/>
        </w:rPr>
        <w:t xml:space="preserve">: </w:t>
      </w:r>
      <w:r>
        <w:rPr>
          <w:rStyle w:val="SpecialCharTok"/>
        </w:rPr>
        <w:t xml:space="preserve">{</w:t>
      </w:r>
      <w:r>
        <w:rPr>
          <w:rStyle w:val="NormalTok"/>
        </w:rPr>
        <w:t xml:space="preserve">compare(ev[x], ev[y])</w:t>
      </w:r>
      <w:r>
        <w:rPr>
          <w:rStyle w:val="SpecialCharTok"/>
        </w:rPr>
        <w:t xml:space="preserve">}</w:t>
      </w:r>
      <w:r>
        <w:rPr>
          <w:rStyle w:val="SpecialStringTok"/>
        </w:rPr>
        <w:t xml:space="preserve">"</w:t>
      </w:r>
      <w:r>
        <w:rPr>
          <w:rStyle w:val="NormalTok"/>
        </w:rPr>
        <w:t xml:space="preserve">)</w:t>
      </w:r>
      <w:r>
        <w:br/>
      </w:r>
      <w:r>
        <w:br/>
      </w:r>
      <w:r>
        <w:rPr>
          <w:rStyle w:val="NormalTok"/>
        </w:rPr>
        <w:t xml:space="preserve">    store </w:t>
      </w:r>
      <w:r>
        <w:rPr>
          <w:rStyle w:val="OperatorTok"/>
        </w:rPr>
        <w:t xml:space="preserve">=</w:t>
      </w:r>
      <w:r>
        <w:rPr>
          <w:rStyle w:val="NormalTok"/>
        </w:rPr>
        <w:t xml:space="preserve"> VersionedStore()</w:t>
      </w:r>
      <w:r>
        <w:br/>
      </w:r>
      <w:r>
        <w:rPr>
          <w:rStyle w:val="NormalTok"/>
        </w:rPr>
        <w:t xml:space="preserve">    store.put(</w:t>
      </w:r>
      <w:r>
        <w:rPr>
          <w:rStyle w:val="StringTok"/>
        </w:rPr>
        <w:t xml:space="preserve">"R1"</w:t>
      </w:r>
      <w:r>
        <w:rPr>
          <w:rStyle w:val="NormalTok"/>
        </w:rPr>
        <w:t xml:space="preserve">, </w:t>
      </w:r>
      <w:r>
        <w:rPr>
          <w:rStyle w:val="StringTok"/>
        </w:rPr>
        <w:t xml:space="preserve">"cart=[book]"</w:t>
      </w:r>
      <w:r>
        <w:rPr>
          <w:rStyle w:val="NormalTok"/>
        </w:rPr>
        <w:t xml:space="preserve">, {})</w:t>
      </w:r>
      <w:r>
        <w:br/>
      </w:r>
      <w:r>
        <w:rPr>
          <w:rStyle w:val="NormalTok"/>
        </w:rPr>
        <w:t xml:space="preserve">    _, ctx </w:t>
      </w:r>
      <w:r>
        <w:rPr>
          <w:rStyle w:val="OperatorTok"/>
        </w:rPr>
        <w:t xml:space="preserve">=</w:t>
      </w:r>
      <w:r>
        <w:rPr>
          <w:rStyle w:val="NormalTok"/>
        </w:rPr>
        <w:t xml:space="preserve"> store.get()                           </w:t>
      </w:r>
      <w:r>
        <w:rPr>
          <w:rStyle w:val="CommentTok"/>
        </w:rPr>
        <w:t xml:space="preserve"># both clients read the same version</w:t>
      </w:r>
      <w:r>
        <w:br/>
      </w:r>
      <w:r>
        <w:rPr>
          <w:rStyle w:val="NormalTok"/>
        </w:rPr>
        <w:t xml:space="preserve">    store.put(</w:t>
      </w:r>
      <w:r>
        <w:rPr>
          <w:rStyle w:val="StringTok"/>
        </w:rPr>
        <w:t xml:space="preserve">"R1"</w:t>
      </w:r>
      <w:r>
        <w:rPr>
          <w:rStyle w:val="NormalTok"/>
        </w:rPr>
        <w:t xml:space="preserve">, </w:t>
      </w:r>
      <w:r>
        <w:rPr>
          <w:rStyle w:val="StringTok"/>
        </w:rPr>
        <w:t xml:space="preserve">"cart=[book, pen]"</w:t>
      </w:r>
      <w:r>
        <w:rPr>
          <w:rStyle w:val="NormalTok"/>
        </w:rPr>
        <w:t xml:space="preserve">, ctx)       </w:t>
      </w:r>
      <w:r>
        <w:rPr>
          <w:rStyle w:val="CommentTok"/>
        </w:rPr>
        <w:t xml:space="preserve"># client 1 writes via replica R1</w:t>
      </w:r>
      <w:r>
        <w:br/>
      </w:r>
      <w:r>
        <w:rPr>
          <w:rStyle w:val="NormalTok"/>
        </w:rPr>
        <w:t xml:space="preserve">    store.put(</w:t>
      </w:r>
      <w:r>
        <w:rPr>
          <w:rStyle w:val="StringTok"/>
        </w:rPr>
        <w:t xml:space="preserve">"R2"</w:t>
      </w:r>
      <w:r>
        <w:rPr>
          <w:rStyle w:val="NormalTok"/>
        </w:rPr>
        <w:t xml:space="preserve">, </w:t>
      </w:r>
      <w:r>
        <w:rPr>
          <w:rStyle w:val="StringTok"/>
        </w:rPr>
        <w:t xml:space="preserve">"cart=[book, lamp]"</w:t>
      </w:r>
      <w:r>
        <w:rPr>
          <w:rStyle w:val="NormalTok"/>
        </w:rPr>
        <w:t xml:space="preserve">, ctx)      </w:t>
      </w:r>
      <w:r>
        <w:rPr>
          <w:rStyle w:val="CommentTok"/>
        </w:rPr>
        <w:t xml:space="preserve"># client 2 writes via R2 concurrently</w:t>
      </w:r>
      <w:r>
        <w:br/>
      </w:r>
      <w:r>
        <w:rPr>
          <w:rStyle w:val="NormalTok"/>
        </w:rPr>
        <w:t xml:space="preserve">    values, ctx </w:t>
      </w:r>
      <w:r>
        <w:rPr>
          <w:rStyle w:val="OperatorTok"/>
        </w:rPr>
        <w:t xml:space="preserve">=</w:t>
      </w:r>
      <w:r>
        <w:rPr>
          <w:rStyle w:val="NormalTok"/>
        </w:rPr>
        <w:t xml:space="preserve"> store.get()</w:t>
      </w:r>
      <w:r>
        <w:br/>
      </w:r>
      <w:r>
        <w:rPr>
          <w:rStyle w:val="NormalTok"/>
        </w:rPr>
        <w:t xml:space="preserve">    </w:t>
      </w:r>
      <w:r>
        <w:rPr>
          <w:rStyle w:val="BuiltInTok"/>
        </w:rPr>
        <w:t xml:space="preserve">print</w:t>
      </w:r>
      <w:r>
        <w:rPr>
          <w:rStyle w:val="NormalTok"/>
        </w:rPr>
        <w:t xml:space="preserve">(</w:t>
      </w:r>
      <w:r>
        <w:rPr>
          <w:rStyle w:val="StringTok"/>
        </w:rPr>
        <w:t xml:space="preserve">"siblings:"</w:t>
      </w:r>
      <w:r>
        <w:rPr>
          <w:rStyle w:val="NormalTok"/>
        </w:rPr>
        <w:t xml:space="preserve">, values, </w:t>
      </w:r>
      <w:r>
        <w:rPr>
          <w:rStyle w:val="StringTok"/>
        </w:rPr>
        <w:t xml:space="preserve">"context:"</w:t>
      </w:r>
      <w:r>
        <w:rPr>
          <w:rStyle w:val="NormalTok"/>
        </w:rPr>
        <w:t xml:space="preserve">, ctx)</w:t>
      </w:r>
      <w:r>
        <w:br/>
      </w:r>
      <w:r>
        <w:rPr>
          <w:rStyle w:val="NormalTok"/>
        </w:rPr>
        <w:t xml:space="preserve">    store.put(</w:t>
      </w:r>
      <w:r>
        <w:rPr>
          <w:rStyle w:val="StringTok"/>
        </w:rPr>
        <w:t xml:space="preserve">"R1"</w:t>
      </w:r>
      <w:r>
        <w:rPr>
          <w:rStyle w:val="NormalTok"/>
        </w:rPr>
        <w:t xml:space="preserve">, </w:t>
      </w:r>
      <w:r>
        <w:rPr>
          <w:rStyle w:val="StringTok"/>
        </w:rPr>
        <w:t xml:space="preserve">"cart=[book, pen, lamp]"</w:t>
      </w:r>
      <w:r>
        <w:rPr>
          <w:rStyle w:val="NormalTok"/>
        </w:rPr>
        <w:t xml:space="preserve">, ctx) </w:t>
      </w:r>
      <w:r>
        <w:rPr>
          <w:rStyle w:val="CommentTok"/>
        </w:rPr>
        <w:t xml:space="preserve"># client merges and writes back</w:t>
      </w:r>
      <w:r>
        <w:br/>
      </w:r>
      <w:r>
        <w:rPr>
          <w:rStyle w:val="NormalTok"/>
        </w:rPr>
        <w:t xml:space="preserve">    </w:t>
      </w:r>
      <w:r>
        <w:rPr>
          <w:rStyle w:val="BuiltInTok"/>
        </w:rPr>
        <w:t xml:space="preserve">print</w:t>
      </w:r>
      <w:r>
        <w:rPr>
          <w:rStyle w:val="NormalTok"/>
        </w:rPr>
        <w:t xml:space="preserve">(</w:t>
      </w:r>
      <w:r>
        <w:rPr>
          <w:rStyle w:val="StringTok"/>
        </w:rPr>
        <w:t xml:space="preserve">"after merge:"</w:t>
      </w:r>
      <w:r>
        <w:rPr>
          <w:rStyle w:val="NormalTok"/>
        </w:rPr>
        <w:t xml:space="preserve">, store.get())</w:t>
      </w:r>
      <w:r>
        <w:br/>
      </w:r>
      <w:r>
        <w:br/>
      </w:r>
      <w:r>
        <w:rPr>
          <w:rStyle w:val="NormalTok"/>
        </w:rPr>
        <w:t xml:space="preserve">    </w:t>
      </w:r>
      <w:r>
        <w:rPr>
          <w:rStyle w:val="CommentTok"/>
        </w:rPr>
        <w:t xml:space="preserve"># Pitfall: two clients write concurrently through the SAME replica.</w:t>
      </w:r>
      <w:r>
        <w:br/>
      </w:r>
      <w:r>
        <w:rPr>
          <w:rStyle w:val="NormalTok"/>
        </w:rPr>
        <w:t xml:space="preserve">    store </w:t>
      </w:r>
      <w:r>
        <w:rPr>
          <w:rStyle w:val="OperatorTok"/>
        </w:rPr>
        <w:t xml:space="preserve">=</w:t>
      </w:r>
      <w:r>
        <w:rPr>
          <w:rStyle w:val="NormalTok"/>
        </w:rPr>
        <w:t xml:space="preserve"> VersionedStore()</w:t>
      </w:r>
      <w:r>
        <w:br/>
      </w:r>
      <w:r>
        <w:rPr>
          <w:rStyle w:val="NormalTok"/>
        </w:rPr>
        <w:t xml:space="preserve">    store.put(</w:t>
      </w:r>
      <w:r>
        <w:rPr>
          <w:rStyle w:val="StringTok"/>
        </w:rPr>
        <w:t xml:space="preserve">"R1"</w:t>
      </w:r>
      <w:r>
        <w:rPr>
          <w:rStyle w:val="NormalTok"/>
        </w:rPr>
        <w:t xml:space="preserve">, </w:t>
      </w:r>
      <w:r>
        <w:rPr>
          <w:rStyle w:val="StringTok"/>
        </w:rPr>
        <w:t xml:space="preserve">"v0"</w:t>
      </w:r>
      <w:r>
        <w:rPr>
          <w:rStyle w:val="NormalTok"/>
        </w:rPr>
        <w:t xml:space="preserve">, {})</w:t>
      </w:r>
      <w:r>
        <w:br/>
      </w:r>
      <w:r>
        <w:rPr>
          <w:rStyle w:val="NormalTok"/>
        </w:rPr>
        <w:t xml:space="preserve">    _, ctx </w:t>
      </w:r>
      <w:r>
        <w:rPr>
          <w:rStyle w:val="OperatorTok"/>
        </w:rPr>
        <w:t xml:space="preserve">=</w:t>
      </w:r>
      <w:r>
        <w:rPr>
          <w:rStyle w:val="NormalTok"/>
        </w:rPr>
        <w:t xml:space="preserve"> store.get()</w:t>
      </w:r>
      <w:r>
        <w:br/>
      </w:r>
      <w:r>
        <w:rPr>
          <w:rStyle w:val="NormalTok"/>
        </w:rPr>
        <w:t xml:space="preserve">    store.put(</w:t>
      </w:r>
      <w:r>
        <w:rPr>
          <w:rStyle w:val="StringTok"/>
        </w:rPr>
        <w:t xml:space="preserve">"R1"</w:t>
      </w:r>
      <w:r>
        <w:rPr>
          <w:rStyle w:val="NormalTok"/>
        </w:rPr>
        <w:t xml:space="preserve">, </w:t>
      </w:r>
      <w:r>
        <w:rPr>
          <w:rStyle w:val="StringTok"/>
        </w:rPr>
        <w:t xml:space="preserve">"from client X"</w:t>
      </w:r>
      <w:r>
        <w:rPr>
          <w:rStyle w:val="NormalTok"/>
        </w:rPr>
        <w:t xml:space="preserve">, ctx)          </w:t>
      </w:r>
      <w:r>
        <w:rPr>
          <w:rStyle w:val="CommentTok"/>
        </w:rPr>
        <w:t xml:space="preserve"># gets {R1: 2}</w:t>
      </w:r>
      <w:r>
        <w:br/>
      </w:r>
      <w:r>
        <w:rPr>
          <w:rStyle w:val="NormalTok"/>
        </w:rPr>
        <w:t xml:space="preserve">    store.put(</w:t>
      </w:r>
      <w:r>
        <w:rPr>
          <w:rStyle w:val="StringTok"/>
        </w:rPr>
        <w:t xml:space="preserve">"R1"</w:t>
      </w:r>
      <w:r>
        <w:rPr>
          <w:rStyle w:val="NormalTok"/>
        </w:rPr>
        <w:t xml:space="preserve">, </w:t>
      </w:r>
      <w:r>
        <w:rPr>
          <w:rStyle w:val="StringTok"/>
        </w:rPr>
        <w:t xml:space="preserve">"from client Y"</w:t>
      </w:r>
      <w:r>
        <w:rPr>
          <w:rStyle w:val="NormalTok"/>
        </w:rPr>
        <w:t xml:space="preserve">, ctx)          </w:t>
      </w:r>
      <w:r>
        <w:rPr>
          <w:rStyle w:val="CommentTok"/>
        </w:rPr>
        <w:t xml:space="preserve"># gets {R1: 3}, which dominates {R1: 2}</w:t>
      </w:r>
      <w:r>
        <w:br/>
      </w:r>
      <w:r>
        <w:rPr>
          <w:rStyle w:val="NormalTok"/>
        </w:rPr>
        <w:t xml:space="preserve">    </w:t>
      </w:r>
      <w:r>
        <w:rPr>
          <w:rStyle w:val="BuiltInTok"/>
        </w:rPr>
        <w:t xml:space="preserve">print</w:t>
      </w:r>
      <w:r>
        <w:rPr>
          <w:rStyle w:val="NormalTok"/>
        </w:rPr>
        <w:t xml:space="preserve">(</w:t>
      </w:r>
      <w:r>
        <w:rPr>
          <w:rStyle w:val="StringTok"/>
        </w:rPr>
        <w:t xml:space="preserve">"same-replica concurrent writes:"</w:t>
      </w:r>
      <w:r>
        <w:rPr>
          <w:rStyle w:val="NormalTok"/>
        </w:rPr>
        <w:t xml:space="preserve">, store.get()[</w:t>
      </w:r>
      <w:r>
        <w:rPr>
          <w:rStyle w:val="DecValTok"/>
        </w:rPr>
        <w:t xml:space="preserve">0</w:t>
      </w:r>
      <w:r>
        <w:rPr>
          <w:rStyle w:val="NormalTok"/>
        </w:rPr>
        <w:t xml:space="preserve">])</w:t>
      </w:r>
    </w:p>
    <w:p>
      <w:pPr>
        <w:pStyle w:val="FirstParagraph"/>
      </w:pPr>
      <w:r>
        <w:t xml:space="preserve">Output:</w:t>
      </w:r>
    </w:p>
    <w:p>
      <w:pPr>
        <w:pStyle w:val="SourceCode"/>
      </w:pPr>
      <w:r>
        <w:rPr>
          <w:rStyle w:val="VerbatimChar"/>
        </w:rPr>
        <w:t xml:space="preserve">a [1,0,0]</w:t>
      </w:r>
      <w:r>
        <w:br/>
      </w:r>
      <w:r>
        <w:rPr>
          <w:rStyle w:val="VerbatimChar"/>
        </w:rPr>
        <w:t xml:space="preserve">b [2,0,0]</w:t>
      </w:r>
      <w:r>
        <w:br/>
      </w:r>
      <w:r>
        <w:rPr>
          <w:rStyle w:val="VerbatimChar"/>
        </w:rPr>
        <w:t xml:space="preserve">c [0,1,0]</w:t>
      </w:r>
      <w:r>
        <w:br/>
      </w:r>
      <w:r>
        <w:rPr>
          <w:rStyle w:val="VerbatimChar"/>
        </w:rPr>
        <w:t xml:space="preserve">d [2,2,0]</w:t>
      </w:r>
      <w:r>
        <w:br/>
      </w:r>
      <w:r>
        <w:rPr>
          <w:rStyle w:val="VerbatimChar"/>
        </w:rPr>
        <w:t xml:space="preserve">e [2,3,0]</w:t>
      </w:r>
      <w:r>
        <w:br/>
      </w:r>
      <w:r>
        <w:rPr>
          <w:rStyle w:val="VerbatimChar"/>
        </w:rPr>
        <w:t xml:space="preserve">f [0,0,1]</w:t>
      </w:r>
      <w:r>
        <w:br/>
      </w:r>
      <w:r>
        <w:rPr>
          <w:rStyle w:val="VerbatimChar"/>
        </w:rPr>
        <w:t xml:space="preserve">g [2,3,2]</w:t>
      </w:r>
      <w:r>
        <w:br/>
      </w:r>
      <w:r>
        <w:rPr>
          <w:rStyle w:val="VerbatimChar"/>
        </w:rPr>
        <w:t xml:space="preserve">h [2,3,3]</w:t>
      </w:r>
      <w:r>
        <w:br/>
      </w:r>
      <w:r>
        <w:rPr>
          <w:rStyle w:val="VerbatimChar"/>
        </w:rPr>
        <w:t xml:space="preserve">i [3,3,3]</w:t>
      </w:r>
      <w:r>
        <w:br/>
      </w:r>
      <w:r>
        <w:rPr>
          <w:rStyle w:val="VerbatimChar"/>
        </w:rPr>
        <w:t xml:space="preserve">b vs g: before</w:t>
      </w:r>
      <w:r>
        <w:br/>
      </w:r>
      <w:r>
        <w:rPr>
          <w:rStyle w:val="VerbatimChar"/>
        </w:rPr>
        <w:t xml:space="preserve">c vs b: concurrent</w:t>
      </w:r>
      <w:r>
        <w:br/>
      </w:r>
      <w:r>
        <w:rPr>
          <w:rStyle w:val="VerbatimChar"/>
        </w:rPr>
        <w:t xml:space="preserve">f vs e: concurrent</w:t>
      </w:r>
      <w:r>
        <w:br/>
      </w:r>
      <w:r>
        <w:rPr>
          <w:rStyle w:val="VerbatimChar"/>
        </w:rPr>
        <w:t xml:space="preserve">a vs i: before</w:t>
      </w:r>
      <w:r>
        <w:br/>
      </w:r>
      <w:r>
        <w:rPr>
          <w:rStyle w:val="VerbatimChar"/>
        </w:rPr>
        <w:t xml:space="preserve">siblings: ['cart=[book, pen]', 'cart=[book, lamp]'] context: {'R1': 2, 'R2': 1}</w:t>
      </w:r>
      <w:r>
        <w:br/>
      </w:r>
      <w:r>
        <w:rPr>
          <w:rStyle w:val="VerbatimChar"/>
        </w:rPr>
        <w:t xml:space="preserve">after merge: (['cart=[book, pen, lamp]'], {'R1': 3, 'R2': 1})</w:t>
      </w:r>
      <w:r>
        <w:br/>
      </w:r>
      <w:r>
        <w:rPr>
          <w:rStyle w:val="VerbatimChar"/>
        </w:rPr>
        <w:t xml:space="preserve">same-replica concurrent writes: ['from client Y']</w:t>
      </w:r>
    </w:p>
    <w:p>
      <w:pPr>
        <w:pStyle w:val="FirstParagraph"/>
      </w:pPr>
      <w:r>
        <w:t xml:space="preserve">What to notice:</w:t>
      </w:r>
    </w:p>
    <w:p>
      <w:pPr>
        <w:numPr>
          <w:ilvl w:val="0"/>
          <w:numId w:val="1793"/>
        </w:numPr>
        <w:pStyle w:val="Compact"/>
      </w:pPr>
      <w:r>
        <w:rPr>
          <w:rStyle w:val="VerbatimChar"/>
        </w:rPr>
        <w:t xml:space="preserve">compare</w:t>
      </w:r>
      <w:r>
        <w:t xml:space="preserve"> </w:t>
      </w:r>
      <w:r>
        <w:t xml:space="preserve">treats missing entries as 0, so vectors can be sparse maps rather than fixed arrays.</w:t>
      </w:r>
    </w:p>
    <w:p>
      <w:pPr>
        <w:numPr>
          <w:ilvl w:val="0"/>
          <w:numId w:val="1793"/>
        </w:numPr>
        <w:pStyle w:val="Compact"/>
      </w:pPr>
      <w:r>
        <w:t xml:space="preserve">The merged write carries the merged context {R1: 2, R2: 1}, so its new vector {R1: 3, R2: 1} dominates both siblings and replaces them.</w:t>
      </w:r>
    </w:p>
    <w:p>
      <w:pPr>
        <w:numPr>
          <w:ilvl w:val="0"/>
          <w:numId w:val="1793"/>
        </w:numPr>
        <w:pStyle w:val="Compact"/>
      </w:pPr>
      <w:r>
        <w:t xml:space="preserve">The last case is a real flaw of per-replica version vectors: two</w:t>
      </w:r>
      <w:r>
        <w:t xml:space="preserve"> </w:t>
      </w:r>
      <w:r>
        <w:rPr>
          <w:iCs/>
          <w:i/>
        </w:rPr>
        <w:t xml:space="preserve">concurrent</w:t>
      </w:r>
      <w:r>
        <w:t xml:space="preserve"> </w:t>
      </w:r>
      <w:r>
        <w:t xml:space="preserve">writes through the same replica get {R1: 2} and {R1: 3}, the second appears to dominate the first, and client X’s write is lost. Dotted version vectors (§24.11.5) fix this.</w:t>
      </w:r>
    </w:p>
    <w:bookmarkEnd w:id="2737"/>
    <w:bookmarkStart w:id="2738" w:name="size-growth"/>
    <w:p>
      <w:pPr>
        <w:pStyle w:val="Heading3"/>
      </w:pPr>
      <w:r>
        <w:t xml:space="preserve">24.11.4 Size growth</w:t>
      </w:r>
    </w:p>
    <w:p>
      <w:pPr>
        <w:pStyle w:val="CalloutFormula"/>
      </w:pPr>
      <w:r>
        <w:rPr>
          <w:bCs/>
          <w:b/>
        </w:rPr>
        <w:t xml:space="preserve">FORMULA</w:t>
      </w:r>
    </w:p>
    <w:p>
      <w:pPr>
        <w:pStyle w:val="CalloutFormula"/>
      </w:pPr>
      <w:r>
        <w:rPr>
          <w:bCs/>
          <w:b/>
        </w:rPr>
        <w:t xml:space="preserve">Vector clock metadata size</w:t>
      </w:r>
    </w:p>
    <w:p>
      <w:pPr>
        <w:pStyle w:val="CalloutFormula"/>
      </w:pPr>
      <m:oMathPara>
        <m:oMathParaPr>
          <m:jc m:val="center"/>
        </m:oMathParaPr>
        <m:oMath>
          <m:r>
            <m:t>S</m:t>
          </m:r>
          <m:r>
            <m:rPr>
              <m:sty m:val="p"/>
            </m:rPr>
            <m:t>=</m:t>
          </m:r>
          <m:r>
            <m:t>n</m:t>
          </m:r>
          <m:r>
            <m:t> </m:t>
          </m:r>
          <m:d>
            <m:dPr>
              <m:begChr m:val="("/>
              <m:endChr m:val=")"/>
              <m:sepChr m:val=""/>
              <m:grow/>
            </m:dPr>
            <m:e>
              <m:sSub>
                <m:e>
                  <m:r>
                    <m:t>b</m:t>
                  </m:r>
                </m:e>
                <m:sub>
                  <m:r>
                    <m:rPr>
                      <m:nor/>
                      <m:sty m:val="p"/>
                    </m:rPr>
                    <m:t>id</m:t>
                  </m:r>
                </m:sub>
              </m:sSub>
              <m:r>
                <m:rPr>
                  <m:sty m:val="p"/>
                </m:rPr>
                <m:t>+</m:t>
              </m:r>
              <m:sSub>
                <m:e>
                  <m:r>
                    <m:t>b</m:t>
                  </m:r>
                </m:e>
                <m:sub>
                  <m:r>
                    <m:rPr>
                      <m:nor/>
                      <m:sty m:val="p"/>
                    </m:rPr>
                    <m:t>ctr</m:t>
                  </m:r>
                </m:sub>
              </m:sSub>
            </m:e>
          </m:d>
          <m:r>
            <m:t>  </m:t>
          </m:r>
          <m:r>
            <m:t>  </m:t>
          </m:r>
          <m:r>
            <m:t>M</m:t>
          </m:r>
          <m:r>
            <m:rPr>
              <m:sty m:val="p"/>
            </m:rPr>
            <m:t>=</m:t>
          </m:r>
          <m:r>
            <m:t>K</m:t>
          </m:r>
          <m:r>
            <m:rPr>
              <m:sty m:val="p"/>
            </m:rPr>
            <m:t>⋅</m:t>
          </m:r>
          <m:r>
            <m:t>S</m:t>
          </m:r>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n</m:t>
              </m:r>
            </m:oMath>
          </w:p>
        </w:tc>
        <w:tc>
          <w:tcPr/>
          <w:p>
            <w:pPr>
              <w:pStyle w:val="Compact"/>
              <w:jc w:val="left"/>
            </w:pPr>
            <w:r>
              <w:t xml:space="preserve">Number of entries (processes, replicas or clients that have written)</w:t>
            </w:r>
          </w:p>
        </w:tc>
        <w:tc>
          <w:tcPr/>
          <w:p>
            <w:pPr>
              <w:pStyle w:val="Compact"/>
              <w:jc w:val="left"/>
            </w:pPr>
            <w:r>
              <w:t xml:space="preserve">count</w:t>
            </w:r>
          </w:p>
        </w:tc>
      </w:tr>
      <w:tr>
        <w:tc>
          <w:tcPr/>
          <w:p>
            <w:pPr>
              <w:pStyle w:val="Compact"/>
              <w:jc w:val="left"/>
            </w:pPr>
            <m:oMath>
              <m:sSub>
                <m:e>
                  <m:r>
                    <m:t>b</m:t>
                  </m:r>
                </m:e>
                <m:sub>
                  <m:r>
                    <m:rPr>
                      <m:nor/>
                      <m:sty m:val="p"/>
                    </m:rPr>
                    <m:t>id</m:t>
                  </m:r>
                </m:sub>
              </m:sSub>
            </m:oMath>
          </w:p>
        </w:tc>
        <w:tc>
          <w:tcPr/>
          <w:p>
            <w:pPr>
              <w:pStyle w:val="Compact"/>
              <w:jc w:val="left"/>
            </w:pPr>
            <w:r>
              <w:t xml:space="preserve">Bytes to identify an entry’s owner</w:t>
            </w:r>
          </w:p>
        </w:tc>
        <w:tc>
          <w:tcPr/>
          <w:p>
            <w:pPr>
              <w:pStyle w:val="Compact"/>
              <w:jc w:val="left"/>
            </w:pPr>
            <w:r>
              <w:t xml:space="preserve">bytes</w:t>
            </w:r>
          </w:p>
        </w:tc>
      </w:tr>
      <w:tr>
        <w:tc>
          <w:tcPr/>
          <w:p>
            <w:pPr>
              <w:pStyle w:val="Compact"/>
              <w:jc w:val="left"/>
            </w:pPr>
            <m:oMath>
              <m:sSub>
                <m:e>
                  <m:r>
                    <m:t>b</m:t>
                  </m:r>
                </m:e>
                <m:sub>
                  <m:r>
                    <m:rPr>
                      <m:nor/>
                      <m:sty m:val="p"/>
                    </m:rPr>
                    <m:t>ctr</m:t>
                  </m:r>
                </m:sub>
              </m:sSub>
            </m:oMath>
          </w:p>
        </w:tc>
        <w:tc>
          <w:tcPr/>
          <w:p>
            <w:pPr>
              <w:pStyle w:val="Compact"/>
              <w:jc w:val="left"/>
            </w:pPr>
            <w:r>
              <w:t xml:space="preserve">Bytes per counter</w:t>
            </w:r>
          </w:p>
        </w:tc>
        <w:tc>
          <w:tcPr/>
          <w:p>
            <w:pPr>
              <w:pStyle w:val="Compact"/>
              <w:jc w:val="left"/>
            </w:pPr>
            <w:r>
              <w:t xml:space="preserve">bytes</w:t>
            </w:r>
          </w:p>
        </w:tc>
      </w:tr>
      <w:tr>
        <w:tc>
          <w:tcPr/>
          <w:p>
            <w:pPr>
              <w:pStyle w:val="Compact"/>
              <w:jc w:val="left"/>
            </w:pPr>
            <m:oMath>
              <m:r>
                <m:t>S</m:t>
              </m:r>
            </m:oMath>
          </w:p>
        </w:tc>
        <w:tc>
          <w:tcPr/>
          <w:p>
            <w:pPr>
              <w:pStyle w:val="Compact"/>
              <w:jc w:val="left"/>
            </w:pPr>
            <w:r>
              <w:t xml:space="preserve">Metadata per version</w:t>
            </w:r>
          </w:p>
        </w:tc>
        <w:tc>
          <w:tcPr/>
          <w:p>
            <w:pPr>
              <w:pStyle w:val="Compact"/>
              <w:jc w:val="left"/>
            </w:pPr>
            <w:r>
              <w:t xml:space="preserve">bytes</w:t>
            </w:r>
          </w:p>
        </w:tc>
      </w:tr>
      <w:tr>
        <w:tc>
          <w:tcPr/>
          <w:p>
            <w:pPr>
              <w:pStyle w:val="Compact"/>
              <w:jc w:val="left"/>
            </w:pPr>
            <m:oMath>
              <m:r>
                <m:t>K</m:t>
              </m:r>
            </m:oMath>
          </w:p>
        </w:tc>
        <w:tc>
          <w:tcPr/>
          <w:p>
            <w:pPr>
              <w:pStyle w:val="Compact"/>
              <w:jc w:val="left"/>
            </w:pPr>
            <w:r>
              <w:t xml:space="preserve">Number of keys stored</w:t>
            </w:r>
          </w:p>
        </w:tc>
        <w:tc>
          <w:tcPr/>
          <w:p>
            <w:pPr>
              <w:pStyle w:val="Compact"/>
              <w:jc w:val="left"/>
            </w:pPr>
            <w:r>
              <w:t xml:space="preserve">count</w:t>
            </w:r>
          </w:p>
        </w:tc>
      </w:tr>
      <w:tr>
        <w:tc>
          <w:tcPr/>
          <w:p>
            <w:pPr>
              <w:pStyle w:val="Compact"/>
              <w:jc w:val="left"/>
            </w:pPr>
            <m:oMath>
              <m:r>
                <m:t>M</m:t>
              </m:r>
            </m:oMath>
          </w:p>
        </w:tc>
        <w:tc>
          <w:tcPr/>
          <w:p>
            <w:pPr>
              <w:pStyle w:val="Compact"/>
              <w:jc w:val="left"/>
            </w:pPr>
            <w:r>
              <w:t xml:space="preserve">Total version metadata</w:t>
            </w:r>
          </w:p>
        </w:tc>
        <w:tc>
          <w:tcPr/>
          <w:p>
            <w:pPr>
              <w:pStyle w:val="Compact"/>
              <w:jc w:val="left"/>
            </w:pPr>
            <w:r>
              <w:t xml:space="preserve">bytes</w:t>
            </w:r>
          </w:p>
        </w:tc>
      </w:tr>
    </w:tbl>
    <w:p>
      <w:pPr>
        <w:pStyle w:val="CalloutExample"/>
      </w:pPr>
      <w:r>
        <w:rPr>
          <w:bCs/>
          <w:b/>
        </w:rPr>
        <w:t xml:space="preserve">WORKED EXAMPLE</w:t>
      </w:r>
    </w:p>
    <w:p>
      <w:pPr>
        <w:pStyle w:val="CalloutExample"/>
      </w:pPr>
      <w:r>
        <w:rPr>
          <w:bCs/>
          <w:b/>
        </w:rPr>
        <w:t xml:space="preserve">Worked example — Server IDs versus client IDs.</w:t>
      </w:r>
    </w:p>
    <w:p>
      <w:pPr>
        <w:numPr>
          <w:ilvl w:val="0"/>
          <w:numId w:val="1794"/>
        </w:numPr>
        <w:pStyle w:val="Compact"/>
      </w:pPr>
      <w:r>
        <w:t xml:space="preserve">Entries keyed by replica:</w:t>
      </w:r>
      <w:r>
        <w:t xml:space="preserve"> </w:t>
      </w:r>
      <m:oMath>
        <m:r>
          <m:t>n</m:t>
        </m:r>
        <m:r>
          <m:rPr>
            <m:sty m:val="p"/>
          </m:rPr>
          <m:t>=</m:t>
        </m:r>
        <m:r>
          <m:t>3</m:t>
        </m:r>
      </m:oMath>
      <w:r>
        <w:t xml:space="preserve">, 8-byte IDs and 8-byte counters.</w:t>
      </w:r>
      <w:r>
        <w:t xml:space="preserve"> </w:t>
      </w:r>
      <m:oMath>
        <m:r>
          <m:t>S</m:t>
        </m:r>
        <m:r>
          <m:rPr>
            <m:sty m:val="p"/>
          </m:rPr>
          <m:t>=</m:t>
        </m:r>
        <m:r>
          <m:t>3</m:t>
        </m:r>
        <m:r>
          <m:rPr>
            <m:sty m:val="p"/>
          </m:rPr>
          <m:t>×</m:t>
        </m:r>
        <m:r>
          <m:t>16</m:t>
        </m:r>
        <m:r>
          <m:rPr>
            <m:sty m:val="p"/>
          </m:rPr>
          <m:t>=</m:t>
        </m:r>
        <m:r>
          <m:t>48</m:t>
        </m:r>
      </m:oMath>
      <w:r>
        <w:t xml:space="preserve"> </w:t>
      </w:r>
      <w:r>
        <w:t xml:space="preserve">bytes. For</w:t>
      </w:r>
      <w:r>
        <w:t xml:space="preserve"> </w:t>
      </w:r>
      <m:oMath>
        <m:r>
          <m:t>K</m:t>
        </m:r>
        <m:r>
          <m:rPr>
            <m:sty m:val="p"/>
          </m:rPr>
          <m:t>=</m:t>
        </m:r>
        <m:sSup>
          <m:e>
            <m:r>
              <m:t>10</m:t>
            </m:r>
          </m:e>
          <m:sup>
            <m:r>
              <m:t>9</m:t>
            </m:r>
          </m:sup>
        </m:sSup>
      </m:oMath>
      <w:r>
        <w:t xml:space="preserve"> </w:t>
      </w:r>
      <w:r>
        <w:t xml:space="preserve">keys,</w:t>
      </w:r>
      <w:r>
        <w:t xml:space="preserve"> </w:t>
      </w:r>
      <m:oMath>
        <m:r>
          <m:t>M</m:t>
        </m:r>
        <m:r>
          <m:rPr>
            <m:sty m:val="p"/>
          </m:rPr>
          <m:t>=</m:t>
        </m:r>
        <m:r>
          <m:t>48</m:t>
        </m:r>
        <m:r>
          <m:rPr>
            <m:sty m:val="p"/>
          </m:rPr>
          <m:t>×</m:t>
        </m:r>
        <m:sSup>
          <m:e>
            <m:r>
              <m:t>10</m:t>
            </m:r>
          </m:e>
          <m:sup>
            <m:r>
              <m:t>9</m:t>
            </m:r>
          </m:sup>
        </m:sSup>
      </m:oMath>
      <w:r>
        <w:t xml:space="preserve"> </w:t>
      </w:r>
      <w:r>
        <w:t xml:space="preserve">bytes = 48 GB, acceptable next to the data.</w:t>
      </w:r>
    </w:p>
    <w:p>
      <w:pPr>
        <w:numPr>
          <w:ilvl w:val="0"/>
          <w:numId w:val="1794"/>
        </w:numPr>
        <w:pStyle w:val="Compact"/>
      </w:pPr>
      <w:r>
        <w:t xml:space="preserve">Entries keyed by</w:t>
      </w:r>
      <w:r>
        <w:t xml:space="preserve"> </w:t>
      </w:r>
      <w:r>
        <w:rPr>
          <w:iCs/>
          <w:i/>
        </w:rPr>
        <w:t xml:space="preserve">client</w:t>
      </w:r>
      <w:r>
        <w:t xml:space="preserve">, for a popular key written by 10,000 distinct users:</w:t>
      </w:r>
      <w:r>
        <w:t xml:space="preserve"> </w:t>
      </w:r>
      <m:oMath>
        <m:r>
          <m:t>S</m:t>
        </m:r>
        <m:r>
          <m:rPr>
            <m:sty m:val="p"/>
          </m:rPr>
          <m:t>=</m:t>
        </m:r>
        <m:r>
          <m:t>10</m:t>
        </m:r>
        <m:r>
          <m:rPr>
            <m:sty m:val="p"/>
          </m:rPr>
          <m:t>,</m:t>
        </m:r>
        <m:r>
          <m:t>000</m:t>
        </m:r>
        <m:r>
          <m:rPr>
            <m:sty m:val="p"/>
          </m:rPr>
          <m:t>×</m:t>
        </m:r>
        <m:r>
          <m:t>16</m:t>
        </m:r>
        <m:r>
          <m:rPr>
            <m:sty m:val="p"/>
          </m:rPr>
          <m:t>=</m:t>
        </m:r>
        <m:r>
          <m:t>160</m:t>
        </m:r>
        <m:r>
          <m:rPr>
            <m:sty m:val="p"/>
          </m:rPr>
          <m:t>,</m:t>
        </m:r>
        <m:r>
          <m:t>000</m:t>
        </m:r>
      </m:oMath>
      <w:r>
        <w:t xml:space="preserve"> </w:t>
      </w:r>
      <w:r>
        <w:t xml:space="preserve">bytes = 160 KB of metadata on one key, transferred on every read and write.</w:t>
      </w:r>
    </w:p>
    <w:p>
      <w:pPr>
        <w:numPr>
          <w:ilvl w:val="0"/>
          <w:numId w:val="1794"/>
        </w:numPr>
        <w:pStyle w:val="Compact"/>
      </w:pPr>
      <w:r>
        <w:t xml:space="preserve">Over a fleet of 1,000 processes tracking event causality:</w:t>
      </w:r>
      <w:r>
        <w:t xml:space="preserve"> </w:t>
      </w:r>
      <m:oMath>
        <m:r>
          <m:t>S</m:t>
        </m:r>
        <m:r>
          <m:rPr>
            <m:sty m:val="p"/>
          </m:rPr>
          <m:t>=</m:t>
        </m:r>
        <m:r>
          <m:t>1</m:t>
        </m:r>
        <m:r>
          <m:rPr>
            <m:sty m:val="p"/>
          </m:rPr>
          <m:t>,</m:t>
        </m:r>
        <m:r>
          <m:t>000</m:t>
        </m:r>
        <m:r>
          <m:rPr>
            <m:sty m:val="p"/>
          </m:rPr>
          <m:t>×</m:t>
        </m:r>
        <m:r>
          <m:t>16</m:t>
        </m:r>
        <m:r>
          <m:rPr>
            <m:sty m:val="p"/>
          </m:rPr>
          <m:t>=</m:t>
        </m:r>
        <m:r>
          <m:t>16</m:t>
        </m:r>
      </m:oMath>
      <w:r>
        <w:t xml:space="preserve"> </w:t>
      </w:r>
      <w:r>
        <w:t xml:space="preserve">KB on</w:t>
      </w:r>
      <w:r>
        <w:t xml:space="preserve"> </w:t>
      </w:r>
      <w:r>
        <w:rPr>
          <w:iCs/>
          <w:i/>
        </w:rPr>
        <w:t xml:space="preserve">every message</w:t>
      </w:r>
      <w:r>
        <w:t xml:space="preserve">.</w:t>
      </w:r>
    </w:p>
    <w:p>
      <w:pPr>
        <w:pStyle w:val="CalloutExample"/>
      </w:pPr>
      <w:r>
        <w:t xml:space="preserve">Interpretation: size grows with the number of writers, and Charron-Bost proved no smaller timestamp can characterize causality in general [Charron-Bost 1991]. Engineering implication: key vectors by a small, stable set of replicas; if you must prune entries, accept occasional false conflicts.</w:t>
      </w:r>
    </w:p>
    <w:p>
      <w:pPr>
        <w:pStyle w:val="CalloutIndustry"/>
      </w:pPr>
      <w:r>
        <w:rPr>
          <w:bCs/>
          <w:b/>
        </w:rPr>
        <w:t xml:space="preserve">INDUSTRY EXAMPLE</w:t>
      </w:r>
    </w:p>
    <w:p>
      <w:pPr>
        <w:pStyle w:val="CalloutIndustry"/>
      </w:pPr>
      <w:r>
        <w:rPr>
          <w:bCs/>
          <w:b/>
        </w:rPr>
        <w:t xml:space="preserve">Amazon Dynamo.</w:t>
      </w:r>
      <w:r>
        <w:t xml:space="preserve"> </w:t>
      </w:r>
      <w:r>
        <w:t xml:space="preserve">Dynamo tracked versions of shopping-cart objects with vector clocks of (node, counter) pairs, returned divergent versions to the client for semantic reconciliation, and truncated the vector by removing the oldest pair when it exceeded a threshold (about 10 pairs), accepting the small risk of losing causality information [DeCandia et al. 2007].</w:t>
      </w:r>
      <w:r>
        <w:t xml:space="preserve"> </w:t>
      </w:r>
      <w:r>
        <w:rPr>
          <w:iCs/>
          <w:i/>
        </w:rPr>
        <w:t xml:space="preserve">Evidence: Primary</w:t>
      </w:r>
      <w:r>
        <w:t xml:space="preserve"> </w:t>
      </w:r>
      <w:r>
        <w:t xml:space="preserve">— [DeCandia et al. 2007]</w:t>
      </w:r>
    </w:p>
    <w:bookmarkEnd w:id="2738"/>
    <w:bookmarkStart w:id="2739" w:name="dotted-version-vectors"/>
    <w:p>
      <w:pPr>
        <w:pStyle w:val="Heading3"/>
      </w:pPr>
      <w:r>
        <w:t xml:space="preserve">24.11.5 Dotted version vectors</w:t>
      </w:r>
    </w:p>
    <w:p>
      <w:pPr>
        <w:pStyle w:val="FirstParagraph"/>
      </w:pPr>
      <w:r>
        <w:rPr>
          <w:bCs/>
          <w:b/>
        </w:rPr>
        <w:t xml:space="preserve">Dotted version vectors</w:t>
      </w:r>
      <w:r>
        <w:t xml:space="preserve"> </w:t>
      </w:r>
      <w:r>
        <w:t xml:space="preserve">(DVVs) fix the same-replica flaw [Preguiça et al. 2010]. A DVV pairs the writer’s causal context with a</w:t>
      </w:r>
      <w:r>
        <w:t xml:space="preserve"> </w:t>
      </w:r>
      <w:r>
        <w:rPr>
          <w:bCs/>
          <w:b/>
        </w:rPr>
        <w:t xml:space="preserve">dot</w:t>
      </w:r>
      <w:r>
        <w:t xml:space="preserve">, the (replica, counter) pair naming</w:t>
      </w:r>
      <w:r>
        <w:t xml:space="preserve"> </w:t>
      </w:r>
      <w:r>
        <w:rPr>
          <w:iCs/>
          <w:i/>
        </w:rPr>
        <w:t xml:space="preserve">this</w:t>
      </w:r>
      <w:r>
        <w:t xml:space="preserve"> </w:t>
      </w:r>
      <w:r>
        <w:t xml:space="preserve">write. Writes through R1 with dots (R1, 2) and (R1, 3) are recognized as concurrent because neither context contains the other’s dot. DVVs stay bounded by the replica count while avoiding lost updates and client-keyed</w:t>
      </w:r>
      <w:r>
        <w:t xml:space="preserve"> </w:t>
      </w:r>
      <w:r>
        <w:t xml:space="preserve">“</w:t>
      </w:r>
      <w:r>
        <w:t xml:space="preserve">sibling explosion</w:t>
      </w:r>
      <w:r>
        <w:t xml:space="preserve">”</w:t>
      </w:r>
      <w:r>
        <w:t xml:space="preserve">; Riak adopted them in version 2.0 [Riak Docs: Dotted Version Vectors].</w:t>
      </w:r>
    </w:p>
    <w:p>
      <w:pPr>
        <w:pStyle w:val="BodyText"/>
      </w:pPr>
      <w:r>
        <w:rPr>
          <w:bCs/>
          <w:b/>
        </w:rPr>
        <w:t xml:space="preserve">Table 24.10 — Logical clocks compared.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Clock</w:t>
            </w:r>
          </w:p>
        </w:tc>
        <w:tc>
          <w:tcPr/>
          <w:p>
            <w:pPr>
              <w:pStyle w:val="Compact"/>
              <w:jc w:val="left"/>
            </w:pPr>
            <w:r>
              <w:t xml:space="preserve">Size</w:t>
            </w:r>
          </w:p>
        </w:tc>
        <w:tc>
          <w:tcPr/>
          <w:p>
            <w:pPr>
              <w:pStyle w:val="Compact"/>
              <w:jc w:val="left"/>
            </w:pPr>
            <w:r>
              <w:t xml:space="preserve">Detects concurrency?</w:t>
            </w:r>
          </w:p>
        </w:tc>
        <w:tc>
          <w:tcPr/>
          <w:p>
            <w:pPr>
              <w:pStyle w:val="Compact"/>
              <w:jc w:val="left"/>
            </w:pPr>
            <w:r>
              <w:t xml:space="preserve">Close to real time?</w:t>
            </w:r>
          </w:p>
        </w:tc>
        <w:tc>
          <w:tcPr/>
          <w:p>
            <w:pPr>
              <w:pStyle w:val="Compact"/>
              <w:jc w:val="left"/>
            </w:pPr>
            <w:r>
              <w:t xml:space="preserve">Typical use</w:t>
            </w:r>
          </w:p>
        </w:tc>
      </w:tr>
      <w:tr>
        <w:tc>
          <w:tcPr/>
          <w:p>
            <w:pPr>
              <w:pStyle w:val="Compact"/>
              <w:jc w:val="left"/>
            </w:pPr>
            <w:r>
              <w:t xml:space="preserve">Lamport</w:t>
            </w:r>
          </w:p>
        </w:tc>
        <w:tc>
          <w:tcPr/>
          <w:p>
            <w:pPr>
              <w:pStyle w:val="Compact"/>
              <w:jc w:val="left"/>
            </w:pPr>
            <w:r>
              <w:t xml:space="preserve">1 integer</w:t>
            </w:r>
          </w:p>
        </w:tc>
        <w:tc>
          <w:tcPr/>
          <w:p>
            <w:pPr>
              <w:pStyle w:val="Compact"/>
              <w:jc w:val="left"/>
            </w:pPr>
            <w:r>
              <w:t xml:space="preserve">No</w:t>
            </w:r>
          </w:p>
        </w:tc>
        <w:tc>
          <w:tcPr/>
          <w:p>
            <w:pPr>
              <w:pStyle w:val="Compact"/>
              <w:jc w:val="left"/>
            </w:pPr>
            <w:r>
              <w:t xml:space="preserve">No</w:t>
            </w:r>
          </w:p>
        </w:tc>
        <w:tc>
          <w:tcPr/>
          <w:p>
            <w:pPr>
              <w:pStyle w:val="Compact"/>
              <w:jc w:val="left"/>
            </w:pPr>
            <w:r>
              <w:t xml:space="preserve">Total order, terms, fencing tokens</w:t>
            </w:r>
          </w:p>
        </w:tc>
      </w:tr>
      <w:tr>
        <w:tc>
          <w:tcPr/>
          <w:p>
            <w:pPr>
              <w:pStyle w:val="Compact"/>
              <w:jc w:val="left"/>
            </w:pPr>
            <w:r>
              <w:t xml:space="preserve">Vector clock</w:t>
            </w:r>
          </w:p>
        </w:tc>
        <w:tc>
          <w:tcPr/>
          <w:p>
            <w:pPr>
              <w:pStyle w:val="Compact"/>
              <w:jc w:val="left"/>
            </w:pPr>
            <m:oMath>
              <m:r>
                <m:t>n</m:t>
              </m:r>
            </m:oMath>
            <w:r>
              <w:t xml:space="preserve"> </w:t>
            </w:r>
            <w:r>
              <w:t xml:space="preserve">entries (processes)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Causality tracking, debugging, causal broadcast</w:t>
            </w:r>
          </w:p>
        </w:tc>
      </w:tr>
      <w:tr>
        <w:tc>
          <w:tcPr/>
          <w:p>
            <w:pPr>
              <w:pStyle w:val="Compact"/>
              <w:jc w:val="left"/>
            </w:pPr>
            <w:r>
              <w:t xml:space="preserve">Version vector</w:t>
            </w:r>
          </w:p>
        </w:tc>
        <w:tc>
          <w:tcPr/>
          <w:p>
            <w:pPr>
              <w:pStyle w:val="Compact"/>
              <w:jc w:val="left"/>
            </w:pPr>
            <m:oMath>
              <m:r>
                <m:t>n</m:t>
              </m:r>
            </m:oMath>
            <w:r>
              <w:t xml:space="preserve"> </w:t>
            </w:r>
            <w:r>
              <w:t xml:space="preserve">entries (replicas) per key</w:t>
            </w:r>
          </w:p>
        </w:tc>
        <w:tc>
          <w:tcPr/>
          <w:p>
            <w:pPr>
              <w:pStyle w:val="Compact"/>
              <w:jc w:val="left"/>
            </w:pPr>
            <w:r>
              <w:t xml:space="preserve">Yes</w:t>
            </w:r>
          </w:p>
        </w:tc>
        <w:tc>
          <w:tcPr/>
          <w:p>
            <w:pPr>
              <w:pStyle w:val="Compact"/>
              <w:jc w:val="left"/>
            </w:pPr>
            <w:r>
              <w:t xml:space="preserve">No</w:t>
            </w:r>
          </w:p>
        </w:tc>
        <w:tc>
          <w:tcPr/>
          <w:p>
            <w:pPr>
              <w:pStyle w:val="Compact"/>
              <w:jc w:val="left"/>
            </w:pPr>
            <w:r>
              <w:t xml:space="preserve">Conflict detection in replicated stores</w:t>
            </w:r>
          </w:p>
        </w:tc>
      </w:tr>
      <w:tr>
        <w:tc>
          <w:tcPr/>
          <w:p>
            <w:pPr>
              <w:pStyle w:val="Compact"/>
              <w:jc w:val="left"/>
            </w:pPr>
            <w:r>
              <w:t xml:space="preserve">Dotted version vector</w:t>
            </w:r>
          </w:p>
        </w:tc>
        <w:tc>
          <w:tcPr/>
          <w:p>
            <w:pPr>
              <w:pStyle w:val="Compact"/>
              <w:jc w:val="left"/>
            </w:pPr>
            <w:r>
              <w:t xml:space="preserve">Replica entries plus one dot</w:t>
            </w:r>
          </w:p>
        </w:tc>
        <w:tc>
          <w:tcPr/>
          <w:p>
            <w:pPr>
              <w:pStyle w:val="Compact"/>
              <w:jc w:val="left"/>
            </w:pPr>
            <w:r>
              <w:t xml:space="preserve">Yes, including same-replica writes</w:t>
            </w:r>
          </w:p>
        </w:tc>
        <w:tc>
          <w:tcPr/>
          <w:p>
            <w:pPr>
              <w:pStyle w:val="Compact"/>
              <w:jc w:val="left"/>
            </w:pPr>
            <w:r>
              <w:t xml:space="preserve">No</w:t>
            </w:r>
          </w:p>
        </w:tc>
        <w:tc>
          <w:tcPr/>
          <w:p>
            <w:pPr>
              <w:pStyle w:val="Compact"/>
              <w:jc w:val="left"/>
            </w:pPr>
            <w:r>
              <w:t xml:space="preserve">Riak-style key-value stores</w:t>
            </w:r>
          </w:p>
        </w:tc>
      </w:tr>
      <w:tr>
        <w:tc>
          <w:tcPr/>
          <w:p>
            <w:pPr>
              <w:pStyle w:val="Compact"/>
              <w:jc w:val="left"/>
            </w:pPr>
            <w:r>
              <w:t xml:space="preserve">Hybrid logical clock</w:t>
            </w:r>
          </w:p>
        </w:tc>
        <w:tc>
          <w:tcPr/>
          <w:p>
            <w:pPr>
              <w:pStyle w:val="Compact"/>
              <w:jc w:val="left"/>
            </w:pPr>
            <w:r>
              <w:t xml:space="preserve">64 bits</w:t>
            </w:r>
          </w:p>
        </w:tc>
        <w:tc>
          <w:tcPr/>
          <w:p>
            <w:pPr>
              <w:pStyle w:val="Compact"/>
              <w:jc w:val="left"/>
            </w:pPr>
            <w:r>
              <w:t xml:space="preserve">No</w:t>
            </w:r>
          </w:p>
        </w:tc>
        <w:tc>
          <w:tcPr/>
          <w:p>
            <w:pPr>
              <w:pStyle w:val="Compact"/>
              <w:jc w:val="left"/>
            </w:pPr>
            <w:r>
              <w:t xml:space="preserve">Yes, within skew</w:t>
            </w:r>
          </w:p>
        </w:tc>
        <w:tc>
          <w:tcPr/>
          <w:p>
            <w:pPr>
              <w:pStyle w:val="Compact"/>
              <w:jc w:val="left"/>
            </w:pPr>
            <w:r>
              <w:t xml:space="preserve">Timestamps for MVCC and snapshot reads</w:t>
            </w:r>
          </w:p>
        </w:tc>
      </w:tr>
    </w:tbl>
    <w:bookmarkEnd w:id="2739"/>
    <w:bookmarkEnd w:id="2740"/>
    <w:bookmarkStart w:id="2748" w:name="hybrid-logical-clocks"/>
    <w:p>
      <w:pPr>
        <w:pStyle w:val="Heading2"/>
      </w:pPr>
      <w:r>
        <w:t xml:space="preserve">24.12 Hybrid logical clocks</w:t>
      </w:r>
    </w:p>
    <w:bookmarkStart w:id="2741" w:name="why-combine-physical-and-logical-time"/>
    <w:p>
      <w:pPr>
        <w:pStyle w:val="Heading3"/>
      </w:pPr>
      <w:r>
        <w:t xml:space="preserve">24.12.1 Why combine physical and logical time</w:t>
      </w:r>
    </w:p>
    <w:p>
      <w:pPr>
        <w:pStyle w:val="FirstParagraph"/>
      </w:pPr>
      <w:r>
        <w:t xml:space="preserve">Multi-version databases need timestamps that (1) respect causality, (2) stay close to real time so</w:t>
      </w:r>
      <w:r>
        <w:t xml:space="preserve"> </w:t>
      </w:r>
      <w:r>
        <w:t xml:space="preserve">“</w:t>
      </w:r>
      <w:r>
        <w:t xml:space="preserve">read as of 10:00</w:t>
      </w:r>
      <w:r>
        <w:t xml:space="preserve">”</w:t>
      </w:r>
      <w:r>
        <w:t xml:space="preserve"> </w:t>
      </w:r>
      <w:r>
        <w:t xml:space="preserve">means something, and (3) fit in 64 bits. Lamport clocks miss (2); physical clocks miss (1). Kulkarni et al.’s</w:t>
      </w:r>
      <w:r>
        <w:t xml:space="preserve"> </w:t>
      </w:r>
      <w:r>
        <w:rPr>
          <w:bCs/>
          <w:b/>
        </w:rPr>
        <w:t xml:space="preserve">hybrid logical clock</w:t>
      </w:r>
      <w:r>
        <w:t xml:space="preserve"> </w:t>
      </w:r>
      <w:r>
        <w:t xml:space="preserve">(HLC) provides all three [Kulkarni et al. 2014].</w:t>
      </w:r>
    </w:p>
    <w:p>
      <w:pPr>
        <w:pStyle w:val="CalloutDefinition"/>
      </w:pPr>
      <w:r>
        <w:rPr>
          <w:bCs/>
          <w:b/>
        </w:rPr>
        <w:t xml:space="preserve">DEFINITION</w:t>
      </w:r>
    </w:p>
    <w:p>
      <w:pPr>
        <w:pStyle w:val="CalloutDefinition"/>
      </w:pPr>
      <w:r>
        <w:rPr>
          <w:bCs/>
          <w:b/>
        </w:rPr>
        <w:t xml:space="preserve">Definition — Hybrid logical clock.</w:t>
      </w:r>
      <w:r>
        <w:t xml:space="preserve"> </w:t>
      </w:r>
      <w:r>
        <w:t xml:space="preserve">A timestamp</w:t>
      </w:r>
      <w:r>
        <w:t xml:space="preserve"> </w:t>
      </w:r>
      <m:oMath>
        <m:d>
          <m:dPr>
            <m:begChr m:val="("/>
            <m:endChr m:val=")"/>
            <m:sepChr m:val=""/>
            <m:grow/>
          </m:dPr>
          <m:e>
            <m:r>
              <m:t>l</m:t>
            </m:r>
            <m:r>
              <m:rPr>
                <m:sty m:val="p"/>
              </m:rPr>
              <m:t>,</m:t>
            </m:r>
            <m:r>
              <m:t>c</m:t>
            </m:r>
          </m:e>
        </m:d>
      </m:oMath>
      <w:r>
        <w:t xml:space="preserve"> </w:t>
      </w:r>
      <w:r>
        <w:t xml:space="preserve">where</w:t>
      </w:r>
      <w:r>
        <w:t xml:space="preserve"> </w:t>
      </w:r>
      <m:oMath>
        <m:r>
          <m:t>l</m:t>
        </m:r>
      </m:oMath>
      <w:r>
        <w:t xml:space="preserve"> </w:t>
      </w:r>
      <w:r>
        <w:t xml:space="preserve">is the largest physical clock value the node has seen (from its own clock or from any message) and</w:t>
      </w:r>
      <w:r>
        <w:t xml:space="preserve"> </w:t>
      </w:r>
      <m:oMath>
        <m:r>
          <m:t>c</m:t>
        </m:r>
      </m:oMath>
      <w:r>
        <w:t xml:space="preserve"> </w:t>
      </w:r>
      <w:r>
        <w:t xml:space="preserve">is a logical counter that orders events sharing the same</w:t>
      </w:r>
      <w:r>
        <w:t xml:space="preserve"> </w:t>
      </w:r>
      <m:oMath>
        <m:r>
          <m:t>l</m:t>
        </m:r>
      </m:oMath>
      <w:r>
        <w:t xml:space="preserve">. Timestamps compare lexicographically: first by</w:t>
      </w:r>
      <w:r>
        <w:t xml:space="preserve"> </w:t>
      </w:r>
      <m:oMath>
        <m:r>
          <m:t>l</m:t>
        </m:r>
      </m:oMath>
      <w:r>
        <w:t xml:space="preserve">, then by</w:t>
      </w:r>
      <w:r>
        <w:t xml:space="preserve"> </w:t>
      </w:r>
      <m:oMath>
        <m:r>
          <m:t>c</m:t>
        </m:r>
      </m:oMath>
      <w:r>
        <w:t xml:space="preserve">.</w:t>
      </w:r>
    </w:p>
    <w:bookmarkEnd w:id="2741"/>
    <w:bookmarkStart w:id="2745" w:name="the-algorithm-3"/>
    <w:p>
      <w:pPr>
        <w:pStyle w:val="Heading3"/>
      </w:pPr>
      <w:r>
        <w:t xml:space="preserve">24.12.2 The algorithm</w:t>
      </w:r>
    </w:p>
    <w:p>
      <w:pPr>
        <w:pStyle w:val="FirstParagraph"/>
      </w:pPr>
      <w:r>
        <w:t xml:space="preserve">For a local or send event at a node with physical clock</w:t>
      </w:r>
      <w:r>
        <w:t xml:space="preserve"> </w:t>
      </w:r>
      <m:oMath>
        <m:r>
          <m:t>p</m:t>
        </m:r>
        <m:r>
          <m:t>t</m:t>
        </m:r>
      </m:oMath>
      <w:r>
        <w:t xml:space="preserve">: set</w:t>
      </w:r>
      <w:r>
        <w:t xml:space="preserve"> </w:t>
      </w:r>
      <m:oMath>
        <m:r>
          <m:t>l</m:t>
        </m:r>
        <m:r>
          <m:rPr>
            <m:sty m:val="p"/>
          </m:rPr>
          <m:t>′</m:t>
        </m:r>
        <m:r>
          <m:rPr>
            <m:sty m:val="p"/>
          </m:rPr>
          <m:t>←</m:t>
        </m:r>
        <m:r>
          <m:t>l</m:t>
        </m:r>
      </m:oMath>
      <w:r>
        <w:t xml:space="preserve">,</w:t>
      </w:r>
      <w:r>
        <w:t xml:space="preserve"> </w:t>
      </w:r>
      <m:oMath>
        <m:r>
          <m:t>l</m:t>
        </m:r>
        <m:r>
          <m:rPr>
            <m:sty m:val="p"/>
          </m:rPr>
          <m:t>←</m:t>
        </m:r>
        <m:r>
          <m:rPr>
            <m:sty m:val="p"/>
          </m:rPr>
          <m:t>max</m:t>
        </m:r>
        <m:d>
          <m:dPr>
            <m:begChr m:val="("/>
            <m:endChr m:val=")"/>
            <m:sepChr m:val=""/>
            <m:grow/>
          </m:dPr>
          <m:e>
            <m:r>
              <m:t>l</m:t>
            </m:r>
            <m:r>
              <m:rPr>
                <m:sty m:val="p"/>
              </m:rPr>
              <m:t>′</m:t>
            </m:r>
            <m:r>
              <m:rPr>
                <m:sty m:val="p"/>
              </m:rPr>
              <m:t>,</m:t>
            </m:r>
            <m:r>
              <m:t>p</m:t>
            </m:r>
            <m:r>
              <m:t>t</m:t>
            </m:r>
          </m:e>
        </m:d>
      </m:oMath>
      <w:r>
        <w:t xml:space="preserve">; if</w:t>
      </w:r>
      <w:r>
        <w:t xml:space="preserve"> </w:t>
      </w:r>
      <m:oMath>
        <m:r>
          <m:t>l</m:t>
        </m:r>
        <m:r>
          <m:rPr>
            <m:sty m:val="p"/>
          </m:rPr>
          <m:t>=</m:t>
        </m:r>
        <m:r>
          <m:t>l</m:t>
        </m:r>
        <m:r>
          <m:rPr>
            <m:sty m:val="p"/>
          </m:rPr>
          <m:t>′</m:t>
        </m:r>
      </m:oMath>
      <w:r>
        <w:t xml:space="preserve"> </w:t>
      </w:r>
      <w:r>
        <w:t xml:space="preserve">then</w:t>
      </w:r>
      <w:r>
        <w:t xml:space="preserve"> </w:t>
      </w:r>
      <m:oMath>
        <m:r>
          <m:t>c</m:t>
        </m:r>
        <m:r>
          <m:rPr>
            <m:sty m:val="p"/>
          </m:rPr>
          <m:t>←</m:t>
        </m:r>
        <m:r>
          <m:t>c</m:t>
        </m:r>
        <m:r>
          <m:rPr>
            <m:sty m:val="p"/>
          </m:rPr>
          <m:t>+</m:t>
        </m:r>
        <m:r>
          <m:t>1</m:t>
        </m:r>
      </m:oMath>
      <w:r>
        <w:t xml:space="preserve">, else</w:t>
      </w:r>
      <w:r>
        <w:t xml:space="preserve"> </w:t>
      </w:r>
      <m:oMath>
        <m:r>
          <m:t>c</m:t>
        </m:r>
        <m:r>
          <m:rPr>
            <m:sty m:val="p"/>
          </m:rPr>
          <m:t>←</m:t>
        </m:r>
        <m:r>
          <m:t>0</m:t>
        </m:r>
      </m:oMath>
      <w:r>
        <w:t xml:space="preserve">.</w:t>
      </w:r>
    </w:p>
    <w:p>
      <w:pPr>
        <w:pStyle w:val="BodyText"/>
      </w:pPr>
      <w:r>
        <w:t xml:space="preserve">For a receive of a message stamped</w:t>
      </w:r>
      <w:r>
        <w:t xml:space="preserve"> </w:t>
      </w:r>
      <m:oMath>
        <m:d>
          <m:dPr>
            <m:begChr m:val="("/>
            <m:endChr m:val=")"/>
            <m:sepChr m:val=""/>
            <m:grow/>
          </m:dPr>
          <m:e>
            <m:sSub>
              <m:e>
                <m:r>
                  <m:t>l</m:t>
                </m:r>
              </m:e>
              <m:sub>
                <m:r>
                  <m:t>m</m:t>
                </m:r>
              </m:sub>
            </m:sSub>
            <m:r>
              <m:rPr>
                <m:sty m:val="p"/>
              </m:rPr>
              <m:t>,</m:t>
            </m:r>
            <m:sSub>
              <m:e>
                <m:r>
                  <m:t>c</m:t>
                </m:r>
              </m:e>
              <m:sub>
                <m:r>
                  <m:t>m</m:t>
                </m:r>
              </m:sub>
            </m:sSub>
          </m:e>
        </m:d>
      </m:oMath>
      <w:r>
        <w:t xml:space="preserve">: set</w:t>
      </w:r>
      <w:r>
        <w:t xml:space="preserve"> </w:t>
      </w:r>
      <m:oMath>
        <m:r>
          <m:t>l</m:t>
        </m:r>
        <m:r>
          <m:rPr>
            <m:sty m:val="p"/>
          </m:rPr>
          <m:t>←</m:t>
        </m:r>
        <m:r>
          <m:rPr>
            <m:sty m:val="p"/>
          </m:rPr>
          <m:t>max</m:t>
        </m:r>
        <m:d>
          <m:dPr>
            <m:begChr m:val="("/>
            <m:endChr m:val=")"/>
            <m:sepChr m:val=""/>
            <m:grow/>
          </m:dPr>
          <m:e>
            <m:r>
              <m:t>l</m:t>
            </m:r>
            <m:r>
              <m:rPr>
                <m:sty m:val="p"/>
              </m:rPr>
              <m:t>′</m:t>
            </m:r>
            <m:r>
              <m:rPr>
                <m:sty m:val="p"/>
              </m:rPr>
              <m:t>,</m:t>
            </m:r>
            <m:sSub>
              <m:e>
                <m:r>
                  <m:t>l</m:t>
                </m:r>
              </m:e>
              <m:sub>
                <m:r>
                  <m:t>m</m:t>
                </m:r>
              </m:sub>
            </m:sSub>
            <m:r>
              <m:rPr>
                <m:sty m:val="p"/>
              </m:rPr>
              <m:t>,</m:t>
            </m:r>
            <m:r>
              <m:t>p</m:t>
            </m:r>
            <m:r>
              <m:t>t</m:t>
            </m:r>
          </m:e>
        </m:d>
      </m:oMath>
      <w:r>
        <w:t xml:space="preserve">; then</w:t>
      </w:r>
      <w:r>
        <w:t xml:space="preserve"> </w:t>
      </w:r>
      <m:oMath>
        <m:r>
          <m:t>c</m:t>
        </m:r>
        <m:r>
          <m:rPr>
            <m:sty m:val="p"/>
          </m:rPr>
          <m:t>←</m:t>
        </m:r>
        <m:r>
          <m:rPr>
            <m:sty m:val="p"/>
          </m:rPr>
          <m:t>max</m:t>
        </m:r>
        <m:d>
          <m:dPr>
            <m:begChr m:val="("/>
            <m:endChr m:val=")"/>
            <m:sepChr m:val=""/>
            <m:grow/>
          </m:dPr>
          <m:e>
            <m:r>
              <m:t>c</m:t>
            </m:r>
            <m:r>
              <m:rPr>
                <m:sty m:val="p"/>
              </m:rPr>
              <m:t>,</m:t>
            </m:r>
            <m:sSub>
              <m:e>
                <m:r>
                  <m:t>c</m:t>
                </m:r>
              </m:e>
              <m:sub>
                <m:r>
                  <m:t>m</m:t>
                </m:r>
              </m:sub>
            </m:sSub>
          </m:e>
        </m:d>
        <m:r>
          <m:rPr>
            <m:sty m:val="p"/>
          </m:rPr>
          <m:t>+</m:t>
        </m:r>
        <m:r>
          <m:t>1</m:t>
        </m:r>
      </m:oMath>
      <w:r>
        <w:t xml:space="preserve"> </w:t>
      </w:r>
      <w:r>
        <w:t xml:space="preserve">if</w:t>
      </w:r>
      <w:r>
        <w:t xml:space="preserve"> </w:t>
      </w:r>
      <m:oMath>
        <m:r>
          <m:t>l</m:t>
        </m:r>
      </m:oMath>
      <w:r>
        <w:t xml:space="preserve"> </w:t>
      </w:r>
      <w:r>
        <w:t xml:space="preserve">equals both</w:t>
      </w:r>
      <w:r>
        <w:t xml:space="preserve"> </w:t>
      </w:r>
      <m:oMath>
        <m:r>
          <m:t>l</m:t>
        </m:r>
        <m:r>
          <m:rPr>
            <m:sty m:val="p"/>
          </m:rPr>
          <m:t>′</m:t>
        </m:r>
      </m:oMath>
      <w:r>
        <w:t xml:space="preserve"> </w:t>
      </w:r>
      <w:r>
        <w:t xml:space="preserve">and</w:t>
      </w:r>
      <w:r>
        <w:t xml:space="preserve"> </w:t>
      </w:r>
      <m:oMath>
        <m:sSub>
          <m:e>
            <m:r>
              <m:t>l</m:t>
            </m:r>
          </m:e>
          <m:sub>
            <m:r>
              <m:t>m</m:t>
            </m:r>
          </m:sub>
        </m:sSub>
      </m:oMath>
      <w:r>
        <w:t xml:space="preserve">;</w:t>
      </w:r>
      <w:r>
        <w:t xml:space="preserve"> </w:t>
      </w:r>
      <m:oMath>
        <m:r>
          <m:t>c</m:t>
        </m:r>
        <m:r>
          <m:rPr>
            <m:sty m:val="p"/>
          </m:rPr>
          <m:t>←</m:t>
        </m:r>
        <m:r>
          <m:t>c</m:t>
        </m:r>
        <m:r>
          <m:rPr>
            <m:sty m:val="p"/>
          </m:rPr>
          <m:t>+</m:t>
        </m:r>
        <m:r>
          <m:t>1</m:t>
        </m:r>
      </m:oMath>
      <w:r>
        <w:t xml:space="preserve"> </w:t>
      </w:r>
      <w:r>
        <w:t xml:space="preserve">if</w:t>
      </w:r>
      <w:r>
        <w:t xml:space="preserve"> </w:t>
      </w:r>
      <m:oMath>
        <m:r>
          <m:t>l</m:t>
        </m:r>
        <m:r>
          <m:rPr>
            <m:sty m:val="p"/>
          </m:rPr>
          <m:t>=</m:t>
        </m:r>
        <m:r>
          <m:t>l</m:t>
        </m:r>
        <m:r>
          <m:rPr>
            <m:sty m:val="p"/>
          </m:rPr>
          <m:t>′</m:t>
        </m:r>
      </m:oMath>
      <w:r>
        <w:t xml:space="preserve"> </w:t>
      </w:r>
      <w:r>
        <w:t xml:space="preserve">only;</w:t>
      </w:r>
      <w:r>
        <w:t xml:space="preserve"> </w:t>
      </w:r>
      <m:oMath>
        <m:r>
          <m:t>c</m:t>
        </m:r>
        <m:r>
          <m:rPr>
            <m:sty m:val="p"/>
          </m:rPr>
          <m:t>←</m:t>
        </m:r>
        <m:sSub>
          <m:e>
            <m:r>
              <m:t>c</m:t>
            </m:r>
          </m:e>
          <m:sub>
            <m:r>
              <m:t>m</m:t>
            </m:r>
          </m:sub>
        </m:sSub>
        <m:r>
          <m:rPr>
            <m:sty m:val="p"/>
          </m:rPr>
          <m:t>+</m:t>
        </m:r>
        <m:r>
          <m:t>1</m:t>
        </m:r>
      </m:oMath>
      <w:r>
        <w:t xml:space="preserve"> </w:t>
      </w:r>
      <w:r>
        <w:t xml:space="preserve">if</w:t>
      </w:r>
      <w:r>
        <w:t xml:space="preserve"> </w:t>
      </w:r>
      <m:oMath>
        <m:r>
          <m:t>l</m:t>
        </m:r>
        <m:r>
          <m:rPr>
            <m:sty m:val="p"/>
          </m:rPr>
          <m:t>=</m:t>
        </m:r>
        <m:sSub>
          <m:e>
            <m:r>
              <m:t>l</m:t>
            </m:r>
          </m:e>
          <m:sub>
            <m:r>
              <m:t>m</m:t>
            </m:r>
          </m:sub>
        </m:sSub>
      </m:oMath>
      <w:r>
        <w:t xml:space="preserve"> </w:t>
      </w:r>
      <w:r>
        <w:t xml:space="preserve">only; otherwise</w:t>
      </w:r>
      <w:r>
        <w:t xml:space="preserve"> </w:t>
      </w:r>
      <m:oMath>
        <m:r>
          <m:t>c</m:t>
        </m:r>
        <m:r>
          <m:rPr>
            <m:sty m:val="p"/>
          </m:rPr>
          <m:t>←</m:t>
        </m:r>
        <m:r>
          <m:t>0</m:t>
        </m:r>
      </m:oMath>
      <w:r>
        <w:t xml:space="preserve">.</w:t>
      </w:r>
    </w:p>
    <w:p>
      <w:pPr>
        <w:pStyle w:val="BodyText"/>
      </w:pPr>
      <w:r>
        <w:t xml:space="preserve">The paper proves that</w:t>
      </w:r>
      <w:r>
        <w:t xml:space="preserve"> </w:t>
      </w:r>
      <m:oMath>
        <m:r>
          <m:t>e</m:t>
        </m:r>
        <m:r>
          <m:rPr>
            <m:sty m:val="p"/>
          </m:rPr>
          <m:t>→</m:t>
        </m:r>
        <m:r>
          <m:t>f</m:t>
        </m:r>
      </m:oMath>
      <w:r>
        <w:t xml:space="preserve"> </w:t>
      </w:r>
      <w:r>
        <w:t xml:space="preserve">implies</w:t>
      </w:r>
      <w:r>
        <w:t xml:space="preserve"> </w:t>
      </w:r>
      <m:oMath>
        <m:r>
          <m:rPr>
            <m:nor/>
            <m:sty m:val="p"/>
          </m:rPr>
          <m:t>hlc</m:t>
        </m:r>
        <m:d>
          <m:dPr>
            <m:begChr m:val="("/>
            <m:endChr m:val=")"/>
            <m:sepChr m:val=""/>
            <m:grow/>
          </m:dPr>
          <m:e>
            <m:r>
              <m:t>e</m:t>
            </m:r>
          </m:e>
        </m:d>
        <m:r>
          <m:rPr>
            <m:sty m:val="p"/>
          </m:rPr>
          <m:t>&lt;</m:t>
        </m:r>
        <m:r>
          <m:rPr>
            <m:nor/>
            <m:sty m:val="p"/>
          </m:rPr>
          <m:t>hlc</m:t>
        </m:r>
        <m:d>
          <m:dPr>
            <m:begChr m:val="("/>
            <m:endChr m:val=")"/>
            <m:sepChr m:val=""/>
            <m:grow/>
          </m:dPr>
          <m:e>
            <m:r>
              <m:t>f</m:t>
            </m:r>
          </m:e>
        </m:d>
      </m:oMath>
      <w:r>
        <w:t xml:space="preserve">, that</w:t>
      </w:r>
      <w:r>
        <w:t xml:space="preserve"> </w:t>
      </w:r>
      <m:oMath>
        <m:r>
          <m:t>l</m:t>
        </m:r>
        <m:r>
          <m:rPr>
            <m:sty m:val="p"/>
          </m:rPr>
          <m:t>−</m:t>
        </m:r>
        <m:r>
          <m:t>p</m:t>
        </m:r>
        <m:r>
          <m:t>t</m:t>
        </m:r>
        <m:r>
          <m:rPr>
            <m:sty m:val="p"/>
          </m:rPr>
          <m:t>≤</m:t>
        </m:r>
        <m:r>
          <m:t>ε</m:t>
        </m:r>
      </m:oMath>
      <w:r>
        <w:t xml:space="preserve"> </w:t>
      </w:r>
      <w:r>
        <w:t xml:space="preserve">(the clock skew) because</w:t>
      </w:r>
      <w:r>
        <w:t xml:space="preserve"> </w:t>
      </w:r>
      <m:oMath>
        <m:r>
          <m:t>l</m:t>
        </m:r>
      </m:oMath>
      <w:r>
        <w:t xml:space="preserve"> </w:t>
      </w:r>
      <w:r>
        <w:t xml:space="preserve">is always some node’s clock reading, and that</w:t>
      </w:r>
      <w:r>
        <w:t xml:space="preserve"> </w:t>
      </w:r>
      <m:oMath>
        <m:r>
          <m:t>c</m:t>
        </m:r>
      </m:oMath>
      <w:r>
        <w:t xml:space="preserve"> </w:t>
      </w:r>
      <w:r>
        <w:t xml:space="preserve">stays small, so 48 bits of</w:t>
      </w:r>
      <w:r>
        <w:t xml:space="preserve"> </w:t>
      </w:r>
      <m:oMath>
        <m:r>
          <m:t>l</m:t>
        </m:r>
      </m:oMath>
      <w:r>
        <w:t xml:space="preserve"> </w:t>
      </w:r>
      <w:r>
        <w:t xml:space="preserve">plus 16 bits of</w:t>
      </w:r>
      <w:r>
        <w:t xml:space="preserve"> </w:t>
      </w:r>
      <m:oMath>
        <m:r>
          <m:t>c</m:t>
        </m:r>
      </m:oMath>
      <w:r>
        <w:t xml:space="preserve"> </w:t>
      </w:r>
      <w:r>
        <w:t xml:space="preserve">fit a 64-bit time field.</w:t>
      </w:r>
    </w:p>
    <w:p>
      <w:pPr>
        <w:pStyle w:val="BodyText"/>
      </w:pPr>
      <w:r>
        <w:rPr>
          <w:bCs/>
          <w:b/>
        </w:rPr>
        <w:t xml:space="preserve">Figure 24.13 — HLC keeps causal order when node A’s clock runs 100 ms fast.</w:t>
      </w:r>
    </w:p>
    <w:p>
      <w:pPr>
        <w:pStyle w:val="BodyText"/>
      </w:pPr>
      <w:r>
        <w:drawing>
          <wp:inline>
            <wp:extent cx="5334000" cy="3959539"/>
            <wp:effectExtent b="0" l="0" r="0" t="0"/>
            <wp:docPr descr="" title="" id="2743" name="Picture"/>
            <a:graphic>
              <a:graphicData uri="http://schemas.openxmlformats.org/drawingml/2006/picture">
                <pic:pic>
                  <pic:nvPicPr>
                    <pic:cNvPr descr="/home/user/System-Design/build/.cache/diagrams/7873d149b2f1.png" id="2744" name="Picture"/>
                    <pic:cNvPicPr>
                      <a:picLocks noChangeArrowheads="1" noChangeAspect="1"/>
                    </pic:cNvPicPr>
                  </pic:nvPicPr>
                  <pic:blipFill>
                    <a:blip r:embed="rId2742"/>
                    <a:stretch>
                      <a:fillRect/>
                    </a:stretch>
                  </pic:blipFill>
                  <pic:spPr bwMode="auto">
                    <a:xfrm>
                      <a:off x="0" y="0"/>
                      <a:ext cx="5334000" cy="3959539"/>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Times are in milliseconds. A’s message reaches B when B’s wall clock reads 1001,</w:t>
      </w:r>
      <w:r>
        <w:t xml:space="preserve"> </w:t>
      </w:r>
      <w:r>
        <w:rPr>
          <w:iCs/>
          <w:i/>
        </w:rPr>
        <w:t xml:space="preserve">before</w:t>
      </w:r>
      <w:r>
        <w:t xml:space="preserve"> </w:t>
      </w:r>
      <w:r>
        <w:t xml:space="preserve">the send stamp 1100; physical timestamps would invert the order. B’s HLC adopts</w:t>
      </w:r>
      <w:r>
        <w:t xml:space="preserve"> </w:t>
      </w:r>
      <m:oMath>
        <m:r>
          <m:t>l</m:t>
        </m:r>
        <m:r>
          <m:rPr>
            <m:sty m:val="p"/>
          </m:rPr>
          <m:t>=</m:t>
        </m:r>
        <m:r>
          <m:t>1100</m:t>
        </m:r>
      </m:oMath>
      <w:r>
        <w:t xml:space="preserve"> </w:t>
      </w:r>
      <w:r>
        <w:t xml:space="preserve">and counts with</w:t>
      </w:r>
      <w:r>
        <w:t xml:space="preserve"> </w:t>
      </w:r>
      <m:oMath>
        <m:r>
          <m:t>c</m:t>
        </m:r>
      </m:oMath>
      <w:r>
        <w:t xml:space="preserve">, ordering the receipt and B’s next write after the send. Messages are asynchronous; the clock has no storage boundary. At 1150,</w:t>
      </w:r>
      <w:r>
        <w:t xml:space="preserve"> </w:t>
      </w:r>
      <m:oMath>
        <m:r>
          <m:t>l</m:t>
        </m:r>
      </m:oMath>
      <w:r>
        <w:t xml:space="preserve"> </w:t>
      </w:r>
      <w:r>
        <w:t xml:space="preserve">returns to physical time. The failure point is unbounded skew: one wildly fast clock drags every HLC forward, so production systems bound and monitor offsets.</w:t>
      </w:r>
    </w:p>
    <w:bookmarkEnd w:id="2745"/>
    <w:bookmarkStart w:id="2746" w:name="code-example-31"/>
    <w:p>
      <w:pPr>
        <w:pStyle w:val="Heading3"/>
      </w:pPr>
      <w:r>
        <w:t xml:space="preserve">24.12.3 Code example</w:t>
      </w:r>
    </w:p>
    <w:p>
      <w:pPr>
        <w:pStyle w:val="SourceCode"/>
      </w:pPr>
      <w:r>
        <w:rPr>
          <w:rStyle w:val="CommentTok"/>
        </w:rPr>
        <w:t xml:space="preserve">"""Hybrid logical clock (Kulkarni et al. 2014) on two nodes whose clocks disagree by 100 ms."""</w:t>
      </w:r>
      <w:r>
        <w:br/>
      </w:r>
      <w:r>
        <w:br/>
      </w:r>
      <w:r>
        <w:br/>
      </w:r>
      <w:r>
        <w:rPr>
          <w:rStyle w:val="KeywordTok"/>
        </w:rPr>
        <w:t xml:space="preserve">class</w:t>
      </w:r>
      <w:r>
        <w:rPr>
          <w:rStyle w:val="NormalTok"/>
        </w:rPr>
        <w:t xml:space="preserve"> HLC:</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physical_clock):</w:t>
      </w:r>
      <w:r>
        <w:br/>
      </w:r>
      <w:r>
        <w:rPr>
          <w:rStyle w:val="NormalTok"/>
        </w:rPr>
        <w:t xml:space="preserve">        </w:t>
      </w:r>
      <w:r>
        <w:rPr>
          <w:rStyle w:val="VariableTok"/>
        </w:rPr>
        <w:t xml:space="preserve">self</w:t>
      </w:r>
      <w:r>
        <w:rPr>
          <w:rStyle w:val="NormalTok"/>
        </w:rPr>
        <w:t xml:space="preserve">.pt </w:t>
      </w:r>
      <w:r>
        <w:rPr>
          <w:rStyle w:val="OperatorTok"/>
        </w:rPr>
        <w:t xml:space="preserve">=</w:t>
      </w:r>
      <w:r>
        <w:rPr>
          <w:rStyle w:val="NormalTok"/>
        </w:rPr>
        <w:t xml:space="preserve"> physical_clock      </w:t>
      </w:r>
      <w:r>
        <w:rPr>
          <w:rStyle w:val="CommentTok"/>
        </w:rPr>
        <w:t xml:space="preserve"># function returning this node's wall clock, in ms</w:t>
      </w:r>
      <w:r>
        <w:br/>
      </w:r>
      <w:r>
        <w:rPr>
          <w:rStyle w:val="NormalTok"/>
        </w:rPr>
        <w:t xml:space="preserve">        </w:t>
      </w:r>
      <w:r>
        <w:rPr>
          <w:rStyle w:val="VariableTok"/>
        </w:rPr>
        <w:t xml:space="preserve">self</w:t>
      </w:r>
      <w:r>
        <w:rPr>
          <w:rStyle w:val="NormalTok"/>
        </w:rPr>
        <w:t xml:space="preserve">.l, </w:t>
      </w:r>
      <w:r>
        <w:rPr>
          <w:rStyle w:val="VariableTok"/>
        </w:rPr>
        <w:t xml:space="preserve">self</w:t>
      </w:r>
      <w:r>
        <w:rPr>
          <w:rStyle w:val="NormalTok"/>
        </w:rPr>
        <w:t xml:space="preserve">.c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CommentTok"/>
        </w:rPr>
        <w:t xml:space="preserve"># l: largest physical time seen; c: logical counter</w:t>
      </w:r>
      <w:r>
        <w:br/>
      </w:r>
      <w:r>
        <w:br/>
      </w:r>
      <w:r>
        <w:rPr>
          <w:rStyle w:val="NormalTok"/>
        </w:rPr>
        <w:t xml:space="preserve">    </w:t>
      </w:r>
      <w:r>
        <w:rPr>
          <w:rStyle w:val="KeywordTok"/>
        </w:rPr>
        <w:t xml:space="preserve">def</w:t>
      </w:r>
      <w:r>
        <w:rPr>
          <w:rStyle w:val="NormalTok"/>
        </w:rPr>
        <w:t xml:space="preserve"> now(</w:t>
      </w:r>
      <w:r>
        <w:rPr>
          <w:rStyle w:val="VariableTok"/>
        </w:rPr>
        <w:t xml:space="preserve">self</w:t>
      </w:r>
      <w:r>
        <w:rPr>
          <w:rStyle w:val="NormalTok"/>
        </w:rPr>
        <w:t xml:space="preserve">):</w:t>
      </w:r>
      <w:r>
        <w:br/>
      </w:r>
      <w:r>
        <w:rPr>
          <w:rStyle w:val="NormalTok"/>
        </w:rPr>
        <w:t xml:space="preserve">        </w:t>
      </w:r>
      <w:r>
        <w:rPr>
          <w:rStyle w:val="CommentTok"/>
        </w:rPr>
        <w:t xml:space="preserve">"""Timestamp a local or send event."""</w:t>
      </w:r>
      <w:r>
        <w:br/>
      </w:r>
      <w:r>
        <w:rPr>
          <w:rStyle w:val="NormalTok"/>
        </w:rPr>
        <w:t xml:space="preserve">        old_l </w:t>
      </w:r>
      <w:r>
        <w:rPr>
          <w:rStyle w:val="OperatorTok"/>
        </w:rPr>
        <w:t xml:space="preserve">=</w:t>
      </w:r>
      <w:r>
        <w:rPr>
          <w:rStyle w:val="NormalTok"/>
        </w:rPr>
        <w:t xml:space="preserve"> </w:t>
      </w:r>
      <w:r>
        <w:rPr>
          <w:rStyle w:val="VariableTok"/>
        </w:rPr>
        <w:t xml:space="preserve">self</w:t>
      </w:r>
      <w:r>
        <w:rPr>
          <w:rStyle w:val="NormalTok"/>
        </w:rPr>
        <w:t xml:space="preserve">.l</w:t>
      </w:r>
      <w:r>
        <w:br/>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w:t>
      </w:r>
      <w:r>
        <w:rPr>
          <w:rStyle w:val="BuiltInTok"/>
        </w:rPr>
        <w:t xml:space="preserve">max</w:t>
      </w:r>
      <w:r>
        <w:rPr>
          <w:rStyle w:val="NormalTok"/>
        </w:rPr>
        <w:t xml:space="preserve">(old_l, </w:t>
      </w:r>
      <w:r>
        <w:rPr>
          <w:rStyle w:val="VariableTok"/>
        </w:rPr>
        <w:t xml:space="preserve">self</w:t>
      </w:r>
      <w:r>
        <w:rPr>
          <w:rStyle w:val="NormalTok"/>
        </w:rPr>
        <w:t xml:space="preserve">.pt())</w:t>
      </w:r>
      <w:r>
        <w:br/>
      </w:r>
      <w:r>
        <w:rPr>
          <w:rStyle w:val="NormalTok"/>
        </w:rPr>
        <w:t xml:space="preserve">        </w:t>
      </w:r>
      <w:r>
        <w:rPr>
          <w:rStyle w:val="VariableTok"/>
        </w:rPr>
        <w:t xml:space="preserve">self</w:t>
      </w:r>
      <w:r>
        <w:rPr>
          <w:rStyle w:val="NormalTok"/>
        </w:rPr>
        <w:t xml:space="preserve">.c </w:t>
      </w:r>
      <w:r>
        <w:rPr>
          <w:rStyle w:val="OperatorTok"/>
        </w:rPr>
        <w:t xml:space="preserve">=</w:t>
      </w:r>
      <w:r>
        <w:rPr>
          <w:rStyle w:val="NormalTok"/>
        </w:rPr>
        <w:t xml:space="preserve"> </w:t>
      </w:r>
      <w:r>
        <w:rPr>
          <w:rStyle w:val="VariableTok"/>
        </w:rPr>
        <w:t xml:space="preserve">self</w:t>
      </w:r>
      <w:r>
        <w:rPr>
          <w:rStyle w:val="NormalTok"/>
        </w:rPr>
        <w:t xml:space="preserve">.c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old_l </w:t>
      </w:r>
      <w:r>
        <w:rPr>
          <w:rStyle w:val="ControlFlowTok"/>
        </w:rPr>
        <w:t xml:space="preserve">else</w:t>
      </w:r>
      <w:r>
        <w:rPr>
          <w:rStyle w:val="NormalTok"/>
        </w:rPr>
        <w:t xml:space="preserve"> </w:t>
      </w:r>
      <w:r>
        <w:rPr>
          <w:rStyle w:val="DecValTok"/>
        </w:rPr>
        <w:t xml:space="preserve">0</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.l, </w:t>
      </w:r>
      <w:r>
        <w:rPr>
          <w:rStyle w:val="VariableTok"/>
        </w:rPr>
        <w:t xml:space="preserve">self</w:t>
      </w:r>
      <w:r>
        <w:rPr>
          <w:rStyle w:val="NormalTok"/>
        </w:rPr>
        <w:t xml:space="preserve">.c)</w:t>
      </w:r>
      <w:r>
        <w:br/>
      </w:r>
      <w:r>
        <w:br/>
      </w:r>
      <w:r>
        <w:rPr>
          <w:rStyle w:val="NormalTok"/>
        </w:rPr>
        <w:t xml:space="preserve">    </w:t>
      </w:r>
      <w:r>
        <w:rPr>
          <w:rStyle w:val="KeywordTok"/>
        </w:rPr>
        <w:t xml:space="preserve">def</w:t>
      </w:r>
      <w:r>
        <w:rPr>
          <w:rStyle w:val="NormalTok"/>
        </w:rPr>
        <w:t xml:space="preserve"> update(</w:t>
      </w:r>
      <w:r>
        <w:rPr>
          <w:rStyle w:val="VariableTok"/>
        </w:rPr>
        <w:t xml:space="preserve">self</w:t>
      </w:r>
      <w:r>
        <w:rPr>
          <w:rStyle w:val="NormalTok"/>
        </w:rPr>
        <w:t xml:space="preserve">, msg):</w:t>
      </w:r>
      <w:r>
        <w:br/>
      </w:r>
      <w:r>
        <w:rPr>
          <w:rStyle w:val="NormalTok"/>
        </w:rPr>
        <w:t xml:space="preserve">        </w:t>
      </w:r>
      <w:r>
        <w:rPr>
          <w:rStyle w:val="CommentTok"/>
        </w:rPr>
        <w:t xml:space="preserve">"""Timestamp a receive event for a message stamped msg = (l_m, c_m)."""</w:t>
      </w:r>
      <w:r>
        <w:br/>
      </w:r>
      <w:r>
        <w:rPr>
          <w:rStyle w:val="NormalTok"/>
        </w:rPr>
        <w:t xml:space="preserve">        l_m, c_m </w:t>
      </w:r>
      <w:r>
        <w:rPr>
          <w:rStyle w:val="OperatorTok"/>
        </w:rPr>
        <w:t xml:space="preserve">=</w:t>
      </w:r>
      <w:r>
        <w:rPr>
          <w:rStyle w:val="NormalTok"/>
        </w:rPr>
        <w:t xml:space="preserve"> msg</w:t>
      </w:r>
      <w:r>
        <w:br/>
      </w:r>
      <w:r>
        <w:rPr>
          <w:rStyle w:val="NormalTok"/>
        </w:rPr>
        <w:t xml:space="preserve">        old_l </w:t>
      </w:r>
      <w:r>
        <w:rPr>
          <w:rStyle w:val="OperatorTok"/>
        </w:rPr>
        <w:t xml:space="preserve">=</w:t>
      </w:r>
      <w:r>
        <w:rPr>
          <w:rStyle w:val="NormalTok"/>
        </w:rPr>
        <w:t xml:space="preserve"> </w:t>
      </w:r>
      <w:r>
        <w:rPr>
          <w:rStyle w:val="VariableTok"/>
        </w:rPr>
        <w:t xml:space="preserve">self</w:t>
      </w:r>
      <w:r>
        <w:rPr>
          <w:rStyle w:val="NormalTok"/>
        </w:rPr>
        <w:t xml:space="preserve">.l</w:t>
      </w:r>
      <w:r>
        <w:br/>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w:t>
      </w:r>
      <w:r>
        <w:rPr>
          <w:rStyle w:val="BuiltInTok"/>
        </w:rPr>
        <w:t xml:space="preserve">max</w:t>
      </w:r>
      <w:r>
        <w:rPr>
          <w:rStyle w:val="NormalTok"/>
        </w:rPr>
        <w:t xml:space="preserve">(old_l, l_m, </w:t>
      </w:r>
      <w:r>
        <w:rPr>
          <w:rStyle w:val="VariableTok"/>
        </w:rPr>
        <w:t xml:space="preserve">self</w:t>
      </w:r>
      <w:r>
        <w:rPr>
          <w:rStyle w:val="NormalTok"/>
        </w:rPr>
        <w:t xml:space="preserve">.pt())</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old_l </w:t>
      </w:r>
      <w:r>
        <w:rPr>
          <w:rStyle w:val="OperatorTok"/>
        </w:rPr>
        <w:t xml:space="preserve">==</w:t>
      </w:r>
      <w:r>
        <w:rPr>
          <w:rStyle w:val="NormalTok"/>
        </w:rPr>
        <w:t xml:space="preserve"> l_m:</w:t>
      </w:r>
      <w:r>
        <w:br/>
      </w:r>
      <w:r>
        <w:rPr>
          <w:rStyle w:val="NormalTok"/>
        </w:rPr>
        <w:t xml:space="preserve">            </w:t>
      </w:r>
      <w:r>
        <w:rPr>
          <w:rStyle w:val="VariableTok"/>
        </w:rPr>
        <w:t xml:space="preserve">self</w:t>
      </w:r>
      <w:r>
        <w:rPr>
          <w:rStyle w:val="NormalTok"/>
        </w:rPr>
        <w:t xml:space="preserve">.c </w:t>
      </w:r>
      <w:r>
        <w:rPr>
          <w:rStyle w:val="OperatorTok"/>
        </w:rPr>
        <w:t xml:space="preserve">=</w:t>
      </w:r>
      <w:r>
        <w:rPr>
          <w:rStyle w:val="NormalTok"/>
        </w:rPr>
        <w:t xml:space="preserve"> </w:t>
      </w:r>
      <w:r>
        <w:rPr>
          <w:rStyle w:val="BuiltInTok"/>
        </w:rPr>
        <w:t xml:space="preserve">max</w:t>
      </w:r>
      <w:r>
        <w:rPr>
          <w:rStyle w:val="NormalTok"/>
        </w:rPr>
        <w:t xml:space="preserve">(</w:t>
      </w:r>
      <w:r>
        <w:rPr>
          <w:rStyle w:val="VariableTok"/>
        </w:rPr>
        <w:t xml:space="preserve">self</w:t>
      </w:r>
      <w:r>
        <w:rPr>
          <w:rStyle w:val="NormalTok"/>
        </w:rPr>
        <w:t xml:space="preserve">.c, c_m)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elif</w:t>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old_l:</w:t>
      </w:r>
      <w:r>
        <w:br/>
      </w:r>
      <w:r>
        <w:rPr>
          <w:rStyle w:val="NormalTok"/>
        </w:rPr>
        <w:t xml:space="preserve">            </w:t>
      </w:r>
      <w:r>
        <w:rPr>
          <w:rStyle w:val="VariableTok"/>
        </w:rPr>
        <w:t xml:space="preserve">self</w:t>
      </w:r>
      <w:r>
        <w:rPr>
          <w:rStyle w:val="NormalTok"/>
        </w:rPr>
        <w:t xml:space="preserve">.c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elif</w:t>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l_m:</w:t>
      </w:r>
      <w:r>
        <w:br/>
      </w:r>
      <w:r>
        <w:rPr>
          <w:rStyle w:val="NormalTok"/>
        </w:rPr>
        <w:t xml:space="preserve">            </w:t>
      </w:r>
      <w:r>
        <w:rPr>
          <w:rStyle w:val="VariableTok"/>
        </w:rPr>
        <w:t xml:space="preserve">self</w:t>
      </w:r>
      <w:r>
        <w:rPr>
          <w:rStyle w:val="NormalTok"/>
        </w:rPr>
        <w:t xml:space="preserve">.c </w:t>
      </w:r>
      <w:r>
        <w:rPr>
          <w:rStyle w:val="OperatorTok"/>
        </w:rPr>
        <w:t xml:space="preserve">=</w:t>
      </w:r>
      <w:r>
        <w:rPr>
          <w:rStyle w:val="NormalTok"/>
        </w:rPr>
        <w:t xml:space="preserve"> c_m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VariableTok"/>
        </w:rPr>
        <w:t xml:space="preserve">self</w:t>
      </w:r>
      <w:r>
        <w:rPr>
          <w:rStyle w:val="NormalTok"/>
        </w:rPr>
        <w:t xml:space="preserve">.c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.l, </w:t>
      </w:r>
      <w:r>
        <w:rPr>
          <w:rStyle w:val="VariableTok"/>
        </w:rPr>
        <w:t xml:space="preserve">self</w:t>
      </w:r>
      <w:r>
        <w:rPr>
          <w:rStyle w:val="NormalTok"/>
        </w:rPr>
        <w:t xml:space="preserve">.c)</w:t>
      </w:r>
      <w:r>
        <w:br/>
      </w:r>
      <w:r>
        <w:br/>
      </w:r>
      <w:r>
        <w:br/>
      </w:r>
      <w:r>
        <w:rPr>
          <w:rStyle w:val="KeywordTok"/>
        </w:rPr>
        <w:t xml:space="preserve">def</w:t>
      </w:r>
      <w:r>
        <w:rPr>
          <w:rStyle w:val="NormalTok"/>
        </w:rPr>
        <w:t xml:space="preserve"> pack(ts):</w:t>
      </w:r>
      <w:r>
        <w:br/>
      </w:r>
      <w:r>
        <w:rPr>
          <w:rStyle w:val="NormalTok"/>
        </w:rPr>
        <w:t xml:space="preserve">    </w:t>
      </w:r>
      <w:r>
        <w:rPr>
          <w:rStyle w:val="CommentTok"/>
        </w:rPr>
        <w:t xml:space="preserve">"""48 bits of milliseconds plus a 16-bit counter fit in one 64-bit integer."""</w:t>
      </w:r>
      <w:r>
        <w:br/>
      </w:r>
      <w:r>
        <w:rPr>
          <w:rStyle w:val="NormalTok"/>
        </w:rPr>
        <w:t xml:space="preserve">    l, c </w:t>
      </w:r>
      <w:r>
        <w:rPr>
          <w:rStyle w:val="OperatorTok"/>
        </w:rPr>
        <w:t xml:space="preserve">=</w:t>
      </w:r>
      <w:r>
        <w:rPr>
          <w:rStyle w:val="NormalTok"/>
        </w:rPr>
        <w:t xml:space="preserve"> ts</w:t>
      </w:r>
      <w:r>
        <w:br/>
      </w:r>
      <w:r>
        <w:rPr>
          <w:rStyle w:val="NormalTok"/>
        </w:rPr>
        <w:t xml:space="preserve">    </w:t>
      </w:r>
      <w:r>
        <w:rPr>
          <w:rStyle w:val="ControlFlowTok"/>
        </w:rPr>
        <w:t xml:space="preserve">assert</w:t>
      </w:r>
      <w:r>
        <w:rPr>
          <w:rStyle w:val="NormalTok"/>
        </w:rPr>
        <w:t xml:space="preserve"> c </w:t>
      </w:r>
      <w:r>
        <w:rPr>
          <w:rStyle w:val="OperatorTok"/>
        </w:rPr>
        <w:t xml:space="preserve">&lt;</w:t>
      </w:r>
      <w:r>
        <w:rPr>
          <w:rStyle w:val="NormalTok"/>
        </w:rPr>
        <w:t xml:space="preserve"> </w:t>
      </w:r>
      <w:r>
        <w:rPr>
          <w:rStyle w:val="DecValTok"/>
        </w:rPr>
        <w:t xml:space="preserve">2</w:t>
      </w:r>
      <w:r>
        <w:rPr>
          <w:rStyle w:val="OperatorTok"/>
        </w:rPr>
        <w:t xml:space="preserve">**</w:t>
      </w:r>
      <w:r>
        <w:rPr>
          <w:rStyle w:val="DecValTok"/>
        </w:rPr>
        <w:t xml:space="preserve">16</w:t>
      </w:r>
      <w:r>
        <w:br/>
      </w:r>
      <w:r>
        <w:rPr>
          <w:rStyle w:val="NormalTok"/>
        </w:rPr>
        <w:t xml:space="preserve">    </w:t>
      </w:r>
      <w:r>
        <w:rPr>
          <w:rStyle w:val="ControlFlowTok"/>
        </w:rPr>
        <w:t xml:space="preserve">return</w:t>
      </w:r>
      <w:r>
        <w:rPr>
          <w:rStyle w:val="NormalTok"/>
        </w:rPr>
        <w:t xml:space="preserve"> (l </w:t>
      </w:r>
      <w:r>
        <w:rPr>
          <w:rStyle w:val="OperatorTok"/>
        </w:rPr>
        <w:t xml:space="preserve">&lt;&lt;</w:t>
      </w:r>
      <w:r>
        <w:rPr>
          <w:rStyle w:val="NormalTok"/>
        </w:rPr>
        <w:t xml:space="preserve"> </w:t>
      </w:r>
      <w:r>
        <w:rPr>
          <w:rStyle w:val="DecValTok"/>
        </w:rPr>
        <w:t xml:space="preserve">16</w:t>
      </w:r>
      <w:r>
        <w:rPr>
          <w:rStyle w:val="NormalTok"/>
        </w:rPr>
        <w:t xml:space="preserve">) </w:t>
      </w:r>
      <w:r>
        <w:rPr>
          <w:rStyle w:val="OperatorTok"/>
        </w:rPr>
        <w:t xml:space="preserve">|</w:t>
      </w:r>
      <w:r>
        <w:rPr>
          <w:rStyle w:val="NormalTok"/>
        </w:rPr>
        <w:t xml:space="preserve"> c</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true_ms </w:t>
      </w:r>
      <w:r>
        <w:rPr>
          <w:rStyle w:val="OperatorTok"/>
        </w:rPr>
        <w:t xml:space="preserve">=</w:t>
      </w:r>
      <w:r>
        <w:rPr>
          <w:rStyle w:val="NormalTok"/>
        </w:rPr>
        <w:t xml:space="preserve"> </w:t>
      </w:r>
      <w:r>
        <w:rPr>
          <w:rStyle w:val="DecValTok"/>
        </w:rPr>
        <w:t xml:space="preserve">1000</w:t>
      </w:r>
      <w:r>
        <w:br/>
      </w:r>
      <w:r>
        <w:rPr>
          <w:rStyle w:val="NormalTok"/>
        </w:rPr>
        <w:t xml:space="preserve">    a </w:t>
      </w:r>
      <w:r>
        <w:rPr>
          <w:rStyle w:val="OperatorTok"/>
        </w:rPr>
        <w:t xml:space="preserve">=</w:t>
      </w:r>
      <w:r>
        <w:rPr>
          <w:rStyle w:val="NormalTok"/>
        </w:rPr>
        <w:t xml:space="preserve"> HLC(</w:t>
      </w:r>
      <w:r>
        <w:rPr>
          <w:rStyle w:val="KeywordTok"/>
        </w:rPr>
        <w:t xml:space="preserve">lambda</w:t>
      </w:r>
      <w:r>
        <w:rPr>
          <w:rStyle w:val="NormalTok"/>
        </w:rPr>
        <w:t xml:space="preserve">: true_ms </w:t>
      </w:r>
      <w:r>
        <w:rPr>
          <w:rStyle w:val="OperatorTok"/>
        </w:rPr>
        <w:t xml:space="preserve">+</w:t>
      </w:r>
      <w:r>
        <w:rPr>
          <w:rStyle w:val="NormalTok"/>
        </w:rPr>
        <w:t xml:space="preserve"> </w:t>
      </w:r>
      <w:r>
        <w:rPr>
          <w:rStyle w:val="DecValTok"/>
        </w:rPr>
        <w:t xml:space="preserve">100</w:t>
      </w:r>
      <w:r>
        <w:rPr>
          <w:rStyle w:val="NormalTok"/>
        </w:rPr>
        <w:t xml:space="preserve">)    </w:t>
      </w:r>
      <w:r>
        <w:rPr>
          <w:rStyle w:val="CommentTok"/>
        </w:rPr>
        <w:t xml:space="preserve"># node A's clock runs 100 ms fast</w:t>
      </w:r>
      <w:r>
        <w:br/>
      </w:r>
      <w:r>
        <w:rPr>
          <w:rStyle w:val="NormalTok"/>
        </w:rPr>
        <w:t xml:space="preserve">    b </w:t>
      </w:r>
      <w:r>
        <w:rPr>
          <w:rStyle w:val="OperatorTok"/>
        </w:rPr>
        <w:t xml:space="preserve">=</w:t>
      </w:r>
      <w:r>
        <w:rPr>
          <w:rStyle w:val="NormalTok"/>
        </w:rPr>
        <w:t xml:space="preserve"> HLC(</w:t>
      </w:r>
      <w:r>
        <w:rPr>
          <w:rStyle w:val="KeywordTok"/>
        </w:rPr>
        <w:t xml:space="preserve">lambda</w:t>
      </w:r>
      <w:r>
        <w:rPr>
          <w:rStyle w:val="NormalTok"/>
        </w:rPr>
        <w:t xml:space="preserve">: true_ms)          </w:t>
      </w:r>
      <w:r>
        <w:rPr>
          <w:rStyle w:val="CommentTok"/>
        </w:rPr>
        <w:t xml:space="preserve"># node B's clock is correct</w:t>
      </w:r>
      <w:r>
        <w:br/>
      </w:r>
      <w:r>
        <w:br/>
      </w:r>
      <w:r>
        <w:rPr>
          <w:rStyle w:val="NormalTok"/>
        </w:rPr>
        <w:t xml:space="preserve">    </w:t>
      </w:r>
      <w:r>
        <w:rPr>
          <w:rStyle w:val="KeywordTok"/>
        </w:rPr>
        <w:t xml:space="preserve">def</w:t>
      </w:r>
      <w:r>
        <w:rPr>
          <w:rStyle w:val="NormalTok"/>
        </w:rPr>
        <w:t xml:space="preserve"> show(event, node, ts, wall):</w:t>
      </w:r>
      <w:r>
        <w:br/>
      </w:r>
      <w:r>
        <w:rPr>
          <w:rStyle w:val="NormalTok"/>
        </w:rPr>
        <w:t xml:space="preserve">        </w:t>
      </w:r>
      <w:r>
        <w:rPr>
          <w:rStyle w:val="BuiltInTok"/>
        </w:rPr>
        <w:t xml:space="preserve">print</w:t>
      </w:r>
      <w:r>
        <w:rPr>
          <w:rStyle w:val="NormalTok"/>
        </w:rPr>
        <w:t xml:space="preserve">(</w:t>
      </w:r>
      <w:r>
        <w:rPr>
          <w:rStyle w:val="SpecialStringTok"/>
        </w:rPr>
        <w:t xml:space="preserve">f"true=</w:t>
      </w:r>
      <w:r>
        <w:rPr>
          <w:rStyle w:val="SpecialCharTok"/>
        </w:rPr>
        <w:t xml:space="preserve">{</w:t>
      </w:r>
      <w:r>
        <w:rPr>
          <w:rStyle w:val="NormalTok"/>
        </w:rPr>
        <w:t xml:space="preserve">true_ms</w:t>
      </w:r>
      <w:r>
        <w:rPr>
          <w:rStyle w:val="SpecialCharTok"/>
        </w:rPr>
        <w:t xml:space="preserve">}</w:t>
      </w:r>
      <w:r>
        <w:rPr>
          <w:rStyle w:val="SpecialStringTok"/>
        </w:rPr>
        <w:t xml:space="preserve"> </w:t>
      </w:r>
      <w:r>
        <w:rPr>
          <w:rStyle w:val="SpecialCharTok"/>
        </w:rPr>
        <w:t xml:space="preserve">{</w:t>
      </w:r>
      <w:r>
        <w:rPr>
          <w:rStyle w:val="NormalTok"/>
        </w:rPr>
        <w:t xml:space="preserve">event</w:t>
      </w:r>
      <w:r>
        <w:rPr>
          <w:rStyle w:val="SpecialCharTok"/>
        </w:rPr>
        <w:t xml:space="preserve">:&lt;15}</w:t>
      </w:r>
      <w:r>
        <w:rPr>
          <w:rStyle w:val="SpecialStringTok"/>
        </w:rPr>
        <w:t xml:space="preserve"> </w:t>
      </w:r>
      <w:r>
        <w:rPr>
          <w:rStyle w:val="SpecialCharTok"/>
        </w:rPr>
        <w:t xml:space="preserve">{</w:t>
      </w:r>
      <w:r>
        <w:rPr>
          <w:rStyle w:val="NormalTok"/>
        </w:rPr>
        <w:t xml:space="preserve">node</w:t>
      </w:r>
      <w:r>
        <w:rPr>
          <w:rStyle w:val="SpecialCharTok"/>
        </w:rPr>
        <w:t xml:space="preserve">}</w:t>
      </w:r>
      <w:r>
        <w:rPr>
          <w:rStyle w:val="SpecialStringTok"/>
        </w:rPr>
        <w:t xml:space="preserve">: wall=</w:t>
      </w:r>
      <w:r>
        <w:rPr>
          <w:rStyle w:val="SpecialCharTok"/>
        </w:rPr>
        <w:t xml:space="preserve">{</w:t>
      </w:r>
      <w:r>
        <w:rPr>
          <w:rStyle w:val="NormalTok"/>
        </w:rPr>
        <w:t xml:space="preserve">wall</w:t>
      </w:r>
      <w:r>
        <w:rPr>
          <w:rStyle w:val="SpecialCharTok"/>
        </w:rPr>
        <w:t xml:space="preserve">}</w:t>
      </w:r>
      <w:r>
        <w:rPr>
          <w:rStyle w:val="SpecialStringTok"/>
        </w:rPr>
        <w:t xml:space="preserve">  hlc=</w:t>
      </w:r>
      <w:r>
        <w:rPr>
          <w:rStyle w:val="SpecialCharTok"/>
        </w:rPr>
        <w:t xml:space="preserve">{</w:t>
      </w:r>
      <w:r>
        <w:rPr>
          <w:rStyle w:val="NormalTok"/>
        </w:rPr>
        <w:t xml:space="preserve">ts</w:t>
      </w:r>
      <w:r>
        <w:rPr>
          <w:rStyle w:val="SpecialCharTok"/>
        </w:rPr>
        <w:t xml:space="preserve">}</w:t>
      </w:r>
      <w:r>
        <w:rPr>
          <w:rStyle w:val="SpecialStringTok"/>
        </w:rPr>
        <w:t xml:space="preserve">"</w:t>
      </w:r>
      <w:r>
        <w:rPr>
          <w:rStyle w:val="NormalTok"/>
        </w:rPr>
        <w:t xml:space="preserve">)</w:t>
      </w:r>
      <w:r>
        <w:br/>
      </w:r>
      <w:r>
        <w:br/>
      </w:r>
      <w:r>
        <w:rPr>
          <w:rStyle w:val="NormalTok"/>
        </w:rPr>
        <w:t xml:space="preserve">    ts </w:t>
      </w:r>
      <w:r>
        <w:rPr>
          <w:rStyle w:val="OperatorTok"/>
        </w:rPr>
        <w:t xml:space="preserve">=</w:t>
      </w:r>
      <w:r>
        <w:rPr>
          <w:rStyle w:val="NormalTok"/>
        </w:rPr>
        <w:t xml:space="preserve"> a.now()</w:t>
      </w:r>
      <w:r>
        <w:br/>
      </w:r>
      <w:r>
        <w:rPr>
          <w:rStyle w:val="NormalTok"/>
        </w:rPr>
        <w:t xml:space="preserve">    show(</w:t>
      </w:r>
      <w:r>
        <w:rPr>
          <w:rStyle w:val="StringTok"/>
        </w:rPr>
        <w:t xml:space="preserve">"A sends m"</w:t>
      </w:r>
      <w:r>
        <w:rPr>
          <w:rStyle w:val="NormalTok"/>
        </w:rPr>
        <w:t xml:space="preserve">, </w:t>
      </w:r>
      <w:r>
        <w:rPr>
          <w:rStyle w:val="StringTok"/>
        </w:rPr>
        <w:t xml:space="preserve">"A"</w:t>
      </w:r>
      <w:r>
        <w:rPr>
          <w:rStyle w:val="NormalTok"/>
        </w:rPr>
        <w:t xml:space="preserve">, ts, true_ms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true_ms </w:t>
      </w:r>
      <w:r>
        <w:rPr>
          <w:rStyle w:val="OperatorTok"/>
        </w:rPr>
        <w:t xml:space="preserve">+=</w:t>
      </w:r>
      <w:r>
        <w:rPr>
          <w:rStyle w:val="NormalTok"/>
        </w:rPr>
        <w:t xml:space="preserve"> </w:t>
      </w:r>
      <w:r>
        <w:rPr>
          <w:rStyle w:val="DecValTok"/>
        </w:rPr>
        <w:t xml:space="preserve">1</w:t>
      </w:r>
      <w:r>
        <w:br/>
      </w:r>
      <w:r>
        <w:rPr>
          <w:rStyle w:val="NormalTok"/>
        </w:rPr>
        <w:t xml:space="preserve">    ts </w:t>
      </w:r>
      <w:r>
        <w:rPr>
          <w:rStyle w:val="OperatorTok"/>
        </w:rPr>
        <w:t xml:space="preserve">=</w:t>
      </w:r>
      <w:r>
        <w:rPr>
          <w:rStyle w:val="NormalTok"/>
        </w:rPr>
        <w:t xml:space="preserve"> b.update(ts)</w:t>
      </w:r>
      <w:r>
        <w:br/>
      </w:r>
      <w:r>
        <w:rPr>
          <w:rStyle w:val="NormalTok"/>
        </w:rPr>
        <w:t xml:space="preserve">    show(</w:t>
      </w:r>
      <w:r>
        <w:rPr>
          <w:rStyle w:val="StringTok"/>
        </w:rPr>
        <w:t xml:space="preserve">"B receives m"</w:t>
      </w:r>
      <w:r>
        <w:rPr>
          <w:rStyle w:val="NormalTok"/>
        </w:rPr>
        <w:t xml:space="preserve">, </w:t>
      </w:r>
      <w:r>
        <w:rPr>
          <w:rStyle w:val="StringTok"/>
        </w:rPr>
        <w:t xml:space="preserve">"B"</w:t>
      </w:r>
      <w:r>
        <w:rPr>
          <w:rStyle w:val="NormalTok"/>
        </w:rPr>
        <w:t xml:space="preserve">, ts, true_ms)</w:t>
      </w:r>
      <w:r>
        <w:br/>
      </w:r>
      <w:r>
        <w:rPr>
          <w:rStyle w:val="NormalTok"/>
        </w:rPr>
        <w:t xml:space="preserve">    true_ms </w:t>
      </w:r>
      <w:r>
        <w:rPr>
          <w:rStyle w:val="OperatorTok"/>
        </w:rPr>
        <w:t xml:space="preserve">+=</w:t>
      </w:r>
      <w:r>
        <w:rPr>
          <w:rStyle w:val="NormalTok"/>
        </w:rPr>
        <w:t xml:space="preserve"> </w:t>
      </w:r>
      <w:r>
        <w:rPr>
          <w:rStyle w:val="DecValTok"/>
        </w:rPr>
        <w:t xml:space="preserve">1</w:t>
      </w:r>
      <w:r>
        <w:br/>
      </w:r>
      <w:r>
        <w:rPr>
          <w:rStyle w:val="NormalTok"/>
        </w:rPr>
        <w:t xml:space="preserve">    ts </w:t>
      </w:r>
      <w:r>
        <w:rPr>
          <w:rStyle w:val="OperatorTok"/>
        </w:rPr>
        <w:t xml:space="preserve">=</w:t>
      </w:r>
      <w:r>
        <w:rPr>
          <w:rStyle w:val="NormalTok"/>
        </w:rPr>
        <w:t xml:space="preserve"> b.now()</w:t>
      </w:r>
      <w:r>
        <w:br/>
      </w:r>
      <w:r>
        <w:rPr>
          <w:rStyle w:val="NormalTok"/>
        </w:rPr>
        <w:t xml:space="preserve">    show(</w:t>
      </w:r>
      <w:r>
        <w:rPr>
          <w:rStyle w:val="StringTok"/>
        </w:rPr>
        <w:t xml:space="preserve">"B local write"</w:t>
      </w:r>
      <w:r>
        <w:rPr>
          <w:rStyle w:val="NormalTok"/>
        </w:rPr>
        <w:t xml:space="preserve">, </w:t>
      </w:r>
      <w:r>
        <w:rPr>
          <w:rStyle w:val="StringTok"/>
        </w:rPr>
        <w:t xml:space="preserve">"B"</w:t>
      </w:r>
      <w:r>
        <w:rPr>
          <w:rStyle w:val="NormalTok"/>
        </w:rPr>
        <w:t xml:space="preserve">, ts, true_ms)</w:t>
      </w:r>
      <w:r>
        <w:br/>
      </w:r>
      <w:r>
        <w:rPr>
          <w:rStyle w:val="NormalTok"/>
        </w:rPr>
        <w:t xml:space="preserve">    true_ms </w:t>
      </w:r>
      <w:r>
        <w:rPr>
          <w:rStyle w:val="OperatorTok"/>
        </w:rPr>
        <w:t xml:space="preserve">+=</w:t>
      </w:r>
      <w:r>
        <w:rPr>
          <w:rStyle w:val="NormalTok"/>
        </w:rPr>
        <w:t xml:space="preserve"> </w:t>
      </w:r>
      <w:r>
        <w:rPr>
          <w:rStyle w:val="DecValTok"/>
        </w:rPr>
        <w:t xml:space="preserve">1</w:t>
      </w:r>
      <w:r>
        <w:br/>
      </w:r>
      <w:r>
        <w:rPr>
          <w:rStyle w:val="NormalTok"/>
        </w:rPr>
        <w:t xml:space="preserve">    ts </w:t>
      </w:r>
      <w:r>
        <w:rPr>
          <w:rStyle w:val="OperatorTok"/>
        </w:rPr>
        <w:t xml:space="preserve">=</w:t>
      </w:r>
      <w:r>
        <w:rPr>
          <w:rStyle w:val="NormalTok"/>
        </w:rPr>
        <w:t xml:space="preserve"> b.now()</w:t>
      </w:r>
      <w:r>
        <w:br/>
      </w:r>
      <w:r>
        <w:rPr>
          <w:rStyle w:val="NormalTok"/>
        </w:rPr>
        <w:t xml:space="preserve">    show(</w:t>
      </w:r>
      <w:r>
        <w:rPr>
          <w:rStyle w:val="StringTok"/>
        </w:rPr>
        <w:t xml:space="preserve">"B sends m2"</w:t>
      </w:r>
      <w:r>
        <w:rPr>
          <w:rStyle w:val="NormalTok"/>
        </w:rPr>
        <w:t xml:space="preserve">, </w:t>
      </w:r>
      <w:r>
        <w:rPr>
          <w:rStyle w:val="StringTok"/>
        </w:rPr>
        <w:t xml:space="preserve">"B"</w:t>
      </w:r>
      <w:r>
        <w:rPr>
          <w:rStyle w:val="NormalTok"/>
        </w:rPr>
        <w:t xml:space="preserve">, ts, true_ms)</w:t>
      </w:r>
      <w:r>
        <w:br/>
      </w:r>
      <w:r>
        <w:rPr>
          <w:rStyle w:val="NormalTok"/>
        </w:rPr>
        <w:t xml:space="preserve">    true_ms </w:t>
      </w:r>
      <w:r>
        <w:rPr>
          <w:rStyle w:val="OperatorTok"/>
        </w:rPr>
        <w:t xml:space="preserve">+=</w:t>
      </w:r>
      <w:r>
        <w:rPr>
          <w:rStyle w:val="NormalTok"/>
        </w:rPr>
        <w:t xml:space="preserve"> </w:t>
      </w:r>
      <w:r>
        <w:rPr>
          <w:rStyle w:val="DecValTok"/>
        </w:rPr>
        <w:t xml:space="preserve">1</w:t>
      </w:r>
      <w:r>
        <w:br/>
      </w:r>
      <w:r>
        <w:rPr>
          <w:rStyle w:val="NormalTok"/>
        </w:rPr>
        <w:t xml:space="preserve">    ts </w:t>
      </w:r>
      <w:r>
        <w:rPr>
          <w:rStyle w:val="OperatorTok"/>
        </w:rPr>
        <w:t xml:space="preserve">=</w:t>
      </w:r>
      <w:r>
        <w:rPr>
          <w:rStyle w:val="NormalTok"/>
        </w:rPr>
        <w:t xml:space="preserve"> a.update(ts)</w:t>
      </w:r>
      <w:r>
        <w:br/>
      </w:r>
      <w:r>
        <w:rPr>
          <w:rStyle w:val="NormalTok"/>
        </w:rPr>
        <w:t xml:space="preserve">    show(</w:t>
      </w:r>
      <w:r>
        <w:rPr>
          <w:rStyle w:val="StringTok"/>
        </w:rPr>
        <w:t xml:space="preserve">"A receives m2"</w:t>
      </w:r>
      <w:r>
        <w:rPr>
          <w:rStyle w:val="NormalTok"/>
        </w:rPr>
        <w:t xml:space="preserve">, </w:t>
      </w:r>
      <w:r>
        <w:rPr>
          <w:rStyle w:val="StringTok"/>
        </w:rPr>
        <w:t xml:space="preserve">"A"</w:t>
      </w:r>
      <w:r>
        <w:rPr>
          <w:rStyle w:val="NormalTok"/>
        </w:rPr>
        <w:t xml:space="preserve">, ts, true_ms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true_ms </w:t>
      </w:r>
      <w:r>
        <w:rPr>
          <w:rStyle w:val="OperatorTok"/>
        </w:rPr>
        <w:t xml:space="preserve">=</w:t>
      </w:r>
      <w:r>
        <w:rPr>
          <w:rStyle w:val="NormalTok"/>
        </w:rPr>
        <w:t xml:space="preserve"> </w:t>
      </w:r>
      <w:r>
        <w:rPr>
          <w:rStyle w:val="DecValTok"/>
        </w:rPr>
        <w:t xml:space="preserve">1150</w:t>
      </w:r>
      <w:r>
        <w:br/>
      </w:r>
      <w:r>
        <w:rPr>
          <w:rStyle w:val="NormalTok"/>
        </w:rPr>
        <w:t xml:space="preserve">    ts </w:t>
      </w:r>
      <w:r>
        <w:rPr>
          <w:rStyle w:val="OperatorTok"/>
        </w:rPr>
        <w:t xml:space="preserve">=</w:t>
      </w:r>
      <w:r>
        <w:rPr>
          <w:rStyle w:val="NormalTok"/>
        </w:rPr>
        <w:t xml:space="preserve"> b.now()</w:t>
      </w:r>
      <w:r>
        <w:br/>
      </w:r>
      <w:r>
        <w:rPr>
          <w:rStyle w:val="NormalTok"/>
        </w:rPr>
        <w:t xml:space="preserve">    show(</w:t>
      </w:r>
      <w:r>
        <w:rPr>
          <w:rStyle w:val="StringTok"/>
        </w:rPr>
        <w:t xml:space="preserve">"B local"</w:t>
      </w:r>
      <w:r>
        <w:rPr>
          <w:rStyle w:val="NormalTok"/>
        </w:rPr>
        <w:t xml:space="preserve">, </w:t>
      </w:r>
      <w:r>
        <w:rPr>
          <w:rStyle w:val="StringTok"/>
        </w:rPr>
        <w:t xml:space="preserve">"B"</w:t>
      </w:r>
      <w:r>
        <w:rPr>
          <w:rStyle w:val="NormalTok"/>
        </w:rPr>
        <w:t xml:space="preserve">, ts, true_ms)</w:t>
      </w:r>
      <w:r>
        <w:br/>
      </w:r>
      <w:r>
        <w:rPr>
          <w:rStyle w:val="NormalTok"/>
        </w:rPr>
        <w:t xml:space="preserve">    </w:t>
      </w:r>
      <w:r>
        <w:rPr>
          <w:rStyle w:val="BuiltInTok"/>
        </w:rPr>
        <w:t xml:space="preserve">print</w:t>
      </w:r>
      <w:r>
        <w:rPr>
          <w:rStyle w:val="NormalTok"/>
        </w:rPr>
        <w:t xml:space="preserve">(</w:t>
      </w:r>
      <w:r>
        <w:rPr>
          <w:rStyle w:val="StringTok"/>
        </w:rPr>
        <w:t xml:space="preserve">"packed:"</w:t>
      </w:r>
      <w:r>
        <w:rPr>
          <w:rStyle w:val="NormalTok"/>
        </w:rPr>
        <w:t xml:space="preserve">, </w:t>
      </w:r>
      <w:r>
        <w:rPr>
          <w:rStyle w:val="BuiltInTok"/>
        </w:rPr>
        <w:t xml:space="preserve">hex</w:t>
      </w:r>
      <w:r>
        <w:rPr>
          <w:rStyle w:val="NormalTok"/>
        </w:rPr>
        <w:t xml:space="preserve">(pack(ts)), </w:t>
      </w:r>
      <w:r>
        <w:rPr>
          <w:rStyle w:val="StringTok"/>
        </w:rPr>
        <w:t xml:space="preserve">"-&gt;"</w:t>
      </w:r>
      <w:r>
        <w:rPr>
          <w:rStyle w:val="NormalTok"/>
        </w:rPr>
        <w:t xml:space="preserve">, ts </w:t>
      </w:r>
      <w:r>
        <w:rPr>
          <w:rStyle w:val="OperatorTok"/>
        </w:rPr>
        <w:t xml:space="preserve">==</w:t>
      </w:r>
      <w:r>
        <w:rPr>
          <w:rStyle w:val="NormalTok"/>
        </w:rPr>
        <w:t xml:space="preserve"> (pack(ts) </w:t>
      </w:r>
      <w:r>
        <w:rPr>
          <w:rStyle w:val="OperatorTok"/>
        </w:rPr>
        <w:t xml:space="preserve">&gt;&gt;</w:t>
      </w:r>
      <w:r>
        <w:rPr>
          <w:rStyle w:val="NormalTok"/>
        </w:rPr>
        <w:t xml:space="preserve"> </w:t>
      </w:r>
      <w:r>
        <w:rPr>
          <w:rStyle w:val="DecValTok"/>
        </w:rPr>
        <w:t xml:space="preserve">16</w:t>
      </w:r>
      <w:r>
        <w:rPr>
          <w:rStyle w:val="NormalTok"/>
        </w:rPr>
        <w:t xml:space="preserve">, pack(ts) </w:t>
      </w:r>
      <w:r>
        <w:rPr>
          <w:rStyle w:val="OperatorTok"/>
        </w:rPr>
        <w:t xml:space="preserve">&amp;</w:t>
      </w:r>
      <w:r>
        <w:rPr>
          <w:rStyle w:val="NormalTok"/>
        </w:rPr>
        <w:t xml:space="preserve"> </w:t>
      </w:r>
      <w:r>
        <w:rPr>
          <w:rStyle w:val="BaseNTok"/>
        </w:rPr>
        <w:t xml:space="preserve">0xFFFF</w:t>
      </w:r>
      <w:r>
        <w:rPr>
          <w:rStyle w:val="NormalTok"/>
        </w:rPr>
        <w:t xml:space="preserve">))</w:t>
      </w:r>
    </w:p>
    <w:p>
      <w:pPr>
        <w:pStyle w:val="FirstParagraph"/>
      </w:pPr>
      <w:r>
        <w:t xml:space="preserve">Output:</w:t>
      </w:r>
    </w:p>
    <w:p>
      <w:pPr>
        <w:pStyle w:val="SourceCode"/>
      </w:pPr>
      <w:r>
        <w:rPr>
          <w:rStyle w:val="VerbatimChar"/>
        </w:rPr>
        <w:t xml:space="preserve">true=1000 A sends m       A: wall=1100  hlc=(1100, 0)</w:t>
      </w:r>
      <w:r>
        <w:br/>
      </w:r>
      <w:r>
        <w:rPr>
          <w:rStyle w:val="VerbatimChar"/>
        </w:rPr>
        <w:t xml:space="preserve">true=1001 B receives m    B: wall=1001  hlc=(1100, 1)</w:t>
      </w:r>
      <w:r>
        <w:br/>
      </w:r>
      <w:r>
        <w:rPr>
          <w:rStyle w:val="VerbatimChar"/>
        </w:rPr>
        <w:t xml:space="preserve">true=1002 B local write   B: wall=1002  hlc=(1100, 2)</w:t>
      </w:r>
      <w:r>
        <w:br/>
      </w:r>
      <w:r>
        <w:rPr>
          <w:rStyle w:val="VerbatimChar"/>
        </w:rPr>
        <w:t xml:space="preserve">true=1003 B sends m2      B: wall=1003  hlc=(1100, 3)</w:t>
      </w:r>
      <w:r>
        <w:br/>
      </w:r>
      <w:r>
        <w:rPr>
          <w:rStyle w:val="VerbatimChar"/>
        </w:rPr>
        <w:t xml:space="preserve">true=1004 A receives m2   A: wall=1104  hlc=(1104, 0)</w:t>
      </w:r>
      <w:r>
        <w:br/>
      </w:r>
      <w:r>
        <w:rPr>
          <w:rStyle w:val="VerbatimChar"/>
        </w:rPr>
        <w:t xml:space="preserve">true=1150 B local         B: wall=1150  hlc=(1150, 0)</w:t>
      </w:r>
      <w:r>
        <w:br/>
      </w:r>
      <w:r>
        <w:rPr>
          <w:rStyle w:val="VerbatimChar"/>
        </w:rPr>
        <w:t xml:space="preserve">packed: 0x47e0000 -&gt; True</w:t>
      </w:r>
    </w:p>
    <w:p>
      <w:pPr>
        <w:pStyle w:val="FirstParagraph"/>
      </w:pPr>
      <w:r>
        <w:t xml:space="preserve">What to notice:</w:t>
      </w:r>
    </w:p>
    <w:p>
      <w:pPr>
        <w:numPr>
          <w:ilvl w:val="0"/>
          <w:numId w:val="1795"/>
        </w:numPr>
        <w:pStyle w:val="Compact"/>
      </w:pPr>
      <w:r>
        <w:rPr>
          <w:rStyle w:val="VerbatimChar"/>
        </w:rPr>
        <w:t xml:space="preserve">update</w:t>
      </w:r>
      <w:r>
        <w:t xml:space="preserve"> </w:t>
      </w:r>
      <w:r>
        <w:t xml:space="preserve">is the only place causality enters: taking the maximum with</w:t>
      </w:r>
      <w:r>
        <w:t xml:space="preserve"> </w:t>
      </w:r>
      <m:oMath>
        <m:sSub>
          <m:e>
            <m:r>
              <m:t>l</m:t>
            </m:r>
          </m:e>
          <m:sub>
            <m:r>
              <m:t>m</m:t>
            </m:r>
          </m:sub>
        </m:sSub>
      </m:oMath>
      <w:r>
        <w:t xml:space="preserve"> </w:t>
      </w:r>
      <w:r>
        <w:t xml:space="preserve">guarantees the receipt is stamped after the send.</w:t>
      </w:r>
    </w:p>
    <w:p>
      <w:pPr>
        <w:numPr>
          <w:ilvl w:val="0"/>
          <w:numId w:val="1795"/>
        </w:numPr>
        <w:pStyle w:val="Compact"/>
      </w:pPr>
      <m:oMath>
        <m:r>
          <m:t>l</m:t>
        </m:r>
      </m:oMath>
      <w:r>
        <w:t xml:space="preserve"> </w:t>
      </w:r>
      <w:r>
        <w:t xml:space="preserve">never runs ahead of the fastest physical clock (1100 here), so HLC timestamps stay within the skew of real time.</w:t>
      </w:r>
    </w:p>
    <w:p>
      <w:pPr>
        <w:numPr>
          <w:ilvl w:val="0"/>
          <w:numId w:val="1795"/>
        </w:numPr>
        <w:pStyle w:val="Compact"/>
      </w:pPr>
      <w:r>
        <w:t xml:space="preserve">Like a Lamport clock, an HLC is a scalar and cannot detect concurrency.</w:t>
      </w:r>
    </w:p>
    <w:bookmarkEnd w:id="2746"/>
    <w:bookmarkStart w:id="2747" w:name="hlc-in-production-uncertainty-intervals"/>
    <w:p>
      <w:pPr>
        <w:pStyle w:val="Heading3"/>
      </w:pPr>
      <w:r>
        <w:t xml:space="preserve">24.12.4 HLC in production: uncertainty intervals</w:t>
      </w:r>
    </w:p>
    <w:p>
      <w:pPr>
        <w:pStyle w:val="FirstParagraph"/>
      </w:pPr>
      <w:r>
        <w:t xml:space="preserve">HLC orders causally related events, but two</w:t>
      </w:r>
      <w:r>
        <w:t xml:space="preserve"> </w:t>
      </w:r>
      <w:r>
        <w:rPr>
          <w:iCs/>
          <w:i/>
        </w:rPr>
        <w:t xml:space="preserve">unrelated</w:t>
      </w:r>
      <w:r>
        <w:t xml:space="preserve"> </w:t>
      </w:r>
      <w:r>
        <w:t xml:space="preserve">transactions on different nodes are ordered only up to the clock skew. CockroachDB, which uses HLC timestamps, handles this with a configured</w:t>
      </w:r>
      <w:r>
        <w:t xml:space="preserve"> </w:t>
      </w:r>
      <w:r>
        <w:rPr>
          <w:bCs/>
          <w:b/>
        </w:rPr>
        <w:t xml:space="preserve">maximum clock offset</w:t>
      </w:r>
      <w:r>
        <w:t xml:space="preserve"> </w:t>
      </w:r>
      <w:r>
        <w:t xml:space="preserve">(500 ms by default, as of 2026) and an</w:t>
      </w:r>
      <w:r>
        <w:t xml:space="preserve"> </w:t>
      </w:r>
      <w:r>
        <w:rPr>
          <w:bCs/>
          <w:b/>
        </w:rPr>
        <w:t xml:space="preserve">uncertainty interval</w:t>
      </w:r>
      <w:r>
        <w:t xml:space="preserve"> </w:t>
      </w:r>
      <w:r>
        <w:t xml:space="preserve">[Cockroach Labs Docs; Kimball 2016].</w:t>
      </w:r>
    </w:p>
    <w:p>
      <w:pPr>
        <w:pStyle w:val="CalloutFormula"/>
      </w:pPr>
      <w:r>
        <w:rPr>
          <w:bCs/>
          <w:b/>
        </w:rPr>
        <w:t xml:space="preserve">FORMULA</w:t>
      </w:r>
    </w:p>
    <w:p>
      <w:pPr>
        <w:pStyle w:val="CalloutFormula"/>
      </w:pPr>
      <w:r>
        <w:rPr>
          <w:bCs/>
          <w:b/>
        </w:rPr>
        <w:t xml:space="preserve">Read uncertainty interval</w:t>
      </w:r>
    </w:p>
    <w:p>
      <w:pPr>
        <w:pStyle w:val="CalloutFormula"/>
      </w:pPr>
      <m:oMathPara>
        <m:oMathParaPr>
          <m:jc m:val="center"/>
        </m:oMathParaPr>
        <m:oMath>
          <m:sSub>
            <m:e>
              <m:r>
                <m:t>t</m:t>
              </m:r>
            </m:e>
            <m:sub>
              <m:r>
                <m:t>r</m:t>
              </m:r>
            </m:sub>
          </m:sSub>
          <m:r>
            <m:rPr>
              <m:sty m:val="p"/>
            </m:rPr>
            <m:t>&lt;</m:t>
          </m:r>
          <m:sSub>
            <m:e>
              <m:r>
                <m:t>t</m:t>
              </m:r>
            </m:e>
            <m:sub>
              <m:r>
                <m:t>w</m:t>
              </m:r>
            </m:sub>
          </m:sSub>
          <m:r>
            <m:rPr>
              <m:sty m:val="p"/>
            </m:rPr>
            <m:t>≤</m:t>
          </m:r>
          <m:sSub>
            <m:e>
              <m:r>
                <m:t>t</m:t>
              </m:r>
            </m:e>
            <m:sub>
              <m:r>
                <m:t>r</m:t>
              </m:r>
            </m:sub>
          </m:sSub>
          <m:r>
            <m:rPr>
              <m:sty m:val="p"/>
            </m:rPr>
            <m:t>+</m:t>
          </m:r>
          <m:sSub>
            <m:e>
              <m:r>
                <m:t>ε</m:t>
              </m:r>
            </m:e>
            <m:sub>
              <m:r>
                <m:rPr>
                  <m:sty m:val="p"/>
                </m:rPr>
                <m:t>max</m:t>
              </m:r>
            </m:sub>
          </m:sSub>
          <m:r>
            <m:t> </m:t>
          </m:r>
          <m:r>
            <m:rPr>
              <m:sty m:val="p"/>
            </m:rPr>
            <m:t>⇒</m:t>
          </m:r>
          <m:r>
            <m:t> </m:t>
          </m:r>
          <m:r>
            <m:rPr>
              <m:nor/>
              <m:sty m:val="p"/>
            </m:rPr>
            <m:t>restart the read at </m:t>
          </m:r>
          <m:sSub>
            <m:e>
              <m:r>
                <m:t>t</m:t>
              </m:r>
            </m:e>
            <m:sub>
              <m:r>
                <m:t>w</m:t>
              </m:r>
            </m:sub>
          </m:sSub>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t</m:t>
                  </m:r>
                </m:e>
                <m:sub>
                  <m:r>
                    <m:t>r</m:t>
                  </m:r>
                </m:sub>
              </m:sSub>
            </m:oMath>
          </w:p>
        </w:tc>
        <w:tc>
          <w:tcPr/>
          <w:p>
            <w:pPr>
              <w:pStyle w:val="Compact"/>
              <w:jc w:val="left"/>
            </w:pPr>
            <w:r>
              <w:t xml:space="preserve">The reading transaction’s HLC timestamp</w:t>
            </w:r>
          </w:p>
        </w:tc>
        <w:tc>
          <w:tcPr/>
          <w:p>
            <w:pPr>
              <w:pStyle w:val="Compact"/>
              <w:jc w:val="left"/>
            </w:pPr>
            <w:r>
              <w:t xml:space="preserve">s</w:t>
            </w:r>
          </w:p>
        </w:tc>
      </w:tr>
      <w:tr>
        <w:tc>
          <w:tcPr/>
          <w:p>
            <w:pPr>
              <w:pStyle w:val="Compact"/>
              <w:jc w:val="left"/>
            </w:pPr>
            <m:oMath>
              <m:sSub>
                <m:e>
                  <m:r>
                    <m:t>t</m:t>
                  </m:r>
                </m:e>
                <m:sub>
                  <m:r>
                    <m:t>w</m:t>
                  </m:r>
                </m:sub>
              </m:sSub>
            </m:oMath>
          </w:p>
        </w:tc>
        <w:tc>
          <w:tcPr/>
          <w:p>
            <w:pPr>
              <w:pStyle w:val="Compact"/>
              <w:jc w:val="left"/>
            </w:pPr>
            <w:r>
              <w:t xml:space="preserve">Commit timestamp of a value found by the read</w:t>
            </w:r>
          </w:p>
        </w:tc>
        <w:tc>
          <w:tcPr/>
          <w:p>
            <w:pPr>
              <w:pStyle w:val="Compact"/>
              <w:jc w:val="left"/>
            </w:pPr>
            <w:r>
              <w:t xml:space="preserve">s</w:t>
            </w:r>
          </w:p>
        </w:tc>
      </w:tr>
      <w:tr>
        <w:tc>
          <w:tcPr/>
          <w:p>
            <w:pPr>
              <w:pStyle w:val="Compact"/>
              <w:jc w:val="left"/>
            </w:pPr>
            <m:oMath>
              <m:sSub>
                <m:e>
                  <m:r>
                    <m:t>ε</m:t>
                  </m:r>
                </m:e>
                <m:sub>
                  <m:r>
                    <m:rPr>
                      <m:sty m:val="p"/>
                    </m:rPr>
                    <m:t>max</m:t>
                  </m:r>
                </m:sub>
              </m:sSub>
            </m:oMath>
          </w:p>
        </w:tc>
        <w:tc>
          <w:tcPr/>
          <w:p>
            <w:pPr>
              <w:pStyle w:val="Compact"/>
              <w:jc w:val="left"/>
            </w:pPr>
            <w:r>
              <w:t xml:space="preserve">Configured maximum clock offset between any two nodes</w:t>
            </w:r>
          </w:p>
        </w:tc>
        <w:tc>
          <w:tcPr/>
          <w:p>
            <w:pPr>
              <w:pStyle w:val="Compact"/>
              <w:jc w:val="left"/>
            </w:pPr>
            <w:r>
              <w:t xml:space="preserve">s</w:t>
            </w:r>
          </w:p>
        </w:tc>
      </w:tr>
    </w:tbl>
    <w:p>
      <w:pPr>
        <w:pStyle w:val="BodyText"/>
      </w:pPr>
      <w:r>
        <w:t xml:space="preserve">Such a value</w:t>
      </w:r>
      <w:r>
        <w:t xml:space="preserve"> </w:t>
      </w:r>
      <w:r>
        <w:rPr>
          <w:iCs/>
          <w:i/>
        </w:rPr>
        <w:t xml:space="preserve">might</w:t>
      </w:r>
      <w:r>
        <w:t xml:space="preserve"> </w:t>
      </w:r>
      <w:r>
        <w:t xml:space="preserve">have committed before the read began in real time (the writer’s clock may have been ahead), so the read moves up to</w:t>
      </w:r>
      <w:r>
        <w:t xml:space="preserve"> </w:t>
      </w:r>
      <m:oMath>
        <m:sSub>
          <m:e>
            <m:r>
              <m:t>t</m:t>
            </m:r>
          </m:e>
          <m:sub>
            <m:r>
              <m:t>w</m:t>
            </m:r>
          </m:sub>
        </m:sSub>
      </m:oMath>
      <w:r>
        <w:t xml:space="preserve"> </w:t>
      </w:r>
      <w:r>
        <w:t xml:space="preserve">and retries.</w:t>
      </w:r>
    </w:p>
    <w:p>
      <w:pPr>
        <w:pStyle w:val="CalloutExample"/>
      </w:pPr>
      <w:r>
        <w:rPr>
          <w:bCs/>
          <w:b/>
        </w:rPr>
        <w:t xml:space="preserve">WORKED EXAMPLE</w:t>
      </w:r>
    </w:p>
    <w:p>
      <w:pPr>
        <w:pStyle w:val="CalloutExample"/>
      </w:pPr>
      <w:r>
        <w:rPr>
          <w:bCs/>
          <w:b/>
        </w:rPr>
        <w:t xml:space="preserve">Worked example — A read meets uncertain writes.</w:t>
      </w:r>
    </w:p>
    <w:p>
      <w:pPr>
        <w:numPr>
          <w:ilvl w:val="0"/>
          <w:numId w:val="1796"/>
        </w:numPr>
        <w:pStyle w:val="Compact"/>
      </w:pPr>
      <m:oMath>
        <m:sSub>
          <m:e>
            <m:r>
              <m:t>ε</m:t>
            </m:r>
          </m:e>
          <m:sub>
            <m:r>
              <m:rPr>
                <m:sty m:val="p"/>
              </m:rPr>
              <m:t>max</m:t>
            </m:r>
          </m:sub>
        </m:sSub>
        <m:r>
          <m:rPr>
            <m:sty m:val="p"/>
          </m:rPr>
          <m:t>=</m:t>
        </m:r>
        <m:r>
          <m:t>500</m:t>
        </m:r>
      </m:oMath>
      <w:r>
        <w:t xml:space="preserve"> </w:t>
      </w:r>
      <w:r>
        <w:t xml:space="preserve">ms; a read starts at $t_r = $ 10:00:00.000.</w:t>
      </w:r>
    </w:p>
    <w:p>
      <w:pPr>
        <w:numPr>
          <w:ilvl w:val="0"/>
          <w:numId w:val="1796"/>
        </w:numPr>
        <w:pStyle w:val="Compact"/>
      </w:pPr>
      <w:r>
        <w:t xml:space="preserve">It finds a value at 10:00:00.300: inside</w:t>
      </w:r>
      <w:r>
        <w:t xml:space="preserve"> </w:t>
      </w:r>
      <m:oMath>
        <m:r>
          <m:rPr>
            <m:sty m:val="p"/>
          </m:rPr>
          <m:t>(</m:t>
        </m:r>
        <m:sSub>
          <m:e>
            <m:r>
              <m:t>t</m:t>
            </m:r>
          </m:e>
          <m:sub>
            <m:r>
              <m:t>r</m:t>
            </m:r>
          </m:sub>
        </m:sSub>
        <m:r>
          <m:rPr>
            <m:sty m:val="p"/>
          </m:rPr>
          <m:t>,</m:t>
        </m:r>
        <m:sSub>
          <m:e>
            <m:r>
              <m:t>t</m:t>
            </m:r>
          </m:e>
          <m:sub>
            <m:r>
              <m:t>r</m:t>
            </m:r>
          </m:sub>
        </m:sSub>
        <m:r>
          <m:rPr>
            <m:sty m:val="p"/>
          </m:rPr>
          <m:t>+</m:t>
        </m:r>
        <m:r>
          <m:t>0.5</m:t>
        </m:r>
        <m:r>
          <m:rPr>
            <m:sty m:val="p"/>
          </m:rPr>
          <m:t>]</m:t>
        </m:r>
      </m:oMath>
      <w:r>
        <w:t xml:space="preserve">, so it restarts at $t_r’ = $ 10:00:00.300 and returns that value.</w:t>
      </w:r>
    </w:p>
    <w:p>
      <w:pPr>
        <w:numPr>
          <w:ilvl w:val="0"/>
          <w:numId w:val="1796"/>
        </w:numPr>
        <w:pStyle w:val="Compact"/>
      </w:pPr>
      <w:r>
        <w:t xml:space="preserve">A value at 10:00:00.700 lies beyond the window: it definitely happened after the read began, and is ignored.</w:t>
      </w:r>
    </w:p>
    <w:p>
      <w:pPr>
        <w:pStyle w:val="CalloutExample"/>
      </w:pPr>
      <w:r>
        <w:t xml:space="preserve">Interpretation: correctness depends on the configured bound holding, so CockroachDB nodes monitor their offset against peers and shut down rather than serve near the maximum. Engineering implication: better synchronization buys performance; halving</w:t>
      </w:r>
      <w:r>
        <w:t xml:space="preserve"> </w:t>
      </w:r>
      <m:oMath>
        <m:sSub>
          <m:e>
            <m:r>
              <m:t>ε</m:t>
            </m:r>
          </m:e>
          <m:sub>
            <m:r>
              <m:rPr>
                <m:sty m:val="p"/>
              </m:rPr>
              <m:t>max</m:t>
            </m:r>
          </m:sub>
        </m:sSub>
      </m:oMath>
      <w:r>
        <w:t xml:space="preserve"> </w:t>
      </w:r>
      <w:r>
        <w:t xml:space="preserve">halves the restart window. Spanner goes further with TrueTime (§28.8).</w:t>
      </w:r>
    </w:p>
    <w:p>
      <w:pPr>
        <w:pStyle w:val="CalloutIndustry"/>
      </w:pPr>
      <w:r>
        <w:rPr>
          <w:bCs/>
          <w:b/>
        </w:rPr>
        <w:t xml:space="preserve">INDUSTRY EXAMPLE</w:t>
      </w:r>
    </w:p>
    <w:p>
      <w:pPr>
        <w:pStyle w:val="CalloutIndustry"/>
      </w:pPr>
      <w:r>
        <w:rPr>
          <w:bCs/>
          <w:b/>
        </w:rPr>
        <w:t xml:space="preserve">MongoDB and CockroachDB.</w:t>
      </w:r>
      <w:r>
        <w:t xml:space="preserve"> </w:t>
      </w:r>
      <w:r>
        <w:t xml:space="preserve">MongoDB’s causal consistency sessions use a cluster-wide logical clock of the hybrid type, a (seconds, counter) pair gossiped on every message and signed to prevent malicious advancement [Tyulenev et al. 2019]. CockroachDB stamps every transaction with an HLC and uses the uncertainty interval above.</w:t>
      </w:r>
      <w:r>
        <w:t xml:space="preserve"> </w:t>
      </w:r>
      <w:r>
        <w:rPr>
          <w:iCs/>
          <w:i/>
        </w:rPr>
        <w:t xml:space="preserve">Evidence: Primary</w:t>
      </w:r>
      <w:r>
        <w:t xml:space="preserve"> </w:t>
      </w:r>
      <w:r>
        <w:t xml:space="preserve">— [Tyulenev et al. 2019; Cockroach Labs Docs]</w:t>
      </w:r>
    </w:p>
    <w:bookmarkEnd w:id="2747"/>
    <w:bookmarkEnd w:id="2748"/>
    <w:bookmarkStart w:id="2755" w:name="the-flp-impossibility-result"/>
    <w:p>
      <w:pPr>
        <w:pStyle w:val="Heading2"/>
      </w:pPr>
      <w:r>
        <w:t xml:space="preserve">24.13 The FLP impossibility result</w:t>
      </w:r>
    </w:p>
    <w:bookmarkStart w:id="2749" w:name="the-statement"/>
    <w:p>
      <w:pPr>
        <w:pStyle w:val="Heading3"/>
      </w:pPr>
      <w:r>
        <w:t xml:space="preserve">24.13.1 The statement</w:t>
      </w:r>
    </w:p>
    <w:p>
      <w:pPr>
        <w:pStyle w:val="CalloutDefinition"/>
      </w:pPr>
      <w:r>
        <w:rPr>
          <w:bCs/>
          <w:b/>
        </w:rPr>
        <w:t xml:space="preserve">DEFINITION</w:t>
      </w:r>
    </w:p>
    <w:p>
      <w:pPr>
        <w:pStyle w:val="CalloutDefinition"/>
      </w:pPr>
      <w:r>
        <w:rPr>
          <w:bCs/>
          <w:b/>
        </w:rPr>
        <w:t xml:space="preserve">Definition — FLP impossibility.</w:t>
      </w:r>
      <w:r>
        <w:t xml:space="preserve"> </w:t>
      </w:r>
      <w:r>
        <w:t xml:space="preserve">In a fully asynchronous message-passing system with reliable links, no</w:t>
      </w:r>
      <w:r>
        <w:t xml:space="preserve"> </w:t>
      </w:r>
      <w:r>
        <w:rPr>
          <w:iCs/>
          <w:i/>
        </w:rPr>
        <w:t xml:space="preserve">deterministic</w:t>
      </w:r>
      <w:r>
        <w:t xml:space="preserve"> </w:t>
      </w:r>
      <w:r>
        <w:t xml:space="preserve">protocol can solve</w:t>
      </w:r>
      <w:r>
        <w:t xml:space="preserve"> </w:t>
      </w:r>
      <w:r>
        <w:rPr>
          <w:bCs/>
          <w:b/>
        </w:rPr>
        <w:t xml:space="preserve">consensus</w:t>
      </w:r>
      <w:r>
        <w:t xml:space="preserve"> </w:t>
      </w:r>
      <w:r>
        <w:t xml:space="preserve">(all correct processes decide the same value, the value was proposed by some process, and every correct process eventually decides) if even one process may crash-stop [Fischer et al. 1985].</w:t>
      </w:r>
    </w:p>
    <w:p>
      <w:pPr>
        <w:pStyle w:val="BodyText"/>
      </w:pPr>
      <w:r>
        <w:t xml:space="preserve">The assumptions are generous (no lost messages, one clean crash); only a delay bound is missing.</w:t>
      </w:r>
    </w:p>
    <w:bookmarkEnd w:id="2749"/>
    <w:bookmarkStart w:id="2753" w:name="intuition"/>
    <w:p>
      <w:pPr>
        <w:pStyle w:val="Heading3"/>
      </w:pPr>
      <w:r>
        <w:t xml:space="preserve">24.13.2 Intuition</w:t>
      </w:r>
    </w:p>
    <w:p>
      <w:pPr>
        <w:pStyle w:val="FirstParagraph"/>
      </w:pPr>
      <w:r>
        <w:t xml:space="preserve">Call a system state</w:t>
      </w:r>
      <w:r>
        <w:t xml:space="preserve"> </w:t>
      </w:r>
      <w:r>
        <w:rPr>
          <w:bCs/>
          <w:b/>
        </w:rPr>
        <w:t xml:space="preserve">bivalent</w:t>
      </w:r>
      <w:r>
        <w:t xml:space="preserve"> </w:t>
      </w:r>
      <w:r>
        <w:t xml:space="preserve">if both decisions (0 and 1) are still reachable, and</w:t>
      </w:r>
      <w:r>
        <w:t xml:space="preserve"> </w:t>
      </w:r>
      <w:r>
        <w:rPr>
          <w:bCs/>
          <w:b/>
        </w:rPr>
        <w:t xml:space="preserve">univalent</w:t>
      </w:r>
      <w:r>
        <w:t xml:space="preserve"> </w:t>
      </w:r>
      <w:r>
        <w:t xml:space="preserve">once the outcome is fixed. FLP shows that (1) some initial state is bivalent, and (2) from any bivalent state, an adversarial scheduler can always deliver messages in an order that keeps the state bivalent. The key step is that there is always some pending message whose delivery would decide the outcome; the scheduler delays it. Because the system is asynchronous, a delayed message is indistinguishable from a crashed sender, so the protocol cannot safely decide without it, and the scheduler can repeat the trick forever.</w:t>
      </w:r>
    </w:p>
    <w:p>
      <w:pPr>
        <w:pStyle w:val="BodyText"/>
      </w:pPr>
      <w:r>
        <w:rPr>
          <w:bCs/>
          <w:b/>
        </w:rPr>
        <w:t xml:space="preserve">Figure 24.14 — The adversary keeps the protocol undecided.</w:t>
      </w:r>
    </w:p>
    <w:p>
      <w:pPr>
        <w:pStyle w:val="BodyText"/>
      </w:pPr>
      <w:r>
        <w:drawing>
          <wp:inline>
            <wp:extent cx="5334000" cy="1276967"/>
            <wp:effectExtent b="0" l="0" r="0" t="0"/>
            <wp:docPr descr="" title="" id="2751" name="Picture"/>
            <a:graphic>
              <a:graphicData uri="http://schemas.openxmlformats.org/drawingml/2006/picture">
                <pic:pic>
                  <pic:nvPicPr>
                    <pic:cNvPr descr="/home/user/System-Design/build/.cache/diagrams/e0d994363279.png" id="2752" name="Picture"/>
                    <pic:cNvPicPr>
                      <a:picLocks noChangeArrowheads="1" noChangeAspect="1"/>
                    </pic:cNvPicPr>
                  </pic:nvPicPr>
                  <pic:blipFill>
                    <a:blip r:embed="rId2750"/>
                    <a:stretch>
                      <a:fillRect/>
                    </a:stretch>
                  </pic:blipFill>
                  <pic:spPr bwMode="auto">
                    <a:xfrm>
                      <a:off x="0" y="0"/>
                      <a:ext cx="5334000" cy="1276967"/>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Nodes are global states of the protocol; edges are message deliveries chosen by the adversarial scheduler, which is how the asynchronous network is modeled. When a critical message is pending, the protocol faces the decision box: waiting risks blocking forever if the sender crashed, deciding risks disagreement if the sender was merely slow. The adversary always picks the delivery that keeps the system bivalent. There are no storage boundaries; the failure point is the inability to tell slow from crashed, and adding processes does not help.</w:t>
      </w:r>
    </w:p>
    <w:bookmarkEnd w:id="2753"/>
    <w:bookmarkStart w:id="2754" w:name="what-flp-does-and-does-not-forbid"/>
    <w:p>
      <w:pPr>
        <w:pStyle w:val="Heading3"/>
      </w:pPr>
      <w:r>
        <w:t xml:space="preserve">24.13.3 What FLP does and does not forbid</w:t>
      </w:r>
    </w:p>
    <w:p>
      <w:pPr>
        <w:pStyle w:val="FirstParagraph"/>
      </w:pPr>
      <w:r>
        <w:rPr>
          <w:bCs/>
          <w:b/>
        </w:rPr>
        <w:t xml:space="preserve">Table 24.11 — Reading FLP correctly.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FLP forbids</w:t>
            </w:r>
          </w:p>
        </w:tc>
        <w:tc>
          <w:tcPr/>
          <w:p>
            <w:pPr>
              <w:pStyle w:val="Compact"/>
              <w:jc w:val="left"/>
            </w:pPr>
            <w:r>
              <w:t xml:space="preserve">FLP does not forbid</w:t>
            </w:r>
          </w:p>
        </w:tc>
        <w:tc>
          <w:tcPr/>
          <w:p>
            <w:pPr>
              <w:pStyle w:val="Compact"/>
              <w:jc w:val="left"/>
            </w:pPr>
            <w:r>
              <w:t xml:space="preserve">How real systems escape</w:t>
            </w:r>
          </w:p>
        </w:tc>
      </w:tr>
      <w:tr>
        <w:tc>
          <w:tcPr/>
          <w:p>
            <w:pPr>
              <w:pStyle w:val="Compact"/>
              <w:jc w:val="left"/>
            </w:pPr>
            <w:r>
              <w:t xml:space="preserve">A deterministic protocol that</w:t>
            </w:r>
            <w:r>
              <w:t xml:space="preserve"> </w:t>
            </w:r>
            <w:r>
              <w:rPr>
                <w:iCs/>
                <w:i/>
              </w:rPr>
              <w:t xml:space="preserve">guarantees</w:t>
            </w:r>
            <w:r>
              <w:t xml:space="preserve"> </w:t>
            </w:r>
            <w:r>
              <w:t xml:space="preserve">termination in every asynchronous execution with one crash</w:t>
            </w:r>
          </w:p>
        </w:tc>
        <w:tc>
          <w:tcPr/>
          <w:p>
            <w:pPr>
              <w:pStyle w:val="Compact"/>
              <w:jc w:val="left"/>
            </w:pPr>
            <w:r>
              <w:t xml:space="preserve">Protocols that are always</w:t>
            </w:r>
            <w:r>
              <w:t xml:space="preserve"> </w:t>
            </w:r>
            <w:r>
              <w:rPr>
                <w:iCs/>
                <w:i/>
              </w:rPr>
              <w:t xml:space="preserve">safe</w:t>
            </w:r>
            <w:r>
              <w:t xml:space="preserve"> </w:t>
            </w:r>
            <w:r>
              <w:t xml:space="preserve">and terminate when the network behaves</w:t>
            </w:r>
          </w:p>
        </w:tc>
        <w:tc>
          <w:tcPr/>
          <w:p>
            <w:pPr>
              <w:pStyle w:val="Compact"/>
              <w:jc w:val="left"/>
            </w:pPr>
            <w:r>
              <w:rPr>
                <w:bCs/>
                <w:b/>
              </w:rPr>
              <w:t xml:space="preserve">Partial synchrony</w:t>
            </w:r>
            <w:r>
              <w:t xml:space="preserve"> </w:t>
            </w:r>
            <w:r>
              <w:t xml:space="preserve">[Dwork et al. 1988]: Paxos and Raft never decide inconsistently and make progress after GST</w:t>
            </w:r>
          </w:p>
        </w:tc>
      </w:tr>
      <w:tr>
        <w:tc>
          <w:tcPr/>
          <w:p>
            <w:pPr>
              <w:pStyle w:val="Compact"/>
            </w:pPr>
          </w:p>
        </w:tc>
        <w:tc>
          <w:tcPr/>
          <w:p>
            <w:pPr>
              <w:pStyle w:val="Compact"/>
              <w:jc w:val="left"/>
            </w:pPr>
            <w:r>
              <w:t xml:space="preserve">Protocols that terminate with probability 1</w:t>
            </w:r>
          </w:p>
        </w:tc>
        <w:tc>
          <w:tcPr/>
          <w:p>
            <w:pPr>
              <w:pStyle w:val="Compact"/>
              <w:jc w:val="left"/>
            </w:pPr>
            <w:r>
              <w:rPr>
                <w:bCs/>
                <w:b/>
              </w:rPr>
              <w:t xml:space="preserve">Randomization</w:t>
            </w:r>
            <w:r>
              <w:t xml:space="preserve"> </w:t>
            </w:r>
            <w:r>
              <w:t xml:space="preserve">[Ben-Or 1983]: coin flips defeat the adversarial schedule</w:t>
            </w:r>
          </w:p>
        </w:tc>
      </w:tr>
      <w:tr>
        <w:tc>
          <w:tcPr/>
          <w:p>
            <w:pPr>
              <w:pStyle w:val="Compact"/>
            </w:pPr>
          </w:p>
        </w:tc>
        <w:tc>
          <w:tcPr/>
          <w:p>
            <w:pPr>
              <w:pStyle w:val="Compact"/>
              <w:jc w:val="left"/>
            </w:pPr>
            <w:r>
              <w:t xml:space="preserve">Protocols that use an oracle to suspect failures</w:t>
            </w:r>
          </w:p>
        </w:tc>
        <w:tc>
          <w:tcPr/>
          <w:p>
            <w:pPr>
              <w:pStyle w:val="Compact"/>
              <w:jc w:val="left"/>
            </w:pPr>
            <w:r>
              <w:rPr>
                <w:bCs/>
                <w:b/>
              </w:rPr>
              <w:t xml:space="preserve">Failure detectors</w:t>
            </w:r>
            <w:r>
              <w:t xml:space="preserve"> </w:t>
            </w:r>
            <w:r>
              <w:t xml:space="preserve">[Chandra and Toueg 1996]: an eventually accurate detector suffices</w:t>
            </w:r>
          </w:p>
        </w:tc>
      </w:tr>
      <w:tr>
        <w:tc>
          <w:tcPr/>
          <w:p>
            <w:pPr>
              <w:pStyle w:val="Compact"/>
            </w:pPr>
          </w:p>
        </w:tc>
        <w:tc>
          <w:tcPr/>
          <w:p>
            <w:pPr>
              <w:pStyle w:val="Compact"/>
              <w:jc w:val="left"/>
            </w:pPr>
            <w:r>
              <w:t xml:space="preserve">Solving weaker problems</w:t>
            </w:r>
          </w:p>
        </w:tc>
        <w:tc>
          <w:tcPr/>
          <w:p>
            <w:pPr>
              <w:pStyle w:val="Compact"/>
              <w:jc w:val="left"/>
            </w:pPr>
            <w:r>
              <w:t xml:space="preserve">Eventual consistency and CRDTs avoid consensus altogether (§27.14)</w:t>
            </w:r>
          </w:p>
        </w:tc>
      </w:tr>
    </w:tbl>
    <w:p>
      <w:pPr>
        <w:pStyle w:val="BodyText"/>
      </w:pPr>
      <w:r>
        <w:t xml:space="preserve">In practice, a Raft cluster may fail to elect a leader during a storm of slow messages, stays</w:t>
      </w:r>
      <w:r>
        <w:t xml:space="preserve"> </w:t>
      </w:r>
      <w:r>
        <w:rPr>
          <w:iCs/>
          <w:i/>
        </w:rPr>
        <w:t xml:space="preserve">safe</w:t>
      </w:r>
      <w:r>
        <w:t xml:space="preserve"> </w:t>
      </w:r>
      <w:r>
        <w:t xml:space="preserve">throughout, and recovers once messages flow; its randomized election timeouts break symmetry, though they are not Ben-Or’s algorithm [Ongaro and Ousterhout 2014].</w:t>
      </w:r>
    </w:p>
    <w:p>
      <w:pPr>
        <w:pStyle w:val="CalloutMistake"/>
      </w:pPr>
      <w:r>
        <w:rPr>
          <w:bCs/>
          <w:b/>
        </w:rPr>
        <w:t xml:space="preserve">COMMON MISTAKE</w:t>
      </w:r>
    </w:p>
    <w:p>
      <w:pPr>
        <w:pStyle w:val="CalloutMistake"/>
      </w:pPr>
      <w:r>
        <w:rPr>
          <w:bCs/>
          <w:b/>
        </w:rPr>
        <w:t xml:space="preserve">Mistake —</w:t>
      </w:r>
      <w:r>
        <w:rPr>
          <w:bCs/>
          <w:b/>
        </w:rPr>
        <w:t xml:space="preserve"> </w:t>
      </w:r>
      <w:r>
        <w:rPr>
          <w:bCs/>
          <w:b/>
        </w:rPr>
        <w:t xml:space="preserve">“</w:t>
      </w:r>
      <w:r>
        <w:rPr>
          <w:bCs/>
          <w:b/>
        </w:rPr>
        <w:t xml:space="preserve">FLP proves consensus is impossible, so systems like etcd cannot work.</w:t>
      </w:r>
      <w:r>
        <w:rPr>
          <w:bCs/>
          <w:b/>
        </w:rPr>
        <w:t xml:space="preserve">”</w:t>
      </w:r>
      <w:r>
        <w:t xml:space="preserve"> </w:t>
      </w:r>
      <w:r>
        <w:t xml:space="preserve">FLP rules out a</w:t>
      </w:r>
      <w:r>
        <w:t xml:space="preserve"> </w:t>
      </w:r>
      <w:r>
        <w:rPr>
          <w:iCs/>
          <w:i/>
        </w:rPr>
        <w:t xml:space="preserve">guarantee of termination</w:t>
      </w:r>
      <w:r>
        <w:t xml:space="preserve"> </w:t>
      </w:r>
      <w:r>
        <w:t xml:space="preserve">in a purely asynchronous model. Real systems keep safety unconditionally and obtain liveness from timeouts, i.e., from the assumption that the network is eventually timely. FLP is also distinct from CAP (§25.8), which concerns availability of reads and writes during a partition.</w:t>
      </w:r>
    </w:p>
    <w:bookmarkEnd w:id="2754"/>
    <w:bookmarkEnd w:id="2755"/>
    <w:bookmarkStart w:id="2761" w:name="the-end-to-end-argument"/>
    <w:p>
      <w:pPr>
        <w:pStyle w:val="Heading2"/>
      </w:pPr>
      <w:r>
        <w:t xml:space="preserve">24.14 The end-to-end argument</w:t>
      </w:r>
    </w:p>
    <w:bookmarkStart w:id="2759" w:name="the-principle"/>
    <w:p>
      <w:pPr>
        <w:pStyle w:val="Heading3"/>
      </w:pPr>
      <w:r>
        <w:t xml:space="preserve">24.14.1 The principle</w:t>
      </w:r>
    </w:p>
    <w:p>
      <w:pPr>
        <w:pStyle w:val="FirstParagraph"/>
      </w:pPr>
      <w:r>
        <w:t xml:space="preserve">Saltzer, Reed and Clark’s 1984 paper asks where in a layered system a function such as reliable delivery should be implemented [Saltzer et al. 1984]. Their answer, paraphrased: a function that can be implemented completely and correctly only with knowledge held by the application at the endpoints cannot be provided as a feature of the communication system alone. A lower layer may still provide a partial version, but only as a</w:t>
      </w:r>
      <w:r>
        <w:t xml:space="preserve"> </w:t>
      </w:r>
      <w:r>
        <w:rPr>
          <w:iCs/>
          <w:i/>
        </w:rPr>
        <w:t xml:space="preserve">performance optimization</w:t>
      </w:r>
      <w:r>
        <w:t xml:space="preserve">.</w:t>
      </w:r>
    </w:p>
    <w:p>
      <w:pPr>
        <w:pStyle w:val="BodyText"/>
      </w:pPr>
      <w:r>
        <w:t xml:space="preserve">Their example is</w:t>
      </w:r>
      <w:r>
        <w:t xml:space="preserve"> </w:t>
      </w:r>
      <w:r>
        <w:rPr>
          <w:bCs/>
          <w:b/>
        </w:rPr>
        <w:t xml:space="preserve">careful file transfer</w:t>
      </w:r>
      <w:r>
        <w:t xml:space="preserve"> </w:t>
      </w:r>
      <w:r>
        <w:t xml:space="preserve">from A’s disk to B’s disk. A reliable network still cannot prevent corruption in A’s memory, a buffer copy or B’s disk; only an application check at both ends (compare checksums of the stored and original file, retry on mismatch) covers every step.</w:t>
      </w:r>
    </w:p>
    <w:p>
      <w:pPr>
        <w:pStyle w:val="BodyText"/>
      </w:pPr>
      <w:r>
        <w:rPr>
          <w:bCs/>
          <w:b/>
        </w:rPr>
        <w:t xml:space="preserve">Figure 24.15 — Where errors can enter a file transfer, and which check covers them.</w:t>
      </w:r>
    </w:p>
    <w:p>
      <w:pPr>
        <w:pStyle w:val="BodyText"/>
      </w:pPr>
      <w:r>
        <w:drawing>
          <wp:inline>
            <wp:extent cx="5334000" cy="589571"/>
            <wp:effectExtent b="0" l="0" r="0" t="0"/>
            <wp:docPr descr="" title="" id="2757" name="Picture"/>
            <a:graphic>
              <a:graphicData uri="http://schemas.openxmlformats.org/drawingml/2006/picture">
                <pic:pic>
                  <pic:nvPicPr>
                    <pic:cNvPr descr="/home/user/System-Design/build/.cache/diagrams/c5e37c4b06cd.png" id="2758" name="Picture"/>
                    <pic:cNvPicPr>
                      <a:picLocks noChangeArrowheads="1" noChangeAspect="1"/>
                    </pic:cNvPicPr>
                  </pic:nvPicPr>
                  <pic:blipFill>
                    <a:blip r:embed="rId2756"/>
                    <a:stretch>
                      <a:fillRect/>
                    </a:stretch>
                  </pic:blipFill>
                  <pic:spPr bwMode="auto">
                    <a:xfrm>
                      <a:off x="0" y="0"/>
                      <a:ext cx="5334000" cy="589571"/>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Data flows left to right between two storage boundaries (the disks) through several copies; every arrow is a failure point. TCP and link-layer checks protect only the middle arrow. The dotted arrow is the asynchronous end-to-end verification, which covers every step and scales at one checksum per file regardless of path length.</w:t>
      </w:r>
    </w:p>
    <w:p>
      <w:pPr>
        <w:pStyle w:val="CalloutFormula"/>
      </w:pPr>
      <w:r>
        <w:rPr>
          <w:bCs/>
          <w:b/>
        </w:rPr>
        <w:t xml:space="preserve">FORMULA</w:t>
      </w:r>
    </w:p>
    <w:p>
      <w:pPr>
        <w:pStyle w:val="CalloutFormula"/>
      </w:pPr>
      <w:r>
        <w:rPr>
          <w:bCs/>
          <w:b/>
        </w:rPr>
        <w:t xml:space="preserve">Undetected-corruption probability over many transfers</w:t>
      </w:r>
    </w:p>
    <w:p>
      <w:pPr>
        <w:pStyle w:val="CalloutFormula"/>
      </w:pPr>
      <m:oMathPara>
        <m:oMathParaPr>
          <m:jc m:val="center"/>
        </m:oMathParaPr>
        <m:oMath>
          <m:sSub>
            <m:e>
              <m:r>
                <m:t>P</m:t>
              </m:r>
            </m:e>
            <m:sub>
              <m:r>
                <m:rPr>
                  <m:nor/>
                  <m:sty m:val="p"/>
                </m:rPr>
                <m:t>bad</m:t>
              </m:r>
            </m:sub>
          </m:sSub>
          <m:r>
            <m:rPr>
              <m:sty m:val="p"/>
            </m:rPr>
            <m:t>=</m:t>
          </m:r>
          <m:r>
            <m:t>1</m:t>
          </m:r>
          <m:r>
            <m:rPr>
              <m:sty m:val="p"/>
            </m:rPr>
            <m:t>−</m:t>
          </m:r>
          <m:sSup>
            <m:e>
              <m:d>
                <m:dPr>
                  <m:begChr m:val="("/>
                  <m:endChr m:val=")"/>
                  <m:sepChr m:val=""/>
                  <m:grow/>
                </m:dPr>
                <m:e>
                  <m:r>
                    <m:t>1</m:t>
                  </m:r>
                  <m:r>
                    <m:rPr>
                      <m:sty m:val="p"/>
                    </m:rPr>
                    <m:t>−</m:t>
                  </m:r>
                  <m:r>
                    <m:t>q</m:t>
                  </m:r>
                </m:e>
              </m:d>
            </m:e>
            <m:sup>
              <m:r>
                <m:t>N</m:t>
              </m:r>
            </m:sup>
          </m:sSup>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q</m:t>
              </m:r>
            </m:oMath>
          </w:p>
        </w:tc>
        <w:tc>
          <w:tcPr/>
          <w:p>
            <w:pPr>
              <w:pStyle w:val="Compact"/>
              <w:jc w:val="left"/>
            </w:pPr>
            <w:r>
              <w:t xml:space="preserve">Probability that one transfer suffers corruption no lower layer catches</w:t>
            </w:r>
          </w:p>
        </w:tc>
        <w:tc>
          <w:tcPr/>
          <w:p>
            <w:pPr>
              <w:pStyle w:val="Compact"/>
              <w:jc w:val="left"/>
            </w:pPr>
            <w:r>
              <w:t xml:space="preserve">dimensionless</w:t>
            </w:r>
          </w:p>
        </w:tc>
      </w:tr>
      <w:tr>
        <w:tc>
          <w:tcPr/>
          <w:p>
            <w:pPr>
              <w:pStyle w:val="Compact"/>
              <w:jc w:val="left"/>
            </w:pPr>
            <m:oMath>
              <m:r>
                <m:t>N</m:t>
              </m:r>
            </m:oMath>
          </w:p>
        </w:tc>
        <w:tc>
          <w:tcPr/>
          <w:p>
            <w:pPr>
              <w:pStyle w:val="Compact"/>
              <w:jc w:val="left"/>
            </w:pPr>
            <w:r>
              <w:t xml:space="preserve">Number of transfers</w:t>
            </w:r>
          </w:p>
        </w:tc>
        <w:tc>
          <w:tcPr/>
          <w:p>
            <w:pPr>
              <w:pStyle w:val="Compact"/>
              <w:jc w:val="left"/>
            </w:pPr>
            <w:r>
              <w:t xml:space="preserve">count</w:t>
            </w:r>
          </w:p>
        </w:tc>
      </w:tr>
      <w:tr>
        <w:tc>
          <w:tcPr/>
          <w:p>
            <w:pPr>
              <w:pStyle w:val="Compact"/>
              <w:jc w:val="left"/>
            </w:pPr>
            <m:oMath>
              <m:sSub>
                <m:e>
                  <m:r>
                    <m:t>P</m:t>
                  </m:r>
                </m:e>
                <m:sub>
                  <m:r>
                    <m:rPr>
                      <m:nor/>
                      <m:sty m:val="p"/>
                    </m:rPr>
                    <m:t>bad</m:t>
                  </m:r>
                </m:sub>
              </m:sSub>
            </m:oMath>
          </w:p>
        </w:tc>
        <w:tc>
          <w:tcPr/>
          <w:p>
            <w:pPr>
              <w:pStyle w:val="Compact"/>
              <w:jc w:val="left"/>
            </w:pPr>
            <w:r>
              <w:t xml:space="preserve">Probability that at least one transfer is silently corrupted</w:t>
            </w:r>
          </w:p>
        </w:tc>
        <w:tc>
          <w:tcPr/>
          <w:p>
            <w:pPr>
              <w:pStyle w:val="Compact"/>
              <w:jc w:val="left"/>
            </w:pPr>
            <w:r>
              <w:t xml:space="preserve">dimensionless</w:t>
            </w:r>
          </w:p>
        </w:tc>
      </w:tr>
    </w:tbl>
    <w:p>
      <w:pPr>
        <w:pStyle w:val="CalloutExample"/>
      </w:pPr>
      <w:r>
        <w:rPr>
          <w:bCs/>
          <w:b/>
        </w:rPr>
        <w:t xml:space="preserve">WORKED EXAMPLE</w:t>
      </w:r>
    </w:p>
    <w:p>
      <w:pPr>
        <w:pStyle w:val="CalloutExample"/>
      </w:pPr>
      <w:r>
        <w:rPr>
          <w:bCs/>
          <w:b/>
        </w:rPr>
        <w:t xml:space="preserve">Worked example — Rare errors at fleet scale.</w:t>
      </w:r>
    </w:p>
    <w:p>
      <w:pPr>
        <w:numPr>
          <w:ilvl w:val="0"/>
          <w:numId w:val="1797"/>
        </w:numPr>
        <w:pStyle w:val="Compact"/>
      </w:pPr>
      <w:r>
        <w:t xml:space="preserve">Assume, for illustration, that one transfer in</w:t>
      </w:r>
      <w:r>
        <w:t xml:space="preserve"> </w:t>
      </w:r>
      <m:oMath>
        <m:sSup>
          <m:e>
            <m:r>
              <m:t>10</m:t>
            </m:r>
          </m:e>
          <m:sup>
            <m:r>
              <m:t>10</m:t>
            </m:r>
          </m:sup>
        </m:sSup>
      </m:oMath>
      <w:r>
        <w:t xml:space="preserve"> </w:t>
      </w:r>
      <w:r>
        <w:t xml:space="preserve">suffers corruption missed by TCP and link checks:</w:t>
      </w:r>
      <w:r>
        <w:t xml:space="preserve"> </w:t>
      </w:r>
      <m:oMath>
        <m:r>
          <m:t>q</m:t>
        </m:r>
        <m:r>
          <m:rPr>
            <m:sty m:val="p"/>
          </m:rPr>
          <m:t>=</m:t>
        </m:r>
        <m:sSup>
          <m:e>
            <m:r>
              <m:t>10</m:t>
            </m:r>
          </m:e>
          <m:sup>
            <m:r>
              <m:rPr>
                <m:sty m:val="p"/>
              </m:rPr>
              <m:t>−</m:t>
            </m:r>
            <m:r>
              <m:t>10</m:t>
            </m:r>
          </m:sup>
        </m:sSup>
      </m:oMath>
      <w:r>
        <w:t xml:space="preserve">.</w:t>
      </w:r>
    </w:p>
    <w:p>
      <w:pPr>
        <w:numPr>
          <w:ilvl w:val="0"/>
          <w:numId w:val="1797"/>
        </w:numPr>
        <w:pStyle w:val="Compact"/>
      </w:pPr>
      <w:r>
        <w:t xml:space="preserve">PhotoShare’s replication moves</w:t>
      </w:r>
      <w:r>
        <w:t xml:space="preserve"> </w:t>
      </w:r>
      <m:oMath>
        <m:r>
          <m:t>N</m:t>
        </m:r>
        <m:r>
          <m:rPr>
            <m:sty m:val="p"/>
          </m:rPr>
          <m:t>=</m:t>
        </m:r>
        <m:sSup>
          <m:e>
            <m:r>
              <m:t>10</m:t>
            </m:r>
          </m:e>
          <m:sup>
            <m:r>
              <m:t>9</m:t>
            </m:r>
          </m:sup>
        </m:sSup>
      </m:oMath>
      <w:r>
        <w:t xml:space="preserve"> </w:t>
      </w:r>
      <w:r>
        <w:t xml:space="preserve">blocks per day:</w:t>
      </w:r>
      <w:r>
        <w:t xml:space="preserve"> </w:t>
      </w:r>
      <m:oMath>
        <m:sSub>
          <m:e>
            <m:r>
              <m:t>P</m:t>
            </m:r>
          </m:e>
          <m:sub>
            <m:r>
              <m:rPr>
                <m:nor/>
                <m:sty m:val="p"/>
              </m:rPr>
              <m:t>bad</m:t>
            </m:r>
          </m:sub>
        </m:sSub>
        <m:r>
          <m:rPr>
            <m:sty m:val="p"/>
          </m:rPr>
          <m:t>=</m:t>
        </m:r>
        <m:r>
          <m:t>1</m:t>
        </m:r>
        <m:r>
          <m:rPr>
            <m:sty m:val="p"/>
          </m:rPr>
          <m:t>−</m:t>
        </m:r>
        <m:sSup>
          <m:e>
            <m:d>
              <m:dPr>
                <m:begChr m:val="("/>
                <m:endChr m:val=")"/>
                <m:sepChr m:val=""/>
                <m:grow/>
              </m:dPr>
              <m:e>
                <m:r>
                  <m:t>1</m:t>
                </m:r>
                <m:r>
                  <m:rPr>
                    <m:sty m:val="p"/>
                  </m:rPr>
                  <m:t>−</m:t>
                </m:r>
                <m:sSup>
                  <m:e>
                    <m:r>
                      <m:t>10</m:t>
                    </m:r>
                  </m:e>
                  <m:sup>
                    <m:r>
                      <m:rPr>
                        <m:sty m:val="p"/>
                      </m:rPr>
                      <m:t>−</m:t>
                    </m:r>
                    <m:r>
                      <m:t>10</m:t>
                    </m:r>
                  </m:sup>
                </m:sSup>
              </m:e>
            </m:d>
          </m:e>
          <m:sup>
            <m:sSup>
              <m:e>
                <m:r>
                  <m:t>10</m:t>
                </m:r>
              </m:e>
              <m:sup>
                <m:r>
                  <m:t>9</m:t>
                </m:r>
              </m:sup>
            </m:sSup>
          </m:sup>
        </m:sSup>
        <m:r>
          <m:rPr>
            <m:sty m:val="p"/>
          </m:rPr>
          <m:t>≈</m:t>
        </m:r>
        <m:r>
          <m:t>1</m:t>
        </m:r>
        <m:r>
          <m:rPr>
            <m:sty m:val="p"/>
          </m:rPr>
          <m:t>−</m:t>
        </m:r>
        <m:sSup>
          <m:e>
            <m:r>
              <m:t>e</m:t>
            </m:r>
          </m:e>
          <m:sup>
            <m:r>
              <m:rPr>
                <m:sty m:val="p"/>
              </m:rPr>
              <m:t>−</m:t>
            </m:r>
            <m:r>
              <m:t>0.1</m:t>
            </m:r>
          </m:sup>
        </m:sSup>
        <m:r>
          <m:rPr>
            <m:sty m:val="p"/>
          </m:rPr>
          <m:t>≈</m:t>
        </m:r>
        <m:r>
          <m:t>0.095</m:t>
        </m:r>
      </m:oMath>
      <w:r>
        <w:t xml:space="preserve">.</w:t>
      </w:r>
    </w:p>
    <w:p>
      <w:pPr>
        <w:numPr>
          <w:ilvl w:val="0"/>
          <w:numId w:val="1797"/>
        </w:numPr>
        <w:pStyle w:val="Compact"/>
      </w:pPr>
      <w:r>
        <w:t xml:space="preserve">Over a year:</w:t>
      </w:r>
      <w:r>
        <w:t xml:space="preserve"> </w:t>
      </w:r>
      <m:oMath>
        <m:r>
          <m:t>N</m:t>
        </m:r>
        <m:r>
          <m:rPr>
            <m:sty m:val="p"/>
          </m:rPr>
          <m:t>=</m:t>
        </m:r>
        <m:r>
          <m:t>3.65</m:t>
        </m:r>
        <m:r>
          <m:rPr>
            <m:sty m:val="p"/>
          </m:rPr>
          <m:t>×</m:t>
        </m:r>
        <m:sSup>
          <m:e>
            <m:r>
              <m:t>10</m:t>
            </m:r>
          </m:e>
          <m:sup>
            <m:r>
              <m:t>11</m:t>
            </m:r>
          </m:sup>
        </m:sSup>
      </m:oMath>
      <w:r>
        <w:t xml:space="preserve">,</w:t>
      </w:r>
      <w:r>
        <w:t xml:space="preserve"> </w:t>
      </w:r>
      <m:oMath>
        <m:sSub>
          <m:e>
            <m:r>
              <m:t>P</m:t>
            </m:r>
          </m:e>
          <m:sub>
            <m:r>
              <m:rPr>
                <m:nor/>
                <m:sty m:val="p"/>
              </m:rPr>
              <m:t>bad</m:t>
            </m:r>
          </m:sub>
        </m:sSub>
        <m:r>
          <m:rPr>
            <m:sty m:val="p"/>
          </m:rPr>
          <m:t>≈</m:t>
        </m:r>
        <m:r>
          <m:t>1</m:t>
        </m:r>
        <m:r>
          <m:rPr>
            <m:sty m:val="p"/>
          </m:rPr>
          <m:t>−</m:t>
        </m:r>
        <m:sSup>
          <m:e>
            <m:r>
              <m:t>e</m:t>
            </m:r>
          </m:e>
          <m:sup>
            <m:r>
              <m:rPr>
                <m:sty m:val="p"/>
              </m:rPr>
              <m:t>−</m:t>
            </m:r>
            <m:r>
              <m:t>36.5</m:t>
            </m:r>
          </m:sup>
        </m:sSup>
        <m:r>
          <m:rPr>
            <m:sty m:val="p"/>
          </m:rPr>
          <m:t>≈</m:t>
        </m:r>
        <m:r>
          <m:t>1</m:t>
        </m:r>
      </m:oMath>
      <w:r>
        <w:t xml:space="preserve">.</w:t>
      </w:r>
    </w:p>
    <w:p>
      <w:pPr>
        <w:pStyle w:val="CalloutExample"/>
      </w:pPr>
      <w:r>
        <w:t xml:space="preserve">Interpretation: a probability that looks negligible per transfer becomes a near-certainty at scale. Engineering implication: verify integrity end to end (checksums stored with the data and checked on read). Stone and Partridge measured that real Internet traffic contains errors the TCP checksum fails to catch at rates far above what checksum theory predicts [Stone and Partridge 2000].</w:t>
      </w:r>
    </w:p>
    <w:p>
      <w:pPr>
        <w:pStyle w:val="CalloutIndustry"/>
      </w:pPr>
      <w:r>
        <w:rPr>
          <w:bCs/>
          <w:b/>
        </w:rPr>
        <w:t xml:space="preserve">INDUSTRY EXAMPLE</w:t>
      </w:r>
    </w:p>
    <w:p>
      <w:pPr>
        <w:pStyle w:val="CalloutIndustry"/>
      </w:pPr>
      <w:r>
        <w:rPr>
          <w:bCs/>
          <w:b/>
        </w:rPr>
        <w:t xml:space="preserve">Amazon S3, July 2008.</w:t>
      </w:r>
      <w:r>
        <w:t xml:space="preserve"> </w:t>
      </w:r>
      <w:r>
        <w:t xml:space="preserve">A single corrupted bit in messages of S3’s internal gossip protocol, which carried no checksum of its own, spread incorrect server-state information through the system and caused a multi-hour outage. AWS’s remedy included adding checksums to that internal state and its messages [AWS 2008].</w:t>
      </w:r>
      <w:r>
        <w:t xml:space="preserve"> </w:t>
      </w:r>
      <w:r>
        <w:rPr>
          <w:iCs/>
          <w:i/>
        </w:rPr>
        <w:t xml:space="preserve">Evidence: Primary</w:t>
      </w:r>
      <w:r>
        <w:t xml:space="preserve"> </w:t>
      </w:r>
      <w:r>
        <w:t xml:space="preserve">— [AWS 2008]</w:t>
      </w:r>
    </w:p>
    <w:bookmarkEnd w:id="2759"/>
    <w:bookmarkStart w:id="2760" w:name="applying-the-argument"/>
    <w:p>
      <w:pPr>
        <w:pStyle w:val="Heading3"/>
      </w:pPr>
      <w:r>
        <w:t xml:space="preserve">24.14.2 Applying the argument</w:t>
      </w:r>
    </w:p>
    <w:p>
      <w:pPr>
        <w:numPr>
          <w:ilvl w:val="0"/>
          <w:numId w:val="1798"/>
        </w:numPr>
        <w:pStyle w:val="Compact"/>
      </w:pPr>
      <w:r>
        <w:rPr>
          <w:bCs/>
          <w:b/>
        </w:rPr>
        <w:t xml:space="preserve">Delivery versus processing.</w:t>
      </w:r>
      <w:r>
        <w:t xml:space="preserve"> </w:t>
      </w:r>
      <w:r>
        <w:t xml:space="preserve">A TCP acknowledgment means the peer’s kernel buffered the bytes (§7.7), not that the application processed them. A message broker should be acknowledged</w:t>
      </w:r>
      <w:r>
        <w:t xml:space="preserve"> </w:t>
      </w:r>
      <w:r>
        <w:rPr>
          <w:iCs/>
          <w:i/>
        </w:rPr>
        <w:t xml:space="preserve">after</w:t>
      </w:r>
      <w:r>
        <w:t xml:space="preserve"> </w:t>
      </w:r>
      <w:r>
        <w:t xml:space="preserve">processing (Chapters 30–31).</w:t>
      </w:r>
    </w:p>
    <w:p>
      <w:pPr>
        <w:numPr>
          <w:ilvl w:val="0"/>
          <w:numId w:val="1798"/>
        </w:numPr>
        <w:pStyle w:val="Compact"/>
      </w:pPr>
      <w:r>
        <w:rPr>
          <w:bCs/>
          <w:b/>
        </w:rPr>
        <w:t xml:space="preserve">Exactly-once effects.</w:t>
      </w:r>
      <w:r>
        <w:t xml:space="preserve"> </w:t>
      </w:r>
      <w:r>
        <w:t xml:space="preserve">No network can deliver exactly once; the endpoint achieves</w:t>
      </w:r>
      <w:r>
        <w:t xml:space="preserve"> </w:t>
      </w:r>
      <w:r>
        <w:rPr>
          <w:iCs/>
          <w:i/>
        </w:rPr>
        <w:t xml:space="preserve">effectively-once</w:t>
      </w:r>
      <w:r>
        <w:t xml:space="preserve"> </w:t>
      </w:r>
      <w:r>
        <w:t xml:space="preserve">processing with at-least-once delivery plus deduplication by idempotency key (§22.15).</w:t>
      </w:r>
    </w:p>
    <w:p>
      <w:pPr>
        <w:numPr>
          <w:ilvl w:val="0"/>
          <w:numId w:val="1798"/>
        </w:numPr>
        <w:pStyle w:val="Compact"/>
      </w:pPr>
      <w:r>
        <w:rPr>
          <w:bCs/>
          <w:b/>
        </w:rPr>
        <w:t xml:space="preserve">Security.</w:t>
      </w:r>
      <w:r>
        <w:t xml:space="preserve"> </w:t>
      </w:r>
      <w:r>
        <w:t xml:space="preserve">Encryption hop by hop leaves data exposed at every intermediary; end-to-end encryption does not (Chapter 10).</w:t>
      </w:r>
    </w:p>
    <w:p>
      <w:pPr>
        <w:numPr>
          <w:ilvl w:val="0"/>
          <w:numId w:val="1798"/>
        </w:numPr>
        <w:pStyle w:val="Compact"/>
      </w:pPr>
      <w:r>
        <w:rPr>
          <w:bCs/>
          <w:b/>
        </w:rPr>
        <w:t xml:space="preserve">Where lower layers still help.</w:t>
      </w:r>
      <w:r>
        <w:t xml:space="preserve"> </w:t>
      </w:r>
      <w:r>
        <w:t xml:space="preserve">Wi-Fi retransmits frames locally because an end-to-end retransmission would be far slower: the permitted</w:t>
      </w:r>
      <w:r>
        <w:t xml:space="preserve"> </w:t>
      </w:r>
      <w:r>
        <w:t xml:space="preserve">“</w:t>
      </w:r>
      <w:r>
        <w:t xml:space="preserve">performance optimization</w:t>
      </w:r>
      <w:r>
        <w:t xml:space="preserve">”</w:t>
      </w:r>
      <w:r>
        <w:t xml:space="preserve">.</w:t>
      </w:r>
    </w:p>
    <w:p>
      <w:pPr>
        <w:pStyle w:val="CalloutMistake"/>
      </w:pPr>
      <w:r>
        <w:rPr>
          <w:bCs/>
          <w:b/>
        </w:rPr>
        <w:t xml:space="preserve">COMMON MISTAKE</w:t>
      </w:r>
    </w:p>
    <w:p>
      <w:pPr>
        <w:pStyle w:val="CalloutMistake"/>
      </w:pPr>
      <w:r>
        <w:rPr>
          <w:bCs/>
          <w:b/>
        </w:rPr>
        <w:t xml:space="preserve">Mistake —</w:t>
      </w:r>
      <w:r>
        <w:rPr>
          <w:bCs/>
          <w:b/>
        </w:rPr>
        <w:t xml:space="preserve"> </w:t>
      </w:r>
      <w:r>
        <w:rPr>
          <w:bCs/>
          <w:b/>
        </w:rPr>
        <w:t xml:space="preserve">“</w:t>
      </w:r>
      <w:r>
        <w:rPr>
          <w:bCs/>
          <w:b/>
        </w:rPr>
        <w:t xml:space="preserve">The network (or storage system) is reliable, so the application needn’t check.</w:t>
      </w:r>
      <w:r>
        <w:rPr>
          <w:bCs/>
          <w:b/>
        </w:rPr>
        <w:t xml:space="preserve">”</w:t>
      </w:r>
      <w:r>
        <w:t xml:space="preserve"> </w:t>
      </w:r>
      <w:r>
        <w:t xml:space="preserve">Each layer’s guarantee covers only that layer. If the requirement is</w:t>
      </w:r>
      <w:r>
        <w:t xml:space="preserve"> </w:t>
      </w:r>
      <w:r>
        <w:t xml:space="preserve">“</w:t>
      </w:r>
      <w:r>
        <w:t xml:space="preserve">the user’s photo is stored intact and saved once</w:t>
      </w:r>
      <w:r>
        <w:t xml:space="preserve">”</w:t>
      </w:r>
      <w:r>
        <w:t xml:space="preserve">, only the application can verify it.</w:t>
      </w:r>
    </w:p>
    <w:bookmarkEnd w:id="2760"/>
    <w:bookmarkEnd w:id="2761"/>
    <w:bookmarkStart w:id="2762" w:name="summary-and-revision-notes-23"/>
    <w:p>
      <w:pPr>
        <w:pStyle w:val="Heading2"/>
      </w:pPr>
      <w:r>
        <w:t xml:space="preserve">24.15 Summary and revision notes</w:t>
      </w:r>
    </w:p>
    <w:p>
      <w:pPr>
        <w:pStyle w:val="CalloutSummary"/>
      </w:pPr>
      <w:r>
        <w:rPr>
          <w:bCs/>
          <w:b/>
        </w:rPr>
        <w:t xml:space="preserve">SUMMARY</w:t>
      </w:r>
    </w:p>
    <w:p>
      <w:pPr>
        <w:numPr>
          <w:ilvl w:val="0"/>
          <w:numId w:val="1799"/>
        </w:numPr>
        <w:pStyle w:val="Compact"/>
      </w:pPr>
      <w:r>
        <w:t xml:space="preserve">Distributed systems have</w:t>
      </w:r>
      <w:r>
        <w:t xml:space="preserve"> </w:t>
      </w:r>
      <w:r>
        <w:rPr>
          <w:bCs/>
          <w:b/>
        </w:rPr>
        <w:t xml:space="preserve">independent failures, no global clock and unreliable messages</w:t>
      </w:r>
      <w:r>
        <w:t xml:space="preserve">; the</w:t>
      </w:r>
      <w:r>
        <w:t xml:space="preserve"> </w:t>
      </w:r>
      <w:r>
        <w:rPr>
          <w:bCs/>
          <w:b/>
        </w:rPr>
        <w:t xml:space="preserve">two generals problem</w:t>
      </w:r>
      <w:r>
        <w:t xml:space="preserve"> </w:t>
      </w:r>
      <w:r>
        <w:t xml:space="preserve">shows certainty of agreement over a lossy channel is impossible.</w:t>
      </w:r>
    </w:p>
    <w:p>
      <w:pPr>
        <w:numPr>
          <w:ilvl w:val="0"/>
          <w:numId w:val="1799"/>
        </w:numPr>
        <w:pStyle w:val="Compact"/>
      </w:pPr>
      <w:r>
        <w:t xml:space="preserve">Distribute for</w:t>
      </w:r>
      <w:r>
        <w:t xml:space="preserve"> </w:t>
      </w:r>
      <w:r>
        <w:rPr>
          <w:bCs/>
          <w:b/>
        </w:rPr>
        <w:t xml:space="preserve">scale, fault tolerance, latency or data residency</w:t>
      </w:r>
      <w:r>
        <w:t xml:space="preserve">. Replication gives</w:t>
      </w:r>
      <w:r>
        <w:t xml:space="preserve"> </w:t>
      </w:r>
      <m:oMath>
        <m:sSub>
          <m:e>
            <m:r>
              <m:t>A</m:t>
            </m:r>
          </m:e>
          <m:sub>
            <m:r>
              <m:t>k</m:t>
            </m:r>
          </m:sub>
        </m:sSub>
        <m:r>
          <m:rPr>
            <m:sty m:val="p"/>
          </m:rPr>
          <m:t>=</m:t>
        </m:r>
        <m:r>
          <m:t>1</m:t>
        </m:r>
        <m:r>
          <m:rPr>
            <m:sty m:val="p"/>
          </m:rPr>
          <m:t>−</m:t>
        </m:r>
        <m:sSup>
          <m:e>
            <m:d>
              <m:dPr>
                <m:begChr m:val="("/>
                <m:endChr m:val=")"/>
                <m:sepChr m:val=""/>
                <m:grow/>
              </m:dPr>
              <m:e>
                <m:r>
                  <m:t>1</m:t>
                </m:r>
                <m:r>
                  <m:rPr>
                    <m:sty m:val="p"/>
                  </m:rPr>
                  <m:t>−</m:t>
                </m:r>
                <m:r>
                  <m:t>a</m:t>
                </m:r>
              </m:e>
            </m:d>
          </m:e>
          <m:sup>
            <m:r>
              <m:t>k</m:t>
            </m:r>
          </m:sup>
        </m:sSup>
      </m:oMath>
      <w:r>
        <w:t xml:space="preserve"> </w:t>
      </w:r>
      <w:r>
        <w:t xml:space="preserve">under independence, but fleets fail daily:</w:t>
      </w:r>
      <w:r>
        <w:t xml:space="preserve"> </w:t>
      </w:r>
      <m:oMath>
        <m:sSub>
          <m:e>
            <m:r>
              <m:t>P</m:t>
            </m:r>
          </m:e>
          <m:sub>
            <m:r>
              <m:rPr>
                <m:nor/>
                <m:sty m:val="p"/>
              </m:rPr>
              <m:t>any</m:t>
            </m:r>
          </m:sub>
        </m:sSub>
        <m:r>
          <m:rPr>
            <m:sty m:val="p"/>
          </m:rPr>
          <m:t>=</m:t>
        </m:r>
        <m:r>
          <m:t>1</m:t>
        </m:r>
        <m:r>
          <m:rPr>
            <m:sty m:val="p"/>
          </m:rPr>
          <m:t>−</m:t>
        </m:r>
        <m:sSup>
          <m:e>
            <m:d>
              <m:dPr>
                <m:begChr m:val="("/>
                <m:endChr m:val=")"/>
                <m:sepChr m:val=""/>
                <m:grow/>
              </m:dPr>
              <m:e>
                <m:r>
                  <m:t>1</m:t>
                </m:r>
                <m:r>
                  <m:rPr>
                    <m:sty m:val="p"/>
                  </m:rPr>
                  <m:t>−</m:t>
                </m:r>
                <m:r>
                  <m:t>p</m:t>
                </m:r>
              </m:e>
            </m:d>
          </m:e>
          <m:sup>
            <m:r>
              <m:t>n</m:t>
            </m:r>
          </m:sup>
        </m:sSup>
      </m:oMath>
      <w:r>
        <w:t xml:space="preserve">.</w:t>
      </w:r>
    </w:p>
    <w:p>
      <w:pPr>
        <w:numPr>
          <w:ilvl w:val="0"/>
          <w:numId w:val="1799"/>
        </w:numPr>
        <w:pStyle w:val="Compact"/>
      </w:pPr>
      <w:r>
        <w:t xml:space="preserve">Each of the</w:t>
      </w:r>
      <w:r>
        <w:t xml:space="preserve"> </w:t>
      </w:r>
      <w:r>
        <w:rPr>
          <w:bCs/>
          <w:b/>
        </w:rPr>
        <w:t xml:space="preserve">eight fallacies</w:t>
      </w:r>
      <w:r>
        <w:t xml:space="preserve"> </w:t>
      </w:r>
      <w:r>
        <w:t xml:space="preserve">maps to a class of outages.</w:t>
      </w:r>
    </w:p>
    <w:p>
      <w:pPr>
        <w:numPr>
          <w:ilvl w:val="0"/>
          <w:numId w:val="1799"/>
        </w:numPr>
        <w:pStyle w:val="Compact"/>
      </w:pPr>
      <w:r>
        <w:t xml:space="preserve">State a</w:t>
      </w:r>
      <w:r>
        <w:t xml:space="preserve"> </w:t>
      </w:r>
      <w:r>
        <w:rPr>
          <w:bCs/>
          <w:b/>
        </w:rPr>
        <w:t xml:space="preserve">system model</w:t>
      </w:r>
      <w:r>
        <w:t xml:space="preserve">: timing (synchronous, partially synchronous, asynchronous) and faults (crash-stop, crash-recovery, omission, timing, Byzantine). Consensus needs</w:t>
      </w:r>
      <w:r>
        <w:t xml:space="preserve"> </w:t>
      </w:r>
      <m:oMath>
        <m:r>
          <m:t>2</m:t>
        </m:r>
        <m:r>
          <m:t>f</m:t>
        </m:r>
        <m:r>
          <m:rPr>
            <m:sty m:val="p"/>
          </m:rPr>
          <m:t>+</m:t>
        </m:r>
        <m:r>
          <m:t>1</m:t>
        </m:r>
      </m:oMath>
      <w:r>
        <w:t xml:space="preserve"> </w:t>
      </w:r>
      <w:r>
        <w:t xml:space="preserve">nodes for crashes,</w:t>
      </w:r>
      <w:r>
        <w:t xml:space="preserve"> </w:t>
      </w:r>
      <m:oMath>
        <m:r>
          <m:t>3</m:t>
        </m:r>
        <m:r>
          <m:t>f</m:t>
        </m:r>
        <m:r>
          <m:rPr>
            <m:sty m:val="p"/>
          </m:rPr>
          <m:t>+</m:t>
        </m:r>
        <m:r>
          <m:t>1</m:t>
        </m:r>
      </m:oMath>
      <w:r>
        <w:t xml:space="preserve"> </w:t>
      </w:r>
      <w:r>
        <w:t xml:space="preserve">for Byzantine faults.</w:t>
      </w:r>
    </w:p>
    <w:p>
      <w:pPr>
        <w:numPr>
          <w:ilvl w:val="0"/>
          <w:numId w:val="1799"/>
        </w:numPr>
        <w:pStyle w:val="Compact"/>
      </w:pPr>
      <w:r>
        <w:rPr>
          <w:bCs/>
          <w:b/>
        </w:rPr>
        <w:t xml:space="preserve">Network partitions</w:t>
      </w:r>
      <w:r>
        <w:t xml:space="preserve"> </w:t>
      </w:r>
      <w:r>
        <w:t xml:space="preserve">are complete, partial or asymmetric, and occur daily in large fleets; partial ones cause many catastrophic bugs.</w:t>
      </w:r>
    </w:p>
    <w:p>
      <w:pPr>
        <w:numPr>
          <w:ilvl w:val="0"/>
          <w:numId w:val="1799"/>
        </w:numPr>
        <w:pStyle w:val="Compact"/>
      </w:pPr>
      <w:r>
        <w:t xml:space="preserve">A timeout means</w:t>
      </w:r>
      <w:r>
        <w:t xml:space="preserve"> </w:t>
      </w:r>
      <w:r>
        <w:rPr>
          <w:bCs/>
          <w:b/>
        </w:rPr>
        <w:t xml:space="preserve">unknown outcome</w:t>
      </w:r>
      <w:r>
        <w:t xml:space="preserve">.</w:t>
      </w:r>
      <w:r>
        <w:t xml:space="preserve"> </w:t>
      </w:r>
      <w:r>
        <w:rPr>
          <w:bCs/>
          <w:b/>
        </w:rPr>
        <w:t xml:space="preserve">Gray failures</w:t>
      </w:r>
      <w:r>
        <w:t xml:space="preserve"> </w:t>
      </w:r>
      <w:r>
        <w:t xml:space="preserve">are differentially observable; detect them with what clients experience. Set timeouts from measured p99.9 plus pause margin.</w:t>
      </w:r>
    </w:p>
    <w:p>
      <w:pPr>
        <w:numPr>
          <w:ilvl w:val="0"/>
          <w:numId w:val="1799"/>
        </w:numPr>
        <w:pStyle w:val="Compact"/>
      </w:pPr>
      <w:r>
        <w:t xml:space="preserve">Quartz drifts (1 ppm = 86.4 ms/day); NTP estimates</w:t>
      </w:r>
      <w:r>
        <w:t xml:space="preserve"> </w:t>
      </w:r>
      <m:oMath>
        <m:r>
          <m:t>θ</m:t>
        </m:r>
        <m:r>
          <m:rPr>
            <m:sty m:val="p"/>
          </m:rPr>
          <m:t>=</m:t>
        </m:r>
        <m:d>
          <m:dPr>
            <m:begChr m:val="["/>
            <m:endChr m:val="]"/>
            <m:sepChr m:val=""/>
            <m:grow/>
          </m:dPr>
          <m:e>
            <m:d>
              <m:dPr>
                <m:begChr m:val="("/>
                <m:endChr m:val=")"/>
                <m:sepChr m:val=""/>
                <m:grow/>
              </m:dPr>
              <m:e>
                <m:sSub>
                  <m:e>
                    <m:r>
                      <m:t>T</m:t>
                    </m:r>
                  </m:e>
                  <m:sub>
                    <m:r>
                      <m:t>2</m:t>
                    </m:r>
                  </m:sub>
                </m:sSub>
                <m:r>
                  <m:rPr>
                    <m:sty m:val="p"/>
                  </m:rPr>
                  <m:t>−</m:t>
                </m:r>
                <m:sSub>
                  <m:e>
                    <m:r>
                      <m:t>T</m:t>
                    </m:r>
                  </m:e>
                  <m:sub>
                    <m:r>
                      <m:t>1</m:t>
                    </m:r>
                  </m:sub>
                </m:sSub>
              </m:e>
            </m:d>
            <m:r>
              <m:rPr>
                <m:sty m:val="p"/>
              </m:rPr>
              <m:t>+</m:t>
            </m:r>
            <m:d>
              <m:dPr>
                <m:begChr m:val="("/>
                <m:endChr m:val=")"/>
                <m:sepChr m:val=""/>
                <m:grow/>
              </m:dPr>
              <m:e>
                <m:sSub>
                  <m:e>
                    <m:r>
                      <m:t>T</m:t>
                    </m:r>
                  </m:e>
                  <m:sub>
                    <m:r>
                      <m:t>3</m:t>
                    </m:r>
                  </m:sub>
                </m:sSub>
                <m:r>
                  <m:rPr>
                    <m:sty m:val="p"/>
                  </m:rPr>
                  <m:t>−</m:t>
                </m:r>
                <m:sSub>
                  <m:e>
                    <m:r>
                      <m:t>T</m:t>
                    </m:r>
                  </m:e>
                  <m:sub>
                    <m:r>
                      <m:t>4</m:t>
                    </m:r>
                  </m:sub>
                </m:sSub>
              </m:e>
            </m:d>
          </m:e>
        </m:d>
        <m:r>
          <m:rPr>
            <m:sty m:val="p"/>
          </m:rPr>
          <m:t>/</m:t>
        </m:r>
        <m:r>
          <m:t>2</m:t>
        </m:r>
      </m:oMath>
      <w:r>
        <w:t xml:space="preserve"> </w:t>
      </w:r>
      <w:r>
        <w:t xml:space="preserve">with error up to</w:t>
      </w:r>
      <w:r>
        <w:t xml:space="preserve"> </w:t>
      </w:r>
      <m:oMath>
        <m:r>
          <m:t>δ</m:t>
        </m:r>
        <m:r>
          <m:rPr>
            <m:sty m:val="p"/>
          </m:rPr>
          <m:t>/</m:t>
        </m:r>
        <m:r>
          <m:t>2</m:t>
        </m:r>
      </m:oMath>
      <w:r>
        <w:t xml:space="preserve">; PTP with hardware timestamps reaches sub-microsecond. Use monotonic clocks for durations; smear leap seconds consistently.</w:t>
      </w:r>
    </w:p>
    <w:p>
      <w:pPr>
        <w:numPr>
          <w:ilvl w:val="0"/>
          <w:numId w:val="1799"/>
        </w:numPr>
        <w:pStyle w:val="Compact"/>
      </w:pPr>
      <w:r>
        <w:rPr>
          <w:bCs/>
          <w:b/>
        </w:rPr>
        <w:t xml:space="preserve">Wall-clock LWW</w:t>
      </w:r>
      <w:r>
        <w:t xml:space="preserve"> </w:t>
      </w:r>
      <w:r>
        <w:t xml:space="preserve">silently discards causally later writes that fall within the skew window.</w:t>
      </w:r>
    </w:p>
    <w:p>
      <w:pPr>
        <w:numPr>
          <w:ilvl w:val="0"/>
          <w:numId w:val="1799"/>
        </w:numPr>
        <w:pStyle w:val="Compact"/>
      </w:pPr>
      <w:r>
        <w:rPr>
          <w:bCs/>
          <w:b/>
        </w:rPr>
        <w:t xml:space="preserve">Lamport clocks</w:t>
      </w:r>
      <w:r>
        <w:t xml:space="preserve">:</w:t>
      </w:r>
      <w:r>
        <w:t xml:space="preserve"> </w:t>
      </w:r>
      <m:oMath>
        <m:r>
          <m:t>a</m:t>
        </m:r>
        <m:r>
          <m:rPr>
            <m:sty m:val="p"/>
          </m:rPr>
          <m:t>→</m:t>
        </m:r>
        <m:r>
          <m:t>b</m:t>
        </m:r>
        <m:r>
          <m:rPr>
            <m:sty m:val="p"/>
          </m:rPr>
          <m:t>⇒</m:t>
        </m:r>
        <m:r>
          <m:t>C</m:t>
        </m:r>
        <m:d>
          <m:dPr>
            <m:begChr m:val="("/>
            <m:endChr m:val=")"/>
            <m:sepChr m:val=""/>
            <m:grow/>
          </m:dPr>
          <m:e>
            <m:r>
              <m:t>a</m:t>
            </m:r>
          </m:e>
        </m:d>
        <m:r>
          <m:rPr>
            <m:sty m:val="p"/>
          </m:rPr>
          <m:t>&lt;</m:t>
        </m:r>
        <m:r>
          <m:t>C</m:t>
        </m:r>
        <m:d>
          <m:dPr>
            <m:begChr m:val="("/>
            <m:endChr m:val=")"/>
            <m:sepChr m:val=""/>
            <m:grow/>
          </m:dPr>
          <m:e>
            <m:r>
              <m:t>b</m:t>
            </m:r>
          </m:e>
        </m:d>
      </m:oMath>
      <w:r>
        <w:t xml:space="preserve">, total order with tie-breaking, no concurrency detection.</w:t>
      </w:r>
      <w:r>
        <w:t xml:space="preserve"> </w:t>
      </w:r>
      <w:r>
        <w:rPr>
          <w:bCs/>
          <w:b/>
        </w:rPr>
        <w:t xml:space="preserve">Vector clocks</w:t>
      </w:r>
      <w:r>
        <w:t xml:space="preserve"> </w:t>
      </w:r>
      <w:r>
        <w:t xml:space="preserve">characterize causality exactly at</w:t>
      </w:r>
      <w:r>
        <w:t xml:space="preserve"> </w:t>
      </w:r>
      <m:oMath>
        <m:r>
          <m:t>O</m:t>
        </m:r>
        <m:d>
          <m:dPr>
            <m:begChr m:val="("/>
            <m:endChr m:val=")"/>
            <m:sepChr m:val=""/>
            <m:grow/>
          </m:dPr>
          <m:e>
            <m:r>
              <m:t>n</m:t>
            </m:r>
          </m:e>
        </m:d>
      </m:oMath>
      <w:r>
        <w:t xml:space="preserve"> </w:t>
      </w:r>
      <w:r>
        <w:t xml:space="preserve">size;</w:t>
      </w:r>
      <w:r>
        <w:t xml:space="preserve"> </w:t>
      </w:r>
      <w:r>
        <w:rPr>
          <w:bCs/>
          <w:b/>
        </w:rPr>
        <w:t xml:space="preserve">version vectors</w:t>
      </w:r>
      <w:r>
        <w:t xml:space="preserve"> </w:t>
      </w:r>
      <w:r>
        <w:t xml:space="preserve">detect concurrent writes as siblings;</w:t>
      </w:r>
      <w:r>
        <w:t xml:space="preserve"> </w:t>
      </w:r>
      <w:r>
        <w:rPr>
          <w:bCs/>
          <w:b/>
        </w:rPr>
        <w:t xml:space="preserve">dotted version vectors</w:t>
      </w:r>
      <w:r>
        <w:t xml:space="preserve"> </w:t>
      </w:r>
      <w:r>
        <w:t xml:space="preserve">fix same-replica lost updates.</w:t>
      </w:r>
    </w:p>
    <w:p>
      <w:pPr>
        <w:numPr>
          <w:ilvl w:val="0"/>
          <w:numId w:val="1799"/>
        </w:numPr>
        <w:pStyle w:val="Compact"/>
      </w:pPr>
      <w:r>
        <w:rPr>
          <w:bCs/>
          <w:b/>
        </w:rPr>
        <w:t xml:space="preserve">HLC</w:t>
      </w:r>
      <w:r>
        <w:t xml:space="preserve"> </w:t>
      </w:r>
      <m:oMath>
        <m:d>
          <m:dPr>
            <m:begChr m:val="("/>
            <m:endChr m:val=")"/>
            <m:sepChr m:val=""/>
            <m:grow/>
          </m:dPr>
          <m:e>
            <m:r>
              <m:t>l</m:t>
            </m:r>
            <m:r>
              <m:rPr>
                <m:sty m:val="p"/>
              </m:rPr>
              <m:t>,</m:t>
            </m:r>
            <m:r>
              <m:t>c</m:t>
            </m:r>
          </m:e>
        </m:d>
      </m:oMath>
      <w:r>
        <w:t xml:space="preserve"> </w:t>
      </w:r>
      <w:r>
        <w:t xml:space="preserve">is causal, within skew of real time, and 64 bits; real-time guarantees still need bounded skew (uncertainty intervals, TrueTime in §28.8).</w:t>
      </w:r>
    </w:p>
    <w:p>
      <w:pPr>
        <w:numPr>
          <w:ilvl w:val="0"/>
          <w:numId w:val="1799"/>
        </w:numPr>
        <w:pStyle w:val="Compact"/>
      </w:pPr>
      <w:r>
        <w:rPr>
          <w:bCs/>
          <w:b/>
        </w:rPr>
        <w:t xml:space="preserve">FLP</w:t>
      </w:r>
      <w:r>
        <w:t xml:space="preserve">: no deterministic asynchronous consensus guarantees termination with one crash; systems stay safe always and live under partial synchrony, randomization or failure detectors.</w:t>
      </w:r>
    </w:p>
    <w:p>
      <w:pPr>
        <w:numPr>
          <w:ilvl w:val="0"/>
          <w:numId w:val="1799"/>
        </w:numPr>
        <w:pStyle w:val="Compact"/>
      </w:pPr>
      <w:r>
        <w:rPr>
          <w:bCs/>
          <w:b/>
        </w:rPr>
        <w:t xml:space="preserve">End-to-end argument</w:t>
      </w:r>
      <w:r>
        <w:t xml:space="preserve">: integrity, deduplication and processing acknowledgments belong at the endpoints; lower layers only optimize.</w:t>
      </w:r>
    </w:p>
    <w:bookmarkEnd w:id="2762"/>
    <w:bookmarkStart w:id="2763" w:name="knowledge-checkpoint-23"/>
    <w:p>
      <w:pPr>
        <w:pStyle w:val="Heading2"/>
      </w:pPr>
      <w:r>
        <w:t xml:space="preserve">24.16 Knowledge checkpoint</w:t>
      </w:r>
    </w:p>
    <w:p>
      <w:pPr>
        <w:numPr>
          <w:ilvl w:val="0"/>
          <w:numId w:val="1800"/>
        </w:numPr>
        <w:pStyle w:val="Compact"/>
      </w:pPr>
      <w:r>
        <w:t xml:space="preserve">Name the three properties that make a system distributed.</w:t>
      </w:r>
    </w:p>
    <w:p>
      <w:pPr>
        <w:numPr>
          <w:ilvl w:val="0"/>
          <w:numId w:val="1800"/>
        </w:numPr>
        <w:pStyle w:val="Compact"/>
      </w:pPr>
      <w:r>
        <w:t xml:space="preserve">Why can no finite protocol solve the two generals problem?</w:t>
      </w:r>
    </w:p>
    <w:p>
      <w:pPr>
        <w:numPr>
          <w:ilvl w:val="0"/>
          <w:numId w:val="1800"/>
        </w:numPr>
        <w:pStyle w:val="Compact"/>
      </w:pPr>
      <w:r>
        <w:t xml:space="preserve">One server is 99.9% available. What is the availability of 3 independent replicas, and why is that number optimistic?</w:t>
      </w:r>
    </w:p>
    <w:p>
      <w:pPr>
        <w:numPr>
          <w:ilvl w:val="0"/>
          <w:numId w:val="1800"/>
        </w:numPr>
        <w:pStyle w:val="Compact"/>
      </w:pPr>
      <w:r>
        <w:t xml:space="preserve">Give a concrete consequence of the fallacy</w:t>
      </w:r>
      <w:r>
        <w:t xml:space="preserve"> </w:t>
      </w:r>
      <w:r>
        <w:t xml:space="preserve">“</w:t>
      </w:r>
      <w:r>
        <w:t xml:space="preserve">latency is zero</w:t>
      </w:r>
      <w:r>
        <w:t xml:space="preserve">”</w:t>
      </w:r>
      <w:r>
        <w:t xml:space="preserve">.</w:t>
      </w:r>
    </w:p>
    <w:p>
      <w:pPr>
        <w:numPr>
          <w:ilvl w:val="0"/>
          <w:numId w:val="1800"/>
        </w:numPr>
        <w:pStyle w:val="Compact"/>
      </w:pPr>
      <w:r>
        <w:t xml:space="preserve">How many nodes does consensus need to tolerate 2 crash faults? 2 Byzantine faults?</w:t>
      </w:r>
    </w:p>
    <w:p>
      <w:pPr>
        <w:numPr>
          <w:ilvl w:val="0"/>
          <w:numId w:val="1800"/>
        </w:numPr>
        <w:pStyle w:val="Compact"/>
      </w:pPr>
      <w:r>
        <w:t xml:space="preserve">What is the difference between a partial and an asymmetric partition?</w:t>
      </w:r>
    </w:p>
    <w:p>
      <w:pPr>
        <w:numPr>
          <w:ilvl w:val="0"/>
          <w:numId w:val="1800"/>
        </w:numPr>
        <w:pStyle w:val="Compact"/>
      </w:pPr>
      <w:r>
        <w:t xml:space="preserve">Define gray failure and give one example.</w:t>
      </w:r>
    </w:p>
    <w:p>
      <w:pPr>
        <w:numPr>
          <w:ilvl w:val="0"/>
          <w:numId w:val="1800"/>
        </w:numPr>
        <w:pStyle w:val="Compact"/>
      </w:pPr>
      <w:r>
        <w:t xml:space="preserve">A clock drifts at 20 ppm. How far off can it be after one hour?</w:t>
      </w:r>
    </w:p>
    <w:p>
      <w:pPr>
        <w:numPr>
          <w:ilvl w:val="0"/>
          <w:numId w:val="1800"/>
        </w:numPr>
        <w:pStyle w:val="Compact"/>
      </w:pPr>
      <w:r>
        <w:t xml:space="preserve">NTP timestamps:</w:t>
      </w:r>
      <w:r>
        <w:t xml:space="preserve"> </w:t>
      </w:r>
      <m:oMath>
        <m:sSub>
          <m:e>
            <m:r>
              <m:t>T</m:t>
            </m:r>
          </m:e>
          <m:sub>
            <m:r>
              <m:t>1</m:t>
            </m:r>
          </m:sub>
        </m:sSub>
        <m:r>
          <m:rPr>
            <m:sty m:val="p"/>
          </m:rPr>
          <m:t>=</m:t>
        </m:r>
        <m:r>
          <m:t>0</m:t>
        </m:r>
      </m:oMath>
      <w:r>
        <w:t xml:space="preserve">,</w:t>
      </w:r>
      <w:r>
        <w:t xml:space="preserve"> </w:t>
      </w:r>
      <m:oMath>
        <m:sSub>
          <m:e>
            <m:r>
              <m:t>T</m:t>
            </m:r>
          </m:e>
          <m:sub>
            <m:r>
              <m:t>2</m:t>
            </m:r>
          </m:sub>
        </m:sSub>
        <m:r>
          <m:rPr>
            <m:sty m:val="p"/>
          </m:rPr>
          <m:t>=</m:t>
        </m:r>
        <m:r>
          <m:t>50</m:t>
        </m:r>
      </m:oMath>
      <w:r>
        <w:t xml:space="preserve">,</w:t>
      </w:r>
      <w:r>
        <w:t xml:space="preserve"> </w:t>
      </w:r>
      <m:oMath>
        <m:sSub>
          <m:e>
            <m:r>
              <m:t>T</m:t>
            </m:r>
          </m:e>
          <m:sub>
            <m:r>
              <m:t>3</m:t>
            </m:r>
          </m:sub>
        </m:sSub>
        <m:r>
          <m:rPr>
            <m:sty m:val="p"/>
          </m:rPr>
          <m:t>=</m:t>
        </m:r>
        <m:r>
          <m:t>52</m:t>
        </m:r>
      </m:oMath>
      <w:r>
        <w:t xml:space="preserve">,</w:t>
      </w:r>
      <w:r>
        <w:t xml:space="preserve"> </w:t>
      </w:r>
      <m:oMath>
        <m:sSub>
          <m:e>
            <m:r>
              <m:t>T</m:t>
            </m:r>
          </m:e>
          <m:sub>
            <m:r>
              <m:t>4</m:t>
            </m:r>
          </m:sub>
        </m:sSub>
        <m:r>
          <m:rPr>
            <m:sty m:val="p"/>
          </m:rPr>
          <m:t>=</m:t>
        </m:r>
        <m:r>
          <m:t>22</m:t>
        </m:r>
      </m:oMath>
      <w:r>
        <w:t xml:space="preserve"> </w:t>
      </w:r>
      <w:r>
        <w:t xml:space="preserve">ms. Compute offset, delay and error bound.</w:t>
      </w:r>
    </w:p>
    <w:p>
      <w:pPr>
        <w:numPr>
          <w:ilvl w:val="0"/>
          <w:numId w:val="1800"/>
        </w:numPr>
        <w:pStyle w:val="Compact"/>
      </w:pPr>
      <w:r>
        <w:t xml:space="preserve">Under LWW, node A’s clock is 80 ms fast. Which writes through node B can A’s earlier writes override?</w:t>
      </w:r>
    </w:p>
    <w:p>
      <w:pPr>
        <w:numPr>
          <w:ilvl w:val="0"/>
          <w:numId w:val="1800"/>
        </w:numPr>
        <w:pStyle w:val="Compact"/>
      </w:pPr>
      <w:r>
        <w:t xml:space="preserve">Lamport timestamps</w:t>
      </w:r>
      <w:r>
        <w:t xml:space="preserve"> </w:t>
      </w:r>
      <m:oMath>
        <m:r>
          <m:t>C</m:t>
        </m:r>
        <m:d>
          <m:dPr>
            <m:begChr m:val="("/>
            <m:endChr m:val=")"/>
            <m:sepChr m:val=""/>
            <m:grow/>
          </m:dPr>
          <m:e>
            <m:r>
              <m:t>a</m:t>
            </m:r>
          </m:e>
        </m:d>
        <m:r>
          <m:rPr>
            <m:sty m:val="p"/>
          </m:rPr>
          <m:t>=</m:t>
        </m:r>
        <m:r>
          <m:t>3</m:t>
        </m:r>
      </m:oMath>
      <w:r>
        <w:t xml:space="preserve">,</w:t>
      </w:r>
      <w:r>
        <w:t xml:space="preserve"> </w:t>
      </w:r>
      <m:oMath>
        <m:r>
          <m:t>C</m:t>
        </m:r>
        <m:d>
          <m:dPr>
            <m:begChr m:val="("/>
            <m:endChr m:val=")"/>
            <m:sepChr m:val=""/>
            <m:grow/>
          </m:dPr>
          <m:e>
            <m:r>
              <m:t>b</m:t>
            </m:r>
          </m:e>
        </m:d>
        <m:r>
          <m:rPr>
            <m:sty m:val="p"/>
          </m:rPr>
          <m:t>=</m:t>
        </m:r>
        <m:r>
          <m:t>5</m:t>
        </m:r>
      </m:oMath>
      <w:r>
        <w:t xml:space="preserve">. What can you conclude?</w:t>
      </w:r>
    </w:p>
    <w:p>
      <w:pPr>
        <w:numPr>
          <w:ilvl w:val="0"/>
          <w:numId w:val="1800"/>
        </w:numPr>
        <w:pStyle w:val="Compact"/>
      </w:pPr>
      <w:r>
        <w:t xml:space="preserve">Compare [2,1,0] and [1,2,0]; then [1,1,0] and [2,1,3].</w:t>
      </w:r>
    </w:p>
    <w:p>
      <w:pPr>
        <w:numPr>
          <w:ilvl w:val="0"/>
          <w:numId w:val="1800"/>
        </w:numPr>
        <w:pStyle w:val="Compact"/>
      </w:pPr>
      <w:r>
        <w:t xml:space="preserve">What problem do dotted version vectors solve?</w:t>
      </w:r>
    </w:p>
    <w:p>
      <w:pPr>
        <w:numPr>
          <w:ilvl w:val="0"/>
          <w:numId w:val="1800"/>
        </w:numPr>
        <w:pStyle w:val="Compact"/>
      </w:pPr>
      <w:r>
        <w:t xml:space="preserve">Does FLP mean Raft can lose data? Explain.</w:t>
      </w:r>
    </w:p>
    <w:p>
      <w:pPr>
        <w:numPr>
          <w:ilvl w:val="0"/>
          <w:numId w:val="1800"/>
        </w:numPr>
        <w:pStyle w:val="Compact"/>
      </w:pPr>
      <w:r>
        <w:t xml:space="preserve">State the end-to-end argument and give one application.</w:t>
      </w:r>
    </w:p>
    <w:p>
      <w:pPr>
        <w:pStyle w:val="FirstParagraph"/>
      </w:pPr>
      <w:r>
        <w:t xml:space="preserve">Answers</w:t>
      </w:r>
    </w:p>
    <w:p>
      <w:pPr>
        <w:numPr>
          <w:ilvl w:val="0"/>
          <w:numId w:val="1801"/>
        </w:numPr>
        <w:pStyle w:val="Compact"/>
      </w:pPr>
      <w:r>
        <w:t xml:space="preserve">Independent (partial) failure, no shared clock, communication only by unreliable messages with unbounded delay.</w:t>
      </w:r>
    </w:p>
    <w:p>
      <w:pPr>
        <w:numPr>
          <w:ilvl w:val="0"/>
          <w:numId w:val="1801"/>
        </w:numPr>
        <w:pStyle w:val="Compact"/>
      </w:pPr>
      <w:r>
        <w:t xml:space="preserve">The sender of the last message cannot know whether it arrived, so both must decide the same way without it; the message is then unnecessary, contradicting the assumption of a shortest protocol.</w:t>
      </w:r>
    </w:p>
    <w:p>
      <w:pPr>
        <w:numPr>
          <w:ilvl w:val="0"/>
          <w:numId w:val="1801"/>
        </w:numPr>
        <w:pStyle w:val="Compact"/>
      </w:pPr>
      <m:oMath>
        <m:r>
          <m:t>1</m:t>
        </m:r>
        <m:r>
          <m:rPr>
            <m:sty m:val="p"/>
          </m:rPr>
          <m:t>−</m:t>
        </m:r>
        <m:sSup>
          <m:e>
            <m:r>
              <m:t>0.001</m:t>
            </m:r>
          </m:e>
          <m:sup>
            <m:r>
              <m:t>3</m:t>
            </m:r>
          </m:sup>
        </m:sSup>
        <m:r>
          <m:rPr>
            <m:sty m:val="p"/>
          </m:rPr>
          <m:t>=</m:t>
        </m:r>
        <m:r>
          <m:t>1</m:t>
        </m:r>
        <m:r>
          <m:rPr>
            <m:sty m:val="p"/>
          </m:rPr>
          <m:t>−</m:t>
        </m:r>
        <m:sSup>
          <m:e>
            <m:r>
              <m:t>10</m:t>
            </m:r>
          </m:e>
          <m:sup>
            <m:r>
              <m:rPr>
                <m:sty m:val="p"/>
              </m:rPr>
              <m:t>−</m:t>
            </m:r>
            <m:r>
              <m:t>9</m:t>
            </m:r>
          </m:sup>
        </m:sSup>
      </m:oMath>
      <w:r>
        <w:t xml:space="preserve">. Failures are correlated (shared power, network, software) and failover is not instant.</w:t>
      </w:r>
    </w:p>
    <w:p>
      <w:pPr>
        <w:numPr>
          <w:ilvl w:val="0"/>
          <w:numId w:val="1801"/>
        </w:numPr>
        <w:pStyle w:val="Compact"/>
      </w:pPr>
      <w:r>
        <w:t xml:space="preserve">A chatty page with 100 sequential calls takes 50 ms at 0.5 ms per call in one region but about 7 s at 70 ms per call across regions.</w:t>
      </w:r>
    </w:p>
    <w:p>
      <w:pPr>
        <w:numPr>
          <w:ilvl w:val="0"/>
          <w:numId w:val="1801"/>
        </w:numPr>
        <w:pStyle w:val="Compact"/>
      </w:pPr>
      <m:oMath>
        <m:r>
          <m:t>2</m:t>
        </m:r>
        <m:r>
          <m:t>f</m:t>
        </m:r>
        <m:r>
          <m:rPr>
            <m:sty m:val="p"/>
          </m:rPr>
          <m:t>+</m:t>
        </m:r>
        <m:r>
          <m:t>1</m:t>
        </m:r>
        <m:r>
          <m:rPr>
            <m:sty m:val="p"/>
          </m:rPr>
          <m:t>=</m:t>
        </m:r>
        <m:r>
          <m:t>5</m:t>
        </m:r>
      </m:oMath>
      <w:r>
        <w:t xml:space="preserve">;</w:t>
      </w:r>
      <w:r>
        <w:t xml:space="preserve"> </w:t>
      </w:r>
      <m:oMath>
        <m:r>
          <m:t>3</m:t>
        </m:r>
        <m:r>
          <m:t>f</m:t>
        </m:r>
        <m:r>
          <m:rPr>
            <m:sty m:val="p"/>
          </m:rPr>
          <m:t>+</m:t>
        </m:r>
        <m:r>
          <m:t>1</m:t>
        </m:r>
        <m:r>
          <m:rPr>
            <m:sty m:val="p"/>
          </m:rPr>
          <m:t>=</m:t>
        </m:r>
        <m:r>
          <m:t>7</m:t>
        </m:r>
      </m:oMath>
      <w:r>
        <w:t xml:space="preserve">.</w:t>
      </w:r>
    </w:p>
    <w:p>
      <w:pPr>
        <w:numPr>
          <w:ilvl w:val="0"/>
          <w:numId w:val="1801"/>
        </w:numPr>
        <w:pStyle w:val="Compact"/>
      </w:pPr>
      <w:r>
        <w:t xml:space="preserve">Partial: some pairs cannot communicate while others can (A and B both reach C but not each other). Asymmetric: one direction works and the other does not.</w:t>
      </w:r>
    </w:p>
    <w:p>
      <w:pPr>
        <w:numPr>
          <w:ilvl w:val="0"/>
          <w:numId w:val="1801"/>
        </w:numPr>
        <w:pStyle w:val="Compact"/>
      </w:pPr>
      <w:r>
        <w:t xml:space="preserve">A failure seen by some observers but not others, e.g., a disk 100× slower that passes the heartbeat health check while application requests time out.</w:t>
      </w:r>
    </w:p>
    <w:p>
      <w:pPr>
        <w:numPr>
          <w:ilvl w:val="0"/>
          <w:numId w:val="1801"/>
        </w:numPr>
        <w:pStyle w:val="Compact"/>
      </w:pPr>
      <m:oMath>
        <m:r>
          <m:t>20</m:t>
        </m:r>
        <m:r>
          <m:rPr>
            <m:sty m:val="p"/>
          </m:rPr>
          <m:t>×</m:t>
        </m:r>
        <m:sSup>
          <m:e>
            <m:r>
              <m:t>10</m:t>
            </m:r>
          </m:e>
          <m:sup>
            <m:r>
              <m:rPr>
                <m:sty m:val="p"/>
              </m:rPr>
              <m:t>−</m:t>
            </m:r>
            <m:r>
              <m:t>6</m:t>
            </m:r>
          </m:sup>
        </m:sSup>
        <m:r>
          <m:rPr>
            <m:sty m:val="p"/>
          </m:rPr>
          <m:t>×</m:t>
        </m:r>
        <m:r>
          <m:t>3</m:t>
        </m:r>
        <m:r>
          <m:rPr>
            <m:sty m:val="p"/>
          </m:rPr>
          <m:t>,</m:t>
        </m:r>
        <m:r>
          <m:t>600</m:t>
        </m:r>
        <m:r>
          <m:rPr>
            <m:sty m:val="p"/>
          </m:rPr>
          <m:t>=</m:t>
        </m:r>
        <m:r>
          <m:t>0.072</m:t>
        </m:r>
      </m:oMath>
      <w:r>
        <w:t xml:space="preserve"> </w:t>
      </w:r>
      <w:r>
        <w:t xml:space="preserve">s = 72 ms.</w:t>
      </w:r>
    </w:p>
    <w:p>
      <w:pPr>
        <w:numPr>
          <w:ilvl w:val="0"/>
          <w:numId w:val="1801"/>
        </w:numPr>
        <w:pStyle w:val="Compact"/>
      </w:pPr>
      <m:oMath>
        <m:r>
          <m:t>δ</m:t>
        </m:r>
        <m:r>
          <m:rPr>
            <m:sty m:val="p"/>
          </m:rPr>
          <m:t>=</m:t>
        </m:r>
        <m:d>
          <m:dPr>
            <m:begChr m:val="("/>
            <m:endChr m:val=")"/>
            <m:sepChr m:val=""/>
            <m:grow/>
          </m:dPr>
          <m:e>
            <m:r>
              <m:t>22</m:t>
            </m:r>
            <m:r>
              <m:rPr>
                <m:sty m:val="p"/>
              </m:rPr>
              <m:t>−</m:t>
            </m:r>
            <m:r>
              <m:t>0</m:t>
            </m:r>
          </m:e>
        </m:d>
        <m:r>
          <m:rPr>
            <m:sty m:val="p"/>
          </m:rPr>
          <m:t>−</m:t>
        </m:r>
        <m:d>
          <m:dPr>
            <m:begChr m:val="("/>
            <m:endChr m:val=")"/>
            <m:sepChr m:val=""/>
            <m:grow/>
          </m:dPr>
          <m:e>
            <m:r>
              <m:t>52</m:t>
            </m:r>
            <m:r>
              <m:rPr>
                <m:sty m:val="p"/>
              </m:rPr>
              <m:t>−</m:t>
            </m:r>
            <m:r>
              <m:t>50</m:t>
            </m:r>
          </m:e>
        </m:d>
        <m:r>
          <m:rPr>
            <m:sty m:val="p"/>
          </m:rPr>
          <m:t>=</m:t>
        </m:r>
        <m:r>
          <m:t>20</m:t>
        </m:r>
      </m:oMath>
      <w:r>
        <w:t xml:space="preserve"> </w:t>
      </w:r>
      <w:r>
        <w:t xml:space="preserve">ms;</w:t>
      </w:r>
      <w:r>
        <w:t xml:space="preserve"> </w:t>
      </w:r>
      <m:oMath>
        <m:r>
          <m:t>θ</m:t>
        </m:r>
        <m:r>
          <m:rPr>
            <m:sty m:val="p"/>
          </m:rPr>
          <m:t>=</m:t>
        </m:r>
        <m:d>
          <m:dPr>
            <m:begChr m:val="["/>
            <m:endChr m:val="]"/>
            <m:sepChr m:val=""/>
            <m:grow/>
          </m:dPr>
          <m:e>
            <m:d>
              <m:dPr>
                <m:begChr m:val="("/>
                <m:endChr m:val=")"/>
                <m:sepChr m:val=""/>
                <m:grow/>
              </m:dPr>
              <m:e>
                <m:r>
                  <m:t>50</m:t>
                </m:r>
                <m:r>
                  <m:rPr>
                    <m:sty m:val="p"/>
                  </m:rPr>
                  <m:t>−</m:t>
                </m:r>
                <m:r>
                  <m:t>0</m:t>
                </m:r>
              </m:e>
            </m:d>
            <m:r>
              <m:rPr>
                <m:sty m:val="p"/>
              </m:rPr>
              <m:t>+</m:t>
            </m:r>
            <m:d>
              <m:dPr>
                <m:begChr m:val="("/>
                <m:endChr m:val=")"/>
                <m:sepChr m:val=""/>
                <m:grow/>
              </m:dPr>
              <m:e>
                <m:r>
                  <m:t>52</m:t>
                </m:r>
                <m:r>
                  <m:rPr>
                    <m:sty m:val="p"/>
                  </m:rPr>
                  <m:t>−</m:t>
                </m:r>
                <m:r>
                  <m:t>22</m:t>
                </m:r>
              </m:e>
            </m:d>
          </m:e>
        </m:d>
        <m:r>
          <m:rPr>
            <m:sty m:val="p"/>
          </m:rPr>
          <m:t>/</m:t>
        </m:r>
        <m:r>
          <m:t>2</m:t>
        </m:r>
        <m:r>
          <m:rPr>
            <m:sty m:val="p"/>
          </m:rPr>
          <m:t>=</m:t>
        </m:r>
        <m:r>
          <m:t>40</m:t>
        </m:r>
      </m:oMath>
      <w:r>
        <w:t xml:space="preserve"> </w:t>
      </w:r>
      <w:r>
        <w:t xml:space="preserve">ms (client behind by 40 ms); bound</w:t>
      </w:r>
      <w:r>
        <w:t xml:space="preserve"> </w:t>
      </w:r>
      <m:oMath>
        <m:r>
          <m:rPr>
            <m:sty m:val="p"/>
          </m:rPr>
          <m:t>±</m:t>
        </m:r>
        <m:r>
          <m:t>10</m:t>
        </m:r>
      </m:oMath>
      <w:r>
        <w:t xml:space="preserve"> </w:t>
      </w:r>
      <w:r>
        <w:t xml:space="preserve">ms.</w:t>
      </w:r>
    </w:p>
    <w:p>
      <w:pPr>
        <w:numPr>
          <w:ilvl w:val="0"/>
          <w:numId w:val="1801"/>
        </w:numPr>
        <w:pStyle w:val="Compact"/>
      </w:pPr>
      <w:r>
        <w:t xml:space="preserve">Any B write within 80 ms after an A write to the same key.</w:t>
      </w:r>
    </w:p>
    <w:p>
      <w:pPr>
        <w:numPr>
          <w:ilvl w:val="0"/>
          <w:numId w:val="1801"/>
        </w:numPr>
        <w:pStyle w:val="Compact"/>
      </w:pPr>
      <w:r>
        <w:t xml:space="preserve">Only that</w:t>
      </w:r>
      <w:r>
        <w:t xml:space="preserve"> </w:t>
      </w:r>
      <m:oMath>
        <m:r>
          <m:t>b</m:t>
        </m:r>
        <m:box>
          <m:boxPr>
            <m:opEmu m:val="on"/>
          </m:boxPr>
          <m:e>
            <m:r>
              <m:rPr>
                <m:sty m:val="p"/>
              </m:rPr>
              <m:t>↛</m:t>
            </m:r>
          </m:e>
        </m:box>
        <m:r>
          <m:t>a</m:t>
        </m:r>
      </m:oMath>
      <w:r>
        <w:t xml:space="preserve">;</w:t>
      </w:r>
      <w:r>
        <w:t xml:space="preserve"> </w:t>
      </w:r>
      <m:oMath>
        <m:r>
          <m:t>a</m:t>
        </m:r>
      </m:oMath>
      <w:r>
        <w:t xml:space="preserve"> </w:t>
      </w:r>
      <w:r>
        <w:t xml:space="preserve">may have happened before</w:t>
      </w:r>
      <w:r>
        <w:t xml:space="preserve"> </w:t>
      </w:r>
      <m:oMath>
        <m:r>
          <m:t>b</m:t>
        </m:r>
      </m:oMath>
      <w:r>
        <w:t xml:space="preserve"> </w:t>
      </w:r>
      <w:r>
        <w:t xml:space="preserve">or they may be concurrent.</w:t>
      </w:r>
    </w:p>
    <w:p>
      <w:pPr>
        <w:numPr>
          <w:ilvl w:val="0"/>
          <w:numId w:val="1801"/>
        </w:numPr>
        <w:pStyle w:val="Compact"/>
      </w:pPr>
      <w:r>
        <w:t xml:space="preserve">[2,1,0] and [1,2,0] are concurrent; [1,1,0] &lt; [2,1,3], so the first happened before the second.</w:t>
      </w:r>
    </w:p>
    <w:p>
      <w:pPr>
        <w:numPr>
          <w:ilvl w:val="0"/>
          <w:numId w:val="1801"/>
        </w:numPr>
        <w:pStyle w:val="Compact"/>
      </w:pPr>
      <w:r>
        <w:t xml:space="preserve">Concurrent writes through the same replica, which per-replica version vectors misorder as one dominating the other, losing a write.</w:t>
      </w:r>
    </w:p>
    <w:p>
      <w:pPr>
        <w:numPr>
          <w:ilvl w:val="0"/>
          <w:numId w:val="1801"/>
        </w:numPr>
        <w:pStyle w:val="Compact"/>
      </w:pPr>
      <w:r>
        <w:t xml:space="preserve">No. Raft is always safe; FLP only means that in bad asynchronous periods it may fail to make progress (elect a leader or commit).</w:t>
      </w:r>
    </w:p>
    <w:p>
      <w:pPr>
        <w:numPr>
          <w:ilvl w:val="0"/>
          <w:numId w:val="1801"/>
        </w:numPr>
        <w:pStyle w:val="Compact"/>
      </w:pPr>
      <w:r>
        <w:t xml:space="preserve">A function that needs endpoint knowledge must be implemented at the endpoints; lower layers can only optimize. Example: checksum the stored file end to end, or deduplicate by idempotency key.</w:t>
      </w:r>
    </w:p>
    <w:bookmarkEnd w:id="2763"/>
    <w:bookmarkStart w:id="2767" w:name="interview-questions-23"/>
    <w:p>
      <w:pPr>
        <w:pStyle w:val="Heading2"/>
      </w:pPr>
      <w:r>
        <w:t xml:space="preserve">24.17 Interview questions</w:t>
      </w:r>
    </w:p>
    <w:bookmarkStart w:id="2764" w:name="basic-23"/>
    <w:p>
      <w:pPr>
        <w:pStyle w:val="Heading3"/>
      </w:pPr>
      <w:r>
        <w:t xml:space="preserve">Basic</w:t>
      </w:r>
    </w:p>
    <w:p>
      <w:pPr>
        <w:pStyle w:val="FirstParagraph"/>
      </w:pPr>
      <w:r>
        <w:rPr>
          <w:bCs/>
          <w:b/>
        </w:rPr>
        <w:t xml:space="preserve">Q1. Why is building a distributed system harder than a single-machine one?</w:t>
      </w:r>
      <w:r>
        <w:t xml:space="preserve"> </w:t>
      </w:r>
      <w:r>
        <w:rPr>
          <w:bCs/>
          <w:b/>
        </w:rPr>
        <w:t xml:space="preserve">Answer.</w:t>
      </w:r>
      <w:r>
        <w:t xml:space="preserve"> </w:t>
      </w:r>
      <w:r>
        <w:t xml:space="preserve">Three losses: partial failure (some parts fail, others continue, and nobody knows exactly which), no global clock (events on different machines cannot be ordered by time) and unreliable messaging (loss, delay, duplication). A timeout cannot distinguish a slow node from a dead one or tell whether a write happened, so designs need idempotency, quorums and logical ordering.</w:t>
      </w:r>
    </w:p>
    <w:p>
      <w:pPr>
        <w:pStyle w:val="BodyText"/>
      </w:pPr>
      <w:r>
        <w:rPr>
          <w:bCs/>
          <w:b/>
        </w:rPr>
        <w:t xml:space="preserve">Q2. Can you use server timestamps to order events across machines?</w:t>
      </w:r>
      <w:r>
        <w:t xml:space="preserve"> </w:t>
      </w:r>
      <w:r>
        <w:rPr>
          <w:bCs/>
          <w:b/>
        </w:rPr>
        <w:t xml:space="preserve">Answer.</w:t>
      </w:r>
      <w:r>
        <w:t xml:space="preserve"> </w:t>
      </w:r>
      <w:r>
        <w:t xml:space="preserve">Only coarsely. NTP skew is milliseconds and occasionally seconds; clocks can step backwards. Events closer together than the skew may be misordered, which makes LWW lose writes. Use Lamport or hybrid logical clocks for causal order, vector clocks to detect concurrency, or a single sequencer; use bounded-uncertainty clocks when real-time order matters.</w:t>
      </w:r>
    </w:p>
    <w:bookmarkEnd w:id="2764"/>
    <w:bookmarkStart w:id="2765" w:name="intermediate-23"/>
    <w:p>
      <w:pPr>
        <w:pStyle w:val="Heading3"/>
      </w:pPr>
      <w:r>
        <w:t xml:space="preserve">Intermediate</w:t>
      </w:r>
    </w:p>
    <w:p>
      <w:pPr>
        <w:pStyle w:val="FirstParagraph"/>
      </w:pPr>
      <w:r>
        <w:rPr>
          <w:bCs/>
          <w:b/>
        </w:rPr>
        <w:t xml:space="preserve">Q3. Design conflict handling for a shopping cart replicated across two regions.</w:t>
      </w:r>
      <w:r>
        <w:t xml:space="preserve"> </w:t>
      </w:r>
      <w:r>
        <w:rPr>
          <w:bCs/>
          <w:b/>
        </w:rPr>
        <w:t xml:space="preserve">Answer.</w:t>
      </w:r>
      <w:r>
        <w:t xml:space="preserve"> </w:t>
      </w:r>
      <w:r>
        <w:t xml:space="preserve">Avoid LWW, which drops items. Track versions with version vectors keyed by replica (or dotted version vectors), keep concurrent versions as siblings, and merge on read (union of adds); represent removals with tombstones or use an observed-remove set CRDT (§27.14) so deletions are not resurrected. Discuss metadata size, sibling limits and the user experience of merges.</w:t>
      </w:r>
    </w:p>
    <w:p>
      <w:pPr>
        <w:pStyle w:val="BodyText"/>
      </w:pPr>
      <w:r>
        <w:rPr>
          <w:bCs/>
          <w:b/>
        </w:rPr>
        <w:t xml:space="preserve">Q4. A node passes health checks, yet its clients see 30% errors. What is happening and what would you change?</w:t>
      </w:r>
      <w:r>
        <w:t xml:space="preserve"> </w:t>
      </w:r>
      <w:r>
        <w:rPr>
          <w:bCs/>
          <w:b/>
        </w:rPr>
        <w:t xml:space="preserve">Answer.</w:t>
      </w:r>
      <w:r>
        <w:t xml:space="preserve"> </w:t>
      </w:r>
      <w:r>
        <w:t xml:space="preserve">A gray failure: the probe does not exercise the failing path (disk, dependency, thread pool). Make health checks exercise real dependencies, add client-side outlier detection that ejects nodes with abnormal error rates or latency, and alert on client-observed rather than self-reported health.</w:t>
      </w:r>
    </w:p>
    <w:bookmarkEnd w:id="2765"/>
    <w:bookmarkStart w:id="2766" w:name="advanced-23"/>
    <w:p>
      <w:pPr>
        <w:pStyle w:val="Heading3"/>
      </w:pPr>
      <w:r>
        <w:t xml:space="preserve">Advanced</w:t>
      </w:r>
    </w:p>
    <w:p>
      <w:pPr>
        <w:pStyle w:val="FirstParagraph"/>
      </w:pPr>
      <w:r>
        <w:rPr>
          <w:bCs/>
          <w:b/>
        </w:rPr>
        <w:t xml:space="preserve">Q5. Explain FLP and how Raft copes with it.</w:t>
      </w:r>
      <w:r>
        <w:t xml:space="preserve"> </w:t>
      </w:r>
      <w:r>
        <w:rPr>
          <w:bCs/>
          <w:b/>
        </w:rPr>
        <w:t xml:space="preserve">Answer.</w:t>
      </w:r>
      <w:r>
        <w:t xml:space="preserve"> </w:t>
      </w:r>
      <w:r>
        <w:t xml:space="preserve">In an asynchronous system no deterministic consensus protocol can guarantee termination if one process may crash, because a slow process is indistinguishable from a crashed one and an adversarial schedule can keep the system undecided. Raft keeps safety unconditionally (majority quorums, term checks, persisted votes) and gets liveness from partial synchrony: timeouts detect leader failure, and randomized election timeouts break split votes. During a bad network period it may stall, but never diverges.</w:t>
      </w:r>
    </w:p>
    <w:p>
      <w:pPr>
        <w:pStyle w:val="BodyText"/>
      </w:pPr>
      <w:r>
        <w:rPr>
          <w:bCs/>
          <w:b/>
        </w:rPr>
        <w:t xml:space="preserve">Q6. Your database uses HLC timestamps and a 500 ms maximum offset. Why do some reads restart, and how would you reduce restarts?</w:t>
      </w:r>
      <w:r>
        <w:t xml:space="preserve"> </w:t>
      </w:r>
      <w:r>
        <w:rPr>
          <w:bCs/>
          <w:b/>
        </w:rPr>
        <w:t xml:space="preserve">Answer.</w:t>
      </w:r>
      <w:r>
        <w:t xml:space="preserve"> </w:t>
      </w:r>
      <w:r>
        <w:t xml:space="preserve">A read at</w:t>
      </w:r>
      <w:r>
        <w:t xml:space="preserve"> </w:t>
      </w:r>
      <m:oMath>
        <m:sSub>
          <m:e>
            <m:r>
              <m:t>t</m:t>
            </m:r>
          </m:e>
          <m:sub>
            <m:r>
              <m:t>r</m:t>
            </m:r>
          </m:sub>
        </m:sSub>
      </m:oMath>
      <w:r>
        <w:t xml:space="preserve"> </w:t>
      </w:r>
      <w:r>
        <w:t xml:space="preserve">that finds a value committed in</w:t>
      </w:r>
      <w:r>
        <w:t xml:space="preserve"> </w:t>
      </w:r>
      <m:oMath>
        <m:r>
          <m:rPr>
            <m:sty m:val="p"/>
          </m:rPr>
          <m:t>(</m:t>
        </m:r>
        <m:sSub>
          <m:e>
            <m:r>
              <m:t>t</m:t>
            </m:r>
          </m:e>
          <m:sub>
            <m:r>
              <m:t>r</m:t>
            </m:r>
          </m:sub>
        </m:sSub>
        <m:r>
          <m:rPr>
            <m:sty m:val="p"/>
          </m:rPr>
          <m:t>,</m:t>
        </m:r>
        <m:sSub>
          <m:e>
            <m:r>
              <m:t>t</m:t>
            </m:r>
          </m:e>
          <m:sub>
            <m:r>
              <m:t>r</m:t>
            </m:r>
          </m:sub>
        </m:sSub>
        <m:r>
          <m:rPr>
            <m:sty m:val="p"/>
          </m:rPr>
          <m:t>+</m:t>
        </m:r>
        <m:r>
          <m:t>500</m:t>
        </m:r>
        <m:r>
          <m:rPr>
            <m:nor/>
            <m:sty m:val="p"/>
          </m:rPr>
          <m:t> ms</m:t>
        </m:r>
        <m:r>
          <m:rPr>
            <m:sty m:val="p"/>
          </m:rPr>
          <m:t>]</m:t>
        </m:r>
      </m:oMath>
      <w:r>
        <w:t xml:space="preserve"> </w:t>
      </w:r>
      <w:r>
        <w:t xml:space="preserve">cannot tell whether it committed before the read in real time, so it moves its timestamp forward and retries. Reduce restarts by improving clock synchronization (PTP or a precise cloud time service) and lowering the configured maximum offset, by monitoring offsets so nodes with bad clocks are removed, and by reducing contention on hot keys.</w:t>
      </w:r>
    </w:p>
    <w:bookmarkEnd w:id="2766"/>
    <w:bookmarkEnd w:id="2767"/>
    <w:bookmarkStart w:id="2768" w:name="practical-exercises-23"/>
    <w:p>
      <w:pPr>
        <w:pStyle w:val="Heading2"/>
      </w:pPr>
      <w:r>
        <w:t xml:space="preserve">24.18 Practical exercises</w:t>
      </w:r>
    </w:p>
    <w:p>
      <w:pPr>
        <w:numPr>
          <w:ilvl w:val="0"/>
          <w:numId w:val="1802"/>
        </w:numPr>
        <w:pStyle w:val="Compact"/>
      </w:pPr>
      <w:r>
        <w:t xml:space="preserve">Extend the Lamport listing with Lamport’s mutual-exclusion algorithm (request, reply, release) for three processes and check that the lock is granted in timestamp order.</w:t>
      </w:r>
    </w:p>
    <w:p>
      <w:pPr>
        <w:numPr>
          <w:ilvl w:val="0"/>
          <w:numId w:val="1802"/>
        </w:numPr>
        <w:pStyle w:val="Compact"/>
      </w:pPr>
      <w:r>
        <w:t xml:space="preserve">Modify the version-vector store to use dotted version vectors and show that the</w:t>
      </w:r>
      <w:r>
        <w:t xml:space="preserve"> </w:t>
      </w:r>
      <w:r>
        <w:t xml:space="preserve">“</w:t>
      </w:r>
      <w:r>
        <w:t xml:space="preserve">same-replica</w:t>
      </w:r>
      <w:r>
        <w:t xml:space="preserve">”</w:t>
      </w:r>
      <w:r>
        <w:t xml:space="preserve"> </w:t>
      </w:r>
      <w:r>
        <w:t xml:space="preserve">case keeps both writes as siblings.</w:t>
      </w:r>
    </w:p>
    <w:p>
      <w:pPr>
        <w:numPr>
          <w:ilvl w:val="0"/>
          <w:numId w:val="1802"/>
        </w:numPr>
        <w:pStyle w:val="Compact"/>
      </w:pPr>
      <w:r>
        <w:t xml:space="preserve">Simulate 10 nodes with random drift between −50 and +50 ppm and NTP corrections every 64 s with ±2 ms error. Plot the maximum pairwise skew and count LWW inversions for writes 10 ms apart.</w:t>
      </w:r>
    </w:p>
    <w:p>
      <w:pPr>
        <w:numPr>
          <w:ilvl w:val="0"/>
          <w:numId w:val="1802"/>
        </w:numPr>
        <w:pStyle w:val="Compact"/>
      </w:pPr>
      <w:r>
        <w:t xml:space="preserve">Run</w:t>
      </w:r>
      <w:r>
        <w:t xml:space="preserve"> </w:t>
      </w:r>
      <w:r>
        <w:rPr>
          <w:rStyle w:val="VerbatimChar"/>
        </w:rPr>
        <w:t xml:space="preserve">chronyc tracking</w:t>
      </w:r>
      <w:r>
        <w:t xml:space="preserve"> </w:t>
      </w:r>
      <w:r>
        <w:t xml:space="preserve">(or</w:t>
      </w:r>
      <w:r>
        <w:t xml:space="preserve"> </w:t>
      </w:r>
      <w:r>
        <w:rPr>
          <w:rStyle w:val="VerbatimChar"/>
        </w:rPr>
        <w:t xml:space="preserve">ntpq -p</w:t>
      </w:r>
      <w:r>
        <w:t xml:space="preserve">) on a Linux machine; identify the stratum, offset, root delay and root dispersion, and explain each in terms of §24.9.3.</w:t>
      </w:r>
    </w:p>
    <w:p>
      <w:pPr>
        <w:numPr>
          <w:ilvl w:val="0"/>
          <w:numId w:val="1802"/>
        </w:numPr>
        <w:pStyle w:val="Compact"/>
      </w:pPr>
      <w:r>
        <w:t xml:space="preserve">Using</w:t>
      </w:r>
      <w:r>
        <w:t xml:space="preserve"> </w:t>
      </w:r>
      <w:r>
        <w:rPr>
          <w:rStyle w:val="VerbatimChar"/>
        </w:rPr>
        <w:t xml:space="preserve">tc netem</w:t>
      </w:r>
      <w:r>
        <w:t xml:space="preserve"> </w:t>
      </w:r>
      <w:r>
        <w:t xml:space="preserve">on two containers, create a one-way partition and observe how an etcd or Redis Sentinel cluster behaves.</w:t>
      </w:r>
    </w:p>
    <w:bookmarkEnd w:id="2768"/>
    <w:bookmarkStart w:id="2769" w:name="design-challenges-23"/>
    <w:p>
      <w:pPr>
        <w:pStyle w:val="Heading2"/>
      </w:pPr>
      <w:r>
        <w:t xml:space="preserve">24.19 Design challenges</w:t>
      </w:r>
    </w:p>
    <w:p>
      <w:pPr>
        <w:numPr>
          <w:ilvl w:val="0"/>
          <w:numId w:val="1803"/>
        </w:numPr>
        <w:pStyle w:val="Compact"/>
      </w:pPr>
      <w:r>
        <w:rPr>
          <w:bCs/>
          <w:b/>
        </w:rPr>
        <w:t xml:space="preserve">Global event log.</w:t>
      </w:r>
      <w:r>
        <w:t xml:space="preserve"> </w:t>
      </w:r>
      <w:r>
        <w:t xml:space="preserve">PhotoShare wants a per-user activity feed assembled from events produced in three regions, ordered so that a reply never appears before the comment it answers. Choose clocks (Lamport, HLC, vector), state the system model, quantify metadata overhead per event, and describe behavior during an inter-region partition.</w:t>
      </w:r>
    </w:p>
    <w:p>
      <w:pPr>
        <w:numPr>
          <w:ilvl w:val="0"/>
          <w:numId w:val="1803"/>
        </w:numPr>
        <w:pStyle w:val="Compact"/>
      </w:pPr>
      <w:r>
        <w:rPr>
          <w:bCs/>
          <w:b/>
        </w:rPr>
        <w:t xml:space="preserve">Clock-safe leases.</w:t>
      </w:r>
      <w:r>
        <w:t xml:space="preserve"> </w:t>
      </w:r>
      <w:r>
        <w:t xml:space="preserve">Design a leader lease for a job scheduler whose nodes use NTP with up to 50 ms skew and may pause for 2 s during garbage collection. Size lease duration and renewal interval, and explain why fencing tokens (§26.13) are still needed.</w:t>
      </w:r>
    </w:p>
    <w:bookmarkEnd w:id="2769"/>
    <w:bookmarkStart w:id="2770" w:name="references-23"/>
    <w:p>
      <w:pPr>
        <w:pStyle w:val="Heading2"/>
      </w:pPr>
      <w:r>
        <w:t xml:space="preserve">24.20 References</w:t>
      </w:r>
    </w:p>
    <w:p>
      <w:pPr>
        <w:numPr>
          <w:ilvl w:val="0"/>
          <w:numId w:val="1804"/>
        </w:numPr>
        <w:pStyle w:val="Compact"/>
      </w:pPr>
      <w:r>
        <w:t xml:space="preserve">Akkoyunlu, E. A., Ekanadham, K., Huber, R. V.</w:t>
      </w:r>
      <w:r>
        <w:t xml:space="preserve"> </w:t>
      </w:r>
      <w:r>
        <w:rPr>
          <w:iCs/>
          <w:i/>
        </w:rPr>
        <w:t xml:space="preserve">Some Constraints and Tradeoffs in the Design of Network Communications</w:t>
      </w:r>
      <w:r>
        <w:t xml:space="preserve">. Proc. 5th ACM Symposium on Operating Systems Principles (SOSP), 1975.</w:t>
      </w:r>
    </w:p>
    <w:p>
      <w:pPr>
        <w:numPr>
          <w:ilvl w:val="0"/>
          <w:numId w:val="1804"/>
        </w:numPr>
        <w:pStyle w:val="Compact"/>
      </w:pPr>
      <w:r>
        <w:t xml:space="preserve">Alquraan, A., Takruri, H., Alfatafta, M., Al-Kiswany, S.</w:t>
      </w:r>
      <w:r>
        <w:t xml:space="preserve"> </w:t>
      </w:r>
      <w:r>
        <w:rPr>
          <w:iCs/>
          <w:i/>
        </w:rPr>
        <w:t xml:space="preserve">An Analysis of Network-Partitioning Failures in Cloud Systems</w:t>
      </w:r>
      <w:r>
        <w:t xml:space="preserve">. 13th USENIX OSDI, 2018. https://www.usenix.org/conference/osdi18/presentation/alquraan</w:t>
      </w:r>
    </w:p>
    <w:p>
      <w:pPr>
        <w:numPr>
          <w:ilvl w:val="0"/>
          <w:numId w:val="1804"/>
        </w:numPr>
        <w:pStyle w:val="Compact"/>
      </w:pPr>
      <w:r>
        <w:t xml:space="preserve">Amazon Web Services.</w:t>
      </w:r>
      <w:r>
        <w:t xml:space="preserve"> </w:t>
      </w:r>
      <w:r>
        <w:rPr>
          <w:iCs/>
          <w:i/>
        </w:rPr>
        <w:t xml:space="preserve">Amazon S3 Availability Event: July 20, 2008</w:t>
      </w:r>
      <w:r>
        <w:t xml:space="preserve">. AWS Service Health Dashboard post-mortem, 2008. (Cited as AWS 2008.)</w:t>
      </w:r>
    </w:p>
    <w:p>
      <w:pPr>
        <w:numPr>
          <w:ilvl w:val="0"/>
          <w:numId w:val="1804"/>
        </w:numPr>
        <w:pStyle w:val="Compact"/>
      </w:pPr>
      <w:r>
        <w:t xml:space="preserve">Amazon Web Services.</w:t>
      </w:r>
      <w:r>
        <w:t xml:space="preserve"> </w:t>
      </w:r>
      <w:r>
        <w:rPr>
          <w:iCs/>
          <w:i/>
        </w:rPr>
        <w:t xml:space="preserve">Summary of the Amazon EC2 and Amazon RDS Service Disruption in the US East Region</w:t>
      </w:r>
      <w:r>
        <w:t xml:space="preserve">. AWS, April 2011. (Cited as AWS 2011.)</w:t>
      </w:r>
    </w:p>
    <w:p>
      <w:pPr>
        <w:numPr>
          <w:ilvl w:val="0"/>
          <w:numId w:val="1804"/>
        </w:numPr>
        <w:pStyle w:val="Compact"/>
      </w:pPr>
      <w:r>
        <w:t xml:space="preserve">Amazon Web Services.</w:t>
      </w:r>
      <w:r>
        <w:t xml:space="preserve"> </w:t>
      </w:r>
      <w:r>
        <w:rPr>
          <w:iCs/>
          <w:i/>
        </w:rPr>
        <w:t xml:space="preserve">Amazon Time Sync Service now supports microsecond-accurate time</w:t>
      </w:r>
      <w:r>
        <w:t xml:space="preserve">. AWS What’s New, November 2023; and</w:t>
      </w:r>
      <w:r>
        <w:t xml:space="preserve"> </w:t>
      </w:r>
      <w:r>
        <w:rPr>
          <w:iCs/>
          <w:i/>
        </w:rPr>
        <w:t xml:space="preserve">ClockBound</w:t>
      </w:r>
      <w:r>
        <w:t xml:space="preserve">. https://github.com/aws/clock-bound (Cited as AWS 2023.)</w:t>
      </w:r>
    </w:p>
    <w:p>
      <w:pPr>
        <w:numPr>
          <w:ilvl w:val="0"/>
          <w:numId w:val="1804"/>
        </w:numPr>
        <w:pStyle w:val="Compact"/>
      </w:pPr>
      <w:r>
        <w:t xml:space="preserve">Bailis, P., Kingsbury, K.</w:t>
      </w:r>
      <w:r>
        <w:t xml:space="preserve"> </w:t>
      </w:r>
      <w:r>
        <w:rPr>
          <w:iCs/>
          <w:i/>
        </w:rPr>
        <w:t xml:space="preserve">The Network is Reliable: An informal survey of real-world communications failures</w:t>
      </w:r>
      <w:r>
        <w:t xml:space="preserve">. ACM Queue 12(7), 2014; also Communications of the ACM 57(9), 2014.</w:t>
      </w:r>
    </w:p>
    <w:p>
      <w:pPr>
        <w:numPr>
          <w:ilvl w:val="0"/>
          <w:numId w:val="1804"/>
        </w:numPr>
        <w:pStyle w:val="Compact"/>
      </w:pPr>
      <w:r>
        <w:t xml:space="preserve">Ben-Or, M.</w:t>
      </w:r>
      <w:r>
        <w:t xml:space="preserve"> </w:t>
      </w:r>
      <w:r>
        <w:rPr>
          <w:iCs/>
          <w:i/>
        </w:rPr>
        <w:t xml:space="preserve">Another Advantage of Free Choice: Completely Asynchronous Agreement Protocols</w:t>
      </w:r>
      <w:r>
        <w:t xml:space="preserve">. Proc. ACM PODC, 1983.</w:t>
      </w:r>
    </w:p>
    <w:p>
      <w:pPr>
        <w:numPr>
          <w:ilvl w:val="0"/>
          <w:numId w:val="1804"/>
        </w:numPr>
        <w:pStyle w:val="Compact"/>
      </w:pPr>
      <w:r>
        <w:t xml:space="preserve">BIPM.</w:t>
      </w:r>
      <w:r>
        <w:t xml:space="preserve"> </w:t>
      </w:r>
      <w:r>
        <w:rPr>
          <w:iCs/>
          <w:i/>
        </w:rPr>
        <w:t xml:space="preserve">Resolution 4 of the 27th CGPM: On the use and future development of UTC</w:t>
      </w:r>
      <w:r>
        <w:t xml:space="preserve">. 2022.</w:t>
      </w:r>
    </w:p>
    <w:p>
      <w:pPr>
        <w:numPr>
          <w:ilvl w:val="0"/>
          <w:numId w:val="1804"/>
        </w:numPr>
        <w:pStyle w:val="Compact"/>
      </w:pPr>
      <w:r>
        <w:t xml:space="preserve">Cachin, C., Guerraoui, R., Rodrigues, L.</w:t>
      </w:r>
      <w:r>
        <w:t xml:space="preserve"> </w:t>
      </w:r>
      <w:r>
        <w:rPr>
          <w:iCs/>
          <w:i/>
        </w:rPr>
        <w:t xml:space="preserve">Introduction to Reliable and Secure Distributed Programming</w:t>
      </w:r>
      <w:r>
        <w:t xml:space="preserve">, 2nd ed. Springer, 2011.</w:t>
      </w:r>
    </w:p>
    <w:p>
      <w:pPr>
        <w:numPr>
          <w:ilvl w:val="0"/>
          <w:numId w:val="1804"/>
        </w:numPr>
        <w:pStyle w:val="Compact"/>
      </w:pPr>
      <w:r>
        <w:t xml:space="preserve">Chandra, T. D., Toueg, S.</w:t>
      </w:r>
      <w:r>
        <w:t xml:space="preserve"> </w:t>
      </w:r>
      <w:r>
        <w:rPr>
          <w:iCs/>
          <w:i/>
        </w:rPr>
        <w:t xml:space="preserve">Unreliable Failure Detectors for Reliable Distributed Systems</w:t>
      </w:r>
      <w:r>
        <w:t xml:space="preserve">. Journal of the ACM 43(2), 1996.</w:t>
      </w:r>
    </w:p>
    <w:p>
      <w:pPr>
        <w:numPr>
          <w:ilvl w:val="0"/>
          <w:numId w:val="1804"/>
        </w:numPr>
        <w:pStyle w:val="Compact"/>
      </w:pPr>
      <w:r>
        <w:t xml:space="preserve">Charron-Bost, B.</w:t>
      </w:r>
      <w:r>
        <w:t xml:space="preserve"> </w:t>
      </w:r>
      <w:r>
        <w:rPr>
          <w:iCs/>
          <w:i/>
        </w:rPr>
        <w:t xml:space="preserve">Concerning the Size of Logical Clocks in Distributed Systems</w:t>
      </w:r>
      <w:r>
        <w:t xml:space="preserve">. Information Processing Letters 39(1), 1991.</w:t>
      </w:r>
    </w:p>
    <w:p>
      <w:pPr>
        <w:numPr>
          <w:ilvl w:val="0"/>
          <w:numId w:val="1804"/>
        </w:numPr>
        <w:pStyle w:val="Compact"/>
      </w:pPr>
      <w:r>
        <w:t xml:space="preserve">Cockroach Labs.</w:t>
      </w:r>
      <w:r>
        <w:t xml:space="preserve"> </w:t>
      </w:r>
      <w:r>
        <w:rPr>
          <w:iCs/>
          <w:i/>
        </w:rPr>
        <w:t xml:space="preserve">Operational FAQs</w:t>
      </w:r>
      <w:r>
        <w:t xml:space="preserve"> </w:t>
      </w:r>
      <w:r>
        <w:t xml:space="preserve">and</w:t>
      </w:r>
      <w:r>
        <w:t xml:space="preserve"> </w:t>
      </w:r>
      <w:r>
        <w:rPr>
          <w:iCs/>
          <w:i/>
        </w:rPr>
        <w:t xml:space="preserve">cockroach start</w:t>
      </w:r>
      <w:r>
        <w:t xml:space="preserve"> </w:t>
      </w:r>
      <w:r>
        <w:t xml:space="preserve">(</w:t>
      </w:r>
      <w:r>
        <w:rPr>
          <w:rStyle w:val="VerbatimChar"/>
        </w:rPr>
        <w:t xml:space="preserve">--max-offset</w:t>
      </w:r>
      <w:r>
        <w:t xml:space="preserve">). CockroachDB documentation, accessed 2026. https://www.cockroachlabs.com/docs/</w:t>
      </w:r>
    </w:p>
    <w:p>
      <w:pPr>
        <w:numPr>
          <w:ilvl w:val="0"/>
          <w:numId w:val="1804"/>
        </w:numPr>
        <w:pStyle w:val="Compact"/>
      </w:pPr>
      <w:r>
        <w:t xml:space="preserve">Corbett, J. C., et al. </w:t>
      </w:r>
      <w:r>
        <w:rPr>
          <w:iCs/>
          <w:i/>
        </w:rPr>
        <w:t xml:space="preserve">Spanner: Google’s Globally-Distributed Database</w:t>
      </w:r>
      <w:r>
        <w:t xml:space="preserve">. 10th USENIX OSDI, 2012.</w:t>
      </w:r>
    </w:p>
    <w:p>
      <w:pPr>
        <w:numPr>
          <w:ilvl w:val="0"/>
          <w:numId w:val="1804"/>
        </w:numPr>
        <w:pStyle w:val="Compact"/>
      </w:pPr>
      <w:r>
        <w:t xml:space="preserve">Dean, J.</w:t>
      </w:r>
      <w:r>
        <w:t xml:space="preserve"> </w:t>
      </w:r>
      <w:r>
        <w:rPr>
          <w:iCs/>
          <w:i/>
        </w:rPr>
        <w:t xml:space="preserve">Designs, Lessons and Advice from Building Large Distributed Systems</w:t>
      </w:r>
      <w:r>
        <w:t xml:space="preserve">. Keynote, LADIS workshop, 2009.</w:t>
      </w:r>
    </w:p>
    <w:p>
      <w:pPr>
        <w:numPr>
          <w:ilvl w:val="0"/>
          <w:numId w:val="1804"/>
        </w:numPr>
        <w:pStyle w:val="Compact"/>
      </w:pPr>
      <w:r>
        <w:t xml:space="preserve">DeCandia, G., et al. </w:t>
      </w:r>
      <w:r>
        <w:rPr>
          <w:iCs/>
          <w:i/>
        </w:rPr>
        <w:t xml:space="preserve">Dynamo: Amazon’s Highly Available Key-value Store</w:t>
      </w:r>
      <w:r>
        <w:t xml:space="preserve">. Proc. ACM SOSP, 2007.</w:t>
      </w:r>
    </w:p>
    <w:p>
      <w:pPr>
        <w:numPr>
          <w:ilvl w:val="0"/>
          <w:numId w:val="1804"/>
        </w:numPr>
        <w:pStyle w:val="Compact"/>
      </w:pPr>
      <w:r>
        <w:t xml:space="preserve">Dwork, C., Lynch, N., Stockmeyer, L.</w:t>
      </w:r>
      <w:r>
        <w:t xml:space="preserve"> </w:t>
      </w:r>
      <w:r>
        <w:rPr>
          <w:iCs/>
          <w:i/>
        </w:rPr>
        <w:t xml:space="preserve">Consensus in the Presence of Partial Synchrony</w:t>
      </w:r>
      <w:r>
        <w:t xml:space="preserve">. Journal of the ACM 35(2):288–323, 1988.</w:t>
      </w:r>
    </w:p>
    <w:p>
      <w:pPr>
        <w:numPr>
          <w:ilvl w:val="0"/>
          <w:numId w:val="1804"/>
        </w:numPr>
        <w:pStyle w:val="Compact"/>
      </w:pPr>
      <w:r>
        <w:t xml:space="preserve">European Union.</w:t>
      </w:r>
      <w:r>
        <w:t xml:space="preserve"> </w:t>
      </w:r>
      <w:r>
        <w:rPr>
          <w:iCs/>
          <w:i/>
        </w:rPr>
        <w:t xml:space="preserve">Regulation (EU) 2016/679 (General Data Protection Regulation)</w:t>
      </w:r>
      <w:r>
        <w:t xml:space="preserve">, Chapter V. Official Journal of the EU, 2016. (Cited as EU 2016.)</w:t>
      </w:r>
    </w:p>
    <w:p>
      <w:pPr>
        <w:numPr>
          <w:ilvl w:val="0"/>
          <w:numId w:val="1804"/>
        </w:numPr>
        <w:pStyle w:val="Compact"/>
      </w:pPr>
      <w:r>
        <w:t xml:space="preserve">Fidge, C. J.</w:t>
      </w:r>
      <w:r>
        <w:t xml:space="preserve"> </w:t>
      </w:r>
      <w:r>
        <w:rPr>
          <w:iCs/>
          <w:i/>
        </w:rPr>
        <w:t xml:space="preserve">Timestamps in Message-Passing Systems That Preserve the Partial Ordering</w:t>
      </w:r>
      <w:r>
        <w:t xml:space="preserve">. Proc. 11th Australian Computer Science Conference, 1988, pp. 56–66.</w:t>
      </w:r>
    </w:p>
    <w:p>
      <w:pPr>
        <w:numPr>
          <w:ilvl w:val="0"/>
          <w:numId w:val="1804"/>
        </w:numPr>
        <w:pStyle w:val="Compact"/>
      </w:pPr>
      <w:r>
        <w:t xml:space="preserve">Fischer, M. J., Lynch, N. A., Paterson, M. S.</w:t>
      </w:r>
      <w:r>
        <w:t xml:space="preserve"> </w:t>
      </w:r>
      <w:r>
        <w:rPr>
          <w:iCs/>
          <w:i/>
        </w:rPr>
        <w:t xml:space="preserve">Impossibility of Distributed Consensus with One Faulty Process</w:t>
      </w:r>
      <w:r>
        <w:t xml:space="preserve">. Journal of the ACM 32(2):374–382, 1985.</w:t>
      </w:r>
    </w:p>
    <w:p>
      <w:pPr>
        <w:numPr>
          <w:ilvl w:val="0"/>
          <w:numId w:val="1804"/>
        </w:numPr>
        <w:pStyle w:val="Compact"/>
      </w:pPr>
      <w:r>
        <w:t xml:space="preserve">Gill, P., Jain, N., Nagappan, N.</w:t>
      </w:r>
      <w:r>
        <w:t xml:space="preserve"> </w:t>
      </w:r>
      <w:r>
        <w:rPr>
          <w:iCs/>
          <w:i/>
        </w:rPr>
        <w:t xml:space="preserve">Understanding Network Failures in Data Centers: Measurement, Analysis, and Implications</w:t>
      </w:r>
      <w:r>
        <w:t xml:space="preserve">. Proc. ACM SIGCOMM, 2011.</w:t>
      </w:r>
    </w:p>
    <w:p>
      <w:pPr>
        <w:numPr>
          <w:ilvl w:val="0"/>
          <w:numId w:val="1804"/>
        </w:numPr>
        <w:pStyle w:val="Compact"/>
      </w:pPr>
      <w:r>
        <w:t xml:space="preserve">Google.</w:t>
      </w:r>
      <w:r>
        <w:t xml:space="preserve"> </w:t>
      </w:r>
      <w:r>
        <w:rPr>
          <w:iCs/>
          <w:i/>
        </w:rPr>
        <w:t xml:space="preserve">Leap Smear</w:t>
      </w:r>
      <w:r>
        <w:t xml:space="preserve">. Google Public NTP documentation, accessed 2026. https://developers.google.com/time/smear</w:t>
      </w:r>
    </w:p>
    <w:p>
      <w:pPr>
        <w:numPr>
          <w:ilvl w:val="0"/>
          <w:numId w:val="1804"/>
        </w:numPr>
        <w:pStyle w:val="Compact"/>
      </w:pPr>
      <w:r>
        <w:t xml:space="preserve">Graham-Cumming, J.</w:t>
      </w:r>
      <w:r>
        <w:t xml:space="preserve"> </w:t>
      </w:r>
      <w:r>
        <w:rPr>
          <w:iCs/>
          <w:i/>
        </w:rPr>
        <w:t xml:space="preserve">How and why the leap second affected Cloudflare DNS</w:t>
      </w:r>
      <w:r>
        <w:t xml:space="preserve">. Cloudflare Blog, January 2017.</w:t>
      </w:r>
    </w:p>
    <w:p>
      <w:pPr>
        <w:numPr>
          <w:ilvl w:val="0"/>
          <w:numId w:val="1804"/>
        </w:numPr>
        <w:pStyle w:val="Compact"/>
      </w:pPr>
      <w:r>
        <w:t xml:space="preserve">Gray, J.</w:t>
      </w:r>
      <w:r>
        <w:t xml:space="preserve"> </w:t>
      </w:r>
      <w:r>
        <w:rPr>
          <w:iCs/>
          <w:i/>
        </w:rPr>
        <w:t xml:space="preserve">Notes on Data Base Operating Systems</w:t>
      </w:r>
      <w:r>
        <w:t xml:space="preserve">. In</w:t>
      </w:r>
      <w:r>
        <w:t xml:space="preserve"> </w:t>
      </w:r>
      <w:r>
        <w:rPr>
          <w:iCs/>
          <w:i/>
        </w:rPr>
        <w:t xml:space="preserve">Operating Systems: An Advanced Course</w:t>
      </w:r>
      <w:r>
        <w:t xml:space="preserve">, LNCS 60, Springer, 1978.</w:t>
      </w:r>
    </w:p>
    <w:p>
      <w:pPr>
        <w:numPr>
          <w:ilvl w:val="0"/>
          <w:numId w:val="1804"/>
        </w:numPr>
        <w:pStyle w:val="Compact"/>
      </w:pPr>
      <w:r>
        <w:t xml:space="preserve">Gunawi, H. S., et al. </w:t>
      </w:r>
      <w:r>
        <w:rPr>
          <w:iCs/>
          <w:i/>
        </w:rPr>
        <w:t xml:space="preserve">Fail-Slow at Scale: Evidence of Hardware Performance Faults in Large Production Systems</w:t>
      </w:r>
      <w:r>
        <w:t xml:space="preserve">. 16th USENIX FAST, 2018.</w:t>
      </w:r>
    </w:p>
    <w:p>
      <w:pPr>
        <w:numPr>
          <w:ilvl w:val="0"/>
          <w:numId w:val="1804"/>
        </w:numPr>
        <w:pStyle w:val="Compact"/>
      </w:pPr>
      <w:r>
        <w:t xml:space="preserve">Huang, P., Guo, C., Zhou, L., Lorch, J. R., Dang, Y., Chintalapati, M., Yao, R.</w:t>
      </w:r>
      <w:r>
        <w:t xml:space="preserve"> </w:t>
      </w:r>
      <w:r>
        <w:rPr>
          <w:iCs/>
          <w:i/>
        </w:rPr>
        <w:t xml:space="preserve">Gray Failure: The Achilles’ Heel of Cloud-Scale Systems</w:t>
      </w:r>
      <w:r>
        <w:t xml:space="preserve">. Proc. HotOS XVI, ACM, 2017.</w:t>
      </w:r>
    </w:p>
    <w:p>
      <w:pPr>
        <w:numPr>
          <w:ilvl w:val="0"/>
          <w:numId w:val="1804"/>
        </w:numPr>
        <w:pStyle w:val="Compact"/>
      </w:pPr>
      <w:r>
        <w:t xml:space="preserve">IEEE.</w:t>
      </w:r>
      <w:r>
        <w:t xml:space="preserve"> </w:t>
      </w:r>
      <w:r>
        <w:rPr>
          <w:iCs/>
          <w:i/>
        </w:rPr>
        <w:t xml:space="preserve">IEEE Std 1588-2008: Standard for a Precision Clock Synchronization Protocol for Networked Measurement and Control Systems</w:t>
      </w:r>
      <w:r>
        <w:t xml:space="preserve">. 2008; revised as IEEE Std 1588-2019. (Cited as IEEE 2008; IEEE 2019.)</w:t>
      </w:r>
    </w:p>
    <w:p>
      <w:pPr>
        <w:numPr>
          <w:ilvl w:val="0"/>
          <w:numId w:val="1804"/>
        </w:numPr>
        <w:pStyle w:val="Compact"/>
      </w:pPr>
      <w:r>
        <w:t xml:space="preserve">Kimball, S.</w:t>
      </w:r>
      <w:r>
        <w:t xml:space="preserve"> </w:t>
      </w:r>
      <w:r>
        <w:rPr>
          <w:iCs/>
          <w:i/>
        </w:rPr>
        <w:t xml:space="preserve">Living Without Atomic Clocks</w:t>
      </w:r>
      <w:r>
        <w:t xml:space="preserve">. Cockroach Labs Blog, 2016.</w:t>
      </w:r>
    </w:p>
    <w:p>
      <w:pPr>
        <w:numPr>
          <w:ilvl w:val="0"/>
          <w:numId w:val="1804"/>
        </w:numPr>
        <w:pStyle w:val="Compact"/>
      </w:pPr>
      <w:r>
        <w:t xml:space="preserve">Kleppmann, M.</w:t>
      </w:r>
      <w:r>
        <w:t xml:space="preserve"> </w:t>
      </w:r>
      <w:r>
        <w:rPr>
          <w:iCs/>
          <w:i/>
        </w:rPr>
        <w:t xml:space="preserve">Designing Data-Intensive Applications</w:t>
      </w:r>
      <w:r>
        <w:t xml:space="preserve">, ch. 8</w:t>
      </w:r>
      <w:r>
        <w:t xml:space="preserve"> </w:t>
      </w:r>
      <w:r>
        <w:t xml:space="preserve">“</w:t>
      </w:r>
      <w:r>
        <w:t xml:space="preserve">The Trouble with Distributed Systems</w:t>
      </w:r>
      <w:r>
        <w:t xml:space="preserve">”</w:t>
      </w:r>
      <w:r>
        <w:t xml:space="preserve">. O’Reilly, 2017.</w:t>
      </w:r>
    </w:p>
    <w:p>
      <w:pPr>
        <w:numPr>
          <w:ilvl w:val="0"/>
          <w:numId w:val="1804"/>
        </w:numPr>
        <w:pStyle w:val="Compact"/>
      </w:pPr>
      <w:r>
        <w:t xml:space="preserve">Kulkarni, S. S., Demirbas, M., Madappa, D., Avva, B., Leone, M.</w:t>
      </w:r>
      <w:r>
        <w:t xml:space="preserve"> </w:t>
      </w:r>
      <w:r>
        <w:rPr>
          <w:iCs/>
          <w:i/>
        </w:rPr>
        <w:t xml:space="preserve">Logical Physical Clocks</w:t>
      </w:r>
      <w:r>
        <w:t xml:space="preserve">. Proc. OPODIS 2014, LNCS 8878, Springer, 2014.</w:t>
      </w:r>
    </w:p>
    <w:p>
      <w:pPr>
        <w:numPr>
          <w:ilvl w:val="0"/>
          <w:numId w:val="1804"/>
        </w:numPr>
        <w:pStyle w:val="Compact"/>
      </w:pPr>
      <w:r>
        <w:t xml:space="preserve">Lamport, L.</w:t>
      </w:r>
      <w:r>
        <w:t xml:space="preserve"> </w:t>
      </w:r>
      <w:r>
        <w:rPr>
          <w:iCs/>
          <w:i/>
        </w:rPr>
        <w:t xml:space="preserve">Time, Clocks, and the Ordering of Events in a Distributed System</w:t>
      </w:r>
      <w:r>
        <w:t xml:space="preserve">. Communications of the ACM 21(7):558–565, 1978.</w:t>
      </w:r>
    </w:p>
    <w:p>
      <w:pPr>
        <w:numPr>
          <w:ilvl w:val="0"/>
          <w:numId w:val="1804"/>
        </w:numPr>
        <w:pStyle w:val="Compact"/>
      </w:pPr>
      <w:r>
        <w:t xml:space="preserve">Lamport, L. Email message of 28 May 1987 defining a distributed system. Reproduced on Lamport’s writings pages. https://lamport.azurewebsites.net/pubs/distributed-system.txt (Cited as Lamport 1987.)</w:t>
      </w:r>
    </w:p>
    <w:p>
      <w:pPr>
        <w:numPr>
          <w:ilvl w:val="0"/>
          <w:numId w:val="1804"/>
        </w:numPr>
        <w:pStyle w:val="Compact"/>
      </w:pPr>
      <w:r>
        <w:t xml:space="preserve">Lamport, L., Shostak, R., Pease, M.</w:t>
      </w:r>
      <w:r>
        <w:t xml:space="preserve"> </w:t>
      </w:r>
      <w:r>
        <w:rPr>
          <w:iCs/>
          <w:i/>
        </w:rPr>
        <w:t xml:space="preserve">The Byzantine Generals Problem</w:t>
      </w:r>
      <w:r>
        <w:t xml:space="preserve">. ACM TOPLAS 4(3):382–401, 1982.</w:t>
      </w:r>
    </w:p>
    <w:p>
      <w:pPr>
        <w:numPr>
          <w:ilvl w:val="0"/>
          <w:numId w:val="1804"/>
        </w:numPr>
        <w:pStyle w:val="Compact"/>
      </w:pPr>
      <w:r>
        <w:t xml:space="preserve">Lianza, T., Snook, C.</w:t>
      </w:r>
      <w:r>
        <w:t xml:space="preserve"> </w:t>
      </w:r>
      <w:r>
        <w:rPr>
          <w:iCs/>
          <w:i/>
        </w:rPr>
        <w:t xml:space="preserve">A Byzantine failure in the real world</w:t>
      </w:r>
      <w:r>
        <w:t xml:space="preserve">. Cloudflare Blog, 27 November 2020. https://blog.cloudflare.com/a-byzantine-failure-in-the-real-world/</w:t>
      </w:r>
    </w:p>
    <w:p>
      <w:pPr>
        <w:numPr>
          <w:ilvl w:val="0"/>
          <w:numId w:val="1804"/>
        </w:numPr>
        <w:pStyle w:val="Compact"/>
      </w:pPr>
      <w:r>
        <w:t xml:space="preserve">Mattern, F.</w:t>
      </w:r>
      <w:r>
        <w:t xml:space="preserve"> </w:t>
      </w:r>
      <w:r>
        <w:rPr>
          <w:iCs/>
          <w:i/>
        </w:rPr>
        <w:t xml:space="preserve">Virtual Time and Global States of Distributed Systems</w:t>
      </w:r>
      <w:r>
        <w:t xml:space="preserve">. In Cosnard, M., et al. (eds.),</w:t>
      </w:r>
      <w:r>
        <w:t xml:space="preserve"> </w:t>
      </w:r>
      <w:r>
        <w:rPr>
          <w:iCs/>
          <w:i/>
        </w:rPr>
        <w:t xml:space="preserve">Parallel and Distributed Algorithms</w:t>
      </w:r>
      <w:r>
        <w:t xml:space="preserve">, North-Holland, 1989, pp. 215–226.</w:t>
      </w:r>
    </w:p>
    <w:p>
      <w:pPr>
        <w:numPr>
          <w:ilvl w:val="0"/>
          <w:numId w:val="1804"/>
        </w:numPr>
        <w:pStyle w:val="Compact"/>
      </w:pPr>
      <w:r>
        <w:t xml:space="preserve">Mills, D., Martin, J., Burbank, J., Kasch, W.</w:t>
      </w:r>
      <w:r>
        <w:t xml:space="preserve"> </w:t>
      </w:r>
      <w:r>
        <w:rPr>
          <w:iCs/>
          <w:i/>
        </w:rPr>
        <w:t xml:space="preserve">Network Time Protocol Version 4: Protocol and Algorithms Specification</w:t>
      </w:r>
      <w:r>
        <w:t xml:space="preserve">. RFC 5905, IETF, 2010.</w:t>
      </w:r>
    </w:p>
    <w:p>
      <w:pPr>
        <w:numPr>
          <w:ilvl w:val="0"/>
          <w:numId w:val="1804"/>
        </w:numPr>
        <w:pStyle w:val="Compact"/>
      </w:pPr>
      <w:r>
        <w:t xml:space="preserve">Obleukhov, O., Byagowi, A.</w:t>
      </w:r>
      <w:r>
        <w:t xml:space="preserve"> </w:t>
      </w:r>
      <w:r>
        <w:rPr>
          <w:iCs/>
          <w:i/>
        </w:rPr>
        <w:t xml:space="preserve">How Precision Time Protocol is being deployed at Meta</w:t>
      </w:r>
      <w:r>
        <w:t xml:space="preserve">. Engineering at Meta blog, 2022.</w:t>
      </w:r>
    </w:p>
    <w:p>
      <w:pPr>
        <w:numPr>
          <w:ilvl w:val="0"/>
          <w:numId w:val="1804"/>
        </w:numPr>
        <w:pStyle w:val="Compact"/>
      </w:pPr>
      <w:r>
        <w:t xml:space="preserve">Ongaro, D., Ousterhout, J.</w:t>
      </w:r>
      <w:r>
        <w:t xml:space="preserve"> </w:t>
      </w:r>
      <w:r>
        <w:rPr>
          <w:iCs/>
          <w:i/>
        </w:rPr>
        <w:t xml:space="preserve">In Search of an Understandable Consensus Algorithm</w:t>
      </w:r>
      <w:r>
        <w:t xml:space="preserve">. USENIX ATC, 2014.</w:t>
      </w:r>
    </w:p>
    <w:p>
      <w:pPr>
        <w:numPr>
          <w:ilvl w:val="0"/>
          <w:numId w:val="1804"/>
        </w:numPr>
        <w:pStyle w:val="Compact"/>
      </w:pPr>
      <w:r>
        <w:t xml:space="preserve">Parker, D. S., et al. </w:t>
      </w:r>
      <w:r>
        <w:rPr>
          <w:iCs/>
          <w:i/>
        </w:rPr>
        <w:t xml:space="preserve">Detection of Mutual Inconsistency in Distributed Systems</w:t>
      </w:r>
      <w:r>
        <w:t xml:space="preserve">. IEEE Transactions on Software Engineering SE-9(3), 1983.</w:t>
      </w:r>
    </w:p>
    <w:p>
      <w:pPr>
        <w:numPr>
          <w:ilvl w:val="0"/>
          <w:numId w:val="1804"/>
        </w:numPr>
        <w:pStyle w:val="Compact"/>
      </w:pPr>
      <w:r>
        <w:t xml:space="preserve">Preguiça, N., Baquero, C., Almeida, P. S., Fonte, V., Gonçalves, R.</w:t>
      </w:r>
      <w:r>
        <w:t xml:space="preserve"> </w:t>
      </w:r>
      <w:r>
        <w:rPr>
          <w:iCs/>
          <w:i/>
        </w:rPr>
        <w:t xml:space="preserve">Dotted Version Vectors: Logical Clocks for Optimistic Replication</w:t>
      </w:r>
      <w:r>
        <w:t xml:space="preserve">. arXiv preprint, 2010.</w:t>
      </w:r>
    </w:p>
    <w:p>
      <w:pPr>
        <w:numPr>
          <w:ilvl w:val="0"/>
          <w:numId w:val="1804"/>
        </w:numPr>
        <w:pStyle w:val="Compact"/>
      </w:pPr>
      <w:r>
        <w:t xml:space="preserve">Riak.</w:t>
      </w:r>
      <w:r>
        <w:t xml:space="preserve"> </w:t>
      </w:r>
      <w:r>
        <w:rPr>
          <w:iCs/>
          <w:i/>
        </w:rPr>
        <w:t xml:space="preserve">Dotted Version Vectors</w:t>
      </w:r>
      <w:r>
        <w:t xml:space="preserve">. Riak KV documentation, accessed 2026. (Cited as Riak Docs: Dotted Version Vectors.)</w:t>
      </w:r>
    </w:p>
    <w:p>
      <w:pPr>
        <w:numPr>
          <w:ilvl w:val="0"/>
          <w:numId w:val="1804"/>
        </w:numPr>
        <w:pStyle w:val="Compact"/>
      </w:pPr>
      <w:r>
        <w:t xml:space="preserve">Rotem-Gal-Oz, A.</w:t>
      </w:r>
      <w:r>
        <w:t xml:space="preserve"> </w:t>
      </w:r>
      <w:r>
        <w:rPr>
          <w:iCs/>
          <w:i/>
        </w:rPr>
        <w:t xml:space="preserve">Fallacies of Distributed Computing Explained</w:t>
      </w:r>
      <w:r>
        <w:t xml:space="preserve">. White paper, 2006.</w:t>
      </w:r>
    </w:p>
    <w:p>
      <w:pPr>
        <w:numPr>
          <w:ilvl w:val="0"/>
          <w:numId w:val="1804"/>
        </w:numPr>
        <w:pStyle w:val="Compact"/>
      </w:pPr>
      <w:r>
        <w:t xml:space="preserve">Saltzer, J. H., Reed, D. P., Clark, D. D.</w:t>
      </w:r>
      <w:r>
        <w:t xml:space="preserve"> </w:t>
      </w:r>
      <w:r>
        <w:rPr>
          <w:iCs/>
          <w:i/>
        </w:rPr>
        <w:t xml:space="preserve">End-to-End Arguments in System Design</w:t>
      </w:r>
      <w:r>
        <w:t xml:space="preserve">. ACM Transactions on Computer Systems 2(4):277–288, 1984.</w:t>
      </w:r>
    </w:p>
    <w:p>
      <w:pPr>
        <w:numPr>
          <w:ilvl w:val="0"/>
          <w:numId w:val="1804"/>
        </w:numPr>
        <w:pStyle w:val="Compact"/>
      </w:pPr>
      <w:r>
        <w:t xml:space="preserve">Schlichting, R. D., Schneider, F. B.</w:t>
      </w:r>
      <w:r>
        <w:t xml:space="preserve"> </w:t>
      </w:r>
      <w:r>
        <w:rPr>
          <w:iCs/>
          <w:i/>
        </w:rPr>
        <w:t xml:space="preserve">Fail-Stop Processors: An Approach to Designing Fault-Tolerant Computing Systems</w:t>
      </w:r>
      <w:r>
        <w:t xml:space="preserve">. ACM Transactions on Computer Systems 1(3), 1983.</w:t>
      </w:r>
    </w:p>
    <w:p>
      <w:pPr>
        <w:numPr>
          <w:ilvl w:val="0"/>
          <w:numId w:val="1804"/>
        </w:numPr>
        <w:pStyle w:val="Compact"/>
      </w:pPr>
      <w:r>
        <w:t xml:space="preserve">Stone, J., Partridge, C.</w:t>
      </w:r>
      <w:r>
        <w:t xml:space="preserve"> </w:t>
      </w:r>
      <w:r>
        <w:rPr>
          <w:iCs/>
          <w:i/>
        </w:rPr>
        <w:t xml:space="preserve">When the CRC and TCP Checksum Disagree</w:t>
      </w:r>
      <w:r>
        <w:t xml:space="preserve">. Proc. ACM SIGCOMM, 2000.</w:t>
      </w:r>
    </w:p>
    <w:p>
      <w:pPr>
        <w:numPr>
          <w:ilvl w:val="0"/>
          <w:numId w:val="1804"/>
        </w:numPr>
        <w:pStyle w:val="Compact"/>
      </w:pPr>
      <w:r>
        <w:t xml:space="preserve">Tyulenev, M., et al. </w:t>
      </w:r>
      <w:r>
        <w:rPr>
          <w:iCs/>
          <w:i/>
        </w:rPr>
        <w:t xml:space="preserve">Implementation of Cluster-wide Logical Clock and Causal Consistency in MongoDB</w:t>
      </w:r>
      <w:r>
        <w:t xml:space="preserve">. Proc. ACM SIGMOD, 2019.</w:t>
      </w:r>
    </w:p>
    <w:p>
      <w:pPr>
        <w:numPr>
          <w:ilvl w:val="0"/>
          <w:numId w:val="1804"/>
        </w:numPr>
        <w:pStyle w:val="Compact"/>
      </w:pPr>
      <w:r>
        <w:t xml:space="preserve">van Steen, M., Tanenbaum, A. S.</w:t>
      </w:r>
      <w:r>
        <w:t xml:space="preserve"> </w:t>
      </w:r>
      <w:r>
        <w:rPr>
          <w:iCs/>
          <w:i/>
        </w:rPr>
        <w:t xml:space="preserve">Distributed Systems</w:t>
      </w:r>
      <w:r>
        <w:t xml:space="preserve">, 3rd ed. distributed-systems.net, 2017.</w:t>
      </w:r>
    </w:p>
    <w:bookmarkEnd w:id="2770"/>
    <w:bookmarkStart w:id="2771" w:name="open-verification-items-23"/>
    <w:p>
      <w:pPr>
        <w:pStyle w:val="Heading2"/>
      </w:pPr>
      <w:r>
        <w:t xml:space="preserve">24.21 Open verification items</w:t>
      </w:r>
    </w:p>
    <w:p>
      <w:pPr>
        <w:numPr>
          <w:ilvl w:val="0"/>
          <w:numId w:val="1805"/>
        </w:numPr>
        <w:pStyle w:val="Compact"/>
      </w:pPr>
      <w:r>
        <w:t xml:space="preserve">Lamport’s 1987 email: exact URL on Lamport’s site (the</w:t>
      </w:r>
      <w:r>
        <w:t xml:space="preserve"> </w:t>
      </w:r>
      <w:r>
        <w:rPr>
          <w:rStyle w:val="VerbatimChar"/>
        </w:rPr>
        <w:t xml:space="preserve">distributed-system.txt</w:t>
      </w:r>
      <w:r>
        <w:t xml:space="preserve"> </w:t>
      </w:r>
      <w:r>
        <w:t xml:space="preserve">path was not confirmed).</w:t>
      </w:r>
    </w:p>
    <w:p>
      <w:pPr>
        <w:numPr>
          <w:ilvl w:val="0"/>
          <w:numId w:val="1805"/>
        </w:numPr>
        <w:pStyle w:val="Compact"/>
      </w:pPr>
      <w:r>
        <w:t xml:space="preserve">Gill et al. 2011 figures (5.2 device and 40.8 link failures per day; ~5-minute median repair; ~43% redundancy effectiveness) and Dean 2009</w:t>
      </w:r>
      <w:r>
        <w:t xml:space="preserve"> </w:t>
      </w:r>
      <w:r>
        <w:t xml:space="preserve">“</w:t>
      </w:r>
      <w:r>
        <w:t xml:space="preserve">first year of a cluster</w:t>
      </w:r>
      <w:r>
        <w:t xml:space="preserve">”</w:t>
      </w:r>
      <w:r>
        <w:t xml:space="preserve"> </w:t>
      </w:r>
      <w:r>
        <w:t xml:space="preserve">counts, quoted from secondary summaries.</w:t>
      </w:r>
    </w:p>
    <w:p>
      <w:pPr>
        <w:numPr>
          <w:ilvl w:val="0"/>
          <w:numId w:val="1805"/>
        </w:numPr>
        <w:pStyle w:val="Compact"/>
      </w:pPr>
      <w:r>
        <w:t xml:space="preserve">Alquraan et al. 2018: exact share of catastrophic failures and of partial-partition failures.</w:t>
      </w:r>
    </w:p>
    <w:p>
      <w:pPr>
        <w:numPr>
          <w:ilvl w:val="0"/>
          <w:numId w:val="1805"/>
        </w:numPr>
        <w:pStyle w:val="Compact"/>
      </w:pPr>
      <w:r>
        <w:t xml:space="preserve">Attribution of the first four fallacies to Joy and Lyon, and the year Gosling added the eighth.</w:t>
      </w:r>
    </w:p>
    <w:p>
      <w:pPr>
        <w:numPr>
          <w:ilvl w:val="0"/>
          <w:numId w:val="1805"/>
        </w:numPr>
        <w:pStyle w:val="Compact"/>
      </w:pPr>
      <w:r>
        <w:t xml:space="preserve">CockroachDB default maximum offset (500 ms) and self-termination rule as of the current release.</w:t>
      </w:r>
    </w:p>
    <w:p>
      <w:pPr>
        <w:numPr>
          <w:ilvl w:val="0"/>
          <w:numId w:val="1805"/>
        </w:numPr>
        <w:pStyle w:val="Compact"/>
      </w:pPr>
      <w:r>
        <w:t xml:space="preserve">Meta PTP blog authors/date; AWS microsecond time announcement date; Riak 2.0 DVV adoption; Gunawi et al. case count.</w:t>
      </w:r>
    </w:p>
    <w:p>
      <w:pPr>
        <w:numPr>
          <w:ilvl w:val="0"/>
          <w:numId w:val="1805"/>
        </w:numPr>
        <w:pStyle w:val="Compact"/>
      </w:pPr>
      <w:r>
        <w:t xml:space="preserve">URLs for the AWS 2008 and 2011 post-mortems.</w:t>
      </w:r>
    </w:p>
    <w:bookmarkEnd w:id="2771"/>
    <w:bookmarkEnd w:id="2772"/>
    <w:bookmarkStart w:id="2881" w:name="chapter-25-consistency-and-availability"/>
    <w:p>
      <w:pPr>
        <w:pStyle w:val="Heading1"/>
      </w:pPr>
      <w:r>
        <w:t xml:space="preserve">Chapter 25 — Consistency and Availability</w:t>
      </w:r>
    </w:p>
    <w:p>
      <w:pPr>
        <w:pStyle w:val="BlockText"/>
      </w:pPr>
      <w:r>
        <w:rPr>
          <w:bCs/>
          <w:b/>
        </w:rPr>
        <w:t xml:space="preserve">Level:</w:t>
      </w:r>
      <w:r>
        <w:t xml:space="preserve"> </w:t>
      </w:r>
      <w:r>
        <w:t xml:space="preserve">3 ·</w:t>
      </w:r>
      <w:r>
        <w:t xml:space="preserve"> </w:t>
      </w:r>
      <w:r>
        <w:rPr>
          <w:bCs/>
          <w:b/>
        </w:rPr>
        <w:t xml:space="preserve">Track:</w:t>
      </w:r>
      <w:r>
        <w:t xml:space="preserve"> </w:t>
      </w:r>
      <w:r>
        <w:t xml:space="preserve">A (Traditional) ·</w:t>
      </w:r>
      <w:r>
        <w:t xml:space="preserve"> </w:t>
      </w:r>
      <w:r>
        <w:rPr>
          <w:bCs/>
          <w:b/>
        </w:rPr>
        <w:t xml:space="preserve">Estimated reading time:</w:t>
      </w:r>
      <w:r>
        <w:t xml:space="preserve"> </w:t>
      </w:r>
      <w:r>
        <w:t xml:space="preserve">6 h</w:t>
      </w:r>
    </w:p>
    <w:p>
      <w:pPr>
        <w:pStyle w:val="FirstParagraph"/>
      </w:pPr>
      <w:r>
        <w:t xml:space="preserve">A customer changes her shipping address and presses</w:t>
      </w:r>
      <w:r>
        <w:t xml:space="preserve"> </w:t>
      </w:r>
      <w:r>
        <w:t xml:space="preserve">“</w:t>
      </w:r>
      <w:r>
        <w:t xml:space="preserve">Place order</w:t>
      </w:r>
      <w:r>
        <w:t xml:space="preserve">”</w:t>
      </w:r>
      <w:r>
        <w:t xml:space="preserve">. The order service reads the address from a replica in another zone that has not yet received the change, and the parcel goes to her old flat. Nothing crashed, no disk failed and every component did exactly what its documentation promised. The bug is a mismatch between the guarantee the code assumed (</w:t>
      </w:r>
      <w:r>
        <w:t xml:space="preserve">“</w:t>
      </w:r>
      <w:r>
        <w:t xml:space="preserve">I will read what was just written</w:t>
      </w:r>
      <w:r>
        <w:t xml:space="preserve">”</w:t>
      </w:r>
      <w:r>
        <w:t xml:space="preserve">) and the guarantee the database gave (</w:t>
      </w:r>
      <w:r>
        <w:t xml:space="preserve">“</w:t>
      </w:r>
      <w:r>
        <w:t xml:space="preserve">replicas converge eventually</w:t>
      </w:r>
      <w:r>
        <w:t xml:space="preserve">”</w:t>
      </w:r>
      <w:r>
        <w:t xml:space="preserve">).</w:t>
      </w:r>
    </w:p>
    <w:p>
      <w:pPr>
        <w:pStyle w:val="BodyText"/>
      </w:pPr>
      <w:r>
        <w:t xml:space="preserve">This chapter gives you a precise vocabulary for those guarantees. A</w:t>
      </w:r>
      <w:r>
        <w:t xml:space="preserve"> </w:t>
      </w:r>
      <w:r>
        <w:rPr>
          <w:bCs/>
          <w:b/>
        </w:rPr>
        <w:t xml:space="preserve">consistency model</w:t>
      </w:r>
      <w:r>
        <w:t xml:space="preserve"> </w:t>
      </w:r>
      <w:r>
        <w:t xml:space="preserve">is a contract between a data store and its clients: it says which values a read is allowed to return, given the writes that happened before or alongside it. Strong models make replicated data behave like a single copy and cost latency and availability. Weak models are fast and always answer, but let clients observe anomalies. Between the two lie sequential consistency, causal consistency and the session guarantees, each of which forbids a specific set of anomalies at a specific price.</w:t>
      </w:r>
    </w:p>
    <w:p>
      <w:pPr>
        <w:pStyle w:val="BodyText"/>
      </w:pPr>
      <w:r>
        <w:t xml:space="preserve">Transaction isolation (§11.13) is a different axis; §25.3.1 and §25.7.5 keep the two apart. Three runnable Python programs accompany the chapter: a brute-force linearizability checker, a version-vector implementation of session guarantees, and a Monte Carlo simulation of probabilistically bounded staleness.</w:t>
      </w:r>
    </w:p>
    <w:bookmarkStart w:id="2773" w:name="learning-objectives-24"/>
    <w:p>
      <w:pPr>
        <w:pStyle w:val="Heading2"/>
      </w:pPr>
      <w:r>
        <w:t xml:space="preserve">25.1 Learning objectives</w:t>
      </w:r>
    </w:p>
    <w:p>
      <w:pPr>
        <w:pStyle w:val="FirstParagraph"/>
      </w:pPr>
      <w:r>
        <w:t xml:space="preserve">After this chapter you should be able to:</w:t>
      </w:r>
    </w:p>
    <w:p>
      <w:pPr>
        <w:numPr>
          <w:ilvl w:val="0"/>
          <w:numId w:val="1806"/>
        </w:numPr>
        <w:pStyle w:val="Compact"/>
      </w:pPr>
      <w:r>
        <w:t xml:space="preserve">Define linearizability through real-time order and a legal sequential history, locate linearization points, and decide by hand or with a checker whether a register history is linearizable.</w:t>
      </w:r>
    </w:p>
    <w:p>
      <w:pPr>
        <w:numPr>
          <w:ilvl w:val="0"/>
          <w:numId w:val="1806"/>
        </w:numPr>
        <w:pStyle w:val="Compact"/>
      </w:pPr>
      <w:r>
        <w:t xml:space="preserve">Explain why a linearizable read or write costs at least one round trip to a quorum, and compute that latency for a given replica placement.</w:t>
      </w:r>
    </w:p>
    <w:p>
      <w:pPr>
        <w:numPr>
          <w:ilvl w:val="0"/>
          <w:numId w:val="1806"/>
        </w:numPr>
        <w:pStyle w:val="Compact"/>
      </w:pPr>
      <w:r>
        <w:t xml:space="preserve">Distinguish sequential consistency from linearizability with a concrete history, and explain why sequential consistency is not compositional.</w:t>
      </w:r>
    </w:p>
    <w:p>
      <w:pPr>
        <w:numPr>
          <w:ilvl w:val="0"/>
          <w:numId w:val="1806"/>
        </w:numPr>
        <w:pStyle w:val="Compact"/>
      </w:pPr>
      <w:r>
        <w:t xml:space="preserve">Define causal consistency, give an anomaly it prevents, and describe how COPS tracks and checks dependencies.</w:t>
      </w:r>
    </w:p>
    <w:p>
      <w:pPr>
        <w:numPr>
          <w:ilvl w:val="0"/>
          <w:numId w:val="1806"/>
        </w:numPr>
        <w:pStyle w:val="Compact"/>
      </w:pPr>
      <w:r>
        <w:t xml:space="preserve">State the four session guarantees of Terry et al., draw the anomaly each prevents and implement each with sticky routing, version tokens or log positions.</w:t>
      </w:r>
    </w:p>
    <w:p>
      <w:pPr>
        <w:numPr>
          <w:ilvl w:val="0"/>
          <w:numId w:val="1806"/>
        </w:numPr>
        <w:pStyle w:val="Compact"/>
      </w:pPr>
      <w:r>
        <w:t xml:space="preserve">Quantify eventual consistency with probabilistically bounded staleness (PBS) using a closed form and a simulation.</w:t>
      </w:r>
    </w:p>
    <w:p>
      <w:pPr>
        <w:numPr>
          <w:ilvl w:val="0"/>
          <w:numId w:val="1806"/>
        </w:numPr>
        <w:pStyle w:val="Compact"/>
      </w:pPr>
      <w:r>
        <w:t xml:space="preserve">State the CAP theorem as Gilbert and Lynch proved it, define its terms formally, and refute</w:t>
      </w:r>
      <w:r>
        <w:t xml:space="preserve"> </w:t>
      </w:r>
      <w:r>
        <w:t xml:space="preserve">“</w:t>
      </w:r>
      <w:r>
        <w:t xml:space="preserve">pick two</w:t>
      </w:r>
      <w:r>
        <w:t xml:space="preserve">”</w:t>
      </w:r>
      <w:r>
        <w:t xml:space="preserve"> </w:t>
      </w:r>
      <w:r>
        <w:t xml:space="preserve">and</w:t>
      </w:r>
      <w:r>
        <w:t xml:space="preserve"> </w:t>
      </w:r>
      <w:r>
        <w:t xml:space="preserve">“</w:t>
      </w:r>
      <w:r>
        <w:t xml:space="preserve">CA system</w:t>
      </w:r>
      <w:r>
        <w:t xml:space="preserve">”</w:t>
      </w:r>
      <w:r>
        <w:t xml:space="preserve"> </w:t>
      </w:r>
      <w:r>
        <w:t xml:space="preserve">claims.</w:t>
      </w:r>
    </w:p>
    <w:p>
      <w:pPr>
        <w:numPr>
          <w:ilvl w:val="0"/>
          <w:numId w:val="1806"/>
        </w:numPr>
        <w:pStyle w:val="Compact"/>
      </w:pPr>
      <w:r>
        <w:t xml:space="preserve">Classify real systems with PACELC, including configuration caveats, and choose consistency settings in Cassandra, DynamoDB, Cosmos DB, MongoDB and Spanner.</w:t>
      </w:r>
    </w:p>
    <w:p>
      <w:pPr>
        <w:numPr>
          <w:ilvl w:val="0"/>
          <w:numId w:val="1806"/>
        </w:numPr>
        <w:pStyle w:val="Compact"/>
      </w:pPr>
      <w:r>
        <w:t xml:space="preserve">Describe how Jepsen records histories, injects faults and checks them with Knossos-style and Elle-style checkers, and summarize published findings accurately.</w:t>
      </w:r>
    </w:p>
    <w:bookmarkEnd w:id="2773"/>
    <w:bookmarkStart w:id="2774" w:name="prerequisites-24"/>
    <w:p>
      <w:pPr>
        <w:pStyle w:val="Heading2"/>
      </w:pPr>
      <w:r>
        <w:t xml:space="preserve">25.2 Prerequisites</w:t>
      </w:r>
    </w:p>
    <w:p>
      <w:pPr>
        <w:numPr>
          <w:ilvl w:val="0"/>
          <w:numId w:val="1807"/>
        </w:numPr>
        <w:pStyle w:val="Compact"/>
      </w:pPr>
      <w:r>
        <w:t xml:space="preserve">Replication, replication lag and the two lag anomalies — §14.3, §14.4 (this chapter formalizes them).</w:t>
      </w:r>
    </w:p>
    <w:p>
      <w:pPr>
        <w:numPr>
          <w:ilvl w:val="0"/>
          <w:numId w:val="1807"/>
        </w:numPr>
        <w:pStyle w:val="Compact"/>
      </w:pPr>
      <w:r>
        <w:t xml:space="preserve">Transactions, isolation levels and anomalies — §11.12, §11.13 (to keep isolation and consistency separate).</w:t>
      </w:r>
    </w:p>
    <w:p>
      <w:pPr>
        <w:numPr>
          <w:ilvl w:val="0"/>
          <w:numId w:val="1807"/>
        </w:numPr>
        <w:pStyle w:val="Compact"/>
      </w:pPr>
      <w:r>
        <w:t xml:space="preserve">System models, network partitions and partial failures — §24.6–§24.8 (the CAP proof is a statement about an asynchronous network that can lose messages).</w:t>
      </w:r>
    </w:p>
    <w:p>
      <w:pPr>
        <w:numPr>
          <w:ilvl w:val="0"/>
          <w:numId w:val="1807"/>
        </w:numPr>
        <w:pStyle w:val="Compact"/>
      </w:pPr>
      <w:r>
        <w:t xml:space="preserve">Lamport clocks, the happens-before relation and vector clocks — §24.10, §24.11 (causal consistency is defined by happens-before; session guarantees are implemented with version vectors).</w:t>
      </w:r>
    </w:p>
    <w:p>
      <w:pPr>
        <w:numPr>
          <w:ilvl w:val="0"/>
          <w:numId w:val="1807"/>
        </w:numPr>
        <w:pStyle w:val="Compact"/>
      </w:pPr>
      <w:r>
        <w:t xml:space="preserve">Clock skew and NTP — §24.9 (why</w:t>
      </w:r>
      <w:r>
        <w:t xml:space="preserve"> </w:t>
      </w:r>
      <w:r>
        <w:t xml:space="preserve">“</w:t>
      </w:r>
      <w:r>
        <w:t xml:space="preserve">latest</w:t>
      </w:r>
      <w:r>
        <w:t xml:space="preserve">”</w:t>
      </w:r>
      <w:r>
        <w:t xml:space="preserve"> </w:t>
      </w:r>
      <w:r>
        <w:t xml:space="preserve">cannot simply be decided by wall-clock timestamps).</w:t>
      </w:r>
    </w:p>
    <w:p>
      <w:pPr>
        <w:numPr>
          <w:ilvl w:val="0"/>
          <w:numId w:val="1807"/>
        </w:numPr>
        <w:pStyle w:val="Compact"/>
      </w:pPr>
      <w:r>
        <w:t xml:space="preserve">Percentiles and latency distributions — §4.8 (PBS is a statement about latency distributions).</w:t>
      </w:r>
    </w:p>
    <w:bookmarkEnd w:id="2774"/>
    <w:bookmarkStart w:id="2796" w:name="linearizability"/>
    <w:p>
      <w:pPr>
        <w:pStyle w:val="Heading2"/>
      </w:pPr>
      <w:r>
        <w:t xml:space="preserve">25.3 Linearizability</w:t>
      </w:r>
    </w:p>
    <w:bookmarkStart w:id="2775" w:name="X9fdcbab30ce69230f7975add90959068de61e0a"/>
    <w:p>
      <w:pPr>
        <w:pStyle w:val="Heading3"/>
      </w:pPr>
      <w:r>
        <w:t xml:space="preserve">25.3.1 Histories, objects and two kinds of guarantee</w:t>
      </w:r>
    </w:p>
    <w:p>
      <w:pPr>
        <w:pStyle w:val="FirstParagraph"/>
      </w:pPr>
      <w:r>
        <w:t xml:space="preserve">Before defining any model you need the material every model is stated over: a</w:t>
      </w:r>
      <w:r>
        <w:t xml:space="preserve"> </w:t>
      </w:r>
      <w:r>
        <w:rPr>
          <w:bCs/>
          <w:b/>
        </w:rPr>
        <w:t xml:space="preserve">history</w:t>
      </w:r>
      <w:r>
        <w:t xml:space="preserve">.</w:t>
      </w:r>
    </w:p>
    <w:p>
      <w:pPr>
        <w:pStyle w:val="CalloutDefinition"/>
      </w:pPr>
      <w:r>
        <w:rPr>
          <w:bCs/>
          <w:b/>
        </w:rPr>
        <w:t xml:space="preserve">DEFINITION</w:t>
      </w:r>
    </w:p>
    <w:p>
      <w:pPr>
        <w:pStyle w:val="CalloutDefinition"/>
      </w:pPr>
      <w:r>
        <w:rPr>
          <w:bCs/>
          <w:b/>
        </w:rPr>
        <w:t xml:space="preserve">Definition — Operation, history.</w:t>
      </w:r>
      <w:r>
        <w:t xml:space="preserve"> </w:t>
      </w:r>
      <w:r>
        <w:t xml:space="preserve">An</w:t>
      </w:r>
      <w:r>
        <w:t xml:space="preserve"> </w:t>
      </w:r>
      <w:r>
        <w:rPr>
          <w:bCs/>
          <w:b/>
        </w:rPr>
        <w:t xml:space="preserve">operation</w:t>
      </w:r>
      <w:r>
        <w:t xml:space="preserve"> </w:t>
      </w:r>
      <w:r>
        <w:t xml:space="preserve">is one call by a client on a shared object, such as</w:t>
      </w:r>
      <w:r>
        <w:t xml:space="preserve"> </w:t>
      </w:r>
      <w:r>
        <w:rPr>
          <w:rStyle w:val="VerbatimChar"/>
        </w:rPr>
        <w:t xml:space="preserve">write(x, 1)</w:t>
      </w:r>
      <w:r>
        <w:t xml:space="preserve"> </w:t>
      </w:r>
      <w:r>
        <w:t xml:space="preserve">or</w:t>
      </w:r>
      <w:r>
        <w:t xml:space="preserve"> </w:t>
      </w:r>
      <w:r>
        <w:rPr>
          <w:rStyle w:val="VerbatimChar"/>
        </w:rPr>
        <w:t xml:space="preserve">read(x)</w:t>
      </w:r>
      <w:r>
        <w:t xml:space="preserve">. It has an</w:t>
      </w:r>
      <w:r>
        <w:t xml:space="preserve"> </w:t>
      </w:r>
      <w:r>
        <w:rPr>
          <w:bCs/>
          <w:b/>
        </w:rPr>
        <w:t xml:space="preserve">invocation</w:t>
      </w:r>
      <w:r>
        <w:t xml:space="preserve"> </w:t>
      </w:r>
      <w:r>
        <w:t xml:space="preserve">event (the client sends the request, at real time</w:t>
      </w:r>
      <w:r>
        <w:t xml:space="preserve"> </w:t>
      </w:r>
      <m:oMath>
        <m:sSub>
          <m:e>
            <m:r>
              <m:t>t</m:t>
            </m:r>
          </m:e>
          <m:sub>
            <m:r>
              <m:rPr>
                <m:nor/>
                <m:sty m:val="p"/>
              </m:rPr>
              <m:t>inv</m:t>
            </m:r>
          </m:sub>
        </m:sSub>
      </m:oMath>
      <w:r>
        <w:t xml:space="preserve">) and, if the client hears back, a</w:t>
      </w:r>
      <w:r>
        <w:t xml:space="preserve"> </w:t>
      </w:r>
      <w:r>
        <w:rPr>
          <w:bCs/>
          <w:b/>
        </w:rPr>
        <w:t xml:space="preserve">response</w:t>
      </w:r>
      <w:r>
        <w:t xml:space="preserve"> </w:t>
      </w:r>
      <w:r>
        <w:t xml:space="preserve">event (at</w:t>
      </w:r>
      <w:r>
        <w:t xml:space="preserve"> </w:t>
      </w:r>
      <m:oMath>
        <m:sSub>
          <m:e>
            <m:r>
              <m:t>t</m:t>
            </m:r>
          </m:e>
          <m:sub>
            <m:r>
              <m:rPr>
                <m:nor/>
                <m:sty m:val="p"/>
              </m:rPr>
              <m:t>resp</m:t>
            </m:r>
          </m:sub>
        </m:sSub>
      </m:oMath>
      <w:r>
        <w:t xml:space="preserve">, carrying the return value). A</w:t>
      </w:r>
      <w:r>
        <w:t xml:space="preserve"> </w:t>
      </w:r>
      <w:r>
        <w:rPr>
          <w:bCs/>
          <w:b/>
        </w:rPr>
        <w:t xml:space="preserve">history</w:t>
      </w:r>
      <w:r>
        <w:t xml:space="preserve"> </w:t>
      </w:r>
      <w:r>
        <w:t xml:space="preserve">is the sequence of invocation and response events observed in one execution. An operation without a response is</w:t>
      </w:r>
      <w:r>
        <w:t xml:space="preserve"> </w:t>
      </w:r>
      <w:r>
        <w:rPr>
          <w:bCs/>
          <w:b/>
        </w:rPr>
        <w:t xml:space="preserve">pending</w:t>
      </w:r>
      <w:r>
        <w:t xml:space="preserve">: it may or may not have taken effect.</w:t>
      </w:r>
    </w:p>
    <w:p>
      <w:pPr>
        <w:pStyle w:val="BodyText"/>
      </w:pPr>
      <w:r>
        <w:t xml:space="preserve">Two operations are</w:t>
      </w:r>
      <w:r>
        <w:t xml:space="preserve"> </w:t>
      </w:r>
      <w:r>
        <w:rPr>
          <w:bCs/>
          <w:b/>
        </w:rPr>
        <w:t xml:space="preserve">concurrent</w:t>
      </w:r>
      <w:r>
        <w:t xml:space="preserve"> </w:t>
      </w:r>
      <w:r>
        <w:t xml:space="preserve">if their intervals</w:t>
      </w:r>
      <w:r>
        <w:t xml:space="preserve"> </w:t>
      </w:r>
      <m:oMath>
        <m:d>
          <m:dPr>
            <m:begChr m:val="["/>
            <m:endChr m:val="]"/>
            <m:sepChr m:val=""/>
            <m:grow/>
          </m:dPr>
          <m:e>
            <m:sSub>
              <m:e>
                <m:r>
                  <m:t>t</m:t>
                </m:r>
              </m:e>
              <m:sub>
                <m:r>
                  <m:rPr>
                    <m:nor/>
                    <m:sty m:val="p"/>
                  </m:rPr>
                  <m:t>inv</m:t>
                </m:r>
              </m:sub>
            </m:sSub>
            <m:r>
              <m:rPr>
                <m:sty m:val="p"/>
              </m:rPr>
              <m:t>,</m:t>
            </m:r>
            <m:sSub>
              <m:e>
                <m:r>
                  <m:t>t</m:t>
                </m:r>
              </m:e>
              <m:sub>
                <m:r>
                  <m:rPr>
                    <m:nor/>
                    <m:sty m:val="p"/>
                  </m:rPr>
                  <m:t>resp</m:t>
                </m:r>
              </m:sub>
            </m:sSub>
          </m:e>
        </m:d>
      </m:oMath>
      <w:r>
        <w:t xml:space="preserve"> </w:t>
      </w:r>
      <w:r>
        <w:t xml:space="preserve">overlap. If operation</w:t>
      </w:r>
      <w:r>
        <w:t xml:space="preserve"> </w:t>
      </w:r>
      <m:oMath>
        <m:r>
          <m:t>a</m:t>
        </m:r>
      </m:oMath>
      <w:r>
        <w:t xml:space="preserve"> </w:t>
      </w:r>
      <w:r>
        <w:t xml:space="preserve">responds before operation</w:t>
      </w:r>
      <w:r>
        <w:t xml:space="preserve"> </w:t>
      </w:r>
      <m:oMath>
        <m:r>
          <m:t>b</m:t>
        </m:r>
      </m:oMath>
      <w:r>
        <w:t xml:space="preserve"> </w:t>
      </w:r>
      <w:r>
        <w:t xml:space="preserve">is invoked (</w:t>
      </w:r>
      <m:oMath>
        <m:r>
          <m:t>a</m:t>
        </m:r>
        <m:r>
          <m:rPr>
            <m:sty m:val="p"/>
          </m:rPr>
          <m:t>.</m:t>
        </m:r>
        <m:sSub>
          <m:e>
            <m:r>
              <m:t>t</m:t>
            </m:r>
          </m:e>
          <m:sub>
            <m:r>
              <m:rPr>
                <m:nor/>
                <m:sty m:val="p"/>
              </m:rPr>
              <m:t>resp</m:t>
            </m:r>
          </m:sub>
        </m:sSub>
        <m:r>
          <m:rPr>
            <m:sty m:val="p"/>
          </m:rPr>
          <m:t>&lt;</m:t>
        </m:r>
        <m:r>
          <m:t>b</m:t>
        </m:r>
        <m:r>
          <m:rPr>
            <m:sty m:val="p"/>
          </m:rPr>
          <m:t>.</m:t>
        </m:r>
        <m:sSub>
          <m:e>
            <m:r>
              <m:t>t</m:t>
            </m:r>
          </m:e>
          <m:sub>
            <m:r>
              <m:rPr>
                <m:nor/>
                <m:sty m:val="p"/>
              </m:rPr>
              <m:t>inv</m:t>
            </m:r>
          </m:sub>
        </m:sSub>
      </m:oMath>
      <w:r>
        <w:t xml:space="preserve">), then</w:t>
      </w:r>
      <w:r>
        <w:t xml:space="preserve"> </w:t>
      </w:r>
      <m:oMath>
        <m:r>
          <m:t>a</m:t>
        </m:r>
      </m:oMath>
      <w:r>
        <w:t xml:space="preserve"> </w:t>
      </w:r>
      <w:r>
        <w:rPr>
          <w:bCs/>
          <w:b/>
        </w:rPr>
        <w:t xml:space="preserve">precedes</w:t>
      </w:r>
      <w:r>
        <w:t xml:space="preserve"> </w:t>
      </w:r>
      <m:oMath>
        <m:r>
          <m:t>b</m:t>
        </m:r>
      </m:oMath>
      <w:r>
        <w:t xml:space="preserve"> </w:t>
      </w:r>
      <w:r>
        <w:t xml:space="preserve">in</w:t>
      </w:r>
      <w:r>
        <w:t xml:space="preserve"> </w:t>
      </w:r>
      <w:r>
        <w:rPr>
          <w:bCs/>
          <w:b/>
        </w:rPr>
        <w:t xml:space="preserve">real-time order</w:t>
      </w:r>
      <w:r>
        <w:t xml:space="preserve">. Notice that real time is the time of an imaginary global observer; no node needs to know it, but the definitions use it.</w:t>
      </w:r>
    </w:p>
    <w:p>
      <w:pPr>
        <w:pStyle w:val="BodyText"/>
      </w:pPr>
      <w:r>
        <w:t xml:space="preserve">A consistency model is a set of allowed histories; a store</w:t>
      </w:r>
      <w:r>
        <w:t xml:space="preserve"> </w:t>
      </w:r>
      <w:r>
        <w:t xml:space="preserve">“</w:t>
      </w:r>
      <w:r>
        <w:t xml:space="preserve">provides</w:t>
      </w:r>
      <w:r>
        <w:t xml:space="preserve">”</w:t>
      </w:r>
      <w:r>
        <w:t xml:space="preserve"> </w:t>
      </w:r>
      <w:r>
        <w:t xml:space="preserve">it if every history it can produce, under every allowed fault, is in the set [Viotti &amp; Vukolić 2016]. This turns vague adjectives (</w:t>
      </w:r>
      <w:r>
        <w:t xml:space="preserve">“</w:t>
      </w:r>
      <w:r>
        <w:t xml:space="preserve">strongly consistent</w:t>
      </w:r>
      <w:r>
        <w:t xml:space="preserve">”</w:t>
      </w:r>
      <w:r>
        <w:t xml:space="preserve">) into a test you can run.</w:t>
      </w:r>
    </w:p>
    <w:p>
      <w:pPr>
        <w:pStyle w:val="BodyText"/>
      </w:pPr>
      <w:r>
        <w:t xml:space="preserve">Models come in two families that are often confused.</w:t>
      </w:r>
    </w:p>
    <w:p>
      <w:pPr>
        <w:pStyle w:val="BodyText"/>
      </w:pPr>
      <w:r>
        <w:rPr>
          <w:bCs/>
          <w:b/>
        </w:rPr>
        <w:t xml:space="preserve">Table 25.1 — Single-object consistency models versus transaction isolation models.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Single-object (non-transactional) consistency</w:t>
            </w:r>
          </w:p>
        </w:tc>
        <w:tc>
          <w:tcPr/>
          <w:p>
            <w:pPr>
              <w:pStyle w:val="Compact"/>
              <w:jc w:val="left"/>
            </w:pPr>
            <w:r>
              <w:t xml:space="preserve">Transaction isolation</w:t>
            </w:r>
          </w:p>
        </w:tc>
      </w:tr>
      <w:tr>
        <w:tc>
          <w:tcPr/>
          <w:p>
            <w:pPr>
              <w:pStyle w:val="Compact"/>
              <w:jc w:val="left"/>
            </w:pPr>
            <w:r>
              <w:t xml:space="preserve">Unit of reasoning</w:t>
            </w:r>
          </w:p>
        </w:tc>
        <w:tc>
          <w:tcPr/>
          <w:p>
            <w:pPr>
              <w:pStyle w:val="Compact"/>
              <w:jc w:val="left"/>
            </w:pPr>
            <w:r>
              <w:t xml:space="preserve">One operation on one object (register, key, queue)</w:t>
            </w:r>
          </w:p>
        </w:tc>
        <w:tc>
          <w:tcPr/>
          <w:p>
            <w:pPr>
              <w:pStyle w:val="Compact"/>
              <w:jc w:val="left"/>
            </w:pPr>
            <w:r>
              <w:t xml:space="preserve">A transaction: a group of operations on many objects</w:t>
            </w:r>
          </w:p>
        </w:tc>
      </w:tr>
      <w:tr>
        <w:tc>
          <w:tcPr/>
          <w:p>
            <w:pPr>
              <w:pStyle w:val="Compact"/>
              <w:jc w:val="left"/>
            </w:pPr>
            <w:r>
              <w:t xml:space="preserve">Question answered</w:t>
            </w:r>
          </w:p>
        </w:tc>
        <w:tc>
          <w:tcPr/>
          <w:p>
            <w:pPr>
              <w:pStyle w:val="Compact"/>
              <w:jc w:val="left"/>
            </w:pPr>
            <w:r>
              <w:t xml:space="preserve">Which value may a read return, given writes by others and real time?</w:t>
            </w:r>
          </w:p>
        </w:tc>
        <w:tc>
          <w:tcPr/>
          <w:p>
            <w:pPr>
              <w:pStyle w:val="Compact"/>
              <w:jc w:val="left"/>
            </w:pPr>
            <w:r>
              <w:t xml:space="preserve">Which interleavings of concurrent transactions are allowed?</w:t>
            </w:r>
          </w:p>
        </w:tc>
      </w:tr>
      <w:tr>
        <w:tc>
          <w:tcPr/>
          <w:p>
            <w:pPr>
              <w:pStyle w:val="Compact"/>
              <w:jc w:val="left"/>
            </w:pPr>
            <w:r>
              <w:t xml:space="preserve">Classic strongest model</w:t>
            </w:r>
          </w:p>
        </w:tc>
        <w:tc>
          <w:tcPr/>
          <w:p>
            <w:pPr>
              <w:pStyle w:val="Compact"/>
              <w:jc w:val="left"/>
            </w:pPr>
            <w:r>
              <w:t xml:space="preserve">Linearizability [Herlihy &amp; Wing 1990]</w:t>
            </w:r>
          </w:p>
        </w:tc>
        <w:tc>
          <w:tcPr/>
          <w:p>
            <w:pPr>
              <w:pStyle w:val="Compact"/>
              <w:jc w:val="left"/>
            </w:pPr>
            <w:r>
              <w:t xml:space="preserve">Serializability [Papadimitriou 1979]</w:t>
            </w:r>
          </w:p>
        </w:tc>
      </w:tr>
      <w:tr>
        <w:tc>
          <w:tcPr/>
          <w:p>
            <w:pPr>
              <w:pStyle w:val="Compact"/>
              <w:jc w:val="left"/>
            </w:pPr>
            <w:r>
              <w:t xml:space="preserve">Weaker models</w:t>
            </w:r>
          </w:p>
        </w:tc>
        <w:tc>
          <w:tcPr/>
          <w:p>
            <w:pPr>
              <w:pStyle w:val="Compact"/>
              <w:jc w:val="left"/>
            </w:pPr>
            <w:r>
              <w:t xml:space="preserve">Sequential, causal, session guarantees, eventual</w:t>
            </w:r>
          </w:p>
        </w:tc>
        <w:tc>
          <w:tcPr/>
          <w:p>
            <w:pPr>
              <w:pStyle w:val="Compact"/>
              <w:jc w:val="left"/>
            </w:pPr>
            <w:r>
              <w:t xml:space="preserve">Snapshot isolation, repeatable read, read committed</w:t>
            </w:r>
          </w:p>
        </w:tc>
      </w:tr>
      <w:tr>
        <w:tc>
          <w:tcPr/>
          <w:p>
            <w:pPr>
              <w:pStyle w:val="Compact"/>
              <w:jc w:val="left"/>
            </w:pPr>
            <w:r>
              <w:t xml:space="preserve">Mentions real time?</w:t>
            </w:r>
          </w:p>
        </w:tc>
        <w:tc>
          <w:tcPr/>
          <w:p>
            <w:pPr>
              <w:pStyle w:val="Compact"/>
              <w:jc w:val="left"/>
            </w:pPr>
            <w:r>
              <w:t xml:space="preserve">Linearizability does; sequential and causal do not</w:t>
            </w:r>
          </w:p>
        </w:tc>
        <w:tc>
          <w:tcPr/>
          <w:p>
            <w:pPr>
              <w:pStyle w:val="Compact"/>
              <w:jc w:val="left"/>
            </w:pPr>
            <w:r>
              <w:t xml:space="preserve">Plain serializability does not; strict serializability does</w:t>
            </w:r>
          </w:p>
        </w:tc>
      </w:tr>
      <w:tr>
        <w:tc>
          <w:tcPr/>
          <w:p>
            <w:pPr>
              <w:pStyle w:val="Compact"/>
              <w:jc w:val="left"/>
            </w:pPr>
            <w:r>
              <w:t xml:space="preserve">Typical anomalies</w:t>
            </w:r>
          </w:p>
        </w:tc>
        <w:tc>
          <w:tcPr/>
          <w:p>
            <w:pPr>
              <w:pStyle w:val="Compact"/>
              <w:jc w:val="left"/>
            </w:pPr>
            <w:r>
              <w:t xml:space="preserve">Stale read, reading back in time, missing own write</w:t>
            </w:r>
          </w:p>
        </w:tc>
        <w:tc>
          <w:tcPr/>
          <w:p>
            <w:pPr>
              <w:pStyle w:val="Compact"/>
              <w:jc w:val="left"/>
            </w:pPr>
            <w:r>
              <w:t xml:space="preserve">Dirty read, lost update, write skew (§11.13)</w:t>
            </w:r>
          </w:p>
        </w:tc>
      </w:tr>
      <w:tr>
        <w:tc>
          <w:tcPr/>
          <w:p>
            <w:pPr>
              <w:pStyle w:val="Compact"/>
              <w:jc w:val="left"/>
            </w:pPr>
            <w:r>
              <w:t xml:space="preserve">Where in this book</w:t>
            </w:r>
          </w:p>
        </w:tc>
        <w:tc>
          <w:tcPr/>
          <w:p>
            <w:pPr>
              <w:pStyle w:val="Compact"/>
              <w:jc w:val="left"/>
            </w:pPr>
            <w:r>
              <w:t xml:space="preserve">This chapter</w:t>
            </w:r>
          </w:p>
        </w:tc>
        <w:tc>
          <w:tcPr/>
          <w:p>
            <w:pPr>
              <w:pStyle w:val="Compact"/>
              <w:jc w:val="left"/>
            </w:pPr>
            <w:r>
              <w:t xml:space="preserve">§11.13–§11.15; distributed transactions Ch 28</w:t>
            </w:r>
          </w:p>
        </w:tc>
      </w:tr>
    </w:tbl>
    <w:p>
      <w:pPr>
        <w:pStyle w:val="BodyText"/>
      </w:pPr>
      <w:r>
        <w:t xml:space="preserve">The two meet at</w:t>
      </w:r>
      <w:r>
        <w:t xml:space="preserve"> </w:t>
      </w:r>
      <w:r>
        <w:rPr>
          <w:bCs/>
          <w:b/>
        </w:rPr>
        <w:t xml:space="preserve">strict serializability</w:t>
      </w:r>
      <w:r>
        <w:t xml:space="preserve">: transactions are serializable</w:t>
      </w:r>
      <w:r>
        <w:t xml:space="preserve"> </w:t>
      </w:r>
      <w:r>
        <w:rPr>
          <w:iCs/>
          <w:i/>
        </w:rPr>
        <w:t xml:space="preserve">and</w:t>
      </w:r>
      <w:r>
        <w:t xml:space="preserve"> </w:t>
      </w:r>
      <w:r>
        <w:t xml:space="preserve">the serial order respects real time. Strict serializability is to transactions what linearizability is to single operations; Spanner calls it</w:t>
      </w:r>
      <w:r>
        <w:t xml:space="preserve"> </w:t>
      </w:r>
      <w:r>
        <w:rPr>
          <w:bCs/>
          <w:b/>
        </w:rPr>
        <w:t xml:space="preserve">external consistency</w:t>
      </w:r>
      <w:r>
        <w:t xml:space="preserve"> </w:t>
      </w:r>
      <w:r>
        <w:t xml:space="preserve">[Corbett et al. 2012]. A database can be serializable without being linearizable (a serializable replica that serves a consistent but stale snapshot), and linearizable without being serializable (a key-value store whose single-key operations are linearizable but which has no multi-key transactions). Keep the two axes apart in interviews and designs:</w:t>
      </w:r>
      <w:r>
        <w:t xml:space="preserve"> </w:t>
      </w:r>
      <w:r>
        <w:t xml:space="preserve">“</w:t>
      </w:r>
      <w:r>
        <w:t xml:space="preserve">Which isolation level?</w:t>
      </w:r>
      <w:r>
        <w:t xml:space="preserve">”</w:t>
      </w:r>
      <w:r>
        <w:t xml:space="preserve"> </w:t>
      </w:r>
      <w:r>
        <w:t xml:space="preserve">and</w:t>
      </w:r>
      <w:r>
        <w:t xml:space="preserve"> </w:t>
      </w:r>
      <w:r>
        <w:t xml:space="preserve">“</w:t>
      </w:r>
      <w:r>
        <w:t xml:space="preserve">Which consistency model?</w:t>
      </w:r>
      <w:r>
        <w:t xml:space="preserve">”</w:t>
      </w:r>
      <w:r>
        <w:t xml:space="preserve"> </w:t>
      </w:r>
      <w:r>
        <w:t xml:space="preserve">are separate questions.</w:t>
      </w:r>
    </w:p>
    <w:bookmarkEnd w:id="2775"/>
    <w:bookmarkStart w:id="2778" w:name="the-definition"/>
    <w:p>
      <w:pPr>
        <w:pStyle w:val="Heading3"/>
      </w:pPr>
      <w:r>
        <w:t xml:space="preserve">25.3.2 The definition</w:t>
      </w:r>
    </w:p>
    <w:p>
      <w:pPr>
        <w:pStyle w:val="CalloutDefinition"/>
      </w:pPr>
      <w:r>
        <w:rPr>
          <w:bCs/>
          <w:b/>
        </w:rPr>
        <w:t xml:space="preserve">DEFINITION</w:t>
      </w:r>
    </w:p>
    <w:p>
      <w:pPr>
        <w:pStyle w:val="CalloutDefinition"/>
      </w:pPr>
      <w:r>
        <w:rPr>
          <w:bCs/>
          <w:b/>
        </w:rPr>
        <w:t xml:space="preserve">Definition — Linearizability.</w:t>
      </w:r>
      <w:r>
        <w:t xml:space="preserve"> </w:t>
      </w:r>
      <w:r>
        <w:t xml:space="preserve">A history is</w:t>
      </w:r>
      <w:r>
        <w:t xml:space="preserve"> </w:t>
      </w:r>
      <w:r>
        <w:rPr>
          <w:bCs/>
          <w:b/>
        </w:rPr>
        <w:t xml:space="preserve">linearizable</w:t>
      </w:r>
      <w:r>
        <w:t xml:space="preserve"> </w:t>
      </w:r>
      <w:r>
        <w:t xml:space="preserve">if each operation can be assigned a single instant, its</w:t>
      </w:r>
      <w:r>
        <w:t xml:space="preserve"> </w:t>
      </w:r>
      <w:r>
        <w:rPr>
          <w:bCs/>
          <w:b/>
        </w:rPr>
        <w:t xml:space="preserve">linearization point</w:t>
      </w:r>
      <w:r>
        <w:t xml:space="preserve">, somewhere between its invocation and its response, such that (1) the operations, ordered by these points, form a</w:t>
      </w:r>
      <w:r>
        <w:t xml:space="preserve"> </w:t>
      </w:r>
      <w:r>
        <w:rPr>
          <w:bCs/>
          <w:b/>
        </w:rPr>
        <w:t xml:space="preserve">legal sequential history</w:t>
      </w:r>
      <w:r>
        <w:t xml:space="preserve"> </w:t>
      </w:r>
      <w:r>
        <w:t xml:space="preserve">of the object (every read returns the value of the most recent preceding write), and (2) therefore whenever</w:t>
      </w:r>
      <w:r>
        <w:t xml:space="preserve"> </w:t>
      </w:r>
      <m:oMath>
        <m:r>
          <m:t>a</m:t>
        </m:r>
      </m:oMath>
      <w:r>
        <w:t xml:space="preserve"> </w:t>
      </w:r>
      <w:r>
        <w:t xml:space="preserve">precedes</w:t>
      </w:r>
      <w:r>
        <w:t xml:space="preserve"> </w:t>
      </w:r>
      <m:oMath>
        <m:r>
          <m:t>b</m:t>
        </m:r>
      </m:oMath>
      <w:r>
        <w:t xml:space="preserve"> </w:t>
      </w:r>
      <w:r>
        <w:t xml:space="preserve">in real time,</w:t>
      </w:r>
      <w:r>
        <w:t xml:space="preserve"> </w:t>
      </w:r>
      <m:oMath>
        <m:r>
          <m:t>a</m:t>
        </m:r>
      </m:oMath>
      <w:r>
        <w:t xml:space="preserve"> </w:t>
      </w:r>
      <w:r>
        <w:t xml:space="preserve">comes before</w:t>
      </w:r>
      <w:r>
        <w:t xml:space="preserve"> </w:t>
      </w:r>
      <m:oMath>
        <m:r>
          <m:t>b</m:t>
        </m:r>
      </m:oMath>
      <w:r>
        <w:t xml:space="preserve"> </w:t>
      </w:r>
      <w:r>
        <w:t xml:space="preserve">in that order. Pending operations may be either included (with a linearization point after their invocation) or dropped. An object is linearizable if all its histories are [Herlihy &amp; Wing 1990].</w:t>
      </w:r>
    </w:p>
    <w:bookmarkStart w:id="2776" w:name="first-principles-explanation-137"/>
    <w:p>
      <w:pPr>
        <w:pStyle w:val="Heading4"/>
      </w:pPr>
      <w:r>
        <w:t xml:space="preserve">First-principles explanation</w:t>
      </w:r>
    </w:p>
    <w:p>
      <w:pPr>
        <w:pStyle w:val="FirstParagraph"/>
      </w:pPr>
      <w:r>
        <w:t xml:space="preserve">Imagine a single notebook on a table in a room. People walk in, write a value or read the latest value, and walk out. Each visit takes a moment, and two visitors can be in the room at once, but the notebook itself is changed at one instant. Anyone who arrives after you left must see your entry or a later one. Linearizability is the promise that a replicated system behaves</w:t>
      </w:r>
      <w:r>
        <w:t xml:space="preserve"> </w:t>
      </w:r>
      <w:r>
        <w:rPr>
          <w:iCs/>
          <w:i/>
        </w:rPr>
        <w:t xml:space="preserve">exactly</w:t>
      </w:r>
      <w:r>
        <w:t xml:space="preserve"> </w:t>
      </w:r>
      <w:r>
        <w:t xml:space="preserve">like that single notebook, even though behind the scenes there are five copies on three continents. Kleppmann calls this the</w:t>
      </w:r>
      <w:r>
        <w:t xml:space="preserve"> </w:t>
      </w:r>
      <w:r>
        <w:rPr>
          <w:bCs/>
          <w:b/>
        </w:rPr>
        <w:t xml:space="preserve">single-copy illusion</w:t>
      </w:r>
      <w:r>
        <w:t xml:space="preserve"> </w:t>
      </w:r>
      <w:r>
        <w:t xml:space="preserve">[Kleppmann 2017].</w:t>
      </w:r>
    </w:p>
    <w:p>
      <w:pPr>
        <w:pStyle w:val="BodyText"/>
      </w:pPr>
      <w:r>
        <w:t xml:space="preserve">Consequently, once any client has read a new value, no client can afterwards read an older one, and</w:t>
      </w:r>
      <w:r>
        <w:t xml:space="preserve"> </w:t>
      </w:r>
      <w:r>
        <w:t xml:space="preserve">“</w:t>
      </w:r>
      <w:r>
        <w:t xml:space="preserve">afterwards</w:t>
      </w:r>
      <w:r>
        <w:t xml:space="preserve">”</w:t>
      </w:r>
      <w:r>
        <w:t xml:space="preserve"> </w:t>
      </w:r>
      <w:r>
        <w:t xml:space="preserve">is real time as observed by anybody, including a colleague you phone to say</w:t>
      </w:r>
      <w:r>
        <w:t xml:space="preserve"> </w:t>
      </w:r>
      <w:r>
        <w:t xml:space="preserve">“</w:t>
      </w:r>
      <w:r>
        <w:t xml:space="preserve">I’ve just paid; can you see it?</w:t>
      </w:r>
      <w:r>
        <w:t xml:space="preserve">”</w:t>
      </w:r>
    </w:p>
    <w:bookmarkEnd w:id="2776"/>
    <w:bookmarkStart w:id="2777" w:name="why-does-this-exist-85"/>
    <w:p>
      <w:pPr>
        <w:pStyle w:val="Heading4"/>
      </w:pPr>
      <w:r>
        <w:t xml:space="preserve">Why does this exist?</w:t>
      </w:r>
    </w:p>
    <w:p>
      <w:pPr>
        <w:pStyle w:val="FirstParagraph"/>
      </w:pPr>
      <w:r>
        <w:t xml:space="preserve">Herlihy and Wing introduced linearizability in 1990 as a correctness condition for concurrent objects (queues, counters, registers) in shared-memory multiprocessors [Herlihy &amp; Wing 1990]. Distributed systems adopted it because many problems require a single, agreed, up-to-date value: a lock or lease must have one holder; a username must be unique; a bank balance must not be spent twice; a leader must be the only leader. In each case a stale read leads to two parties acting on contradictory information. Linearizability is also what makes higher-level protocols easy to reason about: a linearizable compare-and-set register is enough to build leader election and fencing tokens (Chapter 26).</w:t>
      </w:r>
    </w:p>
    <w:p>
      <w:pPr>
        <w:pStyle w:val="BodyText"/>
      </w:pPr>
      <w:r>
        <w:t xml:space="preserve">Herlihy and Wing also proved that linearizability is</w:t>
      </w:r>
      <w:r>
        <w:t xml:space="preserve"> </w:t>
      </w:r>
      <w:r>
        <w:rPr>
          <w:bCs/>
          <w:b/>
        </w:rPr>
        <w:t xml:space="preserve">local</w:t>
      </w:r>
      <w:r>
        <w:t xml:space="preserve"> </w:t>
      </w:r>
      <w:r>
        <w:t xml:space="preserve">(compositional): a history over many objects is linearizable if and only if each object’s sub-history is. Independently linearizable partitions therefore compose into a linearizable store. Section 25.4 shows that sequential consistency lacks this property.</w:t>
      </w:r>
    </w:p>
    <w:bookmarkEnd w:id="2777"/>
    <w:bookmarkEnd w:id="2778"/>
    <w:bookmarkStart w:id="2787" w:name="Xea718f4114c53419e5f9bd8c5768d9ac36073f7"/>
    <w:p>
      <w:pPr>
        <w:pStyle w:val="Heading3"/>
      </w:pPr>
      <w:r>
        <w:t xml:space="preserve">25.3.3 Linearization points and checking a history</w:t>
      </w:r>
    </w:p>
    <w:bookmarkStart w:id="2785" w:name="how-it-works-internally-90"/>
    <w:p>
      <w:pPr>
        <w:pStyle w:val="Heading4"/>
      </w:pPr>
      <w:r>
        <w:t xml:space="preserve">How it works internally</w:t>
      </w:r>
    </w:p>
    <w:p>
      <w:pPr>
        <w:pStyle w:val="FirstParagraph"/>
      </w:pPr>
      <w:r>
        <w:t xml:space="preserve">To check a history by hand:</w:t>
      </w:r>
    </w:p>
    <w:p>
      <w:pPr>
        <w:numPr>
          <w:ilvl w:val="0"/>
          <w:numId w:val="1808"/>
        </w:numPr>
        <w:pStyle w:val="Compact"/>
      </w:pPr>
      <w:r>
        <w:t xml:space="preserve">Draw each operation as an interval on a timeline, one row per client.</w:t>
      </w:r>
    </w:p>
    <w:p>
      <w:pPr>
        <w:numPr>
          <w:ilvl w:val="0"/>
          <w:numId w:val="1808"/>
        </w:numPr>
        <w:pStyle w:val="Compact"/>
      </w:pPr>
      <w:r>
        <w:t xml:space="preserve">For every operation, you may place its linearization point anywhere inside its interval.</w:t>
      </w:r>
    </w:p>
    <w:p>
      <w:pPr>
        <w:numPr>
          <w:ilvl w:val="0"/>
          <w:numId w:val="1808"/>
        </w:numPr>
        <w:pStyle w:val="Compact"/>
      </w:pPr>
      <w:r>
        <w:t xml:space="preserve">Look for a placement in which reads return the latest preceding write. If one exists, the history is linearizable; the placement is a</w:t>
      </w:r>
      <w:r>
        <w:t xml:space="preserve"> </w:t>
      </w:r>
      <w:r>
        <w:rPr>
          <w:bCs/>
          <w:b/>
        </w:rPr>
        <w:t xml:space="preserve">witness</w:t>
      </w:r>
      <w:r>
        <w:t xml:space="preserve">.</w:t>
      </w:r>
    </w:p>
    <w:p>
      <w:pPr>
        <w:numPr>
          <w:ilvl w:val="0"/>
          <w:numId w:val="1808"/>
        </w:numPr>
        <w:pStyle w:val="Compact"/>
      </w:pPr>
      <w:r>
        <w:t xml:space="preserve">If every placement fails, the history is not linearizable.</w:t>
      </w:r>
    </w:p>
    <w:p>
      <w:pPr>
        <w:pStyle w:val="FirstParagraph"/>
      </w:pPr>
      <w:r>
        <w:t xml:space="preserve">The search is exponential in the worst case: Gibbons and Korach showed that checking whether a history of a read/write register is linearizable is NP-complete in general [Gibbons &amp; Korach 1997]. Practical checkers prune aggressively and handle histories of thousands of operations when concurrency is modest (§25.11).</w:t>
      </w:r>
    </w:p>
    <w:p>
      <w:pPr>
        <w:pStyle w:val="BodyText"/>
      </w:pPr>
      <w:r>
        <w:rPr>
          <w:bCs/>
          <w:b/>
        </w:rPr>
        <w:t xml:space="preserve">Figure 25.1 — A linearizable history and its linearization points.</w:t>
      </w:r>
    </w:p>
    <w:p>
      <w:pPr>
        <w:pStyle w:val="BodyText"/>
      </w:pPr>
      <w:r>
        <w:drawing>
          <wp:inline>
            <wp:extent cx="5334000" cy="3149768"/>
            <wp:effectExtent b="0" l="0" r="0" t="0"/>
            <wp:docPr descr="" title="" id="2780" name="Picture"/>
            <a:graphic>
              <a:graphicData uri="http://schemas.openxmlformats.org/drawingml/2006/picture">
                <pic:pic>
                  <pic:nvPicPr>
                    <pic:cNvPr descr="/home/user/System-Design/build/.cache/diagrams/fcb756c92aaa.png" id="2781" name="Picture"/>
                    <pic:cNvPicPr>
                      <a:picLocks noChangeArrowheads="1" noChangeAspect="1"/>
                    </pic:cNvPicPr>
                  </pic:nvPicPr>
                  <pic:blipFill>
                    <a:blip r:embed="rId2779"/>
                    <a:stretch>
                      <a:fillRect/>
                    </a:stretch>
                  </pic:blipFill>
                  <pic:spPr bwMode="auto">
                    <a:xfrm>
                      <a:off x="0" y="0"/>
                      <a:ext cx="5334000" cy="3149768"/>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Time runs downward; solid arrows are invocations and dashed arrows responses, all synchronous request/response calls on one logical register. Client A’s write lasts from t = 0 to t = 10, so it is concurrent with both reads.</w:t>
      </w:r>
      <w:r>
        <w:t xml:space="preserve"> </w:t>
      </w:r>
      <w:r>
        <w:t xml:space="preserve">“</w:t>
      </w:r>
      <w:r>
        <w:t xml:space="preserve">LP</w:t>
      </w:r>
      <w:r>
        <w:t xml:space="preserve">”</w:t>
      </w:r>
      <w:r>
        <w:t xml:space="preserve"> </w:t>
      </w:r>
      <w:r>
        <w:t xml:space="preserve">marks a chosen linearization point. B’s read (t = 1 to 4) can be linearized before the write takes effect, so returning the old value 0 is legal; C’s read (t = 5 to 12) is linearized after the write, so returning 1 is legal. The register behind the arrows may be five replicas, but the history is indistinguishable from one copy. The failure point to watch is a read that starts</w:t>
      </w:r>
      <w:r>
        <w:t xml:space="preserve"> </w:t>
      </w:r>
      <w:r>
        <w:rPr>
          <w:iCs/>
          <w:i/>
        </w:rPr>
        <w:t xml:space="preserve">after</w:t>
      </w:r>
      <w:r>
        <w:t xml:space="preserve"> </w:t>
      </w:r>
      <w:r>
        <w:t xml:space="preserve">a completed write or</w:t>
      </w:r>
      <w:r>
        <w:t xml:space="preserve"> </w:t>
      </w:r>
      <w:r>
        <w:rPr>
          <w:iCs/>
          <w:i/>
        </w:rPr>
        <w:t xml:space="preserve">after</w:t>
      </w:r>
      <w:r>
        <w:t xml:space="preserve"> </w:t>
      </w:r>
      <w:r>
        <w:t xml:space="preserve">another read that saw the new value; Figure 25.2 shows both.</w:t>
      </w:r>
    </w:p>
    <w:p>
      <w:pPr>
        <w:pStyle w:val="BodyText"/>
      </w:pPr>
      <w:r>
        <w:rPr>
          <w:bCs/>
          <w:b/>
        </w:rPr>
        <w:t xml:space="preserve">Figure 25.2 — Two non-linearizable histories: a stale read, and a new-then-old inversion.</w:t>
      </w:r>
    </w:p>
    <w:p>
      <w:pPr>
        <w:pStyle w:val="BodyText"/>
      </w:pPr>
      <w:r>
        <w:drawing>
          <wp:inline>
            <wp:extent cx="5334000" cy="3502678"/>
            <wp:effectExtent b="0" l="0" r="0" t="0"/>
            <wp:docPr descr="" title="" id="2783" name="Picture"/>
            <a:graphic>
              <a:graphicData uri="http://schemas.openxmlformats.org/drawingml/2006/picture">
                <pic:pic>
                  <pic:nvPicPr>
                    <pic:cNvPr descr="/home/user/System-Design/build/.cache/diagrams/65693cf8f687.png" id="2784" name="Picture"/>
                    <pic:cNvPicPr>
                      <a:picLocks noChangeArrowheads="1" noChangeAspect="1"/>
                    </pic:cNvPicPr>
                  </pic:nvPicPr>
                  <pic:blipFill>
                    <a:blip r:embed="rId2782"/>
                    <a:stretch>
                      <a:fillRect/>
                    </a:stretch>
                  </pic:blipFill>
                  <pic:spPr bwMode="auto">
                    <a:xfrm>
                      <a:off x="0" y="0"/>
                      <a:ext cx="5334000" cy="3502678"/>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In H2 the write has</w:t>
      </w:r>
      <w:r>
        <w:t xml:space="preserve"> </w:t>
      </w:r>
      <w:r>
        <w:rPr>
          <w:iCs/>
          <w:i/>
        </w:rPr>
        <w:t xml:space="preserve">completed</w:t>
      </w:r>
      <w:r>
        <w:t xml:space="preserve"> </w:t>
      </w:r>
      <w:r>
        <w:t xml:space="preserve">(acknowledged at t = 5) before B’s read begins at t = 7, so real-time order forces the write before the read; a read returning 0 has no legal placement. This is the classic asynchronous-replica bug: the write was acknowledged by the primary and the read went to a lagging replica. H3 is subtler: the write is still in progress, so either value is individually allowed, but once B has returned 1 (its linearization point is after the write’s), C’s read, which begins after B finished, must also see 1. Returning 0 means the system</w:t>
      </w:r>
      <w:r>
        <w:t xml:space="preserve"> </w:t>
      </w:r>
      <w:r>
        <w:t xml:space="preserve">“</w:t>
      </w:r>
      <w:r>
        <w:t xml:space="preserve">un-wrote</w:t>
      </w:r>
      <w:r>
        <w:t xml:space="preserve">”</w:t>
      </w:r>
      <w:r>
        <w:t xml:space="preserve"> </w:t>
      </w:r>
      <w:r>
        <w:t xml:space="preserve">a value someone already observed. H3 happens in leaderless quorum stores when a write has reached one replica but not a quorum, and two readers contact different replica sets (§25.3.4).</w:t>
      </w:r>
    </w:p>
    <w:bookmarkEnd w:id="2785"/>
    <w:bookmarkStart w:id="2786" w:name="code-example-32"/>
    <w:p>
      <w:pPr>
        <w:pStyle w:val="Heading4"/>
      </w:pPr>
      <w:r>
        <w:t xml:space="preserve">Code example</w:t>
      </w:r>
    </w:p>
    <w:p>
      <w:pPr>
        <w:pStyle w:val="FirstParagraph"/>
      </w:pPr>
      <w:r>
        <w:t xml:space="preserve">The program below is a brute-force checker for histories of read/write registers. It tries to build a legal sequential order one operation at a time, allowing an operation to go next only if no unplaced operation must precede it. With</w:t>
      </w:r>
      <w:r>
        <w:t xml:space="preserve"> </w:t>
      </w:r>
      <w:r>
        <w:rPr>
          <w:rStyle w:val="VerbatimChar"/>
        </w:rPr>
        <w:t xml:space="preserve">real_time=True</w:t>
      </w:r>
      <w:r>
        <w:t xml:space="preserve"> </w:t>
      </w:r>
      <w:r>
        <w:t xml:space="preserve">the precedence rule is real-time order (linearizability); with</w:t>
      </w:r>
      <w:r>
        <w:t xml:space="preserve"> </w:t>
      </w:r>
      <w:r>
        <w:rPr>
          <w:rStyle w:val="VerbatimChar"/>
        </w:rPr>
        <w:t xml:space="preserve">real_time=False</w:t>
      </w:r>
      <w:r>
        <w:t xml:space="preserve"> </w:t>
      </w:r>
      <w:r>
        <w:t xml:space="preserve">it is only each client’s program order (sequential consistency, §25.4). Memoizing on the set of placed operations and the register state is the core idea of the Wing–Gong–Lowe family of checkers used by Knossos and Porcupine [Wing &amp; Gong 1993; Lowe 2017].</w:t>
      </w:r>
    </w:p>
    <w:p>
      <w:pPr>
        <w:pStyle w:val="SourceCode"/>
      </w:pPr>
      <w:r>
        <w:rPr>
          <w:rStyle w:val="CommentTok"/>
        </w:rPr>
        <w:t xml:space="preserve">"""Brute-force checker: is a history of register operations linearizable,</w:t>
      </w:r>
      <w:r>
        <w:br/>
      </w:r>
      <w:r>
        <w:rPr>
          <w:rStyle w:val="CommentTok"/>
        </w:rPr>
        <w:t xml:space="preserve">or at least sequentially consistent? Each operation is</w:t>
      </w:r>
      <w:r>
        <w:br/>
      </w:r>
      <w:r>
        <w:rPr>
          <w:rStyle w:val="CommentTok"/>
        </w:rPr>
        <w:t xml:space="preserve">    (process, kind, key, value, invoke_time, response_time)</w:t>
      </w:r>
      <w:r>
        <w:br/>
      </w:r>
      <w:r>
        <w:rPr>
          <w:rStyle w:val="CommentTok"/>
        </w:rPr>
        <w:t xml:space="preserve">kind is "w" (write value) or "r" (read that returned value).</w:t>
      </w:r>
      <w:r>
        <w:br/>
      </w:r>
      <w:r>
        <w:rPr>
          <w:rStyle w:val="CommentTok"/>
        </w:rPr>
        <w:t xml:space="preserve">response_time None means the client never heard back (the op may or may not</w:t>
      </w:r>
      <w:r>
        <w:br/>
      </w:r>
      <w:r>
        <w:rPr>
          <w:rStyle w:val="CommentTok"/>
        </w:rPr>
        <w:t xml:space="preserve">have taken effect). All registers start at 0."""</w:t>
      </w:r>
      <w:r>
        <w:br/>
      </w:r>
      <w:r>
        <w:rPr>
          <w:rStyle w:val="ImportTok"/>
        </w:rPr>
        <w:t xml:space="preserve">from</w:t>
      </w:r>
      <w:r>
        <w:rPr>
          <w:rStyle w:val="NormalTok"/>
        </w:rPr>
        <w:t xml:space="preserve"> functools </w:t>
      </w:r>
      <w:r>
        <w:rPr>
          <w:rStyle w:val="ImportTok"/>
        </w:rPr>
        <w:t xml:space="preserve">import</w:t>
      </w:r>
      <w:r>
        <w:rPr>
          <w:rStyle w:val="NormalTok"/>
        </w:rPr>
        <w:t xml:space="preserve"> lru_cache</w:t>
      </w:r>
      <w:r>
        <w:br/>
      </w:r>
      <w:r>
        <w:br/>
      </w:r>
      <w:r>
        <w:rPr>
          <w:rStyle w:val="NormalTok"/>
        </w:rPr>
        <w:t xml:space="preserve">INF </w:t>
      </w:r>
      <w:r>
        <w:rPr>
          <w:rStyle w:val="OperatorTok"/>
        </w:rPr>
        <w:t xml:space="preserve">=</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w:t>
      </w:r>
      <w:r>
        <w:br/>
      </w:r>
      <w:r>
        <w:br/>
      </w:r>
      <w:r>
        <w:rPr>
          <w:rStyle w:val="KeywordTok"/>
        </w:rPr>
        <w:t xml:space="preserve">def</w:t>
      </w:r>
      <w:r>
        <w:rPr>
          <w:rStyle w:val="NormalTok"/>
        </w:rPr>
        <w:t xml:space="preserve"> check(history, real_time</w:t>
      </w:r>
      <w:r>
        <w:rPr>
          <w:rStyle w:val="OperatorTok"/>
        </w:rPr>
        <w:t xml:space="preserve">=</w:t>
      </w:r>
      <w:r>
        <w:rPr>
          <w:rStyle w:val="VariableTok"/>
        </w:rPr>
        <w:t xml:space="preserve">True</w:t>
      </w:r>
      <w:r>
        <w:rPr>
          <w:rStyle w:val="NormalTok"/>
        </w:rPr>
        <w:t xml:space="preserve">):</w:t>
      </w:r>
      <w:r>
        <w:br/>
      </w:r>
      <w:r>
        <w:rPr>
          <w:rStyle w:val="NormalTok"/>
        </w:rPr>
        <w:t xml:space="preserve">    ops </w:t>
      </w:r>
      <w:r>
        <w:rPr>
          <w:rStyle w:val="OperatorTok"/>
        </w:rPr>
        <w:t xml:space="preserve">=</w:t>
      </w:r>
      <w:r>
        <w:rPr>
          <w:rStyle w:val="NormalTok"/>
        </w:rPr>
        <w:t xml:space="preserve"> [(p, k, key, v, inv, INF </w:t>
      </w:r>
      <w:r>
        <w:rPr>
          <w:rStyle w:val="ControlFlowTok"/>
        </w:rPr>
        <w:t xml:space="preserve">if</w:t>
      </w:r>
      <w:r>
        <w:rPr>
          <w:rStyle w:val="NormalTok"/>
        </w:rPr>
        <w:t xml:space="preserve"> resp </w:t>
      </w:r>
      <w:r>
        <w:rPr>
          <w:rStyle w:val="KeywordTok"/>
        </w:rPr>
        <w:t xml:space="preserve">is</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resp)</w:t>
      </w:r>
      <w:r>
        <w:br/>
      </w:r>
      <w:r>
        <w:rPr>
          <w:rStyle w:val="NormalTok"/>
        </w:rPr>
        <w:t xml:space="preserve">           </w:t>
      </w:r>
      <w:r>
        <w:rPr>
          <w:rStyle w:val="ControlFlowTok"/>
        </w:rPr>
        <w:t xml:space="preserve">for</w:t>
      </w:r>
      <w:r>
        <w:rPr>
          <w:rStyle w:val="NormalTok"/>
        </w:rPr>
        <w:t xml:space="preserve"> p, k, key, v, inv, resp </w:t>
      </w:r>
      <w:r>
        <w:rPr>
          <w:rStyle w:val="KeywordTok"/>
        </w:rPr>
        <w:t xml:space="preserve">in</w:t>
      </w:r>
      <w:r>
        <w:rPr>
          <w:rStyle w:val="NormalTok"/>
        </w:rPr>
        <w:t xml:space="preserve"> history]</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(ops)</w:t>
      </w:r>
      <w:r>
        <w:br/>
      </w:r>
      <w:r>
        <w:rPr>
          <w:rStyle w:val="NormalTok"/>
        </w:rPr>
        <w:t xml:space="preserve">    done </w:t>
      </w:r>
      <w:r>
        <w:rPr>
          <w:rStyle w:val="OperatorTok"/>
        </w:rPr>
        <w:t xml:space="preserve">=</w:t>
      </w:r>
      <w:r>
        <w:rPr>
          <w:rStyle w:val="NormalTok"/>
        </w:rPr>
        <w:t xml:space="preserve"> </w:t>
      </w:r>
      <w:r>
        <w:rPr>
          <w:rStyle w:val="BuiltInTok"/>
        </w:rPr>
        <w:t xml:space="preserve">frozenset</w:t>
      </w:r>
      <w:r>
        <w:rPr>
          <w:rStyle w:val="NormalTok"/>
        </w:rPr>
        <w:t xml:space="preserve">(i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 </w:t>
      </w:r>
      <w:r>
        <w:rPr>
          <w:rStyle w:val="ControlFlowTok"/>
        </w:rPr>
        <w:t xml:space="preserve">if</w:t>
      </w:r>
      <w:r>
        <w:rPr>
          <w:rStyle w:val="NormalTok"/>
        </w:rPr>
        <w:t xml:space="preserve"> ops[i][</w:t>
      </w:r>
      <w:r>
        <w:rPr>
          <w:rStyle w:val="DecValTok"/>
        </w:rPr>
        <w:t xml:space="preserve">5</w:t>
      </w:r>
      <w:r>
        <w:rPr>
          <w:rStyle w:val="NormalTok"/>
        </w:rPr>
        <w:t xml:space="preserve">] </w:t>
      </w:r>
      <w:r>
        <w:rPr>
          <w:rStyle w:val="OperatorTok"/>
        </w:rPr>
        <w:t xml:space="preserve">!=</w:t>
      </w:r>
      <w:r>
        <w:rPr>
          <w:rStyle w:val="NormalTok"/>
        </w:rPr>
        <w:t xml:space="preserve"> INF)</w:t>
      </w:r>
      <w:r>
        <w:br/>
      </w:r>
      <w:r>
        <w:br/>
      </w:r>
      <w:r>
        <w:rPr>
          <w:rStyle w:val="NormalTok"/>
        </w:rPr>
        <w:t xml:space="preserve">    </w:t>
      </w:r>
      <w:r>
        <w:rPr>
          <w:rStyle w:val="KeywordTok"/>
        </w:rPr>
        <w:t xml:space="preserve">def</w:t>
      </w:r>
      <w:r>
        <w:rPr>
          <w:rStyle w:val="NormalTok"/>
        </w:rPr>
        <w:t xml:space="preserve"> must_precede(a, b):</w:t>
      </w:r>
      <w:r>
        <w:br/>
      </w:r>
      <w:r>
        <w:rPr>
          <w:rStyle w:val="NormalTok"/>
        </w:rPr>
        <w:t xml:space="preserve">        </w:t>
      </w:r>
      <w:r>
        <w:rPr>
          <w:rStyle w:val="CommentTok"/>
        </w:rPr>
        <w:t xml:space="preserve">"""True if op a has to be ordered before op b."""</w:t>
      </w:r>
      <w:r>
        <w:br/>
      </w:r>
      <w:r>
        <w:rPr>
          <w:rStyle w:val="NormalTok"/>
        </w:rPr>
        <w:t xml:space="preserve">        </w:t>
      </w:r>
      <w:r>
        <w:rPr>
          <w:rStyle w:val="ControlFlowTok"/>
        </w:rPr>
        <w:t xml:space="preserve">if</w:t>
      </w:r>
      <w:r>
        <w:rPr>
          <w:rStyle w:val="NormalTok"/>
        </w:rPr>
        <w:t xml:space="preserve"> real_time:                       </w:t>
      </w:r>
      <w:r>
        <w:rPr>
          <w:rStyle w:val="CommentTok"/>
        </w:rPr>
        <w:t xml:space="preserve"># linearizability: real-time order</w:t>
      </w:r>
      <w:r>
        <w:br/>
      </w:r>
      <w:r>
        <w:rPr>
          <w:rStyle w:val="NormalTok"/>
        </w:rPr>
        <w:t xml:space="preserve">            </w:t>
      </w:r>
      <w:r>
        <w:rPr>
          <w:rStyle w:val="ControlFlowTok"/>
        </w:rPr>
        <w:t xml:space="preserve">return</w:t>
      </w:r>
      <w:r>
        <w:rPr>
          <w:rStyle w:val="NormalTok"/>
        </w:rPr>
        <w:t xml:space="preserve"> ops[a][</w:t>
      </w:r>
      <w:r>
        <w:rPr>
          <w:rStyle w:val="DecValTok"/>
        </w:rPr>
        <w:t xml:space="preserve">5</w:t>
      </w:r>
      <w:r>
        <w:rPr>
          <w:rStyle w:val="NormalTok"/>
        </w:rPr>
        <w:t xml:space="preserve">] </w:t>
      </w:r>
      <w:r>
        <w:rPr>
          <w:rStyle w:val="OperatorTok"/>
        </w:rPr>
        <w:t xml:space="preserve">&lt;</w:t>
      </w:r>
      <w:r>
        <w:rPr>
          <w:rStyle w:val="NormalTok"/>
        </w:rPr>
        <w:t xml:space="preserve"> ops[b][</w:t>
      </w:r>
      <w:r>
        <w:rPr>
          <w:rStyle w:val="DecValTok"/>
        </w:rPr>
        <w:t xml:space="preserve">4</w:t>
      </w:r>
      <w:r>
        <w:rPr>
          <w:rStyle w:val="NormalTok"/>
        </w:rPr>
        <w:t xml:space="preserve">]</w:t>
      </w:r>
      <w:r>
        <w:br/>
      </w:r>
      <w:r>
        <w:rPr>
          <w:rStyle w:val="NormalTok"/>
        </w:rPr>
        <w:t xml:space="preserve">        </w:t>
      </w:r>
      <w:r>
        <w:rPr>
          <w:rStyle w:val="CommentTok"/>
        </w:rPr>
        <w:t xml:space="preserve"># sequential consistency: only each process's own program order</w:t>
      </w:r>
      <w:r>
        <w:br/>
      </w:r>
      <w:r>
        <w:rPr>
          <w:rStyle w:val="NormalTok"/>
        </w:rPr>
        <w:t xml:space="preserve">        </w:t>
      </w:r>
      <w:r>
        <w:rPr>
          <w:rStyle w:val="ControlFlowTok"/>
        </w:rPr>
        <w:t xml:space="preserve">return</w:t>
      </w:r>
      <w:r>
        <w:rPr>
          <w:rStyle w:val="NormalTok"/>
        </w:rPr>
        <w:t xml:space="preserve"> ops[a][</w:t>
      </w:r>
      <w:r>
        <w:rPr>
          <w:rStyle w:val="DecValTok"/>
        </w:rPr>
        <w:t xml:space="preserve">0</w:t>
      </w:r>
      <w:r>
        <w:rPr>
          <w:rStyle w:val="NormalTok"/>
        </w:rPr>
        <w:t xml:space="preserve">] </w:t>
      </w:r>
      <w:r>
        <w:rPr>
          <w:rStyle w:val="OperatorTok"/>
        </w:rPr>
        <w:t xml:space="preserve">==</w:t>
      </w:r>
      <w:r>
        <w:rPr>
          <w:rStyle w:val="NormalTok"/>
        </w:rPr>
        <w:t xml:space="preserve"> ops[b][</w:t>
      </w:r>
      <w:r>
        <w:rPr>
          <w:rStyle w:val="DecValTok"/>
        </w:rPr>
        <w:t xml:space="preserve">0</w:t>
      </w:r>
      <w:r>
        <w:rPr>
          <w:rStyle w:val="NormalTok"/>
        </w:rPr>
        <w:t xml:space="preserve">] </w:t>
      </w:r>
      <w:r>
        <w:rPr>
          <w:rStyle w:val="KeywordTok"/>
        </w:rPr>
        <w:t xml:space="preserve">and</w:t>
      </w:r>
      <w:r>
        <w:rPr>
          <w:rStyle w:val="NormalTok"/>
        </w:rPr>
        <w:t xml:space="preserve"> ops[a][</w:t>
      </w:r>
      <w:r>
        <w:rPr>
          <w:rStyle w:val="DecValTok"/>
        </w:rPr>
        <w:t xml:space="preserve">4</w:t>
      </w:r>
      <w:r>
        <w:rPr>
          <w:rStyle w:val="NormalTok"/>
        </w:rPr>
        <w:t xml:space="preserve">] </w:t>
      </w:r>
      <w:r>
        <w:rPr>
          <w:rStyle w:val="OperatorTok"/>
        </w:rPr>
        <w:t xml:space="preserve">&lt;</w:t>
      </w:r>
      <w:r>
        <w:rPr>
          <w:rStyle w:val="NormalTok"/>
        </w:rPr>
        <w:t xml:space="preserve"> ops[b][</w:t>
      </w:r>
      <w:r>
        <w:rPr>
          <w:rStyle w:val="DecValTok"/>
        </w:rPr>
        <w:t xml:space="preserve">4</w:t>
      </w:r>
      <w:r>
        <w:rPr>
          <w:rStyle w:val="NormalTok"/>
        </w:rPr>
        <w:t xml:space="preserve">]</w:t>
      </w:r>
      <w:r>
        <w:br/>
      </w:r>
      <w:r>
        <w:br/>
      </w:r>
      <w:r>
        <w:rPr>
          <w:rStyle w:val="NormalTok"/>
        </w:rPr>
        <w:t xml:space="preserve">    </w:t>
      </w:r>
      <w:r>
        <w:rPr>
          <w:rStyle w:val="AttributeTok"/>
        </w:rPr>
        <w:t xml:space="preserve">@lru_cache</w:t>
      </w:r>
      <w:r>
        <w:rPr>
          <w:rStyle w:val="NormalTok"/>
        </w:rPr>
        <w:t xml:space="preserve">(maxsize</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KeywordTok"/>
        </w:rPr>
        <w:t xml:space="preserve">def</w:t>
      </w:r>
      <w:r>
        <w:rPr>
          <w:rStyle w:val="NormalTok"/>
        </w:rPr>
        <w:t xml:space="preserve"> search(placed, state):              </w:t>
      </w:r>
      <w:r>
        <w:rPr>
          <w:rStyle w:val="CommentTok"/>
        </w:rPr>
        <w:t xml:space="preserve"># placed: bitmask; state: sorted (key, value) pairs</w:t>
      </w:r>
      <w:r>
        <w:br/>
      </w:r>
      <w:r>
        <w:rPr>
          <w:rStyle w:val="NormalTok"/>
        </w:rPr>
        <w:t xml:space="preserve">        </w:t>
      </w:r>
      <w:r>
        <w:rPr>
          <w:rStyle w:val="ControlFlowTok"/>
        </w:rPr>
        <w:t xml:space="preserve">if</w:t>
      </w:r>
      <w:r>
        <w:rPr>
          <w:rStyle w:val="NormalTok"/>
        </w:rPr>
        <w:t xml:space="preserve"> </w:t>
      </w:r>
      <w:r>
        <w:rPr>
          <w:rStyle w:val="BuiltInTok"/>
        </w:rPr>
        <w:t xml:space="preserve">all</w:t>
      </w:r>
      <w:r>
        <w:rPr>
          <w:rStyle w:val="NormalTok"/>
        </w:rPr>
        <w:t xml:space="preserve">(placed </w:t>
      </w:r>
      <w:r>
        <w:rPr>
          <w:rStyle w:val="OperatorTok"/>
        </w:rPr>
        <w:t xml:space="preserve">&gt;&gt;</w:t>
      </w:r>
      <w:r>
        <w:rPr>
          <w:rStyle w:val="NormalTok"/>
        </w:rPr>
        <w:t xml:space="preserve"> i </w:t>
      </w:r>
      <w:r>
        <w:rPr>
          <w:rStyle w:val="OperatorTok"/>
        </w:rPr>
        <w:t xml:space="preserve">&amp;</w:t>
      </w:r>
      <w:r>
        <w:rPr>
          <w:rStyle w:val="NormalTok"/>
        </w:rPr>
        <w:t xml:space="preserve"> </w:t>
      </w:r>
      <w:r>
        <w:rPr>
          <w:rStyle w:val="DecValTok"/>
        </w:rPr>
        <w:t xml:space="preserve">1</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done):</w:t>
      </w:r>
      <w:r>
        <w:br/>
      </w:r>
      <w:r>
        <w:rPr>
          <w:rStyle w:val="NormalTok"/>
        </w:rPr>
        <w:t xml:space="preserve">            </w:t>
      </w:r>
      <w:r>
        <w:rPr>
          <w:rStyle w:val="ControlFlowTok"/>
        </w:rPr>
        <w:t xml:space="preserve">return</w:t>
      </w:r>
      <w:r>
        <w:rPr>
          <w:rStyle w:val="NormalTok"/>
        </w:rPr>
        <w:t xml:space="preserve"> ()                       </w:t>
      </w:r>
      <w:r>
        <w:rPr>
          <w:rStyle w:val="CommentTok"/>
        </w:rPr>
        <w:t xml:space="preserve"># every completed op is placed</w:t>
      </w:r>
      <w:r>
        <w:br/>
      </w:r>
      <w:r>
        <w:rPr>
          <w:rStyle w:val="NormalTok"/>
        </w:rPr>
        <w:t xml:space="preserve">        regs </w:t>
      </w:r>
      <w:r>
        <w:rPr>
          <w:rStyle w:val="OperatorTok"/>
        </w:rPr>
        <w:t xml:space="preserve">=</w:t>
      </w:r>
      <w:r>
        <w:rPr>
          <w:rStyle w:val="NormalTok"/>
        </w:rPr>
        <w:t xml:space="preserve"> </w:t>
      </w:r>
      <w:r>
        <w:rPr>
          <w:rStyle w:val="BuiltInTok"/>
        </w:rPr>
        <w:t xml:space="preserve">dict</w:t>
      </w:r>
      <w:r>
        <w:rPr>
          <w:rStyle w:val="NormalTok"/>
        </w:rPr>
        <w:t xml:space="preserve">(state)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w:t>
      </w:r>
      <w:r>
        <w:rPr>
          <w:rStyle w:val="ControlFlowTok"/>
        </w:rPr>
        <w:t xml:space="preserve">if</w:t>
      </w:r>
      <w:r>
        <w:rPr>
          <w:rStyle w:val="NormalTok"/>
        </w:rPr>
        <w:t xml:space="preserve"> placed </w:t>
      </w:r>
      <w:r>
        <w:rPr>
          <w:rStyle w:val="OperatorTok"/>
        </w:rPr>
        <w:t xml:space="preserve">&gt;&gt;</w:t>
      </w:r>
      <w:r>
        <w:rPr>
          <w:rStyle w:val="NormalTok"/>
        </w:rPr>
        <w:t xml:space="preserve"> i </w:t>
      </w:r>
      <w:r>
        <w:rPr>
          <w:rStyle w:val="OperatorTok"/>
        </w:rPr>
        <w:t xml:space="preserve">&amp;</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continue</w:t>
      </w:r>
      <w:r>
        <w:br/>
      </w:r>
      <w:r>
        <w:rPr>
          <w:rStyle w:val="NormalTok"/>
        </w:rPr>
        <w:t xml:space="preserve">            </w:t>
      </w:r>
      <w:r>
        <w:rPr>
          <w:rStyle w:val="CommentTok"/>
        </w:rPr>
        <w:t xml:space="preserve"># i can go next only if no unplaced op must precede it</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w:t>
      </w:r>
      <w:r>
        <w:rPr>
          <w:rStyle w:val="KeywordTok"/>
        </w:rPr>
        <w:t xml:space="preserve">not</w:t>
      </w:r>
      <w:r>
        <w:rPr>
          <w:rStyle w:val="NormalTok"/>
        </w:rPr>
        <w:t xml:space="preserve"> placed </w:t>
      </w:r>
      <w:r>
        <w:rPr>
          <w:rStyle w:val="OperatorTok"/>
        </w:rPr>
        <w:t xml:space="preserve">&gt;&gt;</w:t>
      </w:r>
      <w:r>
        <w:rPr>
          <w:rStyle w:val="NormalTok"/>
        </w:rPr>
        <w:t xml:space="preserve"> j </w:t>
      </w:r>
      <w:r>
        <w:rPr>
          <w:rStyle w:val="OperatorTok"/>
        </w:rPr>
        <w:t xml:space="preserve">&amp;</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j </w:t>
      </w:r>
      <w:r>
        <w:rPr>
          <w:rStyle w:val="OperatorTok"/>
        </w:rPr>
        <w:t xml:space="preserve">!=</w:t>
      </w:r>
      <w:r>
        <w:rPr>
          <w:rStyle w:val="NormalTok"/>
        </w:rPr>
        <w:t xml:space="preserve"> i </w:t>
      </w:r>
      <w:r>
        <w:rPr>
          <w:rStyle w:val="KeywordTok"/>
        </w:rPr>
        <w:t xml:space="preserve">and</w:t>
      </w:r>
      <w:r>
        <w:rPr>
          <w:rStyle w:val="NormalTok"/>
        </w:rPr>
        <w:t xml:space="preserve"> must_precede(j, i)</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w:t>
      </w:r>
      <w:r>
        <w:rPr>
          <w:rStyle w:val="ControlFlowTok"/>
        </w:rPr>
        <w:t xml:space="preserve">continue</w:t>
      </w:r>
      <w:r>
        <w:br/>
      </w:r>
      <w:r>
        <w:rPr>
          <w:rStyle w:val="NormalTok"/>
        </w:rPr>
        <w:t xml:space="preserve">            p, kind, key, v, _, _ </w:t>
      </w:r>
      <w:r>
        <w:rPr>
          <w:rStyle w:val="OperatorTok"/>
        </w:rPr>
        <w:t xml:space="preserve">=</w:t>
      </w:r>
      <w:r>
        <w:rPr>
          <w:rStyle w:val="NormalTok"/>
        </w:rPr>
        <w:t xml:space="preserve"> ops[i]</w:t>
      </w:r>
      <w:r>
        <w:br/>
      </w:r>
      <w:r>
        <w:rPr>
          <w:rStyle w:val="NormalTok"/>
        </w:rPr>
        <w:t xml:space="preserve">            </w:t>
      </w:r>
      <w:r>
        <w:rPr>
          <w:rStyle w:val="ControlFlowTok"/>
        </w:rPr>
        <w:t xml:space="preserve">if</w:t>
      </w:r>
      <w:r>
        <w:rPr>
          <w:rStyle w:val="NormalTok"/>
        </w:rPr>
        <w:t xml:space="preserve"> kind </w:t>
      </w:r>
      <w:r>
        <w:rPr>
          <w:rStyle w:val="OperatorTok"/>
        </w:rPr>
        <w:t xml:space="preserve">==</w:t>
      </w:r>
      <w:r>
        <w:rPr>
          <w:rStyle w:val="NormalTok"/>
        </w:rPr>
        <w:t xml:space="preserve"> </w:t>
      </w:r>
      <w:r>
        <w:rPr>
          <w:rStyle w:val="StringTok"/>
        </w:rPr>
        <w:t xml:space="preserve">"r"</w:t>
      </w:r>
      <w:r>
        <w:rPr>
          <w:rStyle w:val="NormalTok"/>
        </w:rPr>
        <w:t xml:space="preserve"> </w:t>
      </w:r>
      <w:r>
        <w:rPr>
          <w:rStyle w:val="KeywordTok"/>
        </w:rPr>
        <w:t xml:space="preserve">and</w:t>
      </w:r>
      <w:r>
        <w:rPr>
          <w:rStyle w:val="NormalTok"/>
        </w:rPr>
        <w:t xml:space="preserve"> regs.get(key, </w:t>
      </w:r>
      <w:r>
        <w:rPr>
          <w:rStyle w:val="DecValTok"/>
        </w:rPr>
        <w:t xml:space="preserve">0</w:t>
      </w:r>
      <w:r>
        <w:rPr>
          <w:rStyle w:val="NormalTok"/>
        </w:rPr>
        <w:t xml:space="preserve">) </w:t>
      </w:r>
      <w:r>
        <w:rPr>
          <w:rStyle w:val="OperatorTok"/>
        </w:rPr>
        <w:t xml:space="preserve">!=</w:t>
      </w:r>
      <w:r>
        <w:rPr>
          <w:rStyle w:val="NormalTok"/>
        </w:rPr>
        <w:t xml:space="preserve"> v:</w:t>
      </w:r>
      <w:r>
        <w:br/>
      </w:r>
      <w:r>
        <w:rPr>
          <w:rStyle w:val="NormalTok"/>
        </w:rPr>
        <w:t xml:space="preserve">                </w:t>
      </w:r>
      <w:r>
        <w:rPr>
          <w:rStyle w:val="ControlFlowTok"/>
        </w:rPr>
        <w:t xml:space="preserve">continue</w:t>
      </w:r>
      <w:r>
        <w:rPr>
          <w:rStyle w:val="NormalTok"/>
        </w:rPr>
        <w:t xml:space="preserve">                    </w:t>
      </w:r>
      <w:r>
        <w:rPr>
          <w:rStyle w:val="CommentTok"/>
        </w:rPr>
        <w:t xml:space="preserve"># read would return the wrong value</w:t>
      </w:r>
      <w:r>
        <w:br/>
      </w:r>
      <w:r>
        <w:rPr>
          <w:rStyle w:val="NormalTok"/>
        </w:rPr>
        <w:t xml:space="preserve">            new </w:t>
      </w:r>
      <w:r>
        <w:rPr>
          <w:rStyle w:val="OperatorTok"/>
        </w:rPr>
        <w:t xml:space="preserve">=</w:t>
      </w:r>
      <w:r>
        <w:rPr>
          <w:rStyle w:val="NormalTok"/>
        </w:rPr>
        <w:t xml:space="preserve"> </w:t>
      </w:r>
      <w:r>
        <w:rPr>
          <w:rStyle w:val="BuiltInTok"/>
        </w:rPr>
        <w:t xml:space="preserve">dict</w:t>
      </w:r>
      <w:r>
        <w:rPr>
          <w:rStyle w:val="NormalTok"/>
        </w:rPr>
        <w:t xml:space="preserve">(regs)</w:t>
      </w:r>
      <w:r>
        <w:br/>
      </w:r>
      <w:r>
        <w:rPr>
          <w:rStyle w:val="NormalTok"/>
        </w:rPr>
        <w:t xml:space="preserve">            </w:t>
      </w:r>
      <w:r>
        <w:rPr>
          <w:rStyle w:val="ControlFlowTok"/>
        </w:rPr>
        <w:t xml:space="preserve">if</w:t>
      </w:r>
      <w:r>
        <w:rPr>
          <w:rStyle w:val="NormalTok"/>
        </w:rPr>
        <w:t xml:space="preserve"> kind </w:t>
      </w:r>
      <w:r>
        <w:rPr>
          <w:rStyle w:val="OperatorTok"/>
        </w:rPr>
        <w:t xml:space="preserve">==</w:t>
      </w:r>
      <w:r>
        <w:rPr>
          <w:rStyle w:val="NormalTok"/>
        </w:rPr>
        <w:t xml:space="preserve"> </w:t>
      </w:r>
      <w:r>
        <w:rPr>
          <w:rStyle w:val="StringTok"/>
        </w:rPr>
        <w:t xml:space="preserve">"w"</w:t>
      </w:r>
      <w:r>
        <w:rPr>
          <w:rStyle w:val="NormalTok"/>
        </w:rPr>
        <w:t xml:space="preserve">:</w:t>
      </w:r>
      <w:r>
        <w:br/>
      </w:r>
      <w:r>
        <w:rPr>
          <w:rStyle w:val="NormalTok"/>
        </w:rPr>
        <w:t xml:space="preserve">                new[key] </w:t>
      </w:r>
      <w:r>
        <w:rPr>
          <w:rStyle w:val="OperatorTok"/>
        </w:rPr>
        <w:t xml:space="preserve">=</w:t>
      </w:r>
      <w:r>
        <w:rPr>
          <w:rStyle w:val="NormalTok"/>
        </w:rPr>
        <w:t xml:space="preserve"> v</w:t>
      </w:r>
      <w:r>
        <w:br/>
      </w:r>
      <w:r>
        <w:rPr>
          <w:rStyle w:val="NormalTok"/>
        </w:rPr>
        <w:t xml:space="preserve">            rest </w:t>
      </w:r>
      <w:r>
        <w:rPr>
          <w:rStyle w:val="OperatorTok"/>
        </w:rPr>
        <w:t xml:space="preserve">=</w:t>
      </w:r>
      <w:r>
        <w:rPr>
          <w:rStyle w:val="NormalTok"/>
        </w:rPr>
        <w:t xml:space="preserve"> search(placed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&lt;&lt;</w:t>
      </w:r>
      <w:r>
        <w:rPr>
          <w:rStyle w:val="NormalTok"/>
        </w:rPr>
        <w:t xml:space="preserve"> i, </w:t>
      </w:r>
      <w:r>
        <w:rPr>
          <w:rStyle w:val="BuiltInTok"/>
        </w:rPr>
        <w:t xml:space="preserve">tuple</w:t>
      </w:r>
      <w:r>
        <w:rPr>
          <w:rStyle w:val="NormalTok"/>
        </w:rPr>
        <w:t xml:space="preserve">(</w:t>
      </w:r>
      <w:r>
        <w:rPr>
          <w:rStyle w:val="BuiltInTok"/>
        </w:rPr>
        <w:t xml:space="preserve">sorted</w:t>
      </w:r>
      <w:r>
        <w:rPr>
          <w:rStyle w:val="NormalTok"/>
        </w:rPr>
        <w:t xml:space="preserve">(new.items())))</w:t>
      </w:r>
      <w:r>
        <w:br/>
      </w:r>
      <w:r>
        <w:rPr>
          <w:rStyle w:val="NormalTok"/>
        </w:rPr>
        <w:t xml:space="preserve">            </w:t>
      </w:r>
      <w:r>
        <w:rPr>
          <w:rStyle w:val="ControlFlowTok"/>
        </w:rPr>
        <w:t xml:space="preserve">if</w:t>
      </w:r>
      <w:r>
        <w:rPr>
          <w:rStyle w:val="NormalTok"/>
        </w:rPr>
        <w:t xml:space="preserve"> rest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(i,) </w:t>
      </w:r>
      <w:r>
        <w:rPr>
          <w:rStyle w:val="OperatorTok"/>
        </w:rPr>
        <w:t xml:space="preserve">+</w:t>
      </w:r>
      <w:r>
        <w:rPr>
          <w:rStyle w:val="NormalTok"/>
        </w:rPr>
        <w:t xml:space="preserve"> rest</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NormalTok"/>
        </w:rPr>
        <w:t xml:space="preserve">    order </w:t>
      </w:r>
      <w:r>
        <w:rPr>
          <w:rStyle w:val="OperatorTok"/>
        </w:rPr>
        <w:t xml:space="preserve">=</w:t>
      </w:r>
      <w:r>
        <w:rPr>
          <w:rStyle w:val="NormalTok"/>
        </w:rPr>
        <w:t xml:space="preserve"> search(</w:t>
      </w:r>
      <w:r>
        <w:rPr>
          <w:rStyle w:val="DecValTok"/>
        </w:rPr>
        <w:t xml:space="preserve">0</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None</w:t>
      </w:r>
      <w:r>
        <w:rPr>
          <w:rStyle w:val="NormalTok"/>
        </w:rPr>
        <w:t xml:space="preserve"> </w:t>
      </w:r>
      <w:r>
        <w:rPr>
          <w:rStyle w:val="ControlFlowTok"/>
        </w:rPr>
        <w:t xml:space="preserve">if</w:t>
      </w:r>
      <w:r>
        <w:rPr>
          <w:rStyle w:val="NormalTok"/>
        </w:rPr>
        <w:t xml:space="preserve"> order </w:t>
      </w:r>
      <w:r>
        <w:rPr>
          <w:rStyle w:val="KeywordTok"/>
        </w:rPr>
        <w:t xml:space="preserve">is</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[ops[i][:</w:t>
      </w:r>
      <w:r>
        <w:rPr>
          <w:rStyle w:val="DecValTok"/>
        </w:rPr>
        <w:t xml:space="preserve">4</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order]</w:t>
      </w:r>
      <w:r>
        <w:br/>
      </w:r>
      <w:r>
        <w:br/>
      </w:r>
      <w:r>
        <w:rPr>
          <w:rStyle w:val="KeywordTok"/>
        </w:rPr>
        <w:t xml:space="preserve">def</w:t>
      </w:r>
      <w:r>
        <w:rPr>
          <w:rStyle w:val="NormalTok"/>
        </w:rPr>
        <w:t xml:space="preserve"> describe(name, h):</w:t>
      </w:r>
      <w:r>
        <w:br/>
      </w:r>
      <w:r>
        <w:rPr>
          <w:rStyle w:val="NormalTok"/>
        </w:rPr>
        <w:t xml:space="preserve">    lin, sc </w:t>
      </w:r>
      <w:r>
        <w:rPr>
          <w:rStyle w:val="OperatorTok"/>
        </w:rPr>
        <w:t xml:space="preserve">=</w:t>
      </w:r>
      <w:r>
        <w:rPr>
          <w:rStyle w:val="NormalTok"/>
        </w:rPr>
        <w:t xml:space="preserve"> check(h, real_time</w:t>
      </w:r>
      <w:r>
        <w:rPr>
          <w:rStyle w:val="OperatorTok"/>
        </w:rPr>
        <w:t xml:space="preserve">=</w:t>
      </w:r>
      <w:r>
        <w:rPr>
          <w:rStyle w:val="VariableTok"/>
        </w:rPr>
        <w:t xml:space="preserve">True</w:t>
      </w:r>
      <w:r>
        <w:rPr>
          <w:rStyle w:val="NormalTok"/>
        </w:rPr>
        <w:t xml:space="preserve">), check(h, real_time</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linearizable=</w:t>
      </w:r>
      <w:r>
        <w:rPr>
          <w:rStyle w:val="SpecialCharTok"/>
        </w:rPr>
        <w:t xml:space="preserve">{</w:t>
      </w:r>
      <w:r>
        <w:rPr>
          <w:rStyle w:val="NormalTok"/>
        </w:rPr>
        <w:t xml:space="preserve">lin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SpecialCharTok"/>
        </w:rPr>
        <w:t xml:space="preserve">}</w:t>
      </w:r>
      <w:r>
        <w:rPr>
          <w:rStyle w:val="SpecialStringTok"/>
        </w:rPr>
        <w:t xml:space="preserve">, sequential=</w:t>
      </w:r>
      <w:r>
        <w:rPr>
          <w:rStyle w:val="SpecialCharTok"/>
        </w:rPr>
        <w:t xml:space="preserve">{</w:t>
      </w:r>
      <w:r>
        <w:rPr>
          <w:rStyle w:val="NormalTok"/>
        </w:rPr>
        <w:t xml:space="preserve">sc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lin:</w:t>
      </w:r>
      <w:r>
        <w:br/>
      </w:r>
      <w:r>
        <w:rPr>
          <w:rStyle w:val="NormalTok"/>
        </w:rPr>
        <w:t xml:space="preserve">        </w:t>
      </w:r>
      <w:r>
        <w:rPr>
          <w:rStyle w:val="BuiltInTok"/>
        </w:rPr>
        <w:t xml:space="preserve">print</w:t>
      </w:r>
      <w:r>
        <w:rPr>
          <w:rStyle w:val="NormalTok"/>
        </w:rPr>
        <w:t xml:space="preserve">(</w:t>
      </w:r>
      <w:r>
        <w:rPr>
          <w:rStyle w:val="StringTok"/>
        </w:rPr>
        <w:t xml:space="preserve">"   linearization:"</w:t>
      </w:r>
      <w:r>
        <w:rPr>
          <w:rStyle w:val="NormalTok"/>
        </w:rPr>
        <w:t xml:space="preserve">, </w:t>
      </w:r>
      <w:r>
        <w:rPr>
          <w:rStyle w:val="StringTok"/>
        </w:rPr>
        <w:t xml:space="preserve">" -&gt; "</w:t>
      </w:r>
      <w:r>
        <w:rPr>
          <w:rStyle w:val="NormalTok"/>
        </w:rPr>
        <w:t xml:space="preserve">.join(</w:t>
      </w:r>
      <w:r>
        <w:rPr>
          <w:rStyle w:val="SpecialStringTok"/>
        </w:rPr>
        <w:t xml:space="preserve">f"</w:t>
      </w:r>
      <w:r>
        <w:rPr>
          <w:rStyle w:val="SpecialCharTok"/>
        </w:rPr>
        <w:t xml:space="preserve">{</w:t>
      </w:r>
      <w:r>
        <w:rPr>
          <w:rStyle w:val="NormalTok"/>
        </w:rPr>
        <w:t xml:space="preserve">p</w:t>
      </w:r>
      <w:r>
        <w:rPr>
          <w:rStyle w:val="SpecialCharTok"/>
        </w:rPr>
        <w:t xml:space="preserve">}</w:t>
      </w:r>
      <w:r>
        <w:rPr>
          <w:rStyle w:val="SpecialStringTok"/>
        </w:rPr>
        <w:t xml:space="preserve">:</w:t>
      </w:r>
      <w:r>
        <w:rPr>
          <w:rStyle w:val="SpecialCharTok"/>
        </w:rPr>
        <w:t xml:space="preserve">{</w:t>
      </w:r>
      <w:r>
        <w:rPr>
          <w:rStyle w:val="NormalTok"/>
        </w:rPr>
        <w:t xml:space="preserve">k</w:t>
      </w:r>
      <w:r>
        <w:rPr>
          <w:rStyle w:val="SpecialCharTok"/>
        </w:rPr>
        <w:t xml:space="preserve">}</w:t>
      </w:r>
      <w:r>
        <w:rPr>
          <w:rStyle w:val="SpecialStringTok"/>
        </w:rPr>
        <w:t xml:space="preserve">(</w:t>
      </w:r>
      <w:r>
        <w:rPr>
          <w:rStyle w:val="SpecialCharTok"/>
        </w:rPr>
        <w:t xml:space="preserve">{</w:t>
      </w:r>
      <w:r>
        <w:rPr>
          <w:rStyle w:val="NormalTok"/>
        </w:rPr>
        <w:t xml:space="preserve">key</w:t>
      </w:r>
      <w:r>
        <w:rPr>
          <w:rStyle w:val="SpecialCharTok"/>
        </w:rPr>
        <w:t xml:space="preserve">}</w:t>
      </w:r>
      <w:r>
        <w:rPr>
          <w:rStyle w:val="SpecialStringTok"/>
        </w:rPr>
        <w:t xml:space="preserve">=</w:t>
      </w:r>
      <w:r>
        <w:rPr>
          <w:rStyle w:val="SpecialCharTok"/>
        </w:rPr>
        <w:t xml:space="preserve">{</w:t>
      </w:r>
      <w:r>
        <w:rPr>
          <w:rStyle w:val="NormalTok"/>
        </w:rPr>
        <w:t xml:space="preserve">v</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p, k, key, v </w:t>
      </w:r>
      <w:r>
        <w:rPr>
          <w:rStyle w:val="KeywordTok"/>
        </w:rPr>
        <w:t xml:space="preserve">in</w:t>
      </w:r>
      <w:r>
        <w:rPr>
          <w:rStyle w:val="NormalTok"/>
        </w:rPr>
        <w:t xml:space="preserve"> lin))</w:t>
      </w:r>
      <w:r>
        <w:br/>
      </w:r>
      <w:r>
        <w:rPr>
          <w:rStyle w:val="NormalTok"/>
        </w:rPr>
        <w:t xml:space="preserve">    </w:t>
      </w:r>
      <w:r>
        <w:rPr>
          <w:rStyle w:val="ControlFlowTok"/>
        </w:rPr>
        <w:t xml:space="preserve">elif</w:t>
      </w:r>
      <w:r>
        <w:rPr>
          <w:rStyle w:val="NormalTok"/>
        </w:rPr>
        <w:t xml:space="preserve"> sc:</w:t>
      </w:r>
      <w:r>
        <w:br/>
      </w:r>
      <w:r>
        <w:rPr>
          <w:rStyle w:val="NormalTok"/>
        </w:rPr>
        <w:t xml:space="preserve">        </w:t>
      </w:r>
      <w:r>
        <w:rPr>
          <w:rStyle w:val="BuiltInTok"/>
        </w:rPr>
        <w:t xml:space="preserve">print</w:t>
      </w:r>
      <w:r>
        <w:rPr>
          <w:rStyle w:val="NormalTok"/>
        </w:rPr>
        <w:t xml:space="preserve">(</w:t>
      </w:r>
      <w:r>
        <w:rPr>
          <w:rStyle w:val="StringTok"/>
        </w:rPr>
        <w:t xml:space="preserve">"   sequential order:"</w:t>
      </w:r>
      <w:r>
        <w:rPr>
          <w:rStyle w:val="NormalTok"/>
        </w:rPr>
        <w:t xml:space="preserve">, </w:t>
      </w:r>
      <w:r>
        <w:rPr>
          <w:rStyle w:val="StringTok"/>
        </w:rPr>
        <w:t xml:space="preserve">" -&gt; "</w:t>
      </w:r>
      <w:r>
        <w:rPr>
          <w:rStyle w:val="NormalTok"/>
        </w:rPr>
        <w:t xml:space="preserve">.join(</w:t>
      </w:r>
      <w:r>
        <w:rPr>
          <w:rStyle w:val="SpecialStringTok"/>
        </w:rPr>
        <w:t xml:space="preserve">f"</w:t>
      </w:r>
      <w:r>
        <w:rPr>
          <w:rStyle w:val="SpecialCharTok"/>
        </w:rPr>
        <w:t xml:space="preserve">{</w:t>
      </w:r>
      <w:r>
        <w:rPr>
          <w:rStyle w:val="NormalTok"/>
        </w:rPr>
        <w:t xml:space="preserve">p</w:t>
      </w:r>
      <w:r>
        <w:rPr>
          <w:rStyle w:val="SpecialCharTok"/>
        </w:rPr>
        <w:t xml:space="preserve">}</w:t>
      </w:r>
      <w:r>
        <w:rPr>
          <w:rStyle w:val="SpecialStringTok"/>
        </w:rPr>
        <w:t xml:space="preserve">:</w:t>
      </w:r>
      <w:r>
        <w:rPr>
          <w:rStyle w:val="SpecialCharTok"/>
        </w:rPr>
        <w:t xml:space="preserve">{</w:t>
      </w:r>
      <w:r>
        <w:rPr>
          <w:rStyle w:val="NormalTok"/>
        </w:rPr>
        <w:t xml:space="preserve">k</w:t>
      </w:r>
      <w:r>
        <w:rPr>
          <w:rStyle w:val="SpecialCharTok"/>
        </w:rPr>
        <w:t xml:space="preserve">}</w:t>
      </w:r>
      <w:r>
        <w:rPr>
          <w:rStyle w:val="SpecialStringTok"/>
        </w:rPr>
        <w:t xml:space="preserve">(</w:t>
      </w:r>
      <w:r>
        <w:rPr>
          <w:rStyle w:val="SpecialCharTok"/>
        </w:rPr>
        <w:t xml:space="preserve">{</w:t>
      </w:r>
      <w:r>
        <w:rPr>
          <w:rStyle w:val="NormalTok"/>
        </w:rPr>
        <w:t xml:space="preserve">key</w:t>
      </w:r>
      <w:r>
        <w:rPr>
          <w:rStyle w:val="SpecialCharTok"/>
        </w:rPr>
        <w:t xml:space="preserve">}</w:t>
      </w:r>
      <w:r>
        <w:rPr>
          <w:rStyle w:val="SpecialStringTok"/>
        </w:rPr>
        <w:t xml:space="preserve">=</w:t>
      </w:r>
      <w:r>
        <w:rPr>
          <w:rStyle w:val="SpecialCharTok"/>
        </w:rPr>
        <w:t xml:space="preserve">{</w:t>
      </w:r>
      <w:r>
        <w:rPr>
          <w:rStyle w:val="NormalTok"/>
        </w:rPr>
        <w:t xml:space="preserve">v</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p, k, key, v </w:t>
      </w:r>
      <w:r>
        <w:rPr>
          <w:rStyle w:val="KeywordTok"/>
        </w:rPr>
        <w:t xml:space="preserve">in</w:t>
      </w:r>
      <w:r>
        <w:rPr>
          <w:rStyle w:val="NormalTok"/>
        </w:rPr>
        <w:t xml:space="preserve"> sc))</w:t>
      </w:r>
      <w:r>
        <w:br/>
      </w:r>
      <w:r>
        <w:br/>
      </w:r>
      <w:r>
        <w:rPr>
          <w:rStyle w:val="NormalTok"/>
        </w:rPr>
        <w:t xml:space="preserve">H1 </w:t>
      </w:r>
      <w:r>
        <w:rPr>
          <w:rStyle w:val="OperatorTok"/>
        </w:rPr>
        <w:t xml:space="preserve">=</w:t>
      </w:r>
      <w:r>
        <w:rPr>
          <w:rStyle w:val="NormalTok"/>
        </w:rPr>
        <w:t xml:space="preserve"> [(</w:t>
      </w:r>
      <w:r>
        <w:rPr>
          <w:rStyle w:val="StringTok"/>
        </w:rPr>
        <w:t xml:space="preserve">"A"</w:t>
      </w:r>
      <w:r>
        <w:rPr>
          <w:rStyle w:val="NormalTok"/>
        </w:rPr>
        <w:t xml:space="preserve">, </w:t>
      </w:r>
      <w:r>
        <w:rPr>
          <w:rStyle w:val="StringTok"/>
        </w:rPr>
        <w:t xml:space="preserve">"w"</w:t>
      </w:r>
      <w:r>
        <w:rPr>
          <w:rStyle w:val="NormalTok"/>
        </w:rPr>
        <w:t xml:space="preserve">, </w:t>
      </w:r>
      <w:r>
        <w:rPr>
          <w:rStyle w:val="StringTok"/>
        </w:rPr>
        <w:t xml:space="preserve">"x"</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10</w:t>
      </w:r>
      <w:r>
        <w:rPr>
          <w:rStyle w:val="NormalTok"/>
        </w:rPr>
        <w:t xml:space="preserve">),   </w:t>
      </w:r>
      <w:r>
        <w:rPr>
          <w:rStyle w:val="CommentTok"/>
        </w:rPr>
        <w:t xml:space="preserve"># write overlaps both reads</w:t>
      </w:r>
      <w:r>
        <w:br/>
      </w:r>
      <w:r>
        <w:rPr>
          <w:rStyle w:val="NormalTok"/>
        </w:rPr>
        <w:t xml:space="preserve">      (</w:t>
      </w:r>
      <w:r>
        <w:rPr>
          <w:rStyle w:val="StringTok"/>
        </w:rPr>
        <w:t xml:space="preserve">"B"</w:t>
      </w:r>
      <w:r>
        <w:rPr>
          <w:rStyle w:val="NormalTok"/>
        </w:rPr>
        <w:t xml:space="preserve">, </w:t>
      </w:r>
      <w:r>
        <w:rPr>
          <w:rStyle w:val="StringTok"/>
        </w:rPr>
        <w:t xml:space="preserve">"r"</w:t>
      </w:r>
      <w:r>
        <w:rPr>
          <w:rStyle w:val="NormalTok"/>
        </w:rPr>
        <w:t xml:space="preserve">, </w:t>
      </w:r>
      <w:r>
        <w:rPr>
          <w:rStyle w:val="StringTok"/>
        </w:rPr>
        <w:t xml:space="preserve">"x"</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4</w:t>
      </w:r>
      <w:r>
        <w:rPr>
          <w:rStyle w:val="NormalTok"/>
        </w:rPr>
        <w:t xml:space="preserve">),</w:t>
      </w:r>
      <w:r>
        <w:br/>
      </w:r>
      <w:r>
        <w:rPr>
          <w:rStyle w:val="NormalTok"/>
        </w:rPr>
        <w:t xml:space="preserve">      (</w:t>
      </w:r>
      <w:r>
        <w:rPr>
          <w:rStyle w:val="StringTok"/>
        </w:rPr>
        <w:t xml:space="preserve">"C"</w:t>
      </w:r>
      <w:r>
        <w:rPr>
          <w:rStyle w:val="NormalTok"/>
        </w:rPr>
        <w:t xml:space="preserve">, </w:t>
      </w:r>
      <w:r>
        <w:rPr>
          <w:rStyle w:val="StringTok"/>
        </w:rPr>
        <w:t xml:space="preserve">"r"</w:t>
      </w:r>
      <w:r>
        <w:rPr>
          <w:rStyle w:val="NormalTok"/>
        </w:rPr>
        <w:t xml:space="preserve">, </w:t>
      </w:r>
      <w:r>
        <w:rPr>
          <w:rStyle w:val="StringTok"/>
        </w:rPr>
        <w:t xml:space="preserve">"x"</w:t>
      </w:r>
      <w:r>
        <w:rPr>
          <w:rStyle w:val="NormalTok"/>
        </w:rPr>
        <w:t xml:space="preserve">, </w:t>
      </w:r>
      <w:r>
        <w:rPr>
          <w:rStyle w:val="DecValTok"/>
        </w:rPr>
        <w:t xml:space="preserve">1</w:t>
      </w:r>
      <w:r>
        <w:rPr>
          <w:rStyle w:val="NormalTok"/>
        </w:rPr>
        <w:t xml:space="preserve">, </w:t>
      </w:r>
      <w:r>
        <w:rPr>
          <w:rStyle w:val="DecValTok"/>
        </w:rPr>
        <w:t xml:space="preserve">5</w:t>
      </w:r>
      <w:r>
        <w:rPr>
          <w:rStyle w:val="NormalTok"/>
        </w:rPr>
        <w:t xml:space="preserve">, </w:t>
      </w:r>
      <w:r>
        <w:rPr>
          <w:rStyle w:val="DecValTok"/>
        </w:rPr>
        <w:t xml:space="preserve">12</w:t>
      </w:r>
      <w:r>
        <w:rPr>
          <w:rStyle w:val="NormalTok"/>
        </w:rPr>
        <w:t xml:space="preserve">)]</w:t>
      </w:r>
      <w:r>
        <w:br/>
      </w:r>
      <w:r>
        <w:rPr>
          <w:rStyle w:val="NormalTok"/>
        </w:rPr>
        <w:t xml:space="preserve">H2 </w:t>
      </w:r>
      <w:r>
        <w:rPr>
          <w:rStyle w:val="OperatorTok"/>
        </w:rPr>
        <w:t xml:space="preserve">=</w:t>
      </w:r>
      <w:r>
        <w:rPr>
          <w:rStyle w:val="NormalTok"/>
        </w:rPr>
        <w:t xml:space="preserve"> [(</w:t>
      </w:r>
      <w:r>
        <w:rPr>
          <w:rStyle w:val="StringTok"/>
        </w:rPr>
        <w:t xml:space="preserve">"A"</w:t>
      </w:r>
      <w:r>
        <w:rPr>
          <w:rStyle w:val="NormalTok"/>
        </w:rPr>
        <w:t xml:space="preserve">, </w:t>
      </w:r>
      <w:r>
        <w:rPr>
          <w:rStyle w:val="StringTok"/>
        </w:rPr>
        <w:t xml:space="preserve">"w"</w:t>
      </w:r>
      <w:r>
        <w:rPr>
          <w:rStyle w:val="NormalTok"/>
        </w:rPr>
        <w:t xml:space="preserve">, </w:t>
      </w:r>
      <w:r>
        <w:rPr>
          <w:rStyle w:val="StringTok"/>
        </w:rPr>
        <w:t xml:space="preserve">"x"</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5</w:t>
      </w:r>
      <w:r>
        <w:rPr>
          <w:rStyle w:val="NormalTok"/>
        </w:rPr>
        <w:t xml:space="preserve">),    </w:t>
      </w:r>
      <w:r>
        <w:rPr>
          <w:rStyle w:val="CommentTok"/>
        </w:rPr>
        <w:t xml:space="preserve"># write finished at t=5 ...</w:t>
      </w:r>
      <w:r>
        <w:br/>
      </w:r>
      <w:r>
        <w:rPr>
          <w:rStyle w:val="NormalTok"/>
        </w:rPr>
        <w:t xml:space="preserve">      (</w:t>
      </w:r>
      <w:r>
        <w:rPr>
          <w:rStyle w:val="StringTok"/>
        </w:rPr>
        <w:t xml:space="preserve">"B"</w:t>
      </w:r>
      <w:r>
        <w:rPr>
          <w:rStyle w:val="NormalTok"/>
        </w:rPr>
        <w:t xml:space="preserve">, </w:t>
      </w:r>
      <w:r>
        <w:rPr>
          <w:rStyle w:val="StringTok"/>
        </w:rPr>
        <w:t xml:space="preserve">"r"</w:t>
      </w:r>
      <w:r>
        <w:rPr>
          <w:rStyle w:val="NormalTok"/>
        </w:rPr>
        <w:t xml:space="preserve">, </w:t>
      </w:r>
      <w:r>
        <w:rPr>
          <w:rStyle w:val="StringTok"/>
        </w:rPr>
        <w:t xml:space="preserve">"x"</w:t>
      </w:r>
      <w:r>
        <w:rPr>
          <w:rStyle w:val="NormalTok"/>
        </w:rPr>
        <w:t xml:space="preserve">, </w:t>
      </w:r>
      <w:r>
        <w:rPr>
          <w:rStyle w:val="DecValTok"/>
        </w:rPr>
        <w:t xml:space="preserve">0</w:t>
      </w:r>
      <w:r>
        <w:rPr>
          <w:rStyle w:val="NormalTok"/>
        </w:rPr>
        <w:t xml:space="preserve">, </w:t>
      </w:r>
      <w:r>
        <w:rPr>
          <w:rStyle w:val="DecValTok"/>
        </w:rPr>
        <w:t xml:space="preserve">7</w:t>
      </w:r>
      <w:r>
        <w:rPr>
          <w:rStyle w:val="NormalTok"/>
        </w:rPr>
        <w:t xml:space="preserve">, </w:t>
      </w:r>
      <w:r>
        <w:rPr>
          <w:rStyle w:val="DecValTok"/>
        </w:rPr>
        <w:t xml:space="preserve">9</w:t>
      </w:r>
      <w:r>
        <w:rPr>
          <w:rStyle w:val="NormalTok"/>
        </w:rPr>
        <w:t xml:space="preserve">)]    </w:t>
      </w:r>
      <w:r>
        <w:rPr>
          <w:rStyle w:val="CommentTok"/>
        </w:rPr>
        <w:t xml:space="preserve"># ... yet a later read sees the old value</w:t>
      </w:r>
      <w:r>
        <w:br/>
      </w:r>
      <w:r>
        <w:rPr>
          <w:rStyle w:val="NormalTok"/>
        </w:rPr>
        <w:t xml:space="preserve">H3 </w:t>
      </w:r>
      <w:r>
        <w:rPr>
          <w:rStyle w:val="OperatorTok"/>
        </w:rPr>
        <w:t xml:space="preserve">=</w:t>
      </w:r>
      <w:r>
        <w:rPr>
          <w:rStyle w:val="NormalTok"/>
        </w:rPr>
        <w:t xml:space="preserve"> [(</w:t>
      </w:r>
      <w:r>
        <w:rPr>
          <w:rStyle w:val="StringTok"/>
        </w:rPr>
        <w:t xml:space="preserve">"A"</w:t>
      </w:r>
      <w:r>
        <w:rPr>
          <w:rStyle w:val="NormalTok"/>
        </w:rPr>
        <w:t xml:space="preserve">, </w:t>
      </w:r>
      <w:r>
        <w:rPr>
          <w:rStyle w:val="StringTok"/>
        </w:rPr>
        <w:t xml:space="preserve">"w"</w:t>
      </w:r>
      <w:r>
        <w:rPr>
          <w:rStyle w:val="NormalTok"/>
        </w:rPr>
        <w:t xml:space="preserve">, </w:t>
      </w:r>
      <w:r>
        <w:rPr>
          <w:rStyle w:val="StringTok"/>
        </w:rPr>
        <w:t xml:space="preserve">"x"</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10</w:t>
      </w:r>
      <w:r>
        <w:rPr>
          <w:rStyle w:val="NormalTok"/>
        </w:rPr>
        <w:t xml:space="preserve">),   </w:t>
      </w:r>
      <w:r>
        <w:rPr>
          <w:rStyle w:val="CommentTok"/>
        </w:rPr>
        <w:t xml:space="preserve"># new-then-old inversion during a write</w:t>
      </w:r>
      <w:r>
        <w:br/>
      </w:r>
      <w:r>
        <w:rPr>
          <w:rStyle w:val="NormalTok"/>
        </w:rPr>
        <w:t xml:space="preserve">      (</w:t>
      </w:r>
      <w:r>
        <w:rPr>
          <w:rStyle w:val="StringTok"/>
        </w:rPr>
        <w:t xml:space="preserve">"B"</w:t>
      </w:r>
      <w:r>
        <w:rPr>
          <w:rStyle w:val="NormalTok"/>
        </w:rPr>
        <w:t xml:space="preserve">, </w:t>
      </w:r>
      <w:r>
        <w:rPr>
          <w:rStyle w:val="StringTok"/>
        </w:rPr>
        <w:t xml:space="preserve">"r"</w:t>
      </w:r>
      <w:r>
        <w:rPr>
          <w:rStyle w:val="NormalTok"/>
        </w:rPr>
        <w:t xml:space="preserve">, </w:t>
      </w:r>
      <w:r>
        <w:rPr>
          <w:rStyle w:val="StringTok"/>
        </w:rPr>
        <w:t xml:space="preserve">"x"</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w:t>
      </w:r>
      <w:r>
        <w:br/>
      </w:r>
      <w:r>
        <w:rPr>
          <w:rStyle w:val="NormalTok"/>
        </w:rPr>
        <w:t xml:space="preserve">      (</w:t>
      </w:r>
      <w:r>
        <w:rPr>
          <w:rStyle w:val="StringTok"/>
        </w:rPr>
        <w:t xml:space="preserve">"C"</w:t>
      </w:r>
      <w:r>
        <w:rPr>
          <w:rStyle w:val="NormalTok"/>
        </w:rPr>
        <w:t xml:space="preserve">, </w:t>
      </w:r>
      <w:r>
        <w:rPr>
          <w:rStyle w:val="StringTok"/>
        </w:rPr>
        <w:t xml:space="preserve">"r"</w:t>
      </w:r>
      <w:r>
        <w:rPr>
          <w:rStyle w:val="NormalTok"/>
        </w:rPr>
        <w:t xml:space="preserve">, </w:t>
      </w:r>
      <w:r>
        <w:rPr>
          <w:rStyle w:val="StringTok"/>
        </w:rPr>
        <w:t xml:space="preserve">"x"</w:t>
      </w:r>
      <w:r>
        <w:rPr>
          <w:rStyle w:val="NormalTok"/>
        </w:rPr>
        <w:t xml:space="preserve">, </w:t>
      </w:r>
      <w:r>
        <w:rPr>
          <w:rStyle w:val="DecValTok"/>
        </w:rPr>
        <w:t xml:space="preserve">0</w:t>
      </w:r>
      <w:r>
        <w:rPr>
          <w:rStyle w:val="NormalTok"/>
        </w:rPr>
        <w:t xml:space="preserve">, </w:t>
      </w:r>
      <w:r>
        <w:rPr>
          <w:rStyle w:val="DecValTok"/>
        </w:rPr>
        <w:t xml:space="preserve">6</w:t>
      </w:r>
      <w:r>
        <w:rPr>
          <w:rStyle w:val="NormalTok"/>
        </w:rPr>
        <w:t xml:space="preserve">, </w:t>
      </w:r>
      <w:r>
        <w:rPr>
          <w:rStyle w:val="DecValTok"/>
        </w:rPr>
        <w:t xml:space="preserve">8</w:t>
      </w:r>
      <w:r>
        <w:rPr>
          <w:rStyle w:val="NormalTok"/>
        </w:rPr>
        <w:t xml:space="preserve">)]</w:t>
      </w:r>
      <w:r>
        <w:br/>
      </w:r>
      <w:r>
        <w:rPr>
          <w:rStyle w:val="NormalTok"/>
        </w:rPr>
        <w:t xml:space="preserve">H4 </w:t>
      </w:r>
      <w:r>
        <w:rPr>
          <w:rStyle w:val="OperatorTok"/>
        </w:rPr>
        <w:t xml:space="preserve">=</w:t>
      </w:r>
      <w:r>
        <w:rPr>
          <w:rStyle w:val="NormalTok"/>
        </w:rPr>
        <w:t xml:space="preserve"> [(</w:t>
      </w:r>
      <w:r>
        <w:rPr>
          <w:rStyle w:val="StringTok"/>
        </w:rPr>
        <w:t xml:space="preserve">"A"</w:t>
      </w:r>
      <w:r>
        <w:rPr>
          <w:rStyle w:val="NormalTok"/>
        </w:rPr>
        <w:t xml:space="preserve">, </w:t>
      </w:r>
      <w:r>
        <w:rPr>
          <w:rStyle w:val="StringTok"/>
        </w:rPr>
        <w:t xml:space="preserve">"w"</w:t>
      </w:r>
      <w:r>
        <w:rPr>
          <w:rStyle w:val="NormalTok"/>
        </w:rPr>
        <w:t xml:space="preserve">, </w:t>
      </w:r>
      <w:r>
        <w:rPr>
          <w:rStyle w:val="StringTok"/>
        </w:rPr>
        <w:t xml:space="preserve">"x"</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    </w:t>
      </w:r>
      <w:r>
        <w:rPr>
          <w:rStyle w:val="CommentTok"/>
        </w:rPr>
        <w:t xml:space="preserve"># a process misses its own write</w:t>
      </w:r>
      <w:r>
        <w:br/>
      </w:r>
      <w:r>
        <w:rPr>
          <w:rStyle w:val="NormalTok"/>
        </w:rPr>
        <w:t xml:space="preserve">      (</w:t>
      </w:r>
      <w:r>
        <w:rPr>
          <w:rStyle w:val="StringTok"/>
        </w:rPr>
        <w:t xml:space="preserve">"A"</w:t>
      </w:r>
      <w:r>
        <w:rPr>
          <w:rStyle w:val="NormalTok"/>
        </w:rPr>
        <w:t xml:space="preserve">, </w:t>
      </w:r>
      <w:r>
        <w:rPr>
          <w:rStyle w:val="StringTok"/>
        </w:rPr>
        <w:t xml:space="preserve">"r"</w:t>
      </w:r>
      <w:r>
        <w:rPr>
          <w:rStyle w:val="NormalTok"/>
        </w:rPr>
        <w:t xml:space="preserve">, </w:t>
      </w:r>
      <w:r>
        <w:rPr>
          <w:rStyle w:val="StringTok"/>
        </w:rPr>
        <w:t xml:space="preserve">"x"</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w:t>
      </w:r>
      <w:r>
        <w:br/>
      </w:r>
      <w:r>
        <w:rPr>
          <w:rStyle w:val="NormalTok"/>
        </w:rPr>
        <w:t xml:space="preserve">H5 </w:t>
      </w:r>
      <w:r>
        <w:rPr>
          <w:rStyle w:val="OperatorTok"/>
        </w:rPr>
        <w:t xml:space="preserve">=</w:t>
      </w:r>
      <w:r>
        <w:rPr>
          <w:rStyle w:val="NormalTok"/>
        </w:rPr>
        <w:t xml:space="preserve"> [(</w:t>
      </w:r>
      <w:r>
        <w:rPr>
          <w:rStyle w:val="StringTok"/>
        </w:rPr>
        <w:t xml:space="preserve">"A"</w:t>
      </w:r>
      <w:r>
        <w:rPr>
          <w:rStyle w:val="NormalTok"/>
        </w:rPr>
        <w:t xml:space="preserve">, </w:t>
      </w:r>
      <w:r>
        <w:rPr>
          <w:rStyle w:val="StringTok"/>
        </w:rPr>
        <w:t xml:space="preserve">"w"</w:t>
      </w:r>
      <w:r>
        <w:rPr>
          <w:rStyle w:val="NormalTok"/>
        </w:rPr>
        <w:t xml:space="preserve">, </w:t>
      </w:r>
      <w:r>
        <w:rPr>
          <w:rStyle w:val="StringTok"/>
        </w:rPr>
        <w:t xml:space="preserve">"x"</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 (</w:t>
      </w:r>
      <w:r>
        <w:rPr>
          <w:rStyle w:val="StringTok"/>
        </w:rPr>
        <w:t xml:space="preserve">"A"</w:t>
      </w:r>
      <w:r>
        <w:rPr>
          <w:rStyle w:val="NormalTok"/>
        </w:rPr>
        <w:t xml:space="preserve">, </w:t>
      </w:r>
      <w:r>
        <w:rPr>
          <w:rStyle w:val="StringTok"/>
        </w:rPr>
        <w:t xml:space="preserve">"r"</w:t>
      </w:r>
      <w:r>
        <w:rPr>
          <w:rStyle w:val="NormalTok"/>
        </w:rPr>
        <w:t xml:space="preserve">, </w:t>
      </w:r>
      <w:r>
        <w:rPr>
          <w:rStyle w:val="StringTok"/>
        </w:rPr>
        <w:t xml:space="preserve">"y"</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CommentTok"/>
        </w:rPr>
        <w:t xml:space="preserve"># store buffering</w:t>
      </w:r>
      <w:r>
        <w:br/>
      </w:r>
      <w:r>
        <w:rPr>
          <w:rStyle w:val="NormalTok"/>
        </w:rPr>
        <w:t xml:space="preserve">      (</w:t>
      </w:r>
      <w:r>
        <w:rPr>
          <w:rStyle w:val="StringTok"/>
        </w:rPr>
        <w:t xml:space="preserve">"B"</w:t>
      </w:r>
      <w:r>
        <w:rPr>
          <w:rStyle w:val="NormalTok"/>
        </w:rPr>
        <w:t xml:space="preserve">, </w:t>
      </w:r>
      <w:r>
        <w:rPr>
          <w:rStyle w:val="StringTok"/>
        </w:rPr>
        <w:t xml:space="preserve">"w"</w:t>
      </w:r>
      <w:r>
        <w:rPr>
          <w:rStyle w:val="NormalTok"/>
        </w:rPr>
        <w:t xml:space="preserve">, </w:t>
      </w:r>
      <w:r>
        <w:rPr>
          <w:rStyle w:val="StringTok"/>
        </w:rPr>
        <w:t xml:space="preserve">"y"</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 (</w:t>
      </w:r>
      <w:r>
        <w:rPr>
          <w:rStyle w:val="StringTok"/>
        </w:rPr>
        <w:t xml:space="preserve">"B"</w:t>
      </w:r>
      <w:r>
        <w:rPr>
          <w:rStyle w:val="NormalTok"/>
        </w:rPr>
        <w:t xml:space="preserve">, </w:t>
      </w:r>
      <w:r>
        <w:rPr>
          <w:rStyle w:val="StringTok"/>
        </w:rPr>
        <w:t xml:space="preserve">"r"</w:t>
      </w:r>
      <w:r>
        <w:rPr>
          <w:rStyle w:val="NormalTok"/>
        </w:rPr>
        <w:t xml:space="preserve">, </w:t>
      </w:r>
      <w:r>
        <w:rPr>
          <w:rStyle w:val="StringTok"/>
        </w:rPr>
        <w:t xml:space="preserve">"x"</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w:t>
      </w:r>
      <w:r>
        <w:br/>
      </w:r>
      <w:r>
        <w:rPr>
          <w:rStyle w:val="NormalTok"/>
        </w:rPr>
        <w:t xml:space="preserve">H6 </w:t>
      </w:r>
      <w:r>
        <w:rPr>
          <w:rStyle w:val="OperatorTok"/>
        </w:rPr>
        <w:t xml:space="preserve">=</w:t>
      </w:r>
      <w:r>
        <w:rPr>
          <w:rStyle w:val="NormalTok"/>
        </w:rPr>
        <w:t xml:space="preserve"> [(</w:t>
      </w:r>
      <w:r>
        <w:rPr>
          <w:rStyle w:val="StringTok"/>
        </w:rPr>
        <w:t xml:space="preserve">"A"</w:t>
      </w:r>
      <w:r>
        <w:rPr>
          <w:rStyle w:val="NormalTok"/>
        </w:rPr>
        <w:t xml:space="preserve">, </w:t>
      </w:r>
      <w:r>
        <w:rPr>
          <w:rStyle w:val="StringTok"/>
        </w:rPr>
        <w:t xml:space="preserve">"w"</w:t>
      </w:r>
      <w:r>
        <w:rPr>
          <w:rStyle w:val="NormalTok"/>
        </w:rPr>
        <w:t xml:space="preserve">, </w:t>
      </w:r>
      <w:r>
        <w:rPr>
          <w:rStyle w:val="StringTok"/>
        </w:rPr>
        <w:t xml:space="preserve">"x"</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VariableTok"/>
        </w:rPr>
        <w:t xml:space="preserve">None</w:t>
      </w:r>
      <w:r>
        <w:rPr>
          <w:rStyle w:val="NormalTok"/>
        </w:rPr>
        <w:t xml:space="preserve">), </w:t>
      </w:r>
      <w:r>
        <w:rPr>
          <w:rStyle w:val="CommentTok"/>
        </w:rPr>
        <w:t xml:space="preserve"># write timed out: outcome unknown</w:t>
      </w:r>
      <w:r>
        <w:br/>
      </w:r>
      <w:r>
        <w:rPr>
          <w:rStyle w:val="NormalTok"/>
        </w:rPr>
        <w:t xml:space="preserve">      (</w:t>
      </w:r>
      <w:r>
        <w:rPr>
          <w:rStyle w:val="StringTok"/>
        </w:rPr>
        <w:t xml:space="preserve">"B"</w:t>
      </w:r>
      <w:r>
        <w:rPr>
          <w:rStyle w:val="NormalTok"/>
        </w:rPr>
        <w:t xml:space="preserve">, </w:t>
      </w:r>
      <w:r>
        <w:rPr>
          <w:rStyle w:val="StringTok"/>
        </w:rPr>
        <w:t xml:space="preserve">"r"</w:t>
      </w:r>
      <w:r>
        <w:rPr>
          <w:rStyle w:val="NormalTok"/>
        </w:rPr>
        <w:t xml:space="preserve">, </w:t>
      </w:r>
      <w:r>
        <w:rPr>
          <w:rStyle w:val="StringTok"/>
        </w:rPr>
        <w:t xml:space="preserve">"x"</w:t>
      </w:r>
      <w:r>
        <w:rPr>
          <w:rStyle w:val="NormalTok"/>
        </w:rPr>
        <w:t xml:space="preserve">, </w:t>
      </w:r>
      <w:r>
        <w:rPr>
          <w:rStyle w:val="DecValTok"/>
        </w:rPr>
        <w:t xml:space="preserve">1</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w:t>
      </w:r>
      <w:r>
        <w:br/>
      </w:r>
      <w:r>
        <w:rPr>
          <w:rStyle w:val="NormalTok"/>
        </w:rPr>
        <w:t xml:space="preserve">      (</w:t>
      </w:r>
      <w:r>
        <w:rPr>
          <w:rStyle w:val="StringTok"/>
        </w:rPr>
        <w:t xml:space="preserve">"C"</w:t>
      </w:r>
      <w:r>
        <w:rPr>
          <w:rStyle w:val="NormalTok"/>
        </w:rPr>
        <w:t xml:space="preserve">, </w:t>
      </w:r>
      <w:r>
        <w:rPr>
          <w:rStyle w:val="StringTok"/>
        </w:rPr>
        <w:t xml:space="preserve">"r"</w:t>
      </w:r>
      <w:r>
        <w:rPr>
          <w:rStyle w:val="NormalTok"/>
        </w:rPr>
        <w:t xml:space="preserve">, </w:t>
      </w:r>
      <w:r>
        <w:rPr>
          <w:rStyle w:val="StringTok"/>
        </w:rPr>
        <w:t xml:space="preserve">"x"</w:t>
      </w:r>
      <w:r>
        <w:rPr>
          <w:rStyle w:val="NormalTok"/>
        </w:rPr>
        <w:t xml:space="preserve">, </w:t>
      </w:r>
      <w:r>
        <w:rPr>
          <w:rStyle w:val="DecValTok"/>
        </w:rPr>
        <w:t xml:space="preserve">1</w:t>
      </w:r>
      <w:r>
        <w:rPr>
          <w:rStyle w:val="NormalTok"/>
        </w:rPr>
        <w:t xml:space="preserve">, </w:t>
      </w:r>
      <w:r>
        <w:rPr>
          <w:rStyle w:val="DecValTok"/>
        </w:rPr>
        <w:t xml:space="preserve">7</w:t>
      </w:r>
      <w:r>
        <w:rPr>
          <w:rStyle w:val="NormalTok"/>
        </w:rPr>
        <w:t xml:space="preserve">, </w:t>
      </w:r>
      <w:r>
        <w:rPr>
          <w:rStyle w:val="DecValTok"/>
        </w:rPr>
        <w:t xml:space="preserve">8</w:t>
      </w:r>
      <w:r>
        <w:rPr>
          <w:rStyle w:val="NormalTok"/>
        </w:rPr>
        <w:t xml:space="preserve">)]</w:t>
      </w:r>
      <w:r>
        <w:br/>
      </w:r>
      <w:r>
        <w:br/>
      </w:r>
      <w:r>
        <w:rPr>
          <w:rStyle w:val="ControlFlowTok"/>
        </w:rPr>
        <w:t xml:space="preserve">for</w:t>
      </w:r>
      <w:r>
        <w:rPr>
          <w:rStyle w:val="NormalTok"/>
        </w:rPr>
        <w:t xml:space="preserve"> name, h </w:t>
      </w:r>
      <w:r>
        <w:rPr>
          <w:rStyle w:val="KeywordTok"/>
        </w:rPr>
        <w:t xml:space="preserve">in</w:t>
      </w:r>
      <w:r>
        <w:rPr>
          <w:rStyle w:val="NormalTok"/>
        </w:rPr>
        <w:t xml:space="preserve"> [(</w:t>
      </w:r>
      <w:r>
        <w:rPr>
          <w:rStyle w:val="StringTok"/>
        </w:rPr>
        <w:t xml:space="preserve">"H1"</w:t>
      </w:r>
      <w:r>
        <w:rPr>
          <w:rStyle w:val="NormalTok"/>
        </w:rPr>
        <w:t xml:space="preserve">, H1), (</w:t>
      </w:r>
      <w:r>
        <w:rPr>
          <w:rStyle w:val="StringTok"/>
        </w:rPr>
        <w:t xml:space="preserve">"H2"</w:t>
      </w:r>
      <w:r>
        <w:rPr>
          <w:rStyle w:val="NormalTok"/>
        </w:rPr>
        <w:t xml:space="preserve">, H2), (</w:t>
      </w:r>
      <w:r>
        <w:rPr>
          <w:rStyle w:val="StringTok"/>
        </w:rPr>
        <w:t xml:space="preserve">"H3"</w:t>
      </w:r>
      <w:r>
        <w:rPr>
          <w:rStyle w:val="NormalTok"/>
        </w:rPr>
        <w:t xml:space="preserve">, H3), (</w:t>
      </w:r>
      <w:r>
        <w:rPr>
          <w:rStyle w:val="StringTok"/>
        </w:rPr>
        <w:t xml:space="preserve">"H4"</w:t>
      </w:r>
      <w:r>
        <w:rPr>
          <w:rStyle w:val="NormalTok"/>
        </w:rPr>
        <w:t xml:space="preserve">, H4), (</w:t>
      </w:r>
      <w:r>
        <w:rPr>
          <w:rStyle w:val="StringTok"/>
        </w:rPr>
        <w:t xml:space="preserve">"H5"</w:t>
      </w:r>
      <w:r>
        <w:rPr>
          <w:rStyle w:val="NormalTok"/>
        </w:rPr>
        <w:t xml:space="preserve">, H5), (</w:t>
      </w:r>
      <w:r>
        <w:rPr>
          <w:rStyle w:val="StringTok"/>
        </w:rPr>
        <w:t xml:space="preserve">"H6"</w:t>
      </w:r>
      <w:r>
        <w:rPr>
          <w:rStyle w:val="NormalTok"/>
        </w:rPr>
        <w:t xml:space="preserve">, H6)]:</w:t>
      </w:r>
      <w:r>
        <w:br/>
      </w:r>
      <w:r>
        <w:rPr>
          <w:rStyle w:val="NormalTok"/>
        </w:rPr>
        <w:t xml:space="preserve">    describe(name, h)</w:t>
      </w:r>
      <w:r>
        <w:br/>
      </w:r>
      <w:r>
        <w:rPr>
          <w:rStyle w:val="NormalTok"/>
        </w:rPr>
        <w:t xml:space="preserve">x_only </w:t>
      </w:r>
      <w:r>
        <w:rPr>
          <w:rStyle w:val="OperatorTok"/>
        </w:rPr>
        <w:t xml:space="preserve">=</w:t>
      </w:r>
      <w:r>
        <w:rPr>
          <w:rStyle w:val="NormalTok"/>
        </w:rPr>
        <w:t xml:space="preserve"> [op </w:t>
      </w:r>
      <w:r>
        <w:rPr>
          <w:rStyle w:val="ControlFlowTok"/>
        </w:rPr>
        <w:t xml:space="preserve">for</w:t>
      </w:r>
      <w:r>
        <w:rPr>
          <w:rStyle w:val="NormalTok"/>
        </w:rPr>
        <w:t xml:space="preserve"> op </w:t>
      </w:r>
      <w:r>
        <w:rPr>
          <w:rStyle w:val="KeywordTok"/>
        </w:rPr>
        <w:t xml:space="preserve">in</w:t>
      </w:r>
      <w:r>
        <w:rPr>
          <w:rStyle w:val="NormalTok"/>
        </w:rPr>
        <w:t xml:space="preserve"> H5 </w:t>
      </w:r>
      <w:r>
        <w:rPr>
          <w:rStyle w:val="ControlFlowTok"/>
        </w:rPr>
        <w:t xml:space="preserve">if</w:t>
      </w:r>
      <w:r>
        <w:rPr>
          <w:rStyle w:val="NormalTok"/>
        </w:rPr>
        <w:t xml:space="preserve"> op[</w:t>
      </w:r>
      <w:r>
        <w:rPr>
          <w:rStyle w:val="DecValTok"/>
        </w:rPr>
        <w:t xml:space="preserve">2</w:t>
      </w:r>
      <w:r>
        <w:rPr>
          <w:rStyle w:val="NormalTok"/>
        </w:rPr>
        <w:t xml:space="preserve">] </w:t>
      </w:r>
      <w:r>
        <w:rPr>
          <w:rStyle w:val="OperatorTok"/>
        </w:rPr>
        <w:t xml:space="preserve">==</w:t>
      </w:r>
      <w:r>
        <w:rPr>
          <w:rStyle w:val="NormalTok"/>
        </w:rPr>
        <w:t xml:space="preserve"> </w:t>
      </w:r>
      <w:r>
        <w:rPr>
          <w:rStyle w:val="StringTok"/>
        </w:rPr>
        <w:t xml:space="preserve">"x"</w:t>
      </w:r>
      <w:r>
        <w:rPr>
          <w:rStyle w:val="NormalTok"/>
        </w:rPr>
        <w:t xml:space="preserve">]</w:t>
      </w:r>
      <w:r>
        <w:br/>
      </w:r>
      <w:r>
        <w:rPr>
          <w:rStyle w:val="NormalTok"/>
        </w:rPr>
        <w:t xml:space="preserve">y_only </w:t>
      </w:r>
      <w:r>
        <w:rPr>
          <w:rStyle w:val="OperatorTok"/>
        </w:rPr>
        <w:t xml:space="preserve">=</w:t>
      </w:r>
      <w:r>
        <w:rPr>
          <w:rStyle w:val="NormalTok"/>
        </w:rPr>
        <w:t xml:space="preserve"> [op </w:t>
      </w:r>
      <w:r>
        <w:rPr>
          <w:rStyle w:val="ControlFlowTok"/>
        </w:rPr>
        <w:t xml:space="preserve">for</w:t>
      </w:r>
      <w:r>
        <w:rPr>
          <w:rStyle w:val="NormalTok"/>
        </w:rPr>
        <w:t xml:space="preserve"> op </w:t>
      </w:r>
      <w:r>
        <w:rPr>
          <w:rStyle w:val="KeywordTok"/>
        </w:rPr>
        <w:t xml:space="preserve">in</w:t>
      </w:r>
      <w:r>
        <w:rPr>
          <w:rStyle w:val="NormalTok"/>
        </w:rPr>
        <w:t xml:space="preserve"> H5 </w:t>
      </w:r>
      <w:r>
        <w:rPr>
          <w:rStyle w:val="ControlFlowTok"/>
        </w:rPr>
        <w:t xml:space="preserve">if</w:t>
      </w:r>
      <w:r>
        <w:rPr>
          <w:rStyle w:val="NormalTok"/>
        </w:rPr>
        <w:t xml:space="preserve"> op[</w:t>
      </w:r>
      <w:r>
        <w:rPr>
          <w:rStyle w:val="DecValTok"/>
        </w:rPr>
        <w:t xml:space="preserve">2</w:t>
      </w:r>
      <w:r>
        <w:rPr>
          <w:rStyle w:val="NormalTok"/>
        </w:rPr>
        <w:t xml:space="preserve">] </w:t>
      </w:r>
      <w:r>
        <w:rPr>
          <w:rStyle w:val="OperatorTok"/>
        </w:rPr>
        <w:t xml:space="preserve">==</w:t>
      </w:r>
      <w:r>
        <w:rPr>
          <w:rStyle w:val="NormalTok"/>
        </w:rPr>
        <w:t xml:space="preserve"> </w:t>
      </w:r>
      <w:r>
        <w:rPr>
          <w:rStyle w:val="StringTok"/>
        </w:rPr>
        <w:t xml:space="preserve">"y"</w:t>
      </w:r>
      <w:r>
        <w:rPr>
          <w:rStyle w:val="NormalTok"/>
        </w:rPr>
        <w:t xml:space="preserve">]</w:t>
      </w:r>
      <w:r>
        <w:br/>
      </w:r>
      <w:r>
        <w:rPr>
          <w:rStyle w:val="BuiltInTok"/>
        </w:rPr>
        <w:t xml:space="preserve">print</w:t>
      </w:r>
      <w:r>
        <w:rPr>
          <w:rStyle w:val="NormalTok"/>
        </w:rPr>
        <w:t xml:space="preserve">(</w:t>
      </w:r>
      <w:r>
        <w:rPr>
          <w:rStyle w:val="StringTok"/>
        </w:rPr>
        <w:t xml:space="preserve">"H5 per key sequential:"</w:t>
      </w:r>
      <w:r>
        <w:rPr>
          <w:rStyle w:val="NormalTok"/>
        </w:rPr>
        <w:t xml:space="preserve">, check(x_only, </w:t>
      </w:r>
      <w:r>
        <w:rPr>
          <w:rStyle w:val="VariableTok"/>
        </w:rPr>
        <w:t xml:space="preserve">False</w:t>
      </w:r>
      <w:r>
        <w:rPr>
          <w:rStyle w:val="NormalTok"/>
        </w:rPr>
        <w:t xml:space="preserv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check(y_only, </w:t>
      </w:r>
      <w:r>
        <w:rPr>
          <w:rStyle w:val="VariableTok"/>
        </w:rPr>
        <w:t xml:space="preserve">False</w:t>
      </w:r>
      <w:r>
        <w:rPr>
          <w:rStyle w:val="NormalTok"/>
        </w:rPr>
        <w:t xml:space="preserv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p>
    <w:p>
      <w:pPr>
        <w:pStyle w:val="FirstParagraph"/>
      </w:pPr>
      <w:r>
        <w:t xml:space="preserve">Running it prints:</w:t>
      </w:r>
    </w:p>
    <w:p>
      <w:pPr>
        <w:pStyle w:val="SourceCode"/>
      </w:pPr>
      <w:r>
        <w:rPr>
          <w:rStyle w:val="VerbatimChar"/>
        </w:rPr>
        <w:t xml:space="preserve">H1: linearizable=True, sequential=True</w:t>
      </w:r>
      <w:r>
        <w:br/>
      </w:r>
      <w:r>
        <w:rPr>
          <w:rStyle w:val="VerbatimChar"/>
        </w:rPr>
        <w:t xml:space="preserve">   linearization: B:r(x=0) -&gt; A:w(x=1) -&gt; C:r(x=1)</w:t>
      </w:r>
      <w:r>
        <w:br/>
      </w:r>
      <w:r>
        <w:rPr>
          <w:rStyle w:val="VerbatimChar"/>
        </w:rPr>
        <w:t xml:space="preserve">H2: linearizable=False, sequential=True</w:t>
      </w:r>
      <w:r>
        <w:br/>
      </w:r>
      <w:r>
        <w:rPr>
          <w:rStyle w:val="VerbatimChar"/>
        </w:rPr>
        <w:t xml:space="preserve">   sequential order: B:r(x=0) -&gt; A:w(x=1)</w:t>
      </w:r>
      <w:r>
        <w:br/>
      </w:r>
      <w:r>
        <w:rPr>
          <w:rStyle w:val="VerbatimChar"/>
        </w:rPr>
        <w:t xml:space="preserve">H3: linearizable=False, sequential=True</w:t>
      </w:r>
      <w:r>
        <w:br/>
      </w:r>
      <w:r>
        <w:rPr>
          <w:rStyle w:val="VerbatimChar"/>
        </w:rPr>
        <w:t xml:space="preserve">   sequential order: C:r(x=0) -&gt; A:w(x=1) -&gt; B:r(x=1)</w:t>
      </w:r>
      <w:r>
        <w:br/>
      </w:r>
      <w:r>
        <w:rPr>
          <w:rStyle w:val="VerbatimChar"/>
        </w:rPr>
        <w:t xml:space="preserve">H4: linearizable=False, sequential=False</w:t>
      </w:r>
      <w:r>
        <w:br/>
      </w:r>
      <w:r>
        <w:rPr>
          <w:rStyle w:val="VerbatimChar"/>
        </w:rPr>
        <w:t xml:space="preserve">H5: linearizable=False, sequential=False</w:t>
      </w:r>
      <w:r>
        <w:br/>
      </w:r>
      <w:r>
        <w:rPr>
          <w:rStyle w:val="VerbatimChar"/>
        </w:rPr>
        <w:t xml:space="preserve">H6: linearizable=True, sequential=True</w:t>
      </w:r>
      <w:r>
        <w:br/>
      </w:r>
      <w:r>
        <w:rPr>
          <w:rStyle w:val="VerbatimChar"/>
        </w:rPr>
        <w:t xml:space="preserve">   linearization: A:w(x=1) -&gt; B:r(x=1) -&gt; C:r(x=1)</w:t>
      </w:r>
      <w:r>
        <w:br/>
      </w:r>
      <w:r>
        <w:rPr>
          <w:rStyle w:val="VerbatimChar"/>
        </w:rPr>
        <w:t xml:space="preserve">H5 per key sequential: True True</w:t>
      </w:r>
    </w:p>
    <w:p>
      <w:pPr>
        <w:pStyle w:val="FirstParagraph"/>
      </w:pPr>
      <w:r>
        <w:t xml:space="preserve">What to notice:</w:t>
      </w:r>
    </w:p>
    <w:p>
      <w:pPr>
        <w:numPr>
          <w:ilvl w:val="0"/>
          <w:numId w:val="1809"/>
        </w:numPr>
        <w:pStyle w:val="Compact"/>
      </w:pPr>
      <w:r>
        <w:rPr>
          <w:rStyle w:val="VerbatimChar"/>
        </w:rPr>
        <w:t xml:space="preserve">must_precede</w:t>
      </w:r>
      <w:r>
        <w:t xml:space="preserve"> </w:t>
      </w:r>
      <w:r>
        <w:t xml:space="preserve">is the only difference between the two models. Linearizability constrains order by real time across all clients; sequential consistency only by each client’s own program order.</w:t>
      </w:r>
    </w:p>
    <w:p>
      <w:pPr>
        <w:numPr>
          <w:ilvl w:val="0"/>
          <w:numId w:val="1809"/>
        </w:numPr>
        <w:pStyle w:val="Compact"/>
      </w:pPr>
      <w:r>
        <w:t xml:space="preserve">H2 and H3 (Figure 25.2) fail linearizability but pass sequential consistency: the checker reorders B’s or C’s stale read before the write, which is legal when real time does not count.</w:t>
      </w:r>
    </w:p>
    <w:p>
      <w:pPr>
        <w:numPr>
          <w:ilvl w:val="0"/>
          <w:numId w:val="1809"/>
        </w:numPr>
        <w:pStyle w:val="Compact"/>
      </w:pPr>
      <w:r>
        <w:t xml:space="preserve">H6 contains a write whose client timed out. The checker may include it (it evidently took effect, since reads return 1). Treating timeouts as failures would wrongly flag this history; real checkers model them as</w:t>
      </w:r>
      <w:r>
        <w:t xml:space="preserve"> </w:t>
      </w:r>
      <w:r>
        <w:rPr>
          <w:bCs/>
          <w:b/>
        </w:rPr>
        <w:t xml:space="preserve">indeterminate</w:t>
      </w:r>
      <w:r>
        <w:t xml:space="preserve">, exactly as here.</w:t>
      </w:r>
    </w:p>
    <w:p>
      <w:pPr>
        <w:numPr>
          <w:ilvl w:val="0"/>
          <w:numId w:val="1809"/>
        </w:numPr>
        <w:pStyle w:val="Compact"/>
      </w:pPr>
      <w:r>
        <w:t xml:space="preserve">H5 is discussed in §25.4.</w:t>
      </w:r>
    </w:p>
    <w:bookmarkEnd w:id="2786"/>
    <w:bookmarkEnd w:id="2787"/>
    <w:bookmarkStart w:id="2795" w:name="implementing-linearizability"/>
    <w:p>
      <w:pPr>
        <w:pStyle w:val="Heading3"/>
      </w:pPr>
      <w:r>
        <w:t xml:space="preserve">25.3.4 Implementing linearizability</w:t>
      </w:r>
    </w:p>
    <w:p>
      <w:pPr>
        <w:pStyle w:val="FirstParagraph"/>
      </w:pPr>
      <w:r>
        <w:t xml:space="preserve">You can obtain linearizability in three ways, all of which route every operation through some point of agreement:</w:t>
      </w:r>
    </w:p>
    <w:p>
      <w:pPr>
        <w:numPr>
          <w:ilvl w:val="0"/>
          <w:numId w:val="1810"/>
        </w:numPr>
        <w:pStyle w:val="Compact"/>
      </w:pPr>
      <w:r>
        <w:rPr>
          <w:bCs/>
          <w:b/>
        </w:rPr>
        <w:t xml:space="preserve">Single copy or single leader with synchronous reads.</w:t>
      </w:r>
      <w:r>
        <w:t xml:space="preserve"> </w:t>
      </w:r>
      <w:r>
        <w:t xml:space="preserve">All reads and writes go to one node (a single PostgreSQL server, or the leader of a partition). It is linearizable as long as there is exactly one such node. After failover, the old leader must be prevented from serving, which needs leases or a consensus round (Chapter 26). A leader that serves reads from local state without confirming it is still leader can return stale data after a new leader has been elected elsewhere.</w:t>
      </w:r>
    </w:p>
    <w:p>
      <w:pPr>
        <w:numPr>
          <w:ilvl w:val="0"/>
          <w:numId w:val="1810"/>
        </w:numPr>
        <w:pStyle w:val="Compact"/>
      </w:pPr>
      <w:r>
        <w:rPr>
          <w:bCs/>
          <w:b/>
        </w:rPr>
        <w:t xml:space="preserve">Consensus-replicated log.</w:t>
      </w:r>
      <w:r>
        <w:t xml:space="preserve"> </w:t>
      </w:r>
      <w:r>
        <w:t xml:space="preserve">Raft, Multi-Paxos and ZAB (Chapter 26) order writes through a majority. Linearizable reads either go through the log too, or the leader confirms its leadership with a quorum heartbeat (Raft’s ReadIndex) or relies on a time-based lease bounded by clock-drift assumptions [Ongaro 2014].</w:t>
      </w:r>
    </w:p>
    <w:p>
      <w:pPr>
        <w:numPr>
          <w:ilvl w:val="0"/>
          <w:numId w:val="1810"/>
        </w:numPr>
        <w:pStyle w:val="Compact"/>
      </w:pPr>
      <w:r>
        <w:rPr>
          <w:bCs/>
          <w:b/>
        </w:rPr>
        <w:t xml:space="preserve">Quorum registers without a leader.</w:t>
      </w:r>
      <w:r>
        <w:t xml:space="preserve"> </w:t>
      </w:r>
      <w:r>
        <w:t xml:space="preserve">The</w:t>
      </w:r>
      <w:r>
        <w:t xml:space="preserve"> </w:t>
      </w:r>
      <w:r>
        <w:rPr>
          <w:bCs/>
          <w:b/>
        </w:rPr>
        <w:t xml:space="preserve">ABD</w:t>
      </w:r>
      <w:r>
        <w:t xml:space="preserve"> </w:t>
      </w:r>
      <w:r>
        <w:t xml:space="preserve">algorithm of Attiya, Bar-Noy and Dolev [Attiya et al. 1995] implements a linearizable read/write register over</w:t>
      </w:r>
      <w:r>
        <w:t xml:space="preserve"> </w:t>
      </w:r>
      <m:oMath>
        <m:r>
          <m:t>N</m:t>
        </m:r>
      </m:oMath>
      <w:r>
        <w:t xml:space="preserve"> </w:t>
      </w:r>
      <w:r>
        <w:t xml:space="preserve">replicas tolerating</w:t>
      </w:r>
      <w:r>
        <w:t xml:space="preserve"> </w:t>
      </w:r>
      <m:oMath>
        <m:r>
          <m:t>f</m:t>
        </m:r>
        <m:r>
          <m:rPr>
            <m:sty m:val="p"/>
          </m:rPr>
          <m:t>&lt;</m:t>
        </m:r>
        <m:r>
          <m:t>N</m:t>
        </m:r>
        <m:r>
          <m:rPr>
            <m:sty m:val="p"/>
          </m:rPr>
          <m:t>/</m:t>
        </m:r>
        <m:r>
          <m:t>2</m:t>
        </m:r>
      </m:oMath>
      <w:r>
        <w:t xml:space="preserve"> </w:t>
      </w:r>
      <w:r>
        <w:t xml:space="preserve">crashes, with no leader and no consensus. Each value carries a timestamp. A write sends (value, timestamp) to all replicas and waits for a majority to acknowledge. A read asks a majority for their (value, timestamp), picks the highest, and</w:t>
      </w:r>
      <w:r>
        <w:t xml:space="preserve"> </w:t>
      </w:r>
      <w:r>
        <w:rPr>
          <w:bCs/>
          <w:b/>
        </w:rPr>
        <w:t xml:space="preserve">writes it back</w:t>
      </w:r>
      <w:r>
        <w:t xml:space="preserve"> </w:t>
      </w:r>
      <w:r>
        <w:t xml:space="preserve">to a majority before returning.</w:t>
      </w:r>
    </w:p>
    <w:p>
      <w:pPr>
        <w:pStyle w:val="FirstParagraph"/>
      </w:pPr>
      <w:r>
        <w:rPr>
          <w:bCs/>
          <w:b/>
        </w:rPr>
        <w:t xml:space="preserve">Figure 25.3 — ABD quorum read with write-back on three replicas.</w:t>
      </w:r>
    </w:p>
    <w:p>
      <w:pPr>
        <w:pStyle w:val="BodyText"/>
      </w:pPr>
      <w:r>
        <w:drawing>
          <wp:inline>
            <wp:extent cx="5334000" cy="3850147"/>
            <wp:effectExtent b="0" l="0" r="0" t="0"/>
            <wp:docPr descr="" title="" id="2789" name="Picture"/>
            <a:graphic>
              <a:graphicData uri="http://schemas.openxmlformats.org/drawingml/2006/picture">
                <pic:pic>
                  <pic:nvPicPr>
                    <pic:cNvPr descr="/home/user/System-Design/build/.cache/diagrams/06911f49148c.png" id="2790" name="Picture"/>
                    <pic:cNvPicPr>
                      <a:picLocks noChangeArrowheads="1" noChangeAspect="1"/>
                    </pic:cNvPicPr>
                  </pic:nvPicPr>
                  <pic:blipFill>
                    <a:blip r:embed="rId2788"/>
                    <a:stretch>
                      <a:fillRect/>
                    </a:stretch>
                  </pic:blipFill>
                  <pic:spPr bwMode="auto">
                    <a:xfrm>
                      <a:off x="0" y="0"/>
                      <a:ext cx="5334000" cy="3850147"/>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All calls are synchronous RPCs; the reader waits for two of three replies in each phase. Replica 1 holds a write that has reached only one node, the partial-write situation of history H3. Without phase 2, this reader returns 1 but a later reader querying Replicas 2 and 3 would return 0, an inversion. Phase 2 makes sure that any value a reader returns is stored on a majority, so every later majority overlaps it. The failure points are replica crashes (tolerated while a majority answers) and a network partition that leaves the reader with only a minority (the read blocks: this is the C-over-A choice of §25.8). Scaling is per object: different registers can live on different replica groups because linearizability is compositional.</w:t>
      </w:r>
    </w:p>
    <w:bookmarkStart w:id="2791" w:name="mathematical-foundations-48"/>
    <w:p>
      <w:pPr>
        <w:pStyle w:val="Heading4"/>
      </w:pPr>
      <w:r>
        <w:t xml:space="preserve">Mathematical foundations</w:t>
      </w:r>
    </w:p>
    <w:p>
      <w:pPr>
        <w:pStyle w:val="FirstParagraph"/>
      </w:pPr>
      <w:r>
        <w:t xml:space="preserve">Every one of the three approaches needs a message exchange with a majority (or with a leader that has itself confirmed a majority) on the critical path. That is the price of linearizability.</w:t>
      </w:r>
    </w:p>
    <w:p>
      <w:pPr>
        <w:pStyle w:val="CalloutFormula"/>
      </w:pPr>
      <w:r>
        <w:rPr>
          <w:bCs/>
          <w:b/>
        </w:rPr>
        <w:t xml:space="preserve">FORMULA</w:t>
      </w:r>
    </w:p>
    <w:p>
      <w:pPr>
        <w:pStyle w:val="CalloutFormula"/>
      </w:pPr>
      <w:r>
        <w:rPr>
          <w:bCs/>
          <w:b/>
        </w:rPr>
        <w:t xml:space="preserve">Latency of a quorum operation</w:t>
      </w:r>
    </w:p>
    <w:p>
      <w:pPr>
        <w:pStyle w:val="CalloutFormula"/>
      </w:pPr>
      <m:oMathPara>
        <m:oMathParaPr>
          <m:jc m:val="center"/>
        </m:oMathParaPr>
        <m:oMath>
          <m:sSub>
            <m:e>
              <m:r>
                <m:t>T</m:t>
              </m:r>
            </m:e>
            <m:sub>
              <m:r>
                <m:rPr>
                  <m:nor/>
                  <m:sty m:val="p"/>
                </m:rPr>
                <m:t>op</m:t>
              </m:r>
            </m:sub>
          </m:sSub>
          <m:r>
            <m:rPr>
              <m:sty m:val="p"/>
            </m:rPr>
            <m:t>≈</m:t>
          </m:r>
          <m:r>
            <m:t>k</m:t>
          </m:r>
          <m:r>
            <m:rPr>
              <m:sty m:val="p"/>
            </m:rPr>
            <m:t>×</m:t>
          </m:r>
          <m:sSub>
            <m:e>
              <m:r>
                <m:rPr>
                  <m:nor/>
                  <m:sty m:val="p"/>
                </m:rPr>
                <m:t>RTT</m:t>
              </m:r>
            </m:e>
            <m:sub>
              <m:d>
                <m:dPr>
                  <m:begChr m:val="("/>
                  <m:endChr m:val=")"/>
                  <m:sepChr m:val=""/>
                  <m:grow/>
                </m:dPr>
                <m:e>
                  <m:r>
                    <m:t>q</m:t>
                  </m:r>
                </m:e>
              </m:d>
            </m:sub>
          </m:sSub>
          <m:r>
            <m:rPr>
              <m:sty m:val="p"/>
            </m:rPr>
            <m:t>+</m:t>
          </m:r>
          <m:sSub>
            <m:e>
              <m:r>
                <m:t>T</m:t>
              </m:r>
            </m:e>
            <m:sub>
              <m:r>
                <m:rPr>
                  <m:nor/>
                  <m:sty m:val="p"/>
                </m:rPr>
                <m:t>proc</m:t>
              </m:r>
            </m:sub>
          </m:sSub>
          <m:r>
            <m:rPr>
              <m:sty m:val="p"/>
            </m:rPr>
            <m:t>,</m:t>
          </m:r>
          <m:r>
            <m:t>  </m:t>
          </m:r>
          <m:r>
            <m:t>q</m:t>
          </m:r>
          <m:r>
            <m:rPr>
              <m:sty m:val="p"/>
            </m:rPr>
            <m:t>=</m:t>
          </m:r>
          <m:d>
            <m:dPr>
              <m:begChr m:val="⌊"/>
              <m:endChr m:val="⌋"/>
              <m:sepChr m:val=""/>
              <m:grow/>
            </m:dPr>
            <m:e>
              <m:r>
                <m:t>N</m:t>
              </m:r>
              <m:r>
                <m:rPr>
                  <m:sty m:val="p"/>
                </m:rPr>
                <m:t>/</m:t>
              </m:r>
              <m:r>
                <m:t>2</m:t>
              </m:r>
            </m:e>
          </m:d>
          <m:r>
            <m:rPr>
              <m:sty m:val="p"/>
            </m:rPr>
            <m:t>+</m:t>
          </m:r>
          <m:r>
            <m:t>1</m:t>
          </m:r>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T</m:t>
                  </m:r>
                </m:e>
                <m:sub>
                  <m:r>
                    <m:rPr>
                      <m:nor/>
                      <m:sty m:val="p"/>
                    </m:rPr>
                    <m:t>op</m:t>
                  </m:r>
                </m:sub>
              </m:sSub>
            </m:oMath>
          </w:p>
        </w:tc>
        <w:tc>
          <w:tcPr/>
          <w:p>
            <w:pPr>
              <w:pStyle w:val="Compact"/>
              <w:jc w:val="left"/>
            </w:pPr>
            <w:r>
              <w:t xml:space="preserve">Latency of one linearizable read or write as seen by the client</w:t>
            </w:r>
          </w:p>
        </w:tc>
        <w:tc>
          <w:tcPr/>
          <w:p>
            <w:pPr>
              <w:pStyle w:val="Compact"/>
              <w:jc w:val="left"/>
            </w:pPr>
            <w:r>
              <w:t xml:space="preserve">ms</w:t>
            </w:r>
          </w:p>
        </w:tc>
      </w:tr>
      <w:tr>
        <w:tc>
          <w:tcPr/>
          <w:p>
            <w:pPr>
              <w:pStyle w:val="Compact"/>
              <w:jc w:val="left"/>
            </w:pPr>
            <m:oMath>
              <m:r>
                <m:t>k</m:t>
              </m:r>
            </m:oMath>
          </w:p>
        </w:tc>
        <w:tc>
          <w:tcPr/>
          <w:p>
            <w:pPr>
              <w:pStyle w:val="Compact"/>
              <w:jc w:val="left"/>
            </w:pPr>
            <w:r>
              <w:t xml:space="preserve">Sequential round trips the protocol needs (ABD read: 2; ABD single-writer write: 1; Raft write via leader: 1 to the followers plus the client-to-leader trip)</w:t>
            </w:r>
          </w:p>
        </w:tc>
        <w:tc>
          <w:tcPr/>
          <w:p>
            <w:pPr>
              <w:pStyle w:val="Compact"/>
              <w:jc w:val="left"/>
            </w:pPr>
            <w:r>
              <w:t xml:space="preserve">count</w:t>
            </w:r>
          </w:p>
        </w:tc>
      </w:tr>
      <w:tr>
        <w:tc>
          <w:tcPr/>
          <w:p>
            <w:pPr>
              <w:pStyle w:val="Compact"/>
              <w:jc w:val="left"/>
            </w:pPr>
            <m:oMath>
              <m:sSub>
                <m:e>
                  <m:r>
                    <m:rPr>
                      <m:nor/>
                      <m:sty m:val="p"/>
                    </m:rPr>
                    <m:t>RTT</m:t>
                  </m:r>
                </m:e>
                <m:sub>
                  <m:d>
                    <m:dPr>
                      <m:begChr m:val="("/>
                      <m:endChr m:val=")"/>
                      <m:sepChr m:val=""/>
                      <m:grow/>
                    </m:dPr>
                    <m:e>
                      <m:r>
                        <m:t>q</m:t>
                      </m:r>
                    </m:e>
                  </m:d>
                </m:sub>
              </m:sSub>
            </m:oMath>
          </w:p>
        </w:tc>
        <w:tc>
          <w:tcPr/>
          <w:p>
            <w:pPr>
              <w:pStyle w:val="Compact"/>
              <w:jc w:val="left"/>
            </w:pPr>
            <w:r>
              <w:t xml:space="preserve">Round-trip time to the</w:t>
            </w:r>
            <w:r>
              <w:t xml:space="preserve"> </w:t>
            </w:r>
            <m:oMath>
              <m:r>
                <m:t>q</m:t>
              </m:r>
            </m:oMath>
            <w:r>
              <w:t xml:space="preserve">-th closest replica, counting the coordinator itself if it holds a replica</w:t>
            </w:r>
          </w:p>
        </w:tc>
        <w:tc>
          <w:tcPr/>
          <w:p>
            <w:pPr>
              <w:pStyle w:val="Compact"/>
              <w:jc w:val="left"/>
            </w:pPr>
            <w:r>
              <w:t xml:space="preserve">ms</w:t>
            </w:r>
          </w:p>
        </w:tc>
      </w:tr>
      <w:tr>
        <w:tc>
          <w:tcPr/>
          <w:p>
            <w:pPr>
              <w:pStyle w:val="Compact"/>
              <w:jc w:val="left"/>
            </w:pPr>
            <m:oMath>
              <m:r>
                <m:t>q</m:t>
              </m:r>
            </m:oMath>
          </w:p>
        </w:tc>
        <w:tc>
          <w:tcPr/>
          <w:p>
            <w:pPr>
              <w:pStyle w:val="Compact"/>
              <w:jc w:val="left"/>
            </w:pPr>
            <w:r>
              <w:t xml:space="preserve">Majority quorum size for</w:t>
            </w:r>
            <w:r>
              <w:t xml:space="preserve"> </w:t>
            </w:r>
            <m:oMath>
              <m:r>
                <m:t>N</m:t>
              </m:r>
            </m:oMath>
            <w:r>
              <w:t xml:space="preserve"> </w:t>
            </w:r>
            <w:r>
              <w:t xml:space="preserve">replicas</w:t>
            </w:r>
          </w:p>
        </w:tc>
        <w:tc>
          <w:tcPr/>
          <w:p>
            <w:pPr>
              <w:pStyle w:val="Compact"/>
              <w:jc w:val="left"/>
            </w:pPr>
            <w:r>
              <w:t xml:space="preserve">replicas</w:t>
            </w:r>
          </w:p>
        </w:tc>
      </w:tr>
      <w:tr>
        <w:tc>
          <w:tcPr/>
          <w:p>
            <w:pPr>
              <w:pStyle w:val="Compact"/>
              <w:jc w:val="left"/>
            </w:pPr>
            <m:oMath>
              <m:r>
                <m:t>N</m:t>
              </m:r>
            </m:oMath>
          </w:p>
        </w:tc>
        <w:tc>
          <w:tcPr/>
          <w:p>
            <w:pPr>
              <w:pStyle w:val="Compact"/>
              <w:jc w:val="left"/>
            </w:pPr>
            <w:r>
              <w:t xml:space="preserve">Number of replicas</w:t>
            </w:r>
          </w:p>
        </w:tc>
        <w:tc>
          <w:tcPr/>
          <w:p>
            <w:pPr>
              <w:pStyle w:val="Compact"/>
              <w:jc w:val="left"/>
            </w:pPr>
            <w:r>
              <w:t xml:space="preserve">replicas</w:t>
            </w:r>
          </w:p>
        </w:tc>
      </w:tr>
      <w:tr>
        <w:tc>
          <w:tcPr/>
          <w:p>
            <w:pPr>
              <w:pStyle w:val="Compact"/>
              <w:jc w:val="left"/>
            </w:pPr>
            <m:oMath>
              <m:sSub>
                <m:e>
                  <m:r>
                    <m:t>T</m:t>
                  </m:r>
                </m:e>
                <m:sub>
                  <m:r>
                    <m:rPr>
                      <m:nor/>
                      <m:sty m:val="p"/>
                    </m:rPr>
                    <m:t>proc</m:t>
                  </m:r>
                </m:sub>
              </m:sSub>
            </m:oMath>
          </w:p>
        </w:tc>
        <w:tc>
          <w:tcPr/>
          <w:p>
            <w:pPr>
              <w:pStyle w:val="Compact"/>
              <w:jc w:val="left"/>
            </w:pPr>
            <w:r>
              <w:t xml:space="preserve">Processing and disk flush time</w:t>
            </w:r>
          </w:p>
        </w:tc>
        <w:tc>
          <w:tcPr/>
          <w:p>
            <w:pPr>
              <w:pStyle w:val="Compact"/>
              <w:jc w:val="left"/>
            </w:pPr>
            <w:r>
              <w:t xml:space="preserve">ms</w:t>
            </w:r>
          </w:p>
        </w:tc>
      </w:tr>
    </w:tbl>
    <w:p>
      <w:pPr>
        <w:pStyle w:val="CalloutExample"/>
      </w:pPr>
      <w:r>
        <w:rPr>
          <w:bCs/>
          <w:b/>
        </w:rPr>
        <w:t xml:space="preserve">WORKED EXAMPLE</w:t>
      </w:r>
    </w:p>
    <w:p>
      <w:pPr>
        <w:pStyle w:val="CalloutExample"/>
      </w:pPr>
      <w:r>
        <w:rPr>
          <w:bCs/>
          <w:b/>
        </w:rPr>
        <w:t xml:space="preserve">Worked example — Five replicas across regions.</w:t>
      </w:r>
      <w:r>
        <w:t xml:space="preserve"> </w:t>
      </w:r>
      <w:r>
        <w:t xml:space="preserve">A register is replicated in five regions. From the coordinator in Virginia, the RTTs are: Virginia 0 ms (local replica), Ohio 12 ms, Oregon 65 ms, Ireland 75 ms, Frankfurt 90 ms. Take</w:t>
      </w:r>
      <w:r>
        <w:t xml:space="preserve"> </w:t>
      </w:r>
      <m:oMath>
        <m:sSub>
          <m:e>
            <m:r>
              <m:t>T</m:t>
            </m:r>
          </m:e>
          <m:sub>
            <m:r>
              <m:rPr>
                <m:nor/>
                <m:sty m:val="p"/>
              </m:rPr>
              <m:t>proc</m:t>
            </m:r>
          </m:sub>
        </m:sSub>
        <m:r>
          <m:rPr>
            <m:sty m:val="p"/>
          </m:rPr>
          <m:t>=</m:t>
        </m:r>
        <m:r>
          <m:t>1</m:t>
        </m:r>
      </m:oMath>
      <w:r>
        <w:t xml:space="preserve"> </w:t>
      </w:r>
      <w:r>
        <w:t xml:space="preserve">ms.</w:t>
      </w:r>
    </w:p>
    <w:p>
      <w:pPr>
        <w:numPr>
          <w:ilvl w:val="0"/>
          <w:numId w:val="1811"/>
        </w:numPr>
        <w:pStyle w:val="Compact"/>
      </w:pPr>
      <m:oMath>
        <m:r>
          <m:t>q</m:t>
        </m:r>
        <m:r>
          <m:rPr>
            <m:sty m:val="p"/>
          </m:rPr>
          <m:t>=</m:t>
        </m:r>
        <m:r>
          <m:rPr>
            <m:sty m:val="p"/>
          </m:rPr>
          <m:t>⌊</m:t>
        </m:r>
        <m:r>
          <m:t>5</m:t>
        </m:r>
        <m:r>
          <m:rPr>
            <m:sty m:val="p"/>
          </m:rPr>
          <m:t>/</m:t>
        </m:r>
        <m:r>
          <m:t>2</m:t>
        </m:r>
        <m:r>
          <m:rPr>
            <m:sty m:val="p"/>
          </m:rPr>
          <m:t>⌋</m:t>
        </m:r>
        <m:r>
          <m:rPr>
            <m:sty m:val="p"/>
          </m:rPr>
          <m:t>+</m:t>
        </m:r>
        <m:r>
          <m:t>1</m:t>
        </m:r>
        <m:r>
          <m:rPr>
            <m:sty m:val="p"/>
          </m:rPr>
          <m:t>=</m:t>
        </m:r>
        <m:r>
          <m:t>3</m:t>
        </m:r>
      </m:oMath>
      <w:r>
        <w:t xml:space="preserve">. Sorted RTTs: 0, 12, 65, 75, 90. The third smallest is</w:t>
      </w:r>
      <w:r>
        <w:t xml:space="preserve"> </w:t>
      </w:r>
      <m:oMath>
        <m:sSub>
          <m:e>
            <m:r>
              <m:rPr>
                <m:nor/>
                <m:sty m:val="p"/>
              </m:rPr>
              <m:t>RTT</m:t>
            </m:r>
          </m:e>
          <m:sub>
            <m:d>
              <m:dPr>
                <m:begChr m:val="("/>
                <m:endChr m:val=")"/>
                <m:sepChr m:val=""/>
                <m:grow/>
              </m:dPr>
              <m:e>
                <m:r>
                  <m:t>3</m:t>
                </m:r>
              </m:e>
            </m:d>
          </m:sub>
        </m:sSub>
        <m:r>
          <m:rPr>
            <m:sty m:val="p"/>
          </m:rPr>
          <m:t>=</m:t>
        </m:r>
        <m:r>
          <m:t>65</m:t>
        </m:r>
      </m:oMath>
      <w:r>
        <w:t xml:space="preserve"> </w:t>
      </w:r>
      <w:r>
        <w:t xml:space="preserve">ms (Oregon).</w:t>
      </w:r>
    </w:p>
    <w:p>
      <w:pPr>
        <w:numPr>
          <w:ilvl w:val="0"/>
          <w:numId w:val="1811"/>
        </w:numPr>
        <w:pStyle w:val="Compact"/>
      </w:pPr>
      <w:r>
        <w:t xml:space="preserve">One-round-trip write:</w:t>
      </w:r>
      <w:r>
        <w:t xml:space="preserve"> </w:t>
      </w:r>
      <m:oMath>
        <m:r>
          <m:t>T</m:t>
        </m:r>
        <m:r>
          <m:rPr>
            <m:sty m:val="p"/>
          </m:rPr>
          <m:t>≈</m:t>
        </m:r>
        <m:r>
          <m:t>1</m:t>
        </m:r>
        <m:r>
          <m:rPr>
            <m:sty m:val="p"/>
          </m:rPr>
          <m:t>×</m:t>
        </m:r>
        <m:r>
          <m:t>65</m:t>
        </m:r>
        <m:r>
          <m:rPr>
            <m:sty m:val="p"/>
          </m:rPr>
          <m:t>+</m:t>
        </m:r>
        <m:r>
          <m:t>1</m:t>
        </m:r>
        <m:r>
          <m:rPr>
            <m:sty m:val="p"/>
          </m:rPr>
          <m:t>=</m:t>
        </m:r>
        <m:r>
          <m:t>66</m:t>
        </m:r>
      </m:oMath>
      <w:r>
        <w:t xml:space="preserve"> </w:t>
      </w:r>
      <w:r>
        <w:t xml:space="preserve">ms.</w:t>
      </w:r>
    </w:p>
    <w:p>
      <w:pPr>
        <w:numPr>
          <w:ilvl w:val="0"/>
          <w:numId w:val="1811"/>
        </w:numPr>
        <w:pStyle w:val="Compact"/>
      </w:pPr>
      <w:r>
        <w:t xml:space="preserve">ABD read with write-back:</w:t>
      </w:r>
      <w:r>
        <w:t xml:space="preserve"> </w:t>
      </w:r>
      <m:oMath>
        <m:r>
          <m:t>T</m:t>
        </m:r>
        <m:r>
          <m:rPr>
            <m:sty m:val="p"/>
          </m:rPr>
          <m:t>≈</m:t>
        </m:r>
        <m:r>
          <m:t>2</m:t>
        </m:r>
        <m:r>
          <m:rPr>
            <m:sty m:val="p"/>
          </m:rPr>
          <m:t>×</m:t>
        </m:r>
        <m:r>
          <m:t>65</m:t>
        </m:r>
        <m:r>
          <m:rPr>
            <m:sty m:val="p"/>
          </m:rPr>
          <m:t>+</m:t>
        </m:r>
        <m:r>
          <m:t>1</m:t>
        </m:r>
        <m:r>
          <m:rPr>
            <m:sty m:val="p"/>
          </m:rPr>
          <m:t>=</m:t>
        </m:r>
        <m:r>
          <m:t>131</m:t>
        </m:r>
      </m:oMath>
      <w:r>
        <w:t xml:space="preserve"> </w:t>
      </w:r>
      <w:r>
        <w:t xml:space="preserve">ms.</w:t>
      </w:r>
    </w:p>
    <w:p>
      <w:pPr>
        <w:numPr>
          <w:ilvl w:val="0"/>
          <w:numId w:val="1811"/>
        </w:numPr>
        <w:pStyle w:val="Compact"/>
      </w:pPr>
      <w:r>
        <w:t xml:space="preserve">Now move the Oregon replica to a second Virginia zone (RTT 1 ms). Sorted: 0, 1, 12, 75, 90;</w:t>
      </w:r>
      <w:r>
        <w:t xml:space="preserve"> </w:t>
      </w:r>
      <m:oMath>
        <m:sSub>
          <m:e>
            <m:r>
              <m:rPr>
                <m:nor/>
                <m:sty m:val="p"/>
              </m:rPr>
              <m:t>RTT</m:t>
            </m:r>
          </m:e>
          <m:sub>
            <m:d>
              <m:dPr>
                <m:begChr m:val="("/>
                <m:endChr m:val=")"/>
                <m:sepChr m:val=""/>
                <m:grow/>
              </m:dPr>
              <m:e>
                <m:r>
                  <m:t>3</m:t>
                </m:r>
              </m:e>
            </m:d>
          </m:sub>
        </m:sSub>
        <m:r>
          <m:rPr>
            <m:sty m:val="p"/>
          </m:rPr>
          <m:t>=</m:t>
        </m:r>
        <m:r>
          <m:t>12</m:t>
        </m:r>
      </m:oMath>
      <w:r>
        <w:t xml:space="preserve"> </w:t>
      </w:r>
      <w:r>
        <w:t xml:space="preserve">ms. Write ≈ 13 ms; read ≈ 25 ms.</w:t>
      </w:r>
    </w:p>
    <w:p>
      <w:pPr>
        <w:pStyle w:val="CalloutExample"/>
      </w:pPr>
      <w:r>
        <w:rPr>
          <w:bCs/>
          <w:b/>
        </w:rPr>
        <w:t xml:space="preserve">Interpretation.</w:t>
      </w:r>
      <w:r>
        <w:t xml:space="preserve"> </w:t>
      </w:r>
      <w:r>
        <w:t xml:space="preserve">Quorum latency is set by the</w:t>
      </w:r>
      <w:r>
        <w:t xml:space="preserve"> </w:t>
      </w:r>
      <w:r>
        <w:rPr>
          <w:iCs/>
          <w:i/>
        </w:rPr>
        <w:t xml:space="preserve">median</w:t>
      </w:r>
      <w:r>
        <w:t xml:space="preserve"> </w:t>
      </w:r>
      <w:r>
        <w:t xml:space="preserve">replica’s distance, not the nearest one (the same order statistic appears as</w:t>
      </w:r>
      <w:r>
        <w:t xml:space="preserve"> </w:t>
      </w:r>
      <m:oMath>
        <m:sSub>
          <m:e>
            <m:r>
              <m:rPr>
                <m:sty m:val="p"/>
              </m:rPr>
              <m:t>R</m:t>
            </m:r>
            <m:r>
              <m:rPr>
                <m:sty m:val="p"/>
              </m:rPr>
              <m:t>T</m:t>
            </m:r>
            <m:r>
              <m:rPr>
                <m:sty m:val="p"/>
              </m:rPr>
              <m:t>T</m:t>
            </m:r>
          </m:e>
          <m:sub>
            <m:d>
              <m:dPr>
                <m:begChr m:val="("/>
                <m:endChr m:val=")"/>
                <m:sepChr m:val=""/>
                <m:grow/>
              </m:dPr>
              <m:e>
                <m:r>
                  <m:t>q</m:t>
                </m:r>
                <m:r>
                  <m:rPr>
                    <m:sty m:val="p"/>
                  </m:rPr>
                  <m:t>−</m:t>
                </m:r>
                <m:r>
                  <m:t>1</m:t>
                </m:r>
              </m:e>
            </m:d>
          </m:sub>
        </m:sSub>
      </m:oMath>
      <w:r>
        <w:t xml:space="preserve"> </w:t>
      </w:r>
      <w:r>
        <w:t xml:space="preserve">over followers for Raft commits in §26.4.2 and for</w:t>
      </w:r>
      <w:r>
        <w:t xml:space="preserve"> </w:t>
      </w:r>
      <m:oMath>
        <m:r>
          <m:t>R</m:t>
        </m:r>
      </m:oMath>
      <w:r>
        <w:t xml:space="preserve">/</w:t>
      </w:r>
      <m:oMath>
        <m:r>
          <m:t>W</m:t>
        </m:r>
      </m:oMath>
      <w:r>
        <w:t xml:space="preserve"> </w:t>
      </w:r>
      <w:r>
        <w:t xml:space="preserve">quorums in §27.8.3). Clustering a majority close together makes linearizable operations cheap for nearby clients, at the cost of a region failure taking down the majority.</w:t>
      </w:r>
      <w:r>
        <w:t xml:space="preserve"> </w:t>
      </w:r>
      <w:r>
        <w:rPr>
          <w:bCs/>
          <w:b/>
        </w:rPr>
        <w:t xml:space="preserve">Engineering implication.</w:t>
      </w:r>
      <w:r>
        <w:t xml:space="preserve"> </w:t>
      </w:r>
      <w:r>
        <w:t xml:space="preserve">Linearizable global data pays a cross-region round trip somewhere; you choose where. Spanner and CockroachDB place leaders and voting replicas near the dominant writers for that reason (§25.10, Chapter 28).</w:t>
      </w:r>
    </w:p>
    <w:p>
      <w:pPr>
        <w:pStyle w:val="BodyText"/>
      </w:pPr>
      <w:r>
        <w:t xml:space="preserve">Is this cost an artifact of particular algorithms, or fundamental? Lipton and Sandberg, and later Attiya and Welch, proved lower bounds in a model where message delays are between</w:t>
      </w:r>
      <w:r>
        <w:t xml:space="preserve"> </w:t>
      </w:r>
      <m:oMath>
        <m:r>
          <m:t>d</m:t>
        </m:r>
        <m:r>
          <m:rPr>
            <m:sty m:val="p"/>
          </m:rPr>
          <m:t>−</m:t>
        </m:r>
        <m:r>
          <m:t>u</m:t>
        </m:r>
      </m:oMath>
      <w:r>
        <w:t xml:space="preserve"> </w:t>
      </w:r>
      <w:r>
        <w:t xml:space="preserve">and</w:t>
      </w:r>
      <w:r>
        <w:t xml:space="preserve"> </w:t>
      </w:r>
      <m:oMath>
        <m:r>
          <m:t>d</m:t>
        </m:r>
      </m:oMath>
      <w:r>
        <w:t xml:space="preserve"> </w:t>
      </w:r>
      <w:r>
        <w:t xml:space="preserve">[Lipton &amp; Sandberg 1988; Attiya &amp; Welch 1994].</w:t>
      </w:r>
    </w:p>
    <w:p>
      <w:pPr>
        <w:pStyle w:val="CalloutFormula"/>
      </w:pPr>
      <w:r>
        <w:rPr>
          <w:bCs/>
          <w:b/>
        </w:rPr>
        <w:t xml:space="preserve">FORMULA</w:t>
      </w:r>
    </w:p>
    <w:p>
      <w:pPr>
        <w:pStyle w:val="CalloutFormula"/>
      </w:pPr>
      <w:r>
        <w:rPr>
          <w:bCs/>
          <w:b/>
        </w:rPr>
        <w:t xml:space="preserve">Lower bound for sequentially consistent and linearizable registers</w:t>
      </w:r>
    </w:p>
    <w:p>
      <w:pPr>
        <w:pStyle w:val="CalloutFormula"/>
      </w:pPr>
      <m:oMathPara>
        <m:oMathParaPr>
          <m:jc m:val="center"/>
        </m:oMathParaPr>
        <m:oMath>
          <m:sSub>
            <m:e>
              <m:r>
                <m:t>t</m:t>
              </m:r>
            </m:e>
            <m:sub>
              <m:r>
                <m:rPr>
                  <m:nor/>
                  <m:sty m:val="p"/>
                </m:rPr>
                <m:t>read</m:t>
              </m:r>
            </m:sub>
          </m:sSub>
          <m:r>
            <m:rPr>
              <m:sty m:val="p"/>
            </m:rPr>
            <m:t>+</m:t>
          </m:r>
          <m:sSub>
            <m:e>
              <m:r>
                <m:t>t</m:t>
              </m:r>
            </m:e>
            <m:sub>
              <m:r>
                <m:rPr>
                  <m:nor/>
                  <m:sty m:val="p"/>
                </m:rPr>
                <m:t>write</m:t>
              </m:r>
            </m:sub>
          </m:sSub>
          <m:r>
            <m:t> </m:t>
          </m:r>
          <m:r>
            <m:rPr>
              <m:sty m:val="p"/>
            </m:rPr>
            <m:t>≥</m:t>
          </m:r>
          <m:r>
            <m:t> </m:t>
          </m:r>
          <m:r>
            <m:t>d</m:t>
          </m:r>
        </m:oMath>
      </m:oMathPara>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t</m:t>
                  </m:r>
                </m:e>
                <m:sub>
                  <m:r>
                    <m:rPr>
                      <m:nor/>
                      <m:sty m:val="p"/>
                    </m:rPr>
                    <m:t>read</m:t>
                  </m:r>
                </m:sub>
              </m:sSub>
            </m:oMath>
          </w:p>
        </w:tc>
        <w:tc>
          <w:tcPr/>
          <w:p>
            <w:pPr>
              <w:pStyle w:val="Compact"/>
              <w:jc w:val="left"/>
            </w:pPr>
            <w:r>
              <w:t xml:space="preserve">Worst-case time for a read to return</w:t>
            </w:r>
          </w:p>
        </w:tc>
        <w:tc>
          <w:tcPr/>
          <w:p>
            <w:pPr>
              <w:pStyle w:val="Compact"/>
              <w:jc w:val="left"/>
            </w:pPr>
            <w:r>
              <w:t xml:space="preserve">ms</w:t>
            </w:r>
          </w:p>
        </w:tc>
      </w:tr>
      <w:tr>
        <w:tc>
          <w:tcPr/>
          <w:p>
            <w:pPr>
              <w:pStyle w:val="Compact"/>
              <w:jc w:val="left"/>
            </w:pPr>
            <m:oMath>
              <m:sSub>
                <m:e>
                  <m:r>
                    <m:t>t</m:t>
                  </m:r>
                </m:e>
                <m:sub>
                  <m:r>
                    <m:rPr>
                      <m:nor/>
                      <m:sty m:val="p"/>
                    </m:rPr>
                    <m:t>write</m:t>
                  </m:r>
                </m:sub>
              </m:sSub>
            </m:oMath>
          </w:p>
        </w:tc>
        <w:tc>
          <w:tcPr/>
          <w:p>
            <w:pPr>
              <w:pStyle w:val="Compact"/>
              <w:jc w:val="left"/>
            </w:pPr>
            <w:r>
              <w:t xml:space="preserve">Worst-case time for a write to return</w:t>
            </w:r>
          </w:p>
        </w:tc>
        <w:tc>
          <w:tcPr/>
          <w:p>
            <w:pPr>
              <w:pStyle w:val="Compact"/>
              <w:jc w:val="left"/>
            </w:pPr>
            <w:r>
              <w:t xml:space="preserve">ms</w:t>
            </w:r>
          </w:p>
        </w:tc>
      </w:tr>
      <w:tr>
        <w:tc>
          <w:tcPr/>
          <w:p>
            <w:pPr>
              <w:pStyle w:val="Compact"/>
              <w:jc w:val="left"/>
            </w:pPr>
            <m:oMath>
              <m:r>
                <m:t>d</m:t>
              </m:r>
            </m:oMath>
          </w:p>
        </w:tc>
        <w:tc>
          <w:tcPr/>
          <w:p>
            <w:pPr>
              <w:pStyle w:val="Compact"/>
              <w:jc w:val="left"/>
            </w:pPr>
            <w:r>
              <w:t xml:space="preserve">Maximum one-way message delay between replicas</w:t>
            </w:r>
          </w:p>
        </w:tc>
        <w:tc>
          <w:tcPr/>
          <w:p>
            <w:pPr>
              <w:pStyle w:val="Compact"/>
              <w:jc w:val="left"/>
            </w:pPr>
            <w:r>
              <w:t xml:space="preserve">ms</w:t>
            </w:r>
          </w:p>
        </w:tc>
      </w:tr>
    </w:tbl>
    <w:p>
      <w:pPr>
        <w:pStyle w:val="BodyText"/>
      </w:pPr>
      <w:r>
        <w:t xml:space="preserve">The bound holds already for sequential consistency, and linearizability, being stronger, inherits it. Attiya and Welch also showed that sequential consistency can make</w:t>
      </w:r>
      <w:r>
        <w:t xml:space="preserve"> </w:t>
      </w:r>
      <w:r>
        <w:rPr>
          <w:iCs/>
          <w:i/>
        </w:rPr>
        <w:t xml:space="preserve">either</w:t>
      </w:r>
      <w:r>
        <w:t xml:space="preserve"> </w:t>
      </w:r>
      <w:r>
        <w:t xml:space="preserve">reads</w:t>
      </w:r>
      <w:r>
        <w:t xml:space="preserve"> </w:t>
      </w:r>
      <w:r>
        <w:rPr>
          <w:iCs/>
          <w:i/>
        </w:rPr>
        <w:t xml:space="preserve">or</w:t>
      </w:r>
      <w:r>
        <w:t xml:space="preserve"> </w:t>
      </w:r>
      <w:r>
        <w:t xml:space="preserve">writes fast (local), while linearizability requires both reads and writes to wait for time proportional to the delay uncertainty. Causal consistency, by contrast, can be implemented with purely local reads and writes (§25.5). Kleppmann uses exactly this distinction to argue that latency, not partitions, is the more useful lens on consistency [Kleppmann 2015].</w:t>
      </w:r>
    </w:p>
    <w:p>
      <w:pPr>
        <w:pStyle w:val="CalloutExample"/>
      </w:pPr>
      <w:r>
        <w:rPr>
          <w:bCs/>
          <w:b/>
        </w:rPr>
        <w:t xml:space="preserve">WORKED EXAMPLE</w:t>
      </w:r>
    </w:p>
    <w:p>
      <w:pPr>
        <w:pStyle w:val="CalloutExample"/>
      </w:pPr>
      <w:r>
        <w:rPr>
          <w:bCs/>
          <w:b/>
        </w:rPr>
        <w:t xml:space="preserve">Worked example — What the bound forbids.</w:t>
      </w:r>
      <w:r>
        <w:t xml:space="preserve"> </w:t>
      </w:r>
      <w:r>
        <w:t xml:space="preserve">Two data centers are 35 ms apart one way (</w:t>
      </w:r>
      <m:oMath>
        <m:r>
          <m:t>d</m:t>
        </m:r>
        <m:r>
          <m:rPr>
            <m:sty m:val="p"/>
          </m:rPr>
          <m:t>=</m:t>
        </m:r>
        <m:r>
          <m:t>35</m:t>
        </m:r>
      </m:oMath>
      <w:r>
        <w:t xml:space="preserve"> </w:t>
      </w:r>
      <w:r>
        <w:t xml:space="preserve">ms). A team wants a sequentially consistent register with 5 ms reads and 5 ms writes everywhere.</w:t>
      </w:r>
    </w:p>
    <w:p>
      <w:pPr>
        <w:numPr>
          <w:ilvl w:val="0"/>
          <w:numId w:val="1812"/>
        </w:numPr>
        <w:pStyle w:val="Compact"/>
      </w:pPr>
      <m:oMath>
        <m:sSub>
          <m:e>
            <m:r>
              <m:t>t</m:t>
            </m:r>
          </m:e>
          <m:sub>
            <m:r>
              <m:rPr>
                <m:nor/>
                <m:sty m:val="p"/>
              </m:rPr>
              <m:t>read</m:t>
            </m:r>
          </m:sub>
        </m:sSub>
        <m:r>
          <m:rPr>
            <m:sty m:val="p"/>
          </m:rPr>
          <m:t>+</m:t>
        </m:r>
        <m:sSub>
          <m:e>
            <m:r>
              <m:t>t</m:t>
            </m:r>
          </m:e>
          <m:sub>
            <m:r>
              <m:rPr>
                <m:nor/>
                <m:sty m:val="p"/>
              </m:rPr>
              <m:t>write</m:t>
            </m:r>
          </m:sub>
        </m:sSub>
        <m:r>
          <m:rPr>
            <m:sty m:val="p"/>
          </m:rPr>
          <m:t>=</m:t>
        </m:r>
        <m:r>
          <m:t>5</m:t>
        </m:r>
        <m:r>
          <m:rPr>
            <m:sty m:val="p"/>
          </m:rPr>
          <m:t>+</m:t>
        </m:r>
        <m:r>
          <m:t>5</m:t>
        </m:r>
        <m:r>
          <m:rPr>
            <m:sty m:val="p"/>
          </m:rPr>
          <m:t>=</m:t>
        </m:r>
        <m:r>
          <m:t>10</m:t>
        </m:r>
      </m:oMath>
      <w:r>
        <w:t xml:space="preserve"> </w:t>
      </w:r>
      <w:r>
        <w:t xml:space="preserve">ms.</w:t>
      </w:r>
    </w:p>
    <w:p>
      <w:pPr>
        <w:numPr>
          <w:ilvl w:val="0"/>
          <w:numId w:val="1812"/>
        </w:numPr>
        <w:pStyle w:val="Compact"/>
      </w:pPr>
      <m:oMath>
        <m:r>
          <m:t>10</m:t>
        </m:r>
        <m:r>
          <m:rPr>
            <m:sty m:val="p"/>
          </m:rPr>
          <m:t>&lt;</m:t>
        </m:r>
        <m:r>
          <m:t>35</m:t>
        </m:r>
      </m:oMath>
      <w:r>
        <w:t xml:space="preserve">, so the bound is violated: no algorithm can achieve this, however clever.</w:t>
      </w:r>
    </w:p>
    <w:p>
      <w:pPr>
        <w:numPr>
          <w:ilvl w:val="0"/>
          <w:numId w:val="1812"/>
        </w:numPr>
        <w:pStyle w:val="Compact"/>
      </w:pPr>
      <w:r>
        <w:t xml:space="preserve">Options: make writes slow (</w:t>
      </w:r>
      <m:oMath>
        <m:sSub>
          <m:e>
            <m:r>
              <m:t>t</m:t>
            </m:r>
          </m:e>
          <m:sub>
            <m:r>
              <m:rPr>
                <m:nor/>
                <m:sty m:val="p"/>
              </m:rPr>
              <m:t>write</m:t>
            </m:r>
          </m:sub>
        </m:sSub>
        <m:r>
          <m:rPr>
            <m:sty m:val="p"/>
          </m:rPr>
          <m:t>≥</m:t>
        </m:r>
        <m:r>
          <m:t>30</m:t>
        </m:r>
      </m:oMath>
      <w:r>
        <w:t xml:space="preserve"> </w:t>
      </w:r>
      <w:r>
        <w:t xml:space="preserve">ms, keeping 5 ms reads), make reads slow, or weaken the model to causal consistency, which allows both to be local.</w:t>
      </w:r>
    </w:p>
    <w:p>
      <w:pPr>
        <w:pStyle w:val="CalloutExample"/>
      </w:pPr>
      <w:r>
        <w:rPr>
          <w:bCs/>
          <w:b/>
        </w:rPr>
        <w:t xml:space="preserve">Interpretation.</w:t>
      </w:r>
      <w:r>
        <w:t xml:space="preserve"> </w:t>
      </w:r>
      <w:r>
        <w:t xml:space="preserve">This is an impossibility, not an engineering gap.</w:t>
      </w:r>
      <w:r>
        <w:t xml:space="preserve"> </w:t>
      </w:r>
      <w:r>
        <w:rPr>
          <w:bCs/>
          <w:b/>
        </w:rPr>
        <w:t xml:space="preserve">Engineering implication.</w:t>
      </w:r>
      <w:r>
        <w:t xml:space="preserve"> </w:t>
      </w:r>
      <w:r>
        <w:t xml:space="preserve">Push back early on</w:t>
      </w:r>
      <w:r>
        <w:t xml:space="preserve"> </w:t>
      </w:r>
      <w:r>
        <w:t xml:space="preserve">“</w:t>
      </w:r>
      <w:r>
        <w:t xml:space="preserve">strongly consistent and single-digit-millisecond everywhere</w:t>
      </w:r>
      <w:r>
        <w:t xml:space="preserve">”</w:t>
      </w:r>
      <w:r>
        <w:t xml:space="preserve"> </w:t>
      </w:r>
      <w:r>
        <w:t xml:space="preserve">and ask which operations truly need it.</w:t>
      </w:r>
    </w:p>
    <w:bookmarkEnd w:id="2791"/>
    <w:bookmarkStart w:id="2792" w:name="real-world-industry-applications-38"/>
    <w:p>
      <w:pPr>
        <w:pStyle w:val="Heading4"/>
      </w:pPr>
      <w:r>
        <w:t xml:space="preserve">Real-world industry applications</w:t>
      </w:r>
    </w:p>
    <w:p>
      <w:pPr>
        <w:pStyle w:val="CalloutIndustry"/>
      </w:pPr>
      <w:r>
        <w:rPr>
          <w:bCs/>
          <w:b/>
        </w:rPr>
        <w:t xml:space="preserve">INDUSTRY EXAMPLE</w:t>
      </w:r>
    </w:p>
    <w:p>
      <w:pPr>
        <w:pStyle w:val="CalloutIndustry"/>
      </w:pPr>
      <w:r>
        <w:rPr>
          <w:bCs/>
          <w:b/>
        </w:rPr>
        <w:t xml:space="preserve">Amazon S3 strong read-after-write consistency (2020).</w:t>
      </w:r>
      <w:r>
        <w:t xml:space="preserve"> </w:t>
      </w:r>
      <w:r>
        <w:t xml:space="preserve">S3 historically offered eventual consistency for overwrites and listings. In December 2020 it moved to strong read-after-write consistency for all PUTs and LISTs at no extra cost, using a cache-coherence protocol in which a witness component tracks object changes so front ends can tell when cached metadata is stale (§15.4). The change removed a whole class of data-lake bugs in which a job listed a prefix and missed files just written.</w:t>
      </w:r>
      <w:r>
        <w:t xml:space="preserve"> </w:t>
      </w:r>
      <w:r>
        <w:rPr>
          <w:iCs/>
          <w:i/>
        </w:rPr>
        <w:t xml:space="preserve">Evidence: Primary</w:t>
      </w:r>
      <w:r>
        <w:t xml:space="preserve"> </w:t>
      </w:r>
      <w:r>
        <w:t xml:space="preserve">— [Vogels 2021; AWS Docs: S3 Consistency]</w:t>
      </w:r>
    </w:p>
    <w:p>
      <w:pPr>
        <w:pStyle w:val="CalloutIndustry"/>
      </w:pPr>
      <w:r>
        <w:rPr>
          <w:bCs/>
          <w:b/>
        </w:rPr>
        <w:t xml:space="preserve">INDUSTRY EXAMPLE</w:t>
      </w:r>
    </w:p>
    <w:p>
      <w:pPr>
        <w:pStyle w:val="CalloutIndustry"/>
      </w:pPr>
      <w:r>
        <w:rPr>
          <w:bCs/>
          <w:b/>
        </w:rPr>
        <w:t xml:space="preserve">etcd and Kubernetes.</w:t>
      </w:r>
      <w:r>
        <w:t xml:space="preserve"> </w:t>
      </w:r>
      <w:r>
        <w:t xml:space="preserve">Kubernetes stores cluster state in etcd, a Raft-replicated key-value store. Leader election among controllers relies on linearizable compare-and-set on a lease object. Jepsen’s 2020 analysis found etcd’s key-value operations, including multi-key transactions, to be strictly serializable under partitions, pauses, crashes and clock skew, while its lock API could not guarantee mutual exclusion (§25.11).</w:t>
      </w:r>
      <w:r>
        <w:t xml:space="preserve"> </w:t>
      </w:r>
      <w:r>
        <w:rPr>
          <w:iCs/>
          <w:i/>
        </w:rPr>
        <w:t xml:space="preserve">Evidence: Primary</w:t>
      </w:r>
      <w:r>
        <w:t xml:space="preserve"> </w:t>
      </w:r>
      <w:r>
        <w:t xml:space="preserve">— [Kingsbury 2020a]</w:t>
      </w:r>
    </w:p>
    <w:bookmarkEnd w:id="2792"/>
    <w:bookmarkStart w:id="2793" w:name="failure-scenarios-57"/>
    <w:p>
      <w:pPr>
        <w:pStyle w:val="Heading4"/>
      </w:pPr>
      <w:r>
        <w:t xml:space="preserve">Failure scenarios</w:t>
      </w:r>
    </w:p>
    <w:p>
      <w:pPr>
        <w:pStyle w:val="FirstParagraph"/>
      </w:pPr>
      <w:r>
        <w:rPr>
          <w:bCs/>
          <w:b/>
        </w:rPr>
        <w:t xml:space="preserve">Table 25.2 — Failure scenarios that break linearizability.</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Stale read from a deposed leader</w:t>
            </w:r>
          </w:p>
        </w:tc>
        <w:tc>
          <w:tcPr/>
          <w:p>
            <w:pPr>
              <w:pStyle w:val="Compact"/>
              <w:jc w:val="left"/>
            </w:pPr>
            <w:r>
              <w:t xml:space="preserve">Old leader is partitioned but still believes it leads and serves reads locally</w:t>
            </w:r>
          </w:p>
        </w:tc>
        <w:tc>
          <w:tcPr/>
          <w:p>
            <w:pPr>
              <w:pStyle w:val="Compact"/>
              <w:jc w:val="left"/>
            </w:pPr>
            <w:r>
              <w:t xml:space="preserve">Jepsen-style test with partitions; two nodes claim leadership</w:t>
            </w:r>
          </w:p>
        </w:tc>
        <w:tc>
          <w:tcPr/>
          <w:p>
            <w:pPr>
              <w:pStyle w:val="Compact"/>
              <w:jc w:val="left"/>
            </w:pPr>
            <w:r>
              <w:t xml:space="preserve">Step down on lease expiry</w:t>
            </w:r>
          </w:p>
        </w:tc>
        <w:tc>
          <w:tcPr/>
          <w:p>
            <w:pPr>
              <w:pStyle w:val="Compact"/>
              <w:jc w:val="left"/>
            </w:pPr>
            <w:r>
              <w:t xml:space="preserve">ReadIndex or quorum reads; leases with bounded clock drift</w:t>
            </w:r>
          </w:p>
        </w:tc>
      </w:tr>
      <w:tr>
        <w:tc>
          <w:tcPr/>
          <w:p>
            <w:pPr>
              <w:pStyle w:val="Compact"/>
              <w:jc w:val="left"/>
            </w:pPr>
            <w:r>
              <w:t xml:space="preserve">Read from asynchronous replica</w:t>
            </w:r>
          </w:p>
        </w:tc>
        <w:tc>
          <w:tcPr/>
          <w:p>
            <w:pPr>
              <w:pStyle w:val="Compact"/>
              <w:jc w:val="left"/>
            </w:pPr>
            <w:r>
              <w:t xml:space="preserve">Write acknowledged before replica applied it</w:t>
            </w:r>
          </w:p>
        </w:tc>
        <w:tc>
          <w:tcPr/>
          <w:p>
            <w:pPr>
              <w:pStyle w:val="Compact"/>
              <w:jc w:val="left"/>
            </w:pPr>
            <w:r>
              <w:t xml:space="preserve">Read-after-write probes; replica lag metrics</w:t>
            </w:r>
          </w:p>
        </w:tc>
        <w:tc>
          <w:tcPr/>
          <w:p>
            <w:pPr>
              <w:pStyle w:val="Compact"/>
              <w:jc w:val="left"/>
            </w:pPr>
            <w:r>
              <w:t xml:space="preserve">Route to primary</w:t>
            </w:r>
          </w:p>
        </w:tc>
        <w:tc>
          <w:tcPr/>
          <w:p>
            <w:pPr>
              <w:pStyle w:val="Compact"/>
              <w:jc w:val="left"/>
            </w:pPr>
            <w:r>
              <w:t xml:space="preserve">Synchronous apply, LSN-tracked reads (§25.6)</w:t>
            </w:r>
          </w:p>
        </w:tc>
      </w:tr>
      <w:tr>
        <w:tc>
          <w:tcPr/>
          <w:p>
            <w:pPr>
              <w:pStyle w:val="Compact"/>
              <w:jc w:val="left"/>
            </w:pPr>
            <w:r>
              <w:t xml:space="preserve">New-old inversion in quorum store</w:t>
            </w:r>
          </w:p>
        </w:tc>
        <w:tc>
          <w:tcPr/>
          <w:p>
            <w:pPr>
              <w:pStyle w:val="Compact"/>
              <w:jc w:val="left"/>
            </w:pPr>
            <w:r>
              <w:t xml:space="preserve">Partial write visible to one reader’s quorum, not the next</w:t>
            </w:r>
          </w:p>
        </w:tc>
        <w:tc>
          <w:tcPr/>
          <w:p>
            <w:pPr>
              <w:pStyle w:val="Compact"/>
              <w:jc w:val="left"/>
            </w:pPr>
            <w:r>
              <w:t xml:space="preserve">Linearizability checker on recorded histories</w:t>
            </w:r>
          </w:p>
        </w:tc>
        <w:tc>
          <w:tcPr/>
          <w:p>
            <w:pPr>
              <w:pStyle w:val="Compact"/>
              <w:jc w:val="left"/>
            </w:pPr>
            <w:r>
              <w:t xml:space="preserve">Read repair</w:t>
            </w:r>
          </w:p>
        </w:tc>
        <w:tc>
          <w:tcPr/>
          <w:p>
            <w:pPr>
              <w:pStyle w:val="Compact"/>
              <w:jc w:val="left"/>
            </w:pPr>
            <w:r>
              <w:t xml:space="preserve">Write-back on read (ABD), or a consensus-replicated log</w:t>
            </w:r>
          </w:p>
        </w:tc>
      </w:tr>
      <w:tr>
        <w:tc>
          <w:tcPr/>
          <w:p>
            <w:pPr>
              <w:pStyle w:val="Compact"/>
              <w:jc w:val="left"/>
            </w:pPr>
            <w:r>
              <w:t xml:space="preserve">Clock-based</w:t>
            </w:r>
            <w:r>
              <w:t xml:space="preserve"> </w:t>
            </w:r>
            <w:r>
              <w:t xml:space="preserve">“</w:t>
            </w:r>
            <w:r>
              <w:t xml:space="preserve">latest</w:t>
            </w:r>
            <w:r>
              <w:t xml:space="preserve">”</w:t>
            </w:r>
            <w:r>
              <w:t xml:space="preserve"> </w:t>
            </w:r>
            <w:r>
              <w:t xml:space="preserve">wins</w:t>
            </w:r>
          </w:p>
        </w:tc>
        <w:tc>
          <w:tcPr/>
          <w:p>
            <w:pPr>
              <w:pStyle w:val="Compact"/>
              <w:jc w:val="left"/>
            </w:pPr>
            <w:r>
              <w:t xml:space="preserve">Last-writer-wins by wall clock picks a write that happened earlier</w:t>
            </w:r>
          </w:p>
        </w:tc>
        <w:tc>
          <w:tcPr/>
          <w:p>
            <w:pPr>
              <w:pStyle w:val="Compact"/>
              <w:jc w:val="left"/>
            </w:pPr>
            <w:r>
              <w:t xml:space="preserve">Lost-update tests with clock skew</w:t>
            </w:r>
          </w:p>
        </w:tc>
        <w:tc>
          <w:tcPr/>
          <w:p>
            <w:pPr>
              <w:pStyle w:val="Compact"/>
              <w:jc w:val="left"/>
            </w:pPr>
            <w:r>
              <w:t xml:space="preserve">Restore from log</w:t>
            </w:r>
          </w:p>
        </w:tc>
        <w:tc>
          <w:tcPr/>
          <w:p>
            <w:pPr>
              <w:pStyle w:val="Compact"/>
              <w:jc w:val="left"/>
            </w:pPr>
            <w:r>
              <w:t xml:space="preserve">Logical or hybrid timestamps (§24.12); consensus ordering</w:t>
            </w:r>
          </w:p>
        </w:tc>
      </w:tr>
    </w:tbl>
    <w:bookmarkEnd w:id="2793"/>
    <w:bookmarkStart w:id="2794" w:name="common-misconceptions-41"/>
    <w:p>
      <w:pPr>
        <w:pStyle w:val="Heading4"/>
      </w:pPr>
      <w:r>
        <w:t xml:space="preserve">Common misconceptions</w:t>
      </w:r>
    </w:p>
    <w:p>
      <w:pPr>
        <w:pStyle w:val="CalloutMistake"/>
      </w:pPr>
      <w:r>
        <w:rPr>
          <w:bCs/>
          <w:b/>
        </w:rPr>
        <w:t xml:space="preserve">COMMON MISTAKE</w:t>
      </w:r>
    </w:p>
    <w:p>
      <w:pPr>
        <w:pStyle w:val="CalloutMistake"/>
      </w:pPr>
      <w:r>
        <w:rPr>
          <w:bCs/>
          <w:b/>
        </w:rPr>
        <w:t xml:space="preserve">Mistake —</w:t>
      </w:r>
      <w:r>
        <w:rPr>
          <w:bCs/>
          <w:b/>
        </w:rPr>
        <w:t xml:space="preserve"> </w:t>
      </w:r>
      <w:r>
        <w:rPr>
          <w:bCs/>
          <w:b/>
        </w:rPr>
        <w:t xml:space="preserve">“</w:t>
      </w:r>
      <m:oMath>
        <m:r>
          <m:t>R</m:t>
        </m:r>
        <m:r>
          <m:rPr>
            <m:sty m:val="p"/>
          </m:rPr>
          <m:t>+</m:t>
        </m:r>
        <m:r>
          <m:t>W</m:t>
        </m:r>
        <m:r>
          <m:rPr>
            <m:sty m:val="p"/>
          </m:rPr>
          <m:t>&gt;</m:t>
        </m:r>
        <m:r>
          <m:t>N</m:t>
        </m:r>
      </m:oMath>
      <w:r>
        <w:rPr>
          <w:bCs/>
          <w:b/>
        </w:rPr>
        <w:t xml:space="preserve"> </w:t>
      </w:r>
      <w:r>
        <w:rPr>
          <w:bCs/>
          <w:b/>
        </w:rPr>
        <w:t xml:space="preserve">makes a Dynamo-style store linearizable.</w:t>
      </w:r>
      <w:r>
        <w:rPr>
          <w:bCs/>
          <w:b/>
        </w:rPr>
        <w:t xml:space="preserve">”</w:t>
      </w:r>
      <w:r>
        <w:t xml:space="preserve"> </w:t>
      </w:r>
      <w:r>
        <w:t xml:space="preserve">Overlapping quorums guarantee that a read sees the latest</w:t>
      </w:r>
      <w:r>
        <w:t xml:space="preserve"> </w:t>
      </w:r>
      <w:r>
        <w:rPr>
          <w:iCs/>
          <w:i/>
        </w:rPr>
        <w:t xml:space="preserve">completed</w:t>
      </w:r>
      <w:r>
        <w:t xml:space="preserve"> </w:t>
      </w:r>
      <w:r>
        <w:t xml:space="preserve">write in the absence of failures, but they do not prevent the new-then-old inversion of H3 when a write is still in flight or partially failed, and sloppy quorums (§27.9) and last-writer-wins conflict resolution break the overlap entirely. Linearizability needs write-back on read or a consensus protocol on top of the quorum [Kleppmann 2017].</w:t>
      </w:r>
    </w:p>
    <w:p>
      <w:pPr>
        <w:pStyle w:val="CalloutMistake"/>
      </w:pPr>
      <w:r>
        <w:rPr>
          <w:bCs/>
          <w:b/>
        </w:rPr>
        <w:t xml:space="preserve">COMMON MISTAKE</w:t>
      </w:r>
    </w:p>
    <w:p>
      <w:pPr>
        <w:pStyle w:val="CalloutMistake"/>
      </w:pPr>
      <w:r>
        <w:rPr>
          <w:bCs/>
          <w:b/>
        </w:rPr>
        <w:t xml:space="preserve">Mistake —</w:t>
      </w:r>
      <w:r>
        <w:rPr>
          <w:bCs/>
          <w:b/>
        </w:rPr>
        <w:t xml:space="preserve"> </w:t>
      </w:r>
      <w:r>
        <w:rPr>
          <w:bCs/>
          <w:b/>
        </w:rPr>
        <w:t xml:space="preserve">“</w:t>
      </w:r>
      <w:r>
        <w:rPr>
          <w:bCs/>
          <w:b/>
        </w:rPr>
        <w:t xml:space="preserve">Linearizability means operations take effect when they are sent.</w:t>
      </w:r>
      <w:r>
        <w:rPr>
          <w:bCs/>
          <w:b/>
        </w:rPr>
        <w:t xml:space="preserve">”</w:t>
      </w:r>
      <w:r>
        <w:t xml:space="preserve"> </w:t>
      </w:r>
      <w:r>
        <w:t xml:space="preserve">The linearization point may be anywhere between invocation and response. A client that sent a write and timed out does not know whether it happened; a correct client treats the outcome as unknown and retries idempotently (§22.15).</w:t>
      </w:r>
    </w:p>
    <w:bookmarkEnd w:id="2794"/>
    <w:bookmarkEnd w:id="2795"/>
    <w:bookmarkEnd w:id="2796"/>
    <w:bookmarkStart w:id="2804" w:name="sequential-consistency"/>
    <w:p>
      <w:pPr>
        <w:pStyle w:val="Heading2"/>
      </w:pPr>
      <w:r>
        <w:t xml:space="preserve">25.4 Sequential consistency</w:t>
      </w:r>
    </w:p>
    <w:bookmarkStart w:id="2802" w:name="X03e66b05c6292546edcfa6d1b43b34da9e3e30a"/>
    <w:p>
      <w:pPr>
        <w:pStyle w:val="Heading3"/>
      </w:pPr>
      <w:r>
        <w:t xml:space="preserve">25.4.1 Definition and contrast with linearizability</w:t>
      </w:r>
    </w:p>
    <w:p>
      <w:pPr>
        <w:pStyle w:val="CalloutDefinition"/>
      </w:pPr>
      <w:r>
        <w:rPr>
          <w:bCs/>
          <w:b/>
        </w:rPr>
        <w:t xml:space="preserve">DEFINITION</w:t>
      </w:r>
    </w:p>
    <w:p>
      <w:pPr>
        <w:pStyle w:val="CalloutDefinition"/>
      </w:pPr>
      <w:r>
        <w:rPr>
          <w:bCs/>
          <w:b/>
        </w:rPr>
        <w:t xml:space="preserve">Definition — Sequential consistency.</w:t>
      </w:r>
      <w:r>
        <w:t xml:space="preserve"> </w:t>
      </w:r>
      <w:r>
        <w:t xml:space="preserve">A history is</w:t>
      </w:r>
      <w:r>
        <w:t xml:space="preserve"> </w:t>
      </w:r>
      <w:r>
        <w:rPr>
          <w:bCs/>
          <w:b/>
        </w:rPr>
        <w:t xml:space="preserve">sequentially consistent</w:t>
      </w:r>
      <w:r>
        <w:t xml:space="preserve"> </w:t>
      </w:r>
      <w:r>
        <w:t xml:space="preserve">if there is a single total order of all operations that is a legal sequential history of the objects and that respects each client’s</w:t>
      </w:r>
      <w:r>
        <w:t xml:space="preserve"> </w:t>
      </w:r>
      <w:r>
        <w:rPr>
          <w:bCs/>
          <w:b/>
        </w:rPr>
        <w:t xml:space="preserve">program order</w:t>
      </w:r>
      <w:r>
        <w:t xml:space="preserve"> </w:t>
      </w:r>
      <w:r>
        <w:t xml:space="preserve">(the order in which that client issued its own operations). In Lamport’s words,</w:t>
      </w:r>
      <w:r>
        <w:t xml:space="preserve"> </w:t>
      </w:r>
      <w:r>
        <w:t xml:space="preserve">“</w:t>
      </w:r>
      <w:r>
        <w:t xml:space="preserve">the result of any execution is the same as if the operations of all the processors were executed in some sequential order, and the operations of each individual processor appear in this sequence in the order specified by its program</w:t>
      </w:r>
      <w:r>
        <w:t xml:space="preserve">”</w:t>
      </w:r>
      <w:r>
        <w:t xml:space="preserve"> </w:t>
      </w:r>
      <w:r>
        <w:t xml:space="preserve">[Lamport 1979].</w:t>
      </w:r>
    </w:p>
    <w:bookmarkStart w:id="2797" w:name="first-principles-explanation-138"/>
    <w:p>
      <w:pPr>
        <w:pStyle w:val="Heading4"/>
      </w:pPr>
      <w:r>
        <w:t xml:space="preserve">First-principles explanation</w:t>
      </w:r>
    </w:p>
    <w:p>
      <w:pPr>
        <w:pStyle w:val="FirstParagraph"/>
      </w:pPr>
      <w:r>
        <w:t xml:space="preserve">Go back to the notebook. Sequential consistency still promises that everyone sees the</w:t>
      </w:r>
      <w:r>
        <w:t xml:space="preserve"> </w:t>
      </w:r>
      <w:r>
        <w:rPr>
          <w:iCs/>
          <w:i/>
        </w:rPr>
        <w:t xml:space="preserve">same story</w:t>
      </w:r>
      <w:r>
        <w:t xml:space="preserve">, entries in one order, and that each person’s own entries appear in the order that person wrote them. What it drops is the clock on the wall. The story may be told late: you may read the notebook as it was ten minutes ago, as long as everyone agrees on the sequence and you never see your own entries out of order. Linearizability is sequential consistency plus the rule that the agreed order must also match real time.</w:t>
      </w:r>
    </w:p>
    <w:p>
      <w:pPr>
        <w:pStyle w:val="BodyText"/>
      </w:pPr>
      <w:r>
        <w:t xml:space="preserve">Lamport defined it in 1979 for multiprocessor memory. Most modern processors provide something weaker (x86-TSO, Arm’s relaxed model) and offer fence instructions to recover it where needed (cache coherence, the layer underneath, is §5.4.6).</w:t>
      </w:r>
    </w:p>
    <w:bookmarkEnd w:id="2797"/>
    <w:bookmarkStart w:id="2801" w:name="how-it-works-internally-91"/>
    <w:p>
      <w:pPr>
        <w:pStyle w:val="Heading4"/>
      </w:pPr>
      <w:r>
        <w:t xml:space="preserve">How it works internally</w:t>
      </w:r>
    </w:p>
    <w:p>
      <w:pPr>
        <w:pStyle w:val="FirstParagraph"/>
      </w:pPr>
      <w:r>
        <w:t xml:space="preserve">A common implementation in replicated stores is:</w:t>
      </w:r>
      <w:r>
        <w:t xml:space="preserve"> </w:t>
      </w:r>
      <w:r>
        <w:rPr>
          <w:bCs/>
          <w:b/>
        </w:rPr>
        <w:t xml:space="preserve">writes go through a single ordered log; reads are served by any replica that has applied a prefix of the log, and a client never reads from a replica behind the point it has already seen.</w:t>
      </w:r>
      <w:r>
        <w:t xml:space="preserve"> </w:t>
      </w:r>
      <w:r>
        <w:t xml:space="preserve">Every replica applies the same writes in the same order, so all clients see one sequence, but a replica may lag, so a read can return a value that is already overwritten elsewhere. That is the gap between Figures 25.1 and 25.4.</w:t>
      </w:r>
    </w:p>
    <w:p>
      <w:pPr>
        <w:pStyle w:val="BodyText"/>
      </w:pPr>
      <w:r>
        <w:rPr>
          <w:bCs/>
          <w:b/>
        </w:rPr>
        <w:t xml:space="preserve">Figure 25.4 — A sequentially consistent but not linearizable history (follower read).</w:t>
      </w:r>
    </w:p>
    <w:p>
      <w:pPr>
        <w:pStyle w:val="BodyText"/>
      </w:pPr>
      <w:r>
        <w:drawing>
          <wp:inline>
            <wp:extent cx="5334000" cy="2404265"/>
            <wp:effectExtent b="0" l="0" r="0" t="0"/>
            <wp:docPr descr="" title="" id="2799" name="Picture"/>
            <a:graphic>
              <a:graphicData uri="http://schemas.openxmlformats.org/drawingml/2006/picture">
                <pic:pic>
                  <pic:nvPicPr>
                    <pic:cNvPr descr="/home/user/System-Design/build/.cache/diagrams/5bfc350b433a.png" id="2800" name="Picture"/>
                    <pic:cNvPicPr>
                      <a:picLocks noChangeArrowheads="1" noChangeAspect="1"/>
                    </pic:cNvPicPr>
                  </pic:nvPicPr>
                  <pic:blipFill>
                    <a:blip r:embed="rId2798"/>
                    <a:stretch>
                      <a:fillRect/>
                    </a:stretch>
                  </pic:blipFill>
                  <pic:spPr bwMode="auto">
                    <a:xfrm>
                      <a:off x="0" y="0"/>
                      <a:ext cx="5334000" cy="2404265"/>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Writes are synchronous to a quorum through the leader; log shipping to this follower (open arrowhead) is asynchronous. B’s first read starts after A’s write completed in real time, so returning 0 violates linearizability. But the history is sequentially consistent: the total order</w:t>
      </w:r>
      <w:r>
        <w:t xml:space="preserve"> </w:t>
      </w:r>
      <w:r>
        <w:t xml:space="preserve">“</w:t>
      </w:r>
      <w:r>
        <w:t xml:space="preserve">B reads 0, A writes 1, B reads 1</w:t>
      </w:r>
      <w:r>
        <w:t xml:space="preserve">”</w:t>
      </w:r>
      <w:r>
        <w:t xml:space="preserve"> </w:t>
      </w:r>
      <w:r>
        <w:t xml:space="preserve">respects each client’s program order. The out-of-band phone call is the failure point: it carries causality the storage system cannot see. Followers scale reads horizontally; the cost is exactly this staleness.</w:t>
      </w:r>
    </w:p>
    <w:p>
      <w:pPr>
        <w:pStyle w:val="BodyText"/>
      </w:pPr>
      <w:r>
        <w:t xml:space="preserve">ZooKeeper behaves like this by design. Writes are linearizable through the ZAB atomic broadcast, but reads are served locally by whichever server the client is connected to, so reads may be stale. ZooKeeper guarantees that each client’s operations are applied in FIFO order and that a client never sees an older state after a newer one, even after reconnecting to a different server. A client that needs the latest value calls</w:t>
      </w:r>
      <w:r>
        <w:t xml:space="preserve"> </w:t>
      </w:r>
      <w:r>
        <w:rPr>
          <w:rStyle w:val="VerbatimChar"/>
        </w:rPr>
        <w:t xml:space="preserve">sync</w:t>
      </w:r>
      <w:r>
        <w:t xml:space="preserve"> </w:t>
      </w:r>
      <w:r>
        <w:t xml:space="preserve">before reading, which makes the server catch up with the leader at that moment [Hunt et al. 2010].</w:t>
      </w:r>
    </w:p>
    <w:bookmarkEnd w:id="2801"/>
    <w:bookmarkEnd w:id="2802"/>
    <w:bookmarkStart w:id="2803" w:name="X9c05db197f954dfb3782a9ea0a134531a80252b"/>
    <w:p>
      <w:pPr>
        <w:pStyle w:val="Heading3"/>
      </w:pPr>
      <w:r>
        <w:t xml:space="preserve">25.4.2 Sequential consistency is not compositional</w:t>
      </w:r>
    </w:p>
    <w:p>
      <w:pPr>
        <w:pStyle w:val="FirstParagraph"/>
      </w:pPr>
      <w:r>
        <w:t xml:space="preserve">Unlike linearizability, sequential consistency is not local: two objects can each be sequentially consistent while the system as a whole is not. History H5 from the checker of §25.3.3 is the textbook case, called</w:t>
      </w:r>
      <w:r>
        <w:t xml:space="preserve"> </w:t>
      </w:r>
      <w:r>
        <w:rPr>
          <w:bCs/>
          <w:b/>
        </w:rPr>
        <w:t xml:space="preserve">store buffering</w:t>
      </w:r>
      <w:r>
        <w:t xml:space="preserve">:</w:t>
      </w:r>
    </w:p>
    <w:p>
      <w:pPr>
        <w:numPr>
          <w:ilvl w:val="0"/>
          <w:numId w:val="1813"/>
        </w:numPr>
        <w:pStyle w:val="Compact"/>
      </w:pPr>
      <w:r>
        <w:t xml:space="preserve">Client A writes</w:t>
      </w:r>
      <w:r>
        <w:t xml:space="preserve"> </w:t>
      </w:r>
      <w:r>
        <w:rPr>
          <w:rStyle w:val="VerbatimChar"/>
        </w:rPr>
        <w:t xml:space="preserve">x = 1</w:t>
      </w:r>
      <w:r>
        <w:t xml:space="preserve">, then reads</w:t>
      </w:r>
      <w:r>
        <w:t xml:space="preserve"> </w:t>
      </w:r>
      <w:r>
        <w:rPr>
          <w:rStyle w:val="VerbatimChar"/>
        </w:rPr>
        <w:t xml:space="preserve">y</w:t>
      </w:r>
      <w:r>
        <w:t xml:space="preserve"> </w:t>
      </w:r>
      <w:r>
        <w:t xml:space="preserve">and gets 0.</w:t>
      </w:r>
    </w:p>
    <w:p>
      <w:pPr>
        <w:numPr>
          <w:ilvl w:val="0"/>
          <w:numId w:val="1813"/>
        </w:numPr>
        <w:pStyle w:val="Compact"/>
      </w:pPr>
      <w:r>
        <w:t xml:space="preserve">Client B writes</w:t>
      </w:r>
      <w:r>
        <w:t xml:space="preserve"> </w:t>
      </w:r>
      <w:r>
        <w:rPr>
          <w:rStyle w:val="VerbatimChar"/>
        </w:rPr>
        <w:t xml:space="preserve">y = 1</w:t>
      </w:r>
      <w:r>
        <w:t xml:space="preserve">, then reads</w:t>
      </w:r>
      <w:r>
        <w:t xml:space="preserve"> </w:t>
      </w:r>
      <w:r>
        <w:rPr>
          <w:rStyle w:val="VerbatimChar"/>
        </w:rPr>
        <w:t xml:space="preserve">x</w:t>
      </w:r>
      <w:r>
        <w:t xml:space="preserve"> </w:t>
      </w:r>
      <w:r>
        <w:t xml:space="preserve">and gets 0.</w:t>
      </w:r>
    </w:p>
    <w:p>
      <w:pPr>
        <w:pStyle w:val="FirstParagraph"/>
      </w:pPr>
      <w:r>
        <w:t xml:space="preserve">Restricted to</w:t>
      </w:r>
      <w:r>
        <w:t xml:space="preserve"> </w:t>
      </w:r>
      <w:r>
        <w:rPr>
          <w:rStyle w:val="VerbatimChar"/>
        </w:rPr>
        <w:t xml:space="preserve">x</w:t>
      </w:r>
      <w:r>
        <w:t xml:space="preserve"> </w:t>
      </w:r>
      <w:r>
        <w:t xml:space="preserve">alone (A’s write, B’s read of 0), the history is sequentially consistent: order B’s read first. The same holds for</w:t>
      </w:r>
      <w:r>
        <w:t xml:space="preserve"> </w:t>
      </w:r>
      <w:r>
        <w:rPr>
          <w:rStyle w:val="VerbatimChar"/>
        </w:rPr>
        <w:t xml:space="preserve">y</w:t>
      </w:r>
      <w:r>
        <w:t xml:space="preserve"> </w:t>
      </w:r>
      <w:r>
        <w:t xml:space="preserve">alone. The checker confirms both (</w:t>
      </w:r>
      <w:r>
        <w:rPr>
          <w:rStyle w:val="VerbatimChar"/>
        </w:rPr>
        <w:t xml:space="preserve">H5 per key sequential: True True</w:t>
      </w:r>
      <w:r>
        <w:t xml:space="preserve">). But no single order works for both: whichever write comes first in the total order precedes, in program order, the other client’s read, which must then return 1. The checker reports</w:t>
      </w:r>
      <w:r>
        <w:t xml:space="preserve"> </w:t>
      </w:r>
      <w:r>
        <w:rPr>
          <w:rStyle w:val="VerbatimChar"/>
        </w:rPr>
        <w:t xml:space="preserve">sequential=False</w:t>
      </w:r>
      <w:r>
        <w:t xml:space="preserve"> </w:t>
      </w:r>
      <w:r>
        <w:t xml:space="preserve">for the combined history. Real multiprocessors produce exactly this outcome because each write sits in a store buffer while the following read goes to memory.</w:t>
      </w:r>
    </w:p>
    <w:p>
      <w:pPr>
        <w:pStyle w:val="BodyText"/>
      </w:pPr>
      <w:r>
        <w:t xml:space="preserve">The consequence: sequentially consistent shards do not make a sequentially consistent store without cross-shard coordination, whereas linearizable shards do make a linearizable one.</w:t>
      </w:r>
    </w:p>
    <w:p>
      <w:pPr>
        <w:pStyle w:val="CalloutIndustry"/>
      </w:pPr>
      <w:r>
        <w:rPr>
          <w:bCs/>
          <w:b/>
        </w:rPr>
        <w:t xml:space="preserve">INDUSTRY EXAMPLE</w:t>
      </w:r>
    </w:p>
    <w:p>
      <w:pPr>
        <w:pStyle w:val="CalloutIndustry"/>
      </w:pPr>
      <w:r>
        <w:rPr>
          <w:bCs/>
          <w:b/>
        </w:rPr>
        <w:t xml:space="preserve">ZooKeeper reads and</w:t>
      </w:r>
      <w:r>
        <w:rPr>
          <w:bCs/>
          <w:b/>
        </w:rPr>
        <w:t xml:space="preserve"> </w:t>
      </w:r>
      <w:r>
        <w:rPr>
          <w:rStyle w:val="VerbatimChar"/>
          <w:bCs/>
          <w:b/>
        </w:rPr>
        <w:t xml:space="preserve">sync</w:t>
      </w:r>
      <w:r>
        <w:rPr>
          <w:bCs/>
          <w:b/>
        </w:rPr>
        <w:t xml:space="preserve">.</w:t>
      </w:r>
      <w:r>
        <w:t xml:space="preserve"> </w:t>
      </w:r>
      <w:r>
        <w:t xml:space="preserve">ZooKeeper’s paper describes reads served from a server’s local replica as the source of its read throughput, which scales with the number of servers, while writes go through the leader. Applications that need a fresh read after an external signal (Figure 25.4’s phone call) issue</w:t>
      </w:r>
      <w:r>
        <w:t xml:space="preserve"> </w:t>
      </w:r>
      <w:r>
        <w:rPr>
          <w:rStyle w:val="VerbatimChar"/>
        </w:rPr>
        <w:t xml:space="preserve">sync</w:t>
      </w:r>
      <w:r>
        <w:t xml:space="preserve"> </w:t>
      </w:r>
      <w:r>
        <w:t xml:space="preserve">first, paying one leader round trip only on the paths that need it.</w:t>
      </w:r>
      <w:r>
        <w:t xml:space="preserve"> </w:t>
      </w:r>
      <w:r>
        <w:rPr>
          <w:iCs/>
          <w:i/>
        </w:rPr>
        <w:t xml:space="preserve">Evidence: Primary</w:t>
      </w:r>
      <w:r>
        <w:t xml:space="preserve"> </w:t>
      </w:r>
      <w:r>
        <w:t xml:space="preserve">— [Hunt et al. 2010]</w:t>
      </w:r>
    </w:p>
    <w:p>
      <w:pPr>
        <w:pStyle w:val="CalloutMistake"/>
      </w:pPr>
      <w:r>
        <w:rPr>
          <w:bCs/>
          <w:b/>
        </w:rPr>
        <w:t xml:space="preserve">COMMON MISTAKE</w:t>
      </w:r>
    </w:p>
    <w:p>
      <w:pPr>
        <w:pStyle w:val="CalloutMistake"/>
      </w:pPr>
      <w:r>
        <w:rPr>
          <w:bCs/>
          <w:b/>
        </w:rPr>
        <w:t xml:space="preserve">Mistake —</w:t>
      </w:r>
      <w:r>
        <w:rPr>
          <w:bCs/>
          <w:b/>
        </w:rPr>
        <w:t xml:space="preserve"> </w:t>
      </w:r>
      <w:r>
        <w:rPr>
          <w:bCs/>
          <w:b/>
        </w:rPr>
        <w:t xml:space="preserve">“</w:t>
      </w:r>
      <w:r>
        <w:rPr>
          <w:bCs/>
          <w:b/>
        </w:rPr>
        <w:t xml:space="preserve">Sequential consistency is the same as serializability.</w:t>
      </w:r>
      <w:r>
        <w:rPr>
          <w:bCs/>
          <w:b/>
        </w:rPr>
        <w:t xml:space="preserve">”</w:t>
      </w:r>
      <w:r>
        <w:t xml:space="preserve"> </w:t>
      </w:r>
      <w:r>
        <w:t xml:space="preserve">Sequential consistency orders individual operations on objects and says nothing about grouping operations into atomic transactions. Serializability orders transactions and, in its plain form, says nothing about real time or about each client’s sessions. Neither implies the other.</w:t>
      </w:r>
    </w:p>
    <w:bookmarkEnd w:id="2803"/>
    <w:bookmarkEnd w:id="2804"/>
    <w:bookmarkStart w:id="2817" w:name="causal-consistency"/>
    <w:p>
      <w:pPr>
        <w:pStyle w:val="Heading2"/>
      </w:pPr>
      <w:r>
        <w:t xml:space="preserve">25.5 Causal consistency</w:t>
      </w:r>
    </w:p>
    <w:bookmarkStart w:id="2810" w:name="definition-1"/>
    <w:p>
      <w:pPr>
        <w:pStyle w:val="Heading3"/>
      </w:pPr>
      <w:r>
        <w:t xml:space="preserve">25.5.1 Definition</w:t>
      </w:r>
    </w:p>
    <w:p>
      <w:pPr>
        <w:pStyle w:val="FirstParagraph"/>
      </w:pPr>
      <w:r>
        <w:t xml:space="preserve">Recall from §24.10 Lamport’s</w:t>
      </w:r>
      <w:r>
        <w:t xml:space="preserve"> </w:t>
      </w:r>
      <w:r>
        <w:rPr>
          <w:bCs/>
          <w:b/>
        </w:rPr>
        <w:t xml:space="preserve">happens-before</w:t>
      </w:r>
      <w:r>
        <w:t xml:space="preserve"> </w:t>
      </w:r>
      <w:r>
        <w:t xml:space="preserve">relation:</w:t>
      </w:r>
      <w:r>
        <w:t xml:space="preserve"> </w:t>
      </w:r>
      <m:oMath>
        <m:r>
          <m:t>a</m:t>
        </m:r>
        <m:r>
          <m:rPr>
            <m:sty m:val="p"/>
          </m:rPr>
          <m:t>→</m:t>
        </m:r>
        <m:r>
          <m:t>b</m:t>
        </m:r>
      </m:oMath>
      <w:r>
        <w:t xml:space="preserve"> </w:t>
      </w:r>
      <w:r>
        <w:t xml:space="preserve">if</w:t>
      </w:r>
      <w:r>
        <w:t xml:space="preserve"> </w:t>
      </w:r>
      <m:oMath>
        <m:r>
          <m:t>a</m:t>
        </m:r>
      </m:oMath>
      <w:r>
        <w:t xml:space="preserve"> </w:t>
      </w:r>
      <w:r>
        <w:t xml:space="preserve">and</w:t>
      </w:r>
      <w:r>
        <w:t xml:space="preserve"> </w:t>
      </w:r>
      <m:oMath>
        <m:r>
          <m:t>b</m:t>
        </m:r>
      </m:oMath>
      <w:r>
        <w:t xml:space="preserve"> </w:t>
      </w:r>
      <w:r>
        <w:t xml:space="preserve">are on the same process and</w:t>
      </w:r>
      <w:r>
        <w:t xml:space="preserve"> </w:t>
      </w:r>
      <m:oMath>
        <m:r>
          <m:t>a</m:t>
        </m:r>
      </m:oMath>
      <w:r>
        <w:t xml:space="preserve"> </w:t>
      </w:r>
      <w:r>
        <w:t xml:space="preserve">comes first, or</w:t>
      </w:r>
      <w:r>
        <w:t xml:space="preserve"> </w:t>
      </w:r>
      <m:oMath>
        <m:r>
          <m:t>a</m:t>
        </m:r>
      </m:oMath>
      <w:r>
        <w:t xml:space="preserve"> </w:t>
      </w:r>
      <w:r>
        <w:t xml:space="preserve">is the sending of a message and</w:t>
      </w:r>
      <w:r>
        <w:t xml:space="preserve"> </w:t>
      </w:r>
      <m:oMath>
        <m:r>
          <m:t>b</m:t>
        </m:r>
      </m:oMath>
      <w:r>
        <w:t xml:space="preserve"> </w:t>
      </w:r>
      <w:r>
        <w:t xml:space="preserve">its receipt, or by transitivity. For a data store, the messages are writes and reads: if a client reads a value written by</w:t>
      </w:r>
      <w:r>
        <w:t xml:space="preserve"> </w:t>
      </w:r>
      <m:oMath>
        <m:r>
          <m:t>w</m:t>
        </m:r>
      </m:oMath>
      <w:r>
        <w:t xml:space="preserve">, every later operation of that client is causally after</w:t>
      </w:r>
      <w:r>
        <w:t xml:space="preserve"> </w:t>
      </w:r>
      <m:oMath>
        <m:r>
          <m:t>w</m:t>
        </m:r>
      </m:oMath>
      <w:r>
        <w:t xml:space="preserve">.</w:t>
      </w:r>
    </w:p>
    <w:p>
      <w:pPr>
        <w:pStyle w:val="CalloutDefinition"/>
      </w:pPr>
      <w:r>
        <w:rPr>
          <w:bCs/>
          <w:b/>
        </w:rPr>
        <w:t xml:space="preserve">DEFINITION</w:t>
      </w:r>
    </w:p>
    <w:p>
      <w:pPr>
        <w:pStyle w:val="CalloutDefinition"/>
      </w:pPr>
      <w:r>
        <w:rPr>
          <w:bCs/>
          <w:b/>
        </w:rPr>
        <w:t xml:space="preserve">Definition — Causal consistency.</w:t>
      </w:r>
      <w:r>
        <w:t xml:space="preserve"> </w:t>
      </w:r>
      <w:r>
        <w:t xml:space="preserve">Writes that are</w:t>
      </w:r>
      <w:r>
        <w:t xml:space="preserve"> </w:t>
      </w:r>
      <w:r>
        <w:rPr>
          <w:bCs/>
          <w:b/>
        </w:rPr>
        <w:t xml:space="preserve">causally related</w:t>
      </w:r>
      <w:r>
        <w:t xml:space="preserve"> </w:t>
      </w:r>
      <w:r>
        <w:t xml:space="preserve">must be seen by every client in their causal order; writes that are</w:t>
      </w:r>
      <w:r>
        <w:t xml:space="preserve"> </w:t>
      </w:r>
      <w:r>
        <w:rPr>
          <w:bCs/>
          <w:b/>
        </w:rPr>
        <w:t xml:space="preserve">concurrent</w:t>
      </w:r>
      <w:r>
        <w:t xml:space="preserve"> </w:t>
      </w:r>
      <w:r>
        <w:t xml:space="preserve">(neither happens before the other) may be seen in different orders by different clients. Formally, each client’s view must be a legal sequential history that respects the causal order induced by program order and reads-from [Ahamad et al. 1995].</w:t>
      </w:r>
    </w:p>
    <w:bookmarkStart w:id="2805" w:name="first-principles-explanation-139"/>
    <w:p>
      <w:pPr>
        <w:pStyle w:val="Heading4"/>
      </w:pPr>
      <w:r>
        <w:t xml:space="preserve">First-principles explanation</w:t>
      </w:r>
    </w:p>
    <w:p>
      <w:pPr>
        <w:pStyle w:val="FirstParagraph"/>
      </w:pPr>
      <w:r>
        <w:t xml:space="preserve">Picture a group chat. Ana asks</w:t>
      </w:r>
      <w:r>
        <w:t xml:space="preserve"> </w:t>
      </w:r>
      <w:r>
        <w:t xml:space="preserve">“</w:t>
      </w:r>
      <w:r>
        <w:t xml:space="preserve">Who wants pizza?</w:t>
      </w:r>
      <w:r>
        <w:t xml:space="preserve">”</w:t>
      </w:r>
      <w:r>
        <w:t xml:space="preserve"> </w:t>
      </w:r>
      <w:r>
        <w:t xml:space="preserve">and Ben replies</w:t>
      </w:r>
      <w:r>
        <w:t xml:space="preserve"> </w:t>
      </w:r>
      <w:r>
        <w:t xml:space="preserve">“</w:t>
      </w:r>
      <w:r>
        <w:t xml:space="preserve">Me!</w:t>
      </w:r>
      <w:r>
        <w:t xml:space="preserve">”</w:t>
      </w:r>
      <w:r>
        <w:t xml:space="preserve">. Causality says nobody may ever see Ben’s reply without Ana’s question above it, because Ben wrote it</w:t>
      </w:r>
      <w:r>
        <w:t xml:space="preserve"> </w:t>
      </w:r>
      <w:r>
        <w:rPr>
          <w:iCs/>
          <w:i/>
        </w:rPr>
        <w:t xml:space="preserve">after reading</w:t>
      </w:r>
      <w:r>
        <w:t xml:space="preserve"> </w:t>
      </w:r>
      <w:r>
        <w:t xml:space="preserve">the question. But if Ana and Chen post unrelated messages at the same moment, some phones may show Ana’s first and others Chen’s first; nothing is wrong with that. Causal consistency enforces the first rule and allows the second. It forbids exactly the anomalies that confuse humans (answers before questions, a comment on a photo that does not exist yet) while letting unrelated updates flow independently.</w:t>
      </w:r>
    </w:p>
    <w:bookmarkEnd w:id="2805"/>
    <w:bookmarkStart w:id="2809" w:name="why-does-this-exist-86"/>
    <w:p>
      <w:pPr>
        <w:pStyle w:val="Heading4"/>
      </w:pPr>
      <w:r>
        <w:t xml:space="preserve">Why does this exist?</w:t>
      </w:r>
    </w:p>
    <w:p>
      <w:pPr>
        <w:pStyle w:val="FirstParagraph"/>
      </w:pPr>
      <w:r>
        <w:t xml:space="preserve">Causal consistency is a sweet spot for geo-replicated systems. It can be implemented so that every read and write completes at the local data center, with no cross-region wait, and it remains available during network partitions as long as a client stays connected to the same replica (it is</w:t>
      </w:r>
      <w:r>
        <w:t xml:space="preserve"> </w:t>
      </w:r>
      <w:r>
        <w:rPr>
          <w:bCs/>
          <w:b/>
        </w:rPr>
        <w:t xml:space="preserve">sticky available</w:t>
      </w:r>
      <w:r>
        <w:t xml:space="preserve">, §25.7.5). Mahajan, Alvisi and Dahlin argued that no consistency model stronger than a variant they call real-time causal consistency can be both available under partitions and convergent [Mahajan et al. 2011]. Causal consistency is, in that sense, about the strongest model you can have while still choosing A in CAP.</w:t>
      </w:r>
    </w:p>
    <w:p>
      <w:pPr>
        <w:pStyle w:val="BodyText"/>
      </w:pPr>
      <w:r>
        <w:rPr>
          <w:bCs/>
          <w:b/>
        </w:rPr>
        <w:t xml:space="preserve">Figure 25.5 — A causality violation across regions.</w:t>
      </w:r>
    </w:p>
    <w:p>
      <w:pPr>
        <w:pStyle w:val="BodyText"/>
      </w:pPr>
      <w:r>
        <w:drawing>
          <wp:inline>
            <wp:extent cx="5334000" cy="2483629"/>
            <wp:effectExtent b="0" l="0" r="0" t="0"/>
            <wp:docPr descr="" title="" id="2807" name="Picture"/>
            <a:graphic>
              <a:graphicData uri="http://schemas.openxmlformats.org/drawingml/2006/picture">
                <pic:pic>
                  <pic:nvPicPr>
                    <pic:cNvPr descr="/home/user/System-Design/build/.cache/diagrams/941ff3e74629.png" id="2808" name="Picture"/>
                    <pic:cNvPicPr>
                      <a:picLocks noChangeArrowheads="1" noChangeAspect="1"/>
                    </pic:cNvPicPr>
                  </pic:nvPicPr>
                  <pic:blipFill>
                    <a:blip r:embed="rId2806"/>
                    <a:stretch>
                      <a:fillRect/>
                    </a:stretch>
                  </pic:blipFill>
                  <pic:spPr bwMode="auto">
                    <a:xfrm>
                      <a:off x="0" y="0"/>
                      <a:ext cx="5334000" cy="2483629"/>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Ana’s two writes go synchronously to her local EU replica; replication to the US (open arrowheads) is asynchronous and, here, reorders them because they travel on different partitions or connections. Ana issued w1 before w2, so w1 happens before w2. A replica that applies w2 without w1 lets the photo leak to the boss. The storage boundary is between the regions; the failure point is applying a write before its causal dependencies. A causally consistent store would hold w2 at the US replica until w1 is applied, and the scaling challenge is doing that check without serializing all writes.</w:t>
      </w:r>
    </w:p>
    <w:bookmarkEnd w:id="2809"/>
    <w:bookmarkEnd w:id="2810"/>
    <w:bookmarkStart w:id="2816" w:name="how-cops-tracks-dependencies"/>
    <w:p>
      <w:pPr>
        <w:pStyle w:val="Heading3"/>
      </w:pPr>
      <w:r>
        <w:t xml:space="preserve">25.5.2 How COPS tracks dependencies</w:t>
      </w:r>
    </w:p>
    <w:p>
      <w:pPr>
        <w:pStyle w:val="FirstParagraph"/>
      </w:pPr>
      <w:r>
        <w:rPr>
          <w:bCs/>
          <w:b/>
        </w:rPr>
        <w:t xml:space="preserve">COPS</w:t>
      </w:r>
      <w:r>
        <w:t xml:space="preserve"> </w:t>
      </w:r>
      <w:r>
        <w:t xml:space="preserve">(Clusters of Order-Preserving Servers) is a geo-replicated key-value store from Lloyd, Freedman, Kaminsky and Andersen that provides</w:t>
      </w:r>
      <w:r>
        <w:t xml:space="preserve"> </w:t>
      </w:r>
      <w:r>
        <w:rPr>
          <w:bCs/>
          <w:b/>
        </w:rPr>
        <w:t xml:space="preserve">causal+ consistency</w:t>
      </w:r>
      <w:r>
        <w:t xml:space="preserve">: causal consistency plus</w:t>
      </w:r>
      <w:r>
        <w:t xml:space="preserve"> </w:t>
      </w:r>
      <w:r>
        <w:rPr>
          <w:bCs/>
          <w:b/>
        </w:rPr>
        <w:t xml:space="preserve">convergent conflict handling</w:t>
      </w:r>
      <w:r>
        <w:t xml:space="preserve">, so that replicas that receive concurrent writes to the same key resolve them identically and converge [Lloyd et al. 2011]. Its design shows the general recipe.</w:t>
      </w:r>
    </w:p>
    <w:bookmarkStart w:id="2814" w:name="how-it-works-internally-92"/>
    <w:p>
      <w:pPr>
        <w:pStyle w:val="Heading4"/>
      </w:pPr>
      <w:r>
        <w:t xml:space="preserve">How it works internally</w:t>
      </w:r>
    </w:p>
    <w:p>
      <w:pPr>
        <w:numPr>
          <w:ilvl w:val="0"/>
          <w:numId w:val="1814"/>
        </w:numPr>
        <w:pStyle w:val="Compact"/>
      </w:pPr>
      <w:r>
        <w:rPr>
          <w:bCs/>
          <w:b/>
        </w:rPr>
        <w:t xml:space="preserve">The client library keeps a context.</w:t>
      </w:r>
      <w:r>
        <w:t xml:space="preserve"> </w:t>
      </w:r>
      <w:r>
        <w:t xml:space="preserve">Every value the client reads or writes adds an entry (key, version) to the client’s context. These are the operations its next write may depend on.</w:t>
      </w:r>
    </w:p>
    <w:p>
      <w:pPr>
        <w:numPr>
          <w:ilvl w:val="0"/>
          <w:numId w:val="1814"/>
        </w:numPr>
        <w:pStyle w:val="Compact"/>
      </w:pPr>
      <w:r>
        <w:rPr>
          <w:bCs/>
          <w:b/>
        </w:rPr>
        <w:t xml:space="preserve">Writes carry dependencies.</w:t>
      </w:r>
      <w:r>
        <w:t xml:space="preserve"> </w:t>
      </w:r>
      <w:r>
        <w:t xml:space="preserve">A</w:t>
      </w:r>
      <w:r>
        <w:t xml:space="preserve"> </w:t>
      </w:r>
      <w:r>
        <w:rPr>
          <w:rStyle w:val="VerbatimChar"/>
        </w:rPr>
        <w:t xml:space="preserve">put</w:t>
      </w:r>
      <w:r>
        <w:t xml:space="preserve"> </w:t>
      </w:r>
      <w:r>
        <w:t xml:space="preserve">is sent to the local cluster as</w:t>
      </w:r>
      <w:r>
        <w:t xml:space="preserve"> </w:t>
      </w:r>
      <w:r>
        <w:rPr>
          <w:rStyle w:val="VerbatimChar"/>
        </w:rPr>
        <w:t xml:space="preserve">put_after(key, value, deps)</w:t>
      </w:r>
      <w:r>
        <w:t xml:space="preserve">, where</w:t>
      </w:r>
      <w:r>
        <w:t xml:space="preserve"> </w:t>
      </w:r>
      <w:r>
        <w:rPr>
          <w:rStyle w:val="VerbatimChar"/>
        </w:rPr>
        <w:t xml:space="preserve">deps</w:t>
      </w:r>
      <w:r>
        <w:t xml:space="preserve"> </w:t>
      </w:r>
      <w:r>
        <w:t xml:space="preserve">is the context. The local cluster applies it immediately, assigns it a version (a Lamport timestamp, so concurrent writes have a deterministic winner) and returns. The write is local: no cross-region wait.</w:t>
      </w:r>
    </w:p>
    <w:p>
      <w:pPr>
        <w:numPr>
          <w:ilvl w:val="0"/>
          <w:numId w:val="1814"/>
        </w:numPr>
        <w:pStyle w:val="Compact"/>
      </w:pPr>
      <w:r>
        <w:rPr>
          <w:bCs/>
          <w:b/>
        </w:rPr>
        <w:t xml:space="preserve">Nearest dependencies only.</w:t>
      </w:r>
      <w:r>
        <w:t xml:space="preserve"> </w:t>
      </w:r>
      <w:r>
        <w:t xml:space="preserve">Tracking every ancestor would grow without bound. Because dependencies are transitive, a write needs to list only its</w:t>
      </w:r>
      <w:r>
        <w:t xml:space="preserve"> </w:t>
      </w:r>
      <w:r>
        <w:rPr>
          <w:bCs/>
          <w:b/>
        </w:rPr>
        <w:t xml:space="preserve">nearest</w:t>
      </w:r>
      <w:r>
        <w:t xml:space="preserve"> </w:t>
      </w:r>
      <w:r>
        <w:t xml:space="preserve">dependencies; COPS clears the client’s context after each put and replaces it with the new write, since that write already depends on everything before it.</w:t>
      </w:r>
    </w:p>
    <w:p>
      <w:pPr>
        <w:numPr>
          <w:ilvl w:val="0"/>
          <w:numId w:val="1814"/>
        </w:numPr>
        <w:pStyle w:val="Compact"/>
      </w:pPr>
      <w:r>
        <w:rPr>
          <w:bCs/>
          <w:b/>
        </w:rPr>
        <w:t xml:space="preserve">Remote clusters check before applying.</w:t>
      </w:r>
      <w:r>
        <w:t xml:space="preserve"> </w:t>
      </w:r>
      <w:r>
        <w:t xml:space="preserve">When a replicated write arrives at a remote cluster, the node owning that key issues</w:t>
      </w:r>
      <w:r>
        <w:t xml:space="preserve"> </w:t>
      </w:r>
      <w:r>
        <w:rPr>
          <w:rStyle w:val="VerbatimChar"/>
        </w:rPr>
        <w:t xml:space="preserve">dep_check</w:t>
      </w:r>
      <w:r>
        <w:t xml:space="preserve"> </w:t>
      </w:r>
      <w:r>
        <w:t xml:space="preserve">calls to the nodes owning each dependency. Each call returns once that dependency (or a later version) is applied locally. Only then is the write made visible.</w:t>
      </w:r>
    </w:p>
    <w:p>
      <w:pPr>
        <w:numPr>
          <w:ilvl w:val="0"/>
          <w:numId w:val="1814"/>
        </w:numPr>
        <w:pStyle w:val="Compact"/>
      </w:pPr>
      <w:r>
        <w:rPr>
          <w:bCs/>
          <w:b/>
        </w:rPr>
        <w:t xml:space="preserve">Reads are local.</w:t>
      </w:r>
      <w:r>
        <w:t xml:space="preserve"> </w:t>
      </w:r>
      <w:r>
        <w:rPr>
          <w:rStyle w:val="VerbatimChar"/>
        </w:rPr>
        <w:t xml:space="preserve">get</w:t>
      </w:r>
      <w:r>
        <w:t xml:space="preserve"> </w:t>
      </w:r>
      <w:r>
        <w:t xml:space="preserve">returns whatever the local cluster has; every visible value already has its dependencies visible.</w:t>
      </w:r>
    </w:p>
    <w:p>
      <w:pPr>
        <w:numPr>
          <w:ilvl w:val="0"/>
          <w:numId w:val="1814"/>
        </w:numPr>
        <w:pStyle w:val="Compact"/>
      </w:pPr>
      <w:r>
        <w:rPr>
          <w:bCs/>
          <w:b/>
        </w:rPr>
        <w:t xml:space="preserve">COPS-GT</w:t>
      </w:r>
      <w:r>
        <w:t xml:space="preserve"> </w:t>
      </w:r>
      <w:r>
        <w:t xml:space="preserve">adds read-only</w:t>
      </w:r>
      <w:r>
        <w:t xml:space="preserve"> </w:t>
      </w:r>
      <w:r>
        <w:rPr>
          <w:bCs/>
          <w:b/>
        </w:rPr>
        <w:t xml:space="preserve">get transactions</w:t>
      </w:r>
      <w:r>
        <w:t xml:space="preserve"> </w:t>
      </w:r>
      <w:r>
        <w:t xml:space="preserve">that return a causally consistent snapshot of several keys.</w:t>
      </w:r>
    </w:p>
    <w:p>
      <w:pPr>
        <w:pStyle w:val="FirstParagraph"/>
      </w:pPr>
      <w:r>
        <w:rPr>
          <w:bCs/>
          <w:b/>
        </w:rPr>
        <w:t xml:space="preserve">Figure 25.6 — COPS: local writes, asynchronous replication, dependency checks.</w:t>
      </w:r>
    </w:p>
    <w:p>
      <w:pPr>
        <w:pStyle w:val="BodyText"/>
      </w:pPr>
      <w:r>
        <w:drawing>
          <wp:inline>
            <wp:extent cx="5334000" cy="1284514"/>
            <wp:effectExtent b="0" l="0" r="0" t="0"/>
            <wp:docPr descr="" title="" id="2812" name="Picture"/>
            <a:graphic>
              <a:graphicData uri="http://schemas.openxmlformats.org/drawingml/2006/picture">
                <pic:pic>
                  <pic:nvPicPr>
                    <pic:cNvPr descr="/home/user/System-Design/build/.cache/diagrams/96c7196f547f.png" id="2813" name="Picture"/>
                    <pic:cNvPicPr>
                      <a:picLocks noChangeArrowheads="1" noChangeAspect="1"/>
                    </pic:cNvPicPr>
                  </pic:nvPicPr>
                  <pic:blipFill>
                    <a:blip r:embed="rId2811"/>
                    <a:stretch>
                      <a:fillRect/>
                    </a:stretch>
                  </pic:blipFill>
                  <pic:spPr bwMode="auto">
                    <a:xfrm>
                      <a:off x="0" y="0"/>
                      <a:ext cx="5334000" cy="1284514"/>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client’s write is acknowledged by the local key owner synchronously; replication between data centers (dotted) is asynchronous. In data center 2 the owner of</w:t>
      </w:r>
      <w:r>
        <w:t xml:space="preserve"> </w:t>
      </w:r>
      <w:r>
        <w:rPr>
          <w:rStyle w:val="VerbatimChar"/>
        </w:rPr>
        <w:t xml:space="preserve">photo</w:t>
      </w:r>
      <w:r>
        <w:t xml:space="preserve"> </w:t>
      </w:r>
      <w:r>
        <w:t xml:space="preserve">asks the owner of</w:t>
      </w:r>
      <w:r>
        <w:t xml:space="preserve"> </w:t>
      </w:r>
      <w:r>
        <w:rPr>
          <w:rStyle w:val="VerbatimChar"/>
        </w:rPr>
        <w:t xml:space="preserve">acl</w:t>
      </w:r>
      <w:r>
        <w:t xml:space="preserve"> </w:t>
      </w:r>
      <w:r>
        <w:t xml:space="preserve">whether version 7, the nearest dependency, is applied; the</w:t>
      </w:r>
      <w:r>
        <w:t xml:space="preserve"> </w:t>
      </w:r>
      <w:r>
        <w:rPr>
          <w:rStyle w:val="VerbatimChar"/>
        </w:rPr>
        <w:t xml:space="preserve">dep_check</w:t>
      </w:r>
      <w:r>
        <w:t xml:space="preserve"> </w:t>
      </w:r>
      <w:r>
        <w:t xml:space="preserve">call blocks until it is. Only then does the photo become visible to remote clients, so no reader sees the photo without the ACL change. Each data center is a storage boundary holding a full replica, partitioned by consistent hashing within it. Failure points: a partition between data centers delays visibility of new writes there but never blocks local reads or writes. Scaling is horizontal because dependency checks touch only the partitions named in the dependency list, not a global sequencer.</w:t>
      </w:r>
    </w:p>
    <w:bookmarkEnd w:id="2814"/>
    <w:bookmarkStart w:id="2815" w:name="advantages-and-disadvantages-17"/>
    <w:p>
      <w:pPr>
        <w:pStyle w:val="Heading4"/>
      </w:pPr>
      <w:r>
        <w:t xml:space="preserve">Advantages and disadvantages</w:t>
      </w:r>
    </w:p>
    <w:p>
      <w:pPr>
        <w:pStyle w:val="FirstParagraph"/>
      </w:pPr>
      <w:r>
        <w:t xml:space="preserve">Causal consistency gives local-latency reads and writes in every region, survives partitions between regions, and forbids the anomalies users notice most. Its costs are metadata (dependency lists or vector clocks on every write), extra checks on the remote apply path, and</w:t>
      </w:r>
      <w:r>
        <w:t xml:space="preserve"> </w:t>
      </w:r>
      <w:r>
        <w:rPr>
          <w:bCs/>
          <w:b/>
        </w:rPr>
        <w:t xml:space="preserve">visibility delay</w:t>
      </w:r>
      <w:r>
        <w:t xml:space="preserve">: a write whose dependency is stuck in a slow partition waits, so a hot dependency can hold up many writes. It also cannot enforce invariants such as uniqueness: two regions can concurrently register the same username, because concurrent writes are, by definition, allowed. Such operations still need coordination, so systems typically combine causal consistency for most data with linearizable operations for a few keys.</w:t>
      </w:r>
    </w:p>
    <w:p>
      <w:pPr>
        <w:pStyle w:val="CalloutIndustry"/>
      </w:pPr>
      <w:r>
        <w:rPr>
          <w:bCs/>
          <w:b/>
        </w:rPr>
        <w:t xml:space="preserve">INDUSTRY EXAMPLE</w:t>
      </w:r>
    </w:p>
    <w:p>
      <w:pPr>
        <w:pStyle w:val="CalloutIndustry"/>
      </w:pPr>
      <w:r>
        <w:rPr>
          <w:bCs/>
          <w:b/>
        </w:rPr>
        <w:t xml:space="preserve">MongoDB causally consistent sessions.</w:t>
      </w:r>
      <w:r>
        <w:t xml:space="preserve"> </w:t>
      </w:r>
      <w:r>
        <w:t xml:space="preserve">Since version 3.6, MongoDB clients can open a causally consistent session. The driver carries an</w:t>
      </w:r>
      <w:r>
        <w:t xml:space="preserve"> </w:t>
      </w:r>
      <w:r>
        <w:rPr>
          <w:rStyle w:val="VerbatimChar"/>
        </w:rPr>
        <w:t xml:space="preserve">operationTime</w:t>
      </w:r>
      <w:r>
        <w:t xml:space="preserve"> </w:t>
      </w:r>
      <w:r>
        <w:t xml:space="preserve">and</w:t>
      </w:r>
      <w:r>
        <w:t xml:space="preserve"> </w:t>
      </w:r>
      <w:r>
        <w:rPr>
          <w:rStyle w:val="VerbatimChar"/>
        </w:rPr>
        <w:t xml:space="preserve">clusterTime</w:t>
      </w:r>
      <w:r>
        <w:t xml:space="preserve"> </w:t>
      </w:r>
      <w:r>
        <w:t xml:space="preserve">from each response into the next request, and a secondary that has not yet reached that time waits before answering. With read concern</w:t>
      </w:r>
      <w:r>
        <w:t xml:space="preserve"> </w:t>
      </w:r>
      <w:r>
        <w:rPr>
          <w:rStyle w:val="VerbatimChar"/>
        </w:rPr>
        <w:t xml:space="preserve">majority</w:t>
      </w:r>
      <w:r>
        <w:t xml:space="preserve"> </w:t>
      </w:r>
      <w:r>
        <w:t xml:space="preserve">and write concern</w:t>
      </w:r>
      <w:r>
        <w:t xml:space="preserve"> </w:t>
      </w:r>
      <w:r>
        <w:rPr>
          <w:rStyle w:val="VerbatimChar"/>
        </w:rPr>
        <w:t xml:space="preserve">majority</w:t>
      </w:r>
      <w:r>
        <w:t xml:space="preserve">, the session provides read-your-writes, monotonic reads, monotonic writes and writes-follow-reads even when reads go to secondaries.</w:t>
      </w:r>
      <w:r>
        <w:t xml:space="preserve"> </w:t>
      </w:r>
      <w:r>
        <w:rPr>
          <w:iCs/>
          <w:i/>
        </w:rPr>
        <w:t xml:space="preserve">Evidence: Primary</w:t>
      </w:r>
      <w:r>
        <w:t xml:space="preserve"> </w:t>
      </w:r>
      <w:r>
        <w:t xml:space="preserve">— [MongoDB Docs: Causal Consistency and Read and Write Concerns]</w:t>
      </w:r>
    </w:p>
    <w:p>
      <w:pPr>
        <w:pStyle w:val="CalloutMistake"/>
      </w:pPr>
      <w:r>
        <w:rPr>
          <w:bCs/>
          <w:b/>
        </w:rPr>
        <w:t xml:space="preserve">COMMON MISTAKE</w:t>
      </w:r>
    </w:p>
    <w:p>
      <w:pPr>
        <w:pStyle w:val="CalloutMistake"/>
      </w:pPr>
      <w:r>
        <w:rPr>
          <w:bCs/>
          <w:b/>
        </w:rPr>
        <w:t xml:space="preserve">Mistake —</w:t>
      </w:r>
      <w:r>
        <w:rPr>
          <w:bCs/>
          <w:b/>
        </w:rPr>
        <w:t xml:space="preserve"> </w:t>
      </w:r>
      <w:r>
        <w:rPr>
          <w:bCs/>
          <w:b/>
        </w:rPr>
        <w:t xml:space="preserve">“</w:t>
      </w:r>
      <w:r>
        <w:rPr>
          <w:bCs/>
          <w:b/>
        </w:rPr>
        <w:t xml:space="preserve">Causal consistency needs synchronized clocks.</w:t>
      </w:r>
      <w:r>
        <w:rPr>
          <w:bCs/>
          <w:b/>
        </w:rPr>
        <w:t xml:space="preserve">”</w:t>
      </w:r>
      <w:r>
        <w:t xml:space="preserve"> </w:t>
      </w:r>
      <w:r>
        <w:t xml:space="preserve">It needs</w:t>
      </w:r>
      <w:r>
        <w:t xml:space="preserve"> </w:t>
      </w:r>
      <w:r>
        <w:rPr>
          <w:iCs/>
          <w:i/>
        </w:rPr>
        <w:t xml:space="preserve">logical</w:t>
      </w:r>
      <w:r>
        <w:t xml:space="preserve"> </w:t>
      </w:r>
      <w:r>
        <w:t xml:space="preserve">ordering: Lamport timestamps, vector clocks or explicit dependency lists (§24.10–§24.11). Physical clocks, or hybrid logical clocks (§24.12), are sometimes added to make versions human-meaningful or to support snapshot reads, but correctness does not depend on clock accuracy.</w:t>
      </w:r>
    </w:p>
    <w:bookmarkEnd w:id="2815"/>
    <w:bookmarkEnd w:id="2816"/>
    <w:bookmarkEnd w:id="2817"/>
    <w:bookmarkStart w:id="2827" w:name="session-guarantees"/>
    <w:p>
      <w:pPr>
        <w:pStyle w:val="Heading2"/>
      </w:pPr>
      <w:r>
        <w:t xml:space="preserve">25.6 Session guarantees</w:t>
      </w:r>
    </w:p>
    <w:bookmarkStart w:id="2824" w:name="four-promises-to-one-client"/>
    <w:p>
      <w:pPr>
        <w:pStyle w:val="Heading3"/>
      </w:pPr>
      <w:r>
        <w:t xml:space="preserve">25.6.1 Four promises to one client</w:t>
      </w:r>
    </w:p>
    <w:p>
      <w:pPr>
        <w:pStyle w:val="FirstParagraph"/>
      </w:pPr>
      <w:r>
        <w:t xml:space="preserve">Global models constrain what</w:t>
      </w:r>
      <w:r>
        <w:t xml:space="preserve"> </w:t>
      </w:r>
      <w:r>
        <w:rPr>
          <w:iCs/>
          <w:i/>
        </w:rPr>
        <w:t xml:space="preserve">all</w:t>
      </w:r>
      <w:r>
        <w:t xml:space="preserve"> </w:t>
      </w:r>
      <w:r>
        <w:t xml:space="preserve">clients see. Often a weaker, cheaper promise suffices: that the system looks sensible</w:t>
      </w:r>
      <w:r>
        <w:t xml:space="preserve"> </w:t>
      </w:r>
      <w:r>
        <w:rPr>
          <w:iCs/>
          <w:i/>
        </w:rPr>
        <w:t xml:space="preserve">to each client individually</w:t>
      </w:r>
      <w:r>
        <w:t xml:space="preserve">. Terry and colleagues, building the Bayou weakly connected replicated storage system at Xerox PARC, defined four such</w:t>
      </w:r>
      <w:r>
        <w:t xml:space="preserve"> </w:t>
      </w:r>
      <w:r>
        <w:rPr>
          <w:bCs/>
          <w:b/>
        </w:rPr>
        <w:t xml:space="preserve">session guarantees</w:t>
      </w:r>
      <w:r>
        <w:t xml:space="preserve"> </w:t>
      </w:r>
      <w:r>
        <w:t xml:space="preserve">[Terry et al. 1994]. A</w:t>
      </w:r>
      <w:r>
        <w:t xml:space="preserve"> </w:t>
      </w:r>
      <w:r>
        <w:rPr>
          <w:bCs/>
          <w:b/>
        </w:rPr>
        <w:t xml:space="preserve">session</w:t>
      </w:r>
      <w:r>
        <w:t xml:space="preserve"> </w:t>
      </w:r>
      <w:r>
        <w:t xml:space="preserve">is the sequence of operations a single client (an application instance, a browser tab, a user) performs; the guarantees hold within it.</w:t>
      </w:r>
    </w:p>
    <w:p>
      <w:pPr>
        <w:pStyle w:val="CalloutDefinition"/>
      </w:pPr>
      <w:r>
        <w:rPr>
          <w:bCs/>
          <w:b/>
        </w:rPr>
        <w:t xml:space="preserve">DEFINITION</w:t>
      </w:r>
    </w:p>
    <w:p>
      <w:pPr>
        <w:pStyle w:val="CalloutDefinition"/>
      </w:pPr>
      <w:r>
        <w:rPr>
          <w:bCs/>
          <w:b/>
        </w:rPr>
        <w:t xml:space="preserve">Definition — Session guarantees.</w:t>
      </w:r>
      <w:r>
        <w:t xml:space="preserve"> </w:t>
      </w:r>
      <w:r>
        <w:rPr>
          <w:bCs/>
          <w:b/>
        </w:rPr>
        <w:t xml:space="preserve">Read-your-writes (RYW):</w:t>
      </w:r>
      <w:r>
        <w:t xml:space="preserve"> </w:t>
      </w:r>
      <w:r>
        <w:t xml:space="preserve">if a session writes</w:t>
      </w:r>
      <w:r>
        <w:t xml:space="preserve"> </w:t>
      </w:r>
      <m:oMath>
        <m:r>
          <m:t>w</m:t>
        </m:r>
      </m:oMath>
      <w:r>
        <w:t xml:space="preserve"> </w:t>
      </w:r>
      <w:r>
        <w:t xml:space="preserve">and later reads, the read reflects</w:t>
      </w:r>
      <w:r>
        <w:t xml:space="preserve"> </w:t>
      </w:r>
      <m:oMath>
        <m:r>
          <m:t>w</m:t>
        </m:r>
      </m:oMath>
      <w:r>
        <w:t xml:space="preserve"> </w:t>
      </w:r>
      <w:r>
        <w:t xml:space="preserve">(or a later write).</w:t>
      </w:r>
      <w:r>
        <w:t xml:space="preserve"> </w:t>
      </w:r>
      <w:r>
        <w:rPr>
          <w:bCs/>
          <w:b/>
        </w:rPr>
        <w:t xml:space="preserve">Monotonic reads (MR):</w:t>
      </w:r>
      <w:r>
        <w:t xml:space="preserve"> </w:t>
      </w:r>
      <w:r>
        <w:t xml:space="preserve">if a session reads a value reflecting a set of writes, later reads reflect at least that set; the session never sees time go backwards.</w:t>
      </w:r>
      <w:r>
        <w:t xml:space="preserve"> </w:t>
      </w:r>
      <w:r>
        <w:rPr>
          <w:bCs/>
          <w:b/>
        </w:rPr>
        <w:t xml:space="preserve">Monotonic writes (MW):</w:t>
      </w:r>
      <w:r>
        <w:t xml:space="preserve"> </w:t>
      </w:r>
      <w:r>
        <w:t xml:space="preserve">a session’s writes are applied at every replica in the order the session issued them.</w:t>
      </w:r>
      <w:r>
        <w:t xml:space="preserve"> </w:t>
      </w:r>
      <w:r>
        <w:rPr>
          <w:bCs/>
          <w:b/>
        </w:rPr>
        <w:t xml:space="preserve">Writes-follow-reads (WFR):</w:t>
      </w:r>
      <w:r>
        <w:t xml:space="preserve"> </w:t>
      </w:r>
      <w:r>
        <w:t xml:space="preserve">if a session reads a value produced by write</w:t>
      </w:r>
      <w:r>
        <w:t xml:space="preserve"> </w:t>
      </w:r>
      <m:oMath>
        <m:sSub>
          <m:e>
            <m:r>
              <m:t>w</m:t>
            </m:r>
          </m:e>
          <m:sub>
            <m:r>
              <m:t>1</m:t>
            </m:r>
          </m:sub>
        </m:sSub>
      </m:oMath>
      <w:r>
        <w:t xml:space="preserve"> </w:t>
      </w:r>
      <w:r>
        <w:t xml:space="preserve">and then writes</w:t>
      </w:r>
      <w:r>
        <w:t xml:space="preserve"> </w:t>
      </w:r>
      <m:oMath>
        <m:sSub>
          <m:e>
            <m:r>
              <m:t>w</m:t>
            </m:r>
          </m:e>
          <m:sub>
            <m:r>
              <m:t>2</m:t>
            </m:r>
          </m:sub>
        </m:sSub>
      </m:oMath>
      <w:r>
        <w:t xml:space="preserve">, every replica applies</w:t>
      </w:r>
      <w:r>
        <w:t xml:space="preserve"> </w:t>
      </w:r>
      <m:oMath>
        <m:sSub>
          <m:e>
            <m:r>
              <m:t>w</m:t>
            </m:r>
          </m:e>
          <m:sub>
            <m:r>
              <m:t>1</m:t>
            </m:r>
          </m:sub>
        </m:sSub>
      </m:oMath>
      <w:r>
        <w:t xml:space="preserve"> </w:t>
      </w:r>
      <w:r>
        <w:t xml:space="preserve">before</w:t>
      </w:r>
      <w:r>
        <w:t xml:space="preserve"> </w:t>
      </w:r>
      <m:oMath>
        <m:sSub>
          <m:e>
            <m:r>
              <m:t>w</m:t>
            </m:r>
          </m:e>
          <m:sub>
            <m:r>
              <m:t>2</m:t>
            </m:r>
          </m:sub>
        </m:sSub>
      </m:oMath>
      <w:r>
        <w:t xml:space="preserve"> </w:t>
      </w:r>
      <w:r>
        <w:t xml:space="preserve">(the new write is ordered after what the session saw).</w:t>
      </w:r>
    </w:p>
    <w:p>
      <w:pPr>
        <w:pStyle w:val="BodyText"/>
      </w:pPr>
      <w:r>
        <w:t xml:space="preserve">Together the four guarantees give each session a causally consistent view of its own interactions; causal consistency (§25.5) extends the same ordering across sessions that communicate through the data. Chapter 14 showed the first two failing with lagging read replicas (Figure 14.3). Figure 25.7 shows them in a multi-region setting, and Figure 25.8 shows the two write-side guarantees.</w:t>
      </w:r>
    </w:p>
    <w:p>
      <w:pPr>
        <w:pStyle w:val="BodyText"/>
      </w:pPr>
      <w:r>
        <w:rPr>
          <w:bCs/>
          <w:b/>
        </w:rPr>
        <w:t xml:space="preserve">Figure 25.7 — Read-your-writes and monotonic-reads violations behind a load balancer.</w:t>
      </w:r>
    </w:p>
    <w:p>
      <w:pPr>
        <w:pStyle w:val="BodyText"/>
      </w:pPr>
      <w:r>
        <w:drawing>
          <wp:inline>
            <wp:extent cx="5334000" cy="4667993"/>
            <wp:effectExtent b="0" l="0" r="0" t="0"/>
            <wp:docPr descr="" title="" id="2819" name="Picture"/>
            <a:graphic>
              <a:graphicData uri="http://schemas.openxmlformats.org/drawingml/2006/picture">
                <pic:pic>
                  <pic:nvPicPr>
                    <pic:cNvPr descr="/home/user/System-Design/build/.cache/diagrams/39e96239ee8c.png" id="2820" name="Picture"/>
                    <pic:cNvPicPr>
                      <a:picLocks noChangeArrowheads="1" noChangeAspect="1"/>
                    </pic:cNvPicPr>
                  </pic:nvPicPr>
                  <pic:blipFill>
                    <a:blip r:embed="rId2818"/>
                    <a:stretch>
                      <a:fillRect/>
                    </a:stretch>
                  </pic:blipFill>
                  <pic:spPr bwMode="auto">
                    <a:xfrm>
                      <a:off x="0" y="0"/>
                      <a:ext cx="5334000" cy="4667993"/>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All calls are synchronous HTTP requests; replication between the replicas (not drawn) is asynchronous. The load balancer is the failure point: by choosing a replica per request with no memory of the session, it can send any read to the lagging replica. Adding replicas makes the anomaly more likely, not less. The fixes below constrain routing per session, not globally, so they keep most of the read scaling.</w:t>
      </w:r>
    </w:p>
    <w:p>
      <w:pPr>
        <w:pStyle w:val="BodyText"/>
      </w:pPr>
      <w:r>
        <w:rPr>
          <w:bCs/>
          <w:b/>
        </w:rPr>
        <w:t xml:space="preserve">Figure 25.8 — Monotonic-writes and writes-follow-reads violations.</w:t>
      </w:r>
    </w:p>
    <w:p>
      <w:pPr>
        <w:pStyle w:val="BodyText"/>
      </w:pPr>
      <w:r>
        <w:drawing>
          <wp:inline>
            <wp:extent cx="5334000" cy="3127506"/>
            <wp:effectExtent b="0" l="0" r="0" t="0"/>
            <wp:docPr descr="" title="" id="2822" name="Picture"/>
            <a:graphic>
              <a:graphicData uri="http://schemas.openxmlformats.org/drawingml/2006/picture">
                <pic:pic>
                  <pic:nvPicPr>
                    <pic:cNvPr descr="/home/user/System-Design/build/.cache/diagrams/a740d7e6eb10.png" id="2823" name="Picture"/>
                    <pic:cNvPicPr>
                      <a:picLocks noChangeArrowheads="1" noChangeAspect="1"/>
                    </pic:cNvPicPr>
                  </pic:nvPicPr>
                  <pic:blipFill>
                    <a:blip r:embed="rId2821"/>
                    <a:stretch>
                      <a:fillRect/>
                    </a:stretch>
                  </pic:blipFill>
                  <pic:spPr bwMode="auto">
                    <a:xfrm>
                      <a:off x="0" y="0"/>
                      <a:ext cx="5334000" cy="3127506"/>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Writes go synchronously to whichever replica the session reaches; replication between regions (open arrowheads) is asynchronous and unordered. In the first half, the session’s two writes arrive at West in the wrong order, so West ends with the older password: the session’s own write order was not preserved. In the second half, the viewer’s reply depends on a post it read, but East receives the reply before the post, so readers in East see an answer to nothing. Both failures sit in the replication path; the fix is to carry ordering metadata with writes so replicas delay out-of-order ones.</w:t>
      </w:r>
    </w:p>
    <w:bookmarkEnd w:id="2824"/>
    <w:bookmarkStart w:id="2826" w:name="implementation-techniques"/>
    <w:p>
      <w:pPr>
        <w:pStyle w:val="Heading3"/>
      </w:pPr>
      <w:r>
        <w:t xml:space="preserve">25.6.2 Implementation techniques</w:t>
      </w:r>
    </w:p>
    <w:p>
      <w:pPr>
        <w:pStyle w:val="FirstParagraph"/>
      </w:pPr>
      <w:r>
        <w:t xml:space="preserve">Terry et al. implemented all four guarantees with two sets per session, stored at the client: the</w:t>
      </w:r>
      <w:r>
        <w:t xml:space="preserve"> </w:t>
      </w:r>
      <w:r>
        <w:rPr>
          <w:bCs/>
          <w:b/>
        </w:rPr>
        <w:t xml:space="preserve">write-set</w:t>
      </w:r>
      <w:r>
        <w:t xml:space="preserve"> </w:t>
      </w:r>
      <w:r>
        <w:t xml:space="preserve">(identifiers of writes the session issued) and the</w:t>
      </w:r>
      <w:r>
        <w:t xml:space="preserve"> </w:t>
      </w:r>
      <w:r>
        <w:rPr>
          <w:bCs/>
          <w:b/>
        </w:rPr>
        <w:t xml:space="preserve">read-set</w:t>
      </w:r>
      <w:r>
        <w:t xml:space="preserve"> </w:t>
      </w:r>
      <w:r>
        <w:t xml:space="preserve">(identifiers of writes that produced values the session read). Compressed as</w:t>
      </w:r>
      <w:r>
        <w:t xml:space="preserve"> </w:t>
      </w:r>
      <w:r>
        <w:rPr>
          <w:bCs/>
          <w:b/>
        </w:rPr>
        <w:t xml:space="preserve">version vectors</w:t>
      </w:r>
      <w:r>
        <w:t xml:space="preserve"> </w:t>
      </w:r>
      <w:r>
        <w:t xml:space="preserve">(one counter per origin replica, §24.11), each set is small. A replica may serve a request only if its own vector</w:t>
      </w:r>
      <w:r>
        <w:t xml:space="preserve"> </w:t>
      </w:r>
      <w:r>
        <w:rPr>
          <w:iCs/>
          <w:i/>
        </w:rPr>
        <w:t xml:space="preserve">dominates</w:t>
      </w:r>
      <w:r>
        <w:t xml:space="preserve"> </w:t>
      </w:r>
      <w:r>
        <w:t xml:space="preserve">the required one:</w:t>
      </w:r>
    </w:p>
    <w:p>
      <w:pPr>
        <w:numPr>
          <w:ilvl w:val="0"/>
          <w:numId w:val="1815"/>
        </w:numPr>
        <w:pStyle w:val="Compact"/>
      </w:pPr>
      <w:r>
        <w:t xml:space="preserve">RYW: before a read, the replica must cover the write-set.</w:t>
      </w:r>
    </w:p>
    <w:p>
      <w:pPr>
        <w:numPr>
          <w:ilvl w:val="0"/>
          <w:numId w:val="1815"/>
        </w:numPr>
        <w:pStyle w:val="Compact"/>
      </w:pPr>
      <w:r>
        <w:t xml:space="preserve">MR: before a read, the replica must cover the read-set.</w:t>
      </w:r>
    </w:p>
    <w:p>
      <w:pPr>
        <w:numPr>
          <w:ilvl w:val="0"/>
          <w:numId w:val="1815"/>
        </w:numPr>
        <w:pStyle w:val="Compact"/>
      </w:pPr>
      <w:r>
        <w:t xml:space="preserve">MW: before a write, the replica must cover the write-set (so earlier writes are applied first).</w:t>
      </w:r>
    </w:p>
    <w:p>
      <w:pPr>
        <w:numPr>
          <w:ilvl w:val="0"/>
          <w:numId w:val="1815"/>
        </w:numPr>
        <w:pStyle w:val="Compact"/>
      </w:pPr>
      <w:r>
        <w:t xml:space="preserve">WFR: before a write, the replica must cover the read-set.</w:t>
      </w:r>
    </w:p>
    <w:p>
      <w:pPr>
        <w:pStyle w:val="FirstParagraph"/>
      </w:pPr>
      <w:r>
        <w:t xml:space="preserve">If no reachable replica qualifies, the client waits or tries another replica. Production systems use the same idea in simpler forms.</w:t>
      </w:r>
    </w:p>
    <w:p>
      <w:pPr>
        <w:pStyle w:val="BodyText"/>
      </w:pPr>
      <w:r>
        <w:rPr>
          <w:bCs/>
          <w:b/>
        </w:rPr>
        <w:t xml:space="preserve">Table 25.3 — Session guarantees and practical implementation techniques.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Guarantee</w:t>
            </w:r>
          </w:p>
        </w:tc>
        <w:tc>
          <w:tcPr/>
          <w:p>
            <w:pPr>
              <w:pStyle w:val="Compact"/>
              <w:jc w:val="left"/>
            </w:pPr>
            <w:r>
              <w:t xml:space="preserve">Anomaly prevented</w:t>
            </w:r>
          </w:p>
        </w:tc>
        <w:tc>
          <w:tcPr/>
          <w:p>
            <w:pPr>
              <w:pStyle w:val="Compact"/>
              <w:jc w:val="left"/>
            </w:pPr>
            <w:r>
              <w:t xml:space="preserve">Sticky sessions</w:t>
            </w:r>
          </w:p>
        </w:tc>
        <w:tc>
          <w:tcPr/>
          <w:p>
            <w:pPr>
              <w:pStyle w:val="Compact"/>
              <w:jc w:val="left"/>
            </w:pPr>
            <w:r>
              <w:t xml:space="preserve">Version token / LSN tracking</w:t>
            </w:r>
          </w:p>
        </w:tc>
        <w:tc>
          <w:tcPr/>
          <w:p>
            <w:pPr>
              <w:pStyle w:val="Compact"/>
              <w:jc w:val="left"/>
            </w:pPr>
            <w:r>
              <w:t xml:space="preserve">Other technique</w:t>
            </w:r>
          </w:p>
        </w:tc>
      </w:tr>
      <w:tr>
        <w:tc>
          <w:tcPr/>
          <w:p>
            <w:pPr>
              <w:pStyle w:val="Compact"/>
              <w:jc w:val="left"/>
            </w:pPr>
            <w:r>
              <w:t xml:space="preserve">Read-your-writes</w:t>
            </w:r>
          </w:p>
        </w:tc>
        <w:tc>
          <w:tcPr/>
          <w:p>
            <w:pPr>
              <w:pStyle w:val="Compact"/>
              <w:jc w:val="left"/>
            </w:pPr>
            <w:r>
              <w:t xml:space="preserve">Own write missing</w:t>
            </w:r>
          </w:p>
        </w:tc>
        <w:tc>
          <w:tcPr/>
          <w:p>
            <w:pPr>
              <w:pStyle w:val="Compact"/>
              <w:jc w:val="left"/>
            </w:pPr>
            <w:r>
              <w:t xml:space="preserve">Works only if writes and reads hit the same replica</w:t>
            </w:r>
          </w:p>
        </w:tc>
        <w:tc>
          <w:tcPr/>
          <w:p>
            <w:pPr>
              <w:pStyle w:val="Compact"/>
              <w:jc w:val="left"/>
            </w:pPr>
            <w:r>
              <w:t xml:space="preserve">Client keeps the commit LSN or GTID of its last write; read from a replica with applied LSN ≥ token, else wait or go to primary</w:t>
            </w:r>
          </w:p>
        </w:tc>
        <w:tc>
          <w:tcPr/>
          <w:p>
            <w:pPr>
              <w:pStyle w:val="Compact"/>
              <w:jc w:val="left"/>
            </w:pPr>
            <w:r>
              <w:t xml:space="preserve">Read from primary for a fixed window after a write (fails if lag exceeds window)</w:t>
            </w:r>
          </w:p>
        </w:tc>
      </w:tr>
      <w:tr>
        <w:tc>
          <w:tcPr/>
          <w:p>
            <w:pPr>
              <w:pStyle w:val="Compact"/>
              <w:jc w:val="left"/>
            </w:pPr>
            <w:r>
              <w:t xml:space="preserve">Monotonic reads</w:t>
            </w:r>
          </w:p>
        </w:tc>
        <w:tc>
          <w:tcPr/>
          <w:p>
            <w:pPr>
              <w:pStyle w:val="Compact"/>
              <w:jc w:val="left"/>
            </w:pPr>
            <w:r>
              <w:t xml:space="preserve">Data moving backwards</w:t>
            </w:r>
          </w:p>
        </w:tc>
        <w:tc>
          <w:tcPr/>
          <w:p>
            <w:pPr>
              <w:pStyle w:val="Compact"/>
              <w:jc w:val="left"/>
            </w:pPr>
            <w:r>
              <w:t xml:space="preserve">Pin a session to one replica: sufficient while it is up</w:t>
            </w:r>
          </w:p>
        </w:tc>
        <w:tc>
          <w:tcPr/>
          <w:p>
            <w:pPr>
              <w:pStyle w:val="Compact"/>
              <w:jc w:val="left"/>
            </w:pPr>
            <w:r>
              <w:t xml:space="preserve">Keep the highest LSN or vector observed; never read from a replica behind it</w:t>
            </w:r>
          </w:p>
        </w:tc>
        <w:tc>
          <w:tcPr/>
          <w:p>
            <w:pPr>
              <w:pStyle w:val="Compact"/>
              <w:jc w:val="left"/>
            </w:pPr>
            <w:r>
              <w:t xml:space="preserve">—</w:t>
            </w:r>
          </w:p>
        </w:tc>
      </w:tr>
      <w:tr>
        <w:tc>
          <w:tcPr/>
          <w:p>
            <w:pPr>
              <w:pStyle w:val="Compact"/>
              <w:jc w:val="left"/>
            </w:pPr>
            <w:r>
              <w:t xml:space="preserve">Monotonic writes</w:t>
            </w:r>
          </w:p>
        </w:tc>
        <w:tc>
          <w:tcPr/>
          <w:p>
            <w:pPr>
              <w:pStyle w:val="Compact"/>
              <w:jc w:val="left"/>
            </w:pPr>
            <w:r>
              <w:t xml:space="preserve">Own writes reordered</w:t>
            </w:r>
          </w:p>
        </w:tc>
        <w:tc>
          <w:tcPr/>
          <w:p>
            <w:pPr>
              <w:pStyle w:val="Compact"/>
              <w:jc w:val="left"/>
            </w:pPr>
            <w:r>
              <w:t xml:space="preserve">Single primary for the key already orders them</w:t>
            </w:r>
          </w:p>
        </w:tc>
        <w:tc>
          <w:tcPr/>
          <w:p>
            <w:pPr>
              <w:pStyle w:val="Compact"/>
              <w:jc w:val="left"/>
            </w:pPr>
            <w:r>
              <w:t xml:space="preserve">Sequence number per session; replica buffers out-of-order writes</w:t>
            </w:r>
          </w:p>
        </w:tc>
        <w:tc>
          <w:tcPr/>
          <w:p>
            <w:pPr>
              <w:pStyle w:val="Compact"/>
              <w:jc w:val="left"/>
            </w:pPr>
            <w:r>
              <w:t xml:space="preserve">Route all of a session’s writes to one leader</w:t>
            </w:r>
          </w:p>
        </w:tc>
      </w:tr>
      <w:tr>
        <w:tc>
          <w:tcPr/>
          <w:p>
            <w:pPr>
              <w:pStyle w:val="Compact"/>
              <w:jc w:val="left"/>
            </w:pPr>
            <w:r>
              <w:t xml:space="preserve">Writes-follow-reads</w:t>
            </w:r>
          </w:p>
        </w:tc>
        <w:tc>
          <w:tcPr/>
          <w:p>
            <w:pPr>
              <w:pStyle w:val="Compact"/>
              <w:jc w:val="left"/>
            </w:pPr>
            <w:r>
              <w:t xml:space="preserve">Reply before the post it answers</w:t>
            </w:r>
          </w:p>
        </w:tc>
        <w:tc>
          <w:tcPr/>
          <w:p>
            <w:pPr>
              <w:pStyle w:val="Compact"/>
              <w:jc w:val="left"/>
            </w:pPr>
            <w:r>
              <w:t xml:space="preserve">—</w:t>
            </w:r>
          </w:p>
        </w:tc>
        <w:tc>
          <w:tcPr/>
          <w:p>
            <w:pPr>
              <w:pStyle w:val="Compact"/>
              <w:jc w:val="left"/>
            </w:pPr>
            <w:r>
              <w:t xml:space="preserve">Attach read-set vector to the write; remote replica delays apply until covered</w:t>
            </w:r>
          </w:p>
        </w:tc>
        <w:tc>
          <w:tcPr/>
          <w:p>
            <w:pPr>
              <w:pStyle w:val="Compact"/>
              <w:jc w:val="left"/>
            </w:pPr>
            <w:r>
              <w:t xml:space="preserve">Single-leader log orders all writes anyway</w:t>
            </w:r>
          </w:p>
        </w:tc>
      </w:tr>
    </w:tbl>
    <w:p>
      <w:pPr>
        <w:pStyle w:val="BodyText"/>
      </w:pPr>
      <w:r>
        <w:t xml:space="preserve">Two practical points matter. First,</w:t>
      </w:r>
      <w:r>
        <w:t xml:space="preserve"> </w:t>
      </w:r>
      <w:r>
        <w:rPr>
          <w:bCs/>
          <w:b/>
        </w:rPr>
        <w:t xml:space="preserve">single-leader systems give MW and WFR for free</w:t>
      </w:r>
      <w:r>
        <w:t xml:space="preserve"> </w:t>
      </w:r>
      <w:r>
        <w:t xml:space="preserve">within one partition, because one log orders all writes; the session problems there are RYW and MR on followers (Chapter 14). Multi-leader and leaderless systems need all four. Second,</w:t>
      </w:r>
      <w:r>
        <w:t xml:space="preserve"> </w:t>
      </w:r>
      <w:r>
        <w:rPr>
          <w:bCs/>
          <w:b/>
        </w:rPr>
        <w:t xml:space="preserve">tokens must travel with the session</w:t>
      </w:r>
      <w:r>
        <w:t xml:space="preserve">, not the connection: a user who writes on a phone and reads on a laptop gets RYW only if the token is stored server-side with the user or carried in a cookie.</w:t>
      </w:r>
    </w:p>
    <w:bookmarkStart w:id="2825" w:name="code-example-33"/>
    <w:p>
      <w:pPr>
        <w:pStyle w:val="Heading4"/>
      </w:pPr>
      <w:r>
        <w:t xml:space="preserve">Code example</w:t>
      </w:r>
    </w:p>
    <w:p>
      <w:pPr>
        <w:pStyle w:val="FirstParagraph"/>
      </w:pPr>
      <w:r>
        <w:t xml:space="preserve">The program below implements the Bayou approach with version vectors. A</w:t>
      </w:r>
      <w:r>
        <w:t xml:space="preserve"> </w:t>
      </w:r>
      <w:r>
        <w:rPr>
          <w:rStyle w:val="VerbatimChar"/>
        </w:rPr>
        <w:t xml:space="preserve">Session</w:t>
      </w:r>
      <w:r>
        <w:t xml:space="preserve"> </w:t>
      </w:r>
      <w:r>
        <w:t xml:space="preserve">records the vectors of what it wrote and read; a replica may serve it only if its vector dominates what the enabled guarantees require.</w:t>
      </w:r>
    </w:p>
    <w:p>
      <w:pPr>
        <w:pStyle w:val="SourceCode"/>
      </w:pPr>
      <w:r>
        <w:rPr>
          <w:rStyle w:val="CommentTok"/>
        </w:rPr>
        <w:t xml:space="preserve">"""Bayou-style session guarantees with version vectors (after Terry et al. 1994).</w:t>
      </w:r>
      <w:r>
        <w:br/>
      </w:r>
      <w:r>
        <w:rPr>
          <w:rStyle w:val="CommentTok"/>
        </w:rPr>
        <w:t xml:space="preserve">A replica's vector counts how many writes from each origin it has applied.</w:t>
      </w:r>
      <w:r>
        <w:br/>
      </w:r>
      <w:r>
        <w:rPr>
          <w:rStyle w:val="CommentTok"/>
        </w:rPr>
        <w:t xml:space="preserve">The session remembers the vectors of what it wrote and what it read, and a</w:t>
      </w:r>
      <w:r>
        <w:br/>
      </w:r>
      <w:r>
        <w:rPr>
          <w:rStyle w:val="CommentTok"/>
        </w:rPr>
        <w:t xml:space="preserve">replica may serve the session only if its vector dominates the required one."""</w:t>
      </w:r>
      <w:r>
        <w:br/>
      </w:r>
      <w:r>
        <w:br/>
      </w:r>
      <w:r>
        <w:rPr>
          <w:rStyle w:val="KeywordTok"/>
        </w:rPr>
        <w:t xml:space="preserve">def</w:t>
      </w:r>
      <w:r>
        <w:rPr>
          <w:rStyle w:val="NormalTok"/>
        </w:rPr>
        <w:t xml:space="preserve"> dominates(a, b):</w:t>
      </w:r>
      <w:r>
        <w:br/>
      </w:r>
      <w:r>
        <w:rPr>
          <w:rStyle w:val="NormalTok"/>
        </w:rPr>
        <w:t xml:space="preserve">    </w:t>
      </w:r>
      <w:r>
        <w:rPr>
          <w:rStyle w:val="ControlFlowTok"/>
        </w:rPr>
        <w:t xml:space="preserve">return</w:t>
      </w:r>
      <w:r>
        <w:rPr>
          <w:rStyle w:val="NormalTok"/>
        </w:rPr>
        <w:t xml:space="preserve"> </w:t>
      </w:r>
      <w:r>
        <w:rPr>
          <w:rStyle w:val="BuiltInTok"/>
        </w:rPr>
        <w:t xml:space="preserve">all</w:t>
      </w:r>
      <w:r>
        <w:rPr>
          <w:rStyle w:val="NormalTok"/>
        </w:rPr>
        <w:t xml:space="preserve">(a.get(k, </w:t>
      </w:r>
      <w:r>
        <w:rPr>
          <w:rStyle w:val="DecValTok"/>
        </w:rPr>
        <w:t xml:space="preserve">0</w:t>
      </w:r>
      <w:r>
        <w:rPr>
          <w:rStyle w:val="NormalTok"/>
        </w:rPr>
        <w:t xml:space="preserve">) </w:t>
      </w:r>
      <w:r>
        <w:rPr>
          <w:rStyle w:val="OperatorTok"/>
        </w:rPr>
        <w:t xml:space="preserve">&gt;=</w:t>
      </w:r>
      <w:r>
        <w:rPr>
          <w:rStyle w:val="NormalTok"/>
        </w:rPr>
        <w:t xml:space="preserve"> v </w:t>
      </w:r>
      <w:r>
        <w:rPr>
          <w:rStyle w:val="ControlFlowTok"/>
        </w:rPr>
        <w:t xml:space="preserve">for</w:t>
      </w:r>
      <w:r>
        <w:rPr>
          <w:rStyle w:val="NormalTok"/>
        </w:rPr>
        <w:t xml:space="preserve"> k, v </w:t>
      </w:r>
      <w:r>
        <w:rPr>
          <w:rStyle w:val="KeywordTok"/>
        </w:rPr>
        <w:t xml:space="preserve">in</w:t>
      </w:r>
      <w:r>
        <w:rPr>
          <w:rStyle w:val="NormalTok"/>
        </w:rPr>
        <w:t xml:space="preserve"> b.items())</w:t>
      </w:r>
      <w:r>
        <w:br/>
      </w:r>
      <w:r>
        <w:br/>
      </w:r>
      <w:r>
        <w:rPr>
          <w:rStyle w:val="KeywordTok"/>
        </w:rPr>
        <w:t xml:space="preserve">def</w:t>
      </w:r>
      <w:r>
        <w:rPr>
          <w:rStyle w:val="NormalTok"/>
        </w:rPr>
        <w:t xml:space="preserve"> merge(a, b):</w:t>
      </w:r>
      <w:r>
        <w:br/>
      </w:r>
      <w:r>
        <w:rPr>
          <w:rStyle w:val="NormalTok"/>
        </w:rPr>
        <w:t xml:space="preserve">    </w:t>
      </w:r>
      <w:r>
        <w:rPr>
          <w:rStyle w:val="ControlFlowTok"/>
        </w:rPr>
        <w:t xml:space="preserve">return</w:t>
      </w:r>
      <w:r>
        <w:rPr>
          <w:rStyle w:val="NormalTok"/>
        </w:rPr>
        <w:t xml:space="preserve"> {k: </w:t>
      </w:r>
      <w:r>
        <w:rPr>
          <w:rStyle w:val="BuiltInTok"/>
        </w:rPr>
        <w:t xml:space="preserve">max</w:t>
      </w:r>
      <w:r>
        <w:rPr>
          <w:rStyle w:val="NormalTok"/>
        </w:rPr>
        <w:t xml:space="preserve">(a.get(k, </w:t>
      </w:r>
      <w:r>
        <w:rPr>
          <w:rStyle w:val="DecValTok"/>
        </w:rPr>
        <w:t xml:space="preserve">0</w:t>
      </w:r>
      <w:r>
        <w:rPr>
          <w:rStyle w:val="NormalTok"/>
        </w:rPr>
        <w:t xml:space="preserve">), b.get(k, </w:t>
      </w:r>
      <w:r>
        <w:rPr>
          <w:rStyle w:val="DecValTok"/>
        </w:rPr>
        <w:t xml:space="preserve">0</w:t>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a.keys() </w:t>
      </w:r>
      <w:r>
        <w:rPr>
          <w:rStyle w:val="OperatorTok"/>
        </w:rPr>
        <w:t xml:space="preserve">|</w:t>
      </w:r>
      <w:r>
        <w:rPr>
          <w:rStyle w:val="NormalTok"/>
        </w:rPr>
        <w:t xml:space="preserve"> b.keys()}</w:t>
      </w:r>
      <w:r>
        <w:br/>
      </w:r>
      <w:r>
        <w:br/>
      </w:r>
      <w:r>
        <w:rPr>
          <w:rStyle w:val="KeywordTok"/>
        </w:rPr>
        <w:t xml:space="preserve">class</w:t>
      </w:r>
      <w:r>
        <w:rPr>
          <w:rStyle w:val="NormalTok"/>
        </w:rPr>
        <w:t xml:space="preserve"> Replica:</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w:t>
      </w:r>
      <w:r>
        <w:br/>
      </w:r>
      <w:r>
        <w:rPr>
          <w:rStyle w:val="NormalTok"/>
        </w:rPr>
        <w:t xml:space="preserve">        </w:t>
      </w:r>
      <w:r>
        <w:rPr>
          <w:rStyle w:val="VariableTok"/>
        </w:rPr>
        <w:t xml:space="preserve">self</w:t>
      </w:r>
      <w:r>
        <w:rPr>
          <w:rStyle w:val="NormalTok"/>
        </w:rPr>
        <w:t xml:space="preserve">.name, </w:t>
      </w:r>
      <w:r>
        <w:rPr>
          <w:rStyle w:val="VariableTok"/>
        </w:rPr>
        <w:t xml:space="preserve">self</w:t>
      </w:r>
      <w:r>
        <w:rPr>
          <w:rStyle w:val="NormalTok"/>
        </w:rPr>
        <w:t xml:space="preserve">.vv, </w:t>
      </w:r>
      <w:r>
        <w:rPr>
          <w:rStyle w:val="VariableTok"/>
        </w:rPr>
        <w:t xml:space="preserve">self</w:t>
      </w:r>
      <w:r>
        <w:rPr>
          <w:rStyle w:val="NormalTok"/>
        </w:rPr>
        <w:t xml:space="preserve">.log </w:t>
      </w:r>
      <w:r>
        <w:rPr>
          <w:rStyle w:val="OperatorTok"/>
        </w:rPr>
        <w:t xml:space="preserve">=</w:t>
      </w:r>
      <w:r>
        <w:rPr>
          <w:rStyle w:val="NormalTok"/>
        </w:rPr>
        <w:t xml:space="preserve"> name, {}, []</w:t>
      </w:r>
      <w:r>
        <w:br/>
      </w:r>
      <w:r>
        <w:rPr>
          <w:rStyle w:val="NormalTok"/>
        </w:rPr>
        <w:t xml:space="preserve">    </w:t>
      </w:r>
      <w:r>
        <w:rPr>
          <w:rStyle w:val="KeywordTok"/>
        </w:rPr>
        <w:t xml:space="preserve">def</w:t>
      </w:r>
      <w:r>
        <w:rPr>
          <w:rStyle w:val="NormalTok"/>
        </w:rPr>
        <w:t xml:space="preserve"> </w:t>
      </w:r>
      <w:r>
        <w:rPr>
          <w:rStyle w:val="BuiltInTok"/>
        </w:rPr>
        <w:t xml:space="preserve">apply</w:t>
      </w:r>
      <w:r>
        <w:rPr>
          <w:rStyle w:val="NormalTok"/>
        </w:rPr>
        <w:t xml:space="preserve">(</w:t>
      </w:r>
      <w:r>
        <w:rPr>
          <w:rStyle w:val="VariableTok"/>
        </w:rPr>
        <w:t xml:space="preserve">self</w:t>
      </w:r>
      <w:r>
        <w:rPr>
          <w:rStyle w:val="NormalTok"/>
        </w:rPr>
        <w:t xml:space="preserve">, origin, seq, item):        </w:t>
      </w:r>
      <w:r>
        <w:rPr>
          <w:rStyle w:val="CommentTok"/>
        </w:rPr>
        <w:t xml:space="preserve"># anti-entropy delivers writes in order</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.vv.get(origin, </w:t>
      </w:r>
      <w:r>
        <w:rPr>
          <w:rStyle w:val="DecValTok"/>
        </w:rPr>
        <w:t xml:space="preserve">0</w:t>
      </w:r>
      <w:r>
        <w:rPr>
          <w:rStyle w:val="NormalTok"/>
        </w:rPr>
        <w:t xml:space="preserve">) </w:t>
      </w:r>
      <w:r>
        <w:rPr>
          <w:rStyle w:val="OperatorTok"/>
        </w:rPr>
        <w:t xml:space="preserve">==</w:t>
      </w:r>
      <w:r>
        <w:rPr>
          <w:rStyle w:val="NormalTok"/>
        </w:rPr>
        <w:t xml:space="preserve"> seq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.vv[origin] </w:t>
      </w:r>
      <w:r>
        <w:rPr>
          <w:rStyle w:val="OperatorTok"/>
        </w:rPr>
        <w:t xml:space="preserve">=</w:t>
      </w:r>
      <w:r>
        <w:rPr>
          <w:rStyle w:val="NormalTok"/>
        </w:rPr>
        <w:t xml:space="preserve"> seq</w:t>
      </w:r>
      <w:r>
        <w:br/>
      </w:r>
      <w:r>
        <w:rPr>
          <w:rStyle w:val="NormalTok"/>
        </w:rPr>
        <w:t xml:space="preserve">            </w:t>
      </w:r>
      <w:r>
        <w:rPr>
          <w:rStyle w:val="VariableTok"/>
        </w:rPr>
        <w:t xml:space="preserve">self</w:t>
      </w:r>
      <w:r>
        <w:rPr>
          <w:rStyle w:val="NormalTok"/>
        </w:rPr>
        <w:t xml:space="preserve">.log.append(item)</w:t>
      </w:r>
      <w:r>
        <w:br/>
      </w:r>
      <w:r>
        <w:rPr>
          <w:rStyle w:val="NormalTok"/>
        </w:rPr>
        <w:t xml:space="preserve">    </w:t>
      </w:r>
      <w:r>
        <w:rPr>
          <w:rStyle w:val="KeywordTok"/>
        </w:rPr>
        <w:t xml:space="preserve">def</w:t>
      </w:r>
      <w:r>
        <w:rPr>
          <w:rStyle w:val="NormalTok"/>
        </w:rPr>
        <w:t xml:space="preserve"> local_write(</w:t>
      </w:r>
      <w:r>
        <w:rPr>
          <w:rStyle w:val="VariableTok"/>
        </w:rPr>
        <w:t xml:space="preserve">self</w:t>
      </w:r>
      <w:r>
        <w:rPr>
          <w:rStyle w:val="NormalTok"/>
        </w:rPr>
        <w:t xml:space="preserve">, item):</w:t>
      </w:r>
      <w:r>
        <w:br/>
      </w:r>
      <w:r>
        <w:rPr>
          <w:rStyle w:val="NormalTok"/>
        </w:rPr>
        <w:t xml:space="preserve">        seq </w:t>
      </w:r>
      <w:r>
        <w:rPr>
          <w:rStyle w:val="OperatorTok"/>
        </w:rPr>
        <w:t xml:space="preserve">=</w:t>
      </w:r>
      <w:r>
        <w:rPr>
          <w:rStyle w:val="NormalTok"/>
        </w:rPr>
        <w:t xml:space="preserve"> </w:t>
      </w:r>
      <w:r>
        <w:rPr>
          <w:rStyle w:val="VariableTok"/>
        </w:rPr>
        <w:t xml:space="preserve">self</w:t>
      </w:r>
      <w:r>
        <w:rPr>
          <w:rStyle w:val="NormalTok"/>
        </w:rPr>
        <w:t xml:space="preserve">.vv.get(</w:t>
      </w:r>
      <w:r>
        <w:rPr>
          <w:rStyle w:val="VariableTok"/>
        </w:rPr>
        <w:t xml:space="preserve">self</w:t>
      </w:r>
      <w:r>
        <w:rPr>
          <w:rStyle w:val="NormalTok"/>
        </w:rPr>
        <w:t xml:space="preserve">.name,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VariableTok"/>
        </w:rPr>
        <w:t xml:space="preserve">self</w:t>
      </w:r>
      <w:r>
        <w:rPr>
          <w:rStyle w:val="NormalTok"/>
        </w:rPr>
        <w:t xml:space="preserve">.</w:t>
      </w:r>
      <w:r>
        <w:rPr>
          <w:rStyle w:val="BuiltInTok"/>
        </w:rPr>
        <w:t xml:space="preserve">apply</w:t>
      </w:r>
      <w:r>
        <w:rPr>
          <w:rStyle w:val="NormalTok"/>
        </w:rPr>
        <w:t xml:space="preserve">(</w:t>
      </w:r>
      <w:r>
        <w:rPr>
          <w:rStyle w:val="VariableTok"/>
        </w:rPr>
        <w:t xml:space="preserve">self</w:t>
      </w:r>
      <w:r>
        <w:rPr>
          <w:rStyle w:val="NormalTok"/>
        </w:rPr>
        <w:t xml:space="preserve">.name, seq, item)</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.name, seq</w:t>
      </w:r>
      <w:r>
        <w:br/>
      </w:r>
      <w:r>
        <w:br/>
      </w:r>
      <w:r>
        <w:rPr>
          <w:rStyle w:val="KeywordTok"/>
        </w:rPr>
        <w:t xml:space="preserve">class</w:t>
      </w:r>
      <w:r>
        <w:rPr>
          <w:rStyle w:val="NormalTok"/>
        </w:rPr>
        <w:t xml:space="preserve"> Session:</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ryw</w:t>
      </w:r>
      <w:r>
        <w:rPr>
          <w:rStyle w:val="OperatorTok"/>
        </w:rPr>
        <w:t xml:space="preserve">=</w:t>
      </w:r>
      <w:r>
        <w:rPr>
          <w:rStyle w:val="VariableTok"/>
        </w:rPr>
        <w:t xml:space="preserve">True</w:t>
      </w:r>
      <w:r>
        <w:rPr>
          <w:rStyle w:val="NormalTok"/>
        </w:rPr>
        <w:t xml:space="preserve">, mr</w:t>
      </w:r>
      <w:r>
        <w:rPr>
          <w:rStyle w:val="OperatorTok"/>
        </w:rPr>
        <w:t xml:space="preserve">=</w:t>
      </w:r>
      <w:r>
        <w:rPr>
          <w:rStyle w:val="VariableTok"/>
        </w:rPr>
        <w:t xml:space="preserve">True</w:t>
      </w:r>
      <w:r>
        <w:rPr>
          <w:rStyle w:val="NormalTok"/>
        </w:rPr>
        <w:t xml:space="preserve">, mw</w:t>
      </w:r>
      <w:r>
        <w:rPr>
          <w:rStyle w:val="OperatorTok"/>
        </w:rPr>
        <w:t xml:space="preserve">=</w:t>
      </w:r>
      <w:r>
        <w:rPr>
          <w:rStyle w:val="VariableTok"/>
        </w:rPr>
        <w:t xml:space="preserve">True</w:t>
      </w:r>
      <w:r>
        <w:rPr>
          <w:rStyle w:val="NormalTok"/>
        </w:rPr>
        <w:t xml:space="preserve">, wfr</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VariableTok"/>
        </w:rPr>
        <w:t xml:space="preserve">self</w:t>
      </w:r>
      <w:r>
        <w:rPr>
          <w:rStyle w:val="NormalTok"/>
        </w:rPr>
        <w:t xml:space="preserve">.ryw, </w:t>
      </w:r>
      <w:r>
        <w:rPr>
          <w:rStyle w:val="VariableTok"/>
        </w:rPr>
        <w:t xml:space="preserve">self</w:t>
      </w:r>
      <w:r>
        <w:rPr>
          <w:rStyle w:val="NormalTok"/>
        </w:rPr>
        <w:t xml:space="preserve">.mr, </w:t>
      </w:r>
      <w:r>
        <w:rPr>
          <w:rStyle w:val="VariableTok"/>
        </w:rPr>
        <w:t xml:space="preserve">self</w:t>
      </w:r>
      <w:r>
        <w:rPr>
          <w:rStyle w:val="NormalTok"/>
        </w:rPr>
        <w:t xml:space="preserve">.mw, </w:t>
      </w:r>
      <w:r>
        <w:rPr>
          <w:rStyle w:val="VariableTok"/>
        </w:rPr>
        <w:t xml:space="preserve">self</w:t>
      </w:r>
      <w:r>
        <w:rPr>
          <w:rStyle w:val="NormalTok"/>
        </w:rPr>
        <w:t xml:space="preserve">.wfr </w:t>
      </w:r>
      <w:r>
        <w:rPr>
          <w:rStyle w:val="OperatorTok"/>
        </w:rPr>
        <w:t xml:space="preserve">=</w:t>
      </w:r>
      <w:r>
        <w:rPr>
          <w:rStyle w:val="NormalTok"/>
        </w:rPr>
        <w:t xml:space="preserve"> ryw, mr, mw, wfr</w:t>
      </w:r>
      <w:r>
        <w:br/>
      </w:r>
      <w:r>
        <w:rPr>
          <w:rStyle w:val="NormalTok"/>
        </w:rPr>
        <w:t xml:space="preserve">        </w:t>
      </w:r>
      <w:r>
        <w:rPr>
          <w:rStyle w:val="VariableTok"/>
        </w:rPr>
        <w:t xml:space="preserve">self</w:t>
      </w:r>
      <w:r>
        <w:rPr>
          <w:rStyle w:val="NormalTok"/>
        </w:rPr>
        <w:t xml:space="preserve">.read_vv, </w:t>
      </w:r>
      <w:r>
        <w:rPr>
          <w:rStyle w:val="VariableTok"/>
        </w:rPr>
        <w:t xml:space="preserve">self</w:t>
      </w:r>
      <w:r>
        <w:rPr>
          <w:rStyle w:val="NormalTok"/>
        </w:rPr>
        <w:t xml:space="preserve">.write_vv </w:t>
      </w:r>
      <w:r>
        <w:rPr>
          <w:rStyle w:val="OperatorTok"/>
        </w:rPr>
        <w:t xml:space="preserve">=</w:t>
      </w:r>
      <w:r>
        <w:rPr>
          <w:rStyle w:val="NormalTok"/>
        </w:rPr>
        <w:t xml:space="preserve"> {}, {}</w:t>
      </w:r>
      <w:r>
        <w:br/>
      </w:r>
      <w:r>
        <w:br/>
      </w:r>
      <w:r>
        <w:rPr>
          <w:rStyle w:val="NormalTok"/>
        </w:rPr>
        <w:t xml:space="preserve">    </w:t>
      </w:r>
      <w:r>
        <w:rPr>
          <w:rStyle w:val="KeywordTok"/>
        </w:rPr>
        <w:t xml:space="preserve">def</w:t>
      </w:r>
      <w:r>
        <w:rPr>
          <w:rStyle w:val="NormalTok"/>
        </w:rPr>
        <w:t xml:space="preserve"> can_read(</w:t>
      </w:r>
      <w:r>
        <w:rPr>
          <w:rStyle w:val="VariableTok"/>
        </w:rPr>
        <w:t xml:space="preserve">self</w:t>
      </w:r>
      <w:r>
        <w:rPr>
          <w:rStyle w:val="NormalTok"/>
        </w:rPr>
        <w:t xml:space="preserve">, rep):</w:t>
      </w:r>
      <w:r>
        <w:br/>
      </w:r>
      <w:r>
        <w:rPr>
          <w:rStyle w:val="NormalTok"/>
        </w:rPr>
        <w:t xml:space="preserve">        need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.ryw: need </w:t>
      </w:r>
      <w:r>
        <w:rPr>
          <w:rStyle w:val="OperatorTok"/>
        </w:rPr>
        <w:t xml:space="preserve">=</w:t>
      </w:r>
      <w:r>
        <w:rPr>
          <w:rStyle w:val="NormalTok"/>
        </w:rPr>
        <w:t xml:space="preserve"> merge(need, </w:t>
      </w:r>
      <w:r>
        <w:rPr>
          <w:rStyle w:val="VariableTok"/>
        </w:rPr>
        <w:t xml:space="preserve">self</w:t>
      </w:r>
      <w:r>
        <w:rPr>
          <w:rStyle w:val="NormalTok"/>
        </w:rPr>
        <w:t xml:space="preserve">.write_vv)   </w:t>
      </w:r>
      <w:r>
        <w:rPr>
          <w:rStyle w:val="CommentTok"/>
        </w:rPr>
        <w:t xml:space="preserve"># see my own writes</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.mr:  need </w:t>
      </w:r>
      <w:r>
        <w:rPr>
          <w:rStyle w:val="OperatorTok"/>
        </w:rPr>
        <w:t xml:space="preserve">=</w:t>
      </w:r>
      <w:r>
        <w:rPr>
          <w:rStyle w:val="NormalTok"/>
        </w:rPr>
        <w:t xml:space="preserve"> merge(need, </w:t>
      </w:r>
      <w:r>
        <w:rPr>
          <w:rStyle w:val="VariableTok"/>
        </w:rPr>
        <w:t xml:space="preserve">self</w:t>
      </w:r>
      <w:r>
        <w:rPr>
          <w:rStyle w:val="NormalTok"/>
        </w:rPr>
        <w:t xml:space="preserve">.read_vv)    </w:t>
      </w:r>
      <w:r>
        <w:rPr>
          <w:rStyle w:val="CommentTok"/>
        </w:rPr>
        <w:t xml:space="preserve"># never go backwards</w:t>
      </w:r>
      <w:r>
        <w:br/>
      </w:r>
      <w:r>
        <w:rPr>
          <w:rStyle w:val="NormalTok"/>
        </w:rPr>
        <w:t xml:space="preserve">        </w:t>
      </w:r>
      <w:r>
        <w:rPr>
          <w:rStyle w:val="ControlFlowTok"/>
        </w:rPr>
        <w:t xml:space="preserve">return</w:t>
      </w:r>
      <w:r>
        <w:rPr>
          <w:rStyle w:val="NormalTok"/>
        </w:rPr>
        <w:t xml:space="preserve"> dominates(rep.vv, need)</w:t>
      </w:r>
      <w:r>
        <w:br/>
      </w:r>
      <w:r>
        <w:br/>
      </w:r>
      <w:r>
        <w:rPr>
          <w:rStyle w:val="NormalTok"/>
        </w:rPr>
        <w:t xml:space="preserve">    </w:t>
      </w:r>
      <w:r>
        <w:rPr>
          <w:rStyle w:val="KeywordTok"/>
        </w:rPr>
        <w:t xml:space="preserve">def</w:t>
      </w:r>
      <w:r>
        <w:rPr>
          <w:rStyle w:val="NormalTok"/>
        </w:rPr>
        <w:t xml:space="preserve"> can_write(</w:t>
      </w:r>
      <w:r>
        <w:rPr>
          <w:rStyle w:val="VariableTok"/>
        </w:rPr>
        <w:t xml:space="preserve">self</w:t>
      </w:r>
      <w:r>
        <w:rPr>
          <w:rStyle w:val="NormalTok"/>
        </w:rPr>
        <w:t xml:space="preserve">, rep):</w:t>
      </w:r>
      <w:r>
        <w:br/>
      </w:r>
      <w:r>
        <w:rPr>
          <w:rStyle w:val="NormalTok"/>
        </w:rPr>
        <w:t xml:space="preserve">        need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.mw:  need </w:t>
      </w:r>
      <w:r>
        <w:rPr>
          <w:rStyle w:val="OperatorTok"/>
        </w:rPr>
        <w:t xml:space="preserve">=</w:t>
      </w:r>
      <w:r>
        <w:rPr>
          <w:rStyle w:val="NormalTok"/>
        </w:rPr>
        <w:t xml:space="preserve"> merge(need, </w:t>
      </w:r>
      <w:r>
        <w:rPr>
          <w:rStyle w:val="VariableTok"/>
        </w:rPr>
        <w:t xml:space="preserve">self</w:t>
      </w:r>
      <w:r>
        <w:rPr>
          <w:rStyle w:val="NormalTok"/>
        </w:rPr>
        <w:t xml:space="preserve">.write_vv)   </w:t>
      </w:r>
      <w:r>
        <w:rPr>
          <w:rStyle w:val="CommentTok"/>
        </w:rPr>
        <w:t xml:space="preserve"># my writes stay in order</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.wfr: need </w:t>
      </w:r>
      <w:r>
        <w:rPr>
          <w:rStyle w:val="OperatorTok"/>
        </w:rPr>
        <w:t xml:space="preserve">=</w:t>
      </w:r>
      <w:r>
        <w:rPr>
          <w:rStyle w:val="NormalTok"/>
        </w:rPr>
        <w:t xml:space="preserve"> merge(need, </w:t>
      </w:r>
      <w:r>
        <w:rPr>
          <w:rStyle w:val="VariableTok"/>
        </w:rPr>
        <w:t xml:space="preserve">self</w:t>
      </w:r>
      <w:r>
        <w:rPr>
          <w:rStyle w:val="NormalTok"/>
        </w:rPr>
        <w:t xml:space="preserve">.read_vv)    </w:t>
      </w:r>
      <w:r>
        <w:rPr>
          <w:rStyle w:val="CommentTok"/>
        </w:rPr>
        <w:t xml:space="preserve"># writes after what I read</w:t>
      </w:r>
      <w:r>
        <w:br/>
      </w:r>
      <w:r>
        <w:rPr>
          <w:rStyle w:val="NormalTok"/>
        </w:rPr>
        <w:t xml:space="preserve">        </w:t>
      </w:r>
      <w:r>
        <w:rPr>
          <w:rStyle w:val="ControlFlowTok"/>
        </w:rPr>
        <w:t xml:space="preserve">return</w:t>
      </w:r>
      <w:r>
        <w:rPr>
          <w:rStyle w:val="NormalTok"/>
        </w:rPr>
        <w:t xml:space="preserve"> dominates(rep.vv, need)</w:t>
      </w:r>
      <w:r>
        <w:br/>
      </w:r>
      <w:r>
        <w:br/>
      </w:r>
      <w:r>
        <w:rPr>
          <w:rStyle w:val="NormalTok"/>
        </w:rPr>
        <w:t xml:space="preserve">    </w:t>
      </w:r>
      <w:r>
        <w:rPr>
          <w:rStyle w:val="KeywordTok"/>
        </w:rPr>
        <w:t xml:space="preserve">def</w:t>
      </w:r>
      <w:r>
        <w:rPr>
          <w:rStyle w:val="NormalTok"/>
        </w:rPr>
        <w:t xml:space="preserve"> read(</w:t>
      </w:r>
      <w:r>
        <w:rPr>
          <w:rStyle w:val="VariableTok"/>
        </w:rPr>
        <w:t xml:space="preserve">self</w:t>
      </w:r>
      <w:r>
        <w:rPr>
          <w:rStyle w:val="NormalTok"/>
        </w:rPr>
        <w:t xml:space="preserve">, replicas):</w:t>
      </w:r>
      <w:r>
        <w:br/>
      </w:r>
      <w:r>
        <w:rPr>
          <w:rStyle w:val="NormalTok"/>
        </w:rPr>
        <w:t xml:space="preserve">        </w:t>
      </w:r>
      <w:r>
        <w:rPr>
          <w:rStyle w:val="ControlFlowTok"/>
        </w:rPr>
        <w:t xml:space="preserve">for</w:t>
      </w:r>
      <w:r>
        <w:rPr>
          <w:rStyle w:val="NormalTok"/>
        </w:rPr>
        <w:t xml:space="preserve"> rep </w:t>
      </w:r>
      <w:r>
        <w:rPr>
          <w:rStyle w:val="KeywordTok"/>
        </w:rPr>
        <w:t xml:space="preserve">in</w:t>
      </w:r>
      <w:r>
        <w:rPr>
          <w:rStyle w:val="NormalTok"/>
        </w:rPr>
        <w:t xml:space="preserve"> replicas:                             </w:t>
      </w:r>
      <w:r>
        <w:rPr>
          <w:rStyle w:val="CommentTok"/>
        </w:rPr>
        <w:t xml:space="preserve"># try nearest first</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.can_read(rep):</w:t>
      </w:r>
      <w:r>
        <w:br/>
      </w:r>
      <w:r>
        <w:rPr>
          <w:rStyle w:val="NormalTok"/>
        </w:rPr>
        <w:t xml:space="preserve">                </w:t>
      </w:r>
      <w:r>
        <w:rPr>
          <w:rStyle w:val="VariableTok"/>
        </w:rPr>
        <w:t xml:space="preserve">self</w:t>
      </w:r>
      <w:r>
        <w:rPr>
          <w:rStyle w:val="NormalTok"/>
        </w:rPr>
        <w:t xml:space="preserve">.read_vv </w:t>
      </w:r>
      <w:r>
        <w:rPr>
          <w:rStyle w:val="OperatorTok"/>
        </w:rPr>
        <w:t xml:space="preserve">=</w:t>
      </w:r>
      <w:r>
        <w:rPr>
          <w:rStyle w:val="NormalTok"/>
        </w:rPr>
        <w:t xml:space="preserve"> merge(</w:t>
      </w:r>
      <w:r>
        <w:rPr>
          <w:rStyle w:val="VariableTok"/>
        </w:rPr>
        <w:t xml:space="preserve">self</w:t>
      </w:r>
      <w:r>
        <w:rPr>
          <w:rStyle w:val="NormalTok"/>
        </w:rPr>
        <w:t xml:space="preserve">.read_vv, rep.vv)</w:t>
      </w:r>
      <w:r>
        <w:br/>
      </w:r>
      <w:r>
        <w:rPr>
          <w:rStyle w:val="NormalTok"/>
        </w:rPr>
        <w:t xml:space="preserve">                </w:t>
      </w:r>
      <w:r>
        <w:rPr>
          <w:rStyle w:val="ControlFlowTok"/>
        </w:rPr>
        <w:t xml:space="preserve">return</w:t>
      </w:r>
      <w:r>
        <w:rPr>
          <w:rStyle w:val="NormalTok"/>
        </w:rPr>
        <w:t xml:space="preserve"> rep.name, </w:t>
      </w:r>
      <w:r>
        <w:rPr>
          <w:rStyle w:val="BuiltInTok"/>
        </w:rPr>
        <w:t xml:space="preserve">list</w:t>
      </w:r>
      <w:r>
        <w:rPr>
          <w:rStyle w:val="NormalTok"/>
        </w:rPr>
        <w:t xml:space="preserve">(rep.log)</w:t>
      </w:r>
      <w:r>
        <w:br/>
      </w:r>
      <w:r>
        <w:rPr>
          <w:rStyle w:val="NormalTok"/>
        </w:rPr>
        <w:t xml:space="preserve">        </w:t>
      </w:r>
      <w:r>
        <w:rPr>
          <w:rStyle w:val="ControlFlowTok"/>
        </w:rPr>
        <w:t xml:space="preserve">return</w:t>
      </w:r>
      <w:r>
        <w:rPr>
          <w:rStyle w:val="NormalTok"/>
        </w:rPr>
        <w:t xml:space="preserve"> </w:t>
      </w:r>
      <w:r>
        <w:rPr>
          <w:rStyle w:val="VariableTok"/>
        </w:rPr>
        <w:t xml:space="preserve">None</w:t>
      </w:r>
      <w:r>
        <w:rPr>
          <w:rStyle w:val="NormalTok"/>
        </w:rPr>
        <w:t xml:space="preserve">, </w:t>
      </w:r>
      <w:r>
        <w:rPr>
          <w:rStyle w:val="StringTok"/>
        </w:rPr>
        <w:t xml:space="preserve">"no replica is fresh enough: wait or go to another site"</w:t>
      </w:r>
      <w:r>
        <w:br/>
      </w:r>
      <w:r>
        <w:br/>
      </w:r>
      <w:r>
        <w:rPr>
          <w:rStyle w:val="NormalTok"/>
        </w:rPr>
        <w:t xml:space="preserve">    </w:t>
      </w:r>
      <w:r>
        <w:rPr>
          <w:rStyle w:val="KeywordTok"/>
        </w:rPr>
        <w:t xml:space="preserve">def</w:t>
      </w:r>
      <w:r>
        <w:rPr>
          <w:rStyle w:val="NormalTok"/>
        </w:rPr>
        <w:t xml:space="preserve"> write(</w:t>
      </w:r>
      <w:r>
        <w:rPr>
          <w:rStyle w:val="VariableTok"/>
        </w:rPr>
        <w:t xml:space="preserve">self</w:t>
      </w:r>
      <w:r>
        <w:rPr>
          <w:rStyle w:val="NormalTok"/>
        </w:rPr>
        <w:t xml:space="preserve">, replicas, item):</w:t>
      </w:r>
      <w:r>
        <w:br/>
      </w:r>
      <w:r>
        <w:rPr>
          <w:rStyle w:val="NormalTok"/>
        </w:rPr>
        <w:t xml:space="preserve">        </w:t>
      </w:r>
      <w:r>
        <w:rPr>
          <w:rStyle w:val="ControlFlowTok"/>
        </w:rPr>
        <w:t xml:space="preserve">for</w:t>
      </w:r>
      <w:r>
        <w:rPr>
          <w:rStyle w:val="NormalTok"/>
        </w:rPr>
        <w:t xml:space="preserve"> rep </w:t>
      </w:r>
      <w:r>
        <w:rPr>
          <w:rStyle w:val="KeywordTok"/>
        </w:rPr>
        <w:t xml:space="preserve">in</w:t>
      </w:r>
      <w:r>
        <w:rPr>
          <w:rStyle w:val="NormalTok"/>
        </w:rPr>
        <w:t xml:space="preserve"> replicas:</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.can_write(rep):</w:t>
      </w:r>
      <w:r>
        <w:br/>
      </w:r>
      <w:r>
        <w:rPr>
          <w:rStyle w:val="NormalTok"/>
        </w:rPr>
        <w:t xml:space="preserve">                origin, seq </w:t>
      </w:r>
      <w:r>
        <w:rPr>
          <w:rStyle w:val="OperatorTok"/>
        </w:rPr>
        <w:t xml:space="preserve">=</w:t>
      </w:r>
      <w:r>
        <w:rPr>
          <w:rStyle w:val="NormalTok"/>
        </w:rPr>
        <w:t xml:space="preserve"> rep.local_write(item)</w:t>
      </w:r>
      <w:r>
        <w:br/>
      </w:r>
      <w:r>
        <w:rPr>
          <w:rStyle w:val="NormalTok"/>
        </w:rPr>
        <w:t xml:space="preserve">                </w:t>
      </w:r>
      <w:r>
        <w:rPr>
          <w:rStyle w:val="VariableTok"/>
        </w:rPr>
        <w:t xml:space="preserve">self</w:t>
      </w:r>
      <w:r>
        <w:rPr>
          <w:rStyle w:val="NormalTok"/>
        </w:rPr>
        <w:t xml:space="preserve">.write_vv </w:t>
      </w:r>
      <w:r>
        <w:rPr>
          <w:rStyle w:val="OperatorTok"/>
        </w:rPr>
        <w:t xml:space="preserve">=</w:t>
      </w:r>
      <w:r>
        <w:rPr>
          <w:rStyle w:val="NormalTok"/>
        </w:rPr>
        <w:t xml:space="preserve"> merge(</w:t>
      </w:r>
      <w:r>
        <w:rPr>
          <w:rStyle w:val="VariableTok"/>
        </w:rPr>
        <w:t xml:space="preserve">self</w:t>
      </w:r>
      <w:r>
        <w:rPr>
          <w:rStyle w:val="NormalTok"/>
        </w:rPr>
        <w:t xml:space="preserve">.write_vv, {origin: seq})</w:t>
      </w:r>
      <w:r>
        <w:br/>
      </w:r>
      <w:r>
        <w:rPr>
          <w:rStyle w:val="NormalTok"/>
        </w:rPr>
        <w:t xml:space="preserve">                </w:t>
      </w:r>
      <w:r>
        <w:rPr>
          <w:rStyle w:val="ControlFlowTok"/>
        </w:rPr>
        <w:t xml:space="preserve">return</w:t>
      </w:r>
      <w:r>
        <w:rPr>
          <w:rStyle w:val="NormalTok"/>
        </w:rPr>
        <w:t xml:space="preserve"> rep.name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KeywordTok"/>
        </w:rPr>
        <w:t xml:space="preserve">def</w:t>
      </w:r>
      <w:r>
        <w:rPr>
          <w:rStyle w:val="NormalTok"/>
        </w:rPr>
        <w:t xml:space="preserve"> own_write_then_read(</w:t>
      </w:r>
      <w:r>
        <w:rPr>
          <w:rStyle w:val="OperatorTok"/>
        </w:rPr>
        <w:t xml:space="preserve">**</w:t>
      </w:r>
      <w:r>
        <w:rPr>
          <w:rStyle w:val="NormalTok"/>
        </w:rPr>
        <w:t xml:space="preserve">g):</w:t>
      </w:r>
      <w:r>
        <w:br/>
      </w:r>
      <w:r>
        <w:rPr>
          <w:rStyle w:val="NormalTok"/>
        </w:rPr>
        <w:t xml:space="preserve">    east, west </w:t>
      </w:r>
      <w:r>
        <w:rPr>
          <w:rStyle w:val="OperatorTok"/>
        </w:rPr>
        <w:t xml:space="preserve">=</w:t>
      </w:r>
      <w:r>
        <w:rPr>
          <w:rStyle w:val="NormalTok"/>
        </w:rPr>
        <w:t xml:space="preserve"> Replica(</w:t>
      </w:r>
      <w:r>
        <w:rPr>
          <w:rStyle w:val="StringTok"/>
        </w:rPr>
        <w:t xml:space="preserve">"east"</w:t>
      </w:r>
      <w:r>
        <w:rPr>
          <w:rStyle w:val="NormalTok"/>
        </w:rPr>
        <w:t xml:space="preserve">), Replica(</w:t>
      </w:r>
      <w:r>
        <w:rPr>
          <w:rStyle w:val="StringTok"/>
        </w:rPr>
        <w:t xml:space="preserve">"west"</w:t>
      </w:r>
      <w:r>
        <w:rPr>
          <w:rStyle w:val="NormalTok"/>
        </w:rPr>
        <w:t xml:space="preserve">)</w:t>
      </w:r>
      <w:r>
        <w:br/>
      </w:r>
      <w:r>
        <w:rPr>
          <w:rStyle w:val="NormalTok"/>
        </w:rPr>
        <w:t xml:space="preserve">    s </w:t>
      </w:r>
      <w:r>
        <w:rPr>
          <w:rStyle w:val="OperatorTok"/>
        </w:rPr>
        <w:t xml:space="preserve">=</w:t>
      </w:r>
      <w:r>
        <w:rPr>
          <w:rStyle w:val="NormalTok"/>
        </w:rPr>
        <w:t xml:space="preserve"> Session(</w:t>
      </w:r>
      <w:r>
        <w:rPr>
          <w:rStyle w:val="OperatorTok"/>
        </w:rPr>
        <w:t xml:space="preserve">**</w:t>
      </w:r>
      <w:r>
        <w:rPr>
          <w:rStyle w:val="NormalTok"/>
        </w:rPr>
        <w:t xml:space="preserve">g)</w:t>
      </w:r>
      <w:r>
        <w:br/>
      </w:r>
      <w:r>
        <w:rPr>
          <w:rStyle w:val="NormalTok"/>
        </w:rPr>
        <w:t xml:space="preserve">    s.write([east], </w:t>
      </w:r>
      <w:r>
        <w:rPr>
          <w:rStyle w:val="StringTok"/>
        </w:rPr>
        <w:t xml:space="preserve">"name=Ada"</w:t>
      </w:r>
      <w:r>
        <w:rPr>
          <w:rStyle w:val="NormalTok"/>
        </w:rPr>
        <w:t xml:space="preserve">)            </w:t>
      </w:r>
      <w:r>
        <w:rPr>
          <w:rStyle w:val="CommentTok"/>
        </w:rPr>
        <w:t xml:space="preserve"># write lands in east</w:t>
      </w:r>
      <w:r>
        <w:br/>
      </w:r>
      <w:r>
        <w:rPr>
          <w:rStyle w:val="NormalTok"/>
        </w:rPr>
        <w:t xml:space="preserve">    </w:t>
      </w:r>
      <w:r>
        <w:rPr>
          <w:rStyle w:val="ControlFlowTok"/>
        </w:rPr>
        <w:t xml:space="preserve">return</w:t>
      </w:r>
      <w:r>
        <w:rPr>
          <w:rStyle w:val="NormalTok"/>
        </w:rPr>
        <w:t xml:space="preserve"> s.read([west, east])            </w:t>
      </w:r>
      <w:r>
        <w:rPr>
          <w:rStyle w:val="CommentTok"/>
        </w:rPr>
        <w:t xml:space="preserve"># next request is routed to west first</w:t>
      </w:r>
      <w:r>
        <w:br/>
      </w:r>
      <w:r>
        <w:br/>
      </w:r>
      <w:r>
        <w:rPr>
          <w:rStyle w:val="KeywordTok"/>
        </w:rPr>
        <w:t xml:space="preserve">def</w:t>
      </w:r>
      <w:r>
        <w:rPr>
          <w:rStyle w:val="NormalTok"/>
        </w:rPr>
        <w:t xml:space="preserve"> read_twice(</w:t>
      </w:r>
      <w:r>
        <w:rPr>
          <w:rStyle w:val="OperatorTok"/>
        </w:rPr>
        <w:t xml:space="preserve">**</w:t>
      </w:r>
      <w:r>
        <w:rPr>
          <w:rStyle w:val="NormalTok"/>
        </w:rPr>
        <w:t xml:space="preserve">g):</w:t>
      </w:r>
      <w:r>
        <w:br/>
      </w:r>
      <w:r>
        <w:rPr>
          <w:rStyle w:val="NormalTok"/>
        </w:rPr>
        <w:t xml:space="preserve">    east, west </w:t>
      </w:r>
      <w:r>
        <w:rPr>
          <w:rStyle w:val="OperatorTok"/>
        </w:rPr>
        <w:t xml:space="preserve">=</w:t>
      </w:r>
      <w:r>
        <w:rPr>
          <w:rStyle w:val="NormalTok"/>
        </w:rPr>
        <w:t xml:space="preserve"> Replica(</w:t>
      </w:r>
      <w:r>
        <w:rPr>
          <w:rStyle w:val="StringTok"/>
        </w:rPr>
        <w:t xml:space="preserve">"east"</w:t>
      </w:r>
      <w:r>
        <w:rPr>
          <w:rStyle w:val="NormalTok"/>
        </w:rPr>
        <w:t xml:space="preserve">), Replica(</w:t>
      </w:r>
      <w:r>
        <w:rPr>
          <w:rStyle w:val="StringTok"/>
        </w:rPr>
        <w:t xml:space="preserve">"west"</w:t>
      </w:r>
      <w:r>
        <w:rPr>
          <w:rStyle w:val="NormalTok"/>
        </w:rPr>
        <w:t xml:space="preserve">)</w:t>
      </w:r>
      <w:r>
        <w:br/>
      </w:r>
      <w:r>
        <w:rPr>
          <w:rStyle w:val="NormalTok"/>
        </w:rPr>
        <w:t xml:space="preserve">    east.local_write(</w:t>
      </w:r>
      <w:r>
        <w:rPr>
          <w:rStyle w:val="StringTok"/>
        </w:rPr>
        <w:t xml:space="preserve">"comment 1"</w:t>
      </w:r>
      <w:r>
        <w:rPr>
          <w:rStyle w:val="NormalTok"/>
        </w:rPr>
        <w:t xml:space="preserve">)          </w:t>
      </w:r>
      <w:r>
        <w:rPr>
          <w:rStyle w:val="CommentTok"/>
        </w:rPr>
        <w:t xml:space="preserve"># another user's write, not yet in west</w:t>
      </w:r>
      <w:r>
        <w:br/>
      </w:r>
      <w:r>
        <w:rPr>
          <w:rStyle w:val="NormalTok"/>
        </w:rPr>
        <w:t xml:space="preserve">    s </w:t>
      </w:r>
      <w:r>
        <w:rPr>
          <w:rStyle w:val="OperatorTok"/>
        </w:rPr>
        <w:t xml:space="preserve">=</w:t>
      </w:r>
      <w:r>
        <w:rPr>
          <w:rStyle w:val="NormalTok"/>
        </w:rPr>
        <w:t xml:space="preserve"> Session(</w:t>
      </w:r>
      <w:r>
        <w:rPr>
          <w:rStyle w:val="OperatorTok"/>
        </w:rPr>
        <w:t xml:space="preserve">**</w:t>
      </w:r>
      <w:r>
        <w:rPr>
          <w:rStyle w:val="NormalTok"/>
        </w:rPr>
        <w:t xml:space="preserve">g)</w:t>
      </w:r>
      <w:r>
        <w:br/>
      </w:r>
      <w:r>
        <w:rPr>
          <w:rStyle w:val="NormalTok"/>
        </w:rPr>
        <w:t xml:space="preserve">    first </w:t>
      </w:r>
      <w:r>
        <w:rPr>
          <w:rStyle w:val="OperatorTok"/>
        </w:rPr>
        <w:t xml:space="preserve">=</w:t>
      </w:r>
      <w:r>
        <w:rPr>
          <w:rStyle w:val="NormalTok"/>
        </w:rPr>
        <w:t xml:space="preserve"> s.read([east])</w:t>
      </w:r>
      <w:r>
        <w:br/>
      </w:r>
      <w:r>
        <w:rPr>
          <w:rStyle w:val="NormalTok"/>
        </w:rPr>
        <w:t xml:space="preserve">    second </w:t>
      </w:r>
      <w:r>
        <w:rPr>
          <w:rStyle w:val="OperatorTok"/>
        </w:rPr>
        <w:t xml:space="preserve">=</w:t>
      </w:r>
      <w:r>
        <w:rPr>
          <w:rStyle w:val="NormalTok"/>
        </w:rPr>
        <w:t xml:space="preserve"> s.read([west, east])          </w:t>
      </w:r>
      <w:r>
        <w:rPr>
          <w:rStyle w:val="CommentTok"/>
        </w:rPr>
        <w:t xml:space="preserve"># load balancer prefers west now</w:t>
      </w:r>
      <w:r>
        <w:br/>
      </w:r>
      <w:r>
        <w:rPr>
          <w:rStyle w:val="NormalTok"/>
        </w:rPr>
        <w:t xml:space="preserve">    </w:t>
      </w:r>
      <w:r>
        <w:rPr>
          <w:rStyle w:val="ControlFlowTok"/>
        </w:rPr>
        <w:t xml:space="preserve">return</w:t>
      </w:r>
      <w:r>
        <w:rPr>
          <w:rStyle w:val="NormalTok"/>
        </w:rPr>
        <w:t xml:space="preserve"> first, second</w:t>
      </w:r>
      <w:r>
        <w:br/>
      </w:r>
      <w:r>
        <w:br/>
      </w:r>
      <w:r>
        <w:rPr>
          <w:rStyle w:val="NormalTok"/>
        </w:rPr>
        <w:t xml:space="preserve">off </w:t>
      </w:r>
      <w:r>
        <w:rPr>
          <w:rStyle w:val="OperatorTok"/>
        </w:rPr>
        <w:t xml:space="preserve">=</w:t>
      </w:r>
      <w:r>
        <w:rPr>
          <w:rStyle w:val="NormalTok"/>
        </w:rPr>
        <w:t xml:space="preserve"> </w:t>
      </w:r>
      <w:r>
        <w:rPr>
          <w:rStyle w:val="BuiltInTok"/>
        </w:rPr>
        <w:t xml:space="preserve">dict</w:t>
      </w:r>
      <w:r>
        <w:rPr>
          <w:rStyle w:val="NormalTok"/>
        </w:rPr>
        <w:t xml:space="preserve">(ryw</w:t>
      </w:r>
      <w:r>
        <w:rPr>
          <w:rStyle w:val="OperatorTok"/>
        </w:rPr>
        <w:t xml:space="preserve">=</w:t>
      </w:r>
      <w:r>
        <w:rPr>
          <w:rStyle w:val="VariableTok"/>
        </w:rPr>
        <w:t xml:space="preserve">False</w:t>
      </w:r>
      <w:r>
        <w:rPr>
          <w:rStyle w:val="NormalTok"/>
        </w:rPr>
        <w:t xml:space="preserve">, mr</w:t>
      </w:r>
      <w:r>
        <w:rPr>
          <w:rStyle w:val="OperatorTok"/>
        </w:rPr>
        <w:t xml:space="preserve">=</w:t>
      </w:r>
      <w:r>
        <w:rPr>
          <w:rStyle w:val="VariableTok"/>
        </w:rPr>
        <w:t xml:space="preserve">False</w:t>
      </w:r>
      <w:r>
        <w:rPr>
          <w:rStyle w:val="NormalTok"/>
        </w:rPr>
        <w:t xml:space="preserve">, mw</w:t>
      </w:r>
      <w:r>
        <w:rPr>
          <w:rStyle w:val="OperatorTok"/>
        </w:rPr>
        <w:t xml:space="preserve">=</w:t>
      </w:r>
      <w:r>
        <w:rPr>
          <w:rStyle w:val="VariableTok"/>
        </w:rPr>
        <w:t xml:space="preserve">False</w:t>
      </w:r>
      <w:r>
        <w:rPr>
          <w:rStyle w:val="NormalTok"/>
        </w:rPr>
        <w:t xml:space="preserve">, wfr</w:t>
      </w:r>
      <w:r>
        <w:rPr>
          <w:rStyle w:val="OperatorTok"/>
        </w:rPr>
        <w:t xml:space="preserve">=</w:t>
      </w:r>
      <w:r>
        <w:rPr>
          <w:rStyle w:val="VariableTok"/>
        </w:rPr>
        <w:t xml:space="preserve">False</w:t>
      </w:r>
      <w:r>
        <w:rPr>
          <w:rStyle w:val="NormalTok"/>
        </w:rPr>
        <w:t xml:space="preserve">)</w:t>
      </w:r>
      <w:r>
        <w:br/>
      </w:r>
      <w:r>
        <w:rPr>
          <w:rStyle w:val="BuiltInTok"/>
        </w:rPr>
        <w:t xml:space="preserve">print</w:t>
      </w:r>
      <w:r>
        <w:rPr>
          <w:rStyle w:val="NormalTok"/>
        </w:rPr>
        <w:t xml:space="preserve">(</w:t>
      </w:r>
      <w:r>
        <w:rPr>
          <w:rStyle w:val="StringTok"/>
        </w:rPr>
        <w:t xml:space="preserve">"RYW off:"</w:t>
      </w:r>
      <w:r>
        <w:rPr>
          <w:rStyle w:val="NormalTok"/>
        </w:rPr>
        <w:t xml:space="preserve">, own_write_then_read(</w:t>
      </w:r>
      <w:r>
        <w:rPr>
          <w:rStyle w:val="OperatorTok"/>
        </w:rPr>
        <w:t xml:space="preserve">**</w:t>
      </w:r>
      <w:r>
        <w:rPr>
          <w:rStyle w:val="NormalTok"/>
        </w:rPr>
        <w:t xml:space="preserve">off))</w:t>
      </w:r>
      <w:r>
        <w:br/>
      </w:r>
      <w:r>
        <w:rPr>
          <w:rStyle w:val="BuiltInTok"/>
        </w:rPr>
        <w:t xml:space="preserve">print</w:t>
      </w:r>
      <w:r>
        <w:rPr>
          <w:rStyle w:val="NormalTok"/>
        </w:rPr>
        <w:t xml:space="preserve">(</w:t>
      </w:r>
      <w:r>
        <w:rPr>
          <w:rStyle w:val="StringTok"/>
        </w:rPr>
        <w:t xml:space="preserve">"RYW on :"</w:t>
      </w:r>
      <w:r>
        <w:rPr>
          <w:rStyle w:val="NormalTok"/>
        </w:rPr>
        <w:t xml:space="preserve">, own_write_then_read())</w:t>
      </w:r>
      <w:r>
        <w:br/>
      </w:r>
      <w:r>
        <w:rPr>
          <w:rStyle w:val="BuiltInTok"/>
        </w:rPr>
        <w:t xml:space="preserve">print</w:t>
      </w:r>
      <w:r>
        <w:rPr>
          <w:rStyle w:val="NormalTok"/>
        </w:rPr>
        <w:t xml:space="preserve">(</w:t>
      </w:r>
      <w:r>
        <w:rPr>
          <w:rStyle w:val="StringTok"/>
        </w:rPr>
        <w:t xml:space="preserve">"MR off :"</w:t>
      </w:r>
      <w:r>
        <w:rPr>
          <w:rStyle w:val="NormalTok"/>
        </w:rPr>
        <w:t xml:space="preserve">, read_twice(</w:t>
      </w:r>
      <w:r>
        <w:rPr>
          <w:rStyle w:val="OperatorTok"/>
        </w:rPr>
        <w:t xml:space="preserve">**</w:t>
      </w:r>
      <w:r>
        <w:rPr>
          <w:rStyle w:val="NormalTok"/>
        </w:rPr>
        <w:t xml:space="preserve">off))</w:t>
      </w:r>
      <w:r>
        <w:br/>
      </w:r>
      <w:r>
        <w:rPr>
          <w:rStyle w:val="BuiltInTok"/>
        </w:rPr>
        <w:t xml:space="preserve">print</w:t>
      </w:r>
      <w:r>
        <w:rPr>
          <w:rStyle w:val="NormalTok"/>
        </w:rPr>
        <w:t xml:space="preserve">(</w:t>
      </w:r>
      <w:r>
        <w:rPr>
          <w:rStyle w:val="StringTok"/>
        </w:rPr>
        <w:t xml:space="preserve">"MR on  :"</w:t>
      </w:r>
      <w:r>
        <w:rPr>
          <w:rStyle w:val="NormalTok"/>
        </w:rPr>
        <w:t xml:space="preserve">, read_twice())</w:t>
      </w:r>
    </w:p>
    <w:p>
      <w:pPr>
        <w:pStyle w:val="FirstParagraph"/>
      </w:pPr>
      <w:r>
        <w:t xml:space="preserve">Output:</w:t>
      </w:r>
    </w:p>
    <w:p>
      <w:pPr>
        <w:pStyle w:val="SourceCode"/>
      </w:pPr>
      <w:r>
        <w:rPr>
          <w:rStyle w:val="VerbatimChar"/>
        </w:rPr>
        <w:t xml:space="preserve">RYW off: ('west', [])</w:t>
      </w:r>
      <w:r>
        <w:br/>
      </w:r>
      <w:r>
        <w:rPr>
          <w:rStyle w:val="VerbatimChar"/>
        </w:rPr>
        <w:t xml:space="preserve">RYW on : ('east', ['name=Ada'])</w:t>
      </w:r>
      <w:r>
        <w:br/>
      </w:r>
      <w:r>
        <w:rPr>
          <w:rStyle w:val="VerbatimChar"/>
        </w:rPr>
        <w:t xml:space="preserve">MR off : (('east', ['comment 1']), ('west', []))</w:t>
      </w:r>
      <w:r>
        <w:br/>
      </w:r>
      <w:r>
        <w:rPr>
          <w:rStyle w:val="VerbatimChar"/>
        </w:rPr>
        <w:t xml:space="preserve">MR on  : (('east', ['comment 1']), ('east', ['comment 1']))</w:t>
      </w:r>
    </w:p>
    <w:p>
      <w:pPr>
        <w:pStyle w:val="FirstParagraph"/>
      </w:pPr>
      <w:r>
        <w:t xml:space="preserve">What to notice:</w:t>
      </w:r>
    </w:p>
    <w:p>
      <w:pPr>
        <w:numPr>
          <w:ilvl w:val="0"/>
          <w:numId w:val="1816"/>
        </w:numPr>
        <w:pStyle w:val="Compact"/>
      </w:pPr>
      <w:r>
        <w:rPr>
          <w:rStyle w:val="VerbatimChar"/>
        </w:rPr>
        <w:t xml:space="preserve">read_vv</w:t>
      </w:r>
      <w:r>
        <w:t xml:space="preserve"> </w:t>
      </w:r>
      <w:r>
        <w:t xml:space="preserve">absorbs the</w:t>
      </w:r>
      <w:r>
        <w:t xml:space="preserve"> </w:t>
      </w:r>
      <w:r>
        <w:rPr>
          <w:iCs/>
          <w:i/>
        </w:rPr>
        <w:t xml:space="preserve">whole</w:t>
      </w:r>
      <w:r>
        <w:t xml:space="preserve"> </w:t>
      </w:r>
      <w:r>
        <w:t xml:space="preserve">vector of the replica read, a conservative over-approximation of what the session saw. Bayou did the same; precise tracking would need per-write dependencies, as in COPS.</w:t>
      </w:r>
    </w:p>
    <w:p>
      <w:pPr>
        <w:numPr>
          <w:ilvl w:val="0"/>
          <w:numId w:val="1816"/>
        </w:numPr>
        <w:pStyle w:val="Compact"/>
      </w:pPr>
      <w:r>
        <w:t xml:space="preserve">Replacing the vector with a single log sequence number (LSN) gives the single-leader version used with PostgreSQL and MySQL replicas (§14.4.4): one counter suffices because there is one origin.</w:t>
      </w:r>
    </w:p>
    <w:p>
      <w:pPr>
        <w:pStyle w:val="CalloutIndustry"/>
      </w:pPr>
      <w:r>
        <w:rPr>
          <w:bCs/>
          <w:b/>
        </w:rPr>
        <w:t xml:space="preserve">INDUSTRY EXAMPLE</w:t>
      </w:r>
    </w:p>
    <w:p>
      <w:pPr>
        <w:pStyle w:val="CalloutIndustry"/>
      </w:pPr>
      <w:r>
        <w:rPr>
          <w:bCs/>
          <w:b/>
        </w:rPr>
        <w:t xml:space="preserve">Azure Cosmos DB session consistency.</w:t>
      </w:r>
      <w:r>
        <w:t xml:space="preserve"> </w:t>
      </w:r>
      <w:r>
        <w:t xml:space="preserve">Cosmos DB’s default consistency level,</w:t>
      </w:r>
      <w:r>
        <w:t xml:space="preserve"> </w:t>
      </w:r>
      <w:r>
        <w:rPr>
          <w:iCs/>
          <w:i/>
        </w:rPr>
        <w:t xml:space="preserve">session</w:t>
      </w:r>
      <w:r>
        <w:t xml:space="preserve">, gives read-your-writes, monotonic reads, monotonic writes and writes-follow-reads within a session by returning a</w:t>
      </w:r>
      <w:r>
        <w:t xml:space="preserve"> </w:t>
      </w:r>
      <w:r>
        <w:rPr>
          <w:bCs/>
          <w:b/>
        </w:rPr>
        <w:t xml:space="preserve">session token</w:t>
      </w:r>
      <w:r>
        <w:t xml:space="preserve"> </w:t>
      </w:r>
      <w:r>
        <w:t xml:space="preserve">with every write; the SDK sends it with later reads, and a replica that has not caught up to the token either waits or the request is retried elsewhere. Clients that share a token (for example, by passing it between web servers) share the session.</w:t>
      </w:r>
      <w:r>
        <w:t xml:space="preserve"> </w:t>
      </w:r>
      <w:r>
        <w:rPr>
          <w:iCs/>
          <w:i/>
        </w:rPr>
        <w:t xml:space="preserve">Evidence: Primary</w:t>
      </w:r>
      <w:r>
        <w:t xml:space="preserve"> </w:t>
      </w:r>
      <w:r>
        <w:t xml:space="preserve">— [Microsoft Docs: Cosmos DB Consistency Levels]</w:t>
      </w:r>
    </w:p>
    <w:p>
      <w:pPr>
        <w:pStyle w:val="CalloutMistake"/>
      </w:pPr>
      <w:r>
        <w:rPr>
          <w:bCs/>
          <w:b/>
        </w:rPr>
        <w:t xml:space="preserve">COMMON MISTAKE</w:t>
      </w:r>
    </w:p>
    <w:p>
      <w:pPr>
        <w:pStyle w:val="CalloutMistake"/>
      </w:pPr>
      <w:r>
        <w:rPr>
          <w:bCs/>
          <w:b/>
        </w:rPr>
        <w:t xml:space="preserve">Mistake —</w:t>
      </w:r>
      <w:r>
        <w:rPr>
          <w:bCs/>
          <w:b/>
        </w:rPr>
        <w:t xml:space="preserve"> </w:t>
      </w:r>
      <w:r>
        <w:rPr>
          <w:bCs/>
          <w:b/>
        </w:rPr>
        <w:t xml:space="preserve">“</w:t>
      </w:r>
      <w:r>
        <w:rPr>
          <w:bCs/>
          <w:b/>
        </w:rPr>
        <w:t xml:space="preserve">Sticky sessions give read-your-writes.</w:t>
      </w:r>
      <w:r>
        <w:rPr>
          <w:bCs/>
          <w:b/>
        </w:rPr>
        <w:t xml:space="preserve">”</w:t>
      </w:r>
      <w:r>
        <w:t xml:space="preserve"> </w:t>
      </w:r>
      <w:r>
        <w:t xml:space="preserve">They give monotonic reads while the pinned replica is healthy. If writes go to a primary and reads to the pinned replica, the replica may not yet have the session’s own write. And when the pinned replica fails, the session moves to another replica that may be further behind, breaking monotonic reads too, unless a token travels with it.</w:t>
      </w:r>
    </w:p>
    <w:bookmarkEnd w:id="2825"/>
    <w:bookmarkEnd w:id="2826"/>
    <w:bookmarkEnd w:id="2827"/>
    <w:bookmarkStart w:id="2842" w:name="eventual-consistency"/>
    <w:p>
      <w:pPr>
        <w:pStyle w:val="Heading2"/>
      </w:pPr>
      <w:r>
        <w:t xml:space="preserve">25.7 Eventual consistency</w:t>
      </w:r>
    </w:p>
    <w:bookmarkStart w:id="2828" w:name="X8f1bf1085c23907efc36bd6b226bdbd82671eb9"/>
    <w:p>
      <w:pPr>
        <w:pStyle w:val="Heading3"/>
      </w:pPr>
      <w:r>
        <w:t xml:space="preserve">25.7.1 Definition: a liveness promise, not a safety promise</w:t>
      </w:r>
    </w:p>
    <w:p>
      <w:pPr>
        <w:pStyle w:val="CalloutDefinition"/>
      </w:pPr>
      <w:r>
        <w:rPr>
          <w:bCs/>
          <w:b/>
        </w:rPr>
        <w:t xml:space="preserve">DEFINITION</w:t>
      </w:r>
    </w:p>
    <w:p>
      <w:pPr>
        <w:pStyle w:val="CalloutDefinition"/>
      </w:pPr>
      <w:r>
        <w:rPr>
          <w:bCs/>
          <w:b/>
        </w:rPr>
        <w:t xml:space="preserve">Definition — Eventual consistency.</w:t>
      </w:r>
      <w:r>
        <w:t xml:space="preserve"> </w:t>
      </w:r>
      <w:r>
        <w:t xml:space="preserve">If no new updates are made to an object, eventually all reads return the last updated value [Vogels 2009]. Equivalently, replicas that have received the same set of updates</w:t>
      </w:r>
      <w:r>
        <w:t xml:space="preserve"> </w:t>
      </w:r>
      <w:r>
        <w:rPr>
          <w:bCs/>
          <w:b/>
        </w:rPr>
        <w:t xml:space="preserve">converge</w:t>
      </w:r>
      <w:r>
        <w:t xml:space="preserve"> </w:t>
      </w:r>
      <w:r>
        <w:t xml:space="preserve">to the same state.</w:t>
      </w:r>
      <w:r>
        <w:t xml:space="preserve"> </w:t>
      </w:r>
      <w:r>
        <w:rPr>
          <w:bCs/>
          <w:b/>
        </w:rPr>
        <w:t xml:space="preserve">Strong eventual consistency</w:t>
      </w:r>
      <w:r>
        <w:t xml:space="preserve"> </w:t>
      </w:r>
      <w:r>
        <w:t xml:space="preserve">strengthens this: replicas that have received the same updates are in the same state immediately, with no further coordination, which is what conflict-free replicated data types (CRDTs) guarantee (§27.14).</w:t>
      </w:r>
    </w:p>
    <w:p>
      <w:pPr>
        <w:pStyle w:val="BodyText"/>
      </w:pPr>
      <w:r>
        <w:t xml:space="preserve">Eventual consistency is a</w:t>
      </w:r>
      <w:r>
        <w:t xml:space="preserve"> </w:t>
      </w:r>
      <w:r>
        <w:rPr>
          <w:bCs/>
          <w:b/>
        </w:rPr>
        <w:t xml:space="preserve">liveness</w:t>
      </w:r>
      <w:r>
        <w:t xml:space="preserve"> </w:t>
      </w:r>
      <w:r>
        <w:t xml:space="preserve">property (</w:t>
      </w:r>
      <w:r>
        <w:t xml:space="preserve">“</w:t>
      </w:r>
      <w:r>
        <w:t xml:space="preserve">something good eventually happens</w:t>
      </w:r>
      <w:r>
        <w:t xml:space="preserve">”</w:t>
      </w:r>
      <w:r>
        <w:t xml:space="preserve">) with no</w:t>
      </w:r>
      <w:r>
        <w:t xml:space="preserve"> </w:t>
      </w:r>
      <w:r>
        <w:rPr>
          <w:bCs/>
          <w:b/>
        </w:rPr>
        <w:t xml:space="preserve">safety</w:t>
      </w:r>
      <w:r>
        <w:t xml:space="preserve"> </w:t>
      </w:r>
      <w:r>
        <w:t xml:space="preserve">content (</w:t>
      </w:r>
      <w:r>
        <w:t xml:space="preserve">“</w:t>
      </w:r>
      <w:r>
        <w:t xml:space="preserve">nothing bad ever happens</w:t>
      </w:r>
      <w:r>
        <w:t xml:space="preserve">”</w:t>
      </w:r>
      <w:r>
        <w:t xml:space="preserve">). It says nothing about what you read</w:t>
      </w:r>
      <w:r>
        <w:t xml:space="preserve"> </w:t>
      </w:r>
      <w:r>
        <w:rPr>
          <w:iCs/>
          <w:i/>
        </w:rPr>
        <w:t xml:space="preserve">while</w:t>
      </w:r>
      <w:r>
        <w:t xml:space="preserve"> </w:t>
      </w:r>
      <w:r>
        <w:t xml:space="preserve">updates are flowing, and no bound on how long</w:t>
      </w:r>
      <w:r>
        <w:t xml:space="preserve"> </w:t>
      </w:r>
      <w:r>
        <w:t xml:space="preserve">“</w:t>
      </w:r>
      <w:r>
        <w:t xml:space="preserve">eventually</w:t>
      </w:r>
      <w:r>
        <w:t xml:space="preserve">”</w:t>
      </w:r>
      <w:r>
        <w:t xml:space="preserve"> </w:t>
      </w:r>
      <w:r>
        <w:t xml:space="preserve">is. A store that returned arbitrary values for an hour and then converged would technically comply [Bailis &amp; Ghodsi 2013]. The engineering question is therefore quantitative:</w:t>
      </w:r>
      <w:r>
        <w:t xml:space="preserve"> </w:t>
      </w:r>
      <w:r>
        <w:rPr>
          <w:bCs/>
          <w:b/>
        </w:rPr>
        <w:t xml:space="preserve">how stale, how often?</w:t>
      </w:r>
    </w:p>
    <w:p>
      <w:pPr>
        <w:pStyle w:val="BodyText"/>
      </w:pPr>
      <w:r>
        <w:t xml:space="preserve">Eventual consistency also needs a</w:t>
      </w:r>
      <w:r>
        <w:t xml:space="preserve"> </w:t>
      </w:r>
      <w:r>
        <w:rPr>
          <w:bCs/>
          <w:b/>
        </w:rPr>
        <w:t xml:space="preserve">conflict resolution</w:t>
      </w:r>
      <w:r>
        <w:t xml:space="preserve"> </w:t>
      </w:r>
      <w:r>
        <w:t xml:space="preserve">rule for concurrent writes to the same key: last-writer-wins by timestamp (which silently discards one write), application merge (the Dynamo shopping cart unions concurrent versions [DeCandia et al. 2007]), or CRDTs. Chapter 27 (§27.13–§27.14) covers anti-entropy, read repair and conflict resolution.</w:t>
      </w:r>
    </w:p>
    <w:bookmarkEnd w:id="2828"/>
    <w:bookmarkStart w:id="2835" w:name="probabilistically-bounded-staleness"/>
    <w:p>
      <w:pPr>
        <w:pStyle w:val="Heading3"/>
      </w:pPr>
      <w:r>
        <w:t xml:space="preserve">25.7.2 Probabilistically bounded staleness</w:t>
      </w:r>
    </w:p>
    <w:p>
      <w:pPr>
        <w:pStyle w:val="FirstParagraph"/>
      </w:pPr>
      <w:r>
        <w:t xml:space="preserve">Bailis, Venkataraman, Franklin, Hellerstein and Stoica introduced</w:t>
      </w:r>
      <w:r>
        <w:t xml:space="preserve"> </w:t>
      </w:r>
      <w:r>
        <w:rPr>
          <w:bCs/>
          <w:b/>
        </w:rPr>
        <w:t xml:space="preserve">probabilistically bounded staleness (PBS)</w:t>
      </w:r>
      <w:r>
        <w:t xml:space="preserve"> </w:t>
      </w:r>
      <w:r>
        <w:t xml:space="preserve">to answer</w:t>
      </w:r>
      <w:r>
        <w:t xml:space="preserve"> </w:t>
      </w:r>
      <w:r>
        <w:t xml:space="preserve">“</w:t>
      </w:r>
      <w:r>
        <w:t xml:space="preserve">how eventual?</w:t>
      </w:r>
      <w:r>
        <w:t xml:space="preserve">”</w:t>
      </w:r>
      <w:r>
        <w:t xml:space="preserve"> </w:t>
      </w:r>
      <w:r>
        <w:t xml:space="preserve">for Dynamo-style stores with</w:t>
      </w:r>
      <w:r>
        <w:t xml:space="preserve"> </w:t>
      </w:r>
      <m:oMath>
        <m:r>
          <m:t>N</m:t>
        </m:r>
      </m:oMath>
      <w:r>
        <w:t xml:space="preserve"> </w:t>
      </w:r>
      <w:r>
        <w:t xml:space="preserve">replicas, write quorum</w:t>
      </w:r>
      <w:r>
        <w:t xml:space="preserve"> </w:t>
      </w:r>
      <m:oMath>
        <m:r>
          <m:t>W</m:t>
        </m:r>
      </m:oMath>
      <w:r>
        <w:t xml:space="preserve"> </w:t>
      </w:r>
      <w:r>
        <w:t xml:space="preserve">and read quorum</w:t>
      </w:r>
      <w:r>
        <w:t xml:space="preserve"> </w:t>
      </w:r>
      <m:oMath>
        <m:r>
          <m:t>R</m:t>
        </m:r>
      </m:oMath>
      <w:r>
        <w:t xml:space="preserve"> </w:t>
      </w:r>
      <w:r>
        <w:t xml:space="preserve">[Bailis et al. 2012]. When</w:t>
      </w:r>
      <w:r>
        <w:t xml:space="preserve"> </w:t>
      </w:r>
      <m:oMath>
        <m:r>
          <m:t>R</m:t>
        </m:r>
        <m:r>
          <m:rPr>
            <m:sty m:val="p"/>
          </m:rPr>
          <m:t>+</m:t>
        </m:r>
        <m:r>
          <m:t>W</m:t>
        </m:r>
        <m:r>
          <m:rPr>
            <m:sty m:val="p"/>
          </m:rPr>
          <m:t>≤</m:t>
        </m:r>
        <m:r>
          <m:t>N</m:t>
        </m:r>
      </m:oMath>
      <w:r>
        <w:t xml:space="preserve"> </w:t>
      </w:r>
      <w:r>
        <w:t xml:space="preserve">(a</w:t>
      </w:r>
      <w:r>
        <w:t xml:space="preserve"> </w:t>
      </w:r>
      <w:r>
        <w:rPr>
          <w:bCs/>
          <w:b/>
        </w:rPr>
        <w:t xml:space="preserve">partial quorum</w:t>
      </w:r>
      <w:r>
        <w:t xml:space="preserve">), a read may miss the latest write. PBS predicts two quantities:</w:t>
      </w:r>
    </w:p>
    <w:p>
      <w:pPr>
        <w:numPr>
          <w:ilvl w:val="0"/>
          <w:numId w:val="1817"/>
        </w:numPr>
        <w:pStyle w:val="Compact"/>
      </w:pPr>
      <m:oMath>
        <m:r>
          <m:t>t</m:t>
        </m:r>
      </m:oMath>
      <w:r>
        <w:rPr>
          <w:bCs/>
          <w:b/>
        </w:rPr>
        <w:t xml:space="preserve">-visibility:</w:t>
      </w:r>
      <w:r>
        <w:t xml:space="preserve"> </w:t>
      </w:r>
      <w:r>
        <w:t xml:space="preserve">the probability that a read issued</w:t>
      </w:r>
      <w:r>
        <w:t xml:space="preserve"> </w:t>
      </w:r>
      <m:oMath>
        <m:r>
          <m:t>t</m:t>
        </m:r>
      </m:oMath>
      <w:r>
        <w:t xml:space="preserve"> </w:t>
      </w:r>
      <w:r>
        <w:t xml:space="preserve">ms after a write commits returns that write (or a newer one).</w:t>
      </w:r>
    </w:p>
    <w:p>
      <w:pPr>
        <w:numPr>
          <w:ilvl w:val="0"/>
          <w:numId w:val="1817"/>
        </w:numPr>
        <w:pStyle w:val="Compact"/>
      </w:pPr>
      <m:oMath>
        <m:r>
          <m:t>k</m:t>
        </m:r>
      </m:oMath>
      <w:r>
        <w:rPr>
          <w:bCs/>
          <w:b/>
        </w:rPr>
        <w:t xml:space="preserve">-staleness:</w:t>
      </w:r>
      <w:r>
        <w:t xml:space="preserve"> </w:t>
      </w:r>
      <w:r>
        <w:t xml:space="preserve">the probability that a read returns a value no more than</w:t>
      </w:r>
      <w:r>
        <w:t xml:space="preserve"> </w:t>
      </w:r>
      <m:oMath>
        <m:r>
          <m:t>k</m:t>
        </m:r>
      </m:oMath>
      <w:r>
        <w:t xml:space="preserve"> </w:t>
      </w:r>
      <w:r>
        <w:t xml:space="preserve">versions old.</w:t>
      </w:r>
    </w:p>
    <w:bookmarkStart w:id="2829" w:name="mathematical-foundations-49"/>
    <w:p>
      <w:pPr>
        <w:pStyle w:val="Heading4"/>
      </w:pPr>
      <w:r>
        <w:t xml:space="preserve">Mathematical foundations</w:t>
      </w:r>
    </w:p>
    <w:p>
      <w:pPr>
        <w:pStyle w:val="FirstParagraph"/>
      </w:pPr>
      <w:r>
        <w:t xml:space="preserve">The simplest model assumes a write has reached exactly</w:t>
      </w:r>
      <w:r>
        <w:t xml:space="preserve"> </w:t>
      </w:r>
      <m:oMath>
        <m:r>
          <m:t>W</m:t>
        </m:r>
      </m:oMath>
      <w:r>
        <w:t xml:space="preserve"> </w:t>
      </w:r>
      <w:r>
        <w:t xml:space="preserve">of</w:t>
      </w:r>
      <w:r>
        <w:t xml:space="preserve"> </w:t>
      </w:r>
      <m:oMath>
        <m:r>
          <m:t>N</m:t>
        </m:r>
      </m:oMath>
      <w:r>
        <w:t xml:space="preserve"> </w:t>
      </w:r>
      <w:r>
        <w:t xml:space="preserve">replicas when it commits and has not spread further, and that a read contacts</w:t>
      </w:r>
      <w:r>
        <w:t xml:space="preserve"> </w:t>
      </w:r>
      <m:oMath>
        <m:r>
          <m:t>R</m:t>
        </m:r>
      </m:oMath>
      <w:r>
        <w:t xml:space="preserve"> </w:t>
      </w:r>
      <w:r>
        <w:t xml:space="preserve">replicas chosen uniformly at random.</w:t>
      </w:r>
    </w:p>
    <w:p>
      <w:pPr>
        <w:pStyle w:val="CalloutFormula"/>
      </w:pPr>
      <w:r>
        <w:rPr>
          <w:bCs/>
          <w:b/>
        </w:rPr>
        <w:t xml:space="preserve">FORMULA</w:t>
      </w:r>
    </w:p>
    <w:p>
      <w:pPr>
        <w:pStyle w:val="CalloutFormula"/>
      </w:pPr>
      <w:r>
        <w:rPr>
          <w:bCs/>
          <w:b/>
        </w:rPr>
        <w:t xml:space="preserve">Probability that a partial-quorum read misses the latest write</w:t>
      </w:r>
    </w:p>
    <w:p>
      <w:pPr>
        <w:pStyle w:val="CalloutFormula"/>
      </w:pPr>
      <m:oMathPara>
        <m:oMathParaPr>
          <m:jc m:val="center"/>
        </m:oMathParaPr>
        <m:oMath>
          <m:sSub>
            <m:e>
              <m:r>
                <m:t>p</m:t>
              </m:r>
            </m:e>
            <m:sub>
              <m:r>
                <m:t>s</m:t>
              </m:r>
            </m:sub>
          </m:sSub>
          <m:r>
            <m:rPr>
              <m:sty m:val="p"/>
            </m:rPr>
            <m:t>=</m:t>
          </m:r>
          <m:f>
            <m:fPr>
              <m:type m:val="bar"/>
            </m:fPr>
            <m:num>
              <m:d>
                <m:dPr>
                  <m:begChr m:val="("/>
                  <m:endChr m:val=")"/>
                  <m:sepChr m:val=""/>
                  <m:grow/>
                </m:dPr>
                <m:e>
                  <m:f>
                    <m:fPr>
                      <m:type m:val="noBar"/>
                    </m:fPr>
                    <m:num>
                      <m:r>
                        <m:t>N</m:t>
                      </m:r>
                      <m:r>
                        <m:rPr>
                          <m:sty m:val="p"/>
                        </m:rPr>
                        <m:t>−</m:t>
                      </m:r>
                      <m:r>
                        <m:t>W</m:t>
                      </m:r>
                    </m:num>
                    <m:den>
                      <m:r>
                        <m:t>R</m:t>
                      </m:r>
                    </m:den>
                  </m:f>
                </m:e>
              </m:d>
            </m:num>
            <m:den>
              <m:d>
                <m:dPr>
                  <m:begChr m:val="("/>
                  <m:endChr m:val=")"/>
                  <m:sepChr m:val=""/>
                  <m:grow/>
                </m:dPr>
                <m:e>
                  <m:f>
                    <m:fPr>
                      <m:type m:val="noBar"/>
                    </m:fPr>
                    <m:num>
                      <m:r>
                        <m:t>N</m:t>
                      </m:r>
                    </m:num>
                    <m:den>
                      <m:r>
                        <m:t>R</m:t>
                      </m:r>
                    </m:den>
                  </m:f>
                </m:e>
              </m:d>
            </m:den>
          </m:f>
          <m:r>
            <m:rPr>
              <m:sty m:val="p"/>
            </m:rPr>
            <m:t>,</m:t>
          </m:r>
          <m:r>
            <m:t>  </m:t>
          </m:r>
          <m:r>
            <m:t>P</m:t>
          </m:r>
          <m:d>
            <m:dPr>
              <m:begChr m:val="("/>
              <m:endChr m:val=")"/>
              <m:sepChr m:val=""/>
              <m:grow/>
            </m:dPr>
            <m:e>
              <m:r>
                <m:rPr>
                  <m:nor/>
                  <m:sty m:val="p"/>
                </m:rPr>
                <m:t>older than all </m:t>
              </m:r>
              <m:r>
                <m:t>k</m:t>
              </m:r>
              <m:r>
                <m:rPr>
                  <m:nor/>
                  <m:sty m:val="p"/>
                </m:rPr>
                <m:t> most recent versions</m:t>
              </m:r>
            </m:e>
          </m:d>
          <m:r>
            <m:rPr>
              <m:sty m:val="p"/>
            </m:rPr>
            <m:t>=</m:t>
          </m:r>
          <m:sSubSup>
            <m:e>
              <m:r>
                <m:t>p</m:t>
              </m:r>
            </m:e>
            <m:sub>
              <m:r>
                <m:t>s</m:t>
              </m:r>
            </m:sub>
            <m:sup>
              <m:r>
                <m:t> </m:t>
              </m:r>
              <m:r>
                <m:t>k</m:t>
              </m:r>
            </m:sup>
          </m:sSubSup>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p</m:t>
                  </m:r>
                </m:e>
                <m:sub>
                  <m:r>
                    <m:t>s</m:t>
                  </m:r>
                </m:sub>
              </m:sSub>
            </m:oMath>
          </w:p>
        </w:tc>
        <w:tc>
          <w:tcPr/>
          <w:p>
            <w:pPr>
              <w:pStyle w:val="Compact"/>
              <w:jc w:val="left"/>
            </w:pPr>
            <w:r>
              <w:t xml:space="preserve">Probability that all</w:t>
            </w:r>
            <w:r>
              <w:t xml:space="preserve"> </w:t>
            </w:r>
            <m:oMath>
              <m:r>
                <m:t>R</m:t>
              </m:r>
            </m:oMath>
            <w:r>
              <w:t xml:space="preserve"> </w:t>
            </w:r>
            <w:r>
              <w:t xml:space="preserve">replicas read hold none of the latest write’s</w:t>
            </w:r>
            <w:r>
              <w:t xml:space="preserve"> </w:t>
            </w:r>
            <m:oMath>
              <m:r>
                <m:t>W</m:t>
              </m:r>
            </m:oMath>
            <w:r>
              <w:t xml:space="preserve"> </w:t>
            </w:r>
            <w:r>
              <w:t xml:space="preserve">copies</w:t>
            </w:r>
          </w:p>
        </w:tc>
        <w:tc>
          <w:tcPr/>
          <w:p>
            <w:pPr>
              <w:pStyle w:val="Compact"/>
              <w:jc w:val="left"/>
            </w:pPr>
            <w:r>
              <w:t xml:space="preserve">probability</w:t>
            </w:r>
          </w:p>
        </w:tc>
      </w:tr>
      <w:tr>
        <w:tc>
          <w:tcPr/>
          <w:p>
            <w:pPr>
              <w:pStyle w:val="Compact"/>
              <w:jc w:val="left"/>
            </w:pPr>
            <m:oMath>
              <m:r>
                <m:t>N</m:t>
              </m:r>
            </m:oMath>
          </w:p>
        </w:tc>
        <w:tc>
          <w:tcPr/>
          <w:p>
            <w:pPr>
              <w:pStyle w:val="Compact"/>
              <w:jc w:val="left"/>
            </w:pPr>
            <w:r>
              <w:t xml:space="preserve">Replication factor</w:t>
            </w:r>
          </w:p>
        </w:tc>
        <w:tc>
          <w:tcPr/>
          <w:p>
            <w:pPr>
              <w:pStyle w:val="Compact"/>
              <w:jc w:val="left"/>
            </w:pPr>
            <w:r>
              <w:t xml:space="preserve">replicas</w:t>
            </w:r>
          </w:p>
        </w:tc>
      </w:tr>
      <w:tr>
        <w:tc>
          <w:tcPr/>
          <w:p>
            <w:pPr>
              <w:pStyle w:val="Compact"/>
              <w:jc w:val="left"/>
            </w:pPr>
            <m:oMath>
              <m:r>
                <m:t>W</m:t>
              </m:r>
            </m:oMath>
          </w:p>
        </w:tc>
        <w:tc>
          <w:tcPr/>
          <w:p>
            <w:pPr>
              <w:pStyle w:val="Compact"/>
              <w:jc w:val="left"/>
            </w:pPr>
            <w:r>
              <w:t xml:space="preserve">Replicas that acknowledged the write when it committed</w:t>
            </w:r>
          </w:p>
        </w:tc>
        <w:tc>
          <w:tcPr/>
          <w:p>
            <w:pPr>
              <w:pStyle w:val="Compact"/>
              <w:jc w:val="left"/>
            </w:pPr>
            <w:r>
              <w:t xml:space="preserve">replicas</w:t>
            </w:r>
          </w:p>
        </w:tc>
      </w:tr>
      <w:tr>
        <w:tc>
          <w:tcPr/>
          <w:p>
            <w:pPr>
              <w:pStyle w:val="Compact"/>
              <w:jc w:val="left"/>
            </w:pPr>
            <m:oMath>
              <m:r>
                <m:t>R</m:t>
              </m:r>
            </m:oMath>
          </w:p>
        </w:tc>
        <w:tc>
          <w:tcPr/>
          <w:p>
            <w:pPr>
              <w:pStyle w:val="Compact"/>
              <w:jc w:val="left"/>
            </w:pPr>
            <w:r>
              <w:t xml:space="preserve">Replicas whose responses the read waits for</w:t>
            </w:r>
          </w:p>
        </w:tc>
        <w:tc>
          <w:tcPr/>
          <w:p>
            <w:pPr>
              <w:pStyle w:val="Compact"/>
              <w:jc w:val="left"/>
            </w:pPr>
            <w:r>
              <w:t xml:space="preserve">replicas</w:t>
            </w:r>
          </w:p>
        </w:tc>
      </w:tr>
      <w:tr>
        <w:tc>
          <w:tcPr/>
          <w:p>
            <w:pPr>
              <w:pStyle w:val="Compact"/>
              <w:jc w:val="left"/>
            </w:pPr>
            <m:oMath>
              <m:r>
                <m:t>k</m:t>
              </m:r>
            </m:oMath>
          </w:p>
        </w:tc>
        <w:tc>
          <w:tcPr/>
          <w:p>
            <w:pPr>
              <w:pStyle w:val="Compact"/>
              <w:jc w:val="left"/>
            </w:pPr>
            <w:r>
              <w:t xml:space="preserve">Number of most recent versions, any one of which counts as fresh enough (the read may miss</w:t>
            </w:r>
            <w:r>
              <w:t xml:space="preserve"> </w:t>
            </w:r>
            <m:oMath>
              <m:r>
                <m:t>k</m:t>
              </m:r>
              <m:r>
                <m:rPr>
                  <m:sty m:val="p"/>
                </m:rPr>
                <m:t>−</m:t>
              </m:r>
              <m:r>
                <m:t>1</m:t>
              </m:r>
            </m:oMath>
            <w:r>
              <w:t xml:space="preserve"> </w:t>
            </w:r>
            <w:r>
              <w:t xml:space="preserve">of them)</w:t>
            </w:r>
          </w:p>
        </w:tc>
        <w:tc>
          <w:tcPr/>
          <w:p>
            <w:pPr>
              <w:pStyle w:val="Compact"/>
              <w:jc w:val="left"/>
            </w:pPr>
            <w:r>
              <w:t xml:space="preserve">versions</w:t>
            </w:r>
          </w:p>
        </w:tc>
      </w:tr>
    </w:tbl>
    <w:p>
      <w:pPr>
        <w:pStyle w:val="CalloutExample"/>
      </w:pPr>
      <w:r>
        <w:rPr>
          <w:bCs/>
          <w:b/>
        </w:rPr>
        <w:t xml:space="preserve">WORKED EXAMPLE</w:t>
      </w:r>
    </w:p>
    <w:p>
      <w:pPr>
        <w:pStyle w:val="CalloutExample"/>
      </w:pPr>
      <w:r>
        <w:rPr>
          <w:bCs/>
          <w:b/>
        </w:rPr>
        <w:t xml:space="preserve">Worked example — Closed-form staleness for common settings.</w:t>
      </w:r>
    </w:p>
    <w:p>
      <w:pPr>
        <w:numPr>
          <w:ilvl w:val="0"/>
          <w:numId w:val="1818"/>
        </w:numPr>
        <w:pStyle w:val="Compact"/>
      </w:pPr>
      <m:oMath>
        <m:r>
          <m:t>N</m:t>
        </m:r>
        <m:r>
          <m:rPr>
            <m:sty m:val="p"/>
          </m:rPr>
          <m:t>=</m:t>
        </m:r>
        <m:r>
          <m:t>3</m:t>
        </m:r>
      </m:oMath>
      <w:r>
        <w:t xml:space="preserve">,</w:t>
      </w:r>
      <w:r>
        <w:t xml:space="preserve"> </w:t>
      </w:r>
      <m:oMath>
        <m:r>
          <m:t>R</m:t>
        </m:r>
        <m:r>
          <m:rPr>
            <m:sty m:val="p"/>
          </m:rPr>
          <m:t>=</m:t>
        </m:r>
        <m:r>
          <m:t>W</m:t>
        </m:r>
        <m:r>
          <m:rPr>
            <m:sty m:val="p"/>
          </m:rPr>
          <m:t>=</m:t>
        </m:r>
        <m:r>
          <m:t>1</m:t>
        </m:r>
      </m:oMath>
      <w:r>
        <w:t xml:space="preserve">:</w:t>
      </w:r>
      <w:r>
        <w:t xml:space="preserve"> </w:t>
      </w:r>
      <m:oMath>
        <m:sSub>
          <m:e>
            <m:r>
              <m:t>p</m:t>
            </m:r>
          </m:e>
          <m:sub>
            <m:r>
              <m:t>s</m:t>
            </m:r>
          </m:sub>
        </m:sSub>
        <m:r>
          <m:rPr>
            <m:sty m:val="p"/>
          </m:rPr>
          <m:t>=</m:t>
        </m:r>
        <m:d>
          <m:dPr>
            <m:begChr m:val="("/>
            <m:endChr m:val=")"/>
            <m:sepChr m:val=""/>
            <m:grow/>
          </m:dPr>
          <m:e>
            <m:f>
              <m:fPr>
                <m:type m:val="noBar"/>
              </m:fPr>
              <m:num>
                <m:r>
                  <m:t>2</m:t>
                </m:r>
              </m:num>
              <m:den>
                <m:r>
                  <m:t>1</m:t>
                </m:r>
              </m:den>
            </m:f>
          </m:e>
        </m:d>
        <m:r>
          <m:rPr>
            <m:sty m:val="p"/>
          </m:rPr>
          <m:t>/</m:t>
        </m:r>
        <m:d>
          <m:dPr>
            <m:begChr m:val="("/>
            <m:endChr m:val=")"/>
            <m:sepChr m:val=""/>
            <m:grow/>
          </m:dPr>
          <m:e>
            <m:f>
              <m:fPr>
                <m:type m:val="noBar"/>
              </m:fPr>
              <m:num>
                <m:r>
                  <m:t>3</m:t>
                </m:r>
              </m:num>
              <m:den>
                <m:r>
                  <m:t>1</m:t>
                </m:r>
              </m:den>
            </m:f>
          </m:e>
        </m:d>
        <m:r>
          <m:rPr>
            <m:sty m:val="p"/>
          </m:rPr>
          <m:t>=</m:t>
        </m:r>
        <m:r>
          <m:t>2</m:t>
        </m:r>
        <m:r>
          <m:rPr>
            <m:sty m:val="p"/>
          </m:rPr>
          <m:t>/</m:t>
        </m:r>
        <m:r>
          <m:t>3</m:t>
        </m:r>
        <m:r>
          <m:rPr>
            <m:sty m:val="p"/>
          </m:rPr>
          <m:t>≈</m:t>
        </m:r>
        <m:r>
          <m:t>0.667</m:t>
        </m:r>
      </m:oMath>
      <w:r>
        <w:t xml:space="preserve">. Right after commit, two reads in three could miss the write if nothing propagates further.</w:t>
      </w:r>
    </w:p>
    <w:p>
      <w:pPr>
        <w:numPr>
          <w:ilvl w:val="0"/>
          <w:numId w:val="1818"/>
        </w:numPr>
        <w:pStyle w:val="Compact"/>
      </w:pPr>
      <m:oMath>
        <m:r>
          <m:t>N</m:t>
        </m:r>
        <m:r>
          <m:rPr>
            <m:sty m:val="p"/>
          </m:rPr>
          <m:t>=</m:t>
        </m:r>
        <m:r>
          <m:t>3</m:t>
        </m:r>
      </m:oMath>
      <w:r>
        <w:t xml:space="preserve">,</w:t>
      </w:r>
      <w:r>
        <w:t xml:space="preserve"> </w:t>
      </w:r>
      <m:oMath>
        <m:r>
          <m:t>R</m:t>
        </m:r>
        <m:r>
          <m:rPr>
            <m:sty m:val="p"/>
          </m:rPr>
          <m:t>=</m:t>
        </m:r>
        <m:r>
          <m:t>1</m:t>
        </m:r>
      </m:oMath>
      <w:r>
        <w:t xml:space="preserve">,</w:t>
      </w:r>
      <w:r>
        <w:t xml:space="preserve"> </w:t>
      </w:r>
      <m:oMath>
        <m:r>
          <m:t>W</m:t>
        </m:r>
        <m:r>
          <m:rPr>
            <m:sty m:val="p"/>
          </m:rPr>
          <m:t>=</m:t>
        </m:r>
        <m:r>
          <m:t>2</m:t>
        </m:r>
      </m:oMath>
      <w:r>
        <w:t xml:space="preserve">:</w:t>
      </w:r>
      <w:r>
        <w:t xml:space="preserve"> </w:t>
      </w:r>
      <m:oMath>
        <m:sSub>
          <m:e>
            <m:r>
              <m:t>p</m:t>
            </m:r>
          </m:e>
          <m:sub>
            <m:r>
              <m:t>s</m:t>
            </m:r>
          </m:sub>
        </m:sSub>
        <m:r>
          <m:rPr>
            <m:sty m:val="p"/>
          </m:rPr>
          <m:t>=</m:t>
        </m:r>
        <m:d>
          <m:dPr>
            <m:begChr m:val="("/>
            <m:endChr m:val=")"/>
            <m:sepChr m:val=""/>
            <m:grow/>
          </m:dPr>
          <m:e>
            <m:f>
              <m:fPr>
                <m:type m:val="noBar"/>
              </m:fPr>
              <m:num>
                <m:r>
                  <m:t>1</m:t>
                </m:r>
              </m:num>
              <m:den>
                <m:r>
                  <m:t>1</m:t>
                </m:r>
              </m:den>
            </m:f>
          </m:e>
        </m:d>
        <m:r>
          <m:rPr>
            <m:sty m:val="p"/>
          </m:rPr>
          <m:t>/</m:t>
        </m:r>
        <m:d>
          <m:dPr>
            <m:begChr m:val="("/>
            <m:endChr m:val=")"/>
            <m:sepChr m:val=""/>
            <m:grow/>
          </m:dPr>
          <m:e>
            <m:f>
              <m:fPr>
                <m:type m:val="noBar"/>
              </m:fPr>
              <m:num>
                <m:r>
                  <m:t>3</m:t>
                </m:r>
              </m:num>
              <m:den>
                <m:r>
                  <m:t>1</m:t>
                </m:r>
              </m:den>
            </m:f>
          </m:e>
        </m:d>
        <m:r>
          <m:rPr>
            <m:sty m:val="p"/>
          </m:rPr>
          <m:t>=</m:t>
        </m:r>
        <m:r>
          <m:t>1</m:t>
        </m:r>
        <m:r>
          <m:rPr>
            <m:sty m:val="p"/>
          </m:rPr>
          <m:t>/</m:t>
        </m:r>
        <m:r>
          <m:t>3</m:t>
        </m:r>
      </m:oMath>
      <w:r>
        <w:t xml:space="preserve">.</w:t>
      </w:r>
    </w:p>
    <w:p>
      <w:pPr>
        <w:numPr>
          <w:ilvl w:val="0"/>
          <w:numId w:val="1818"/>
        </w:numPr>
        <w:pStyle w:val="Compact"/>
      </w:pPr>
      <m:oMath>
        <m:r>
          <m:t>N</m:t>
        </m:r>
        <m:r>
          <m:rPr>
            <m:sty m:val="p"/>
          </m:rPr>
          <m:t>=</m:t>
        </m:r>
        <m:r>
          <m:t>3</m:t>
        </m:r>
      </m:oMath>
      <w:r>
        <w:t xml:space="preserve">,</w:t>
      </w:r>
      <w:r>
        <w:t xml:space="preserve"> </w:t>
      </w:r>
      <m:oMath>
        <m:r>
          <m:t>R</m:t>
        </m:r>
        <m:r>
          <m:rPr>
            <m:sty m:val="p"/>
          </m:rPr>
          <m:t>=</m:t>
        </m:r>
        <m:r>
          <m:t>W</m:t>
        </m:r>
        <m:r>
          <m:rPr>
            <m:sty m:val="p"/>
          </m:rPr>
          <m:t>=</m:t>
        </m:r>
        <m:r>
          <m:t>2</m:t>
        </m:r>
      </m:oMath>
      <w:r>
        <w:t xml:space="preserve">:</w:t>
      </w:r>
      <w:r>
        <w:t xml:space="preserve"> </w:t>
      </w:r>
      <m:oMath>
        <m:d>
          <m:dPr>
            <m:begChr m:val="("/>
            <m:endChr m:val=")"/>
            <m:sepChr m:val=""/>
            <m:grow/>
          </m:dPr>
          <m:e>
            <m:f>
              <m:fPr>
                <m:type m:val="noBar"/>
              </m:fPr>
              <m:num>
                <m:r>
                  <m:t>1</m:t>
                </m:r>
              </m:num>
              <m:den>
                <m:r>
                  <m:t>2</m:t>
                </m:r>
              </m:den>
            </m:f>
          </m:e>
        </m:d>
        <m:r>
          <m:rPr>
            <m:sty m:val="p"/>
          </m:rPr>
          <m:t>=</m:t>
        </m:r>
        <m:r>
          <m:t>0</m:t>
        </m:r>
      </m:oMath>
      <w:r>
        <w:t xml:space="preserve">, so</w:t>
      </w:r>
      <w:r>
        <w:t xml:space="preserve"> </w:t>
      </w:r>
      <m:oMath>
        <m:sSub>
          <m:e>
            <m:r>
              <m:t>p</m:t>
            </m:r>
          </m:e>
          <m:sub>
            <m:r>
              <m:t>s</m:t>
            </m:r>
          </m:sub>
        </m:sSub>
        <m:r>
          <m:rPr>
            <m:sty m:val="p"/>
          </m:rPr>
          <m:t>=</m:t>
        </m:r>
        <m:r>
          <m:t>0</m:t>
        </m:r>
      </m:oMath>
      <w:r>
        <w:t xml:space="preserve">: the quorums overlap (</w:t>
      </w:r>
      <m:oMath>
        <m:r>
          <m:t>R</m:t>
        </m:r>
        <m:r>
          <m:rPr>
            <m:sty m:val="p"/>
          </m:rPr>
          <m:t>+</m:t>
        </m:r>
        <m:r>
          <m:t>W</m:t>
        </m:r>
        <m:r>
          <m:rPr>
            <m:sty m:val="p"/>
          </m:rPr>
          <m:t>&gt;</m:t>
        </m:r>
        <m:r>
          <m:t>N</m:t>
        </m:r>
      </m:oMath>
      <w:r>
        <w:t xml:space="preserve">).</w:t>
      </w:r>
    </w:p>
    <w:p>
      <w:pPr>
        <w:numPr>
          <w:ilvl w:val="0"/>
          <w:numId w:val="1818"/>
        </w:numPr>
        <w:pStyle w:val="Compact"/>
      </w:pPr>
      <m:oMath>
        <m:r>
          <m:t>N</m:t>
        </m:r>
        <m:r>
          <m:rPr>
            <m:sty m:val="p"/>
          </m:rPr>
          <m:t>=</m:t>
        </m:r>
        <m:r>
          <m:t>5</m:t>
        </m:r>
      </m:oMath>
      <w:r>
        <w:t xml:space="preserve">,</w:t>
      </w:r>
      <w:r>
        <w:t xml:space="preserve"> </w:t>
      </w:r>
      <m:oMath>
        <m:r>
          <m:t>R</m:t>
        </m:r>
        <m:r>
          <m:rPr>
            <m:sty m:val="p"/>
          </m:rPr>
          <m:t>=</m:t>
        </m:r>
        <m:r>
          <m:t>W</m:t>
        </m:r>
        <m:r>
          <m:rPr>
            <m:sty m:val="p"/>
          </m:rPr>
          <m:t>=</m:t>
        </m:r>
        <m:r>
          <m:t>2</m:t>
        </m:r>
      </m:oMath>
      <w:r>
        <w:t xml:space="preserve">:</w:t>
      </w:r>
      <w:r>
        <w:t xml:space="preserve"> </w:t>
      </w:r>
      <m:oMath>
        <m:sSub>
          <m:e>
            <m:r>
              <m:t>p</m:t>
            </m:r>
          </m:e>
          <m:sub>
            <m:r>
              <m:t>s</m:t>
            </m:r>
          </m:sub>
        </m:sSub>
        <m:r>
          <m:rPr>
            <m:sty m:val="p"/>
          </m:rPr>
          <m:t>=</m:t>
        </m:r>
        <m:d>
          <m:dPr>
            <m:begChr m:val="("/>
            <m:endChr m:val=")"/>
            <m:sepChr m:val=""/>
            <m:grow/>
          </m:dPr>
          <m:e>
            <m:f>
              <m:fPr>
                <m:type m:val="noBar"/>
              </m:fPr>
              <m:num>
                <m:r>
                  <m:t>3</m:t>
                </m:r>
              </m:num>
              <m:den>
                <m:r>
                  <m:t>2</m:t>
                </m:r>
              </m:den>
            </m:f>
          </m:e>
        </m:d>
        <m:r>
          <m:rPr>
            <m:sty m:val="p"/>
          </m:rPr>
          <m:t>/</m:t>
        </m:r>
        <m:d>
          <m:dPr>
            <m:begChr m:val="("/>
            <m:endChr m:val=")"/>
            <m:sepChr m:val=""/>
            <m:grow/>
          </m:dPr>
          <m:e>
            <m:f>
              <m:fPr>
                <m:type m:val="noBar"/>
              </m:fPr>
              <m:num>
                <m:r>
                  <m:t>5</m:t>
                </m:r>
              </m:num>
              <m:den>
                <m:r>
                  <m:t>2</m:t>
                </m:r>
              </m:den>
            </m:f>
          </m:e>
        </m:d>
        <m:r>
          <m:rPr>
            <m:sty m:val="p"/>
          </m:rPr>
          <m:t>=</m:t>
        </m:r>
        <m:r>
          <m:t>3</m:t>
        </m:r>
        <m:r>
          <m:rPr>
            <m:sty m:val="p"/>
          </m:rPr>
          <m:t>/</m:t>
        </m:r>
        <m:r>
          <m:t>10</m:t>
        </m:r>
        <m:r>
          <m:rPr>
            <m:sty m:val="p"/>
          </m:rPr>
          <m:t>=</m:t>
        </m:r>
        <m:r>
          <m:t>0.3</m:t>
        </m:r>
      </m:oMath>
      <w:r>
        <w:t xml:space="preserve">.</w:t>
      </w:r>
    </w:p>
    <w:p>
      <w:pPr>
        <w:numPr>
          <w:ilvl w:val="0"/>
          <w:numId w:val="1818"/>
        </w:numPr>
        <w:pStyle w:val="Compact"/>
      </w:pPr>
      <m:oMath>
        <m:r>
          <m:t>k</m:t>
        </m:r>
      </m:oMath>
      <w:r>
        <w:t xml:space="preserve">-staleness for case 1 with</w:t>
      </w:r>
      <w:r>
        <w:t xml:space="preserve"> </w:t>
      </w:r>
      <m:oMath>
        <m:r>
          <m:t>k</m:t>
        </m:r>
        <m:r>
          <m:rPr>
            <m:sty m:val="p"/>
          </m:rPr>
          <m:t>=</m:t>
        </m:r>
        <m:r>
          <m:t>3</m:t>
        </m:r>
      </m:oMath>
      <w:r>
        <w:t xml:space="preserve"> </w:t>
      </w:r>
      <w:r>
        <w:t xml:space="preserve">(the read may miss the last two versions but not three in a row):</w:t>
      </w:r>
      <w:r>
        <w:t xml:space="preserve"> </w:t>
      </w:r>
      <m:oMath>
        <m:sSubSup>
          <m:e>
            <m:r>
              <m:t>p</m:t>
            </m:r>
          </m:e>
          <m:sub>
            <m:r>
              <m:t>s</m:t>
            </m:r>
          </m:sub>
          <m:sup>
            <m:r>
              <m:t>3</m:t>
            </m:r>
          </m:sup>
        </m:sSubSup>
        <m:r>
          <m:rPr>
            <m:sty m:val="p"/>
          </m:rPr>
          <m:t>=</m:t>
        </m:r>
        <m:sSup>
          <m:e>
            <m:d>
              <m:dPr>
                <m:begChr m:val="("/>
                <m:endChr m:val=")"/>
                <m:sepChr m:val=""/>
                <m:grow/>
              </m:dPr>
              <m:e>
                <m:r>
                  <m:t>2</m:t>
                </m:r>
                <m:r>
                  <m:rPr>
                    <m:sty m:val="p"/>
                  </m:rPr>
                  <m:t>/</m:t>
                </m:r>
                <m:r>
                  <m:t>3</m:t>
                </m:r>
              </m:e>
            </m:d>
          </m:e>
          <m:sup>
            <m:r>
              <m:t>3</m:t>
            </m:r>
          </m:sup>
        </m:sSup>
        <m:r>
          <m:rPr>
            <m:sty m:val="p"/>
          </m:rPr>
          <m:t>=</m:t>
        </m:r>
        <m:r>
          <m:t>8</m:t>
        </m:r>
        <m:r>
          <m:rPr>
            <m:sty m:val="p"/>
          </m:rPr>
          <m:t>/</m:t>
        </m:r>
        <m:r>
          <m:t>27</m:t>
        </m:r>
        <m:r>
          <m:rPr>
            <m:sty m:val="p"/>
          </m:rPr>
          <m:t>≈</m:t>
        </m:r>
        <m:r>
          <m:t>0.30</m:t>
        </m:r>
      </m:oMath>
      <w:r>
        <w:t xml:space="preserve">. With a newer write every few milliseconds, a</w:t>
      </w:r>
      <w:r>
        <w:t xml:space="preserve"> </w:t>
      </w:r>
      <m:oMath>
        <m:r>
          <m:t>R</m:t>
        </m:r>
        <m:r>
          <m:rPr>
            <m:sty m:val="p"/>
          </m:rPr>
          <m:t>=</m:t>
        </m:r>
        <m:r>
          <m:t>W</m:t>
        </m:r>
        <m:r>
          <m:rPr>
            <m:sty m:val="p"/>
          </m:rPr>
          <m:t>=</m:t>
        </m:r>
        <m:r>
          <m:t>1</m:t>
        </m:r>
      </m:oMath>
      <w:r>
        <w:t xml:space="preserve"> </w:t>
      </w:r>
      <w:r>
        <w:t xml:space="preserve">read lands on a replica missing three consecutive writes about 30% of the time in this pessimistic model.</w:t>
      </w:r>
    </w:p>
    <w:p>
      <w:pPr>
        <w:pStyle w:val="CalloutExample"/>
      </w:pPr>
      <w:r>
        <w:rPr>
          <w:bCs/>
          <w:b/>
        </w:rPr>
        <w:t xml:space="preserve">Interpretation.</w:t>
      </w:r>
      <w:r>
        <w:t xml:space="preserve"> </w:t>
      </w:r>
      <w:r>
        <w:t xml:space="preserve">The closed form is a worst case: it ignores the fact that the write keeps propagating to the other</w:t>
      </w:r>
      <w:r>
        <w:t xml:space="preserve"> </w:t>
      </w:r>
      <m:oMath>
        <m:r>
          <m:t>N</m:t>
        </m:r>
        <m:r>
          <m:rPr>
            <m:sty m:val="p"/>
          </m:rPr>
          <m:t>−</m:t>
        </m:r>
        <m:r>
          <m:t>W</m:t>
        </m:r>
      </m:oMath>
      <w:r>
        <w:t xml:space="preserve"> </w:t>
      </w:r>
      <w:r>
        <w:t xml:space="preserve">replicas after commit.</w:t>
      </w:r>
      <w:r>
        <w:t xml:space="preserve"> </w:t>
      </w:r>
      <w:r>
        <w:rPr>
          <w:bCs/>
          <w:b/>
        </w:rPr>
        <w:t xml:space="preserve">Engineering implication.</w:t>
      </w:r>
      <w:r>
        <w:t xml:space="preserve"> </w:t>
      </w:r>
      <w:r>
        <w:t xml:space="preserve">To get realistic numbers you must model propagation latency, which is what the Monte Carlo below does. The closed form is still useful for one thing: it shows that partial quorums are stale immediately after commit far more often than intuition suggests.</w:t>
      </w:r>
    </w:p>
    <w:bookmarkEnd w:id="2829"/>
    <w:bookmarkStart w:id="2833" w:name="how-it-works-internally-the-wars-model"/>
    <w:p>
      <w:pPr>
        <w:pStyle w:val="Heading4"/>
      </w:pPr>
      <w:r>
        <w:t xml:space="preserve">How it works internally: the WARS model</w:t>
      </w:r>
    </w:p>
    <w:p>
      <w:pPr>
        <w:pStyle w:val="FirstParagraph"/>
      </w:pPr>
      <w:r>
        <w:t xml:space="preserve">PBS models four latency distributions per replica, which give it its name,</w:t>
      </w:r>
      <w:r>
        <w:t xml:space="preserve"> </w:t>
      </w:r>
      <w:r>
        <w:rPr>
          <w:bCs/>
          <w:b/>
        </w:rPr>
        <w:t xml:space="preserve">WARS</w:t>
      </w:r>
      <w:r>
        <w:t xml:space="preserve">:</w:t>
      </w:r>
      <w:r>
        <w:t xml:space="preserve"> </w:t>
      </w:r>
      <w:r>
        <w:rPr>
          <w:bCs/>
          <w:b/>
        </w:rPr>
        <w:t xml:space="preserve">W</w:t>
      </w:r>
      <w:r>
        <w:t xml:space="preserve"> </w:t>
      </w:r>
      <w:r>
        <w:t xml:space="preserve">(write request reaches the replica and is applied),</w:t>
      </w:r>
      <w:r>
        <w:t xml:space="preserve"> </w:t>
      </w:r>
      <w:r>
        <w:rPr>
          <w:bCs/>
          <w:b/>
        </w:rPr>
        <w:t xml:space="preserve">A</w:t>
      </w:r>
      <w:r>
        <w:t xml:space="preserve"> </w:t>
      </w:r>
      <w:r>
        <w:t xml:space="preserve">(the acknowledgment returns to the coordinator),</w:t>
      </w:r>
      <w:r>
        <w:t xml:space="preserve"> </w:t>
      </w:r>
      <w:r>
        <w:rPr>
          <w:bCs/>
          <w:b/>
        </w:rPr>
        <w:t xml:space="preserve">R</w:t>
      </w:r>
      <w:r>
        <w:t xml:space="preserve"> </w:t>
      </w:r>
      <w:r>
        <w:t xml:space="preserve">(a later read request reaches the replica),</w:t>
      </w:r>
      <w:r>
        <w:t xml:space="preserve"> </w:t>
      </w:r>
      <w:r>
        <w:rPr>
          <w:bCs/>
          <w:b/>
        </w:rPr>
        <w:t xml:space="preserve">S</w:t>
      </w:r>
      <w:r>
        <w:t xml:space="preserve"> </w:t>
      </w:r>
      <w:r>
        <w:t xml:space="preserve">(the replica’s response returns). The write commits when the</w:t>
      </w:r>
      <w:r>
        <w:t xml:space="preserve"> </w:t>
      </w:r>
      <m:oMath>
        <m:r>
          <m:t>W</m:t>
        </m:r>
      </m:oMath>
      <w:r>
        <w:t xml:space="preserve">-th acknowledgment arrives. A read starting</w:t>
      </w:r>
      <w:r>
        <w:t xml:space="preserve"> </w:t>
      </w:r>
      <m:oMath>
        <m:r>
          <m:t>t</m:t>
        </m:r>
      </m:oMath>
      <w:r>
        <w:t xml:space="preserve"> </w:t>
      </w:r>
      <w:r>
        <w:t xml:space="preserve">ms later returns the first</w:t>
      </w:r>
      <w:r>
        <w:t xml:space="preserve"> </w:t>
      </w:r>
      <m:oMath>
        <m:r>
          <m:t>R</m:t>
        </m:r>
      </m:oMath>
      <w:r>
        <w:t xml:space="preserve"> </w:t>
      </w:r>
      <w:r>
        <w:t xml:space="preserve">responses; it is consistent if at least one of those replicas had applied the write before the read request reached it.</w:t>
      </w:r>
    </w:p>
    <w:p>
      <w:pPr>
        <w:pStyle w:val="BodyText"/>
      </w:pPr>
      <w:r>
        <w:rPr>
          <w:bCs/>
          <w:b/>
        </w:rPr>
        <w:t xml:space="preserve">Figure 25.9 — The WARS model of a partial-quorum write and read (N = 3, W = 1, R = 1).</w:t>
      </w:r>
    </w:p>
    <w:p>
      <w:pPr>
        <w:pStyle w:val="BodyText"/>
      </w:pPr>
      <w:r>
        <w:drawing>
          <wp:inline>
            <wp:extent cx="5334000" cy="3333750"/>
            <wp:effectExtent b="0" l="0" r="0" t="0"/>
            <wp:docPr descr="" title="" id="2831" name="Picture"/>
            <a:graphic>
              <a:graphicData uri="http://schemas.openxmlformats.org/drawingml/2006/picture">
                <pic:pic>
                  <pic:nvPicPr>
                    <pic:cNvPr descr="/home/user/System-Design/build/.cache/diagrams/e9c8dd955b18.png" id="2832" name="Picture"/>
                    <pic:cNvPicPr>
                      <a:picLocks noChangeArrowheads="1" noChangeAspect="1"/>
                    </pic:cNvPicPr>
                  </pic:nvPicPr>
                  <pic:blipFill>
                    <a:blip r:embed="rId2830"/>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All messages are asynchronous one-way deliveries with random delays; the coordinator only waits for the first</w:t>
      </w:r>
      <w:r>
        <w:t xml:space="preserve"> </w:t>
      </w:r>
      <m:oMath>
        <m:r>
          <m:t>W</m:t>
        </m:r>
      </m:oMath>
      <w:r>
        <w:t xml:space="preserve"> </w:t>
      </w:r>
      <w:r>
        <w:t xml:space="preserve">acknowledgments and the first</w:t>
      </w:r>
      <w:r>
        <w:t xml:space="preserve"> </w:t>
      </w:r>
      <m:oMath>
        <m:r>
          <m:t>R</m:t>
        </m:r>
      </m:oMath>
      <w:r>
        <w:t xml:space="preserve"> </w:t>
      </w:r>
      <w:r>
        <w:t xml:space="preserve">read responses. The write is applied at A quickly and at B and C later. The read happens to be answered first by B, which had not yet applied v2, so it returns v1. Had the coordinator waited for two responses (</w:t>
      </w:r>
      <m:oMath>
        <m:r>
          <m:t>R</m:t>
        </m:r>
        <m:r>
          <m:rPr>
            <m:sty m:val="p"/>
          </m:rPr>
          <m:t>=</m:t>
        </m:r>
        <m:r>
          <m:t>2</m:t>
        </m:r>
      </m:oMath>
      <w:r>
        <w:t xml:space="preserve">), A’s v2 would have been included and the higher version returned. Staleness depends on the race between write propagation (W) and the read’s arrival (t + R), which is why</w:t>
      </w:r>
      <w:r>
        <w:t xml:space="preserve"> </w:t>
      </w:r>
      <m:oMath>
        <m:r>
          <m:t>t</m:t>
        </m:r>
      </m:oMath>
      <w:r>
        <w:t xml:space="preserve">-visibility improves with</w:t>
      </w:r>
      <w:r>
        <w:t xml:space="preserve"> </w:t>
      </w:r>
      <m:oMath>
        <m:r>
          <m:t>t</m:t>
        </m:r>
      </m:oMath>
      <w:r>
        <w:t xml:space="preserve"> </w:t>
      </w:r>
      <w:r>
        <w:t xml:space="preserve">and with slower reads. Failure points: a replica with a slow disk widens W; scaling the number of replicas without raising</w:t>
      </w:r>
      <w:r>
        <w:t xml:space="preserve"> </w:t>
      </w:r>
      <m:oMath>
        <m:r>
          <m:t>R</m:t>
        </m:r>
      </m:oMath>
      <w:r>
        <w:t xml:space="preserve"> </w:t>
      </w:r>
      <w:r>
        <w:t xml:space="preserve">or</w:t>
      </w:r>
      <w:r>
        <w:t xml:space="preserve"> </w:t>
      </w:r>
      <m:oMath>
        <m:r>
          <m:t>W</m:t>
        </m:r>
      </m:oMath>
      <w:r>
        <w:t xml:space="preserve"> </w:t>
      </w:r>
      <w:r>
        <w:t xml:space="preserve">makes misses more likely.</w:t>
      </w:r>
    </w:p>
    <w:bookmarkEnd w:id="2833"/>
    <w:bookmarkStart w:id="2834" w:name="code-example-34"/>
    <w:p>
      <w:pPr>
        <w:pStyle w:val="Heading4"/>
      </w:pPr>
      <w:r>
        <w:t xml:space="preserve">Code example</w:t>
      </w:r>
    </w:p>
    <w:p>
      <w:pPr>
        <w:pStyle w:val="SourceCode"/>
      </w:pPr>
      <w:r>
        <w:rPr>
          <w:rStyle w:val="CommentTok"/>
        </w:rPr>
        <w:t xml:space="preserve">"""PBS-style Monte Carlo (WARS model, after Bailis et al. 2012): probability</w:t>
      </w:r>
      <w:r>
        <w:br/>
      </w:r>
      <w:r>
        <w:rPr>
          <w:rStyle w:val="CommentTok"/>
        </w:rPr>
        <w:t xml:space="preserve">that a read issued t ms after a write commits returns that write (or newer)."""</w:t>
      </w:r>
      <w:r>
        <w:br/>
      </w:r>
      <w:r>
        <w:rPr>
          <w:rStyle w:val="ImportTok"/>
        </w:rPr>
        <w:t xml:space="preserve">import</w:t>
      </w:r>
      <w:r>
        <w:rPr>
          <w:rStyle w:val="NormalTok"/>
        </w:rPr>
        <w:t xml:space="preserve"> random</w:t>
      </w:r>
      <w:r>
        <w:br/>
      </w:r>
      <w:r>
        <w:rPr>
          <w:rStyle w:val="ImportTok"/>
        </w:rPr>
        <w:t xml:space="preserve">from</w:t>
      </w:r>
      <w:r>
        <w:rPr>
          <w:rStyle w:val="NormalTok"/>
        </w:rPr>
        <w:t xml:space="preserve"> math </w:t>
      </w:r>
      <w:r>
        <w:rPr>
          <w:rStyle w:val="ImportTok"/>
        </w:rPr>
        <w:t xml:space="preserve">import</w:t>
      </w:r>
      <w:r>
        <w:rPr>
          <w:rStyle w:val="NormalTok"/>
        </w:rPr>
        <w:t xml:space="preserve"> comb</w:t>
      </w:r>
      <w:r>
        <w:br/>
      </w:r>
      <w:r>
        <w:br/>
      </w:r>
      <w:r>
        <w:rPr>
          <w:rStyle w:val="KeywordTok"/>
        </w:rPr>
        <w:t xml:space="preserve">def</w:t>
      </w:r>
      <w:r>
        <w:rPr>
          <w:rStyle w:val="NormalTok"/>
        </w:rPr>
        <w:t xml:space="preserve"> one_trial(n, r, w, t, lat):</w:t>
      </w:r>
      <w:r>
        <w:br/>
      </w:r>
      <w:r>
        <w:rPr>
          <w:rStyle w:val="NormalTok"/>
        </w:rPr>
        <w:t xml:space="preserve">    W </w:t>
      </w:r>
      <w:r>
        <w:rPr>
          <w:rStyle w:val="OperatorTok"/>
        </w:rPr>
        <w:t xml:space="preserve">=</w:t>
      </w:r>
      <w:r>
        <w:rPr>
          <w:rStyle w:val="NormalTok"/>
        </w:rPr>
        <w:t xml:space="preserve"> [lat(</w:t>
      </w:r>
      <w:r>
        <w:rPr>
          <w:rStyle w:val="StringTok"/>
        </w:rPr>
        <w:t xml:space="preserve">"W"</w:t>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           </w:t>
      </w:r>
      <w:r>
        <w:rPr>
          <w:rStyle w:val="CommentTok"/>
        </w:rPr>
        <w:t xml:space="preserve"># write reaches replica i</w:t>
      </w:r>
      <w:r>
        <w:br/>
      </w:r>
      <w:r>
        <w:rPr>
          <w:rStyle w:val="NormalTok"/>
        </w:rPr>
        <w:t xml:space="preserve">    A </w:t>
      </w:r>
      <w:r>
        <w:rPr>
          <w:rStyle w:val="OperatorTok"/>
        </w:rPr>
        <w:t xml:space="preserve">=</w:t>
      </w:r>
      <w:r>
        <w:rPr>
          <w:rStyle w:val="NormalTok"/>
        </w:rPr>
        <w:t xml:space="preserve"> [lat(</w:t>
      </w:r>
      <w:r>
        <w:rPr>
          <w:rStyle w:val="StringTok"/>
        </w:rPr>
        <w:t xml:space="preserve">"A"</w:t>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           </w:t>
      </w:r>
      <w:r>
        <w:rPr>
          <w:rStyle w:val="CommentTok"/>
        </w:rPr>
        <w:t xml:space="preserve"># replica i's ack returns</w:t>
      </w:r>
      <w:r>
        <w:br/>
      </w:r>
      <w:r>
        <w:rPr>
          <w:rStyle w:val="NormalTok"/>
        </w:rPr>
        <w:t xml:space="preserve">    commit </w:t>
      </w:r>
      <w:r>
        <w:rPr>
          <w:rStyle w:val="OperatorTok"/>
        </w:rPr>
        <w:t xml:space="preserve">=</w:t>
      </w:r>
      <w:r>
        <w:rPr>
          <w:rStyle w:val="NormalTok"/>
        </w:rPr>
        <w:t xml:space="preserve"> </w:t>
      </w:r>
      <w:r>
        <w:rPr>
          <w:rStyle w:val="BuiltInTok"/>
        </w:rPr>
        <w:t xml:space="preserve">sorted</w:t>
      </w:r>
      <w:r>
        <w:rPr>
          <w:rStyle w:val="NormalTok"/>
        </w:rPr>
        <w:t xml:space="preserve">(W[i] </w:t>
      </w:r>
      <w:r>
        <w:rPr>
          <w:rStyle w:val="OperatorTok"/>
        </w:rPr>
        <w:t xml:space="preserve">+</w:t>
      </w:r>
      <w:r>
        <w:rPr>
          <w:rStyle w:val="NormalTok"/>
        </w:rPr>
        <w:t xml:space="preserve"> A[i]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w-th ack</w:t>
      </w:r>
      <w:r>
        <w:br/>
      </w:r>
      <w:r>
        <w:rPr>
          <w:rStyle w:val="NormalTok"/>
        </w:rPr>
        <w:t xml:space="preserve">    R </w:t>
      </w:r>
      <w:r>
        <w:rPr>
          <w:rStyle w:val="OperatorTok"/>
        </w:rPr>
        <w:t xml:space="preserve">=</w:t>
      </w:r>
      <w:r>
        <w:rPr>
          <w:rStyle w:val="NormalTok"/>
        </w:rPr>
        <w:t xml:space="preserve"> [lat(</w:t>
      </w:r>
      <w:r>
        <w:rPr>
          <w:rStyle w:val="StringTok"/>
        </w:rPr>
        <w:t xml:space="preserve">"R"</w:t>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           </w:t>
      </w:r>
      <w:r>
        <w:rPr>
          <w:rStyle w:val="CommentTok"/>
        </w:rPr>
        <w:t xml:space="preserve"># read request reaches replica i</w:t>
      </w:r>
      <w:r>
        <w:br/>
      </w:r>
      <w:r>
        <w:rPr>
          <w:rStyle w:val="NormalTok"/>
        </w:rPr>
        <w:t xml:space="preserve">    S </w:t>
      </w:r>
      <w:r>
        <w:rPr>
          <w:rStyle w:val="OperatorTok"/>
        </w:rPr>
        <w:t xml:space="preserve">=</w:t>
      </w:r>
      <w:r>
        <w:rPr>
          <w:rStyle w:val="NormalTok"/>
        </w:rPr>
        <w:t xml:space="preserve"> [lat(</w:t>
      </w:r>
      <w:r>
        <w:rPr>
          <w:rStyle w:val="StringTok"/>
        </w:rPr>
        <w:t xml:space="preserve">"S"</w:t>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           </w:t>
      </w:r>
      <w:r>
        <w:rPr>
          <w:rStyle w:val="CommentTok"/>
        </w:rPr>
        <w:t xml:space="preserve"># replica i's response returns</w:t>
      </w:r>
      <w:r>
        <w:br/>
      </w:r>
      <w:r>
        <w:rPr>
          <w:rStyle w:val="NormalTok"/>
        </w:rPr>
        <w:t xml:space="preserve">    first_r </w:t>
      </w:r>
      <w:r>
        <w:rPr>
          <w:rStyle w:val="OperatorTok"/>
        </w:rPr>
        <w:t xml:space="preserve">=</w:t>
      </w:r>
      <w:r>
        <w:rPr>
          <w:rStyle w:val="NormalTok"/>
        </w:rPr>
        <w:t xml:space="preserve"> </w:t>
      </w:r>
      <w:r>
        <w:rPr>
          <w:rStyle w:val="BuiltInTok"/>
        </w:rPr>
        <w:t xml:space="preserve">sorted</w:t>
      </w:r>
      <w:r>
        <w:rPr>
          <w:rStyle w:val="NormalTok"/>
        </w:rPr>
        <w:t xml:space="preserve">(</w:t>
      </w:r>
      <w:r>
        <w:rPr>
          <w:rStyle w:val="BuiltInTok"/>
        </w:rPr>
        <w:t xml:space="preserve">range</w:t>
      </w:r>
      <w:r>
        <w:rPr>
          <w:rStyle w:val="NormalTok"/>
        </w:rPr>
        <w:t xml:space="preserve">(n), key</w:t>
      </w:r>
      <w:r>
        <w:rPr>
          <w:rStyle w:val="OperatorTok"/>
        </w:rPr>
        <w:t xml:space="preserve">=</w:t>
      </w:r>
      <w:r>
        <w:rPr>
          <w:rStyle w:val="KeywordTok"/>
        </w:rPr>
        <w:t xml:space="preserve">lambda</w:t>
      </w:r>
      <w:r>
        <w:rPr>
          <w:rStyle w:val="NormalTok"/>
        </w:rPr>
        <w:t xml:space="preserve"> i: R[i] </w:t>
      </w:r>
      <w:r>
        <w:rPr>
          <w:rStyle w:val="OperatorTok"/>
        </w:rPr>
        <w:t xml:space="preserve">+</w:t>
      </w:r>
      <w:r>
        <w:rPr>
          <w:rStyle w:val="NormalTok"/>
        </w:rPr>
        <w:t xml:space="preserve"> S[i])[:r]</w:t>
      </w:r>
      <w:r>
        <w:br/>
      </w:r>
      <w:r>
        <w:rPr>
          <w:rStyle w:val="NormalTok"/>
        </w:rPr>
        <w:t xml:space="preserve">    </w:t>
      </w:r>
      <w:r>
        <w:rPr>
          <w:rStyle w:val="CommentTok"/>
        </w:rPr>
        <w:t xml:space="preserve"># consistent if some responder already had the write when the read arrived</w:t>
      </w:r>
      <w:r>
        <w:br/>
      </w:r>
      <w:r>
        <w:rPr>
          <w:rStyle w:val="NormalTok"/>
        </w:rPr>
        <w:t xml:space="preserve">    </w:t>
      </w:r>
      <w:r>
        <w:rPr>
          <w:rStyle w:val="ControlFlowTok"/>
        </w:rPr>
        <w:t xml:space="preserve">return</w:t>
      </w:r>
      <w:r>
        <w:rPr>
          <w:rStyle w:val="NormalTok"/>
        </w:rPr>
        <w:t xml:space="preserve"> </w:t>
      </w:r>
      <w:r>
        <w:rPr>
          <w:rStyle w:val="BuiltInTok"/>
        </w:rPr>
        <w:t xml:space="preserve">any</w:t>
      </w:r>
      <w:r>
        <w:rPr>
          <w:rStyle w:val="NormalTok"/>
        </w:rPr>
        <w:t xml:space="preserve">(W[i] </w:t>
      </w:r>
      <w:r>
        <w:rPr>
          <w:rStyle w:val="OperatorTok"/>
        </w:rPr>
        <w:t xml:space="preserve">&lt;=</w:t>
      </w:r>
      <w:r>
        <w:rPr>
          <w:rStyle w:val="NormalTok"/>
        </w:rPr>
        <w:t xml:space="preserve"> commit </w:t>
      </w:r>
      <w:r>
        <w:rPr>
          <w:rStyle w:val="OperatorTok"/>
        </w:rPr>
        <w:t xml:space="preserve">+</w:t>
      </w:r>
      <w:r>
        <w:rPr>
          <w:rStyle w:val="NormalTok"/>
        </w:rPr>
        <w:t xml:space="preserve"> t </w:t>
      </w:r>
      <w:r>
        <w:rPr>
          <w:rStyle w:val="OperatorTok"/>
        </w:rPr>
        <w:t xml:space="preserve">+</w:t>
      </w:r>
      <w:r>
        <w:rPr>
          <w:rStyle w:val="NormalTok"/>
        </w:rPr>
        <w:t xml:space="preserve"> R[i] </w:t>
      </w:r>
      <w:r>
        <w:rPr>
          <w:rStyle w:val="ControlFlowTok"/>
        </w:rPr>
        <w:t xml:space="preserve">for</w:t>
      </w:r>
      <w:r>
        <w:rPr>
          <w:rStyle w:val="NormalTok"/>
        </w:rPr>
        <w:t xml:space="preserve"> i </w:t>
      </w:r>
      <w:r>
        <w:rPr>
          <w:rStyle w:val="KeywordTok"/>
        </w:rPr>
        <w:t xml:space="preserve">in</w:t>
      </w:r>
      <w:r>
        <w:rPr>
          <w:rStyle w:val="NormalTok"/>
        </w:rPr>
        <w:t xml:space="preserve"> first_r)</w:t>
      </w:r>
      <w:r>
        <w:br/>
      </w:r>
      <w:r>
        <w:br/>
      </w:r>
      <w:r>
        <w:rPr>
          <w:rStyle w:val="KeywordTok"/>
        </w:rPr>
        <w:t xml:space="preserve">def</w:t>
      </w:r>
      <w:r>
        <w:rPr>
          <w:rStyle w:val="NormalTok"/>
        </w:rPr>
        <w:t xml:space="preserve"> lat(kind, rng</w:t>
      </w:r>
      <w:r>
        <w:rPr>
          <w:rStyle w:val="OperatorTok"/>
        </w:rPr>
        <w:t xml:space="preserve">=</w:t>
      </w:r>
      <w:r>
        <w:rPr>
          <w:rStyle w:val="NormalTok"/>
        </w:rPr>
        <w:t xml:space="preserve">random.Random(</w:t>
      </w:r>
      <w:r>
        <w:rPr>
          <w:rStyle w:val="DecValTok"/>
        </w:rPr>
        <w:t xml:space="preserve">7</w:t>
      </w:r>
      <w:r>
        <w:rPr>
          <w:rStyle w:val="NormalTok"/>
        </w:rPr>
        <w:t xml:space="preserve">)):</w:t>
      </w:r>
      <w:r>
        <w:br/>
      </w:r>
      <w:r>
        <w:rPr>
          <w:rStyle w:val="NormalTok"/>
        </w:rPr>
        <w:t xml:space="preserve">    </w:t>
      </w:r>
      <w:r>
        <w:rPr>
          <w:rStyle w:val="ControlFlowTok"/>
        </w:rPr>
        <w:t xml:space="preserve">if</w:t>
      </w:r>
      <w:r>
        <w:rPr>
          <w:rStyle w:val="NormalTok"/>
        </w:rPr>
        <w:t xml:space="preserve"> kind </w:t>
      </w:r>
      <w:r>
        <w:rPr>
          <w:rStyle w:val="OperatorTok"/>
        </w:rPr>
        <w:t xml:space="preserve">==</w:t>
      </w:r>
      <w:r>
        <w:rPr>
          <w:rStyle w:val="NormalTok"/>
        </w:rPr>
        <w:t xml:space="preserve"> </w:t>
      </w:r>
      <w:r>
        <w:rPr>
          <w:rStyle w:val="StringTok"/>
        </w:rPr>
        <w:t xml:space="preserve">"W"</w:t>
      </w:r>
      <w:r>
        <w:rPr>
          <w:rStyle w:val="NormalTok"/>
        </w:rPr>
        <w:t xml:space="preserve">:                            </w:t>
      </w:r>
      <w:r>
        <w:rPr>
          <w:rStyle w:val="CommentTok"/>
        </w:rPr>
        <w:t xml:space="preserve"># propagate + apply: slow tail</w:t>
      </w:r>
      <w:r>
        <w:br/>
      </w:r>
      <w:r>
        <w:rPr>
          <w:rStyle w:val="NormalTok"/>
        </w:rPr>
        <w:t xml:space="preserve">        </w:t>
      </w:r>
      <w:r>
        <w:rPr>
          <w:rStyle w:val="ControlFlowTok"/>
        </w:rPr>
        <w:t xml:space="preserve">return</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rng.expovariate(</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4.0</w:t>
      </w:r>
      <w:r>
        <w:rPr>
          <w:rStyle w:val="NormalTok"/>
        </w:rPr>
        <w:t xml:space="preserve">)  </w:t>
      </w:r>
      <w:r>
        <w:rPr>
          <w:rStyle w:val="CommentTok"/>
        </w:rPr>
        <w:t xml:space="preserve"># mean 5 ms</w:t>
      </w:r>
      <w:r>
        <w:br/>
      </w:r>
      <w:r>
        <w:rPr>
          <w:rStyle w:val="NormalTok"/>
        </w:rPr>
        <w:t xml:space="preserve">    </w:t>
      </w:r>
      <w:r>
        <w:rPr>
          <w:rStyle w:val="ControlFlowTok"/>
        </w:rPr>
        <w:t xml:space="preserve">return</w:t>
      </w:r>
      <w:r>
        <w:rPr>
          <w:rStyle w:val="NormalTok"/>
        </w:rPr>
        <w:t xml:space="preserve"> </w:t>
      </w:r>
      <w:r>
        <w:rPr>
          <w:rStyle w:val="FloatTok"/>
        </w:rPr>
        <w:t xml:space="preserve">0.25</w:t>
      </w:r>
      <w:r>
        <w:rPr>
          <w:rStyle w:val="NormalTok"/>
        </w:rPr>
        <w:t xml:space="preserve"> </w:t>
      </w:r>
      <w:r>
        <w:rPr>
          <w:rStyle w:val="OperatorTok"/>
        </w:rPr>
        <w:t xml:space="preserve">+</w:t>
      </w:r>
      <w:r>
        <w:rPr>
          <w:rStyle w:val="NormalTok"/>
        </w:rPr>
        <w:t xml:space="preserve"> rng.expovariate(</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CommentTok"/>
        </w:rPr>
        <w:t xml:space="preserve"># A, R, S: mean 0.75 ms</w:t>
      </w:r>
      <w:r>
        <w:br/>
      </w:r>
      <w:r>
        <w:br/>
      </w:r>
      <w:r>
        <w:rPr>
          <w:rStyle w:val="KeywordTok"/>
        </w:rPr>
        <w:t xml:space="preserve">def</w:t>
      </w:r>
      <w:r>
        <w:rPr>
          <w:rStyle w:val="NormalTok"/>
        </w:rPr>
        <w:t xml:space="preserve"> p_consistent(n, r, w, t, trials</w:t>
      </w:r>
      <w:r>
        <w:rPr>
          <w:rStyle w:val="OperatorTok"/>
        </w:rPr>
        <w:t xml:space="preserve">=</w:t>
      </w:r>
      <w:r>
        <w:rPr>
          <w:rStyle w:val="DecValTok"/>
        </w:rPr>
        <w:t xml:space="preserve">100_000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(one_trial(n, r, w, t, lat)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(trials)) </w:t>
      </w:r>
      <w:r>
        <w:rPr>
          <w:rStyle w:val="OperatorTok"/>
        </w:rPr>
        <w:t xml:space="preserve">/</w:t>
      </w:r>
      <w:r>
        <w:rPr>
          <w:rStyle w:val="NormalTok"/>
        </w:rPr>
        <w:t xml:space="preserve"> trials</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n </w:t>
      </w:r>
      <w:r>
        <w:rPr>
          <w:rStyle w:val="OperatorTok"/>
        </w:rPr>
        <w:t xml:space="preserve">=</w:t>
      </w:r>
      <w:r>
        <w:rPr>
          <w:rStyle w:val="NormalTok"/>
        </w:rPr>
        <w:t xml:space="preserve"> </w:t>
      </w:r>
      <w:r>
        <w:rPr>
          <w:rStyle w:val="DecValTok"/>
        </w:rPr>
        <w:t xml:space="preserve">3</w:t>
      </w:r>
      <w:r>
        <w:br/>
      </w:r>
      <w:r>
        <w:rPr>
          <w:rStyle w:val="NormalTok"/>
        </w:rPr>
        <w:t xml:space="preserve">    </w:t>
      </w:r>
      <w:r>
        <w:rPr>
          <w:rStyle w:val="BuiltInTok"/>
        </w:rPr>
        <w:t xml:space="preserve">print</w:t>
      </w:r>
      <w:r>
        <w:rPr>
          <w:rStyle w:val="NormalTok"/>
        </w:rPr>
        <w:t xml:space="preserve">(</w:t>
      </w:r>
      <w:r>
        <w:rPr>
          <w:rStyle w:val="StringTok"/>
        </w:rPr>
        <w:t xml:space="preserve">"closed form, no propagation after commit: P(stale) = C(N-W,R)/C(N,R)"</w:t>
      </w:r>
      <w:r>
        <w:rPr>
          <w:rStyle w:val="NormalTok"/>
        </w:rPr>
        <w:t xml:space="preserve">)</w:t>
      </w:r>
      <w:r>
        <w:br/>
      </w:r>
      <w:r>
        <w:rPr>
          <w:rStyle w:val="NormalTok"/>
        </w:rPr>
        <w:t xml:space="preserve">    </w:t>
      </w:r>
      <w:r>
        <w:rPr>
          <w:rStyle w:val="ControlFlowTok"/>
        </w:rPr>
        <w:t xml:space="preserve">for</w:t>
      </w:r>
      <w:r>
        <w:rPr>
          <w:rStyle w:val="NormalTok"/>
        </w:rPr>
        <w:t xml:space="preserve"> r, w </w:t>
      </w:r>
      <w:r>
        <w:rPr>
          <w:rStyle w:val="KeywordTok"/>
        </w:rPr>
        <w:t xml:space="preserve">in</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N=</w:t>
      </w:r>
      <w:r>
        <w:rPr>
          <w:rStyle w:val="SpecialCharTok"/>
        </w:rPr>
        <w:t xml:space="preserve">{</w:t>
      </w:r>
      <w:r>
        <w:rPr>
          <w:rStyle w:val="NormalTok"/>
        </w:rPr>
        <w:t xml:space="preserve">n</w:t>
      </w:r>
      <w:r>
        <w:rPr>
          <w:rStyle w:val="SpecialCharTok"/>
        </w:rPr>
        <w:t xml:space="preserve">}</w:t>
      </w:r>
      <w:r>
        <w:rPr>
          <w:rStyle w:val="SpecialStringTok"/>
        </w:rPr>
        <w:t xml:space="preserve"> R=</w:t>
      </w:r>
      <w:r>
        <w:rPr>
          <w:rStyle w:val="SpecialCharTok"/>
        </w:rPr>
        <w:t xml:space="preserve">{</w:t>
      </w:r>
      <w:r>
        <w:rPr>
          <w:rStyle w:val="NormalTok"/>
        </w:rPr>
        <w:t xml:space="preserve">r</w:t>
      </w:r>
      <w:r>
        <w:rPr>
          <w:rStyle w:val="SpecialCharTok"/>
        </w:rPr>
        <w:t xml:space="preserve">}</w:t>
      </w:r>
      <w:r>
        <w:rPr>
          <w:rStyle w:val="SpecialStringTok"/>
        </w:rPr>
        <w:t xml:space="preserve"> W=</w:t>
      </w:r>
      <w:r>
        <w:rPr>
          <w:rStyle w:val="SpecialCharTok"/>
        </w:rPr>
        <w:t xml:space="preserve">{</w:t>
      </w:r>
      <w:r>
        <w:rPr>
          <w:rStyle w:val="NormalTok"/>
        </w:rPr>
        <w:t xml:space="preserve">w</w:t>
      </w:r>
      <w:r>
        <w:rPr>
          <w:rStyle w:val="SpecialCharTok"/>
        </w:rPr>
        <w:t xml:space="preserve">}</w:t>
      </w:r>
      <w:r>
        <w:rPr>
          <w:rStyle w:val="SpecialStringTok"/>
        </w:rPr>
        <w:t xml:space="preserve">: </w:t>
      </w:r>
      <w:r>
        <w:rPr>
          <w:rStyle w:val="SpecialCharTok"/>
        </w:rPr>
        <w:t xml:space="preserve">{</w:t>
      </w:r>
      <w:r>
        <w:rPr>
          <w:rStyle w:val="NormalTok"/>
        </w:rPr>
        <w:t xml:space="preserve">comb(n </w:t>
      </w:r>
      <w:r>
        <w:rPr>
          <w:rStyle w:val="OperatorTok"/>
        </w:rPr>
        <w:t xml:space="preserve">-</w:t>
      </w:r>
      <w:r>
        <w:rPr>
          <w:rStyle w:val="NormalTok"/>
        </w:rPr>
        <w:t xml:space="preserve"> w, r) </w:t>
      </w:r>
      <w:r>
        <w:rPr>
          <w:rStyle w:val="OperatorTok"/>
        </w:rPr>
        <w:t xml:space="preserve">/</w:t>
      </w:r>
      <w:r>
        <w:rPr>
          <w:rStyle w:val="NormalTok"/>
        </w:rPr>
        <w:t xml:space="preserve"> comb(n, r)</w:t>
      </w:r>
      <w:r>
        <w:rPr>
          <w:rStyle w:val="SpecialCharTok"/>
        </w:rPr>
        <w:t xml:space="preserve">:.3f}</w:t>
      </w:r>
      <w:r>
        <w:rPr>
          <w:rStyle w:val="SpecialStringTok"/>
        </w:rPr>
        <w:t xml:space="preserve">"</w:t>
      </w:r>
      <w:r>
        <w:rPr>
          <w:rStyle w:val="NormalTok"/>
        </w:rPr>
        <w:t xml:space="preserve">)</w:t>
      </w:r>
      <w:r>
        <w:br/>
      </w:r>
      <w:r>
        <w:rPr>
          <w:rStyle w:val="NormalTok"/>
        </w:rPr>
        <w:t xml:space="preserve">    ts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5</w:t>
      </w:r>
      <w:r>
        <w:rPr>
          <w:rStyle w:val="NormalTok"/>
        </w:rPr>
        <w:t xml:space="preserve">, </w:t>
      </w:r>
      <w:r>
        <w:rPr>
          <w:rStyle w:val="DecValTok"/>
        </w:rPr>
        <w:t xml:space="preserve">10</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Monte Carlo P(consistent read) by delay t after commit (ms)"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"R W  "</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.join(</w:t>
      </w:r>
      <w:r>
        <w:rPr>
          <w:rStyle w:val="SpecialStringTok"/>
        </w:rPr>
        <w:t xml:space="preserve">f"</w:t>
      </w:r>
      <w:r>
        <w:rPr>
          <w:rStyle w:val="SpecialCharTok"/>
        </w:rPr>
        <w:t xml:space="preserve">{</w:t>
      </w:r>
      <w:r>
        <w:rPr>
          <w:rStyle w:val="NormalTok"/>
        </w:rPr>
        <w:t xml:space="preserve">t</w:t>
      </w:r>
      <w:r>
        <w:rPr>
          <w:rStyle w:val="SpecialCharTok"/>
        </w:rPr>
        <w:t xml:space="preserve">:&gt;8}</w:t>
      </w:r>
      <w:r>
        <w:rPr>
          <w:rStyle w:val="SpecialStringTok"/>
        </w:rPr>
        <w:t xml:space="preserve">"</w:t>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ts))</w:t>
      </w:r>
      <w:r>
        <w:br/>
      </w:r>
      <w:r>
        <w:rPr>
          <w:rStyle w:val="NormalTok"/>
        </w:rPr>
        <w:t xml:space="preserve">    </w:t>
      </w:r>
      <w:r>
        <w:rPr>
          <w:rStyle w:val="ControlFlowTok"/>
        </w:rPr>
        <w:t xml:space="preserve">for</w:t>
      </w:r>
      <w:r>
        <w:rPr>
          <w:rStyle w:val="NormalTok"/>
        </w:rPr>
        <w:t xml:space="preserve"> r, w </w:t>
      </w:r>
      <w:r>
        <w:rPr>
          <w:rStyle w:val="KeywordTok"/>
        </w:rPr>
        <w:t xml:space="preserve">in</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        row </w:t>
      </w:r>
      <w:r>
        <w:rPr>
          <w:rStyle w:val="OperatorTok"/>
        </w:rPr>
        <w:t xml:space="preserve">=</w:t>
      </w:r>
      <w:r>
        <w:rPr>
          <w:rStyle w:val="NormalTok"/>
        </w:rPr>
        <w:t xml:space="preserve"> [p_consistent(n, r, w, t) </w:t>
      </w:r>
      <w:r>
        <w:rPr>
          <w:rStyle w:val="ControlFlowTok"/>
        </w:rPr>
        <w:t xml:space="preserve">for</w:t>
      </w:r>
      <w:r>
        <w:rPr>
          <w:rStyle w:val="NormalTok"/>
        </w:rPr>
        <w:t xml:space="preserve"> t </w:t>
      </w:r>
      <w:r>
        <w:rPr>
          <w:rStyle w:val="KeywordTok"/>
        </w:rPr>
        <w:t xml:space="preserve">in</w:t>
      </w:r>
      <w:r>
        <w:rPr>
          <w:rStyle w:val="NormalTok"/>
        </w:rPr>
        <w:t xml:space="preserve"> ts]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r</w:t>
      </w:r>
      <w:r>
        <w:rPr>
          <w:rStyle w:val="SpecialCharTok"/>
        </w:rPr>
        <w:t xml:space="preserve">}</w:t>
      </w:r>
      <w:r>
        <w:rPr>
          <w:rStyle w:val="SpecialStringTok"/>
        </w:rPr>
        <w:t xml:space="preserve"> </w:t>
      </w:r>
      <w:r>
        <w:rPr>
          <w:rStyle w:val="SpecialCharTok"/>
        </w:rPr>
        <w:t xml:space="preserve">{</w:t>
      </w:r>
      <w:r>
        <w:rPr>
          <w:rStyle w:val="NormalTok"/>
        </w:rPr>
        <w:t xml:space="preserve">w</w:t>
      </w:r>
      <w:r>
        <w:rPr>
          <w:rStyle w:val="SpecialCharTok"/>
        </w:rPr>
        <w:t xml:space="preserve">}</w:t>
      </w:r>
      <w:r>
        <w:rPr>
          <w:rStyle w:val="SpecialStringTok"/>
        </w:rPr>
        <w:t xml:space="preserve">  "</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.join(</w:t>
      </w:r>
      <w:r>
        <w:rPr>
          <w:rStyle w:val="SpecialStringTok"/>
        </w:rPr>
        <w:t xml:space="preserve">f"</w:t>
      </w:r>
      <w:r>
        <w:rPr>
          <w:rStyle w:val="SpecialCharTok"/>
        </w:rPr>
        <w:t xml:space="preserve">{</w:t>
      </w:r>
      <w:r>
        <w:rPr>
          <w:rStyle w:val="NormalTok"/>
        </w:rPr>
        <w:t xml:space="preserve">p</w:t>
      </w:r>
      <w:r>
        <w:rPr>
          <w:rStyle w:val="SpecialCharTok"/>
        </w:rPr>
        <w:t xml:space="preserve">:8.4f}</w:t>
      </w:r>
      <w:r>
        <w:rPr>
          <w:rStyle w:val="SpecialStringTok"/>
        </w:rPr>
        <w:t xml:space="preserve">"</w:t>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row))</w:t>
      </w:r>
    </w:p>
    <w:p>
      <w:pPr>
        <w:pStyle w:val="FirstParagraph"/>
      </w:pPr>
      <w:r>
        <w:t xml:space="preserve">Output (about 10 seconds; the seed makes it reproducible):</w:t>
      </w:r>
    </w:p>
    <w:p>
      <w:pPr>
        <w:pStyle w:val="SourceCode"/>
      </w:pPr>
      <w:r>
        <w:rPr>
          <w:rStyle w:val="VerbatimChar"/>
        </w:rPr>
        <w:t xml:space="preserve">closed form, no propagation after commit: P(stale) = C(N-W,R)/C(N,R)</w:t>
      </w:r>
      <w:r>
        <w:br/>
      </w:r>
      <w:r>
        <w:rPr>
          <w:rStyle w:val="VerbatimChar"/>
        </w:rPr>
        <w:t xml:space="preserve">  N=3 R=1 W=1: 0.667</w:t>
      </w:r>
      <w:r>
        <w:br/>
      </w:r>
      <w:r>
        <w:rPr>
          <w:rStyle w:val="VerbatimChar"/>
        </w:rPr>
        <w:t xml:space="preserve">  N=3 R=1 W=2: 0.333</w:t>
      </w:r>
      <w:r>
        <w:br/>
      </w:r>
      <w:r>
        <w:rPr>
          <w:rStyle w:val="VerbatimChar"/>
        </w:rPr>
        <w:t xml:space="preserve">  N=3 R=2 W=1: 0.333</w:t>
      </w:r>
      <w:r>
        <w:br/>
      </w:r>
      <w:r>
        <w:rPr>
          <w:rStyle w:val="VerbatimChar"/>
        </w:rPr>
        <w:t xml:space="preserve">  N=3 R=2 W=2: 0.000</w:t>
      </w:r>
      <w:r>
        <w:br/>
      </w:r>
      <w:r>
        <w:br/>
      </w:r>
      <w:r>
        <w:rPr>
          <w:rStyle w:val="VerbatimChar"/>
        </w:rPr>
        <w:t xml:space="preserve">Monte Carlo P(consistent read) by delay t after commit (ms)</w:t>
      </w:r>
      <w:r>
        <w:br/>
      </w:r>
      <w:r>
        <w:rPr>
          <w:rStyle w:val="VerbatimChar"/>
        </w:rPr>
        <w:t xml:space="preserve">R W         0       1       2       5      10      20</w:t>
      </w:r>
      <w:r>
        <w:br/>
      </w:r>
      <w:r>
        <w:rPr>
          <w:rStyle w:val="VerbatimChar"/>
        </w:rPr>
        <w:t xml:space="preserve">1 1    0.5000  0.6100  0.6975  0.8579  0.9600  0.9964</w:t>
      </w:r>
      <w:r>
        <w:br/>
      </w:r>
      <w:r>
        <w:rPr>
          <w:rStyle w:val="VerbatimChar"/>
        </w:rPr>
        <w:t xml:space="preserve">1 2    0.7568  0.8089  0.8514  0.9299  0.9792  0.9985</w:t>
      </w:r>
      <w:r>
        <w:br/>
      </w:r>
      <w:r>
        <w:rPr>
          <w:rStyle w:val="VerbatimChar"/>
        </w:rPr>
        <w:t xml:space="preserve">2 1    0.8253  0.8928  0.9354  0.9853  0.9989  1.0000</w:t>
      </w:r>
      <w:r>
        <w:br/>
      </w:r>
      <w:r>
        <w:rPr>
          <w:rStyle w:val="VerbatimChar"/>
        </w:rPr>
        <w:t xml:space="preserve">2 2    1.0000  1.0000  1.0000  1.0000  1.0000  1.0000</w:t>
      </w:r>
    </w:p>
    <w:p>
      <w:pPr>
        <w:pStyle w:val="FirstParagraph"/>
      </w:pPr>
      <w:r>
        <w:t xml:space="preserve">What to notice:</w:t>
      </w:r>
    </w:p>
    <w:p>
      <w:pPr>
        <w:numPr>
          <w:ilvl w:val="0"/>
          <w:numId w:val="1819"/>
        </w:numPr>
        <w:pStyle w:val="Compact"/>
      </w:pPr>
      <w:r>
        <w:t xml:space="preserve">The latency distributions are</w:t>
      </w:r>
      <w:r>
        <w:t xml:space="preserve"> </w:t>
      </w:r>
      <w:r>
        <w:rPr>
          <w:bCs/>
          <w:b/>
        </w:rPr>
        <w:t xml:space="preserve">illustrative</w:t>
      </w:r>
      <w:r>
        <w:t xml:space="preserve">, not measurements: write application has a 1 ms floor plus an exponential tail with a 4 ms mean, network legs 0.25 ms plus a 0.5 ms exponential. Bailis et al. fitted distributions from production traces; with your own system, replace</w:t>
      </w:r>
      <w:r>
        <w:t xml:space="preserve"> </w:t>
      </w:r>
      <w:r>
        <w:rPr>
          <w:rStyle w:val="VerbatimChar"/>
        </w:rPr>
        <w:t xml:space="preserve">lat</w:t>
      </w:r>
      <w:r>
        <w:t xml:space="preserve"> </w:t>
      </w:r>
      <w:r>
        <w:t xml:space="preserve">with samples from your latency histograms.</w:t>
      </w:r>
    </w:p>
    <w:p>
      <w:pPr>
        <w:numPr>
          <w:ilvl w:val="0"/>
          <w:numId w:val="1819"/>
        </w:numPr>
        <w:pStyle w:val="Compact"/>
      </w:pPr>
      <w:r>
        <w:t xml:space="preserve">At</w:t>
      </w:r>
      <w:r>
        <w:t xml:space="preserve"> </w:t>
      </w:r>
      <m:oMath>
        <m:r>
          <m:t>t</m:t>
        </m:r>
        <m:r>
          <m:rPr>
            <m:sty m:val="p"/>
          </m:rPr>
          <m:t>=</m:t>
        </m:r>
        <m:r>
          <m:t>0</m:t>
        </m:r>
      </m:oMath>
      <w:r>
        <w:t xml:space="preserve">,</w:t>
      </w:r>
      <w:r>
        <w:t xml:space="preserve"> </w:t>
      </w:r>
      <m:oMath>
        <m:r>
          <m:t>R</m:t>
        </m:r>
        <m:r>
          <m:rPr>
            <m:sty m:val="p"/>
          </m:rPr>
          <m:t>=</m:t>
        </m:r>
        <m:r>
          <m:t>W</m:t>
        </m:r>
        <m:r>
          <m:rPr>
            <m:sty m:val="p"/>
          </m:rPr>
          <m:t>=</m:t>
        </m:r>
        <m:r>
          <m:t>1</m:t>
        </m:r>
      </m:oMath>
      <w:r>
        <w:t xml:space="preserve"> </w:t>
      </w:r>
      <w:r>
        <w:t xml:space="preserve">is consistent 50% of the time, better than the closed form’s</w:t>
      </w:r>
      <w:r>
        <w:t xml:space="preserve"> </w:t>
      </w:r>
      <m:oMath>
        <m:r>
          <m:t>1</m:t>
        </m:r>
        <m:r>
          <m:rPr>
            <m:sty m:val="p"/>
          </m:rPr>
          <m:t>−</m:t>
        </m:r>
        <m:r>
          <m:t>2</m:t>
        </m:r>
        <m:r>
          <m:rPr>
            <m:sty m:val="p"/>
          </m:rPr>
          <m:t>/</m:t>
        </m:r>
        <m:r>
          <m:t>3</m:t>
        </m:r>
        <m:r>
          <m:rPr>
            <m:sty m:val="p"/>
          </m:rPr>
          <m:t>=</m:t>
        </m:r>
        <m:r>
          <m:t>33</m:t>
        </m:r>
        <m:r>
          <m:rPr>
            <m:sty m:val="p"/>
          </m:rPr>
          <m:t>%</m:t>
        </m:r>
      </m:oMath>
      <w:r>
        <w:t xml:space="preserve">, because propagation continues while the read is in flight.</w:t>
      </w:r>
    </w:p>
    <w:p>
      <w:pPr>
        <w:numPr>
          <w:ilvl w:val="0"/>
          <w:numId w:val="1819"/>
        </w:numPr>
        <w:pStyle w:val="Compact"/>
      </w:pPr>
      <m:oMath>
        <m:r>
          <m:t>R</m:t>
        </m:r>
        <m:r>
          <m:rPr>
            <m:sty m:val="p"/>
          </m:rPr>
          <m:t>=</m:t>
        </m:r>
        <m:r>
          <m:t>2</m:t>
        </m:r>
        <m:r>
          <m:rPr>
            <m:sty m:val="p"/>
          </m:rPr>
          <m:t>,</m:t>
        </m:r>
        <m:r>
          <m:t>W</m:t>
        </m:r>
        <m:r>
          <m:rPr>
            <m:sty m:val="p"/>
          </m:rPr>
          <m:t>=</m:t>
        </m:r>
        <m:r>
          <m:t>1</m:t>
        </m:r>
      </m:oMath>
      <w:r>
        <w:t xml:space="preserve"> </w:t>
      </w:r>
      <w:r>
        <w:t xml:space="preserve">beats</w:t>
      </w:r>
      <w:r>
        <w:t xml:space="preserve"> </w:t>
      </w:r>
      <m:oMath>
        <m:r>
          <m:t>R</m:t>
        </m:r>
        <m:r>
          <m:rPr>
            <m:sty m:val="p"/>
          </m:rPr>
          <m:t>=</m:t>
        </m:r>
        <m:r>
          <m:t>1</m:t>
        </m:r>
        <m:r>
          <m:rPr>
            <m:sty m:val="p"/>
          </m:rPr>
          <m:t>,</m:t>
        </m:r>
        <m:r>
          <m:t>W</m:t>
        </m:r>
        <m:r>
          <m:rPr>
            <m:sty m:val="p"/>
          </m:rPr>
          <m:t>=</m:t>
        </m:r>
        <m:r>
          <m:t>2</m:t>
        </m:r>
      </m:oMath>
      <w:r>
        <w:t xml:space="preserve"> </w:t>
      </w:r>
      <w:r>
        <w:t xml:space="preserve">at every</w:t>
      </w:r>
      <w:r>
        <w:t xml:space="preserve"> </w:t>
      </w:r>
      <m:oMath>
        <m:r>
          <m:t>t</m:t>
        </m:r>
      </m:oMath>
      <w:r>
        <w:t xml:space="preserve"> </w:t>
      </w:r>
      <w:r>
        <w:t xml:space="preserve">here even though both have</w:t>
      </w:r>
      <w:r>
        <w:t xml:space="preserve"> </w:t>
      </w:r>
      <m:oMath>
        <m:r>
          <m:t>R</m:t>
        </m:r>
        <m:r>
          <m:rPr>
            <m:sty m:val="p"/>
          </m:rPr>
          <m:t>+</m:t>
        </m:r>
        <m:r>
          <m:t>W</m:t>
        </m:r>
        <m:r>
          <m:rPr>
            <m:sty m:val="p"/>
          </m:rPr>
          <m:t>=</m:t>
        </m:r>
        <m:r>
          <m:t>3</m:t>
        </m:r>
      </m:oMath>
      <w:r>
        <w:t xml:space="preserve">: waiting for two read responses samples more replicas</w:t>
      </w:r>
      <w:r>
        <w:t xml:space="preserve"> </w:t>
      </w:r>
      <w:r>
        <w:rPr>
          <w:iCs/>
          <w:i/>
        </w:rPr>
        <w:t xml:space="preserve">after</w:t>
      </w:r>
      <w:r>
        <w:t xml:space="preserve"> </w:t>
      </w:r>
      <w:r>
        <w:t xml:space="preserve">propagation has progressed. Which is better depends on whether reads or writes dominate your latency budget.</w:t>
      </w:r>
    </w:p>
    <w:p>
      <w:pPr>
        <w:pStyle w:val="CalloutExample"/>
      </w:pPr>
      <w:r>
        <w:rPr>
          <w:bCs/>
          <w:b/>
        </w:rPr>
        <w:t xml:space="preserve">WORKED EXAMPLE</w:t>
      </w:r>
    </w:p>
    <w:p>
      <w:pPr>
        <w:pStyle w:val="CalloutExample"/>
      </w:pPr>
      <w:r>
        <w:rPr>
          <w:bCs/>
          <w:b/>
        </w:rPr>
        <w:t xml:space="preserve">Worked example — Reading the simulation as an SLO.</w:t>
      </w:r>
      <w:r>
        <w:t xml:space="preserve"> </w:t>
      </w:r>
      <w:r>
        <w:t xml:space="preserve">A product team accepts that a profile edit may be invisible to</w:t>
      </w:r>
      <w:r>
        <w:t xml:space="preserve"> </w:t>
      </w:r>
      <w:r>
        <w:rPr>
          <w:iCs/>
          <w:i/>
        </w:rPr>
        <w:t xml:space="preserve">other</w:t>
      </w:r>
      <w:r>
        <w:t xml:space="preserve"> </w:t>
      </w:r>
      <w:r>
        <w:t xml:space="preserve">users for a short while, but wants at least 99% of reads issued 10 ms or more after a write to be fresh. With</w:t>
      </w:r>
      <w:r>
        <w:t xml:space="preserve"> </w:t>
      </w:r>
      <m:oMath>
        <m:r>
          <m:t>N</m:t>
        </m:r>
        <m:r>
          <m:rPr>
            <m:sty m:val="p"/>
          </m:rPr>
          <m:t>=</m:t>
        </m:r>
        <m:r>
          <m:t>3</m:t>
        </m:r>
      </m:oMath>
      <w:r>
        <w:t xml:space="preserve">:</w:t>
      </w:r>
    </w:p>
    <w:p>
      <w:pPr>
        <w:numPr>
          <w:ilvl w:val="0"/>
          <w:numId w:val="1820"/>
        </w:numPr>
        <w:pStyle w:val="Compact"/>
      </w:pPr>
      <w:r>
        <w:t xml:space="preserve">From the table, at</w:t>
      </w:r>
      <w:r>
        <w:t xml:space="preserve"> </w:t>
      </w:r>
      <m:oMath>
        <m:r>
          <m:t>t</m:t>
        </m:r>
        <m:r>
          <m:rPr>
            <m:sty m:val="p"/>
          </m:rPr>
          <m:t>=</m:t>
        </m:r>
        <m:r>
          <m:t>10</m:t>
        </m:r>
      </m:oMath>
      <w:r>
        <w:t xml:space="preserve"> </w:t>
      </w:r>
      <w:r>
        <w:t xml:space="preserve">ms:</w:t>
      </w:r>
      <w:r>
        <w:t xml:space="preserve"> </w:t>
      </w:r>
      <m:oMath>
        <m:d>
          <m:dPr>
            <m:begChr m:val="("/>
            <m:endChr m:val=")"/>
            <m:sepChr m:val=""/>
            <m:grow/>
          </m:dPr>
          <m:e>
            <m:r>
              <m:t>R</m:t>
            </m:r>
            <m:r>
              <m:rPr>
                <m:sty m:val="p"/>
              </m:rPr>
              <m:t>,</m:t>
            </m:r>
            <m:r>
              <m:t>W</m:t>
            </m:r>
          </m:e>
        </m:d>
        <m:r>
          <m:rPr>
            <m:sty m:val="p"/>
          </m:rPr>
          <m:t>=</m:t>
        </m:r>
        <m:d>
          <m:dPr>
            <m:begChr m:val="("/>
            <m:endChr m:val=")"/>
            <m:sepChr m:val=""/>
            <m:grow/>
          </m:dPr>
          <m:e>
            <m:r>
              <m:t>1</m:t>
            </m:r>
            <m:r>
              <m:rPr>
                <m:sty m:val="p"/>
              </m:rPr>
              <m:t>,</m:t>
            </m:r>
            <m:r>
              <m:t>1</m:t>
            </m:r>
          </m:e>
        </m:d>
      </m:oMath>
      <w:r>
        <w:t xml:space="preserve"> </w:t>
      </w:r>
      <w:r>
        <w:t xml:space="preserve">gives 0.9600,</w:t>
      </w:r>
      <w:r>
        <w:t xml:space="preserve"> </w:t>
      </w:r>
      <m:oMath>
        <m:d>
          <m:dPr>
            <m:begChr m:val="("/>
            <m:endChr m:val=")"/>
            <m:sepChr m:val=""/>
            <m:grow/>
          </m:dPr>
          <m:e>
            <m:r>
              <m:t>1</m:t>
            </m:r>
            <m:r>
              <m:rPr>
                <m:sty m:val="p"/>
              </m:rPr>
              <m:t>,</m:t>
            </m:r>
            <m:r>
              <m:t>2</m:t>
            </m:r>
          </m:e>
        </m:d>
      </m:oMath>
      <w:r>
        <w:t xml:space="preserve"> </w:t>
      </w:r>
      <w:r>
        <w:t xml:space="preserve">gives 0.9792,</w:t>
      </w:r>
      <w:r>
        <w:t xml:space="preserve"> </w:t>
      </w:r>
      <m:oMath>
        <m:d>
          <m:dPr>
            <m:begChr m:val="("/>
            <m:endChr m:val=")"/>
            <m:sepChr m:val=""/>
            <m:grow/>
          </m:dPr>
          <m:e>
            <m:r>
              <m:t>2</m:t>
            </m:r>
            <m:r>
              <m:rPr>
                <m:sty m:val="p"/>
              </m:rPr>
              <m:t>,</m:t>
            </m:r>
            <m:r>
              <m:t>1</m:t>
            </m:r>
          </m:e>
        </m:d>
      </m:oMath>
      <w:r>
        <w:t xml:space="preserve"> </w:t>
      </w:r>
      <w:r>
        <w:t xml:space="preserve">gives 0.9989.</w:t>
      </w:r>
    </w:p>
    <w:p>
      <w:pPr>
        <w:numPr>
          <w:ilvl w:val="0"/>
          <w:numId w:val="1820"/>
        </w:numPr>
        <w:pStyle w:val="Compact"/>
      </w:pPr>
      <w:r>
        <w:t xml:space="preserve">Only</w:t>
      </w:r>
      <w:r>
        <w:t xml:space="preserve"> </w:t>
      </w:r>
      <m:oMath>
        <m:d>
          <m:dPr>
            <m:begChr m:val="("/>
            <m:endChr m:val=")"/>
            <m:sepChr m:val=""/>
            <m:grow/>
          </m:dPr>
          <m:e>
            <m:r>
              <m:t>2</m:t>
            </m:r>
            <m:r>
              <m:rPr>
                <m:sty m:val="p"/>
              </m:rPr>
              <m:t>,</m:t>
            </m:r>
            <m:r>
              <m:t>1</m:t>
            </m:r>
          </m:e>
        </m:d>
      </m:oMath>
      <w:r>
        <w:t xml:space="preserve"> </w:t>
      </w:r>
      <w:r>
        <w:t xml:space="preserve">meets 99%. It also keeps writes at one acknowledgment.</w:t>
      </w:r>
    </w:p>
    <w:p>
      <w:pPr>
        <w:numPr>
          <w:ilvl w:val="0"/>
          <w:numId w:val="1820"/>
        </w:numPr>
        <w:pStyle w:val="Compact"/>
      </w:pPr>
      <w:r>
        <w:t xml:space="preserve">Cost: every read waits for the second-fastest of three responses, which raises read p99. The author’s own writes still need read-your-writes (§25.6).</w:t>
      </w:r>
    </w:p>
    <w:p>
      <w:pPr>
        <w:pStyle w:val="CalloutExample"/>
      </w:pPr>
      <w:r>
        <w:rPr>
          <w:bCs/>
          <w:b/>
        </w:rPr>
        <w:t xml:space="preserve">Interpretation.</w:t>
      </w:r>
      <w:r>
        <w:t xml:space="preserve"> </w:t>
      </w:r>
      <w:r>
        <w:t xml:space="preserve">PBS turns</w:t>
      </w:r>
      <w:r>
        <w:t xml:space="preserve"> </w:t>
      </w:r>
      <w:r>
        <w:t xml:space="preserve">“</w:t>
      </w:r>
      <w:r>
        <w:t xml:space="preserve">eventually</w:t>
      </w:r>
      <w:r>
        <w:t xml:space="preserve">”</w:t>
      </w:r>
      <w:r>
        <w:t xml:space="preserve"> </w:t>
      </w:r>
      <w:r>
        <w:t xml:space="preserve">into a curve you can put in a service level objective.</w:t>
      </w:r>
      <w:r>
        <w:t xml:space="preserve"> </w:t>
      </w:r>
      <w:r>
        <w:rPr>
          <w:bCs/>
          <w:b/>
        </w:rPr>
        <w:t xml:space="preserve">Engineering implication.</w:t>
      </w:r>
      <w:r>
        <w:t xml:space="preserve"> </w:t>
      </w:r>
      <w:r>
        <w:t xml:space="preserve">Measure the four WARS distributions in your deployment, rerun the simulation and choose</w:t>
      </w:r>
      <w:r>
        <w:t xml:space="preserve"> </w:t>
      </w:r>
      <m:oMath>
        <m:d>
          <m:dPr>
            <m:begChr m:val="("/>
            <m:endChr m:val=")"/>
            <m:sepChr m:val=""/>
            <m:grow/>
          </m:dPr>
          <m:e>
            <m:r>
              <m:t>R</m:t>
            </m:r>
            <m:r>
              <m:rPr>
                <m:sty m:val="p"/>
              </m:rPr>
              <m:t>,</m:t>
            </m:r>
            <m:r>
              <m:t>W</m:t>
            </m:r>
          </m:e>
        </m:d>
      </m:oMath>
      <w:r>
        <w:t xml:space="preserve"> </w:t>
      </w:r>
      <w:r>
        <w:t xml:space="preserve">per table; revisit when disks, load or topology change.</w:t>
      </w:r>
    </w:p>
    <w:bookmarkEnd w:id="2834"/>
    <w:bookmarkEnd w:id="2835"/>
    <w:bookmarkStart w:id="2836" w:name="where-eventual-consistency-fits"/>
    <w:p>
      <w:pPr>
        <w:pStyle w:val="Heading3"/>
      </w:pPr>
      <w:r>
        <w:t xml:space="preserve">25.7.3 Where eventual consistency fits</w:t>
      </w:r>
    </w:p>
    <w:p>
      <w:pPr>
        <w:pStyle w:val="FirstParagraph"/>
      </w:pPr>
      <w:r>
        <w:t xml:space="preserve">Eventual consistency is the right default for data where a short window of staleness is harmless and availability or latency dominates: counters of likes and views, recommendation features, product catalogs, DNS, caches, shopping carts with merge semantics. It is the wrong choice for anything whose correctness depends on a single current value: balances, inventory reservations, uniqueness, locks. Many systems combine the two per operation, which is the theme of §25.10.</w:t>
      </w:r>
    </w:p>
    <w:p>
      <w:pPr>
        <w:pStyle w:val="CalloutMistake"/>
      </w:pPr>
      <w:r>
        <w:rPr>
          <w:bCs/>
          <w:b/>
        </w:rPr>
        <w:t xml:space="preserve">COMMON MISTAKE</w:t>
      </w:r>
    </w:p>
    <w:p>
      <w:pPr>
        <w:pStyle w:val="CalloutMistake"/>
      </w:pPr>
      <w:r>
        <w:rPr>
          <w:bCs/>
          <w:b/>
        </w:rPr>
        <w:t xml:space="preserve">Mistake —</w:t>
      </w:r>
      <w:r>
        <w:rPr>
          <w:bCs/>
          <w:b/>
        </w:rPr>
        <w:t xml:space="preserve"> </w:t>
      </w:r>
      <w:r>
        <w:rPr>
          <w:bCs/>
          <w:b/>
        </w:rPr>
        <w:t xml:space="preserve">“</w:t>
      </w:r>
      <w:r>
        <w:rPr>
          <w:bCs/>
          <w:b/>
        </w:rPr>
        <w:t xml:space="preserve">Eventual consistency means data is usually stale.</w:t>
      </w:r>
      <w:r>
        <w:rPr>
          <w:bCs/>
          <w:b/>
        </w:rPr>
        <w:t xml:space="preserve">”</w:t>
      </w:r>
      <w:r>
        <w:t xml:space="preserve"> </w:t>
      </w:r>
      <w:r>
        <w:t xml:space="preserve">Most reads are usually fresh. The danger is</w:t>
      </w:r>
      <w:r>
        <w:t xml:space="preserve"> </w:t>
      </w:r>
      <w:r>
        <w:rPr>
          <w:iCs/>
          <w:i/>
        </w:rPr>
        <w:t xml:space="preserve">unbounded</w:t>
      </w:r>
      <w:r>
        <w:t xml:space="preserve"> </w:t>
      </w:r>
      <w:r>
        <w:t xml:space="preserve">staleness during incidents (a partitioned replica, a stalled replication stream) and the anomalies the bare model permits. Add session guarantees and monitor replication lag.</w:t>
      </w:r>
    </w:p>
    <w:bookmarkEnd w:id="2836"/>
    <w:bookmarkStart w:id="2837" w:name="models-compared"/>
    <w:p>
      <w:pPr>
        <w:pStyle w:val="Heading3"/>
      </w:pPr>
      <w:r>
        <w:t xml:space="preserve">25.7.4 Models compared</w:t>
      </w:r>
    </w:p>
    <w:p>
      <w:pPr>
        <w:pStyle w:val="FirstParagraph"/>
      </w:pPr>
      <w:r>
        <w:rPr>
          <w:bCs/>
          <w:b/>
        </w:rPr>
        <w:t xml:space="preserve">Table 25.4 — Single-object consistency models compared.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Model</w:t>
            </w:r>
          </w:p>
        </w:tc>
        <w:tc>
          <w:tcPr/>
          <w:p>
            <w:pPr>
              <w:pStyle w:val="Compact"/>
              <w:jc w:val="left"/>
            </w:pPr>
            <w:r>
              <w:t xml:space="preserve">What it guarantees</w:t>
            </w:r>
          </w:p>
        </w:tc>
        <w:tc>
          <w:tcPr/>
          <w:p>
            <w:pPr>
              <w:pStyle w:val="Compact"/>
              <w:jc w:val="left"/>
            </w:pPr>
            <w:r>
              <w:t xml:space="preserve">Allows</w:t>
            </w:r>
          </w:p>
        </w:tc>
        <w:tc>
          <w:tcPr/>
          <w:p>
            <w:pPr>
              <w:pStyle w:val="Compact"/>
              <w:jc w:val="left"/>
            </w:pPr>
            <w:r>
              <w:t xml:space="preserve">Latency of reads and writes</w:t>
            </w:r>
          </w:p>
        </w:tc>
        <w:tc>
          <w:tcPr/>
          <w:p>
            <w:pPr>
              <w:pStyle w:val="Compact"/>
              <w:jc w:val="left"/>
            </w:pPr>
            <w:r>
              <w:t xml:space="preserve">Available under partition?</w:t>
            </w:r>
          </w:p>
        </w:tc>
      </w:tr>
      <w:tr>
        <w:tc>
          <w:tcPr/>
          <w:p>
            <w:pPr>
              <w:pStyle w:val="Compact"/>
              <w:jc w:val="left"/>
            </w:pPr>
            <w:r>
              <w:t xml:space="preserve">Linearizable</w:t>
            </w:r>
          </w:p>
        </w:tc>
        <w:tc>
          <w:tcPr/>
          <w:p>
            <w:pPr>
              <w:pStyle w:val="Compact"/>
              <w:jc w:val="left"/>
            </w:pPr>
            <w:r>
              <w:t xml:space="preserve">One copy, real-time order</w:t>
            </w:r>
          </w:p>
        </w:tc>
        <w:tc>
          <w:tcPr/>
          <w:p>
            <w:pPr>
              <w:pStyle w:val="Compact"/>
              <w:jc w:val="left"/>
            </w:pPr>
            <w:r>
              <w:t xml:space="preserve">Nothing beyond concurrency</w:t>
            </w:r>
          </w:p>
        </w:tc>
        <w:tc>
          <w:tcPr/>
          <w:p>
            <w:pPr>
              <w:pStyle w:val="Compact"/>
              <w:jc w:val="left"/>
            </w:pPr>
            <w:r>
              <w:t xml:space="preserve">Quorum or leader round trip for both</w:t>
            </w:r>
          </w:p>
        </w:tc>
        <w:tc>
          <w:tcPr/>
          <w:p>
            <w:pPr>
              <w:pStyle w:val="Compact"/>
              <w:jc w:val="left"/>
            </w:pPr>
            <w:r>
              <w:t xml:space="preserve">No</w:t>
            </w:r>
          </w:p>
        </w:tc>
      </w:tr>
      <w:tr>
        <w:tc>
          <w:tcPr/>
          <w:p>
            <w:pPr>
              <w:pStyle w:val="Compact"/>
              <w:jc w:val="left"/>
            </w:pPr>
            <w:r>
              <w:t xml:space="preserve">Sequential</w:t>
            </w:r>
          </w:p>
        </w:tc>
        <w:tc>
          <w:tcPr/>
          <w:p>
            <w:pPr>
              <w:pStyle w:val="Compact"/>
              <w:jc w:val="left"/>
            </w:pPr>
            <w:r>
              <w:t xml:space="preserve">One agreed order, program order</w:t>
            </w:r>
          </w:p>
        </w:tc>
        <w:tc>
          <w:tcPr/>
          <w:p>
            <w:pPr>
              <w:pStyle w:val="Compact"/>
              <w:jc w:val="left"/>
            </w:pPr>
            <w:r>
              <w:t xml:space="preserve">Stale reads (order in the past)</w:t>
            </w:r>
          </w:p>
        </w:tc>
        <w:tc>
          <w:tcPr/>
          <w:p>
            <w:pPr>
              <w:pStyle w:val="Compact"/>
              <w:jc w:val="left"/>
            </w:pPr>
            <w:r>
              <w:t xml:space="preserve">One of reads or writes can be local</w:t>
            </w:r>
          </w:p>
        </w:tc>
        <w:tc>
          <w:tcPr/>
          <w:p>
            <w:pPr>
              <w:pStyle w:val="Compact"/>
              <w:jc w:val="left"/>
            </w:pPr>
            <w:r>
              <w:t xml:space="preserve">No</w:t>
            </w:r>
          </w:p>
        </w:tc>
      </w:tr>
      <w:tr>
        <w:tc>
          <w:tcPr/>
          <w:p>
            <w:pPr>
              <w:pStyle w:val="Compact"/>
              <w:jc w:val="left"/>
            </w:pPr>
            <w:r>
              <w:t xml:space="preserve">Causal</w:t>
            </w:r>
          </w:p>
        </w:tc>
        <w:tc>
          <w:tcPr/>
          <w:p>
            <w:pPr>
              <w:pStyle w:val="Compact"/>
              <w:jc w:val="left"/>
            </w:pPr>
            <w:r>
              <w:t xml:space="preserve">Causal order seen by all</w:t>
            </w:r>
          </w:p>
        </w:tc>
        <w:tc>
          <w:tcPr/>
          <w:p>
            <w:pPr>
              <w:pStyle w:val="Compact"/>
              <w:jc w:val="left"/>
            </w:pPr>
            <w:r>
              <w:t xml:space="preserve">Concurrent writes seen in different orders</w:t>
            </w:r>
          </w:p>
        </w:tc>
        <w:tc>
          <w:tcPr/>
          <w:p>
            <w:pPr>
              <w:pStyle w:val="Compact"/>
              <w:jc w:val="left"/>
            </w:pPr>
            <w:r>
              <w:t xml:space="preserve">Both local</w:t>
            </w:r>
          </w:p>
        </w:tc>
        <w:tc>
          <w:tcPr/>
          <w:p>
            <w:pPr>
              <w:pStyle w:val="Compact"/>
              <w:jc w:val="left"/>
            </w:pPr>
            <w:r>
              <w:t xml:space="preserve">Sticky available</w:t>
            </w:r>
          </w:p>
        </w:tc>
      </w:tr>
      <w:tr>
        <w:tc>
          <w:tcPr/>
          <w:p>
            <w:pPr>
              <w:pStyle w:val="Compact"/>
              <w:jc w:val="left"/>
            </w:pPr>
            <w:r>
              <w:t xml:space="preserve">Session guarantees (PRAM and friends)</w:t>
            </w:r>
          </w:p>
        </w:tc>
        <w:tc>
          <w:tcPr/>
          <w:p>
            <w:pPr>
              <w:pStyle w:val="Compact"/>
              <w:jc w:val="left"/>
            </w:pPr>
            <w:r>
              <w:t xml:space="preserve">Sensible view per session</w:t>
            </w:r>
          </w:p>
        </w:tc>
        <w:tc>
          <w:tcPr/>
          <w:p>
            <w:pPr>
              <w:pStyle w:val="Compact"/>
              <w:jc w:val="left"/>
            </w:pPr>
            <w:r>
              <w:t xml:space="preserve">Cross-session staleness and reordering</w:t>
            </w:r>
          </w:p>
        </w:tc>
        <w:tc>
          <w:tcPr/>
          <w:p>
            <w:pPr>
              <w:pStyle w:val="Compact"/>
              <w:jc w:val="left"/>
            </w:pPr>
            <w:r>
              <w:t xml:space="preserve">Local unless the replica is behind the token</w:t>
            </w:r>
          </w:p>
        </w:tc>
        <w:tc>
          <w:tcPr/>
          <w:p>
            <w:pPr>
              <w:pStyle w:val="Compact"/>
              <w:jc w:val="left"/>
            </w:pPr>
            <w:r>
              <w:t xml:space="preserve">Sticky or totally available</w:t>
            </w:r>
          </w:p>
        </w:tc>
      </w:tr>
      <w:tr>
        <w:tc>
          <w:tcPr/>
          <w:p>
            <w:pPr>
              <w:pStyle w:val="Compact"/>
              <w:jc w:val="left"/>
            </w:pPr>
            <w:r>
              <w:t xml:space="preserve">Eventual</w:t>
            </w:r>
          </w:p>
        </w:tc>
        <w:tc>
          <w:tcPr/>
          <w:p>
            <w:pPr>
              <w:pStyle w:val="Compact"/>
              <w:jc w:val="left"/>
            </w:pPr>
            <w:r>
              <w:t xml:space="preserve">Convergence when writes stop</w:t>
            </w:r>
          </w:p>
        </w:tc>
        <w:tc>
          <w:tcPr/>
          <w:p>
            <w:pPr>
              <w:pStyle w:val="Compact"/>
              <w:jc w:val="left"/>
            </w:pPr>
            <w:r>
              <w:t xml:space="preserve">Anything in between</w:t>
            </w:r>
          </w:p>
        </w:tc>
        <w:tc>
          <w:tcPr/>
          <w:p>
            <w:pPr>
              <w:pStyle w:val="Compact"/>
              <w:jc w:val="left"/>
            </w:pPr>
            <w:r>
              <w:t xml:space="preserve">Both local</w:t>
            </w:r>
          </w:p>
        </w:tc>
        <w:tc>
          <w:tcPr/>
          <w:p>
            <w:pPr>
              <w:pStyle w:val="Compact"/>
              <w:jc w:val="left"/>
            </w:pPr>
            <w:r>
              <w:t xml:space="preserve">Totally available</w:t>
            </w:r>
          </w:p>
        </w:tc>
      </w:tr>
    </w:tbl>
    <w:bookmarkEnd w:id="2837"/>
    <w:bookmarkStart w:id="2841" w:name="the-map-of-consistency-models"/>
    <w:p>
      <w:pPr>
        <w:pStyle w:val="Heading3"/>
      </w:pPr>
      <w:r>
        <w:t xml:space="preserve">25.7.5 The map of consistency models</w:t>
      </w:r>
    </w:p>
    <w:p>
      <w:pPr>
        <w:pStyle w:val="FirstParagraph"/>
      </w:pPr>
      <w:r>
        <w:t xml:space="preserve">The models of §25.3–§25.7 and the isolation levels of §11.13 form a partial order: model</w:t>
      </w:r>
      <w:r>
        <w:t xml:space="preserve"> </w:t>
      </w:r>
      <m:oMath>
        <m:r>
          <m:t>A</m:t>
        </m:r>
      </m:oMath>
      <w:r>
        <w:t xml:space="preserve"> </w:t>
      </w:r>
      <w:r>
        <w:t xml:space="preserve">is</w:t>
      </w:r>
      <w:r>
        <w:t xml:space="preserve"> </w:t>
      </w:r>
      <w:r>
        <w:rPr>
          <w:bCs/>
          <w:b/>
        </w:rPr>
        <w:t xml:space="preserve">stronger</w:t>
      </w:r>
      <w:r>
        <w:t xml:space="preserve"> </w:t>
      </w:r>
      <w:r>
        <w:t xml:space="preserve">than</w:t>
      </w:r>
      <w:r>
        <w:t xml:space="preserve"> </w:t>
      </w:r>
      <m:oMath>
        <m:r>
          <m:t>B</m:t>
        </m:r>
      </m:oMath>
      <w:r>
        <w:t xml:space="preserve"> </w:t>
      </w:r>
      <w:r>
        <w:t xml:space="preserve">if every history allowed by</w:t>
      </w:r>
      <w:r>
        <w:t xml:space="preserve"> </w:t>
      </w:r>
      <m:oMath>
        <m:r>
          <m:t>A</m:t>
        </m:r>
      </m:oMath>
      <w:r>
        <w:t xml:space="preserve"> </w:t>
      </w:r>
      <w:r>
        <w:t xml:space="preserve">is allowed by</w:t>
      </w:r>
      <w:r>
        <w:t xml:space="preserve"> </w:t>
      </w:r>
      <m:oMath>
        <m:r>
          <m:t>B</m:t>
        </m:r>
      </m:oMath>
      <w:r>
        <w:t xml:space="preserve">. Figure 25.10 draws that order after Jepsen’s map of consistency models, which is itself based on Viotti and Vukolić and on Bailis et al.’s work on highly available transactions [Kingsbury: Consistency Models; Viotti &amp; Vukolić 2016; Bailis et al. 2014].</w:t>
      </w:r>
    </w:p>
    <w:p>
      <w:pPr>
        <w:pStyle w:val="BodyText"/>
      </w:pPr>
      <w:r>
        <w:rPr>
          <w:bCs/>
          <w:b/>
        </w:rPr>
        <w:t xml:space="preserve">Figure 25.10 — The consistency hierarchy: transactional isolation (left) and single-object consistency (right).</w:t>
      </w:r>
    </w:p>
    <w:p>
      <w:pPr>
        <w:pStyle w:val="BodyText"/>
      </w:pPr>
      <w:r>
        <w:drawing>
          <wp:inline>
            <wp:extent cx="5334000" cy="2659328"/>
            <wp:effectExtent b="0" l="0" r="0" t="0"/>
            <wp:docPr descr="" title="" id="2839" name="Picture"/>
            <a:graphic>
              <a:graphicData uri="http://schemas.openxmlformats.org/drawingml/2006/picture">
                <pic:pic>
                  <pic:nvPicPr>
                    <pic:cNvPr descr="/home/user/System-Design/build/.cache/diagrams/5ed208ae2da9.png" id="2840" name="Picture"/>
                    <pic:cNvPicPr>
                      <a:picLocks noChangeArrowheads="1" noChangeAspect="1"/>
                    </pic:cNvPicPr>
                  </pic:nvPicPr>
                  <pic:blipFill>
                    <a:blip r:embed="rId2838"/>
                    <a:stretch>
                      <a:fillRect/>
                    </a:stretch>
                  </pic:blipFill>
                  <pic:spPr bwMode="auto">
                    <a:xfrm>
                      <a:off x="0" y="0"/>
                      <a:ext cx="5334000" cy="2659328"/>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An arrow from</w:t>
      </w:r>
      <w:r>
        <w:t xml:space="preserve"> </w:t>
      </w:r>
      <m:oMath>
        <m:r>
          <m:t>A</m:t>
        </m:r>
      </m:oMath>
      <w:r>
        <w:t xml:space="preserve"> </w:t>
      </w:r>
      <w:r>
        <w:t xml:space="preserve">to</w:t>
      </w:r>
      <w:r>
        <w:t xml:space="preserve"> </w:t>
      </w:r>
      <m:oMath>
        <m:r>
          <m:t>B</m:t>
        </m:r>
      </m:oMath>
      <w:r>
        <w:t xml:space="preserve"> </w:t>
      </w:r>
      <w:r>
        <w:t xml:space="preserve">means</w:t>
      </w:r>
      <w:r>
        <w:t xml:space="preserve"> </w:t>
      </w:r>
      <m:oMath>
        <m:r>
          <m:t>A</m:t>
        </m:r>
      </m:oMath>
      <w:r>
        <w:t xml:space="preserve"> </w:t>
      </w:r>
      <w:r>
        <w:t xml:space="preserve">implies</w:t>
      </w:r>
      <w:r>
        <w:t xml:space="preserve"> </w:t>
      </w:r>
      <m:oMath>
        <m:r>
          <m:t>B</m:t>
        </m:r>
      </m:oMath>
      <w:r>
        <w:t xml:space="preserve"> </w:t>
      </w:r>
      <w:r>
        <w:t xml:space="preserve">(every</w:t>
      </w:r>
      <w:r>
        <w:t xml:space="preserve"> </w:t>
      </w:r>
      <m:oMath>
        <m:r>
          <m:t>A</m:t>
        </m:r>
      </m:oMath>
      <w:r>
        <w:t xml:space="preserve"> </w:t>
      </w:r>
      <w:r>
        <w:t xml:space="preserve">history is a</w:t>
      </w:r>
      <w:r>
        <w:t xml:space="preserve"> </w:t>
      </w:r>
      <m:oMath>
        <m:r>
          <m:t>B</m:t>
        </m:r>
      </m:oMath>
      <w:r>
        <w:t xml:space="preserve"> </w:t>
      </w:r>
      <w:r>
        <w:t xml:space="preserve">history); strength decreases downward. The left subgraph holds transaction isolation models, which constrain groups of operations over many objects; the right holds single-object consistency models; strict serializable at the top is the meeting point (serializable plus real time). Colors give availability under network partition as classified by Bailis et al. and Jepsen: red models cannot be totally available (some requests must block or fail in a partition); amber models are</w:t>
      </w:r>
      <w:r>
        <w:t xml:space="preserve"> </w:t>
      </w:r>
      <w:r>
        <w:rPr>
          <w:bCs/>
          <w:b/>
        </w:rPr>
        <w:t xml:space="preserve">sticky available</w:t>
      </w:r>
      <w:r>
        <w:t xml:space="preserve">, meaning available as long as each client keeps talking to the same replicas; green models are</w:t>
      </w:r>
      <w:r>
        <w:t xml:space="preserve"> </w:t>
      </w:r>
      <w:r>
        <w:rPr>
          <w:bCs/>
          <w:b/>
        </w:rPr>
        <w:t xml:space="preserve">totally available</w:t>
      </w:r>
      <w:r>
        <w:t xml:space="preserve">, so any non-failed replica can answer. Eventual consistency, a liveness property, is not drawn; it can be combined with any green or amber model. PRAM (pipelined RAM, [Lipton &amp; Sandberg 1988]) is the combination of read-your-writes, monotonic reads and monotonic writes.</w:t>
      </w:r>
    </w:p>
    <w:p>
      <w:pPr>
        <w:pStyle w:val="BodyText"/>
      </w:pPr>
      <w:r>
        <w:t xml:space="preserve">Two lessons from the map are worth memorizing. First,</w:t>
      </w:r>
      <w:r>
        <w:t xml:space="preserve"> </w:t>
      </w:r>
      <w:r>
        <w:rPr>
          <w:bCs/>
          <w:b/>
        </w:rPr>
        <w:t xml:space="preserve">the red-amber boundary is exactly the CAP boundary</w:t>
      </w:r>
      <w:r>
        <w:t xml:space="preserve">: everything at or above sequential consistency cannot stay available in a partition, while causal consistency and below can (§25.8). Second,</w:t>
      </w:r>
      <w:r>
        <w:t xml:space="preserve"> </w:t>
      </w:r>
      <w:r>
        <w:rPr>
          <w:bCs/>
          <w:b/>
        </w:rPr>
        <w:t xml:space="preserve">isolation and consistency are orthogonal</w:t>
      </w:r>
      <w:r>
        <w:t xml:space="preserve"> </w:t>
      </w:r>
      <w:r>
        <w:t xml:space="preserve">until the very top: a serializable system can serve stale reads, and a linearizable key-value store can have no transactions at all.</w:t>
      </w:r>
    </w:p>
    <w:bookmarkEnd w:id="2841"/>
    <w:bookmarkEnd w:id="2842"/>
    <w:bookmarkStart w:id="2851" w:name="the-cap-theorem"/>
    <w:p>
      <w:pPr>
        <w:pStyle w:val="Heading2"/>
      </w:pPr>
      <w:r>
        <w:t xml:space="preserve">25.8 The CAP theorem</w:t>
      </w:r>
    </w:p>
    <w:bookmarkStart w:id="2847" w:name="the-precise-statement"/>
    <w:p>
      <w:pPr>
        <w:pStyle w:val="Heading3"/>
      </w:pPr>
      <w:r>
        <w:t xml:space="preserve">25.8.1 The precise statement</w:t>
      </w:r>
    </w:p>
    <w:p>
      <w:pPr>
        <w:pStyle w:val="FirstParagraph"/>
      </w:pPr>
      <w:r>
        <w:t xml:space="preserve">Brewer conjectured in a 2000 keynote that a web service cannot be simultaneously consistent, available and partition-tolerant [Brewer 2000]. Gilbert and Lynch turned the conjecture into a theorem by defining each word [Gilbert &amp; Lynch 2002].</w:t>
      </w:r>
    </w:p>
    <w:p>
      <w:pPr>
        <w:pStyle w:val="CalloutDefinition"/>
      </w:pPr>
      <w:r>
        <w:rPr>
          <w:bCs/>
          <w:b/>
        </w:rPr>
        <w:t xml:space="preserve">DEFINITION</w:t>
      </w:r>
    </w:p>
    <w:p>
      <w:pPr>
        <w:pStyle w:val="CalloutDefinition"/>
      </w:pPr>
      <w:r>
        <w:rPr>
          <w:bCs/>
          <w:b/>
        </w:rPr>
        <w:t xml:space="preserve">Definition — CAP theorem (Gilbert and Lynch).</w:t>
      </w:r>
      <w:r>
        <w:t xml:space="preserve"> </w:t>
      </w:r>
      <w:r>
        <w:t xml:space="preserve">In an asynchronous network model, where messages may be delayed arbitrarily and there are no clocks, it is impossible to implement a read/write data object that guarantees both of the following in all fair executions, including those in which messages are lost:</w:t>
      </w:r>
      <w:r>
        <w:t xml:space="preserve"> </w:t>
      </w:r>
      <w:r>
        <w:rPr>
          <w:bCs/>
          <w:b/>
        </w:rPr>
        <w:t xml:space="preserve">Consistency (C):</w:t>
      </w:r>
      <w:r>
        <w:t xml:space="preserve"> </w:t>
      </w:r>
      <w:r>
        <w:t xml:space="preserve">the object is</w:t>
      </w:r>
      <w:r>
        <w:t xml:space="preserve"> </w:t>
      </w:r>
      <w:r>
        <w:rPr>
          <w:bCs/>
          <w:b/>
        </w:rPr>
        <w:t xml:space="preserve">atomic</w:t>
      </w:r>
      <w:r>
        <w:t xml:space="preserve">, that is, linearizable (§25.3).</w:t>
      </w:r>
      <w:r>
        <w:t xml:space="preserve"> </w:t>
      </w:r>
      <w:r>
        <w:rPr>
          <w:bCs/>
          <w:b/>
        </w:rPr>
        <w:t xml:space="preserve">Availability (A):</w:t>
      </w:r>
      <w:r>
        <w:t xml:space="preserve"> </w:t>
      </w:r>
      <w:r>
        <w:t xml:space="preserve">every request received by a non-failing node must eventually result in a response.</w:t>
      </w:r>
      <w:r>
        <w:t xml:space="preserve"> </w:t>
      </w:r>
      <w:r>
        <w:rPr>
          <w:bCs/>
          <w:b/>
        </w:rPr>
        <w:t xml:space="preserve">Partition tolerance (P)</w:t>
      </w:r>
      <w:r>
        <w:t xml:space="preserve"> </w:t>
      </w:r>
      <w:r>
        <w:t xml:space="preserve">is not a property the system chooses; it is the assumption that the network may lose arbitrarily many messages between nodes.</w:t>
      </w:r>
    </w:p>
    <w:p>
      <w:pPr>
        <w:pStyle w:val="BodyText"/>
      </w:pPr>
      <w:r>
        <w:t xml:space="preserve">Each term is narrower than its everyday meaning.</w:t>
      </w:r>
      <w:r>
        <w:t xml:space="preserve"> </w:t>
      </w:r>
      <w:r>
        <w:t xml:space="preserve">“</w:t>
      </w:r>
      <w:r>
        <w:t xml:space="preserve">C</w:t>
      </w:r>
      <w:r>
        <w:t xml:space="preserve">”</w:t>
      </w:r>
      <w:r>
        <w:t xml:space="preserve"> </w:t>
      </w:r>
      <w:r>
        <w:t xml:space="preserve">is linearizability of a single register, not ACID consistency.</w:t>
      </w:r>
      <w:r>
        <w:t xml:space="preserve"> </w:t>
      </w:r>
      <w:r>
        <w:t xml:space="preserve">“</w:t>
      </w:r>
      <w:r>
        <w:t xml:space="preserve">A</w:t>
      </w:r>
      <w:r>
        <w:t xml:space="preserve">”</w:t>
      </w:r>
      <w:r>
        <w:t xml:space="preserve"> </w:t>
      </w:r>
      <w:r>
        <w:t xml:space="preserve">requires</w:t>
      </w:r>
      <w:r>
        <w:t xml:space="preserve"> </w:t>
      </w:r>
      <w:r>
        <w:rPr>
          <w:iCs/>
          <w:i/>
        </w:rPr>
        <w:t xml:space="preserve">every</w:t>
      </w:r>
      <w:r>
        <w:t xml:space="preserve"> </w:t>
      </w:r>
      <w:r>
        <w:t xml:space="preserve">non-failing node to answer, with no time bound: a system that answers 99.99% of requests in 100 ms but refuses the minority side is not CAP-available, and one that answers after an hour is.</w:t>
      </w:r>
      <w:r>
        <w:t xml:space="preserve"> </w:t>
      </w:r>
      <w:r>
        <w:t xml:space="preserve">“</w:t>
      </w:r>
      <w:r>
        <w:t xml:space="preserve">P</w:t>
      </w:r>
      <w:r>
        <w:t xml:space="preserve">”</w:t>
      </w:r>
      <w:r>
        <w:t xml:space="preserve"> </w:t>
      </w:r>
      <w:r>
        <w:t xml:space="preserve">is a network fault, not a design option.</w:t>
      </w:r>
    </w:p>
    <w:bookmarkStart w:id="2846" w:name="how-the-proof-works"/>
    <w:p>
      <w:pPr>
        <w:pStyle w:val="Heading4"/>
      </w:pPr>
      <w:r>
        <w:t xml:space="preserve">How the proof works</w:t>
      </w:r>
    </w:p>
    <w:p>
      <w:pPr>
        <w:pStyle w:val="FirstParagraph"/>
      </w:pPr>
      <w:r>
        <w:rPr>
          <w:bCs/>
          <w:b/>
        </w:rPr>
        <w:t xml:space="preserve">Figure 25.11 — The CAP proof scenario.</w:t>
      </w:r>
    </w:p>
    <w:p>
      <w:pPr>
        <w:pStyle w:val="BodyText"/>
      </w:pPr>
      <w:r>
        <w:drawing>
          <wp:inline>
            <wp:extent cx="5334000" cy="1782630"/>
            <wp:effectExtent b="0" l="0" r="0" t="0"/>
            <wp:docPr descr="" title="" id="2844" name="Picture"/>
            <a:graphic>
              <a:graphicData uri="http://schemas.openxmlformats.org/drawingml/2006/picture">
                <pic:pic>
                  <pic:nvPicPr>
                    <pic:cNvPr descr="/home/user/System-Design/build/.cache/diagrams/b9a1b6ed8dba.png" id="2845" name="Picture"/>
                    <pic:cNvPicPr>
                      <a:picLocks noChangeArrowheads="1" noChangeAspect="1"/>
                    </pic:cNvPicPr>
                  </pic:nvPicPr>
                  <pic:blipFill>
                    <a:blip r:embed="rId2843"/>
                    <a:stretch>
                      <a:fillRect/>
                    </a:stretch>
                  </pic:blipFill>
                  <pic:spPr bwMode="auto">
                    <a:xfrm>
                      <a:off x="0" y="0"/>
                      <a:ext cx="5334000" cy="1782630"/>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nodes are split into two groups whose messages to each other are lost. Requests are synchronous from each client’s point of view. Availability forces G1 to acknowledge the write without contacting G2, and forces G2 to answer the read without contacting G1. G2 cannot know about the write, so it returns the old value after the write completed: a violation of linearizability. The only escapes are for G1 to withhold its acknowledgment or G2 to withhold its answer until the partition heals, which gives up availability. Gilbert and Lynch also show the result holds in a partially synchronous model with local clocks.</w:t>
      </w:r>
    </w:p>
    <w:bookmarkEnd w:id="2846"/>
    <w:bookmarkEnd w:id="2847"/>
    <w:bookmarkStart w:id="2848" w:name="common-misreadings"/>
    <w:p>
      <w:pPr>
        <w:pStyle w:val="Heading3"/>
      </w:pPr>
      <w:r>
        <w:t xml:space="preserve">25.8.2 Common misreadings</w:t>
      </w:r>
    </w:p>
    <w:p>
      <w:pPr>
        <w:pStyle w:val="CalloutMistake"/>
      </w:pPr>
      <w:r>
        <w:rPr>
          <w:bCs/>
          <w:b/>
        </w:rPr>
        <w:t xml:space="preserve">COMMON MISTAKE</w:t>
      </w:r>
    </w:p>
    <w:p>
      <w:pPr>
        <w:pStyle w:val="CalloutMistake"/>
      </w:pPr>
      <w:r>
        <w:rPr>
          <w:bCs/>
          <w:b/>
        </w:rPr>
        <w:t xml:space="preserve">Mistake —</w:t>
      </w:r>
      <w:r>
        <w:rPr>
          <w:bCs/>
          <w:b/>
        </w:rPr>
        <w:t xml:space="preserve"> </w:t>
      </w:r>
      <w:r>
        <w:rPr>
          <w:bCs/>
          <w:b/>
        </w:rPr>
        <w:t xml:space="preserve">“</w:t>
      </w:r>
      <w:r>
        <w:rPr>
          <w:bCs/>
          <w:b/>
        </w:rPr>
        <w:t xml:space="preserve">Pick two of three.</w:t>
      </w:r>
      <w:r>
        <w:rPr>
          <w:bCs/>
          <w:b/>
        </w:rPr>
        <w:t xml:space="preserve">”</w:t>
      </w:r>
      <w:r>
        <w:t xml:space="preserve"> </w:t>
      </w:r>
      <w:r>
        <w:t xml:space="preserve">You cannot</w:t>
      </w:r>
      <w:r>
        <w:t xml:space="preserve"> </w:t>
      </w:r>
      <w:r>
        <w:t xml:space="preserve">“</w:t>
      </w:r>
      <w:r>
        <w:t xml:space="preserve">pick</w:t>
      </w:r>
      <w:r>
        <w:t xml:space="preserve">”</w:t>
      </w:r>
      <w:r>
        <w:t xml:space="preserve"> </w:t>
      </w:r>
      <w:r>
        <w:t xml:space="preserve">P: partitions happen whether you choose them or not, so the real choice is what each operation does</w:t>
      </w:r>
      <w:r>
        <w:t xml:space="preserve"> </w:t>
      </w:r>
      <w:r>
        <w:rPr>
          <w:iCs/>
          <w:i/>
        </w:rPr>
        <w:t xml:space="preserve">during</w:t>
      </w:r>
      <w:r>
        <w:t xml:space="preserve"> </w:t>
      </w:r>
      <w:r>
        <w:t xml:space="preserve">a partition, C or A. When there is no partition, CAP says nothing, and a system can be both linearizable and available [Brewer 2012]. Drawing CAP as a triangle with three equal corners is the source of most confusion.</w:t>
      </w:r>
    </w:p>
    <w:p>
      <w:pPr>
        <w:pStyle w:val="CalloutMistake"/>
      </w:pPr>
      <w:r>
        <w:rPr>
          <w:bCs/>
          <w:b/>
        </w:rPr>
        <w:t xml:space="preserve">COMMON MISTAKE</w:t>
      </w:r>
    </w:p>
    <w:p>
      <w:pPr>
        <w:pStyle w:val="CalloutMistake"/>
      </w:pPr>
      <w:r>
        <w:rPr>
          <w:bCs/>
          <w:b/>
        </w:rPr>
        <w:t xml:space="preserve">Mistake —</w:t>
      </w:r>
      <w:r>
        <w:rPr>
          <w:bCs/>
          <w:b/>
        </w:rPr>
        <w:t xml:space="preserve"> </w:t>
      </w:r>
      <w:r>
        <w:rPr>
          <w:bCs/>
          <w:b/>
        </w:rPr>
        <w:t xml:space="preserve">“</w:t>
      </w:r>
      <w:r>
        <w:rPr>
          <w:bCs/>
          <w:b/>
        </w:rPr>
        <w:t xml:space="preserve">Our database is CA.</w:t>
      </w:r>
      <w:r>
        <w:rPr>
          <w:bCs/>
          <w:b/>
        </w:rPr>
        <w:t xml:space="preserve">”</w:t>
      </w:r>
      <w:r>
        <w:t xml:space="preserve"> </w:t>
      </w:r>
      <w:r>
        <w:t xml:space="preserve">A single-node database is not partition-tolerant in any useful sense; it is simply not distributed. A distributed system that claims CA means</w:t>
      </w:r>
      <w:r>
        <w:t xml:space="preserve"> </w:t>
      </w:r>
      <w:r>
        <w:t xml:space="preserve">“</w:t>
      </w:r>
      <w:r>
        <w:t xml:space="preserve">we assume partitions don’t happen,</w:t>
      </w:r>
      <w:r>
        <w:t xml:space="preserve">”</w:t>
      </w:r>
      <w:r>
        <w:t xml:space="preserve"> </w:t>
      </w:r>
      <w:r>
        <w:t xml:space="preserve">and when one does, it will in fact sacrifice C or A, usually without having designed which [Kleppmann 2015].</w:t>
      </w:r>
    </w:p>
    <w:p>
      <w:pPr>
        <w:pStyle w:val="CalloutMistake"/>
      </w:pPr>
      <w:r>
        <w:rPr>
          <w:bCs/>
          <w:b/>
        </w:rPr>
        <w:t xml:space="preserve">COMMON MISTAKE</w:t>
      </w:r>
    </w:p>
    <w:p>
      <w:pPr>
        <w:pStyle w:val="CalloutMistake"/>
      </w:pPr>
      <w:r>
        <w:rPr>
          <w:bCs/>
          <w:b/>
        </w:rPr>
        <w:t xml:space="preserve">Mistake —</w:t>
      </w:r>
      <w:r>
        <w:rPr>
          <w:bCs/>
          <w:b/>
        </w:rPr>
        <w:t xml:space="preserve"> </w:t>
      </w:r>
      <w:r>
        <w:rPr>
          <w:bCs/>
          <w:b/>
        </w:rPr>
        <w:t xml:space="preserve">“</w:t>
      </w:r>
      <w:r>
        <w:rPr>
          <w:bCs/>
          <w:b/>
        </w:rPr>
        <w:t xml:space="preserve">System X is CP</w:t>
      </w:r>
      <w:r>
        <w:rPr>
          <w:bCs/>
          <w:b/>
        </w:rPr>
        <w:t xml:space="preserve">”</w:t>
      </w:r>
      <w:r>
        <w:rPr>
          <w:bCs/>
          <w:b/>
        </w:rPr>
        <w:t xml:space="preserve"> </w:t>
      </w:r>
      <w:r>
        <w:rPr>
          <w:bCs/>
          <w:b/>
        </w:rPr>
        <w:t xml:space="preserve">or</w:t>
      </w:r>
      <w:r>
        <w:rPr>
          <w:bCs/>
          <w:b/>
        </w:rPr>
        <w:t xml:space="preserve"> </w:t>
      </w:r>
      <w:r>
        <w:rPr>
          <w:bCs/>
          <w:b/>
        </w:rPr>
        <w:t xml:space="preserve">“</w:t>
      </w:r>
      <w:r>
        <w:rPr>
          <w:bCs/>
          <w:b/>
        </w:rPr>
        <w:t xml:space="preserve">AP</w:t>
      </w:r>
      <w:r>
        <w:rPr>
          <w:bCs/>
          <w:b/>
        </w:rPr>
        <w:t xml:space="preserve">”</w:t>
      </w:r>
      <w:r>
        <w:rPr>
          <w:bCs/>
          <w:b/>
        </w:rPr>
        <w:t xml:space="preserve"> </w:t>
      </w:r>
      <w:r>
        <w:rPr>
          <w:bCs/>
          <w:b/>
        </w:rPr>
        <w:t xml:space="preserve">as a whole.</w:t>
      </w:r>
      <w:r>
        <w:t xml:space="preserve"> </w:t>
      </w:r>
      <w:r>
        <w:t xml:space="preserve">Most systems are neither in the strict sense. A Raft-based store is not CAP-available (the minority side refuses requests), but its follower reads are not CAP-consistent either. A Dynamo-style store with quorum reads and writes is not linearizable even without partitions (§25.3.4). Kleppmann argues that the labels should be dropped in favor of naming the actual consistency model and failure behavior of each operation [Kleppmann 2015].</w:t>
      </w:r>
    </w:p>
    <w:bookmarkEnd w:id="2848"/>
    <w:bookmarkStart w:id="2849" w:name="brewers-cap-twelve-years-later"/>
    <w:p>
      <w:pPr>
        <w:pStyle w:val="Heading3"/>
      </w:pPr>
      <w:r>
        <w:t xml:space="preserve">25.8.3 Brewer’s</w:t>
      </w:r>
      <w:r>
        <w:t xml:space="preserve"> </w:t>
      </w:r>
      <w:r>
        <w:t xml:space="preserve">“</w:t>
      </w:r>
      <w:r>
        <w:t xml:space="preserve">CAP twelve years later</w:t>
      </w:r>
      <w:r>
        <w:t xml:space="preserve">”</w:t>
      </w:r>
    </w:p>
    <w:p>
      <w:pPr>
        <w:pStyle w:val="FirstParagraph"/>
      </w:pPr>
      <w:r>
        <w:t xml:space="preserve">In 2012 Brewer revisited the theorem [Brewer 2012]. His main points:</w:t>
      </w:r>
    </w:p>
    <w:p>
      <w:pPr>
        <w:numPr>
          <w:ilvl w:val="0"/>
          <w:numId w:val="1821"/>
        </w:numPr>
        <w:pStyle w:val="Compact"/>
      </w:pPr>
      <w:r>
        <w:rPr>
          <w:bCs/>
          <w:b/>
        </w:rPr>
        <w:t xml:space="preserve">Partitions are rare</w:t>
      </w:r>
      <w:r>
        <w:t xml:space="preserve">, so systems should not give up C or A when there is no partition.</w:t>
      </w:r>
    </w:p>
    <w:p>
      <w:pPr>
        <w:numPr>
          <w:ilvl w:val="0"/>
          <w:numId w:val="1821"/>
        </w:numPr>
        <w:pStyle w:val="Compact"/>
      </w:pPr>
      <w:r>
        <w:rPr>
          <w:bCs/>
          <w:b/>
        </w:rPr>
        <w:t xml:space="preserve">The choice is fine-grained</w:t>
      </w:r>
      <w:r>
        <w:t xml:space="preserve">: per operation, per data item, per user, and it can change over time. A system can refuse to sell the last seat during a partition while still letting users browse.</w:t>
      </w:r>
    </w:p>
    <w:p>
      <w:pPr>
        <w:numPr>
          <w:ilvl w:val="0"/>
          <w:numId w:val="1821"/>
        </w:numPr>
        <w:pStyle w:val="Compact"/>
      </w:pPr>
      <w:r>
        <w:rPr>
          <w:bCs/>
          <w:b/>
        </w:rPr>
        <w:t xml:space="preserve">Partitions should be managed explicitly in three steps</w:t>
      </w:r>
      <w:r>
        <w:t xml:space="preserve">:</w:t>
      </w:r>
      <w:r>
        <w:t xml:space="preserve"> </w:t>
      </w:r>
      <w:r>
        <w:rPr>
          <w:iCs/>
          <w:i/>
        </w:rPr>
        <w:t xml:space="preserve">detect</w:t>
      </w:r>
      <w:r>
        <w:t xml:space="preserve"> </w:t>
      </w:r>
      <w:r>
        <w:t xml:space="preserve">the partition (typically by timeout), enter a</w:t>
      </w:r>
      <w:r>
        <w:t xml:space="preserve"> </w:t>
      </w:r>
      <w:r>
        <w:rPr>
          <w:bCs/>
          <w:b/>
        </w:rPr>
        <w:t xml:space="preserve">partition mode</w:t>
      </w:r>
      <w:r>
        <w:t xml:space="preserve"> </w:t>
      </w:r>
      <w:r>
        <w:t xml:space="preserve">that limits some operations, then</w:t>
      </w:r>
      <w:r>
        <w:t xml:space="preserve"> </w:t>
      </w:r>
      <w:r>
        <w:rPr>
          <w:iCs/>
          <w:i/>
        </w:rPr>
        <w:t xml:space="preserve">recover</w:t>
      </w:r>
      <w:r>
        <w:t xml:space="preserve"> </w:t>
      </w:r>
      <w:r>
        <w:t xml:space="preserve">by merging state and</w:t>
      </w:r>
      <w:r>
        <w:t xml:space="preserve"> </w:t>
      </w:r>
      <w:r>
        <w:rPr>
          <w:bCs/>
          <w:b/>
        </w:rPr>
        <w:t xml:space="preserve">compensating</w:t>
      </w:r>
      <w:r>
        <w:t xml:space="preserve"> </w:t>
      </w:r>
      <w:r>
        <w:t xml:space="preserve">for mistakes, for example by refunding an oversold item. CRDTs and commutative operations make the merge mechanical.</w:t>
      </w:r>
    </w:p>
    <w:p>
      <w:pPr>
        <w:numPr>
          <w:ilvl w:val="0"/>
          <w:numId w:val="1821"/>
        </w:numPr>
        <w:pStyle w:val="Compact"/>
      </w:pPr>
      <w:r>
        <w:rPr>
          <w:bCs/>
          <w:b/>
        </w:rPr>
        <w:t xml:space="preserve">Latency and partitions are the same thing in practice</w:t>
      </w:r>
      <w:r>
        <w:t xml:space="preserve">: a timeout is the only way to detect a partition, so every timeout decision is a small CAP decision.</w:t>
      </w:r>
    </w:p>
    <w:p>
      <w:pPr>
        <w:pStyle w:val="FirstParagraph"/>
      </w:pPr>
      <w:r>
        <w:t xml:space="preserve">Earlier, Fox and Brewer had framed the trade-off as</w:t>
      </w:r>
      <w:r>
        <w:t xml:space="preserve"> </w:t>
      </w:r>
      <w:r>
        <w:rPr>
          <w:bCs/>
          <w:b/>
        </w:rPr>
        <w:t xml:space="preserve">harvest</w:t>
      </w:r>
      <w:r>
        <w:t xml:space="preserve"> </w:t>
      </w:r>
      <w:r>
        <w:t xml:space="preserve">(the fraction of the data reflected in an answer) versus</w:t>
      </w:r>
      <w:r>
        <w:t xml:space="preserve"> </w:t>
      </w:r>
      <w:r>
        <w:rPr>
          <w:bCs/>
          <w:b/>
        </w:rPr>
        <w:t xml:space="preserve">yield</w:t>
      </w:r>
      <w:r>
        <w:t xml:space="preserve"> </w:t>
      </w:r>
      <w:r>
        <w:t xml:space="preserve">(the fraction of requests answered), pointing out that degrading harvest, such as a search result missing one shard, is often better than failing the request [Fox &amp; Brewer 1999].</w:t>
      </w:r>
    </w:p>
    <w:bookmarkEnd w:id="2849"/>
    <w:bookmarkStart w:id="2850" w:name="what-cap-leaves-out"/>
    <w:p>
      <w:pPr>
        <w:pStyle w:val="Heading3"/>
      </w:pPr>
      <w:r>
        <w:t xml:space="preserve">25.8.4 What CAP leaves out</w:t>
      </w:r>
    </w:p>
    <w:p>
      <w:pPr>
        <w:pStyle w:val="FirstParagraph"/>
      </w:pPr>
      <w:r>
        <w:t xml:space="preserve">Kleppmann’s critique identifies the gaps [Kleppmann 2015]. CAP covers one consistency model (linearizability), one fault (a partition), and one notion of availability that no real system measures. It says nothing about latency, about crashed nodes, or about any model weaker than linearizability. His proposed alternative is to state, for each operation, how its latency depends on network delay</w:t>
      </w:r>
      <w:r>
        <w:t xml:space="preserve"> </w:t>
      </w:r>
      <m:oMath>
        <m:r>
          <m:t>d</m:t>
        </m:r>
      </m:oMath>
      <w:r>
        <w:t xml:space="preserve">: linearizable operations take time proportional to</w:t>
      </w:r>
      <w:r>
        <w:t xml:space="preserve"> </w:t>
      </w:r>
      <m:oMath>
        <m:r>
          <m:t>d</m:t>
        </m:r>
      </m:oMath>
      <w:r>
        <w:t xml:space="preserve">, causal operations can complete in constant time. This is the same insight as the lower bound of §25.3.4 and the motivation for PACELC.</w:t>
      </w:r>
    </w:p>
    <w:p>
      <w:pPr>
        <w:pStyle w:val="CalloutTip"/>
      </w:pPr>
      <w:r>
        <w:rPr>
          <w:bCs/>
          <w:b/>
        </w:rPr>
        <w:t xml:space="preserve">INTERVIEW TIP</w:t>
      </w:r>
    </w:p>
    <w:p>
      <w:pPr>
        <w:pStyle w:val="CalloutTip"/>
      </w:pPr>
      <w:r>
        <w:rPr>
          <w:bCs/>
          <w:b/>
        </w:rPr>
        <w:t xml:space="preserve">Interview tip — Answer CAP questions in three sentences.</w:t>
      </w:r>
      <w:r>
        <w:t xml:space="preserve"> </w:t>
      </w:r>
      <w:r>
        <w:t xml:space="preserve">(1) CAP says that during a network partition a replicated register cannot be both linearizable and able to answer on every node. (2) So the real decision is per operation: refuse or delay (consistency) versus answer possibly stale or conflicting (availability), plus a plan to reconcile. (3) Outside partitions the trade-off is latency versus consistency, which is PACELC.</w:t>
      </w:r>
    </w:p>
    <w:bookmarkEnd w:id="2850"/>
    <w:bookmarkEnd w:id="2851"/>
    <w:bookmarkStart w:id="2858" w:name="pacelc"/>
    <w:p>
      <w:pPr>
        <w:pStyle w:val="Heading2"/>
      </w:pPr>
      <w:r>
        <w:t xml:space="preserve">25.9 PACELC</w:t>
      </w:r>
    </w:p>
    <w:bookmarkStart w:id="2855" w:name="the-formulation"/>
    <w:p>
      <w:pPr>
        <w:pStyle w:val="Heading3"/>
      </w:pPr>
      <w:r>
        <w:t xml:space="preserve">25.9.1 The formulation</w:t>
      </w:r>
    </w:p>
    <w:p>
      <w:pPr>
        <w:pStyle w:val="FirstParagraph"/>
      </w:pPr>
      <w:r>
        <w:t xml:space="preserve">Abadi observed that the consistency trade-off most systems actually make has nothing to do with partitions [Abadi 2012]. Keeping replicas synchronized costs round trips on every request, partition or not.</w:t>
      </w:r>
    </w:p>
    <w:p>
      <w:pPr>
        <w:pStyle w:val="CalloutDefinition"/>
      </w:pPr>
      <w:r>
        <w:rPr>
          <w:bCs/>
          <w:b/>
        </w:rPr>
        <w:t xml:space="preserve">DEFINITION</w:t>
      </w:r>
    </w:p>
    <w:p>
      <w:pPr>
        <w:pStyle w:val="CalloutDefinition"/>
      </w:pPr>
      <w:r>
        <w:rPr>
          <w:bCs/>
          <w:b/>
        </w:rPr>
        <w:t xml:space="preserve">Definition — PACELC.</w:t>
      </w:r>
      <w:r>
        <w:t xml:space="preserve"> </w:t>
      </w:r>
      <w:r>
        <w:t xml:space="preserve">If there is a</w:t>
      </w:r>
      <w:r>
        <w:t xml:space="preserve"> </w:t>
      </w:r>
      <w:r>
        <w:rPr>
          <w:bCs/>
          <w:b/>
        </w:rPr>
        <w:t xml:space="preserve">P</w:t>
      </w:r>
      <w:r>
        <w:t xml:space="preserve">artition, how does the system trade off</w:t>
      </w:r>
      <w:r>
        <w:t xml:space="preserve"> </w:t>
      </w:r>
      <w:r>
        <w:rPr>
          <w:bCs/>
          <w:b/>
        </w:rPr>
        <w:t xml:space="preserve">A</w:t>
      </w:r>
      <w:r>
        <w:t xml:space="preserve">vailability and</w:t>
      </w:r>
      <w:r>
        <w:t xml:space="preserve"> </w:t>
      </w:r>
      <w:r>
        <w:rPr>
          <w:bCs/>
          <w:b/>
        </w:rPr>
        <w:t xml:space="preserve">C</w:t>
      </w:r>
      <w:r>
        <w:t xml:space="preserve">onsistency;</w:t>
      </w:r>
      <w:r>
        <w:t xml:space="preserve"> </w:t>
      </w:r>
      <w:r>
        <w:rPr>
          <w:bCs/>
          <w:b/>
        </w:rPr>
        <w:t xml:space="preserve">E</w:t>
      </w:r>
      <w:r>
        <w:t xml:space="preserve">lse, when the system is running normally, how does it trade off</w:t>
      </w:r>
      <w:r>
        <w:t xml:space="preserve"> </w:t>
      </w:r>
      <w:r>
        <w:rPr>
          <w:bCs/>
          <w:b/>
        </w:rPr>
        <w:t xml:space="preserve">L</w:t>
      </w:r>
      <w:r>
        <w:t xml:space="preserve">atency and</w:t>
      </w:r>
      <w:r>
        <w:t xml:space="preserve"> </w:t>
      </w:r>
      <w:r>
        <w:rPr>
          <w:bCs/>
          <w:b/>
        </w:rPr>
        <w:t xml:space="preserve">C</w:t>
      </w:r>
      <w:r>
        <w:t xml:space="preserve">onsistency? A system is labeled by its two choices, for example PA/EL or PC/EC.</w:t>
      </w:r>
    </w:p>
    <w:p>
      <w:pPr>
        <w:pStyle w:val="BodyText"/>
      </w:pPr>
      <w:r>
        <w:rPr>
          <w:bCs/>
          <w:b/>
        </w:rPr>
        <w:t xml:space="preserve">Figure 25.12 — The PACELC decision for one operation.</w:t>
      </w:r>
    </w:p>
    <w:p>
      <w:pPr>
        <w:pStyle w:val="BodyText"/>
      </w:pPr>
      <w:r>
        <w:drawing>
          <wp:inline>
            <wp:extent cx="5334000" cy="4487813"/>
            <wp:effectExtent b="0" l="0" r="0" t="0"/>
            <wp:docPr descr="" title="" id="2853" name="Picture"/>
            <a:graphic>
              <a:graphicData uri="http://schemas.openxmlformats.org/drawingml/2006/picture">
                <pic:pic>
                  <pic:nvPicPr>
                    <pic:cNvPr descr="/home/user/System-Design/build/.cache/diagrams/102057d559f1.png" id="2854" name="Picture"/>
                    <pic:cNvPicPr>
                      <a:picLocks noChangeArrowheads="1" noChangeAspect="1"/>
                    </pic:cNvPicPr>
                  </pic:nvPicPr>
                  <pic:blipFill>
                    <a:blip r:embed="rId2852"/>
                    <a:stretch>
                      <a:fillRect/>
                    </a:stretch>
                  </pic:blipFill>
                  <pic:spPr bwMode="auto">
                    <a:xfrm>
                      <a:off x="0" y="0"/>
                      <a:ext cx="5334000" cy="4487813"/>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A request takes the left branch only while the replica cannot reach the nodes it needs; that is the CAP decision. The right branch is the everyday path, where the choice is between answering from the closest replica (low latency, possibly stale) and paying a synchronous round trip for consistency. Both decisions are made per operation and are often configurable. The failure point is the</w:t>
      </w:r>
      <w:r>
        <w:t xml:space="preserve"> </w:t>
      </w:r>
      <w:r>
        <w:t xml:space="preserve">“</w:t>
      </w:r>
      <w:r>
        <w:t xml:space="preserve">can it reach a quorum?</w:t>
      </w:r>
      <w:r>
        <w:t xml:space="preserve">”</w:t>
      </w:r>
      <w:r>
        <w:t xml:space="preserve"> </w:t>
      </w:r>
      <w:r>
        <w:t xml:space="preserve">test itself, which in practice is a timeout.</w:t>
      </w:r>
    </w:p>
    <w:bookmarkEnd w:id="2855"/>
    <w:bookmarkStart w:id="2857" w:name="classifying-real-systems"/>
    <w:p>
      <w:pPr>
        <w:pStyle w:val="Heading3"/>
      </w:pPr>
      <w:r>
        <w:t xml:space="preserve">25.9.2 Classifying real systems</w:t>
      </w:r>
    </w:p>
    <w:p>
      <w:pPr>
        <w:pStyle w:val="FirstParagraph"/>
      </w:pPr>
      <w:r>
        <w:t xml:space="preserve">Abadi’s 2012 paper labeled Dynamo, Cassandra and Riak as PA/EL; VoltDB/H-Store and Megastore as PC/EC; MongoDB as PA/EC; and Yahoo’s PNUTS as PC/EL [Abadi 2012]. Configurations have changed since; Table 25.5 gives labels for typical settings as of 2026. Treat every label as a statement about a configuration, not about a product.</w:t>
      </w:r>
    </w:p>
    <w:p>
      <w:pPr>
        <w:pStyle w:val="BodyText"/>
      </w:pPr>
      <w:r>
        <w:rPr>
          <w:bCs/>
          <w:b/>
        </w:rPr>
        <w:t xml:space="preserve">Table 25.5 — PACELC classification of real systems, by configuration (as of 2026).</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System</w:t>
            </w:r>
          </w:p>
        </w:tc>
        <w:tc>
          <w:tcPr/>
          <w:p>
            <w:pPr>
              <w:pStyle w:val="Compact"/>
              <w:jc w:val="left"/>
            </w:pPr>
            <w:r>
              <w:t xml:space="preserve">Typical configuration</w:t>
            </w:r>
          </w:p>
        </w:tc>
        <w:tc>
          <w:tcPr/>
          <w:p>
            <w:pPr>
              <w:pStyle w:val="Compact"/>
              <w:jc w:val="left"/>
            </w:pPr>
            <w:r>
              <w:t xml:space="preserve">P choice</w:t>
            </w:r>
          </w:p>
        </w:tc>
        <w:tc>
          <w:tcPr/>
          <w:p>
            <w:pPr>
              <w:pStyle w:val="Compact"/>
              <w:jc w:val="left"/>
            </w:pPr>
            <w:r>
              <w:t xml:space="preserve">E choice</w:t>
            </w:r>
          </w:p>
        </w:tc>
        <w:tc>
          <w:tcPr/>
          <w:p>
            <w:pPr>
              <w:pStyle w:val="Compact"/>
              <w:jc w:val="left"/>
            </w:pPr>
            <w:r>
              <w:t xml:space="preserve">Caveat</w:t>
            </w:r>
          </w:p>
        </w:tc>
      </w:tr>
      <w:tr>
        <w:tc>
          <w:tcPr/>
          <w:p>
            <w:pPr>
              <w:pStyle w:val="Compact"/>
              <w:jc w:val="left"/>
            </w:pPr>
            <w:r>
              <w:t xml:space="preserve">Cassandra</w:t>
            </w:r>
          </w:p>
        </w:tc>
        <w:tc>
          <w:tcPr/>
          <w:p>
            <w:pPr>
              <w:pStyle w:val="Compact"/>
              <w:jc w:val="left"/>
            </w:pPr>
            <w:r>
              <w:rPr>
                <w:rStyle w:val="VerbatimChar"/>
              </w:rPr>
              <w:t xml:space="preserve">ONE</w:t>
            </w:r>
            <w:r>
              <w:t xml:space="preserve"> </w:t>
            </w:r>
            <w:r>
              <w:t xml:space="preserve">or</w:t>
            </w:r>
            <w:r>
              <w:t xml:space="preserve"> </w:t>
            </w:r>
            <w:r>
              <w:rPr>
                <w:rStyle w:val="VerbatimChar"/>
              </w:rPr>
              <w:t xml:space="preserve">LOCAL_ONE</w:t>
            </w:r>
            <w:r>
              <w:t xml:space="preserve"> </w:t>
            </w:r>
            <w:r>
              <w:t xml:space="preserve">reads and writes</w:t>
            </w:r>
          </w:p>
        </w:tc>
        <w:tc>
          <w:tcPr/>
          <w:p>
            <w:pPr>
              <w:pStyle w:val="Compact"/>
              <w:jc w:val="left"/>
            </w:pPr>
            <w:r>
              <w:t xml:space="preserve">PA</w:t>
            </w:r>
          </w:p>
        </w:tc>
        <w:tc>
          <w:tcPr/>
          <w:p>
            <w:pPr>
              <w:pStyle w:val="Compact"/>
              <w:jc w:val="left"/>
            </w:pPr>
            <w:r>
              <w:t xml:space="preserve">EL</w:t>
            </w:r>
          </w:p>
        </w:tc>
        <w:tc>
          <w:tcPr/>
          <w:p>
            <w:pPr>
              <w:pStyle w:val="Compact"/>
              <w:jc w:val="left"/>
            </w:pPr>
            <w:r>
              <w:rPr>
                <w:rStyle w:val="VerbatimChar"/>
              </w:rPr>
              <w:t xml:space="preserve">QUORUM</w:t>
            </w:r>
            <w:r>
              <w:t xml:space="preserve"> </w:t>
            </w:r>
            <w:r>
              <w:t xml:space="preserve">both ways gives PC/EC per request; lightweight transactions use Paxos (PC/EC)</w:t>
            </w:r>
          </w:p>
        </w:tc>
      </w:tr>
      <w:tr>
        <w:tc>
          <w:tcPr/>
          <w:p>
            <w:pPr>
              <w:pStyle w:val="Compact"/>
              <w:jc w:val="left"/>
            </w:pPr>
            <w:r>
              <w:t xml:space="preserve">DynamoDB (single region)</w:t>
            </w:r>
          </w:p>
        </w:tc>
        <w:tc>
          <w:tcPr/>
          <w:p>
            <w:pPr>
              <w:pStyle w:val="Compact"/>
              <w:jc w:val="left"/>
            </w:pPr>
            <w:r>
              <w:t xml:space="preserve">Default eventually consistent reads</w:t>
            </w:r>
          </w:p>
        </w:tc>
        <w:tc>
          <w:tcPr/>
          <w:p>
            <w:pPr>
              <w:pStyle w:val="Compact"/>
              <w:jc w:val="left"/>
            </w:pPr>
            <w:r>
              <w:t xml:space="preserve">PA</w:t>
            </w:r>
          </w:p>
        </w:tc>
        <w:tc>
          <w:tcPr/>
          <w:p>
            <w:pPr>
              <w:pStyle w:val="Compact"/>
              <w:jc w:val="left"/>
            </w:pPr>
            <w:r>
              <w:t xml:space="preserve">EL</w:t>
            </w:r>
          </w:p>
        </w:tc>
        <w:tc>
          <w:tcPr/>
          <w:p>
            <w:pPr>
              <w:pStyle w:val="Compact"/>
              <w:jc w:val="left"/>
            </w:pPr>
            <w:r>
              <w:rPr>
                <w:rStyle w:val="VerbatimChar"/>
              </w:rPr>
              <w:t xml:space="preserve">ConsistentRead=true</w:t>
            </w:r>
            <w:r>
              <w:t xml:space="preserve"> </w:t>
            </w:r>
            <w:r>
              <w:t xml:space="preserve">reads the leader replica: EC, and fails rather than serve stale data</w:t>
            </w:r>
          </w:p>
        </w:tc>
      </w:tr>
      <w:tr>
        <w:tc>
          <w:tcPr/>
          <w:p>
            <w:pPr>
              <w:pStyle w:val="Compact"/>
              <w:jc w:val="left"/>
            </w:pPr>
            <w:r>
              <w:t xml:space="preserve">DynamoDB global tables</w:t>
            </w:r>
          </w:p>
        </w:tc>
        <w:tc>
          <w:tcPr/>
          <w:p>
            <w:pPr>
              <w:pStyle w:val="Compact"/>
              <w:jc w:val="left"/>
            </w:pPr>
            <w:r>
              <w:t xml:space="preserve">Multi-Region eventual consistency (default)</w:t>
            </w:r>
          </w:p>
        </w:tc>
        <w:tc>
          <w:tcPr/>
          <w:p>
            <w:pPr>
              <w:pStyle w:val="Compact"/>
              <w:jc w:val="left"/>
            </w:pPr>
            <w:r>
              <w:t xml:space="preserve">PA</w:t>
            </w:r>
          </w:p>
        </w:tc>
        <w:tc>
          <w:tcPr/>
          <w:p>
            <w:pPr>
              <w:pStyle w:val="Compact"/>
              <w:jc w:val="left"/>
            </w:pPr>
            <w:r>
              <w:t xml:space="preserve">EL</w:t>
            </w:r>
          </w:p>
        </w:tc>
        <w:tc>
          <w:tcPr/>
          <w:p>
            <w:pPr>
              <w:pStyle w:val="Compact"/>
              <w:jc w:val="left"/>
            </w:pPr>
            <w:r>
              <w:t xml:space="preserve">Multi-Region strong consistency mode (GA 2025) is PC/EC, chosen at table creation</w:t>
            </w:r>
          </w:p>
        </w:tc>
      </w:tr>
      <w:tr>
        <w:tc>
          <w:tcPr/>
          <w:p>
            <w:pPr>
              <w:pStyle w:val="Compact"/>
              <w:jc w:val="left"/>
            </w:pPr>
            <w:r>
              <w:t xml:space="preserve">Cosmos DB</w:t>
            </w:r>
          </w:p>
        </w:tc>
        <w:tc>
          <w:tcPr/>
          <w:p>
            <w:pPr>
              <w:pStyle w:val="Compact"/>
              <w:jc w:val="left"/>
            </w:pPr>
            <w:r>
              <w:t xml:space="preserve">Session (default)</w:t>
            </w:r>
          </w:p>
        </w:tc>
        <w:tc>
          <w:tcPr/>
          <w:p>
            <w:pPr>
              <w:pStyle w:val="Compact"/>
              <w:jc w:val="left"/>
            </w:pPr>
            <w:r>
              <w:t xml:space="preserve">PA</w:t>
            </w:r>
          </w:p>
        </w:tc>
        <w:tc>
          <w:tcPr/>
          <w:p>
            <w:pPr>
              <w:pStyle w:val="Compact"/>
              <w:jc w:val="left"/>
            </w:pPr>
            <w:r>
              <w:t xml:space="preserve">EL within session rules</w:t>
            </w:r>
          </w:p>
        </w:tc>
        <w:tc>
          <w:tcPr/>
          <w:p>
            <w:pPr>
              <w:pStyle w:val="Compact"/>
              <w:jc w:val="left"/>
            </w:pPr>
            <w:r>
              <w:t xml:space="preserve">Strong is PC/EC; bounded staleness is PC within its bound</w:t>
            </w:r>
          </w:p>
        </w:tc>
      </w:tr>
      <w:tr>
        <w:tc>
          <w:tcPr/>
          <w:p>
            <w:pPr>
              <w:pStyle w:val="Compact"/>
              <w:jc w:val="left"/>
            </w:pPr>
            <w:r>
              <w:t xml:space="preserve">MongoDB</w:t>
            </w:r>
          </w:p>
        </w:tc>
        <w:tc>
          <w:tcPr/>
          <w:p>
            <w:pPr>
              <w:pStyle w:val="Compact"/>
              <w:jc w:val="left"/>
            </w:pPr>
            <w:r>
              <w:rPr>
                <w:rStyle w:val="VerbatimChar"/>
              </w:rPr>
              <w:t xml:space="preserve">w: majority</w:t>
            </w:r>
            <w:r>
              <w:t xml:space="preserve">, reads from primary</w:t>
            </w:r>
          </w:p>
        </w:tc>
        <w:tc>
          <w:tcPr/>
          <w:p>
            <w:pPr>
              <w:pStyle w:val="Compact"/>
              <w:jc w:val="left"/>
            </w:pPr>
            <w:r>
              <w:t xml:space="preserve">PC</w:t>
            </w:r>
          </w:p>
        </w:tc>
        <w:tc>
          <w:tcPr/>
          <w:p>
            <w:pPr>
              <w:pStyle w:val="Compact"/>
              <w:jc w:val="left"/>
            </w:pPr>
            <w:r>
              <w:t xml:space="preserve">EC</w:t>
            </w:r>
          </w:p>
        </w:tc>
        <w:tc>
          <w:tcPr/>
          <w:p>
            <w:pPr>
              <w:pStyle w:val="Compact"/>
              <w:jc w:val="left"/>
            </w:pPr>
            <w:r>
              <w:t xml:space="preserve">Reads from secondaries are EL;</w:t>
            </w:r>
            <w:r>
              <w:t xml:space="preserve"> </w:t>
            </w:r>
            <w:r>
              <w:rPr>
                <w:rStyle w:val="VerbatimChar"/>
              </w:rPr>
              <w:t xml:space="preserve">w: 1</w:t>
            </w:r>
            <w:r>
              <w:t xml:space="preserve"> </w:t>
            </w:r>
            <w:r>
              <w:t xml:space="preserve">(pre-5.0 default) risks rollback</w:t>
            </w:r>
          </w:p>
        </w:tc>
      </w:tr>
      <w:tr>
        <w:tc>
          <w:tcPr/>
          <w:p>
            <w:pPr>
              <w:pStyle w:val="Compact"/>
              <w:jc w:val="left"/>
            </w:pPr>
            <w:r>
              <w:t xml:space="preserve">Spanner</w:t>
            </w:r>
          </w:p>
        </w:tc>
        <w:tc>
          <w:tcPr/>
          <w:p>
            <w:pPr>
              <w:pStyle w:val="Compact"/>
              <w:jc w:val="left"/>
            </w:pPr>
            <w:r>
              <w:t xml:space="preserve">Read-write transactions, strong reads</w:t>
            </w:r>
          </w:p>
        </w:tc>
        <w:tc>
          <w:tcPr/>
          <w:p>
            <w:pPr>
              <w:pStyle w:val="Compact"/>
              <w:jc w:val="left"/>
            </w:pPr>
            <w:r>
              <w:t xml:space="preserve">PC</w:t>
            </w:r>
          </w:p>
        </w:tc>
        <w:tc>
          <w:tcPr/>
          <w:p>
            <w:pPr>
              <w:pStyle w:val="Compact"/>
              <w:jc w:val="left"/>
            </w:pPr>
            <w:r>
              <w:t xml:space="preserve">EC</w:t>
            </w:r>
          </w:p>
        </w:tc>
        <w:tc>
          <w:tcPr/>
          <w:p>
            <w:pPr>
              <w:pStyle w:val="Compact"/>
              <w:jc w:val="left"/>
            </w:pPr>
            <w:r>
              <w:t xml:space="preserve">Stale reads at a past timestamp are EL</w:t>
            </w:r>
          </w:p>
        </w:tc>
      </w:tr>
      <w:tr>
        <w:tc>
          <w:tcPr/>
          <w:p>
            <w:pPr>
              <w:pStyle w:val="Compact"/>
              <w:jc w:val="left"/>
            </w:pPr>
            <w:r>
              <w:t xml:space="preserve">CockroachDB</w:t>
            </w:r>
          </w:p>
        </w:tc>
        <w:tc>
          <w:tcPr/>
          <w:p>
            <w:pPr>
              <w:pStyle w:val="Compact"/>
              <w:jc w:val="left"/>
            </w:pPr>
            <w:r>
              <w:t xml:space="preserve">Default</w:t>
            </w:r>
          </w:p>
        </w:tc>
        <w:tc>
          <w:tcPr/>
          <w:p>
            <w:pPr>
              <w:pStyle w:val="Compact"/>
              <w:jc w:val="left"/>
            </w:pPr>
            <w:r>
              <w:t xml:space="preserve">PC</w:t>
            </w:r>
          </w:p>
        </w:tc>
        <w:tc>
          <w:tcPr/>
          <w:p>
            <w:pPr>
              <w:pStyle w:val="Compact"/>
              <w:jc w:val="left"/>
            </w:pPr>
            <w:r>
              <w:t xml:space="preserve">EC</w:t>
            </w:r>
          </w:p>
        </w:tc>
        <w:tc>
          <w:tcPr/>
          <w:p>
            <w:pPr>
              <w:pStyle w:val="Compact"/>
              <w:jc w:val="left"/>
            </w:pPr>
            <w:r>
              <w:t xml:space="preserve">Follower reads with</w:t>
            </w:r>
            <w:r>
              <w:t xml:space="preserve"> </w:t>
            </w:r>
            <w:r>
              <w:rPr>
                <w:rStyle w:val="VerbatimChar"/>
              </w:rPr>
              <w:t xml:space="preserve">AS OF SYSTEM TIME</w:t>
            </w:r>
            <w:r>
              <w:t xml:space="preserve"> </w:t>
            </w:r>
            <w:r>
              <w:t xml:space="preserve">are EL</w:t>
            </w:r>
          </w:p>
        </w:tc>
      </w:tr>
      <w:tr>
        <w:tc>
          <w:tcPr/>
          <w:p>
            <w:pPr>
              <w:pStyle w:val="Compact"/>
              <w:jc w:val="left"/>
            </w:pPr>
            <w:r>
              <w:t xml:space="preserve">etcd, ZooKeeper</w:t>
            </w:r>
          </w:p>
        </w:tc>
        <w:tc>
          <w:tcPr/>
          <w:p>
            <w:pPr>
              <w:pStyle w:val="Compact"/>
              <w:jc w:val="left"/>
            </w:pPr>
            <w:r>
              <w:t xml:space="preserve">Default</w:t>
            </w:r>
          </w:p>
        </w:tc>
        <w:tc>
          <w:tcPr/>
          <w:p>
            <w:pPr>
              <w:pStyle w:val="Compact"/>
              <w:jc w:val="left"/>
            </w:pPr>
            <w:r>
              <w:t xml:space="preserve">PC</w:t>
            </w:r>
          </w:p>
        </w:tc>
        <w:tc>
          <w:tcPr/>
          <w:p>
            <w:pPr>
              <w:pStyle w:val="Compact"/>
              <w:jc w:val="left"/>
            </w:pPr>
            <w:r>
              <w:t xml:space="preserve">EC for writes</w:t>
            </w:r>
          </w:p>
        </w:tc>
        <w:tc>
          <w:tcPr/>
          <w:p>
            <w:pPr>
              <w:pStyle w:val="Compact"/>
              <w:jc w:val="left"/>
            </w:pPr>
            <w:r>
              <w:t xml:space="preserve">ZooKeeper reads are local (EL) unless preceded by</w:t>
            </w:r>
            <w:r>
              <w:t xml:space="preserve"> </w:t>
            </w:r>
            <w:r>
              <w:rPr>
                <w:rStyle w:val="VerbatimChar"/>
              </w:rPr>
              <w:t xml:space="preserve">sync</w:t>
            </w:r>
            <w:r>
              <w:t xml:space="preserve">; etcd serializable reads are EL</w:t>
            </w:r>
          </w:p>
        </w:tc>
      </w:tr>
      <w:tr>
        <w:tc>
          <w:tcPr/>
          <w:p>
            <w:pPr>
              <w:pStyle w:val="Compact"/>
              <w:jc w:val="left"/>
            </w:pPr>
            <w:r>
              <w:t xml:space="preserve">PostgreSQL with async replicas</w:t>
            </w:r>
          </w:p>
        </w:tc>
        <w:tc>
          <w:tcPr/>
          <w:p>
            <w:pPr>
              <w:pStyle w:val="Compact"/>
              <w:jc w:val="left"/>
            </w:pPr>
            <w:r>
              <w:t xml:space="preserve">Reads routed to replicas</w:t>
            </w:r>
          </w:p>
        </w:tc>
        <w:tc>
          <w:tcPr/>
          <w:p>
            <w:pPr>
              <w:pStyle w:val="Compact"/>
              <w:jc w:val="left"/>
            </w:pPr>
            <w:r>
              <w:t xml:space="preserve">PC for writes (one primary)</w:t>
            </w:r>
          </w:p>
        </w:tc>
        <w:tc>
          <w:tcPr/>
          <w:p>
            <w:pPr>
              <w:pStyle w:val="Compact"/>
              <w:jc w:val="left"/>
            </w:pPr>
            <w:r>
              <w:t xml:space="preserve">EL</w:t>
            </w:r>
          </w:p>
        </w:tc>
        <w:tc>
          <w:tcPr/>
          <w:p>
            <w:pPr>
              <w:pStyle w:val="Compact"/>
              <w:jc w:val="left"/>
            </w:pPr>
            <w:r>
              <w:t xml:space="preserve">Failover to an async replica can lose acknowledged writes</w:t>
            </w:r>
          </w:p>
        </w:tc>
      </w:tr>
    </w:tbl>
    <w:bookmarkStart w:id="2856" w:name="mathematical-foundations-50"/>
    <w:p>
      <w:pPr>
        <w:pStyle w:val="Heading4"/>
      </w:pPr>
      <w:r>
        <w:t xml:space="preserve">Mathematical foundations</w:t>
      </w:r>
    </w:p>
    <w:p>
      <w:pPr>
        <w:pStyle w:val="FirstParagraph"/>
      </w:pPr>
      <w:r>
        <w:t xml:space="preserve">The cost of</w:t>
      </w:r>
      <w:r>
        <w:t xml:space="preserve"> </w:t>
      </w:r>
      <w:r>
        <w:t xml:space="preserve">“</w:t>
      </w:r>
      <w:r>
        <w:t xml:space="preserve">EC</w:t>
      </w:r>
      <w:r>
        <w:t xml:space="preserve">”</w:t>
      </w:r>
      <w:r>
        <w:t xml:space="preserve"> </w:t>
      </w:r>
      <w:r>
        <w:t xml:space="preserve">can be priced directly. DynamoDB bills reads in</w:t>
      </w:r>
      <w:r>
        <w:t xml:space="preserve"> </w:t>
      </w:r>
      <w:r>
        <w:rPr>
          <w:bCs/>
          <w:b/>
        </w:rPr>
        <w:t xml:space="preserve">read capacity units (RCUs)</w:t>
      </w:r>
      <w:r>
        <w:t xml:space="preserve">: one RCU is one strongly consistent read per second of an item up to 4 KB, or two eventually consistent reads [AWS Docs: DynamoDB Read Consistency].</w:t>
      </w:r>
    </w:p>
    <w:p>
      <w:pPr>
        <w:pStyle w:val="CalloutFormula"/>
      </w:pPr>
      <w:r>
        <w:rPr>
          <w:bCs/>
          <w:b/>
        </w:rPr>
        <w:t xml:space="preserve">FORMULA</w:t>
      </w:r>
    </w:p>
    <w:p>
      <w:pPr>
        <w:pStyle w:val="CalloutFormula"/>
      </w:pPr>
      <w:r>
        <w:rPr>
          <w:bCs/>
          <w:b/>
        </w:rPr>
        <w:t xml:space="preserve">DynamoDB read capacity for a read rate</w:t>
      </w:r>
    </w:p>
    <w:p>
      <w:pPr>
        <w:pStyle w:val="CalloutFormula"/>
      </w:pPr>
      <m:oMathPara>
        <m:oMathParaPr>
          <m:jc m:val="center"/>
        </m:oMathParaPr>
        <m:oMath>
          <m:r>
            <m:rPr>
              <m:nor/>
              <m:sty m:val="p"/>
            </m:rPr>
            <m:t>RCU</m:t>
          </m:r>
          <m:r>
            <m:rPr>
              <m:sty m:val="p"/>
            </m:rPr>
            <m:t>=</m:t>
          </m:r>
          <m:r>
            <m:t>r</m:t>
          </m:r>
          <m:r>
            <m:rPr>
              <m:sty m:val="p"/>
            </m:rPr>
            <m:t>×</m:t>
          </m:r>
          <m:d>
            <m:dPr>
              <m:begChr m:val="⌈"/>
              <m:endChr m:val="⌉"/>
              <m:sepChr m:val=""/>
              <m:grow/>
            </m:dPr>
            <m:e>
              <m:f>
                <m:fPr>
                  <m:type m:val="bar"/>
                </m:fPr>
                <m:num>
                  <m:r>
                    <m:t>s</m:t>
                  </m:r>
                </m:num>
                <m:den>
                  <m:r>
                    <m:t>4</m:t>
                  </m:r>
                  <m:r>
                    <m:t> </m:t>
                  </m:r>
                  <m:r>
                    <m:rPr>
                      <m:nor/>
                      <m:sty m:val="p"/>
                    </m:rPr>
                    <m:t>KB</m:t>
                  </m:r>
                </m:den>
              </m:f>
            </m:e>
          </m:d>
          <m:r>
            <m:rPr>
              <m:sty m:val="p"/>
            </m:rPr>
            <m:t>×</m:t>
          </m:r>
          <m:r>
            <m:t>f</m:t>
          </m:r>
          <m:r>
            <m:rPr>
              <m:sty m:val="p"/>
            </m:rPr>
            <m:t>,</m:t>
          </m:r>
          <m:r>
            <m:t>  </m:t>
          </m:r>
          <m:r>
            <m:t>f</m:t>
          </m:r>
          <m:r>
            <m:rPr>
              <m:sty m:val="p"/>
            </m:rPr>
            <m:t>=</m:t>
          </m:r>
          <m:d>
            <m:dPr>
              <m:begChr m:val="{"/>
              <m:endChr m:val=""/>
              <m:sepChr m:val=""/>
              <m:grow/>
            </m:dPr>
            <m:e>
              <m:m>
                <m:mPr>
                  <m:baseJc m:val="center"/>
                  <m:plcHide m:val="on"/>
                  <m:mcs>
                    <m:mc>
                      <m:mcPr>
                        <m:mcJc m:val="left"/>
                        <m:count m:val="1"/>
                      </m:mcPr>
                    </m:mc>
                    <m:mc>
                      <m:mcPr>
                        <m:mcJc m:val="left"/>
                        <m:count m:val="1"/>
                      </m:mcPr>
                    </m:mc>
                  </m:mcs>
                </m:mPr>
                <m:mr>
                  <m:e>
                    <m:r>
                      <m:t>1</m:t>
                    </m:r>
                  </m:e>
                  <m:e>
                    <m:r>
                      <m:rPr>
                        <m:nor/>
                        <m:sty m:val="p"/>
                      </m:rPr>
                      <m:t>strongly consistent</m:t>
                    </m:r>
                  </m:e>
                </m:mr>
                <m:mr>
                  <m:e>
                    <m:r>
                      <m:t>0.5</m:t>
                    </m:r>
                  </m:e>
                  <m:e>
                    <m:r>
                      <m:rPr>
                        <m:nor/>
                        <m:sty m:val="p"/>
                      </m:rPr>
                      <m:t>eventually consistent</m:t>
                    </m:r>
                  </m:e>
                </m:mr>
              </m:m>
            </m:e>
          </m:d>
        </m:oMath>
      </m:oMathPara>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rPr>
                  <m:nor/>
                  <m:sty m:val="p"/>
                </m:rPr>
                <m:t>RCU</m:t>
              </m:r>
            </m:oMath>
          </w:p>
        </w:tc>
        <w:tc>
          <w:tcPr/>
          <w:p>
            <w:pPr>
              <w:pStyle w:val="Compact"/>
              <w:jc w:val="left"/>
            </w:pPr>
            <w:r>
              <w:t xml:space="preserve">Provisioned read capacity needed</w:t>
            </w:r>
          </w:p>
        </w:tc>
        <w:tc>
          <w:tcPr/>
          <w:p>
            <w:pPr>
              <w:pStyle w:val="Compact"/>
              <w:jc w:val="left"/>
            </w:pPr>
            <w:r>
              <w:t xml:space="preserve">RCU</w:t>
            </w:r>
          </w:p>
        </w:tc>
      </w:tr>
      <w:tr>
        <w:tc>
          <w:tcPr/>
          <w:p>
            <w:pPr>
              <w:pStyle w:val="Compact"/>
              <w:jc w:val="left"/>
            </w:pPr>
            <m:oMath>
              <m:r>
                <m:t>r</m:t>
              </m:r>
            </m:oMath>
          </w:p>
        </w:tc>
        <w:tc>
          <w:tcPr/>
          <w:p>
            <w:pPr>
              <w:pStyle w:val="Compact"/>
              <w:jc w:val="left"/>
            </w:pPr>
            <w:r>
              <w:t xml:space="preserve">Read rate</w:t>
            </w:r>
          </w:p>
        </w:tc>
        <w:tc>
          <w:tcPr/>
          <w:p>
            <w:pPr>
              <w:pStyle w:val="Compact"/>
              <w:jc w:val="left"/>
            </w:pPr>
            <w:r>
              <w:t xml:space="preserve">reads/s</w:t>
            </w:r>
          </w:p>
        </w:tc>
      </w:tr>
      <w:tr>
        <w:tc>
          <w:tcPr/>
          <w:p>
            <w:pPr>
              <w:pStyle w:val="Compact"/>
              <w:jc w:val="left"/>
            </w:pPr>
            <m:oMath>
              <m:r>
                <m:t>s</m:t>
              </m:r>
            </m:oMath>
          </w:p>
        </w:tc>
        <w:tc>
          <w:tcPr/>
          <w:p>
            <w:pPr>
              <w:pStyle w:val="Compact"/>
              <w:jc w:val="left"/>
            </w:pPr>
            <w:r>
              <w:t xml:space="preserve">Item size</w:t>
            </w:r>
          </w:p>
        </w:tc>
        <w:tc>
          <w:tcPr/>
          <w:p>
            <w:pPr>
              <w:pStyle w:val="Compact"/>
              <w:jc w:val="left"/>
            </w:pPr>
            <w:r>
              <w:t xml:space="preserve">KB</w:t>
            </w:r>
          </w:p>
        </w:tc>
      </w:tr>
      <w:tr>
        <w:tc>
          <w:tcPr/>
          <w:p>
            <w:pPr>
              <w:pStyle w:val="Compact"/>
              <w:jc w:val="left"/>
            </w:pPr>
            <m:oMath>
              <m:r>
                <m:t>f</m:t>
              </m:r>
            </m:oMath>
          </w:p>
        </w:tc>
        <w:tc>
          <w:tcPr/>
          <w:p>
            <w:pPr>
              <w:pStyle w:val="Compact"/>
              <w:jc w:val="left"/>
            </w:pPr>
            <w:r>
              <w:t xml:space="preserve">Consistency factor</w:t>
            </w:r>
          </w:p>
        </w:tc>
        <w:tc>
          <w:tcPr/>
          <w:p>
            <w:pPr>
              <w:pStyle w:val="Compact"/>
              <w:jc w:val="left"/>
            </w:pPr>
            <w:r>
              <w:t xml:space="preserve">RCU per 4 KB read</w:t>
            </w:r>
          </w:p>
        </w:tc>
      </w:tr>
    </w:tbl>
    <w:p>
      <w:pPr>
        <w:pStyle w:val="CalloutExample"/>
      </w:pPr>
      <w:r>
        <w:rPr>
          <w:bCs/>
          <w:b/>
        </w:rPr>
        <w:t xml:space="preserve">WORKED EXAMPLE</w:t>
      </w:r>
    </w:p>
    <w:p>
      <w:pPr>
        <w:pStyle w:val="CalloutExample"/>
      </w:pPr>
      <w:r>
        <w:rPr>
          <w:bCs/>
          <w:b/>
        </w:rPr>
        <w:t xml:space="preserve">Worked example — Paying for EC.</w:t>
      </w:r>
      <w:r>
        <w:t xml:space="preserve"> </w:t>
      </w:r>
      <w:r>
        <w:t xml:space="preserve">A profile service reads 20,000 items per second, each 6 KB.</w:t>
      </w:r>
    </w:p>
    <w:p>
      <w:pPr>
        <w:numPr>
          <w:ilvl w:val="0"/>
          <w:numId w:val="1822"/>
        </w:numPr>
        <w:pStyle w:val="Compact"/>
      </w:pPr>
      <w:r>
        <w:t xml:space="preserve">Size factor:</w:t>
      </w:r>
      <w:r>
        <w:t xml:space="preserve"> </w:t>
      </w:r>
      <m:oMath>
        <m:r>
          <m:rPr>
            <m:sty m:val="p"/>
          </m:rPr>
          <m:t>⌈</m:t>
        </m:r>
        <m:r>
          <m:t>6</m:t>
        </m:r>
        <m:r>
          <m:rPr>
            <m:sty m:val="p"/>
          </m:rPr>
          <m:t>/</m:t>
        </m:r>
        <m:r>
          <m:t>4</m:t>
        </m:r>
        <m:r>
          <m:rPr>
            <m:sty m:val="p"/>
          </m:rPr>
          <m:t>⌉</m:t>
        </m:r>
        <m:r>
          <m:rPr>
            <m:sty m:val="p"/>
          </m:rPr>
          <m:t>=</m:t>
        </m:r>
        <m:r>
          <m:t>2</m:t>
        </m:r>
      </m:oMath>
      <w:r>
        <w:t xml:space="preserve">.</w:t>
      </w:r>
    </w:p>
    <w:p>
      <w:pPr>
        <w:numPr>
          <w:ilvl w:val="0"/>
          <w:numId w:val="1822"/>
        </w:numPr>
        <w:pStyle w:val="Compact"/>
      </w:pPr>
      <w:r>
        <w:t xml:space="preserve">Eventually consistent:</w:t>
      </w:r>
      <w:r>
        <w:t xml:space="preserve"> </w:t>
      </w:r>
      <m:oMath>
        <m:r>
          <m:t>20</m:t>
        </m:r>
        <m:r>
          <m:rPr>
            <m:sty m:val="p"/>
          </m:rPr>
          <m:t>,</m:t>
        </m:r>
        <m:r>
          <m:t>000</m:t>
        </m:r>
        <m:r>
          <m:rPr>
            <m:sty m:val="p"/>
          </m:rPr>
          <m:t>×</m:t>
        </m:r>
        <m:r>
          <m:t>2</m:t>
        </m:r>
        <m:r>
          <m:rPr>
            <m:sty m:val="p"/>
          </m:rPr>
          <m:t>×</m:t>
        </m:r>
        <m:r>
          <m:t>0.5</m:t>
        </m:r>
        <m:r>
          <m:rPr>
            <m:sty m:val="p"/>
          </m:rPr>
          <m:t>=</m:t>
        </m:r>
        <m:r>
          <m:t>20</m:t>
        </m:r>
        <m:r>
          <m:rPr>
            <m:sty m:val="p"/>
          </m:rPr>
          <m:t>,</m:t>
        </m:r>
        <m:r>
          <m:t>000</m:t>
        </m:r>
      </m:oMath>
      <w:r>
        <w:t xml:space="preserve"> </w:t>
      </w:r>
      <w:r>
        <w:t xml:space="preserve">RCU.</w:t>
      </w:r>
    </w:p>
    <w:p>
      <w:pPr>
        <w:numPr>
          <w:ilvl w:val="0"/>
          <w:numId w:val="1822"/>
        </w:numPr>
        <w:pStyle w:val="Compact"/>
      </w:pPr>
      <w:r>
        <w:t xml:space="preserve">Strongly consistent:</w:t>
      </w:r>
      <w:r>
        <w:t xml:space="preserve"> </w:t>
      </w:r>
      <m:oMath>
        <m:r>
          <m:t>20</m:t>
        </m:r>
        <m:r>
          <m:rPr>
            <m:sty m:val="p"/>
          </m:rPr>
          <m:t>,</m:t>
        </m:r>
        <m:r>
          <m:t>000</m:t>
        </m:r>
        <m:r>
          <m:rPr>
            <m:sty m:val="p"/>
          </m:rPr>
          <m:t>×</m:t>
        </m:r>
        <m:r>
          <m:t>2</m:t>
        </m:r>
        <m:r>
          <m:rPr>
            <m:sty m:val="p"/>
          </m:rPr>
          <m:t>×</m:t>
        </m:r>
        <m:r>
          <m:t>1</m:t>
        </m:r>
        <m:r>
          <m:rPr>
            <m:sty m:val="p"/>
          </m:rPr>
          <m:t>=</m:t>
        </m:r>
        <m:r>
          <m:t>40</m:t>
        </m:r>
        <m:r>
          <m:rPr>
            <m:sty m:val="p"/>
          </m:rPr>
          <m:t>,</m:t>
        </m:r>
        <m:r>
          <m:t>000</m:t>
        </m:r>
      </m:oMath>
      <w:r>
        <w:t xml:space="preserve"> </w:t>
      </w:r>
      <w:r>
        <w:t xml:space="preserve">RCU.</w:t>
      </w:r>
    </w:p>
    <w:p>
      <w:pPr>
        <w:numPr>
          <w:ilvl w:val="0"/>
          <w:numId w:val="1822"/>
        </w:numPr>
        <w:pStyle w:val="Compact"/>
      </w:pPr>
      <w:r>
        <w:t xml:space="preserve">If only the 5% of reads that follow the user’s own edit need RYW and use strong reads:</w:t>
      </w:r>
      <w:r>
        <w:t xml:space="preserve"> </w:t>
      </w:r>
      <m:oMath>
        <m:r>
          <m:t>20</m:t>
        </m:r>
        <m:r>
          <m:rPr>
            <m:sty m:val="p"/>
          </m:rPr>
          <m:t>,</m:t>
        </m:r>
        <m:r>
          <m:t>000</m:t>
        </m:r>
        <m:r>
          <m:rPr>
            <m:sty m:val="p"/>
          </m:rPr>
          <m:t>×</m:t>
        </m:r>
        <m:r>
          <m:t>2</m:t>
        </m:r>
        <m:r>
          <m:rPr>
            <m:sty m:val="p"/>
          </m:rPr>
          <m:t>×</m:t>
        </m:r>
        <m:d>
          <m:dPr>
            <m:begChr m:val="("/>
            <m:endChr m:val=")"/>
            <m:sepChr m:val=""/>
            <m:grow/>
          </m:dPr>
          <m:e>
            <m:r>
              <m:t>0.95</m:t>
            </m:r>
            <m:r>
              <m:rPr>
                <m:sty m:val="p"/>
              </m:rPr>
              <m:t>×</m:t>
            </m:r>
            <m:r>
              <m:t>0.5</m:t>
            </m:r>
            <m:r>
              <m:rPr>
                <m:sty m:val="p"/>
              </m:rPr>
              <m:t>+</m:t>
            </m:r>
            <m:r>
              <m:t>0.05</m:t>
            </m:r>
            <m:r>
              <m:rPr>
                <m:sty m:val="p"/>
              </m:rPr>
              <m:t>×</m:t>
            </m:r>
            <m:r>
              <m:t>1</m:t>
            </m:r>
          </m:e>
        </m:d>
        <m:r>
          <m:rPr>
            <m:sty m:val="p"/>
          </m:rPr>
          <m:t>=</m:t>
        </m:r>
        <m:r>
          <m:t>40</m:t>
        </m:r>
        <m:r>
          <m:rPr>
            <m:sty m:val="p"/>
          </m:rPr>
          <m:t>,</m:t>
        </m:r>
        <m:r>
          <m:t>000</m:t>
        </m:r>
        <m:r>
          <m:rPr>
            <m:sty m:val="p"/>
          </m:rPr>
          <m:t>×</m:t>
        </m:r>
        <m:r>
          <m:t>0.525</m:t>
        </m:r>
        <m:r>
          <m:rPr>
            <m:sty m:val="p"/>
          </m:rPr>
          <m:t>=</m:t>
        </m:r>
        <m:r>
          <m:t>21</m:t>
        </m:r>
        <m:r>
          <m:rPr>
            <m:sty m:val="p"/>
          </m:rPr>
          <m:t>,</m:t>
        </m:r>
        <m:r>
          <m:t>000</m:t>
        </m:r>
      </m:oMath>
      <w:r>
        <w:t xml:space="preserve"> </w:t>
      </w:r>
      <w:r>
        <w:t xml:space="preserve">RCU.</w:t>
      </w:r>
    </w:p>
    <w:p>
      <w:pPr>
        <w:pStyle w:val="CalloutExample"/>
      </w:pPr>
      <w:r>
        <w:rPr>
          <w:bCs/>
          <w:b/>
        </w:rPr>
        <w:t xml:space="preserve">Interpretation.</w:t>
      </w:r>
      <w:r>
        <w:t xml:space="preserve"> </w:t>
      </w:r>
      <w:r>
        <w:t xml:space="preserve">Strong reads double read cost; applying them only where a session guarantee needs them costs 5% more than all-eventual.</w:t>
      </w:r>
      <w:r>
        <w:t xml:space="preserve"> </w:t>
      </w:r>
      <w:r>
        <w:rPr>
          <w:bCs/>
          <w:b/>
        </w:rPr>
        <w:t xml:space="preserve">Engineering implication.</w:t>
      </w:r>
      <w:r>
        <w:t xml:space="preserve"> </w:t>
      </w:r>
      <w:r>
        <w:t xml:space="preserve">Choose consistency per call site, not per table; the latency and cost difference is a property of each operation.</w:t>
      </w:r>
    </w:p>
    <w:bookmarkEnd w:id="2856"/>
    <w:bookmarkEnd w:id="2857"/>
    <w:bookmarkEnd w:id="2858"/>
    <w:bookmarkStart w:id="2862" w:name="consistency-trade-offs-in-real-databases"/>
    <w:p>
      <w:pPr>
        <w:pStyle w:val="Heading2"/>
      </w:pPr>
      <w:r>
        <w:t xml:space="preserve">25.10 Consistency trade-offs in real databases</w:t>
      </w:r>
    </w:p>
    <w:bookmarkStart w:id="2859" w:name="tunable-consistency"/>
    <w:p>
      <w:pPr>
        <w:pStyle w:val="Heading3"/>
      </w:pPr>
      <w:r>
        <w:t xml:space="preserve">25.10.1 Tunable consistency</w:t>
      </w:r>
    </w:p>
    <w:p>
      <w:pPr>
        <w:pStyle w:val="FirstParagraph"/>
      </w:pPr>
      <w:r>
        <w:t xml:space="preserve">Modern databases rarely offer one model; they offer knobs, usually per request.</w:t>
      </w:r>
    </w:p>
    <w:p>
      <w:pPr>
        <w:numPr>
          <w:ilvl w:val="0"/>
          <w:numId w:val="1823"/>
        </w:numPr>
        <w:pStyle w:val="Compact"/>
      </w:pPr>
      <w:r>
        <w:rPr>
          <w:bCs/>
          <w:b/>
        </w:rPr>
        <w:t xml:space="preserve">Cassandra</w:t>
      </w:r>
      <w:r>
        <w:t xml:space="preserve"> </w:t>
      </w:r>
      <w:r>
        <w:t xml:space="preserve">sets a consistency level per statement:</w:t>
      </w:r>
      <w:r>
        <w:t xml:space="preserve"> </w:t>
      </w:r>
      <w:r>
        <w:rPr>
          <w:rStyle w:val="VerbatimChar"/>
        </w:rPr>
        <w:t xml:space="preserve">ONE</w:t>
      </w:r>
      <w:r>
        <w:t xml:space="preserve">,</w:t>
      </w:r>
      <w:r>
        <w:t xml:space="preserve"> </w:t>
      </w:r>
      <w:r>
        <w:rPr>
          <w:rStyle w:val="VerbatimChar"/>
        </w:rPr>
        <w:t xml:space="preserve">QUORUM</w:t>
      </w:r>
      <w:r>
        <w:t xml:space="preserve">,</w:t>
      </w:r>
      <w:r>
        <w:t xml:space="preserve"> </w:t>
      </w:r>
      <w:r>
        <w:rPr>
          <w:rStyle w:val="VerbatimChar"/>
        </w:rPr>
        <w:t xml:space="preserve">LOCAL_QUORUM</w:t>
      </w:r>
      <w:r>
        <w:t xml:space="preserve"> </w:t>
      </w:r>
      <w:r>
        <w:t xml:space="preserve">(a majority in the local data center),</w:t>
      </w:r>
      <w:r>
        <w:t xml:space="preserve"> </w:t>
      </w:r>
      <w:r>
        <w:rPr>
          <w:rStyle w:val="VerbatimChar"/>
        </w:rPr>
        <w:t xml:space="preserve">EACH_QUORUM</w:t>
      </w:r>
      <w:r>
        <w:t xml:space="preserve">,</w:t>
      </w:r>
      <w:r>
        <w:t xml:space="preserve"> </w:t>
      </w:r>
      <w:r>
        <w:rPr>
          <w:rStyle w:val="VerbatimChar"/>
        </w:rPr>
        <w:t xml:space="preserve">ALL</w:t>
      </w:r>
      <w:r>
        <w:t xml:space="preserve">, and</w:t>
      </w:r>
      <w:r>
        <w:t xml:space="preserve"> </w:t>
      </w:r>
      <w:r>
        <w:rPr>
          <w:rStyle w:val="VerbatimChar"/>
        </w:rPr>
        <w:t xml:space="preserve">SERIAL</w:t>
      </w:r>
      <w:r>
        <w:t xml:space="preserve">/</w:t>
      </w:r>
      <w:r>
        <w:rPr>
          <w:rStyle w:val="VerbatimChar"/>
        </w:rPr>
        <w:t xml:space="preserve">LOCAL_SERIAL</w:t>
      </w:r>
      <w:r>
        <w:t xml:space="preserve"> </w:t>
      </w:r>
      <w:r>
        <w:t xml:space="preserve">for Paxos-based lightweight transactions such as</w:t>
      </w:r>
      <w:r>
        <w:t xml:space="preserve"> </w:t>
      </w:r>
      <w:r>
        <w:rPr>
          <w:rStyle w:val="VerbatimChar"/>
        </w:rPr>
        <w:t xml:space="preserve">INSERT ... IF NOT EXISTS</w:t>
      </w:r>
      <w:r>
        <w:t xml:space="preserve"> </w:t>
      </w:r>
      <w:r>
        <w:t xml:space="preserve">[Apache Cassandra Docs].</w:t>
      </w:r>
      <w:r>
        <w:t xml:space="preserve"> </w:t>
      </w:r>
      <w:r>
        <w:rPr>
          <w:rStyle w:val="VerbatimChar"/>
        </w:rPr>
        <w:t xml:space="preserve">LOCAL_QUORUM</w:t>
      </w:r>
      <w:r>
        <w:t xml:space="preserve"> </w:t>
      </w:r>
      <w:r>
        <w:t xml:space="preserve">reads and writes are the common production choice: overlapping quorums within a region, asynchronous replication to other regions (EL across regions).</w:t>
      </w:r>
    </w:p>
    <w:p>
      <w:pPr>
        <w:numPr>
          <w:ilvl w:val="0"/>
          <w:numId w:val="1823"/>
        </w:numPr>
        <w:pStyle w:val="Compact"/>
      </w:pPr>
      <w:r>
        <w:rPr>
          <w:bCs/>
          <w:b/>
        </w:rPr>
        <w:t xml:space="preserve">DynamoDB</w:t>
      </w:r>
      <w:r>
        <w:t xml:space="preserve"> </w:t>
      </w:r>
      <w:r>
        <w:t xml:space="preserve">makes reads eventually consistent by default;</w:t>
      </w:r>
      <w:r>
        <w:t xml:space="preserve"> </w:t>
      </w:r>
      <w:r>
        <w:rPr>
          <w:rStyle w:val="VerbatimChar"/>
        </w:rPr>
        <w:t xml:space="preserve">ConsistentRead=true</w:t>
      </w:r>
      <w:r>
        <w:t xml:space="preserve"> </w:t>
      </w:r>
      <w:r>
        <w:t xml:space="preserve">makes a</w:t>
      </w:r>
      <w:r>
        <w:t xml:space="preserve"> </w:t>
      </w:r>
      <w:r>
        <w:rPr>
          <w:rStyle w:val="VerbatimChar"/>
        </w:rPr>
        <w:t xml:space="preserve">GetItem</w:t>
      </w:r>
      <w:r>
        <w:t xml:space="preserve">,</w:t>
      </w:r>
      <w:r>
        <w:t xml:space="preserve"> </w:t>
      </w:r>
      <w:r>
        <w:rPr>
          <w:rStyle w:val="VerbatimChar"/>
        </w:rPr>
        <w:t xml:space="preserve">Query</w:t>
      </w:r>
      <w:r>
        <w:t xml:space="preserve"> </w:t>
      </w:r>
      <w:r>
        <w:t xml:space="preserve">or</w:t>
      </w:r>
      <w:r>
        <w:t xml:space="preserve"> </w:t>
      </w:r>
      <w:r>
        <w:rPr>
          <w:rStyle w:val="VerbatimChar"/>
        </w:rPr>
        <w:t xml:space="preserve">Scan</w:t>
      </w:r>
      <w:r>
        <w:t xml:space="preserve"> </w:t>
      </w:r>
      <w:r>
        <w:t xml:space="preserve">strongly consistent within a region, at twice the read cost (§25.9.2). Global secondary indexes support only eventually consistent reads [AWS Docs: DynamoDB Read Consistency].</w:t>
      </w:r>
    </w:p>
    <w:p>
      <w:pPr>
        <w:numPr>
          <w:ilvl w:val="0"/>
          <w:numId w:val="1823"/>
        </w:numPr>
        <w:pStyle w:val="Compact"/>
      </w:pPr>
      <w:r>
        <w:rPr>
          <w:bCs/>
          <w:b/>
        </w:rPr>
        <w:t xml:space="preserve">MongoDB</w:t>
      </w:r>
      <w:r>
        <w:t xml:space="preserve"> </w:t>
      </w:r>
      <w:r>
        <w:t xml:space="preserve">combines write concern (</w:t>
      </w:r>
      <w:r>
        <w:rPr>
          <w:rStyle w:val="VerbatimChar"/>
        </w:rPr>
        <w:t xml:space="preserve">w: 1</w:t>
      </w:r>
      <w:r>
        <w:t xml:space="preserve">,</w:t>
      </w:r>
      <w:r>
        <w:t xml:space="preserve"> </w:t>
      </w:r>
      <w:r>
        <w:rPr>
          <w:rStyle w:val="VerbatimChar"/>
        </w:rPr>
        <w:t xml:space="preserve">w: majority</w:t>
      </w:r>
      <w:r>
        <w:t xml:space="preserve">), read concern (</w:t>
      </w:r>
      <w:r>
        <w:rPr>
          <w:rStyle w:val="VerbatimChar"/>
        </w:rPr>
        <w:t xml:space="preserve">local</w:t>
      </w:r>
      <w:r>
        <w:t xml:space="preserve">,</w:t>
      </w:r>
      <w:r>
        <w:t xml:space="preserve"> </w:t>
      </w:r>
      <w:r>
        <w:rPr>
          <w:rStyle w:val="VerbatimChar"/>
        </w:rPr>
        <w:t xml:space="preserve">majority</w:t>
      </w:r>
      <w:r>
        <w:t xml:space="preserve">,</w:t>
      </w:r>
      <w:r>
        <w:t xml:space="preserve"> </w:t>
      </w:r>
      <w:r>
        <w:rPr>
          <w:rStyle w:val="VerbatimChar"/>
        </w:rPr>
        <w:t xml:space="preserve">linearizable</w:t>
      </w:r>
      <w:r>
        <w:t xml:space="preserve">,</w:t>
      </w:r>
      <w:r>
        <w:t xml:space="preserve"> </w:t>
      </w:r>
      <w:r>
        <w:rPr>
          <w:rStyle w:val="VerbatimChar"/>
        </w:rPr>
        <w:t xml:space="preserve">snapshot</w:t>
      </w:r>
      <w:r>
        <w:t xml:space="preserve">) and read preference (primary or secondaries).</w:t>
      </w:r>
      <w:r>
        <w:t xml:space="preserve"> </w:t>
      </w:r>
      <w:r>
        <w:rPr>
          <w:rStyle w:val="VerbatimChar"/>
        </w:rPr>
        <w:t xml:space="preserve">linearizable</w:t>
      </w:r>
      <w:r>
        <w:t xml:space="preserve"> </w:t>
      </w:r>
      <w:r>
        <w:t xml:space="preserve">read concern on the primary confirms with a majority before returning [MongoDB Docs: Read Concern].</w:t>
      </w:r>
    </w:p>
    <w:p>
      <w:pPr>
        <w:numPr>
          <w:ilvl w:val="0"/>
          <w:numId w:val="1823"/>
        </w:numPr>
        <w:pStyle w:val="Compact"/>
      </w:pPr>
      <w:r>
        <w:rPr>
          <w:bCs/>
          <w:b/>
        </w:rPr>
        <w:t xml:space="preserve">Follower reads.</w:t>
      </w:r>
      <w:r>
        <w:t xml:space="preserve"> </w:t>
      </w:r>
      <w:r>
        <w:t xml:space="preserve">CockroachDB and Spanner let a query read a slightly old, consistent snapshot from the nearest replica: CockroachDB with</w:t>
      </w:r>
      <w:r>
        <w:t xml:space="preserve"> </w:t>
      </w:r>
      <w:r>
        <w:rPr>
          <w:rStyle w:val="VerbatimChar"/>
        </w:rPr>
        <w:t xml:space="preserve">AS OF SYSTEM TIME follower_read_timestamp()</w:t>
      </w:r>
      <w:r>
        <w:t xml:space="preserve">, Spanner with</w:t>
      </w:r>
      <w:r>
        <w:t xml:space="preserve"> </w:t>
      </w:r>
      <w:r>
        <w:rPr>
          <w:bCs/>
          <w:b/>
        </w:rPr>
        <w:t xml:space="preserve">bounded-staleness</w:t>
      </w:r>
      <w:r>
        <w:t xml:space="preserve"> </w:t>
      </w:r>
      <w:r>
        <w:t xml:space="preserve">or</w:t>
      </w:r>
      <w:r>
        <w:t xml:space="preserve"> </w:t>
      </w:r>
      <w:r>
        <w:rPr>
          <w:bCs/>
          <w:b/>
        </w:rPr>
        <w:t xml:space="preserve">exact-staleness</w:t>
      </w:r>
      <w:r>
        <w:t xml:space="preserve"> </w:t>
      </w:r>
      <w:r>
        <w:t xml:space="preserve">reads [CockroachDB Docs: Follower Reads; Google Cloud Docs: Spanner Reads]. The read is serializable but not linearizable: it is a correct view of the past.</w:t>
      </w:r>
    </w:p>
    <w:bookmarkEnd w:id="2859"/>
    <w:bookmarkStart w:id="2860" w:name="cosmos-dbs-five-levels"/>
    <w:p>
      <w:pPr>
        <w:pStyle w:val="Heading3"/>
      </w:pPr>
      <w:r>
        <w:t xml:space="preserve">25.10.2 Cosmos DB’s five levels</w:t>
      </w:r>
    </w:p>
    <w:p>
      <w:pPr>
        <w:pStyle w:val="FirstParagraph"/>
      </w:pPr>
      <w:r>
        <w:t xml:space="preserve">Azure Cosmos DB exposes five named levels, which map neatly onto this chapter’s models [Microsoft Docs: Cosmos DB Consistency Levels].</w:t>
      </w:r>
    </w:p>
    <w:p>
      <w:pPr>
        <w:pStyle w:val="BodyText"/>
      </w:pPr>
      <w:r>
        <w:rPr>
          <w:bCs/>
          <w:b/>
        </w:rPr>
        <w:t xml:space="preserve">Table 25.6 — Azure Cosmos DB consistency levels (as of 2026).</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Level</w:t>
            </w:r>
          </w:p>
        </w:tc>
        <w:tc>
          <w:tcPr/>
          <w:p>
            <w:pPr>
              <w:pStyle w:val="Compact"/>
              <w:jc w:val="left"/>
            </w:pPr>
            <w:r>
              <w:t xml:space="preserve">Guarantee</w:t>
            </w:r>
          </w:p>
        </w:tc>
        <w:tc>
          <w:tcPr/>
          <w:p>
            <w:pPr>
              <w:pStyle w:val="Compact"/>
              <w:jc w:val="left"/>
            </w:pPr>
            <w:r>
              <w:t xml:space="preserve">Closest model in this chapter</w:t>
            </w:r>
          </w:p>
        </w:tc>
        <w:tc>
          <w:tcPr/>
          <w:p>
            <w:pPr>
              <w:pStyle w:val="Compact"/>
              <w:jc w:val="left"/>
            </w:pPr>
            <w:r>
              <w:t xml:space="preserve">Notes</w:t>
            </w:r>
          </w:p>
        </w:tc>
      </w:tr>
      <w:tr>
        <w:tc>
          <w:tcPr/>
          <w:p>
            <w:pPr>
              <w:pStyle w:val="Compact"/>
              <w:jc w:val="left"/>
            </w:pPr>
            <w:r>
              <w:t xml:space="preserve">Strong</w:t>
            </w:r>
          </w:p>
        </w:tc>
        <w:tc>
          <w:tcPr/>
          <w:p>
            <w:pPr>
              <w:pStyle w:val="Compact"/>
              <w:jc w:val="left"/>
            </w:pPr>
            <w:r>
              <w:t xml:space="preserve">Reads see the latest committed write</w:t>
            </w:r>
          </w:p>
        </w:tc>
        <w:tc>
          <w:tcPr/>
          <w:p>
            <w:pPr>
              <w:pStyle w:val="Compact"/>
              <w:jc w:val="left"/>
            </w:pPr>
            <w:r>
              <w:t xml:space="preserve">Linearizable</w:t>
            </w:r>
          </w:p>
        </w:tc>
        <w:tc>
          <w:tcPr/>
          <w:p>
            <w:pPr>
              <w:pStyle w:val="Compact"/>
              <w:jc w:val="left"/>
            </w:pPr>
            <w:r>
              <w:t xml:space="preserve">Writes wait for a majority in every region; not offered with multiple write regions</w:t>
            </w:r>
          </w:p>
        </w:tc>
      </w:tr>
      <w:tr>
        <w:tc>
          <w:tcPr/>
          <w:p>
            <w:pPr>
              <w:pStyle w:val="Compact"/>
              <w:jc w:val="left"/>
            </w:pPr>
            <w:r>
              <w:t xml:space="preserve">Bounded staleness</w:t>
            </w:r>
          </w:p>
        </w:tc>
        <w:tc>
          <w:tcPr/>
          <w:p>
            <w:pPr>
              <w:pStyle w:val="Compact"/>
              <w:jc w:val="left"/>
            </w:pPr>
            <w:r>
              <w:t xml:space="preserve">Reads lag writes by at most</w:t>
            </w:r>
            <w:r>
              <w:t xml:space="preserve"> </w:t>
            </w:r>
            <m:oMath>
              <m:r>
                <m:t>K</m:t>
              </m:r>
            </m:oMath>
            <w:r>
              <w:t xml:space="preserve"> </w:t>
            </w:r>
            <w:r>
              <w:t xml:space="preserve">versions or</w:t>
            </w:r>
            <w:r>
              <w:t xml:space="preserve"> </w:t>
            </w:r>
            <m:oMath>
              <m:r>
                <m:t>T</m:t>
              </m:r>
            </m:oMath>
            <w:r>
              <w:t xml:space="preserve"> </w:t>
            </w:r>
            <w:r>
              <w:t xml:space="preserve">seconds</w:t>
            </w:r>
          </w:p>
        </w:tc>
        <w:tc>
          <w:tcPr/>
          <w:p>
            <w:pPr>
              <w:pStyle w:val="Compact"/>
              <w:jc w:val="left"/>
            </w:pPr>
            <w:r>
              <w:t xml:space="preserve">Linearizable outside the window; consistent prefix inside it</w:t>
            </w:r>
          </w:p>
        </w:tc>
        <w:tc>
          <w:tcPr/>
          <w:p>
            <w:pPr>
              <w:pStyle w:val="Compact"/>
              <w:jc w:val="left"/>
            </w:pPr>
            <w:r>
              <w:t xml:space="preserve">Minimum bounds depend on single- or multi-region writes</w:t>
            </w:r>
          </w:p>
        </w:tc>
      </w:tr>
      <w:tr>
        <w:tc>
          <w:tcPr/>
          <w:p>
            <w:pPr>
              <w:pStyle w:val="Compact"/>
              <w:jc w:val="left"/>
            </w:pPr>
            <w:r>
              <w:t xml:space="preserve">Session (default)</w:t>
            </w:r>
          </w:p>
        </w:tc>
        <w:tc>
          <w:tcPr/>
          <w:p>
            <w:pPr>
              <w:pStyle w:val="Compact"/>
              <w:jc w:val="left"/>
            </w:pPr>
            <w:r>
              <w:t xml:space="preserve">RYW, MR, MW, WFR within a session token</w:t>
            </w:r>
          </w:p>
        </w:tc>
        <w:tc>
          <w:tcPr/>
          <w:p>
            <w:pPr>
              <w:pStyle w:val="Compact"/>
              <w:jc w:val="left"/>
            </w:pPr>
            <w:r>
              <w:t xml:space="preserve">Session guarantees (§25.6)</w:t>
            </w:r>
          </w:p>
        </w:tc>
        <w:tc>
          <w:tcPr/>
          <w:p>
            <w:pPr>
              <w:pStyle w:val="Compact"/>
              <w:jc w:val="left"/>
            </w:pPr>
            <w:r>
              <w:t xml:space="preserve">Other sessions see consistent prefix</w:t>
            </w:r>
          </w:p>
        </w:tc>
      </w:tr>
      <w:tr>
        <w:tc>
          <w:tcPr/>
          <w:p>
            <w:pPr>
              <w:pStyle w:val="Compact"/>
              <w:jc w:val="left"/>
            </w:pPr>
            <w:r>
              <w:t xml:space="preserve">Consistent prefix</w:t>
            </w:r>
          </w:p>
        </w:tc>
        <w:tc>
          <w:tcPr/>
          <w:p>
            <w:pPr>
              <w:pStyle w:val="Compact"/>
              <w:jc w:val="left"/>
            </w:pPr>
            <w:r>
              <w:t xml:space="preserve">Never see writes out of order or with gaps</w:t>
            </w:r>
          </w:p>
        </w:tc>
        <w:tc>
          <w:tcPr/>
          <w:p>
            <w:pPr>
              <w:pStyle w:val="Compact"/>
              <w:jc w:val="left"/>
            </w:pPr>
            <w:r>
              <w:t xml:space="preserve">Ordered prefix of a single log, no recency bound</w:t>
            </w:r>
          </w:p>
        </w:tc>
        <w:tc>
          <w:tcPr/>
          <w:p>
            <w:pPr>
              <w:pStyle w:val="Compact"/>
              <w:jc w:val="left"/>
            </w:pPr>
            <w:r>
              <w:t xml:space="preserve">Reads may be arbitrarily old</w:t>
            </w:r>
          </w:p>
        </w:tc>
      </w:tr>
      <w:tr>
        <w:tc>
          <w:tcPr/>
          <w:p>
            <w:pPr>
              <w:pStyle w:val="Compact"/>
              <w:jc w:val="left"/>
            </w:pPr>
            <w:r>
              <w:t xml:space="preserve">Eventual</w:t>
            </w:r>
          </w:p>
        </w:tc>
        <w:tc>
          <w:tcPr/>
          <w:p>
            <w:pPr>
              <w:pStyle w:val="Compact"/>
              <w:jc w:val="left"/>
            </w:pPr>
            <w:r>
              <w:t xml:space="preserve">Convergence only</w:t>
            </w:r>
          </w:p>
        </w:tc>
        <w:tc>
          <w:tcPr/>
          <w:p>
            <w:pPr>
              <w:pStyle w:val="Compact"/>
              <w:jc w:val="left"/>
            </w:pPr>
            <w:r>
              <w:t xml:space="preserve">Eventual</w:t>
            </w:r>
          </w:p>
        </w:tc>
        <w:tc>
          <w:tcPr/>
          <w:p>
            <w:pPr>
              <w:pStyle w:val="Compact"/>
              <w:jc w:val="left"/>
            </w:pPr>
            <w:r>
              <w:t xml:space="preserve">Lowest latency and cost</w:t>
            </w:r>
          </w:p>
        </w:tc>
      </w:tr>
    </w:tbl>
    <w:bookmarkEnd w:id="2860"/>
    <w:bookmarkStart w:id="2861" w:name="external-consistency-in-spanner"/>
    <w:p>
      <w:pPr>
        <w:pStyle w:val="Heading3"/>
      </w:pPr>
      <w:r>
        <w:t xml:space="preserve">25.10.3 External consistency in Spanner</w:t>
      </w:r>
    </w:p>
    <w:p>
      <w:pPr>
        <w:pStyle w:val="FirstParagraph"/>
      </w:pPr>
      <w:r>
        <w:t xml:space="preserve">Spanner provides</w:t>
      </w:r>
      <w:r>
        <w:t xml:space="preserve"> </w:t>
      </w:r>
      <w:r>
        <w:rPr>
          <w:bCs/>
          <w:b/>
        </w:rPr>
        <w:t xml:space="preserve">external consistency</w:t>
      </w:r>
      <w:r>
        <w:t xml:space="preserve">, which is strict serializability for transactions: if transaction</w:t>
      </w:r>
      <w:r>
        <w:t xml:space="preserve"> </w:t>
      </w:r>
      <m:oMath>
        <m:sSub>
          <m:e>
            <m:r>
              <m:t>T</m:t>
            </m:r>
          </m:e>
          <m:sub>
            <m:r>
              <m:t>1</m:t>
            </m:r>
          </m:sub>
        </m:sSub>
      </m:oMath>
      <w:r>
        <w:t xml:space="preserve"> </w:t>
      </w:r>
      <w:r>
        <w:t xml:space="preserve">commits before</w:t>
      </w:r>
      <w:r>
        <w:t xml:space="preserve"> </w:t>
      </w:r>
      <m:oMath>
        <m:sSub>
          <m:e>
            <m:r>
              <m:t>T</m:t>
            </m:r>
          </m:e>
          <m:sub>
            <m:r>
              <m:t>2</m:t>
            </m:r>
          </m:sub>
        </m:sSub>
      </m:oMath>
      <w:r>
        <w:t xml:space="preserve"> </w:t>
      </w:r>
      <w:r>
        <w:t xml:space="preserve">starts,</w:t>
      </w:r>
      <w:r>
        <w:t xml:space="preserve"> </w:t>
      </w:r>
      <m:oMath>
        <m:sSub>
          <m:e>
            <m:r>
              <m:t>T</m:t>
            </m:r>
          </m:e>
          <m:sub>
            <m:r>
              <m:t>1</m:t>
            </m:r>
          </m:sub>
        </m:sSub>
      </m:oMath>
      <w:r>
        <w:t xml:space="preserve">’s commit timestamp is smaller [Corbett et al. 2012]. It achieves this with TrueTime, a clock API that returns an interval guaranteed to contain true time, and a</w:t>
      </w:r>
      <w:r>
        <w:t xml:space="preserve"> </w:t>
      </w:r>
      <w:r>
        <w:rPr>
          <w:bCs/>
          <w:b/>
        </w:rPr>
        <w:t xml:space="preserve">commit wait</w:t>
      </w:r>
      <w:r>
        <w:t xml:space="preserve">: a transaction does not report success until its timestamp is definitely in the past everywhere. The cost is a commit wait of about twice the clock uncertainty (about 8 ms at the paper’s typical uncertainty of 4 ms), which overlaps the Paxos round trip that logs the commit, so a commit takes roughly the larger of the two. Chapter 28 (§28.8.2) treats the mechanism.</w:t>
      </w:r>
    </w:p>
    <w:p>
      <w:pPr>
        <w:pStyle w:val="CalloutIndustry"/>
      </w:pPr>
      <w:r>
        <w:rPr>
          <w:bCs/>
          <w:b/>
        </w:rPr>
        <w:t xml:space="preserve">INDUSTRY EXAMPLE</w:t>
      </w:r>
    </w:p>
    <w:p>
      <w:pPr>
        <w:pStyle w:val="CalloutIndustry"/>
      </w:pPr>
      <w:r>
        <w:rPr>
          <w:bCs/>
          <w:b/>
        </w:rPr>
        <w:t xml:space="preserve">Amazon DynamoDB global tables with multi-Region strong consistency.</w:t>
      </w:r>
      <w:r>
        <w:t xml:space="preserve"> </w:t>
      </w:r>
      <w:r>
        <w:t xml:space="preserve">Global tables historically replicated asynchronously between regions with last-writer-wins resolution. In June 2025 AWS made a multi-Region strong consistency (MRSC) mode generally available, so that strongly consistent reads in any participating region return the latest write, with a recovery point objective of zero. The mode is selected when the table is created; writes pay cross-region replication latency.</w:t>
      </w:r>
      <w:r>
        <w:t xml:space="preserve"> </w:t>
      </w:r>
      <w:r>
        <w:rPr>
          <w:iCs/>
          <w:i/>
        </w:rPr>
        <w:t xml:space="preserve">Evidence: Primary</w:t>
      </w:r>
      <w:r>
        <w:t xml:space="preserve"> </w:t>
      </w:r>
      <w:r>
        <w:t xml:space="preserve">— [AWS 2025: DynamoDB MRSC]</w:t>
      </w:r>
    </w:p>
    <w:p>
      <w:pPr>
        <w:pStyle w:val="CalloutRecommendation"/>
      </w:pPr>
      <w:r>
        <w:rPr>
          <w:bCs/>
          <w:b/>
        </w:rPr>
        <w:t xml:space="preserve">RECOMMENDATION</w:t>
      </w:r>
    </w:p>
    <w:p>
      <w:pPr>
        <w:pStyle w:val="CalloutRecommendation"/>
      </w:pPr>
      <w:r>
        <w:rPr>
          <w:bCs/>
          <w:b/>
        </w:rPr>
        <w:t xml:space="preserve">Recommendation — Choose consistency per operation.</w:t>
      </w:r>
      <w:r>
        <w:t xml:space="preserve"> </w:t>
      </w:r>
      <w:r>
        <w:t xml:space="preserve">List each operation and ask: does a stale or reordered answer cause a wrong decision (money, inventory, uniqueness, authorization) or only a cosmetic glitch? Give the first group linearizable operations (leader reads, quorum reads, conditional writes, strong reads); give user-facing reads of a user’s own data session guarantees; serve everything else eventually consistent from the nearest replica. Write the choice into the API documentation.</w:t>
      </w:r>
    </w:p>
    <w:bookmarkEnd w:id="2861"/>
    <w:bookmarkEnd w:id="2862"/>
    <w:bookmarkStart w:id="2870" w:name="jepsen-style-testing"/>
    <w:p>
      <w:pPr>
        <w:pStyle w:val="Heading2"/>
      </w:pPr>
      <w:r>
        <w:t xml:space="preserve">25.11 Jepsen-style testing</w:t>
      </w:r>
    </w:p>
    <w:bookmarkStart w:id="2867" w:name="why-test-consistency"/>
    <w:p>
      <w:pPr>
        <w:pStyle w:val="Heading3"/>
      </w:pPr>
      <w:r>
        <w:t xml:space="preserve">25.11.1 Why test consistency?</w:t>
      </w:r>
    </w:p>
    <w:p>
      <w:pPr>
        <w:pStyle w:val="FirstParagraph"/>
      </w:pPr>
      <w:r>
        <w:t xml:space="preserve">A consistency model is a claim about</w:t>
      </w:r>
      <w:r>
        <w:t xml:space="preserve"> </w:t>
      </w:r>
      <w:r>
        <w:rPr>
          <w:iCs/>
          <w:i/>
        </w:rPr>
        <w:t xml:space="preserve">all</w:t>
      </w:r>
      <w:r>
        <w:t xml:space="preserve"> </w:t>
      </w:r>
      <w:r>
        <w:t xml:space="preserve">histories under</w:t>
      </w:r>
      <w:r>
        <w:t xml:space="preserve"> </w:t>
      </w:r>
      <w:r>
        <w:rPr>
          <w:iCs/>
          <w:i/>
        </w:rPr>
        <w:t xml:space="preserve">all</w:t>
      </w:r>
      <w:r>
        <w:t xml:space="preserve"> </w:t>
      </w:r>
      <w:r>
        <w:t xml:space="preserve">allowed faults. Unit tests exercise a handful of interleavings without faults, where most systems behave linearizably. Bugs live in rare windows: a leader paused by garbage collection while a new one is elected, a partition during a membership change, a clock jump during lease renewal. Kyle Kingsbury’s</w:t>
      </w:r>
      <w:r>
        <w:t xml:space="preserve"> </w:t>
      </w:r>
      <w:r>
        <w:rPr>
          <w:bCs/>
          <w:b/>
        </w:rPr>
        <w:t xml:space="preserve">Jepsen</w:t>
      </w:r>
      <w:r>
        <w:t xml:space="preserve"> </w:t>
      </w:r>
      <w:r>
        <w:t xml:space="preserve">project, started in 2013, tests real databases by generating concurrent operations, injecting faults, recording the history, and checking it against a model [Kingsbury: Jepsen].</w:t>
      </w:r>
    </w:p>
    <w:bookmarkStart w:id="2866" w:name="how-it-works-internally-93"/>
    <w:p>
      <w:pPr>
        <w:pStyle w:val="Heading4"/>
      </w:pPr>
      <w:r>
        <w:t xml:space="preserve">How it works internally</w:t>
      </w:r>
    </w:p>
    <w:p>
      <w:pPr>
        <w:numPr>
          <w:ilvl w:val="0"/>
          <w:numId w:val="1824"/>
        </w:numPr>
        <w:pStyle w:val="Compact"/>
      </w:pPr>
      <w:r>
        <w:rPr>
          <w:bCs/>
          <w:b/>
        </w:rPr>
        <w:t xml:space="preserve">Set up</w:t>
      </w:r>
      <w:r>
        <w:t xml:space="preserve"> </w:t>
      </w:r>
      <w:r>
        <w:t xml:space="preserve">a cluster (typically five nodes) and a control node that runs the test.</w:t>
      </w:r>
    </w:p>
    <w:p>
      <w:pPr>
        <w:numPr>
          <w:ilvl w:val="0"/>
          <w:numId w:val="1824"/>
        </w:numPr>
        <w:pStyle w:val="Compact"/>
      </w:pPr>
      <w:r>
        <w:rPr>
          <w:bCs/>
          <w:b/>
        </w:rPr>
        <w:t xml:space="preserve">Generate</w:t>
      </w:r>
      <w:r>
        <w:t xml:space="preserve"> </w:t>
      </w:r>
      <w:r>
        <w:t xml:space="preserve">a workload: many concurrent clients issue randomized operations, such as reads, writes and compare-and-set on registers, or transactions appending to lists.</w:t>
      </w:r>
    </w:p>
    <w:p>
      <w:pPr>
        <w:numPr>
          <w:ilvl w:val="0"/>
          <w:numId w:val="1824"/>
        </w:numPr>
        <w:pStyle w:val="Compact"/>
      </w:pPr>
      <w:r>
        <w:rPr>
          <w:bCs/>
          <w:b/>
        </w:rPr>
        <w:t xml:space="preserve">Inject faults</w:t>
      </w:r>
      <w:r>
        <w:t xml:space="preserve"> </w:t>
      </w:r>
      <w:r>
        <w:t xml:space="preserve">with a</w:t>
      </w:r>
      <w:r>
        <w:t xml:space="preserve"> </w:t>
      </w:r>
      <w:r>
        <w:rPr>
          <w:bCs/>
          <w:b/>
        </w:rPr>
        <w:t xml:space="preserve">nemesis</w:t>
      </w:r>
      <w:r>
        <w:t xml:space="preserve">: network partitions (via firewall rules), process crashes and pauses (</w:t>
      </w:r>
      <w:r>
        <w:rPr>
          <w:rStyle w:val="VerbatimChar"/>
        </w:rPr>
        <w:t xml:space="preserve">SIGSTOP</w:t>
      </w:r>
      <w:r>
        <w:t xml:space="preserve">), clock skew, disk faults, membership changes.</w:t>
      </w:r>
    </w:p>
    <w:p>
      <w:pPr>
        <w:numPr>
          <w:ilvl w:val="0"/>
          <w:numId w:val="1824"/>
        </w:numPr>
        <w:pStyle w:val="Compact"/>
      </w:pPr>
      <w:r>
        <w:rPr>
          <w:bCs/>
          <w:b/>
        </w:rPr>
        <w:t xml:space="preserve">Record a history</w:t>
      </w:r>
      <w:r>
        <w:t xml:space="preserve">: every invocation and completion with its result, marking timed-out operations as</w:t>
      </w:r>
      <w:r>
        <w:t xml:space="preserve"> </w:t>
      </w:r>
      <w:r>
        <w:rPr>
          <w:bCs/>
          <w:b/>
        </w:rPr>
        <w:t xml:space="preserve">indeterminate</w:t>
      </w:r>
      <w:r>
        <w:t xml:space="preserve"> </w:t>
      </w:r>
      <w:r>
        <w:t xml:space="preserve">(</w:t>
      </w:r>
      <w:r>
        <w:rPr>
          <w:rStyle w:val="VerbatimChar"/>
        </w:rPr>
        <w:t xml:space="preserve">:info</w:t>
      </w:r>
      <w:r>
        <w:t xml:space="preserve">), exactly like H6 in §25.3.3.</w:t>
      </w:r>
    </w:p>
    <w:p>
      <w:pPr>
        <w:numPr>
          <w:ilvl w:val="0"/>
          <w:numId w:val="1824"/>
        </w:numPr>
        <w:pStyle w:val="Compact"/>
      </w:pPr>
      <w:r>
        <w:rPr>
          <w:bCs/>
          <w:b/>
        </w:rPr>
        <w:t xml:space="preserve">Check</w:t>
      </w:r>
      <w:r>
        <w:t xml:space="preserve"> </w:t>
      </w:r>
      <w:r>
        <w:t xml:space="preserve">the history: a linearizability checker for single-object workloads, or a transactional checker for isolation levels.</w:t>
      </w:r>
    </w:p>
    <w:p>
      <w:pPr>
        <w:pStyle w:val="FirstParagraph"/>
      </w:pPr>
      <w:r>
        <w:rPr>
          <w:bCs/>
          <w:b/>
        </w:rPr>
        <w:t xml:space="preserve">Figure 25.13 — Architecture of a Jepsen test.</w:t>
      </w:r>
    </w:p>
    <w:p>
      <w:pPr>
        <w:pStyle w:val="BodyText"/>
      </w:pPr>
      <w:r>
        <w:drawing>
          <wp:inline>
            <wp:extent cx="5334000" cy="3407306"/>
            <wp:effectExtent b="0" l="0" r="0" t="0"/>
            <wp:docPr descr="" title="" id="2864" name="Picture"/>
            <a:graphic>
              <a:graphicData uri="http://schemas.openxmlformats.org/drawingml/2006/picture">
                <pic:pic>
                  <pic:nvPicPr>
                    <pic:cNvPr descr="/home/user/System-Design/build/.cache/diagrams/0b57fd28f02d.png" id="2865" name="Picture"/>
                    <pic:cNvPicPr>
                      <a:picLocks noChangeArrowheads="1" noChangeAspect="1"/>
                    </pic:cNvPicPr>
                  </pic:nvPicPr>
                  <pic:blipFill>
                    <a:blip r:embed="rId2863"/>
                    <a:stretch>
                      <a:fillRect/>
                    </a:stretch>
                  </pic:blipFill>
                  <pic:spPr bwMode="auto">
                    <a:xfrm>
                      <a:off x="0" y="0"/>
                      <a:ext cx="5334000" cy="3407306"/>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generator schedules operations for many client threads, which call the database over its native protocol synchronously. The nemesis acts asynchronously on the nodes over SSH. Every event goes to the history log (the storage boundary for test evidence), and the checker analyzes it offline after the run. Failure points are deliberate: the nemesis creates them. The checker is the scaling bottleneck: linearizability checking is NP-complete, so tests keep concurrency and history length modest or partition the history by key.</w:t>
      </w:r>
    </w:p>
    <w:bookmarkEnd w:id="2866"/>
    <w:bookmarkEnd w:id="2867"/>
    <w:bookmarkStart w:id="2868" w:name="checkers"/>
    <w:p>
      <w:pPr>
        <w:pStyle w:val="Heading3"/>
      </w:pPr>
      <w:r>
        <w:t xml:space="preserve">25.11.2 Checkers</w:t>
      </w:r>
    </w:p>
    <w:p>
      <w:pPr>
        <w:pStyle w:val="FirstParagraph"/>
      </w:pPr>
      <w:r>
        <w:rPr>
          <w:bCs/>
          <w:b/>
        </w:rPr>
        <w:t xml:space="preserve">Table 25.7 — History checkers.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Checker</w:t>
            </w:r>
          </w:p>
        </w:tc>
        <w:tc>
          <w:tcPr/>
          <w:p>
            <w:pPr>
              <w:pStyle w:val="Compact"/>
              <w:jc w:val="left"/>
            </w:pPr>
            <w:r>
              <w:t xml:space="preserve">What it checks</w:t>
            </w:r>
          </w:p>
        </w:tc>
        <w:tc>
          <w:tcPr/>
          <w:p>
            <w:pPr>
              <w:pStyle w:val="Compact"/>
              <w:jc w:val="left"/>
            </w:pPr>
            <w:r>
              <w:t xml:space="preserve">Method</w:t>
            </w:r>
          </w:p>
        </w:tc>
        <w:tc>
          <w:tcPr/>
          <w:p>
            <w:pPr>
              <w:pStyle w:val="Compact"/>
              <w:jc w:val="left"/>
            </w:pPr>
            <w:r>
              <w:t xml:space="preserve">Notes</w:t>
            </w:r>
          </w:p>
        </w:tc>
      </w:tr>
      <w:tr>
        <w:tc>
          <w:tcPr/>
          <w:p>
            <w:pPr>
              <w:pStyle w:val="Compact"/>
              <w:jc w:val="left"/>
            </w:pPr>
            <w:r>
              <w:t xml:space="preserve">Knossos</w:t>
            </w:r>
          </w:p>
        </w:tc>
        <w:tc>
          <w:tcPr/>
          <w:p>
            <w:pPr>
              <w:pStyle w:val="Compact"/>
              <w:jc w:val="left"/>
            </w:pPr>
            <w:r>
              <w:t xml:space="preserve">Linearizability of single objects</w:t>
            </w:r>
          </w:p>
        </w:tc>
        <w:tc>
          <w:tcPr/>
          <w:p>
            <w:pPr>
              <w:pStyle w:val="Compact"/>
              <w:jc w:val="left"/>
            </w:pPr>
            <w:r>
              <w:t xml:space="preserve">Search for a linearization, Wing–Gong–Lowe style</w:t>
            </w:r>
          </w:p>
        </w:tc>
        <w:tc>
          <w:tcPr/>
          <w:p>
            <w:pPr>
              <w:pStyle w:val="Compact"/>
              <w:jc w:val="left"/>
            </w:pPr>
            <w:r>
              <w:t xml:space="preserve">Jepsen’s original checker (Clojure); cost grows quickly with concurrency</w:t>
            </w:r>
          </w:p>
        </w:tc>
      </w:tr>
      <w:tr>
        <w:tc>
          <w:tcPr/>
          <w:p>
            <w:pPr>
              <w:pStyle w:val="Compact"/>
              <w:jc w:val="left"/>
            </w:pPr>
            <w:r>
              <w:t xml:space="preserve">Porcupine</w:t>
            </w:r>
          </w:p>
        </w:tc>
        <w:tc>
          <w:tcPr/>
          <w:p>
            <w:pPr>
              <w:pStyle w:val="Compact"/>
              <w:jc w:val="left"/>
            </w:pPr>
            <w:r>
              <w:t xml:space="preserve">Linearizability</w:t>
            </w:r>
          </w:p>
        </w:tc>
        <w:tc>
          <w:tcPr/>
          <w:p>
            <w:pPr>
              <w:pStyle w:val="Compact"/>
              <w:jc w:val="left"/>
            </w:pPr>
            <w:r>
              <w:t xml:space="preserve">Same family, optimized, with per-key partitioning</w:t>
            </w:r>
          </w:p>
        </w:tc>
        <w:tc>
          <w:tcPr/>
          <w:p>
            <w:pPr>
              <w:pStyle w:val="Compact"/>
              <w:jc w:val="left"/>
            </w:pPr>
            <w:r>
              <w:t xml:space="preserve">Go; used in MIT 6.824 labs</w:t>
            </w:r>
          </w:p>
        </w:tc>
      </w:tr>
      <w:tr>
        <w:tc>
          <w:tcPr/>
          <w:p>
            <w:pPr>
              <w:pStyle w:val="Compact"/>
              <w:jc w:val="left"/>
            </w:pPr>
            <w:r>
              <w:t xml:space="preserve">Elle</w:t>
            </w:r>
          </w:p>
        </w:tc>
        <w:tc>
          <w:tcPr/>
          <w:p>
            <w:pPr>
              <w:pStyle w:val="Compact"/>
              <w:jc w:val="left"/>
            </w:pPr>
            <w:r>
              <w:t xml:space="preserve">Transaction isolation, from read uncommitted to strict serializable</w:t>
            </w:r>
          </w:p>
        </w:tc>
        <w:tc>
          <w:tcPr/>
          <w:p>
            <w:pPr>
              <w:pStyle w:val="Compact"/>
              <w:jc w:val="left"/>
            </w:pPr>
            <w:r>
              <w:t xml:space="preserve">Infers write-read, write-write and read-write dependencies, then finds cycles (Adya’s phenomena)</w:t>
            </w:r>
          </w:p>
        </w:tc>
        <w:tc>
          <w:tcPr/>
          <w:p>
            <w:pPr>
              <w:pStyle w:val="Compact"/>
              <w:jc w:val="left"/>
            </w:pPr>
            <w:r>
              <w:t xml:space="preserve">Linear-time on suitable workloads such as list-append [Kingsbury &amp; Alvaro 2020]</w:t>
            </w:r>
          </w:p>
        </w:tc>
      </w:tr>
    </w:tbl>
    <w:p>
      <w:pPr>
        <w:pStyle w:val="BodyText"/>
      </w:pPr>
      <w:r>
        <w:t xml:space="preserve">Elle’s key idea is to design the workload so that the history</w:t>
      </w:r>
      <w:r>
        <w:t xml:space="preserve"> </w:t>
      </w:r>
      <w:r>
        <w:rPr>
          <w:iCs/>
          <w:i/>
        </w:rPr>
        <w:t xml:space="preserve">reveals</w:t>
      </w:r>
      <w:r>
        <w:t xml:space="preserve"> </w:t>
      </w:r>
      <w:r>
        <w:t xml:space="preserve">the version order: if each transaction appends unique values to lists, a read of</w:t>
      </w:r>
      <w:r>
        <w:t xml:space="preserve"> </w:t>
      </w:r>
      <w:r>
        <w:rPr>
          <w:rStyle w:val="VerbatimChar"/>
        </w:rPr>
        <w:t xml:space="preserve">[1, 2, 5]</w:t>
      </w:r>
      <w:r>
        <w:t xml:space="preserve"> </w:t>
      </w:r>
      <w:r>
        <w:t xml:space="preserve">proves that the append of 2 came before the append of 5. Dependency graphs can then be built directly, and any cycle is a named anomaly (G0, G1c, G-single, G2-item) [Adya 1999; Kingsbury &amp; Alvaro 2020].</w:t>
      </w:r>
    </w:p>
    <w:bookmarkEnd w:id="2868"/>
    <w:bookmarkStart w:id="2869" w:name="published-findings"/>
    <w:p>
      <w:pPr>
        <w:pStyle w:val="Heading3"/>
      </w:pPr>
      <w:r>
        <w:t xml:space="preserve">25.11.3 Published findings</w:t>
      </w:r>
    </w:p>
    <w:p>
      <w:pPr>
        <w:pStyle w:val="FirstParagraph"/>
      </w:pPr>
      <w:r>
        <w:t xml:space="preserve">Jepsen reports are public and detailed. Three examples show the range:</w:t>
      </w:r>
    </w:p>
    <w:p>
      <w:pPr>
        <w:pStyle w:val="CalloutIndustry"/>
      </w:pPr>
      <w:r>
        <w:rPr>
          <w:bCs/>
          <w:b/>
        </w:rPr>
        <w:t xml:space="preserve">INDUSTRY EXAMPLE</w:t>
      </w:r>
    </w:p>
    <w:p>
      <w:pPr>
        <w:pStyle w:val="CalloutIndustry"/>
      </w:pPr>
      <w:r>
        <w:rPr>
          <w:bCs/>
          <w:b/>
        </w:rPr>
        <w:t xml:space="preserve">etcd 3.4.3 (2020).</w:t>
      </w:r>
      <w:r>
        <w:t xml:space="preserve"> </w:t>
      </w:r>
      <w:r>
        <w:t xml:space="preserve">Key-value operations, including multi-key transactions, appeared strictly serializable under partitions, pauses, crashes, clock skew and membership changes, and watches delivered changes in order apart from an undocumented edge case. etcd’s locks, however, could not guarantee mutual exclusion in an asynchronous network, a fundamental limitation of lease-based locks that needs fencing tokens (§26.13).</w:t>
      </w:r>
      <w:r>
        <w:t xml:space="preserve"> </w:t>
      </w:r>
      <w:r>
        <w:rPr>
          <w:iCs/>
          <w:i/>
        </w:rPr>
        <w:t xml:space="preserve">Evidence: Primary</w:t>
      </w:r>
      <w:r>
        <w:t xml:space="preserve"> </w:t>
      </w:r>
      <w:r>
        <w:t xml:space="preserve">— [Kingsbury 2020a]</w:t>
      </w:r>
    </w:p>
    <w:p>
      <w:pPr>
        <w:pStyle w:val="CalloutIndustry"/>
      </w:pPr>
      <w:r>
        <w:rPr>
          <w:bCs/>
          <w:b/>
        </w:rPr>
        <w:t xml:space="preserve">INDUSTRY EXAMPLE</w:t>
      </w:r>
    </w:p>
    <w:p>
      <w:pPr>
        <w:pStyle w:val="CalloutIndustry"/>
      </w:pPr>
      <w:r>
        <w:rPr>
          <w:bCs/>
          <w:b/>
        </w:rPr>
        <w:t xml:space="preserve">MongoDB 4.2.6 (2020).</w:t>
      </w:r>
      <w:r>
        <w:t xml:space="preserve"> </w:t>
      </w:r>
      <w:r>
        <w:t xml:space="preserve">Even with the strongest read and write concerns, transactions exhibited read skew, cyclic information flow, duplicate writes and internal consistency violations, so they did not provide snapshot isolation; under default settings transactions could lose writes. MongoDB changed the default write concern to</w:t>
      </w:r>
      <w:r>
        <w:t xml:space="preserve"> </w:t>
      </w:r>
      <w:r>
        <w:rPr>
          <w:rStyle w:val="VerbatimChar"/>
        </w:rPr>
        <w:t xml:space="preserve">majority</w:t>
      </w:r>
      <w:r>
        <w:t xml:space="preserve"> </w:t>
      </w:r>
      <w:r>
        <w:t xml:space="preserve">in version 5.0.</w:t>
      </w:r>
      <w:r>
        <w:t xml:space="preserve"> </w:t>
      </w:r>
      <w:r>
        <w:rPr>
          <w:iCs/>
          <w:i/>
        </w:rPr>
        <w:t xml:space="preserve">Evidence: Primary</w:t>
      </w:r>
      <w:r>
        <w:t xml:space="preserve"> </w:t>
      </w:r>
      <w:r>
        <w:t xml:space="preserve">— [Kingsbury 2020b; MongoDB Docs: Jepsen]</w:t>
      </w:r>
    </w:p>
    <w:p>
      <w:pPr>
        <w:pStyle w:val="CalloutIndustry"/>
      </w:pPr>
      <w:r>
        <w:rPr>
          <w:bCs/>
          <w:b/>
        </w:rPr>
        <w:t xml:space="preserve">INDUSTRY EXAMPLE</w:t>
      </w:r>
    </w:p>
    <w:p>
      <w:pPr>
        <w:pStyle w:val="CalloutIndustry"/>
      </w:pPr>
      <w:r>
        <w:rPr>
          <w:bCs/>
          <w:b/>
        </w:rPr>
        <w:t xml:space="preserve">PostgreSQL 12.3 (2020).</w:t>
      </w:r>
      <w:r>
        <w:t xml:space="preserve"> </w:t>
      </w:r>
      <w:r>
        <w:t xml:space="preserve">Using Elle, Jepsen found that the SERIALIZABLE level allowed G2-item anomalies (anti-dependency cycles) in healthy clusters without any faults, a bug in serializable snapshot isolation that the PostgreSQL developers then fixed. The same report noted that PostgreSQL’s REPEATABLE READ is snapshot isolation.</w:t>
      </w:r>
      <w:r>
        <w:t xml:space="preserve"> </w:t>
      </w:r>
      <w:r>
        <w:rPr>
          <w:iCs/>
          <w:i/>
        </w:rPr>
        <w:t xml:space="preserve">Evidence: Primary</w:t>
      </w:r>
      <w:r>
        <w:t xml:space="preserve"> </w:t>
      </w:r>
      <w:r>
        <w:t xml:space="preserve">— [Kingsbury 2020c]</w:t>
      </w:r>
    </w:p>
    <w:p>
      <w:pPr>
        <w:pStyle w:val="CalloutRecommendation"/>
      </w:pPr>
      <w:r>
        <w:rPr>
          <w:bCs/>
          <w:b/>
        </w:rPr>
        <w:t xml:space="preserve">RECOMMENDATION</w:t>
      </w:r>
    </w:p>
    <w:p>
      <w:pPr>
        <w:pStyle w:val="CalloutRecommendation"/>
      </w:pPr>
      <w:r>
        <w:rPr>
          <w:bCs/>
          <w:b/>
        </w:rPr>
        <w:t xml:space="preserve">Recommendation — Test your own system’s claims.</w:t>
      </w:r>
      <w:r>
        <w:t xml:space="preserve"> </w:t>
      </w:r>
      <w:r>
        <w:t xml:space="preserve">Record histories in integration tests (client, operation, invocation and completion time, result), run them through Porcupine, Knossos or Elle, and add fault injection: partition the leader, pause it beyond its lease, skew clocks. Treat every timeout as indeterminate. A single non-linearizable history with a short witness is worth more than months of green dashboards.</w:t>
      </w:r>
    </w:p>
    <w:bookmarkEnd w:id="2869"/>
    <w:bookmarkEnd w:id="2870"/>
    <w:bookmarkStart w:id="2871" w:name="summary-and-revision-notes-24"/>
    <w:p>
      <w:pPr>
        <w:pStyle w:val="Heading2"/>
      </w:pPr>
      <w:r>
        <w:t xml:space="preserve">25.12 Summary and revision notes</w:t>
      </w:r>
    </w:p>
    <w:p>
      <w:pPr>
        <w:pStyle w:val="CalloutSummary"/>
      </w:pPr>
      <w:r>
        <w:rPr>
          <w:bCs/>
          <w:b/>
        </w:rPr>
        <w:t xml:space="preserve">SUMMARY</w:t>
      </w:r>
    </w:p>
    <w:p>
      <w:pPr>
        <w:numPr>
          <w:ilvl w:val="0"/>
          <w:numId w:val="1825"/>
        </w:numPr>
        <w:pStyle w:val="Compact"/>
      </w:pPr>
      <w:r>
        <w:rPr>
          <w:bCs/>
          <w:b/>
        </w:rPr>
        <w:t xml:space="preserve">Two axes.</w:t>
      </w:r>
      <w:r>
        <w:t xml:space="preserve"> </w:t>
      </w:r>
      <w:r>
        <w:t xml:space="preserve">Single-object consistency models (linearizable, sequential, causal, session, eventual) say which values reads may return; isolation levels (§11.13) say which transaction interleavings are allowed. Strict serializability is where they meet.</w:t>
      </w:r>
    </w:p>
    <w:p>
      <w:pPr>
        <w:numPr>
          <w:ilvl w:val="0"/>
          <w:numId w:val="1825"/>
        </w:numPr>
        <w:pStyle w:val="Compact"/>
      </w:pPr>
      <w:r>
        <w:rPr>
          <w:bCs/>
          <w:b/>
        </w:rPr>
        <w:t xml:space="preserve">Linearizability</w:t>
      </w:r>
      <w:r>
        <w:t xml:space="preserve"> </w:t>
      </w:r>
      <w:r>
        <w:t xml:space="preserve">= a linearization point inside each operation’s interval, giving a legal sequential history that respects real time; the single-copy illusion. It is compositional. Checking is NP-complete in general; brute force with memoization works for small histories. It costs a round trip to a quorum or a confirmed leader (</w:t>
      </w:r>
      <m:oMath>
        <m:r>
          <m:t>T</m:t>
        </m:r>
        <m:r>
          <m:rPr>
            <m:sty m:val="p"/>
          </m:rPr>
          <m:t>≈</m:t>
        </m:r>
        <m:r>
          <m:t>k</m:t>
        </m:r>
        <m:r>
          <m:rPr>
            <m:sty m:val="p"/>
          </m:rPr>
          <m:t>⋅</m:t>
        </m:r>
        <m:sSub>
          <m:e>
            <m:r>
              <m:rPr>
                <m:nor/>
                <m:sty m:val="p"/>
              </m:rPr>
              <m:t>RTT</m:t>
            </m:r>
          </m:e>
          <m:sub>
            <m:d>
              <m:dPr>
                <m:begChr m:val="("/>
                <m:endChr m:val=")"/>
                <m:sepChr m:val=""/>
                <m:grow/>
              </m:dPr>
              <m:e>
                <m:r>
                  <m:t>q</m:t>
                </m:r>
              </m:e>
            </m:d>
          </m:sub>
        </m:sSub>
      </m:oMath>
      <w:r>
        <w:t xml:space="preserve">), and</w:t>
      </w:r>
      <w:r>
        <w:t xml:space="preserve"> </w:t>
      </w:r>
      <m:oMath>
        <m:sSub>
          <m:e>
            <m:r>
              <m:t>t</m:t>
            </m:r>
          </m:e>
          <m:sub>
            <m:r>
              <m:rPr>
                <m:nor/>
                <m:sty m:val="p"/>
              </m:rPr>
              <m:t>read</m:t>
            </m:r>
          </m:sub>
        </m:sSub>
        <m:r>
          <m:rPr>
            <m:sty m:val="p"/>
          </m:rPr>
          <m:t>+</m:t>
        </m:r>
        <m:sSub>
          <m:e>
            <m:r>
              <m:t>t</m:t>
            </m:r>
          </m:e>
          <m:sub>
            <m:r>
              <m:rPr>
                <m:nor/>
                <m:sty m:val="p"/>
              </m:rPr>
              <m:t>write</m:t>
            </m:r>
          </m:sub>
        </m:sSub>
        <m:r>
          <m:rPr>
            <m:sty m:val="p"/>
          </m:rPr>
          <m:t>≥</m:t>
        </m:r>
        <m:r>
          <m:t>d</m:t>
        </m:r>
      </m:oMath>
      <w:r>
        <w:t xml:space="preserve"> </w:t>
      </w:r>
      <w:r>
        <w:t xml:space="preserve">already for sequential consistency.</w:t>
      </w:r>
    </w:p>
    <w:p>
      <w:pPr>
        <w:numPr>
          <w:ilvl w:val="0"/>
          <w:numId w:val="1825"/>
        </w:numPr>
        <w:pStyle w:val="Compact"/>
      </w:pPr>
      <w:r>
        <w:rPr>
          <w:bCs/>
          <w:b/>
        </w:rPr>
        <w:t xml:space="preserve">Sequential consistency</w:t>
      </w:r>
      <w:r>
        <w:t xml:space="preserve"> </w:t>
      </w:r>
      <w:r>
        <w:t xml:space="preserve">drops real time but keeps one agreed order and program order; follower reads in ZooKeeper behave like this. It is not compositional (store buffering).</w:t>
      </w:r>
    </w:p>
    <w:p>
      <w:pPr>
        <w:numPr>
          <w:ilvl w:val="0"/>
          <w:numId w:val="1825"/>
        </w:numPr>
        <w:pStyle w:val="Compact"/>
      </w:pPr>
      <w:r>
        <w:rPr>
          <w:bCs/>
          <w:b/>
        </w:rPr>
        <w:t xml:space="preserve">Causal consistency</w:t>
      </w:r>
      <w:r>
        <w:t xml:space="preserve"> </w:t>
      </w:r>
      <w:r>
        <w:t xml:space="preserve">orders only causally related writes, allows local reads and writes and is sticky available; COPS carries nearest dependencies and checks them before applying remote writes.</w:t>
      </w:r>
    </w:p>
    <w:p>
      <w:pPr>
        <w:numPr>
          <w:ilvl w:val="0"/>
          <w:numId w:val="1825"/>
        </w:numPr>
        <w:pStyle w:val="Compact"/>
      </w:pPr>
      <w:r>
        <w:rPr>
          <w:bCs/>
          <w:b/>
        </w:rPr>
        <w:t xml:space="preserve">Session guarantees</w:t>
      </w:r>
      <w:r>
        <w:t xml:space="preserve"> </w:t>
      </w:r>
      <w:r>
        <w:t xml:space="preserve">(RYW, MR, MW, WFR) are implemented with read-sets and write-sets as version vectors, LSN tokens or sticky routing; tokens must travel with the session.</w:t>
      </w:r>
    </w:p>
    <w:p>
      <w:pPr>
        <w:numPr>
          <w:ilvl w:val="0"/>
          <w:numId w:val="1825"/>
        </w:numPr>
        <w:pStyle w:val="Compact"/>
      </w:pPr>
      <w:r>
        <w:rPr>
          <w:bCs/>
          <w:b/>
        </w:rPr>
        <w:t xml:space="preserve">Eventual consistency</w:t>
      </w:r>
      <w:r>
        <w:t xml:space="preserve"> </w:t>
      </w:r>
      <w:r>
        <w:t xml:space="preserve">is liveness only. PBS quantifies it:</w:t>
      </w:r>
      <w:r>
        <w:t xml:space="preserve"> </w:t>
      </w:r>
      <m:oMath>
        <m:sSub>
          <m:e>
            <m:r>
              <m:t>p</m:t>
            </m:r>
          </m:e>
          <m:sub>
            <m:r>
              <m:t>s</m:t>
            </m:r>
          </m:sub>
        </m:sSub>
        <m:r>
          <m:rPr>
            <m:sty m:val="p"/>
          </m:rPr>
          <m:t>=</m:t>
        </m:r>
        <m:d>
          <m:dPr>
            <m:begChr m:val="("/>
            <m:endChr m:val=")"/>
            <m:sepChr m:val=""/>
            <m:grow/>
          </m:dPr>
          <m:e>
            <m:f>
              <m:fPr>
                <m:type m:val="noBar"/>
              </m:fPr>
              <m:num>
                <m:r>
                  <m:t>N</m:t>
                </m:r>
                <m:r>
                  <m:rPr>
                    <m:sty m:val="p"/>
                  </m:rPr>
                  <m:t>−</m:t>
                </m:r>
                <m:r>
                  <m:t>W</m:t>
                </m:r>
              </m:num>
              <m:den>
                <m:r>
                  <m:t>R</m:t>
                </m:r>
              </m:den>
            </m:f>
          </m:e>
        </m:d>
        <m:r>
          <m:rPr>
            <m:sty m:val="p"/>
          </m:rPr>
          <m:t>/</m:t>
        </m:r>
        <m:d>
          <m:dPr>
            <m:begChr m:val="("/>
            <m:endChr m:val=")"/>
            <m:sepChr m:val=""/>
            <m:grow/>
          </m:dPr>
          <m:e>
            <m:f>
              <m:fPr>
                <m:type m:val="noBar"/>
              </m:fPr>
              <m:num>
                <m:r>
                  <m:t>N</m:t>
                </m:r>
              </m:num>
              <m:den>
                <m:r>
                  <m:t>R</m:t>
                </m:r>
              </m:den>
            </m:f>
          </m:e>
        </m:d>
      </m:oMath>
      <w:r>
        <w:t xml:space="preserve"> </w:t>
      </w:r>
      <w:r>
        <w:t xml:space="preserve">immediately after commit, and a WARS simulation gives</w:t>
      </w:r>
      <w:r>
        <w:t xml:space="preserve"> </w:t>
      </w:r>
      <m:oMath>
        <m:r>
          <m:t>t</m:t>
        </m:r>
      </m:oMath>
      <w:r>
        <w:t xml:space="preserve">-visibility curves you can put in an SLO.</w:t>
      </w:r>
    </w:p>
    <w:p>
      <w:pPr>
        <w:numPr>
          <w:ilvl w:val="0"/>
          <w:numId w:val="1825"/>
        </w:numPr>
        <w:pStyle w:val="Compact"/>
      </w:pPr>
      <w:r>
        <w:rPr>
          <w:bCs/>
          <w:b/>
        </w:rPr>
        <w:t xml:space="preserve">CAP</w:t>
      </w:r>
      <w:r>
        <w:t xml:space="preserve"> </w:t>
      </w:r>
      <w:r>
        <w:t xml:space="preserve">(Gilbert and Lynch): in an asynchronous network that can lose messages, no register is both linearizable and available on every non-failed node. Not</w:t>
      </w:r>
      <w:r>
        <w:t xml:space="preserve"> </w:t>
      </w:r>
      <w:r>
        <w:t xml:space="preserve">“</w:t>
      </w:r>
      <w:r>
        <w:t xml:space="preserve">pick two</w:t>
      </w:r>
      <w:r>
        <w:t xml:space="preserve">”</w:t>
      </w:r>
      <w:r>
        <w:t xml:space="preserve">; no meaningful</w:t>
      </w:r>
      <w:r>
        <w:t xml:space="preserve"> </w:t>
      </w:r>
      <w:r>
        <w:t xml:space="preserve">“</w:t>
      </w:r>
      <w:r>
        <w:t xml:space="preserve">CA</w:t>
      </w:r>
      <w:r>
        <w:t xml:space="preserve">”</w:t>
      </w:r>
      <w:r>
        <w:t xml:space="preserve">; choose per operation what happens during a partition.</w:t>
      </w:r>
    </w:p>
    <w:p>
      <w:pPr>
        <w:numPr>
          <w:ilvl w:val="0"/>
          <w:numId w:val="1825"/>
        </w:numPr>
        <w:pStyle w:val="Compact"/>
      </w:pPr>
      <w:r>
        <w:rPr>
          <w:bCs/>
          <w:b/>
        </w:rPr>
        <w:t xml:space="preserve">PACELC</w:t>
      </w:r>
      <w:r>
        <w:t xml:space="preserve"> </w:t>
      </w:r>
      <w:r>
        <w:t xml:space="preserve">adds the everyday trade-off: else, latency versus consistency. Labels describe configurations, not products.</w:t>
      </w:r>
    </w:p>
    <w:p>
      <w:pPr>
        <w:numPr>
          <w:ilvl w:val="0"/>
          <w:numId w:val="1825"/>
        </w:numPr>
        <w:pStyle w:val="Compact"/>
      </w:pPr>
      <w:r>
        <w:rPr>
          <w:bCs/>
          <w:b/>
        </w:rPr>
        <w:t xml:space="preserve">Jepsen</w:t>
      </w:r>
      <w:r>
        <w:t xml:space="preserve"> </w:t>
      </w:r>
      <w:r>
        <w:t xml:space="preserve">records histories under injected faults and checks them with Knossos/Porcupine (linearizability) or Elle (isolation, via dependency cycles). Treat timeouts as indeterminate.</w:t>
      </w:r>
    </w:p>
    <w:bookmarkEnd w:id="2871"/>
    <w:bookmarkStart w:id="2872" w:name="knowledge-checkpoint-24"/>
    <w:p>
      <w:pPr>
        <w:pStyle w:val="Heading2"/>
      </w:pPr>
      <w:r>
        <w:t xml:space="preserve">25.13 Knowledge checkpoint</w:t>
      </w:r>
    </w:p>
    <w:p>
      <w:pPr>
        <w:numPr>
          <w:ilvl w:val="0"/>
          <w:numId w:val="1826"/>
        </w:numPr>
        <w:pStyle w:val="Compact"/>
      </w:pPr>
      <w:r>
        <w:t xml:space="preserve">What makes two operations concurrent, and when does</w:t>
      </w:r>
      <w:r>
        <w:t xml:space="preserve"> </w:t>
      </w:r>
      <m:oMath>
        <m:r>
          <m:t>a</m:t>
        </m:r>
      </m:oMath>
      <w:r>
        <w:t xml:space="preserve"> </w:t>
      </w:r>
      <w:r>
        <w:t xml:space="preserve">precede</w:t>
      </w:r>
      <w:r>
        <w:t xml:space="preserve"> </w:t>
      </w:r>
      <m:oMath>
        <m:r>
          <m:t>b</m:t>
        </m:r>
      </m:oMath>
      <w:r>
        <w:t xml:space="preserve"> </w:t>
      </w:r>
      <w:r>
        <w:t xml:space="preserve">in real time?</w:t>
      </w:r>
    </w:p>
    <w:p>
      <w:pPr>
        <w:numPr>
          <w:ilvl w:val="0"/>
          <w:numId w:val="1826"/>
        </w:numPr>
        <w:pStyle w:val="Compact"/>
      </w:pPr>
      <w:r>
        <w:t xml:space="preserve">Why is history H3 (a read returns 1 during a write, a later read returns 0) not linearizable, even though each read alone could be?</w:t>
      </w:r>
    </w:p>
    <w:p>
      <w:pPr>
        <w:numPr>
          <w:ilvl w:val="0"/>
          <w:numId w:val="1826"/>
        </w:numPr>
        <w:pStyle w:val="Compact"/>
      </w:pPr>
      <w:r>
        <w:t xml:space="preserve">State the locality property of linearizability and why it matters for partitioned stores.</w:t>
      </w:r>
    </w:p>
    <w:p>
      <w:pPr>
        <w:numPr>
          <w:ilvl w:val="0"/>
          <w:numId w:val="1826"/>
        </w:numPr>
        <w:pStyle w:val="Compact"/>
      </w:pPr>
      <w:r>
        <w:t xml:space="preserve">Give a history that is sequentially consistent but not linearizable.</w:t>
      </w:r>
    </w:p>
    <w:p>
      <w:pPr>
        <w:numPr>
          <w:ilvl w:val="0"/>
          <w:numId w:val="1826"/>
        </w:numPr>
        <w:pStyle w:val="Compact"/>
      </w:pPr>
      <w:r>
        <w:t xml:space="preserve">Why does</w:t>
      </w:r>
      <w:r>
        <w:t xml:space="preserve"> </w:t>
      </w:r>
      <m:oMath>
        <m:r>
          <m:t>R</m:t>
        </m:r>
        <m:r>
          <m:rPr>
            <m:sty m:val="p"/>
          </m:rPr>
          <m:t>+</m:t>
        </m:r>
        <m:r>
          <m:t>W</m:t>
        </m:r>
        <m:r>
          <m:rPr>
            <m:sty m:val="p"/>
          </m:rPr>
          <m:t>&gt;</m:t>
        </m:r>
        <m:r>
          <m:t>N</m:t>
        </m:r>
      </m:oMath>
      <w:r>
        <w:t xml:space="preserve"> </w:t>
      </w:r>
      <w:r>
        <w:t xml:space="preserve">not by itself give linearizability?</w:t>
      </w:r>
    </w:p>
    <w:p>
      <w:pPr>
        <w:numPr>
          <w:ilvl w:val="0"/>
          <w:numId w:val="1826"/>
        </w:numPr>
        <w:pStyle w:val="Compact"/>
      </w:pPr>
      <w:r>
        <w:t xml:space="preserve">Five replicas have RTTs 0, 2, 30, 80 and 85 ms from the coordinator. What is the latency of an ABD read?</w:t>
      </w:r>
    </w:p>
    <w:p>
      <w:pPr>
        <w:numPr>
          <w:ilvl w:val="0"/>
          <w:numId w:val="1826"/>
        </w:numPr>
        <w:pStyle w:val="Compact"/>
      </w:pPr>
      <w:r>
        <w:t xml:space="preserve">Which session guarantee does a sticky replica provide, and which does it fail to provide?</w:t>
      </w:r>
    </w:p>
    <w:p>
      <w:pPr>
        <w:numPr>
          <w:ilvl w:val="0"/>
          <w:numId w:val="1826"/>
        </w:numPr>
        <w:pStyle w:val="Compact"/>
      </w:pPr>
      <w:r>
        <w:t xml:space="preserve">In COPS, why does a client need to track only nearest dependencies?</w:t>
      </w:r>
    </w:p>
    <w:p>
      <w:pPr>
        <w:numPr>
          <w:ilvl w:val="0"/>
          <w:numId w:val="1826"/>
        </w:numPr>
        <w:pStyle w:val="Compact"/>
      </w:pPr>
      <w:r>
        <w:t xml:space="preserve">Compute</w:t>
      </w:r>
      <w:r>
        <w:t xml:space="preserve"> </w:t>
      </w:r>
      <m:oMath>
        <m:sSub>
          <m:e>
            <m:r>
              <m:t>p</m:t>
            </m:r>
          </m:e>
          <m:sub>
            <m:r>
              <m:t>s</m:t>
            </m:r>
          </m:sub>
        </m:sSub>
      </m:oMath>
      <w:r>
        <w:t xml:space="preserve"> </w:t>
      </w:r>
      <w:r>
        <w:t xml:space="preserve">for</w:t>
      </w:r>
      <w:r>
        <w:t xml:space="preserve"> </w:t>
      </w:r>
      <m:oMath>
        <m:r>
          <m:t>N</m:t>
        </m:r>
        <m:r>
          <m:rPr>
            <m:sty m:val="p"/>
          </m:rPr>
          <m:t>=</m:t>
        </m:r>
        <m:r>
          <m:t>5</m:t>
        </m:r>
      </m:oMath>
      <w:r>
        <w:t xml:space="preserve">,</w:t>
      </w:r>
      <w:r>
        <w:t xml:space="preserve"> </w:t>
      </w:r>
      <m:oMath>
        <m:r>
          <m:t>R</m:t>
        </m:r>
        <m:r>
          <m:rPr>
            <m:sty m:val="p"/>
          </m:rPr>
          <m:t>=</m:t>
        </m:r>
        <m:r>
          <m:t>1</m:t>
        </m:r>
      </m:oMath>
      <w:r>
        <w:t xml:space="preserve">,</w:t>
      </w:r>
      <w:r>
        <w:t xml:space="preserve"> </w:t>
      </w:r>
      <m:oMath>
        <m:r>
          <m:t>W</m:t>
        </m:r>
        <m:r>
          <m:rPr>
            <m:sty m:val="p"/>
          </m:rPr>
          <m:t>=</m:t>
        </m:r>
        <m:r>
          <m:t>2</m:t>
        </m:r>
      </m:oMath>
      <w:r>
        <w:t xml:space="preserve">.</w:t>
      </w:r>
    </w:p>
    <w:p>
      <w:pPr>
        <w:numPr>
          <w:ilvl w:val="0"/>
          <w:numId w:val="1826"/>
        </w:numPr>
        <w:pStyle w:val="Compact"/>
      </w:pPr>
      <w:r>
        <w:t xml:space="preserve">What exactly do C, A and P mean in Gilbert and Lynch’s proof?</w:t>
      </w:r>
    </w:p>
    <w:p>
      <w:pPr>
        <w:numPr>
          <w:ilvl w:val="0"/>
          <w:numId w:val="1826"/>
        </w:numPr>
        <w:pStyle w:val="Compact"/>
      </w:pPr>
      <w:r>
        <w:t xml:space="preserve">Why is</w:t>
      </w:r>
      <w:r>
        <w:t xml:space="preserve"> </w:t>
      </w:r>
      <w:r>
        <w:t xml:space="preserve">“</w:t>
      </w:r>
      <w:r>
        <w:t xml:space="preserve">CA system</w:t>
      </w:r>
      <w:r>
        <w:t xml:space="preserve">”</w:t>
      </w:r>
      <w:r>
        <w:t xml:space="preserve"> </w:t>
      </w:r>
      <w:r>
        <w:t xml:space="preserve">a misleading label?</w:t>
      </w:r>
    </w:p>
    <w:p>
      <w:pPr>
        <w:numPr>
          <w:ilvl w:val="0"/>
          <w:numId w:val="1826"/>
        </w:numPr>
        <w:pStyle w:val="Compact"/>
      </w:pPr>
      <w:r>
        <w:t xml:space="preserve">Classify Cassandra at</w:t>
      </w:r>
      <w:r>
        <w:t xml:space="preserve"> </w:t>
      </w:r>
      <w:r>
        <w:rPr>
          <w:rStyle w:val="VerbatimChar"/>
        </w:rPr>
        <w:t xml:space="preserve">LOCAL_ONE</w:t>
      </w:r>
      <w:r>
        <w:t xml:space="preserve"> </w:t>
      </w:r>
      <w:r>
        <w:t xml:space="preserve">and Spanner strong reads in PACELC.</w:t>
      </w:r>
    </w:p>
    <w:p>
      <w:pPr>
        <w:numPr>
          <w:ilvl w:val="0"/>
          <w:numId w:val="1826"/>
        </w:numPr>
        <w:pStyle w:val="Compact"/>
      </w:pPr>
      <w:r>
        <w:t xml:space="preserve">What does Elle need from a workload to infer the version order?</w:t>
      </w:r>
    </w:p>
    <w:p>
      <w:pPr>
        <w:numPr>
          <w:ilvl w:val="0"/>
          <w:numId w:val="1826"/>
        </w:numPr>
        <w:pStyle w:val="Compact"/>
      </w:pPr>
      <w:r>
        <w:t xml:space="preserve">Why must a Jepsen history record timed-out operations as indeterminate?</w:t>
      </w:r>
    </w:p>
    <w:p>
      <w:pPr>
        <w:pStyle w:val="FirstParagraph"/>
      </w:pPr>
      <w:r>
        <w:t xml:space="preserve">Answers</w:t>
      </w:r>
    </w:p>
    <w:p>
      <w:pPr>
        <w:numPr>
          <w:ilvl w:val="0"/>
          <w:numId w:val="1827"/>
        </w:numPr>
        <w:pStyle w:val="Compact"/>
      </w:pPr>
      <w:r>
        <w:t xml:space="preserve">Their invocation–response intervals overlap.</w:t>
      </w:r>
      <w:r>
        <w:t xml:space="preserve"> </w:t>
      </w:r>
      <m:oMath>
        <m:r>
          <m:t>a</m:t>
        </m:r>
      </m:oMath>
      <w:r>
        <w:t xml:space="preserve"> </w:t>
      </w:r>
      <w:r>
        <w:t xml:space="preserve">precedes</w:t>
      </w:r>
      <w:r>
        <w:t xml:space="preserve"> </w:t>
      </w:r>
      <m:oMath>
        <m:r>
          <m:t>b</m:t>
        </m:r>
      </m:oMath>
      <w:r>
        <w:t xml:space="preserve"> </w:t>
      </w:r>
      <w:r>
        <w:t xml:space="preserve">if</w:t>
      </w:r>
      <w:r>
        <w:t xml:space="preserve"> </w:t>
      </w:r>
      <m:oMath>
        <m:r>
          <m:t>a</m:t>
        </m:r>
      </m:oMath>
      <w:r>
        <w:t xml:space="preserve">’s response happens before</w:t>
      </w:r>
      <w:r>
        <w:t xml:space="preserve"> </w:t>
      </w:r>
      <m:oMath>
        <m:r>
          <m:t>b</m:t>
        </m:r>
      </m:oMath>
      <w:r>
        <w:t xml:space="preserve">’s invocation.</w:t>
      </w:r>
    </w:p>
    <w:p>
      <w:pPr>
        <w:numPr>
          <w:ilvl w:val="0"/>
          <w:numId w:val="1827"/>
        </w:numPr>
        <w:pStyle w:val="Compact"/>
      </w:pPr>
      <w:r>
        <w:t xml:space="preserve">Once B returned 1, B’s linearization point is after the write’s. C’s read starts after B finished, so its point is later still and must see 1.</w:t>
      </w:r>
    </w:p>
    <w:p>
      <w:pPr>
        <w:numPr>
          <w:ilvl w:val="0"/>
          <w:numId w:val="1827"/>
        </w:numPr>
        <w:pStyle w:val="Compact"/>
      </w:pPr>
      <w:r>
        <w:t xml:space="preserve">A history is linearizable if and only if each object’s sub-history is. Independently linearizable partitions compose into a linearizable store without cross-partition coordination for single-object operations.</w:t>
      </w:r>
    </w:p>
    <w:p>
      <w:pPr>
        <w:numPr>
          <w:ilvl w:val="0"/>
          <w:numId w:val="1827"/>
        </w:numPr>
        <w:pStyle w:val="Compact"/>
      </w:pPr>
      <w:r>
        <w:t xml:space="preserve">H2: A writes</w:t>
      </w:r>
      <w:r>
        <w:t xml:space="preserve"> </w:t>
      </w:r>
      <m:oMath>
        <m:r>
          <m:t>x</m:t>
        </m:r>
        <m:r>
          <m:rPr>
            <m:sty m:val="p"/>
          </m:rPr>
          <m:t>=</m:t>
        </m:r>
        <m:r>
          <m:t>1</m:t>
        </m:r>
      </m:oMath>
      <w:r>
        <w:t xml:space="preserve"> </w:t>
      </w:r>
      <w:r>
        <w:t xml:space="preserve">and completes; afterwards B reads 0. The order</w:t>
      </w:r>
      <w:r>
        <w:t xml:space="preserve"> </w:t>
      </w:r>
      <w:r>
        <w:t xml:space="preserve">“</w:t>
      </w:r>
      <w:r>
        <w:t xml:space="preserve">B reads, then A writes</w:t>
      </w:r>
      <w:r>
        <w:t xml:space="preserve">”</w:t>
      </w:r>
      <w:r>
        <w:t xml:space="preserve"> </w:t>
      </w:r>
      <w:r>
        <w:t xml:space="preserve">respects program order.</w:t>
      </w:r>
    </w:p>
    <w:p>
      <w:pPr>
        <w:numPr>
          <w:ilvl w:val="0"/>
          <w:numId w:val="1827"/>
        </w:numPr>
        <w:pStyle w:val="Compact"/>
      </w:pPr>
      <w:r>
        <w:t xml:space="preserve">Partial writes, in-flight writes, sloppy quorums and last-writer-wins can let one reader see a new value and a later reader an old one; write-back or consensus is needed.</w:t>
      </w:r>
    </w:p>
    <w:p>
      <w:pPr>
        <w:numPr>
          <w:ilvl w:val="0"/>
          <w:numId w:val="1827"/>
        </w:numPr>
        <w:pStyle w:val="Compact"/>
      </w:pPr>
      <m:oMath>
        <m:r>
          <m:t>q</m:t>
        </m:r>
        <m:r>
          <m:rPr>
            <m:sty m:val="p"/>
          </m:rPr>
          <m:t>=</m:t>
        </m:r>
        <m:r>
          <m:t>3</m:t>
        </m:r>
      </m:oMath>
      <w:r>
        <w:t xml:space="preserve">,</w:t>
      </w:r>
      <w:r>
        <w:t xml:space="preserve"> </w:t>
      </w:r>
      <m:oMath>
        <m:sSub>
          <m:e>
            <m:r>
              <m:rPr>
                <m:nor/>
                <m:sty m:val="p"/>
              </m:rPr>
              <m:t>RTT</m:t>
            </m:r>
          </m:e>
          <m:sub>
            <m:d>
              <m:dPr>
                <m:begChr m:val="("/>
                <m:endChr m:val=")"/>
                <m:sepChr m:val=""/>
                <m:grow/>
              </m:dPr>
              <m:e>
                <m:r>
                  <m:t>3</m:t>
                </m:r>
              </m:e>
            </m:d>
          </m:sub>
        </m:sSub>
        <m:r>
          <m:rPr>
            <m:sty m:val="p"/>
          </m:rPr>
          <m:t>=</m:t>
        </m:r>
        <m:r>
          <m:t>30</m:t>
        </m:r>
      </m:oMath>
      <w:r>
        <w:t xml:space="preserve"> </w:t>
      </w:r>
      <w:r>
        <w:t xml:space="preserve">ms; two round trips, about 60 ms plus processing.</w:t>
      </w:r>
    </w:p>
    <w:p>
      <w:pPr>
        <w:numPr>
          <w:ilvl w:val="0"/>
          <w:numId w:val="1827"/>
        </w:numPr>
        <w:pStyle w:val="Compact"/>
      </w:pPr>
      <w:r>
        <w:t xml:space="preserve">Monotonic reads while the replica is healthy; not read-your-writes if writes go elsewhere, and not monotonic reads across failover.</w:t>
      </w:r>
    </w:p>
    <w:p>
      <w:pPr>
        <w:numPr>
          <w:ilvl w:val="0"/>
          <w:numId w:val="1827"/>
        </w:numPr>
        <w:pStyle w:val="Compact"/>
      </w:pPr>
      <w:r>
        <w:t xml:space="preserve">Dependencies are transitive: the nearest dependency already depends on everything before it, and the remote cluster applied it only after its own dependencies.</w:t>
      </w:r>
    </w:p>
    <w:p>
      <w:pPr>
        <w:numPr>
          <w:ilvl w:val="0"/>
          <w:numId w:val="1827"/>
        </w:numPr>
        <w:pStyle w:val="Compact"/>
      </w:pPr>
      <m:oMath>
        <m:d>
          <m:dPr>
            <m:begChr m:val="("/>
            <m:endChr m:val=")"/>
            <m:sepChr m:val=""/>
            <m:grow/>
          </m:dPr>
          <m:e>
            <m:f>
              <m:fPr>
                <m:type m:val="noBar"/>
              </m:fPr>
              <m:num>
                <m:r>
                  <m:t>3</m:t>
                </m:r>
              </m:num>
              <m:den>
                <m:r>
                  <m:t>1</m:t>
                </m:r>
              </m:den>
            </m:f>
          </m:e>
        </m:d>
        <m:r>
          <m:rPr>
            <m:sty m:val="p"/>
          </m:rPr>
          <m:t>/</m:t>
        </m:r>
        <m:d>
          <m:dPr>
            <m:begChr m:val="("/>
            <m:endChr m:val=")"/>
            <m:sepChr m:val=""/>
            <m:grow/>
          </m:dPr>
          <m:e>
            <m:f>
              <m:fPr>
                <m:type m:val="noBar"/>
              </m:fPr>
              <m:num>
                <m:r>
                  <m:t>5</m:t>
                </m:r>
              </m:num>
              <m:den>
                <m:r>
                  <m:t>1</m:t>
                </m:r>
              </m:den>
            </m:f>
          </m:e>
        </m:d>
        <m:r>
          <m:rPr>
            <m:sty m:val="p"/>
          </m:rPr>
          <m:t>=</m:t>
        </m:r>
        <m:r>
          <m:t>3</m:t>
        </m:r>
        <m:r>
          <m:rPr>
            <m:sty m:val="p"/>
          </m:rPr>
          <m:t>/</m:t>
        </m:r>
        <m:r>
          <m:t>5</m:t>
        </m:r>
        <m:r>
          <m:rPr>
            <m:sty m:val="p"/>
          </m:rPr>
          <m:t>=</m:t>
        </m:r>
        <m:r>
          <m:t>0.6</m:t>
        </m:r>
      </m:oMath>
      <w:r>
        <w:t xml:space="preserve">.</w:t>
      </w:r>
    </w:p>
    <w:p>
      <w:pPr>
        <w:numPr>
          <w:ilvl w:val="0"/>
          <w:numId w:val="1827"/>
        </w:numPr>
        <w:pStyle w:val="Compact"/>
      </w:pPr>
      <w:r>
        <w:t xml:space="preserve">C: linearizable read/write register. A: every request to a non-failing node eventually gets a response. P: the network may lose arbitrarily many messages.</w:t>
      </w:r>
    </w:p>
    <w:p>
      <w:pPr>
        <w:numPr>
          <w:ilvl w:val="0"/>
          <w:numId w:val="1827"/>
        </w:numPr>
        <w:pStyle w:val="Compact"/>
      </w:pPr>
      <w:r>
        <w:t xml:space="preserve">Partitions are not optional in a distributed system; a</w:t>
      </w:r>
      <w:r>
        <w:t xml:space="preserve"> </w:t>
      </w:r>
      <w:r>
        <w:t xml:space="preserve">“</w:t>
      </w:r>
      <w:r>
        <w:t xml:space="preserve">CA</w:t>
      </w:r>
      <w:r>
        <w:t xml:space="preserve">”</w:t>
      </w:r>
      <w:r>
        <w:t xml:space="preserve"> </w:t>
      </w:r>
      <w:r>
        <w:t xml:space="preserve">system just has not decided whether it will lose C or A when one happens.</w:t>
      </w:r>
    </w:p>
    <w:p>
      <w:pPr>
        <w:numPr>
          <w:ilvl w:val="0"/>
          <w:numId w:val="1827"/>
        </w:numPr>
        <w:pStyle w:val="Compact"/>
      </w:pPr>
      <w:r>
        <w:t xml:space="preserve">Cassandra</w:t>
      </w:r>
      <w:r>
        <w:t xml:space="preserve"> </w:t>
      </w:r>
      <w:r>
        <w:rPr>
          <w:rStyle w:val="VerbatimChar"/>
        </w:rPr>
        <w:t xml:space="preserve">LOCAL_ONE</w:t>
      </w:r>
      <w:r>
        <w:t xml:space="preserve">: PA/EL. Spanner strong reads: PC/EC.</w:t>
      </w:r>
    </w:p>
    <w:p>
      <w:pPr>
        <w:numPr>
          <w:ilvl w:val="0"/>
          <w:numId w:val="1827"/>
        </w:numPr>
        <w:pStyle w:val="Compact"/>
      </w:pPr>
      <w:r>
        <w:t xml:space="preserve">A way to recover each object’s version order from reads, for example appends of unique values to lists, so dependencies can be inferred directly.</w:t>
      </w:r>
    </w:p>
    <w:p>
      <w:pPr>
        <w:numPr>
          <w:ilvl w:val="0"/>
          <w:numId w:val="1827"/>
        </w:numPr>
        <w:pStyle w:val="Compact"/>
      </w:pPr>
      <w:r>
        <w:t xml:space="preserve">The operation may have taken effect; treating it as failed produces false alarms, and treating it as succeeded can hide real anomalies.</w:t>
      </w:r>
    </w:p>
    <w:bookmarkEnd w:id="2872"/>
    <w:bookmarkStart w:id="2876" w:name="interview-questions-24"/>
    <w:p>
      <w:pPr>
        <w:pStyle w:val="Heading2"/>
      </w:pPr>
      <w:r>
        <w:t xml:space="preserve">25.14 Interview questions</w:t>
      </w:r>
    </w:p>
    <w:bookmarkStart w:id="2873" w:name="basic-24"/>
    <w:p>
      <w:pPr>
        <w:pStyle w:val="Heading3"/>
      </w:pPr>
      <w:r>
        <w:t xml:space="preserve">Basic</w:t>
      </w:r>
    </w:p>
    <w:p>
      <w:pPr>
        <w:pStyle w:val="FirstParagraph"/>
      </w:pPr>
      <w:r>
        <w:rPr>
          <w:bCs/>
          <w:b/>
        </w:rPr>
        <w:t xml:space="preserve">Q1. What is the difference between linearizability and serializability?</w:t>
      </w:r>
      <w:r>
        <w:t xml:space="preserve"> </w:t>
      </w:r>
      <w:r>
        <w:rPr>
          <w:bCs/>
          <w:b/>
        </w:rPr>
        <w:t xml:space="preserve">Answer.</w:t>
      </w:r>
      <w:r>
        <w:t xml:space="preserve"> </w:t>
      </w:r>
      <w:r>
        <w:t xml:space="preserve">Linearizability is a recency guarantee for single operations on single objects: each operation appears to take effect at one instant between its call and return, respecting real time. Serializability is an isolation guarantee for transactions over many objects: the outcome equals some serial order, which need not respect real time. Strict serializability combines both.</w:t>
      </w:r>
    </w:p>
    <w:p>
      <w:pPr>
        <w:pStyle w:val="BodyText"/>
      </w:pPr>
      <w:r>
        <w:rPr>
          <w:bCs/>
          <w:b/>
        </w:rPr>
        <w:t xml:space="preserve">Q2. A user updates her profile and the page still shows the old one. What happened and how do you fix it?</w:t>
      </w:r>
      <w:r>
        <w:t xml:space="preserve"> </w:t>
      </w:r>
      <w:r>
        <w:rPr>
          <w:bCs/>
          <w:b/>
        </w:rPr>
        <w:t xml:space="preserve">Answer.</w:t>
      </w:r>
      <w:r>
        <w:t xml:space="preserve"> </w:t>
      </w:r>
      <w:r>
        <w:t xml:space="preserve">The read went to a lagging replica, violating read-your-writes. Return the commit LSN or a session token with the write and read only from replicas that have applied it, or read from the primary for that user’s own profile after a write.</w:t>
      </w:r>
    </w:p>
    <w:bookmarkEnd w:id="2873"/>
    <w:bookmarkStart w:id="2874" w:name="intermediate-24"/>
    <w:p>
      <w:pPr>
        <w:pStyle w:val="Heading3"/>
      </w:pPr>
      <w:r>
        <w:t xml:space="preserve">Intermediate</w:t>
      </w:r>
    </w:p>
    <w:p>
      <w:pPr>
        <w:pStyle w:val="FirstParagraph"/>
      </w:pPr>
      <w:r>
        <w:rPr>
          <w:bCs/>
          <w:b/>
        </w:rPr>
        <w:t xml:space="preserve">Q3. Explain CAP precisely and say what your design does during a partition.</w:t>
      </w:r>
      <w:r>
        <w:t xml:space="preserve"> </w:t>
      </w:r>
      <w:r>
        <w:rPr>
          <w:bCs/>
          <w:b/>
        </w:rPr>
        <w:t xml:space="preserve">Answer.</w:t>
      </w:r>
      <w:r>
        <w:t xml:space="preserve"> </w:t>
      </w:r>
      <w:r>
        <w:t xml:space="preserve">In an asynchronous network that can lose messages, a register cannot be both linearizable and answer on every non-failing node. Per operation, I decide: payments and inventory decrements refuse on the minority side (PC); browsing, carts and likes keep serving locally with merge or compensation afterwards (PA). Outside partitions, PACELC’s latency–consistency choice applies: strong reads where a stale value causes a wrong decision, nearest-replica reads elsewhere.</w:t>
      </w:r>
    </w:p>
    <w:p>
      <w:pPr>
        <w:pStyle w:val="BodyText"/>
      </w:pPr>
      <w:r>
        <w:rPr>
          <w:bCs/>
          <w:b/>
        </w:rPr>
        <w:t xml:space="preserve">Q4. How would you implement monotonic reads across a fleet of read replicas?</w:t>
      </w:r>
      <w:r>
        <w:t xml:space="preserve"> </w:t>
      </w:r>
      <w:r>
        <w:rPr>
          <w:bCs/>
          <w:b/>
        </w:rPr>
        <w:t xml:space="preserve">Answer.</w:t>
      </w:r>
      <w:r>
        <w:t xml:space="preserve"> </w:t>
      </w:r>
      <w:r>
        <w:t xml:space="preserve">Track, per session, the highest LSN (or version vector) it has observed; route reads only to replicas at or beyond it, waiting briefly or falling back to the primary otherwise. Sticky routing alone fails on replica failure.</w:t>
      </w:r>
    </w:p>
    <w:bookmarkEnd w:id="2874"/>
    <w:bookmarkStart w:id="2875" w:name="advanced-24"/>
    <w:p>
      <w:pPr>
        <w:pStyle w:val="Heading3"/>
      </w:pPr>
      <w:r>
        <w:t xml:space="preserve">Advanced</w:t>
      </w:r>
    </w:p>
    <w:p>
      <w:pPr>
        <w:pStyle w:val="FirstParagraph"/>
      </w:pPr>
      <w:r>
        <w:rPr>
          <w:bCs/>
          <w:b/>
        </w:rPr>
        <w:t xml:space="preserve">Q5. Your team wants a globally replicated, linearizable key-value store with 5 ms reads and writes on three continents. Respond.</w:t>
      </w:r>
      <w:r>
        <w:t xml:space="preserve"> </w:t>
      </w:r>
      <w:r>
        <w:rPr>
          <w:bCs/>
          <w:b/>
        </w:rPr>
        <w:t xml:space="preserve">Answer.</w:t>
      </w:r>
      <w:r>
        <w:t xml:space="preserve"> </w:t>
      </w:r>
      <w:r>
        <w:t xml:space="preserve">Impossible: for sequential consistency already</w:t>
      </w:r>
      <w:r>
        <w:t xml:space="preserve"> </w:t>
      </w:r>
      <m:oMath>
        <m:sSub>
          <m:e>
            <m:r>
              <m:t>t</m:t>
            </m:r>
          </m:e>
          <m:sub>
            <m:r>
              <m:t>r</m:t>
            </m:r>
          </m:sub>
        </m:sSub>
        <m:r>
          <m:rPr>
            <m:sty m:val="p"/>
          </m:rPr>
          <m:t>+</m:t>
        </m:r>
        <m:sSub>
          <m:e>
            <m:r>
              <m:t>t</m:t>
            </m:r>
          </m:e>
          <m:sub>
            <m:r>
              <m:t>w</m:t>
            </m:r>
          </m:sub>
        </m:sSub>
        <m:r>
          <m:rPr>
            <m:sty m:val="p"/>
          </m:rPr>
          <m:t>≥</m:t>
        </m:r>
        <m:r>
          <m:t>d</m:t>
        </m:r>
      </m:oMath>
      <w:r>
        <w:t xml:space="preserve">, and cross-continent</w:t>
      </w:r>
      <w:r>
        <w:t xml:space="preserve"> </w:t>
      </w:r>
      <m:oMath>
        <m:r>
          <m:t>d</m:t>
        </m:r>
      </m:oMath>
      <w:r>
        <w:t xml:space="preserve"> </w:t>
      </w:r>
      <w:r>
        <w:t xml:space="preserve">is tens of milliseconds. Offer alternatives: place each key’s quorum near its main writer (fast for local users, slow for others); linearizable writes with follower reads that are bounded-stale; or causal consistency with local operations plus linearizable operations only for uniqueness and money.</w:t>
      </w:r>
    </w:p>
    <w:p>
      <w:pPr>
        <w:pStyle w:val="BodyText"/>
      </w:pPr>
      <w:r>
        <w:rPr>
          <w:bCs/>
          <w:b/>
        </w:rPr>
        <w:t xml:space="preserve">Q6. How would you test that a new replicated store is linearizable?</w:t>
      </w:r>
      <w:r>
        <w:t xml:space="preserve"> </w:t>
      </w:r>
      <w:r>
        <w:rPr>
          <w:bCs/>
          <w:b/>
        </w:rPr>
        <w:t xml:space="preserve">Answer.</w:t>
      </w:r>
      <w:r>
        <w:t xml:space="preserve"> </w:t>
      </w:r>
      <w:r>
        <w:t xml:space="preserve">Jepsen-style: concurrent clients on a small key set doing reads, writes and compare-and-set; a nemesis partitioning, pausing and killing leaders and skewing clocks; record every invocation and completion, timeouts as indeterminate; check with Porcupine or Knossos per key. For transactions, use list-append workloads and Elle. Minimize failing histories and turn them into regression tests.</w:t>
      </w:r>
    </w:p>
    <w:bookmarkEnd w:id="2875"/>
    <w:bookmarkEnd w:id="2876"/>
    <w:bookmarkStart w:id="2877" w:name="practical-exercises-24"/>
    <w:p>
      <w:pPr>
        <w:pStyle w:val="Heading2"/>
      </w:pPr>
      <w:r>
        <w:t xml:space="preserve">25.15 Practical exercises</w:t>
      </w:r>
    </w:p>
    <w:p>
      <w:pPr>
        <w:numPr>
          <w:ilvl w:val="0"/>
          <w:numId w:val="1828"/>
        </w:numPr>
        <w:pStyle w:val="Compact"/>
      </w:pPr>
      <w:r>
        <w:t xml:space="preserve">Extend the checker of §25.3.3 with a compare-and-set operation and construct a history in which two CAS operations both succeed but the history is not linearizable.</w:t>
      </w:r>
    </w:p>
    <w:p>
      <w:pPr>
        <w:numPr>
          <w:ilvl w:val="0"/>
          <w:numId w:val="1828"/>
        </w:numPr>
        <w:pStyle w:val="Compact"/>
      </w:pPr>
      <w:r>
        <w:t xml:space="preserve">Add a third replica and a write-side scenario to the session-guarantee program that demonstrates a monotonic-writes violation when</w:t>
      </w:r>
      <w:r>
        <w:t xml:space="preserve"> </w:t>
      </w:r>
      <w:r>
        <w:rPr>
          <w:rStyle w:val="VerbatimChar"/>
        </w:rPr>
        <w:t xml:space="preserve">mw=False</w:t>
      </w:r>
      <w:r>
        <w:t xml:space="preserve">.</w:t>
      </w:r>
    </w:p>
    <w:p>
      <w:pPr>
        <w:numPr>
          <w:ilvl w:val="0"/>
          <w:numId w:val="1828"/>
        </w:numPr>
        <w:pStyle w:val="Compact"/>
      </w:pPr>
      <w:r>
        <w:t xml:space="preserve">Modify the PBS simulation so one of the three replicas has a 10× slower write path. How do the curves for</w:t>
      </w:r>
      <w:r>
        <w:t xml:space="preserve"> </w:t>
      </w:r>
      <m:oMath>
        <m:d>
          <m:dPr>
            <m:begChr m:val="("/>
            <m:endChr m:val=")"/>
            <m:sepChr m:val=""/>
            <m:grow/>
          </m:dPr>
          <m:e>
            <m:r>
              <m:t>R</m:t>
            </m:r>
            <m:r>
              <m:rPr>
                <m:sty m:val="p"/>
              </m:rPr>
              <m:t>,</m:t>
            </m:r>
            <m:r>
              <m:t>W</m:t>
            </m:r>
          </m:e>
        </m:d>
        <m:r>
          <m:rPr>
            <m:sty m:val="p"/>
          </m:rPr>
          <m:t>=</m:t>
        </m:r>
        <m:d>
          <m:dPr>
            <m:begChr m:val="("/>
            <m:endChr m:val=")"/>
            <m:sepChr m:val=""/>
            <m:grow/>
          </m:dPr>
          <m:e>
            <m:r>
              <m:t>1</m:t>
            </m:r>
            <m:r>
              <m:rPr>
                <m:sty m:val="p"/>
              </m:rPr>
              <m:t>,</m:t>
            </m:r>
            <m:r>
              <m:t>1</m:t>
            </m:r>
          </m:e>
        </m:d>
      </m:oMath>
      <w:r>
        <w:t xml:space="preserve"> </w:t>
      </w:r>
      <w:r>
        <w:t xml:space="preserve">and</w:t>
      </w:r>
      <w:r>
        <w:t xml:space="preserve"> </w:t>
      </w:r>
      <m:oMath>
        <m:d>
          <m:dPr>
            <m:begChr m:val="("/>
            <m:endChr m:val=")"/>
            <m:sepChr m:val=""/>
            <m:grow/>
          </m:dPr>
          <m:e>
            <m:r>
              <m:t>2</m:t>
            </m:r>
            <m:r>
              <m:rPr>
                <m:sty m:val="p"/>
              </m:rPr>
              <m:t>,</m:t>
            </m:r>
            <m:r>
              <m:t>1</m:t>
            </m:r>
          </m:e>
        </m:d>
      </m:oMath>
      <w:r>
        <w:t xml:space="preserve"> </w:t>
      </w:r>
      <w:r>
        <w:t xml:space="preserve">change?</w:t>
      </w:r>
    </w:p>
    <w:p>
      <w:pPr>
        <w:numPr>
          <w:ilvl w:val="0"/>
          <w:numId w:val="1828"/>
        </w:numPr>
        <w:pStyle w:val="Compact"/>
      </w:pPr>
      <w:r>
        <w:t xml:space="preserve">Run Porcupine on histories produced by a toy key-value store with an asynchronous replica, and find the shortest non-linearizable history.</w:t>
      </w:r>
    </w:p>
    <w:bookmarkEnd w:id="2877"/>
    <w:bookmarkStart w:id="2878" w:name="design-challenges-24"/>
    <w:p>
      <w:pPr>
        <w:pStyle w:val="Heading2"/>
      </w:pPr>
      <w:r>
        <w:t xml:space="preserve">25.16 Design challenges</w:t>
      </w:r>
    </w:p>
    <w:p>
      <w:pPr>
        <w:numPr>
          <w:ilvl w:val="0"/>
          <w:numId w:val="1829"/>
        </w:numPr>
        <w:pStyle w:val="Compact"/>
      </w:pPr>
      <w:r>
        <w:rPr>
          <w:bCs/>
          <w:b/>
        </w:rPr>
        <w:t xml:space="preserve">Global collaborative documents.</w:t>
      </w:r>
      <w:r>
        <w:t xml:space="preserve"> </w:t>
      </w:r>
      <w:r>
        <w:t xml:space="preserve">Users in three regions edit shared documents. Choose consistency models for document contents, access control lists and document names (which must be unique per folder), and justify the latency each user sees.</w:t>
      </w:r>
    </w:p>
    <w:p>
      <w:pPr>
        <w:numPr>
          <w:ilvl w:val="0"/>
          <w:numId w:val="1829"/>
        </w:numPr>
        <w:pStyle w:val="Compact"/>
      </w:pPr>
      <w:r>
        <w:rPr>
          <w:bCs/>
          <w:b/>
        </w:rPr>
        <w:t xml:space="preserve">Ticketing.</w:t>
      </w:r>
      <w:r>
        <w:t xml:space="preserve"> </w:t>
      </w:r>
      <w:r>
        <w:t xml:space="preserve">A concert ticketing service must never oversell seats but must keep browsing available during a regional network partition. Describe partition detection, partition mode and recovery in Brewer’s terms.</w:t>
      </w:r>
    </w:p>
    <w:bookmarkEnd w:id="2878"/>
    <w:bookmarkStart w:id="2879" w:name="references-24"/>
    <w:p>
      <w:pPr>
        <w:pStyle w:val="Heading2"/>
      </w:pPr>
      <w:r>
        <w:t xml:space="preserve">25.17 References</w:t>
      </w:r>
    </w:p>
    <w:p>
      <w:pPr>
        <w:numPr>
          <w:ilvl w:val="0"/>
          <w:numId w:val="1830"/>
        </w:numPr>
        <w:pStyle w:val="Compact"/>
      </w:pPr>
      <w:r>
        <w:t xml:space="preserve">Abadi, D.</w:t>
      </w:r>
      <w:r>
        <w:t xml:space="preserve"> </w:t>
      </w:r>
      <w:r>
        <w:t xml:space="preserve">“</w:t>
      </w:r>
      <w:r>
        <w:t xml:space="preserve">Consistency Tradeoffs in Modern Distributed Database System Design: CAP Is Only Part of the Story.</w:t>
      </w:r>
      <w:r>
        <w:t xml:space="preserve">”</w:t>
      </w:r>
      <w:r>
        <w:t xml:space="preserve"> </w:t>
      </w:r>
      <w:r>
        <w:rPr>
          <w:iCs/>
          <w:i/>
        </w:rPr>
        <w:t xml:space="preserve">IEEE Computer</w:t>
      </w:r>
      <w:r>
        <w:t xml:space="preserve"> </w:t>
      </w:r>
      <w:r>
        <w:t xml:space="preserve">45(2):37–42, 2012.</w:t>
      </w:r>
    </w:p>
    <w:p>
      <w:pPr>
        <w:numPr>
          <w:ilvl w:val="0"/>
          <w:numId w:val="1830"/>
        </w:numPr>
        <w:pStyle w:val="Compact"/>
      </w:pPr>
      <w:r>
        <w:t xml:space="preserve">Adya, A.</w:t>
      </w:r>
      <w:r>
        <w:t xml:space="preserve"> </w:t>
      </w:r>
      <w:r>
        <w:rPr>
          <w:iCs/>
          <w:i/>
        </w:rPr>
        <w:t xml:space="preserve">Weak Consistency: A Generalized Theory and Optimistic Implementations for Distributed Transactions</w:t>
      </w:r>
      <w:r>
        <w:t xml:space="preserve">. PhD thesis, MIT, 1999.</w:t>
      </w:r>
    </w:p>
    <w:p>
      <w:pPr>
        <w:numPr>
          <w:ilvl w:val="0"/>
          <w:numId w:val="1830"/>
        </w:numPr>
        <w:pStyle w:val="Compact"/>
      </w:pPr>
      <w:r>
        <w:t xml:space="preserve">Ahamad, M., Neiger, G., Burns, J. E., Kohli, P., Hutto, P. W.</w:t>
      </w:r>
      <w:r>
        <w:t xml:space="preserve"> </w:t>
      </w:r>
      <w:r>
        <w:t xml:space="preserve">“</w:t>
      </w:r>
      <w:r>
        <w:t xml:space="preserve">Causal Memory: Definitions, Implementation, and Programming.</w:t>
      </w:r>
      <w:r>
        <w:t xml:space="preserve">”</w:t>
      </w:r>
      <w:r>
        <w:t xml:space="preserve"> </w:t>
      </w:r>
      <w:r>
        <w:rPr>
          <w:iCs/>
          <w:i/>
        </w:rPr>
        <w:t xml:space="preserve">Distributed Computing</w:t>
      </w:r>
      <w:r>
        <w:t xml:space="preserve"> </w:t>
      </w:r>
      <w:r>
        <w:t xml:space="preserve">9(1):37–49, 1995.</w:t>
      </w:r>
    </w:p>
    <w:p>
      <w:pPr>
        <w:numPr>
          <w:ilvl w:val="0"/>
          <w:numId w:val="1830"/>
        </w:numPr>
        <w:pStyle w:val="Compact"/>
      </w:pPr>
      <w:r>
        <w:t xml:space="preserve">Apache Cassandra.</w:t>
      </w:r>
      <w:r>
        <w:t xml:space="preserve"> </w:t>
      </w:r>
      <w:r>
        <w:rPr>
          <w:iCs/>
          <w:i/>
        </w:rPr>
        <w:t xml:space="preserve">Documentation — Consistency levels and lightweight transactions</w:t>
      </w:r>
      <w:r>
        <w:t xml:space="preserve">. https://cassandra.apache.org/doc/latest/</w:t>
      </w:r>
    </w:p>
    <w:p>
      <w:pPr>
        <w:numPr>
          <w:ilvl w:val="0"/>
          <w:numId w:val="1830"/>
        </w:numPr>
        <w:pStyle w:val="Compact"/>
      </w:pPr>
      <w:r>
        <w:t xml:space="preserve">Attiya, H., Bar-Noy, A., Dolev, D.</w:t>
      </w:r>
      <w:r>
        <w:t xml:space="preserve"> </w:t>
      </w:r>
      <w:r>
        <w:t xml:space="preserve">“</w:t>
      </w:r>
      <w:r>
        <w:t xml:space="preserve">Sharing Memory Robustly in Message-Passing Systems.</w:t>
      </w:r>
      <w:r>
        <w:t xml:space="preserve">”</w:t>
      </w:r>
      <w:r>
        <w:t xml:space="preserve"> </w:t>
      </w:r>
      <w:r>
        <w:rPr>
          <w:iCs/>
          <w:i/>
        </w:rPr>
        <w:t xml:space="preserve">Journal of the ACM</w:t>
      </w:r>
      <w:r>
        <w:t xml:space="preserve"> </w:t>
      </w:r>
      <w:r>
        <w:t xml:space="preserve">42(1):124–142, 1995.</w:t>
      </w:r>
    </w:p>
    <w:p>
      <w:pPr>
        <w:numPr>
          <w:ilvl w:val="0"/>
          <w:numId w:val="1830"/>
        </w:numPr>
        <w:pStyle w:val="Compact"/>
      </w:pPr>
      <w:r>
        <w:t xml:space="preserve">Attiya, H., Welch, J. L.</w:t>
      </w:r>
      <w:r>
        <w:t xml:space="preserve"> </w:t>
      </w:r>
      <w:r>
        <w:t xml:space="preserve">“</w:t>
      </w:r>
      <w:r>
        <w:t xml:space="preserve">Sequential Consistency versus Linearizability.</w:t>
      </w:r>
      <w:r>
        <w:t xml:space="preserve">”</w:t>
      </w:r>
      <w:r>
        <w:t xml:space="preserve"> </w:t>
      </w:r>
      <w:r>
        <w:rPr>
          <w:iCs/>
          <w:i/>
        </w:rPr>
        <w:t xml:space="preserve">ACM Transactions on Computer Systems</w:t>
      </w:r>
      <w:r>
        <w:t xml:space="preserve"> </w:t>
      </w:r>
      <w:r>
        <w:t xml:space="preserve">12(2):91–122, 1994.</w:t>
      </w:r>
    </w:p>
    <w:p>
      <w:pPr>
        <w:numPr>
          <w:ilvl w:val="0"/>
          <w:numId w:val="1830"/>
        </w:numPr>
        <w:pStyle w:val="Compact"/>
      </w:pPr>
      <w:r>
        <w:t xml:space="preserve">AWS.</w:t>
      </w:r>
      <w:r>
        <w:t xml:space="preserve"> </w:t>
      </w:r>
      <w:r>
        <w:rPr>
          <w:iCs/>
          <w:i/>
        </w:rPr>
        <w:t xml:space="preserve">Amazon DynamoDB Developer Guide — Read consistency</w:t>
      </w:r>
      <w:r>
        <w:t xml:space="preserve">. https://docs.aws.amazon.com/amazondynamodb/latest/developerguide/HowItWorks.ReadConsistency.html</w:t>
      </w:r>
    </w:p>
    <w:p>
      <w:pPr>
        <w:numPr>
          <w:ilvl w:val="0"/>
          <w:numId w:val="1830"/>
        </w:numPr>
        <w:pStyle w:val="Compact"/>
      </w:pPr>
      <w:r>
        <w:t xml:space="preserve">AWS.</w:t>
      </w:r>
      <w:r>
        <w:t xml:space="preserve"> </w:t>
      </w:r>
      <w:r>
        <w:t xml:space="preserve">“</w:t>
      </w:r>
      <w:r>
        <w:t xml:space="preserve">Amazon DynamoDB global tables with multi-Region strong consistency is now generally available.</w:t>
      </w:r>
      <w:r>
        <w:t xml:space="preserve">”</w:t>
      </w:r>
      <w:r>
        <w:t xml:space="preserve"> </w:t>
      </w:r>
      <w:r>
        <w:t xml:space="preserve">AWS What’s New, June 2025. https://aws.amazon.com/about-aws/whats-new/2025/06/amazon-dynamo-db-global-tables-multi-region-strong-consistency-generally-available/</w:t>
      </w:r>
    </w:p>
    <w:p>
      <w:pPr>
        <w:numPr>
          <w:ilvl w:val="0"/>
          <w:numId w:val="1830"/>
        </w:numPr>
        <w:pStyle w:val="Compact"/>
      </w:pPr>
      <w:r>
        <w:t xml:space="preserve">AWS.</w:t>
      </w:r>
      <w:r>
        <w:t xml:space="preserve"> </w:t>
      </w:r>
      <w:r>
        <w:rPr>
          <w:iCs/>
          <w:i/>
        </w:rPr>
        <w:t xml:space="preserve">Amazon S3 User Guide — Amazon S3 data consistency model</w:t>
      </w:r>
      <w:r>
        <w:t xml:space="preserve">. https://docs.aws.amazon.com/AmazonS3/latest/userguide/Welcome.html</w:t>
      </w:r>
    </w:p>
    <w:p>
      <w:pPr>
        <w:numPr>
          <w:ilvl w:val="0"/>
          <w:numId w:val="1830"/>
        </w:numPr>
        <w:pStyle w:val="Compact"/>
      </w:pPr>
      <w:r>
        <w:t xml:space="preserve">Bailis, P., Venkataraman, S., Franklin, M. J., Hellerstein, J. M., Stoica, I.</w:t>
      </w:r>
      <w:r>
        <w:t xml:space="preserve"> </w:t>
      </w:r>
      <w:r>
        <w:t xml:space="preserve">“</w:t>
      </w:r>
      <w:r>
        <w:t xml:space="preserve">Probabilistically Bounded Staleness for Practical Partial Quorums.</w:t>
      </w:r>
      <w:r>
        <w:t xml:space="preserve">”</w:t>
      </w:r>
      <w:r>
        <w:t xml:space="preserve"> </w:t>
      </w:r>
      <w:r>
        <w:rPr>
          <w:iCs/>
          <w:i/>
        </w:rPr>
        <w:t xml:space="preserve">PVLDB</w:t>
      </w:r>
      <w:r>
        <w:t xml:space="preserve"> </w:t>
      </w:r>
      <w:r>
        <w:t xml:space="preserve">5(8):776–787, 2012.</w:t>
      </w:r>
    </w:p>
    <w:p>
      <w:pPr>
        <w:numPr>
          <w:ilvl w:val="0"/>
          <w:numId w:val="1830"/>
        </w:numPr>
        <w:pStyle w:val="Compact"/>
      </w:pPr>
      <w:r>
        <w:t xml:space="preserve">Bailis, P., Davidson, A., Fekete, A., Ghodsi, A., Hellerstein, J. M., Stoica, I.</w:t>
      </w:r>
      <w:r>
        <w:t xml:space="preserve"> </w:t>
      </w:r>
      <w:r>
        <w:t xml:space="preserve">“</w:t>
      </w:r>
      <w:r>
        <w:t xml:space="preserve">Highly Available Transactions: Virtues and Limitations.</w:t>
      </w:r>
      <w:r>
        <w:t xml:space="preserve">”</w:t>
      </w:r>
      <w:r>
        <w:t xml:space="preserve"> </w:t>
      </w:r>
      <w:r>
        <w:rPr>
          <w:iCs/>
          <w:i/>
        </w:rPr>
        <w:t xml:space="preserve">PVLDB</w:t>
      </w:r>
      <w:r>
        <w:t xml:space="preserve"> </w:t>
      </w:r>
      <w:r>
        <w:t xml:space="preserve">7(3):181–192, 2014.</w:t>
      </w:r>
    </w:p>
    <w:p>
      <w:pPr>
        <w:numPr>
          <w:ilvl w:val="0"/>
          <w:numId w:val="1830"/>
        </w:numPr>
        <w:pStyle w:val="Compact"/>
      </w:pPr>
      <w:r>
        <w:t xml:space="preserve">Bailis, P., Ghodsi, A.</w:t>
      </w:r>
      <w:r>
        <w:t xml:space="preserve"> </w:t>
      </w:r>
      <w:r>
        <w:t xml:space="preserve">“</w:t>
      </w:r>
      <w:r>
        <w:t xml:space="preserve">Eventual Consistency Today: Limitations, Extensions, and Beyond.</w:t>
      </w:r>
      <w:r>
        <w:t xml:space="preserve">”</w:t>
      </w:r>
      <w:r>
        <w:t xml:space="preserve"> </w:t>
      </w:r>
      <w:r>
        <w:rPr>
          <w:iCs/>
          <w:i/>
        </w:rPr>
        <w:t xml:space="preserve">ACM Queue</w:t>
      </w:r>
      <w:r>
        <w:t xml:space="preserve"> </w:t>
      </w:r>
      <w:r>
        <w:t xml:space="preserve">11(3), 2013.</w:t>
      </w:r>
    </w:p>
    <w:p>
      <w:pPr>
        <w:numPr>
          <w:ilvl w:val="0"/>
          <w:numId w:val="1830"/>
        </w:numPr>
        <w:pStyle w:val="Compact"/>
      </w:pPr>
      <w:r>
        <w:t xml:space="preserve">Brewer, E.</w:t>
      </w:r>
      <w:r>
        <w:t xml:space="preserve"> </w:t>
      </w:r>
      <w:r>
        <w:t xml:space="preserve">“</w:t>
      </w:r>
      <w:r>
        <w:t xml:space="preserve">Towards Robust Distributed Systems.</w:t>
      </w:r>
      <w:r>
        <w:t xml:space="preserve">”</w:t>
      </w:r>
      <w:r>
        <w:t xml:space="preserve"> </w:t>
      </w:r>
      <w:r>
        <w:t xml:space="preserve">Keynote,</w:t>
      </w:r>
      <w:r>
        <w:t xml:space="preserve"> </w:t>
      </w:r>
      <w:r>
        <w:rPr>
          <w:iCs/>
          <w:i/>
        </w:rPr>
        <w:t xml:space="preserve">ACM Symposium on Principles of Distributed Computing (PODC)</w:t>
      </w:r>
      <w:r>
        <w:t xml:space="preserve">, 2000.</w:t>
      </w:r>
    </w:p>
    <w:p>
      <w:pPr>
        <w:numPr>
          <w:ilvl w:val="0"/>
          <w:numId w:val="1830"/>
        </w:numPr>
        <w:pStyle w:val="Compact"/>
      </w:pPr>
      <w:r>
        <w:t xml:space="preserve">Brewer, E.</w:t>
      </w:r>
      <w:r>
        <w:t xml:space="preserve"> </w:t>
      </w:r>
      <w:r>
        <w:t xml:space="preserve">“</w:t>
      </w:r>
      <w:r>
        <w:t xml:space="preserve">CAP Twelve Years Later: How the</w:t>
      </w:r>
      <w:r>
        <w:t xml:space="preserve"> </w:t>
      </w:r>
      <w:r>
        <w:t xml:space="preserve">‘</w:t>
      </w:r>
      <w:r>
        <w:t xml:space="preserve">Rules</w:t>
      </w:r>
      <w:r>
        <w:t xml:space="preserve">’</w:t>
      </w:r>
      <w:r>
        <w:t xml:space="preserve"> </w:t>
      </w:r>
      <w:r>
        <w:t xml:space="preserve">Have Changed.</w:t>
      </w:r>
      <w:r>
        <w:t xml:space="preserve">”</w:t>
      </w:r>
      <w:r>
        <w:t xml:space="preserve"> </w:t>
      </w:r>
      <w:r>
        <w:rPr>
          <w:iCs/>
          <w:i/>
        </w:rPr>
        <w:t xml:space="preserve">IEEE Computer</w:t>
      </w:r>
      <w:r>
        <w:t xml:space="preserve"> </w:t>
      </w:r>
      <w:r>
        <w:t xml:space="preserve">45(2):23–29, 2012.</w:t>
      </w:r>
    </w:p>
    <w:p>
      <w:pPr>
        <w:numPr>
          <w:ilvl w:val="0"/>
          <w:numId w:val="1830"/>
        </w:numPr>
        <w:pStyle w:val="Compact"/>
      </w:pPr>
      <w:r>
        <w:t xml:space="preserve">Cockroach Labs.</w:t>
      </w:r>
      <w:r>
        <w:t xml:space="preserve"> </w:t>
      </w:r>
      <w:r>
        <w:rPr>
          <w:iCs/>
          <w:i/>
        </w:rPr>
        <w:t xml:space="preserve">CockroachDB Docs — Follower Reads</w:t>
      </w:r>
      <w:r>
        <w:t xml:space="preserve">. https://www.cockroachlabs.com/docs/stable/follower-reads</w:t>
      </w:r>
    </w:p>
    <w:p>
      <w:pPr>
        <w:numPr>
          <w:ilvl w:val="0"/>
          <w:numId w:val="1830"/>
        </w:numPr>
        <w:pStyle w:val="Compact"/>
      </w:pPr>
      <w:r>
        <w:t xml:space="preserve">Corbett, J. C., et al. </w:t>
      </w:r>
      <w:r>
        <w:t xml:space="preserve">“</w:t>
      </w:r>
      <w:r>
        <w:t xml:space="preserve">Spanner: Google’s Globally-Distributed Database.</w:t>
      </w:r>
      <w:r>
        <w:t xml:space="preserve">”</w:t>
      </w:r>
      <w:r>
        <w:t xml:space="preserve"> </w:t>
      </w:r>
      <w:r>
        <w:rPr>
          <w:iCs/>
          <w:i/>
        </w:rPr>
        <w:t xml:space="preserve">USENIX OSDI</w:t>
      </w:r>
      <w:r>
        <w:t xml:space="preserve">, 2012.</w:t>
      </w:r>
    </w:p>
    <w:p>
      <w:pPr>
        <w:numPr>
          <w:ilvl w:val="0"/>
          <w:numId w:val="1830"/>
        </w:numPr>
        <w:pStyle w:val="Compact"/>
      </w:pPr>
      <w:r>
        <w:t xml:space="preserve">DeCandia, G., et al. </w:t>
      </w:r>
      <w:r>
        <w:t xml:space="preserve">“</w:t>
      </w:r>
      <w:r>
        <w:t xml:space="preserve">Dynamo: Amazon’s Highly Available Key-value Store.</w:t>
      </w:r>
      <w:r>
        <w:t xml:space="preserve">”</w:t>
      </w:r>
      <w:r>
        <w:t xml:space="preserve"> </w:t>
      </w:r>
      <w:r>
        <w:rPr>
          <w:iCs/>
          <w:i/>
        </w:rPr>
        <w:t xml:space="preserve">ACM SOSP</w:t>
      </w:r>
      <w:r>
        <w:t xml:space="preserve">, 2007.</w:t>
      </w:r>
    </w:p>
    <w:p>
      <w:pPr>
        <w:numPr>
          <w:ilvl w:val="0"/>
          <w:numId w:val="1830"/>
        </w:numPr>
        <w:pStyle w:val="Compact"/>
      </w:pPr>
      <w:r>
        <w:t xml:space="preserve">Fox, A., Brewer, E. A.</w:t>
      </w:r>
      <w:r>
        <w:t xml:space="preserve"> </w:t>
      </w:r>
      <w:r>
        <w:t xml:space="preserve">“</w:t>
      </w:r>
      <w:r>
        <w:t xml:space="preserve">Harvest, Yield, and Scalable Tolerant Systems.</w:t>
      </w:r>
      <w:r>
        <w:t xml:space="preserve">”</w:t>
      </w:r>
      <w:r>
        <w:t xml:space="preserve"> </w:t>
      </w:r>
      <w:r>
        <w:rPr>
          <w:iCs/>
          <w:i/>
        </w:rPr>
        <w:t xml:space="preserve">Workshop on Hot Topics in Operating Systems (HotOS-VII)</w:t>
      </w:r>
      <w:r>
        <w:t xml:space="preserve">, 1999.</w:t>
      </w:r>
    </w:p>
    <w:p>
      <w:pPr>
        <w:numPr>
          <w:ilvl w:val="0"/>
          <w:numId w:val="1830"/>
        </w:numPr>
        <w:pStyle w:val="Compact"/>
      </w:pPr>
      <w:r>
        <w:t xml:space="preserve">Gibbons, P. B., Korach, E.</w:t>
      </w:r>
      <w:r>
        <w:t xml:space="preserve"> </w:t>
      </w:r>
      <w:r>
        <w:t xml:space="preserve">“</w:t>
      </w:r>
      <w:r>
        <w:t xml:space="preserve">Testing Shared Memories.</w:t>
      </w:r>
      <w:r>
        <w:t xml:space="preserve">”</w:t>
      </w:r>
      <w:r>
        <w:t xml:space="preserve"> </w:t>
      </w:r>
      <w:r>
        <w:rPr>
          <w:iCs/>
          <w:i/>
        </w:rPr>
        <w:t xml:space="preserve">SIAM Journal on Computing</w:t>
      </w:r>
      <w:r>
        <w:t xml:space="preserve"> </w:t>
      </w:r>
      <w:r>
        <w:t xml:space="preserve">26(4):1208–1244, 1997.</w:t>
      </w:r>
    </w:p>
    <w:p>
      <w:pPr>
        <w:numPr>
          <w:ilvl w:val="0"/>
          <w:numId w:val="1830"/>
        </w:numPr>
        <w:pStyle w:val="Compact"/>
      </w:pPr>
      <w:r>
        <w:t xml:space="preserve">Gilbert, S., Lynch, N.</w:t>
      </w:r>
      <w:r>
        <w:t xml:space="preserve"> </w:t>
      </w:r>
      <w:r>
        <w:t xml:space="preserve">“</w:t>
      </w:r>
      <w:r>
        <w:t xml:space="preserve">Brewer’s Conjecture and the Feasibility of Consistent, Available, Partition-Tolerant Web Services.</w:t>
      </w:r>
      <w:r>
        <w:t xml:space="preserve">”</w:t>
      </w:r>
      <w:r>
        <w:t xml:space="preserve"> </w:t>
      </w:r>
      <w:r>
        <w:rPr>
          <w:iCs/>
          <w:i/>
        </w:rPr>
        <w:t xml:space="preserve">ACM SIGACT News</w:t>
      </w:r>
      <w:r>
        <w:t xml:space="preserve"> </w:t>
      </w:r>
      <w:r>
        <w:t xml:space="preserve">33(2):51–59, 2002.</w:t>
      </w:r>
    </w:p>
    <w:p>
      <w:pPr>
        <w:numPr>
          <w:ilvl w:val="0"/>
          <w:numId w:val="1830"/>
        </w:numPr>
        <w:pStyle w:val="Compact"/>
      </w:pPr>
      <w:r>
        <w:t xml:space="preserve">Google Cloud.</w:t>
      </w:r>
      <w:r>
        <w:t xml:space="preserve"> </w:t>
      </w:r>
      <w:r>
        <w:rPr>
          <w:iCs/>
          <w:i/>
        </w:rPr>
        <w:t xml:space="preserve">Spanner documentation — Reads (strong, bounded-staleness and exact-staleness)</w:t>
      </w:r>
      <w:r>
        <w:t xml:space="preserve">. https://cloud.google.com/spanner/docs/reads</w:t>
      </w:r>
    </w:p>
    <w:p>
      <w:pPr>
        <w:numPr>
          <w:ilvl w:val="0"/>
          <w:numId w:val="1830"/>
        </w:numPr>
        <w:pStyle w:val="Compact"/>
      </w:pPr>
      <w:r>
        <w:t xml:space="preserve">Herlihy, M. P., Wing, J. M.</w:t>
      </w:r>
      <w:r>
        <w:t xml:space="preserve"> </w:t>
      </w:r>
      <w:r>
        <w:t xml:space="preserve">“</w:t>
      </w:r>
      <w:r>
        <w:t xml:space="preserve">Linearizability: A Correctness Condition for Concurrent Objects.</w:t>
      </w:r>
      <w:r>
        <w:t xml:space="preserve">”</w:t>
      </w:r>
      <w:r>
        <w:t xml:space="preserve"> </w:t>
      </w:r>
      <w:r>
        <w:rPr>
          <w:iCs/>
          <w:i/>
        </w:rPr>
        <w:t xml:space="preserve">ACM Transactions on Programming Languages and Systems</w:t>
      </w:r>
      <w:r>
        <w:t xml:space="preserve"> </w:t>
      </w:r>
      <w:r>
        <w:t xml:space="preserve">12(3):463–492, 1990.</w:t>
      </w:r>
    </w:p>
    <w:p>
      <w:pPr>
        <w:numPr>
          <w:ilvl w:val="0"/>
          <w:numId w:val="1830"/>
        </w:numPr>
        <w:pStyle w:val="Compact"/>
      </w:pPr>
      <w:r>
        <w:t xml:space="preserve">Hunt, P., Konar, M., Junqueira, F. P., Reed, B.</w:t>
      </w:r>
      <w:r>
        <w:t xml:space="preserve"> </w:t>
      </w:r>
      <w:r>
        <w:t xml:space="preserve">“</w:t>
      </w:r>
      <w:r>
        <w:t xml:space="preserve">ZooKeeper: Wait-free Coordination for Internet-scale Systems.</w:t>
      </w:r>
      <w:r>
        <w:t xml:space="preserve">”</w:t>
      </w:r>
      <w:r>
        <w:t xml:space="preserve"> </w:t>
      </w:r>
      <w:r>
        <w:rPr>
          <w:iCs/>
          <w:i/>
        </w:rPr>
        <w:t xml:space="preserve">USENIX ATC</w:t>
      </w:r>
      <w:r>
        <w:t xml:space="preserve">, 2010.</w:t>
      </w:r>
    </w:p>
    <w:p>
      <w:pPr>
        <w:numPr>
          <w:ilvl w:val="0"/>
          <w:numId w:val="1830"/>
        </w:numPr>
        <w:pStyle w:val="Compact"/>
      </w:pPr>
      <w:r>
        <w:t xml:space="preserve">Kingsbury, K.</w:t>
      </w:r>
      <w:r>
        <w:t xml:space="preserve"> </w:t>
      </w:r>
      <w:r>
        <w:rPr>
          <w:iCs/>
          <w:i/>
        </w:rPr>
        <w:t xml:space="preserve">Consistency Models</w:t>
      </w:r>
      <w:r>
        <w:t xml:space="preserve"> </w:t>
      </w:r>
      <w:r>
        <w:t xml:space="preserve">(map and model pages). jepsen.io. https://jepsen.io/consistency</w:t>
      </w:r>
    </w:p>
    <w:p>
      <w:pPr>
        <w:numPr>
          <w:ilvl w:val="0"/>
          <w:numId w:val="1830"/>
        </w:numPr>
        <w:pStyle w:val="Compact"/>
      </w:pPr>
      <w:r>
        <w:t xml:space="preserve">Kingsbury, K.</w:t>
      </w:r>
      <w:r>
        <w:t xml:space="preserve"> </w:t>
      </w:r>
      <w:r>
        <w:rPr>
          <w:iCs/>
          <w:i/>
        </w:rPr>
        <w:t xml:space="preserve">Jepsen analyses and tools</w:t>
      </w:r>
      <w:r>
        <w:t xml:space="preserve">. jepsen.io. https://jepsen.io/analyses</w:t>
      </w:r>
    </w:p>
    <w:p>
      <w:pPr>
        <w:numPr>
          <w:ilvl w:val="0"/>
          <w:numId w:val="1830"/>
        </w:numPr>
        <w:pStyle w:val="Compact"/>
      </w:pPr>
      <w:r>
        <w:t xml:space="preserve">Kingsbury, K.</w:t>
      </w:r>
      <w:r>
        <w:t xml:space="preserve"> </w:t>
      </w:r>
      <w:r>
        <w:t xml:space="preserve">“</w:t>
      </w:r>
      <w:r>
        <w:t xml:space="preserve">Jepsen: etcd 3.4.3.</w:t>
      </w:r>
      <w:r>
        <w:t xml:space="preserve">”</w:t>
      </w:r>
      <w:r>
        <w:t xml:space="preserve"> </w:t>
      </w:r>
      <w:r>
        <w:t xml:space="preserve">jepsen.io, 2020 (cited as 2020a). https://jepsen.io/analyses/etcd-3.4.3</w:t>
      </w:r>
    </w:p>
    <w:p>
      <w:pPr>
        <w:numPr>
          <w:ilvl w:val="0"/>
          <w:numId w:val="1830"/>
        </w:numPr>
        <w:pStyle w:val="Compact"/>
      </w:pPr>
      <w:r>
        <w:t xml:space="preserve">Kingsbury, K.</w:t>
      </w:r>
      <w:r>
        <w:t xml:space="preserve"> </w:t>
      </w:r>
      <w:r>
        <w:t xml:space="preserve">“</w:t>
      </w:r>
      <w:r>
        <w:t xml:space="preserve">Jepsen: MongoDB 4.2.6.</w:t>
      </w:r>
      <w:r>
        <w:t xml:space="preserve">”</w:t>
      </w:r>
      <w:r>
        <w:t xml:space="preserve"> </w:t>
      </w:r>
      <w:r>
        <w:t xml:space="preserve">jepsen.io, 2020 (2020b). https://jepsen.io/analyses/mongodb-4.2.6</w:t>
      </w:r>
    </w:p>
    <w:p>
      <w:pPr>
        <w:numPr>
          <w:ilvl w:val="0"/>
          <w:numId w:val="1830"/>
        </w:numPr>
        <w:pStyle w:val="Compact"/>
      </w:pPr>
      <w:r>
        <w:t xml:space="preserve">Kingsbury, K.</w:t>
      </w:r>
      <w:r>
        <w:t xml:space="preserve"> </w:t>
      </w:r>
      <w:r>
        <w:t xml:space="preserve">“</w:t>
      </w:r>
      <w:r>
        <w:t xml:space="preserve">Jepsen: PostgreSQL 12.3.</w:t>
      </w:r>
      <w:r>
        <w:t xml:space="preserve">”</w:t>
      </w:r>
      <w:r>
        <w:t xml:space="preserve"> </w:t>
      </w:r>
      <w:r>
        <w:t xml:space="preserve">jepsen.io, 2020 (2020c). https://jepsen.io/analyses/postgresql-12.3</w:t>
      </w:r>
    </w:p>
    <w:p>
      <w:pPr>
        <w:numPr>
          <w:ilvl w:val="0"/>
          <w:numId w:val="1830"/>
        </w:numPr>
        <w:pStyle w:val="Compact"/>
      </w:pPr>
      <w:r>
        <w:t xml:space="preserve">Kingsbury, K., Alvaro, P.</w:t>
      </w:r>
      <w:r>
        <w:t xml:space="preserve"> </w:t>
      </w:r>
      <w:r>
        <w:t xml:space="preserve">“</w:t>
      </w:r>
      <w:r>
        <w:t xml:space="preserve">Elle: Inferring Isolation Anomalies from Experimental Observations.</w:t>
      </w:r>
      <w:r>
        <w:t xml:space="preserve">”</w:t>
      </w:r>
      <w:r>
        <w:t xml:space="preserve"> </w:t>
      </w:r>
      <w:r>
        <w:rPr>
          <w:iCs/>
          <w:i/>
        </w:rPr>
        <w:t xml:space="preserve">PVLDB</w:t>
      </w:r>
      <w:r>
        <w:t xml:space="preserve"> </w:t>
      </w:r>
      <w:r>
        <w:t xml:space="preserve">14(3):268–280, 2020.</w:t>
      </w:r>
    </w:p>
    <w:p>
      <w:pPr>
        <w:numPr>
          <w:ilvl w:val="0"/>
          <w:numId w:val="1830"/>
        </w:numPr>
        <w:pStyle w:val="Compact"/>
      </w:pPr>
      <w:r>
        <w:t xml:space="preserve">Kleppmann, M.</w:t>
      </w:r>
      <w:r>
        <w:t xml:space="preserve"> </w:t>
      </w:r>
      <w:r>
        <w:t xml:space="preserve">“</w:t>
      </w:r>
      <w:r>
        <w:t xml:space="preserve">A Critique of the CAP Theorem.</w:t>
      </w:r>
      <w:r>
        <w:t xml:space="preserve">”</w:t>
      </w:r>
      <w:r>
        <w:t xml:space="preserve"> </w:t>
      </w:r>
      <w:r>
        <w:t xml:space="preserve">arXiv:1509.05393, 2015.</w:t>
      </w:r>
    </w:p>
    <w:p>
      <w:pPr>
        <w:numPr>
          <w:ilvl w:val="0"/>
          <w:numId w:val="1830"/>
        </w:numPr>
        <w:pStyle w:val="Compact"/>
      </w:pPr>
      <w:r>
        <w:t xml:space="preserve">Kleppmann, M.</w:t>
      </w:r>
      <w:r>
        <w:t xml:space="preserve"> </w:t>
      </w:r>
      <w:r>
        <w:rPr>
          <w:iCs/>
          <w:i/>
        </w:rPr>
        <w:t xml:space="preserve">Designing Data-Intensive Applications</w:t>
      </w:r>
      <w:r>
        <w:t xml:space="preserve">, ch. 9</w:t>
      </w:r>
      <w:r>
        <w:t xml:space="preserve"> </w:t>
      </w:r>
      <w:r>
        <w:t xml:space="preserve">“</w:t>
      </w:r>
      <w:r>
        <w:t xml:space="preserve">Consistency and Consensus.</w:t>
      </w:r>
      <w:r>
        <w:t xml:space="preserve">”</w:t>
      </w:r>
      <w:r>
        <w:t xml:space="preserve"> </w:t>
      </w:r>
      <w:r>
        <w:t xml:space="preserve">O’Reilly Media, 2017.</w:t>
      </w:r>
    </w:p>
    <w:p>
      <w:pPr>
        <w:numPr>
          <w:ilvl w:val="0"/>
          <w:numId w:val="1830"/>
        </w:numPr>
        <w:pStyle w:val="Compact"/>
      </w:pPr>
      <w:r>
        <w:t xml:space="preserve">Lamport, L.</w:t>
      </w:r>
      <w:r>
        <w:t xml:space="preserve"> </w:t>
      </w:r>
      <w:r>
        <w:t xml:space="preserve">“</w:t>
      </w:r>
      <w:r>
        <w:t xml:space="preserve">How to Make a Multiprocessor Computer That Correctly Executes Multiprocess Programs.</w:t>
      </w:r>
      <w:r>
        <w:t xml:space="preserve">”</w:t>
      </w:r>
      <w:r>
        <w:t xml:space="preserve"> </w:t>
      </w:r>
      <w:r>
        <w:rPr>
          <w:iCs/>
          <w:i/>
        </w:rPr>
        <w:t xml:space="preserve">IEEE Transactions on Computers</w:t>
      </w:r>
      <w:r>
        <w:t xml:space="preserve"> </w:t>
      </w:r>
      <w:r>
        <w:t xml:space="preserve">C-28(9):690–691, 1979.</w:t>
      </w:r>
    </w:p>
    <w:p>
      <w:pPr>
        <w:numPr>
          <w:ilvl w:val="0"/>
          <w:numId w:val="1830"/>
        </w:numPr>
        <w:pStyle w:val="Compact"/>
      </w:pPr>
      <w:r>
        <w:t xml:space="preserve">Lipton, R. J., Sandberg, J. S.</w:t>
      </w:r>
      <w:r>
        <w:t xml:space="preserve"> </w:t>
      </w:r>
      <w:r>
        <w:t xml:space="preserve">“</w:t>
      </w:r>
      <w:r>
        <w:t xml:space="preserve">PRAM: A Scalable Shared Memory.</w:t>
      </w:r>
      <w:r>
        <w:t xml:space="preserve">”</w:t>
      </w:r>
      <w:r>
        <w:t xml:space="preserve"> </w:t>
      </w:r>
      <w:r>
        <w:t xml:space="preserve">Technical Report CS-TR-180-88, Princeton University, 1988.</w:t>
      </w:r>
    </w:p>
    <w:p>
      <w:pPr>
        <w:numPr>
          <w:ilvl w:val="0"/>
          <w:numId w:val="1830"/>
        </w:numPr>
        <w:pStyle w:val="Compact"/>
      </w:pPr>
      <w:r>
        <w:t xml:space="preserve">Lloyd, W., Freedman, M. J., Kaminsky, M., Andersen, D. G.</w:t>
      </w:r>
      <w:r>
        <w:t xml:space="preserve"> </w:t>
      </w:r>
      <w:r>
        <w:t xml:space="preserve">“</w:t>
      </w:r>
      <w:r>
        <w:t xml:space="preserve">Don’t Settle for Eventual: Scalable Causal Consistency for Wide-Area Storage with COPS.</w:t>
      </w:r>
      <w:r>
        <w:t xml:space="preserve">”</w:t>
      </w:r>
      <w:r>
        <w:t xml:space="preserve"> </w:t>
      </w:r>
      <w:r>
        <w:rPr>
          <w:iCs/>
          <w:i/>
        </w:rPr>
        <w:t xml:space="preserve">ACM SOSP</w:t>
      </w:r>
      <w:r>
        <w:t xml:space="preserve">, 2011.</w:t>
      </w:r>
    </w:p>
    <w:p>
      <w:pPr>
        <w:numPr>
          <w:ilvl w:val="0"/>
          <w:numId w:val="1830"/>
        </w:numPr>
        <w:pStyle w:val="Compact"/>
      </w:pPr>
      <w:r>
        <w:t xml:space="preserve">Lowe, G.</w:t>
      </w:r>
      <w:r>
        <w:t xml:space="preserve"> </w:t>
      </w:r>
      <w:r>
        <w:t xml:space="preserve">“</w:t>
      </w:r>
      <w:r>
        <w:t xml:space="preserve">Testing for Linearizability.</w:t>
      </w:r>
      <w:r>
        <w:t xml:space="preserve">”</w:t>
      </w:r>
      <w:r>
        <w:t xml:space="preserve"> </w:t>
      </w:r>
      <w:r>
        <w:rPr>
          <w:iCs/>
          <w:i/>
        </w:rPr>
        <w:t xml:space="preserve">Concurrency and Computation: Practice and Experience</w:t>
      </w:r>
      <w:r>
        <w:t xml:space="preserve"> </w:t>
      </w:r>
      <w:r>
        <w:t xml:space="preserve">29(4), 2017.</w:t>
      </w:r>
    </w:p>
    <w:p>
      <w:pPr>
        <w:numPr>
          <w:ilvl w:val="0"/>
          <w:numId w:val="1830"/>
        </w:numPr>
        <w:pStyle w:val="Compact"/>
      </w:pPr>
      <w:r>
        <w:t xml:space="preserve">Mahajan, P., Alvisi, L., Dahlin, M.</w:t>
      </w:r>
      <w:r>
        <w:t xml:space="preserve"> </w:t>
      </w:r>
      <w:r>
        <w:t xml:space="preserve">“</w:t>
      </w:r>
      <w:r>
        <w:t xml:space="preserve">Consistency, Availability, and Convergence.</w:t>
      </w:r>
      <w:r>
        <w:t xml:space="preserve">”</w:t>
      </w:r>
      <w:r>
        <w:t xml:space="preserve"> </w:t>
      </w:r>
      <w:r>
        <w:t xml:space="preserve">Technical Report TR-11-22, University of Texas at Austin, 2011.</w:t>
      </w:r>
    </w:p>
    <w:p>
      <w:pPr>
        <w:numPr>
          <w:ilvl w:val="0"/>
          <w:numId w:val="1830"/>
        </w:numPr>
        <w:pStyle w:val="Compact"/>
      </w:pPr>
      <w:r>
        <w:t xml:space="preserve">Microsoft.</w:t>
      </w:r>
      <w:r>
        <w:t xml:space="preserve"> </w:t>
      </w:r>
      <w:r>
        <w:rPr>
          <w:iCs/>
          <w:i/>
        </w:rPr>
        <w:t xml:space="preserve">Azure Cosmos DB documentation — Consistency levels</w:t>
      </w:r>
      <w:r>
        <w:t xml:space="preserve">. https://learn.microsoft.com/azure/cosmos-db/consistency-levels</w:t>
      </w:r>
    </w:p>
    <w:p>
      <w:pPr>
        <w:numPr>
          <w:ilvl w:val="0"/>
          <w:numId w:val="1830"/>
        </w:numPr>
        <w:pStyle w:val="Compact"/>
      </w:pPr>
      <w:r>
        <w:t xml:space="preserve">MongoDB.</w:t>
      </w:r>
      <w:r>
        <w:t xml:space="preserve"> </w:t>
      </w:r>
      <w:r>
        <w:rPr>
          <w:iCs/>
          <w:i/>
        </w:rPr>
        <w:t xml:space="preserve">MongoDB Manual — Causal Consistency and Read and Write Concerns; Read Concern</w:t>
      </w:r>
      <w:r>
        <w:t xml:space="preserve">. https://www.mongodb.com/docs/manual/</w:t>
      </w:r>
    </w:p>
    <w:p>
      <w:pPr>
        <w:numPr>
          <w:ilvl w:val="0"/>
          <w:numId w:val="1830"/>
        </w:numPr>
        <w:pStyle w:val="Compact"/>
      </w:pPr>
      <w:r>
        <w:t xml:space="preserve">MongoDB.</w:t>
      </w:r>
      <w:r>
        <w:t xml:space="preserve"> </w:t>
      </w:r>
      <w:r>
        <w:rPr>
          <w:iCs/>
          <w:i/>
        </w:rPr>
        <w:t xml:space="preserve">MongoDB and Jepsen</w:t>
      </w:r>
      <w:r>
        <w:t xml:space="preserve">. https://www.mongodb.com/jepsen</w:t>
      </w:r>
    </w:p>
    <w:p>
      <w:pPr>
        <w:numPr>
          <w:ilvl w:val="0"/>
          <w:numId w:val="1830"/>
        </w:numPr>
        <w:pStyle w:val="Compact"/>
      </w:pPr>
      <w:r>
        <w:t xml:space="preserve">Ongaro, D.</w:t>
      </w:r>
      <w:r>
        <w:t xml:space="preserve"> </w:t>
      </w:r>
      <w:r>
        <w:rPr>
          <w:iCs/>
          <w:i/>
        </w:rPr>
        <w:t xml:space="preserve">Consensus: Bridging Theory and Practice</w:t>
      </w:r>
      <w:r>
        <w:t xml:space="preserve">. PhD thesis, Stanford University, 2014.</w:t>
      </w:r>
    </w:p>
    <w:p>
      <w:pPr>
        <w:numPr>
          <w:ilvl w:val="0"/>
          <w:numId w:val="1830"/>
        </w:numPr>
        <w:pStyle w:val="Compact"/>
      </w:pPr>
      <w:r>
        <w:t xml:space="preserve">Papadimitriou, C. H.</w:t>
      </w:r>
      <w:r>
        <w:t xml:space="preserve"> </w:t>
      </w:r>
      <w:r>
        <w:t xml:space="preserve">“</w:t>
      </w:r>
      <w:r>
        <w:t xml:space="preserve">The Serializability of Concurrent Database Updates.</w:t>
      </w:r>
      <w:r>
        <w:t xml:space="preserve">”</w:t>
      </w:r>
      <w:r>
        <w:t xml:space="preserve"> </w:t>
      </w:r>
      <w:r>
        <w:rPr>
          <w:iCs/>
          <w:i/>
        </w:rPr>
        <w:t xml:space="preserve">Journal of the ACM</w:t>
      </w:r>
      <w:r>
        <w:t xml:space="preserve"> </w:t>
      </w:r>
      <w:r>
        <w:t xml:space="preserve">26(4):631–653, 1979.</w:t>
      </w:r>
    </w:p>
    <w:p>
      <w:pPr>
        <w:numPr>
          <w:ilvl w:val="0"/>
          <w:numId w:val="1830"/>
        </w:numPr>
        <w:pStyle w:val="Compact"/>
      </w:pPr>
      <w:r>
        <w:t xml:space="preserve">Terry, D. B., Demers, A. J., Petersen, K., Spreitzer, M. J., Theimer, M. M., Welch, B. B.</w:t>
      </w:r>
      <w:r>
        <w:t xml:space="preserve"> </w:t>
      </w:r>
      <w:r>
        <w:t xml:space="preserve">“</w:t>
      </w:r>
      <w:r>
        <w:t xml:space="preserve">Session Guarantees for Weakly Consistent Replicated Data.</w:t>
      </w:r>
      <w:r>
        <w:t xml:space="preserve">”</w:t>
      </w:r>
      <w:r>
        <w:t xml:space="preserve"> </w:t>
      </w:r>
      <w:r>
        <w:rPr>
          <w:iCs/>
          <w:i/>
        </w:rPr>
        <w:t xml:space="preserve">International Conference on Parallel and Distributed Information Systems (PDIS)</w:t>
      </w:r>
      <w:r>
        <w:t xml:space="preserve">, 1994.</w:t>
      </w:r>
    </w:p>
    <w:p>
      <w:pPr>
        <w:numPr>
          <w:ilvl w:val="0"/>
          <w:numId w:val="1830"/>
        </w:numPr>
        <w:pStyle w:val="Compact"/>
      </w:pPr>
      <w:r>
        <w:t xml:space="preserve">Viotti, P., Vukolić, M.</w:t>
      </w:r>
      <w:r>
        <w:t xml:space="preserve"> </w:t>
      </w:r>
      <w:r>
        <w:t xml:space="preserve">“</w:t>
      </w:r>
      <w:r>
        <w:t xml:space="preserve">Consistency in Non-Transactional Distributed Storage Systems.</w:t>
      </w:r>
      <w:r>
        <w:t xml:space="preserve">”</w:t>
      </w:r>
      <w:r>
        <w:t xml:space="preserve"> </w:t>
      </w:r>
      <w:r>
        <w:rPr>
          <w:iCs/>
          <w:i/>
        </w:rPr>
        <w:t xml:space="preserve">ACM Computing Surveys</w:t>
      </w:r>
      <w:r>
        <w:t xml:space="preserve"> </w:t>
      </w:r>
      <w:r>
        <w:t xml:space="preserve">49(1), Article 19, 2016.</w:t>
      </w:r>
    </w:p>
    <w:p>
      <w:pPr>
        <w:numPr>
          <w:ilvl w:val="0"/>
          <w:numId w:val="1830"/>
        </w:numPr>
        <w:pStyle w:val="Compact"/>
      </w:pPr>
      <w:r>
        <w:t xml:space="preserve">Vogels, W.</w:t>
      </w:r>
      <w:r>
        <w:t xml:space="preserve"> </w:t>
      </w:r>
      <w:r>
        <w:t xml:space="preserve">“</w:t>
      </w:r>
      <w:r>
        <w:t xml:space="preserve">Eventually Consistent.</w:t>
      </w:r>
      <w:r>
        <w:t xml:space="preserve">”</w:t>
      </w:r>
      <w:r>
        <w:t xml:space="preserve"> </w:t>
      </w:r>
      <w:r>
        <w:rPr>
          <w:iCs/>
          <w:i/>
        </w:rPr>
        <w:t xml:space="preserve">Communications of the ACM</w:t>
      </w:r>
      <w:r>
        <w:t xml:space="preserve"> </w:t>
      </w:r>
      <w:r>
        <w:t xml:space="preserve">52(1):40–44, 2009.</w:t>
      </w:r>
    </w:p>
    <w:p>
      <w:pPr>
        <w:numPr>
          <w:ilvl w:val="0"/>
          <w:numId w:val="1830"/>
        </w:numPr>
        <w:pStyle w:val="Compact"/>
      </w:pPr>
      <w:r>
        <w:t xml:space="preserve">Vogels, W.</w:t>
      </w:r>
      <w:r>
        <w:t xml:space="preserve"> </w:t>
      </w:r>
      <w:r>
        <w:t xml:space="preserve">“</w:t>
      </w:r>
      <w:r>
        <w:t xml:space="preserve">Diving Deep on S3 Consistency.</w:t>
      </w:r>
      <w:r>
        <w:t xml:space="preserve">”</w:t>
      </w:r>
      <w:r>
        <w:t xml:space="preserve"> </w:t>
      </w:r>
      <w:r>
        <w:rPr>
          <w:iCs/>
          <w:i/>
        </w:rPr>
        <w:t xml:space="preserve">All Things Distributed</w:t>
      </w:r>
      <w:r>
        <w:t xml:space="preserve">, 2021. https://www.allthingsdistributed.com/2021/04/s3-strong-consistency.html</w:t>
      </w:r>
    </w:p>
    <w:p>
      <w:pPr>
        <w:numPr>
          <w:ilvl w:val="0"/>
          <w:numId w:val="1830"/>
        </w:numPr>
        <w:pStyle w:val="Compact"/>
      </w:pPr>
      <w:r>
        <w:t xml:space="preserve">Wing, J. M., Gong, C.</w:t>
      </w:r>
      <w:r>
        <w:t xml:space="preserve"> </w:t>
      </w:r>
      <w:r>
        <w:t xml:space="preserve">“</w:t>
      </w:r>
      <w:r>
        <w:t xml:space="preserve">Testing and Verifying Concurrent Objects.</w:t>
      </w:r>
      <w:r>
        <w:t xml:space="preserve">”</w:t>
      </w:r>
      <w:r>
        <w:t xml:space="preserve"> </w:t>
      </w:r>
      <w:r>
        <w:rPr>
          <w:iCs/>
          <w:i/>
        </w:rPr>
        <w:t xml:space="preserve">Journal of Parallel and Distributed Computing</w:t>
      </w:r>
      <w:r>
        <w:t xml:space="preserve"> </w:t>
      </w:r>
      <w:r>
        <w:t xml:space="preserve">17(1–2):164–182, 1993.</w:t>
      </w:r>
    </w:p>
    <w:p>
      <w:pPr>
        <w:numPr>
          <w:ilvl w:val="0"/>
          <w:numId w:val="1830"/>
        </w:numPr>
        <w:pStyle w:val="Compact"/>
      </w:pPr>
      <w:r>
        <w:t xml:space="preserve">Athalye, A.</w:t>
      </w:r>
      <w:r>
        <w:t xml:space="preserve"> </w:t>
      </w:r>
      <w:r>
        <w:rPr>
          <w:iCs/>
          <w:i/>
        </w:rPr>
        <w:t xml:space="preserve">Porcupine: A fast linearizability checker in Go</w:t>
      </w:r>
      <w:r>
        <w:t xml:space="preserve">. https://github.com/anishathalye/porcupine</w:t>
      </w:r>
    </w:p>
    <w:bookmarkEnd w:id="2879"/>
    <w:bookmarkStart w:id="2880" w:name="open-verification-items-24"/>
    <w:p>
      <w:pPr>
        <w:pStyle w:val="Heading2"/>
      </w:pPr>
      <w:r>
        <w:t xml:space="preserve">25.18 Open verification items</w:t>
      </w:r>
    </w:p>
    <w:p>
      <w:pPr>
        <w:numPr>
          <w:ilvl w:val="0"/>
          <w:numId w:val="1831"/>
        </w:numPr>
        <w:pStyle w:val="Compact"/>
      </w:pPr>
      <w:r>
        <w:t xml:space="preserve">Attiya and Welch (1994): confirm the exact bounds attributed in §25.3.4 (</w:t>
      </w:r>
      <m:oMath>
        <m:sSub>
          <m:e>
            <m:r>
              <m:t>t</m:t>
            </m:r>
          </m:e>
          <m:sub>
            <m:r>
              <m:t>r</m:t>
            </m:r>
          </m:sub>
        </m:sSub>
        <m:r>
          <m:rPr>
            <m:sty m:val="p"/>
          </m:rPr>
          <m:t>+</m:t>
        </m:r>
        <m:sSub>
          <m:e>
            <m:r>
              <m:t>t</m:t>
            </m:r>
          </m:e>
          <m:sub>
            <m:r>
              <m:t>w</m:t>
            </m:r>
          </m:sub>
        </m:sSub>
        <m:r>
          <m:rPr>
            <m:sty m:val="p"/>
          </m:rPr>
          <m:t>≥</m:t>
        </m:r>
        <m:r>
          <m:t>d</m:t>
        </m:r>
      </m:oMath>
      <w:r>
        <w:t xml:space="preserve"> </w:t>
      </w:r>
      <w:r>
        <w:t xml:space="preserve">for sequential consistency, credited also to Lipton and Sandberg; linearizability needing both operations to wait in proportion to delay uncertainty).</w:t>
      </w:r>
    </w:p>
    <w:p>
      <w:pPr>
        <w:numPr>
          <w:ilvl w:val="0"/>
          <w:numId w:val="1831"/>
        </w:numPr>
        <w:pStyle w:val="Compact"/>
      </w:pPr>
      <w:r>
        <w:t xml:space="preserve">Mahajan et al. (2011): confirm the precise statement of the real-time causal result.</w:t>
      </w:r>
    </w:p>
    <w:p>
      <w:pPr>
        <w:numPr>
          <w:ilvl w:val="0"/>
          <w:numId w:val="1831"/>
        </w:numPr>
        <w:pStyle w:val="Compact"/>
      </w:pPr>
      <w:r>
        <w:t xml:space="preserve">Jepsen map (Figure 25.10): re-check edges and availability colors against the current jepsen.io page (jepsen.io was unreachable from the build environment).</w:t>
      </w:r>
    </w:p>
    <w:p>
      <w:pPr>
        <w:numPr>
          <w:ilvl w:val="0"/>
          <w:numId w:val="1831"/>
        </w:numPr>
        <w:pStyle w:val="Compact"/>
      </w:pPr>
      <w:r>
        <w:t xml:space="preserve">PostgreSQL 12.3: confirm the fix release (believed 12.4).</w:t>
      </w:r>
    </w:p>
    <w:p>
      <w:pPr>
        <w:numPr>
          <w:ilvl w:val="0"/>
          <w:numId w:val="1831"/>
        </w:numPr>
        <w:pStyle w:val="Compact"/>
      </w:pPr>
      <w:r>
        <w:t xml:space="preserve">Cosmos DB: confirm minimum bounded-staleness</w:t>
      </w:r>
      <w:r>
        <w:t xml:space="preserve"> </w:t>
      </w:r>
      <m:oMath>
        <m:r>
          <m:t>K</m:t>
        </m:r>
      </m:oMath>
      <w:r>
        <w:t xml:space="preserve">/</w:t>
      </w:r>
      <m:oMath>
        <m:r>
          <m:t>T</m:t>
        </m:r>
      </m:oMath>
      <w:r>
        <w:t xml:space="preserve"> </w:t>
      </w:r>
      <w:r>
        <w:t xml:space="preserve">values and that strong consistency is unavailable with multiple write regions.</w:t>
      </w:r>
    </w:p>
    <w:p>
      <w:pPr>
        <w:numPr>
          <w:ilvl w:val="0"/>
          <w:numId w:val="1831"/>
        </w:numPr>
        <w:pStyle w:val="Compact"/>
      </w:pPr>
      <w:r>
        <w:t xml:space="preserve">Spanner commit-wait magnitude (about</w:t>
      </w:r>
      <w:r>
        <w:t xml:space="preserve"> </w:t>
      </w:r>
      <m:oMath>
        <m:r>
          <m:t>2</m:t>
        </m:r>
        <m:acc>
          <m:accPr>
            <m:chr m:val="‾"/>
          </m:accPr>
          <m:e>
            <m:r>
              <m:t>ε</m:t>
            </m:r>
          </m:e>
        </m:acc>
        <m:r>
          <m:rPr>
            <m:sty m:val="p"/>
          </m:rPr>
          <m:t>≈</m:t>
        </m:r>
        <m:r>
          <m:t>8</m:t>
        </m:r>
      </m:oMath>
      <w:r>
        <w:t xml:space="preserve"> </w:t>
      </w:r>
      <w:r>
        <w:t xml:space="preserve">ms, as derived in §28.8.2 from the paper’s average</w:t>
      </w:r>
      <w:r>
        <w:t xml:space="preserve"> </w:t>
      </w:r>
      <m:oMath>
        <m:r>
          <m:t>ε</m:t>
        </m:r>
      </m:oMath>
      <w:r>
        <w:t xml:space="preserve"> </w:t>
      </w:r>
      <w:r>
        <w:t xml:space="preserve">of about 4 ms); Brewer 2012 page numbers.</w:t>
      </w:r>
    </w:p>
    <w:bookmarkEnd w:id="2880"/>
    <w:bookmarkEnd w:id="2881"/>
    <w:bookmarkStart w:id="2999" w:name="chapter-26-consensus-and-coordination"/>
    <w:p>
      <w:pPr>
        <w:pStyle w:val="Heading1"/>
      </w:pPr>
      <w:r>
        <w:t xml:space="preserve">Chapter 26 — Consensus and Coordination</w:t>
      </w:r>
    </w:p>
    <w:p>
      <w:pPr>
        <w:pStyle w:val="BlockText"/>
      </w:pPr>
      <w:r>
        <w:rPr>
          <w:bCs/>
          <w:b/>
        </w:rPr>
        <w:t xml:space="preserve">Level:</w:t>
      </w:r>
      <w:r>
        <w:t xml:space="preserve"> </w:t>
      </w:r>
      <w:r>
        <w:t xml:space="preserve">3–4 ·</w:t>
      </w:r>
      <w:r>
        <w:t xml:space="preserve"> </w:t>
      </w:r>
      <w:r>
        <w:rPr>
          <w:bCs/>
          <w:b/>
        </w:rPr>
        <w:t xml:space="preserve">Track:</w:t>
      </w:r>
      <w:r>
        <w:t xml:space="preserve"> </w:t>
      </w:r>
      <w:r>
        <w:t xml:space="preserve">A (Traditional) ·</w:t>
      </w:r>
      <w:r>
        <w:t xml:space="preserve"> </w:t>
      </w:r>
      <w:r>
        <w:rPr>
          <w:bCs/>
          <w:b/>
        </w:rPr>
        <w:t xml:space="preserve">Estimated reading time:</w:t>
      </w:r>
      <w:r>
        <w:t xml:space="preserve"> </w:t>
      </w:r>
      <w:r>
        <w:t xml:space="preserve">7 h</w:t>
      </w:r>
    </w:p>
    <w:p>
      <w:pPr>
        <w:pStyle w:val="FirstParagraph"/>
      </w:pPr>
      <w:r>
        <w:t xml:space="preserve">At 02:14 a database primary stops answering heartbeats. The failover controller promotes a replica. Ninety seconds later the old primary finishes a long garbage-collection pause, finds its network link healthy again, and keeps accepting writes, because nothing told it that it had been replaced. For a few minutes two nodes both believe they are the primary, and customers who wrote to the</w:t>
      </w:r>
      <w:r>
        <w:t xml:space="preserve"> </w:t>
      </w:r>
      <w:r>
        <w:t xml:space="preserve">“</w:t>
      </w:r>
      <w:r>
        <w:t xml:space="preserve">wrong</w:t>
      </w:r>
      <w:r>
        <w:t xml:space="preserve">”</w:t>
      </w:r>
      <w:r>
        <w:t xml:space="preserve"> </w:t>
      </w:r>
      <w:r>
        <w:t xml:space="preserve">one lose their orders when the clusters are reconciled. Nothing here was a bug in the usual sense: every node acted correctly on the information it had. The failure was a missing</w:t>
      </w:r>
      <w:r>
        <w:t xml:space="preserve"> </w:t>
      </w:r>
      <w:r>
        <w:rPr>
          <w:iCs/>
          <w:i/>
        </w:rPr>
        <w:t xml:space="preserve">agreement</w:t>
      </w:r>
      <w:r>
        <w:t xml:space="preserve"> </w:t>
      </w:r>
      <w:r>
        <w:t xml:space="preserve">about who was in charge.</w:t>
      </w:r>
    </w:p>
    <w:p>
      <w:pPr>
        <w:pStyle w:val="BodyText"/>
      </w:pPr>
      <w:r>
        <w:t xml:space="preserve">This chapter is about that agreement.</w:t>
      </w:r>
      <w:r>
        <w:t xml:space="preserve"> </w:t>
      </w:r>
      <w:r>
        <w:rPr>
          <w:bCs/>
          <w:b/>
        </w:rPr>
        <w:t xml:space="preserve">Consensus</w:t>
      </w:r>
      <w:r>
        <w:t xml:space="preserve"> </w:t>
      </w:r>
      <w:r>
        <w:t xml:space="preserve">gets unreliable machines to decide one thing and never change their minds;</w:t>
      </w:r>
      <w:r>
        <w:t xml:space="preserve"> </w:t>
      </w:r>
      <w:r>
        <w:rPr>
          <w:bCs/>
          <w:b/>
        </w:rPr>
        <w:t xml:space="preserve">coordination</w:t>
      </w:r>
      <w:r>
        <w:t xml:space="preserve"> </w:t>
      </w:r>
      <w:r>
        <w:t xml:space="preserve">builds on it: leader election, locks, leases, configuration and membership. You will learn why majority quorums work, how Paxos and Raft agree despite crashes and lost messages, how ZooKeeper, etcd and Chubby package consensus as a service, and why even a correct lock service cannot stop a paused client unless storage checks a</w:t>
      </w:r>
      <w:r>
        <w:t xml:space="preserve"> </w:t>
      </w:r>
      <w:r>
        <w:rPr>
          <w:bCs/>
          <w:b/>
        </w:rPr>
        <w:t xml:space="preserve">fencing token</w:t>
      </w:r>
      <w:r>
        <w:t xml:space="preserve">.</w:t>
      </w:r>
    </w:p>
    <w:bookmarkStart w:id="2882" w:name="learning-objectives-25"/>
    <w:p>
      <w:pPr>
        <w:pStyle w:val="Heading2"/>
      </w:pPr>
      <w:r>
        <w:t xml:space="preserve">26.1 Learning objectives</w:t>
      </w:r>
    </w:p>
    <w:p>
      <w:pPr>
        <w:pStyle w:val="FirstParagraph"/>
      </w:pPr>
      <w:r>
        <w:t xml:space="preserve">After this chapter you should be able to:</w:t>
      </w:r>
    </w:p>
    <w:p>
      <w:pPr>
        <w:numPr>
          <w:ilvl w:val="0"/>
          <w:numId w:val="1832"/>
        </w:numPr>
        <w:pStyle w:val="Compact"/>
      </w:pPr>
      <w:r>
        <w:t xml:space="preserve">State the consensus problem (agreement, validity, termination) and explain how a replicated state machine turns single-value consensus into a fault-tolerant service.</w:t>
      </w:r>
    </w:p>
    <w:p>
      <w:pPr>
        <w:numPr>
          <w:ilvl w:val="0"/>
          <w:numId w:val="1832"/>
        </w:numPr>
        <w:pStyle w:val="Compact"/>
      </w:pPr>
      <w:r>
        <w:t xml:space="preserve">Compute quorum sizes, fault tolerance, availability and commit latency for 3-, 5- and 7-node clusters, and explain flexible quorums.</w:t>
      </w:r>
    </w:p>
    <w:p>
      <w:pPr>
        <w:numPr>
          <w:ilvl w:val="0"/>
          <w:numId w:val="1832"/>
        </w:numPr>
        <w:pStyle w:val="Compact"/>
      </w:pPr>
      <w:r>
        <w:t xml:space="preserve">Compare bully, ring and lease-based leader election and explain why electing a leader does not, by itself, give safety.</w:t>
      </w:r>
    </w:p>
    <w:p>
      <w:pPr>
        <w:numPr>
          <w:ilvl w:val="0"/>
          <w:numId w:val="1832"/>
        </w:numPr>
        <w:pStyle w:val="Compact"/>
      </w:pPr>
      <w:r>
        <w:t xml:space="preserve">Trace single-decree Paxos through prepare/promise and accept/accepted, including competing proposers, and explain how Multi-Paxos removes phase 1 from the common path.</w:t>
      </w:r>
    </w:p>
    <w:p>
      <w:pPr>
        <w:numPr>
          <w:ilvl w:val="0"/>
          <w:numId w:val="1832"/>
        </w:numPr>
        <w:pStyle w:val="Compact"/>
      </w:pPr>
      <w:r>
        <w:t xml:space="preserve">Explain Raft’s terms, elections, log replication, log matching, commit rule and the</w:t>
      </w:r>
      <w:r>
        <w:t xml:space="preserve"> </w:t>
      </w:r>
      <w:r>
        <w:t xml:space="preserve">“</w:t>
      </w:r>
      <w:r>
        <w:t xml:space="preserve">commit only current-term entries</w:t>
      </w:r>
      <w:r>
        <w:t xml:space="preserve">”</w:t>
      </w:r>
      <w:r>
        <w:t xml:space="preserve"> </w:t>
      </w:r>
      <w:r>
        <w:t xml:space="preserve">subtlety; size election timeouts; describe snapshots, membership changes, ReadIndex and lease reads; and run a Raft simulator.</w:t>
      </w:r>
    </w:p>
    <w:p>
      <w:pPr>
        <w:numPr>
          <w:ilvl w:val="0"/>
          <w:numId w:val="1832"/>
        </w:numPr>
        <w:pStyle w:val="Compact"/>
      </w:pPr>
      <w:r>
        <w:t xml:space="preserve">Use ZooKeeper, etcd, Consul and Chubby primitives (ephemeral nodes, watches, revisions, leases, sequencers) to build election, locks and barriers.</w:t>
      </w:r>
    </w:p>
    <w:p>
      <w:pPr>
        <w:numPr>
          <w:ilvl w:val="0"/>
          <w:numId w:val="1832"/>
        </w:numPr>
        <w:pStyle w:val="Compact"/>
      </w:pPr>
      <w:r>
        <w:t xml:space="preserve">Evaluate distributed-lock designs, including the Redlock debate, and design leases with an explicit clock-safety margin.</w:t>
      </w:r>
    </w:p>
    <w:p>
      <w:pPr>
        <w:numPr>
          <w:ilvl w:val="0"/>
          <w:numId w:val="1832"/>
        </w:numPr>
        <w:pStyle w:val="Compact"/>
      </w:pPr>
      <w:r>
        <w:t xml:space="preserve">Diagnose split brain and prevent it with quorums, witnesses, STONITH and fencing tokens.</w:t>
      </w:r>
    </w:p>
    <w:bookmarkEnd w:id="2882"/>
    <w:bookmarkStart w:id="2883" w:name="prerequisites-25"/>
    <w:p>
      <w:pPr>
        <w:pStyle w:val="Heading2"/>
      </w:pPr>
      <w:r>
        <w:t xml:space="preserve">26.2 Prerequisites</w:t>
      </w:r>
    </w:p>
    <w:p>
      <w:pPr>
        <w:numPr>
          <w:ilvl w:val="0"/>
          <w:numId w:val="1833"/>
        </w:numPr>
        <w:pStyle w:val="Compact"/>
      </w:pPr>
      <w:r>
        <w:t xml:space="preserve">System models, partial failure and network partitions — §24.6–§24.8 (consensus algorithms are defined relative to a failure model).</w:t>
      </w:r>
    </w:p>
    <w:p>
      <w:pPr>
        <w:numPr>
          <w:ilvl w:val="0"/>
          <w:numId w:val="1833"/>
        </w:numPr>
        <w:pStyle w:val="Compact"/>
      </w:pPr>
      <w:r>
        <w:t xml:space="preserve">Physical clocks and clock skew — §24.9 (leases and lease reads depend on bounded clock drift).</w:t>
      </w:r>
    </w:p>
    <w:p>
      <w:pPr>
        <w:numPr>
          <w:ilvl w:val="0"/>
          <w:numId w:val="1833"/>
        </w:numPr>
        <w:pStyle w:val="Compact"/>
      </w:pPr>
      <w:r>
        <w:t xml:space="preserve">FLP impossibility — §24.13 (explains why every practical algorithm needs timeouts).</w:t>
      </w:r>
    </w:p>
    <w:p>
      <w:pPr>
        <w:numPr>
          <w:ilvl w:val="0"/>
          <w:numId w:val="1833"/>
        </w:numPr>
        <w:pStyle w:val="Compact"/>
      </w:pPr>
      <w:r>
        <w:t xml:space="preserve">Linearizability — §25.3 (the consistency level consensus-backed services provide).</w:t>
      </w:r>
    </w:p>
    <w:p>
      <w:pPr>
        <w:numPr>
          <w:ilvl w:val="0"/>
          <w:numId w:val="1833"/>
        </w:numPr>
        <w:pStyle w:val="Compact"/>
      </w:pPr>
      <w:r>
        <w:t xml:space="preserve">Primary–replica replication and failover — §14.3–§14.4 (consensus fixes the failover problems introduced there).</w:t>
      </w:r>
    </w:p>
    <w:p>
      <w:pPr>
        <w:numPr>
          <w:ilvl w:val="0"/>
          <w:numId w:val="1833"/>
        </w:numPr>
        <w:pStyle w:val="Compact"/>
      </w:pPr>
      <w:r>
        <w:t xml:space="preserve">Write-ahead logs and</w:t>
      </w:r>
      <w:r>
        <w:t xml:space="preserve"> </w:t>
      </w:r>
      <w:r>
        <w:rPr>
          <w:rStyle w:val="VerbatimChar"/>
        </w:rPr>
        <w:t xml:space="preserve">fsync</w:t>
      </w:r>
      <w:r>
        <w:t xml:space="preserve"> </w:t>
      </w:r>
      <w:r>
        <w:t xml:space="preserve">— §13.5, §13.12 (every vote and log entry must be durable before it is acknowledged).</w:t>
      </w:r>
    </w:p>
    <w:bookmarkEnd w:id="2883"/>
    <w:bookmarkStart w:id="2892" w:name="the-consensus-problem"/>
    <w:p>
      <w:pPr>
        <w:pStyle w:val="Heading2"/>
      </w:pPr>
      <w:r>
        <w:t xml:space="preserve">26.3 The consensus problem</w:t>
      </w:r>
    </w:p>
    <w:bookmarkStart w:id="2887" w:name="agreement-validity-termination"/>
    <w:p>
      <w:pPr>
        <w:pStyle w:val="Heading3"/>
      </w:pPr>
      <w:r>
        <w:t xml:space="preserve">26.3.1 Agreement, validity, termination</w:t>
      </w:r>
    </w:p>
    <w:p>
      <w:pPr>
        <w:pStyle w:val="CalloutDefinition"/>
      </w:pPr>
      <w:r>
        <w:rPr>
          <w:bCs/>
          <w:b/>
        </w:rPr>
        <w:t xml:space="preserve">DEFINITION</w:t>
      </w:r>
    </w:p>
    <w:p>
      <w:pPr>
        <w:pStyle w:val="CalloutDefinition"/>
      </w:pPr>
      <w:r>
        <w:rPr>
          <w:bCs/>
          <w:b/>
        </w:rPr>
        <w:t xml:space="preserve">Definition — Consensus.</w:t>
      </w:r>
      <w:r>
        <w:t xml:space="preserve"> </w:t>
      </w:r>
      <w:r>
        <w:t xml:space="preserve">A set of processes, each of which may</w:t>
      </w:r>
      <w:r>
        <w:t xml:space="preserve"> </w:t>
      </w:r>
      <w:r>
        <w:rPr>
          <w:bCs/>
          <w:b/>
        </w:rPr>
        <w:t xml:space="preserve">propose</w:t>
      </w:r>
      <w:r>
        <w:t xml:space="preserve"> </w:t>
      </w:r>
      <w:r>
        <w:t xml:space="preserve">a value, must</w:t>
      </w:r>
      <w:r>
        <w:t xml:space="preserve"> </w:t>
      </w:r>
      <w:r>
        <w:rPr>
          <w:bCs/>
          <w:b/>
        </w:rPr>
        <w:t xml:space="preserve">decide</w:t>
      </w:r>
      <w:r>
        <w:t xml:space="preserve"> </w:t>
      </w:r>
      <w:r>
        <w:t xml:space="preserve">on a single value such that:</w:t>
      </w:r>
      <w:r>
        <w:t xml:space="preserve"> </w:t>
      </w:r>
      <w:r>
        <w:rPr>
          <w:bCs/>
          <w:b/>
        </w:rPr>
        <w:t xml:space="preserve">agreement</w:t>
      </w:r>
      <w:r>
        <w:t xml:space="preserve"> </w:t>
      </w:r>
      <w:r>
        <w:t xml:space="preserve">— no two correct processes decide differently;</w:t>
      </w:r>
      <w:r>
        <w:t xml:space="preserve"> </w:t>
      </w:r>
      <w:r>
        <w:rPr>
          <w:bCs/>
          <w:b/>
        </w:rPr>
        <w:t xml:space="preserve">validity</w:t>
      </w:r>
      <w:r>
        <w:t xml:space="preserve"> </w:t>
      </w:r>
      <w:r>
        <w:t xml:space="preserve">(integrity) — the decided value was proposed by some process;</w:t>
      </w:r>
      <w:r>
        <w:t xml:space="preserve"> </w:t>
      </w:r>
      <w:r>
        <w:rPr>
          <w:bCs/>
          <w:b/>
        </w:rPr>
        <w:t xml:space="preserve">termination</w:t>
      </w:r>
      <w:r>
        <w:t xml:space="preserve"> </w:t>
      </w:r>
      <w:r>
        <w:t xml:space="preserve">— every correct process eventually decides. Once decided, a value never changes.</w:t>
      </w:r>
    </w:p>
    <w:bookmarkStart w:id="2884" w:name="first-principles-explanation-140"/>
    <w:p>
      <w:pPr>
        <w:pStyle w:val="Heading4"/>
      </w:pPr>
      <w:r>
        <w:t xml:space="preserve">First-principles explanation</w:t>
      </w:r>
    </w:p>
    <w:p>
      <w:pPr>
        <w:pStyle w:val="FirstParagraph"/>
      </w:pPr>
      <w:r>
        <w:t xml:space="preserve">Picture five friends choosing a restaurant by text message. Messages arrive late or not at all, and any friend’s phone may die mid-conversation. They want three things. Everyone who chooses must choose the</w:t>
      </w:r>
      <w:r>
        <w:t xml:space="preserve"> </w:t>
      </w:r>
      <w:r>
        <w:rPr>
          <w:iCs/>
          <w:i/>
        </w:rPr>
        <w:t xml:space="preserve">same</w:t>
      </w:r>
      <w:r>
        <w:t xml:space="preserve"> </w:t>
      </w:r>
      <w:r>
        <w:t xml:space="preserve">restaurant (agreement). The chosen restaurant must be one somebody actually suggested, not a default made up by the protocol (validity). And they must eventually stop arguing and eat (termination). The first two are</w:t>
      </w:r>
      <w:r>
        <w:t xml:space="preserve"> </w:t>
      </w:r>
      <w:r>
        <w:rPr>
          <w:bCs/>
          <w:b/>
        </w:rPr>
        <w:t xml:space="preserve">safety</w:t>
      </w:r>
      <w:r>
        <w:t xml:space="preserve"> </w:t>
      </w:r>
      <w:r>
        <w:t xml:space="preserve">properties:</w:t>
      </w:r>
      <w:r>
        <w:t xml:space="preserve"> </w:t>
      </w:r>
      <w:r>
        <w:t xml:space="preserve">“</w:t>
      </w:r>
      <w:r>
        <w:t xml:space="preserve">nothing bad ever happens.</w:t>
      </w:r>
      <w:r>
        <w:t xml:space="preserve">”</w:t>
      </w:r>
      <w:r>
        <w:t xml:space="preserve"> </w:t>
      </w:r>
      <w:r>
        <w:t xml:space="preserve">The third is a</w:t>
      </w:r>
      <w:r>
        <w:t xml:space="preserve"> </w:t>
      </w:r>
      <w:r>
        <w:rPr>
          <w:bCs/>
          <w:b/>
        </w:rPr>
        <w:t xml:space="preserve">liveness</w:t>
      </w:r>
      <w:r>
        <w:t xml:space="preserve"> </w:t>
      </w:r>
      <w:r>
        <w:t xml:space="preserve">property:</w:t>
      </w:r>
      <w:r>
        <w:t xml:space="preserve"> </w:t>
      </w:r>
      <w:r>
        <w:t xml:space="preserve">“</w:t>
      </w:r>
      <w:r>
        <w:t xml:space="preserve">something good eventually happens.</w:t>
      </w:r>
      <w:r>
        <w:t xml:space="preserve">”</w:t>
      </w:r>
    </w:p>
    <w:p>
      <w:pPr>
        <w:pStyle w:val="BodyText"/>
      </w:pPr>
      <w:r>
        <w:t xml:space="preserve">The difficulty is that a silent phone is ambiguous: is Dana’s phone dead, or her reply just slow? Wait forever and the group may never decide; decide without her and Dana may later act on an older, different decision. Every consensus algorithm is a careful answer to this ambiguity.</w:t>
      </w:r>
    </w:p>
    <w:bookmarkEnd w:id="2884"/>
    <w:bookmarkStart w:id="2885" w:name="why-does-this-exist-87"/>
    <w:p>
      <w:pPr>
        <w:pStyle w:val="Heading4"/>
      </w:pPr>
      <w:r>
        <w:t xml:space="preserve">Why does this exist?</w:t>
      </w:r>
    </w:p>
    <w:p>
      <w:pPr>
        <w:pStyle w:val="FirstParagraph"/>
      </w:pPr>
      <w:r>
        <w:t xml:space="preserve">Many problems reduce to consensus: choosing one leader, committing or aborting a distributed transaction, granting a lock to one client, agreeing on membership, and ordering writes to a replicated database. Solve consensus once and you can build all of these, which is why it sits underneath ZooKeeper, etcd, Consul, Chubby, Spanner, CockroachDB, TiKV and Kafka’s KRaft controller (Chapter 31).</w:t>
      </w:r>
    </w:p>
    <w:bookmarkEnd w:id="2885"/>
    <w:bookmarkStart w:id="2886" w:name="X81e6fe0971ce8bc3f68ff9af4f32c9f2a7cf118"/>
    <w:p>
      <w:pPr>
        <w:pStyle w:val="Heading4"/>
      </w:pPr>
      <w:r>
        <w:t xml:space="preserve">The impossibility result and how practice escapes it</w:t>
      </w:r>
    </w:p>
    <w:p>
      <w:pPr>
        <w:pStyle w:val="FirstParagraph"/>
      </w:pPr>
      <w:r>
        <w:t xml:space="preserve">Section 24.13 introduced the</w:t>
      </w:r>
      <w:r>
        <w:t xml:space="preserve"> </w:t>
      </w:r>
      <w:r>
        <w:rPr>
          <w:bCs/>
          <w:b/>
        </w:rPr>
        <w:t xml:space="preserve">FLP result</w:t>
      </w:r>
      <w:r>
        <w:t xml:space="preserve"> </w:t>
      </w:r>
      <w:r>
        <w:t xml:space="preserve">[Fischer, Lynch and Paterson 1985]: in a fully</w:t>
      </w:r>
      <w:r>
        <w:t xml:space="preserve"> </w:t>
      </w:r>
      <w:r>
        <w:rPr>
          <w:iCs/>
          <w:i/>
        </w:rPr>
        <w:t xml:space="preserve">asynchronous</w:t>
      </w:r>
      <w:r>
        <w:t xml:space="preserve"> </w:t>
      </w:r>
      <w:r>
        <w:t xml:space="preserve">system, where message delays have no upper bound, no deterministic algorithm can guarantee consensus if even one process may crash. The reason is exactly Dana’s silent phone: the algorithm can never distinguish</w:t>
      </w:r>
      <w:r>
        <w:t xml:space="preserve"> </w:t>
      </w:r>
      <w:r>
        <w:t xml:space="preserve">“</w:t>
      </w:r>
      <w:r>
        <w:t xml:space="preserve">crashed</w:t>
      </w:r>
      <w:r>
        <w:t xml:space="preserve">”</w:t>
      </w:r>
      <w:r>
        <w:t xml:space="preserve"> </w:t>
      </w:r>
      <w:r>
        <w:t xml:space="preserve">from</w:t>
      </w:r>
      <w:r>
        <w:t xml:space="preserve"> </w:t>
      </w:r>
      <w:r>
        <w:t xml:space="preserve">“</w:t>
      </w:r>
      <w:r>
        <w:t xml:space="preserve">slow,</w:t>
      </w:r>
      <w:r>
        <w:t xml:space="preserve">”</w:t>
      </w:r>
      <w:r>
        <w:t xml:space="preserve"> </w:t>
      </w:r>
      <w:r>
        <w:t xml:space="preserve">and an adversarial schedule can keep it undecided forever.</w:t>
      </w:r>
    </w:p>
    <w:p>
      <w:pPr>
        <w:pStyle w:val="BodyText"/>
      </w:pPr>
      <w:r>
        <w:t xml:space="preserve">Practical algorithms</w:t>
      </w:r>
      <w:r>
        <w:t xml:space="preserve"> </w:t>
      </w:r>
      <w:r>
        <w:rPr>
          <w:bCs/>
          <w:b/>
        </w:rPr>
        <w:t xml:space="preserve">never compromise safety</w:t>
      </w:r>
      <w:r>
        <w:t xml:space="preserve"> </w:t>
      </w:r>
      <w:r>
        <w:t xml:space="preserve">under any timing, and guarantee</w:t>
      </w:r>
      <w:r>
        <w:t xml:space="preserve"> </w:t>
      </w:r>
      <w:r>
        <w:rPr>
          <w:bCs/>
          <w:b/>
        </w:rPr>
        <w:t xml:space="preserve">termination only when the network behaves</w:t>
      </w:r>
      <w:r>
        <w:t xml:space="preserve"> </w:t>
      </w:r>
      <w:r>
        <w:t xml:space="preserve">for long enough, a model called</w:t>
      </w:r>
      <w:r>
        <w:t xml:space="preserve"> </w:t>
      </w:r>
      <w:r>
        <w:rPr>
          <w:bCs/>
          <w:b/>
        </w:rPr>
        <w:t xml:space="preserve">partial synchrony</w:t>
      </w:r>
      <w:r>
        <w:t xml:space="preserve"> </w:t>
      </w:r>
      <w:r>
        <w:t xml:space="preserve">[Dwork, Lynch and Stockmeyer 1988]. Paxos and Raft use timeouts to suspect failures; a wrong suspicion costs time, never correctness.</w:t>
      </w:r>
    </w:p>
    <w:p>
      <w:pPr>
        <w:pStyle w:val="CalloutConcept"/>
      </w:pPr>
      <w:r>
        <w:rPr>
          <w:bCs/>
          <w:b/>
        </w:rPr>
        <w:t xml:space="preserve">KEY CONCEPT</w:t>
      </w:r>
    </w:p>
    <w:p>
      <w:pPr>
        <w:pStyle w:val="CalloutConcept"/>
      </w:pPr>
      <w:r>
        <w:rPr>
          <w:bCs/>
          <w:b/>
        </w:rPr>
        <w:t xml:space="preserve">Key insight — Safety from quorums, liveness from timers.</w:t>
      </w:r>
      <w:r>
        <w:t xml:space="preserve"> </w:t>
      </w:r>
      <w:r>
        <w:t xml:space="preserve">In Paxos, Raft and ZAB, the rules preventing two different decisions depend only on counting votes from overlapping majorities; timeouts only decide</w:t>
      </w:r>
      <w:r>
        <w:t xml:space="preserve"> </w:t>
      </w:r>
      <w:r>
        <w:rPr>
          <w:iCs/>
          <w:i/>
        </w:rPr>
        <w:t xml:space="preserve">when to try again</w:t>
      </w:r>
      <w:r>
        <w:t xml:space="preserve">. A badly tuned timeout makes these systems slow, never inconsistent. Designs that use clocks for safety (leases, §26.11) need separate scrutiny.</w:t>
      </w:r>
    </w:p>
    <w:p>
      <w:pPr>
        <w:pStyle w:val="BodyText"/>
      </w:pPr>
      <w:r>
        <w:t xml:space="preserve">The failure model matters. Paxos and Raft assume</w:t>
      </w:r>
      <w:r>
        <w:t xml:space="preserve"> </w:t>
      </w:r>
      <w:r>
        <w:rPr>
          <w:bCs/>
          <w:b/>
        </w:rPr>
        <w:t xml:space="preserve">crash-recovery</w:t>
      </w:r>
      <w:r>
        <w:t xml:space="preserve"> </w:t>
      </w:r>
      <w:r>
        <w:t xml:space="preserve">faults (§24.6): nodes stop, may restart with their durable state intact, and never lie. Tolerating</w:t>
      </w:r>
      <w:r>
        <w:t xml:space="preserve"> </w:t>
      </w:r>
      <w:r>
        <w:rPr>
          <w:bCs/>
          <w:b/>
        </w:rPr>
        <w:t xml:space="preserve">Byzantine</w:t>
      </w:r>
      <w:r>
        <w:t xml:space="preserve"> </w:t>
      </w:r>
      <w:r>
        <w:t xml:space="preserve">nodes that send arbitrary or malicious messages needs different algorithms and</w:t>
      </w:r>
      <w:r>
        <w:t xml:space="preserve"> </w:t>
      </w:r>
      <m:oMath>
        <m:r>
          <m:t>3</m:t>
        </m:r>
        <m:r>
          <m:t>f</m:t>
        </m:r>
        <m:r>
          <m:rPr>
            <m:sty m:val="p"/>
          </m:rPr>
          <m:t>+</m:t>
        </m:r>
        <m:r>
          <m:t>1</m:t>
        </m:r>
      </m:oMath>
      <w:r>
        <w:t xml:space="preserve"> </w:t>
      </w:r>
      <w:r>
        <w:t xml:space="preserve">nodes; that is the subject of Chapter 45.</w:t>
      </w:r>
    </w:p>
    <w:bookmarkEnd w:id="2886"/>
    <w:bookmarkEnd w:id="2887"/>
    <w:bookmarkStart w:id="2891" w:name="replicated-state-machines"/>
    <w:p>
      <w:pPr>
        <w:pStyle w:val="Heading3"/>
      </w:pPr>
      <w:r>
        <w:t xml:space="preserve">26.3.2 Replicated state machines</w:t>
      </w:r>
    </w:p>
    <w:p>
      <w:pPr>
        <w:pStyle w:val="CalloutDefinition"/>
      </w:pPr>
      <w:r>
        <w:rPr>
          <w:bCs/>
          <w:b/>
        </w:rPr>
        <w:t xml:space="preserve">DEFINITION</w:t>
      </w:r>
    </w:p>
    <w:p>
      <w:pPr>
        <w:pStyle w:val="CalloutDefinition"/>
      </w:pPr>
      <w:r>
        <w:rPr>
          <w:bCs/>
          <w:b/>
        </w:rPr>
        <w:t xml:space="preserve">Definition — Replicated state machine (RSM).</w:t>
      </w:r>
      <w:r>
        <w:t xml:space="preserve"> </w:t>
      </w:r>
      <w:r>
        <w:t xml:space="preserve">A service implemented as a deterministic state machine that is copied onto several nodes. Each node applies the same sequence of commands, taken from a replicated</w:t>
      </w:r>
      <w:r>
        <w:t xml:space="preserve"> </w:t>
      </w:r>
      <w:r>
        <w:rPr>
          <w:bCs/>
          <w:b/>
        </w:rPr>
        <w:t xml:space="preserve">log</w:t>
      </w:r>
      <w:r>
        <w:t xml:space="preserve">, in the same order, so every node passes through the same sequence of states and produces the same outputs [Schneider 1990].</w:t>
      </w:r>
    </w:p>
    <w:p>
      <w:pPr>
        <w:pStyle w:val="BodyText"/>
      </w:pPr>
      <w:r>
        <w:t xml:space="preserve">Single-value consensus decides one thing. A database needs to decide millions of things in order. The</w:t>
      </w:r>
      <w:r>
        <w:t xml:space="preserve"> </w:t>
      </w:r>
      <w:r>
        <w:rPr>
          <w:bCs/>
          <w:b/>
        </w:rPr>
        <w:t xml:space="preserve">replicated state machine</w:t>
      </w:r>
      <w:r>
        <w:t xml:space="preserve"> </w:t>
      </w:r>
      <w:r>
        <w:t xml:space="preserve">approach bridges the gap: run one instance of consensus per log position (slot 1, slot 2, …). Slot</w:t>
      </w:r>
      <w:r>
        <w:t xml:space="preserve"> </w:t>
      </w:r>
      <m:oMath>
        <m:r>
          <m:t>i</m:t>
        </m:r>
      </m:oMath>
      <w:r>
        <w:t xml:space="preserve"> </w:t>
      </w:r>
      <w:r>
        <w:t xml:space="preserve">decides</w:t>
      </w:r>
      <w:r>
        <w:t xml:space="preserve"> </w:t>
      </w:r>
      <w:r>
        <w:t xml:space="preserve">“</w:t>
      </w:r>
      <w:r>
        <w:t xml:space="preserve">the</w:t>
      </w:r>
      <w:r>
        <w:t xml:space="preserve"> </w:t>
      </w:r>
      <m:oMath>
        <m:r>
          <m:t>i</m:t>
        </m:r>
      </m:oMath>
      <w:r>
        <w:t xml:space="preserve">-th command.</w:t>
      </w:r>
      <w:r>
        <w:t xml:space="preserve">”</w:t>
      </w:r>
      <w:r>
        <w:t xml:space="preserve"> </w:t>
      </w:r>
      <w:r>
        <w:t xml:space="preserve">Because each replica is deterministic and applies the same commands in the same order, the replicas stay identical without ever comparing their states.</w:t>
      </w:r>
    </w:p>
    <w:p>
      <w:pPr>
        <w:pStyle w:val="BodyText"/>
      </w:pPr>
      <w:r>
        <w:rPr>
          <w:bCs/>
          <w:b/>
        </w:rPr>
        <w:t xml:space="preserve">Figure 26.1 — A replicated state machine built on a consensus log.</w:t>
      </w:r>
    </w:p>
    <w:p>
      <w:pPr>
        <w:pStyle w:val="BodyText"/>
      </w:pPr>
      <w:r>
        <w:drawing>
          <wp:inline>
            <wp:extent cx="5334000" cy="1267831"/>
            <wp:effectExtent b="0" l="0" r="0" t="0"/>
            <wp:docPr descr="" title="" id="2889" name="Picture"/>
            <a:graphic>
              <a:graphicData uri="http://schemas.openxmlformats.org/drawingml/2006/picture">
                <pic:pic>
                  <pic:nvPicPr>
                    <pic:cNvPr descr="/home/user/System-Design/build/.cache/diagrams/74e3158a6a45.png" id="2890" name="Picture"/>
                    <pic:cNvPicPr>
                      <a:picLocks noChangeArrowheads="1" noChangeAspect="1"/>
                    </pic:cNvPicPr>
                  </pic:nvPicPr>
                  <pic:blipFill>
                    <a:blip r:embed="rId2888"/>
                    <a:stretch>
                      <a:fillRect/>
                    </a:stretch>
                  </pic:blipFill>
                  <pic:spPr bwMode="auto">
                    <a:xfrm>
                      <a:off x="0" y="0"/>
                      <a:ext cx="5334000" cy="1267831"/>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client sends a command to the consensus module on the leader (Node 1). The module appends the command to its durable log (subroutine shape) and replicates it, over RPC, to the modules on the other nodes, which append it to their own logs. When a majority of logs contain the entry, it is</w:t>
      </w:r>
      <w:r>
        <w:t xml:space="preserve"> </w:t>
      </w:r>
      <w:r>
        <w:rPr>
          <w:bCs/>
          <w:b/>
        </w:rPr>
        <w:t xml:space="preserve">committed</w:t>
      </w:r>
      <w:r>
        <w:t xml:space="preserve">; each node then feeds committed entries, in order, to its state machine (cylinder), and the leader returns the result. Write-path arrows are synchronous: the client waits until a majority has stored the entry. Node 3 is one entry behind, which is allowed, because a majority (Nodes 1 and 2) holds entry 4. Storage: each node owns its log and state; nothing is shared. Failure points: if Node 1 crashes, Nodes 2 and 3 elect a new leader whose log contains every committed entry. Scaling: adding nodes improves fault tolerance but not write throughput, because every node stores every entry.</w:t>
      </w:r>
    </w:p>
    <w:p>
      <w:pPr>
        <w:pStyle w:val="BodyText"/>
      </w:pPr>
      <w:r>
        <w:t xml:space="preserve">Two consequences follow. The state machine must be</w:t>
      </w:r>
      <w:r>
        <w:t xml:space="preserve"> </w:t>
      </w:r>
      <w:r>
        <w:rPr>
          <w:bCs/>
          <w:b/>
        </w:rPr>
        <w:t xml:space="preserve">deterministic</w:t>
      </w:r>
      <w:r>
        <w:t xml:space="preserve"> </w:t>
      </w:r>
      <w:r>
        <w:t xml:space="preserve">(no local clock, random numbers or unordered iteration inside</w:t>
      </w:r>
      <w:r>
        <w:t xml:space="preserve"> </w:t>
      </w:r>
      <w:r>
        <w:rPr>
          <w:rStyle w:val="VerbatimChar"/>
        </w:rPr>
        <w:t xml:space="preserve">apply</w:t>
      </w:r>
      <w:r>
        <w:t xml:space="preserve">; the leader writes such values into the command). And the log is the source of truth; state is a cache of</w:t>
      </w:r>
      <w:r>
        <w:t xml:space="preserve"> </w:t>
      </w:r>
      <w:r>
        <w:t xml:space="preserve">“</w:t>
      </w:r>
      <w:r>
        <w:t xml:space="preserve">the log applied so far,</w:t>
      </w:r>
      <w:r>
        <w:t xml:space="preserve">”</w:t>
      </w:r>
      <w:r>
        <w:t xml:space="preserve"> </w:t>
      </w:r>
      <w:r>
        <w:t xml:space="preserve">which is why snapshots (§26.7.8) can replace the log prefix.</w:t>
      </w:r>
    </w:p>
    <w:p>
      <w:pPr>
        <w:pStyle w:val="CalloutMistake"/>
      </w:pPr>
      <w:r>
        <w:rPr>
          <w:bCs/>
          <w:b/>
        </w:rPr>
        <w:t xml:space="preserve">COMMON MISTAKE</w:t>
      </w:r>
    </w:p>
    <w:p>
      <w:pPr>
        <w:pStyle w:val="CalloutMistake"/>
      </w:pPr>
      <w:r>
        <w:rPr>
          <w:bCs/>
          <w:b/>
        </w:rPr>
        <w:t xml:space="preserve">Misconception —</w:t>
      </w:r>
      <w:r>
        <w:rPr>
          <w:bCs/>
          <w:b/>
        </w:rPr>
        <w:t xml:space="preserve"> </w:t>
      </w:r>
      <w:r>
        <w:rPr>
          <w:bCs/>
          <w:b/>
        </w:rPr>
        <w:t xml:space="preserve">“</w:t>
      </w:r>
      <w:r>
        <w:rPr>
          <w:bCs/>
          <w:b/>
        </w:rPr>
        <w:t xml:space="preserve">Consensus makes the system faster or more scalable.</w:t>
      </w:r>
      <w:r>
        <w:rPr>
          <w:bCs/>
          <w:b/>
        </w:rPr>
        <w:t xml:space="preserve">”</w:t>
      </w:r>
      <w:r>
        <w:t xml:space="preserve"> </w:t>
      </w:r>
      <w:r>
        <w:t xml:space="preserve">Consensus makes a service</w:t>
      </w:r>
      <w:r>
        <w:t xml:space="preserve"> </w:t>
      </w:r>
      <w:r>
        <w:rPr>
          <w:iCs/>
          <w:i/>
        </w:rPr>
        <w:t xml:space="preserve">fault-tolerant</w:t>
      </w:r>
      <w:r>
        <w:t xml:space="preserve">, not fast. Every write waits for a majority round trip and a disk flush, and every node does every write. A 5-node etcd cluster has lower write throughput than a single node. Systems that need scale partition the data into many independent consensus groups (CockroachDB ranges, TiKV regions, Spanner splits), each small (§14.6, §28.10).</w:t>
      </w:r>
    </w:p>
    <w:bookmarkEnd w:id="2891"/>
    <w:bookmarkEnd w:id="2892"/>
    <w:bookmarkStart w:id="2901" w:name="quorums"/>
    <w:p>
      <w:pPr>
        <w:pStyle w:val="Heading2"/>
      </w:pPr>
      <w:r>
        <w:t xml:space="preserve">26.4 Quorums</w:t>
      </w:r>
    </w:p>
    <w:bookmarkStart w:id="2898" w:name="Xf933ea1f4f3fa0d95eeb949ca1cc18b552d37ae"/>
    <w:p>
      <w:pPr>
        <w:pStyle w:val="Heading3"/>
      </w:pPr>
      <w:r>
        <w:t xml:space="preserve">26.4.1 Majority quorums and the intersection property</w:t>
      </w:r>
    </w:p>
    <w:p>
      <w:pPr>
        <w:pStyle w:val="CalloutDefinition"/>
      </w:pPr>
      <w:r>
        <w:rPr>
          <w:bCs/>
          <w:b/>
        </w:rPr>
        <w:t xml:space="preserve">DEFINITION</w:t>
      </w:r>
    </w:p>
    <w:p>
      <w:pPr>
        <w:pStyle w:val="CalloutDefinition"/>
      </w:pPr>
      <w:r>
        <w:rPr>
          <w:bCs/>
          <w:b/>
        </w:rPr>
        <w:t xml:space="preserve">Definition — Quorum.</w:t>
      </w:r>
      <w:r>
        <w:t xml:space="preserve"> </w:t>
      </w:r>
      <w:r>
        <w:t xml:space="preserve">A set of nodes whose agreement is sufficient for an operation to take effect. A</w:t>
      </w:r>
      <w:r>
        <w:t xml:space="preserve"> </w:t>
      </w:r>
      <w:r>
        <w:rPr>
          <w:bCs/>
          <w:b/>
        </w:rPr>
        <w:t xml:space="preserve">majority quorum</w:t>
      </w:r>
      <w:r>
        <w:t xml:space="preserve"> </w:t>
      </w:r>
      <w:r>
        <w:t xml:space="preserve">in a cluster of</w:t>
      </w:r>
      <w:r>
        <w:t xml:space="preserve"> </w:t>
      </w:r>
      <m:oMath>
        <m:r>
          <m:t>N</m:t>
        </m:r>
      </m:oMath>
      <w:r>
        <w:t xml:space="preserve"> </w:t>
      </w:r>
      <w:r>
        <w:t xml:space="preserve">voting nodes is any set of more than</w:t>
      </w:r>
      <w:r>
        <w:t xml:space="preserve"> </w:t>
      </w:r>
      <m:oMath>
        <m:r>
          <m:t>N</m:t>
        </m:r>
        <m:r>
          <m:rPr>
            <m:sty m:val="p"/>
          </m:rPr>
          <m:t>/</m:t>
        </m:r>
        <m:r>
          <m:t>2</m:t>
        </m:r>
      </m:oMath>
      <w:r>
        <w:t xml:space="preserve"> </w:t>
      </w:r>
      <w:r>
        <w:t xml:space="preserve">nodes. The essential</w:t>
      </w:r>
      <w:r>
        <w:t xml:space="preserve"> </w:t>
      </w:r>
      <w:r>
        <w:rPr>
          <w:bCs/>
          <w:b/>
        </w:rPr>
        <w:t xml:space="preserve">intersection property</w:t>
      </w:r>
      <w:r>
        <w:t xml:space="preserve">: any two majority quorums share at least one node.</w:t>
      </w:r>
    </w:p>
    <w:bookmarkStart w:id="2896" w:name="first-principles-explanation-141"/>
    <w:p>
      <w:pPr>
        <w:pStyle w:val="Heading4"/>
      </w:pPr>
      <w:r>
        <w:t xml:space="preserve">First-principles explanation</w:t>
      </w:r>
    </w:p>
    <w:p>
      <w:pPr>
        <w:pStyle w:val="FirstParagraph"/>
      </w:pPr>
      <w:r>
        <w:t xml:space="preserve">Think of a committee of five where a decision needs three signatures. Two rival decisions would need six signatures from five members, so someone signed both. If no member signs two conflicting decisions, conflicts are impossible. The overlapping member is the system’s memory: whoever comes later meets at least one node that saw what came before.</w:t>
      </w:r>
    </w:p>
    <w:p>
      <w:pPr>
        <w:pStyle w:val="BodyText"/>
      </w:pPr>
      <w:r>
        <w:rPr>
          <w:bCs/>
          <w:b/>
        </w:rPr>
        <w:t xml:space="preserve">Figure 26.2 — Two majority quorums in a five-node cluster always intersect.</w:t>
      </w:r>
    </w:p>
    <w:p>
      <w:pPr>
        <w:pStyle w:val="BodyText"/>
      </w:pPr>
      <w:r>
        <w:drawing>
          <wp:inline>
            <wp:extent cx="5334000" cy="1919111"/>
            <wp:effectExtent b="0" l="0" r="0" t="0"/>
            <wp:docPr descr="" title="" id="2894" name="Picture"/>
            <a:graphic>
              <a:graphicData uri="http://schemas.openxmlformats.org/drawingml/2006/picture">
                <pic:pic>
                  <pic:nvPicPr>
                    <pic:cNvPr descr="/home/user/System-Design/build/.cache/diagrams/cc2bf1ff2b8a.png" id="2895" name="Picture"/>
                    <pic:cNvPicPr>
                      <a:picLocks noChangeArrowheads="1" noChangeAspect="1"/>
                    </pic:cNvPicPr>
                  </pic:nvPicPr>
                  <pic:blipFill>
                    <a:blip r:embed="rId2893"/>
                    <a:stretch>
                      <a:fillRect/>
                    </a:stretch>
                  </pic:blipFill>
                  <pic:spPr bwMode="auto">
                    <a:xfrm>
                      <a:off x="0" y="0"/>
                      <a:ext cx="5334000" cy="1919111"/>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Quorum A is {1, 2, 3}, the nodes that stored a write in term 4. Quorum B is {3, 4, 5}, the nodes that voted in a later election. Links show membership only; no data flows. Both quorums have three of five members, so they share a node, here Node 3. Node 3 carries the term-4 write into the term-5 election: Raft’s voting rule lets it refuse any candidate whose log lacks that write (§26.7.6). The failure point the figure guards against is the</w:t>
      </w:r>
      <w:r>
        <w:t xml:space="preserve"> </w:t>
      </w:r>
      <w:r>
        <w:rPr>
          <w:bCs/>
          <w:b/>
        </w:rPr>
        <w:t xml:space="preserve">minority partition</w:t>
      </w:r>
      <w:r>
        <w:t xml:space="preserve">: {4, 5} alone cannot form a quorum, so it can neither elect a leader nor commit writes. Scaling the cluster changes the arithmetic but not the principle.</w:t>
      </w:r>
    </w:p>
    <w:bookmarkEnd w:id="2896"/>
    <w:bookmarkStart w:id="2897" w:name="mathematical-foundations-51"/>
    <w:p>
      <w:pPr>
        <w:pStyle w:val="Heading4"/>
      </w:pPr>
      <w:r>
        <w:t xml:space="preserve">Mathematical foundations</w:t>
      </w:r>
    </w:p>
    <w:p>
      <w:pPr>
        <w:pStyle w:val="CalloutFormula"/>
      </w:pPr>
      <w:r>
        <w:rPr>
          <w:bCs/>
          <w:b/>
        </w:rPr>
        <w:t xml:space="preserve">FORMULA</w:t>
      </w:r>
    </w:p>
    <w:p>
      <w:pPr>
        <w:pStyle w:val="CalloutFormula"/>
      </w:pPr>
      <w:r>
        <w:rPr>
          <w:bCs/>
          <w:b/>
        </w:rPr>
        <w:t xml:space="preserve">Majority quorum size and fault tolerance</w:t>
      </w:r>
    </w:p>
    <w:p>
      <w:pPr>
        <w:pStyle w:val="CalloutFormula"/>
      </w:pPr>
      <m:oMathPara>
        <m:oMathParaPr>
          <m:jc m:val="center"/>
        </m:oMathParaPr>
        <m:oMath>
          <m:r>
            <m:t>q</m:t>
          </m:r>
          <m:r>
            <m:rPr>
              <m:sty m:val="p"/>
            </m:rPr>
            <m:t>=</m:t>
          </m:r>
          <m:d>
            <m:dPr>
              <m:begChr m:val="⌊"/>
              <m:endChr m:val="⌋"/>
              <m:sepChr m:val=""/>
              <m:grow/>
            </m:dPr>
            <m:e>
              <m:f>
                <m:fPr>
                  <m:type m:val="bar"/>
                </m:fPr>
                <m:num>
                  <m:r>
                    <m:t>N</m:t>
                  </m:r>
                </m:num>
                <m:den>
                  <m:r>
                    <m:t>2</m:t>
                  </m:r>
                </m:den>
              </m:f>
            </m:e>
          </m:d>
          <m:r>
            <m:rPr>
              <m:sty m:val="p"/>
            </m:rPr>
            <m:t>+</m:t>
          </m:r>
          <m:r>
            <m:t>1</m:t>
          </m:r>
          <m:r>
            <m:t>  </m:t>
          </m:r>
          <m:r>
            <m:t>f</m:t>
          </m:r>
          <m:r>
            <m:rPr>
              <m:sty m:val="p"/>
            </m:rPr>
            <m:t>=</m:t>
          </m:r>
          <m:r>
            <m:t>N</m:t>
          </m:r>
          <m:r>
            <m:rPr>
              <m:sty m:val="p"/>
            </m:rPr>
            <m:t>−</m:t>
          </m:r>
          <m:r>
            <m:t>q</m:t>
          </m:r>
          <m:r>
            <m:rPr>
              <m:sty m:val="p"/>
            </m:rPr>
            <m:t>=</m:t>
          </m:r>
          <m:d>
            <m:dPr>
              <m:begChr m:val="⌊"/>
              <m:endChr m:val="⌋"/>
              <m:sepChr m:val=""/>
              <m:grow/>
            </m:dPr>
            <m:e>
              <m:f>
                <m:fPr>
                  <m:type m:val="bar"/>
                </m:fPr>
                <m:num>
                  <m:r>
                    <m:t>N</m:t>
                  </m:r>
                  <m:r>
                    <m:rPr>
                      <m:sty m:val="p"/>
                    </m:rPr>
                    <m:t>−</m:t>
                  </m:r>
                  <m:r>
                    <m:t>1</m:t>
                  </m:r>
                </m:num>
                <m:den>
                  <m:r>
                    <m:t>2</m:t>
                  </m:r>
                </m:den>
              </m:f>
            </m:e>
          </m:d>
          <m:r>
            <m:t>  </m:t>
          </m:r>
          <m:r>
            <m:rPr>
              <m:sty m:val="p"/>
            </m:rPr>
            <m:t>⇔</m:t>
          </m:r>
          <m:r>
            <m:t>  </m:t>
          </m:r>
          <m:r>
            <m:t>N</m:t>
          </m:r>
          <m:r>
            <m:rPr>
              <m:sty m:val="p"/>
            </m:rPr>
            <m:t>=</m:t>
          </m:r>
          <m:r>
            <m:t>2</m:t>
          </m:r>
          <m:r>
            <m:t>f</m:t>
          </m:r>
          <m:r>
            <m:rPr>
              <m:sty m:val="p"/>
            </m:rPr>
            <m:t>+</m:t>
          </m:r>
          <m:r>
            <m:t>1</m:t>
          </m:r>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N</m:t>
              </m:r>
            </m:oMath>
          </w:p>
        </w:tc>
        <w:tc>
          <w:tcPr/>
          <w:p>
            <w:pPr>
              <w:pStyle w:val="Compact"/>
              <w:jc w:val="left"/>
            </w:pPr>
            <w:r>
              <w:t xml:space="preserve">Number of voting nodes</w:t>
            </w:r>
          </w:p>
        </w:tc>
        <w:tc>
          <w:tcPr/>
          <w:p>
            <w:pPr>
              <w:pStyle w:val="Compact"/>
              <w:jc w:val="left"/>
            </w:pPr>
            <w:r>
              <w:t xml:space="preserve">nodes</w:t>
            </w:r>
          </w:p>
        </w:tc>
      </w:tr>
      <w:tr>
        <w:tc>
          <w:tcPr/>
          <w:p>
            <w:pPr>
              <w:pStyle w:val="Compact"/>
              <w:jc w:val="left"/>
            </w:pPr>
            <m:oMath>
              <m:r>
                <m:t>q</m:t>
              </m:r>
            </m:oMath>
          </w:p>
        </w:tc>
        <w:tc>
          <w:tcPr/>
          <w:p>
            <w:pPr>
              <w:pStyle w:val="Compact"/>
              <w:jc w:val="left"/>
            </w:pPr>
            <w:r>
              <w:t xml:space="preserve">Majority quorum size</w:t>
            </w:r>
          </w:p>
        </w:tc>
        <w:tc>
          <w:tcPr/>
          <w:p>
            <w:pPr>
              <w:pStyle w:val="Compact"/>
              <w:jc w:val="left"/>
            </w:pPr>
            <w:r>
              <w:t xml:space="preserve">nodes</w:t>
            </w:r>
          </w:p>
        </w:tc>
      </w:tr>
      <w:tr>
        <w:tc>
          <w:tcPr/>
          <w:p>
            <w:pPr>
              <w:pStyle w:val="Compact"/>
              <w:jc w:val="left"/>
            </w:pPr>
            <m:oMath>
              <m:r>
                <m:t>f</m:t>
              </m:r>
            </m:oMath>
          </w:p>
        </w:tc>
        <w:tc>
          <w:tcPr/>
          <w:p>
            <w:pPr>
              <w:pStyle w:val="Compact"/>
              <w:jc w:val="left"/>
            </w:pPr>
            <w:r>
              <w:t xml:space="preserve">Crash failures tolerated while still able to form a quorum</w:t>
            </w:r>
          </w:p>
        </w:tc>
        <w:tc>
          <w:tcPr/>
          <w:p>
            <w:pPr>
              <w:pStyle w:val="Compact"/>
              <w:jc w:val="left"/>
            </w:pPr>
            <w:r>
              <w:t xml:space="preserve">nodes</w:t>
            </w:r>
          </w:p>
        </w:tc>
      </w:tr>
    </w:tbl>
    <w:p>
      <w:pPr>
        <w:pStyle w:val="CalloutExample"/>
      </w:pPr>
      <w:r>
        <w:rPr>
          <w:bCs/>
          <w:b/>
        </w:rPr>
        <w:t xml:space="preserve">WORKED EXAMPLE</w:t>
      </w:r>
    </w:p>
    <w:p>
      <w:pPr>
        <w:pStyle w:val="CalloutExample"/>
      </w:pPr>
      <w:r>
        <w:rPr>
          <w:bCs/>
          <w:b/>
        </w:rPr>
        <w:t xml:space="preserve">Worked example — 3, 4, 5 and 7 nodes.</w:t>
      </w:r>
    </w:p>
    <w:p>
      <w:pPr>
        <w:numPr>
          <w:ilvl w:val="0"/>
          <w:numId w:val="1834"/>
        </w:numPr>
        <w:pStyle w:val="Compact"/>
      </w:pPr>
      <m:oMath>
        <m:r>
          <m:t>N</m:t>
        </m:r>
        <m:r>
          <m:rPr>
            <m:sty m:val="p"/>
          </m:rPr>
          <m:t>=</m:t>
        </m:r>
        <m:r>
          <m:t>3</m:t>
        </m:r>
      </m:oMath>
      <w:r>
        <w:t xml:space="preserve">:</w:t>
      </w:r>
      <w:r>
        <w:t xml:space="preserve"> </w:t>
      </w:r>
      <m:oMath>
        <m:r>
          <m:t>q</m:t>
        </m:r>
        <m:r>
          <m:rPr>
            <m:sty m:val="p"/>
          </m:rPr>
          <m:t>=</m:t>
        </m:r>
        <m:r>
          <m:rPr>
            <m:sty m:val="p"/>
          </m:rPr>
          <m:t>⌊</m:t>
        </m:r>
        <m:r>
          <m:t>1.5</m:t>
        </m:r>
        <m:r>
          <m:rPr>
            <m:sty m:val="p"/>
          </m:rPr>
          <m:t>⌋</m:t>
        </m:r>
        <m:r>
          <m:rPr>
            <m:sty m:val="p"/>
          </m:rPr>
          <m:t>+</m:t>
        </m:r>
        <m:r>
          <m:t>1</m:t>
        </m:r>
        <m:r>
          <m:rPr>
            <m:sty m:val="p"/>
          </m:rPr>
          <m:t>=</m:t>
        </m:r>
        <m:r>
          <m:t>2</m:t>
        </m:r>
      </m:oMath>
      <w:r>
        <w:t xml:space="preserve">;</w:t>
      </w:r>
      <w:r>
        <w:t xml:space="preserve"> </w:t>
      </w:r>
      <m:oMath>
        <m:r>
          <m:t>f</m:t>
        </m:r>
        <m:r>
          <m:rPr>
            <m:sty m:val="p"/>
          </m:rPr>
          <m:t>=</m:t>
        </m:r>
        <m:r>
          <m:t>3</m:t>
        </m:r>
        <m:r>
          <m:rPr>
            <m:sty m:val="p"/>
          </m:rPr>
          <m:t>−</m:t>
        </m:r>
        <m:r>
          <m:t>2</m:t>
        </m:r>
        <m:r>
          <m:rPr>
            <m:sty m:val="p"/>
          </m:rPr>
          <m:t>=</m:t>
        </m:r>
        <m:r>
          <m:t>1</m:t>
        </m:r>
      </m:oMath>
      <w:r>
        <w:t xml:space="preserve">.</w:t>
      </w:r>
    </w:p>
    <w:p>
      <w:pPr>
        <w:numPr>
          <w:ilvl w:val="0"/>
          <w:numId w:val="1834"/>
        </w:numPr>
        <w:pStyle w:val="Compact"/>
      </w:pPr>
      <m:oMath>
        <m:r>
          <m:t>N</m:t>
        </m:r>
        <m:r>
          <m:rPr>
            <m:sty m:val="p"/>
          </m:rPr>
          <m:t>=</m:t>
        </m:r>
        <m:r>
          <m:t>4</m:t>
        </m:r>
      </m:oMath>
      <w:r>
        <w:t xml:space="preserve">:</w:t>
      </w:r>
      <w:r>
        <w:t xml:space="preserve"> </w:t>
      </w:r>
      <m:oMath>
        <m:r>
          <m:t>q</m:t>
        </m:r>
        <m:r>
          <m:rPr>
            <m:sty m:val="p"/>
          </m:rPr>
          <m:t>=</m:t>
        </m:r>
        <m:r>
          <m:t>2</m:t>
        </m:r>
        <m:r>
          <m:rPr>
            <m:sty m:val="p"/>
          </m:rPr>
          <m:t>+</m:t>
        </m:r>
        <m:r>
          <m:t>1</m:t>
        </m:r>
        <m:r>
          <m:rPr>
            <m:sty m:val="p"/>
          </m:rPr>
          <m:t>=</m:t>
        </m:r>
        <m:r>
          <m:t>3</m:t>
        </m:r>
      </m:oMath>
      <w:r>
        <w:t xml:space="preserve">;</w:t>
      </w:r>
      <w:r>
        <w:t xml:space="preserve"> </w:t>
      </w:r>
      <m:oMath>
        <m:r>
          <m:t>f</m:t>
        </m:r>
        <m:r>
          <m:rPr>
            <m:sty m:val="p"/>
          </m:rPr>
          <m:t>=</m:t>
        </m:r>
        <m:r>
          <m:t>4</m:t>
        </m:r>
        <m:r>
          <m:rPr>
            <m:sty m:val="p"/>
          </m:rPr>
          <m:t>−</m:t>
        </m:r>
        <m:r>
          <m:t>3</m:t>
        </m:r>
        <m:r>
          <m:rPr>
            <m:sty m:val="p"/>
          </m:rPr>
          <m:t>=</m:t>
        </m:r>
        <m:r>
          <m:t>1</m:t>
        </m:r>
      </m:oMath>
      <w:r>
        <w:t xml:space="preserve">.</w:t>
      </w:r>
    </w:p>
    <w:p>
      <w:pPr>
        <w:numPr>
          <w:ilvl w:val="0"/>
          <w:numId w:val="1834"/>
        </w:numPr>
        <w:pStyle w:val="Compact"/>
      </w:pPr>
      <m:oMath>
        <m:r>
          <m:t>N</m:t>
        </m:r>
        <m:r>
          <m:rPr>
            <m:sty m:val="p"/>
          </m:rPr>
          <m:t>=</m:t>
        </m:r>
        <m:r>
          <m:t>5</m:t>
        </m:r>
      </m:oMath>
      <w:r>
        <w:t xml:space="preserve">:</w:t>
      </w:r>
      <w:r>
        <w:t xml:space="preserve"> </w:t>
      </w:r>
      <m:oMath>
        <m:r>
          <m:t>q</m:t>
        </m:r>
        <m:r>
          <m:rPr>
            <m:sty m:val="p"/>
          </m:rPr>
          <m:t>=</m:t>
        </m:r>
        <m:r>
          <m:t>2</m:t>
        </m:r>
        <m:r>
          <m:rPr>
            <m:sty m:val="p"/>
          </m:rPr>
          <m:t>+</m:t>
        </m:r>
        <m:r>
          <m:t>1</m:t>
        </m:r>
        <m:r>
          <m:rPr>
            <m:sty m:val="p"/>
          </m:rPr>
          <m:t>=</m:t>
        </m:r>
        <m:r>
          <m:t>3</m:t>
        </m:r>
      </m:oMath>
      <w:r>
        <w:t xml:space="preserve">;</w:t>
      </w:r>
      <w:r>
        <w:t xml:space="preserve"> </w:t>
      </w:r>
      <m:oMath>
        <m:r>
          <m:t>f</m:t>
        </m:r>
        <m:r>
          <m:rPr>
            <m:sty m:val="p"/>
          </m:rPr>
          <m:t>=</m:t>
        </m:r>
        <m:r>
          <m:t>5</m:t>
        </m:r>
        <m:r>
          <m:rPr>
            <m:sty m:val="p"/>
          </m:rPr>
          <m:t>−</m:t>
        </m:r>
        <m:r>
          <m:t>3</m:t>
        </m:r>
        <m:r>
          <m:rPr>
            <m:sty m:val="p"/>
          </m:rPr>
          <m:t>=</m:t>
        </m:r>
        <m:r>
          <m:t>2</m:t>
        </m:r>
      </m:oMath>
      <w:r>
        <w:t xml:space="preserve">.</w:t>
      </w:r>
    </w:p>
    <w:p>
      <w:pPr>
        <w:numPr>
          <w:ilvl w:val="0"/>
          <w:numId w:val="1834"/>
        </w:numPr>
        <w:pStyle w:val="Compact"/>
      </w:pPr>
      <m:oMath>
        <m:r>
          <m:t>N</m:t>
        </m:r>
        <m:r>
          <m:rPr>
            <m:sty m:val="p"/>
          </m:rPr>
          <m:t>=</m:t>
        </m:r>
        <m:r>
          <m:t>7</m:t>
        </m:r>
      </m:oMath>
      <w:r>
        <w:t xml:space="preserve">:</w:t>
      </w:r>
      <w:r>
        <w:t xml:space="preserve"> </w:t>
      </w:r>
      <m:oMath>
        <m:r>
          <m:t>q</m:t>
        </m:r>
        <m:r>
          <m:rPr>
            <m:sty m:val="p"/>
          </m:rPr>
          <m:t>=</m:t>
        </m:r>
        <m:r>
          <m:t>3</m:t>
        </m:r>
        <m:r>
          <m:rPr>
            <m:sty m:val="p"/>
          </m:rPr>
          <m:t>+</m:t>
        </m:r>
        <m:r>
          <m:t>1</m:t>
        </m:r>
        <m:r>
          <m:rPr>
            <m:sty m:val="p"/>
          </m:rPr>
          <m:t>=</m:t>
        </m:r>
        <m:r>
          <m:t>4</m:t>
        </m:r>
      </m:oMath>
      <w:r>
        <w:t xml:space="preserve">;</w:t>
      </w:r>
      <w:r>
        <w:t xml:space="preserve"> </w:t>
      </w:r>
      <m:oMath>
        <m:r>
          <m:t>f</m:t>
        </m:r>
        <m:r>
          <m:rPr>
            <m:sty m:val="p"/>
          </m:rPr>
          <m:t>=</m:t>
        </m:r>
        <m:r>
          <m:t>7</m:t>
        </m:r>
        <m:r>
          <m:rPr>
            <m:sty m:val="p"/>
          </m:rPr>
          <m:t>−</m:t>
        </m:r>
        <m:r>
          <m:t>4</m:t>
        </m:r>
        <m:r>
          <m:rPr>
            <m:sty m:val="p"/>
          </m:rPr>
          <m:t>=</m:t>
        </m:r>
        <m:r>
          <m:t>3</m:t>
        </m:r>
      </m:oMath>
      <w:r>
        <w:t xml:space="preserve">.</w:t>
      </w:r>
    </w:p>
    <w:p>
      <w:pPr>
        <w:pStyle w:val="CalloutExample"/>
      </w:pPr>
      <w:r>
        <w:rPr>
          <w:bCs/>
          <w:b/>
        </w:rPr>
        <w:t xml:space="preserve">Interpretation.</w:t>
      </w:r>
      <w:r>
        <w:t xml:space="preserve"> </w:t>
      </w:r>
      <w:r>
        <w:t xml:space="preserve">The fourth node buys nothing: a 4-node cluster tolerates one failure, like a 3-node cluster, but needs three acknowledgments instead of two and has one more machine that can fail.</w:t>
      </w:r>
      <w:r>
        <w:t xml:space="preserve"> </w:t>
      </w:r>
      <w:r>
        <w:rPr>
          <w:bCs/>
          <w:b/>
        </w:rPr>
        <w:t xml:space="preserve">Engineering implication.</w:t>
      </w:r>
      <w:r>
        <w:t xml:space="preserve"> </w:t>
      </w:r>
      <w:r>
        <w:t xml:space="preserve">Run an odd number of voters: 3 for most services, 5 when you want to survive one failure</w:t>
      </w:r>
      <w:r>
        <w:t xml:space="preserve"> </w:t>
      </w:r>
      <w:r>
        <w:rPr>
          <w:iCs/>
          <w:i/>
        </w:rPr>
        <w:t xml:space="preserve">during</w:t>
      </w:r>
      <w:r>
        <w:t xml:space="preserve"> </w:t>
      </w:r>
      <w:r>
        <w:t xml:space="preserve">planned maintenance of another, 7 rarely. Add read capacity with non-voting members (ZooKeeper observers, etcd learners) rather than voters.</w:t>
      </w:r>
    </w:p>
    <w:p>
      <w:pPr>
        <w:pStyle w:val="BodyText"/>
      </w:pPr>
      <w:r>
        <w:t xml:space="preserve">Fault tolerance is not the same as availability. If each node is independently available with probability</w:t>
      </w:r>
      <w:r>
        <w:t xml:space="preserve"> </w:t>
      </w:r>
      <m:oMath>
        <m:r>
          <m:t>a</m:t>
        </m:r>
      </m:oMath>
      <w:r>
        <w:t xml:space="preserve">, the cluster is available when at least</w:t>
      </w:r>
      <w:r>
        <w:t xml:space="preserve"> </w:t>
      </w:r>
      <m:oMath>
        <m:r>
          <m:t>q</m:t>
        </m:r>
      </m:oMath>
      <w:r>
        <w:t xml:space="preserve"> </w:t>
      </w:r>
      <w:r>
        <w:t xml:space="preserve">nodes are up.</w:t>
      </w:r>
    </w:p>
    <w:p>
      <w:pPr>
        <w:pStyle w:val="CalloutFormula"/>
      </w:pPr>
      <w:r>
        <w:rPr>
          <w:bCs/>
          <w:b/>
        </w:rPr>
        <w:t xml:space="preserve">FORMULA</w:t>
      </w:r>
    </w:p>
    <w:p>
      <w:pPr>
        <w:pStyle w:val="CalloutFormula"/>
      </w:pPr>
      <w:r>
        <w:rPr>
          <w:bCs/>
          <w:b/>
        </w:rPr>
        <w:t xml:space="preserve">Availability of a majority-quorum cluster (independent failures)</w:t>
      </w:r>
    </w:p>
    <w:p>
      <w:pPr>
        <w:pStyle w:val="CalloutFormula"/>
      </w:pPr>
      <m:oMathPara>
        <m:oMathParaPr>
          <m:jc m:val="center"/>
        </m:oMathParaPr>
        <m:oMath>
          <m:sSub>
            <m:e>
              <m:r>
                <m:t>A</m:t>
              </m:r>
            </m:e>
            <m:sub>
              <m:r>
                <m:rPr>
                  <m:nor/>
                  <m:sty m:val="p"/>
                </m:rPr>
                <m:t>cluster</m:t>
              </m:r>
            </m:sub>
          </m:sSub>
          <m:r>
            <m:rPr>
              <m:sty m:val="p"/>
            </m:rPr>
            <m:t>=</m:t>
          </m:r>
          <m:nary>
            <m:naryPr>
              <m:chr m:val="∑"/>
              <m:limLoc m:val="undOvr"/>
              <m:subHide m:val="off"/>
              <m:supHide m:val="off"/>
            </m:naryPr>
            <m:sub>
              <m:r>
                <m:t>k</m:t>
              </m:r>
              <m:r>
                <m:rPr>
                  <m:sty m:val="p"/>
                </m:rPr>
                <m:t>=</m:t>
              </m:r>
              <m:r>
                <m:t>q</m:t>
              </m:r>
            </m:sub>
            <m:sup>
              <m:r>
                <m:t>N</m:t>
              </m:r>
            </m:sup>
            <m:e>
              <m:d>
                <m:dPr>
                  <m:begChr m:val="("/>
                  <m:endChr m:val=")"/>
                  <m:sepChr m:val=""/>
                  <m:grow/>
                </m:dPr>
                <m:e>
                  <m:f>
                    <m:fPr>
                      <m:type m:val="noBar"/>
                    </m:fPr>
                    <m:num>
                      <m:r>
                        <m:t>N</m:t>
                      </m:r>
                    </m:num>
                    <m:den>
                      <m:r>
                        <m:t>k</m:t>
                      </m:r>
                    </m:den>
                  </m:f>
                </m:e>
              </m:d>
            </m:e>
          </m:nary>
          <m:r>
            <m:t> </m:t>
          </m:r>
          <m:sSup>
            <m:e>
              <m:r>
                <m:t>a</m:t>
              </m:r>
            </m:e>
            <m:sup>
              <m:r>
                <m:t>k</m:t>
              </m:r>
            </m:sup>
          </m:sSup>
          <m:sSup>
            <m:e>
              <m:d>
                <m:dPr>
                  <m:begChr m:val="("/>
                  <m:endChr m:val=")"/>
                  <m:sepChr m:val=""/>
                  <m:grow/>
                </m:dPr>
                <m:e>
                  <m:r>
                    <m:t>1</m:t>
                  </m:r>
                  <m:r>
                    <m:rPr>
                      <m:sty m:val="p"/>
                    </m:rPr>
                    <m:t>−</m:t>
                  </m:r>
                  <m:r>
                    <m:t>a</m:t>
                  </m:r>
                </m:e>
              </m:d>
            </m:e>
            <m:sup>
              <m:r>
                <m:t>N</m:t>
              </m:r>
              <m:r>
                <m:rPr>
                  <m:sty m:val="p"/>
                </m:rPr>
                <m:t>−</m:t>
              </m:r>
              <m:r>
                <m:t>k</m:t>
              </m:r>
            </m:sup>
          </m:sSup>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A</m:t>
                  </m:r>
                </m:e>
                <m:sub>
                  <m:r>
                    <m:rPr>
                      <m:nor/>
                      <m:sty m:val="p"/>
                    </m:rPr>
                    <m:t>cluster</m:t>
                  </m:r>
                </m:sub>
              </m:sSub>
            </m:oMath>
          </w:p>
        </w:tc>
        <w:tc>
          <w:tcPr/>
          <w:p>
            <w:pPr>
              <w:pStyle w:val="Compact"/>
              <w:jc w:val="left"/>
            </w:pPr>
            <w:r>
              <w:t xml:space="preserve">Probability that a quorum of nodes is up</w:t>
            </w:r>
          </w:p>
        </w:tc>
        <w:tc>
          <w:tcPr/>
          <w:p>
            <w:pPr>
              <w:pStyle w:val="Compact"/>
              <w:jc w:val="left"/>
            </w:pPr>
            <w:r>
              <w:t xml:space="preserve">dimensionless</w:t>
            </w:r>
          </w:p>
        </w:tc>
      </w:tr>
      <w:tr>
        <w:tc>
          <w:tcPr/>
          <w:p>
            <w:pPr>
              <w:pStyle w:val="Compact"/>
              <w:jc w:val="left"/>
            </w:pPr>
            <m:oMath>
              <m:r>
                <m:t>a</m:t>
              </m:r>
            </m:oMath>
          </w:p>
        </w:tc>
        <w:tc>
          <w:tcPr/>
          <w:p>
            <w:pPr>
              <w:pStyle w:val="Compact"/>
              <w:jc w:val="left"/>
            </w:pPr>
            <w:r>
              <w:t xml:space="preserve">Availability of one node</w:t>
            </w:r>
          </w:p>
        </w:tc>
        <w:tc>
          <w:tcPr/>
          <w:p>
            <w:pPr>
              <w:pStyle w:val="Compact"/>
              <w:jc w:val="left"/>
            </w:pPr>
            <w:r>
              <w:t xml:space="preserve">dimensionless</w:t>
            </w:r>
          </w:p>
        </w:tc>
      </w:tr>
      <w:tr>
        <w:tc>
          <w:tcPr/>
          <w:p>
            <w:pPr>
              <w:pStyle w:val="Compact"/>
              <w:jc w:val="left"/>
            </w:pPr>
            <m:oMath>
              <m:r>
                <m:t>N</m:t>
              </m:r>
            </m:oMath>
            <w:r>
              <w:t xml:space="preserve">,</w:t>
            </w:r>
            <w:r>
              <w:t xml:space="preserve"> </w:t>
            </w:r>
            <m:oMath>
              <m:r>
                <m:t>q</m:t>
              </m:r>
            </m:oMath>
          </w:p>
        </w:tc>
        <w:tc>
          <w:tcPr/>
          <w:p>
            <w:pPr>
              <w:pStyle w:val="Compact"/>
              <w:jc w:val="left"/>
            </w:pPr>
            <w:r>
              <w:t xml:space="preserve">Cluster size and quorum size</w:t>
            </w:r>
          </w:p>
        </w:tc>
        <w:tc>
          <w:tcPr/>
          <w:p>
            <w:pPr>
              <w:pStyle w:val="Compact"/>
              <w:jc w:val="left"/>
            </w:pPr>
            <w:r>
              <w:t xml:space="preserve">nodes</w:t>
            </w:r>
          </w:p>
        </w:tc>
      </w:tr>
      <w:tr>
        <w:tc>
          <w:tcPr/>
          <w:p>
            <w:pPr>
              <w:pStyle w:val="Compact"/>
              <w:jc w:val="left"/>
            </w:pPr>
            <m:oMath>
              <m:d>
                <m:dPr>
                  <m:begChr m:val="("/>
                  <m:endChr m:val=")"/>
                  <m:sepChr m:val=""/>
                  <m:grow/>
                </m:dPr>
                <m:e>
                  <m:f>
                    <m:fPr>
                      <m:type m:val="noBar"/>
                    </m:fPr>
                    <m:num>
                      <m:r>
                        <m:t>N</m:t>
                      </m:r>
                    </m:num>
                    <m:den>
                      <m:r>
                        <m:t>k</m:t>
                      </m:r>
                    </m:den>
                  </m:f>
                </m:e>
              </m:d>
            </m:oMath>
          </w:p>
        </w:tc>
        <w:tc>
          <w:tcPr/>
          <w:p>
            <w:pPr>
              <w:pStyle w:val="Compact"/>
              <w:jc w:val="left"/>
            </w:pPr>
            <w:r>
              <w:t xml:space="preserve">Number of ways to choose which</w:t>
            </w:r>
            <w:r>
              <w:t xml:space="preserve"> </w:t>
            </w:r>
            <m:oMath>
              <m:r>
                <m:t>k</m:t>
              </m:r>
            </m:oMath>
            <w:r>
              <w:t xml:space="preserve"> </w:t>
            </w:r>
            <w:r>
              <w:t xml:space="preserve">nodes are up</w:t>
            </w:r>
          </w:p>
        </w:tc>
        <w:tc>
          <w:tcPr/>
          <w:p>
            <w:pPr>
              <w:pStyle w:val="Compact"/>
              <w:jc w:val="left"/>
            </w:pPr>
            <w:r>
              <w:t xml:space="preserve">count</w:t>
            </w:r>
          </w:p>
        </w:tc>
      </w:tr>
    </w:tbl>
    <w:p>
      <w:pPr>
        <w:pStyle w:val="CalloutExample"/>
      </w:pPr>
      <w:r>
        <w:rPr>
          <w:bCs/>
          <w:b/>
        </w:rPr>
        <w:t xml:space="preserve">WORKED EXAMPLE</w:t>
      </w:r>
    </w:p>
    <w:p>
      <w:pPr>
        <w:pStyle w:val="CalloutExample"/>
      </w:pPr>
      <w:r>
        <w:rPr>
          <w:bCs/>
          <w:b/>
        </w:rPr>
        <w:t xml:space="preserve">Worked example — nodes that are each 99% available.</w:t>
      </w:r>
    </w:p>
    <w:p>
      <w:pPr>
        <w:numPr>
          <w:ilvl w:val="0"/>
          <w:numId w:val="1835"/>
        </w:numPr>
        <w:pStyle w:val="Compact"/>
      </w:pPr>
      <m:oMath>
        <m:r>
          <m:t>N</m:t>
        </m:r>
        <m:r>
          <m:rPr>
            <m:sty m:val="p"/>
          </m:rPr>
          <m:t>=</m:t>
        </m:r>
        <m:r>
          <m:t>3</m:t>
        </m:r>
      </m:oMath>
      <w:r>
        <w:t xml:space="preserve">,</w:t>
      </w:r>
      <w:r>
        <w:t xml:space="preserve"> </w:t>
      </w:r>
      <m:oMath>
        <m:r>
          <m:t>q</m:t>
        </m:r>
        <m:r>
          <m:rPr>
            <m:sty m:val="p"/>
          </m:rPr>
          <m:t>=</m:t>
        </m:r>
        <m:r>
          <m:t>2</m:t>
        </m:r>
      </m:oMath>
      <w:r>
        <w:t xml:space="preserve">:</w:t>
      </w:r>
      <w:r>
        <w:t xml:space="preserve"> </w:t>
      </w:r>
      <m:oMath>
        <m:r>
          <m:t>A</m:t>
        </m:r>
        <m:r>
          <m:rPr>
            <m:sty m:val="p"/>
          </m:rPr>
          <m:t>=</m:t>
        </m:r>
        <m:sSup>
          <m:e>
            <m:r>
              <m:t>a</m:t>
            </m:r>
          </m:e>
          <m:sup>
            <m:r>
              <m:t>3</m:t>
            </m:r>
          </m:sup>
        </m:sSup>
        <m:r>
          <m:rPr>
            <m:sty m:val="p"/>
          </m:rPr>
          <m:t>+</m:t>
        </m:r>
        <m:r>
          <m:t>3</m:t>
        </m:r>
        <m:sSup>
          <m:e>
            <m:r>
              <m:t>a</m:t>
            </m:r>
          </m:e>
          <m:sup>
            <m:r>
              <m:t>2</m:t>
            </m:r>
          </m:sup>
        </m:sSup>
        <m:d>
          <m:dPr>
            <m:begChr m:val="("/>
            <m:endChr m:val=")"/>
            <m:sepChr m:val=""/>
            <m:grow/>
          </m:dPr>
          <m:e>
            <m:r>
              <m:t>1</m:t>
            </m:r>
            <m:r>
              <m:rPr>
                <m:sty m:val="p"/>
              </m:rPr>
              <m:t>−</m:t>
            </m:r>
            <m:r>
              <m:t>a</m:t>
            </m:r>
          </m:e>
        </m:d>
        <m:r>
          <m:rPr>
            <m:sty m:val="p"/>
          </m:rPr>
          <m:t>=</m:t>
        </m:r>
        <m:r>
          <m:t>0.970299</m:t>
        </m:r>
        <m:r>
          <m:rPr>
            <m:sty m:val="p"/>
          </m:rPr>
          <m:t>+</m:t>
        </m:r>
        <m:r>
          <m:t>3</m:t>
        </m:r>
        <m:r>
          <m:rPr>
            <m:sty m:val="p"/>
          </m:rPr>
          <m:t>×</m:t>
        </m:r>
        <m:r>
          <m:t>0.9801</m:t>
        </m:r>
        <m:r>
          <m:rPr>
            <m:sty m:val="p"/>
          </m:rPr>
          <m:t>×</m:t>
        </m:r>
        <m:r>
          <m:t>0.01</m:t>
        </m:r>
        <m:r>
          <m:rPr>
            <m:sty m:val="p"/>
          </m:rPr>
          <m:t>=</m:t>
        </m:r>
        <m:r>
          <m:t>0.970299</m:t>
        </m:r>
        <m:r>
          <m:rPr>
            <m:sty m:val="p"/>
          </m:rPr>
          <m:t>+</m:t>
        </m:r>
        <m:r>
          <m:t>0.029403</m:t>
        </m:r>
        <m:r>
          <m:rPr>
            <m:sty m:val="p"/>
          </m:rPr>
          <m:t>=</m:t>
        </m:r>
        <m:r>
          <m:t>0.999702</m:t>
        </m:r>
      </m:oMath>
      <w:r>
        <w:t xml:space="preserve">. Unavailability</w:t>
      </w:r>
      <w:r>
        <w:t xml:space="preserve"> </w:t>
      </w:r>
      <m:oMath>
        <m:r>
          <m:t>2.98</m:t>
        </m:r>
        <m:r>
          <m:rPr>
            <m:sty m:val="p"/>
          </m:rPr>
          <m:t>×</m:t>
        </m:r>
        <m:sSup>
          <m:e>
            <m:r>
              <m:t>10</m:t>
            </m:r>
          </m:e>
          <m:sup>
            <m:r>
              <m:rPr>
                <m:sty m:val="p"/>
              </m:rPr>
              <m:t>−</m:t>
            </m:r>
            <m:r>
              <m:t>4</m:t>
            </m:r>
          </m:sup>
        </m:sSup>
      </m:oMath>
      <w:r>
        <w:t xml:space="preserve">, about 157 minutes per year.</w:t>
      </w:r>
    </w:p>
    <w:p>
      <w:pPr>
        <w:numPr>
          <w:ilvl w:val="0"/>
          <w:numId w:val="1835"/>
        </w:numPr>
        <w:pStyle w:val="Compact"/>
      </w:pPr>
      <m:oMath>
        <m:r>
          <m:t>N</m:t>
        </m:r>
        <m:r>
          <m:rPr>
            <m:sty m:val="p"/>
          </m:rPr>
          <m:t>=</m:t>
        </m:r>
        <m:r>
          <m:t>5</m:t>
        </m:r>
      </m:oMath>
      <w:r>
        <w:t xml:space="preserve">,</w:t>
      </w:r>
      <w:r>
        <w:t xml:space="preserve"> </w:t>
      </w:r>
      <m:oMath>
        <m:r>
          <m:t>q</m:t>
        </m:r>
        <m:r>
          <m:rPr>
            <m:sty m:val="p"/>
          </m:rPr>
          <m:t>=</m:t>
        </m:r>
        <m:r>
          <m:t>3</m:t>
        </m:r>
      </m:oMath>
      <w:r>
        <w:t xml:space="preserve">:</w:t>
      </w:r>
      <w:r>
        <w:t xml:space="preserve"> </w:t>
      </w:r>
      <m:oMath>
        <m:r>
          <m:t>A</m:t>
        </m:r>
        <m:r>
          <m:rPr>
            <m:sty m:val="p"/>
          </m:rPr>
          <m:t>=</m:t>
        </m:r>
        <m:sSup>
          <m:e>
            <m:r>
              <m:t>0.99</m:t>
            </m:r>
          </m:e>
          <m:sup>
            <m:r>
              <m:t>5</m:t>
            </m:r>
          </m:sup>
        </m:sSup>
        <m:r>
          <m:rPr>
            <m:sty m:val="p"/>
          </m:rPr>
          <m:t>+</m:t>
        </m:r>
        <m:r>
          <m:t>5</m:t>
        </m:r>
        <m:r>
          <m:rPr>
            <m:sty m:val="p"/>
          </m:rPr>
          <m:t>×</m:t>
        </m:r>
        <m:sSup>
          <m:e>
            <m:r>
              <m:t>0.99</m:t>
            </m:r>
          </m:e>
          <m:sup>
            <m:r>
              <m:t>4</m:t>
            </m:r>
          </m:sup>
        </m:sSup>
        <m:r>
          <m:rPr>
            <m:sty m:val="p"/>
          </m:rPr>
          <m:t>×</m:t>
        </m:r>
        <m:r>
          <m:t>0.01</m:t>
        </m:r>
        <m:r>
          <m:rPr>
            <m:sty m:val="p"/>
          </m:rPr>
          <m:t>+</m:t>
        </m:r>
        <m:r>
          <m:t>10</m:t>
        </m:r>
        <m:r>
          <m:rPr>
            <m:sty m:val="p"/>
          </m:rPr>
          <m:t>×</m:t>
        </m:r>
        <m:sSup>
          <m:e>
            <m:r>
              <m:t>0.99</m:t>
            </m:r>
          </m:e>
          <m:sup>
            <m:r>
              <m:t>3</m:t>
            </m:r>
          </m:sup>
        </m:sSup>
        <m:r>
          <m:rPr>
            <m:sty m:val="p"/>
          </m:rPr>
          <m:t>×</m:t>
        </m:r>
        <m:sSup>
          <m:e>
            <m:r>
              <m:t>0.01</m:t>
            </m:r>
          </m:e>
          <m:sup>
            <m:r>
              <m:t>2</m:t>
            </m:r>
          </m:sup>
        </m:sSup>
        <m:r>
          <m:rPr>
            <m:sty m:val="p"/>
          </m:rPr>
          <m:t>=</m:t>
        </m:r>
        <m:r>
          <m:t>0.950990</m:t>
        </m:r>
        <m:r>
          <m:rPr>
            <m:sty m:val="p"/>
          </m:rPr>
          <m:t>+</m:t>
        </m:r>
        <m:r>
          <m:t>0.048030</m:t>
        </m:r>
        <m:r>
          <m:rPr>
            <m:sty m:val="p"/>
          </m:rPr>
          <m:t>+</m:t>
        </m:r>
        <m:r>
          <m:t>0.000970</m:t>
        </m:r>
        <m:r>
          <m:rPr>
            <m:sty m:val="p"/>
          </m:rPr>
          <m:t>=</m:t>
        </m:r>
        <m:r>
          <m:t>0.999990</m:t>
        </m:r>
      </m:oMath>
      <w:r>
        <w:t xml:space="preserve">. About 5.2 minutes per year.</w:t>
      </w:r>
    </w:p>
    <w:p>
      <w:pPr>
        <w:numPr>
          <w:ilvl w:val="0"/>
          <w:numId w:val="1835"/>
        </w:numPr>
        <w:pStyle w:val="Compact"/>
      </w:pPr>
      <m:oMath>
        <m:r>
          <m:t>N</m:t>
        </m:r>
        <m:r>
          <m:rPr>
            <m:sty m:val="p"/>
          </m:rPr>
          <m:t>=</m:t>
        </m:r>
        <m:r>
          <m:t>7</m:t>
        </m:r>
      </m:oMath>
      <w:r>
        <w:t xml:space="preserve">,</w:t>
      </w:r>
      <w:r>
        <w:t xml:space="preserve"> </w:t>
      </w:r>
      <m:oMath>
        <m:r>
          <m:t>q</m:t>
        </m:r>
        <m:r>
          <m:rPr>
            <m:sty m:val="p"/>
          </m:rPr>
          <m:t>=</m:t>
        </m:r>
        <m:r>
          <m:t>4</m:t>
        </m:r>
      </m:oMath>
      <w:r>
        <w:t xml:space="preserve">:</w:t>
      </w:r>
      <w:r>
        <w:t xml:space="preserve"> </w:t>
      </w:r>
      <m:oMath>
        <m:r>
          <m:t>A</m:t>
        </m:r>
        <m:r>
          <m:rPr>
            <m:sty m:val="p"/>
          </m:rPr>
          <m:t>≈</m:t>
        </m:r>
        <m:r>
          <m:t>0.99999966</m:t>
        </m:r>
      </m:oMath>
      <w:r>
        <w:t xml:space="preserve">, about 0.18 minutes (11 seconds) per year.</w:t>
      </w:r>
    </w:p>
    <w:p>
      <w:pPr>
        <w:numPr>
          <w:ilvl w:val="0"/>
          <w:numId w:val="1835"/>
        </w:numPr>
        <w:pStyle w:val="Compact"/>
      </w:pPr>
      <m:oMath>
        <m:r>
          <m:t>N</m:t>
        </m:r>
        <m:r>
          <m:rPr>
            <m:sty m:val="p"/>
          </m:rPr>
          <m:t>=</m:t>
        </m:r>
        <m:r>
          <m:t>4</m:t>
        </m:r>
      </m:oMath>
      <w:r>
        <w:t xml:space="preserve">,</w:t>
      </w:r>
      <w:r>
        <w:t xml:space="preserve"> </w:t>
      </w:r>
      <m:oMath>
        <m:r>
          <m:t>q</m:t>
        </m:r>
        <m:r>
          <m:rPr>
            <m:sty m:val="p"/>
          </m:rPr>
          <m:t>=</m:t>
        </m:r>
        <m:r>
          <m:t>3</m:t>
        </m:r>
      </m:oMath>
      <w:r>
        <w:t xml:space="preserve">:</w:t>
      </w:r>
      <w:r>
        <w:t xml:space="preserve"> </w:t>
      </w:r>
      <m:oMath>
        <m:r>
          <m:t>A</m:t>
        </m:r>
        <m:r>
          <m:rPr>
            <m:sty m:val="p"/>
          </m:rPr>
          <m:t>=</m:t>
        </m:r>
        <m:sSup>
          <m:e>
            <m:r>
              <m:t>0.99</m:t>
            </m:r>
          </m:e>
          <m:sup>
            <m:r>
              <m:t>4</m:t>
            </m:r>
          </m:sup>
        </m:sSup>
        <m:r>
          <m:rPr>
            <m:sty m:val="p"/>
          </m:rPr>
          <m:t>+</m:t>
        </m:r>
        <m:r>
          <m:t>4</m:t>
        </m:r>
        <m:r>
          <m:rPr>
            <m:sty m:val="p"/>
          </m:rPr>
          <m:t>×</m:t>
        </m:r>
        <m:sSup>
          <m:e>
            <m:r>
              <m:t>0.99</m:t>
            </m:r>
          </m:e>
          <m:sup>
            <m:r>
              <m:t>3</m:t>
            </m:r>
          </m:sup>
        </m:sSup>
        <m:r>
          <m:rPr>
            <m:sty m:val="p"/>
          </m:rPr>
          <m:t>×</m:t>
        </m:r>
        <m:r>
          <m:t>0.01</m:t>
        </m:r>
        <m:r>
          <m:rPr>
            <m:sty m:val="p"/>
          </m:rPr>
          <m:t>=</m:t>
        </m:r>
        <m:r>
          <m:t>0.960596</m:t>
        </m:r>
        <m:r>
          <m:rPr>
            <m:sty m:val="p"/>
          </m:rPr>
          <m:t>+</m:t>
        </m:r>
        <m:r>
          <m:t>0.038812</m:t>
        </m:r>
        <m:r>
          <m:rPr>
            <m:sty m:val="p"/>
          </m:rPr>
          <m:t>=</m:t>
        </m:r>
        <m:r>
          <m:t>0.999408</m:t>
        </m:r>
      </m:oMath>
      <w:r>
        <w:t xml:space="preserve">, worse than</w:t>
      </w:r>
      <w:r>
        <w:t xml:space="preserve"> </w:t>
      </w:r>
      <m:oMath>
        <m:r>
          <m:t>N</m:t>
        </m:r>
        <m:r>
          <m:rPr>
            <m:sty m:val="p"/>
          </m:rPr>
          <m:t>=</m:t>
        </m:r>
        <m:r>
          <m:t>3</m:t>
        </m:r>
      </m:oMath>
      <w:r>
        <w:t xml:space="preserve">.</w:t>
      </w:r>
    </w:p>
    <w:p>
      <w:pPr>
        <w:pStyle w:val="CalloutExample"/>
      </w:pPr>
      <w:r>
        <w:rPr>
          <w:bCs/>
          <w:b/>
        </w:rPr>
        <w:t xml:space="preserve">Interpretation.</w:t>
      </w:r>
      <w:r>
        <w:t xml:space="preserve"> </w:t>
      </w:r>
      <w:r>
        <w:t xml:space="preserve">Each step from 3 to 5 to 7 multiplies unavailability by roughly 0.03.</w:t>
      </w:r>
      <w:r>
        <w:t xml:space="preserve"> </w:t>
      </w:r>
      <w:r>
        <w:rPr>
          <w:bCs/>
          <w:b/>
        </w:rPr>
        <w:t xml:space="preserve">Engineering implication.</w:t>
      </w:r>
      <w:r>
        <w:t xml:space="preserve"> </w:t>
      </w:r>
      <w:r>
        <w:t xml:space="preserve">These numbers assume independent failures; a shared switch, zone outage or bad configuration push breaks that. Place voters in distinct failure domains, or the arithmetic is fiction.</w:t>
      </w:r>
    </w:p>
    <w:p>
      <w:pPr>
        <w:pStyle w:val="BodyText"/>
      </w:pPr>
      <w:r>
        <w:rPr>
          <w:bCs/>
          <w:b/>
        </w:rPr>
        <w:t xml:space="preserve">Table 26.1 — Majority quorums at a glance.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Voters</w:t>
            </w:r>
            <w:r>
              <w:t xml:space="preserve"> </w:t>
            </w:r>
            <m:oMath>
              <m:r>
                <m:t>N</m:t>
              </m:r>
            </m:oMath>
          </w:p>
        </w:tc>
        <w:tc>
          <w:tcPr/>
          <w:p>
            <w:pPr>
              <w:pStyle w:val="Compact"/>
              <w:jc w:val="left"/>
            </w:pPr>
            <w:r>
              <w:t xml:space="preserve">Quorum</w:t>
            </w:r>
            <w:r>
              <w:t xml:space="preserve"> </w:t>
            </w:r>
            <m:oMath>
              <m:r>
                <m:t>q</m:t>
              </m:r>
            </m:oMath>
          </w:p>
        </w:tc>
        <w:tc>
          <w:tcPr/>
          <w:p>
            <w:pPr>
              <w:pStyle w:val="Compact"/>
              <w:jc w:val="left"/>
            </w:pPr>
            <w:r>
              <w:t xml:space="preserve">Failures tolerated</w:t>
            </w:r>
            <w:r>
              <w:t xml:space="preserve"> </w:t>
            </w:r>
            <m:oMath>
              <m:r>
                <m:t>f</m:t>
              </m:r>
            </m:oMath>
          </w:p>
        </w:tc>
        <w:tc>
          <w:tcPr/>
          <w:p>
            <w:pPr>
              <w:pStyle w:val="Compact"/>
              <w:jc w:val="left"/>
            </w:pPr>
            <w:r>
              <w:t xml:space="preserve">Unavailability at</w:t>
            </w:r>
            <w:r>
              <w:t xml:space="preserve"> </w:t>
            </w:r>
            <m:oMath>
              <m:r>
                <m:t>a</m:t>
              </m:r>
              <m:r>
                <m:rPr>
                  <m:sty m:val="p"/>
                </m:rPr>
                <m:t>=</m:t>
              </m:r>
              <m:r>
                <m:t>0.99</m:t>
              </m:r>
            </m:oMath>
          </w:p>
        </w:tc>
        <w:tc>
          <w:tcPr/>
          <w:p>
            <w:pPr>
              <w:pStyle w:val="Compact"/>
              <w:jc w:val="left"/>
            </w:pPr>
            <w:r>
              <w:t xml:space="preserve">Typical use</w:t>
            </w:r>
          </w:p>
        </w:tc>
      </w:tr>
      <w:tr>
        <w:tc>
          <w:tcPr/>
          <w:p>
            <w:pPr>
              <w:pStyle w:val="Compact"/>
              <w:jc w:val="left"/>
            </w:pPr>
            <w:r>
              <w:t xml:space="preserve">1</w:t>
            </w:r>
          </w:p>
        </w:tc>
        <w:tc>
          <w:tcPr/>
          <w:p>
            <w:pPr>
              <w:pStyle w:val="Compact"/>
              <w:jc w:val="left"/>
            </w:pPr>
            <w:r>
              <w:t xml:space="preserve">1</w:t>
            </w:r>
          </w:p>
        </w:tc>
        <w:tc>
          <w:tcPr/>
          <w:p>
            <w:pPr>
              <w:pStyle w:val="Compact"/>
              <w:jc w:val="left"/>
            </w:pPr>
            <w:r>
              <w:t xml:space="preserve">0</w:t>
            </w:r>
          </w:p>
        </w:tc>
        <w:tc>
          <w:tcPr/>
          <w:p>
            <w:pPr>
              <w:pStyle w:val="Compact"/>
              <w:jc w:val="left"/>
            </w:pPr>
            <m:oMath>
              <m:r>
                <m:t>1.0</m:t>
              </m:r>
              <m:r>
                <m:rPr>
                  <m:sty m:val="p"/>
                </m:rPr>
                <m:t>×</m:t>
              </m:r>
              <m:sSup>
                <m:e>
                  <m:r>
                    <m:t>10</m:t>
                  </m:r>
                </m:e>
                <m:sup>
                  <m:r>
                    <m:rPr>
                      <m:sty m:val="p"/>
                    </m:rPr>
                    <m:t>−</m:t>
                  </m:r>
                  <m:r>
                    <m:t>2</m:t>
                  </m:r>
                </m:sup>
              </m:sSup>
            </m:oMath>
          </w:p>
        </w:tc>
        <w:tc>
          <w:tcPr/>
          <w:p>
            <w:pPr>
              <w:pStyle w:val="Compact"/>
              <w:jc w:val="left"/>
            </w:pPr>
            <w:r>
              <w:t xml:space="preserve">Development only</w:t>
            </w:r>
          </w:p>
        </w:tc>
      </w:tr>
      <w:tr>
        <w:tc>
          <w:tcPr/>
          <w:p>
            <w:pPr>
              <w:pStyle w:val="Compact"/>
              <w:jc w:val="left"/>
            </w:pPr>
            <w:r>
              <w:t xml:space="preserve">3</w:t>
            </w:r>
          </w:p>
        </w:tc>
        <w:tc>
          <w:tcPr/>
          <w:p>
            <w:pPr>
              <w:pStyle w:val="Compact"/>
              <w:jc w:val="left"/>
            </w:pPr>
            <w:r>
              <w:t xml:space="preserve">2</w:t>
            </w:r>
          </w:p>
        </w:tc>
        <w:tc>
          <w:tcPr/>
          <w:p>
            <w:pPr>
              <w:pStyle w:val="Compact"/>
              <w:jc w:val="left"/>
            </w:pPr>
            <w:r>
              <w:t xml:space="preserve">1</w:t>
            </w:r>
          </w:p>
        </w:tc>
        <w:tc>
          <w:tcPr/>
          <w:p>
            <w:pPr>
              <w:pStyle w:val="Compact"/>
              <w:jc w:val="left"/>
            </w:pPr>
            <m:oMath>
              <m:r>
                <m:t>3.0</m:t>
              </m:r>
              <m:r>
                <m:rPr>
                  <m:sty m:val="p"/>
                </m:rPr>
                <m:t>×</m:t>
              </m:r>
              <m:sSup>
                <m:e>
                  <m:r>
                    <m:t>10</m:t>
                  </m:r>
                </m:e>
                <m:sup>
                  <m:r>
                    <m:rPr>
                      <m:sty m:val="p"/>
                    </m:rPr>
                    <m:t>−</m:t>
                  </m:r>
                  <m:r>
                    <m:t>4</m:t>
                  </m:r>
                </m:sup>
              </m:sSup>
            </m:oMath>
          </w:p>
        </w:tc>
        <w:tc>
          <w:tcPr/>
          <w:p>
            <w:pPr>
              <w:pStyle w:val="Compact"/>
              <w:jc w:val="left"/>
            </w:pPr>
            <w:r>
              <w:t xml:space="preserve">Default for etcd, ZooKeeper, Consul</w:t>
            </w:r>
          </w:p>
        </w:tc>
      </w:tr>
      <w:tr>
        <w:tc>
          <w:tcPr/>
          <w:p>
            <w:pPr>
              <w:pStyle w:val="Compact"/>
              <w:jc w:val="left"/>
            </w:pPr>
            <w:r>
              <w:t xml:space="preserve">4</w:t>
            </w:r>
          </w:p>
        </w:tc>
        <w:tc>
          <w:tcPr/>
          <w:p>
            <w:pPr>
              <w:pStyle w:val="Compact"/>
              <w:jc w:val="left"/>
            </w:pPr>
            <w:r>
              <w:t xml:space="preserve">3</w:t>
            </w:r>
          </w:p>
        </w:tc>
        <w:tc>
          <w:tcPr/>
          <w:p>
            <w:pPr>
              <w:pStyle w:val="Compact"/>
              <w:jc w:val="left"/>
            </w:pPr>
            <w:r>
              <w:t xml:space="preserve">1</w:t>
            </w:r>
          </w:p>
        </w:tc>
        <w:tc>
          <w:tcPr/>
          <w:p>
            <w:pPr>
              <w:pStyle w:val="Compact"/>
              <w:jc w:val="left"/>
            </w:pPr>
            <m:oMath>
              <m:r>
                <m:t>5.9</m:t>
              </m:r>
              <m:r>
                <m:rPr>
                  <m:sty m:val="p"/>
                </m:rPr>
                <m:t>×</m:t>
              </m:r>
              <m:sSup>
                <m:e>
                  <m:r>
                    <m:t>10</m:t>
                  </m:r>
                </m:e>
                <m:sup>
                  <m:r>
                    <m:rPr>
                      <m:sty m:val="p"/>
                    </m:rPr>
                    <m:t>−</m:t>
                  </m:r>
                  <m:r>
                    <m:t>4</m:t>
                  </m:r>
                </m:sup>
              </m:sSup>
            </m:oMath>
          </w:p>
        </w:tc>
        <w:tc>
          <w:tcPr/>
          <w:p>
            <w:pPr>
              <w:pStyle w:val="Compact"/>
              <w:jc w:val="left"/>
            </w:pPr>
            <w:r>
              <w:t xml:space="preserve">Avoid: worse than 3</w:t>
            </w:r>
          </w:p>
        </w:tc>
      </w:tr>
      <w:tr>
        <w:tc>
          <w:tcPr/>
          <w:p>
            <w:pPr>
              <w:pStyle w:val="Compact"/>
              <w:jc w:val="left"/>
            </w:pPr>
            <w:r>
              <w:t xml:space="preserve">5</w:t>
            </w:r>
          </w:p>
        </w:tc>
        <w:tc>
          <w:tcPr/>
          <w:p>
            <w:pPr>
              <w:pStyle w:val="Compact"/>
              <w:jc w:val="left"/>
            </w:pPr>
            <w:r>
              <w:t xml:space="preserve">3</w:t>
            </w:r>
          </w:p>
        </w:tc>
        <w:tc>
          <w:tcPr/>
          <w:p>
            <w:pPr>
              <w:pStyle w:val="Compact"/>
              <w:jc w:val="left"/>
            </w:pPr>
            <w:r>
              <w:t xml:space="preserve">2</w:t>
            </w:r>
          </w:p>
        </w:tc>
        <w:tc>
          <w:tcPr/>
          <w:p>
            <w:pPr>
              <w:pStyle w:val="Compact"/>
              <w:jc w:val="left"/>
            </w:pPr>
            <m:oMath>
              <m:r>
                <m:t>9.9</m:t>
              </m:r>
              <m:r>
                <m:rPr>
                  <m:sty m:val="p"/>
                </m:rPr>
                <m:t>×</m:t>
              </m:r>
              <m:sSup>
                <m:e>
                  <m:r>
                    <m:t>10</m:t>
                  </m:r>
                </m:e>
                <m:sup>
                  <m:r>
                    <m:rPr>
                      <m:sty m:val="p"/>
                    </m:rPr>
                    <m:t>−</m:t>
                  </m:r>
                  <m:r>
                    <m:t>6</m:t>
                  </m:r>
                </m:sup>
              </m:sSup>
            </m:oMath>
          </w:p>
        </w:tc>
        <w:tc>
          <w:tcPr/>
          <w:p>
            <w:pPr>
              <w:pStyle w:val="Compact"/>
              <w:jc w:val="left"/>
            </w:pPr>
            <w:r>
              <w:t xml:space="preserve">Critical control planes, Chubby cells</w:t>
            </w:r>
          </w:p>
        </w:tc>
      </w:tr>
      <w:tr>
        <w:tc>
          <w:tcPr/>
          <w:p>
            <w:pPr>
              <w:pStyle w:val="Compact"/>
              <w:jc w:val="left"/>
            </w:pPr>
            <w:r>
              <w:t xml:space="preserve">7</w:t>
            </w:r>
          </w:p>
        </w:tc>
        <w:tc>
          <w:tcPr/>
          <w:p>
            <w:pPr>
              <w:pStyle w:val="Compact"/>
              <w:jc w:val="left"/>
            </w:pPr>
            <w:r>
              <w:t xml:space="preserve">4</w:t>
            </w:r>
          </w:p>
        </w:tc>
        <w:tc>
          <w:tcPr/>
          <w:p>
            <w:pPr>
              <w:pStyle w:val="Compact"/>
              <w:jc w:val="left"/>
            </w:pPr>
            <w:r>
              <w:t xml:space="preserve">3</w:t>
            </w:r>
          </w:p>
        </w:tc>
        <w:tc>
          <w:tcPr/>
          <w:p>
            <w:pPr>
              <w:pStyle w:val="Compact"/>
              <w:jc w:val="left"/>
            </w:pPr>
            <m:oMath>
              <m:r>
                <m:t>3.4</m:t>
              </m:r>
              <m:r>
                <m:rPr>
                  <m:sty m:val="p"/>
                </m:rPr>
                <m:t>×</m:t>
              </m:r>
              <m:sSup>
                <m:e>
                  <m:r>
                    <m:t>10</m:t>
                  </m:r>
                </m:e>
                <m:sup>
                  <m:r>
                    <m:rPr>
                      <m:sty m:val="p"/>
                    </m:rPr>
                    <m:t>−</m:t>
                  </m:r>
                  <m:r>
                    <m:t>7</m:t>
                  </m:r>
                </m:sup>
              </m:sSup>
            </m:oMath>
          </w:p>
        </w:tc>
        <w:tc>
          <w:tcPr/>
          <w:p>
            <w:pPr>
              <w:pStyle w:val="Compact"/>
              <w:jc w:val="left"/>
            </w:pPr>
            <w:r>
              <w:t xml:space="preserve">Rare; write latency and load grow</w:t>
            </w:r>
          </w:p>
        </w:tc>
      </w:tr>
    </w:tbl>
    <w:bookmarkEnd w:id="2897"/>
    <w:bookmarkEnd w:id="2898"/>
    <w:bookmarkStart w:id="2899" w:name="the-latency-trade-off"/>
    <w:p>
      <w:pPr>
        <w:pStyle w:val="Heading3"/>
      </w:pPr>
      <w:r>
        <w:t xml:space="preserve">26.4.2 The latency trade-off</w:t>
      </w:r>
    </w:p>
    <w:p>
      <w:pPr>
        <w:pStyle w:val="FirstParagraph"/>
      </w:pPr>
      <w:r>
        <w:t xml:space="preserve">Larger clusters are more available but slower to commit, because the leader must wait for more acknowledgments. The leader waits only for the fastest</w:t>
      </w:r>
      <w:r>
        <w:t xml:space="preserve"> </w:t>
      </w:r>
      <m:oMath>
        <m:r>
          <m:t>q</m:t>
        </m:r>
        <m:r>
          <m:rPr>
            <m:sty m:val="p"/>
          </m:rPr>
          <m:t>−</m:t>
        </m:r>
        <m:r>
          <m:t>1</m:t>
        </m:r>
      </m:oMath>
      <w:r>
        <w:t xml:space="preserve"> </w:t>
      </w:r>
      <w:r>
        <w:t xml:space="preserve">followers (it counts itself), so commit latency is an</w:t>
      </w:r>
      <w:r>
        <w:t xml:space="preserve"> </w:t>
      </w:r>
      <w:r>
        <w:rPr>
          <w:bCs/>
          <w:b/>
        </w:rPr>
        <w:t xml:space="preserve">order statistic</w:t>
      </w:r>
      <w:r>
        <w:t xml:space="preserve"> </w:t>
      </w:r>
      <w:r>
        <w:t xml:space="preserve">of follower round-trip times.</w:t>
      </w:r>
    </w:p>
    <w:p>
      <w:pPr>
        <w:pStyle w:val="CalloutFormula"/>
      </w:pPr>
      <w:r>
        <w:rPr>
          <w:bCs/>
          <w:b/>
        </w:rPr>
        <w:t xml:space="preserve">FORMULA</w:t>
      </w:r>
    </w:p>
    <w:p>
      <w:pPr>
        <w:pStyle w:val="CalloutFormula"/>
      </w:pPr>
      <w:r>
        <w:rPr>
          <w:bCs/>
          <w:b/>
        </w:rPr>
        <w:t xml:space="preserve">Quorum commit latency</w:t>
      </w:r>
    </w:p>
    <w:p>
      <w:pPr>
        <w:pStyle w:val="CalloutFormula"/>
      </w:pPr>
      <m:oMathPara>
        <m:oMathParaPr>
          <m:jc m:val="center"/>
        </m:oMathParaPr>
        <m:oMath>
          <m:sSub>
            <m:e>
              <m:r>
                <m:t>L</m:t>
              </m:r>
            </m:e>
            <m:sub>
              <m:r>
                <m:rPr>
                  <m:nor/>
                  <m:sty m:val="p"/>
                </m:rPr>
                <m:t>commit</m:t>
              </m:r>
            </m:sub>
          </m:sSub>
          <m:r>
            <m:rPr>
              <m:sty m:val="p"/>
            </m:rPr>
            <m:t>≈</m:t>
          </m:r>
          <m:sSub>
            <m:e>
              <m:r>
                <m:t>t</m:t>
              </m:r>
            </m:e>
            <m:sub>
              <m:r>
                <m:rPr>
                  <m:nor/>
                  <m:sty m:val="p"/>
                </m:rPr>
                <m:t>fsync</m:t>
              </m:r>
            </m:sub>
          </m:sSub>
          <m:r>
            <m:rPr>
              <m:sty m:val="p"/>
            </m:rPr>
            <m:t>+</m:t>
          </m:r>
          <m:sSub>
            <m:e>
              <m:r>
                <m:rPr>
                  <m:sty m:val="p"/>
                </m:rPr>
                <m:t>R</m:t>
              </m:r>
              <m:r>
                <m:rPr>
                  <m:sty m:val="p"/>
                </m:rPr>
                <m:t>T</m:t>
              </m:r>
              <m:r>
                <m:rPr>
                  <m:sty m:val="p"/>
                </m:rPr>
                <m:t>T</m:t>
              </m:r>
            </m:e>
            <m:sub>
              <m:d>
                <m:dPr>
                  <m:begChr m:val="("/>
                  <m:endChr m:val=")"/>
                  <m:sepChr m:val=""/>
                  <m:grow/>
                </m:dPr>
                <m:e>
                  <m:r>
                    <m:t>q</m:t>
                  </m:r>
                  <m:r>
                    <m:rPr>
                      <m:sty m:val="p"/>
                    </m:rPr>
                    <m:t>−</m:t>
                  </m:r>
                  <m:r>
                    <m:t>1</m:t>
                  </m:r>
                </m:e>
              </m:d>
            </m:sub>
          </m:sSub>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L</m:t>
                  </m:r>
                </m:e>
                <m:sub>
                  <m:r>
                    <m:rPr>
                      <m:nor/>
                      <m:sty m:val="p"/>
                    </m:rPr>
                    <m:t>commit</m:t>
                  </m:r>
                </m:sub>
              </m:sSub>
            </m:oMath>
          </w:p>
        </w:tc>
        <w:tc>
          <w:tcPr/>
          <w:p>
            <w:pPr>
              <w:pStyle w:val="Compact"/>
              <w:jc w:val="left"/>
            </w:pPr>
            <w:r>
              <w:t xml:space="preserve">Time from the leader receiving a write to the entry being committed</w:t>
            </w:r>
          </w:p>
        </w:tc>
        <w:tc>
          <w:tcPr/>
          <w:p>
            <w:pPr>
              <w:pStyle w:val="Compact"/>
              <w:jc w:val="left"/>
            </w:pPr>
            <w:r>
              <w:t xml:space="preserve">ms</w:t>
            </w:r>
          </w:p>
        </w:tc>
      </w:tr>
      <w:tr>
        <w:tc>
          <w:tcPr/>
          <w:p>
            <w:pPr>
              <w:pStyle w:val="Compact"/>
              <w:jc w:val="left"/>
            </w:pPr>
            <m:oMath>
              <m:sSub>
                <m:e>
                  <m:r>
                    <m:t>t</m:t>
                  </m:r>
                </m:e>
                <m:sub>
                  <m:r>
                    <m:rPr>
                      <m:nor/>
                      <m:sty m:val="p"/>
                    </m:rPr>
                    <m:t>fsync</m:t>
                  </m:r>
                </m:sub>
              </m:sSub>
            </m:oMath>
          </w:p>
        </w:tc>
        <w:tc>
          <w:tcPr/>
          <w:p>
            <w:pPr>
              <w:pStyle w:val="Compact"/>
              <w:jc w:val="left"/>
            </w:pPr>
            <w:r>
              <w:t xml:space="preserve">Time to flush the entry to durable storage (leader and followers flush in parallel)</w:t>
            </w:r>
          </w:p>
        </w:tc>
        <w:tc>
          <w:tcPr/>
          <w:p>
            <w:pPr>
              <w:pStyle w:val="Compact"/>
              <w:jc w:val="left"/>
            </w:pPr>
            <w:r>
              <w:t xml:space="preserve">ms</w:t>
            </w:r>
          </w:p>
        </w:tc>
      </w:tr>
      <w:tr>
        <w:tc>
          <w:tcPr/>
          <w:p>
            <w:pPr>
              <w:pStyle w:val="Compact"/>
              <w:jc w:val="left"/>
            </w:pPr>
            <m:oMath>
              <m:sSub>
                <m:e>
                  <m:r>
                    <m:rPr>
                      <m:sty m:val="p"/>
                    </m:rPr>
                    <m:t>R</m:t>
                  </m:r>
                  <m:r>
                    <m:rPr>
                      <m:sty m:val="p"/>
                    </m:rPr>
                    <m:t>T</m:t>
                  </m:r>
                  <m:r>
                    <m:rPr>
                      <m:sty m:val="p"/>
                    </m:rPr>
                    <m:t>T</m:t>
                  </m:r>
                </m:e>
                <m:sub>
                  <m:d>
                    <m:dPr>
                      <m:begChr m:val="("/>
                      <m:endChr m:val=")"/>
                      <m:sepChr m:val=""/>
                      <m:grow/>
                    </m:dPr>
                    <m:e>
                      <m:r>
                        <m:t>k</m:t>
                      </m:r>
                    </m:e>
                  </m:d>
                </m:sub>
              </m:sSub>
            </m:oMath>
          </w:p>
        </w:tc>
        <w:tc>
          <w:tcPr/>
          <w:p>
            <w:pPr>
              <w:pStyle w:val="Compact"/>
              <w:jc w:val="left"/>
            </w:pPr>
            <w:r>
              <w:t xml:space="preserve">The</w:t>
            </w:r>
            <w:r>
              <w:t xml:space="preserve"> </w:t>
            </w:r>
            <m:oMath>
              <m:r>
                <m:t>k</m:t>
              </m:r>
            </m:oMath>
            <w:r>
              <w:t xml:space="preserve">-th smallest round-trip time from the leader to its followers, including the followers’ flush</w:t>
            </w:r>
          </w:p>
        </w:tc>
        <w:tc>
          <w:tcPr/>
          <w:p>
            <w:pPr>
              <w:pStyle w:val="Compact"/>
              <w:jc w:val="left"/>
            </w:pPr>
            <w:r>
              <w:t xml:space="preserve">ms</w:t>
            </w:r>
          </w:p>
        </w:tc>
      </w:tr>
      <w:tr>
        <w:tc>
          <w:tcPr/>
          <w:p>
            <w:pPr>
              <w:pStyle w:val="Compact"/>
              <w:jc w:val="left"/>
            </w:pPr>
            <m:oMath>
              <m:r>
                <m:t>q</m:t>
              </m:r>
            </m:oMath>
          </w:p>
        </w:tc>
        <w:tc>
          <w:tcPr/>
          <w:p>
            <w:pPr>
              <w:pStyle w:val="Compact"/>
              <w:jc w:val="left"/>
            </w:pPr>
            <w:r>
              <w:t xml:space="preserve">Quorum size</w:t>
            </w:r>
          </w:p>
        </w:tc>
        <w:tc>
          <w:tcPr/>
          <w:p>
            <w:pPr>
              <w:pStyle w:val="Compact"/>
              <w:jc w:val="left"/>
            </w:pPr>
            <w:r>
              <w:t xml:space="preserve">nodes</w:t>
            </w:r>
          </w:p>
        </w:tc>
      </w:tr>
    </w:tbl>
    <w:p>
      <w:pPr>
        <w:pStyle w:val="CalloutExample"/>
      </w:pPr>
      <w:r>
        <w:rPr>
          <w:bCs/>
          <w:b/>
        </w:rPr>
        <w:t xml:space="preserve">WORKED EXAMPLE</w:t>
      </w:r>
    </w:p>
    <w:p>
      <w:pPr>
        <w:pStyle w:val="CalloutExample"/>
      </w:pPr>
      <w:r>
        <w:rPr>
          <w:bCs/>
          <w:b/>
        </w:rPr>
        <w:t xml:space="preserve">Worked example — a cluster spread across regions.</w:t>
      </w:r>
      <w:r>
        <w:t xml:space="preserve"> </w:t>
      </w:r>
      <w:r>
        <w:t xml:space="preserve">The leader is in Virginia. Candidate replica sites have round-trip times of 12 ms (Ohio), 25 ms (Montreal), 70 ms (Oregon), 140 ms (Frankfurt), 150 ms (London) and 210 ms (Tokyo). Assume</w:t>
      </w:r>
      <w:r>
        <w:t xml:space="preserve"> </w:t>
      </w:r>
      <m:oMath>
        <m:sSub>
          <m:e>
            <m:r>
              <m:t>t</m:t>
            </m:r>
          </m:e>
          <m:sub>
            <m:r>
              <m:rPr>
                <m:nor/>
                <m:sty m:val="p"/>
              </m:rPr>
              <m:t>fsync</m:t>
            </m:r>
          </m:sub>
        </m:sSub>
        <m:r>
          <m:rPr>
            <m:sty m:val="p"/>
          </m:rPr>
          <m:t>=</m:t>
        </m:r>
        <m:r>
          <m:t>1</m:t>
        </m:r>
      </m:oMath>
      <w:r>
        <w:t xml:space="preserve"> </w:t>
      </w:r>
      <w:r>
        <w:t xml:space="preserve">ms.</w:t>
      </w:r>
    </w:p>
    <w:p>
      <w:pPr>
        <w:numPr>
          <w:ilvl w:val="0"/>
          <w:numId w:val="1836"/>
        </w:numPr>
        <w:pStyle w:val="Compact"/>
      </w:pPr>
      <m:oMath>
        <m:r>
          <m:t>N</m:t>
        </m:r>
        <m:r>
          <m:rPr>
            <m:sty m:val="p"/>
          </m:rPr>
          <m:t>=</m:t>
        </m:r>
        <m:r>
          <m:t>3</m:t>
        </m:r>
      </m:oMath>
      <w:r>
        <w:t xml:space="preserve"> </w:t>
      </w:r>
      <w:r>
        <w:t xml:space="preserve">(Virginia, Ohio, Montreal):</w:t>
      </w:r>
      <w:r>
        <w:t xml:space="preserve"> </w:t>
      </w:r>
      <m:oMath>
        <m:r>
          <m:t>q</m:t>
        </m:r>
        <m:r>
          <m:rPr>
            <m:sty m:val="p"/>
          </m:rPr>
          <m:t>−</m:t>
        </m:r>
        <m:r>
          <m:t>1</m:t>
        </m:r>
        <m:r>
          <m:rPr>
            <m:sty m:val="p"/>
          </m:rPr>
          <m:t>=</m:t>
        </m:r>
        <m:r>
          <m:t>1</m:t>
        </m:r>
      </m:oMath>
      <w:r>
        <w:t xml:space="preserve"> </w:t>
      </w:r>
      <w:r>
        <w:t xml:space="preserve">follower needed; fastest RTT is 12 ms;</w:t>
      </w:r>
      <w:r>
        <w:t xml:space="preserve"> </w:t>
      </w:r>
      <m:oMath>
        <m:r>
          <m:t>L</m:t>
        </m:r>
        <m:r>
          <m:rPr>
            <m:sty m:val="p"/>
          </m:rPr>
          <m:t>≈</m:t>
        </m:r>
        <m:r>
          <m:t>1</m:t>
        </m:r>
        <m:r>
          <m:rPr>
            <m:sty m:val="p"/>
          </m:rPr>
          <m:t>+</m:t>
        </m:r>
        <m:r>
          <m:t>12</m:t>
        </m:r>
        <m:r>
          <m:rPr>
            <m:sty m:val="p"/>
          </m:rPr>
          <m:t>=</m:t>
        </m:r>
        <m:r>
          <m:t>13</m:t>
        </m:r>
      </m:oMath>
      <w:r>
        <w:t xml:space="preserve"> </w:t>
      </w:r>
      <w:r>
        <w:t xml:space="preserve">ms.</w:t>
      </w:r>
    </w:p>
    <w:p>
      <w:pPr>
        <w:numPr>
          <w:ilvl w:val="0"/>
          <w:numId w:val="1836"/>
        </w:numPr>
        <w:pStyle w:val="Compact"/>
      </w:pPr>
      <m:oMath>
        <m:r>
          <m:t>N</m:t>
        </m:r>
        <m:r>
          <m:rPr>
            <m:sty m:val="p"/>
          </m:rPr>
          <m:t>=</m:t>
        </m:r>
        <m:r>
          <m:t>5</m:t>
        </m:r>
      </m:oMath>
      <w:r>
        <w:t xml:space="preserve"> </w:t>
      </w:r>
      <w:r>
        <w:t xml:space="preserve">(add Oregon, Frankfurt):</w:t>
      </w:r>
      <w:r>
        <w:t xml:space="preserve"> </w:t>
      </w:r>
      <m:oMath>
        <m:r>
          <m:t>q</m:t>
        </m:r>
        <m:r>
          <m:rPr>
            <m:sty m:val="p"/>
          </m:rPr>
          <m:t>−</m:t>
        </m:r>
        <m:r>
          <m:t>1</m:t>
        </m:r>
        <m:r>
          <m:rPr>
            <m:sty m:val="p"/>
          </m:rPr>
          <m:t>=</m:t>
        </m:r>
        <m:r>
          <m:t>2</m:t>
        </m:r>
      </m:oMath>
      <w:r>
        <w:t xml:space="preserve">; second-fastest is 25 ms;</w:t>
      </w:r>
      <w:r>
        <w:t xml:space="preserve"> </w:t>
      </w:r>
      <m:oMath>
        <m:r>
          <m:t>L</m:t>
        </m:r>
        <m:r>
          <m:rPr>
            <m:sty m:val="p"/>
          </m:rPr>
          <m:t>≈</m:t>
        </m:r>
        <m:r>
          <m:t>26</m:t>
        </m:r>
      </m:oMath>
      <w:r>
        <w:t xml:space="preserve"> </w:t>
      </w:r>
      <w:r>
        <w:t xml:space="preserve">ms.</w:t>
      </w:r>
    </w:p>
    <w:p>
      <w:pPr>
        <w:numPr>
          <w:ilvl w:val="0"/>
          <w:numId w:val="1836"/>
        </w:numPr>
        <w:pStyle w:val="Compact"/>
      </w:pPr>
      <m:oMath>
        <m:r>
          <m:t>N</m:t>
        </m:r>
        <m:r>
          <m:rPr>
            <m:sty m:val="p"/>
          </m:rPr>
          <m:t>=</m:t>
        </m:r>
        <m:r>
          <m:t>7</m:t>
        </m:r>
      </m:oMath>
      <w:r>
        <w:t xml:space="preserve"> </w:t>
      </w:r>
      <w:r>
        <w:t xml:space="preserve">(add London, Tokyo):</w:t>
      </w:r>
      <w:r>
        <w:t xml:space="preserve"> </w:t>
      </w:r>
      <m:oMath>
        <m:r>
          <m:t>q</m:t>
        </m:r>
        <m:r>
          <m:rPr>
            <m:sty m:val="p"/>
          </m:rPr>
          <m:t>−</m:t>
        </m:r>
        <m:r>
          <m:t>1</m:t>
        </m:r>
        <m:r>
          <m:rPr>
            <m:sty m:val="p"/>
          </m:rPr>
          <m:t>=</m:t>
        </m:r>
        <m:r>
          <m:t>3</m:t>
        </m:r>
      </m:oMath>
      <w:r>
        <w:t xml:space="preserve">; third-fastest is 70 ms;</w:t>
      </w:r>
      <w:r>
        <w:t xml:space="preserve"> </w:t>
      </w:r>
      <m:oMath>
        <m:r>
          <m:t>L</m:t>
        </m:r>
        <m:r>
          <m:rPr>
            <m:sty m:val="p"/>
          </m:rPr>
          <m:t>≈</m:t>
        </m:r>
        <m:r>
          <m:t>71</m:t>
        </m:r>
      </m:oMath>
      <w:r>
        <w:t xml:space="preserve"> </w:t>
      </w:r>
      <w:r>
        <w:t xml:space="preserve">ms.</w:t>
      </w:r>
    </w:p>
    <w:p>
      <w:pPr>
        <w:pStyle w:val="CalloutExample"/>
      </w:pPr>
      <w:r>
        <w:rPr>
          <w:bCs/>
          <w:b/>
        </w:rPr>
        <w:t xml:space="preserve">Interpretation.</w:t>
      </w:r>
      <w:r>
        <w:t xml:space="preserve"> </w:t>
      </w:r>
      <w:r>
        <w:t xml:space="preserve">Going from 3 to 7 replicas multiplies commit latency by about 5.5, because the quorum must now reach across the continent.</w:t>
      </w:r>
      <w:r>
        <w:t xml:space="preserve"> </w:t>
      </w:r>
      <w:r>
        <w:rPr>
          <w:bCs/>
          <w:b/>
        </w:rPr>
        <w:t xml:space="preserve">Engineering implication.</w:t>
      </w:r>
      <w:r>
        <w:t xml:space="preserve"> </w:t>
      </w:r>
      <w:r>
        <w:t xml:space="preserve">Choose voter placement as carefully as voter count, for example 5 voters in three nearby regions (2 + 2 + 1), and place the leader where</w:t>
      </w:r>
      <w:r>
        <w:t xml:space="preserve"> </w:t>
      </w:r>
      <m:oMath>
        <m:sSub>
          <m:e>
            <m:r>
              <m:rPr>
                <m:sty m:val="p"/>
              </m:rPr>
              <m:t>R</m:t>
            </m:r>
            <m:r>
              <m:rPr>
                <m:sty m:val="p"/>
              </m:rPr>
              <m:t>T</m:t>
            </m:r>
            <m:r>
              <m:rPr>
                <m:sty m:val="p"/>
              </m:rPr>
              <m:t>T</m:t>
            </m:r>
          </m:e>
          <m:sub>
            <m:d>
              <m:dPr>
                <m:begChr m:val="("/>
                <m:endChr m:val=")"/>
                <m:sepChr m:val=""/>
                <m:grow/>
              </m:dPr>
              <m:e>
                <m:r>
                  <m:t>q</m:t>
                </m:r>
                <m:r>
                  <m:rPr>
                    <m:sty m:val="p"/>
                  </m:rPr>
                  <m:t>−</m:t>
                </m:r>
                <m:r>
                  <m:t>1</m:t>
                </m:r>
              </m:e>
            </m:d>
          </m:sub>
        </m:sSub>
      </m:oMath>
      <w:r>
        <w:t xml:space="preserve"> </w:t>
      </w:r>
      <w:r>
        <w:t xml:space="preserve">is smallest.</w:t>
      </w:r>
    </w:p>
    <w:bookmarkEnd w:id="2899"/>
    <w:bookmarkStart w:id="2900" w:name="flexible-quorums"/>
    <w:p>
      <w:pPr>
        <w:pStyle w:val="Heading3"/>
      </w:pPr>
      <w:r>
        <w:t xml:space="preserve">26.4.3 Flexible quorums</w:t>
      </w:r>
    </w:p>
    <w:p>
      <w:pPr>
        <w:pStyle w:val="FirstParagraph"/>
      </w:pPr>
      <w:r>
        <w:t xml:space="preserve">A majority is sufficient for intersection, but it is not</w:t>
      </w:r>
      <w:r>
        <w:t xml:space="preserve"> </w:t>
      </w:r>
      <w:r>
        <w:rPr>
          <w:iCs/>
          <w:i/>
        </w:rPr>
        <w:t xml:space="preserve">necessary</w:t>
      </w:r>
      <w:r>
        <w:t xml:space="preserve">. Howard, Malkhi and Spiegelman observed that Paxos uses quorums in two different phases:</w:t>
      </w:r>
      <w:r>
        <w:t xml:space="preserve"> </w:t>
      </w:r>
      <w:r>
        <w:rPr>
          <w:bCs/>
          <w:b/>
        </w:rPr>
        <w:t xml:space="preserve">phase 1</w:t>
      </w:r>
      <w:r>
        <w:t xml:space="preserve"> </w:t>
      </w:r>
      <w:r>
        <w:t xml:space="preserve">(leader election,</w:t>
      </w:r>
      <w:r>
        <w:t xml:space="preserve"> </w:t>
      </w:r>
      <w:r>
        <w:t xml:space="preserve">“</w:t>
      </w:r>
      <w:r>
        <w:t xml:space="preserve">who is in charge and what might already be decided?</w:t>
      </w:r>
      <w:r>
        <w:t xml:space="preserve">”</w:t>
      </w:r>
      <w:r>
        <w:t xml:space="preserve">) and</w:t>
      </w:r>
      <w:r>
        <w:t xml:space="preserve"> </w:t>
      </w:r>
      <w:r>
        <w:rPr>
          <w:bCs/>
          <w:b/>
        </w:rPr>
        <w:t xml:space="preserve">phase 2</w:t>
      </w:r>
      <w:r>
        <w:t xml:space="preserve"> </w:t>
      </w:r>
      <w:r>
        <w:t xml:space="preserve">(replication,</w:t>
      </w:r>
      <w:r>
        <w:t xml:space="preserve"> </w:t>
      </w:r>
      <w:r>
        <w:t xml:space="preserve">“</w:t>
      </w:r>
      <w:r>
        <w:t xml:space="preserve">store this value</w:t>
      </w:r>
      <w:r>
        <w:t xml:space="preserve">”</w:t>
      </w:r>
      <w:r>
        <w:t xml:space="preserve">). Safety only requires that</w:t>
      </w:r>
      <w:r>
        <w:t xml:space="preserve"> </w:t>
      </w:r>
      <w:r>
        <w:rPr>
          <w:iCs/>
          <w:i/>
        </w:rPr>
        <w:t xml:space="preserve">every phase-1 quorum intersects every phase-2 quorum</w:t>
      </w:r>
      <w:r>
        <w:t xml:space="preserve">; two phase-2 quorums need not intersect, because only one leader issues phase-2 requests for a given proposal number [Howard, Malkhi and Spiegelman 2016].</w:t>
      </w:r>
    </w:p>
    <w:p>
      <w:pPr>
        <w:pStyle w:val="CalloutFormula"/>
      </w:pPr>
      <w:r>
        <w:rPr>
          <w:bCs/>
          <w:b/>
        </w:rPr>
        <w:t xml:space="preserve">FORMULA</w:t>
      </w:r>
    </w:p>
    <w:p>
      <w:pPr>
        <w:pStyle w:val="CalloutFormula"/>
      </w:pPr>
      <w:r>
        <w:rPr>
          <w:bCs/>
          <w:b/>
        </w:rPr>
        <w:t xml:space="preserve">Flexible Paxos quorum condition</w:t>
      </w:r>
    </w:p>
    <w:p>
      <w:pPr>
        <w:pStyle w:val="CalloutFormula"/>
      </w:pPr>
      <m:oMathPara>
        <m:oMathParaPr>
          <m:jc m:val="center"/>
        </m:oMathParaPr>
        <m:oMath>
          <m:d>
            <m:dPr>
              <m:begChr m:val="|"/>
              <m:endChr m:val="|"/>
              <m:sepChr m:val=""/>
              <m:grow/>
            </m:dPr>
            <m:e>
              <m:sSub>
                <m:e>
                  <m:r>
                    <m:t>Q</m:t>
                  </m:r>
                </m:e>
                <m:sub>
                  <m:r>
                    <m:t>1</m:t>
                  </m:r>
                </m:sub>
              </m:sSub>
            </m:e>
          </m:d>
          <m:r>
            <m:rPr>
              <m:sty m:val="p"/>
            </m:rPr>
            <m:t>+</m:t>
          </m:r>
          <m:d>
            <m:dPr>
              <m:begChr m:val="|"/>
              <m:endChr m:val="|"/>
              <m:sepChr m:val=""/>
              <m:grow/>
            </m:dPr>
            <m:e>
              <m:sSub>
                <m:e>
                  <m:r>
                    <m:t>Q</m:t>
                  </m:r>
                </m:e>
                <m:sub>
                  <m:r>
                    <m:t>2</m:t>
                  </m:r>
                </m:sub>
              </m:sSub>
            </m:e>
          </m:d>
          <m:r>
            <m:rPr>
              <m:sty m:val="p"/>
            </m:rPr>
            <m:t>&gt;</m:t>
          </m:r>
          <m:r>
            <m:t>N</m:t>
          </m:r>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rPr>
                  <m:sty m:val="p"/>
                </m:rPr>
                <m:t>|</m:t>
              </m:r>
              <m:sSub>
                <m:e>
                  <m:r>
                    <m:t>Q</m:t>
                  </m:r>
                </m:e>
                <m:sub>
                  <m:r>
                    <m:t>1</m:t>
                  </m:r>
                </m:sub>
              </m:sSub>
              <m:r>
                <m:rPr>
                  <m:sty m:val="p"/>
                </m:rPr>
                <m:t>|</m:t>
              </m:r>
            </m:oMath>
          </w:p>
        </w:tc>
        <w:tc>
          <w:tcPr/>
          <w:p>
            <w:pPr>
              <w:pStyle w:val="Compact"/>
              <w:jc w:val="left"/>
            </w:pPr>
            <w:r>
              <w:t xml:space="preserve">Size of a leader-election (phase-1) quorum</w:t>
            </w:r>
          </w:p>
        </w:tc>
        <w:tc>
          <w:tcPr/>
          <w:p>
            <w:pPr>
              <w:pStyle w:val="Compact"/>
              <w:jc w:val="left"/>
            </w:pPr>
            <w:r>
              <w:t xml:space="preserve">nodes</w:t>
            </w:r>
          </w:p>
        </w:tc>
      </w:tr>
      <w:tr>
        <w:tc>
          <w:tcPr/>
          <w:p>
            <w:pPr>
              <w:pStyle w:val="Compact"/>
              <w:jc w:val="left"/>
            </w:pPr>
            <m:oMath>
              <m:r>
                <m:rPr>
                  <m:sty m:val="p"/>
                </m:rPr>
                <m:t>|</m:t>
              </m:r>
              <m:sSub>
                <m:e>
                  <m:r>
                    <m:t>Q</m:t>
                  </m:r>
                </m:e>
                <m:sub>
                  <m:r>
                    <m:t>2</m:t>
                  </m:r>
                </m:sub>
              </m:sSub>
              <m:r>
                <m:rPr>
                  <m:sty m:val="p"/>
                </m:rPr>
                <m:t>|</m:t>
              </m:r>
            </m:oMath>
          </w:p>
        </w:tc>
        <w:tc>
          <w:tcPr/>
          <w:p>
            <w:pPr>
              <w:pStyle w:val="Compact"/>
              <w:jc w:val="left"/>
            </w:pPr>
            <w:r>
              <w:t xml:space="preserve">Size of a replication (phase-2) quorum</w:t>
            </w:r>
          </w:p>
        </w:tc>
        <w:tc>
          <w:tcPr/>
          <w:p>
            <w:pPr>
              <w:pStyle w:val="Compact"/>
              <w:jc w:val="left"/>
            </w:pPr>
            <w:r>
              <w:t xml:space="preserve">nodes</w:t>
            </w:r>
          </w:p>
        </w:tc>
      </w:tr>
      <w:tr>
        <w:tc>
          <w:tcPr/>
          <w:p>
            <w:pPr>
              <w:pStyle w:val="Compact"/>
              <w:jc w:val="left"/>
            </w:pPr>
            <m:oMath>
              <m:r>
                <m:t>N</m:t>
              </m:r>
            </m:oMath>
          </w:p>
        </w:tc>
        <w:tc>
          <w:tcPr/>
          <w:p>
            <w:pPr>
              <w:pStyle w:val="Compact"/>
              <w:jc w:val="left"/>
            </w:pPr>
            <w:r>
              <w:t xml:space="preserve">Number of acceptors</w:t>
            </w:r>
          </w:p>
        </w:tc>
        <w:tc>
          <w:tcPr/>
          <w:p>
            <w:pPr>
              <w:pStyle w:val="Compact"/>
              <w:jc w:val="left"/>
            </w:pPr>
            <w:r>
              <w:t xml:space="preserve">nodes</w:t>
            </w:r>
          </w:p>
        </w:tc>
      </w:tr>
    </w:tbl>
    <w:p>
      <w:pPr>
        <w:pStyle w:val="CalloutExample"/>
      </w:pPr>
      <w:r>
        <w:rPr>
          <w:bCs/>
          <w:b/>
        </w:rPr>
        <w:t xml:space="preserve">WORKED EXAMPLE</w:t>
      </w:r>
    </w:p>
    <w:p>
      <w:pPr>
        <w:pStyle w:val="CalloutExample"/>
      </w:pPr>
      <w:r>
        <w:rPr>
          <w:bCs/>
          <w:b/>
        </w:rPr>
        <w:t xml:space="preserve">Worked example — 7 acceptors.</w:t>
      </w:r>
    </w:p>
    <w:p>
      <w:pPr>
        <w:numPr>
          <w:ilvl w:val="0"/>
          <w:numId w:val="1837"/>
        </w:numPr>
        <w:pStyle w:val="Compact"/>
      </w:pPr>
      <w:r>
        <w:t xml:space="preserve">Majority quorums:</w:t>
      </w:r>
      <w:r>
        <w:t xml:space="preserve"> </w:t>
      </w:r>
      <m:oMath>
        <m:d>
          <m:dPr>
            <m:begChr m:val="|"/>
            <m:endChr m:val="|"/>
            <m:sepChr m:val=""/>
            <m:grow/>
          </m:dPr>
          <m:e>
            <m:sSub>
              <m:e>
                <m:r>
                  <m:t>Q</m:t>
                </m:r>
              </m:e>
              <m:sub>
                <m:r>
                  <m:t>1</m:t>
                </m:r>
              </m:sub>
            </m:sSub>
          </m:e>
        </m:d>
        <m:r>
          <m:rPr>
            <m:sty m:val="p"/>
          </m:rPr>
          <m:t>=</m:t>
        </m:r>
        <m:d>
          <m:dPr>
            <m:begChr m:val="|"/>
            <m:endChr m:val="|"/>
            <m:sepChr m:val=""/>
            <m:grow/>
          </m:dPr>
          <m:e>
            <m:sSub>
              <m:e>
                <m:r>
                  <m:t>Q</m:t>
                </m:r>
              </m:e>
              <m:sub>
                <m:r>
                  <m:t>2</m:t>
                </m:r>
              </m:sub>
            </m:sSub>
          </m:e>
        </m:d>
        <m:r>
          <m:rPr>
            <m:sty m:val="p"/>
          </m:rPr>
          <m:t>=</m:t>
        </m:r>
        <m:r>
          <m:t>4</m:t>
        </m:r>
      </m:oMath>
      <w:r>
        <w:t xml:space="preserve">;</w:t>
      </w:r>
      <w:r>
        <w:t xml:space="preserve"> </w:t>
      </w:r>
      <m:oMath>
        <m:r>
          <m:t>4</m:t>
        </m:r>
        <m:r>
          <m:rPr>
            <m:sty m:val="p"/>
          </m:rPr>
          <m:t>+</m:t>
        </m:r>
        <m:r>
          <m:t>4</m:t>
        </m:r>
        <m:r>
          <m:rPr>
            <m:sty m:val="p"/>
          </m:rPr>
          <m:t>=</m:t>
        </m:r>
        <m:r>
          <m:t>8</m:t>
        </m:r>
        <m:r>
          <m:rPr>
            <m:sty m:val="p"/>
          </m:rPr>
          <m:t>&gt;</m:t>
        </m:r>
        <m:r>
          <m:t>7</m:t>
        </m:r>
      </m:oMath>
      <w:r>
        <w:t xml:space="preserve">. Each write waits for 3 followers; elections and replication each tolerate 3 failures.</w:t>
      </w:r>
    </w:p>
    <w:p>
      <w:pPr>
        <w:numPr>
          <w:ilvl w:val="0"/>
          <w:numId w:val="1837"/>
        </w:numPr>
        <w:pStyle w:val="Compact"/>
      </w:pPr>
      <w:r>
        <w:t xml:space="preserve">Flexible choice:</w:t>
      </w:r>
      <w:r>
        <w:t xml:space="preserve"> </w:t>
      </w:r>
      <m:oMath>
        <m:d>
          <m:dPr>
            <m:begChr m:val="|"/>
            <m:endChr m:val="|"/>
            <m:sepChr m:val=""/>
            <m:grow/>
          </m:dPr>
          <m:e>
            <m:sSub>
              <m:e>
                <m:r>
                  <m:t>Q</m:t>
                </m:r>
              </m:e>
              <m:sub>
                <m:r>
                  <m:t>2</m:t>
                </m:r>
              </m:sub>
            </m:sSub>
          </m:e>
        </m:d>
        <m:r>
          <m:rPr>
            <m:sty m:val="p"/>
          </m:rPr>
          <m:t>=</m:t>
        </m:r>
        <m:r>
          <m:t>3</m:t>
        </m:r>
      </m:oMath>
      <w:r>
        <w:t xml:space="preserve">, so</w:t>
      </w:r>
      <w:r>
        <w:t xml:space="preserve"> </w:t>
      </w:r>
      <m:oMath>
        <m:d>
          <m:dPr>
            <m:begChr m:val="|"/>
            <m:endChr m:val="|"/>
            <m:sepChr m:val=""/>
            <m:grow/>
          </m:dPr>
          <m:e>
            <m:sSub>
              <m:e>
                <m:r>
                  <m:t>Q</m:t>
                </m:r>
              </m:e>
              <m:sub>
                <m:r>
                  <m:t>1</m:t>
                </m:r>
              </m:sub>
            </m:sSub>
          </m:e>
        </m:d>
        <m:r>
          <m:rPr>
            <m:sty m:val="p"/>
          </m:rPr>
          <m:t>≥</m:t>
        </m:r>
        <m:r>
          <m:t>7</m:t>
        </m:r>
        <m:r>
          <m:rPr>
            <m:sty m:val="p"/>
          </m:rPr>
          <m:t>−</m:t>
        </m:r>
        <m:r>
          <m:t>3</m:t>
        </m:r>
        <m:r>
          <m:rPr>
            <m:sty m:val="p"/>
          </m:rPr>
          <m:t>+</m:t>
        </m:r>
        <m:r>
          <m:t>1</m:t>
        </m:r>
        <m:r>
          <m:rPr>
            <m:sty m:val="p"/>
          </m:rPr>
          <m:t>=</m:t>
        </m:r>
        <m:r>
          <m:t>5</m:t>
        </m:r>
      </m:oMath>
      <w:r>
        <w:t xml:space="preserve">. Check:</w:t>
      </w:r>
      <w:r>
        <w:t xml:space="preserve"> </w:t>
      </w:r>
      <m:oMath>
        <m:r>
          <m:t>3</m:t>
        </m:r>
        <m:r>
          <m:rPr>
            <m:sty m:val="p"/>
          </m:rPr>
          <m:t>+</m:t>
        </m:r>
        <m:r>
          <m:t>5</m:t>
        </m:r>
        <m:r>
          <m:rPr>
            <m:sty m:val="p"/>
          </m:rPr>
          <m:t>=</m:t>
        </m:r>
        <m:r>
          <m:t>8</m:t>
        </m:r>
        <m:r>
          <m:rPr>
            <m:sty m:val="p"/>
          </m:rPr>
          <m:t>&gt;</m:t>
        </m:r>
        <m:r>
          <m:t>7</m:t>
        </m:r>
      </m:oMath>
      <w:r>
        <w:t xml:space="preserve">.</w:t>
      </w:r>
    </w:p>
    <w:p>
      <w:pPr>
        <w:numPr>
          <w:ilvl w:val="0"/>
          <w:numId w:val="1837"/>
        </w:numPr>
        <w:pStyle w:val="Compact"/>
      </w:pPr>
      <w:r>
        <w:t xml:space="preserve">With a stable leader, each write now waits for only 2 followers (the second-fastest RTT instead of the third), and replication continues while the leader and any 2 other nodes are up, tolerating 4 failures among the followers.</w:t>
      </w:r>
    </w:p>
    <w:p>
      <w:pPr>
        <w:numPr>
          <w:ilvl w:val="0"/>
          <w:numId w:val="1837"/>
        </w:numPr>
        <w:pStyle w:val="Compact"/>
      </w:pPr>
      <w:r>
        <w:t xml:space="preserve">A leader change needs 5 of 7 nodes, so it tolerates only 2 failures.</w:t>
      </w:r>
    </w:p>
    <w:p>
      <w:pPr>
        <w:pStyle w:val="CalloutExample"/>
      </w:pPr>
      <w:r>
        <w:rPr>
          <w:bCs/>
          <w:b/>
        </w:rPr>
        <w:t xml:space="preserve">Interpretation.</w:t>
      </w:r>
      <w:r>
        <w:t xml:space="preserve"> </w:t>
      </w:r>
      <w:r>
        <w:t xml:space="preserve">Flexible quorums move fault tolerance from the rare path (elections) to the common path (writes).</w:t>
      </w:r>
      <w:r>
        <w:t xml:space="preserve"> </w:t>
      </w:r>
      <w:r>
        <w:rPr>
          <w:bCs/>
          <w:b/>
        </w:rPr>
        <w:t xml:space="preserve">Engineering implication.</w:t>
      </w:r>
      <w:r>
        <w:t xml:space="preserve"> </w:t>
      </w:r>
      <w:r>
        <w:t xml:space="preserve">Useful when leader changes are rare and write latency dominates; risky when failures are correlated (a zone loss kills the leader</w:t>
      </w:r>
      <w:r>
        <w:t xml:space="preserve"> </w:t>
      </w:r>
      <w:r>
        <w:rPr>
          <w:iCs/>
          <w:i/>
        </w:rPr>
        <w:t xml:space="preserve">and</w:t>
      </w:r>
      <w:r>
        <w:t xml:space="preserve"> </w:t>
      </w:r>
      <w:r>
        <w:t xml:space="preserve">several nodes), so most production systems keep majorities.</w:t>
      </w:r>
    </w:p>
    <w:bookmarkEnd w:id="2900"/>
    <w:bookmarkEnd w:id="2901"/>
    <w:bookmarkStart w:id="2909" w:name="leader-election"/>
    <w:p>
      <w:pPr>
        <w:pStyle w:val="Heading2"/>
      </w:pPr>
      <w:r>
        <w:t xml:space="preserve">26.5 Leader election</w:t>
      </w:r>
    </w:p>
    <w:bookmarkStart w:id="2907" w:name="election-algorithms"/>
    <w:p>
      <w:pPr>
        <w:pStyle w:val="Heading3"/>
      </w:pPr>
      <w:r>
        <w:t xml:space="preserve">26.5.1 Election algorithms</w:t>
      </w:r>
    </w:p>
    <w:p>
      <w:pPr>
        <w:pStyle w:val="CalloutDefinition"/>
      </w:pPr>
      <w:r>
        <w:rPr>
          <w:bCs/>
          <w:b/>
        </w:rPr>
        <w:t xml:space="preserve">DEFINITION</w:t>
      </w:r>
    </w:p>
    <w:p>
      <w:pPr>
        <w:pStyle w:val="CalloutDefinition"/>
      </w:pPr>
      <w:r>
        <w:rPr>
          <w:bCs/>
          <w:b/>
        </w:rPr>
        <w:t xml:space="preserve">Definition — Leader election.</w:t>
      </w:r>
      <w:r>
        <w:t xml:space="preserve"> </w:t>
      </w:r>
      <w:r>
        <w:t xml:space="preserve">A protocol by which the nodes of a group choose one node, the</w:t>
      </w:r>
      <w:r>
        <w:t xml:space="preserve"> </w:t>
      </w:r>
      <w:r>
        <w:rPr>
          <w:bCs/>
          <w:b/>
        </w:rPr>
        <w:t xml:space="preserve">leader</w:t>
      </w:r>
      <w:r>
        <w:t xml:space="preserve">, to coordinate some activity (ordering writes, running a scheduler, owning a partition), and choose a replacement when it fails. The goal is</w:t>
      </w:r>
      <w:r>
        <w:t xml:space="preserve"> </w:t>
      </w:r>
      <w:r>
        <w:rPr>
          <w:iCs/>
          <w:i/>
        </w:rPr>
        <w:t xml:space="preserve">at most one</w:t>
      </w:r>
      <w:r>
        <w:t xml:space="preserve"> </w:t>
      </w:r>
      <w:r>
        <w:t xml:space="preserve">leader at a time (safety) and</w:t>
      </w:r>
      <w:r>
        <w:t xml:space="preserve"> </w:t>
      </w:r>
      <w:r>
        <w:rPr>
          <w:iCs/>
          <w:i/>
        </w:rPr>
        <w:t xml:space="preserve">eventually some</w:t>
      </w:r>
      <w:r>
        <w:t xml:space="preserve"> </w:t>
      </w:r>
      <w:r>
        <w:t xml:space="preserve">leader (liveness).</w:t>
      </w:r>
    </w:p>
    <w:bookmarkStart w:id="2902" w:name="why-does-this-exist-88"/>
    <w:p>
      <w:pPr>
        <w:pStyle w:val="Heading4"/>
      </w:pPr>
      <w:r>
        <w:t xml:space="preserve">Why does this exist?</w:t>
      </w:r>
    </w:p>
    <w:p>
      <w:pPr>
        <w:pStyle w:val="FirstParagraph"/>
      </w:pPr>
      <w:r>
        <w:t xml:space="preserve">Most replicated systems are far simpler with one coordinator. A single leader can order writes without conflicts, assign work without double assignment, and answer</w:t>
      </w:r>
      <w:r>
        <w:t xml:space="preserve"> </w:t>
      </w:r>
      <w:r>
        <w:t xml:space="preserve">“</w:t>
      </w:r>
      <w:r>
        <w:t xml:space="preserve">what is the latest value?</w:t>
      </w:r>
      <w:r>
        <w:t xml:space="preserve">”</w:t>
      </w:r>
      <w:r>
        <w:t xml:space="preserve"> </w:t>
      </w:r>
      <w:r>
        <w:t xml:space="preserve">from its own memory. The cost is that the leader is a single point of failure, so the group needs a way to replace it quickly and without ever having two.</w:t>
      </w:r>
    </w:p>
    <w:bookmarkEnd w:id="2902"/>
    <w:bookmarkStart w:id="2906" w:name="Xb5e513b9b81efdc176bc092659bdf743117850e"/>
    <w:p>
      <w:pPr>
        <w:pStyle w:val="Heading4"/>
      </w:pPr>
      <w:r>
        <w:t xml:space="preserve">How it works internally: three classic approaches</w:t>
      </w:r>
    </w:p>
    <w:p>
      <w:pPr>
        <w:numPr>
          <w:ilvl w:val="0"/>
          <w:numId w:val="1838"/>
        </w:numPr>
        <w:pStyle w:val="Compact"/>
      </w:pPr>
      <w:r>
        <w:rPr>
          <w:bCs/>
          <w:b/>
        </w:rPr>
        <w:t xml:space="preserve">Bully algorithm</w:t>
      </w:r>
      <w:r>
        <w:t xml:space="preserve"> </w:t>
      </w:r>
      <w:r>
        <w:t xml:space="preserve">[Garcia-Molina 1982]. A node that suspects the leader has failed sends</w:t>
      </w:r>
      <w:r>
        <w:t xml:space="preserve"> </w:t>
      </w:r>
      <w:r>
        <w:rPr>
          <w:rStyle w:val="VerbatimChar"/>
        </w:rPr>
        <w:t xml:space="preserve">ELECTION</w:t>
      </w:r>
      <w:r>
        <w:t xml:space="preserve"> </w:t>
      </w:r>
      <w:r>
        <w:t xml:space="preserve">to all higher-ID nodes. If none answers within a timeout, it announces itself with</w:t>
      </w:r>
      <w:r>
        <w:t xml:space="preserve"> </w:t>
      </w:r>
      <w:r>
        <w:rPr>
          <w:rStyle w:val="VerbatimChar"/>
        </w:rPr>
        <w:t xml:space="preserve">COORDINATOR</w:t>
      </w:r>
      <w:r>
        <w:t xml:space="preserve">; otherwise a higher node takes over. The highest-ID live node wins. Worst case</w:t>
      </w:r>
      <w:r>
        <w:t xml:space="preserve"> </w:t>
      </w:r>
      <m:oMath>
        <m:r>
          <m:t>O</m:t>
        </m:r>
        <m:d>
          <m:dPr>
            <m:begChr m:val="("/>
            <m:endChr m:val=")"/>
            <m:sepChr m:val=""/>
            <m:grow/>
          </m:dPr>
          <m:e>
            <m:sSup>
              <m:e>
                <m:r>
                  <m:t>n</m:t>
                </m:r>
              </m:e>
              <m:sup>
                <m:r>
                  <m:t>2</m:t>
                </m:r>
              </m:sup>
            </m:sSup>
          </m:e>
        </m:d>
      </m:oMath>
      <w:r>
        <w:t xml:space="preserve"> </w:t>
      </w:r>
      <w:r>
        <w:t xml:space="preserve">messages; it assumes reliable failure detection, which real networks do not provide.</w:t>
      </w:r>
    </w:p>
    <w:p>
      <w:pPr>
        <w:numPr>
          <w:ilvl w:val="0"/>
          <w:numId w:val="1838"/>
        </w:numPr>
        <w:pStyle w:val="Compact"/>
      </w:pPr>
      <w:r>
        <w:rPr>
          <w:bCs/>
          <w:b/>
        </w:rPr>
        <w:t xml:space="preserve">Ring algorithm</w:t>
      </w:r>
      <w:r>
        <w:t xml:space="preserve"> </w:t>
      </w:r>
      <w:r>
        <w:t xml:space="preserve">[Chang and Roberts 1979]. IDs travel clockwise around a logical ring; each node forwards only IDs larger than its own. A node that receives its own ID back is the maximum and announces itself. Average</w:t>
      </w:r>
      <w:r>
        <w:t xml:space="preserve"> </w:t>
      </w:r>
      <m:oMath>
        <m:r>
          <m:t>O</m:t>
        </m:r>
        <m:d>
          <m:dPr>
            <m:begChr m:val="("/>
            <m:endChr m:val=")"/>
            <m:sepChr m:val=""/>
            <m:grow/>
          </m:dPr>
          <m:e>
            <m:r>
              <m:t>n</m:t>
            </m:r>
            <m:r>
              <m:rPr>
                <m:sty m:val="p"/>
              </m:rPr>
              <m:t>log</m:t>
            </m:r>
            <m:r>
              <m:t>n</m:t>
            </m:r>
          </m:e>
        </m:d>
      </m:oMath>
      <w:r>
        <w:t xml:space="preserve"> </w:t>
      </w:r>
      <w:r>
        <w:t xml:space="preserve">messages, worst case</w:t>
      </w:r>
      <w:r>
        <w:t xml:space="preserve"> </w:t>
      </w:r>
      <m:oMath>
        <m:r>
          <m:t>O</m:t>
        </m:r>
        <m:d>
          <m:dPr>
            <m:begChr m:val="("/>
            <m:endChr m:val=")"/>
            <m:sepChr m:val=""/>
            <m:grow/>
          </m:dPr>
          <m:e>
            <m:sSup>
              <m:e>
                <m:r>
                  <m:t>n</m:t>
                </m:r>
              </m:e>
              <m:sup>
                <m:r>
                  <m:t>2</m:t>
                </m:r>
              </m:sup>
            </m:sSup>
          </m:e>
        </m:d>
      </m:oMath>
      <w:r>
        <w:t xml:space="preserve">; a single broken link stalls it.</w:t>
      </w:r>
    </w:p>
    <w:p>
      <w:pPr>
        <w:numPr>
          <w:ilvl w:val="0"/>
          <w:numId w:val="1838"/>
        </w:numPr>
        <w:pStyle w:val="Compact"/>
      </w:pPr>
      <w:r>
        <w:rPr>
          <w:bCs/>
          <w:b/>
        </w:rPr>
        <w:t xml:space="preserve">Lease-based election on a consensus store.</w:t>
      </w:r>
      <w:r>
        <w:t xml:space="preserve"> </w:t>
      </w:r>
      <w:r>
        <w:t xml:space="preserve">Candidates race to create or acquire a key (say</w:t>
      </w:r>
      <w:r>
        <w:t xml:space="preserve"> </w:t>
      </w:r>
      <w:r>
        <w:rPr>
          <w:rStyle w:val="VerbatimChar"/>
        </w:rPr>
        <w:t xml:space="preserve">/services/scheduler/leader</w:t>
      </w:r>
      <w:r>
        <w:t xml:space="preserve">) in ZooKeeper, etcd or Consul. The store, itself replicated by consensus, lets exactly one candidate succeed and attaches a</w:t>
      </w:r>
      <w:r>
        <w:t xml:space="preserve"> </w:t>
      </w:r>
      <w:r>
        <w:rPr>
          <w:bCs/>
          <w:b/>
        </w:rPr>
        <w:t xml:space="preserve">lease</w:t>
      </w:r>
      <w:r>
        <w:t xml:space="preserve"> </w:t>
      </w:r>
      <w:r>
        <w:t xml:space="preserve">(a time-limited grant, §26.11). The winner renews the lease periodically; if it stops, the lease expires and another candidate wins. This is how almost every production system elects leaders today, including Kubernetes controllers (§26.9).</w:t>
      </w:r>
    </w:p>
    <w:p>
      <w:pPr>
        <w:pStyle w:val="FirstParagraph"/>
      </w:pPr>
      <w:r>
        <w:rPr>
          <w:bCs/>
          <w:b/>
        </w:rPr>
        <w:t xml:space="preserve">Figure 26.3 — Lease-based leader election through a coordination service.</w:t>
      </w:r>
    </w:p>
    <w:p>
      <w:pPr>
        <w:pStyle w:val="BodyText"/>
      </w:pPr>
      <w:r>
        <w:drawing>
          <wp:inline>
            <wp:extent cx="5334000" cy="4744182"/>
            <wp:effectExtent b="0" l="0" r="0" t="0"/>
            <wp:docPr descr="" title="" id="2904" name="Picture"/>
            <a:graphic>
              <a:graphicData uri="http://schemas.openxmlformats.org/drawingml/2006/picture">
                <pic:pic>
                  <pic:nvPicPr>
                    <pic:cNvPr descr="/home/user/System-Design/build/.cache/diagrams/7434a96ec287.png" id="2905" name="Picture"/>
                    <pic:cNvPicPr>
                      <a:picLocks noChangeArrowheads="1" noChangeAspect="1"/>
                    </pic:cNvPicPr>
                  </pic:nvPicPr>
                  <pic:blipFill>
                    <a:blip r:embed="rId2903"/>
                    <a:stretch>
                      <a:fillRect/>
                    </a:stretch>
                  </pic:blipFill>
                  <pic:spPr bwMode="auto">
                    <a:xfrm>
                      <a:off x="0" y="0"/>
                      <a:ext cx="5334000" cy="4744182"/>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Both candidates call the coordination store with synchronous RPCs (solid: request; dashed: response). The store is a consensus-backed cluster whose atomic</w:t>
      </w:r>
      <w:r>
        <w:t xml:space="preserve"> </w:t>
      </w:r>
      <w:r>
        <w:t xml:space="preserve">“</w:t>
      </w:r>
      <w:r>
        <w:t xml:space="preserve">create if absent</w:t>
      </w:r>
      <w:r>
        <w:t xml:space="preserve">”</w:t>
      </w:r>
      <w:r>
        <w:t xml:space="preserve"> </w:t>
      </w:r>
      <w:r>
        <w:t xml:space="preserve">guarantees a single winner. A’s lease is renewed every 2 s; when A crashes, nothing deletes the key until the 15 s lease expires. B learns of the expiry through a</w:t>
      </w:r>
      <w:r>
        <w:t xml:space="preserve"> </w:t>
      </w:r>
      <w:r>
        <w:rPr>
          <w:bCs/>
          <w:b/>
        </w:rPr>
        <w:t xml:space="preserve">watch</w:t>
      </w:r>
      <w:r>
        <w:t xml:space="preserve"> </w:t>
      </w:r>
      <w:r>
        <w:t xml:space="preserve">(an asynchronous notification it registered earlier) rather than by polling. The revision numbers (101, 140) increase with every write and can serve as fencing tokens (§26.13). Failure points: if A is merely</w:t>
      </w:r>
      <w:r>
        <w:t xml:space="preserve"> </w:t>
      </w:r>
      <w:r>
        <w:rPr>
          <w:iCs/>
          <w:i/>
        </w:rPr>
        <w:t xml:space="preserve">paused</w:t>
      </w:r>
      <w:r>
        <w:t xml:space="preserve"> </w:t>
      </w:r>
      <w:r>
        <w:t xml:space="preserve">rather than crashed, it may still believe it is leader after its lease expired; the store cannot reach into A to stop it. Scaling: one store cluster can host thousands of election keys for different services.</w:t>
      </w:r>
    </w:p>
    <w:bookmarkEnd w:id="2906"/>
    <w:bookmarkEnd w:id="2907"/>
    <w:bookmarkStart w:id="2908" w:name="why-election-alone-does-not-give-safety"/>
    <w:p>
      <w:pPr>
        <w:pStyle w:val="Heading3"/>
      </w:pPr>
      <w:r>
        <w:t xml:space="preserve">26.5.2 Why election alone does not give safety</w:t>
      </w:r>
    </w:p>
    <w:p>
      <w:pPr>
        <w:pStyle w:val="FirstParagraph"/>
      </w:pPr>
      <w:r>
        <w:t xml:space="preserve">Every algorithm above produces a node that</w:t>
      </w:r>
      <w:r>
        <w:t xml:space="preserve"> </w:t>
      </w:r>
      <w:r>
        <w:rPr>
          <w:iCs/>
          <w:i/>
        </w:rPr>
        <w:t xml:space="preserve">believes</w:t>
      </w:r>
      <w:r>
        <w:t xml:space="preserve"> </w:t>
      </w:r>
      <w:r>
        <w:t xml:space="preserve">it leads; none can make a deposed leader</w:t>
      </w:r>
      <w:r>
        <w:t xml:space="preserve"> </w:t>
      </w:r>
      <w:r>
        <w:rPr>
          <w:iCs/>
          <w:i/>
        </w:rPr>
        <w:t xml:space="preserve">stop believing it</w:t>
      </w:r>
      <w:r>
        <w:t xml:space="preserve">. A partitioned, paused or slow old leader overlaps with its successor, and if both act on shared state you have split brain (§26.12).</w:t>
      </w:r>
    </w:p>
    <w:p>
      <w:pPr>
        <w:pStyle w:val="BodyText"/>
      </w:pPr>
      <w:r>
        <w:t xml:space="preserve">Safe systems therefore add one of two mechanisms on top of election:</w:t>
      </w:r>
    </w:p>
    <w:p>
      <w:pPr>
        <w:numPr>
          <w:ilvl w:val="0"/>
          <w:numId w:val="1839"/>
        </w:numPr>
        <w:pStyle w:val="Compact"/>
      </w:pPr>
      <w:r>
        <w:rPr>
          <w:bCs/>
          <w:b/>
        </w:rPr>
        <w:t xml:space="preserve">Every action is itself checked by a quorum.</w:t>
      </w:r>
      <w:r>
        <w:t xml:space="preserve"> </w:t>
      </w:r>
      <w:r>
        <w:t xml:space="preserve">In Raft and Paxos, a leader cannot commit anything without a majority acknowledging it</w:t>
      </w:r>
      <w:r>
        <w:t xml:space="preserve"> </w:t>
      </w:r>
      <w:r>
        <w:rPr>
          <w:iCs/>
          <w:i/>
        </w:rPr>
        <w:t xml:space="preserve">in its current term</w:t>
      </w:r>
      <w:r>
        <w:t xml:space="preserve">. A deposed leader’s requests carry an old term, and any majority contains at least one node that has seen the newer term and rejects them. The old leader may</w:t>
      </w:r>
      <w:r>
        <w:t xml:space="preserve"> </w:t>
      </w:r>
      <w:r>
        <w:rPr>
          <w:iCs/>
          <w:i/>
        </w:rPr>
        <w:t xml:space="preserve">believe</w:t>
      </w:r>
      <w:r>
        <w:t xml:space="preserve"> </w:t>
      </w:r>
      <w:r>
        <w:t xml:space="preserve">it leads, but it cannot</w:t>
      </w:r>
      <w:r>
        <w:t xml:space="preserve"> </w:t>
      </w:r>
      <w:r>
        <w:rPr>
          <w:iCs/>
          <w:i/>
        </w:rPr>
        <w:t xml:space="preserve">do</w:t>
      </w:r>
      <w:r>
        <w:t xml:space="preserve"> </w:t>
      </w:r>
      <w:r>
        <w:t xml:space="preserve">anything.</w:t>
      </w:r>
    </w:p>
    <w:p>
      <w:pPr>
        <w:numPr>
          <w:ilvl w:val="0"/>
          <w:numId w:val="1839"/>
        </w:numPr>
        <w:pStyle w:val="Compact"/>
      </w:pPr>
      <w:r>
        <w:rPr>
          <w:bCs/>
          <w:b/>
        </w:rPr>
        <w:t xml:space="preserve">Every action carries an epoch the resource can check.</w:t>
      </w:r>
      <w:r>
        <w:t xml:space="preserve"> </w:t>
      </w:r>
      <w:r>
        <w:t xml:space="preserve">When the protected resource is outside the consensus group (a database, a file in object storage), the leader must present a monotonically increasing token, and the resource rejects stale ones. This is fencing (§26.13).</w:t>
      </w:r>
    </w:p>
    <w:p>
      <w:pPr>
        <w:pStyle w:val="CalloutMistake"/>
      </w:pPr>
      <w:r>
        <w:rPr>
          <w:bCs/>
          <w:b/>
        </w:rPr>
        <w:t xml:space="preserve">COMMON MISTAKE</w:t>
      </w:r>
    </w:p>
    <w:p>
      <w:pPr>
        <w:pStyle w:val="CalloutMistake"/>
      </w:pPr>
      <w:r>
        <w:rPr>
          <w:bCs/>
          <w:b/>
        </w:rPr>
        <w:t xml:space="preserve">Misconception —</w:t>
      </w:r>
      <w:r>
        <w:rPr>
          <w:bCs/>
          <w:b/>
        </w:rPr>
        <w:t xml:space="preserve"> </w:t>
      </w:r>
      <w:r>
        <w:rPr>
          <w:bCs/>
          <w:b/>
        </w:rPr>
        <w:t xml:space="preserve">“</w:t>
      </w:r>
      <w:r>
        <w:rPr>
          <w:bCs/>
          <w:b/>
        </w:rPr>
        <w:t xml:space="preserve">Once we have leader election, only one node acts as leader.</w:t>
      </w:r>
      <w:r>
        <w:rPr>
          <w:bCs/>
          <w:b/>
        </w:rPr>
        <w:t xml:space="preserve">”</w:t>
      </w:r>
      <w:r>
        <w:t xml:space="preserve"> </w:t>
      </w:r>
      <w:r>
        <w:t xml:space="preserve">Election guarantees at most one leader</w:t>
      </w:r>
      <w:r>
        <w:t xml:space="preserve"> </w:t>
      </w:r>
      <w:r>
        <w:rPr>
          <w:iCs/>
          <w:i/>
        </w:rPr>
        <w:t xml:space="preserve">per term or lease epoch</w:t>
      </w:r>
      <w:r>
        <w:t xml:space="preserve"> </w:t>
      </w:r>
      <w:r>
        <w:t xml:space="preserve">as seen by the election service. It says nothing about what an old leader does with its stale belief. Without quorum-checked actions or fencing, two nodes will eventually act as leader at the same time.</w:t>
      </w:r>
    </w:p>
    <w:bookmarkEnd w:id="2908"/>
    <w:bookmarkEnd w:id="2909"/>
    <w:bookmarkStart w:id="2926" w:name="paxos"/>
    <w:p>
      <w:pPr>
        <w:pStyle w:val="Heading2"/>
      </w:pPr>
      <w:r>
        <w:t xml:space="preserve">26.6 Paxos</w:t>
      </w:r>
    </w:p>
    <w:p>
      <w:pPr>
        <w:pStyle w:val="FirstParagraph"/>
      </w:pPr>
      <w:r>
        <w:t xml:space="preserve">Leslie Lamport described Paxos as the legislature of a fictional Greek island whose part-time legislators wander in and out of the chamber [Lamport 1998]. The paper was written around 1990 and published in 1998; its allegory made it famously hard to read, and Lamport later restated the algorithm, beginning:</w:t>
      </w:r>
      <w:r>
        <w:t xml:space="preserve"> </w:t>
      </w:r>
      <w:r>
        <w:t xml:space="preserve">“</w:t>
      </w:r>
      <w:r>
        <w:t xml:space="preserve">The Paxos algorithm, when presented in plain English, is very simple</w:t>
      </w:r>
      <w:r>
        <w:t xml:space="preserve">”</w:t>
      </w:r>
      <w:r>
        <w:t xml:space="preserve"> </w:t>
      </w:r>
      <w:r>
        <w:t xml:space="preserve">[Lamport 2001]. This section follows that plain-English version.</w:t>
      </w:r>
    </w:p>
    <w:bookmarkStart w:id="2920" w:name="single-decree-paxos"/>
    <w:p>
      <w:pPr>
        <w:pStyle w:val="Heading3"/>
      </w:pPr>
      <w:r>
        <w:t xml:space="preserve">26.6.1 Single-decree Paxos</w:t>
      </w:r>
    </w:p>
    <w:p>
      <w:pPr>
        <w:pStyle w:val="CalloutDefinition"/>
      </w:pPr>
      <w:r>
        <w:rPr>
          <w:bCs/>
          <w:b/>
        </w:rPr>
        <w:t xml:space="preserve">DEFINITION</w:t>
      </w:r>
    </w:p>
    <w:p>
      <w:pPr>
        <w:pStyle w:val="CalloutDefinition"/>
      </w:pPr>
      <w:r>
        <w:rPr>
          <w:bCs/>
          <w:b/>
        </w:rPr>
        <w:t xml:space="preserve">Definition — Single-decree (basic) Paxos.</w:t>
      </w:r>
      <w:r>
        <w:t xml:space="preserve"> </w:t>
      </w:r>
      <w:r>
        <w:t xml:space="preserve">A consensus algorithm in which</w:t>
      </w:r>
      <w:r>
        <w:t xml:space="preserve"> </w:t>
      </w:r>
      <w:r>
        <w:rPr>
          <w:bCs/>
          <w:b/>
        </w:rPr>
        <w:t xml:space="preserve">proposers</w:t>
      </w:r>
      <w:r>
        <w:t xml:space="preserve"> </w:t>
      </w:r>
      <w:r>
        <w:t xml:space="preserve">suggest values,</w:t>
      </w:r>
      <w:r>
        <w:t xml:space="preserve"> </w:t>
      </w:r>
      <w:r>
        <w:rPr>
          <w:bCs/>
          <w:b/>
        </w:rPr>
        <w:t xml:space="preserve">acceptors</w:t>
      </w:r>
      <w:r>
        <w:t xml:space="preserve"> </w:t>
      </w:r>
      <w:r>
        <w:t xml:space="preserve">vote on them and</w:t>
      </w:r>
      <w:r>
        <w:t xml:space="preserve"> </w:t>
      </w:r>
      <w:r>
        <w:rPr>
          <w:bCs/>
          <w:b/>
        </w:rPr>
        <w:t xml:space="preserve">learners</w:t>
      </w:r>
      <w:r>
        <w:t xml:space="preserve"> </w:t>
      </w:r>
      <w:r>
        <w:t xml:space="preserve">find out the decided value. A value is</w:t>
      </w:r>
      <w:r>
        <w:t xml:space="preserve"> </w:t>
      </w:r>
      <w:r>
        <w:rPr>
          <w:bCs/>
          <w:b/>
        </w:rPr>
        <w:t xml:space="preserve">chosen</w:t>
      </w:r>
      <w:r>
        <w:t xml:space="preserve"> </w:t>
      </w:r>
      <w:r>
        <w:t xml:space="preserve">when a majority of acceptors has accepted it with the same proposal number. Paxos guarantees safety under any message delays, loss or reordering, and makes progress whenever one proposer can run both phases without interference from another.</w:t>
      </w:r>
    </w:p>
    <w:bookmarkStart w:id="2910" w:name="first-principles-explanation-142"/>
    <w:p>
      <w:pPr>
        <w:pStyle w:val="Heading4"/>
      </w:pPr>
      <w:r>
        <w:t xml:space="preserve">First-principles explanation</w:t>
      </w:r>
    </w:p>
    <w:p>
      <w:pPr>
        <w:pStyle w:val="FirstParagraph"/>
      </w:pPr>
      <w:r>
        <w:t xml:space="preserve">Imagine booking a room through five receptionists, each with a paper diary. A rival may be asking a different three at the same moment, so you first present a</w:t>
      </w:r>
      <w:r>
        <w:t xml:space="preserve"> </w:t>
      </w:r>
      <w:r>
        <w:rPr>
          <w:iCs/>
          <w:i/>
        </w:rPr>
        <w:t xml:space="preserve">ticket number</w:t>
      </w:r>
      <w:r>
        <w:t xml:space="preserve"> </w:t>
      </w:r>
      <w:r>
        <w:t xml:space="preserve">higher than any they have seen (</w:t>
      </w:r>
      <w:r>
        <w:t xml:space="preserve">“</w:t>
      </w:r>
      <w:r>
        <w:t xml:space="preserve">promise to ignore lower tickets</w:t>
      </w:r>
      <w:r>
        <w:t xml:space="preserve">”</w:t>
      </w:r>
      <w:r>
        <w:t xml:space="preserve">) and ask whether they have already written a booking. If any has, you must</w:t>
      </w:r>
      <w:r>
        <w:t xml:space="preserve"> </w:t>
      </w:r>
      <w:r>
        <w:rPr>
          <w:iCs/>
          <w:i/>
        </w:rPr>
        <w:t xml:space="preserve">finish that booking</w:t>
      </w:r>
      <w:r>
        <w:t xml:space="preserve"> </w:t>
      </w:r>
      <w:r>
        <w:t xml:space="preserve">instead of yours. Only after a majority promises do you ask them to write the booking under your ticket. The first step discovers and protects the past; the second decides.</w:t>
      </w:r>
    </w:p>
    <w:bookmarkEnd w:id="2910"/>
    <w:bookmarkStart w:id="2914" w:name="how-it-works-internally-94"/>
    <w:p>
      <w:pPr>
        <w:pStyle w:val="Heading4"/>
      </w:pPr>
      <w:r>
        <w:t xml:space="preserve">How it works internally</w:t>
      </w:r>
    </w:p>
    <w:p>
      <w:pPr>
        <w:pStyle w:val="FirstParagraph"/>
      </w:pPr>
      <w:r>
        <w:t xml:space="preserve">Each acceptor stores, durably:</w:t>
      </w:r>
      <w:r>
        <w:t xml:space="preserve"> </w:t>
      </w:r>
      <w:r>
        <w:rPr>
          <w:rStyle w:val="VerbatimChar"/>
        </w:rPr>
        <w:t xml:space="preserve">promised_n</w:t>
      </w:r>
      <w:r>
        <w:t xml:space="preserve"> </w:t>
      </w:r>
      <w:r>
        <w:t xml:space="preserve">(highest proposal number it promised) and</w:t>
      </w:r>
      <w:r>
        <w:t xml:space="preserve"> </w:t>
      </w:r>
      <w:r>
        <w:rPr>
          <w:rStyle w:val="VerbatimChar"/>
        </w:rPr>
        <w:t xml:space="preserve">(accepted_n, accepted_v)</w:t>
      </w:r>
      <w:r>
        <w:t xml:space="preserve"> </w:t>
      </w:r>
      <w:r>
        <w:t xml:space="preserve">(the last proposal it accepted, if any). Proposal numbers must be unique and totally ordered; the usual construction is a pair</w:t>
      </w:r>
      <w:r>
        <w:t xml:space="preserve"> </w:t>
      </w:r>
      <w:r>
        <w:rPr>
          <w:rStyle w:val="VerbatimChar"/>
        </w:rPr>
        <w:t xml:space="preserve">(round, proposer_id)</w:t>
      </w:r>
      <w:r>
        <w:t xml:space="preserve"> </w:t>
      </w:r>
      <w:r>
        <w:t xml:space="preserve">compared lexicographically, so proposers never collide.</w:t>
      </w:r>
    </w:p>
    <w:p>
      <w:pPr>
        <w:numPr>
          <w:ilvl w:val="0"/>
          <w:numId w:val="1840"/>
        </w:numPr>
        <w:pStyle w:val="Compact"/>
      </w:pPr>
      <w:r>
        <w:rPr>
          <w:bCs/>
          <w:b/>
        </w:rPr>
        <w:t xml:space="preserve">Phase 1a — Prepare.</w:t>
      </w:r>
      <w:r>
        <w:t xml:space="preserve"> </w:t>
      </w:r>
      <w:r>
        <w:t xml:space="preserve">A proposer picks a proposal number</w:t>
      </w:r>
      <w:r>
        <w:t xml:space="preserve"> </w:t>
      </w:r>
      <m:oMath>
        <m:r>
          <m:t>n</m:t>
        </m:r>
      </m:oMath>
      <w:r>
        <w:t xml:space="preserve"> </w:t>
      </w:r>
      <w:r>
        <w:t xml:space="preserve">higher than any it has used and sends</w:t>
      </w:r>
      <w:r>
        <w:t xml:space="preserve"> </w:t>
      </w:r>
      <w:r>
        <w:rPr>
          <w:rStyle w:val="VerbatimChar"/>
        </w:rPr>
        <w:t xml:space="preserve">Prepare(n)</w:t>
      </w:r>
      <w:r>
        <w:t xml:space="preserve"> </w:t>
      </w:r>
      <w:r>
        <w:t xml:space="preserve">to the acceptors.</w:t>
      </w:r>
    </w:p>
    <w:p>
      <w:pPr>
        <w:numPr>
          <w:ilvl w:val="0"/>
          <w:numId w:val="1840"/>
        </w:numPr>
        <w:pStyle w:val="Compact"/>
      </w:pPr>
      <w:r>
        <w:rPr>
          <w:bCs/>
          <w:b/>
        </w:rPr>
        <w:t xml:space="preserve">Phase 1b — Promise.</w:t>
      </w:r>
      <w:r>
        <w:t xml:space="preserve"> </w:t>
      </w:r>
      <w:r>
        <w:t xml:space="preserve">An acceptor that receives</w:t>
      </w:r>
      <w:r>
        <w:t xml:space="preserve"> </w:t>
      </w:r>
      <w:r>
        <w:rPr>
          <w:rStyle w:val="VerbatimChar"/>
        </w:rPr>
        <w:t xml:space="preserve">Prepare(n)</w:t>
      </w:r>
      <w:r>
        <w:t xml:space="preserve"> </w:t>
      </w:r>
      <w:r>
        <w:t xml:space="preserve">with</w:t>
      </w:r>
      <w:r>
        <w:t xml:space="preserve"> </w:t>
      </w:r>
      <m:oMath>
        <m:r>
          <m:t>n</m:t>
        </m:r>
        <m:r>
          <m:rPr>
            <m:sty m:val="p"/>
          </m:rPr>
          <m:t>&gt;</m:t>
        </m:r>
      </m:oMath>
      <w:r>
        <w:t xml:space="preserve"> </w:t>
      </w:r>
      <w:r>
        <w:rPr>
          <w:rStyle w:val="VerbatimChar"/>
        </w:rPr>
        <w:t xml:space="preserve">promised_n</w:t>
      </w:r>
      <w:r>
        <w:t xml:space="preserve"> </w:t>
      </w:r>
      <w:r>
        <w:t xml:space="preserve">sets</w:t>
      </w:r>
      <w:r>
        <w:t xml:space="preserve"> </w:t>
      </w:r>
      <w:r>
        <w:rPr>
          <w:rStyle w:val="VerbatimChar"/>
        </w:rPr>
        <w:t xml:space="preserve">promised_n = n</w:t>
      </w:r>
      <w:r>
        <w:t xml:space="preserve">, writes it to disk, and replies</w:t>
      </w:r>
      <w:r>
        <w:t xml:space="preserve"> </w:t>
      </w:r>
      <w:r>
        <w:rPr>
          <w:rStyle w:val="VerbatimChar"/>
        </w:rPr>
        <w:t xml:space="preserve">Promise(n, accepted_n, accepted_v)</w:t>
      </w:r>
      <w:r>
        <w:t xml:space="preserve">. Otherwise it ignores the request or replies with a rejection containing</w:t>
      </w:r>
      <w:r>
        <w:t xml:space="preserve"> </w:t>
      </w:r>
      <w:r>
        <w:rPr>
          <w:rStyle w:val="VerbatimChar"/>
        </w:rPr>
        <w:t xml:space="preserve">promised_n</w:t>
      </w:r>
      <w:r>
        <w:t xml:space="preserve"> </w:t>
      </w:r>
      <w:r>
        <w:t xml:space="preserve">(a useful hint).</w:t>
      </w:r>
    </w:p>
    <w:p>
      <w:pPr>
        <w:numPr>
          <w:ilvl w:val="0"/>
          <w:numId w:val="1840"/>
        </w:numPr>
        <w:pStyle w:val="Compact"/>
      </w:pPr>
      <w:r>
        <w:rPr>
          <w:bCs/>
          <w:b/>
        </w:rPr>
        <w:t xml:space="preserve">Value selection.</w:t>
      </w:r>
      <w:r>
        <w:t xml:space="preserve"> </w:t>
      </w:r>
      <w:r>
        <w:t xml:space="preserve">If the proposer receives promises from a majority, it looks at the accepted proposals they reported. If any acceptor reported one, the proposer</w:t>
      </w:r>
      <w:r>
        <w:t xml:space="preserve"> </w:t>
      </w:r>
      <w:r>
        <w:rPr>
          <w:bCs/>
          <w:b/>
        </w:rPr>
        <w:t xml:space="preserve">must</w:t>
      </w:r>
      <w:r>
        <w:t xml:space="preserve"> </w:t>
      </w:r>
      <w:r>
        <w:t xml:space="preserve">propose the value</w:t>
      </w:r>
      <w:r>
        <w:t xml:space="preserve"> </w:t>
      </w:r>
      <m:oMath>
        <m:r>
          <m:t>v</m:t>
        </m:r>
      </m:oMath>
      <w:r>
        <w:t xml:space="preserve"> </w:t>
      </w:r>
      <w:r>
        <w:t xml:space="preserve">of the highest-numbered accepted proposal. Only if none reported anything may it propose its own value.</w:t>
      </w:r>
    </w:p>
    <w:p>
      <w:pPr>
        <w:numPr>
          <w:ilvl w:val="0"/>
          <w:numId w:val="1840"/>
        </w:numPr>
        <w:pStyle w:val="Compact"/>
      </w:pPr>
      <w:r>
        <w:rPr>
          <w:bCs/>
          <w:b/>
        </w:rPr>
        <w:t xml:space="preserve">Phase 2a — Accept.</w:t>
      </w:r>
      <w:r>
        <w:t xml:space="preserve"> </w:t>
      </w:r>
      <w:r>
        <w:t xml:space="preserve">The proposer sends</w:t>
      </w:r>
      <w:r>
        <w:t xml:space="preserve"> </w:t>
      </w:r>
      <w:r>
        <w:rPr>
          <w:rStyle w:val="VerbatimChar"/>
        </w:rPr>
        <w:t xml:space="preserve">Accept(n, v)</w:t>
      </w:r>
      <w:r>
        <w:t xml:space="preserve"> </w:t>
      </w:r>
      <w:r>
        <w:t xml:space="preserve">to the acceptors.</w:t>
      </w:r>
    </w:p>
    <w:p>
      <w:pPr>
        <w:numPr>
          <w:ilvl w:val="0"/>
          <w:numId w:val="1840"/>
        </w:numPr>
        <w:pStyle w:val="Compact"/>
      </w:pPr>
      <w:r>
        <w:rPr>
          <w:bCs/>
          <w:b/>
        </w:rPr>
        <w:t xml:space="preserve">Phase 2b — Accepted.</w:t>
      </w:r>
      <w:r>
        <w:t xml:space="preserve"> </w:t>
      </w:r>
      <w:r>
        <w:t xml:space="preserve">An acceptor that receives</w:t>
      </w:r>
      <w:r>
        <w:t xml:space="preserve"> </w:t>
      </w:r>
      <w:r>
        <w:rPr>
          <w:rStyle w:val="VerbatimChar"/>
        </w:rPr>
        <w:t xml:space="preserve">Accept(n, v)</w:t>
      </w:r>
      <w:r>
        <w:t xml:space="preserve"> </w:t>
      </w:r>
      <w:r>
        <w:t xml:space="preserve">with</w:t>
      </w:r>
      <w:r>
        <w:t xml:space="preserve"> </w:t>
      </w:r>
      <m:oMath>
        <m:r>
          <m:t>n</m:t>
        </m:r>
        <m:r>
          <m:rPr>
            <m:sty m:val="p"/>
          </m:rPr>
          <m:t>≥</m:t>
        </m:r>
      </m:oMath>
      <w:r>
        <w:t xml:space="preserve"> </w:t>
      </w:r>
      <w:r>
        <w:rPr>
          <w:rStyle w:val="VerbatimChar"/>
        </w:rPr>
        <w:t xml:space="preserve">promised_n</w:t>
      </w:r>
      <w:r>
        <w:t xml:space="preserve"> </w:t>
      </w:r>
      <w:r>
        <w:t xml:space="preserve">records</w:t>
      </w:r>
      <w:r>
        <w:t xml:space="preserve"> </w:t>
      </w:r>
      <w:r>
        <w:rPr>
          <w:rStyle w:val="VerbatimChar"/>
        </w:rPr>
        <w:t xml:space="preserve">(accepted_n, accepted_v) = (n, v)</w:t>
      </w:r>
      <w:r>
        <w:t xml:space="preserve"> </w:t>
      </w:r>
      <w:r>
        <w:t xml:space="preserve">durably and replies</w:t>
      </w:r>
      <w:r>
        <w:t xml:space="preserve"> </w:t>
      </w:r>
      <w:r>
        <w:rPr>
          <w:rStyle w:val="VerbatimChar"/>
        </w:rPr>
        <w:t xml:space="preserve">Accepted(n, v)</w:t>
      </w:r>
      <w:r>
        <w:t xml:space="preserve"> </w:t>
      </w:r>
      <w:r>
        <w:t xml:space="preserve">to the proposer and the learners. Otherwise it rejects.</w:t>
      </w:r>
    </w:p>
    <w:p>
      <w:pPr>
        <w:numPr>
          <w:ilvl w:val="0"/>
          <w:numId w:val="1840"/>
        </w:numPr>
        <w:pStyle w:val="Compact"/>
      </w:pPr>
      <w:r>
        <w:rPr>
          <w:bCs/>
          <w:b/>
        </w:rPr>
        <w:t xml:space="preserve">Learning.</w:t>
      </w:r>
      <w:r>
        <w:t xml:space="preserve"> </w:t>
      </w:r>
      <w:r>
        <w:t xml:space="preserve">When a learner sees</w:t>
      </w:r>
      <w:r>
        <w:t xml:space="preserve"> </w:t>
      </w:r>
      <w:r>
        <w:rPr>
          <w:rStyle w:val="VerbatimChar"/>
        </w:rPr>
        <w:t xml:space="preserve">Accepted(n, v)</w:t>
      </w:r>
      <w:r>
        <w:t xml:space="preserve"> </w:t>
      </w:r>
      <w:r>
        <w:t xml:space="preserve">from a majority for the same</w:t>
      </w:r>
      <w:r>
        <w:t xml:space="preserve"> </w:t>
      </w:r>
      <m:oMath>
        <m:r>
          <m:t>n</m:t>
        </m:r>
      </m:oMath>
      <w:r>
        <w:t xml:space="preserve">, the value</w:t>
      </w:r>
      <w:r>
        <w:t xml:space="preserve"> </w:t>
      </w:r>
      <m:oMath>
        <m:r>
          <m:t>v</m:t>
        </m:r>
      </m:oMath>
      <w:r>
        <w:t xml:space="preserve"> </w:t>
      </w:r>
      <w:r>
        <w:t xml:space="preserve">is chosen.</w:t>
      </w:r>
    </w:p>
    <w:p>
      <w:pPr>
        <w:pStyle w:val="FirstParagraph"/>
      </w:pPr>
      <w:r>
        <w:rPr>
          <w:bCs/>
          <w:b/>
        </w:rPr>
        <w:t xml:space="preserve">Figure 26.4 — Single-decree Paxos without contention.</w:t>
      </w:r>
    </w:p>
    <w:p>
      <w:pPr>
        <w:pStyle w:val="BodyText"/>
      </w:pPr>
      <w:r>
        <w:drawing>
          <wp:inline>
            <wp:extent cx="5334000" cy="3661112"/>
            <wp:effectExtent b="0" l="0" r="0" t="0"/>
            <wp:docPr descr="" title="" id="2912" name="Picture"/>
            <a:graphic>
              <a:graphicData uri="http://schemas.openxmlformats.org/drawingml/2006/picture">
                <pic:pic>
                  <pic:nvPicPr>
                    <pic:cNvPr descr="/home/user/System-Design/build/.cache/diagrams/ea061a124302.png" id="2913" name="Picture"/>
                    <pic:cNvPicPr>
                      <a:picLocks noChangeArrowheads="1" noChangeAspect="1"/>
                    </pic:cNvPicPr>
                  </pic:nvPicPr>
                  <pic:blipFill>
                    <a:blip r:embed="rId2911"/>
                    <a:stretch>
                      <a:fillRect/>
                    </a:stretch>
                  </pic:blipFill>
                  <pic:spPr bwMode="auto">
                    <a:xfrm>
                      <a:off x="0" y="0"/>
                      <a:ext cx="5334000" cy="3661112"/>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P1 uses proposal number 1.1 (round 1, proposer 1). All arrows are point-to-point RPCs; each acceptor must persist its promise or acceptance before replying, so every reply implies a disk flush. Two promises out of three form a majority, so P1 does not wait for A3’s promise. Because no promise reported an accepted value, P1 may propose its own value X. Two</w:t>
      </w:r>
      <w:r>
        <w:t xml:space="preserve"> </w:t>
      </w:r>
      <w:r>
        <w:rPr>
          <w:rStyle w:val="VerbatimChar"/>
        </w:rPr>
        <w:t xml:space="preserve">Accepted</w:t>
      </w:r>
      <w:r>
        <w:t xml:space="preserve"> </w:t>
      </w:r>
      <w:r>
        <w:t xml:space="preserve">replies (from A1 and A3) form a majority, and X is chosen at that instant, even before anyone knows it. Failure points: one acceptor can fail without blocking progress; if the proposer fails, a later proposer’s phase 1 discovers X. Cost: two round trips and two durable writes per value.</w:t>
      </w:r>
    </w:p>
    <w:bookmarkEnd w:id="2914"/>
    <w:bookmarkStart w:id="2915" w:name="X7bc57580e7cacbbca7e6cac9e75cb901eeb4201"/>
    <w:p>
      <w:pPr>
        <w:pStyle w:val="Heading4"/>
      </w:pPr>
      <w:r>
        <w:t xml:space="preserve">Why the value-adoption rule makes Paxos safe</w:t>
      </w:r>
    </w:p>
    <w:p>
      <w:pPr>
        <w:pStyle w:val="FirstParagraph"/>
      </w:pPr>
      <w:r>
        <w:t xml:space="preserve">Suppose X was chosen with proposal 1.1, meaning a majority accepted it. Any later proposer with number</w:t>
      </w:r>
      <w:r>
        <w:t xml:space="preserve"> </w:t>
      </w:r>
      <m:oMath>
        <m:r>
          <m:t>n</m:t>
        </m:r>
        <m:r>
          <m:rPr>
            <m:sty m:val="p"/>
          </m:rPr>
          <m:t>&gt;</m:t>
        </m:r>
        <m:r>
          <m:t>1.1</m:t>
        </m:r>
      </m:oMath>
      <w:r>
        <w:t xml:space="preserve"> </w:t>
      </w:r>
      <w:r>
        <w:t xml:space="preserve">must collect promises from a majority, and that majority intersects the accepting majority (§26.4.1). So at least one promise reports</w:t>
      </w:r>
      <w:r>
        <w:t xml:space="preserve"> </w:t>
      </w:r>
      <w:r>
        <w:t xml:space="preserve">“</w:t>
      </w:r>
      <w:r>
        <w:t xml:space="preserve">I accepted (1.1, X).</w:t>
      </w:r>
      <w:r>
        <w:t xml:space="preserve">”</w:t>
      </w:r>
      <w:r>
        <w:t xml:space="preserve"> </w:t>
      </w:r>
      <w:r>
        <w:t xml:space="preserve">The adoption rule then forces the new proposer to propose X again. By induction on proposal numbers, every proposal after X was chosen carries X. Lamport’s invariant:</w:t>
      </w:r>
      <w:r>
        <w:t xml:space="preserve"> </w:t>
      </w:r>
      <w:r>
        <w:rPr>
          <w:iCs/>
          <w:i/>
        </w:rPr>
        <w:t xml:space="preserve">if a value</w:t>
      </w:r>
      <w:r>
        <w:rPr>
          <w:iCs/>
          <w:i/>
        </w:rPr>
        <w:t xml:space="preserve"> </w:t>
      </w:r>
      <m:oMath>
        <m:r>
          <m:t>v</m:t>
        </m:r>
      </m:oMath>
      <w:r>
        <w:rPr>
          <w:iCs/>
          <w:i/>
        </w:rPr>
        <w:t xml:space="preserve"> </w:t>
      </w:r>
      <w:r>
        <w:rPr>
          <w:iCs/>
          <w:i/>
        </w:rPr>
        <w:t xml:space="preserve">is chosen with number</w:t>
      </w:r>
      <w:r>
        <w:rPr>
          <w:iCs/>
          <w:i/>
        </w:rPr>
        <w:t xml:space="preserve"> </w:t>
      </w:r>
      <m:oMath>
        <m:r>
          <m:t>n</m:t>
        </m:r>
      </m:oMath>
      <w:r>
        <w:rPr>
          <w:iCs/>
          <w:i/>
        </w:rPr>
        <w:t xml:space="preserve">, every higher-numbered proposal issued has value</w:t>
      </w:r>
      <w:r>
        <w:rPr>
          <w:iCs/>
          <w:i/>
        </w:rPr>
        <w:t xml:space="preserve"> </w:t>
      </w:r>
      <m:oMath>
        <m:r>
          <m:t>v</m:t>
        </m:r>
      </m:oMath>
      <w:r>
        <w:t xml:space="preserve"> </w:t>
      </w:r>
      <w:r>
        <w:t xml:space="preserve">[Lamport 2001].</w:t>
      </w:r>
    </w:p>
    <w:p>
      <w:pPr>
        <w:pStyle w:val="BodyText"/>
      </w:pPr>
      <w:r>
        <w:t xml:space="preserve">Note that a value can be chosen without its proposer knowing (replies lost), and an acceptor may hold an accepted value that is never chosen; neither breaks safety.</w:t>
      </w:r>
    </w:p>
    <w:bookmarkEnd w:id="2915"/>
    <w:bookmarkStart w:id="2919" w:name="dueling-proposers"/>
    <w:p>
      <w:pPr>
        <w:pStyle w:val="Heading4"/>
      </w:pPr>
      <w:r>
        <w:t xml:space="preserve">Dueling proposers</w:t>
      </w:r>
    </w:p>
    <w:p>
      <w:pPr>
        <w:pStyle w:val="FirstParagraph"/>
      </w:pPr>
      <w:r>
        <w:t xml:space="preserve">Paxos is safe but not guaranteed to terminate, and the classic way it stalls is two proposers repeatedly pre-empting each other.</w:t>
      </w:r>
    </w:p>
    <w:p>
      <w:pPr>
        <w:pStyle w:val="BodyText"/>
      </w:pPr>
      <w:r>
        <w:rPr>
          <w:bCs/>
          <w:b/>
        </w:rPr>
        <w:t xml:space="preserve">Figure 26.5 — Dueling proposers: safe but not live.</w:t>
      </w:r>
    </w:p>
    <w:p>
      <w:pPr>
        <w:pStyle w:val="BodyText"/>
      </w:pPr>
      <w:r>
        <w:drawing>
          <wp:inline>
            <wp:extent cx="5334000" cy="5657272"/>
            <wp:effectExtent b="0" l="0" r="0" t="0"/>
            <wp:docPr descr="" title="" id="2917" name="Picture"/>
            <a:graphic>
              <a:graphicData uri="http://schemas.openxmlformats.org/drawingml/2006/picture">
                <pic:pic>
                  <pic:nvPicPr>
                    <pic:cNvPr descr="/home/user/System-Design/build/.cache/diagrams/e221ba9443c9.png" id="2918" name="Picture"/>
                    <pic:cNvPicPr>
                      <a:picLocks noChangeArrowheads="1" noChangeAspect="1"/>
                    </pic:cNvPicPr>
                  </pic:nvPicPr>
                  <pic:blipFill>
                    <a:blip r:embed="rId2916"/>
                    <a:stretch>
                      <a:fillRect/>
                    </a:stretch>
                  </pic:blipFill>
                  <pic:spPr bwMode="auto">
                    <a:xfrm>
                      <a:off x="0" y="0"/>
                      <a:ext cx="5334000" cy="5657272"/>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acceptors are drawn as one participant; each arrow stands for messages to and replies from a majority. Before P1’s accept arrives, P2’s higher prepare (1.2) raises every promise, so P1’s accept is rejected; P1’s retry (2.1) then invalidates P2’s accept, and so on. Nothing wrong is decided, but nothing is decided at all: the FLP adversarial schedule (§24.13) made concrete. The fixes are liveness mechanisms: randomized back-off and, above all, a single</w:t>
      </w:r>
      <w:r>
        <w:t xml:space="preserve"> </w:t>
      </w:r>
      <w:r>
        <w:rPr>
          <w:bCs/>
          <w:b/>
        </w:rPr>
        <w:t xml:space="preserve">distinguished proposer</w:t>
      </w:r>
      <w:r>
        <w:t xml:space="preserve"> </w:t>
      </w:r>
      <w:r>
        <w:t xml:space="preserve">(leader), which Multi-Paxos and Raft provide.</w:t>
      </w:r>
    </w:p>
    <w:bookmarkEnd w:id="2919"/>
    <w:bookmarkEnd w:id="2920"/>
    <w:bookmarkStart w:id="2925" w:name="multi-paxos"/>
    <w:p>
      <w:pPr>
        <w:pStyle w:val="Heading3"/>
      </w:pPr>
      <w:r>
        <w:t xml:space="preserve">26.6.2 Multi-Paxos</w:t>
      </w:r>
    </w:p>
    <w:p>
      <w:pPr>
        <w:pStyle w:val="FirstParagraph"/>
      </w:pPr>
      <w:r>
        <w:t xml:space="preserve">Running two round trips per log slot is expensive.</w:t>
      </w:r>
      <w:r>
        <w:t xml:space="preserve"> </w:t>
      </w:r>
      <w:r>
        <w:rPr>
          <w:bCs/>
          <w:b/>
        </w:rPr>
        <w:t xml:space="preserve">Multi-Paxos</w:t>
      </w:r>
      <w:r>
        <w:t xml:space="preserve"> </w:t>
      </w:r>
      <w:r>
        <w:t xml:space="preserve">observes that phase 1 does not depend on the value, so a stable leader can run phase 1</w:t>
      </w:r>
      <w:r>
        <w:t xml:space="preserve"> </w:t>
      </w:r>
      <w:r>
        <w:rPr>
          <w:iCs/>
          <w:i/>
        </w:rPr>
        <w:t xml:space="preserve">once</w:t>
      </w:r>
      <w:r>
        <w:t xml:space="preserve"> </w:t>
      </w:r>
      <w:r>
        <w:t xml:space="preserve">for all future slots:</w:t>
      </w:r>
      <w:r>
        <w:t xml:space="preserve"> </w:t>
      </w:r>
      <w:r>
        <w:rPr>
          <w:rStyle w:val="VerbatimChar"/>
        </w:rPr>
        <w:t xml:space="preserve">Prepare(n)</w:t>
      </w:r>
      <w:r>
        <w:t xml:space="preserve"> </w:t>
      </w:r>
      <w:r>
        <w:t xml:space="preserve">for</w:t>
      </w:r>
      <w:r>
        <w:t xml:space="preserve"> </w:t>
      </w:r>
      <w:r>
        <w:t xml:space="preserve">“</w:t>
      </w:r>
      <w:r>
        <w:t xml:space="preserve">slot</w:t>
      </w:r>
      <w:r>
        <w:t xml:space="preserve"> </w:t>
      </w:r>
      <m:oMath>
        <m:r>
          <m:t>i</m:t>
        </m:r>
      </m:oMath>
      <w:r>
        <w:t xml:space="preserve"> </w:t>
      </w:r>
      <w:r>
        <w:t xml:space="preserve">and every slot after it.</w:t>
      </w:r>
      <w:r>
        <w:t xml:space="preserve">”</w:t>
      </w:r>
      <w:r>
        <w:t xml:space="preserve"> </w:t>
      </w:r>
      <w:r>
        <w:t xml:space="preserve">Each acceptor’s promise covers all those slots and reports any values it accepted in them. From then on, each new command needs only phase 2: one round trip and one durable write, the same cost as Raft’s AppendEntries.</w:t>
      </w:r>
    </w:p>
    <w:p>
      <w:pPr>
        <w:pStyle w:val="BodyText"/>
      </w:pPr>
      <w:r>
        <w:rPr>
          <w:bCs/>
          <w:b/>
        </w:rPr>
        <w:t xml:space="preserve">Figure 26.6 — Multi-Paxos: phase 1 once, then one round trip per command.</w:t>
      </w:r>
    </w:p>
    <w:p>
      <w:pPr>
        <w:pStyle w:val="BodyText"/>
      </w:pPr>
      <w:r>
        <w:drawing>
          <wp:inline>
            <wp:extent cx="5334000" cy="3875389"/>
            <wp:effectExtent b="0" l="0" r="0" t="0"/>
            <wp:docPr descr="" title="" id="2922" name="Picture"/>
            <a:graphic>
              <a:graphicData uri="http://schemas.openxmlformats.org/drawingml/2006/picture">
                <pic:pic>
                  <pic:nvPicPr>
                    <pic:cNvPr descr="/home/user/System-Design/build/.cache/diagrams/9af8cf1b0fb4.png" id="2923" name="Picture"/>
                    <pic:cNvPicPr>
                      <a:picLocks noChangeArrowheads="1" noChangeAspect="1"/>
                    </pic:cNvPicPr>
                  </pic:nvPicPr>
                  <pic:blipFill>
                    <a:blip r:embed="rId2921"/>
                    <a:stretch>
                      <a:fillRect/>
                    </a:stretch>
                  </pic:blipFill>
                  <pic:spPr bwMode="auto">
                    <a:xfrm>
                      <a:off x="0" y="0"/>
                      <a:ext cx="5334000" cy="3875389"/>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new leader (5.3) prepares every slot from 8 onward in one synchronous exchange with a majority. Promises report values already accepted there; slot 8 had one, so the leader re-proposes it first. Each client command then costs one</w:t>
      </w:r>
      <w:r>
        <w:t xml:space="preserve"> </w:t>
      </w:r>
      <w:r>
        <w:rPr>
          <w:rStyle w:val="VerbatimChar"/>
        </w:rPr>
        <w:t xml:space="preserve">Accept</w:t>
      </w:r>
      <w:r>
        <w:t xml:space="preserve">/</w:t>
      </w:r>
      <w:r>
        <w:rPr>
          <w:rStyle w:val="VerbatimChar"/>
        </w:rPr>
        <w:t xml:space="preserve">Accepted</w:t>
      </w:r>
      <w:r>
        <w:t xml:space="preserve"> </w:t>
      </w:r>
      <w:r>
        <w:t xml:space="preserve">round trip plus a durable write per acceptor, and the leader applies commands in slot order. Failure point: a successor leader must fill</w:t>
      </w:r>
      <w:r>
        <w:t xml:space="preserve"> </w:t>
      </w:r>
      <w:r>
        <w:rPr>
          <w:bCs/>
          <w:b/>
        </w:rPr>
        <w:t xml:space="preserve">gaps</w:t>
      </w:r>
      <w:r>
        <w:t xml:space="preserve"> </w:t>
      </w:r>
      <w:r>
        <w:t xml:space="preserve">(slots never chosen) with no-ops. Scaling: batch commands per slot and pipeline slots.</w:t>
      </w:r>
    </w:p>
    <w:bookmarkStart w:id="2924" w:name="paxos-in-production"/>
    <w:p>
      <w:pPr>
        <w:pStyle w:val="Heading4"/>
      </w:pPr>
      <w:r>
        <w:t xml:space="preserve">Paxos in production</w:t>
      </w:r>
    </w:p>
    <w:p>
      <w:pPr>
        <w:pStyle w:val="FirstParagraph"/>
      </w:pPr>
      <w:r>
        <w:t xml:space="preserve">Google’s</w:t>
      </w:r>
      <w:r>
        <w:t xml:space="preserve"> </w:t>
      </w:r>
      <w:r>
        <w:rPr>
          <w:bCs/>
          <w:b/>
        </w:rPr>
        <w:t xml:space="preserve">Paxos Made Live</w:t>
      </w:r>
      <w:r>
        <w:t xml:space="preserve"> </w:t>
      </w:r>
      <w:r>
        <w:t xml:space="preserve">is the best antidote to the idea that knowing the algorithm is enough [Chandra, Griesemer and Redstone 2007]. Building Chubby’s replicated log needed additions the papers did not specify: master leases for local reads, epoch numbers to detect leader changes mid-operation, disk-corruption handling (a replica that lost its state must not vote as if it remembered its promises), snapshots, membership changes and extensive randomized testing. The authors conclude that there are significant gaps between the algorithm’s description and a real system’s needs.</w:t>
      </w:r>
    </w:p>
    <w:p>
      <w:pPr>
        <w:pStyle w:val="CalloutIndustry"/>
      </w:pPr>
      <w:r>
        <w:rPr>
          <w:bCs/>
          <w:b/>
        </w:rPr>
        <w:t xml:space="preserve">INDUSTRY EXAMPLE</w:t>
      </w:r>
    </w:p>
    <w:p>
      <w:pPr>
        <w:pStyle w:val="CalloutIndustry"/>
      </w:pPr>
      <w:r>
        <w:rPr>
          <w:bCs/>
          <w:b/>
        </w:rPr>
        <w:t xml:space="preserve">Google Chubby’s replicated log.</w:t>
      </w:r>
      <w:r>
        <w:t xml:space="preserve"> </w:t>
      </w:r>
      <w:r>
        <w:t xml:space="preserve">Problem: a lock service for thousands of machines that must survive replica failures. Architecture: five replicas per cell running Multi-Paxos with a leader (</w:t>
      </w:r>
      <w:r>
        <w:t xml:space="preserve">“</w:t>
      </w:r>
      <w:r>
        <w:t xml:space="preserve">master</w:t>
      </w:r>
      <w:r>
        <w:t xml:space="preserve">”</w:t>
      </w:r>
      <w:r>
        <w:t xml:space="preserve">) holding a lease; the replicated log stores the lock-service database. Why chosen: safety without timing assumptions. Trade-off: most engineering effort went outside the core algorithm.</w:t>
      </w:r>
      <w:r>
        <w:t xml:space="preserve"> </w:t>
      </w:r>
      <w:r>
        <w:rPr>
          <w:iCs/>
          <w:i/>
        </w:rPr>
        <w:t xml:space="preserve">Evidence: Primary</w:t>
      </w:r>
      <w:r>
        <w:t xml:space="preserve"> </w:t>
      </w:r>
      <w:r>
        <w:t xml:space="preserve">— [Chandra, Griesemer and Redstone 2007]; [Burrows 2006]</w:t>
      </w:r>
    </w:p>
    <w:p>
      <w:pPr>
        <w:pStyle w:val="BodyText"/>
      </w:pPr>
      <w:r>
        <w:rPr>
          <w:bCs/>
          <w:b/>
        </w:rPr>
        <w:t xml:space="preserve">Table 26.2 — Paxos family vocabulary mapped to Raft.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Concept</w:t>
            </w:r>
          </w:p>
        </w:tc>
        <w:tc>
          <w:tcPr/>
          <w:p>
            <w:pPr>
              <w:pStyle w:val="Compact"/>
              <w:jc w:val="left"/>
            </w:pPr>
            <w:r>
              <w:t xml:space="preserve">Paxos / Multi-Paxos</w:t>
            </w:r>
          </w:p>
        </w:tc>
        <w:tc>
          <w:tcPr/>
          <w:p>
            <w:pPr>
              <w:pStyle w:val="Compact"/>
              <w:jc w:val="left"/>
            </w:pPr>
            <w:r>
              <w:t xml:space="preserve">Raft</w:t>
            </w:r>
          </w:p>
        </w:tc>
        <w:tc>
          <w:tcPr/>
          <w:p>
            <w:pPr>
              <w:pStyle w:val="Compact"/>
              <w:jc w:val="left"/>
            </w:pPr>
            <w:r>
              <w:t xml:space="preserve">ZAB</w:t>
            </w:r>
          </w:p>
        </w:tc>
      </w:tr>
      <w:tr>
        <w:tc>
          <w:tcPr/>
          <w:p>
            <w:pPr>
              <w:pStyle w:val="Compact"/>
              <w:jc w:val="left"/>
            </w:pPr>
            <w:r>
              <w:t xml:space="preserve">Leader identity epoch</w:t>
            </w:r>
          </w:p>
        </w:tc>
        <w:tc>
          <w:tcPr/>
          <w:p>
            <w:pPr>
              <w:pStyle w:val="Compact"/>
              <w:jc w:val="left"/>
            </w:pPr>
            <w:r>
              <w:t xml:space="preserve">Proposal number (round, id)</w:t>
            </w:r>
          </w:p>
        </w:tc>
        <w:tc>
          <w:tcPr/>
          <w:p>
            <w:pPr>
              <w:pStyle w:val="Compact"/>
              <w:jc w:val="left"/>
            </w:pPr>
            <w:r>
              <w:t xml:space="preserve">Term</w:t>
            </w:r>
          </w:p>
        </w:tc>
        <w:tc>
          <w:tcPr/>
          <w:p>
            <w:pPr>
              <w:pStyle w:val="Compact"/>
              <w:jc w:val="left"/>
            </w:pPr>
            <w:r>
              <w:t xml:space="preserve">Epoch (high 32 bits of zxid)</w:t>
            </w:r>
          </w:p>
        </w:tc>
      </w:tr>
      <w:tr>
        <w:tc>
          <w:tcPr/>
          <w:p>
            <w:pPr>
              <w:pStyle w:val="Compact"/>
              <w:jc w:val="left"/>
            </w:pPr>
            <w:r>
              <w:t xml:space="preserve">Phase 1</w:t>
            </w:r>
          </w:p>
        </w:tc>
        <w:tc>
          <w:tcPr/>
          <w:p>
            <w:pPr>
              <w:pStyle w:val="Compact"/>
              <w:jc w:val="left"/>
            </w:pPr>
            <w:r>
              <w:t xml:space="preserve">Prepare / Promise</w:t>
            </w:r>
          </w:p>
        </w:tc>
        <w:tc>
          <w:tcPr/>
          <w:p>
            <w:pPr>
              <w:pStyle w:val="Compact"/>
              <w:jc w:val="left"/>
            </w:pPr>
            <w:r>
              <w:t xml:space="preserve">RequestVote (plus log check)</w:t>
            </w:r>
          </w:p>
        </w:tc>
        <w:tc>
          <w:tcPr/>
          <w:p>
            <w:pPr>
              <w:pStyle w:val="Compact"/>
              <w:jc w:val="left"/>
            </w:pPr>
            <w:r>
              <w:t xml:space="preserve">Discovery and synchronization</w:t>
            </w:r>
          </w:p>
        </w:tc>
      </w:tr>
      <w:tr>
        <w:tc>
          <w:tcPr/>
          <w:p>
            <w:pPr>
              <w:pStyle w:val="Compact"/>
              <w:jc w:val="left"/>
            </w:pPr>
            <w:r>
              <w:t xml:space="preserve">Phase 2</w:t>
            </w:r>
          </w:p>
        </w:tc>
        <w:tc>
          <w:tcPr/>
          <w:p>
            <w:pPr>
              <w:pStyle w:val="Compact"/>
              <w:jc w:val="left"/>
            </w:pPr>
            <w:r>
              <w:t xml:space="preserve">Accept / Accepted</w:t>
            </w:r>
          </w:p>
        </w:tc>
        <w:tc>
          <w:tcPr/>
          <w:p>
            <w:pPr>
              <w:pStyle w:val="Compact"/>
              <w:jc w:val="left"/>
            </w:pPr>
            <w:r>
              <w:t xml:space="preserve">AppendEntries</w:t>
            </w:r>
          </w:p>
        </w:tc>
        <w:tc>
          <w:tcPr/>
          <w:p>
            <w:pPr>
              <w:pStyle w:val="Compact"/>
              <w:jc w:val="left"/>
            </w:pPr>
            <w:r>
              <w:t xml:space="preserve">Proposal / Ack / Commit</w:t>
            </w:r>
          </w:p>
        </w:tc>
      </w:tr>
      <w:tr>
        <w:tc>
          <w:tcPr/>
          <w:p>
            <w:pPr>
              <w:pStyle w:val="Compact"/>
              <w:jc w:val="left"/>
            </w:pPr>
            <w:r>
              <w:t xml:space="preserve">Log position</w:t>
            </w:r>
          </w:p>
        </w:tc>
        <w:tc>
          <w:tcPr/>
          <w:p>
            <w:pPr>
              <w:pStyle w:val="Compact"/>
              <w:jc w:val="left"/>
            </w:pPr>
            <w:r>
              <w:t xml:space="preserve">Slot (may have gaps)</w:t>
            </w:r>
          </w:p>
        </w:tc>
        <w:tc>
          <w:tcPr/>
          <w:p>
            <w:pPr>
              <w:pStyle w:val="Compact"/>
              <w:jc w:val="left"/>
            </w:pPr>
            <w:r>
              <w:t xml:space="preserve">Index (no gaps)</w:t>
            </w:r>
          </w:p>
        </w:tc>
        <w:tc>
          <w:tcPr/>
          <w:p>
            <w:pPr>
              <w:pStyle w:val="Compact"/>
              <w:jc w:val="left"/>
            </w:pPr>
            <w:r>
              <w:t xml:space="preserve">Counter (low 32 bits of zxid)</w:t>
            </w:r>
          </w:p>
        </w:tc>
      </w:tr>
      <w:tr>
        <w:tc>
          <w:tcPr/>
          <w:p>
            <w:pPr>
              <w:pStyle w:val="Compact"/>
              <w:jc w:val="left"/>
            </w:pPr>
            <w:r>
              <w:t xml:space="preserve">Who can become leader</w:t>
            </w:r>
          </w:p>
        </w:tc>
        <w:tc>
          <w:tcPr/>
          <w:p>
            <w:pPr>
              <w:pStyle w:val="Compact"/>
              <w:jc w:val="left"/>
            </w:pPr>
            <w:r>
              <w:t xml:space="preserve">Anyone; must learn and adopt prior values</w:t>
            </w:r>
          </w:p>
        </w:tc>
        <w:tc>
          <w:tcPr/>
          <w:p>
            <w:pPr>
              <w:pStyle w:val="Compact"/>
              <w:jc w:val="left"/>
            </w:pPr>
            <w:r>
              <w:t xml:space="preserve">Only a node with an up-to-date log</w:t>
            </w:r>
          </w:p>
        </w:tc>
        <w:tc>
          <w:tcPr/>
          <w:p>
            <w:pPr>
              <w:pStyle w:val="Compact"/>
              <w:jc w:val="left"/>
            </w:pPr>
            <w:r>
              <w:t xml:space="preserve">Node with the highest zxid, then synchronizes followers</w:t>
            </w:r>
          </w:p>
        </w:tc>
      </w:tr>
    </w:tbl>
    <w:bookmarkEnd w:id="2924"/>
    <w:bookmarkEnd w:id="2925"/>
    <w:bookmarkEnd w:id="2926"/>
    <w:bookmarkStart w:id="2953" w:name="raft"/>
    <w:p>
      <w:pPr>
        <w:pStyle w:val="Heading2"/>
      </w:pPr>
      <w:r>
        <w:t xml:space="preserve">26.7 Raft</w:t>
      </w:r>
    </w:p>
    <w:p>
      <w:pPr>
        <w:pStyle w:val="FirstParagraph"/>
      </w:pPr>
      <w:r>
        <w:t xml:space="preserve">Raft was designed by Diego Ongaro and John Ousterhout with</w:t>
      </w:r>
      <w:r>
        <w:t xml:space="preserve"> </w:t>
      </w:r>
      <w:r>
        <w:rPr>
          <w:bCs/>
          <w:b/>
        </w:rPr>
        <w:t xml:space="preserve">understandability</w:t>
      </w:r>
      <w:r>
        <w:t xml:space="preserve"> </w:t>
      </w:r>
      <w:r>
        <w:t xml:space="preserve">as its primary goal [Ongaro and Ousterhout 2014]. It matches Multi-Paxos in fault tolerance and performance, but splits consensus into leader election, log replication and safety, and removes freedoms Paxos allows, such as log gaps or a leader with a stale log. etcd, Consul, CockroachDB, TiKV, Vault’s integrated storage and Kafka’s KRaft (Chapter 31) all use Raft or close variants. Ongaro’s thesis adds membership changes, compaction, client interaction and read optimizations [Ongaro 2014].</w:t>
      </w:r>
    </w:p>
    <w:bookmarkStart w:id="2930" w:name="terms-roles-and-state"/>
    <w:p>
      <w:pPr>
        <w:pStyle w:val="Heading3"/>
      </w:pPr>
      <w:r>
        <w:t xml:space="preserve">26.7.1 Terms, roles and state</w:t>
      </w:r>
    </w:p>
    <w:p>
      <w:pPr>
        <w:pStyle w:val="CalloutDefinition"/>
      </w:pPr>
      <w:r>
        <w:rPr>
          <w:bCs/>
          <w:b/>
        </w:rPr>
        <w:t xml:space="preserve">DEFINITION</w:t>
      </w:r>
    </w:p>
    <w:p>
      <w:pPr>
        <w:pStyle w:val="CalloutDefinition"/>
      </w:pPr>
      <w:r>
        <w:rPr>
          <w:bCs/>
          <w:b/>
        </w:rPr>
        <w:t xml:space="preserve">Definition — Raft term.</w:t>
      </w:r>
      <w:r>
        <w:t xml:space="preserve"> </w:t>
      </w:r>
      <w:r>
        <w:t xml:space="preserve">A logical clock that divides time into consecutive, numbered periods. Each term begins with an election; if a candidate wins, it is the</w:t>
      </w:r>
      <w:r>
        <w:t xml:space="preserve"> </w:t>
      </w:r>
      <w:r>
        <w:rPr>
          <w:bCs/>
          <w:b/>
        </w:rPr>
        <w:t xml:space="preserve">leader</w:t>
      </w:r>
      <w:r>
        <w:t xml:space="preserve"> </w:t>
      </w:r>
      <w:r>
        <w:t xml:space="preserve">for the rest of the term, and there is at most one leader per term. Every RPC carries the sender’s term; a node that sees a higher term immediately adopts it and becomes a follower; a request with a lower term is rejected.</w:t>
      </w:r>
    </w:p>
    <w:p>
      <w:pPr>
        <w:pStyle w:val="BodyText"/>
      </w:pPr>
      <w:r>
        <w:t xml:space="preserve">Every node is in one of three roles:</w:t>
      </w:r>
      <w:r>
        <w:t xml:space="preserve"> </w:t>
      </w:r>
      <w:r>
        <w:rPr>
          <w:bCs/>
          <w:b/>
        </w:rPr>
        <w:t xml:space="preserve">follower</w:t>
      </w:r>
      <w:r>
        <w:t xml:space="preserve"> </w:t>
      </w:r>
      <w:r>
        <w:t xml:space="preserve">(passive; answers RPCs),</w:t>
      </w:r>
      <w:r>
        <w:t xml:space="preserve"> </w:t>
      </w:r>
      <w:r>
        <w:rPr>
          <w:bCs/>
          <w:b/>
        </w:rPr>
        <w:t xml:space="preserve">candidate</w:t>
      </w:r>
      <w:r>
        <w:t xml:space="preserve"> </w:t>
      </w:r>
      <w:r>
        <w:t xml:space="preserve">(seeking votes) or</w:t>
      </w:r>
      <w:r>
        <w:t xml:space="preserve"> </w:t>
      </w:r>
      <w:r>
        <w:rPr>
          <w:bCs/>
          <w:b/>
        </w:rPr>
        <w:t xml:space="preserve">leader</w:t>
      </w:r>
      <w:r>
        <w:t xml:space="preserve"> </w:t>
      </w:r>
      <w:r>
        <w:t xml:space="preserve">(handles all client writes and replicates the log). Each node persists</w:t>
      </w:r>
      <w:r>
        <w:t xml:space="preserve"> </w:t>
      </w:r>
      <w:r>
        <w:rPr>
          <w:rStyle w:val="VerbatimChar"/>
        </w:rPr>
        <w:t xml:space="preserve">currentTerm</w:t>
      </w:r>
      <w:r>
        <w:t xml:space="preserve">,</w:t>
      </w:r>
      <w:r>
        <w:t xml:space="preserve"> </w:t>
      </w:r>
      <w:r>
        <w:rPr>
          <w:rStyle w:val="VerbatimChar"/>
        </w:rPr>
        <w:t xml:space="preserve">votedFor</w:t>
      </w:r>
      <w:r>
        <w:t xml:space="preserve"> </w:t>
      </w:r>
      <w:r>
        <w:t xml:space="preserve">(the candidate it voted for in this term, if any) and its log, and must flush them to disk</w:t>
      </w:r>
      <w:r>
        <w:t xml:space="preserve"> </w:t>
      </w:r>
      <w:r>
        <w:rPr>
          <w:iCs/>
          <w:i/>
        </w:rPr>
        <w:t xml:space="preserve">before</w:t>
      </w:r>
      <w:r>
        <w:t xml:space="preserve"> </w:t>
      </w:r>
      <w:r>
        <w:t xml:space="preserve">replying to any RPC that changed them. Volatile state includes</w:t>
      </w:r>
      <w:r>
        <w:t xml:space="preserve"> </w:t>
      </w:r>
      <w:r>
        <w:rPr>
          <w:rStyle w:val="VerbatimChar"/>
        </w:rPr>
        <w:t xml:space="preserve">commitIndex</w:t>
      </w:r>
      <w:r>
        <w:t xml:space="preserve"> </w:t>
      </w:r>
      <w:r>
        <w:t xml:space="preserve">(highest entry known committed) and</w:t>
      </w:r>
      <w:r>
        <w:t xml:space="preserve"> </w:t>
      </w:r>
      <w:r>
        <w:rPr>
          <w:rStyle w:val="VerbatimChar"/>
        </w:rPr>
        <w:t xml:space="preserve">lastApplied</w:t>
      </w:r>
      <w:r>
        <w:t xml:space="preserve">; leaders also keep</w:t>
      </w:r>
      <w:r>
        <w:t xml:space="preserve"> </w:t>
      </w:r>
      <w:r>
        <w:rPr>
          <w:rStyle w:val="VerbatimChar"/>
        </w:rPr>
        <w:t xml:space="preserve">nextIndex[]</w:t>
      </w:r>
      <w:r>
        <w:t xml:space="preserve"> </w:t>
      </w:r>
      <w:r>
        <w:t xml:space="preserve">and</w:t>
      </w:r>
      <w:r>
        <w:t xml:space="preserve"> </w:t>
      </w:r>
      <w:r>
        <w:rPr>
          <w:rStyle w:val="VerbatimChar"/>
        </w:rPr>
        <w:t xml:space="preserve">matchIndex[]</w:t>
      </w:r>
      <w:r>
        <w:t xml:space="preserve"> </w:t>
      </w:r>
      <w:r>
        <w:t xml:space="preserve">per follower.</w:t>
      </w:r>
    </w:p>
    <w:p>
      <w:pPr>
        <w:pStyle w:val="BodyText"/>
      </w:pPr>
      <w:r>
        <w:rPr>
          <w:bCs/>
          <w:b/>
        </w:rPr>
        <w:t xml:space="preserve">Figure 26.7 — Raft role transitions.</w:t>
      </w:r>
    </w:p>
    <w:p>
      <w:pPr>
        <w:pStyle w:val="BodyText"/>
      </w:pPr>
      <w:r>
        <w:drawing>
          <wp:inline>
            <wp:extent cx="5334000" cy="2621935"/>
            <wp:effectExtent b="0" l="0" r="0" t="0"/>
            <wp:docPr descr="" title="" id="2928" name="Picture"/>
            <a:graphic>
              <a:graphicData uri="http://schemas.openxmlformats.org/drawingml/2006/picture">
                <pic:pic>
                  <pic:nvPicPr>
                    <pic:cNvPr descr="/home/user/System-Design/build/.cache/diagrams/966eacb06689.png" id="2929" name="Picture"/>
                    <pic:cNvPicPr>
                      <a:picLocks noChangeArrowheads="1" noChangeAspect="1"/>
                    </pic:cNvPicPr>
                  </pic:nvPicPr>
                  <pic:blipFill>
                    <a:blip r:embed="rId2927"/>
                    <a:stretch>
                      <a:fillRect/>
                    </a:stretch>
                  </pic:blipFill>
                  <pic:spPr bwMode="auto">
                    <a:xfrm>
                      <a:off x="0" y="0"/>
                      <a:ext cx="5334000" cy="2621935"/>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Every node starts as a follower. A follower that hears no leader for its randomized election timeout increments its term and becomes a candidate. A candidate becomes leader with a majority of votes, reverts to follower on hearing a legitimate leader or a higher term, and starts a new term if its timeout expires first (typically after a split vote). A leader steps down only on seeing a higher term. All transitions are local decisions from messages and timers. Failure point: a leader that is partitioned away stays leader in its own view, but cannot commit anything, and steps down as soon as it hears the higher term.</w:t>
      </w:r>
    </w:p>
    <w:bookmarkEnd w:id="2930"/>
    <w:bookmarkStart w:id="2931" w:name="leader-election-1"/>
    <w:p>
      <w:pPr>
        <w:pStyle w:val="Heading3"/>
      </w:pPr>
      <w:r>
        <w:t xml:space="preserve">26.7.2 Leader election</w:t>
      </w:r>
    </w:p>
    <w:p>
      <w:pPr>
        <w:numPr>
          <w:ilvl w:val="0"/>
          <w:numId w:val="1841"/>
        </w:numPr>
        <w:pStyle w:val="Compact"/>
      </w:pPr>
      <w:r>
        <w:t xml:space="preserve">A follower’s election timer expires. It increments</w:t>
      </w:r>
      <w:r>
        <w:t xml:space="preserve"> </w:t>
      </w:r>
      <w:r>
        <w:rPr>
          <w:rStyle w:val="VerbatimChar"/>
        </w:rPr>
        <w:t xml:space="preserve">currentTerm</w:t>
      </w:r>
      <w:r>
        <w:t xml:space="preserve">, votes for itself, persists both, and sends</w:t>
      </w:r>
      <w:r>
        <w:t xml:space="preserve"> </w:t>
      </w:r>
      <w:r>
        <w:rPr>
          <w:rStyle w:val="VerbatimChar"/>
        </w:rPr>
        <w:t xml:space="preserve">RequestVote(term, candidateId, lastLogIndex, lastLogTerm)</w:t>
      </w:r>
      <w:r>
        <w:t xml:space="preserve"> </w:t>
      </w:r>
      <w:r>
        <w:t xml:space="preserve">to all peers.</w:t>
      </w:r>
    </w:p>
    <w:p>
      <w:pPr>
        <w:numPr>
          <w:ilvl w:val="0"/>
          <w:numId w:val="1841"/>
        </w:numPr>
        <w:pStyle w:val="Compact"/>
      </w:pPr>
      <w:r>
        <w:t xml:space="preserve">A node grants its vote if the candidate’s term is at least its own, it has not voted for someone else in this term, and the</w:t>
      </w:r>
      <w:r>
        <w:t xml:space="preserve"> </w:t>
      </w:r>
      <w:r>
        <w:rPr>
          <w:bCs/>
          <w:b/>
        </w:rPr>
        <w:t xml:space="preserve">candidate’s log is at least as up-to-date</w:t>
      </w:r>
      <w:r>
        <w:t xml:space="preserve"> </w:t>
      </w:r>
      <w:r>
        <w:t xml:space="preserve">as its own: the candidate’s last entry has a higher term, or the same term and an index at least as large. Each node votes for at most one candidate per term, first come, first served.</w:t>
      </w:r>
    </w:p>
    <w:p>
      <w:pPr>
        <w:numPr>
          <w:ilvl w:val="0"/>
          <w:numId w:val="1841"/>
        </w:numPr>
        <w:pStyle w:val="Compact"/>
      </w:pPr>
      <w:r>
        <w:t xml:space="preserve">A candidate with votes from a majority becomes leader and immediately sends empty</w:t>
      </w:r>
      <w:r>
        <w:t xml:space="preserve"> </w:t>
      </w:r>
      <w:r>
        <w:rPr>
          <w:rStyle w:val="VerbatimChar"/>
        </w:rPr>
        <w:t xml:space="preserve">AppendEntries</w:t>
      </w:r>
      <w:r>
        <w:t xml:space="preserve"> </w:t>
      </w:r>
      <w:r>
        <w:t xml:space="preserve">heartbeats to assert authority.</w:t>
      </w:r>
    </w:p>
    <w:p>
      <w:pPr>
        <w:numPr>
          <w:ilvl w:val="0"/>
          <w:numId w:val="1841"/>
        </w:numPr>
        <w:pStyle w:val="Compact"/>
      </w:pPr>
      <w:r>
        <w:t xml:space="preserve">If two candidates split the vote, both time out and retry in a higher term. Raft makes this rare by drawing each timeout at random, for example uniformly from 150–300 ms, the range the paper recommends [Ongaro and Ousterhout 2014].</w:t>
      </w:r>
    </w:p>
    <w:p>
      <w:pPr>
        <w:pStyle w:val="FirstParagraph"/>
      </w:pPr>
      <w:r>
        <w:t xml:space="preserve">Raft’s timing requirement is</w:t>
      </w:r>
      <w:r>
        <w:t xml:space="preserve"> </w:t>
      </w:r>
      <m:oMath>
        <m:r>
          <m:rPr>
            <m:nor/>
            <m:sty m:val="p"/>
          </m:rPr>
          <m:t>broadcastTime</m:t>
        </m:r>
        <m:r>
          <m:rPr>
            <m:sty m:val="p"/>
          </m:rPr>
          <m:t>≪</m:t>
        </m:r>
        <m:r>
          <m:rPr>
            <m:nor/>
            <m:sty m:val="p"/>
          </m:rPr>
          <m:t>electionTimeout</m:t>
        </m:r>
        <m:r>
          <m:rPr>
            <m:sty m:val="p"/>
          </m:rPr>
          <m:t>≪</m:t>
        </m:r>
        <m:r>
          <m:rPr>
            <m:nor/>
            <m:sty m:val="p"/>
          </m:rPr>
          <m:t>MTBF</m:t>
        </m:r>
      </m:oMath>
      <w:r>
        <w:t xml:space="preserve">: heartbeats must arrive well within the timeout, and the timeout must be far shorter than the mean time between failures.</w:t>
      </w:r>
    </w:p>
    <w:p>
      <w:pPr>
        <w:pStyle w:val="CalloutFormula"/>
      </w:pPr>
      <w:r>
        <w:rPr>
          <w:bCs/>
          <w:b/>
        </w:rPr>
        <w:t xml:space="preserve">FORMULA</w:t>
      </w:r>
    </w:p>
    <w:p>
      <w:pPr>
        <w:pStyle w:val="CalloutFormula"/>
      </w:pPr>
      <w:r>
        <w:rPr>
          <w:bCs/>
          <w:b/>
        </w:rPr>
        <w:t xml:space="preserve">Raft election timing and expected failover time</w:t>
      </w:r>
    </w:p>
    <w:p>
      <w:pPr>
        <w:pStyle w:val="CalloutFormula"/>
      </w:pPr>
      <m:oMathPara>
        <m:oMathParaPr>
          <m:jc m:val="center"/>
        </m:oMathParaPr>
        <m:oMath>
          <m:r>
            <m:t>h</m:t>
          </m:r>
          <m:r>
            <m:rPr>
              <m:sty m:val="p"/>
            </m:rPr>
            <m:t>≈</m:t>
          </m:r>
          <m:sSub>
            <m:e>
              <m:r>
                <m:rPr>
                  <m:sty m:val="p"/>
                </m:rPr>
                <m:t>R</m:t>
              </m:r>
              <m:r>
                <m:rPr>
                  <m:sty m:val="p"/>
                </m:rPr>
                <m:t>T</m:t>
              </m:r>
              <m:r>
                <m:rPr>
                  <m:sty m:val="p"/>
                </m:rPr>
                <m:t>T</m:t>
              </m:r>
            </m:e>
            <m:sub>
              <m:r>
                <m:rPr>
                  <m:nor/>
                  <m:sty m:val="p"/>
                </m:rPr>
                <m:t>typ</m:t>
              </m:r>
            </m:sub>
          </m:sSub>
          <m:r>
            <m:rPr>
              <m:sty m:val="p"/>
            </m:rPr>
            <m:t>,</m:t>
          </m:r>
          <m:r>
            <m:t>  </m:t>
          </m:r>
          <m:sSub>
            <m:e>
              <m:r>
                <m:t>T</m:t>
              </m:r>
            </m:e>
            <m:sub>
              <m:r>
                <m:rPr>
                  <m:sty m:val="p"/>
                </m:rPr>
                <m:t>min</m:t>
              </m:r>
            </m:sub>
          </m:sSub>
          <m:r>
            <m:rPr>
              <m:sty m:val="p"/>
            </m:rPr>
            <m:t>≥</m:t>
          </m:r>
          <m:r>
            <m:t>10</m:t>
          </m:r>
          <m:r>
            <m:rPr>
              <m:sty m:val="p"/>
            </m:rPr>
            <m:t>×</m:t>
          </m:r>
          <m:sSub>
            <m:e>
              <m:r>
                <m:rPr>
                  <m:sty m:val="p"/>
                </m:rPr>
                <m:t>R</m:t>
              </m:r>
              <m:r>
                <m:rPr>
                  <m:sty m:val="p"/>
                </m:rPr>
                <m:t>T</m:t>
              </m:r>
              <m:r>
                <m:rPr>
                  <m:sty m:val="p"/>
                </m:rPr>
                <m:t>T</m:t>
              </m:r>
            </m:e>
            <m:sub>
              <m:r>
                <m:rPr>
                  <m:nor/>
                  <m:sty m:val="p"/>
                </m:rPr>
                <m:t>typ</m:t>
              </m:r>
            </m:sub>
          </m:sSub>
          <m:r>
            <m:rPr>
              <m:sty m:val="p"/>
            </m:rPr>
            <m:t>,</m:t>
          </m:r>
          <m:r>
            <m:t>  </m:t>
          </m:r>
          <m:sSub>
            <m:e>
              <m:r>
                <m:t>T</m:t>
              </m:r>
            </m:e>
            <m:sub>
              <m:r>
                <m:rPr>
                  <m:nor/>
                  <m:sty m:val="p"/>
                </m:rPr>
                <m:t>failover</m:t>
              </m:r>
            </m:sub>
          </m:sSub>
          <m:r>
            <m:rPr>
              <m:sty m:val="p"/>
            </m:rPr>
            <m:t>≈</m:t>
          </m:r>
          <m:sSub>
            <m:e>
              <m:r>
                <m:t>T</m:t>
              </m:r>
            </m:e>
            <m:sub>
              <m:r>
                <m:rPr>
                  <m:sty m:val="p"/>
                </m:rPr>
                <m:t>min</m:t>
              </m:r>
            </m:sub>
          </m:sSub>
          <m:r>
            <m:rPr>
              <m:sty m:val="p"/>
            </m:rPr>
            <m:t>+</m:t>
          </m:r>
          <m:f>
            <m:fPr>
              <m:type m:val="bar"/>
            </m:fPr>
            <m:num>
              <m:r>
                <m:t>W</m:t>
              </m:r>
            </m:num>
            <m:den>
              <m:r>
                <m:t>n</m:t>
              </m:r>
              <m:r>
                <m:rPr>
                  <m:sty m:val="p"/>
                </m:rPr>
                <m:t>+</m:t>
              </m:r>
              <m:r>
                <m:t>1</m:t>
              </m:r>
            </m:den>
          </m:f>
          <m:r>
            <m:rPr>
              <m:sty m:val="p"/>
            </m:rPr>
            <m:t>−</m:t>
          </m:r>
          <m:f>
            <m:fPr>
              <m:type m:val="bar"/>
            </m:fPr>
            <m:num>
              <m:r>
                <m:t>h</m:t>
              </m:r>
            </m:num>
            <m:den>
              <m:r>
                <m:t>2</m:t>
              </m:r>
            </m:den>
          </m:f>
          <m:r>
            <m:rPr>
              <m:sty m:val="p"/>
            </m:rPr>
            <m:t>+</m:t>
          </m:r>
          <m:r>
            <m:rPr>
              <m:sty m:val="p"/>
            </m:rPr>
            <m:t>R</m:t>
          </m:r>
          <m:r>
            <m:rPr>
              <m:sty m:val="p"/>
            </m:rPr>
            <m:t>T</m:t>
          </m:r>
          <m:r>
            <m:rPr>
              <m:sty m:val="p"/>
            </m:rPr>
            <m:t>T</m:t>
          </m:r>
          <m:r>
            <m:rPr>
              <m:sty m:val="p"/>
            </m:rPr>
            <m:t>+</m:t>
          </m:r>
          <m:sSub>
            <m:e>
              <m:r>
                <m:t>t</m:t>
              </m:r>
            </m:e>
            <m:sub>
              <m:r>
                <m:rPr>
                  <m:nor/>
                  <m:sty m:val="p"/>
                </m:rPr>
                <m:t>fsync</m:t>
              </m:r>
            </m:sub>
          </m:sSub>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h</m:t>
              </m:r>
            </m:oMath>
          </w:p>
        </w:tc>
        <w:tc>
          <w:tcPr/>
          <w:p>
            <w:pPr>
              <w:pStyle w:val="Compact"/>
              <w:jc w:val="left"/>
            </w:pPr>
            <w:r>
              <w:t xml:space="preserve">Heartbeat interval</w:t>
            </w:r>
          </w:p>
        </w:tc>
        <w:tc>
          <w:tcPr/>
          <w:p>
            <w:pPr>
              <w:pStyle w:val="Compact"/>
              <w:jc w:val="left"/>
            </w:pPr>
            <w:r>
              <w:t xml:space="preserve">ms</w:t>
            </w:r>
          </w:p>
        </w:tc>
      </w:tr>
      <w:tr>
        <w:tc>
          <w:tcPr/>
          <w:p>
            <w:pPr>
              <w:pStyle w:val="Compact"/>
              <w:jc w:val="left"/>
            </w:pPr>
            <m:oMath>
              <m:sSub>
                <m:e>
                  <m:r>
                    <m:rPr>
                      <m:sty m:val="p"/>
                    </m:rPr>
                    <m:t>R</m:t>
                  </m:r>
                  <m:r>
                    <m:rPr>
                      <m:sty m:val="p"/>
                    </m:rPr>
                    <m:t>T</m:t>
                  </m:r>
                  <m:r>
                    <m:rPr>
                      <m:sty m:val="p"/>
                    </m:rPr>
                    <m:t>T</m:t>
                  </m:r>
                </m:e>
                <m:sub>
                  <m:r>
                    <m:rPr>
                      <m:nor/>
                      <m:sty m:val="p"/>
                    </m:rPr>
                    <m:t>typ</m:t>
                  </m:r>
                </m:sub>
              </m:sSub>
            </m:oMath>
          </w:p>
        </w:tc>
        <w:tc>
          <w:tcPr/>
          <w:p>
            <w:pPr>
              <w:pStyle w:val="Compact"/>
              <w:jc w:val="left"/>
            </w:pPr>
            <w:r>
              <w:t xml:space="preserve">Typical round-trip time between members</w:t>
            </w:r>
          </w:p>
        </w:tc>
        <w:tc>
          <w:tcPr/>
          <w:p>
            <w:pPr>
              <w:pStyle w:val="Compact"/>
              <w:jc w:val="left"/>
            </w:pPr>
            <w:r>
              <w:t xml:space="preserve">ms</w:t>
            </w:r>
          </w:p>
        </w:tc>
      </w:tr>
      <w:tr>
        <w:tc>
          <w:tcPr/>
          <w:p>
            <w:pPr>
              <w:pStyle w:val="Compact"/>
              <w:jc w:val="left"/>
            </w:pPr>
            <m:oMath>
              <m:sSub>
                <m:e>
                  <m:r>
                    <m:t>T</m:t>
                  </m:r>
                </m:e>
                <m:sub>
                  <m:r>
                    <m:rPr>
                      <m:sty m:val="p"/>
                    </m:rPr>
                    <m:t>min</m:t>
                  </m:r>
                </m:sub>
              </m:sSub>
            </m:oMath>
            <w:r>
              <w:t xml:space="preserve">,</w:t>
            </w:r>
            <w:r>
              <w:t xml:space="preserve"> </w:t>
            </w:r>
            <m:oMath>
              <m:r>
                <m:t>W</m:t>
              </m:r>
            </m:oMath>
          </w:p>
        </w:tc>
        <w:tc>
          <w:tcPr/>
          <w:p>
            <w:pPr>
              <w:pStyle w:val="Compact"/>
              <w:jc w:val="left"/>
            </w:pPr>
            <w:r>
              <w:t xml:space="preserve">Election timeout is drawn uniformly from</w:t>
            </w:r>
            <w:r>
              <w:t xml:space="preserve"> </w:t>
            </w:r>
            <m:oMath>
              <m:d>
                <m:dPr>
                  <m:begChr m:val="["/>
                  <m:endChr m:val="]"/>
                  <m:sepChr m:val=""/>
                  <m:grow/>
                </m:dPr>
                <m:e>
                  <m:sSub>
                    <m:e>
                      <m:r>
                        <m:t>T</m:t>
                      </m:r>
                    </m:e>
                    <m:sub>
                      <m:r>
                        <m:rPr>
                          <m:sty m:val="p"/>
                        </m:rPr>
                        <m:t>min</m:t>
                      </m:r>
                    </m:sub>
                  </m:sSub>
                  <m:r>
                    <m:rPr>
                      <m:sty m:val="p"/>
                    </m:rPr>
                    <m:t>,</m:t>
                  </m:r>
                  <m:sSub>
                    <m:e>
                      <m:r>
                        <m:t>T</m:t>
                      </m:r>
                    </m:e>
                    <m:sub>
                      <m:r>
                        <m:rPr>
                          <m:sty m:val="p"/>
                        </m:rPr>
                        <m:t>min</m:t>
                      </m:r>
                    </m:sub>
                  </m:sSub>
                  <m:r>
                    <m:rPr>
                      <m:sty m:val="p"/>
                    </m:rPr>
                    <m:t>+</m:t>
                  </m:r>
                  <m:r>
                    <m:t>W</m:t>
                  </m:r>
                </m:e>
              </m:d>
            </m:oMath>
          </w:p>
        </w:tc>
        <w:tc>
          <w:tcPr/>
          <w:p>
            <w:pPr>
              <w:pStyle w:val="Compact"/>
              <w:jc w:val="left"/>
            </w:pPr>
            <w:r>
              <w:t xml:space="preserve">ms</w:t>
            </w:r>
          </w:p>
        </w:tc>
      </w:tr>
      <w:tr>
        <w:tc>
          <w:tcPr/>
          <w:p>
            <w:pPr>
              <w:pStyle w:val="Compact"/>
              <w:jc w:val="left"/>
            </w:pPr>
            <m:oMath>
              <m:r>
                <m:t>n</m:t>
              </m:r>
            </m:oMath>
          </w:p>
        </w:tc>
        <w:tc>
          <w:tcPr/>
          <w:p>
            <w:pPr>
              <w:pStyle w:val="Compact"/>
              <w:jc w:val="left"/>
            </w:pPr>
            <w:r>
              <w:t xml:space="preserve">Followers still alive after the leader fails</w:t>
            </w:r>
          </w:p>
        </w:tc>
        <w:tc>
          <w:tcPr/>
          <w:p>
            <w:pPr>
              <w:pStyle w:val="Compact"/>
              <w:jc w:val="left"/>
            </w:pPr>
            <w:r>
              <w:t xml:space="preserve">nodes</w:t>
            </w:r>
          </w:p>
        </w:tc>
      </w:tr>
      <w:tr>
        <w:tc>
          <w:tcPr/>
          <w:p>
            <w:pPr>
              <w:pStyle w:val="Compact"/>
              <w:jc w:val="left"/>
            </w:pPr>
            <m:oMath>
              <m:sSub>
                <m:e>
                  <m:r>
                    <m:t>T</m:t>
                  </m:r>
                </m:e>
                <m:sub>
                  <m:r>
                    <m:rPr>
                      <m:nor/>
                      <m:sty m:val="p"/>
                    </m:rPr>
                    <m:t>failover</m:t>
                  </m:r>
                </m:sub>
              </m:sSub>
            </m:oMath>
          </w:p>
        </w:tc>
        <w:tc>
          <w:tcPr/>
          <w:p>
            <w:pPr>
              <w:pStyle w:val="Compact"/>
              <w:jc w:val="left"/>
            </w:pPr>
            <w:r>
              <w:t xml:space="preserve">Expected time from leader crash to a new leader</w:t>
            </w:r>
          </w:p>
        </w:tc>
        <w:tc>
          <w:tcPr/>
          <w:p>
            <w:pPr>
              <w:pStyle w:val="Compact"/>
              <w:jc w:val="left"/>
            </w:pPr>
            <w:r>
              <w:t xml:space="preserve">ms</w:t>
            </w:r>
          </w:p>
        </w:tc>
      </w:tr>
    </w:tbl>
    <w:p>
      <w:pPr>
        <w:pStyle w:val="BodyText"/>
      </w:pPr>
      <w:r>
        <w:t xml:space="preserve">The heartbeat and 10× rules are the etcd tuning guidance [etcd Docs: Tuning]. The failover estimate adds three pieces: the earliest of</w:t>
      </w:r>
      <w:r>
        <w:t xml:space="preserve"> </w:t>
      </w:r>
      <m:oMath>
        <m:r>
          <m:t>n</m:t>
        </m:r>
      </m:oMath>
      <w:r>
        <w:t xml:space="preserve"> </w:t>
      </w:r>
      <w:r>
        <w:t xml:space="preserve">uniform timers fires on average</w:t>
      </w:r>
      <w:r>
        <w:t xml:space="preserve"> </w:t>
      </w:r>
      <m:oMath>
        <m:r>
          <m:t>W</m:t>
        </m:r>
        <m:r>
          <m:rPr>
            <m:sty m:val="p"/>
          </m:rPr>
          <m:t>/</m:t>
        </m:r>
        <m:d>
          <m:dPr>
            <m:begChr m:val="("/>
            <m:endChr m:val=")"/>
            <m:sepChr m:val=""/>
            <m:grow/>
          </m:dPr>
          <m:e>
            <m:r>
              <m:t>n</m:t>
            </m:r>
            <m:r>
              <m:rPr>
                <m:sty m:val="p"/>
              </m:rPr>
              <m:t>+</m:t>
            </m:r>
            <m:r>
              <m:t>1</m:t>
            </m:r>
          </m:e>
        </m:d>
      </m:oMath>
      <w:r>
        <w:t xml:space="preserve"> </w:t>
      </w:r>
      <w:r>
        <w:t xml:space="preserve">after</w:t>
      </w:r>
      <w:r>
        <w:t xml:space="preserve"> </w:t>
      </w:r>
      <m:oMath>
        <m:sSub>
          <m:e>
            <m:r>
              <m:t>T</m:t>
            </m:r>
          </m:e>
          <m:sub>
            <m:r>
              <m:rPr>
                <m:sty m:val="p"/>
              </m:rPr>
              <m:t>min</m:t>
            </m:r>
          </m:sub>
        </m:sSub>
      </m:oMath>
      <w:r>
        <w:t xml:space="preserve">; timers were last reset by a heartbeat on average</w:t>
      </w:r>
      <w:r>
        <w:t xml:space="preserve"> </w:t>
      </w:r>
      <m:oMath>
        <m:r>
          <m:t>h</m:t>
        </m:r>
        <m:r>
          <m:rPr>
            <m:sty m:val="p"/>
          </m:rPr>
          <m:t>/</m:t>
        </m:r>
        <m:r>
          <m:t>2</m:t>
        </m:r>
      </m:oMath>
      <w:r>
        <w:t xml:space="preserve"> </w:t>
      </w:r>
      <w:r>
        <w:t xml:space="preserve">before the crash; and the winner then needs one vote round trip with a disk flush.</w:t>
      </w:r>
    </w:p>
    <w:p>
      <w:pPr>
        <w:pStyle w:val="CalloutExample"/>
      </w:pPr>
      <w:r>
        <w:rPr>
          <w:bCs/>
          <w:b/>
        </w:rPr>
        <w:t xml:space="preserve">WORKED EXAMPLE</w:t>
      </w:r>
    </w:p>
    <w:p>
      <w:pPr>
        <w:pStyle w:val="CalloutExample"/>
      </w:pPr>
      <w:r>
        <w:rPr>
          <w:bCs/>
          <w:b/>
        </w:rPr>
        <w:t xml:space="preserve">Worked example — two deployments.</w:t>
      </w:r>
    </w:p>
    <w:p>
      <w:pPr>
        <w:numPr>
          <w:ilvl w:val="0"/>
          <w:numId w:val="1842"/>
        </w:numPr>
        <w:pStyle w:val="Compact"/>
      </w:pPr>
      <w:r>
        <w:rPr>
          <w:iCs/>
          <w:i/>
        </w:rPr>
        <w:t xml:space="preserve">Single data center</w:t>
      </w:r>
      <w:r>
        <w:t xml:space="preserve">, RTT about 0.5 ms, Raft-paper settings:</w:t>
      </w:r>
      <w:r>
        <w:t xml:space="preserve"> </w:t>
      </w:r>
      <m:oMath>
        <m:r>
          <m:t>h</m:t>
        </m:r>
        <m:r>
          <m:rPr>
            <m:sty m:val="p"/>
          </m:rPr>
          <m:t>=</m:t>
        </m:r>
        <m:r>
          <m:t>50</m:t>
        </m:r>
      </m:oMath>
      <w:r>
        <w:t xml:space="preserve"> </w:t>
      </w:r>
      <w:r>
        <w:t xml:space="preserve">ms,</w:t>
      </w:r>
      <w:r>
        <w:t xml:space="preserve"> </w:t>
      </w:r>
      <m:oMath>
        <m:sSub>
          <m:e>
            <m:r>
              <m:t>T</m:t>
            </m:r>
          </m:e>
          <m:sub>
            <m:r>
              <m:rPr>
                <m:sty m:val="p"/>
              </m:rPr>
              <m:t>min</m:t>
            </m:r>
          </m:sub>
        </m:sSub>
        <m:r>
          <m:rPr>
            <m:sty m:val="p"/>
          </m:rPr>
          <m:t>=</m:t>
        </m:r>
        <m:r>
          <m:t>150</m:t>
        </m:r>
      </m:oMath>
      <w:r>
        <w:t xml:space="preserve"> </w:t>
      </w:r>
      <w:r>
        <w:t xml:space="preserve">ms,</w:t>
      </w:r>
      <w:r>
        <w:t xml:space="preserve"> </w:t>
      </w:r>
      <m:oMath>
        <m:r>
          <m:t>W</m:t>
        </m:r>
        <m:r>
          <m:rPr>
            <m:sty m:val="p"/>
          </m:rPr>
          <m:t>=</m:t>
        </m:r>
        <m:r>
          <m:t>150</m:t>
        </m:r>
      </m:oMath>
      <w:r>
        <w:t xml:space="preserve"> </w:t>
      </w:r>
      <w:r>
        <w:t xml:space="preserve">ms, 5 nodes so</w:t>
      </w:r>
      <w:r>
        <w:t xml:space="preserve"> </w:t>
      </w:r>
      <m:oMath>
        <m:r>
          <m:t>n</m:t>
        </m:r>
        <m:r>
          <m:rPr>
            <m:sty m:val="p"/>
          </m:rPr>
          <m:t>=</m:t>
        </m:r>
        <m:r>
          <m:t>4</m:t>
        </m:r>
      </m:oMath>
      <w:r>
        <w:t xml:space="preserve"> </w:t>
      </w:r>
      <w:r>
        <w:t xml:space="preserve">survivors.</w:t>
      </w:r>
      <w:r>
        <w:t xml:space="preserve"> </w:t>
      </w:r>
      <m:oMath>
        <m:sSub>
          <m:e>
            <m:r>
              <m:t>T</m:t>
            </m:r>
          </m:e>
          <m:sub>
            <m:r>
              <m:rPr>
                <m:nor/>
                <m:sty m:val="p"/>
              </m:rPr>
              <m:t>failover</m:t>
            </m:r>
          </m:sub>
        </m:sSub>
        <m:r>
          <m:rPr>
            <m:sty m:val="p"/>
          </m:rPr>
          <m:t>≈</m:t>
        </m:r>
        <m:r>
          <m:t>150</m:t>
        </m:r>
        <m:r>
          <m:rPr>
            <m:sty m:val="p"/>
          </m:rPr>
          <m:t>+</m:t>
        </m:r>
        <m:r>
          <m:t>150</m:t>
        </m:r>
        <m:r>
          <m:rPr>
            <m:sty m:val="p"/>
          </m:rPr>
          <m:t>/</m:t>
        </m:r>
        <m:r>
          <m:t>5</m:t>
        </m:r>
        <m:r>
          <m:rPr>
            <m:sty m:val="p"/>
          </m:rPr>
          <m:t>−</m:t>
        </m:r>
        <m:r>
          <m:t>50</m:t>
        </m:r>
        <m:r>
          <m:rPr>
            <m:sty m:val="p"/>
          </m:rPr>
          <m:t>/</m:t>
        </m:r>
        <m:r>
          <m:t>2</m:t>
        </m:r>
        <m:r>
          <m:rPr>
            <m:sty m:val="p"/>
          </m:rPr>
          <m:t>+</m:t>
        </m:r>
        <m:r>
          <m:t>0.5</m:t>
        </m:r>
        <m:r>
          <m:rPr>
            <m:sty m:val="p"/>
          </m:rPr>
          <m:t>+</m:t>
        </m:r>
        <m:r>
          <m:t>1</m:t>
        </m:r>
        <m:r>
          <m:rPr>
            <m:sty m:val="p"/>
          </m:rPr>
          <m:t>=</m:t>
        </m:r>
        <m:r>
          <m:t>150</m:t>
        </m:r>
        <m:r>
          <m:rPr>
            <m:sty m:val="p"/>
          </m:rPr>
          <m:t>+</m:t>
        </m:r>
        <m:r>
          <m:t>30</m:t>
        </m:r>
        <m:r>
          <m:rPr>
            <m:sty m:val="p"/>
          </m:rPr>
          <m:t>−</m:t>
        </m:r>
        <m:r>
          <m:t>25</m:t>
        </m:r>
        <m:r>
          <m:rPr>
            <m:sty m:val="p"/>
          </m:rPr>
          <m:t>+</m:t>
        </m:r>
        <m:r>
          <m:t>1.5</m:t>
        </m:r>
        <m:r>
          <m:rPr>
            <m:sty m:val="p"/>
          </m:rPr>
          <m:t>=</m:t>
        </m:r>
        <m:r>
          <m:t>156.5</m:t>
        </m:r>
      </m:oMath>
      <w:r>
        <w:t xml:space="preserve"> </w:t>
      </w:r>
      <w:r>
        <w:t xml:space="preserve">ms.</w:t>
      </w:r>
    </w:p>
    <w:p>
      <w:pPr>
        <w:numPr>
          <w:ilvl w:val="0"/>
          <w:numId w:val="1842"/>
        </w:numPr>
        <w:pStyle w:val="Compact"/>
      </w:pPr>
      <w:r>
        <w:rPr>
          <w:iCs/>
          <w:i/>
        </w:rPr>
        <w:t xml:space="preserve">Cross-region</w:t>
      </w:r>
      <w:r>
        <w:t xml:space="preserve">, RTT 70 ms:</w:t>
      </w:r>
      <w:r>
        <w:t xml:space="preserve"> </w:t>
      </w:r>
      <m:oMath>
        <m:r>
          <m:t>h</m:t>
        </m:r>
        <m:r>
          <m:rPr>
            <m:sty m:val="p"/>
          </m:rPr>
          <m:t>=</m:t>
        </m:r>
        <m:r>
          <m:t>100</m:t>
        </m:r>
      </m:oMath>
      <w:r>
        <w:t xml:space="preserve"> </w:t>
      </w:r>
      <w:r>
        <w:t xml:space="preserve">ms (etcd’s default), and</w:t>
      </w:r>
      <w:r>
        <w:t xml:space="preserve"> </w:t>
      </w:r>
      <m:oMath>
        <m:sSub>
          <m:e>
            <m:r>
              <m:t>T</m:t>
            </m:r>
          </m:e>
          <m:sub>
            <m:r>
              <m:rPr>
                <m:sty m:val="p"/>
              </m:rPr>
              <m:t>min</m:t>
            </m:r>
          </m:sub>
        </m:sSub>
        <m:r>
          <m:rPr>
            <m:sty m:val="p"/>
          </m:rPr>
          <m:t>≥</m:t>
        </m:r>
        <m:r>
          <m:t>10</m:t>
        </m:r>
        <m:r>
          <m:rPr>
            <m:sty m:val="p"/>
          </m:rPr>
          <m:t>×</m:t>
        </m:r>
        <m:r>
          <m:t>70</m:t>
        </m:r>
        <m:r>
          <m:rPr>
            <m:sty m:val="p"/>
          </m:rPr>
          <m:t>=</m:t>
        </m:r>
        <m:r>
          <m:t>700</m:t>
        </m:r>
      </m:oMath>
      <w:r>
        <w:t xml:space="preserve"> </w:t>
      </w:r>
      <w:r>
        <w:t xml:space="preserve">ms, so keep etcd’s default of 1,000 ms; etcd’s Raft library randomizes over</w:t>
      </w:r>
      <w:r>
        <w:t xml:space="preserve"> </w:t>
      </w:r>
      <m:oMath>
        <m:r>
          <m:rPr>
            <m:sty m:val="p"/>
          </m:rPr>
          <m:t>[</m:t>
        </m:r>
        <m:r>
          <m:t>T</m:t>
        </m:r>
        <m:r>
          <m:rPr>
            <m:sty m:val="p"/>
          </m:rPr>
          <m:t>,</m:t>
        </m:r>
        <m:r>
          <m:t>2</m:t>
        </m:r>
        <m:r>
          <m:t>T</m:t>
        </m:r>
        <m:r>
          <m:rPr>
            <m:sty m:val="p"/>
          </m:rPr>
          <m:t>)</m:t>
        </m:r>
      </m:oMath>
      <w:r>
        <w:t xml:space="preserve">, so</w:t>
      </w:r>
      <w:r>
        <w:t xml:space="preserve"> </w:t>
      </w:r>
      <m:oMath>
        <m:r>
          <m:t>W</m:t>
        </m:r>
        <m:r>
          <m:rPr>
            <m:sty m:val="p"/>
          </m:rPr>
          <m:t>=</m:t>
        </m:r>
        <m:r>
          <m:t>1</m:t>
        </m:r>
        <m:r>
          <m:rPr>
            <m:sty m:val="p"/>
          </m:rPr>
          <m:t>,</m:t>
        </m:r>
        <m:r>
          <m:t>000</m:t>
        </m:r>
      </m:oMath>
      <w:r>
        <w:t xml:space="preserve"> </w:t>
      </w:r>
      <w:r>
        <w:t xml:space="preserve">ms.</w:t>
      </w:r>
      <w:r>
        <w:t xml:space="preserve"> </w:t>
      </w:r>
      <m:oMath>
        <m:sSub>
          <m:e>
            <m:r>
              <m:t>T</m:t>
            </m:r>
          </m:e>
          <m:sub>
            <m:r>
              <m:rPr>
                <m:nor/>
                <m:sty m:val="p"/>
              </m:rPr>
              <m:t>failover</m:t>
            </m:r>
          </m:sub>
        </m:sSub>
        <m:r>
          <m:rPr>
            <m:sty m:val="p"/>
          </m:rPr>
          <m:t>≈</m:t>
        </m:r>
        <m:r>
          <m:t>1</m:t>
        </m:r>
        <m:r>
          <m:rPr>
            <m:sty m:val="p"/>
          </m:rPr>
          <m:t>,</m:t>
        </m:r>
        <m:r>
          <m:t>000</m:t>
        </m:r>
        <m:r>
          <m:rPr>
            <m:sty m:val="p"/>
          </m:rPr>
          <m:t>+</m:t>
        </m:r>
        <m:r>
          <m:t>1</m:t>
        </m:r>
        <m:r>
          <m:rPr>
            <m:sty m:val="p"/>
          </m:rPr>
          <m:t>,</m:t>
        </m:r>
        <m:r>
          <m:t>000</m:t>
        </m:r>
        <m:r>
          <m:rPr>
            <m:sty m:val="p"/>
          </m:rPr>
          <m:t>/</m:t>
        </m:r>
        <m:r>
          <m:t>5</m:t>
        </m:r>
        <m:r>
          <m:rPr>
            <m:sty m:val="p"/>
          </m:rPr>
          <m:t>−</m:t>
        </m:r>
        <m:r>
          <m:t>50</m:t>
        </m:r>
        <m:r>
          <m:rPr>
            <m:sty m:val="p"/>
          </m:rPr>
          <m:t>+</m:t>
        </m:r>
        <m:r>
          <m:t>70</m:t>
        </m:r>
        <m:r>
          <m:rPr>
            <m:sty m:val="p"/>
          </m:rPr>
          <m:t>+</m:t>
        </m:r>
        <m:r>
          <m:t>1</m:t>
        </m:r>
        <m:r>
          <m:rPr>
            <m:sty m:val="p"/>
          </m:rPr>
          <m:t>=</m:t>
        </m:r>
        <m:r>
          <m:t>1</m:t>
        </m:r>
        <m:r>
          <m:rPr>
            <m:sty m:val="p"/>
          </m:rPr>
          <m:t>,</m:t>
        </m:r>
        <m:r>
          <m:t>221</m:t>
        </m:r>
      </m:oMath>
      <w:r>
        <w:t xml:space="preserve"> </w:t>
      </w:r>
      <w:r>
        <w:t xml:space="preserve">ms.</w:t>
      </w:r>
    </w:p>
    <w:p>
      <w:pPr>
        <w:pStyle w:val="CalloutExample"/>
      </w:pPr>
      <w:r>
        <w:rPr>
          <w:bCs/>
          <w:b/>
        </w:rPr>
        <w:t xml:space="preserve">Interpretation.</w:t>
      </w:r>
      <w:r>
        <w:t xml:space="preserve"> </w:t>
      </w:r>
      <w:r>
        <w:t xml:space="preserve">The simulator in §26.7.7, which uses the first deployment’s settings, measures a median failover of 155 ms over 200 seeded runs, matching the estimate.</w:t>
      </w:r>
      <w:r>
        <w:t xml:space="preserve"> </w:t>
      </w:r>
      <w:r>
        <w:rPr>
          <w:bCs/>
          <w:b/>
        </w:rPr>
        <w:t xml:space="preserve">Engineering implication.</w:t>
      </w:r>
      <w:r>
        <w:t xml:space="preserve"> </w:t>
      </w:r>
      <w:r>
        <w:t xml:space="preserve">Failover time is dominated by the election timeout, which must grow with network RTT. Lowering it below about 10 RTTs trades faster failover for spurious elections whenever a p99.9 network hiccup or GC pause delays heartbeats.</w:t>
      </w:r>
    </w:p>
    <w:p>
      <w:pPr>
        <w:pStyle w:val="BodyText"/>
      </w:pPr>
      <w:r>
        <w:t xml:space="preserve">Randomization does not eliminate competing candidates; it makes them unlikely.</w:t>
      </w:r>
    </w:p>
    <w:p>
      <w:pPr>
        <w:pStyle w:val="CalloutFormula"/>
      </w:pPr>
      <w:r>
        <w:rPr>
          <w:bCs/>
          <w:b/>
        </w:rPr>
        <w:t xml:space="preserve">FORMULA</w:t>
      </w:r>
    </w:p>
    <w:p>
      <w:pPr>
        <w:pStyle w:val="CalloutFormula"/>
      </w:pPr>
      <w:r>
        <w:rPr>
          <w:bCs/>
          <w:b/>
        </w:rPr>
        <w:t xml:space="preserve">Probability that a second candidate starts before the first’s votes arrive</w:t>
      </w:r>
    </w:p>
    <w:p>
      <w:pPr>
        <w:pStyle w:val="CalloutFormula"/>
      </w:pPr>
      <m:oMathPara>
        <m:oMathParaPr>
          <m:jc m:val="center"/>
        </m:oMathParaPr>
        <m:oMath>
          <m:sSub>
            <m:e>
              <m:r>
                <m:t>P</m:t>
              </m:r>
            </m:e>
            <m:sub>
              <m:r>
                <m:rPr>
                  <m:nor/>
                  <m:sty m:val="p"/>
                </m:rPr>
                <m:t>contend</m:t>
              </m:r>
            </m:sub>
          </m:sSub>
          <m:r>
            <m:rPr>
              <m:sty m:val="p"/>
            </m:rPr>
            <m:t>=</m:t>
          </m:r>
          <m:r>
            <m:t>1</m:t>
          </m:r>
          <m:r>
            <m:rPr>
              <m:sty m:val="p"/>
            </m:rPr>
            <m:t>−</m:t>
          </m:r>
          <m:sSup>
            <m:e>
              <m:d>
                <m:dPr>
                  <m:begChr m:val="("/>
                  <m:endChr m:val=")"/>
                  <m:sepChr m:val=""/>
                  <m:grow/>
                </m:dPr>
                <m:e>
                  <m:r>
                    <m:t>1</m:t>
                  </m:r>
                  <m:r>
                    <m:rPr>
                      <m:sty m:val="p"/>
                    </m:rPr>
                    <m:t>−</m:t>
                  </m:r>
                  <m:f>
                    <m:fPr>
                      <m:type m:val="bar"/>
                    </m:fPr>
                    <m:num>
                      <m:r>
                        <m:t>δ</m:t>
                      </m:r>
                    </m:num>
                    <m:den>
                      <m:r>
                        <m:t>W</m:t>
                      </m:r>
                    </m:den>
                  </m:f>
                </m:e>
              </m:d>
            </m:e>
            <m:sup>
              <m:r>
                <m:t>n</m:t>
              </m:r>
            </m:sup>
          </m:sSup>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δ</m:t>
              </m:r>
            </m:oMath>
          </w:p>
        </w:tc>
        <w:tc>
          <w:tcPr/>
          <w:p>
            <w:pPr>
              <w:pStyle w:val="Compact"/>
              <w:jc w:val="left"/>
            </w:pPr>
            <w:r>
              <w:t xml:space="preserve">Time for the first candidate’s RequestVote to reach the others (one-way delay plus flush)</w:t>
            </w:r>
          </w:p>
        </w:tc>
        <w:tc>
          <w:tcPr/>
          <w:p>
            <w:pPr>
              <w:pStyle w:val="Compact"/>
              <w:jc w:val="left"/>
            </w:pPr>
            <w:r>
              <w:t xml:space="preserve">ms</w:t>
            </w:r>
          </w:p>
        </w:tc>
      </w:tr>
      <w:tr>
        <w:tc>
          <w:tcPr/>
          <w:p>
            <w:pPr>
              <w:pStyle w:val="Compact"/>
              <w:jc w:val="left"/>
            </w:pPr>
            <m:oMath>
              <m:r>
                <m:t>W</m:t>
              </m:r>
            </m:oMath>
          </w:p>
        </w:tc>
        <w:tc>
          <w:tcPr/>
          <w:p>
            <w:pPr>
              <w:pStyle w:val="Compact"/>
              <w:jc w:val="left"/>
            </w:pPr>
            <w:r>
              <w:t xml:space="preserve">Width of the randomized timeout range</w:t>
            </w:r>
          </w:p>
        </w:tc>
        <w:tc>
          <w:tcPr/>
          <w:p>
            <w:pPr>
              <w:pStyle w:val="Compact"/>
              <w:jc w:val="left"/>
            </w:pPr>
            <w:r>
              <w:t xml:space="preserve">ms</w:t>
            </w:r>
          </w:p>
        </w:tc>
      </w:tr>
      <w:tr>
        <w:tc>
          <w:tcPr/>
          <w:p>
            <w:pPr>
              <w:pStyle w:val="Compact"/>
              <w:jc w:val="left"/>
            </w:pPr>
            <m:oMath>
              <m:r>
                <m:t>n</m:t>
              </m:r>
            </m:oMath>
          </w:p>
        </w:tc>
        <w:tc>
          <w:tcPr/>
          <w:p>
            <w:pPr>
              <w:pStyle w:val="Compact"/>
              <w:jc w:val="left"/>
            </w:pPr>
            <w:r>
              <w:t xml:space="preserve">Number of followers whose timers are running</w:t>
            </w:r>
          </w:p>
        </w:tc>
        <w:tc>
          <w:tcPr/>
          <w:p>
            <w:pPr>
              <w:pStyle w:val="Compact"/>
              <w:jc w:val="left"/>
            </w:pPr>
            <w:r>
              <w:t xml:space="preserve">nodes</w:t>
            </w:r>
          </w:p>
        </w:tc>
      </w:tr>
      <w:tr>
        <w:tc>
          <w:tcPr/>
          <w:p>
            <w:pPr>
              <w:pStyle w:val="Compact"/>
              <w:jc w:val="left"/>
            </w:pPr>
            <m:oMath>
              <m:sSub>
                <m:e>
                  <m:r>
                    <m:t>P</m:t>
                  </m:r>
                </m:e>
                <m:sub>
                  <m:r>
                    <m:rPr>
                      <m:nor/>
                      <m:sty m:val="p"/>
                    </m:rPr>
                    <m:t>contend</m:t>
                  </m:r>
                </m:sub>
              </m:sSub>
            </m:oMath>
          </w:p>
        </w:tc>
        <w:tc>
          <w:tcPr/>
          <w:p>
            <w:pPr>
              <w:pStyle w:val="Compact"/>
              <w:jc w:val="left"/>
            </w:pPr>
            <w:r>
              <w:t xml:space="preserve">Probability that the gap between the first two timeouts is below</w:t>
            </w:r>
            <w:r>
              <w:t xml:space="preserve"> </w:t>
            </w:r>
            <m:oMath>
              <m:r>
                <m:t>δ</m:t>
              </m:r>
            </m:oMath>
          </w:p>
        </w:tc>
        <w:tc>
          <w:tcPr/>
          <w:p>
            <w:pPr>
              <w:pStyle w:val="Compact"/>
              <w:jc w:val="left"/>
            </w:pPr>
            <w:r>
              <w:t xml:space="preserve">dimensionless</w:t>
            </w:r>
          </w:p>
        </w:tc>
      </w:tr>
    </w:tbl>
    <w:p>
      <w:pPr>
        <w:pStyle w:val="CalloutExample"/>
      </w:pPr>
      <w:r>
        <w:rPr>
          <w:bCs/>
          <w:b/>
        </w:rPr>
        <w:t xml:space="preserve">WORKED EXAMPLE</w:t>
      </w:r>
    </w:p>
    <w:p>
      <w:pPr>
        <w:pStyle w:val="CalloutExample"/>
      </w:pPr>
      <w:r>
        <w:rPr>
          <w:bCs/>
          <w:b/>
        </w:rPr>
        <w:t xml:space="preserve">Worked example — choosing the randomization width.</w:t>
      </w:r>
      <w:r>
        <w:t xml:space="preserve"> </w:t>
      </w:r>
      <w:r>
        <w:t xml:space="preserve">With</w:t>
      </w:r>
      <w:r>
        <w:t xml:space="preserve"> </w:t>
      </w:r>
      <m:oMath>
        <m:r>
          <m:t>n</m:t>
        </m:r>
        <m:r>
          <m:rPr>
            <m:sty m:val="p"/>
          </m:rPr>
          <m:t>=</m:t>
        </m:r>
        <m:r>
          <m:t>4</m:t>
        </m:r>
      </m:oMath>
      <w:r>
        <w:t xml:space="preserve"> </w:t>
      </w:r>
      <w:r>
        <w:t xml:space="preserve">and</w:t>
      </w:r>
      <w:r>
        <w:t xml:space="preserve"> </w:t>
      </w:r>
      <m:oMath>
        <m:r>
          <m:t>δ</m:t>
        </m:r>
        <m:r>
          <m:rPr>
            <m:sty m:val="p"/>
          </m:rPr>
          <m:t>=</m:t>
        </m:r>
        <m:r>
          <m:t>10</m:t>
        </m:r>
      </m:oMath>
      <w:r>
        <w:t xml:space="preserve"> </w:t>
      </w:r>
      <w:r>
        <w:t xml:space="preserve">ms:</w:t>
      </w:r>
    </w:p>
    <w:p>
      <w:pPr>
        <w:numPr>
          <w:ilvl w:val="0"/>
          <w:numId w:val="1843"/>
        </w:numPr>
        <w:pStyle w:val="Compact"/>
      </w:pPr>
      <m:oMath>
        <m:r>
          <m:t>W</m:t>
        </m:r>
        <m:r>
          <m:rPr>
            <m:sty m:val="p"/>
          </m:rPr>
          <m:t>=</m:t>
        </m:r>
        <m:r>
          <m:t>150</m:t>
        </m:r>
      </m:oMath>
      <w:r>
        <w:t xml:space="preserve"> </w:t>
      </w:r>
      <w:r>
        <w:t xml:space="preserve">ms:</w:t>
      </w:r>
      <w:r>
        <w:t xml:space="preserve"> </w:t>
      </w:r>
      <m:oMath>
        <m:r>
          <m:t>1</m:t>
        </m:r>
        <m:r>
          <m:rPr>
            <m:sty m:val="p"/>
          </m:rPr>
          <m:t>−</m:t>
        </m:r>
        <m:sSup>
          <m:e>
            <m:d>
              <m:dPr>
                <m:begChr m:val="("/>
                <m:endChr m:val=")"/>
                <m:sepChr m:val=""/>
                <m:grow/>
              </m:dPr>
              <m:e>
                <m:r>
                  <m:t>1</m:t>
                </m:r>
                <m:r>
                  <m:rPr>
                    <m:sty m:val="p"/>
                  </m:rPr>
                  <m:t>−</m:t>
                </m:r>
                <m:r>
                  <m:t>10</m:t>
                </m:r>
                <m:r>
                  <m:rPr>
                    <m:sty m:val="p"/>
                  </m:rPr>
                  <m:t>/</m:t>
                </m:r>
                <m:r>
                  <m:t>150</m:t>
                </m:r>
              </m:e>
            </m:d>
          </m:e>
          <m:sup>
            <m:r>
              <m:t>4</m:t>
            </m:r>
          </m:sup>
        </m:sSup>
        <m:r>
          <m:rPr>
            <m:sty m:val="p"/>
          </m:rPr>
          <m:t>=</m:t>
        </m:r>
        <m:r>
          <m:t>1</m:t>
        </m:r>
        <m:r>
          <m:rPr>
            <m:sty m:val="p"/>
          </m:rPr>
          <m:t>−</m:t>
        </m:r>
        <m:sSup>
          <m:e>
            <m:r>
              <m:t>0.9333</m:t>
            </m:r>
          </m:e>
          <m:sup>
            <m:r>
              <m:t>4</m:t>
            </m:r>
          </m:sup>
        </m:sSup>
        <m:r>
          <m:rPr>
            <m:sty m:val="p"/>
          </m:rPr>
          <m:t>=</m:t>
        </m:r>
        <m:r>
          <m:t>1</m:t>
        </m:r>
        <m:r>
          <m:rPr>
            <m:sty m:val="p"/>
          </m:rPr>
          <m:t>−</m:t>
        </m:r>
        <m:r>
          <m:t>0.7588</m:t>
        </m:r>
        <m:r>
          <m:rPr>
            <m:sty m:val="p"/>
          </m:rPr>
          <m:t>=</m:t>
        </m:r>
        <m:r>
          <m:t>0.241</m:t>
        </m:r>
      </m:oMath>
      <w:r>
        <w:t xml:space="preserve">.</w:t>
      </w:r>
    </w:p>
    <w:p>
      <w:pPr>
        <w:numPr>
          <w:ilvl w:val="0"/>
          <w:numId w:val="1843"/>
        </w:numPr>
        <w:pStyle w:val="Compact"/>
      </w:pPr>
      <m:oMath>
        <m:r>
          <m:t>W</m:t>
        </m:r>
        <m:r>
          <m:rPr>
            <m:sty m:val="p"/>
          </m:rPr>
          <m:t>=</m:t>
        </m:r>
        <m:r>
          <m:t>1</m:t>
        </m:r>
        <m:r>
          <m:rPr>
            <m:sty m:val="p"/>
          </m:rPr>
          <m:t>,</m:t>
        </m:r>
        <m:r>
          <m:t>000</m:t>
        </m:r>
      </m:oMath>
      <w:r>
        <w:t xml:space="preserve"> </w:t>
      </w:r>
      <w:r>
        <w:t xml:space="preserve">ms:</w:t>
      </w:r>
      <w:r>
        <w:t xml:space="preserve"> </w:t>
      </w:r>
      <m:oMath>
        <m:r>
          <m:t>1</m:t>
        </m:r>
        <m:r>
          <m:rPr>
            <m:sty m:val="p"/>
          </m:rPr>
          <m:t>−</m:t>
        </m:r>
        <m:sSup>
          <m:e>
            <m:r>
              <m:t>0.99</m:t>
            </m:r>
          </m:e>
          <m:sup>
            <m:r>
              <m:t>4</m:t>
            </m:r>
          </m:sup>
        </m:sSup>
        <m:r>
          <m:rPr>
            <m:sty m:val="p"/>
          </m:rPr>
          <m:t>=</m:t>
        </m:r>
        <m:r>
          <m:t>1</m:t>
        </m:r>
        <m:r>
          <m:rPr>
            <m:sty m:val="p"/>
          </m:rPr>
          <m:t>−</m:t>
        </m:r>
        <m:r>
          <m:t>0.9606</m:t>
        </m:r>
        <m:r>
          <m:rPr>
            <m:sty m:val="p"/>
          </m:rPr>
          <m:t>=</m:t>
        </m:r>
        <m:r>
          <m:t>0.039</m:t>
        </m:r>
      </m:oMath>
      <w:r>
        <w:t xml:space="preserve">.</w:t>
      </w:r>
    </w:p>
    <w:p>
      <w:pPr>
        <w:numPr>
          <w:ilvl w:val="0"/>
          <w:numId w:val="1843"/>
        </w:numPr>
        <w:pStyle w:val="Compact"/>
      </w:pPr>
      <m:oMath>
        <m:r>
          <m:t>W</m:t>
        </m:r>
        <m:r>
          <m:rPr>
            <m:sty m:val="p"/>
          </m:rPr>
          <m:t>=</m:t>
        </m:r>
        <m:r>
          <m:t>150</m:t>
        </m:r>
      </m:oMath>
      <w:r>
        <w:t xml:space="preserve"> </w:t>
      </w:r>
      <w:r>
        <w:t xml:space="preserve">ms but</w:t>
      </w:r>
      <w:r>
        <w:t xml:space="preserve"> </w:t>
      </w:r>
      <m:oMath>
        <m:r>
          <m:t>δ</m:t>
        </m:r>
        <m:r>
          <m:rPr>
            <m:sty m:val="p"/>
          </m:rPr>
          <m:t>=</m:t>
        </m:r>
        <m:r>
          <m:t>2</m:t>
        </m:r>
      </m:oMath>
      <w:r>
        <w:t xml:space="preserve"> </w:t>
      </w:r>
      <w:r>
        <w:t xml:space="preserve">ms (fast LAN, NVMe flush):</w:t>
      </w:r>
      <w:r>
        <w:t xml:space="preserve"> </w:t>
      </w:r>
      <m:oMath>
        <m:r>
          <m:t>1</m:t>
        </m:r>
        <m:r>
          <m:rPr>
            <m:sty m:val="p"/>
          </m:rPr>
          <m:t>−</m:t>
        </m:r>
        <m:sSup>
          <m:e>
            <m:r>
              <m:t>0.98667</m:t>
            </m:r>
          </m:e>
          <m:sup>
            <m:r>
              <m:t>4</m:t>
            </m:r>
          </m:sup>
        </m:sSup>
        <m:r>
          <m:rPr>
            <m:sty m:val="p"/>
          </m:rPr>
          <m:t>=</m:t>
        </m:r>
        <m:r>
          <m:t>0.052</m:t>
        </m:r>
      </m:oMath>
      <w:r>
        <w:t xml:space="preserve">.</w:t>
      </w:r>
    </w:p>
    <w:p>
      <w:pPr>
        <w:pStyle w:val="CalloutExample"/>
      </w:pPr>
      <w:r>
        <w:rPr>
          <w:bCs/>
          <w:b/>
        </w:rPr>
        <w:t xml:space="preserve">Interpretation.</w:t>
      </w:r>
      <w:r>
        <w:t xml:space="preserve"> </w:t>
      </w:r>
      <w:r>
        <w:t xml:space="preserve">This bounds split votes from above; contention does not always split the vote.</w:t>
      </w:r>
      <w:r>
        <w:t xml:space="preserve"> </w:t>
      </w:r>
      <w:r>
        <w:rPr>
          <w:bCs/>
          <w:b/>
        </w:rPr>
        <w:t xml:space="preserve">Engineering implication.</w:t>
      </w:r>
      <w:r>
        <w:t xml:space="preserve"> </w:t>
      </w:r>
      <w:r>
        <w:t xml:space="preserve">Keep</w:t>
      </w:r>
      <w:r>
        <w:t xml:space="preserve"> </w:t>
      </w:r>
      <m:oMath>
        <m:r>
          <m:t>W</m:t>
        </m:r>
      </m:oMath>
      <w:r>
        <w:t xml:space="preserve"> </w:t>
      </w:r>
      <w:r>
        <w:t xml:space="preserve">at least an order of magnitude above</w:t>
      </w:r>
      <w:r>
        <w:t xml:space="preserve"> </w:t>
      </w:r>
      <m:oMath>
        <m:r>
          <m:t>δ</m:t>
        </m:r>
      </m:oMath>
      <w:r>
        <w:t xml:space="preserve">. A 200,000-trial Monte Carlo check of the first case gives 0.241, matching the formula.</w:t>
      </w:r>
    </w:p>
    <w:bookmarkEnd w:id="2931"/>
    <w:bookmarkStart w:id="2935" w:name="log-replication"/>
    <w:p>
      <w:pPr>
        <w:pStyle w:val="Heading3"/>
      </w:pPr>
      <w:r>
        <w:t xml:space="preserve">26.7.3 Log replication</w:t>
      </w:r>
    </w:p>
    <w:p>
      <w:pPr>
        <w:pStyle w:val="FirstParagraph"/>
      </w:pPr>
      <w:r>
        <w:t xml:space="preserve">Once elected, the leader accepts client commands, appends each as a new log entry</w:t>
      </w:r>
      <w:r>
        <w:t xml:space="preserve"> </w:t>
      </w:r>
      <w:r>
        <w:rPr>
          <w:rStyle w:val="VerbatimChar"/>
        </w:rPr>
        <w:t xml:space="preserve">(term, index, command)</w:t>
      </w:r>
      <w:r>
        <w:t xml:space="preserve">, and replicates it with</w:t>
      </w:r>
      <w:r>
        <w:t xml:space="preserve"> </w:t>
      </w:r>
      <w:r>
        <w:rPr>
          <w:rStyle w:val="VerbatimChar"/>
        </w:rPr>
        <w:t xml:space="preserve">AppendEntries(term, leaderId, prevLogIndex, prevLogTerm, entries[], leaderCommit)</w:t>
      </w:r>
      <w:r>
        <w:t xml:space="preserve">. Heartbeats are simply AppendEntries with no entries.</w:t>
      </w:r>
    </w:p>
    <w:p>
      <w:pPr>
        <w:pStyle w:val="BodyText"/>
      </w:pPr>
      <w:r>
        <w:rPr>
          <w:bCs/>
          <w:b/>
        </w:rPr>
        <w:t xml:space="preserve">Figure 26.8 — Replicating and committing one entry.</w:t>
      </w:r>
    </w:p>
    <w:p>
      <w:pPr>
        <w:pStyle w:val="BodyText"/>
      </w:pPr>
      <w:r>
        <w:drawing>
          <wp:inline>
            <wp:extent cx="5334000" cy="3213557"/>
            <wp:effectExtent b="0" l="0" r="0" t="0"/>
            <wp:docPr descr="" title="" id="2933" name="Picture"/>
            <a:graphic>
              <a:graphicData uri="http://schemas.openxmlformats.org/drawingml/2006/picture">
                <pic:pic>
                  <pic:nvPicPr>
                    <pic:cNvPr descr="/home/user/System-Design/build/.cache/diagrams/d816c36e653c.png" id="2934" name="Picture"/>
                    <pic:cNvPicPr>
                      <a:picLocks noChangeArrowheads="1" noChangeAspect="1"/>
                    </pic:cNvPicPr>
                  </pic:nvPicPr>
                  <pic:blipFill>
                    <a:blip r:embed="rId2932"/>
                    <a:stretch>
                      <a:fillRect/>
                    </a:stretch>
                  </pic:blipFill>
                  <pic:spPr bwMode="auto">
                    <a:xfrm>
                      <a:off x="0" y="0"/>
                      <a:ext cx="5334000" cy="3213557"/>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client’s write goes synchronously to the leader, which appends entry 7 (term 4) and flushes it. AppendEntries carries</w:t>
      </w:r>
      <w:r>
        <w:t xml:space="preserve"> </w:t>
      </w:r>
      <w:r>
        <w:rPr>
          <w:rStyle w:val="VerbatimChar"/>
        </w:rPr>
        <w:t xml:space="preserve">prev 6:4</w:t>
      </w:r>
      <w:r>
        <w:t xml:space="preserve">:</w:t>
      </w:r>
      <w:r>
        <w:t xml:space="preserve"> </w:t>
      </w:r>
      <w:r>
        <w:t xml:space="preserve">“</w:t>
      </w:r>
      <w:r>
        <w:t xml:space="preserve">my entry before this one is index 6 with term 4</w:t>
      </w:r>
      <w:r>
        <w:t xml:space="preserve">”</w:t>
      </w:r>
      <w:r>
        <w:t xml:space="preserve">; a follower accepts only if its own log has that entry. As soon as one follower plus the leader (a majority of three) hold the entry, the leader advances</w:t>
      </w:r>
      <w:r>
        <w:t xml:space="preserve"> </w:t>
      </w:r>
      <w:r>
        <w:rPr>
          <w:rStyle w:val="VerbatimChar"/>
        </w:rPr>
        <w:t xml:space="preserve">commitIndex</w:t>
      </w:r>
      <w:r>
        <w:t xml:space="preserve">, applies the command and answers the client; S3’s slower reply is not needed. Followers learn the new commit index on the next AppendEntries (asynchronous to the client) and apply then. Each log is on its node’s own disk. Failure points: if the leader crashes after committing but before replying, the client must retry, so commands should be idempotent or deduplicated by client ID and sequence number (§22.15). Scaling: leaders batch many commands per AppendEntries and pipeline requests without waiting for replies.</w:t>
      </w:r>
    </w:p>
    <w:bookmarkEnd w:id="2935"/>
    <w:bookmarkStart w:id="2939" w:name="the-log-matching-property"/>
    <w:p>
      <w:pPr>
        <w:pStyle w:val="Heading3"/>
      </w:pPr>
      <w:r>
        <w:t xml:space="preserve">26.7.4 The log matching property</w:t>
      </w:r>
    </w:p>
    <w:p>
      <w:pPr>
        <w:pStyle w:val="CalloutDefinition"/>
      </w:pPr>
      <w:r>
        <w:rPr>
          <w:bCs/>
          <w:b/>
        </w:rPr>
        <w:t xml:space="preserve">DEFINITION</w:t>
      </w:r>
    </w:p>
    <w:p>
      <w:pPr>
        <w:pStyle w:val="CalloutDefinition"/>
      </w:pPr>
      <w:r>
        <w:rPr>
          <w:bCs/>
          <w:b/>
        </w:rPr>
        <w:t xml:space="preserve">Definition — Log matching property.</w:t>
      </w:r>
      <w:r>
        <w:t xml:space="preserve"> </w:t>
      </w:r>
      <w:r>
        <w:t xml:space="preserve">If two logs contain an entry with the same index and term, then (1) the entries store the same command, and (2) the logs are identical in all preceding entries.</w:t>
      </w:r>
    </w:p>
    <w:p>
      <w:pPr>
        <w:pStyle w:val="BodyText"/>
      </w:pPr>
      <w:r>
        <w:t xml:space="preserve">Part (1) holds because a leader creates at most one entry per index in its term and never changes it. Part (2) is enforced inductively by the</w:t>
      </w:r>
      <w:r>
        <w:t xml:space="preserve"> </w:t>
      </w:r>
      <w:r>
        <w:rPr>
          <w:bCs/>
          <w:b/>
        </w:rPr>
        <w:t xml:space="preserve">consistency check</w:t>
      </w:r>
      <w:r>
        <w:t xml:space="preserve">: a follower accepts AppendEntries only if it has an entry matching</w:t>
      </w:r>
      <w:r>
        <w:t xml:space="preserve"> </w:t>
      </w:r>
      <w:r>
        <w:rPr>
          <w:rStyle w:val="VerbatimChar"/>
        </w:rPr>
        <w:t xml:space="preserve">(prevLogIndex, prevLogTerm)</w:t>
      </w:r>
      <w:r>
        <w:t xml:space="preserve">. When the check fails, the leader decrements</w:t>
      </w:r>
      <w:r>
        <w:t xml:space="preserve"> </w:t>
      </w:r>
      <w:r>
        <w:rPr>
          <w:rStyle w:val="VerbatimChar"/>
        </w:rPr>
        <w:t xml:space="preserve">nextIndex</w:t>
      </w:r>
      <w:r>
        <w:t xml:space="preserve"> </w:t>
      </w:r>
      <w:r>
        <w:t xml:space="preserve">for that follower and retries until they find the last point of agreement; the follower then deletes everything after that point and appends the leader’s entries. The leader never deletes or overwrites its own entries (</w:t>
      </w:r>
      <w:r>
        <w:rPr>
          <w:bCs/>
          <w:b/>
        </w:rPr>
        <w:t xml:space="preserve">leader append-only</w:t>
      </w:r>
      <w:r>
        <w:t xml:space="preserve">).</w:t>
      </w:r>
    </w:p>
    <w:p>
      <w:pPr>
        <w:pStyle w:val="BodyText"/>
      </w:pPr>
      <w:r>
        <w:rPr>
          <w:bCs/>
          <w:b/>
        </w:rPr>
        <w:t xml:space="preserve">Figure 26.9 — Repairing a divergent follower log.</w:t>
      </w:r>
    </w:p>
    <w:p>
      <w:pPr>
        <w:pStyle w:val="BodyText"/>
      </w:pPr>
      <w:r>
        <w:drawing>
          <wp:inline>
            <wp:extent cx="5334000" cy="1782013"/>
            <wp:effectExtent b="0" l="0" r="0" t="0"/>
            <wp:docPr descr="" title="" id="2937" name="Picture"/>
            <a:graphic>
              <a:graphicData uri="http://schemas.openxmlformats.org/drawingml/2006/picture">
                <pic:pic>
                  <pic:nvPicPr>
                    <pic:cNvPr descr="/home/user/System-Design/build/.cache/diagrams/e8d6f061145c.png" id="2938" name="Picture"/>
                    <pic:cNvPicPr>
                      <a:picLocks noChangeArrowheads="1" noChangeAspect="1"/>
                    </pic:cNvPicPr>
                  </pic:nvPicPr>
                  <pic:blipFill>
                    <a:blip r:embed="rId2936"/>
                    <a:stretch>
                      <a:fillRect/>
                    </a:stretch>
                  </pic:blipFill>
                  <pic:spPr bwMode="auto">
                    <a:xfrm>
                      <a:off x="0" y="0"/>
                      <a:ext cx="5334000" cy="1782013"/>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Each box is a log entry labeled</w:t>
      </w:r>
      <w:r>
        <w:t xml:space="preserve"> </w:t>
      </w:r>
      <w:r>
        <w:rPr>
          <w:rStyle w:val="VerbatimChar"/>
        </w:rPr>
        <w:t xml:space="preserve">index : term</w:t>
      </w:r>
      <w:r>
        <w:t xml:space="preserve">. The follower holds uncommitted entries 3 and 4 from a term-2 leader that crashed. The leader’s AppendEntries with</w:t>
      </w:r>
      <w:r>
        <w:t xml:space="preserve"> </w:t>
      </w:r>
      <w:r>
        <w:rPr>
          <w:rStyle w:val="VerbatimChar"/>
        </w:rPr>
        <w:t xml:space="preserve">prev 4:t5</w:t>
      </w:r>
      <w:r>
        <w:t xml:space="preserve"> </w:t>
      </w:r>
      <w:r>
        <w:t xml:space="preserve">fails, then</w:t>
      </w:r>
      <w:r>
        <w:t xml:space="preserve"> </w:t>
      </w:r>
      <w:r>
        <w:rPr>
          <w:rStyle w:val="VerbatimChar"/>
        </w:rPr>
        <w:t xml:space="preserve">prev 3:t3</w:t>
      </w:r>
      <w:r>
        <w:t xml:space="preserve"> </w:t>
      </w:r>
      <w:r>
        <w:t xml:space="preserve">fails, then</w:t>
      </w:r>
      <w:r>
        <w:t xml:space="preserve"> </w:t>
      </w:r>
      <w:r>
        <w:rPr>
          <w:rStyle w:val="VerbatimChar"/>
        </w:rPr>
        <w:t xml:space="preserve">prev 2:t1</w:t>
      </w:r>
      <w:r>
        <w:t xml:space="preserve"> </w:t>
      </w:r>
      <w:r>
        <w:t xml:space="preserve">succeeds (dotted arrow). The follower truncates after index 2 and takes the leader’s entries 3 and 4 (thick arrows). Data flows only leader to follower. Failure point: backing off one entry per round trip is slow for long-lagging followers, so implementations skip a whole conflicting term per round trip or send a snapshot (§26.7.8).</w:t>
      </w:r>
    </w:p>
    <w:bookmarkEnd w:id="2939"/>
    <w:bookmarkStart w:id="2943" w:name="X6fcb26147cee343815a8b05ecd29895e69658b5"/>
    <w:p>
      <w:pPr>
        <w:pStyle w:val="Heading3"/>
      </w:pPr>
      <w:r>
        <w:t xml:space="preserve">26.7.5 The commit rule and the</w:t>
      </w:r>
      <w:r>
        <w:t xml:space="preserve"> </w:t>
      </w:r>
      <w:r>
        <w:t xml:space="preserve">“</w:t>
      </w:r>
      <w:r>
        <w:t xml:space="preserve">current term only</w:t>
      </w:r>
      <w:r>
        <w:t xml:space="preserve">”</w:t>
      </w:r>
      <w:r>
        <w:t xml:space="preserve"> </w:t>
      </w:r>
      <w:r>
        <w:t xml:space="preserve">subtlety</w:t>
      </w:r>
    </w:p>
    <w:p>
      <w:pPr>
        <w:pStyle w:val="FirstParagraph"/>
      </w:pPr>
      <w:r>
        <w:t xml:space="preserve">A leader marks an entry committed when it is stored on a majority,</w:t>
      </w:r>
      <w:r>
        <w:t xml:space="preserve"> </w:t>
      </w:r>
      <w:r>
        <w:rPr>
          <w:bCs/>
          <w:b/>
        </w:rPr>
        <w:t xml:space="preserve">but only if the entry is from the leader’s current term</w:t>
      </w:r>
      <w:r>
        <w:t xml:space="preserve">. Entries from earlier terms are never committed by counting replicas; they become committed</w:t>
      </w:r>
      <w:r>
        <w:t xml:space="preserve"> </w:t>
      </w:r>
      <w:r>
        <w:rPr>
          <w:iCs/>
          <w:i/>
        </w:rPr>
        <w:t xml:space="preserve">indirectly</w:t>
      </w:r>
      <w:r>
        <w:t xml:space="preserve"> </w:t>
      </w:r>
      <w:r>
        <w:t xml:space="preserve">when a later current-term entry after them commits, by the log matching property. This is the scenario in Figure 8 of the Raft paper.</w:t>
      </w:r>
    </w:p>
    <w:p>
      <w:pPr>
        <w:pStyle w:val="BodyText"/>
      </w:pPr>
      <w:r>
        <w:rPr>
          <w:bCs/>
          <w:b/>
        </w:rPr>
        <w:t xml:space="preserve">Figure 26.10 — Why a leader must not commit old-term entries by counting replicas.</w:t>
      </w:r>
    </w:p>
    <w:p>
      <w:pPr>
        <w:pStyle w:val="BodyText"/>
      </w:pPr>
      <w:r>
        <w:drawing>
          <wp:inline>
            <wp:extent cx="5334000" cy="6110630"/>
            <wp:effectExtent b="0" l="0" r="0" t="0"/>
            <wp:docPr descr="" title="" id="2941" name="Picture"/>
            <a:graphic>
              <a:graphicData uri="http://schemas.openxmlformats.org/drawingml/2006/picture">
                <pic:pic>
                  <pic:nvPicPr>
                    <pic:cNvPr descr="/home/user/System-Design/build/.cache/diagrams/a0dc1dc770fa.png" id="2942" name="Picture"/>
                    <pic:cNvPicPr>
                      <a:picLocks noChangeArrowheads="1" noChangeAspect="1"/>
                    </pic:cNvPicPr>
                  </pic:nvPicPr>
                  <pic:blipFill>
                    <a:blip r:embed="rId2940"/>
                    <a:stretch>
                      <a:fillRect/>
                    </a:stretch>
                  </pic:blipFill>
                  <pic:spPr bwMode="auto">
                    <a:xfrm>
                      <a:off x="0" y="0"/>
                      <a:ext cx="5334000" cy="6110630"/>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Read top to bottom. In (c), the term-2 entry at index 2 sits on a majority (S1, S2, S3), so a naive leader would call it committed. But S5’s last entry has term 3,</w:t>
      </w:r>
      <w:r>
        <w:t xml:space="preserve"> </w:t>
      </w:r>
      <w:r>
        <w:t xml:space="preserve">“</w:t>
      </w:r>
      <w:r>
        <w:t xml:space="preserve">more up-to-date</w:t>
      </w:r>
      <w:r>
        <w:t xml:space="preserve">”</w:t>
      </w:r>
      <w:r>
        <w:t xml:space="preserve"> </w:t>
      </w:r>
      <w:r>
        <w:t xml:space="preserve">than term 2, so in (d) S5 wins votes from S2, S3 and S4 and overwrites index 2: the</w:t>
      </w:r>
      <w:r>
        <w:t xml:space="preserve"> </w:t>
      </w:r>
      <w:r>
        <w:t xml:space="preserve">“</w:t>
      </w:r>
      <w:r>
        <w:t xml:space="preserve">committed</w:t>
      </w:r>
      <w:r>
        <w:t xml:space="preserve">”</w:t>
      </w:r>
      <w:r>
        <w:t xml:space="preserve"> </w:t>
      </w:r>
      <w:r>
        <w:t xml:space="preserve">entry vanishes. Under Raft’s rule (e), S1 first puts a term-4 entry on a majority; those nodes refuse to vote for S5, and index 2 commits safely as a prefix of index 3. Hence a new leader immediately appends a</w:t>
      </w:r>
      <w:r>
        <w:t xml:space="preserve"> </w:t>
      </w:r>
      <w:r>
        <w:rPr>
          <w:bCs/>
          <w:b/>
        </w:rPr>
        <w:t xml:space="preserve">no-op entry</w:t>
      </w:r>
      <w:r>
        <w:t xml:space="preserve"> </w:t>
      </w:r>
      <w:r>
        <w:t xml:space="preserve">in its term, as the simulator in §26.7.7 does.</w:t>
      </w:r>
    </w:p>
    <w:bookmarkEnd w:id="2943"/>
    <w:bookmarkStart w:id="2944" w:name="why-raft-is-safe"/>
    <w:p>
      <w:pPr>
        <w:pStyle w:val="Heading3"/>
      </w:pPr>
      <w:r>
        <w:t xml:space="preserve">26.7.6 Why Raft is safe</w:t>
      </w:r>
    </w:p>
    <w:p>
      <w:pPr>
        <w:pStyle w:val="FirstParagraph"/>
      </w:pPr>
      <w:r>
        <w:t xml:space="preserve">The core guarantee is</w:t>
      </w:r>
      <w:r>
        <w:t xml:space="preserve"> </w:t>
      </w:r>
      <w:r>
        <w:rPr>
          <w:bCs/>
          <w:b/>
        </w:rPr>
        <w:t xml:space="preserve">state machine safety</w:t>
      </w:r>
      <w:r>
        <w:t xml:space="preserve">: if any node has applied a log entry at index</w:t>
      </w:r>
      <w:r>
        <w:t xml:space="preserve"> </w:t>
      </w:r>
      <m:oMath>
        <m:r>
          <m:t>i</m:t>
        </m:r>
      </m:oMath>
      <w:r>
        <w:t xml:space="preserve">, no node ever applies a different entry at</w:t>
      </w:r>
      <w:r>
        <w:t xml:space="preserve"> </w:t>
      </w:r>
      <m:oMath>
        <m:r>
          <m:t>i</m:t>
        </m:r>
      </m:oMath>
      <w:r>
        <w:t xml:space="preserve">. It follows from a chain of properties [Ongaro and Ousterhout 2014]:</w:t>
      </w:r>
    </w:p>
    <w:p>
      <w:pPr>
        <w:numPr>
          <w:ilvl w:val="0"/>
          <w:numId w:val="1844"/>
        </w:numPr>
        <w:pStyle w:val="Compact"/>
      </w:pPr>
      <w:r>
        <w:rPr>
          <w:bCs/>
          <w:b/>
        </w:rPr>
        <w:t xml:space="preserve">Election safety.</w:t>
      </w:r>
      <w:r>
        <w:t xml:space="preserve"> </w:t>
      </w:r>
      <w:r>
        <w:t xml:space="preserve">At most one leader per term, because each node votes once per term and two majorities intersect.</w:t>
      </w:r>
    </w:p>
    <w:p>
      <w:pPr>
        <w:numPr>
          <w:ilvl w:val="0"/>
          <w:numId w:val="1844"/>
        </w:numPr>
        <w:pStyle w:val="Compact"/>
      </w:pPr>
      <w:r>
        <w:rPr>
          <w:bCs/>
          <w:b/>
        </w:rPr>
        <w:t xml:space="preserve">Leader append-only</w:t>
      </w:r>
      <w:r>
        <w:t xml:space="preserve"> </w:t>
      </w:r>
      <w:r>
        <w:t xml:space="preserve">and</w:t>
      </w:r>
      <w:r>
        <w:t xml:space="preserve"> </w:t>
      </w:r>
      <w:r>
        <w:rPr>
          <w:bCs/>
          <w:b/>
        </w:rPr>
        <w:t xml:space="preserve">log matching</w:t>
      </w:r>
      <w:r>
        <w:t xml:space="preserve"> </w:t>
      </w:r>
      <w:r>
        <w:t xml:space="preserve">(§26.7.4).</w:t>
      </w:r>
    </w:p>
    <w:p>
      <w:pPr>
        <w:numPr>
          <w:ilvl w:val="0"/>
          <w:numId w:val="1844"/>
        </w:numPr>
        <w:pStyle w:val="Compact"/>
      </w:pPr>
      <w:r>
        <w:rPr>
          <w:bCs/>
          <w:b/>
        </w:rPr>
        <w:t xml:space="preserve">Leader completeness.</w:t>
      </w:r>
      <w:r>
        <w:t xml:space="preserve"> </w:t>
      </w:r>
      <w:r>
        <w:t xml:space="preserve">If an entry is committed in term</w:t>
      </w:r>
      <w:r>
        <w:t xml:space="preserve"> </w:t>
      </w:r>
      <m:oMath>
        <m:r>
          <m:t>T</m:t>
        </m:r>
      </m:oMath>
      <w:r>
        <w:t xml:space="preserve">, it is present in the logs of all leaders of terms greater than</w:t>
      </w:r>
      <w:r>
        <w:t xml:space="preserve"> </w:t>
      </w:r>
      <m:oMath>
        <m:r>
          <m:t>T</m:t>
        </m:r>
      </m:oMath>
      <w:r>
        <w:t xml:space="preserve">. Sketch: the entry is on a majority</w:t>
      </w:r>
      <w:r>
        <w:t xml:space="preserve"> </w:t>
      </w:r>
      <m:oMath>
        <m:sSub>
          <m:e>
            <m:r>
              <m:t>M</m:t>
            </m:r>
          </m:e>
          <m:sub>
            <m:r>
              <m:t>1</m:t>
            </m:r>
          </m:sub>
        </m:sSub>
      </m:oMath>
      <w:r>
        <w:t xml:space="preserve">; a later winner received votes from a majority</w:t>
      </w:r>
      <w:r>
        <w:t xml:space="preserve"> </w:t>
      </w:r>
      <m:oMath>
        <m:sSub>
          <m:e>
            <m:r>
              <m:t>M</m:t>
            </m:r>
          </m:e>
          <m:sub>
            <m:r>
              <m:t>2</m:t>
            </m:r>
          </m:sub>
        </m:sSub>
      </m:oMath>
      <w:r>
        <w:t xml:space="preserve">; some voter is in both; that voter only votes for a candidate whose log is at least as up-to-date as its own; with the current-term commit rule,</w:t>
      </w:r>
      <w:r>
        <w:t xml:space="preserve"> </w:t>
      </w:r>
      <w:r>
        <w:t xml:space="preserve">“</w:t>
      </w:r>
      <w:r>
        <w:t xml:space="preserve">at least as up-to-date</w:t>
      </w:r>
      <w:r>
        <w:t xml:space="preserve">”</w:t>
      </w:r>
      <w:r>
        <w:t xml:space="preserve"> </w:t>
      </w:r>
      <w:r>
        <w:t xml:space="preserve">implies the candidate’s log contains the entry.</w:t>
      </w:r>
    </w:p>
    <w:p>
      <w:pPr>
        <w:numPr>
          <w:ilvl w:val="0"/>
          <w:numId w:val="1844"/>
        </w:numPr>
        <w:pStyle w:val="Compact"/>
      </w:pPr>
      <w:r>
        <w:t xml:space="preserve">Since every future leader contains every committed entry, and followers only take entries from leaders, nodes apply the same entry at each index.</w:t>
      </w:r>
    </w:p>
    <w:p>
      <w:pPr>
        <w:pStyle w:val="FirstParagraph"/>
      </w:pPr>
      <w:r>
        <w:t xml:space="preserve">The thesis includes a formal proof of the single-node algorithm, and the authors model-checked a TLA+ specification [Ongaro 2014].</w:t>
      </w:r>
    </w:p>
    <w:bookmarkEnd w:id="2944"/>
    <w:bookmarkStart w:id="2945" w:name="a-runnable-raft-simulator"/>
    <w:p>
      <w:pPr>
        <w:pStyle w:val="Heading3"/>
      </w:pPr>
      <w:r>
        <w:t xml:space="preserve">26.7.7 A runnable Raft simulator</w:t>
      </w:r>
    </w:p>
    <w:p>
      <w:pPr>
        <w:pStyle w:val="FirstParagraph"/>
      </w:pPr>
      <w:r>
        <w:t xml:space="preserve">The program below implements Raft’s election and replication rules in a deterministic, tick-based simulation of five nodes. Messages take 2–8 ms, timeouts are drawn from 150–300 ms, heartbeats are sent every 50 ms (new entries ride on the next heartbeat), and a seeded random generator makes every run reproducible. It omits snapshots, membership changes and client sessions.</w:t>
      </w:r>
    </w:p>
    <w:p>
      <w:pPr>
        <w:pStyle w:val="SourceCode"/>
      </w:pPr>
      <w:r>
        <w:rPr>
          <w:rStyle w:val="CommentTok"/>
        </w:rPr>
        <w:t xml:space="preserve">"""A simplified, deterministic Raft simulator: leader election + log replication.</w:t>
      </w:r>
      <w:r>
        <w:br/>
      </w:r>
      <w:r>
        <w:br/>
      </w:r>
      <w:r>
        <w:rPr>
          <w:rStyle w:val="CommentTok"/>
        </w:rPr>
        <w:t xml:space="preserve">Time advances in 1 ms ticks. Messages take 2-8 ms. Nodes can crash and restart</w:t>
      </w:r>
      <w:r>
        <w:br/>
      </w:r>
      <w:r>
        <w:rPr>
          <w:rStyle w:val="CommentTok"/>
        </w:rPr>
        <w:t xml:space="preserve">(persistent state survives a crash; volatile state does not). Not production code:</w:t>
      </w:r>
      <w:r>
        <w:br/>
      </w:r>
      <w:r>
        <w:rPr>
          <w:rStyle w:val="CommentTok"/>
        </w:rPr>
        <w:t xml:space="preserve">no snapshots, no membership changes, no client sessions.</w:t>
      </w:r>
      <w:r>
        <w:br/>
      </w:r>
      <w:r>
        <w:rPr>
          <w:rStyle w:val="CommentTok"/>
        </w:rPr>
        <w:t xml:space="preserve">"""</w:t>
      </w:r>
      <w:r>
        <w:br/>
      </w:r>
      <w:r>
        <w:rPr>
          <w:rStyle w:val="ImportTok"/>
        </w:rPr>
        <w:t xml:space="preserve">import</w:t>
      </w:r>
      <w:r>
        <w:rPr>
          <w:rStyle w:val="NormalTok"/>
        </w:rPr>
        <w:t xml:space="preserve"> random</w:t>
      </w:r>
      <w:r>
        <w:br/>
      </w:r>
      <w:r>
        <w:br/>
      </w:r>
      <w:r>
        <w:rPr>
          <w:rStyle w:val="NormalTok"/>
        </w:rPr>
        <w:t xml:space="preserve">HEARTBEAT_MS </w:t>
      </w:r>
      <w:r>
        <w:rPr>
          <w:rStyle w:val="OperatorTok"/>
        </w:rPr>
        <w:t xml:space="preserve">=</w:t>
      </w:r>
      <w:r>
        <w:rPr>
          <w:rStyle w:val="NormalTok"/>
        </w:rPr>
        <w:t xml:space="preserve"> </w:t>
      </w:r>
      <w:r>
        <w:rPr>
          <w:rStyle w:val="DecValTok"/>
        </w:rPr>
        <w:t xml:space="preserve">50</w:t>
      </w:r>
      <w:r>
        <w:br/>
      </w:r>
      <w:r>
        <w:rPr>
          <w:rStyle w:val="NormalTok"/>
        </w:rPr>
        <w:t xml:space="preserve">ELECTION_MIN_MS, ELECTION_MAX_MS </w:t>
      </w:r>
      <w:r>
        <w:rPr>
          <w:rStyle w:val="OperatorTok"/>
        </w:rPr>
        <w:t xml:space="preserve">=</w:t>
      </w:r>
      <w:r>
        <w:rPr>
          <w:rStyle w:val="NormalTok"/>
        </w:rPr>
        <w:t xml:space="preserve"> </w:t>
      </w:r>
      <w:r>
        <w:rPr>
          <w:rStyle w:val="DecValTok"/>
        </w:rPr>
        <w:t xml:space="preserve">150</w:t>
      </w:r>
      <w:r>
        <w:rPr>
          <w:rStyle w:val="NormalTok"/>
        </w:rPr>
        <w:t xml:space="preserve">, </w:t>
      </w:r>
      <w:r>
        <w:rPr>
          <w:rStyle w:val="DecValTok"/>
        </w:rPr>
        <w:t xml:space="preserve">300</w:t>
      </w:r>
      <w:r>
        <w:br/>
      </w:r>
      <w:r>
        <w:br/>
      </w:r>
      <w:r>
        <w:br/>
      </w:r>
      <w:r>
        <w:rPr>
          <w:rStyle w:val="KeywordTok"/>
        </w:rPr>
        <w:t xml:space="preserve">class</w:t>
      </w:r>
      <w:r>
        <w:rPr>
          <w:rStyle w:val="NormalTok"/>
        </w:rPr>
        <w:t xml:space="preserve"> Node: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nid, peers, rng):</w:t>
      </w:r>
      <w:r>
        <w:br/>
      </w:r>
      <w:r>
        <w:rPr>
          <w:rStyle w:val="NormalTok"/>
        </w:rPr>
        <w:t xml:space="preserve">        </w:t>
      </w:r>
      <w:r>
        <w:rPr>
          <w:rStyle w:val="VariableTok"/>
        </w:rPr>
        <w:t xml:space="preserve">self</w:t>
      </w:r>
      <w:r>
        <w:rPr>
          <w:rStyle w:val="NormalTok"/>
        </w:rPr>
        <w:t xml:space="preserve">.</w:t>
      </w:r>
      <w:r>
        <w:rPr>
          <w:rStyle w:val="BuiltInTok"/>
        </w:rPr>
        <w:t xml:space="preserve">id</w:t>
      </w:r>
      <w:r>
        <w:rPr>
          <w:rStyle w:val="NormalTok"/>
        </w:rPr>
        <w:t xml:space="preserve">, </w:t>
      </w:r>
      <w:r>
        <w:rPr>
          <w:rStyle w:val="VariableTok"/>
        </w:rPr>
        <w:t xml:space="preserve">self</w:t>
      </w:r>
      <w:r>
        <w:rPr>
          <w:rStyle w:val="NormalTok"/>
        </w:rPr>
        <w:t xml:space="preserve">.peers, </w:t>
      </w:r>
      <w:r>
        <w:rPr>
          <w:rStyle w:val="VariableTok"/>
        </w:rPr>
        <w:t xml:space="preserve">self</w:t>
      </w:r>
      <w:r>
        <w:rPr>
          <w:rStyle w:val="NormalTok"/>
        </w:rPr>
        <w:t xml:space="preserve">.rng </w:t>
      </w:r>
      <w:r>
        <w:rPr>
          <w:rStyle w:val="OperatorTok"/>
        </w:rPr>
        <w:t xml:space="preserve">=</w:t>
      </w:r>
      <w:r>
        <w:rPr>
          <w:rStyle w:val="NormalTok"/>
        </w:rPr>
        <w:t xml:space="preserve"> nid, peers, rng</w:t>
      </w:r>
      <w:r>
        <w:br/>
      </w:r>
      <w:r>
        <w:rPr>
          <w:rStyle w:val="NormalTok"/>
        </w:rPr>
        <w:t xml:space="preserve">        </w:t>
      </w:r>
      <w:r>
        <w:rPr>
          <w:rStyle w:val="CommentTok"/>
        </w:rPr>
        <w:t xml:space="preserve"># Persistent state (survives crashes)</w:t>
      </w:r>
      <w:r>
        <w:br/>
      </w:r>
      <w:r>
        <w:rPr>
          <w:rStyle w:val="NormalTok"/>
        </w:rPr>
        <w:t xml:space="preserve">        </w:t>
      </w:r>
      <w:r>
        <w:rPr>
          <w:rStyle w:val="VariableTok"/>
        </w:rPr>
        <w:t xml:space="preserve">self</w:t>
      </w:r>
      <w:r>
        <w:rPr>
          <w:rStyle w:val="NormalTok"/>
        </w:rPr>
        <w:t xml:space="preserve">.term, </w:t>
      </w:r>
      <w:r>
        <w:rPr>
          <w:rStyle w:val="VariableTok"/>
        </w:rPr>
        <w:t xml:space="preserve">self</w:t>
      </w:r>
      <w:r>
        <w:rPr>
          <w:rStyle w:val="NormalTok"/>
        </w:rPr>
        <w:t xml:space="preserve">.voted_for, </w:t>
      </w:r>
      <w:r>
        <w:rPr>
          <w:rStyle w:val="VariableTok"/>
        </w:rPr>
        <w:t xml:space="preserve">self</w:t>
      </w:r>
      <w:r>
        <w:rPr>
          <w:rStyle w:val="NormalTok"/>
        </w:rPr>
        <w:t xml:space="preserve">.log </w:t>
      </w:r>
      <w:r>
        <w:rPr>
          <w:rStyle w:val="OperatorTok"/>
        </w:rPr>
        <w:t xml:space="preserve">=</w:t>
      </w:r>
      <w:r>
        <w:rPr>
          <w:rStyle w:val="NormalTok"/>
        </w:rPr>
        <w:t xml:space="preserve"> </w:t>
      </w:r>
      <w:r>
        <w:rPr>
          <w:rStyle w:val="DecValTok"/>
        </w:rPr>
        <w:t xml:space="preserve">0</w:t>
      </w:r>
      <w:r>
        <w:rPr>
          <w:rStyle w:val="NormalTok"/>
        </w:rPr>
        <w:t xml:space="preserve">, </w:t>
      </w:r>
      <w:r>
        <w:rPr>
          <w:rStyle w:val="VariableTok"/>
        </w:rPr>
        <w:t xml:space="preserve">None</w:t>
      </w:r>
      <w:r>
        <w:rPr>
          <w:rStyle w:val="NormalTok"/>
        </w:rPr>
        <w:t xml:space="preserve">, []   </w:t>
      </w:r>
      <w:r>
        <w:rPr>
          <w:rStyle w:val="CommentTok"/>
        </w:rPr>
        <w:t xml:space="preserve"># log entries: (term, command)</w:t>
      </w:r>
      <w:r>
        <w:br/>
      </w:r>
      <w:r>
        <w:rPr>
          <w:rStyle w:val="NormalTok"/>
        </w:rPr>
        <w:t xml:space="preserve">        </w:t>
      </w:r>
      <w:r>
        <w:rPr>
          <w:rStyle w:val="VariableTok"/>
        </w:rPr>
        <w:t xml:space="preserve">self</w:t>
      </w:r>
      <w:r>
        <w:rPr>
          <w:rStyle w:val="NormalTok"/>
        </w:rPr>
        <w:t xml:space="preserve">.up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VariableTok"/>
        </w:rPr>
        <w:t xml:space="preserve">self</w:t>
      </w:r>
      <w:r>
        <w:rPr>
          <w:rStyle w:val="NormalTok"/>
        </w:rPr>
        <w:t xml:space="preserve">.reset_volatile(now</w:t>
      </w:r>
      <w:r>
        <w:rPr>
          <w:rStyle w:val="OperatorTok"/>
        </w:rPr>
        <w:t xml:space="preserve">=</w:t>
      </w:r>
      <w:r>
        <w:rPr>
          <w:rStyle w:val="DecValTok"/>
        </w:rPr>
        <w:t xml:space="preserve">0</w:t>
      </w:r>
      <w:r>
        <w:rPr>
          <w:rStyle w:val="NormalTok"/>
        </w:rPr>
        <w:t xml:space="preserve">)</w:t>
      </w:r>
      <w:r>
        <w:br/>
      </w:r>
      <w:r>
        <w:br/>
      </w:r>
      <w:r>
        <w:rPr>
          <w:rStyle w:val="NormalTok"/>
        </w:rPr>
        <w:t xml:space="preserve">    </w:t>
      </w:r>
      <w:r>
        <w:rPr>
          <w:rStyle w:val="KeywordTok"/>
        </w:rPr>
        <w:t xml:space="preserve">def</w:t>
      </w:r>
      <w:r>
        <w:rPr>
          <w:rStyle w:val="NormalTok"/>
        </w:rPr>
        <w:t xml:space="preserve"> reset_volatile(</w:t>
      </w:r>
      <w:r>
        <w:rPr>
          <w:rStyle w:val="VariableTok"/>
        </w:rPr>
        <w:t xml:space="preserve">self</w:t>
      </w:r>
      <w:r>
        <w:rPr>
          <w:rStyle w:val="NormalTok"/>
        </w:rPr>
        <w:t xml:space="preserve">, now):</w:t>
      </w:r>
      <w:r>
        <w:br/>
      </w:r>
      <w:r>
        <w:rPr>
          <w:rStyle w:val="NormalTok"/>
        </w:rPr>
        <w:t xml:space="preserve">        </w:t>
      </w:r>
      <w:r>
        <w:rPr>
          <w:rStyle w:val="VariableTok"/>
        </w:rPr>
        <w:t xml:space="preserve">self</w:t>
      </w:r>
      <w:r>
        <w:rPr>
          <w:rStyle w:val="NormalTok"/>
        </w:rPr>
        <w:t xml:space="preserve">.role, </w:t>
      </w:r>
      <w:r>
        <w:rPr>
          <w:rStyle w:val="VariableTok"/>
        </w:rPr>
        <w:t xml:space="preserve">self</w:t>
      </w:r>
      <w:r>
        <w:rPr>
          <w:rStyle w:val="NormalTok"/>
        </w:rPr>
        <w:t xml:space="preserve">.commit, </w:t>
      </w:r>
      <w:r>
        <w:rPr>
          <w:rStyle w:val="VariableTok"/>
        </w:rPr>
        <w:t xml:space="preserve">self</w:t>
      </w:r>
      <w:r>
        <w:rPr>
          <w:rStyle w:val="NormalTok"/>
        </w:rPr>
        <w:t xml:space="preserve">.votes </w:t>
      </w:r>
      <w:r>
        <w:rPr>
          <w:rStyle w:val="OperatorTok"/>
        </w:rPr>
        <w:t xml:space="preserve">=</w:t>
      </w:r>
      <w:r>
        <w:rPr>
          <w:rStyle w:val="NormalTok"/>
        </w:rPr>
        <w:t xml:space="preserve"> </w:t>
      </w:r>
      <w:r>
        <w:rPr>
          <w:rStyle w:val="StringTok"/>
        </w:rPr>
        <w:t xml:space="preserve">"follower"</w:t>
      </w:r>
      <w:r>
        <w:rPr>
          <w:rStyle w:val="NormalTok"/>
        </w:rPr>
        <w:t xml:space="preserve">, </w:t>
      </w:r>
      <w:r>
        <w:rPr>
          <w:rStyle w:val="DecValTok"/>
        </w:rPr>
        <w:t xml:space="preserve">0</w:t>
      </w:r>
      <w:r>
        <w:rPr>
          <w:rStyle w:val="NormalTok"/>
        </w:rPr>
        <w:t xml:space="preserve">, </w:t>
      </w:r>
      <w:r>
        <w:rPr>
          <w:rStyle w:val="BuiltInTok"/>
        </w:rPr>
        <w:t xml:space="preserve">set</w:t>
      </w:r>
      <w:r>
        <w:rPr>
          <w:rStyle w:val="NormalTok"/>
        </w:rPr>
        <w:t xml:space="preserve">()</w:t>
      </w:r>
      <w:r>
        <w:br/>
      </w:r>
      <w:r>
        <w:rPr>
          <w:rStyle w:val="NormalTok"/>
        </w:rPr>
        <w:t xml:space="preserve">        </w:t>
      </w:r>
      <w:r>
        <w:rPr>
          <w:rStyle w:val="VariableTok"/>
        </w:rPr>
        <w:t xml:space="preserve">self</w:t>
      </w:r>
      <w:r>
        <w:rPr>
          <w:rStyle w:val="NormalTok"/>
        </w:rPr>
        <w:t xml:space="preserve">.next_idx, </w:t>
      </w:r>
      <w:r>
        <w:rPr>
          <w:rStyle w:val="VariableTok"/>
        </w:rPr>
        <w:t xml:space="preserve">self</w:t>
      </w:r>
      <w:r>
        <w:rPr>
          <w:rStyle w:val="NormalTok"/>
        </w:rPr>
        <w:t xml:space="preserve">.match_idx </w:t>
      </w:r>
      <w:r>
        <w:rPr>
          <w:rStyle w:val="OperatorTok"/>
        </w:rPr>
        <w:t xml:space="preserve">=</w:t>
      </w:r>
      <w:r>
        <w:rPr>
          <w:rStyle w:val="NormalTok"/>
        </w:rPr>
        <w:t xml:space="preserve"> {}, {}</w:t>
      </w:r>
      <w:r>
        <w:br/>
      </w:r>
      <w:r>
        <w:rPr>
          <w:rStyle w:val="NormalTok"/>
        </w:rPr>
        <w:t xml:space="preserve">        </w:t>
      </w:r>
      <w:r>
        <w:rPr>
          <w:rStyle w:val="VariableTok"/>
        </w:rPr>
        <w:t xml:space="preserve">self</w:t>
      </w:r>
      <w:r>
        <w:rPr>
          <w:rStyle w:val="NormalTok"/>
        </w:rPr>
        <w:t xml:space="preserve">.reset_election_timer(now)</w:t>
      </w:r>
      <w:r>
        <w:br/>
      </w:r>
      <w:r>
        <w:br/>
      </w:r>
      <w:r>
        <w:rPr>
          <w:rStyle w:val="NormalTok"/>
        </w:rPr>
        <w:t xml:space="preserve">    </w:t>
      </w:r>
      <w:r>
        <w:rPr>
          <w:rStyle w:val="KeywordTok"/>
        </w:rPr>
        <w:t xml:space="preserve">def</w:t>
      </w:r>
      <w:r>
        <w:rPr>
          <w:rStyle w:val="NormalTok"/>
        </w:rPr>
        <w:t xml:space="preserve"> reset_election_timer(</w:t>
      </w:r>
      <w:r>
        <w:rPr>
          <w:rStyle w:val="VariableTok"/>
        </w:rPr>
        <w:t xml:space="preserve">self</w:t>
      </w:r>
      <w:r>
        <w:rPr>
          <w:rStyle w:val="NormalTok"/>
        </w:rPr>
        <w:t xml:space="preserve">, now):</w:t>
      </w:r>
      <w:r>
        <w:br/>
      </w:r>
      <w:r>
        <w:rPr>
          <w:rStyle w:val="NormalTok"/>
        </w:rPr>
        <w:t xml:space="preserve">        </w:t>
      </w:r>
      <w:r>
        <w:rPr>
          <w:rStyle w:val="VariableTok"/>
        </w:rPr>
        <w:t xml:space="preserve">self</w:t>
      </w:r>
      <w:r>
        <w:rPr>
          <w:rStyle w:val="NormalTok"/>
        </w:rPr>
        <w:t xml:space="preserve">.deadline </w:t>
      </w:r>
      <w:r>
        <w:rPr>
          <w:rStyle w:val="OperatorTok"/>
        </w:rPr>
        <w:t xml:space="preserve">=</w:t>
      </w:r>
      <w:r>
        <w:rPr>
          <w:rStyle w:val="NormalTok"/>
        </w:rPr>
        <w:t xml:space="preserve"> now </w:t>
      </w:r>
      <w:r>
        <w:rPr>
          <w:rStyle w:val="OperatorTok"/>
        </w:rPr>
        <w:t xml:space="preserve">+</w:t>
      </w:r>
      <w:r>
        <w:rPr>
          <w:rStyle w:val="NormalTok"/>
        </w:rPr>
        <w:t xml:space="preserve"> </w:t>
      </w:r>
      <w:r>
        <w:rPr>
          <w:rStyle w:val="VariableTok"/>
        </w:rPr>
        <w:t xml:space="preserve">self</w:t>
      </w:r>
      <w:r>
        <w:rPr>
          <w:rStyle w:val="NormalTok"/>
        </w:rPr>
        <w:t xml:space="preserve">.rng.randint(ELECTION_MIN_MS, ELECTION_MAX_MS)</w:t>
      </w:r>
      <w:r>
        <w:br/>
      </w:r>
      <w:r>
        <w:br/>
      </w:r>
      <w:r>
        <w:rPr>
          <w:rStyle w:val="NormalTok"/>
        </w:rPr>
        <w:t xml:space="preserve">    </w:t>
      </w:r>
      <w:r>
        <w:rPr>
          <w:rStyle w:val="KeywordTok"/>
        </w:rPr>
        <w:t xml:space="preserve">def</w:t>
      </w:r>
      <w:r>
        <w:rPr>
          <w:rStyle w:val="NormalTok"/>
        </w:rPr>
        <w:t xml:space="preserve"> last_index(</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.log)</w:t>
      </w:r>
      <w:r>
        <w:br/>
      </w:r>
      <w:r>
        <w:br/>
      </w:r>
      <w:r>
        <w:rPr>
          <w:rStyle w:val="NormalTok"/>
        </w:rPr>
        <w:t xml:space="preserve">    </w:t>
      </w:r>
      <w:r>
        <w:rPr>
          <w:rStyle w:val="KeywordTok"/>
        </w:rPr>
        <w:t xml:space="preserve">def</w:t>
      </w:r>
      <w:r>
        <w:rPr>
          <w:rStyle w:val="NormalTok"/>
        </w:rPr>
        <w:t xml:space="preserve"> term_at(</w:t>
      </w:r>
      <w:r>
        <w:rPr>
          <w:rStyle w:val="VariableTok"/>
        </w:rPr>
        <w:t xml:space="preserve">self</w:t>
      </w:r>
      <w:r>
        <w:rPr>
          <w:rStyle w:val="NormalTok"/>
        </w:rPr>
        <w:t xml:space="preserve">, index):          </w:t>
      </w:r>
      <w:r>
        <w:rPr>
          <w:rStyle w:val="CommentTok"/>
        </w:rPr>
        <w:t xml:space="preserve"># log indices are 1-based; index 0 has term 0</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.log[index </w:t>
      </w:r>
      <w:r>
        <w:rPr>
          <w:rStyle w:val="OperatorTok"/>
        </w:rPr>
        <w:t xml:space="preserve">-</w:t>
      </w:r>
      <w:r>
        <w:rPr>
          <w:rStyle w:val="NormalTok"/>
        </w:rPr>
        <w:t xml:space="preserve"> </w:t>
      </w:r>
      <w:r>
        <w:rPr>
          <w:rStyle w:val="DecValTok"/>
        </w:rPr>
        <w:t xml:space="preserve">1</w:t>
      </w:r>
      <w:r>
        <w:rPr>
          <w:rStyle w:val="NormalTok"/>
        </w:rPr>
        <w:t xml:space="preserve">][</w:t>
      </w:r>
      <w:r>
        <w:rPr>
          <w:rStyle w:val="DecValTok"/>
        </w:rPr>
        <w:t xml:space="preserve">0</w:t>
      </w:r>
      <w:r>
        <w:rPr>
          <w:rStyle w:val="NormalTok"/>
        </w:rPr>
        <w:t xml:space="preserve">] </w:t>
      </w:r>
      <w:r>
        <w:rPr>
          <w:rStyle w:val="ControlFlowTok"/>
        </w:rPr>
        <w:t xml:space="preserve">if</w:t>
      </w:r>
      <w:r>
        <w:rPr>
          <w:rStyle w:val="NormalTok"/>
        </w:rPr>
        <w:t xml:space="preserve"> index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br/>
      </w:r>
      <w:r>
        <w:br/>
      </w:r>
      <w:r>
        <w:br/>
      </w:r>
      <w:r>
        <w:rPr>
          <w:rStyle w:val="KeywordTok"/>
        </w:rPr>
        <w:t xml:space="preserve">class</w:t>
      </w:r>
      <w:r>
        <w:rPr>
          <w:rStyle w:val="NormalTok"/>
        </w:rPr>
        <w:t xml:space="preserve"> Cluster: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w:t>
      </w:r>
      <w:r>
        <w:rPr>
          <w:rStyle w:val="OperatorTok"/>
        </w:rPr>
        <w:t xml:space="preserve">=</w:t>
      </w:r>
      <w:r>
        <w:rPr>
          <w:rStyle w:val="DecValTok"/>
        </w:rPr>
        <w:t xml:space="preserve">5</w:t>
      </w:r>
      <w:r>
        <w:rPr>
          <w:rStyle w:val="NormalTok"/>
        </w:rPr>
        <w:t xml:space="preserve">, seed</w:t>
      </w:r>
      <w:r>
        <w:rPr>
          <w:rStyle w:val="OperatorTok"/>
        </w:rPr>
        <w:t xml:space="preserve">=</w:t>
      </w:r>
      <w:r>
        <w:rPr>
          <w:rStyle w:val="DecValTok"/>
        </w:rPr>
        <w:t xml:space="preserve">7</w:t>
      </w:r>
      <w:r>
        <w:rPr>
          <w:rStyle w:val="NormalTok"/>
        </w:rPr>
        <w:t xml:space="preserve">):</w:t>
      </w:r>
      <w:r>
        <w:br/>
      </w:r>
      <w:r>
        <w:rPr>
          <w:rStyle w:val="NormalTok"/>
        </w:rPr>
        <w:t xml:space="preserve">        </w:t>
      </w:r>
      <w:r>
        <w:rPr>
          <w:rStyle w:val="VariableTok"/>
        </w:rPr>
        <w:t xml:space="preserve">self</w:t>
      </w:r>
      <w:r>
        <w:rPr>
          <w:rStyle w:val="NormalTok"/>
        </w:rPr>
        <w:t xml:space="preserve">.rng </w:t>
      </w:r>
      <w:r>
        <w:rPr>
          <w:rStyle w:val="OperatorTok"/>
        </w:rPr>
        <w:t xml:space="preserve">=</w:t>
      </w:r>
      <w:r>
        <w:rPr>
          <w:rStyle w:val="NormalTok"/>
        </w:rPr>
        <w:t xml:space="preserve"> random.Random(seed)</w:t>
      </w:r>
      <w:r>
        <w:br/>
      </w:r>
      <w:r>
        <w:rPr>
          <w:rStyle w:val="NormalTok"/>
        </w:rPr>
        <w:t xml:space="preserve">        ids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range</w:t>
      </w:r>
      <w:r>
        <w:rPr>
          <w:rStyle w:val="NormalTok"/>
        </w:rPr>
        <w:t xml:space="preserve">(</w:t>
      </w:r>
      <w:r>
        <w:rPr>
          <w:rStyle w:val="DecValTok"/>
        </w:rPr>
        <w:t xml:space="preserve">1</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.nodes </w:t>
      </w:r>
      <w:r>
        <w:rPr>
          <w:rStyle w:val="OperatorTok"/>
        </w:rPr>
        <w:t xml:space="preserve">=</w:t>
      </w:r>
      <w:r>
        <w:rPr>
          <w:rStyle w:val="NormalTok"/>
        </w:rPr>
        <w:t xml:space="preserve"> {i: Node(i, [p </w:t>
      </w:r>
      <w:r>
        <w:rPr>
          <w:rStyle w:val="ControlFlowTok"/>
        </w:rPr>
        <w:t xml:space="preserve">for</w:t>
      </w:r>
      <w:r>
        <w:rPr>
          <w:rStyle w:val="NormalTok"/>
        </w:rPr>
        <w:t xml:space="preserve"> p </w:t>
      </w:r>
      <w:r>
        <w:rPr>
          <w:rStyle w:val="KeywordTok"/>
        </w:rPr>
        <w:t xml:space="preserve">in</w:t>
      </w:r>
      <w:r>
        <w:rPr>
          <w:rStyle w:val="NormalTok"/>
        </w:rPr>
        <w:t xml:space="preserve"> ids </w:t>
      </w:r>
      <w:r>
        <w:rPr>
          <w:rStyle w:val="ControlFlowTok"/>
        </w:rPr>
        <w:t xml:space="preserve">if</w:t>
      </w:r>
      <w:r>
        <w:rPr>
          <w:rStyle w:val="NormalTok"/>
        </w:rPr>
        <w:t xml:space="preserve"> p </w:t>
      </w:r>
      <w:r>
        <w:rPr>
          <w:rStyle w:val="OperatorTok"/>
        </w:rPr>
        <w:t xml:space="preserve">!=</w:t>
      </w:r>
      <w:r>
        <w:rPr>
          <w:rStyle w:val="NormalTok"/>
        </w:rPr>
        <w:t xml:space="preserve"> i], </w:t>
      </w:r>
      <w:r>
        <w:rPr>
          <w:rStyle w:val="VariableTok"/>
        </w:rPr>
        <w:t xml:space="preserve">self</w:t>
      </w:r>
      <w:r>
        <w:rPr>
          <w:rStyle w:val="NormalTok"/>
        </w:rPr>
        <w:t xml:space="preserve">.rng) </w:t>
      </w:r>
      <w:r>
        <w:rPr>
          <w:rStyle w:val="ControlFlowTok"/>
        </w:rPr>
        <w:t xml:space="preserve">for</w:t>
      </w:r>
      <w:r>
        <w:rPr>
          <w:rStyle w:val="NormalTok"/>
        </w:rPr>
        <w:t xml:space="preserve"> i </w:t>
      </w:r>
      <w:r>
        <w:rPr>
          <w:rStyle w:val="KeywordTok"/>
        </w:rPr>
        <w:t xml:space="preserve">in</w:t>
      </w:r>
      <w:r>
        <w:rPr>
          <w:rStyle w:val="NormalTok"/>
        </w:rPr>
        <w:t xml:space="preserve"> ids}</w:t>
      </w:r>
      <w:r>
        <w:br/>
      </w:r>
      <w:r>
        <w:rPr>
          <w:rStyle w:val="NormalTok"/>
        </w:rPr>
        <w:t xml:space="preserve">        </w:t>
      </w:r>
      <w:r>
        <w:rPr>
          <w:rStyle w:val="VariableTok"/>
        </w:rPr>
        <w:t xml:space="preserve">self</w:t>
      </w:r>
      <w:r>
        <w:rPr>
          <w:rStyle w:val="NormalTok"/>
        </w:rPr>
        <w:t xml:space="preserve">.inbox, </w:t>
      </w:r>
      <w:r>
        <w:rPr>
          <w:rStyle w:val="VariableTok"/>
        </w:rPr>
        <w:t xml:space="preserve">self</w:t>
      </w:r>
      <w:r>
        <w:rPr>
          <w:rStyle w:val="NormalTok"/>
        </w:rPr>
        <w:t xml:space="preserve">.now </w:t>
      </w:r>
      <w:r>
        <w:rPr>
          <w:rStyle w:val="OperatorTok"/>
        </w:rPr>
        <w:t xml:space="preserve">=</w:t>
      </w:r>
      <w:r>
        <w:rPr>
          <w:rStyle w:val="NormalTok"/>
        </w:rPr>
        <w:t xml:space="preserve"> [], </w:t>
      </w:r>
      <w:r>
        <w:rPr>
          <w:rStyle w:val="DecValTok"/>
        </w:rPr>
        <w:t xml:space="preserve">0</w:t>
      </w:r>
      <w:r>
        <w:rPr>
          <w:rStyle w:val="NormalTok"/>
        </w:rPr>
        <w:t xml:space="preserve">                      </w:t>
      </w:r>
      <w:r>
        <w:rPr>
          <w:rStyle w:val="CommentTok"/>
        </w:rPr>
        <w:t xml:space="preserve"># (deliver_at, dst, msg)</w:t>
      </w:r>
      <w:r>
        <w:br/>
      </w:r>
      <w:r>
        <w:br/>
      </w:r>
      <w:r>
        <w:rPr>
          <w:rStyle w:val="NormalTok"/>
        </w:rPr>
        <w:t xml:space="preserve">    </w:t>
      </w:r>
      <w:r>
        <w:rPr>
          <w:rStyle w:val="KeywordTok"/>
        </w:rPr>
        <w:t xml:space="preserve">def</w:t>
      </w:r>
      <w:r>
        <w:rPr>
          <w:rStyle w:val="NormalTok"/>
        </w:rPr>
        <w:t xml:space="preserve"> log_event(</w:t>
      </w:r>
      <w:r>
        <w:rPr>
          <w:rStyle w:val="VariableTok"/>
        </w:rPr>
        <w:t xml:space="preserve">self</w:t>
      </w:r>
      <w:r>
        <w:rPr>
          <w:rStyle w:val="NormalTok"/>
        </w:rPr>
        <w:t xml:space="preserve">, text):</w:t>
      </w:r>
      <w:r>
        <w:br/>
      </w:r>
      <w:r>
        <w:rPr>
          <w:rStyle w:val="NormalTok"/>
        </w:rPr>
        <w:t xml:space="preserve">        </w:t>
      </w:r>
      <w:r>
        <w:rPr>
          <w:rStyle w:val="BuiltInTok"/>
        </w:rPr>
        <w:t xml:space="preserve">print</w:t>
      </w:r>
      <w:r>
        <w:rPr>
          <w:rStyle w:val="NormalTok"/>
        </w:rPr>
        <w:t xml:space="preserve">(</w:t>
      </w:r>
      <w:r>
        <w:rPr>
          <w:rStyle w:val="SpecialStringTok"/>
        </w:rPr>
        <w:t xml:space="preserve">f"t=</w:t>
      </w:r>
      <w:r>
        <w:rPr>
          <w:rStyle w:val="SpecialCharTok"/>
        </w:rPr>
        <w:t xml:space="preserve">{</w:t>
      </w:r>
      <w:r>
        <w:rPr>
          <w:rStyle w:val="VariableTok"/>
        </w:rPr>
        <w:t xml:space="preserve">self</w:t>
      </w:r>
      <w:r>
        <w:rPr>
          <w:rStyle w:val="SpecialCharTok"/>
        </w:rPr>
        <w:t xml:space="preserve">.</w:t>
      </w:r>
      <w:r>
        <w:rPr>
          <w:rStyle w:val="NormalTok"/>
        </w:rPr>
        <w:t xml:space="preserve">now</w:t>
      </w:r>
      <w:r>
        <w:rPr>
          <w:rStyle w:val="SpecialCharTok"/>
        </w:rPr>
        <w:t xml:space="preserve">:5d}</w:t>
      </w:r>
      <w:r>
        <w:rPr>
          <w:rStyle w:val="SpecialStringTok"/>
        </w:rPr>
        <w:t xml:space="preserve"> ms  </w:t>
      </w:r>
      <w:r>
        <w:rPr>
          <w:rStyle w:val="SpecialCharTok"/>
        </w:rPr>
        <w:t xml:space="preserve">{</w:t>
      </w:r>
      <w:r>
        <w:rPr>
          <w:rStyle w:val="NormalTok"/>
        </w:rPr>
        <w:t xml:space="preserve">text</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KeywordTok"/>
        </w:rPr>
        <w:t xml:space="preserve">def</w:t>
      </w:r>
      <w:r>
        <w:rPr>
          <w:rStyle w:val="NormalTok"/>
        </w:rPr>
        <w:t xml:space="preserve"> send(</w:t>
      </w:r>
      <w:r>
        <w:rPr>
          <w:rStyle w:val="VariableTok"/>
        </w:rPr>
        <w:t xml:space="preserve">self</w:t>
      </w:r>
      <w:r>
        <w:rPr>
          <w:rStyle w:val="NormalTok"/>
        </w:rPr>
        <w:t xml:space="preserve">, src, dst, msg):</w:t>
      </w:r>
      <w:r>
        <w:br/>
      </w:r>
      <w:r>
        <w:rPr>
          <w:rStyle w:val="NormalTok"/>
        </w:rPr>
        <w:t xml:space="preserve">        msg[</w:t>
      </w:r>
      <w:r>
        <w:rPr>
          <w:rStyle w:val="StringTok"/>
        </w:rPr>
        <w:t xml:space="preserve">"src"</w:t>
      </w:r>
      <w:r>
        <w:rPr>
          <w:rStyle w:val="NormalTok"/>
        </w:rPr>
        <w:t xml:space="preserve">] </w:t>
      </w:r>
      <w:r>
        <w:rPr>
          <w:rStyle w:val="OperatorTok"/>
        </w:rPr>
        <w:t xml:space="preserve">=</w:t>
      </w:r>
      <w:r>
        <w:rPr>
          <w:rStyle w:val="NormalTok"/>
        </w:rPr>
        <w:t xml:space="preserve"> src</w:t>
      </w:r>
      <w:r>
        <w:br/>
      </w:r>
      <w:r>
        <w:rPr>
          <w:rStyle w:val="NormalTok"/>
        </w:rPr>
        <w:t xml:space="preserve">        </w:t>
      </w:r>
      <w:r>
        <w:rPr>
          <w:rStyle w:val="VariableTok"/>
        </w:rPr>
        <w:t xml:space="preserve">self</w:t>
      </w:r>
      <w:r>
        <w:rPr>
          <w:rStyle w:val="NormalTok"/>
        </w:rPr>
        <w:t xml:space="preserve">.inbox.append((</w:t>
      </w:r>
      <w:r>
        <w:rPr>
          <w:rStyle w:val="VariableTok"/>
        </w:rPr>
        <w:t xml:space="preserve">self</w:t>
      </w:r>
      <w:r>
        <w:rPr>
          <w:rStyle w:val="NormalTok"/>
        </w:rPr>
        <w:t xml:space="preserve">.now </w:t>
      </w:r>
      <w:r>
        <w:rPr>
          <w:rStyle w:val="OperatorTok"/>
        </w:rPr>
        <w:t xml:space="preserve">+</w:t>
      </w:r>
      <w:r>
        <w:rPr>
          <w:rStyle w:val="NormalTok"/>
        </w:rPr>
        <w:t xml:space="preserve"> </w:t>
      </w:r>
      <w:r>
        <w:rPr>
          <w:rStyle w:val="VariableTok"/>
        </w:rPr>
        <w:t xml:space="preserve">self</w:t>
      </w:r>
      <w:r>
        <w:rPr>
          <w:rStyle w:val="NormalTok"/>
        </w:rPr>
        <w:t xml:space="preserve">.rng.randint(</w:t>
      </w:r>
      <w:r>
        <w:rPr>
          <w:rStyle w:val="DecValTok"/>
        </w:rPr>
        <w:t xml:space="preserve">2</w:t>
      </w:r>
      <w:r>
        <w:rPr>
          <w:rStyle w:val="NormalTok"/>
        </w:rPr>
        <w:t xml:space="preserve">, </w:t>
      </w:r>
      <w:r>
        <w:rPr>
          <w:rStyle w:val="DecValTok"/>
        </w:rPr>
        <w:t xml:space="preserve">8</w:t>
      </w:r>
      <w:r>
        <w:rPr>
          <w:rStyle w:val="NormalTok"/>
        </w:rPr>
        <w:t xml:space="preserve">), dst, msg))</w:t>
      </w:r>
      <w:r>
        <w:br/>
      </w:r>
      <w:r>
        <w:br/>
      </w:r>
      <w:r>
        <w:rPr>
          <w:rStyle w:val="NormalTok"/>
        </w:rPr>
        <w:t xml:space="preserve">    </w:t>
      </w:r>
      <w:r>
        <w:rPr>
          <w:rStyle w:val="CommentTok"/>
        </w:rPr>
        <w:t xml:space="preserve"># ---------------- message handlers ----------------</w:t>
      </w:r>
      <w:r>
        <w:br/>
      </w:r>
      <w:r>
        <w:rPr>
          <w:rStyle w:val="NormalTok"/>
        </w:rPr>
        <w:t xml:space="preserve">    </w:t>
      </w:r>
      <w:r>
        <w:rPr>
          <w:rStyle w:val="KeywordTok"/>
        </w:rPr>
        <w:t xml:space="preserve">def</w:t>
      </w:r>
      <w:r>
        <w:rPr>
          <w:rStyle w:val="NormalTok"/>
        </w:rPr>
        <w:t xml:space="preserve"> step_down_if_stale(</w:t>
      </w:r>
      <w:r>
        <w:rPr>
          <w:rStyle w:val="VariableTok"/>
        </w:rPr>
        <w:t xml:space="preserve">self</w:t>
      </w:r>
      <w:r>
        <w:rPr>
          <w:rStyle w:val="NormalTok"/>
        </w:rPr>
        <w:t xml:space="preserve">, n, term):</w:t>
      </w:r>
      <w:r>
        <w:br/>
      </w:r>
      <w:r>
        <w:rPr>
          <w:rStyle w:val="NormalTok"/>
        </w:rPr>
        <w:t xml:space="preserve">        </w:t>
      </w:r>
      <w:r>
        <w:rPr>
          <w:rStyle w:val="ControlFlowTok"/>
        </w:rPr>
        <w:t xml:space="preserve">if</w:t>
      </w:r>
      <w:r>
        <w:rPr>
          <w:rStyle w:val="NormalTok"/>
        </w:rPr>
        <w:t xml:space="preserve"> term </w:t>
      </w:r>
      <w:r>
        <w:rPr>
          <w:rStyle w:val="OperatorTok"/>
        </w:rPr>
        <w:t xml:space="preserve">&gt;</w:t>
      </w:r>
      <w:r>
        <w:rPr>
          <w:rStyle w:val="NormalTok"/>
        </w:rPr>
        <w:t xml:space="preserve"> n.term:</w:t>
      </w:r>
      <w:r>
        <w:br/>
      </w:r>
      <w:r>
        <w:rPr>
          <w:rStyle w:val="NormalTok"/>
        </w:rPr>
        <w:t xml:space="preserve">            n.term, n.voted_for, n.role </w:t>
      </w:r>
      <w:r>
        <w:rPr>
          <w:rStyle w:val="OperatorTok"/>
        </w:rPr>
        <w:t xml:space="preserve">=</w:t>
      </w:r>
      <w:r>
        <w:rPr>
          <w:rStyle w:val="NormalTok"/>
        </w:rPr>
        <w:t xml:space="preserve"> term, </w:t>
      </w:r>
      <w:r>
        <w:rPr>
          <w:rStyle w:val="VariableTok"/>
        </w:rPr>
        <w:t xml:space="preserve">None</w:t>
      </w:r>
      <w:r>
        <w:rPr>
          <w:rStyle w:val="NormalTok"/>
        </w:rPr>
        <w:t xml:space="preserve">, </w:t>
      </w:r>
      <w:r>
        <w:rPr>
          <w:rStyle w:val="StringTok"/>
        </w:rPr>
        <w:t xml:space="preserve">"follower"</w:t>
      </w:r>
      <w:r>
        <w:br/>
      </w:r>
      <w:r>
        <w:br/>
      </w:r>
      <w:r>
        <w:rPr>
          <w:rStyle w:val="NormalTok"/>
        </w:rPr>
        <w:t xml:space="preserve">    </w:t>
      </w:r>
      <w:r>
        <w:rPr>
          <w:rStyle w:val="KeywordTok"/>
        </w:rPr>
        <w:t xml:space="preserve">def</w:t>
      </w:r>
      <w:r>
        <w:rPr>
          <w:rStyle w:val="NormalTok"/>
        </w:rPr>
        <w:t xml:space="preserve"> handle(</w:t>
      </w:r>
      <w:r>
        <w:rPr>
          <w:rStyle w:val="VariableTok"/>
        </w:rPr>
        <w:t xml:space="preserve">self</w:t>
      </w:r>
      <w:r>
        <w:rPr>
          <w:rStyle w:val="NormalTok"/>
        </w:rPr>
        <w:t xml:space="preserve">, n, m):</w:t>
      </w:r>
      <w:r>
        <w:br/>
      </w:r>
      <w:r>
        <w:rPr>
          <w:rStyle w:val="NormalTok"/>
        </w:rPr>
        <w:t xml:space="preserve">        </w:t>
      </w:r>
      <w:r>
        <w:rPr>
          <w:rStyle w:val="VariableTok"/>
        </w:rPr>
        <w:t xml:space="preserve">self</w:t>
      </w:r>
      <w:r>
        <w:rPr>
          <w:rStyle w:val="NormalTok"/>
        </w:rPr>
        <w:t xml:space="preserve">.step_down_if_stale(n, m[</w:t>
      </w:r>
      <w:r>
        <w:rPr>
          <w:rStyle w:val="StringTok"/>
        </w:rPr>
        <w:t xml:space="preserve">"term"</w:t>
      </w:r>
      <w:r>
        <w:rPr>
          <w:rStyle w:val="NormalTok"/>
        </w:rPr>
        <w:t xml:space="preserve">])</w:t>
      </w:r>
      <w:r>
        <w:br/>
      </w:r>
      <w:r>
        <w:rPr>
          <w:rStyle w:val="NormalTok"/>
        </w:rPr>
        <w:t xml:space="preserve">        kind </w:t>
      </w:r>
      <w:r>
        <w:rPr>
          <w:rStyle w:val="OperatorTok"/>
        </w:rPr>
        <w:t xml:space="preserve">=</w:t>
      </w:r>
      <w:r>
        <w:rPr>
          <w:rStyle w:val="NormalTok"/>
        </w:rPr>
        <w:t xml:space="preserve"> m[</w:t>
      </w:r>
      <w:r>
        <w:rPr>
          <w:rStyle w:val="StringTok"/>
        </w:rPr>
        <w:t xml:space="preserve">"type"</w:t>
      </w:r>
      <w:r>
        <w:rPr>
          <w:rStyle w:val="NormalTok"/>
        </w:rPr>
        <w:t xml:space="preserve">]</w:t>
      </w:r>
      <w:r>
        <w:br/>
      </w:r>
      <w:r>
        <w:rPr>
          <w:rStyle w:val="NormalTok"/>
        </w:rPr>
        <w:t xml:space="preserve">        </w:t>
      </w:r>
      <w:r>
        <w:rPr>
          <w:rStyle w:val="ControlFlowTok"/>
        </w:rPr>
        <w:t xml:space="preserve">if</w:t>
      </w:r>
      <w:r>
        <w:rPr>
          <w:rStyle w:val="NormalTok"/>
        </w:rPr>
        <w:t xml:space="preserve"> kind </w:t>
      </w:r>
      <w:r>
        <w:rPr>
          <w:rStyle w:val="OperatorTok"/>
        </w:rPr>
        <w:t xml:space="preserve">==</w:t>
      </w:r>
      <w:r>
        <w:rPr>
          <w:rStyle w:val="NormalTok"/>
        </w:rPr>
        <w:t xml:space="preserve"> </w:t>
      </w:r>
      <w:r>
        <w:rPr>
          <w:rStyle w:val="StringTok"/>
        </w:rPr>
        <w:t xml:space="preserve">"RequestVote"</w:t>
      </w:r>
      <w:r>
        <w:rPr>
          <w:rStyle w:val="NormalTok"/>
        </w:rPr>
        <w:t xml:space="preserve">:</w:t>
      </w:r>
      <w:r>
        <w:br/>
      </w:r>
      <w:r>
        <w:rPr>
          <w:rStyle w:val="NormalTok"/>
        </w:rPr>
        <w:t xml:space="preserve">            up_to_date </w:t>
      </w:r>
      <w:r>
        <w:rPr>
          <w:rStyle w:val="OperatorTok"/>
        </w:rPr>
        <w:t xml:space="preserve">=</w:t>
      </w:r>
      <w:r>
        <w:rPr>
          <w:rStyle w:val="NormalTok"/>
        </w:rPr>
        <w:t xml:space="preserve"> (m[</w:t>
      </w:r>
      <w:r>
        <w:rPr>
          <w:rStyle w:val="StringTok"/>
        </w:rPr>
        <w:t xml:space="preserve">"last_term"</w:t>
      </w:r>
      <w:r>
        <w:rPr>
          <w:rStyle w:val="NormalTok"/>
        </w:rPr>
        <w:t xml:space="preserve">], m[</w:t>
      </w:r>
      <w:r>
        <w:rPr>
          <w:rStyle w:val="StringTok"/>
        </w:rPr>
        <w:t xml:space="preserve">"last_index"</w:t>
      </w:r>
      <w:r>
        <w:rPr>
          <w:rStyle w:val="NormalTok"/>
        </w:rPr>
        <w:t xml:space="preserve">]) </w:t>
      </w:r>
      <w:r>
        <w:rPr>
          <w:rStyle w:val="OperatorTok"/>
        </w:rPr>
        <w:t xml:space="preserve">&gt;=</w:t>
      </w:r>
      <w:r>
        <w:rPr>
          <w:rStyle w:val="NormalTok"/>
        </w:rPr>
        <w:t xml:space="preserve"> (n.term_at(n.last_index()), n.last_index())</w:t>
      </w:r>
      <w:r>
        <w:br/>
      </w:r>
      <w:r>
        <w:rPr>
          <w:rStyle w:val="NormalTok"/>
        </w:rPr>
        <w:t xml:space="preserve">            grant </w:t>
      </w:r>
      <w:r>
        <w:rPr>
          <w:rStyle w:val="OperatorTok"/>
        </w:rPr>
        <w:t xml:space="preserve">=</w:t>
      </w:r>
      <w:r>
        <w:rPr>
          <w:rStyle w:val="NormalTok"/>
        </w:rPr>
        <w:t xml:space="preserve"> (m[</w:t>
      </w:r>
      <w:r>
        <w:rPr>
          <w:rStyle w:val="StringTok"/>
        </w:rPr>
        <w:t xml:space="preserve">"term"</w:t>
      </w:r>
      <w:r>
        <w:rPr>
          <w:rStyle w:val="NormalTok"/>
        </w:rPr>
        <w:t xml:space="preserve">] </w:t>
      </w:r>
      <w:r>
        <w:rPr>
          <w:rStyle w:val="OperatorTok"/>
        </w:rPr>
        <w:t xml:space="preserve">==</w:t>
      </w:r>
      <w:r>
        <w:rPr>
          <w:rStyle w:val="NormalTok"/>
        </w:rPr>
        <w:t xml:space="preserve"> n.term </w:t>
      </w:r>
      <w:r>
        <w:rPr>
          <w:rStyle w:val="KeywordTok"/>
        </w:rPr>
        <w:t xml:space="preserve">and</w:t>
      </w:r>
      <w:r>
        <w:rPr>
          <w:rStyle w:val="NormalTok"/>
        </w:rPr>
        <w:t xml:space="preserve"> n.voted_for </w:t>
      </w:r>
      <w:r>
        <w:rPr>
          <w:rStyle w:val="KeywordTok"/>
        </w:rPr>
        <w:t xml:space="preserve">in</w:t>
      </w:r>
      <w:r>
        <w:rPr>
          <w:rStyle w:val="NormalTok"/>
        </w:rPr>
        <w:t xml:space="preserve"> (</w:t>
      </w:r>
      <w:r>
        <w:rPr>
          <w:rStyle w:val="VariableTok"/>
        </w:rPr>
        <w:t xml:space="preserve">None</w:t>
      </w:r>
      <w:r>
        <w:rPr>
          <w:rStyle w:val="NormalTok"/>
        </w:rPr>
        <w:t xml:space="preserve">, m[</w:t>
      </w:r>
      <w:r>
        <w:rPr>
          <w:rStyle w:val="StringTok"/>
        </w:rPr>
        <w:t xml:space="preserve">"src"</w:t>
      </w:r>
      <w:r>
        <w:rPr>
          <w:rStyle w:val="NormalTok"/>
        </w:rPr>
        <w:t xml:space="preserve">]) </w:t>
      </w:r>
      <w:r>
        <w:rPr>
          <w:rStyle w:val="KeywordTok"/>
        </w:rPr>
        <w:t xml:space="preserve">and</w:t>
      </w:r>
      <w:r>
        <w:rPr>
          <w:rStyle w:val="NormalTok"/>
        </w:rPr>
        <w:t xml:space="preserve"> up_to_date)</w:t>
      </w:r>
      <w:r>
        <w:br/>
      </w:r>
      <w:r>
        <w:rPr>
          <w:rStyle w:val="NormalTok"/>
        </w:rPr>
        <w:t xml:space="preserve">            </w:t>
      </w:r>
      <w:r>
        <w:rPr>
          <w:rStyle w:val="ControlFlowTok"/>
        </w:rPr>
        <w:t xml:space="preserve">if</w:t>
      </w:r>
      <w:r>
        <w:rPr>
          <w:rStyle w:val="NormalTok"/>
        </w:rPr>
        <w:t xml:space="preserve"> grant:</w:t>
      </w:r>
      <w:r>
        <w:br/>
      </w:r>
      <w:r>
        <w:rPr>
          <w:rStyle w:val="NormalTok"/>
        </w:rPr>
        <w:t xml:space="preserve">                n.voted_for </w:t>
      </w:r>
      <w:r>
        <w:rPr>
          <w:rStyle w:val="OperatorTok"/>
        </w:rPr>
        <w:t xml:space="preserve">=</w:t>
      </w:r>
      <w:r>
        <w:rPr>
          <w:rStyle w:val="NormalTok"/>
        </w:rPr>
        <w:t xml:space="preserve"> m[</w:t>
      </w:r>
      <w:r>
        <w:rPr>
          <w:rStyle w:val="StringTok"/>
        </w:rPr>
        <w:t xml:space="preserve">"src"</w:t>
      </w:r>
      <w:r>
        <w:rPr>
          <w:rStyle w:val="NormalTok"/>
        </w:rPr>
        <w:t xml:space="preserve">]</w:t>
      </w:r>
      <w:r>
        <w:br/>
      </w:r>
      <w:r>
        <w:rPr>
          <w:rStyle w:val="NormalTok"/>
        </w:rPr>
        <w:t xml:space="preserve">                n.reset_election_timer(</w:t>
      </w:r>
      <w:r>
        <w:rPr>
          <w:rStyle w:val="VariableTok"/>
        </w:rPr>
        <w:t xml:space="preserve">self</w:t>
      </w:r>
      <w:r>
        <w:rPr>
          <w:rStyle w:val="NormalTok"/>
        </w:rPr>
        <w:t xml:space="preserve">.now)</w:t>
      </w:r>
      <w:r>
        <w:br/>
      </w:r>
      <w:r>
        <w:rPr>
          <w:rStyle w:val="NormalTok"/>
        </w:rPr>
        <w:t xml:space="preserve">            </w:t>
      </w:r>
      <w:r>
        <w:rPr>
          <w:rStyle w:val="VariableTok"/>
        </w:rPr>
        <w:t xml:space="preserve">self</w:t>
      </w:r>
      <w:r>
        <w:rPr>
          <w:rStyle w:val="NormalTok"/>
        </w:rPr>
        <w:t xml:space="preserve">.send(n.</w:t>
      </w:r>
      <w:r>
        <w:rPr>
          <w:rStyle w:val="BuiltInTok"/>
        </w:rPr>
        <w:t xml:space="preserve">id</w:t>
      </w:r>
      <w:r>
        <w:rPr>
          <w:rStyle w:val="NormalTok"/>
        </w:rPr>
        <w:t xml:space="preserve">, m[</w:t>
      </w:r>
      <w:r>
        <w:rPr>
          <w:rStyle w:val="StringTok"/>
        </w:rPr>
        <w:t xml:space="preserve">"src"</w:t>
      </w:r>
      <w:r>
        <w:rPr>
          <w:rStyle w:val="NormalTok"/>
        </w:rPr>
        <w:t xml:space="preserve">], {</w:t>
      </w:r>
      <w:r>
        <w:rPr>
          <w:rStyle w:val="StringTok"/>
        </w:rPr>
        <w:t xml:space="preserve">"type"</w:t>
      </w:r>
      <w:r>
        <w:rPr>
          <w:rStyle w:val="NormalTok"/>
        </w:rPr>
        <w:t xml:space="preserve">: </w:t>
      </w:r>
      <w:r>
        <w:rPr>
          <w:rStyle w:val="StringTok"/>
        </w:rPr>
        <w:t xml:space="preserve">"Vote"</w:t>
      </w:r>
      <w:r>
        <w:rPr>
          <w:rStyle w:val="NormalTok"/>
        </w:rPr>
        <w:t xml:space="preserve">, </w:t>
      </w:r>
      <w:r>
        <w:rPr>
          <w:rStyle w:val="StringTok"/>
        </w:rPr>
        <w:t xml:space="preserve">"term"</w:t>
      </w:r>
      <w:r>
        <w:rPr>
          <w:rStyle w:val="NormalTok"/>
        </w:rPr>
        <w:t xml:space="preserve">: n.term, </w:t>
      </w:r>
      <w:r>
        <w:rPr>
          <w:rStyle w:val="StringTok"/>
        </w:rPr>
        <w:t xml:space="preserve">"granted"</w:t>
      </w:r>
      <w:r>
        <w:rPr>
          <w:rStyle w:val="NormalTok"/>
        </w:rPr>
        <w:t xml:space="preserve">: grant})</w:t>
      </w:r>
      <w:r>
        <w:br/>
      </w:r>
      <w:r>
        <w:rPr>
          <w:rStyle w:val="NormalTok"/>
        </w:rPr>
        <w:t xml:space="preserve">        </w:t>
      </w:r>
      <w:r>
        <w:rPr>
          <w:rStyle w:val="ControlFlowTok"/>
        </w:rPr>
        <w:t xml:space="preserve">elif</w:t>
      </w:r>
      <w:r>
        <w:rPr>
          <w:rStyle w:val="NormalTok"/>
        </w:rPr>
        <w:t xml:space="preserve"> kind </w:t>
      </w:r>
      <w:r>
        <w:rPr>
          <w:rStyle w:val="OperatorTok"/>
        </w:rPr>
        <w:t xml:space="preserve">==</w:t>
      </w:r>
      <w:r>
        <w:rPr>
          <w:rStyle w:val="NormalTok"/>
        </w:rPr>
        <w:t xml:space="preserve"> </w:t>
      </w:r>
      <w:r>
        <w:rPr>
          <w:rStyle w:val="StringTok"/>
        </w:rPr>
        <w:t xml:space="preserve">"Vote"</w:t>
      </w:r>
      <w:r>
        <w:rPr>
          <w:rStyle w:val="NormalTok"/>
        </w:rPr>
        <w:t xml:space="preserve"> </w:t>
      </w:r>
      <w:r>
        <w:rPr>
          <w:rStyle w:val="KeywordTok"/>
        </w:rPr>
        <w:t xml:space="preserve">and</w:t>
      </w:r>
      <w:r>
        <w:rPr>
          <w:rStyle w:val="NormalTok"/>
        </w:rPr>
        <w:t xml:space="preserve"> n.role </w:t>
      </w:r>
      <w:r>
        <w:rPr>
          <w:rStyle w:val="OperatorTok"/>
        </w:rPr>
        <w:t xml:space="preserve">==</w:t>
      </w:r>
      <w:r>
        <w:rPr>
          <w:rStyle w:val="NormalTok"/>
        </w:rPr>
        <w:t xml:space="preserve"> </w:t>
      </w:r>
      <w:r>
        <w:rPr>
          <w:rStyle w:val="StringTok"/>
        </w:rPr>
        <w:t xml:space="preserve">"candidate"</w:t>
      </w:r>
      <w:r>
        <w:rPr>
          <w:rStyle w:val="NormalTok"/>
        </w:rPr>
        <w:t xml:space="preserve"> </w:t>
      </w:r>
      <w:r>
        <w:rPr>
          <w:rStyle w:val="KeywordTok"/>
        </w:rPr>
        <w:t xml:space="preserve">and</w:t>
      </w:r>
      <w:r>
        <w:rPr>
          <w:rStyle w:val="NormalTok"/>
        </w:rPr>
        <w:t xml:space="preserve"> m[</w:t>
      </w:r>
      <w:r>
        <w:rPr>
          <w:rStyle w:val="StringTok"/>
        </w:rPr>
        <w:t xml:space="preserve">"term"</w:t>
      </w:r>
      <w:r>
        <w:rPr>
          <w:rStyle w:val="NormalTok"/>
        </w:rPr>
        <w:t xml:space="preserve">] </w:t>
      </w:r>
      <w:r>
        <w:rPr>
          <w:rStyle w:val="OperatorTok"/>
        </w:rPr>
        <w:t xml:space="preserve">==</w:t>
      </w:r>
      <w:r>
        <w:rPr>
          <w:rStyle w:val="NormalTok"/>
        </w:rPr>
        <w:t xml:space="preserve"> n.term </w:t>
      </w:r>
      <w:r>
        <w:rPr>
          <w:rStyle w:val="KeywordTok"/>
        </w:rPr>
        <w:t xml:space="preserve">and</w:t>
      </w:r>
      <w:r>
        <w:rPr>
          <w:rStyle w:val="NormalTok"/>
        </w:rPr>
        <w:t xml:space="preserve"> m[</w:t>
      </w:r>
      <w:r>
        <w:rPr>
          <w:rStyle w:val="StringTok"/>
        </w:rPr>
        <w:t xml:space="preserve">"granted"</w:t>
      </w:r>
      <w:r>
        <w:rPr>
          <w:rStyle w:val="NormalTok"/>
        </w:rPr>
        <w:t xml:space="preserve">]:</w:t>
      </w:r>
      <w:r>
        <w:br/>
      </w:r>
      <w:r>
        <w:rPr>
          <w:rStyle w:val="NormalTok"/>
        </w:rPr>
        <w:t xml:space="preserve">            n.votes.add(m[</w:t>
      </w:r>
      <w:r>
        <w:rPr>
          <w:rStyle w:val="StringTok"/>
        </w:rPr>
        <w:t xml:space="preserve">"src"</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(n.votes) </w:t>
      </w:r>
      <w:r>
        <w:rPr>
          <w:rStyle w:val="OperatorTok"/>
        </w:rPr>
        <w:t xml:space="preserve">&gt;</w:t>
      </w:r>
      <w:r>
        <w:rPr>
          <w:rStyle w:val="NormalTok"/>
        </w:rPr>
        <w:t xml:space="preserve"> (</w:t>
      </w:r>
      <w:r>
        <w:rPr>
          <w:rStyle w:val="BuiltInTok"/>
        </w:rPr>
        <w:t xml:space="preserve">len</w:t>
      </w:r>
      <w:r>
        <w:rPr>
          <w:rStyle w:val="NormalTok"/>
        </w:rPr>
        <w:t xml:space="preserve">(n.peers)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VariableTok"/>
        </w:rPr>
        <w:t xml:space="preserve">self</w:t>
      </w:r>
      <w:r>
        <w:rPr>
          <w:rStyle w:val="NormalTok"/>
        </w:rPr>
        <w:t xml:space="preserve">.become_leader(n)</w:t>
      </w:r>
      <w:r>
        <w:br/>
      </w:r>
      <w:r>
        <w:rPr>
          <w:rStyle w:val="NormalTok"/>
        </w:rPr>
        <w:t xml:space="preserve">        </w:t>
      </w:r>
      <w:r>
        <w:rPr>
          <w:rStyle w:val="ControlFlowTok"/>
        </w:rPr>
        <w:t xml:space="preserve">elif</w:t>
      </w:r>
      <w:r>
        <w:rPr>
          <w:rStyle w:val="NormalTok"/>
        </w:rPr>
        <w:t xml:space="preserve"> kind </w:t>
      </w:r>
      <w:r>
        <w:rPr>
          <w:rStyle w:val="OperatorTok"/>
        </w:rPr>
        <w:t xml:space="preserve">==</w:t>
      </w:r>
      <w:r>
        <w:rPr>
          <w:rStyle w:val="NormalTok"/>
        </w:rPr>
        <w:t xml:space="preserve"> </w:t>
      </w:r>
      <w:r>
        <w:rPr>
          <w:rStyle w:val="StringTok"/>
        </w:rPr>
        <w:t xml:space="preserve">"AppendEntries"</w:t>
      </w:r>
      <w:r>
        <w:rPr>
          <w:rStyle w:val="NormalTok"/>
        </w:rPr>
        <w:t xml:space="preserve">:</w:t>
      </w:r>
      <w:r>
        <w:br/>
      </w:r>
      <w:r>
        <w:rPr>
          <w:rStyle w:val="NormalTok"/>
        </w:rPr>
        <w:t xml:space="preserve">            ok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ControlFlowTok"/>
        </w:rPr>
        <w:t xml:space="preserve">if</w:t>
      </w:r>
      <w:r>
        <w:rPr>
          <w:rStyle w:val="NormalTok"/>
        </w:rPr>
        <w:t xml:space="preserve"> m[</w:t>
      </w:r>
      <w:r>
        <w:rPr>
          <w:rStyle w:val="StringTok"/>
        </w:rPr>
        <w:t xml:space="preserve">"term"</w:t>
      </w:r>
      <w:r>
        <w:rPr>
          <w:rStyle w:val="NormalTok"/>
        </w:rPr>
        <w:t xml:space="preserve">] </w:t>
      </w:r>
      <w:r>
        <w:rPr>
          <w:rStyle w:val="OperatorTok"/>
        </w:rPr>
        <w:t xml:space="preserve">==</w:t>
      </w:r>
      <w:r>
        <w:rPr>
          <w:rStyle w:val="NormalTok"/>
        </w:rPr>
        <w:t xml:space="preserve"> n.term:</w:t>
      </w:r>
      <w:r>
        <w:br/>
      </w:r>
      <w:r>
        <w:rPr>
          <w:rStyle w:val="NormalTok"/>
        </w:rPr>
        <w:t xml:space="preserve">                n.role </w:t>
      </w:r>
      <w:r>
        <w:rPr>
          <w:rStyle w:val="OperatorTok"/>
        </w:rPr>
        <w:t xml:space="preserve">=</w:t>
      </w:r>
      <w:r>
        <w:rPr>
          <w:rStyle w:val="NormalTok"/>
        </w:rPr>
        <w:t xml:space="preserve"> </w:t>
      </w:r>
      <w:r>
        <w:rPr>
          <w:rStyle w:val="StringTok"/>
        </w:rPr>
        <w:t xml:space="preserve">"follower"</w:t>
      </w:r>
      <w:r>
        <w:br/>
      </w:r>
      <w:r>
        <w:rPr>
          <w:rStyle w:val="NormalTok"/>
        </w:rPr>
        <w:t xml:space="preserve">                n.reset_election_timer(</w:t>
      </w:r>
      <w:r>
        <w:rPr>
          <w:rStyle w:val="VariableTok"/>
        </w:rPr>
        <w:t xml:space="preserve">self</w:t>
      </w:r>
      <w:r>
        <w:rPr>
          <w:rStyle w:val="NormalTok"/>
        </w:rPr>
        <w:t xml:space="preserve">.now)</w:t>
      </w:r>
      <w:r>
        <w:br/>
      </w:r>
      <w:r>
        <w:rPr>
          <w:rStyle w:val="NormalTok"/>
        </w:rPr>
        <w:t xml:space="preserve">                prev </w:t>
      </w:r>
      <w:r>
        <w:rPr>
          <w:rStyle w:val="OperatorTok"/>
        </w:rPr>
        <w:t xml:space="preserve">=</w:t>
      </w:r>
      <w:r>
        <w:rPr>
          <w:rStyle w:val="NormalTok"/>
        </w:rPr>
        <w:t xml:space="preserve"> m[</w:t>
      </w:r>
      <w:r>
        <w:rPr>
          <w:rStyle w:val="StringTok"/>
        </w:rPr>
        <w:t xml:space="preserve">"prev_index"</w:t>
      </w:r>
      <w:r>
        <w:rPr>
          <w:rStyle w:val="NormalTok"/>
        </w:rPr>
        <w:t xml:space="preserve">]</w:t>
      </w:r>
      <w:r>
        <w:br/>
      </w:r>
      <w:r>
        <w:rPr>
          <w:rStyle w:val="NormalTok"/>
        </w:rPr>
        <w:t xml:space="preserve">                </w:t>
      </w:r>
      <w:r>
        <w:rPr>
          <w:rStyle w:val="ControlFlowTok"/>
        </w:rPr>
        <w:t xml:space="preserve">if</w:t>
      </w:r>
      <w:r>
        <w:rPr>
          <w:rStyle w:val="NormalTok"/>
        </w:rPr>
        <w:t xml:space="preserve"> prev </w:t>
      </w:r>
      <w:r>
        <w:rPr>
          <w:rStyle w:val="OperatorTok"/>
        </w:rPr>
        <w:t xml:space="preserve">&lt;=</w:t>
      </w:r>
      <w:r>
        <w:rPr>
          <w:rStyle w:val="NormalTok"/>
        </w:rPr>
        <w:t xml:space="preserve"> n.last_index() </w:t>
      </w:r>
      <w:r>
        <w:rPr>
          <w:rStyle w:val="KeywordTok"/>
        </w:rPr>
        <w:t xml:space="preserve">and</w:t>
      </w:r>
      <w:r>
        <w:rPr>
          <w:rStyle w:val="NormalTok"/>
        </w:rPr>
        <w:t xml:space="preserve"> n.term_at(prev) </w:t>
      </w:r>
      <w:r>
        <w:rPr>
          <w:rStyle w:val="OperatorTok"/>
        </w:rPr>
        <w:t xml:space="preserve">==</w:t>
      </w:r>
      <w:r>
        <w:rPr>
          <w:rStyle w:val="NormalTok"/>
        </w:rPr>
        <w:t xml:space="preserve"> m[</w:t>
      </w:r>
      <w:r>
        <w:rPr>
          <w:rStyle w:val="StringTok"/>
        </w:rPr>
        <w:t xml:space="preserve">"prev_term"</w:t>
      </w:r>
      <w:r>
        <w:rPr>
          <w:rStyle w:val="NormalTok"/>
        </w:rPr>
        <w:t xml:space="preserve">]:</w:t>
      </w:r>
      <w:r>
        <w:br/>
      </w:r>
      <w:r>
        <w:rPr>
          <w:rStyle w:val="NormalTok"/>
        </w:rPr>
        <w:t xml:space="preserve">                    ok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ControlFlowTok"/>
        </w:rPr>
        <w:t xml:space="preserve">for</w:t>
      </w:r>
      <w:r>
        <w:rPr>
          <w:rStyle w:val="NormalTok"/>
        </w:rPr>
        <w:t xml:space="preserve"> k, entry </w:t>
      </w:r>
      <w:r>
        <w:rPr>
          <w:rStyle w:val="KeywordTok"/>
        </w:rPr>
        <w:t xml:space="preserve">in</w:t>
      </w:r>
      <w:r>
        <w:rPr>
          <w:rStyle w:val="NormalTok"/>
        </w:rPr>
        <w:t xml:space="preserve"> </w:t>
      </w:r>
      <w:r>
        <w:rPr>
          <w:rStyle w:val="BuiltInTok"/>
        </w:rPr>
        <w:t xml:space="preserve">enumerate</w:t>
      </w:r>
      <w:r>
        <w:rPr>
          <w:rStyle w:val="NormalTok"/>
        </w:rPr>
        <w:t xml:space="preserve">(m[</w:t>
      </w:r>
      <w:r>
        <w:rPr>
          <w:rStyle w:val="StringTok"/>
        </w:rPr>
        <w:t xml:space="preserve">"entries"</w:t>
      </w:r>
      <w:r>
        <w:rPr>
          <w:rStyle w:val="NormalTok"/>
        </w:rPr>
        <w:t xml:space="preserve">]):       </w:t>
      </w:r>
      <w:r>
        <w:rPr>
          <w:rStyle w:val="CommentTok"/>
        </w:rPr>
        <w:t xml:space="preserve"># log matching: fix conflicts</w:t>
      </w:r>
      <w:r>
        <w:br/>
      </w:r>
      <w:r>
        <w:rPr>
          <w:rStyle w:val="NormalTok"/>
        </w:rPr>
        <w:t xml:space="preserve">                        idx </w:t>
      </w:r>
      <w:r>
        <w:rPr>
          <w:rStyle w:val="OperatorTok"/>
        </w:rPr>
        <w:t xml:space="preserve">=</w:t>
      </w:r>
      <w:r>
        <w:rPr>
          <w:rStyle w:val="NormalTok"/>
        </w:rPr>
        <w:t xml:space="preserve"> prev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k</w:t>
      </w:r>
      <w:r>
        <w:br/>
      </w:r>
      <w:r>
        <w:rPr>
          <w:rStyle w:val="NormalTok"/>
        </w:rPr>
        <w:t xml:space="preserve">                        </w:t>
      </w:r>
      <w:r>
        <w:rPr>
          <w:rStyle w:val="ControlFlowTok"/>
        </w:rPr>
        <w:t xml:space="preserve">if</w:t>
      </w:r>
      <w:r>
        <w:rPr>
          <w:rStyle w:val="NormalTok"/>
        </w:rPr>
        <w:t xml:space="preserve"> idx </w:t>
      </w:r>
      <w:r>
        <w:rPr>
          <w:rStyle w:val="OperatorTok"/>
        </w:rPr>
        <w:t xml:space="preserve">&lt;=</w:t>
      </w:r>
      <w:r>
        <w:rPr>
          <w:rStyle w:val="NormalTok"/>
        </w:rPr>
        <w:t xml:space="preserve"> n.last_index() </w:t>
      </w:r>
      <w:r>
        <w:rPr>
          <w:rStyle w:val="KeywordTok"/>
        </w:rPr>
        <w:t xml:space="preserve">and</w:t>
      </w:r>
      <w:r>
        <w:rPr>
          <w:rStyle w:val="NormalTok"/>
        </w:rPr>
        <w:t xml:space="preserve"> n.term_at(idx) </w:t>
      </w:r>
      <w:r>
        <w:rPr>
          <w:rStyle w:val="OperatorTok"/>
        </w:rPr>
        <w:t xml:space="preserve">!=</w:t>
      </w:r>
      <w:r>
        <w:rPr>
          <w:rStyle w:val="NormalTok"/>
        </w:rPr>
        <w:t xml:space="preserve"> entry[</w:t>
      </w:r>
      <w:r>
        <w:rPr>
          <w:rStyle w:val="DecValTok"/>
        </w:rPr>
        <w:t xml:space="preserve">0</w:t>
      </w:r>
      <w:r>
        <w:rPr>
          <w:rStyle w:val="NormalTok"/>
        </w:rPr>
        <w:t xml:space="preserve">]:</w:t>
      </w:r>
      <w:r>
        <w:br/>
      </w:r>
      <w:r>
        <w:rPr>
          <w:rStyle w:val="NormalTok"/>
        </w:rPr>
        <w:t xml:space="preserve">                            </w:t>
      </w:r>
      <w:r>
        <w:rPr>
          <w:rStyle w:val="KeywordTok"/>
        </w:rPr>
        <w:t xml:space="preserve">del</w:t>
      </w:r>
      <w:r>
        <w:rPr>
          <w:rStyle w:val="NormalTok"/>
        </w:rPr>
        <w:t xml:space="preserve"> n.log[idx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idx </w:t>
      </w:r>
      <w:r>
        <w:rPr>
          <w:rStyle w:val="OperatorTok"/>
        </w:rPr>
        <w:t xml:space="preserve">&gt;</w:t>
      </w:r>
      <w:r>
        <w:rPr>
          <w:rStyle w:val="NormalTok"/>
        </w:rPr>
        <w:t xml:space="preserve"> n.last_index():</w:t>
      </w:r>
      <w:r>
        <w:br/>
      </w:r>
      <w:r>
        <w:rPr>
          <w:rStyle w:val="NormalTok"/>
        </w:rPr>
        <w:t xml:space="preserve">                            n.log.append(entry)</w:t>
      </w:r>
      <w:r>
        <w:br/>
      </w:r>
      <w:r>
        <w:rPr>
          <w:rStyle w:val="NormalTok"/>
        </w:rPr>
        <w:t xml:space="preserve">                    n.commit </w:t>
      </w:r>
      <w:r>
        <w:rPr>
          <w:rStyle w:val="OperatorTok"/>
        </w:rPr>
        <w:t xml:space="preserve">=</w:t>
      </w:r>
      <w:r>
        <w:rPr>
          <w:rStyle w:val="NormalTok"/>
        </w:rPr>
        <w:t xml:space="preserve"> </w:t>
      </w:r>
      <w:r>
        <w:rPr>
          <w:rStyle w:val="BuiltInTok"/>
        </w:rPr>
        <w:t xml:space="preserve">max</w:t>
      </w:r>
      <w:r>
        <w:rPr>
          <w:rStyle w:val="NormalTok"/>
        </w:rPr>
        <w:t xml:space="preserve">(n.commit, </w:t>
      </w:r>
      <w:r>
        <w:rPr>
          <w:rStyle w:val="BuiltInTok"/>
        </w:rPr>
        <w:t xml:space="preserve">min</w:t>
      </w:r>
      <w:r>
        <w:rPr>
          <w:rStyle w:val="NormalTok"/>
        </w:rPr>
        <w:t xml:space="preserve">(m[</w:t>
      </w:r>
      <w:r>
        <w:rPr>
          <w:rStyle w:val="StringTok"/>
        </w:rPr>
        <w:t xml:space="preserve">"commit"</w:t>
      </w:r>
      <w:r>
        <w:rPr>
          <w:rStyle w:val="NormalTok"/>
        </w:rPr>
        <w:t xml:space="preserve">], prev </w:t>
      </w:r>
      <w:r>
        <w:rPr>
          <w:rStyle w:val="OperatorTok"/>
        </w:rPr>
        <w:t xml:space="preserve">+</w:t>
      </w:r>
      <w:r>
        <w:rPr>
          <w:rStyle w:val="NormalTok"/>
        </w:rPr>
        <w:t xml:space="preserve"> </w:t>
      </w:r>
      <w:r>
        <w:rPr>
          <w:rStyle w:val="BuiltInTok"/>
        </w:rPr>
        <w:t xml:space="preserve">len</w:t>
      </w:r>
      <w:r>
        <w:rPr>
          <w:rStyle w:val="NormalTok"/>
        </w:rPr>
        <w:t xml:space="preserve">(m[</w:t>
      </w:r>
      <w:r>
        <w:rPr>
          <w:rStyle w:val="StringTok"/>
        </w:rPr>
        <w:t xml:space="preserve">"entries"</w:t>
      </w:r>
      <w:r>
        <w:rPr>
          <w:rStyle w:val="NormalTok"/>
        </w:rPr>
        <w:t xml:space="preserve">])))</w:t>
      </w:r>
      <w:r>
        <w:br/>
      </w:r>
      <w:r>
        <w:rPr>
          <w:rStyle w:val="NormalTok"/>
        </w:rPr>
        <w:t xml:space="preserve">            </w:t>
      </w:r>
      <w:r>
        <w:rPr>
          <w:rStyle w:val="VariableTok"/>
        </w:rPr>
        <w:t xml:space="preserve">self</w:t>
      </w:r>
      <w:r>
        <w:rPr>
          <w:rStyle w:val="NormalTok"/>
        </w:rPr>
        <w:t xml:space="preserve">.send(n.</w:t>
      </w:r>
      <w:r>
        <w:rPr>
          <w:rStyle w:val="BuiltInTok"/>
        </w:rPr>
        <w:t xml:space="preserve">id</w:t>
      </w:r>
      <w:r>
        <w:rPr>
          <w:rStyle w:val="NormalTok"/>
        </w:rPr>
        <w:t xml:space="preserve">, m[</w:t>
      </w:r>
      <w:r>
        <w:rPr>
          <w:rStyle w:val="StringTok"/>
        </w:rPr>
        <w:t xml:space="preserve">"src"</w:t>
      </w:r>
      <w:r>
        <w:rPr>
          <w:rStyle w:val="NormalTok"/>
        </w:rPr>
        <w:t xml:space="preserve">], {</w:t>
      </w:r>
      <w:r>
        <w:rPr>
          <w:rStyle w:val="StringTok"/>
        </w:rPr>
        <w:t xml:space="preserve">"type"</w:t>
      </w:r>
      <w:r>
        <w:rPr>
          <w:rStyle w:val="NormalTok"/>
        </w:rPr>
        <w:t xml:space="preserve">: </w:t>
      </w:r>
      <w:r>
        <w:rPr>
          <w:rStyle w:val="StringTok"/>
        </w:rPr>
        <w:t xml:space="preserve">"AppendReply"</w:t>
      </w:r>
      <w:r>
        <w:rPr>
          <w:rStyle w:val="NormalTok"/>
        </w:rPr>
        <w:t xml:space="preserve">, </w:t>
      </w:r>
      <w:r>
        <w:rPr>
          <w:rStyle w:val="StringTok"/>
        </w:rPr>
        <w:t xml:space="preserve">"term"</w:t>
      </w:r>
      <w:r>
        <w:rPr>
          <w:rStyle w:val="NormalTok"/>
        </w:rPr>
        <w:t xml:space="preserve">: n.term, </w:t>
      </w:r>
      <w:r>
        <w:rPr>
          <w:rStyle w:val="StringTok"/>
        </w:rPr>
        <w:t xml:space="preserve">"ok"</w:t>
      </w:r>
      <w:r>
        <w:rPr>
          <w:rStyle w:val="NormalTok"/>
        </w:rPr>
        <w:t xml:space="preserve">: ok,</w:t>
      </w:r>
      <w:r>
        <w:br/>
      </w:r>
      <w:r>
        <w:rPr>
          <w:rStyle w:val="NormalTok"/>
        </w:rPr>
        <w:t xml:space="preserve">                                       </w:t>
      </w:r>
      <w:r>
        <w:rPr>
          <w:rStyle w:val="StringTok"/>
        </w:rPr>
        <w:t xml:space="preserve">"match"</w:t>
      </w:r>
      <w:r>
        <w:rPr>
          <w:rStyle w:val="NormalTok"/>
        </w:rPr>
        <w:t xml:space="preserve">: m[</w:t>
      </w:r>
      <w:r>
        <w:rPr>
          <w:rStyle w:val="StringTok"/>
        </w:rPr>
        <w:t xml:space="preserve">"prev_index"</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(m[</w:t>
      </w:r>
      <w:r>
        <w:rPr>
          <w:rStyle w:val="StringTok"/>
        </w:rPr>
        <w:t xml:space="preserve">"entries"</w:t>
      </w:r>
      <w:r>
        <w:rPr>
          <w:rStyle w:val="NormalTok"/>
        </w:rPr>
        <w:t xml:space="preserve">])})</w:t>
      </w:r>
      <w:r>
        <w:br/>
      </w:r>
      <w:r>
        <w:rPr>
          <w:rStyle w:val="NormalTok"/>
        </w:rPr>
        <w:t xml:space="preserve">        </w:t>
      </w:r>
      <w:r>
        <w:rPr>
          <w:rStyle w:val="ControlFlowTok"/>
        </w:rPr>
        <w:t xml:space="preserve">elif</w:t>
      </w:r>
      <w:r>
        <w:rPr>
          <w:rStyle w:val="NormalTok"/>
        </w:rPr>
        <w:t xml:space="preserve"> kind </w:t>
      </w:r>
      <w:r>
        <w:rPr>
          <w:rStyle w:val="OperatorTok"/>
        </w:rPr>
        <w:t xml:space="preserve">==</w:t>
      </w:r>
      <w:r>
        <w:rPr>
          <w:rStyle w:val="NormalTok"/>
        </w:rPr>
        <w:t xml:space="preserve"> </w:t>
      </w:r>
      <w:r>
        <w:rPr>
          <w:rStyle w:val="StringTok"/>
        </w:rPr>
        <w:t xml:space="preserve">"AppendReply"</w:t>
      </w:r>
      <w:r>
        <w:rPr>
          <w:rStyle w:val="NormalTok"/>
        </w:rPr>
        <w:t xml:space="preserve"> </w:t>
      </w:r>
      <w:r>
        <w:rPr>
          <w:rStyle w:val="KeywordTok"/>
        </w:rPr>
        <w:t xml:space="preserve">and</w:t>
      </w:r>
      <w:r>
        <w:rPr>
          <w:rStyle w:val="NormalTok"/>
        </w:rPr>
        <w:t xml:space="preserve"> n.role </w:t>
      </w:r>
      <w:r>
        <w:rPr>
          <w:rStyle w:val="OperatorTok"/>
        </w:rPr>
        <w:t xml:space="preserve">==</w:t>
      </w:r>
      <w:r>
        <w:rPr>
          <w:rStyle w:val="NormalTok"/>
        </w:rPr>
        <w:t xml:space="preserve"> </w:t>
      </w:r>
      <w:r>
        <w:rPr>
          <w:rStyle w:val="StringTok"/>
        </w:rPr>
        <w:t xml:space="preserve">"leader"</w:t>
      </w:r>
      <w:r>
        <w:rPr>
          <w:rStyle w:val="NormalTok"/>
        </w:rPr>
        <w:t xml:space="preserve"> </w:t>
      </w:r>
      <w:r>
        <w:rPr>
          <w:rStyle w:val="KeywordTok"/>
        </w:rPr>
        <w:t xml:space="preserve">and</w:t>
      </w:r>
      <w:r>
        <w:rPr>
          <w:rStyle w:val="NormalTok"/>
        </w:rPr>
        <w:t xml:space="preserve"> m[</w:t>
      </w:r>
      <w:r>
        <w:rPr>
          <w:rStyle w:val="StringTok"/>
        </w:rPr>
        <w:t xml:space="preserve">"term"</w:t>
      </w:r>
      <w:r>
        <w:rPr>
          <w:rStyle w:val="NormalTok"/>
        </w:rPr>
        <w:t xml:space="preserve">] </w:t>
      </w:r>
      <w:r>
        <w:rPr>
          <w:rStyle w:val="OperatorTok"/>
        </w:rPr>
        <w:t xml:space="preserve">==</w:t>
      </w:r>
      <w:r>
        <w:rPr>
          <w:rStyle w:val="NormalTok"/>
        </w:rPr>
        <w:t xml:space="preserve"> n.term:</w:t>
      </w:r>
      <w:r>
        <w:br/>
      </w:r>
      <w:r>
        <w:rPr>
          <w:rStyle w:val="NormalTok"/>
        </w:rPr>
        <w:t xml:space="preserve">            p </w:t>
      </w:r>
      <w:r>
        <w:rPr>
          <w:rStyle w:val="OperatorTok"/>
        </w:rPr>
        <w:t xml:space="preserve">=</w:t>
      </w:r>
      <w:r>
        <w:rPr>
          <w:rStyle w:val="NormalTok"/>
        </w:rPr>
        <w:t xml:space="preserve"> m[</w:t>
      </w:r>
      <w:r>
        <w:rPr>
          <w:rStyle w:val="StringTok"/>
        </w:rPr>
        <w:t xml:space="preserve">"src"</w:t>
      </w:r>
      <w:r>
        <w:rPr>
          <w:rStyle w:val="NormalTok"/>
        </w:rPr>
        <w:t xml:space="preserve">]</w:t>
      </w:r>
      <w:r>
        <w:br/>
      </w:r>
      <w:r>
        <w:rPr>
          <w:rStyle w:val="NormalTok"/>
        </w:rPr>
        <w:t xml:space="preserve">            </w:t>
      </w:r>
      <w:r>
        <w:rPr>
          <w:rStyle w:val="ControlFlowTok"/>
        </w:rPr>
        <w:t xml:space="preserve">if</w:t>
      </w:r>
      <w:r>
        <w:rPr>
          <w:rStyle w:val="NormalTok"/>
        </w:rPr>
        <w:t xml:space="preserve"> m[</w:t>
      </w:r>
      <w:r>
        <w:rPr>
          <w:rStyle w:val="StringTok"/>
        </w:rPr>
        <w:t xml:space="preserve">"ok"</w:t>
      </w:r>
      <w:r>
        <w:rPr>
          <w:rStyle w:val="NormalTok"/>
        </w:rPr>
        <w:t xml:space="preserve">]:</w:t>
      </w:r>
      <w:r>
        <w:br/>
      </w:r>
      <w:r>
        <w:rPr>
          <w:rStyle w:val="NormalTok"/>
        </w:rPr>
        <w:t xml:space="preserve">                n.match_idx[p] </w:t>
      </w:r>
      <w:r>
        <w:rPr>
          <w:rStyle w:val="OperatorTok"/>
        </w:rPr>
        <w:t xml:space="preserve">=</w:t>
      </w:r>
      <w:r>
        <w:rPr>
          <w:rStyle w:val="NormalTok"/>
        </w:rPr>
        <w:t xml:space="preserve"> </w:t>
      </w:r>
      <w:r>
        <w:rPr>
          <w:rStyle w:val="BuiltInTok"/>
        </w:rPr>
        <w:t xml:space="preserve">max</w:t>
      </w:r>
      <w:r>
        <w:rPr>
          <w:rStyle w:val="NormalTok"/>
        </w:rPr>
        <w:t xml:space="preserve">(n.match_idx[p], m[</w:t>
      </w:r>
      <w:r>
        <w:rPr>
          <w:rStyle w:val="StringTok"/>
        </w:rPr>
        <w:t xml:space="preserve">"match"</w:t>
      </w:r>
      <w:r>
        <w:rPr>
          <w:rStyle w:val="NormalTok"/>
        </w:rPr>
        <w:t xml:space="preserve">])</w:t>
      </w:r>
      <w:r>
        <w:br/>
      </w:r>
      <w:r>
        <w:rPr>
          <w:rStyle w:val="NormalTok"/>
        </w:rPr>
        <w:t xml:space="preserve">                n.next_idx[p] </w:t>
      </w:r>
      <w:r>
        <w:rPr>
          <w:rStyle w:val="OperatorTok"/>
        </w:rPr>
        <w:t xml:space="preserve">=</w:t>
      </w:r>
      <w:r>
        <w:rPr>
          <w:rStyle w:val="NormalTok"/>
        </w:rPr>
        <w:t xml:space="preserve"> n.match_idx[p]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VariableTok"/>
        </w:rPr>
        <w:t xml:space="preserve">self</w:t>
      </w:r>
      <w:r>
        <w:rPr>
          <w:rStyle w:val="NormalTok"/>
        </w:rPr>
        <w:t xml:space="preserve">.advance_commit(n)</w:t>
      </w:r>
      <w:r>
        <w:br/>
      </w:r>
      <w:r>
        <w:rPr>
          <w:rStyle w:val="NormalTok"/>
        </w:rPr>
        <w:t xml:space="preserve">            </w:t>
      </w:r>
      <w:r>
        <w:rPr>
          <w:rStyle w:val="ControlFlowTok"/>
        </w:rPr>
        <w:t xml:space="preserve">else</w:t>
      </w:r>
      <w:r>
        <w:rPr>
          <w:rStyle w:val="NormalTok"/>
        </w:rPr>
        <w:t xml:space="preserve">:</w:t>
      </w:r>
      <w:r>
        <w:br/>
      </w:r>
      <w:r>
        <w:rPr>
          <w:rStyle w:val="NormalTok"/>
        </w:rPr>
        <w:t xml:space="preserve">                n.next_idx[p]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1</w:t>
      </w:r>
      <w:r>
        <w:rPr>
          <w:rStyle w:val="NormalTok"/>
        </w:rPr>
        <w:t xml:space="preserve">, n.next_idx[p]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back up and retry</w:t>
      </w:r>
      <w:r>
        <w:br/>
      </w:r>
      <w:r>
        <w:br/>
      </w:r>
      <w:r>
        <w:rPr>
          <w:rStyle w:val="NormalTok"/>
        </w:rPr>
        <w:t xml:space="preserve">    </w:t>
      </w:r>
      <w:r>
        <w:rPr>
          <w:rStyle w:val="CommentTok"/>
        </w:rPr>
        <w:t xml:space="preserve"># ---------------- leader logic ----------------</w:t>
      </w:r>
      <w:r>
        <w:br/>
      </w:r>
      <w:r>
        <w:rPr>
          <w:rStyle w:val="NormalTok"/>
        </w:rPr>
        <w:t xml:space="preserve">    </w:t>
      </w:r>
      <w:r>
        <w:rPr>
          <w:rStyle w:val="KeywordTok"/>
        </w:rPr>
        <w:t xml:space="preserve">def</w:t>
      </w:r>
      <w:r>
        <w:rPr>
          <w:rStyle w:val="NormalTok"/>
        </w:rPr>
        <w:t xml:space="preserve"> become_leader(</w:t>
      </w:r>
      <w:r>
        <w:rPr>
          <w:rStyle w:val="VariableTok"/>
        </w:rPr>
        <w:t xml:space="preserve">self</w:t>
      </w:r>
      <w:r>
        <w:rPr>
          <w:rStyle w:val="NormalTok"/>
        </w:rPr>
        <w:t xml:space="preserve">, n):</w:t>
      </w:r>
      <w:r>
        <w:br/>
      </w:r>
      <w:r>
        <w:rPr>
          <w:rStyle w:val="NormalTok"/>
        </w:rPr>
        <w:t xml:space="preserve">        n.role </w:t>
      </w:r>
      <w:r>
        <w:rPr>
          <w:rStyle w:val="OperatorTok"/>
        </w:rPr>
        <w:t xml:space="preserve">=</w:t>
      </w:r>
      <w:r>
        <w:rPr>
          <w:rStyle w:val="NormalTok"/>
        </w:rPr>
        <w:t xml:space="preserve"> </w:t>
      </w:r>
      <w:r>
        <w:rPr>
          <w:rStyle w:val="StringTok"/>
        </w:rPr>
        <w:t xml:space="preserve">"leader"</w:t>
      </w:r>
      <w:r>
        <w:br/>
      </w:r>
      <w:r>
        <w:rPr>
          <w:rStyle w:val="NormalTok"/>
        </w:rPr>
        <w:t xml:space="preserve">        n.next_idx </w:t>
      </w:r>
      <w:r>
        <w:rPr>
          <w:rStyle w:val="OperatorTok"/>
        </w:rPr>
        <w:t xml:space="preserve">=</w:t>
      </w:r>
      <w:r>
        <w:rPr>
          <w:rStyle w:val="NormalTok"/>
        </w:rPr>
        <w:t xml:space="preserve"> {p: n.last_index()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n.peers}</w:t>
      </w:r>
      <w:r>
        <w:br/>
      </w:r>
      <w:r>
        <w:rPr>
          <w:rStyle w:val="NormalTok"/>
        </w:rPr>
        <w:t xml:space="preserve">        n.match_idx </w:t>
      </w:r>
      <w:r>
        <w:rPr>
          <w:rStyle w:val="OperatorTok"/>
        </w:rPr>
        <w:t xml:space="preserve">=</w:t>
      </w:r>
      <w:r>
        <w:rPr>
          <w:rStyle w:val="NormalTok"/>
        </w:rPr>
        <w:t xml:space="preserve"> {p: </w:t>
      </w:r>
      <w:r>
        <w:rPr>
          <w:rStyle w:val="DecValTok"/>
        </w:rPr>
        <w:t xml:space="preserve">0</w:t>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n.peers}</w:t>
      </w:r>
      <w:r>
        <w:br/>
      </w:r>
      <w:r>
        <w:rPr>
          <w:rStyle w:val="NormalTok"/>
        </w:rPr>
        <w:t xml:space="preserve">        </w:t>
      </w:r>
      <w:r>
        <w:rPr>
          <w:rStyle w:val="VariableTok"/>
        </w:rPr>
        <w:t xml:space="preserve">self</w:t>
      </w:r>
      <w:r>
        <w:rPr>
          <w:rStyle w:val="NormalTok"/>
        </w:rPr>
        <w:t xml:space="preserve">.log_event(</w:t>
      </w:r>
      <w:r>
        <w:rPr>
          <w:rStyle w:val="SpecialStringTok"/>
        </w:rPr>
        <w:t xml:space="preserve">f"n</w:t>
      </w:r>
      <w:r>
        <w:rPr>
          <w:rStyle w:val="SpecialCharTok"/>
        </w:rPr>
        <w:t xml:space="preserve">{</w:t>
      </w:r>
      <w:r>
        <w:rPr>
          <w:rStyle w:val="NormalTok"/>
        </w:rPr>
        <w:t xml:space="preserve">n</w:t>
      </w:r>
      <w:r>
        <w:rPr>
          <w:rStyle w:val="SpecialCharTok"/>
        </w:rPr>
        <w:t xml:space="preserve">.</w:t>
      </w:r>
      <w:r>
        <w:rPr>
          <w:rStyle w:val="BuiltInTok"/>
        </w:rPr>
        <w:t xml:space="preserve">id</w:t>
      </w:r>
      <w:r>
        <w:rPr>
          <w:rStyle w:val="SpecialCharTok"/>
        </w:rPr>
        <w:t xml:space="preserve">}</w:t>
      </w:r>
      <w:r>
        <w:rPr>
          <w:rStyle w:val="SpecialStringTok"/>
        </w:rPr>
        <w:t xml:space="preserve"> becomes LEADER for term </w:t>
      </w:r>
      <w:r>
        <w:rPr>
          <w:rStyle w:val="SpecialCharTok"/>
        </w:rPr>
        <w:t xml:space="preserve">{</w:t>
      </w:r>
      <w:r>
        <w:rPr>
          <w:rStyle w:val="NormalTok"/>
        </w:rPr>
        <w:t xml:space="preserve">n</w:t>
      </w:r>
      <w:r>
        <w:rPr>
          <w:rStyle w:val="SpecialCharTok"/>
        </w:rPr>
        <w:t xml:space="preserve">.</w:t>
      </w:r>
      <w:r>
        <w:rPr>
          <w:rStyle w:val="NormalTok"/>
        </w:rPr>
        <w:t xml:space="preserve">term</w:t>
      </w:r>
      <w:r>
        <w:rPr>
          <w:rStyle w:val="SpecialCharTok"/>
        </w:rPr>
        <w:t xml:space="preserve">}</w:t>
      </w:r>
      <w:r>
        <w:rPr>
          <w:rStyle w:val="SpecialStringTok"/>
        </w:rPr>
        <w:t xml:space="preserve"> (votes from </w:t>
      </w:r>
      <w:r>
        <w:rPr>
          <w:rStyle w:val="SpecialCharTok"/>
        </w:rPr>
        <w:t xml:space="preserve">{</w:t>
      </w:r>
      <w:r>
        <w:rPr>
          <w:rStyle w:val="BuiltInTok"/>
        </w:rPr>
        <w:t xml:space="preserve">sorted</w:t>
      </w:r>
      <w:r>
        <w:rPr>
          <w:rStyle w:val="NormalTok"/>
        </w:rPr>
        <w:t xml:space="preserve">(n.votes)</w:t>
      </w:r>
      <w:r>
        <w:rPr>
          <w:rStyle w:val="SpecialCharTok"/>
        </w:rPr>
        <w:t xml:space="preserve">}</w:t>
      </w:r>
      <w:r>
        <w:rPr>
          <w:rStyle w:val="SpecialStringTok"/>
        </w:rPr>
        <w:t xml:space="preserve">)"</w:t>
      </w:r>
      <w:r>
        <w:rPr>
          <w:rStyle w:val="NormalTok"/>
        </w:rPr>
        <w:t xml:space="preserve">)</w:t>
      </w:r>
      <w:r>
        <w:br/>
      </w:r>
      <w:r>
        <w:rPr>
          <w:rStyle w:val="NormalTok"/>
        </w:rPr>
        <w:t xml:space="preserve">        n.log.append((n.term, </w:t>
      </w:r>
      <w:r>
        <w:rPr>
          <w:rStyle w:val="StringTok"/>
        </w:rPr>
        <w:t xml:space="preserve">"no-op"</w:t>
      </w:r>
      <w:r>
        <w:rPr>
          <w:rStyle w:val="NormalTok"/>
        </w:rPr>
        <w:t xml:space="preserve">))                            </w:t>
      </w:r>
      <w:r>
        <w:rPr>
          <w:rStyle w:val="CommentTok"/>
        </w:rPr>
        <w:t xml:space="preserve"># commit something in our term</w:t>
      </w:r>
      <w:r>
        <w:br/>
      </w:r>
      <w:r>
        <w:rPr>
          <w:rStyle w:val="NormalTok"/>
        </w:rPr>
        <w:t xml:space="preserve">        n.hb_due </w:t>
      </w:r>
      <w:r>
        <w:rPr>
          <w:rStyle w:val="OperatorTok"/>
        </w:rPr>
        <w:t xml:space="preserve">=</w:t>
      </w:r>
      <w:r>
        <w:rPr>
          <w:rStyle w:val="NormalTok"/>
        </w:rPr>
        <w:t xml:space="preserve"> </w:t>
      </w:r>
      <w:r>
        <w:rPr>
          <w:rStyle w:val="VariableTok"/>
        </w:rPr>
        <w:t xml:space="preserve">self</w:t>
      </w:r>
      <w:r>
        <w:rPr>
          <w:rStyle w:val="NormalTok"/>
        </w:rPr>
        <w:t xml:space="preserve">.now</w:t>
      </w:r>
      <w:r>
        <w:br/>
      </w:r>
      <w:r>
        <w:br/>
      </w:r>
      <w:r>
        <w:rPr>
          <w:rStyle w:val="NormalTok"/>
        </w:rPr>
        <w:t xml:space="preserve">    </w:t>
      </w:r>
      <w:r>
        <w:rPr>
          <w:rStyle w:val="KeywordTok"/>
        </w:rPr>
        <w:t xml:space="preserve">def</w:t>
      </w:r>
      <w:r>
        <w:rPr>
          <w:rStyle w:val="NormalTok"/>
        </w:rPr>
        <w:t xml:space="preserve"> advance_commit(</w:t>
      </w:r>
      <w:r>
        <w:rPr>
          <w:rStyle w:val="VariableTok"/>
        </w:rPr>
        <w:t xml:space="preserve">self</w:t>
      </w:r>
      <w:r>
        <w:rPr>
          <w:rStyle w:val="NormalTok"/>
        </w:rPr>
        <w:t xml:space="preserve">, n):</w:t>
      </w:r>
      <w:r>
        <w:br/>
      </w:r>
      <w:r>
        <w:rPr>
          <w:rStyle w:val="NormalTok"/>
        </w:rPr>
        <w:t xml:space="preserve">        </w:t>
      </w:r>
      <w:r>
        <w:rPr>
          <w:rStyle w:val="ControlFlowTok"/>
        </w:rPr>
        <w:t xml:space="preserve">for</w:t>
      </w:r>
      <w:r>
        <w:rPr>
          <w:rStyle w:val="NormalTok"/>
        </w:rPr>
        <w:t xml:space="preserve"> idx </w:t>
      </w:r>
      <w:r>
        <w:rPr>
          <w:rStyle w:val="KeywordTok"/>
        </w:rPr>
        <w:t xml:space="preserve">in</w:t>
      </w:r>
      <w:r>
        <w:rPr>
          <w:rStyle w:val="NormalTok"/>
        </w:rPr>
        <w:t xml:space="preserve"> </w:t>
      </w:r>
      <w:r>
        <w:rPr>
          <w:rStyle w:val="BuiltInTok"/>
        </w:rPr>
        <w:t xml:space="preserve">range</w:t>
      </w:r>
      <w:r>
        <w:rPr>
          <w:rStyle w:val="NormalTok"/>
        </w:rPr>
        <w:t xml:space="preserve">(n.last_index(), n.commit, </w:t>
      </w:r>
      <w:r>
        <w:rPr>
          <w:rStyle w:val="OperatorTok"/>
        </w:rPr>
        <w:t xml:space="preserve">-</w:t>
      </w:r>
      <w:r>
        <w:rPr>
          <w:rStyle w:val="DecValTok"/>
        </w:rPr>
        <w:t xml:space="preserve">1</w:t>
      </w:r>
      <w:r>
        <w:rPr>
          <w:rStyle w:val="NormalTok"/>
        </w:rPr>
        <w:t xml:space="preserve">):</w:t>
      </w:r>
      <w:r>
        <w:br/>
      </w:r>
      <w:r>
        <w:rPr>
          <w:rStyle w:val="NormalTok"/>
        </w:rPr>
        <w:t xml:space="preserve">            replicas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n.peers </w:t>
      </w:r>
      <w:r>
        <w:rPr>
          <w:rStyle w:val="ControlFlowTok"/>
        </w:rPr>
        <w:t xml:space="preserve">if</w:t>
      </w:r>
      <w:r>
        <w:rPr>
          <w:rStyle w:val="NormalTok"/>
        </w:rPr>
        <w:t xml:space="preserve"> n.match_idx[p] </w:t>
      </w:r>
      <w:r>
        <w:rPr>
          <w:rStyle w:val="OperatorTok"/>
        </w:rPr>
        <w:t xml:space="preserve">&gt;=</w:t>
      </w:r>
      <w:r>
        <w:rPr>
          <w:rStyle w:val="NormalTok"/>
        </w:rPr>
        <w:t xml:space="preserve"> idx)</w:t>
      </w:r>
      <w:r>
        <w:br/>
      </w:r>
      <w:r>
        <w:rPr>
          <w:rStyle w:val="NormalTok"/>
        </w:rPr>
        <w:t xml:space="preserve">            </w:t>
      </w:r>
      <w:r>
        <w:rPr>
          <w:rStyle w:val="CommentTok"/>
        </w:rPr>
        <w:t xml:space="preserve"># Commit rule: majority AND entry from the current term (Raft paper, Figure 8)</w:t>
      </w:r>
      <w:r>
        <w:br/>
      </w:r>
      <w:r>
        <w:rPr>
          <w:rStyle w:val="NormalTok"/>
        </w:rPr>
        <w:t xml:space="preserve">            </w:t>
      </w:r>
      <w:r>
        <w:rPr>
          <w:rStyle w:val="ControlFlowTok"/>
        </w:rPr>
        <w:t xml:space="preserve">if</w:t>
      </w:r>
      <w:r>
        <w:rPr>
          <w:rStyle w:val="NormalTok"/>
        </w:rPr>
        <w:t xml:space="preserve"> replicas </w:t>
      </w:r>
      <w:r>
        <w:rPr>
          <w:rStyle w:val="OperatorTok"/>
        </w:rPr>
        <w:t xml:space="preserve">&gt;</w:t>
      </w:r>
      <w:r>
        <w:rPr>
          <w:rStyle w:val="NormalTok"/>
        </w:rPr>
        <w:t xml:space="preserve"> (</w:t>
      </w:r>
      <w:r>
        <w:rPr>
          <w:rStyle w:val="BuiltInTok"/>
        </w:rPr>
        <w:t xml:space="preserve">len</w:t>
      </w:r>
      <w:r>
        <w:rPr>
          <w:rStyle w:val="NormalTok"/>
        </w:rPr>
        <w:t xml:space="preserve">(n.peers)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KeywordTok"/>
        </w:rPr>
        <w:t xml:space="preserve">and</w:t>
      </w:r>
      <w:r>
        <w:rPr>
          <w:rStyle w:val="NormalTok"/>
        </w:rPr>
        <w:t xml:space="preserve"> n.term_at(idx) </w:t>
      </w:r>
      <w:r>
        <w:rPr>
          <w:rStyle w:val="OperatorTok"/>
        </w:rPr>
        <w:t xml:space="preserve">==</w:t>
      </w:r>
      <w:r>
        <w:rPr>
          <w:rStyle w:val="NormalTok"/>
        </w:rPr>
        <w:t xml:space="preserve"> n.term:</w:t>
      </w:r>
      <w:r>
        <w:br/>
      </w:r>
      <w:r>
        <w:rPr>
          <w:rStyle w:val="NormalTok"/>
        </w:rPr>
        <w:t xml:space="preserve">                </w:t>
      </w:r>
      <w:r>
        <w:rPr>
          <w:rStyle w:val="VariableTok"/>
        </w:rPr>
        <w:t xml:space="preserve">self</w:t>
      </w:r>
      <w:r>
        <w:rPr>
          <w:rStyle w:val="NormalTok"/>
        </w:rPr>
        <w:t xml:space="preserve">.log_event(</w:t>
      </w:r>
      <w:r>
        <w:rPr>
          <w:rStyle w:val="SpecialStringTok"/>
        </w:rPr>
        <w:t xml:space="preserve">f"n</w:t>
      </w:r>
      <w:r>
        <w:rPr>
          <w:rStyle w:val="SpecialCharTok"/>
        </w:rPr>
        <w:t xml:space="preserve">{</w:t>
      </w:r>
      <w:r>
        <w:rPr>
          <w:rStyle w:val="NormalTok"/>
        </w:rPr>
        <w:t xml:space="preserve">n</w:t>
      </w:r>
      <w:r>
        <w:rPr>
          <w:rStyle w:val="SpecialCharTok"/>
        </w:rPr>
        <w:t xml:space="preserve">.</w:t>
      </w:r>
      <w:r>
        <w:rPr>
          <w:rStyle w:val="BuiltInTok"/>
        </w:rPr>
        <w:t xml:space="preserve">id</w:t>
      </w:r>
      <w:r>
        <w:rPr>
          <w:rStyle w:val="SpecialCharTok"/>
        </w:rPr>
        <w:t xml:space="preserve">}</w:t>
      </w:r>
      <w:r>
        <w:rPr>
          <w:rStyle w:val="SpecialStringTok"/>
        </w:rPr>
        <w:t xml:space="preserve"> commits up to index </w:t>
      </w:r>
      <w:r>
        <w:rPr>
          <w:rStyle w:val="SpecialCharTok"/>
        </w:rPr>
        <w:t xml:space="preserve">{</w:t>
      </w:r>
      <w:r>
        <w:rPr>
          <w:rStyle w:val="NormalTok"/>
        </w:rPr>
        <w:t xml:space="preserve">idx</w:t>
      </w:r>
      <w:r>
        <w:rPr>
          <w:rStyle w:val="SpecialCharTok"/>
        </w:rPr>
        <w:t xml:space="preserve">}</w:t>
      </w:r>
      <w:r>
        <w:rPr>
          <w:rStyle w:val="SpecialStringTok"/>
        </w:rPr>
        <w:t xml:space="preserve"> (on </w:t>
      </w:r>
      <w:r>
        <w:rPr>
          <w:rStyle w:val="SpecialCharTok"/>
        </w:rPr>
        <w:t xml:space="preserve">{</w:t>
      </w:r>
      <w:r>
        <w:rPr>
          <w:rStyle w:val="NormalTok"/>
        </w:rPr>
        <w:t xml:space="preserve">replicas</w:t>
      </w:r>
      <w:r>
        <w:rPr>
          <w:rStyle w:val="SpecialCharTok"/>
        </w:rPr>
        <w:t xml:space="preserve">}</w:t>
      </w:r>
      <w:r>
        <w:rPr>
          <w:rStyle w:val="SpecialStringTok"/>
        </w:rPr>
        <w:t xml:space="preserve"> nodes)"</w:t>
      </w:r>
      <w:r>
        <w:rPr>
          <w:rStyle w:val="NormalTok"/>
        </w:rPr>
        <w:t xml:space="preserve">)</w:t>
      </w:r>
      <w:r>
        <w:br/>
      </w:r>
      <w:r>
        <w:rPr>
          <w:rStyle w:val="NormalTok"/>
        </w:rPr>
        <w:t xml:space="preserve">                n.commit </w:t>
      </w:r>
      <w:r>
        <w:rPr>
          <w:rStyle w:val="OperatorTok"/>
        </w:rPr>
        <w:t xml:space="preserve">=</w:t>
      </w:r>
      <w:r>
        <w:rPr>
          <w:rStyle w:val="NormalTok"/>
        </w:rPr>
        <w:t xml:space="preserve"> idx</w:t>
      </w:r>
      <w:r>
        <w:br/>
      </w:r>
      <w:r>
        <w:rPr>
          <w:rStyle w:val="NormalTok"/>
        </w:rPr>
        <w:t xml:space="preserve">                </w:t>
      </w:r>
      <w:r>
        <w:rPr>
          <w:rStyle w:val="ControlFlowTok"/>
        </w:rPr>
        <w:t xml:space="preserve">break</w:t>
      </w:r>
      <w:r>
        <w:br/>
      </w:r>
      <w:r>
        <w:br/>
      </w:r>
      <w:r>
        <w:rPr>
          <w:rStyle w:val="NormalTok"/>
        </w:rPr>
        <w:t xml:space="preserve">    </w:t>
      </w:r>
      <w:r>
        <w:rPr>
          <w:rStyle w:val="KeywordTok"/>
        </w:rPr>
        <w:t xml:space="preserve">def</w:t>
      </w:r>
      <w:r>
        <w:rPr>
          <w:rStyle w:val="NormalTok"/>
        </w:rPr>
        <w:t xml:space="preserve"> replicate(</w:t>
      </w:r>
      <w:r>
        <w:rPr>
          <w:rStyle w:val="VariableTok"/>
        </w:rPr>
        <w:t xml:space="preserve">self</w:t>
      </w:r>
      <w:r>
        <w:rPr>
          <w:rStyle w:val="NormalTok"/>
        </w:rPr>
        <w:t xml:space="preserve">, n):</w:t>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n.peers:</w:t>
      </w:r>
      <w:r>
        <w:br/>
      </w:r>
      <w:r>
        <w:rPr>
          <w:rStyle w:val="NormalTok"/>
        </w:rPr>
        <w:t xml:space="preserve">            prev </w:t>
      </w:r>
      <w:r>
        <w:rPr>
          <w:rStyle w:val="OperatorTok"/>
        </w:rPr>
        <w:t xml:space="preserve">=</w:t>
      </w:r>
      <w:r>
        <w:rPr>
          <w:rStyle w:val="NormalTok"/>
        </w:rPr>
        <w:t xml:space="preserve"> n.next_idx[p]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VariableTok"/>
        </w:rPr>
        <w:t xml:space="preserve">self</w:t>
      </w:r>
      <w:r>
        <w:rPr>
          <w:rStyle w:val="NormalTok"/>
        </w:rPr>
        <w:t xml:space="preserve">.send(n.</w:t>
      </w:r>
      <w:r>
        <w:rPr>
          <w:rStyle w:val="BuiltInTok"/>
        </w:rPr>
        <w:t xml:space="preserve">id</w:t>
      </w:r>
      <w:r>
        <w:rPr>
          <w:rStyle w:val="NormalTok"/>
        </w:rPr>
        <w:t xml:space="preserve">, p, {</w:t>
      </w:r>
      <w:r>
        <w:rPr>
          <w:rStyle w:val="StringTok"/>
        </w:rPr>
        <w:t xml:space="preserve">"type"</w:t>
      </w:r>
      <w:r>
        <w:rPr>
          <w:rStyle w:val="NormalTok"/>
        </w:rPr>
        <w:t xml:space="preserve">: </w:t>
      </w:r>
      <w:r>
        <w:rPr>
          <w:rStyle w:val="StringTok"/>
        </w:rPr>
        <w:t xml:space="preserve">"AppendEntries"</w:t>
      </w:r>
      <w:r>
        <w:rPr>
          <w:rStyle w:val="NormalTok"/>
        </w:rPr>
        <w:t xml:space="preserve">, </w:t>
      </w:r>
      <w:r>
        <w:rPr>
          <w:rStyle w:val="StringTok"/>
        </w:rPr>
        <w:t xml:space="preserve">"term"</w:t>
      </w:r>
      <w:r>
        <w:rPr>
          <w:rStyle w:val="NormalTok"/>
        </w:rPr>
        <w:t xml:space="preserve">: n.term, </w:t>
      </w:r>
      <w:r>
        <w:rPr>
          <w:rStyle w:val="StringTok"/>
        </w:rPr>
        <w:t xml:space="preserve">"prev_index"</w:t>
      </w:r>
      <w:r>
        <w:rPr>
          <w:rStyle w:val="NormalTok"/>
        </w:rPr>
        <w:t xml:space="preserve">: prev,</w:t>
      </w:r>
      <w:r>
        <w:br/>
      </w:r>
      <w:r>
        <w:rPr>
          <w:rStyle w:val="NormalTok"/>
        </w:rPr>
        <w:t xml:space="preserve">                                </w:t>
      </w:r>
      <w:r>
        <w:rPr>
          <w:rStyle w:val="StringTok"/>
        </w:rPr>
        <w:t xml:space="preserve">"prev_term"</w:t>
      </w:r>
      <w:r>
        <w:rPr>
          <w:rStyle w:val="NormalTok"/>
        </w:rPr>
        <w:t xml:space="preserve">: n.term_at(prev), </w:t>
      </w:r>
      <w:r>
        <w:rPr>
          <w:rStyle w:val="StringTok"/>
        </w:rPr>
        <w:t xml:space="preserve">"entries"</w:t>
      </w:r>
      <w:r>
        <w:rPr>
          <w:rStyle w:val="NormalTok"/>
        </w:rPr>
        <w:t xml:space="preserve">: n.log[prev:],</w:t>
      </w:r>
      <w:r>
        <w:br/>
      </w:r>
      <w:r>
        <w:rPr>
          <w:rStyle w:val="NormalTok"/>
        </w:rPr>
        <w:t xml:space="preserve">                                </w:t>
      </w:r>
      <w:r>
        <w:rPr>
          <w:rStyle w:val="StringTok"/>
        </w:rPr>
        <w:t xml:space="preserve">"commit"</w:t>
      </w:r>
      <w:r>
        <w:rPr>
          <w:rStyle w:val="NormalTok"/>
        </w:rPr>
        <w:t xml:space="preserve">: n.commit})</w:t>
      </w:r>
      <w:r>
        <w:br/>
      </w:r>
      <w:r>
        <w:br/>
      </w:r>
      <w:r>
        <w:rPr>
          <w:rStyle w:val="NormalTok"/>
        </w:rPr>
        <w:t xml:space="preserve">    </w:t>
      </w:r>
      <w:r>
        <w:rPr>
          <w:rStyle w:val="KeywordTok"/>
        </w:rPr>
        <w:t xml:space="preserve">def</w:t>
      </w:r>
      <w:r>
        <w:rPr>
          <w:rStyle w:val="NormalTok"/>
        </w:rPr>
        <w:t xml:space="preserve"> client_write(</w:t>
      </w:r>
      <w:r>
        <w:rPr>
          <w:rStyle w:val="VariableTok"/>
        </w:rPr>
        <w:t xml:space="preserve">self</w:t>
      </w:r>
      <w:r>
        <w:rPr>
          <w:rStyle w:val="NormalTok"/>
        </w:rPr>
        <w:t xml:space="preserve">, command):</w:t>
      </w:r>
      <w:r>
        <w:br/>
      </w:r>
      <w:r>
        <w:rPr>
          <w:rStyle w:val="NormalTok"/>
        </w:rPr>
        <w:t xml:space="preserve">        leader </w:t>
      </w:r>
      <w:r>
        <w:rPr>
          <w:rStyle w:val="OperatorTok"/>
        </w:rPr>
        <w:t xml:space="preserve">=</w:t>
      </w:r>
      <w:r>
        <w:rPr>
          <w:rStyle w:val="NormalTok"/>
        </w:rPr>
        <w:t xml:space="preserve"> </w:t>
      </w:r>
      <w:r>
        <w:rPr>
          <w:rStyle w:val="BuiltInTok"/>
        </w:rPr>
        <w:t xml:space="preserve">next</w:t>
      </w:r>
      <w:r>
        <w:rPr>
          <w:rStyle w:val="NormalTok"/>
        </w:rPr>
        <w:t xml:space="preserve">((n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VariableTok"/>
        </w:rPr>
        <w:t xml:space="preserve">self</w:t>
      </w:r>
      <w:r>
        <w:rPr>
          <w:rStyle w:val="NormalTok"/>
        </w:rPr>
        <w:t xml:space="preserve">.nodes.values() </w:t>
      </w:r>
      <w:r>
        <w:rPr>
          <w:rStyle w:val="ControlFlowTok"/>
        </w:rPr>
        <w:t xml:space="preserve">if</w:t>
      </w:r>
      <w:r>
        <w:rPr>
          <w:rStyle w:val="NormalTok"/>
        </w:rPr>
        <w:t xml:space="preserve"> n.up </w:t>
      </w:r>
      <w:r>
        <w:rPr>
          <w:rStyle w:val="KeywordTok"/>
        </w:rPr>
        <w:t xml:space="preserve">and</w:t>
      </w:r>
      <w:r>
        <w:rPr>
          <w:rStyle w:val="NormalTok"/>
        </w:rPr>
        <w:t xml:space="preserve"> n.role </w:t>
      </w:r>
      <w:r>
        <w:rPr>
          <w:rStyle w:val="OperatorTok"/>
        </w:rPr>
        <w:t xml:space="preserve">==</w:t>
      </w:r>
      <w:r>
        <w:rPr>
          <w:rStyle w:val="NormalTok"/>
        </w:rPr>
        <w:t xml:space="preserve"> </w:t>
      </w:r>
      <w:r>
        <w:rPr>
          <w:rStyle w:val="StringTok"/>
        </w:rPr>
        <w:t xml:space="preserve">"leader"</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leader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.log_event(</w:t>
      </w:r>
      <w:r>
        <w:rPr>
          <w:rStyle w:val="SpecialStringTok"/>
        </w:rPr>
        <w:t xml:space="preserve">f"client write </w:t>
      </w:r>
      <w:r>
        <w:rPr>
          <w:rStyle w:val="SpecialCharTok"/>
        </w:rPr>
        <w:t xml:space="preserve">{</w:t>
      </w:r>
      <w:r>
        <w:rPr>
          <w:rStyle w:val="NormalTok"/>
        </w:rPr>
        <w:t xml:space="preserve">command</w:t>
      </w:r>
      <w:r>
        <w:rPr>
          <w:rStyle w:val="SpecialCharTok"/>
        </w:rPr>
        <w:t xml:space="preserve">!r}</w:t>
      </w:r>
      <w:r>
        <w:rPr>
          <w:rStyle w:val="SpecialStringTok"/>
        </w:rPr>
        <w:t xml:space="preserve"> rejected: no leader"</w:t>
      </w:r>
      <w:r>
        <w:rPr>
          <w:rStyle w:val="NormalTok"/>
        </w:rPr>
        <w:t xml:space="preserve">)</w:t>
      </w:r>
      <w:r>
        <w:br/>
      </w:r>
      <w:r>
        <w:rPr>
          <w:rStyle w:val="NormalTok"/>
        </w:rPr>
        <w:t xml:space="preserve">            </w:t>
      </w:r>
      <w:r>
        <w:rPr>
          <w:rStyle w:val="ControlFlowTok"/>
        </w:rPr>
        <w:t xml:space="preserve">return</w:t>
      </w:r>
      <w:r>
        <w:br/>
      </w:r>
      <w:r>
        <w:rPr>
          <w:rStyle w:val="NormalTok"/>
        </w:rPr>
        <w:t xml:space="preserve">        leader.log.append((leader.term, command))</w:t>
      </w:r>
      <w:r>
        <w:br/>
      </w:r>
      <w:r>
        <w:rPr>
          <w:rStyle w:val="NormalTok"/>
        </w:rPr>
        <w:t xml:space="preserve">        </w:t>
      </w:r>
      <w:r>
        <w:rPr>
          <w:rStyle w:val="VariableTok"/>
        </w:rPr>
        <w:t xml:space="preserve">self</w:t>
      </w:r>
      <w:r>
        <w:rPr>
          <w:rStyle w:val="NormalTok"/>
        </w:rPr>
        <w:t xml:space="preserve">.log_event(</w:t>
      </w:r>
      <w:r>
        <w:rPr>
          <w:rStyle w:val="SpecialStringTok"/>
        </w:rPr>
        <w:t xml:space="preserve">f"client write </w:t>
      </w:r>
      <w:r>
        <w:rPr>
          <w:rStyle w:val="SpecialCharTok"/>
        </w:rPr>
        <w:t xml:space="preserve">{</w:t>
      </w:r>
      <w:r>
        <w:rPr>
          <w:rStyle w:val="NormalTok"/>
        </w:rPr>
        <w:t xml:space="preserve">command</w:t>
      </w:r>
      <w:r>
        <w:rPr>
          <w:rStyle w:val="SpecialCharTok"/>
        </w:rPr>
        <w:t xml:space="preserve">!r}</w:t>
      </w:r>
      <w:r>
        <w:rPr>
          <w:rStyle w:val="SpecialStringTok"/>
        </w:rPr>
        <w:t xml:space="preserve"> -&gt; leader n</w:t>
      </w:r>
      <w:r>
        <w:rPr>
          <w:rStyle w:val="SpecialCharTok"/>
        </w:rPr>
        <w:t xml:space="preserve">{</w:t>
      </w:r>
      <w:r>
        <w:rPr>
          <w:rStyle w:val="NormalTok"/>
        </w:rPr>
        <w:t xml:space="preserve">leader</w:t>
      </w:r>
      <w:r>
        <w:rPr>
          <w:rStyle w:val="SpecialCharTok"/>
        </w:rPr>
        <w:t xml:space="preserve">.</w:t>
      </w:r>
      <w:r>
        <w:rPr>
          <w:rStyle w:val="BuiltInTok"/>
        </w:rPr>
        <w:t xml:space="preserve">id</w:t>
      </w:r>
      <w:r>
        <w:rPr>
          <w:rStyle w:val="SpecialCharTok"/>
        </w:rPr>
        <w:t xml:space="preserve">}</w:t>
      </w:r>
      <w:r>
        <w:rPr>
          <w:rStyle w:val="SpecialStringTok"/>
        </w:rPr>
        <w:t xml:space="preserve"> at index </w:t>
      </w:r>
      <w:r>
        <w:rPr>
          <w:rStyle w:val="SpecialCharTok"/>
        </w:rPr>
        <w:t xml:space="preserve">{</w:t>
      </w:r>
      <w:r>
        <w:rPr>
          <w:rStyle w:val="NormalTok"/>
        </w:rPr>
        <w:t xml:space="preserve">leader</w:t>
      </w:r>
      <w:r>
        <w:rPr>
          <w:rStyle w:val="SpecialCharTok"/>
        </w:rPr>
        <w:t xml:space="preserve">.</w:t>
      </w:r>
      <w:r>
        <w:rPr>
          <w:rStyle w:val="NormalTok"/>
        </w:rPr>
        <w:t xml:space="preserve">last_index()</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 main loop ----------------</w:t>
      </w:r>
      <w:r>
        <w:br/>
      </w:r>
      <w:r>
        <w:rPr>
          <w:rStyle w:val="NormalTok"/>
        </w:rPr>
        <w:t xml:space="preserve">    </w:t>
      </w:r>
      <w:r>
        <w:rPr>
          <w:rStyle w:val="KeywordTok"/>
        </w:rPr>
        <w:t xml:space="preserve">def</w:t>
      </w:r>
      <w:r>
        <w:rPr>
          <w:rStyle w:val="NormalTok"/>
        </w:rPr>
        <w:t xml:space="preserve"> tick(</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.now </w:t>
      </w:r>
      <w:r>
        <w:rPr>
          <w:rStyle w:val="OperatorTok"/>
        </w:rPr>
        <w:t xml:space="preserve">+=</w:t>
      </w:r>
      <w:r>
        <w:rPr>
          <w:rStyle w:val="NormalTok"/>
        </w:rPr>
        <w:t xml:space="preserve"> </w:t>
      </w:r>
      <w:r>
        <w:rPr>
          <w:rStyle w:val="DecValTok"/>
        </w:rPr>
        <w:t xml:space="preserve">1</w:t>
      </w:r>
      <w:r>
        <w:br/>
      </w:r>
      <w:r>
        <w:rPr>
          <w:rStyle w:val="NormalTok"/>
        </w:rPr>
        <w:t xml:space="preserve">        due </w:t>
      </w:r>
      <w:r>
        <w:rPr>
          <w:rStyle w:val="OperatorTok"/>
        </w:rPr>
        <w:t xml:space="preserve">=</w:t>
      </w:r>
      <w:r>
        <w:rPr>
          <w:rStyle w:val="NormalTok"/>
        </w:rPr>
        <w:t xml:space="preserve"> [x </w:t>
      </w:r>
      <w:r>
        <w:rPr>
          <w:rStyle w:val="ControlFlowTok"/>
        </w:rPr>
        <w:t xml:space="preserve">for</w:t>
      </w:r>
      <w:r>
        <w:rPr>
          <w:rStyle w:val="NormalTok"/>
        </w:rPr>
        <w:t xml:space="preserve"> x </w:t>
      </w:r>
      <w:r>
        <w:rPr>
          <w:rStyle w:val="KeywordTok"/>
        </w:rPr>
        <w:t xml:space="preserve">in</w:t>
      </w:r>
      <w:r>
        <w:rPr>
          <w:rStyle w:val="NormalTok"/>
        </w:rPr>
        <w:t xml:space="preserve"> </w:t>
      </w:r>
      <w:r>
        <w:rPr>
          <w:rStyle w:val="VariableTok"/>
        </w:rPr>
        <w:t xml:space="preserve">self</w:t>
      </w:r>
      <w:r>
        <w:rPr>
          <w:rStyle w:val="NormalTok"/>
        </w:rPr>
        <w:t xml:space="preserve">.inbox </w:t>
      </w:r>
      <w:r>
        <w:rPr>
          <w:rStyle w:val="ControlFlowTok"/>
        </w:rPr>
        <w:t xml:space="preserve">if</w:t>
      </w:r>
      <w:r>
        <w:rPr>
          <w:rStyle w:val="NormalTok"/>
        </w:rPr>
        <w:t xml:space="preserve"> x[</w:t>
      </w:r>
      <w:r>
        <w:rPr>
          <w:rStyle w:val="DecValTok"/>
        </w:rPr>
        <w:t xml:space="preserve">0</w:t>
      </w:r>
      <w:r>
        <w:rPr>
          <w:rStyle w:val="NormalTok"/>
        </w:rPr>
        <w:t xml:space="preserve">] </w:t>
      </w:r>
      <w:r>
        <w:rPr>
          <w:rStyle w:val="OperatorTok"/>
        </w:rPr>
        <w:t xml:space="preserve">&lt;=</w:t>
      </w:r>
      <w:r>
        <w:rPr>
          <w:rStyle w:val="NormalTok"/>
        </w:rPr>
        <w:t xml:space="preserve"> </w:t>
      </w:r>
      <w:r>
        <w:rPr>
          <w:rStyle w:val="VariableTok"/>
        </w:rPr>
        <w:t xml:space="preserve">self</w:t>
      </w:r>
      <w:r>
        <w:rPr>
          <w:rStyle w:val="NormalTok"/>
        </w:rPr>
        <w:t xml:space="preserve">.now]</w:t>
      </w:r>
      <w:r>
        <w:br/>
      </w:r>
      <w:r>
        <w:rPr>
          <w:rStyle w:val="NormalTok"/>
        </w:rPr>
        <w:t xml:space="preserve">        </w:t>
      </w:r>
      <w:r>
        <w:rPr>
          <w:rStyle w:val="VariableTok"/>
        </w:rPr>
        <w:t xml:space="preserve">self</w:t>
      </w:r>
      <w:r>
        <w:rPr>
          <w:rStyle w:val="NormalTok"/>
        </w:rPr>
        <w:t xml:space="preserve">.inbox </w:t>
      </w:r>
      <w:r>
        <w:rPr>
          <w:rStyle w:val="OperatorTok"/>
        </w:rPr>
        <w:t xml:space="preserve">=</w:t>
      </w:r>
      <w:r>
        <w:rPr>
          <w:rStyle w:val="NormalTok"/>
        </w:rPr>
        <w:t xml:space="preserve"> [x </w:t>
      </w:r>
      <w:r>
        <w:rPr>
          <w:rStyle w:val="ControlFlowTok"/>
        </w:rPr>
        <w:t xml:space="preserve">for</w:t>
      </w:r>
      <w:r>
        <w:rPr>
          <w:rStyle w:val="NormalTok"/>
        </w:rPr>
        <w:t xml:space="preserve"> x </w:t>
      </w:r>
      <w:r>
        <w:rPr>
          <w:rStyle w:val="KeywordTok"/>
        </w:rPr>
        <w:t xml:space="preserve">in</w:t>
      </w:r>
      <w:r>
        <w:rPr>
          <w:rStyle w:val="NormalTok"/>
        </w:rPr>
        <w:t xml:space="preserve"> </w:t>
      </w:r>
      <w:r>
        <w:rPr>
          <w:rStyle w:val="VariableTok"/>
        </w:rPr>
        <w:t xml:space="preserve">self</w:t>
      </w:r>
      <w:r>
        <w:rPr>
          <w:rStyle w:val="NormalTok"/>
        </w:rPr>
        <w:t xml:space="preserve">.inbox </w:t>
      </w:r>
      <w:r>
        <w:rPr>
          <w:rStyle w:val="ControlFlowTok"/>
        </w:rPr>
        <w:t xml:space="preserve">if</w:t>
      </w:r>
      <w:r>
        <w:rPr>
          <w:rStyle w:val="NormalTok"/>
        </w:rPr>
        <w:t xml:space="preserve"> x[</w:t>
      </w:r>
      <w:r>
        <w:rPr>
          <w:rStyle w:val="DecValTok"/>
        </w:rPr>
        <w:t xml:space="preserve">0</w:t>
      </w:r>
      <w:r>
        <w:rPr>
          <w:rStyle w:val="NormalTok"/>
        </w:rPr>
        <w:t xml:space="preserve">] </w:t>
      </w:r>
      <w:r>
        <w:rPr>
          <w:rStyle w:val="OperatorTok"/>
        </w:rPr>
        <w:t xml:space="preserve">&gt;</w:t>
      </w:r>
      <w:r>
        <w:rPr>
          <w:rStyle w:val="NormalTok"/>
        </w:rPr>
        <w:t xml:space="preserve"> </w:t>
      </w:r>
      <w:r>
        <w:rPr>
          <w:rStyle w:val="VariableTok"/>
        </w:rPr>
        <w:t xml:space="preserve">self</w:t>
      </w:r>
      <w:r>
        <w:rPr>
          <w:rStyle w:val="NormalTok"/>
        </w:rPr>
        <w:t xml:space="preserve">.now]</w:t>
      </w:r>
      <w:r>
        <w:br/>
      </w:r>
      <w:r>
        <w:rPr>
          <w:rStyle w:val="NormalTok"/>
        </w:rPr>
        <w:t xml:space="preserve">        </w:t>
      </w:r>
      <w:r>
        <w:rPr>
          <w:rStyle w:val="ControlFlowTok"/>
        </w:rPr>
        <w:t xml:space="preserve">for</w:t>
      </w:r>
      <w:r>
        <w:rPr>
          <w:rStyle w:val="NormalTok"/>
        </w:rPr>
        <w:t xml:space="preserve"> _, dst, msg </w:t>
      </w:r>
      <w:r>
        <w:rPr>
          <w:rStyle w:val="KeywordTok"/>
        </w:rPr>
        <w:t xml:space="preserve">in</w:t>
      </w:r>
      <w:r>
        <w:rPr>
          <w:rStyle w:val="NormalTok"/>
        </w:rPr>
        <w:t xml:space="preserve"> </w:t>
      </w:r>
      <w:r>
        <w:rPr>
          <w:rStyle w:val="BuiltInTok"/>
        </w:rPr>
        <w:t xml:space="preserve">sorted</w:t>
      </w:r>
      <w:r>
        <w:rPr>
          <w:rStyle w:val="NormalTok"/>
        </w:rPr>
        <w:t xml:space="preserve">(due, key</w:t>
      </w:r>
      <w:r>
        <w:rPr>
          <w:rStyle w:val="OperatorTok"/>
        </w:rPr>
        <w:t xml:space="preserve">=</w:t>
      </w:r>
      <w:r>
        <w:rPr>
          <w:rStyle w:val="KeywordTok"/>
        </w:rPr>
        <w:t xml:space="preserve">lambda</w:t>
      </w:r>
      <w:r>
        <w:rPr>
          <w:rStyle w:val="NormalTok"/>
        </w:rPr>
        <w:t xml:space="preserve"> x: (x[</w:t>
      </w:r>
      <w:r>
        <w:rPr>
          <w:rStyle w:val="DecValTok"/>
        </w:rPr>
        <w:t xml:space="preserve">0</w:t>
      </w:r>
      <w:r>
        <w:rPr>
          <w:rStyle w:val="NormalTok"/>
        </w:rPr>
        <w:t xml:space="preserve">], x[</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.nodes[dst].up </w:t>
      </w:r>
      <w:r>
        <w:rPr>
          <w:rStyle w:val="KeywordTok"/>
        </w:rPr>
        <w:t xml:space="preserve">and</w:t>
      </w:r>
      <w:r>
        <w:rPr>
          <w:rStyle w:val="NormalTok"/>
        </w:rPr>
        <w:t xml:space="preserve"> </w:t>
      </w:r>
      <w:r>
        <w:rPr>
          <w:rStyle w:val="VariableTok"/>
        </w:rPr>
        <w:t xml:space="preserve">self</w:t>
      </w:r>
      <w:r>
        <w:rPr>
          <w:rStyle w:val="NormalTok"/>
        </w:rPr>
        <w:t xml:space="preserve">.nodes[msg[</w:t>
      </w:r>
      <w:r>
        <w:rPr>
          <w:rStyle w:val="StringTok"/>
        </w:rPr>
        <w:t xml:space="preserve">"src"</w:t>
      </w:r>
      <w:r>
        <w:rPr>
          <w:rStyle w:val="NormalTok"/>
        </w:rPr>
        <w:t xml:space="preserve">]].up:   </w:t>
      </w:r>
      <w:r>
        <w:rPr>
          <w:rStyle w:val="CommentTok"/>
        </w:rPr>
        <w:t xml:space="preserve"># crashed nodes drop traffic</w:t>
      </w:r>
      <w:r>
        <w:br/>
      </w:r>
      <w:r>
        <w:rPr>
          <w:rStyle w:val="NormalTok"/>
        </w:rPr>
        <w:t xml:space="preserve">                </w:t>
      </w:r>
      <w:r>
        <w:rPr>
          <w:rStyle w:val="VariableTok"/>
        </w:rPr>
        <w:t xml:space="preserve">self</w:t>
      </w:r>
      <w:r>
        <w:rPr>
          <w:rStyle w:val="NormalTok"/>
        </w:rPr>
        <w:t xml:space="preserve">.handle(</w:t>
      </w:r>
      <w:r>
        <w:rPr>
          <w:rStyle w:val="VariableTok"/>
        </w:rPr>
        <w:t xml:space="preserve">self</w:t>
      </w:r>
      <w:r>
        <w:rPr>
          <w:rStyle w:val="NormalTok"/>
        </w:rPr>
        <w:t xml:space="preserve">.nodes[dst], msg)</w:t>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VariableTok"/>
        </w:rPr>
        <w:t xml:space="preserve">self</w:t>
      </w:r>
      <w:r>
        <w:rPr>
          <w:rStyle w:val="NormalTok"/>
        </w:rPr>
        <w:t xml:space="preserve">.nodes.values():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n.up:</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if</w:t>
      </w:r>
      <w:r>
        <w:rPr>
          <w:rStyle w:val="NormalTok"/>
        </w:rPr>
        <w:t xml:space="preserve"> n.role </w:t>
      </w:r>
      <w:r>
        <w:rPr>
          <w:rStyle w:val="OperatorTok"/>
        </w:rPr>
        <w:t xml:space="preserve">==</w:t>
      </w:r>
      <w:r>
        <w:rPr>
          <w:rStyle w:val="NormalTok"/>
        </w:rPr>
        <w:t xml:space="preserve"> </w:t>
      </w:r>
      <w:r>
        <w:rPr>
          <w:rStyle w:val="StringTok"/>
        </w:rPr>
        <w:t xml:space="preserve">"leader"</w:t>
      </w:r>
      <w:r>
        <w:rPr>
          <w:rStyle w:val="NormalTok"/>
        </w:rPr>
        <w:t xml:space="preserve"> </w:t>
      </w:r>
      <w:r>
        <w:rPr>
          <w:rStyle w:val="KeywordTok"/>
        </w:rPr>
        <w:t xml:space="preserve">and</w:t>
      </w:r>
      <w:r>
        <w:rPr>
          <w:rStyle w:val="NormalTok"/>
        </w:rPr>
        <w:t xml:space="preserve"> </w:t>
      </w:r>
      <w:r>
        <w:rPr>
          <w:rStyle w:val="VariableTok"/>
        </w:rPr>
        <w:t xml:space="preserve">self</w:t>
      </w:r>
      <w:r>
        <w:rPr>
          <w:rStyle w:val="NormalTok"/>
        </w:rPr>
        <w:t xml:space="preserve">.now </w:t>
      </w:r>
      <w:r>
        <w:rPr>
          <w:rStyle w:val="OperatorTok"/>
        </w:rPr>
        <w:t xml:space="preserve">&gt;=</w:t>
      </w:r>
      <w:r>
        <w:rPr>
          <w:rStyle w:val="NormalTok"/>
        </w:rPr>
        <w:t xml:space="preserve"> n.hb_due:</w:t>
      </w:r>
      <w:r>
        <w:br/>
      </w:r>
      <w:r>
        <w:rPr>
          <w:rStyle w:val="NormalTok"/>
        </w:rPr>
        <w:t xml:space="preserve">                </w:t>
      </w:r>
      <w:r>
        <w:rPr>
          <w:rStyle w:val="VariableTok"/>
        </w:rPr>
        <w:t xml:space="preserve">self</w:t>
      </w:r>
      <w:r>
        <w:rPr>
          <w:rStyle w:val="NormalTok"/>
        </w:rPr>
        <w:t xml:space="preserve">.replicate(n)</w:t>
      </w:r>
      <w:r>
        <w:br/>
      </w:r>
      <w:r>
        <w:rPr>
          <w:rStyle w:val="NormalTok"/>
        </w:rPr>
        <w:t xml:space="preserve">                n.hb_due </w:t>
      </w:r>
      <w:r>
        <w:rPr>
          <w:rStyle w:val="OperatorTok"/>
        </w:rPr>
        <w:t xml:space="preserve">=</w:t>
      </w:r>
      <w:r>
        <w:rPr>
          <w:rStyle w:val="NormalTok"/>
        </w:rPr>
        <w:t xml:space="preserve"> </w:t>
      </w:r>
      <w:r>
        <w:rPr>
          <w:rStyle w:val="VariableTok"/>
        </w:rPr>
        <w:t xml:space="preserve">self</w:t>
      </w:r>
      <w:r>
        <w:rPr>
          <w:rStyle w:val="NormalTok"/>
        </w:rPr>
        <w:t xml:space="preserve">.now </w:t>
      </w:r>
      <w:r>
        <w:rPr>
          <w:rStyle w:val="OperatorTok"/>
        </w:rPr>
        <w:t xml:space="preserve">+</w:t>
      </w:r>
      <w:r>
        <w:rPr>
          <w:rStyle w:val="NormalTok"/>
        </w:rPr>
        <w:t xml:space="preserve"> HEARTBEAT_MS</w:t>
      </w:r>
      <w:r>
        <w:br/>
      </w:r>
      <w:r>
        <w:rPr>
          <w:rStyle w:val="NormalTok"/>
        </w:rPr>
        <w:t xml:space="preserve">            </w:t>
      </w:r>
      <w:r>
        <w:rPr>
          <w:rStyle w:val="ControlFlowTok"/>
        </w:rPr>
        <w:t xml:space="preserve">elif</w:t>
      </w:r>
      <w:r>
        <w:rPr>
          <w:rStyle w:val="NormalTok"/>
        </w:rPr>
        <w:t xml:space="preserve"> n.role </w:t>
      </w:r>
      <w:r>
        <w:rPr>
          <w:rStyle w:val="OperatorTok"/>
        </w:rPr>
        <w:t xml:space="preserve">!=</w:t>
      </w:r>
      <w:r>
        <w:rPr>
          <w:rStyle w:val="NormalTok"/>
        </w:rPr>
        <w:t xml:space="preserve"> </w:t>
      </w:r>
      <w:r>
        <w:rPr>
          <w:rStyle w:val="StringTok"/>
        </w:rPr>
        <w:t xml:space="preserve">"leader"</w:t>
      </w:r>
      <w:r>
        <w:rPr>
          <w:rStyle w:val="NormalTok"/>
        </w:rPr>
        <w:t xml:space="preserve"> </w:t>
      </w:r>
      <w:r>
        <w:rPr>
          <w:rStyle w:val="KeywordTok"/>
        </w:rPr>
        <w:t xml:space="preserve">and</w:t>
      </w:r>
      <w:r>
        <w:rPr>
          <w:rStyle w:val="NormalTok"/>
        </w:rPr>
        <w:t xml:space="preserve"> </w:t>
      </w:r>
      <w:r>
        <w:rPr>
          <w:rStyle w:val="VariableTok"/>
        </w:rPr>
        <w:t xml:space="preserve">self</w:t>
      </w:r>
      <w:r>
        <w:rPr>
          <w:rStyle w:val="NormalTok"/>
        </w:rPr>
        <w:t xml:space="preserve">.now </w:t>
      </w:r>
      <w:r>
        <w:rPr>
          <w:rStyle w:val="OperatorTok"/>
        </w:rPr>
        <w:t xml:space="preserve">&gt;=</w:t>
      </w:r>
      <w:r>
        <w:rPr>
          <w:rStyle w:val="NormalTok"/>
        </w:rPr>
        <w:t xml:space="preserve"> n.deadline:</w:t>
      </w:r>
      <w:r>
        <w:br/>
      </w:r>
      <w:r>
        <w:rPr>
          <w:rStyle w:val="NormalTok"/>
        </w:rPr>
        <w:t xml:space="preserve">                n.role, n.term, n.voted_for, n.votes </w:t>
      </w:r>
      <w:r>
        <w:rPr>
          <w:rStyle w:val="OperatorTok"/>
        </w:rPr>
        <w:t xml:space="preserve">=</w:t>
      </w:r>
      <w:r>
        <w:rPr>
          <w:rStyle w:val="NormalTok"/>
        </w:rPr>
        <w:t xml:space="preserve"> </w:t>
      </w:r>
      <w:r>
        <w:rPr>
          <w:rStyle w:val="StringTok"/>
        </w:rPr>
        <w:t xml:space="preserve">"candidate"</w:t>
      </w:r>
      <w:r>
        <w:rPr>
          <w:rStyle w:val="NormalTok"/>
        </w:rPr>
        <w:t xml:space="preserve">, n.term </w:t>
      </w:r>
      <w:r>
        <w:rPr>
          <w:rStyle w:val="OperatorTok"/>
        </w:rPr>
        <w:t xml:space="preserve">+</w:t>
      </w:r>
      <w:r>
        <w:rPr>
          <w:rStyle w:val="NormalTok"/>
        </w:rPr>
        <w:t xml:space="preserve"> </w:t>
      </w:r>
      <w:r>
        <w:rPr>
          <w:rStyle w:val="DecValTok"/>
        </w:rPr>
        <w:t xml:space="preserve">1</w:t>
      </w:r>
      <w:r>
        <w:rPr>
          <w:rStyle w:val="NormalTok"/>
        </w:rPr>
        <w:t xml:space="preserve">, n.</w:t>
      </w:r>
      <w:r>
        <w:rPr>
          <w:rStyle w:val="BuiltInTok"/>
        </w:rPr>
        <w:t xml:space="preserve">id</w:t>
      </w:r>
      <w:r>
        <w:rPr>
          <w:rStyle w:val="NormalTok"/>
        </w:rPr>
        <w:t xml:space="preserve">, {n.</w:t>
      </w:r>
      <w:r>
        <w:rPr>
          <w:rStyle w:val="BuiltInTok"/>
        </w:rPr>
        <w:t xml:space="preserve">id</w:t>
      </w:r>
      <w:r>
        <w:rPr>
          <w:rStyle w:val="NormalTok"/>
        </w:rPr>
        <w:t xml:space="preserve">}</w:t>
      </w:r>
      <w:r>
        <w:br/>
      </w:r>
      <w:r>
        <w:rPr>
          <w:rStyle w:val="NormalTok"/>
        </w:rPr>
        <w:t xml:space="preserve">                n.reset_election_timer(</w:t>
      </w:r>
      <w:r>
        <w:rPr>
          <w:rStyle w:val="VariableTok"/>
        </w:rPr>
        <w:t xml:space="preserve">self</w:t>
      </w:r>
      <w:r>
        <w:rPr>
          <w:rStyle w:val="NormalTok"/>
        </w:rPr>
        <w:t xml:space="preserve">.now)</w:t>
      </w:r>
      <w:r>
        <w:br/>
      </w:r>
      <w:r>
        <w:rPr>
          <w:rStyle w:val="NormalTok"/>
        </w:rPr>
        <w:t xml:space="preserve">                </w:t>
      </w:r>
      <w:r>
        <w:rPr>
          <w:rStyle w:val="VariableTok"/>
        </w:rPr>
        <w:t xml:space="preserve">self</w:t>
      </w:r>
      <w:r>
        <w:rPr>
          <w:rStyle w:val="NormalTok"/>
        </w:rPr>
        <w:t xml:space="preserve">.log_event(</w:t>
      </w:r>
      <w:r>
        <w:rPr>
          <w:rStyle w:val="SpecialStringTok"/>
        </w:rPr>
        <w:t xml:space="preserve">f"n</w:t>
      </w:r>
      <w:r>
        <w:rPr>
          <w:rStyle w:val="SpecialCharTok"/>
        </w:rPr>
        <w:t xml:space="preserve">{</w:t>
      </w:r>
      <w:r>
        <w:rPr>
          <w:rStyle w:val="NormalTok"/>
        </w:rPr>
        <w:t xml:space="preserve">n</w:t>
      </w:r>
      <w:r>
        <w:rPr>
          <w:rStyle w:val="SpecialCharTok"/>
        </w:rPr>
        <w:t xml:space="preserve">.</w:t>
      </w:r>
      <w:r>
        <w:rPr>
          <w:rStyle w:val="BuiltInTok"/>
        </w:rPr>
        <w:t xml:space="preserve">id</w:t>
      </w:r>
      <w:r>
        <w:rPr>
          <w:rStyle w:val="SpecialCharTok"/>
        </w:rPr>
        <w:t xml:space="preserve">}</w:t>
      </w:r>
      <w:r>
        <w:rPr>
          <w:rStyle w:val="SpecialStringTok"/>
        </w:rPr>
        <w:t xml:space="preserve"> times out, starts election for term </w:t>
      </w:r>
      <w:r>
        <w:rPr>
          <w:rStyle w:val="SpecialCharTok"/>
        </w:rPr>
        <w:t xml:space="preserve">{</w:t>
      </w:r>
      <w:r>
        <w:rPr>
          <w:rStyle w:val="NormalTok"/>
        </w:rPr>
        <w:t xml:space="preserve">n</w:t>
      </w:r>
      <w:r>
        <w:rPr>
          <w:rStyle w:val="SpecialCharTok"/>
        </w:rPr>
        <w:t xml:space="preserve">.</w:t>
      </w:r>
      <w:r>
        <w:rPr>
          <w:rStyle w:val="NormalTok"/>
        </w:rPr>
        <w:t xml:space="preserve">term</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n.peers:</w:t>
      </w:r>
      <w:r>
        <w:br/>
      </w:r>
      <w:r>
        <w:rPr>
          <w:rStyle w:val="NormalTok"/>
        </w:rPr>
        <w:t xml:space="preserve">                    </w:t>
      </w:r>
      <w:r>
        <w:rPr>
          <w:rStyle w:val="VariableTok"/>
        </w:rPr>
        <w:t xml:space="preserve">self</w:t>
      </w:r>
      <w:r>
        <w:rPr>
          <w:rStyle w:val="NormalTok"/>
        </w:rPr>
        <w:t xml:space="preserve">.send(n.</w:t>
      </w:r>
      <w:r>
        <w:rPr>
          <w:rStyle w:val="BuiltInTok"/>
        </w:rPr>
        <w:t xml:space="preserve">id</w:t>
      </w:r>
      <w:r>
        <w:rPr>
          <w:rStyle w:val="NormalTok"/>
        </w:rPr>
        <w:t xml:space="preserve">, p, {</w:t>
      </w:r>
      <w:r>
        <w:rPr>
          <w:rStyle w:val="StringTok"/>
        </w:rPr>
        <w:t xml:space="preserve">"type"</w:t>
      </w:r>
      <w:r>
        <w:rPr>
          <w:rStyle w:val="NormalTok"/>
        </w:rPr>
        <w:t xml:space="preserve">: </w:t>
      </w:r>
      <w:r>
        <w:rPr>
          <w:rStyle w:val="StringTok"/>
        </w:rPr>
        <w:t xml:space="preserve">"RequestVote"</w:t>
      </w:r>
      <w:r>
        <w:rPr>
          <w:rStyle w:val="NormalTok"/>
        </w:rPr>
        <w:t xml:space="preserve">, </w:t>
      </w:r>
      <w:r>
        <w:rPr>
          <w:rStyle w:val="StringTok"/>
        </w:rPr>
        <w:t xml:space="preserve">"term"</w:t>
      </w:r>
      <w:r>
        <w:rPr>
          <w:rStyle w:val="NormalTok"/>
        </w:rPr>
        <w:t xml:space="preserve">: n.term,</w:t>
      </w:r>
      <w:r>
        <w:br/>
      </w:r>
      <w:r>
        <w:rPr>
          <w:rStyle w:val="NormalTok"/>
        </w:rPr>
        <w:t xml:space="preserve">                                        </w:t>
      </w:r>
      <w:r>
        <w:rPr>
          <w:rStyle w:val="StringTok"/>
        </w:rPr>
        <w:t xml:space="preserve">"last_index"</w:t>
      </w:r>
      <w:r>
        <w:rPr>
          <w:rStyle w:val="NormalTok"/>
        </w:rPr>
        <w:t xml:space="preserve">: n.last_index(),</w:t>
      </w:r>
      <w:r>
        <w:br/>
      </w:r>
      <w:r>
        <w:rPr>
          <w:rStyle w:val="NormalTok"/>
        </w:rPr>
        <w:t xml:space="preserve">                                        </w:t>
      </w:r>
      <w:r>
        <w:rPr>
          <w:rStyle w:val="StringTok"/>
        </w:rPr>
        <w:t xml:space="preserve">"last_term"</w:t>
      </w:r>
      <w:r>
        <w:rPr>
          <w:rStyle w:val="NormalTok"/>
        </w:rPr>
        <w:t xml:space="preserve">: n.term_at(n.last_index())})</w:t>
      </w:r>
      <w:r>
        <w:br/>
      </w:r>
      <w:r>
        <w:br/>
      </w:r>
      <w:r>
        <w:rPr>
          <w:rStyle w:val="NormalTok"/>
        </w:rPr>
        <w:t xml:space="preserve">    </w:t>
      </w:r>
      <w:r>
        <w:rPr>
          <w:rStyle w:val="KeywordTok"/>
        </w:rPr>
        <w:t xml:space="preserve">def</w:t>
      </w:r>
      <w:r>
        <w:rPr>
          <w:rStyle w:val="NormalTok"/>
        </w:rPr>
        <w:t xml:space="preserve"> run_until(</w:t>
      </w:r>
      <w:r>
        <w:rPr>
          <w:rStyle w:val="VariableTok"/>
        </w:rPr>
        <w:t xml:space="preserve">self</w:t>
      </w:r>
      <w:r>
        <w:rPr>
          <w:rStyle w:val="NormalTok"/>
        </w:rPr>
        <w:t xml:space="preserve">, t):</w:t>
      </w:r>
      <w:r>
        <w:br/>
      </w:r>
      <w:r>
        <w:rPr>
          <w:rStyle w:val="NormalTok"/>
        </w:rPr>
        <w:t xml:space="preserve">        </w:t>
      </w:r>
      <w:r>
        <w:rPr>
          <w:rStyle w:val="ControlFlowTok"/>
        </w:rPr>
        <w:t xml:space="preserve">while</w:t>
      </w:r>
      <w:r>
        <w:rPr>
          <w:rStyle w:val="NormalTok"/>
        </w:rPr>
        <w:t xml:space="preserve"> </w:t>
      </w:r>
      <w:r>
        <w:rPr>
          <w:rStyle w:val="VariableTok"/>
        </w:rPr>
        <w:t xml:space="preserve">self</w:t>
      </w:r>
      <w:r>
        <w:rPr>
          <w:rStyle w:val="NormalTok"/>
        </w:rPr>
        <w:t xml:space="preserve">.now </w:t>
      </w:r>
      <w:r>
        <w:rPr>
          <w:rStyle w:val="OperatorTok"/>
        </w:rPr>
        <w:t xml:space="preserve">&lt;</w:t>
      </w:r>
      <w:r>
        <w:rPr>
          <w:rStyle w:val="NormalTok"/>
        </w:rPr>
        <w:t xml:space="preserve"> t:</w:t>
      </w:r>
      <w:r>
        <w:br/>
      </w:r>
      <w:r>
        <w:rPr>
          <w:rStyle w:val="NormalTok"/>
        </w:rPr>
        <w:t xml:space="preserve">            </w:t>
      </w:r>
      <w:r>
        <w:rPr>
          <w:rStyle w:val="VariableTok"/>
        </w:rPr>
        <w:t xml:space="preserve">self</w:t>
      </w:r>
      <w:r>
        <w:rPr>
          <w:rStyle w:val="NormalTok"/>
        </w:rPr>
        <w:t xml:space="preserve">.tick()</w:t>
      </w:r>
      <w:r>
        <w:br/>
      </w:r>
      <w:r>
        <w:br/>
      </w:r>
      <w:r>
        <w:rPr>
          <w:rStyle w:val="NormalTok"/>
        </w:rPr>
        <w:t xml:space="preserve">    </w:t>
      </w:r>
      <w:r>
        <w:rPr>
          <w:rStyle w:val="KeywordTok"/>
        </w:rPr>
        <w:t xml:space="preserve">def</w:t>
      </w:r>
      <w:r>
        <w:rPr>
          <w:rStyle w:val="NormalTok"/>
        </w:rPr>
        <w:t xml:space="preserve"> crash(</w:t>
      </w:r>
      <w:r>
        <w:rPr>
          <w:rStyle w:val="VariableTok"/>
        </w:rPr>
        <w:t xml:space="preserve">self</w:t>
      </w:r>
      <w:r>
        <w:rPr>
          <w:rStyle w:val="NormalTok"/>
        </w:rPr>
        <w:t xml:space="preserve">, nid):</w:t>
      </w:r>
      <w:r>
        <w:br/>
      </w:r>
      <w:r>
        <w:rPr>
          <w:rStyle w:val="NormalTok"/>
        </w:rPr>
        <w:t xml:space="preserve">        </w:t>
      </w:r>
      <w:r>
        <w:rPr>
          <w:rStyle w:val="VariableTok"/>
        </w:rPr>
        <w:t xml:space="preserve">self</w:t>
      </w:r>
      <w:r>
        <w:rPr>
          <w:rStyle w:val="NormalTok"/>
        </w:rPr>
        <w:t xml:space="preserve">.nodes[nid].up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VariableTok"/>
        </w:rPr>
        <w:t xml:space="preserve">self</w:t>
      </w:r>
      <w:r>
        <w:rPr>
          <w:rStyle w:val="NormalTok"/>
        </w:rPr>
        <w:t xml:space="preserve">.log_event(</w:t>
      </w:r>
      <w:r>
        <w:rPr>
          <w:rStyle w:val="SpecialStringTok"/>
        </w:rPr>
        <w:t xml:space="preserve">f"n</w:t>
      </w:r>
      <w:r>
        <w:rPr>
          <w:rStyle w:val="SpecialCharTok"/>
        </w:rPr>
        <w:t xml:space="preserve">{</w:t>
      </w:r>
      <w:r>
        <w:rPr>
          <w:rStyle w:val="NormalTok"/>
        </w:rPr>
        <w:t xml:space="preserve">nid</w:t>
      </w:r>
      <w:r>
        <w:rPr>
          <w:rStyle w:val="SpecialCharTok"/>
        </w:rPr>
        <w:t xml:space="preserve">}</w:t>
      </w:r>
      <w:r>
        <w:rPr>
          <w:rStyle w:val="SpecialStringTok"/>
        </w:rPr>
        <w:t xml:space="preserve"> CRASHES"</w:t>
      </w:r>
      <w:r>
        <w:rPr>
          <w:rStyle w:val="NormalTok"/>
        </w:rPr>
        <w:t xml:space="preserve">)</w:t>
      </w:r>
      <w:r>
        <w:br/>
      </w:r>
      <w:r>
        <w:br/>
      </w:r>
      <w:r>
        <w:rPr>
          <w:rStyle w:val="NormalTok"/>
        </w:rPr>
        <w:t xml:space="preserve">    </w:t>
      </w:r>
      <w:r>
        <w:rPr>
          <w:rStyle w:val="KeywordTok"/>
        </w:rPr>
        <w:t xml:space="preserve">def</w:t>
      </w:r>
      <w:r>
        <w:rPr>
          <w:rStyle w:val="NormalTok"/>
        </w:rPr>
        <w:t xml:space="preserve"> restart(</w:t>
      </w:r>
      <w:r>
        <w:rPr>
          <w:rStyle w:val="VariableTok"/>
        </w:rPr>
        <w:t xml:space="preserve">self</w:t>
      </w:r>
      <w:r>
        <w:rPr>
          <w:rStyle w:val="NormalTok"/>
        </w:rPr>
        <w:t xml:space="preserve">, nid):</w:t>
      </w:r>
      <w:r>
        <w:br/>
      </w:r>
      <w:r>
        <w:rPr>
          <w:rStyle w:val="NormalTok"/>
        </w:rPr>
        <w:t xml:space="preserve">        n </w:t>
      </w:r>
      <w:r>
        <w:rPr>
          <w:rStyle w:val="OperatorTok"/>
        </w:rPr>
        <w:t xml:space="preserve">=</w:t>
      </w:r>
      <w:r>
        <w:rPr>
          <w:rStyle w:val="NormalTok"/>
        </w:rPr>
        <w:t xml:space="preserve"> </w:t>
      </w:r>
      <w:r>
        <w:rPr>
          <w:rStyle w:val="VariableTok"/>
        </w:rPr>
        <w:t xml:space="preserve">self</w:t>
      </w:r>
      <w:r>
        <w:rPr>
          <w:rStyle w:val="NormalTok"/>
        </w:rPr>
        <w:t xml:space="preserve">.nodes[nid]</w:t>
      </w:r>
      <w:r>
        <w:br/>
      </w:r>
      <w:r>
        <w:rPr>
          <w:rStyle w:val="NormalTok"/>
        </w:rPr>
        <w:t xml:space="preserve">        n.up </w:t>
      </w:r>
      <w:r>
        <w:rPr>
          <w:rStyle w:val="OperatorTok"/>
        </w:rPr>
        <w:t xml:space="preserve">=</w:t>
      </w:r>
      <w:r>
        <w:rPr>
          <w:rStyle w:val="NormalTok"/>
        </w:rPr>
        <w:t xml:space="preserve"> </w:t>
      </w:r>
      <w:r>
        <w:rPr>
          <w:rStyle w:val="VariableTok"/>
        </w:rPr>
        <w:t xml:space="preserve">True</w:t>
      </w:r>
      <w:r>
        <w:br/>
      </w:r>
      <w:r>
        <w:rPr>
          <w:rStyle w:val="NormalTok"/>
        </w:rPr>
        <w:t xml:space="preserve">        n.reset_volatile(</w:t>
      </w:r>
      <w:r>
        <w:rPr>
          <w:rStyle w:val="VariableTok"/>
        </w:rPr>
        <w:t xml:space="preserve">self</w:t>
      </w:r>
      <w:r>
        <w:rPr>
          <w:rStyle w:val="NormalTok"/>
        </w:rPr>
        <w:t xml:space="preserve">.now)</w:t>
      </w:r>
      <w:r>
        <w:br/>
      </w:r>
      <w:r>
        <w:rPr>
          <w:rStyle w:val="NormalTok"/>
        </w:rPr>
        <w:t xml:space="preserve">        </w:t>
      </w:r>
      <w:r>
        <w:rPr>
          <w:rStyle w:val="VariableTok"/>
        </w:rPr>
        <w:t xml:space="preserve">self</w:t>
      </w:r>
      <w:r>
        <w:rPr>
          <w:rStyle w:val="NormalTok"/>
        </w:rPr>
        <w:t xml:space="preserve">.log_event(</w:t>
      </w:r>
      <w:r>
        <w:rPr>
          <w:rStyle w:val="SpecialStringTok"/>
        </w:rPr>
        <w:t xml:space="preserve">f"n</w:t>
      </w:r>
      <w:r>
        <w:rPr>
          <w:rStyle w:val="SpecialCharTok"/>
        </w:rPr>
        <w:t xml:space="preserve">{</w:t>
      </w:r>
      <w:r>
        <w:rPr>
          <w:rStyle w:val="NormalTok"/>
        </w:rPr>
        <w:t xml:space="preserve">nid</w:t>
      </w:r>
      <w:r>
        <w:rPr>
          <w:rStyle w:val="SpecialCharTok"/>
        </w:rPr>
        <w:t xml:space="preserve">}</w:t>
      </w:r>
      <w:r>
        <w:rPr>
          <w:rStyle w:val="SpecialStringTok"/>
        </w:rPr>
        <w:t xml:space="preserve"> restarts as follower (term </w:t>
      </w:r>
      <w:r>
        <w:rPr>
          <w:rStyle w:val="SpecialCharTok"/>
        </w:rPr>
        <w:t xml:space="preserve">{</w:t>
      </w:r>
      <w:r>
        <w:rPr>
          <w:rStyle w:val="NormalTok"/>
        </w:rPr>
        <w:t xml:space="preserve">n</w:t>
      </w:r>
      <w:r>
        <w:rPr>
          <w:rStyle w:val="SpecialCharTok"/>
        </w:rPr>
        <w:t xml:space="preserve">.</w:t>
      </w:r>
      <w:r>
        <w:rPr>
          <w:rStyle w:val="NormalTok"/>
        </w:rPr>
        <w:t xml:space="preserve">term</w:t>
      </w:r>
      <w:r>
        <w:rPr>
          <w:rStyle w:val="SpecialCharTok"/>
        </w:rPr>
        <w:t xml:space="preserve">}</w:t>
      </w:r>
      <w:r>
        <w:rPr>
          <w:rStyle w:val="SpecialStringTok"/>
        </w:rPr>
        <w:t xml:space="preserve">, log length </w:t>
      </w:r>
      <w:r>
        <w:rPr>
          <w:rStyle w:val="SpecialCharTok"/>
        </w:rPr>
        <w:t xml:space="preserve">{</w:t>
      </w:r>
      <w:r>
        <w:rPr>
          <w:rStyle w:val="NormalTok"/>
        </w:rPr>
        <w:t xml:space="preserve">n</w:t>
      </w:r>
      <w:r>
        <w:rPr>
          <w:rStyle w:val="SpecialCharTok"/>
        </w:rPr>
        <w:t xml:space="preserve">.</w:t>
      </w:r>
      <w:r>
        <w:rPr>
          <w:rStyle w:val="NormalTok"/>
        </w:rPr>
        <w:t xml:space="preserve">last_index()</w:t>
      </w:r>
      <w:r>
        <w:rPr>
          <w:rStyle w:val="SpecialCharTok"/>
        </w:rPr>
        <w:t xml:space="preserve">}</w:t>
      </w:r>
      <w:r>
        <w:rPr>
          <w:rStyle w:val="SpecialStringTok"/>
        </w:rPr>
        <w:t xml:space="preserve">)"</w:t>
      </w:r>
      <w:r>
        <w:rPr>
          <w:rStyle w:val="NormalTok"/>
        </w:rPr>
        <w:t xml:space="preserve">)</w:t>
      </w:r>
      <w:r>
        <w:br/>
      </w:r>
      <w:r>
        <w:br/>
      </w:r>
      <w:r>
        <w:br/>
      </w:r>
      <w:r>
        <w:rPr>
          <w:rStyle w:val="KeywordTok"/>
        </w:rPr>
        <w:t xml:space="preserve">def</w:t>
      </w:r>
      <w:r>
        <w:rPr>
          <w:rStyle w:val="NormalTok"/>
        </w:rPr>
        <w:t xml:space="preserve"> check_safety(cluster):</w:t>
      </w:r>
      <w:r>
        <w:br/>
      </w:r>
      <w:r>
        <w:rPr>
          <w:rStyle w:val="NormalTok"/>
        </w:rPr>
        <w:t xml:space="preserve">    </w:t>
      </w:r>
      <w:r>
        <w:rPr>
          <w:rStyle w:val="CommentTok"/>
        </w:rPr>
        <w:t xml:space="preserve">"""State machine safety: committed prefixes on all nodes must agree."""</w:t>
      </w:r>
      <w:r>
        <w:br/>
      </w:r>
      <w:r>
        <w:rPr>
          <w:rStyle w:val="NormalTok"/>
        </w:rPr>
        <w:t xml:space="preserve">    committed </w:t>
      </w:r>
      <w:r>
        <w:rPr>
          <w:rStyle w:val="OperatorTok"/>
        </w:rPr>
        <w:t xml:space="preserve">=</w:t>
      </w:r>
      <w:r>
        <w:rPr>
          <w:rStyle w:val="NormalTok"/>
        </w:rPr>
        <w:t xml:space="preserve"> [n.log[:n.commit] </w:t>
      </w:r>
      <w:r>
        <w:rPr>
          <w:rStyle w:val="ControlFlowTok"/>
        </w:rPr>
        <w:t xml:space="preserve">for</w:t>
      </w:r>
      <w:r>
        <w:rPr>
          <w:rStyle w:val="NormalTok"/>
        </w:rPr>
        <w:t xml:space="preserve"> n </w:t>
      </w:r>
      <w:r>
        <w:rPr>
          <w:rStyle w:val="KeywordTok"/>
        </w:rPr>
        <w:t xml:space="preserve">in</w:t>
      </w:r>
      <w:r>
        <w:rPr>
          <w:rStyle w:val="NormalTok"/>
        </w:rPr>
        <w:t xml:space="preserve"> cluster.nodes.values()]</w:t>
      </w:r>
      <w:r>
        <w:br/>
      </w:r>
      <w:r>
        <w:rPr>
          <w:rStyle w:val="NormalTok"/>
        </w:rPr>
        <w:t xml:space="preserve">    longest </w:t>
      </w:r>
      <w:r>
        <w:rPr>
          <w:rStyle w:val="OperatorTok"/>
        </w:rPr>
        <w:t xml:space="preserve">=</w:t>
      </w:r>
      <w:r>
        <w:rPr>
          <w:rStyle w:val="NormalTok"/>
        </w:rPr>
        <w:t xml:space="preserve"> </w:t>
      </w:r>
      <w:r>
        <w:rPr>
          <w:rStyle w:val="BuiltInTok"/>
        </w:rPr>
        <w:t xml:space="preserve">max</w:t>
      </w:r>
      <w:r>
        <w:rPr>
          <w:rStyle w:val="NormalTok"/>
        </w:rPr>
        <w:t xml:space="preserve">(committed, key</w:t>
      </w:r>
      <w:r>
        <w:rPr>
          <w:rStyle w:val="OperatorTok"/>
        </w:rPr>
        <w:t xml:space="preserve">=</w:t>
      </w:r>
      <w:r>
        <w:rPr>
          <w:rStyle w:val="BuiltInTok"/>
        </w:rPr>
        <w:t xml:space="preserve">len</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all</w:t>
      </w:r>
      <w:r>
        <w:rPr>
          <w:rStyle w:val="NormalTok"/>
        </w:rPr>
        <w:t xml:space="preserve">(c </w:t>
      </w:r>
      <w:r>
        <w:rPr>
          <w:rStyle w:val="OperatorTok"/>
        </w:rPr>
        <w:t xml:space="preserve">==</w:t>
      </w:r>
      <w:r>
        <w:rPr>
          <w:rStyle w:val="NormalTok"/>
        </w:rPr>
        <w:t xml:space="preserve"> longest[:</w:t>
      </w:r>
      <w:r>
        <w:rPr>
          <w:rStyle w:val="BuiltInTok"/>
        </w:rPr>
        <w:t xml:space="preserve">len</w:t>
      </w:r>
      <w:r>
        <w:rPr>
          <w:rStyle w:val="NormalTok"/>
        </w:rPr>
        <w:t xml:space="preserve">(c)] </w:t>
      </w:r>
      <w:r>
        <w:rPr>
          <w:rStyle w:val="ControlFlowTok"/>
        </w:rPr>
        <w:t xml:space="preserve">for</w:t>
      </w:r>
      <w:r>
        <w:rPr>
          <w:rStyle w:val="NormalTok"/>
        </w:rPr>
        <w:t xml:space="preserve"> c </w:t>
      </w:r>
      <w:r>
        <w:rPr>
          <w:rStyle w:val="KeywordTok"/>
        </w:rPr>
        <w:t xml:space="preserve">in</w:t>
      </w:r>
      <w:r>
        <w:rPr>
          <w:rStyle w:val="NormalTok"/>
        </w:rPr>
        <w:t xml:space="preserve"> committed)</w:t>
      </w:r>
      <w:r>
        <w:br/>
      </w:r>
      <w:r>
        <w:br/>
      </w:r>
      <w:r>
        <w:br/>
      </w:r>
      <w:r>
        <w:rPr>
          <w:rStyle w:val="KeywordTok"/>
        </w:rPr>
        <w:t xml:space="preserve">def</w:t>
      </w:r>
      <w:r>
        <w:rPr>
          <w:rStyle w:val="NormalTok"/>
        </w:rPr>
        <w:t xml:space="preserve"> failover_experiment(runs</w:t>
      </w:r>
      <w:r>
        <w:rPr>
          <w:rStyle w:val="OperatorTok"/>
        </w:rPr>
        <w:t xml:space="preserve">=</w:t>
      </w:r>
      <w:r>
        <w:rPr>
          <w:rStyle w:val="DecValTok"/>
        </w:rPr>
        <w:t xml:space="preserve">200</w:t>
      </w:r>
      <w:r>
        <w:rPr>
          <w:rStyle w:val="NormalTok"/>
        </w:rPr>
        <w:t xml:space="preserve">):</w:t>
      </w:r>
      <w:r>
        <w:br/>
      </w:r>
      <w:r>
        <w:rPr>
          <w:rStyle w:val="NormalTok"/>
        </w:rPr>
        <w:t xml:space="preserve">    </w:t>
      </w:r>
      <w:r>
        <w:rPr>
          <w:rStyle w:val="CommentTok"/>
        </w:rPr>
        <w:t xml:space="preserve">"""Crash the leader in many seeded runs; measure failover time and check safety."""</w:t>
      </w:r>
      <w:r>
        <w:br/>
      </w:r>
      <w:r>
        <w:rPr>
          <w:rStyle w:val="NormalTok"/>
        </w:rPr>
        <w:t xml:space="preserve">    </w:t>
      </w:r>
      <w:r>
        <w:rPr>
          <w:rStyle w:val="ImportTok"/>
        </w:rPr>
        <w:t xml:space="preserve">import</w:t>
      </w:r>
      <w:r>
        <w:rPr>
          <w:rStyle w:val="NormalTok"/>
        </w:rPr>
        <w:t xml:space="preserve"> contextlib, io</w:t>
      </w:r>
      <w:r>
        <w:br/>
      </w:r>
      <w:r>
        <w:rPr>
          <w:rStyle w:val="NormalTok"/>
        </w:rPr>
        <w:t xml:space="preserve">    times, violations </w:t>
      </w:r>
      <w:r>
        <w:rPr>
          <w:rStyle w:val="OperatorTok"/>
        </w:rPr>
        <w:t xml:space="preserve">=</w:t>
      </w:r>
      <w:r>
        <w:rPr>
          <w:rStyle w:val="NormalTok"/>
        </w:rPr>
        <w:t xml:space="preserve"> [], </w:t>
      </w:r>
      <w:r>
        <w:rPr>
          <w:rStyle w:val="DecValTok"/>
        </w:rPr>
        <w:t xml:space="preserve">0</w:t>
      </w:r>
      <w:r>
        <w:br/>
      </w:r>
      <w:r>
        <w:rPr>
          <w:rStyle w:val="NormalTok"/>
        </w:rPr>
        <w:t xml:space="preserve">    </w:t>
      </w:r>
      <w:r>
        <w:rPr>
          <w:rStyle w:val="ControlFlowTok"/>
        </w:rPr>
        <w:t xml:space="preserve">for</w:t>
      </w:r>
      <w:r>
        <w:rPr>
          <w:rStyle w:val="NormalTok"/>
        </w:rPr>
        <w:t xml:space="preserve"> seed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runs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with</w:t>
      </w:r>
      <w:r>
        <w:rPr>
          <w:rStyle w:val="NormalTok"/>
        </w:rPr>
        <w:t xml:space="preserve"> contextlib.redirect_stdout(io.StringIO()):          </w:t>
      </w:r>
      <w:r>
        <w:rPr>
          <w:rStyle w:val="CommentTok"/>
        </w:rPr>
        <w:t xml:space="preserve"># silence per-run events</w:t>
      </w:r>
      <w:r>
        <w:br/>
      </w:r>
      <w:r>
        <w:rPr>
          <w:rStyle w:val="NormalTok"/>
        </w:rPr>
        <w:t xml:space="preserve">            c </w:t>
      </w:r>
      <w:r>
        <w:rPr>
          <w:rStyle w:val="OperatorTok"/>
        </w:rPr>
        <w:t xml:space="preserve">=</w:t>
      </w:r>
      <w:r>
        <w:rPr>
          <w:rStyle w:val="NormalTok"/>
        </w:rPr>
        <w:t xml:space="preserve"> Cluster(n</w:t>
      </w:r>
      <w:r>
        <w:rPr>
          <w:rStyle w:val="OperatorTok"/>
        </w:rPr>
        <w:t xml:space="preserve">=</w:t>
      </w:r>
      <w:r>
        <w:rPr>
          <w:rStyle w:val="DecValTok"/>
        </w:rPr>
        <w:t xml:space="preserve">5</w:t>
      </w:r>
      <w:r>
        <w:rPr>
          <w:rStyle w:val="NormalTok"/>
        </w:rPr>
        <w:t xml:space="preserve">, seed</w:t>
      </w:r>
      <w:r>
        <w:rPr>
          <w:rStyle w:val="OperatorTok"/>
        </w:rPr>
        <w:t xml:space="preserve">=</w:t>
      </w:r>
      <w:r>
        <w:rPr>
          <w:rStyle w:val="NormalTok"/>
        </w:rPr>
        <w:t xml:space="preserve">seed)</w:t>
      </w:r>
      <w:r>
        <w:br/>
      </w:r>
      <w:r>
        <w:rPr>
          <w:rStyle w:val="NormalTok"/>
        </w:rPr>
        <w:t xml:space="preserve">            c.run_until(</w:t>
      </w:r>
      <w:r>
        <w:rPr>
          <w:rStyle w:val="DecValTok"/>
        </w:rPr>
        <w:t xml:space="preserve">400</w:t>
      </w:r>
      <w:r>
        <w:rPr>
          <w:rStyle w:val="NormalTok"/>
        </w:rPr>
        <w:t xml:space="preserve">)</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w:t>
      </w:r>
      <w:r>
        <w:rPr>
          <w:rStyle w:val="NormalTok"/>
        </w:rPr>
        <w:t xml:space="preserve">):</w:t>
      </w:r>
      <w:r>
        <w:br/>
      </w:r>
      <w:r>
        <w:rPr>
          <w:rStyle w:val="NormalTok"/>
        </w:rPr>
        <w:t xml:space="preserve">                c.client_write(</w:t>
      </w:r>
      <w:r>
        <w:rPr>
          <w:rStyle w:val="SpecialStringTok"/>
        </w:rPr>
        <w:t xml:space="preserve">f"op</w:t>
      </w:r>
      <w:r>
        <w:rPr>
          <w:rStyle w:val="SpecialCharTok"/>
        </w:rPr>
        <w:t xml:space="preserve">{</w:t>
      </w:r>
      <w:r>
        <w:rPr>
          <w:rStyle w:val="NormalTok"/>
        </w:rPr>
        <w:t xml:space="preserve">k</w:t>
      </w:r>
      <w:r>
        <w:rPr>
          <w:rStyle w:val="SpecialCharTok"/>
        </w:rPr>
        <w:t xml:space="preserve">}</w:t>
      </w:r>
      <w:r>
        <w:rPr>
          <w:rStyle w:val="SpecialStringTok"/>
        </w:rPr>
        <w:t xml:space="preserve">"</w:t>
      </w:r>
      <w:r>
        <w:rPr>
          <w:rStyle w:val="NormalTok"/>
        </w:rPr>
        <w:t xml:space="preserve">)</w:t>
      </w:r>
      <w:r>
        <w:br/>
      </w:r>
      <w:r>
        <w:rPr>
          <w:rStyle w:val="NormalTok"/>
        </w:rPr>
        <w:t xml:space="preserve">                c.run_until(c.now </w:t>
      </w:r>
      <w:r>
        <w:rPr>
          <w:rStyle w:val="OperatorTok"/>
        </w:rPr>
        <w:t xml:space="preserve">+</w:t>
      </w:r>
      <w:r>
        <w:rPr>
          <w:rStyle w:val="NormalTok"/>
        </w:rPr>
        <w:t xml:space="preserve"> </w:t>
      </w:r>
      <w:r>
        <w:rPr>
          <w:rStyle w:val="DecValTok"/>
        </w:rPr>
        <w:t xml:space="preserve">60</w:t>
      </w:r>
      <w:r>
        <w:rPr>
          <w:rStyle w:val="NormalTok"/>
        </w:rPr>
        <w:t xml:space="preserve">)</w:t>
      </w:r>
      <w:r>
        <w:br/>
      </w:r>
      <w:r>
        <w:rPr>
          <w:rStyle w:val="NormalTok"/>
        </w:rPr>
        <w:t xml:space="preserve">            old </w:t>
      </w:r>
      <w:r>
        <w:rPr>
          <w:rStyle w:val="OperatorTok"/>
        </w:rPr>
        <w:t xml:space="preserve">=</w:t>
      </w:r>
      <w:r>
        <w:rPr>
          <w:rStyle w:val="NormalTok"/>
        </w:rPr>
        <w:t xml:space="preserve"> </w:t>
      </w:r>
      <w:r>
        <w:rPr>
          <w:rStyle w:val="BuiltInTok"/>
        </w:rPr>
        <w:t xml:space="preserve">next</w:t>
      </w:r>
      <w:r>
        <w:rPr>
          <w:rStyle w:val="NormalTok"/>
        </w:rPr>
        <w:t xml:space="preserve">(n </w:t>
      </w:r>
      <w:r>
        <w:rPr>
          <w:rStyle w:val="ControlFlowTok"/>
        </w:rPr>
        <w:t xml:space="preserve">for</w:t>
      </w:r>
      <w:r>
        <w:rPr>
          <w:rStyle w:val="NormalTok"/>
        </w:rPr>
        <w:t xml:space="preserve"> n </w:t>
      </w:r>
      <w:r>
        <w:rPr>
          <w:rStyle w:val="KeywordTok"/>
        </w:rPr>
        <w:t xml:space="preserve">in</w:t>
      </w:r>
      <w:r>
        <w:rPr>
          <w:rStyle w:val="NormalTok"/>
        </w:rPr>
        <w:t xml:space="preserve"> c.nodes.values() </w:t>
      </w:r>
      <w:r>
        <w:rPr>
          <w:rStyle w:val="ControlFlowTok"/>
        </w:rPr>
        <w:t xml:space="preserve">if</w:t>
      </w:r>
      <w:r>
        <w:rPr>
          <w:rStyle w:val="NormalTok"/>
        </w:rPr>
        <w:t xml:space="preserve"> n.role </w:t>
      </w:r>
      <w:r>
        <w:rPr>
          <w:rStyle w:val="OperatorTok"/>
        </w:rPr>
        <w:t xml:space="preserve">==</w:t>
      </w:r>
      <w:r>
        <w:rPr>
          <w:rStyle w:val="NormalTok"/>
        </w:rPr>
        <w:t xml:space="preserve"> </w:t>
      </w:r>
      <w:r>
        <w:rPr>
          <w:rStyle w:val="StringTok"/>
        </w:rPr>
        <w:t xml:space="preserve">"leader"</w:t>
      </w:r>
      <w:r>
        <w:rPr>
          <w:rStyle w:val="NormalTok"/>
        </w:rPr>
        <w:t xml:space="preserve">)</w:t>
      </w:r>
      <w:r>
        <w:br/>
      </w:r>
      <w:r>
        <w:rPr>
          <w:rStyle w:val="NormalTok"/>
        </w:rPr>
        <w:t xml:space="preserve">            crashed_at </w:t>
      </w:r>
      <w:r>
        <w:rPr>
          <w:rStyle w:val="OperatorTok"/>
        </w:rPr>
        <w:t xml:space="preserve">=</w:t>
      </w:r>
      <w:r>
        <w:rPr>
          <w:rStyle w:val="NormalTok"/>
        </w:rPr>
        <w:t xml:space="preserve"> c.now</w:t>
      </w:r>
      <w:r>
        <w:br/>
      </w:r>
      <w:r>
        <w:rPr>
          <w:rStyle w:val="NormalTok"/>
        </w:rPr>
        <w:t xml:space="preserve">            c.crash(old.</w:t>
      </w:r>
      <w:r>
        <w:rPr>
          <w:rStyle w:val="BuiltInTok"/>
        </w:rPr>
        <w:t xml:space="preserve">id</w:t>
      </w:r>
      <w:r>
        <w:rPr>
          <w:rStyle w:val="NormalTok"/>
        </w:rPr>
        <w:t xml:space="preserve">)</w:t>
      </w:r>
      <w:r>
        <w:br/>
      </w:r>
      <w:r>
        <w:rPr>
          <w:rStyle w:val="NormalTok"/>
        </w:rPr>
        <w:t xml:space="preserve">            </w:t>
      </w:r>
      <w:r>
        <w:rPr>
          <w:rStyle w:val="ControlFlowTok"/>
        </w:rPr>
        <w:t xml:space="preserve">while</w:t>
      </w:r>
      <w:r>
        <w:rPr>
          <w:rStyle w:val="NormalTok"/>
        </w:rPr>
        <w:t xml:space="preserve"> </w:t>
      </w:r>
      <w:r>
        <w:rPr>
          <w:rStyle w:val="KeywordTok"/>
        </w:rPr>
        <w:t xml:space="preserve">not</w:t>
      </w:r>
      <w:r>
        <w:rPr>
          <w:rStyle w:val="NormalTok"/>
        </w:rPr>
        <w:t xml:space="preserve"> </w:t>
      </w:r>
      <w:r>
        <w:rPr>
          <w:rStyle w:val="BuiltInTok"/>
        </w:rPr>
        <w:t xml:space="preserve">any</w:t>
      </w:r>
      <w:r>
        <w:rPr>
          <w:rStyle w:val="NormalTok"/>
        </w:rPr>
        <w:t xml:space="preserve">(n.up </w:t>
      </w:r>
      <w:r>
        <w:rPr>
          <w:rStyle w:val="KeywordTok"/>
        </w:rPr>
        <w:t xml:space="preserve">and</w:t>
      </w:r>
      <w:r>
        <w:rPr>
          <w:rStyle w:val="NormalTok"/>
        </w:rPr>
        <w:t xml:space="preserve"> n.role </w:t>
      </w:r>
      <w:r>
        <w:rPr>
          <w:rStyle w:val="OperatorTok"/>
        </w:rPr>
        <w:t xml:space="preserve">==</w:t>
      </w:r>
      <w:r>
        <w:rPr>
          <w:rStyle w:val="NormalTok"/>
        </w:rPr>
        <w:t xml:space="preserve"> </w:t>
      </w:r>
      <w:r>
        <w:rPr>
          <w:rStyle w:val="StringTok"/>
        </w:rPr>
        <w:t xml:space="preserve">"leader"</w:t>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c.nodes.values()):</w:t>
      </w:r>
      <w:r>
        <w:br/>
      </w:r>
      <w:r>
        <w:rPr>
          <w:rStyle w:val="NormalTok"/>
        </w:rPr>
        <w:t xml:space="preserve">                c.tick()</w:t>
      </w:r>
      <w:r>
        <w:br/>
      </w:r>
      <w:r>
        <w:rPr>
          <w:rStyle w:val="NormalTok"/>
        </w:rPr>
        <w:t xml:space="preserve">            times.append(c.now </w:t>
      </w:r>
      <w:r>
        <w:rPr>
          <w:rStyle w:val="OperatorTok"/>
        </w:rPr>
        <w:t xml:space="preserve">-</w:t>
      </w:r>
      <w:r>
        <w:rPr>
          <w:rStyle w:val="NormalTok"/>
        </w:rPr>
        <w:t xml:space="preserve"> crashed_at)</w:t>
      </w:r>
      <w:r>
        <w:br/>
      </w:r>
      <w:r>
        <w:rPr>
          <w:rStyle w:val="NormalTok"/>
        </w:rPr>
        <w:t xml:space="preserve">            c.run_until(c.now </w:t>
      </w:r>
      <w:r>
        <w:rPr>
          <w:rStyle w:val="OperatorTok"/>
        </w:rPr>
        <w:t xml:space="preserve">+</w:t>
      </w:r>
      <w:r>
        <w:rPr>
          <w:rStyle w:val="NormalTok"/>
        </w:rPr>
        <w:t xml:space="preserve"> </w:t>
      </w:r>
      <w:r>
        <w:rPr>
          <w:rStyle w:val="DecValTok"/>
        </w:rPr>
        <w:t xml:space="preserve">300</w:t>
      </w:r>
      <w:r>
        <w:rPr>
          <w:rStyle w:val="NormalTok"/>
        </w:rPr>
        <w:t xml:space="preserve">)</w:t>
      </w:r>
      <w:r>
        <w:br/>
      </w:r>
      <w:r>
        <w:rPr>
          <w:rStyle w:val="NormalTok"/>
        </w:rPr>
        <w:t xml:space="preserve">            c.restart(old.</w:t>
      </w:r>
      <w:r>
        <w:rPr>
          <w:rStyle w:val="BuiltInTok"/>
        </w:rPr>
        <w:t xml:space="preserve">id</w:t>
      </w:r>
      <w:r>
        <w:rPr>
          <w:rStyle w:val="NormalTok"/>
        </w:rPr>
        <w:t xml:space="preserve">)</w:t>
      </w:r>
      <w:r>
        <w:br/>
      </w:r>
      <w:r>
        <w:rPr>
          <w:rStyle w:val="NormalTok"/>
        </w:rPr>
        <w:t xml:space="preserve">            c.run_until(c.now </w:t>
      </w:r>
      <w:r>
        <w:rPr>
          <w:rStyle w:val="OperatorTok"/>
        </w:rPr>
        <w:t xml:space="preserve">+</w:t>
      </w:r>
      <w:r>
        <w:rPr>
          <w:rStyle w:val="NormalTok"/>
        </w:rPr>
        <w:t xml:space="preserve"> </w:t>
      </w:r>
      <w:r>
        <w:rPr>
          <w:rStyle w:val="DecValTok"/>
        </w:rPr>
        <w:t xml:space="preserve">400</w:t>
      </w:r>
      <w:r>
        <w:rPr>
          <w:rStyle w:val="NormalTok"/>
        </w:rPr>
        <w:t xml:space="preserve">)</w:t>
      </w:r>
      <w:r>
        <w:br/>
      </w:r>
      <w:r>
        <w:rPr>
          <w:rStyle w:val="NormalTok"/>
        </w:rPr>
        <w:t xml:space="preserve">        violations </w:t>
      </w:r>
      <w:r>
        <w:rPr>
          <w:rStyle w:val="OperatorTok"/>
        </w:rPr>
        <w:t xml:space="preserve">+=</w:t>
      </w:r>
      <w:r>
        <w:rPr>
          <w:rStyle w:val="NormalTok"/>
        </w:rPr>
        <w:t xml:space="preserve"> </w:t>
      </w:r>
      <w:r>
        <w:rPr>
          <w:rStyle w:val="KeywordTok"/>
        </w:rPr>
        <w:t xml:space="preserve">not</w:t>
      </w:r>
      <w:r>
        <w:rPr>
          <w:rStyle w:val="NormalTok"/>
        </w:rPr>
        <w:t xml:space="preserve"> check_safety(c)</w:t>
      </w:r>
      <w:r>
        <w:br/>
      </w:r>
      <w:r>
        <w:rPr>
          <w:rStyle w:val="NormalTok"/>
        </w:rPr>
        <w:t xml:space="preserve">    times.sort()</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runs</w:t>
      </w:r>
      <w:r>
        <w:rPr>
          <w:rStyle w:val="SpecialCharTok"/>
        </w:rPr>
        <w:t xml:space="preserve">}</w:t>
      </w:r>
      <w:r>
        <w:rPr>
          <w:rStyle w:val="SpecialStringTok"/>
        </w:rPr>
        <w:t xml:space="preserve"> seeded runs: safety violations=</w:t>
      </w:r>
      <w:r>
        <w:rPr>
          <w:rStyle w:val="SpecialCharTok"/>
        </w:rPr>
        <w:t xml:space="preserve">{</w:t>
      </w:r>
      <w:r>
        <w:rPr>
          <w:rStyle w:val="NormalTok"/>
        </w:rPr>
        <w:t xml:space="preserve">violations</w:t>
      </w:r>
      <w:r>
        <w:rPr>
          <w:rStyle w:val="SpecialCharTok"/>
        </w:rPr>
        <w:t xml:space="preserve">}</w:t>
      </w:r>
      <w:r>
        <w:rPr>
          <w:rStyle w:val="SpecialStringTok"/>
        </w:rPr>
        <w:t xml:space="preserve">, failover ms: "</w:t>
      </w:r>
      <w:r>
        <w:br/>
      </w:r>
      <w:r>
        <w:rPr>
          <w:rStyle w:val="NormalTok"/>
        </w:rPr>
        <w:t xml:space="preserve">          </w:t>
      </w:r>
      <w:r>
        <w:rPr>
          <w:rStyle w:val="SpecialStringTok"/>
        </w:rPr>
        <w:t xml:space="preserve">f"median=</w:t>
      </w:r>
      <w:r>
        <w:rPr>
          <w:rStyle w:val="SpecialCharTok"/>
        </w:rPr>
        <w:t xml:space="preserve">{</w:t>
      </w:r>
      <w:r>
        <w:rPr>
          <w:rStyle w:val="NormalTok"/>
        </w:rPr>
        <w:t xml:space="preserve">times[runs </w:t>
      </w:r>
      <w:r>
        <w:rPr>
          <w:rStyle w:val="OperatorTok"/>
        </w:rPr>
        <w:t xml:space="preserve">//</w:t>
      </w:r>
      <w:r>
        <w:rPr>
          <w:rStyle w:val="NormalTok"/>
        </w:rPr>
        <w:t xml:space="preserve"> </w:t>
      </w:r>
      <w:r>
        <w:rPr>
          <w:rStyle w:val="DecValTok"/>
        </w:rPr>
        <w:t xml:space="preserve">2</w:t>
      </w:r>
      <w:r>
        <w:rPr>
          <w:rStyle w:val="NormalTok"/>
        </w:rPr>
        <w:t xml:space="preserve">]</w:t>
      </w:r>
      <w:r>
        <w:rPr>
          <w:rStyle w:val="SpecialCharTok"/>
        </w:rPr>
        <w:t xml:space="preserve">}</w:t>
      </w:r>
      <w:r>
        <w:rPr>
          <w:rStyle w:val="SpecialStringTok"/>
        </w:rPr>
        <w:t xml:space="preserve">, p95=</w:t>
      </w:r>
      <w:r>
        <w:rPr>
          <w:rStyle w:val="SpecialCharTok"/>
        </w:rPr>
        <w:t xml:space="preserve">{</w:t>
      </w:r>
      <w:r>
        <w:rPr>
          <w:rStyle w:val="NormalTok"/>
        </w:rPr>
        <w:t xml:space="preserve">times[</w:t>
      </w:r>
      <w:r>
        <w:rPr>
          <w:rStyle w:val="BuiltInTok"/>
        </w:rPr>
        <w:t xml:space="preserve">int</w:t>
      </w:r>
      <w:r>
        <w:rPr>
          <w:rStyle w:val="NormalTok"/>
        </w:rPr>
        <w:t xml:space="preserve">(runs </w:t>
      </w:r>
      <w:r>
        <w:rPr>
          <w:rStyle w:val="OperatorTok"/>
        </w:rPr>
        <w:t xml:space="preserve">*</w:t>
      </w:r>
      <w:r>
        <w:rPr>
          <w:rStyle w:val="NormalTok"/>
        </w:rPr>
        <w:t xml:space="preserve"> </w:t>
      </w:r>
      <w:r>
        <w:rPr>
          <w:rStyle w:val="FloatTok"/>
        </w:rPr>
        <w:t xml:space="preserve">0.95</w:t>
      </w:r>
      <w:r>
        <w:rPr>
          <w:rStyle w:val="NormalTok"/>
        </w:rPr>
        <w:t xml:space="preserve">)]</w:t>
      </w:r>
      <w:r>
        <w:rPr>
          <w:rStyle w:val="SpecialCharTok"/>
        </w:rPr>
        <w:t xml:space="preserve">}</w:t>
      </w:r>
      <w:r>
        <w:rPr>
          <w:rStyle w:val="SpecialStringTok"/>
        </w:rPr>
        <w:t xml:space="preserve">, max=</w:t>
      </w:r>
      <w:r>
        <w:rPr>
          <w:rStyle w:val="SpecialCharTok"/>
        </w:rPr>
        <w:t xml:space="preserve">{</w:t>
      </w:r>
      <w:r>
        <w:rPr>
          <w:rStyle w:val="NormalTok"/>
        </w:rPr>
        <w:t xml:space="preserve">times[</w:t>
      </w:r>
      <w:r>
        <w:rPr>
          <w:rStyle w:val="OperatorTok"/>
        </w:rPr>
        <w:t xml:space="preserve">-</w:t>
      </w:r>
      <w:r>
        <w:rPr>
          <w:rStyle w:val="DecValTok"/>
        </w:rPr>
        <w:t xml:space="preserve">1</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c </w:t>
      </w:r>
      <w:r>
        <w:rPr>
          <w:rStyle w:val="OperatorTok"/>
        </w:rPr>
        <w:t xml:space="preserve">=</w:t>
      </w:r>
      <w:r>
        <w:rPr>
          <w:rStyle w:val="NormalTok"/>
        </w:rPr>
        <w:t xml:space="preserve"> Cluster(n</w:t>
      </w:r>
      <w:r>
        <w:rPr>
          <w:rStyle w:val="OperatorTok"/>
        </w:rPr>
        <w:t xml:space="preserve">=</w:t>
      </w:r>
      <w:r>
        <w:rPr>
          <w:rStyle w:val="DecValTok"/>
        </w:rPr>
        <w:t xml:space="preserve">5</w:t>
      </w:r>
      <w:r>
        <w:rPr>
          <w:rStyle w:val="NormalTok"/>
        </w:rPr>
        <w:t xml:space="preserve">, seed</w:t>
      </w:r>
      <w:r>
        <w:rPr>
          <w:rStyle w:val="OperatorTok"/>
        </w:rPr>
        <w:t xml:space="preserve">=</w:t>
      </w:r>
      <w:r>
        <w:rPr>
          <w:rStyle w:val="DecValTok"/>
        </w:rPr>
        <w:t xml:space="preserve">7</w:t>
      </w:r>
      <w:r>
        <w:rPr>
          <w:rStyle w:val="NormalTok"/>
        </w:rPr>
        <w:t xml:space="preserve">)</w:t>
      </w:r>
      <w:r>
        <w:br/>
      </w:r>
      <w:r>
        <w:rPr>
          <w:rStyle w:val="NormalTok"/>
        </w:rPr>
        <w:t xml:space="preserve">    c.run_until(</w:t>
      </w:r>
      <w:r>
        <w:rPr>
          <w:rStyle w:val="DecValTok"/>
        </w:rPr>
        <w:t xml:space="preserve">400</w:t>
      </w:r>
      <w:r>
        <w:rPr>
          <w:rStyle w:val="NormalTok"/>
        </w:rPr>
        <w:t xml:space="preserve">)</w:t>
      </w:r>
      <w:r>
        <w:br/>
      </w:r>
      <w:r>
        <w:rPr>
          <w:rStyle w:val="NormalTok"/>
        </w:rPr>
        <w:t xml:space="preserve">    </w:t>
      </w:r>
      <w:r>
        <w:rPr>
          <w:rStyle w:val="ControlFlowTok"/>
        </w:rPr>
        <w:t xml:space="preserve">for</w:t>
      </w:r>
      <w:r>
        <w:rPr>
          <w:rStyle w:val="NormalTok"/>
        </w:rPr>
        <w:t xml:space="preserve"> cmd </w:t>
      </w:r>
      <w:r>
        <w:rPr>
          <w:rStyle w:val="KeywordTok"/>
        </w:rPr>
        <w:t xml:space="preserve">in</w:t>
      </w:r>
      <w:r>
        <w:rPr>
          <w:rStyle w:val="NormalTok"/>
        </w:rPr>
        <w:t xml:space="preserve"> [</w:t>
      </w:r>
      <w:r>
        <w:rPr>
          <w:rStyle w:val="StringTok"/>
        </w:rPr>
        <w:t xml:space="preserve">"x=1"</w:t>
      </w:r>
      <w:r>
        <w:rPr>
          <w:rStyle w:val="NormalTok"/>
        </w:rPr>
        <w:t xml:space="preserve">, </w:t>
      </w:r>
      <w:r>
        <w:rPr>
          <w:rStyle w:val="StringTok"/>
        </w:rPr>
        <w:t xml:space="preserve">"y=2"</w:t>
      </w:r>
      <w:r>
        <w:rPr>
          <w:rStyle w:val="NormalTok"/>
        </w:rPr>
        <w:t xml:space="preserve">]:</w:t>
      </w:r>
      <w:r>
        <w:br/>
      </w:r>
      <w:r>
        <w:rPr>
          <w:rStyle w:val="NormalTok"/>
        </w:rPr>
        <w:t xml:space="preserve">        c.client_write(cmd)</w:t>
      </w:r>
      <w:r>
        <w:br/>
      </w:r>
      <w:r>
        <w:rPr>
          <w:rStyle w:val="NormalTok"/>
        </w:rPr>
        <w:t xml:space="preserve">    c.run_until(</w:t>
      </w:r>
      <w:r>
        <w:rPr>
          <w:rStyle w:val="DecValTok"/>
        </w:rPr>
        <w:t xml:space="preserve">500</w:t>
      </w:r>
      <w:r>
        <w:rPr>
          <w:rStyle w:val="NormalTok"/>
        </w:rPr>
        <w:t xml:space="preserve">)</w:t>
      </w:r>
      <w:r>
        <w:br/>
      </w:r>
      <w:r>
        <w:rPr>
          <w:rStyle w:val="NormalTok"/>
        </w:rPr>
        <w:t xml:space="preserve">    old </w:t>
      </w:r>
      <w:r>
        <w:rPr>
          <w:rStyle w:val="OperatorTok"/>
        </w:rPr>
        <w:t xml:space="preserve">=</w:t>
      </w:r>
      <w:r>
        <w:rPr>
          <w:rStyle w:val="NormalTok"/>
        </w:rPr>
        <w:t xml:space="preserve"> </w:t>
      </w:r>
      <w:r>
        <w:rPr>
          <w:rStyle w:val="BuiltInTok"/>
        </w:rPr>
        <w:t xml:space="preserve">next</w:t>
      </w:r>
      <w:r>
        <w:rPr>
          <w:rStyle w:val="NormalTok"/>
        </w:rPr>
        <w:t xml:space="preserve">(n.</w:t>
      </w:r>
      <w:r>
        <w:rPr>
          <w:rStyle w:val="BuiltInTok"/>
        </w:rPr>
        <w:t xml:space="preserve">id</w:t>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c.nodes.values() </w:t>
      </w:r>
      <w:r>
        <w:rPr>
          <w:rStyle w:val="ControlFlowTok"/>
        </w:rPr>
        <w:t xml:space="preserve">if</w:t>
      </w:r>
      <w:r>
        <w:rPr>
          <w:rStyle w:val="NormalTok"/>
        </w:rPr>
        <w:t xml:space="preserve"> n.role </w:t>
      </w:r>
      <w:r>
        <w:rPr>
          <w:rStyle w:val="OperatorTok"/>
        </w:rPr>
        <w:t xml:space="preserve">==</w:t>
      </w:r>
      <w:r>
        <w:rPr>
          <w:rStyle w:val="NormalTok"/>
        </w:rPr>
        <w:t xml:space="preserve"> </w:t>
      </w:r>
      <w:r>
        <w:rPr>
          <w:rStyle w:val="StringTok"/>
        </w:rPr>
        <w:t xml:space="preserve">"leader"</w:t>
      </w:r>
      <w:r>
        <w:rPr>
          <w:rStyle w:val="NormalTok"/>
        </w:rPr>
        <w:t xml:space="preserve">)</w:t>
      </w:r>
      <w:r>
        <w:br/>
      </w:r>
      <w:r>
        <w:rPr>
          <w:rStyle w:val="NormalTok"/>
        </w:rPr>
        <w:t xml:space="preserve">    c.crash(old)</w:t>
      </w:r>
      <w:r>
        <w:br/>
      </w:r>
      <w:r>
        <w:rPr>
          <w:rStyle w:val="NormalTok"/>
        </w:rPr>
        <w:t xml:space="preserve">    c.run_until(</w:t>
      </w:r>
      <w:r>
        <w:rPr>
          <w:rStyle w:val="DecValTok"/>
        </w:rPr>
        <w:t xml:space="preserve">900</w:t>
      </w:r>
      <w:r>
        <w:rPr>
          <w:rStyle w:val="NormalTok"/>
        </w:rPr>
        <w:t xml:space="preserve">)</w:t>
      </w:r>
      <w:r>
        <w:br/>
      </w:r>
      <w:r>
        <w:rPr>
          <w:rStyle w:val="NormalTok"/>
        </w:rPr>
        <w:t xml:space="preserve">    c.client_write(</w:t>
      </w:r>
      <w:r>
        <w:rPr>
          <w:rStyle w:val="StringTok"/>
        </w:rPr>
        <w:t xml:space="preserve">"x=3"</w:t>
      </w:r>
      <w:r>
        <w:rPr>
          <w:rStyle w:val="NormalTok"/>
        </w:rPr>
        <w:t xml:space="preserve">)</w:t>
      </w:r>
      <w:r>
        <w:br/>
      </w:r>
      <w:r>
        <w:rPr>
          <w:rStyle w:val="NormalTok"/>
        </w:rPr>
        <w:t xml:space="preserve">    c.run_until(</w:t>
      </w:r>
      <w:r>
        <w:rPr>
          <w:rStyle w:val="DecValTok"/>
        </w:rPr>
        <w:t xml:space="preserve">1000</w:t>
      </w:r>
      <w:r>
        <w:rPr>
          <w:rStyle w:val="NormalTok"/>
        </w:rPr>
        <w:t xml:space="preserve">)</w:t>
      </w:r>
      <w:r>
        <w:br/>
      </w:r>
      <w:r>
        <w:rPr>
          <w:rStyle w:val="NormalTok"/>
        </w:rPr>
        <w:t xml:space="preserve">    c.restart(old)</w:t>
      </w:r>
      <w:r>
        <w:br/>
      </w:r>
      <w:r>
        <w:rPr>
          <w:rStyle w:val="NormalTok"/>
        </w:rPr>
        <w:t xml:space="preserve">    c.run_until(</w:t>
      </w:r>
      <w:r>
        <w:rPr>
          <w:rStyle w:val="DecValTok"/>
        </w:rPr>
        <w:t xml:space="preserve">1200</w:t>
      </w:r>
      <w:r>
        <w:rPr>
          <w:rStyle w:val="NormalTok"/>
        </w:rPr>
        <w:t xml:space="preserve">)</w:t>
      </w:r>
      <w:r>
        <w:br/>
      </w:r>
      <w:r>
        <w:rPr>
          <w:rStyle w:val="NormalTok"/>
        </w:rPr>
        <w:t xml:space="preserve">    </w:t>
      </w:r>
      <w:r>
        <w:rPr>
          <w:rStyle w:val="BuiltInTok"/>
        </w:rPr>
        <w:t xml:space="preserve">print</w:t>
      </w:r>
      <w:r>
        <w:rPr>
          <w:rStyle w:val="NormalTok"/>
        </w:rPr>
        <w:t xml:space="preserve">()</w:t>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c.nodes.values():</w:t>
      </w:r>
      <w:r>
        <w:br/>
      </w:r>
      <w:r>
        <w:rPr>
          <w:rStyle w:val="NormalTok"/>
        </w:rPr>
        <w:t xml:space="preserve">        </w:t>
      </w:r>
      <w:r>
        <w:rPr>
          <w:rStyle w:val="BuiltInTok"/>
        </w:rPr>
        <w:t xml:space="preserve">print</w:t>
      </w:r>
      <w:r>
        <w:rPr>
          <w:rStyle w:val="NormalTok"/>
        </w:rPr>
        <w:t xml:space="preserve">(</w:t>
      </w:r>
      <w:r>
        <w:rPr>
          <w:rStyle w:val="SpecialStringTok"/>
        </w:rPr>
        <w:t xml:space="preserve">f"n</w:t>
      </w:r>
      <w:r>
        <w:rPr>
          <w:rStyle w:val="SpecialCharTok"/>
        </w:rPr>
        <w:t xml:space="preserve">{</w:t>
      </w:r>
      <w:r>
        <w:rPr>
          <w:rStyle w:val="NormalTok"/>
        </w:rPr>
        <w:t xml:space="preserve">n</w:t>
      </w:r>
      <w:r>
        <w:rPr>
          <w:rStyle w:val="SpecialCharTok"/>
        </w:rPr>
        <w:t xml:space="preserve">.</w:t>
      </w:r>
      <w:r>
        <w:rPr>
          <w:rStyle w:val="BuiltInTok"/>
        </w:rPr>
        <w:t xml:space="preserve">id</w:t>
      </w:r>
      <w:r>
        <w:rPr>
          <w:rStyle w:val="SpecialCharTok"/>
        </w:rPr>
        <w:t xml:space="preserve">}</w:t>
      </w:r>
      <w:r>
        <w:rPr>
          <w:rStyle w:val="SpecialStringTok"/>
        </w:rPr>
        <w:t xml:space="preserve"> </w:t>
      </w:r>
      <w:r>
        <w:rPr>
          <w:rStyle w:val="SpecialCharTok"/>
        </w:rPr>
        <w:t xml:space="preserve">{</w:t>
      </w:r>
      <w:r>
        <w:rPr>
          <w:rStyle w:val="NormalTok"/>
        </w:rPr>
        <w:t xml:space="preserve">n</w:t>
      </w:r>
      <w:r>
        <w:rPr>
          <w:rStyle w:val="SpecialCharTok"/>
        </w:rPr>
        <w:t xml:space="preserve">.</w:t>
      </w:r>
      <w:r>
        <w:rPr>
          <w:rStyle w:val="NormalTok"/>
        </w:rPr>
        <w:t xml:space="preserve">role</w:t>
      </w:r>
      <w:r>
        <w:rPr>
          <w:rStyle w:val="SpecialCharTok"/>
        </w:rPr>
        <w:t xml:space="preserve">:9s}</w:t>
      </w:r>
      <w:r>
        <w:rPr>
          <w:rStyle w:val="SpecialStringTok"/>
        </w:rPr>
        <w:t xml:space="preserve"> term=</w:t>
      </w:r>
      <w:r>
        <w:rPr>
          <w:rStyle w:val="SpecialCharTok"/>
        </w:rPr>
        <w:t xml:space="preserve">{</w:t>
      </w:r>
      <w:r>
        <w:rPr>
          <w:rStyle w:val="NormalTok"/>
        </w:rPr>
        <w:t xml:space="preserve">n</w:t>
      </w:r>
      <w:r>
        <w:rPr>
          <w:rStyle w:val="SpecialCharTok"/>
        </w:rPr>
        <w:t xml:space="preserve">.</w:t>
      </w:r>
      <w:r>
        <w:rPr>
          <w:rStyle w:val="NormalTok"/>
        </w:rPr>
        <w:t xml:space="preserve">term</w:t>
      </w:r>
      <w:r>
        <w:rPr>
          <w:rStyle w:val="SpecialCharTok"/>
        </w:rPr>
        <w:t xml:space="preserve">}</w:t>
      </w:r>
      <w:r>
        <w:rPr>
          <w:rStyle w:val="SpecialStringTok"/>
        </w:rPr>
        <w:t xml:space="preserve"> commit=</w:t>
      </w:r>
      <w:r>
        <w:rPr>
          <w:rStyle w:val="SpecialCharTok"/>
        </w:rPr>
        <w:t xml:space="preserve">{</w:t>
      </w:r>
      <w:r>
        <w:rPr>
          <w:rStyle w:val="NormalTok"/>
        </w:rPr>
        <w:t xml:space="preserve">n</w:t>
      </w:r>
      <w:r>
        <w:rPr>
          <w:rStyle w:val="SpecialCharTok"/>
        </w:rPr>
        <w:t xml:space="preserve">.</w:t>
      </w:r>
      <w:r>
        <w:rPr>
          <w:rStyle w:val="NormalTok"/>
        </w:rPr>
        <w:t xml:space="preserve">commit</w:t>
      </w:r>
      <w:r>
        <w:rPr>
          <w:rStyle w:val="SpecialCharTok"/>
        </w:rPr>
        <w:t xml:space="preserve">}</w:t>
      </w:r>
      <w:r>
        <w:rPr>
          <w:rStyle w:val="SpecialStringTok"/>
        </w:rPr>
        <w:t xml:space="preserve"> "</w:t>
      </w:r>
      <w:r>
        <w:br/>
      </w:r>
      <w:r>
        <w:rPr>
          <w:rStyle w:val="NormalTok"/>
        </w:rPr>
        <w:t xml:space="preserve">              </w:t>
      </w:r>
      <w:r>
        <w:rPr>
          <w:rStyle w:val="SpecialStringTok"/>
        </w:rPr>
        <w:t xml:space="preserve">f"log=</w:t>
      </w:r>
      <w:r>
        <w:rPr>
          <w:rStyle w:val="SpecialCharTok"/>
        </w:rPr>
        <w:t xml:space="preserve">{</w:t>
      </w:r>
      <w:r>
        <w:rPr>
          <w:rStyle w:val="NormalTok"/>
        </w:rPr>
        <w:t xml:space="preserve">[</w:t>
      </w:r>
      <w:r>
        <w:rPr>
          <w:rStyle w:val="SpecialStringTok"/>
        </w:rPr>
        <w:t xml:space="preserve">f'</w:t>
      </w:r>
      <w:r>
        <w:rPr>
          <w:rStyle w:val="SpecialCharTok"/>
        </w:rPr>
        <w:t xml:space="preserve">{</w:t>
      </w:r>
      <w:r>
        <w:rPr>
          <w:rStyle w:val="NormalTok"/>
        </w:rPr>
        <w:t xml:space="preserve">t</w:t>
      </w:r>
      <w:r>
        <w:rPr>
          <w:rStyle w:val="SpecialCharTok"/>
        </w:rPr>
        <w:t xml:space="preserve">}</w:t>
      </w:r>
      <w:r>
        <w:rPr>
          <w:rStyle w:val="SpecialStringTok"/>
        </w:rPr>
        <w:t xml:space="preserve">:</w:t>
      </w:r>
      <w:r>
        <w:rPr>
          <w:rStyle w:val="SpecialCharTok"/>
        </w:rPr>
        <w:t xml:space="preserve">{</w:t>
      </w:r>
      <w:r>
        <w:rPr>
          <w:rStyle w:val="NormalTok"/>
        </w:rPr>
        <w:t xml:space="preserve">cmd</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t, cmd </w:t>
      </w:r>
      <w:r>
        <w:rPr>
          <w:rStyle w:val="KeywordTok"/>
        </w:rPr>
        <w:t xml:space="preserve">in</w:t>
      </w:r>
      <w:r>
        <w:rPr>
          <w:rStyle w:val="NormalTok"/>
        </w:rPr>
        <w:t xml:space="preserve"> n.log]</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"state machine safety holds:"</w:t>
      </w:r>
      <w:r>
        <w:rPr>
          <w:rStyle w:val="NormalTok"/>
        </w:rPr>
        <w:t xml:space="preserve">, check_safety(c))</w:t>
      </w:r>
      <w:r>
        <w:br/>
      </w:r>
      <w:r>
        <w:rPr>
          <w:rStyle w:val="NormalTok"/>
        </w:rPr>
        <w:t xml:space="preserve">    failover_experiment()</w:t>
      </w:r>
    </w:p>
    <w:p>
      <w:pPr>
        <w:pStyle w:val="FirstParagraph"/>
      </w:pPr>
      <w:r>
        <w:t xml:space="preserve">Running it prints the following (deterministic for seed 7):</w:t>
      </w:r>
    </w:p>
    <w:p>
      <w:pPr>
        <w:pStyle w:val="SourceCode"/>
      </w:pPr>
      <w:r>
        <w:rPr>
          <w:rStyle w:val="VerbatimChar"/>
        </w:rPr>
        <w:t xml:space="preserve">t=  162 ms  n4 times out, starts election for term 1</w:t>
      </w:r>
      <w:r>
        <w:br/>
      </w:r>
      <w:r>
        <w:rPr>
          <w:rStyle w:val="VerbatimChar"/>
        </w:rPr>
        <w:t xml:space="preserve">t=  167 ms  n4 becomes LEADER for term 1 (votes from [1, 4, 5])</w:t>
      </w:r>
      <w:r>
        <w:br/>
      </w:r>
      <w:r>
        <w:rPr>
          <w:rStyle w:val="VerbatimChar"/>
        </w:rPr>
        <w:t xml:space="preserve">t=  172 ms  n4 commits up to index 1 (on 3 nodes)</w:t>
      </w:r>
      <w:r>
        <w:br/>
      </w:r>
      <w:r>
        <w:rPr>
          <w:rStyle w:val="VerbatimChar"/>
        </w:rPr>
        <w:t xml:space="preserve">t=  400 ms  client write 'x=1' -&gt; leader n4 at index 2</w:t>
      </w:r>
      <w:r>
        <w:br/>
      </w:r>
      <w:r>
        <w:rPr>
          <w:rStyle w:val="VerbatimChar"/>
        </w:rPr>
        <w:t xml:space="preserve">t=  400 ms  client write 'y=2' -&gt; leader n4 at index 3</w:t>
      </w:r>
      <w:r>
        <w:br/>
      </w:r>
      <w:r>
        <w:rPr>
          <w:rStyle w:val="VerbatimChar"/>
        </w:rPr>
        <w:t xml:space="preserve">t=  426 ms  n4 commits up to index 3 (on 3 nodes)</w:t>
      </w:r>
      <w:r>
        <w:br/>
      </w:r>
      <w:r>
        <w:rPr>
          <w:rStyle w:val="VerbatimChar"/>
        </w:rPr>
        <w:t xml:space="preserve">t=  500 ms  n4 CRASHES</w:t>
      </w:r>
      <w:r>
        <w:br/>
      </w:r>
      <w:r>
        <w:rPr>
          <w:rStyle w:val="VerbatimChar"/>
        </w:rPr>
        <w:t xml:space="preserve">t=  638 ms  n3 times out, starts election for term 2</w:t>
      </w:r>
      <w:r>
        <w:br/>
      </w:r>
      <w:r>
        <w:rPr>
          <w:rStyle w:val="VerbatimChar"/>
        </w:rPr>
        <w:t xml:space="preserve">t=  648 ms  n3 becomes LEADER for term 2 (votes from [2, 3, 5])</w:t>
      </w:r>
      <w:r>
        <w:br/>
      </w:r>
      <w:r>
        <w:rPr>
          <w:rStyle w:val="VerbatimChar"/>
        </w:rPr>
        <w:t xml:space="preserve">t=  662 ms  n3 commits up to index 4 (on 3 nodes)</w:t>
      </w:r>
      <w:r>
        <w:br/>
      </w:r>
      <w:r>
        <w:rPr>
          <w:rStyle w:val="VerbatimChar"/>
        </w:rPr>
        <w:t xml:space="preserve">t=  900 ms  client write 'x=3' -&gt; leader n3 at index 5</w:t>
      </w:r>
      <w:r>
        <w:br/>
      </w:r>
      <w:r>
        <w:rPr>
          <w:rStyle w:val="VerbatimChar"/>
        </w:rPr>
        <w:t xml:space="preserve">t=  956 ms  n3 commits up to index 5 (on 3 nodes)</w:t>
      </w:r>
      <w:r>
        <w:br/>
      </w:r>
      <w:r>
        <w:rPr>
          <w:rStyle w:val="VerbatimChar"/>
        </w:rPr>
        <w:t xml:space="preserve">t= 1000 ms  n4 restarts as follower (term 1, log length 3)</w:t>
      </w:r>
      <w:r>
        <w:br/>
      </w:r>
      <w:r>
        <w:br/>
      </w:r>
      <w:r>
        <w:rPr>
          <w:rStyle w:val="VerbatimChar"/>
        </w:rPr>
        <w:t xml:space="preserve">n1 follower  term=2 commit=5 log=['1:no-op', '1:x=1', '1:y=2', '2:no-op', '2:x=3']</w:t>
      </w:r>
      <w:r>
        <w:br/>
      </w:r>
      <w:r>
        <w:rPr>
          <w:rStyle w:val="VerbatimChar"/>
        </w:rPr>
        <w:t xml:space="preserve">n2 follower  term=2 commit=5 log=['1:no-op', '1:x=1', '1:y=2', '2:no-op', '2:x=3']</w:t>
      </w:r>
      <w:r>
        <w:br/>
      </w:r>
      <w:r>
        <w:rPr>
          <w:rStyle w:val="VerbatimChar"/>
        </w:rPr>
        <w:t xml:space="preserve">n3 leader    term=2 commit=5 log=['1:no-op', '1:x=1', '1:y=2', '2:no-op', '2:x=3']</w:t>
      </w:r>
      <w:r>
        <w:br/>
      </w:r>
      <w:r>
        <w:rPr>
          <w:rStyle w:val="VerbatimChar"/>
        </w:rPr>
        <w:t xml:space="preserve">n4 follower  term=2 commit=5 log=['1:no-op', '1:x=1', '1:y=2', '2:no-op', '2:x=3']</w:t>
      </w:r>
      <w:r>
        <w:br/>
      </w:r>
      <w:r>
        <w:rPr>
          <w:rStyle w:val="VerbatimChar"/>
        </w:rPr>
        <w:t xml:space="preserve">n5 follower  term=2 commit=5 log=['1:no-op', '1:x=1', '1:y=2', '2:no-op', '2:x=3']</w:t>
      </w:r>
      <w:r>
        <w:br/>
      </w:r>
      <w:r>
        <w:rPr>
          <w:rStyle w:val="VerbatimChar"/>
        </w:rPr>
        <w:t xml:space="preserve">state machine safety holds: True</w:t>
      </w:r>
      <w:r>
        <w:br/>
      </w:r>
      <w:r>
        <w:rPr>
          <w:rStyle w:val="VerbatimChar"/>
        </w:rPr>
        <w:t xml:space="preserve">200 seeded runs: safety violations=0, failover ms: median=155, p95=276, max=360</w:t>
      </w:r>
    </w:p>
    <w:p>
      <w:pPr>
        <w:pStyle w:val="FirstParagraph"/>
      </w:pPr>
      <w:r>
        <w:t xml:space="preserve">What to notice:</w:t>
      </w:r>
    </w:p>
    <w:p>
      <w:pPr>
        <w:numPr>
          <w:ilvl w:val="0"/>
          <w:numId w:val="1845"/>
        </w:numPr>
        <w:pStyle w:val="Compact"/>
      </w:pPr>
      <w:r>
        <w:rPr>
          <w:bCs/>
          <w:b/>
        </w:rPr>
        <w:t xml:space="preserve">Persistent versus volatile state.</w:t>
      </w:r>
      <w:r>
        <w:t xml:space="preserve"> </w:t>
      </w:r>
      <w:r>
        <w:rPr>
          <w:rStyle w:val="VerbatimChar"/>
        </w:rPr>
        <w:t xml:space="preserve">term</w:t>
      </w:r>
      <w:r>
        <w:t xml:space="preserve">,</w:t>
      </w:r>
      <w:r>
        <w:t xml:space="preserve"> </w:t>
      </w:r>
      <w:r>
        <w:rPr>
          <w:rStyle w:val="VerbatimChar"/>
        </w:rPr>
        <w:t xml:space="preserve">voted_for</w:t>
      </w:r>
      <w:r>
        <w:t xml:space="preserve"> </w:t>
      </w:r>
      <w:r>
        <w:t xml:space="preserve">and</w:t>
      </w:r>
      <w:r>
        <w:t xml:space="preserve"> </w:t>
      </w:r>
      <w:r>
        <w:rPr>
          <w:rStyle w:val="VerbatimChar"/>
        </w:rPr>
        <w:t xml:space="preserve">log</w:t>
      </w:r>
      <w:r>
        <w:t xml:space="preserve"> </w:t>
      </w:r>
      <w:r>
        <w:t xml:space="preserve">survive</w:t>
      </w:r>
      <w:r>
        <w:t xml:space="preserve"> </w:t>
      </w:r>
      <w:r>
        <w:rPr>
          <w:rStyle w:val="VerbatimChar"/>
        </w:rPr>
        <w:t xml:space="preserve">crash()</w:t>
      </w:r>
      <w:r>
        <w:t xml:space="preserve">;</w:t>
      </w:r>
      <w:r>
        <w:t xml:space="preserve"> </w:t>
      </w:r>
      <w:r>
        <w:rPr>
          <w:rStyle w:val="VerbatimChar"/>
        </w:rPr>
        <w:t xml:space="preserve">reset_volatile</w:t>
      </w:r>
      <w:r>
        <w:t xml:space="preserve"> </w:t>
      </w:r>
      <w:r>
        <w:t xml:space="preserve">wipes role, commit index and leader bookkeeping, as a real restart would. n4 rejoins with term 1, adopts term 2 from the first message it sees, and is brought up to date by the consistency check.</w:t>
      </w:r>
    </w:p>
    <w:p>
      <w:pPr>
        <w:numPr>
          <w:ilvl w:val="0"/>
          <w:numId w:val="1845"/>
        </w:numPr>
        <w:pStyle w:val="Compact"/>
      </w:pPr>
      <w:r>
        <w:rPr>
          <w:bCs/>
          <w:b/>
        </w:rPr>
        <w:t xml:space="preserve">The up-to-date check</w:t>
      </w:r>
      <w:r>
        <w:t xml:space="preserve"> </w:t>
      </w:r>
      <w:r>
        <w:t xml:space="preserve">is one tuple comparison,</w:t>
      </w:r>
      <w:r>
        <w:t xml:space="preserve"> </w:t>
      </w:r>
      <w:r>
        <w:rPr>
          <w:rStyle w:val="VerbatimChar"/>
        </w:rPr>
        <w:t xml:space="preserve">(last_term, last_index) &gt;= (...)</w:t>
      </w:r>
      <w:r>
        <w:t xml:space="preserve">, which compares terms first and indices second.</w:t>
      </w:r>
    </w:p>
    <w:p>
      <w:pPr>
        <w:numPr>
          <w:ilvl w:val="0"/>
          <w:numId w:val="1845"/>
        </w:numPr>
        <w:pStyle w:val="Compact"/>
      </w:pPr>
      <w:r>
        <w:rPr>
          <w:bCs/>
          <w:b/>
        </w:rPr>
        <w:t xml:space="preserve">The commit rule</w:t>
      </w:r>
      <w:r>
        <w:t xml:space="preserve"> </w:t>
      </w:r>
      <w:r>
        <w:t xml:space="preserve">in</w:t>
      </w:r>
      <w:r>
        <w:t xml:space="preserve"> </w:t>
      </w:r>
      <w:r>
        <w:rPr>
          <w:rStyle w:val="VerbatimChar"/>
        </w:rPr>
        <w:t xml:space="preserve">advance_commit</w:t>
      </w:r>
      <w:r>
        <w:t xml:space="preserve"> </w:t>
      </w:r>
      <w:r>
        <w:t xml:space="preserve">requires both a majority and</w:t>
      </w:r>
      <w:r>
        <w:t xml:space="preserve"> </w:t>
      </w:r>
      <w:r>
        <w:rPr>
          <w:rStyle w:val="VerbatimChar"/>
        </w:rPr>
        <w:t xml:space="preserve">term_at(idx) == n.term</w:t>
      </w:r>
      <w:r>
        <w:t xml:space="preserve">; each new leader appends a</w:t>
      </w:r>
      <w:r>
        <w:t xml:space="preserve"> </w:t>
      </w:r>
      <w:r>
        <w:rPr>
          <w:rStyle w:val="VerbatimChar"/>
        </w:rPr>
        <w:t xml:space="preserve">no-op</w:t>
      </w:r>
      <w:r>
        <w:t xml:space="preserve"> </w:t>
      </w:r>
      <w:r>
        <w:t xml:space="preserve">so earlier entries commit through it (index 4 commits indices 1–4 for n3).</w:t>
      </w:r>
    </w:p>
    <w:p>
      <w:pPr>
        <w:numPr>
          <w:ilvl w:val="0"/>
          <w:numId w:val="1845"/>
        </w:numPr>
        <w:pStyle w:val="Compact"/>
      </w:pPr>
      <w:r>
        <w:rPr>
          <w:bCs/>
          <w:b/>
        </w:rPr>
        <w:t xml:space="preserve">Writes wait for the next heartbeat</w:t>
      </w:r>
      <w:r>
        <w:t xml:space="preserve"> </w:t>
      </w:r>
      <w:r>
        <w:t xml:space="preserve">(400 ms write, 426 ms commit), a simplification; real leaders send AppendEntries immediately and batch.</w:t>
      </w:r>
    </w:p>
    <w:p>
      <w:pPr>
        <w:numPr>
          <w:ilvl w:val="0"/>
          <w:numId w:val="1845"/>
        </w:numPr>
        <w:pStyle w:val="Compact"/>
      </w:pPr>
      <w:r>
        <w:rPr>
          <w:bCs/>
          <w:b/>
        </w:rPr>
        <w:t xml:space="preserve">Failover statistics</w:t>
      </w:r>
      <w:r>
        <w:t xml:space="preserve"> </w:t>
      </w:r>
      <w:r>
        <w:t xml:space="preserve">(median 155 ms) match the formula in §26.7.2. Change</w:t>
      </w:r>
      <w:r>
        <w:t xml:space="preserve"> </w:t>
      </w:r>
      <w:r>
        <w:rPr>
          <w:rStyle w:val="VerbatimChar"/>
        </w:rPr>
        <w:t xml:space="preserve">ELECTION_MIN_MS</w:t>
      </w:r>
      <w:r>
        <w:t xml:space="preserve"> </w:t>
      </w:r>
      <w:r>
        <w:t xml:space="preserve">or the message delays and rerun to see the trade-offs.</w:t>
      </w:r>
    </w:p>
    <w:bookmarkEnd w:id="2945"/>
    <w:bookmarkStart w:id="2946" w:name="snapshots-and-log-compaction"/>
    <w:p>
      <w:pPr>
        <w:pStyle w:val="Heading3"/>
      </w:pPr>
      <w:r>
        <w:t xml:space="preserve">26.7.8 Snapshots and log compaction</w:t>
      </w:r>
    </w:p>
    <w:p>
      <w:pPr>
        <w:pStyle w:val="FirstParagraph"/>
      </w:pPr>
      <w:r>
        <w:t xml:space="preserve">A log that grows forever exhausts disk and makes restarts replay hours of history. Each node independently takes a</w:t>
      </w:r>
      <w:r>
        <w:t xml:space="preserve"> </w:t>
      </w:r>
      <w:r>
        <w:rPr>
          <w:bCs/>
          <w:b/>
        </w:rPr>
        <w:t xml:space="preserve">snapshot</w:t>
      </w:r>
      <w:r>
        <w:t xml:space="preserve"> </w:t>
      </w:r>
      <w:r>
        <w:t xml:space="preserve">of its state machine at some applied index, records the</w:t>
      </w:r>
      <w:r>
        <w:t xml:space="preserve"> </w:t>
      </w:r>
      <w:r>
        <w:rPr>
          <w:rStyle w:val="VerbatimChar"/>
        </w:rPr>
        <w:t xml:space="preserve">lastIncludedIndex</w:t>
      </w:r>
      <w:r>
        <w:t xml:space="preserve"> </w:t>
      </w:r>
      <w:r>
        <w:t xml:space="preserve">and</w:t>
      </w:r>
      <w:r>
        <w:t xml:space="preserve"> </w:t>
      </w:r>
      <w:r>
        <w:rPr>
          <w:rStyle w:val="VerbatimChar"/>
        </w:rPr>
        <w:t xml:space="preserve">lastIncludedTerm</w:t>
      </w:r>
      <w:r>
        <w:t xml:space="preserve"> </w:t>
      </w:r>
      <w:r>
        <w:t xml:space="preserve">(needed for the consistency check of the next entry), and discards the log prefix. When a follower is so far behind that the leader has already discarded the entries it needs, the leader sends</w:t>
      </w:r>
      <w:r>
        <w:t xml:space="preserve"> </w:t>
      </w:r>
      <w:r>
        <w:rPr>
          <w:bCs/>
          <w:b/>
        </w:rPr>
        <w:t xml:space="preserve">InstallSnapshot</w:t>
      </w:r>
      <w:r>
        <w:t xml:space="preserve"> </w:t>
      </w:r>
      <w:r>
        <w:t xml:space="preserve">chunks instead of AppendEntries. Snapshotting must not block the state machine for long: implementations use copy-on-write structures or the storage engine’s own consistent snapshot (etcd snapshots its bbolt database; CockroachDB and TiKV ship RocksDB-family SST files). Snapshot frequency is a trade-off between disk space and the cost of each snapshot; etcd, for example, triggers one after a configurable number of applied entries.</w:t>
      </w:r>
    </w:p>
    <w:bookmarkEnd w:id="2946"/>
    <w:bookmarkStart w:id="2947" w:name="membership-changes"/>
    <w:p>
      <w:pPr>
        <w:pStyle w:val="Heading3"/>
      </w:pPr>
      <w:r>
        <w:t xml:space="preserve">26.7.9 Membership changes</w:t>
      </w:r>
    </w:p>
    <w:p>
      <w:pPr>
        <w:pStyle w:val="FirstParagraph"/>
      </w:pPr>
      <w:r>
        <w:t xml:space="preserve">Changing the voter set changes the quorum definition. Switching all nodes at once is unsafe: during the transition some nodes count old-configuration majorities and others new ones, and two disjoint majorities could elect two leaders in one term.</w:t>
      </w:r>
    </w:p>
    <w:p>
      <w:pPr>
        <w:numPr>
          <w:ilvl w:val="0"/>
          <w:numId w:val="1846"/>
        </w:numPr>
        <w:pStyle w:val="Compact"/>
      </w:pPr>
      <w:r>
        <w:rPr>
          <w:bCs/>
          <w:b/>
        </w:rPr>
        <w:t xml:space="preserve">Joint consensus</w:t>
      </w:r>
      <w:r>
        <w:t xml:space="preserve"> </w:t>
      </w:r>
      <w:r>
        <w:t xml:space="preserve">(Raft paper). The leader first commits a configuration entry</w:t>
      </w:r>
      <w:r>
        <w:t xml:space="preserve"> </w:t>
      </w:r>
      <m:oMath>
        <m:sSub>
          <m:e>
            <m:r>
              <m:t>C</m:t>
            </m:r>
          </m:e>
          <m:sub>
            <m:r>
              <m:rPr>
                <m:nor/>
                <m:sty m:val="p"/>
              </m:rPr>
              <m:t>old,new</m:t>
            </m:r>
          </m:sub>
        </m:sSub>
      </m:oMath>
      <w:r>
        <w:t xml:space="preserve">; while it is in effect, every election and every commit needs a majority of</w:t>
      </w:r>
      <w:r>
        <w:t xml:space="preserve"> </w:t>
      </w:r>
      <m:oMath>
        <m:sSub>
          <m:e>
            <m:r>
              <m:t>C</m:t>
            </m:r>
          </m:e>
          <m:sub>
            <m:r>
              <m:rPr>
                <m:nor/>
                <m:sty m:val="p"/>
              </m:rPr>
              <m:t>old</m:t>
            </m:r>
          </m:sub>
        </m:sSub>
      </m:oMath>
      <w:r>
        <w:t xml:space="preserve"> </w:t>
      </w:r>
      <w:r>
        <w:rPr>
          <w:iCs/>
          <w:i/>
        </w:rPr>
        <w:t xml:space="preserve">and</w:t>
      </w:r>
      <w:r>
        <w:t xml:space="preserve"> </w:t>
      </w:r>
      <w:r>
        <w:t xml:space="preserve">a majority of</w:t>
      </w:r>
      <w:r>
        <w:t xml:space="preserve"> </w:t>
      </w:r>
      <m:oMath>
        <m:sSub>
          <m:e>
            <m:r>
              <m:t>C</m:t>
            </m:r>
          </m:e>
          <m:sub>
            <m:r>
              <m:rPr>
                <m:nor/>
                <m:sty m:val="p"/>
              </m:rPr>
              <m:t>new</m:t>
            </m:r>
          </m:sub>
        </m:sSub>
      </m:oMath>
      <w:r>
        <w:t xml:space="preserve">. Once</w:t>
      </w:r>
      <w:r>
        <w:t xml:space="preserve"> </w:t>
      </w:r>
      <m:oMath>
        <m:sSub>
          <m:e>
            <m:r>
              <m:t>C</m:t>
            </m:r>
          </m:e>
          <m:sub>
            <m:r>
              <m:rPr>
                <m:nor/>
                <m:sty m:val="p"/>
              </m:rPr>
              <m:t>old,new</m:t>
            </m:r>
          </m:sub>
        </m:sSub>
      </m:oMath>
      <w:r>
        <w:t xml:space="preserve"> </w:t>
      </w:r>
      <w:r>
        <w:t xml:space="preserve">is committed, the leader commits</w:t>
      </w:r>
      <w:r>
        <w:t xml:space="preserve"> </w:t>
      </w:r>
      <m:oMath>
        <m:sSub>
          <m:e>
            <m:r>
              <m:t>C</m:t>
            </m:r>
          </m:e>
          <m:sub>
            <m:r>
              <m:rPr>
                <m:nor/>
                <m:sty m:val="p"/>
              </m:rPr>
              <m:t>new</m:t>
            </m:r>
          </m:sub>
        </m:sSub>
      </m:oMath>
      <w:r>
        <w:t xml:space="preserve">. Any change, including replacing several nodes at once, is safe.</w:t>
      </w:r>
    </w:p>
    <w:p>
      <w:pPr>
        <w:numPr>
          <w:ilvl w:val="0"/>
          <w:numId w:val="1846"/>
        </w:numPr>
        <w:pStyle w:val="Compact"/>
      </w:pPr>
      <w:r>
        <w:rPr>
          <w:bCs/>
          <w:b/>
        </w:rPr>
        <w:t xml:space="preserve">Single-server changes</w:t>
      </w:r>
      <w:r>
        <w:t xml:space="preserve"> </w:t>
      </w:r>
      <w:r>
        <w:t xml:space="preserve">(thesis). If you add or remove only</w:t>
      </w:r>
      <w:r>
        <w:t xml:space="preserve"> </w:t>
      </w:r>
      <w:r>
        <w:rPr>
          <w:iCs/>
          <w:i/>
        </w:rPr>
        <w:t xml:space="preserve">one</w:t>
      </w:r>
      <w:r>
        <w:t xml:space="preserve"> </w:t>
      </w:r>
      <w:r>
        <w:t xml:space="preserve">voter at a time, every majority of the old configuration intersects every majority of the new one, so no joint phase is needed. Each configuration takes effect as soon as it is appended (not committed), and only one change may be in progress. In 2015 Ongaro reported a bug in the original single-server description that could lose a committed entry when changes overlapped with leader changes; the fix is that a new leader must commit an entry in its own term (the same no-op as in §26.7.5) before starting a membership change.</w:t>
      </w:r>
    </w:p>
    <w:p>
      <w:pPr>
        <w:pStyle w:val="FirstParagraph"/>
      </w:pPr>
      <w:r>
        <w:t xml:space="preserve">Production systems add</w:t>
      </w:r>
      <w:r>
        <w:t xml:space="preserve"> </w:t>
      </w:r>
      <w:r>
        <w:rPr>
          <w:bCs/>
          <w:b/>
        </w:rPr>
        <w:t xml:space="preserve">learners</w:t>
      </w:r>
      <w:r>
        <w:t xml:space="preserve"> </w:t>
      </w:r>
      <w:r>
        <w:t xml:space="preserve">(etcd) or observers (ZooKeeper): a new node catches up without affecting the quorum and is promoted when current. Otherwise adding an empty fourth node (quorum 3) plus one unrelated failure blocks all writes.</w:t>
      </w:r>
    </w:p>
    <w:bookmarkEnd w:id="2947"/>
    <w:bookmarkStart w:id="2952" w:name="X14487f17b7eeb95b9d396a85d3c9b2589901090"/>
    <w:p>
      <w:pPr>
        <w:pStyle w:val="Heading3"/>
      </w:pPr>
      <w:r>
        <w:t xml:space="preserve">26.7.10 Linearizable reads: ReadIndex and lease reads</w:t>
      </w:r>
    </w:p>
    <w:p>
      <w:pPr>
        <w:pStyle w:val="FirstParagraph"/>
      </w:pPr>
      <w:r>
        <w:t xml:space="preserve">A read from the leader’s local state is</w:t>
      </w:r>
      <w:r>
        <w:t xml:space="preserve"> </w:t>
      </w:r>
      <w:r>
        <w:rPr>
          <w:iCs/>
          <w:i/>
        </w:rPr>
        <w:t xml:space="preserve">not</w:t>
      </w:r>
      <w:r>
        <w:t xml:space="preserve"> </w:t>
      </w:r>
      <w:r>
        <w:t xml:space="preserve">automatically linearizable (§25.3): a partitioned leader may not know it was replaced and return a value already overwritten. Three remedies exist [Ongaro 2014]:</w:t>
      </w:r>
    </w:p>
    <w:p>
      <w:pPr>
        <w:numPr>
          <w:ilvl w:val="0"/>
          <w:numId w:val="1847"/>
        </w:numPr>
        <w:pStyle w:val="Compact"/>
      </w:pPr>
      <w:r>
        <w:rPr>
          <w:bCs/>
          <w:b/>
        </w:rPr>
        <w:t xml:space="preserve">Log reads.</w:t>
      </w:r>
      <w:r>
        <w:t xml:space="preserve"> </w:t>
      </w:r>
      <w:r>
        <w:t xml:space="preserve">Append the read to the log like a write. Correct, but costs a disk write per read.</w:t>
      </w:r>
    </w:p>
    <w:p>
      <w:pPr>
        <w:numPr>
          <w:ilvl w:val="0"/>
          <w:numId w:val="1847"/>
        </w:numPr>
        <w:pStyle w:val="Compact"/>
      </w:pPr>
      <w:r>
        <w:rPr>
          <w:bCs/>
          <w:b/>
        </w:rPr>
        <w:t xml:space="preserve">ReadIndex.</w:t>
      </w:r>
      <w:r>
        <w:t xml:space="preserve"> </w:t>
      </w:r>
      <w:r>
        <w:t xml:space="preserve">The leader records its current</w:t>
      </w:r>
      <w:r>
        <w:t xml:space="preserve"> </w:t>
      </w:r>
      <w:r>
        <w:rPr>
          <w:rStyle w:val="VerbatimChar"/>
        </w:rPr>
        <w:t xml:space="preserve">commitIndex</w:t>
      </w:r>
      <w:r>
        <w:t xml:space="preserve"> </w:t>
      </w:r>
      <w:r>
        <w:t xml:space="preserve">as the read index, confirms it is still leader by exchanging a heartbeat round with a majority, waits until its state machine has applied up to the read index, then answers locally. Cost: one round trip, no disk write. Followers can serve reads the same way by asking the leader for a read index. A new leader must first commit its no-op entry, or its</w:t>
      </w:r>
      <w:r>
        <w:t xml:space="preserve"> </w:t>
      </w:r>
      <w:r>
        <w:rPr>
          <w:rStyle w:val="VerbatimChar"/>
        </w:rPr>
        <w:t xml:space="preserve">commitIndex</w:t>
      </w:r>
      <w:r>
        <w:t xml:space="preserve"> </w:t>
      </w:r>
      <w:r>
        <w:t xml:space="preserve">may be stale.</w:t>
      </w:r>
    </w:p>
    <w:p>
      <w:pPr>
        <w:numPr>
          <w:ilvl w:val="0"/>
          <w:numId w:val="1847"/>
        </w:numPr>
        <w:pStyle w:val="Compact"/>
      </w:pPr>
      <w:r>
        <w:rPr>
          <w:bCs/>
          <w:b/>
        </w:rPr>
        <w:t xml:space="preserve">Lease reads.</w:t>
      </w:r>
      <w:r>
        <w:t xml:space="preserve"> </w:t>
      </w:r>
      <w:r>
        <w:t xml:space="preserve">After a successful heartbeat round started at time</w:t>
      </w:r>
      <w:r>
        <w:t xml:space="preserve"> </w:t>
      </w:r>
      <m:oMath>
        <m:r>
          <m:t>t</m:t>
        </m:r>
      </m:oMath>
      <w:r>
        <w:t xml:space="preserve">, the leader assumes no other leader can exist before</w:t>
      </w:r>
      <w:r>
        <w:t xml:space="preserve"> </w:t>
      </w:r>
      <m:oMath>
        <m:r>
          <m:t>t</m:t>
        </m:r>
        <m:r>
          <m:rPr>
            <m:sty m:val="p"/>
          </m:rPr>
          <m:t>+</m:t>
        </m:r>
        <m:sSub>
          <m:e>
            <m:r>
              <m:t>T</m:t>
            </m:r>
          </m:e>
          <m:sub>
            <m:r>
              <m:rPr>
                <m:sty m:val="p"/>
              </m:rPr>
              <m:t>min</m:t>
            </m:r>
          </m:sub>
        </m:sSub>
      </m:oMath>
      <w:r>
        <w:t xml:space="preserve"> </w:t>
      </w:r>
      <w:r>
        <w:t xml:space="preserve">(followers will not start an election sooner), shortened by a clock-drift margin. Within that window it answers reads with no network round trip. This trades a timing assumption for latency: a long pause on the leader, or clock rates that differ more than the margin, can return stale data.</w:t>
      </w:r>
    </w:p>
    <w:p>
      <w:pPr>
        <w:pStyle w:val="FirstParagraph"/>
      </w:pPr>
      <w:r>
        <w:rPr>
          <w:bCs/>
          <w:b/>
        </w:rPr>
        <w:t xml:space="preserve">Figure 26.11 — ReadIndex: linearizable reads without writing to the log.</w:t>
      </w:r>
    </w:p>
    <w:p>
      <w:pPr>
        <w:pStyle w:val="BodyText"/>
      </w:pPr>
      <w:r>
        <w:drawing>
          <wp:inline>
            <wp:extent cx="5334000" cy="2801623"/>
            <wp:effectExtent b="0" l="0" r="0" t="0"/>
            <wp:docPr descr="" title="" id="2949" name="Picture"/>
            <a:graphic>
              <a:graphicData uri="http://schemas.openxmlformats.org/drawingml/2006/picture">
                <pic:pic>
                  <pic:nvPicPr>
                    <pic:cNvPr descr="/home/user/System-Design/build/.cache/diagrams/af9aff1ad63c.png" id="2950" name="Picture"/>
                    <pic:cNvPicPr>
                      <a:picLocks noChangeArrowheads="1" noChangeAspect="1"/>
                    </pic:cNvPicPr>
                  </pic:nvPicPr>
                  <pic:blipFill>
                    <a:blip r:embed="rId2948"/>
                    <a:stretch>
                      <a:fillRect/>
                    </a:stretch>
                  </pic:blipFill>
                  <pic:spPr bwMode="auto">
                    <a:xfrm>
                      <a:off x="0" y="0"/>
                      <a:ext cx="5334000" cy="2801623"/>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leader notes the commit index (42) when the read arrives. The synchronous heartbeat round to a majority proves no newer leader existed then: a majority would have a higher term and reject it. The leader waits to apply index 42, so the read reflects every earlier committed write, and replies from memory. Nothing is written to disk. Failure point: if the heartbeat round fails, the leader aborts the read rather than risk staleness. Scaling: one heartbeat round can confirm leadership for a whole batch of pending reads.</w:t>
      </w:r>
    </w:p>
    <w:p>
      <w:pPr>
        <w:pStyle w:val="BodyText"/>
      </w:pPr>
      <w:r>
        <w:t xml:space="preserve">etcd uses ReadIndex for its default linearizable reads and also offers</w:t>
      </w:r>
      <w:r>
        <w:t xml:space="preserve"> </w:t>
      </w:r>
      <w:r>
        <w:rPr>
          <w:bCs/>
          <w:b/>
        </w:rPr>
        <w:t xml:space="preserve">serializable</w:t>
      </w:r>
      <w:r>
        <w:t xml:space="preserve"> </w:t>
      </w:r>
      <w:r>
        <w:t xml:space="preserve">reads, served from any member’s local state without a round trip, which may be stale [etcd Docs: API guarantees].</w:t>
      </w:r>
    </w:p>
    <w:bookmarkStart w:id="2951" w:name="failure-scenarios-58"/>
    <w:p>
      <w:pPr>
        <w:pStyle w:val="Heading4"/>
      </w:pPr>
      <w:r>
        <w:t xml:space="preserve">Failure scenarios</w:t>
      </w:r>
    </w:p>
    <w:p>
      <w:pPr>
        <w:pStyle w:val="FirstParagraph"/>
      </w:pPr>
      <w:r>
        <w:rPr>
          <w:bCs/>
          <w:b/>
        </w:rPr>
        <w:t xml:space="preserve">Table 26.3 — Raft 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Repeated elections</w:t>
            </w:r>
          </w:p>
        </w:tc>
        <w:tc>
          <w:tcPr/>
          <w:p>
            <w:pPr>
              <w:pStyle w:val="Compact"/>
              <w:jc w:val="left"/>
            </w:pPr>
            <w:r>
              <w:t xml:space="preserve">Timeout below network, GC or</w:t>
            </w:r>
            <w:r>
              <w:t xml:space="preserve"> </w:t>
            </w:r>
            <w:r>
              <w:rPr>
                <w:rStyle w:val="VerbatimChar"/>
              </w:rPr>
              <w:t xml:space="preserve">fsync</w:t>
            </w:r>
            <w:r>
              <w:t xml:space="preserve"> </w:t>
            </w:r>
            <w:r>
              <w:t xml:space="preserve">jitter</w:t>
            </w:r>
          </w:p>
        </w:tc>
        <w:tc>
          <w:tcPr/>
          <w:p>
            <w:pPr>
              <w:pStyle w:val="Compact"/>
              <w:jc w:val="left"/>
            </w:pPr>
            <w:r>
              <w:t xml:space="preserve">Term climbing</w:t>
            </w:r>
          </w:p>
        </w:tc>
        <w:tc>
          <w:tcPr/>
          <w:p>
            <w:pPr>
              <w:pStyle w:val="Compact"/>
              <w:jc w:val="left"/>
            </w:pPr>
            <w:r>
              <w:t xml:space="preserve">Raise timeout; faster dedicated disks</w:t>
            </w:r>
          </w:p>
        </w:tc>
        <w:tc>
          <w:tcPr/>
          <w:p>
            <w:pPr>
              <w:pStyle w:val="Compact"/>
              <w:jc w:val="left"/>
            </w:pPr>
            <w:r>
              <w:t xml:space="preserve">Size timeouts from p99.9 RTT and flush latency</w:t>
            </w:r>
          </w:p>
        </w:tc>
      </w:tr>
      <w:tr>
        <w:tc>
          <w:tcPr/>
          <w:p>
            <w:pPr>
              <w:pStyle w:val="Compact"/>
              <w:jc w:val="left"/>
            </w:pPr>
            <w:r>
              <w:t xml:space="preserve">Disruptive rejoining node</w:t>
            </w:r>
          </w:p>
        </w:tc>
        <w:tc>
          <w:tcPr/>
          <w:p>
            <w:pPr>
              <w:pStyle w:val="Compact"/>
              <w:jc w:val="left"/>
            </w:pPr>
            <w:r>
              <w:t xml:space="preserve">A partitioned node’s inflated term forces the leader to step down</w:t>
            </w:r>
          </w:p>
        </w:tc>
        <w:tc>
          <w:tcPr/>
          <w:p>
            <w:pPr>
              <w:pStyle w:val="Compact"/>
              <w:jc w:val="left"/>
            </w:pPr>
            <w:r>
              <w:t xml:space="preserve">Term jumps after healing</w:t>
            </w:r>
          </w:p>
        </w:tc>
        <w:tc>
          <w:tcPr/>
          <w:p>
            <w:pPr>
              <w:pStyle w:val="Compact"/>
              <w:jc w:val="left"/>
            </w:pPr>
            <w:r>
              <w:t xml:space="preserve">Automatic, after an extra election</w:t>
            </w:r>
          </w:p>
        </w:tc>
        <w:tc>
          <w:tcPr/>
          <w:p>
            <w:pPr>
              <w:pStyle w:val="Compact"/>
              <w:jc w:val="left"/>
            </w:pPr>
            <w:r>
              <w:rPr>
                <w:bCs/>
                <w:b/>
              </w:rPr>
              <w:t xml:space="preserve">Pre-vote</w:t>
            </w:r>
            <w:r>
              <w:t xml:space="preserve"> </w:t>
            </w:r>
            <w:r>
              <w:t xml:space="preserve">[Ongaro 2014]: campaign only if a majority would vote</w:t>
            </w:r>
          </w:p>
        </w:tc>
      </w:tr>
      <w:tr>
        <w:tc>
          <w:tcPr/>
          <w:p>
            <w:pPr>
              <w:pStyle w:val="Compact"/>
              <w:jc w:val="left"/>
            </w:pPr>
            <w:r>
              <w:t xml:space="preserve">Writes blocked</w:t>
            </w:r>
          </w:p>
        </w:tc>
        <w:tc>
          <w:tcPr/>
          <w:p>
            <w:pPr>
              <w:pStyle w:val="Compact"/>
              <w:jc w:val="left"/>
            </w:pPr>
            <w:r>
              <w:t xml:space="preserve">Quorum lost</w:t>
            </w:r>
          </w:p>
        </w:tc>
        <w:tc>
          <w:tcPr/>
          <w:p>
            <w:pPr>
              <w:pStyle w:val="Compact"/>
              <w:jc w:val="left"/>
            </w:pPr>
            <w:r>
              <w:t xml:space="preserve">Commit index stalls</w:t>
            </w:r>
          </w:p>
        </w:tc>
        <w:tc>
          <w:tcPr/>
          <w:p>
            <w:pPr>
              <w:pStyle w:val="Compact"/>
              <w:jc w:val="left"/>
            </w:pPr>
            <w:r>
              <w:t xml:space="preserve">Restore nodes; else rebuild from backup, accepting loss</w:t>
            </w:r>
          </w:p>
        </w:tc>
        <w:tc>
          <w:tcPr/>
          <w:p>
            <w:pPr>
              <w:pStyle w:val="Compact"/>
              <w:jc w:val="left"/>
            </w:pPr>
            <w:r>
              <w:t xml:space="preserve">5 voters across 3 zones; learners</w:t>
            </w:r>
          </w:p>
        </w:tc>
      </w:tr>
      <w:tr>
        <w:tc>
          <w:tcPr/>
          <w:p>
            <w:pPr>
              <w:pStyle w:val="Compact"/>
              <w:jc w:val="left"/>
            </w:pPr>
            <w:r>
              <w:t xml:space="preserve">Stale reads</w:t>
            </w:r>
          </w:p>
        </w:tc>
        <w:tc>
          <w:tcPr/>
          <w:p>
            <w:pPr>
              <w:pStyle w:val="Compact"/>
              <w:jc w:val="left"/>
            </w:pPr>
            <w:r>
              <w:t xml:space="preserve">Local reads on a deposed leader</w:t>
            </w:r>
          </w:p>
        </w:tc>
        <w:tc>
          <w:tcPr/>
          <w:p>
            <w:pPr>
              <w:pStyle w:val="Compact"/>
              <w:jc w:val="left"/>
            </w:pPr>
            <w:r>
              <w:t xml:space="preserve">Jepsen-style tests (§25.11)</w:t>
            </w:r>
          </w:p>
        </w:tc>
        <w:tc>
          <w:tcPr/>
          <w:p>
            <w:pPr>
              <w:pStyle w:val="Compact"/>
              <w:jc w:val="left"/>
            </w:pPr>
            <w:r>
              <w:t xml:space="preserve">Switch to ReadIndex</w:t>
            </w:r>
          </w:p>
        </w:tc>
        <w:tc>
          <w:tcPr/>
          <w:p>
            <w:pPr>
              <w:pStyle w:val="Compact"/>
              <w:jc w:val="left"/>
            </w:pPr>
            <w:r>
              <w:t xml:space="preserve">ReadIndex, or lease reads with margin</w:t>
            </w:r>
          </w:p>
        </w:tc>
      </w:tr>
      <w:tr>
        <w:tc>
          <w:tcPr/>
          <w:p>
            <w:pPr>
              <w:pStyle w:val="Compact"/>
              <w:jc w:val="left"/>
            </w:pPr>
            <w:r>
              <w:t xml:space="preserve">Data loss after crash</w:t>
            </w:r>
          </w:p>
        </w:tc>
        <w:tc>
          <w:tcPr/>
          <w:p>
            <w:pPr>
              <w:pStyle w:val="Compact"/>
              <w:jc w:val="left"/>
            </w:pPr>
            <w:r>
              <w:t xml:space="preserve">Acknowledged before</w:t>
            </w:r>
            <w:r>
              <w:t xml:space="preserve"> </w:t>
            </w:r>
            <w:r>
              <w:rPr>
                <w:rStyle w:val="VerbatimChar"/>
              </w:rPr>
              <w:t xml:space="preserve">fsync</w:t>
            </w:r>
          </w:p>
        </w:tc>
        <w:tc>
          <w:tcPr/>
          <w:p>
            <w:pPr>
              <w:pStyle w:val="Compact"/>
              <w:jc w:val="left"/>
            </w:pPr>
            <w:r>
              <w:t xml:space="preserve">Divergent committed logs</w:t>
            </w:r>
          </w:p>
        </w:tc>
        <w:tc>
          <w:tcPr/>
          <w:p>
            <w:pPr>
              <w:pStyle w:val="Compact"/>
              <w:jc w:val="left"/>
            </w:pPr>
            <w:r>
              <w:t xml:space="preserve">Rebuild replica from peers</w:t>
            </w:r>
          </w:p>
        </w:tc>
        <w:tc>
          <w:tcPr/>
          <w:p>
            <w:pPr>
              <w:pStyle w:val="Compact"/>
              <w:jc w:val="left"/>
            </w:pPr>
            <w:r>
              <w:t xml:space="preserve">Never disable</w:t>
            </w:r>
            <w:r>
              <w:t xml:space="preserve"> </w:t>
            </w:r>
            <w:r>
              <w:rPr>
                <w:rStyle w:val="VerbatimChar"/>
              </w:rPr>
              <w:t xml:space="preserve">fsync</w:t>
            </w:r>
            <w:r>
              <w:t xml:space="preserve">; checksums</w:t>
            </w:r>
          </w:p>
        </w:tc>
      </w:tr>
    </w:tbl>
    <w:bookmarkEnd w:id="2951"/>
    <w:bookmarkEnd w:id="2952"/>
    <w:bookmarkEnd w:id="2953"/>
    <w:bookmarkStart w:id="2961" w:name="zookeeper-and-zab"/>
    <w:p>
      <w:pPr>
        <w:pStyle w:val="Heading2"/>
      </w:pPr>
      <w:r>
        <w:t xml:space="preserve">26.8 ZooKeeper and ZAB</w:t>
      </w:r>
    </w:p>
    <w:bookmarkStart w:id="2955" w:name="the-coordination-kernel-idea"/>
    <w:p>
      <w:pPr>
        <w:pStyle w:val="Heading3"/>
      </w:pPr>
      <w:r>
        <w:t xml:space="preserve">26.8.1 The coordination-kernel idea</w:t>
      </w:r>
    </w:p>
    <w:p>
      <w:pPr>
        <w:pStyle w:val="CalloutDefinition"/>
      </w:pPr>
      <w:r>
        <w:rPr>
          <w:bCs/>
          <w:b/>
        </w:rPr>
        <w:t xml:space="preserve">DEFINITION</w:t>
      </w:r>
    </w:p>
    <w:p>
      <w:pPr>
        <w:pStyle w:val="CalloutDefinition"/>
      </w:pPr>
      <w:r>
        <w:rPr>
          <w:bCs/>
          <w:b/>
        </w:rPr>
        <w:t xml:space="preserve">Definition — ZooKeeper.</w:t>
      </w:r>
      <w:r>
        <w:t xml:space="preserve"> </w:t>
      </w:r>
      <w:r>
        <w:t xml:space="preserve">A replicated coordination service that exposes a small, file-system-like tree of data nodes (</w:t>
      </w:r>
      <w:r>
        <w:rPr>
          <w:bCs/>
          <w:b/>
        </w:rPr>
        <w:t xml:space="preserve">znodes</w:t>
      </w:r>
      <w:r>
        <w:t xml:space="preserve">) with linearizable writes, FIFO per-client ordering, ephemeral and sequential nodes, and change notifications (</w:t>
      </w:r>
      <w:r>
        <w:rPr>
          <w:bCs/>
          <w:b/>
        </w:rPr>
        <w:t xml:space="preserve">watches</w:t>
      </w:r>
      <w:r>
        <w:t xml:space="preserve">). Applications build locks, leader election, barriers and configuration management on top of these primitives [Hunt et al. 2010].</w:t>
      </w:r>
    </w:p>
    <w:p>
      <w:pPr>
        <w:pStyle w:val="BodyText"/>
      </w:pPr>
      <w:r>
        <w:t xml:space="preserve">Before ZooKeeper (built at Yahoo!, now an Apache project), each distributed system wrote its own, usually buggy, election and membership code. ZooKeeper deliberately offers no locks; it offers a</w:t>
      </w:r>
      <w:r>
        <w:t xml:space="preserve"> </w:t>
      </w:r>
      <w:r>
        <w:rPr>
          <w:bCs/>
          <w:b/>
        </w:rPr>
        <w:t xml:space="preserve">wait-free</w:t>
      </w:r>
      <w:r>
        <w:t xml:space="preserve"> </w:t>
      </w:r>
      <w:r>
        <w:t xml:space="preserve">API (no operation blocks on another client) from which clients compose</w:t>
      </w:r>
      <w:r>
        <w:t xml:space="preserve"> </w:t>
      </w:r>
      <w:r>
        <w:rPr>
          <w:bCs/>
          <w:b/>
        </w:rPr>
        <w:t xml:space="preserve">recipes</w:t>
      </w:r>
      <w:r>
        <w:t xml:space="preserve">.</w:t>
      </w:r>
    </w:p>
    <w:bookmarkStart w:id="2954" w:name="how-it-works-internally-95"/>
    <w:p>
      <w:pPr>
        <w:pStyle w:val="Heading4"/>
      </w:pPr>
      <w:r>
        <w:t xml:space="preserve">How it works internally</w:t>
      </w:r>
    </w:p>
    <w:p>
      <w:pPr>
        <w:numPr>
          <w:ilvl w:val="0"/>
          <w:numId w:val="1848"/>
        </w:numPr>
        <w:pStyle w:val="Compact"/>
      </w:pPr>
      <w:r>
        <w:rPr>
          <w:bCs/>
          <w:b/>
        </w:rPr>
        <w:t xml:space="preserve">Znodes.</w:t>
      </w:r>
      <w:r>
        <w:t xml:space="preserve"> </w:t>
      </w:r>
      <w:r>
        <w:t xml:space="preserve">Each holds a small blob of data (the default limit is about 1 MB; coordination data should be bytes to kilobytes) plus a version number used for conditional updates (</w:t>
      </w:r>
      <w:r>
        <w:rPr>
          <w:rStyle w:val="VerbatimChar"/>
        </w:rPr>
        <w:t xml:space="preserve">setData(path, data, expectedVersion)</w:t>
      </w:r>
      <w:r>
        <w:t xml:space="preserve">).</w:t>
      </w:r>
    </w:p>
    <w:p>
      <w:pPr>
        <w:numPr>
          <w:ilvl w:val="0"/>
          <w:numId w:val="1848"/>
        </w:numPr>
        <w:pStyle w:val="Compact"/>
      </w:pPr>
      <w:r>
        <w:rPr>
          <w:bCs/>
          <w:b/>
        </w:rPr>
        <w:t xml:space="preserve">Ephemeral znodes</w:t>
      </w:r>
      <w:r>
        <w:t xml:space="preserve"> </w:t>
      </w:r>
      <w:r>
        <w:t xml:space="preserve">exist only while the client</w:t>
      </w:r>
      <w:r>
        <w:t xml:space="preserve"> </w:t>
      </w:r>
      <w:r>
        <w:rPr>
          <w:bCs/>
          <w:b/>
        </w:rPr>
        <w:t xml:space="preserve">session</w:t>
      </w:r>
      <w:r>
        <w:t xml:space="preserve"> </w:t>
      </w:r>
      <w:r>
        <w:t xml:space="preserve">that created them is alive. A session is kept alive by heartbeats; if the server ensemble hears nothing for the session timeout, it expires the session and deletes its ephemeral nodes. This is ZooKeeper’s failure detector.</w:t>
      </w:r>
    </w:p>
    <w:p>
      <w:pPr>
        <w:numPr>
          <w:ilvl w:val="0"/>
          <w:numId w:val="1848"/>
        </w:numPr>
        <w:pStyle w:val="Compact"/>
      </w:pPr>
      <w:r>
        <w:rPr>
          <w:bCs/>
          <w:b/>
        </w:rPr>
        <w:t xml:space="preserve">Sequential znodes</w:t>
      </w:r>
      <w:r>
        <w:t xml:space="preserve"> </w:t>
      </w:r>
      <w:r>
        <w:t xml:space="preserve">get a monotonically increasing 10-digit suffix from their parent, for example</w:t>
      </w:r>
      <w:r>
        <w:t xml:space="preserve"> </w:t>
      </w:r>
      <w:r>
        <w:rPr>
          <w:rStyle w:val="VerbatimChar"/>
        </w:rPr>
        <w:t xml:space="preserve">lock-0000000007</w:t>
      </w:r>
      <w:r>
        <w:t xml:space="preserve">, giving a total order among competing clients.</w:t>
      </w:r>
    </w:p>
    <w:p>
      <w:pPr>
        <w:numPr>
          <w:ilvl w:val="0"/>
          <w:numId w:val="1848"/>
        </w:numPr>
        <w:pStyle w:val="Compact"/>
      </w:pPr>
      <w:r>
        <w:rPr>
          <w:bCs/>
          <w:b/>
        </w:rPr>
        <w:t xml:space="preserve">Watches</w:t>
      </w:r>
      <w:r>
        <w:t xml:space="preserve"> </w:t>
      </w:r>
      <w:r>
        <w:t xml:space="preserve">are one-time triggers set by a read (</w:t>
      </w:r>
      <w:r>
        <w:rPr>
          <w:rStyle w:val="VerbatimChar"/>
        </w:rPr>
        <w:t xml:space="preserve">getData</w:t>
      </w:r>
      <w:r>
        <w:t xml:space="preserve">,</w:t>
      </w:r>
      <w:r>
        <w:t xml:space="preserve"> </w:t>
      </w:r>
      <w:r>
        <w:rPr>
          <w:rStyle w:val="VerbatimChar"/>
        </w:rPr>
        <w:t xml:space="preserve">exists</w:t>
      </w:r>
      <w:r>
        <w:t xml:space="preserve">,</w:t>
      </w:r>
      <w:r>
        <w:t xml:space="preserve"> </w:t>
      </w:r>
      <w:r>
        <w:rPr>
          <w:rStyle w:val="VerbatimChar"/>
        </w:rPr>
        <w:t xml:space="preserve">getChildren</w:t>
      </w:r>
      <w:r>
        <w:t xml:space="preserve">); the server sends one notification when the node changes, and the client must re-read and re-arm. Version 3.6 added persistent and recursive watches.</w:t>
      </w:r>
    </w:p>
    <w:p>
      <w:pPr>
        <w:numPr>
          <w:ilvl w:val="0"/>
          <w:numId w:val="1848"/>
        </w:numPr>
        <w:pStyle w:val="Compact"/>
      </w:pPr>
      <w:r>
        <w:rPr>
          <w:bCs/>
          <w:b/>
        </w:rPr>
        <w:t xml:space="preserve">Ordering guarantees.</w:t>
      </w:r>
      <w:r>
        <w:t xml:space="preserve"> </w:t>
      </w:r>
      <w:r>
        <w:t xml:space="preserve">Writes are linearizable and go through the leader. Reads come from the connected server’s local replica, fast but possibly stale; call</w:t>
      </w:r>
      <w:r>
        <w:t xml:space="preserve"> </w:t>
      </w:r>
      <w:r>
        <w:rPr>
          <w:rStyle w:val="VerbatimChar"/>
        </w:rPr>
        <w:t xml:space="preserve">sync()</w:t>
      </w:r>
      <w:r>
        <w:t xml:space="preserve"> </w:t>
      </w:r>
      <w:r>
        <w:t xml:space="preserve">first to read the latest. Each client’s operations execute in issue order, and a client sees a watch notification before the data that triggered it.</w:t>
      </w:r>
    </w:p>
    <w:p>
      <w:pPr>
        <w:numPr>
          <w:ilvl w:val="0"/>
          <w:numId w:val="1848"/>
        </w:numPr>
        <w:pStyle w:val="Compact"/>
      </w:pPr>
      <w:r>
        <w:rPr>
          <w:bCs/>
          <w:b/>
        </w:rPr>
        <w:t xml:space="preserve">Observers</w:t>
      </w:r>
      <w:r>
        <w:t xml:space="preserve"> </w:t>
      </w:r>
      <w:r>
        <w:t xml:space="preserve">are non-voting servers that receive committed updates and serve reads, adding read capacity without slowing writes.</w:t>
      </w:r>
    </w:p>
    <w:bookmarkEnd w:id="2954"/>
    <w:bookmarkEnd w:id="2955"/>
    <w:bookmarkStart w:id="2956" w:name="zab-zookeeper-atomic-broadcast"/>
    <w:p>
      <w:pPr>
        <w:pStyle w:val="Heading3"/>
      </w:pPr>
      <w:r>
        <w:t xml:space="preserve">26.8.2 ZAB: ZooKeeper Atomic Broadcast</w:t>
      </w:r>
    </w:p>
    <w:p>
      <w:pPr>
        <w:pStyle w:val="FirstParagraph"/>
      </w:pPr>
      <w:r>
        <w:t xml:space="preserve">ZooKeeper replicates its tree with</w:t>
      </w:r>
      <w:r>
        <w:t xml:space="preserve"> </w:t>
      </w:r>
      <w:r>
        <w:rPr>
          <w:bCs/>
          <w:b/>
        </w:rPr>
        <w:t xml:space="preserve">ZAB</w:t>
      </w:r>
      <w:r>
        <w:t xml:space="preserve">, an atomic broadcast protocol designed for primary–backup systems [Junqueira, Reed and Serafini 2011]. Each update is a state change produced by the leader (not the client’s original request), labeled with a 64-bit</w:t>
      </w:r>
      <w:r>
        <w:t xml:space="preserve"> </w:t>
      </w:r>
      <w:r>
        <w:rPr>
          <w:bCs/>
          <w:b/>
        </w:rPr>
        <w:t xml:space="preserve">zxid</w:t>
      </w:r>
      <w:r>
        <w:t xml:space="preserve">: the high 32 bits are the leader’s</w:t>
      </w:r>
      <w:r>
        <w:t xml:space="preserve"> </w:t>
      </w:r>
      <w:r>
        <w:rPr>
          <w:bCs/>
          <w:b/>
        </w:rPr>
        <w:t xml:space="preserve">epoch</w:t>
      </w:r>
      <w:r>
        <w:t xml:space="preserve">, the low 32 bits a counter. In the broadcast phase the leader sends a proposal, followers write it to disk and acknowledge, and the leader commits once a quorum has acknowledged, much like Raft’s AppendEntries. After a leader failure, ZAB runs</w:t>
      </w:r>
      <w:r>
        <w:t xml:space="preserve"> </w:t>
      </w:r>
      <w:r>
        <w:rPr>
          <w:bCs/>
          <w:b/>
        </w:rPr>
        <w:t xml:space="preserve">discovery</w:t>
      </w:r>
      <w:r>
        <w:t xml:space="preserve"> </w:t>
      </w:r>
      <w:r>
        <w:t xml:space="preserve">(the new leader learns the latest epoch and history from a quorum) and</w:t>
      </w:r>
      <w:r>
        <w:t xml:space="preserve"> </w:t>
      </w:r>
      <w:r>
        <w:rPr>
          <w:bCs/>
          <w:b/>
        </w:rPr>
        <w:t xml:space="preserve">synchronization</w:t>
      </w:r>
      <w:r>
        <w:t xml:space="preserve"> </w:t>
      </w:r>
      <w:r>
        <w:t xml:space="preserve">(it brings followers to its history) before broadcasting again. ZAB’s distinguishing guarantee is</w:t>
      </w:r>
      <w:r>
        <w:t xml:space="preserve"> </w:t>
      </w:r>
      <w:r>
        <w:rPr>
          <w:bCs/>
          <w:b/>
        </w:rPr>
        <w:t xml:space="preserve">primary order</w:t>
      </w:r>
      <w:r>
        <w:t xml:space="preserve">: all of a leader’s changes are delivered in order, and a new leader’s changes come after every change from previous leaders that was delivered. ZooKeeper’s paper reports that read-dominated workloads reach tens to hundreds of thousands of operations per second [Hunt et al. 2010].</w:t>
      </w:r>
    </w:p>
    <w:bookmarkEnd w:id="2956"/>
    <w:bookmarkStart w:id="2960" w:name="X6f768fff571ae8d8a12d25483ee19c801e4083f"/>
    <w:p>
      <w:pPr>
        <w:pStyle w:val="Heading3"/>
      </w:pPr>
      <w:r>
        <w:t xml:space="preserve">26.8.3 Recipes: leader election, locks and barriers</w:t>
      </w:r>
    </w:p>
    <w:p>
      <w:pPr>
        <w:pStyle w:val="FirstParagraph"/>
      </w:pPr>
      <w:r>
        <w:rPr>
          <w:bCs/>
          <w:b/>
        </w:rPr>
        <w:t xml:space="preserve">Figure 26.12 — The ZooKeeper lock recipe with sequential ephemeral znodes.</w:t>
      </w:r>
    </w:p>
    <w:p>
      <w:pPr>
        <w:pStyle w:val="BodyText"/>
      </w:pPr>
      <w:r>
        <w:drawing>
          <wp:inline>
            <wp:extent cx="5334000" cy="5516276"/>
            <wp:effectExtent b="0" l="0" r="0" t="0"/>
            <wp:docPr descr="" title="" id="2958" name="Picture"/>
            <a:graphic>
              <a:graphicData uri="http://schemas.openxmlformats.org/drawingml/2006/picture">
                <pic:pic>
                  <pic:nvPicPr>
                    <pic:cNvPr descr="/home/user/System-Design/build/.cache/diagrams/6285db69d39f.png" id="2959" name="Picture"/>
                    <pic:cNvPicPr>
                      <a:picLocks noChangeArrowheads="1" noChangeAspect="1"/>
                    </pic:cNvPicPr>
                  </pic:nvPicPr>
                  <pic:blipFill>
                    <a:blip r:embed="rId2957"/>
                    <a:stretch>
                      <a:fillRect/>
                    </a:stretch>
                  </pic:blipFill>
                  <pic:spPr bwMode="auto">
                    <a:xfrm>
                      <a:off x="0" y="0"/>
                      <a:ext cx="5334000" cy="5516276"/>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Each client creates an ephemeral sequential child of</w:t>
      </w:r>
      <w:r>
        <w:t xml:space="preserve"> </w:t>
      </w:r>
      <w:r>
        <w:rPr>
          <w:rStyle w:val="VerbatimChar"/>
        </w:rPr>
        <w:t xml:space="preserve">/locks/orders</w:t>
      </w:r>
      <w:r>
        <w:t xml:space="preserve"> </w:t>
      </w:r>
      <w:r>
        <w:t xml:space="preserve">(synchronous write through the ZooKeeper leader) and lists the children. A’s node has the lowest number, so A holds the lock. B and C do not poll: each sets a watch (dotted, asynchronous notification) on the node</w:t>
      </w:r>
      <w:r>
        <w:t xml:space="preserve"> </w:t>
      </w:r>
      <w:r>
        <w:rPr>
          <w:iCs/>
          <w:i/>
        </w:rPr>
        <w:t xml:space="preserve">immediately below its own</w:t>
      </w:r>
      <w:r>
        <w:t xml:space="preserve">. When A releases the lock by deleting its node, or A’s session expires and ZooKeeper deletes it, only B is notified; B re-lists the children, sees it is lowest, and proceeds. Watching only the predecessor avoids the</w:t>
      </w:r>
      <w:r>
        <w:t xml:space="preserve"> </w:t>
      </w:r>
      <w:r>
        <w:rPr>
          <w:bCs/>
          <w:b/>
        </w:rPr>
        <w:t xml:space="preserve">herd effect</w:t>
      </w:r>
      <w:r>
        <w:t xml:space="preserve"> </w:t>
      </w:r>
      <w:r>
        <w:t xml:space="preserve">(every waiter waking on every release). The waiter queue lives inside the replicated tree. Failure point: A can be paused past its session timeout and still believe it holds the lock; the node’s creation zxid should be passed to the protected resource as a fencing token (§26.13).</w:t>
      </w:r>
    </w:p>
    <w:p>
      <w:pPr>
        <w:numPr>
          <w:ilvl w:val="0"/>
          <w:numId w:val="1849"/>
        </w:numPr>
        <w:pStyle w:val="Compact"/>
      </w:pPr>
      <w:r>
        <w:rPr>
          <w:bCs/>
          <w:b/>
        </w:rPr>
        <w:t xml:space="preserve">Leader election</w:t>
      </w:r>
      <w:r>
        <w:t xml:space="preserve"> </w:t>
      </w:r>
      <w:r>
        <w:t xml:space="preserve">is the same recipe: the candidate with the lowest sequential node under</w:t>
      </w:r>
      <w:r>
        <w:t xml:space="preserve"> </w:t>
      </w:r>
      <w:r>
        <w:rPr>
          <w:rStyle w:val="VerbatimChar"/>
        </w:rPr>
        <w:t xml:space="preserve">/election</w:t>
      </w:r>
      <w:r>
        <w:t xml:space="preserve"> </w:t>
      </w:r>
      <w:r>
        <w:t xml:space="preserve">is leader, and each other candidate watches its predecessor.</w:t>
      </w:r>
    </w:p>
    <w:p>
      <w:pPr>
        <w:numPr>
          <w:ilvl w:val="0"/>
          <w:numId w:val="1849"/>
        </w:numPr>
        <w:pStyle w:val="Compact"/>
      </w:pPr>
      <w:r>
        <w:rPr>
          <w:bCs/>
          <w:b/>
        </w:rPr>
        <w:t xml:space="preserve">Barrier.</w:t>
      </w:r>
      <w:r>
        <w:t xml:space="preserve"> </w:t>
      </w:r>
      <w:r>
        <w:t xml:space="preserve">Workers wait until a node</w:t>
      </w:r>
      <w:r>
        <w:t xml:space="preserve"> </w:t>
      </w:r>
      <w:r>
        <w:rPr>
          <w:rStyle w:val="VerbatimChar"/>
        </w:rPr>
        <w:t xml:space="preserve">/barrier/ready</w:t>
      </w:r>
      <w:r>
        <w:t xml:space="preserve"> </w:t>
      </w:r>
      <w:r>
        <w:t xml:space="preserve">exists (watch on</w:t>
      </w:r>
      <w:r>
        <w:t xml:space="preserve"> </w:t>
      </w:r>
      <w:r>
        <w:rPr>
          <w:rStyle w:val="VerbatimChar"/>
        </w:rPr>
        <w:t xml:space="preserve">exists</w:t>
      </w:r>
      <w:r>
        <w:t xml:space="preserve">); the coordinator creates it to release everyone. A</w:t>
      </w:r>
      <w:r>
        <w:t xml:space="preserve"> </w:t>
      </w:r>
      <w:r>
        <w:rPr>
          <w:bCs/>
          <w:b/>
        </w:rPr>
        <w:t xml:space="preserve">double barrier</w:t>
      </w:r>
      <w:r>
        <w:t xml:space="preserve"> </w:t>
      </w:r>
      <w:r>
        <w:t xml:space="preserve">has workers register ephemeral children on entry and waits until the count reaches</w:t>
      </w:r>
      <w:r>
        <w:t xml:space="preserve"> </w:t>
      </w:r>
      <m:oMath>
        <m:r>
          <m:t>k</m:t>
        </m:r>
      </m:oMath>
      <w:r>
        <w:t xml:space="preserve">, then waits for all to leave.</w:t>
      </w:r>
    </w:p>
    <w:p>
      <w:pPr>
        <w:numPr>
          <w:ilvl w:val="0"/>
          <w:numId w:val="1849"/>
        </w:numPr>
        <w:pStyle w:val="Compact"/>
      </w:pPr>
      <w:r>
        <w:rPr>
          <w:bCs/>
          <w:b/>
        </w:rPr>
        <w:t xml:space="preserve">Configuration and group membership.</w:t>
      </w:r>
      <w:r>
        <w:t xml:space="preserve"> </w:t>
      </w:r>
      <w:r>
        <w:t xml:space="preserve">Store configuration in a znode and watch it; each live member registers an ephemeral child under</w:t>
      </w:r>
      <w:r>
        <w:t xml:space="preserve"> </w:t>
      </w:r>
      <w:r>
        <w:rPr>
          <w:rStyle w:val="VerbatimChar"/>
        </w:rPr>
        <w:t xml:space="preserve">/members</w:t>
      </w:r>
      <w:r>
        <w:t xml:space="preserve">.</w:t>
      </w:r>
    </w:p>
    <w:p>
      <w:pPr>
        <w:pStyle w:val="CalloutIndustry"/>
      </w:pPr>
      <w:r>
        <w:rPr>
          <w:bCs/>
          <w:b/>
        </w:rPr>
        <w:t xml:space="preserve">INDUSTRY EXAMPLE</w:t>
      </w:r>
    </w:p>
    <w:p>
      <w:pPr>
        <w:pStyle w:val="CalloutIndustry"/>
      </w:pPr>
      <w:r>
        <w:rPr>
          <w:bCs/>
          <w:b/>
        </w:rPr>
        <w:t xml:space="preserve">Apache HBase, Hadoop HDFS and Kafka.</w:t>
      </w:r>
      <w:r>
        <w:t xml:space="preserve"> </w:t>
      </w:r>
      <w:r>
        <w:t xml:space="preserve">HBase uses ZooKeeper to elect its active master and track live region servers; HDFS high availability uses it to elect and fence the active NameNode (§15.5.2). Kafka historically stored cluster metadata and its controller election in ZooKeeper, then replaced it with KRaft, a Raft-based metadata quorum; Kafka 4.0 (2025) removed ZooKeeper mode entirely (Chapter 31). The trend reflects operational cost: running a separate ZooKeeper ensemble alongside every cluster was a frequent source of outages and configuration mistakes.</w:t>
      </w:r>
      <w:r>
        <w:t xml:space="preserve"> </w:t>
      </w:r>
      <w:r>
        <w:rPr>
          <w:iCs/>
          <w:i/>
        </w:rPr>
        <w:t xml:space="preserve">Evidence: Primary</w:t>
      </w:r>
      <w:r>
        <w:t xml:space="preserve"> </w:t>
      </w:r>
      <w:r>
        <w:t xml:space="preserve">— [Apache HBase Reference Guide]; [Apache Kafka KIP-500]</w:t>
      </w:r>
    </w:p>
    <w:bookmarkEnd w:id="2960"/>
    <w:bookmarkEnd w:id="2961"/>
    <w:bookmarkStart w:id="2964" w:name="etcd"/>
    <w:p>
      <w:pPr>
        <w:pStyle w:val="Heading2"/>
      </w:pPr>
      <w:r>
        <w:t xml:space="preserve">26.9 etcd</w:t>
      </w:r>
    </w:p>
    <w:p>
      <w:pPr>
        <w:pStyle w:val="FirstParagraph"/>
      </w:pPr>
      <w:r>
        <w:t xml:space="preserve">etcd is a distributed key–value store replicated with Raft, created at CoreOS and now a Cloud Native Computing Foundation project. It is best known as the database behind Kubernetes [etcd Docs].</w:t>
      </w:r>
    </w:p>
    <w:bookmarkStart w:id="2962" w:name="X86214960b7d9321532afe2656eebb4ec525781f"/>
    <w:p>
      <w:pPr>
        <w:pStyle w:val="Heading3"/>
      </w:pPr>
      <w:r>
        <w:t xml:space="preserve">26.9.1 Data model: revisions, watches, leases and transactions</w:t>
      </w:r>
    </w:p>
    <w:p>
      <w:pPr>
        <w:numPr>
          <w:ilvl w:val="0"/>
          <w:numId w:val="1850"/>
        </w:numPr>
        <w:pStyle w:val="Compact"/>
      </w:pPr>
      <w:r>
        <w:rPr>
          <w:bCs/>
          <w:b/>
        </w:rPr>
        <w:t xml:space="preserve">Flat, ordered key space.</w:t>
      </w:r>
      <w:r>
        <w:t xml:space="preserve"> </w:t>
      </w:r>
      <w:r>
        <w:t xml:space="preserve">Keys are byte strings; range queries over prefixes replace ZooKeeper’s tree.</w:t>
      </w:r>
    </w:p>
    <w:p>
      <w:pPr>
        <w:numPr>
          <w:ilvl w:val="0"/>
          <w:numId w:val="1850"/>
        </w:numPr>
        <w:pStyle w:val="Compact"/>
      </w:pPr>
      <w:r>
        <w:rPr>
          <w:bCs/>
          <w:b/>
        </w:rPr>
        <w:t xml:space="preserve">MVCC and revisions.</w:t>
      </w:r>
      <w:r>
        <w:t xml:space="preserve"> </w:t>
      </w:r>
      <w:r>
        <w:t xml:space="preserve">The store keeps a single cluster-wide</w:t>
      </w:r>
      <w:r>
        <w:t xml:space="preserve"> </w:t>
      </w:r>
      <w:r>
        <w:rPr>
          <w:bCs/>
          <w:b/>
        </w:rPr>
        <w:t xml:space="preserve">revision</w:t>
      </w:r>
      <w:r>
        <w:t xml:space="preserve"> </w:t>
      </w:r>
      <w:r>
        <w:t xml:space="preserve">counter that increases with every modification. Each key records</w:t>
      </w:r>
      <w:r>
        <w:t xml:space="preserve"> </w:t>
      </w:r>
      <w:r>
        <w:rPr>
          <w:rStyle w:val="VerbatimChar"/>
        </w:rPr>
        <w:t xml:space="preserve">create_revision</w:t>
      </w:r>
      <w:r>
        <w:t xml:space="preserve">,</w:t>
      </w:r>
      <w:r>
        <w:t xml:space="preserve"> </w:t>
      </w:r>
      <w:r>
        <w:rPr>
          <w:rStyle w:val="VerbatimChar"/>
        </w:rPr>
        <w:t xml:space="preserve">mod_revision</w:t>
      </w:r>
      <w:r>
        <w:t xml:space="preserve"> </w:t>
      </w:r>
      <w:r>
        <w:t xml:space="preserve">and</w:t>
      </w:r>
      <w:r>
        <w:t xml:space="preserve"> </w:t>
      </w:r>
      <w:r>
        <w:rPr>
          <w:rStyle w:val="VerbatimChar"/>
        </w:rPr>
        <w:t xml:space="preserve">version</w:t>
      </w:r>
      <w:r>
        <w:t xml:space="preserve">. You can read any key</w:t>
      </w:r>
      <w:r>
        <w:t xml:space="preserve"> </w:t>
      </w:r>
      <w:r>
        <w:t xml:space="preserve">“</w:t>
      </w:r>
      <w:r>
        <w:t xml:space="preserve">as of</w:t>
      </w:r>
      <w:r>
        <w:t xml:space="preserve">”</w:t>
      </w:r>
      <w:r>
        <w:t xml:space="preserve"> </w:t>
      </w:r>
      <w:r>
        <w:t xml:space="preserve">an older revision until</w:t>
      </w:r>
      <w:r>
        <w:t xml:space="preserve"> </w:t>
      </w:r>
      <w:r>
        <w:rPr>
          <w:bCs/>
          <w:b/>
        </w:rPr>
        <w:t xml:space="preserve">compaction</w:t>
      </w:r>
      <w:r>
        <w:t xml:space="preserve"> </w:t>
      </w:r>
      <w:r>
        <w:t xml:space="preserve">removes history older than a chosen revision.</w:t>
      </w:r>
    </w:p>
    <w:p>
      <w:pPr>
        <w:numPr>
          <w:ilvl w:val="0"/>
          <w:numId w:val="1850"/>
        </w:numPr>
        <w:pStyle w:val="Compact"/>
      </w:pPr>
      <w:r>
        <w:rPr>
          <w:bCs/>
          <w:b/>
        </w:rPr>
        <w:t xml:space="preserve">Watches</w:t>
      </w:r>
      <w:r>
        <w:t xml:space="preserve"> </w:t>
      </w:r>
      <w:r>
        <w:t xml:space="preserve">start from a revision and stream every subsequent change, so a client that reconnects at revision</w:t>
      </w:r>
      <w:r>
        <w:t xml:space="preserve"> </w:t>
      </w:r>
      <m:oMath>
        <m:r>
          <m:t>r</m:t>
        </m:r>
      </m:oMath>
      <w:r>
        <w:t xml:space="preserve"> </w:t>
      </w:r>
      <w:r>
        <w:t xml:space="preserve">misses nothing (unless</w:t>
      </w:r>
      <w:r>
        <w:t xml:space="preserve"> </w:t>
      </w:r>
      <m:oMath>
        <m:r>
          <m:t>r</m:t>
        </m:r>
      </m:oMath>
      <w:r>
        <w:t xml:space="preserve"> </w:t>
      </w:r>
      <w:r>
        <w:t xml:space="preserve">was compacted). This fixes ZooKeeper’s classic one-shot watch gap.</w:t>
      </w:r>
    </w:p>
    <w:p>
      <w:pPr>
        <w:numPr>
          <w:ilvl w:val="0"/>
          <w:numId w:val="1850"/>
        </w:numPr>
        <w:pStyle w:val="Compact"/>
      </w:pPr>
      <w:r>
        <w:rPr>
          <w:bCs/>
          <w:b/>
        </w:rPr>
        <w:t xml:space="preserve">Leases.</w:t>
      </w:r>
      <w:r>
        <w:t xml:space="preserve"> </w:t>
      </w:r>
      <w:r>
        <w:t xml:space="preserve">A lease has a TTL; keys can be attached to it; the client renews with</w:t>
      </w:r>
      <w:r>
        <w:t xml:space="preserve"> </w:t>
      </w:r>
      <w:r>
        <w:rPr>
          <w:rStyle w:val="VerbatimChar"/>
        </w:rPr>
        <w:t xml:space="preserve">LeaseKeepAlive</w:t>
      </w:r>
      <w:r>
        <w:t xml:space="preserve">. When the lease expires, all its keys are deleted, the equivalent of ephemeral znodes.</w:t>
      </w:r>
    </w:p>
    <w:p>
      <w:pPr>
        <w:numPr>
          <w:ilvl w:val="0"/>
          <w:numId w:val="1850"/>
        </w:numPr>
        <w:pStyle w:val="Compact"/>
      </w:pPr>
      <w:r>
        <w:rPr>
          <w:bCs/>
          <w:b/>
        </w:rPr>
        <w:t xml:space="preserve">Transactions.</w:t>
      </w:r>
      <w:r>
        <w:t xml:space="preserve"> </w:t>
      </w:r>
      <w:r>
        <w:rPr>
          <w:rStyle w:val="VerbatimChar"/>
        </w:rPr>
        <w:t xml:space="preserve">Txn(If compare..., Then ops..., Else ops...)</w:t>
      </w:r>
      <w:r>
        <w:t xml:space="preserve"> </w:t>
      </w:r>
      <w:r>
        <w:t xml:space="preserve">executes atomically, enabling compare-and-swap on a key’s value, version or revision.</w:t>
      </w:r>
    </w:p>
    <w:p>
      <w:pPr>
        <w:numPr>
          <w:ilvl w:val="0"/>
          <w:numId w:val="1850"/>
        </w:numPr>
        <w:pStyle w:val="Compact"/>
      </w:pPr>
      <w:r>
        <w:rPr>
          <w:bCs/>
          <w:b/>
        </w:rPr>
        <w:t xml:space="preserve">Consistency.</w:t>
      </w:r>
      <w:r>
        <w:t xml:space="preserve"> </w:t>
      </w:r>
      <w:r>
        <w:t xml:space="preserve">Writes are linearizable through Raft; reads are linearizable by default (ReadIndex, §26.7.10) or serializable on request.</w:t>
      </w:r>
    </w:p>
    <w:p>
      <w:pPr>
        <w:pStyle w:val="FirstParagraph"/>
      </w:pPr>
      <w:r>
        <w:t xml:space="preserve">The</w:t>
      </w:r>
      <w:r>
        <w:t xml:space="preserve"> </w:t>
      </w:r>
      <w:r>
        <w:rPr>
          <w:rStyle w:val="VerbatimChar"/>
        </w:rPr>
        <w:t xml:space="preserve">concurrency</w:t>
      </w:r>
      <w:r>
        <w:t xml:space="preserve"> </w:t>
      </w:r>
      <w:r>
        <w:t xml:space="preserve">package of the Go client implements election and mutexes from these primitives: each contender writes a key under a common prefix attached to its lease, and the contender whose key has the lowest</w:t>
      </w:r>
      <w:r>
        <w:t xml:space="preserve"> </w:t>
      </w:r>
      <w:r>
        <w:rPr>
          <w:rStyle w:val="VerbatimChar"/>
        </w:rPr>
        <w:t xml:space="preserve">create_revision</w:t>
      </w:r>
      <w:r>
        <w:t xml:space="preserve"> </w:t>
      </w:r>
      <w:r>
        <w:t xml:space="preserve">holds the lock; the others watch the key just before theirs, mirroring Figure 26.12. That revision is a natural fencing token.</w:t>
      </w:r>
    </w:p>
    <w:bookmarkEnd w:id="2962"/>
    <w:bookmarkStart w:id="2963" w:name="etcd-in-kubernetes"/>
    <w:p>
      <w:pPr>
        <w:pStyle w:val="Heading3"/>
      </w:pPr>
      <w:r>
        <w:t xml:space="preserve">26.9.2 etcd in Kubernetes</w:t>
      </w:r>
    </w:p>
    <w:p>
      <w:pPr>
        <w:pStyle w:val="FirstParagraph"/>
      </w:pPr>
      <w:r>
        <w:t xml:space="preserve">The Kubernetes API server is etcd’s only client. Objects live under keys such as</w:t>
      </w:r>
      <w:r>
        <w:t xml:space="preserve"> </w:t>
      </w:r>
      <w:r>
        <w:rPr>
          <w:rStyle w:val="VerbatimChar"/>
        </w:rPr>
        <w:t xml:space="preserve">/registry/pods/&lt;namespace&gt;/&lt;name&gt;</w:t>
      </w:r>
      <w:r>
        <w:t xml:space="preserve">,</w:t>
      </w:r>
      <w:r>
        <w:t xml:space="preserve"> </w:t>
      </w:r>
      <w:r>
        <w:rPr>
          <w:rStyle w:val="VerbatimChar"/>
        </w:rPr>
        <w:t xml:space="preserve">resourceVersion</w:t>
      </w:r>
      <w:r>
        <w:t xml:space="preserve"> </w:t>
      </w:r>
      <w:r>
        <w:t xml:space="preserve">derives from etcd’s revision, and every controller’s</w:t>
      </w:r>
      <w:r>
        <w:t xml:space="preserve"> </w:t>
      </w:r>
      <w:r>
        <w:rPr>
          <w:bCs/>
          <w:b/>
        </w:rPr>
        <w:t xml:space="preserve">watch</w:t>
      </w:r>
      <w:r>
        <w:t xml:space="preserve"> </w:t>
      </w:r>
      <w:r>
        <w:t xml:space="preserve">is an etcd watch multiplexed by the API server. etcd’s health defines the control plane’s; Kubernetes documentation recommends running an odd number of members (typically 3 or 5) on dedicated, low-latency disks [Kubernetes Docs: etcd]. The default storage quota is 2 GB; keeping the dataset small (compaction, defragmentation, no large blobs) is a standing task.</w:t>
      </w:r>
    </w:p>
    <w:p>
      <w:pPr>
        <w:pStyle w:val="CalloutIndustry"/>
      </w:pPr>
      <w:r>
        <w:rPr>
          <w:bCs/>
          <w:b/>
        </w:rPr>
        <w:t xml:space="preserve">INDUSTRY EXAMPLE</w:t>
      </w:r>
    </w:p>
    <w:p>
      <w:pPr>
        <w:pStyle w:val="CalloutIndustry"/>
      </w:pPr>
      <w:r>
        <w:rPr>
          <w:bCs/>
          <w:b/>
        </w:rPr>
        <w:t xml:space="preserve">Kubernetes controller leader election.</w:t>
      </w:r>
      <w:r>
        <w:t xml:space="preserve"> </w:t>
      </w:r>
      <w:r>
        <w:t xml:space="preserve">Only one replica of</w:t>
      </w:r>
      <w:r>
        <w:t xml:space="preserve"> </w:t>
      </w:r>
      <w:r>
        <w:rPr>
          <w:rStyle w:val="VerbatimChar"/>
        </w:rPr>
        <w:t xml:space="preserve">kube-controller-manager</w:t>
      </w:r>
      <w:r>
        <w:t xml:space="preserve"> </w:t>
      </w:r>
      <w:r>
        <w:t xml:space="preserve">or</w:t>
      </w:r>
      <w:r>
        <w:t xml:space="preserve"> </w:t>
      </w:r>
      <w:r>
        <w:rPr>
          <w:rStyle w:val="VerbatimChar"/>
        </w:rPr>
        <w:t xml:space="preserve">kube-scheduler</w:t>
      </w:r>
      <w:r>
        <w:t xml:space="preserve"> </w:t>
      </w:r>
      <w:r>
        <w:t xml:space="preserve">acts at a time. Rather than etcd leases, they compete to update a</w:t>
      </w:r>
      <w:r>
        <w:t xml:space="preserve"> </w:t>
      </w:r>
      <w:r>
        <w:rPr>
          <w:rStyle w:val="VerbatimChar"/>
        </w:rPr>
        <w:t xml:space="preserve">coordination.k8s.io</w:t>
      </w:r>
      <w:r>
        <w:t xml:space="preserve"> </w:t>
      </w:r>
      <w:r>
        <w:rPr>
          <w:rStyle w:val="VerbatimChar"/>
        </w:rPr>
        <w:t xml:space="preserve">Lease</w:t>
      </w:r>
      <w:r>
        <w:t xml:space="preserve"> </w:t>
      </w:r>
      <w:r>
        <w:t xml:space="preserve">object through the API server, with optimistic concurrency on</w:t>
      </w:r>
      <w:r>
        <w:t xml:space="preserve"> </w:t>
      </w:r>
      <w:r>
        <w:rPr>
          <w:rStyle w:val="VerbatimChar"/>
        </w:rPr>
        <w:t xml:space="preserve">resourceVersion</w:t>
      </w:r>
      <w:r>
        <w:t xml:space="preserve">. The defaults are a 15 s lease duration, a 10 s renew deadline and a 2 s retry period, so a crashed leader is replaced in roughly 15–17 s. Trade-off: this is coarse failover, chosen to avoid churn, and it relies on clocks running at similar rates.</w:t>
      </w:r>
      <w:r>
        <w:t xml:space="preserve"> </w:t>
      </w:r>
      <w:r>
        <w:rPr>
          <w:iCs/>
          <w:i/>
        </w:rPr>
        <w:t xml:space="preserve">Evidence: Primary</w:t>
      </w:r>
      <w:r>
        <w:t xml:space="preserve"> </w:t>
      </w:r>
      <w:r>
        <w:t xml:space="preserve">— [Kubernetes Docs: Leases]; [Kubernetes Docs: kube-controller-manager]</w:t>
      </w:r>
    </w:p>
    <w:bookmarkEnd w:id="2963"/>
    <w:bookmarkEnd w:id="2964"/>
    <w:bookmarkStart w:id="2967" w:name="distributed-locks"/>
    <w:p>
      <w:pPr>
        <w:pStyle w:val="Heading2"/>
      </w:pPr>
      <w:r>
        <w:t xml:space="preserve">26.10 Distributed locks</w:t>
      </w:r>
    </w:p>
    <w:bookmarkStart w:id="2965" w:name="why-distributed-locks-are-hard"/>
    <w:p>
      <w:pPr>
        <w:pStyle w:val="Heading3"/>
      </w:pPr>
      <w:r>
        <w:t xml:space="preserve">26.10.1 Why distributed locks are hard</w:t>
      </w:r>
    </w:p>
    <w:p>
      <w:pPr>
        <w:pStyle w:val="FirstParagraph"/>
      </w:pPr>
      <w:r>
        <w:t xml:space="preserve">A single-process lock is simple because the kernel sees every thread. A distributed lock has no such comfort:</w:t>
      </w:r>
    </w:p>
    <w:p>
      <w:pPr>
        <w:numPr>
          <w:ilvl w:val="0"/>
          <w:numId w:val="1851"/>
        </w:numPr>
        <w:pStyle w:val="Compact"/>
      </w:pPr>
      <w:r>
        <w:rPr>
          <w:bCs/>
          <w:b/>
        </w:rPr>
        <w:t xml:space="preserve">The holder can fail silently.</w:t>
      </w:r>
      <w:r>
        <w:t xml:space="preserve"> </w:t>
      </w:r>
      <w:r>
        <w:t xml:space="preserve">So locks need an expiry (a lease), or a crashed client holds the lock forever.</w:t>
      </w:r>
    </w:p>
    <w:p>
      <w:pPr>
        <w:numPr>
          <w:ilvl w:val="0"/>
          <w:numId w:val="1851"/>
        </w:numPr>
        <w:pStyle w:val="Compact"/>
      </w:pPr>
      <w:r>
        <w:rPr>
          <w:bCs/>
          <w:b/>
        </w:rPr>
        <w:t xml:space="preserve">Expiry means the holder can lose the lock without knowing.</w:t>
      </w:r>
      <w:r>
        <w:t xml:space="preserve"> </w:t>
      </w:r>
      <w:r>
        <w:t xml:space="preserve">A process paused for 20 s (garbage collection, VM migration, page faults on a swapped heap, a</w:t>
      </w:r>
      <w:r>
        <w:t xml:space="preserve"> </w:t>
      </w:r>
      <w:r>
        <w:rPr>
          <w:rStyle w:val="VerbatimChar"/>
        </w:rPr>
        <w:t xml:space="preserve">SIGSTOP</w:t>
      </w:r>
      <w:r>
        <w:t xml:space="preserve">) resumes believing it still holds a lock that expired 10 s ago.</w:t>
      </w:r>
    </w:p>
    <w:p>
      <w:pPr>
        <w:numPr>
          <w:ilvl w:val="0"/>
          <w:numId w:val="1851"/>
        </w:numPr>
        <w:pStyle w:val="Compact"/>
      </w:pPr>
      <w:r>
        <w:rPr>
          <w:bCs/>
          <w:b/>
        </w:rPr>
        <w:t xml:space="preserve">Messages are delayed.</w:t>
      </w:r>
      <w:r>
        <w:t xml:space="preserve"> </w:t>
      </w:r>
      <w:r>
        <w:t xml:space="preserve">A write sent while holding the lock can arrive at the storage system after the lock has passed to someone else.</w:t>
      </w:r>
    </w:p>
    <w:p>
      <w:pPr>
        <w:pStyle w:val="FirstParagraph"/>
      </w:pPr>
      <w:r>
        <w:t xml:space="preserve">Kleppmann distinguishes two purposes [Kleppmann 2016]. An</w:t>
      </w:r>
      <w:r>
        <w:t xml:space="preserve"> </w:t>
      </w:r>
      <w:r>
        <w:rPr>
          <w:bCs/>
          <w:b/>
        </w:rPr>
        <w:t xml:space="preserve">efficiency lock</w:t>
      </w:r>
      <w:r>
        <w:t xml:space="preserve"> </w:t>
      </w:r>
      <w:r>
        <w:t xml:space="preserve">prevents duplicate work (two workers computing the same report); an occasional double holder costs some wasted CPU. A</w:t>
      </w:r>
      <w:r>
        <w:t xml:space="preserve"> </w:t>
      </w:r>
      <w:r>
        <w:rPr>
          <w:bCs/>
          <w:b/>
        </w:rPr>
        <w:t xml:space="preserve">correctness lock</w:t>
      </w:r>
      <w:r>
        <w:t xml:space="preserve"> </w:t>
      </w:r>
      <w:r>
        <w:t xml:space="preserve">protects an invariant (two writers corrupting one file); a double holder causes data loss. The right design depends on which you have.</w:t>
      </w:r>
    </w:p>
    <w:bookmarkEnd w:id="2965"/>
    <w:bookmarkStart w:id="2966" w:name="the-redlock-debate"/>
    <w:p>
      <w:pPr>
        <w:pStyle w:val="Heading3"/>
      </w:pPr>
      <w:r>
        <w:t xml:space="preserve">26.10.2 The Redlock debate</w:t>
      </w:r>
    </w:p>
    <w:p>
      <w:pPr>
        <w:pStyle w:val="FirstParagraph"/>
      </w:pPr>
      <w:r>
        <w:t xml:space="preserve">The Redis documentation describes</w:t>
      </w:r>
      <w:r>
        <w:t xml:space="preserve"> </w:t>
      </w:r>
      <w:r>
        <w:rPr>
          <w:bCs/>
          <w:b/>
        </w:rPr>
        <w:t xml:space="preserve">Redlock</w:t>
      </w:r>
      <w:r>
        <w:t xml:space="preserve">, an algorithm for a lock across</w:t>
      </w:r>
      <w:r>
        <w:t xml:space="preserve"> </w:t>
      </w:r>
      <m:oMath>
        <m:r>
          <m:t>N</m:t>
        </m:r>
      </m:oMath>
      <w:r>
        <w:t xml:space="preserve"> </w:t>
      </w:r>
      <w:r>
        <w:t xml:space="preserve">independent Redis primaries (typically 5) with no replication between them [Redis Docs: Distributed Locks]:</w:t>
      </w:r>
    </w:p>
    <w:p>
      <w:pPr>
        <w:numPr>
          <w:ilvl w:val="0"/>
          <w:numId w:val="1852"/>
        </w:numPr>
        <w:pStyle w:val="Compact"/>
      </w:pPr>
      <w:r>
        <w:t xml:space="preserve">Record the current time. Try to acquire the lock on each instance in turn with</w:t>
      </w:r>
      <w:r>
        <w:t xml:space="preserve"> </w:t>
      </w:r>
      <w:r>
        <w:rPr>
          <w:rStyle w:val="VerbatimChar"/>
        </w:rPr>
        <w:t xml:space="preserve">SET resource random_value NX PX ttl</w:t>
      </w:r>
      <w:r>
        <w:t xml:space="preserve"> </w:t>
      </w:r>
      <w:r>
        <w:t xml:space="preserve">and a short per-instance timeout.</w:t>
      </w:r>
    </w:p>
    <w:p>
      <w:pPr>
        <w:numPr>
          <w:ilvl w:val="0"/>
          <w:numId w:val="1852"/>
        </w:numPr>
        <w:pStyle w:val="Compact"/>
      </w:pPr>
      <w:r>
        <w:t xml:space="preserve">The lock is acquired if a majority (3 of 5) succeeded and the total elapsed time is less than the TTL. The remaining</w:t>
      </w:r>
      <w:r>
        <w:t xml:space="preserve"> </w:t>
      </w:r>
      <w:r>
        <w:rPr>
          <w:bCs/>
          <w:b/>
        </w:rPr>
        <w:t xml:space="preserve">validity time</w:t>
      </w:r>
      <w:r>
        <w:t xml:space="preserve"> </w:t>
      </w:r>
      <w:r>
        <w:t xml:space="preserve">is the TTL minus the elapsed time minus an allowance for clock drift.</w:t>
      </w:r>
    </w:p>
    <w:p>
      <w:pPr>
        <w:numPr>
          <w:ilvl w:val="0"/>
          <w:numId w:val="1852"/>
        </w:numPr>
        <w:pStyle w:val="Compact"/>
      </w:pPr>
      <w:r>
        <w:t xml:space="preserve">Otherwise, release on all instances (a script deletes the key only if it still holds</w:t>
      </w:r>
      <w:r>
        <w:t xml:space="preserve"> </w:t>
      </w:r>
      <w:r>
        <w:rPr>
          <w:rStyle w:val="VerbatimChar"/>
        </w:rPr>
        <w:t xml:space="preserve">random_value</w:t>
      </w:r>
      <w:r>
        <w:t xml:space="preserve">) and retry after a random delay.</w:t>
      </w:r>
    </w:p>
    <w:p>
      <w:pPr>
        <w:pStyle w:val="FirstParagraph"/>
      </w:pPr>
      <w:r>
        <w:t xml:space="preserve">In 2016 Martin Kleppmann published</w:t>
      </w:r>
      <w:r>
        <w:t xml:space="preserve"> </w:t>
      </w:r>
      <w:r>
        <w:t xml:space="preserve">“</w:t>
      </w:r>
      <w:r>
        <w:t xml:space="preserve">How to do distributed locking,</w:t>
      </w:r>
      <w:r>
        <w:t xml:space="preserve">”</w:t>
      </w:r>
      <w:r>
        <w:t xml:space="preserve"> </w:t>
      </w:r>
      <w:r>
        <w:t xml:space="preserve">arguing that Redlock is unsuitable for correctness locks [Kleppmann 2016]. Salvatore Sanfilippo (antirez), Redis’s creator, replied in</w:t>
      </w:r>
      <w:r>
        <w:t xml:space="preserve"> </w:t>
      </w:r>
      <w:r>
        <w:t xml:space="preserve">“</w:t>
      </w:r>
      <w:r>
        <w:t xml:space="preserve">Is Redlock safe?</w:t>
      </w:r>
      <w:r>
        <w:t xml:space="preserve">”</w:t>
      </w:r>
      <w:r>
        <w:t xml:space="preserve"> </w:t>
      </w:r>
      <w:r>
        <w:t xml:space="preserve">[Sanfilippo 2016]. The debate is a good model of how to reason about timing assumptions, so both sides are summarized here.</w:t>
      </w:r>
    </w:p>
    <w:p>
      <w:pPr>
        <w:pStyle w:val="BodyText"/>
      </w:pPr>
      <w:r>
        <w:rPr>
          <w:bCs/>
          <w:b/>
        </w:rPr>
        <w:t xml:space="preserve">Table 26.4 — The Redlock debate in brief.</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Issue</w:t>
            </w:r>
          </w:p>
        </w:tc>
        <w:tc>
          <w:tcPr/>
          <w:p>
            <w:pPr>
              <w:pStyle w:val="Compact"/>
              <w:jc w:val="left"/>
            </w:pPr>
            <w:r>
              <w:t xml:space="preserve">Kleppmann’s argument</w:t>
            </w:r>
          </w:p>
        </w:tc>
        <w:tc>
          <w:tcPr/>
          <w:p>
            <w:pPr>
              <w:pStyle w:val="Compact"/>
              <w:jc w:val="left"/>
            </w:pPr>
            <w:r>
              <w:t xml:space="preserve">antirez’s reply</w:t>
            </w:r>
          </w:p>
        </w:tc>
      </w:tr>
      <w:tr>
        <w:tc>
          <w:tcPr/>
          <w:p>
            <w:pPr>
              <w:pStyle w:val="Compact"/>
              <w:jc w:val="left"/>
            </w:pPr>
            <w:r>
              <w:t xml:space="preserve">Paused or delayed clients</w:t>
            </w:r>
          </w:p>
        </w:tc>
        <w:tc>
          <w:tcPr/>
          <w:p>
            <w:pPr>
              <w:pStyle w:val="Compact"/>
              <w:jc w:val="left"/>
            </w:pPr>
            <w:r>
              <w:t xml:space="preserve">Any lease-based lock can expire while the holder is paused; Redlock offers no</w:t>
            </w:r>
            <w:r>
              <w:t xml:space="preserve"> </w:t>
            </w:r>
            <w:r>
              <w:rPr>
                <w:bCs/>
                <w:b/>
              </w:rPr>
              <w:t xml:space="preserve">fencing token</w:t>
            </w:r>
            <w:r>
              <w:t xml:space="preserve"> </w:t>
            </w:r>
            <w:r>
              <w:t xml:space="preserve">(the random value is not monotonic), so storage cannot reject the stale holder</w:t>
            </w:r>
          </w:p>
        </w:tc>
        <w:tc>
          <w:tcPr/>
          <w:p>
            <w:pPr>
              <w:pStyle w:val="Compact"/>
              <w:jc w:val="left"/>
            </w:pPr>
            <w:r>
              <w:t xml:space="preserve">This affects every lock with auto-release; Redlock checks elapsed time after acquisition, and the unique random value can be used for check-and-set at the resource</w:t>
            </w:r>
          </w:p>
        </w:tc>
      </w:tr>
      <w:tr>
        <w:tc>
          <w:tcPr/>
          <w:p>
            <w:pPr>
              <w:pStyle w:val="Compact"/>
              <w:jc w:val="left"/>
            </w:pPr>
            <w:r>
              <w:t xml:space="preserve">Timing assumptions</w:t>
            </w:r>
          </w:p>
        </w:tc>
        <w:tc>
          <w:tcPr/>
          <w:p>
            <w:pPr>
              <w:pStyle w:val="Compact"/>
              <w:jc w:val="left"/>
            </w:pPr>
            <w:r>
              <w:t xml:space="preserve">Safety depends on bounded network delay, bounded pauses and bounded clock drift; a clock jump on one instance (for example, an NTP step) can let two clients hold a majority</w:t>
            </w:r>
          </w:p>
        </w:tc>
        <w:tc>
          <w:tcPr/>
          <w:p>
            <w:pPr>
              <w:pStyle w:val="Compact"/>
              <w:jc w:val="left"/>
            </w:pPr>
            <w:r>
              <w:t xml:space="preserve">Redlock needs bounded clock</w:t>
            </w:r>
            <w:r>
              <w:t xml:space="preserve"> </w:t>
            </w:r>
            <w:r>
              <w:rPr>
                <w:iCs/>
                <w:i/>
              </w:rPr>
              <w:t xml:space="preserve">rate</w:t>
            </w:r>
            <w:r>
              <w:t xml:space="preserve"> </w:t>
            </w:r>
            <w:r>
              <w:t xml:space="preserve">error, not synchronized clocks; operators should configure time sync to slew, not step</w:t>
            </w:r>
          </w:p>
        </w:tc>
      </w:tr>
      <w:tr>
        <w:tc>
          <w:tcPr/>
          <w:p>
            <w:pPr>
              <w:pStyle w:val="Compact"/>
              <w:jc w:val="left"/>
            </w:pPr>
            <w:r>
              <w:t xml:space="preserve">What to use instead</w:t>
            </w:r>
          </w:p>
        </w:tc>
        <w:tc>
          <w:tcPr/>
          <w:p>
            <w:pPr>
              <w:pStyle w:val="Compact"/>
              <w:jc w:val="left"/>
            </w:pPr>
            <w:r>
              <w:t xml:space="preserve">For efficiency, a single Redis node is enough; for correctness, use a consensus system (ZooKeeper, etcd)</w:t>
            </w:r>
            <w:r>
              <w:t xml:space="preserve"> </w:t>
            </w:r>
            <w:r>
              <w:rPr>
                <w:bCs/>
                <w:b/>
              </w:rPr>
              <w:t xml:space="preserve">with fencing tokens</w:t>
            </w:r>
          </w:p>
        </w:tc>
        <w:tc>
          <w:tcPr/>
          <w:p>
            <w:pPr>
              <w:pStyle w:val="Compact"/>
              <w:jc w:val="left"/>
            </w:pPr>
            <w:r>
              <w:t xml:space="preserve">If the resource can check tokens, it is already a linearizable store; Redlock with its assumptions is adequate for many uses</w:t>
            </w:r>
          </w:p>
        </w:tc>
      </w:tr>
    </w:tbl>
    <w:p>
      <w:pPr>
        <w:pStyle w:val="BodyText"/>
      </w:pPr>
      <w:r>
        <w:t xml:space="preserve">A fair reading: both agree an auto-expiring lock cannot alone protect a resource from a paused holder; they disagree about how realistic the timing failures are. Redlock is reasonable as an efficiency lock, though one Redis instance is simpler. For correctness, use a consensus-backed lock and pass a monotonic token to the resource, or make the resource itself the arbiter (a conditional write such as compare-and-set on a version).</w:t>
      </w:r>
    </w:p>
    <w:p>
      <w:pPr>
        <w:pStyle w:val="CalloutRecommendation"/>
      </w:pPr>
      <w:r>
        <w:rPr>
          <w:bCs/>
          <w:b/>
        </w:rPr>
        <w:t xml:space="preserve">RECOMMENDATION</w:t>
      </w:r>
    </w:p>
    <w:p>
      <w:pPr>
        <w:pStyle w:val="CalloutRecommendation"/>
      </w:pPr>
      <w:r>
        <w:rPr>
          <w:bCs/>
          <w:b/>
        </w:rPr>
        <w:t xml:space="preserve">Recommendation — Choosing a lock.</w:t>
      </w:r>
      <w:r>
        <w:t xml:space="preserve"> </w:t>
      </w:r>
      <w:r>
        <w:t xml:space="preserve">(1) Can you avoid the lock? An idempotent operation, a conditional write or a single-writer partition (§14.6) is usually better. (2) If you need a lock for efficiency, a single Redis</w:t>
      </w:r>
      <w:r>
        <w:t xml:space="preserve"> </w:t>
      </w:r>
      <w:r>
        <w:rPr>
          <w:rStyle w:val="VerbatimChar"/>
        </w:rPr>
        <w:t xml:space="preserve">SET NX PX</w:t>
      </w:r>
      <w:r>
        <w:t xml:space="preserve"> </w:t>
      </w:r>
      <w:r>
        <w:t xml:space="preserve">with a sensible TTL is fine. (3) If you need it for correctness, use etcd, ZooKeeper or Consul, and make the protected resource check a fencing token (§26.13). (4) Never hold a lock across an unbounded operation without renewing it and checking validity before each side effect.</w:t>
      </w:r>
    </w:p>
    <w:bookmarkEnd w:id="2966"/>
    <w:bookmarkEnd w:id="2967"/>
    <w:bookmarkStart w:id="2971" w:name="leases"/>
    <w:p>
      <w:pPr>
        <w:pStyle w:val="Heading2"/>
      </w:pPr>
      <w:r>
        <w:t xml:space="preserve">26.11 Leases</w:t>
      </w:r>
    </w:p>
    <w:bookmarkStart w:id="2970" w:name="leases-and-clocks"/>
    <w:p>
      <w:pPr>
        <w:pStyle w:val="Heading3"/>
      </w:pPr>
      <w:r>
        <w:t xml:space="preserve">26.11.1 Leases and clocks</w:t>
      </w:r>
    </w:p>
    <w:p>
      <w:pPr>
        <w:pStyle w:val="CalloutDefinition"/>
      </w:pPr>
      <w:r>
        <w:rPr>
          <w:bCs/>
          <w:b/>
        </w:rPr>
        <w:t xml:space="preserve">DEFINITION</w:t>
      </w:r>
    </w:p>
    <w:p>
      <w:pPr>
        <w:pStyle w:val="CalloutDefinition"/>
      </w:pPr>
      <w:r>
        <w:rPr>
          <w:bCs/>
          <w:b/>
        </w:rPr>
        <w:t xml:space="preserve">Definition — Lease.</w:t>
      </w:r>
      <w:r>
        <w:t xml:space="preserve"> </w:t>
      </w:r>
      <w:r>
        <w:t xml:space="preserve">A time-bounded grant of a right (to cache data, to act as leader, to hold a lock) from a grantor to a holder. Within the term the holder may act without consulting the grantor; after the term, the right lapses automatically, even if the holder has crashed or is unreachable [Gray and Cheriton 1989].</w:t>
      </w:r>
    </w:p>
    <w:bookmarkStart w:id="2968" w:name="first-principles-explanation-143"/>
    <w:p>
      <w:pPr>
        <w:pStyle w:val="Heading4"/>
      </w:pPr>
      <w:r>
        <w:t xml:space="preserve">First-principles explanation</w:t>
      </w:r>
    </w:p>
    <w:p>
      <w:pPr>
        <w:pStyle w:val="FirstParagraph"/>
      </w:pPr>
      <w:r>
        <w:t xml:space="preserve">A lease is a library loan: you keep the book until the due date without phoning in, and if you vanish the loan simply ends. Gray and Cheriton introduced leases for cache consistency in the V file system: a server could update a file once every client lease on it expired, even if a client was unreachable. Leases turn</w:t>
      </w:r>
      <w:r>
        <w:t xml:space="preserve"> </w:t>
      </w:r>
      <w:r>
        <w:t xml:space="preserve">“</w:t>
      </w:r>
      <w:r>
        <w:t xml:space="preserve">wait forever</w:t>
      </w:r>
      <w:r>
        <w:t xml:space="preserve">”</w:t>
      </w:r>
      <w:r>
        <w:t xml:space="preserve"> </w:t>
      </w:r>
      <w:r>
        <w:t xml:space="preserve">into</w:t>
      </w:r>
      <w:r>
        <w:t xml:space="preserve"> </w:t>
      </w:r>
      <w:r>
        <w:t xml:space="preserve">“</w:t>
      </w:r>
      <w:r>
        <w:t xml:space="preserve">wait at most</w:t>
      </w:r>
      <w:r>
        <w:t xml:space="preserve"> </w:t>
      </w:r>
      <m:oMath>
        <m:r>
          <m:t>T</m:t>
        </m:r>
      </m:oMath>
      <w:r>
        <w:t xml:space="preserve">,</w:t>
      </w:r>
      <w:r>
        <w:t xml:space="preserve">”</w:t>
      </w:r>
      <w:r>
        <w:t xml:space="preserve"> </w:t>
      </w:r>
      <w:r>
        <w:t xml:space="preserve">at the price of depending on clocks: holder and grantor each measure</w:t>
      </w:r>
      <w:r>
        <w:t xml:space="preserve"> </w:t>
      </w:r>
      <m:oMath>
        <m:r>
          <m:t>T</m:t>
        </m:r>
      </m:oMath>
      <w:r>
        <w:t xml:space="preserve"> </w:t>
      </w:r>
      <w:r>
        <w:t xml:space="preserve">with their own oscillator.</w:t>
      </w:r>
    </w:p>
    <w:bookmarkEnd w:id="2968"/>
    <w:bookmarkStart w:id="2969" w:name="mathematical-foundations-52"/>
    <w:p>
      <w:pPr>
        <w:pStyle w:val="Heading4"/>
      </w:pPr>
      <w:r>
        <w:t xml:space="preserve">Mathematical foundations</w:t>
      </w:r>
    </w:p>
    <w:p>
      <w:pPr>
        <w:pStyle w:val="FirstParagraph"/>
      </w:pPr>
      <w:r>
        <w:t xml:space="preserve">The holder should start its timer</w:t>
      </w:r>
      <w:r>
        <w:t xml:space="preserve"> </w:t>
      </w:r>
      <w:r>
        <w:rPr>
          <w:iCs/>
          <w:i/>
        </w:rPr>
        <w:t xml:space="preserve">before</w:t>
      </w:r>
      <w:r>
        <w:t xml:space="preserve"> </w:t>
      </w:r>
      <w:r>
        <w:t xml:space="preserve">sending the request (so network delay counts against it), and the grantor starts its timer when it grants. Both clocks may run fast or slow relative to real time by at most a rate</w:t>
      </w:r>
      <w:r>
        <w:t xml:space="preserve"> </w:t>
      </w:r>
      <m:oMath>
        <m:r>
          <m:t>ρ</m:t>
        </m:r>
      </m:oMath>
      <w:r>
        <w:t xml:space="preserve">.</w:t>
      </w:r>
    </w:p>
    <w:p>
      <w:pPr>
        <w:pStyle w:val="CalloutFormula"/>
      </w:pPr>
      <w:r>
        <w:rPr>
          <w:bCs/>
          <w:b/>
        </w:rPr>
        <w:t xml:space="preserve">FORMULA</w:t>
      </w:r>
    </w:p>
    <w:p>
      <w:pPr>
        <w:pStyle w:val="CalloutFormula"/>
      </w:pPr>
      <w:r>
        <w:rPr>
          <w:bCs/>
          <w:b/>
        </w:rPr>
        <w:t xml:space="preserve">Lease safety margin</w:t>
      </w:r>
    </w:p>
    <w:p>
      <w:pPr>
        <w:pStyle w:val="CalloutFormula"/>
      </w:pPr>
      <m:oMathPara>
        <m:oMathParaPr>
          <m:jc m:val="center"/>
        </m:oMathParaPr>
        <m:oMath>
          <m:sSub>
            <m:e>
              <m:r>
                <m:t>T</m:t>
              </m:r>
            </m:e>
            <m:sub>
              <m:r>
                <m:rPr>
                  <m:nor/>
                  <m:sty m:val="p"/>
                </m:rPr>
                <m:t>holder</m:t>
              </m:r>
            </m:sub>
          </m:sSub>
          <m:r>
            <m:rPr>
              <m:sty m:val="p"/>
            </m:rPr>
            <m:t>=</m:t>
          </m:r>
          <m:r>
            <m:t>T</m:t>
          </m:r>
          <m:d>
            <m:dPr>
              <m:begChr m:val="("/>
              <m:endChr m:val=")"/>
              <m:sepChr m:val=""/>
              <m:grow/>
            </m:dPr>
            <m:e>
              <m:r>
                <m:t>1</m:t>
              </m:r>
              <m:r>
                <m:rPr>
                  <m:sty m:val="p"/>
                </m:rPr>
                <m:t>−</m:t>
              </m:r>
              <m:r>
                <m:t>ρ</m:t>
              </m:r>
            </m:e>
          </m:d>
          <m:r>
            <m:rPr>
              <m:sty m:val="p"/>
            </m:rPr>
            <m:t>−</m:t>
          </m:r>
          <m:sSub>
            <m:e>
              <m:r>
                <m:t>d</m:t>
              </m:r>
            </m:e>
            <m:sub>
              <m:r>
                <m:rPr>
                  <m:sty m:val="p"/>
                </m:rPr>
                <m:t>max</m:t>
              </m:r>
            </m:sub>
          </m:sSub>
          <m:r>
            <m:t>  </m:t>
          </m:r>
          <m:sSub>
            <m:e>
              <m:r>
                <m:t>T</m:t>
              </m:r>
            </m:e>
            <m:sub>
              <m:r>
                <m:rPr>
                  <m:nor/>
                  <m:sty m:val="p"/>
                </m:rPr>
                <m:t>grantor</m:t>
              </m:r>
            </m:sub>
          </m:sSub>
          <m:r>
            <m:rPr>
              <m:sty m:val="p"/>
            </m:rPr>
            <m:t>=</m:t>
          </m:r>
          <m:r>
            <m:t>T</m:t>
          </m:r>
          <m:d>
            <m:dPr>
              <m:begChr m:val="("/>
              <m:endChr m:val=")"/>
              <m:sepChr m:val=""/>
              <m:grow/>
            </m:dPr>
            <m:e>
              <m:r>
                <m:t>1</m:t>
              </m:r>
              <m:r>
                <m:rPr>
                  <m:sty m:val="p"/>
                </m:rPr>
                <m:t>+</m:t>
              </m:r>
              <m:r>
                <m:t>ρ</m:t>
              </m:r>
            </m:e>
          </m:d>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T</m:t>
              </m:r>
            </m:oMath>
          </w:p>
        </w:tc>
        <w:tc>
          <w:tcPr/>
          <w:p>
            <w:pPr>
              <w:pStyle w:val="Compact"/>
              <w:jc w:val="left"/>
            </w:pPr>
            <w:r>
              <w:t xml:space="preserve">Nominal lease duration</w:t>
            </w:r>
          </w:p>
        </w:tc>
        <w:tc>
          <w:tcPr/>
          <w:p>
            <w:pPr>
              <w:pStyle w:val="Compact"/>
              <w:jc w:val="left"/>
            </w:pPr>
            <w:r>
              <w:t xml:space="preserve">s</w:t>
            </w:r>
          </w:p>
        </w:tc>
      </w:tr>
      <w:tr>
        <w:tc>
          <w:tcPr/>
          <w:p>
            <w:pPr>
              <w:pStyle w:val="Compact"/>
              <w:jc w:val="left"/>
            </w:pPr>
            <m:oMath>
              <m:r>
                <m:t>ρ</m:t>
              </m:r>
            </m:oMath>
          </w:p>
        </w:tc>
        <w:tc>
          <w:tcPr/>
          <w:p>
            <w:pPr>
              <w:pStyle w:val="Compact"/>
              <w:jc w:val="left"/>
            </w:pPr>
            <w:r>
              <w:t xml:space="preserve">Maximum clock rate error relative to real time (drift bound)</w:t>
            </w:r>
          </w:p>
        </w:tc>
        <w:tc>
          <w:tcPr/>
          <w:p>
            <w:pPr>
              <w:pStyle w:val="Compact"/>
              <w:jc w:val="left"/>
            </w:pPr>
            <w:r>
              <w:t xml:space="preserve">dimensionless (e.g. </w:t>
            </w:r>
            <m:oMath>
              <m:sSup>
                <m:e>
                  <m:r>
                    <m:t>10</m:t>
                  </m:r>
                </m:e>
                <m:sup>
                  <m:r>
                    <m:rPr>
                      <m:sty m:val="p"/>
                    </m:rPr>
                    <m:t>−</m:t>
                  </m:r>
                  <m:r>
                    <m:t>4</m:t>
                  </m:r>
                </m:sup>
              </m:sSup>
            </m:oMath>
            <w:r>
              <w:t xml:space="preserve"> </w:t>
            </w:r>
            <w:r>
              <w:t xml:space="preserve">= 100 ppm)</w:t>
            </w:r>
          </w:p>
        </w:tc>
      </w:tr>
      <w:tr>
        <w:tc>
          <w:tcPr/>
          <w:p>
            <w:pPr>
              <w:pStyle w:val="Compact"/>
              <w:jc w:val="left"/>
            </w:pPr>
            <m:oMath>
              <m:sSub>
                <m:e>
                  <m:r>
                    <m:t>d</m:t>
                  </m:r>
                </m:e>
                <m:sub>
                  <m:r>
                    <m:rPr>
                      <m:sty m:val="p"/>
                    </m:rPr>
                    <m:t>max</m:t>
                  </m:r>
                </m:sub>
              </m:sSub>
            </m:oMath>
          </w:p>
        </w:tc>
        <w:tc>
          <w:tcPr/>
          <w:p>
            <w:pPr>
              <w:pStyle w:val="Compact"/>
              <w:jc w:val="left"/>
            </w:pPr>
            <w:r>
              <w:t xml:space="preserve">Maximum time between the holder checking validity and its action taking effect (processing, network, budgeted pause)</w:t>
            </w:r>
          </w:p>
        </w:tc>
        <w:tc>
          <w:tcPr/>
          <w:p>
            <w:pPr>
              <w:pStyle w:val="Compact"/>
              <w:jc w:val="left"/>
            </w:pPr>
            <w:r>
              <w:t xml:space="preserve">s</w:t>
            </w:r>
          </w:p>
        </w:tc>
      </w:tr>
      <w:tr>
        <w:tc>
          <w:tcPr/>
          <w:p>
            <w:pPr>
              <w:pStyle w:val="Compact"/>
              <w:jc w:val="left"/>
            </w:pPr>
            <m:oMath>
              <m:sSub>
                <m:e>
                  <m:r>
                    <m:t>T</m:t>
                  </m:r>
                </m:e>
                <m:sub>
                  <m:r>
                    <m:rPr>
                      <m:nor/>
                      <m:sty m:val="p"/>
                    </m:rPr>
                    <m:t>holder</m:t>
                  </m:r>
                </m:sub>
              </m:sSub>
            </m:oMath>
          </w:p>
        </w:tc>
        <w:tc>
          <w:tcPr/>
          <w:p>
            <w:pPr>
              <w:pStyle w:val="Compact"/>
              <w:jc w:val="left"/>
            </w:pPr>
            <w:r>
              <w:t xml:space="preserve">Local elapsed time after which the holder must stop acting</w:t>
            </w:r>
          </w:p>
        </w:tc>
        <w:tc>
          <w:tcPr/>
          <w:p>
            <w:pPr>
              <w:pStyle w:val="Compact"/>
              <w:jc w:val="left"/>
            </w:pPr>
            <w:r>
              <w:t xml:space="preserve">s</w:t>
            </w:r>
          </w:p>
        </w:tc>
      </w:tr>
      <w:tr>
        <w:tc>
          <w:tcPr/>
          <w:p>
            <w:pPr>
              <w:pStyle w:val="Compact"/>
              <w:jc w:val="left"/>
            </w:pPr>
            <m:oMath>
              <m:sSub>
                <m:e>
                  <m:r>
                    <m:t>T</m:t>
                  </m:r>
                </m:e>
                <m:sub>
                  <m:r>
                    <m:rPr>
                      <m:nor/>
                      <m:sty m:val="p"/>
                    </m:rPr>
                    <m:t>grantor</m:t>
                  </m:r>
                </m:sub>
              </m:sSub>
            </m:oMath>
          </w:p>
        </w:tc>
        <w:tc>
          <w:tcPr/>
          <w:p>
            <w:pPr>
              <w:pStyle w:val="Compact"/>
              <w:jc w:val="left"/>
            </w:pPr>
            <w:r>
              <w:t xml:space="preserve">Local elapsed time after grant before the grantor may grant the right to someone else</w:t>
            </w:r>
          </w:p>
        </w:tc>
        <w:tc>
          <w:tcPr/>
          <w:p>
            <w:pPr>
              <w:pStyle w:val="Compact"/>
              <w:jc w:val="left"/>
            </w:pPr>
            <w:r>
              <w:t xml:space="preserve">s</w:t>
            </w:r>
          </w:p>
        </w:tc>
      </w:tr>
    </w:tbl>
    <w:p>
      <w:pPr>
        <w:pStyle w:val="CalloutExample"/>
      </w:pPr>
      <w:r>
        <w:rPr>
          <w:bCs/>
          <w:b/>
        </w:rPr>
        <w:t xml:space="preserve">WORKED EXAMPLE</w:t>
      </w:r>
    </w:p>
    <w:p>
      <w:pPr>
        <w:pStyle w:val="CalloutExample"/>
      </w:pPr>
      <w:r>
        <w:rPr>
          <w:bCs/>
          <w:b/>
        </w:rPr>
        <w:t xml:space="preserve">Worked example — a 10 s leader lease.</w:t>
      </w:r>
      <w:r>
        <w:t xml:space="preserve"> </w:t>
      </w:r>
      <m:oMath>
        <m:r>
          <m:t>T</m:t>
        </m:r>
        <m:r>
          <m:rPr>
            <m:sty m:val="p"/>
          </m:rPr>
          <m:t>=</m:t>
        </m:r>
        <m:r>
          <m:t>10</m:t>
        </m:r>
      </m:oMath>
      <w:r>
        <w:t xml:space="preserve"> </w:t>
      </w:r>
      <w:r>
        <w:t xml:space="preserve">s,</w:t>
      </w:r>
      <w:r>
        <w:t xml:space="preserve"> </w:t>
      </w:r>
      <m:oMath>
        <m:r>
          <m:t>ρ</m:t>
        </m:r>
        <m:r>
          <m:rPr>
            <m:sty m:val="p"/>
          </m:rPr>
          <m:t>=</m:t>
        </m:r>
        <m:sSup>
          <m:e>
            <m:r>
              <m:t>10</m:t>
            </m:r>
          </m:e>
          <m:sup>
            <m:r>
              <m:rPr>
                <m:sty m:val="p"/>
              </m:rPr>
              <m:t>−</m:t>
            </m:r>
            <m:r>
              <m:t>4</m:t>
            </m:r>
          </m:sup>
        </m:sSup>
      </m:oMath>
      <w:r>
        <w:t xml:space="preserve"> </w:t>
      </w:r>
      <w:r>
        <w:t xml:space="preserve">(100 ppm, a generous bound for server oscillators),</w:t>
      </w:r>
      <w:r>
        <w:t xml:space="preserve"> </w:t>
      </w:r>
      <m:oMath>
        <m:sSub>
          <m:e>
            <m:r>
              <m:t>d</m:t>
            </m:r>
          </m:e>
          <m:sub>
            <m:r>
              <m:rPr>
                <m:sty m:val="p"/>
              </m:rPr>
              <m:t>max</m:t>
            </m:r>
          </m:sub>
        </m:sSub>
        <m:r>
          <m:rPr>
            <m:sty m:val="p"/>
          </m:rPr>
          <m:t>=</m:t>
        </m:r>
        <m:r>
          <m:t>0.5</m:t>
        </m:r>
      </m:oMath>
      <w:r>
        <w:t xml:space="preserve"> </w:t>
      </w:r>
      <w:r>
        <w:t xml:space="preserve">s.</w:t>
      </w:r>
    </w:p>
    <w:p>
      <w:pPr>
        <w:numPr>
          <w:ilvl w:val="0"/>
          <w:numId w:val="1853"/>
        </w:numPr>
        <w:pStyle w:val="Compact"/>
      </w:pPr>
      <w:r>
        <w:t xml:space="preserve">Holder:</w:t>
      </w:r>
      <w:r>
        <w:t xml:space="preserve"> </w:t>
      </w:r>
      <m:oMath>
        <m:r>
          <m:t>T</m:t>
        </m:r>
        <m:d>
          <m:dPr>
            <m:begChr m:val="("/>
            <m:endChr m:val=")"/>
            <m:sepChr m:val=""/>
            <m:grow/>
          </m:dPr>
          <m:e>
            <m:r>
              <m:t>1</m:t>
            </m:r>
            <m:r>
              <m:rPr>
                <m:sty m:val="p"/>
              </m:rPr>
              <m:t>−</m:t>
            </m:r>
            <m:r>
              <m:t>ρ</m:t>
            </m:r>
          </m:e>
        </m:d>
        <m:r>
          <m:rPr>
            <m:sty m:val="p"/>
          </m:rPr>
          <m:t>=</m:t>
        </m:r>
        <m:r>
          <m:t>10</m:t>
        </m:r>
        <m:r>
          <m:rPr>
            <m:sty m:val="p"/>
          </m:rPr>
          <m:t>×</m:t>
        </m:r>
        <m:r>
          <m:t>0.9999</m:t>
        </m:r>
        <m:r>
          <m:rPr>
            <m:sty m:val="p"/>
          </m:rPr>
          <m:t>=</m:t>
        </m:r>
        <m:r>
          <m:t>9.999</m:t>
        </m:r>
      </m:oMath>
      <w:r>
        <w:t xml:space="preserve"> </w:t>
      </w:r>
      <w:r>
        <w:t xml:space="preserve">s; minus</w:t>
      </w:r>
      <w:r>
        <w:t xml:space="preserve"> </w:t>
      </w:r>
      <m:oMath>
        <m:sSub>
          <m:e>
            <m:r>
              <m:t>d</m:t>
            </m:r>
          </m:e>
          <m:sub>
            <m:r>
              <m:rPr>
                <m:sty m:val="p"/>
              </m:rPr>
              <m:t>max</m:t>
            </m:r>
          </m:sub>
        </m:sSub>
      </m:oMath>
      <w:r>
        <w:t xml:space="preserve">:</w:t>
      </w:r>
      <w:r>
        <w:t xml:space="preserve"> </w:t>
      </w:r>
      <m:oMath>
        <m:r>
          <m:t>9.999</m:t>
        </m:r>
        <m:r>
          <m:rPr>
            <m:sty m:val="p"/>
          </m:rPr>
          <m:t>−</m:t>
        </m:r>
        <m:r>
          <m:t>0.5</m:t>
        </m:r>
        <m:r>
          <m:rPr>
            <m:sty m:val="p"/>
          </m:rPr>
          <m:t>=</m:t>
        </m:r>
        <m:r>
          <m:t>9.499</m:t>
        </m:r>
      </m:oMath>
      <w:r>
        <w:t xml:space="preserve"> </w:t>
      </w:r>
      <w:r>
        <w:t xml:space="preserve">s.</w:t>
      </w:r>
    </w:p>
    <w:p>
      <w:pPr>
        <w:numPr>
          <w:ilvl w:val="0"/>
          <w:numId w:val="1853"/>
        </w:numPr>
        <w:pStyle w:val="Compact"/>
      </w:pPr>
      <w:r>
        <w:t xml:space="preserve">Grantor:</w:t>
      </w:r>
      <w:r>
        <w:t xml:space="preserve"> </w:t>
      </w:r>
      <m:oMath>
        <m:r>
          <m:t>T</m:t>
        </m:r>
        <m:d>
          <m:dPr>
            <m:begChr m:val="("/>
            <m:endChr m:val=")"/>
            <m:sepChr m:val=""/>
            <m:grow/>
          </m:dPr>
          <m:e>
            <m:r>
              <m:t>1</m:t>
            </m:r>
            <m:r>
              <m:rPr>
                <m:sty m:val="p"/>
              </m:rPr>
              <m:t>+</m:t>
            </m:r>
            <m:r>
              <m:t>ρ</m:t>
            </m:r>
          </m:e>
        </m:d>
        <m:r>
          <m:rPr>
            <m:sty m:val="p"/>
          </m:rPr>
          <m:t>=</m:t>
        </m:r>
        <m:r>
          <m:t>10</m:t>
        </m:r>
        <m:r>
          <m:rPr>
            <m:sty m:val="p"/>
          </m:rPr>
          <m:t>×</m:t>
        </m:r>
        <m:r>
          <m:t>1.0001</m:t>
        </m:r>
        <m:r>
          <m:rPr>
            <m:sty m:val="p"/>
          </m:rPr>
          <m:t>=</m:t>
        </m:r>
        <m:r>
          <m:t>10.001</m:t>
        </m:r>
      </m:oMath>
      <w:r>
        <w:t xml:space="preserve"> </w:t>
      </w:r>
      <w:r>
        <w:t xml:space="preserve">s.</w:t>
      </w:r>
    </w:p>
    <w:p>
      <w:pPr>
        <w:numPr>
          <w:ilvl w:val="0"/>
          <w:numId w:val="1853"/>
        </w:numPr>
        <w:pStyle w:val="Compact"/>
      </w:pPr>
      <w:r>
        <w:t xml:space="preserve">Real-time gap: the holder stops at most</w:t>
      </w:r>
      <w:r>
        <w:t xml:space="preserve"> </w:t>
      </w:r>
      <m:oMath>
        <m:r>
          <m:t>9.499</m:t>
        </m:r>
        <m:r>
          <m:rPr>
            <m:sty m:val="p"/>
          </m:rPr>
          <m:t>/</m:t>
        </m:r>
        <m:d>
          <m:dPr>
            <m:begChr m:val="("/>
            <m:endChr m:val=")"/>
            <m:sepChr m:val=""/>
            <m:grow/>
          </m:dPr>
          <m:e>
            <m:r>
              <m:t>1</m:t>
            </m:r>
            <m:r>
              <m:rPr>
                <m:sty m:val="p"/>
              </m:rPr>
              <m:t>−</m:t>
            </m:r>
            <m:r>
              <m:t>ρ</m:t>
            </m:r>
          </m:e>
        </m:d>
        <m:r>
          <m:rPr>
            <m:sty m:val="p"/>
          </m:rPr>
          <m:t>+</m:t>
        </m:r>
        <m:r>
          <m:t>0.5</m:t>
        </m:r>
        <m:r>
          <m:rPr>
            <m:sty m:val="p"/>
          </m:rPr>
          <m:t>≈</m:t>
        </m:r>
        <m:r>
          <m:t>10.0</m:t>
        </m:r>
      </m:oMath>
      <w:r>
        <w:t xml:space="preserve"> </w:t>
      </w:r>
      <w:r>
        <w:t xml:space="preserve">s after its request was sent; the grantor reassigns no earlier than</w:t>
      </w:r>
      <w:r>
        <w:t xml:space="preserve"> </w:t>
      </w:r>
      <m:oMath>
        <m:r>
          <m:t>10.001</m:t>
        </m:r>
        <m:r>
          <m:rPr>
            <m:sty m:val="p"/>
          </m:rPr>
          <m:t>/</m:t>
        </m:r>
        <m:d>
          <m:dPr>
            <m:begChr m:val="("/>
            <m:endChr m:val=")"/>
            <m:sepChr m:val=""/>
            <m:grow/>
          </m:dPr>
          <m:e>
            <m:r>
              <m:t>1</m:t>
            </m:r>
            <m:r>
              <m:rPr>
                <m:sty m:val="p"/>
              </m:rPr>
              <m:t>+</m:t>
            </m:r>
            <m:r>
              <m:t>ρ</m:t>
            </m:r>
          </m:e>
        </m:d>
        <m:r>
          <m:rPr>
            <m:sty m:val="p"/>
          </m:rPr>
          <m:t>=</m:t>
        </m:r>
        <m:r>
          <m:t>10.0</m:t>
        </m:r>
      </m:oMath>
      <w:r>
        <w:t xml:space="preserve"> </w:t>
      </w:r>
      <w:r>
        <w:t xml:space="preserve">s after granting, which is later than the request was sent. The intervals do not overlap.</w:t>
      </w:r>
    </w:p>
    <w:p>
      <w:pPr>
        <w:numPr>
          <w:ilvl w:val="0"/>
          <w:numId w:val="1853"/>
        </w:numPr>
        <w:pStyle w:val="Compact"/>
      </w:pPr>
      <w:r>
        <w:t xml:space="preserve">Renewal: renew about every</w:t>
      </w:r>
      <w:r>
        <w:t xml:space="preserve"> </w:t>
      </w:r>
      <m:oMath>
        <m:r>
          <m:t>T</m:t>
        </m:r>
        <m:r>
          <m:rPr>
            <m:sty m:val="p"/>
          </m:rPr>
          <m:t>/</m:t>
        </m:r>
        <m:r>
          <m:t>3</m:t>
        </m:r>
      </m:oMath>
      <w:r>
        <w:t xml:space="preserve"> </w:t>
      </w:r>
      <w:r>
        <w:t xml:space="preserve">(3.3 s), so two consecutive renewals can fail before the lease lapses at 9.5 s; renewing every</w:t>
      </w:r>
      <w:r>
        <w:t xml:space="preserve"> </w:t>
      </w:r>
      <m:oMath>
        <m:r>
          <m:t>T</m:t>
        </m:r>
        <m:r>
          <m:rPr>
            <m:sty m:val="p"/>
          </m:rPr>
          <m:t>/</m:t>
        </m:r>
        <m:r>
          <m:t>2</m:t>
        </m:r>
      </m:oMath>
      <w:r>
        <w:t xml:space="preserve"> </w:t>
      </w:r>
      <w:r>
        <w:t xml:space="preserve">(5 s) tolerates only one.</w:t>
      </w:r>
    </w:p>
    <w:p>
      <w:pPr>
        <w:pStyle w:val="CalloutExample"/>
      </w:pPr>
      <w:r>
        <w:rPr>
          <w:bCs/>
          <w:b/>
        </w:rPr>
        <w:t xml:space="preserve">Interpretation.</w:t>
      </w:r>
      <w:r>
        <w:t xml:space="preserve"> </w:t>
      </w:r>
      <w:r>
        <w:t xml:space="preserve">Clock drift contributes only about 1 ms of margin over 10 s; the 500 ms action budget dominates.</w:t>
      </w:r>
      <w:r>
        <w:t xml:space="preserve"> </w:t>
      </w:r>
      <w:r>
        <w:rPr>
          <w:bCs/>
          <w:b/>
        </w:rPr>
        <w:t xml:space="preserve">Engineering implication.</w:t>
      </w:r>
      <w:r>
        <w:t xml:space="preserve"> </w:t>
      </w:r>
      <w:r>
        <w:t xml:space="preserve">The real enemy is not drift but</w:t>
      </w:r>
      <w:r>
        <w:t xml:space="preserve"> </w:t>
      </w:r>
      <w:r>
        <w:rPr>
          <w:bCs/>
          <w:b/>
        </w:rPr>
        <w:t xml:space="preserve">unbounded pauses</w:t>
      </w:r>
      <w:r>
        <w:t xml:space="preserve">: a 15 s GC pause between the validity check and the write blows through any margin. That is why leases need fencing tokens (§26.13) whenever the action has effects outside the holder’s process, and why clock</w:t>
      </w:r>
      <w:r>
        <w:t xml:space="preserve"> </w:t>
      </w:r>
      <w:r>
        <w:rPr>
          <w:iCs/>
          <w:i/>
        </w:rPr>
        <w:t xml:space="preserve">steps</w:t>
      </w:r>
      <w:r>
        <w:t xml:space="preserve"> </w:t>
      </w:r>
      <w:r>
        <w:t xml:space="preserve">(an NTP correction that jumps time) must be prevented on lease holders.</w:t>
      </w:r>
    </w:p>
    <w:p>
      <w:pPr>
        <w:pStyle w:val="BodyText"/>
      </w:pPr>
      <w:r>
        <w:t xml:space="preserve">Leases appear throughout this book: GFS chunk leases (§15.5.1), Chubby sessions (§26.14), etcd and Consul session TTLs, Raft lease reads (§26.7.10), Kubernetes</w:t>
      </w:r>
      <w:r>
        <w:t xml:space="preserve"> </w:t>
      </w:r>
      <w:r>
        <w:rPr>
          <w:rStyle w:val="VerbatimChar"/>
        </w:rPr>
        <w:t xml:space="preserve">Lease</w:t>
      </w:r>
      <w:r>
        <w:t xml:space="preserve"> </w:t>
      </w:r>
      <w:r>
        <w:t xml:space="preserve">objects (§26.9.2) and the idempotency-key claims of §22.15.</w:t>
      </w:r>
    </w:p>
    <w:bookmarkEnd w:id="2969"/>
    <w:bookmarkEnd w:id="2970"/>
    <w:bookmarkEnd w:id="2971"/>
    <w:bookmarkStart w:id="2975" w:name="split-brain"/>
    <w:p>
      <w:pPr>
        <w:pStyle w:val="Heading2"/>
      </w:pPr>
      <w:r>
        <w:t xml:space="preserve">26.12 Split brain</w:t>
      </w:r>
    </w:p>
    <w:bookmarkStart w:id="2974" w:name="causes-and-prevention"/>
    <w:p>
      <w:pPr>
        <w:pStyle w:val="Heading3"/>
      </w:pPr>
      <w:r>
        <w:t xml:space="preserve">26.12.1 Causes and prevention</w:t>
      </w:r>
    </w:p>
    <w:p>
      <w:pPr>
        <w:pStyle w:val="CalloutDefinition"/>
      </w:pPr>
      <w:r>
        <w:rPr>
          <w:bCs/>
          <w:b/>
        </w:rPr>
        <w:t xml:space="preserve">DEFINITION</w:t>
      </w:r>
    </w:p>
    <w:p>
      <w:pPr>
        <w:pStyle w:val="CalloutDefinition"/>
      </w:pPr>
      <w:r>
        <w:rPr>
          <w:bCs/>
          <w:b/>
        </w:rPr>
        <w:t xml:space="preserve">Definition — Split brain.</w:t>
      </w:r>
      <w:r>
        <w:t xml:space="preserve"> </w:t>
      </w:r>
      <w:r>
        <w:t xml:space="preserve">A failure in which two or more parts of a cluster each believe they are the authoritative primary (or leader) and accept conflicting writes, so the system’s state diverges.</w:t>
      </w:r>
    </w:p>
    <w:bookmarkStart w:id="2972" w:name="causes"/>
    <w:p>
      <w:pPr>
        <w:pStyle w:val="Heading4"/>
      </w:pPr>
      <w:r>
        <w:t xml:space="preserve">Causes</w:t>
      </w:r>
    </w:p>
    <w:p>
      <w:pPr>
        <w:numPr>
          <w:ilvl w:val="0"/>
          <w:numId w:val="1854"/>
        </w:numPr>
        <w:pStyle w:val="Compact"/>
      </w:pPr>
      <w:r>
        <w:rPr>
          <w:bCs/>
          <w:b/>
        </w:rPr>
        <w:t xml:space="preserve">Failover without a quorum.</w:t>
      </w:r>
      <w:r>
        <w:t xml:space="preserve"> </w:t>
      </w:r>
      <w:r>
        <w:t xml:space="preserve">A two-node pair loses its heartbeat link and each side promotes itself; neither can tell a partition from a crash.</w:t>
      </w:r>
    </w:p>
    <w:p>
      <w:pPr>
        <w:numPr>
          <w:ilvl w:val="0"/>
          <w:numId w:val="1854"/>
        </w:numPr>
        <w:pStyle w:val="Compact"/>
      </w:pPr>
      <w:r>
        <w:rPr>
          <w:bCs/>
          <w:b/>
        </w:rPr>
        <w:t xml:space="preserve">A paused primary</w:t>
      </w:r>
      <w:r>
        <w:t xml:space="preserve"> </w:t>
      </w:r>
      <w:r>
        <w:t xml:space="preserve">resumes after being replaced and keeps serving (the chapter opening).</w:t>
      </w:r>
    </w:p>
    <w:p>
      <w:pPr>
        <w:numPr>
          <w:ilvl w:val="0"/>
          <w:numId w:val="1854"/>
        </w:numPr>
        <w:pStyle w:val="Compact"/>
      </w:pPr>
      <w:r>
        <w:rPr>
          <w:bCs/>
          <w:b/>
        </w:rPr>
        <w:t xml:space="preserve">Asymmetric partitions.</w:t>
      </w:r>
      <w:r>
        <w:t xml:space="preserve"> </w:t>
      </w:r>
      <w:r>
        <w:t xml:space="preserve">A reaches B but not vice versa, so they disagree about who is alive.</w:t>
      </w:r>
    </w:p>
    <w:p>
      <w:pPr>
        <w:numPr>
          <w:ilvl w:val="0"/>
          <w:numId w:val="1854"/>
        </w:numPr>
        <w:pStyle w:val="Compact"/>
      </w:pPr>
      <w:r>
        <w:rPr>
          <w:bCs/>
          <w:b/>
        </w:rPr>
        <w:t xml:space="preserve">Operator error.</w:t>
      </w:r>
      <w:r>
        <w:t xml:space="preserve"> </w:t>
      </w:r>
      <w:r>
        <w:t xml:space="preserve">Promoting a replica while the old primary is still reachable.</w:t>
      </w:r>
    </w:p>
    <w:bookmarkEnd w:id="2972"/>
    <w:bookmarkStart w:id="2973" w:name="prevention"/>
    <w:p>
      <w:pPr>
        <w:pStyle w:val="Heading4"/>
      </w:pPr>
      <w:r>
        <w:t xml:space="preserve">Prevention</w:t>
      </w:r>
    </w:p>
    <w:p>
      <w:pPr>
        <w:numPr>
          <w:ilvl w:val="0"/>
          <w:numId w:val="1855"/>
        </w:numPr>
        <w:pStyle w:val="Compact"/>
      </w:pPr>
      <w:r>
        <w:rPr>
          <w:bCs/>
          <w:b/>
        </w:rPr>
        <w:t xml:space="preserve">Quorum.</w:t>
      </w:r>
      <w:r>
        <w:t xml:space="preserve"> </w:t>
      </w:r>
      <w:r>
        <w:t xml:space="preserve">Only a side holding a majority may act; the minority stops.</w:t>
      </w:r>
    </w:p>
    <w:p>
      <w:pPr>
        <w:numPr>
          <w:ilvl w:val="0"/>
          <w:numId w:val="1855"/>
        </w:numPr>
        <w:pStyle w:val="Compact"/>
      </w:pPr>
      <w:r>
        <w:rPr>
          <w:bCs/>
          <w:b/>
        </w:rPr>
        <w:t xml:space="preserve">Witness (tie-breaker).</w:t>
      </w:r>
      <w:r>
        <w:t xml:space="preserve"> </w:t>
      </w:r>
      <w:r>
        <w:t xml:space="preserve">Two-site deployments add a lightweight third vote in a third location (a file-share or cloud witness in Windows Server Failover Clustering, an arbiter in MongoDB, a third etcd member), so one site can form a majority.</w:t>
      </w:r>
    </w:p>
    <w:p>
      <w:pPr>
        <w:numPr>
          <w:ilvl w:val="0"/>
          <w:numId w:val="1855"/>
        </w:numPr>
        <w:pStyle w:val="Compact"/>
      </w:pPr>
      <w:r>
        <w:rPr>
          <w:bCs/>
          <w:b/>
        </w:rPr>
        <w:t xml:space="preserve">STONITH (</w:t>
      </w:r>
      <w:r>
        <w:rPr>
          <w:bCs/>
          <w:b/>
        </w:rPr>
        <w:t xml:space="preserve">“</w:t>
      </w:r>
      <w:r>
        <w:rPr>
          <w:bCs/>
          <w:b/>
        </w:rPr>
        <w:t xml:space="preserve">shoot the other node in the head</w:t>
      </w:r>
      <w:r>
        <w:rPr>
          <w:bCs/>
          <w:b/>
        </w:rPr>
        <w:t xml:space="preserve">”</w:t>
      </w:r>
      <w:r>
        <w:rPr>
          <w:bCs/>
          <w:b/>
        </w:rPr>
        <w:t xml:space="preserve">).</w:t>
      </w:r>
      <w:r>
        <w:t xml:space="preserve"> </w:t>
      </w:r>
      <w:r>
        <w:t xml:space="preserve">Before taking over, the survivor</w:t>
      </w:r>
      <w:r>
        <w:t xml:space="preserve"> </w:t>
      </w:r>
      <w:r>
        <w:rPr>
          <w:iCs/>
          <w:i/>
        </w:rPr>
        <w:t xml:space="preserve">forcibly</w:t>
      </w:r>
      <w:r>
        <w:t xml:space="preserve"> </w:t>
      </w:r>
      <w:r>
        <w:t xml:space="preserve">powers off or isolates the old primary through an out-of-band channel: a power distribution unit, a server management controller (IPMI), or a cloud API that stops the instance. Brutal, but it turns</w:t>
      </w:r>
      <w:r>
        <w:t xml:space="preserve"> </w:t>
      </w:r>
      <w:r>
        <w:t xml:space="preserve">“</w:t>
      </w:r>
      <w:r>
        <w:t xml:space="preserve">maybe still running</w:t>
      </w:r>
      <w:r>
        <w:t xml:space="preserve">”</w:t>
      </w:r>
      <w:r>
        <w:t xml:space="preserve"> </w:t>
      </w:r>
      <w:r>
        <w:t xml:space="preserve">into</w:t>
      </w:r>
      <w:r>
        <w:t xml:space="preserve"> </w:t>
      </w:r>
      <w:r>
        <w:t xml:space="preserve">“</w:t>
      </w:r>
      <w:r>
        <w:t xml:space="preserve">definitely off.</w:t>
      </w:r>
      <w:r>
        <w:t xml:space="preserve">”</w:t>
      </w:r>
    </w:p>
    <w:p>
      <w:pPr>
        <w:numPr>
          <w:ilvl w:val="0"/>
          <w:numId w:val="1855"/>
        </w:numPr>
        <w:pStyle w:val="Compact"/>
      </w:pPr>
      <w:r>
        <w:rPr>
          <w:bCs/>
          <w:b/>
        </w:rPr>
        <w:t xml:space="preserve">Resource-level fencing.</w:t>
      </w:r>
      <w:r>
        <w:t xml:space="preserve"> </w:t>
      </w:r>
      <w:r>
        <w:t xml:space="preserve">Revoke the old primary’s access to shared storage (SCSI persistent reservations, revoking a volume attachment) or have the resource reject stale epochs (§26.13).</w:t>
      </w:r>
    </w:p>
    <w:p>
      <w:pPr>
        <w:pStyle w:val="CalloutIndustry"/>
      </w:pPr>
      <w:r>
        <w:rPr>
          <w:bCs/>
          <w:b/>
        </w:rPr>
        <w:t xml:space="preserve">INDUSTRY EXAMPLE</w:t>
      </w:r>
    </w:p>
    <w:p>
      <w:pPr>
        <w:pStyle w:val="CalloutIndustry"/>
      </w:pPr>
      <w:r>
        <w:rPr>
          <w:bCs/>
          <w:b/>
        </w:rPr>
        <w:t xml:space="preserve">GitHub, October 2018.</w:t>
      </w:r>
      <w:r>
        <w:t xml:space="preserve"> </w:t>
      </w:r>
      <w:r>
        <w:t xml:space="preserve">A 43-second loss of connectivity between GitHub’s East Coast network hub and its primary East Coast data center led the cluster-management tool Orchestrator, which uses Raft among its own nodes, to promote MySQL primaries in the West Coast data center. Writes accepted on the East Coast during the brief window had not replicated West, so both sites now held writes the other lacked; GitHub chose data integrity over availability and spent about 24 hours reconciling and restoring service. The lesson: consensus among the</w:t>
      </w:r>
      <w:r>
        <w:t xml:space="preserve"> </w:t>
      </w:r>
      <w:r>
        <w:rPr>
          <w:iCs/>
          <w:i/>
        </w:rPr>
        <w:t xml:space="preserve">failover controllers</w:t>
      </w:r>
      <w:r>
        <w:t xml:space="preserve"> </w:t>
      </w:r>
      <w:r>
        <w:t xml:space="preserve">does not prevent divergence in the</w:t>
      </w:r>
      <w:r>
        <w:t xml:space="preserve"> </w:t>
      </w:r>
      <w:r>
        <w:rPr>
          <w:iCs/>
          <w:i/>
        </w:rPr>
        <w:t xml:space="preserve">data</w:t>
      </w:r>
      <w:r>
        <w:t xml:space="preserve"> </w:t>
      </w:r>
      <w:r>
        <w:t xml:space="preserve">they manage, and topology-aware failover policies matter.</w:t>
      </w:r>
      <w:r>
        <w:t xml:space="preserve"> </w:t>
      </w:r>
      <w:r>
        <w:rPr>
          <w:iCs/>
          <w:i/>
        </w:rPr>
        <w:t xml:space="preserve">Evidence: Primary</w:t>
      </w:r>
      <w:r>
        <w:t xml:space="preserve"> </w:t>
      </w:r>
      <w:r>
        <w:t xml:space="preserve">— [GitHub 2018]</w:t>
      </w:r>
    </w:p>
    <w:bookmarkEnd w:id="2973"/>
    <w:bookmarkEnd w:id="2974"/>
    <w:bookmarkEnd w:id="2975"/>
    <w:bookmarkStart w:id="2982" w:name="fencing-tokens"/>
    <w:p>
      <w:pPr>
        <w:pStyle w:val="Heading2"/>
      </w:pPr>
      <w:r>
        <w:t xml:space="preserve">26.13 Fencing tokens</w:t>
      </w:r>
    </w:p>
    <w:p>
      <w:pPr>
        <w:pStyle w:val="CalloutDefinition"/>
      </w:pPr>
      <w:r>
        <w:rPr>
          <w:bCs/>
          <w:b/>
        </w:rPr>
        <w:t xml:space="preserve">DEFINITION</w:t>
      </w:r>
    </w:p>
    <w:p>
      <w:pPr>
        <w:pStyle w:val="CalloutDefinition"/>
      </w:pPr>
      <w:r>
        <w:rPr>
          <w:bCs/>
          <w:b/>
        </w:rPr>
        <w:t xml:space="preserve">Definition — Fencing token.</w:t>
      </w:r>
      <w:r>
        <w:t xml:space="preserve"> </w:t>
      </w:r>
      <w:r>
        <w:t xml:space="preserve">A number, increasing with every grant of a lock or lease, that the holder attaches to every request to the protected resource. The resource remembers the highest token it has accepted and rejects any request carrying a lower one.</w:t>
      </w:r>
    </w:p>
    <w:p>
      <w:pPr>
        <w:pStyle w:val="BodyText"/>
      </w:pPr>
      <w:r>
        <w:t xml:space="preserve">Fencing moves the final safety check from the client, which cannot know it has been paused, to the resource, which sees requests in the order they actually arrive. The two diagrams below follow Kleppmann’s example [Kleppmann 2016].</w:t>
      </w:r>
    </w:p>
    <w:p>
      <w:pPr>
        <w:pStyle w:val="BodyText"/>
      </w:pPr>
      <w:r>
        <w:rPr>
          <w:bCs/>
          <w:b/>
        </w:rPr>
        <w:t xml:space="preserve">Figure 26.13 — Without fencing: a paused client corrupts storage.</w:t>
      </w:r>
    </w:p>
    <w:p>
      <w:pPr>
        <w:pStyle w:val="BodyText"/>
      </w:pPr>
      <w:r>
        <w:drawing>
          <wp:inline>
            <wp:extent cx="5334000" cy="3646497"/>
            <wp:effectExtent b="0" l="0" r="0" t="0"/>
            <wp:docPr descr="" title="" id="2977" name="Picture"/>
            <a:graphic>
              <a:graphicData uri="http://schemas.openxmlformats.org/drawingml/2006/picture">
                <pic:pic>
                  <pic:nvPicPr>
                    <pic:cNvPr descr="/home/user/System-Design/build/.cache/diagrams/b76e09fd15ee.png" id="2978" name="Picture"/>
                    <pic:cNvPicPr>
                      <a:picLocks noChangeArrowheads="1" noChangeAspect="1"/>
                    </pic:cNvPicPr>
                  </pic:nvPicPr>
                  <pic:blipFill>
                    <a:blip r:embed="rId2976"/>
                    <a:stretch>
                      <a:fillRect/>
                    </a:stretch>
                  </pic:blipFill>
                  <pic:spPr bwMode="auto">
                    <a:xfrm>
                      <a:off x="0" y="0"/>
                      <a:ext cx="5334000" cy="3646497"/>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All arrows are synchronous RPCs. Client 1 holds a valid lease, then stops for 15 s without being able to observe its pause. The lock service correctly grants the lock to Client 2, which writes. Client 1 resumes and writes; storage cannot distinguish this from a legitimate write. Every component behaved correctly, yet Client 2’s update is lost. The failure point is the gap between</w:t>
      </w:r>
      <w:r>
        <w:t xml:space="preserve"> </w:t>
      </w:r>
      <w:r>
        <w:t xml:space="preserve">“</w:t>
      </w:r>
      <w:r>
        <w:t xml:space="preserve">checked the lock</w:t>
      </w:r>
      <w:r>
        <w:t xml:space="preserve">”</w:t>
      </w:r>
      <w:r>
        <w:t xml:space="preserve"> </w:t>
      </w:r>
      <w:r>
        <w:t xml:space="preserve">and</w:t>
      </w:r>
      <w:r>
        <w:t xml:space="preserve"> </w:t>
      </w:r>
      <w:r>
        <w:t xml:space="preserve">“</w:t>
      </w:r>
      <w:r>
        <w:t xml:space="preserve">write took effect,</w:t>
      </w:r>
      <w:r>
        <w:t xml:space="preserve">”</w:t>
      </w:r>
      <w:r>
        <w:t xml:space="preserve"> </w:t>
      </w:r>
      <w:r>
        <w:t xml:space="preserve">which no lock service can close from outside the client.</w:t>
      </w:r>
    </w:p>
    <w:p>
      <w:pPr>
        <w:pStyle w:val="BodyText"/>
      </w:pPr>
      <w:r>
        <w:rPr>
          <w:bCs/>
          <w:b/>
        </w:rPr>
        <w:t xml:space="preserve">Figure 26.14 — With fencing: the storage service rejects the stale holder.</w:t>
      </w:r>
    </w:p>
    <w:p>
      <w:pPr>
        <w:pStyle w:val="BodyText"/>
      </w:pPr>
      <w:r>
        <w:drawing>
          <wp:inline>
            <wp:extent cx="5334000" cy="3498195"/>
            <wp:effectExtent b="0" l="0" r="0" t="0"/>
            <wp:docPr descr="" title="" id="2980" name="Picture"/>
            <a:graphic>
              <a:graphicData uri="http://schemas.openxmlformats.org/drawingml/2006/picture">
                <pic:pic>
                  <pic:nvPicPr>
                    <pic:cNvPr descr="/home/user/System-Design/build/.cache/diagrams/1dfadd9d2917.png" id="2981" name="Picture"/>
                    <pic:cNvPicPr>
                      <a:picLocks noChangeArrowheads="1" noChangeAspect="1"/>
                    </pic:cNvPicPr>
                  </pic:nvPicPr>
                  <pic:blipFill>
                    <a:blip r:embed="rId2979"/>
                    <a:stretch>
                      <a:fillRect/>
                    </a:stretch>
                  </pic:blipFill>
                  <pic:spPr bwMode="auto">
                    <a:xfrm>
                      <a:off x="0" y="0"/>
                      <a:ext cx="5334000" cy="3498195"/>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lock service now hands out increasing tokens (33, then 34). Storage records the highest token it has accepted, durably and atomically with the write. Client 1’s late write carries 33, which is lower than 34, so it is rejected and Client 1 learns it lost the lock. Ordering is decided at the storage boundary, where requests serialize. Failure points: storage must check and record tokens atomically, and every path to the resource must carry the token. Had Client 1’s write arrived</w:t>
      </w:r>
      <w:r>
        <w:t xml:space="preserve"> </w:t>
      </w:r>
      <w:r>
        <w:rPr>
          <w:iCs/>
          <w:i/>
        </w:rPr>
        <w:t xml:space="preserve">before</w:t>
      </w:r>
      <w:r>
        <w:t xml:space="preserve"> </w:t>
      </w:r>
      <w:r>
        <w:t xml:space="preserve">Client 2’s, accepting it would be correct.</w:t>
      </w:r>
    </w:p>
    <w:p>
      <w:pPr>
        <w:pStyle w:val="BodyText"/>
      </w:pPr>
      <w:r>
        <w:t xml:space="preserve">Good token sources are values the consensus system already increments: a Raft or ZAB index, a ZooKeeper zxid or znode version, an etcd revision, a Chubby</w:t>
      </w:r>
      <w:r>
        <w:t xml:space="preserve"> </w:t>
      </w:r>
      <w:r>
        <w:rPr>
          <w:bCs/>
          <w:b/>
        </w:rPr>
        <w:t xml:space="preserve">sequencer</w:t>
      </w:r>
      <w:r>
        <w:t xml:space="preserve">, or a Kubernetes-style generation number. If the resource cannot check tokens (a legacy file server, an external payment API), fencing is impossible and you must fall back to idempotency keys (§22.15), STONITH or long lock-delays, accepting the residual risk.</w:t>
      </w:r>
    </w:p>
    <w:p>
      <w:pPr>
        <w:pStyle w:val="CalloutMistake"/>
      </w:pPr>
      <w:r>
        <w:rPr>
          <w:bCs/>
          <w:b/>
        </w:rPr>
        <w:t xml:space="preserve">COMMON MISTAKE</w:t>
      </w:r>
    </w:p>
    <w:p>
      <w:pPr>
        <w:pStyle w:val="CalloutMistake"/>
      </w:pPr>
      <w:r>
        <w:rPr>
          <w:bCs/>
          <w:b/>
        </w:rPr>
        <w:t xml:space="preserve">Misconception —</w:t>
      </w:r>
      <w:r>
        <w:rPr>
          <w:bCs/>
          <w:b/>
        </w:rPr>
        <w:t xml:space="preserve"> </w:t>
      </w:r>
      <w:r>
        <w:rPr>
          <w:bCs/>
          <w:b/>
        </w:rPr>
        <w:t xml:space="preserve">“</w:t>
      </w:r>
      <w:r>
        <w:rPr>
          <w:bCs/>
          <w:b/>
        </w:rPr>
        <w:t xml:space="preserve">A random lock value works as a fencing token.</w:t>
      </w:r>
      <w:r>
        <w:rPr>
          <w:bCs/>
          <w:b/>
        </w:rPr>
        <w:t xml:space="preserve">”</w:t>
      </w:r>
      <w:r>
        <w:t xml:space="preserve"> </w:t>
      </w:r>
      <w:r>
        <w:t xml:space="preserve">A random value lets the holder release only its own lock, but storage cannot tell whether value</w:t>
      </w:r>
      <w:r>
        <w:t xml:space="preserve"> </w:t>
      </w:r>
      <w:r>
        <w:rPr>
          <w:rStyle w:val="VerbatimChar"/>
        </w:rPr>
        <w:t xml:space="preserve">a9f3</w:t>
      </w:r>
      <w:r>
        <w:t xml:space="preserve"> </w:t>
      </w:r>
      <w:r>
        <w:t xml:space="preserve">is newer or older than</w:t>
      </w:r>
      <w:r>
        <w:t xml:space="preserve"> </w:t>
      </w:r>
      <w:r>
        <w:rPr>
          <w:rStyle w:val="VerbatimChar"/>
        </w:rPr>
        <w:t xml:space="preserve">71c2</w:t>
      </w:r>
      <w:r>
        <w:t xml:space="preserve">. Fencing needs a</w:t>
      </w:r>
      <w:r>
        <w:t xml:space="preserve"> </w:t>
      </w:r>
      <w:r>
        <w:rPr>
          <w:iCs/>
          <w:i/>
        </w:rPr>
        <w:t xml:space="preserve">monotonic</w:t>
      </w:r>
      <w:r>
        <w:t xml:space="preserve"> </w:t>
      </w:r>
      <w:r>
        <w:t xml:space="preserve">order. The alternative is for the resource to support compare-and-set against the exact current owner value, which makes the resource itself the lock.</w:t>
      </w:r>
    </w:p>
    <w:bookmarkEnd w:id="2982"/>
    <w:bookmarkStart w:id="2988" w:name="coordination-services-in-practice"/>
    <w:p>
      <w:pPr>
        <w:pStyle w:val="Heading2"/>
      </w:pPr>
      <w:r>
        <w:t xml:space="preserve">26.14 Coordination services in practice</w:t>
      </w:r>
    </w:p>
    <w:bookmarkStart w:id="2986" w:name="chubby"/>
    <w:p>
      <w:pPr>
        <w:pStyle w:val="Heading3"/>
      </w:pPr>
      <w:r>
        <w:t xml:space="preserve">26.14.1 Chubby</w:t>
      </w:r>
    </w:p>
    <w:p>
      <w:pPr>
        <w:pStyle w:val="CalloutDefinition"/>
      </w:pPr>
      <w:r>
        <w:rPr>
          <w:bCs/>
          <w:b/>
        </w:rPr>
        <w:t xml:space="preserve">DEFINITION</w:t>
      </w:r>
    </w:p>
    <w:p>
      <w:pPr>
        <w:pStyle w:val="CalloutDefinition"/>
      </w:pPr>
      <w:r>
        <w:rPr>
          <w:bCs/>
          <w:b/>
        </w:rPr>
        <w:t xml:space="preserve">Definition — Chubby.</w:t>
      </w:r>
      <w:r>
        <w:t xml:space="preserve"> </w:t>
      </w:r>
      <w:r>
        <w:t xml:space="preserve">Google’s lock service, providing coarse-grained advisory locks and small files in a file-system-like namespace, replicated across a five-node</w:t>
      </w:r>
      <w:r>
        <w:t xml:space="preserve"> </w:t>
      </w:r>
      <w:r>
        <w:rPr>
          <w:bCs/>
          <w:b/>
        </w:rPr>
        <w:t xml:space="preserve">cell</w:t>
      </w:r>
      <w:r>
        <w:t xml:space="preserve"> </w:t>
      </w:r>
      <w:r>
        <w:t xml:space="preserve">with Paxos, and used chiefly for leader election, naming and storing small amounts of configuration [Burrows 2006].</w:t>
      </w:r>
    </w:p>
    <w:p>
      <w:pPr>
        <w:pStyle w:val="BodyText"/>
      </w:pPr>
      <w:r>
        <w:t xml:space="preserve">Burrows chose a</w:t>
      </w:r>
      <w:r>
        <w:t xml:space="preserve"> </w:t>
      </w:r>
      <w:r>
        <w:rPr>
          <w:iCs/>
          <w:i/>
        </w:rPr>
        <w:t xml:space="preserve">lock service</w:t>
      </w:r>
      <w:r>
        <w:t xml:space="preserve"> </w:t>
      </w:r>
      <w:r>
        <w:t xml:space="preserve">over a consensus library deliberately: taking a lock and writing a file was far easier to add to existing programs than embedding Paxos. Key design points:</w:t>
      </w:r>
    </w:p>
    <w:p>
      <w:pPr>
        <w:numPr>
          <w:ilvl w:val="0"/>
          <w:numId w:val="1856"/>
        </w:numPr>
        <w:pStyle w:val="Compact"/>
      </w:pPr>
      <w:r>
        <w:rPr>
          <w:bCs/>
          <w:b/>
        </w:rPr>
        <w:t xml:space="preserve">Coarse-grained locks</w:t>
      </w:r>
      <w:r>
        <w:t xml:space="preserve">, held for hours or days, not milliseconds, so load is low and brief outages do not disturb current holders.</w:t>
      </w:r>
    </w:p>
    <w:p>
      <w:pPr>
        <w:numPr>
          <w:ilvl w:val="0"/>
          <w:numId w:val="1856"/>
        </w:numPr>
        <w:pStyle w:val="Compact"/>
      </w:pPr>
      <w:r>
        <w:rPr>
          <w:bCs/>
          <w:b/>
        </w:rPr>
        <w:t xml:space="preserve">Sessions and KeepAlives.</w:t>
      </w:r>
      <w:r>
        <w:t xml:space="preserve"> </w:t>
      </w:r>
      <w:r>
        <w:t xml:space="preserve">Each client session has a lease; the master holds each KeepAlive RPC until the lease nears expiry, then replies with a new lease (12 s by default) plus cache invalidations and events. If the lease lapses, the client enters</w:t>
      </w:r>
      <w:r>
        <w:t xml:space="preserve"> </w:t>
      </w:r>
      <w:r>
        <w:rPr>
          <w:bCs/>
          <w:b/>
        </w:rPr>
        <w:t xml:space="preserve">jeopardy</w:t>
      </w:r>
      <w:r>
        <w:t xml:space="preserve">, disables its cache, and waits a</w:t>
      </w:r>
      <w:r>
        <w:t xml:space="preserve"> </w:t>
      </w:r>
      <w:r>
        <w:rPr>
          <w:bCs/>
          <w:b/>
        </w:rPr>
        <w:t xml:space="preserve">grace period</w:t>
      </w:r>
      <w:r>
        <w:t xml:space="preserve"> </w:t>
      </w:r>
      <w:r>
        <w:t xml:space="preserve">(45 s by default) for a new master before declaring the session lost.</w:t>
      </w:r>
    </w:p>
    <w:p>
      <w:pPr>
        <w:numPr>
          <w:ilvl w:val="0"/>
          <w:numId w:val="1856"/>
        </w:numPr>
        <w:pStyle w:val="Compact"/>
      </w:pPr>
      <w:r>
        <w:rPr>
          <w:bCs/>
          <w:b/>
        </w:rPr>
        <w:t xml:space="preserve">Master election and master leases.</w:t>
      </w:r>
      <w:r>
        <w:t xml:space="preserve"> </w:t>
      </w:r>
      <w:r>
        <w:t xml:space="preserve">Replicas elect a master through Paxos; the master holds a lease of a few seconds during which no other master can be elected, letting it serve reads locally.</w:t>
      </w:r>
    </w:p>
    <w:p>
      <w:pPr>
        <w:numPr>
          <w:ilvl w:val="0"/>
          <w:numId w:val="1856"/>
        </w:numPr>
        <w:pStyle w:val="Compact"/>
      </w:pPr>
      <w:r>
        <w:rPr>
          <w:bCs/>
          <w:b/>
        </w:rPr>
        <w:t xml:space="preserve">Consistent client caching</w:t>
      </w:r>
      <w:r>
        <w:t xml:space="preserve"> </w:t>
      </w:r>
      <w:r>
        <w:t xml:space="preserve">with invalidation: the master blocks a write until every caching client has invalidated, so reads are almost always local.</w:t>
      </w:r>
    </w:p>
    <w:p>
      <w:pPr>
        <w:numPr>
          <w:ilvl w:val="0"/>
          <w:numId w:val="1856"/>
        </w:numPr>
        <w:pStyle w:val="Compact"/>
      </w:pPr>
      <w:r>
        <w:rPr>
          <w:bCs/>
          <w:b/>
        </w:rPr>
        <w:t xml:space="preserve">Sequencers and lock-delay.</w:t>
      </w:r>
      <w:r>
        <w:t xml:space="preserve"> </w:t>
      </w:r>
      <w:r>
        <w:t xml:space="preserve">A lock holder can obtain a</w:t>
      </w:r>
      <w:r>
        <w:t xml:space="preserve"> </w:t>
      </w:r>
      <w:r>
        <w:rPr>
          <w:bCs/>
          <w:b/>
        </w:rPr>
        <w:t xml:space="preserve">sequencer</w:t>
      </w:r>
      <w:r>
        <w:t xml:space="preserve"> </w:t>
      </w:r>
      <w:r>
        <w:t xml:space="preserve">(lock name, mode and generation number) and pass it to servers, which check it with Chubby: fencing tokens under another name. For servers that cannot check sequencers, Chubby imposes a</w:t>
      </w:r>
      <w:r>
        <w:t xml:space="preserve"> </w:t>
      </w:r>
      <w:r>
        <w:rPr>
          <w:bCs/>
          <w:b/>
        </w:rPr>
        <w:t xml:space="preserve">lock-delay</w:t>
      </w:r>
      <w:r>
        <w:t xml:space="preserve"> </w:t>
      </w:r>
      <w:r>
        <w:t xml:space="preserve">(up to one minute) before a lock released by a failed holder can be re-acquired.</w:t>
      </w:r>
    </w:p>
    <w:p>
      <w:pPr>
        <w:pStyle w:val="FirstParagraph"/>
      </w:pPr>
      <w:r>
        <w:rPr>
          <w:bCs/>
          <w:b/>
        </w:rPr>
        <w:t xml:space="preserve">Figure 26.15 — How Bigtable and GFS use Chubby.</w:t>
      </w:r>
    </w:p>
    <w:p>
      <w:pPr>
        <w:pStyle w:val="BodyText"/>
      </w:pPr>
      <w:r>
        <w:drawing>
          <wp:inline>
            <wp:extent cx="5334000" cy="2220616"/>
            <wp:effectExtent b="0" l="0" r="0" t="0"/>
            <wp:docPr descr="" title="" id="2984" name="Picture"/>
            <a:graphic>
              <a:graphicData uri="http://schemas.openxmlformats.org/drawingml/2006/picture">
                <pic:pic>
                  <pic:nvPicPr>
                    <pic:cNvPr descr="/home/user/System-Design/build/.cache/diagrams/1eba93929476.png" id="2985" name="Picture"/>
                    <pic:cNvPicPr>
                      <a:picLocks noChangeArrowheads="1" noChangeAspect="1"/>
                    </pic:cNvPicPr>
                  </pic:nvPicPr>
                  <pic:blipFill>
                    <a:blip r:embed="rId2983"/>
                    <a:stretch>
                      <a:fillRect/>
                    </a:stretch>
                  </pic:blipFill>
                  <pic:spPr bwMode="auto">
                    <a:xfrm>
                      <a:off x="0" y="0"/>
                      <a:ext cx="5334000" cy="2220616"/>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Solid arrows are synchronous RPCs; the dotted arrow is an asynchronous event subscription. Bigtable’s and GFS’s masters each hold an exclusive lock so at most one master acts. Each tablet server locks a uniquely named file in a servers directory; the Bigtable master watches it to discover servers and, when one loses its lock, deletes its file and reassigns its tablets. Clients read the root tablet’s location from Chubby, then talk to tablet servers, which store data in GFS; Chubby is off the data path. Failure point: if Chubby is unavailable for long, Bigtable becomes unavailable; the Bigtable paper measured this effect as small but nonzero [Chang et al. 2006]. Scaling: clients cache Chubby data, and Chubby proxies can aggregate KeepAlives.</w:t>
      </w:r>
    </w:p>
    <w:p>
      <w:pPr>
        <w:pStyle w:val="CalloutIndustry"/>
      </w:pPr>
      <w:r>
        <w:rPr>
          <w:bCs/>
          <w:b/>
        </w:rPr>
        <w:t xml:space="preserve">INDUSTRY EXAMPLE</w:t>
      </w:r>
    </w:p>
    <w:p>
      <w:pPr>
        <w:pStyle w:val="CalloutIndustry"/>
      </w:pPr>
      <w:r>
        <w:rPr>
          <w:bCs/>
          <w:b/>
        </w:rPr>
        <w:t xml:space="preserve">Chubby as Google’s name service.</w:t>
      </w:r>
      <w:r>
        <w:t xml:space="preserve"> </w:t>
      </w:r>
      <w:r>
        <w:t xml:space="preserve">Burrows reports that Chubby’s most popular use was not locking but naming: storing small files mapping service names to addresses, where Chubby’s consistent caching outperformed time-based DNS caching. Trade-off: this concentrated a great deal of read load on one service, handled by caching and proxies.</w:t>
      </w:r>
      <w:r>
        <w:t xml:space="preserve"> </w:t>
      </w:r>
      <w:r>
        <w:rPr>
          <w:iCs/>
          <w:i/>
        </w:rPr>
        <w:t xml:space="preserve">Evidence: Primary</w:t>
      </w:r>
      <w:r>
        <w:t xml:space="preserve"> </w:t>
      </w:r>
      <w:r>
        <w:t xml:space="preserve">— [Burrows 2006]</w:t>
      </w:r>
    </w:p>
    <w:bookmarkEnd w:id="2986"/>
    <w:bookmarkStart w:id="2987" w:name="choosing-a-coordination-service"/>
    <w:p>
      <w:pPr>
        <w:pStyle w:val="Heading3"/>
      </w:pPr>
      <w:r>
        <w:t xml:space="preserve">26.14.2 Choosing a coordination service</w:t>
      </w:r>
    </w:p>
    <w:p>
      <w:pPr>
        <w:pStyle w:val="FirstParagraph"/>
      </w:pPr>
      <w:r>
        <w:rPr>
          <w:bCs/>
          <w:b/>
        </w:rPr>
        <w:t xml:space="preserve">Table 26.5 — ZooKeeper vs etcd vs Consul vs Chubby (as of 2026).</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pPr>
          </w:p>
        </w:tc>
        <w:tc>
          <w:tcPr/>
          <w:p>
            <w:pPr>
              <w:pStyle w:val="Compact"/>
              <w:jc w:val="left"/>
            </w:pPr>
            <w:r>
              <w:t xml:space="preserve">ZooKeeper</w:t>
            </w:r>
          </w:p>
        </w:tc>
        <w:tc>
          <w:tcPr/>
          <w:p>
            <w:pPr>
              <w:pStyle w:val="Compact"/>
              <w:jc w:val="left"/>
            </w:pPr>
            <w:r>
              <w:t xml:space="preserve">etcd</w:t>
            </w:r>
          </w:p>
        </w:tc>
        <w:tc>
          <w:tcPr/>
          <w:p>
            <w:pPr>
              <w:pStyle w:val="Compact"/>
              <w:jc w:val="left"/>
            </w:pPr>
            <w:r>
              <w:t xml:space="preserve">Consul</w:t>
            </w:r>
          </w:p>
        </w:tc>
        <w:tc>
          <w:tcPr/>
          <w:p>
            <w:pPr>
              <w:pStyle w:val="Compact"/>
              <w:jc w:val="left"/>
            </w:pPr>
            <w:r>
              <w:t xml:space="preserve">Chubby</w:t>
            </w:r>
          </w:p>
        </w:tc>
      </w:tr>
      <w:tr>
        <w:tc>
          <w:tcPr/>
          <w:p>
            <w:pPr>
              <w:pStyle w:val="Compact"/>
              <w:jc w:val="left"/>
            </w:pPr>
            <w:r>
              <w:t xml:space="preserve">What it is</w:t>
            </w:r>
          </w:p>
        </w:tc>
        <w:tc>
          <w:tcPr/>
          <w:p>
            <w:pPr>
              <w:pStyle w:val="Compact"/>
              <w:jc w:val="left"/>
            </w:pPr>
            <w:r>
              <w:t xml:space="preserve">Apache coordination service; hierarchical znodes</w:t>
            </w:r>
          </w:p>
        </w:tc>
        <w:tc>
          <w:tcPr/>
          <w:p>
            <w:pPr>
              <w:pStyle w:val="Compact"/>
              <w:jc w:val="left"/>
            </w:pPr>
            <w:r>
              <w:t xml:space="preserve">CNCF key–value store; Kubernetes’ database</w:t>
            </w:r>
          </w:p>
        </w:tc>
        <w:tc>
          <w:tcPr/>
          <w:p>
            <w:pPr>
              <w:pStyle w:val="Compact"/>
              <w:jc w:val="left"/>
            </w:pPr>
            <w:r>
              <w:t xml:space="preserve">HashiCorp service-discovery and KV platform</w:t>
            </w:r>
          </w:p>
        </w:tc>
        <w:tc>
          <w:tcPr/>
          <w:p>
            <w:pPr>
              <w:pStyle w:val="Compact"/>
              <w:jc w:val="left"/>
            </w:pPr>
            <w:r>
              <w:t xml:space="preserve">Google-internal lock service</w:t>
            </w:r>
          </w:p>
        </w:tc>
      </w:tr>
      <w:tr>
        <w:tc>
          <w:tcPr/>
          <w:p>
            <w:pPr>
              <w:pStyle w:val="Compact"/>
              <w:jc w:val="left"/>
            </w:pPr>
            <w:r>
              <w:t xml:space="preserve">How it works</w:t>
            </w:r>
          </w:p>
        </w:tc>
        <w:tc>
          <w:tcPr/>
          <w:p>
            <w:pPr>
              <w:pStyle w:val="Compact"/>
              <w:jc w:val="left"/>
            </w:pPr>
            <w:r>
              <w:t xml:space="preserve">ZAB; leader orders writes; any server serves (possibly stale) reads</w:t>
            </w:r>
          </w:p>
        </w:tc>
        <w:tc>
          <w:tcPr/>
          <w:p>
            <w:pPr>
              <w:pStyle w:val="Compact"/>
              <w:jc w:val="left"/>
            </w:pPr>
            <w:r>
              <w:t xml:space="preserve">Raft; MVCC revisions; gRPC API</w:t>
            </w:r>
          </w:p>
        </w:tc>
        <w:tc>
          <w:tcPr/>
          <w:p>
            <w:pPr>
              <w:pStyle w:val="Compact"/>
              <w:jc w:val="left"/>
            </w:pPr>
            <w:r>
              <w:t xml:space="preserve">Raft among servers; gossip (Serf) among agents</w:t>
            </w:r>
          </w:p>
        </w:tc>
        <w:tc>
          <w:tcPr/>
          <w:p>
            <w:pPr>
              <w:pStyle w:val="Compact"/>
              <w:jc w:val="left"/>
            </w:pPr>
            <w:r>
              <w:t xml:space="preserve">Multi-Paxos in a 5-replica cell; master lease</w:t>
            </w:r>
          </w:p>
        </w:tc>
      </w:tr>
      <w:tr>
        <w:tc>
          <w:tcPr/>
          <w:p>
            <w:pPr>
              <w:pStyle w:val="Compact"/>
              <w:jc w:val="left"/>
            </w:pPr>
            <w:r>
              <w:t xml:space="preserve">Advantages</w:t>
            </w:r>
          </w:p>
        </w:tc>
        <w:tc>
          <w:tcPr/>
          <w:p>
            <w:pPr>
              <w:pStyle w:val="Compact"/>
              <w:jc w:val="left"/>
            </w:pPr>
            <w:r>
              <w:t xml:space="preserve">Mature recipes (Apache Curator); ephemeral and sequential nodes; observers</w:t>
            </w:r>
          </w:p>
        </w:tc>
        <w:tc>
          <w:tcPr/>
          <w:p>
            <w:pPr>
              <w:pStyle w:val="Compact"/>
              <w:jc w:val="left"/>
            </w:pPr>
            <w:r>
              <w:t xml:space="preserve">Revision-based watches; leases; transactions; linearizable reads by default</w:t>
            </w:r>
          </w:p>
        </w:tc>
        <w:tc>
          <w:tcPr/>
          <w:p>
            <w:pPr>
              <w:pStyle w:val="Compact"/>
              <w:jc w:val="left"/>
            </w:pPr>
            <w:r>
              <w:t xml:space="preserve">Health checks, DNS interface, multi-datacenter federation, sessions with lock-delay</w:t>
            </w:r>
          </w:p>
        </w:tc>
        <w:tc>
          <w:tcPr/>
          <w:p>
            <w:pPr>
              <w:pStyle w:val="Compact"/>
              <w:jc w:val="left"/>
            </w:pPr>
            <w:r>
              <w:t xml:space="preserve">Sequencers; lock-delay; consistent client caching</w:t>
            </w:r>
          </w:p>
        </w:tc>
      </w:tr>
      <w:tr>
        <w:tc>
          <w:tcPr/>
          <w:p>
            <w:pPr>
              <w:pStyle w:val="Compact"/>
              <w:jc w:val="left"/>
            </w:pPr>
            <w:r>
              <w:t xml:space="preserve">Disadvantages</w:t>
            </w:r>
          </w:p>
        </w:tc>
        <w:tc>
          <w:tcPr/>
          <w:p>
            <w:pPr>
              <w:pStyle w:val="Compact"/>
              <w:jc w:val="left"/>
            </w:pPr>
            <w:r>
              <w:t xml:space="preserve">JVM tuning; one-shot watches (before 3.6); stale reads unless</w:t>
            </w:r>
            <w:r>
              <w:t xml:space="preserve"> </w:t>
            </w:r>
            <w:r>
              <w:rPr>
                <w:rStyle w:val="VerbatimChar"/>
              </w:rPr>
              <w:t xml:space="preserve">sync</w:t>
            </w:r>
          </w:p>
        </w:tc>
        <w:tc>
          <w:tcPr/>
          <w:p>
            <w:pPr>
              <w:pStyle w:val="Compact"/>
              <w:jc w:val="left"/>
            </w:pPr>
            <w:r>
              <w:t xml:space="preserve">Dataset must stay small (2 GB default quota); sensitive to disk latency</w:t>
            </w:r>
          </w:p>
        </w:tc>
        <w:tc>
          <w:tcPr/>
          <w:p>
            <w:pPr>
              <w:pStyle w:val="Compact"/>
              <w:jc w:val="left"/>
            </w:pPr>
            <w:r>
              <w:t xml:space="preserve">KV is secondary to discovery; more moving parts</w:t>
            </w:r>
          </w:p>
        </w:tc>
        <w:tc>
          <w:tcPr/>
          <w:p>
            <w:pPr>
              <w:pStyle w:val="Compact"/>
              <w:jc w:val="left"/>
            </w:pPr>
            <w:r>
              <w:t xml:space="preserve">Not available outside Google</w:t>
            </w:r>
          </w:p>
        </w:tc>
      </w:tr>
      <w:tr>
        <w:tc>
          <w:tcPr/>
          <w:p>
            <w:pPr>
              <w:pStyle w:val="Compact"/>
              <w:jc w:val="left"/>
            </w:pPr>
            <w:r>
              <w:t xml:space="preserve">Performance</w:t>
            </w:r>
          </w:p>
        </w:tc>
        <w:tc>
          <w:tcPr/>
          <w:p>
            <w:pPr>
              <w:pStyle w:val="Compact"/>
              <w:jc w:val="left"/>
            </w:pPr>
            <w:r>
              <w:t xml:space="preserve">Reads scale with servers; writes bounded by leader and quorum</w:t>
            </w:r>
          </w:p>
        </w:tc>
        <w:tc>
          <w:tcPr/>
          <w:p>
            <w:pPr>
              <w:pStyle w:val="Compact"/>
              <w:jc w:val="left"/>
            </w:pPr>
            <w:r>
              <w:t xml:space="preserve">Writes bounded by leader, quorum and</w:t>
            </w:r>
            <w:r>
              <w:t xml:space="preserve"> </w:t>
            </w:r>
            <w:r>
              <w:rPr>
                <w:rStyle w:val="VerbatimChar"/>
              </w:rPr>
              <w:t xml:space="preserve">fsync</w:t>
            </w:r>
          </w:p>
        </w:tc>
        <w:tc>
          <w:tcPr/>
          <w:p>
            <w:pPr>
              <w:pStyle w:val="Compact"/>
              <w:jc w:val="left"/>
            </w:pPr>
            <w:r>
              <w:t xml:space="preserve">Similar to etcd for KV; gossip scales membership</w:t>
            </w:r>
          </w:p>
        </w:tc>
        <w:tc>
          <w:tcPr/>
          <w:p>
            <w:pPr>
              <w:pStyle w:val="Compact"/>
              <w:jc w:val="left"/>
            </w:pPr>
            <w:r>
              <w:t xml:space="preserve">Designed for low load: coarse locks, cached reads</w:t>
            </w:r>
          </w:p>
        </w:tc>
      </w:tr>
      <w:tr>
        <w:tc>
          <w:tcPr/>
          <w:p>
            <w:pPr>
              <w:pStyle w:val="Compact"/>
              <w:jc w:val="left"/>
            </w:pPr>
            <w:r>
              <w:t xml:space="preserve">Operational complexity</w:t>
            </w:r>
          </w:p>
        </w:tc>
        <w:tc>
          <w:tcPr/>
          <w:p>
            <w:pPr>
              <w:pStyle w:val="Compact"/>
              <w:jc w:val="left"/>
            </w:pPr>
            <w:r>
              <w:t xml:space="preserve">Medium–high (separate JVM ensemble)</w:t>
            </w:r>
          </w:p>
        </w:tc>
        <w:tc>
          <w:tcPr/>
          <w:p>
            <w:pPr>
              <w:pStyle w:val="Compact"/>
              <w:jc w:val="left"/>
            </w:pPr>
            <w:r>
              <w:t xml:space="preserve">Medium (defrag, compaction, backups)</w:t>
            </w:r>
          </w:p>
        </w:tc>
        <w:tc>
          <w:tcPr/>
          <w:p>
            <w:pPr>
              <w:pStyle w:val="Compact"/>
              <w:jc w:val="left"/>
            </w:pPr>
            <w:r>
              <w:t xml:space="preserve">Medium–high (servers plus agent on every node)</w:t>
            </w:r>
          </w:p>
        </w:tc>
        <w:tc>
          <w:tcPr/>
          <w:p>
            <w:pPr>
              <w:pStyle w:val="Compact"/>
              <w:jc w:val="left"/>
            </w:pPr>
            <w:r>
              <w:t xml:space="preserve">Run by a central team</w:t>
            </w:r>
          </w:p>
        </w:tc>
      </w:tr>
      <w:tr>
        <w:tc>
          <w:tcPr/>
          <w:p>
            <w:pPr>
              <w:pStyle w:val="Compact"/>
              <w:jc w:val="left"/>
            </w:pPr>
            <w:r>
              <w:t xml:space="preserve">Cost</w:t>
            </w:r>
          </w:p>
        </w:tc>
        <w:tc>
          <w:tcPr/>
          <w:p>
            <w:pPr>
              <w:pStyle w:val="Compact"/>
              <w:jc w:val="left"/>
            </w:pPr>
            <w:r>
              <w:t xml:space="preserve">Open source; 3–5 dedicated nodes</w:t>
            </w:r>
          </w:p>
        </w:tc>
        <w:tc>
          <w:tcPr/>
          <w:p>
            <w:pPr>
              <w:pStyle w:val="Compact"/>
              <w:jc w:val="left"/>
            </w:pPr>
            <w:r>
              <w:t xml:space="preserve">Open source; 3–5 nodes with fast SSDs</w:t>
            </w:r>
          </w:p>
        </w:tc>
        <w:tc>
          <w:tcPr/>
          <w:p>
            <w:pPr>
              <w:pStyle w:val="Compact"/>
              <w:jc w:val="left"/>
            </w:pPr>
            <w:r>
              <w:t xml:space="preserve">Open source plus commercial edition</w:t>
            </w:r>
          </w:p>
        </w:tc>
        <w:tc>
          <w:tcPr/>
          <w:p>
            <w:pPr>
              <w:pStyle w:val="Compact"/>
              <w:jc w:val="left"/>
            </w:pPr>
            <w:r>
              <w:t xml:space="preserve">Internal</w:t>
            </w:r>
          </w:p>
        </w:tc>
      </w:tr>
      <w:tr>
        <w:tc>
          <w:tcPr/>
          <w:p>
            <w:pPr>
              <w:pStyle w:val="Compact"/>
              <w:jc w:val="left"/>
            </w:pPr>
            <w:r>
              <w:t xml:space="preserve">Use cases</w:t>
            </w:r>
          </w:p>
        </w:tc>
        <w:tc>
          <w:tcPr/>
          <w:p>
            <w:pPr>
              <w:pStyle w:val="Compact"/>
              <w:jc w:val="left"/>
            </w:pPr>
            <w:r>
              <w:t xml:space="preserve">Hadoop, HBase, older Kafka, Solr</w:t>
            </w:r>
          </w:p>
        </w:tc>
        <w:tc>
          <w:tcPr/>
          <w:p>
            <w:pPr>
              <w:pStyle w:val="Compact"/>
              <w:jc w:val="left"/>
            </w:pPr>
            <w:r>
              <w:t xml:space="preserve">Kubernetes, CoreDNS, Vitess topology, many cloud-native systems</w:t>
            </w:r>
          </w:p>
        </w:tc>
        <w:tc>
          <w:tcPr/>
          <w:p>
            <w:pPr>
              <w:pStyle w:val="Compact"/>
              <w:jc w:val="left"/>
            </w:pPr>
            <w:r>
              <w:t xml:space="preserve">Service mesh, discovery, config, locks</w:t>
            </w:r>
          </w:p>
        </w:tc>
        <w:tc>
          <w:tcPr/>
          <w:p>
            <w:pPr>
              <w:pStyle w:val="Compact"/>
              <w:jc w:val="left"/>
            </w:pPr>
            <w:r>
              <w:t xml:space="preserve">GFS, Bigtable master election; naming</w:t>
            </w:r>
          </w:p>
        </w:tc>
      </w:tr>
      <w:tr>
        <w:tc>
          <w:tcPr/>
          <w:p>
            <w:pPr>
              <w:pStyle w:val="Compact"/>
              <w:jc w:val="left"/>
            </w:pPr>
            <w:r>
              <w:t xml:space="preserve">Choose when</w:t>
            </w:r>
          </w:p>
        </w:tc>
        <w:tc>
          <w:tcPr/>
          <w:p>
            <w:pPr>
              <w:pStyle w:val="Compact"/>
              <w:jc w:val="left"/>
            </w:pPr>
            <w:r>
              <w:t xml:space="preserve">You run the Hadoop ecosystem or need its recipes</w:t>
            </w:r>
          </w:p>
        </w:tc>
        <w:tc>
          <w:tcPr/>
          <w:p>
            <w:pPr>
              <w:pStyle w:val="Compact"/>
              <w:jc w:val="left"/>
            </w:pPr>
            <w:r>
              <w:t xml:space="preserve">You build on Kubernetes or need watches with history</w:t>
            </w:r>
          </w:p>
        </w:tc>
        <w:tc>
          <w:tcPr/>
          <w:p>
            <w:pPr>
              <w:pStyle w:val="Compact"/>
              <w:jc w:val="left"/>
            </w:pPr>
            <w:r>
              <w:t xml:space="preserve">You need discovery and health checking with locks</w:t>
            </w:r>
          </w:p>
        </w:tc>
        <w:tc>
          <w:tcPr/>
          <w:p>
            <w:pPr>
              <w:pStyle w:val="Compact"/>
              <w:jc w:val="left"/>
            </w:pPr>
            <w:r>
              <w:t xml:space="preserve">(Model for your designs)</w:t>
            </w:r>
          </w:p>
        </w:tc>
      </w:tr>
    </w:tbl>
    <w:p>
      <w:pPr>
        <w:pStyle w:val="BodyText"/>
      </w:pPr>
      <w:r>
        <w:t xml:space="preserve">Many systems now</w:t>
      </w:r>
      <w:r>
        <w:t xml:space="preserve"> </w:t>
      </w:r>
      <w:r>
        <w:rPr>
          <w:bCs/>
          <w:b/>
        </w:rPr>
        <w:t xml:space="preserve">embed</w:t>
      </w:r>
      <w:r>
        <w:t xml:space="preserve"> </w:t>
      </w:r>
      <w:r>
        <w:t xml:space="preserve">a Raft library (etcd’s</w:t>
      </w:r>
      <w:r>
        <w:t xml:space="preserve"> </w:t>
      </w:r>
      <w:r>
        <w:rPr>
          <w:rStyle w:val="VerbatimChar"/>
        </w:rPr>
        <w:t xml:space="preserve">raft</w:t>
      </w:r>
      <w:r>
        <w:t xml:space="preserve">, HashiCorp’s</w:t>
      </w:r>
      <w:r>
        <w:t xml:space="preserve"> </w:t>
      </w:r>
      <w:r>
        <w:rPr>
          <w:rStyle w:val="VerbatimChar"/>
        </w:rPr>
        <w:t xml:space="preserve">raft</w:t>
      </w:r>
      <w:r>
        <w:t xml:space="preserve">) instead of running an external service, as Kafka did with KRaft; and conditional writes in managed stores can serve as leases or fencing points without running a quorum yourself.</w:t>
      </w:r>
    </w:p>
    <w:bookmarkEnd w:id="2987"/>
    <w:bookmarkEnd w:id="2988"/>
    <w:bookmarkStart w:id="2989" w:name="summary-and-revision-notes-25"/>
    <w:p>
      <w:pPr>
        <w:pStyle w:val="Heading2"/>
      </w:pPr>
      <w:r>
        <w:t xml:space="preserve">26.15 Summary and revision notes</w:t>
      </w:r>
    </w:p>
    <w:p>
      <w:pPr>
        <w:pStyle w:val="CalloutSummary"/>
      </w:pPr>
      <w:r>
        <w:rPr>
          <w:bCs/>
          <w:b/>
        </w:rPr>
        <w:t xml:space="preserve">SUMMARY</w:t>
      </w:r>
    </w:p>
    <w:p>
      <w:pPr>
        <w:numPr>
          <w:ilvl w:val="0"/>
          <w:numId w:val="1857"/>
        </w:numPr>
        <w:pStyle w:val="Compact"/>
      </w:pPr>
      <w:r>
        <w:rPr>
          <w:bCs/>
          <w:b/>
        </w:rPr>
        <w:t xml:space="preserve">Consensus</w:t>
      </w:r>
      <w:r>
        <w:t xml:space="preserve">: agreement, validity, termination. FLP forbids guaranteed termination under asynchrony, so algorithms keep safety always and liveness under partial synchrony:</w:t>
      </w:r>
      <w:r>
        <w:t xml:space="preserve"> </w:t>
      </w:r>
      <w:r>
        <w:rPr>
          <w:iCs/>
          <w:i/>
        </w:rPr>
        <w:t xml:space="preserve">safety from quorums, liveness from timeouts</w:t>
      </w:r>
      <w:r>
        <w:t xml:space="preserve">.</w:t>
      </w:r>
    </w:p>
    <w:p>
      <w:pPr>
        <w:numPr>
          <w:ilvl w:val="0"/>
          <w:numId w:val="1857"/>
        </w:numPr>
        <w:pStyle w:val="Compact"/>
      </w:pPr>
      <w:r>
        <w:t xml:space="preserve">A</w:t>
      </w:r>
      <w:r>
        <w:t xml:space="preserve"> </w:t>
      </w:r>
      <w:r>
        <w:rPr>
          <w:bCs/>
          <w:b/>
        </w:rPr>
        <w:t xml:space="preserve">replicated state machine</w:t>
      </w:r>
      <w:r>
        <w:t xml:space="preserve"> </w:t>
      </w:r>
      <w:r>
        <w:t xml:space="preserve">runs one consensus decision per log slot; deterministic replicas applying the same log stay identical.</w:t>
      </w:r>
    </w:p>
    <w:p>
      <w:pPr>
        <w:numPr>
          <w:ilvl w:val="0"/>
          <w:numId w:val="1857"/>
        </w:numPr>
        <w:pStyle w:val="Compact"/>
      </w:pPr>
      <w:r>
        <w:rPr>
          <w:bCs/>
          <w:b/>
        </w:rPr>
        <w:t xml:space="preserve">Majority quorums</w:t>
      </w:r>
      <w:r>
        <w:t xml:space="preserve"> </w:t>
      </w:r>
      <w:r>
        <w:t xml:space="preserve">intersect.</w:t>
      </w:r>
      <w:r>
        <w:t xml:space="preserve"> </w:t>
      </w:r>
      <m:oMath>
        <m:r>
          <m:t>N</m:t>
        </m:r>
        <m:r>
          <m:rPr>
            <m:sty m:val="p"/>
          </m:rPr>
          <m:t>=</m:t>
        </m:r>
        <m:r>
          <m:t>2</m:t>
        </m:r>
        <m:r>
          <m:t>f</m:t>
        </m:r>
        <m:r>
          <m:rPr>
            <m:sty m:val="p"/>
          </m:rPr>
          <m:t>+</m:t>
        </m:r>
        <m:r>
          <m:t>1</m:t>
        </m:r>
      </m:oMath>
      <w:r>
        <w:t xml:space="preserve"> </w:t>
      </w:r>
      <w:r>
        <w:t xml:space="preserve">tolerates</w:t>
      </w:r>
      <w:r>
        <w:t xml:space="preserve"> </w:t>
      </w:r>
      <m:oMath>
        <m:r>
          <m:t>f</m:t>
        </m:r>
      </m:oMath>
      <w:r>
        <w:t xml:space="preserve"> </w:t>
      </w:r>
      <w:r>
        <w:t xml:space="preserve">crashes; use 3 or 5 voters, never an even number. Commit latency is the</w:t>
      </w:r>
      <w:r>
        <w:t xml:space="preserve"> </w:t>
      </w:r>
      <m:oMath>
        <m:d>
          <m:dPr>
            <m:begChr m:val="("/>
            <m:endChr m:val=")"/>
            <m:sepChr m:val=""/>
            <m:grow/>
          </m:dPr>
          <m:e>
            <m:r>
              <m:t>q</m:t>
            </m:r>
            <m:r>
              <m:rPr>
                <m:sty m:val="p"/>
              </m:rPr>
              <m:t>−</m:t>
            </m:r>
            <m:r>
              <m:t>1</m:t>
            </m:r>
          </m:e>
        </m:d>
      </m:oMath>
      <w:r>
        <w:t xml:space="preserve">-th fastest follower RTT, so placement matters as much as count. Flexible Paxos needs only</w:t>
      </w:r>
      <w:r>
        <w:t xml:space="preserve"> </w:t>
      </w:r>
      <m:oMath>
        <m:d>
          <m:dPr>
            <m:begChr m:val="|"/>
            <m:endChr m:val="|"/>
            <m:sepChr m:val=""/>
            <m:grow/>
          </m:dPr>
          <m:e>
            <m:sSub>
              <m:e>
                <m:r>
                  <m:t>Q</m:t>
                </m:r>
              </m:e>
              <m:sub>
                <m:r>
                  <m:t>1</m:t>
                </m:r>
              </m:sub>
            </m:sSub>
          </m:e>
        </m:d>
        <m:r>
          <m:rPr>
            <m:sty m:val="p"/>
          </m:rPr>
          <m:t>+</m:t>
        </m:r>
        <m:d>
          <m:dPr>
            <m:begChr m:val="|"/>
            <m:endChr m:val="|"/>
            <m:sepChr m:val=""/>
            <m:grow/>
          </m:dPr>
          <m:e>
            <m:sSub>
              <m:e>
                <m:r>
                  <m:t>Q</m:t>
                </m:r>
              </m:e>
              <m:sub>
                <m:r>
                  <m:t>2</m:t>
                </m:r>
              </m:sub>
            </m:sSub>
          </m:e>
        </m:d>
        <m:r>
          <m:rPr>
            <m:sty m:val="p"/>
          </m:rPr>
          <m:t>&gt;</m:t>
        </m:r>
        <m:r>
          <m:t>N</m:t>
        </m:r>
      </m:oMath>
      <w:r>
        <w:t xml:space="preserve">.</w:t>
      </w:r>
    </w:p>
    <w:p>
      <w:pPr>
        <w:numPr>
          <w:ilvl w:val="0"/>
          <w:numId w:val="1857"/>
        </w:numPr>
        <w:pStyle w:val="Compact"/>
      </w:pPr>
      <w:r>
        <w:rPr>
          <w:bCs/>
          <w:b/>
        </w:rPr>
        <w:t xml:space="preserve">Leader election</w:t>
      </w:r>
      <w:r>
        <w:t xml:space="preserve"> </w:t>
      </w:r>
      <w:r>
        <w:t xml:space="preserve">yields a node that</w:t>
      </w:r>
      <w:r>
        <w:t xml:space="preserve"> </w:t>
      </w:r>
      <w:r>
        <w:rPr>
          <w:iCs/>
          <w:i/>
        </w:rPr>
        <w:t xml:space="preserve">believes</w:t>
      </w:r>
      <w:r>
        <w:t xml:space="preserve"> </w:t>
      </w:r>
      <w:r>
        <w:t xml:space="preserve">it leads; safety needs quorum-checked actions or fencing.</w:t>
      </w:r>
    </w:p>
    <w:p>
      <w:pPr>
        <w:numPr>
          <w:ilvl w:val="0"/>
          <w:numId w:val="1857"/>
        </w:numPr>
        <w:pStyle w:val="Compact"/>
      </w:pPr>
      <w:r>
        <w:rPr>
          <w:bCs/>
          <w:b/>
        </w:rPr>
        <w:t xml:space="preserve">Paxos</w:t>
      </w:r>
      <w:r>
        <w:t xml:space="preserve">: prepare/promise discovers and locks out the past; accept/accepted decides; a proposer must adopt the highest-numbered accepted value it hears. Dueling proposers can livelock; Multi-Paxos uses a stable leader and skips phase 1.</w:t>
      </w:r>
    </w:p>
    <w:p>
      <w:pPr>
        <w:numPr>
          <w:ilvl w:val="0"/>
          <w:numId w:val="1857"/>
        </w:numPr>
        <w:pStyle w:val="Compact"/>
      </w:pPr>
      <w:r>
        <w:rPr>
          <w:bCs/>
          <w:b/>
        </w:rPr>
        <w:t xml:space="preserve">Raft</w:t>
      </w:r>
      <w:r>
        <w:t xml:space="preserve">: terms, randomized election timeouts, RequestVote with an up-to-date check, AppendEntries with a consistency check (log matching), commit only current-term entries (Figure 8), no-op on election, snapshots, joint or single-server membership changes, ReadIndex or lease reads.</w:t>
      </w:r>
    </w:p>
    <w:p>
      <w:pPr>
        <w:numPr>
          <w:ilvl w:val="0"/>
          <w:numId w:val="1857"/>
        </w:numPr>
        <w:pStyle w:val="Compact"/>
      </w:pPr>
      <w:r>
        <w:rPr>
          <w:bCs/>
          <w:b/>
        </w:rPr>
        <w:t xml:space="preserve">ZooKeeper</w:t>
      </w:r>
      <w:r>
        <w:t xml:space="preserve"> </w:t>
      </w:r>
      <w:r>
        <w:t xml:space="preserve">(ZAB) offers znodes, ephemeral and sequential nodes and watches for recipes;</w:t>
      </w:r>
      <w:r>
        <w:t xml:space="preserve"> </w:t>
      </w:r>
      <w:r>
        <w:rPr>
          <w:bCs/>
          <w:b/>
        </w:rPr>
        <w:t xml:space="preserve">etcd</w:t>
      </w:r>
      <w:r>
        <w:t xml:space="preserve"> </w:t>
      </w:r>
      <w:r>
        <w:t xml:space="preserve">offers revisions, history-preserving watches, leases and transactions and backs Kubernetes;</w:t>
      </w:r>
      <w:r>
        <w:t xml:space="preserve"> </w:t>
      </w:r>
      <w:r>
        <w:rPr>
          <w:bCs/>
          <w:b/>
        </w:rPr>
        <w:t xml:space="preserve">Chubby</w:t>
      </w:r>
      <w:r>
        <w:t xml:space="preserve"> </w:t>
      </w:r>
      <w:r>
        <w:t xml:space="preserve">pioneered coarse-grained locks, sessions, KeepAlives, sequencers and lock-delay.</w:t>
      </w:r>
    </w:p>
    <w:p>
      <w:pPr>
        <w:numPr>
          <w:ilvl w:val="0"/>
          <w:numId w:val="1857"/>
        </w:numPr>
        <w:pStyle w:val="Compact"/>
      </w:pPr>
      <w:r>
        <w:rPr>
          <w:bCs/>
          <w:b/>
        </w:rPr>
        <w:t xml:space="preserve">Expiring locks</w:t>
      </w:r>
      <w:r>
        <w:t xml:space="preserve"> </w:t>
      </w:r>
      <w:r>
        <w:t xml:space="preserve">cannot stop a paused holder; the Redlock debate centers on timing assumptions and missing fencing.</w:t>
      </w:r>
      <w:r>
        <w:t xml:space="preserve"> </w:t>
      </w:r>
      <w:r>
        <w:rPr>
          <w:bCs/>
          <w:b/>
        </w:rPr>
        <w:t xml:space="preserve">Leases</w:t>
      </w:r>
      <w:r>
        <w:t xml:space="preserve"> </w:t>
      </w:r>
      <w:r>
        <w:t xml:space="preserve">need margins for drift and, above all, pauses.</w:t>
      </w:r>
    </w:p>
    <w:p>
      <w:pPr>
        <w:numPr>
          <w:ilvl w:val="0"/>
          <w:numId w:val="1857"/>
        </w:numPr>
        <w:pStyle w:val="Compact"/>
      </w:pPr>
      <w:r>
        <w:rPr>
          <w:bCs/>
          <w:b/>
        </w:rPr>
        <w:t xml:space="preserve">Split brain</w:t>
      </w:r>
      <w:r>
        <w:t xml:space="preserve"> </w:t>
      </w:r>
      <w:r>
        <w:t xml:space="preserve">is prevented by quorums, witnesses, STONITH and</w:t>
      </w:r>
      <w:r>
        <w:t xml:space="preserve"> </w:t>
      </w:r>
      <w:r>
        <w:rPr>
          <w:bCs/>
          <w:b/>
        </w:rPr>
        <w:t xml:space="preserve">fencing tokens</w:t>
      </w:r>
      <w:r>
        <w:t xml:space="preserve">, which let the resource reject stale holders.</w:t>
      </w:r>
    </w:p>
    <w:bookmarkEnd w:id="2989"/>
    <w:bookmarkStart w:id="2990" w:name="knowledge-checkpoint-25"/>
    <w:p>
      <w:pPr>
        <w:pStyle w:val="Heading2"/>
      </w:pPr>
      <w:r>
        <w:t xml:space="preserve">26.16 Knowledge checkpoint</w:t>
      </w:r>
    </w:p>
    <w:p>
      <w:pPr>
        <w:numPr>
          <w:ilvl w:val="0"/>
          <w:numId w:val="1858"/>
        </w:numPr>
        <w:pStyle w:val="Compact"/>
      </w:pPr>
      <w:r>
        <w:t xml:space="preserve">Which consensus properties are safety properties and which is a liveness property?</w:t>
      </w:r>
    </w:p>
    <w:p>
      <w:pPr>
        <w:numPr>
          <w:ilvl w:val="0"/>
          <w:numId w:val="1858"/>
        </w:numPr>
        <w:pStyle w:val="Compact"/>
      </w:pPr>
      <w:r>
        <w:t xml:space="preserve">How many failures does a 6-voter cluster tolerate, and why is it a poor choice?</w:t>
      </w:r>
    </w:p>
    <w:p>
      <w:pPr>
        <w:numPr>
          <w:ilvl w:val="0"/>
          <w:numId w:val="1858"/>
        </w:numPr>
        <w:pStyle w:val="Compact"/>
      </w:pPr>
      <w:r>
        <w:t xml:space="preserve">Five voters have follower RTTs of 2, 3, 40 and 45 ms. What is the commit latency with 1 ms flushes?</w:t>
      </w:r>
    </w:p>
    <w:p>
      <w:pPr>
        <w:numPr>
          <w:ilvl w:val="0"/>
          <w:numId w:val="1858"/>
        </w:numPr>
        <w:pStyle w:val="Compact"/>
      </w:pPr>
      <w:r>
        <w:t xml:space="preserve">With</w:t>
      </w:r>
      <w:r>
        <w:t xml:space="preserve"> </w:t>
      </w:r>
      <m:oMath>
        <m:r>
          <m:t>N</m:t>
        </m:r>
        <m:r>
          <m:rPr>
            <m:sty m:val="p"/>
          </m:rPr>
          <m:t>=</m:t>
        </m:r>
        <m:r>
          <m:t>9</m:t>
        </m:r>
      </m:oMath>
      <w:r>
        <w:t xml:space="preserve"> </w:t>
      </w:r>
      <w:r>
        <w:t xml:space="preserve">and</w:t>
      </w:r>
      <w:r>
        <w:t xml:space="preserve"> </w:t>
      </w:r>
      <m:oMath>
        <m:d>
          <m:dPr>
            <m:begChr m:val="|"/>
            <m:endChr m:val="|"/>
            <m:sepChr m:val=""/>
            <m:grow/>
          </m:dPr>
          <m:e>
            <m:sSub>
              <m:e>
                <m:r>
                  <m:t>Q</m:t>
                </m:r>
              </m:e>
              <m:sub>
                <m:r>
                  <m:t>2</m:t>
                </m:r>
              </m:sub>
            </m:sSub>
          </m:e>
        </m:d>
        <m:r>
          <m:rPr>
            <m:sty m:val="p"/>
          </m:rPr>
          <m:t>=</m:t>
        </m:r>
        <m:r>
          <m:t>3</m:t>
        </m:r>
      </m:oMath>
      <w:r>
        <w:t xml:space="preserve">, what is the minimum phase-1 quorum in Flexible Paxos?</w:t>
      </w:r>
    </w:p>
    <w:p>
      <w:pPr>
        <w:numPr>
          <w:ilvl w:val="0"/>
          <w:numId w:val="1858"/>
        </w:numPr>
        <w:pStyle w:val="Compact"/>
      </w:pPr>
      <w:r>
        <w:t xml:space="preserve">In Paxos, a proposer receives promises reporting accepted proposals (2.1, A) and (3.2, B). Which value must it propose?</w:t>
      </w:r>
    </w:p>
    <w:p>
      <w:pPr>
        <w:numPr>
          <w:ilvl w:val="0"/>
          <w:numId w:val="1858"/>
        </w:numPr>
        <w:pStyle w:val="Compact"/>
      </w:pPr>
      <w:r>
        <w:t xml:space="preserve">Why can dueling proposers prevent Paxos from deciding, and what fixes it?</w:t>
      </w:r>
    </w:p>
    <w:p>
      <w:pPr>
        <w:numPr>
          <w:ilvl w:val="0"/>
          <w:numId w:val="1858"/>
        </w:numPr>
        <w:pStyle w:val="Compact"/>
      </w:pPr>
      <w:r>
        <w:t xml:space="preserve">A Raft node’s last entry is (index 9, term 3). A candidate’s last entry is (index 12, term 2). Does the node grant its vote?</w:t>
      </w:r>
    </w:p>
    <w:p>
      <w:pPr>
        <w:numPr>
          <w:ilvl w:val="0"/>
          <w:numId w:val="1858"/>
        </w:numPr>
        <w:pStyle w:val="Compact"/>
      </w:pPr>
      <w:r>
        <w:t xml:space="preserve">Why does a new Raft leader append a no-op entry?</w:t>
      </w:r>
    </w:p>
    <w:p>
      <w:pPr>
        <w:numPr>
          <w:ilvl w:val="0"/>
          <w:numId w:val="1858"/>
        </w:numPr>
        <w:pStyle w:val="Compact"/>
      </w:pPr>
      <w:r>
        <w:t xml:space="preserve">What does the log matching property guarantee, and which check enforces it?</w:t>
      </w:r>
    </w:p>
    <w:p>
      <w:pPr>
        <w:numPr>
          <w:ilvl w:val="0"/>
          <w:numId w:val="1858"/>
        </w:numPr>
        <w:pStyle w:val="Compact"/>
      </w:pPr>
      <w:r>
        <w:t xml:space="preserve">Why are single-server membership changes safe without joint consensus?</w:t>
      </w:r>
    </w:p>
    <w:p>
      <w:pPr>
        <w:numPr>
          <w:ilvl w:val="0"/>
          <w:numId w:val="1858"/>
        </w:numPr>
        <w:pStyle w:val="Compact"/>
      </w:pPr>
      <w:r>
        <w:t xml:space="preserve">How does ReadIndex make a leader read linearizable without writing to the log?</w:t>
      </w:r>
    </w:p>
    <w:p>
      <w:pPr>
        <w:numPr>
          <w:ilvl w:val="0"/>
          <w:numId w:val="1858"/>
        </w:numPr>
        <w:pStyle w:val="Compact"/>
      </w:pPr>
      <w:r>
        <w:t xml:space="preserve">Why do ZooKeeper lock waiters watch their predecessor rather than the lock holder?</w:t>
      </w:r>
    </w:p>
    <w:p>
      <w:pPr>
        <w:numPr>
          <w:ilvl w:val="0"/>
          <w:numId w:val="1858"/>
        </w:numPr>
        <w:pStyle w:val="Compact"/>
      </w:pPr>
      <w:r>
        <w:t xml:space="preserve">A lease is 6 s,</w:t>
      </w:r>
      <w:r>
        <w:t xml:space="preserve"> </w:t>
      </w:r>
      <m:oMath>
        <m:r>
          <m:t>ρ</m:t>
        </m:r>
        <m:r>
          <m:rPr>
            <m:sty m:val="p"/>
          </m:rPr>
          <m:t>=</m:t>
        </m:r>
        <m:r>
          <m:t>2</m:t>
        </m:r>
        <m:r>
          <m:rPr>
            <m:sty m:val="p"/>
          </m:rPr>
          <m:t>×</m:t>
        </m:r>
        <m:sSup>
          <m:e>
            <m:r>
              <m:t>10</m:t>
            </m:r>
          </m:e>
          <m:sup>
            <m:r>
              <m:rPr>
                <m:sty m:val="p"/>
              </m:rPr>
              <m:t>−</m:t>
            </m:r>
            <m:r>
              <m:t>4</m:t>
            </m:r>
          </m:sup>
        </m:sSup>
      </m:oMath>
      <w:r>
        <w:t xml:space="preserve">,</w:t>
      </w:r>
      <w:r>
        <w:t xml:space="preserve"> </w:t>
      </w:r>
      <m:oMath>
        <m:sSub>
          <m:e>
            <m:r>
              <m:t>d</m:t>
            </m:r>
          </m:e>
          <m:sub>
            <m:r>
              <m:rPr>
                <m:sty m:val="p"/>
              </m:rPr>
              <m:t>max</m:t>
            </m:r>
          </m:sub>
        </m:sSub>
        <m:r>
          <m:rPr>
            <m:sty m:val="p"/>
          </m:rPr>
          <m:t>=</m:t>
        </m:r>
        <m:r>
          <m:t>1</m:t>
        </m:r>
      </m:oMath>
      <w:r>
        <w:t xml:space="preserve"> </w:t>
      </w:r>
      <w:r>
        <w:t xml:space="preserve">s. When must the holder stop?</w:t>
      </w:r>
    </w:p>
    <w:p>
      <w:pPr>
        <w:numPr>
          <w:ilvl w:val="0"/>
          <w:numId w:val="1858"/>
        </w:numPr>
        <w:pStyle w:val="Compact"/>
      </w:pPr>
      <w:r>
        <w:t xml:space="preserve">Why is a random lock value not a fencing token?</w:t>
      </w:r>
    </w:p>
    <w:p>
      <w:pPr>
        <w:pStyle w:val="FirstParagraph"/>
      </w:pPr>
      <w:r>
        <w:t xml:space="preserve">Answers</w:t>
      </w:r>
    </w:p>
    <w:p>
      <w:pPr>
        <w:numPr>
          <w:ilvl w:val="0"/>
          <w:numId w:val="1859"/>
        </w:numPr>
        <w:pStyle w:val="Compact"/>
      </w:pPr>
      <w:r>
        <w:t xml:space="preserve">Agreement and validity are safety; termination is liveness.</w:t>
      </w:r>
    </w:p>
    <w:p>
      <w:pPr>
        <w:numPr>
          <w:ilvl w:val="0"/>
          <w:numId w:val="1859"/>
        </w:numPr>
        <w:pStyle w:val="Compact"/>
      </w:pPr>
      <m:oMath>
        <m:r>
          <m:t>q</m:t>
        </m:r>
        <m:r>
          <m:rPr>
            <m:sty m:val="p"/>
          </m:rPr>
          <m:t>=</m:t>
        </m:r>
        <m:r>
          <m:t>4</m:t>
        </m:r>
      </m:oMath>
      <w:r>
        <w:t xml:space="preserve">,</w:t>
      </w:r>
      <w:r>
        <w:t xml:space="preserve"> </w:t>
      </w:r>
      <m:oMath>
        <m:r>
          <m:t>f</m:t>
        </m:r>
        <m:r>
          <m:rPr>
            <m:sty m:val="p"/>
          </m:rPr>
          <m:t>=</m:t>
        </m:r>
        <m:r>
          <m:t>2</m:t>
        </m:r>
      </m:oMath>
      <w:r>
        <w:t xml:space="preserve">, the same as 5 voters, with one more machine to fail and a larger quorum to wait for.</w:t>
      </w:r>
    </w:p>
    <w:p>
      <w:pPr>
        <w:numPr>
          <w:ilvl w:val="0"/>
          <w:numId w:val="1859"/>
        </w:numPr>
        <w:pStyle w:val="Compact"/>
      </w:pPr>
      <m:oMath>
        <m:r>
          <m:t>q</m:t>
        </m:r>
        <m:r>
          <m:rPr>
            <m:sty m:val="p"/>
          </m:rPr>
          <m:t>−</m:t>
        </m:r>
        <m:r>
          <m:t>1</m:t>
        </m:r>
        <m:r>
          <m:rPr>
            <m:sty m:val="p"/>
          </m:rPr>
          <m:t>=</m:t>
        </m:r>
        <m:r>
          <m:t>2</m:t>
        </m:r>
      </m:oMath>
      <w:r>
        <w:t xml:space="preserve"> </w:t>
      </w:r>
      <w:r>
        <w:t xml:space="preserve">followers; the second-fastest RTT is 3 ms;</w:t>
      </w:r>
      <w:r>
        <w:t xml:space="preserve"> </w:t>
      </w:r>
      <m:oMath>
        <m:r>
          <m:t>L</m:t>
        </m:r>
        <m:r>
          <m:rPr>
            <m:sty m:val="p"/>
          </m:rPr>
          <m:t>≈</m:t>
        </m:r>
        <m:r>
          <m:t>1</m:t>
        </m:r>
        <m:r>
          <m:rPr>
            <m:sty m:val="p"/>
          </m:rPr>
          <m:t>+</m:t>
        </m:r>
        <m:r>
          <m:t>3</m:t>
        </m:r>
        <m:r>
          <m:rPr>
            <m:sty m:val="p"/>
          </m:rPr>
          <m:t>=</m:t>
        </m:r>
        <m:r>
          <m:t>4</m:t>
        </m:r>
      </m:oMath>
      <w:r>
        <w:t xml:space="preserve"> </w:t>
      </w:r>
      <w:r>
        <w:t xml:space="preserve">ms.</w:t>
      </w:r>
    </w:p>
    <w:p>
      <w:pPr>
        <w:numPr>
          <w:ilvl w:val="0"/>
          <w:numId w:val="1859"/>
        </w:numPr>
        <w:pStyle w:val="Compact"/>
      </w:pPr>
      <m:oMath>
        <m:d>
          <m:dPr>
            <m:begChr m:val="|"/>
            <m:endChr m:val="|"/>
            <m:sepChr m:val=""/>
            <m:grow/>
          </m:dPr>
          <m:e>
            <m:sSub>
              <m:e>
                <m:r>
                  <m:t>Q</m:t>
                </m:r>
              </m:e>
              <m:sub>
                <m:r>
                  <m:t>1</m:t>
                </m:r>
              </m:sub>
            </m:sSub>
          </m:e>
        </m:d>
        <m:r>
          <m:rPr>
            <m:sty m:val="p"/>
          </m:rPr>
          <m:t>≥</m:t>
        </m:r>
        <m:r>
          <m:t>9</m:t>
        </m:r>
        <m:r>
          <m:rPr>
            <m:sty m:val="p"/>
          </m:rPr>
          <m:t>−</m:t>
        </m:r>
        <m:r>
          <m:t>3</m:t>
        </m:r>
        <m:r>
          <m:rPr>
            <m:sty m:val="p"/>
          </m:rPr>
          <m:t>+</m:t>
        </m:r>
        <m:r>
          <m:t>1</m:t>
        </m:r>
        <m:r>
          <m:rPr>
            <m:sty m:val="p"/>
          </m:rPr>
          <m:t>=</m:t>
        </m:r>
        <m:r>
          <m:t>7</m:t>
        </m:r>
      </m:oMath>
      <w:r>
        <w:t xml:space="preserve">.</w:t>
      </w:r>
    </w:p>
    <w:p>
      <w:pPr>
        <w:numPr>
          <w:ilvl w:val="0"/>
          <w:numId w:val="1859"/>
        </w:numPr>
        <w:pStyle w:val="Compact"/>
      </w:pPr>
      <w:r>
        <w:t xml:space="preserve">B, the value of the highest-numbered accepted proposal (3.2).</w:t>
      </w:r>
    </w:p>
    <w:p>
      <w:pPr>
        <w:numPr>
          <w:ilvl w:val="0"/>
          <w:numId w:val="1859"/>
        </w:numPr>
        <w:pStyle w:val="Compact"/>
      </w:pPr>
      <w:r>
        <w:t xml:space="preserve">Each proposer’s higher prepare invalidates the other’s pending accept, forever. A single distinguished leader plus randomized back-off.</w:t>
      </w:r>
    </w:p>
    <w:p>
      <w:pPr>
        <w:numPr>
          <w:ilvl w:val="0"/>
          <w:numId w:val="1859"/>
        </w:numPr>
        <w:pStyle w:val="Compact"/>
      </w:pPr>
      <w:r>
        <w:t xml:space="preserve">No. The node’s last term (3) is higher than the candidate’s (2), so its log is more up-to-date regardless of length.</w:t>
      </w:r>
    </w:p>
    <w:p>
      <w:pPr>
        <w:numPr>
          <w:ilvl w:val="0"/>
          <w:numId w:val="1859"/>
        </w:numPr>
        <w:pStyle w:val="Compact"/>
      </w:pPr>
      <w:r>
        <w:t xml:space="preserve">Entries from earlier terms can only be committed indirectly; committing a current-term entry commits them and enables ReadIndex.</w:t>
      </w:r>
    </w:p>
    <w:p>
      <w:pPr>
        <w:numPr>
          <w:ilvl w:val="0"/>
          <w:numId w:val="1859"/>
        </w:numPr>
        <w:pStyle w:val="Compact"/>
      </w:pPr>
      <w:r>
        <w:t xml:space="preserve">Equal (index, term) implies identical prefixes; the AppendEntries</w:t>
      </w:r>
      <w:r>
        <w:t xml:space="preserve"> </w:t>
      </w:r>
      <w:r>
        <w:rPr>
          <w:rStyle w:val="VerbatimChar"/>
        </w:rPr>
        <w:t xml:space="preserve">(prevLogIndex, prevLogTerm)</w:t>
      </w:r>
      <w:r>
        <w:t xml:space="preserve"> </w:t>
      </w:r>
      <w:r>
        <w:t xml:space="preserve">consistency check.</w:t>
      </w:r>
    </w:p>
    <w:p>
      <w:pPr>
        <w:numPr>
          <w:ilvl w:val="0"/>
          <w:numId w:val="1859"/>
        </w:numPr>
        <w:pStyle w:val="Compact"/>
      </w:pPr>
      <w:r>
        <w:t xml:space="preserve">Any majority of a configuration with</w:t>
      </w:r>
      <w:r>
        <w:t xml:space="preserve"> </w:t>
      </w:r>
      <m:oMath>
        <m:r>
          <m:t>N</m:t>
        </m:r>
      </m:oMath>
      <w:r>
        <w:t xml:space="preserve"> </w:t>
      </w:r>
      <w:r>
        <w:t xml:space="preserve">voters intersects any majority of one with</w:t>
      </w:r>
      <w:r>
        <w:t xml:space="preserve"> </w:t>
      </w:r>
      <m:oMath>
        <m:r>
          <m:t>N</m:t>
        </m:r>
        <m:r>
          <m:rPr>
            <m:sty m:val="p"/>
          </m:rPr>
          <m:t>±</m:t>
        </m:r>
        <m:r>
          <m:t>1</m:t>
        </m:r>
      </m:oMath>
      <w:r>
        <w:t xml:space="preserve"> </w:t>
      </w:r>
      <w:r>
        <w:t xml:space="preserve">voters.</w:t>
      </w:r>
    </w:p>
    <w:p>
      <w:pPr>
        <w:numPr>
          <w:ilvl w:val="0"/>
          <w:numId w:val="1859"/>
        </w:numPr>
        <w:pStyle w:val="Compact"/>
      </w:pPr>
      <w:r>
        <w:t xml:space="preserve">It fixes the commit index at the read’s start, confirms leadership with a heartbeat round to a majority, and waits to apply up to that index.</w:t>
      </w:r>
    </w:p>
    <w:p>
      <w:pPr>
        <w:numPr>
          <w:ilvl w:val="0"/>
          <w:numId w:val="1859"/>
        </w:numPr>
        <w:pStyle w:val="Compact"/>
      </w:pPr>
      <w:r>
        <w:t xml:space="preserve">To avoid the herd effect: each release wakes exactly one waiter.</w:t>
      </w:r>
    </w:p>
    <w:p>
      <w:pPr>
        <w:numPr>
          <w:ilvl w:val="0"/>
          <w:numId w:val="1859"/>
        </w:numPr>
        <w:pStyle w:val="Compact"/>
      </w:pPr>
      <m:oMath>
        <m:r>
          <m:t>6</m:t>
        </m:r>
        <m:r>
          <m:rPr>
            <m:sty m:val="p"/>
          </m:rPr>
          <m:t>×</m:t>
        </m:r>
        <m:d>
          <m:dPr>
            <m:begChr m:val="("/>
            <m:endChr m:val=")"/>
            <m:sepChr m:val=""/>
            <m:grow/>
          </m:dPr>
          <m:e>
            <m:r>
              <m:t>1</m:t>
            </m:r>
            <m:r>
              <m:rPr>
                <m:sty m:val="p"/>
              </m:rPr>
              <m:t>−</m:t>
            </m:r>
            <m:r>
              <m:t>0.0002</m:t>
            </m:r>
          </m:e>
        </m:d>
        <m:r>
          <m:rPr>
            <m:sty m:val="p"/>
          </m:rPr>
          <m:t>−</m:t>
        </m:r>
        <m:r>
          <m:t>1</m:t>
        </m:r>
        <m:r>
          <m:rPr>
            <m:sty m:val="p"/>
          </m:rPr>
          <m:t>=</m:t>
        </m:r>
        <m:r>
          <m:t>5.9988</m:t>
        </m:r>
        <m:r>
          <m:rPr>
            <m:sty m:val="p"/>
          </m:rPr>
          <m:t>−</m:t>
        </m:r>
        <m:r>
          <m:t>1</m:t>
        </m:r>
        <m:r>
          <m:rPr>
            <m:sty m:val="p"/>
          </m:rPr>
          <m:t>=</m:t>
        </m:r>
        <m:r>
          <m:t>4.9988</m:t>
        </m:r>
      </m:oMath>
      <w:r>
        <w:t xml:space="preserve"> </w:t>
      </w:r>
      <w:r>
        <w:t xml:space="preserve">s after sending the request.</w:t>
      </w:r>
    </w:p>
    <w:p>
      <w:pPr>
        <w:numPr>
          <w:ilvl w:val="0"/>
          <w:numId w:val="1859"/>
        </w:numPr>
        <w:pStyle w:val="Compact"/>
      </w:pPr>
      <w:r>
        <w:t xml:space="preserve">Storage cannot order random values, so it cannot tell a newer holder from a stale one.</w:t>
      </w:r>
    </w:p>
    <w:bookmarkEnd w:id="2990"/>
    <w:bookmarkStart w:id="2994" w:name="interview-questions-25"/>
    <w:p>
      <w:pPr>
        <w:pStyle w:val="Heading2"/>
      </w:pPr>
      <w:r>
        <w:t xml:space="preserve">26.17 Interview questions</w:t>
      </w:r>
    </w:p>
    <w:bookmarkStart w:id="2991" w:name="basic-25"/>
    <w:p>
      <w:pPr>
        <w:pStyle w:val="Heading3"/>
      </w:pPr>
      <w:r>
        <w:t xml:space="preserve">Basic</w:t>
      </w:r>
    </w:p>
    <w:p>
      <w:pPr>
        <w:pStyle w:val="FirstParagraph"/>
      </w:pPr>
      <w:r>
        <w:rPr>
          <w:bCs/>
          <w:b/>
        </w:rPr>
        <w:t xml:space="preserve">Q1. Why do consensus clusters usually have 3 or 5 nodes?</w:t>
      </w:r>
      <w:r>
        <w:t xml:space="preserve"> </w:t>
      </w:r>
      <w:r>
        <w:rPr>
          <w:bCs/>
          <w:b/>
        </w:rPr>
        <w:t xml:space="preserve">Answer.</w:t>
      </w:r>
      <w:r>
        <w:t xml:space="preserve"> </w:t>
      </w:r>
      <w:r>
        <w:t xml:space="preserve">A majority quorum lets</w:t>
      </w:r>
      <w:r>
        <w:t xml:space="preserve"> </w:t>
      </w:r>
      <m:oMath>
        <m:r>
          <m:t>2</m:t>
        </m:r>
        <m:r>
          <m:t>f</m:t>
        </m:r>
        <m:r>
          <m:rPr>
            <m:sty m:val="p"/>
          </m:rPr>
          <m:t>+</m:t>
        </m:r>
        <m:r>
          <m:t>1</m:t>
        </m:r>
      </m:oMath>
      <w:r>
        <w:t xml:space="preserve"> </w:t>
      </w:r>
      <w:r>
        <w:t xml:space="preserve">nodes tolerate</w:t>
      </w:r>
      <w:r>
        <w:t xml:space="preserve"> </w:t>
      </w:r>
      <m:oMath>
        <m:r>
          <m:t>f</m:t>
        </m:r>
      </m:oMath>
      <w:r>
        <w:t xml:space="preserve"> </w:t>
      </w:r>
      <w:r>
        <w:t xml:space="preserve">crashes. Three tolerates one, five tolerates two (one failure during maintenance of another). Even sizes add cost and latency without extra tolerance, and more than five adds write latency and leader load for little availability gain under correlated failures.</w:t>
      </w:r>
    </w:p>
    <w:p>
      <w:pPr>
        <w:pStyle w:val="BodyText"/>
      </w:pPr>
      <w:r>
        <w:rPr>
          <w:bCs/>
          <w:b/>
        </w:rPr>
        <w:t xml:space="preserve">Q2. What is a fencing token and when do you need one?</w:t>
      </w:r>
      <w:r>
        <w:t xml:space="preserve"> </w:t>
      </w:r>
      <w:r>
        <w:rPr>
          <w:bCs/>
          <w:b/>
        </w:rPr>
        <w:t xml:space="preserve">Answer.</w:t>
      </w:r>
      <w:r>
        <w:t xml:space="preserve"> </w:t>
      </w:r>
      <w:r>
        <w:t xml:space="preserve">A monotonically increasing number issued with each lock or lease grant; the protected resource rejects requests with a token lower than the highest it has seen. You need it whenever a lock protects correctness and the resource is outside the lock service, because a paused or delayed holder can act after its lock expired.</w:t>
      </w:r>
    </w:p>
    <w:bookmarkEnd w:id="2991"/>
    <w:bookmarkStart w:id="2992" w:name="intermediate-25"/>
    <w:p>
      <w:pPr>
        <w:pStyle w:val="Heading3"/>
      </w:pPr>
      <w:r>
        <w:t xml:space="preserve">Intermediate</w:t>
      </w:r>
    </w:p>
    <w:p>
      <w:pPr>
        <w:pStyle w:val="FirstParagraph"/>
      </w:pPr>
      <w:r>
        <w:rPr>
          <w:bCs/>
          <w:b/>
        </w:rPr>
        <w:t xml:space="preserve">Q3. Walk through a Raft leader failure and recovery.</w:t>
      </w:r>
      <w:r>
        <w:t xml:space="preserve"> </w:t>
      </w:r>
      <w:r>
        <w:rPr>
          <w:bCs/>
          <w:b/>
        </w:rPr>
        <w:t xml:space="preserve">Answer.</w:t>
      </w:r>
      <w:r>
        <w:t xml:space="preserve"> </w:t>
      </w:r>
      <w:r>
        <w:t xml:space="preserve">Followers stop receiving heartbeats; the first whose randomized timeout fires increments its term and requests votes. Nodes vote once per term, only for candidates whose log is at least as up-to-date. With a majority, it becomes leader, appends a no-op, and repairs followers’ logs through AppendEntries consistency checks. Uncommitted entries from the old leader may be overwritten; committed ones survive by leader completeness. Failover takes roughly one election timeout plus a round trip.</w:t>
      </w:r>
    </w:p>
    <w:p>
      <w:pPr>
        <w:pStyle w:val="BodyText"/>
      </w:pPr>
      <w:r>
        <w:rPr>
          <w:bCs/>
          <w:b/>
        </w:rPr>
        <w:t xml:space="preserve">Q4. Design leader election for a fleet of cron schedulers.</w:t>
      </w:r>
      <w:r>
        <w:t xml:space="preserve"> </w:t>
      </w:r>
      <w:r>
        <w:rPr>
          <w:bCs/>
          <w:b/>
        </w:rPr>
        <w:t xml:space="preserve">Answer.</w:t>
      </w:r>
      <w:r>
        <w:t xml:space="preserve"> </w:t>
      </w:r>
      <w:r>
        <w:t xml:space="preserve">Use a lease-based election in etcd or ZooKeeper: create a key with a lease (for example, 15 s, renewed every 5 s), watch it if you lose. The leader checks lease validity before each job, carries the key’s revision as a fencing token into the job store, and the store rejects stale tokens. Make jobs idempotent to tolerate the rare double run. State the failover time (about one lease duration).</w:t>
      </w:r>
    </w:p>
    <w:bookmarkEnd w:id="2992"/>
    <w:bookmarkStart w:id="2993" w:name="advanced-25"/>
    <w:p>
      <w:pPr>
        <w:pStyle w:val="Heading3"/>
      </w:pPr>
      <w:r>
        <w:t xml:space="preserve">Advanced</w:t>
      </w:r>
    </w:p>
    <w:p>
      <w:pPr>
        <w:pStyle w:val="FirstParagraph"/>
      </w:pPr>
      <w:r>
        <w:rPr>
          <w:bCs/>
          <w:b/>
        </w:rPr>
        <w:t xml:space="preserve">Q5. A team proposes Redlock to guard writes to a shared S3 object. Critique it.</w:t>
      </w:r>
      <w:r>
        <w:t xml:space="preserve"> </w:t>
      </w:r>
      <w:r>
        <w:rPr>
          <w:bCs/>
          <w:b/>
        </w:rPr>
        <w:t xml:space="preserve">Answer.</w:t>
      </w:r>
      <w:r>
        <w:t xml:space="preserve"> </w:t>
      </w:r>
      <w:r>
        <w:t xml:space="preserve">Redlock’s safety depends on bounded pauses, delays and clock drift, and its random values cannot fence. A GC pause can let two clients write. Instead use conditional writes on the object (compare an ETag or version, where supported) so the store itself arbitrates, or a consensus-backed lock whose revision the writer stores and checks atomically. If a lock is only for efficiency, a single Redis node suffices.</w:t>
      </w:r>
    </w:p>
    <w:p>
      <w:pPr>
        <w:pStyle w:val="BodyText"/>
      </w:pPr>
      <w:r>
        <w:rPr>
          <w:bCs/>
          <w:b/>
        </w:rPr>
        <w:t xml:space="preserve">Q6. Explain the Raft</w:t>
      </w:r>
      <w:r>
        <w:rPr>
          <w:bCs/>
          <w:b/>
        </w:rPr>
        <w:t xml:space="preserve"> </w:t>
      </w:r>
      <w:r>
        <w:rPr>
          <w:bCs/>
          <w:b/>
        </w:rPr>
        <w:t xml:space="preserve">“</w:t>
      </w:r>
      <w:r>
        <w:rPr>
          <w:bCs/>
          <w:b/>
        </w:rPr>
        <w:t xml:space="preserve">Figure 8</w:t>
      </w:r>
      <w:r>
        <w:rPr>
          <w:bCs/>
          <w:b/>
        </w:rPr>
        <w:t xml:space="preserve">”</w:t>
      </w:r>
      <w:r>
        <w:rPr>
          <w:bCs/>
          <w:b/>
        </w:rPr>
        <w:t xml:space="preserve"> </w:t>
      </w:r>
      <w:r>
        <w:rPr>
          <w:bCs/>
          <w:b/>
        </w:rPr>
        <w:t xml:space="preserve">problem and its fix.</w:t>
      </w:r>
      <w:r>
        <w:t xml:space="preserve"> </w:t>
      </w:r>
      <w:r>
        <w:rPr>
          <w:bCs/>
          <w:b/>
        </w:rPr>
        <w:t xml:space="preserve">Answer.</w:t>
      </w:r>
      <w:r>
        <w:t xml:space="preserve"> </w:t>
      </w:r>
      <w:r>
        <w:t xml:space="preserve">A leader of term 4 replicates an entry from term 2 to a majority, then crashes. A node holding a conflicting term-3 entry can still win the next election, because term 3 is more up-to-date than term 2, and overwrite the</w:t>
      </w:r>
      <w:r>
        <w:t xml:space="preserve"> </w:t>
      </w:r>
      <w:r>
        <w:t xml:space="preserve">“</w:t>
      </w:r>
      <w:r>
        <w:t xml:space="preserve">majority-replicated</w:t>
      </w:r>
      <w:r>
        <w:t xml:space="preserve">”</w:t>
      </w:r>
      <w:r>
        <w:t xml:space="preserve"> </w:t>
      </w:r>
      <w:r>
        <w:t xml:space="preserve">entry. Raft therefore commits only entries from the leader’s current term by counting replicas; earlier entries commit indirectly, which is why new leaders write a no-op immediately.</w:t>
      </w:r>
    </w:p>
    <w:bookmarkEnd w:id="2993"/>
    <w:bookmarkEnd w:id="2994"/>
    <w:bookmarkStart w:id="2995" w:name="practical-exercises-25"/>
    <w:p>
      <w:pPr>
        <w:pStyle w:val="Heading2"/>
      </w:pPr>
      <w:r>
        <w:t xml:space="preserve">26.18 Practical exercises</w:t>
      </w:r>
    </w:p>
    <w:p>
      <w:pPr>
        <w:numPr>
          <w:ilvl w:val="0"/>
          <w:numId w:val="1860"/>
        </w:numPr>
        <w:pStyle w:val="Compact"/>
      </w:pPr>
      <w:r>
        <w:t xml:space="preserve">Modify the simulator of §26.7.7 to partition the leader with one follower (a minority) for 500 ms. Verify that the minority leader cannot commit and that a new leader is elected on the majority side.</w:t>
      </w:r>
    </w:p>
    <w:p>
      <w:pPr>
        <w:numPr>
          <w:ilvl w:val="0"/>
          <w:numId w:val="1860"/>
        </w:numPr>
        <w:pStyle w:val="Compact"/>
      </w:pPr>
      <w:r>
        <w:t xml:space="preserve">Remove the</w:t>
      </w:r>
      <w:r>
        <w:t xml:space="preserve"> </w:t>
      </w:r>
      <w:r>
        <w:rPr>
          <w:rStyle w:val="VerbatimChar"/>
        </w:rPr>
        <w:t xml:space="preserve">n.term_at(idx) == n.term</w:t>
      </w:r>
      <w:r>
        <w:t xml:space="preserve"> </w:t>
      </w:r>
      <w:r>
        <w:t xml:space="preserve">check from</w:t>
      </w:r>
      <w:r>
        <w:t xml:space="preserve"> </w:t>
      </w:r>
      <w:r>
        <w:rPr>
          <w:rStyle w:val="VerbatimChar"/>
        </w:rPr>
        <w:t xml:space="preserve">advance_commit</w:t>
      </w:r>
      <w:r>
        <w:t xml:space="preserve"> </w:t>
      </w:r>
      <w:r>
        <w:t xml:space="preserve">and construct a schedule reproducing Figure 26.10. Does</w:t>
      </w:r>
      <w:r>
        <w:t xml:space="preserve"> </w:t>
      </w:r>
      <w:r>
        <w:rPr>
          <w:rStyle w:val="VerbatimChar"/>
        </w:rPr>
        <w:t xml:space="preserve">check_safety</w:t>
      </w:r>
      <w:r>
        <w:t xml:space="preserve"> </w:t>
      </w:r>
      <w:r>
        <w:t xml:space="preserve">detect the violation?</w:t>
      </w:r>
    </w:p>
    <w:p>
      <w:pPr>
        <w:numPr>
          <w:ilvl w:val="0"/>
          <w:numId w:val="1860"/>
        </w:numPr>
        <w:pStyle w:val="Compact"/>
      </w:pPr>
      <w:r>
        <w:t xml:space="preserve">Set the election timeout range to 150–155 ms and measure split votes and failover times over 200 seeds; compare with the formula in §26.7.2.</w:t>
      </w:r>
    </w:p>
    <w:p>
      <w:pPr>
        <w:numPr>
          <w:ilvl w:val="0"/>
          <w:numId w:val="1860"/>
        </w:numPr>
        <w:pStyle w:val="Compact"/>
      </w:pPr>
      <w:r>
        <w:t xml:space="preserve">Start a three-member etcd cluster locally, take a lock with</w:t>
      </w:r>
      <w:r>
        <w:t xml:space="preserve"> </w:t>
      </w:r>
      <w:r>
        <w:rPr>
          <w:rStyle w:val="VerbatimChar"/>
        </w:rPr>
        <w:t xml:space="preserve">etcdctl lock</w:t>
      </w:r>
      <w:r>
        <w:t xml:space="preserve">, pause the holder with</w:t>
      </w:r>
      <w:r>
        <w:t xml:space="preserve"> </w:t>
      </w:r>
      <w:r>
        <w:rPr>
          <w:rStyle w:val="VerbatimChar"/>
        </w:rPr>
        <w:t xml:space="preserve">kill -STOP</w:t>
      </w:r>
      <w:r>
        <w:t xml:space="preserve">, and observe the lease expiry and the next holder’s revision.</w:t>
      </w:r>
    </w:p>
    <w:p>
      <w:pPr>
        <w:numPr>
          <w:ilvl w:val="0"/>
          <w:numId w:val="1860"/>
        </w:numPr>
        <w:pStyle w:val="Compact"/>
      </w:pPr>
      <w:r>
        <w:t xml:space="preserve">Implement the ZooKeeper lock recipe with Apache Curator or</w:t>
      </w:r>
      <w:r>
        <w:t xml:space="preserve"> </w:t>
      </w:r>
      <w:r>
        <w:rPr>
          <w:rStyle w:val="VerbatimChar"/>
        </w:rPr>
        <w:t xml:space="preserve">kazoo</w:t>
      </w:r>
      <w:r>
        <w:t xml:space="preserve">, and verify that a release wakes only one waiter.</w:t>
      </w:r>
    </w:p>
    <w:bookmarkEnd w:id="2995"/>
    <w:bookmarkStart w:id="2996" w:name="design-challenges-25"/>
    <w:p>
      <w:pPr>
        <w:pStyle w:val="Heading2"/>
      </w:pPr>
      <w:r>
        <w:t xml:space="preserve">26.19 Design challenges</w:t>
      </w:r>
    </w:p>
    <w:p>
      <w:pPr>
        <w:numPr>
          <w:ilvl w:val="0"/>
          <w:numId w:val="1861"/>
        </w:numPr>
        <w:pStyle w:val="Compact"/>
      </w:pPr>
      <w:r>
        <w:rPr>
          <w:bCs/>
          <w:b/>
        </w:rPr>
        <w:t xml:space="preserve">Global configuration service.</w:t>
      </w:r>
      <w:r>
        <w:t xml:space="preserve"> </w:t>
      </w:r>
      <w:r>
        <w:t xml:space="preserve">Store feature flags read by 50,000 servers in three regions, updated a few times per hour. Choose voter count and placement, decide which reads must be linearizable, design watch fan-out (proxies or caches), and estimate commit latency and availability.</w:t>
      </w:r>
    </w:p>
    <w:p>
      <w:pPr>
        <w:numPr>
          <w:ilvl w:val="0"/>
          <w:numId w:val="1861"/>
        </w:numPr>
        <w:pStyle w:val="Compact"/>
      </w:pPr>
      <w:r>
        <w:rPr>
          <w:bCs/>
          <w:b/>
        </w:rPr>
        <w:t xml:space="preserve">Fenced job runner.</w:t>
      </w:r>
      <w:r>
        <w:t xml:space="preserve"> </w:t>
      </w:r>
      <w:r>
        <w:t xml:space="preserve">Design a system in which exactly one worker processes each partition of a queue, workers can pause for up to 30 s, and the output database supports conditional writes. Specify lease duration, renewal, fencing and recovery after a pause.</w:t>
      </w:r>
    </w:p>
    <w:bookmarkEnd w:id="2996"/>
    <w:bookmarkStart w:id="2997" w:name="references-25"/>
    <w:p>
      <w:pPr>
        <w:pStyle w:val="Heading2"/>
      </w:pPr>
      <w:r>
        <w:t xml:space="preserve">26.20 References</w:t>
      </w:r>
    </w:p>
    <w:p>
      <w:pPr>
        <w:numPr>
          <w:ilvl w:val="0"/>
          <w:numId w:val="1862"/>
        </w:numPr>
        <w:pStyle w:val="Compact"/>
      </w:pPr>
      <w:r>
        <w:t xml:space="preserve">Burrows, M.</w:t>
      </w:r>
      <w:r>
        <w:t xml:space="preserve"> </w:t>
      </w:r>
      <w:r>
        <w:t xml:space="preserve">“</w:t>
      </w:r>
      <w:r>
        <w:t xml:space="preserve">The Chubby Lock Service for Loosely-Coupled Distributed Systems.</w:t>
      </w:r>
      <w:r>
        <w:t xml:space="preserve">”</w:t>
      </w:r>
      <w:r>
        <w:t xml:space="preserve"> </w:t>
      </w:r>
      <w:r>
        <w:rPr>
          <w:iCs/>
          <w:i/>
        </w:rPr>
        <w:t xml:space="preserve">USENIX OSDI</w:t>
      </w:r>
      <w:r>
        <w:t xml:space="preserve">, 2006.</w:t>
      </w:r>
    </w:p>
    <w:p>
      <w:pPr>
        <w:numPr>
          <w:ilvl w:val="0"/>
          <w:numId w:val="1862"/>
        </w:numPr>
        <w:pStyle w:val="Compact"/>
      </w:pPr>
      <w:r>
        <w:t xml:space="preserve">Chandra, T. D., Griesemer, R., Redstone, J.</w:t>
      </w:r>
      <w:r>
        <w:t xml:space="preserve"> </w:t>
      </w:r>
      <w:r>
        <w:t xml:space="preserve">“</w:t>
      </w:r>
      <w:r>
        <w:t xml:space="preserve">Paxos Made Live: An Engineering Perspective.</w:t>
      </w:r>
      <w:r>
        <w:t xml:space="preserve">”</w:t>
      </w:r>
      <w:r>
        <w:t xml:space="preserve"> </w:t>
      </w:r>
      <w:r>
        <w:rPr>
          <w:iCs/>
          <w:i/>
        </w:rPr>
        <w:t xml:space="preserve">ACM PODC</w:t>
      </w:r>
      <w:r>
        <w:t xml:space="preserve">, 2007.</w:t>
      </w:r>
    </w:p>
    <w:p>
      <w:pPr>
        <w:numPr>
          <w:ilvl w:val="0"/>
          <w:numId w:val="1862"/>
        </w:numPr>
        <w:pStyle w:val="Compact"/>
      </w:pPr>
      <w:r>
        <w:t xml:space="preserve">Chang, E., Roberts, R.</w:t>
      </w:r>
      <w:r>
        <w:t xml:space="preserve"> </w:t>
      </w:r>
      <w:r>
        <w:t xml:space="preserve">“</w:t>
      </w:r>
      <w:r>
        <w:t xml:space="preserve">An Improved Algorithm for Decentralized Extrema-Finding in Circular Configurations of Processes.</w:t>
      </w:r>
      <w:r>
        <w:t xml:space="preserve">”</w:t>
      </w:r>
      <w:r>
        <w:t xml:space="preserve"> </w:t>
      </w:r>
      <w:r>
        <w:rPr>
          <w:iCs/>
          <w:i/>
        </w:rPr>
        <w:t xml:space="preserve">Communications of the ACM</w:t>
      </w:r>
      <w:r>
        <w:t xml:space="preserve"> </w:t>
      </w:r>
      <w:r>
        <w:t xml:space="preserve">22(5), 1979.</w:t>
      </w:r>
    </w:p>
    <w:p>
      <w:pPr>
        <w:numPr>
          <w:ilvl w:val="0"/>
          <w:numId w:val="1862"/>
        </w:numPr>
        <w:pStyle w:val="Compact"/>
      </w:pPr>
      <w:r>
        <w:t xml:space="preserve">Chang, F., Dean, J., Ghemawat, S., et al. </w:t>
      </w:r>
      <w:r>
        <w:t xml:space="preserve">“</w:t>
      </w:r>
      <w:r>
        <w:t xml:space="preserve">Bigtable: A Distributed Storage System for Structured Data.</w:t>
      </w:r>
      <w:r>
        <w:t xml:space="preserve">”</w:t>
      </w:r>
      <w:r>
        <w:t xml:space="preserve"> </w:t>
      </w:r>
      <w:r>
        <w:rPr>
          <w:iCs/>
          <w:i/>
        </w:rPr>
        <w:t xml:space="preserve">USENIX OSDI</w:t>
      </w:r>
      <w:r>
        <w:t xml:space="preserve">, 2006.</w:t>
      </w:r>
    </w:p>
    <w:p>
      <w:pPr>
        <w:numPr>
          <w:ilvl w:val="0"/>
          <w:numId w:val="1862"/>
        </w:numPr>
        <w:pStyle w:val="Compact"/>
      </w:pPr>
      <w:r>
        <w:t xml:space="preserve">Dwork, C., Lynch, N., Stockmeyer, L.</w:t>
      </w:r>
      <w:r>
        <w:t xml:space="preserve"> </w:t>
      </w:r>
      <w:r>
        <w:t xml:space="preserve">“</w:t>
      </w:r>
      <w:r>
        <w:t xml:space="preserve">Consensus in the Presence of Partial Synchrony.</w:t>
      </w:r>
      <w:r>
        <w:t xml:space="preserve">”</w:t>
      </w:r>
      <w:r>
        <w:t xml:space="preserve"> </w:t>
      </w:r>
      <w:r>
        <w:rPr>
          <w:iCs/>
          <w:i/>
        </w:rPr>
        <w:t xml:space="preserve">Journal of the ACM</w:t>
      </w:r>
      <w:r>
        <w:t xml:space="preserve"> </w:t>
      </w:r>
      <w:r>
        <w:t xml:space="preserve">35(2), 1988.</w:t>
      </w:r>
    </w:p>
    <w:p>
      <w:pPr>
        <w:numPr>
          <w:ilvl w:val="0"/>
          <w:numId w:val="1862"/>
        </w:numPr>
        <w:pStyle w:val="Compact"/>
      </w:pPr>
      <w:r>
        <w:t xml:space="preserve">etcd Authors.</w:t>
      </w:r>
      <w:r>
        <w:t xml:space="preserve"> </w:t>
      </w:r>
      <w:r>
        <w:rPr>
          <w:iCs/>
          <w:i/>
        </w:rPr>
        <w:t xml:space="preserve">etcd Documentation</w:t>
      </w:r>
      <w:r>
        <w:t xml:space="preserve"> </w:t>
      </w:r>
      <w:r>
        <w:t xml:space="preserve">(API guarantees; Tuning; Learner design). https://etcd.io/docs/</w:t>
      </w:r>
    </w:p>
    <w:p>
      <w:pPr>
        <w:numPr>
          <w:ilvl w:val="0"/>
          <w:numId w:val="1862"/>
        </w:numPr>
        <w:pStyle w:val="Compact"/>
      </w:pPr>
      <w:r>
        <w:t xml:space="preserve">Fischer, M. J., Lynch, N. A., Paterson, M. S.</w:t>
      </w:r>
      <w:r>
        <w:t xml:space="preserve"> </w:t>
      </w:r>
      <w:r>
        <w:t xml:space="preserve">“</w:t>
      </w:r>
      <w:r>
        <w:t xml:space="preserve">Impossibility of Distributed Consensus with One Faulty Process.</w:t>
      </w:r>
      <w:r>
        <w:t xml:space="preserve">”</w:t>
      </w:r>
      <w:r>
        <w:t xml:space="preserve"> </w:t>
      </w:r>
      <w:r>
        <w:rPr>
          <w:iCs/>
          <w:i/>
        </w:rPr>
        <w:t xml:space="preserve">Journal of the ACM</w:t>
      </w:r>
      <w:r>
        <w:t xml:space="preserve"> </w:t>
      </w:r>
      <w:r>
        <w:t xml:space="preserve">32(2), 1985.</w:t>
      </w:r>
    </w:p>
    <w:p>
      <w:pPr>
        <w:numPr>
          <w:ilvl w:val="0"/>
          <w:numId w:val="1862"/>
        </w:numPr>
        <w:pStyle w:val="Compact"/>
      </w:pPr>
      <w:r>
        <w:t xml:space="preserve">Garcia-Molina, H.</w:t>
      </w:r>
      <w:r>
        <w:t xml:space="preserve"> </w:t>
      </w:r>
      <w:r>
        <w:t xml:space="preserve">“</w:t>
      </w:r>
      <w:r>
        <w:t xml:space="preserve">Elections in a Distributed Computing System.</w:t>
      </w:r>
      <w:r>
        <w:t xml:space="preserve">”</w:t>
      </w:r>
      <w:r>
        <w:t xml:space="preserve"> </w:t>
      </w:r>
      <w:r>
        <w:rPr>
          <w:iCs/>
          <w:i/>
        </w:rPr>
        <w:t xml:space="preserve">IEEE Transactions on Computers</w:t>
      </w:r>
      <w:r>
        <w:t xml:space="preserve"> </w:t>
      </w:r>
      <w:r>
        <w:t xml:space="preserve">C-31(1), 1982.</w:t>
      </w:r>
    </w:p>
    <w:p>
      <w:pPr>
        <w:numPr>
          <w:ilvl w:val="0"/>
          <w:numId w:val="1862"/>
        </w:numPr>
        <w:pStyle w:val="Compact"/>
      </w:pPr>
      <w:r>
        <w:t xml:space="preserve">GitHub.</w:t>
      </w:r>
      <w:r>
        <w:t xml:space="preserve"> </w:t>
      </w:r>
      <w:r>
        <w:t xml:space="preserve">“</w:t>
      </w:r>
      <w:r>
        <w:t xml:space="preserve">October 21 post-incident analysis.</w:t>
      </w:r>
      <w:r>
        <w:t xml:space="preserve">”</w:t>
      </w:r>
      <w:r>
        <w:t xml:space="preserve"> </w:t>
      </w:r>
      <w:r>
        <w:t xml:space="preserve">GitHub Blog, 2018. https://github.blog/news-insights/company-news/oct21-post-incident-analysis/</w:t>
      </w:r>
    </w:p>
    <w:p>
      <w:pPr>
        <w:numPr>
          <w:ilvl w:val="0"/>
          <w:numId w:val="1862"/>
        </w:numPr>
        <w:pStyle w:val="Compact"/>
      </w:pPr>
      <w:r>
        <w:t xml:space="preserve">Gray, C. G., Cheriton, D. R.</w:t>
      </w:r>
      <w:r>
        <w:t xml:space="preserve"> </w:t>
      </w:r>
      <w:r>
        <w:t xml:space="preserve">“</w:t>
      </w:r>
      <w:r>
        <w:t xml:space="preserve">Leases: An Efficient Fault-Tolerant Mechanism for Distributed File Cache Consistency.</w:t>
      </w:r>
      <w:r>
        <w:t xml:space="preserve">”</w:t>
      </w:r>
      <w:r>
        <w:t xml:space="preserve"> </w:t>
      </w:r>
      <w:r>
        <w:rPr>
          <w:iCs/>
          <w:i/>
        </w:rPr>
        <w:t xml:space="preserve">ACM SOSP</w:t>
      </w:r>
      <w:r>
        <w:t xml:space="preserve">, 1989.</w:t>
      </w:r>
    </w:p>
    <w:p>
      <w:pPr>
        <w:numPr>
          <w:ilvl w:val="0"/>
          <w:numId w:val="1862"/>
        </w:numPr>
        <w:pStyle w:val="Compact"/>
      </w:pPr>
      <w:r>
        <w:t xml:space="preserve">Howard, H., Malkhi, D., Spiegelman, A.</w:t>
      </w:r>
      <w:r>
        <w:t xml:space="preserve"> </w:t>
      </w:r>
      <w:r>
        <w:t xml:space="preserve">“</w:t>
      </w:r>
      <w:r>
        <w:t xml:space="preserve">Flexible Paxos: Quorum Intersection Revisited.</w:t>
      </w:r>
      <w:r>
        <w:t xml:space="preserve">”</w:t>
      </w:r>
      <w:r>
        <w:t xml:space="preserve"> </w:t>
      </w:r>
      <w:r>
        <w:t xml:space="preserve">arXiv:1608.06696, 2016 (also OPODIS 2016).</w:t>
      </w:r>
    </w:p>
    <w:p>
      <w:pPr>
        <w:numPr>
          <w:ilvl w:val="0"/>
          <w:numId w:val="1862"/>
        </w:numPr>
        <w:pStyle w:val="Compact"/>
      </w:pPr>
      <w:r>
        <w:t xml:space="preserve">Hunt, P., Konar, M., Junqueira, F. P., Reed, B.</w:t>
      </w:r>
      <w:r>
        <w:t xml:space="preserve"> </w:t>
      </w:r>
      <w:r>
        <w:t xml:space="preserve">“</w:t>
      </w:r>
      <w:r>
        <w:t xml:space="preserve">ZooKeeper: Wait-free Coordination for Internet-scale Systems.</w:t>
      </w:r>
      <w:r>
        <w:t xml:space="preserve">”</w:t>
      </w:r>
      <w:r>
        <w:t xml:space="preserve"> </w:t>
      </w:r>
      <w:r>
        <w:rPr>
          <w:iCs/>
          <w:i/>
        </w:rPr>
        <w:t xml:space="preserve">USENIX ATC</w:t>
      </w:r>
      <w:r>
        <w:t xml:space="preserve">, 2010.</w:t>
      </w:r>
    </w:p>
    <w:p>
      <w:pPr>
        <w:numPr>
          <w:ilvl w:val="0"/>
          <w:numId w:val="1862"/>
        </w:numPr>
        <w:pStyle w:val="Compact"/>
      </w:pPr>
      <w:r>
        <w:t xml:space="preserve">Junqueira, F. P., Reed, B. C., Serafini, M.</w:t>
      </w:r>
      <w:r>
        <w:t xml:space="preserve"> </w:t>
      </w:r>
      <w:r>
        <w:t xml:space="preserve">“</w:t>
      </w:r>
      <w:r>
        <w:t xml:space="preserve">Zab: High-performance Broadcast for Primary-Backup Systems.</w:t>
      </w:r>
      <w:r>
        <w:t xml:space="preserve">”</w:t>
      </w:r>
      <w:r>
        <w:t xml:space="preserve"> </w:t>
      </w:r>
      <w:r>
        <w:rPr>
          <w:iCs/>
          <w:i/>
        </w:rPr>
        <w:t xml:space="preserve">IEEE/IFIP DSN</w:t>
      </w:r>
      <w:r>
        <w:t xml:space="preserve">, 2011.</w:t>
      </w:r>
    </w:p>
    <w:p>
      <w:pPr>
        <w:numPr>
          <w:ilvl w:val="0"/>
          <w:numId w:val="1862"/>
        </w:numPr>
        <w:pStyle w:val="Compact"/>
      </w:pPr>
      <w:r>
        <w:t xml:space="preserve">Kleppmann, M.</w:t>
      </w:r>
      <w:r>
        <w:t xml:space="preserve"> </w:t>
      </w:r>
      <w:r>
        <w:t xml:space="preserve">“</w:t>
      </w:r>
      <w:r>
        <w:t xml:space="preserve">How to do distributed locking.</w:t>
      </w:r>
      <w:r>
        <w:t xml:space="preserve">”</w:t>
      </w:r>
      <w:r>
        <w:t xml:space="preserve"> </w:t>
      </w:r>
      <w:r>
        <w:t xml:space="preserve">Blog post, 8 February 2016. https://martin.kleppmann.com/2016/02/08/how-to-do-distributed-locking.html</w:t>
      </w:r>
    </w:p>
    <w:p>
      <w:pPr>
        <w:numPr>
          <w:ilvl w:val="0"/>
          <w:numId w:val="1862"/>
        </w:numPr>
        <w:pStyle w:val="Compact"/>
      </w:pPr>
      <w:r>
        <w:t xml:space="preserve">Kleppmann, M.</w:t>
      </w:r>
      <w:r>
        <w:t xml:space="preserve"> </w:t>
      </w:r>
      <w:r>
        <w:rPr>
          <w:iCs/>
          <w:i/>
        </w:rPr>
        <w:t xml:space="preserve">Designing Data-Intensive Applications</w:t>
      </w:r>
      <w:r>
        <w:t xml:space="preserve">, chapters 8–9. O’Reilly Media, 2017.</w:t>
      </w:r>
    </w:p>
    <w:p>
      <w:pPr>
        <w:numPr>
          <w:ilvl w:val="0"/>
          <w:numId w:val="1862"/>
        </w:numPr>
        <w:pStyle w:val="Compact"/>
      </w:pPr>
      <w:r>
        <w:t xml:space="preserve">Kubernetes Authors.</w:t>
      </w:r>
      <w:r>
        <w:t xml:space="preserve"> </w:t>
      </w:r>
      <w:r>
        <w:rPr>
          <w:iCs/>
          <w:i/>
        </w:rPr>
        <w:t xml:space="preserve">Kubernetes Documentation</w:t>
      </w:r>
      <w:r>
        <w:t xml:space="preserve">:</w:t>
      </w:r>
      <w:r>
        <w:t xml:space="preserve"> </w:t>
      </w:r>
      <w:r>
        <w:t xml:space="preserve">“</w:t>
      </w:r>
      <w:r>
        <w:t xml:space="preserve">Leases</w:t>
      </w:r>
      <w:r>
        <w:t xml:space="preserve">”</w:t>
      </w:r>
      <w:r>
        <w:t xml:space="preserve">;</w:t>
      </w:r>
      <w:r>
        <w:t xml:space="preserve"> </w:t>
      </w:r>
      <w:r>
        <w:t xml:space="preserve">“</w:t>
      </w:r>
      <w:r>
        <w:t xml:space="preserve">Operating etcd clusters for Kubernetes</w:t>
      </w:r>
      <w:r>
        <w:t xml:space="preserve">”</w:t>
      </w:r>
      <w:r>
        <w:t xml:space="preserve">;</w:t>
      </w:r>
      <w:r>
        <w:t xml:space="preserve"> </w:t>
      </w:r>
      <w:r>
        <w:rPr>
          <w:rStyle w:val="VerbatimChar"/>
        </w:rPr>
        <w:t xml:space="preserve">kube-controller-manager</w:t>
      </w:r>
      <w:r>
        <w:t xml:space="preserve"> </w:t>
      </w:r>
      <w:r>
        <w:t xml:space="preserve">reference. https://kubernetes.io/docs/</w:t>
      </w:r>
    </w:p>
    <w:p>
      <w:pPr>
        <w:numPr>
          <w:ilvl w:val="0"/>
          <w:numId w:val="1862"/>
        </w:numPr>
        <w:pStyle w:val="Compact"/>
      </w:pPr>
      <w:r>
        <w:t xml:space="preserve">Lamport, L.</w:t>
      </w:r>
      <w:r>
        <w:t xml:space="preserve"> </w:t>
      </w:r>
      <w:r>
        <w:t xml:space="preserve">“</w:t>
      </w:r>
      <w:r>
        <w:t xml:space="preserve">The Part-Time Parliament.</w:t>
      </w:r>
      <w:r>
        <w:t xml:space="preserve">”</w:t>
      </w:r>
      <w:r>
        <w:t xml:space="preserve"> </w:t>
      </w:r>
      <w:r>
        <w:rPr>
          <w:iCs/>
          <w:i/>
        </w:rPr>
        <w:t xml:space="preserve">ACM Transactions on Computer Systems</w:t>
      </w:r>
      <w:r>
        <w:t xml:space="preserve"> </w:t>
      </w:r>
      <w:r>
        <w:t xml:space="preserve">16(2):133–169, 1998.</w:t>
      </w:r>
    </w:p>
    <w:p>
      <w:pPr>
        <w:numPr>
          <w:ilvl w:val="0"/>
          <w:numId w:val="1862"/>
        </w:numPr>
        <w:pStyle w:val="Compact"/>
      </w:pPr>
      <w:r>
        <w:t xml:space="preserve">Lamport, L.</w:t>
      </w:r>
      <w:r>
        <w:t xml:space="preserve"> </w:t>
      </w:r>
      <w:r>
        <w:t xml:space="preserve">“</w:t>
      </w:r>
      <w:r>
        <w:t xml:space="preserve">Paxos Made Simple.</w:t>
      </w:r>
      <w:r>
        <w:t xml:space="preserve">”</w:t>
      </w:r>
      <w:r>
        <w:t xml:space="preserve"> </w:t>
      </w:r>
      <w:r>
        <w:rPr>
          <w:iCs/>
          <w:i/>
        </w:rPr>
        <w:t xml:space="preserve">ACM SIGACT News</w:t>
      </w:r>
      <w:r>
        <w:t xml:space="preserve"> </w:t>
      </w:r>
      <w:r>
        <w:t xml:space="preserve">32(4):51–58, 2001.</w:t>
      </w:r>
    </w:p>
    <w:p>
      <w:pPr>
        <w:numPr>
          <w:ilvl w:val="0"/>
          <w:numId w:val="1862"/>
        </w:numPr>
        <w:pStyle w:val="Compact"/>
      </w:pPr>
      <w:r>
        <w:t xml:space="preserve">Ongaro, D., Ousterhout, J.</w:t>
      </w:r>
      <w:r>
        <w:t xml:space="preserve"> </w:t>
      </w:r>
      <w:r>
        <w:t xml:space="preserve">“</w:t>
      </w:r>
      <w:r>
        <w:t xml:space="preserve">In Search of an Understandable Consensus Algorithm.</w:t>
      </w:r>
      <w:r>
        <w:t xml:space="preserve">”</w:t>
      </w:r>
      <w:r>
        <w:t xml:space="preserve"> </w:t>
      </w:r>
      <w:r>
        <w:rPr>
          <w:iCs/>
          <w:i/>
        </w:rPr>
        <w:t xml:space="preserve">USENIX ATC</w:t>
      </w:r>
      <w:r>
        <w:t xml:space="preserve">, 2014. https://raft.github.io/</w:t>
      </w:r>
    </w:p>
    <w:p>
      <w:pPr>
        <w:numPr>
          <w:ilvl w:val="0"/>
          <w:numId w:val="1862"/>
        </w:numPr>
        <w:pStyle w:val="Compact"/>
      </w:pPr>
      <w:r>
        <w:t xml:space="preserve">Ongaro, D.</w:t>
      </w:r>
      <w:r>
        <w:t xml:space="preserve"> </w:t>
      </w:r>
      <w:r>
        <w:rPr>
          <w:iCs/>
          <w:i/>
        </w:rPr>
        <w:t xml:space="preserve">Consensus: Bridging Theory and Practice</w:t>
      </w:r>
      <w:r>
        <w:t xml:space="preserve">. PhD thesis, Stanford University, 2014.</w:t>
      </w:r>
    </w:p>
    <w:p>
      <w:pPr>
        <w:numPr>
          <w:ilvl w:val="0"/>
          <w:numId w:val="1862"/>
        </w:numPr>
        <w:pStyle w:val="Compact"/>
      </w:pPr>
      <w:r>
        <w:t xml:space="preserve">Redis.</w:t>
      </w:r>
      <w:r>
        <w:t xml:space="preserve"> </w:t>
      </w:r>
      <w:r>
        <w:rPr>
          <w:iCs/>
          <w:i/>
        </w:rPr>
        <w:t xml:space="preserve">Distributed Locks with Redis</w:t>
      </w:r>
      <w:r>
        <w:t xml:space="preserve"> </w:t>
      </w:r>
      <w:r>
        <w:t xml:space="preserve">(Redlock). Redis documentation.</w:t>
      </w:r>
    </w:p>
    <w:p>
      <w:pPr>
        <w:numPr>
          <w:ilvl w:val="0"/>
          <w:numId w:val="1862"/>
        </w:numPr>
        <w:pStyle w:val="Compact"/>
      </w:pPr>
      <w:r>
        <w:t xml:space="preserve">Sanfilippo, S. (antirez).</w:t>
      </w:r>
      <w:r>
        <w:t xml:space="preserve"> </w:t>
      </w:r>
      <w:r>
        <w:t xml:space="preserve">“</w:t>
      </w:r>
      <w:r>
        <w:t xml:space="preserve">Is Redlock safe?</w:t>
      </w:r>
      <w:r>
        <w:t xml:space="preserve">”</w:t>
      </w:r>
      <w:r>
        <w:t xml:space="preserve"> </w:t>
      </w:r>
      <w:r>
        <w:t xml:space="preserve">Blog post, February 2016. http://antirez.com/news/101</w:t>
      </w:r>
    </w:p>
    <w:p>
      <w:pPr>
        <w:numPr>
          <w:ilvl w:val="0"/>
          <w:numId w:val="1862"/>
        </w:numPr>
        <w:pStyle w:val="Compact"/>
      </w:pPr>
      <w:r>
        <w:t xml:space="preserve">Schneider, F. B.</w:t>
      </w:r>
      <w:r>
        <w:t xml:space="preserve"> </w:t>
      </w:r>
      <w:r>
        <w:t xml:space="preserve">“</w:t>
      </w:r>
      <w:r>
        <w:t xml:space="preserve">Implementing Fault-Tolerant Services Using the State Machine Approach: A Tutorial.</w:t>
      </w:r>
      <w:r>
        <w:t xml:space="preserve">”</w:t>
      </w:r>
      <w:r>
        <w:t xml:space="preserve"> </w:t>
      </w:r>
      <w:r>
        <w:rPr>
          <w:iCs/>
          <w:i/>
        </w:rPr>
        <w:t xml:space="preserve">ACM Computing Surveys</w:t>
      </w:r>
      <w:r>
        <w:t xml:space="preserve"> </w:t>
      </w:r>
      <w:r>
        <w:t xml:space="preserve">22(4), 1990.</w:t>
      </w:r>
    </w:p>
    <w:p>
      <w:pPr>
        <w:numPr>
          <w:ilvl w:val="0"/>
          <w:numId w:val="1862"/>
        </w:numPr>
        <w:pStyle w:val="Compact"/>
      </w:pPr>
      <w:r>
        <w:t xml:space="preserve">Apache Software Foundation.</w:t>
      </w:r>
      <w:r>
        <w:t xml:space="preserve"> </w:t>
      </w:r>
      <w:r>
        <w:rPr>
          <w:iCs/>
          <w:i/>
        </w:rPr>
        <w:t xml:space="preserve">Apache HBase Reference Guide</w:t>
      </w:r>
      <w:r>
        <w:t xml:space="preserve">;</w:t>
      </w:r>
      <w:r>
        <w:t xml:space="preserve"> </w:t>
      </w:r>
      <w:r>
        <w:rPr>
          <w:iCs/>
          <w:i/>
        </w:rPr>
        <w:t xml:space="preserve">KIP-500: Replace ZooKeeper with a Self-Managed Metadata Quorum</w:t>
      </w:r>
      <w:r>
        <w:t xml:space="preserve">. https://hbase.apache.org/ ; https://cwiki.apache.org/confluence/display/KAFKA/</w:t>
      </w:r>
    </w:p>
    <w:bookmarkEnd w:id="2997"/>
    <w:bookmarkStart w:id="2998" w:name="open-verification-items-25"/>
    <w:p>
      <w:pPr>
        <w:pStyle w:val="Heading2"/>
      </w:pPr>
      <w:r>
        <w:t xml:space="preserve">26.21 Open verification items</w:t>
      </w:r>
    </w:p>
    <w:p>
      <w:pPr>
        <w:numPr>
          <w:ilvl w:val="0"/>
          <w:numId w:val="1863"/>
        </w:numPr>
        <w:pStyle w:val="Compact"/>
      </w:pPr>
      <w:r>
        <w:t xml:space="preserve">Ongaro’s 2015 raft-dev report of the single-server membership-change bug and its no-op fix (date, wording).</w:t>
      </w:r>
    </w:p>
    <w:p>
      <w:pPr>
        <w:numPr>
          <w:ilvl w:val="0"/>
          <w:numId w:val="1863"/>
        </w:numPr>
        <w:pStyle w:val="Compact"/>
      </w:pPr>
      <w:r>
        <w:t xml:space="preserve">GitHub October 2018 incident figures (43 s partition, about 24 h degradation) and the current blog URL.</w:t>
      </w:r>
    </w:p>
    <w:p>
      <w:pPr>
        <w:numPr>
          <w:ilvl w:val="0"/>
          <w:numId w:val="1863"/>
        </w:numPr>
        <w:pStyle w:val="Compact"/>
      </w:pPr>
      <w:r>
        <w:t xml:space="preserve">antirez reply URL (</w:t>
      </w:r>
      <w:r>
        <w:rPr>
          <w:rStyle w:val="VerbatimChar"/>
        </w:rPr>
        <w:t xml:space="preserve">antirez.com/news/101</w:t>
      </w:r>
      <w:r>
        <w:t xml:space="preserve">) and the Redis documentation URL for Redlock.</w:t>
      </w:r>
    </w:p>
    <w:p>
      <w:pPr>
        <w:numPr>
          <w:ilvl w:val="0"/>
          <w:numId w:val="1863"/>
        </w:numPr>
        <w:pStyle w:val="Compact"/>
      </w:pPr>
      <w:r>
        <w:t xml:space="preserve">ZooKeeper throughput phrasing in Hunt et al. 2010; persistent recursive watches introduced in 3.6.0.</w:t>
      </w:r>
    </w:p>
    <w:p>
      <w:pPr>
        <w:numPr>
          <w:ilvl w:val="0"/>
          <w:numId w:val="1863"/>
        </w:numPr>
        <w:pStyle w:val="Compact"/>
      </w:pPr>
      <w:r>
        <w:t xml:space="preserve">etcd defaults as of 2026: 100 ms heartbeat, 1,000 ms election timeout, randomization over</w:t>
      </w:r>
      <w:r>
        <w:t xml:space="preserve"> </w:t>
      </w:r>
      <m:oMath>
        <m:r>
          <m:rPr>
            <m:sty m:val="p"/>
          </m:rPr>
          <m:t>[</m:t>
        </m:r>
        <m:r>
          <m:t>T</m:t>
        </m:r>
        <m:r>
          <m:rPr>
            <m:sty m:val="p"/>
          </m:rPr>
          <m:t>,</m:t>
        </m:r>
        <m:r>
          <m:t>2</m:t>
        </m:r>
        <m:r>
          <m:t>T</m:t>
        </m:r>
        <m:r>
          <m:rPr>
            <m:sty m:val="p"/>
          </m:rPr>
          <m:t>)</m:t>
        </m:r>
      </m:oMath>
      <w:r>
        <w:t xml:space="preserve">, 2 GB quota; tuning guidance (heartbeat ≈ RTT, election ≥ 10 × RTT).</w:t>
      </w:r>
    </w:p>
    <w:p>
      <w:pPr>
        <w:numPr>
          <w:ilvl w:val="0"/>
          <w:numId w:val="1863"/>
        </w:numPr>
        <w:pStyle w:val="Compact"/>
      </w:pPr>
      <w:r>
        <w:t xml:space="preserve">Kubernetes controller defaults (15 s / 10 s / 2 s) as of 2026.</w:t>
      </w:r>
    </w:p>
    <w:p>
      <w:pPr>
        <w:numPr>
          <w:ilvl w:val="0"/>
          <w:numId w:val="1863"/>
        </w:numPr>
        <w:pStyle w:val="Compact"/>
      </w:pPr>
      <w:r>
        <w:t xml:space="preserve">Chubby defaults (12 s lease extension, 45 s grace, lock-delay up to 1 min) and Bigtable’s measured Chubby-caused unavailability.</w:t>
      </w:r>
    </w:p>
    <w:p>
      <w:pPr>
        <w:numPr>
          <w:ilvl w:val="0"/>
          <w:numId w:val="1863"/>
        </w:numPr>
        <w:pStyle w:val="Compact"/>
      </w:pPr>
      <w:r>
        <w:t xml:space="preserve">Kafka 4.0 (2025) removing ZooKeeper mode.</w:t>
      </w:r>
    </w:p>
    <w:bookmarkEnd w:id="2998"/>
    <w:bookmarkEnd w:id="2999"/>
    <w:bookmarkStart w:id="3118" w:name="X3379bb1eb3ca954e978ed3f1c4c7ad16a0897ea"/>
    <w:p>
      <w:pPr>
        <w:pStyle w:val="Heading1"/>
      </w:pPr>
      <w:r>
        <w:t xml:space="preserve">Chapter 27 — Replication and Fault Tolerance</w:t>
      </w:r>
    </w:p>
    <w:p>
      <w:pPr>
        <w:pStyle w:val="BlockText"/>
      </w:pPr>
      <w:r>
        <w:rPr>
          <w:bCs/>
          <w:b/>
        </w:rPr>
        <w:t xml:space="preserve">Level:</w:t>
      </w:r>
      <w:r>
        <w:t xml:space="preserve"> </w:t>
      </w:r>
      <w:r>
        <w:t xml:space="preserve">3 ·</w:t>
      </w:r>
      <w:r>
        <w:t xml:space="preserve"> </w:t>
      </w:r>
      <w:r>
        <w:rPr>
          <w:bCs/>
          <w:b/>
        </w:rPr>
        <w:t xml:space="preserve">Track:</w:t>
      </w:r>
      <w:r>
        <w:t xml:space="preserve"> </w:t>
      </w:r>
      <w:r>
        <w:t xml:space="preserve">A (Traditional) ·</w:t>
      </w:r>
      <w:r>
        <w:t xml:space="preserve"> </w:t>
      </w:r>
      <w:r>
        <w:rPr>
          <w:bCs/>
          <w:b/>
        </w:rPr>
        <w:t xml:space="preserve">Estimated reading time:</w:t>
      </w:r>
      <w:r>
        <w:t xml:space="preserve"> </w:t>
      </w:r>
      <w:r>
        <w:t xml:space="preserve">6 h</w:t>
      </w:r>
    </w:p>
    <w:p>
      <w:pPr>
        <w:pStyle w:val="FirstParagraph"/>
      </w:pPr>
      <w:r>
        <w:t xml:space="preserve">Chapter 14 introduced replication as a database scaling tool: one primary, a few read replicas, and a choice between synchronous and asynchronous commit (§14.3–§14.5). That picture stops being enough when you ask harder questions. What happens when the primary dies at the wrong moment? How does anyone</w:t>
      </w:r>
      <w:r>
        <w:t xml:space="preserve"> </w:t>
      </w:r>
      <w:r>
        <w:rPr>
          <w:iCs/>
          <w:i/>
        </w:rPr>
        <w:t xml:space="preserve">know</w:t>
      </w:r>
      <w:r>
        <w:t xml:space="preserve"> </w:t>
      </w:r>
      <w:r>
        <w:t xml:space="preserve">it died? Can a store keep accepting writes while half its nodes are unreachable, and what does it give up to do so? When two copies disagree, which one is right?</w:t>
      </w:r>
    </w:p>
    <w:p>
      <w:pPr>
        <w:pStyle w:val="BodyText"/>
      </w:pPr>
      <w:r>
        <w:t xml:space="preserve">This chapter surveys the five families of replication strategy, works through primary–backup, chain, multi-leader and leaderless replication, and then treats the machinery that keeps replicas alive and consistent: quorums, hinted handoff, failure detection, failover, recovery, anti-entropy and conflict-free replicated data types (CRDTs). Consensus belongs to Chapter 26, consistency definitions to Chapter 25 and distributed transactions to Chapter 28.</w:t>
      </w:r>
    </w:p>
    <w:bookmarkStart w:id="3000" w:name="learning-objectives-26"/>
    <w:p>
      <w:pPr>
        <w:pStyle w:val="Heading2"/>
      </w:pPr>
      <w:r>
        <w:t xml:space="preserve">27.1 Learning objectives</w:t>
      </w:r>
    </w:p>
    <w:p>
      <w:pPr>
        <w:pStyle w:val="FirstParagraph"/>
      </w:pPr>
      <w:r>
        <w:t xml:space="preserve">After this chapter you should be able to:</w:t>
      </w:r>
    </w:p>
    <w:p>
      <w:pPr>
        <w:numPr>
          <w:ilvl w:val="0"/>
          <w:numId w:val="1864"/>
        </w:numPr>
        <w:pStyle w:val="Compact"/>
      </w:pPr>
      <w:r>
        <w:t xml:space="preserve">Choose among primary–backup, chain, multi-leader, leaderless and consensus-based replication for a workload, and justify the choice.</w:t>
      </w:r>
    </w:p>
    <w:p>
      <w:pPr>
        <w:numPr>
          <w:ilvl w:val="0"/>
          <w:numId w:val="1864"/>
        </w:numPr>
        <w:pStyle w:val="Compact"/>
      </w:pPr>
      <w:r>
        <w:t xml:space="preserve">Compute asynchronous failover loss, chain write latency and CRAQ read capacity, and estimate multi-leader conflict rates.</w:t>
      </w:r>
    </w:p>
    <w:p>
      <w:pPr>
        <w:numPr>
          <w:ilvl w:val="0"/>
          <w:numId w:val="1864"/>
        </w:numPr>
        <w:pStyle w:val="Compact"/>
      </w:pPr>
      <w:r>
        <w:t xml:space="preserve">State what</w:t>
      </w:r>
      <w:r>
        <w:t xml:space="preserve"> </w:t>
      </w:r>
      <m:oMath>
        <m:r>
          <m:t>R</m:t>
        </m:r>
        <m:r>
          <m:rPr>
            <m:sty m:val="p"/>
          </m:rPr>
          <m:t>+</m:t>
        </m:r>
        <m:r>
          <m:t>W</m:t>
        </m:r>
        <m:r>
          <m:rPr>
            <m:sty m:val="p"/>
          </m:rPr>
          <m:t>&gt;</m:t>
        </m:r>
        <m:r>
          <m:t>N</m:t>
        </m:r>
      </m:oMath>
      <w:r>
        <w:t xml:space="preserve"> </w:t>
      </w:r>
      <w:r>
        <w:t xml:space="preserve">does and does not guarantee, and compute quorum latency from the</w:t>
      </w:r>
      <w:r>
        <w:t xml:space="preserve"> </w:t>
      </w:r>
      <m:oMath>
        <m:r>
          <m:t>k</m:t>
        </m:r>
      </m:oMath>
      <w:r>
        <w:t xml:space="preserve">-th fastest replica.</w:t>
      </w:r>
    </w:p>
    <w:p>
      <w:pPr>
        <w:numPr>
          <w:ilvl w:val="0"/>
          <w:numId w:val="1864"/>
        </w:numPr>
        <w:pStyle w:val="Compact"/>
      </w:pPr>
      <w:r>
        <w:t xml:space="preserve">Size hinted handoff, compute phi-accrual suspicion, SWIM detection time and gossip rounds, and build failover and recovery time budgets.</w:t>
      </w:r>
    </w:p>
    <w:p>
      <w:pPr>
        <w:numPr>
          <w:ilvl w:val="0"/>
          <w:numId w:val="1864"/>
        </w:numPr>
        <w:pStyle w:val="Compact"/>
      </w:pPr>
      <w:r>
        <w:t xml:space="preserve">Use read repair and Merkle anti-entropy, choose among last-writer-wins, version vectors and CRDTs, and implement and test four CRDTs.</w:t>
      </w:r>
    </w:p>
    <w:bookmarkEnd w:id="3000"/>
    <w:bookmarkStart w:id="3001" w:name="prerequisites-26"/>
    <w:p>
      <w:pPr>
        <w:pStyle w:val="Heading2"/>
      </w:pPr>
      <w:r>
        <w:t xml:space="preserve">27.2 Prerequisites</w:t>
      </w:r>
    </w:p>
    <w:p>
      <w:pPr>
        <w:numPr>
          <w:ilvl w:val="0"/>
          <w:numId w:val="1865"/>
        </w:numPr>
        <w:pStyle w:val="Compact"/>
      </w:pPr>
      <w:r>
        <w:t xml:space="preserve">Primary–replica replication, replication modes and lag — §14.3–§14.5 (this chapter builds on them rather than repeating them).</w:t>
      </w:r>
    </w:p>
    <w:p>
      <w:pPr>
        <w:numPr>
          <w:ilvl w:val="0"/>
          <w:numId w:val="1865"/>
        </w:numPr>
        <w:pStyle w:val="Compact"/>
      </w:pPr>
      <w:r>
        <w:t xml:space="preserve">Consistent hashing, virtual nodes and preference lists — §14.8 (leaderless stores place replicas on a ring).</w:t>
      </w:r>
    </w:p>
    <w:p>
      <w:pPr>
        <w:numPr>
          <w:ilvl w:val="0"/>
          <w:numId w:val="1865"/>
        </w:numPr>
        <w:pStyle w:val="Compact"/>
      </w:pPr>
      <w:r>
        <w:t xml:space="preserve">Merkle trees — §17.8 (the data structure behind anti-entropy).</w:t>
      </w:r>
    </w:p>
    <w:p>
      <w:pPr>
        <w:numPr>
          <w:ilvl w:val="0"/>
          <w:numId w:val="1865"/>
        </w:numPr>
        <w:pStyle w:val="Compact"/>
      </w:pPr>
      <w:r>
        <w:t xml:space="preserve">Availability, MTBF/MTTR and durability arithmetic — §4.14–§4.16 (every redundancy argument here reduces to them).</w:t>
      </w:r>
    </w:p>
    <w:p>
      <w:pPr>
        <w:numPr>
          <w:ilvl w:val="0"/>
          <w:numId w:val="1865"/>
        </w:numPr>
        <w:pStyle w:val="Compact"/>
      </w:pPr>
      <w:r>
        <w:t xml:space="preserve">Percentiles and tail latency — §4.8 (quorum latency is an order statistic).</w:t>
      </w:r>
    </w:p>
    <w:p>
      <w:pPr>
        <w:numPr>
          <w:ilvl w:val="0"/>
          <w:numId w:val="1865"/>
        </w:numPr>
        <w:pStyle w:val="Compact"/>
      </w:pPr>
      <w:r>
        <w:t xml:space="preserve">Failure models, partial failures, clocks and version vectors — §24.6–§24.11 (what can fail, and how causality is tracked).</w:t>
      </w:r>
    </w:p>
    <w:bookmarkEnd w:id="3001"/>
    <w:bookmarkStart w:id="3009" w:name="replication-strategies-overview"/>
    <w:p>
      <w:pPr>
        <w:pStyle w:val="Heading2"/>
      </w:pPr>
      <w:r>
        <w:t xml:space="preserve">27.3 Replication strategies overview</w:t>
      </w:r>
    </w:p>
    <w:bookmarkStart w:id="3008" w:name="five-ways-to-keep-copies"/>
    <w:p>
      <w:pPr>
        <w:pStyle w:val="Heading3"/>
      </w:pPr>
      <w:r>
        <w:t xml:space="preserve">27.3.1 Five ways to keep copies</w:t>
      </w:r>
    </w:p>
    <w:p>
      <w:pPr>
        <w:pStyle w:val="CalloutDefinition"/>
      </w:pPr>
      <w:r>
        <w:rPr>
          <w:bCs/>
          <w:b/>
        </w:rPr>
        <w:t xml:space="preserve">DEFINITION</w:t>
      </w:r>
    </w:p>
    <w:p>
      <w:pPr>
        <w:pStyle w:val="CalloutDefinition"/>
      </w:pPr>
      <w:r>
        <w:rPr>
          <w:bCs/>
          <w:b/>
        </w:rPr>
        <w:t xml:space="preserve">Definition — Replication strategy.</w:t>
      </w:r>
      <w:r>
        <w:t xml:space="preserve"> </w:t>
      </w:r>
      <w:r>
        <w:t xml:space="preserve">The rule that decides</w:t>
      </w:r>
      <w:r>
        <w:t xml:space="preserve"> </w:t>
      </w:r>
      <w:r>
        <w:rPr>
          <w:iCs/>
          <w:i/>
        </w:rPr>
        <w:t xml:space="preserve">which</w:t>
      </w:r>
      <w:r>
        <w:t xml:space="preserve"> </w:t>
      </w:r>
      <w:r>
        <w:t xml:space="preserve">replicas may accept a write,</w:t>
      </w:r>
      <w:r>
        <w:t xml:space="preserve"> </w:t>
      </w:r>
      <w:r>
        <w:rPr>
          <w:iCs/>
          <w:i/>
        </w:rPr>
        <w:t xml:space="preserve">in what order</w:t>
      </w:r>
      <w:r>
        <w:t xml:space="preserve"> </w:t>
      </w:r>
      <w:r>
        <w:t xml:space="preserve">the replicas apply writes, and</w:t>
      </w:r>
      <w:r>
        <w:t xml:space="preserve"> </w:t>
      </w:r>
      <w:r>
        <w:rPr>
          <w:iCs/>
          <w:i/>
        </w:rPr>
        <w:t xml:space="preserve">when</w:t>
      </w:r>
      <w:r>
        <w:t xml:space="preserve"> </w:t>
      </w:r>
      <w:r>
        <w:t xml:space="preserve">a write counts as done. The five families are</w:t>
      </w:r>
      <w:r>
        <w:t xml:space="preserve"> </w:t>
      </w:r>
      <w:r>
        <w:rPr>
          <w:bCs/>
          <w:b/>
        </w:rPr>
        <w:t xml:space="preserve">primary–backup</w:t>
      </w:r>
      <w:r>
        <w:t xml:space="preserve">,</w:t>
      </w:r>
      <w:r>
        <w:t xml:space="preserve"> </w:t>
      </w:r>
      <w:r>
        <w:rPr>
          <w:bCs/>
          <w:b/>
        </w:rPr>
        <w:t xml:space="preserve">chain replication</w:t>
      </w:r>
      <w:r>
        <w:t xml:space="preserve">,</w:t>
      </w:r>
      <w:r>
        <w:t xml:space="preserve"> </w:t>
      </w:r>
      <w:r>
        <w:rPr>
          <w:bCs/>
          <w:b/>
        </w:rPr>
        <w:t xml:space="preserve">multi-leader</w:t>
      </w:r>
      <w:r>
        <w:t xml:space="preserve">,</w:t>
      </w:r>
      <w:r>
        <w:t xml:space="preserve"> </w:t>
      </w:r>
      <w:r>
        <w:rPr>
          <w:bCs/>
          <w:b/>
        </w:rPr>
        <w:t xml:space="preserve">leaderless</w:t>
      </w:r>
      <w:r>
        <w:t xml:space="preserve"> </w:t>
      </w:r>
      <w:r>
        <w:t xml:space="preserve">and</w:t>
      </w:r>
      <w:r>
        <w:t xml:space="preserve"> </w:t>
      </w:r>
      <w:r>
        <w:rPr>
          <w:bCs/>
          <w:b/>
        </w:rPr>
        <w:t xml:space="preserve">consensus-based</w:t>
      </w:r>
      <w:r>
        <w:t xml:space="preserve"> </w:t>
      </w:r>
      <w:r>
        <w:t xml:space="preserve">replication.</w:t>
      </w:r>
    </w:p>
    <w:bookmarkStart w:id="3002" w:name="first-principles-explanation-144"/>
    <w:p>
      <w:pPr>
        <w:pStyle w:val="Heading4"/>
      </w:pPr>
      <w:r>
        <w:t xml:space="preserve">First-principles explanation</w:t>
      </w:r>
    </w:p>
    <w:p>
      <w:pPr>
        <w:pStyle w:val="FirstParagraph"/>
      </w:pPr>
      <w:r>
        <w:t xml:space="preserve">A family shares a shopping list on several phones. One person can forward every change (primary–backup); changes can pass along a line of phones, with the last one answering questions (chain); everyone can edit locally and sync later (multi-leader); anyone can write to any two of three phones and read any two (leaderless quorums); or the family can vote on each change (consensus). Each rule trades latency, availability during failures and how surprising the list looks to a reader.</w:t>
      </w:r>
    </w:p>
    <w:bookmarkEnd w:id="3002"/>
    <w:bookmarkStart w:id="3003" w:name="why-does-this-exist-89"/>
    <w:p>
      <w:pPr>
        <w:pStyle w:val="Heading4"/>
      </w:pPr>
      <w:r>
        <w:t xml:space="preserve">Why does this exist?</w:t>
      </w:r>
    </w:p>
    <w:p>
      <w:pPr>
        <w:pStyle w:val="FirstParagraph"/>
      </w:pPr>
      <w:r>
        <w:t xml:space="preserve">Replication exists for three reasons:</w:t>
      </w:r>
      <w:r>
        <w:t xml:space="preserve"> </w:t>
      </w:r>
      <w:r>
        <w:rPr>
          <w:bCs/>
          <w:b/>
        </w:rPr>
        <w:t xml:space="preserve">fault tolerance</w:t>
      </w:r>
      <w:r>
        <w:t xml:space="preserve"> </w:t>
      </w:r>
      <w:r>
        <w:t xml:space="preserve">(survive node, disk and zone failures),</w:t>
      </w:r>
      <w:r>
        <w:t xml:space="preserve"> </w:t>
      </w:r>
      <w:r>
        <w:rPr>
          <w:bCs/>
          <w:b/>
        </w:rPr>
        <w:t xml:space="preserve">latency</w:t>
      </w:r>
      <w:r>
        <w:t xml:space="preserve"> </w:t>
      </w:r>
      <w:r>
        <w:t xml:space="preserve">(serve users from a nearby copy) and</w:t>
      </w:r>
      <w:r>
        <w:t xml:space="preserve"> </w:t>
      </w:r>
      <w:r>
        <w:rPr>
          <w:bCs/>
          <w:b/>
        </w:rPr>
        <w:t xml:space="preserve">throughput</w:t>
      </w:r>
      <w:r>
        <w:t xml:space="preserve"> </w:t>
      </w:r>
      <w:r>
        <w:t xml:space="preserve">(spread reads, and sometimes writes, over more machines). No single strategy optimizes all three, because a write that must reach distant copies before it is acknowledged is slow, and a write that is acknowledged before reaching them can be lost or can conflict.</w:t>
      </w:r>
    </w:p>
    <w:bookmarkEnd w:id="3003"/>
    <w:bookmarkStart w:id="3007" w:name="decision-table"/>
    <w:p>
      <w:pPr>
        <w:pStyle w:val="Heading4"/>
      </w:pPr>
      <w:r>
        <w:t xml:space="preserve">Decision table</w:t>
      </w:r>
    </w:p>
    <w:p>
      <w:pPr>
        <w:pStyle w:val="FirstParagraph"/>
      </w:pPr>
      <w:r>
        <w:rPr>
          <w:bCs/>
          <w:b/>
        </w:rPr>
        <w:t xml:space="preserve">Table 27.1 — Replication strategies compared.</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pPr>
          </w:p>
        </w:tc>
        <w:tc>
          <w:tcPr/>
          <w:p>
            <w:pPr>
              <w:pStyle w:val="Compact"/>
              <w:jc w:val="left"/>
            </w:pPr>
            <w:r>
              <w:t xml:space="preserve">Primary–backup</w:t>
            </w:r>
          </w:p>
        </w:tc>
        <w:tc>
          <w:tcPr/>
          <w:p>
            <w:pPr>
              <w:pStyle w:val="Compact"/>
              <w:jc w:val="left"/>
            </w:pPr>
            <w:r>
              <w:t xml:space="preserve">Chain</w:t>
            </w:r>
          </w:p>
        </w:tc>
        <w:tc>
          <w:tcPr/>
          <w:p>
            <w:pPr>
              <w:pStyle w:val="Compact"/>
              <w:jc w:val="left"/>
            </w:pPr>
            <w:r>
              <w:t xml:space="preserve">Multi-leader</w:t>
            </w:r>
          </w:p>
        </w:tc>
        <w:tc>
          <w:tcPr/>
          <w:p>
            <w:pPr>
              <w:pStyle w:val="Compact"/>
              <w:jc w:val="left"/>
            </w:pPr>
            <w:r>
              <w:t xml:space="preserve">Leaderless</w:t>
            </w:r>
          </w:p>
        </w:tc>
        <w:tc>
          <w:tcPr/>
          <w:p>
            <w:pPr>
              <w:pStyle w:val="Compact"/>
              <w:jc w:val="left"/>
            </w:pPr>
            <w:r>
              <w:t xml:space="preserve">Consensus-based</w:t>
            </w:r>
          </w:p>
        </w:tc>
      </w:tr>
      <w:tr>
        <w:tc>
          <w:tcPr/>
          <w:p>
            <w:pPr>
              <w:pStyle w:val="Compact"/>
              <w:jc w:val="left"/>
            </w:pPr>
            <w:r>
              <w:t xml:space="preserve">Who accepts writes</w:t>
            </w:r>
          </w:p>
        </w:tc>
        <w:tc>
          <w:tcPr/>
          <w:p>
            <w:pPr>
              <w:pStyle w:val="Compact"/>
              <w:jc w:val="left"/>
            </w:pPr>
            <w:r>
              <w:t xml:space="preserve">One primary</w:t>
            </w:r>
          </w:p>
        </w:tc>
        <w:tc>
          <w:tcPr/>
          <w:p>
            <w:pPr>
              <w:pStyle w:val="Compact"/>
              <w:jc w:val="left"/>
            </w:pPr>
            <w:r>
              <w:t xml:space="preserve">Head of chain</w:t>
            </w:r>
          </w:p>
        </w:tc>
        <w:tc>
          <w:tcPr/>
          <w:p>
            <w:pPr>
              <w:pStyle w:val="Compact"/>
              <w:jc w:val="left"/>
            </w:pPr>
            <w:r>
              <w:t xml:space="preserve">Every leader</w:t>
            </w:r>
          </w:p>
        </w:tc>
        <w:tc>
          <w:tcPr/>
          <w:p>
            <w:pPr>
              <w:pStyle w:val="Compact"/>
              <w:jc w:val="left"/>
            </w:pPr>
            <w:r>
              <w:t xml:space="preserve">Any replica, via a coordinator</w:t>
            </w:r>
          </w:p>
        </w:tc>
        <w:tc>
          <w:tcPr/>
          <w:p>
            <w:pPr>
              <w:pStyle w:val="Compact"/>
              <w:jc w:val="left"/>
            </w:pPr>
            <w:r>
              <w:t xml:space="preserve">Elected leader</w:t>
            </w:r>
          </w:p>
        </w:tc>
      </w:tr>
      <w:tr>
        <w:tc>
          <w:tcPr/>
          <w:p>
            <w:pPr>
              <w:pStyle w:val="Compact"/>
              <w:jc w:val="left"/>
            </w:pPr>
            <w:r>
              <w:t xml:space="preserve">Ordering</w:t>
            </w:r>
          </w:p>
        </w:tc>
        <w:tc>
          <w:tcPr/>
          <w:p>
            <w:pPr>
              <w:pStyle w:val="Compact"/>
              <w:jc w:val="left"/>
            </w:pPr>
            <w:r>
              <w:t xml:space="preserve">Primary’s order</w:t>
            </w:r>
          </w:p>
        </w:tc>
        <w:tc>
          <w:tcPr/>
          <w:p>
            <w:pPr>
              <w:pStyle w:val="Compact"/>
              <w:jc w:val="left"/>
            </w:pPr>
            <w:r>
              <w:t xml:space="preserve">Chain order</w:t>
            </w:r>
          </w:p>
        </w:tc>
        <w:tc>
          <w:tcPr/>
          <w:p>
            <w:pPr>
              <w:pStyle w:val="Compact"/>
              <w:jc w:val="left"/>
            </w:pPr>
            <w:r>
              <w:t xml:space="preserve">None globally; conflicts</w:t>
            </w:r>
          </w:p>
        </w:tc>
        <w:tc>
          <w:tcPr/>
          <w:p>
            <w:pPr>
              <w:pStyle w:val="Compact"/>
              <w:jc w:val="left"/>
            </w:pPr>
            <w:r>
              <w:t xml:space="preserve">None; version vectors or timestamps</w:t>
            </w:r>
          </w:p>
        </w:tc>
        <w:tc>
          <w:tcPr/>
          <w:p>
            <w:pPr>
              <w:pStyle w:val="Compact"/>
              <w:jc w:val="left"/>
            </w:pPr>
            <w:r>
              <w:t xml:space="preserve">Agreed log</w:t>
            </w:r>
          </w:p>
        </w:tc>
      </w:tr>
      <w:tr>
        <w:tc>
          <w:tcPr/>
          <w:p>
            <w:pPr>
              <w:pStyle w:val="Compact"/>
              <w:jc w:val="left"/>
            </w:pPr>
            <w:r>
              <w:t xml:space="preserve">Write done when</w:t>
            </w:r>
          </w:p>
        </w:tc>
        <w:tc>
          <w:tcPr/>
          <w:p>
            <w:pPr>
              <w:pStyle w:val="Compact"/>
              <w:jc w:val="left"/>
            </w:pPr>
            <w:r>
              <w:t xml:space="preserve">Backups ack (sync) or at once (async)</w:t>
            </w:r>
          </w:p>
        </w:tc>
        <w:tc>
          <w:tcPr/>
          <w:p>
            <w:pPr>
              <w:pStyle w:val="Compact"/>
              <w:jc w:val="left"/>
            </w:pPr>
            <w:r>
              <w:t xml:space="preserve">Tail has it</w:t>
            </w:r>
          </w:p>
        </w:tc>
        <w:tc>
          <w:tcPr/>
          <w:p>
            <w:pPr>
              <w:pStyle w:val="Compact"/>
              <w:jc w:val="left"/>
            </w:pPr>
            <w:r>
              <w:t xml:space="preserve">Local leader commits</w:t>
            </w:r>
          </w:p>
        </w:tc>
        <w:tc>
          <w:tcPr/>
          <w:p>
            <w:pPr>
              <w:pStyle w:val="Compact"/>
              <w:jc w:val="left"/>
            </w:pPr>
            <m:oMath>
              <m:r>
                <m:t>W</m:t>
              </m:r>
            </m:oMath>
            <w:r>
              <w:t xml:space="preserve"> </w:t>
            </w:r>
            <w:r>
              <w:t xml:space="preserve">of</w:t>
            </w:r>
            <w:r>
              <w:t xml:space="preserve"> </w:t>
            </w:r>
            <m:oMath>
              <m:r>
                <m:t>N</m:t>
              </m:r>
            </m:oMath>
            <w:r>
              <w:t xml:space="preserve"> </w:t>
            </w:r>
            <w:r>
              <w:t xml:space="preserve">ack</w:t>
            </w:r>
          </w:p>
        </w:tc>
        <w:tc>
          <w:tcPr/>
          <w:p>
            <w:pPr>
              <w:pStyle w:val="Compact"/>
              <w:jc w:val="left"/>
            </w:pPr>
            <w:r>
              <w:t xml:space="preserve">Majority ack</w:t>
            </w:r>
          </w:p>
        </w:tc>
      </w:tr>
      <w:tr>
        <w:tc>
          <w:tcPr/>
          <w:p>
            <w:pPr>
              <w:pStyle w:val="Compact"/>
              <w:jc w:val="left"/>
            </w:pPr>
            <w:r>
              <w:t xml:space="preserve">Strong reads</w:t>
            </w:r>
          </w:p>
        </w:tc>
        <w:tc>
          <w:tcPr/>
          <w:p>
            <w:pPr>
              <w:pStyle w:val="Compact"/>
              <w:jc w:val="left"/>
            </w:pPr>
            <w:r>
              <w:t xml:space="preserve">From primary</w:t>
            </w:r>
          </w:p>
        </w:tc>
        <w:tc>
          <w:tcPr/>
          <w:p>
            <w:pPr>
              <w:pStyle w:val="Compact"/>
              <w:jc w:val="left"/>
            </w:pPr>
            <w:r>
              <w:t xml:space="preserve">From tail</w:t>
            </w:r>
          </w:p>
        </w:tc>
        <w:tc>
          <w:tcPr/>
          <w:p>
            <w:pPr>
              <w:pStyle w:val="Compact"/>
              <w:jc w:val="left"/>
            </w:pPr>
            <w:r>
              <w:t xml:space="preserve">No</w:t>
            </w:r>
          </w:p>
        </w:tc>
        <w:tc>
          <w:tcPr/>
          <w:p>
            <w:pPr>
              <w:pStyle w:val="Compact"/>
              <w:jc w:val="left"/>
            </w:pPr>
            <w:r>
              <w:t xml:space="preserve">No (not even with</w:t>
            </w:r>
            <w:r>
              <w:t xml:space="preserve"> </w:t>
            </w:r>
            <m:oMath>
              <m:r>
                <m:t>R</m:t>
              </m:r>
              <m:r>
                <m:rPr>
                  <m:sty m:val="p"/>
                </m:rPr>
                <m:t>+</m:t>
              </m:r>
              <m:r>
                <m:t>W</m:t>
              </m:r>
              <m:r>
                <m:rPr>
                  <m:sty m:val="p"/>
                </m:rPr>
                <m:t>&gt;</m:t>
              </m:r>
              <m:r>
                <m:t>N</m:t>
              </m:r>
            </m:oMath>
            <w:r>
              <w:t xml:space="preserve">)</w:t>
            </w:r>
          </w:p>
        </w:tc>
        <w:tc>
          <w:tcPr/>
          <w:p>
            <w:pPr>
              <w:pStyle w:val="Compact"/>
              <w:jc w:val="left"/>
            </w:pPr>
            <w:r>
              <w:t xml:space="preserve">From leader with lease, or via log</w:t>
            </w:r>
          </w:p>
        </w:tc>
      </w:tr>
      <w:tr>
        <w:tc>
          <w:tcPr/>
          <w:p>
            <w:pPr>
              <w:pStyle w:val="Compact"/>
              <w:jc w:val="left"/>
            </w:pPr>
            <w:r>
              <w:t xml:space="preserve">Failover</w:t>
            </w:r>
          </w:p>
        </w:tc>
        <w:tc>
          <w:tcPr/>
          <w:p>
            <w:pPr>
              <w:pStyle w:val="Compact"/>
              <w:jc w:val="left"/>
            </w:pPr>
            <w:r>
              <w:t xml:space="preserve">External detector promotes a backup</w:t>
            </w:r>
          </w:p>
        </w:tc>
        <w:tc>
          <w:tcPr/>
          <w:p>
            <w:pPr>
              <w:pStyle w:val="Compact"/>
              <w:jc w:val="left"/>
            </w:pPr>
            <w:r>
              <w:t xml:space="preserve">Master service splices chain</w:t>
            </w:r>
          </w:p>
        </w:tc>
        <w:tc>
          <w:tcPr/>
          <w:p>
            <w:pPr>
              <w:pStyle w:val="Compact"/>
              <w:jc w:val="left"/>
            </w:pPr>
            <w:r>
              <w:t xml:space="preserve">Not needed for writes</w:t>
            </w:r>
          </w:p>
        </w:tc>
        <w:tc>
          <w:tcPr/>
          <w:p>
            <w:pPr>
              <w:pStyle w:val="Compact"/>
              <w:jc w:val="left"/>
            </w:pPr>
            <w:r>
              <w:t xml:space="preserve">Not needed</w:t>
            </w:r>
          </w:p>
        </w:tc>
        <w:tc>
          <w:tcPr/>
          <w:p>
            <w:pPr>
              <w:pStyle w:val="Compact"/>
              <w:jc w:val="left"/>
            </w:pPr>
            <w:r>
              <w:t xml:space="preserve">Built into protocol</w:t>
            </w:r>
          </w:p>
        </w:tc>
      </w:tr>
      <w:tr>
        <w:tc>
          <w:tcPr/>
          <w:p>
            <w:pPr>
              <w:pStyle w:val="Compact"/>
              <w:jc w:val="left"/>
            </w:pPr>
            <w:r>
              <w:t xml:space="preserve">Tolerates</w:t>
            </w:r>
          </w:p>
        </w:tc>
        <w:tc>
          <w:tcPr/>
          <w:p>
            <w:pPr>
              <w:pStyle w:val="Compact"/>
              <w:jc w:val="left"/>
            </w:pPr>
            <m:oMath>
              <m:r>
                <m:t>n</m:t>
              </m:r>
              <m:r>
                <m:rPr>
                  <m:sty m:val="p"/>
                </m:rPr>
                <m:t>−</m:t>
              </m:r>
              <m:r>
                <m:t>1</m:t>
              </m:r>
            </m:oMath>
            <w:r>
              <w:t xml:space="preserve"> </w:t>
            </w:r>
            <w:r>
              <w:t xml:space="preserve">crashes, if detector is correct</w:t>
            </w:r>
          </w:p>
        </w:tc>
        <w:tc>
          <w:tcPr/>
          <w:p>
            <w:pPr>
              <w:pStyle w:val="Compact"/>
              <w:jc w:val="left"/>
            </w:pPr>
            <m:oMath>
              <m:r>
                <m:t>n</m:t>
              </m:r>
              <m:r>
                <m:rPr>
                  <m:sty m:val="p"/>
                </m:rPr>
                <m:t>−</m:t>
              </m:r>
              <m:r>
                <m:t>1</m:t>
              </m:r>
            </m:oMath>
            <w:r>
              <w:t xml:space="preserve"> </w:t>
            </w:r>
            <w:r>
              <w:t xml:space="preserve">crashes</w:t>
            </w:r>
          </w:p>
        </w:tc>
        <w:tc>
          <w:tcPr/>
          <w:p>
            <w:pPr>
              <w:pStyle w:val="Compact"/>
              <w:jc w:val="left"/>
            </w:pPr>
            <w:r>
              <w:t xml:space="preserve">Region loss, partitions</w:t>
            </w:r>
          </w:p>
        </w:tc>
        <w:tc>
          <w:tcPr/>
          <w:p>
            <w:pPr>
              <w:pStyle w:val="Compact"/>
              <w:jc w:val="left"/>
            </w:pPr>
            <w:r>
              <w:t xml:space="preserve">Partitions, slow nodes</w:t>
            </w:r>
          </w:p>
        </w:tc>
        <w:tc>
          <w:tcPr/>
          <w:p>
            <w:pPr>
              <w:pStyle w:val="Compact"/>
              <w:jc w:val="left"/>
            </w:pPr>
            <m:oMath>
              <m:r>
                <m:t>f</m:t>
              </m:r>
            </m:oMath>
            <w:r>
              <w:t xml:space="preserve"> </w:t>
            </w:r>
            <w:r>
              <w:t xml:space="preserve">of</w:t>
            </w:r>
            <w:r>
              <w:t xml:space="preserve"> </w:t>
            </w:r>
            <m:oMath>
              <m:r>
                <m:t>2</m:t>
              </m:r>
              <m:r>
                <m:t>f</m:t>
              </m:r>
              <m:r>
                <m:rPr>
                  <m:sty m:val="p"/>
                </m:rPr>
                <m:t>+</m:t>
              </m:r>
              <m:r>
                <m:t>1</m:t>
              </m:r>
            </m:oMath>
            <w:r>
              <w:t xml:space="preserve"> </w:t>
            </w:r>
            <w:r>
              <w:t xml:space="preserve">crashes</w:t>
            </w:r>
          </w:p>
        </w:tc>
      </w:tr>
      <w:tr>
        <w:tc>
          <w:tcPr/>
          <w:p>
            <w:pPr>
              <w:pStyle w:val="Compact"/>
              <w:jc w:val="left"/>
            </w:pPr>
            <w:r>
              <w:t xml:space="preserve">Typical systems</w:t>
            </w:r>
          </w:p>
        </w:tc>
        <w:tc>
          <w:tcPr/>
          <w:p>
            <w:pPr>
              <w:pStyle w:val="Compact"/>
              <w:jc w:val="left"/>
            </w:pPr>
            <w:r>
              <w:t xml:space="preserve">PostgreSQL, MySQL, Kafka ISR</w:t>
            </w:r>
          </w:p>
        </w:tc>
        <w:tc>
          <w:tcPr/>
          <w:p>
            <w:pPr>
              <w:pStyle w:val="Compact"/>
              <w:jc w:val="left"/>
            </w:pPr>
            <w:r>
              <w:t xml:space="preserve">FAWN-KV, CRAQ</w:t>
            </w:r>
          </w:p>
        </w:tc>
        <w:tc>
          <w:tcPr/>
          <w:p>
            <w:pPr>
              <w:pStyle w:val="Compact"/>
              <w:jc w:val="left"/>
            </w:pPr>
            <w:r>
              <w:t xml:space="preserve">Multi-region databases, offline apps</w:t>
            </w:r>
          </w:p>
        </w:tc>
        <w:tc>
          <w:tcPr/>
          <w:p>
            <w:pPr>
              <w:pStyle w:val="Compact"/>
              <w:jc w:val="left"/>
            </w:pPr>
            <w:r>
              <w:t xml:space="preserve">Dynamo, Cassandra, Riak</w:t>
            </w:r>
          </w:p>
        </w:tc>
        <w:tc>
          <w:tcPr/>
          <w:p>
            <w:pPr>
              <w:pStyle w:val="Compact"/>
              <w:jc w:val="left"/>
            </w:pPr>
            <w:r>
              <w:t xml:space="preserve">etcd, ZooKeeper, Spanner (Ch 26)</w:t>
            </w:r>
          </w:p>
        </w:tc>
      </w:tr>
      <w:tr>
        <w:tc>
          <w:tcPr/>
          <w:p>
            <w:pPr>
              <w:pStyle w:val="Compact"/>
              <w:jc w:val="left"/>
            </w:pPr>
            <w:r>
              <w:t xml:space="preserve">Choose when</w:t>
            </w:r>
          </w:p>
        </w:tc>
        <w:tc>
          <w:tcPr/>
          <w:p>
            <w:pPr>
              <w:pStyle w:val="Compact"/>
              <w:jc w:val="left"/>
            </w:pPr>
            <w:r>
              <w:t xml:space="preserve">One region, simple ops</w:t>
            </w:r>
          </w:p>
        </w:tc>
        <w:tc>
          <w:tcPr/>
          <w:p>
            <w:pPr>
              <w:pStyle w:val="Compact"/>
              <w:jc w:val="left"/>
            </w:pPr>
            <w:r>
              <w:t xml:space="preserve">High write throughput with strong reads</w:t>
            </w:r>
          </w:p>
        </w:tc>
        <w:tc>
          <w:tcPr/>
          <w:p>
            <w:pPr>
              <w:pStyle w:val="Compact"/>
              <w:jc w:val="left"/>
            </w:pPr>
            <w:r>
              <w:t xml:space="preserve">Multi-region writes or offline clients</w:t>
            </w:r>
          </w:p>
        </w:tc>
        <w:tc>
          <w:tcPr/>
          <w:p>
            <w:pPr>
              <w:pStyle w:val="Compact"/>
              <w:jc w:val="left"/>
            </w:pPr>
            <w:r>
              <w:t xml:space="preserve">Always-writable, latency-sensitive keys</w:t>
            </w:r>
          </w:p>
        </w:tc>
        <w:tc>
          <w:tcPr/>
          <w:p>
            <w:pPr>
              <w:pStyle w:val="Compact"/>
              <w:jc w:val="left"/>
            </w:pPr>
            <w:r>
              <w:t xml:space="preserve">Metadata, locks, strong consistency</w:t>
            </w:r>
          </w:p>
        </w:tc>
      </w:tr>
    </w:tbl>
    <w:p>
      <w:pPr>
        <w:pStyle w:val="BodyText"/>
      </w:pPr>
      <w:r>
        <w:rPr>
          <w:bCs/>
          <w:b/>
        </w:rPr>
        <w:t xml:space="preserve">Figure 27.1 — Choosing a replication strategy.</w:t>
      </w:r>
    </w:p>
    <w:p>
      <w:pPr>
        <w:pStyle w:val="BodyText"/>
      </w:pPr>
      <w:r>
        <w:drawing>
          <wp:inline>
            <wp:extent cx="5334000" cy="3765804"/>
            <wp:effectExtent b="0" l="0" r="0" t="0"/>
            <wp:docPr descr="" title="" id="3005" name="Picture"/>
            <a:graphic>
              <a:graphicData uri="http://schemas.openxmlformats.org/drawingml/2006/picture">
                <pic:pic>
                  <pic:nvPicPr>
                    <pic:cNvPr descr="/home/user/System-Design/build/.cache/diagrams/8fb8bb2aaea9.png" id="3006" name="Picture"/>
                    <pic:cNvPicPr>
                      <a:picLocks noChangeArrowheads="1" noChangeAspect="1"/>
                    </pic:cNvPicPr>
                  </pic:nvPicPr>
                  <pic:blipFill>
                    <a:blip r:embed="rId3004"/>
                    <a:stretch>
                      <a:fillRect/>
                    </a:stretch>
                  </pic:blipFill>
                  <pic:spPr bwMode="auto">
                    <a:xfrm>
                      <a:off x="0" y="0"/>
                      <a:ext cx="5334000" cy="3765804"/>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diagram is a decision path, not a data flow. The first question splits designs that remain writable on both sides of a network partition (right branch, which must accept conflicts and resolve them, §27.14) from those that keep one ordering of writes (left branch). On the ordered side, consensus-based replication gives automatic, safe failover; chain replication gives high throughput with strong reads but relies on a separately replicated master service; primary–backup is simplest but its safety depends on the failure detector and fencing. Both availability-first branches feed into conflict resolution, the shared failure point: whichever resolver you choose decides which concurrent writes survive.</w:t>
      </w:r>
    </w:p>
    <w:p>
      <w:pPr>
        <w:pStyle w:val="CalloutConcept"/>
      </w:pPr>
      <w:r>
        <w:rPr>
          <w:bCs/>
          <w:b/>
        </w:rPr>
        <w:t xml:space="preserve">KEY CONCEPT</w:t>
      </w:r>
    </w:p>
    <w:p>
      <w:pPr>
        <w:pStyle w:val="CalloutConcept"/>
      </w:pPr>
      <w:r>
        <w:rPr>
          <w:bCs/>
          <w:b/>
        </w:rPr>
        <w:t xml:space="preserve">Concept — Replication is ordering plus acknowledgment.</w:t>
      </w:r>
      <w:r>
        <w:t xml:space="preserve"> </w:t>
      </w:r>
      <w:r>
        <w:t xml:space="preserve">Every strategy answers two questions: who decides the order of writes, and how many copies must hold a write before the client hears</w:t>
      </w:r>
      <w:r>
        <w:t xml:space="preserve"> </w:t>
      </w:r>
      <w:r>
        <w:t xml:space="preserve">“</w:t>
      </w:r>
      <w:r>
        <w:t xml:space="preserve">done</w:t>
      </w:r>
      <w:r>
        <w:t xml:space="preserve">”</w:t>
      </w:r>
      <w:r>
        <w:t xml:space="preserve">. Primary–backup, chain and consensus fix the order at one place; multi-leader and leaderless let order emerge and repair disagreements afterwards.</w:t>
      </w:r>
    </w:p>
    <w:bookmarkEnd w:id="3007"/>
    <w:bookmarkEnd w:id="3008"/>
    <w:bookmarkEnd w:id="3009"/>
    <w:bookmarkStart w:id="3020" w:name="primarybackup-replication"/>
    <w:p>
      <w:pPr>
        <w:pStyle w:val="Heading2"/>
      </w:pPr>
      <w:r>
        <w:t xml:space="preserve">27.4 Primary–backup replication</w:t>
      </w:r>
    </w:p>
    <w:bookmarkStart w:id="3019" w:name="state-transfer-and-operation-shipping"/>
    <w:p>
      <w:pPr>
        <w:pStyle w:val="Heading3"/>
      </w:pPr>
      <w:r>
        <w:t xml:space="preserve">27.4.1 State transfer and operation shipping</w:t>
      </w:r>
    </w:p>
    <w:p>
      <w:pPr>
        <w:pStyle w:val="CalloutDefinition"/>
      </w:pPr>
      <w:r>
        <w:rPr>
          <w:bCs/>
          <w:b/>
        </w:rPr>
        <w:t xml:space="preserve">DEFINITION</w:t>
      </w:r>
    </w:p>
    <w:p>
      <w:pPr>
        <w:pStyle w:val="CalloutDefinition"/>
      </w:pPr>
      <w:r>
        <w:rPr>
          <w:bCs/>
          <w:b/>
        </w:rPr>
        <w:t xml:space="preserve">Definition — Primary–backup replication.</w:t>
      </w:r>
      <w:r>
        <w:t xml:space="preserve"> </w:t>
      </w:r>
      <w:r>
        <w:t xml:space="preserve">One replica, the</w:t>
      </w:r>
      <w:r>
        <w:t xml:space="preserve"> </w:t>
      </w:r>
      <w:r>
        <w:rPr>
          <w:bCs/>
          <w:b/>
        </w:rPr>
        <w:t xml:space="preserve">primary</w:t>
      </w:r>
      <w:r>
        <w:t xml:space="preserve">, receives all requests, executes them and propagates the result to one or more</w:t>
      </w:r>
      <w:r>
        <w:t xml:space="preserve"> </w:t>
      </w:r>
      <w:r>
        <w:rPr>
          <w:bCs/>
          <w:b/>
        </w:rPr>
        <w:t xml:space="preserve">backups</w:t>
      </w:r>
      <w:r>
        <w:t xml:space="preserve">. If the primary fails, a backup is</w:t>
      </w:r>
      <w:r>
        <w:t xml:space="preserve"> </w:t>
      </w:r>
      <w:r>
        <w:rPr>
          <w:bCs/>
          <w:b/>
        </w:rPr>
        <w:t xml:space="preserve">promoted</w:t>
      </w:r>
      <w:r>
        <w:t xml:space="preserve"> </w:t>
      </w:r>
      <w:r>
        <w:t xml:space="preserve">to primary. It is also called</w:t>
      </w:r>
      <w:r>
        <w:t xml:space="preserve"> </w:t>
      </w:r>
      <w:r>
        <w:rPr>
          <w:bCs/>
          <w:b/>
        </w:rPr>
        <w:t xml:space="preserve">passive replication</w:t>
      </w:r>
      <w:r>
        <w:t xml:space="preserve"> </w:t>
      </w:r>
      <w:r>
        <w:t xml:space="preserve">[Alsberg and Day 1976; Budhiraja et al. 1993].</w:t>
      </w:r>
    </w:p>
    <w:bookmarkStart w:id="3010" w:name="first-principles-explanation-145"/>
    <w:p>
      <w:pPr>
        <w:pStyle w:val="Heading4"/>
      </w:pPr>
      <w:r>
        <w:t xml:space="preserve">First-principles explanation</w:t>
      </w:r>
    </w:p>
    <w:p>
      <w:pPr>
        <w:pStyle w:val="FirstParagraph"/>
      </w:pPr>
      <w:r>
        <w:t xml:space="preserve">A head chef cooks while an apprentice keeps an identical copy of each dish. The chef can photograph each finished plate (</w:t>
      </w:r>
      <w:r>
        <w:rPr>
          <w:bCs/>
          <w:b/>
        </w:rPr>
        <w:t xml:space="preserve">state transfer</w:t>
      </w:r>
      <w:r>
        <w:t xml:space="preserve">: send the resulting state) or read out each instruction,</w:t>
      </w:r>
      <w:r>
        <w:t xml:space="preserve"> </w:t>
      </w:r>
      <w:r>
        <w:t xml:space="preserve">“</w:t>
      </w:r>
      <w:r>
        <w:t xml:space="preserve">add 5 g salt</w:t>
      </w:r>
      <w:r>
        <w:t xml:space="preserve">”</w:t>
      </w:r>
      <w:r>
        <w:t xml:space="preserve">, for the apprentice to perform (</w:t>
      </w:r>
      <w:r>
        <w:rPr>
          <w:bCs/>
          <w:b/>
        </w:rPr>
        <w:t xml:space="preserve">operation shipping</w:t>
      </w:r>
      <w:r>
        <w:t xml:space="preserve">, also called log shipping, or</w:t>
      </w:r>
      <w:r>
        <w:t xml:space="preserve"> </w:t>
      </w:r>
      <w:r>
        <w:rPr>
          <w:bCs/>
          <w:b/>
        </w:rPr>
        <w:t xml:space="preserve">active</w:t>
      </w:r>
      <w:r>
        <w:t xml:space="preserve"> </w:t>
      </w:r>
      <w:r>
        <w:t xml:space="preserve">replication when every replica executes it). Photographs are bigger but exact; instructions are small but work only if every step gives the same result on both stoves.</w:t>
      </w:r>
    </w:p>
    <w:bookmarkEnd w:id="3010"/>
    <w:bookmarkStart w:id="3011" w:name="why-does-this-exist-90"/>
    <w:p>
      <w:pPr>
        <w:pStyle w:val="Heading4"/>
      </w:pPr>
      <w:r>
        <w:t xml:space="preserve">Why does this exist?</w:t>
      </w:r>
    </w:p>
    <w:p>
      <w:pPr>
        <w:pStyle w:val="FirstParagraph"/>
      </w:pPr>
      <w:r>
        <w:t xml:space="preserve">Primary–backup is the oldest and simplest fault-tolerance pattern. One node decides the order of operations, so there are no write conflicts and reads from the primary are linearizable while the primary is genuinely the only primary. Most relational databases (§14.3), Kafka partitions and many file systems use it.</w:t>
      </w:r>
    </w:p>
    <w:bookmarkEnd w:id="3011"/>
    <w:bookmarkStart w:id="3015" w:name="how-it-works-internally-96"/>
    <w:p>
      <w:pPr>
        <w:pStyle w:val="Heading4"/>
      </w:pPr>
      <w:r>
        <w:t xml:space="preserve">How it works internally</w:t>
      </w:r>
    </w:p>
    <w:p>
      <w:pPr>
        <w:numPr>
          <w:ilvl w:val="0"/>
          <w:numId w:val="1866"/>
        </w:numPr>
        <w:pStyle w:val="Compact"/>
      </w:pPr>
      <w:r>
        <w:t xml:space="preserve">The client sends a request to the primary.</w:t>
      </w:r>
    </w:p>
    <w:p>
      <w:pPr>
        <w:numPr>
          <w:ilvl w:val="0"/>
          <w:numId w:val="1866"/>
        </w:numPr>
        <w:pStyle w:val="Compact"/>
      </w:pPr>
      <w:r>
        <w:t xml:space="preserve">The primary executes it and produces either a state delta (changed pages, rows) or an operation record (a log entry).</w:t>
      </w:r>
    </w:p>
    <w:p>
      <w:pPr>
        <w:numPr>
          <w:ilvl w:val="0"/>
          <w:numId w:val="1866"/>
        </w:numPr>
        <w:pStyle w:val="Compact"/>
      </w:pPr>
      <w:r>
        <w:t xml:space="preserve">The primary sends the delta or record to the backups, in the order it executed them.</w:t>
      </w:r>
    </w:p>
    <w:p>
      <w:pPr>
        <w:numPr>
          <w:ilvl w:val="0"/>
          <w:numId w:val="1866"/>
        </w:numPr>
        <w:pStyle w:val="Compact"/>
      </w:pPr>
      <w:r>
        <w:t xml:space="preserve">In</w:t>
      </w:r>
      <w:r>
        <w:t xml:space="preserve"> </w:t>
      </w:r>
      <w:r>
        <w:rPr>
          <w:bCs/>
          <w:b/>
        </w:rPr>
        <w:t xml:space="preserve">synchronous</w:t>
      </w:r>
      <w:r>
        <w:t xml:space="preserve"> </w:t>
      </w:r>
      <w:r>
        <w:t xml:space="preserve">mode the primary waits for the backups’ acknowledgments before replying; in asynchronous mode it replies at once (§14.4 compares the modes).</w:t>
      </w:r>
    </w:p>
    <w:p>
      <w:pPr>
        <w:numPr>
          <w:ilvl w:val="0"/>
          <w:numId w:val="1866"/>
        </w:numPr>
        <w:pStyle w:val="Compact"/>
      </w:pPr>
      <w:r>
        <w:t xml:space="preserve">A</w:t>
      </w:r>
      <w:r>
        <w:t xml:space="preserve"> </w:t>
      </w:r>
      <w:r>
        <w:rPr>
          <w:bCs/>
          <w:b/>
        </w:rPr>
        <w:t xml:space="preserve">failure detector</w:t>
      </w:r>
      <w:r>
        <w:t xml:space="preserve"> </w:t>
      </w:r>
      <w:r>
        <w:t xml:space="preserve">(§27.10) watches the primary. When it suspects a crash, a backup is chosen, made consistent with the most up-to-date surviving copy,</w:t>
      </w:r>
      <w:r>
        <w:t xml:space="preserve"> </w:t>
      </w:r>
      <w:r>
        <w:rPr>
          <w:bCs/>
          <w:b/>
        </w:rPr>
        <w:t xml:space="preserve">fenced</w:t>
      </w:r>
      <w:r>
        <w:t xml:space="preserve"> </w:t>
      </w:r>
      <w:r>
        <w:t xml:space="preserve">off from the old primary (§26.13) and promoted.</w:t>
      </w:r>
    </w:p>
    <w:p>
      <w:pPr>
        <w:pStyle w:val="FirstParagraph"/>
      </w:pPr>
      <w:r>
        <w:t xml:space="preserve">The trade-off between the two forms is concrete:</w:t>
      </w:r>
    </w:p>
    <w:p>
      <w:pPr>
        <w:numPr>
          <w:ilvl w:val="0"/>
          <w:numId w:val="1867"/>
        </w:numPr>
        <w:pStyle w:val="Compact"/>
      </w:pPr>
      <w:r>
        <w:rPr>
          <w:bCs/>
          <w:b/>
        </w:rPr>
        <w:t xml:space="preserve">State transfer</w:t>
      </w:r>
      <w:r>
        <w:t xml:space="preserve"> </w:t>
      </w:r>
      <w:r>
        <w:t xml:space="preserve">is deterministic by construction, works for any computation and is the basis of physical (WAL) replication (§14.4.5). It costs bandwidth proportional to the amount of state changed, which can be large: one</w:t>
      </w:r>
      <w:r>
        <w:t xml:space="preserve"> </w:t>
      </w:r>
      <w:r>
        <w:rPr>
          <w:rStyle w:val="VerbatimChar"/>
        </w:rPr>
        <w:t xml:space="preserve">UPDATE</w:t>
      </w:r>
      <w:r>
        <w:t xml:space="preserve"> </w:t>
      </w:r>
      <w:r>
        <w:t xml:space="preserve">that touches a million rows ships a million row images.</w:t>
      </w:r>
    </w:p>
    <w:p>
      <w:pPr>
        <w:numPr>
          <w:ilvl w:val="0"/>
          <w:numId w:val="1867"/>
        </w:numPr>
        <w:pStyle w:val="Compact"/>
      </w:pPr>
      <w:r>
        <w:rPr>
          <w:bCs/>
          <w:b/>
        </w:rPr>
        <w:t xml:space="preserve">Operation shipping</w:t>
      </w:r>
      <w:r>
        <w:t xml:space="preserve"> </w:t>
      </w:r>
      <w:r>
        <w:t xml:space="preserve">sends the request, so it is compact, but every replica must execute it</w:t>
      </w:r>
      <w:r>
        <w:t xml:space="preserve"> </w:t>
      </w:r>
      <w:r>
        <w:rPr>
          <w:bCs/>
          <w:b/>
        </w:rPr>
        <w:t xml:space="preserve">deterministically</w:t>
      </w:r>
      <w:r>
        <w:t xml:space="preserve">. Clocks, random numbers, thread scheduling and unordered iteration break determinism. Systems either forbid non-deterministic operations, log their results (for example, the value of</w:t>
      </w:r>
      <w:r>
        <w:t xml:space="preserve"> </w:t>
      </w:r>
      <w:r>
        <w:rPr>
          <w:rStyle w:val="VerbatimChar"/>
        </w:rPr>
        <w:t xml:space="preserve">NOW()</w:t>
      </w:r>
      <w:r>
        <w:t xml:space="preserve">), or replay at a very low level, as VMware Fault Tolerance does.</w:t>
      </w:r>
    </w:p>
    <w:p>
      <w:pPr>
        <w:pStyle w:val="FirstParagraph"/>
      </w:pPr>
      <w:r>
        <w:rPr>
          <w:bCs/>
          <w:b/>
        </w:rPr>
        <w:t xml:space="preserve">Figure 27.2 — Primary–backup with a synchronous backup and the failover window.</w:t>
      </w:r>
    </w:p>
    <w:p>
      <w:pPr>
        <w:pStyle w:val="BodyText"/>
      </w:pPr>
      <w:r>
        <w:drawing>
          <wp:inline>
            <wp:extent cx="5334000" cy="3572904"/>
            <wp:effectExtent b="0" l="0" r="0" t="0"/>
            <wp:docPr descr="" title="" id="3013" name="Picture"/>
            <a:graphic>
              <a:graphicData uri="http://schemas.openxmlformats.org/drawingml/2006/picture">
                <pic:pic>
                  <pic:nvPicPr>
                    <pic:cNvPr descr="/home/user/System-Design/build/.cache/diagrams/dd555940d538.png" id="3014" name="Picture"/>
                    <pic:cNvPicPr>
                      <a:picLocks noChangeArrowheads="1" noChangeAspect="1"/>
                    </pic:cNvPicPr>
                  </pic:nvPicPr>
                  <pic:blipFill>
                    <a:blip r:embed="rId3012"/>
                    <a:stretch>
                      <a:fillRect/>
                    </a:stretch>
                  </pic:blipFill>
                  <pic:spPr bwMode="auto">
                    <a:xfrm>
                      <a:off x="0" y="0"/>
                      <a:ext cx="5334000" cy="3572904"/>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Solid arrows are synchronous messages; the client waits until the backup has logged entry 41, so a primary crash after the reply loses nothing. The crossed arrow marks the crash. From then until the detector’s timeout expires and the backup is promoted, no write can succeed: that interval is the</w:t>
      </w:r>
      <w:r>
        <w:t xml:space="preserve"> </w:t>
      </w:r>
      <w:r>
        <w:rPr>
          <w:bCs/>
          <w:b/>
        </w:rPr>
        <w:t xml:space="preserve">failover window</w:t>
      </w:r>
      <w:r>
        <w:t xml:space="preserve">, and it is dominated by detection time (§27.11). The storage boundaries are the two logs. The failure points are the detector (too slow lengthens the window; too eager causes needless failovers and possible split brain) and the backup itself (if it is down, synchronous commits stall). Scaling adds backups, which adds acknowledgments to wait for and copies for the primary to send.</w:t>
      </w:r>
    </w:p>
    <w:bookmarkEnd w:id="3015"/>
    <w:bookmarkStart w:id="3016" w:name="mathematical-foundations-53"/>
    <w:p>
      <w:pPr>
        <w:pStyle w:val="Heading4"/>
      </w:pPr>
      <w:r>
        <w:t xml:space="preserve">Mathematical foundations</w:t>
      </w:r>
    </w:p>
    <w:p>
      <w:pPr>
        <w:pStyle w:val="FirstParagraph"/>
      </w:pPr>
      <w:r>
        <w:t xml:space="preserve">With asynchronous shipping, everything the primary acknowledged but had not yet shipped is lost when a backup is promoted.</w:t>
      </w:r>
    </w:p>
    <w:p>
      <w:pPr>
        <w:pStyle w:val="CalloutFormula"/>
      </w:pPr>
      <w:r>
        <w:rPr>
          <w:bCs/>
          <w:b/>
        </w:rPr>
        <w:t xml:space="preserve">FORMULA</w:t>
      </w:r>
    </w:p>
    <w:p>
      <w:pPr>
        <w:pStyle w:val="CalloutFormula"/>
      </w:pPr>
      <w:r>
        <w:rPr>
          <w:bCs/>
          <w:b/>
        </w:rPr>
        <w:t xml:space="preserve">Writes lost in an asynchronous failover</w:t>
      </w:r>
    </w:p>
    <w:p>
      <w:pPr>
        <w:pStyle w:val="CalloutFormula"/>
      </w:pPr>
      <m:oMathPara>
        <m:oMathParaPr>
          <m:jc m:val="center"/>
        </m:oMathParaPr>
        <m:oMath>
          <m:r>
            <m:t>L</m:t>
          </m:r>
          <m:r>
            <m:rPr>
              <m:sty m:val="p"/>
            </m:rPr>
            <m:t>=</m:t>
          </m:r>
          <m:sSub>
            <m:e>
              <m:r>
                <m:t>r</m:t>
              </m:r>
            </m:e>
            <m:sub>
              <m:r>
                <m:t>w</m:t>
              </m:r>
            </m:sub>
          </m:sSub>
          <m:r>
            <m:rPr>
              <m:sty m:val="p"/>
            </m:rPr>
            <m:t>×</m:t>
          </m:r>
          <m:r>
            <m:rPr>
              <m:sty m:val="p"/>
            </m:rPr>
            <m:t>ℓ</m:t>
          </m:r>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L</m:t>
              </m:r>
            </m:oMath>
          </w:p>
        </w:tc>
        <w:tc>
          <w:tcPr/>
          <w:p>
            <w:pPr>
              <w:pStyle w:val="Compact"/>
              <w:jc w:val="left"/>
            </w:pPr>
            <w:r>
              <w:t xml:space="preserve">Acknowledged writes lost when the most up-to-date backup is promoted</w:t>
            </w:r>
          </w:p>
        </w:tc>
        <w:tc>
          <w:tcPr/>
          <w:p>
            <w:pPr>
              <w:pStyle w:val="Compact"/>
              <w:jc w:val="left"/>
            </w:pPr>
            <w:r>
              <w:t xml:space="preserve">writes</w:t>
            </w:r>
          </w:p>
        </w:tc>
      </w:tr>
      <w:tr>
        <w:tc>
          <w:tcPr/>
          <w:p>
            <w:pPr>
              <w:pStyle w:val="Compact"/>
              <w:jc w:val="left"/>
            </w:pPr>
            <m:oMath>
              <m:sSub>
                <m:e>
                  <m:r>
                    <m:t>r</m:t>
                  </m:r>
                </m:e>
                <m:sub>
                  <m:r>
                    <m:t>w</m:t>
                  </m:r>
                </m:sub>
              </m:sSub>
            </m:oMath>
          </w:p>
        </w:tc>
        <w:tc>
          <w:tcPr/>
          <w:p>
            <w:pPr>
              <w:pStyle w:val="Compact"/>
              <w:jc w:val="left"/>
            </w:pPr>
            <w:r>
              <w:t xml:space="preserve">Write rate on the primary just before the crash</w:t>
            </w:r>
          </w:p>
        </w:tc>
        <w:tc>
          <w:tcPr/>
          <w:p>
            <w:pPr>
              <w:pStyle w:val="Compact"/>
              <w:jc w:val="left"/>
            </w:pPr>
            <w:r>
              <w:t xml:space="preserve">writes/s</w:t>
            </w:r>
          </w:p>
        </w:tc>
      </w:tr>
      <w:tr>
        <w:tc>
          <w:tcPr/>
          <w:p>
            <w:pPr>
              <w:pStyle w:val="Compact"/>
              <w:jc w:val="left"/>
            </w:pPr>
            <m:oMath>
              <m:r>
                <m:rPr>
                  <m:sty m:val="p"/>
                </m:rPr>
                <m:t>ℓ</m:t>
              </m:r>
            </m:oMath>
          </w:p>
        </w:tc>
        <w:tc>
          <w:tcPr/>
          <w:p>
            <w:pPr>
              <w:pStyle w:val="Compact"/>
              <w:jc w:val="left"/>
            </w:pPr>
            <w:r>
              <w:t xml:space="preserve">Replication lag of the promoted backup at the moment of the crash</w:t>
            </w:r>
          </w:p>
        </w:tc>
        <w:tc>
          <w:tcPr/>
          <w:p>
            <w:pPr>
              <w:pStyle w:val="Compact"/>
              <w:jc w:val="left"/>
            </w:pPr>
            <w:r>
              <w:t xml:space="preserve">s</w:t>
            </w:r>
          </w:p>
        </w:tc>
      </w:tr>
    </w:tbl>
    <w:p>
      <w:pPr>
        <w:pStyle w:val="CalloutExample"/>
      </w:pPr>
      <w:r>
        <w:rPr>
          <w:bCs/>
          <w:b/>
        </w:rPr>
        <w:t xml:space="preserve">WORKED EXAMPLE</w:t>
      </w:r>
    </w:p>
    <w:p>
      <w:pPr>
        <w:pStyle w:val="CalloutExample"/>
      </w:pPr>
      <w:r>
        <w:rPr>
          <w:bCs/>
          <w:b/>
        </w:rPr>
        <w:t xml:space="preserve">Worked example — Sizing the loss.</w:t>
      </w:r>
      <w:r>
        <w:t xml:space="preserve"> </w:t>
      </w:r>
      <w:r>
        <w:t xml:space="preserve">An order service commits</w:t>
      </w:r>
      <w:r>
        <w:t xml:space="preserve"> </w:t>
      </w:r>
      <m:oMath>
        <m:sSub>
          <m:e>
            <m:r>
              <m:t>r</m:t>
            </m:r>
          </m:e>
          <m:sub>
            <m:r>
              <m:t>w</m:t>
            </m:r>
          </m:sub>
        </m:sSub>
        <m:r>
          <m:rPr>
            <m:sty m:val="p"/>
          </m:rPr>
          <m:t>=</m:t>
        </m:r>
        <m:r>
          <m:t>2</m:t>
        </m:r>
        <m:r>
          <m:rPr>
            <m:sty m:val="p"/>
          </m:rPr>
          <m:t>,</m:t>
        </m:r>
        <m:r>
          <m:t>000</m:t>
        </m:r>
      </m:oMath>
      <w:r>
        <w:t xml:space="preserve"> </w:t>
      </w:r>
      <w:r>
        <w:t xml:space="preserve">writes/s. Its asynchronous backup normally lags by 50 ms, but under a burst the lag reaches 500 ms.</w:t>
      </w:r>
    </w:p>
    <w:p>
      <w:pPr>
        <w:numPr>
          <w:ilvl w:val="0"/>
          <w:numId w:val="1868"/>
        </w:numPr>
        <w:pStyle w:val="Compact"/>
      </w:pPr>
      <w:r>
        <w:t xml:space="preserve">Normal lag:</w:t>
      </w:r>
      <w:r>
        <w:t xml:space="preserve"> </w:t>
      </w:r>
      <m:oMath>
        <m:r>
          <m:t>L</m:t>
        </m:r>
        <m:r>
          <m:rPr>
            <m:sty m:val="p"/>
          </m:rPr>
          <m:t>=</m:t>
        </m:r>
        <m:r>
          <m:t>2</m:t>
        </m:r>
        <m:r>
          <m:rPr>
            <m:sty m:val="p"/>
          </m:rPr>
          <m:t>,</m:t>
        </m:r>
        <m:r>
          <m:t>000</m:t>
        </m:r>
        <m:r>
          <m:rPr>
            <m:sty m:val="p"/>
          </m:rPr>
          <m:t>×</m:t>
        </m:r>
        <m:r>
          <m:t>0.05</m:t>
        </m:r>
        <m:r>
          <m:rPr>
            <m:sty m:val="p"/>
          </m:rPr>
          <m:t>=</m:t>
        </m:r>
        <m:r>
          <m:t>100</m:t>
        </m:r>
      </m:oMath>
      <w:r>
        <w:t xml:space="preserve"> </w:t>
      </w:r>
      <w:r>
        <w:t xml:space="preserve">acknowledged orders lost.</w:t>
      </w:r>
    </w:p>
    <w:p>
      <w:pPr>
        <w:numPr>
          <w:ilvl w:val="0"/>
          <w:numId w:val="1868"/>
        </w:numPr>
        <w:pStyle w:val="Compact"/>
      </w:pPr>
      <w:r>
        <w:t xml:space="preserve">During the burst:</w:t>
      </w:r>
      <w:r>
        <w:t xml:space="preserve"> </w:t>
      </w:r>
      <m:oMath>
        <m:r>
          <m:t>L</m:t>
        </m:r>
        <m:r>
          <m:rPr>
            <m:sty m:val="p"/>
          </m:rPr>
          <m:t>=</m:t>
        </m:r>
        <m:r>
          <m:t>2</m:t>
        </m:r>
        <m:r>
          <m:rPr>
            <m:sty m:val="p"/>
          </m:rPr>
          <m:t>,</m:t>
        </m:r>
        <m:r>
          <m:t>000</m:t>
        </m:r>
        <m:r>
          <m:rPr>
            <m:sty m:val="p"/>
          </m:rPr>
          <m:t>×</m:t>
        </m:r>
        <m:r>
          <m:t>0.5</m:t>
        </m:r>
        <m:r>
          <m:rPr>
            <m:sty m:val="p"/>
          </m:rPr>
          <m:t>=</m:t>
        </m:r>
        <m:r>
          <m:t>1</m:t>
        </m:r>
        <m:r>
          <m:rPr>
            <m:sty m:val="p"/>
          </m:rPr>
          <m:t>,</m:t>
        </m:r>
        <m:r>
          <m:t>000</m:t>
        </m:r>
      </m:oMath>
      <w:r>
        <w:t xml:space="preserve"> </w:t>
      </w:r>
      <w:r>
        <w:t xml:space="preserve">orders lost.</w:t>
      </w:r>
    </w:p>
    <w:p>
      <w:pPr>
        <w:numPr>
          <w:ilvl w:val="0"/>
          <w:numId w:val="1868"/>
        </w:numPr>
        <w:pStyle w:val="Compact"/>
      </w:pPr>
      <w:r>
        <w:t xml:space="preserve">With one synchronous backup in the same region:</w:t>
      </w:r>
      <w:r>
        <w:t xml:space="preserve"> </w:t>
      </w:r>
      <m:oMath>
        <m:r>
          <m:rPr>
            <m:sty m:val="p"/>
          </m:rPr>
          <m:t>ℓ</m:t>
        </m:r>
        <m:r>
          <m:rPr>
            <m:sty m:val="p"/>
          </m:rPr>
          <m:t>=</m:t>
        </m:r>
        <m:r>
          <m:t>0</m:t>
        </m:r>
      </m:oMath>
      <w:r>
        <w:t xml:space="preserve"> </w:t>
      </w:r>
      <w:r>
        <w:t xml:space="preserve">for acknowledged writes, so</w:t>
      </w:r>
      <w:r>
        <w:t xml:space="preserve"> </w:t>
      </w:r>
      <m:oMath>
        <m:r>
          <m:t>L</m:t>
        </m:r>
        <m:r>
          <m:rPr>
            <m:sty m:val="p"/>
          </m:rPr>
          <m:t>=</m:t>
        </m:r>
        <m:r>
          <m:t>0</m:t>
        </m:r>
      </m:oMath>
      <w:r>
        <w:t xml:space="preserve">, at a cost of one intra-region round trip per commit (about 0.5–1 ms, §14.4.1).</w:t>
      </w:r>
    </w:p>
    <w:p>
      <w:pPr>
        <w:pStyle w:val="CalloutExample"/>
      </w:pPr>
      <w:r>
        <w:rPr>
          <w:bCs/>
          <w:b/>
        </w:rPr>
        <w:t xml:space="preserve">Interpretation.</w:t>
      </w:r>
      <w:r>
        <w:t xml:space="preserve"> </w:t>
      </w:r>
      <w:r>
        <w:t xml:space="preserve">Asynchronous loss scales with load</w:t>
      </w:r>
      <w:r>
        <w:t xml:space="preserve"> </w:t>
      </w:r>
      <w:r>
        <w:rPr>
          <w:iCs/>
          <w:i/>
        </w:rPr>
        <w:t xml:space="preserve">and</w:t>
      </w:r>
      <w:r>
        <w:t xml:space="preserve"> </w:t>
      </w:r>
      <w:r>
        <w:t xml:space="preserve">lag, and lag grows exactly when the system is busiest.</w:t>
      </w:r>
      <w:r>
        <w:t xml:space="preserve"> </w:t>
      </w:r>
      <w:r>
        <w:rPr>
          <w:bCs/>
          <w:b/>
        </w:rPr>
        <w:t xml:space="preserve">Engineering implication.</w:t>
      </w:r>
      <w:r>
        <w:t xml:space="preserve"> </w:t>
      </w:r>
      <w:r>
        <w:t xml:space="preserve">If any loss is unacceptable, make at least one backup synchronous, or make failover choose only a backup known to hold every acknowledged write, and alert on lag in seconds as well as bytes.</w:t>
      </w:r>
    </w:p>
    <w:p>
      <w:pPr>
        <w:pStyle w:val="BodyText"/>
      </w:pPr>
      <w:r>
        <w:t xml:space="preserve">There is also a bandwidth cost. With</w:t>
      </w:r>
      <w:r>
        <w:t xml:space="preserve"> </w:t>
      </w:r>
      <m:oMath>
        <m:r>
          <m:t>n</m:t>
        </m:r>
      </m:oMath>
      <w:r>
        <w:t xml:space="preserve"> </w:t>
      </w:r>
      <w:r>
        <w:t xml:space="preserve">replicas the primary sends every update</w:t>
      </w:r>
      <w:r>
        <w:t xml:space="preserve"> </w:t>
      </w:r>
      <m:oMath>
        <m:r>
          <m:t>n</m:t>
        </m:r>
        <m:r>
          <m:rPr>
            <m:sty m:val="p"/>
          </m:rPr>
          <m:t>−</m:t>
        </m:r>
        <m:r>
          <m:t>1</m:t>
        </m:r>
      </m:oMath>
      <w:r>
        <w:t xml:space="preserve"> </w:t>
      </w:r>
      <w:r>
        <w:t xml:space="preserve">times, so its outbound network link limits write throughput:</w:t>
      </w:r>
      <w:r>
        <w:t xml:space="preserve"> </w:t>
      </w:r>
      <m:oMath>
        <m:sSub>
          <m:e>
            <m:r>
              <m:t>X</m:t>
            </m:r>
          </m:e>
          <m:sub>
            <m:r>
              <m:rPr>
                <m:sty m:val="p"/>
              </m:rPr>
              <m:t>max</m:t>
            </m:r>
          </m:sub>
        </m:sSub>
        <m:r>
          <m:rPr>
            <m:sty m:val="p"/>
          </m:rPr>
          <m:t>=</m:t>
        </m:r>
        <m:sSub>
          <m:e>
            <m:r>
              <m:t>B</m:t>
            </m:r>
          </m:e>
          <m:sub>
            <m:r>
              <m:rPr>
                <m:nor/>
                <m:sty m:val="p"/>
              </m:rPr>
              <m:t>out</m:t>
            </m:r>
          </m:sub>
        </m:sSub>
        <m:r>
          <m:rPr>
            <m:sty m:val="p"/>
          </m:rPr>
          <m:t>/</m:t>
        </m:r>
        <m:d>
          <m:dPr>
            <m:begChr m:val="("/>
            <m:endChr m:val=")"/>
            <m:sepChr m:val=""/>
            <m:grow/>
          </m:dPr>
          <m:e>
            <m:d>
              <m:dPr>
                <m:begChr m:val="("/>
                <m:endChr m:val=")"/>
                <m:sepChr m:val=""/>
                <m:grow/>
              </m:dPr>
              <m:e>
                <m:r>
                  <m:t>n</m:t>
                </m:r>
                <m:r>
                  <m:rPr>
                    <m:sty m:val="p"/>
                  </m:rPr>
                  <m:t>−</m:t>
                </m:r>
                <m:r>
                  <m:t>1</m:t>
                </m:r>
              </m:e>
            </m:d>
            <m:r>
              <m:rPr>
                <m:sty m:val="p"/>
              </m:rPr>
              <m:t>⋅</m:t>
            </m:r>
            <m:r>
              <m:t>s</m:t>
            </m:r>
          </m:e>
        </m:d>
      </m:oMath>
      <w:r>
        <w:t xml:space="preserve"> </w:t>
      </w:r>
      <w:r>
        <w:t xml:space="preserve">for updates of size</w:t>
      </w:r>
      <w:r>
        <w:t xml:space="preserve"> </w:t>
      </w:r>
      <m:oMath>
        <m:r>
          <m:t>s</m:t>
        </m:r>
      </m:oMath>
      <w:r>
        <w:t xml:space="preserve">. That bottleneck is what chain replication removes (§27.5).</w:t>
      </w:r>
    </w:p>
    <w:bookmarkEnd w:id="3016"/>
    <w:bookmarkStart w:id="3017" w:name="real-world-industry-applications-39"/>
    <w:p>
      <w:pPr>
        <w:pStyle w:val="Heading4"/>
      </w:pPr>
      <w:r>
        <w:t xml:space="preserve">Real-world industry applications</w:t>
      </w:r>
    </w:p>
    <w:p>
      <w:pPr>
        <w:pStyle w:val="CalloutIndustry"/>
      </w:pPr>
      <w:r>
        <w:rPr>
          <w:bCs/>
          <w:b/>
        </w:rPr>
        <w:t xml:space="preserve">INDUSTRY EXAMPLE</w:t>
      </w:r>
    </w:p>
    <w:p>
      <w:pPr>
        <w:pStyle w:val="CalloutIndustry"/>
      </w:pPr>
      <w:r>
        <w:rPr>
          <w:bCs/>
          <w:b/>
        </w:rPr>
        <w:t xml:space="preserve">VMware vSphere Fault Tolerance.</w:t>
      </w:r>
      <w:r>
        <w:t xml:space="preserve"> </w:t>
      </w:r>
      <w:r>
        <w:t xml:space="preserve">VMware FT replicates an entire virtual machine by operation shipping at the instruction level. The primary’s hypervisor logs every non-deterministic event (interrupts, network packets, timer reads) and sends it over a logging channel; the backup replays the same execution. The</w:t>
      </w:r>
      <w:r>
        <w:t xml:space="preserve"> </w:t>
      </w:r>
      <w:r>
        <w:rPr>
          <w:bCs/>
          <w:b/>
        </w:rPr>
        <w:t xml:space="preserve">output rule</w:t>
      </w:r>
      <w:r>
        <w:t xml:space="preserve"> </w:t>
      </w:r>
      <w:r>
        <w:t xml:space="preserve">makes the primary delay any externally visible output until the backup has acknowledged the log entry that produced it, so a failover never contradicts what the outside world has already seen. Failure detection uses heartbeats plus an atomic test-and-set on shared storage to prevent both copies from going live.</w:t>
      </w:r>
      <w:r>
        <w:t xml:space="preserve"> </w:t>
      </w:r>
      <w:r>
        <w:rPr>
          <w:iCs/>
          <w:i/>
        </w:rPr>
        <w:t xml:space="preserve">Evidence: Primary</w:t>
      </w:r>
      <w:r>
        <w:t xml:space="preserve"> </w:t>
      </w:r>
      <w:r>
        <w:t xml:space="preserve">— [Scales et al. 2010]</w:t>
      </w:r>
    </w:p>
    <w:p>
      <w:pPr>
        <w:pStyle w:val="CalloutIndustry"/>
      </w:pPr>
      <w:r>
        <w:rPr>
          <w:bCs/>
          <w:b/>
        </w:rPr>
        <w:t xml:space="preserve">INDUSTRY EXAMPLE</w:t>
      </w:r>
    </w:p>
    <w:p>
      <w:pPr>
        <w:pStyle w:val="CalloutIndustry"/>
      </w:pPr>
      <w:r>
        <w:rPr>
          <w:bCs/>
          <w:b/>
        </w:rPr>
        <w:t xml:space="preserve">Apache Kafka in-sync replicas.</w:t>
      </w:r>
      <w:r>
        <w:t xml:space="preserve"> </w:t>
      </w:r>
      <w:r>
        <w:t xml:space="preserve">Each Kafka partition has a leader and followers that fetch from it. Followers that keep up form the</w:t>
      </w:r>
      <w:r>
        <w:t xml:space="preserve"> </w:t>
      </w:r>
      <w:r>
        <w:rPr>
          <w:bCs/>
          <w:b/>
        </w:rPr>
        <w:t xml:space="preserve">in-sync replica set (ISR)</w:t>
      </w:r>
      <w:r>
        <w:t xml:space="preserve">. A producer with</w:t>
      </w:r>
      <w:r>
        <w:t xml:space="preserve"> </w:t>
      </w:r>
      <w:r>
        <w:rPr>
          <w:rStyle w:val="VerbatimChar"/>
        </w:rPr>
        <w:t xml:space="preserve">acks=all</w:t>
      </w:r>
      <w:r>
        <w:t xml:space="preserve"> </w:t>
      </w:r>
      <w:r>
        <w:t xml:space="preserve">is acknowledged once every current ISR member has the record, and</w:t>
      </w:r>
      <w:r>
        <w:t xml:space="preserve"> </w:t>
      </w:r>
      <w:r>
        <w:rPr>
          <w:rStyle w:val="VerbatimChar"/>
        </w:rPr>
        <w:t xml:space="preserve">min.insync.replicas</w:t>
      </w:r>
      <w:r>
        <w:t xml:space="preserve"> </w:t>
      </w:r>
      <w:r>
        <w:t xml:space="preserve">sets how small the ISR may shrink before such writes are refused. A replica outside the ISR may become leader only if unclean leader election is enabled, which trades data loss for availability.</w:t>
      </w:r>
      <w:r>
        <w:t xml:space="preserve"> </w:t>
      </w:r>
      <w:r>
        <w:rPr>
          <w:iCs/>
          <w:i/>
        </w:rPr>
        <w:t xml:space="preserve">Evidence: Primary</w:t>
      </w:r>
      <w:r>
        <w:t xml:space="preserve"> </w:t>
      </w:r>
      <w:r>
        <w:t xml:space="preserve">— [Apache Kafka Docs: Replication]</w:t>
      </w:r>
    </w:p>
    <w:bookmarkEnd w:id="3017"/>
    <w:bookmarkStart w:id="3018" w:name="failure-scenarios-59"/>
    <w:p>
      <w:pPr>
        <w:pStyle w:val="Heading4"/>
      </w:pPr>
      <w:r>
        <w:t xml:space="preserve">Failure scenarios</w:t>
      </w:r>
    </w:p>
    <w:p>
      <w:pPr>
        <w:pStyle w:val="FirstParagraph"/>
      </w:pPr>
      <w:r>
        <w:rPr>
          <w:bCs/>
          <w:b/>
        </w:rPr>
        <w:t xml:space="preserve">Table 27.2 — Failure scenarios in primary–backup replication.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Acknowledged writes vanish after failover</w:t>
            </w:r>
          </w:p>
        </w:tc>
        <w:tc>
          <w:tcPr/>
          <w:p>
            <w:pPr>
              <w:pStyle w:val="Compact"/>
              <w:jc w:val="left"/>
            </w:pPr>
            <w:r>
              <w:t xml:space="preserve">Async backup promoted while lagging</w:t>
            </w:r>
          </w:p>
        </w:tc>
        <w:tc>
          <w:tcPr/>
          <w:p>
            <w:pPr>
              <w:pStyle w:val="Compact"/>
              <w:jc w:val="left"/>
            </w:pPr>
            <w:r>
              <w:t xml:space="preserve">Gap in log positions; user reports</w:t>
            </w:r>
          </w:p>
        </w:tc>
        <w:tc>
          <w:tcPr/>
          <w:p>
            <w:pPr>
              <w:pStyle w:val="Compact"/>
              <w:jc w:val="left"/>
            </w:pPr>
            <w:r>
              <w:t xml:space="preserve">Replay old primary’s unshipped log if disk survives</w:t>
            </w:r>
          </w:p>
        </w:tc>
        <w:tc>
          <w:tcPr/>
          <w:p>
            <w:pPr>
              <w:pStyle w:val="Compact"/>
              <w:jc w:val="left"/>
            </w:pPr>
            <w:r>
              <w:t xml:space="preserve">Sync backup or lossless semi-sync; promote most-advanced replica</w:t>
            </w:r>
          </w:p>
        </w:tc>
      </w:tr>
      <w:tr>
        <w:tc>
          <w:tcPr/>
          <w:p>
            <w:pPr>
              <w:pStyle w:val="Compact"/>
              <w:jc w:val="left"/>
            </w:pPr>
            <w:r>
              <w:t xml:space="preserve">Two primaries accept writes</w:t>
            </w:r>
          </w:p>
        </w:tc>
        <w:tc>
          <w:tcPr/>
          <w:p>
            <w:pPr>
              <w:pStyle w:val="Compact"/>
              <w:jc w:val="left"/>
            </w:pPr>
            <w:r>
              <w:t xml:space="preserve">Old primary was slow, not dead; detector misfired</w:t>
            </w:r>
          </w:p>
        </w:tc>
        <w:tc>
          <w:tcPr/>
          <w:p>
            <w:pPr>
              <w:pStyle w:val="Compact"/>
              <w:jc w:val="left"/>
            </w:pPr>
            <w:r>
              <w:t xml:space="preserve">Two nodes report primary role</w:t>
            </w:r>
          </w:p>
        </w:tc>
        <w:tc>
          <w:tcPr/>
          <w:p>
            <w:pPr>
              <w:pStyle w:val="Compact"/>
              <w:jc w:val="left"/>
            </w:pPr>
            <w:r>
              <w:t xml:space="preserve">Fence old primary; reconcile divergent writes</w:t>
            </w:r>
          </w:p>
        </w:tc>
        <w:tc>
          <w:tcPr/>
          <w:p>
            <w:pPr>
              <w:pStyle w:val="Compact"/>
              <w:jc w:val="left"/>
            </w:pPr>
            <w:r>
              <w:t xml:space="preserve">Leases and fencing tokens (§26.11–§26.13)</w:t>
            </w:r>
          </w:p>
        </w:tc>
      </w:tr>
      <w:tr>
        <w:tc>
          <w:tcPr/>
          <w:p>
            <w:pPr>
              <w:pStyle w:val="Compact"/>
              <w:jc w:val="left"/>
            </w:pPr>
            <w:r>
              <w:t xml:space="preserve">Replicas diverge silently</w:t>
            </w:r>
          </w:p>
        </w:tc>
        <w:tc>
          <w:tcPr/>
          <w:p>
            <w:pPr>
              <w:pStyle w:val="Compact"/>
              <w:jc w:val="left"/>
            </w:pPr>
            <w:r>
              <w:t xml:space="preserve">Non-deterministic operation shipped</w:t>
            </w:r>
          </w:p>
        </w:tc>
        <w:tc>
          <w:tcPr/>
          <w:p>
            <w:pPr>
              <w:pStyle w:val="Compact"/>
              <w:jc w:val="left"/>
            </w:pPr>
            <w:r>
              <w:t xml:space="preserve">Checksums differ between replicas</w:t>
            </w:r>
          </w:p>
        </w:tc>
        <w:tc>
          <w:tcPr/>
          <w:p>
            <w:pPr>
              <w:pStyle w:val="Compact"/>
              <w:jc w:val="left"/>
            </w:pPr>
            <w:r>
              <w:t xml:space="preserve">Rebuild backup by state transfer (§27.12)</w:t>
            </w:r>
          </w:p>
        </w:tc>
        <w:tc>
          <w:tcPr/>
          <w:p>
            <w:pPr>
              <w:pStyle w:val="Compact"/>
              <w:jc w:val="left"/>
            </w:pPr>
            <w:r>
              <w:t xml:space="preserve">Row-based or physical logs; log non-deterministic values</w:t>
            </w:r>
          </w:p>
        </w:tc>
      </w:tr>
      <w:tr>
        <w:tc>
          <w:tcPr/>
          <w:p>
            <w:pPr>
              <w:pStyle w:val="Compact"/>
              <w:jc w:val="left"/>
            </w:pPr>
            <w:r>
              <w:t xml:space="preserve">All commits stall</w:t>
            </w:r>
          </w:p>
        </w:tc>
        <w:tc>
          <w:tcPr/>
          <w:p>
            <w:pPr>
              <w:pStyle w:val="Compact"/>
              <w:jc w:val="left"/>
            </w:pPr>
            <w:r>
              <w:t xml:space="preserve">Sole synchronous backup is down</w:t>
            </w:r>
          </w:p>
        </w:tc>
        <w:tc>
          <w:tcPr/>
          <w:p>
            <w:pPr>
              <w:pStyle w:val="Compact"/>
              <w:jc w:val="left"/>
            </w:pPr>
            <w:r>
              <w:t xml:space="preserve">Commit latency spikes</w:t>
            </w:r>
          </w:p>
        </w:tc>
        <w:tc>
          <w:tcPr/>
          <w:p>
            <w:pPr>
              <w:pStyle w:val="Compact"/>
              <w:jc w:val="left"/>
            </w:pPr>
            <w:r>
              <w:t xml:space="preserve">Drop to async or add a backup</w:t>
            </w:r>
          </w:p>
        </w:tc>
        <w:tc>
          <w:tcPr/>
          <w:p>
            <w:pPr>
              <w:pStyle w:val="Compact"/>
              <w:jc w:val="left"/>
            </w:pPr>
            <w:r>
              <w:t xml:space="preserve">Quorum acks over ≥ 2 backups</w:t>
            </w:r>
          </w:p>
        </w:tc>
      </w:tr>
    </w:tbl>
    <w:p>
      <w:pPr>
        <w:pStyle w:val="CalloutMistake"/>
      </w:pPr>
      <w:r>
        <w:rPr>
          <w:bCs/>
          <w:b/>
        </w:rPr>
        <w:t xml:space="preserve">COMMON MISTAKE</w:t>
      </w:r>
    </w:p>
    <w:p>
      <w:pPr>
        <w:pStyle w:val="CalloutMistake"/>
      </w:pPr>
      <w:r>
        <w:rPr>
          <w:bCs/>
          <w:b/>
        </w:rPr>
        <w:t xml:space="preserve">Mistake —</w:t>
      </w:r>
      <w:r>
        <w:rPr>
          <w:bCs/>
          <w:b/>
        </w:rPr>
        <w:t xml:space="preserve"> </w:t>
      </w:r>
      <w:r>
        <w:rPr>
          <w:bCs/>
          <w:b/>
        </w:rPr>
        <w:t xml:space="preserve">“</w:t>
      </w:r>
      <w:r>
        <w:rPr>
          <w:bCs/>
          <w:b/>
        </w:rPr>
        <w:t xml:space="preserve">A backup is a backup, so failover is safe.</w:t>
      </w:r>
      <w:r>
        <w:rPr>
          <w:bCs/>
          <w:b/>
        </w:rPr>
        <w:t xml:space="preserve">”</w:t>
      </w:r>
      <w:r>
        <w:t xml:space="preserve"> </w:t>
      </w:r>
      <w:r>
        <w:t xml:space="preserve">A backup is only as current as its last acknowledged entry, and failover is only safe if the old primary is stopped. Without fencing, a primary paused for 20 s by garbage collection can wake up and accept writes alongside the new one.</w:t>
      </w:r>
    </w:p>
    <w:bookmarkEnd w:id="3018"/>
    <w:bookmarkEnd w:id="3019"/>
    <w:bookmarkEnd w:id="3020"/>
    <w:bookmarkStart w:id="3035" w:name="chain-replication"/>
    <w:p>
      <w:pPr>
        <w:pStyle w:val="Heading2"/>
      </w:pPr>
      <w:r>
        <w:t xml:space="preserve">27.5 Chain replication</w:t>
      </w:r>
    </w:p>
    <w:bookmarkStart w:id="3027" w:name="writes-at-the-head-reads-at-the-tail"/>
    <w:p>
      <w:pPr>
        <w:pStyle w:val="Heading3"/>
      </w:pPr>
      <w:r>
        <w:t xml:space="preserve">27.5.1 Writes at the head, reads at the tail</w:t>
      </w:r>
    </w:p>
    <w:p>
      <w:pPr>
        <w:pStyle w:val="CalloutDefinition"/>
      </w:pPr>
      <w:r>
        <w:rPr>
          <w:bCs/>
          <w:b/>
        </w:rPr>
        <w:t xml:space="preserve">DEFINITION</w:t>
      </w:r>
    </w:p>
    <w:p>
      <w:pPr>
        <w:pStyle w:val="CalloutDefinition"/>
      </w:pPr>
      <w:r>
        <w:rPr>
          <w:bCs/>
          <w:b/>
        </w:rPr>
        <w:t xml:space="preserve">Definition — Chain replication.</w:t>
      </w:r>
      <w:r>
        <w:t xml:space="preserve"> </w:t>
      </w:r>
      <w:r>
        <w:t xml:space="preserve">Replicas are arranged in a linear</w:t>
      </w:r>
      <w:r>
        <w:t xml:space="preserve"> </w:t>
      </w:r>
      <w:r>
        <w:rPr>
          <w:bCs/>
          <w:b/>
        </w:rPr>
        <w:t xml:space="preserve">chain</w:t>
      </w:r>
      <w:r>
        <w:t xml:space="preserve">. Every update enters at the</w:t>
      </w:r>
      <w:r>
        <w:t xml:space="preserve"> </w:t>
      </w:r>
      <w:r>
        <w:rPr>
          <w:bCs/>
          <w:b/>
        </w:rPr>
        <w:t xml:space="preserve">head</w:t>
      </w:r>
      <w:r>
        <w:t xml:space="preserve"> </w:t>
      </w:r>
      <w:r>
        <w:t xml:space="preserve">and is forwarded node by node to the</w:t>
      </w:r>
      <w:r>
        <w:t xml:space="preserve"> </w:t>
      </w:r>
      <w:r>
        <w:rPr>
          <w:bCs/>
          <w:b/>
        </w:rPr>
        <w:t xml:space="preserve">tail</w:t>
      </w:r>
      <w:r>
        <w:t xml:space="preserve">; the tail replies to the client. Every query is answered by the tail. A separate, fault-tolerant</w:t>
      </w:r>
      <w:r>
        <w:t xml:space="preserve"> </w:t>
      </w:r>
      <w:r>
        <w:rPr>
          <w:bCs/>
          <w:b/>
        </w:rPr>
        <w:t xml:space="preserve">master</w:t>
      </w:r>
      <w:r>
        <w:t xml:space="preserve"> </w:t>
      </w:r>
      <w:r>
        <w:t xml:space="preserve">service detects failures and reconfigures the chain [van Renesse and Schneider 2004].</w:t>
      </w:r>
    </w:p>
    <w:bookmarkStart w:id="3021" w:name="first-principles-explanation-146"/>
    <w:p>
      <w:pPr>
        <w:pStyle w:val="Heading4"/>
      </w:pPr>
      <w:r>
        <w:t xml:space="preserve">First-principles explanation</w:t>
      </w:r>
    </w:p>
    <w:p>
      <w:pPr>
        <w:pStyle w:val="FirstParagraph"/>
      </w:pPr>
      <w:r>
        <w:t xml:space="preserve">Think of a bucket brigade. Buckets pass along the line, and only when the last person pours one on the fire does it count, so anyone asking</w:t>
      </w:r>
      <w:r>
        <w:t xml:space="preserve"> </w:t>
      </w:r>
      <w:r>
        <w:t xml:space="preserve">“</w:t>
      </w:r>
      <w:r>
        <w:t xml:space="preserve">how much water has reached the fire?</w:t>
      </w:r>
      <w:r>
        <w:t xml:space="preserve">”</w:t>
      </w:r>
      <w:r>
        <w:t xml:space="preserve"> </w:t>
      </w:r>
      <w:r>
        <w:t xml:space="preserve">asks the last person. Each person passes each bucket once, so no one is overloaded; the price is that every bucket travels the whole line.</w:t>
      </w:r>
    </w:p>
    <w:bookmarkEnd w:id="3021"/>
    <w:bookmarkStart w:id="3022" w:name="why-does-this-exist-91"/>
    <w:p>
      <w:pPr>
        <w:pStyle w:val="Heading4"/>
      </w:pPr>
      <w:r>
        <w:t xml:space="preserve">Why does this exist?</w:t>
      </w:r>
    </w:p>
    <w:p>
      <w:pPr>
        <w:pStyle w:val="FirstParagraph"/>
      </w:pPr>
      <w:r>
        <w:t xml:space="preserve">In primary–backup the primary sends every update to every backup. Van Renesse and Schneider designed chain replication for storage needing both high throughput and strong consistency: each node forwards each update once, and because the tail holds only updates every other node already has, tail reads are linearizable without extra coordination.</w:t>
      </w:r>
    </w:p>
    <w:bookmarkEnd w:id="3022"/>
    <w:bookmarkStart w:id="3026" w:name="how-it-works-internally-97"/>
    <w:p>
      <w:pPr>
        <w:pStyle w:val="Heading4"/>
      </w:pPr>
      <w:r>
        <w:t xml:space="preserve">How it works internally</w:t>
      </w:r>
    </w:p>
    <w:p>
      <w:pPr>
        <w:numPr>
          <w:ilvl w:val="0"/>
          <w:numId w:val="1869"/>
        </w:numPr>
        <w:pStyle w:val="Compact"/>
      </w:pPr>
      <w:r>
        <w:t xml:space="preserve">The client sends an update to the head. The head applies it and forwards it to its successor.</w:t>
      </w:r>
    </w:p>
    <w:p>
      <w:pPr>
        <w:numPr>
          <w:ilvl w:val="0"/>
          <w:numId w:val="1869"/>
        </w:numPr>
        <w:pStyle w:val="Compact"/>
      </w:pPr>
      <w:r>
        <w:t xml:space="preserve">Each middle node applies the update, records it in a</w:t>
      </w:r>
      <w:r>
        <w:t xml:space="preserve"> </w:t>
      </w:r>
      <w:r>
        <w:rPr>
          <w:bCs/>
          <w:b/>
        </w:rPr>
        <w:t xml:space="preserve">Sent</w:t>
      </w:r>
      <w:r>
        <w:t xml:space="preserve"> </w:t>
      </w:r>
      <w:r>
        <w:t xml:space="preserve">list of updates forwarded but not yet confirmed, and forwards it.</w:t>
      </w:r>
    </w:p>
    <w:p>
      <w:pPr>
        <w:numPr>
          <w:ilvl w:val="0"/>
          <w:numId w:val="1869"/>
        </w:numPr>
        <w:pStyle w:val="Compact"/>
      </w:pPr>
      <w:r>
        <w:t xml:space="preserve">The tail applies the update, replies to the client and sends an acknowledgment back up the chain, so predecessors can trim their Sent lists.</w:t>
      </w:r>
    </w:p>
    <w:p>
      <w:pPr>
        <w:numPr>
          <w:ilvl w:val="0"/>
          <w:numId w:val="1869"/>
        </w:numPr>
        <w:pStyle w:val="Compact"/>
      </w:pPr>
      <w:r>
        <w:t xml:space="preserve">Queries go only to the tail, which reflects exactly the set of fully replicated updates.</w:t>
      </w:r>
    </w:p>
    <w:p>
      <w:pPr>
        <w:numPr>
          <w:ilvl w:val="0"/>
          <w:numId w:val="1869"/>
        </w:numPr>
        <w:pStyle w:val="Compact"/>
      </w:pPr>
      <w:r>
        <w:t xml:space="preserve">The master (itself replicated with consensus, Chapter 26) detects crashes and repairs the chain:</w:t>
      </w:r>
    </w:p>
    <w:p>
      <w:pPr>
        <w:numPr>
          <w:ilvl w:val="1"/>
          <w:numId w:val="1870"/>
        </w:numPr>
        <w:pStyle w:val="Compact"/>
      </w:pPr>
      <w:r>
        <w:rPr>
          <w:bCs/>
          <w:b/>
        </w:rPr>
        <w:t xml:space="preserve">Head fails:</w:t>
      </w:r>
      <w:r>
        <w:t xml:space="preserve"> </w:t>
      </w:r>
      <w:r>
        <w:t xml:space="preserve">its successor becomes the head. Updates the old head received but had not forwarded are lost, but none had been acknowledged.</w:t>
      </w:r>
    </w:p>
    <w:p>
      <w:pPr>
        <w:numPr>
          <w:ilvl w:val="1"/>
          <w:numId w:val="1870"/>
        </w:numPr>
        <w:pStyle w:val="Compact"/>
      </w:pPr>
      <w:r>
        <w:rPr>
          <w:bCs/>
          <w:b/>
        </w:rPr>
        <w:t xml:space="preserve">Tail fails:</w:t>
      </w:r>
      <w:r>
        <w:t xml:space="preserve"> </w:t>
      </w:r>
      <w:r>
        <w:t xml:space="preserve">its predecessor becomes the tail. That node already holds everything the old tail held, and possibly more.</w:t>
      </w:r>
    </w:p>
    <w:p>
      <w:pPr>
        <w:numPr>
          <w:ilvl w:val="1"/>
          <w:numId w:val="1870"/>
        </w:numPr>
        <w:pStyle w:val="Compact"/>
      </w:pPr>
      <w:r>
        <w:rPr>
          <w:bCs/>
          <w:b/>
        </w:rPr>
        <w:t xml:space="preserve">Middle node fails:</w:t>
      </w:r>
      <w:r>
        <w:t xml:space="preserve"> </w:t>
      </w:r>
      <w:r>
        <w:t xml:space="preserve">the master links its predecessor to its successor, and the predecessor resends everything in its Sent list that the successor may have missed.</w:t>
      </w:r>
    </w:p>
    <w:p>
      <w:pPr>
        <w:numPr>
          <w:ilvl w:val="0"/>
          <w:numId w:val="1869"/>
        </w:numPr>
        <w:pStyle w:val="Compact"/>
      </w:pPr>
      <w:r>
        <w:t xml:space="preserve">A new node is added at the tail end: it copies the current tail’s state, then takes over as tail.</w:t>
      </w:r>
    </w:p>
    <w:p>
      <w:pPr>
        <w:pStyle w:val="FirstParagraph"/>
      </w:pPr>
      <w:r>
        <w:t xml:space="preserve">A chain of</w:t>
      </w:r>
      <w:r>
        <w:t xml:space="preserve"> </w:t>
      </w:r>
      <m:oMath>
        <m:r>
          <m:t>n</m:t>
        </m:r>
      </m:oMath>
      <w:r>
        <w:t xml:space="preserve"> </w:t>
      </w:r>
      <w:r>
        <w:t xml:space="preserve">nodes tolerates</w:t>
      </w:r>
      <w:r>
        <w:t xml:space="preserve"> </w:t>
      </w:r>
      <m:oMath>
        <m:r>
          <m:t>n</m:t>
        </m:r>
        <m:r>
          <m:rPr>
            <m:sty m:val="p"/>
          </m:rPr>
          <m:t>−</m:t>
        </m:r>
        <m:r>
          <m:t>1</m:t>
        </m:r>
      </m:oMath>
      <w:r>
        <w:t xml:space="preserve"> </w:t>
      </w:r>
      <w:r>
        <w:t xml:space="preserve">crashes, because any surviving node holds every acknowledged update.</w:t>
      </w:r>
    </w:p>
    <w:p>
      <w:pPr>
        <w:pStyle w:val="BodyText"/>
      </w:pPr>
      <w:r>
        <w:rPr>
          <w:bCs/>
          <w:b/>
        </w:rPr>
        <w:t xml:space="preserve">Figure 27.3 — Chain replication with an external master.</w:t>
      </w:r>
    </w:p>
    <w:p>
      <w:pPr>
        <w:pStyle w:val="BodyText"/>
      </w:pPr>
      <w:r>
        <w:drawing>
          <wp:inline>
            <wp:extent cx="5334000" cy="1502920"/>
            <wp:effectExtent b="0" l="0" r="0" t="0"/>
            <wp:docPr descr="" title="" id="3024" name="Picture"/>
            <a:graphic>
              <a:graphicData uri="http://schemas.openxmlformats.org/drawingml/2006/picture">
                <pic:pic>
                  <pic:nvPicPr>
                    <pic:cNvPr descr="/home/user/System-Design/build/.cache/diagrams/788bf7a4edb4.png" id="3025" name="Picture"/>
                    <pic:cNvPicPr>
                      <a:picLocks noChangeArrowheads="1" noChangeAspect="1"/>
                    </pic:cNvPicPr>
                  </pic:nvPicPr>
                  <pic:blipFill>
                    <a:blip r:embed="rId3023"/>
                    <a:stretch>
                      <a:fillRect/>
                    </a:stretch>
                  </pic:blipFill>
                  <pic:spPr bwMode="auto">
                    <a:xfrm>
                      <a:off x="0" y="0"/>
                      <a:ext cx="5334000" cy="1502920"/>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Updates flow synchronously left to right over TCP; the writer’s reply comes from the tail, so the write’s latency spans every hop. Readers talk only to the tail. Dotted arrows are asynchronous: acknowledgments flowing back up the chain to trim each node’s Sent list, and the master’s failure detection. Each node stores a full copy. Failure points are any chain node (repaired by the master as listed above) and the master itself, which is why the master must be consensus-replicated. Scaling: a longer chain adds fault tolerance and latency but no read capacity, since only the tail serves reads; systems scale out by running many chains, each owning a range of keys.</w:t>
      </w:r>
    </w:p>
    <w:bookmarkEnd w:id="3026"/>
    <w:bookmarkEnd w:id="3027"/>
    <w:bookmarkStart w:id="3034" w:name="craq-reading-from-every-node"/>
    <w:p>
      <w:pPr>
        <w:pStyle w:val="Heading3"/>
      </w:pPr>
      <w:r>
        <w:t xml:space="preserve">27.5.2 CRAQ: reading from every node</w:t>
      </w:r>
    </w:p>
    <w:p>
      <w:pPr>
        <w:pStyle w:val="FirstParagraph"/>
      </w:pPr>
      <w:r>
        <w:t xml:space="preserve">Chain replication has an obvious waste:</w:t>
      </w:r>
      <w:r>
        <w:t xml:space="preserve"> </w:t>
      </w:r>
      <m:oMath>
        <m:r>
          <m:t>n</m:t>
        </m:r>
        <m:r>
          <m:rPr>
            <m:sty m:val="p"/>
          </m:rPr>
          <m:t>−</m:t>
        </m:r>
        <m:r>
          <m:t>1</m:t>
        </m:r>
      </m:oMath>
      <w:r>
        <w:t xml:space="preserve"> </w:t>
      </w:r>
      <w:r>
        <w:t xml:space="preserve">nodes hold the data but only the tail can answer queries.</w:t>
      </w:r>
      <w:r>
        <w:t xml:space="preserve"> </w:t>
      </w:r>
      <w:r>
        <w:rPr>
          <w:bCs/>
          <w:b/>
        </w:rPr>
        <w:t xml:space="preserve">CRAQ</w:t>
      </w:r>
      <w:r>
        <w:t xml:space="preserve"> </w:t>
      </w:r>
      <w:r>
        <w:t xml:space="preserve">(Chain Replication with Apportioned Queries) lets any node answer reads while keeping strong consistency [Terrace and Freedman 2009].</w:t>
      </w:r>
    </w:p>
    <w:p>
      <w:pPr>
        <w:numPr>
          <w:ilvl w:val="0"/>
          <w:numId w:val="1871"/>
        </w:numPr>
        <w:pStyle w:val="Compact"/>
      </w:pPr>
      <w:r>
        <w:t xml:space="preserve">Each node may store several versions of an object. A version is</w:t>
      </w:r>
      <w:r>
        <w:t xml:space="preserve"> </w:t>
      </w:r>
      <w:r>
        <w:rPr>
          <w:bCs/>
          <w:b/>
        </w:rPr>
        <w:t xml:space="preserve">clean</w:t>
      </w:r>
      <w:r>
        <w:t xml:space="preserve"> </w:t>
      </w:r>
      <w:r>
        <w:t xml:space="preserve">once the node knows the tail has it, and</w:t>
      </w:r>
      <w:r>
        <w:t xml:space="preserve"> </w:t>
      </w:r>
      <w:r>
        <w:rPr>
          <w:bCs/>
          <w:b/>
        </w:rPr>
        <w:t xml:space="preserve">dirty</w:t>
      </w:r>
      <w:r>
        <w:t xml:space="preserve"> </w:t>
      </w:r>
      <w:r>
        <w:t xml:space="preserve">before that.</w:t>
      </w:r>
    </w:p>
    <w:p>
      <w:pPr>
        <w:numPr>
          <w:ilvl w:val="0"/>
          <w:numId w:val="1871"/>
        </w:numPr>
        <w:pStyle w:val="Compact"/>
      </w:pPr>
      <w:r>
        <w:t xml:space="preserve">On an update, each node appends a new dirty version and forwards it. When the tail applies it, the version is committed; acknowledgments flow back, each node marks that version clean and deletes older ones.</w:t>
      </w:r>
    </w:p>
    <w:p>
      <w:pPr>
        <w:numPr>
          <w:ilvl w:val="0"/>
          <w:numId w:val="1871"/>
        </w:numPr>
        <w:pStyle w:val="Compact"/>
      </w:pPr>
      <w:r>
        <w:t xml:space="preserve">On a read at any node: if the latest local version is clean, return it. If it is dirty, send a small</w:t>
      </w:r>
      <w:r>
        <w:t xml:space="preserve"> </w:t>
      </w:r>
      <w:r>
        <w:rPr>
          <w:bCs/>
          <w:b/>
        </w:rPr>
        <w:t xml:space="preserve">version query</w:t>
      </w:r>
      <w:r>
        <w:t xml:space="preserve"> </w:t>
      </w:r>
      <w:r>
        <w:t xml:space="preserve">to the tail, which returns its latest committed version number, and return that version (which the node has, because the chain delivers versions in order).</w:t>
      </w:r>
    </w:p>
    <w:p>
      <w:pPr>
        <w:pStyle w:val="FirstParagraph"/>
      </w:pPr>
      <w:r>
        <w:rPr>
          <w:bCs/>
          <w:b/>
        </w:rPr>
        <w:t xml:space="preserve">Figure 27.4 — A CRAQ read that hits a dirty object.</w:t>
      </w:r>
    </w:p>
    <w:p>
      <w:pPr>
        <w:pStyle w:val="BodyText"/>
      </w:pPr>
      <w:r>
        <w:drawing>
          <wp:inline>
            <wp:extent cx="5334000" cy="3463119"/>
            <wp:effectExtent b="0" l="0" r="0" t="0"/>
            <wp:docPr descr="" title="" id="3029" name="Picture"/>
            <a:graphic>
              <a:graphicData uri="http://schemas.openxmlformats.org/drawingml/2006/picture">
                <pic:pic>
                  <pic:nvPicPr>
                    <pic:cNvPr descr="/home/user/System-Design/build/.cache/diagrams/409158d5c854.png" id="3030" name="Picture"/>
                    <pic:cNvPicPr>
                      <a:picLocks noChangeArrowheads="1" noChangeAspect="1"/>
                    </pic:cNvPicPr>
                  </pic:nvPicPr>
                  <pic:blipFill>
                    <a:blip r:embed="rId3028"/>
                    <a:stretch>
                      <a:fillRect/>
                    </a:stretch>
                  </pic:blipFill>
                  <pic:spPr bwMode="auto">
                    <a:xfrm>
                      <a:off x="0" y="0"/>
                      <a:ext cx="5334000" cy="3463119"/>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reader contacts a middle node synchronously. Because the newest local version (v8) is dirty, that node asks the tail which version is committed, a message carrying only a version number, and returns v7, the value every other reader would also see. The later asynchronous acknowledgment marks v8 clean, after which the node answers locally. Storage holds several versions per key during an update. The failure point is the tail: dirty reads depend on it, so a write-heavy hot key concentrates version queries there. Read capacity scales with chain length when most objects are clean.</w:t>
      </w:r>
    </w:p>
    <w:bookmarkStart w:id="3031" w:name="mathematical-foundations-54"/>
    <w:p>
      <w:pPr>
        <w:pStyle w:val="Heading4"/>
      </w:pPr>
      <w:r>
        <w:t xml:space="preserve">Mathematical foundations</w:t>
      </w:r>
    </w:p>
    <w:p>
      <w:pPr>
        <w:pStyle w:val="CalloutFormula"/>
      </w:pPr>
      <w:r>
        <w:rPr>
          <w:bCs/>
          <w:b/>
        </w:rPr>
        <w:t xml:space="preserve">FORMULA</w:t>
      </w:r>
    </w:p>
    <w:p>
      <w:pPr>
        <w:pStyle w:val="CalloutFormula"/>
      </w:pPr>
      <w:r>
        <w:rPr>
          <w:bCs/>
          <w:b/>
        </w:rPr>
        <w:t xml:space="preserve">Chain write latency and read capacity</w:t>
      </w:r>
    </w:p>
    <w:p>
      <w:pPr>
        <w:pStyle w:val="CalloutFormula"/>
      </w:pPr>
      <m:oMathPara>
        <m:oMathParaPr>
          <m:jc m:val="center"/>
        </m:oMathParaPr>
        <m:oMath>
          <m:sSub>
            <m:e>
              <m:r>
                <m:t>T</m:t>
              </m:r>
            </m:e>
            <m:sub>
              <m:r>
                <m:rPr>
                  <m:nor/>
                  <m:sty m:val="p"/>
                </m:rPr>
                <m:t>write</m:t>
              </m:r>
            </m:sub>
          </m:sSub>
          <m:r>
            <m:rPr>
              <m:sty m:val="p"/>
            </m:rPr>
            <m:t>≈</m:t>
          </m:r>
          <m:d>
            <m:dPr>
              <m:begChr m:val="("/>
              <m:endChr m:val=")"/>
              <m:sepChr m:val=""/>
              <m:grow/>
            </m:dPr>
            <m:e>
              <m:r>
                <m:t>n</m:t>
              </m:r>
              <m:r>
                <m:rPr>
                  <m:sty m:val="p"/>
                </m:rPr>
                <m:t>+</m:t>
              </m:r>
              <m:r>
                <m:t>1</m:t>
              </m:r>
            </m:e>
          </m:d>
          <m:r>
            <m:t> </m:t>
          </m:r>
          <m:r>
            <m:t>d</m:t>
          </m:r>
          <m:r>
            <m:rPr>
              <m:sty m:val="p"/>
            </m:rPr>
            <m:t>+</m:t>
          </m:r>
          <m:r>
            <m:t>n</m:t>
          </m:r>
          <m:r>
            <m:t> </m:t>
          </m:r>
          <m:r>
            <m:t>s</m:t>
          </m:r>
          <m:r>
            <m:t>  </m:t>
          </m:r>
          <m:sSubSup>
            <m:e>
              <m:r>
                <m:t>X</m:t>
              </m:r>
            </m:e>
            <m:sub>
              <m:r>
                <m:rPr>
                  <m:nor/>
                  <m:sty m:val="p"/>
                </m:rPr>
                <m:t>read</m:t>
              </m:r>
            </m:sub>
            <m:sup>
              <m:r>
                <m:rPr>
                  <m:nor/>
                  <m:sty m:val="p"/>
                </m:rPr>
                <m:t>CR</m:t>
              </m:r>
            </m:sup>
          </m:sSubSup>
          <m:r>
            <m:rPr>
              <m:sty m:val="p"/>
            </m:rPr>
            <m:t>=</m:t>
          </m:r>
          <m:r>
            <m:t>c</m:t>
          </m:r>
          <m:r>
            <m:t>  </m:t>
          </m:r>
          <m:sSubSup>
            <m:e>
              <m:r>
                <m:t>X</m:t>
              </m:r>
            </m:e>
            <m:sub>
              <m:r>
                <m:rPr>
                  <m:nor/>
                  <m:sty m:val="p"/>
                </m:rPr>
                <m:t>read</m:t>
              </m:r>
            </m:sub>
            <m:sup>
              <m:r>
                <m:rPr>
                  <m:nor/>
                  <m:sty m:val="p"/>
                </m:rPr>
                <m:t>CRAQ</m:t>
              </m:r>
            </m:sup>
          </m:sSubSup>
          <m:r>
            <m:rPr>
              <m:sty m:val="p"/>
            </m:rPr>
            <m:t>≈</m:t>
          </m:r>
          <m:r>
            <m:t>n</m:t>
          </m:r>
          <m:r>
            <m:t> </m:t>
          </m:r>
          <m:r>
            <m:t>c</m:t>
          </m:r>
          <m:r>
            <m:t> </m:t>
          </m:r>
          <m:r>
            <m:rPr>
              <m:nor/>
              <m:sty m:val="p"/>
            </m:rPr>
            <m:t>(clean reads)</m:t>
          </m:r>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n</m:t>
              </m:r>
            </m:oMath>
          </w:p>
        </w:tc>
        <w:tc>
          <w:tcPr/>
          <w:p>
            <w:pPr>
              <w:pStyle w:val="Compact"/>
              <w:jc w:val="left"/>
            </w:pPr>
            <w:r>
              <w:t xml:space="preserve">Number of nodes in the chain</w:t>
            </w:r>
          </w:p>
        </w:tc>
        <w:tc>
          <w:tcPr/>
          <w:p>
            <w:pPr>
              <w:pStyle w:val="Compact"/>
              <w:jc w:val="left"/>
            </w:pPr>
            <w:r>
              <w:t xml:space="preserve">nodes</w:t>
            </w:r>
          </w:p>
        </w:tc>
      </w:tr>
      <w:tr>
        <w:tc>
          <w:tcPr/>
          <w:p>
            <w:pPr>
              <w:pStyle w:val="Compact"/>
              <w:jc w:val="left"/>
            </w:pPr>
            <m:oMath>
              <m:r>
                <m:t>d</m:t>
              </m:r>
            </m:oMath>
          </w:p>
        </w:tc>
        <w:tc>
          <w:tcPr/>
          <w:p>
            <w:pPr>
              <w:pStyle w:val="Compact"/>
              <w:jc w:val="left"/>
            </w:pPr>
            <w:r>
              <w:t xml:space="preserve">One-way network delay per hop</w:t>
            </w:r>
          </w:p>
        </w:tc>
        <w:tc>
          <w:tcPr/>
          <w:p>
            <w:pPr>
              <w:pStyle w:val="Compact"/>
              <w:jc w:val="left"/>
            </w:pPr>
            <w:r>
              <w:t xml:space="preserve">ms</w:t>
            </w:r>
          </w:p>
        </w:tc>
      </w:tr>
      <w:tr>
        <w:tc>
          <w:tcPr/>
          <w:p>
            <w:pPr>
              <w:pStyle w:val="Compact"/>
              <w:jc w:val="left"/>
            </w:pPr>
            <m:oMath>
              <m:r>
                <m:t>s</m:t>
              </m:r>
            </m:oMath>
          </w:p>
        </w:tc>
        <w:tc>
          <w:tcPr/>
          <w:p>
            <w:pPr>
              <w:pStyle w:val="Compact"/>
              <w:jc w:val="left"/>
            </w:pPr>
            <w:r>
              <w:t xml:space="preserve">Processing time per node for an update</w:t>
            </w:r>
          </w:p>
        </w:tc>
        <w:tc>
          <w:tcPr/>
          <w:p>
            <w:pPr>
              <w:pStyle w:val="Compact"/>
              <w:jc w:val="left"/>
            </w:pPr>
            <w:r>
              <w:t xml:space="preserve">ms</w:t>
            </w:r>
          </w:p>
        </w:tc>
      </w:tr>
      <w:tr>
        <w:tc>
          <w:tcPr/>
          <w:p>
            <w:pPr>
              <w:pStyle w:val="Compact"/>
              <w:jc w:val="left"/>
            </w:pPr>
            <m:oMath>
              <m:r>
                <m:t>c</m:t>
              </m:r>
            </m:oMath>
          </w:p>
        </w:tc>
        <w:tc>
          <w:tcPr/>
          <w:p>
            <w:pPr>
              <w:pStyle w:val="Compact"/>
              <w:jc w:val="left"/>
            </w:pPr>
            <w:r>
              <w:t xml:space="preserve">Read capacity of one node</w:t>
            </w:r>
          </w:p>
        </w:tc>
        <w:tc>
          <w:tcPr/>
          <w:p>
            <w:pPr>
              <w:pStyle w:val="Compact"/>
              <w:jc w:val="left"/>
            </w:pPr>
            <w:r>
              <w:t xml:space="preserve">reads/s</w:t>
            </w:r>
          </w:p>
        </w:tc>
      </w:tr>
      <w:tr>
        <w:tc>
          <w:tcPr/>
          <w:p>
            <w:pPr>
              <w:pStyle w:val="Compact"/>
              <w:jc w:val="left"/>
            </w:pPr>
            <m:oMath>
              <m:sSub>
                <m:e>
                  <m:r>
                    <m:t>T</m:t>
                  </m:r>
                </m:e>
                <m:sub>
                  <m:r>
                    <m:rPr>
                      <m:nor/>
                      <m:sty m:val="p"/>
                    </m:rPr>
                    <m:t>write</m:t>
                  </m:r>
                </m:sub>
              </m:sSub>
            </m:oMath>
          </w:p>
        </w:tc>
        <w:tc>
          <w:tcPr/>
          <w:p>
            <w:pPr>
              <w:pStyle w:val="Compact"/>
              <w:jc w:val="left"/>
            </w:pPr>
            <w:r>
              <w:t xml:space="preserve">Client-observed write latency (client → head → … → tail → client)</w:t>
            </w:r>
          </w:p>
        </w:tc>
        <w:tc>
          <w:tcPr/>
          <w:p>
            <w:pPr>
              <w:pStyle w:val="Compact"/>
              <w:jc w:val="left"/>
            </w:pPr>
            <w:r>
              <w:t xml:space="preserve">ms</w:t>
            </w:r>
          </w:p>
        </w:tc>
      </w:tr>
      <w:tr>
        <w:tc>
          <w:tcPr/>
          <w:p>
            <w:pPr>
              <w:pStyle w:val="Compact"/>
              <w:jc w:val="left"/>
            </w:pPr>
            <m:oMath>
              <m:sSub>
                <m:e>
                  <m:r>
                    <m:t>X</m:t>
                  </m:r>
                </m:e>
                <m:sub>
                  <m:r>
                    <m:rPr>
                      <m:nor/>
                      <m:sty m:val="p"/>
                    </m:rPr>
                    <m:t>read</m:t>
                  </m:r>
                </m:sub>
              </m:sSub>
            </m:oMath>
          </w:p>
        </w:tc>
        <w:tc>
          <w:tcPr/>
          <w:p>
            <w:pPr>
              <w:pStyle w:val="Compact"/>
              <w:jc w:val="left"/>
            </w:pPr>
            <w:r>
              <w:t xml:space="preserve">Read capacity of one chain</w:t>
            </w:r>
          </w:p>
        </w:tc>
        <w:tc>
          <w:tcPr/>
          <w:p>
            <w:pPr>
              <w:pStyle w:val="Compact"/>
              <w:jc w:val="left"/>
            </w:pPr>
            <w:r>
              <w:t xml:space="preserve">reads/s</w:t>
            </w:r>
          </w:p>
        </w:tc>
      </w:tr>
    </w:tbl>
    <w:p>
      <w:pPr>
        <w:pStyle w:val="CalloutExample"/>
      </w:pPr>
      <w:r>
        <w:rPr>
          <w:bCs/>
          <w:b/>
        </w:rPr>
        <w:t xml:space="preserve">WORKED EXAMPLE</w:t>
      </w:r>
    </w:p>
    <w:p>
      <w:pPr>
        <w:pStyle w:val="CalloutExample"/>
      </w:pPr>
      <w:r>
        <w:rPr>
          <w:bCs/>
          <w:b/>
        </w:rPr>
        <w:t xml:space="preserve">Worked example — Chain versus primary–backup in one datacenter.</w:t>
      </w:r>
      <w:r>
        <w:t xml:space="preserve"> </w:t>
      </w:r>
      <w:r>
        <w:t xml:space="preserve">Take</w:t>
      </w:r>
      <w:r>
        <w:t xml:space="preserve"> </w:t>
      </w:r>
      <m:oMath>
        <m:r>
          <m:t>d</m:t>
        </m:r>
        <m:r>
          <m:rPr>
            <m:sty m:val="p"/>
          </m:rPr>
          <m:t>=</m:t>
        </m:r>
        <m:r>
          <m:t>0.25</m:t>
        </m:r>
      </m:oMath>
      <w:r>
        <w:t xml:space="preserve"> </w:t>
      </w:r>
      <w:r>
        <w:t xml:space="preserve">ms,</w:t>
      </w:r>
      <w:r>
        <w:t xml:space="preserve"> </w:t>
      </w:r>
      <m:oMath>
        <m:r>
          <m:t>s</m:t>
        </m:r>
        <m:r>
          <m:rPr>
            <m:sty m:val="p"/>
          </m:rPr>
          <m:t>=</m:t>
        </m:r>
        <m:r>
          <m:t>0.05</m:t>
        </m:r>
      </m:oMath>
      <w:r>
        <w:t xml:space="preserve"> </w:t>
      </w:r>
      <w:r>
        <w:t xml:space="preserve">ms,</w:t>
      </w:r>
      <w:r>
        <w:t xml:space="preserve"> </w:t>
      </w:r>
      <m:oMath>
        <m:r>
          <m:t>c</m:t>
        </m:r>
        <m:r>
          <m:rPr>
            <m:sty m:val="p"/>
          </m:rPr>
          <m:t>=</m:t>
        </m:r>
        <m:r>
          <m:t>50</m:t>
        </m:r>
        <m:r>
          <m:rPr>
            <m:sty m:val="p"/>
          </m:rPr>
          <m:t>,</m:t>
        </m:r>
        <m:r>
          <m:t>000</m:t>
        </m:r>
      </m:oMath>
      <w:r>
        <w:t xml:space="preserve"> </w:t>
      </w:r>
      <w:r>
        <w:t xml:space="preserve">reads/s, 4 KiB updates and 10 Gb/s network interfaces (1.25 GB/s each way).</w:t>
      </w:r>
    </w:p>
    <w:p>
      <w:pPr>
        <w:numPr>
          <w:ilvl w:val="0"/>
          <w:numId w:val="1872"/>
        </w:numPr>
        <w:pStyle w:val="Compact"/>
      </w:pPr>
      <w:r>
        <w:t xml:space="preserve">Chain of 3:</w:t>
      </w:r>
      <w:r>
        <w:t xml:space="preserve"> </w:t>
      </w:r>
      <m:oMath>
        <m:sSub>
          <m:e>
            <m:r>
              <m:t>T</m:t>
            </m:r>
          </m:e>
          <m:sub>
            <m:r>
              <m:rPr>
                <m:nor/>
                <m:sty m:val="p"/>
              </m:rPr>
              <m:t>write</m:t>
            </m:r>
          </m:sub>
        </m:sSub>
        <m:r>
          <m:rPr>
            <m:sty m:val="p"/>
          </m:rPr>
          <m:t>=</m:t>
        </m:r>
        <m:r>
          <m:t>4</m:t>
        </m:r>
        <m:r>
          <m:rPr>
            <m:sty m:val="p"/>
          </m:rPr>
          <m:t>×</m:t>
        </m:r>
        <m:r>
          <m:t>0.25</m:t>
        </m:r>
        <m:r>
          <m:rPr>
            <m:sty m:val="p"/>
          </m:rPr>
          <m:t>+</m:t>
        </m:r>
        <m:r>
          <m:t>3</m:t>
        </m:r>
        <m:r>
          <m:rPr>
            <m:sty m:val="p"/>
          </m:rPr>
          <m:t>×</m:t>
        </m:r>
        <m:r>
          <m:t>0.05</m:t>
        </m:r>
        <m:r>
          <m:rPr>
            <m:sty m:val="p"/>
          </m:rPr>
          <m:t>=</m:t>
        </m:r>
        <m:r>
          <m:t>1.15</m:t>
        </m:r>
      </m:oMath>
      <w:r>
        <w:t xml:space="preserve"> </w:t>
      </w:r>
      <w:r>
        <w:t xml:space="preserve">ms. Chain of 5:</w:t>
      </w:r>
      <w:r>
        <w:t xml:space="preserve"> </w:t>
      </w:r>
      <m:oMath>
        <m:r>
          <m:t>6</m:t>
        </m:r>
        <m:r>
          <m:rPr>
            <m:sty m:val="p"/>
          </m:rPr>
          <m:t>×</m:t>
        </m:r>
        <m:r>
          <m:t>0.25</m:t>
        </m:r>
        <m:r>
          <m:rPr>
            <m:sty m:val="p"/>
          </m:rPr>
          <m:t>+</m:t>
        </m:r>
        <m:r>
          <m:t>5</m:t>
        </m:r>
        <m:r>
          <m:rPr>
            <m:sty m:val="p"/>
          </m:rPr>
          <m:t>×</m:t>
        </m:r>
        <m:r>
          <m:t>0.05</m:t>
        </m:r>
        <m:r>
          <m:rPr>
            <m:sty m:val="p"/>
          </m:rPr>
          <m:t>=</m:t>
        </m:r>
        <m:r>
          <m:t>1.75</m:t>
        </m:r>
      </m:oMath>
      <w:r>
        <w:t xml:space="preserve"> </w:t>
      </w:r>
      <w:r>
        <w:t xml:space="preserve">ms.</w:t>
      </w:r>
    </w:p>
    <w:p>
      <w:pPr>
        <w:numPr>
          <w:ilvl w:val="0"/>
          <w:numId w:val="1872"/>
        </w:numPr>
        <w:pStyle w:val="Compact"/>
      </w:pPr>
      <w:r>
        <w:t xml:space="preserve">Primary–backup with parallel fan-out: client → primary → backups → primary → client is 4 one-way hops regardless of</w:t>
      </w:r>
      <w:r>
        <w:t xml:space="preserve"> </w:t>
      </w:r>
      <m:oMath>
        <m:r>
          <m:t>n</m:t>
        </m:r>
      </m:oMath>
      <w:r>
        <w:t xml:space="preserve">, so</w:t>
      </w:r>
      <w:r>
        <w:t xml:space="preserve"> </w:t>
      </w:r>
      <m:oMath>
        <m:r>
          <m:t>4</m:t>
        </m:r>
        <m:r>
          <m:rPr>
            <m:sty m:val="p"/>
          </m:rPr>
          <m:t>×</m:t>
        </m:r>
        <m:r>
          <m:t>0.25</m:t>
        </m:r>
        <m:r>
          <m:rPr>
            <m:sty m:val="p"/>
          </m:rPr>
          <m:t>+</m:t>
        </m:r>
        <m:r>
          <m:t>2</m:t>
        </m:r>
        <m:r>
          <m:rPr>
            <m:sty m:val="p"/>
          </m:rPr>
          <m:t>×</m:t>
        </m:r>
        <m:r>
          <m:t>0.05</m:t>
        </m:r>
        <m:r>
          <m:rPr>
            <m:sty m:val="p"/>
          </m:rPr>
          <m:t>=</m:t>
        </m:r>
        <m:r>
          <m:t>1.1</m:t>
        </m:r>
      </m:oMath>
      <w:r>
        <w:t xml:space="preserve"> </w:t>
      </w:r>
      <w:r>
        <w:t xml:space="preserve">ms.</w:t>
      </w:r>
    </w:p>
    <w:p>
      <w:pPr>
        <w:numPr>
          <w:ilvl w:val="0"/>
          <w:numId w:val="1872"/>
        </w:numPr>
        <w:pStyle w:val="Compact"/>
      </w:pPr>
      <w:r>
        <w:t xml:space="preserve">Write throughput limit from the busiest outbound link,</w:t>
      </w:r>
      <w:r>
        <w:t xml:space="preserve"> </w:t>
      </w:r>
      <m:oMath>
        <m:r>
          <m:t>n</m:t>
        </m:r>
        <m:r>
          <m:rPr>
            <m:sty m:val="p"/>
          </m:rPr>
          <m:t>=</m:t>
        </m:r>
        <m:r>
          <m:t>5</m:t>
        </m:r>
      </m:oMath>
      <w:r>
        <w:t xml:space="preserve">: the primary sends</w:t>
      </w:r>
      <w:r>
        <w:t xml:space="preserve"> </w:t>
      </w:r>
      <m:oMath>
        <m:r>
          <m:t>4</m:t>
        </m:r>
        <m:r>
          <m:rPr>
            <m:sty m:val="p"/>
          </m:rPr>
          <m:t>×</m:t>
        </m:r>
        <m:r>
          <m:t>4</m:t>
        </m:r>
      </m:oMath>
      <w:r>
        <w:t xml:space="preserve"> </w:t>
      </w:r>
      <w:r>
        <w:t xml:space="preserve">KiB = 16 KiB per write, so</w:t>
      </w:r>
      <w:r>
        <w:t xml:space="preserve"> </w:t>
      </w:r>
      <m:oMath>
        <m:r>
          <m:t>1.25</m:t>
        </m:r>
        <m:r>
          <m:rPr>
            <m:sty m:val="p"/>
          </m:rPr>
          <m:t>×</m:t>
        </m:r>
        <m:sSup>
          <m:e>
            <m:r>
              <m:t>10</m:t>
            </m:r>
          </m:e>
          <m:sup>
            <m:r>
              <m:t>9</m:t>
            </m:r>
          </m:sup>
        </m:sSup>
        <m:r>
          <m:rPr>
            <m:sty m:val="p"/>
          </m:rPr>
          <m:t>/</m:t>
        </m:r>
        <m:r>
          <m:t>16</m:t>
        </m:r>
        <m:r>
          <m:rPr>
            <m:sty m:val="p"/>
          </m:rPr>
          <m:t>,</m:t>
        </m:r>
        <m:r>
          <m:t>384</m:t>
        </m:r>
        <m:r>
          <m:rPr>
            <m:sty m:val="p"/>
          </m:rPr>
          <m:t>≈</m:t>
        </m:r>
        <m:r>
          <m:t>76</m:t>
        </m:r>
        <m:r>
          <m:rPr>
            <m:sty m:val="p"/>
          </m:rPr>
          <m:t>,</m:t>
        </m:r>
        <m:r>
          <m:t>000</m:t>
        </m:r>
      </m:oMath>
      <w:r>
        <w:t xml:space="preserve"> </w:t>
      </w:r>
      <w:r>
        <w:t xml:space="preserve">writes/s. In a chain each node sends each update once:</w:t>
      </w:r>
      <w:r>
        <w:t xml:space="preserve"> </w:t>
      </w:r>
      <m:oMath>
        <m:r>
          <m:t>1.25</m:t>
        </m:r>
        <m:r>
          <m:rPr>
            <m:sty m:val="p"/>
          </m:rPr>
          <m:t>×</m:t>
        </m:r>
        <m:sSup>
          <m:e>
            <m:r>
              <m:t>10</m:t>
            </m:r>
          </m:e>
          <m:sup>
            <m:r>
              <m:t>9</m:t>
            </m:r>
          </m:sup>
        </m:sSup>
        <m:r>
          <m:rPr>
            <m:sty m:val="p"/>
          </m:rPr>
          <m:t>/</m:t>
        </m:r>
        <m:r>
          <m:t>4</m:t>
        </m:r>
        <m:r>
          <m:rPr>
            <m:sty m:val="p"/>
          </m:rPr>
          <m:t>,</m:t>
        </m:r>
        <m:r>
          <m:t>096</m:t>
        </m:r>
        <m:r>
          <m:rPr>
            <m:sty m:val="p"/>
          </m:rPr>
          <m:t>≈</m:t>
        </m:r>
        <m:r>
          <m:t>305</m:t>
        </m:r>
        <m:r>
          <m:rPr>
            <m:sty m:val="p"/>
          </m:rPr>
          <m:t>,</m:t>
        </m:r>
        <m:r>
          <m:t>000</m:t>
        </m:r>
      </m:oMath>
      <w:r>
        <w:t xml:space="preserve"> </w:t>
      </w:r>
      <w:r>
        <w:t xml:space="preserve">writes/s.</w:t>
      </w:r>
    </w:p>
    <w:p>
      <w:pPr>
        <w:numPr>
          <w:ilvl w:val="0"/>
          <w:numId w:val="1872"/>
        </w:numPr>
        <w:pStyle w:val="Compact"/>
      </w:pPr>
      <w:r>
        <w:t xml:space="preserve">Reads with</w:t>
      </w:r>
      <w:r>
        <w:t xml:space="preserve"> </w:t>
      </w:r>
      <m:oMath>
        <m:r>
          <m:t>n</m:t>
        </m:r>
        <m:r>
          <m:rPr>
            <m:sty m:val="p"/>
          </m:rPr>
          <m:t>=</m:t>
        </m:r>
        <m:r>
          <m:t>3</m:t>
        </m:r>
      </m:oMath>
      <w:r>
        <w:t xml:space="preserve">: chain replication serves 50,000 reads/s at the tail; CRAQ serves up to about</w:t>
      </w:r>
      <w:r>
        <w:t xml:space="preserve"> </w:t>
      </w:r>
      <m:oMath>
        <m:r>
          <m:t>3</m:t>
        </m:r>
        <m:r>
          <m:rPr>
            <m:sty m:val="p"/>
          </m:rPr>
          <m:t>×</m:t>
        </m:r>
        <m:r>
          <m:t>50</m:t>
        </m:r>
        <m:r>
          <m:rPr>
            <m:sty m:val="p"/>
          </m:rPr>
          <m:t>,</m:t>
        </m:r>
        <m:r>
          <m:t>000</m:t>
        </m:r>
        <m:r>
          <m:rPr>
            <m:sty m:val="p"/>
          </m:rPr>
          <m:t>=</m:t>
        </m:r>
        <m:r>
          <m:t>150</m:t>
        </m:r>
        <m:r>
          <m:rPr>
            <m:sty m:val="p"/>
          </m:rPr>
          <m:t>,</m:t>
        </m:r>
        <m:r>
          <m:t>000</m:t>
        </m:r>
      </m:oMath>
      <w:r>
        <w:t xml:space="preserve"> </w:t>
      </w:r>
      <w:r>
        <w:t xml:space="preserve">reads/s if most reads find clean objects.</w:t>
      </w:r>
    </w:p>
    <w:p>
      <w:pPr>
        <w:pStyle w:val="CalloutExample"/>
      </w:pPr>
      <w:r>
        <w:rPr>
          <w:bCs/>
          <w:b/>
        </w:rPr>
        <w:t xml:space="preserve">Interpretation.</w:t>
      </w:r>
      <w:r>
        <w:t xml:space="preserve"> </w:t>
      </w:r>
      <w:r>
        <w:t xml:space="preserve">Chains trade latency that grows linearly with length for throughput that does not depend on length.</w:t>
      </w:r>
      <w:r>
        <w:t xml:space="preserve"> </w:t>
      </w:r>
      <w:r>
        <w:rPr>
          <w:bCs/>
          <w:b/>
        </w:rPr>
        <w:t xml:space="preserve">Engineering implication.</w:t>
      </w:r>
      <w:r>
        <w:t xml:space="preserve"> </w:t>
      </w:r>
      <w:r>
        <w:t xml:space="preserve">Keep chains short (3 is typical) and inside one datacenter; use CRAQ or many independent chains when reads dominate.</w:t>
      </w:r>
    </w:p>
    <w:bookmarkEnd w:id="3031"/>
    <w:bookmarkStart w:id="3032" w:name="real-world-industry-applications-40"/>
    <w:p>
      <w:pPr>
        <w:pStyle w:val="Heading4"/>
      </w:pPr>
      <w:r>
        <w:t xml:space="preserve">Real-world industry applications</w:t>
      </w:r>
    </w:p>
    <w:p>
      <w:pPr>
        <w:pStyle w:val="CalloutIndustry"/>
      </w:pPr>
      <w:r>
        <w:rPr>
          <w:bCs/>
          <w:b/>
        </w:rPr>
        <w:t xml:space="preserve">INDUSTRY EXAMPLE</w:t>
      </w:r>
    </w:p>
    <w:p>
      <w:pPr>
        <w:pStyle w:val="CalloutIndustry"/>
      </w:pPr>
      <w:r>
        <w:rPr>
          <w:bCs/>
          <w:b/>
        </w:rPr>
        <w:t xml:space="preserve">FAWN-KV.</w:t>
      </w:r>
      <w:r>
        <w:t xml:space="preserve"> </w:t>
      </w:r>
      <w:r>
        <w:t xml:space="preserve">FAWN-KV, a key-value store built on clusters of low-power nodes, places nodes on a consistent-hash ring and replicates each key range with chain replication along the ring, with a front-end that routes puts to the head and gets to the tail.</w:t>
      </w:r>
      <w:r>
        <w:t xml:space="preserve"> </w:t>
      </w:r>
      <w:r>
        <w:rPr>
          <w:iCs/>
          <w:i/>
        </w:rPr>
        <w:t xml:space="preserve">Evidence: Primary</w:t>
      </w:r>
      <w:r>
        <w:t xml:space="preserve"> </w:t>
      </w:r>
      <w:r>
        <w:t xml:space="preserve">— [Andersen et al. 2009]</w:t>
      </w:r>
    </w:p>
    <w:p>
      <w:pPr>
        <w:pStyle w:val="CalloutIndustry"/>
      </w:pPr>
      <w:r>
        <w:rPr>
          <w:bCs/>
          <w:b/>
        </w:rPr>
        <w:t xml:space="preserve">INDUSTRY EXAMPLE</w:t>
      </w:r>
    </w:p>
    <w:p>
      <w:pPr>
        <w:pStyle w:val="CalloutIndustry"/>
      </w:pPr>
      <w:r>
        <w:rPr>
          <w:bCs/>
          <w:b/>
        </w:rPr>
        <w:t xml:space="preserve">CRAQ across datacenters.</w:t>
      </w:r>
      <w:r>
        <w:t xml:space="preserve"> </w:t>
      </w:r>
      <w:r>
        <w:t xml:space="preserve">The CRAQ paper describes chains that span datacenters, with chain membership kept in ZooKeeper, and offers eventual-consistency and bounded-staleness read modes in addition to strong reads, so applications can trade freshness for local reads.</w:t>
      </w:r>
      <w:r>
        <w:t xml:space="preserve"> </w:t>
      </w:r>
      <w:r>
        <w:rPr>
          <w:iCs/>
          <w:i/>
        </w:rPr>
        <w:t xml:space="preserve">Evidence: Primary</w:t>
      </w:r>
      <w:r>
        <w:t xml:space="preserve"> </w:t>
      </w:r>
      <w:r>
        <w:t xml:space="preserve">— [Terrace and Freedman 2009]</w:t>
      </w:r>
    </w:p>
    <w:bookmarkEnd w:id="3032"/>
    <w:bookmarkStart w:id="3033" w:name="advantages-and-disadvantages-18"/>
    <w:p>
      <w:pPr>
        <w:pStyle w:val="Heading4"/>
      </w:pPr>
      <w:r>
        <w:t xml:space="preserve">Advantages and disadvantages</w:t>
      </w:r>
    </w:p>
    <w:p>
      <w:pPr>
        <w:pStyle w:val="FirstParagraph"/>
      </w:pPr>
      <w:r>
        <w:t xml:space="preserve">Chain replication gives linearizable reads and writes, balanced network load and simple recovery. Its costs are write latency proportional to chain length, every write waiting for the slowest node, and dependence on an external master for reconfiguration.</w:t>
      </w:r>
    </w:p>
    <w:bookmarkEnd w:id="3033"/>
    <w:bookmarkEnd w:id="3034"/>
    <w:bookmarkEnd w:id="3035"/>
    <w:bookmarkStart w:id="3045" w:name="multi-leader-replication"/>
    <w:p>
      <w:pPr>
        <w:pStyle w:val="Heading2"/>
      </w:pPr>
      <w:r>
        <w:t xml:space="preserve">27.6 Multi-leader replication</w:t>
      </w:r>
    </w:p>
    <w:bookmarkStart w:id="3044" w:name="use-cases-and-topologies"/>
    <w:p>
      <w:pPr>
        <w:pStyle w:val="Heading3"/>
      </w:pPr>
      <w:r>
        <w:t xml:space="preserve">27.6.1 Use cases and topologies</w:t>
      </w:r>
    </w:p>
    <w:p>
      <w:pPr>
        <w:pStyle w:val="FirstParagraph"/>
      </w:pPr>
      <w:r>
        <w:t xml:space="preserve">Chapter 14 introduced multi-primary replication for databases (§14.5). Here we generalize:</w:t>
      </w:r>
      <w:r>
        <w:t xml:space="preserve"> </w:t>
      </w:r>
      <w:r>
        <w:rPr>
          <w:bCs/>
          <w:b/>
        </w:rPr>
        <w:t xml:space="preserve">multi-leader replication</w:t>
      </w:r>
      <w:r>
        <w:t xml:space="preserve"> </w:t>
      </w:r>
      <w:r>
        <w:t xml:space="preserve">lets each of several leaders accept writes and asynchronously exchange them, and it reappears wherever writers cannot wait for a single authority.</w:t>
      </w:r>
    </w:p>
    <w:p>
      <w:pPr>
        <w:pStyle w:val="CalloutDefinition"/>
      </w:pPr>
      <w:r>
        <w:rPr>
          <w:bCs/>
          <w:b/>
        </w:rPr>
        <w:t xml:space="preserve">DEFINITION</w:t>
      </w:r>
    </w:p>
    <w:p>
      <w:pPr>
        <w:pStyle w:val="CalloutDefinition"/>
      </w:pPr>
      <w:r>
        <w:rPr>
          <w:bCs/>
          <w:b/>
        </w:rPr>
        <w:t xml:space="preserve">Definition — Replication topology.</w:t>
      </w:r>
      <w:r>
        <w:t xml:space="preserve"> </w:t>
      </w:r>
      <w:r>
        <w:t xml:space="preserve">The graph along which leaders forward writes to each other: a</w:t>
      </w:r>
      <w:r>
        <w:t xml:space="preserve"> </w:t>
      </w:r>
      <w:r>
        <w:rPr>
          <w:bCs/>
          <w:b/>
        </w:rPr>
        <w:t xml:space="preserve">circular</w:t>
      </w:r>
      <w:r>
        <w:t xml:space="preserve"> </w:t>
      </w:r>
      <w:r>
        <w:t xml:space="preserve">ring, a</w:t>
      </w:r>
      <w:r>
        <w:t xml:space="preserve"> </w:t>
      </w:r>
      <w:r>
        <w:rPr>
          <w:bCs/>
          <w:b/>
        </w:rPr>
        <w:t xml:space="preserve">star</w:t>
      </w:r>
      <w:r>
        <w:t xml:space="preserve"> </w:t>
      </w:r>
      <w:r>
        <w:t xml:space="preserve">with a hub, or</w:t>
      </w:r>
      <w:r>
        <w:t xml:space="preserve"> </w:t>
      </w:r>
      <w:r>
        <w:rPr>
          <w:bCs/>
          <w:b/>
        </w:rPr>
        <w:t xml:space="preserve">all-to-all</w:t>
      </w:r>
      <w:r>
        <w:t xml:space="preserve">.</w:t>
      </w:r>
    </w:p>
    <w:bookmarkStart w:id="3036" w:name="why-does-this-exist-92"/>
    <w:p>
      <w:pPr>
        <w:pStyle w:val="Heading4"/>
      </w:pPr>
      <w:r>
        <w:t xml:space="preserve">Why does this exist?</w:t>
      </w:r>
    </w:p>
    <w:p>
      <w:pPr>
        <w:pStyle w:val="FirstParagraph"/>
      </w:pPr>
      <w:r>
        <w:t xml:space="preserve">Three use cases recur:</w:t>
      </w:r>
    </w:p>
    <w:p>
      <w:pPr>
        <w:numPr>
          <w:ilvl w:val="0"/>
          <w:numId w:val="1873"/>
        </w:numPr>
        <w:pStyle w:val="Compact"/>
      </w:pPr>
      <w:r>
        <w:rPr>
          <w:bCs/>
          <w:b/>
        </w:rPr>
        <w:t xml:space="preserve">Multi-datacenter operation.</w:t>
      </w:r>
      <w:r>
        <w:t xml:space="preserve"> </w:t>
      </w:r>
      <w:r>
        <w:t xml:space="preserve">Each region has a leader, so writes take a local round trip (about 1 ms) instead of a cross-region one (70–150 ms), and a region keeps writing when cut off.</w:t>
      </w:r>
    </w:p>
    <w:p>
      <w:pPr>
        <w:numPr>
          <w:ilvl w:val="0"/>
          <w:numId w:val="1873"/>
        </w:numPr>
        <w:pStyle w:val="Compact"/>
      </w:pPr>
      <w:r>
        <w:rPr>
          <w:bCs/>
          <w:b/>
        </w:rPr>
        <w:t xml:space="preserve">Offline clients.</w:t>
      </w:r>
      <w:r>
        <w:t xml:space="preserve"> </w:t>
      </w:r>
      <w:r>
        <w:t xml:space="preserve">A calendar or notes app on a phone is a leader with a local database; it syncs when the network returns, possibly days later.</w:t>
      </w:r>
    </w:p>
    <w:p>
      <w:pPr>
        <w:numPr>
          <w:ilvl w:val="0"/>
          <w:numId w:val="1873"/>
        </w:numPr>
        <w:pStyle w:val="Compact"/>
      </w:pPr>
      <w:r>
        <w:rPr>
          <w:bCs/>
          <w:b/>
        </w:rPr>
        <w:t xml:space="preserve">Collaborative editing.</w:t>
      </w:r>
      <w:r>
        <w:t xml:space="preserve"> </w:t>
      </w:r>
      <w:r>
        <w:t xml:space="preserve">Every participant’s editor applies its own keystrokes immediately and exchanges changes, so typing never waits for a server round trip.</w:t>
      </w:r>
    </w:p>
    <w:p>
      <w:pPr>
        <w:pStyle w:val="FirstParagraph"/>
      </w:pPr>
      <w:r>
        <w:t xml:space="preserve">All three accept the same consequence: two leaders can change the same item concurrently, and nobody finds out until the changes meet.</w:t>
      </w:r>
    </w:p>
    <w:bookmarkEnd w:id="3036"/>
    <w:bookmarkStart w:id="3040" w:name="how-it-works-internally-98"/>
    <w:p>
      <w:pPr>
        <w:pStyle w:val="Heading4"/>
      </w:pPr>
      <w:r>
        <w:t xml:space="preserve">How it works internally</w:t>
      </w:r>
    </w:p>
    <w:p>
      <w:pPr>
        <w:numPr>
          <w:ilvl w:val="0"/>
          <w:numId w:val="1874"/>
        </w:numPr>
        <w:pStyle w:val="Compact"/>
      </w:pPr>
      <w:r>
        <w:t xml:space="preserve">Each leader commits a write locally and tags it with its origin (a leader ID) and a version (a log position, timestamp or version vector).</w:t>
      </w:r>
    </w:p>
    <w:p>
      <w:pPr>
        <w:numPr>
          <w:ilvl w:val="0"/>
          <w:numId w:val="1874"/>
        </w:numPr>
        <w:pStyle w:val="Compact"/>
      </w:pPr>
      <w:r>
        <w:t xml:space="preserve">The write is forwarded along the topology. A node that receives a write it has already seen, recognized by origin and version, drops it, which prevents infinite loops in rings.</w:t>
      </w:r>
    </w:p>
    <w:p>
      <w:pPr>
        <w:numPr>
          <w:ilvl w:val="0"/>
          <w:numId w:val="1874"/>
        </w:numPr>
        <w:pStyle w:val="Compact"/>
      </w:pPr>
      <w:r>
        <w:t xml:space="preserve">A receiving leader</w:t>
      </w:r>
      <w:r>
        <w:t xml:space="preserve"> </w:t>
      </w:r>
      <w:r>
        <w:rPr>
          <w:bCs/>
          <w:b/>
        </w:rPr>
        <w:t xml:space="preserve">detects a conflict</w:t>
      </w:r>
      <w:r>
        <w:t xml:space="preserve"> </w:t>
      </w:r>
      <w:r>
        <w:t xml:space="preserve">if the incoming write and a local write touched the same item and neither causally precedes the other. Version vectors detect this exactly (§27.14); timestamps cannot.</w:t>
      </w:r>
    </w:p>
    <w:p>
      <w:pPr>
        <w:numPr>
          <w:ilvl w:val="0"/>
          <w:numId w:val="1874"/>
        </w:numPr>
        <w:pStyle w:val="Compact"/>
      </w:pPr>
      <w:r>
        <w:t xml:space="preserve">The conflict is resolved by a policy (§27.14) or recorded for the application.</w:t>
      </w:r>
    </w:p>
    <w:p>
      <w:pPr>
        <w:pStyle w:val="FirstParagraph"/>
      </w:pPr>
      <w:r>
        <w:rPr>
          <w:bCs/>
          <w:b/>
        </w:rPr>
        <w:t xml:space="preserve">Figure 27.5 — Multi-leader topologies.</w:t>
      </w:r>
    </w:p>
    <w:p>
      <w:pPr>
        <w:pStyle w:val="BodyText"/>
      </w:pPr>
      <w:r>
        <w:drawing>
          <wp:inline>
            <wp:extent cx="5334000" cy="23971375"/>
            <wp:effectExtent b="0" l="0" r="0" t="0"/>
            <wp:docPr descr="" title="" id="3038" name="Picture"/>
            <a:graphic>
              <a:graphicData uri="http://schemas.openxmlformats.org/drawingml/2006/picture">
                <pic:pic>
                  <pic:nvPicPr>
                    <pic:cNvPr descr="/home/user/System-Design/build/.cache/diagrams/a3ef43f42f28.png" id="3039" name="Picture"/>
                    <pic:cNvPicPr>
                      <a:picLocks noChangeArrowheads="1" noChangeAspect="1"/>
                    </pic:cNvPicPr>
                  </pic:nvPicPr>
                  <pic:blipFill>
                    <a:blip r:embed="rId3037"/>
                    <a:stretch>
                      <a:fillRect/>
                    </a:stretch>
                  </pic:blipFill>
                  <pic:spPr bwMode="auto">
                    <a:xfrm>
                      <a:off x="0" y="0"/>
                      <a:ext cx="5334000" cy="23971375"/>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Every arrow is asynchronous replication of committed writes, typically a log stream over TCP. In the circular topology each write travels through every other leader in turn, so one failed or slow leader stops propagation for everyone downstream until the ring is reconfigured. In the star, the hub is a single point of failure for replication (though not for local writes). All-to-all has no single point of failure but sends every write along</w:t>
      </w:r>
      <w:r>
        <w:t xml:space="preserve"> </w:t>
      </w:r>
      <m:oMath>
        <m:r>
          <m:t>m</m:t>
        </m:r>
        <m:d>
          <m:dPr>
            <m:begChr m:val="("/>
            <m:endChr m:val=")"/>
            <m:sepChr m:val=""/>
            <m:grow/>
          </m:dPr>
          <m:e>
            <m:r>
              <m:t>m</m:t>
            </m:r>
            <m:r>
              <m:rPr>
                <m:sty m:val="p"/>
              </m:rPr>
              <m:t>−</m:t>
            </m:r>
            <m:r>
              <m:t>1</m:t>
            </m:r>
          </m:e>
        </m:d>
      </m:oMath>
      <w:r>
        <w:t xml:space="preserve"> </w:t>
      </w:r>
      <w:r>
        <w:t xml:space="preserve">links for</w:t>
      </w:r>
      <w:r>
        <w:t xml:space="preserve"> </w:t>
      </w:r>
      <m:oMath>
        <m:r>
          <m:t>m</m:t>
        </m:r>
      </m:oMath>
      <w:r>
        <w:t xml:space="preserve"> </w:t>
      </w:r>
      <w:r>
        <w:t xml:space="preserve">leaders and allows writes to overtake each other on different paths. Each leader stores a full copy. Scaling beyond a handful of leaders multiplies both links and potential conflicts.</w:t>
      </w:r>
    </w:p>
    <w:bookmarkEnd w:id="3040"/>
    <w:bookmarkStart w:id="3041" w:name="mathematical-foundations-55"/>
    <w:p>
      <w:pPr>
        <w:pStyle w:val="Heading4"/>
      </w:pPr>
      <w:r>
        <w:t xml:space="preserve">Mathematical foundations</w:t>
      </w:r>
    </w:p>
    <w:p>
      <w:pPr>
        <w:pStyle w:val="FirstParagraph"/>
      </w:pPr>
      <w:r>
        <w:t xml:space="preserve">How often do conflicts happen? Two writes to the same item conflict if they are made at different leaders within one replication delay of each other.</w:t>
      </w:r>
    </w:p>
    <w:p>
      <w:pPr>
        <w:pStyle w:val="CalloutFormula"/>
      </w:pPr>
      <w:r>
        <w:rPr>
          <w:bCs/>
          <w:b/>
        </w:rPr>
        <w:t xml:space="preserve">FORMULA</w:t>
      </w:r>
    </w:p>
    <w:p>
      <w:pPr>
        <w:pStyle w:val="CalloutFormula"/>
      </w:pPr>
      <w:r>
        <w:rPr>
          <w:bCs/>
          <w:b/>
        </w:rPr>
        <w:t xml:space="preserve">Conflict rate for one item written at two leaders</w:t>
      </w:r>
    </w:p>
    <w:p>
      <w:pPr>
        <w:pStyle w:val="CalloutFormula"/>
      </w:pPr>
      <m:oMathPara>
        <m:oMathParaPr>
          <m:jc m:val="center"/>
        </m:oMathParaPr>
        <m:oMath>
          <m:r>
            <m:t>κ</m:t>
          </m:r>
          <m:r>
            <m:rPr>
              <m:sty m:val="p"/>
            </m:rPr>
            <m:t>≈</m:t>
          </m:r>
          <m:r>
            <m:t>2</m:t>
          </m:r>
          <m:r>
            <m:t> </m:t>
          </m:r>
          <m:sSub>
            <m:e>
              <m:r>
                <m:t>λ</m:t>
              </m:r>
            </m:e>
            <m:sub>
              <m:r>
                <m:t>A</m:t>
              </m:r>
            </m:sub>
          </m:sSub>
          <m:r>
            <m:t> </m:t>
          </m:r>
          <m:sSub>
            <m:e>
              <m:r>
                <m:t>λ</m:t>
              </m:r>
            </m:e>
            <m:sub>
              <m:r>
                <m:t>B</m:t>
              </m:r>
            </m:sub>
          </m:sSub>
          <m:r>
            <m:t> </m:t>
          </m:r>
          <m:r>
            <m:t>Δ</m:t>
          </m:r>
          <m:r>
            <m:t>  </m:t>
          </m:r>
          <m:d>
            <m:dPr>
              <m:begChr m:val="("/>
              <m:endChr m:val=")"/>
              <m:sepChr m:val=""/>
              <m:grow/>
            </m:dPr>
            <m:e>
              <m:sSub>
                <m:e>
                  <m:r>
                    <m:t>λ</m:t>
                  </m:r>
                </m:e>
                <m:sub>
                  <m:r>
                    <m:t>A</m:t>
                  </m:r>
                </m:sub>
              </m:sSub>
              <m:r>
                <m:t>Δ</m:t>
              </m:r>
              <m:r>
                <m:rPr>
                  <m:sty m:val="p"/>
                </m:rPr>
                <m:t>≪</m:t>
              </m:r>
              <m:r>
                <m:t>1</m:t>
              </m:r>
              <m:r>
                <m:rPr>
                  <m:sty m:val="p"/>
                </m:rPr>
                <m:t>,</m:t>
              </m:r>
              <m:r>
                <m:t> </m:t>
              </m:r>
              <m:sSub>
                <m:e>
                  <m:r>
                    <m:t>λ</m:t>
                  </m:r>
                </m:e>
                <m:sub>
                  <m:r>
                    <m:t>B</m:t>
                  </m:r>
                </m:sub>
              </m:sSub>
              <m:r>
                <m:t>Δ</m:t>
              </m:r>
              <m:r>
                <m:rPr>
                  <m:sty m:val="p"/>
                </m:rPr>
                <m:t>≪</m:t>
              </m:r>
              <m:r>
                <m:t>1</m:t>
              </m:r>
            </m:e>
          </m:d>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κ</m:t>
              </m:r>
            </m:oMath>
          </w:p>
        </w:tc>
        <w:tc>
          <w:tcPr/>
          <w:p>
            <w:pPr>
              <w:pStyle w:val="Compact"/>
              <w:jc w:val="left"/>
            </w:pPr>
            <w:r>
              <w:t xml:space="preserve">Expected conflicts per second for the item</w:t>
            </w:r>
          </w:p>
        </w:tc>
        <w:tc>
          <w:tcPr/>
          <w:p>
            <w:pPr>
              <w:pStyle w:val="Compact"/>
              <w:jc w:val="left"/>
            </w:pPr>
            <w:r>
              <w:t xml:space="preserve">conflicts/s</w:t>
            </w:r>
          </w:p>
        </w:tc>
      </w:tr>
      <w:tr>
        <w:tc>
          <w:tcPr/>
          <w:p>
            <w:pPr>
              <w:pStyle w:val="Compact"/>
              <w:jc w:val="left"/>
            </w:pPr>
            <m:oMath>
              <m:sSub>
                <m:e>
                  <m:r>
                    <m:t>λ</m:t>
                  </m:r>
                </m:e>
                <m:sub>
                  <m:r>
                    <m:t>A</m:t>
                  </m:r>
                </m:sub>
              </m:sSub>
              <m:r>
                <m:rPr>
                  <m:sty m:val="p"/>
                </m:rPr>
                <m:t>,</m:t>
              </m:r>
              <m:sSub>
                <m:e>
                  <m:r>
                    <m:t>λ</m:t>
                  </m:r>
                </m:e>
                <m:sub>
                  <m:r>
                    <m:t>B</m:t>
                  </m:r>
                </m:sub>
              </m:sSub>
            </m:oMath>
          </w:p>
        </w:tc>
        <w:tc>
          <w:tcPr/>
          <w:p>
            <w:pPr>
              <w:pStyle w:val="Compact"/>
              <w:jc w:val="left"/>
            </w:pPr>
            <w:r>
              <w:t xml:space="preserve">Write rate to the item at leaders A and B</w:t>
            </w:r>
          </w:p>
        </w:tc>
        <w:tc>
          <w:tcPr/>
          <w:p>
            <w:pPr>
              <w:pStyle w:val="Compact"/>
              <w:jc w:val="left"/>
            </w:pPr>
            <w:r>
              <w:t xml:space="preserve">writes/s</w:t>
            </w:r>
          </w:p>
        </w:tc>
      </w:tr>
      <w:tr>
        <w:tc>
          <w:tcPr/>
          <w:p>
            <w:pPr>
              <w:pStyle w:val="Compact"/>
              <w:jc w:val="left"/>
            </w:pPr>
            <m:oMath>
              <m:r>
                <m:t>Δ</m:t>
              </m:r>
            </m:oMath>
          </w:p>
        </w:tc>
        <w:tc>
          <w:tcPr/>
          <w:p>
            <w:pPr>
              <w:pStyle w:val="Compact"/>
              <w:jc w:val="left"/>
            </w:pPr>
            <w:r>
              <w:t xml:space="preserve">Replication delay between the leaders</w:t>
            </w:r>
          </w:p>
        </w:tc>
        <w:tc>
          <w:tcPr/>
          <w:p>
            <w:pPr>
              <w:pStyle w:val="Compact"/>
              <w:jc w:val="left"/>
            </w:pPr>
            <w:r>
              <w:t xml:space="preserve">s</w:t>
            </w:r>
          </w:p>
        </w:tc>
      </w:tr>
    </w:tbl>
    <w:p>
      <w:pPr>
        <w:pStyle w:val="BodyText"/>
      </w:pPr>
      <w:r>
        <w:rPr>
          <w:bCs/>
          <w:b/>
        </w:rPr>
        <w:t xml:space="preserve">Derivation.</w:t>
      </w:r>
      <w:r>
        <w:t xml:space="preserve"> </w:t>
      </w:r>
      <w:r>
        <w:t xml:space="preserve">Each write at A conflicts if B wrote the same item within</w:t>
      </w:r>
      <w:r>
        <w:t xml:space="preserve"> </w:t>
      </w:r>
      <m:oMath>
        <m:r>
          <m:t>Δ</m:t>
        </m:r>
      </m:oMath>
      <w:r>
        <w:t xml:space="preserve"> </w:t>
      </w:r>
      <w:r>
        <w:t xml:space="preserve">before or after it, a window of length</w:t>
      </w:r>
      <w:r>
        <w:t xml:space="preserve"> </w:t>
      </w:r>
      <m:oMath>
        <m:r>
          <m:t>2</m:t>
        </m:r>
        <m:r>
          <m:t>Δ</m:t>
        </m:r>
      </m:oMath>
      <w:r>
        <w:t xml:space="preserve">, which happens with probability about</w:t>
      </w:r>
      <w:r>
        <w:t xml:space="preserve"> </w:t>
      </w:r>
      <m:oMath>
        <m:r>
          <m:t>2</m:t>
        </m:r>
        <m:r>
          <m:t>Δ</m:t>
        </m:r>
        <m:sSub>
          <m:e>
            <m:r>
              <m:t>λ</m:t>
            </m:r>
          </m:e>
          <m:sub>
            <m:r>
              <m:t>B</m:t>
            </m:r>
          </m:sub>
        </m:sSub>
      </m:oMath>
      <w:r>
        <w:t xml:space="preserve"> </w:t>
      </w:r>
      <w:r>
        <w:t xml:space="preserve">when that is small. Multiply by A’s write rate.</w:t>
      </w:r>
    </w:p>
    <w:p>
      <w:pPr>
        <w:pStyle w:val="CalloutExample"/>
      </w:pPr>
      <w:r>
        <w:rPr>
          <w:bCs/>
          <w:b/>
        </w:rPr>
        <w:t xml:space="preserve">WORKED EXAMPLE</w:t>
      </w:r>
    </w:p>
    <w:p>
      <w:pPr>
        <w:pStyle w:val="CalloutExample"/>
      </w:pPr>
      <w:r>
        <w:rPr>
          <w:bCs/>
          <w:b/>
        </w:rPr>
        <w:t xml:space="preserve">Worked example — Rare per key, common in aggregate.</w:t>
      </w:r>
      <w:r>
        <w:t xml:space="preserve"> </w:t>
      </w:r>
      <w:r>
        <w:t xml:space="preserve">Two regions replicate with</w:t>
      </w:r>
      <w:r>
        <w:t xml:space="preserve"> </w:t>
      </w:r>
      <m:oMath>
        <m:r>
          <m:t>Δ</m:t>
        </m:r>
        <m:r>
          <m:rPr>
            <m:sty m:val="p"/>
          </m:rPr>
          <m:t>=</m:t>
        </m:r>
        <m:r>
          <m:t>0.2</m:t>
        </m:r>
      </m:oMath>
      <w:r>
        <w:t xml:space="preserve"> </w:t>
      </w:r>
      <w:r>
        <w:t xml:space="preserve">s.</w:t>
      </w:r>
    </w:p>
    <w:p>
      <w:pPr>
        <w:numPr>
          <w:ilvl w:val="0"/>
          <w:numId w:val="1875"/>
        </w:numPr>
        <w:pStyle w:val="Compact"/>
      </w:pPr>
      <w:r>
        <w:t xml:space="preserve">A busy shared document written 0.1 times per second in each region:</w:t>
      </w:r>
      <w:r>
        <w:t xml:space="preserve"> </w:t>
      </w:r>
      <m:oMath>
        <m:r>
          <m:t>κ</m:t>
        </m:r>
        <m:r>
          <m:rPr>
            <m:sty m:val="p"/>
          </m:rPr>
          <m:t>=</m:t>
        </m:r>
        <m:r>
          <m:t>2</m:t>
        </m:r>
        <m:r>
          <m:rPr>
            <m:sty m:val="p"/>
          </m:rPr>
          <m:t>×</m:t>
        </m:r>
        <m:r>
          <m:t>0.1</m:t>
        </m:r>
        <m:r>
          <m:rPr>
            <m:sty m:val="p"/>
          </m:rPr>
          <m:t>×</m:t>
        </m:r>
        <m:r>
          <m:t>0.1</m:t>
        </m:r>
        <m:r>
          <m:rPr>
            <m:sty m:val="p"/>
          </m:rPr>
          <m:t>×</m:t>
        </m:r>
        <m:r>
          <m:t>0.2</m:t>
        </m:r>
        <m:r>
          <m:rPr>
            <m:sty m:val="p"/>
          </m:rPr>
          <m:t>=</m:t>
        </m:r>
        <m:r>
          <m:t>0.004</m:t>
        </m:r>
      </m:oMath>
      <w:r>
        <w:t xml:space="preserve"> </w:t>
      </w:r>
      <w:r>
        <w:t xml:space="preserve">conflicts/s, about 14 per hour.</w:t>
      </w:r>
    </w:p>
    <w:p>
      <w:pPr>
        <w:numPr>
          <w:ilvl w:val="0"/>
          <w:numId w:val="1875"/>
        </w:numPr>
        <w:pStyle w:val="Compact"/>
      </w:pPr>
      <w:r>
        <w:t xml:space="preserve">One million ordinary keys, each written 0.001 times per second in each region: per key</w:t>
      </w:r>
      <w:r>
        <w:t xml:space="preserve"> </w:t>
      </w:r>
      <m:oMath>
        <m:r>
          <m:t>2</m:t>
        </m:r>
        <m:r>
          <m:rPr>
            <m:sty m:val="p"/>
          </m:rPr>
          <m:t>×</m:t>
        </m:r>
        <m:sSup>
          <m:e>
            <m:r>
              <m:t>10</m:t>
            </m:r>
          </m:e>
          <m:sup>
            <m:r>
              <m:rPr>
                <m:sty m:val="p"/>
              </m:rPr>
              <m:t>−</m:t>
            </m:r>
            <m:r>
              <m:t>6</m:t>
            </m:r>
          </m:sup>
        </m:sSup>
        <m:r>
          <m:rPr>
            <m:sty m:val="p"/>
          </m:rPr>
          <m:t>×</m:t>
        </m:r>
        <m:r>
          <m:t>0.2</m:t>
        </m:r>
        <m:r>
          <m:rPr>
            <m:sty m:val="p"/>
          </m:rPr>
          <m:t>=</m:t>
        </m:r>
        <m:r>
          <m:t>4</m:t>
        </m:r>
        <m:r>
          <m:rPr>
            <m:sty m:val="p"/>
          </m:rPr>
          <m:t>×</m:t>
        </m:r>
        <m:sSup>
          <m:e>
            <m:r>
              <m:t>10</m:t>
            </m:r>
          </m:e>
          <m:sup>
            <m:r>
              <m:rPr>
                <m:sty m:val="p"/>
              </m:rPr>
              <m:t>−</m:t>
            </m:r>
            <m:r>
              <m:t>7</m:t>
            </m:r>
          </m:sup>
        </m:sSup>
      </m:oMath>
      <w:r>
        <w:t xml:space="preserve"> </w:t>
      </w:r>
      <w:r>
        <w:t xml:space="preserve">conflicts/s; over all keys</w:t>
      </w:r>
      <w:r>
        <w:t xml:space="preserve"> </w:t>
      </w:r>
      <m:oMath>
        <m:r>
          <m:t>0.4</m:t>
        </m:r>
      </m:oMath>
      <w:r>
        <w:t xml:space="preserve"> </w:t>
      </w:r>
      <w:r>
        <w:t xml:space="preserve">conflicts/s, about 34,600 per day.</w:t>
      </w:r>
    </w:p>
    <w:p>
      <w:pPr>
        <w:numPr>
          <w:ilvl w:val="0"/>
          <w:numId w:val="1875"/>
        </w:numPr>
        <w:pStyle w:val="Compact"/>
      </w:pPr>
      <w:r>
        <w:t xml:space="preserve">Partitioned ownership, where each key is written in only one region:</w:t>
      </w:r>
      <w:r>
        <w:t xml:space="preserve"> </w:t>
      </w:r>
      <m:oMath>
        <m:sSub>
          <m:e>
            <m:r>
              <m:t>λ</m:t>
            </m:r>
          </m:e>
          <m:sub>
            <m:r>
              <m:t>B</m:t>
            </m:r>
          </m:sub>
        </m:sSub>
        <m:r>
          <m:rPr>
            <m:sty m:val="p"/>
          </m:rPr>
          <m:t>=</m:t>
        </m:r>
        <m:r>
          <m:t>0</m:t>
        </m:r>
      </m:oMath>
      <w:r>
        <w:t xml:space="preserve">, so</w:t>
      </w:r>
      <w:r>
        <w:t xml:space="preserve"> </w:t>
      </w:r>
      <m:oMath>
        <m:r>
          <m:t>κ</m:t>
        </m:r>
        <m:r>
          <m:rPr>
            <m:sty m:val="p"/>
          </m:rPr>
          <m:t>=</m:t>
        </m:r>
        <m:r>
          <m:t>0</m:t>
        </m:r>
      </m:oMath>
      <w:r>
        <w:t xml:space="preserve">.</w:t>
      </w:r>
    </w:p>
    <w:p>
      <w:pPr>
        <w:pStyle w:val="CalloutExample"/>
      </w:pPr>
      <w:r>
        <w:rPr>
          <w:bCs/>
          <w:b/>
        </w:rPr>
        <w:t xml:space="preserve">Interpretation.</w:t>
      </w:r>
      <w:r>
        <w:t xml:space="preserve"> </w:t>
      </w:r>
      <w:r>
        <w:t xml:space="preserve">Conflicts grow with the product of the two write rates and with the delay; a partition that makes</w:t>
      </w:r>
      <w:r>
        <w:t xml:space="preserve"> </w:t>
      </w:r>
      <m:oMath>
        <m:r>
          <m:t>Δ</m:t>
        </m:r>
      </m:oMath>
      <w:r>
        <w:t xml:space="preserve"> </w:t>
      </w:r>
      <w:r>
        <w:t xml:space="preserve">last for minutes multiplies them.</w:t>
      </w:r>
      <w:r>
        <w:t xml:space="preserve"> </w:t>
      </w:r>
      <w:r>
        <w:rPr>
          <w:bCs/>
          <w:b/>
        </w:rPr>
        <w:t xml:space="preserve">Engineering implication.</w:t>
      </w:r>
      <w:r>
        <w:t xml:space="preserve"> </w:t>
      </w:r>
      <w:r>
        <w:t xml:space="preserve">Conflict resolution cannot be an afterthought you hope never runs. Either give each item a home leader, or make the resolution rule correct and tested (§27.14).</w:t>
      </w:r>
    </w:p>
    <w:bookmarkEnd w:id="3041"/>
    <w:bookmarkStart w:id="3042" w:name="real-world-industry-applications-41"/>
    <w:p>
      <w:pPr>
        <w:pStyle w:val="Heading4"/>
      </w:pPr>
      <w:r>
        <w:t xml:space="preserve">Real-world industry applications</w:t>
      </w:r>
    </w:p>
    <w:p>
      <w:pPr>
        <w:pStyle w:val="CalloutIndustry"/>
      </w:pPr>
      <w:r>
        <w:rPr>
          <w:bCs/>
          <w:b/>
        </w:rPr>
        <w:t xml:space="preserve">INDUSTRY EXAMPLE</w:t>
      </w:r>
    </w:p>
    <w:p>
      <w:pPr>
        <w:pStyle w:val="CalloutIndustry"/>
      </w:pPr>
      <w:r>
        <w:rPr>
          <w:bCs/>
          <w:b/>
        </w:rPr>
        <w:t xml:space="preserve">Amazon DynamoDB global tables.</w:t>
      </w:r>
      <w:r>
        <w:t xml:space="preserve"> </w:t>
      </w:r>
      <w:r>
        <w:t xml:space="preserve">Global tables replicate a table across Regions with every replica writable. For the multi-Region eventually consistent mode, AWS documents that concurrent updates to the same item are reconciled by last-writer-wins, so applications needing different semantics must avoid concurrent cross-Region writes to an item (as of 2026; AWS has since added a multi-Region strongly consistent option).</w:t>
      </w:r>
      <w:r>
        <w:t xml:space="preserve"> </w:t>
      </w:r>
      <w:r>
        <w:rPr>
          <w:iCs/>
          <w:i/>
        </w:rPr>
        <w:t xml:space="preserve">Evidence: Primary</w:t>
      </w:r>
      <w:r>
        <w:t xml:space="preserve"> </w:t>
      </w:r>
      <w:r>
        <w:t xml:space="preserve">— [AWS Docs: DynamoDB Global Tables]</w:t>
      </w:r>
    </w:p>
    <w:p>
      <w:pPr>
        <w:pStyle w:val="CalloutIndustry"/>
      </w:pPr>
      <w:r>
        <w:rPr>
          <w:bCs/>
          <w:b/>
        </w:rPr>
        <w:t xml:space="preserve">INDUSTRY EXAMPLE</w:t>
      </w:r>
    </w:p>
    <w:p>
      <w:pPr>
        <w:pStyle w:val="CalloutIndustry"/>
      </w:pPr>
      <w:r>
        <w:rPr>
          <w:bCs/>
          <w:b/>
        </w:rPr>
        <w:t xml:space="preserve">CouchDB.</w:t>
      </w:r>
      <w:r>
        <w:t xml:space="preserve"> </w:t>
      </w:r>
      <w:r>
        <w:t xml:space="preserve">CouchDB replicates between any pair of databases, including offline devices. Each document has a revision tree; when replicas diverge, every node deterministically picks the same winning revision so readers agree, while the losing revisions are kept as conflicts that the application can read and merge.</w:t>
      </w:r>
      <w:r>
        <w:t xml:space="preserve"> </w:t>
      </w:r>
      <w:r>
        <w:rPr>
          <w:iCs/>
          <w:i/>
        </w:rPr>
        <w:t xml:space="preserve">Evidence: Primary</w:t>
      </w:r>
      <w:r>
        <w:t xml:space="preserve"> </w:t>
      </w:r>
      <w:r>
        <w:t xml:space="preserve">— [Apache CouchDB Docs: Replication and Conflict Model]</w:t>
      </w:r>
    </w:p>
    <w:bookmarkEnd w:id="3042"/>
    <w:bookmarkStart w:id="3043" w:name="failure-scenarios-60"/>
    <w:p>
      <w:pPr>
        <w:pStyle w:val="Heading4"/>
      </w:pPr>
      <w:r>
        <w:t xml:space="preserve">Failure scenarios</w:t>
      </w:r>
    </w:p>
    <w:p>
      <w:pPr>
        <w:pStyle w:val="FirstParagraph"/>
      </w:pPr>
      <w:r>
        <w:rPr>
          <w:bCs/>
          <w:b/>
        </w:rPr>
        <w:t xml:space="preserve">Table 27.3 — Failure scenarios in multi-leader replication.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Replication stops for a subset of leaders</w:t>
            </w:r>
          </w:p>
        </w:tc>
        <w:tc>
          <w:tcPr/>
          <w:p>
            <w:pPr>
              <w:pStyle w:val="Compact"/>
              <w:jc w:val="left"/>
            </w:pPr>
            <w:r>
              <w:t xml:space="preserve">Ring or hub node failed</w:t>
            </w:r>
          </w:p>
        </w:tc>
        <w:tc>
          <w:tcPr/>
          <w:p>
            <w:pPr>
              <w:pStyle w:val="Compact"/>
              <w:jc w:val="left"/>
            </w:pPr>
            <w:r>
              <w:t xml:space="preserve">Replication lag grows on downstream leaders</w:t>
            </w:r>
          </w:p>
        </w:tc>
        <w:tc>
          <w:tcPr/>
          <w:p>
            <w:pPr>
              <w:pStyle w:val="Compact"/>
              <w:jc w:val="left"/>
            </w:pPr>
            <w:r>
              <w:t xml:space="preserve">Reconfigure ring or hub</w:t>
            </w:r>
          </w:p>
        </w:tc>
        <w:tc>
          <w:tcPr/>
          <w:p>
            <w:pPr>
              <w:pStyle w:val="Compact"/>
              <w:jc w:val="left"/>
            </w:pPr>
            <w:r>
              <w:t xml:space="preserve">All-to-all, or redundant hubs</w:t>
            </w:r>
          </w:p>
        </w:tc>
      </w:tr>
      <w:tr>
        <w:tc>
          <w:tcPr/>
          <w:p>
            <w:pPr>
              <w:pStyle w:val="Compact"/>
              <w:jc w:val="left"/>
            </w:pPr>
            <w:r>
              <w:t xml:space="preserve">Update applied before its insert</w:t>
            </w:r>
          </w:p>
        </w:tc>
        <w:tc>
          <w:tcPr/>
          <w:p>
            <w:pPr>
              <w:pStyle w:val="Compact"/>
              <w:jc w:val="left"/>
            </w:pPr>
            <w:r>
              <w:t xml:space="preserve">Messages overtook on different links</w:t>
            </w:r>
          </w:p>
        </w:tc>
        <w:tc>
          <w:tcPr/>
          <w:p>
            <w:pPr>
              <w:pStyle w:val="Compact"/>
              <w:jc w:val="left"/>
            </w:pPr>
            <w:r>
              <w:t xml:space="preserve">Apply errors, missing parents</w:t>
            </w:r>
          </w:p>
        </w:tc>
        <w:tc>
          <w:tcPr/>
          <w:p>
            <w:pPr>
              <w:pStyle w:val="Compact"/>
              <w:jc w:val="left"/>
            </w:pPr>
            <w:r>
              <w:t xml:space="preserve">Buffer and retry</w:t>
            </w:r>
          </w:p>
        </w:tc>
        <w:tc>
          <w:tcPr/>
          <w:p>
            <w:pPr>
              <w:pStyle w:val="Compact"/>
              <w:jc w:val="left"/>
            </w:pPr>
            <w:r>
              <w:t xml:space="preserve">Version vectors; causal delivery</w:t>
            </w:r>
          </w:p>
        </w:tc>
      </w:tr>
      <w:tr>
        <w:tc>
          <w:tcPr/>
          <w:p>
            <w:pPr>
              <w:pStyle w:val="Compact"/>
              <w:jc w:val="left"/>
            </w:pPr>
            <w:r>
              <w:t xml:space="preserve">Uniqueness violated</w:t>
            </w:r>
          </w:p>
        </w:tc>
        <w:tc>
          <w:tcPr/>
          <w:p>
            <w:pPr>
              <w:pStyle w:val="Compact"/>
              <w:jc w:val="left"/>
            </w:pPr>
            <w:r>
              <w:t xml:space="preserve">Two leaders accept same username</w:t>
            </w:r>
          </w:p>
        </w:tc>
        <w:tc>
          <w:tcPr/>
          <w:p>
            <w:pPr>
              <w:pStyle w:val="Compact"/>
              <w:jc w:val="left"/>
            </w:pPr>
            <w:r>
              <w:t xml:space="preserve">Duplicate detected after sync</w:t>
            </w:r>
          </w:p>
        </w:tc>
        <w:tc>
          <w:tcPr/>
          <w:p>
            <w:pPr>
              <w:pStyle w:val="Compact"/>
              <w:jc w:val="left"/>
            </w:pPr>
            <w:r>
              <w:t xml:space="preserve">Rename or merge manually</w:t>
            </w:r>
          </w:p>
        </w:tc>
        <w:tc>
          <w:tcPr/>
          <w:p>
            <w:pPr>
              <w:pStyle w:val="Compact"/>
              <w:jc w:val="left"/>
            </w:pPr>
            <w:r>
              <w:t xml:space="preserve">Route uniqueness checks to one home leader</w:t>
            </w:r>
          </w:p>
        </w:tc>
      </w:tr>
    </w:tbl>
    <w:bookmarkEnd w:id="3043"/>
    <w:bookmarkEnd w:id="3044"/>
    <w:bookmarkEnd w:id="3045"/>
    <w:bookmarkStart w:id="3053" w:name="leaderless-replication"/>
    <w:p>
      <w:pPr>
        <w:pStyle w:val="Heading2"/>
      </w:pPr>
      <w:r>
        <w:t xml:space="preserve">27.7 Leaderless replication</w:t>
      </w:r>
    </w:p>
    <w:bookmarkStart w:id="3052" w:name="dynamo-style-coordination"/>
    <w:p>
      <w:pPr>
        <w:pStyle w:val="Heading3"/>
      </w:pPr>
      <w:r>
        <w:t xml:space="preserve">27.7.1 Dynamo-style coordination</w:t>
      </w:r>
    </w:p>
    <w:p>
      <w:pPr>
        <w:pStyle w:val="CalloutDefinition"/>
      </w:pPr>
      <w:r>
        <w:rPr>
          <w:bCs/>
          <w:b/>
        </w:rPr>
        <w:t xml:space="preserve">DEFINITION</w:t>
      </w:r>
    </w:p>
    <w:p>
      <w:pPr>
        <w:pStyle w:val="CalloutDefinition"/>
      </w:pPr>
      <w:r>
        <w:rPr>
          <w:bCs/>
          <w:b/>
        </w:rPr>
        <w:t xml:space="preserve">Definition — Leaderless replication.</w:t>
      </w:r>
      <w:r>
        <w:t xml:space="preserve"> </w:t>
      </w:r>
      <w:r>
        <w:t xml:space="preserve">Any replica of a key may accept reads and writes; the client, or a</w:t>
      </w:r>
      <w:r>
        <w:t xml:space="preserve"> </w:t>
      </w:r>
      <w:r>
        <w:rPr>
          <w:bCs/>
          <w:b/>
        </w:rPr>
        <w:t xml:space="preserve">coordinator</w:t>
      </w:r>
      <w:r>
        <w:t xml:space="preserve"> </w:t>
      </w:r>
      <w:r>
        <w:t xml:space="preserve">node acting for it, sends each request to several replicas in parallel and treats it as successful once enough of them respond. There is no failover because there is no leader [DeCandia et al. 2007].</w:t>
      </w:r>
    </w:p>
    <w:bookmarkStart w:id="3046" w:name="first-principles-explanation-147"/>
    <w:p>
      <w:pPr>
        <w:pStyle w:val="Heading4"/>
      </w:pPr>
      <w:r>
        <w:t xml:space="preserve">First-principles explanation</w:t>
      </w:r>
    </w:p>
    <w:p>
      <w:pPr>
        <w:pStyle w:val="FirstParagraph"/>
      </w:pPr>
      <w:r>
        <w:t xml:space="preserve">A club keeps its membership list on three noticeboards. The secretary pins each notice on at least two boards; a reader checks any two and believes the newer notice. Any two boards share one with the secretary’s two, so the reader always sees the latest notice, and losing one board stops nothing.</w:t>
      </w:r>
    </w:p>
    <w:bookmarkEnd w:id="3046"/>
    <w:bookmarkStart w:id="3047" w:name="why-does-this-exist-93"/>
    <w:p>
      <w:pPr>
        <w:pStyle w:val="Heading4"/>
      </w:pPr>
      <w:r>
        <w:t xml:space="preserve">Why does this exist?</w:t>
      </w:r>
    </w:p>
    <w:p>
      <w:pPr>
        <w:pStyle w:val="FirstParagraph"/>
      </w:pPr>
      <w:r>
        <w:t xml:space="preserve">Amazon built Dynamo for the shopping cart, where refusing an</w:t>
      </w:r>
      <w:r>
        <w:t xml:space="preserve"> </w:t>
      </w:r>
      <w:r>
        <w:t xml:space="preserve">“</w:t>
      </w:r>
      <w:r>
        <w:t xml:space="preserve">add to cart</w:t>
      </w:r>
      <w:r>
        <w:t xml:space="preserve">”</w:t>
      </w:r>
      <w:r>
        <w:t xml:space="preserve"> </w:t>
      </w:r>
      <w:r>
        <w:t xml:space="preserve">during a failure costs money. A leader is a single point that must be detected dead and replaced; during that window writes stop. Leaderless replication keeps writing as long as</w:t>
      </w:r>
      <w:r>
        <w:t xml:space="preserve"> </w:t>
      </w:r>
      <w:r>
        <w:rPr>
          <w:iCs/>
          <w:i/>
        </w:rPr>
        <w:t xml:space="preserve">enough</w:t>
      </w:r>
      <w:r>
        <w:t xml:space="preserve"> </w:t>
      </w:r>
      <w:r>
        <w:t xml:space="preserve">replicas answer, and it masks slow replicas by not waiting for the slowest ones [DeCandia et al. 2007].</w:t>
      </w:r>
    </w:p>
    <w:bookmarkEnd w:id="3047"/>
    <w:bookmarkStart w:id="3051" w:name="how-it-works-internally-99"/>
    <w:p>
      <w:pPr>
        <w:pStyle w:val="Heading4"/>
      </w:pPr>
      <w:r>
        <w:t xml:space="preserve">How it works internally</w:t>
      </w:r>
    </w:p>
    <w:p>
      <w:pPr>
        <w:numPr>
          <w:ilvl w:val="0"/>
          <w:numId w:val="1876"/>
        </w:numPr>
        <w:pStyle w:val="Compact"/>
      </w:pPr>
      <w:r>
        <w:rPr>
          <w:bCs/>
          <w:b/>
        </w:rPr>
        <w:t xml:space="preserve">Placement.</w:t>
      </w:r>
      <w:r>
        <w:t xml:space="preserve"> </w:t>
      </w:r>
      <w:r>
        <w:t xml:space="preserve">Keys are hashed onto a consistent-hash ring (§14.8). The</w:t>
      </w:r>
      <w:r>
        <w:t xml:space="preserve"> </w:t>
      </w:r>
      <w:r>
        <w:rPr>
          <w:bCs/>
          <w:b/>
        </w:rPr>
        <w:t xml:space="preserve">preference list</w:t>
      </w:r>
      <w:r>
        <w:t xml:space="preserve"> </w:t>
      </w:r>
      <w:r>
        <w:t xml:space="preserve">for a key is the first</w:t>
      </w:r>
      <w:r>
        <w:t xml:space="preserve"> </w:t>
      </w:r>
      <m:oMath>
        <m:r>
          <m:t>N</m:t>
        </m:r>
      </m:oMath>
      <w:r>
        <w:t xml:space="preserve"> </w:t>
      </w:r>
      <w:r>
        <w:t xml:space="preserve">distinct physical nodes clockwise from its position; the list kept is longer than</w:t>
      </w:r>
      <w:r>
        <w:t xml:space="preserve"> </w:t>
      </w:r>
      <m:oMath>
        <m:r>
          <m:t>N</m:t>
        </m:r>
      </m:oMath>
      <w:r>
        <w:t xml:space="preserve"> </w:t>
      </w:r>
      <w:r>
        <w:t xml:space="preserve">so that substitutes are known when nodes fail.</w:t>
      </w:r>
    </w:p>
    <w:p>
      <w:pPr>
        <w:numPr>
          <w:ilvl w:val="0"/>
          <w:numId w:val="1876"/>
        </w:numPr>
        <w:pStyle w:val="Compact"/>
      </w:pPr>
      <w:r>
        <w:rPr>
          <w:bCs/>
          <w:b/>
        </w:rPr>
        <w:t xml:space="preserve">Coordinator.</w:t>
      </w:r>
      <w:r>
        <w:t xml:space="preserve"> </w:t>
      </w:r>
      <w:r>
        <w:t xml:space="preserve">A request arrives at a partition-aware client library or at any node, which forwards it to a coordinator, typically the first healthy node in the key’s preference list.</w:t>
      </w:r>
    </w:p>
    <w:p>
      <w:pPr>
        <w:numPr>
          <w:ilvl w:val="0"/>
          <w:numId w:val="1876"/>
        </w:numPr>
        <w:pStyle w:val="Compact"/>
      </w:pPr>
      <w:r>
        <w:rPr>
          <w:bCs/>
          <w:b/>
        </w:rPr>
        <w:t xml:space="preserve">Write.</w:t>
      </w:r>
      <w:r>
        <w:t xml:space="preserve"> </w:t>
      </w:r>
      <w:r>
        <w:t xml:space="preserve">The coordinator attaches a new version (a vector clock in Dynamo, a timestamp in Cassandra), writes locally and sends the write to the other replicas in parallel. It reports success once</w:t>
      </w:r>
      <w:r>
        <w:t xml:space="preserve"> </w:t>
      </w:r>
      <m:oMath>
        <m:r>
          <m:t>W</m:t>
        </m:r>
      </m:oMath>
      <w:r>
        <w:t xml:space="preserve"> </w:t>
      </w:r>
      <w:r>
        <w:t xml:space="preserve">replicas, counting itself, acknowledge.</w:t>
      </w:r>
    </w:p>
    <w:p>
      <w:pPr>
        <w:numPr>
          <w:ilvl w:val="0"/>
          <w:numId w:val="1876"/>
        </w:numPr>
        <w:pStyle w:val="Compact"/>
      </w:pPr>
      <w:r>
        <w:rPr>
          <w:bCs/>
          <w:b/>
        </w:rPr>
        <w:t xml:space="preserve">Read.</w:t>
      </w:r>
      <w:r>
        <w:t xml:space="preserve"> </w:t>
      </w:r>
      <w:r>
        <w:t xml:space="preserve">The coordinator asks the replicas and waits for</w:t>
      </w:r>
      <w:r>
        <w:t xml:space="preserve"> </w:t>
      </w:r>
      <m:oMath>
        <m:r>
          <m:t>R</m:t>
        </m:r>
      </m:oMath>
      <w:r>
        <w:t xml:space="preserve"> </w:t>
      </w:r>
      <w:r>
        <w:t xml:space="preserve">responses. If the versions differ, it returns the newest, or all causally concurrent versions for the client to reconcile (§27.14), and it may repair stale replicas (§27.13).</w:t>
      </w:r>
    </w:p>
    <w:p>
      <w:pPr>
        <w:numPr>
          <w:ilvl w:val="0"/>
          <w:numId w:val="1876"/>
        </w:numPr>
        <w:pStyle w:val="Compact"/>
      </w:pPr>
      <w:r>
        <w:rPr>
          <w:bCs/>
          <w:b/>
        </w:rPr>
        <w:t xml:space="preserve">Background repair.</w:t>
      </w:r>
      <w:r>
        <w:t xml:space="preserve"> </w:t>
      </w:r>
      <w:r>
        <w:t xml:space="preserve">Hinted handoff (§27.9) and Merkle-tree anti-entropy (§27.13) bring replicas that missed writes back into agreement.</w:t>
      </w:r>
    </w:p>
    <w:p>
      <w:pPr>
        <w:pStyle w:val="FirstParagraph"/>
      </w:pPr>
      <w:r>
        <w:rPr>
          <w:bCs/>
          <w:b/>
        </w:rPr>
        <w:t xml:space="preserve">Figure 27.6 — A Dynamo-style write with N = 3 and W = 2.</w:t>
      </w:r>
    </w:p>
    <w:p>
      <w:pPr>
        <w:pStyle w:val="BodyText"/>
      </w:pPr>
      <w:r>
        <w:drawing>
          <wp:inline>
            <wp:extent cx="5334000" cy="3370238"/>
            <wp:effectExtent b="0" l="0" r="0" t="0"/>
            <wp:docPr descr="" title="" id="3049" name="Picture"/>
            <a:graphic>
              <a:graphicData uri="http://schemas.openxmlformats.org/drawingml/2006/picture">
                <pic:pic>
                  <pic:nvPicPr>
                    <pic:cNvPr descr="/home/user/System-Design/build/.cache/diagrams/f8f63bea0773.png" id="3050" name="Picture"/>
                    <pic:cNvPicPr>
                      <a:picLocks noChangeArrowheads="1" noChangeAspect="1"/>
                    </pic:cNvPicPr>
                  </pic:nvPicPr>
                  <pic:blipFill>
                    <a:blip r:embed="rId3048"/>
                    <a:stretch>
                      <a:fillRect/>
                    </a:stretch>
                  </pic:blipFill>
                  <pic:spPr bwMode="auto">
                    <a:xfrm>
                      <a:off x="0" y="0"/>
                      <a:ext cx="5334000" cy="3370238"/>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client sends the write to a coordinator, here node B, which owns the first position in the key’s preference list. The coordinator sends the write to all three replicas in parallel over the internal RPC protocol and replies once two acknowledgments arrive; the third (dotted) arrives later and is not waited for. Each replica stores the key in its local storage engine. Failure points: a replica that never receives the write (repaired later), and the coordinator crashing after some but not all replicas applied the write, leaving partial state (§27.8). Scaling adds nodes to the ring; each key still has exactly</w:t>
      </w:r>
      <w:r>
        <w:t xml:space="preserve"> </w:t>
      </w:r>
      <m:oMath>
        <m:r>
          <m:t>N</m:t>
        </m:r>
      </m:oMath>
      <w:r>
        <w:t xml:space="preserve"> </w:t>
      </w:r>
      <w:r>
        <w:t xml:space="preserve">replicas.</w:t>
      </w:r>
    </w:p>
    <w:p>
      <w:pPr>
        <w:pStyle w:val="CalloutIndustry"/>
      </w:pPr>
      <w:r>
        <w:rPr>
          <w:bCs/>
          <w:b/>
        </w:rPr>
        <w:t xml:space="preserve">INDUSTRY EXAMPLE</w:t>
      </w:r>
    </w:p>
    <w:p>
      <w:pPr>
        <w:pStyle w:val="CalloutIndustry"/>
      </w:pPr>
      <w:r>
        <w:rPr>
          <w:bCs/>
          <w:b/>
        </w:rPr>
        <w:t xml:space="preserve">Apache Cassandra.</w:t>
      </w:r>
      <w:r>
        <w:t xml:space="preserve"> </w:t>
      </w:r>
      <w:r>
        <w:t xml:space="preserve">Cassandra adopted Dynamo’s ring, replication and repair mechanisms with a Bigtable-style data model [Lakshman and Malik 2010]. Any node can coordinate; a replication strategy chooses replicas per datacenter; each request carries a</w:t>
      </w:r>
      <w:r>
        <w:t xml:space="preserve"> </w:t>
      </w:r>
      <w:r>
        <w:rPr>
          <w:bCs/>
          <w:b/>
        </w:rPr>
        <w:t xml:space="preserve">consistency level</w:t>
      </w:r>
      <w:r>
        <w:t xml:space="preserve"> </w:t>
      </w:r>
      <w:r>
        <w:t xml:space="preserve">such as</w:t>
      </w:r>
      <w:r>
        <w:t xml:space="preserve"> </w:t>
      </w:r>
      <w:r>
        <w:rPr>
          <w:rStyle w:val="VerbatimChar"/>
        </w:rPr>
        <w:t xml:space="preserve">ONE</w:t>
      </w:r>
      <w:r>
        <w:t xml:space="preserve">,</w:t>
      </w:r>
      <w:r>
        <w:t xml:space="preserve"> </w:t>
      </w:r>
      <w:r>
        <w:rPr>
          <w:rStyle w:val="VerbatimChar"/>
        </w:rPr>
        <w:t xml:space="preserve">QUORUM</w:t>
      </w:r>
      <w:r>
        <w:t xml:space="preserve">,</w:t>
      </w:r>
      <w:r>
        <w:t xml:space="preserve"> </w:t>
      </w:r>
      <w:r>
        <w:rPr>
          <w:rStyle w:val="VerbatimChar"/>
        </w:rPr>
        <w:t xml:space="preserve">LOCAL_QUORUM</w:t>
      </w:r>
      <w:r>
        <w:t xml:space="preserve"> </w:t>
      </w:r>
      <w:r>
        <w:t xml:space="preserve">or</w:t>
      </w:r>
      <w:r>
        <w:t xml:space="preserve"> </w:t>
      </w:r>
      <w:r>
        <w:rPr>
          <w:rStyle w:val="VerbatimChar"/>
        </w:rPr>
        <w:t xml:space="preserve">ALL</w:t>
      </w:r>
      <w:r>
        <w:t xml:space="preserve"> </w:t>
      </w:r>
      <w:r>
        <w:t xml:space="preserve">that sets how many replica responses the coordinator waits for. Concurrent writes to a cell are resolved by timestamp (§27.14).</w:t>
      </w:r>
      <w:r>
        <w:t xml:space="preserve"> </w:t>
      </w:r>
      <w:r>
        <w:rPr>
          <w:iCs/>
          <w:i/>
        </w:rPr>
        <w:t xml:space="preserve">Evidence: Primary</w:t>
      </w:r>
      <w:r>
        <w:t xml:space="preserve"> </w:t>
      </w:r>
      <w:r>
        <w:t xml:space="preserve">— [Lakshman and Malik 2010; Apache Cassandra Docs]</w:t>
      </w:r>
    </w:p>
    <w:bookmarkEnd w:id="3051"/>
    <w:bookmarkEnd w:id="3052"/>
    <w:bookmarkEnd w:id="3053"/>
    <w:bookmarkStart w:id="3060" w:name="read-and-write-quorums-r-w-n"/>
    <w:p>
      <w:pPr>
        <w:pStyle w:val="Heading2"/>
      </w:pPr>
      <w:r>
        <w:t xml:space="preserve">27.8 Read and write quorums: R + W &gt; N</w:t>
      </w:r>
    </w:p>
    <w:bookmarkStart w:id="3054" w:name="the-overlap-argument"/>
    <w:p>
      <w:pPr>
        <w:pStyle w:val="Heading3"/>
      </w:pPr>
      <w:r>
        <w:t xml:space="preserve">27.8.1 The overlap argument</w:t>
      </w:r>
    </w:p>
    <w:p>
      <w:pPr>
        <w:pStyle w:val="CalloutDefinition"/>
      </w:pPr>
      <w:r>
        <w:rPr>
          <w:bCs/>
          <w:b/>
        </w:rPr>
        <w:t xml:space="preserve">DEFINITION</w:t>
      </w:r>
    </w:p>
    <w:p>
      <w:pPr>
        <w:pStyle w:val="CalloutDefinition"/>
      </w:pPr>
      <w:r>
        <w:rPr>
          <w:bCs/>
          <w:b/>
        </w:rPr>
        <w:t xml:space="preserve">Definition — Quorum.</w:t>
      </w:r>
      <w:r>
        <w:t xml:space="preserve"> </w:t>
      </w:r>
      <w:r>
        <w:t xml:space="preserve">With</w:t>
      </w:r>
      <w:r>
        <w:t xml:space="preserve"> </w:t>
      </w:r>
      <m:oMath>
        <m:r>
          <m:t>N</m:t>
        </m:r>
      </m:oMath>
      <w:r>
        <w:t xml:space="preserve"> </w:t>
      </w:r>
      <w:r>
        <w:t xml:space="preserve">replicas per key, a write is acknowledged after</w:t>
      </w:r>
      <w:r>
        <w:t xml:space="preserve"> </w:t>
      </w:r>
      <m:oMath>
        <m:r>
          <m:t>W</m:t>
        </m:r>
      </m:oMath>
      <w:r>
        <w:t xml:space="preserve"> </w:t>
      </w:r>
      <w:r>
        <w:t xml:space="preserve">replicas confirm and a read returns after</w:t>
      </w:r>
      <w:r>
        <w:t xml:space="preserve"> </w:t>
      </w:r>
      <m:oMath>
        <m:r>
          <m:t>R</m:t>
        </m:r>
      </m:oMath>
      <w:r>
        <w:t xml:space="preserve"> </w:t>
      </w:r>
      <w:r>
        <w:t xml:space="preserve">replicas respond. The configuration is a</w:t>
      </w:r>
      <w:r>
        <w:t xml:space="preserve"> </w:t>
      </w:r>
      <w:r>
        <w:rPr>
          <w:bCs/>
          <w:b/>
        </w:rPr>
        <w:t xml:space="preserve">strict quorum</w:t>
      </w:r>
      <w:r>
        <w:t xml:space="preserve"> </w:t>
      </w:r>
      <w:r>
        <w:t xml:space="preserve">when</w:t>
      </w:r>
      <w:r>
        <w:t xml:space="preserve"> </w:t>
      </w:r>
      <m:oMath>
        <m:r>
          <m:t>R</m:t>
        </m:r>
        <m:r>
          <m:rPr>
            <m:sty m:val="p"/>
          </m:rPr>
          <m:t>+</m:t>
        </m:r>
        <m:r>
          <m:t>W</m:t>
        </m:r>
        <m:r>
          <m:rPr>
            <m:sty m:val="p"/>
          </m:rPr>
          <m:t>&gt;</m:t>
        </m:r>
        <m:r>
          <m:t>N</m:t>
        </m:r>
      </m:oMath>
      <w:r>
        <w:t xml:space="preserve">, so every read set intersects every write set.</w:t>
      </w:r>
    </w:p>
    <w:p>
      <w:pPr>
        <w:pStyle w:val="CalloutFormula"/>
      </w:pPr>
      <w:r>
        <w:rPr>
          <w:bCs/>
          <w:b/>
        </w:rPr>
        <w:t xml:space="preserve">FORMULA</w:t>
      </w:r>
    </w:p>
    <w:p>
      <w:pPr>
        <w:pStyle w:val="CalloutFormula"/>
      </w:pPr>
      <w:r>
        <w:rPr>
          <w:bCs/>
          <w:b/>
        </w:rPr>
        <w:t xml:space="preserve">Quorum overlap and fault tolerance</w:t>
      </w:r>
    </w:p>
    <w:p>
      <w:pPr>
        <w:pStyle w:val="CalloutFormula"/>
      </w:pPr>
      <m:oMathPara>
        <m:oMathParaPr>
          <m:jc m:val="center"/>
        </m:oMathParaPr>
        <m:oMath>
          <m:d>
            <m:dPr>
              <m:begChr m:val="|"/>
              <m:endChr m:val="|"/>
              <m:sepChr m:val=""/>
              <m:grow/>
            </m:dPr>
            <m:e>
              <m:sSub>
                <m:e>
                  <m:r>
                    <m:t>S</m:t>
                  </m:r>
                </m:e>
                <m:sub>
                  <m:r>
                    <m:t>R</m:t>
                  </m:r>
                </m:sub>
              </m:sSub>
              <m:r>
                <m:rPr>
                  <m:sty m:val="p"/>
                </m:rPr>
                <m:t>∩</m:t>
              </m:r>
              <m:sSub>
                <m:e>
                  <m:r>
                    <m:t>S</m:t>
                  </m:r>
                </m:e>
                <m:sub>
                  <m:r>
                    <m:t>W</m:t>
                  </m:r>
                </m:sub>
              </m:sSub>
            </m:e>
          </m:d>
          <m:r>
            <m:t> </m:t>
          </m:r>
          <m:r>
            <m:rPr>
              <m:sty m:val="p"/>
            </m:rPr>
            <m:t>≥</m:t>
          </m:r>
          <m:r>
            <m:t> </m:t>
          </m:r>
          <m:r>
            <m:t>R</m:t>
          </m:r>
          <m:r>
            <m:rPr>
              <m:sty m:val="p"/>
            </m:rPr>
            <m:t>+</m:t>
          </m:r>
          <m:r>
            <m:t>W</m:t>
          </m:r>
          <m:r>
            <m:rPr>
              <m:sty m:val="p"/>
            </m:rPr>
            <m:t>−</m:t>
          </m:r>
          <m:r>
            <m:t>N</m:t>
          </m:r>
          <m:r>
            <m:t>  </m:t>
          </m:r>
          <m:sSub>
            <m:e>
              <m:r>
                <m:t>f</m:t>
              </m:r>
            </m:e>
            <m:sub>
              <m:r>
                <m:rPr>
                  <m:nor/>
                  <m:sty m:val="p"/>
                </m:rPr>
                <m:t>read</m:t>
              </m:r>
            </m:sub>
          </m:sSub>
          <m:r>
            <m:rPr>
              <m:sty m:val="p"/>
            </m:rPr>
            <m:t>=</m:t>
          </m:r>
          <m:r>
            <m:t>N</m:t>
          </m:r>
          <m:r>
            <m:rPr>
              <m:sty m:val="p"/>
            </m:rPr>
            <m:t>−</m:t>
          </m:r>
          <m:r>
            <m:t>R</m:t>
          </m:r>
          <m:r>
            <m:t>  </m:t>
          </m:r>
          <m:sSub>
            <m:e>
              <m:r>
                <m:t>f</m:t>
              </m:r>
            </m:e>
            <m:sub>
              <m:r>
                <m:rPr>
                  <m:nor/>
                  <m:sty m:val="p"/>
                </m:rPr>
                <m:t>write</m:t>
              </m:r>
            </m:sub>
          </m:sSub>
          <m:r>
            <m:rPr>
              <m:sty m:val="p"/>
            </m:rPr>
            <m:t>=</m:t>
          </m:r>
          <m:r>
            <m:t>N</m:t>
          </m:r>
          <m:r>
            <m:rPr>
              <m:sty m:val="p"/>
            </m:rPr>
            <m:t>−</m:t>
          </m:r>
          <m:r>
            <m:t>W</m:t>
          </m:r>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N</m:t>
              </m:r>
            </m:oMath>
          </w:p>
        </w:tc>
        <w:tc>
          <w:tcPr/>
          <w:p>
            <w:pPr>
              <w:pStyle w:val="Compact"/>
              <w:jc w:val="left"/>
            </w:pPr>
            <w:r>
              <w:t xml:space="preserve">Replicas per key (replication factor)</w:t>
            </w:r>
          </w:p>
        </w:tc>
        <w:tc>
          <w:tcPr/>
          <w:p>
            <w:pPr>
              <w:pStyle w:val="Compact"/>
              <w:jc w:val="left"/>
            </w:pPr>
            <w:r>
              <w:t xml:space="preserve">replicas</w:t>
            </w:r>
          </w:p>
        </w:tc>
      </w:tr>
      <w:tr>
        <w:tc>
          <w:tcPr/>
          <w:p>
            <w:pPr>
              <w:pStyle w:val="Compact"/>
              <w:jc w:val="left"/>
            </w:pPr>
            <m:oMath>
              <m:r>
                <m:t>R</m:t>
              </m:r>
            </m:oMath>
          </w:p>
        </w:tc>
        <w:tc>
          <w:tcPr/>
          <w:p>
            <w:pPr>
              <w:pStyle w:val="Compact"/>
              <w:jc w:val="left"/>
            </w:pPr>
            <w:r>
              <w:t xml:space="preserve">Responses a read waits for</w:t>
            </w:r>
          </w:p>
        </w:tc>
        <w:tc>
          <w:tcPr/>
          <w:p>
            <w:pPr>
              <w:pStyle w:val="Compact"/>
              <w:jc w:val="left"/>
            </w:pPr>
            <w:r>
              <w:t xml:space="preserve">replicas</w:t>
            </w:r>
          </w:p>
        </w:tc>
      </w:tr>
      <w:tr>
        <w:tc>
          <w:tcPr/>
          <w:p>
            <w:pPr>
              <w:pStyle w:val="Compact"/>
              <w:jc w:val="left"/>
            </w:pPr>
            <m:oMath>
              <m:r>
                <m:t>W</m:t>
              </m:r>
            </m:oMath>
          </w:p>
        </w:tc>
        <w:tc>
          <w:tcPr/>
          <w:p>
            <w:pPr>
              <w:pStyle w:val="Compact"/>
              <w:jc w:val="left"/>
            </w:pPr>
            <w:r>
              <w:t xml:space="preserve">Acknowledgments a write waits for</w:t>
            </w:r>
          </w:p>
        </w:tc>
        <w:tc>
          <w:tcPr/>
          <w:p>
            <w:pPr>
              <w:pStyle w:val="Compact"/>
              <w:jc w:val="left"/>
            </w:pPr>
            <w:r>
              <w:t xml:space="preserve">replicas</w:t>
            </w:r>
          </w:p>
        </w:tc>
      </w:tr>
      <w:tr>
        <w:tc>
          <w:tcPr/>
          <w:p>
            <w:pPr>
              <w:pStyle w:val="Compact"/>
              <w:jc w:val="left"/>
            </w:pPr>
            <m:oMath>
              <m:sSub>
                <m:e>
                  <m:r>
                    <m:t>S</m:t>
                  </m:r>
                </m:e>
                <m:sub>
                  <m:r>
                    <m:t>R</m:t>
                  </m:r>
                </m:sub>
              </m:sSub>
              <m:r>
                <m:rPr>
                  <m:sty m:val="p"/>
                </m:rPr>
                <m:t>,</m:t>
              </m:r>
              <m:sSub>
                <m:e>
                  <m:r>
                    <m:t>S</m:t>
                  </m:r>
                </m:e>
                <m:sub>
                  <m:r>
                    <m:t>W</m:t>
                  </m:r>
                </m:sub>
              </m:sSub>
            </m:oMath>
          </w:p>
        </w:tc>
        <w:tc>
          <w:tcPr/>
          <w:p>
            <w:pPr>
              <w:pStyle w:val="Compact"/>
              <w:jc w:val="left"/>
            </w:pPr>
            <w:r>
              <w:t xml:space="preserve">The sets of replicas that answered a read and acknowledged a write</w:t>
            </w:r>
          </w:p>
        </w:tc>
        <w:tc>
          <w:tcPr/>
          <w:p>
            <w:pPr>
              <w:pStyle w:val="Compact"/>
              <w:jc w:val="left"/>
            </w:pPr>
            <w:r>
              <w:t xml:space="preserve">sets</w:t>
            </w:r>
          </w:p>
        </w:tc>
      </w:tr>
      <w:tr>
        <w:tc>
          <w:tcPr/>
          <w:p>
            <w:pPr>
              <w:pStyle w:val="Compact"/>
              <w:jc w:val="left"/>
            </w:pPr>
            <m:oMath>
              <m:sSub>
                <m:e>
                  <m:r>
                    <m:t>f</m:t>
                  </m:r>
                </m:e>
                <m:sub>
                  <m:r>
                    <m:rPr>
                      <m:nor/>
                      <m:sty m:val="p"/>
                    </m:rPr>
                    <m:t>read</m:t>
                  </m:r>
                </m:sub>
              </m:sSub>
              <m:r>
                <m:rPr>
                  <m:sty m:val="p"/>
                </m:rPr>
                <m:t>,</m:t>
              </m:r>
              <m:sSub>
                <m:e>
                  <m:r>
                    <m:t>f</m:t>
                  </m:r>
                </m:e>
                <m:sub>
                  <m:r>
                    <m:rPr>
                      <m:nor/>
                      <m:sty m:val="p"/>
                    </m:rPr>
                    <m:t>write</m:t>
                  </m:r>
                </m:sub>
              </m:sSub>
            </m:oMath>
          </w:p>
        </w:tc>
        <w:tc>
          <w:tcPr/>
          <w:p>
            <w:pPr>
              <w:pStyle w:val="Compact"/>
              <w:jc w:val="left"/>
            </w:pPr>
            <w:r>
              <w:t xml:space="preserve">Unavailable replicas a read or write can tolerate</w:t>
            </w:r>
          </w:p>
        </w:tc>
        <w:tc>
          <w:tcPr/>
          <w:p>
            <w:pPr>
              <w:pStyle w:val="Compact"/>
              <w:jc w:val="left"/>
            </w:pPr>
            <w:r>
              <w:t xml:space="preserve">replicas</w:t>
            </w:r>
          </w:p>
        </w:tc>
      </w:tr>
    </w:tbl>
    <w:p>
      <w:pPr>
        <w:pStyle w:val="BodyText"/>
      </w:pPr>
      <w:r>
        <w:rPr>
          <w:bCs/>
          <w:b/>
        </w:rPr>
        <w:t xml:space="preserve">Derivation.</w:t>
      </w:r>
      <w:r>
        <w:t xml:space="preserve"> </w:t>
      </w:r>
      <w:r>
        <w:t xml:space="preserve">Both sets are drawn from</w:t>
      </w:r>
      <w:r>
        <w:t xml:space="preserve"> </w:t>
      </w:r>
      <m:oMath>
        <m:r>
          <m:t>N</m:t>
        </m:r>
      </m:oMath>
      <w:r>
        <w:t xml:space="preserve"> </w:t>
      </w:r>
      <w:r>
        <w:t xml:space="preserve">replicas, so</w:t>
      </w:r>
      <w:r>
        <w:t xml:space="preserve"> </w:t>
      </w:r>
      <m:oMath>
        <m:d>
          <m:dPr>
            <m:begChr m:val="|"/>
            <m:endChr m:val="|"/>
            <m:sepChr m:val=""/>
            <m:grow/>
          </m:dPr>
          <m:e>
            <m:sSub>
              <m:e>
                <m:r>
                  <m:t>S</m:t>
                </m:r>
              </m:e>
              <m:sub>
                <m:r>
                  <m:t>R</m:t>
                </m:r>
              </m:sub>
            </m:sSub>
            <m:r>
              <m:rPr>
                <m:sty m:val="p"/>
              </m:rPr>
              <m:t>∪</m:t>
            </m:r>
            <m:sSub>
              <m:e>
                <m:r>
                  <m:t>S</m:t>
                </m:r>
              </m:e>
              <m:sub>
                <m:r>
                  <m:t>W</m:t>
                </m:r>
              </m:sub>
            </m:sSub>
          </m:e>
        </m:d>
        <m:r>
          <m:rPr>
            <m:sty m:val="p"/>
          </m:rPr>
          <m:t>≤</m:t>
        </m:r>
        <m:r>
          <m:t>N</m:t>
        </m:r>
      </m:oMath>
      <w:r>
        <w:t xml:space="preserve">. Since</w:t>
      </w:r>
      <w:r>
        <w:t xml:space="preserve"> </w:t>
      </w:r>
      <m:oMath>
        <m:d>
          <m:dPr>
            <m:begChr m:val="|"/>
            <m:endChr m:val="|"/>
            <m:sepChr m:val=""/>
            <m:grow/>
          </m:dPr>
          <m:e>
            <m:sSub>
              <m:e>
                <m:r>
                  <m:t>S</m:t>
                </m:r>
              </m:e>
              <m:sub>
                <m:r>
                  <m:t>R</m:t>
                </m:r>
              </m:sub>
            </m:sSub>
            <m:r>
              <m:rPr>
                <m:sty m:val="p"/>
              </m:rPr>
              <m:t>∩</m:t>
            </m:r>
            <m:sSub>
              <m:e>
                <m:r>
                  <m:t>S</m:t>
                </m:r>
              </m:e>
              <m:sub>
                <m:r>
                  <m:t>W</m:t>
                </m:r>
              </m:sub>
            </m:sSub>
          </m:e>
        </m:d>
        <m:r>
          <m:rPr>
            <m:sty m:val="p"/>
          </m:rPr>
          <m:t>=</m:t>
        </m:r>
        <m:d>
          <m:dPr>
            <m:begChr m:val="|"/>
            <m:endChr m:val="|"/>
            <m:sepChr m:val=""/>
            <m:grow/>
          </m:dPr>
          <m:e>
            <m:sSub>
              <m:e>
                <m:r>
                  <m:t>S</m:t>
                </m:r>
              </m:e>
              <m:sub>
                <m:r>
                  <m:t>R</m:t>
                </m:r>
              </m:sub>
            </m:sSub>
          </m:e>
        </m:d>
        <m:r>
          <m:rPr>
            <m:sty m:val="p"/>
          </m:rPr>
          <m:t>+</m:t>
        </m:r>
        <m:d>
          <m:dPr>
            <m:begChr m:val="|"/>
            <m:endChr m:val="|"/>
            <m:sepChr m:val=""/>
            <m:grow/>
          </m:dPr>
          <m:e>
            <m:sSub>
              <m:e>
                <m:r>
                  <m:t>S</m:t>
                </m:r>
              </m:e>
              <m:sub>
                <m:r>
                  <m:t>W</m:t>
                </m:r>
              </m:sub>
            </m:sSub>
          </m:e>
        </m:d>
        <m:r>
          <m:rPr>
            <m:sty m:val="p"/>
          </m:rPr>
          <m:t>−</m:t>
        </m:r>
        <m:d>
          <m:dPr>
            <m:begChr m:val="|"/>
            <m:endChr m:val="|"/>
            <m:sepChr m:val=""/>
            <m:grow/>
          </m:dPr>
          <m:e>
            <m:sSub>
              <m:e>
                <m:r>
                  <m:t>S</m:t>
                </m:r>
              </m:e>
              <m:sub>
                <m:r>
                  <m:t>R</m:t>
                </m:r>
              </m:sub>
            </m:sSub>
            <m:r>
              <m:rPr>
                <m:sty m:val="p"/>
              </m:rPr>
              <m:t>∪</m:t>
            </m:r>
            <m:sSub>
              <m:e>
                <m:r>
                  <m:t>S</m:t>
                </m:r>
              </m:e>
              <m:sub>
                <m:r>
                  <m:t>W</m:t>
                </m:r>
              </m:sub>
            </m:sSub>
          </m:e>
        </m:d>
      </m:oMath>
      <w:r>
        <w:t xml:space="preserve">, the overlap is at least</w:t>
      </w:r>
      <w:r>
        <w:t xml:space="preserve"> </w:t>
      </w:r>
      <m:oMath>
        <m:r>
          <m:t>R</m:t>
        </m:r>
        <m:r>
          <m:rPr>
            <m:sty m:val="p"/>
          </m:rPr>
          <m:t>+</m:t>
        </m:r>
        <m:r>
          <m:t>W</m:t>
        </m:r>
        <m:r>
          <m:rPr>
            <m:sty m:val="p"/>
          </m:rPr>
          <m:t>−</m:t>
        </m:r>
        <m:r>
          <m:t>N</m:t>
        </m:r>
      </m:oMath>
      <w:r>
        <w:t xml:space="preserve">, which is at least 1 exactly when</w:t>
      </w:r>
      <w:r>
        <w:t xml:space="preserve"> </w:t>
      </w:r>
      <m:oMath>
        <m:r>
          <m:t>R</m:t>
        </m:r>
        <m:r>
          <m:rPr>
            <m:sty m:val="p"/>
          </m:rPr>
          <m:t>+</m:t>
        </m:r>
        <m:r>
          <m:t>W</m:t>
        </m:r>
        <m:r>
          <m:rPr>
            <m:sty m:val="p"/>
          </m:rPr>
          <m:t>&gt;</m:t>
        </m:r>
        <m:r>
          <m:t>N</m:t>
        </m:r>
      </m:oMath>
      <w:r>
        <w:t xml:space="preserve">.</w:t>
      </w:r>
    </w:p>
    <w:p>
      <w:pPr>
        <w:pStyle w:val="CalloutExample"/>
      </w:pPr>
      <w:r>
        <w:rPr>
          <w:bCs/>
          <w:b/>
        </w:rPr>
        <w:t xml:space="preserve">WORKED EXAMPLE</w:t>
      </w:r>
    </w:p>
    <w:p>
      <w:pPr>
        <w:pStyle w:val="CalloutExample"/>
      </w:pPr>
      <w:r>
        <w:rPr>
          <w:bCs/>
          <w:b/>
        </w:rPr>
        <w:t xml:space="preserve">Worked example — The N = 3 configurations.</w:t>
      </w:r>
    </w:p>
    <w:p>
      <w:pPr>
        <w:numPr>
          <w:ilvl w:val="0"/>
          <w:numId w:val="1877"/>
        </w:numPr>
        <w:pStyle w:val="Compact"/>
      </w:pPr>
      <m:oMath>
        <m:r>
          <m:t>R</m:t>
        </m:r>
        <m:r>
          <m:rPr>
            <m:sty m:val="p"/>
          </m:rPr>
          <m:t>=</m:t>
        </m:r>
        <m:r>
          <m:t>2</m:t>
        </m:r>
        <m:r>
          <m:rPr>
            <m:sty m:val="p"/>
          </m:rPr>
          <m:t>,</m:t>
        </m:r>
        <m:r>
          <m:t>W</m:t>
        </m:r>
        <m:r>
          <m:rPr>
            <m:sty m:val="p"/>
          </m:rPr>
          <m:t>=</m:t>
        </m:r>
        <m:r>
          <m:t>2</m:t>
        </m:r>
      </m:oMath>
      <w:r>
        <w:t xml:space="preserve">: overlap</w:t>
      </w:r>
      <w:r>
        <w:t xml:space="preserve"> </w:t>
      </w:r>
      <m:oMath>
        <m:r>
          <m:rPr>
            <m:sty m:val="p"/>
          </m:rPr>
          <m:t>≥</m:t>
        </m:r>
        <m:r>
          <m:t>1</m:t>
        </m:r>
      </m:oMath>
      <w:r>
        <w:t xml:space="preserve">. Reads and writes each survive one unavailable replica. This is Dynamo’s common configuration and Cassandra’s</w:t>
      </w:r>
      <w:r>
        <w:t xml:space="preserve"> </w:t>
      </w:r>
      <w:r>
        <w:rPr>
          <w:rStyle w:val="VerbatimChar"/>
        </w:rPr>
        <w:t xml:space="preserve">QUORUM</w:t>
      </w:r>
      <w:r>
        <w:t xml:space="preserve"> </w:t>
      </w:r>
      <w:r>
        <w:t xml:space="preserve">with RF = 3.</w:t>
      </w:r>
    </w:p>
    <w:p>
      <w:pPr>
        <w:numPr>
          <w:ilvl w:val="0"/>
          <w:numId w:val="1877"/>
        </w:numPr>
        <w:pStyle w:val="Compact"/>
      </w:pPr>
      <m:oMath>
        <m:r>
          <m:t>R</m:t>
        </m:r>
        <m:r>
          <m:rPr>
            <m:sty m:val="p"/>
          </m:rPr>
          <m:t>=</m:t>
        </m:r>
        <m:r>
          <m:t>1</m:t>
        </m:r>
        <m:r>
          <m:rPr>
            <m:sty m:val="p"/>
          </m:rPr>
          <m:t>,</m:t>
        </m:r>
        <m:r>
          <m:t>W</m:t>
        </m:r>
        <m:r>
          <m:rPr>
            <m:sty m:val="p"/>
          </m:rPr>
          <m:t>=</m:t>
        </m:r>
        <m:r>
          <m:t>3</m:t>
        </m:r>
      </m:oMath>
      <w:r>
        <w:t xml:space="preserve">: overlap</w:t>
      </w:r>
      <w:r>
        <w:t xml:space="preserve"> </w:t>
      </w:r>
      <m:oMath>
        <m:r>
          <m:rPr>
            <m:sty m:val="p"/>
          </m:rPr>
          <m:t>≥</m:t>
        </m:r>
        <m:r>
          <m:t>1</m:t>
        </m:r>
      </m:oMath>
      <w:r>
        <w:t xml:space="preserve">. Reads are fastest and survive two failures, but a single unavailable replica blocks every write.</w:t>
      </w:r>
    </w:p>
    <w:p>
      <w:pPr>
        <w:numPr>
          <w:ilvl w:val="0"/>
          <w:numId w:val="1877"/>
        </w:numPr>
        <w:pStyle w:val="Compact"/>
      </w:pPr>
      <m:oMath>
        <m:r>
          <m:t>R</m:t>
        </m:r>
        <m:r>
          <m:rPr>
            <m:sty m:val="p"/>
          </m:rPr>
          <m:t>=</m:t>
        </m:r>
        <m:r>
          <m:t>3</m:t>
        </m:r>
        <m:r>
          <m:rPr>
            <m:sty m:val="p"/>
          </m:rPr>
          <m:t>,</m:t>
        </m:r>
        <m:r>
          <m:t>W</m:t>
        </m:r>
        <m:r>
          <m:rPr>
            <m:sty m:val="p"/>
          </m:rPr>
          <m:t>=</m:t>
        </m:r>
        <m:r>
          <m:t>1</m:t>
        </m:r>
      </m:oMath>
      <w:r>
        <w:t xml:space="preserve">: overlap</w:t>
      </w:r>
      <w:r>
        <w:t xml:space="preserve"> </w:t>
      </w:r>
      <m:oMath>
        <m:r>
          <m:rPr>
            <m:sty m:val="p"/>
          </m:rPr>
          <m:t>≥</m:t>
        </m:r>
        <m:r>
          <m:t>1</m:t>
        </m:r>
      </m:oMath>
      <w:r>
        <w:t xml:space="preserve">. Writes survive two failures; a single unavailable replica blocks strong reads.</w:t>
      </w:r>
    </w:p>
    <w:p>
      <w:pPr>
        <w:numPr>
          <w:ilvl w:val="0"/>
          <w:numId w:val="1877"/>
        </w:numPr>
        <w:pStyle w:val="Compact"/>
      </w:pPr>
      <m:oMath>
        <m:r>
          <m:t>R</m:t>
        </m:r>
        <m:r>
          <m:rPr>
            <m:sty m:val="p"/>
          </m:rPr>
          <m:t>=</m:t>
        </m:r>
        <m:r>
          <m:t>1</m:t>
        </m:r>
        <m:r>
          <m:rPr>
            <m:sty m:val="p"/>
          </m:rPr>
          <m:t>,</m:t>
        </m:r>
        <m:r>
          <m:t>W</m:t>
        </m:r>
        <m:r>
          <m:rPr>
            <m:sty m:val="p"/>
          </m:rPr>
          <m:t>=</m:t>
        </m:r>
        <m:r>
          <m:t>1</m:t>
        </m:r>
      </m:oMath>
      <w:r>
        <w:t xml:space="preserve">: overlap</w:t>
      </w:r>
      <w:r>
        <w:t xml:space="preserve"> </w:t>
      </w:r>
      <m:oMath>
        <m:r>
          <m:rPr>
            <m:sty m:val="p"/>
          </m:rPr>
          <m:t>≥</m:t>
        </m:r>
        <m:r>
          <m:rPr>
            <m:sty m:val="p"/>
          </m:rPr>
          <m:t>−</m:t>
        </m:r>
        <m:r>
          <m:t>1</m:t>
        </m:r>
      </m:oMath>
      <w:r>
        <w:t xml:space="preserve">, meaning none is guaranteed. A read can miss the latest write entirely. This is</w:t>
      </w:r>
      <w:r>
        <w:t xml:space="preserve"> </w:t>
      </w:r>
      <w:r>
        <w:rPr>
          <w:rStyle w:val="VerbatimChar"/>
        </w:rPr>
        <w:t xml:space="preserve">ONE</w:t>
      </w:r>
      <w:r>
        <w:t xml:space="preserve">/</w:t>
      </w:r>
      <w:r>
        <w:rPr>
          <w:rStyle w:val="VerbatimChar"/>
        </w:rPr>
        <w:t xml:space="preserve">ONE</w:t>
      </w:r>
      <w:r>
        <w:t xml:space="preserve">: fast and available, eventually consistent.</w:t>
      </w:r>
    </w:p>
    <w:p>
      <w:pPr>
        <w:numPr>
          <w:ilvl w:val="0"/>
          <w:numId w:val="1877"/>
        </w:numPr>
        <w:pStyle w:val="Compact"/>
      </w:pPr>
      <m:oMath>
        <m:r>
          <m:t>R</m:t>
        </m:r>
        <m:r>
          <m:rPr>
            <m:sty m:val="p"/>
          </m:rPr>
          <m:t>=</m:t>
        </m:r>
        <m:r>
          <m:t>2</m:t>
        </m:r>
        <m:r>
          <m:rPr>
            <m:sty m:val="p"/>
          </m:rPr>
          <m:t>,</m:t>
        </m:r>
        <m:r>
          <m:t>W</m:t>
        </m:r>
        <m:r>
          <m:rPr>
            <m:sty m:val="p"/>
          </m:rPr>
          <m:t>=</m:t>
        </m:r>
        <m:r>
          <m:t>1</m:t>
        </m:r>
      </m:oMath>
      <w:r>
        <w:t xml:space="preserve"> </w:t>
      </w:r>
      <w:r>
        <w:t xml:space="preserve">or</w:t>
      </w:r>
      <w:r>
        <w:t xml:space="preserve"> </w:t>
      </w:r>
      <m:oMath>
        <m:r>
          <m:t>R</m:t>
        </m:r>
        <m:r>
          <m:rPr>
            <m:sty m:val="p"/>
          </m:rPr>
          <m:t>=</m:t>
        </m:r>
        <m:r>
          <m:t>1</m:t>
        </m:r>
        <m:r>
          <m:rPr>
            <m:sty m:val="p"/>
          </m:rPr>
          <m:t>,</m:t>
        </m:r>
        <m:r>
          <m:t>W</m:t>
        </m:r>
        <m:r>
          <m:rPr>
            <m:sty m:val="p"/>
          </m:rPr>
          <m:t>=</m:t>
        </m:r>
        <m:r>
          <m:t>2</m:t>
        </m:r>
      </m:oMath>
      <w:r>
        <w:t xml:space="preserve">:</w:t>
      </w:r>
      <w:r>
        <w:t xml:space="preserve"> </w:t>
      </w:r>
      <m:oMath>
        <m:r>
          <m:t>R</m:t>
        </m:r>
        <m:r>
          <m:rPr>
            <m:sty m:val="p"/>
          </m:rPr>
          <m:t>+</m:t>
        </m:r>
        <m:r>
          <m:t>W</m:t>
        </m:r>
        <m:r>
          <m:rPr>
            <m:sty m:val="p"/>
          </m:rPr>
          <m:t>=</m:t>
        </m:r>
        <m:r>
          <m:t>3</m:t>
        </m:r>
        <m:r>
          <m:rPr>
            <m:sty m:val="p"/>
          </m:rPr>
          <m:t>=</m:t>
        </m:r>
        <m:r>
          <m:t>N</m:t>
        </m:r>
      </m:oMath>
      <w:r>
        <w:t xml:space="preserve">, no guaranteed overlap.</w:t>
      </w:r>
    </w:p>
    <w:p>
      <w:pPr>
        <w:pStyle w:val="CalloutExample"/>
      </w:pPr>
      <w:r>
        <w:rPr>
          <w:bCs/>
          <w:b/>
        </w:rPr>
        <w:t xml:space="preserve">Interpretation.</w:t>
      </w:r>
      <w:r>
        <w:t xml:space="preserve"> </w:t>
      </w:r>
      <m:oMath>
        <m:r>
          <m:t>R</m:t>
        </m:r>
        <m:r>
          <m:rPr>
            <m:sty m:val="p"/>
          </m:rPr>
          <m:t>+</m:t>
        </m:r>
        <m:r>
          <m:t>W</m:t>
        </m:r>
        <m:r>
          <m:rPr>
            <m:sty m:val="p"/>
          </m:rPr>
          <m:t>&gt;</m:t>
        </m:r>
        <m:r>
          <m:t>N</m:t>
        </m:r>
      </m:oMath>
      <w:r>
        <w:t xml:space="preserve"> </w:t>
      </w:r>
      <w:r>
        <w:t xml:space="preserve">trades read cost against write cost along a line; it does not change total fault tolerance much.</w:t>
      </w:r>
      <w:r>
        <w:t xml:space="preserve"> </w:t>
      </w:r>
      <w:r>
        <w:rPr>
          <w:bCs/>
          <w:b/>
        </w:rPr>
        <w:t xml:space="preserve">Engineering implication.</w:t>
      </w:r>
      <w:r>
        <w:t xml:space="preserve"> </w:t>
      </w:r>
      <w:r>
        <w:t xml:space="preserve">Choose</w:t>
      </w:r>
      <w:r>
        <w:t xml:space="preserve"> </w:t>
      </w:r>
      <m:oMath>
        <m:r>
          <m:t>W</m:t>
        </m:r>
      </m:oMath>
      <w:r>
        <w:t xml:space="preserve"> </w:t>
      </w:r>
      <w:r>
        <w:t xml:space="preserve">by how many failures writes must survive and how slow a write may be, then set</w:t>
      </w:r>
      <w:r>
        <w:t xml:space="preserve"> </w:t>
      </w:r>
      <m:oMath>
        <m:r>
          <m:t>R</m:t>
        </m:r>
        <m:r>
          <m:rPr>
            <m:sty m:val="p"/>
          </m:rPr>
          <m:t>=</m:t>
        </m:r>
        <m:r>
          <m:t>N</m:t>
        </m:r>
        <m:r>
          <m:rPr>
            <m:sty m:val="p"/>
          </m:rPr>
          <m:t>−</m:t>
        </m:r>
        <m:r>
          <m:t>W</m:t>
        </m:r>
        <m:r>
          <m:rPr>
            <m:sty m:val="p"/>
          </m:rPr>
          <m:t>+</m:t>
        </m:r>
        <m:r>
          <m:t>1</m:t>
        </m:r>
      </m:oMath>
      <w:r>
        <w:t xml:space="preserve">, the cheapest read that still overlaps.</w:t>
      </w:r>
    </w:p>
    <w:bookmarkEnd w:id="3054"/>
    <w:bookmarkStart w:id="3058" w:name="what-r-w-n-does-not-guarantee"/>
    <w:p>
      <w:pPr>
        <w:pStyle w:val="Heading3"/>
      </w:pPr>
      <w:r>
        <w:t xml:space="preserve">27.8.2 What R + W &gt; N does not guarantee</w:t>
      </w:r>
    </w:p>
    <w:p>
      <w:pPr>
        <w:pStyle w:val="FirstParagraph"/>
      </w:pPr>
      <w:r>
        <w:t xml:space="preserve">The overlap argument says that</w:t>
      </w:r>
      <w:r>
        <w:t xml:space="preserve"> </w:t>
      </w:r>
      <w:r>
        <w:rPr>
          <w:iCs/>
          <w:i/>
        </w:rPr>
        <w:t xml:space="preserve">some</w:t>
      </w:r>
      <w:r>
        <w:t xml:space="preserve"> </w:t>
      </w:r>
      <w:r>
        <w:t xml:space="preserve">replica in every read set holds the latest</w:t>
      </w:r>
      <w:r>
        <w:t xml:space="preserve"> </w:t>
      </w:r>
      <w:r>
        <w:rPr>
          <w:iCs/>
          <w:i/>
        </w:rPr>
        <w:t xml:space="preserve">completed</w:t>
      </w:r>
      <w:r>
        <w:t xml:space="preserve"> </w:t>
      </w:r>
      <w:r>
        <w:t xml:space="preserve">write. It is tempting to conclude that quorum reads are linearizable (§25.3). They are not, for five reasons [Kleppmann 2017, ch. 5]:</w:t>
      </w:r>
    </w:p>
    <w:p>
      <w:pPr>
        <w:numPr>
          <w:ilvl w:val="0"/>
          <w:numId w:val="1878"/>
        </w:numPr>
        <w:pStyle w:val="Compact"/>
      </w:pPr>
      <w:r>
        <w:rPr>
          <w:bCs/>
          <w:b/>
        </w:rPr>
        <w:t xml:space="preserve">Concurrent writes.</w:t>
      </w:r>
      <w:r>
        <w:t xml:space="preserve"> </w:t>
      </w:r>
      <w:r>
        <w:t xml:space="preserve">Two clients write the same key at the same time and their writes reach replicas in different orders. Overlap guarantees you see both, not that there is an agreed winner. With timestamps (last-writer-wins), one write is silently dropped (§27.14).</w:t>
      </w:r>
    </w:p>
    <w:p>
      <w:pPr>
        <w:numPr>
          <w:ilvl w:val="0"/>
          <w:numId w:val="1878"/>
        </w:numPr>
        <w:pStyle w:val="Compact"/>
      </w:pPr>
      <w:r>
        <w:rPr>
          <w:bCs/>
          <w:b/>
        </w:rPr>
        <w:t xml:space="preserve">A write concurrent with a read.</w:t>
      </w:r>
      <w:r>
        <w:t xml:space="preserve"> </w:t>
      </w:r>
      <w:r>
        <w:t xml:space="preserve">If a write has reached only some replicas when a read arrives, the read may or may not see it.</w:t>
      </w:r>
    </w:p>
    <w:p>
      <w:pPr>
        <w:numPr>
          <w:ilvl w:val="0"/>
          <w:numId w:val="1878"/>
        </w:numPr>
        <w:pStyle w:val="Compact"/>
      </w:pPr>
      <w:r>
        <w:rPr>
          <w:bCs/>
          <w:b/>
        </w:rPr>
        <w:t xml:space="preserve">Failed writes leave partial state.</w:t>
      </w:r>
      <w:r>
        <w:t xml:space="preserve"> </w:t>
      </w:r>
      <w:r>
        <w:t xml:space="preserve">If a write reaches one replica but fewer than</w:t>
      </w:r>
      <w:r>
        <w:t xml:space="preserve"> </w:t>
      </w:r>
      <m:oMath>
        <m:r>
          <m:t>W</m:t>
        </m:r>
      </m:oMath>
      <w:r>
        <w:t xml:space="preserve">, the client is told it failed, but the one replica is not rolled back. Later reads may return the</w:t>
      </w:r>
      <w:r>
        <w:t xml:space="preserve"> </w:t>
      </w:r>
      <w:r>
        <w:t xml:space="preserve">“</w:t>
      </w:r>
      <w:r>
        <w:t xml:space="preserve">failed</w:t>
      </w:r>
      <w:r>
        <w:t xml:space="preserve">”</w:t>
      </w:r>
      <w:r>
        <w:t xml:space="preserve"> </w:t>
      </w:r>
      <w:r>
        <w:t xml:space="preserve">value, and may later stop returning it.</w:t>
      </w:r>
    </w:p>
    <w:p>
      <w:pPr>
        <w:numPr>
          <w:ilvl w:val="0"/>
          <w:numId w:val="1878"/>
        </w:numPr>
        <w:pStyle w:val="Compact"/>
      </w:pPr>
      <w:r>
        <w:rPr>
          <w:bCs/>
          <w:b/>
        </w:rPr>
        <w:t xml:space="preserve">Sloppy quorums.</w:t>
      </w:r>
      <w:r>
        <w:t xml:space="preserve"> </w:t>
      </w:r>
      <w:r>
        <w:t xml:space="preserve">If writes may go to substitute nodes outside the key’s</w:t>
      </w:r>
      <w:r>
        <w:t xml:space="preserve"> </w:t>
      </w:r>
      <m:oMath>
        <m:r>
          <m:t>N</m:t>
        </m:r>
      </m:oMath>
      <w:r>
        <w:t xml:space="preserve"> </w:t>
      </w:r>
      <w:r>
        <w:t xml:space="preserve">home replicas (§27.9), the read and write sets need not intersect at all.</w:t>
      </w:r>
    </w:p>
    <w:p>
      <w:pPr>
        <w:numPr>
          <w:ilvl w:val="0"/>
          <w:numId w:val="1878"/>
        </w:numPr>
        <w:pStyle w:val="Compact"/>
      </w:pPr>
      <w:r>
        <w:rPr>
          <w:bCs/>
          <w:b/>
        </w:rPr>
        <w:t xml:space="preserve">Lost replicas.</w:t>
      </w:r>
      <w:r>
        <w:t xml:space="preserve"> </w:t>
      </w:r>
      <w:r>
        <w:t xml:space="preserve">If a replica holding the new value fails and is rebuilt from a replica with the old value, the number of copies of the new value can fall below</w:t>
      </w:r>
      <w:r>
        <w:t xml:space="preserve"> </w:t>
      </w:r>
      <m:oMath>
        <m:r>
          <m:t>W</m:t>
        </m:r>
      </m:oMath>
      <w:r>
        <w:t xml:space="preserve">.</w:t>
      </w:r>
    </w:p>
    <w:p>
      <w:pPr>
        <w:pStyle w:val="FirstParagraph"/>
      </w:pPr>
      <w:r>
        <w:rPr>
          <w:bCs/>
          <w:b/>
        </w:rPr>
        <w:t xml:space="preserve">Figure 27.7 — R = W = 2, N = 3, and a read that goes back in time.</w:t>
      </w:r>
    </w:p>
    <w:p>
      <w:pPr>
        <w:pStyle w:val="BodyText"/>
      </w:pPr>
      <w:r>
        <w:drawing>
          <wp:inline>
            <wp:extent cx="5334000" cy="2999609"/>
            <wp:effectExtent b="0" l="0" r="0" t="0"/>
            <wp:docPr descr="" title="" id="3056" name="Picture"/>
            <a:graphic>
              <a:graphicData uri="http://schemas.openxmlformats.org/drawingml/2006/picture">
                <pic:pic>
                  <pic:nvPicPr>
                    <pic:cNvPr descr="/home/user/System-Design/build/.cache/diagrams/cbc48aa412aa.png" id="3057" name="Picture"/>
                    <pic:cNvPicPr>
                      <a:picLocks noChangeArrowheads="1" noChangeAspect="1"/>
                    </pic:cNvPicPr>
                  </pic:nvPicPr>
                  <pic:blipFill>
                    <a:blip r:embed="rId3055"/>
                    <a:stretch>
                      <a:fillRect/>
                    </a:stretch>
                  </pic:blipFill>
                  <pic:spPr bwMode="auto">
                    <a:xfrm>
                      <a:off x="0" y="0"/>
                      <a:ext cx="5334000" cy="2999609"/>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All calls are synchronous RPCs. The writer’s update has reached only replica A. Reader 1 happens to include A in its quorum and returns</w:t>
      </w:r>
      <w:r>
        <w:t xml:space="preserve"> </w:t>
      </w:r>
      <w:r>
        <w:rPr>
          <w:rStyle w:val="VerbatimChar"/>
        </w:rPr>
        <w:t xml:space="preserve">new</w:t>
      </w:r>
      <w:r>
        <w:t xml:space="preserve">. Reader 2 starts strictly after Reader 1 finished but picks B and C, both still</w:t>
      </w:r>
      <w:r>
        <w:t xml:space="preserve"> </w:t>
      </w:r>
      <w:r>
        <w:rPr>
          <w:rStyle w:val="VerbatimChar"/>
        </w:rPr>
        <w:t xml:space="preserve">old</w:t>
      </w:r>
      <w:r>
        <w:t xml:space="preserve">. Each read overlapped every</w:t>
      </w:r>
      <w:r>
        <w:t xml:space="preserve"> </w:t>
      </w:r>
      <w:r>
        <w:rPr>
          <w:iCs/>
          <w:i/>
        </w:rPr>
        <w:t xml:space="preserve">completed</w:t>
      </w:r>
      <w:r>
        <w:t xml:space="preserve"> </w:t>
      </w:r>
      <w:r>
        <w:t xml:space="preserve">write (none has completed yet), so</w:t>
      </w:r>
      <w:r>
        <w:t xml:space="preserve"> </w:t>
      </w:r>
      <m:oMath>
        <m:r>
          <m:t>R</m:t>
        </m:r>
        <m:r>
          <m:rPr>
            <m:sty m:val="p"/>
          </m:rPr>
          <m:t>+</m:t>
        </m:r>
        <m:r>
          <m:t>W</m:t>
        </m:r>
        <m:r>
          <m:rPr>
            <m:sty m:val="p"/>
          </m:rPr>
          <m:t>&gt;</m:t>
        </m:r>
        <m:r>
          <m:t>N</m:t>
        </m:r>
      </m:oMath>
      <w:r>
        <w:t xml:space="preserve"> </w:t>
      </w:r>
      <w:r>
        <w:t xml:space="preserve">is not violated, yet the history is not linearizable: a later read observed an earlier state. The fix is for Reader 1 to write</w:t>
      </w:r>
      <w:r>
        <w:t xml:space="preserve"> </w:t>
      </w:r>
      <w:r>
        <w:rPr>
          <w:rStyle w:val="VerbatimChar"/>
        </w:rPr>
        <w:t xml:space="preserve">new</w:t>
      </w:r>
      <w:r>
        <w:t xml:space="preserve"> </w:t>
      </w:r>
      <w:r>
        <w:t xml:space="preserve">back to a quorum before returning (</w:t>
      </w:r>
      <w:r>
        <w:rPr>
          <w:bCs/>
          <w:b/>
        </w:rPr>
        <w:t xml:space="preserve">blocking read repair</w:t>
      </w:r>
      <w:r>
        <w:t xml:space="preserve">, §27.13), which ABD-style register protocols do and which Cassandra performs for</w:t>
      </w:r>
      <w:r>
        <w:t xml:space="preserve"> </w:t>
      </w:r>
      <w:r>
        <w:rPr>
          <w:rStyle w:val="VerbatimChar"/>
        </w:rPr>
        <w:t xml:space="preserve">QUORUM</w:t>
      </w:r>
      <w:r>
        <w:t xml:space="preserve"> </w:t>
      </w:r>
      <w:r>
        <w:t xml:space="preserve">reads that find a mismatch. Even then, operations that need compare-and-set require consensus (Chapter 26).</w:t>
      </w:r>
    </w:p>
    <w:bookmarkEnd w:id="3058"/>
    <w:bookmarkStart w:id="3059" w:name="X72e49eff1de8921ef027d35cd5f05e4c1b24032"/>
    <w:p>
      <w:pPr>
        <w:pStyle w:val="Heading3"/>
      </w:pPr>
      <w:r>
        <w:t xml:space="preserve">27.8.3 Latency: waiting for the k-th fastest replica</w:t>
      </w:r>
    </w:p>
    <w:p>
      <w:pPr>
        <w:pStyle w:val="FirstParagraph"/>
      </w:pPr>
      <w:r>
        <w:t xml:space="preserve">A quorum operation sends to all</w:t>
      </w:r>
      <w:r>
        <w:t xml:space="preserve"> </w:t>
      </w:r>
      <m:oMath>
        <m:r>
          <m:t>N</m:t>
        </m:r>
      </m:oMath>
      <w:r>
        <w:t xml:space="preserve"> </w:t>
      </w:r>
      <w:r>
        <w:t xml:space="preserve">replicas and waits for the first</w:t>
      </w:r>
      <w:r>
        <w:t xml:space="preserve"> </w:t>
      </w:r>
      <m:oMath>
        <m:r>
          <m:t>k</m:t>
        </m:r>
      </m:oMath>
      <w:r>
        <w:t xml:space="preserve"> </w:t>
      </w:r>
      <w:r>
        <w:t xml:space="preserve">replies, where</w:t>
      </w:r>
      <w:r>
        <w:t xml:space="preserve"> </w:t>
      </w:r>
      <m:oMath>
        <m:r>
          <m:t>k</m:t>
        </m:r>
        <m:r>
          <m:rPr>
            <m:sty m:val="p"/>
          </m:rPr>
          <m:t>=</m:t>
        </m:r>
        <m:r>
          <m:t>W</m:t>
        </m:r>
      </m:oMath>
      <w:r>
        <w:t xml:space="preserve"> </w:t>
      </w:r>
      <w:r>
        <w:t xml:space="preserve">for writes and</w:t>
      </w:r>
      <w:r>
        <w:t xml:space="preserve"> </w:t>
      </w:r>
      <m:oMath>
        <m:r>
          <m:t>k</m:t>
        </m:r>
        <m:r>
          <m:rPr>
            <m:sty m:val="p"/>
          </m:rPr>
          <m:t>=</m:t>
        </m:r>
        <m:r>
          <m:t>R</m:t>
        </m:r>
      </m:oMath>
      <w:r>
        <w:t xml:space="preserve"> </w:t>
      </w:r>
      <w:r>
        <w:t xml:space="preserve">for reads. Its latency is the</w:t>
      </w:r>
      <w:r>
        <w:t xml:space="preserve"> </w:t>
      </w:r>
      <m:oMath>
        <m:r>
          <m:t>k</m:t>
        </m:r>
      </m:oMath>
      <w:r>
        <w:rPr>
          <w:bCs/>
          <w:b/>
        </w:rPr>
        <w:t xml:space="preserve">-th order statistic</w:t>
      </w:r>
      <w:r>
        <w:t xml:space="preserve"> </w:t>
      </w:r>
      <w:r>
        <w:t xml:space="preserve">of the replica latencies: waiting for fewer replies hides the slow ones.</w:t>
      </w:r>
    </w:p>
    <w:p>
      <w:pPr>
        <w:pStyle w:val="CalloutFormula"/>
      </w:pPr>
      <w:r>
        <w:rPr>
          <w:bCs/>
          <w:b/>
        </w:rPr>
        <w:t xml:space="preserve">FORMULA</w:t>
      </w:r>
    </w:p>
    <w:p>
      <w:pPr>
        <w:pStyle w:val="CalloutFormula"/>
      </w:pPr>
      <w:r>
        <w:rPr>
          <w:bCs/>
          <w:b/>
        </w:rPr>
        <w:t xml:space="preserve">Latency of the k-th fastest of N replicas (independent, identically distributed)</w:t>
      </w:r>
    </w:p>
    <w:p>
      <w:pPr>
        <w:pStyle w:val="CalloutFormula"/>
      </w:pPr>
      <m:oMathPara>
        <m:oMathParaPr>
          <m:jc m:val="center"/>
        </m:oMathParaPr>
        <m:oMath>
          <m:r>
            <m:t>P</m:t>
          </m:r>
          <m:d>
            <m:dPr>
              <m:begChr m:val="("/>
              <m:endChr m:val=")"/>
              <m:sepChr m:val=""/>
              <m:grow/>
            </m:dPr>
            <m:e>
              <m:sSub>
                <m:e>
                  <m:r>
                    <m:t>T</m:t>
                  </m:r>
                </m:e>
                <m:sub>
                  <m:d>
                    <m:dPr>
                      <m:begChr m:val="("/>
                      <m:endChr m:val=")"/>
                      <m:sepChr m:val=""/>
                      <m:grow/>
                    </m:dPr>
                    <m:e>
                      <m:r>
                        <m:t>k</m:t>
                      </m:r>
                    </m:e>
                  </m:d>
                </m:sub>
              </m:sSub>
              <m:r>
                <m:rPr>
                  <m:sty m:val="p"/>
                </m:rPr>
                <m:t>&gt;</m:t>
              </m:r>
              <m:r>
                <m:t>t</m:t>
              </m:r>
            </m:e>
          </m:d>
          <m:r>
            <m:rPr>
              <m:sty m:val="p"/>
            </m:rPr>
            <m:t>=</m:t>
          </m:r>
          <m:nary>
            <m:naryPr>
              <m:chr m:val="∑"/>
              <m:limLoc m:val="undOvr"/>
              <m:subHide m:val="off"/>
              <m:supHide m:val="off"/>
            </m:naryPr>
            <m:sub>
              <m:r>
                <m:t>j</m:t>
              </m:r>
              <m:r>
                <m:rPr>
                  <m:sty m:val="p"/>
                </m:rPr>
                <m:t>=</m:t>
              </m:r>
              <m:r>
                <m:t>0</m:t>
              </m:r>
            </m:sub>
            <m:sup>
              <m:r>
                <m:t>k</m:t>
              </m:r>
              <m:r>
                <m:rPr>
                  <m:sty m:val="p"/>
                </m:rPr>
                <m:t>−</m:t>
              </m:r>
              <m:r>
                <m:t>1</m:t>
              </m:r>
            </m:sup>
            <m:e>
              <m:d>
                <m:dPr>
                  <m:begChr m:val="("/>
                  <m:endChr m:val=")"/>
                  <m:sepChr m:val=""/>
                  <m:grow/>
                </m:dPr>
                <m:e>
                  <m:f>
                    <m:fPr>
                      <m:type m:val="noBar"/>
                    </m:fPr>
                    <m:num>
                      <m:r>
                        <m:t>N</m:t>
                      </m:r>
                    </m:num>
                    <m:den>
                      <m:r>
                        <m:t>j</m:t>
                      </m:r>
                    </m:den>
                  </m:f>
                </m:e>
              </m:d>
            </m:e>
          </m:nary>
          <m:r>
            <m:t>F</m:t>
          </m:r>
          <m:sSup>
            <m:e>
              <m:d>
                <m:dPr>
                  <m:begChr m:val="("/>
                  <m:endChr m:val=")"/>
                  <m:sepChr m:val=""/>
                  <m:grow/>
                </m:dPr>
                <m:e>
                  <m:r>
                    <m:t>t</m:t>
                  </m:r>
                </m:e>
              </m:d>
            </m:e>
            <m:sup>
              <m:r>
                <m:t>j</m:t>
              </m:r>
            </m:sup>
          </m:sSup>
          <m:r>
            <m:t> </m:t>
          </m:r>
          <m:r>
            <m:rPr>
              <m:sty m:val="p"/>
            </m:rPr>
            <m:t>(</m:t>
          </m:r>
          <m:r>
            <m:t>1</m:t>
          </m:r>
          <m:r>
            <m:rPr>
              <m:sty m:val="p"/>
            </m:rPr>
            <m:t>−</m:t>
          </m:r>
          <m:r>
            <m:t>F</m:t>
          </m:r>
          <m:d>
            <m:dPr>
              <m:begChr m:val="("/>
              <m:endChr m:val=")"/>
              <m:sepChr m:val=""/>
              <m:grow/>
            </m:dPr>
            <m:e>
              <m:r>
                <m:t>t</m:t>
              </m:r>
            </m:e>
          </m:d>
          <m:sSup>
            <m:e>
              <m:r>
                <m:rPr>
                  <m:sty m:val="p"/>
                </m:rPr>
                <m:t>)</m:t>
              </m:r>
            </m:e>
            <m:sup>
              <m:r>
                <m:t>N</m:t>
              </m:r>
              <m:r>
                <m:rPr>
                  <m:sty m:val="p"/>
                </m:rPr>
                <m:t>−</m:t>
              </m:r>
              <m:r>
                <m:t>j</m:t>
              </m:r>
            </m:sup>
          </m:sSup>
          <m:r>
            <m:t>  </m:t>
          </m:r>
          <m:r>
            <m:rPr>
              <m:sty m:val="p"/>
              <m:scr m:val="double-struck"/>
            </m:rPr>
            <m:t>E</m:t>
          </m:r>
          <m:d>
            <m:dPr>
              <m:begChr m:val="["/>
              <m:endChr m:val="]"/>
              <m:sepChr m:val=""/>
              <m:grow/>
            </m:dPr>
            <m:e>
              <m:sSub>
                <m:e>
                  <m:r>
                    <m:t>T</m:t>
                  </m:r>
                </m:e>
                <m:sub>
                  <m:d>
                    <m:dPr>
                      <m:begChr m:val="("/>
                      <m:endChr m:val=")"/>
                      <m:sepChr m:val=""/>
                      <m:grow/>
                    </m:dPr>
                    <m:e>
                      <m:r>
                        <m:t>k</m:t>
                      </m:r>
                    </m:e>
                  </m:d>
                </m:sub>
              </m:sSub>
            </m:e>
          </m:d>
          <m:r>
            <m:rPr>
              <m:sty m:val="p"/>
            </m:rPr>
            <m:t>=</m:t>
          </m:r>
          <m:r>
            <m:t>μ</m:t>
          </m:r>
          <m:nary>
            <m:naryPr>
              <m:chr m:val="∑"/>
              <m:limLoc m:val="undOvr"/>
              <m:subHide m:val="off"/>
              <m:supHide m:val="off"/>
            </m:naryPr>
            <m:sub>
              <m:r>
                <m:t>i</m:t>
              </m:r>
              <m:r>
                <m:rPr>
                  <m:sty m:val="p"/>
                </m:rPr>
                <m:t>=</m:t>
              </m:r>
              <m:r>
                <m:t>N</m:t>
              </m:r>
              <m:r>
                <m:rPr>
                  <m:sty m:val="p"/>
                </m:rPr>
                <m:t>−</m:t>
              </m:r>
              <m:r>
                <m:t>k</m:t>
              </m:r>
              <m:r>
                <m:rPr>
                  <m:sty m:val="p"/>
                </m:rPr>
                <m:t>+</m:t>
              </m:r>
              <m:r>
                <m:t>1</m:t>
              </m:r>
            </m:sub>
            <m:sup>
              <m:r>
                <m:t>N</m:t>
              </m:r>
            </m:sup>
            <m:e>
              <m:f>
                <m:fPr>
                  <m:type m:val="bar"/>
                </m:fPr>
                <m:num>
                  <m:r>
                    <m:t>1</m:t>
                  </m:r>
                </m:num>
                <m:den>
                  <m:r>
                    <m:t>i</m:t>
                  </m:r>
                </m:den>
              </m:f>
            </m:e>
          </m:nary>
          <m:r>
            <m:t> </m:t>
          </m:r>
          <m:r>
            <m:t> </m:t>
          </m:r>
          <m:r>
            <m:rPr>
              <m:nor/>
              <m:sty m:val="p"/>
            </m:rPr>
            <m:t>(exponential)</m:t>
          </m:r>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T</m:t>
                  </m:r>
                </m:e>
                <m:sub>
                  <m:d>
                    <m:dPr>
                      <m:begChr m:val="("/>
                      <m:endChr m:val=")"/>
                      <m:sepChr m:val=""/>
                      <m:grow/>
                    </m:dPr>
                    <m:e>
                      <m:r>
                        <m:t>k</m:t>
                      </m:r>
                    </m:e>
                  </m:d>
                </m:sub>
              </m:sSub>
            </m:oMath>
          </w:p>
        </w:tc>
        <w:tc>
          <w:tcPr/>
          <w:p>
            <w:pPr>
              <w:pStyle w:val="Compact"/>
              <w:jc w:val="left"/>
            </w:pPr>
            <w:r>
              <w:t xml:space="preserve">Time until the</w:t>
            </w:r>
            <w:r>
              <w:t xml:space="preserve"> </w:t>
            </w:r>
            <m:oMath>
              <m:r>
                <m:t>k</m:t>
              </m:r>
            </m:oMath>
            <w:r>
              <w:t xml:space="preserve">-th reply arrives</w:t>
            </w:r>
          </w:p>
        </w:tc>
        <w:tc>
          <w:tcPr/>
          <w:p>
            <w:pPr>
              <w:pStyle w:val="Compact"/>
              <w:jc w:val="left"/>
            </w:pPr>
            <w:r>
              <w:t xml:space="preserve">ms</w:t>
            </w:r>
          </w:p>
        </w:tc>
      </w:tr>
      <w:tr>
        <w:tc>
          <w:tcPr/>
          <w:p>
            <w:pPr>
              <w:pStyle w:val="Compact"/>
              <w:jc w:val="left"/>
            </w:pPr>
            <m:oMath>
              <m:r>
                <m:t>F</m:t>
              </m:r>
              <m:d>
                <m:dPr>
                  <m:begChr m:val="("/>
                  <m:endChr m:val=")"/>
                  <m:sepChr m:val=""/>
                  <m:grow/>
                </m:dPr>
                <m:e>
                  <m:r>
                    <m:t>t</m:t>
                  </m:r>
                </m:e>
              </m:d>
            </m:oMath>
          </w:p>
        </w:tc>
        <w:tc>
          <w:tcPr/>
          <w:p>
            <w:pPr>
              <w:pStyle w:val="Compact"/>
              <w:jc w:val="left"/>
            </w:pPr>
            <w:r>
              <w:t xml:space="preserve">Probability that one replica replies within</w:t>
            </w:r>
            <w:r>
              <w:t xml:space="preserve"> </w:t>
            </w:r>
            <m:oMath>
              <m:r>
                <m:t>t</m:t>
              </m:r>
            </m:oMath>
          </w:p>
        </w:tc>
        <w:tc>
          <w:tcPr/>
          <w:p>
            <w:pPr>
              <w:pStyle w:val="Compact"/>
              <w:jc w:val="left"/>
            </w:pPr>
            <w:r>
              <w:t xml:space="preserve">dimensionless</w:t>
            </w:r>
          </w:p>
        </w:tc>
      </w:tr>
      <w:tr>
        <w:tc>
          <w:tcPr/>
          <w:p>
            <w:pPr>
              <w:pStyle w:val="Compact"/>
              <w:jc w:val="left"/>
            </w:pPr>
            <m:oMath>
              <m:r>
                <m:t>N</m:t>
              </m:r>
            </m:oMath>
            <w:r>
              <w:t xml:space="preserve">,</w:t>
            </w:r>
            <w:r>
              <w:t xml:space="preserve"> </w:t>
            </w:r>
            <m:oMath>
              <m:r>
                <m:t>k</m:t>
              </m:r>
            </m:oMath>
          </w:p>
        </w:tc>
        <w:tc>
          <w:tcPr/>
          <w:p>
            <w:pPr>
              <w:pStyle w:val="Compact"/>
              <w:jc w:val="left"/>
            </w:pPr>
            <w:r>
              <w:t xml:space="preserve">Replicas contacted; replies required</w:t>
            </w:r>
          </w:p>
        </w:tc>
        <w:tc>
          <w:tcPr/>
          <w:p>
            <w:pPr>
              <w:pStyle w:val="Compact"/>
              <w:jc w:val="left"/>
            </w:pPr>
            <w:r>
              <w:t xml:space="preserve">count</w:t>
            </w:r>
          </w:p>
        </w:tc>
      </w:tr>
      <w:tr>
        <w:tc>
          <w:tcPr/>
          <w:p>
            <w:pPr>
              <w:pStyle w:val="Compact"/>
              <w:jc w:val="left"/>
            </w:pPr>
            <m:oMath>
              <m:r>
                <m:t>j</m:t>
              </m:r>
            </m:oMath>
          </w:p>
        </w:tc>
        <w:tc>
          <w:tcPr/>
          <w:p>
            <w:pPr>
              <w:pStyle w:val="Compact"/>
              <w:jc w:val="left"/>
            </w:pPr>
            <w:r>
              <w:t xml:space="preserve">Number of replicas that replied within</w:t>
            </w:r>
            <w:r>
              <w:t xml:space="preserve"> </w:t>
            </w:r>
            <m:oMath>
              <m:r>
                <m:t>t</m:t>
              </m:r>
            </m:oMath>
            <w:r>
              <w:t xml:space="preserve"> </w:t>
            </w:r>
            <w:r>
              <w:t xml:space="preserve">(summation index)</w:t>
            </w:r>
          </w:p>
        </w:tc>
        <w:tc>
          <w:tcPr/>
          <w:p>
            <w:pPr>
              <w:pStyle w:val="Compact"/>
              <w:jc w:val="left"/>
            </w:pPr>
            <w:r>
              <w:t xml:space="preserve">count</w:t>
            </w:r>
          </w:p>
        </w:tc>
      </w:tr>
      <w:tr>
        <w:tc>
          <w:tcPr/>
          <w:p>
            <w:pPr>
              <w:pStyle w:val="Compact"/>
              <w:jc w:val="left"/>
            </w:pPr>
            <m:oMath>
              <m:r>
                <m:t>μ</m:t>
              </m:r>
            </m:oMath>
          </w:p>
        </w:tc>
        <w:tc>
          <w:tcPr/>
          <w:p>
            <w:pPr>
              <w:pStyle w:val="Compact"/>
              <w:jc w:val="left"/>
            </w:pPr>
            <w:r>
              <w:t xml:space="preserve">Mean latency of one replica, if exponentially distributed</w:t>
            </w:r>
          </w:p>
        </w:tc>
        <w:tc>
          <w:tcPr/>
          <w:p>
            <w:pPr>
              <w:pStyle w:val="Compact"/>
              <w:jc w:val="left"/>
            </w:pPr>
            <w:r>
              <w:t xml:space="preserve">ms</w:t>
            </w:r>
          </w:p>
        </w:tc>
      </w:tr>
    </w:tbl>
    <w:p>
      <w:pPr>
        <w:pStyle w:val="BodyText"/>
      </w:pPr>
      <w:r>
        <w:rPr>
          <w:bCs/>
          <w:b/>
        </w:rPr>
        <w:t xml:space="preserve">Derivation.</w:t>
      </w:r>
      <w:r>
        <w:t xml:space="preserve"> </w:t>
      </w:r>
      <w:r>
        <w:t xml:space="preserve">The</w:t>
      </w:r>
      <w:r>
        <w:t xml:space="preserve"> </w:t>
      </w:r>
      <m:oMath>
        <m:r>
          <m:t>k</m:t>
        </m:r>
      </m:oMath>
      <w:r>
        <w:t xml:space="preserve">-th reply is later than</w:t>
      </w:r>
      <w:r>
        <w:t xml:space="preserve"> </w:t>
      </w:r>
      <m:oMath>
        <m:r>
          <m:t>t</m:t>
        </m:r>
      </m:oMath>
      <w:r>
        <w:t xml:space="preserve"> </w:t>
      </w:r>
      <w:r>
        <w:t xml:space="preserve">exactly when fewer than</w:t>
      </w:r>
      <w:r>
        <w:t xml:space="preserve"> </w:t>
      </w:r>
      <m:oMath>
        <m:r>
          <m:t>k</m:t>
        </m:r>
      </m:oMath>
      <w:r>
        <w:t xml:space="preserve"> </w:t>
      </w:r>
      <w:r>
        <w:t xml:space="preserve">replicas have replied by</w:t>
      </w:r>
      <w:r>
        <w:t xml:space="preserve"> </w:t>
      </w:r>
      <m:oMath>
        <m:r>
          <m:t>t</m:t>
        </m:r>
      </m:oMath>
      <w:r>
        <w:t xml:space="preserve">; the number that have is binomial with success probability</w:t>
      </w:r>
      <w:r>
        <w:t xml:space="preserve"> </w:t>
      </w:r>
      <m:oMath>
        <m:r>
          <m:t>F</m:t>
        </m:r>
        <m:d>
          <m:dPr>
            <m:begChr m:val="("/>
            <m:endChr m:val=")"/>
            <m:sepChr m:val=""/>
            <m:grow/>
          </m:dPr>
          <m:e>
            <m:r>
              <m:t>t</m:t>
            </m:r>
          </m:e>
        </m:d>
      </m:oMath>
      <w:r>
        <w:t xml:space="preserve">. For exponential latencies, the gap before the first of</w:t>
      </w:r>
      <w:r>
        <w:t xml:space="preserve"> </w:t>
      </w:r>
      <m:oMath>
        <m:r>
          <m:t>N</m:t>
        </m:r>
      </m:oMath>
      <w:r>
        <w:t xml:space="preserve"> </w:t>
      </w:r>
      <w:r>
        <w:t xml:space="preserve">replies has mean</w:t>
      </w:r>
      <w:r>
        <w:t xml:space="preserve"> </w:t>
      </w:r>
      <m:oMath>
        <m:r>
          <m:t>μ</m:t>
        </m:r>
        <m:r>
          <m:rPr>
            <m:sty m:val="p"/>
          </m:rPr>
          <m:t>/</m:t>
        </m:r>
        <m:r>
          <m:t>N</m:t>
        </m:r>
      </m:oMath>
      <w:r>
        <w:t xml:space="preserve">, the next gap</w:t>
      </w:r>
      <w:r>
        <w:t xml:space="preserve"> </w:t>
      </w:r>
      <m:oMath>
        <m:r>
          <m:t>μ</m:t>
        </m:r>
        <m:r>
          <m:rPr>
            <m:sty m:val="p"/>
          </m:rPr>
          <m:t>/</m:t>
        </m:r>
        <m:d>
          <m:dPr>
            <m:begChr m:val="("/>
            <m:endChr m:val=")"/>
            <m:sepChr m:val=""/>
            <m:grow/>
          </m:dPr>
          <m:e>
            <m:r>
              <m:t>N</m:t>
            </m:r>
            <m:r>
              <m:rPr>
                <m:sty m:val="p"/>
              </m:rPr>
              <m:t>−</m:t>
            </m:r>
            <m:r>
              <m:t>1</m:t>
            </m:r>
          </m:e>
        </m:d>
      </m:oMath>
      <w:r>
        <w:t xml:space="preserve">, and so on, by memorylessness.</w:t>
      </w:r>
    </w:p>
    <w:p>
      <w:pPr>
        <w:pStyle w:val="CalloutExample"/>
      </w:pPr>
      <w:r>
        <w:rPr>
          <w:bCs/>
          <w:b/>
        </w:rPr>
        <w:t xml:space="preserve">WORKED EXAMPLE</w:t>
      </w:r>
    </w:p>
    <w:p>
      <w:pPr>
        <w:pStyle w:val="CalloutExample"/>
      </w:pPr>
      <w:r>
        <w:rPr>
          <w:bCs/>
          <w:b/>
        </w:rPr>
        <w:t xml:space="preserve">Worked example — How much does W cost?</w:t>
      </w:r>
      <w:r>
        <w:t xml:space="preserve"> </w:t>
      </w:r>
      <m:oMath>
        <m:r>
          <m:t>N</m:t>
        </m:r>
        <m:r>
          <m:rPr>
            <m:sty m:val="p"/>
          </m:rPr>
          <m:t>=</m:t>
        </m:r>
        <m:r>
          <m:t>3</m:t>
        </m:r>
      </m:oMath>
      <w:r>
        <w:t xml:space="preserve">.</w:t>
      </w:r>
    </w:p>
    <w:p>
      <w:pPr>
        <w:numPr>
          <w:ilvl w:val="0"/>
          <w:numId w:val="1879"/>
        </w:numPr>
        <w:pStyle w:val="Compact"/>
      </w:pPr>
      <w:r>
        <w:rPr>
          <w:iCs/>
          <w:i/>
        </w:rPr>
        <w:t xml:space="preserve">Tail model.</w:t>
      </w:r>
      <w:r>
        <w:t xml:space="preserve"> </w:t>
      </w:r>
      <w:r>
        <w:t xml:space="preserve">Each replica is independently</w:t>
      </w:r>
      <w:r>
        <w:t xml:space="preserve"> </w:t>
      </w:r>
      <w:r>
        <w:t xml:space="preserve">“</w:t>
      </w:r>
      <w:r>
        <w:t xml:space="preserve">slow</w:t>
      </w:r>
      <w:r>
        <w:t xml:space="preserve">”</w:t>
      </w:r>
      <w:r>
        <w:t xml:space="preserve"> </w:t>
      </w:r>
      <w:r>
        <w:t xml:space="preserve">(a garbage-collection pause, say 50 ms) with probability</w:t>
      </w:r>
      <w:r>
        <w:t xml:space="preserve"> </w:t>
      </w:r>
      <m:oMath>
        <m:r>
          <m:t>p</m:t>
        </m:r>
        <m:r>
          <m:rPr>
            <m:sty m:val="p"/>
          </m:rPr>
          <m:t>=</m:t>
        </m:r>
        <m:r>
          <m:t>0.01</m:t>
        </m:r>
      </m:oMath>
      <w:r>
        <w:t xml:space="preserve">, so</w:t>
      </w:r>
      <w:r>
        <w:t xml:space="preserve"> </w:t>
      </w:r>
      <m:oMath>
        <m:r>
          <m:t>F</m:t>
        </m:r>
        <m:d>
          <m:dPr>
            <m:begChr m:val="("/>
            <m:endChr m:val=")"/>
            <m:sepChr m:val=""/>
            <m:grow/>
          </m:dPr>
          <m:e>
            <m:r>
              <m:t>t</m:t>
            </m:r>
          </m:e>
        </m:d>
        <m:r>
          <m:rPr>
            <m:sty m:val="p"/>
          </m:rPr>
          <m:t>=</m:t>
        </m:r>
        <m:r>
          <m:t>0.99</m:t>
        </m:r>
      </m:oMath>
      <w:r>
        <w:t xml:space="preserve"> </w:t>
      </w:r>
      <w:r>
        <w:t xml:space="preserve">for</w:t>
      </w:r>
      <w:r>
        <w:t xml:space="preserve"> </w:t>
      </w:r>
      <m:oMath>
        <m:r>
          <m:t>t</m:t>
        </m:r>
      </m:oMath>
      <w:r>
        <w:t xml:space="preserve"> </w:t>
      </w:r>
      <w:r>
        <w:t xml:space="preserve">below 50 ms. The operation is slow when fewer than</w:t>
      </w:r>
      <w:r>
        <w:t xml:space="preserve"> </w:t>
      </w:r>
      <m:oMath>
        <m:r>
          <m:t>k</m:t>
        </m:r>
      </m:oMath>
      <w:r>
        <w:t xml:space="preserve"> </w:t>
      </w:r>
      <w:r>
        <w:t xml:space="preserve">replicas are fast:</w:t>
      </w:r>
    </w:p>
    <w:p>
      <w:pPr>
        <w:numPr>
          <w:ilvl w:val="1"/>
          <w:numId w:val="1880"/>
        </w:numPr>
        <w:pStyle w:val="Compact"/>
      </w:pPr>
      <m:oMath>
        <m:r>
          <m:t>k</m:t>
        </m:r>
        <m:r>
          <m:rPr>
            <m:sty m:val="p"/>
          </m:rPr>
          <m:t>=</m:t>
        </m:r>
        <m:r>
          <m:t>1</m:t>
        </m:r>
      </m:oMath>
      <w:r>
        <w:t xml:space="preserve">:</w:t>
      </w:r>
      <w:r>
        <w:t xml:space="preserve"> </w:t>
      </w:r>
      <m:oMath>
        <m:sSup>
          <m:e>
            <m:r>
              <m:t>p</m:t>
            </m:r>
          </m:e>
          <m:sup>
            <m:r>
              <m:t>3</m:t>
            </m:r>
          </m:sup>
        </m:sSup>
        <m:r>
          <m:rPr>
            <m:sty m:val="p"/>
          </m:rPr>
          <m:t>=</m:t>
        </m:r>
        <m:sSup>
          <m:e>
            <m:r>
              <m:t>10</m:t>
            </m:r>
          </m:e>
          <m:sup>
            <m:r>
              <m:rPr>
                <m:sty m:val="p"/>
              </m:rPr>
              <m:t>−</m:t>
            </m:r>
            <m:r>
              <m:t>6</m:t>
            </m:r>
          </m:sup>
        </m:sSup>
      </m:oMath>
      <w:r>
        <w:t xml:space="preserve">.</w:t>
      </w:r>
    </w:p>
    <w:p>
      <w:pPr>
        <w:numPr>
          <w:ilvl w:val="1"/>
          <w:numId w:val="1880"/>
        </w:numPr>
        <w:pStyle w:val="Compact"/>
      </w:pPr>
      <m:oMath>
        <m:r>
          <m:t>k</m:t>
        </m:r>
        <m:r>
          <m:rPr>
            <m:sty m:val="p"/>
          </m:rPr>
          <m:t>=</m:t>
        </m:r>
        <m:r>
          <m:t>2</m:t>
        </m:r>
      </m:oMath>
      <w:r>
        <w:t xml:space="preserve">:</w:t>
      </w:r>
      <w:r>
        <w:t xml:space="preserve"> </w:t>
      </w:r>
      <m:oMath>
        <m:sSup>
          <m:e>
            <m:r>
              <m:t>p</m:t>
            </m:r>
          </m:e>
          <m:sup>
            <m:r>
              <m:t>3</m:t>
            </m:r>
          </m:sup>
        </m:sSup>
        <m:r>
          <m:rPr>
            <m:sty m:val="p"/>
          </m:rPr>
          <m:t>+</m:t>
        </m:r>
        <m:r>
          <m:t>3</m:t>
        </m:r>
        <m:sSup>
          <m:e>
            <m:r>
              <m:t>p</m:t>
            </m:r>
          </m:e>
          <m:sup>
            <m:r>
              <m:t>2</m:t>
            </m:r>
          </m:sup>
        </m:sSup>
        <m:d>
          <m:dPr>
            <m:begChr m:val="("/>
            <m:endChr m:val=")"/>
            <m:sepChr m:val=""/>
            <m:grow/>
          </m:dPr>
          <m:e>
            <m:r>
              <m:t>1</m:t>
            </m:r>
            <m:r>
              <m:rPr>
                <m:sty m:val="p"/>
              </m:rPr>
              <m:t>−</m:t>
            </m:r>
            <m:r>
              <m:t>p</m:t>
            </m:r>
          </m:e>
        </m:d>
        <m:r>
          <m:rPr>
            <m:sty m:val="p"/>
          </m:rPr>
          <m:t>=</m:t>
        </m:r>
        <m:sSup>
          <m:e>
            <m:r>
              <m:t>10</m:t>
            </m:r>
          </m:e>
          <m:sup>
            <m:r>
              <m:rPr>
                <m:sty m:val="p"/>
              </m:rPr>
              <m:t>−</m:t>
            </m:r>
            <m:r>
              <m:t>6</m:t>
            </m:r>
          </m:sup>
        </m:sSup>
        <m:r>
          <m:rPr>
            <m:sty m:val="p"/>
          </m:rPr>
          <m:t>+</m:t>
        </m:r>
        <m:r>
          <m:t>2.97</m:t>
        </m:r>
        <m:r>
          <m:rPr>
            <m:sty m:val="p"/>
          </m:rPr>
          <m:t>×</m:t>
        </m:r>
        <m:sSup>
          <m:e>
            <m:r>
              <m:t>10</m:t>
            </m:r>
          </m:e>
          <m:sup>
            <m:r>
              <m:rPr>
                <m:sty m:val="p"/>
              </m:rPr>
              <m:t>−</m:t>
            </m:r>
            <m:r>
              <m:t>4</m:t>
            </m:r>
          </m:sup>
        </m:sSup>
        <m:r>
          <m:rPr>
            <m:sty m:val="p"/>
          </m:rPr>
          <m:t>=</m:t>
        </m:r>
        <m:r>
          <m:t>2.98</m:t>
        </m:r>
        <m:r>
          <m:rPr>
            <m:sty m:val="p"/>
          </m:rPr>
          <m:t>×</m:t>
        </m:r>
        <m:sSup>
          <m:e>
            <m:r>
              <m:t>10</m:t>
            </m:r>
          </m:e>
          <m:sup>
            <m:r>
              <m:rPr>
                <m:sty m:val="p"/>
              </m:rPr>
              <m:t>−</m:t>
            </m:r>
            <m:r>
              <m:t>4</m:t>
            </m:r>
          </m:sup>
        </m:sSup>
      </m:oMath>
      <w:r>
        <w:t xml:space="preserve">.</w:t>
      </w:r>
    </w:p>
    <w:p>
      <w:pPr>
        <w:numPr>
          <w:ilvl w:val="1"/>
          <w:numId w:val="1880"/>
        </w:numPr>
        <w:pStyle w:val="Compact"/>
      </w:pPr>
      <m:oMath>
        <m:r>
          <m:t>k</m:t>
        </m:r>
        <m:r>
          <m:rPr>
            <m:sty m:val="p"/>
          </m:rPr>
          <m:t>=</m:t>
        </m:r>
        <m:r>
          <m:t>3</m:t>
        </m:r>
      </m:oMath>
      <w:r>
        <w:t xml:space="preserve">:</w:t>
      </w:r>
      <w:r>
        <w:t xml:space="preserve"> </w:t>
      </w:r>
      <m:oMath>
        <m:r>
          <m:t>1</m:t>
        </m:r>
        <m:r>
          <m:rPr>
            <m:sty m:val="p"/>
          </m:rPr>
          <m:t>−</m:t>
        </m:r>
        <m:sSup>
          <m:e>
            <m:r>
              <m:t>0.99</m:t>
            </m:r>
          </m:e>
          <m:sup>
            <m:r>
              <m:t>3</m:t>
            </m:r>
          </m:sup>
        </m:sSup>
        <m:r>
          <m:rPr>
            <m:sty m:val="p"/>
          </m:rPr>
          <m:t>=</m:t>
        </m:r>
        <m:r>
          <m:t>0.0297</m:t>
        </m:r>
      </m:oMath>
      <w:r>
        <w:t xml:space="preserve">.</w:t>
      </w:r>
    </w:p>
    <w:p>
      <w:pPr>
        <w:numPr>
          <w:ilvl w:val="0"/>
          <w:numId w:val="1879"/>
        </w:numPr>
        <w:pStyle w:val="Compact"/>
      </w:pPr>
      <w:r>
        <w:rPr>
          <w:iCs/>
          <w:i/>
        </w:rPr>
        <w:t xml:space="preserve">Mean model.</w:t>
      </w:r>
      <w:r>
        <w:t xml:space="preserve"> </w:t>
      </w:r>
      <w:r>
        <w:t xml:space="preserve">Exponential replica latency with</w:t>
      </w:r>
      <w:r>
        <w:t xml:space="preserve"> </w:t>
      </w:r>
      <m:oMath>
        <m:r>
          <m:t>μ</m:t>
        </m:r>
        <m:r>
          <m:rPr>
            <m:sty m:val="p"/>
          </m:rPr>
          <m:t>=</m:t>
        </m:r>
        <m:r>
          <m:t>2</m:t>
        </m:r>
      </m:oMath>
      <w:r>
        <w:t xml:space="preserve"> </w:t>
      </w:r>
      <w:r>
        <w:t xml:space="preserve">ms:</w:t>
      </w:r>
      <w:r>
        <w:t xml:space="preserve"> </w:t>
      </w:r>
      <m:oMath>
        <m:r>
          <m:t>k</m:t>
        </m:r>
        <m:r>
          <m:rPr>
            <m:sty m:val="p"/>
          </m:rPr>
          <m:t>=</m:t>
        </m:r>
        <m:r>
          <m:t>1</m:t>
        </m:r>
      </m:oMath>
      <w:r>
        <w:t xml:space="preserve">:</w:t>
      </w:r>
      <w:r>
        <w:t xml:space="preserve"> </w:t>
      </w:r>
      <m:oMath>
        <m:r>
          <m:t>2</m:t>
        </m:r>
        <m:r>
          <m:rPr>
            <m:sty m:val="p"/>
          </m:rPr>
          <m:t>×</m:t>
        </m:r>
        <m:f>
          <m:fPr>
            <m:type m:val="lin"/>
          </m:fPr>
          <m:num>
            <m:r>
              <m:t>1</m:t>
            </m:r>
          </m:num>
          <m:den>
            <m:r>
              <m:t>3</m:t>
            </m:r>
          </m:den>
        </m:f>
        <m:r>
          <m:rPr>
            <m:sty m:val="p"/>
          </m:rPr>
          <m:t>=</m:t>
        </m:r>
        <m:r>
          <m:t>0.67</m:t>
        </m:r>
      </m:oMath>
      <w:r>
        <w:t xml:space="preserve"> </w:t>
      </w:r>
      <w:r>
        <w:t xml:space="preserve">ms;</w:t>
      </w:r>
      <w:r>
        <w:t xml:space="preserve"> </w:t>
      </w:r>
      <m:oMath>
        <m:r>
          <m:t>k</m:t>
        </m:r>
        <m:r>
          <m:rPr>
            <m:sty m:val="p"/>
          </m:rPr>
          <m:t>=</m:t>
        </m:r>
        <m:r>
          <m:t>2</m:t>
        </m:r>
      </m:oMath>
      <w:r>
        <w:t xml:space="preserve">:</w:t>
      </w:r>
      <w:r>
        <w:t xml:space="preserve"> </w:t>
      </w:r>
      <m:oMath>
        <m:r>
          <m:t>2</m:t>
        </m:r>
        <m:r>
          <m:rPr>
            <m:sty m:val="p"/>
          </m:rPr>
          <m:t>×</m:t>
        </m:r>
        <m:d>
          <m:dPr>
            <m:begChr m:val="("/>
            <m:endChr m:val=")"/>
            <m:sepChr m:val=""/>
            <m:grow/>
          </m:dPr>
          <m:e>
            <m:f>
              <m:fPr>
                <m:type m:val="lin"/>
              </m:fPr>
              <m:num>
                <m:r>
                  <m:t>1</m:t>
                </m:r>
              </m:num>
              <m:den>
                <m:r>
                  <m:t>3</m:t>
                </m:r>
              </m:den>
            </m:f>
            <m:r>
              <m:rPr>
                <m:sty m:val="p"/>
              </m:rPr>
              <m:t>+</m:t>
            </m:r>
            <m:f>
              <m:fPr>
                <m:type m:val="lin"/>
              </m:fPr>
              <m:num>
                <m:r>
                  <m:t>1</m:t>
                </m:r>
              </m:num>
              <m:den>
                <m:r>
                  <m:t>2</m:t>
                </m:r>
              </m:den>
            </m:f>
          </m:e>
        </m:d>
        <m:r>
          <m:rPr>
            <m:sty m:val="p"/>
          </m:rPr>
          <m:t>=</m:t>
        </m:r>
        <m:r>
          <m:t>1.67</m:t>
        </m:r>
      </m:oMath>
      <w:r>
        <w:t xml:space="preserve"> </w:t>
      </w:r>
      <w:r>
        <w:t xml:space="preserve">ms;</w:t>
      </w:r>
      <w:r>
        <w:t xml:space="preserve"> </w:t>
      </w:r>
      <m:oMath>
        <m:r>
          <m:t>k</m:t>
        </m:r>
        <m:r>
          <m:rPr>
            <m:sty m:val="p"/>
          </m:rPr>
          <m:t>=</m:t>
        </m:r>
        <m:r>
          <m:t>3</m:t>
        </m:r>
      </m:oMath>
      <w:r>
        <w:t xml:space="preserve">:</w:t>
      </w:r>
      <w:r>
        <w:t xml:space="preserve"> </w:t>
      </w:r>
      <m:oMath>
        <m:r>
          <m:t>2</m:t>
        </m:r>
        <m:r>
          <m:rPr>
            <m:sty m:val="p"/>
          </m:rPr>
          <m:t>×</m:t>
        </m:r>
        <m:d>
          <m:dPr>
            <m:begChr m:val="("/>
            <m:endChr m:val=")"/>
            <m:sepChr m:val=""/>
            <m:grow/>
          </m:dPr>
          <m:e>
            <m:f>
              <m:fPr>
                <m:type m:val="lin"/>
              </m:fPr>
              <m:num>
                <m:r>
                  <m:t>1</m:t>
                </m:r>
              </m:num>
              <m:den>
                <m:r>
                  <m:t>3</m:t>
                </m:r>
              </m:den>
            </m:f>
            <m:r>
              <m:rPr>
                <m:sty m:val="p"/>
              </m:rPr>
              <m:t>+</m:t>
            </m:r>
            <m:f>
              <m:fPr>
                <m:type m:val="lin"/>
              </m:fPr>
              <m:num>
                <m:r>
                  <m:t>1</m:t>
                </m:r>
              </m:num>
              <m:den>
                <m:r>
                  <m:t>2</m:t>
                </m:r>
              </m:den>
            </m:f>
            <m:r>
              <m:rPr>
                <m:sty m:val="p"/>
              </m:rPr>
              <m:t>+</m:t>
            </m:r>
            <m:r>
              <m:t>1</m:t>
            </m:r>
          </m:e>
        </m:d>
        <m:r>
          <m:rPr>
            <m:sty m:val="p"/>
          </m:rPr>
          <m:t>=</m:t>
        </m:r>
        <m:r>
          <m:t>3.67</m:t>
        </m:r>
      </m:oMath>
      <w:r>
        <w:t xml:space="preserve"> </w:t>
      </w:r>
      <w:r>
        <w:t xml:space="preserve">ms.</w:t>
      </w:r>
    </w:p>
    <w:p>
      <w:pPr>
        <w:pStyle w:val="CalloutExample"/>
      </w:pPr>
      <w:r>
        <w:rPr>
          <w:bCs/>
          <w:b/>
        </w:rPr>
        <w:t xml:space="preserve">Interpretation.</w:t>
      </w:r>
      <w:r>
        <w:t xml:space="preserve"> </w:t>
      </w:r>
      <w:r>
        <w:t xml:space="preserve">Waiting for all three replicas exposes about 3% of operations, so the p99, to the 50 ms pause; waiting for two exposes 0.03%, beyond even the p99.9.</w:t>
      </w:r>
      <w:r>
        <w:t xml:space="preserve"> </w:t>
      </w:r>
      <w:r>
        <w:rPr>
          <w:bCs/>
          <w:b/>
        </w:rPr>
        <w:t xml:space="preserve">Engineering implication.</w:t>
      </w:r>
      <w:r>
        <w:t xml:space="preserve"> </w:t>
      </w:r>
      <w:r>
        <w:t xml:space="preserve">Quorums of two out of three keep the slowest replica off the tail. This is why Dynamo-style systems contact all</w:t>
      </w:r>
      <w:r>
        <w:t xml:space="preserve"> </w:t>
      </w:r>
      <m:oMath>
        <m:r>
          <m:t>N</m:t>
        </m:r>
      </m:oMath>
      <w:r>
        <w:t xml:space="preserve"> </w:t>
      </w:r>
      <w:r>
        <w:t xml:space="preserve">replicas even when they need only</w:t>
      </w:r>
      <w:r>
        <w:t xml:space="preserve"> </w:t>
      </w:r>
      <m:oMath>
        <m:r>
          <m:t>R</m:t>
        </m:r>
      </m:oMath>
      <w:r>
        <w:t xml:space="preserve"> </w:t>
      </w:r>
      <w:r>
        <w:t xml:space="preserve">or</w:t>
      </w:r>
      <w:r>
        <w:t xml:space="preserve"> </w:t>
      </w:r>
      <m:oMath>
        <m:r>
          <m:t>W</m:t>
        </m:r>
      </m:oMath>
      <w:r>
        <w:t xml:space="preserve"> </w:t>
      </w:r>
      <w:r>
        <w:t xml:space="preserve">answers, and why</w:t>
      </w:r>
      <w:r>
        <w:t xml:space="preserve"> </w:t>
      </w:r>
      <w:r>
        <w:t xml:space="preserve">“</w:t>
      </w:r>
      <w:r>
        <w:t xml:space="preserve">read from one replica, retry on timeout</w:t>
      </w:r>
      <w:r>
        <w:t xml:space="preserve">”</w:t>
      </w:r>
      <w:r>
        <w:t xml:space="preserve"> </w:t>
      </w:r>
      <w:r>
        <w:t xml:space="preserve">is slower in the tail than a parallel quorum.</w:t>
      </w:r>
    </w:p>
    <w:p>
      <w:pPr>
        <w:pStyle w:val="BodyText"/>
      </w:pPr>
      <w:r>
        <w:t xml:space="preserve">The program below verifies the overlap table and both latency models.</w:t>
      </w:r>
    </w:p>
    <w:p>
      <w:pPr>
        <w:pStyle w:val="SourceCode"/>
      </w:pPr>
      <w:r>
        <w:rPr>
          <w:rStyle w:val="CommentTok"/>
        </w:rPr>
        <w:t xml:space="preserve">"""Quorum overlap and the latency of waiting for the k-th fastest of N replicas."""</w:t>
      </w:r>
      <w:r>
        <w:br/>
      </w:r>
      <w:r>
        <w:rPr>
          <w:rStyle w:val="ImportTok"/>
        </w:rPr>
        <w:t xml:space="preserve">from</w:t>
      </w:r>
      <w:r>
        <w:rPr>
          <w:rStyle w:val="NormalTok"/>
        </w:rPr>
        <w:t xml:space="preserve"> itertools </w:t>
      </w:r>
      <w:r>
        <w:rPr>
          <w:rStyle w:val="ImportTok"/>
        </w:rPr>
        <w:t xml:space="preserve">import</w:t>
      </w:r>
      <w:r>
        <w:rPr>
          <w:rStyle w:val="NormalTok"/>
        </w:rPr>
        <w:t xml:space="preserve"> combinations</w:t>
      </w:r>
      <w:r>
        <w:br/>
      </w:r>
      <w:r>
        <w:rPr>
          <w:rStyle w:val="ImportTok"/>
        </w:rPr>
        <w:t xml:space="preserve">from</w:t>
      </w:r>
      <w:r>
        <w:rPr>
          <w:rStyle w:val="NormalTok"/>
        </w:rPr>
        <w:t xml:space="preserve"> math </w:t>
      </w:r>
      <w:r>
        <w:rPr>
          <w:rStyle w:val="ImportTok"/>
        </w:rPr>
        <w:t xml:space="preserve">import</w:t>
      </w:r>
      <w:r>
        <w:rPr>
          <w:rStyle w:val="NormalTok"/>
        </w:rPr>
        <w:t xml:space="preserve"> comb</w:t>
      </w:r>
      <w:r>
        <w:br/>
      </w:r>
      <w:r>
        <w:rPr>
          <w:rStyle w:val="ImportTok"/>
        </w:rPr>
        <w:t xml:space="preserve">import</w:t>
      </w:r>
      <w:r>
        <w:rPr>
          <w:rStyle w:val="NormalTok"/>
        </w:rPr>
        <w:t xml:space="preserve"> random</w:t>
      </w:r>
      <w:r>
        <w:br/>
      </w:r>
      <w:r>
        <w:br/>
      </w:r>
      <w:r>
        <w:rPr>
          <w:rStyle w:val="KeywordTok"/>
        </w:rPr>
        <w:t xml:space="preserve">def</w:t>
      </w:r>
      <w:r>
        <w:rPr>
          <w:rStyle w:val="NormalTok"/>
        </w:rPr>
        <w:t xml:space="preserve"> min_overlap(n, r, w):</w:t>
      </w:r>
      <w:r>
        <w:br/>
      </w:r>
      <w:r>
        <w:rPr>
          <w:rStyle w:val="NormalTok"/>
        </w:rPr>
        <w:t xml:space="preserve">    </w:t>
      </w:r>
      <w:r>
        <w:rPr>
          <w:rStyle w:val="CommentTok"/>
        </w:rPr>
        <w:t xml:space="preserve">"""Smallest possible intersection of any read set and any write set."""</w:t>
      </w:r>
      <w:r>
        <w:br/>
      </w:r>
      <w:r>
        <w:rPr>
          <w:rStyle w:val="NormalTok"/>
        </w:rPr>
        <w:t xml:space="preserve">    replicas </w:t>
      </w:r>
      <w:r>
        <w:rPr>
          <w:rStyle w:val="OperatorTok"/>
        </w:rPr>
        <w:t xml:space="preserve">=</w:t>
      </w:r>
      <w:r>
        <w:rPr>
          <w:rStyle w:val="NormalTok"/>
        </w:rPr>
        <w:t xml:space="preserve"> </w:t>
      </w:r>
      <w:r>
        <w:rPr>
          <w:rStyle w:val="BuiltInTok"/>
        </w:rPr>
        <w:t xml:space="preserve">range</w:t>
      </w:r>
      <w:r>
        <w:rPr>
          <w:rStyle w:val="NormalTok"/>
        </w:rPr>
        <w:t xml:space="preserve">(n)</w:t>
      </w:r>
      <w:r>
        <w:br/>
      </w:r>
      <w:r>
        <w:rPr>
          <w:rStyle w:val="NormalTok"/>
        </w:rPr>
        <w:t xml:space="preserve">    </w:t>
      </w:r>
      <w:r>
        <w:rPr>
          <w:rStyle w:val="ControlFlowTok"/>
        </w:rPr>
        <w:t xml:space="preserve">return</w:t>
      </w:r>
      <w:r>
        <w:rPr>
          <w:rStyle w:val="NormalTok"/>
        </w:rPr>
        <w:t xml:space="preserve"> </w:t>
      </w:r>
      <w:r>
        <w:rPr>
          <w:rStyle w:val="BuiltInTok"/>
        </w:rPr>
        <w:t xml:space="preserve">min</w:t>
      </w:r>
      <w:r>
        <w:rPr>
          <w:rStyle w:val="NormalTok"/>
        </w:rPr>
        <w:t xml:space="preserve">(</w:t>
      </w:r>
      <w:r>
        <w:rPr>
          <w:rStyle w:val="BuiltInTok"/>
        </w:rPr>
        <w:t xml:space="preserve">len</w:t>
      </w:r>
      <w:r>
        <w:rPr>
          <w:rStyle w:val="NormalTok"/>
        </w:rPr>
        <w:t xml:space="preserve">(</w:t>
      </w:r>
      <w:r>
        <w:rPr>
          <w:rStyle w:val="BuiltInTok"/>
        </w:rPr>
        <w:t xml:space="preserve">set</w:t>
      </w:r>
      <w:r>
        <w:rPr>
          <w:rStyle w:val="NormalTok"/>
        </w:rPr>
        <w:t xml:space="preserve">(rs) </w:t>
      </w:r>
      <w:r>
        <w:rPr>
          <w:rStyle w:val="OperatorTok"/>
        </w:rPr>
        <w:t xml:space="preserve">&amp;</w:t>
      </w:r>
      <w:r>
        <w:rPr>
          <w:rStyle w:val="NormalTok"/>
        </w:rPr>
        <w:t xml:space="preserve"> </w:t>
      </w:r>
      <w:r>
        <w:rPr>
          <w:rStyle w:val="BuiltInTok"/>
        </w:rPr>
        <w:t xml:space="preserve">set</w:t>
      </w:r>
      <w:r>
        <w:rPr>
          <w:rStyle w:val="NormalTok"/>
        </w:rPr>
        <w:t xml:space="preserve">(ws))</w:t>
      </w:r>
      <w:r>
        <w:br/>
      </w:r>
      <w:r>
        <w:rPr>
          <w:rStyle w:val="NormalTok"/>
        </w:rPr>
        <w:t xml:space="preserve">               </w:t>
      </w:r>
      <w:r>
        <w:rPr>
          <w:rStyle w:val="ControlFlowTok"/>
        </w:rPr>
        <w:t xml:space="preserve">for</w:t>
      </w:r>
      <w:r>
        <w:rPr>
          <w:rStyle w:val="NormalTok"/>
        </w:rPr>
        <w:t xml:space="preserve"> rs </w:t>
      </w:r>
      <w:r>
        <w:rPr>
          <w:rStyle w:val="KeywordTok"/>
        </w:rPr>
        <w:t xml:space="preserve">in</w:t>
      </w:r>
      <w:r>
        <w:rPr>
          <w:rStyle w:val="NormalTok"/>
        </w:rPr>
        <w:t xml:space="preserve"> combinations(replicas, r)</w:t>
      </w:r>
      <w:r>
        <w:br/>
      </w:r>
      <w:r>
        <w:rPr>
          <w:rStyle w:val="NormalTok"/>
        </w:rPr>
        <w:t xml:space="preserve">               </w:t>
      </w:r>
      <w:r>
        <w:rPr>
          <w:rStyle w:val="ControlFlowTok"/>
        </w:rPr>
        <w:t xml:space="preserve">for</w:t>
      </w:r>
      <w:r>
        <w:rPr>
          <w:rStyle w:val="NormalTok"/>
        </w:rPr>
        <w:t xml:space="preserve"> ws </w:t>
      </w:r>
      <w:r>
        <w:rPr>
          <w:rStyle w:val="KeywordTok"/>
        </w:rPr>
        <w:t xml:space="preserve">in</w:t>
      </w:r>
      <w:r>
        <w:rPr>
          <w:rStyle w:val="NormalTok"/>
        </w:rPr>
        <w:t xml:space="preserve"> combinations(replicas, w))</w:t>
      </w:r>
      <w:r>
        <w:br/>
      </w:r>
      <w:r>
        <w:br/>
      </w:r>
      <w:r>
        <w:rPr>
          <w:rStyle w:val="KeywordTok"/>
        </w:rPr>
        <w:t xml:space="preserve">def</w:t>
      </w:r>
      <w:r>
        <w:rPr>
          <w:rStyle w:val="NormalTok"/>
        </w:rPr>
        <w:t xml:space="preserve"> p_kth_slow(n, k, p_slow):</w:t>
      </w:r>
      <w:r>
        <w:br/>
      </w:r>
      <w:r>
        <w:rPr>
          <w:rStyle w:val="NormalTok"/>
        </w:rPr>
        <w:t xml:space="preserve">    </w:t>
      </w:r>
      <w:r>
        <w:rPr>
          <w:rStyle w:val="CommentTok"/>
        </w:rPr>
        <w:t xml:space="preserve">"""P(the k-th fastest reply is slow) = P(fewer than k replicas are fast)."""</w:t>
      </w:r>
      <w:r>
        <w:br/>
      </w:r>
      <w:r>
        <w:rPr>
          <w:rStyle w:val="NormalTok"/>
        </w:rPr>
        <w:t xml:space="preserve">    q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p_slow</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(comb(n, j) </w:t>
      </w:r>
      <w:r>
        <w:rPr>
          <w:rStyle w:val="OperatorTok"/>
        </w:rPr>
        <w:t xml:space="preserve">*</w:t>
      </w:r>
      <w:r>
        <w:rPr>
          <w:rStyle w:val="NormalTok"/>
        </w:rPr>
        <w:t xml:space="preserve"> q</w:t>
      </w:r>
      <w:r>
        <w:rPr>
          <w:rStyle w:val="OperatorTok"/>
        </w:rPr>
        <w:t xml:space="preserve">**</w:t>
      </w:r>
      <w:r>
        <w:rPr>
          <w:rStyle w:val="NormalTok"/>
        </w:rPr>
        <w:t xml:space="preserve">j </w:t>
      </w:r>
      <w:r>
        <w:rPr>
          <w:rStyle w:val="OperatorTok"/>
        </w:rPr>
        <w:t xml:space="preserve">*</w:t>
      </w:r>
      <w:r>
        <w:rPr>
          <w:rStyle w:val="NormalTok"/>
        </w:rPr>
        <w:t xml:space="preserve"> p_slow</w:t>
      </w:r>
      <w:r>
        <w:rPr>
          <w:rStyle w:val="OperatorTok"/>
        </w:rPr>
        <w:t xml:space="preserve">**</w:t>
      </w:r>
      <w:r>
        <w:rPr>
          <w:rStyle w:val="NormalTok"/>
        </w:rPr>
        <w:t xml:space="preserve">(n </w:t>
      </w:r>
      <w:r>
        <w:rPr>
          <w:rStyle w:val="OperatorTok"/>
        </w:rPr>
        <w:t xml:space="preserve">-</w:t>
      </w:r>
      <w:r>
        <w:rPr>
          <w:rStyle w:val="NormalTok"/>
        </w:rPr>
        <w:t xml:space="preserve"> j)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(k))</w:t>
      </w:r>
      <w:r>
        <w:br/>
      </w:r>
      <w:r>
        <w:br/>
      </w:r>
      <w:r>
        <w:rPr>
          <w:rStyle w:val="KeywordTok"/>
        </w:rPr>
        <w:t xml:space="preserve">def</w:t>
      </w:r>
      <w:r>
        <w:rPr>
          <w:rStyle w:val="NormalTok"/>
        </w:rPr>
        <w:t xml:space="preserve"> mean_kth_exponential(n, k, mean):</w:t>
      </w:r>
      <w:r>
        <w:br/>
      </w:r>
      <w:r>
        <w:rPr>
          <w:rStyle w:val="NormalTok"/>
        </w:rPr>
        <w:t xml:space="preserve">    </w:t>
      </w:r>
      <w:r>
        <w:rPr>
          <w:rStyle w:val="CommentTok"/>
        </w:rPr>
        <w:t xml:space="preserve">"""E[k-th smallest of n i.i.d. exponential latencies with the given mean]."""</w:t>
      </w:r>
      <w:r>
        <w:br/>
      </w:r>
      <w:r>
        <w:rPr>
          <w:rStyle w:val="NormalTok"/>
        </w:rPr>
        <w:t xml:space="preserve">    </w:t>
      </w:r>
      <w:r>
        <w:rPr>
          <w:rStyle w:val="ControlFlowTok"/>
        </w:rPr>
        <w:t xml:space="preserve">return</w:t>
      </w:r>
      <w:r>
        <w:rPr>
          <w:rStyle w:val="NormalTok"/>
        </w:rPr>
        <w:t xml:space="preserve"> mean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 </w:t>
      </w:r>
      <w:r>
        <w:rPr>
          <w:rStyle w:val="OperatorTok"/>
        </w:rPr>
        <w:t xml:space="preserve">-</w:t>
      </w:r>
      <w:r>
        <w:rPr>
          <w:rStyle w:val="NormalTok"/>
        </w:rPr>
        <w:t xml:space="preserve"> k </w:t>
      </w:r>
      <w:r>
        <w:rPr>
          <w:rStyle w:val="OperatorTok"/>
        </w:rPr>
        <w:t xml:space="preserve">+</w:t>
      </w:r>
      <w:r>
        <w:rPr>
          <w:rStyle w:val="NormalTok"/>
        </w:rPr>
        <w:t xml:space="preserve"> </w:t>
      </w:r>
      <w:r>
        <w:rPr>
          <w:rStyle w:val="DecValTok"/>
        </w:rPr>
        <w:t xml:space="preserve">1</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n </w:t>
      </w:r>
      <w:r>
        <w:rPr>
          <w:rStyle w:val="OperatorTok"/>
        </w:rPr>
        <w:t xml:space="preserve">=</w:t>
      </w:r>
      <w:r>
        <w:rPr>
          <w:rStyle w:val="NormalTok"/>
        </w:rPr>
        <w:t xml:space="preserve"> </w:t>
      </w:r>
      <w:r>
        <w:rPr>
          <w:rStyle w:val="DecValTok"/>
        </w:rPr>
        <w:t xml:space="preserve">3</w:t>
      </w:r>
      <w:r>
        <w:br/>
      </w:r>
      <w:r>
        <w:rPr>
          <w:rStyle w:val="NormalTok"/>
        </w:rPr>
        <w:t xml:space="preserve">    </w:t>
      </w:r>
      <w:r>
        <w:rPr>
          <w:rStyle w:val="BuiltInTok"/>
        </w:rPr>
        <w:t xml:space="preserve">print</w:t>
      </w:r>
      <w:r>
        <w:rPr>
          <w:rStyle w:val="NormalTok"/>
        </w:rPr>
        <w:t xml:space="preserve">(</w:t>
      </w:r>
      <w:r>
        <w:rPr>
          <w:rStyle w:val="StringTok"/>
        </w:rPr>
        <w:t xml:space="preserve">"R W  R+W&gt;N  min overlap  read faults ok  write faults ok"</w:t>
      </w:r>
      <w:r>
        <w:rPr>
          <w:rStyle w:val="NormalTok"/>
        </w:rPr>
        <w:t xml:space="preserve">)</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w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r</w:t>
      </w:r>
      <w:r>
        <w:rPr>
          <w:rStyle w:val="SpecialCharTok"/>
        </w:rPr>
        <w:t xml:space="preserve">}</w:t>
      </w:r>
      <w:r>
        <w:rPr>
          <w:rStyle w:val="SpecialStringTok"/>
        </w:rPr>
        <w:t xml:space="preserve"> </w:t>
      </w:r>
      <w:r>
        <w:rPr>
          <w:rStyle w:val="SpecialCharTok"/>
        </w:rPr>
        <w:t xml:space="preserve">{</w:t>
      </w:r>
      <w:r>
        <w:rPr>
          <w:rStyle w:val="NormalTok"/>
        </w:rPr>
        <w:t xml:space="preserve">w</w:t>
      </w:r>
      <w:r>
        <w:rPr>
          <w:rStyle w:val="SpecialCharTok"/>
        </w:rPr>
        <w:t xml:space="preserve">}</w:t>
      </w:r>
      <w:r>
        <w:rPr>
          <w:rStyle w:val="SpecialStringTok"/>
        </w:rPr>
        <w:t xml:space="preserve">  </w:t>
      </w:r>
      <w:r>
        <w:rPr>
          <w:rStyle w:val="SpecialCharTok"/>
        </w:rPr>
        <w:t xml:space="preserve">{</w:t>
      </w:r>
      <w:r>
        <w:rPr>
          <w:rStyle w:val="BuiltInTok"/>
        </w:rPr>
        <w:t xml:space="preserve">str</w:t>
      </w:r>
      <w:r>
        <w:rPr>
          <w:rStyle w:val="NormalTok"/>
        </w:rPr>
        <w:t xml:space="preserve">(r </w:t>
      </w:r>
      <w:r>
        <w:rPr>
          <w:rStyle w:val="OperatorTok"/>
        </w:rPr>
        <w:t xml:space="preserve">+</w:t>
      </w:r>
      <w:r>
        <w:rPr>
          <w:rStyle w:val="NormalTok"/>
        </w:rPr>
        <w:t xml:space="preserve"> w </w:t>
      </w:r>
      <w:r>
        <w:rPr>
          <w:rStyle w:val="OperatorTok"/>
        </w:rPr>
        <w:t xml:space="preserve">&gt;</w:t>
      </w:r>
      <w:r>
        <w:rPr>
          <w:rStyle w:val="NormalTok"/>
        </w:rPr>
        <w:t xml:space="preserve"> n)</w:t>
      </w:r>
      <w:r>
        <w:rPr>
          <w:rStyle w:val="SpecialCharTok"/>
        </w:rPr>
        <w:t xml:space="preserve">:5}</w:t>
      </w:r>
      <w:r>
        <w:rPr>
          <w:rStyle w:val="SpecialStringTok"/>
        </w:rPr>
        <w:t xml:space="preserve">  </w:t>
      </w:r>
      <w:r>
        <w:rPr>
          <w:rStyle w:val="SpecialCharTok"/>
        </w:rPr>
        <w:t xml:space="preserve">{</w:t>
      </w:r>
      <w:r>
        <w:rPr>
          <w:rStyle w:val="NormalTok"/>
        </w:rPr>
        <w:t xml:space="preserve">min_overlap(n, r, w)</w:t>
      </w:r>
      <w:r>
        <w:rPr>
          <w:rStyle w:val="SpecialCharTok"/>
        </w:rPr>
        <w:t xml:space="preserve">:^11}</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n </w:t>
      </w:r>
      <w:r>
        <w:rPr>
          <w:rStyle w:val="OperatorTok"/>
        </w:rPr>
        <w:t xml:space="preserve">-</w:t>
      </w:r>
      <w:r>
        <w:rPr>
          <w:rStyle w:val="NormalTok"/>
        </w:rPr>
        <w:t xml:space="preserve"> r</w:t>
      </w:r>
      <w:r>
        <w:rPr>
          <w:rStyle w:val="SpecialCharTok"/>
        </w:rPr>
        <w:t xml:space="preserve">:^14}</w:t>
      </w:r>
      <w:r>
        <w:rPr>
          <w:rStyle w:val="SpecialStringTok"/>
        </w:rPr>
        <w:t xml:space="preserve">  </w:t>
      </w:r>
      <w:r>
        <w:rPr>
          <w:rStyle w:val="SpecialCharTok"/>
        </w:rPr>
        <w:t xml:space="preserve">{</w:t>
      </w:r>
      <w:r>
        <w:rPr>
          <w:rStyle w:val="NormalTok"/>
        </w:rPr>
        <w:t xml:space="preserve">n </w:t>
      </w:r>
      <w:r>
        <w:rPr>
          <w:rStyle w:val="OperatorTok"/>
        </w:rPr>
        <w:t xml:space="preserve">-</w:t>
      </w:r>
      <w:r>
        <w:rPr>
          <w:rStyle w:val="NormalTok"/>
        </w:rPr>
        <w:t xml:space="preserve"> w</w:t>
      </w:r>
      <w:r>
        <w:rPr>
          <w:rStyle w:val="SpecialCharTok"/>
        </w:rPr>
        <w:t xml:space="preserve">:^15}</w:t>
      </w:r>
      <w:r>
        <w:rPr>
          <w:rStyle w:val="SpecialStringTok"/>
        </w:rPr>
        <w:t xml:space="preserve">"</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P(k-th reply is slow), each replica slow with p = 0.01"</w:t>
      </w:r>
      <w:r>
        <w:rPr>
          <w:rStyle w:val="NormalTok"/>
        </w:rPr>
        <w:t xml:space="preserve">)</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k = </w:t>
      </w:r>
      <w:r>
        <w:rPr>
          <w:rStyle w:val="SpecialCharTok"/>
        </w:rPr>
        <w:t xml:space="preserve">{</w:t>
      </w:r>
      <w:r>
        <w:rPr>
          <w:rStyle w:val="NormalTok"/>
        </w:rPr>
        <w:t xml:space="preserve">k</w:t>
      </w:r>
      <w:r>
        <w:rPr>
          <w:rStyle w:val="SpecialCharTok"/>
        </w:rPr>
        <w:t xml:space="preserve">}</w:t>
      </w:r>
      <w:r>
        <w:rPr>
          <w:rStyle w:val="SpecialStringTok"/>
        </w:rPr>
        <w:t xml:space="preserve">: </w:t>
      </w:r>
      <w:r>
        <w:rPr>
          <w:rStyle w:val="SpecialCharTok"/>
        </w:rPr>
        <w:t xml:space="preserve">{</w:t>
      </w:r>
      <w:r>
        <w:rPr>
          <w:rStyle w:val="NormalTok"/>
        </w:rPr>
        <w:t xml:space="preserve">p_kth_slow(n, k, </w:t>
      </w:r>
      <w:r>
        <w:rPr>
          <w:rStyle w:val="FloatTok"/>
        </w:rPr>
        <w:t xml:space="preserve">0.01</w:t>
      </w:r>
      <w:r>
        <w:rPr>
          <w:rStyle w:val="NormalTok"/>
        </w:rPr>
        <w:t xml:space="preserve">)</w:t>
      </w:r>
      <w:r>
        <w:rPr>
          <w:rStyle w:val="SpecialCharTok"/>
        </w:rPr>
        <w:t xml:space="preserve">:.3e}</w:t>
      </w:r>
      <w:r>
        <w:rPr>
          <w:rStyle w:val="SpecialStringTok"/>
        </w:rPr>
        <w:t xml:space="preserve">"</w:t>
      </w:r>
      <w:r>
        <w:rPr>
          <w:rStyle w:val="NormalTok"/>
        </w:rPr>
        <w:t xml:space="preserve">)</w:t>
      </w:r>
      <w:r>
        <w:br/>
      </w:r>
      <w:r>
        <w:br/>
      </w:r>
      <w:r>
        <w:rPr>
          <w:rStyle w:val="NormalTok"/>
        </w:rPr>
        <w:t xml:space="preserve">    random.seed(</w:t>
      </w:r>
      <w:r>
        <w:rPr>
          <w:rStyle w:val="DecValTok"/>
        </w:rPr>
        <w:t xml:space="preserve">1</w:t>
      </w:r>
      <w:r>
        <w:rPr>
          <w:rStyle w:val="NormalTok"/>
        </w:rPr>
        <w:t xml:space="preserve">)</w:t>
      </w:r>
      <w:r>
        <w:br/>
      </w:r>
      <w:r>
        <w:rPr>
          <w:rStyle w:val="NormalTok"/>
        </w:rPr>
        <w:t xml:space="preserve">    trials </w:t>
      </w:r>
      <w:r>
        <w:rPr>
          <w:rStyle w:val="OperatorTok"/>
        </w:rPr>
        <w:t xml:space="preserve">=</w:t>
      </w:r>
      <w:r>
        <w:rPr>
          <w:rStyle w:val="NormalTok"/>
        </w:rPr>
        <w:t xml:space="preserve"> </w:t>
      </w:r>
      <w:r>
        <w:rPr>
          <w:rStyle w:val="DecValTok"/>
        </w:rPr>
        <w:t xml:space="preserve">200_000</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k-th fastest of 3 exponential replies, mean 2 ms"</w:t>
      </w:r>
      <w:r>
        <w:rPr>
          <w:rStyle w:val="NormalTok"/>
        </w:rPr>
        <w:t xml:space="preserve">)</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NormalTok"/>
        </w:rPr>
        <w:t xml:space="preserve">        sim </w:t>
      </w:r>
      <w:r>
        <w:rPr>
          <w:rStyle w:val="OperatorTok"/>
        </w:rPr>
        <w:t xml:space="preserve">=</w:t>
      </w:r>
      <w:r>
        <w:rPr>
          <w:rStyle w:val="NormalTok"/>
        </w:rPr>
        <w:t xml:space="preserve"> </w:t>
      </w:r>
      <w:r>
        <w:rPr>
          <w:rStyle w:val="BuiltInTok"/>
        </w:rPr>
        <w:t xml:space="preserve">sum</w:t>
      </w:r>
      <w:r>
        <w:rPr>
          <w:rStyle w:val="NormalTok"/>
        </w:rPr>
        <w:t xml:space="preserve">(</w:t>
      </w:r>
      <w:r>
        <w:rPr>
          <w:rStyle w:val="BuiltInTok"/>
        </w:rPr>
        <w:t xml:space="preserve">sorted</w:t>
      </w:r>
      <w:r>
        <w:rPr>
          <w:rStyle w:val="NormalTok"/>
        </w:rPr>
        <w:t xml:space="preserve">(random.expovariate(</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2.0</w:t>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(n))[k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(trials)) </w:t>
      </w:r>
      <w:r>
        <w:rPr>
          <w:rStyle w:val="OperatorTok"/>
        </w:rPr>
        <w:t xml:space="preserve">/</w:t>
      </w:r>
      <w:r>
        <w:rPr>
          <w:rStyle w:val="NormalTok"/>
        </w:rPr>
        <w:t xml:space="preserve"> trials</w:t>
      </w:r>
      <w:r>
        <w:br/>
      </w:r>
      <w:r>
        <w:rPr>
          <w:rStyle w:val="NormalTok"/>
        </w:rPr>
        <w:t xml:space="preserve">        </w:t>
      </w:r>
      <w:r>
        <w:rPr>
          <w:rStyle w:val="BuiltInTok"/>
        </w:rPr>
        <w:t xml:space="preserve">print</w:t>
      </w:r>
      <w:r>
        <w:rPr>
          <w:rStyle w:val="NormalTok"/>
        </w:rPr>
        <w:t xml:space="preserve">(</w:t>
      </w:r>
      <w:r>
        <w:rPr>
          <w:rStyle w:val="SpecialStringTok"/>
        </w:rPr>
        <w:t xml:space="preserve">f"  k = </w:t>
      </w:r>
      <w:r>
        <w:rPr>
          <w:rStyle w:val="SpecialCharTok"/>
        </w:rPr>
        <w:t xml:space="preserve">{</w:t>
      </w:r>
      <w:r>
        <w:rPr>
          <w:rStyle w:val="NormalTok"/>
        </w:rPr>
        <w:t xml:space="preserve">k</w:t>
      </w:r>
      <w:r>
        <w:rPr>
          <w:rStyle w:val="SpecialCharTok"/>
        </w:rPr>
        <w:t xml:space="preserve">}</w:t>
      </w:r>
      <w:r>
        <w:rPr>
          <w:rStyle w:val="SpecialStringTok"/>
        </w:rPr>
        <w:t xml:space="preserve">: formula </w:t>
      </w:r>
      <w:r>
        <w:rPr>
          <w:rStyle w:val="SpecialCharTok"/>
        </w:rPr>
        <w:t xml:space="preserve">{</w:t>
      </w:r>
      <w:r>
        <w:rPr>
          <w:rStyle w:val="NormalTok"/>
        </w:rPr>
        <w:t xml:space="preserve">mean_kth_exponential(n, k, </w:t>
      </w:r>
      <w:r>
        <w:rPr>
          <w:rStyle w:val="FloatTok"/>
        </w:rPr>
        <w:t xml:space="preserve">2.0</w:t>
      </w:r>
      <w:r>
        <w:rPr>
          <w:rStyle w:val="NormalTok"/>
        </w:rPr>
        <w:t xml:space="preserve">)</w:t>
      </w:r>
      <w:r>
        <w:rPr>
          <w:rStyle w:val="SpecialCharTok"/>
        </w:rPr>
        <w:t xml:space="preserve">:.3f}</w:t>
      </w:r>
      <w:r>
        <w:rPr>
          <w:rStyle w:val="SpecialStringTok"/>
        </w:rPr>
        <w:t xml:space="preserve"> ms, "</w:t>
      </w:r>
      <w:r>
        <w:br/>
      </w:r>
      <w:r>
        <w:rPr>
          <w:rStyle w:val="NormalTok"/>
        </w:rPr>
        <w:t xml:space="preserve">              </w:t>
      </w:r>
      <w:r>
        <w:rPr>
          <w:rStyle w:val="SpecialStringTok"/>
        </w:rPr>
        <w:t xml:space="preserve">f"simulated </w:t>
      </w:r>
      <w:r>
        <w:rPr>
          <w:rStyle w:val="SpecialCharTok"/>
        </w:rPr>
        <w:t xml:space="preserve">{</w:t>
      </w:r>
      <w:r>
        <w:rPr>
          <w:rStyle w:val="NormalTok"/>
        </w:rPr>
        <w:t xml:space="preserve">sim</w:t>
      </w:r>
      <w:r>
        <w:rPr>
          <w:rStyle w:val="SpecialCharTok"/>
        </w:rPr>
        <w:t xml:space="preserve">:.3f}</w:t>
      </w:r>
      <w:r>
        <w:rPr>
          <w:rStyle w:val="SpecialStringTok"/>
        </w:rPr>
        <w:t xml:space="preserve"> ms"</w:t>
      </w:r>
      <w:r>
        <w:rPr>
          <w:rStyle w:val="NormalTok"/>
        </w:rPr>
        <w:t xml:space="preserve">)</w:t>
      </w:r>
    </w:p>
    <w:p>
      <w:pPr>
        <w:pStyle w:val="FirstParagraph"/>
      </w:pPr>
      <w:r>
        <w:t xml:space="preserve">Output (abridged to the</w:t>
      </w:r>
      <w:r>
        <w:t xml:space="preserve"> </w:t>
      </w:r>
      <m:oMath>
        <m:r>
          <m:t>R</m:t>
        </m:r>
        <m:r>
          <m:rPr>
            <m:sty m:val="p"/>
          </m:rPr>
          <m:t>=</m:t>
        </m:r>
        <m:r>
          <m:t>W</m:t>
        </m:r>
      </m:oMath>
      <w:r>
        <w:t xml:space="preserve"> </w:t>
      </w:r>
      <w:r>
        <w:t xml:space="preserve">rows and the latency results):</w:t>
      </w:r>
    </w:p>
    <w:p>
      <w:pPr>
        <w:pStyle w:val="SourceCode"/>
      </w:pPr>
      <w:r>
        <w:rPr>
          <w:rStyle w:val="VerbatimChar"/>
        </w:rPr>
        <w:t xml:space="preserve">R W  R+W&gt;N  min overlap  read faults ok  write faults ok</w:t>
      </w:r>
      <w:r>
        <w:br/>
      </w:r>
      <w:r>
        <w:rPr>
          <w:rStyle w:val="VerbatimChar"/>
        </w:rPr>
        <w:t xml:space="preserve">1 1  False       0             2                2</w:t>
      </w:r>
      <w:r>
        <w:br/>
      </w:r>
      <w:r>
        <w:rPr>
          <w:rStyle w:val="VerbatimChar"/>
        </w:rPr>
        <w:t xml:space="preserve">2 2  True        1             1                1</w:t>
      </w:r>
      <w:r>
        <w:br/>
      </w:r>
      <w:r>
        <w:rPr>
          <w:rStyle w:val="VerbatimChar"/>
        </w:rPr>
        <w:t xml:space="preserve">3 3  True        3             0                0</w:t>
      </w:r>
      <w:r>
        <w:br/>
      </w:r>
      <w:r>
        <w:br/>
      </w:r>
      <w:r>
        <w:rPr>
          <w:rStyle w:val="VerbatimChar"/>
        </w:rPr>
        <w:t xml:space="preserve">P(k-th reply is slow), each replica slow with p = 0.01</w:t>
      </w:r>
      <w:r>
        <w:br/>
      </w:r>
      <w:r>
        <w:rPr>
          <w:rStyle w:val="VerbatimChar"/>
        </w:rPr>
        <w:t xml:space="preserve">  k = 1: 1.000e-06</w:t>
      </w:r>
      <w:r>
        <w:br/>
      </w:r>
      <w:r>
        <w:rPr>
          <w:rStyle w:val="VerbatimChar"/>
        </w:rPr>
        <w:t xml:space="preserve">  k = 2: 2.980e-04</w:t>
      </w:r>
      <w:r>
        <w:br/>
      </w:r>
      <w:r>
        <w:rPr>
          <w:rStyle w:val="VerbatimChar"/>
        </w:rPr>
        <w:t xml:space="preserve">  k = 3: 2.970e-02</w:t>
      </w:r>
      <w:r>
        <w:br/>
      </w:r>
      <w:r>
        <w:br/>
      </w:r>
      <w:r>
        <w:rPr>
          <w:rStyle w:val="VerbatimChar"/>
        </w:rPr>
        <w:t xml:space="preserve">k-th fastest of 3 exponential replies, mean 2 ms</w:t>
      </w:r>
      <w:r>
        <w:br/>
      </w:r>
      <w:r>
        <w:rPr>
          <w:rStyle w:val="VerbatimChar"/>
        </w:rPr>
        <w:t xml:space="preserve">  k = 1: formula 0.667 ms, simulated 0.667 ms</w:t>
      </w:r>
      <w:r>
        <w:br/>
      </w:r>
      <w:r>
        <w:rPr>
          <w:rStyle w:val="VerbatimChar"/>
        </w:rPr>
        <w:t xml:space="preserve">  k = 2: formula 1.667 ms, simulated 1.666 ms</w:t>
      </w:r>
      <w:r>
        <w:br/>
      </w:r>
      <w:r>
        <w:rPr>
          <w:rStyle w:val="VerbatimChar"/>
        </w:rPr>
        <w:t xml:space="preserve">  k = 3: formula 3.667 ms, simulated 3.663 ms</w:t>
      </w:r>
    </w:p>
    <w:p>
      <w:pPr>
        <w:pStyle w:val="FirstParagraph"/>
      </w:pPr>
      <w:r>
        <w:t xml:space="preserve">What to notice:</w:t>
      </w:r>
    </w:p>
    <w:p>
      <w:pPr>
        <w:numPr>
          <w:ilvl w:val="0"/>
          <w:numId w:val="1881"/>
        </w:numPr>
        <w:pStyle w:val="Compact"/>
      </w:pPr>
      <w:r>
        <w:rPr>
          <w:rStyle w:val="VerbatimChar"/>
        </w:rPr>
        <w:t xml:space="preserve">min_overlap</w:t>
      </w:r>
      <w:r>
        <w:t xml:space="preserve"> </w:t>
      </w:r>
      <w:r>
        <w:t xml:space="preserve">checks every pair of read and write sets by brute force, confirming that the overlap is positive exactly when</w:t>
      </w:r>
      <w:r>
        <w:t xml:space="preserve"> </w:t>
      </w:r>
      <m:oMath>
        <m:r>
          <m:t>R</m:t>
        </m:r>
        <m:r>
          <m:rPr>
            <m:sty m:val="p"/>
          </m:rPr>
          <m:t>+</m:t>
        </m:r>
        <m:r>
          <m:t>W</m:t>
        </m:r>
        <m:r>
          <m:rPr>
            <m:sty m:val="p"/>
          </m:rPr>
          <m:t>&gt;</m:t>
        </m:r>
        <m:r>
          <m:t>N</m:t>
        </m:r>
      </m:oMath>
      <w:r>
        <w:t xml:space="preserve">.</w:t>
      </w:r>
    </w:p>
    <w:p>
      <w:pPr>
        <w:numPr>
          <w:ilvl w:val="0"/>
          <w:numId w:val="1881"/>
        </w:numPr>
        <w:pStyle w:val="Compact"/>
      </w:pPr>
      <w:r>
        <w:t xml:space="preserve">The simulated means match the harmonic-sum formula to three digits.</w:t>
      </w:r>
    </w:p>
    <w:p>
      <w:pPr>
        <w:pStyle w:val="CalloutMistake"/>
      </w:pPr>
      <w:r>
        <w:rPr>
          <w:bCs/>
          <w:b/>
        </w:rPr>
        <w:t xml:space="preserve">COMMON MISTAKE</w:t>
      </w:r>
    </w:p>
    <w:p>
      <w:pPr>
        <w:pStyle w:val="CalloutMistake"/>
      </w:pPr>
      <w:r>
        <w:rPr>
          <w:bCs/>
          <w:b/>
        </w:rPr>
        <w:t xml:space="preserve">Mistake —</w:t>
      </w:r>
      <w:r>
        <w:rPr>
          <w:bCs/>
          <w:b/>
        </w:rPr>
        <w:t xml:space="preserve"> </w:t>
      </w:r>
      <w:r>
        <w:rPr>
          <w:bCs/>
          <w:b/>
        </w:rPr>
        <w:t xml:space="preserve">“</w:t>
      </w:r>
      <w:r>
        <w:rPr>
          <w:bCs/>
          <w:b/>
        </w:rPr>
        <w:t xml:space="preserve">QUORUM reads and writes make Cassandra linearizable.</w:t>
      </w:r>
      <w:r>
        <w:rPr>
          <w:bCs/>
          <w:b/>
        </w:rPr>
        <w:t xml:space="preserve">”</w:t>
      </w:r>
      <w:r>
        <w:t xml:space="preserve"> </w:t>
      </w:r>
      <w:r>
        <w:t xml:space="preserve">They give overlap, not linearizability: concurrent writes are resolved by timestamp, failed writes are not rolled back, and only blocking read repair prevents the read anomaly of Figure 27.7. Compare-and-set needs Cassandra’s Paxos-based lightweight transactions.</w:t>
      </w:r>
    </w:p>
    <w:bookmarkEnd w:id="3059"/>
    <w:bookmarkEnd w:id="3060"/>
    <w:bookmarkStart w:id="3069" w:name="sloppy-quorums-and-hinted-handoff"/>
    <w:p>
      <w:pPr>
        <w:pStyle w:val="Heading2"/>
      </w:pPr>
      <w:r>
        <w:t xml:space="preserve">27.9 Sloppy quorums and hinted handoff</w:t>
      </w:r>
    </w:p>
    <w:bookmarkStart w:id="3068" w:name="writing-to-a-stand-in"/>
    <w:p>
      <w:pPr>
        <w:pStyle w:val="Heading3"/>
      </w:pPr>
      <w:r>
        <w:t xml:space="preserve">27.9.1 Writing to a stand-in</w:t>
      </w:r>
    </w:p>
    <w:p>
      <w:pPr>
        <w:pStyle w:val="CalloutDefinition"/>
      </w:pPr>
      <w:r>
        <w:rPr>
          <w:bCs/>
          <w:b/>
        </w:rPr>
        <w:t xml:space="preserve">DEFINITION</w:t>
      </w:r>
    </w:p>
    <w:p>
      <w:pPr>
        <w:pStyle w:val="CalloutDefinition"/>
      </w:pPr>
      <w:r>
        <w:rPr>
          <w:bCs/>
          <w:b/>
        </w:rPr>
        <w:t xml:space="preserve">Definition — Sloppy quorum and hinted handoff.</w:t>
      </w:r>
      <w:r>
        <w:t xml:space="preserve"> </w:t>
      </w:r>
      <w:r>
        <w:t xml:space="preserve">In a</w:t>
      </w:r>
      <w:r>
        <w:t xml:space="preserve"> </w:t>
      </w:r>
      <w:r>
        <w:rPr>
          <w:bCs/>
          <w:b/>
        </w:rPr>
        <w:t xml:space="preserve">sloppy quorum</w:t>
      </w:r>
      <w:r>
        <w:t xml:space="preserve">, a write that cannot reach</w:t>
      </w:r>
      <w:r>
        <w:t xml:space="preserve"> </w:t>
      </w:r>
      <m:oMath>
        <m:r>
          <m:t>W</m:t>
        </m:r>
      </m:oMath>
      <w:r>
        <w:t xml:space="preserve"> </w:t>
      </w:r>
      <w:r>
        <w:t xml:space="preserve">of a key’s</w:t>
      </w:r>
      <w:r>
        <w:t xml:space="preserve"> </w:t>
      </w:r>
      <m:oMath>
        <m:r>
          <m:t>N</m:t>
        </m:r>
      </m:oMath>
      <w:r>
        <w:t xml:space="preserve"> </w:t>
      </w:r>
      <w:r>
        <w:t xml:space="preserve">home replicas is accepted by the next healthy nodes on the ring instead, and still counts toward</w:t>
      </w:r>
      <w:r>
        <w:t xml:space="preserve"> </w:t>
      </w:r>
      <m:oMath>
        <m:r>
          <m:t>W</m:t>
        </m:r>
      </m:oMath>
      <w:r>
        <w:t xml:space="preserve">. Each stand-in stores the write with a</w:t>
      </w:r>
      <w:r>
        <w:t xml:space="preserve"> </w:t>
      </w:r>
      <w:r>
        <w:rPr>
          <w:bCs/>
          <w:b/>
        </w:rPr>
        <w:t xml:space="preserve">hint</w:t>
      </w:r>
      <w:r>
        <w:t xml:space="preserve"> </w:t>
      </w:r>
      <w:r>
        <w:t xml:space="preserve">naming the intended home replica and</w:t>
      </w:r>
      <w:r>
        <w:t xml:space="preserve"> </w:t>
      </w:r>
      <w:r>
        <w:rPr>
          <w:bCs/>
          <w:b/>
        </w:rPr>
        <w:t xml:space="preserve">hands it off</w:t>
      </w:r>
      <w:r>
        <w:t xml:space="preserve"> </w:t>
      </w:r>
      <w:r>
        <w:t xml:space="preserve">when that replica recovers [DeCandia et al. 2007].</w:t>
      </w:r>
    </w:p>
    <w:bookmarkStart w:id="3061" w:name="first-principles-explanation-148"/>
    <w:p>
      <w:pPr>
        <w:pStyle w:val="Heading4"/>
      </w:pPr>
      <w:r>
        <w:t xml:space="preserve">First-principles explanation</w:t>
      </w:r>
    </w:p>
    <w:p>
      <w:pPr>
        <w:pStyle w:val="FirstParagraph"/>
      </w:pPr>
      <w:r>
        <w:t xml:space="preserve">A courier leaves a parcel next door with a note,</w:t>
      </w:r>
      <w:r>
        <w:t xml:space="preserve"> </w:t>
      </w:r>
      <w:r>
        <w:t xml:space="preserve">“</w:t>
      </w:r>
      <w:r>
        <w:t xml:space="preserve">for number 12</w:t>
      </w:r>
      <w:r>
        <w:t xml:space="preserve">”</w:t>
      </w:r>
      <w:r>
        <w:t xml:space="preserve">, and the neighbor hands it over when number 12 returns. Nothing is lost, but anyone asking at number 12 in the meantime will not find it.</w:t>
      </w:r>
    </w:p>
    <w:bookmarkEnd w:id="3061"/>
    <w:bookmarkStart w:id="3065" w:name="how-it-works-internally-100"/>
    <w:p>
      <w:pPr>
        <w:pStyle w:val="Heading4"/>
      </w:pPr>
      <w:r>
        <w:t xml:space="preserve">How it works internally</w:t>
      </w:r>
    </w:p>
    <w:p>
      <w:pPr>
        <w:numPr>
          <w:ilvl w:val="0"/>
          <w:numId w:val="1882"/>
        </w:numPr>
        <w:pStyle w:val="Compact"/>
      </w:pPr>
      <w:r>
        <w:t xml:space="preserve">The coordinator walks the preference list beyond the first</w:t>
      </w:r>
      <w:r>
        <w:t xml:space="preserve"> </w:t>
      </w:r>
      <m:oMath>
        <m:r>
          <m:t>N</m:t>
        </m:r>
      </m:oMath>
      <w:r>
        <w:t xml:space="preserve"> </w:t>
      </w:r>
      <w:r>
        <w:t xml:space="preserve">nodes when home replicas are unreachable, choosing the first</w:t>
      </w:r>
      <w:r>
        <w:t xml:space="preserve"> </w:t>
      </w:r>
      <m:oMath>
        <m:r>
          <m:t>N</m:t>
        </m:r>
      </m:oMath>
      <w:r>
        <w:t xml:space="preserve"> </w:t>
      </w:r>
      <w:r>
        <w:rPr>
          <w:iCs/>
          <w:i/>
        </w:rPr>
        <w:t xml:space="preserve">healthy</w:t>
      </w:r>
      <w:r>
        <w:t xml:space="preserve"> </w:t>
      </w:r>
      <w:r>
        <w:t xml:space="preserve">nodes.</w:t>
      </w:r>
    </w:p>
    <w:p>
      <w:pPr>
        <w:numPr>
          <w:ilvl w:val="0"/>
          <w:numId w:val="1882"/>
        </w:numPr>
        <w:pStyle w:val="Compact"/>
      </w:pPr>
      <w:r>
        <w:t xml:space="preserve">A stand-in stores the write in a separate local hint store, tagged with the intended owner.</w:t>
      </w:r>
    </w:p>
    <w:p>
      <w:pPr>
        <w:numPr>
          <w:ilvl w:val="0"/>
          <w:numId w:val="1882"/>
        </w:numPr>
        <w:pStyle w:val="Compact"/>
      </w:pPr>
      <w:r>
        <w:t xml:space="preserve">The stand-in periodically checks whether the owner is reachable again and, when it is, replays the hint and deletes it.</w:t>
      </w:r>
    </w:p>
    <w:p>
      <w:pPr>
        <w:numPr>
          <w:ilvl w:val="0"/>
          <w:numId w:val="1882"/>
        </w:numPr>
        <w:pStyle w:val="Compact"/>
      </w:pPr>
      <w:r>
        <w:t xml:space="preserve">If the owner stays down longer than a configured</w:t>
      </w:r>
      <w:r>
        <w:t xml:space="preserve"> </w:t>
      </w:r>
      <w:r>
        <w:rPr>
          <w:bCs/>
          <w:b/>
        </w:rPr>
        <w:t xml:space="preserve">hint window</w:t>
      </w:r>
      <w:r>
        <w:t xml:space="preserve">, the stand-in stops collecting hints, and Merkle-tree repair (§27.13) must restore the replica.</w:t>
      </w:r>
    </w:p>
    <w:p>
      <w:pPr>
        <w:pStyle w:val="FirstParagraph"/>
      </w:pPr>
      <w:r>
        <w:rPr>
          <w:bCs/>
          <w:b/>
        </w:rPr>
        <w:t xml:space="preserve">Figure 27.8 — A sloppy quorum write and later handoff.</w:t>
      </w:r>
    </w:p>
    <w:p>
      <w:pPr>
        <w:pStyle w:val="BodyText"/>
      </w:pPr>
      <w:r>
        <w:drawing>
          <wp:inline>
            <wp:extent cx="5334000" cy="4230846"/>
            <wp:effectExtent b="0" l="0" r="0" t="0"/>
            <wp:docPr descr="" title="" id="3063" name="Picture"/>
            <a:graphic>
              <a:graphicData uri="http://schemas.openxmlformats.org/drawingml/2006/picture">
                <pic:pic>
                  <pic:nvPicPr>
                    <pic:cNvPr descr="/home/user/System-Design/build/.cache/diagrams/cee5a4c8e9d7.png" id="3064" name="Picture"/>
                    <pic:cNvPicPr>
                      <a:picLocks noChangeArrowheads="1" noChangeAspect="1"/>
                    </pic:cNvPicPr>
                  </pic:nvPicPr>
                  <pic:blipFill>
                    <a:blip r:embed="rId3062"/>
                    <a:stretch>
                      <a:fillRect/>
                    </a:stretch>
                  </pic:blipFill>
                  <pic:spPr bwMode="auto">
                    <a:xfrm>
                      <a:off x="0" y="0"/>
                      <a:ext cx="5334000" cy="4230846"/>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coordinator’s writes are synchronous RPCs. Home replica F is unreachable (crossed arrow), so stand-in G, the next node on the ring, accepts the write into a separate hint log, and its acknowledgment counts toward</w:t>
      </w:r>
      <w:r>
        <w:t xml:space="preserve"> </w:t>
      </w:r>
      <m:oMath>
        <m:r>
          <m:t>W</m:t>
        </m:r>
      </m:oMath>
      <w:r>
        <w:t xml:space="preserve">. When F returns, G replays the write asynchronously (open arrowhead) and deletes the hint. Storage boundaries are the hint log on G and the main store on F. Failure points: G failing before handoff (the hint is lost, so anti-entropy must repair F), and reads in the meantime that go to the home replicas and miss the write, because G is not in their read set.</w:t>
      </w:r>
    </w:p>
    <w:bookmarkEnd w:id="3065"/>
    <w:bookmarkStart w:id="3066" w:name="mathematical-foundations-56"/>
    <w:p>
      <w:pPr>
        <w:pStyle w:val="Heading4"/>
      </w:pPr>
      <w:r>
        <w:t xml:space="preserve">Mathematical foundations</w:t>
      </w:r>
    </w:p>
    <w:p>
      <w:pPr>
        <w:pStyle w:val="CalloutFormula"/>
      </w:pPr>
      <w:r>
        <w:rPr>
          <w:bCs/>
          <w:b/>
        </w:rPr>
        <w:t xml:space="preserve">FORMULA</w:t>
      </w:r>
    </w:p>
    <w:p>
      <w:pPr>
        <w:pStyle w:val="CalloutFormula"/>
      </w:pPr>
      <w:r>
        <w:rPr>
          <w:bCs/>
          <w:b/>
        </w:rPr>
        <w:t xml:space="preserve">Hint volume during an outage</w:t>
      </w:r>
    </w:p>
    <w:p>
      <w:pPr>
        <w:pStyle w:val="CalloutFormula"/>
      </w:pPr>
      <m:oMathPara>
        <m:oMathParaPr>
          <m:jc m:val="center"/>
        </m:oMathParaPr>
        <m:oMath>
          <m:sSub>
            <m:e>
              <m:r>
                <m:t>V</m:t>
              </m:r>
            </m:e>
            <m:sub>
              <m:r>
                <m:t>h</m:t>
              </m:r>
            </m:sub>
          </m:sSub>
          <m:r>
            <m:rPr>
              <m:sty m:val="p"/>
            </m:rPr>
            <m:t>=</m:t>
          </m:r>
          <m:f>
            <m:fPr>
              <m:type m:val="bar"/>
            </m:fPr>
            <m:num>
              <m:sSub>
                <m:e>
                  <m:r>
                    <m:t>r</m:t>
                  </m:r>
                </m:e>
                <m:sub>
                  <m:r>
                    <m:t>w</m:t>
                  </m:r>
                </m:sub>
              </m:sSub>
              <m:r>
                <m:rPr>
                  <m:sty m:val="p"/>
                </m:rPr>
                <m:t>⋅</m:t>
              </m:r>
              <m:r>
                <m:t>N</m:t>
              </m:r>
            </m:num>
            <m:den>
              <m:r>
                <m:t>n</m:t>
              </m:r>
            </m:den>
          </m:f>
          <m:r>
            <m:rPr>
              <m:sty m:val="p"/>
            </m:rPr>
            <m:t>⋅</m:t>
          </m:r>
          <m:sSub>
            <m:e>
              <m:r>
                <m:t>T</m:t>
              </m:r>
            </m:e>
            <m:sub>
              <m:r>
                <m:rPr>
                  <m:nor/>
                  <m:sty m:val="p"/>
                </m:rPr>
                <m:t>down</m:t>
              </m:r>
            </m:sub>
          </m:sSub>
          <m:r>
            <m:rPr>
              <m:sty m:val="p"/>
            </m:rPr>
            <m:t>⋅</m:t>
          </m:r>
          <m:r>
            <m:t>s</m:t>
          </m:r>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V</m:t>
                  </m:r>
                </m:e>
                <m:sub>
                  <m:r>
                    <m:t>h</m:t>
                  </m:r>
                </m:sub>
              </m:sSub>
            </m:oMath>
          </w:p>
        </w:tc>
        <w:tc>
          <w:tcPr/>
          <w:p>
            <w:pPr>
              <w:pStyle w:val="Compact"/>
              <w:jc w:val="left"/>
            </w:pPr>
            <w:r>
              <w:t xml:space="preserve">Total hints accumulated for the failed node across the cluster</w:t>
            </w:r>
          </w:p>
        </w:tc>
        <w:tc>
          <w:tcPr/>
          <w:p>
            <w:pPr>
              <w:pStyle w:val="Compact"/>
              <w:jc w:val="left"/>
            </w:pPr>
            <w:r>
              <w:t xml:space="preserve">bytes</w:t>
            </w:r>
          </w:p>
        </w:tc>
      </w:tr>
      <w:tr>
        <w:tc>
          <w:tcPr/>
          <w:p>
            <w:pPr>
              <w:pStyle w:val="Compact"/>
              <w:jc w:val="left"/>
            </w:pPr>
            <m:oMath>
              <m:sSub>
                <m:e>
                  <m:r>
                    <m:t>r</m:t>
                  </m:r>
                </m:e>
                <m:sub>
                  <m:r>
                    <m:t>w</m:t>
                  </m:r>
                </m:sub>
              </m:sSub>
            </m:oMath>
          </w:p>
        </w:tc>
        <w:tc>
          <w:tcPr/>
          <w:p>
            <w:pPr>
              <w:pStyle w:val="Compact"/>
              <w:jc w:val="left"/>
            </w:pPr>
            <w:r>
              <w:t xml:space="preserve">Cluster-wide client write rate</w:t>
            </w:r>
          </w:p>
        </w:tc>
        <w:tc>
          <w:tcPr/>
          <w:p>
            <w:pPr>
              <w:pStyle w:val="Compact"/>
              <w:jc w:val="left"/>
            </w:pPr>
            <w:r>
              <w:t xml:space="preserve">writes/s</w:t>
            </w:r>
          </w:p>
        </w:tc>
      </w:tr>
      <w:tr>
        <w:tc>
          <w:tcPr/>
          <w:p>
            <w:pPr>
              <w:pStyle w:val="Compact"/>
              <w:jc w:val="left"/>
            </w:pPr>
            <m:oMath>
              <m:r>
                <m:t>N</m:t>
              </m:r>
            </m:oMath>
          </w:p>
        </w:tc>
        <w:tc>
          <w:tcPr/>
          <w:p>
            <w:pPr>
              <w:pStyle w:val="Compact"/>
              <w:jc w:val="left"/>
            </w:pPr>
            <w:r>
              <w:t xml:space="preserve">Replication factor</w:t>
            </w:r>
          </w:p>
        </w:tc>
        <w:tc>
          <w:tcPr/>
          <w:p>
            <w:pPr>
              <w:pStyle w:val="Compact"/>
              <w:jc w:val="left"/>
            </w:pPr>
            <w:r>
              <w:t xml:space="preserve">replicas</w:t>
            </w:r>
          </w:p>
        </w:tc>
      </w:tr>
      <w:tr>
        <w:tc>
          <w:tcPr/>
          <w:p>
            <w:pPr>
              <w:pStyle w:val="Compact"/>
              <w:jc w:val="left"/>
            </w:pPr>
            <m:oMath>
              <m:r>
                <m:t>n</m:t>
              </m:r>
            </m:oMath>
          </w:p>
        </w:tc>
        <w:tc>
          <w:tcPr/>
          <w:p>
            <w:pPr>
              <w:pStyle w:val="Compact"/>
              <w:jc w:val="left"/>
            </w:pPr>
            <w:r>
              <w:t xml:space="preserve">Nodes in the cluster</w:t>
            </w:r>
          </w:p>
        </w:tc>
        <w:tc>
          <w:tcPr/>
          <w:p>
            <w:pPr>
              <w:pStyle w:val="Compact"/>
              <w:jc w:val="left"/>
            </w:pPr>
            <w:r>
              <w:t xml:space="preserve">nodes</w:t>
            </w:r>
          </w:p>
        </w:tc>
      </w:tr>
      <w:tr>
        <w:tc>
          <w:tcPr/>
          <w:p>
            <w:pPr>
              <w:pStyle w:val="Compact"/>
              <w:jc w:val="left"/>
            </w:pPr>
            <m:oMath>
              <m:sSub>
                <m:e>
                  <m:r>
                    <m:t>T</m:t>
                  </m:r>
                </m:e>
                <m:sub>
                  <m:r>
                    <m:rPr>
                      <m:nor/>
                      <m:sty m:val="p"/>
                    </m:rPr>
                    <m:t>down</m:t>
                  </m:r>
                </m:sub>
              </m:sSub>
            </m:oMath>
          </w:p>
        </w:tc>
        <w:tc>
          <w:tcPr/>
          <w:p>
            <w:pPr>
              <w:pStyle w:val="Compact"/>
              <w:jc w:val="left"/>
            </w:pPr>
            <w:r>
              <w:t xml:space="preserve">Time the node is down (capped by the hint window)</w:t>
            </w:r>
          </w:p>
        </w:tc>
        <w:tc>
          <w:tcPr/>
          <w:p>
            <w:pPr>
              <w:pStyle w:val="Compact"/>
              <w:jc w:val="left"/>
            </w:pPr>
            <w:r>
              <w:t xml:space="preserve">s</w:t>
            </w:r>
          </w:p>
        </w:tc>
      </w:tr>
      <w:tr>
        <w:tc>
          <w:tcPr/>
          <w:p>
            <w:pPr>
              <w:pStyle w:val="Compact"/>
              <w:jc w:val="left"/>
            </w:pPr>
            <m:oMath>
              <m:r>
                <m:t>s</m:t>
              </m:r>
            </m:oMath>
          </w:p>
        </w:tc>
        <w:tc>
          <w:tcPr/>
          <w:p>
            <w:pPr>
              <w:pStyle w:val="Compact"/>
              <w:jc w:val="left"/>
            </w:pPr>
            <w:r>
              <w:t xml:space="preserve">Size of one write including overhead</w:t>
            </w:r>
          </w:p>
        </w:tc>
        <w:tc>
          <w:tcPr/>
          <w:p>
            <w:pPr>
              <w:pStyle w:val="Compact"/>
              <w:jc w:val="left"/>
            </w:pPr>
            <w:r>
              <w:t xml:space="preserve">bytes</w:t>
            </w:r>
          </w:p>
        </w:tc>
      </w:tr>
    </w:tbl>
    <w:p>
      <w:pPr>
        <w:pStyle w:val="CalloutExample"/>
      </w:pPr>
      <w:r>
        <w:rPr>
          <w:bCs/>
          <w:b/>
        </w:rPr>
        <w:t xml:space="preserve">WORKED EXAMPLE</w:t>
      </w:r>
    </w:p>
    <w:p>
      <w:pPr>
        <w:pStyle w:val="CalloutExample"/>
      </w:pPr>
      <w:r>
        <w:rPr>
          <w:bCs/>
          <w:b/>
        </w:rPr>
        <w:t xml:space="preserve">Worked example — A one-hour outage.</w:t>
      </w:r>
      <w:r>
        <w:t xml:space="preserve"> </w:t>
      </w:r>
      <w:r>
        <w:t xml:space="preserve">A 12-node cluster takes</w:t>
      </w:r>
      <w:r>
        <w:t xml:space="preserve"> </w:t>
      </w:r>
      <m:oMath>
        <m:sSub>
          <m:e>
            <m:r>
              <m:t>r</m:t>
            </m:r>
          </m:e>
          <m:sub>
            <m:r>
              <m:t>w</m:t>
            </m:r>
          </m:sub>
        </m:sSub>
        <m:r>
          <m:rPr>
            <m:sty m:val="p"/>
          </m:rPr>
          <m:t>=</m:t>
        </m:r>
        <m:r>
          <m:t>60</m:t>
        </m:r>
        <m:r>
          <m:rPr>
            <m:sty m:val="p"/>
          </m:rPr>
          <m:t>,</m:t>
        </m:r>
        <m:r>
          <m:t>000</m:t>
        </m:r>
      </m:oMath>
      <w:r>
        <w:t xml:space="preserve"> </w:t>
      </w:r>
      <w:r>
        <w:t xml:space="preserve">writes/s with</w:t>
      </w:r>
      <w:r>
        <w:t xml:space="preserve"> </w:t>
      </w:r>
      <m:oMath>
        <m:r>
          <m:t>N</m:t>
        </m:r>
        <m:r>
          <m:rPr>
            <m:sty m:val="p"/>
          </m:rPr>
          <m:t>=</m:t>
        </m:r>
        <m:r>
          <m:t>3</m:t>
        </m:r>
      </m:oMath>
      <w:r>
        <w:t xml:space="preserve"> </w:t>
      </w:r>
      <w:r>
        <w:t xml:space="preserve">and 1 KB writes.</w:t>
      </w:r>
    </w:p>
    <w:p>
      <w:pPr>
        <w:numPr>
          <w:ilvl w:val="0"/>
          <w:numId w:val="1883"/>
        </w:numPr>
        <w:pStyle w:val="Compact"/>
      </w:pPr>
      <w:r>
        <w:t xml:space="preserve">Replica writes per node:</w:t>
      </w:r>
      <w:r>
        <w:t xml:space="preserve"> </w:t>
      </w:r>
      <m:oMath>
        <m:r>
          <m:t>60</m:t>
        </m:r>
        <m:r>
          <m:rPr>
            <m:sty m:val="p"/>
          </m:rPr>
          <m:t>,</m:t>
        </m:r>
        <m:r>
          <m:t>000</m:t>
        </m:r>
        <m:r>
          <m:rPr>
            <m:sty m:val="p"/>
          </m:rPr>
          <m:t>×</m:t>
        </m:r>
        <m:r>
          <m:t>3</m:t>
        </m:r>
        <m:r>
          <m:rPr>
            <m:sty m:val="p"/>
          </m:rPr>
          <m:t>/</m:t>
        </m:r>
        <m:r>
          <m:t>12</m:t>
        </m:r>
        <m:r>
          <m:rPr>
            <m:sty m:val="p"/>
          </m:rPr>
          <m:t>=</m:t>
        </m:r>
        <m:r>
          <m:t>15</m:t>
        </m:r>
        <m:r>
          <m:rPr>
            <m:sty m:val="p"/>
          </m:rPr>
          <m:t>,</m:t>
        </m:r>
        <m:r>
          <m:t>000</m:t>
        </m:r>
      </m:oMath>
      <w:r>
        <w:t xml:space="preserve"> </w:t>
      </w:r>
      <w:r>
        <w:t xml:space="preserve">writes/s.</w:t>
      </w:r>
    </w:p>
    <w:p>
      <w:pPr>
        <w:numPr>
          <w:ilvl w:val="0"/>
          <w:numId w:val="1883"/>
        </w:numPr>
        <w:pStyle w:val="Compact"/>
      </w:pPr>
      <w:r>
        <w:t xml:space="preserve">Hints for a one-hour outage:</w:t>
      </w:r>
      <w:r>
        <w:t xml:space="preserve"> </w:t>
      </w:r>
      <m:oMath>
        <m:r>
          <m:t>15</m:t>
        </m:r>
        <m:r>
          <m:rPr>
            <m:sty m:val="p"/>
          </m:rPr>
          <m:t>,</m:t>
        </m:r>
        <m:r>
          <m:t>000</m:t>
        </m:r>
        <m:r>
          <m:rPr>
            <m:sty m:val="p"/>
          </m:rPr>
          <m:t>×</m:t>
        </m:r>
        <m:r>
          <m:t>3</m:t>
        </m:r>
        <m:r>
          <m:rPr>
            <m:sty m:val="p"/>
          </m:rPr>
          <m:t>,</m:t>
        </m:r>
        <m:r>
          <m:t>600</m:t>
        </m:r>
        <m:r>
          <m:rPr>
            <m:sty m:val="p"/>
          </m:rPr>
          <m:t>=</m:t>
        </m:r>
        <m:r>
          <m:t>5.4</m:t>
        </m:r>
        <m:r>
          <m:rPr>
            <m:sty m:val="p"/>
          </m:rPr>
          <m:t>×</m:t>
        </m:r>
        <m:sSup>
          <m:e>
            <m:r>
              <m:t>10</m:t>
            </m:r>
          </m:e>
          <m:sup>
            <m:r>
              <m:t>7</m:t>
            </m:r>
          </m:sup>
        </m:sSup>
      </m:oMath>
      <w:r>
        <w:t xml:space="preserve"> </w:t>
      </w:r>
      <w:r>
        <w:t xml:space="preserve">writes,</w:t>
      </w:r>
      <w:r>
        <w:t xml:space="preserve"> </w:t>
      </w:r>
      <m:oMath>
        <m:r>
          <m:t>5.4</m:t>
        </m:r>
        <m:r>
          <m:rPr>
            <m:sty m:val="p"/>
          </m:rPr>
          <m:t>×</m:t>
        </m:r>
        <m:sSup>
          <m:e>
            <m:r>
              <m:t>10</m:t>
            </m:r>
          </m:e>
          <m:sup>
            <m:r>
              <m:t>7</m:t>
            </m:r>
          </m:sup>
        </m:sSup>
        <m:r>
          <m:rPr>
            <m:sty m:val="p"/>
          </m:rPr>
          <m:t>×</m:t>
        </m:r>
        <m:r>
          <m:t>1</m:t>
        </m:r>
      </m:oMath>
      <w:r>
        <w:t xml:space="preserve"> </w:t>
      </w:r>
      <w:r>
        <w:t xml:space="preserve">KB</w:t>
      </w:r>
      <w:r>
        <w:t xml:space="preserve"> </w:t>
      </w:r>
      <m:oMath>
        <m:r>
          <m:rPr>
            <m:sty m:val="p"/>
          </m:rPr>
          <m:t>=</m:t>
        </m:r>
        <m:r>
          <m:t>54</m:t>
        </m:r>
      </m:oMath>
      <w:r>
        <w:t xml:space="preserve"> </w:t>
      </w:r>
      <w:r>
        <w:t xml:space="preserve">GB.</w:t>
      </w:r>
    </w:p>
    <w:p>
      <w:pPr>
        <w:numPr>
          <w:ilvl w:val="0"/>
          <w:numId w:val="1883"/>
        </w:numPr>
        <w:pStyle w:val="Compact"/>
      </w:pPr>
      <w:r>
        <w:t xml:space="preserve">Spread over the 11 survivors: about 4.9 GB each.</w:t>
      </w:r>
    </w:p>
    <w:p>
      <w:pPr>
        <w:numPr>
          <w:ilvl w:val="0"/>
          <w:numId w:val="1883"/>
        </w:numPr>
        <w:pStyle w:val="Compact"/>
      </w:pPr>
      <w:r>
        <w:t xml:space="preserve">Replay into the recovered node at 100 MB/s total:</w:t>
      </w:r>
      <w:r>
        <w:t xml:space="preserve"> </w:t>
      </w:r>
      <m:oMath>
        <m:r>
          <m:t>54</m:t>
        </m:r>
        <m:r>
          <m:rPr>
            <m:sty m:val="p"/>
          </m:rPr>
          <m:t>×</m:t>
        </m:r>
        <m:sSup>
          <m:e>
            <m:r>
              <m:t>10</m:t>
            </m:r>
          </m:e>
          <m:sup>
            <m:r>
              <m:t>9</m:t>
            </m:r>
          </m:sup>
        </m:sSup>
        <m:r>
          <m:rPr>
            <m:sty m:val="p"/>
          </m:rPr>
          <m:t>/</m:t>
        </m:r>
        <m:sSup>
          <m:e>
            <m:r>
              <m:t>10</m:t>
            </m:r>
          </m:e>
          <m:sup>
            <m:r>
              <m:t>8</m:t>
            </m:r>
          </m:sup>
        </m:sSup>
        <m:r>
          <m:rPr>
            <m:sty m:val="p"/>
          </m:rPr>
          <m:t>=</m:t>
        </m:r>
        <m:r>
          <m:t>540</m:t>
        </m:r>
      </m:oMath>
      <w:r>
        <w:t xml:space="preserve"> </w:t>
      </w:r>
      <w:r>
        <w:t xml:space="preserve">s, about 9 minutes, during which that node still serves stale reads.</w:t>
      </w:r>
    </w:p>
    <w:p>
      <w:pPr>
        <w:pStyle w:val="CalloutExample"/>
      </w:pPr>
      <w:r>
        <w:rPr>
          <w:bCs/>
          <w:b/>
        </w:rPr>
        <w:t xml:space="preserve">Interpretation.</w:t>
      </w:r>
      <w:r>
        <w:t xml:space="preserve"> </w:t>
      </w:r>
      <w:r>
        <w:t xml:space="preserve">Hints are cheap for short outages and grow linearly with downtime.</w:t>
      </w:r>
      <w:r>
        <w:t xml:space="preserve"> </w:t>
      </w:r>
      <w:r>
        <w:rPr>
          <w:bCs/>
          <w:b/>
        </w:rPr>
        <w:t xml:space="preserve">Engineering implication.</w:t>
      </w:r>
      <w:r>
        <w:t xml:space="preserve"> </w:t>
      </w:r>
      <w:r>
        <w:t xml:space="preserve">Cap the hint window (Cassandra’s default is 3 hours, as of Cassandra 4) so stand-ins do not fill their disks, alert when a node exceeds it, and run a full repair before the node rejoins the read path.</w:t>
      </w:r>
    </w:p>
    <w:bookmarkEnd w:id="3066"/>
    <w:bookmarkStart w:id="3067" w:name="real-world-industry-applications-42"/>
    <w:p>
      <w:pPr>
        <w:pStyle w:val="Heading4"/>
      </w:pPr>
      <w:r>
        <w:t xml:space="preserve">Real-world industry applications</w:t>
      </w:r>
    </w:p>
    <w:p>
      <w:pPr>
        <w:pStyle w:val="CalloutIndustry"/>
      </w:pPr>
      <w:r>
        <w:rPr>
          <w:bCs/>
          <w:b/>
        </w:rPr>
        <w:t xml:space="preserve">INDUSTRY EXAMPLE</w:t>
      </w:r>
    </w:p>
    <w:p>
      <w:pPr>
        <w:pStyle w:val="CalloutIndustry"/>
      </w:pPr>
      <w:r>
        <w:rPr>
          <w:bCs/>
          <w:b/>
        </w:rPr>
        <w:t xml:space="preserve">Dynamo versus Cassandra.</w:t>
      </w:r>
      <w:r>
        <w:t xml:space="preserve"> </w:t>
      </w:r>
      <w:r>
        <w:t xml:space="preserve">Dynamo used sloppy quorums: hinted writes count toward</w:t>
      </w:r>
      <w:r>
        <w:t xml:space="preserve"> </w:t>
      </w:r>
      <m:oMath>
        <m:r>
          <m:t>W</m:t>
        </m:r>
      </m:oMath>
      <w:r>
        <w:t xml:space="preserve">, maximizing write availability at the cost of quorum overlap [DeCandia et al. 2007]. Cassandra stores hints too, but by default they do not count toward the consistency level; only</w:t>
      </w:r>
      <w:r>
        <w:t xml:space="preserve"> </w:t>
      </w:r>
      <w:r>
        <w:rPr>
          <w:rStyle w:val="VerbatimChar"/>
        </w:rPr>
        <w:t xml:space="preserve">ANY</w:t>
      </w:r>
      <w:r>
        <w:t xml:space="preserve"> </w:t>
      </w:r>
      <w:r>
        <w:t xml:space="preserve">accepts a write stored solely as a hint. Cassandra’s quorums are therefore strict, and hints are a best-effort repair mechanism [Apache Cassandra Docs: Hints].</w:t>
      </w:r>
      <w:r>
        <w:t xml:space="preserve"> </w:t>
      </w:r>
      <w:r>
        <w:rPr>
          <w:iCs/>
          <w:i/>
        </w:rPr>
        <w:t xml:space="preserve">Evidence: Primary</w:t>
      </w:r>
      <w:r>
        <w:t xml:space="preserve"> </w:t>
      </w:r>
      <w:r>
        <w:t xml:space="preserve">— [DeCandia et al. 2007; Apache Cassandra Docs: Hints]</w:t>
      </w:r>
    </w:p>
    <w:p>
      <w:pPr>
        <w:pStyle w:val="CalloutWarning"/>
      </w:pPr>
      <w:r>
        <w:rPr>
          <w:bCs/>
          <w:b/>
        </w:rPr>
        <w:t xml:space="preserve">WARNING / TRADE-OFF</w:t>
      </w:r>
    </w:p>
    <w:p>
      <w:pPr>
        <w:pStyle w:val="CalloutWarning"/>
      </w:pPr>
      <w:r>
        <w:rPr>
          <w:bCs/>
          <w:b/>
        </w:rPr>
        <w:t xml:space="preserve">Warning — Sloppy quorums break the overlap guarantee.</w:t>
      </w:r>
      <w:r>
        <w:t xml:space="preserve"> </w:t>
      </w:r>
      <w:r>
        <w:t xml:space="preserve">A write acknowledged by stand-ins G and H and a later read from home replicas D and F can share no node, even though</w:t>
      </w:r>
      <w:r>
        <w:t xml:space="preserve"> </w:t>
      </w:r>
      <m:oMath>
        <m:r>
          <m:t>R</m:t>
        </m:r>
        <m:r>
          <m:rPr>
            <m:sty m:val="p"/>
          </m:rPr>
          <m:t>+</m:t>
        </m:r>
        <m:r>
          <m:t>W</m:t>
        </m:r>
        <m:r>
          <m:rPr>
            <m:sty m:val="p"/>
          </m:rPr>
          <m:t>&gt;</m:t>
        </m:r>
        <m:r>
          <m:t>N</m:t>
        </m:r>
      </m:oMath>
      <w:r>
        <w:t xml:space="preserve">. Treat a sloppy quorum as a durability promise (</w:t>
      </w:r>
      <w:r>
        <w:t xml:space="preserve">“</w:t>
      </w:r>
      <m:oMath>
        <m:r>
          <m:t>W</m:t>
        </m:r>
      </m:oMath>
      <w:r>
        <w:t xml:space="preserve"> </w:t>
      </w:r>
      <w:r>
        <w:t xml:space="preserve">nodes hold this write</w:t>
      </w:r>
      <w:r>
        <w:t xml:space="preserve">”</w:t>
      </w:r>
      <w:r>
        <w:t xml:space="preserve">), not a consistency promise.</w:t>
      </w:r>
    </w:p>
    <w:bookmarkEnd w:id="3067"/>
    <w:bookmarkEnd w:id="3068"/>
    <w:bookmarkEnd w:id="3069"/>
    <w:bookmarkStart w:id="3078" w:name="failure-detection"/>
    <w:p>
      <w:pPr>
        <w:pStyle w:val="Heading2"/>
      </w:pPr>
      <w:r>
        <w:t xml:space="preserve">27.10 Failure detection</w:t>
      </w:r>
    </w:p>
    <w:bookmarkStart w:id="3072" w:name="heartbeats-and-timeouts"/>
    <w:p>
      <w:pPr>
        <w:pStyle w:val="Heading3"/>
      </w:pPr>
      <w:r>
        <w:t xml:space="preserve">27.10.1 Heartbeats and timeouts</w:t>
      </w:r>
    </w:p>
    <w:p>
      <w:pPr>
        <w:pStyle w:val="CalloutDefinition"/>
      </w:pPr>
      <w:r>
        <w:rPr>
          <w:bCs/>
          <w:b/>
        </w:rPr>
        <w:t xml:space="preserve">DEFINITION</w:t>
      </w:r>
    </w:p>
    <w:p>
      <w:pPr>
        <w:pStyle w:val="CalloutDefinition"/>
      </w:pPr>
      <w:r>
        <w:rPr>
          <w:bCs/>
          <w:b/>
        </w:rPr>
        <w:t xml:space="preserve">Definition — Failure detector.</w:t>
      </w:r>
      <w:r>
        <w:t xml:space="preserve"> </w:t>
      </w:r>
      <w:r>
        <w:t xml:space="preserve">A component that outputs, for each monitored process, whether it currently</w:t>
      </w:r>
      <w:r>
        <w:t xml:space="preserve"> </w:t>
      </w:r>
      <w:r>
        <w:rPr>
          <w:bCs/>
          <w:b/>
        </w:rPr>
        <w:t xml:space="preserve">suspects</w:t>
      </w:r>
      <w:r>
        <w:t xml:space="preserve"> </w:t>
      </w:r>
      <w:r>
        <w:t xml:space="preserve">that process has crashed. It is</w:t>
      </w:r>
      <w:r>
        <w:t xml:space="preserve"> </w:t>
      </w:r>
      <w:r>
        <w:rPr>
          <w:bCs/>
          <w:b/>
        </w:rPr>
        <w:t xml:space="preserve">complete</w:t>
      </w:r>
      <w:r>
        <w:t xml:space="preserve"> </w:t>
      </w:r>
      <w:r>
        <w:t xml:space="preserve">if every crashed process is eventually suspected and</w:t>
      </w:r>
      <w:r>
        <w:t xml:space="preserve"> </w:t>
      </w:r>
      <w:r>
        <w:rPr>
          <w:bCs/>
          <w:b/>
        </w:rPr>
        <w:t xml:space="preserve">accurate</w:t>
      </w:r>
      <w:r>
        <w:t xml:space="preserve"> </w:t>
      </w:r>
      <w:r>
        <w:t xml:space="preserve">if live processes are not suspected. In an asynchronous network no detector can be both perfectly complete and perfectly accurate, because a slow process is indistinguishable from a dead one [Chandra and Toueg 1996].</w:t>
      </w:r>
    </w:p>
    <w:bookmarkStart w:id="3070" w:name="first-principles-explanation-149"/>
    <w:p>
      <w:pPr>
        <w:pStyle w:val="Heading4"/>
      </w:pPr>
      <w:r>
        <w:t xml:space="preserve">First-principles explanation</w:t>
      </w:r>
    </w:p>
    <w:p>
      <w:pPr>
        <w:pStyle w:val="FirstParagraph"/>
      </w:pPr>
      <w:r>
        <w:t xml:space="preserve">You phone a friend every evening. One evening there is no call. Did the friend’s phone die, are they busy, or is the network down? If you raise the alarm after five minutes, you will often worry about nothing; if you wait a week, you will be late when something really happened. Every failure detector picks a point on this curve between</w:t>
      </w:r>
      <w:r>
        <w:t xml:space="preserve"> </w:t>
      </w:r>
      <w:r>
        <w:rPr>
          <w:bCs/>
          <w:b/>
        </w:rPr>
        <w:t xml:space="preserve">detection time</w:t>
      </w:r>
      <w:r>
        <w:t xml:space="preserve"> </w:t>
      </w:r>
      <w:r>
        <w:t xml:space="preserve">and</w:t>
      </w:r>
      <w:r>
        <w:t xml:space="preserve"> </w:t>
      </w:r>
      <w:r>
        <w:rPr>
          <w:bCs/>
          <w:b/>
        </w:rPr>
        <w:t xml:space="preserve">false-suspicion rate</w:t>
      </w:r>
      <w:r>
        <w:t xml:space="preserve">.</w:t>
      </w:r>
    </w:p>
    <w:bookmarkEnd w:id="3070"/>
    <w:bookmarkStart w:id="3071" w:name="how-it-works-internally-101"/>
    <w:p>
      <w:pPr>
        <w:pStyle w:val="Heading4"/>
      </w:pPr>
      <w:r>
        <w:t xml:space="preserve">How it works internally</w:t>
      </w:r>
    </w:p>
    <w:p>
      <w:pPr>
        <w:numPr>
          <w:ilvl w:val="0"/>
          <w:numId w:val="1884"/>
        </w:numPr>
        <w:pStyle w:val="Compact"/>
      </w:pPr>
      <w:r>
        <w:t xml:space="preserve">Each node sends a</w:t>
      </w:r>
      <w:r>
        <w:t xml:space="preserve"> </w:t>
      </w:r>
      <w:r>
        <w:rPr>
          <w:bCs/>
          <w:b/>
        </w:rPr>
        <w:t xml:space="preserve">heartbeat</w:t>
      </w:r>
      <w:r>
        <w:t xml:space="preserve"> </w:t>
      </w:r>
      <w:r>
        <w:t xml:space="preserve">every</w:t>
      </w:r>
      <w:r>
        <w:t xml:space="preserve"> </w:t>
      </w:r>
      <m:oMath>
        <m:r>
          <m:t>h</m:t>
        </m:r>
      </m:oMath>
      <w:r>
        <w:t xml:space="preserve"> </w:t>
      </w:r>
      <w:r>
        <w:t xml:space="preserve">seconds (push), or a monitor sends</w:t>
      </w:r>
      <w:r>
        <w:t xml:space="preserve"> </w:t>
      </w:r>
      <w:r>
        <w:rPr>
          <w:bCs/>
          <w:b/>
        </w:rPr>
        <w:t xml:space="preserve">pings</w:t>
      </w:r>
      <w:r>
        <w:t xml:space="preserve"> </w:t>
      </w:r>
      <w:r>
        <w:t xml:space="preserve">and expects replies (pull).</w:t>
      </w:r>
    </w:p>
    <w:p>
      <w:pPr>
        <w:numPr>
          <w:ilvl w:val="0"/>
          <w:numId w:val="1884"/>
        </w:numPr>
        <w:pStyle w:val="Compact"/>
      </w:pPr>
      <w:r>
        <w:t xml:space="preserve">The monitor records the arrival time of the last heartbeat.</w:t>
      </w:r>
    </w:p>
    <w:p>
      <w:pPr>
        <w:numPr>
          <w:ilvl w:val="0"/>
          <w:numId w:val="1884"/>
        </w:numPr>
        <w:pStyle w:val="Compact"/>
      </w:pPr>
      <w:r>
        <w:t xml:space="preserve">If nothing arrives within a</w:t>
      </w:r>
      <w:r>
        <w:t xml:space="preserve"> </w:t>
      </w:r>
      <w:r>
        <w:rPr>
          <w:bCs/>
          <w:b/>
        </w:rPr>
        <w:t xml:space="preserve">timeout</w:t>
      </w:r>
      <w:r>
        <w:t xml:space="preserve"> </w:t>
      </w:r>
      <m:oMath>
        <m:sSub>
          <m:e>
            <m:r>
              <m:t>T</m:t>
            </m:r>
          </m:e>
          <m:sub>
            <m:r>
              <m:rPr>
                <m:nor/>
                <m:sty m:val="p"/>
              </m:rPr>
              <m:t>out</m:t>
            </m:r>
          </m:sub>
        </m:sSub>
      </m:oMath>
      <w:r>
        <w:t xml:space="preserve">, the node is suspected.</w:t>
      </w:r>
    </w:p>
    <w:p>
      <w:pPr>
        <w:pStyle w:val="FirstParagraph"/>
      </w:pPr>
      <w:r>
        <w:t xml:space="preserve">A crash happens at a random point in the heartbeat cycle, so the crash-to-suspicion time is between</w:t>
      </w:r>
      <w:r>
        <w:t xml:space="preserve"> </w:t>
      </w:r>
      <m:oMath>
        <m:sSub>
          <m:e>
            <m:r>
              <m:t>T</m:t>
            </m:r>
          </m:e>
          <m:sub>
            <m:r>
              <m:rPr>
                <m:nor/>
                <m:sty m:val="p"/>
              </m:rPr>
              <m:t>out</m:t>
            </m:r>
          </m:sub>
        </m:sSub>
        <m:r>
          <m:rPr>
            <m:sty m:val="p"/>
          </m:rPr>
          <m:t>−</m:t>
        </m:r>
        <m:r>
          <m:t>h</m:t>
        </m:r>
      </m:oMath>
      <w:r>
        <w:t xml:space="preserve"> </w:t>
      </w:r>
      <w:r>
        <w:t xml:space="preserve">and</w:t>
      </w:r>
      <w:r>
        <w:t xml:space="preserve"> </w:t>
      </w:r>
      <m:oMath>
        <m:sSub>
          <m:e>
            <m:r>
              <m:t>T</m:t>
            </m:r>
          </m:e>
          <m:sub>
            <m:r>
              <m:rPr>
                <m:nor/>
                <m:sty m:val="p"/>
              </m:rPr>
              <m:t>out</m:t>
            </m:r>
          </m:sub>
        </m:sSub>
      </m:oMath>
      <w:r>
        <w:t xml:space="preserve">, about</w:t>
      </w:r>
      <w:r>
        <w:t xml:space="preserve"> </w:t>
      </w:r>
      <m:oMath>
        <m:sSub>
          <m:e>
            <m:r>
              <m:t>T</m:t>
            </m:r>
          </m:e>
          <m:sub>
            <m:r>
              <m:rPr>
                <m:nor/>
                <m:sty m:val="p"/>
              </m:rPr>
              <m:t>out</m:t>
            </m:r>
          </m:sub>
        </m:sSub>
        <m:r>
          <m:rPr>
            <m:sty m:val="p"/>
          </m:rPr>
          <m:t>−</m:t>
        </m:r>
        <m:r>
          <m:t>h</m:t>
        </m:r>
        <m:r>
          <m:rPr>
            <m:sty m:val="p"/>
          </m:rPr>
          <m:t>/</m:t>
        </m:r>
        <m:r>
          <m:t>2</m:t>
        </m:r>
      </m:oMath>
      <w:r>
        <w:t xml:space="preserve"> </w:t>
      </w:r>
      <w:r>
        <w:t xml:space="preserve">on average. A fixed timeout must exceed the worst normal gap from jitter, garbage-collection pauses and CPU starvation; three to five heartbeat intervals is a common rule. But one number cannot suit both a quiet LAN and a congested cross-region link.</w:t>
      </w:r>
    </w:p>
    <w:bookmarkEnd w:id="3071"/>
    <w:bookmarkEnd w:id="3072"/>
    <w:bookmarkStart w:id="3073" w:name="the-phi-accrual-detector"/>
    <w:p>
      <w:pPr>
        <w:pStyle w:val="Heading3"/>
      </w:pPr>
      <w:r>
        <w:t xml:space="preserve">27.10.2 The phi-accrual detector</w:t>
      </w:r>
    </w:p>
    <w:p>
      <w:pPr>
        <w:pStyle w:val="FirstParagraph"/>
      </w:pPr>
      <w:r>
        <w:t xml:space="preserve">Hayashibara et al. replaced the binary verdict with a continuous</w:t>
      </w:r>
      <w:r>
        <w:t xml:space="preserve"> </w:t>
      </w:r>
      <w:r>
        <w:rPr>
          <w:bCs/>
          <w:b/>
        </w:rPr>
        <w:t xml:space="preserve">suspicion level</w:t>
      </w:r>
      <w:r>
        <w:t xml:space="preserve"> </w:t>
      </w:r>
      <m:oMath>
        <m:r>
          <m:t>φ</m:t>
        </m:r>
      </m:oMath>
      <w:r>
        <w:t xml:space="preserve"> </w:t>
      </w:r>
      <w:r>
        <w:t xml:space="preserve">that adapts to the observed heartbeat history; each application then picks its own threshold [Hayashibara et al. 2004].</w:t>
      </w:r>
    </w:p>
    <w:p>
      <w:pPr>
        <w:pStyle w:val="CalloutFormula"/>
      </w:pPr>
      <w:r>
        <w:rPr>
          <w:bCs/>
          <w:b/>
        </w:rPr>
        <w:t xml:space="preserve">FORMULA</w:t>
      </w:r>
    </w:p>
    <w:p>
      <w:pPr>
        <w:pStyle w:val="CalloutFormula"/>
      </w:pPr>
      <w:r>
        <w:rPr>
          <w:bCs/>
          <w:b/>
        </w:rPr>
        <w:t xml:space="preserve">Phi-accrual suspicion level (normal model)</w:t>
      </w:r>
    </w:p>
    <w:p>
      <w:pPr>
        <w:pStyle w:val="CalloutFormula"/>
      </w:pPr>
      <m:oMathPara>
        <m:oMathParaPr>
          <m:jc m:val="center"/>
        </m:oMathParaPr>
        <m:oMath>
          <m:r>
            <m:t>φ</m:t>
          </m:r>
          <m:d>
            <m:dPr>
              <m:begChr m:val="("/>
              <m:endChr m:val=")"/>
              <m:sepChr m:val=""/>
              <m:grow/>
            </m:dPr>
            <m:e>
              <m:sSub>
                <m:e>
                  <m:r>
                    <m:t>t</m:t>
                  </m:r>
                </m:e>
                <m:sub>
                  <m:r>
                    <m:rPr>
                      <m:nor/>
                      <m:sty m:val="p"/>
                    </m:rPr>
                    <m:t>now</m:t>
                  </m:r>
                </m:sub>
              </m:sSub>
            </m:e>
          </m:d>
          <m:r>
            <m:rPr>
              <m:sty m:val="p"/>
            </m:rPr>
            <m:t>=</m:t>
          </m:r>
          <m:r>
            <m:rPr>
              <m:sty m:val="p"/>
            </m:rPr>
            <m:t>−</m:t>
          </m:r>
          <m:sSub>
            <m:e>
              <m:r>
                <m:rPr>
                  <m:sty m:val="p"/>
                </m:rPr>
                <m:t>log</m:t>
              </m:r>
            </m:e>
            <m:sub>
              <m:r>
                <m:t>10</m:t>
              </m:r>
            </m:sub>
          </m:sSub>
          <m:d>
            <m:dPr>
              <m:begChr m:val="("/>
              <m:endChr m:val=")"/>
              <m:sepChr m:val=""/>
              <m:grow/>
            </m:dPr>
            <m:e>
              <m:r>
                <m:t>1</m:t>
              </m:r>
              <m:r>
                <m:rPr>
                  <m:sty m:val="p"/>
                </m:rPr>
                <m:t>−</m:t>
              </m:r>
              <m:r>
                <m:t>F</m:t>
              </m:r>
              <m:d>
                <m:dPr>
                  <m:begChr m:val="("/>
                  <m:endChr m:val=")"/>
                  <m:sepChr m:val=""/>
                  <m:grow/>
                </m:dPr>
                <m:e>
                  <m:sSub>
                    <m:e>
                      <m:r>
                        <m:t>t</m:t>
                      </m:r>
                    </m:e>
                    <m:sub>
                      <m:r>
                        <m:rPr>
                          <m:nor/>
                          <m:sty m:val="p"/>
                        </m:rPr>
                        <m:t>now</m:t>
                      </m:r>
                    </m:sub>
                  </m:sSub>
                  <m:r>
                    <m:rPr>
                      <m:sty m:val="p"/>
                    </m:rPr>
                    <m:t>−</m:t>
                  </m:r>
                  <m:sSub>
                    <m:e>
                      <m:r>
                        <m:t>t</m:t>
                      </m:r>
                    </m:e>
                    <m:sub>
                      <m:r>
                        <m:rPr>
                          <m:nor/>
                          <m:sty m:val="p"/>
                        </m:rPr>
                        <m:t>last</m:t>
                      </m:r>
                    </m:sub>
                  </m:sSub>
                </m:e>
              </m:d>
            </m:e>
          </m:d>
          <m:r>
            <m:rPr>
              <m:sty m:val="p"/>
            </m:rPr>
            <m:t>,</m:t>
          </m:r>
          <m:r>
            <m:t>  </m:t>
          </m:r>
          <m:r>
            <m:t>F</m:t>
          </m:r>
          <m:d>
            <m:dPr>
              <m:begChr m:val="("/>
              <m:endChr m:val=")"/>
              <m:sepChr m:val=""/>
              <m:grow/>
            </m:dPr>
            <m:e>
              <m:r>
                <m:t>δ</m:t>
              </m:r>
            </m:e>
          </m:d>
          <m:r>
            <m:rPr>
              <m:sty m:val="p"/>
            </m:rPr>
            <m:t>=</m:t>
          </m:r>
          <m:r>
            <m:t>Φ</m:t>
          </m:r>
          <m:r>
            <m:t>​</m:t>
          </m:r>
          <m:d>
            <m:dPr>
              <m:begChr m:val="("/>
              <m:endChr m:val=")"/>
              <m:sepChr m:val=""/>
              <m:grow/>
            </m:dPr>
            <m:e>
              <m:f>
                <m:fPr>
                  <m:type m:val="bar"/>
                </m:fPr>
                <m:num>
                  <m:r>
                    <m:t>δ</m:t>
                  </m:r>
                  <m:r>
                    <m:rPr>
                      <m:sty m:val="p"/>
                    </m:rPr>
                    <m:t>−</m:t>
                  </m:r>
                  <m:r>
                    <m:t>μ</m:t>
                  </m:r>
                </m:num>
                <m:den>
                  <m:r>
                    <m:t>σ</m:t>
                  </m:r>
                </m:den>
              </m:f>
            </m:e>
          </m:d>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φ</m:t>
              </m:r>
            </m:oMath>
          </w:p>
        </w:tc>
        <w:tc>
          <w:tcPr/>
          <w:p>
            <w:pPr>
              <w:pStyle w:val="Compact"/>
              <w:jc w:val="left"/>
            </w:pPr>
            <w:r>
              <w:t xml:space="preserve">Suspicion level; the detector’s false-suspicion probability is about</w:t>
            </w:r>
            <w:r>
              <w:t xml:space="preserve"> </w:t>
            </w:r>
            <m:oMath>
              <m:sSup>
                <m:e>
                  <m:r>
                    <m:t>10</m:t>
                  </m:r>
                </m:e>
                <m:sup>
                  <m:r>
                    <m:rPr>
                      <m:sty m:val="p"/>
                    </m:rPr>
                    <m:t>−</m:t>
                  </m:r>
                  <m:r>
                    <m:t>φ</m:t>
                  </m:r>
                </m:sup>
              </m:sSup>
            </m:oMath>
          </w:p>
        </w:tc>
        <w:tc>
          <w:tcPr/>
          <w:p>
            <w:pPr>
              <w:pStyle w:val="Compact"/>
              <w:jc w:val="left"/>
            </w:pPr>
            <w:r>
              <w:t xml:space="preserve">dimensionless</w:t>
            </w:r>
          </w:p>
        </w:tc>
      </w:tr>
      <w:tr>
        <w:tc>
          <w:tcPr/>
          <w:p>
            <w:pPr>
              <w:pStyle w:val="Compact"/>
              <w:jc w:val="left"/>
            </w:pPr>
            <m:oMath>
              <m:sSub>
                <m:e>
                  <m:r>
                    <m:t>t</m:t>
                  </m:r>
                </m:e>
                <m:sub>
                  <m:r>
                    <m:rPr>
                      <m:nor/>
                      <m:sty m:val="p"/>
                    </m:rPr>
                    <m:t>now</m:t>
                  </m:r>
                </m:sub>
              </m:sSub>
              <m:r>
                <m:rPr>
                  <m:sty m:val="p"/>
                </m:rPr>
                <m:t>−</m:t>
              </m:r>
              <m:sSub>
                <m:e>
                  <m:r>
                    <m:t>t</m:t>
                  </m:r>
                </m:e>
                <m:sub>
                  <m:r>
                    <m:rPr>
                      <m:nor/>
                      <m:sty m:val="p"/>
                    </m:rPr>
                    <m:t>last</m:t>
                  </m:r>
                </m:sub>
              </m:sSub>
            </m:oMath>
          </w:p>
        </w:tc>
        <w:tc>
          <w:tcPr/>
          <w:p>
            <w:pPr>
              <w:pStyle w:val="Compact"/>
              <w:jc w:val="left"/>
            </w:pPr>
            <w:r>
              <w:t xml:space="preserve">Time since the last heartbeat arrived,</w:t>
            </w:r>
            <w:r>
              <w:t xml:space="preserve"> </w:t>
            </w:r>
            <m:oMath>
              <m:r>
                <m:t>δ</m:t>
              </m:r>
            </m:oMath>
          </w:p>
        </w:tc>
        <w:tc>
          <w:tcPr/>
          <w:p>
            <w:pPr>
              <w:pStyle w:val="Compact"/>
              <w:jc w:val="left"/>
            </w:pPr>
            <w:r>
              <w:t xml:space="preserve">ms</w:t>
            </w:r>
          </w:p>
        </w:tc>
      </w:tr>
      <w:tr>
        <w:tc>
          <w:tcPr/>
          <w:p>
            <w:pPr>
              <w:pStyle w:val="Compact"/>
              <w:jc w:val="left"/>
            </w:pPr>
            <m:oMath>
              <m:r>
                <m:t>μ</m:t>
              </m:r>
              <m:r>
                <m:rPr>
                  <m:sty m:val="p"/>
                </m:rPr>
                <m:t>,</m:t>
              </m:r>
              <m:r>
                <m:t>σ</m:t>
              </m:r>
            </m:oMath>
          </w:p>
        </w:tc>
        <w:tc>
          <w:tcPr/>
          <w:p>
            <w:pPr>
              <w:pStyle w:val="Compact"/>
              <w:jc w:val="left"/>
            </w:pPr>
            <w:r>
              <w:t xml:space="preserve">Mean and standard deviation of recent inter-arrival times (sliding window)</w:t>
            </w:r>
          </w:p>
        </w:tc>
        <w:tc>
          <w:tcPr/>
          <w:p>
            <w:pPr>
              <w:pStyle w:val="Compact"/>
              <w:jc w:val="left"/>
            </w:pPr>
            <w:r>
              <w:t xml:space="preserve">ms</w:t>
            </w:r>
          </w:p>
        </w:tc>
      </w:tr>
      <w:tr>
        <w:tc>
          <w:tcPr/>
          <w:p>
            <w:pPr>
              <w:pStyle w:val="Compact"/>
              <w:jc w:val="left"/>
            </w:pPr>
            <m:oMath>
              <m:r>
                <m:t>F</m:t>
              </m:r>
            </m:oMath>
          </w:p>
        </w:tc>
        <w:tc>
          <w:tcPr/>
          <w:p>
            <w:pPr>
              <w:pStyle w:val="Compact"/>
              <w:jc w:val="left"/>
            </w:pPr>
            <w:r>
              <w:t xml:space="preserve">Estimated cumulative distribution of inter-arrival times</w:t>
            </w:r>
          </w:p>
        </w:tc>
        <w:tc>
          <w:tcPr/>
          <w:p>
            <w:pPr>
              <w:pStyle w:val="Compact"/>
              <w:jc w:val="left"/>
            </w:pPr>
            <w:r>
              <w:t xml:space="preserve">dimensionless</w:t>
            </w:r>
          </w:p>
        </w:tc>
      </w:tr>
      <w:tr>
        <w:tc>
          <w:tcPr/>
          <w:p>
            <w:pPr>
              <w:pStyle w:val="Compact"/>
              <w:jc w:val="left"/>
            </w:pPr>
            <m:oMath>
              <m:r>
                <m:t>Φ</m:t>
              </m:r>
            </m:oMath>
          </w:p>
        </w:tc>
        <w:tc>
          <w:tcPr/>
          <w:p>
            <w:pPr>
              <w:pStyle w:val="Compact"/>
              <w:jc w:val="left"/>
            </w:pPr>
            <w:r>
              <w:t xml:space="preserve">Standard normal cumulative distribution function</w:t>
            </w:r>
          </w:p>
        </w:tc>
        <w:tc>
          <w:tcPr/>
          <w:p>
            <w:pPr>
              <w:pStyle w:val="Compact"/>
              <w:jc w:val="left"/>
            </w:pPr>
            <w:r>
              <w:t xml:space="preserve">dimensionless</w:t>
            </w:r>
          </w:p>
        </w:tc>
      </w:tr>
    </w:tbl>
    <w:p>
      <w:pPr>
        <w:pStyle w:val="BodyText"/>
      </w:pPr>
      <m:oMath>
        <m:r>
          <m:t>1</m:t>
        </m:r>
        <m:r>
          <m:rPr>
            <m:sty m:val="p"/>
          </m:rPr>
          <m:t>−</m:t>
        </m:r>
        <m:r>
          <m:t>F</m:t>
        </m:r>
        <m:d>
          <m:dPr>
            <m:begChr m:val="("/>
            <m:endChr m:val=")"/>
            <m:sepChr m:val=""/>
            <m:grow/>
          </m:dPr>
          <m:e>
            <m:r>
              <m:t>δ</m:t>
            </m:r>
          </m:e>
        </m:d>
      </m:oMath>
      <w:r>
        <w:t xml:space="preserve"> </w:t>
      </w:r>
      <w:r>
        <w:t xml:space="preserve">is the probability that a live node’s next heartbeat would arrive even later than</w:t>
      </w:r>
      <w:r>
        <w:t xml:space="preserve"> </w:t>
      </w:r>
      <m:oMath>
        <m:r>
          <m:t>δ</m:t>
        </m:r>
      </m:oMath>
      <w:r>
        <w:t xml:space="preserve">. If you suspect the node now, that is roughly the probability you are wrong. So</w:t>
      </w:r>
      <w:r>
        <w:t xml:space="preserve"> </w:t>
      </w:r>
      <m:oMath>
        <m:r>
          <m:t>φ</m:t>
        </m:r>
        <m:r>
          <m:rPr>
            <m:sty m:val="p"/>
          </m:rPr>
          <m:t>=</m:t>
        </m:r>
        <m:r>
          <m:t>1</m:t>
        </m:r>
      </m:oMath>
      <w:r>
        <w:t xml:space="preserve"> </w:t>
      </w:r>
      <w:r>
        <w:t xml:space="preserve">means a 10% chance of a mistake,</w:t>
      </w:r>
      <w:r>
        <w:t xml:space="preserve"> </w:t>
      </w:r>
      <m:oMath>
        <m:r>
          <m:t>φ</m:t>
        </m:r>
        <m:r>
          <m:rPr>
            <m:sty m:val="p"/>
          </m:rPr>
          <m:t>=</m:t>
        </m:r>
        <m:r>
          <m:t>2</m:t>
        </m:r>
      </m:oMath>
      <w:r>
        <w:t xml:space="preserve"> </w:t>
      </w:r>
      <w:r>
        <w:t xml:space="preserve">means 1%, and</w:t>
      </w:r>
      <w:r>
        <w:t xml:space="preserve"> </w:t>
      </w:r>
      <m:oMath>
        <m:r>
          <m:t>φ</m:t>
        </m:r>
        <m:r>
          <m:rPr>
            <m:sty m:val="p"/>
          </m:rPr>
          <m:t>=</m:t>
        </m:r>
        <m:r>
          <m:t>8</m:t>
        </m:r>
      </m:oMath>
      <w:r>
        <w:t xml:space="preserve"> </w:t>
      </w:r>
      <w:r>
        <w:t xml:space="preserve">means</w:t>
      </w:r>
      <w:r>
        <w:t xml:space="preserve"> </w:t>
      </w:r>
      <m:oMath>
        <m:sSup>
          <m:e>
            <m:r>
              <m:t>10</m:t>
            </m:r>
          </m:e>
          <m:sup>
            <m:r>
              <m:rPr>
                <m:sty m:val="p"/>
              </m:rPr>
              <m:t>−</m:t>
            </m:r>
            <m:r>
              <m:t>8</m:t>
            </m:r>
          </m:sup>
        </m:sSup>
      </m:oMath>
      <w:r>
        <w:t xml:space="preserve">.</w:t>
      </w:r>
    </w:p>
    <w:p>
      <w:pPr>
        <w:pStyle w:val="CalloutExample"/>
      </w:pPr>
      <w:r>
        <w:rPr>
          <w:bCs/>
          <w:b/>
        </w:rPr>
        <w:t xml:space="preserve">WORKED EXAMPLE</w:t>
      </w:r>
    </w:p>
    <w:p>
      <w:pPr>
        <w:pStyle w:val="CalloutExample"/>
      </w:pPr>
      <w:r>
        <w:rPr>
          <w:bCs/>
          <w:b/>
        </w:rPr>
        <w:t xml:space="preserve">Worked example — When does phi reach 8?</w:t>
      </w:r>
      <w:r>
        <w:t xml:space="preserve"> </w:t>
      </w:r>
      <w:r>
        <w:t xml:space="preserve">Heartbeats arrive every</w:t>
      </w:r>
      <w:r>
        <w:t xml:space="preserve"> </w:t>
      </w:r>
      <m:oMath>
        <m:r>
          <m:t>μ</m:t>
        </m:r>
        <m:r>
          <m:rPr>
            <m:sty m:val="p"/>
          </m:rPr>
          <m:t>=</m:t>
        </m:r>
        <m:r>
          <m:t>1</m:t>
        </m:r>
        <m:r>
          <m:rPr>
            <m:sty m:val="p"/>
          </m:rPr>
          <m:t>,</m:t>
        </m:r>
        <m:r>
          <m:t>000</m:t>
        </m:r>
      </m:oMath>
      <w:r>
        <w:t xml:space="preserve"> </w:t>
      </w:r>
      <w:r>
        <w:t xml:space="preserve">ms with</w:t>
      </w:r>
      <w:r>
        <w:t xml:space="preserve"> </w:t>
      </w:r>
      <m:oMath>
        <m:r>
          <m:t>σ</m:t>
        </m:r>
        <m:r>
          <m:rPr>
            <m:sty m:val="p"/>
          </m:rPr>
          <m:t>=</m:t>
        </m:r>
        <m:r>
          <m:t>100</m:t>
        </m:r>
      </m:oMath>
      <w:r>
        <w:t xml:space="preserve"> </w:t>
      </w:r>
      <w:r>
        <w:t xml:space="preserve">ms.</w:t>
      </w:r>
    </w:p>
    <w:p>
      <w:pPr>
        <w:numPr>
          <w:ilvl w:val="0"/>
          <w:numId w:val="1885"/>
        </w:numPr>
        <w:pStyle w:val="Compact"/>
      </w:pPr>
      <w:r>
        <w:t xml:space="preserve">After 1,200 ms of silence:</w:t>
      </w:r>
      <w:r>
        <w:t xml:space="preserve"> </w:t>
      </w:r>
      <m:oMath>
        <m:r>
          <m:t>z</m:t>
        </m:r>
        <m:r>
          <m:rPr>
            <m:sty m:val="p"/>
          </m:rPr>
          <m:t>=</m:t>
        </m:r>
        <m:d>
          <m:dPr>
            <m:begChr m:val="("/>
            <m:endChr m:val=")"/>
            <m:sepChr m:val=""/>
            <m:grow/>
          </m:dPr>
          <m:e>
            <m:r>
              <m:t>1</m:t>
            </m:r>
            <m:r>
              <m:rPr>
                <m:sty m:val="p"/>
              </m:rPr>
              <m:t>,</m:t>
            </m:r>
            <m:r>
              <m:t>200</m:t>
            </m:r>
            <m:r>
              <m:rPr>
                <m:sty m:val="p"/>
              </m:rPr>
              <m:t>−</m:t>
            </m:r>
            <m:r>
              <m:t>1</m:t>
            </m:r>
            <m:r>
              <m:rPr>
                <m:sty m:val="p"/>
              </m:rPr>
              <m:t>,</m:t>
            </m:r>
            <m:r>
              <m:t>000</m:t>
            </m:r>
          </m:e>
        </m:d>
        <m:r>
          <m:rPr>
            <m:sty m:val="p"/>
          </m:rPr>
          <m:t>/</m:t>
        </m:r>
        <m:r>
          <m:t>100</m:t>
        </m:r>
        <m:r>
          <m:rPr>
            <m:sty m:val="p"/>
          </m:rPr>
          <m:t>=</m:t>
        </m:r>
        <m:r>
          <m:t>2</m:t>
        </m:r>
      </m:oMath>
      <w:r>
        <w:t xml:space="preserve">;</w:t>
      </w:r>
      <w:r>
        <w:t xml:space="preserve"> </w:t>
      </w:r>
      <m:oMath>
        <m:r>
          <m:t>1</m:t>
        </m:r>
        <m:r>
          <m:rPr>
            <m:sty m:val="p"/>
          </m:rPr>
          <m:t>−</m:t>
        </m:r>
        <m:r>
          <m:t>Φ</m:t>
        </m:r>
        <m:d>
          <m:dPr>
            <m:begChr m:val="("/>
            <m:endChr m:val=")"/>
            <m:sepChr m:val=""/>
            <m:grow/>
          </m:dPr>
          <m:e>
            <m:r>
              <m:t>2</m:t>
            </m:r>
          </m:e>
        </m:d>
        <m:r>
          <m:rPr>
            <m:sty m:val="p"/>
          </m:rPr>
          <m:t>=</m:t>
        </m:r>
        <m:r>
          <m:t>0.0228</m:t>
        </m:r>
      </m:oMath>
      <w:r>
        <w:t xml:space="preserve">;</w:t>
      </w:r>
      <w:r>
        <w:t xml:space="preserve"> </w:t>
      </w:r>
      <m:oMath>
        <m:r>
          <m:t>φ</m:t>
        </m:r>
        <m:r>
          <m:rPr>
            <m:sty m:val="p"/>
          </m:rPr>
          <m:t>=</m:t>
        </m:r>
        <m:r>
          <m:rPr>
            <m:sty m:val="p"/>
          </m:rPr>
          <m:t>−</m:t>
        </m:r>
        <m:sSub>
          <m:e>
            <m:r>
              <m:rPr>
                <m:sty m:val="p"/>
              </m:rPr>
              <m:t>log</m:t>
            </m:r>
          </m:e>
          <m:sub>
            <m:r>
              <m:t>10</m:t>
            </m:r>
          </m:sub>
        </m:sSub>
        <m:r>
          <m:t>0.0228</m:t>
        </m:r>
        <m:r>
          <m:rPr>
            <m:sty m:val="p"/>
          </m:rPr>
          <m:t>=</m:t>
        </m:r>
        <m:r>
          <m:t>1.64</m:t>
        </m:r>
      </m:oMath>
      <w:r>
        <w:t xml:space="preserve">.</w:t>
      </w:r>
    </w:p>
    <w:p>
      <w:pPr>
        <w:numPr>
          <w:ilvl w:val="0"/>
          <w:numId w:val="1885"/>
        </w:numPr>
        <w:pStyle w:val="Compact"/>
      </w:pPr>
      <w:r>
        <w:t xml:space="preserve">After 1,400 ms:</w:t>
      </w:r>
      <w:r>
        <w:t xml:space="preserve"> </w:t>
      </w:r>
      <m:oMath>
        <m:r>
          <m:t>z</m:t>
        </m:r>
        <m:r>
          <m:rPr>
            <m:sty m:val="p"/>
          </m:rPr>
          <m:t>=</m:t>
        </m:r>
        <m:r>
          <m:t>4</m:t>
        </m:r>
      </m:oMath>
      <w:r>
        <w:t xml:space="preserve">;</w:t>
      </w:r>
      <w:r>
        <w:t xml:space="preserve"> </w:t>
      </w:r>
      <m:oMath>
        <m:r>
          <m:t>1</m:t>
        </m:r>
        <m:r>
          <m:rPr>
            <m:sty m:val="p"/>
          </m:rPr>
          <m:t>−</m:t>
        </m:r>
        <m:r>
          <m:t>Φ</m:t>
        </m:r>
        <m:d>
          <m:dPr>
            <m:begChr m:val="("/>
            <m:endChr m:val=")"/>
            <m:sepChr m:val=""/>
            <m:grow/>
          </m:dPr>
          <m:e>
            <m:r>
              <m:t>4</m:t>
            </m:r>
          </m:e>
        </m:d>
        <m:r>
          <m:rPr>
            <m:sty m:val="p"/>
          </m:rPr>
          <m:t>=</m:t>
        </m:r>
        <m:r>
          <m:t>3.17</m:t>
        </m:r>
        <m:r>
          <m:rPr>
            <m:sty m:val="p"/>
          </m:rPr>
          <m:t>×</m:t>
        </m:r>
        <m:sSup>
          <m:e>
            <m:r>
              <m:t>10</m:t>
            </m:r>
          </m:e>
          <m:sup>
            <m:r>
              <m:rPr>
                <m:sty m:val="p"/>
              </m:rPr>
              <m:t>−</m:t>
            </m:r>
            <m:r>
              <m:t>5</m:t>
            </m:r>
          </m:sup>
        </m:sSup>
      </m:oMath>
      <w:r>
        <w:t xml:space="preserve">;</w:t>
      </w:r>
      <w:r>
        <w:t xml:space="preserve"> </w:t>
      </w:r>
      <m:oMath>
        <m:r>
          <m:t>φ</m:t>
        </m:r>
        <m:r>
          <m:rPr>
            <m:sty m:val="p"/>
          </m:rPr>
          <m:t>=</m:t>
        </m:r>
        <m:r>
          <m:t>4.50</m:t>
        </m:r>
      </m:oMath>
      <w:r>
        <w:t xml:space="preserve">.</w:t>
      </w:r>
    </w:p>
    <w:p>
      <w:pPr>
        <w:numPr>
          <w:ilvl w:val="0"/>
          <w:numId w:val="1885"/>
        </w:numPr>
        <w:pStyle w:val="Compact"/>
      </w:pPr>
      <w:r>
        <w:t xml:space="preserve">After 1,500 ms:</w:t>
      </w:r>
      <w:r>
        <w:t xml:space="preserve"> </w:t>
      </w:r>
      <m:oMath>
        <m:r>
          <m:t>z</m:t>
        </m:r>
        <m:r>
          <m:rPr>
            <m:sty m:val="p"/>
          </m:rPr>
          <m:t>=</m:t>
        </m:r>
        <m:r>
          <m:t>5</m:t>
        </m:r>
      </m:oMath>
      <w:r>
        <w:t xml:space="preserve">;</w:t>
      </w:r>
      <w:r>
        <w:t xml:space="preserve"> </w:t>
      </w:r>
      <m:oMath>
        <m:r>
          <m:t>2.87</m:t>
        </m:r>
        <m:r>
          <m:rPr>
            <m:sty m:val="p"/>
          </m:rPr>
          <m:t>×</m:t>
        </m:r>
        <m:sSup>
          <m:e>
            <m:r>
              <m:t>10</m:t>
            </m:r>
          </m:e>
          <m:sup>
            <m:r>
              <m:rPr>
                <m:sty m:val="p"/>
              </m:rPr>
              <m:t>−</m:t>
            </m:r>
            <m:r>
              <m:t>7</m:t>
            </m:r>
          </m:sup>
        </m:sSup>
      </m:oMath>
      <w:r>
        <w:t xml:space="preserve">;</w:t>
      </w:r>
      <w:r>
        <w:t xml:space="preserve"> </w:t>
      </w:r>
      <m:oMath>
        <m:r>
          <m:t>φ</m:t>
        </m:r>
        <m:r>
          <m:rPr>
            <m:sty m:val="p"/>
          </m:rPr>
          <m:t>=</m:t>
        </m:r>
        <m:r>
          <m:t>6.54</m:t>
        </m:r>
      </m:oMath>
      <w:r>
        <w:t xml:space="preserve">.</w:t>
      </w:r>
    </w:p>
    <w:p>
      <w:pPr>
        <w:numPr>
          <w:ilvl w:val="0"/>
          <w:numId w:val="1885"/>
        </w:numPr>
        <w:pStyle w:val="Compact"/>
      </w:pPr>
      <w:r>
        <w:t xml:space="preserve">After 1,600 ms:</w:t>
      </w:r>
      <w:r>
        <w:t xml:space="preserve"> </w:t>
      </w:r>
      <m:oMath>
        <m:r>
          <m:t>z</m:t>
        </m:r>
        <m:r>
          <m:rPr>
            <m:sty m:val="p"/>
          </m:rPr>
          <m:t>=</m:t>
        </m:r>
        <m:r>
          <m:t>6</m:t>
        </m:r>
      </m:oMath>
      <w:r>
        <w:t xml:space="preserve">;</w:t>
      </w:r>
      <w:r>
        <w:t xml:space="preserve"> </w:t>
      </w:r>
      <m:oMath>
        <m:r>
          <m:t>9.87</m:t>
        </m:r>
        <m:r>
          <m:rPr>
            <m:sty m:val="p"/>
          </m:rPr>
          <m:t>×</m:t>
        </m:r>
        <m:sSup>
          <m:e>
            <m:r>
              <m:t>10</m:t>
            </m:r>
          </m:e>
          <m:sup>
            <m:r>
              <m:rPr>
                <m:sty m:val="p"/>
              </m:rPr>
              <m:t>−</m:t>
            </m:r>
            <m:r>
              <m:t>10</m:t>
            </m:r>
          </m:sup>
        </m:sSup>
      </m:oMath>
      <w:r>
        <w:t xml:space="preserve">;</w:t>
      </w:r>
      <w:r>
        <w:t xml:space="preserve"> </w:t>
      </w:r>
      <m:oMath>
        <m:r>
          <m:t>φ</m:t>
        </m:r>
        <m:r>
          <m:rPr>
            <m:sty m:val="p"/>
          </m:rPr>
          <m:t>=</m:t>
        </m:r>
        <m:r>
          <m:t>9.01</m:t>
        </m:r>
      </m:oMath>
      <w:r>
        <w:t xml:space="preserve">.</w:t>
      </w:r>
    </w:p>
    <w:p>
      <w:pPr>
        <w:numPr>
          <w:ilvl w:val="0"/>
          <w:numId w:val="1885"/>
        </w:numPr>
        <w:pStyle w:val="Compact"/>
      </w:pPr>
      <w:r>
        <w:t xml:space="preserve">Threshold 8 means</w:t>
      </w:r>
      <w:r>
        <w:t xml:space="preserve"> </w:t>
      </w:r>
      <m:oMath>
        <m:r>
          <m:t>1</m:t>
        </m:r>
        <m:r>
          <m:rPr>
            <m:sty m:val="p"/>
          </m:rPr>
          <m:t>−</m:t>
        </m:r>
        <m:r>
          <m:t>Φ</m:t>
        </m:r>
        <m:d>
          <m:dPr>
            <m:begChr m:val="("/>
            <m:endChr m:val=")"/>
            <m:sepChr m:val=""/>
            <m:grow/>
          </m:dPr>
          <m:e>
            <m:r>
              <m:t>z</m:t>
            </m:r>
          </m:e>
        </m:d>
        <m:r>
          <m:rPr>
            <m:sty m:val="p"/>
          </m:rPr>
          <m:t>=</m:t>
        </m:r>
        <m:sSup>
          <m:e>
            <m:r>
              <m:t>10</m:t>
            </m:r>
          </m:e>
          <m:sup>
            <m:r>
              <m:rPr>
                <m:sty m:val="p"/>
              </m:rPr>
              <m:t>−</m:t>
            </m:r>
            <m:r>
              <m:t>8</m:t>
            </m:r>
          </m:sup>
        </m:sSup>
      </m:oMath>
      <w:r>
        <w:t xml:space="preserve">, so</w:t>
      </w:r>
      <w:r>
        <w:t xml:space="preserve"> </w:t>
      </w:r>
      <m:oMath>
        <m:r>
          <m:t>z</m:t>
        </m:r>
        <m:r>
          <m:rPr>
            <m:sty m:val="p"/>
          </m:rPr>
          <m:t>=</m:t>
        </m:r>
        <m:r>
          <m:t>5.61</m:t>
        </m:r>
      </m:oMath>
      <w:r>
        <w:t xml:space="preserve">: suspicion after</w:t>
      </w:r>
      <w:r>
        <w:t xml:space="preserve"> </w:t>
      </w:r>
      <m:oMath>
        <m:r>
          <m:t>1</m:t>
        </m:r>
        <m:r>
          <m:rPr>
            <m:sty m:val="p"/>
          </m:rPr>
          <m:t>,</m:t>
        </m:r>
        <m:r>
          <m:t>000</m:t>
        </m:r>
        <m:r>
          <m:rPr>
            <m:sty m:val="p"/>
          </m:rPr>
          <m:t>+</m:t>
        </m:r>
        <m:r>
          <m:t>5.61</m:t>
        </m:r>
        <m:r>
          <m:rPr>
            <m:sty m:val="p"/>
          </m:rPr>
          <m:t>×</m:t>
        </m:r>
        <m:r>
          <m:t>100</m:t>
        </m:r>
        <m:r>
          <m:rPr>
            <m:sty m:val="p"/>
          </m:rPr>
          <m:t>=</m:t>
        </m:r>
        <m:r>
          <m:t>1</m:t>
        </m:r>
        <m:r>
          <m:rPr>
            <m:sty m:val="p"/>
          </m:rPr>
          <m:t>,</m:t>
        </m:r>
        <m:r>
          <m:t>561</m:t>
        </m:r>
      </m:oMath>
      <w:r>
        <w:t xml:space="preserve"> </w:t>
      </w:r>
      <w:r>
        <w:t xml:space="preserve">ms.</w:t>
      </w:r>
    </w:p>
    <w:p>
      <w:pPr>
        <w:numPr>
          <w:ilvl w:val="0"/>
          <w:numId w:val="1885"/>
        </w:numPr>
        <w:pStyle w:val="Compact"/>
      </w:pPr>
      <w:r>
        <w:t xml:space="preserve">On a jittery link with</w:t>
      </w:r>
      <w:r>
        <w:t xml:space="preserve"> </w:t>
      </w:r>
      <m:oMath>
        <m:r>
          <m:t>σ</m:t>
        </m:r>
        <m:r>
          <m:rPr>
            <m:sty m:val="p"/>
          </m:rPr>
          <m:t>=</m:t>
        </m:r>
        <m:r>
          <m:t>400</m:t>
        </m:r>
      </m:oMath>
      <w:r>
        <w:t xml:space="preserve"> </w:t>
      </w:r>
      <w:r>
        <w:t xml:space="preserve">ms, the same threshold waits</w:t>
      </w:r>
      <w:r>
        <w:t xml:space="preserve"> </w:t>
      </w:r>
      <m:oMath>
        <m:r>
          <m:t>1</m:t>
        </m:r>
        <m:r>
          <m:rPr>
            <m:sty m:val="p"/>
          </m:rPr>
          <m:t>,</m:t>
        </m:r>
        <m:r>
          <m:t>000</m:t>
        </m:r>
        <m:r>
          <m:rPr>
            <m:sty m:val="p"/>
          </m:rPr>
          <m:t>+</m:t>
        </m:r>
        <m:r>
          <m:t>5.61</m:t>
        </m:r>
        <m:r>
          <m:rPr>
            <m:sty m:val="p"/>
          </m:rPr>
          <m:t>×</m:t>
        </m:r>
        <m:r>
          <m:t>400</m:t>
        </m:r>
        <m:r>
          <m:rPr>
            <m:sty m:val="p"/>
          </m:rPr>
          <m:t>=</m:t>
        </m:r>
        <m:r>
          <m:t>3</m:t>
        </m:r>
        <m:r>
          <m:rPr>
            <m:sty m:val="p"/>
          </m:rPr>
          <m:t>,</m:t>
        </m:r>
        <m:r>
          <m:t>245</m:t>
        </m:r>
      </m:oMath>
      <w:r>
        <w:t xml:space="preserve"> </w:t>
      </w:r>
      <w:r>
        <w:t xml:space="preserve">ms.</w:t>
      </w:r>
    </w:p>
    <w:p>
      <w:pPr>
        <w:pStyle w:val="CalloutExample"/>
      </w:pPr>
      <w:r>
        <w:rPr>
          <w:bCs/>
          <w:b/>
        </w:rPr>
        <w:t xml:space="preserve">Interpretation.</w:t>
      </w:r>
      <w:r>
        <w:t xml:space="preserve"> </w:t>
      </w:r>
      <w:r>
        <w:t xml:space="preserve">The same threshold produces a short timeout on a steady link and a long one on a noisy link, because it is a statement about error probability, not about time.</w:t>
      </w:r>
      <w:r>
        <w:t xml:space="preserve"> </w:t>
      </w:r>
      <w:r>
        <w:rPr>
          <w:bCs/>
          <w:b/>
        </w:rPr>
        <w:t xml:space="preserve">Engineering implication.</w:t>
      </w:r>
      <w:r>
        <w:t xml:space="preserve"> </w:t>
      </w:r>
      <w:r>
        <w:t xml:space="preserve">Set a floor on</w:t>
      </w:r>
      <w:r>
        <w:t xml:space="preserve"> </w:t>
      </w:r>
      <m:oMath>
        <m:r>
          <m:t>σ</m:t>
        </m:r>
      </m:oMath>
      <w:r>
        <w:t xml:space="preserve"> </w:t>
      </w:r>
      <w:r>
        <w:t xml:space="preserve">(otherwise a very regular sender makes the detector hair-trigger) and an allowance for expected pauses, then tune one threshold for the whole fleet.</w:t>
      </w:r>
    </w:p>
    <w:p>
      <w:pPr>
        <w:pStyle w:val="SourceCode"/>
      </w:pPr>
      <w:r>
        <w:rPr>
          <w:rStyle w:val="CommentTok"/>
        </w:rPr>
        <w:t xml:space="preserve">"""A phi-accrual failure detector (Hayashibara et al. 2004) with a normal model."""</w:t>
      </w:r>
      <w:r>
        <w:br/>
      </w:r>
      <w:r>
        <w:rPr>
          <w:rStyle w:val="ImportTok"/>
        </w:rPr>
        <w:t xml:space="preserve">from</w:t>
      </w:r>
      <w:r>
        <w:rPr>
          <w:rStyle w:val="NormalTok"/>
        </w:rPr>
        <w:t xml:space="preserve"> collections </w:t>
      </w:r>
      <w:r>
        <w:rPr>
          <w:rStyle w:val="ImportTok"/>
        </w:rPr>
        <w:t xml:space="preserve">import</w:t>
      </w:r>
      <w:r>
        <w:rPr>
          <w:rStyle w:val="NormalTok"/>
        </w:rPr>
        <w:t xml:space="preserve"> deque</w:t>
      </w:r>
      <w:r>
        <w:br/>
      </w:r>
      <w:r>
        <w:rPr>
          <w:rStyle w:val="ImportTok"/>
        </w:rPr>
        <w:t xml:space="preserve">from</w:t>
      </w:r>
      <w:r>
        <w:rPr>
          <w:rStyle w:val="NormalTok"/>
        </w:rPr>
        <w:t xml:space="preserve"> math </w:t>
      </w:r>
      <w:r>
        <w:rPr>
          <w:rStyle w:val="ImportTok"/>
        </w:rPr>
        <w:t xml:space="preserve">import</w:t>
      </w:r>
      <w:r>
        <w:rPr>
          <w:rStyle w:val="NormalTok"/>
        </w:rPr>
        <w:t xml:space="preserve"> erfc, log10, sqrt</w:t>
      </w:r>
      <w:r>
        <w:br/>
      </w:r>
      <w:r>
        <w:rPr>
          <w:rStyle w:val="ImportTok"/>
        </w:rPr>
        <w:t xml:space="preserve">import</w:t>
      </w:r>
      <w:r>
        <w:rPr>
          <w:rStyle w:val="NormalTok"/>
        </w:rPr>
        <w:t xml:space="preserve"> random</w:t>
      </w:r>
      <w:r>
        <w:br/>
      </w:r>
      <w:r>
        <w:rPr>
          <w:rStyle w:val="ImportTok"/>
        </w:rPr>
        <w:t xml:space="preserve">import</w:t>
      </w:r>
      <w:r>
        <w:rPr>
          <w:rStyle w:val="NormalTok"/>
        </w:rPr>
        <w:t xml:space="preserve"> statistics</w:t>
      </w:r>
      <w:r>
        <w:br/>
      </w:r>
      <w:r>
        <w:br/>
      </w:r>
      <w:r>
        <w:rPr>
          <w:rStyle w:val="KeywordTok"/>
        </w:rPr>
        <w:t xml:space="preserve">class</w:t>
      </w:r>
      <w:r>
        <w:rPr>
          <w:rStyle w:val="NormalTok"/>
        </w:rPr>
        <w:t xml:space="preserve"> PhiAccrualDetector: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window</w:t>
      </w:r>
      <w:r>
        <w:rPr>
          <w:rStyle w:val="OperatorTok"/>
        </w:rPr>
        <w:t xml:space="preserve">=</w:t>
      </w:r>
      <w:r>
        <w:rPr>
          <w:rStyle w:val="DecValTok"/>
        </w:rPr>
        <w:t xml:space="preserve">1000</w:t>
      </w:r>
      <w:r>
        <w:rPr>
          <w:rStyle w:val="NormalTok"/>
        </w:rPr>
        <w:t xml:space="preserve">, min_std_ms</w:t>
      </w:r>
      <w:r>
        <w:rPr>
          <w:rStyle w:val="OperatorTok"/>
        </w:rPr>
        <w:t xml:space="preserve">=</w:t>
      </w:r>
      <w:r>
        <w:rPr>
          <w:rStyle w:val="FloatTok"/>
        </w:rPr>
        <w:t xml:space="preserve">50.0</w:t>
      </w:r>
      <w:r>
        <w:rPr>
          <w:rStyle w:val="NormalTok"/>
        </w:rPr>
        <w:t xml:space="preserve">):</w:t>
      </w:r>
      <w:r>
        <w:br/>
      </w:r>
      <w:r>
        <w:rPr>
          <w:rStyle w:val="NormalTok"/>
        </w:rPr>
        <w:t xml:space="preserve">        </w:t>
      </w:r>
      <w:r>
        <w:rPr>
          <w:rStyle w:val="VariableTok"/>
        </w:rPr>
        <w:t xml:space="preserve">self</w:t>
      </w:r>
      <w:r>
        <w:rPr>
          <w:rStyle w:val="NormalTok"/>
        </w:rPr>
        <w:t xml:space="preserve">.intervals </w:t>
      </w:r>
      <w:r>
        <w:rPr>
          <w:rStyle w:val="OperatorTok"/>
        </w:rPr>
        <w:t xml:space="preserve">=</w:t>
      </w:r>
      <w:r>
        <w:rPr>
          <w:rStyle w:val="NormalTok"/>
        </w:rPr>
        <w:t xml:space="preserve"> deque(maxlen</w:t>
      </w:r>
      <w:r>
        <w:rPr>
          <w:rStyle w:val="OperatorTok"/>
        </w:rPr>
        <w:t xml:space="preserve">=</w:t>
      </w:r>
      <w:r>
        <w:rPr>
          <w:rStyle w:val="NormalTok"/>
        </w:rPr>
        <w:t xml:space="preserve">window)   </w:t>
      </w:r>
      <w:r>
        <w:rPr>
          <w:rStyle w:val="CommentTok"/>
        </w:rPr>
        <w:t xml:space="preserve"># recent heartbeat inter-arrival times</w:t>
      </w:r>
      <w:r>
        <w:br/>
      </w:r>
      <w:r>
        <w:rPr>
          <w:rStyle w:val="NormalTok"/>
        </w:rPr>
        <w:t xml:space="preserve">        </w:t>
      </w:r>
      <w:r>
        <w:rPr>
          <w:rStyle w:val="VariableTok"/>
        </w:rPr>
        <w:t xml:space="preserve">self</w:t>
      </w:r>
      <w:r>
        <w:rPr>
          <w:rStyle w:val="NormalTok"/>
        </w:rPr>
        <w:t xml:space="preserve">.last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.min_std </w:t>
      </w:r>
      <w:r>
        <w:rPr>
          <w:rStyle w:val="OperatorTok"/>
        </w:rPr>
        <w:t xml:space="preserve">=</w:t>
      </w:r>
      <w:r>
        <w:rPr>
          <w:rStyle w:val="NormalTok"/>
        </w:rPr>
        <w:t xml:space="preserve"> min_std_ms              </w:t>
      </w:r>
      <w:r>
        <w:rPr>
          <w:rStyle w:val="CommentTok"/>
        </w:rPr>
        <w:t xml:space="preserve"># floor so a very regular sender is not hair-trigger</w:t>
      </w:r>
      <w:r>
        <w:br/>
      </w:r>
      <w:r>
        <w:br/>
      </w:r>
      <w:r>
        <w:rPr>
          <w:rStyle w:val="NormalTok"/>
        </w:rPr>
        <w:t xml:space="preserve">    </w:t>
      </w:r>
      <w:r>
        <w:rPr>
          <w:rStyle w:val="KeywordTok"/>
        </w:rPr>
        <w:t xml:space="preserve">def</w:t>
      </w:r>
      <w:r>
        <w:rPr>
          <w:rStyle w:val="NormalTok"/>
        </w:rPr>
        <w:t xml:space="preserve"> heartbeat(</w:t>
      </w:r>
      <w:r>
        <w:rPr>
          <w:rStyle w:val="VariableTok"/>
        </w:rPr>
        <w:t xml:space="preserve">self</w:t>
      </w:r>
      <w:r>
        <w:rPr>
          <w:rStyle w:val="NormalTok"/>
        </w:rPr>
        <w:t xml:space="preserve">, now_ms):</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.last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.intervals.append(now_ms </w:t>
      </w:r>
      <w:r>
        <w:rPr>
          <w:rStyle w:val="OperatorTok"/>
        </w:rPr>
        <w:t xml:space="preserve">-</w:t>
      </w:r>
      <w:r>
        <w:rPr>
          <w:rStyle w:val="NormalTok"/>
        </w:rPr>
        <w:t xml:space="preserve"> </w:t>
      </w:r>
      <w:r>
        <w:rPr>
          <w:rStyle w:val="VariableTok"/>
        </w:rPr>
        <w:t xml:space="preserve">self</w:t>
      </w:r>
      <w:r>
        <w:rPr>
          <w:rStyle w:val="NormalTok"/>
        </w:rPr>
        <w:t xml:space="preserve">.last)</w:t>
      </w:r>
      <w:r>
        <w:br/>
      </w:r>
      <w:r>
        <w:rPr>
          <w:rStyle w:val="NormalTok"/>
        </w:rPr>
        <w:t xml:space="preserve">        </w:t>
      </w:r>
      <w:r>
        <w:rPr>
          <w:rStyle w:val="VariableTok"/>
        </w:rPr>
        <w:t xml:space="preserve">self</w:t>
      </w:r>
      <w:r>
        <w:rPr>
          <w:rStyle w:val="NormalTok"/>
        </w:rPr>
        <w:t xml:space="preserve">.last </w:t>
      </w:r>
      <w:r>
        <w:rPr>
          <w:rStyle w:val="OperatorTok"/>
        </w:rPr>
        <w:t xml:space="preserve">=</w:t>
      </w:r>
      <w:r>
        <w:rPr>
          <w:rStyle w:val="NormalTok"/>
        </w:rPr>
        <w:t xml:space="preserve"> now_ms</w:t>
      </w:r>
      <w:r>
        <w:br/>
      </w:r>
      <w:r>
        <w:br/>
      </w:r>
      <w:r>
        <w:rPr>
          <w:rStyle w:val="NormalTok"/>
        </w:rPr>
        <w:t xml:space="preserve">    </w:t>
      </w:r>
      <w:r>
        <w:rPr>
          <w:rStyle w:val="KeywordTok"/>
        </w:rPr>
        <w:t xml:space="preserve">def</w:t>
      </w:r>
      <w:r>
        <w:rPr>
          <w:rStyle w:val="NormalTok"/>
        </w:rPr>
        <w:t xml:space="preserve"> phi(</w:t>
      </w:r>
      <w:r>
        <w:rPr>
          <w:rStyle w:val="VariableTok"/>
        </w:rPr>
        <w:t xml:space="preserve">self</w:t>
      </w:r>
      <w:r>
        <w:rPr>
          <w:rStyle w:val="NormalTok"/>
        </w:rPr>
        <w:t xml:space="preserve">, now_ms):</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.intervals) </w:t>
      </w:r>
      <w:r>
        <w:rPr>
          <w:rStyle w:val="OperatorTok"/>
        </w:rPr>
        <w:t xml:space="preserve">&lt;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rPr>
          <w:rStyle w:val="NormalTok"/>
        </w:rPr>
        <w:t xml:space="preserve">        mu </w:t>
      </w:r>
      <w:r>
        <w:rPr>
          <w:rStyle w:val="OperatorTok"/>
        </w:rPr>
        <w:t xml:space="preserve">=</w:t>
      </w:r>
      <w:r>
        <w:rPr>
          <w:rStyle w:val="NormalTok"/>
        </w:rPr>
        <w:t xml:space="preserve"> statistics.fmean(</w:t>
      </w:r>
      <w:r>
        <w:rPr>
          <w:rStyle w:val="VariableTok"/>
        </w:rPr>
        <w:t xml:space="preserve">self</w:t>
      </w:r>
      <w:r>
        <w:rPr>
          <w:rStyle w:val="NormalTok"/>
        </w:rPr>
        <w:t xml:space="preserve">.intervals)</w:t>
      </w:r>
      <w:r>
        <w:br/>
      </w:r>
      <w:r>
        <w:rPr>
          <w:rStyle w:val="NormalTok"/>
        </w:rPr>
        <w:t xml:space="preserve">        sigma </w:t>
      </w:r>
      <w:r>
        <w:rPr>
          <w:rStyle w:val="OperatorTok"/>
        </w:rPr>
        <w:t xml:space="preserve">=</w:t>
      </w:r>
      <w:r>
        <w:rPr>
          <w:rStyle w:val="NormalTok"/>
        </w:rPr>
        <w:t xml:space="preserve"> </w:t>
      </w:r>
      <w:r>
        <w:rPr>
          <w:rStyle w:val="BuiltInTok"/>
        </w:rPr>
        <w:t xml:space="preserve">max</w:t>
      </w:r>
      <w:r>
        <w:rPr>
          <w:rStyle w:val="NormalTok"/>
        </w:rPr>
        <w:t xml:space="preserve">(statistics.stdev(</w:t>
      </w:r>
      <w:r>
        <w:rPr>
          <w:rStyle w:val="VariableTok"/>
        </w:rPr>
        <w:t xml:space="preserve">self</w:t>
      </w:r>
      <w:r>
        <w:rPr>
          <w:rStyle w:val="NormalTok"/>
        </w:rPr>
        <w:t xml:space="preserve">.intervals), </w:t>
      </w:r>
      <w:r>
        <w:rPr>
          <w:rStyle w:val="VariableTok"/>
        </w:rPr>
        <w:t xml:space="preserve">self</w:t>
      </w:r>
      <w:r>
        <w:rPr>
          <w:rStyle w:val="NormalTok"/>
        </w:rPr>
        <w:t xml:space="preserve">.min_std)</w:t>
      </w:r>
      <w:r>
        <w:br/>
      </w:r>
      <w:r>
        <w:rPr>
          <w:rStyle w:val="NormalTok"/>
        </w:rPr>
        <w:t xml:space="preserve">        z </w:t>
      </w:r>
      <w:r>
        <w:rPr>
          <w:rStyle w:val="OperatorTok"/>
        </w:rPr>
        <w:t xml:space="preserve">=</w:t>
      </w:r>
      <w:r>
        <w:rPr>
          <w:rStyle w:val="NormalTok"/>
        </w:rPr>
        <w:t xml:space="preserve"> (now_ms </w:t>
      </w:r>
      <w:r>
        <w:rPr>
          <w:rStyle w:val="OperatorTok"/>
        </w:rPr>
        <w:t xml:space="preserve">-</w:t>
      </w:r>
      <w:r>
        <w:rPr>
          <w:rStyle w:val="NormalTok"/>
        </w:rPr>
        <w:t xml:space="preserve"> </w:t>
      </w:r>
      <w:r>
        <w:rPr>
          <w:rStyle w:val="VariableTok"/>
        </w:rPr>
        <w:t xml:space="preserve">self</w:t>
      </w:r>
      <w:r>
        <w:rPr>
          <w:rStyle w:val="NormalTok"/>
        </w:rPr>
        <w:t xml:space="preserve">.last </w:t>
      </w:r>
      <w:r>
        <w:rPr>
          <w:rStyle w:val="OperatorTok"/>
        </w:rPr>
        <w:t xml:space="preserve">-</w:t>
      </w:r>
      <w:r>
        <w:rPr>
          <w:rStyle w:val="NormalTok"/>
        </w:rPr>
        <w:t xml:space="preserve"> mu) </w:t>
      </w:r>
      <w:r>
        <w:rPr>
          <w:rStyle w:val="OperatorTok"/>
        </w:rPr>
        <w:t xml:space="preserve">/</w:t>
      </w:r>
      <w:r>
        <w:rPr>
          <w:rStyle w:val="NormalTok"/>
        </w:rPr>
        <w:t xml:space="preserve"> sigma</w:t>
      </w:r>
      <w:r>
        <w:br/>
      </w:r>
      <w:r>
        <w:rPr>
          <w:rStyle w:val="NormalTok"/>
        </w:rPr>
        <w:t xml:space="preserve">        p_later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erfc(z </w:t>
      </w:r>
      <w:r>
        <w:rPr>
          <w:rStyle w:val="OperatorTok"/>
        </w:rPr>
        <w:t xml:space="preserve">/</w:t>
      </w:r>
      <w:r>
        <w:rPr>
          <w:rStyle w:val="NormalTok"/>
        </w:rPr>
        <w:t xml:space="preserve"> sqrt(</w:t>
      </w:r>
      <w:r>
        <w:rPr>
          <w:rStyle w:val="DecValTok"/>
        </w:rPr>
        <w:t xml:space="preserve">2</w:t>
      </w:r>
      <w:r>
        <w:rPr>
          <w:rStyle w:val="NormalTok"/>
        </w:rPr>
        <w:t xml:space="preserve">))       </w:t>
      </w:r>
      <w:r>
        <w:rPr>
          <w:rStyle w:val="CommentTok"/>
        </w:rPr>
        <w:t xml:space="preserve"># P(next heartbeat arrives even later)</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log10(</w:t>
      </w:r>
      <w:r>
        <w:rPr>
          <w:rStyle w:val="BuiltInTok"/>
        </w:rPr>
        <w:t xml:space="preserve">max</w:t>
      </w:r>
      <w:r>
        <w:rPr>
          <w:rStyle w:val="NormalTok"/>
        </w:rPr>
        <w:t xml:space="preserve">(p_later, </w:t>
      </w:r>
      <w:r>
        <w:rPr>
          <w:rStyle w:val="FloatTok"/>
        </w:rPr>
        <w:t xml:space="preserve">1e-300</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random.seed(</w:t>
      </w:r>
      <w:r>
        <w:rPr>
          <w:rStyle w:val="DecValTok"/>
        </w:rPr>
        <w:t xml:space="preserve">42</w:t>
      </w:r>
      <w:r>
        <w:rPr>
          <w:rStyle w:val="NormalTok"/>
        </w:rPr>
        <w:t xml:space="preserve">)</w:t>
      </w:r>
      <w:r>
        <w:br/>
      </w:r>
      <w:r>
        <w:rPr>
          <w:rStyle w:val="NormalTok"/>
        </w:rPr>
        <w:t xml:space="preserve">    d </w:t>
      </w:r>
      <w:r>
        <w:rPr>
          <w:rStyle w:val="OperatorTok"/>
        </w:rPr>
        <w:t xml:space="preserve">=</w:t>
      </w:r>
      <w:r>
        <w:rPr>
          <w:rStyle w:val="NormalTok"/>
        </w:rPr>
        <w:t xml:space="preserve"> PhiAccrualDetector()</w:t>
      </w:r>
      <w:r>
        <w:br/>
      </w:r>
      <w:r>
        <w:rPr>
          <w:rStyle w:val="NormalTok"/>
        </w:rPr>
        <w:t xml:space="preserve">    t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1000</w:t>
      </w:r>
      <w:r>
        <w:rPr>
          <w:rStyle w:val="NormalTok"/>
        </w:rPr>
        <w:t xml:space="preserve">):                       </w:t>
      </w:r>
      <w:r>
        <w:rPr>
          <w:rStyle w:val="CommentTok"/>
        </w:rPr>
        <w:t xml:space="preserve"># heartbeats every ~1,000 ms, sd ~100 ms</w:t>
      </w:r>
      <w:r>
        <w:br/>
      </w:r>
      <w:r>
        <w:rPr>
          <w:rStyle w:val="NormalTok"/>
        </w:rPr>
        <w:t xml:space="preserve">        t </w:t>
      </w:r>
      <w:r>
        <w:rPr>
          <w:rStyle w:val="OperatorTok"/>
        </w:rPr>
        <w:t xml:space="preserve">+=</w:t>
      </w:r>
      <w:r>
        <w:rPr>
          <w:rStyle w:val="NormalTok"/>
        </w:rPr>
        <w:t xml:space="preserve"> random.gauss(</w:t>
      </w:r>
      <w:r>
        <w:rPr>
          <w:rStyle w:val="DecValTok"/>
        </w:rPr>
        <w:t xml:space="preserve">1000</w:t>
      </w:r>
      <w:r>
        <w:rPr>
          <w:rStyle w:val="NormalTok"/>
        </w:rPr>
        <w:t xml:space="preserve">, </w:t>
      </w:r>
      <w:r>
        <w:rPr>
          <w:rStyle w:val="DecValTok"/>
        </w:rPr>
        <w:t xml:space="preserve">100</w:t>
      </w:r>
      <w:r>
        <w:rPr>
          <w:rStyle w:val="NormalTok"/>
        </w:rPr>
        <w:t xml:space="preserve">)</w:t>
      </w:r>
      <w:r>
        <w:br/>
      </w:r>
      <w:r>
        <w:rPr>
          <w:rStyle w:val="NormalTok"/>
        </w:rPr>
        <w:t xml:space="preserve">        d.heartbeat(t)</w:t>
      </w:r>
      <w:r>
        <w:br/>
      </w:r>
      <w:r>
        <w:rPr>
          <w:rStyle w:val="NormalTok"/>
        </w:rPr>
        <w:t xml:space="preserve">    mu </w:t>
      </w:r>
      <w:r>
        <w:rPr>
          <w:rStyle w:val="OperatorTok"/>
        </w:rPr>
        <w:t xml:space="preserve">=</w:t>
      </w:r>
      <w:r>
        <w:rPr>
          <w:rStyle w:val="NormalTok"/>
        </w:rPr>
        <w:t xml:space="preserve"> statistics.fmean(d.intervals)</w:t>
      </w:r>
      <w:r>
        <w:br/>
      </w:r>
      <w:r>
        <w:rPr>
          <w:rStyle w:val="NormalTok"/>
        </w:rPr>
        <w:t xml:space="preserve">    sd </w:t>
      </w:r>
      <w:r>
        <w:rPr>
          <w:rStyle w:val="OperatorTok"/>
        </w:rPr>
        <w:t xml:space="preserve">=</w:t>
      </w:r>
      <w:r>
        <w:rPr>
          <w:rStyle w:val="NormalTok"/>
        </w:rPr>
        <w:t xml:space="preserve"> statistics.stdev(d.intervals)</w:t>
      </w:r>
      <w:r>
        <w:br/>
      </w:r>
      <w:r>
        <w:rPr>
          <w:rStyle w:val="NormalTok"/>
        </w:rPr>
        <w:t xml:space="preserve">    </w:t>
      </w:r>
      <w:r>
        <w:rPr>
          <w:rStyle w:val="BuiltInTok"/>
        </w:rPr>
        <w:t xml:space="preserve">print</w:t>
      </w:r>
      <w:r>
        <w:rPr>
          <w:rStyle w:val="NormalTok"/>
        </w:rPr>
        <w:t xml:space="preserve">(</w:t>
      </w:r>
      <w:r>
        <w:rPr>
          <w:rStyle w:val="SpecialStringTok"/>
        </w:rPr>
        <w:t xml:space="preserve">f"learned mean </w:t>
      </w:r>
      <w:r>
        <w:rPr>
          <w:rStyle w:val="SpecialCharTok"/>
        </w:rPr>
        <w:t xml:space="preserve">{</w:t>
      </w:r>
      <w:r>
        <w:rPr>
          <w:rStyle w:val="NormalTok"/>
        </w:rPr>
        <w:t xml:space="preserve">mu</w:t>
      </w:r>
      <w:r>
        <w:rPr>
          <w:rStyle w:val="SpecialCharTok"/>
        </w:rPr>
        <w:t xml:space="preserve">:.0f}</w:t>
      </w:r>
      <w:r>
        <w:rPr>
          <w:rStyle w:val="SpecialStringTok"/>
        </w:rPr>
        <w:t xml:space="preserve"> ms, std </w:t>
      </w:r>
      <w:r>
        <w:rPr>
          <w:rStyle w:val="SpecialCharTok"/>
        </w:rPr>
        <w:t xml:space="preserve">{</w:t>
      </w:r>
      <w:r>
        <w:rPr>
          <w:rStyle w:val="NormalTok"/>
        </w:rPr>
        <w:t xml:space="preserve">sd</w:t>
      </w:r>
      <w:r>
        <w:rPr>
          <w:rStyle w:val="SpecialCharTok"/>
        </w:rPr>
        <w:t xml:space="preserve">:.0f}</w:t>
      </w:r>
      <w:r>
        <w:rPr>
          <w:rStyle w:val="SpecialStringTok"/>
        </w:rPr>
        <w:t xml:space="preserve"> ms"</w:t>
      </w:r>
      <w:r>
        <w:rPr>
          <w:rStyle w:val="NormalTok"/>
        </w:rPr>
        <w:t xml:space="preserve">)</w:t>
      </w:r>
      <w:r>
        <w:br/>
      </w:r>
      <w:r>
        <w:rPr>
          <w:rStyle w:val="NormalTok"/>
        </w:rPr>
        <w:t xml:space="preserve">    </w:t>
      </w:r>
      <w:r>
        <w:rPr>
          <w:rStyle w:val="ControlFlowTok"/>
        </w:rPr>
        <w:t xml:space="preserve">for</w:t>
      </w:r>
      <w:r>
        <w:rPr>
          <w:rStyle w:val="NormalTok"/>
        </w:rPr>
        <w:t xml:space="preserve"> silence </w:t>
      </w:r>
      <w:r>
        <w:rPr>
          <w:rStyle w:val="KeywordTok"/>
        </w:rPr>
        <w:t xml:space="preserve">in</w:t>
      </w:r>
      <w:r>
        <w:rPr>
          <w:rStyle w:val="NormalTok"/>
        </w:rPr>
        <w:t xml:space="preserve"> (</w:t>
      </w:r>
      <w:r>
        <w:rPr>
          <w:rStyle w:val="DecValTok"/>
        </w:rPr>
        <w:t xml:space="preserve">1000</w:t>
      </w:r>
      <w:r>
        <w:rPr>
          <w:rStyle w:val="NormalTok"/>
        </w:rPr>
        <w:t xml:space="preserve">, </w:t>
      </w:r>
      <w:r>
        <w:rPr>
          <w:rStyle w:val="DecValTok"/>
        </w:rPr>
        <w:t xml:space="preserve">1200</w:t>
      </w:r>
      <w:r>
        <w:rPr>
          <w:rStyle w:val="NormalTok"/>
        </w:rPr>
        <w:t xml:space="preserve">, </w:t>
      </w:r>
      <w:r>
        <w:rPr>
          <w:rStyle w:val="DecValTok"/>
        </w:rPr>
        <w:t xml:space="preserve">1400</w:t>
      </w:r>
      <w:r>
        <w:rPr>
          <w:rStyle w:val="NormalTok"/>
        </w:rPr>
        <w:t xml:space="preserve">, </w:t>
      </w:r>
      <w:r>
        <w:rPr>
          <w:rStyle w:val="DecValTok"/>
        </w:rPr>
        <w:t xml:space="preserve">1500</w:t>
      </w:r>
      <w:r>
        <w:rPr>
          <w:rStyle w:val="NormalTok"/>
        </w:rPr>
        <w:t xml:space="preserve">, </w:t>
      </w:r>
      <w:r>
        <w:rPr>
          <w:rStyle w:val="DecValTok"/>
        </w:rPr>
        <w:t xml:space="preserve">1600</w:t>
      </w:r>
      <w:r>
        <w:rPr>
          <w:rStyle w:val="NormalTok"/>
        </w:rPr>
        <w:t xml:space="preserve">, </w:t>
      </w:r>
      <w:r>
        <w:rPr>
          <w:rStyle w:val="DecValTok"/>
        </w:rPr>
        <w:t xml:space="preserve">2000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f"silent for </w:t>
      </w:r>
      <w:r>
        <w:rPr>
          <w:rStyle w:val="SpecialCharTok"/>
        </w:rPr>
        <w:t xml:space="preserve">{</w:t>
      </w:r>
      <w:r>
        <w:rPr>
          <w:rStyle w:val="NormalTok"/>
        </w:rPr>
        <w:t xml:space="preserve">silence</w:t>
      </w:r>
      <w:r>
        <w:rPr>
          <w:rStyle w:val="SpecialCharTok"/>
        </w:rPr>
        <w:t xml:space="preserve">:&gt;4}</w:t>
      </w:r>
      <w:r>
        <w:rPr>
          <w:rStyle w:val="SpecialStringTok"/>
        </w:rPr>
        <w:t xml:space="preserve"> ms -&gt; phi = </w:t>
      </w:r>
      <w:r>
        <w:rPr>
          <w:rStyle w:val="SpecialCharTok"/>
        </w:rPr>
        <w:t xml:space="preserve">{</w:t>
      </w:r>
      <w:r>
        <w:rPr>
          <w:rStyle w:val="NormalTok"/>
        </w:rPr>
        <w:t xml:space="preserve">d</w:t>
      </w:r>
      <w:r>
        <w:rPr>
          <w:rStyle w:val="SpecialCharTok"/>
        </w:rPr>
        <w:t xml:space="preserve">.</w:t>
      </w:r>
      <w:r>
        <w:rPr>
          <w:rStyle w:val="NormalTok"/>
        </w:rPr>
        <w:t xml:space="preserve">phi(t </w:t>
      </w:r>
      <w:r>
        <w:rPr>
          <w:rStyle w:val="OperatorTok"/>
        </w:rPr>
        <w:t xml:space="preserve">+</w:t>
      </w:r>
      <w:r>
        <w:rPr>
          <w:rStyle w:val="NormalTok"/>
        </w:rPr>
        <w:t xml:space="preserve"> silence)</w:t>
      </w:r>
      <w:r>
        <w:rPr>
          <w:rStyle w:val="SpecialCharTok"/>
        </w:rPr>
        <w:t xml:space="preserve">:6.2f}</w:t>
      </w:r>
      <w:r>
        <w:rPr>
          <w:rStyle w:val="SpecialStringTok"/>
        </w:rPr>
        <w:t xml:space="preserve">"</w:t>
      </w:r>
      <w:r>
        <w:rPr>
          <w:rStyle w:val="NormalTok"/>
        </w:rPr>
        <w:t xml:space="preserve">)</w:t>
      </w:r>
      <w:r>
        <w:br/>
      </w:r>
      <w:r>
        <w:rPr>
          <w:rStyle w:val="NormalTok"/>
        </w:rPr>
        <w:t xml:space="preserve">    s </w:t>
      </w:r>
      <w:r>
        <w:rPr>
          <w:rStyle w:val="OperatorTok"/>
        </w:rPr>
        <w:t xml:space="preserve">=</w:t>
      </w:r>
      <w:r>
        <w:rPr>
          <w:rStyle w:val="NormalTok"/>
        </w:rPr>
        <w:t xml:space="preserve"> </w:t>
      </w:r>
      <w:r>
        <w:rPr>
          <w:rStyle w:val="DecValTok"/>
        </w:rPr>
        <w:t xml:space="preserve">1000</w:t>
      </w:r>
      <w:r>
        <w:br/>
      </w:r>
      <w:r>
        <w:rPr>
          <w:rStyle w:val="NormalTok"/>
        </w:rPr>
        <w:t xml:space="preserve">    </w:t>
      </w:r>
      <w:r>
        <w:rPr>
          <w:rStyle w:val="ControlFlowTok"/>
        </w:rPr>
        <w:t xml:space="preserve">while</w:t>
      </w:r>
      <w:r>
        <w:rPr>
          <w:rStyle w:val="NormalTok"/>
        </w:rPr>
        <w:t xml:space="preserve"> d.phi(t </w:t>
      </w:r>
      <w:r>
        <w:rPr>
          <w:rStyle w:val="OperatorTok"/>
        </w:rPr>
        <w:t xml:space="preserve">+</w:t>
      </w:r>
      <w:r>
        <w:rPr>
          <w:rStyle w:val="NormalTok"/>
        </w:rPr>
        <w:t xml:space="preserve"> s) </w:t>
      </w:r>
      <w:r>
        <w:rPr>
          <w:rStyle w:val="OperatorTok"/>
        </w:rPr>
        <w:t xml:space="preserve">&lt;</w:t>
      </w:r>
      <w:r>
        <w:rPr>
          <w:rStyle w:val="NormalTok"/>
        </w:rPr>
        <w:t xml:space="preserve"> </w:t>
      </w:r>
      <w:r>
        <w:rPr>
          <w:rStyle w:val="DecValTok"/>
        </w:rPr>
        <w:t xml:space="preserve">8</w:t>
      </w:r>
      <w:r>
        <w:rPr>
          <w:rStyle w:val="NormalTok"/>
        </w:rPr>
        <w:t xml:space="preserve">:                     </w:t>
      </w:r>
      <w:r>
        <w:rPr>
          <w:rStyle w:val="CommentTok"/>
        </w:rPr>
        <w:t xml:space="preserve"># when does phi cross the threshold of 8?</w:t>
      </w:r>
      <w:r>
        <w:br/>
      </w:r>
      <w:r>
        <w:rPr>
          <w:rStyle w:val="NormalTok"/>
        </w:rPr>
        <w:t xml:space="preserve">        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BuiltInTok"/>
        </w:rPr>
        <w:t xml:space="preserve">print</w:t>
      </w:r>
      <w:r>
        <w:rPr>
          <w:rStyle w:val="NormalTok"/>
        </w:rPr>
        <w:t xml:space="preserve">(</w:t>
      </w:r>
      <w:r>
        <w:rPr>
          <w:rStyle w:val="SpecialStringTok"/>
        </w:rPr>
        <w:t xml:space="preserve">f"phi reaches 8 after </w:t>
      </w:r>
      <w:r>
        <w:rPr>
          <w:rStyle w:val="SpecialCharTok"/>
        </w:rPr>
        <w:t xml:space="preserve">{</w:t>
      </w:r>
      <w:r>
        <w:rPr>
          <w:rStyle w:val="NormalTok"/>
        </w:rPr>
        <w:t xml:space="preserve">s</w:t>
      </w:r>
      <w:r>
        <w:rPr>
          <w:rStyle w:val="SpecialCharTok"/>
        </w:rPr>
        <w:t xml:space="preserve">}</w:t>
      </w:r>
      <w:r>
        <w:rPr>
          <w:rStyle w:val="SpecialStringTok"/>
        </w:rPr>
        <w:t xml:space="preserve"> ms of silence"</w:t>
      </w:r>
      <w:r>
        <w:rPr>
          <w:rStyle w:val="NormalTok"/>
        </w:rPr>
        <w:t xml:space="preserve">)</w:t>
      </w:r>
    </w:p>
    <w:p>
      <w:pPr>
        <w:pStyle w:val="FirstParagraph"/>
      </w:pPr>
      <w:r>
        <w:t xml:space="preserve">Output:</w:t>
      </w:r>
    </w:p>
    <w:p>
      <w:pPr>
        <w:pStyle w:val="SourceCode"/>
      </w:pPr>
      <w:r>
        <w:rPr>
          <w:rStyle w:val="VerbatimChar"/>
        </w:rPr>
        <w:t xml:space="preserve">learned mean 998 ms, std 102 ms</w:t>
      </w:r>
      <w:r>
        <w:br/>
      </w:r>
      <w:r>
        <w:rPr>
          <w:rStyle w:val="VerbatimChar"/>
        </w:rPr>
        <w:t xml:space="preserve">silent for 1000 ms -&gt; phi =   0.31</w:t>
      </w:r>
      <w:r>
        <w:br/>
      </w:r>
      <w:r>
        <w:rPr>
          <w:rStyle w:val="VerbatimChar"/>
        </w:rPr>
        <w:t xml:space="preserve">silent for 1200 ms -&gt; phi =   1.62</w:t>
      </w:r>
      <w:r>
        <w:br/>
      </w:r>
      <w:r>
        <w:rPr>
          <w:rStyle w:val="VerbatimChar"/>
        </w:rPr>
        <w:t xml:space="preserve">silent for 1400 ms -&gt; phi =   4.39</w:t>
      </w:r>
      <w:r>
        <w:br/>
      </w:r>
      <w:r>
        <w:rPr>
          <w:rStyle w:val="VerbatimChar"/>
        </w:rPr>
        <w:t xml:space="preserve">silent for 1500 ms -&gt; phi =   6.36</w:t>
      </w:r>
      <w:r>
        <w:br/>
      </w:r>
      <w:r>
        <w:rPr>
          <w:rStyle w:val="VerbatimChar"/>
        </w:rPr>
        <w:t xml:space="preserve">silent for 1600 ms -&gt; phi =   8.74</w:t>
      </w:r>
      <w:r>
        <w:br/>
      </w:r>
      <w:r>
        <w:rPr>
          <w:rStyle w:val="VerbatimChar"/>
        </w:rPr>
        <w:t xml:space="preserve">silent for 2000 ms -&gt; phi =  22.34</w:t>
      </w:r>
      <w:r>
        <w:br/>
      </w:r>
      <w:r>
        <w:rPr>
          <w:rStyle w:val="VerbatimChar"/>
        </w:rPr>
        <w:t xml:space="preserve">phi reaches 8 after 1571 ms of silence</w:t>
      </w:r>
    </w:p>
    <w:p>
      <w:pPr>
        <w:pStyle w:val="FirstParagraph"/>
      </w:pPr>
      <w:r>
        <w:t xml:space="preserve">What to notice: the detector learns</w:t>
      </w:r>
      <w:r>
        <w:t xml:space="preserve"> </w:t>
      </w:r>
      <m:oMath>
        <m:r>
          <m:t>μ</m:t>
        </m:r>
      </m:oMath>
      <w:r>
        <w:t xml:space="preserve"> </w:t>
      </w:r>
      <w:r>
        <w:t xml:space="preserve">and</w:t>
      </w:r>
      <w:r>
        <w:t xml:space="preserve"> </w:t>
      </w:r>
      <m:oMath>
        <m:r>
          <m:t>σ</m:t>
        </m:r>
      </m:oMath>
      <w:r>
        <w:t xml:space="preserve"> </w:t>
      </w:r>
      <w:r>
        <w:t xml:space="preserve">from a sliding window of 1,000 intervals;</w:t>
      </w:r>
      <w:r>
        <w:t xml:space="preserve"> </w:t>
      </w:r>
      <w:r>
        <w:rPr>
          <w:rStyle w:val="VerbatimChar"/>
        </w:rPr>
        <w:t xml:space="preserve">erfc</w:t>
      </w:r>
      <w:r>
        <w:t xml:space="preserve"> </w:t>
      </w:r>
      <w:r>
        <w:t xml:space="preserve">computes the normal tail without losing precision; and the learned values (998 ms, 102 ms) give a crossing at 1,571 ms, close to the 1,561 ms of the worked example.</w:t>
      </w:r>
    </w:p>
    <w:p>
      <w:pPr>
        <w:pStyle w:val="CalloutIndustry"/>
      </w:pPr>
      <w:r>
        <w:rPr>
          <w:bCs/>
          <w:b/>
        </w:rPr>
        <w:t xml:space="preserve">INDUSTRY EXAMPLE</w:t>
      </w:r>
    </w:p>
    <w:p>
      <w:pPr>
        <w:pStyle w:val="CalloutIndustry"/>
      </w:pPr>
      <w:r>
        <w:rPr>
          <w:bCs/>
          <w:b/>
        </w:rPr>
        <w:t xml:space="preserve">Cassandra and Akka.</w:t>
      </w:r>
      <w:r>
        <w:t xml:space="preserve"> </w:t>
      </w:r>
      <w:r>
        <w:t xml:space="preserve">Cassandra marks a node down when its phi value exceeds</w:t>
      </w:r>
      <w:r>
        <w:t xml:space="preserve"> </w:t>
      </w:r>
      <w:r>
        <w:rPr>
          <w:rStyle w:val="VerbatimChar"/>
        </w:rPr>
        <w:t xml:space="preserve">phi_convict_threshold</w:t>
      </w:r>
      <w:r>
        <w:t xml:space="preserve">, default 8. Its implementation models gossip inter-arrival times with an exponential rather than a normal distribution, so</w:t>
      </w:r>
      <w:r>
        <w:t xml:space="preserve"> </w:t>
      </w:r>
      <m:oMath>
        <m:r>
          <m:t>φ</m:t>
        </m:r>
      </m:oMath>
      <w:r>
        <w:t xml:space="preserve"> </w:t>
      </w:r>
      <w:r>
        <w:t xml:space="preserve">grows linearly with silence [Apache Cassandra Docs; Cassandra source,</w:t>
      </w:r>
      <w:r>
        <w:t xml:space="preserve"> </w:t>
      </w:r>
      <w:r>
        <w:rPr>
          <w:rStyle w:val="VerbatimChar"/>
        </w:rPr>
        <w:t xml:space="preserve">FailureDetector</w:t>
      </w:r>
      <w:r>
        <w:t xml:space="preserve">]. Akka Cluster uses the normal model with a configurable threshold, a minimum standard deviation and an</w:t>
      </w:r>
      <w:r>
        <w:t xml:space="preserve"> </w:t>
      </w:r>
      <w:r>
        <w:t xml:space="preserve">“</w:t>
      </w:r>
      <w:r>
        <w:t xml:space="preserve">acceptable heartbeat pause</w:t>
      </w:r>
      <w:r>
        <w:t xml:space="preserve">”</w:t>
      </w:r>
      <w:r>
        <w:t xml:space="preserve"> </w:t>
      </w:r>
      <w:r>
        <w:t xml:space="preserve">[Akka Docs: Phi Accrual Failure Detector].</w:t>
      </w:r>
      <w:r>
        <w:t xml:space="preserve"> </w:t>
      </w:r>
      <w:r>
        <w:rPr>
          <w:iCs/>
          <w:i/>
        </w:rPr>
        <w:t xml:space="preserve">Evidence: Primary</w:t>
      </w:r>
      <w:r>
        <w:t xml:space="preserve"> </w:t>
      </w:r>
      <w:r>
        <w:t xml:space="preserve">— [Apache Cassandra Docs; Akka Docs]</w:t>
      </w:r>
    </w:p>
    <w:bookmarkEnd w:id="3073"/>
    <w:bookmarkStart w:id="3077" w:name="gossip-and-swim"/>
    <w:p>
      <w:pPr>
        <w:pStyle w:val="Heading3"/>
      </w:pPr>
      <w:r>
        <w:t xml:space="preserve">27.10.3 Gossip and SWIM</w:t>
      </w:r>
    </w:p>
    <w:p>
      <w:pPr>
        <w:pStyle w:val="FirstParagraph"/>
      </w:pPr>
      <w:r>
        <w:t xml:space="preserve">All-to-all heartbeating costs</w:t>
      </w:r>
      <w:r>
        <w:t xml:space="preserve"> </w:t>
      </w:r>
      <m:oMath>
        <m:r>
          <m:t>n</m:t>
        </m:r>
        <m:d>
          <m:dPr>
            <m:begChr m:val="("/>
            <m:endChr m:val=")"/>
            <m:sepChr m:val=""/>
            <m:grow/>
          </m:dPr>
          <m:e>
            <m:r>
              <m:t>n</m:t>
            </m:r>
            <m:r>
              <m:rPr>
                <m:sty m:val="p"/>
              </m:rPr>
              <m:t>−</m:t>
            </m:r>
            <m:r>
              <m:t>1</m:t>
            </m:r>
          </m:e>
        </m:d>
        <m:r>
          <m:rPr>
            <m:sty m:val="p"/>
          </m:rPr>
          <m:t>/</m:t>
        </m:r>
        <m:r>
          <m:t>h</m:t>
        </m:r>
      </m:oMath>
      <w:r>
        <w:t xml:space="preserve"> </w:t>
      </w:r>
      <w:r>
        <w:t xml:space="preserve">messages per second: 999,000 per second for 1,000 nodes at one per second. Large clusters instead spread information</w:t>
      </w:r>
      <w:r>
        <w:t xml:space="preserve"> </w:t>
      </w:r>
      <w:r>
        <w:rPr>
          <w:bCs/>
          <w:b/>
        </w:rPr>
        <w:t xml:space="preserve">epidemically</w:t>
      </w:r>
      <w:r>
        <w:t xml:space="preserve">: each node periodically contacts a few random peers and exchanges what it knows, as an infection spreads [Demers et al. 1987].</w:t>
      </w:r>
    </w:p>
    <w:p>
      <w:pPr>
        <w:pStyle w:val="CalloutDefinition"/>
      </w:pPr>
      <w:r>
        <w:rPr>
          <w:bCs/>
          <w:b/>
        </w:rPr>
        <w:t xml:space="preserve">DEFINITION</w:t>
      </w:r>
    </w:p>
    <w:p>
      <w:pPr>
        <w:pStyle w:val="CalloutDefinition"/>
      </w:pPr>
      <w:r>
        <w:rPr>
          <w:bCs/>
          <w:b/>
        </w:rPr>
        <w:t xml:space="preserve">Definition — Gossip protocol.</w:t>
      </w:r>
      <w:r>
        <w:t xml:space="preserve"> </w:t>
      </w:r>
      <w:r>
        <w:t xml:space="preserve">A protocol in which, every round, each node exchanges state with</w:t>
      </w:r>
      <w:r>
        <w:t xml:space="preserve"> </w:t>
      </w:r>
      <m:oMath>
        <m:r>
          <m:t>f</m:t>
        </m:r>
      </m:oMath>
      <w:r>
        <w:t xml:space="preserve"> </w:t>
      </w:r>
      <w:r>
        <w:t xml:space="preserve">randomly chosen peers (the</w:t>
      </w:r>
      <w:r>
        <w:t xml:space="preserve"> </w:t>
      </w:r>
      <w:r>
        <w:rPr>
          <w:bCs/>
          <w:b/>
        </w:rPr>
        <w:t xml:space="preserve">fanout</w:t>
      </w:r>
      <w:r>
        <w:t xml:space="preserve">). In</w:t>
      </w:r>
      <w:r>
        <w:t xml:space="preserve"> </w:t>
      </w:r>
      <w:r>
        <w:rPr>
          <w:bCs/>
          <w:b/>
        </w:rPr>
        <w:t xml:space="preserve">push</w:t>
      </w:r>
      <w:r>
        <w:t xml:space="preserve"> </w:t>
      </w:r>
      <w:r>
        <w:t xml:space="preserve">gossip informed nodes send updates; in</w:t>
      </w:r>
      <w:r>
        <w:t xml:space="preserve"> </w:t>
      </w:r>
      <w:r>
        <w:rPr>
          <w:bCs/>
          <w:b/>
        </w:rPr>
        <w:t xml:space="preserve">pull</w:t>
      </w:r>
      <w:r>
        <w:t xml:space="preserve"> </w:t>
      </w:r>
      <w:r>
        <w:t xml:space="preserve">gossip nodes ask peers for news;</w:t>
      </w:r>
      <w:r>
        <w:t xml:space="preserve"> </w:t>
      </w:r>
      <w:r>
        <w:rPr>
          <w:bCs/>
          <w:b/>
        </w:rPr>
        <w:t xml:space="preserve">push–pull</w:t>
      </w:r>
      <w:r>
        <w:t xml:space="preserve"> </w:t>
      </w:r>
      <w:r>
        <w:t xml:space="preserve">does both.</w:t>
      </w:r>
      <w:r>
        <w:t xml:space="preserve"> </w:t>
      </w:r>
      <w:r>
        <w:rPr>
          <w:bCs/>
          <w:b/>
        </w:rPr>
        <w:t xml:space="preserve">Anti-entropy</w:t>
      </w:r>
      <w:r>
        <w:t xml:space="preserve"> </w:t>
      </w:r>
      <w:r>
        <w:t xml:space="preserve">gossip exchanges full state;</w:t>
      </w:r>
      <w:r>
        <w:t xml:space="preserve"> </w:t>
      </w:r>
      <w:r>
        <w:rPr>
          <w:bCs/>
          <w:b/>
        </w:rPr>
        <w:t xml:space="preserve">rumor mongering</w:t>
      </w:r>
      <w:r>
        <w:t xml:space="preserve"> </w:t>
      </w:r>
      <w:r>
        <w:t xml:space="preserve">spreads only recent updates and stops after a while [Demers et al. 1987].</w:t>
      </w:r>
    </w:p>
    <w:p>
      <w:pPr>
        <w:pStyle w:val="CalloutFormula"/>
      </w:pPr>
      <w:r>
        <w:rPr>
          <w:bCs/>
          <w:b/>
        </w:rPr>
        <w:t xml:space="preserve">FORMULA</w:t>
      </w:r>
    </w:p>
    <w:p>
      <w:pPr>
        <w:pStyle w:val="CalloutFormula"/>
      </w:pPr>
      <w:r>
        <w:rPr>
          <w:bCs/>
          <w:b/>
        </w:rPr>
        <w:t xml:space="preserve">Rounds for push gossip to reach every node</w:t>
      </w:r>
    </w:p>
    <w:p>
      <w:pPr>
        <w:pStyle w:val="CalloutFormula"/>
      </w:pPr>
      <m:oMathPara>
        <m:oMathParaPr>
          <m:jc m:val="center"/>
        </m:oMathParaPr>
        <m:oMath>
          <m:sSub>
            <m:e>
              <m:r>
                <m:t>T</m:t>
              </m:r>
            </m:e>
            <m:sub>
              <m:r>
                <m:rPr>
                  <m:nor/>
                  <m:sty m:val="p"/>
                </m:rPr>
                <m:t>rounds</m:t>
              </m:r>
            </m:sub>
          </m:sSub>
          <m:r>
            <m:rPr>
              <m:sty m:val="p"/>
            </m:rPr>
            <m:t>≈</m:t>
          </m:r>
          <m:sSub>
            <m:e>
              <m:r>
                <m:rPr>
                  <m:sty m:val="p"/>
                </m:rPr>
                <m:t>log</m:t>
              </m:r>
            </m:e>
            <m:sub>
              <m:r>
                <m:t>1</m:t>
              </m:r>
              <m:r>
                <m:rPr>
                  <m:sty m:val="p"/>
                </m:rPr>
                <m:t>+</m:t>
              </m:r>
              <m:r>
                <m:t>f</m:t>
              </m:r>
            </m:sub>
          </m:sSub>
          <m:r>
            <m:t>n</m:t>
          </m:r>
          <m:r>
            <m:rPr>
              <m:sty m:val="p"/>
            </m:rPr>
            <m:t>+</m:t>
          </m:r>
          <m:f>
            <m:fPr>
              <m:type m:val="bar"/>
            </m:fPr>
            <m:num>
              <m:r>
                <m:rPr>
                  <m:sty m:val="p"/>
                </m:rPr>
                <m:t>ln</m:t>
              </m:r>
              <m:r>
                <m:t>n</m:t>
              </m:r>
            </m:num>
            <m:den>
              <m:r>
                <m:t>f</m:t>
              </m:r>
            </m:den>
          </m:f>
          <m:r>
            <m:t>  </m:t>
          </m:r>
          <m:r>
            <m:rPr>
              <m:nor/>
              <m:sty m:val="p"/>
            </m:rPr>
            <m:t>(for </m:t>
          </m:r>
          <m:r>
            <m:t>f</m:t>
          </m:r>
          <m:r>
            <m:rPr>
              <m:sty m:val="p"/>
            </m:rPr>
            <m:t>=</m:t>
          </m:r>
          <m:r>
            <m:t>1</m:t>
          </m:r>
          <m:r>
            <m:rPr>
              <m:nor/>
              <m:sty m:val="p"/>
            </m:rPr>
            <m:t>: </m:t>
          </m:r>
          <m:sSub>
            <m:e>
              <m:r>
                <m:rPr>
                  <m:sty m:val="p"/>
                </m:rPr>
                <m:t>log</m:t>
              </m:r>
            </m:e>
            <m:sub>
              <m:r>
                <m:t>2</m:t>
              </m:r>
            </m:sub>
          </m:sSub>
          <m:r>
            <m:t>n</m:t>
          </m:r>
          <m:r>
            <m:rPr>
              <m:sty m:val="p"/>
            </m:rPr>
            <m:t>+</m:t>
          </m:r>
          <m:r>
            <m:rPr>
              <m:sty m:val="p"/>
            </m:rPr>
            <m:t>ln</m:t>
          </m:r>
          <m:r>
            <m:t>n</m:t>
          </m:r>
          <m:r>
            <m:rPr>
              <m:sty m:val="p"/>
            </m:rPr>
            <m:t>+</m:t>
          </m:r>
          <m:r>
            <m:t>O</m:t>
          </m:r>
          <m:d>
            <m:dPr>
              <m:begChr m:val="("/>
              <m:endChr m:val=")"/>
              <m:sepChr m:val=""/>
              <m:grow/>
            </m:dPr>
            <m:e>
              <m:r>
                <m:t>1</m:t>
              </m:r>
            </m:e>
          </m:d>
          <m:r>
            <m:rPr>
              <m:nor/>
              <m:sty m:val="p"/>
            </m:rPr>
            <m:t>)</m:t>
          </m:r>
        </m:oMath>
      </m:oMathPara>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T</m:t>
                  </m:r>
                </m:e>
                <m:sub>
                  <m:r>
                    <m:rPr>
                      <m:nor/>
                      <m:sty m:val="p"/>
                    </m:rPr>
                    <m:t>rounds</m:t>
                  </m:r>
                </m:sub>
              </m:sSub>
            </m:oMath>
          </w:p>
        </w:tc>
        <w:tc>
          <w:tcPr/>
          <w:p>
            <w:pPr>
              <w:pStyle w:val="Compact"/>
              <w:jc w:val="left"/>
            </w:pPr>
            <w:r>
              <w:t xml:space="preserve">Rounds until every node is informed</w:t>
            </w:r>
          </w:p>
        </w:tc>
        <w:tc>
          <w:tcPr/>
          <w:p>
            <w:pPr>
              <w:pStyle w:val="Compact"/>
              <w:jc w:val="left"/>
            </w:pPr>
            <w:r>
              <w:t xml:space="preserve">rounds</w:t>
            </w:r>
          </w:p>
        </w:tc>
      </w:tr>
      <w:tr>
        <w:tc>
          <w:tcPr/>
          <w:p>
            <w:pPr>
              <w:pStyle w:val="Compact"/>
              <w:jc w:val="left"/>
            </w:pPr>
            <m:oMath>
              <m:r>
                <m:t>n</m:t>
              </m:r>
            </m:oMath>
          </w:p>
        </w:tc>
        <w:tc>
          <w:tcPr/>
          <w:p>
            <w:pPr>
              <w:pStyle w:val="Compact"/>
              <w:jc w:val="left"/>
            </w:pPr>
            <w:r>
              <w:t xml:space="preserve">Number of nodes</w:t>
            </w:r>
          </w:p>
        </w:tc>
        <w:tc>
          <w:tcPr/>
          <w:p>
            <w:pPr>
              <w:pStyle w:val="Compact"/>
              <w:jc w:val="left"/>
            </w:pPr>
            <w:r>
              <w:t xml:space="preserve">nodes</w:t>
            </w:r>
          </w:p>
        </w:tc>
      </w:tr>
      <w:tr>
        <w:tc>
          <w:tcPr/>
          <w:p>
            <w:pPr>
              <w:pStyle w:val="Compact"/>
              <w:jc w:val="left"/>
            </w:pPr>
            <m:oMath>
              <m:r>
                <m:t>f</m:t>
              </m:r>
            </m:oMath>
          </w:p>
        </w:tc>
        <w:tc>
          <w:tcPr/>
          <w:p>
            <w:pPr>
              <w:pStyle w:val="Compact"/>
              <w:jc w:val="left"/>
            </w:pPr>
            <w:r>
              <w:t xml:space="preserve">Peers contacted per node per round</w:t>
            </w:r>
          </w:p>
        </w:tc>
        <w:tc>
          <w:tcPr/>
          <w:p>
            <w:pPr>
              <w:pStyle w:val="Compact"/>
              <w:jc w:val="left"/>
            </w:pPr>
            <w:r>
              <w:t xml:space="preserve">peers/round</w:t>
            </w:r>
          </w:p>
        </w:tc>
      </w:tr>
    </w:tbl>
    <w:p>
      <w:pPr>
        <w:pStyle w:val="BodyText"/>
      </w:pPr>
      <w:r>
        <w:rPr>
          <w:bCs/>
          <w:b/>
        </w:rPr>
        <w:t xml:space="preserve">Derivation.</w:t>
      </w:r>
      <w:r>
        <w:t xml:space="preserve"> </w:t>
      </w:r>
      <w:r>
        <w:t xml:space="preserve">Early on almost every target is uninformed, so the informed set grows by a factor of about</w:t>
      </w:r>
      <w:r>
        <w:t xml:space="preserve"> </w:t>
      </w:r>
      <m:oMath>
        <m:r>
          <m:t>1</m:t>
        </m:r>
        <m:r>
          <m:rPr>
            <m:sty m:val="p"/>
          </m:rPr>
          <m:t>+</m:t>
        </m:r>
        <m:r>
          <m:t>f</m:t>
        </m:r>
      </m:oMath>
      <w:r>
        <w:t xml:space="preserve"> </w:t>
      </w:r>
      <w:r>
        <w:t xml:space="preserve">per round:</w:t>
      </w:r>
      <w:r>
        <w:t xml:space="preserve"> </w:t>
      </w:r>
      <m:oMath>
        <m:sSub>
          <m:e>
            <m:r>
              <m:rPr>
                <m:sty m:val="p"/>
              </m:rPr>
              <m:t>log</m:t>
            </m:r>
          </m:e>
          <m:sub>
            <m:r>
              <m:t>1</m:t>
            </m:r>
            <m:r>
              <m:rPr>
                <m:sty m:val="p"/>
              </m:rPr>
              <m:t>+</m:t>
            </m:r>
            <m:r>
              <m:t>f</m:t>
            </m:r>
          </m:sub>
        </m:sSub>
        <m:r>
          <m:t>n</m:t>
        </m:r>
      </m:oMath>
      <w:r>
        <w:t xml:space="preserve"> </w:t>
      </w:r>
      <w:r>
        <w:t xml:space="preserve">rounds to reach most nodes. At the end, each uninformed node escapes all</w:t>
      </w:r>
      <w:r>
        <w:t xml:space="preserve"> </w:t>
      </w:r>
      <m:oMath>
        <m:r>
          <m:t>f</m:t>
        </m:r>
      </m:oMath>
      <w:r>
        <w:t xml:space="preserve"> </w:t>
      </w:r>
      <w:r>
        <w:t xml:space="preserve">pushes from nearly</w:t>
      </w:r>
      <w:r>
        <w:t xml:space="preserve"> </w:t>
      </w:r>
      <m:oMath>
        <m:r>
          <m:t>n</m:t>
        </m:r>
      </m:oMath>
      <w:r>
        <w:t xml:space="preserve"> </w:t>
      </w:r>
      <w:r>
        <w:t xml:space="preserve">informed nodes with probability about</w:t>
      </w:r>
      <w:r>
        <w:t xml:space="preserve"> </w:t>
      </w:r>
      <m:oMath>
        <m:sSup>
          <m:e>
            <m:r>
              <m:t>e</m:t>
            </m:r>
          </m:e>
          <m:sup>
            <m:r>
              <m:rPr>
                <m:sty m:val="p"/>
              </m:rPr>
              <m:t>−</m:t>
            </m:r>
            <m:r>
              <m:t>f</m:t>
            </m:r>
          </m:sup>
        </m:sSup>
      </m:oMath>
      <w:r>
        <w:t xml:space="preserve"> </w:t>
      </w:r>
      <w:r>
        <w:t xml:space="preserve">per round, so the uninformed count shrinks by</w:t>
      </w:r>
      <w:r>
        <w:t xml:space="preserve"> </w:t>
      </w:r>
      <m:oMath>
        <m:sSup>
          <m:e>
            <m:r>
              <m:t>e</m:t>
            </m:r>
          </m:e>
          <m:sup>
            <m:r>
              <m:rPr>
                <m:sty m:val="p"/>
              </m:rPr>
              <m:t>−</m:t>
            </m:r>
            <m:r>
              <m:t>f</m:t>
            </m:r>
          </m:sup>
        </m:sSup>
      </m:oMath>
      <w:r>
        <w:t xml:space="preserve"> </w:t>
      </w:r>
      <w:r>
        <w:t xml:space="preserve">per round and the last one is reached after about</w:t>
      </w:r>
      <w:r>
        <w:t xml:space="preserve"> </w:t>
      </w:r>
      <m:oMath>
        <m:r>
          <m:rPr>
            <m:sty m:val="p"/>
          </m:rPr>
          <m:t>ln</m:t>
        </m:r>
        <m:r>
          <m:t>n</m:t>
        </m:r>
        <m:r>
          <m:rPr>
            <m:sty m:val="p"/>
          </m:rPr>
          <m:t>/</m:t>
        </m:r>
        <m:r>
          <m:t>f</m:t>
        </m:r>
      </m:oMath>
      <w:r>
        <w:t xml:space="preserve"> </w:t>
      </w:r>
      <w:r>
        <w:t xml:space="preserve">more rounds. Pittel proved the</w:t>
      </w:r>
      <w:r>
        <w:t xml:space="preserve"> </w:t>
      </w:r>
      <m:oMath>
        <m:r>
          <m:t>f</m:t>
        </m:r>
        <m:r>
          <m:rPr>
            <m:sty m:val="p"/>
          </m:rPr>
          <m:t>=</m:t>
        </m:r>
        <m:r>
          <m:t>1</m:t>
        </m:r>
      </m:oMath>
      <w:r>
        <w:t xml:space="preserve"> </w:t>
      </w:r>
      <w:r>
        <w:t xml:space="preserve">case [Pittel 1987]. Pull shrinks the uninformed fraction from</w:t>
      </w:r>
      <w:r>
        <w:t xml:space="preserve"> </w:t>
      </w:r>
      <m:oMath>
        <m:r>
          <m:t>p</m:t>
        </m:r>
      </m:oMath>
      <w:r>
        <w:t xml:space="preserve"> </w:t>
      </w:r>
      <w:r>
        <w:t xml:space="preserve">to about</w:t>
      </w:r>
      <w:r>
        <w:t xml:space="preserve"> </w:t>
      </w:r>
      <m:oMath>
        <m:sSup>
          <m:e>
            <m:r>
              <m:t>p</m:t>
            </m:r>
          </m:e>
          <m:sup>
            <m:r>
              <m:t>2</m:t>
            </m:r>
          </m:sup>
        </m:sSup>
      </m:oMath>
      <w:r>
        <w:t xml:space="preserve"> </w:t>
      </w:r>
      <w:r>
        <w:t xml:space="preserve">per round at the end, so push–pull finishes in</w:t>
      </w:r>
      <w:r>
        <w:t xml:space="preserve"> </w:t>
      </w:r>
      <m:oMath>
        <m:sSub>
          <m:e>
            <m:r>
              <m:rPr>
                <m:sty m:val="p"/>
              </m:rPr>
              <m:t>log</m:t>
            </m:r>
          </m:e>
          <m:sub>
            <m:r>
              <m:t>3</m:t>
            </m:r>
          </m:sub>
        </m:sSub>
        <m:r>
          <m:t>n</m:t>
        </m:r>
        <m:r>
          <m:rPr>
            <m:sty m:val="p"/>
          </m:rPr>
          <m:t>+</m:t>
        </m:r>
        <m:r>
          <m:t>O</m:t>
        </m:r>
        <m:d>
          <m:dPr>
            <m:begChr m:val="("/>
            <m:endChr m:val=")"/>
            <m:sepChr m:val=""/>
            <m:grow/>
          </m:dPr>
          <m:e>
            <m:r>
              <m:rPr>
                <m:sty m:val="p"/>
              </m:rPr>
              <m:t>log</m:t>
            </m:r>
            <m:r>
              <m:rPr>
                <m:sty m:val="p"/>
              </m:rPr>
              <m:t>log</m:t>
            </m:r>
            <m:r>
              <m:t>n</m:t>
            </m:r>
          </m:e>
        </m:d>
      </m:oMath>
      <w:r>
        <w:t xml:space="preserve"> </w:t>
      </w:r>
      <w:r>
        <w:t xml:space="preserve">rounds [Karp et al. 2000].</w:t>
      </w:r>
    </w:p>
    <w:p>
      <w:pPr>
        <w:pStyle w:val="CalloutExample"/>
      </w:pPr>
      <w:r>
        <w:rPr>
          <w:bCs/>
          <w:b/>
        </w:rPr>
        <w:t xml:space="preserve">WORKED EXAMPLE</w:t>
      </w:r>
    </w:p>
    <w:p>
      <w:pPr>
        <w:pStyle w:val="CalloutExample"/>
      </w:pPr>
      <w:r>
        <w:rPr>
          <w:bCs/>
          <w:b/>
        </w:rPr>
        <w:t xml:space="preserve">Worked example — Spreading a membership change to 1,000 nodes.</w:t>
      </w:r>
    </w:p>
    <w:p>
      <w:pPr>
        <w:numPr>
          <w:ilvl w:val="0"/>
          <w:numId w:val="1886"/>
        </w:numPr>
        <w:pStyle w:val="Compact"/>
      </w:pPr>
      <w:r>
        <w:t xml:space="preserve">Push,</w:t>
      </w:r>
      <w:r>
        <w:t xml:space="preserve"> </w:t>
      </w:r>
      <m:oMath>
        <m:r>
          <m:t>f</m:t>
        </m:r>
        <m:r>
          <m:rPr>
            <m:sty m:val="p"/>
          </m:rPr>
          <m:t>=</m:t>
        </m:r>
        <m:r>
          <m:t>1</m:t>
        </m:r>
      </m:oMath>
      <w:r>
        <w:t xml:space="preserve">:</w:t>
      </w:r>
      <w:r>
        <w:t xml:space="preserve"> </w:t>
      </w:r>
      <m:oMath>
        <m:sSub>
          <m:e>
            <m:r>
              <m:rPr>
                <m:sty m:val="p"/>
              </m:rPr>
              <m:t>log</m:t>
            </m:r>
          </m:e>
          <m:sub>
            <m:r>
              <m:t>2</m:t>
            </m:r>
          </m:sub>
        </m:sSub>
        <m:r>
          <m:t>1</m:t>
        </m:r>
        <m:r>
          <m:rPr>
            <m:sty m:val="p"/>
          </m:rPr>
          <m:t>,</m:t>
        </m:r>
        <m:r>
          <m:t>000</m:t>
        </m:r>
        <m:r>
          <m:rPr>
            <m:sty m:val="p"/>
          </m:rPr>
          <m:t>+</m:t>
        </m:r>
        <m:r>
          <m:rPr>
            <m:sty m:val="p"/>
          </m:rPr>
          <m:t>ln</m:t>
        </m:r>
        <m:r>
          <m:t>1</m:t>
        </m:r>
        <m:r>
          <m:rPr>
            <m:sty m:val="p"/>
          </m:rPr>
          <m:t>,</m:t>
        </m:r>
        <m:r>
          <m:t>000</m:t>
        </m:r>
        <m:r>
          <m:rPr>
            <m:sty m:val="p"/>
          </m:rPr>
          <m:t>=</m:t>
        </m:r>
        <m:r>
          <m:t>9.97</m:t>
        </m:r>
        <m:r>
          <m:rPr>
            <m:sty m:val="p"/>
          </m:rPr>
          <m:t>+</m:t>
        </m:r>
        <m:r>
          <m:t>6.91</m:t>
        </m:r>
        <m:r>
          <m:rPr>
            <m:sty m:val="p"/>
          </m:rPr>
          <m:t>=</m:t>
        </m:r>
        <m:r>
          <m:t>16.9</m:t>
        </m:r>
      </m:oMath>
      <w:r>
        <w:t xml:space="preserve"> </w:t>
      </w:r>
      <w:r>
        <w:t xml:space="preserve">rounds.</w:t>
      </w:r>
    </w:p>
    <w:p>
      <w:pPr>
        <w:numPr>
          <w:ilvl w:val="0"/>
          <w:numId w:val="1886"/>
        </w:numPr>
        <w:pStyle w:val="Compact"/>
      </w:pPr>
      <w:r>
        <w:t xml:space="preserve">Push,</w:t>
      </w:r>
      <w:r>
        <w:t xml:space="preserve"> </w:t>
      </w:r>
      <m:oMath>
        <m:r>
          <m:t>f</m:t>
        </m:r>
        <m:r>
          <m:rPr>
            <m:sty m:val="p"/>
          </m:rPr>
          <m:t>=</m:t>
        </m:r>
        <m:r>
          <m:t>3</m:t>
        </m:r>
      </m:oMath>
      <w:r>
        <w:t xml:space="preserve">:</w:t>
      </w:r>
      <w:r>
        <w:t xml:space="preserve"> </w:t>
      </w:r>
      <m:oMath>
        <m:sSub>
          <m:e>
            <m:r>
              <m:rPr>
                <m:sty m:val="p"/>
              </m:rPr>
              <m:t>log</m:t>
            </m:r>
          </m:e>
          <m:sub>
            <m:r>
              <m:t>4</m:t>
            </m:r>
          </m:sub>
        </m:sSub>
        <m:r>
          <m:t>1</m:t>
        </m:r>
        <m:r>
          <m:rPr>
            <m:sty m:val="p"/>
          </m:rPr>
          <m:t>,</m:t>
        </m:r>
        <m:r>
          <m:t>000</m:t>
        </m:r>
        <m:r>
          <m:rPr>
            <m:sty m:val="p"/>
          </m:rPr>
          <m:t>+</m:t>
        </m:r>
        <m:r>
          <m:t>6.91</m:t>
        </m:r>
        <m:r>
          <m:rPr>
            <m:sty m:val="p"/>
          </m:rPr>
          <m:t>/</m:t>
        </m:r>
        <m:r>
          <m:t>3</m:t>
        </m:r>
        <m:r>
          <m:rPr>
            <m:sty m:val="p"/>
          </m:rPr>
          <m:t>=</m:t>
        </m:r>
        <m:r>
          <m:t>4.98</m:t>
        </m:r>
        <m:r>
          <m:rPr>
            <m:sty m:val="p"/>
          </m:rPr>
          <m:t>+</m:t>
        </m:r>
        <m:r>
          <m:t>2.30</m:t>
        </m:r>
        <m:r>
          <m:rPr>
            <m:sty m:val="p"/>
          </m:rPr>
          <m:t>=</m:t>
        </m:r>
        <m:r>
          <m:t>7.3</m:t>
        </m:r>
      </m:oMath>
      <w:r>
        <w:t xml:space="preserve"> </w:t>
      </w:r>
      <w:r>
        <w:t xml:space="preserve">rounds.</w:t>
      </w:r>
    </w:p>
    <w:p>
      <w:pPr>
        <w:numPr>
          <w:ilvl w:val="0"/>
          <w:numId w:val="1886"/>
        </w:numPr>
        <w:pStyle w:val="Compact"/>
      </w:pPr>
      <w:r>
        <w:t xml:space="preserve">Growth with size,</w:t>
      </w:r>
      <w:r>
        <w:t xml:space="preserve"> </w:t>
      </w:r>
      <m:oMath>
        <m:r>
          <m:t>f</m:t>
        </m:r>
        <m:r>
          <m:rPr>
            <m:sty m:val="p"/>
          </m:rPr>
          <m:t>=</m:t>
        </m:r>
        <m:r>
          <m:t>1</m:t>
        </m:r>
      </m:oMath>
      <w:r>
        <w:t xml:space="preserve">: going to 10,000 nodes adds</w:t>
      </w:r>
      <w:r>
        <w:t xml:space="preserve"> </w:t>
      </w:r>
      <m:oMath>
        <m:sSub>
          <m:e>
            <m:r>
              <m:rPr>
                <m:sty m:val="p"/>
              </m:rPr>
              <m:t>log</m:t>
            </m:r>
          </m:e>
          <m:sub>
            <m:r>
              <m:t>2</m:t>
            </m:r>
          </m:sub>
        </m:sSub>
        <m:r>
          <m:t>10</m:t>
        </m:r>
        <m:r>
          <m:rPr>
            <m:sty m:val="p"/>
          </m:rPr>
          <m:t>+</m:t>
        </m:r>
        <m:r>
          <m:rPr>
            <m:sty m:val="p"/>
          </m:rPr>
          <m:t>ln</m:t>
        </m:r>
        <m:r>
          <m:t>10</m:t>
        </m:r>
        <m:r>
          <m:rPr>
            <m:sty m:val="p"/>
          </m:rPr>
          <m:t>=</m:t>
        </m:r>
        <m:r>
          <m:t>3.32</m:t>
        </m:r>
        <m:r>
          <m:rPr>
            <m:sty m:val="p"/>
          </m:rPr>
          <m:t>+</m:t>
        </m:r>
        <m:r>
          <m:t>2.30</m:t>
        </m:r>
        <m:r>
          <m:rPr>
            <m:sty m:val="p"/>
          </m:rPr>
          <m:t>=</m:t>
        </m:r>
        <m:r>
          <m:t>5.6</m:t>
        </m:r>
      </m:oMath>
      <w:r>
        <w:t xml:space="preserve"> </w:t>
      </w:r>
      <w:r>
        <w:t xml:space="preserve">rounds.</w:t>
      </w:r>
    </w:p>
    <w:p>
      <w:pPr>
        <w:pStyle w:val="CalloutExample"/>
      </w:pPr>
      <w:r>
        <w:rPr>
          <w:bCs/>
          <w:b/>
        </w:rPr>
        <w:t xml:space="preserve">Interpretation.</w:t>
      </w:r>
      <w:r>
        <w:t xml:space="preserve"> </w:t>
      </w:r>
      <w:r>
        <w:t xml:space="preserve">Dissemination time grows with</w:t>
      </w:r>
      <w:r>
        <w:t xml:space="preserve"> </w:t>
      </w:r>
      <m:oMath>
        <m:r>
          <m:rPr>
            <m:sty m:val="p"/>
          </m:rPr>
          <m:t>log</m:t>
        </m:r>
        <m:r>
          <m:t>n</m:t>
        </m:r>
      </m:oMath>
      <w:r>
        <w:t xml:space="preserve">, and each node’s message load is constant (</w:t>
      </w:r>
      <m:oMath>
        <m:r>
          <m:t>f</m:t>
        </m:r>
      </m:oMath>
      <w:r>
        <w:t xml:space="preserve"> </w:t>
      </w:r>
      <w:r>
        <w:t xml:space="preserve">per round) regardless of cluster size.</w:t>
      </w:r>
      <w:r>
        <w:t xml:space="preserve"> </w:t>
      </w:r>
      <w:r>
        <w:rPr>
          <w:bCs/>
          <w:b/>
        </w:rPr>
        <w:t xml:space="preserve">Engineering implication.</w:t>
      </w:r>
      <w:r>
        <w:t xml:space="preserve"> </w:t>
      </w:r>
      <w:r>
        <w:t xml:space="preserve">Gossip scales membership and failure news to thousands of nodes, but a full spread takes tens of rounds; anything that must take effect everywhere</w:t>
      </w:r>
      <w:r>
        <w:t xml:space="preserve"> </w:t>
      </w:r>
      <w:r>
        <w:rPr>
          <w:iCs/>
          <w:i/>
        </w:rPr>
        <w:t xml:space="preserve">at once</w:t>
      </w:r>
      <w:r>
        <w:t xml:space="preserve"> </w:t>
      </w:r>
      <w:r>
        <w:t xml:space="preserve">belongs in a consensus-backed store (Chapter 26).</w:t>
      </w:r>
    </w:p>
    <w:p>
      <w:pPr>
        <w:pStyle w:val="BodyText"/>
      </w:pPr>
      <w:r>
        <w:rPr>
          <w:bCs/>
          <w:b/>
        </w:rPr>
        <w:t xml:space="preserve">SWIM</w:t>
      </w:r>
      <w:r>
        <w:t xml:space="preserve"> </w:t>
      </w:r>
      <w:r>
        <w:t xml:space="preserve">combines a randomized failure detector with gossip dissemination [Das et al. 2002]. In each</w:t>
      </w:r>
      <w:r>
        <w:t xml:space="preserve"> </w:t>
      </w:r>
      <w:r>
        <w:rPr>
          <w:bCs/>
          <w:b/>
        </w:rPr>
        <w:t xml:space="preserve">protocol period</w:t>
      </w:r>
      <w:r>
        <w:t xml:space="preserve"> </w:t>
      </w:r>
      <m:oMath>
        <m:r>
          <m:t>T</m:t>
        </m:r>
        <m:r>
          <m:rPr>
            <m:sty m:val="p"/>
          </m:rPr>
          <m:t>′</m:t>
        </m:r>
      </m:oMath>
      <w:r>
        <w:t xml:space="preserve">, every member:</w:t>
      </w:r>
    </w:p>
    <w:p>
      <w:pPr>
        <w:numPr>
          <w:ilvl w:val="0"/>
          <w:numId w:val="1887"/>
        </w:numPr>
        <w:pStyle w:val="Compact"/>
      </w:pPr>
      <w:r>
        <w:t xml:space="preserve">Picks a random member</w:t>
      </w:r>
      <w:r>
        <w:t xml:space="preserve"> </w:t>
      </w:r>
      <m:oMath>
        <m:sSub>
          <m:e>
            <m:r>
              <m:t>M</m:t>
            </m:r>
          </m:e>
          <m:sub>
            <m:r>
              <m:t>j</m:t>
            </m:r>
          </m:sub>
        </m:sSub>
      </m:oMath>
      <w:r>
        <w:t xml:space="preserve"> </w:t>
      </w:r>
      <w:r>
        <w:t xml:space="preserve">and sends it a</w:t>
      </w:r>
      <w:r>
        <w:t xml:space="preserve"> </w:t>
      </w:r>
      <w:r>
        <w:rPr>
          <w:rStyle w:val="VerbatimChar"/>
        </w:rPr>
        <w:t xml:space="preserve">ping</w:t>
      </w:r>
      <w:r>
        <w:t xml:space="preserve">.</w:t>
      </w:r>
    </w:p>
    <w:p>
      <w:pPr>
        <w:numPr>
          <w:ilvl w:val="0"/>
          <w:numId w:val="1887"/>
        </w:numPr>
        <w:pStyle w:val="Compact"/>
      </w:pPr>
      <w:r>
        <w:t xml:space="preserve">If no</w:t>
      </w:r>
      <w:r>
        <w:t xml:space="preserve"> </w:t>
      </w:r>
      <w:r>
        <w:rPr>
          <w:rStyle w:val="VerbatimChar"/>
        </w:rPr>
        <w:t xml:space="preserve">ack</w:t>
      </w:r>
      <w:r>
        <w:t xml:space="preserve"> </w:t>
      </w:r>
      <w:r>
        <w:t xml:space="preserve">arrives within a short timeout, sends</w:t>
      </w:r>
      <w:r>
        <w:t xml:space="preserve"> </w:t>
      </w:r>
      <w:r>
        <w:rPr>
          <w:rStyle w:val="VerbatimChar"/>
        </w:rPr>
        <w:t xml:space="preserve">ping-req</w:t>
      </w:r>
      <w:r>
        <w:t xml:space="preserve"> </w:t>
      </w:r>
      <w:r>
        <w:t xml:space="preserve">to</w:t>
      </w:r>
      <w:r>
        <w:t xml:space="preserve"> </w:t>
      </w:r>
      <m:oMath>
        <m:r>
          <m:t>k</m:t>
        </m:r>
      </m:oMath>
      <w:r>
        <w:t xml:space="preserve"> </w:t>
      </w:r>
      <w:r>
        <w:t xml:space="preserve">other random members, asking them to ping</w:t>
      </w:r>
      <w:r>
        <w:t xml:space="preserve"> </w:t>
      </w:r>
      <m:oMath>
        <m:sSub>
          <m:e>
            <m:r>
              <m:t>M</m:t>
            </m:r>
          </m:e>
          <m:sub>
            <m:r>
              <m:t>j</m:t>
            </m:r>
          </m:sub>
        </m:sSub>
      </m:oMath>
      <w:r>
        <w:t xml:space="preserve"> </w:t>
      </w:r>
      <w:r>
        <w:t xml:space="preserve">and relay any ack. This indirect probe avoids blaming</w:t>
      </w:r>
      <w:r>
        <w:t xml:space="preserve"> </w:t>
      </w:r>
      <m:oMath>
        <m:sSub>
          <m:e>
            <m:r>
              <m:t>M</m:t>
            </m:r>
          </m:e>
          <m:sub>
            <m:r>
              <m:t>j</m:t>
            </m:r>
          </m:sub>
        </m:sSub>
      </m:oMath>
      <w:r>
        <w:t xml:space="preserve"> </w:t>
      </w:r>
      <w:r>
        <w:t xml:space="preserve">for a congested link between two particular nodes.</w:t>
      </w:r>
    </w:p>
    <w:p>
      <w:pPr>
        <w:numPr>
          <w:ilvl w:val="0"/>
          <w:numId w:val="1887"/>
        </w:numPr>
        <w:pStyle w:val="Compact"/>
      </w:pPr>
      <w:r>
        <w:t xml:space="preserve">If still no ack, marks</w:t>
      </w:r>
      <w:r>
        <w:t xml:space="preserve"> </w:t>
      </w:r>
      <m:oMath>
        <m:sSub>
          <m:e>
            <m:r>
              <m:t>M</m:t>
            </m:r>
          </m:e>
          <m:sub>
            <m:r>
              <m:t>j</m:t>
            </m:r>
          </m:sub>
        </m:sSub>
      </m:oMath>
      <w:r>
        <w:t xml:space="preserve"> </w:t>
      </w:r>
      <w:r>
        <w:rPr>
          <w:bCs/>
          <w:b/>
        </w:rPr>
        <w:t xml:space="preserve">suspect</w:t>
      </w:r>
      <w:r>
        <w:t xml:space="preserve">, rather than dead, and spreads the suspicion.</w:t>
      </w:r>
      <w:r>
        <w:t xml:space="preserve"> </w:t>
      </w:r>
      <m:oMath>
        <m:sSub>
          <m:e>
            <m:r>
              <m:t>M</m:t>
            </m:r>
          </m:e>
          <m:sub>
            <m:r>
              <m:t>j</m:t>
            </m:r>
          </m:sub>
        </m:sSub>
      </m:oMath>
      <w:r>
        <w:t xml:space="preserve"> </w:t>
      </w:r>
      <w:r>
        <w:t xml:space="preserve">can refute it by gossiping an</w:t>
      </w:r>
      <w:r>
        <w:t xml:space="preserve"> </w:t>
      </w:r>
      <w:r>
        <w:t xml:space="preserve">“</w:t>
      </w:r>
      <w:r>
        <w:t xml:space="preserve">alive</w:t>
      </w:r>
      <w:r>
        <w:t xml:space="preserve">”</w:t>
      </w:r>
      <w:r>
        <w:t xml:space="preserve"> </w:t>
      </w:r>
      <w:r>
        <w:t xml:space="preserve">message with a higher</w:t>
      </w:r>
      <w:r>
        <w:t xml:space="preserve"> </w:t>
      </w:r>
      <w:r>
        <w:rPr>
          <w:bCs/>
          <w:b/>
        </w:rPr>
        <w:t xml:space="preserve">incarnation number</w:t>
      </w:r>
      <w:r>
        <w:t xml:space="preserve">; if nobody refutes it within a suspicion timeout,</w:t>
      </w:r>
      <w:r>
        <w:t xml:space="preserve"> </w:t>
      </w:r>
      <m:oMath>
        <m:sSub>
          <m:e>
            <m:r>
              <m:t>M</m:t>
            </m:r>
          </m:e>
          <m:sub>
            <m:r>
              <m:t>j</m:t>
            </m:r>
          </m:sub>
        </m:sSub>
      </m:oMath>
      <w:r>
        <w:t xml:space="preserve"> </w:t>
      </w:r>
      <w:r>
        <w:t xml:space="preserve">is declared failed.</w:t>
      </w:r>
    </w:p>
    <w:p>
      <w:pPr>
        <w:numPr>
          <w:ilvl w:val="0"/>
          <w:numId w:val="1887"/>
        </w:numPr>
        <w:pStyle w:val="Compact"/>
      </w:pPr>
      <w:r>
        <w:t xml:space="preserve">Membership updates (joins, suspicions, failures) are</w:t>
      </w:r>
      <w:r>
        <w:t xml:space="preserve"> </w:t>
      </w:r>
      <w:r>
        <w:rPr>
          <w:bCs/>
          <w:b/>
        </w:rPr>
        <w:t xml:space="preserve">piggybacked</w:t>
      </w:r>
      <w:r>
        <w:t xml:space="preserve"> </w:t>
      </w:r>
      <w:r>
        <w:t xml:space="preserve">on ping and ack messages, so dissemination costs no extra messages.</w:t>
      </w:r>
    </w:p>
    <w:p>
      <w:pPr>
        <w:pStyle w:val="FirstParagraph"/>
      </w:pPr>
      <w:r>
        <w:rPr>
          <w:bCs/>
          <w:b/>
        </w:rPr>
        <w:t xml:space="preserve">Figure 27.9 — A SWIM protocol period with an indirect probe.</w:t>
      </w:r>
    </w:p>
    <w:p>
      <w:pPr>
        <w:pStyle w:val="BodyText"/>
      </w:pPr>
      <w:r>
        <w:drawing>
          <wp:inline>
            <wp:extent cx="5334000" cy="2994428"/>
            <wp:effectExtent b="0" l="0" r="0" t="0"/>
            <wp:docPr descr="" title="" id="3075" name="Picture"/>
            <a:graphic>
              <a:graphicData uri="http://schemas.openxmlformats.org/drawingml/2006/picture">
                <pic:pic>
                  <pic:nvPicPr>
                    <pic:cNvPr descr="/home/user/System-Design/build/.cache/diagrams/b38a2180ff4b.png" id="3076" name="Picture"/>
                    <pic:cNvPicPr>
                      <a:picLocks noChangeArrowheads="1" noChangeAspect="1"/>
                    </pic:cNvPicPr>
                  </pic:nvPicPr>
                  <pic:blipFill>
                    <a:blip r:embed="rId3074"/>
                    <a:stretch>
                      <a:fillRect/>
                    </a:stretch>
                  </pic:blipFill>
                  <pic:spPr bwMode="auto">
                    <a:xfrm>
                      <a:off x="0" y="0"/>
                      <a:ext cx="5334000" cy="2994428"/>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All messages are small UDP datagrams in typical implementations. Member</w:t>
      </w:r>
      <w:r>
        <w:t xml:space="preserve"> </w:t>
      </w:r>
      <m:oMath>
        <m:r>
          <m:t>i</m:t>
        </m:r>
      </m:oMath>
      <w:r>
        <w:t xml:space="preserve">’s direct ping is lost, so it asks two helpers to probe</w:t>
      </w:r>
      <w:r>
        <w:t xml:space="preserve"> </w:t>
      </w:r>
      <m:oMath>
        <m:r>
          <m:t>j</m:t>
        </m:r>
      </m:oMath>
      <w:r>
        <w:t xml:space="preserve"> </w:t>
      </w:r>
      <w:r>
        <w:t xml:space="preserve">for it; one helper’s ping succeeds and its ack is relayed back, so</w:t>
      </w:r>
      <w:r>
        <w:t xml:space="preserve"> </w:t>
      </w:r>
      <m:oMath>
        <m:r>
          <m:t>j</m:t>
        </m:r>
      </m:oMath>
      <w:r>
        <w:t xml:space="preserve"> </w:t>
      </w:r>
      <w:r>
        <w:t xml:space="preserve">is not suspected. Had both indirect probes failed,</w:t>
      </w:r>
      <w:r>
        <w:t xml:space="preserve"> </w:t>
      </w:r>
      <m:oMath>
        <m:r>
          <m:t>i</m:t>
        </m:r>
      </m:oMath>
      <w:r>
        <w:t xml:space="preserve"> </w:t>
      </w:r>
      <w:r>
        <w:t xml:space="preserve">would gossip</w:t>
      </w:r>
      <w:r>
        <w:t xml:space="preserve"> </w:t>
      </w:r>
      <w:r>
        <w:t xml:space="preserve">“</w:t>
      </w:r>
      <m:oMath>
        <m:r>
          <m:t>j</m:t>
        </m:r>
      </m:oMath>
      <w:r>
        <w:t xml:space="preserve"> </w:t>
      </w:r>
      <w:r>
        <w:t xml:space="preserve">suspect</w:t>
      </w:r>
      <w:r>
        <w:t xml:space="preserve">”</w:t>
      </w:r>
      <w:r>
        <w:t xml:space="preserve">, and</w:t>
      </w:r>
      <w:r>
        <w:t xml:space="preserve"> </w:t>
      </w:r>
      <m:oMath>
        <m:r>
          <m:t>j</m:t>
        </m:r>
      </m:oMath>
      <w:r>
        <w:t xml:space="preserve"> </w:t>
      </w:r>
      <w:r>
        <w:t xml:space="preserve">would have a suspicion timeout to refute it. No member stores more than the membership list. Failure points: a member that is itself overloaded may miss acks and wrongly suspect others, which the Lifeguard extensions address by lengthening its own timeouts [Dadgar et al. 2017]. Message load per member is constant as the group grows.</w:t>
      </w:r>
    </w:p>
    <w:p>
      <w:pPr>
        <w:pStyle w:val="CalloutFormula"/>
      </w:pPr>
      <w:r>
        <w:rPr>
          <w:bCs/>
          <w:b/>
        </w:rPr>
        <w:t xml:space="preserve">FORMULA</w:t>
      </w:r>
    </w:p>
    <w:p>
      <w:pPr>
        <w:pStyle w:val="CalloutFormula"/>
      </w:pPr>
      <w:r>
        <w:rPr>
          <w:bCs/>
          <w:b/>
        </w:rPr>
        <w:t xml:space="preserve">SWIM expected time to first detection</w:t>
      </w:r>
    </w:p>
    <w:p>
      <w:pPr>
        <w:pStyle w:val="CalloutFormula"/>
      </w:pPr>
      <m:oMathPara>
        <m:oMathParaPr>
          <m:jc m:val="center"/>
        </m:oMathParaPr>
        <m:oMath>
          <m:r>
            <m:rPr>
              <m:sty m:val="p"/>
              <m:scr m:val="double-struck"/>
            </m:rPr>
            <m:t>E</m:t>
          </m:r>
          <m:d>
            <m:dPr>
              <m:begChr m:val="["/>
              <m:endChr m:val="]"/>
              <m:sepChr m:val=""/>
              <m:grow/>
            </m:dPr>
            <m:e>
              <m:sSub>
                <m:e>
                  <m:r>
                    <m:t>T</m:t>
                  </m:r>
                </m:e>
                <m:sub>
                  <m:r>
                    <m:rPr>
                      <m:nor/>
                      <m:sty m:val="p"/>
                    </m:rPr>
                    <m:t>detect</m:t>
                  </m:r>
                </m:sub>
              </m:sSub>
            </m:e>
          </m:d>
          <m:r>
            <m:rPr>
              <m:sty m:val="p"/>
            </m:rPr>
            <m:t>=</m:t>
          </m:r>
          <m:f>
            <m:fPr>
              <m:type m:val="bar"/>
            </m:fPr>
            <m:num>
              <m:r>
                <m:t>T</m:t>
              </m:r>
              <m:r>
                <m:rPr>
                  <m:sty m:val="p"/>
                </m:rPr>
                <m:t>′</m:t>
              </m:r>
            </m:num>
            <m:den>
              <m:r>
                <m:t>1</m:t>
              </m:r>
              <m:r>
                <m:rPr>
                  <m:sty m:val="p"/>
                </m:rPr>
                <m:t>−</m:t>
              </m:r>
              <m:r>
                <m:rPr>
                  <m:sty m:val="p"/>
                </m:rPr>
                <m:t>(</m:t>
              </m:r>
              <m:r>
                <m:t>1</m:t>
              </m:r>
              <m:r>
                <m:rPr>
                  <m:sty m:val="p"/>
                </m:rPr>
                <m:t>−</m:t>
              </m:r>
              <m:f>
                <m:fPr>
                  <m:type m:val="bar"/>
                </m:fPr>
                <m:num>
                  <m:r>
                    <m:t>1</m:t>
                  </m:r>
                </m:num>
                <m:den>
                  <m:r>
                    <m:t>n</m:t>
                  </m:r>
                  <m:r>
                    <m:rPr>
                      <m:sty m:val="p"/>
                    </m:rPr>
                    <m:t>−</m:t>
                  </m:r>
                  <m:r>
                    <m:t>1</m:t>
                  </m:r>
                </m:den>
              </m:f>
              <m:sSup>
                <m:e>
                  <m:r>
                    <m:rPr>
                      <m:sty m:val="p"/>
                    </m:rPr>
                    <m:t>)</m:t>
                  </m:r>
                </m:e>
                <m:sup>
                  <m:r>
                    <m:t>n</m:t>
                  </m:r>
                  <m:r>
                    <m:rPr>
                      <m:sty m:val="p"/>
                    </m:rPr>
                    <m:t>−</m:t>
                  </m:r>
                  <m:r>
                    <m:t>1</m:t>
                  </m:r>
                </m:sup>
              </m:sSup>
            </m:den>
          </m:f>
          <m:r>
            <m:t> </m:t>
          </m:r>
          <m:limUpp>
            <m:e>
              <m:r>
                <m:rPr>
                  <m:sty m:val="p"/>
                </m:rPr>
                <m:t>→</m:t>
              </m:r>
            </m:e>
            <m:lim>
              <m:r>
                <m:t> </m:t>
              </m:r>
              <m:r>
                <m:t>n</m:t>
              </m:r>
              <m:r>
                <m:rPr>
                  <m:sty m:val="p"/>
                </m:rPr>
                <m:t>→</m:t>
              </m:r>
              <m:r>
                <m:rPr>
                  <m:sty m:val="p"/>
                </m:rPr>
                <m:t>∞</m:t>
              </m:r>
              <m:r>
                <m:t> </m:t>
              </m:r>
            </m:lim>
          </m:limUpp>
          <m:r>
            <m:t> </m:t>
          </m:r>
          <m:r>
            <m:t>T</m:t>
          </m:r>
          <m:r>
            <m:rPr>
              <m:sty m:val="p"/>
            </m:rPr>
            <m:t>′</m:t>
          </m:r>
          <m:r>
            <m:rPr>
              <m:sty m:val="p"/>
            </m:rPr>
            <m:t>⋅</m:t>
          </m:r>
          <m:f>
            <m:fPr>
              <m:type m:val="bar"/>
            </m:fPr>
            <m:num>
              <m:r>
                <m:t>e</m:t>
              </m:r>
            </m:num>
            <m:den>
              <m:r>
                <m:t>e</m:t>
              </m:r>
              <m:r>
                <m:rPr>
                  <m:sty m:val="p"/>
                </m:rPr>
                <m:t>−</m:t>
              </m:r>
              <m:r>
                <m:t>1</m:t>
              </m:r>
            </m:den>
          </m:f>
          <m:r>
            <m:rPr>
              <m:sty m:val="p"/>
            </m:rPr>
            <m:t>≈</m:t>
          </m:r>
          <m:r>
            <m:t>1.58</m:t>
          </m:r>
          <m:r>
            <m:t> </m:t>
          </m:r>
          <m:r>
            <m:t>T</m:t>
          </m:r>
          <m:r>
            <m:rPr>
              <m:sty m:val="p"/>
            </m:rPr>
            <m:t>′</m:t>
          </m:r>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T</m:t>
              </m:r>
              <m:r>
                <m:rPr>
                  <m:sty m:val="p"/>
                </m:rPr>
                <m:t>′</m:t>
              </m:r>
            </m:oMath>
          </w:p>
        </w:tc>
        <w:tc>
          <w:tcPr/>
          <w:p>
            <w:pPr>
              <w:pStyle w:val="Compact"/>
              <w:jc w:val="left"/>
            </w:pPr>
            <w:r>
              <w:t xml:space="preserve">Protocol period</w:t>
            </w:r>
          </w:p>
        </w:tc>
        <w:tc>
          <w:tcPr/>
          <w:p>
            <w:pPr>
              <w:pStyle w:val="Compact"/>
              <w:jc w:val="left"/>
            </w:pPr>
            <w:r>
              <w:t xml:space="preserve">s</w:t>
            </w:r>
          </w:p>
        </w:tc>
      </w:tr>
      <w:tr>
        <w:tc>
          <w:tcPr/>
          <w:p>
            <w:pPr>
              <w:pStyle w:val="Compact"/>
              <w:jc w:val="left"/>
            </w:pPr>
            <m:oMath>
              <m:r>
                <m:t>n</m:t>
              </m:r>
            </m:oMath>
          </w:p>
        </w:tc>
        <w:tc>
          <w:tcPr/>
          <w:p>
            <w:pPr>
              <w:pStyle w:val="Compact"/>
              <w:jc w:val="left"/>
            </w:pPr>
            <w:r>
              <w:t xml:space="preserve">Group size</w:t>
            </w:r>
          </w:p>
        </w:tc>
        <w:tc>
          <w:tcPr/>
          <w:p>
            <w:pPr>
              <w:pStyle w:val="Compact"/>
              <w:jc w:val="left"/>
            </w:pPr>
            <w:r>
              <w:t xml:space="preserve">members</w:t>
            </w:r>
          </w:p>
        </w:tc>
      </w:tr>
      <w:tr>
        <w:tc>
          <w:tcPr/>
          <w:p>
            <w:pPr>
              <w:pStyle w:val="Compact"/>
              <w:jc w:val="left"/>
            </w:pPr>
            <m:oMath>
              <m:r>
                <m:rPr>
                  <m:sty m:val="p"/>
                  <m:scr m:val="double-struck"/>
                </m:rPr>
                <m:t>E</m:t>
              </m:r>
              <m:d>
                <m:dPr>
                  <m:begChr m:val="["/>
                  <m:endChr m:val="]"/>
                  <m:sepChr m:val=""/>
                  <m:grow/>
                </m:dPr>
                <m:e>
                  <m:sSub>
                    <m:e>
                      <m:r>
                        <m:t>T</m:t>
                      </m:r>
                    </m:e>
                    <m:sub>
                      <m:r>
                        <m:rPr>
                          <m:nor/>
                          <m:sty m:val="p"/>
                        </m:rPr>
                        <m:t>detect</m:t>
                      </m:r>
                    </m:sub>
                  </m:sSub>
                </m:e>
              </m:d>
            </m:oMath>
          </w:p>
        </w:tc>
        <w:tc>
          <w:tcPr/>
          <w:p>
            <w:pPr>
              <w:pStyle w:val="Compact"/>
              <w:jc w:val="left"/>
            </w:pPr>
            <w:r>
              <w:t xml:space="preserve">Expected time until some member first probes the failed member</w:t>
            </w:r>
          </w:p>
        </w:tc>
        <w:tc>
          <w:tcPr/>
          <w:p>
            <w:pPr>
              <w:pStyle w:val="Compact"/>
              <w:jc w:val="left"/>
            </w:pPr>
            <w:r>
              <w:t xml:space="preserve">s</w:t>
            </w:r>
          </w:p>
        </w:tc>
      </w:tr>
    </w:tbl>
    <w:p>
      <w:pPr>
        <w:pStyle w:val="BodyText"/>
      </w:pPr>
      <w:r>
        <w:rPr>
          <w:bCs/>
          <w:b/>
        </w:rPr>
        <w:t xml:space="preserve">Derivation.</w:t>
      </w:r>
      <w:r>
        <w:t xml:space="preserve"> </w:t>
      </w:r>
      <w:r>
        <w:t xml:space="preserve">Each of the</w:t>
      </w:r>
      <w:r>
        <w:t xml:space="preserve"> </w:t>
      </w:r>
      <m:oMath>
        <m:r>
          <m:t>n</m:t>
        </m:r>
        <m:r>
          <m:rPr>
            <m:sty m:val="p"/>
          </m:rPr>
          <m:t>−</m:t>
        </m:r>
        <m:r>
          <m:t>1</m:t>
        </m:r>
      </m:oMath>
      <w:r>
        <w:t xml:space="preserve"> </w:t>
      </w:r>
      <w:r>
        <w:t xml:space="preserve">live members picks the failed member with probability</w:t>
      </w:r>
      <w:r>
        <w:t xml:space="preserve"> </w:t>
      </w:r>
      <m:oMath>
        <m:r>
          <m:t>1</m:t>
        </m:r>
        <m:r>
          <m:rPr>
            <m:sty m:val="p"/>
          </m:rPr>
          <m:t>/</m:t>
        </m:r>
        <m:d>
          <m:dPr>
            <m:begChr m:val="("/>
            <m:endChr m:val=")"/>
            <m:sepChr m:val=""/>
            <m:grow/>
          </m:dPr>
          <m:e>
            <m:r>
              <m:t>n</m:t>
            </m:r>
            <m:r>
              <m:rPr>
                <m:sty m:val="p"/>
              </m:rPr>
              <m:t>−</m:t>
            </m:r>
            <m:r>
              <m:t>1</m:t>
            </m:r>
          </m:e>
        </m:d>
      </m:oMath>
      <w:r>
        <w:t xml:space="preserve">, so the chance that none does in a period is</w:t>
      </w:r>
      <w:r>
        <w:t xml:space="preserve"> </w:t>
      </w:r>
      <m:oMath>
        <m:sSup>
          <m:e>
            <m:d>
              <m:dPr>
                <m:begChr m:val="("/>
                <m:endChr m:val=")"/>
                <m:sepChr m:val=""/>
                <m:grow/>
              </m:dPr>
              <m:e>
                <m:r>
                  <m:t>1</m:t>
                </m:r>
                <m:r>
                  <m:rPr>
                    <m:sty m:val="p"/>
                  </m:rPr>
                  <m:t>−</m:t>
                </m:r>
                <m:f>
                  <m:fPr>
                    <m:type m:val="lin"/>
                  </m:fPr>
                  <m:num>
                    <m:r>
                      <m:t>1</m:t>
                    </m:r>
                  </m:num>
                  <m:den>
                    <m:r>
                      <m:t>n</m:t>
                    </m:r>
                    <m:r>
                      <m:rPr>
                        <m:sty m:val="p"/>
                      </m:rPr>
                      <m:t>−</m:t>
                    </m:r>
                    <m:r>
                      <m:t>1</m:t>
                    </m:r>
                  </m:den>
                </m:f>
              </m:e>
            </m:d>
          </m:e>
          <m:sup>
            <m:r>
              <m:t>n</m:t>
            </m:r>
            <m:r>
              <m:rPr>
                <m:sty m:val="p"/>
              </m:rPr>
              <m:t>−</m:t>
            </m:r>
            <m:r>
              <m:t>1</m:t>
            </m:r>
          </m:sup>
        </m:sSup>
        <m:r>
          <m:rPr>
            <m:sty m:val="p"/>
          </m:rPr>
          <m:t>≈</m:t>
        </m:r>
        <m:sSup>
          <m:e>
            <m:r>
              <m:t>e</m:t>
            </m:r>
          </m:e>
          <m:sup>
            <m:r>
              <m:rPr>
                <m:sty m:val="p"/>
              </m:rPr>
              <m:t>−</m:t>
            </m:r>
            <m:r>
              <m:t>1</m:t>
            </m:r>
          </m:sup>
        </m:sSup>
      </m:oMath>
      <w:r>
        <w:t xml:space="preserve">. The number of periods until someone does is geometric with success probability</w:t>
      </w:r>
      <w:r>
        <w:t xml:space="preserve"> </w:t>
      </w:r>
      <m:oMath>
        <m:r>
          <m:t>1</m:t>
        </m:r>
        <m:r>
          <m:rPr>
            <m:sty m:val="p"/>
          </m:rPr>
          <m:t>−</m:t>
        </m:r>
        <m:sSup>
          <m:e>
            <m:r>
              <m:t>e</m:t>
            </m:r>
          </m:e>
          <m:sup>
            <m:r>
              <m:rPr>
                <m:sty m:val="p"/>
              </m:rPr>
              <m:t>−</m:t>
            </m:r>
            <m:r>
              <m:t>1</m:t>
            </m:r>
          </m:sup>
        </m:sSup>
      </m:oMath>
      <w:r>
        <w:t xml:space="preserve">, giving a mean of</w:t>
      </w:r>
      <w:r>
        <w:t xml:space="preserve"> </w:t>
      </w:r>
      <m:oMath>
        <m:r>
          <m:t>1</m:t>
        </m:r>
        <m:r>
          <m:rPr>
            <m:sty m:val="p"/>
          </m:rPr>
          <m:t>/</m:t>
        </m:r>
        <m:d>
          <m:dPr>
            <m:begChr m:val="("/>
            <m:endChr m:val=")"/>
            <m:sepChr m:val=""/>
            <m:grow/>
          </m:dPr>
          <m:e>
            <m:r>
              <m:t>1</m:t>
            </m:r>
            <m:r>
              <m:rPr>
                <m:sty m:val="p"/>
              </m:rPr>
              <m:t>−</m:t>
            </m:r>
            <m:sSup>
              <m:e>
                <m:r>
                  <m:t>e</m:t>
                </m:r>
              </m:e>
              <m:sup>
                <m:r>
                  <m:rPr>
                    <m:sty m:val="p"/>
                  </m:rPr>
                  <m:t>−</m:t>
                </m:r>
                <m:r>
                  <m:t>1</m:t>
                </m:r>
              </m:sup>
            </m:sSup>
          </m:e>
        </m:d>
        <m:r>
          <m:rPr>
            <m:sty m:val="p"/>
          </m:rPr>
          <m:t>=</m:t>
        </m:r>
        <m:r>
          <m:t>e</m:t>
        </m:r>
        <m:r>
          <m:rPr>
            <m:sty m:val="p"/>
          </m:rPr>
          <m:t>/</m:t>
        </m:r>
        <m:d>
          <m:dPr>
            <m:begChr m:val="("/>
            <m:endChr m:val=")"/>
            <m:sepChr m:val=""/>
            <m:grow/>
          </m:dPr>
          <m:e>
            <m:r>
              <m:t>e</m:t>
            </m:r>
            <m:r>
              <m:rPr>
                <m:sty m:val="p"/>
              </m:rPr>
              <m:t>−</m:t>
            </m:r>
            <m:r>
              <m:t>1</m:t>
            </m:r>
          </m:e>
        </m:d>
      </m:oMath>
      <w:r>
        <w:t xml:space="preserve">.</w:t>
      </w:r>
    </w:p>
    <w:p>
      <w:pPr>
        <w:pStyle w:val="CalloutExample"/>
      </w:pPr>
      <w:r>
        <w:rPr>
          <w:bCs/>
          <w:b/>
        </w:rPr>
        <w:t xml:space="preserve">WORKED EXAMPLE</w:t>
      </w:r>
    </w:p>
    <w:p>
      <w:pPr>
        <w:pStyle w:val="CalloutExample"/>
      </w:pPr>
      <w:r>
        <w:rPr>
          <w:bCs/>
          <w:b/>
        </w:rPr>
        <w:t xml:space="preserve">Worked example — Detection budget for 1,000 members.</w:t>
      </w:r>
      <w:r>
        <w:t xml:space="preserve"> </w:t>
      </w:r>
      <m:oMath>
        <m:r>
          <m:t>T</m:t>
        </m:r>
        <m:r>
          <m:rPr>
            <m:sty m:val="p"/>
          </m:rPr>
          <m:t>′</m:t>
        </m:r>
        <m:r>
          <m:rPr>
            <m:sty m:val="p"/>
          </m:rPr>
          <m:t>=</m:t>
        </m:r>
        <m:r>
          <m:t>1</m:t>
        </m:r>
      </m:oMath>
      <w:r>
        <w:t xml:space="preserve"> </w:t>
      </w:r>
      <w:r>
        <w:t xml:space="preserve">s,</w:t>
      </w:r>
      <w:r>
        <w:t xml:space="preserve"> </w:t>
      </w:r>
      <m:oMath>
        <m:r>
          <m:t>n</m:t>
        </m:r>
        <m:r>
          <m:rPr>
            <m:sty m:val="p"/>
          </m:rPr>
          <m:t>=</m:t>
        </m:r>
        <m:r>
          <m:t>1</m:t>
        </m:r>
        <m:r>
          <m:rPr>
            <m:sty m:val="p"/>
          </m:rPr>
          <m:t>,</m:t>
        </m:r>
        <m:r>
          <m:t>000</m:t>
        </m:r>
      </m:oMath>
      <w:r>
        <w:t xml:space="preserve">.</w:t>
      </w:r>
    </w:p>
    <w:p>
      <w:pPr>
        <w:numPr>
          <w:ilvl w:val="0"/>
          <w:numId w:val="1888"/>
        </w:numPr>
        <w:pStyle w:val="Compact"/>
      </w:pPr>
      <m:oMath>
        <m:sSup>
          <m:e>
            <m:d>
              <m:dPr>
                <m:begChr m:val="("/>
                <m:endChr m:val=")"/>
                <m:sepChr m:val=""/>
                <m:grow/>
              </m:dPr>
              <m:e>
                <m:r>
                  <m:t>1</m:t>
                </m:r>
                <m:r>
                  <m:rPr>
                    <m:sty m:val="p"/>
                  </m:rPr>
                  <m:t>−</m:t>
                </m:r>
                <m:r>
                  <m:t>1</m:t>
                </m:r>
                <m:r>
                  <m:rPr>
                    <m:sty m:val="p"/>
                  </m:rPr>
                  <m:t>/</m:t>
                </m:r>
                <m:r>
                  <m:t>999</m:t>
                </m:r>
              </m:e>
            </m:d>
          </m:e>
          <m:sup>
            <m:r>
              <m:t>999</m:t>
            </m:r>
          </m:sup>
        </m:sSup>
        <m:r>
          <m:rPr>
            <m:sty m:val="p"/>
          </m:rPr>
          <m:t>=</m:t>
        </m:r>
        <m:r>
          <m:t>0.3677</m:t>
        </m:r>
      </m:oMath>
      <w:r>
        <w:t xml:space="preserve">, so</w:t>
      </w:r>
      <w:r>
        <w:t xml:space="preserve"> </w:t>
      </w:r>
      <m:oMath>
        <m:r>
          <m:rPr>
            <m:sty m:val="p"/>
            <m:scr m:val="double-struck"/>
          </m:rPr>
          <m:t>E</m:t>
        </m:r>
        <m:d>
          <m:dPr>
            <m:begChr m:val="["/>
            <m:endChr m:val="]"/>
            <m:sepChr m:val=""/>
            <m:grow/>
          </m:dPr>
          <m:e>
            <m:sSub>
              <m:e>
                <m:r>
                  <m:t>T</m:t>
                </m:r>
              </m:e>
              <m:sub>
                <m:r>
                  <m:rPr>
                    <m:nor/>
                    <m:sty m:val="p"/>
                  </m:rPr>
                  <m:t>detect</m:t>
                </m:r>
              </m:sub>
            </m:sSub>
          </m:e>
        </m:d>
        <m:r>
          <m:rPr>
            <m:sty m:val="p"/>
          </m:rPr>
          <m:t>=</m:t>
        </m:r>
        <m:r>
          <m:t>1</m:t>
        </m:r>
        <m:r>
          <m:rPr>
            <m:sty m:val="p"/>
          </m:rPr>
          <m:t>/</m:t>
        </m:r>
        <m:d>
          <m:dPr>
            <m:begChr m:val="("/>
            <m:endChr m:val=")"/>
            <m:sepChr m:val=""/>
            <m:grow/>
          </m:dPr>
          <m:e>
            <m:r>
              <m:t>1</m:t>
            </m:r>
            <m:r>
              <m:rPr>
                <m:sty m:val="p"/>
              </m:rPr>
              <m:t>−</m:t>
            </m:r>
            <m:r>
              <m:t>0.3677</m:t>
            </m:r>
          </m:e>
        </m:d>
        <m:r>
          <m:rPr>
            <m:sty m:val="p"/>
          </m:rPr>
          <m:t>=</m:t>
        </m:r>
        <m:r>
          <m:t>1.58</m:t>
        </m:r>
      </m:oMath>
      <w:r>
        <w:t xml:space="preserve"> </w:t>
      </w:r>
      <w:r>
        <w:t xml:space="preserve">s.</w:t>
      </w:r>
    </w:p>
    <w:p>
      <w:pPr>
        <w:numPr>
          <w:ilvl w:val="0"/>
          <w:numId w:val="1888"/>
        </w:numPr>
        <w:pStyle w:val="Compact"/>
      </w:pPr>
      <w:r>
        <w:t xml:space="preserve">Add a suspicion timeout of, say, 5 s for refutation: about 6.6 s from crash to declaration.</w:t>
      </w:r>
    </w:p>
    <w:p>
      <w:pPr>
        <w:numPr>
          <w:ilvl w:val="0"/>
          <w:numId w:val="1888"/>
        </w:numPr>
        <w:pStyle w:val="Compact"/>
      </w:pPr>
      <w:r>
        <w:t xml:space="preserve">Spreading the verdict by piggybacking takes</w:t>
      </w:r>
      <w:r>
        <w:t xml:space="preserve"> </w:t>
      </w:r>
      <m:oMath>
        <m:r>
          <m:t>O</m:t>
        </m:r>
        <m:d>
          <m:dPr>
            <m:begChr m:val="("/>
            <m:endChr m:val=")"/>
            <m:sepChr m:val=""/>
            <m:grow/>
          </m:dPr>
          <m:e>
            <m:r>
              <m:rPr>
                <m:sty m:val="p"/>
              </m:rPr>
              <m:t>log</m:t>
            </m:r>
            <m:r>
              <m:t>n</m:t>
            </m:r>
          </m:e>
        </m:d>
      </m:oMath>
      <w:r>
        <w:t xml:space="preserve"> </w:t>
      </w:r>
      <w:r>
        <w:t xml:space="preserve">further periods, about 10–17 at this size.</w:t>
      </w:r>
    </w:p>
    <w:p>
      <w:pPr>
        <w:numPr>
          <w:ilvl w:val="0"/>
          <w:numId w:val="1888"/>
        </w:numPr>
        <w:pStyle w:val="Compact"/>
      </w:pPr>
      <w:r>
        <w:t xml:space="preserve">Message load: about 2 messages (ping and ack) per member per period, about 2,000 per second cluster-wide, versus 999,000 for all-to-all heartbeats.</w:t>
      </w:r>
    </w:p>
    <w:p>
      <w:pPr>
        <w:pStyle w:val="CalloutExample"/>
      </w:pPr>
      <w:r>
        <w:rPr>
          <w:bCs/>
          <w:b/>
        </w:rPr>
        <w:t xml:space="preserve">Interpretation.</w:t>
      </w:r>
      <w:r>
        <w:t xml:space="preserve"> </w:t>
      </w:r>
      <w:r>
        <w:t xml:space="preserve">Detection time is independent of group size; only dissemination grows, logarithmically.</w:t>
      </w:r>
      <w:r>
        <w:t xml:space="preserve"> </w:t>
      </w:r>
      <w:r>
        <w:rPr>
          <w:bCs/>
          <w:b/>
        </w:rPr>
        <w:t xml:space="preserve">Engineering implication.</w:t>
      </w:r>
      <w:r>
        <w:t xml:space="preserve"> </w:t>
      </w:r>
      <w:r>
        <w:t xml:space="preserve">SWIM-style membership is the standard choice for clusters of hundreds to thousands of nodes; tune the suspicion timeout, not the probe rate, to trade false positives for speed.</w:t>
      </w:r>
    </w:p>
    <w:p>
      <w:pPr>
        <w:pStyle w:val="BodyText"/>
      </w:pPr>
      <w:r>
        <w:t xml:space="preserve">The simulation below measures push, pull and push–pull dissemination and SWIM’s first-detection time.</w:t>
      </w:r>
    </w:p>
    <w:p>
      <w:pPr>
        <w:pStyle w:val="SourceCode"/>
      </w:pPr>
      <w:r>
        <w:rPr>
          <w:rStyle w:val="CommentTok"/>
        </w:rPr>
        <w:t xml:space="preserve">"""Rounds for a rumor to reach every node: push, pull and push-pull gossip,</w:t>
      </w:r>
      <w:r>
        <w:br/>
      </w:r>
      <w:r>
        <w:rPr>
          <w:rStyle w:val="CommentTok"/>
        </w:rPr>
        <w:t xml:space="preserve">plus SWIM's expected time to first detection of a crashed member."""</w:t>
      </w:r>
      <w:r>
        <w:br/>
      </w:r>
      <w:r>
        <w:rPr>
          <w:rStyle w:val="ImportTok"/>
        </w:rPr>
        <w:t xml:space="preserve">import</w:t>
      </w:r>
      <w:r>
        <w:rPr>
          <w:rStyle w:val="NormalTok"/>
        </w:rPr>
        <w:t xml:space="preserve"> math</w:t>
      </w:r>
      <w:r>
        <w:br/>
      </w:r>
      <w:r>
        <w:rPr>
          <w:rStyle w:val="ImportTok"/>
        </w:rPr>
        <w:t xml:space="preserve">import</w:t>
      </w:r>
      <w:r>
        <w:rPr>
          <w:rStyle w:val="NormalTok"/>
        </w:rPr>
        <w:t xml:space="preserve"> random</w:t>
      </w:r>
      <w:r>
        <w:br/>
      </w:r>
      <w:r>
        <w:rPr>
          <w:rStyle w:val="ImportTok"/>
        </w:rPr>
        <w:t xml:space="preserve">import</w:t>
      </w:r>
      <w:r>
        <w:rPr>
          <w:rStyle w:val="NormalTok"/>
        </w:rPr>
        <w:t xml:space="preserve"> statistics</w:t>
      </w:r>
      <w:r>
        <w:br/>
      </w:r>
      <w:r>
        <w:br/>
      </w:r>
      <w:r>
        <w:rPr>
          <w:rStyle w:val="KeywordTok"/>
        </w:rPr>
        <w:t xml:space="preserve">def</w:t>
      </w:r>
      <w:r>
        <w:rPr>
          <w:rStyle w:val="NormalTok"/>
        </w:rPr>
        <w:t xml:space="preserve"> spread(n, mode, fanout</w:t>
      </w:r>
      <w:r>
        <w:rPr>
          <w:rStyle w:val="OperatorTok"/>
        </w:rPr>
        <w:t xml:space="preserve">=</w:t>
      </w:r>
      <w:r>
        <w:rPr>
          <w:rStyle w:val="DecValTok"/>
        </w:rPr>
        <w:t xml:space="preserve">1</w:t>
      </w:r>
      <w:r>
        <w:rPr>
          <w:rStyle w:val="NormalTok"/>
        </w:rPr>
        <w:t xml:space="preserve">, rng</w:t>
      </w:r>
      <w:r>
        <w:rPr>
          <w:rStyle w:val="OperatorTok"/>
        </w:rPr>
        <w:t xml:space="preserve">=</w:t>
      </w:r>
      <w:r>
        <w:rPr>
          <w:rStyle w:val="NormalTok"/>
        </w:rPr>
        <w:t xml:space="preserve">random):</w:t>
      </w:r>
      <w:r>
        <w:br/>
      </w:r>
      <w:r>
        <w:rPr>
          <w:rStyle w:val="NormalTok"/>
        </w:rPr>
        <w:t xml:space="preserve">    </w:t>
      </w:r>
      <w:r>
        <w:rPr>
          <w:rStyle w:val="CommentTok"/>
        </w:rPr>
        <w:t xml:space="preserve">"""Synchronous rounds: every node contacts `fanout` random peers per round."""</w:t>
      </w:r>
      <w:r>
        <w:br/>
      </w:r>
      <w:r>
        <w:rPr>
          <w:rStyle w:val="NormalTok"/>
        </w:rPr>
        <w:t xml:space="preserve">    informed </w:t>
      </w:r>
      <w:r>
        <w:rPr>
          <w:rStyle w:val="OperatorTok"/>
        </w:rPr>
        <w:t xml:space="preserve">=</w:t>
      </w:r>
      <w:r>
        <w:rPr>
          <w:rStyle w:val="NormalTok"/>
        </w:rPr>
        <w:t xml:space="preserve"> [</w:t>
      </w:r>
      <w:r>
        <w:rPr>
          <w:rStyle w:val="VariableTok"/>
        </w:rPr>
        <w:t xml:space="preserve">False</w:t>
      </w:r>
      <w:r>
        <w:rPr>
          <w:rStyle w:val="NormalTok"/>
        </w:rPr>
        <w:t xml:space="preserve">] </w:t>
      </w:r>
      <w:r>
        <w:rPr>
          <w:rStyle w:val="OperatorTok"/>
        </w:rPr>
        <w:t xml:space="preserve">*</w:t>
      </w:r>
      <w:r>
        <w:rPr>
          <w:rStyle w:val="NormalTok"/>
        </w:rPr>
        <w:t xml:space="preserve"> n</w:t>
      </w:r>
      <w:r>
        <w:br/>
      </w:r>
      <w:r>
        <w:rPr>
          <w:rStyle w:val="NormalTok"/>
        </w:rPr>
        <w:t xml:space="preserve">    informed[</w:t>
      </w:r>
      <w:r>
        <w:rPr>
          <w:rStyle w:val="DecValTok"/>
        </w:rPr>
        <w:t xml:space="preserve">0</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NormalTok"/>
        </w:rPr>
        <w:t xml:space="preserve">    count, rounds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0</w:t>
      </w:r>
      <w:r>
        <w:br/>
      </w:r>
      <w:r>
        <w:rPr>
          <w:rStyle w:val="NormalTok"/>
        </w:rPr>
        <w:t xml:space="preserve">    </w:t>
      </w:r>
      <w:r>
        <w:rPr>
          <w:rStyle w:val="ControlFlowTok"/>
        </w:rPr>
        <w:t xml:space="preserve">while</w:t>
      </w:r>
      <w:r>
        <w:rPr>
          <w:rStyle w:val="NormalTok"/>
        </w:rPr>
        <w:t xml:space="preserve"> count </w:t>
      </w:r>
      <w:r>
        <w:rPr>
          <w:rStyle w:val="OperatorTok"/>
        </w:rPr>
        <w:t xml:space="preserve">&lt;</w:t>
      </w:r>
      <w:r>
        <w:rPr>
          <w:rStyle w:val="NormalTok"/>
        </w:rPr>
        <w:t xml:space="preserve"> n:</w:t>
      </w:r>
      <w:r>
        <w:br/>
      </w:r>
      <w:r>
        <w:rPr>
          <w:rStyle w:val="NormalTok"/>
        </w:rPr>
        <w:t xml:space="preserve">        rounds </w:t>
      </w:r>
      <w:r>
        <w:rPr>
          <w:rStyle w:val="OperatorTok"/>
        </w:rPr>
        <w:t xml:space="preserve">+=</w:t>
      </w:r>
      <w:r>
        <w:rPr>
          <w:rStyle w:val="NormalTok"/>
        </w:rPr>
        <w:t xml:space="preserve"> </w:t>
      </w:r>
      <w:r>
        <w:rPr>
          <w:rStyle w:val="DecValTok"/>
        </w:rPr>
        <w:t xml:space="preserve">1</w:t>
      </w:r>
      <w:r>
        <w:br/>
      </w:r>
      <w:r>
        <w:rPr>
          <w:rStyle w:val="NormalTok"/>
        </w:rPr>
        <w:t xml:space="preserve">        new </w:t>
      </w:r>
      <w:r>
        <w:rPr>
          <w:rStyle w:val="OperatorTok"/>
        </w:rPr>
        <w:t xml:space="preserve">=</w:t>
      </w:r>
      <w:r>
        <w:rPr>
          <w:rStyle w:val="NormalTok"/>
        </w:rPr>
        <w:t xml:space="preserve"> informed[:]                        </w:t>
      </w:r>
      <w:r>
        <w:rPr>
          <w:rStyle w:val="CommentTok"/>
        </w:rPr>
        <w:t xml:space="preserve"># updates take effect next round</w:t>
      </w:r>
      <w:r>
        <w:br/>
      </w:r>
      <w:r>
        <w:rPr>
          <w:rStyle w:val="NormalTok"/>
        </w:rPr>
        <w:t xml:space="preserve">        </w:t>
      </w:r>
      <w:r>
        <w:rPr>
          <w:rStyle w:val="ControlFlowTok"/>
        </w:rPr>
        <w:t xml:space="preserve">for</w:t>
      </w:r>
      <w:r>
        <w:rPr>
          <w:rStyle w:val="NormalTok"/>
        </w:rPr>
        <w:t xml:space="preserve"> node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(fanout):</w:t>
      </w:r>
      <w:r>
        <w:br/>
      </w:r>
      <w:r>
        <w:rPr>
          <w:rStyle w:val="NormalTok"/>
        </w:rPr>
        <w:t xml:space="preserve">                peer </w:t>
      </w:r>
      <w:r>
        <w:rPr>
          <w:rStyle w:val="OperatorTok"/>
        </w:rPr>
        <w:t xml:space="preserve">=</w:t>
      </w:r>
      <w:r>
        <w:rPr>
          <w:rStyle w:val="NormalTok"/>
        </w:rPr>
        <w:t xml:space="preserve"> rng.randrange(n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peer </w:t>
      </w:r>
      <w:r>
        <w:rPr>
          <w:rStyle w:val="OperatorTok"/>
        </w:rPr>
        <w:t xml:space="preserve">+=</w:t>
      </w:r>
      <w:r>
        <w:rPr>
          <w:rStyle w:val="NormalTok"/>
        </w:rPr>
        <w:t xml:space="preserve"> peer </w:t>
      </w:r>
      <w:r>
        <w:rPr>
          <w:rStyle w:val="OperatorTok"/>
        </w:rPr>
        <w:t xml:space="preserve">&gt;=</w:t>
      </w:r>
      <w:r>
        <w:rPr>
          <w:rStyle w:val="NormalTok"/>
        </w:rPr>
        <w:t xml:space="preserve"> node             </w:t>
      </w:r>
      <w:r>
        <w:rPr>
          <w:rStyle w:val="CommentTok"/>
        </w:rPr>
        <w:t xml:space="preserve"># a random peer other than itself</w:t>
      </w:r>
      <w:r>
        <w:br/>
      </w:r>
      <w:r>
        <w:rPr>
          <w:rStyle w:val="NormalTok"/>
        </w:rPr>
        <w:t xml:space="preserve">                </w:t>
      </w:r>
      <w:r>
        <w:rPr>
          <w:rStyle w:val="ControlFlowTok"/>
        </w:rPr>
        <w:t xml:space="preserve">if</w:t>
      </w:r>
      <w:r>
        <w:rPr>
          <w:rStyle w:val="NormalTok"/>
        </w:rPr>
        <w:t xml:space="preserve"> mode </w:t>
      </w:r>
      <w:r>
        <w:rPr>
          <w:rStyle w:val="KeywordTok"/>
        </w:rPr>
        <w:t xml:space="preserve">in</w:t>
      </w:r>
      <w:r>
        <w:rPr>
          <w:rStyle w:val="NormalTok"/>
        </w:rPr>
        <w:t xml:space="preserve"> (</w:t>
      </w:r>
      <w:r>
        <w:rPr>
          <w:rStyle w:val="StringTok"/>
        </w:rPr>
        <w:t xml:space="preserve">"push"</w:t>
      </w:r>
      <w:r>
        <w:rPr>
          <w:rStyle w:val="NormalTok"/>
        </w:rPr>
        <w:t xml:space="preserve">, </w:t>
      </w:r>
      <w:r>
        <w:rPr>
          <w:rStyle w:val="StringTok"/>
        </w:rPr>
        <w:t xml:space="preserve">"push-pull"</w:t>
      </w:r>
      <w:r>
        <w:rPr>
          <w:rStyle w:val="NormalTok"/>
        </w:rPr>
        <w:t xml:space="preserve">) </w:t>
      </w:r>
      <w:r>
        <w:rPr>
          <w:rStyle w:val="KeywordTok"/>
        </w:rPr>
        <w:t xml:space="preserve">and</w:t>
      </w:r>
      <w:r>
        <w:rPr>
          <w:rStyle w:val="NormalTok"/>
        </w:rPr>
        <w:t xml:space="preserve"> informed[node]:</w:t>
      </w:r>
      <w:r>
        <w:br/>
      </w:r>
      <w:r>
        <w:rPr>
          <w:rStyle w:val="NormalTok"/>
        </w:rPr>
        <w:t xml:space="preserve">                    new[peer] </w:t>
      </w:r>
      <w:r>
        <w:rPr>
          <w:rStyle w:val="OperatorTok"/>
        </w:rPr>
        <w:t xml:space="preserve">=</w:t>
      </w:r>
      <w:r>
        <w:rPr>
          <w:rStyle w:val="NormalTok"/>
        </w:rPr>
        <w:t xml:space="preserve"> </w:t>
      </w:r>
      <w:r>
        <w:rPr>
          <w:rStyle w:val="VariableTok"/>
        </w:rPr>
        <w:t xml:space="preserve">True</w:t>
      </w:r>
      <w:r>
        <w:rPr>
          <w:rStyle w:val="NormalTok"/>
        </w:rPr>
        <w:t xml:space="preserve">             </w:t>
      </w:r>
      <w:r>
        <w:rPr>
          <w:rStyle w:val="CommentTok"/>
        </w:rPr>
        <w:t xml:space="preserve"># push: informed node tells peer</w:t>
      </w:r>
      <w:r>
        <w:br/>
      </w:r>
      <w:r>
        <w:rPr>
          <w:rStyle w:val="NormalTok"/>
        </w:rPr>
        <w:t xml:space="preserve">                </w:t>
      </w:r>
      <w:r>
        <w:rPr>
          <w:rStyle w:val="ControlFlowTok"/>
        </w:rPr>
        <w:t xml:space="preserve">if</w:t>
      </w:r>
      <w:r>
        <w:rPr>
          <w:rStyle w:val="NormalTok"/>
        </w:rPr>
        <w:t xml:space="preserve"> mode </w:t>
      </w:r>
      <w:r>
        <w:rPr>
          <w:rStyle w:val="KeywordTok"/>
        </w:rPr>
        <w:t xml:space="preserve">in</w:t>
      </w:r>
      <w:r>
        <w:rPr>
          <w:rStyle w:val="NormalTok"/>
        </w:rPr>
        <w:t xml:space="preserve"> (</w:t>
      </w:r>
      <w:r>
        <w:rPr>
          <w:rStyle w:val="StringTok"/>
        </w:rPr>
        <w:t xml:space="preserve">"pull"</w:t>
      </w:r>
      <w:r>
        <w:rPr>
          <w:rStyle w:val="NormalTok"/>
        </w:rPr>
        <w:t xml:space="preserve">, </w:t>
      </w:r>
      <w:r>
        <w:rPr>
          <w:rStyle w:val="StringTok"/>
        </w:rPr>
        <w:t xml:space="preserve">"push-pull"</w:t>
      </w:r>
      <w:r>
        <w:rPr>
          <w:rStyle w:val="NormalTok"/>
        </w:rPr>
        <w:t xml:space="preserve">) </w:t>
      </w:r>
      <w:r>
        <w:rPr>
          <w:rStyle w:val="KeywordTok"/>
        </w:rPr>
        <w:t xml:space="preserve">and</w:t>
      </w:r>
      <w:r>
        <w:rPr>
          <w:rStyle w:val="NormalTok"/>
        </w:rPr>
        <w:t xml:space="preserve"> informed[peer]:</w:t>
      </w:r>
      <w:r>
        <w:br/>
      </w:r>
      <w:r>
        <w:rPr>
          <w:rStyle w:val="NormalTok"/>
        </w:rPr>
        <w:t xml:space="preserve">                    new[node] </w:t>
      </w:r>
      <w:r>
        <w:rPr>
          <w:rStyle w:val="OperatorTok"/>
        </w:rPr>
        <w:t xml:space="preserve">=</w:t>
      </w:r>
      <w:r>
        <w:rPr>
          <w:rStyle w:val="NormalTok"/>
        </w:rPr>
        <w:t xml:space="preserve"> </w:t>
      </w:r>
      <w:r>
        <w:rPr>
          <w:rStyle w:val="VariableTok"/>
        </w:rPr>
        <w:t xml:space="preserve">True</w:t>
      </w:r>
      <w:r>
        <w:rPr>
          <w:rStyle w:val="NormalTok"/>
        </w:rPr>
        <w:t xml:space="preserve">             </w:t>
      </w:r>
      <w:r>
        <w:rPr>
          <w:rStyle w:val="CommentTok"/>
        </w:rPr>
        <w:t xml:space="preserve"># pull: node asks peer for news</w:t>
      </w:r>
      <w:r>
        <w:br/>
      </w:r>
      <w:r>
        <w:rPr>
          <w:rStyle w:val="NormalTok"/>
        </w:rPr>
        <w:t xml:space="preserve">        informed </w:t>
      </w:r>
      <w:r>
        <w:rPr>
          <w:rStyle w:val="OperatorTok"/>
        </w:rPr>
        <w:t xml:space="preserve">=</w:t>
      </w:r>
      <w:r>
        <w:rPr>
          <w:rStyle w:val="NormalTok"/>
        </w:rPr>
        <w:t xml:space="preserve"> new</w:t>
      </w:r>
      <w:r>
        <w:br/>
      </w:r>
      <w:r>
        <w:rPr>
          <w:rStyle w:val="NormalTok"/>
        </w:rPr>
        <w:t xml:space="preserve">        count </w:t>
      </w:r>
      <w:r>
        <w:rPr>
          <w:rStyle w:val="OperatorTok"/>
        </w:rPr>
        <w:t xml:space="preserve">=</w:t>
      </w:r>
      <w:r>
        <w:rPr>
          <w:rStyle w:val="NormalTok"/>
        </w:rPr>
        <w:t xml:space="preserve"> </w:t>
      </w:r>
      <w:r>
        <w:rPr>
          <w:rStyle w:val="BuiltInTok"/>
        </w:rPr>
        <w:t xml:space="preserve">sum</w:t>
      </w:r>
      <w:r>
        <w:rPr>
          <w:rStyle w:val="NormalTok"/>
        </w:rPr>
        <w:t xml:space="preserve">(informed)</w:t>
      </w:r>
      <w:r>
        <w:br/>
      </w:r>
      <w:r>
        <w:rPr>
          <w:rStyle w:val="NormalTok"/>
        </w:rPr>
        <w:t xml:space="preserve">    </w:t>
      </w:r>
      <w:r>
        <w:rPr>
          <w:rStyle w:val="ControlFlowTok"/>
        </w:rPr>
        <w:t xml:space="preserve">return</w:t>
      </w:r>
      <w:r>
        <w:rPr>
          <w:rStyle w:val="NormalTok"/>
        </w:rPr>
        <w:t xml:space="preserve"> rounds</w:t>
      </w:r>
      <w:r>
        <w:br/>
      </w:r>
      <w:r>
        <w:br/>
      </w:r>
      <w:r>
        <w:rPr>
          <w:rStyle w:val="KeywordTok"/>
        </w:rPr>
        <w:t xml:space="preserve">def</w:t>
      </w:r>
      <w:r>
        <w:rPr>
          <w:rStyle w:val="NormalTok"/>
        </w:rPr>
        <w:t xml:space="preserve"> swim_first_detection(n, rng</w:t>
      </w:r>
      <w:r>
        <w:rPr>
          <w:rStyle w:val="OperatorTok"/>
        </w:rPr>
        <w:t xml:space="preserve">=</w:t>
      </w:r>
      <w:r>
        <w:rPr>
          <w:rStyle w:val="NormalTok"/>
        </w:rPr>
        <w:t xml:space="preserve">random):</w:t>
      </w:r>
      <w:r>
        <w:br/>
      </w:r>
      <w:r>
        <w:rPr>
          <w:rStyle w:val="NormalTok"/>
        </w:rPr>
        <w:t xml:space="preserve">    </w:t>
      </w:r>
      <w:r>
        <w:rPr>
          <w:rStyle w:val="CommentTok"/>
        </w:rPr>
        <w:t xml:space="preserve">"""Protocol periods until some live member pings the one crashed member."""</w:t>
      </w:r>
      <w:r>
        <w:br/>
      </w:r>
      <w:r>
        <w:rPr>
          <w:rStyle w:val="NormalTok"/>
        </w:rPr>
        <w:t xml:space="preserve">    periods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periods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mmentTok"/>
        </w:rPr>
        <w:t xml:space="preserve"># each of the n-1 live members pings one random other member</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(rng.randrange(n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periods</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rng </w:t>
      </w:r>
      <w:r>
        <w:rPr>
          <w:rStyle w:val="OperatorTok"/>
        </w:rPr>
        <w:t xml:space="preserve">=</w:t>
      </w:r>
      <w:r>
        <w:rPr>
          <w:rStyle w:val="NormalTok"/>
        </w:rPr>
        <w:t xml:space="preserve"> random.Random(</w:t>
      </w:r>
      <w:r>
        <w:rPr>
          <w:rStyle w:val="DecValTok"/>
        </w:rPr>
        <w:t xml:space="preserve">2026</w:t>
      </w:r>
      <w:r>
        <w:rPr>
          <w:rStyle w:val="NormalTok"/>
        </w:rPr>
        <w:t xml:space="preserve">)</w:t>
      </w:r>
      <w:r>
        <w:br/>
      </w:r>
      <w:r>
        <w:rPr>
          <w:rStyle w:val="NormalTok"/>
        </w:rPr>
        <w:t xml:space="preserve">    n, trials </w:t>
      </w:r>
      <w:r>
        <w:rPr>
          <w:rStyle w:val="OperatorTok"/>
        </w:rPr>
        <w:t xml:space="preserve">=</w:t>
      </w:r>
      <w:r>
        <w:rPr>
          <w:rStyle w:val="NormalTok"/>
        </w:rPr>
        <w:t xml:space="preserve"> </w:t>
      </w:r>
      <w:r>
        <w:rPr>
          <w:rStyle w:val="DecValTok"/>
        </w:rPr>
        <w:t xml:space="preserve">1000</w:t>
      </w:r>
      <w:r>
        <w:rPr>
          <w:rStyle w:val="NormalTok"/>
        </w:rPr>
        <w:t xml:space="preserve">, </w:t>
      </w:r>
      <w:r>
        <w:rPr>
          <w:rStyle w:val="DecValTok"/>
        </w:rPr>
        <w:t xml:space="preserve">100</w:t>
      </w:r>
      <w:r>
        <w:br/>
      </w:r>
      <w:r>
        <w:rPr>
          <w:rStyle w:val="NormalTok"/>
        </w:rPr>
        <w:t xml:space="preserve">    </w:t>
      </w:r>
      <w:r>
        <w:rPr>
          <w:rStyle w:val="BuiltInTok"/>
        </w:rPr>
        <w:t xml:space="preserve">print</w:t>
      </w:r>
      <w:r>
        <w:rPr>
          <w:rStyle w:val="NormalTok"/>
        </w:rPr>
        <w:t xml:space="preserve">(</w:t>
      </w:r>
      <w:r>
        <w:rPr>
          <w:rStyle w:val="SpecialStringTok"/>
        </w:rPr>
        <w:t xml:space="preserve">f"n = </w:t>
      </w:r>
      <w:r>
        <w:rPr>
          <w:rStyle w:val="SpecialCharTok"/>
        </w:rPr>
        <w:t xml:space="preserve">{</w:t>
      </w:r>
      <w:r>
        <w:rPr>
          <w:rStyle w:val="NormalTok"/>
        </w:rPr>
        <w:t xml:space="preserve">n</w:t>
      </w:r>
      <w:r>
        <w:rPr>
          <w:rStyle w:val="SpecialCharTok"/>
        </w:rPr>
        <w:t xml:space="preserve">}</w:t>
      </w:r>
      <w:r>
        <w:rPr>
          <w:rStyle w:val="SpecialStringTok"/>
        </w:rPr>
        <w:t xml:space="preserve">, fanout 1, </w:t>
      </w:r>
      <w:r>
        <w:rPr>
          <w:rStyle w:val="SpecialCharTok"/>
        </w:rPr>
        <w:t xml:space="preserve">{</w:t>
      </w:r>
      <w:r>
        <w:rPr>
          <w:rStyle w:val="NormalTok"/>
        </w:rPr>
        <w:t xml:space="preserve">trials</w:t>
      </w:r>
      <w:r>
        <w:rPr>
          <w:rStyle w:val="SpecialCharTok"/>
        </w:rPr>
        <w:t xml:space="preserve">}</w:t>
      </w:r>
      <w:r>
        <w:rPr>
          <w:rStyle w:val="SpecialStringTok"/>
        </w:rPr>
        <w:t xml:space="preserve"> trials each"</w:t>
      </w:r>
      <w:r>
        <w:rPr>
          <w:rStyle w:val="NormalTok"/>
        </w:rPr>
        <w:t xml:space="preserve">)</w:t>
      </w:r>
      <w:r>
        <w:br/>
      </w:r>
      <w:r>
        <w:rPr>
          <w:rStyle w:val="NormalTok"/>
        </w:rPr>
        <w:t xml:space="preserve">    </w:t>
      </w:r>
      <w:r>
        <w:rPr>
          <w:rStyle w:val="ControlFlowTok"/>
        </w:rPr>
        <w:t xml:space="preserve">for</w:t>
      </w:r>
      <w:r>
        <w:rPr>
          <w:rStyle w:val="NormalTok"/>
        </w:rPr>
        <w:t xml:space="preserve"> mode </w:t>
      </w:r>
      <w:r>
        <w:rPr>
          <w:rStyle w:val="KeywordTok"/>
        </w:rPr>
        <w:t xml:space="preserve">in</w:t>
      </w:r>
      <w:r>
        <w:rPr>
          <w:rStyle w:val="NormalTok"/>
        </w:rPr>
        <w:t xml:space="preserve"> (</w:t>
      </w:r>
      <w:r>
        <w:rPr>
          <w:rStyle w:val="StringTok"/>
        </w:rPr>
        <w:t xml:space="preserve">"push"</w:t>
      </w:r>
      <w:r>
        <w:rPr>
          <w:rStyle w:val="NormalTok"/>
        </w:rPr>
        <w:t xml:space="preserve">, </w:t>
      </w:r>
      <w:r>
        <w:rPr>
          <w:rStyle w:val="StringTok"/>
        </w:rPr>
        <w:t xml:space="preserve">"pull"</w:t>
      </w:r>
      <w:r>
        <w:rPr>
          <w:rStyle w:val="NormalTok"/>
        </w:rPr>
        <w:t xml:space="preserve">, </w:t>
      </w:r>
      <w:r>
        <w:rPr>
          <w:rStyle w:val="StringTok"/>
        </w:rPr>
        <w:t xml:space="preserve">"push-pull"</w:t>
      </w:r>
      <w:r>
        <w:rPr>
          <w:rStyle w:val="NormalTok"/>
        </w:rPr>
        <w:t xml:space="preserve">):</w:t>
      </w:r>
      <w:r>
        <w:br/>
      </w:r>
      <w:r>
        <w:rPr>
          <w:rStyle w:val="NormalTok"/>
        </w:rPr>
        <w:t xml:space="preserve">        r </w:t>
      </w:r>
      <w:r>
        <w:rPr>
          <w:rStyle w:val="OperatorTok"/>
        </w:rPr>
        <w:t xml:space="preserve">=</w:t>
      </w:r>
      <w:r>
        <w:rPr>
          <w:rStyle w:val="NormalTok"/>
        </w:rPr>
        <w:t xml:space="preserve"> [spread(n, mode, </w:t>
      </w:r>
      <w:r>
        <w:rPr>
          <w:rStyle w:val="DecValTok"/>
        </w:rPr>
        <w:t xml:space="preserve">1</w:t>
      </w:r>
      <w:r>
        <w:rPr>
          <w:rStyle w:val="NormalTok"/>
        </w:rPr>
        <w:t xml:space="preserve">, rng)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(trials)]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mode</w:t>
      </w:r>
      <w:r>
        <w:rPr>
          <w:rStyle w:val="SpecialCharTok"/>
        </w:rPr>
        <w:t xml:space="preserve">:9s}</w:t>
      </w:r>
      <w:r>
        <w:rPr>
          <w:rStyle w:val="SpecialStringTok"/>
        </w:rPr>
        <w:t xml:space="preserve">: mean </w:t>
      </w:r>
      <w:r>
        <w:rPr>
          <w:rStyle w:val="SpecialCharTok"/>
        </w:rPr>
        <w:t xml:space="preserve">{</w:t>
      </w:r>
      <w:r>
        <w:rPr>
          <w:rStyle w:val="NormalTok"/>
        </w:rPr>
        <w:t xml:space="preserve">statistics</w:t>
      </w:r>
      <w:r>
        <w:rPr>
          <w:rStyle w:val="SpecialCharTok"/>
        </w:rPr>
        <w:t xml:space="preserve">.</w:t>
      </w:r>
      <w:r>
        <w:rPr>
          <w:rStyle w:val="NormalTok"/>
        </w:rPr>
        <w:t xml:space="preserve">fmean(r)</w:t>
      </w:r>
      <w:r>
        <w:rPr>
          <w:rStyle w:val="SpecialCharTok"/>
        </w:rPr>
        <w:t xml:space="preserve">:5.2f}</w:t>
      </w:r>
      <w:r>
        <w:rPr>
          <w:rStyle w:val="SpecialStringTok"/>
        </w:rPr>
        <w:t xml:space="preserve"> rounds, max </w:t>
      </w:r>
      <w:r>
        <w:rPr>
          <w:rStyle w:val="SpecialCharTok"/>
        </w:rPr>
        <w:t xml:space="preserve">{</w:t>
      </w:r>
      <w:r>
        <w:rPr>
          <w:rStyle w:val="BuiltInTok"/>
        </w:rPr>
        <w:t xml:space="preserve">max</w:t>
      </w:r>
      <w:r>
        <w:rPr>
          <w:rStyle w:val="NormalTok"/>
        </w:rPr>
        <w:t xml:space="preserve">(r)</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model log2(n) + ln(n) = </w:t>
      </w:r>
      <w:r>
        <w:rPr>
          <w:rStyle w:val="SpecialCharTok"/>
        </w:rPr>
        <w:t xml:space="preserve">{</w:t>
      </w:r>
      <w:r>
        <w:rPr>
          <w:rStyle w:val="NormalTok"/>
        </w:rPr>
        <w:t xml:space="preserve">math</w:t>
      </w:r>
      <w:r>
        <w:rPr>
          <w:rStyle w:val="SpecialCharTok"/>
        </w:rPr>
        <w:t xml:space="preserve">.</w:t>
      </w:r>
      <w:r>
        <w:rPr>
          <w:rStyle w:val="NormalTok"/>
        </w:rPr>
        <w:t xml:space="preserve">log2(n) </w:t>
      </w:r>
      <w:r>
        <w:rPr>
          <w:rStyle w:val="OperatorTok"/>
        </w:rPr>
        <w:t xml:space="preserve">+</w:t>
      </w:r>
      <w:r>
        <w:rPr>
          <w:rStyle w:val="NormalTok"/>
        </w:rPr>
        <w:t xml:space="preserve"> math</w:t>
      </w:r>
      <w:r>
        <w:rPr>
          <w:rStyle w:val="SpecialCharTok"/>
        </w:rPr>
        <w:t xml:space="preserve">.</w:t>
      </w:r>
      <w:r>
        <w:rPr>
          <w:rStyle w:val="NormalTok"/>
        </w:rPr>
        <w:t xml:space="preserve">log(n)</w:t>
      </w:r>
      <w:r>
        <w:rPr>
          <w:rStyle w:val="SpecialCharTok"/>
        </w:rPr>
        <w:t xml:space="preserve">:.2f}</w:t>
      </w:r>
      <w:r>
        <w:rPr>
          <w:rStyle w:val="SpecialStringTok"/>
        </w:rPr>
        <w:t xml:space="preserve"> rounds (push)"</w:t>
      </w:r>
      <w:r>
        <w:rPr>
          <w:rStyle w:val="NormalTok"/>
        </w:rPr>
        <w:t xml:space="preserve">)</w:t>
      </w:r>
      <w:r>
        <w:br/>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NormalTok"/>
        </w:rPr>
        <w:t xml:space="preserve">        r </w:t>
      </w:r>
      <w:r>
        <w:rPr>
          <w:rStyle w:val="OperatorTok"/>
        </w:rPr>
        <w:t xml:space="preserve">=</w:t>
      </w:r>
      <w:r>
        <w:rPr>
          <w:rStyle w:val="NormalTok"/>
        </w:rPr>
        <w:t xml:space="preserve"> [spread(n, </w:t>
      </w:r>
      <w:r>
        <w:rPr>
          <w:rStyle w:val="StringTok"/>
        </w:rPr>
        <w:t xml:space="preserve">"push"</w:t>
      </w:r>
      <w:r>
        <w:rPr>
          <w:rStyle w:val="NormalTok"/>
        </w:rPr>
        <w:t xml:space="preserve">, f, rng)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(trials)]</w:t>
      </w:r>
      <w:r>
        <w:br/>
      </w:r>
      <w:r>
        <w:rPr>
          <w:rStyle w:val="NormalTok"/>
        </w:rPr>
        <w:t xml:space="preserve">        model </w:t>
      </w:r>
      <w:r>
        <w:rPr>
          <w:rStyle w:val="OperatorTok"/>
        </w:rPr>
        <w:t xml:space="preserve">=</w:t>
      </w:r>
      <w:r>
        <w:rPr>
          <w:rStyle w:val="NormalTok"/>
        </w:rPr>
        <w:t xml:space="preserve"> math.log(n, </w:t>
      </w:r>
      <w:r>
        <w:rPr>
          <w:rStyle w:val="DecValTok"/>
        </w:rPr>
        <w:t xml:space="preserve">1</w:t>
      </w:r>
      <w:r>
        <w:rPr>
          <w:rStyle w:val="NormalTok"/>
        </w:rPr>
        <w:t xml:space="preserve"> </w:t>
      </w:r>
      <w:r>
        <w:rPr>
          <w:rStyle w:val="OperatorTok"/>
        </w:rPr>
        <w:t xml:space="preserve">+</w:t>
      </w:r>
      <w:r>
        <w:rPr>
          <w:rStyle w:val="NormalTok"/>
        </w:rPr>
        <w:t xml:space="preserve"> f) </w:t>
      </w:r>
      <w:r>
        <w:rPr>
          <w:rStyle w:val="OperatorTok"/>
        </w:rPr>
        <w:t xml:space="preserve">+</w:t>
      </w:r>
      <w:r>
        <w:rPr>
          <w:rStyle w:val="NormalTok"/>
        </w:rPr>
        <w:t xml:space="preserve"> math.log(n) </w:t>
      </w:r>
      <w:r>
        <w:rPr>
          <w:rStyle w:val="OperatorTok"/>
        </w:rPr>
        <w:t xml:space="preserve">/</w:t>
      </w:r>
      <w:r>
        <w:rPr>
          <w:rStyle w:val="NormalTok"/>
        </w:rPr>
        <w:t xml:space="preserve"> f</w:t>
      </w:r>
      <w:r>
        <w:br/>
      </w:r>
      <w:r>
        <w:rPr>
          <w:rStyle w:val="NormalTok"/>
        </w:rPr>
        <w:t xml:space="preserve">        </w:t>
      </w:r>
      <w:r>
        <w:rPr>
          <w:rStyle w:val="BuiltInTok"/>
        </w:rPr>
        <w:t xml:space="preserve">print</w:t>
      </w:r>
      <w:r>
        <w:rPr>
          <w:rStyle w:val="NormalTok"/>
        </w:rPr>
        <w:t xml:space="preserve">(</w:t>
      </w:r>
      <w:r>
        <w:rPr>
          <w:rStyle w:val="SpecialStringTok"/>
        </w:rPr>
        <w:t xml:space="preserve">f"  push, fanout </w:t>
      </w:r>
      <w:r>
        <w:rPr>
          <w:rStyle w:val="SpecialCharTok"/>
        </w:rPr>
        <w:t xml:space="preserve">{</w:t>
      </w:r>
      <w:r>
        <w:rPr>
          <w:rStyle w:val="NormalTok"/>
        </w:rPr>
        <w:t xml:space="preserve">f</w:t>
      </w:r>
      <w:r>
        <w:rPr>
          <w:rStyle w:val="SpecialCharTok"/>
        </w:rPr>
        <w:t xml:space="preserve">}</w:t>
      </w:r>
      <w:r>
        <w:rPr>
          <w:rStyle w:val="SpecialStringTok"/>
        </w:rPr>
        <w:t xml:space="preserve">: mean </w:t>
      </w:r>
      <w:r>
        <w:rPr>
          <w:rStyle w:val="SpecialCharTok"/>
        </w:rPr>
        <w:t xml:space="preserve">{</w:t>
      </w:r>
      <w:r>
        <w:rPr>
          <w:rStyle w:val="NormalTok"/>
        </w:rPr>
        <w:t xml:space="preserve">statistics</w:t>
      </w:r>
      <w:r>
        <w:rPr>
          <w:rStyle w:val="SpecialCharTok"/>
        </w:rPr>
        <w:t xml:space="preserve">.</w:t>
      </w:r>
      <w:r>
        <w:rPr>
          <w:rStyle w:val="NormalTok"/>
        </w:rPr>
        <w:t xml:space="preserve">fmean(r)</w:t>
      </w:r>
      <w:r>
        <w:rPr>
          <w:rStyle w:val="SpecialCharTok"/>
        </w:rPr>
        <w:t xml:space="preserve">:5.2f}</w:t>
      </w:r>
      <w:r>
        <w:rPr>
          <w:rStyle w:val="SpecialStringTok"/>
        </w:rPr>
        <w:t xml:space="preserve">, model </w:t>
      </w:r>
      <w:r>
        <w:rPr>
          <w:rStyle w:val="SpecialCharTok"/>
        </w:rPr>
        <w:t xml:space="preserve">{</w:t>
      </w:r>
      <w:r>
        <w:rPr>
          <w:rStyle w:val="NormalTok"/>
        </w:rPr>
        <w:t xml:space="preserve">model</w:t>
      </w:r>
      <w:r>
        <w:rPr>
          <w:rStyle w:val="SpecialCharTok"/>
        </w:rPr>
        <w:t xml:space="preserve">:5.2f}</w:t>
      </w:r>
      <w:r>
        <w:rPr>
          <w:rStyle w:val="Speci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size </w:t>
      </w:r>
      <w:r>
        <w:rPr>
          <w:rStyle w:val="KeywordTok"/>
        </w:rPr>
        <w:t xml:space="preserve">in</w:t>
      </w:r>
      <w:r>
        <w:rPr>
          <w:rStyle w:val="NormalTok"/>
        </w:rPr>
        <w:t xml:space="preserve"> (</w:t>
      </w:r>
      <w:r>
        <w:rPr>
          <w:rStyle w:val="DecValTok"/>
        </w:rPr>
        <w:t xml:space="preserve">100</w:t>
      </w:r>
      <w:r>
        <w:rPr>
          <w:rStyle w:val="NormalTok"/>
        </w:rPr>
        <w:t xml:space="preserve">, </w:t>
      </w:r>
      <w:r>
        <w:rPr>
          <w:rStyle w:val="DecValTok"/>
        </w:rPr>
        <w:t xml:space="preserve">1000</w:t>
      </w:r>
      <w:r>
        <w:rPr>
          <w:rStyle w:val="NormalTok"/>
        </w:rPr>
        <w:t xml:space="preserve">, </w:t>
      </w:r>
      <w:r>
        <w:rPr>
          <w:rStyle w:val="DecValTok"/>
        </w:rPr>
        <w:t xml:space="preserve">10000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push, n = </w:t>
      </w:r>
      <w:r>
        <w:rPr>
          <w:rStyle w:val="SpecialCharTok"/>
        </w:rPr>
        <w:t xml:space="preserve">{</w:t>
      </w:r>
      <w:r>
        <w:rPr>
          <w:rStyle w:val="NormalTok"/>
        </w:rPr>
        <w:t xml:space="preserve">size</w:t>
      </w:r>
      <w:r>
        <w:rPr>
          <w:rStyle w:val="SpecialCharTok"/>
        </w:rPr>
        <w:t xml:space="preserve">:&gt;5}</w:t>
      </w:r>
      <w:r>
        <w:rPr>
          <w:rStyle w:val="SpecialStringTok"/>
        </w:rPr>
        <w:t xml:space="preserve">: mean "</w:t>
      </w:r>
      <w:r>
        <w:br/>
      </w:r>
      <w:r>
        <w:rPr>
          <w:rStyle w:val="NormalTok"/>
        </w:rPr>
        <w:t xml:space="preserve">              </w:t>
      </w:r>
      <w:r>
        <w:rPr>
          <w:rStyle w:val="SpecialStringTok"/>
        </w:rPr>
        <w:t xml:space="preserve">f"</w:t>
      </w:r>
      <w:r>
        <w:rPr>
          <w:rStyle w:val="SpecialCharTok"/>
        </w:rPr>
        <w:t xml:space="preserve">{</w:t>
      </w:r>
      <w:r>
        <w:rPr>
          <w:rStyle w:val="NormalTok"/>
        </w:rPr>
        <w:t xml:space="preserve">statistics</w:t>
      </w:r>
      <w:r>
        <w:rPr>
          <w:rStyle w:val="SpecialCharTok"/>
        </w:rPr>
        <w:t xml:space="preserve">.</w:t>
      </w:r>
      <w:r>
        <w:rPr>
          <w:rStyle w:val="NormalTok"/>
        </w:rPr>
        <w:t xml:space="preserve">fmean(spread(size, </w:t>
      </w:r>
      <w:r>
        <w:rPr>
          <w:rStyle w:val="StringTok"/>
        </w:rPr>
        <w:t xml:space="preserve">'push'</w:t>
      </w:r>
      <w:r>
        <w:rPr>
          <w:rStyle w:val="NormalTok"/>
        </w:rPr>
        <w:t xml:space="preserve">, </w:t>
      </w:r>
      <w:r>
        <w:rPr>
          <w:rStyle w:val="DecValTok"/>
        </w:rPr>
        <w:t xml:space="preserve">1</w:t>
      </w:r>
      <w:r>
        <w:rPr>
          <w:rStyle w:val="NormalTok"/>
        </w:rPr>
        <w:t xml:space="preserve">, rng)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30</w:t>
      </w:r>
      <w:r>
        <w:rPr>
          <w:rStyle w:val="NormalTok"/>
        </w:rPr>
        <w:t xml:space="preserve">))</w:t>
      </w:r>
      <w:r>
        <w:rPr>
          <w:rStyle w:val="SpecialCharTok"/>
        </w:rPr>
        <w:t xml:space="preserve">:5.2f}</w:t>
      </w:r>
      <w:r>
        <w:rPr>
          <w:rStyle w:val="SpecialStringTok"/>
        </w:rPr>
        <w:t xml:space="preserve"> rounds"</w:t>
      </w:r>
      <w:r>
        <w:rPr>
          <w:rStyle w:val="NormalTok"/>
        </w:rPr>
        <w:t xml:space="preserve">)</w:t>
      </w:r>
      <w:r>
        <w:br/>
      </w:r>
      <w:r>
        <w:br/>
      </w:r>
      <w:r>
        <w:rPr>
          <w:rStyle w:val="NormalTok"/>
        </w:rPr>
        <w:t xml:space="preserve">    d </w:t>
      </w:r>
      <w:r>
        <w:rPr>
          <w:rStyle w:val="OperatorTok"/>
        </w:rPr>
        <w:t xml:space="preserve">=</w:t>
      </w:r>
      <w:r>
        <w:rPr>
          <w:rStyle w:val="NormalTok"/>
        </w:rPr>
        <w:t xml:space="preserve"> [swim_first_detection(n, rng)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5000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f"SWIM first detection: mean </w:t>
      </w:r>
      <w:r>
        <w:rPr>
          <w:rStyle w:val="SpecialCharTok"/>
        </w:rPr>
        <w:t xml:space="preserve">{</w:t>
      </w:r>
      <w:r>
        <w:rPr>
          <w:rStyle w:val="NormalTok"/>
        </w:rPr>
        <w:t xml:space="preserve">statistics</w:t>
      </w:r>
      <w:r>
        <w:rPr>
          <w:rStyle w:val="SpecialCharTok"/>
        </w:rPr>
        <w:t xml:space="preserve">.</w:t>
      </w:r>
      <w:r>
        <w:rPr>
          <w:rStyle w:val="NormalTok"/>
        </w:rPr>
        <w:t xml:space="preserve">fmean(d)</w:t>
      </w:r>
      <w:r>
        <w:rPr>
          <w:rStyle w:val="SpecialCharTok"/>
        </w:rPr>
        <w:t xml:space="preserve">:.3f}</w:t>
      </w:r>
      <w:r>
        <w:rPr>
          <w:rStyle w:val="SpecialStringTok"/>
        </w:rPr>
        <w:t xml:space="preserve"> periods, "</w:t>
      </w:r>
      <w:r>
        <w:br/>
      </w:r>
      <w:r>
        <w:rPr>
          <w:rStyle w:val="NormalTok"/>
        </w:rPr>
        <w:t xml:space="preserve">          </w:t>
      </w:r>
      <w:r>
        <w:rPr>
          <w:rStyle w:val="SpecialStringTok"/>
        </w:rPr>
        <w:t xml:space="preserve">f"e/(e-1) = </w:t>
      </w:r>
      <w:r>
        <w:rPr>
          <w:rStyle w:val="SpecialCharTok"/>
        </w:rPr>
        <w:t xml:space="preserve">{</w:t>
      </w:r>
      <w:r>
        <w:rPr>
          <w:rStyle w:val="NormalTok"/>
        </w:rPr>
        <w:t xml:space="preserve">math</w:t>
      </w:r>
      <w:r>
        <w:rPr>
          <w:rStyle w:val="SpecialCharTok"/>
        </w:rPr>
        <w:t xml:space="preserve">.</w:t>
      </w:r>
      <w:r>
        <w:rPr>
          <w:rStyle w:val="NormalTok"/>
        </w:rPr>
        <w:t xml:space="preserve">e </w:t>
      </w:r>
      <w:r>
        <w:rPr>
          <w:rStyle w:val="OperatorTok"/>
        </w:rPr>
        <w:t xml:space="preserve">/</w:t>
      </w:r>
      <w:r>
        <w:rPr>
          <w:rStyle w:val="NormalTok"/>
        </w:rPr>
        <w:t xml:space="preserve"> (math.e </w:t>
      </w:r>
      <w:r>
        <w:rPr>
          <w:rStyle w:val="OperatorTok"/>
        </w:rPr>
        <w:t xml:space="preserve">-</w:t>
      </w:r>
      <w:r>
        <w:rPr>
          <w:rStyle w:val="NormalTok"/>
        </w:rPr>
        <w:t xml:space="preserve"> </w:t>
      </w:r>
      <w:r>
        <w:rPr>
          <w:rStyle w:val="DecValTok"/>
        </w:rPr>
        <w:t xml:space="preserve">1</w:t>
      </w:r>
      <w:r>
        <w:rPr>
          <w:rStyle w:val="NormalTok"/>
        </w:rPr>
        <w:t xml:space="preserve">)</w:t>
      </w:r>
      <w:r>
        <w:rPr>
          <w:rStyle w:val="SpecialCharTok"/>
        </w:rPr>
        <w:t xml:space="preserve">:.3f}</w:t>
      </w:r>
      <w:r>
        <w:rPr>
          <w:rStyle w:val="SpecialStringTok"/>
        </w:rPr>
        <w:t xml:space="preserve">"</w:t>
      </w:r>
      <w:r>
        <w:rPr>
          <w:rStyle w:val="NormalTok"/>
        </w:rPr>
        <w:t xml:space="preserve">)</w:t>
      </w:r>
    </w:p>
    <w:p>
      <w:pPr>
        <w:pStyle w:val="FirstParagraph"/>
      </w:pPr>
      <w:r>
        <w:t xml:space="preserve">Output:</w:t>
      </w:r>
    </w:p>
    <w:p>
      <w:pPr>
        <w:pStyle w:val="SourceCode"/>
      </w:pPr>
      <w:r>
        <w:rPr>
          <w:rStyle w:val="VerbatimChar"/>
        </w:rPr>
        <w:t xml:space="preserve">n = 1000, fanout 1, 100 trials each</w:t>
      </w:r>
      <w:r>
        <w:br/>
      </w:r>
      <w:r>
        <w:rPr>
          <w:rStyle w:val="VerbatimChar"/>
        </w:rPr>
        <w:t xml:space="preserve">  push     : mean 17.99 rounds, max 22</w:t>
      </w:r>
      <w:r>
        <w:br/>
      </w:r>
      <w:r>
        <w:rPr>
          <w:rStyle w:val="VerbatimChar"/>
        </w:rPr>
        <w:t xml:space="preserve">  pull     : mean 13.66 rounds, max 19</w:t>
      </w:r>
      <w:r>
        <w:br/>
      </w:r>
      <w:r>
        <w:rPr>
          <w:rStyle w:val="VerbatimChar"/>
        </w:rPr>
        <w:t xml:space="preserve">  push-pull: mean  9.13 rounds, max 10</w:t>
      </w:r>
      <w:r>
        <w:br/>
      </w:r>
      <w:r>
        <w:rPr>
          <w:rStyle w:val="VerbatimChar"/>
        </w:rPr>
        <w:t xml:space="preserve">  model log2(n) + ln(n) = 16.87 rounds (push)</w:t>
      </w:r>
      <w:r>
        <w:br/>
      </w:r>
      <w:r>
        <w:rPr>
          <w:rStyle w:val="VerbatimChar"/>
        </w:rPr>
        <w:t xml:space="preserve">  push, fanout 2: mean 10.62, model  9.74</w:t>
      </w:r>
      <w:r>
        <w:br/>
      </w:r>
      <w:r>
        <w:rPr>
          <w:rStyle w:val="VerbatimChar"/>
        </w:rPr>
        <w:t xml:space="preserve">  push, fanout 3: mean  8.28, model  7.29</w:t>
      </w:r>
      <w:r>
        <w:br/>
      </w:r>
      <w:r>
        <w:rPr>
          <w:rStyle w:val="VerbatimChar"/>
        </w:rPr>
        <w:t xml:space="preserve">  push, n =   100: mean 12.23 rounds</w:t>
      </w:r>
      <w:r>
        <w:br/>
      </w:r>
      <w:r>
        <w:rPr>
          <w:rStyle w:val="VerbatimChar"/>
        </w:rPr>
        <w:t xml:space="preserve">  push, n =  1000: mean 18.33 rounds</w:t>
      </w:r>
      <w:r>
        <w:br/>
      </w:r>
      <w:r>
        <w:rPr>
          <w:rStyle w:val="VerbatimChar"/>
        </w:rPr>
        <w:t xml:space="preserve">  push, n = 10000: mean 23.70 rounds</w:t>
      </w:r>
      <w:r>
        <w:br/>
      </w:r>
      <w:r>
        <w:rPr>
          <w:rStyle w:val="VerbatimChar"/>
        </w:rPr>
        <w:t xml:space="preserve">SWIM first detection: mean 1.597 periods, e/(e-1) = 1.582</w:t>
      </w:r>
    </w:p>
    <w:p>
      <w:pPr>
        <w:pStyle w:val="FirstParagraph"/>
      </w:pPr>
      <w:r>
        <w:t xml:space="preserve">What to notice:</w:t>
      </w:r>
    </w:p>
    <w:p>
      <w:pPr>
        <w:numPr>
          <w:ilvl w:val="0"/>
          <w:numId w:val="1889"/>
        </w:numPr>
        <w:pStyle w:val="Compact"/>
      </w:pPr>
      <w:r>
        <w:t xml:space="preserve">Push gossip takes about one round more than the model, the</w:t>
      </w:r>
      <w:r>
        <w:t xml:space="preserve"> </w:t>
      </w:r>
      <m:oMath>
        <m:r>
          <m:t>O</m:t>
        </m:r>
        <m:d>
          <m:dPr>
            <m:begChr m:val="("/>
            <m:endChr m:val=")"/>
            <m:sepChr m:val=""/>
            <m:grow/>
          </m:dPr>
          <m:e>
            <m:r>
              <m:t>1</m:t>
            </m:r>
          </m:e>
        </m:d>
      </m:oMath>
      <w:r>
        <w:t xml:space="preserve"> </w:t>
      </w:r>
      <w:r>
        <w:t xml:space="preserve">term; each tenfold increase in</w:t>
      </w:r>
      <w:r>
        <w:t xml:space="preserve"> </w:t>
      </w:r>
      <m:oMath>
        <m:r>
          <m:t>n</m:t>
        </m:r>
      </m:oMath>
      <w:r>
        <w:t xml:space="preserve"> </w:t>
      </w:r>
      <w:r>
        <w:t xml:space="preserve">adds about 5.6 rounds, as predicted.</w:t>
      </w:r>
    </w:p>
    <w:p>
      <w:pPr>
        <w:numPr>
          <w:ilvl w:val="0"/>
          <w:numId w:val="1889"/>
        </w:numPr>
        <w:pStyle w:val="Compact"/>
      </w:pPr>
      <w:r>
        <w:t xml:space="preserve">Push–pull halves the rounds because pull mops up the last uninformed nodes quadratically fast.</w:t>
      </w:r>
    </w:p>
    <w:p>
      <w:pPr>
        <w:numPr>
          <w:ilvl w:val="0"/>
          <w:numId w:val="1889"/>
        </w:numPr>
        <w:pStyle w:val="Compact"/>
      </w:pPr>
      <w:r>
        <w:t xml:space="preserve">SWIM’s simulated detection time matches</w:t>
      </w:r>
      <w:r>
        <w:t xml:space="preserve"> </w:t>
      </w:r>
      <m:oMath>
        <m:r>
          <m:t>e</m:t>
        </m:r>
        <m:r>
          <m:rPr>
            <m:sty m:val="p"/>
          </m:rPr>
          <m:t>/</m:t>
        </m:r>
        <m:d>
          <m:dPr>
            <m:begChr m:val="("/>
            <m:endChr m:val=")"/>
            <m:sepChr m:val=""/>
            <m:grow/>
          </m:dPr>
          <m:e>
            <m:r>
              <m:t>e</m:t>
            </m:r>
            <m:r>
              <m:rPr>
                <m:sty m:val="p"/>
              </m:rPr>
              <m:t>−</m:t>
            </m:r>
            <m:r>
              <m:t>1</m:t>
            </m:r>
          </m:e>
        </m:d>
      </m:oMath>
      <w:r>
        <w:t xml:space="preserve"> </w:t>
      </w:r>
      <w:r>
        <w:t xml:space="preserve">periods.</w:t>
      </w:r>
    </w:p>
    <w:p>
      <w:pPr>
        <w:pStyle w:val="CalloutMistake"/>
      </w:pPr>
      <w:r>
        <w:rPr>
          <w:bCs/>
          <w:b/>
        </w:rPr>
        <w:t xml:space="preserve">COMMON MISTAKE</w:t>
      </w:r>
    </w:p>
    <w:p>
      <w:pPr>
        <w:pStyle w:val="CalloutMistake"/>
      </w:pPr>
      <w:r>
        <w:rPr>
          <w:bCs/>
          <w:b/>
        </w:rPr>
        <w:t xml:space="preserve">Mistake —</w:t>
      </w:r>
      <w:r>
        <w:rPr>
          <w:bCs/>
          <w:b/>
        </w:rPr>
        <w:t xml:space="preserve"> </w:t>
      </w:r>
      <w:r>
        <w:rPr>
          <w:bCs/>
          <w:b/>
        </w:rPr>
        <w:t xml:space="preserve">“</w:t>
      </w:r>
      <w:r>
        <w:rPr>
          <w:bCs/>
          <w:b/>
        </w:rPr>
        <w:t xml:space="preserve">A failure detector tells you a node is dead.</w:t>
      </w:r>
      <w:r>
        <w:rPr>
          <w:bCs/>
          <w:b/>
        </w:rPr>
        <w:t xml:space="preserve">”</w:t>
      </w:r>
      <w:r>
        <w:t xml:space="preserve"> </w:t>
      </w:r>
      <w:r>
        <w:t xml:space="preserve">It tells you a node is</w:t>
      </w:r>
      <w:r>
        <w:t xml:space="preserve"> </w:t>
      </w:r>
      <w:r>
        <w:rPr>
          <w:iCs/>
          <w:i/>
        </w:rPr>
        <w:t xml:space="preserve">suspected</w:t>
      </w:r>
      <w:r>
        <w:t xml:space="preserve">. A suspected primary may still be running and writing. Every action taken on suspicion, such as promoting a replica, must fence the suspect (§26.13).</w:t>
      </w:r>
    </w:p>
    <w:bookmarkEnd w:id="3077"/>
    <w:bookmarkEnd w:id="3078"/>
    <w:bookmarkStart w:id="3084" w:name="failover"/>
    <w:p>
      <w:pPr>
        <w:pStyle w:val="Heading2"/>
      </w:pPr>
      <w:r>
        <w:t xml:space="preserve">27.11 Failover</w:t>
      </w:r>
    </w:p>
    <w:bookmarkStart w:id="3083" w:name="from-detection-to-redirection"/>
    <w:p>
      <w:pPr>
        <w:pStyle w:val="Heading3"/>
      </w:pPr>
      <w:r>
        <w:t xml:space="preserve">27.11.1 From detection to redirection</w:t>
      </w:r>
    </w:p>
    <w:p>
      <w:pPr>
        <w:pStyle w:val="CalloutDefinition"/>
      </w:pPr>
      <w:r>
        <w:rPr>
          <w:bCs/>
          <w:b/>
        </w:rPr>
        <w:t xml:space="preserve">DEFINITION</w:t>
      </w:r>
    </w:p>
    <w:p>
      <w:pPr>
        <w:pStyle w:val="CalloutDefinition"/>
      </w:pPr>
      <w:r>
        <w:rPr>
          <w:bCs/>
          <w:b/>
        </w:rPr>
        <w:t xml:space="preserve">Definition — Failover.</w:t>
      </w:r>
      <w:r>
        <w:t xml:space="preserve"> </w:t>
      </w:r>
      <w:r>
        <w:t xml:space="preserve">The sequence that replaces a failed node in a role:</w:t>
      </w:r>
      <w:r>
        <w:t xml:space="preserve"> </w:t>
      </w:r>
      <w:r>
        <w:rPr>
          <w:bCs/>
          <w:b/>
        </w:rPr>
        <w:t xml:space="preserve">detection</w:t>
      </w:r>
      <w:r>
        <w:t xml:space="preserve">,</w:t>
      </w:r>
      <w:r>
        <w:t xml:space="preserve"> </w:t>
      </w:r>
      <w:r>
        <w:rPr>
          <w:bCs/>
          <w:b/>
        </w:rPr>
        <w:t xml:space="preserve">election</w:t>
      </w:r>
      <w:r>
        <w:t xml:space="preserve"> </w:t>
      </w:r>
      <w:r>
        <w:t xml:space="preserve">of a replacement,</w:t>
      </w:r>
      <w:r>
        <w:t xml:space="preserve"> </w:t>
      </w:r>
      <w:r>
        <w:rPr>
          <w:bCs/>
          <w:b/>
        </w:rPr>
        <w:t xml:space="preserve">reconfiguration</w:t>
      </w:r>
      <w:r>
        <w:t xml:space="preserve"> </w:t>
      </w:r>
      <w:r>
        <w:t xml:space="preserve">(making the replacement consistent and fencing the old node) and</w:t>
      </w:r>
      <w:r>
        <w:t xml:space="preserve"> </w:t>
      </w:r>
      <w:r>
        <w:rPr>
          <w:bCs/>
          <w:b/>
        </w:rPr>
        <w:t xml:space="preserve">client redirection</w:t>
      </w:r>
      <w:r>
        <w:t xml:space="preserve">.</w:t>
      </w:r>
    </w:p>
    <w:p>
      <w:pPr>
        <w:pStyle w:val="BodyText"/>
      </w:pPr>
      <w:r>
        <w:t xml:space="preserve">Leaderless systems need no failover for writes; primary–backup, chain and consensus systems do. Each step consumes part of the availability budget.</w:t>
      </w:r>
    </w:p>
    <w:p>
      <w:pPr>
        <w:pStyle w:val="BodyText"/>
      </w:pPr>
      <w:r>
        <w:rPr>
          <w:bCs/>
          <w:b/>
        </w:rPr>
        <w:t xml:space="preserve">Figure 27.10 — A failover time budget with DNS redirection.</w:t>
      </w:r>
    </w:p>
    <w:p>
      <w:pPr>
        <w:pStyle w:val="BodyText"/>
      </w:pPr>
      <w:r>
        <w:drawing>
          <wp:inline>
            <wp:extent cx="5334000" cy="746760"/>
            <wp:effectExtent b="0" l="0" r="0" t="0"/>
            <wp:docPr descr="" title="" id="3080" name="Picture"/>
            <a:graphic>
              <a:graphicData uri="http://schemas.openxmlformats.org/drawingml/2006/picture">
                <pic:pic>
                  <pic:nvPicPr>
                    <pic:cNvPr descr="/home/user/System-Design/build/.cache/diagrams/e78d8c6dad68.png" id="3081" name="Picture"/>
                    <pic:cNvPicPr>
                      <a:picLocks noChangeArrowheads="1" noChangeAspect="1"/>
                    </pic:cNvPicPr>
                  </pic:nvPicPr>
                  <pic:blipFill>
                    <a:blip r:embed="rId3079"/>
                    <a:stretch>
                      <a:fillRect/>
                    </a:stretch>
                  </pic:blipFill>
                  <pic:spPr bwMode="auto">
                    <a:xfrm>
                      <a:off x="0" y="0"/>
                      <a:ext cx="5334000" cy="746760"/>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Time runs left to right from the crash; each bar must finish before the next starts, so the steps are sequential. Detection waits for the timeout; election picks the replica holding the most acknowledged log (or runs a consensus election, §26.5); reconfiguration fences the old primary, applies any unapplied log and switches the replica to read–write mode; redirection waits for clients to learn the new address. The DNS bar dominates. The failure points are a premature detection (split brain if fencing fails) and redirection that never completes for clients that cache addresses beyond the TTL.</w:t>
      </w:r>
    </w:p>
    <w:p>
      <w:pPr>
        <w:pStyle w:val="CalloutFormula"/>
      </w:pPr>
      <w:r>
        <w:rPr>
          <w:bCs/>
          <w:b/>
        </w:rPr>
        <w:t xml:space="preserve">FORMULA</w:t>
      </w:r>
    </w:p>
    <w:p>
      <w:pPr>
        <w:pStyle w:val="CalloutFormula"/>
      </w:pPr>
      <w:r>
        <w:rPr>
          <w:bCs/>
          <w:b/>
        </w:rPr>
        <w:t xml:space="preserve">Failover time budget</w:t>
      </w:r>
    </w:p>
    <w:p>
      <w:pPr>
        <w:pStyle w:val="CalloutFormula"/>
      </w:pPr>
      <m:oMathPara>
        <m:oMathParaPr>
          <m:jc m:val="center"/>
        </m:oMathParaPr>
        <m:oMath>
          <m:sSub>
            <m:e>
              <m:r>
                <m:t>T</m:t>
              </m:r>
            </m:e>
            <m:sub>
              <m:r>
                <m:rPr>
                  <m:nor/>
                  <m:sty m:val="p"/>
                </m:rPr>
                <m:t>fo</m:t>
              </m:r>
            </m:sub>
          </m:sSub>
          <m:r>
            <m:rPr>
              <m:sty m:val="p"/>
            </m:rPr>
            <m:t>=</m:t>
          </m:r>
          <m:sSub>
            <m:e>
              <m:r>
                <m:t>T</m:t>
              </m:r>
            </m:e>
            <m:sub>
              <m:r>
                <m:rPr>
                  <m:nor/>
                  <m:sty m:val="p"/>
                </m:rPr>
                <m:t>detect</m:t>
              </m:r>
            </m:sub>
          </m:sSub>
          <m:r>
            <m:rPr>
              <m:sty m:val="p"/>
            </m:rPr>
            <m:t>+</m:t>
          </m:r>
          <m:sSub>
            <m:e>
              <m:r>
                <m:t>T</m:t>
              </m:r>
            </m:e>
            <m:sub>
              <m:r>
                <m:rPr>
                  <m:nor/>
                  <m:sty m:val="p"/>
                </m:rPr>
                <m:t>elect</m:t>
              </m:r>
            </m:sub>
          </m:sSub>
          <m:r>
            <m:rPr>
              <m:sty m:val="p"/>
            </m:rPr>
            <m:t>+</m:t>
          </m:r>
          <m:sSub>
            <m:e>
              <m:r>
                <m:t>T</m:t>
              </m:r>
            </m:e>
            <m:sub>
              <m:r>
                <m:rPr>
                  <m:nor/>
                  <m:sty m:val="p"/>
                </m:rPr>
                <m:t>reconfig</m:t>
              </m:r>
            </m:sub>
          </m:sSub>
          <m:r>
            <m:rPr>
              <m:sty m:val="p"/>
            </m:rPr>
            <m:t>+</m:t>
          </m:r>
          <m:sSub>
            <m:e>
              <m:r>
                <m:t>T</m:t>
              </m:r>
            </m:e>
            <m:sub>
              <m:r>
                <m:rPr>
                  <m:nor/>
                  <m:sty m:val="p"/>
                </m:rPr>
                <m:t>redirect</m:t>
              </m:r>
            </m:sub>
          </m:sSub>
          <m:r>
            <m:t>  </m:t>
          </m:r>
          <m:sSub>
            <m:e>
              <m:r>
                <m:t>D</m:t>
              </m:r>
            </m:e>
            <m:sub>
              <m:r>
                <m:rPr>
                  <m:nor/>
                  <m:sty m:val="p"/>
                </m:rPr>
                <m:t>yr</m:t>
              </m:r>
            </m:sub>
          </m:sSub>
          <m:r>
            <m:rPr>
              <m:sty m:val="p"/>
            </m:rPr>
            <m:t>=</m:t>
          </m:r>
          <m:r>
            <m:t>ν</m:t>
          </m:r>
          <m:r>
            <m:rPr>
              <m:sty m:val="p"/>
            </m:rPr>
            <m:t>⋅</m:t>
          </m:r>
          <m:sSub>
            <m:e>
              <m:r>
                <m:t>T</m:t>
              </m:r>
            </m:e>
            <m:sub>
              <m:r>
                <m:rPr>
                  <m:nor/>
                  <m:sty m:val="p"/>
                </m:rPr>
                <m:t>fo</m:t>
              </m:r>
            </m:sub>
          </m:sSub>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T</m:t>
                  </m:r>
                </m:e>
                <m:sub>
                  <m:r>
                    <m:rPr>
                      <m:nor/>
                      <m:sty m:val="p"/>
                    </m:rPr>
                    <m:t>fo</m:t>
                  </m:r>
                </m:sub>
              </m:sSub>
            </m:oMath>
          </w:p>
        </w:tc>
        <w:tc>
          <w:tcPr/>
          <w:p>
            <w:pPr>
              <w:pStyle w:val="Compact"/>
              <w:jc w:val="left"/>
            </w:pPr>
            <w:r>
              <w:t xml:space="preserve">Time from crash until clients write successfully again</w:t>
            </w:r>
          </w:p>
        </w:tc>
        <w:tc>
          <w:tcPr/>
          <w:p>
            <w:pPr>
              <w:pStyle w:val="Compact"/>
              <w:jc w:val="left"/>
            </w:pPr>
            <w:r>
              <w:t xml:space="preserve">s</w:t>
            </w:r>
          </w:p>
        </w:tc>
      </w:tr>
      <w:tr>
        <w:tc>
          <w:tcPr/>
          <w:p>
            <w:pPr>
              <w:pStyle w:val="Compact"/>
              <w:jc w:val="left"/>
            </w:pPr>
            <m:oMath>
              <m:sSub>
                <m:e>
                  <m:r>
                    <m:t>T</m:t>
                  </m:r>
                </m:e>
                <m:sub>
                  <m:r>
                    <m:rPr>
                      <m:nor/>
                      <m:sty m:val="p"/>
                    </m:rPr>
                    <m:t>detect</m:t>
                  </m:r>
                </m:sub>
              </m:sSub>
            </m:oMath>
          </w:p>
        </w:tc>
        <w:tc>
          <w:tcPr/>
          <w:p>
            <w:pPr>
              <w:pStyle w:val="Compact"/>
              <w:jc w:val="left"/>
            </w:pPr>
            <w:r>
              <w:t xml:space="preserve">Time to suspect the failure</w:t>
            </w:r>
          </w:p>
        </w:tc>
        <w:tc>
          <w:tcPr/>
          <w:p>
            <w:pPr>
              <w:pStyle w:val="Compact"/>
              <w:jc w:val="left"/>
            </w:pPr>
            <w:r>
              <w:t xml:space="preserve">s</w:t>
            </w:r>
          </w:p>
        </w:tc>
      </w:tr>
      <w:tr>
        <w:tc>
          <w:tcPr/>
          <w:p>
            <w:pPr>
              <w:pStyle w:val="Compact"/>
              <w:jc w:val="left"/>
            </w:pPr>
            <m:oMath>
              <m:sSub>
                <m:e>
                  <m:r>
                    <m:t>T</m:t>
                  </m:r>
                </m:e>
                <m:sub>
                  <m:r>
                    <m:rPr>
                      <m:nor/>
                      <m:sty m:val="p"/>
                    </m:rPr>
                    <m:t>elect</m:t>
                  </m:r>
                </m:sub>
              </m:sSub>
            </m:oMath>
          </w:p>
        </w:tc>
        <w:tc>
          <w:tcPr/>
          <w:p>
            <w:pPr>
              <w:pStyle w:val="Compact"/>
              <w:jc w:val="left"/>
            </w:pPr>
            <w:r>
              <w:t xml:space="preserve">Time to choose a replacement</w:t>
            </w:r>
          </w:p>
        </w:tc>
        <w:tc>
          <w:tcPr/>
          <w:p>
            <w:pPr>
              <w:pStyle w:val="Compact"/>
              <w:jc w:val="left"/>
            </w:pPr>
            <w:r>
              <w:t xml:space="preserve">s</w:t>
            </w:r>
          </w:p>
        </w:tc>
      </w:tr>
      <w:tr>
        <w:tc>
          <w:tcPr/>
          <w:p>
            <w:pPr>
              <w:pStyle w:val="Compact"/>
              <w:jc w:val="left"/>
            </w:pPr>
            <m:oMath>
              <m:sSub>
                <m:e>
                  <m:r>
                    <m:t>T</m:t>
                  </m:r>
                </m:e>
                <m:sub>
                  <m:r>
                    <m:rPr>
                      <m:nor/>
                      <m:sty m:val="p"/>
                    </m:rPr>
                    <m:t>reconfig</m:t>
                  </m:r>
                </m:sub>
              </m:sSub>
            </m:oMath>
          </w:p>
        </w:tc>
        <w:tc>
          <w:tcPr/>
          <w:p>
            <w:pPr>
              <w:pStyle w:val="Compact"/>
              <w:jc w:val="left"/>
            </w:pPr>
            <w:r>
              <w:t xml:space="preserve">Time to fence, catch up and promote</w:t>
            </w:r>
          </w:p>
        </w:tc>
        <w:tc>
          <w:tcPr/>
          <w:p>
            <w:pPr>
              <w:pStyle w:val="Compact"/>
              <w:jc w:val="left"/>
            </w:pPr>
            <w:r>
              <w:t xml:space="preserve">s</w:t>
            </w:r>
          </w:p>
        </w:tc>
      </w:tr>
      <w:tr>
        <w:tc>
          <w:tcPr/>
          <w:p>
            <w:pPr>
              <w:pStyle w:val="Compact"/>
              <w:jc w:val="left"/>
            </w:pPr>
            <m:oMath>
              <m:sSub>
                <m:e>
                  <m:r>
                    <m:t>T</m:t>
                  </m:r>
                </m:e>
                <m:sub>
                  <m:r>
                    <m:rPr>
                      <m:nor/>
                      <m:sty m:val="p"/>
                    </m:rPr>
                    <m:t>redirect</m:t>
                  </m:r>
                </m:sub>
              </m:sSub>
            </m:oMath>
          </w:p>
        </w:tc>
        <w:tc>
          <w:tcPr/>
          <w:p>
            <w:pPr>
              <w:pStyle w:val="Compact"/>
              <w:jc w:val="left"/>
            </w:pPr>
            <w:r>
              <w:t xml:space="preserve">Time until clients reach the replacement</w:t>
            </w:r>
          </w:p>
        </w:tc>
        <w:tc>
          <w:tcPr/>
          <w:p>
            <w:pPr>
              <w:pStyle w:val="Compact"/>
              <w:jc w:val="left"/>
            </w:pPr>
            <w:r>
              <w:t xml:space="preserve">s</w:t>
            </w:r>
          </w:p>
        </w:tc>
      </w:tr>
      <w:tr>
        <w:tc>
          <w:tcPr/>
          <w:p>
            <w:pPr>
              <w:pStyle w:val="Compact"/>
              <w:jc w:val="left"/>
            </w:pPr>
            <m:oMath>
              <m:r>
                <m:t>ν</m:t>
              </m:r>
            </m:oMath>
          </w:p>
        </w:tc>
        <w:tc>
          <w:tcPr/>
          <w:p>
            <w:pPr>
              <w:pStyle w:val="Compact"/>
              <w:jc w:val="left"/>
            </w:pPr>
            <w:r>
              <w:t xml:space="preserve">Failovers per year</w:t>
            </w:r>
          </w:p>
        </w:tc>
        <w:tc>
          <w:tcPr/>
          <w:p>
            <w:pPr>
              <w:pStyle w:val="Compact"/>
              <w:jc w:val="left"/>
            </w:pPr>
            <w:r>
              <w:t xml:space="preserve">1/year</w:t>
            </w:r>
          </w:p>
        </w:tc>
      </w:tr>
      <w:tr>
        <w:tc>
          <w:tcPr/>
          <w:p>
            <w:pPr>
              <w:pStyle w:val="Compact"/>
              <w:jc w:val="left"/>
            </w:pPr>
            <m:oMath>
              <m:sSub>
                <m:e>
                  <m:r>
                    <m:t>D</m:t>
                  </m:r>
                </m:e>
                <m:sub>
                  <m:r>
                    <m:rPr>
                      <m:nor/>
                      <m:sty m:val="p"/>
                    </m:rPr>
                    <m:t>yr</m:t>
                  </m:r>
                </m:sub>
              </m:sSub>
            </m:oMath>
          </w:p>
        </w:tc>
        <w:tc>
          <w:tcPr/>
          <w:p>
            <w:pPr>
              <w:pStyle w:val="Compact"/>
              <w:jc w:val="left"/>
            </w:pPr>
            <w:r>
              <w:t xml:space="preserve">Write downtime per year from failovers</w:t>
            </w:r>
          </w:p>
        </w:tc>
        <w:tc>
          <w:tcPr/>
          <w:p>
            <w:pPr>
              <w:pStyle w:val="Compact"/>
              <w:jc w:val="left"/>
            </w:pPr>
            <w:r>
              <w:t xml:space="preserve">s/year</w:t>
            </w:r>
          </w:p>
        </w:tc>
      </w:tr>
    </w:tbl>
    <w:p>
      <w:pPr>
        <w:pStyle w:val="CalloutExample"/>
      </w:pPr>
      <w:r>
        <w:rPr>
          <w:bCs/>
          <w:b/>
        </w:rPr>
        <w:t xml:space="preserve">WORKED EXAMPLE</w:t>
      </w:r>
    </w:p>
    <w:p>
      <w:pPr>
        <w:pStyle w:val="CalloutExample"/>
      </w:pPr>
      <w:r>
        <w:rPr>
          <w:bCs/>
          <w:b/>
        </w:rPr>
        <w:t xml:space="preserve">Worked example — DNS versus a proxy.</w:t>
      </w:r>
      <w:r>
        <w:t xml:space="preserve"> </w:t>
      </w:r>
      <w:r>
        <w:t xml:space="preserve">Heartbeats every 2 s with a 6 s timeout; election 1 s; reconfiguration 3 s.</w:t>
      </w:r>
    </w:p>
    <w:p>
      <w:pPr>
        <w:numPr>
          <w:ilvl w:val="0"/>
          <w:numId w:val="1890"/>
        </w:numPr>
        <w:pStyle w:val="Compact"/>
      </w:pPr>
      <w:r>
        <w:t xml:space="preserve">DNS redirection with a 30 s TTL:</w:t>
      </w:r>
      <w:r>
        <w:t xml:space="preserve"> </w:t>
      </w:r>
      <m:oMath>
        <m:sSub>
          <m:e>
            <m:r>
              <m:t>T</m:t>
            </m:r>
          </m:e>
          <m:sub>
            <m:r>
              <m:rPr>
                <m:nor/>
                <m:sty m:val="p"/>
              </m:rPr>
              <m:t>fo</m:t>
            </m:r>
          </m:sub>
        </m:sSub>
        <m:r>
          <m:rPr>
            <m:sty m:val="p"/>
          </m:rPr>
          <m:t>=</m:t>
        </m:r>
        <m:r>
          <m:t>6</m:t>
        </m:r>
        <m:r>
          <m:rPr>
            <m:sty m:val="p"/>
          </m:rPr>
          <m:t>+</m:t>
        </m:r>
        <m:r>
          <m:t>1</m:t>
        </m:r>
        <m:r>
          <m:rPr>
            <m:sty m:val="p"/>
          </m:rPr>
          <m:t>+</m:t>
        </m:r>
        <m:r>
          <m:t>3</m:t>
        </m:r>
        <m:r>
          <m:rPr>
            <m:sty m:val="p"/>
          </m:rPr>
          <m:t>+</m:t>
        </m:r>
        <m:r>
          <m:t>30</m:t>
        </m:r>
        <m:r>
          <m:rPr>
            <m:sty m:val="p"/>
          </m:rPr>
          <m:t>=</m:t>
        </m:r>
        <m:r>
          <m:t>40</m:t>
        </m:r>
      </m:oMath>
      <w:r>
        <w:t xml:space="preserve"> </w:t>
      </w:r>
      <w:r>
        <w:t xml:space="preserve">s.</w:t>
      </w:r>
    </w:p>
    <w:p>
      <w:pPr>
        <w:numPr>
          <w:ilvl w:val="0"/>
          <w:numId w:val="1890"/>
        </w:numPr>
        <w:pStyle w:val="Compact"/>
      </w:pPr>
      <w:r>
        <w:t xml:space="preserve">Proxy or virtual IP that switches in 1 s:</w:t>
      </w:r>
      <w:r>
        <w:t xml:space="preserve"> </w:t>
      </w:r>
      <m:oMath>
        <m:sSub>
          <m:e>
            <m:r>
              <m:t>T</m:t>
            </m:r>
          </m:e>
          <m:sub>
            <m:r>
              <m:rPr>
                <m:nor/>
                <m:sty m:val="p"/>
              </m:rPr>
              <m:t>fo</m:t>
            </m:r>
          </m:sub>
        </m:sSub>
        <m:r>
          <m:rPr>
            <m:sty m:val="p"/>
          </m:rPr>
          <m:t>=</m:t>
        </m:r>
        <m:r>
          <m:t>6</m:t>
        </m:r>
        <m:r>
          <m:rPr>
            <m:sty m:val="p"/>
          </m:rPr>
          <m:t>+</m:t>
        </m:r>
        <m:r>
          <m:t>1</m:t>
        </m:r>
        <m:r>
          <m:rPr>
            <m:sty m:val="p"/>
          </m:rPr>
          <m:t>+</m:t>
        </m:r>
        <m:r>
          <m:t>3</m:t>
        </m:r>
        <m:r>
          <m:rPr>
            <m:sty m:val="p"/>
          </m:rPr>
          <m:t>+</m:t>
        </m:r>
        <m:r>
          <m:t>1</m:t>
        </m:r>
        <m:r>
          <m:rPr>
            <m:sty m:val="p"/>
          </m:rPr>
          <m:t>=</m:t>
        </m:r>
        <m:r>
          <m:t>11</m:t>
        </m:r>
      </m:oMath>
      <w:r>
        <w:t xml:space="preserve"> </w:t>
      </w:r>
      <w:r>
        <w:t xml:space="preserve">s.</w:t>
      </w:r>
    </w:p>
    <w:p>
      <w:pPr>
        <w:numPr>
          <w:ilvl w:val="0"/>
          <w:numId w:val="1890"/>
        </w:numPr>
        <w:pStyle w:val="Compact"/>
      </w:pPr>
      <w:r>
        <w:t xml:space="preserve">With</w:t>
      </w:r>
      <w:r>
        <w:t xml:space="preserve"> </w:t>
      </w:r>
      <m:oMath>
        <m:r>
          <m:t>ν</m:t>
        </m:r>
        <m:r>
          <m:rPr>
            <m:sty m:val="p"/>
          </m:rPr>
          <m:t>=</m:t>
        </m:r>
        <m:r>
          <m:t>6</m:t>
        </m:r>
      </m:oMath>
      <w:r>
        <w:t xml:space="preserve"> </w:t>
      </w:r>
      <w:r>
        <w:t xml:space="preserve">failovers a year (crashes, kernel patches, zone events):</w:t>
      </w:r>
      <w:r>
        <w:t xml:space="preserve"> </w:t>
      </w:r>
      <m:oMath>
        <m:r>
          <m:t>6</m:t>
        </m:r>
        <m:r>
          <m:rPr>
            <m:sty m:val="p"/>
          </m:rPr>
          <m:t>×</m:t>
        </m:r>
        <m:r>
          <m:t>40</m:t>
        </m:r>
        <m:r>
          <m:rPr>
            <m:sty m:val="p"/>
          </m:rPr>
          <m:t>=</m:t>
        </m:r>
        <m:r>
          <m:t>240</m:t>
        </m:r>
      </m:oMath>
      <w:r>
        <w:t xml:space="preserve"> </w:t>
      </w:r>
      <w:r>
        <w:t xml:space="preserve">s versus</w:t>
      </w:r>
      <w:r>
        <w:t xml:space="preserve"> </w:t>
      </w:r>
      <m:oMath>
        <m:r>
          <m:t>6</m:t>
        </m:r>
        <m:r>
          <m:rPr>
            <m:sty m:val="p"/>
          </m:rPr>
          <m:t>×</m:t>
        </m:r>
        <m:r>
          <m:t>11</m:t>
        </m:r>
        <m:r>
          <m:rPr>
            <m:sty m:val="p"/>
          </m:rPr>
          <m:t>=</m:t>
        </m:r>
        <m:r>
          <m:t>66</m:t>
        </m:r>
      </m:oMath>
      <w:r>
        <w:t xml:space="preserve"> </w:t>
      </w:r>
      <w:r>
        <w:t xml:space="preserve">s.</w:t>
      </w:r>
    </w:p>
    <w:p>
      <w:pPr>
        <w:numPr>
          <w:ilvl w:val="0"/>
          <w:numId w:val="1890"/>
        </w:numPr>
        <w:pStyle w:val="Compact"/>
      </w:pPr>
      <w:r>
        <w:t xml:space="preserve">Against a 99.99% target (52.6 min = 3,156 s per year, §4.14): DNS failovers use 7.6% of the budget, the proxy 2.1%. Against a monthly budget of 4.32 min, one DNS failover uses 15%.</w:t>
      </w:r>
    </w:p>
    <w:p>
      <w:pPr>
        <w:pStyle w:val="CalloutExample"/>
      </w:pPr>
      <w:r>
        <w:rPr>
          <w:bCs/>
          <w:b/>
        </w:rPr>
        <w:t xml:space="preserve">Interpretation.</w:t>
      </w:r>
      <w:r>
        <w:t xml:space="preserve"> </w:t>
      </w:r>
      <w:r>
        <w:t xml:space="preserve">Redirection, not detection, is often the largest term. Consensus-replicated systems shrink detection and election together to about 0.16–1.2 s (§26.7.2), which leaves redirection even more dominant.</w:t>
      </w:r>
      <w:r>
        <w:t xml:space="preserve"> </w:t>
      </w:r>
      <w:r>
        <w:rPr>
          <w:bCs/>
          <w:b/>
        </w:rPr>
        <w:t xml:space="preserve">Engineering implication.</w:t>
      </w:r>
      <w:r>
        <w:t xml:space="preserve"> </w:t>
      </w:r>
      <w:r>
        <w:t xml:space="preserve">Put a proxy, a virtual IP or a topology-aware client in front of a replicated primary, and measure each term in game days rather than assuming it.</w:t>
      </w:r>
    </w:p>
    <w:bookmarkStart w:id="3082" w:name="dangers"/>
    <w:p>
      <w:pPr>
        <w:pStyle w:val="Heading4"/>
      </w:pPr>
      <w:r>
        <w:t xml:space="preserve">Dangers</w:t>
      </w:r>
    </w:p>
    <w:p>
      <w:pPr>
        <w:numPr>
          <w:ilvl w:val="0"/>
          <w:numId w:val="1891"/>
        </w:numPr>
        <w:pStyle w:val="Compact"/>
      </w:pPr>
      <w:r>
        <w:rPr>
          <w:bCs/>
          <w:b/>
        </w:rPr>
        <w:t xml:space="preserve">Split brain.</w:t>
      </w:r>
      <w:r>
        <w:t xml:space="preserve"> </w:t>
      </w:r>
      <w:r>
        <w:t xml:space="preserve">If the old primary is merely slow or partitioned, it may still accept writes. Both</w:t>
      </w:r>
      <w:r>
        <w:t xml:space="preserve"> </w:t>
      </w:r>
      <w:r>
        <w:t xml:space="preserve">“</w:t>
      </w:r>
      <w:r>
        <w:t xml:space="preserve">primaries</w:t>
      </w:r>
      <w:r>
        <w:t xml:space="preserve">”</w:t>
      </w:r>
      <w:r>
        <w:t xml:space="preserve"> </w:t>
      </w:r>
      <w:r>
        <w:t xml:space="preserve">then diverge (§26.12). Only fencing, by lease expiry, a fencing token checked by storage, or cutting power, makes promotion safe.</w:t>
      </w:r>
    </w:p>
    <w:p>
      <w:pPr>
        <w:numPr>
          <w:ilvl w:val="0"/>
          <w:numId w:val="1891"/>
        </w:numPr>
        <w:pStyle w:val="Compact"/>
      </w:pPr>
      <w:r>
        <w:rPr>
          <w:bCs/>
          <w:b/>
        </w:rPr>
        <w:t xml:space="preserve">Data loss with asynchronous replication.</w:t>
      </w:r>
      <w:r>
        <w:t xml:space="preserve"> </w:t>
      </w:r>
      <w:r>
        <w:t xml:space="preserve">The promoted replica lacks the last</w:t>
      </w:r>
      <w:r>
        <w:t xml:space="preserve"> </w:t>
      </w:r>
      <m:oMath>
        <m:sSub>
          <m:e>
            <m:r>
              <m:t>r</m:t>
            </m:r>
          </m:e>
          <m:sub>
            <m:r>
              <m:t>w</m:t>
            </m:r>
          </m:sub>
        </m:sSub>
        <m:r>
          <m:rPr>
            <m:sty m:val="p"/>
          </m:rPr>
          <m:t>ℓ</m:t>
        </m:r>
      </m:oMath>
      <w:r>
        <w:t xml:space="preserve"> </w:t>
      </w:r>
      <w:r>
        <w:t xml:space="preserve">writes (§27.4). Worse, when the old primary returns, its unreplicated writes conflict with new writes that reused the same keys or IDs.</w:t>
      </w:r>
    </w:p>
    <w:p>
      <w:pPr>
        <w:pStyle w:val="CalloutIndustry"/>
      </w:pPr>
      <w:r>
        <w:rPr>
          <w:bCs/>
          <w:b/>
        </w:rPr>
        <w:t xml:space="preserve">INDUSTRY EXAMPLE</w:t>
      </w:r>
    </w:p>
    <w:p>
      <w:pPr>
        <w:pStyle w:val="CalloutIndustry"/>
      </w:pPr>
      <w:r>
        <w:rPr>
          <w:bCs/>
          <w:b/>
        </w:rPr>
        <w:t xml:space="preserve">GitHub, October 2018.</w:t>
      </w:r>
      <w:r>
        <w:t xml:space="preserve"> </w:t>
      </w:r>
      <w:r>
        <w:t xml:space="preserve">A 43-second loss of connectivity between GitHub’s US East Coast network hub and its primary East Coast datacenter led its MySQL failover tooling (Orchestrator) to promote replicas in the US West Coast. When connectivity returned, the East Coast databases held writes not present in the West and vice versa, so GitHub could not simply fail back. It chose data integrity over speed and ran degraded for 24 hours and 11 minutes while reconciling; its follow-ups included preventing automatic cross-region promotion.</w:t>
      </w:r>
      <w:r>
        <w:t xml:space="preserve"> </w:t>
      </w:r>
      <w:r>
        <w:rPr>
          <w:iCs/>
          <w:i/>
        </w:rPr>
        <w:t xml:space="preserve">Evidence: Primary</w:t>
      </w:r>
      <w:r>
        <w:t xml:space="preserve"> </w:t>
      </w:r>
      <w:r>
        <w:t xml:space="preserve">— [GitHub 2018]</w:t>
      </w:r>
    </w:p>
    <w:bookmarkEnd w:id="3082"/>
    <w:bookmarkEnd w:id="3083"/>
    <w:bookmarkEnd w:id="3084"/>
    <w:bookmarkStart w:id="3090" w:name="recovery"/>
    <w:p>
      <w:pPr>
        <w:pStyle w:val="Heading2"/>
      </w:pPr>
      <w:r>
        <w:t xml:space="preserve">27.12 Recovery</w:t>
      </w:r>
    </w:p>
    <w:bookmarkStart w:id="3089" w:name="catching-up-snapshotting-and-rebuilding"/>
    <w:p>
      <w:pPr>
        <w:pStyle w:val="Heading3"/>
      </w:pPr>
      <w:r>
        <w:t xml:space="preserve">27.12.1 Catching up, snapshotting and rebuilding</w:t>
      </w:r>
    </w:p>
    <w:p>
      <w:pPr>
        <w:pStyle w:val="CalloutDefinition"/>
      </w:pPr>
      <w:r>
        <w:rPr>
          <w:bCs/>
          <w:b/>
        </w:rPr>
        <w:t xml:space="preserve">DEFINITION</w:t>
      </w:r>
    </w:p>
    <w:p>
      <w:pPr>
        <w:pStyle w:val="CalloutDefinition"/>
      </w:pPr>
      <w:r>
        <w:rPr>
          <w:bCs/>
          <w:b/>
        </w:rPr>
        <w:t xml:space="preserve">Definition — Replica recovery.</w:t>
      </w:r>
      <w:r>
        <w:t xml:space="preserve"> </w:t>
      </w:r>
      <w:r>
        <w:t xml:space="preserve">Returning a replica to full membership after a crash or replacement, by</w:t>
      </w:r>
      <w:r>
        <w:t xml:space="preserve"> </w:t>
      </w:r>
      <w:r>
        <w:rPr>
          <w:bCs/>
          <w:b/>
        </w:rPr>
        <w:t xml:space="preserve">log catch-up</w:t>
      </w:r>
      <w:r>
        <w:t xml:space="preserve"> </w:t>
      </w:r>
      <w:r>
        <w:t xml:space="preserve">(replaying missed log entries),</w:t>
      </w:r>
      <w:r>
        <w:t xml:space="preserve"> </w:t>
      </w:r>
      <w:r>
        <w:rPr>
          <w:bCs/>
          <w:b/>
        </w:rPr>
        <w:t xml:space="preserve">snapshot plus log</w:t>
      </w:r>
      <w:r>
        <w:t xml:space="preserve"> </w:t>
      </w:r>
      <w:r>
        <w:t xml:space="preserve">(installing a copy of the state, then replaying from the snapshot’s position) or</w:t>
      </w:r>
      <w:r>
        <w:t xml:space="preserve"> </w:t>
      </w:r>
      <w:r>
        <w:rPr>
          <w:bCs/>
          <w:b/>
        </w:rPr>
        <w:t xml:space="preserve">rebuild</w:t>
      </w:r>
      <w:r>
        <w:t xml:space="preserve"> </w:t>
      </w:r>
      <w:r>
        <w:t xml:space="preserve">(copying all data from peers).</w:t>
      </w:r>
    </w:p>
    <w:bookmarkStart w:id="3088" w:name="how-it-works-internally-102"/>
    <w:p>
      <w:pPr>
        <w:pStyle w:val="Heading4"/>
      </w:pPr>
      <w:r>
        <w:t xml:space="preserve">How it works internally</w:t>
      </w:r>
    </w:p>
    <w:p>
      <w:pPr>
        <w:numPr>
          <w:ilvl w:val="0"/>
          <w:numId w:val="1892"/>
        </w:numPr>
        <w:pStyle w:val="Compact"/>
      </w:pPr>
      <w:r>
        <w:rPr>
          <w:bCs/>
          <w:b/>
        </w:rPr>
        <w:t xml:space="preserve">Log catch-up.</w:t>
      </w:r>
      <w:r>
        <w:t xml:space="preserve"> </w:t>
      </w:r>
      <w:r>
        <w:t xml:space="preserve">If the node’s disk survived and the primary still retains every log entry since the node’s last applied position, the node replays them (§14.4.2). PostgreSQL retains WAL for a replica through</w:t>
      </w:r>
      <w:r>
        <w:t xml:space="preserve"> </w:t>
      </w:r>
      <w:r>
        <w:rPr>
          <w:rStyle w:val="VerbatimChar"/>
        </w:rPr>
        <w:t xml:space="preserve">wal_keep_size</w:t>
      </w:r>
      <w:r>
        <w:t xml:space="preserve"> </w:t>
      </w:r>
      <w:r>
        <w:t xml:space="preserve">or a</w:t>
      </w:r>
      <w:r>
        <w:t xml:space="preserve"> </w:t>
      </w:r>
      <w:r>
        <w:rPr>
          <w:bCs/>
          <w:b/>
        </w:rPr>
        <w:t xml:space="preserve">replication slot</w:t>
      </w:r>
      <w:r>
        <w:t xml:space="preserve">; MySQL keeps binlogs for</w:t>
      </w:r>
      <w:r>
        <w:t xml:space="preserve"> </w:t>
      </w:r>
      <w:r>
        <w:rPr>
          <w:rStyle w:val="VerbatimChar"/>
        </w:rPr>
        <w:t xml:space="preserve">binlog_expire_logs_seconds</w:t>
      </w:r>
      <w:r>
        <w:t xml:space="preserve">.</w:t>
      </w:r>
    </w:p>
    <w:p>
      <w:pPr>
        <w:numPr>
          <w:ilvl w:val="0"/>
          <w:numId w:val="1892"/>
        </w:numPr>
        <w:pStyle w:val="Compact"/>
      </w:pPr>
      <w:r>
        <w:rPr>
          <w:bCs/>
          <w:b/>
        </w:rPr>
        <w:t xml:space="preserve">Snapshot plus log.</w:t>
      </w:r>
      <w:r>
        <w:t xml:space="preserve"> </w:t>
      </w:r>
      <w:r>
        <w:t xml:space="preserve">If the log has been truncated past the node’s position, it installs a snapshot taken at a known log position and replays from there. PostgreSQL’s</w:t>
      </w:r>
      <w:r>
        <w:t xml:space="preserve"> </w:t>
      </w:r>
      <w:r>
        <w:rPr>
          <w:rStyle w:val="VerbatimChar"/>
        </w:rPr>
        <w:t xml:space="preserve">pg_basebackup</w:t>
      </w:r>
      <w:r>
        <w:t xml:space="preserve"> </w:t>
      </w:r>
      <w:r>
        <w:t xml:space="preserve">and Raft’s</w:t>
      </w:r>
      <w:r>
        <w:t xml:space="preserve"> </w:t>
      </w:r>
      <w:r>
        <w:rPr>
          <w:rStyle w:val="VerbatimChar"/>
        </w:rPr>
        <w:t xml:space="preserve">InstallSnapshot</w:t>
      </w:r>
      <w:r>
        <w:t xml:space="preserve"> </w:t>
      </w:r>
      <w:r>
        <w:t xml:space="preserve">(§26.7) work this way.</w:t>
      </w:r>
    </w:p>
    <w:p>
      <w:pPr>
        <w:numPr>
          <w:ilvl w:val="0"/>
          <w:numId w:val="1892"/>
        </w:numPr>
        <w:pStyle w:val="Compact"/>
      </w:pPr>
      <w:r>
        <w:rPr>
          <w:bCs/>
          <w:b/>
        </w:rPr>
        <w:t xml:space="preserve">Rebuild.</w:t>
      </w:r>
      <w:r>
        <w:t xml:space="preserve"> </w:t>
      </w:r>
      <w:r>
        <w:t xml:space="preserve">A replacement node in a leaderless store streams its token ranges from the surviving replicas; with virtual nodes (§14.8), many peers send in parallel. New writes for those ranges go to the joining node while it streams.</w:t>
      </w:r>
    </w:p>
    <w:p>
      <w:pPr>
        <w:pStyle w:val="FirstParagraph"/>
      </w:pPr>
      <w:r>
        <w:rPr>
          <w:bCs/>
          <w:b/>
        </w:rPr>
        <w:t xml:space="preserve">Figure 27.11 — Choosing a recovery path.</w:t>
      </w:r>
    </w:p>
    <w:p>
      <w:pPr>
        <w:pStyle w:val="BodyText"/>
      </w:pPr>
      <w:r>
        <w:drawing>
          <wp:inline>
            <wp:extent cx="5334000" cy="8403566"/>
            <wp:effectExtent b="0" l="0" r="0" t="0"/>
            <wp:docPr descr="" title="" id="3086" name="Picture"/>
            <a:graphic>
              <a:graphicData uri="http://schemas.openxmlformats.org/drawingml/2006/picture">
                <pic:pic>
                  <pic:nvPicPr>
                    <pic:cNvPr descr="/home/user/System-Design/build/.cache/diagrams/9bce84b0a951.png" id="3087" name="Picture"/>
                    <pic:cNvPicPr>
                      <a:picLocks noChangeArrowheads="1" noChangeAspect="1"/>
                    </pic:cNvPicPr>
                  </pic:nvPicPr>
                  <pic:blipFill>
                    <a:blip r:embed="rId3085"/>
                    <a:stretch>
                      <a:fillRect/>
                    </a:stretch>
                  </pic:blipFill>
                  <pic:spPr bwMode="auto">
                    <a:xfrm>
                      <a:off x="0" y="0"/>
                      <a:ext cx="5334000" cy="8403566"/>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Decisions run top to bottom. Every path ends at the same gate: the replica rejoins the read path only once its lag is within the staleness budget. Snapshot and rebuild paths transfer bulk data over the network and are throttled to protect the sources; log catch-up streams only missed entries. Storage boundaries are the source’s log retention (which decides the middle branch) and the new node’s disk. Failure points: a second failure during a long rebuild, which leaves the data with fewer copies (§4.16), and a source overwhelmed by streaming.</w:t>
      </w:r>
    </w:p>
    <w:p>
      <w:pPr>
        <w:pStyle w:val="CalloutFormula"/>
      </w:pPr>
      <w:r>
        <w:rPr>
          <w:bCs/>
          <w:b/>
        </w:rPr>
        <w:t xml:space="preserve">FORMULA</w:t>
      </w:r>
    </w:p>
    <w:p>
      <w:pPr>
        <w:pStyle w:val="CalloutFormula"/>
      </w:pPr>
      <w:r>
        <w:rPr>
          <w:bCs/>
          <w:b/>
        </w:rPr>
        <w:t xml:space="preserve">Recovery time for snapshot plus log</w:t>
      </w:r>
    </w:p>
    <w:p>
      <w:pPr>
        <w:pStyle w:val="CalloutFormula"/>
      </w:pPr>
      <m:oMathPara>
        <m:oMathParaPr>
          <m:jc m:val="center"/>
        </m:oMathParaPr>
        <m:oMath>
          <m:sSub>
            <m:e>
              <m:r>
                <m:t>T</m:t>
              </m:r>
            </m:e>
            <m:sub>
              <m:r>
                <m:rPr>
                  <m:nor/>
                  <m:sty m:val="p"/>
                </m:rPr>
                <m:t>rec</m:t>
              </m:r>
            </m:sub>
          </m:sSub>
          <m:r>
            <m:rPr>
              <m:sty m:val="p"/>
            </m:rPr>
            <m:t>=</m:t>
          </m:r>
          <m:f>
            <m:fPr>
              <m:type m:val="bar"/>
            </m:fPr>
            <m:num>
              <m:r>
                <m:t>D</m:t>
              </m:r>
            </m:num>
            <m:den>
              <m:sSub>
                <m:e>
                  <m:r>
                    <m:t>B</m:t>
                  </m:r>
                </m:e>
                <m:sub>
                  <m:r>
                    <m:rPr>
                      <m:nor/>
                      <m:sty m:val="p"/>
                    </m:rPr>
                    <m:t>eff</m:t>
                  </m:r>
                </m:sub>
              </m:sSub>
            </m:den>
          </m:f>
          <m:r>
            <m:rPr>
              <m:sty m:val="p"/>
            </m:rPr>
            <m:t>+</m:t>
          </m:r>
          <m:f>
            <m:fPr>
              <m:type m:val="bar"/>
            </m:fPr>
            <m:num>
              <m:sSub>
                <m:e>
                  <m:r>
                    <m:t>r</m:t>
                  </m:r>
                </m:e>
                <m:sub>
                  <m:r>
                    <m:rPr>
                      <m:nor/>
                      <m:sty m:val="p"/>
                    </m:rPr>
                    <m:t>in</m:t>
                  </m:r>
                </m:sub>
              </m:sSub>
              <m:r>
                <m:rPr>
                  <m:sty m:val="p"/>
                </m:rPr>
                <m:t>⋅</m:t>
              </m:r>
              <m:r>
                <m:t>D</m:t>
              </m:r>
              <m:r>
                <m:rPr>
                  <m:sty m:val="p"/>
                </m:rPr>
                <m:t>/</m:t>
              </m:r>
              <m:sSub>
                <m:e>
                  <m:r>
                    <m:t>B</m:t>
                  </m:r>
                </m:e>
                <m:sub>
                  <m:r>
                    <m:rPr>
                      <m:nor/>
                      <m:sty m:val="p"/>
                    </m:rPr>
                    <m:t>eff</m:t>
                  </m:r>
                </m:sub>
              </m:sSub>
            </m:num>
            <m:den>
              <m:sSub>
                <m:e>
                  <m:r>
                    <m:t>r</m:t>
                  </m:r>
                </m:e>
                <m:sub>
                  <m:r>
                    <m:rPr>
                      <m:nor/>
                      <m:sty m:val="p"/>
                    </m:rPr>
                    <m:t>apply</m:t>
                  </m:r>
                </m:sub>
              </m:sSub>
              <m:r>
                <m:rPr>
                  <m:sty m:val="p"/>
                </m:rPr>
                <m:t>−</m:t>
              </m:r>
              <m:sSub>
                <m:e>
                  <m:r>
                    <m:t>r</m:t>
                  </m:r>
                </m:e>
                <m:sub>
                  <m:r>
                    <m:rPr>
                      <m:nor/>
                      <m:sty m:val="p"/>
                    </m:rPr>
                    <m:t>in</m:t>
                  </m:r>
                </m:sub>
              </m:sSub>
            </m:den>
          </m:f>
          <m:r>
            <m:rPr>
              <m:sty m:val="p"/>
            </m:rPr>
            <m:t>,</m:t>
          </m:r>
          <m:r>
            <m:t>  </m:t>
          </m:r>
          <m:sSub>
            <m:e>
              <m:r>
                <m:t>B</m:t>
              </m:r>
            </m:e>
            <m:sub>
              <m:r>
                <m:rPr>
                  <m:nor/>
                  <m:sty m:val="p"/>
                </m:rPr>
                <m:t>eff</m:t>
              </m:r>
            </m:sub>
          </m:sSub>
          <m:r>
            <m:rPr>
              <m:sty m:val="p"/>
            </m:rPr>
            <m:t>=</m:t>
          </m:r>
          <m:r>
            <m:rPr>
              <m:sty m:val="p"/>
            </m:rPr>
            <m:t>min</m:t>
          </m:r>
          <m:d>
            <m:dPr>
              <m:begChr m:val="("/>
              <m:endChr m:val=")"/>
              <m:sepChr m:val=""/>
              <m:grow/>
            </m:dPr>
            <m:e>
              <m:nary>
                <m:naryPr>
                  <m:chr m:val="∑"/>
                  <m:limLoc m:val="undOvr"/>
                  <m:subHide m:val="off"/>
                  <m:supHide m:val="on"/>
                </m:naryPr>
                <m:sub>
                  <m:r>
                    <m:t>i</m:t>
                  </m:r>
                </m:sub>
                <m:sup>
                  <m:r>
                    <m:t>​</m:t>
                  </m:r>
                </m:sup>
                <m:e>
                  <m:sSub>
                    <m:e>
                      <m:r>
                        <m:t>B</m:t>
                      </m:r>
                    </m:e>
                    <m:sub>
                      <m:r>
                        <m:rPr>
                          <m:nor/>
                          <m:sty m:val="p"/>
                        </m:rPr>
                        <m:t>src</m:t>
                      </m:r>
                      <m:r>
                        <m:rPr>
                          <m:sty m:val="p"/>
                        </m:rPr>
                        <m:t>,</m:t>
                      </m:r>
                      <m:r>
                        <m:t>i</m:t>
                      </m:r>
                    </m:sub>
                  </m:sSub>
                </m:e>
              </m:nary>
              <m:r>
                <m:rPr>
                  <m:sty m:val="p"/>
                </m:rPr>
                <m:t>,</m:t>
              </m:r>
              <m:r>
                <m:t> </m:t>
              </m:r>
              <m:sSub>
                <m:e>
                  <m:r>
                    <m:t>B</m:t>
                  </m:r>
                </m:e>
                <m:sub>
                  <m:r>
                    <m:rPr>
                      <m:nor/>
                      <m:sty m:val="p"/>
                    </m:rPr>
                    <m:t>dst</m:t>
                  </m:r>
                </m:sub>
              </m:sSub>
            </m:e>
          </m:d>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T</m:t>
                  </m:r>
                </m:e>
                <m:sub>
                  <m:r>
                    <m:rPr>
                      <m:nor/>
                      <m:sty m:val="p"/>
                    </m:rPr>
                    <m:t>rec</m:t>
                  </m:r>
                </m:sub>
              </m:sSub>
            </m:oMath>
          </w:p>
        </w:tc>
        <w:tc>
          <w:tcPr/>
          <w:p>
            <w:pPr>
              <w:pStyle w:val="Compact"/>
              <w:jc w:val="left"/>
            </w:pPr>
            <w:r>
              <w:t xml:space="preserve">Time until the replica is current</w:t>
            </w:r>
          </w:p>
        </w:tc>
        <w:tc>
          <w:tcPr/>
          <w:p>
            <w:pPr>
              <w:pStyle w:val="Compact"/>
              <w:jc w:val="left"/>
            </w:pPr>
            <w:r>
              <w:t xml:space="preserve">s</w:t>
            </w:r>
          </w:p>
        </w:tc>
      </w:tr>
      <w:tr>
        <w:tc>
          <w:tcPr/>
          <w:p>
            <w:pPr>
              <w:pStyle w:val="Compact"/>
              <w:jc w:val="left"/>
            </w:pPr>
            <m:oMath>
              <m:r>
                <m:t>D</m:t>
              </m:r>
            </m:oMath>
          </w:p>
        </w:tc>
        <w:tc>
          <w:tcPr/>
          <w:p>
            <w:pPr>
              <w:pStyle w:val="Compact"/>
              <w:jc w:val="left"/>
            </w:pPr>
            <w:r>
              <w:t xml:space="preserve">Size of the snapshot or data to copy</w:t>
            </w:r>
          </w:p>
        </w:tc>
        <w:tc>
          <w:tcPr/>
          <w:p>
            <w:pPr>
              <w:pStyle w:val="Compact"/>
              <w:jc w:val="left"/>
            </w:pPr>
            <w:r>
              <w:t xml:space="preserve">bytes</w:t>
            </w:r>
          </w:p>
        </w:tc>
      </w:tr>
      <w:tr>
        <w:tc>
          <w:tcPr/>
          <w:p>
            <w:pPr>
              <w:pStyle w:val="Compact"/>
              <w:jc w:val="left"/>
            </w:pPr>
            <m:oMath>
              <m:sSub>
                <m:e>
                  <m:r>
                    <m:t>B</m:t>
                  </m:r>
                </m:e>
                <m:sub>
                  <m:r>
                    <m:rPr>
                      <m:nor/>
                      <m:sty m:val="p"/>
                    </m:rPr>
                    <m:t>eff</m:t>
                  </m:r>
                </m:sub>
              </m:sSub>
            </m:oMath>
          </w:p>
        </w:tc>
        <w:tc>
          <w:tcPr/>
          <w:p>
            <w:pPr>
              <w:pStyle w:val="Compact"/>
              <w:jc w:val="left"/>
            </w:pPr>
            <w:r>
              <w:t xml:space="preserve">Effective copy bandwidth</w:t>
            </w:r>
          </w:p>
        </w:tc>
        <w:tc>
          <w:tcPr/>
          <w:p>
            <w:pPr>
              <w:pStyle w:val="Compact"/>
              <w:jc w:val="left"/>
            </w:pPr>
            <w:r>
              <w:t xml:space="preserve">bytes/s</w:t>
            </w:r>
          </w:p>
        </w:tc>
      </w:tr>
      <w:tr>
        <w:tc>
          <w:tcPr/>
          <w:p>
            <w:pPr>
              <w:pStyle w:val="Compact"/>
              <w:jc w:val="left"/>
            </w:pPr>
            <m:oMath>
              <m:sSub>
                <m:e>
                  <m:r>
                    <m:t>B</m:t>
                  </m:r>
                </m:e>
                <m:sub>
                  <m:r>
                    <m:rPr>
                      <m:nor/>
                      <m:sty m:val="p"/>
                    </m:rPr>
                    <m:t>src</m:t>
                  </m:r>
                  <m:r>
                    <m:rPr>
                      <m:sty m:val="p"/>
                    </m:rPr>
                    <m:t>,</m:t>
                  </m:r>
                  <m:r>
                    <m:t>i</m:t>
                  </m:r>
                </m:sub>
              </m:sSub>
            </m:oMath>
          </w:p>
        </w:tc>
        <w:tc>
          <w:tcPr/>
          <w:p>
            <w:pPr>
              <w:pStyle w:val="Compact"/>
              <w:jc w:val="left"/>
            </w:pPr>
            <w:r>
              <w:t xml:space="preserve">Throttled send rate of source</w:t>
            </w:r>
            <w:r>
              <w:t xml:space="preserve"> </w:t>
            </w:r>
            <m:oMath>
              <m:r>
                <m:t>i</m:t>
              </m:r>
            </m:oMath>
          </w:p>
        </w:tc>
        <w:tc>
          <w:tcPr/>
          <w:p>
            <w:pPr>
              <w:pStyle w:val="Compact"/>
              <w:jc w:val="left"/>
            </w:pPr>
            <w:r>
              <w:t xml:space="preserve">bytes/s</w:t>
            </w:r>
          </w:p>
        </w:tc>
      </w:tr>
      <w:tr>
        <w:tc>
          <w:tcPr/>
          <w:p>
            <w:pPr>
              <w:pStyle w:val="Compact"/>
              <w:jc w:val="left"/>
            </w:pPr>
            <m:oMath>
              <m:sSub>
                <m:e>
                  <m:r>
                    <m:t>B</m:t>
                  </m:r>
                </m:e>
                <m:sub>
                  <m:r>
                    <m:rPr>
                      <m:nor/>
                      <m:sty m:val="p"/>
                    </m:rPr>
                    <m:t>dst</m:t>
                  </m:r>
                </m:sub>
              </m:sSub>
            </m:oMath>
          </w:p>
        </w:tc>
        <w:tc>
          <w:tcPr/>
          <w:p>
            <w:pPr>
              <w:pStyle w:val="Compact"/>
              <w:jc w:val="left"/>
            </w:pPr>
            <w:r>
              <w:t xml:space="preserve">Receiver limit: NIC or disk write rate</w:t>
            </w:r>
          </w:p>
        </w:tc>
        <w:tc>
          <w:tcPr/>
          <w:p>
            <w:pPr>
              <w:pStyle w:val="Compact"/>
              <w:jc w:val="left"/>
            </w:pPr>
            <w:r>
              <w:t xml:space="preserve">bytes/s</w:t>
            </w:r>
          </w:p>
        </w:tc>
      </w:tr>
      <w:tr>
        <w:tc>
          <w:tcPr/>
          <w:p>
            <w:pPr>
              <w:pStyle w:val="Compact"/>
              <w:jc w:val="left"/>
            </w:pPr>
            <m:oMath>
              <m:sSub>
                <m:e>
                  <m:r>
                    <m:t>r</m:t>
                  </m:r>
                </m:e>
                <m:sub>
                  <m:r>
                    <m:rPr>
                      <m:nor/>
                      <m:sty m:val="p"/>
                    </m:rPr>
                    <m:t>in</m:t>
                  </m:r>
                </m:sub>
              </m:sSub>
            </m:oMath>
          </w:p>
        </w:tc>
        <w:tc>
          <w:tcPr/>
          <w:p>
            <w:pPr>
              <w:pStyle w:val="Compact"/>
              <w:jc w:val="left"/>
            </w:pPr>
            <w:r>
              <w:t xml:space="preserve">Rate of new log entries during the copy</w:t>
            </w:r>
          </w:p>
        </w:tc>
        <w:tc>
          <w:tcPr/>
          <w:p>
            <w:pPr>
              <w:pStyle w:val="Compact"/>
              <w:jc w:val="left"/>
            </w:pPr>
            <w:r>
              <w:t xml:space="preserve">entries/s</w:t>
            </w:r>
          </w:p>
        </w:tc>
      </w:tr>
      <w:tr>
        <w:tc>
          <w:tcPr/>
          <w:p>
            <w:pPr>
              <w:pStyle w:val="Compact"/>
              <w:jc w:val="left"/>
            </w:pPr>
            <m:oMath>
              <m:sSub>
                <m:e>
                  <m:r>
                    <m:t>r</m:t>
                  </m:r>
                </m:e>
                <m:sub>
                  <m:r>
                    <m:rPr>
                      <m:nor/>
                      <m:sty m:val="p"/>
                    </m:rPr>
                    <m:t>apply</m:t>
                  </m:r>
                </m:sub>
              </m:sSub>
            </m:oMath>
          </w:p>
        </w:tc>
        <w:tc>
          <w:tcPr/>
          <w:p>
            <w:pPr>
              <w:pStyle w:val="Compact"/>
              <w:jc w:val="left"/>
            </w:pPr>
            <w:r>
              <w:t xml:space="preserve">Rate at which the replica replays entries</w:t>
            </w:r>
          </w:p>
        </w:tc>
        <w:tc>
          <w:tcPr/>
          <w:p>
            <w:pPr>
              <w:pStyle w:val="Compact"/>
              <w:jc w:val="left"/>
            </w:pPr>
            <w:r>
              <w:t xml:space="preserve">entries/s</w:t>
            </w:r>
          </w:p>
        </w:tc>
      </w:tr>
    </w:tbl>
    <w:p>
      <w:pPr>
        <w:pStyle w:val="BodyText"/>
      </w:pPr>
      <w:r>
        <w:t xml:space="preserve">The second term is the catch-up time of §14.4.2 applied to the backlog accumulated during the copy.</w:t>
      </w:r>
    </w:p>
    <w:p>
      <w:pPr>
        <w:pStyle w:val="CalloutExample"/>
      </w:pPr>
      <w:r>
        <w:rPr>
          <w:bCs/>
          <w:b/>
        </w:rPr>
        <w:t xml:space="preserve">WORKED EXAMPLE</w:t>
      </w:r>
    </w:p>
    <w:p>
      <w:pPr>
        <w:pStyle w:val="CalloutExample"/>
      </w:pPr>
      <w:r>
        <w:rPr>
          <w:bCs/>
          <w:b/>
        </w:rPr>
        <w:t xml:space="preserve">Worked example — Rebuilding a 2 TB replica.</w:t>
      </w:r>
      <w:r>
        <w:t xml:space="preserve"> </w:t>
      </w:r>
      <w:r>
        <w:t xml:space="preserve">New writes arrive at</w:t>
      </w:r>
      <w:r>
        <w:t xml:space="preserve"> </w:t>
      </w:r>
      <m:oMath>
        <m:sSub>
          <m:e>
            <m:r>
              <m:t>r</m:t>
            </m:r>
          </m:e>
          <m:sub>
            <m:r>
              <m:rPr>
                <m:nor/>
                <m:sty m:val="p"/>
              </m:rPr>
              <m:t>in</m:t>
            </m:r>
          </m:sub>
        </m:sSub>
        <m:r>
          <m:rPr>
            <m:sty m:val="p"/>
          </m:rPr>
          <m:t>=</m:t>
        </m:r>
        <m:r>
          <m:t>5</m:t>
        </m:r>
        <m:r>
          <m:rPr>
            <m:sty m:val="p"/>
          </m:rPr>
          <m:t>,</m:t>
        </m:r>
        <m:r>
          <m:t>000</m:t>
        </m:r>
      </m:oMath>
      <w:r>
        <w:t xml:space="preserve"> </w:t>
      </w:r>
      <w:r>
        <w:t xml:space="preserve">entries/s and the replica applies</w:t>
      </w:r>
      <w:r>
        <w:t xml:space="preserve"> </w:t>
      </w:r>
      <m:oMath>
        <m:sSub>
          <m:e>
            <m:r>
              <m:t>r</m:t>
            </m:r>
          </m:e>
          <m:sub>
            <m:r>
              <m:rPr>
                <m:nor/>
                <m:sty m:val="p"/>
              </m:rPr>
              <m:t>apply</m:t>
            </m:r>
          </m:sub>
        </m:sSub>
        <m:r>
          <m:rPr>
            <m:sty m:val="p"/>
          </m:rPr>
          <m:t>=</m:t>
        </m:r>
        <m:r>
          <m:t>8</m:t>
        </m:r>
        <m:r>
          <m:rPr>
            <m:sty m:val="p"/>
          </m:rPr>
          <m:t>,</m:t>
        </m:r>
        <m:r>
          <m:t>000</m:t>
        </m:r>
      </m:oMath>
      <w:r>
        <w:t xml:space="preserve"> </w:t>
      </w:r>
      <w:r>
        <w:t xml:space="preserve">entries/s.</w:t>
      </w:r>
    </w:p>
    <w:p>
      <w:pPr>
        <w:numPr>
          <w:ilvl w:val="0"/>
          <w:numId w:val="1893"/>
        </w:numPr>
        <w:pStyle w:val="Compact"/>
      </w:pPr>
      <w:r>
        <w:t xml:space="preserve">One source throttled to 250 MB/s: copy</w:t>
      </w:r>
      <w:r>
        <w:t xml:space="preserve"> </w:t>
      </w:r>
      <m:oMath>
        <m:r>
          <m:rPr>
            <m:sty m:val="p"/>
          </m:rPr>
          <m:t>=</m:t>
        </m:r>
        <m:r>
          <m:t>2</m:t>
        </m:r>
        <m:r>
          <m:rPr>
            <m:sty m:val="p"/>
          </m:rPr>
          <m:t>×</m:t>
        </m:r>
        <m:sSup>
          <m:e>
            <m:r>
              <m:t>10</m:t>
            </m:r>
          </m:e>
          <m:sup>
            <m:r>
              <m:t>12</m:t>
            </m:r>
          </m:sup>
        </m:sSup>
        <m:r>
          <m:rPr>
            <m:sty m:val="p"/>
          </m:rPr>
          <m:t>/</m:t>
        </m:r>
        <m:r>
          <m:t>2.5</m:t>
        </m:r>
        <m:r>
          <m:rPr>
            <m:sty m:val="p"/>
          </m:rPr>
          <m:t>×</m:t>
        </m:r>
        <m:sSup>
          <m:e>
            <m:r>
              <m:t>10</m:t>
            </m:r>
          </m:e>
          <m:sup>
            <m:r>
              <m:t>8</m:t>
            </m:r>
          </m:sup>
        </m:sSup>
        <m:r>
          <m:rPr>
            <m:sty m:val="p"/>
          </m:rPr>
          <m:t>=</m:t>
        </m:r>
        <m:r>
          <m:t>8</m:t>
        </m:r>
        <m:r>
          <m:rPr>
            <m:sty m:val="p"/>
          </m:rPr>
          <m:t>,</m:t>
        </m:r>
        <m:r>
          <m:t>000</m:t>
        </m:r>
      </m:oMath>
      <w:r>
        <w:t xml:space="preserve"> </w:t>
      </w:r>
      <w:r>
        <w:t xml:space="preserve">s (2.2 h). Backlog</w:t>
      </w:r>
      <w:r>
        <w:t xml:space="preserve"> </w:t>
      </w:r>
      <m:oMath>
        <m:r>
          <m:rPr>
            <m:sty m:val="p"/>
          </m:rPr>
          <m:t>=</m:t>
        </m:r>
        <m:r>
          <m:t>5</m:t>
        </m:r>
        <m:r>
          <m:rPr>
            <m:sty m:val="p"/>
          </m:rPr>
          <m:t>,</m:t>
        </m:r>
        <m:r>
          <m:t>000</m:t>
        </m:r>
        <m:r>
          <m:rPr>
            <m:sty m:val="p"/>
          </m:rPr>
          <m:t>×</m:t>
        </m:r>
        <m:r>
          <m:t>8</m:t>
        </m:r>
        <m:r>
          <m:rPr>
            <m:sty m:val="p"/>
          </m:rPr>
          <m:t>,</m:t>
        </m:r>
        <m:r>
          <m:t>000</m:t>
        </m:r>
        <m:r>
          <m:rPr>
            <m:sty m:val="p"/>
          </m:rPr>
          <m:t>=</m:t>
        </m:r>
        <m:r>
          <m:t>4</m:t>
        </m:r>
        <m:r>
          <m:rPr>
            <m:sty m:val="p"/>
          </m:rPr>
          <m:t>×</m:t>
        </m:r>
        <m:sSup>
          <m:e>
            <m:r>
              <m:t>10</m:t>
            </m:r>
          </m:e>
          <m:sup>
            <m:r>
              <m:t>7</m:t>
            </m:r>
          </m:sup>
        </m:sSup>
      </m:oMath>
      <w:r>
        <w:t xml:space="preserve"> </w:t>
      </w:r>
      <w:r>
        <w:t xml:space="preserve">entries; catch-up</w:t>
      </w:r>
      <w:r>
        <w:t xml:space="preserve"> </w:t>
      </w:r>
      <m:oMath>
        <m:r>
          <m:rPr>
            <m:sty m:val="p"/>
          </m:rPr>
          <m:t>=</m:t>
        </m:r>
        <m:r>
          <m:t>4</m:t>
        </m:r>
        <m:r>
          <m:rPr>
            <m:sty m:val="p"/>
          </m:rPr>
          <m:t>×</m:t>
        </m:r>
        <m:sSup>
          <m:e>
            <m:r>
              <m:t>10</m:t>
            </m:r>
          </m:e>
          <m:sup>
            <m:r>
              <m:t>7</m:t>
            </m:r>
          </m:sup>
        </m:sSup>
        <m:r>
          <m:rPr>
            <m:sty m:val="p"/>
          </m:rPr>
          <m:t>/</m:t>
        </m:r>
        <m:r>
          <m:t>3</m:t>
        </m:r>
        <m:r>
          <m:rPr>
            <m:sty m:val="p"/>
          </m:rPr>
          <m:t>,</m:t>
        </m:r>
        <m:r>
          <m:t>000</m:t>
        </m:r>
        <m:r>
          <m:rPr>
            <m:sty m:val="p"/>
          </m:rPr>
          <m:t>=</m:t>
        </m:r>
        <m:r>
          <m:t>13</m:t>
        </m:r>
        <m:r>
          <m:rPr>
            <m:sty m:val="p"/>
          </m:rPr>
          <m:t>,</m:t>
        </m:r>
        <m:r>
          <m:t>333</m:t>
        </m:r>
      </m:oMath>
      <w:r>
        <w:t xml:space="preserve"> </w:t>
      </w:r>
      <w:r>
        <w:t xml:space="preserve">s (3.7 h). Total about 5.9 h.</w:t>
      </w:r>
    </w:p>
    <w:p>
      <w:pPr>
        <w:numPr>
          <w:ilvl w:val="0"/>
          <w:numId w:val="1893"/>
        </w:numPr>
        <w:pStyle w:val="Compact"/>
      </w:pPr>
      <w:r>
        <w:t xml:space="preserve">Twenty sources at 100 MB/s each (2 GB/s) into a 10 Gb/s NIC (1.25 GB/s):</w:t>
      </w:r>
      <w:r>
        <w:t xml:space="preserve"> </w:t>
      </w:r>
      <m:oMath>
        <m:sSub>
          <m:e>
            <m:r>
              <m:t>B</m:t>
            </m:r>
          </m:e>
          <m:sub>
            <m:r>
              <m:rPr>
                <m:nor/>
                <m:sty m:val="p"/>
              </m:rPr>
              <m:t>eff</m:t>
            </m:r>
          </m:sub>
        </m:sSub>
        <m:r>
          <m:rPr>
            <m:sty m:val="p"/>
          </m:rPr>
          <m:t>=</m:t>
        </m:r>
        <m:r>
          <m:t>1.25</m:t>
        </m:r>
      </m:oMath>
      <w:r>
        <w:t xml:space="preserve"> </w:t>
      </w:r>
      <w:r>
        <w:t xml:space="preserve">GB/s; copy</w:t>
      </w:r>
      <w:r>
        <w:t xml:space="preserve"> </w:t>
      </w:r>
      <m:oMath>
        <m:r>
          <m:rPr>
            <m:sty m:val="p"/>
          </m:rPr>
          <m:t>=</m:t>
        </m:r>
        <m:r>
          <m:t>1</m:t>
        </m:r>
        <m:r>
          <m:rPr>
            <m:sty m:val="p"/>
          </m:rPr>
          <m:t>,</m:t>
        </m:r>
        <m:r>
          <m:t>600</m:t>
        </m:r>
      </m:oMath>
      <w:r>
        <w:t xml:space="preserve"> </w:t>
      </w:r>
      <w:r>
        <w:t xml:space="preserve">s (27 min). Backlog</w:t>
      </w:r>
      <w:r>
        <w:t xml:space="preserve"> </w:t>
      </w:r>
      <m:oMath>
        <m:r>
          <m:t>8</m:t>
        </m:r>
        <m:r>
          <m:rPr>
            <m:sty m:val="p"/>
          </m:rPr>
          <m:t>×</m:t>
        </m:r>
        <m:sSup>
          <m:e>
            <m:r>
              <m:t>10</m:t>
            </m:r>
          </m:e>
          <m:sup>
            <m:r>
              <m:t>6</m:t>
            </m:r>
          </m:sup>
        </m:sSup>
      </m:oMath>
      <w:r>
        <w:t xml:space="preserve">; catch-up 2,667 s (44 min). Total about 71 min.</w:t>
      </w:r>
    </w:p>
    <w:p>
      <w:pPr>
        <w:numPr>
          <w:ilvl w:val="0"/>
          <w:numId w:val="1893"/>
        </w:numPr>
        <w:pStyle w:val="Compact"/>
      </w:pPr>
      <w:r>
        <w:t xml:space="preserve">Durability during recovery: from §4.16, the chance of losing a three-way replicated item grows with the square of repair time, so cutting 21,333 s to 4,267 s improves it by about</w:t>
      </w:r>
      <w:r>
        <w:t xml:space="preserve"> </w:t>
      </w:r>
      <m:oMath>
        <m:sSup>
          <m:e>
            <m:d>
              <m:dPr>
                <m:begChr m:val="("/>
                <m:endChr m:val=")"/>
                <m:sepChr m:val=""/>
                <m:grow/>
              </m:dPr>
              <m:e>
                <m:r>
                  <m:t>21</m:t>
                </m:r>
                <m:r>
                  <m:rPr>
                    <m:sty m:val="p"/>
                  </m:rPr>
                  <m:t>,</m:t>
                </m:r>
                <m:r>
                  <m:t>333</m:t>
                </m:r>
                <m:r>
                  <m:rPr>
                    <m:sty m:val="p"/>
                  </m:rPr>
                  <m:t>/</m:t>
                </m:r>
                <m:r>
                  <m:t>4</m:t>
                </m:r>
                <m:r>
                  <m:rPr>
                    <m:sty m:val="p"/>
                  </m:rPr>
                  <m:t>,</m:t>
                </m:r>
                <m:r>
                  <m:t>267</m:t>
                </m:r>
              </m:e>
            </m:d>
          </m:e>
          <m:sup>
            <m:r>
              <m:t>2</m:t>
            </m:r>
          </m:sup>
        </m:sSup>
        <m:r>
          <m:rPr>
            <m:sty m:val="p"/>
          </m:rPr>
          <m:t>=</m:t>
        </m:r>
        <m:sSup>
          <m:e>
            <m:r>
              <m:t>5</m:t>
            </m:r>
          </m:e>
          <m:sup>
            <m:r>
              <m:t>2</m:t>
            </m:r>
          </m:sup>
        </m:sSup>
        <m:r>
          <m:rPr>
            <m:sty m:val="p"/>
          </m:rPr>
          <m:t>=</m:t>
        </m:r>
        <m:r>
          <m:t>25</m:t>
        </m:r>
      </m:oMath>
      <w:r>
        <w:t xml:space="preserve"> </w:t>
      </w:r>
      <w:r>
        <w:t xml:space="preserve">times.</w:t>
      </w:r>
    </w:p>
    <w:p>
      <w:pPr>
        <w:pStyle w:val="CalloutExample"/>
      </w:pPr>
      <w:r>
        <w:rPr>
          <w:bCs/>
          <w:b/>
        </w:rPr>
        <w:t xml:space="preserve">Interpretation.</w:t>
      </w:r>
      <w:r>
        <w:t xml:space="preserve"> </w:t>
      </w:r>
      <w:r>
        <w:t xml:space="preserve">Recovery time is dominated by copy bandwidth and by apply headroom, and parallel sources help only until the receiver saturates.</w:t>
      </w:r>
      <w:r>
        <w:t xml:space="preserve"> </w:t>
      </w:r>
      <w:r>
        <w:rPr>
          <w:bCs/>
          <w:b/>
        </w:rPr>
        <w:t xml:space="preserve">Engineering implication.</w:t>
      </w:r>
      <w:r>
        <w:t xml:space="preserve"> </w:t>
      </w:r>
      <w:r>
        <w:t xml:space="preserve">Spread replicas with virtual nodes, keep apply headroom, and retain enough log that short outages never need a full copy.</w:t>
      </w:r>
    </w:p>
    <w:p>
      <w:pPr>
        <w:pStyle w:val="CalloutWarning"/>
      </w:pPr>
      <w:r>
        <w:rPr>
          <w:bCs/>
          <w:b/>
        </w:rPr>
        <w:t xml:space="preserve">WARNING / TRADE-OFF</w:t>
      </w:r>
    </w:p>
    <w:p>
      <w:pPr>
        <w:pStyle w:val="CalloutWarning"/>
      </w:pPr>
      <w:r>
        <w:rPr>
          <w:bCs/>
          <w:b/>
        </w:rPr>
        <w:t xml:space="preserve">Warning — A rejoining replica can resurrect deleted data.</w:t>
      </w:r>
      <w:r>
        <w:t xml:space="preserve"> </w:t>
      </w:r>
      <w:r>
        <w:t xml:space="preserve">Leaderless stores record deletes as</w:t>
      </w:r>
      <w:r>
        <w:t xml:space="preserve"> </w:t>
      </w:r>
      <w:r>
        <w:rPr>
          <w:bCs/>
          <w:b/>
        </w:rPr>
        <w:t xml:space="preserve">tombstones</w:t>
      </w:r>
      <w:r>
        <w:t xml:space="preserve"> </w:t>
      </w:r>
      <w:r>
        <w:t xml:space="preserve">and purge them after a grace period (Cassandra’s</w:t>
      </w:r>
      <w:r>
        <w:t xml:space="preserve"> </w:t>
      </w:r>
      <w:r>
        <w:rPr>
          <w:rStyle w:val="VerbatimChar"/>
        </w:rPr>
        <w:t xml:space="preserve">gc_grace_seconds</w:t>
      </w:r>
      <w:r>
        <w:t xml:space="preserve">, 10 days by default). A replica that was down longer than that, or never repaired within it, still holds the deleted rows and will spread them back. Repair every replica within the grace period, and never return a long-dead node without a full repair.</w:t>
      </w:r>
    </w:p>
    <w:bookmarkEnd w:id="3088"/>
    <w:bookmarkEnd w:id="3089"/>
    <w:bookmarkEnd w:id="3090"/>
    <w:bookmarkStart w:id="3095" w:name="anti-entropy-and-read-repair"/>
    <w:p>
      <w:pPr>
        <w:pStyle w:val="Heading2"/>
      </w:pPr>
      <w:r>
        <w:t xml:space="preserve">27.13 Anti-entropy and read repair</w:t>
      </w:r>
    </w:p>
    <w:bookmarkStart w:id="3094" w:name="X9b19cb826ea837843ea84981ded46e012e6dac3"/>
    <w:p>
      <w:pPr>
        <w:pStyle w:val="Heading3"/>
      </w:pPr>
      <w:r>
        <w:t xml:space="preserve">27.13.1 Repairing on the read path and in the background</w:t>
      </w:r>
    </w:p>
    <w:p>
      <w:pPr>
        <w:pStyle w:val="CalloutDefinition"/>
      </w:pPr>
      <w:r>
        <w:rPr>
          <w:bCs/>
          <w:b/>
        </w:rPr>
        <w:t xml:space="preserve">DEFINITION</w:t>
      </w:r>
    </w:p>
    <w:p>
      <w:pPr>
        <w:pStyle w:val="CalloutDefinition"/>
      </w:pPr>
      <w:r>
        <w:rPr>
          <w:bCs/>
          <w:b/>
        </w:rPr>
        <w:t xml:space="preserve">Definition — Read repair and anti-entropy.</w:t>
      </w:r>
      <w:r>
        <w:t xml:space="preserve"> </w:t>
      </w:r>
      <w:r>
        <w:rPr>
          <w:bCs/>
          <w:b/>
        </w:rPr>
        <w:t xml:space="preserve">Read repair</w:t>
      </w:r>
      <w:r>
        <w:t xml:space="preserve"> </w:t>
      </w:r>
      <w:r>
        <w:t xml:space="preserve">fixes stale replicas discovered while serving a read: the coordinator writes the newest version back to replicas that returned older ones.</w:t>
      </w:r>
      <w:r>
        <w:t xml:space="preserve"> </w:t>
      </w:r>
      <w:r>
        <w:rPr>
          <w:bCs/>
          <w:b/>
        </w:rPr>
        <w:t xml:space="preserve">Anti-entropy</w:t>
      </w:r>
      <w:r>
        <w:t xml:space="preserve"> </w:t>
      </w:r>
      <w:r>
        <w:t xml:space="preserve">is a background process that compares whole replicas, typically with Merkle trees, and copies the differences [DeCandia et al. 2007; Demers et al. 1987].</w:t>
      </w:r>
    </w:p>
    <w:p>
      <w:pPr>
        <w:pStyle w:val="BodyText"/>
      </w:pPr>
      <w:r>
        <w:t xml:space="preserve">Hints can be lost and cover only short outages. Two further mechanisms close the gaps:</w:t>
      </w:r>
    </w:p>
    <w:p>
      <w:pPr>
        <w:numPr>
          <w:ilvl w:val="0"/>
          <w:numId w:val="1894"/>
        </w:numPr>
        <w:pStyle w:val="Compact"/>
      </w:pPr>
      <w:r>
        <w:rPr>
          <w:bCs/>
          <w:b/>
        </w:rPr>
        <w:t xml:space="preserve">Read repair.</w:t>
      </w:r>
      <w:r>
        <w:t xml:space="preserve"> </w:t>
      </w:r>
      <w:r>
        <w:t xml:space="preserve">On a read the coordinator compares versions, usually by requesting full data from one replica and digests (hashes) from the others. On a mismatch it fetches full data, computes the newest version, returns it and writes it back to the stale replicas.</w:t>
      </w:r>
      <w:r>
        <w:t xml:space="preserve"> </w:t>
      </w:r>
      <w:r>
        <w:rPr>
          <w:bCs/>
          <w:b/>
        </w:rPr>
        <w:t xml:space="preserve">Blocking</w:t>
      </w:r>
      <w:r>
        <w:t xml:space="preserve"> </w:t>
      </w:r>
      <w:r>
        <w:t xml:space="preserve">read repair finishes the write-back before replying, which is what prevents the anomaly of Figure 27.7;</w:t>
      </w:r>
      <w:r>
        <w:t xml:space="preserve"> </w:t>
      </w:r>
      <w:r>
        <w:rPr>
          <w:bCs/>
          <w:b/>
        </w:rPr>
        <w:t xml:space="preserve">asynchronous</w:t>
      </w:r>
      <w:r>
        <w:t xml:space="preserve"> </w:t>
      </w:r>
      <w:r>
        <w:t xml:space="preserve">read repair replies first. Read repair only fixes keys that are read, so rarely read keys can stay divergent indefinitely.</w:t>
      </w:r>
    </w:p>
    <w:p>
      <w:pPr>
        <w:numPr>
          <w:ilvl w:val="0"/>
          <w:numId w:val="1894"/>
        </w:numPr>
        <w:pStyle w:val="Compact"/>
      </w:pPr>
      <w:r>
        <w:rPr>
          <w:bCs/>
          <w:b/>
        </w:rPr>
        <w:t xml:space="preserve">Merkle-tree anti-entropy.</w:t>
      </w:r>
      <w:r>
        <w:t xml:space="preserve"> </w:t>
      </w:r>
      <w:r>
        <w:t xml:space="preserve">Each replica builds a hash tree over each key range (§17.8). Two replicas compare roots, descend only into differing subtrees and stream only the divergent leaf ranges. For two replicas of a million-leaf tree that differ in two leaves, this compares about 80 hashes instead of the whole data set (§17.8).</w:t>
      </w:r>
    </w:p>
    <w:p>
      <w:pPr>
        <w:pStyle w:val="FirstParagraph"/>
      </w:pPr>
      <w:r>
        <w:rPr>
          <w:bCs/>
          <w:b/>
        </w:rPr>
        <w:t xml:space="preserve">Figure 27.12 — Blocking read repair with R = 2.</w:t>
      </w:r>
    </w:p>
    <w:p>
      <w:pPr>
        <w:pStyle w:val="BodyText"/>
      </w:pPr>
      <w:r>
        <w:drawing>
          <wp:inline>
            <wp:extent cx="5334000" cy="3611562"/>
            <wp:effectExtent b="0" l="0" r="0" t="0"/>
            <wp:docPr descr="" title="" id="3092" name="Picture"/>
            <a:graphic>
              <a:graphicData uri="http://schemas.openxmlformats.org/drawingml/2006/picture">
                <pic:pic>
                  <pic:nvPicPr>
                    <pic:cNvPr descr="/home/user/System-Design/build/.cache/diagrams/d75524746ae5.png" id="3093" name="Picture"/>
                    <pic:cNvPicPr>
                      <a:picLocks noChangeArrowheads="1" noChangeAspect="1"/>
                    </pic:cNvPicPr>
                  </pic:nvPicPr>
                  <pic:blipFill>
                    <a:blip r:embed="rId3091"/>
                    <a:stretch>
                      <a:fillRect/>
                    </a:stretch>
                  </pic:blipFill>
                  <pic:spPr bwMode="auto">
                    <a:xfrm>
                      <a:off x="0" y="0"/>
                      <a:ext cx="5334000" cy="3611562"/>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All calls are synchronous. Asking one replica for data and others for digests saves bandwidth when replicas agree, the common case. On a mismatch the coordinator fetches B’s value, picks the newer one by timestamp (or by version vector), writes it to B and only then replies, so any later quorum read must meet a replica holding v2. The storage boundary is each replica’s local store. Failure points: the extra round trips on mismatches inflate read tail latency, and a write-back racing a newer concurrent write must not overwrite it, which version comparison prevents.</w:t>
      </w:r>
    </w:p>
    <w:p>
      <w:pPr>
        <w:pStyle w:val="CalloutIndustry"/>
      </w:pPr>
      <w:r>
        <w:rPr>
          <w:bCs/>
          <w:b/>
        </w:rPr>
        <w:t xml:space="preserve">INDUSTRY EXAMPLE</w:t>
      </w:r>
    </w:p>
    <w:p>
      <w:pPr>
        <w:pStyle w:val="CalloutIndustry"/>
      </w:pPr>
      <w:r>
        <w:rPr>
          <w:bCs/>
          <w:b/>
        </w:rPr>
        <w:t xml:space="preserve">Cassandra repair.</w:t>
      </w:r>
      <w:r>
        <w:t xml:space="preserve"> </w:t>
      </w:r>
      <w:r>
        <w:t xml:space="preserve">Cassandra’s</w:t>
      </w:r>
      <w:r>
        <w:t xml:space="preserve"> </w:t>
      </w:r>
      <w:r>
        <w:rPr>
          <w:rStyle w:val="VerbatimChar"/>
        </w:rPr>
        <w:t xml:space="preserve">nodetool repair</w:t>
      </w:r>
      <w:r>
        <w:t xml:space="preserve"> </w:t>
      </w:r>
      <w:r>
        <w:t xml:space="preserve">builds Merkle trees per token range on each replica, compares them and streams mismatched ranges; incremental repair limits the work to data written since the last repair. Operators are told to repair every node within</w:t>
      </w:r>
      <w:r>
        <w:t xml:space="preserve"> </w:t>
      </w:r>
      <w:r>
        <w:rPr>
          <w:rStyle w:val="VerbatimChar"/>
        </w:rPr>
        <w:t xml:space="preserve">gc_grace_seconds</w:t>
      </w:r>
      <w:r>
        <w:t xml:space="preserve"> </w:t>
      </w:r>
      <w:r>
        <w:t xml:space="preserve">so that tombstones reach every replica before they are purged.</w:t>
      </w:r>
      <w:r>
        <w:t xml:space="preserve"> </w:t>
      </w:r>
      <w:r>
        <w:rPr>
          <w:iCs/>
          <w:i/>
        </w:rPr>
        <w:t xml:space="preserve">Evidence: Primary</w:t>
      </w:r>
      <w:r>
        <w:t xml:space="preserve"> </w:t>
      </w:r>
      <w:r>
        <w:t xml:space="preserve">— [Apache Cassandra Docs: Repair]</w:t>
      </w:r>
    </w:p>
    <w:bookmarkEnd w:id="3094"/>
    <w:bookmarkEnd w:id="3095"/>
    <w:bookmarkStart w:id="3107" w:name="X8c9b52ae2fcc9df7c46a26eb90f65af741e5f17"/>
    <w:p>
      <w:pPr>
        <w:pStyle w:val="Heading2"/>
      </w:pPr>
      <w:r>
        <w:t xml:space="preserve">27.14 Conflict resolution: LWW, version vectors and CRDTs</w:t>
      </w:r>
    </w:p>
    <w:bookmarkStart w:id="3096" w:name="last-writer-wins"/>
    <w:p>
      <w:pPr>
        <w:pStyle w:val="Heading3"/>
      </w:pPr>
      <w:r>
        <w:t xml:space="preserve">27.14.1 Last-writer-wins</w:t>
      </w:r>
    </w:p>
    <w:p>
      <w:pPr>
        <w:pStyle w:val="CalloutDefinition"/>
      </w:pPr>
      <w:r>
        <w:rPr>
          <w:bCs/>
          <w:b/>
        </w:rPr>
        <w:t xml:space="preserve">DEFINITION</w:t>
      </w:r>
    </w:p>
    <w:p>
      <w:pPr>
        <w:pStyle w:val="CalloutDefinition"/>
      </w:pPr>
      <w:r>
        <w:rPr>
          <w:bCs/>
          <w:b/>
        </w:rPr>
        <w:t xml:space="preserve">Definition — Last-writer-wins (LWW).</w:t>
      </w:r>
      <w:r>
        <w:t xml:space="preserve"> </w:t>
      </w:r>
      <w:r>
        <w:t xml:space="preserve">Each write carries a timestamp, and when replicas hold different values for an item, the one with the greatest timestamp is kept and the others are discarded.</w:t>
      </w:r>
    </w:p>
    <w:p>
      <w:pPr>
        <w:pStyle w:val="BodyText"/>
      </w:pPr>
      <w:r>
        <w:t xml:space="preserve">LWW is simple, needs no application code and always converges, which is why Cassandra and DynamoDB global tables use it. Its cost is</w:t>
      </w:r>
      <w:r>
        <w:t xml:space="preserve"> </w:t>
      </w:r>
      <w:r>
        <w:rPr>
          <w:bCs/>
          <w:b/>
        </w:rPr>
        <w:t xml:space="preserve">silent data loss</w:t>
      </w:r>
      <w:r>
        <w:t xml:space="preserve">: of two concurrent writes, one is discarded even though both were acknowledged. Worse,</w:t>
      </w:r>
      <w:r>
        <w:t xml:space="preserve"> </w:t>
      </w:r>
      <w:r>
        <w:t xml:space="preserve">“</w:t>
      </w:r>
      <w:r>
        <w:t xml:space="preserve">last</w:t>
      </w:r>
      <w:r>
        <w:t xml:space="preserve">”</w:t>
      </w:r>
      <w:r>
        <w:t xml:space="preserve"> </w:t>
      </w:r>
      <w:r>
        <w:t xml:space="preserve">is decided by clocks that can disagree by milliseconds or more (§24.9; §24.9.6 derives the danger window), so a write that happened</w:t>
      </w:r>
      <w:r>
        <w:t xml:space="preserve"> </w:t>
      </w:r>
      <w:r>
        <w:rPr>
          <w:iCs/>
          <w:i/>
        </w:rPr>
        <w:t xml:space="preserve">later</w:t>
      </w:r>
      <w:r>
        <w:t xml:space="preserve"> </w:t>
      </w:r>
      <w:r>
        <w:t xml:space="preserve">in real time can lose to one whose node’s clock runs fast.</w:t>
      </w:r>
    </w:p>
    <w:p>
      <w:pPr>
        <w:pStyle w:val="CalloutExample"/>
      </w:pPr>
      <w:r>
        <w:rPr>
          <w:bCs/>
          <w:b/>
        </w:rPr>
        <w:t xml:space="preserve">WORKED EXAMPLE</w:t>
      </w:r>
    </w:p>
    <w:p>
      <w:pPr>
        <w:pStyle w:val="CalloutExample"/>
      </w:pPr>
      <w:r>
        <w:rPr>
          <w:bCs/>
          <w:b/>
        </w:rPr>
        <w:t xml:space="preserve">Worked example — Losing a later write to clock skew.</w:t>
      </w:r>
      <w:r>
        <w:t xml:space="preserve"> </w:t>
      </w:r>
      <w:r>
        <w:t xml:space="preserve">Node A’s clock runs 5 ms fast. At real time 98 ms a client removes</w:t>
      </w:r>
      <w:r>
        <w:t xml:space="preserve"> </w:t>
      </w:r>
      <w:r>
        <w:t xml:space="preserve">“</w:t>
      </w:r>
      <w:r>
        <w:t xml:space="preserve">milk</w:t>
      </w:r>
      <w:r>
        <w:t xml:space="preserve">”</w:t>
      </w:r>
      <w:r>
        <w:t xml:space="preserve"> </w:t>
      </w:r>
      <w:r>
        <w:t xml:space="preserve">from a list through A, stamped 103. At real time 100 ms another client re-adds</w:t>
      </w:r>
      <w:r>
        <w:t xml:space="preserve"> </w:t>
      </w:r>
      <w:r>
        <w:t xml:space="preserve">“</w:t>
      </w:r>
      <w:r>
        <w:t xml:space="preserve">milk</w:t>
      </w:r>
      <w:r>
        <w:t xml:space="preserve">”</w:t>
      </w:r>
      <w:r>
        <w:t xml:space="preserve"> </w:t>
      </w:r>
      <w:r>
        <w:t xml:space="preserve">through B, stamped 100.</w:t>
      </w:r>
    </w:p>
    <w:p>
      <w:pPr>
        <w:numPr>
          <w:ilvl w:val="0"/>
          <w:numId w:val="1895"/>
        </w:numPr>
        <w:pStyle w:val="Compact"/>
      </w:pPr>
      <w:r>
        <w:t xml:space="preserve">Real-time order: remove (98), then add (100). The user expects milk on the list.</w:t>
      </w:r>
    </w:p>
    <w:p>
      <w:pPr>
        <w:numPr>
          <w:ilvl w:val="0"/>
          <w:numId w:val="1895"/>
        </w:numPr>
        <w:pStyle w:val="Compact"/>
      </w:pPr>
      <w:r>
        <w:t xml:space="preserve">LWW order: add (100) &lt; remove (103), so the remove wins on every replica.</w:t>
      </w:r>
    </w:p>
    <w:p>
      <w:pPr>
        <w:numPr>
          <w:ilvl w:val="0"/>
          <w:numId w:val="1895"/>
        </w:numPr>
        <w:pStyle w:val="Compact"/>
      </w:pPr>
      <w:r>
        <w:t xml:space="preserve">Any two writes closer together than the skew bound</w:t>
      </w:r>
      <w:r>
        <w:t xml:space="preserve"> </w:t>
      </w:r>
      <m:oMath>
        <m:r>
          <m:t>ε</m:t>
        </m:r>
      </m:oMath>
      <w:r>
        <w:t xml:space="preserve"> </w:t>
      </w:r>
      <w:r>
        <w:t xml:space="preserve">can be misordered; with</w:t>
      </w:r>
      <w:r>
        <w:t xml:space="preserve"> </w:t>
      </w:r>
      <m:oMath>
        <m:r>
          <m:t>ε</m:t>
        </m:r>
        <m:r>
          <m:rPr>
            <m:sty m:val="p"/>
          </m:rPr>
          <m:t>=</m:t>
        </m:r>
        <m:r>
          <m:t>5</m:t>
        </m:r>
      </m:oMath>
      <w:r>
        <w:t xml:space="preserve"> </w:t>
      </w:r>
      <w:r>
        <w:t xml:space="preserve">ms and a key written 10 times per second, about</w:t>
      </w:r>
      <w:r>
        <w:t xml:space="preserve"> </w:t>
      </w:r>
      <m:oMath>
        <m:r>
          <m:t>10</m:t>
        </m:r>
        <m:r>
          <m:rPr>
            <m:sty m:val="p"/>
          </m:rPr>
          <m:t>×</m:t>
        </m:r>
        <m:r>
          <m:t>0.005</m:t>
        </m:r>
        <m:r>
          <m:rPr>
            <m:sty m:val="p"/>
          </m:rPr>
          <m:t>=</m:t>
        </m:r>
        <m:r>
          <m:t>5</m:t>
        </m:r>
        <m:r>
          <m:rPr>
            <m:sty m:val="p"/>
          </m:rPr>
          <m:t>%</m:t>
        </m:r>
      </m:oMath>
      <w:r>
        <w:t xml:space="preserve"> </w:t>
      </w:r>
      <w:r>
        <w:t xml:space="preserve">of consecutive write pairs fall inside the window.</w:t>
      </w:r>
    </w:p>
    <w:p>
      <w:pPr>
        <w:pStyle w:val="CalloutExample"/>
      </w:pPr>
      <w:r>
        <w:rPr>
          <w:bCs/>
          <w:b/>
        </w:rPr>
        <w:t xml:space="preserve">Interpretation.</w:t>
      </w:r>
      <w:r>
        <w:t xml:space="preserve"> </w:t>
      </w:r>
      <w:r>
        <w:t xml:space="preserve">LWW is correct only when concurrent writes to the same item are rare or interchangeable.</w:t>
      </w:r>
      <w:r>
        <w:t xml:space="preserve"> </w:t>
      </w:r>
      <w:r>
        <w:rPr>
          <w:bCs/>
          <w:b/>
        </w:rPr>
        <w:t xml:space="preserve">Engineering implication.</w:t>
      </w:r>
      <w:r>
        <w:t xml:space="preserve"> </w:t>
      </w:r>
      <w:r>
        <w:t xml:space="preserve">Use LWW for immutable values or keys written by one client (insert-only events, cache entries), and something else for shared mutable state.</w:t>
      </w:r>
    </w:p>
    <w:bookmarkEnd w:id="3096"/>
    <w:bookmarkStart w:id="3100" w:name="version-vectors-and-siblings"/>
    <w:p>
      <w:pPr>
        <w:pStyle w:val="Heading3"/>
      </w:pPr>
      <w:r>
        <w:t xml:space="preserve">27.14.2 Version vectors and siblings</w:t>
      </w:r>
    </w:p>
    <w:p>
      <w:pPr>
        <w:pStyle w:val="FirstParagraph"/>
      </w:pPr>
      <w:r>
        <w:t xml:space="preserve">Instead of picking a winner, a store can</w:t>
      </w:r>
      <w:r>
        <w:t xml:space="preserve"> </w:t>
      </w:r>
      <w:r>
        <w:rPr>
          <w:bCs/>
          <w:b/>
        </w:rPr>
        <w:t xml:space="preserve">detect</w:t>
      </w:r>
      <w:r>
        <w:t xml:space="preserve"> </w:t>
      </w:r>
      <w:r>
        <w:t xml:space="preserve">concurrency and keep every concurrent value as a</w:t>
      </w:r>
      <w:r>
        <w:t xml:space="preserve"> </w:t>
      </w:r>
      <w:r>
        <w:rPr>
          <w:bCs/>
          <w:b/>
        </w:rPr>
        <w:t xml:space="preserve">sibling</w:t>
      </w:r>
      <w:r>
        <w:t xml:space="preserve">, letting the application merge. Detection uses</w:t>
      </w:r>
      <w:r>
        <w:t xml:space="preserve"> </w:t>
      </w:r>
      <w:r>
        <w:rPr>
          <w:bCs/>
          <w:b/>
        </w:rPr>
        <w:t xml:space="preserve">version vectors</w:t>
      </w:r>
      <w:r>
        <w:t xml:space="preserve"> </w:t>
      </w:r>
      <w:r>
        <w:t xml:space="preserve">(§24.11.2; the runnable example of §24.11.3 also shows the same-replica flaw that dotted version vectors, §24.11.5, fix): a map from replica ID to a counter of writes coordinated by that replica.</w:t>
      </w:r>
    </w:p>
    <w:p>
      <w:pPr>
        <w:pStyle w:val="CalloutFormula"/>
      </w:pPr>
      <w:r>
        <w:rPr>
          <w:bCs/>
          <w:b/>
        </w:rPr>
        <w:t xml:space="preserve">FORMULA</w:t>
      </w:r>
    </w:p>
    <w:p>
      <w:pPr>
        <w:pStyle w:val="CalloutFormula"/>
      </w:pPr>
      <w:r>
        <w:rPr>
          <w:bCs/>
          <w:b/>
        </w:rPr>
        <w:t xml:space="preserve">Comparing version vectors</w:t>
      </w:r>
    </w:p>
    <w:p>
      <w:pPr>
        <w:pStyle w:val="CalloutFormula"/>
      </w:pPr>
      <m:oMathPara>
        <m:oMathParaPr>
          <m:jc m:val="center"/>
        </m:oMathParaPr>
        <m:oMath>
          <m:r>
            <m:t>V</m:t>
          </m:r>
          <m:r>
            <m:rPr>
              <m:sty m:val="p"/>
            </m:rPr>
            <m:t>≤</m:t>
          </m:r>
          <m:r>
            <m:t>V</m:t>
          </m:r>
          <m:r>
            <m:rPr>
              <m:sty m:val="p"/>
            </m:rPr>
            <m:t>′</m:t>
          </m:r>
          <m:r>
            <m:rPr>
              <m:sty m:val="p"/>
            </m:rPr>
            <m:t>⇔</m:t>
          </m:r>
          <m:r>
            <m:rPr>
              <m:sty m:val="p"/>
            </m:rPr>
            <m:t>∀</m:t>
          </m:r>
          <m:r>
            <m:t>i</m:t>
          </m:r>
          <m:r>
            <m:rPr>
              <m:sty m:val="p"/>
            </m:rPr>
            <m:t>:</m:t>
          </m:r>
          <m:r>
            <m:t> </m:t>
          </m:r>
          <m:r>
            <m:t>V</m:t>
          </m:r>
          <m:d>
            <m:dPr>
              <m:begChr m:val="["/>
              <m:endChr m:val="]"/>
              <m:sepChr m:val=""/>
              <m:grow/>
            </m:dPr>
            <m:e>
              <m:r>
                <m:t>i</m:t>
              </m:r>
            </m:e>
          </m:d>
          <m:r>
            <m:rPr>
              <m:sty m:val="p"/>
            </m:rPr>
            <m:t>≤</m:t>
          </m:r>
          <m:r>
            <m:t>V</m:t>
          </m:r>
          <m:r>
            <m:rPr>
              <m:sty m:val="p"/>
            </m:rPr>
            <m:t>′</m:t>
          </m:r>
          <m:d>
            <m:dPr>
              <m:begChr m:val="["/>
              <m:endChr m:val="]"/>
              <m:sepChr m:val=""/>
              <m:grow/>
            </m:dPr>
            <m:e>
              <m:r>
                <m:t>i</m:t>
              </m:r>
            </m:e>
          </m:d>
          <m:r>
            <m:t>  </m:t>
          </m:r>
          <m:r>
            <m:t>V</m:t>
          </m:r>
          <m:r>
            <m:rPr>
              <m:sty m:val="p"/>
            </m:rPr>
            <m:t>∥</m:t>
          </m:r>
          <m:r>
            <m:t>V</m:t>
          </m:r>
          <m:r>
            <m:rPr>
              <m:sty m:val="p"/>
            </m:rPr>
            <m:t>′</m:t>
          </m:r>
          <m:r>
            <m:rPr>
              <m:sty m:val="p"/>
            </m:rPr>
            <m:t>⇔</m:t>
          </m:r>
          <m:r>
            <m:t>V</m:t>
          </m:r>
          <m:r>
            <m:rPr>
              <m:sty m:val="p"/>
            </m:rPr>
            <m:t>≰</m:t>
          </m:r>
          <m:r>
            <m:t>V</m:t>
          </m:r>
          <m:r>
            <m:rPr>
              <m:sty m:val="p"/>
            </m:rPr>
            <m:t>′</m:t>
          </m:r>
          <m:r>
            <m:t> </m:t>
          </m:r>
          <m:r>
            <m:rPr>
              <m:sty m:val="p"/>
            </m:rPr>
            <m:t>∧</m:t>
          </m:r>
          <m:r>
            <m:t> </m:t>
          </m:r>
          <m:r>
            <m:t>V</m:t>
          </m:r>
          <m:r>
            <m:rPr>
              <m:sty m:val="p"/>
            </m:rPr>
            <m:t>′</m:t>
          </m:r>
          <m:r>
            <m:rPr>
              <m:sty m:val="p"/>
            </m:rPr>
            <m:t>≰</m:t>
          </m:r>
          <m:r>
            <m:t>V</m:t>
          </m:r>
          <m:r>
            <m:t>  </m:t>
          </m:r>
          <m:r>
            <m:rPr>
              <m:nor/>
              <m:sty m:val="p"/>
            </m:rPr>
            <m:t>merge: </m:t>
          </m:r>
          <m:d>
            <m:dPr>
              <m:begChr m:val="("/>
              <m:endChr m:val=")"/>
              <m:sepChr m:val=""/>
              <m:grow/>
            </m:dPr>
            <m:e>
              <m:r>
                <m:t>V</m:t>
              </m:r>
              <m:r>
                <m:rPr>
                  <m:sty m:val="p"/>
                </m:rPr>
                <m:t>⊔</m:t>
              </m:r>
              <m:r>
                <m:t>V</m:t>
              </m:r>
              <m:r>
                <m:rPr>
                  <m:sty m:val="p"/>
                </m:rPr>
                <m:t>′</m:t>
              </m:r>
            </m:e>
          </m:d>
          <m:d>
            <m:dPr>
              <m:begChr m:val="["/>
              <m:endChr m:val="]"/>
              <m:sepChr m:val=""/>
              <m:grow/>
            </m:dPr>
            <m:e>
              <m:r>
                <m:t>i</m:t>
              </m:r>
            </m:e>
          </m:d>
          <m:r>
            <m:rPr>
              <m:sty m:val="p"/>
            </m:rPr>
            <m:t>=</m:t>
          </m:r>
          <m:r>
            <m:rPr>
              <m:sty m:val="p"/>
            </m:rPr>
            <m:t>max</m:t>
          </m:r>
          <m:d>
            <m:dPr>
              <m:begChr m:val="("/>
              <m:endChr m:val=")"/>
              <m:sepChr m:val=""/>
              <m:grow/>
            </m:dPr>
            <m:e>
              <m:r>
                <m:t>V</m:t>
              </m:r>
              <m:d>
                <m:dPr>
                  <m:begChr m:val="["/>
                  <m:endChr m:val="]"/>
                  <m:sepChr m:val=""/>
                  <m:grow/>
                </m:dPr>
                <m:e>
                  <m:r>
                    <m:t>i</m:t>
                  </m:r>
                </m:e>
              </m:d>
              <m:r>
                <m:rPr>
                  <m:sty m:val="p"/>
                </m:rPr>
                <m:t>,</m:t>
              </m:r>
              <m:r>
                <m:t>V</m:t>
              </m:r>
              <m:r>
                <m:rPr>
                  <m:sty m:val="p"/>
                </m:rPr>
                <m:t>′</m:t>
              </m:r>
              <m:d>
                <m:dPr>
                  <m:begChr m:val="["/>
                  <m:endChr m:val="]"/>
                  <m:sepChr m:val=""/>
                  <m:grow/>
                </m:dPr>
                <m:e>
                  <m:r>
                    <m:t>i</m:t>
                  </m:r>
                </m:e>
              </m:d>
            </m:e>
          </m:d>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V</m:t>
              </m:r>
              <m:r>
                <m:rPr>
                  <m:sty m:val="p"/>
                </m:rPr>
                <m:t>,</m:t>
              </m:r>
              <m:r>
                <m:t>V</m:t>
              </m:r>
              <m:r>
                <m:rPr>
                  <m:sty m:val="p"/>
                </m:rPr>
                <m:t>′</m:t>
              </m:r>
            </m:oMath>
          </w:p>
        </w:tc>
        <w:tc>
          <w:tcPr/>
          <w:p>
            <w:pPr>
              <w:pStyle w:val="Compact"/>
              <w:jc w:val="left"/>
            </w:pPr>
            <w:r>
              <w:t xml:space="preserve">Version vectors of two versions of the same item</w:t>
            </w:r>
          </w:p>
        </w:tc>
        <w:tc>
          <w:tcPr/>
          <w:p>
            <w:pPr>
              <w:pStyle w:val="Compact"/>
              <w:jc w:val="left"/>
            </w:pPr>
            <w:r>
              <w:t xml:space="preserve">counters per replica</w:t>
            </w:r>
          </w:p>
        </w:tc>
      </w:tr>
      <w:tr>
        <w:tc>
          <w:tcPr/>
          <w:p>
            <w:pPr>
              <w:pStyle w:val="Compact"/>
              <w:jc w:val="left"/>
            </w:pPr>
            <m:oMath>
              <m:r>
                <m:t>V</m:t>
              </m:r>
              <m:d>
                <m:dPr>
                  <m:begChr m:val="["/>
                  <m:endChr m:val="]"/>
                  <m:sepChr m:val=""/>
                  <m:grow/>
                </m:dPr>
                <m:e>
                  <m:r>
                    <m:t>i</m:t>
                  </m:r>
                </m:e>
              </m:d>
            </m:oMath>
          </w:p>
        </w:tc>
        <w:tc>
          <w:tcPr/>
          <w:p>
            <w:pPr>
              <w:pStyle w:val="Compact"/>
              <w:jc w:val="left"/>
            </w:pPr>
            <w:r>
              <w:t xml:space="preserve">Number of writes to the item coordinated by replica</w:t>
            </w:r>
            <w:r>
              <w:t xml:space="preserve"> </w:t>
            </w:r>
            <m:oMath>
              <m:r>
                <m:t>i</m:t>
              </m:r>
            </m:oMath>
            <w:r>
              <w:t xml:space="preserve"> </w:t>
            </w:r>
            <w:r>
              <w:t xml:space="preserve">that this version has seen</w:t>
            </w:r>
          </w:p>
        </w:tc>
        <w:tc>
          <w:tcPr/>
          <w:p>
            <w:pPr>
              <w:pStyle w:val="Compact"/>
              <w:jc w:val="left"/>
            </w:pPr>
            <w:r>
              <w:t xml:space="preserve">count</w:t>
            </w:r>
          </w:p>
        </w:tc>
      </w:tr>
      <w:tr>
        <w:tc>
          <w:tcPr/>
          <w:p>
            <w:pPr>
              <w:pStyle w:val="Compact"/>
              <w:jc w:val="left"/>
            </w:pPr>
            <m:oMath>
              <m:r>
                <m:t>V</m:t>
              </m:r>
              <m:r>
                <m:rPr>
                  <m:sty m:val="p"/>
                </m:rPr>
                <m:t>≤</m:t>
              </m:r>
              <m:r>
                <m:t>V</m:t>
              </m:r>
              <m:r>
                <m:rPr>
                  <m:sty m:val="p"/>
                </m:rPr>
                <m:t>′</m:t>
              </m:r>
            </m:oMath>
          </w:p>
        </w:tc>
        <w:tc>
          <w:tcPr/>
          <w:p>
            <w:pPr>
              <w:pStyle w:val="Compact"/>
              <w:jc w:val="left"/>
            </w:pPr>
            <m:oMath>
              <m:r>
                <m:t>V</m:t>
              </m:r>
              <m:r>
                <m:rPr>
                  <m:sty m:val="p"/>
                </m:rPr>
                <m:t>′</m:t>
              </m:r>
            </m:oMath>
            <w:r>
              <w:t xml:space="preserve"> </w:t>
            </w:r>
            <w:r>
              <w:t xml:space="preserve">descends from</w:t>
            </w:r>
            <w:r>
              <w:t xml:space="preserve"> </w:t>
            </w:r>
            <m:oMath>
              <m:r>
                <m:t>V</m:t>
              </m:r>
            </m:oMath>
            <w:r>
              <w:t xml:space="preserve">, so</w:t>
            </w:r>
            <w:r>
              <w:t xml:space="preserve"> </w:t>
            </w:r>
            <m:oMath>
              <m:r>
                <m:t>V</m:t>
              </m:r>
            </m:oMath>
            <w:r>
              <w:t xml:space="preserve"> </w:t>
            </w:r>
            <w:r>
              <w:t xml:space="preserve">can be discarded</w:t>
            </w:r>
          </w:p>
        </w:tc>
        <w:tc>
          <w:tcPr/>
          <w:p>
            <w:pPr>
              <w:pStyle w:val="Compact"/>
              <w:jc w:val="left"/>
            </w:pPr>
            <w:r>
              <w:t xml:space="preserve">—</w:t>
            </w:r>
          </w:p>
        </w:tc>
      </w:tr>
      <w:tr>
        <w:tc>
          <w:tcPr/>
          <w:p>
            <w:pPr>
              <w:pStyle w:val="Compact"/>
              <w:jc w:val="left"/>
            </w:pPr>
            <m:oMath>
              <m:r>
                <m:t>V</m:t>
              </m:r>
              <m:r>
                <m:rPr>
                  <m:sty m:val="p"/>
                </m:rPr>
                <m:t>∥</m:t>
              </m:r>
              <m:r>
                <m:t>V</m:t>
              </m:r>
              <m:r>
                <m:rPr>
                  <m:sty m:val="p"/>
                </m:rPr>
                <m:t>′</m:t>
              </m:r>
            </m:oMath>
          </w:p>
        </w:tc>
        <w:tc>
          <w:tcPr/>
          <w:p>
            <w:pPr>
              <w:pStyle w:val="Compact"/>
              <w:jc w:val="left"/>
            </w:pPr>
            <w:r>
              <w:t xml:space="preserve">The versions are concurrent: keep both as siblings</w:t>
            </w:r>
          </w:p>
        </w:tc>
        <w:tc>
          <w:tcPr/>
          <w:p>
            <w:pPr>
              <w:pStyle w:val="Compact"/>
              <w:jc w:val="left"/>
            </w:pPr>
            <w:r>
              <w:t xml:space="preserve">—</w:t>
            </w:r>
          </w:p>
        </w:tc>
      </w:tr>
      <w:tr>
        <w:tc>
          <w:tcPr/>
          <w:p>
            <w:pPr>
              <w:pStyle w:val="Compact"/>
              <w:jc w:val="left"/>
            </w:pPr>
            <m:oMath>
              <m:r>
                <m:rPr>
                  <m:sty m:val="p"/>
                </m:rPr>
                <m:t>⊔</m:t>
              </m:r>
            </m:oMath>
          </w:p>
        </w:tc>
        <w:tc>
          <w:tcPr/>
          <w:p>
            <w:pPr>
              <w:pStyle w:val="Compact"/>
              <w:jc w:val="left"/>
            </w:pPr>
            <w:r>
              <w:t xml:space="preserve">Element-wise maximum, the vector of a merged version</w:t>
            </w:r>
          </w:p>
        </w:tc>
        <w:tc>
          <w:tcPr/>
          <w:p>
            <w:pPr>
              <w:pStyle w:val="Compact"/>
              <w:jc w:val="left"/>
            </w:pPr>
            <w:r>
              <w:t xml:space="preserve">—</w:t>
            </w:r>
          </w:p>
        </w:tc>
      </w:tr>
    </w:tbl>
    <w:p>
      <w:pPr>
        <w:pStyle w:val="CalloutExample"/>
      </w:pPr>
      <w:r>
        <w:rPr>
          <w:bCs/>
          <w:b/>
        </w:rPr>
        <w:t xml:space="preserve">WORKED EXAMPLE</w:t>
      </w:r>
    </w:p>
    <w:p>
      <w:pPr>
        <w:pStyle w:val="CalloutExample"/>
      </w:pPr>
      <w:r>
        <w:rPr>
          <w:bCs/>
          <w:b/>
        </w:rPr>
        <w:t xml:space="preserve">Worked example — The Dynamo shopping cart.</w:t>
      </w:r>
      <w:r>
        <w:t xml:space="preserve"> </w:t>
      </w:r>
      <w:r>
        <w:t xml:space="preserve">Following the Dynamo paper’s example, with servers</w:t>
      </w:r>
      <w:r>
        <w:t xml:space="preserve"> </w:t>
      </w:r>
      <m:oMath>
        <m:sSub>
          <m:e>
            <m:r>
              <m:t>S</m:t>
            </m:r>
          </m:e>
          <m:sub>
            <m:r>
              <m:t>x</m:t>
            </m:r>
          </m:sub>
        </m:sSub>
        <m:r>
          <m:rPr>
            <m:sty m:val="p"/>
          </m:rPr>
          <m:t>,</m:t>
        </m:r>
        <m:sSub>
          <m:e>
            <m:r>
              <m:t>S</m:t>
            </m:r>
          </m:e>
          <m:sub>
            <m:r>
              <m:t>y</m:t>
            </m:r>
          </m:sub>
        </m:sSub>
        <m:r>
          <m:rPr>
            <m:sty m:val="p"/>
          </m:rPr>
          <m:t>,</m:t>
        </m:r>
        <m:sSub>
          <m:e>
            <m:r>
              <m:t>S</m:t>
            </m:r>
          </m:e>
          <m:sub>
            <m:r>
              <m:t>z</m:t>
            </m:r>
          </m:sub>
        </m:sSub>
      </m:oMath>
      <w:r>
        <w:t xml:space="preserve">:</w:t>
      </w:r>
    </w:p>
    <w:p>
      <w:pPr>
        <w:numPr>
          <w:ilvl w:val="0"/>
          <w:numId w:val="1896"/>
        </w:numPr>
        <w:pStyle w:val="Compact"/>
      </w:pPr>
      <w:r>
        <w:t xml:space="preserve">A write coordinated by</w:t>
      </w:r>
      <w:r>
        <w:t xml:space="preserve"> </w:t>
      </w:r>
      <m:oMath>
        <m:sSub>
          <m:e>
            <m:r>
              <m:t>S</m:t>
            </m:r>
          </m:e>
          <m:sub>
            <m:r>
              <m:t>x</m:t>
            </m:r>
          </m:sub>
        </m:sSub>
      </m:oMath>
      <w:r>
        <w:t xml:space="preserve"> </w:t>
      </w:r>
      <w:r>
        <w:t xml:space="preserve">creates D1 with</w:t>
      </w:r>
      <w:r>
        <w:t xml:space="preserve"> </w:t>
      </w:r>
      <m:oMath>
        <m:r>
          <m:rPr>
            <m:sty m:val="p"/>
          </m:rPr>
          <m:t>{</m:t>
        </m:r>
        <m:sSub>
          <m:e>
            <m:r>
              <m:t>S</m:t>
            </m:r>
          </m:e>
          <m:sub>
            <m:r>
              <m:t>x</m:t>
            </m:r>
          </m:sub>
        </m:sSub>
        <m:r>
          <m:rPr>
            <m:sty m:val="p"/>
          </m:rPr>
          <m:t>:</m:t>
        </m:r>
        <m:r>
          <m:t>1</m:t>
        </m:r>
        <m:r>
          <m:rPr>
            <m:sty m:val="p"/>
          </m:rPr>
          <m:t>}</m:t>
        </m:r>
      </m:oMath>
      <w:r>
        <w:t xml:space="preserve">; an update through</w:t>
      </w:r>
      <w:r>
        <w:t xml:space="preserve"> </w:t>
      </w:r>
      <m:oMath>
        <m:sSub>
          <m:e>
            <m:r>
              <m:t>S</m:t>
            </m:r>
          </m:e>
          <m:sub>
            <m:r>
              <m:t>x</m:t>
            </m:r>
          </m:sub>
        </m:sSub>
      </m:oMath>
      <w:r>
        <w:t xml:space="preserve"> </w:t>
      </w:r>
      <w:r>
        <w:t xml:space="preserve">creates D2,</w:t>
      </w:r>
      <w:r>
        <w:t xml:space="preserve"> </w:t>
      </w:r>
      <m:oMath>
        <m:r>
          <m:rPr>
            <m:sty m:val="p"/>
          </m:rPr>
          <m:t>{</m:t>
        </m:r>
        <m:sSub>
          <m:e>
            <m:r>
              <m:t>S</m:t>
            </m:r>
          </m:e>
          <m:sub>
            <m:r>
              <m:t>x</m:t>
            </m:r>
          </m:sub>
        </m:sSub>
        <m:r>
          <m:rPr>
            <m:sty m:val="p"/>
          </m:rPr>
          <m:t>:</m:t>
        </m:r>
        <m:r>
          <m:t>2</m:t>
        </m:r>
        <m:r>
          <m:rPr>
            <m:sty m:val="p"/>
          </m:rPr>
          <m:t>}</m:t>
        </m:r>
      </m:oMath>
      <w:r>
        <w:t xml:space="preserve">. Since</w:t>
      </w:r>
      <w:r>
        <w:t xml:space="preserve"> </w:t>
      </w:r>
      <m:oMath>
        <m:r>
          <m:rPr>
            <m:sty m:val="p"/>
          </m:rPr>
          <m:t>{</m:t>
        </m:r>
        <m:sSub>
          <m:e>
            <m:r>
              <m:t>S</m:t>
            </m:r>
          </m:e>
          <m:sub>
            <m:r>
              <m:t>x</m:t>
            </m:r>
          </m:sub>
        </m:sSub>
        <m:r>
          <m:rPr>
            <m:sty m:val="p"/>
          </m:rPr>
          <m:t>:</m:t>
        </m:r>
        <m:r>
          <m:t>1</m:t>
        </m:r>
        <m:r>
          <m:rPr>
            <m:sty m:val="p"/>
          </m:rPr>
          <m:t>}</m:t>
        </m:r>
        <m:r>
          <m:rPr>
            <m:sty m:val="p"/>
          </m:rPr>
          <m:t>≤</m:t>
        </m:r>
        <m:r>
          <m:rPr>
            <m:sty m:val="p"/>
          </m:rPr>
          <m:t>{</m:t>
        </m:r>
        <m:sSub>
          <m:e>
            <m:r>
              <m:t>S</m:t>
            </m:r>
          </m:e>
          <m:sub>
            <m:r>
              <m:t>x</m:t>
            </m:r>
          </m:sub>
        </m:sSub>
        <m:r>
          <m:rPr>
            <m:sty m:val="p"/>
          </m:rPr>
          <m:t>:</m:t>
        </m:r>
        <m:r>
          <m:t>2</m:t>
        </m:r>
        <m:r>
          <m:rPr>
            <m:sty m:val="p"/>
          </m:rPr>
          <m:t>}</m:t>
        </m:r>
      </m:oMath>
      <w:r>
        <w:t xml:space="preserve">, D1 is discarded.</w:t>
      </w:r>
    </w:p>
    <w:p>
      <w:pPr>
        <w:numPr>
          <w:ilvl w:val="0"/>
          <w:numId w:val="1896"/>
        </w:numPr>
        <w:pStyle w:val="Compact"/>
      </w:pPr>
      <w:r>
        <w:t xml:space="preserve">Two clients read D2 and write concurrently: through</w:t>
      </w:r>
      <w:r>
        <w:t xml:space="preserve"> </w:t>
      </w:r>
      <m:oMath>
        <m:sSub>
          <m:e>
            <m:r>
              <m:t>S</m:t>
            </m:r>
          </m:e>
          <m:sub>
            <m:r>
              <m:t>y</m:t>
            </m:r>
          </m:sub>
        </m:sSub>
      </m:oMath>
      <w:r>
        <w:t xml:space="preserve">, D3</w:t>
      </w:r>
      <w:r>
        <w:t xml:space="preserve"> </w:t>
      </w:r>
      <m:oMath>
        <m:r>
          <m:rPr>
            <m:sty m:val="p"/>
          </m:rPr>
          <m:t>=</m:t>
        </m:r>
        <m:r>
          <m:rPr>
            <m:sty m:val="p"/>
          </m:rPr>
          <m:t>{</m:t>
        </m:r>
        <m:sSub>
          <m:e>
            <m:r>
              <m:t>S</m:t>
            </m:r>
          </m:e>
          <m:sub>
            <m:r>
              <m:t>x</m:t>
            </m:r>
          </m:sub>
        </m:sSub>
        <m:r>
          <m:rPr>
            <m:sty m:val="p"/>
          </m:rPr>
          <m:t>:</m:t>
        </m:r>
        <m:r>
          <m:t>2</m:t>
        </m:r>
        <m:r>
          <m:rPr>
            <m:sty m:val="p"/>
          </m:rPr>
          <m:t>,</m:t>
        </m:r>
        <m:sSub>
          <m:e>
            <m:r>
              <m:t>S</m:t>
            </m:r>
          </m:e>
          <m:sub>
            <m:r>
              <m:t>y</m:t>
            </m:r>
          </m:sub>
        </m:sSub>
        <m:r>
          <m:rPr>
            <m:sty m:val="p"/>
          </m:rPr>
          <m:t>:</m:t>
        </m:r>
        <m:r>
          <m:t>1</m:t>
        </m:r>
        <m:r>
          <m:rPr>
            <m:sty m:val="p"/>
          </m:rPr>
          <m:t>}</m:t>
        </m:r>
      </m:oMath>
      <w:r>
        <w:t xml:space="preserve">; through</w:t>
      </w:r>
      <w:r>
        <w:t xml:space="preserve"> </w:t>
      </w:r>
      <m:oMath>
        <m:sSub>
          <m:e>
            <m:r>
              <m:t>S</m:t>
            </m:r>
          </m:e>
          <m:sub>
            <m:r>
              <m:t>z</m:t>
            </m:r>
          </m:sub>
        </m:sSub>
      </m:oMath>
      <w:r>
        <w:t xml:space="preserve">, D4</w:t>
      </w:r>
      <w:r>
        <w:t xml:space="preserve"> </w:t>
      </w:r>
      <m:oMath>
        <m:r>
          <m:rPr>
            <m:sty m:val="p"/>
          </m:rPr>
          <m:t>=</m:t>
        </m:r>
        <m:r>
          <m:rPr>
            <m:sty m:val="p"/>
          </m:rPr>
          <m:t>{</m:t>
        </m:r>
        <m:sSub>
          <m:e>
            <m:r>
              <m:t>S</m:t>
            </m:r>
          </m:e>
          <m:sub>
            <m:r>
              <m:t>x</m:t>
            </m:r>
          </m:sub>
        </m:sSub>
        <m:r>
          <m:rPr>
            <m:sty m:val="p"/>
          </m:rPr>
          <m:t>:</m:t>
        </m:r>
        <m:r>
          <m:t>2</m:t>
        </m:r>
        <m:r>
          <m:rPr>
            <m:sty m:val="p"/>
          </m:rPr>
          <m:t>,</m:t>
        </m:r>
        <m:sSub>
          <m:e>
            <m:r>
              <m:t>S</m:t>
            </m:r>
          </m:e>
          <m:sub>
            <m:r>
              <m:t>z</m:t>
            </m:r>
          </m:sub>
        </m:sSub>
        <m:r>
          <m:rPr>
            <m:sty m:val="p"/>
          </m:rPr>
          <m:t>:</m:t>
        </m:r>
        <m:r>
          <m:t>1</m:t>
        </m:r>
        <m:r>
          <m:rPr>
            <m:sty m:val="p"/>
          </m:rPr>
          <m:t>}</m:t>
        </m:r>
      </m:oMath>
      <w:r>
        <w:t xml:space="preserve">.</w:t>
      </w:r>
    </w:p>
    <w:p>
      <w:pPr>
        <w:numPr>
          <w:ilvl w:val="0"/>
          <w:numId w:val="1896"/>
        </w:numPr>
        <w:pStyle w:val="Compact"/>
      </w:pPr>
      <w:r>
        <w:t xml:space="preserve">Compare D3 and D4:</w:t>
      </w:r>
      <w:r>
        <w:t xml:space="preserve"> </w:t>
      </w:r>
      <m:oMath>
        <m:sSub>
          <m:e>
            <m:r>
              <m:t>S</m:t>
            </m:r>
          </m:e>
          <m:sub>
            <m:r>
              <m:t>y</m:t>
            </m:r>
          </m:sub>
        </m:sSub>
      </m:oMath>
      <w:r>
        <w:t xml:space="preserve"> </w:t>
      </w:r>
      <w:r>
        <w:t xml:space="preserve">is 1 vs 0 and</w:t>
      </w:r>
      <w:r>
        <w:t xml:space="preserve"> </w:t>
      </w:r>
      <m:oMath>
        <m:sSub>
          <m:e>
            <m:r>
              <m:t>S</m:t>
            </m:r>
          </m:e>
          <m:sub>
            <m:r>
              <m:t>z</m:t>
            </m:r>
          </m:sub>
        </m:sSub>
      </m:oMath>
      <w:r>
        <w:t xml:space="preserve"> </w:t>
      </w:r>
      <w:r>
        <w:t xml:space="preserve">is 0 vs 1, so neither dominates. A read returns both siblings.</w:t>
      </w:r>
    </w:p>
    <w:p>
      <w:pPr>
        <w:numPr>
          <w:ilvl w:val="0"/>
          <w:numId w:val="1896"/>
        </w:numPr>
        <w:pStyle w:val="Compact"/>
      </w:pPr>
      <w:r>
        <w:t xml:space="preserve">The client merges them (for a cart, the union of items) and writes back through</w:t>
      </w:r>
      <w:r>
        <w:t xml:space="preserve"> </w:t>
      </w:r>
      <m:oMath>
        <m:sSub>
          <m:e>
            <m:r>
              <m:t>S</m:t>
            </m:r>
          </m:e>
          <m:sub>
            <m:r>
              <m:t>x</m:t>
            </m:r>
          </m:sub>
        </m:sSub>
      </m:oMath>
      <w:r>
        <w:t xml:space="preserve"> </w:t>
      </w:r>
      <w:r>
        <w:t xml:space="preserve">with the merged context: D5</w:t>
      </w:r>
      <w:r>
        <w:t xml:space="preserve"> </w:t>
      </w:r>
      <m:oMath>
        <m:r>
          <m:rPr>
            <m:sty m:val="p"/>
          </m:rPr>
          <m:t>=</m:t>
        </m:r>
        <m:r>
          <m:rPr>
            <m:sty m:val="p"/>
          </m:rPr>
          <m:t>{</m:t>
        </m:r>
        <m:sSub>
          <m:e>
            <m:r>
              <m:t>S</m:t>
            </m:r>
          </m:e>
          <m:sub>
            <m:r>
              <m:t>x</m:t>
            </m:r>
          </m:sub>
        </m:sSub>
        <m:r>
          <m:rPr>
            <m:sty m:val="p"/>
          </m:rPr>
          <m:t>:</m:t>
        </m:r>
        <m:r>
          <m:t>3</m:t>
        </m:r>
        <m:r>
          <m:rPr>
            <m:sty m:val="p"/>
          </m:rPr>
          <m:t>,</m:t>
        </m:r>
        <m:sSub>
          <m:e>
            <m:r>
              <m:t>S</m:t>
            </m:r>
          </m:e>
          <m:sub>
            <m:r>
              <m:t>y</m:t>
            </m:r>
          </m:sub>
        </m:sSub>
        <m:r>
          <m:rPr>
            <m:sty m:val="p"/>
          </m:rPr>
          <m:t>:</m:t>
        </m:r>
        <m:r>
          <m:t>1</m:t>
        </m:r>
        <m:r>
          <m:rPr>
            <m:sty m:val="p"/>
          </m:rPr>
          <m:t>,</m:t>
        </m:r>
        <m:sSub>
          <m:e>
            <m:r>
              <m:t>S</m:t>
            </m:r>
          </m:e>
          <m:sub>
            <m:r>
              <m:t>z</m:t>
            </m:r>
          </m:sub>
        </m:sSub>
        <m:r>
          <m:rPr>
            <m:sty m:val="p"/>
          </m:rPr>
          <m:t>:</m:t>
        </m:r>
        <m:r>
          <m:t>1</m:t>
        </m:r>
        <m:r>
          <m:rPr>
            <m:sty m:val="p"/>
          </m:rPr>
          <m:t>}</m:t>
        </m:r>
      </m:oMath>
      <w:r>
        <w:t xml:space="preserve">, which dominates both [DeCandia et al. 2007].</w:t>
      </w:r>
    </w:p>
    <w:p>
      <w:pPr>
        <w:pStyle w:val="CalloutExample"/>
      </w:pPr>
      <w:r>
        <w:rPr>
          <w:bCs/>
          <w:b/>
        </w:rPr>
        <w:t xml:space="preserve">Interpretation.</w:t>
      </w:r>
      <w:r>
        <w:t xml:space="preserve"> </w:t>
      </w:r>
      <w:r>
        <w:t xml:space="preserve">No write was lost, but the application had to merge, and a union merge re-adds an item that one sibling had deleted.</w:t>
      </w:r>
      <w:r>
        <w:t xml:space="preserve"> </w:t>
      </w:r>
      <w:r>
        <w:rPr>
          <w:bCs/>
          <w:b/>
        </w:rPr>
        <w:t xml:space="preserve">Engineering implication.</w:t>
      </w:r>
      <w:r>
        <w:t xml:space="preserve"> </w:t>
      </w:r>
      <w:r>
        <w:t xml:space="preserve">Siblings move conflict resolution into application code; give that code a deterministic, tested merge, or use a CRDT.</w:t>
      </w:r>
    </w:p>
    <w:p>
      <w:pPr>
        <w:pStyle w:val="BodyText"/>
      </w:pPr>
      <w:r>
        <w:rPr>
          <w:bCs/>
          <w:b/>
        </w:rPr>
        <w:t xml:space="preserve">Figure 27.13 — Version vectors creating and resolving siblings.</w:t>
      </w:r>
    </w:p>
    <w:p>
      <w:pPr>
        <w:pStyle w:val="BodyText"/>
      </w:pPr>
      <w:r>
        <w:drawing>
          <wp:inline>
            <wp:extent cx="5334000" cy="837969"/>
            <wp:effectExtent b="0" l="0" r="0" t="0"/>
            <wp:docPr descr="" title="" id="3098" name="Picture"/>
            <a:graphic>
              <a:graphicData uri="http://schemas.openxmlformats.org/drawingml/2006/picture">
                <pic:pic>
                  <pic:nvPicPr>
                    <pic:cNvPr descr="/home/user/System-Design/build/.cache/diagrams/29e2cea252d1.png" id="3099" name="Picture"/>
                    <pic:cNvPicPr>
                      <a:picLocks noChangeArrowheads="1" noChangeAspect="1"/>
                    </pic:cNvPicPr>
                  </pic:nvPicPr>
                  <pic:blipFill>
                    <a:blip r:embed="rId3097"/>
                    <a:stretch>
                      <a:fillRect/>
                    </a:stretch>
                  </pic:blipFill>
                  <pic:spPr bwMode="auto">
                    <a:xfrm>
                      <a:off x="0" y="0"/>
                      <a:ext cx="5334000" cy="837969"/>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Boxes are versions of one key, labeled with their version vectors; arrows mean</w:t>
      </w:r>
      <w:r>
        <w:t xml:space="preserve"> </w:t>
      </w:r>
      <w:r>
        <w:t xml:space="preserve">“</w:t>
      </w:r>
      <w:r>
        <w:t xml:space="preserve">descends from</w:t>
      </w:r>
      <w:r>
        <w:t xml:space="preserve">”</w:t>
      </w:r>
      <w:r>
        <w:t xml:space="preserve">. D3 and D4 are written through different coordinators from the same parent, so their vectors are incomparable and the store keeps both. A read returns both siblings with their combined context; the client’s merged write dominates both and replaces them. Storage holds every sibling until a merge, so a key with many unmerged concurrent writers grows. The failure point is the merge function: a union resurrects</w:t>
      </w:r>
      <w:r>
        <w:t xml:space="preserve"> </w:t>
      </w:r>
      <w:r>
        <w:t xml:space="preserve">“</w:t>
      </w:r>
      <w:r>
        <w:t xml:space="preserve">eggs</w:t>
      </w:r>
      <w:r>
        <w:t xml:space="preserve">”</w:t>
      </w:r>
      <w:r>
        <w:t xml:space="preserve">. Dynamo truncated vectors beyond a threshold of about 10 entries, which can cause false conflicts.</w:t>
      </w:r>
    </w:p>
    <w:p>
      <w:pPr>
        <w:pStyle w:val="CalloutIndustry"/>
      </w:pPr>
      <w:r>
        <w:rPr>
          <w:bCs/>
          <w:b/>
        </w:rPr>
        <w:t xml:space="preserve">INDUSTRY EXAMPLE</w:t>
      </w:r>
    </w:p>
    <w:p>
      <w:pPr>
        <w:pStyle w:val="CalloutIndustry"/>
      </w:pPr>
      <w:r>
        <w:rPr>
          <w:bCs/>
          <w:b/>
        </w:rPr>
        <w:t xml:space="preserve">Riak siblings.</w:t>
      </w:r>
      <w:r>
        <w:t xml:space="preserve"> </w:t>
      </w:r>
      <w:r>
        <w:t xml:space="preserve">With</w:t>
      </w:r>
      <w:r>
        <w:t xml:space="preserve"> </w:t>
      </w:r>
      <w:r>
        <w:rPr>
          <w:rStyle w:val="VerbatimChar"/>
        </w:rPr>
        <w:t xml:space="preserve">allow_mult</w:t>
      </w:r>
      <w:r>
        <w:t xml:space="preserve"> </w:t>
      </w:r>
      <w:r>
        <w:t xml:space="preserve">enabled, Riak keeps concurrent writes as siblings and returns them with a causal context that the client sends back with its resolved write; Riak 2.0 added dotted version vectors (§24.11.5) to avoid sibling explosion and lost updates when many clients write through the same node, and built-in CRDT data types (counters, sets, maps, registers, flags) that merge automatically.</w:t>
      </w:r>
      <w:r>
        <w:t xml:space="preserve"> </w:t>
      </w:r>
      <w:r>
        <w:rPr>
          <w:iCs/>
          <w:i/>
        </w:rPr>
        <w:t xml:space="preserve">Evidence: Primary</w:t>
      </w:r>
      <w:r>
        <w:t xml:space="preserve"> </w:t>
      </w:r>
      <w:r>
        <w:t xml:space="preserve">— [Riak KV Docs: Conflict Resolution; Riak KV Docs: Data Types; Preguiça et al. 2010]</w:t>
      </w:r>
    </w:p>
    <w:p>
      <w:pPr>
        <w:pStyle w:val="BodyText"/>
      </w:pPr>
      <w:r>
        <w:t xml:space="preserve">In production Dynamo, siblings were rare: the paper reports that 99.94% of requests saw exactly one version over a 24-hour period of the shopping cart service [DeCandia et al. 2007].</w:t>
      </w:r>
    </w:p>
    <w:bookmarkEnd w:id="3100"/>
    <w:bookmarkStart w:id="3106" w:name="crdts"/>
    <w:p>
      <w:pPr>
        <w:pStyle w:val="Heading3"/>
      </w:pPr>
      <w:r>
        <w:t xml:space="preserve">27.14.3 CRDTs</w:t>
      </w:r>
    </w:p>
    <w:p>
      <w:pPr>
        <w:pStyle w:val="CalloutDefinition"/>
      </w:pPr>
      <w:r>
        <w:rPr>
          <w:bCs/>
          <w:b/>
        </w:rPr>
        <w:t xml:space="preserve">DEFINITION</w:t>
      </w:r>
    </w:p>
    <w:p>
      <w:pPr>
        <w:pStyle w:val="CalloutDefinition"/>
      </w:pPr>
      <w:r>
        <w:rPr>
          <w:bCs/>
          <w:b/>
        </w:rPr>
        <w:t xml:space="preserve">Definition — Conflict-free replicated data type (CRDT).</w:t>
      </w:r>
      <w:r>
        <w:t xml:space="preserve"> </w:t>
      </w:r>
      <w:r>
        <w:t xml:space="preserve">A data type whose replicas can be updated independently and concurrently without coordination and are guaranteed to converge to the same state once they have received the same updates, a property called</w:t>
      </w:r>
      <w:r>
        <w:t xml:space="preserve"> </w:t>
      </w:r>
      <w:r>
        <w:rPr>
          <w:bCs/>
          <w:b/>
        </w:rPr>
        <w:t xml:space="preserve">strong eventual consistency</w:t>
      </w:r>
      <w:r>
        <w:t xml:space="preserve"> </w:t>
      </w:r>
      <w:r>
        <w:t xml:space="preserve">[Shapiro et al. 2011a].</w:t>
      </w:r>
    </w:p>
    <w:bookmarkStart w:id="3101" w:name="first-principles-explanation-150"/>
    <w:p>
      <w:pPr>
        <w:pStyle w:val="Heading4"/>
      </w:pPr>
      <w:r>
        <w:t xml:space="preserve">First-principles explanation</w:t>
      </w:r>
    </w:p>
    <w:p>
      <w:pPr>
        <w:pStyle w:val="FirstParagraph"/>
      </w:pPr>
      <w:r>
        <w:t xml:space="preserve">Two scorekeepers each keep a sheet with one column per scorekeeper, and each only ever increases its own column. Whenever they compare sheets, they take the larger number in each column and agree, however often and in whatever order they compare. A CRDT is a data structure designed so that</w:t>
      </w:r>
      <w:r>
        <w:t xml:space="preserve"> </w:t>
      </w:r>
      <w:r>
        <w:t xml:space="preserve">“</w:t>
      </w:r>
      <w:r>
        <w:t xml:space="preserve">compare and combine</w:t>
      </w:r>
      <w:r>
        <w:t xml:space="preserve">”</w:t>
      </w:r>
      <w:r>
        <w:t xml:space="preserve"> </w:t>
      </w:r>
      <w:r>
        <w:t xml:space="preserve">cannot go wrong.</w:t>
      </w:r>
    </w:p>
    <w:bookmarkEnd w:id="3101"/>
    <w:bookmarkStart w:id="3102" w:name="how-it-works-internally-103"/>
    <w:p>
      <w:pPr>
        <w:pStyle w:val="Heading4"/>
      </w:pPr>
      <w:r>
        <w:t xml:space="preserve">How it works internally</w:t>
      </w:r>
    </w:p>
    <w:p>
      <w:pPr>
        <w:pStyle w:val="FirstParagraph"/>
      </w:pPr>
      <w:r>
        <w:t xml:space="preserve">There are two styles, and each can emulate the other [Shapiro et al. 2011b]:</w:t>
      </w:r>
    </w:p>
    <w:p>
      <w:pPr>
        <w:numPr>
          <w:ilvl w:val="0"/>
          <w:numId w:val="1897"/>
        </w:numPr>
        <w:pStyle w:val="Compact"/>
      </w:pPr>
      <w:r>
        <w:rPr>
          <w:bCs/>
          <w:b/>
        </w:rPr>
        <w:t xml:space="preserve">State-based CRDTs (CvRDTs)</w:t>
      </w:r>
      <w:r>
        <w:t xml:space="preserve"> </w:t>
      </w:r>
      <w:r>
        <w:t xml:space="preserve">ship whole states and combine them with a</w:t>
      </w:r>
      <w:r>
        <w:t xml:space="preserve"> </w:t>
      </w:r>
      <w:r>
        <w:rPr>
          <w:bCs/>
          <w:b/>
        </w:rPr>
        <w:t xml:space="preserve">merge</w:t>
      </w:r>
      <w:r>
        <w:t xml:space="preserve"> </w:t>
      </w:r>
      <w:r>
        <w:t xml:space="preserve">function. Convergence requires the states to form a</w:t>
      </w:r>
      <w:r>
        <w:t xml:space="preserve"> </w:t>
      </w:r>
      <w:r>
        <w:rPr>
          <w:bCs/>
          <w:b/>
        </w:rPr>
        <w:t xml:space="preserve">join semilattice</w:t>
      </w:r>
      <w:r>
        <w:t xml:space="preserve">: merge must be</w:t>
      </w:r>
      <w:r>
        <w:t xml:space="preserve"> </w:t>
      </w:r>
      <w:r>
        <w:rPr>
          <w:bCs/>
          <w:b/>
        </w:rPr>
        <w:t xml:space="preserve">commutative</w:t>
      </w:r>
      <w:r>
        <w:t xml:space="preserve"> </w:t>
      </w:r>
      <w:r>
        <w:t xml:space="preserve">(</w:t>
      </w:r>
      <m:oMath>
        <m:r>
          <m:t>a</m:t>
        </m:r>
        <m:r>
          <m:rPr>
            <m:sty m:val="p"/>
          </m:rPr>
          <m:t>⊔</m:t>
        </m:r>
        <m:r>
          <m:t>b</m:t>
        </m:r>
        <m:r>
          <m:rPr>
            <m:sty m:val="p"/>
          </m:rPr>
          <m:t>=</m:t>
        </m:r>
        <m:r>
          <m:t>b</m:t>
        </m:r>
        <m:r>
          <m:rPr>
            <m:sty m:val="p"/>
          </m:rPr>
          <m:t>⊔</m:t>
        </m:r>
        <m:r>
          <m:t>a</m:t>
        </m:r>
      </m:oMath>
      <w:r>
        <w:t xml:space="preserve">),</w:t>
      </w:r>
      <w:r>
        <w:t xml:space="preserve"> </w:t>
      </w:r>
      <w:r>
        <w:rPr>
          <w:bCs/>
          <w:b/>
        </w:rPr>
        <w:t xml:space="preserve">associative</w:t>
      </w:r>
      <w:r>
        <w:t xml:space="preserve"> </w:t>
      </w:r>
      <w:r>
        <w:t xml:space="preserve">(</w:t>
      </w:r>
      <m:oMath>
        <m:d>
          <m:dPr>
            <m:begChr m:val="("/>
            <m:endChr m:val=")"/>
            <m:sepChr m:val=""/>
            <m:grow/>
          </m:dPr>
          <m:e>
            <m:r>
              <m:t>a</m:t>
            </m:r>
            <m:r>
              <m:rPr>
                <m:sty m:val="p"/>
              </m:rPr>
              <m:t>⊔</m:t>
            </m:r>
            <m:r>
              <m:t>b</m:t>
            </m:r>
          </m:e>
        </m:d>
        <m:r>
          <m:rPr>
            <m:sty m:val="p"/>
          </m:rPr>
          <m:t>⊔</m:t>
        </m:r>
        <m:r>
          <m:t>c</m:t>
        </m:r>
        <m:r>
          <m:rPr>
            <m:sty m:val="p"/>
          </m:rPr>
          <m:t>=</m:t>
        </m:r>
        <m:r>
          <m:t>a</m:t>
        </m:r>
        <m:r>
          <m:rPr>
            <m:sty m:val="p"/>
          </m:rPr>
          <m:t>⊔</m:t>
        </m:r>
        <m:d>
          <m:dPr>
            <m:begChr m:val="("/>
            <m:endChr m:val=")"/>
            <m:sepChr m:val=""/>
            <m:grow/>
          </m:dPr>
          <m:e>
            <m:r>
              <m:t>b</m:t>
            </m:r>
            <m:r>
              <m:rPr>
                <m:sty m:val="p"/>
              </m:rPr>
              <m:t>⊔</m:t>
            </m:r>
            <m:r>
              <m:t>c</m:t>
            </m:r>
          </m:e>
        </m:d>
      </m:oMath>
      <w:r>
        <w:t xml:space="preserve">) and</w:t>
      </w:r>
      <w:r>
        <w:t xml:space="preserve"> </w:t>
      </w:r>
      <w:r>
        <w:rPr>
          <w:bCs/>
          <w:b/>
        </w:rPr>
        <w:t xml:space="preserve">idempotent</w:t>
      </w:r>
      <w:r>
        <w:t xml:space="preserve"> </w:t>
      </w:r>
      <w:r>
        <w:t xml:space="preserve">(</w:t>
      </w:r>
      <m:oMath>
        <m:r>
          <m:t>a</m:t>
        </m:r>
        <m:r>
          <m:rPr>
            <m:sty m:val="p"/>
          </m:rPr>
          <m:t>⊔</m:t>
        </m:r>
        <m:r>
          <m:t>a</m:t>
        </m:r>
        <m:r>
          <m:rPr>
            <m:sty m:val="p"/>
          </m:rPr>
          <m:t>=</m:t>
        </m:r>
        <m:r>
          <m:t>a</m:t>
        </m:r>
      </m:oMath>
      <w:r>
        <w:t xml:space="preserve">), and every update must move the state upward. Then gossip may deliver states in any order, any number of times.</w:t>
      </w:r>
      <w:r>
        <w:t xml:space="preserve"> </w:t>
      </w:r>
      <w:r>
        <w:rPr>
          <w:bCs/>
          <w:b/>
        </w:rPr>
        <w:t xml:space="preserve">Delta-state</w:t>
      </w:r>
      <w:r>
        <w:t xml:space="preserve"> </w:t>
      </w:r>
      <w:r>
        <w:t xml:space="preserve">CRDTs ship only recent changes to cut bandwidth [Almeida et al. 2018].</w:t>
      </w:r>
    </w:p>
    <w:p>
      <w:pPr>
        <w:numPr>
          <w:ilvl w:val="0"/>
          <w:numId w:val="1897"/>
        </w:numPr>
        <w:pStyle w:val="Compact"/>
      </w:pPr>
      <w:r>
        <w:rPr>
          <w:bCs/>
          <w:b/>
        </w:rPr>
        <w:t xml:space="preserve">Operation-based CRDTs (CmRDTs)</w:t>
      </w:r>
      <w:r>
        <w:t xml:space="preserve"> </w:t>
      </w:r>
      <w:r>
        <w:t xml:space="preserve">ship operations. Concurrent operations must commute, and the delivery layer must deliver every operation exactly once and in causal order.</w:t>
      </w:r>
    </w:p>
    <w:p>
      <w:pPr>
        <w:pStyle w:val="FirstParagraph"/>
      </w:pPr>
      <w:r>
        <w:t xml:space="preserve">The four classic designs are:</w:t>
      </w:r>
    </w:p>
    <w:p>
      <w:pPr>
        <w:numPr>
          <w:ilvl w:val="0"/>
          <w:numId w:val="1898"/>
        </w:numPr>
        <w:pStyle w:val="Compact"/>
      </w:pPr>
      <w:r>
        <w:rPr>
          <w:bCs/>
          <w:b/>
        </w:rPr>
        <w:t xml:space="preserve">G-Counter</w:t>
      </w:r>
      <w:r>
        <w:t xml:space="preserve"> </w:t>
      </w:r>
      <w:r>
        <w:t xml:space="preserve">(grow-only counter): one slot per replica; a replica increments only its own slot; value is the sum; merge takes the per-slot maximum.</w:t>
      </w:r>
    </w:p>
    <w:p>
      <w:pPr>
        <w:numPr>
          <w:ilvl w:val="0"/>
          <w:numId w:val="1898"/>
        </w:numPr>
        <w:pStyle w:val="Compact"/>
      </w:pPr>
      <w:r>
        <w:rPr>
          <w:bCs/>
          <w:b/>
        </w:rPr>
        <w:t xml:space="preserve">PN-Counter:</w:t>
      </w:r>
      <w:r>
        <w:t xml:space="preserve"> </w:t>
      </w:r>
      <w:r>
        <w:t xml:space="preserve">two G-Counters, one for increments and one for decrements; value is the difference.</w:t>
      </w:r>
    </w:p>
    <w:p>
      <w:pPr>
        <w:numPr>
          <w:ilvl w:val="0"/>
          <w:numId w:val="1898"/>
        </w:numPr>
        <w:pStyle w:val="Compact"/>
      </w:pPr>
      <w:r>
        <w:rPr>
          <w:bCs/>
          <w:b/>
        </w:rPr>
        <w:t xml:space="preserve">LWW-Register:</w:t>
      </w:r>
      <w:r>
        <w:t xml:space="preserve"> </w:t>
      </w:r>
      <w:r>
        <w:t xml:space="preserve">a value with a (timestamp, replica ID) stamp; merge keeps the larger stamp. It is LWW, packaged so that merge is a lattice join.</w:t>
      </w:r>
    </w:p>
    <w:p>
      <w:pPr>
        <w:numPr>
          <w:ilvl w:val="0"/>
          <w:numId w:val="1898"/>
        </w:numPr>
        <w:pStyle w:val="Compact"/>
      </w:pPr>
      <w:r>
        <w:rPr>
          <w:bCs/>
          <w:b/>
        </w:rPr>
        <w:t xml:space="preserve">OR-Set</w:t>
      </w:r>
      <w:r>
        <w:t xml:space="preserve"> </w:t>
      </w:r>
      <w:r>
        <w:t xml:space="preserve">(observed-remove set): each add creates a unique tag; a remove deletes only the tags it has observed. A concurrent add’s new tag survives, so</w:t>
      </w:r>
      <w:r>
        <w:t xml:space="preserve"> </w:t>
      </w:r>
      <w:r>
        <w:rPr>
          <w:bCs/>
          <w:b/>
        </w:rPr>
        <w:t xml:space="preserve">add wins</w:t>
      </w:r>
      <w:r>
        <w:t xml:space="preserve">. Removed tags must be remembered as tombstones, unless an optimized design summarizes them with version vectors [Bieniusa et al. 2012].</w:t>
      </w:r>
    </w:p>
    <w:p>
      <w:pPr>
        <w:pStyle w:val="FirstParagraph"/>
      </w:pPr>
      <w:r>
        <w:t xml:space="preserve">The program implements all four and checks the three merge laws, plus convergence under every merge order, on random histories.</w:t>
      </w:r>
    </w:p>
    <w:p>
      <w:pPr>
        <w:pStyle w:val="SourceCode"/>
      </w:pPr>
      <w:r>
        <w:rPr>
          <w:rStyle w:val="CommentTok"/>
        </w:rPr>
        <w:t xml:space="preserve">"""State-based CRDTs: G-Counter, PN-Counter, LWW-Register and OR-Set,</w:t>
      </w:r>
      <w:r>
        <w:br/>
      </w:r>
      <w:r>
        <w:rPr>
          <w:rStyle w:val="CommentTok"/>
        </w:rPr>
        <w:t xml:space="preserve">with randomized tests that merge is commutative, associative and idempotent."""</w:t>
      </w:r>
      <w:r>
        <w:br/>
      </w:r>
      <w:r>
        <w:rPr>
          <w:rStyle w:val="ImportTok"/>
        </w:rPr>
        <w:t xml:space="preserve">import</w:t>
      </w:r>
      <w:r>
        <w:rPr>
          <w:rStyle w:val="NormalTok"/>
        </w:rPr>
        <w:t xml:space="preserve"> copy</w:t>
      </w:r>
      <w:r>
        <w:br/>
      </w:r>
      <w:r>
        <w:rPr>
          <w:rStyle w:val="ImportTok"/>
        </w:rPr>
        <w:t xml:space="preserve">import</w:t>
      </w:r>
      <w:r>
        <w:rPr>
          <w:rStyle w:val="NormalTok"/>
        </w:rPr>
        <w:t xml:space="preserve"> itertools</w:t>
      </w:r>
      <w:r>
        <w:br/>
      </w:r>
      <w:r>
        <w:rPr>
          <w:rStyle w:val="ImportTok"/>
        </w:rPr>
        <w:t xml:space="preserve">import</w:t>
      </w:r>
      <w:r>
        <w:rPr>
          <w:rStyle w:val="NormalTok"/>
        </w:rPr>
        <w:t xml:space="preserve"> random</w:t>
      </w:r>
      <w:r>
        <w:br/>
      </w:r>
      <w:r>
        <w:br/>
      </w:r>
      <w:r>
        <w:rPr>
          <w:rStyle w:val="KeywordTok"/>
        </w:rPr>
        <w:t xml:space="preserve">class</w:t>
      </w:r>
      <w:r>
        <w:rPr>
          <w:rStyle w:val="NormalTok"/>
        </w:rPr>
        <w:t xml:space="preserve"> GCounter:</w:t>
      </w:r>
      <w:r>
        <w:br/>
      </w:r>
      <w:r>
        <w:rPr>
          <w:rStyle w:val="NormalTok"/>
        </w:rPr>
        <w:t xml:space="preserve">    </w:t>
      </w:r>
      <w:r>
        <w:rPr>
          <w:rStyle w:val="CommentTok"/>
        </w:rPr>
        <w:t xml:space="preserve">"""Grow-only counter: one slot per replica; merge takes the per-slot max."""</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replica):</w:t>
      </w:r>
      <w:r>
        <w:br/>
      </w:r>
      <w:r>
        <w:rPr>
          <w:rStyle w:val="NormalTok"/>
        </w:rPr>
        <w:t xml:space="preserve">        </w:t>
      </w:r>
      <w:r>
        <w:rPr>
          <w:rStyle w:val="VariableTok"/>
        </w:rPr>
        <w:t xml:space="preserve">self</w:t>
      </w:r>
      <w:r>
        <w:rPr>
          <w:rStyle w:val="NormalTok"/>
        </w:rPr>
        <w:t xml:space="preserve">.replica, </w:t>
      </w:r>
      <w:r>
        <w:rPr>
          <w:rStyle w:val="VariableTok"/>
        </w:rPr>
        <w:t xml:space="preserve">self</w:t>
      </w:r>
      <w:r>
        <w:rPr>
          <w:rStyle w:val="NormalTok"/>
        </w:rPr>
        <w:t xml:space="preserve">.slots </w:t>
      </w:r>
      <w:r>
        <w:rPr>
          <w:rStyle w:val="OperatorTok"/>
        </w:rPr>
        <w:t xml:space="preserve">=</w:t>
      </w:r>
      <w:r>
        <w:rPr>
          <w:rStyle w:val="NormalTok"/>
        </w:rPr>
        <w:t xml:space="preserve"> replica, {}</w:t>
      </w:r>
      <w:r>
        <w:br/>
      </w:r>
      <w:r>
        <w:rPr>
          <w:rStyle w:val="NormalTok"/>
        </w:rPr>
        <w:t xml:space="preserve">    </w:t>
      </w:r>
      <w:r>
        <w:rPr>
          <w:rStyle w:val="KeywordTok"/>
        </w:rPr>
        <w:t xml:space="preserve">def</w:t>
      </w:r>
      <w:r>
        <w:rPr>
          <w:rStyle w:val="NormalTok"/>
        </w:rPr>
        <w:t xml:space="preserve"> increment(</w:t>
      </w:r>
      <w:r>
        <w:rPr>
          <w:rStyle w:val="VariableTok"/>
        </w:rPr>
        <w:t xml:space="preserve">self</w:t>
      </w:r>
      <w:r>
        <w:rPr>
          <w:rStyle w:val="NormalTok"/>
        </w:rPr>
        <w:t xml:space="preserve">, n</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assert</w:t>
      </w:r>
      <w:r>
        <w:rPr>
          <w:rStyle w:val="NormalTok"/>
        </w:rPr>
        <w:t xml:space="preserve"> n </w:t>
      </w:r>
      <w:r>
        <w:rPr>
          <w:rStyle w:val="OperatorTok"/>
        </w:rPr>
        <w:t xml:space="preserve">&gt;=</w:t>
      </w:r>
      <w:r>
        <w:rPr>
          <w:rStyle w:val="NormalTok"/>
        </w:rPr>
        <w:t xml:space="preserve"> </w:t>
      </w:r>
      <w:r>
        <w:rPr>
          <w:rStyle w:val="DecValTok"/>
        </w:rPr>
        <w:t xml:space="preserve">0</w:t>
      </w:r>
      <w:r>
        <w:rPr>
          <w:rStyle w:val="NormalTok"/>
        </w:rPr>
        <w:t xml:space="preserve">, </w:t>
      </w:r>
      <w:r>
        <w:rPr>
          <w:rStyle w:val="StringTok"/>
        </w:rPr>
        <w:t xml:space="preserve">"a G-Counter only grows"</w:t>
      </w:r>
      <w:r>
        <w:br/>
      </w:r>
      <w:r>
        <w:rPr>
          <w:rStyle w:val="NormalTok"/>
        </w:rPr>
        <w:t xml:space="preserve">        </w:t>
      </w:r>
      <w:r>
        <w:rPr>
          <w:rStyle w:val="VariableTok"/>
        </w:rPr>
        <w:t xml:space="preserve">self</w:t>
      </w:r>
      <w:r>
        <w:rPr>
          <w:rStyle w:val="NormalTok"/>
        </w:rPr>
        <w:t xml:space="preserve">.slots[</w:t>
      </w:r>
      <w:r>
        <w:rPr>
          <w:rStyle w:val="VariableTok"/>
        </w:rPr>
        <w:t xml:space="preserve">self</w:t>
      </w:r>
      <w:r>
        <w:rPr>
          <w:rStyle w:val="NormalTok"/>
        </w:rPr>
        <w:t xml:space="preserve">.replica] </w:t>
      </w:r>
      <w:r>
        <w:rPr>
          <w:rStyle w:val="OperatorTok"/>
        </w:rPr>
        <w:t xml:space="preserve">=</w:t>
      </w:r>
      <w:r>
        <w:rPr>
          <w:rStyle w:val="NormalTok"/>
        </w:rPr>
        <w:t xml:space="preserve"> </w:t>
      </w:r>
      <w:r>
        <w:rPr>
          <w:rStyle w:val="VariableTok"/>
        </w:rPr>
        <w:t xml:space="preserve">self</w:t>
      </w:r>
      <w:r>
        <w:rPr>
          <w:rStyle w:val="NormalTok"/>
        </w:rPr>
        <w:t xml:space="preserve">.slots.get(</w:t>
      </w:r>
      <w:r>
        <w:rPr>
          <w:rStyle w:val="VariableTok"/>
        </w:rPr>
        <w:t xml:space="preserve">self</w:t>
      </w:r>
      <w:r>
        <w:rPr>
          <w:rStyle w:val="NormalTok"/>
        </w:rPr>
        <w:t xml:space="preserve">.replica, </w:t>
      </w:r>
      <w:r>
        <w:rPr>
          <w:rStyle w:val="DecValTok"/>
        </w:rPr>
        <w:t xml:space="preserve">0</w:t>
      </w:r>
      <w:r>
        <w:rPr>
          <w:rStyle w:val="NormalTok"/>
        </w:rPr>
        <w:t xml:space="preserve">) </w:t>
      </w:r>
      <w:r>
        <w:rPr>
          <w:rStyle w:val="OperatorTok"/>
        </w:rPr>
        <w:t xml:space="preserve">+</w:t>
      </w:r>
      <w:r>
        <w:rPr>
          <w:rStyle w:val="NormalTok"/>
        </w:rPr>
        <w:t xml:space="preserve"> n</w:t>
      </w:r>
      <w:r>
        <w:br/>
      </w:r>
      <w:r>
        <w:rPr>
          <w:rStyle w:val="NormalTok"/>
        </w:rPr>
        <w:t xml:space="preserve">    </w:t>
      </w:r>
      <w:r>
        <w:rPr>
          <w:rStyle w:val="KeywordTok"/>
        </w:rPr>
        <w:t xml:space="preserve">def</w:t>
      </w:r>
      <w:r>
        <w:rPr>
          <w:rStyle w:val="NormalTok"/>
        </w:rPr>
        <w:t xml:space="preserve"> value(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w:t>
      </w:r>
      <w:r>
        <w:rPr>
          <w:rStyle w:val="VariableTok"/>
        </w:rPr>
        <w:t xml:space="preserve">self</w:t>
      </w:r>
      <w:r>
        <w:rPr>
          <w:rStyle w:val="NormalTok"/>
        </w:rPr>
        <w:t xml:space="preserve">.slots.values())</w:t>
      </w:r>
      <w:r>
        <w:br/>
      </w:r>
      <w:r>
        <w:rPr>
          <w:rStyle w:val="NormalTok"/>
        </w:rPr>
        <w:t xml:space="preserve">    </w:t>
      </w:r>
      <w:r>
        <w:rPr>
          <w:rStyle w:val="KeywordTok"/>
        </w:rPr>
        <w:t xml:space="preserve">def</w:t>
      </w:r>
      <w:r>
        <w:rPr>
          <w:rStyle w:val="NormalTok"/>
        </w:rPr>
        <w:t xml:space="preserve"> merge(</w:t>
      </w:r>
      <w:r>
        <w:rPr>
          <w:rStyle w:val="VariableTok"/>
        </w:rPr>
        <w:t xml:space="preserve">self</w:t>
      </w:r>
      <w:r>
        <w:rPr>
          <w:rStyle w:val="NormalTok"/>
        </w:rPr>
        <w:t xml:space="preserve">, other):</w:t>
      </w:r>
      <w:r>
        <w:br/>
      </w:r>
      <w:r>
        <w:rPr>
          <w:rStyle w:val="NormalTok"/>
        </w:rPr>
        <w:t xml:space="preserve">        </w:t>
      </w:r>
      <w:r>
        <w:rPr>
          <w:rStyle w:val="ControlFlowTok"/>
        </w:rPr>
        <w:t xml:space="preserve">for</w:t>
      </w:r>
      <w:r>
        <w:rPr>
          <w:rStyle w:val="NormalTok"/>
        </w:rPr>
        <w:t xml:space="preserve"> r, v </w:t>
      </w:r>
      <w:r>
        <w:rPr>
          <w:rStyle w:val="KeywordTok"/>
        </w:rPr>
        <w:t xml:space="preserve">in</w:t>
      </w:r>
      <w:r>
        <w:rPr>
          <w:rStyle w:val="NormalTok"/>
        </w:rPr>
        <w:t xml:space="preserve"> other.slots.items():</w:t>
      </w:r>
      <w:r>
        <w:br/>
      </w:r>
      <w:r>
        <w:rPr>
          <w:rStyle w:val="NormalTok"/>
        </w:rPr>
        <w:t xml:space="preserve">            </w:t>
      </w:r>
      <w:r>
        <w:rPr>
          <w:rStyle w:val="VariableTok"/>
        </w:rPr>
        <w:t xml:space="preserve">self</w:t>
      </w:r>
      <w:r>
        <w:rPr>
          <w:rStyle w:val="NormalTok"/>
        </w:rPr>
        <w:t xml:space="preserve">.slots[r] </w:t>
      </w:r>
      <w:r>
        <w:rPr>
          <w:rStyle w:val="OperatorTok"/>
        </w:rPr>
        <w:t xml:space="preserve">=</w:t>
      </w:r>
      <w:r>
        <w:rPr>
          <w:rStyle w:val="NormalTok"/>
        </w:rPr>
        <w:t xml:space="preserve"> </w:t>
      </w:r>
      <w:r>
        <w:rPr>
          <w:rStyle w:val="BuiltInTok"/>
        </w:rPr>
        <w:t xml:space="preserve">max</w:t>
      </w:r>
      <w:r>
        <w:rPr>
          <w:rStyle w:val="NormalTok"/>
        </w:rPr>
        <w:t xml:space="preserve">(</w:t>
      </w:r>
      <w:r>
        <w:rPr>
          <w:rStyle w:val="VariableTok"/>
        </w:rPr>
        <w:t xml:space="preserve">self</w:t>
      </w:r>
      <w:r>
        <w:rPr>
          <w:rStyle w:val="NormalTok"/>
        </w:rPr>
        <w:t xml:space="preserve">.slots.get(r, </w:t>
      </w:r>
      <w:r>
        <w:rPr>
          <w:rStyle w:val="DecValTok"/>
        </w:rPr>
        <w:t xml:space="preserve">0</w:t>
      </w:r>
      <w:r>
        <w:rPr>
          <w:rStyle w:val="NormalTok"/>
        </w:rPr>
        <w:t xml:space="preserve">), v)</w:t>
      </w:r>
      <w:r>
        <w:br/>
      </w:r>
      <w:r>
        <w:rPr>
          <w:rStyle w:val="NormalTok"/>
        </w:rPr>
        <w:t xml:space="preserve">    </w:t>
      </w:r>
      <w:r>
        <w:rPr>
          <w:rStyle w:val="KeywordTok"/>
        </w:rPr>
        <w:t xml:space="preserve">def</w:t>
      </w:r>
      <w:r>
        <w:rPr>
          <w:rStyle w:val="NormalTok"/>
        </w:rPr>
        <w:t xml:space="preserve"> state(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dict</w:t>
      </w:r>
      <w:r>
        <w:rPr>
          <w:rStyle w:val="NormalTok"/>
        </w:rPr>
        <w:t xml:space="preserve">(</w:t>
      </w:r>
      <w:r>
        <w:rPr>
          <w:rStyle w:val="BuiltInTok"/>
        </w:rPr>
        <w:t xml:space="preserve">sorted</w:t>
      </w:r>
      <w:r>
        <w:rPr>
          <w:rStyle w:val="NormalTok"/>
        </w:rPr>
        <w:t xml:space="preserve">(</w:t>
      </w:r>
      <w:r>
        <w:rPr>
          <w:rStyle w:val="VariableTok"/>
        </w:rPr>
        <w:t xml:space="preserve">self</w:t>
      </w:r>
      <w:r>
        <w:rPr>
          <w:rStyle w:val="NormalTok"/>
        </w:rPr>
        <w:t xml:space="preserve">.slots.items()))</w:t>
      </w:r>
      <w:r>
        <w:br/>
      </w:r>
      <w:r>
        <w:br/>
      </w:r>
      <w:r>
        <w:rPr>
          <w:rStyle w:val="KeywordTok"/>
        </w:rPr>
        <w:t xml:space="preserve">class</w:t>
      </w:r>
      <w:r>
        <w:rPr>
          <w:rStyle w:val="NormalTok"/>
        </w:rPr>
        <w:t xml:space="preserve"> PNCounter:</w:t>
      </w:r>
      <w:r>
        <w:br/>
      </w:r>
      <w:r>
        <w:rPr>
          <w:rStyle w:val="NormalTok"/>
        </w:rPr>
        <w:t xml:space="preserve">    </w:t>
      </w:r>
      <w:r>
        <w:rPr>
          <w:rStyle w:val="CommentTok"/>
        </w:rPr>
        <w:t xml:space="preserve">"""Counter with decrements: one G-Counter for increments, one for decrements."""</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replica):</w:t>
      </w:r>
      <w:r>
        <w:br/>
      </w:r>
      <w:r>
        <w:rPr>
          <w:rStyle w:val="NormalTok"/>
        </w:rPr>
        <w:t xml:space="preserve">        </w:t>
      </w:r>
      <w:r>
        <w:rPr>
          <w:rStyle w:val="VariableTok"/>
        </w:rPr>
        <w:t xml:space="preserve">self</w:t>
      </w:r>
      <w:r>
        <w:rPr>
          <w:rStyle w:val="NormalTok"/>
        </w:rPr>
        <w:t xml:space="preserve">.p, </w:t>
      </w:r>
      <w:r>
        <w:rPr>
          <w:rStyle w:val="VariableTok"/>
        </w:rPr>
        <w:t xml:space="preserve">self</w:t>
      </w:r>
      <w:r>
        <w:rPr>
          <w:rStyle w:val="NormalTok"/>
        </w:rPr>
        <w:t xml:space="preserve">.n </w:t>
      </w:r>
      <w:r>
        <w:rPr>
          <w:rStyle w:val="OperatorTok"/>
        </w:rPr>
        <w:t xml:space="preserve">=</w:t>
      </w:r>
      <w:r>
        <w:rPr>
          <w:rStyle w:val="NormalTok"/>
        </w:rPr>
        <w:t xml:space="preserve"> GCounter(replica), GCounter(replica)</w:t>
      </w:r>
      <w:r>
        <w:br/>
      </w:r>
      <w:r>
        <w:rPr>
          <w:rStyle w:val="NormalTok"/>
        </w:rPr>
        <w:t xml:space="preserve">    </w:t>
      </w:r>
      <w:r>
        <w:rPr>
          <w:rStyle w:val="KeywordTok"/>
        </w:rPr>
        <w:t xml:space="preserve">def</w:t>
      </w:r>
      <w:r>
        <w:rPr>
          <w:rStyle w:val="NormalTok"/>
        </w:rPr>
        <w:t xml:space="preserve"> increment(</w:t>
      </w:r>
      <w:r>
        <w:rPr>
          <w:rStyle w:val="VariableTok"/>
        </w:rPr>
        <w:t xml:space="preserve">self</w:t>
      </w:r>
      <w:r>
        <w:rPr>
          <w:rStyle w:val="NormalTok"/>
        </w:rPr>
        <w:t xml:space="preserve">, k</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.p.increment(k)</w:t>
      </w:r>
      <w:r>
        <w:br/>
      </w:r>
      <w:r>
        <w:rPr>
          <w:rStyle w:val="NormalTok"/>
        </w:rPr>
        <w:t xml:space="preserve">    </w:t>
      </w:r>
      <w:r>
        <w:rPr>
          <w:rStyle w:val="KeywordTok"/>
        </w:rPr>
        <w:t xml:space="preserve">def</w:t>
      </w:r>
      <w:r>
        <w:rPr>
          <w:rStyle w:val="NormalTok"/>
        </w:rPr>
        <w:t xml:space="preserve"> decrement(</w:t>
      </w:r>
      <w:r>
        <w:rPr>
          <w:rStyle w:val="VariableTok"/>
        </w:rPr>
        <w:t xml:space="preserve">self</w:t>
      </w:r>
      <w:r>
        <w:rPr>
          <w:rStyle w:val="NormalTok"/>
        </w:rPr>
        <w:t xml:space="preserve">, k</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.n.increment(k)</w:t>
      </w:r>
      <w:r>
        <w:br/>
      </w:r>
      <w:r>
        <w:rPr>
          <w:rStyle w:val="NormalTok"/>
        </w:rPr>
        <w:t xml:space="preserve">    </w:t>
      </w:r>
      <w:r>
        <w:rPr>
          <w:rStyle w:val="KeywordTok"/>
        </w:rPr>
        <w:t xml:space="preserve">def</w:t>
      </w:r>
      <w:r>
        <w:rPr>
          <w:rStyle w:val="NormalTok"/>
        </w:rPr>
        <w:t xml:space="preserve"> value(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.p.value() </w:t>
      </w:r>
      <w:r>
        <w:rPr>
          <w:rStyle w:val="OperatorTok"/>
        </w:rPr>
        <w:t xml:space="preserve">-</w:t>
      </w:r>
      <w:r>
        <w:rPr>
          <w:rStyle w:val="NormalTok"/>
        </w:rPr>
        <w:t xml:space="preserve"> </w:t>
      </w:r>
      <w:r>
        <w:rPr>
          <w:rStyle w:val="VariableTok"/>
        </w:rPr>
        <w:t xml:space="preserve">self</w:t>
      </w:r>
      <w:r>
        <w:rPr>
          <w:rStyle w:val="NormalTok"/>
        </w:rPr>
        <w:t xml:space="preserve">.n.value()</w:t>
      </w:r>
      <w:r>
        <w:br/>
      </w:r>
      <w:r>
        <w:rPr>
          <w:rStyle w:val="NormalTok"/>
        </w:rPr>
        <w:t xml:space="preserve">    </w:t>
      </w:r>
      <w:r>
        <w:rPr>
          <w:rStyle w:val="KeywordTok"/>
        </w:rPr>
        <w:t xml:space="preserve">def</w:t>
      </w:r>
      <w:r>
        <w:rPr>
          <w:rStyle w:val="NormalTok"/>
        </w:rPr>
        <w:t xml:space="preserve"> merge(</w:t>
      </w:r>
      <w:r>
        <w:rPr>
          <w:rStyle w:val="VariableTok"/>
        </w:rPr>
        <w:t xml:space="preserve">self</w:t>
      </w:r>
      <w:r>
        <w:rPr>
          <w:rStyle w:val="NormalTok"/>
        </w:rPr>
        <w:t xml:space="preserve">, other):</w:t>
      </w:r>
      <w:r>
        <w:br/>
      </w:r>
      <w:r>
        <w:rPr>
          <w:rStyle w:val="NormalTok"/>
        </w:rPr>
        <w:t xml:space="preserve">        </w:t>
      </w:r>
      <w:r>
        <w:rPr>
          <w:rStyle w:val="VariableTok"/>
        </w:rPr>
        <w:t xml:space="preserve">self</w:t>
      </w:r>
      <w:r>
        <w:rPr>
          <w:rStyle w:val="NormalTok"/>
        </w:rPr>
        <w:t xml:space="preserve">.p.merge(other.p)</w:t>
      </w:r>
      <w:r>
        <w:br/>
      </w:r>
      <w:r>
        <w:rPr>
          <w:rStyle w:val="NormalTok"/>
        </w:rPr>
        <w:t xml:space="preserve">        </w:t>
      </w:r>
      <w:r>
        <w:rPr>
          <w:rStyle w:val="VariableTok"/>
        </w:rPr>
        <w:t xml:space="preserve">self</w:t>
      </w:r>
      <w:r>
        <w:rPr>
          <w:rStyle w:val="NormalTok"/>
        </w:rPr>
        <w:t xml:space="preserve">.n.merge(other.n)</w:t>
      </w:r>
      <w:r>
        <w:br/>
      </w:r>
      <w:r>
        <w:rPr>
          <w:rStyle w:val="NormalTok"/>
        </w:rPr>
        <w:t xml:space="preserve">    </w:t>
      </w:r>
      <w:r>
        <w:rPr>
          <w:rStyle w:val="KeywordTok"/>
        </w:rPr>
        <w:t xml:space="preserve">def</w:t>
      </w:r>
      <w:r>
        <w:rPr>
          <w:rStyle w:val="NormalTok"/>
        </w:rPr>
        <w:t xml:space="preserve"> state(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.p.state(), </w:t>
      </w:r>
      <w:r>
        <w:rPr>
          <w:rStyle w:val="VariableTok"/>
        </w:rPr>
        <w:t xml:space="preserve">self</w:t>
      </w:r>
      <w:r>
        <w:rPr>
          <w:rStyle w:val="NormalTok"/>
        </w:rPr>
        <w:t xml:space="preserve">.n.state())</w:t>
      </w:r>
      <w:r>
        <w:br/>
      </w:r>
      <w:r>
        <w:br/>
      </w:r>
      <w:r>
        <w:rPr>
          <w:rStyle w:val="KeywordTok"/>
        </w:rPr>
        <w:t xml:space="preserve">class</w:t>
      </w:r>
      <w:r>
        <w:rPr>
          <w:rStyle w:val="NormalTok"/>
        </w:rPr>
        <w:t xml:space="preserve"> LWWRegister:</w:t>
      </w:r>
      <w:r>
        <w:br/>
      </w:r>
      <w:r>
        <w:rPr>
          <w:rStyle w:val="NormalTok"/>
        </w:rPr>
        <w:t xml:space="preserve">    </w:t>
      </w:r>
      <w:r>
        <w:rPr>
          <w:rStyle w:val="CommentTok"/>
        </w:rPr>
        <w:t xml:space="preserve">"""Last-writer-wins register; ties on timestamp broken by replica ID."""</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replica):</w:t>
      </w:r>
      <w:r>
        <w:br/>
      </w:r>
      <w:r>
        <w:rPr>
          <w:rStyle w:val="NormalTok"/>
        </w:rPr>
        <w:t xml:space="preserve">        </w:t>
      </w:r>
      <w:r>
        <w:rPr>
          <w:rStyle w:val="VariableTok"/>
        </w:rPr>
        <w:t xml:space="preserve">self</w:t>
      </w:r>
      <w:r>
        <w:rPr>
          <w:rStyle w:val="NormalTok"/>
        </w:rPr>
        <w:t xml:space="preserve">.replica, </w:t>
      </w:r>
      <w:r>
        <w:rPr>
          <w:rStyle w:val="VariableTok"/>
        </w:rPr>
        <w:t xml:space="preserve">self</w:t>
      </w:r>
      <w:r>
        <w:rPr>
          <w:rStyle w:val="NormalTok"/>
        </w:rPr>
        <w:t xml:space="preserve">.value_, </w:t>
      </w:r>
      <w:r>
        <w:rPr>
          <w:rStyle w:val="VariableTok"/>
        </w:rPr>
        <w:t xml:space="preserve">self</w:t>
      </w:r>
      <w:r>
        <w:rPr>
          <w:rStyle w:val="NormalTok"/>
        </w:rPr>
        <w:t xml:space="preserve">.stamp </w:t>
      </w:r>
      <w:r>
        <w:rPr>
          <w:rStyle w:val="OperatorTok"/>
        </w:rPr>
        <w:t xml:space="preserve">=</w:t>
      </w:r>
      <w:r>
        <w:rPr>
          <w:rStyle w:val="NormalTok"/>
        </w:rPr>
        <w:t xml:space="preserve"> replica, </w:t>
      </w:r>
      <w:r>
        <w:rPr>
          <w:rStyle w:val="VariableTok"/>
        </w:rPr>
        <w:t xml:space="preserve">None</w:t>
      </w:r>
      <w:r>
        <w:rPr>
          <w:rStyle w:val="NormalTok"/>
        </w:rPr>
        <w:t xml:space="preserve">, (</w:t>
      </w:r>
      <w:r>
        <w:rPr>
          <w:rStyle w:val="DecValTok"/>
        </w:rPr>
        <w:t xml:space="preserve">0</w:t>
      </w:r>
      <w:r>
        <w:rPr>
          <w:rStyle w:val="NormalTok"/>
        </w:rPr>
        <w:t xml:space="preserve">, </w:t>
      </w:r>
      <w:r>
        <w:rPr>
          <w:rStyle w:val="StringTok"/>
        </w:rPr>
        <w:t xml:space="preserve">""</w:t>
      </w:r>
      <w:r>
        <w:rPr>
          <w:rStyle w:val="NormalTok"/>
        </w:rPr>
        <w:t xml:space="preserve">)</w:t>
      </w:r>
      <w:r>
        <w:br/>
      </w:r>
      <w:r>
        <w:rPr>
          <w:rStyle w:val="NormalTok"/>
        </w:rPr>
        <w:t xml:space="preserve">    </w:t>
      </w:r>
      <w:r>
        <w:rPr>
          <w:rStyle w:val="KeywordTok"/>
        </w:rPr>
        <w:t xml:space="preserve">def</w:t>
      </w:r>
      <w:r>
        <w:rPr>
          <w:rStyle w:val="NormalTok"/>
        </w:rPr>
        <w:t xml:space="preserve"> assign(</w:t>
      </w:r>
      <w:r>
        <w:rPr>
          <w:rStyle w:val="VariableTok"/>
        </w:rPr>
        <w:t xml:space="preserve">self</w:t>
      </w:r>
      <w:r>
        <w:rPr>
          <w:rStyle w:val="NormalTok"/>
        </w:rPr>
        <w:t xml:space="preserve">, value, timestamp):</w:t>
      </w:r>
      <w:r>
        <w:br/>
      </w:r>
      <w:r>
        <w:rPr>
          <w:rStyle w:val="NormalTok"/>
        </w:rPr>
        <w:t xml:space="preserve">        stamp </w:t>
      </w:r>
      <w:r>
        <w:rPr>
          <w:rStyle w:val="OperatorTok"/>
        </w:rPr>
        <w:t xml:space="preserve">=</w:t>
      </w:r>
      <w:r>
        <w:rPr>
          <w:rStyle w:val="NormalTok"/>
        </w:rPr>
        <w:t xml:space="preserve"> (timestamp, </w:t>
      </w:r>
      <w:r>
        <w:rPr>
          <w:rStyle w:val="VariableTok"/>
        </w:rPr>
        <w:t xml:space="preserve">self</w:t>
      </w:r>
      <w:r>
        <w:rPr>
          <w:rStyle w:val="NormalTok"/>
        </w:rPr>
        <w:t xml:space="preserve">.replica)</w:t>
      </w:r>
      <w:r>
        <w:br/>
      </w:r>
      <w:r>
        <w:rPr>
          <w:rStyle w:val="NormalTok"/>
        </w:rPr>
        <w:t xml:space="preserve">        </w:t>
      </w:r>
      <w:r>
        <w:rPr>
          <w:rStyle w:val="ControlFlowTok"/>
        </w:rPr>
        <w:t xml:space="preserve">if</w:t>
      </w:r>
      <w:r>
        <w:rPr>
          <w:rStyle w:val="NormalTok"/>
        </w:rPr>
        <w:t xml:space="preserve"> stamp </w:t>
      </w:r>
      <w:r>
        <w:rPr>
          <w:rStyle w:val="OperatorTok"/>
        </w:rPr>
        <w:t xml:space="preserve">&gt;</w:t>
      </w:r>
      <w:r>
        <w:rPr>
          <w:rStyle w:val="NormalTok"/>
        </w:rPr>
        <w:t xml:space="preserve"> </w:t>
      </w:r>
      <w:r>
        <w:rPr>
          <w:rStyle w:val="VariableTok"/>
        </w:rPr>
        <w:t xml:space="preserve">self</w:t>
      </w:r>
      <w:r>
        <w:rPr>
          <w:rStyle w:val="NormalTok"/>
        </w:rPr>
        <w:t xml:space="preserve">.stamp:</w:t>
      </w:r>
      <w:r>
        <w:br/>
      </w:r>
      <w:r>
        <w:rPr>
          <w:rStyle w:val="NormalTok"/>
        </w:rPr>
        <w:t xml:space="preserve">            </w:t>
      </w:r>
      <w:r>
        <w:rPr>
          <w:rStyle w:val="VariableTok"/>
        </w:rPr>
        <w:t xml:space="preserve">self</w:t>
      </w:r>
      <w:r>
        <w:rPr>
          <w:rStyle w:val="NormalTok"/>
        </w:rPr>
        <w:t xml:space="preserve">.value_, </w:t>
      </w:r>
      <w:r>
        <w:rPr>
          <w:rStyle w:val="VariableTok"/>
        </w:rPr>
        <w:t xml:space="preserve">self</w:t>
      </w:r>
      <w:r>
        <w:rPr>
          <w:rStyle w:val="NormalTok"/>
        </w:rPr>
        <w:t xml:space="preserve">.stamp </w:t>
      </w:r>
      <w:r>
        <w:rPr>
          <w:rStyle w:val="OperatorTok"/>
        </w:rPr>
        <w:t xml:space="preserve">=</w:t>
      </w:r>
      <w:r>
        <w:rPr>
          <w:rStyle w:val="NormalTok"/>
        </w:rPr>
        <w:t xml:space="preserve"> value, stamp</w:t>
      </w:r>
      <w:r>
        <w:br/>
      </w:r>
      <w:r>
        <w:rPr>
          <w:rStyle w:val="NormalTok"/>
        </w:rPr>
        <w:t xml:space="preserve">    </w:t>
      </w:r>
      <w:r>
        <w:rPr>
          <w:rStyle w:val="KeywordTok"/>
        </w:rPr>
        <w:t xml:space="preserve">def</w:t>
      </w:r>
      <w:r>
        <w:rPr>
          <w:rStyle w:val="NormalTok"/>
        </w:rPr>
        <w:t xml:space="preserve"> value(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.value_</w:t>
      </w:r>
      <w:r>
        <w:br/>
      </w:r>
      <w:r>
        <w:rPr>
          <w:rStyle w:val="NormalTok"/>
        </w:rPr>
        <w:t xml:space="preserve">    </w:t>
      </w:r>
      <w:r>
        <w:rPr>
          <w:rStyle w:val="KeywordTok"/>
        </w:rPr>
        <w:t xml:space="preserve">def</w:t>
      </w:r>
      <w:r>
        <w:rPr>
          <w:rStyle w:val="NormalTok"/>
        </w:rPr>
        <w:t xml:space="preserve"> merge(</w:t>
      </w:r>
      <w:r>
        <w:rPr>
          <w:rStyle w:val="VariableTok"/>
        </w:rPr>
        <w:t xml:space="preserve">self</w:t>
      </w:r>
      <w:r>
        <w:rPr>
          <w:rStyle w:val="NormalTok"/>
        </w:rPr>
        <w:t xml:space="preserve">, other):</w:t>
      </w:r>
      <w:r>
        <w:br/>
      </w:r>
      <w:r>
        <w:rPr>
          <w:rStyle w:val="NormalTok"/>
        </w:rPr>
        <w:t xml:space="preserve">        </w:t>
      </w:r>
      <w:r>
        <w:rPr>
          <w:rStyle w:val="ControlFlowTok"/>
        </w:rPr>
        <w:t xml:space="preserve">if</w:t>
      </w:r>
      <w:r>
        <w:rPr>
          <w:rStyle w:val="NormalTok"/>
        </w:rPr>
        <w:t xml:space="preserve"> other.stamp </w:t>
      </w:r>
      <w:r>
        <w:rPr>
          <w:rStyle w:val="OperatorTok"/>
        </w:rPr>
        <w:t xml:space="preserve">&gt;</w:t>
      </w:r>
      <w:r>
        <w:rPr>
          <w:rStyle w:val="NormalTok"/>
        </w:rPr>
        <w:t xml:space="preserve"> </w:t>
      </w:r>
      <w:r>
        <w:rPr>
          <w:rStyle w:val="VariableTok"/>
        </w:rPr>
        <w:t xml:space="preserve">self</w:t>
      </w:r>
      <w:r>
        <w:rPr>
          <w:rStyle w:val="NormalTok"/>
        </w:rPr>
        <w:t xml:space="preserve">.stamp:</w:t>
      </w:r>
      <w:r>
        <w:br/>
      </w:r>
      <w:r>
        <w:rPr>
          <w:rStyle w:val="NormalTok"/>
        </w:rPr>
        <w:t xml:space="preserve">            </w:t>
      </w:r>
      <w:r>
        <w:rPr>
          <w:rStyle w:val="VariableTok"/>
        </w:rPr>
        <w:t xml:space="preserve">self</w:t>
      </w:r>
      <w:r>
        <w:rPr>
          <w:rStyle w:val="NormalTok"/>
        </w:rPr>
        <w:t xml:space="preserve">.value_, </w:t>
      </w:r>
      <w:r>
        <w:rPr>
          <w:rStyle w:val="VariableTok"/>
        </w:rPr>
        <w:t xml:space="preserve">self</w:t>
      </w:r>
      <w:r>
        <w:rPr>
          <w:rStyle w:val="NormalTok"/>
        </w:rPr>
        <w:t xml:space="preserve">.stamp </w:t>
      </w:r>
      <w:r>
        <w:rPr>
          <w:rStyle w:val="OperatorTok"/>
        </w:rPr>
        <w:t xml:space="preserve">=</w:t>
      </w:r>
      <w:r>
        <w:rPr>
          <w:rStyle w:val="NormalTok"/>
        </w:rPr>
        <w:t xml:space="preserve"> other.value_, other.stamp</w:t>
      </w:r>
      <w:r>
        <w:br/>
      </w:r>
      <w:r>
        <w:rPr>
          <w:rStyle w:val="NormalTok"/>
        </w:rPr>
        <w:t xml:space="preserve">    </w:t>
      </w:r>
      <w:r>
        <w:rPr>
          <w:rStyle w:val="KeywordTok"/>
        </w:rPr>
        <w:t xml:space="preserve">def</w:t>
      </w:r>
      <w:r>
        <w:rPr>
          <w:rStyle w:val="NormalTok"/>
        </w:rPr>
        <w:t xml:space="preserve"> state(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.value_, </w:t>
      </w:r>
      <w:r>
        <w:rPr>
          <w:rStyle w:val="VariableTok"/>
        </w:rPr>
        <w:t xml:space="preserve">self</w:t>
      </w:r>
      <w:r>
        <w:rPr>
          <w:rStyle w:val="NormalTok"/>
        </w:rPr>
        <w:t xml:space="preserve">.stamp)</w:t>
      </w:r>
      <w:r>
        <w:br/>
      </w:r>
      <w:r>
        <w:br/>
      </w:r>
      <w:r>
        <w:rPr>
          <w:rStyle w:val="KeywordTok"/>
        </w:rPr>
        <w:t xml:space="preserve">class</w:t>
      </w:r>
      <w:r>
        <w:rPr>
          <w:rStyle w:val="NormalTok"/>
        </w:rPr>
        <w:t xml:space="preserve"> ORSet:</w:t>
      </w:r>
      <w:r>
        <w:br/>
      </w:r>
      <w:r>
        <w:rPr>
          <w:rStyle w:val="NormalTok"/>
        </w:rPr>
        <w:t xml:space="preserve">    </w:t>
      </w:r>
      <w:r>
        <w:rPr>
          <w:rStyle w:val="CommentTok"/>
        </w:rPr>
        <w:t xml:space="preserve">"""Observed-remove set: each add creates a unique tag; remove deletes only</w:t>
      </w:r>
      <w:r>
        <w:br/>
      </w:r>
      <w:r>
        <w:rPr>
          <w:rStyle w:val="CommentTok"/>
        </w:rPr>
        <w:t xml:space="preserve">    the tags it has observed, so a concurrent add survives (add wins)."""</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replica):</w:t>
      </w:r>
      <w:r>
        <w:br/>
      </w:r>
      <w:r>
        <w:rPr>
          <w:rStyle w:val="NormalTok"/>
        </w:rPr>
        <w:t xml:space="preserve">        </w:t>
      </w:r>
      <w:r>
        <w:rPr>
          <w:rStyle w:val="VariableTok"/>
        </w:rPr>
        <w:t xml:space="preserve">self</w:t>
      </w:r>
      <w:r>
        <w:rPr>
          <w:rStyle w:val="NormalTok"/>
        </w:rPr>
        <w:t xml:space="preserve">.replica, </w:t>
      </w:r>
      <w:r>
        <w:rPr>
          <w:rStyle w:val="VariableTok"/>
        </w:rPr>
        <w:t xml:space="preserve">self</w:t>
      </w:r>
      <w:r>
        <w:rPr>
          <w:rStyle w:val="NormalTok"/>
        </w:rPr>
        <w:t xml:space="preserve">.adds, </w:t>
      </w:r>
      <w:r>
        <w:rPr>
          <w:rStyle w:val="VariableTok"/>
        </w:rPr>
        <w:t xml:space="preserve">self</w:t>
      </w:r>
      <w:r>
        <w:rPr>
          <w:rStyle w:val="NormalTok"/>
        </w:rPr>
        <w:t xml:space="preserve">.removes, </w:t>
      </w:r>
      <w:r>
        <w:rPr>
          <w:rStyle w:val="VariableTok"/>
        </w:rPr>
        <w:t xml:space="preserve">self</w:t>
      </w:r>
      <w:r>
        <w:rPr>
          <w:rStyle w:val="NormalTok"/>
        </w:rPr>
        <w:t xml:space="preserve">.seq </w:t>
      </w:r>
      <w:r>
        <w:rPr>
          <w:rStyle w:val="OperatorTok"/>
        </w:rPr>
        <w:t xml:space="preserve">=</w:t>
      </w:r>
      <w:r>
        <w:rPr>
          <w:rStyle w:val="NormalTok"/>
        </w:rPr>
        <w:t xml:space="preserve"> replica, </w:t>
      </w:r>
      <w:r>
        <w:rPr>
          <w:rStyle w:val="BuiltInTok"/>
        </w:rPr>
        <w:t xml:space="preserve">set</w:t>
      </w:r>
      <w:r>
        <w:rPr>
          <w:rStyle w:val="NormalTok"/>
        </w:rPr>
        <w:t xml:space="preserve">(), </w:t>
      </w:r>
      <w:r>
        <w:rPr>
          <w:rStyle w:val="BuiltInTok"/>
        </w:rPr>
        <w:t xml:space="preserve">set</w:t>
      </w:r>
      <w:r>
        <w:rPr>
          <w:rStyle w:val="NormalTok"/>
        </w:rPr>
        <w:t xml:space="preserve">(), </w:t>
      </w:r>
      <w:r>
        <w:rPr>
          <w:rStyle w:val="DecValTok"/>
        </w:rPr>
        <w:t xml:space="preserve">0</w:t>
      </w:r>
      <w:r>
        <w:br/>
      </w:r>
      <w:r>
        <w:rPr>
          <w:rStyle w:val="NormalTok"/>
        </w:rPr>
        <w:t xml:space="preserve">    </w:t>
      </w:r>
      <w:r>
        <w:rPr>
          <w:rStyle w:val="KeywordTok"/>
        </w:rPr>
        <w:t xml:space="preserve">def</w:t>
      </w:r>
      <w:r>
        <w:rPr>
          <w:rStyle w:val="NormalTok"/>
        </w:rPr>
        <w:t xml:space="preserve"> add(</w:t>
      </w:r>
      <w:r>
        <w:rPr>
          <w:rStyle w:val="VariableTok"/>
        </w:rPr>
        <w:t xml:space="preserve">self</w:t>
      </w:r>
      <w:r>
        <w:rPr>
          <w:rStyle w:val="NormalTok"/>
        </w:rPr>
        <w:t xml:space="preserve">, element):</w:t>
      </w:r>
      <w:r>
        <w:br/>
      </w:r>
      <w:r>
        <w:rPr>
          <w:rStyle w:val="NormalTok"/>
        </w:rPr>
        <w:t xml:space="preserve">        </w:t>
      </w:r>
      <w:r>
        <w:rPr>
          <w:rStyle w:val="VariableTok"/>
        </w:rPr>
        <w:t xml:space="preserve">self</w:t>
      </w:r>
      <w:r>
        <w:rPr>
          <w:rStyle w:val="NormalTok"/>
        </w:rPr>
        <w:t xml:space="preserve">.seq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tag = (replica, sequence): globally unique</w:t>
      </w:r>
      <w:r>
        <w:br/>
      </w:r>
      <w:r>
        <w:rPr>
          <w:rStyle w:val="NormalTok"/>
        </w:rPr>
        <w:t xml:space="preserve">        </w:t>
      </w:r>
      <w:r>
        <w:rPr>
          <w:rStyle w:val="VariableTok"/>
        </w:rPr>
        <w:t xml:space="preserve">self</w:t>
      </w:r>
      <w:r>
        <w:rPr>
          <w:rStyle w:val="NormalTok"/>
        </w:rPr>
        <w:t xml:space="preserve">.adds.add((element, (</w:t>
      </w:r>
      <w:r>
        <w:rPr>
          <w:rStyle w:val="VariableTok"/>
        </w:rPr>
        <w:t xml:space="preserve">self</w:t>
      </w:r>
      <w:r>
        <w:rPr>
          <w:rStyle w:val="NormalTok"/>
        </w:rPr>
        <w:t xml:space="preserve">.replica, </w:t>
      </w:r>
      <w:r>
        <w:rPr>
          <w:rStyle w:val="VariableTok"/>
        </w:rPr>
        <w:t xml:space="preserve">self</w:t>
      </w:r>
      <w:r>
        <w:rPr>
          <w:rStyle w:val="NormalTok"/>
        </w:rPr>
        <w:t xml:space="preserve">.seq)))</w:t>
      </w:r>
      <w:r>
        <w:br/>
      </w:r>
      <w:r>
        <w:rPr>
          <w:rStyle w:val="NormalTok"/>
        </w:rPr>
        <w:t xml:space="preserve">    </w:t>
      </w:r>
      <w:r>
        <w:rPr>
          <w:rStyle w:val="KeywordTok"/>
        </w:rPr>
        <w:t xml:space="preserve">def</w:t>
      </w:r>
      <w:r>
        <w:rPr>
          <w:rStyle w:val="NormalTok"/>
        </w:rPr>
        <w:t xml:space="preserve"> remove(</w:t>
      </w:r>
      <w:r>
        <w:rPr>
          <w:rStyle w:val="VariableTok"/>
        </w:rPr>
        <w:t xml:space="preserve">self</w:t>
      </w:r>
      <w:r>
        <w:rPr>
          <w:rStyle w:val="NormalTok"/>
        </w:rPr>
        <w:t xml:space="preserve">, element):</w:t>
      </w:r>
      <w:r>
        <w:br/>
      </w:r>
      <w:r>
        <w:rPr>
          <w:rStyle w:val="NormalTok"/>
        </w:rPr>
        <w:t xml:space="preserve">        </w:t>
      </w:r>
      <w:r>
        <w:rPr>
          <w:rStyle w:val="VariableTok"/>
        </w:rPr>
        <w:t xml:space="preserve">self</w:t>
      </w:r>
      <w:r>
        <w:rPr>
          <w:rStyle w:val="NormalTok"/>
        </w:rPr>
        <w:t xml:space="preserve">.removes </w:t>
      </w:r>
      <w:r>
        <w:rPr>
          <w:rStyle w:val="OperatorTok"/>
        </w:rPr>
        <w:t xml:space="preserve">|=</w:t>
      </w:r>
      <w:r>
        <w:rPr>
          <w:rStyle w:val="NormalTok"/>
        </w:rPr>
        <w:t xml:space="preserve"> {t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VariableTok"/>
        </w:rPr>
        <w:t xml:space="preserve">self</w:t>
      </w:r>
      <w:r>
        <w:rPr>
          <w:rStyle w:val="NormalTok"/>
        </w:rPr>
        <w:t xml:space="preserve">.adds </w:t>
      </w:r>
      <w:r>
        <w:rPr>
          <w:rStyle w:val="ControlFlowTok"/>
        </w:rPr>
        <w:t xml:space="preserve">if</w:t>
      </w:r>
      <w:r>
        <w:rPr>
          <w:rStyle w:val="NormalTok"/>
        </w:rPr>
        <w:t xml:space="preserve"> t[</w:t>
      </w:r>
      <w:r>
        <w:rPr>
          <w:rStyle w:val="DecValTok"/>
        </w:rPr>
        <w:t xml:space="preserve">0</w:t>
      </w:r>
      <w:r>
        <w:rPr>
          <w:rStyle w:val="NormalTok"/>
        </w:rPr>
        <w:t xml:space="preserve">] </w:t>
      </w:r>
      <w:r>
        <w:rPr>
          <w:rStyle w:val="OperatorTok"/>
        </w:rPr>
        <w:t xml:space="preserve">==</w:t>
      </w:r>
      <w:r>
        <w:rPr>
          <w:rStyle w:val="NormalTok"/>
        </w:rPr>
        <w:t xml:space="preserve"> element}</w:t>
      </w:r>
      <w:r>
        <w:br/>
      </w:r>
      <w:r>
        <w:rPr>
          <w:rStyle w:val="NormalTok"/>
        </w:rPr>
        <w:t xml:space="preserve">    </w:t>
      </w:r>
      <w:r>
        <w:rPr>
          <w:rStyle w:val="KeywordTok"/>
        </w:rPr>
        <w:t xml:space="preserve">def</w:t>
      </w:r>
      <w:r>
        <w:rPr>
          <w:rStyle w:val="NormalTok"/>
        </w:rPr>
        <w:t xml:space="preserve"> value(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{e </w:t>
      </w:r>
      <w:r>
        <w:rPr>
          <w:rStyle w:val="ControlFlowTok"/>
        </w:rPr>
        <w:t xml:space="preserve">for</w:t>
      </w:r>
      <w:r>
        <w:rPr>
          <w:rStyle w:val="NormalTok"/>
        </w:rPr>
        <w:t xml:space="preserve"> (e, tag) </w:t>
      </w:r>
      <w:r>
        <w:rPr>
          <w:rStyle w:val="KeywordTok"/>
        </w:rPr>
        <w:t xml:space="preserve">in</w:t>
      </w:r>
      <w:r>
        <w:rPr>
          <w:rStyle w:val="NormalTok"/>
        </w:rPr>
        <w:t xml:space="preserve"> </w:t>
      </w:r>
      <w:r>
        <w:rPr>
          <w:rStyle w:val="VariableTok"/>
        </w:rPr>
        <w:t xml:space="preserve">self</w:t>
      </w:r>
      <w:r>
        <w:rPr>
          <w:rStyle w:val="NormalTok"/>
        </w:rPr>
        <w:t xml:space="preserve">.adds </w:t>
      </w:r>
      <w:r>
        <w:rPr>
          <w:rStyle w:val="OperatorTok"/>
        </w:rPr>
        <w:t xml:space="preserve">-</w:t>
      </w:r>
      <w:r>
        <w:rPr>
          <w:rStyle w:val="NormalTok"/>
        </w:rPr>
        <w:t xml:space="preserve"> </w:t>
      </w:r>
      <w:r>
        <w:rPr>
          <w:rStyle w:val="VariableTok"/>
        </w:rPr>
        <w:t xml:space="preserve">self</w:t>
      </w:r>
      <w:r>
        <w:rPr>
          <w:rStyle w:val="NormalTok"/>
        </w:rPr>
        <w:t xml:space="preserve">.removes}</w:t>
      </w:r>
      <w:r>
        <w:br/>
      </w:r>
      <w:r>
        <w:rPr>
          <w:rStyle w:val="NormalTok"/>
        </w:rPr>
        <w:t xml:space="preserve">    </w:t>
      </w:r>
      <w:r>
        <w:rPr>
          <w:rStyle w:val="KeywordTok"/>
        </w:rPr>
        <w:t xml:space="preserve">def</w:t>
      </w:r>
      <w:r>
        <w:rPr>
          <w:rStyle w:val="NormalTok"/>
        </w:rPr>
        <w:t xml:space="preserve"> merge(</w:t>
      </w:r>
      <w:r>
        <w:rPr>
          <w:rStyle w:val="VariableTok"/>
        </w:rPr>
        <w:t xml:space="preserve">self</w:t>
      </w:r>
      <w:r>
        <w:rPr>
          <w:rStyle w:val="NormalTok"/>
        </w:rPr>
        <w:t xml:space="preserve">, other):</w:t>
      </w:r>
      <w:r>
        <w:br/>
      </w:r>
      <w:r>
        <w:rPr>
          <w:rStyle w:val="NormalTok"/>
        </w:rPr>
        <w:t xml:space="preserve">        </w:t>
      </w:r>
      <w:r>
        <w:rPr>
          <w:rStyle w:val="VariableTok"/>
        </w:rPr>
        <w:t xml:space="preserve">self</w:t>
      </w:r>
      <w:r>
        <w:rPr>
          <w:rStyle w:val="NormalTok"/>
        </w:rPr>
        <w:t xml:space="preserve">.adds </w:t>
      </w:r>
      <w:r>
        <w:rPr>
          <w:rStyle w:val="OperatorTok"/>
        </w:rPr>
        <w:t xml:space="preserve">|=</w:t>
      </w:r>
      <w:r>
        <w:rPr>
          <w:rStyle w:val="NormalTok"/>
        </w:rPr>
        <w:t xml:space="preserve"> other.adds</w:t>
      </w:r>
      <w:r>
        <w:br/>
      </w:r>
      <w:r>
        <w:rPr>
          <w:rStyle w:val="NormalTok"/>
        </w:rPr>
        <w:t xml:space="preserve">        </w:t>
      </w:r>
      <w:r>
        <w:rPr>
          <w:rStyle w:val="VariableTok"/>
        </w:rPr>
        <w:t xml:space="preserve">self</w:t>
      </w:r>
      <w:r>
        <w:rPr>
          <w:rStyle w:val="NormalTok"/>
        </w:rPr>
        <w:t xml:space="preserve">.removes </w:t>
      </w:r>
      <w:r>
        <w:rPr>
          <w:rStyle w:val="OperatorTok"/>
        </w:rPr>
        <w:t xml:space="preserve">|=</w:t>
      </w:r>
      <w:r>
        <w:rPr>
          <w:rStyle w:val="NormalTok"/>
        </w:rPr>
        <w:t xml:space="preserve"> other.removes</w:t>
      </w:r>
      <w:r>
        <w:br/>
      </w:r>
      <w:r>
        <w:rPr>
          <w:rStyle w:val="NormalTok"/>
        </w:rPr>
        <w:t xml:space="preserve">    </w:t>
      </w:r>
      <w:r>
        <w:rPr>
          <w:rStyle w:val="KeywordTok"/>
        </w:rPr>
        <w:t xml:space="preserve">def</w:t>
      </w:r>
      <w:r>
        <w:rPr>
          <w:rStyle w:val="NormalTok"/>
        </w:rPr>
        <w:t xml:space="preserve"> state(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sorted</w:t>
      </w:r>
      <w:r>
        <w:rPr>
          <w:rStyle w:val="NormalTok"/>
        </w:rPr>
        <w:t xml:space="preserve">(</w:t>
      </w:r>
      <w:r>
        <w:rPr>
          <w:rStyle w:val="VariableTok"/>
        </w:rPr>
        <w:t xml:space="preserve">self</w:t>
      </w:r>
      <w:r>
        <w:rPr>
          <w:rStyle w:val="NormalTok"/>
        </w:rPr>
        <w:t xml:space="preserve">.adds), </w:t>
      </w:r>
      <w:r>
        <w:rPr>
          <w:rStyle w:val="BuiltInTok"/>
        </w:rPr>
        <w:t xml:space="preserve">sorted</w:t>
      </w:r>
      <w:r>
        <w:rPr>
          <w:rStyle w:val="NormalTok"/>
        </w:rPr>
        <w:t xml:space="preserve">(</w:t>
      </w:r>
      <w:r>
        <w:rPr>
          <w:rStyle w:val="VariableTok"/>
        </w:rPr>
        <w:t xml:space="preserve">self</w:t>
      </w:r>
      <w:r>
        <w:rPr>
          <w:rStyle w:val="NormalTok"/>
        </w:rPr>
        <w:t xml:space="preserve">.removes))</w:t>
      </w:r>
      <w:r>
        <w:br/>
      </w:r>
      <w:r>
        <w:br/>
      </w:r>
      <w:r>
        <w:rPr>
          <w:rStyle w:val="KeywordTok"/>
        </w:rPr>
        <w:t xml:space="preserve">def</w:t>
      </w:r>
      <w:r>
        <w:rPr>
          <w:rStyle w:val="NormalTok"/>
        </w:rPr>
        <w:t xml:space="preserve"> merged(a, b):</w:t>
      </w:r>
      <w:r>
        <w:br/>
      </w:r>
      <w:r>
        <w:rPr>
          <w:rStyle w:val="NormalTok"/>
        </w:rPr>
        <w:t xml:space="preserve">    </w:t>
      </w:r>
      <w:r>
        <w:rPr>
          <w:rStyle w:val="CommentTok"/>
        </w:rPr>
        <w:t xml:space="preserve">"""Return a copy of a merged with b, leaving both inputs unchanged."""</w:t>
      </w:r>
      <w:r>
        <w:br/>
      </w:r>
      <w:r>
        <w:rPr>
          <w:rStyle w:val="NormalTok"/>
        </w:rPr>
        <w:t xml:space="preserve">    out </w:t>
      </w:r>
      <w:r>
        <w:rPr>
          <w:rStyle w:val="OperatorTok"/>
        </w:rPr>
        <w:t xml:space="preserve">=</w:t>
      </w:r>
      <w:r>
        <w:rPr>
          <w:rStyle w:val="NormalTok"/>
        </w:rPr>
        <w:t xml:space="preserve"> copy.deepcopy(a)</w:t>
      </w:r>
      <w:r>
        <w:br/>
      </w:r>
      <w:r>
        <w:rPr>
          <w:rStyle w:val="NormalTok"/>
        </w:rPr>
        <w:t xml:space="preserve">    out.merge(b)</w:t>
      </w:r>
      <w:r>
        <w:br/>
      </w:r>
      <w:r>
        <w:rPr>
          <w:rStyle w:val="NormalTok"/>
        </w:rPr>
        <w:t xml:space="preserve">    </w:t>
      </w:r>
      <w:r>
        <w:rPr>
          <w:rStyle w:val="ControlFlowTok"/>
        </w:rPr>
        <w:t xml:space="preserve">return</w:t>
      </w:r>
      <w:r>
        <w:rPr>
          <w:rStyle w:val="NormalTok"/>
        </w:rPr>
        <w:t xml:space="preserve"> out</w:t>
      </w:r>
      <w:r>
        <w:br/>
      </w:r>
      <w:r>
        <w:br/>
      </w:r>
      <w:r>
        <w:rPr>
          <w:rStyle w:val="KeywordTok"/>
        </w:rPr>
        <w:t xml:space="preserve">def</w:t>
      </w:r>
      <w:r>
        <w:rPr>
          <w:rStyle w:val="NormalTok"/>
        </w:rPr>
        <w:t xml:space="preserve"> random_replicas(cls, rng, ops</w:t>
      </w:r>
      <w:r>
        <w:rPr>
          <w:rStyle w:val="OperatorTok"/>
        </w:rPr>
        <w:t xml:space="preserve">=</w:t>
      </w:r>
      <w:r>
        <w:rPr>
          <w:rStyle w:val="DecValTok"/>
        </w:rPr>
        <w:t xml:space="preserve">30</w:t>
      </w:r>
      <w:r>
        <w:rPr>
          <w:rStyle w:val="NormalTok"/>
        </w:rPr>
        <w:t xml:space="preserve">):</w:t>
      </w:r>
      <w:r>
        <w:br/>
      </w:r>
      <w:r>
        <w:rPr>
          <w:rStyle w:val="NormalTok"/>
        </w:rPr>
        <w:t xml:space="preserve">    replicas </w:t>
      </w:r>
      <w:r>
        <w:rPr>
          <w:rStyle w:val="OperatorTok"/>
        </w:rPr>
        <w:t xml:space="preserve">=</w:t>
      </w:r>
      <w:r>
        <w:rPr>
          <w:rStyle w:val="NormalTok"/>
        </w:rPr>
        <w:t xml:space="preserve"> [cls(name) </w:t>
      </w:r>
      <w:r>
        <w:rPr>
          <w:rStyle w:val="ControlFlowTok"/>
        </w:rPr>
        <w:t xml:space="preserve">for</w:t>
      </w:r>
      <w:r>
        <w:rPr>
          <w:rStyle w:val="NormalTok"/>
        </w:rPr>
        <w:t xml:space="preserve"> name </w:t>
      </w:r>
      <w:r>
        <w:rPr>
          <w:rStyle w:val="KeywordTok"/>
        </w:rPr>
        <w:t xml:space="preserve">in</w:t>
      </w:r>
      <w:r>
        <w:rPr>
          <w:rStyle w:val="NormalTok"/>
        </w:rPr>
        <w:t xml:space="preserve"> </w:t>
      </w:r>
      <w:r>
        <w:rPr>
          <w:rStyle w:val="StringTok"/>
        </w:rPr>
        <w:t xml:space="preserve">"ABC"</w:t>
      </w:r>
      <w:r>
        <w:rPr>
          <w:rStyle w:val="NormalTok"/>
        </w:rPr>
        <w:t xml:space="preserve">]</w:t>
      </w:r>
      <w:r>
        <w:br/>
      </w:r>
      <w:r>
        <w:rPr>
          <w:rStyle w:val="NormalTok"/>
        </w:rPr>
        <w:t xml:space="preserve">    </w:t>
      </w:r>
      <w:r>
        <w:rPr>
          <w:rStyle w:val="ControlFlowTok"/>
        </w:rPr>
        <w:t xml:space="preserve">for</w:t>
      </w:r>
      <w:r>
        <w:rPr>
          <w:rStyle w:val="NormalTok"/>
        </w:rPr>
        <w:t xml:space="preserve"> step </w:t>
      </w:r>
      <w:r>
        <w:rPr>
          <w:rStyle w:val="KeywordTok"/>
        </w:rPr>
        <w:t xml:space="preserve">in</w:t>
      </w:r>
      <w:r>
        <w:rPr>
          <w:rStyle w:val="NormalTok"/>
        </w:rPr>
        <w:t xml:space="preserve"> </w:t>
      </w:r>
      <w:r>
        <w:rPr>
          <w:rStyle w:val="BuiltInTok"/>
        </w:rPr>
        <w:t xml:space="preserve">range</w:t>
      </w:r>
      <w:r>
        <w:rPr>
          <w:rStyle w:val="NormalTok"/>
        </w:rPr>
        <w:t xml:space="preserve">(ops):</w:t>
      </w:r>
      <w:r>
        <w:br/>
      </w:r>
      <w:r>
        <w:rPr>
          <w:rStyle w:val="NormalTok"/>
        </w:rPr>
        <w:t xml:space="preserve">        r </w:t>
      </w:r>
      <w:r>
        <w:rPr>
          <w:rStyle w:val="OperatorTok"/>
        </w:rPr>
        <w:t xml:space="preserve">=</w:t>
      </w:r>
      <w:r>
        <w:rPr>
          <w:rStyle w:val="NormalTok"/>
        </w:rPr>
        <w:t xml:space="preserve"> rng.choice(replicas)</w:t>
      </w:r>
      <w:r>
        <w:br/>
      </w:r>
      <w:r>
        <w:rPr>
          <w:rStyle w:val="NormalTok"/>
        </w:rPr>
        <w:t xml:space="preserve">        </w:t>
      </w:r>
      <w:r>
        <w:rPr>
          <w:rStyle w:val="ControlFlowTok"/>
        </w:rPr>
        <w:t xml:space="preserve">if</w:t>
      </w:r>
      <w:r>
        <w:rPr>
          <w:rStyle w:val="NormalTok"/>
        </w:rPr>
        <w:t xml:space="preserve"> cls </w:t>
      </w:r>
      <w:r>
        <w:rPr>
          <w:rStyle w:val="KeywordTok"/>
        </w:rPr>
        <w:t xml:space="preserve">is</w:t>
      </w:r>
      <w:r>
        <w:rPr>
          <w:rStyle w:val="NormalTok"/>
        </w:rPr>
        <w:t xml:space="preserve"> GCounter:</w:t>
      </w:r>
      <w:r>
        <w:br/>
      </w:r>
      <w:r>
        <w:rPr>
          <w:rStyle w:val="NormalTok"/>
        </w:rPr>
        <w:t xml:space="preserve">            r.increment(rng.randint(</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        </w:t>
      </w:r>
      <w:r>
        <w:rPr>
          <w:rStyle w:val="ControlFlowTok"/>
        </w:rPr>
        <w:t xml:space="preserve">elif</w:t>
      </w:r>
      <w:r>
        <w:rPr>
          <w:rStyle w:val="NormalTok"/>
        </w:rPr>
        <w:t xml:space="preserve"> cls </w:t>
      </w:r>
      <w:r>
        <w:rPr>
          <w:rStyle w:val="KeywordTok"/>
        </w:rPr>
        <w:t xml:space="preserve">is</w:t>
      </w:r>
      <w:r>
        <w:rPr>
          <w:rStyle w:val="NormalTok"/>
        </w:rPr>
        <w:t xml:space="preserve"> PNCounter:</w:t>
      </w:r>
      <w:r>
        <w:br/>
      </w:r>
      <w:r>
        <w:rPr>
          <w:rStyle w:val="NormalTok"/>
        </w:rPr>
        <w:t xml:space="preserve">            (r.increment </w:t>
      </w:r>
      <w:r>
        <w:rPr>
          <w:rStyle w:val="ControlFlowTok"/>
        </w:rPr>
        <w:t xml:space="preserve">if</w:t>
      </w:r>
      <w:r>
        <w:rPr>
          <w:rStyle w:val="NormalTok"/>
        </w:rPr>
        <w:t xml:space="preserve"> rng.random() </w:t>
      </w:r>
      <w:r>
        <w:rPr>
          <w:rStyle w:val="OperatorTok"/>
        </w:rPr>
        <w:t xml:space="preserve">&lt;</w:t>
      </w:r>
      <w:r>
        <w:rPr>
          <w:rStyle w:val="NormalTok"/>
        </w:rPr>
        <w:t xml:space="preserve"> </w:t>
      </w:r>
      <w:r>
        <w:rPr>
          <w:rStyle w:val="FloatTok"/>
        </w:rPr>
        <w:t xml:space="preserve">0.6</w:t>
      </w:r>
      <w:r>
        <w:rPr>
          <w:rStyle w:val="NormalTok"/>
        </w:rPr>
        <w:t xml:space="preserve"> </w:t>
      </w:r>
      <w:r>
        <w:rPr>
          <w:rStyle w:val="ControlFlowTok"/>
        </w:rPr>
        <w:t xml:space="preserve">else</w:t>
      </w:r>
      <w:r>
        <w:rPr>
          <w:rStyle w:val="NormalTok"/>
        </w:rPr>
        <w:t xml:space="preserve"> r.decrement)(rng.randint(</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        </w:t>
      </w:r>
      <w:r>
        <w:rPr>
          <w:rStyle w:val="ControlFlowTok"/>
        </w:rPr>
        <w:t xml:space="preserve">elif</w:t>
      </w:r>
      <w:r>
        <w:rPr>
          <w:rStyle w:val="NormalTok"/>
        </w:rPr>
        <w:t xml:space="preserve"> cls </w:t>
      </w:r>
      <w:r>
        <w:rPr>
          <w:rStyle w:val="KeywordTok"/>
        </w:rPr>
        <w:t xml:space="preserve">is</w:t>
      </w:r>
      <w:r>
        <w:rPr>
          <w:rStyle w:val="NormalTok"/>
        </w:rPr>
        <w:t xml:space="preserve"> LWWRegister:</w:t>
      </w:r>
      <w:r>
        <w:br/>
      </w:r>
      <w:r>
        <w:rPr>
          <w:rStyle w:val="NormalTok"/>
        </w:rPr>
        <w:t xml:space="preserve">            r.assign(rng.choice(</w:t>
      </w:r>
      <w:r>
        <w:rPr>
          <w:rStyle w:val="StringTok"/>
        </w:rPr>
        <w:t xml:space="preserve">"xyz"</w:t>
      </w:r>
      <w:r>
        <w:rPr>
          <w:rStyle w:val="NormalTok"/>
        </w:rPr>
        <w:t xml:space="preserve">), timestamp</w:t>
      </w:r>
      <w:r>
        <w:rPr>
          <w:rStyle w:val="OperatorTok"/>
        </w:rPr>
        <w:t xml:space="preserve">=</w:t>
      </w:r>
      <w:r>
        <w:rPr>
          <w:rStyle w:val="NormalTok"/>
        </w:rPr>
        <w:t xml:space="preserve">rng.randint(</w:t>
      </w:r>
      <w:r>
        <w:rPr>
          <w:rStyle w:val="DecValTok"/>
        </w:rPr>
        <w:t xml:space="preserve">1</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(r.add </w:t>
      </w:r>
      <w:r>
        <w:rPr>
          <w:rStyle w:val="ControlFlowTok"/>
        </w:rPr>
        <w:t xml:space="preserve">if</w:t>
      </w:r>
      <w:r>
        <w:rPr>
          <w:rStyle w:val="NormalTok"/>
        </w:rPr>
        <w:t xml:space="preserve"> rng.random() </w:t>
      </w:r>
      <w:r>
        <w:rPr>
          <w:rStyle w:val="OperatorTok"/>
        </w:rPr>
        <w:t xml:space="preserve">&lt;</w:t>
      </w:r>
      <w:r>
        <w:rPr>
          <w:rStyle w:val="NormalTok"/>
        </w:rPr>
        <w:t xml:space="preserve"> </w:t>
      </w:r>
      <w:r>
        <w:rPr>
          <w:rStyle w:val="FloatTok"/>
        </w:rPr>
        <w:t xml:space="preserve">0.6</w:t>
      </w:r>
      <w:r>
        <w:rPr>
          <w:rStyle w:val="NormalTok"/>
        </w:rPr>
        <w:t xml:space="preserve"> </w:t>
      </w:r>
      <w:r>
        <w:rPr>
          <w:rStyle w:val="ControlFlowTok"/>
        </w:rPr>
        <w:t xml:space="preserve">else</w:t>
      </w:r>
      <w:r>
        <w:rPr>
          <w:rStyle w:val="NormalTok"/>
        </w:rPr>
        <w:t xml:space="preserve"> r.remove)(rng.choice(</w:t>
      </w:r>
      <w:r>
        <w:rPr>
          <w:rStyle w:val="StringTok"/>
        </w:rPr>
        <w:t xml:space="preserve">"abcd"</w:t>
      </w:r>
      <w:r>
        <w:rPr>
          <w:rStyle w:val="NormalTok"/>
        </w:rPr>
        <w:t xml:space="preserve">))</w:t>
      </w:r>
      <w:r>
        <w:br/>
      </w:r>
      <w:r>
        <w:rPr>
          <w:rStyle w:val="NormalTok"/>
        </w:rPr>
        <w:t xml:space="preserve">        </w:t>
      </w:r>
      <w:r>
        <w:rPr>
          <w:rStyle w:val="ControlFlowTok"/>
        </w:rPr>
        <w:t xml:space="preserve">if</w:t>
      </w:r>
      <w:r>
        <w:rPr>
          <w:rStyle w:val="NormalTok"/>
        </w:rPr>
        <w:t xml:space="preserve"> rng.random() </w:t>
      </w:r>
      <w:r>
        <w:rPr>
          <w:rStyle w:val="OperatorTok"/>
        </w:rPr>
        <w:t xml:space="preserve">&lt;</w:t>
      </w:r>
      <w:r>
        <w:rPr>
          <w:rStyle w:val="NormalTok"/>
        </w:rPr>
        <w:t xml:space="preserve"> </w:t>
      </w:r>
      <w:r>
        <w:rPr>
          <w:rStyle w:val="FloatTok"/>
        </w:rPr>
        <w:t xml:space="preserve">0.3</w:t>
      </w:r>
      <w:r>
        <w:rPr>
          <w:rStyle w:val="NormalTok"/>
        </w:rPr>
        <w:t xml:space="preserve">:                   </w:t>
      </w:r>
      <w:r>
        <w:rPr>
          <w:rStyle w:val="CommentTok"/>
        </w:rPr>
        <w:t xml:space="preserve"># occasional partial gossip</w:t>
      </w:r>
      <w:r>
        <w:br/>
      </w:r>
      <w:r>
        <w:rPr>
          <w:rStyle w:val="NormalTok"/>
        </w:rPr>
        <w:t xml:space="preserve">            r.merge(rng.choice(replicas))</w:t>
      </w:r>
      <w:r>
        <w:br/>
      </w:r>
      <w:r>
        <w:rPr>
          <w:rStyle w:val="NormalTok"/>
        </w:rPr>
        <w:t xml:space="preserve">    </w:t>
      </w:r>
      <w:r>
        <w:rPr>
          <w:rStyle w:val="ControlFlowTok"/>
        </w:rPr>
        <w:t xml:space="preserve">return</w:t>
      </w:r>
      <w:r>
        <w:rPr>
          <w:rStyle w:val="NormalTok"/>
        </w:rPr>
        <w:t xml:space="preserve"> replicas</w:t>
      </w:r>
      <w:r>
        <w:br/>
      </w:r>
      <w:r>
        <w:br/>
      </w:r>
      <w:r>
        <w:rPr>
          <w:rStyle w:val="KeywordTok"/>
        </w:rPr>
        <w:t xml:space="preserve">def</w:t>
      </w:r>
      <w:r>
        <w:rPr>
          <w:rStyle w:val="NormalTok"/>
        </w:rPr>
        <w:t xml:space="preserve"> check_laws(cls, trials</w:t>
      </w:r>
      <w:r>
        <w:rPr>
          <w:rStyle w:val="OperatorTok"/>
        </w:rPr>
        <w:t xml:space="preserve">=</w:t>
      </w:r>
      <w:r>
        <w:rPr>
          <w:rStyle w:val="DecValTok"/>
        </w:rPr>
        <w:t xml:space="preserve">200</w:t>
      </w:r>
      <w:r>
        <w:rPr>
          <w:rStyle w:val="NormalTok"/>
        </w:rPr>
        <w:t xml:space="preserve">, seed</w:t>
      </w:r>
      <w:r>
        <w:rPr>
          <w:rStyle w:val="OperatorTok"/>
        </w:rPr>
        <w:t xml:space="preserve">=</w:t>
      </w:r>
      <w:r>
        <w:rPr>
          <w:rStyle w:val="DecValTok"/>
        </w:rPr>
        <w:t xml:space="preserve">7</w:t>
      </w:r>
      <w:r>
        <w:rPr>
          <w:rStyle w:val="NormalTok"/>
        </w:rPr>
        <w:t xml:space="preserve">):</w:t>
      </w:r>
      <w:r>
        <w:br/>
      </w:r>
      <w:r>
        <w:rPr>
          <w:rStyle w:val="NormalTok"/>
        </w:rPr>
        <w:t xml:space="preserve">    rng </w:t>
      </w:r>
      <w:r>
        <w:rPr>
          <w:rStyle w:val="OperatorTok"/>
        </w:rPr>
        <w:t xml:space="preserve">=</w:t>
      </w:r>
      <w:r>
        <w:rPr>
          <w:rStyle w:val="NormalTok"/>
        </w:rPr>
        <w:t xml:space="preserve"> random.Random(seed)</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(trials):</w:t>
      </w:r>
      <w:r>
        <w:br/>
      </w:r>
      <w:r>
        <w:rPr>
          <w:rStyle w:val="NormalTok"/>
        </w:rPr>
        <w:t xml:space="preserve">        a, b, c </w:t>
      </w:r>
      <w:r>
        <w:rPr>
          <w:rStyle w:val="OperatorTok"/>
        </w:rPr>
        <w:t xml:space="preserve">=</w:t>
      </w:r>
      <w:r>
        <w:rPr>
          <w:rStyle w:val="NormalTok"/>
        </w:rPr>
        <w:t xml:space="preserve"> random_replicas(cls, rng)</w:t>
      </w:r>
      <w:r>
        <w:br/>
      </w:r>
      <w:r>
        <w:rPr>
          <w:rStyle w:val="NormalTok"/>
        </w:rPr>
        <w:t xml:space="preserve">        </w:t>
      </w:r>
      <w:r>
        <w:rPr>
          <w:rStyle w:val="ControlFlowTok"/>
        </w:rPr>
        <w:t xml:space="preserve">assert</w:t>
      </w:r>
      <w:r>
        <w:rPr>
          <w:rStyle w:val="NormalTok"/>
        </w:rPr>
        <w:t xml:space="preserve"> merged(a, b).state() </w:t>
      </w:r>
      <w:r>
        <w:rPr>
          <w:rStyle w:val="OperatorTok"/>
        </w:rPr>
        <w:t xml:space="preserve">==</w:t>
      </w:r>
      <w:r>
        <w:rPr>
          <w:rStyle w:val="NormalTok"/>
        </w:rPr>
        <w:t xml:space="preserve"> merged(b, a).state(), </w:t>
      </w:r>
      <w:r>
        <w:rPr>
          <w:rStyle w:val="StringTok"/>
        </w:rPr>
        <w:t xml:space="preserve">"commutativity"</w:t>
      </w:r>
      <w:r>
        <w:br/>
      </w:r>
      <w:r>
        <w:rPr>
          <w:rStyle w:val="NormalTok"/>
        </w:rPr>
        <w:t xml:space="preserve">        </w:t>
      </w:r>
      <w:r>
        <w:rPr>
          <w:rStyle w:val="ControlFlowTok"/>
        </w:rPr>
        <w:t xml:space="preserve">assert</w:t>
      </w:r>
      <w:r>
        <w:rPr>
          <w:rStyle w:val="NormalTok"/>
        </w:rPr>
        <w:t xml:space="preserve"> merged(merged(a, b), c).state() </w:t>
      </w:r>
      <w:r>
        <w:rPr>
          <w:rStyle w:val="OperatorTok"/>
        </w:rPr>
        <w:t xml:space="preserve">==</w:t>
      </w:r>
      <w:r>
        <w:rPr>
          <w:rStyle w:val="NormalTok"/>
        </w:rPr>
        <w:t xml:space="preserve"> merged(a, merged(b, c)).state(), </w:t>
      </w:r>
      <w:r>
        <w:rPr>
          <w:rStyle w:val="StringTok"/>
        </w:rPr>
        <w:t xml:space="preserve">"associativity"</w:t>
      </w:r>
      <w:r>
        <w:br/>
      </w:r>
      <w:r>
        <w:rPr>
          <w:rStyle w:val="NormalTok"/>
        </w:rPr>
        <w:t xml:space="preserve">        </w:t>
      </w:r>
      <w:r>
        <w:rPr>
          <w:rStyle w:val="ControlFlowTok"/>
        </w:rPr>
        <w:t xml:space="preserve">assert</w:t>
      </w:r>
      <w:r>
        <w:rPr>
          <w:rStyle w:val="NormalTok"/>
        </w:rPr>
        <w:t xml:space="preserve"> merged(a, a).state() </w:t>
      </w:r>
      <w:r>
        <w:rPr>
          <w:rStyle w:val="OperatorTok"/>
        </w:rPr>
        <w:t xml:space="preserve">==</w:t>
      </w:r>
      <w:r>
        <w:rPr>
          <w:rStyle w:val="NormalTok"/>
        </w:rPr>
        <w:t xml:space="preserve"> a.state(), </w:t>
      </w:r>
      <w:r>
        <w:rPr>
          <w:rStyle w:val="StringTok"/>
        </w:rPr>
        <w:t xml:space="preserve">"idempotence"</w:t>
      </w:r>
      <w:r>
        <w:br/>
      </w:r>
      <w:r>
        <w:rPr>
          <w:rStyle w:val="NormalTok"/>
        </w:rPr>
        <w:t xml:space="preserve">        finals </w:t>
      </w:r>
      <w:r>
        <w:rPr>
          <w:rStyle w:val="OperatorTok"/>
        </w:rPr>
        <w:t xml:space="preserve">=</w:t>
      </w:r>
      <w:r>
        <w:rPr>
          <w:rStyle w:val="NormalTok"/>
        </w:rPr>
        <w:t xml:space="preserve"> [merged(merged(x, y), z).state() </w:t>
      </w:r>
      <w:r>
        <w:rPr>
          <w:rStyle w:val="ControlFlowTok"/>
        </w:rPr>
        <w:t xml:space="preserve">for</w:t>
      </w:r>
      <w:r>
        <w:rPr>
          <w:rStyle w:val="NormalTok"/>
        </w:rPr>
        <w:t xml:space="preserve"> x, y, z </w:t>
      </w:r>
      <w:r>
        <w:rPr>
          <w:rStyle w:val="KeywordTok"/>
        </w:rPr>
        <w:t xml:space="preserve">in</w:t>
      </w:r>
      <w:r>
        <w:rPr>
          <w:rStyle w:val="NormalTok"/>
        </w:rPr>
        <w:t xml:space="preserve"> itertools.permutations((a, b, c))]</w:t>
      </w:r>
      <w:r>
        <w:br/>
      </w:r>
      <w:r>
        <w:rPr>
          <w:rStyle w:val="NormalTok"/>
        </w:rPr>
        <w:t xml:space="preserve">        </w:t>
      </w:r>
      <w:r>
        <w:rPr>
          <w:rStyle w:val="ControlFlowTok"/>
        </w:rPr>
        <w:t xml:space="preserve">assert</w:t>
      </w:r>
      <w:r>
        <w:rPr>
          <w:rStyle w:val="NormalTok"/>
        </w:rPr>
        <w:t xml:space="preserve"> </w:t>
      </w:r>
      <w:r>
        <w:rPr>
          <w:rStyle w:val="BuiltInTok"/>
        </w:rPr>
        <w:t xml:space="preserve">all</w:t>
      </w:r>
      <w:r>
        <w:rPr>
          <w:rStyle w:val="NormalTok"/>
        </w:rPr>
        <w:t xml:space="preserve">(s </w:t>
      </w:r>
      <w:r>
        <w:rPr>
          <w:rStyle w:val="OperatorTok"/>
        </w:rPr>
        <w:t xml:space="preserve">==</w:t>
      </w:r>
      <w:r>
        <w:rPr>
          <w:rStyle w:val="NormalTok"/>
        </w:rPr>
        <w:t xml:space="preserve"> finals[</w:t>
      </w:r>
      <w:r>
        <w:rPr>
          <w:rStyle w:val="DecValTok"/>
        </w:rPr>
        <w:t xml:space="preserve">0</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finals), </w:t>
      </w:r>
      <w:r>
        <w:rPr>
          <w:rStyle w:val="StringTok"/>
        </w:rPr>
        <w:t xml:space="preserve">"convergence in every merge order"</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NormalTok"/>
        </w:rPr>
        <w:t xml:space="preserve">cls</w:t>
      </w:r>
      <w:r>
        <w:rPr>
          <w:rStyle w:val="SpecialCharTok"/>
        </w:rPr>
        <w:t xml:space="preserve">.</w:t>
      </w:r>
      <w:r>
        <w:rPr>
          <w:rStyle w:val="VariableTok"/>
        </w:rPr>
        <w:t xml:space="preserve">__name__</w:t>
      </w:r>
      <w:r>
        <w:rPr>
          <w:rStyle w:val="SpecialCharTok"/>
        </w:rPr>
        <w:t xml:space="preserve">:11s}</w:t>
      </w:r>
      <w:r>
        <w:rPr>
          <w:rStyle w:val="SpecialStringTok"/>
        </w:rPr>
        <w:t xml:space="preserve">: </w:t>
      </w:r>
      <w:r>
        <w:rPr>
          <w:rStyle w:val="SpecialCharTok"/>
        </w:rPr>
        <w:t xml:space="preserve">{</w:t>
      </w:r>
      <w:r>
        <w:rPr>
          <w:rStyle w:val="NormalTok"/>
        </w:rPr>
        <w:t xml:space="preserve">trials</w:t>
      </w:r>
      <w:r>
        <w:rPr>
          <w:rStyle w:val="SpecialCharTok"/>
        </w:rPr>
        <w:t xml:space="preserve">}</w:t>
      </w:r>
      <w:r>
        <w:rPr>
          <w:rStyle w:val="SpecialStringTok"/>
        </w:rPr>
        <w:t xml:space="preserve"> random histories, all laws hold"</w:t>
      </w:r>
      <w:r>
        <w:br/>
      </w:r>
      <w:r>
        <w:br/>
      </w:r>
      <w:r>
        <w:rPr>
          <w:rStyle w:val="KeywordTok"/>
        </w:rPr>
        <w:t xml:space="preserve">class</w:t>
      </w:r>
      <w:r>
        <w:rPr>
          <w:rStyle w:val="NormalTok"/>
        </w:rPr>
        <w:t xml:space="preserve"> SumCounter(GCounter):</w:t>
      </w:r>
      <w:r>
        <w:br/>
      </w:r>
      <w:r>
        <w:rPr>
          <w:rStyle w:val="NormalTok"/>
        </w:rPr>
        <w:t xml:space="preserve">    </w:t>
      </w:r>
      <w:r>
        <w:rPr>
          <w:rStyle w:val="CommentTok"/>
        </w:rPr>
        <w:t xml:space="preserve">"""A broken design: merge adds slots instead of taking the maximum."""</w:t>
      </w:r>
      <w:r>
        <w:br/>
      </w:r>
      <w:r>
        <w:rPr>
          <w:rStyle w:val="NormalTok"/>
        </w:rPr>
        <w:t xml:space="preserve">    </w:t>
      </w:r>
      <w:r>
        <w:rPr>
          <w:rStyle w:val="KeywordTok"/>
        </w:rPr>
        <w:t xml:space="preserve">def</w:t>
      </w:r>
      <w:r>
        <w:rPr>
          <w:rStyle w:val="NormalTok"/>
        </w:rPr>
        <w:t xml:space="preserve"> merge(</w:t>
      </w:r>
      <w:r>
        <w:rPr>
          <w:rStyle w:val="VariableTok"/>
        </w:rPr>
        <w:t xml:space="preserve">self</w:t>
      </w:r>
      <w:r>
        <w:rPr>
          <w:rStyle w:val="NormalTok"/>
        </w:rPr>
        <w:t xml:space="preserve">, other):</w:t>
      </w:r>
      <w:r>
        <w:br/>
      </w:r>
      <w:r>
        <w:rPr>
          <w:rStyle w:val="NormalTok"/>
        </w:rPr>
        <w:t xml:space="preserve">        </w:t>
      </w:r>
      <w:r>
        <w:rPr>
          <w:rStyle w:val="ControlFlowTok"/>
        </w:rPr>
        <w:t xml:space="preserve">for</w:t>
      </w:r>
      <w:r>
        <w:rPr>
          <w:rStyle w:val="NormalTok"/>
        </w:rPr>
        <w:t xml:space="preserve"> r, v </w:t>
      </w:r>
      <w:r>
        <w:rPr>
          <w:rStyle w:val="KeywordTok"/>
        </w:rPr>
        <w:t xml:space="preserve">in</w:t>
      </w:r>
      <w:r>
        <w:rPr>
          <w:rStyle w:val="NormalTok"/>
        </w:rPr>
        <w:t xml:space="preserve"> other.slots.items():</w:t>
      </w:r>
      <w:r>
        <w:br/>
      </w:r>
      <w:r>
        <w:rPr>
          <w:rStyle w:val="NormalTok"/>
        </w:rPr>
        <w:t xml:space="preserve">            </w:t>
      </w:r>
      <w:r>
        <w:rPr>
          <w:rStyle w:val="VariableTok"/>
        </w:rPr>
        <w:t xml:space="preserve">self</w:t>
      </w:r>
      <w:r>
        <w:rPr>
          <w:rStyle w:val="NormalTok"/>
        </w:rPr>
        <w:t xml:space="preserve">.slots[r] </w:t>
      </w:r>
      <w:r>
        <w:rPr>
          <w:rStyle w:val="OperatorTok"/>
        </w:rPr>
        <w:t xml:space="preserve">=</w:t>
      </w:r>
      <w:r>
        <w:rPr>
          <w:rStyle w:val="NormalTok"/>
        </w:rPr>
        <w:t xml:space="preserve"> </w:t>
      </w:r>
      <w:r>
        <w:rPr>
          <w:rStyle w:val="VariableTok"/>
        </w:rPr>
        <w:t xml:space="preserve">self</w:t>
      </w:r>
      <w:r>
        <w:rPr>
          <w:rStyle w:val="NormalTok"/>
        </w:rPr>
        <w:t xml:space="preserve">.slots.get(r, </w:t>
      </w:r>
      <w:r>
        <w:rPr>
          <w:rStyle w:val="DecValTok"/>
        </w:rPr>
        <w:t xml:space="preserve">0</w:t>
      </w:r>
      <w:r>
        <w:rPr>
          <w:rStyle w:val="NormalTok"/>
        </w:rPr>
        <w:t xml:space="preserve">) </w:t>
      </w:r>
      <w:r>
        <w:rPr>
          <w:rStyle w:val="OperatorTok"/>
        </w:rPr>
        <w:t xml:space="preserve">+</w:t>
      </w:r>
      <w:r>
        <w:rPr>
          <w:rStyle w:val="NormalTok"/>
        </w:rPr>
        <w:t xml:space="preserve"> v</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ntrolFlowTok"/>
        </w:rPr>
        <w:t xml:space="preserve">for</w:t>
      </w:r>
      <w:r>
        <w:rPr>
          <w:rStyle w:val="NormalTok"/>
        </w:rPr>
        <w:t xml:space="preserve"> cls </w:t>
      </w:r>
      <w:r>
        <w:rPr>
          <w:rStyle w:val="KeywordTok"/>
        </w:rPr>
        <w:t xml:space="preserve">in</w:t>
      </w:r>
      <w:r>
        <w:rPr>
          <w:rStyle w:val="NormalTok"/>
        </w:rPr>
        <w:t xml:space="preserve"> (GCounter, PNCounter, LWWRegister, ORSet):</w:t>
      </w:r>
      <w:r>
        <w:br/>
      </w:r>
      <w:r>
        <w:rPr>
          <w:rStyle w:val="NormalTok"/>
        </w:rPr>
        <w:t xml:space="preserve">        </w:t>
      </w:r>
      <w:r>
        <w:rPr>
          <w:rStyle w:val="BuiltInTok"/>
        </w:rPr>
        <w:t xml:space="preserve">print</w:t>
      </w:r>
      <w:r>
        <w:rPr>
          <w:rStyle w:val="NormalTok"/>
        </w:rPr>
        <w:t xml:space="preserve">(check_laws(cls))</w:t>
      </w:r>
      <w:r>
        <w:br/>
      </w:r>
      <w:r>
        <w:br/>
      </w:r>
      <w:r>
        <w:rPr>
          <w:rStyle w:val="NormalTok"/>
        </w:rPr>
        <w:t xml:space="preserve">    bad </w:t>
      </w:r>
      <w:r>
        <w:rPr>
          <w:rStyle w:val="OperatorTok"/>
        </w:rPr>
        <w:t xml:space="preserve">=</w:t>
      </w:r>
      <w:r>
        <w:rPr>
          <w:rStyle w:val="NormalTok"/>
        </w:rPr>
        <w:t xml:space="preserve"> SumCounter(</w:t>
      </w:r>
      <w:r>
        <w:rPr>
          <w:rStyle w:val="StringTok"/>
        </w:rPr>
        <w:t xml:space="preserve">"A"</w:t>
      </w:r>
      <w:r>
        <w:rPr>
          <w:rStyle w:val="NormalTok"/>
        </w:rPr>
        <w:t xml:space="preserve">)</w:t>
      </w:r>
      <w:r>
        <w:rPr>
          <w:rStyle w:val="OperatorTok"/>
        </w:rPr>
        <w:t xml:space="preserve">;</w:t>
      </w:r>
      <w:r>
        <w:rPr>
          <w:rStyle w:val="NormalTok"/>
        </w:rPr>
        <w:t xml:space="preserve"> bad.increment(</w:t>
      </w:r>
      <w:r>
        <w:rPr>
          <w:rStyle w:val="DecValTok"/>
        </w:rPr>
        <w:t xml:space="preserve">5</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"SumCounter: value 5, after merging a duplicate delivery:"</w:t>
      </w:r>
      <w:r>
        <w:rPr>
          <w:rStyle w:val="NormalTok"/>
        </w:rPr>
        <w:t xml:space="preserve">, merged(bad, bad).value())</w:t>
      </w:r>
      <w:r>
        <w:br/>
      </w:r>
      <w:r>
        <w:br/>
      </w:r>
      <w:r>
        <w:rPr>
          <w:rStyle w:val="NormalTok"/>
        </w:rPr>
        <w:t xml:space="preserve">    </w:t>
      </w:r>
      <w:r>
        <w:rPr>
          <w:rStyle w:val="CommentTok"/>
        </w:rPr>
        <w:t xml:space="preserve"># Add-wins: A removes "milk" while B concurrently re-adds it.</w:t>
      </w:r>
      <w:r>
        <w:br/>
      </w:r>
      <w:r>
        <w:rPr>
          <w:rStyle w:val="NormalTok"/>
        </w:rPr>
        <w:t xml:space="preserve">    a, b </w:t>
      </w:r>
      <w:r>
        <w:rPr>
          <w:rStyle w:val="OperatorTok"/>
        </w:rPr>
        <w:t xml:space="preserve">=</w:t>
      </w:r>
      <w:r>
        <w:rPr>
          <w:rStyle w:val="NormalTok"/>
        </w:rPr>
        <w:t xml:space="preserve"> ORSet(</w:t>
      </w:r>
      <w:r>
        <w:rPr>
          <w:rStyle w:val="StringTok"/>
        </w:rPr>
        <w:t xml:space="preserve">"A"</w:t>
      </w:r>
      <w:r>
        <w:rPr>
          <w:rStyle w:val="NormalTok"/>
        </w:rPr>
        <w:t xml:space="preserve">), ORSet(</w:t>
      </w:r>
      <w:r>
        <w:rPr>
          <w:rStyle w:val="StringTok"/>
        </w:rPr>
        <w:t xml:space="preserve">"B"</w:t>
      </w:r>
      <w:r>
        <w:rPr>
          <w:rStyle w:val="NormalTok"/>
        </w:rPr>
        <w:t xml:space="preserve">)</w:t>
      </w:r>
      <w:r>
        <w:br/>
      </w:r>
      <w:r>
        <w:rPr>
          <w:rStyle w:val="NormalTok"/>
        </w:rPr>
        <w:t xml:space="preserve">    a.add(</w:t>
      </w:r>
      <w:r>
        <w:rPr>
          <w:rStyle w:val="StringTok"/>
        </w:rPr>
        <w:t xml:space="preserve">"milk"</w:t>
      </w:r>
      <w:r>
        <w:rPr>
          <w:rStyle w:val="NormalTok"/>
        </w:rPr>
        <w:t xml:space="preserve">)</w:t>
      </w:r>
      <w:r>
        <w:rPr>
          <w:rStyle w:val="OperatorTok"/>
        </w:rPr>
        <w:t xml:space="preserve">;</w:t>
      </w:r>
      <w:r>
        <w:rPr>
          <w:rStyle w:val="NormalTok"/>
        </w:rPr>
        <w:t xml:space="preserve"> b.merge(a)                    </w:t>
      </w:r>
      <w:r>
        <w:rPr>
          <w:rStyle w:val="CommentTok"/>
        </w:rPr>
        <w:t xml:space="preserve"># both replicas see milk</w:t>
      </w:r>
      <w:r>
        <w:br/>
      </w:r>
      <w:r>
        <w:rPr>
          <w:rStyle w:val="NormalTok"/>
        </w:rPr>
        <w:t xml:space="preserve">    a.remove(</w:t>
      </w:r>
      <w:r>
        <w:rPr>
          <w:rStyle w:val="StringTok"/>
        </w:rPr>
        <w:t xml:space="preserve">"milk"</w:t>
      </w:r>
      <w:r>
        <w:rPr>
          <w:rStyle w:val="NormalTok"/>
        </w:rPr>
        <w:t xml:space="preserve">)                             </w:t>
      </w:r>
      <w:r>
        <w:rPr>
          <w:rStyle w:val="CommentTok"/>
        </w:rPr>
        <w:t xml:space="preserve"># A removes the tag it observed</w:t>
      </w:r>
      <w:r>
        <w:br/>
      </w:r>
      <w:r>
        <w:rPr>
          <w:rStyle w:val="NormalTok"/>
        </w:rPr>
        <w:t xml:space="preserve">    b.add(</w:t>
      </w:r>
      <w:r>
        <w:rPr>
          <w:rStyle w:val="StringTok"/>
        </w:rPr>
        <w:t xml:space="preserve">"milk"</w:t>
      </w:r>
      <w:r>
        <w:rPr>
          <w:rStyle w:val="NormalTok"/>
        </w:rPr>
        <w:t xml:space="preserve">)                                </w:t>
      </w:r>
      <w:r>
        <w:rPr>
          <w:rStyle w:val="CommentTok"/>
        </w:rPr>
        <w:t xml:space="preserve"># B adds again with a fresh tag</w:t>
      </w:r>
      <w:r>
        <w:br/>
      </w:r>
      <w:r>
        <w:rPr>
          <w:rStyle w:val="NormalTok"/>
        </w:rPr>
        <w:t xml:space="preserve">    a.merge(b)</w:t>
      </w:r>
      <w:r>
        <w:rPr>
          <w:rStyle w:val="OperatorTok"/>
        </w:rPr>
        <w:t xml:space="preserve">;</w:t>
      </w:r>
      <w:r>
        <w:rPr>
          <w:rStyle w:val="NormalTok"/>
        </w:rPr>
        <w:t xml:space="preserve"> b.merge(a)</w:t>
      </w:r>
      <w:r>
        <w:br/>
      </w:r>
      <w:r>
        <w:rPr>
          <w:rStyle w:val="NormalTok"/>
        </w:rPr>
        <w:t xml:space="preserve">    </w:t>
      </w:r>
      <w:r>
        <w:rPr>
          <w:rStyle w:val="BuiltInTok"/>
        </w:rPr>
        <w:t xml:space="preserve">print</w:t>
      </w:r>
      <w:r>
        <w:rPr>
          <w:rStyle w:val="NormalTok"/>
        </w:rPr>
        <w:t xml:space="preserve">(</w:t>
      </w:r>
      <w:r>
        <w:rPr>
          <w:rStyle w:val="StringTok"/>
        </w:rPr>
        <w:t xml:space="preserve">"OR-Set after concurrent remove and add:"</w:t>
      </w:r>
      <w:r>
        <w:rPr>
          <w:rStyle w:val="NormalTok"/>
        </w:rPr>
        <w:t xml:space="preserve">, a.value(), b.value())</w:t>
      </w:r>
      <w:r>
        <w:br/>
      </w:r>
      <w:r>
        <w:br/>
      </w:r>
      <w:r>
        <w:rPr>
          <w:rStyle w:val="NormalTok"/>
        </w:rPr>
        <w:t xml:space="preserve">    </w:t>
      </w:r>
      <w:r>
        <w:rPr>
          <w:rStyle w:val="CommentTok"/>
        </w:rPr>
        <w:t xml:space="preserve"># The same story with LWW on timestamps loses B's add if A's clock is ahead.</w:t>
      </w:r>
      <w:r>
        <w:br/>
      </w:r>
      <w:r>
        <w:rPr>
          <w:rStyle w:val="NormalTok"/>
        </w:rPr>
        <w:t xml:space="preserve">    ra, rb </w:t>
      </w:r>
      <w:r>
        <w:rPr>
          <w:rStyle w:val="OperatorTok"/>
        </w:rPr>
        <w:t xml:space="preserve">=</w:t>
      </w:r>
      <w:r>
        <w:rPr>
          <w:rStyle w:val="NormalTok"/>
        </w:rPr>
        <w:t xml:space="preserve"> LWWRegister(</w:t>
      </w:r>
      <w:r>
        <w:rPr>
          <w:rStyle w:val="StringTok"/>
        </w:rPr>
        <w:t xml:space="preserve">"A"</w:t>
      </w:r>
      <w:r>
        <w:rPr>
          <w:rStyle w:val="NormalTok"/>
        </w:rPr>
        <w:t xml:space="preserve">), LWWRegister(</w:t>
      </w:r>
      <w:r>
        <w:rPr>
          <w:rStyle w:val="StringTok"/>
        </w:rPr>
        <w:t xml:space="preserve">"B"</w:t>
      </w:r>
      <w:r>
        <w:rPr>
          <w:rStyle w:val="NormalTok"/>
        </w:rPr>
        <w:t xml:space="preserve">)</w:t>
      </w:r>
      <w:r>
        <w:br/>
      </w:r>
      <w:r>
        <w:rPr>
          <w:rStyle w:val="NormalTok"/>
        </w:rPr>
        <w:t xml:space="preserve">    ra.assign(</w:t>
      </w:r>
      <w:r>
        <w:rPr>
          <w:rStyle w:val="StringTok"/>
        </w:rPr>
        <w:t xml:space="preserve">"&lt;removed&gt;"</w:t>
      </w:r>
      <w:r>
        <w:rPr>
          <w:rStyle w:val="NormalTok"/>
        </w:rPr>
        <w:t xml:space="preserve">, timestamp</w:t>
      </w:r>
      <w:r>
        <w:rPr>
          <w:rStyle w:val="OperatorTok"/>
        </w:rPr>
        <w:t xml:space="preserve">=</w:t>
      </w:r>
      <w:r>
        <w:rPr>
          <w:rStyle w:val="DecValTok"/>
        </w:rPr>
        <w:t xml:space="preserve">103</w:t>
      </w:r>
      <w:r>
        <w:rPr>
          <w:rStyle w:val="NormalTok"/>
        </w:rPr>
        <w:t xml:space="preserve">)        </w:t>
      </w:r>
      <w:r>
        <w:rPr>
          <w:rStyle w:val="CommentTok"/>
        </w:rPr>
        <w:t xml:space="preserve"># A removes at real time 98; its clock is 5 ms fast</w:t>
      </w:r>
      <w:r>
        <w:br/>
      </w:r>
      <w:r>
        <w:rPr>
          <w:rStyle w:val="NormalTok"/>
        </w:rPr>
        <w:t xml:space="preserve">    rb.assign(</w:t>
      </w:r>
      <w:r>
        <w:rPr>
          <w:rStyle w:val="StringTok"/>
        </w:rPr>
        <w:t xml:space="preserve">"milk"</w:t>
      </w:r>
      <w:r>
        <w:rPr>
          <w:rStyle w:val="NormalTok"/>
        </w:rPr>
        <w:t xml:space="preserve">, timestamp</w:t>
      </w:r>
      <w:r>
        <w:rPr>
          <w:rStyle w:val="OperatorTok"/>
        </w:rPr>
        <w:t xml:space="preserve">=</w:t>
      </w:r>
      <w:r>
        <w:rPr>
          <w:rStyle w:val="DecValTok"/>
        </w:rPr>
        <w:t xml:space="preserve">100</w:t>
      </w:r>
      <w:r>
        <w:rPr>
          <w:rStyle w:val="NormalTok"/>
        </w:rPr>
        <w:t xml:space="preserve">)             </w:t>
      </w:r>
      <w:r>
        <w:rPr>
          <w:rStyle w:val="CommentTok"/>
        </w:rPr>
        <w:t xml:space="preserve"># B re-adds later, at real time 100</w:t>
      </w:r>
      <w:r>
        <w:br/>
      </w:r>
      <w:r>
        <w:rPr>
          <w:rStyle w:val="NormalTok"/>
        </w:rPr>
        <w:t xml:space="preserve">    ra.merge(rb)</w:t>
      </w:r>
      <w:r>
        <w:rPr>
          <w:rStyle w:val="OperatorTok"/>
        </w:rPr>
        <w:t xml:space="preserve">;</w:t>
      </w:r>
      <w:r>
        <w:rPr>
          <w:rStyle w:val="NormalTok"/>
        </w:rPr>
        <w:t xml:space="preserve"> rb.merge(ra)</w:t>
      </w:r>
      <w:r>
        <w:br/>
      </w:r>
      <w:r>
        <w:rPr>
          <w:rStyle w:val="NormalTok"/>
        </w:rPr>
        <w:t xml:space="preserve">    </w:t>
      </w:r>
      <w:r>
        <w:rPr>
          <w:rStyle w:val="BuiltInTok"/>
        </w:rPr>
        <w:t xml:space="preserve">print</w:t>
      </w:r>
      <w:r>
        <w:rPr>
          <w:rStyle w:val="NormalTok"/>
        </w:rPr>
        <w:t xml:space="preserve">(</w:t>
      </w:r>
      <w:r>
        <w:rPr>
          <w:rStyle w:val="StringTok"/>
        </w:rPr>
        <w:t xml:space="preserve">"LWW register after the same history:"</w:t>
      </w:r>
      <w:r>
        <w:rPr>
          <w:rStyle w:val="NormalTok"/>
        </w:rPr>
        <w:t xml:space="preserve">, ra.value(), rb.value())</w:t>
      </w:r>
    </w:p>
    <w:p>
      <w:pPr>
        <w:pStyle w:val="FirstParagraph"/>
      </w:pPr>
      <w:r>
        <w:t xml:space="preserve">Output:</w:t>
      </w:r>
    </w:p>
    <w:p>
      <w:pPr>
        <w:pStyle w:val="SourceCode"/>
      </w:pPr>
      <w:r>
        <w:rPr>
          <w:rStyle w:val="VerbatimChar"/>
        </w:rPr>
        <w:t xml:space="preserve">GCounter   : 200 random histories, all laws hold</w:t>
      </w:r>
      <w:r>
        <w:br/>
      </w:r>
      <w:r>
        <w:rPr>
          <w:rStyle w:val="VerbatimChar"/>
        </w:rPr>
        <w:t xml:space="preserve">PNCounter  : 200 random histories, all laws hold</w:t>
      </w:r>
      <w:r>
        <w:br/>
      </w:r>
      <w:r>
        <w:rPr>
          <w:rStyle w:val="VerbatimChar"/>
        </w:rPr>
        <w:t xml:space="preserve">LWWRegister: 200 random histories, all laws hold</w:t>
      </w:r>
      <w:r>
        <w:br/>
      </w:r>
      <w:r>
        <w:rPr>
          <w:rStyle w:val="VerbatimChar"/>
        </w:rPr>
        <w:t xml:space="preserve">ORSet      : 200 random histories, all laws hold</w:t>
      </w:r>
      <w:r>
        <w:br/>
      </w:r>
      <w:r>
        <w:rPr>
          <w:rStyle w:val="VerbatimChar"/>
        </w:rPr>
        <w:t xml:space="preserve">SumCounter: value 5, after merging a duplicate delivery: 10</w:t>
      </w:r>
      <w:r>
        <w:br/>
      </w:r>
      <w:r>
        <w:rPr>
          <w:rStyle w:val="VerbatimChar"/>
        </w:rPr>
        <w:t xml:space="preserve">OR-Set after concurrent remove and add: {'milk'} {'milk'}</w:t>
      </w:r>
      <w:r>
        <w:br/>
      </w:r>
      <w:r>
        <w:rPr>
          <w:rStyle w:val="VerbatimChar"/>
        </w:rPr>
        <w:t xml:space="preserve">LWW register after the same history: &lt;removed&gt; &lt;removed&gt;</w:t>
      </w:r>
    </w:p>
    <w:p>
      <w:pPr>
        <w:pStyle w:val="FirstParagraph"/>
      </w:pPr>
      <w:r>
        <w:t xml:space="preserve">What to notice:</w:t>
      </w:r>
    </w:p>
    <w:p>
      <w:pPr>
        <w:numPr>
          <w:ilvl w:val="0"/>
          <w:numId w:val="1899"/>
        </w:numPr>
        <w:pStyle w:val="Compact"/>
      </w:pPr>
      <w:r>
        <w:t xml:space="preserve">Each</w:t>
      </w:r>
      <w:r>
        <w:t xml:space="preserve"> </w:t>
      </w:r>
      <w:r>
        <w:rPr>
          <w:rStyle w:val="VerbatimChar"/>
        </w:rPr>
        <w:t xml:space="preserve">merge</w:t>
      </w:r>
      <w:r>
        <w:t xml:space="preserve"> </w:t>
      </w:r>
      <w:r>
        <w:t xml:space="preserve">is a lattice join: per-slot</w:t>
      </w:r>
      <w:r>
        <w:t xml:space="preserve"> </w:t>
      </w:r>
      <w:r>
        <w:rPr>
          <w:rStyle w:val="VerbatimChar"/>
        </w:rPr>
        <w:t xml:space="preserve">max</w:t>
      </w:r>
      <w:r>
        <w:t xml:space="preserve">, set union, or the larger stamp. That is why all three laws hold on every random history, including histories with partial gossip between replicas.</w:t>
      </w:r>
    </w:p>
    <w:p>
      <w:pPr>
        <w:numPr>
          <w:ilvl w:val="0"/>
          <w:numId w:val="1899"/>
        </w:numPr>
        <w:pStyle w:val="Compact"/>
      </w:pPr>
      <w:r>
        <w:rPr>
          <w:rStyle w:val="VerbatimChar"/>
        </w:rPr>
        <w:t xml:space="preserve">SumCounter</w:t>
      </w:r>
      <w:r>
        <w:t xml:space="preserve"> </w:t>
      </w:r>
      <w:r>
        <w:t xml:space="preserve">looks plausible but is not idempotent: a duplicated gossip message doubles the count. Idempotence is what lets state-based CRDTs ride on unreliable, repeating gossip.</w:t>
      </w:r>
    </w:p>
    <w:p>
      <w:pPr>
        <w:numPr>
          <w:ilvl w:val="0"/>
          <w:numId w:val="1899"/>
        </w:numPr>
        <w:pStyle w:val="Compact"/>
      </w:pPr>
      <w:r>
        <w:t xml:space="preserve">The OR-Set keeps</w:t>
      </w:r>
      <w:r>
        <w:t xml:space="preserve"> </w:t>
      </w:r>
      <w:r>
        <w:t xml:space="preserve">“</w:t>
      </w:r>
      <w:r>
        <w:t xml:space="preserve">milk</w:t>
      </w:r>
      <w:r>
        <w:t xml:space="preserve">”</w:t>
      </w:r>
      <w:r>
        <w:t xml:space="preserve"> </w:t>
      </w:r>
      <w:r>
        <w:t xml:space="preserve">after a concurrent remove and re-add, matching user intent; the LWW register replays the clock-skew example of §27.14.1 and drops the later add.</w:t>
      </w:r>
    </w:p>
    <w:bookmarkEnd w:id="3102"/>
    <w:bookmarkStart w:id="3103" w:name="real-world-industry-applications-43"/>
    <w:p>
      <w:pPr>
        <w:pStyle w:val="Heading4"/>
      </w:pPr>
      <w:r>
        <w:t xml:space="preserve">Real-world industry applications</w:t>
      </w:r>
    </w:p>
    <w:p>
      <w:pPr>
        <w:pStyle w:val="CalloutIndustry"/>
      </w:pPr>
      <w:r>
        <w:rPr>
          <w:bCs/>
          <w:b/>
        </w:rPr>
        <w:t xml:space="preserve">INDUSTRY EXAMPLE</w:t>
      </w:r>
    </w:p>
    <w:p>
      <w:pPr>
        <w:pStyle w:val="CalloutIndustry"/>
      </w:pPr>
      <w:r>
        <w:rPr>
          <w:bCs/>
          <w:b/>
        </w:rPr>
        <w:t xml:space="preserve">Redis active–active databases and collaborative editors.</w:t>
      </w:r>
      <w:r>
        <w:t xml:space="preserve"> </w:t>
      </w:r>
      <w:r>
        <w:t xml:space="preserve">Redis Enterprise’s Active-Active databases replicate across regions with every replica writable and resolve concurrent updates with CRDT-based data types, such as counters that sum concurrent increments and sets with add-wins semantics [Redis Docs: Active-Active]. Libraries such as Automerge and Yjs apply sequence CRDTs to collaborative text and JSON documents.</w:t>
      </w:r>
      <w:r>
        <w:t xml:space="preserve"> </w:t>
      </w:r>
      <w:r>
        <w:rPr>
          <w:iCs/>
          <w:i/>
        </w:rPr>
        <w:t xml:space="preserve">Evidence: Primary</w:t>
      </w:r>
      <w:r>
        <w:t xml:space="preserve"> </w:t>
      </w:r>
      <w:r>
        <w:t xml:space="preserve">— [Redis Docs: Active-Active; Automerge and Yjs project documentation]</w:t>
      </w:r>
    </w:p>
    <w:bookmarkEnd w:id="3103"/>
    <w:bookmarkStart w:id="3104" w:name="alternatives-and-trade-offs-11"/>
    <w:p>
      <w:pPr>
        <w:pStyle w:val="Heading4"/>
      </w:pPr>
      <w:r>
        <w:t xml:space="preserve">Alternatives and trade-offs</w:t>
      </w:r>
    </w:p>
    <w:p>
      <w:pPr>
        <w:pStyle w:val="FirstParagraph"/>
      </w:pPr>
      <w:r>
        <w:rPr>
          <w:bCs/>
          <w:b/>
        </w:rPr>
        <w:t xml:space="preserve">Table 27.4 — Conflict-resolution strategies.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Last-writer-wins</w:t>
            </w:r>
          </w:p>
        </w:tc>
        <w:tc>
          <w:tcPr/>
          <w:p>
            <w:pPr>
              <w:pStyle w:val="Compact"/>
              <w:jc w:val="left"/>
            </w:pPr>
            <w:r>
              <w:t xml:space="preserve">Version vectors + siblings</w:t>
            </w:r>
          </w:p>
        </w:tc>
        <w:tc>
          <w:tcPr/>
          <w:p>
            <w:pPr>
              <w:pStyle w:val="Compact"/>
              <w:jc w:val="left"/>
            </w:pPr>
            <w:r>
              <w:t xml:space="preserve">CRDTs</w:t>
            </w:r>
          </w:p>
        </w:tc>
      </w:tr>
      <w:tr>
        <w:tc>
          <w:tcPr/>
          <w:p>
            <w:pPr>
              <w:pStyle w:val="Compact"/>
              <w:jc w:val="left"/>
            </w:pPr>
            <w:r>
              <w:t xml:space="preserve">What it is</w:t>
            </w:r>
          </w:p>
        </w:tc>
        <w:tc>
          <w:tcPr/>
          <w:p>
            <w:pPr>
              <w:pStyle w:val="Compact"/>
              <w:jc w:val="left"/>
            </w:pPr>
            <w:r>
              <w:t xml:space="preserve">Keep greatest timestamp</w:t>
            </w:r>
          </w:p>
        </w:tc>
        <w:tc>
          <w:tcPr/>
          <w:p>
            <w:pPr>
              <w:pStyle w:val="Compact"/>
              <w:jc w:val="left"/>
            </w:pPr>
            <w:r>
              <w:t xml:space="preserve">Keep all concurrent values</w:t>
            </w:r>
          </w:p>
        </w:tc>
        <w:tc>
          <w:tcPr/>
          <w:p>
            <w:pPr>
              <w:pStyle w:val="Compact"/>
              <w:jc w:val="left"/>
            </w:pPr>
            <w:r>
              <w:t xml:space="preserve">Types whose merge always converges</w:t>
            </w:r>
          </w:p>
        </w:tc>
      </w:tr>
      <w:tr>
        <w:tc>
          <w:tcPr/>
          <w:p>
            <w:pPr>
              <w:pStyle w:val="Compact"/>
              <w:jc w:val="left"/>
            </w:pPr>
            <w:r>
              <w:t xml:space="preserve">Data loss</w:t>
            </w:r>
          </w:p>
        </w:tc>
        <w:tc>
          <w:tcPr/>
          <w:p>
            <w:pPr>
              <w:pStyle w:val="Compact"/>
              <w:jc w:val="left"/>
            </w:pPr>
            <w:r>
              <w:t xml:space="preserve">Silent, on concurrent writes</w:t>
            </w:r>
          </w:p>
        </w:tc>
        <w:tc>
          <w:tcPr/>
          <w:p>
            <w:pPr>
              <w:pStyle w:val="Compact"/>
              <w:jc w:val="left"/>
            </w:pPr>
            <w:r>
              <w:t xml:space="preserve">None</w:t>
            </w:r>
          </w:p>
        </w:tc>
        <w:tc>
          <w:tcPr/>
          <w:p>
            <w:pPr>
              <w:pStyle w:val="Compact"/>
              <w:jc w:val="left"/>
            </w:pPr>
            <w:r>
              <w:t xml:space="preserve">None, within the type’s semantics</w:t>
            </w:r>
          </w:p>
        </w:tc>
      </w:tr>
      <w:tr>
        <w:tc>
          <w:tcPr/>
          <w:p>
            <w:pPr>
              <w:pStyle w:val="Compact"/>
              <w:jc w:val="left"/>
            </w:pPr>
            <w:r>
              <w:t xml:space="preserve">Application work</w:t>
            </w:r>
          </w:p>
        </w:tc>
        <w:tc>
          <w:tcPr/>
          <w:p>
            <w:pPr>
              <w:pStyle w:val="Compact"/>
              <w:jc w:val="left"/>
            </w:pPr>
            <w:r>
              <w:t xml:space="preserve">None</w:t>
            </w:r>
          </w:p>
        </w:tc>
        <w:tc>
          <w:tcPr/>
          <w:p>
            <w:pPr>
              <w:pStyle w:val="Compact"/>
              <w:jc w:val="left"/>
            </w:pPr>
            <w:r>
              <w:t xml:space="preserve">Write a merge for every type</w:t>
            </w:r>
          </w:p>
        </w:tc>
        <w:tc>
          <w:tcPr/>
          <w:p>
            <w:pPr>
              <w:pStyle w:val="Compact"/>
              <w:jc w:val="left"/>
            </w:pPr>
            <w:r>
              <w:t xml:space="preserve">Choose a type that fits</w:t>
            </w:r>
          </w:p>
        </w:tc>
      </w:tr>
      <w:tr>
        <w:tc>
          <w:tcPr/>
          <w:p>
            <w:pPr>
              <w:pStyle w:val="Compact"/>
              <w:jc w:val="left"/>
            </w:pPr>
            <w:r>
              <w:t xml:space="preserve">Metadata</w:t>
            </w:r>
          </w:p>
        </w:tc>
        <w:tc>
          <w:tcPr/>
          <w:p>
            <w:pPr>
              <w:pStyle w:val="Compact"/>
              <w:jc w:val="left"/>
            </w:pPr>
            <w:r>
              <w:t xml:space="preserve">One timestamp</w:t>
            </w:r>
          </w:p>
        </w:tc>
        <w:tc>
          <w:tcPr/>
          <w:p>
            <w:pPr>
              <w:pStyle w:val="Compact"/>
              <w:jc w:val="left"/>
            </w:pPr>
            <w:r>
              <w:t xml:space="preserve">One counter per coordinating replica</w:t>
            </w:r>
          </w:p>
        </w:tc>
        <w:tc>
          <w:tcPr/>
          <w:p>
            <w:pPr>
              <w:pStyle w:val="Compact"/>
              <w:jc w:val="left"/>
            </w:pPr>
            <w:r>
              <w:t xml:space="preserve">Per-replica slots or tags; tombstones</w:t>
            </w:r>
          </w:p>
        </w:tc>
      </w:tr>
      <w:tr>
        <w:tc>
          <w:tcPr/>
          <w:p>
            <w:pPr>
              <w:pStyle w:val="Compact"/>
              <w:jc w:val="left"/>
            </w:pPr>
            <w:r>
              <w:t xml:space="preserve">Clock dependence</w:t>
            </w:r>
          </w:p>
        </w:tc>
        <w:tc>
          <w:tcPr/>
          <w:p>
            <w:pPr>
              <w:pStyle w:val="Compact"/>
              <w:jc w:val="left"/>
            </w:pPr>
            <w:r>
              <w:t xml:space="preserve">Yes</w:t>
            </w:r>
          </w:p>
        </w:tc>
        <w:tc>
          <w:tcPr/>
          <w:p>
            <w:pPr>
              <w:pStyle w:val="Compact"/>
              <w:jc w:val="left"/>
            </w:pPr>
            <w:r>
              <w:t xml:space="preserve">No</w:t>
            </w:r>
          </w:p>
        </w:tc>
        <w:tc>
          <w:tcPr/>
          <w:p>
            <w:pPr>
              <w:pStyle w:val="Compact"/>
              <w:jc w:val="left"/>
            </w:pPr>
            <w:r>
              <w:t xml:space="preserve">Only for LWW-based types</w:t>
            </w:r>
          </w:p>
        </w:tc>
      </w:tr>
      <w:tr>
        <w:tc>
          <w:tcPr/>
          <w:p>
            <w:pPr>
              <w:pStyle w:val="Compact"/>
              <w:jc w:val="left"/>
            </w:pPr>
            <w:r>
              <w:t xml:space="preserve">Choose when</w:t>
            </w:r>
          </w:p>
        </w:tc>
        <w:tc>
          <w:tcPr/>
          <w:p>
            <w:pPr>
              <w:pStyle w:val="Compact"/>
              <w:jc w:val="left"/>
            </w:pPr>
            <w:r>
              <w:t xml:space="preserve">Immutable or single-writer data</w:t>
            </w:r>
          </w:p>
        </w:tc>
        <w:tc>
          <w:tcPr/>
          <w:p>
            <w:pPr>
              <w:pStyle w:val="Compact"/>
              <w:jc w:val="left"/>
            </w:pPr>
            <w:r>
              <w:t xml:space="preserve">Domain-specific merges</w:t>
            </w:r>
          </w:p>
        </w:tc>
        <w:tc>
          <w:tcPr/>
          <w:p>
            <w:pPr>
              <w:pStyle w:val="Compact"/>
              <w:jc w:val="left"/>
            </w:pPr>
            <w:r>
              <w:t xml:space="preserve">Counters, sets, maps, collaborative documents</w:t>
            </w:r>
          </w:p>
        </w:tc>
      </w:tr>
    </w:tbl>
    <w:bookmarkEnd w:id="3104"/>
    <w:bookmarkStart w:id="3105" w:name="failure-scenarios-61"/>
    <w:p>
      <w:pPr>
        <w:pStyle w:val="Heading4"/>
      </w:pPr>
      <w:r>
        <w:t xml:space="preserve">Failure scenarios</w:t>
      </w:r>
    </w:p>
    <w:p>
      <w:pPr>
        <w:pStyle w:val="FirstParagraph"/>
      </w:pPr>
      <w:r>
        <w:rPr>
          <w:bCs/>
          <w:b/>
        </w:rPr>
        <w:t xml:space="preserve">Table 27.5 — Failure scenarios in conflict resolution.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Acknowledged update disappears</w:t>
            </w:r>
          </w:p>
        </w:tc>
        <w:tc>
          <w:tcPr/>
          <w:p>
            <w:pPr>
              <w:pStyle w:val="Compact"/>
              <w:jc w:val="left"/>
            </w:pPr>
            <w:r>
              <w:t xml:space="preserve">LWW discarded a concurrent write</w:t>
            </w:r>
          </w:p>
        </w:tc>
        <w:tc>
          <w:tcPr/>
          <w:p>
            <w:pPr>
              <w:pStyle w:val="Compact"/>
              <w:jc w:val="left"/>
            </w:pPr>
            <w:r>
              <w:t xml:space="preserve">Audit log shows the write; final value lacks it</w:t>
            </w:r>
          </w:p>
        </w:tc>
        <w:tc>
          <w:tcPr/>
          <w:p>
            <w:pPr>
              <w:pStyle w:val="Compact"/>
              <w:jc w:val="left"/>
            </w:pPr>
            <w:r>
              <w:t xml:space="preserve">Replay from audit log</w:t>
            </w:r>
          </w:p>
        </w:tc>
        <w:tc>
          <w:tcPr/>
          <w:p>
            <w:pPr>
              <w:pStyle w:val="Compact"/>
              <w:jc w:val="left"/>
            </w:pPr>
            <w:r>
              <w:t xml:space="preserve">Siblings or CRDTs for shared mutable data</w:t>
            </w:r>
          </w:p>
        </w:tc>
      </w:tr>
      <w:tr>
        <w:tc>
          <w:tcPr/>
          <w:p>
            <w:pPr>
              <w:pStyle w:val="Compact"/>
              <w:jc w:val="left"/>
            </w:pPr>
            <w:r>
              <w:t xml:space="preserve">Deleted item reappears</w:t>
            </w:r>
          </w:p>
        </w:tc>
        <w:tc>
          <w:tcPr/>
          <w:p>
            <w:pPr>
              <w:pStyle w:val="Compact"/>
              <w:jc w:val="left"/>
            </w:pPr>
            <w:r>
              <w:t xml:space="preserve">Union merge of siblings, or tombstone purged before repair</w:t>
            </w:r>
          </w:p>
        </w:tc>
        <w:tc>
          <w:tcPr/>
          <w:p>
            <w:pPr>
              <w:pStyle w:val="Compact"/>
              <w:jc w:val="left"/>
            </w:pPr>
            <w:r>
              <w:t xml:space="preserve">User reports</w:t>
            </w:r>
          </w:p>
        </w:tc>
        <w:tc>
          <w:tcPr/>
          <w:p>
            <w:pPr>
              <w:pStyle w:val="Compact"/>
              <w:jc w:val="left"/>
            </w:pPr>
            <w:r>
              <w:t xml:space="preserve">Delete again</w:t>
            </w:r>
          </w:p>
        </w:tc>
        <w:tc>
          <w:tcPr/>
          <w:p>
            <w:pPr>
              <w:pStyle w:val="Compact"/>
              <w:jc w:val="left"/>
            </w:pPr>
            <w:r>
              <w:t xml:space="preserve">OR-Set semantics; repair within grace period</w:t>
            </w:r>
          </w:p>
        </w:tc>
      </w:tr>
      <w:tr>
        <w:tc>
          <w:tcPr/>
          <w:p>
            <w:pPr>
              <w:pStyle w:val="Compact"/>
              <w:jc w:val="left"/>
            </w:pPr>
            <w:r>
              <w:t xml:space="preserve">Sibling explosion</w:t>
            </w:r>
          </w:p>
        </w:tc>
        <w:tc>
          <w:tcPr/>
          <w:p>
            <w:pPr>
              <w:pStyle w:val="Compact"/>
              <w:jc w:val="left"/>
            </w:pPr>
            <w:r>
              <w:t xml:space="preserve">Many clients write without causal context</w:t>
            </w:r>
          </w:p>
        </w:tc>
        <w:tc>
          <w:tcPr/>
          <w:p>
            <w:pPr>
              <w:pStyle w:val="Compact"/>
              <w:jc w:val="left"/>
            </w:pPr>
            <w:r>
              <w:t xml:space="preserve">Value size and sibling count metrics</w:t>
            </w:r>
          </w:p>
        </w:tc>
        <w:tc>
          <w:tcPr/>
          <w:p>
            <w:pPr>
              <w:pStyle w:val="Compact"/>
              <w:jc w:val="left"/>
            </w:pPr>
            <w:r>
              <w:t xml:space="preserve">Merge and write back</w:t>
            </w:r>
          </w:p>
        </w:tc>
        <w:tc>
          <w:tcPr/>
          <w:p>
            <w:pPr>
              <w:pStyle w:val="Compact"/>
              <w:jc w:val="left"/>
            </w:pPr>
            <w:r>
              <w:t xml:space="preserve">Always read before write; dotted version vectors</w:t>
            </w:r>
          </w:p>
        </w:tc>
      </w:tr>
      <w:tr>
        <w:tc>
          <w:tcPr/>
          <w:p>
            <w:pPr>
              <w:pStyle w:val="Compact"/>
              <w:jc w:val="left"/>
            </w:pPr>
            <w:r>
              <w:t xml:space="preserve">CRDT state grows without bound</w:t>
            </w:r>
          </w:p>
        </w:tc>
        <w:tc>
          <w:tcPr/>
          <w:p>
            <w:pPr>
              <w:pStyle w:val="Compact"/>
              <w:jc w:val="left"/>
            </w:pPr>
            <w:r>
              <w:t xml:space="preserve">Tombstones and per-replica entries never collected</w:t>
            </w:r>
          </w:p>
        </w:tc>
        <w:tc>
          <w:tcPr/>
          <w:p>
            <w:pPr>
              <w:pStyle w:val="Compact"/>
              <w:jc w:val="left"/>
            </w:pPr>
            <w:r>
              <w:t xml:space="preserve">State size metrics</w:t>
            </w:r>
          </w:p>
        </w:tc>
        <w:tc>
          <w:tcPr/>
          <w:p>
            <w:pPr>
              <w:pStyle w:val="Compact"/>
              <w:jc w:val="left"/>
            </w:pPr>
            <w:r>
              <w:t xml:space="preserve">Compaction at causal stability</w:t>
            </w:r>
          </w:p>
        </w:tc>
        <w:tc>
          <w:tcPr/>
          <w:p>
            <w:pPr>
              <w:pStyle w:val="Compact"/>
              <w:jc w:val="left"/>
            </w:pPr>
            <w:r>
              <w:t xml:space="preserve">Optimized OR-Set; retire replica IDs</w:t>
            </w:r>
          </w:p>
        </w:tc>
      </w:tr>
    </w:tbl>
    <w:p>
      <w:pPr>
        <w:pStyle w:val="CalloutMistake"/>
      </w:pPr>
      <w:r>
        <w:rPr>
          <w:bCs/>
          <w:b/>
        </w:rPr>
        <w:t xml:space="preserve">COMMON MISTAKE</w:t>
      </w:r>
    </w:p>
    <w:p>
      <w:pPr>
        <w:pStyle w:val="CalloutMistake"/>
      </w:pPr>
      <w:r>
        <w:rPr>
          <w:bCs/>
          <w:b/>
        </w:rPr>
        <w:t xml:space="preserve">Mistake —</w:t>
      </w:r>
      <w:r>
        <w:rPr>
          <w:bCs/>
          <w:b/>
        </w:rPr>
        <w:t xml:space="preserve"> </w:t>
      </w:r>
      <w:r>
        <w:rPr>
          <w:bCs/>
          <w:b/>
        </w:rPr>
        <w:t xml:space="preserve">“</w:t>
      </w:r>
      <w:r>
        <w:rPr>
          <w:bCs/>
          <w:b/>
        </w:rPr>
        <w:t xml:space="preserve">CRDTs make every invariant safe.</w:t>
      </w:r>
      <w:r>
        <w:rPr>
          <w:bCs/>
          <w:b/>
        </w:rPr>
        <w:t xml:space="preserve">”</w:t>
      </w:r>
      <w:r>
        <w:t xml:space="preserve"> </w:t>
      </w:r>
      <w:r>
        <w:t xml:space="preserve">CRDTs guarantee convergence, not application invariants. A PN-Counter for stock can converge to −3 because two regions each sold the last two items. Invariants such as</w:t>
      </w:r>
      <w:r>
        <w:t xml:space="preserve"> </w:t>
      </w:r>
      <w:r>
        <w:t xml:space="preserve">“</w:t>
      </w:r>
      <w:r>
        <w:t xml:space="preserve">never below zero</w:t>
      </w:r>
      <w:r>
        <w:t xml:space="preserve">”</w:t>
      </w:r>
      <w:r>
        <w:t xml:space="preserve"> </w:t>
      </w:r>
      <w:r>
        <w:t xml:space="preserve">or</w:t>
      </w:r>
      <w:r>
        <w:t xml:space="preserve"> </w:t>
      </w:r>
      <w:r>
        <w:t xml:space="preserve">“</w:t>
      </w:r>
      <w:r>
        <w:t xml:space="preserve">unique username</w:t>
      </w:r>
      <w:r>
        <w:t xml:space="preserve">”</w:t>
      </w:r>
      <w:r>
        <w:t xml:space="preserve"> </w:t>
      </w:r>
      <w:r>
        <w:t xml:space="preserve">still need coordination (Chapter 26) or escrow-style partitioning of the allowance.</w:t>
      </w:r>
    </w:p>
    <w:bookmarkEnd w:id="3105"/>
    <w:bookmarkEnd w:id="3106"/>
    <w:bookmarkEnd w:id="3107"/>
    <w:bookmarkStart w:id="3108" w:name="summary-and-revision-notes-26"/>
    <w:p>
      <w:pPr>
        <w:pStyle w:val="Heading2"/>
      </w:pPr>
      <w:r>
        <w:t xml:space="preserve">27.15 Summary and revision notes</w:t>
      </w:r>
    </w:p>
    <w:p>
      <w:pPr>
        <w:pStyle w:val="CalloutSummary"/>
      </w:pPr>
      <w:r>
        <w:rPr>
          <w:bCs/>
          <w:b/>
        </w:rPr>
        <w:t xml:space="preserve">SUMMARY</w:t>
      </w:r>
    </w:p>
    <w:p>
      <w:pPr>
        <w:numPr>
          <w:ilvl w:val="0"/>
          <w:numId w:val="1900"/>
        </w:numPr>
        <w:pStyle w:val="Compact"/>
      </w:pPr>
      <w:r>
        <w:t xml:space="preserve">Replication decides who orders writes and how many copies hold a write before acknowledgment; multi-leader and leaderless designs diverge and repair afterwards.</w:t>
      </w:r>
    </w:p>
    <w:p>
      <w:pPr>
        <w:numPr>
          <w:ilvl w:val="0"/>
          <w:numId w:val="1900"/>
        </w:numPr>
        <w:pStyle w:val="Compact"/>
      </w:pPr>
      <w:r>
        <w:t xml:space="preserve">Primary–backup ships state or operations; asynchronous failover loses</w:t>
      </w:r>
      <w:r>
        <w:t xml:space="preserve"> </w:t>
      </w:r>
      <m:oMath>
        <m:sSub>
          <m:e>
            <m:r>
              <m:t>r</m:t>
            </m:r>
          </m:e>
          <m:sub>
            <m:r>
              <m:t>w</m:t>
            </m:r>
          </m:sub>
        </m:sSub>
        <m:r>
          <m:rPr>
            <m:sty m:val="p"/>
          </m:rPr>
          <m:t>ℓ</m:t>
        </m:r>
      </m:oMath>
      <w:r>
        <w:t xml:space="preserve"> </w:t>
      </w:r>
      <w:r>
        <w:t xml:space="preserve">writes, and safe promotion needs fencing.</w:t>
      </w:r>
    </w:p>
    <w:p>
      <w:pPr>
        <w:numPr>
          <w:ilvl w:val="0"/>
          <w:numId w:val="1900"/>
        </w:numPr>
        <w:pStyle w:val="Compact"/>
      </w:pPr>
      <w:r>
        <w:t xml:space="preserve">Chain replication: writes at the head, strong reads at the tail,</w:t>
      </w:r>
      <w:r>
        <w:t xml:space="preserve"> </w:t>
      </w:r>
      <m:oMath>
        <m:sSub>
          <m:e>
            <m:r>
              <m:t>T</m:t>
            </m:r>
          </m:e>
          <m:sub>
            <m:r>
              <m:rPr>
                <m:nor/>
                <m:sty m:val="p"/>
              </m:rPr>
              <m:t>write</m:t>
            </m:r>
          </m:sub>
        </m:sSub>
        <m:r>
          <m:rPr>
            <m:sty m:val="p"/>
          </m:rPr>
          <m:t>≈</m:t>
        </m:r>
        <m:d>
          <m:dPr>
            <m:begChr m:val="("/>
            <m:endChr m:val=")"/>
            <m:sepChr m:val=""/>
            <m:grow/>
          </m:dPr>
          <m:e>
            <m:r>
              <m:t>n</m:t>
            </m:r>
            <m:r>
              <m:rPr>
                <m:sty m:val="p"/>
              </m:rPr>
              <m:t>+</m:t>
            </m:r>
            <m:r>
              <m:t>1</m:t>
            </m:r>
          </m:e>
        </m:d>
        <m:r>
          <m:t>d</m:t>
        </m:r>
        <m:r>
          <m:rPr>
            <m:sty m:val="p"/>
          </m:rPr>
          <m:t>+</m:t>
        </m:r>
        <m:r>
          <m:t>n</m:t>
        </m:r>
        <m:r>
          <m:t>s</m:t>
        </m:r>
      </m:oMath>
      <w:r>
        <w:t xml:space="preserve">; CRAQ serves clean reads from any node.</w:t>
      </w:r>
    </w:p>
    <w:p>
      <w:pPr>
        <w:numPr>
          <w:ilvl w:val="0"/>
          <w:numId w:val="1900"/>
        </w:numPr>
        <w:pStyle w:val="Compact"/>
      </w:pPr>
      <w:r>
        <w:t xml:space="preserve">Multi-leader serves multi-region, offline and collaborative writers; ring and star have single points of failure, all-to-all reorders messages; conflicts per item</w:t>
      </w:r>
      <w:r>
        <w:t xml:space="preserve"> </w:t>
      </w:r>
      <m:oMath>
        <m:r>
          <m:rPr>
            <m:sty m:val="p"/>
          </m:rPr>
          <m:t>≈</m:t>
        </m:r>
        <m:r>
          <m:t>2</m:t>
        </m:r>
        <m:sSub>
          <m:e>
            <m:r>
              <m:t>λ</m:t>
            </m:r>
          </m:e>
          <m:sub>
            <m:r>
              <m:t>A</m:t>
            </m:r>
          </m:sub>
        </m:sSub>
        <m:sSub>
          <m:e>
            <m:r>
              <m:t>λ</m:t>
            </m:r>
          </m:e>
          <m:sub>
            <m:r>
              <m:t>B</m:t>
            </m:r>
          </m:sub>
        </m:sSub>
        <m:r>
          <m:t>Δ</m:t>
        </m:r>
      </m:oMath>
      <w:r>
        <w:t xml:space="preserve">.</w:t>
      </w:r>
    </w:p>
    <w:p>
      <w:pPr>
        <w:numPr>
          <w:ilvl w:val="0"/>
          <w:numId w:val="1900"/>
        </w:numPr>
        <w:pStyle w:val="Compact"/>
      </w:pPr>
      <m:oMath>
        <m:r>
          <m:t>R</m:t>
        </m:r>
        <m:r>
          <m:rPr>
            <m:sty m:val="p"/>
          </m:rPr>
          <m:t>+</m:t>
        </m:r>
        <m:r>
          <m:t>W</m:t>
        </m:r>
        <m:r>
          <m:rPr>
            <m:sty m:val="p"/>
          </m:rPr>
          <m:t>&gt;</m:t>
        </m:r>
        <m:r>
          <m:t>N</m:t>
        </m:r>
      </m:oMath>
      <w:r>
        <w:t xml:space="preserve"> </w:t>
      </w:r>
      <w:r>
        <w:t xml:space="preserve">guarantees overlap with completed writes, not linearizability. Quorum latency is the</w:t>
      </w:r>
      <w:r>
        <w:t xml:space="preserve"> </w:t>
      </w:r>
      <m:oMath>
        <m:r>
          <m:t>k</m:t>
        </m:r>
      </m:oMath>
      <w:r>
        <w:t xml:space="preserve">-th order statistic: 2-of-3 hides the slowest replica.</w:t>
      </w:r>
    </w:p>
    <w:p>
      <w:pPr>
        <w:numPr>
          <w:ilvl w:val="0"/>
          <w:numId w:val="1900"/>
        </w:numPr>
        <w:pStyle w:val="Compact"/>
      </w:pPr>
      <w:r>
        <w:t xml:space="preserve">Sloppy quorums and hinted handoff trade overlap for write availability; hints grow linearly with downtime.</w:t>
      </w:r>
    </w:p>
    <w:p>
      <w:pPr>
        <w:numPr>
          <w:ilvl w:val="0"/>
          <w:numId w:val="1900"/>
        </w:numPr>
        <w:pStyle w:val="Compact"/>
      </w:pPr>
      <w:r>
        <w:t xml:space="preserve">Phi-accrual turns silence into an error probability; SWIM detects in about</w:t>
      </w:r>
      <w:r>
        <w:t xml:space="preserve"> </w:t>
      </w:r>
      <m:oMath>
        <m:r>
          <m:t>1.58</m:t>
        </m:r>
        <m:r>
          <m:t> </m:t>
        </m:r>
        <m:r>
          <m:t>T</m:t>
        </m:r>
        <m:r>
          <m:rPr>
            <m:sty m:val="p"/>
          </m:rPr>
          <m:t>′</m:t>
        </m:r>
      </m:oMath>
      <w:r>
        <w:t xml:space="preserve"> </w:t>
      </w:r>
      <w:r>
        <w:t xml:space="preserve">with constant load per member; gossip spreads in</w:t>
      </w:r>
      <w:r>
        <w:t xml:space="preserve"> </w:t>
      </w:r>
      <m:oMath>
        <m:r>
          <m:rPr>
            <m:sty m:val="p"/>
          </m:rPr>
          <m:t>≈</m:t>
        </m:r>
        <m:sSub>
          <m:e>
            <m:r>
              <m:rPr>
                <m:sty m:val="p"/>
              </m:rPr>
              <m:t>log</m:t>
            </m:r>
          </m:e>
          <m:sub>
            <m:r>
              <m:t>1</m:t>
            </m:r>
            <m:r>
              <m:rPr>
                <m:sty m:val="p"/>
              </m:rPr>
              <m:t>+</m:t>
            </m:r>
            <m:r>
              <m:t>f</m:t>
            </m:r>
          </m:sub>
        </m:sSub>
        <m:r>
          <m:t>n</m:t>
        </m:r>
        <m:r>
          <m:rPr>
            <m:sty m:val="p"/>
          </m:rPr>
          <m:t>+</m:t>
        </m:r>
        <m:r>
          <m:rPr>
            <m:sty m:val="p"/>
          </m:rPr>
          <m:t>ln</m:t>
        </m:r>
        <m:r>
          <m:t>n</m:t>
        </m:r>
        <m:r>
          <m:rPr>
            <m:sty m:val="p"/>
          </m:rPr>
          <m:t>/</m:t>
        </m:r>
        <m:r>
          <m:t>f</m:t>
        </m:r>
      </m:oMath>
      <w:r>
        <w:t xml:space="preserve"> </w:t>
      </w:r>
      <w:r>
        <w:t xml:space="preserve">rounds.</w:t>
      </w:r>
    </w:p>
    <w:p>
      <w:pPr>
        <w:numPr>
          <w:ilvl w:val="0"/>
          <w:numId w:val="1900"/>
        </w:numPr>
        <w:pStyle w:val="Compact"/>
      </w:pPr>
      <w:r>
        <w:t xml:space="preserve">Failover time is detection + election + reconfiguration + redirection; redirection often dominates. Recovery time is copy time plus catch-up of the backlog.</w:t>
      </w:r>
    </w:p>
    <w:p>
      <w:pPr>
        <w:numPr>
          <w:ilvl w:val="0"/>
          <w:numId w:val="1900"/>
        </w:numPr>
        <w:pStyle w:val="Compact"/>
      </w:pPr>
      <w:r>
        <w:t xml:space="preserve">Read repair fixes keys that are read; Merkle anti-entropy fixes everything, and must run within the tombstone grace period.</w:t>
      </w:r>
    </w:p>
    <w:p>
      <w:pPr>
        <w:numPr>
          <w:ilvl w:val="0"/>
          <w:numId w:val="1900"/>
        </w:numPr>
        <w:pStyle w:val="Compact"/>
      </w:pPr>
      <w:r>
        <w:t xml:space="preserve">LWW loses concurrent writes silently; version vectors keep siblings; CRDTs converge because merge is commutative, associative and idempotent, but do not protect invariants.</w:t>
      </w:r>
    </w:p>
    <w:bookmarkEnd w:id="3108"/>
    <w:bookmarkStart w:id="3109" w:name="knowledge-checkpoint-26"/>
    <w:p>
      <w:pPr>
        <w:pStyle w:val="Heading2"/>
      </w:pPr>
      <w:r>
        <w:t xml:space="preserve">27.16 Knowledge checkpoint</w:t>
      </w:r>
    </w:p>
    <w:p>
      <w:pPr>
        <w:numPr>
          <w:ilvl w:val="0"/>
          <w:numId w:val="1901"/>
        </w:numPr>
        <w:pStyle w:val="Compact"/>
      </w:pPr>
      <w:r>
        <w:t xml:space="preserve">What is the difference between state transfer and operation shipping, and which needs determinism?</w:t>
      </w:r>
    </w:p>
    <w:p>
      <w:pPr>
        <w:numPr>
          <w:ilvl w:val="0"/>
          <w:numId w:val="1901"/>
        </w:numPr>
        <w:pStyle w:val="Compact"/>
      </w:pPr>
      <w:r>
        <w:t xml:space="preserve">An asynchronous backup lags by 300 ms when the primary, taking 4,000 writes/s, crashes. How many acknowledged writes are lost?</w:t>
      </w:r>
    </w:p>
    <w:p>
      <w:pPr>
        <w:numPr>
          <w:ilvl w:val="0"/>
          <w:numId w:val="1901"/>
        </w:numPr>
        <w:pStyle w:val="Compact"/>
      </w:pPr>
      <w:r>
        <w:t xml:space="preserve">Why are reads at the tail of a chain linearizable?</w:t>
      </w:r>
    </w:p>
    <w:p>
      <w:pPr>
        <w:numPr>
          <w:ilvl w:val="0"/>
          <w:numId w:val="1901"/>
        </w:numPr>
        <w:pStyle w:val="Compact"/>
      </w:pPr>
      <w:r>
        <w:t xml:space="preserve">For</w:t>
      </w:r>
      <w:r>
        <w:t xml:space="preserve"> </w:t>
      </w:r>
      <m:oMath>
        <m:r>
          <m:t>N</m:t>
        </m:r>
        <m:r>
          <m:rPr>
            <m:sty m:val="p"/>
          </m:rPr>
          <m:t>=</m:t>
        </m:r>
        <m:r>
          <m:t>5</m:t>
        </m:r>
      </m:oMath>
      <w:r>
        <w:t xml:space="preserve">, what is the smallest</w:t>
      </w:r>
      <w:r>
        <w:t xml:space="preserve"> </w:t>
      </w:r>
      <m:oMath>
        <m:r>
          <m:t>R</m:t>
        </m:r>
      </m:oMath>
      <w:r>
        <w:t xml:space="preserve"> </w:t>
      </w:r>
      <w:r>
        <w:t xml:space="preserve">that overlaps</w:t>
      </w:r>
      <w:r>
        <w:t xml:space="preserve"> </w:t>
      </w:r>
      <m:oMath>
        <m:r>
          <m:t>W</m:t>
        </m:r>
        <m:r>
          <m:rPr>
            <m:sty m:val="p"/>
          </m:rPr>
          <m:t>=</m:t>
        </m:r>
        <m:r>
          <m:t>3</m:t>
        </m:r>
      </m:oMath>
      <w:r>
        <w:t xml:space="preserve">, and how many failures can each tolerate?</w:t>
      </w:r>
    </w:p>
    <w:p>
      <w:pPr>
        <w:numPr>
          <w:ilvl w:val="0"/>
          <w:numId w:val="1901"/>
        </w:numPr>
        <w:pStyle w:val="Compact"/>
      </w:pPr>
      <w:r>
        <w:t xml:space="preserve">Give two reasons why</w:t>
      </w:r>
      <w:r>
        <w:t xml:space="preserve"> </w:t>
      </w:r>
      <m:oMath>
        <m:r>
          <m:t>R</m:t>
        </m:r>
        <m:r>
          <m:rPr>
            <m:sty m:val="p"/>
          </m:rPr>
          <m:t>+</m:t>
        </m:r>
        <m:r>
          <m:t>W</m:t>
        </m:r>
        <m:r>
          <m:rPr>
            <m:sty m:val="p"/>
          </m:rPr>
          <m:t>&gt;</m:t>
        </m:r>
        <m:r>
          <m:t>N</m:t>
        </m:r>
      </m:oMath>
      <w:r>
        <w:t xml:space="preserve"> </w:t>
      </w:r>
      <w:r>
        <w:t xml:space="preserve">does not give linearizability.</w:t>
      </w:r>
    </w:p>
    <w:p>
      <w:pPr>
        <w:numPr>
          <w:ilvl w:val="0"/>
          <w:numId w:val="1901"/>
        </w:numPr>
        <w:pStyle w:val="Compact"/>
      </w:pPr>
      <w:r>
        <w:t xml:space="preserve">With</w:t>
      </w:r>
      <w:r>
        <w:t xml:space="preserve"> </w:t>
      </w:r>
      <m:oMath>
        <m:r>
          <m:t>N</m:t>
        </m:r>
        <m:r>
          <m:rPr>
            <m:sty m:val="p"/>
          </m:rPr>
          <m:t>=</m:t>
        </m:r>
        <m:r>
          <m:t>3</m:t>
        </m:r>
      </m:oMath>
      <w:r>
        <w:t xml:space="preserve"> </w:t>
      </w:r>
      <w:r>
        <w:t xml:space="preserve">and each replica independently slow with probability 0.02, what fraction of</w:t>
      </w:r>
      <w:r>
        <w:t xml:space="preserve"> </w:t>
      </w:r>
      <m:oMath>
        <m:r>
          <m:t>W</m:t>
        </m:r>
        <m:r>
          <m:rPr>
            <m:sty m:val="p"/>
          </m:rPr>
          <m:t>=</m:t>
        </m:r>
        <m:r>
          <m:t>2</m:t>
        </m:r>
      </m:oMath>
      <w:r>
        <w:t xml:space="preserve"> </w:t>
      </w:r>
      <w:r>
        <w:t xml:space="preserve">writes are slow?</w:t>
      </w:r>
    </w:p>
    <w:p>
      <w:pPr>
        <w:numPr>
          <w:ilvl w:val="0"/>
          <w:numId w:val="1901"/>
        </w:numPr>
        <w:pStyle w:val="Compact"/>
      </w:pPr>
      <w:r>
        <w:t xml:space="preserve">Heartbeats have</w:t>
      </w:r>
      <w:r>
        <w:t xml:space="preserve"> </w:t>
      </w:r>
      <m:oMath>
        <m:r>
          <m:t>μ</m:t>
        </m:r>
        <m:r>
          <m:rPr>
            <m:sty m:val="p"/>
          </m:rPr>
          <m:t>=</m:t>
        </m:r>
        <m:r>
          <m:t>500</m:t>
        </m:r>
      </m:oMath>
      <w:r>
        <w:t xml:space="preserve"> </w:t>
      </w:r>
      <w:r>
        <w:t xml:space="preserve">ms and</w:t>
      </w:r>
      <w:r>
        <w:t xml:space="preserve"> </w:t>
      </w:r>
      <m:oMath>
        <m:r>
          <m:t>σ</m:t>
        </m:r>
        <m:r>
          <m:rPr>
            <m:sty m:val="p"/>
          </m:rPr>
          <m:t>=</m:t>
        </m:r>
        <m:r>
          <m:t>50</m:t>
        </m:r>
      </m:oMath>
      <w:r>
        <w:t xml:space="preserve"> </w:t>
      </w:r>
      <w:r>
        <w:t xml:space="preserve">ms. What is</w:t>
      </w:r>
      <w:r>
        <w:t xml:space="preserve"> </w:t>
      </w:r>
      <m:oMath>
        <m:r>
          <m:t>φ</m:t>
        </m:r>
      </m:oMath>
      <w:r>
        <w:t xml:space="preserve"> </w:t>
      </w:r>
      <w:r>
        <w:t xml:space="preserve">after 600 ms of silence?</w:t>
      </w:r>
    </w:p>
    <w:p>
      <w:pPr>
        <w:numPr>
          <w:ilvl w:val="0"/>
          <w:numId w:val="1901"/>
        </w:numPr>
        <w:pStyle w:val="Compact"/>
      </w:pPr>
      <w:r>
        <w:t xml:space="preserve">Estimate push-gossip rounds with fanout 1 for 4,096 nodes.</w:t>
      </w:r>
    </w:p>
    <w:p>
      <w:pPr>
        <w:numPr>
          <w:ilvl w:val="0"/>
          <w:numId w:val="1901"/>
        </w:numPr>
        <w:pStyle w:val="Compact"/>
      </w:pPr>
      <w:r>
        <w:t xml:space="preserve">Detection 4 s, election 2 s, reconfiguration 2 s, DNS TTL 60 s: what is the failover time, and what is the biggest lever?</w:t>
      </w:r>
    </w:p>
    <w:p>
      <w:pPr>
        <w:numPr>
          <w:ilvl w:val="0"/>
          <w:numId w:val="1901"/>
        </w:numPr>
        <w:pStyle w:val="Compact"/>
      </w:pPr>
      <w:r>
        <w:t xml:space="preserve">Why must a state-based CRDT merge be idempotent?</w:t>
      </w:r>
    </w:p>
    <w:p>
      <w:pPr>
        <w:pStyle w:val="FirstParagraph"/>
      </w:pPr>
      <w:r>
        <w:t xml:space="preserve">Answers</w:t>
      </w:r>
    </w:p>
    <w:p>
      <w:pPr>
        <w:numPr>
          <w:ilvl w:val="0"/>
          <w:numId w:val="1902"/>
        </w:numPr>
        <w:pStyle w:val="Compact"/>
      </w:pPr>
      <w:r>
        <w:t xml:space="preserve">State transfer sends resulting state; operation shipping sends the operation, which every replica must execute deterministically.</w:t>
      </w:r>
    </w:p>
    <w:p>
      <w:pPr>
        <w:numPr>
          <w:ilvl w:val="0"/>
          <w:numId w:val="1902"/>
        </w:numPr>
        <w:pStyle w:val="Compact"/>
      </w:pPr>
      <m:oMath>
        <m:r>
          <m:t>4</m:t>
        </m:r>
        <m:r>
          <m:rPr>
            <m:sty m:val="p"/>
          </m:rPr>
          <m:t>,</m:t>
        </m:r>
        <m:r>
          <m:t>000</m:t>
        </m:r>
        <m:r>
          <m:rPr>
            <m:sty m:val="p"/>
          </m:rPr>
          <m:t>×</m:t>
        </m:r>
        <m:r>
          <m:t>0.3</m:t>
        </m:r>
        <m:r>
          <m:rPr>
            <m:sty m:val="p"/>
          </m:rPr>
          <m:t>=</m:t>
        </m:r>
        <m:r>
          <m:t>1</m:t>
        </m:r>
        <m:r>
          <m:rPr>
            <m:sty m:val="p"/>
          </m:rPr>
          <m:t>,</m:t>
        </m:r>
        <m:r>
          <m:t>200</m:t>
        </m:r>
      </m:oMath>
      <w:r>
        <w:t xml:space="preserve"> </w:t>
      </w:r>
      <w:r>
        <w:t xml:space="preserve">writes.</w:t>
      </w:r>
    </w:p>
    <w:p>
      <w:pPr>
        <w:numPr>
          <w:ilvl w:val="0"/>
          <w:numId w:val="1902"/>
        </w:numPr>
        <w:pStyle w:val="Compact"/>
      </w:pPr>
      <w:r>
        <w:t xml:space="preserve">The tail holds only updates every other chain node already has, and it is the only node that replies to writes and reads.</w:t>
      </w:r>
    </w:p>
    <w:p>
      <w:pPr>
        <w:numPr>
          <w:ilvl w:val="0"/>
          <w:numId w:val="1902"/>
        </w:numPr>
        <w:pStyle w:val="Compact"/>
      </w:pPr>
      <m:oMath>
        <m:r>
          <m:t>R</m:t>
        </m:r>
        <m:r>
          <m:rPr>
            <m:sty m:val="p"/>
          </m:rPr>
          <m:t>=</m:t>
        </m:r>
        <m:r>
          <m:t>3</m:t>
        </m:r>
      </m:oMath>
      <w:r>
        <w:t xml:space="preserve"> </w:t>
      </w:r>
      <w:r>
        <w:t xml:space="preserve">(</w:t>
      </w:r>
      <m:oMath>
        <m:r>
          <m:t>3</m:t>
        </m:r>
        <m:r>
          <m:rPr>
            <m:sty m:val="p"/>
          </m:rPr>
          <m:t>+</m:t>
        </m:r>
        <m:r>
          <m:t>3</m:t>
        </m:r>
        <m:r>
          <m:rPr>
            <m:sty m:val="p"/>
          </m:rPr>
          <m:t>&gt;</m:t>
        </m:r>
        <m:r>
          <m:t>5</m:t>
        </m:r>
      </m:oMath>
      <w:r>
        <w:t xml:space="preserve">); reads and writes each tolerate 2 unavailable replicas.</w:t>
      </w:r>
    </w:p>
    <w:p>
      <w:pPr>
        <w:numPr>
          <w:ilvl w:val="0"/>
          <w:numId w:val="1902"/>
        </w:numPr>
        <w:pStyle w:val="Compact"/>
      </w:pPr>
      <w:r>
        <w:t xml:space="preserve">Any two of: concurrent writes resolved by timestamp; writes concurrent with reads; failed writes not rolled back; sloppy quorums; replicas restored from stale copies.</w:t>
      </w:r>
    </w:p>
    <w:p>
      <w:pPr>
        <w:numPr>
          <w:ilvl w:val="0"/>
          <w:numId w:val="1902"/>
        </w:numPr>
        <w:pStyle w:val="Compact"/>
      </w:pPr>
      <m:oMath>
        <m:sSup>
          <m:e>
            <m:r>
              <m:t>p</m:t>
            </m:r>
          </m:e>
          <m:sup>
            <m:r>
              <m:t>3</m:t>
            </m:r>
          </m:sup>
        </m:sSup>
        <m:r>
          <m:rPr>
            <m:sty m:val="p"/>
          </m:rPr>
          <m:t>+</m:t>
        </m:r>
        <m:r>
          <m:t>3</m:t>
        </m:r>
        <m:sSup>
          <m:e>
            <m:r>
              <m:t>p</m:t>
            </m:r>
          </m:e>
          <m:sup>
            <m:r>
              <m:t>2</m:t>
            </m:r>
          </m:sup>
        </m:sSup>
        <m:d>
          <m:dPr>
            <m:begChr m:val="("/>
            <m:endChr m:val=")"/>
            <m:sepChr m:val=""/>
            <m:grow/>
          </m:dPr>
          <m:e>
            <m:r>
              <m:t>1</m:t>
            </m:r>
            <m:r>
              <m:rPr>
                <m:sty m:val="p"/>
              </m:rPr>
              <m:t>−</m:t>
            </m:r>
            <m:r>
              <m:t>p</m:t>
            </m:r>
          </m:e>
        </m:d>
        <m:r>
          <m:rPr>
            <m:sty m:val="p"/>
          </m:rPr>
          <m:t>=</m:t>
        </m:r>
        <m:r>
          <m:t>8</m:t>
        </m:r>
        <m:r>
          <m:rPr>
            <m:sty m:val="p"/>
          </m:rPr>
          <m:t>×</m:t>
        </m:r>
        <m:sSup>
          <m:e>
            <m:r>
              <m:t>10</m:t>
            </m:r>
          </m:e>
          <m:sup>
            <m:r>
              <m:rPr>
                <m:sty m:val="p"/>
              </m:rPr>
              <m:t>−</m:t>
            </m:r>
            <m:r>
              <m:t>6</m:t>
            </m:r>
          </m:sup>
        </m:sSup>
        <m:r>
          <m:rPr>
            <m:sty m:val="p"/>
          </m:rPr>
          <m:t>+</m:t>
        </m:r>
        <m:r>
          <m:t>3</m:t>
        </m:r>
        <m:r>
          <m:rPr>
            <m:sty m:val="p"/>
          </m:rPr>
          <m:t>×</m:t>
        </m:r>
        <m:r>
          <m:t>0.0004</m:t>
        </m:r>
        <m:r>
          <m:rPr>
            <m:sty m:val="p"/>
          </m:rPr>
          <m:t>×</m:t>
        </m:r>
        <m:r>
          <m:t>0.98</m:t>
        </m:r>
        <m:r>
          <m:rPr>
            <m:sty m:val="p"/>
          </m:rPr>
          <m:t>=</m:t>
        </m:r>
        <m:r>
          <m:t>0.001184</m:t>
        </m:r>
      </m:oMath>
      <w:r>
        <w:t xml:space="preserve">, about 0.12%.</w:t>
      </w:r>
    </w:p>
    <w:p>
      <w:pPr>
        <w:numPr>
          <w:ilvl w:val="0"/>
          <w:numId w:val="1902"/>
        </w:numPr>
        <w:pStyle w:val="Compact"/>
      </w:pPr>
      <m:oMath>
        <m:r>
          <m:t>z</m:t>
        </m:r>
        <m:r>
          <m:rPr>
            <m:sty m:val="p"/>
          </m:rPr>
          <m:t>=</m:t>
        </m:r>
        <m:r>
          <m:t>2</m:t>
        </m:r>
      </m:oMath>
      <w:r>
        <w:t xml:space="preserve">,</w:t>
      </w:r>
      <w:r>
        <w:t xml:space="preserve"> </w:t>
      </w:r>
      <m:oMath>
        <m:r>
          <m:t>1</m:t>
        </m:r>
        <m:r>
          <m:rPr>
            <m:sty m:val="p"/>
          </m:rPr>
          <m:t>−</m:t>
        </m:r>
        <m:r>
          <m:t>Φ</m:t>
        </m:r>
        <m:d>
          <m:dPr>
            <m:begChr m:val="("/>
            <m:endChr m:val=")"/>
            <m:sepChr m:val=""/>
            <m:grow/>
          </m:dPr>
          <m:e>
            <m:r>
              <m:t>2</m:t>
            </m:r>
          </m:e>
        </m:d>
        <m:r>
          <m:rPr>
            <m:sty m:val="p"/>
          </m:rPr>
          <m:t>=</m:t>
        </m:r>
        <m:r>
          <m:t>0.0228</m:t>
        </m:r>
      </m:oMath>
      <w:r>
        <w:t xml:space="preserve">,</w:t>
      </w:r>
      <w:r>
        <w:t xml:space="preserve"> </w:t>
      </w:r>
      <m:oMath>
        <m:r>
          <m:t>φ</m:t>
        </m:r>
        <m:r>
          <m:rPr>
            <m:sty m:val="p"/>
          </m:rPr>
          <m:t>=</m:t>
        </m:r>
        <m:r>
          <m:t>1.64</m:t>
        </m:r>
      </m:oMath>
      <w:r>
        <w:t xml:space="preserve">.</w:t>
      </w:r>
    </w:p>
    <w:p>
      <w:pPr>
        <w:numPr>
          <w:ilvl w:val="0"/>
          <w:numId w:val="1902"/>
        </w:numPr>
        <w:pStyle w:val="Compact"/>
      </w:pPr>
      <m:oMath>
        <m:sSub>
          <m:e>
            <m:r>
              <m:rPr>
                <m:sty m:val="p"/>
              </m:rPr>
              <m:t>log</m:t>
            </m:r>
          </m:e>
          <m:sub>
            <m:r>
              <m:t>2</m:t>
            </m:r>
          </m:sub>
        </m:sSub>
        <m:r>
          <m:t>4</m:t>
        </m:r>
        <m:r>
          <m:rPr>
            <m:sty m:val="p"/>
          </m:rPr>
          <m:t>,</m:t>
        </m:r>
        <m:r>
          <m:t>096</m:t>
        </m:r>
        <m:r>
          <m:rPr>
            <m:sty m:val="p"/>
          </m:rPr>
          <m:t>+</m:t>
        </m:r>
        <m:r>
          <m:rPr>
            <m:sty m:val="p"/>
          </m:rPr>
          <m:t>ln</m:t>
        </m:r>
        <m:r>
          <m:t>4</m:t>
        </m:r>
        <m:r>
          <m:rPr>
            <m:sty m:val="p"/>
          </m:rPr>
          <m:t>,</m:t>
        </m:r>
        <m:r>
          <m:t>096</m:t>
        </m:r>
        <m:r>
          <m:rPr>
            <m:sty m:val="p"/>
          </m:rPr>
          <m:t>=</m:t>
        </m:r>
        <m:r>
          <m:t>12</m:t>
        </m:r>
        <m:r>
          <m:rPr>
            <m:sty m:val="p"/>
          </m:rPr>
          <m:t>+</m:t>
        </m:r>
        <m:r>
          <m:t>8.3</m:t>
        </m:r>
        <m:r>
          <m:rPr>
            <m:sty m:val="p"/>
          </m:rPr>
          <m:t>≈</m:t>
        </m:r>
        <m:r>
          <m:t>20</m:t>
        </m:r>
      </m:oMath>
      <w:r>
        <w:t xml:space="preserve"> </w:t>
      </w:r>
      <w:r>
        <w:t xml:space="preserve">rounds, plus about one.</w:t>
      </w:r>
    </w:p>
    <w:p>
      <w:pPr>
        <w:numPr>
          <w:ilvl w:val="0"/>
          <w:numId w:val="1902"/>
        </w:numPr>
        <w:pStyle w:val="Compact"/>
      </w:pPr>
      <m:oMath>
        <m:r>
          <m:t>4</m:t>
        </m:r>
        <m:r>
          <m:rPr>
            <m:sty m:val="p"/>
          </m:rPr>
          <m:t>+</m:t>
        </m:r>
        <m:r>
          <m:t>2</m:t>
        </m:r>
        <m:r>
          <m:rPr>
            <m:sty m:val="p"/>
          </m:rPr>
          <m:t>+</m:t>
        </m:r>
        <m:r>
          <m:t>2</m:t>
        </m:r>
        <m:r>
          <m:rPr>
            <m:sty m:val="p"/>
          </m:rPr>
          <m:t>+</m:t>
        </m:r>
        <m:r>
          <m:t>60</m:t>
        </m:r>
        <m:r>
          <m:rPr>
            <m:sty m:val="p"/>
          </m:rPr>
          <m:t>=</m:t>
        </m:r>
        <m:r>
          <m:t>68</m:t>
        </m:r>
      </m:oMath>
      <w:r>
        <w:t xml:space="preserve"> </w:t>
      </w:r>
      <w:r>
        <w:t xml:space="preserve">s; replace DNS redirection with a proxy, virtual IP or topology-aware client.</w:t>
      </w:r>
    </w:p>
    <w:p>
      <w:pPr>
        <w:numPr>
          <w:ilvl w:val="0"/>
          <w:numId w:val="1902"/>
        </w:numPr>
        <w:pStyle w:val="Compact"/>
      </w:pPr>
      <w:r>
        <w:t xml:space="preserve">Gossip may deliver the same state many times; a non-idempotent merge (such as summing) would count it repeatedly.</w:t>
      </w:r>
    </w:p>
    <w:bookmarkEnd w:id="3109"/>
    <w:bookmarkStart w:id="3113" w:name="interview-questions-26"/>
    <w:p>
      <w:pPr>
        <w:pStyle w:val="Heading2"/>
      </w:pPr>
      <w:r>
        <w:t xml:space="preserve">27.17 Interview questions</w:t>
      </w:r>
    </w:p>
    <w:bookmarkStart w:id="3110" w:name="basic-26"/>
    <w:p>
      <w:pPr>
        <w:pStyle w:val="Heading3"/>
      </w:pPr>
      <w:r>
        <w:t xml:space="preserve">Basic</w:t>
      </w:r>
    </w:p>
    <w:p>
      <w:pPr>
        <w:pStyle w:val="FirstParagraph"/>
      </w:pPr>
      <w:r>
        <w:rPr>
          <w:bCs/>
          <w:b/>
        </w:rPr>
        <w:t xml:space="preserve">Q1. What does R + W &gt; N give you?</w:t>
      </w:r>
      <w:r>
        <w:t xml:space="preserve"> </w:t>
      </w:r>
      <w:r>
        <w:rPr>
          <w:bCs/>
          <w:b/>
        </w:rPr>
        <w:t xml:space="preserve">Answer.</w:t>
      </w:r>
      <w:r>
        <w:t xml:space="preserve"> </w:t>
      </w:r>
      <w:r>
        <w:t xml:space="preserve">Every read set intersects every completed write’s set, so a read sees at least one replica with that write. It does not order concurrent writes, roll back failed ones or prevent a later read seeing an older value without blocking read repair.</w:t>
      </w:r>
    </w:p>
    <w:p>
      <w:pPr>
        <w:pStyle w:val="BodyText"/>
      </w:pPr>
      <w:r>
        <w:rPr>
          <w:bCs/>
          <w:b/>
        </w:rPr>
        <w:t xml:space="preserve">Q2. How do you detect a failed node?</w:t>
      </w:r>
      <w:r>
        <w:t xml:space="preserve"> </w:t>
      </w:r>
      <w:r>
        <w:rPr>
          <w:bCs/>
          <w:b/>
        </w:rPr>
        <w:t xml:space="preserve">Answer.</w:t>
      </w:r>
      <w:r>
        <w:t xml:space="preserve"> </w:t>
      </w:r>
      <w:r>
        <w:t xml:space="preserve">Heartbeats or pings with a timeout, ideally adaptive (phi-accrual) and, in large clusters, SWIM-style probing with indirect pings, suspicion and gossip. A detector only suspects; actions taken on suspicion must fence.</w:t>
      </w:r>
    </w:p>
    <w:bookmarkEnd w:id="3110"/>
    <w:bookmarkStart w:id="3111" w:name="intermediate-26"/>
    <w:p>
      <w:pPr>
        <w:pStyle w:val="Heading3"/>
      </w:pPr>
      <w:r>
        <w:t xml:space="preserve">Intermediate</w:t>
      </w:r>
    </w:p>
    <w:p>
      <w:pPr>
        <w:pStyle w:val="FirstParagraph"/>
      </w:pPr>
      <w:r>
        <w:rPr>
          <w:bCs/>
          <w:b/>
        </w:rPr>
        <w:t xml:space="preserve">Q3. Walk through a database failover and its time budget.</w:t>
      </w:r>
      <w:r>
        <w:t xml:space="preserve"> </w:t>
      </w:r>
      <w:r>
        <w:rPr>
          <w:bCs/>
          <w:b/>
        </w:rPr>
        <w:t xml:space="preserve">Answer.</w:t>
      </w:r>
      <w:r>
        <w:t xml:space="preserve"> </w:t>
      </w:r>
      <w:r>
        <w:t xml:space="preserve">Detection (timeout), election (most advanced replica or consensus), reconfiguration (fence, apply remaining log, promote), redirection (proxy, VIP or DNS). Quantify each term; fence against split brain; expect</w:t>
      </w:r>
      <w:r>
        <w:t xml:space="preserve"> </w:t>
      </w:r>
      <m:oMath>
        <m:sSub>
          <m:e>
            <m:r>
              <m:t>r</m:t>
            </m:r>
          </m:e>
          <m:sub>
            <m:r>
              <m:t>w</m:t>
            </m:r>
          </m:sub>
        </m:sSub>
        <m:r>
          <m:rPr>
            <m:sty m:val="p"/>
          </m:rPr>
          <m:t>ℓ</m:t>
        </m:r>
      </m:oMath>
      <w:r>
        <w:t xml:space="preserve"> </w:t>
      </w:r>
      <w:r>
        <w:t xml:space="preserve">loss if replication is asynchronous.</w:t>
      </w:r>
    </w:p>
    <w:p>
      <w:pPr>
        <w:pStyle w:val="BodyText"/>
      </w:pPr>
      <w:r>
        <w:rPr>
          <w:bCs/>
          <w:b/>
        </w:rPr>
        <w:t xml:space="preserve">Q4. Chain replication or primary–backup?</w:t>
      </w:r>
      <w:r>
        <w:t xml:space="preserve"> </w:t>
      </w:r>
      <w:r>
        <w:rPr>
          <w:bCs/>
          <w:b/>
        </w:rPr>
        <w:t xml:space="preserve">Answer.</w:t>
      </w:r>
      <w:r>
        <w:t xml:space="preserve"> </w:t>
      </w:r>
      <w:r>
        <w:t xml:space="preserve">Chain spreads network load and gives strong tail reads, but write latency grows with length and one slow node slows every write. Primary–backup has constant hops but the primary sends</w:t>
      </w:r>
      <w:r>
        <w:t xml:space="preserve"> </w:t>
      </w:r>
      <m:oMath>
        <m:r>
          <m:t>n</m:t>
        </m:r>
        <m:r>
          <m:rPr>
            <m:sty m:val="p"/>
          </m:rPr>
          <m:t>−</m:t>
        </m:r>
        <m:r>
          <m:t>1</m:t>
        </m:r>
      </m:oMath>
      <w:r>
        <w:t xml:space="preserve"> </w:t>
      </w:r>
      <w:r>
        <w:t xml:space="preserve">copies. Choose chain or CRAQ for high-throughput storage with a reliable master.</w:t>
      </w:r>
    </w:p>
    <w:bookmarkEnd w:id="3111"/>
    <w:bookmarkStart w:id="3112" w:name="advanced-26"/>
    <w:p>
      <w:pPr>
        <w:pStyle w:val="Heading3"/>
      </w:pPr>
      <w:r>
        <w:t xml:space="preserve">Advanced</w:t>
      </w:r>
    </w:p>
    <w:p>
      <w:pPr>
        <w:pStyle w:val="FirstParagraph"/>
      </w:pPr>
      <w:r>
        <w:rPr>
          <w:bCs/>
          <w:b/>
        </w:rPr>
        <w:t xml:space="preserve">Q5. Design an inventory counter replicated in three regions with local writes.</w:t>
      </w:r>
      <w:r>
        <w:t xml:space="preserve"> </w:t>
      </w:r>
      <w:r>
        <w:rPr>
          <w:bCs/>
          <w:b/>
        </w:rPr>
        <w:t xml:space="preserve">Answer.</w:t>
      </w:r>
      <w:r>
        <w:t xml:space="preserve"> </w:t>
      </w:r>
      <w:r>
        <w:t xml:space="preserve">A PN-Counter converges but cannot enforce</w:t>
      </w:r>
      <w:r>
        <w:t xml:space="preserve"> </w:t>
      </w:r>
      <w:r>
        <w:t xml:space="preserve">“</w:t>
      </w:r>
      <w:r>
        <w:t xml:space="preserve">stock ≥ 0</w:t>
      </w:r>
      <w:r>
        <w:t xml:space="preserve">”</w:t>
      </w:r>
      <w:r>
        <w:t xml:space="preserve">. Partition the stock into per-region allowances (escrow), sell locally within the allowance, and rebalance allowances with a coordinated transfer when one runs low; strong checks only at the boundary.</w:t>
      </w:r>
    </w:p>
    <w:p>
      <w:pPr>
        <w:pStyle w:val="BodyText"/>
      </w:pPr>
      <w:r>
        <w:rPr>
          <w:bCs/>
          <w:b/>
        </w:rPr>
        <w:t xml:space="preserve">Q6. A Cassandra cluster shows deleted rows reappearing after a node replacement. Explain and fix.</w:t>
      </w:r>
      <w:r>
        <w:t xml:space="preserve"> </w:t>
      </w:r>
      <w:r>
        <w:rPr>
          <w:bCs/>
          <w:b/>
        </w:rPr>
        <w:t xml:space="preserve">Answer.</w:t>
      </w:r>
      <w:r>
        <w:t xml:space="preserve"> </w:t>
      </w:r>
      <w:r>
        <w:t xml:space="preserve">A replica missed deletes and was not repaired within</w:t>
      </w:r>
      <w:r>
        <w:t xml:space="preserve"> </w:t>
      </w:r>
      <w:r>
        <w:rPr>
          <w:rStyle w:val="VerbatimChar"/>
        </w:rPr>
        <w:t xml:space="preserve">gc_grace_seconds</w:t>
      </w:r>
      <w:r>
        <w:t xml:space="preserve">; others purged their tombstones, so repair copied the old rows back. Repair every node within the grace period and alert on repair age.</w:t>
      </w:r>
    </w:p>
    <w:p>
      <w:pPr>
        <w:pStyle w:val="BodyText"/>
      </w:pPr>
      <w:r>
        <w:rPr>
          <w:bCs/>
          <w:b/>
        </w:rPr>
        <w:t xml:space="preserve">Q7. Compare gossip dissemination and a consensus-backed store for cluster membership.</w:t>
      </w:r>
      <w:r>
        <w:t xml:space="preserve"> </w:t>
      </w:r>
      <w:r>
        <w:rPr>
          <w:bCs/>
          <w:b/>
        </w:rPr>
        <w:t xml:space="preserve">Answer.</w:t>
      </w:r>
      <w:r>
        <w:t xml:space="preserve"> </w:t>
      </w:r>
      <w:r>
        <w:t xml:space="preserve">Gossip spreads changes in</w:t>
      </w:r>
      <w:r>
        <w:t xml:space="preserve"> </w:t>
      </w:r>
      <m:oMath>
        <m:r>
          <m:t>O</m:t>
        </m:r>
        <m:d>
          <m:dPr>
            <m:begChr m:val="("/>
            <m:endChr m:val=")"/>
            <m:sepChr m:val=""/>
            <m:grow/>
          </m:dPr>
          <m:e>
            <m:r>
              <m:rPr>
                <m:sty m:val="p"/>
              </m:rPr>
              <m:t>log</m:t>
            </m:r>
            <m:r>
              <m:t>n</m:t>
            </m:r>
          </m:e>
        </m:d>
      </m:oMath>
      <w:r>
        <w:t xml:space="preserve"> </w:t>
      </w:r>
      <w:r>
        <w:t xml:space="preserve">rounds with constant per-node load, but views differ briefly. Consensus gives one agreed view and fencing at the cost of quorum round trips. Many systems use gossip for liveness and consensus for authoritative ownership.</w:t>
      </w:r>
    </w:p>
    <w:bookmarkEnd w:id="3112"/>
    <w:bookmarkEnd w:id="3113"/>
    <w:bookmarkStart w:id="3114" w:name="practical-exercises-26"/>
    <w:p>
      <w:pPr>
        <w:pStyle w:val="Heading2"/>
      </w:pPr>
      <w:r>
        <w:t xml:space="preserve">27.18 Practical exercises</w:t>
      </w:r>
    </w:p>
    <w:p>
      <w:pPr>
        <w:numPr>
          <w:ilvl w:val="0"/>
          <w:numId w:val="1903"/>
        </w:numPr>
        <w:pStyle w:val="Compact"/>
      </w:pPr>
      <w:r>
        <w:t xml:space="preserve">Extend the quorum program to estimate p99 read and write latency for</w:t>
      </w:r>
      <w:r>
        <w:t xml:space="preserve"> </w:t>
      </w:r>
      <m:oMath>
        <m:r>
          <m:t>N</m:t>
        </m:r>
        <m:r>
          <m:rPr>
            <m:sty m:val="p"/>
          </m:rPr>
          <m:t>=</m:t>
        </m:r>
        <m:r>
          <m:t>5</m:t>
        </m:r>
      </m:oMath>
      <w:r>
        <w:t xml:space="preserve"> </w:t>
      </w:r>
      <w:r>
        <w:t xml:space="preserve">from a measured latency sample, for every</w:t>
      </w:r>
      <w:r>
        <w:t xml:space="preserve"> </w:t>
      </w:r>
      <m:oMath>
        <m:d>
          <m:dPr>
            <m:begChr m:val="("/>
            <m:endChr m:val=")"/>
            <m:sepChr m:val=""/>
            <m:grow/>
          </m:dPr>
          <m:e>
            <m:r>
              <m:t>R</m:t>
            </m:r>
            <m:r>
              <m:rPr>
                <m:sty m:val="p"/>
              </m:rPr>
              <m:t>,</m:t>
            </m:r>
            <m:r>
              <m:t>W</m:t>
            </m:r>
          </m:e>
        </m:d>
      </m:oMath>
      <w:r>
        <w:t xml:space="preserve"> </w:t>
      </w:r>
      <w:r>
        <w:t xml:space="preserve">with</w:t>
      </w:r>
      <w:r>
        <w:t xml:space="preserve"> </w:t>
      </w:r>
      <m:oMath>
        <m:r>
          <m:t>R</m:t>
        </m:r>
        <m:r>
          <m:rPr>
            <m:sty m:val="p"/>
          </m:rPr>
          <m:t>+</m:t>
        </m:r>
        <m:r>
          <m:t>W</m:t>
        </m:r>
        <m:r>
          <m:rPr>
            <m:sty m:val="p"/>
          </m:rPr>
          <m:t>&gt;</m:t>
        </m:r>
        <m:r>
          <m:t>N</m:t>
        </m:r>
      </m:oMath>
      <w:r>
        <w:t xml:space="preserve">.</w:t>
      </w:r>
    </w:p>
    <w:p>
      <w:pPr>
        <w:numPr>
          <w:ilvl w:val="0"/>
          <w:numId w:val="1903"/>
        </w:numPr>
        <w:pStyle w:val="Compact"/>
      </w:pPr>
      <w:r>
        <w:t xml:space="preserve">Add a suspicion timeout and incarnation numbers to the SWIM simulation and measure false positives with 5% packet loss.</w:t>
      </w:r>
    </w:p>
    <w:p>
      <w:pPr>
        <w:numPr>
          <w:ilvl w:val="0"/>
          <w:numId w:val="1903"/>
        </w:numPr>
        <w:pStyle w:val="Compact"/>
      </w:pPr>
      <w:r>
        <w:t xml:space="preserve">Implement a delta-state G-Counter that ships only changed slots and measure bytes sent against the full-state version.</w:t>
      </w:r>
    </w:p>
    <w:bookmarkEnd w:id="3114"/>
    <w:bookmarkStart w:id="3115" w:name="design-challenges-26"/>
    <w:p>
      <w:pPr>
        <w:pStyle w:val="Heading2"/>
      </w:pPr>
      <w:r>
        <w:t xml:space="preserve">27.19 Design challenges</w:t>
      </w:r>
    </w:p>
    <w:p>
      <w:pPr>
        <w:numPr>
          <w:ilvl w:val="0"/>
          <w:numId w:val="1904"/>
        </w:numPr>
        <w:pStyle w:val="Compact"/>
      </w:pPr>
      <w:r>
        <w:rPr>
          <w:bCs/>
          <w:b/>
        </w:rPr>
        <w:t xml:space="preserve">Global shopping cart.</w:t>
      </w:r>
      <w:r>
        <w:t xml:space="preserve"> </w:t>
      </w:r>
      <w:r>
        <w:t xml:space="preserve">Three regions, writes always accepted, no lost additions. Choose replication, conflict resolution and repair, and explain deleted-item behavior.</w:t>
      </w:r>
    </w:p>
    <w:p>
      <w:pPr>
        <w:numPr>
          <w:ilvl w:val="0"/>
          <w:numId w:val="1904"/>
        </w:numPr>
        <w:pStyle w:val="Compact"/>
      </w:pPr>
      <w:r>
        <w:rPr>
          <w:bCs/>
          <w:b/>
        </w:rPr>
        <w:t xml:space="preserve">Metadata store failover.</w:t>
      </w:r>
      <w:r>
        <w:t xml:space="preserve"> </w:t>
      </w:r>
      <w:r>
        <w:t xml:space="preserve">A primary–backup metadata service must fail over in under 10 s with zero acknowledged-write loss. Produce the time budget and fencing design.</w:t>
      </w:r>
    </w:p>
    <w:p>
      <w:pPr>
        <w:numPr>
          <w:ilvl w:val="0"/>
          <w:numId w:val="1904"/>
        </w:numPr>
        <w:pStyle w:val="Compact"/>
      </w:pPr>
      <w:r>
        <w:rPr>
          <w:bCs/>
          <w:b/>
        </w:rPr>
        <w:t xml:space="preserve">Membership for 5,000 nodes.</w:t>
      </w:r>
      <w:r>
        <w:t xml:space="preserve"> </w:t>
      </w:r>
      <w:r>
        <w:t xml:space="preserve">Choose protocol parameters so a crash is declared within 10 s with a false-positive rate below one per day.</w:t>
      </w:r>
    </w:p>
    <w:bookmarkEnd w:id="3115"/>
    <w:bookmarkStart w:id="3116" w:name="references-26"/>
    <w:p>
      <w:pPr>
        <w:pStyle w:val="Heading2"/>
      </w:pPr>
      <w:r>
        <w:t xml:space="preserve">27.20 References</w:t>
      </w:r>
    </w:p>
    <w:p>
      <w:pPr>
        <w:numPr>
          <w:ilvl w:val="0"/>
          <w:numId w:val="1905"/>
        </w:numPr>
        <w:pStyle w:val="Compact"/>
      </w:pPr>
      <w:r>
        <w:t xml:space="preserve">Almeida, P. S., Shoker, A., Baquero, C.</w:t>
      </w:r>
      <w:r>
        <w:t xml:space="preserve"> </w:t>
      </w:r>
      <w:r>
        <w:rPr>
          <w:iCs/>
          <w:i/>
        </w:rPr>
        <w:t xml:space="preserve">Delta State Replicated Data Types</w:t>
      </w:r>
      <w:r>
        <w:t xml:space="preserve">. Journal of Parallel and Distributed Computing 111, 2018.</w:t>
      </w:r>
    </w:p>
    <w:p>
      <w:pPr>
        <w:numPr>
          <w:ilvl w:val="0"/>
          <w:numId w:val="1905"/>
        </w:numPr>
        <w:pStyle w:val="Compact"/>
      </w:pPr>
      <w:r>
        <w:t xml:space="preserve">Alsberg, P. A., Day, J. D.</w:t>
      </w:r>
      <w:r>
        <w:t xml:space="preserve"> </w:t>
      </w:r>
      <w:r>
        <w:rPr>
          <w:iCs/>
          <w:i/>
        </w:rPr>
        <w:t xml:space="preserve">A Principle for Resilient Sharing of Distributed Resources</w:t>
      </w:r>
      <w:r>
        <w:t xml:space="preserve">. Proc. 2nd International Conference on Software Engineering (ICSE), 1976.</w:t>
      </w:r>
    </w:p>
    <w:p>
      <w:pPr>
        <w:numPr>
          <w:ilvl w:val="0"/>
          <w:numId w:val="1905"/>
        </w:numPr>
        <w:pStyle w:val="Compact"/>
      </w:pPr>
      <w:r>
        <w:t xml:space="preserve">Andersen, D. G., Franklin, J., Kaminsky, M., Phanishayee, A., Tan, L., Vasudevan, V.</w:t>
      </w:r>
      <w:r>
        <w:t xml:space="preserve"> </w:t>
      </w:r>
      <w:r>
        <w:rPr>
          <w:iCs/>
          <w:i/>
        </w:rPr>
        <w:t xml:space="preserve">FAWN: A Fast Array of Wimpy Nodes</w:t>
      </w:r>
      <w:r>
        <w:t xml:space="preserve">. ACM SOSP, 2009.</w:t>
      </w:r>
    </w:p>
    <w:p>
      <w:pPr>
        <w:numPr>
          <w:ilvl w:val="0"/>
          <w:numId w:val="1905"/>
        </w:numPr>
        <w:pStyle w:val="Compact"/>
      </w:pPr>
      <w:r>
        <w:t xml:space="preserve">Akka.</w:t>
      </w:r>
      <w:r>
        <w:t xml:space="preserve"> </w:t>
      </w:r>
      <w:r>
        <w:rPr>
          <w:iCs/>
          <w:i/>
        </w:rPr>
        <w:t xml:space="preserve">Phi Accrual Failure Detector</w:t>
      </w:r>
      <w:r>
        <w:t xml:space="preserve">. Akka documentation, accessed 2026.</w:t>
      </w:r>
    </w:p>
    <w:p>
      <w:pPr>
        <w:numPr>
          <w:ilvl w:val="0"/>
          <w:numId w:val="1905"/>
        </w:numPr>
        <w:pStyle w:val="Compact"/>
      </w:pPr>
      <w:r>
        <w:t xml:space="preserve">Apache Cassandra.</w:t>
      </w:r>
      <w:r>
        <w:t xml:space="preserve"> </w:t>
      </w:r>
      <w:r>
        <w:rPr>
          <w:iCs/>
          <w:i/>
        </w:rPr>
        <w:t xml:space="preserve">Documentation</w:t>
      </w:r>
      <w:r>
        <w:t xml:space="preserve">: Dynamo architecture; Hints; Read repair; Repair;</w:t>
      </w:r>
      <w:r>
        <w:t xml:space="preserve"> </w:t>
      </w:r>
      <w:r>
        <w:rPr>
          <w:rStyle w:val="VerbatimChar"/>
        </w:rPr>
        <w:t xml:space="preserve">cassandra.yaml</w:t>
      </w:r>
      <w:r>
        <w:t xml:space="preserve">. Accessed 2026. https://cassandra.apache.org/doc/latest/</w:t>
      </w:r>
    </w:p>
    <w:p>
      <w:pPr>
        <w:numPr>
          <w:ilvl w:val="0"/>
          <w:numId w:val="1905"/>
        </w:numPr>
        <w:pStyle w:val="Compact"/>
      </w:pPr>
      <w:r>
        <w:t xml:space="preserve">Apache CouchDB.</w:t>
      </w:r>
      <w:r>
        <w:t xml:space="preserve"> </w:t>
      </w:r>
      <w:r>
        <w:rPr>
          <w:iCs/>
          <w:i/>
        </w:rPr>
        <w:t xml:space="preserve">Replication and Conflict Model</w:t>
      </w:r>
      <w:r>
        <w:t xml:space="preserve">. CouchDB documentation, accessed 2026.</w:t>
      </w:r>
    </w:p>
    <w:p>
      <w:pPr>
        <w:numPr>
          <w:ilvl w:val="0"/>
          <w:numId w:val="1905"/>
        </w:numPr>
        <w:pStyle w:val="Compact"/>
      </w:pPr>
      <w:r>
        <w:t xml:space="preserve">Apache Kafka.</w:t>
      </w:r>
      <w:r>
        <w:t xml:space="preserve"> </w:t>
      </w:r>
      <w:r>
        <w:rPr>
          <w:iCs/>
          <w:i/>
        </w:rPr>
        <w:t xml:space="preserve">Documentation: Replication</w:t>
      </w:r>
      <w:r>
        <w:t xml:space="preserve">. Accessed 2026. https://kafka.apache.org/documentation/</w:t>
      </w:r>
    </w:p>
    <w:p>
      <w:pPr>
        <w:numPr>
          <w:ilvl w:val="0"/>
          <w:numId w:val="1905"/>
        </w:numPr>
        <w:pStyle w:val="Compact"/>
      </w:pPr>
      <w:r>
        <w:t xml:space="preserve">Attiya, H., Bar-Noy, A., Dolev, D.</w:t>
      </w:r>
      <w:r>
        <w:t xml:space="preserve"> </w:t>
      </w:r>
      <w:r>
        <w:rPr>
          <w:iCs/>
          <w:i/>
        </w:rPr>
        <w:t xml:space="preserve">Sharing Memory Robustly in Message-Passing Systems</w:t>
      </w:r>
      <w:r>
        <w:t xml:space="preserve">. Journal of the ACM 42(1), 1995.</w:t>
      </w:r>
    </w:p>
    <w:p>
      <w:pPr>
        <w:numPr>
          <w:ilvl w:val="0"/>
          <w:numId w:val="1905"/>
        </w:numPr>
        <w:pStyle w:val="Compact"/>
      </w:pPr>
      <w:r>
        <w:t xml:space="preserve">AWS.</w:t>
      </w:r>
      <w:r>
        <w:t xml:space="preserve"> </w:t>
      </w:r>
      <w:r>
        <w:rPr>
          <w:iCs/>
          <w:i/>
        </w:rPr>
        <w:t xml:space="preserve">Amazon DynamoDB Developer Guide: Global Tables</w:t>
      </w:r>
      <w:r>
        <w:t xml:space="preserve">. Accessed 2026.</w:t>
      </w:r>
    </w:p>
    <w:p>
      <w:pPr>
        <w:numPr>
          <w:ilvl w:val="0"/>
          <w:numId w:val="1905"/>
        </w:numPr>
        <w:pStyle w:val="Compact"/>
      </w:pPr>
      <w:r>
        <w:t xml:space="preserve">Bieniusa, A., Zawirski, M., Preguiça, N., Shapiro, M., Baquero, C., Balegas, V., Duarte, S.</w:t>
      </w:r>
      <w:r>
        <w:t xml:space="preserve"> </w:t>
      </w:r>
      <w:r>
        <w:rPr>
          <w:iCs/>
          <w:i/>
        </w:rPr>
        <w:t xml:space="preserve">An Optimized Conflict-free Replicated Set</w:t>
      </w:r>
      <w:r>
        <w:t xml:space="preserve">. arXiv, 2012.</w:t>
      </w:r>
    </w:p>
    <w:p>
      <w:pPr>
        <w:numPr>
          <w:ilvl w:val="0"/>
          <w:numId w:val="1905"/>
        </w:numPr>
        <w:pStyle w:val="Compact"/>
      </w:pPr>
      <w:r>
        <w:t xml:space="preserve">Budhiraja, N., Marzullo, K., Schneider, F. B., Toueg, S.</w:t>
      </w:r>
      <w:r>
        <w:t xml:space="preserve"> </w:t>
      </w:r>
      <w:r>
        <w:rPr>
          <w:iCs/>
          <w:i/>
        </w:rPr>
        <w:t xml:space="preserve">The Primary-Backup Approach</w:t>
      </w:r>
      <w:r>
        <w:t xml:space="preserve">. In Mullender, S. (ed.),</w:t>
      </w:r>
      <w:r>
        <w:t xml:space="preserve"> </w:t>
      </w:r>
      <w:r>
        <w:rPr>
          <w:iCs/>
          <w:i/>
        </w:rPr>
        <w:t xml:space="preserve">Distributed Systems</w:t>
      </w:r>
      <w:r>
        <w:t xml:space="preserve">, 2nd ed., ACM Press/Addison-Wesley, 1993.</w:t>
      </w:r>
    </w:p>
    <w:p>
      <w:pPr>
        <w:numPr>
          <w:ilvl w:val="0"/>
          <w:numId w:val="1905"/>
        </w:numPr>
        <w:pStyle w:val="Compact"/>
      </w:pPr>
      <w:r>
        <w:t xml:space="preserve">Chandra, T. D., Toueg, S.</w:t>
      </w:r>
      <w:r>
        <w:t xml:space="preserve"> </w:t>
      </w:r>
      <w:r>
        <w:rPr>
          <w:iCs/>
          <w:i/>
        </w:rPr>
        <w:t xml:space="preserve">Unreliable Failure Detectors for Reliable Distributed Systems</w:t>
      </w:r>
      <w:r>
        <w:t xml:space="preserve">. Journal of the ACM 43(2), 1996.</w:t>
      </w:r>
    </w:p>
    <w:p>
      <w:pPr>
        <w:numPr>
          <w:ilvl w:val="0"/>
          <w:numId w:val="1905"/>
        </w:numPr>
        <w:pStyle w:val="Compact"/>
      </w:pPr>
      <w:r>
        <w:t xml:space="preserve">Dadgar, A., Phillips, J., Currey, J.</w:t>
      </w:r>
      <w:r>
        <w:t xml:space="preserve"> </w:t>
      </w:r>
      <w:r>
        <w:rPr>
          <w:iCs/>
          <w:i/>
        </w:rPr>
        <w:t xml:space="preserve">Lifeguard: SWIM-ing with Situational Awareness</w:t>
      </w:r>
      <w:r>
        <w:t xml:space="preserve">. arXiv, 2017.</w:t>
      </w:r>
    </w:p>
    <w:p>
      <w:pPr>
        <w:numPr>
          <w:ilvl w:val="0"/>
          <w:numId w:val="1905"/>
        </w:numPr>
        <w:pStyle w:val="Compact"/>
      </w:pPr>
      <w:r>
        <w:t xml:space="preserve">Das, A., Gupta, I., Motivala, A.</w:t>
      </w:r>
      <w:r>
        <w:t xml:space="preserve"> </w:t>
      </w:r>
      <w:r>
        <w:rPr>
          <w:iCs/>
          <w:i/>
        </w:rPr>
        <w:t xml:space="preserve">SWIM: Scalable Weakly-consistent Infection-style Process Group Membership Protocol</w:t>
      </w:r>
      <w:r>
        <w:t xml:space="preserve">. IEEE/IFIP DSN, 2002.</w:t>
      </w:r>
    </w:p>
    <w:p>
      <w:pPr>
        <w:numPr>
          <w:ilvl w:val="0"/>
          <w:numId w:val="1905"/>
        </w:numPr>
        <w:pStyle w:val="Compact"/>
      </w:pPr>
      <w:r>
        <w:t xml:space="preserve">DeCandia, G., Hastorun, D., Jampani, M., Kakulapati, G., Lakshman, A., Pilchin, A., Sivasubramanian, S., Vosshall, P., Vogels, W.</w:t>
      </w:r>
      <w:r>
        <w:t xml:space="preserve"> </w:t>
      </w:r>
      <w:r>
        <w:rPr>
          <w:iCs/>
          <w:i/>
        </w:rPr>
        <w:t xml:space="preserve">Dynamo: Amazon’s Highly Available Key-value Store</w:t>
      </w:r>
      <w:r>
        <w:t xml:space="preserve">. ACM SOSP, 2007.</w:t>
      </w:r>
    </w:p>
    <w:p>
      <w:pPr>
        <w:numPr>
          <w:ilvl w:val="0"/>
          <w:numId w:val="1905"/>
        </w:numPr>
        <w:pStyle w:val="Compact"/>
      </w:pPr>
      <w:r>
        <w:t xml:space="preserve">Demers, A., Greene, D., Hauser, C., Irish, W., Larson, J., Shenker, S., Sturgis, H., Swinehart, D., Terry, D.</w:t>
      </w:r>
      <w:r>
        <w:t xml:space="preserve"> </w:t>
      </w:r>
      <w:r>
        <w:rPr>
          <w:iCs/>
          <w:i/>
        </w:rPr>
        <w:t xml:space="preserve">Epidemic Algorithms for Replicated Database Maintenance</w:t>
      </w:r>
      <w:r>
        <w:t xml:space="preserve">. ACM PODC, 1987.</w:t>
      </w:r>
    </w:p>
    <w:p>
      <w:pPr>
        <w:numPr>
          <w:ilvl w:val="0"/>
          <w:numId w:val="1905"/>
        </w:numPr>
        <w:pStyle w:val="Compact"/>
      </w:pPr>
      <w:r>
        <w:t xml:space="preserve">GitHub.</w:t>
      </w:r>
      <w:r>
        <w:t xml:space="preserve"> </w:t>
      </w:r>
      <w:r>
        <w:rPr>
          <w:iCs/>
          <w:i/>
        </w:rPr>
        <w:t xml:space="preserve">October 21 post-incident analysis</w:t>
      </w:r>
      <w:r>
        <w:t xml:space="preserve">. GitHub Blog, 2018. https://github.blog/news-insights/company-news/oct21-post-incident-analysis/</w:t>
      </w:r>
    </w:p>
    <w:p>
      <w:pPr>
        <w:numPr>
          <w:ilvl w:val="0"/>
          <w:numId w:val="1905"/>
        </w:numPr>
        <w:pStyle w:val="Compact"/>
      </w:pPr>
      <w:r>
        <w:t xml:space="preserve">Hayashibara, N., Défago, X., Yared, R., Katayama, T.</w:t>
      </w:r>
      <w:r>
        <w:t xml:space="preserve"> </w:t>
      </w:r>
      <w:r>
        <w:rPr>
          <w:iCs/>
          <w:i/>
        </w:rPr>
        <w:t xml:space="preserve">The φ Accrual Failure Detector</w:t>
      </w:r>
      <w:r>
        <w:t xml:space="preserve">. IEEE SRDS, 2004.</w:t>
      </w:r>
    </w:p>
    <w:p>
      <w:pPr>
        <w:numPr>
          <w:ilvl w:val="0"/>
          <w:numId w:val="1905"/>
        </w:numPr>
        <w:pStyle w:val="Compact"/>
      </w:pPr>
      <w:r>
        <w:t xml:space="preserve">Karp, R., Schindelhauer, C., Shenker, S., Vöcking, B.</w:t>
      </w:r>
      <w:r>
        <w:t xml:space="preserve"> </w:t>
      </w:r>
      <w:r>
        <w:rPr>
          <w:iCs/>
          <w:i/>
        </w:rPr>
        <w:t xml:space="preserve">Randomized Rumor Spreading</w:t>
      </w:r>
      <w:r>
        <w:t xml:space="preserve">. IEEE FOCS, 2000.</w:t>
      </w:r>
    </w:p>
    <w:p>
      <w:pPr>
        <w:numPr>
          <w:ilvl w:val="0"/>
          <w:numId w:val="1905"/>
        </w:numPr>
        <w:pStyle w:val="Compact"/>
      </w:pPr>
      <w:r>
        <w:t xml:space="preserve">Kleppmann, M.</w:t>
      </w:r>
      <w:r>
        <w:t xml:space="preserve"> </w:t>
      </w:r>
      <w:r>
        <w:rPr>
          <w:iCs/>
          <w:i/>
        </w:rPr>
        <w:t xml:space="preserve">Designing Data-Intensive Applications</w:t>
      </w:r>
      <w:r>
        <w:t xml:space="preserve">, ch. 5</w:t>
      </w:r>
      <w:r>
        <w:t xml:space="preserve"> </w:t>
      </w:r>
      <w:r>
        <w:t xml:space="preserve">“</w:t>
      </w:r>
      <w:r>
        <w:t xml:space="preserve">Replication</w:t>
      </w:r>
      <w:r>
        <w:t xml:space="preserve">”</w:t>
      </w:r>
      <w:r>
        <w:t xml:space="preserve">. O’Reilly, 2017.</w:t>
      </w:r>
    </w:p>
    <w:p>
      <w:pPr>
        <w:numPr>
          <w:ilvl w:val="0"/>
          <w:numId w:val="1905"/>
        </w:numPr>
        <w:pStyle w:val="Compact"/>
      </w:pPr>
      <w:r>
        <w:t xml:space="preserve">Lakshman, A., Malik, P.</w:t>
      </w:r>
      <w:r>
        <w:t xml:space="preserve"> </w:t>
      </w:r>
      <w:r>
        <w:rPr>
          <w:iCs/>
          <w:i/>
        </w:rPr>
        <w:t xml:space="preserve">Cassandra: A Decentralized Structured Storage System</w:t>
      </w:r>
      <w:r>
        <w:t xml:space="preserve">. ACM SIGOPS Operating Systems Review 44(2), 2010.</w:t>
      </w:r>
    </w:p>
    <w:p>
      <w:pPr>
        <w:numPr>
          <w:ilvl w:val="0"/>
          <w:numId w:val="1905"/>
        </w:numPr>
        <w:pStyle w:val="Compact"/>
      </w:pPr>
      <w:r>
        <w:t xml:space="preserve">Pittel, B.</w:t>
      </w:r>
      <w:r>
        <w:t xml:space="preserve"> </w:t>
      </w:r>
      <w:r>
        <w:rPr>
          <w:iCs/>
          <w:i/>
        </w:rPr>
        <w:t xml:space="preserve">On Spreading a Rumor</w:t>
      </w:r>
      <w:r>
        <w:t xml:space="preserve">. SIAM Journal on Applied Mathematics 47(1), 1987.</w:t>
      </w:r>
    </w:p>
    <w:p>
      <w:pPr>
        <w:numPr>
          <w:ilvl w:val="0"/>
          <w:numId w:val="1905"/>
        </w:numPr>
        <w:pStyle w:val="Compact"/>
      </w:pPr>
      <w:r>
        <w:t xml:space="preserve">Preguiça, N., Baquero, C., Almeida, P. S., Fonte, V., Gonçalves, R.</w:t>
      </w:r>
      <w:r>
        <w:t xml:space="preserve"> </w:t>
      </w:r>
      <w:r>
        <w:rPr>
          <w:iCs/>
          <w:i/>
        </w:rPr>
        <w:t xml:space="preserve">Dotted Version Vectors: Logical Clocks for Optimistic Replication</w:t>
      </w:r>
      <w:r>
        <w:t xml:space="preserve">. arXiv, 2010.</w:t>
      </w:r>
    </w:p>
    <w:p>
      <w:pPr>
        <w:numPr>
          <w:ilvl w:val="0"/>
          <w:numId w:val="1905"/>
        </w:numPr>
        <w:pStyle w:val="Compact"/>
      </w:pPr>
      <w:r>
        <w:t xml:space="preserve">Redis.</w:t>
      </w:r>
      <w:r>
        <w:t xml:space="preserve"> </w:t>
      </w:r>
      <w:r>
        <w:rPr>
          <w:iCs/>
          <w:i/>
        </w:rPr>
        <w:t xml:space="preserve">Active-Active geo-distributed Redis</w:t>
      </w:r>
      <w:r>
        <w:t xml:space="preserve">. Redis Enterprise documentation, accessed 2026.</w:t>
      </w:r>
    </w:p>
    <w:p>
      <w:pPr>
        <w:numPr>
          <w:ilvl w:val="0"/>
          <w:numId w:val="1905"/>
        </w:numPr>
        <w:pStyle w:val="Compact"/>
      </w:pPr>
      <w:r>
        <w:t xml:space="preserve">Riak.</w:t>
      </w:r>
      <w:r>
        <w:t xml:space="preserve"> </w:t>
      </w:r>
      <w:r>
        <w:rPr>
          <w:iCs/>
          <w:i/>
        </w:rPr>
        <w:t xml:space="preserve">Riak KV documentation</w:t>
      </w:r>
      <w:r>
        <w:t xml:space="preserve">: Conflict Resolution; Causal Context; Data Types. Accessed 2026.</w:t>
      </w:r>
    </w:p>
    <w:p>
      <w:pPr>
        <w:numPr>
          <w:ilvl w:val="0"/>
          <w:numId w:val="1905"/>
        </w:numPr>
        <w:pStyle w:val="Compact"/>
      </w:pPr>
      <w:r>
        <w:t xml:space="preserve">Scales, D. J., Nelson, M., Venkitachalam, G.</w:t>
      </w:r>
      <w:r>
        <w:t xml:space="preserve"> </w:t>
      </w:r>
      <w:r>
        <w:rPr>
          <w:iCs/>
          <w:i/>
        </w:rPr>
        <w:t xml:space="preserve">The Design of a Practical System for Fault-Tolerant Virtual Machines</w:t>
      </w:r>
      <w:r>
        <w:t xml:space="preserve">. ACM SIGOPS Operating Systems Review 44(4), 2010.</w:t>
      </w:r>
    </w:p>
    <w:p>
      <w:pPr>
        <w:numPr>
          <w:ilvl w:val="0"/>
          <w:numId w:val="1905"/>
        </w:numPr>
        <w:pStyle w:val="Compact"/>
      </w:pPr>
      <w:r>
        <w:t xml:space="preserve">Shapiro, M., Preguiça, N., Baquero, C., Zawirski, M.</w:t>
      </w:r>
      <w:r>
        <w:t xml:space="preserve"> </w:t>
      </w:r>
      <w:r>
        <w:rPr>
          <w:iCs/>
          <w:i/>
        </w:rPr>
        <w:t xml:space="preserve">Conflict-free Replicated Data Types</w:t>
      </w:r>
      <w:r>
        <w:t xml:space="preserve">. SSS 2011, LNCS 6976, 2011 (cited as 2011a).</w:t>
      </w:r>
    </w:p>
    <w:p>
      <w:pPr>
        <w:numPr>
          <w:ilvl w:val="0"/>
          <w:numId w:val="1905"/>
        </w:numPr>
        <w:pStyle w:val="Compact"/>
      </w:pPr>
      <w:r>
        <w:t xml:space="preserve">Shapiro, M., Preguiça, N., Baquero, C., Zawirski, M.</w:t>
      </w:r>
      <w:r>
        <w:t xml:space="preserve"> </w:t>
      </w:r>
      <w:r>
        <w:rPr>
          <w:iCs/>
          <w:i/>
        </w:rPr>
        <w:t xml:space="preserve">A Comprehensive Study of Convergent and Commutative Replicated Data Types</w:t>
      </w:r>
      <w:r>
        <w:t xml:space="preserve">. INRIA Research Report RR-7506, 2011 (cited as 2011b).</w:t>
      </w:r>
    </w:p>
    <w:p>
      <w:pPr>
        <w:numPr>
          <w:ilvl w:val="0"/>
          <w:numId w:val="1905"/>
        </w:numPr>
        <w:pStyle w:val="Compact"/>
      </w:pPr>
      <w:r>
        <w:t xml:space="preserve">Terrace, J., Freedman, M. J.</w:t>
      </w:r>
      <w:r>
        <w:t xml:space="preserve"> </w:t>
      </w:r>
      <w:r>
        <w:rPr>
          <w:iCs/>
          <w:i/>
        </w:rPr>
        <w:t xml:space="preserve">Object Storage on CRAQ: High-throughput Chain Replication for Read-mostly Workloads</w:t>
      </w:r>
      <w:r>
        <w:t xml:space="preserve">. USENIX ATC, 2009.</w:t>
      </w:r>
    </w:p>
    <w:p>
      <w:pPr>
        <w:numPr>
          <w:ilvl w:val="0"/>
          <w:numId w:val="1905"/>
        </w:numPr>
        <w:pStyle w:val="Compact"/>
      </w:pPr>
      <w:r>
        <w:t xml:space="preserve">van Renesse, R., Schneider, F. B.</w:t>
      </w:r>
      <w:r>
        <w:t xml:space="preserve"> </w:t>
      </w:r>
      <w:r>
        <w:rPr>
          <w:iCs/>
          <w:i/>
        </w:rPr>
        <w:t xml:space="preserve">Chain Replication for Supporting High Throughput and Availability</w:t>
      </w:r>
      <w:r>
        <w:t xml:space="preserve">. USENIX OSDI, 2004.</w:t>
      </w:r>
    </w:p>
    <w:bookmarkEnd w:id="3116"/>
    <w:bookmarkStart w:id="3117" w:name="open-verification-items-26"/>
    <w:p>
      <w:pPr>
        <w:pStyle w:val="Heading2"/>
      </w:pPr>
      <w:r>
        <w:t xml:space="preserve">27.21 Open verification items</w:t>
      </w:r>
    </w:p>
    <w:p>
      <w:pPr>
        <w:numPr>
          <w:ilvl w:val="0"/>
          <w:numId w:val="1906"/>
        </w:numPr>
        <w:pStyle w:val="Compact"/>
      </w:pPr>
      <w:r>
        <w:t xml:space="preserve">GitHub 2018 incident figures (43 s partition, 24 h 11 min degradation) confirmed only via search summaries; github.blog was unreachable from this session.</w:t>
      </w:r>
    </w:p>
    <w:p>
      <w:pPr>
        <w:numPr>
          <w:ilvl w:val="0"/>
          <w:numId w:val="1906"/>
        </w:numPr>
        <w:pStyle w:val="Compact"/>
      </w:pPr>
      <w:r>
        <w:t xml:space="preserve">Cassandra’s exponential-distribution phi model and the 3-hour default hint window should be checked against current (5.x) source and docs.</w:t>
      </w:r>
    </w:p>
    <w:p>
      <w:pPr>
        <w:numPr>
          <w:ilvl w:val="0"/>
          <w:numId w:val="1906"/>
        </w:numPr>
        <w:pStyle w:val="Compact"/>
      </w:pPr>
      <w:r>
        <w:t xml:space="preserve">Dynamo’s</w:t>
      </w:r>
      <w:r>
        <w:t xml:space="preserve"> </w:t>
      </w:r>
      <w:r>
        <w:t xml:space="preserve">“</w:t>
      </w:r>
      <w:r>
        <w:t xml:space="preserve">99.94% of requests saw one version</w:t>
      </w:r>
      <w:r>
        <w:t xml:space="preserve">”</w:t>
      </w:r>
      <w:r>
        <w:t xml:space="preserve"> </w:t>
      </w:r>
      <w:r>
        <w:t xml:space="preserve">figure and the ~10-entry vector-clock truncation threshold: check against the paper text.</w:t>
      </w:r>
    </w:p>
    <w:p>
      <w:pPr>
        <w:numPr>
          <w:ilvl w:val="0"/>
          <w:numId w:val="1906"/>
        </w:numPr>
        <w:pStyle w:val="Compact"/>
      </w:pPr>
      <w:r>
        <w:t xml:space="preserve">DynamoDB global tables’ LWW and strong-consistency mode wording (as of 2026).</w:t>
      </w:r>
    </w:p>
    <w:p>
      <w:pPr>
        <w:numPr>
          <w:ilvl w:val="0"/>
          <w:numId w:val="1906"/>
        </w:numPr>
        <w:pStyle w:val="Compact"/>
      </w:pPr>
      <w:r>
        <w:t xml:space="preserve">Exact titles/URLs for Akka, CouchDB, Redis and Riak documentation pages.</w:t>
      </w:r>
    </w:p>
    <w:bookmarkEnd w:id="3117"/>
    <w:bookmarkEnd w:id="3118"/>
    <w:bookmarkStart w:id="3228" w:name="chapter-28-distributed-transactions"/>
    <w:p>
      <w:pPr>
        <w:pStyle w:val="Heading1"/>
      </w:pPr>
      <w:r>
        <w:t xml:space="preserve">Chapter 28 — Distributed Transactions</w:t>
      </w:r>
    </w:p>
    <w:p>
      <w:pPr>
        <w:pStyle w:val="BlockText"/>
      </w:pPr>
      <w:r>
        <w:rPr>
          <w:bCs/>
          <w:b/>
        </w:rPr>
        <w:t xml:space="preserve">Level:</w:t>
      </w:r>
      <w:r>
        <w:t xml:space="preserve"> </w:t>
      </w:r>
      <w:r>
        <w:t xml:space="preserve">4 ·</w:t>
      </w:r>
      <w:r>
        <w:t xml:space="preserve"> </w:t>
      </w:r>
      <w:r>
        <w:rPr>
          <w:bCs/>
          <w:b/>
        </w:rPr>
        <w:t xml:space="preserve">Track:</w:t>
      </w:r>
      <w:r>
        <w:t xml:space="preserve"> </w:t>
      </w:r>
      <w:r>
        <w:t xml:space="preserve">A (Traditional) ·</w:t>
      </w:r>
      <w:r>
        <w:t xml:space="preserve"> </w:t>
      </w:r>
      <w:r>
        <w:rPr>
          <w:bCs/>
          <w:b/>
        </w:rPr>
        <w:t xml:space="preserve">Estimated reading time:</w:t>
      </w:r>
      <w:r>
        <w:t xml:space="preserve"> </w:t>
      </w:r>
      <w:r>
        <w:t xml:space="preserve">6 h</w:t>
      </w:r>
    </w:p>
    <w:p>
      <w:pPr>
        <w:pStyle w:val="FirstParagraph"/>
      </w:pPr>
      <w:r>
        <w:t xml:space="preserve">On one database server a transaction is a solved problem: the write-ahead log, locks and MVCC of Chapter 11 make a transfer between two accounts all-or-nothing, isolated and durable. Partition the accounts across two servers (Chapter 14) and the guarantee disappears. Each server can still commit or abort</w:t>
      </w:r>
      <w:r>
        <w:t xml:space="preserve"> </w:t>
      </w:r>
      <w:r>
        <w:rPr>
          <w:iCs/>
          <w:i/>
        </w:rPr>
        <w:t xml:space="preserve">its own</w:t>
      </w:r>
      <w:r>
        <w:t xml:space="preserve"> </w:t>
      </w:r>
      <w:r>
        <w:t xml:space="preserve">half, but nothing forces the two halves to agree, and either server, or the network between them, can fail at any moment.</w:t>
      </w:r>
    </w:p>
    <w:p>
      <w:pPr>
        <w:pStyle w:val="BodyText"/>
      </w:pPr>
      <w:r>
        <w:t xml:space="preserve">This chapter is about getting the guarantee back. It starts with the</w:t>
      </w:r>
      <w:r>
        <w:t xml:space="preserve"> </w:t>
      </w:r>
      <w:r>
        <w:rPr>
          <w:bCs/>
          <w:b/>
        </w:rPr>
        <w:t xml:space="preserve">atomic commitment problem</w:t>
      </w:r>
      <w:r>
        <w:t xml:space="preserve"> </w:t>
      </w:r>
      <w:r>
        <w:t xml:space="preserve">and the classic answer, two-phase commit, including exactly what must be logged and why it can block. It then follows the ideas that made distributed transactions practical at scale: running 2PC over replicated consensus groups, Percolator’s timestamp oracle and primary lock, Spanner’s TrueTime and commit wait, Calvin’s deterministic ordering, and the commit protocols inside CockroachDB, YugabyteDB and TiDB. It ends with a decision procedure, because the cheapest distributed transaction is the one your data model avoids. Consensus itself is Chapter 26’s subject, hybrid logical clocks are introduced in §24.12, and sagas and the transactional outbox are treated in depth in Chapter 32.</w:t>
      </w:r>
    </w:p>
    <w:bookmarkStart w:id="3119" w:name="learning-objectives-27"/>
    <w:p>
      <w:pPr>
        <w:pStyle w:val="Heading2"/>
      </w:pPr>
      <w:r>
        <w:t xml:space="preserve">28.1 Learning objectives</w:t>
      </w:r>
    </w:p>
    <w:p>
      <w:pPr>
        <w:pStyle w:val="FirstParagraph"/>
      </w:pPr>
      <w:r>
        <w:t xml:space="preserve">After this chapter you should be able to:</w:t>
      </w:r>
    </w:p>
    <w:p>
      <w:pPr>
        <w:numPr>
          <w:ilvl w:val="0"/>
          <w:numId w:val="1907"/>
        </w:numPr>
        <w:pStyle w:val="Compact"/>
      </w:pPr>
      <w:r>
        <w:t xml:space="preserve">State the atomic commitment problem and explain why partial failure makes it harder than local commit.</w:t>
      </w:r>
    </w:p>
    <w:p>
      <w:pPr>
        <w:numPr>
          <w:ilvl w:val="0"/>
          <w:numId w:val="1907"/>
        </w:numPr>
        <w:pStyle w:val="Compact"/>
      </w:pPr>
      <w:r>
        <w:t xml:space="preserve">Walk through two-phase commit, naming every forced log write, and show where and why it blocks when the coordinator fails.</w:t>
      </w:r>
    </w:p>
    <w:p>
      <w:pPr>
        <w:numPr>
          <w:ilvl w:val="0"/>
          <w:numId w:val="1907"/>
        </w:numPr>
        <w:pStyle w:val="Compact"/>
      </w:pPr>
      <w:r>
        <w:t xml:space="preserve">Compute 2PC latency, the availability of a transaction spanning</w:t>
      </w:r>
      <w:r>
        <w:t xml:space="preserve"> </w:t>
      </w:r>
      <m:oMath>
        <m:r>
          <m:t>k</m:t>
        </m:r>
      </m:oMath>
      <w:r>
        <w:t xml:space="preserve"> </w:t>
      </w:r>
      <w:r>
        <w:t xml:space="preserve">partitions (</w:t>
      </w:r>
      <m:oMath>
        <m:sSup>
          <m:e>
            <m:r>
              <m:t>A</m:t>
            </m:r>
          </m:e>
          <m:sup>
            <m:r>
              <m:t>k</m:t>
            </m:r>
          </m:sup>
        </m:sSup>
      </m:oMath>
      <w:r>
        <w:t xml:space="preserve">) and the expected number of in-doubt transactions per coordinator crash.</w:t>
      </w:r>
    </w:p>
    <w:p>
      <w:pPr>
        <w:numPr>
          <w:ilvl w:val="0"/>
          <w:numId w:val="1907"/>
        </w:numPr>
        <w:pStyle w:val="Compact"/>
      </w:pPr>
      <w:r>
        <w:t xml:space="preserve">Explain presumed abort, XA and PostgreSQL prepared transactions, and recover an in-doubt transaction by hand.</w:t>
      </w:r>
    </w:p>
    <w:p>
      <w:pPr>
        <w:numPr>
          <w:ilvl w:val="0"/>
          <w:numId w:val="1907"/>
        </w:numPr>
        <w:pStyle w:val="Compact"/>
      </w:pPr>
      <w:r>
        <w:t xml:space="preserve">Explain why three-phase commit is non-blocking only under synchrony assumptions and why it is rarely deployed.</w:t>
      </w:r>
    </w:p>
    <w:p>
      <w:pPr>
        <w:numPr>
          <w:ilvl w:val="0"/>
          <w:numId w:val="1907"/>
        </w:numPr>
        <w:pStyle w:val="Compact"/>
      </w:pPr>
      <w:r>
        <w:t xml:space="preserve">Describe Percolator’s write and read paths, Spanner’s commit wait and external-consistency argument, and Calvin’s deterministic execution, and compute their latencies.</w:t>
      </w:r>
    </w:p>
    <w:p>
      <w:pPr>
        <w:numPr>
          <w:ilvl w:val="0"/>
          <w:numId w:val="1907"/>
        </w:numPr>
        <w:pStyle w:val="Compact"/>
      </w:pPr>
      <w:r>
        <w:t xml:space="preserve">Compare CockroachDB, YugabyteDB, TiDB and Spanner, and choose a transaction strategy for a given workload.</w:t>
      </w:r>
    </w:p>
    <w:bookmarkEnd w:id="3119"/>
    <w:bookmarkStart w:id="3120" w:name="prerequisites-27"/>
    <w:p>
      <w:pPr>
        <w:pStyle w:val="Heading2"/>
      </w:pPr>
      <w:r>
        <w:t xml:space="preserve">28.2 Prerequisites</w:t>
      </w:r>
    </w:p>
    <w:p>
      <w:pPr>
        <w:numPr>
          <w:ilvl w:val="0"/>
          <w:numId w:val="1908"/>
        </w:numPr>
        <w:pStyle w:val="Compact"/>
      </w:pPr>
      <w:r>
        <w:t xml:space="preserve">Transactions, ACID, isolation anomalies (especially write skew), MVCC and two-phase locking — §11.11–§11.15 (this chapter distributes those mechanisms).</w:t>
      </w:r>
    </w:p>
    <w:p>
      <w:pPr>
        <w:numPr>
          <w:ilvl w:val="0"/>
          <w:numId w:val="1908"/>
        </w:numPr>
        <w:pStyle w:val="Compact"/>
      </w:pPr>
      <w:r>
        <w:t xml:space="preserve">Write-ahead logging and</w:t>
      </w:r>
      <w:r>
        <w:t xml:space="preserve"> </w:t>
      </w:r>
      <w:r>
        <w:rPr>
          <w:rStyle w:val="VerbatimChar"/>
        </w:rPr>
        <w:t xml:space="preserve">fsync</w:t>
      </w:r>
      <w:r>
        <w:t xml:space="preserve"> </w:t>
      </w:r>
      <w:r>
        <w:t xml:space="preserve">— §13.5 and §6.14 (every protocol here is defined by what it forces to the log).</w:t>
      </w:r>
    </w:p>
    <w:p>
      <w:pPr>
        <w:numPr>
          <w:ilvl w:val="0"/>
          <w:numId w:val="1908"/>
        </w:numPr>
        <w:pStyle w:val="Compact"/>
      </w:pPr>
      <w:r>
        <w:t xml:space="preserve">Partitioning and the cross-shard transaction preview — §14.6–§14.7 and §14.12.</w:t>
      </w:r>
    </w:p>
    <w:p>
      <w:pPr>
        <w:numPr>
          <w:ilvl w:val="0"/>
          <w:numId w:val="1908"/>
        </w:numPr>
        <w:pStyle w:val="Compact"/>
      </w:pPr>
      <w:r>
        <w:t xml:space="preserve">Partial failure, clock skew and hybrid logical clocks — §24.8, §24.9 and §24.12.</w:t>
      </w:r>
    </w:p>
    <w:p>
      <w:pPr>
        <w:numPr>
          <w:ilvl w:val="0"/>
          <w:numId w:val="1908"/>
        </w:numPr>
        <w:pStyle w:val="Compact"/>
      </w:pPr>
      <w:r>
        <w:t xml:space="preserve">Consensus and leases — §26.3, §26.7 and §26.11 (2PC is made highly available by running it over consensus groups).</w:t>
      </w:r>
    </w:p>
    <w:p>
      <w:pPr>
        <w:numPr>
          <w:ilvl w:val="0"/>
          <w:numId w:val="1908"/>
        </w:numPr>
        <w:pStyle w:val="Compact"/>
      </w:pPr>
      <w:r>
        <w:t xml:space="preserve">Idempotency keys — §22.15 (commit and abort messages are retried and must be harmless when duplicated).</w:t>
      </w:r>
    </w:p>
    <w:bookmarkEnd w:id="3120"/>
    <w:bookmarkStart w:id="3129" w:name="why-distributed-transactions-are-hard"/>
    <w:p>
      <w:pPr>
        <w:pStyle w:val="Heading2"/>
      </w:pPr>
      <w:r>
        <w:t xml:space="preserve">28.3 Why distributed transactions are hard</w:t>
      </w:r>
    </w:p>
    <w:bookmarkStart w:id="3123" w:name="the-atomic-commitment-problem"/>
    <w:p>
      <w:pPr>
        <w:pStyle w:val="Heading3"/>
      </w:pPr>
      <w:r>
        <w:t xml:space="preserve">28.3.1 The atomic commitment problem</w:t>
      </w:r>
    </w:p>
    <w:p>
      <w:pPr>
        <w:pStyle w:val="CalloutDefinition"/>
      </w:pPr>
      <w:r>
        <w:rPr>
          <w:bCs/>
          <w:b/>
        </w:rPr>
        <w:t xml:space="preserve">DEFINITION</w:t>
      </w:r>
    </w:p>
    <w:p>
      <w:pPr>
        <w:pStyle w:val="CalloutDefinition"/>
      </w:pPr>
      <w:r>
        <w:rPr>
          <w:bCs/>
          <w:b/>
        </w:rPr>
        <w:t xml:space="preserve">Definition — Atomic commitment.</w:t>
      </w:r>
      <w:r>
        <w:t xml:space="preserve"> </w:t>
      </w:r>
      <w:r>
        <w:t xml:space="preserve">A protocol by which a set of</w:t>
      </w:r>
      <w:r>
        <w:t xml:space="preserve"> </w:t>
      </w:r>
      <w:r>
        <w:rPr>
          <w:bCs/>
          <w:b/>
        </w:rPr>
        <w:t xml:space="preserve">participants</w:t>
      </w:r>
      <w:r>
        <w:t xml:space="preserve"> </w:t>
      </w:r>
      <w:r>
        <w:t xml:space="preserve">(nodes that each executed part of a transaction) reach a single outcome, commit or abort, such that: (1) all participants that decide reach the same decision; (2) a participant cannot reverse a decision once made; (3) commit is decided only if every participant voted yes; (4) if there are no failures and every participant voted yes, the decision is commit; and (5) once failures are repaired and no new ones occur for long enough, every participant eventually decides [Bernstein et al. 1987].</w:t>
      </w:r>
    </w:p>
    <w:bookmarkStart w:id="3121" w:name="first-principles-explanation-151"/>
    <w:p>
      <w:pPr>
        <w:pStyle w:val="Heading4"/>
      </w:pPr>
      <w:r>
        <w:t xml:space="preserve">First-principles explanation</w:t>
      </w:r>
    </w:p>
    <w:p>
      <w:pPr>
        <w:pStyle w:val="FirstParagraph"/>
      </w:pPr>
      <w:r>
        <w:t xml:space="preserve">Picture a wedding ceremony. The officiant asks each partner</w:t>
      </w:r>
      <w:r>
        <w:t xml:space="preserve"> </w:t>
      </w:r>
      <w:r>
        <w:t xml:space="preserve">“</w:t>
      </w:r>
      <w:r>
        <w:t xml:space="preserve">Do you?</w:t>
      </w:r>
      <w:r>
        <w:t xml:space="preserve">”</w:t>
      </w:r>
      <w:r>
        <w:t xml:space="preserve"> </w:t>
      </w:r>
      <w:r>
        <w:t xml:space="preserve">Each partner, before answering, must be</w:t>
      </w:r>
      <w:r>
        <w:t xml:space="preserve"> </w:t>
      </w:r>
      <w:r>
        <w:rPr>
          <w:iCs/>
          <w:i/>
        </w:rPr>
        <w:t xml:space="preserve">certain</w:t>
      </w:r>
      <w:r>
        <w:t xml:space="preserve"> </w:t>
      </w:r>
      <w:r>
        <w:t xml:space="preserve">they can follow through, because after saying</w:t>
      </w:r>
      <w:r>
        <w:t xml:space="preserve"> </w:t>
      </w:r>
      <w:r>
        <w:t xml:space="preserve">“</w:t>
      </w:r>
      <w:r>
        <w:t xml:space="preserve">I do</w:t>
      </w:r>
      <w:r>
        <w:t xml:space="preserve">”</w:t>
      </w:r>
      <w:r>
        <w:t xml:space="preserve"> </w:t>
      </w:r>
      <w:r>
        <w:t xml:space="preserve">they may not back out on their own. Only when both have said yes does the officiant pronounce the marriage, and from that moment it is binding on both. If the officiant faints after hearing two yeses but before pronouncing, the couple stands at the altar unable to leave and unable to celebrate. That picture, used by Gray, is two-phase commit, weakness included [Gray 1978].</w:t>
      </w:r>
    </w:p>
    <w:p>
      <w:pPr>
        <w:pStyle w:val="BodyText"/>
      </w:pPr>
      <w:r>
        <w:t xml:space="preserve">The single-server version is easy because there is one log and one decision. One</w:t>
      </w:r>
      <w:r>
        <w:t xml:space="preserve"> </w:t>
      </w:r>
      <w:r>
        <w:rPr>
          <w:rStyle w:val="VerbatimChar"/>
        </w:rPr>
        <w:t xml:space="preserve">fsync</w:t>
      </w:r>
      <w:r>
        <w:t xml:space="preserve"> </w:t>
      </w:r>
      <w:r>
        <w:t xml:space="preserve">of a commit record is the instant at which the whole transaction becomes durable. Across servers there is no shared instant. Each server can promise only things about its own log, and it learns about the others solely through messages that may be delayed, lost or never sent because the sender died.</w:t>
      </w:r>
    </w:p>
    <w:bookmarkEnd w:id="3121"/>
    <w:bookmarkStart w:id="3122" w:name="why-does-this-exist-94"/>
    <w:p>
      <w:pPr>
        <w:pStyle w:val="Heading4"/>
      </w:pPr>
      <w:r>
        <w:t xml:space="preserve">Why does this exist?</w:t>
      </w:r>
    </w:p>
    <w:p>
      <w:pPr>
        <w:pStyle w:val="FirstParagraph"/>
      </w:pPr>
      <w:r>
        <w:t xml:space="preserve">Partitioning scales writes (Chapter 14), but business operations ignore partition boundaries: a transfer touches two accounts, an order touches stock and orders, a global index entry lives apart from its row (§14.11). Each needs all-or-nothing behavior across nodes.</w:t>
      </w:r>
    </w:p>
    <w:bookmarkEnd w:id="3122"/>
    <w:bookmarkEnd w:id="3123"/>
    <w:bookmarkStart w:id="3127" w:name="X637a25b0894cc2c280e851e3c49ddafbb9105c8"/>
    <w:p>
      <w:pPr>
        <w:pStyle w:val="Heading3"/>
      </w:pPr>
      <w:r>
        <w:t xml:space="preserve">28.3.2 Partial failure: a money transfer across two shards</w:t>
      </w:r>
    </w:p>
    <w:p>
      <w:pPr>
        <w:pStyle w:val="CalloutDefinition"/>
      </w:pPr>
      <w:r>
        <w:rPr>
          <w:bCs/>
          <w:b/>
        </w:rPr>
        <w:t xml:space="preserve">DEFINITION</w:t>
      </w:r>
    </w:p>
    <w:p>
      <w:pPr>
        <w:pStyle w:val="CalloutDefinition"/>
      </w:pPr>
      <w:r>
        <w:rPr>
          <w:bCs/>
          <w:b/>
        </w:rPr>
        <w:t xml:space="preserve">Definition — Partial failure.</w:t>
      </w:r>
      <w:r>
        <w:t xml:space="preserve"> </w:t>
      </w:r>
      <w:r>
        <w:t xml:space="preserve">A failure in which some components of a distributed system fail, or become unreachable, while others keep running, and the running components cannot reliably tell which (§24.8).</w:t>
      </w:r>
    </w:p>
    <w:p>
      <w:pPr>
        <w:pStyle w:val="BodyText"/>
      </w:pPr>
      <w:r>
        <w:t xml:space="preserve">Take two PostgreSQL shards. Account 7 (balance $500) lives on shard A and account 9 (balance $0) on shard B. A service transfers $100 by running an ordinary local transaction on each shard, one after the other.</w:t>
      </w:r>
    </w:p>
    <w:p>
      <w:pPr>
        <w:pStyle w:val="BodyText"/>
      </w:pPr>
      <w:r>
        <w:rPr>
          <w:bCs/>
          <w:b/>
        </w:rPr>
        <w:t xml:space="preserve">Figure 28.1 — A naive cross-shard transfer that loses money.</w:t>
      </w:r>
    </w:p>
    <w:p>
      <w:pPr>
        <w:pStyle w:val="BodyText"/>
      </w:pPr>
      <w:r>
        <w:drawing>
          <wp:inline>
            <wp:extent cx="5334000" cy="3253922"/>
            <wp:effectExtent b="0" l="0" r="0" t="0"/>
            <wp:docPr descr="" title="" id="3125" name="Picture"/>
            <a:graphic>
              <a:graphicData uri="http://schemas.openxmlformats.org/drawingml/2006/picture">
                <pic:pic>
                  <pic:nvPicPr>
                    <pic:cNvPr descr="/home/user/System-Design/build/.cache/diagrams/2ba5120f0e61.png" id="3126" name="Picture"/>
                    <pic:cNvPicPr>
                      <a:picLocks noChangeArrowheads="1" noChangeAspect="1"/>
                    </pic:cNvPicPr>
                  </pic:nvPicPr>
                  <pic:blipFill>
                    <a:blip r:embed="rId3124"/>
                    <a:stretch>
                      <a:fillRect/>
                    </a:stretch>
                  </pic:blipFill>
                  <pic:spPr bwMode="auto">
                    <a:xfrm>
                      <a:off x="0" y="0"/>
                      <a:ext cx="5334000" cy="3253922"/>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transfer service talks to each shard over its own synchronous SQL connection; each shard has its own write-ahead log, so there are two independent storage boundaries. Shard A’s commit is durable before the service even sends B’s commit. The service crashes (the crossed arrow), B’s session times out and B rolls back its half. Committing B first fails symmetrically, creating money. No ordering of two independent commits is safe, and scaling changes nothing: the flaw is in the protocol.</w:t>
      </w:r>
    </w:p>
    <w:p>
      <w:pPr>
        <w:pStyle w:val="BodyText"/>
      </w:pPr>
      <w:r>
        <w:t xml:space="preserve">Three facts make the problem hard:</w:t>
      </w:r>
    </w:p>
    <w:p>
      <w:pPr>
        <w:numPr>
          <w:ilvl w:val="0"/>
          <w:numId w:val="1909"/>
        </w:numPr>
        <w:pStyle w:val="Compact"/>
      </w:pPr>
      <w:r>
        <w:rPr>
          <w:bCs/>
          <w:b/>
        </w:rPr>
        <w:t xml:space="preserve">No participant may commit until it knows every other participant can.</w:t>
      </w:r>
      <w:r>
        <w:t xml:space="preserve"> </w:t>
      </w:r>
      <w:r>
        <w:t xml:space="preserve">Shard B might fail a</w:t>
      </w:r>
      <w:r>
        <w:t xml:space="preserve"> </w:t>
      </w:r>
      <w:r>
        <w:rPr>
          <w:rStyle w:val="VerbatimChar"/>
        </w:rPr>
        <w:t xml:space="preserve">CHECK</w:t>
      </w:r>
      <w:r>
        <w:t xml:space="preserve"> </w:t>
      </w:r>
      <w:r>
        <w:t xml:space="preserve">constraint, run out of disk or deadlock. A must not make its half permanent until that is ruled out.</w:t>
      </w:r>
    </w:p>
    <w:p>
      <w:pPr>
        <w:numPr>
          <w:ilvl w:val="0"/>
          <w:numId w:val="1909"/>
        </w:numPr>
        <w:pStyle w:val="Compact"/>
      </w:pPr>
      <w:r>
        <w:rPr>
          <w:bCs/>
          <w:b/>
        </w:rPr>
        <w:t xml:space="preserve">A participant that has promised cannot change its mind.</w:t>
      </w:r>
      <w:r>
        <w:t xml:space="preserve"> </w:t>
      </w:r>
      <w:r>
        <w:t xml:space="preserve">Once B has said</w:t>
      </w:r>
      <w:r>
        <w:t xml:space="preserve"> </w:t>
      </w:r>
      <w:r>
        <w:t xml:space="preserve">“</w:t>
      </w:r>
      <w:r>
        <w:t xml:space="preserve">I can commit</w:t>
      </w:r>
      <w:r>
        <w:t xml:space="preserve">”</w:t>
      </w:r>
      <w:r>
        <w:t xml:space="preserve">, it must keep that promise through crashes, so the promise itself must be durable.</w:t>
      </w:r>
    </w:p>
    <w:p>
      <w:pPr>
        <w:numPr>
          <w:ilvl w:val="0"/>
          <w:numId w:val="1909"/>
        </w:numPr>
        <w:pStyle w:val="Compact"/>
      </w:pPr>
      <w:r>
        <w:rPr>
          <w:bCs/>
          <w:b/>
        </w:rPr>
        <w:t xml:space="preserve">Silence is ambiguous.</w:t>
      </w:r>
      <w:r>
        <w:t xml:space="preserve"> </w:t>
      </w:r>
      <w:r>
        <w:t xml:space="preserve">A coordinator that hears nothing from B cannot distinguish</w:t>
      </w:r>
      <w:r>
        <w:t xml:space="preserve"> </w:t>
      </w:r>
      <w:r>
        <w:t xml:space="preserve">“</w:t>
      </w:r>
      <w:r>
        <w:t xml:space="preserve">B crashed</w:t>
      </w:r>
      <w:r>
        <w:t xml:space="preserve">”</w:t>
      </w:r>
      <w:r>
        <w:t xml:space="preserve">,</w:t>
      </w:r>
      <w:r>
        <w:t xml:space="preserve"> </w:t>
      </w:r>
      <w:r>
        <w:t xml:space="preserve">“</w:t>
      </w:r>
      <w:r>
        <w:t xml:space="preserve">B is slow</w:t>
      </w:r>
      <w:r>
        <w:t xml:space="preserve">”</w:t>
      </w:r>
      <w:r>
        <w:t xml:space="preserve"> </w:t>
      </w:r>
      <w:r>
        <w:t xml:space="preserve">and</w:t>
      </w:r>
      <w:r>
        <w:t xml:space="preserve"> </w:t>
      </w:r>
      <w:r>
        <w:t xml:space="preserve">“</w:t>
      </w:r>
      <w:r>
        <w:t xml:space="preserve">the network dropped B’s reply</w:t>
      </w:r>
      <w:r>
        <w:t xml:space="preserve">”</w:t>
      </w:r>
      <w:r>
        <w:t xml:space="preserve"> </w:t>
      </w:r>
      <w:r>
        <w:t xml:space="preserve">(§24.7). Any protocol must be safe in all three cases.</w:t>
      </w:r>
    </w:p>
    <w:p>
      <w:pPr>
        <w:pStyle w:val="CalloutConcept"/>
      </w:pPr>
      <w:r>
        <w:rPr>
          <w:bCs/>
          <w:b/>
        </w:rPr>
        <w:t xml:space="preserve">KEY CONCEPT</w:t>
      </w:r>
    </w:p>
    <w:p>
      <w:pPr>
        <w:pStyle w:val="CalloutConcept"/>
      </w:pPr>
      <w:r>
        <w:rPr>
          <w:bCs/>
          <w:b/>
        </w:rPr>
        <w:t xml:space="preserve">Concept — Atomic commitment is a consensus problem with veto.</w:t>
      </w:r>
      <w:r>
        <w:t xml:space="preserve"> </w:t>
      </w:r>
      <w:r>
        <w:t xml:space="preserve">Every participant must agree on one value (commit or abort), and any single participant can force abort. The FLP result (§24.13) says no deterministic protocol can guarantee that agreement terminates in an asynchronous system with even one crash. Every protocol in this chapter therefore gives up something: two-phase commit gives up termination while the coordinator is down; three-phase commit assumes bounded delays; consensus-based commit needs a majority of replicas to be up.</w:t>
      </w:r>
    </w:p>
    <w:bookmarkEnd w:id="3127"/>
    <w:bookmarkStart w:id="3128" w:name="Xdef5c3e1807f6e682558fd6e63435805ccd21be"/>
    <w:p>
      <w:pPr>
        <w:pStyle w:val="Heading3"/>
      </w:pPr>
      <w:r>
        <w:t xml:space="preserve">28.3.3 Isolation across partitions: snapshot isolation versus serializability</w:t>
      </w:r>
    </w:p>
    <w:p>
      <w:pPr>
        <w:pStyle w:val="FirstParagraph"/>
      </w:pPr>
      <w:r>
        <w:t xml:space="preserve">Atomicity is half the job. A distributed transaction must also be isolated (§11.13), which needs two things a single server gets for free:</w:t>
      </w:r>
    </w:p>
    <w:p>
      <w:pPr>
        <w:numPr>
          <w:ilvl w:val="0"/>
          <w:numId w:val="1910"/>
        </w:numPr>
        <w:pStyle w:val="Compact"/>
      </w:pPr>
      <w:r>
        <w:rPr>
          <w:bCs/>
          <w:b/>
        </w:rPr>
        <w:t xml:space="preserve">A consistent snapshot across partitions.</w:t>
      </w:r>
      <w:r>
        <w:t xml:space="preserve"> </w:t>
      </w:r>
      <w:r>
        <w:t xml:space="preserve">A reader must see either both halves of the transfer or neither. On one server a snapshot is a list of committed transaction IDs (§11.14). Across servers you need a common notion of</w:t>
      </w:r>
      <w:r>
        <w:t xml:space="preserve"> </w:t>
      </w:r>
      <w:r>
        <w:t xml:space="preserve">“</w:t>
      </w:r>
      <w:r>
        <w:t xml:space="preserve">before</w:t>
      </w:r>
      <w:r>
        <w:t xml:space="preserve">”</w:t>
      </w:r>
      <w:r>
        <w:t xml:space="preserve"> </w:t>
      </w:r>
      <w:r>
        <w:t xml:space="preserve">and</w:t>
      </w:r>
      <w:r>
        <w:t xml:space="preserve"> </w:t>
      </w:r>
      <w:r>
        <w:t xml:space="preserve">“</w:t>
      </w:r>
      <w:r>
        <w:t xml:space="preserve">after</w:t>
      </w:r>
      <w:r>
        <w:t xml:space="preserve">”</w:t>
      </w:r>
      <w:r>
        <w:t xml:space="preserve">: a central</w:t>
      </w:r>
      <w:r>
        <w:t xml:space="preserve"> </w:t>
      </w:r>
      <w:r>
        <w:rPr>
          <w:bCs/>
          <w:b/>
        </w:rPr>
        <w:t xml:space="preserve">timestamp oracle</w:t>
      </w:r>
      <w:r>
        <w:t xml:space="preserve"> </w:t>
      </w:r>
      <w:r>
        <w:t xml:space="preserve">(Percolator, TiDB), tightly bounded physical clocks (Spanner) or hybrid logical clocks with uncertainty handling (CockroachDB, YugabyteDB).</w:t>
      </w:r>
    </w:p>
    <w:p>
      <w:pPr>
        <w:numPr>
          <w:ilvl w:val="0"/>
          <w:numId w:val="1910"/>
        </w:numPr>
        <w:pStyle w:val="Compact"/>
      </w:pPr>
      <w:r>
        <w:rPr>
          <w:bCs/>
          <w:b/>
        </w:rPr>
        <w:t xml:space="preserve">Conflict detection across partitions.</w:t>
      </w:r>
      <w:r>
        <w:t xml:space="preserve"> </w:t>
      </w:r>
      <w:r>
        <w:t xml:space="preserve">Write-write conflicts are easy, because both writers touch the same key on the same partition. Read-write conflicts, the ones that cause</w:t>
      </w:r>
      <w:r>
        <w:t xml:space="preserve"> </w:t>
      </w:r>
      <w:r>
        <w:rPr>
          <w:bCs/>
          <w:b/>
        </w:rPr>
        <w:t xml:space="preserve">write skew</w:t>
      </w:r>
      <w:r>
        <w:t xml:space="preserve">, are not: transaction T1 reads key</w:t>
      </w:r>
      <w:r>
        <w:t xml:space="preserve"> </w:t>
      </w:r>
      <m:oMath>
        <m:r>
          <m:t>x</m:t>
        </m:r>
      </m:oMath>
      <w:r>
        <w:t xml:space="preserve"> </w:t>
      </w:r>
      <w:r>
        <w:t xml:space="preserve">on partition 1 and writes</w:t>
      </w:r>
      <w:r>
        <w:t xml:space="preserve"> </w:t>
      </w:r>
      <m:oMath>
        <m:r>
          <m:t>y</m:t>
        </m:r>
      </m:oMath>
      <w:r>
        <w:t xml:space="preserve"> </w:t>
      </w:r>
      <w:r>
        <w:t xml:space="preserve">on partition 2, while T2 reads</w:t>
      </w:r>
      <w:r>
        <w:t xml:space="preserve"> </w:t>
      </w:r>
      <m:oMath>
        <m:r>
          <m:t>y</m:t>
        </m:r>
      </m:oMath>
      <w:r>
        <w:t xml:space="preserve"> </w:t>
      </w:r>
      <w:r>
        <w:t xml:space="preserve">and writes</w:t>
      </w:r>
      <w:r>
        <w:t xml:space="preserve"> </w:t>
      </w:r>
      <m:oMath>
        <m:r>
          <m:t>x</m:t>
        </m:r>
      </m:oMath>
      <w:r>
        <w:t xml:space="preserve">. Neither partition sees both edges of the dependency cycle.</w:t>
      </w:r>
    </w:p>
    <w:p>
      <w:pPr>
        <w:pStyle w:val="FirstParagraph"/>
      </w:pPr>
      <w:r>
        <w:t xml:space="preserve">That second point explains a pattern you will see throughout this chapter.</w:t>
      </w:r>
      <w:r>
        <w:t xml:space="preserve"> </w:t>
      </w:r>
      <w:r>
        <w:rPr>
          <w:bCs/>
          <w:b/>
        </w:rPr>
        <w:t xml:space="preserve">Snapshot isolation</w:t>
      </w:r>
      <w:r>
        <w:t xml:space="preserve"> </w:t>
      </w:r>
      <w:r>
        <w:t xml:space="preserve">(SI) needs only per-key write-write checks, so it distributes cheaply, and Percolator and TiDB offer it [Peng and Dabek 2010; Huang et al. 2020]. SI permits write skew: two transfers that each check</w:t>
      </w:r>
      <w:r>
        <w:t xml:space="preserve"> </w:t>
      </w:r>
      <w:r>
        <w:t xml:space="preserve">“</w:t>
      </w:r>
      <w:r>
        <w:t xml:space="preserve">sum of a customer’s two accounts</w:t>
      </w:r>
      <w:r>
        <w:t xml:space="preserve"> </w:t>
      </w:r>
      <m:oMath>
        <m:r>
          <m:rPr>
            <m:sty m:val="p"/>
          </m:rPr>
          <m:t>≥</m:t>
        </m:r>
      </m:oMath>
      <w:r>
        <w:t xml:space="preserve"> </w:t>
      </w:r>
      <w:r>
        <w:t xml:space="preserve">0</w:t>
      </w:r>
      <w:r>
        <w:t xml:space="preserve">”</w:t>
      </w:r>
      <w:r>
        <w:t xml:space="preserve"> </w:t>
      </w:r>
      <w:r>
        <w:t xml:space="preserve">and each debit a</w:t>
      </w:r>
      <w:r>
        <w:t xml:space="preserve"> </w:t>
      </w:r>
      <w:r>
        <w:rPr>
          <w:iCs/>
          <w:i/>
        </w:rPr>
        <w:t xml:space="preserve">different</w:t>
      </w:r>
      <w:r>
        <w:t xml:space="preserve"> </w:t>
      </w:r>
      <w:r>
        <w:t xml:space="preserve">account can both commit and overdraw the customer, exactly the doctors-on-call anomaly of Figure 11.8 with the rows on different machines (§28.7.4 reproduces it).</w:t>
      </w:r>
      <w:r>
        <w:t xml:space="preserve"> </w:t>
      </w:r>
      <w:r>
        <w:rPr>
          <w:bCs/>
          <w:b/>
        </w:rPr>
        <w:t xml:space="preserve">Serializable</w:t>
      </w:r>
      <w:r>
        <w:t xml:space="preserve"> </w:t>
      </w:r>
      <w:r>
        <w:t xml:space="preserve">isolation needs either read locks held to commit (Spanner’s two-phase locking for read-write transactions [Corbett et al. 2012]) or validation of reads at commit time (CockroachDB’s timestamp ordering with read refresh [Taft et al. 2020]). Serializable snapshot isolation (SSI), which PostgreSQL implements on one node by tracking read-write dependencies [Cahill et al. 2008], is hard to distribute because the dependency graph spans partitions.</w:t>
      </w:r>
    </w:p>
    <w:p>
      <w:pPr>
        <w:pStyle w:val="CalloutRecommendation"/>
      </w:pPr>
      <w:r>
        <w:rPr>
          <w:bCs/>
          <w:b/>
        </w:rPr>
        <w:t xml:space="preserve">RECOMMENDATION</w:t>
      </w:r>
    </w:p>
    <w:p>
      <w:pPr>
        <w:pStyle w:val="CalloutRecommendation"/>
      </w:pPr>
      <w:r>
        <w:rPr>
          <w:bCs/>
          <w:b/>
        </w:rPr>
        <w:t xml:space="preserve">Recommendation — Know which isolation your distributed database gives by default.</w:t>
      </w:r>
      <w:r>
        <w:t xml:space="preserve"> </w:t>
      </w:r>
      <w:r>
        <w:t xml:space="preserve">Spanner and CockroachDB default to serializable; TiDB defaults to snapshot isolation (exposed as</w:t>
      </w:r>
      <w:r>
        <w:t xml:space="preserve"> </w:t>
      </w:r>
      <w:r>
        <w:rPr>
          <w:rStyle w:val="VerbatimChar"/>
        </w:rPr>
        <w:t xml:space="preserve">REPEATABLE READ</w:t>
      </w:r>
      <w:r>
        <w:t xml:space="preserve">); YugabyteDB’s YSQL defaults to snapshot isolation in recent versions (as of 2026). Under SI, protect cross-row invariants with</w:t>
      </w:r>
      <w:r>
        <w:t xml:space="preserve"> </w:t>
      </w:r>
      <w:r>
        <w:rPr>
          <w:rStyle w:val="VerbatimChar"/>
        </w:rPr>
        <w:t xml:space="preserve">SELECT ... FOR UPDATE</w:t>
      </w:r>
      <w:r>
        <w:t xml:space="preserve"> </w:t>
      </w:r>
      <w:r>
        <w:t xml:space="preserve">or a materialized conflict row (§11.13).</w:t>
      </w:r>
    </w:p>
    <w:p>
      <w:pPr>
        <w:pStyle w:val="CalloutMistake"/>
      </w:pPr>
      <w:r>
        <w:rPr>
          <w:bCs/>
          <w:b/>
        </w:rPr>
        <w:t xml:space="preserve">COMMON MISTAKE</w:t>
      </w:r>
    </w:p>
    <w:p>
      <w:pPr>
        <w:pStyle w:val="CalloutMistake"/>
      </w:pPr>
      <w:r>
        <w:rPr>
          <w:bCs/>
          <w:b/>
        </w:rPr>
        <w:t xml:space="preserve">Common misconception —</w:t>
      </w:r>
      <w:r>
        <w:rPr>
          <w:bCs/>
          <w:b/>
        </w:rPr>
        <w:t xml:space="preserve"> </w:t>
      </w:r>
      <w:r>
        <w:rPr>
          <w:bCs/>
          <w:b/>
        </w:rPr>
        <w:t xml:space="preserve">“</w:t>
      </w:r>
      <w:r>
        <w:rPr>
          <w:bCs/>
          <w:b/>
        </w:rPr>
        <w:t xml:space="preserve">Distributed transactions are just slow local transactions.</w:t>
      </w:r>
      <w:r>
        <w:rPr>
          <w:bCs/>
          <w:b/>
        </w:rPr>
        <w:t xml:space="preserve">”</w:t>
      </w:r>
      <w:r>
        <w:t xml:space="preserve"> </w:t>
      </w:r>
      <w:r>
        <w:t xml:space="preserve">The extra latency is the visible cost. The deeper costs are new failure modes (a transaction stuck between commit and abort), new availability arithmetic (a transaction needs</w:t>
      </w:r>
      <w:r>
        <w:t xml:space="preserve"> </w:t>
      </w:r>
      <w:r>
        <w:rPr>
          <w:iCs/>
          <w:i/>
        </w:rPr>
        <w:t xml:space="preserve">every</w:t>
      </w:r>
      <w:r>
        <w:t xml:space="preserve"> </w:t>
      </w:r>
      <w:r>
        <w:t xml:space="preserve">participant), and anomalies that local snapshot isolation never had to handle across machines.</w:t>
      </w:r>
    </w:p>
    <w:bookmarkEnd w:id="3128"/>
    <w:bookmarkEnd w:id="3129"/>
    <w:bookmarkStart w:id="3156" w:name="two-phase-commit"/>
    <w:p>
      <w:pPr>
        <w:pStyle w:val="Heading2"/>
      </w:pPr>
      <w:r>
        <w:t xml:space="preserve">28.4 Two-phase commit</w:t>
      </w:r>
    </w:p>
    <w:bookmarkStart w:id="3135" w:name="the-protocol-2"/>
    <w:p>
      <w:pPr>
        <w:pStyle w:val="Heading3"/>
      </w:pPr>
      <w:r>
        <w:t xml:space="preserve">28.4.1 The protocol</w:t>
      </w:r>
    </w:p>
    <w:p>
      <w:pPr>
        <w:pStyle w:val="CalloutDefinition"/>
      </w:pPr>
      <w:r>
        <w:rPr>
          <w:bCs/>
          <w:b/>
        </w:rPr>
        <w:t xml:space="preserve">DEFINITION</w:t>
      </w:r>
    </w:p>
    <w:p>
      <w:pPr>
        <w:pStyle w:val="CalloutDefinition"/>
      </w:pPr>
      <w:r>
        <w:rPr>
          <w:bCs/>
          <w:b/>
        </w:rPr>
        <w:t xml:space="preserve">Definition — Two-phase commit (2PC).</w:t>
      </w:r>
      <w:r>
        <w:t xml:space="preserve"> </w:t>
      </w:r>
      <w:r>
        <w:t xml:space="preserve">An atomic commitment protocol in which one node, the</w:t>
      </w:r>
      <w:r>
        <w:t xml:space="preserve"> </w:t>
      </w:r>
      <w:r>
        <w:rPr>
          <w:bCs/>
          <w:b/>
        </w:rPr>
        <w:t xml:space="preserve">coordinator</w:t>
      </w:r>
      <w:r>
        <w:t xml:space="preserve"> </w:t>
      </w:r>
      <w:r>
        <w:t xml:space="preserve">(also called the transaction manager), first asks every participant (resource manager) to</w:t>
      </w:r>
      <w:r>
        <w:t xml:space="preserve"> </w:t>
      </w:r>
      <w:r>
        <w:rPr>
          <w:bCs/>
          <w:b/>
        </w:rPr>
        <w:t xml:space="preserve">prepare</w:t>
      </w:r>
      <w:r>
        <w:t xml:space="preserve">, that is, to make its part of the transaction durable while keeping it invisible and to promise to commit on request; and then, only if every participant voted yes, durably records a</w:t>
      </w:r>
      <w:r>
        <w:t xml:space="preserve"> </w:t>
      </w:r>
      <w:r>
        <w:rPr>
          <w:bCs/>
          <w:b/>
        </w:rPr>
        <w:t xml:space="preserve">commit</w:t>
      </w:r>
      <w:r>
        <w:t xml:space="preserve"> </w:t>
      </w:r>
      <w:r>
        <w:t xml:space="preserve">decision and tells all participants to commit. Any no vote or timeout leads to abort [Gray 1978; Bernstein et al. 1987].</w:t>
      </w:r>
    </w:p>
    <w:bookmarkStart w:id="3130" w:name="why-does-this-exist-95"/>
    <w:p>
      <w:pPr>
        <w:pStyle w:val="Heading4"/>
      </w:pPr>
      <w:r>
        <w:t xml:space="preserve">Why does this exist?</w:t>
      </w:r>
    </w:p>
    <w:p>
      <w:pPr>
        <w:pStyle w:val="FirstParagraph"/>
      </w:pPr>
      <w:r>
        <w:t xml:space="preserve">Figure 28.1 failed because each shard decided alone. 2PC separates the</w:t>
      </w:r>
      <w:r>
        <w:t xml:space="preserve"> </w:t>
      </w:r>
      <w:r>
        <w:rPr>
          <w:iCs/>
          <w:i/>
        </w:rPr>
        <w:t xml:space="preserve">ability</w:t>
      </w:r>
      <w:r>
        <w:t xml:space="preserve"> </w:t>
      </w:r>
      <w:r>
        <w:t xml:space="preserve">to commit from the</w:t>
      </w:r>
      <w:r>
        <w:t xml:space="preserve"> </w:t>
      </w:r>
      <w:r>
        <w:rPr>
          <w:iCs/>
          <w:i/>
        </w:rPr>
        <w:t xml:space="preserve">decision</w:t>
      </w:r>
      <w:r>
        <w:t xml:space="preserve"> </w:t>
      </w:r>
      <w:r>
        <w:t xml:space="preserve">to commit. Phase 1 collects durable promises; phase 2 distributes one decision, made in one place and recorded in one log. The coordinator’s log record is the distributed equivalent of the single-server commit record.</w:t>
      </w:r>
    </w:p>
    <w:bookmarkEnd w:id="3130"/>
    <w:bookmarkStart w:id="3134" w:name="how-it-works-internally-104"/>
    <w:p>
      <w:pPr>
        <w:pStyle w:val="Heading4"/>
      </w:pPr>
      <w:r>
        <w:t xml:space="preserve">How it works internally</w:t>
      </w:r>
    </w:p>
    <w:p>
      <w:pPr>
        <w:numPr>
          <w:ilvl w:val="0"/>
          <w:numId w:val="1911"/>
        </w:numPr>
        <w:pStyle w:val="Compact"/>
      </w:pPr>
      <w:r>
        <w:rPr>
          <w:bCs/>
          <w:b/>
        </w:rPr>
        <w:t xml:space="preserve">Execution.</w:t>
      </w:r>
      <w:r>
        <w:t xml:space="preserve"> </w:t>
      </w:r>
      <w:r>
        <w:t xml:space="preserve">The application runs the transaction’s reads and writes on each participant as usual; participants take locks (or write MVCC intents) and keep undo and redo information.</w:t>
      </w:r>
    </w:p>
    <w:p>
      <w:pPr>
        <w:numPr>
          <w:ilvl w:val="0"/>
          <w:numId w:val="1911"/>
        </w:numPr>
        <w:pStyle w:val="Compact"/>
      </w:pPr>
      <w:r>
        <w:rPr>
          <w:bCs/>
          <w:b/>
        </w:rPr>
        <w:t xml:space="preserve">Prepare.</w:t>
      </w:r>
      <w:r>
        <w:t xml:space="preserve"> </w:t>
      </w:r>
      <w:r>
        <w:t xml:space="preserve">When the application says commit, the coordinator sends</w:t>
      </w:r>
      <w:r>
        <w:t xml:space="preserve"> </w:t>
      </w:r>
      <w:r>
        <w:rPr>
          <w:rStyle w:val="VerbatimChar"/>
        </w:rPr>
        <w:t xml:space="preserve">PREPARE</w:t>
      </w:r>
      <w:r>
        <w:t xml:space="preserve"> </w:t>
      </w:r>
      <w:r>
        <w:t xml:space="preserve">to every participant.</w:t>
      </w:r>
    </w:p>
    <w:p>
      <w:pPr>
        <w:numPr>
          <w:ilvl w:val="0"/>
          <w:numId w:val="1911"/>
        </w:numPr>
        <w:pStyle w:val="Compact"/>
      </w:pPr>
      <w:r>
        <w:rPr>
          <w:bCs/>
          <w:b/>
        </w:rPr>
        <w:t xml:space="preserve">Vote.</w:t>
      </w:r>
      <w:r>
        <w:t xml:space="preserve"> </w:t>
      </w:r>
      <w:r>
        <w:t xml:space="preserve">Each participant checks it can commit (constraints satisfied, no deadlock victim, resources available). If yes, it</w:t>
      </w:r>
      <w:r>
        <w:t xml:space="preserve"> </w:t>
      </w:r>
      <w:r>
        <w:rPr>
          <w:bCs/>
          <w:b/>
        </w:rPr>
        <w:t xml:space="preserve">forces a prepared record</w:t>
      </w:r>
      <w:r>
        <w:t xml:space="preserve"> </w:t>
      </w:r>
      <w:r>
        <w:t xml:space="preserve">to its log, containing enough to redo or undo its writes and to re-acquire its locks after a crash, then replies</w:t>
      </w:r>
      <w:r>
        <w:t xml:space="preserve"> </w:t>
      </w:r>
      <w:r>
        <w:rPr>
          <w:rStyle w:val="VerbatimChar"/>
        </w:rPr>
        <w:t xml:space="preserve">YES</w:t>
      </w:r>
      <w:r>
        <w:t xml:space="preserve">. From this moment it is</w:t>
      </w:r>
      <w:r>
        <w:t xml:space="preserve"> </w:t>
      </w:r>
      <w:r>
        <w:rPr>
          <w:bCs/>
          <w:b/>
        </w:rPr>
        <w:t xml:space="preserve">in doubt</w:t>
      </w:r>
      <w:r>
        <w:t xml:space="preserve">: it may not commit or abort on its own. If it cannot commit, it aborts locally and replies</w:t>
      </w:r>
      <w:r>
        <w:t xml:space="preserve"> </w:t>
      </w:r>
      <w:r>
        <w:rPr>
          <w:rStyle w:val="VerbatimChar"/>
        </w:rPr>
        <w:t xml:space="preserve">NO</w:t>
      </w:r>
      <w:r>
        <w:t xml:space="preserve">.</w:t>
      </w:r>
    </w:p>
    <w:p>
      <w:pPr>
        <w:numPr>
          <w:ilvl w:val="0"/>
          <w:numId w:val="1911"/>
        </w:numPr>
        <w:pStyle w:val="Compact"/>
      </w:pPr>
      <w:r>
        <w:rPr>
          <w:bCs/>
          <w:b/>
        </w:rPr>
        <w:t xml:space="preserve">Decision.</w:t>
      </w:r>
      <w:r>
        <w:t xml:space="preserve"> </w:t>
      </w:r>
      <w:r>
        <w:t xml:space="preserve">If every vote is</w:t>
      </w:r>
      <w:r>
        <w:t xml:space="preserve"> </w:t>
      </w:r>
      <w:r>
        <w:rPr>
          <w:rStyle w:val="VerbatimChar"/>
        </w:rPr>
        <w:t xml:space="preserve">YES</w:t>
      </w:r>
      <w:r>
        <w:t xml:space="preserve">, the coordinator</w:t>
      </w:r>
      <w:r>
        <w:t xml:space="preserve"> </w:t>
      </w:r>
      <w:r>
        <w:rPr>
          <w:bCs/>
          <w:b/>
        </w:rPr>
        <w:t xml:space="preserve">forces a commit record</w:t>
      </w:r>
      <w:r>
        <w:t xml:space="preserve"> </w:t>
      </w:r>
      <w:r>
        <w:t xml:space="preserve">to its log. This write is the</w:t>
      </w:r>
      <w:r>
        <w:t xml:space="preserve"> </w:t>
      </w:r>
      <w:r>
        <w:rPr>
          <w:bCs/>
          <w:b/>
        </w:rPr>
        <w:t xml:space="preserve">commit point</w:t>
      </w:r>
      <w:r>
        <w:t xml:space="preserve"> </w:t>
      </w:r>
      <w:r>
        <w:t xml:space="preserve">of the whole distributed transaction. Any</w:t>
      </w:r>
      <w:r>
        <w:t xml:space="preserve"> </w:t>
      </w:r>
      <w:r>
        <w:rPr>
          <w:rStyle w:val="VerbatimChar"/>
        </w:rPr>
        <w:t xml:space="preserve">NO</w:t>
      </w:r>
      <w:r>
        <w:t xml:space="preserve"> </w:t>
      </w:r>
      <w:r>
        <w:t xml:space="preserve">or a timeout leads to abort.</w:t>
      </w:r>
    </w:p>
    <w:p>
      <w:pPr>
        <w:numPr>
          <w:ilvl w:val="0"/>
          <w:numId w:val="1911"/>
        </w:numPr>
        <w:pStyle w:val="Compact"/>
      </w:pPr>
      <w:r>
        <w:rPr>
          <w:bCs/>
          <w:b/>
        </w:rPr>
        <w:t xml:space="preserve">Completion.</w:t>
      </w:r>
      <w:r>
        <w:t xml:space="preserve"> </w:t>
      </w:r>
      <w:r>
        <w:t xml:space="preserve">The coordinator sends</w:t>
      </w:r>
      <w:r>
        <w:t xml:space="preserve"> </w:t>
      </w:r>
      <w:r>
        <w:rPr>
          <w:rStyle w:val="VerbatimChar"/>
        </w:rPr>
        <w:t xml:space="preserve">COMMIT</w:t>
      </w:r>
      <w:r>
        <w:t xml:space="preserve"> </w:t>
      </w:r>
      <w:r>
        <w:t xml:space="preserve">(or</w:t>
      </w:r>
      <w:r>
        <w:t xml:space="preserve"> </w:t>
      </w:r>
      <w:r>
        <w:rPr>
          <w:rStyle w:val="VerbatimChar"/>
        </w:rPr>
        <w:t xml:space="preserve">ABORT</w:t>
      </w:r>
      <w:r>
        <w:t xml:space="preserve">) to each participant, retrying until it is acknowledged. Each participant logs the outcome, releases its locks and sends</w:t>
      </w:r>
      <w:r>
        <w:t xml:space="preserve"> </w:t>
      </w:r>
      <w:r>
        <w:rPr>
          <w:rStyle w:val="VerbatimChar"/>
        </w:rPr>
        <w:t xml:space="preserve">ACK</w:t>
      </w:r>
      <w:r>
        <w:t xml:space="preserve">.</w:t>
      </w:r>
    </w:p>
    <w:p>
      <w:pPr>
        <w:numPr>
          <w:ilvl w:val="0"/>
          <w:numId w:val="1911"/>
        </w:numPr>
        <w:pStyle w:val="Compact"/>
      </w:pPr>
      <w:r>
        <w:rPr>
          <w:bCs/>
          <w:b/>
        </w:rPr>
        <w:t xml:space="preserve">Forget.</w:t>
      </w:r>
      <w:r>
        <w:t xml:space="preserve"> </w:t>
      </w:r>
      <w:r>
        <w:t xml:space="preserve">When all acknowledgments are in, the coordinator writes a non-forced end record and may discard its memory of the transaction.</w:t>
      </w:r>
    </w:p>
    <w:p>
      <w:pPr>
        <w:pStyle w:val="FirstParagraph"/>
      </w:pPr>
      <w:r>
        <w:rPr>
          <w:bCs/>
          <w:b/>
        </w:rPr>
        <w:t xml:space="preserve">Figure 28.2 — Two-phase commit, happy path.</w:t>
      </w:r>
    </w:p>
    <w:p>
      <w:pPr>
        <w:pStyle w:val="BodyText"/>
      </w:pPr>
      <w:r>
        <w:drawing>
          <wp:inline>
            <wp:extent cx="5334000" cy="7254480"/>
            <wp:effectExtent b="0" l="0" r="0" t="0"/>
            <wp:docPr descr="" title="" id="3132" name="Picture"/>
            <a:graphic>
              <a:graphicData uri="http://schemas.openxmlformats.org/drawingml/2006/picture">
                <pic:pic>
                  <pic:nvPicPr>
                    <pic:cNvPr descr="/home/user/System-Design/build/.cache/diagrams/9713222c02dc.png" id="3133" name="Picture"/>
                    <pic:cNvPicPr>
                      <a:picLocks noChangeArrowheads="1" noChangeAspect="1"/>
                    </pic:cNvPicPr>
                  </pic:nvPicPr>
                  <pic:blipFill>
                    <a:blip r:embed="rId3131"/>
                    <a:stretch>
                      <a:fillRect/>
                    </a:stretch>
                  </pic:blipFill>
                  <pic:spPr bwMode="auto">
                    <a:xfrm>
                      <a:off x="0" y="0"/>
                      <a:ext cx="5334000" cy="7254480"/>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Three logs are involved: the coordinator’s and each participant’s, and every self-arrow is a write to one of them. Prepare messages go out in parallel, so phase 1 costs one round trip plus the slowest participant’s forced write, not the sum. The coordinator may answer the application as soon as its commit record is durable: the outcome is now decided, and phase 2 only propagates it. Phase 2 messages are retried until acknowledged, so participants must treat duplicate</w:t>
      </w:r>
      <w:r>
        <w:t xml:space="preserve"> </w:t>
      </w:r>
      <w:r>
        <w:rPr>
          <w:rStyle w:val="VerbatimChar"/>
        </w:rPr>
        <w:t xml:space="preserve">COMMIT</w:t>
      </w:r>
      <w:r>
        <w:t xml:space="preserve">s as no-ops. The failure point is the interval between a participant’s</w:t>
      </w:r>
      <w:r>
        <w:t xml:space="preserve"> </w:t>
      </w:r>
      <w:r>
        <w:rPr>
          <w:rStyle w:val="VerbatimChar"/>
        </w:rPr>
        <w:t xml:space="preserve">YES</w:t>
      </w:r>
      <w:r>
        <w:t xml:space="preserve"> </w:t>
      </w:r>
      <w:r>
        <w:t xml:space="preserve">and its receipt of the decision (Figure 28.4). Messages grow as</w:t>
      </w:r>
      <w:r>
        <w:t xml:space="preserve"> </w:t>
      </w:r>
      <m:oMath>
        <m:r>
          <m:t>4</m:t>
        </m:r>
        <m:r>
          <m:t>k</m:t>
        </m:r>
      </m:oMath>
      <w:r>
        <w:t xml:space="preserve"> </w:t>
      </w:r>
      <w:r>
        <w:t xml:space="preserve">for</w:t>
      </w:r>
      <w:r>
        <w:t xml:space="preserve"> </w:t>
      </w:r>
      <m:oMath>
        <m:r>
          <m:t>k</m:t>
        </m:r>
      </m:oMath>
      <w:r>
        <w:t xml:space="preserve"> </w:t>
      </w:r>
      <w:r>
        <w:t xml:space="preserve">participants; latency stays two round trips.</w:t>
      </w:r>
    </w:p>
    <w:bookmarkEnd w:id="3134"/>
    <w:bookmarkEnd w:id="3135"/>
    <w:bookmarkStart w:id="3139" w:name="what-must-be-logged-and-when"/>
    <w:p>
      <w:pPr>
        <w:pStyle w:val="Heading3"/>
      </w:pPr>
      <w:r>
        <w:t xml:space="preserve">28.4.2 What must be logged, and when</w:t>
      </w:r>
    </w:p>
    <w:p>
      <w:pPr>
        <w:pStyle w:val="FirstParagraph"/>
      </w:pPr>
      <w:r>
        <w:t xml:space="preserve">2PC is defined as much by its log writes as by its messages. A</w:t>
      </w:r>
      <w:r>
        <w:t xml:space="preserve"> </w:t>
      </w:r>
      <w:r>
        <w:rPr>
          <w:bCs/>
          <w:b/>
        </w:rPr>
        <w:t xml:space="preserve">forced</w:t>
      </w:r>
      <w:r>
        <w:t xml:space="preserve"> </w:t>
      </w:r>
      <w:r>
        <w:t xml:space="preserve">write is one the node</w:t>
      </w:r>
      <w:r>
        <w:t xml:space="preserve"> </w:t>
      </w:r>
      <w:r>
        <w:rPr>
          <w:rStyle w:val="VerbatimChar"/>
        </w:rPr>
        <w:t xml:space="preserve">fsync</w:t>
      </w:r>
      <w:r>
        <w:t xml:space="preserve">s (§6.14) before sending the next message, because the message makes a promise the node must keep after a crash.</w:t>
      </w:r>
    </w:p>
    <w:p>
      <w:pPr>
        <w:pStyle w:val="BodyText"/>
      </w:pPr>
      <w:r>
        <w:rPr>
          <w:bCs/>
          <w:b/>
        </w:rPr>
        <w:t xml:space="preserve">Table 28.1 — Log records in two-phase commit (basic protocol).</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Who</w:t>
            </w:r>
          </w:p>
        </w:tc>
        <w:tc>
          <w:tcPr/>
          <w:p>
            <w:pPr>
              <w:pStyle w:val="Compact"/>
              <w:jc w:val="left"/>
            </w:pPr>
            <w:r>
              <w:t xml:space="preserve">Record</w:t>
            </w:r>
          </w:p>
        </w:tc>
        <w:tc>
          <w:tcPr/>
          <w:p>
            <w:pPr>
              <w:pStyle w:val="Compact"/>
              <w:jc w:val="left"/>
            </w:pPr>
            <w:r>
              <w:t xml:space="preserve">Forced?</w:t>
            </w:r>
          </w:p>
        </w:tc>
        <w:tc>
          <w:tcPr/>
          <w:p>
            <w:pPr>
              <w:pStyle w:val="Compact"/>
              <w:jc w:val="left"/>
            </w:pPr>
            <w:r>
              <w:t xml:space="preserve">When</w:t>
            </w:r>
          </w:p>
        </w:tc>
        <w:tc>
          <w:tcPr/>
          <w:p>
            <w:pPr>
              <w:pStyle w:val="Compact"/>
              <w:jc w:val="left"/>
            </w:pPr>
            <w:r>
              <w:t xml:space="preserve">Why it must be durable</w:t>
            </w:r>
          </w:p>
        </w:tc>
      </w:tr>
      <w:tr>
        <w:tc>
          <w:tcPr/>
          <w:p>
            <w:pPr>
              <w:pStyle w:val="Compact"/>
              <w:jc w:val="left"/>
            </w:pPr>
            <w:r>
              <w:t xml:space="preserve">Participant</w:t>
            </w:r>
          </w:p>
        </w:tc>
        <w:tc>
          <w:tcPr/>
          <w:p>
            <w:pPr>
              <w:pStyle w:val="Compact"/>
              <w:jc w:val="left"/>
            </w:pPr>
            <w:r>
              <w:t xml:space="preserve">PREPARED (redo/undo, lock list, coordinator ID)</w:t>
            </w:r>
          </w:p>
        </w:tc>
        <w:tc>
          <w:tcPr/>
          <w:p>
            <w:pPr>
              <w:pStyle w:val="Compact"/>
              <w:jc w:val="left"/>
            </w:pPr>
            <w:r>
              <w:t xml:space="preserve">Yes</w:t>
            </w:r>
          </w:p>
        </w:tc>
        <w:tc>
          <w:tcPr/>
          <w:p>
            <w:pPr>
              <w:pStyle w:val="Compact"/>
              <w:jc w:val="left"/>
            </w:pPr>
            <w:r>
              <w:t xml:space="preserve">Before sending</w:t>
            </w:r>
            <w:r>
              <w:t xml:space="preserve"> </w:t>
            </w:r>
            <w:r>
              <w:rPr>
                <w:rStyle w:val="VerbatimChar"/>
              </w:rPr>
              <w:t xml:space="preserve">YES</w:t>
            </w:r>
          </w:p>
        </w:tc>
        <w:tc>
          <w:tcPr/>
          <w:p>
            <w:pPr>
              <w:pStyle w:val="Compact"/>
              <w:jc w:val="left"/>
            </w:pPr>
            <w:r>
              <w:t xml:space="preserve">After a crash it must still be able to commit, and must keep others from seeing or changing the rows</w:t>
            </w:r>
          </w:p>
        </w:tc>
      </w:tr>
      <w:tr>
        <w:tc>
          <w:tcPr/>
          <w:p>
            <w:pPr>
              <w:pStyle w:val="Compact"/>
              <w:jc w:val="left"/>
            </w:pPr>
            <w:r>
              <w:t xml:space="preserve">Coordinator</w:t>
            </w:r>
          </w:p>
        </w:tc>
        <w:tc>
          <w:tcPr/>
          <w:p>
            <w:pPr>
              <w:pStyle w:val="Compact"/>
              <w:jc w:val="left"/>
            </w:pPr>
            <w:r>
              <w:t xml:space="preserve">COMMIT (transaction ID, participant list)</w:t>
            </w:r>
          </w:p>
        </w:tc>
        <w:tc>
          <w:tcPr/>
          <w:p>
            <w:pPr>
              <w:pStyle w:val="Compact"/>
              <w:jc w:val="left"/>
            </w:pPr>
            <w:r>
              <w:t xml:space="preserve">Yes</w:t>
            </w:r>
          </w:p>
        </w:tc>
        <w:tc>
          <w:tcPr/>
          <w:p>
            <w:pPr>
              <w:pStyle w:val="Compact"/>
              <w:jc w:val="left"/>
            </w:pPr>
            <w:r>
              <w:t xml:space="preserve">After all</w:t>
            </w:r>
            <w:r>
              <w:t xml:space="preserve"> </w:t>
            </w:r>
            <w:r>
              <w:rPr>
                <w:rStyle w:val="VerbatimChar"/>
              </w:rPr>
              <w:t xml:space="preserve">YES</w:t>
            </w:r>
            <w:r>
              <w:t xml:space="preserve">, before sending any</w:t>
            </w:r>
            <w:r>
              <w:t xml:space="preserve"> </w:t>
            </w:r>
            <w:r>
              <w:rPr>
                <w:rStyle w:val="VerbatimChar"/>
              </w:rPr>
              <w:t xml:space="preserve">COMMIT</w:t>
            </w:r>
          </w:p>
        </w:tc>
        <w:tc>
          <w:tcPr/>
          <w:p>
            <w:pPr>
              <w:pStyle w:val="Compact"/>
              <w:jc w:val="left"/>
            </w:pPr>
            <w:r>
              <w:t xml:space="preserve">The decision must survive a crash, or a recovered coordinator could abort a transaction some participant already committed</w:t>
            </w:r>
          </w:p>
        </w:tc>
      </w:tr>
      <w:tr>
        <w:tc>
          <w:tcPr/>
          <w:p>
            <w:pPr>
              <w:pStyle w:val="Compact"/>
              <w:jc w:val="left"/>
            </w:pPr>
            <w:r>
              <w:t xml:space="preserve">Participant</w:t>
            </w:r>
          </w:p>
        </w:tc>
        <w:tc>
          <w:tcPr/>
          <w:p>
            <w:pPr>
              <w:pStyle w:val="Compact"/>
              <w:jc w:val="left"/>
            </w:pPr>
            <w:r>
              <w:t xml:space="preserve">COMMIT</w:t>
            </w:r>
          </w:p>
        </w:tc>
        <w:tc>
          <w:tcPr/>
          <w:p>
            <w:pPr>
              <w:pStyle w:val="Compact"/>
              <w:jc w:val="left"/>
            </w:pPr>
            <w:r>
              <w:t xml:space="preserve">Yes</w:t>
            </w:r>
          </w:p>
        </w:tc>
        <w:tc>
          <w:tcPr/>
          <w:p>
            <w:pPr>
              <w:pStyle w:val="Compact"/>
              <w:jc w:val="left"/>
            </w:pPr>
            <w:r>
              <w:t xml:space="preserve">Before</w:t>
            </w:r>
            <w:r>
              <w:t xml:space="preserve"> </w:t>
            </w:r>
            <w:r>
              <w:rPr>
                <w:rStyle w:val="VerbatimChar"/>
              </w:rPr>
              <w:t xml:space="preserve">ACK</w:t>
            </w:r>
          </w:p>
        </w:tc>
        <w:tc>
          <w:tcPr/>
          <w:p>
            <w:pPr>
              <w:pStyle w:val="Compact"/>
              <w:jc w:val="left"/>
            </w:pPr>
            <w:r>
              <w:t xml:space="preserve">Once it acknowledges, the coordinator may forget, so the participant must not need to ask again</w:t>
            </w:r>
          </w:p>
        </w:tc>
      </w:tr>
      <w:tr>
        <w:tc>
          <w:tcPr/>
          <w:p>
            <w:pPr>
              <w:pStyle w:val="Compact"/>
              <w:jc w:val="left"/>
            </w:pPr>
            <w:r>
              <w:t xml:space="preserve">Coordinator</w:t>
            </w:r>
          </w:p>
        </w:tc>
        <w:tc>
          <w:tcPr/>
          <w:p>
            <w:pPr>
              <w:pStyle w:val="Compact"/>
              <w:jc w:val="left"/>
            </w:pPr>
            <w:r>
              <w:t xml:space="preserve">ABORT</w:t>
            </w:r>
          </w:p>
        </w:tc>
        <w:tc>
          <w:tcPr/>
          <w:p>
            <w:pPr>
              <w:pStyle w:val="Compact"/>
              <w:jc w:val="left"/>
            </w:pPr>
            <w:r>
              <w:t xml:space="preserve">Yes in basic 2PC; no under presumed abort</w:t>
            </w:r>
          </w:p>
        </w:tc>
        <w:tc>
          <w:tcPr/>
          <w:p>
            <w:pPr>
              <w:pStyle w:val="Compact"/>
              <w:jc w:val="left"/>
            </w:pPr>
            <w:r>
              <w:t xml:space="preserve">On any</w:t>
            </w:r>
            <w:r>
              <w:t xml:space="preserve"> </w:t>
            </w:r>
            <w:r>
              <w:rPr>
                <w:rStyle w:val="VerbatimChar"/>
              </w:rPr>
              <w:t xml:space="preserve">NO</w:t>
            </w:r>
            <w:r>
              <w:t xml:space="preserve"> </w:t>
            </w:r>
            <w:r>
              <w:t xml:space="preserve">or timeout</w:t>
            </w:r>
          </w:p>
        </w:tc>
        <w:tc>
          <w:tcPr/>
          <w:p>
            <w:pPr>
              <w:pStyle w:val="Compact"/>
              <w:jc w:val="left"/>
            </w:pPr>
            <w:r>
              <w:t xml:space="preserve">See §28.4.5</w:t>
            </w:r>
          </w:p>
        </w:tc>
      </w:tr>
      <w:tr>
        <w:tc>
          <w:tcPr/>
          <w:p>
            <w:pPr>
              <w:pStyle w:val="Compact"/>
              <w:jc w:val="left"/>
            </w:pPr>
            <w:r>
              <w:t xml:space="preserve">Participant</w:t>
            </w:r>
          </w:p>
        </w:tc>
        <w:tc>
          <w:tcPr/>
          <w:p>
            <w:pPr>
              <w:pStyle w:val="Compact"/>
              <w:jc w:val="left"/>
            </w:pPr>
            <w:r>
              <w:t xml:space="preserve">ABORT</w:t>
            </w:r>
          </w:p>
        </w:tc>
        <w:tc>
          <w:tcPr/>
          <w:p>
            <w:pPr>
              <w:pStyle w:val="Compact"/>
              <w:jc w:val="left"/>
            </w:pPr>
            <w:r>
              <w:t xml:space="preserve">Yes in basic 2PC; no under presumed abort</w:t>
            </w:r>
          </w:p>
        </w:tc>
        <w:tc>
          <w:tcPr/>
          <w:p>
            <w:pPr>
              <w:pStyle w:val="Compact"/>
              <w:jc w:val="left"/>
            </w:pPr>
            <w:r>
              <w:t xml:space="preserve">On receiving</w:t>
            </w:r>
            <w:r>
              <w:t xml:space="preserve"> </w:t>
            </w:r>
            <w:r>
              <w:rPr>
                <w:rStyle w:val="VerbatimChar"/>
              </w:rPr>
              <w:t xml:space="preserve">ABORT</w:t>
            </w:r>
          </w:p>
        </w:tc>
        <w:tc>
          <w:tcPr/>
          <w:p>
            <w:pPr>
              <w:pStyle w:val="Compact"/>
              <w:jc w:val="left"/>
            </w:pPr>
            <w:r>
              <w:t xml:space="preserve">See §28.4.5</w:t>
            </w:r>
          </w:p>
        </w:tc>
      </w:tr>
      <w:tr>
        <w:tc>
          <w:tcPr/>
          <w:p>
            <w:pPr>
              <w:pStyle w:val="Compact"/>
              <w:jc w:val="left"/>
            </w:pPr>
            <w:r>
              <w:t xml:space="preserve">Coordinator</w:t>
            </w:r>
          </w:p>
        </w:tc>
        <w:tc>
          <w:tcPr/>
          <w:p>
            <w:pPr>
              <w:pStyle w:val="Compact"/>
              <w:jc w:val="left"/>
            </w:pPr>
            <w:r>
              <w:t xml:space="preserve">END</w:t>
            </w:r>
          </w:p>
        </w:tc>
        <w:tc>
          <w:tcPr/>
          <w:p>
            <w:pPr>
              <w:pStyle w:val="Compact"/>
              <w:jc w:val="left"/>
            </w:pPr>
            <w:r>
              <w:t xml:space="preserve">No</w:t>
            </w:r>
          </w:p>
        </w:tc>
        <w:tc>
          <w:tcPr/>
          <w:p>
            <w:pPr>
              <w:pStyle w:val="Compact"/>
              <w:jc w:val="left"/>
            </w:pPr>
            <w:r>
              <w:t xml:space="preserve">After all</w:t>
            </w:r>
            <w:r>
              <w:t xml:space="preserve"> </w:t>
            </w:r>
            <w:r>
              <w:rPr>
                <w:rStyle w:val="VerbatimChar"/>
              </w:rPr>
              <w:t xml:space="preserve">ACK</w:t>
            </w:r>
            <w:r>
              <w:t xml:space="preserve">s</w:t>
            </w:r>
          </w:p>
        </w:tc>
        <w:tc>
          <w:tcPr/>
          <w:p>
            <w:pPr>
              <w:pStyle w:val="Compact"/>
              <w:jc w:val="left"/>
            </w:pPr>
            <w:r>
              <w:t xml:space="preserve">Lets the coordinator garbage-collect; losing it causes only a harmless resend</w:t>
            </w:r>
          </w:p>
        </w:tc>
      </w:tr>
    </w:tbl>
    <w:p>
      <w:pPr>
        <w:pStyle w:val="BodyText"/>
      </w:pPr>
      <w:r>
        <w:rPr>
          <w:bCs/>
          <w:b/>
        </w:rPr>
        <w:t xml:space="preserve">Figure 28.3 — Coordinator and participant state machines.</w:t>
      </w:r>
    </w:p>
    <w:p>
      <w:pPr>
        <w:pStyle w:val="BodyText"/>
      </w:pPr>
      <w:r>
        <w:drawing>
          <wp:inline>
            <wp:extent cx="5334000" cy="1762738"/>
            <wp:effectExtent b="0" l="0" r="0" t="0"/>
            <wp:docPr descr="" title="" id="3137" name="Picture"/>
            <a:graphic>
              <a:graphicData uri="http://schemas.openxmlformats.org/drawingml/2006/picture">
                <pic:pic>
                  <pic:nvPicPr>
                    <pic:cNvPr descr="/home/user/System-Design/build/.cache/diagrams/a22b2ea74d2e.png" id="3138" name="Picture"/>
                    <pic:cNvPicPr>
                      <a:picLocks noChangeArrowheads="1" noChangeAspect="1"/>
                    </pic:cNvPicPr>
                  </pic:nvPicPr>
                  <pic:blipFill>
                    <a:blip r:embed="rId3136"/>
                    <a:stretch>
                      <a:fillRect/>
                    </a:stretch>
                  </pic:blipFill>
                  <pic:spPr bwMode="auto">
                    <a:xfrm>
                      <a:off x="0" y="0"/>
                      <a:ext cx="5334000" cy="1762738"/>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Each box is one node’s local state, recovered from its log after a crash. The participant has a free choice only in WORKING: it may abort for any reason, including the coordinator taking too long to send</w:t>
      </w:r>
      <w:r>
        <w:t xml:space="preserve"> </w:t>
      </w:r>
      <w:r>
        <w:rPr>
          <w:rStyle w:val="VerbatimChar"/>
        </w:rPr>
        <w:t xml:space="preserve">PREPARE</w:t>
      </w:r>
      <w:r>
        <w:t xml:space="preserve">. PREPARED is the dangerous state, because it has no outgoing transition the participant can take alone; both exits are triggered by a message from the coordinator. The coordinator, by contrast, never blocks: in WAIT it may time out and abort. This asymmetry is the root of 2PC’s blocking behavior.</w:t>
      </w:r>
    </w:p>
    <w:p>
      <w:pPr>
        <w:pStyle w:val="BodyText"/>
      </w:pPr>
      <w:r>
        <w:rPr>
          <w:bCs/>
          <w:b/>
        </w:rPr>
        <w:t xml:space="preserve">Recovery rules.</w:t>
      </w:r>
      <w:r>
        <w:t xml:space="preserve"> </w:t>
      </w:r>
      <w:r>
        <w:t xml:space="preserve">After a restart, each node reads its log:</w:t>
      </w:r>
    </w:p>
    <w:p>
      <w:pPr>
        <w:numPr>
          <w:ilvl w:val="0"/>
          <w:numId w:val="1912"/>
        </w:numPr>
        <w:pStyle w:val="Compact"/>
      </w:pPr>
      <w:r>
        <w:rPr>
          <w:bCs/>
          <w:b/>
        </w:rPr>
        <w:t xml:space="preserve">Participant, no PREPARED record:</w:t>
      </w:r>
      <w:r>
        <w:t xml:space="preserve"> </w:t>
      </w:r>
      <w:r>
        <w:t xml:space="preserve">abort locally; the coordinator cannot have decided commit without its vote.</w:t>
      </w:r>
    </w:p>
    <w:p>
      <w:pPr>
        <w:numPr>
          <w:ilvl w:val="0"/>
          <w:numId w:val="1912"/>
        </w:numPr>
        <w:pStyle w:val="Compact"/>
      </w:pPr>
      <w:r>
        <w:rPr>
          <w:bCs/>
          <w:b/>
        </w:rPr>
        <w:t xml:space="preserve">Participant, PREPARED plus COMMIT or ABORT:</w:t>
      </w:r>
      <w:r>
        <w:t xml:space="preserve"> </w:t>
      </w:r>
      <w:r>
        <w:t xml:space="preserve">redo or undo accordingly.</w:t>
      </w:r>
    </w:p>
    <w:p>
      <w:pPr>
        <w:numPr>
          <w:ilvl w:val="0"/>
          <w:numId w:val="1912"/>
        </w:numPr>
        <w:pStyle w:val="Compact"/>
      </w:pPr>
      <w:r>
        <w:rPr>
          <w:bCs/>
          <w:b/>
        </w:rPr>
        <w:t xml:space="preserve">Participant, PREPARED only:</w:t>
      </w:r>
      <w:r>
        <w:t xml:space="preserve"> </w:t>
      </w:r>
      <w:r>
        <w:t xml:space="preserve">in doubt. Re-acquire the locks listed in the record, then ask the coordinator for the outcome, repeatedly, until it answers.</w:t>
      </w:r>
    </w:p>
    <w:p>
      <w:pPr>
        <w:numPr>
          <w:ilvl w:val="0"/>
          <w:numId w:val="1912"/>
        </w:numPr>
        <w:pStyle w:val="Compact"/>
      </w:pPr>
      <w:r>
        <w:rPr>
          <w:bCs/>
          <w:b/>
        </w:rPr>
        <w:t xml:space="preserve">Coordinator, COMMIT without END:</w:t>
      </w:r>
      <w:r>
        <w:t xml:space="preserve"> </w:t>
      </w:r>
      <w:r>
        <w:t xml:space="preserve">resend</w:t>
      </w:r>
      <w:r>
        <w:t xml:space="preserve"> </w:t>
      </w:r>
      <w:r>
        <w:rPr>
          <w:rStyle w:val="VerbatimChar"/>
        </w:rPr>
        <w:t xml:space="preserve">COMMIT</w:t>
      </w:r>
      <w:r>
        <w:t xml:space="preserve"> </w:t>
      </w:r>
      <w:r>
        <w:t xml:space="preserve">to every listed participant until all acknowledge.</w:t>
      </w:r>
    </w:p>
    <w:p>
      <w:pPr>
        <w:numPr>
          <w:ilvl w:val="0"/>
          <w:numId w:val="1912"/>
        </w:numPr>
        <w:pStyle w:val="Compact"/>
      </w:pPr>
      <w:r>
        <w:rPr>
          <w:bCs/>
          <w:b/>
        </w:rPr>
        <w:t xml:space="preserve">Coordinator, no COMMIT record:</w:t>
      </w:r>
      <w:r>
        <w:t xml:space="preserve"> </w:t>
      </w:r>
      <w:r>
        <w:t xml:space="preserve">the transaction aborted (it may have been mid-vote at the crash); answer</w:t>
      </w:r>
      <w:r>
        <w:t xml:space="preserve"> </w:t>
      </w:r>
      <w:r>
        <w:rPr>
          <w:rStyle w:val="VerbatimChar"/>
        </w:rPr>
        <w:t xml:space="preserve">ABORT</w:t>
      </w:r>
      <w:r>
        <w:t xml:space="preserve"> </w:t>
      </w:r>
      <w:r>
        <w:t xml:space="preserve">to any inquiry.</w:t>
      </w:r>
    </w:p>
    <w:bookmarkEnd w:id="3139"/>
    <w:bookmarkStart w:id="3143" w:name="blocking-and-in-doubt-transactions"/>
    <w:p>
      <w:pPr>
        <w:pStyle w:val="Heading3"/>
      </w:pPr>
      <w:r>
        <w:t xml:space="preserve">28.4.3 Blocking and in-doubt transactions</w:t>
      </w:r>
    </w:p>
    <w:p>
      <w:pPr>
        <w:pStyle w:val="CalloutDefinition"/>
      </w:pPr>
      <w:r>
        <w:rPr>
          <w:bCs/>
          <w:b/>
        </w:rPr>
        <w:t xml:space="preserve">DEFINITION</w:t>
      </w:r>
    </w:p>
    <w:p>
      <w:pPr>
        <w:pStyle w:val="CalloutDefinition"/>
      </w:pPr>
      <w:r>
        <w:rPr>
          <w:bCs/>
          <w:b/>
        </w:rPr>
        <w:t xml:space="preserve">Definition — In-doubt (blocked) transaction.</w:t>
      </w:r>
      <w:r>
        <w:t xml:space="preserve"> </w:t>
      </w:r>
      <w:r>
        <w:t xml:space="preserve">A transaction at a participant that has voted yes but has not learned the outcome. It must hold its locks and cannot decide until the coordinator, or another participant that knows the outcome, answers.</w:t>
      </w:r>
    </w:p>
    <w:p>
      <w:pPr>
        <w:pStyle w:val="BodyText"/>
      </w:pPr>
      <w:r>
        <w:rPr>
          <w:bCs/>
          <w:b/>
        </w:rPr>
        <w:t xml:space="preserve">Figure 28.4 — Coordinator failure after the votes: participants block.</w:t>
      </w:r>
    </w:p>
    <w:p>
      <w:pPr>
        <w:pStyle w:val="BodyText"/>
      </w:pPr>
      <w:r>
        <w:drawing>
          <wp:inline>
            <wp:extent cx="5334000" cy="3625696"/>
            <wp:effectExtent b="0" l="0" r="0" t="0"/>
            <wp:docPr descr="" title="" id="3141" name="Picture"/>
            <a:graphic>
              <a:graphicData uri="http://schemas.openxmlformats.org/drawingml/2006/picture">
                <pic:pic>
                  <pic:nvPicPr>
                    <pic:cNvPr descr="/home/user/System-Design/build/.cache/diagrams/294c7b3e6eef.png" id="3142" name="Picture"/>
                    <pic:cNvPicPr>
                      <a:picLocks noChangeArrowheads="1" noChangeAspect="1"/>
                    </pic:cNvPicPr>
                  </pic:nvPicPr>
                  <pic:blipFill>
                    <a:blip r:embed="rId3140"/>
                    <a:stretch>
                      <a:fillRect/>
                    </a:stretch>
                  </pic:blipFill>
                  <pic:spPr bwMode="auto">
                    <a:xfrm>
                      <a:off x="0" y="0"/>
                      <a:ext cx="5334000" cy="3625696"/>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Both participants are in PREPARED and their locks are durable promises. A asks the coordinator (no answer), then tries the</w:t>
      </w:r>
      <w:r>
        <w:t xml:space="preserve"> </w:t>
      </w:r>
      <w:r>
        <w:rPr>
          <w:bCs/>
          <w:b/>
        </w:rPr>
        <w:t xml:space="preserve">cooperative termination protocol</w:t>
      </w:r>
      <w:r>
        <w:t xml:space="preserve">: asking other participants. If any participant had not yet voted, or had already received a decision, A could decide. Here B is equally in doubt, and neither can tell whether the coordinator logged commit before dying; deciding either way could contradict a decision the coordinator already made. Unrelated client X now waits on account 7 for as long as the coordinator is down. The storage boundary that matters is the coordinator’s log: only it holds the answer. Replicating that log (§28.4.8) is the fix.</w:t>
      </w:r>
    </w:p>
    <w:p>
      <w:pPr>
        <w:pStyle w:val="BodyText"/>
      </w:pPr>
      <w:r>
        <w:t xml:space="preserve">How likely is this? A transaction is exposed while any participant is in doubt: from the first</w:t>
      </w:r>
      <w:r>
        <w:t xml:space="preserve"> </w:t>
      </w:r>
      <w:r>
        <w:rPr>
          <w:rStyle w:val="VerbatimChar"/>
        </w:rPr>
        <w:t xml:space="preserve">YES</w:t>
      </w:r>
      <w:r>
        <w:t xml:space="preserve"> </w:t>
      </w:r>
      <w:r>
        <w:t xml:space="preserve">until every participant has the decision.</w:t>
      </w:r>
    </w:p>
    <w:p>
      <w:pPr>
        <w:pStyle w:val="CalloutFormula"/>
      </w:pPr>
      <w:r>
        <w:rPr>
          <w:bCs/>
          <w:b/>
        </w:rPr>
        <w:t xml:space="preserve">FORMULA</w:t>
      </w:r>
    </w:p>
    <w:p>
      <w:pPr>
        <w:pStyle w:val="CalloutFormula"/>
      </w:pPr>
      <w:r>
        <w:rPr>
          <w:bCs/>
          <w:b/>
        </w:rPr>
        <w:t xml:space="preserve">Exposure to in-doubt blocking</w:t>
      </w:r>
    </w:p>
    <w:p>
      <w:pPr>
        <w:pStyle w:val="CalloutFormula"/>
      </w:pPr>
      <m:oMathPara>
        <m:oMathParaPr>
          <m:jc m:val="center"/>
        </m:oMathParaPr>
        <m:oMath>
          <m:r>
            <m:t>w</m:t>
          </m:r>
          <m:r>
            <m:rPr>
              <m:sty m:val="p"/>
            </m:rPr>
            <m:t>≈</m:t>
          </m:r>
          <m:r>
            <m:rPr>
              <m:nor/>
              <m:sty m:val="p"/>
            </m:rPr>
            <m:t>RTT</m:t>
          </m:r>
          <m:r>
            <m:rPr>
              <m:sty m:val="p"/>
            </m:rPr>
            <m:t>+</m:t>
          </m:r>
          <m:sSub>
            <m:e>
              <m:r>
                <m:t>t</m:t>
              </m:r>
            </m:e>
            <m:sub>
              <m:r>
                <m:t>f</m:t>
              </m:r>
              <m:r>
                <m:rPr>
                  <m:sty m:val="p"/>
                </m:rPr>
                <m:t>,</m:t>
              </m:r>
              <m:r>
                <m:t>c</m:t>
              </m:r>
            </m:sub>
          </m:sSub>
          <m:r>
            <m:t>  </m:t>
          </m:r>
          <m:sSub>
            <m:e>
              <m:r>
                <m:t>P</m:t>
              </m:r>
            </m:e>
            <m:sub>
              <m:r>
                <m:rPr>
                  <m:nor/>
                  <m:sty m:val="p"/>
                </m:rPr>
                <m:t>doubt</m:t>
              </m:r>
            </m:sub>
          </m:sSub>
          <m:r>
            <m:rPr>
              <m:sty m:val="p"/>
            </m:rPr>
            <m:t>=</m:t>
          </m:r>
          <m:r>
            <m:t>1</m:t>
          </m:r>
          <m:r>
            <m:rPr>
              <m:sty m:val="p"/>
            </m:rPr>
            <m:t>−</m:t>
          </m:r>
          <m:sSup>
            <m:e>
              <m:r>
                <m:t>e</m:t>
              </m:r>
            </m:e>
            <m:sup>
              <m:r>
                <m:rPr>
                  <m:sty m:val="p"/>
                </m:rPr>
                <m:t>−</m:t>
              </m:r>
              <m:r>
                <m:t>λ</m:t>
              </m:r>
              <m:r>
                <m:t>w</m:t>
              </m:r>
            </m:sup>
          </m:sSup>
          <m:r>
            <m:rPr>
              <m:sty m:val="p"/>
            </m:rPr>
            <m:t>≈</m:t>
          </m:r>
          <m:r>
            <m:t>λ</m:t>
          </m:r>
          <m:r>
            <m:t>w</m:t>
          </m:r>
          <m:r>
            <m:t>  </m:t>
          </m:r>
          <m:sSub>
            <m:e>
              <m:r>
                <m:t>N</m:t>
              </m:r>
            </m:e>
            <m:sub>
              <m:r>
                <m:rPr>
                  <m:nor/>
                  <m:sty m:val="p"/>
                </m:rPr>
                <m:t>doubt</m:t>
              </m:r>
            </m:sub>
          </m:sSub>
          <m:r>
            <m:rPr>
              <m:sty m:val="p"/>
            </m:rPr>
            <m:t>=</m:t>
          </m:r>
          <m:r>
            <m:t>X</m:t>
          </m:r>
          <m:r>
            <m:t> </m:t>
          </m:r>
          <m:r>
            <m:t>w</m:t>
          </m:r>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w</m:t>
              </m:r>
            </m:oMath>
          </w:p>
        </w:tc>
        <w:tc>
          <w:tcPr/>
          <w:p>
            <w:pPr>
              <w:pStyle w:val="Compact"/>
              <w:jc w:val="left"/>
            </w:pPr>
            <w:r>
              <w:t xml:space="preserve">Window from the first YES vote reaching the coordinator’s path until all participants hold the decision: half an RTT for votes, the coordinator’s forced write, half an RTT for decisions</w:t>
            </w:r>
          </w:p>
        </w:tc>
        <w:tc>
          <w:tcPr/>
          <w:p>
            <w:pPr>
              <w:pStyle w:val="Compact"/>
              <w:jc w:val="left"/>
            </w:pPr>
            <w:r>
              <w:t xml:space="preserve">seconds</w:t>
            </w:r>
          </w:p>
        </w:tc>
      </w:tr>
      <w:tr>
        <w:tc>
          <w:tcPr/>
          <w:p>
            <w:pPr>
              <w:pStyle w:val="Compact"/>
              <w:jc w:val="left"/>
            </w:pPr>
            <m:oMath>
              <m:r>
                <m:rPr>
                  <m:nor/>
                  <m:sty m:val="p"/>
                </m:rPr>
                <m:t>RTT</m:t>
              </m:r>
            </m:oMath>
          </w:p>
        </w:tc>
        <w:tc>
          <w:tcPr/>
          <w:p>
            <w:pPr>
              <w:pStyle w:val="Compact"/>
              <w:jc w:val="left"/>
            </w:pPr>
            <w:r>
              <w:t xml:space="preserve">Network round-trip time between coordinator and participants</w:t>
            </w:r>
          </w:p>
        </w:tc>
        <w:tc>
          <w:tcPr/>
          <w:p>
            <w:pPr>
              <w:pStyle w:val="Compact"/>
              <w:jc w:val="left"/>
            </w:pPr>
            <w:r>
              <w:t xml:space="preserve">seconds</w:t>
            </w:r>
          </w:p>
        </w:tc>
      </w:tr>
      <w:tr>
        <w:tc>
          <w:tcPr/>
          <w:p>
            <w:pPr>
              <w:pStyle w:val="Compact"/>
              <w:jc w:val="left"/>
            </w:pPr>
            <m:oMath>
              <m:sSub>
                <m:e>
                  <m:r>
                    <m:t>t</m:t>
                  </m:r>
                </m:e>
                <m:sub>
                  <m:r>
                    <m:t>f</m:t>
                  </m:r>
                  <m:r>
                    <m:rPr>
                      <m:sty m:val="p"/>
                    </m:rPr>
                    <m:t>,</m:t>
                  </m:r>
                  <m:r>
                    <m:t>c</m:t>
                  </m:r>
                </m:sub>
              </m:sSub>
            </m:oMath>
          </w:p>
        </w:tc>
        <w:tc>
          <w:tcPr/>
          <w:p>
            <w:pPr>
              <w:pStyle w:val="Compact"/>
              <w:jc w:val="left"/>
            </w:pPr>
            <w:r>
              <w:t xml:space="preserve">Time of the coordinator’s forced log write</w:t>
            </w:r>
          </w:p>
        </w:tc>
        <w:tc>
          <w:tcPr/>
          <w:p>
            <w:pPr>
              <w:pStyle w:val="Compact"/>
              <w:jc w:val="left"/>
            </w:pPr>
            <w:r>
              <w:t xml:space="preserve">seconds</w:t>
            </w:r>
          </w:p>
        </w:tc>
      </w:tr>
      <w:tr>
        <w:tc>
          <w:tcPr/>
          <w:p>
            <w:pPr>
              <w:pStyle w:val="Compact"/>
              <w:jc w:val="left"/>
            </w:pPr>
            <m:oMath>
              <m:r>
                <m:t>λ</m:t>
              </m:r>
            </m:oMath>
          </w:p>
        </w:tc>
        <w:tc>
          <w:tcPr/>
          <w:p>
            <w:pPr>
              <w:pStyle w:val="Compact"/>
              <w:jc w:val="left"/>
            </w:pPr>
            <w:r>
              <w:t xml:space="preserve">Coordinator crash rate</w:t>
            </w:r>
          </w:p>
        </w:tc>
        <w:tc>
          <w:tcPr/>
          <w:p>
            <w:pPr>
              <w:pStyle w:val="Compact"/>
              <w:jc w:val="left"/>
            </w:pPr>
            <w:r>
              <w:t xml:space="preserve">crashes/second</w:t>
            </w:r>
          </w:p>
        </w:tc>
      </w:tr>
      <w:tr>
        <w:tc>
          <w:tcPr/>
          <w:p>
            <w:pPr>
              <w:pStyle w:val="Compact"/>
              <w:jc w:val="left"/>
            </w:pPr>
            <m:oMath>
              <m:sSub>
                <m:e>
                  <m:r>
                    <m:t>P</m:t>
                  </m:r>
                </m:e>
                <m:sub>
                  <m:r>
                    <m:rPr>
                      <m:nor/>
                      <m:sty m:val="p"/>
                    </m:rPr>
                    <m:t>doubt</m:t>
                  </m:r>
                </m:sub>
              </m:sSub>
            </m:oMath>
          </w:p>
        </w:tc>
        <w:tc>
          <w:tcPr/>
          <w:p>
            <w:pPr>
              <w:pStyle w:val="Compact"/>
              <w:jc w:val="left"/>
            </w:pPr>
            <w:r>
              <w:t xml:space="preserve">Probability a given transaction is caught in doubt by a coordinator crash</w:t>
            </w:r>
          </w:p>
        </w:tc>
        <w:tc>
          <w:tcPr/>
          <w:p>
            <w:pPr>
              <w:pStyle w:val="Compact"/>
              <w:jc w:val="left"/>
            </w:pPr>
            <w:r>
              <w:t xml:space="preserve">dimensionless</w:t>
            </w:r>
          </w:p>
        </w:tc>
      </w:tr>
      <w:tr>
        <w:tc>
          <w:tcPr/>
          <w:p>
            <w:pPr>
              <w:pStyle w:val="Compact"/>
              <w:jc w:val="left"/>
            </w:pPr>
            <m:oMath>
              <m:r>
                <m:t>X</m:t>
              </m:r>
            </m:oMath>
          </w:p>
        </w:tc>
        <w:tc>
          <w:tcPr/>
          <w:p>
            <w:pPr>
              <w:pStyle w:val="Compact"/>
              <w:jc w:val="left"/>
            </w:pPr>
            <w:r>
              <w:t xml:space="preserve">Rate of distributed transactions through this coordinator</w:t>
            </w:r>
          </w:p>
        </w:tc>
        <w:tc>
          <w:tcPr/>
          <w:p>
            <w:pPr>
              <w:pStyle w:val="Compact"/>
              <w:jc w:val="left"/>
            </w:pPr>
            <w:r>
              <w:t xml:space="preserve">transactions/second</w:t>
            </w:r>
          </w:p>
        </w:tc>
      </w:tr>
      <w:tr>
        <w:tc>
          <w:tcPr/>
          <w:p>
            <w:pPr>
              <w:pStyle w:val="Compact"/>
              <w:jc w:val="left"/>
            </w:pPr>
            <m:oMath>
              <m:sSub>
                <m:e>
                  <m:r>
                    <m:t>N</m:t>
                  </m:r>
                </m:e>
                <m:sub>
                  <m:r>
                    <m:rPr>
                      <m:nor/>
                      <m:sty m:val="p"/>
                    </m:rPr>
                    <m:t>doubt</m:t>
                  </m:r>
                </m:sub>
              </m:sSub>
            </m:oMath>
          </w:p>
        </w:tc>
        <w:tc>
          <w:tcPr/>
          <w:p>
            <w:pPr>
              <w:pStyle w:val="Compact"/>
              <w:jc w:val="left"/>
            </w:pPr>
            <w:r>
              <w:t xml:space="preserve">Expected number of transactions left in doubt by one crash (Little’s Law, §4.11)</w:t>
            </w:r>
          </w:p>
        </w:tc>
        <w:tc>
          <w:tcPr/>
          <w:p>
            <w:pPr>
              <w:pStyle w:val="Compact"/>
              <w:jc w:val="left"/>
            </w:pPr>
            <w:r>
              <w:t xml:space="preserve">transactions</w:t>
            </w:r>
          </w:p>
        </w:tc>
      </w:tr>
    </w:tbl>
    <w:p>
      <w:pPr>
        <w:pStyle w:val="CalloutExample"/>
      </w:pPr>
      <w:r>
        <w:rPr>
          <w:bCs/>
          <w:b/>
        </w:rPr>
        <w:t xml:space="preserve">WORKED EXAMPLE</w:t>
      </w:r>
    </w:p>
    <w:p>
      <w:pPr>
        <w:pStyle w:val="CalloutExample"/>
      </w:pPr>
      <w:r>
        <w:rPr>
          <w:bCs/>
          <w:b/>
        </w:rPr>
        <w:t xml:space="preserve">Worked example — How many transactions does a coordinator crash strand?</w:t>
      </w:r>
      <w:r>
        <w:t xml:space="preserve"> </w:t>
      </w:r>
      <w:r>
        <w:t xml:space="preserve">A payments service coordinates</w:t>
      </w:r>
      <w:r>
        <w:t xml:space="preserve"> </w:t>
      </w:r>
      <m:oMath>
        <m:r>
          <m:t>X</m:t>
        </m:r>
        <m:r>
          <m:rPr>
            <m:sty m:val="p"/>
          </m:rPr>
          <m:t>=</m:t>
        </m:r>
        <m:r>
          <m:t>2</m:t>
        </m:r>
        <m:r>
          <m:rPr>
            <m:sty m:val="p"/>
          </m:rPr>
          <m:t>,</m:t>
        </m:r>
        <m:r>
          <m:t>000</m:t>
        </m:r>
      </m:oMath>
      <w:r>
        <w:t xml:space="preserve"> </w:t>
      </w:r>
      <w:r>
        <w:t xml:space="preserve">cross-shard transfers per second. RTT</w:t>
      </w:r>
      <w:r>
        <w:t xml:space="preserve"> </w:t>
      </w:r>
      <m:oMath>
        <m:r>
          <m:rPr>
            <m:sty m:val="p"/>
          </m:rPr>
          <m:t>=</m:t>
        </m:r>
        <m:r>
          <m:t>0.5</m:t>
        </m:r>
      </m:oMath>
      <w:r>
        <w:t xml:space="preserve"> </w:t>
      </w:r>
      <w:r>
        <w:t xml:space="preserve">ms, coordinator forced write</w:t>
      </w:r>
      <w:r>
        <w:t xml:space="preserve"> </w:t>
      </w:r>
      <m:oMath>
        <m:sSub>
          <m:e>
            <m:r>
              <m:t>t</m:t>
            </m:r>
          </m:e>
          <m:sub>
            <m:r>
              <m:t>f</m:t>
            </m:r>
            <m:r>
              <m:rPr>
                <m:sty m:val="p"/>
              </m:rPr>
              <m:t>,</m:t>
            </m:r>
            <m:r>
              <m:t>c</m:t>
            </m:r>
          </m:sub>
        </m:sSub>
        <m:r>
          <m:rPr>
            <m:sty m:val="p"/>
          </m:rPr>
          <m:t>=</m:t>
        </m:r>
        <m:r>
          <m:t>1</m:t>
        </m:r>
      </m:oMath>
      <w:r>
        <w:t xml:space="preserve"> </w:t>
      </w:r>
      <w:r>
        <w:t xml:space="preserve">ms, and the coordinator process crashes about once a month (</w:t>
      </w:r>
      <m:oMath>
        <m:r>
          <m:t>λ</m:t>
        </m:r>
        <m:r>
          <m:rPr>
            <m:sty m:val="p"/>
          </m:rPr>
          <m:t>=</m:t>
        </m:r>
        <m:r>
          <m:t>1</m:t>
        </m:r>
        <m:r>
          <m:rPr>
            <m:sty m:val="p"/>
          </m:rPr>
          <m:t>/</m:t>
        </m:r>
        <m:r>
          <m:t>2</m:t>
        </m:r>
        <m:r>
          <m:rPr>
            <m:sty m:val="p"/>
          </m:rPr>
          <m:t>,</m:t>
        </m:r>
        <m:r>
          <m:t>592</m:t>
        </m:r>
        <m:r>
          <m:rPr>
            <m:sty m:val="p"/>
          </m:rPr>
          <m:t>,</m:t>
        </m:r>
        <m:r>
          <m:t>000</m:t>
        </m:r>
      </m:oMath>
      <w:r>
        <w:t xml:space="preserve"> </w:t>
      </w:r>
      <w:r>
        <w:t xml:space="preserve">s</w:t>
      </w:r>
      <w:r>
        <w:t xml:space="preserve"> </w:t>
      </w:r>
      <m:oMath>
        <m:r>
          <m:rPr>
            <m:sty m:val="p"/>
          </m:rPr>
          <m:t>=</m:t>
        </m:r>
        <m:r>
          <m:t>3.86</m:t>
        </m:r>
        <m:r>
          <m:rPr>
            <m:sty m:val="p"/>
          </m:rPr>
          <m:t>×</m:t>
        </m:r>
        <m:sSup>
          <m:e>
            <m:r>
              <m:t>10</m:t>
            </m:r>
          </m:e>
          <m:sup>
            <m:r>
              <m:rPr>
                <m:sty m:val="p"/>
              </m:rPr>
              <m:t>−</m:t>
            </m:r>
            <m:r>
              <m:t>7</m:t>
            </m:r>
          </m:sup>
        </m:sSup>
      </m:oMath>
      <w:r>
        <w:t xml:space="preserve"> </w:t>
      </w:r>
      <w:r>
        <w:t xml:space="preserve">/s). Restarting it with its log takes 10 minutes when an operator must intervene.</w:t>
      </w:r>
    </w:p>
    <w:p>
      <w:pPr>
        <w:numPr>
          <w:ilvl w:val="0"/>
          <w:numId w:val="1913"/>
        </w:numPr>
        <w:pStyle w:val="Compact"/>
      </w:pPr>
      <w:r>
        <w:t xml:space="preserve">Window:</w:t>
      </w:r>
      <w:r>
        <w:t xml:space="preserve"> </w:t>
      </w:r>
      <m:oMath>
        <m:r>
          <m:t>w</m:t>
        </m:r>
        <m:r>
          <m:rPr>
            <m:sty m:val="p"/>
          </m:rPr>
          <m:t>=</m:t>
        </m:r>
        <m:r>
          <m:t>0.5</m:t>
        </m:r>
        <m:r>
          <m:rPr>
            <m:sty m:val="p"/>
          </m:rPr>
          <m:t>+</m:t>
        </m:r>
        <m:r>
          <m:t>1</m:t>
        </m:r>
        <m:r>
          <m:rPr>
            <m:sty m:val="p"/>
          </m:rPr>
          <m:t>=</m:t>
        </m:r>
        <m:r>
          <m:t>1.5</m:t>
        </m:r>
      </m:oMath>
      <w:r>
        <w:t xml:space="preserve"> </w:t>
      </w:r>
      <w:r>
        <w:t xml:space="preserve">ms</w:t>
      </w:r>
      <w:r>
        <w:t xml:space="preserve"> </w:t>
      </w:r>
      <m:oMath>
        <m:r>
          <m:rPr>
            <m:sty m:val="p"/>
          </m:rPr>
          <m:t>=</m:t>
        </m:r>
        <m:r>
          <m:t>0.0015</m:t>
        </m:r>
      </m:oMath>
      <w:r>
        <w:t xml:space="preserve"> </w:t>
      </w:r>
      <w:r>
        <w:t xml:space="preserve">s.</w:t>
      </w:r>
    </w:p>
    <w:p>
      <w:pPr>
        <w:numPr>
          <w:ilvl w:val="0"/>
          <w:numId w:val="1913"/>
        </w:numPr>
        <w:pStyle w:val="Compact"/>
      </w:pPr>
      <w:r>
        <w:t xml:space="preserve">Per-transaction probability:</w:t>
      </w:r>
      <w:r>
        <w:t xml:space="preserve"> </w:t>
      </w:r>
      <m:oMath>
        <m:sSub>
          <m:e>
            <m:r>
              <m:t>P</m:t>
            </m:r>
          </m:e>
          <m:sub>
            <m:r>
              <m:rPr>
                <m:nor/>
                <m:sty m:val="p"/>
              </m:rPr>
              <m:t>doubt</m:t>
            </m:r>
          </m:sub>
        </m:sSub>
        <m:r>
          <m:rPr>
            <m:sty m:val="p"/>
          </m:rPr>
          <m:t>≈</m:t>
        </m:r>
        <m:r>
          <m:t>3.86</m:t>
        </m:r>
        <m:r>
          <m:rPr>
            <m:sty m:val="p"/>
          </m:rPr>
          <m:t>×</m:t>
        </m:r>
        <m:sSup>
          <m:e>
            <m:r>
              <m:t>10</m:t>
            </m:r>
          </m:e>
          <m:sup>
            <m:r>
              <m:rPr>
                <m:sty m:val="p"/>
              </m:rPr>
              <m:t>−</m:t>
            </m:r>
            <m:r>
              <m:t>7</m:t>
            </m:r>
          </m:sup>
        </m:sSup>
        <m:r>
          <m:rPr>
            <m:sty m:val="p"/>
          </m:rPr>
          <m:t>×</m:t>
        </m:r>
        <m:r>
          <m:t>0.0015</m:t>
        </m:r>
        <m:r>
          <m:rPr>
            <m:sty m:val="p"/>
          </m:rPr>
          <m:t>=</m:t>
        </m:r>
        <m:r>
          <m:t>5.8</m:t>
        </m:r>
        <m:r>
          <m:rPr>
            <m:sty m:val="p"/>
          </m:rPr>
          <m:t>×</m:t>
        </m:r>
        <m:sSup>
          <m:e>
            <m:r>
              <m:t>10</m:t>
            </m:r>
          </m:e>
          <m:sup>
            <m:r>
              <m:rPr>
                <m:sty m:val="p"/>
              </m:rPr>
              <m:t>−</m:t>
            </m:r>
            <m:r>
              <m:t>10</m:t>
            </m:r>
          </m:sup>
        </m:sSup>
      </m:oMath>
      <w:r>
        <w:t xml:space="preserve">, about one in 1.7 billion.</w:t>
      </w:r>
    </w:p>
    <w:p>
      <w:pPr>
        <w:numPr>
          <w:ilvl w:val="0"/>
          <w:numId w:val="1913"/>
        </w:numPr>
        <w:pStyle w:val="Compact"/>
      </w:pPr>
      <w:r>
        <w:t xml:space="preserve">Stranded per crash:</w:t>
      </w:r>
      <w:r>
        <w:t xml:space="preserve"> </w:t>
      </w:r>
      <m:oMath>
        <m:sSub>
          <m:e>
            <m:r>
              <m:t>N</m:t>
            </m:r>
          </m:e>
          <m:sub>
            <m:r>
              <m:rPr>
                <m:nor/>
                <m:sty m:val="p"/>
              </m:rPr>
              <m:t>doubt</m:t>
            </m:r>
          </m:sub>
        </m:sSub>
        <m:r>
          <m:rPr>
            <m:sty m:val="p"/>
          </m:rPr>
          <m:t>=</m:t>
        </m:r>
        <m:r>
          <m:t>2</m:t>
        </m:r>
        <m:r>
          <m:rPr>
            <m:sty m:val="p"/>
          </m:rPr>
          <m:t>,</m:t>
        </m:r>
        <m:r>
          <m:t>000</m:t>
        </m:r>
        <m:r>
          <m:rPr>
            <m:sty m:val="p"/>
          </m:rPr>
          <m:t>×</m:t>
        </m:r>
        <m:r>
          <m:t>0.0015</m:t>
        </m:r>
        <m:r>
          <m:rPr>
            <m:sty m:val="p"/>
          </m:rPr>
          <m:t>=</m:t>
        </m:r>
        <m:r>
          <m:t>3</m:t>
        </m:r>
      </m:oMath>
      <w:r>
        <w:t xml:space="preserve"> </w:t>
      </w:r>
      <w:r>
        <w:t xml:space="preserve">transactions.</w:t>
      </w:r>
    </w:p>
    <w:p>
      <w:pPr>
        <w:numPr>
          <w:ilvl w:val="0"/>
          <w:numId w:val="1913"/>
        </w:numPr>
        <w:pStyle w:val="Compact"/>
      </w:pPr>
      <w:r>
        <w:t xml:space="preserve">Each holds its row locks for the 10-minute outage. If one of those rows is a merchant’s settlement account receiving 50 transfers/s,</w:t>
      </w:r>
      <w:r>
        <w:t xml:space="preserve"> </w:t>
      </w:r>
      <m:oMath>
        <m:r>
          <m:t>50</m:t>
        </m:r>
        <m:r>
          <m:rPr>
            <m:sty m:val="p"/>
          </m:rPr>
          <m:t>×</m:t>
        </m:r>
        <m:r>
          <m:t>600</m:t>
        </m:r>
        <m:r>
          <m:rPr>
            <m:sty m:val="p"/>
          </m:rPr>
          <m:t>=</m:t>
        </m:r>
        <m:r>
          <m:t>30</m:t>
        </m:r>
        <m:r>
          <m:rPr>
            <m:sty m:val="p"/>
          </m:rPr>
          <m:t>,</m:t>
        </m:r>
        <m:r>
          <m:t>000</m:t>
        </m:r>
      </m:oMath>
      <w:r>
        <w:t xml:space="preserve"> </w:t>
      </w:r>
      <w:r>
        <w:t xml:space="preserve">transfers queue behind the lock or time out.</w:t>
      </w:r>
    </w:p>
    <w:p>
      <w:pPr>
        <w:pStyle w:val="CalloutExample"/>
      </w:pPr>
      <w:r>
        <w:rPr>
          <w:bCs/>
          <w:b/>
        </w:rPr>
        <w:t xml:space="preserve">Interpretation.</w:t>
      </w:r>
      <w:r>
        <w:t xml:space="preserve"> </w:t>
      </w:r>
      <w:r>
        <w:t xml:space="preserve">The probability per transaction is negligible; the</w:t>
      </w:r>
      <w:r>
        <w:t xml:space="preserve"> </w:t>
      </w:r>
      <w:r>
        <w:rPr>
          <w:iCs/>
          <w:i/>
        </w:rPr>
        <w:t xml:space="preserve">consequence</w:t>
      </w:r>
      <w:r>
        <w:t xml:space="preserve"> </w:t>
      </w:r>
      <w:r>
        <w:t xml:space="preserve">is not, because a few in-doubt transactions can freeze hot rows for the whole recovery time.</w:t>
      </w:r>
      <w:r>
        <w:t xml:space="preserve"> </w:t>
      </w:r>
      <w:r>
        <w:rPr>
          <w:bCs/>
          <w:b/>
        </w:rPr>
        <w:t xml:space="preserve">Engineering implication.</w:t>
      </w:r>
      <w:r>
        <w:t xml:space="preserve"> </w:t>
      </w:r>
      <w:r>
        <w:t xml:space="preserve">Minimize coordinator recovery time (automatic restart, a replicated coordinator log), keep hot rows out of distributed transactions, and alert on prepared transactions older than a few seconds.</w:t>
      </w:r>
    </w:p>
    <w:bookmarkEnd w:id="3143"/>
    <w:bookmarkStart w:id="3144" w:name="latency-and-availability"/>
    <w:p>
      <w:pPr>
        <w:pStyle w:val="Heading3"/>
      </w:pPr>
      <w:r>
        <w:t xml:space="preserve">28.4.4 Latency and availability</w:t>
      </w:r>
    </w:p>
    <w:p>
      <w:pPr>
        <w:pStyle w:val="CalloutFormula"/>
      </w:pPr>
      <w:r>
        <w:rPr>
          <w:bCs/>
          <w:b/>
        </w:rPr>
        <w:t xml:space="preserve">FORMULA</w:t>
      </w:r>
    </w:p>
    <w:p>
      <w:pPr>
        <w:pStyle w:val="CalloutFormula"/>
      </w:pPr>
      <w:r>
        <w:rPr>
          <w:bCs/>
          <w:b/>
        </w:rPr>
        <w:t xml:space="preserve">Two-phase commit latency and participant lock hold time</w:t>
      </w:r>
    </w:p>
    <w:p>
      <w:pPr>
        <w:pStyle w:val="CalloutFormula"/>
      </w:pPr>
      <m:oMathPara>
        <m:oMathParaPr>
          <m:jc m:val="center"/>
        </m:oMathParaPr>
        <m:oMath>
          <m:sSub>
            <m:e>
              <m:r>
                <m:t>T</m:t>
              </m:r>
            </m:e>
            <m:sub>
              <m:r>
                <m:rPr>
                  <m:nor/>
                  <m:sty m:val="p"/>
                </m:rPr>
                <m:t>2PC</m:t>
              </m:r>
            </m:sub>
          </m:sSub>
          <m:r>
            <m:rPr>
              <m:sty m:val="p"/>
            </m:rPr>
            <m:t>≈</m:t>
          </m:r>
          <m:r>
            <m:t>2</m:t>
          </m:r>
          <m:r>
            <m:t> </m:t>
          </m:r>
          <m:r>
            <m:rPr>
              <m:nor/>
              <m:sty m:val="p"/>
            </m:rPr>
            <m:t>RTT</m:t>
          </m:r>
          <m:r>
            <m:rPr>
              <m:sty m:val="p"/>
            </m:rPr>
            <m:t>+</m:t>
          </m:r>
          <m:sSub>
            <m:e>
              <m:r>
                <m:t>t</m:t>
              </m:r>
            </m:e>
            <m:sub>
              <m:r>
                <m:t>f</m:t>
              </m:r>
              <m:r>
                <m:rPr>
                  <m:sty m:val="p"/>
                </m:rPr>
                <m:t>,</m:t>
              </m:r>
              <m:r>
                <m:t>p</m:t>
              </m:r>
            </m:sub>
          </m:sSub>
          <m:r>
            <m:rPr>
              <m:sty m:val="p"/>
            </m:rPr>
            <m:t>+</m:t>
          </m:r>
          <m:sSub>
            <m:e>
              <m:r>
                <m:t>t</m:t>
              </m:r>
            </m:e>
            <m:sub>
              <m:r>
                <m:t>f</m:t>
              </m:r>
              <m:r>
                <m:rPr>
                  <m:sty m:val="p"/>
                </m:rPr>
                <m:t>,</m:t>
              </m:r>
              <m:r>
                <m:t>c</m:t>
              </m:r>
            </m:sub>
          </m:sSub>
          <m:r>
            <m:t>  </m:t>
          </m:r>
          <m:sSub>
            <m:e>
              <m:r>
                <m:t>T</m:t>
              </m:r>
            </m:e>
            <m:sub>
              <m:r>
                <m:rPr>
                  <m:nor/>
                  <m:sty m:val="p"/>
                </m:rPr>
                <m:t>hold</m:t>
              </m:r>
            </m:sub>
          </m:sSub>
          <m:r>
            <m:rPr>
              <m:sty m:val="p"/>
            </m:rPr>
            <m:t>≈</m:t>
          </m:r>
          <m:sSub>
            <m:e>
              <m:r>
                <m:t>t</m:t>
              </m:r>
            </m:e>
            <m:sub>
              <m:r>
                <m:t>f</m:t>
              </m:r>
              <m:r>
                <m:rPr>
                  <m:sty m:val="p"/>
                </m:rPr>
                <m:t>,</m:t>
              </m:r>
              <m:r>
                <m:t>p</m:t>
              </m:r>
            </m:sub>
          </m:sSub>
          <m:r>
            <m:rPr>
              <m:sty m:val="p"/>
            </m:rPr>
            <m:t>+</m:t>
          </m:r>
          <m:r>
            <m:rPr>
              <m:nor/>
              <m:sty m:val="p"/>
            </m:rPr>
            <m:t>RTT</m:t>
          </m:r>
          <m:r>
            <m:rPr>
              <m:sty m:val="p"/>
            </m:rPr>
            <m:t>+</m:t>
          </m:r>
          <m:sSub>
            <m:e>
              <m:r>
                <m:t>t</m:t>
              </m:r>
            </m:e>
            <m:sub>
              <m:r>
                <m:t>f</m:t>
              </m:r>
              <m:r>
                <m:rPr>
                  <m:sty m:val="p"/>
                </m:rPr>
                <m:t>,</m:t>
              </m:r>
              <m:r>
                <m:t>c</m:t>
              </m:r>
            </m:sub>
          </m:sSub>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T</m:t>
                  </m:r>
                </m:e>
                <m:sub>
                  <m:r>
                    <m:rPr>
                      <m:nor/>
                      <m:sty m:val="p"/>
                    </m:rPr>
                    <m:t>2PC</m:t>
                  </m:r>
                </m:sub>
              </m:sSub>
            </m:oMath>
          </w:p>
        </w:tc>
        <w:tc>
          <w:tcPr/>
          <w:p>
            <w:pPr>
              <w:pStyle w:val="Compact"/>
              <w:jc w:val="left"/>
            </w:pPr>
            <w:r>
              <w:t xml:space="preserve">Commit latency until every participant has received the decision</w:t>
            </w:r>
          </w:p>
        </w:tc>
        <w:tc>
          <w:tcPr/>
          <w:p>
            <w:pPr>
              <w:pStyle w:val="Compact"/>
              <w:jc w:val="left"/>
            </w:pPr>
            <w:r>
              <w:t xml:space="preserve">seconds</w:t>
            </w:r>
          </w:p>
        </w:tc>
      </w:tr>
      <w:tr>
        <w:tc>
          <w:tcPr/>
          <w:p>
            <w:pPr>
              <w:pStyle w:val="Compact"/>
              <w:jc w:val="left"/>
            </w:pPr>
            <m:oMath>
              <m:r>
                <m:rPr>
                  <m:nor/>
                  <m:sty m:val="p"/>
                </m:rPr>
                <m:t>RTT</m:t>
              </m:r>
            </m:oMath>
          </w:p>
        </w:tc>
        <w:tc>
          <w:tcPr/>
          <w:p>
            <w:pPr>
              <w:pStyle w:val="Compact"/>
              <w:jc w:val="left"/>
            </w:pPr>
            <w:r>
              <w:t xml:space="preserve">Round trip between coordinator and the slowest participant</w:t>
            </w:r>
          </w:p>
        </w:tc>
        <w:tc>
          <w:tcPr/>
          <w:p>
            <w:pPr>
              <w:pStyle w:val="Compact"/>
              <w:jc w:val="left"/>
            </w:pPr>
            <w:r>
              <w:t xml:space="preserve">seconds</w:t>
            </w:r>
          </w:p>
        </w:tc>
      </w:tr>
      <w:tr>
        <w:tc>
          <w:tcPr/>
          <w:p>
            <w:pPr>
              <w:pStyle w:val="Compact"/>
              <w:jc w:val="left"/>
            </w:pPr>
            <m:oMath>
              <m:sSub>
                <m:e>
                  <m:r>
                    <m:t>t</m:t>
                  </m:r>
                </m:e>
                <m:sub>
                  <m:r>
                    <m:t>f</m:t>
                  </m:r>
                  <m:r>
                    <m:rPr>
                      <m:sty m:val="p"/>
                    </m:rPr>
                    <m:t>,</m:t>
                  </m:r>
                  <m:r>
                    <m:t>p</m:t>
                  </m:r>
                </m:sub>
              </m:sSub>
            </m:oMath>
          </w:p>
        </w:tc>
        <w:tc>
          <w:tcPr/>
          <w:p>
            <w:pPr>
              <w:pStyle w:val="Compact"/>
              <w:jc w:val="left"/>
            </w:pPr>
            <w:r>
              <w:t xml:space="preserve">Slowest participant’s forced write of its PREPARED record (writes happen in parallel)</w:t>
            </w:r>
          </w:p>
        </w:tc>
        <w:tc>
          <w:tcPr/>
          <w:p>
            <w:pPr>
              <w:pStyle w:val="Compact"/>
              <w:jc w:val="left"/>
            </w:pPr>
            <w:r>
              <w:t xml:space="preserve">seconds</w:t>
            </w:r>
          </w:p>
        </w:tc>
      </w:tr>
      <w:tr>
        <w:tc>
          <w:tcPr/>
          <w:p>
            <w:pPr>
              <w:pStyle w:val="Compact"/>
              <w:jc w:val="left"/>
            </w:pPr>
            <m:oMath>
              <m:sSub>
                <m:e>
                  <m:r>
                    <m:t>t</m:t>
                  </m:r>
                </m:e>
                <m:sub>
                  <m:r>
                    <m:t>f</m:t>
                  </m:r>
                  <m:r>
                    <m:rPr>
                      <m:sty m:val="p"/>
                    </m:rPr>
                    <m:t>,</m:t>
                  </m:r>
                  <m:r>
                    <m:t>c</m:t>
                  </m:r>
                </m:sub>
              </m:sSub>
            </m:oMath>
          </w:p>
        </w:tc>
        <w:tc>
          <w:tcPr/>
          <w:p>
            <w:pPr>
              <w:pStyle w:val="Compact"/>
              <w:jc w:val="left"/>
            </w:pPr>
            <w:r>
              <w:t xml:space="preserve">Coordinator’s forced write of the COMMIT record</w:t>
            </w:r>
          </w:p>
        </w:tc>
        <w:tc>
          <w:tcPr/>
          <w:p>
            <w:pPr>
              <w:pStyle w:val="Compact"/>
              <w:jc w:val="left"/>
            </w:pPr>
            <w:r>
              <w:t xml:space="preserve">seconds</w:t>
            </w:r>
          </w:p>
        </w:tc>
      </w:tr>
      <w:tr>
        <w:tc>
          <w:tcPr/>
          <w:p>
            <w:pPr>
              <w:pStyle w:val="Compact"/>
              <w:jc w:val="left"/>
            </w:pPr>
            <m:oMath>
              <m:sSub>
                <m:e>
                  <m:r>
                    <m:t>T</m:t>
                  </m:r>
                </m:e>
                <m:sub>
                  <m:r>
                    <m:rPr>
                      <m:nor/>
                      <m:sty m:val="p"/>
                    </m:rPr>
                    <m:t>hold</m:t>
                  </m:r>
                </m:sub>
              </m:sSub>
            </m:oMath>
          </w:p>
        </w:tc>
        <w:tc>
          <w:tcPr/>
          <w:p>
            <w:pPr>
              <w:pStyle w:val="Compact"/>
              <w:jc w:val="left"/>
            </w:pPr>
            <w:r>
              <w:t xml:space="preserve">Extra time a participant holds locks during commit, from forcing PREPARED until the decision arrives</w:t>
            </w:r>
          </w:p>
        </w:tc>
        <w:tc>
          <w:tcPr/>
          <w:p>
            <w:pPr>
              <w:pStyle w:val="Compact"/>
              <w:jc w:val="left"/>
            </w:pPr>
            <w:r>
              <w:t xml:space="preserve">seconds</w:t>
            </w:r>
          </w:p>
        </w:tc>
      </w:tr>
    </w:tbl>
    <w:p>
      <w:pPr>
        <w:pStyle w:val="BodyText"/>
      </w:pPr>
      <w:r>
        <w:t xml:space="preserve">The commit phase adds two sequential round trips and two sequential forced writes. Replying right after the coordinator’s commit record (Figure 28.2) hides the second round trip from the client, but not from participants’ lock hold time.</w:t>
      </w:r>
    </w:p>
    <w:p>
      <w:pPr>
        <w:pStyle w:val="CalloutExample"/>
      </w:pPr>
      <w:r>
        <w:rPr>
          <w:bCs/>
          <w:b/>
        </w:rPr>
        <w:t xml:space="preserve">WORKED EXAMPLE</w:t>
      </w:r>
    </w:p>
    <w:p>
      <w:pPr>
        <w:pStyle w:val="CalloutExample"/>
      </w:pPr>
      <w:r>
        <w:rPr>
          <w:bCs/>
          <w:b/>
        </w:rPr>
        <w:t xml:space="preserve">Worked example — 2PC inside a datacenter and across regions.</w:t>
      </w:r>
      <w:r>
        <w:t xml:space="preserve"> </w:t>
      </w:r>
      <w:r>
        <w:t xml:space="preserve">Forced writes take</w:t>
      </w:r>
      <w:r>
        <w:t xml:space="preserve"> </w:t>
      </w:r>
      <m:oMath>
        <m:sSub>
          <m:e>
            <m:r>
              <m:t>t</m:t>
            </m:r>
          </m:e>
          <m:sub>
            <m:r>
              <m:t>f</m:t>
            </m:r>
          </m:sub>
        </m:sSub>
        <m:r>
          <m:rPr>
            <m:sty m:val="p"/>
          </m:rPr>
          <m:t>=</m:t>
        </m:r>
        <m:r>
          <m:t>1</m:t>
        </m:r>
      </m:oMath>
      <w:r>
        <w:t xml:space="preserve"> </w:t>
      </w:r>
      <w:r>
        <w:t xml:space="preserve">ms on cloud block storage; a local commit therefore costs about 1 ms.</w:t>
      </w:r>
    </w:p>
    <w:p>
      <w:pPr>
        <w:numPr>
          <w:ilvl w:val="0"/>
          <w:numId w:val="1914"/>
        </w:numPr>
        <w:pStyle w:val="Compact"/>
      </w:pPr>
      <w:r>
        <w:t xml:space="preserve">Same datacenter, RTT</w:t>
      </w:r>
      <w:r>
        <w:t xml:space="preserve"> </w:t>
      </w:r>
      <m:oMath>
        <m:r>
          <m:rPr>
            <m:sty m:val="p"/>
          </m:rPr>
          <m:t>=</m:t>
        </m:r>
        <m:r>
          <m:t>0.5</m:t>
        </m:r>
      </m:oMath>
      <w:r>
        <w:t xml:space="preserve"> </w:t>
      </w:r>
      <w:r>
        <w:t xml:space="preserve">ms:</w:t>
      </w:r>
      <w:r>
        <w:t xml:space="preserve"> </w:t>
      </w:r>
      <m:oMath>
        <m:sSub>
          <m:e>
            <m:r>
              <m:t>T</m:t>
            </m:r>
          </m:e>
          <m:sub>
            <m:r>
              <m:rPr>
                <m:nor/>
                <m:sty m:val="p"/>
              </m:rPr>
              <m:t>2PC</m:t>
            </m:r>
          </m:sub>
        </m:sSub>
        <m:r>
          <m:rPr>
            <m:sty m:val="p"/>
          </m:rPr>
          <m:t>=</m:t>
        </m:r>
        <m:r>
          <m:t>2</m:t>
        </m:r>
        <m:d>
          <m:dPr>
            <m:begChr m:val="("/>
            <m:endChr m:val=")"/>
            <m:sepChr m:val=""/>
            <m:grow/>
          </m:dPr>
          <m:e>
            <m:r>
              <m:t>0.5</m:t>
            </m:r>
          </m:e>
        </m:d>
        <m:r>
          <m:rPr>
            <m:sty m:val="p"/>
          </m:rPr>
          <m:t>+</m:t>
        </m:r>
        <m:r>
          <m:t>1</m:t>
        </m:r>
        <m:r>
          <m:rPr>
            <m:sty m:val="p"/>
          </m:rPr>
          <m:t>+</m:t>
        </m:r>
        <m:r>
          <m:t>1</m:t>
        </m:r>
        <m:r>
          <m:rPr>
            <m:sty m:val="p"/>
          </m:rPr>
          <m:t>=</m:t>
        </m:r>
        <m:r>
          <m:t>3</m:t>
        </m:r>
      </m:oMath>
      <w:r>
        <w:t xml:space="preserve"> </w:t>
      </w:r>
      <w:r>
        <w:t xml:space="preserve">ms, three times a local commit. Lock hold:</w:t>
      </w:r>
      <w:r>
        <w:t xml:space="preserve"> </w:t>
      </w:r>
      <m:oMath>
        <m:r>
          <m:t>1</m:t>
        </m:r>
        <m:r>
          <m:rPr>
            <m:sty m:val="p"/>
          </m:rPr>
          <m:t>+</m:t>
        </m:r>
        <m:r>
          <m:t>0.5</m:t>
        </m:r>
        <m:r>
          <m:rPr>
            <m:sty m:val="p"/>
          </m:rPr>
          <m:t>+</m:t>
        </m:r>
        <m:r>
          <m:t>1</m:t>
        </m:r>
        <m:r>
          <m:rPr>
            <m:sty m:val="p"/>
          </m:rPr>
          <m:t>=</m:t>
        </m:r>
        <m:r>
          <m:t>2.5</m:t>
        </m:r>
      </m:oMath>
      <w:r>
        <w:t xml:space="preserve"> </w:t>
      </w:r>
      <w:r>
        <w:t xml:space="preserve">ms.</w:t>
      </w:r>
    </w:p>
    <w:p>
      <w:pPr>
        <w:numPr>
          <w:ilvl w:val="0"/>
          <w:numId w:val="1914"/>
        </w:numPr>
        <w:pStyle w:val="Compact"/>
      </w:pPr>
      <w:r>
        <w:t xml:space="preserve">Participants in two regions, RTT</w:t>
      </w:r>
      <w:r>
        <w:t xml:space="preserve"> </w:t>
      </w:r>
      <m:oMath>
        <m:r>
          <m:rPr>
            <m:sty m:val="p"/>
          </m:rPr>
          <m:t>=</m:t>
        </m:r>
        <m:r>
          <m:t>70</m:t>
        </m:r>
      </m:oMath>
      <w:r>
        <w:t xml:space="preserve"> </w:t>
      </w:r>
      <w:r>
        <w:t xml:space="preserve">ms:</w:t>
      </w:r>
      <w:r>
        <w:t xml:space="preserve"> </w:t>
      </w:r>
      <m:oMath>
        <m:sSub>
          <m:e>
            <m:r>
              <m:t>T</m:t>
            </m:r>
          </m:e>
          <m:sub>
            <m:r>
              <m:rPr>
                <m:nor/>
                <m:sty m:val="p"/>
              </m:rPr>
              <m:t>2PC</m:t>
            </m:r>
          </m:sub>
        </m:sSub>
        <m:r>
          <m:rPr>
            <m:sty m:val="p"/>
          </m:rPr>
          <m:t>=</m:t>
        </m:r>
        <m:r>
          <m:t>140</m:t>
        </m:r>
        <m:r>
          <m:rPr>
            <m:sty m:val="p"/>
          </m:rPr>
          <m:t>+</m:t>
        </m:r>
        <m:r>
          <m:t>2</m:t>
        </m:r>
        <m:r>
          <m:rPr>
            <m:sty m:val="p"/>
          </m:rPr>
          <m:t>=</m:t>
        </m:r>
        <m:r>
          <m:t>142</m:t>
        </m:r>
      </m:oMath>
      <w:r>
        <w:t xml:space="preserve"> </w:t>
      </w:r>
      <w:r>
        <w:t xml:space="preserve">ms; lock hold</w:t>
      </w:r>
      <w:r>
        <w:t xml:space="preserve"> </w:t>
      </w:r>
      <m:oMath>
        <m:r>
          <m:rPr>
            <m:sty m:val="p"/>
          </m:rPr>
          <m:t>=</m:t>
        </m:r>
        <m:r>
          <m:t>72</m:t>
        </m:r>
      </m:oMath>
      <w:r>
        <w:t xml:space="preserve"> </w:t>
      </w:r>
      <w:r>
        <w:t xml:space="preserve">ms.</w:t>
      </w:r>
    </w:p>
    <w:p>
      <w:pPr>
        <w:numPr>
          <w:ilvl w:val="0"/>
          <w:numId w:val="1914"/>
        </w:numPr>
        <w:pStyle w:val="Compact"/>
      </w:pPr>
      <w:r>
        <w:t xml:space="preserve">A hot row protected by row locks can commit at most</w:t>
      </w:r>
      <w:r>
        <w:t xml:space="preserve"> </w:t>
      </w:r>
      <m:oMath>
        <m:r>
          <m:t>1</m:t>
        </m:r>
        <m:r>
          <m:rPr>
            <m:sty m:val="p"/>
          </m:rPr>
          <m:t>/</m:t>
        </m:r>
        <m:sSub>
          <m:e>
            <m:r>
              <m:t>T</m:t>
            </m:r>
          </m:e>
          <m:sub>
            <m:r>
              <m:rPr>
                <m:nor/>
                <m:sty m:val="p"/>
              </m:rPr>
              <m:t>hold</m:t>
            </m:r>
          </m:sub>
        </m:sSub>
      </m:oMath>
      <w:r>
        <w:t xml:space="preserve"> </w:t>
      </w:r>
      <w:r>
        <w:t xml:space="preserve">transactions per second (§11.15.3): about 400/s in one datacenter, about 14/s across regions.</w:t>
      </w:r>
    </w:p>
    <w:p>
      <w:pPr>
        <w:pStyle w:val="CalloutExample"/>
      </w:pPr>
      <w:r>
        <w:rPr>
          <w:bCs/>
          <w:b/>
        </w:rPr>
        <w:t xml:space="preserve">Interpretation.</w:t>
      </w:r>
      <w:r>
        <w:t xml:space="preserve"> </w:t>
      </w:r>
      <w:r>
        <w:t xml:space="preserve">Inside a datacenter, 2PC’s latency is tolerable; its lock hold time, not its latency, is what limits contended rows. Across regions both explode.</w:t>
      </w:r>
      <w:r>
        <w:t xml:space="preserve"> </w:t>
      </w:r>
      <w:r>
        <w:rPr>
          <w:bCs/>
          <w:b/>
        </w:rPr>
        <w:t xml:space="preserve">Engineering implication.</w:t>
      </w:r>
      <w:r>
        <w:t xml:space="preserve"> </w:t>
      </w:r>
      <w:r>
        <w:t xml:space="preserve">Keep coordinators near participants, avoid multi-region 2PC on hot rows, and use group commit so that many transactions share each forced write.</w:t>
      </w:r>
    </w:p>
    <w:p>
      <w:pPr>
        <w:pStyle w:val="BodyText"/>
      </w:pPr>
      <w:r>
        <w:t xml:space="preserve">The availability arithmetic is harsher still. A distributed transaction commits only if the coordinator and</w:t>
      </w:r>
      <w:r>
        <w:t xml:space="preserve"> </w:t>
      </w:r>
      <w:r>
        <w:rPr>
          <w:iCs/>
          <w:i/>
        </w:rPr>
        <w:t xml:space="preserve">every</w:t>
      </w:r>
      <w:r>
        <w:t xml:space="preserve"> </w:t>
      </w:r>
      <w:r>
        <w:t xml:space="preserve">participant are reachable for its duration.</w:t>
      </w:r>
    </w:p>
    <w:p>
      <w:pPr>
        <w:pStyle w:val="CalloutFormula"/>
      </w:pPr>
      <w:r>
        <w:rPr>
          <w:bCs/>
          <w:b/>
        </w:rPr>
        <w:t xml:space="preserve">FORMULA</w:t>
      </w:r>
    </w:p>
    <w:p>
      <w:pPr>
        <w:pStyle w:val="CalloutFormula"/>
      </w:pPr>
      <w:r>
        <w:rPr>
          <w:bCs/>
          <w:b/>
        </w:rPr>
        <w:t xml:space="preserve">Availability of a transaction spanning</w:t>
      </w:r>
      <w:r>
        <w:rPr>
          <w:bCs/>
          <w:b/>
        </w:rPr>
        <w:t xml:space="preserve"> </w:t>
      </w:r>
      <m:oMath>
        <m:r>
          <m:t>k</m:t>
        </m:r>
      </m:oMath>
      <w:r>
        <w:rPr>
          <w:bCs/>
          <w:b/>
        </w:rPr>
        <w:t xml:space="preserve"> </w:t>
      </w:r>
      <w:r>
        <w:rPr>
          <w:bCs/>
          <w:b/>
        </w:rPr>
        <w:t xml:space="preserve">partitions</w:t>
      </w:r>
    </w:p>
    <w:p>
      <w:pPr>
        <w:pStyle w:val="CalloutFormula"/>
      </w:pPr>
      <m:oMathPara>
        <m:oMathParaPr>
          <m:jc m:val="center"/>
        </m:oMathParaPr>
        <m:oMath>
          <m:sSub>
            <m:e>
              <m:r>
                <m:t>A</m:t>
              </m:r>
            </m:e>
            <m:sub>
              <m:r>
                <m:rPr>
                  <m:nor/>
                  <m:sty m:val="p"/>
                </m:rPr>
                <m:t>txn</m:t>
              </m:r>
            </m:sub>
          </m:sSub>
          <m:r>
            <m:rPr>
              <m:sty m:val="p"/>
            </m:rPr>
            <m:t>=</m:t>
          </m:r>
          <m:sSub>
            <m:e>
              <m:r>
                <m:t>A</m:t>
              </m:r>
            </m:e>
            <m:sub>
              <m:r>
                <m:t>c</m:t>
              </m:r>
            </m:sub>
          </m:sSub>
          <m:nary>
            <m:naryPr>
              <m:chr m:val="∏"/>
              <m:limLoc m:val="undOvr"/>
              <m:subHide m:val="off"/>
              <m:supHide m:val="off"/>
            </m:naryPr>
            <m:sub>
              <m:r>
                <m:t>i</m:t>
              </m:r>
              <m:r>
                <m:rPr>
                  <m:sty m:val="p"/>
                </m:rPr>
                <m:t>=</m:t>
              </m:r>
              <m:r>
                <m:t>1</m:t>
              </m:r>
            </m:sub>
            <m:sup>
              <m:r>
                <m:t>k</m:t>
              </m:r>
            </m:sup>
            <m:e>
              <m:sSub>
                <m:e>
                  <m:r>
                    <m:t>A</m:t>
                  </m:r>
                </m:e>
                <m:sub>
                  <m:r>
                    <m:t>i</m:t>
                  </m:r>
                </m:sub>
              </m:sSub>
            </m:e>
          </m:nary>
          <m:r>
            <m:t> </m:t>
          </m:r>
          <m:r>
            <m:rPr>
              <m:sty m:val="p"/>
            </m:rPr>
            <m:t>≈</m:t>
          </m:r>
          <m:r>
            <m:t> </m:t>
          </m:r>
          <m:sSup>
            <m:e>
              <m:r>
                <m:t>A</m:t>
              </m:r>
            </m:e>
            <m:sup>
              <m:r>
                <m:t>k</m:t>
              </m:r>
            </m:sup>
          </m:sSup>
          <m:r>
            <m:t> </m:t>
          </m:r>
          <m:r>
            <m:rPr>
              <m:nor/>
              <m:sty m:val="p"/>
            </m:rPr>
            <m:t>(equal partitions, coordinator co-located with one of them)</m:t>
          </m:r>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A</m:t>
                  </m:r>
                </m:e>
                <m:sub>
                  <m:r>
                    <m:rPr>
                      <m:nor/>
                      <m:sty m:val="p"/>
                    </m:rPr>
                    <m:t>txn</m:t>
                  </m:r>
                </m:sub>
              </m:sSub>
            </m:oMath>
          </w:p>
        </w:tc>
        <w:tc>
          <w:tcPr/>
          <w:p>
            <w:pPr>
              <w:pStyle w:val="Compact"/>
              <w:jc w:val="left"/>
            </w:pPr>
            <w:r>
              <w:t xml:space="preserve">Probability that the transaction can commit at a random moment</w:t>
            </w:r>
          </w:p>
        </w:tc>
        <w:tc>
          <w:tcPr/>
          <w:p>
            <w:pPr>
              <w:pStyle w:val="Compact"/>
              <w:jc w:val="left"/>
            </w:pPr>
            <w:r>
              <w:t xml:space="preserve">dimensionless</w:t>
            </w:r>
          </w:p>
        </w:tc>
      </w:tr>
      <w:tr>
        <w:tc>
          <w:tcPr/>
          <w:p>
            <w:pPr>
              <w:pStyle w:val="Compact"/>
              <w:jc w:val="left"/>
            </w:pPr>
            <m:oMath>
              <m:sSub>
                <m:e>
                  <m:r>
                    <m:t>A</m:t>
                  </m:r>
                </m:e>
                <m:sub>
                  <m:r>
                    <m:t>c</m:t>
                  </m:r>
                </m:sub>
              </m:sSub>
            </m:oMath>
          </w:p>
        </w:tc>
        <w:tc>
          <w:tcPr/>
          <w:p>
            <w:pPr>
              <w:pStyle w:val="Compact"/>
              <w:jc w:val="left"/>
            </w:pPr>
            <w:r>
              <w:t xml:space="preserve">Availability of the coordinator and its log</w:t>
            </w:r>
          </w:p>
        </w:tc>
        <w:tc>
          <w:tcPr/>
          <w:p>
            <w:pPr>
              <w:pStyle w:val="Compact"/>
              <w:jc w:val="left"/>
            </w:pPr>
            <w:r>
              <w:t xml:space="preserve">dimensionless</w:t>
            </w:r>
          </w:p>
        </w:tc>
      </w:tr>
      <w:tr>
        <w:tc>
          <w:tcPr/>
          <w:p>
            <w:pPr>
              <w:pStyle w:val="Compact"/>
              <w:jc w:val="left"/>
            </w:pPr>
            <m:oMath>
              <m:sSub>
                <m:e>
                  <m:r>
                    <m:t>A</m:t>
                  </m:r>
                </m:e>
                <m:sub>
                  <m:r>
                    <m:t>i</m:t>
                  </m:r>
                </m:sub>
              </m:sSub>
            </m:oMath>
          </w:p>
        </w:tc>
        <w:tc>
          <w:tcPr/>
          <w:p>
            <w:pPr>
              <w:pStyle w:val="Compact"/>
              <w:jc w:val="left"/>
            </w:pPr>
            <w:r>
              <w:t xml:space="preserve">Availability of partition</w:t>
            </w:r>
            <w:r>
              <w:t xml:space="preserve"> </w:t>
            </w:r>
            <m:oMath>
              <m:r>
                <m:t>i</m:t>
              </m:r>
            </m:oMath>
          </w:p>
        </w:tc>
        <w:tc>
          <w:tcPr/>
          <w:p>
            <w:pPr>
              <w:pStyle w:val="Compact"/>
              <w:jc w:val="left"/>
            </w:pPr>
            <w:r>
              <w:t xml:space="preserve">dimensionless</w:t>
            </w:r>
          </w:p>
        </w:tc>
      </w:tr>
      <w:tr>
        <w:tc>
          <w:tcPr/>
          <w:p>
            <w:pPr>
              <w:pStyle w:val="Compact"/>
              <w:jc w:val="left"/>
            </w:pPr>
            <m:oMath>
              <m:r>
                <m:t>k</m:t>
              </m:r>
            </m:oMath>
          </w:p>
        </w:tc>
        <w:tc>
          <w:tcPr/>
          <w:p>
            <w:pPr>
              <w:pStyle w:val="Compact"/>
              <w:jc w:val="left"/>
            </w:pPr>
            <w:r>
              <w:t xml:space="preserve">Number of partitions the transaction touches</w:t>
            </w:r>
          </w:p>
        </w:tc>
        <w:tc>
          <w:tcPr/>
          <w:p>
            <w:pPr>
              <w:pStyle w:val="Compact"/>
              <w:jc w:val="left"/>
            </w:pPr>
            <w:r>
              <w:t xml:space="preserve">count</w:t>
            </w:r>
          </w:p>
        </w:tc>
      </w:tr>
    </w:tbl>
    <w:p>
      <w:pPr>
        <w:pStyle w:val="CalloutExample"/>
      </w:pPr>
      <w:r>
        <w:rPr>
          <w:bCs/>
          <w:b/>
        </w:rPr>
        <w:t xml:space="preserve">WORKED EXAMPLE</w:t>
      </w:r>
    </w:p>
    <w:p>
      <w:pPr>
        <w:pStyle w:val="CalloutExample"/>
      </w:pPr>
      <w:r>
        <w:rPr>
          <w:bCs/>
          <w:b/>
        </w:rPr>
        <w:t xml:space="preserve">Worked example — Ten shards at three nines versus ten consensus groups at five nines.</w:t>
      </w:r>
      <w:r>
        <w:t xml:space="preserve"> </w:t>
      </w:r>
      <w:r>
        <w:t xml:space="preserve">Assume independent failures and a 30-day month (43,200 minutes).</w:t>
      </w:r>
    </w:p>
    <w:p>
      <w:pPr>
        <w:numPr>
          <w:ilvl w:val="0"/>
          <w:numId w:val="1915"/>
        </w:numPr>
        <w:pStyle w:val="Compact"/>
      </w:pPr>
      <w:r>
        <w:t xml:space="preserve">One unreplicated shard at</w:t>
      </w:r>
      <w:r>
        <w:t xml:space="preserve"> </w:t>
      </w:r>
      <m:oMath>
        <m:r>
          <m:t>A</m:t>
        </m:r>
        <m:r>
          <m:rPr>
            <m:sty m:val="p"/>
          </m:rPr>
          <m:t>=</m:t>
        </m:r>
        <m:r>
          <m:t>0.999</m:t>
        </m:r>
      </m:oMath>
      <w:r>
        <w:t xml:space="preserve">: unavailable</w:t>
      </w:r>
      <w:r>
        <w:t xml:space="preserve"> </w:t>
      </w:r>
      <m:oMath>
        <m:r>
          <m:t>0.001</m:t>
        </m:r>
        <m:r>
          <m:rPr>
            <m:sty m:val="p"/>
          </m:rPr>
          <m:t>×</m:t>
        </m:r>
        <m:r>
          <m:t>43</m:t>
        </m:r>
        <m:r>
          <m:rPr>
            <m:sty m:val="p"/>
          </m:rPr>
          <m:t>,</m:t>
        </m:r>
        <m:r>
          <m:t>200</m:t>
        </m:r>
        <m:r>
          <m:rPr>
            <m:sty m:val="p"/>
          </m:rPr>
          <m:t>=</m:t>
        </m:r>
        <m:r>
          <m:t>43.2</m:t>
        </m:r>
      </m:oMath>
      <w:r>
        <w:t xml:space="preserve"> </w:t>
      </w:r>
      <w:r>
        <w:t xml:space="preserve">min/month.</w:t>
      </w:r>
    </w:p>
    <w:p>
      <w:pPr>
        <w:numPr>
          <w:ilvl w:val="0"/>
          <w:numId w:val="1915"/>
        </w:numPr>
        <w:pStyle w:val="Compact"/>
      </w:pPr>
      <w:r>
        <w:t xml:space="preserve">A transaction over</w:t>
      </w:r>
      <w:r>
        <w:t xml:space="preserve"> </w:t>
      </w:r>
      <m:oMath>
        <m:r>
          <m:t>k</m:t>
        </m:r>
        <m:r>
          <m:rPr>
            <m:sty m:val="p"/>
          </m:rPr>
          <m:t>=</m:t>
        </m:r>
        <m:r>
          <m:t>10</m:t>
        </m:r>
      </m:oMath>
      <w:r>
        <w:t xml:space="preserve"> </w:t>
      </w:r>
      <w:r>
        <w:t xml:space="preserve">such shards:</w:t>
      </w:r>
      <w:r>
        <w:t xml:space="preserve"> </w:t>
      </w:r>
      <m:oMath>
        <m:sSup>
          <m:e>
            <m:r>
              <m:t>0.999</m:t>
            </m:r>
          </m:e>
          <m:sup>
            <m:r>
              <m:t>10</m:t>
            </m:r>
          </m:sup>
        </m:sSup>
        <m:r>
          <m:rPr>
            <m:sty m:val="p"/>
          </m:rPr>
          <m:t>=</m:t>
        </m:r>
        <m:r>
          <m:t>0.990045</m:t>
        </m:r>
      </m:oMath>
      <w:r>
        <w:t xml:space="preserve">, unavailable</w:t>
      </w:r>
      <w:r>
        <w:t xml:space="preserve"> </w:t>
      </w:r>
      <m:oMath>
        <m:r>
          <m:t>0.009955</m:t>
        </m:r>
        <m:r>
          <m:rPr>
            <m:sty m:val="p"/>
          </m:rPr>
          <m:t>×</m:t>
        </m:r>
        <m:r>
          <m:t>43</m:t>
        </m:r>
        <m:r>
          <m:rPr>
            <m:sty m:val="p"/>
          </m:rPr>
          <m:t>,</m:t>
        </m:r>
        <m:r>
          <m:t>200</m:t>
        </m:r>
        <m:r>
          <m:rPr>
            <m:sty m:val="p"/>
          </m:rPr>
          <m:t>≈</m:t>
        </m:r>
        <m:r>
          <m:t>430</m:t>
        </m:r>
      </m:oMath>
      <w:r>
        <w:t xml:space="preserve"> </w:t>
      </w:r>
      <w:r>
        <w:t xml:space="preserve">min, more than 7 hours a month.</w:t>
      </w:r>
    </w:p>
    <w:p>
      <w:pPr>
        <w:numPr>
          <w:ilvl w:val="0"/>
          <w:numId w:val="1915"/>
        </w:numPr>
        <w:pStyle w:val="Compact"/>
      </w:pPr>
      <w:r>
        <w:t xml:space="preserve">If each partition is a consensus group (§26.7) with</w:t>
      </w:r>
      <w:r>
        <w:t xml:space="preserve"> </w:t>
      </w:r>
      <m:oMath>
        <m:r>
          <m:t>A</m:t>
        </m:r>
        <m:r>
          <m:rPr>
            <m:sty m:val="p"/>
          </m:rPr>
          <m:t>=</m:t>
        </m:r>
        <m:r>
          <m:t>0.99999</m:t>
        </m:r>
      </m:oMath>
      <w:r>
        <w:t xml:space="preserve">:</w:t>
      </w:r>
      <w:r>
        <w:t xml:space="preserve"> </w:t>
      </w:r>
      <m:oMath>
        <m:sSup>
          <m:e>
            <m:r>
              <m:t>0.99999</m:t>
            </m:r>
          </m:e>
          <m:sup>
            <m:r>
              <m:t>10</m:t>
            </m:r>
          </m:sup>
        </m:sSup>
        <m:r>
          <m:rPr>
            <m:sty m:val="p"/>
          </m:rPr>
          <m:t>=</m:t>
        </m:r>
        <m:r>
          <m:t>0.99990</m:t>
        </m:r>
      </m:oMath>
      <w:r>
        <w:t xml:space="preserve">, unavailable about 4.3 min/month.</w:t>
      </w:r>
    </w:p>
    <w:p>
      <w:pPr>
        <w:pStyle w:val="CalloutExample"/>
      </w:pPr>
      <w:r>
        <w:rPr>
          <w:bCs/>
          <w:b/>
        </w:rPr>
        <w:t xml:space="preserve">Interpretation.</w:t>
      </w:r>
      <w:r>
        <w:t xml:space="preserve"> </w:t>
      </w:r>
      <w:r>
        <w:t xml:space="preserve">Fan-out multiplies unavailability almost linearly (</w:t>
      </w:r>
      <m:oMath>
        <m:r>
          <m:t>1</m:t>
        </m:r>
        <m:r>
          <m:rPr>
            <m:sty m:val="p"/>
          </m:rPr>
          <m:t>−</m:t>
        </m:r>
        <m:sSup>
          <m:e>
            <m:r>
              <m:t>A</m:t>
            </m:r>
          </m:e>
          <m:sup>
            <m:r>
              <m:t>k</m:t>
            </m:r>
          </m:sup>
        </m:sSup>
        <m:r>
          <m:rPr>
            <m:sty m:val="p"/>
          </m:rPr>
          <m:t>≈</m:t>
        </m:r>
        <m:r>
          <m:t>k</m:t>
        </m:r>
        <m:d>
          <m:dPr>
            <m:begChr m:val="("/>
            <m:endChr m:val=")"/>
            <m:sepChr m:val=""/>
            <m:grow/>
          </m:dPr>
          <m:e>
            <m:r>
              <m:t>1</m:t>
            </m:r>
            <m:r>
              <m:rPr>
                <m:sty m:val="p"/>
              </m:rPr>
              <m:t>−</m:t>
            </m:r>
            <m:r>
              <m:t>A</m:t>
            </m:r>
          </m:e>
        </m:d>
      </m:oMath>
      <w:r>
        <w:t xml:space="preserve"> </w:t>
      </w:r>
      <w:r>
        <w:t xml:space="preserve">for small</w:t>
      </w:r>
      <w:r>
        <w:t xml:space="preserve"> </w:t>
      </w:r>
      <m:oMath>
        <m:r>
          <m:t>1</m:t>
        </m:r>
        <m:r>
          <m:rPr>
            <m:sty m:val="p"/>
          </m:rPr>
          <m:t>−</m:t>
        </m:r>
        <m:r>
          <m:t>A</m:t>
        </m:r>
      </m:oMath>
      <w:r>
        <w:t xml:space="preserve">).</w:t>
      </w:r>
      <w:r>
        <w:t xml:space="preserve"> </w:t>
      </w:r>
      <w:r>
        <w:rPr>
          <w:bCs/>
          <w:b/>
        </w:rPr>
        <w:t xml:space="preserve">Engineering implication.</w:t>
      </w:r>
      <w:r>
        <w:t xml:space="preserve"> </w:t>
      </w:r>
      <w:r>
        <w:t xml:space="preserve">Never run 2PC over unreplicated nodes for anything that must stay up; make each participant a replicated group, and keep</w:t>
      </w:r>
      <w:r>
        <w:t xml:space="preserve"> </w:t>
      </w:r>
      <m:oMath>
        <m:r>
          <m:t>k</m:t>
        </m:r>
      </m:oMath>
      <w:r>
        <w:t xml:space="preserve"> </w:t>
      </w:r>
      <w:r>
        <w:t xml:space="preserve">small by co-locating data that is written together (§14.7).</w:t>
      </w:r>
    </w:p>
    <w:bookmarkEnd w:id="3144"/>
    <w:bookmarkStart w:id="3145" w:name="presumed-abort-and-other-optimizations"/>
    <w:p>
      <w:pPr>
        <w:pStyle w:val="Heading3"/>
      </w:pPr>
      <w:r>
        <w:t xml:space="preserve">28.4.5 Presumed abort and other optimizations</w:t>
      </w:r>
    </w:p>
    <w:p>
      <w:pPr>
        <w:pStyle w:val="FirstParagraph"/>
      </w:pPr>
      <w:r>
        <w:t xml:space="preserve">Basic 2PC forces records and collects acknowledgments for aborts as well as commits. Mohan, Lindsay and Obermarck, building IBM’s R* distributed database, observed that the coordinator can make one outcome the</w:t>
      </w:r>
      <w:r>
        <w:t xml:space="preserve"> </w:t>
      </w:r>
      <w:r>
        <w:rPr>
          <w:iCs/>
          <w:i/>
        </w:rPr>
        <w:t xml:space="preserve">default</w:t>
      </w:r>
      <w:r>
        <w:t xml:space="preserve"> </w:t>
      </w:r>
      <w:r>
        <w:t xml:space="preserve">for transactions it has no record of, and then skip logging for that outcome [Mohan et al. 1986].</w:t>
      </w:r>
    </w:p>
    <w:p>
      <w:pPr>
        <w:pStyle w:val="CalloutDefinition"/>
      </w:pPr>
      <w:r>
        <w:rPr>
          <w:bCs/>
          <w:b/>
        </w:rPr>
        <w:t xml:space="preserve">DEFINITION</w:t>
      </w:r>
    </w:p>
    <w:p>
      <w:pPr>
        <w:pStyle w:val="CalloutDefinition"/>
      </w:pPr>
      <w:r>
        <w:rPr>
          <w:bCs/>
          <w:b/>
        </w:rPr>
        <w:t xml:space="preserve">Definition — Presumed abort (PA).</w:t>
      </w:r>
      <w:r>
        <w:t xml:space="preserve"> </w:t>
      </w:r>
      <w:r>
        <w:t xml:space="preserve">A 2PC variant in which a coordinator that has no information about a transaction answers inquiries with</w:t>
      </w:r>
      <w:r>
        <w:t xml:space="preserve"> </w:t>
      </w:r>
      <w:r>
        <w:t xml:space="preserve">“</w:t>
      </w:r>
      <w:r>
        <w:t xml:space="preserve">abort</w:t>
      </w:r>
      <w:r>
        <w:t xml:space="preserve">”</w:t>
      </w:r>
      <w:r>
        <w:t xml:space="preserve">. Aborts therefore need no forced coordinator record, no forced participant record and no acknowledgments.</w:t>
      </w:r>
    </w:p>
    <w:p>
      <w:pPr>
        <w:pStyle w:val="BodyText"/>
      </w:pPr>
      <w:r>
        <w:t xml:space="preserve">The argument is short. Under PA the coordinator forgets an aborted transaction immediately. If a participant later asks, the coordinator finds nothing and says</w:t>
      </w:r>
      <w:r>
        <w:t xml:space="preserve"> </w:t>
      </w:r>
      <w:r>
        <w:t xml:space="preserve">“</w:t>
      </w:r>
      <w:r>
        <w:t xml:space="preserve">abort</w:t>
      </w:r>
      <w:r>
        <w:t xml:space="preserve">”</w:t>
      </w:r>
      <w:r>
        <w:t xml:space="preserve">, which is correct. Commits are unchanged: the coordinator must force its commit record, and keep it until every participant has acknowledged, because forgetting a committed transaction would turn it into a presumed abort.</w:t>
      </w:r>
    </w:p>
    <w:p>
      <w:pPr>
        <w:pStyle w:val="BodyText"/>
      </w:pPr>
      <w:r>
        <w:rPr>
          <w:bCs/>
          <w:b/>
        </w:rPr>
        <w:t xml:space="preserve">Table 28.2 — Cost of commit protocol variants for one coordinator and</w:t>
      </w:r>
      <w:r>
        <w:rPr>
          <w:bCs/>
          <w:b/>
        </w:rPr>
        <w:t xml:space="preserve"> </w:t>
      </w:r>
      <m:oMath>
        <m:r>
          <m:t>n</m:t>
        </m:r>
      </m:oMath>
      <w:r>
        <w:rPr>
          <w:bCs/>
          <w:b/>
        </w:rPr>
        <w:t xml:space="preserve"> </w:t>
      </w:r>
      <w:r>
        <w:rPr>
          <w:bCs/>
          <w:b/>
        </w:rPr>
        <w:t xml:space="preserve">participants.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Variant</w:t>
            </w:r>
          </w:p>
        </w:tc>
        <w:tc>
          <w:tcPr/>
          <w:p>
            <w:pPr>
              <w:pStyle w:val="Compact"/>
              <w:jc w:val="left"/>
            </w:pPr>
            <w:r>
              <w:t xml:space="preserve">Commit: forced writes</w:t>
            </w:r>
          </w:p>
        </w:tc>
        <w:tc>
          <w:tcPr/>
          <w:p>
            <w:pPr>
              <w:pStyle w:val="Compact"/>
              <w:jc w:val="left"/>
            </w:pPr>
            <w:r>
              <w:t xml:space="preserve">Commit: messages</w:t>
            </w:r>
          </w:p>
        </w:tc>
        <w:tc>
          <w:tcPr/>
          <w:p>
            <w:pPr>
              <w:pStyle w:val="Compact"/>
              <w:jc w:val="left"/>
            </w:pPr>
            <w:r>
              <w:t xml:space="preserve">Abort: forced writes</w:t>
            </w:r>
          </w:p>
        </w:tc>
        <w:tc>
          <w:tcPr/>
          <w:p>
            <w:pPr>
              <w:pStyle w:val="Compact"/>
              <w:jc w:val="left"/>
            </w:pPr>
            <w:r>
              <w:t xml:space="preserve">Abort: messages</w:t>
            </w:r>
          </w:p>
        </w:tc>
        <w:tc>
          <w:tcPr/>
          <w:p>
            <w:pPr>
              <w:pStyle w:val="Compact"/>
              <w:jc w:val="left"/>
            </w:pPr>
            <w:r>
              <w:t xml:space="preserve">Notes</w:t>
            </w:r>
          </w:p>
        </w:tc>
      </w:tr>
      <w:tr>
        <w:tc>
          <w:tcPr/>
          <w:p>
            <w:pPr>
              <w:pStyle w:val="Compact"/>
              <w:jc w:val="left"/>
            </w:pPr>
            <w:r>
              <w:t xml:space="preserve">Basic 2PC</w:t>
            </w:r>
          </w:p>
        </w:tc>
        <w:tc>
          <w:tcPr/>
          <w:p>
            <w:pPr>
              <w:pStyle w:val="Compact"/>
              <w:jc w:val="left"/>
            </w:pPr>
            <m:oMath>
              <m:r>
                <m:t>1</m:t>
              </m:r>
              <m:r>
                <m:rPr>
                  <m:sty m:val="p"/>
                </m:rPr>
                <m:t>+</m:t>
              </m:r>
              <m:r>
                <m:t>2</m:t>
              </m:r>
              <m:r>
                <m:t>n</m:t>
              </m:r>
            </m:oMath>
          </w:p>
        </w:tc>
        <w:tc>
          <w:tcPr/>
          <w:p>
            <w:pPr>
              <w:pStyle w:val="Compact"/>
              <w:jc w:val="left"/>
            </w:pPr>
            <m:oMath>
              <m:r>
                <m:t>4</m:t>
              </m:r>
              <m:r>
                <m:t>n</m:t>
              </m:r>
            </m:oMath>
          </w:p>
        </w:tc>
        <w:tc>
          <w:tcPr/>
          <w:p>
            <w:pPr>
              <w:pStyle w:val="Compact"/>
              <w:jc w:val="left"/>
            </w:pPr>
            <m:oMath>
              <m:r>
                <m:t>1</m:t>
              </m:r>
              <m:r>
                <m:rPr>
                  <m:sty m:val="p"/>
                </m:rPr>
                <m:t>+</m:t>
              </m:r>
              <m:r>
                <m:t>2</m:t>
              </m:r>
              <m:r>
                <m:t>n</m:t>
              </m:r>
            </m:oMath>
          </w:p>
        </w:tc>
        <w:tc>
          <w:tcPr/>
          <w:p>
            <w:pPr>
              <w:pStyle w:val="Compact"/>
              <w:jc w:val="left"/>
            </w:pPr>
            <m:oMath>
              <m:r>
                <m:t>4</m:t>
              </m:r>
              <m:r>
                <m:t>n</m:t>
              </m:r>
            </m:oMath>
          </w:p>
        </w:tc>
        <w:tc>
          <w:tcPr/>
          <w:p>
            <w:pPr>
              <w:pStyle w:val="Compact"/>
              <w:jc w:val="left"/>
            </w:pPr>
            <w:r>
              <w:t xml:space="preserve">Every outcome logged and acknowledged</w:t>
            </w:r>
          </w:p>
        </w:tc>
      </w:tr>
      <w:tr>
        <w:tc>
          <w:tcPr/>
          <w:p>
            <w:pPr>
              <w:pStyle w:val="Compact"/>
              <w:jc w:val="left"/>
            </w:pPr>
            <w:r>
              <w:t xml:space="preserve">Presumed abort</w:t>
            </w:r>
          </w:p>
        </w:tc>
        <w:tc>
          <w:tcPr/>
          <w:p>
            <w:pPr>
              <w:pStyle w:val="Compact"/>
              <w:jc w:val="left"/>
            </w:pPr>
            <m:oMath>
              <m:r>
                <m:t>1</m:t>
              </m:r>
              <m:r>
                <m:rPr>
                  <m:sty m:val="p"/>
                </m:rPr>
                <m:t>+</m:t>
              </m:r>
              <m:r>
                <m:t>2</m:t>
              </m:r>
              <m:r>
                <m:t>n</m:t>
              </m:r>
            </m:oMath>
          </w:p>
        </w:tc>
        <w:tc>
          <w:tcPr/>
          <w:p>
            <w:pPr>
              <w:pStyle w:val="Compact"/>
              <w:jc w:val="left"/>
            </w:pPr>
            <m:oMath>
              <m:r>
                <m:t>4</m:t>
              </m:r>
              <m:r>
                <m:t>n</m:t>
              </m:r>
            </m:oMath>
          </w:p>
        </w:tc>
        <w:tc>
          <w:tcPr/>
          <w:p>
            <w:pPr>
              <w:pStyle w:val="Compact"/>
              <w:jc w:val="left"/>
            </w:pPr>
            <m:oMath>
              <m:r>
                <m:t>n</m:t>
              </m:r>
            </m:oMath>
            <w:r>
              <w:t xml:space="preserve"> </w:t>
            </w:r>
            <w:r>
              <w:t xml:space="preserve">prepares only, nothing for the outcome</w:t>
            </w:r>
          </w:p>
        </w:tc>
        <w:tc>
          <w:tcPr/>
          <w:p>
            <w:pPr>
              <w:pStyle w:val="Compact"/>
              <w:jc w:val="left"/>
            </w:pPr>
            <m:oMath>
              <m:r>
                <m:t>3</m:t>
              </m:r>
              <m:r>
                <m:t>n</m:t>
              </m:r>
            </m:oMath>
            <w:r>
              <w:t xml:space="preserve"> </w:t>
            </w:r>
            <w:r>
              <w:t xml:space="preserve">(no ACK)</w:t>
            </w:r>
          </w:p>
        </w:tc>
        <w:tc>
          <w:tcPr/>
          <w:p>
            <w:pPr>
              <w:pStyle w:val="Compact"/>
              <w:jc w:val="left"/>
            </w:pPr>
            <w:r>
              <w:t xml:space="preserve">No information means abort; the usual choice in commercial systems</w:t>
            </w:r>
          </w:p>
        </w:tc>
      </w:tr>
      <w:tr>
        <w:tc>
          <w:tcPr/>
          <w:p>
            <w:pPr>
              <w:pStyle w:val="Compact"/>
              <w:jc w:val="left"/>
            </w:pPr>
            <w:r>
              <w:t xml:space="preserve">Presumed commit</w:t>
            </w:r>
          </w:p>
        </w:tc>
        <w:tc>
          <w:tcPr/>
          <w:p>
            <w:pPr>
              <w:pStyle w:val="Compact"/>
              <w:jc w:val="left"/>
            </w:pPr>
            <m:oMath>
              <m:r>
                <m:t>2</m:t>
              </m:r>
              <m:r>
                <m:rPr>
                  <m:sty m:val="p"/>
                </m:rPr>
                <m:t>+</m:t>
              </m:r>
              <m:r>
                <m:t>n</m:t>
              </m:r>
            </m:oMath>
          </w:p>
        </w:tc>
        <w:tc>
          <w:tcPr/>
          <w:p>
            <w:pPr>
              <w:pStyle w:val="Compact"/>
              <w:jc w:val="left"/>
            </w:pPr>
            <m:oMath>
              <m:r>
                <m:t>3</m:t>
              </m:r>
              <m:r>
                <m:t>n</m:t>
              </m:r>
            </m:oMath>
            <w:r>
              <w:t xml:space="preserve"> </w:t>
            </w:r>
            <w:r>
              <w:t xml:space="preserve">(no ACK)</w:t>
            </w:r>
          </w:p>
        </w:tc>
        <w:tc>
          <w:tcPr/>
          <w:p>
            <w:pPr>
              <w:pStyle w:val="Compact"/>
              <w:jc w:val="left"/>
            </w:pPr>
            <m:oMath>
              <m:r>
                <m:t>2</m:t>
              </m:r>
              <m:r>
                <m:rPr>
                  <m:sty m:val="p"/>
                </m:rPr>
                <m:t>+</m:t>
              </m:r>
              <m:r>
                <m:t>2</m:t>
              </m:r>
              <m:r>
                <m:t>n</m:t>
              </m:r>
            </m:oMath>
          </w:p>
        </w:tc>
        <w:tc>
          <w:tcPr/>
          <w:p>
            <w:pPr>
              <w:pStyle w:val="Compact"/>
              <w:jc w:val="left"/>
            </w:pPr>
            <m:oMath>
              <m:r>
                <m:t>4</m:t>
              </m:r>
              <m:r>
                <m:t>n</m:t>
              </m:r>
            </m:oMath>
          </w:p>
        </w:tc>
        <w:tc>
          <w:tcPr/>
          <w:p>
            <w:pPr>
              <w:pStyle w:val="Compact"/>
              <w:jc w:val="left"/>
            </w:pPr>
            <w:r>
              <w:t xml:space="preserve">Coordinator forces a</w:t>
            </w:r>
            <w:r>
              <w:t xml:space="preserve"> </w:t>
            </w:r>
            <w:r>
              <w:t xml:space="preserve">“</w:t>
            </w:r>
            <w:r>
              <w:t xml:space="preserve">collecting</w:t>
            </w:r>
            <w:r>
              <w:t xml:space="preserve">”</w:t>
            </w:r>
            <w:r>
              <w:t xml:space="preserve"> </w:t>
            </w:r>
            <w:r>
              <w:t xml:space="preserve">record listing participants before prepare</w:t>
            </w:r>
          </w:p>
        </w:tc>
      </w:tr>
      <w:tr>
        <w:tc>
          <w:tcPr/>
          <w:p>
            <w:pPr>
              <w:pStyle w:val="Compact"/>
              <w:jc w:val="left"/>
            </w:pPr>
            <w:r>
              <w:t xml:space="preserve">Read-only participant</w:t>
            </w:r>
          </w:p>
        </w:tc>
        <w:tc>
          <w:tcPr/>
          <w:p>
            <w:pPr>
              <w:pStyle w:val="Compact"/>
              <w:jc w:val="left"/>
            </w:pPr>
            <w:r>
              <w:t xml:space="preserve">0 for that participant</w:t>
            </w:r>
          </w:p>
        </w:tc>
        <w:tc>
          <w:tcPr/>
          <w:p>
            <w:pPr>
              <w:pStyle w:val="Compact"/>
              <w:jc w:val="left"/>
            </w:pPr>
            <w:r>
              <w:t xml:space="preserve">2 for that participant</w:t>
            </w:r>
          </w:p>
        </w:tc>
        <w:tc>
          <w:tcPr/>
          <w:p>
            <w:pPr>
              <w:pStyle w:val="Compact"/>
              <w:jc w:val="left"/>
            </w:pPr>
            <w:r>
              <w:t xml:space="preserve">—</w:t>
            </w:r>
          </w:p>
        </w:tc>
        <w:tc>
          <w:tcPr/>
          <w:p>
            <w:pPr>
              <w:pStyle w:val="Compact"/>
              <w:jc w:val="left"/>
            </w:pPr>
            <w:r>
              <w:t xml:space="preserve">—</w:t>
            </w:r>
          </w:p>
        </w:tc>
        <w:tc>
          <w:tcPr/>
          <w:p>
            <w:pPr>
              <w:pStyle w:val="Compact"/>
              <w:jc w:val="left"/>
            </w:pPr>
            <w:r>
              <w:t xml:space="preserve">Votes READ in phase 1 and drops out of phase 2</w:t>
            </w:r>
          </w:p>
        </w:tc>
      </w:tr>
      <w:tr>
        <w:tc>
          <w:tcPr/>
          <w:p>
            <w:pPr>
              <w:pStyle w:val="Compact"/>
              <w:jc w:val="left"/>
            </w:pPr>
            <w:r>
              <w:t xml:space="preserve">One participant</w:t>
            </w:r>
          </w:p>
        </w:tc>
        <w:tc>
          <w:tcPr/>
          <w:p>
            <w:pPr>
              <w:pStyle w:val="Compact"/>
              <w:jc w:val="left"/>
            </w:pPr>
            <w:r>
              <w:t xml:space="preserve">1 local commit</w:t>
            </w:r>
          </w:p>
        </w:tc>
        <w:tc>
          <w:tcPr/>
          <w:p>
            <w:pPr>
              <w:pStyle w:val="Compact"/>
              <w:jc w:val="left"/>
            </w:pPr>
            <w:r>
              <w:t xml:space="preserve">2</w:t>
            </w:r>
          </w:p>
        </w:tc>
        <w:tc>
          <w:tcPr/>
          <w:p>
            <w:pPr>
              <w:pStyle w:val="Compact"/>
              <w:jc w:val="left"/>
            </w:pPr>
            <w:r>
              <w:t xml:space="preserve">—</w:t>
            </w:r>
          </w:p>
        </w:tc>
        <w:tc>
          <w:tcPr/>
          <w:p>
            <w:pPr>
              <w:pStyle w:val="Compact"/>
              <w:jc w:val="left"/>
            </w:pPr>
            <w:r>
              <w:t xml:space="preserve">—</w:t>
            </w:r>
          </w:p>
        </w:tc>
        <w:tc>
          <w:tcPr/>
          <w:p>
            <w:pPr>
              <w:pStyle w:val="Compact"/>
              <w:jc w:val="left"/>
            </w:pPr>
            <w:r>
              <w:t xml:space="preserve">Skip 2PC entirely (</w:t>
            </w:r>
            <w:r>
              <w:t xml:space="preserve">“</w:t>
            </w:r>
            <w:r>
              <w:t xml:space="preserve">one-phase commit</w:t>
            </w:r>
            <w:r>
              <w:t xml:space="preserve">”</w:t>
            </w:r>
            <w:r>
              <w:t xml:space="preserve">)</w:t>
            </w:r>
          </w:p>
        </w:tc>
      </w:tr>
    </w:tbl>
    <w:p>
      <w:pPr>
        <w:pStyle w:val="BodyText"/>
      </w:pPr>
      <w:r>
        <w:t xml:space="preserve">Three other optimizations matter in practice:</w:t>
      </w:r>
    </w:p>
    <w:p>
      <w:pPr>
        <w:numPr>
          <w:ilvl w:val="0"/>
          <w:numId w:val="1916"/>
        </w:numPr>
        <w:pStyle w:val="Compact"/>
      </w:pPr>
      <w:r>
        <w:rPr>
          <w:bCs/>
          <w:b/>
        </w:rPr>
        <w:t xml:space="preserve">Read-only participants.</w:t>
      </w:r>
      <w:r>
        <w:t xml:space="preserve"> </w:t>
      </w:r>
      <w:r>
        <w:t xml:space="preserve">A participant that only read data has nothing to commit; it releases its read locks and votes READ, and the coordinator omits it from phase 2. If every participant is read-only, nothing is logged at all.</w:t>
      </w:r>
    </w:p>
    <w:p>
      <w:pPr>
        <w:numPr>
          <w:ilvl w:val="0"/>
          <w:numId w:val="1916"/>
        </w:numPr>
        <w:pStyle w:val="Compact"/>
      </w:pPr>
      <w:r>
        <w:rPr>
          <w:bCs/>
          <w:b/>
        </w:rPr>
        <w:t xml:space="preserve">One-phase commit.</w:t>
      </w:r>
      <w:r>
        <w:t xml:space="preserve"> </w:t>
      </w:r>
      <w:r>
        <w:t xml:space="preserve">A transaction that touched one participant needs no vote: the coordinator just commits it locally. Transaction managers do this automatically, which is why designing for single-partition transactions (§28.11) eliminates 2PC rather than merely shortening it.</w:t>
      </w:r>
    </w:p>
    <w:p>
      <w:pPr>
        <w:numPr>
          <w:ilvl w:val="0"/>
          <w:numId w:val="1916"/>
        </w:numPr>
        <w:pStyle w:val="Compact"/>
      </w:pPr>
      <w:r>
        <w:rPr>
          <w:bCs/>
          <w:b/>
        </w:rPr>
        <w:t xml:space="preserve">Coordinator co-located with a participant</w:t>
      </w:r>
      <w:r>
        <w:t xml:space="preserve"> </w:t>
      </w:r>
      <w:r>
        <w:t xml:space="preserve">(sometimes called the last-agent optimization). The coordinator’s log is the same as one participant’s, saving one round trip and one forced write; Spanner, CockroachDB and TiDB all place the coordinator’s state in one of the participating partitions.</w:t>
      </w:r>
    </w:p>
    <w:bookmarkEnd w:id="3145"/>
    <w:bookmarkStart w:id="3149" w:name="xa-and-prepared-transactions-in-practice"/>
    <w:p>
      <w:pPr>
        <w:pStyle w:val="Heading3"/>
      </w:pPr>
      <w:r>
        <w:t xml:space="preserve">28.4.6 XA and prepared transactions in practice</w:t>
      </w:r>
    </w:p>
    <w:p>
      <w:pPr>
        <w:pStyle w:val="CalloutDefinition"/>
      </w:pPr>
      <w:r>
        <w:rPr>
          <w:bCs/>
          <w:b/>
        </w:rPr>
        <w:t xml:space="preserve">DEFINITION</w:t>
      </w:r>
    </w:p>
    <w:p>
      <w:pPr>
        <w:pStyle w:val="CalloutDefinition"/>
      </w:pPr>
      <w:r>
        <w:rPr>
          <w:bCs/>
          <w:b/>
        </w:rPr>
        <w:t xml:space="preserve">Definition — XA.</w:t>
      </w:r>
      <w:r>
        <w:t xml:space="preserve"> </w:t>
      </w:r>
      <w:r>
        <w:t xml:space="preserve">The X/Open Distributed Transaction Processing standard interface between a</w:t>
      </w:r>
      <w:r>
        <w:t xml:space="preserve"> </w:t>
      </w:r>
      <w:r>
        <w:rPr>
          <w:bCs/>
          <w:b/>
        </w:rPr>
        <w:t xml:space="preserve">transaction manager</w:t>
      </w:r>
      <w:r>
        <w:t xml:space="preserve"> </w:t>
      </w:r>
      <w:r>
        <w:t xml:space="preserve">(TM, the coordinator) and</w:t>
      </w:r>
      <w:r>
        <w:t xml:space="preserve"> </w:t>
      </w:r>
      <w:r>
        <w:rPr>
          <w:bCs/>
          <w:b/>
        </w:rPr>
        <w:t xml:space="preserve">resource managers</w:t>
      </w:r>
      <w:r>
        <w:t xml:space="preserve"> </w:t>
      </w:r>
      <w:r>
        <w:t xml:space="preserve">(RMs: databases, message brokers), with an</w:t>
      </w:r>
      <w:r>
        <w:t xml:space="preserve"> </w:t>
      </w:r>
      <w:r>
        <w:rPr>
          <w:bCs/>
          <w:b/>
        </w:rPr>
        <w:t xml:space="preserve">application program</w:t>
      </w:r>
      <w:r>
        <w:t xml:space="preserve"> </w:t>
      </w:r>
      <w:r>
        <w:t xml:space="preserve">(AP) demarcating transactions. Its main calls are</w:t>
      </w:r>
      <w:r>
        <w:t xml:space="preserve"> </w:t>
      </w:r>
      <w:r>
        <w:rPr>
          <w:rStyle w:val="VerbatimChar"/>
        </w:rPr>
        <w:t xml:space="preserve">xa_start</w:t>
      </w:r>
      <w:r>
        <w:t xml:space="preserve"> </w:t>
      </w:r>
      <w:r>
        <w:t xml:space="preserve">and</w:t>
      </w:r>
      <w:r>
        <w:t xml:space="preserve"> </w:t>
      </w:r>
      <w:r>
        <w:rPr>
          <w:rStyle w:val="VerbatimChar"/>
        </w:rPr>
        <w:t xml:space="preserve">xa_end</w:t>
      </w:r>
      <w:r>
        <w:t xml:space="preserve"> </w:t>
      </w:r>
      <w:r>
        <w:t xml:space="preserve">(associate work with a global transaction ID, the XID),</w:t>
      </w:r>
      <w:r>
        <w:t xml:space="preserve"> </w:t>
      </w:r>
      <w:r>
        <w:rPr>
          <w:rStyle w:val="VerbatimChar"/>
        </w:rPr>
        <w:t xml:space="preserve">xa_prepare</w:t>
      </w:r>
      <w:r>
        <w:t xml:space="preserve">,</w:t>
      </w:r>
      <w:r>
        <w:t xml:space="preserve"> </w:t>
      </w:r>
      <w:r>
        <w:rPr>
          <w:rStyle w:val="VerbatimChar"/>
        </w:rPr>
        <w:t xml:space="preserve">xa_commit</w:t>
      </w:r>
      <w:r>
        <w:t xml:space="preserve">,</w:t>
      </w:r>
      <w:r>
        <w:t xml:space="preserve"> </w:t>
      </w:r>
      <w:r>
        <w:rPr>
          <w:rStyle w:val="VerbatimChar"/>
        </w:rPr>
        <w:t xml:space="preserve">xa_rollback</w:t>
      </w:r>
      <w:r>
        <w:t xml:space="preserve"> </w:t>
      </w:r>
      <w:r>
        <w:t xml:space="preserve">and</w:t>
      </w:r>
      <w:r>
        <w:t xml:space="preserve"> </w:t>
      </w:r>
      <w:r>
        <w:rPr>
          <w:rStyle w:val="VerbatimChar"/>
        </w:rPr>
        <w:t xml:space="preserve">xa_recover</w:t>
      </w:r>
      <w:r>
        <w:t xml:space="preserve"> </w:t>
      </w:r>
      <w:r>
        <w:t xml:space="preserve">(list in-doubt XIDs after a crash) [X/Open 1991].</w:t>
      </w:r>
    </w:p>
    <w:p>
      <w:pPr>
        <w:pStyle w:val="BodyText"/>
      </w:pPr>
      <w:r>
        <w:rPr>
          <w:bCs/>
          <w:b/>
        </w:rPr>
        <w:t xml:space="preserve">Figure 28.5 — The X/Open DTP model.</w:t>
      </w:r>
    </w:p>
    <w:p>
      <w:pPr>
        <w:pStyle w:val="BodyText"/>
      </w:pPr>
      <w:r>
        <w:drawing>
          <wp:inline>
            <wp:extent cx="5334000" cy="1563505"/>
            <wp:effectExtent b="0" l="0" r="0" t="0"/>
            <wp:docPr descr="" title="" id="3147" name="Picture"/>
            <a:graphic>
              <a:graphicData uri="http://schemas.openxmlformats.org/drawingml/2006/picture">
                <pic:pic>
                  <pic:nvPicPr>
                    <pic:cNvPr descr="/home/user/System-Design/build/.cache/diagrams/071883f58a72.png" id="3148" name="Picture"/>
                    <pic:cNvPicPr>
                      <a:picLocks noChangeArrowheads="1" noChangeAspect="1"/>
                    </pic:cNvPicPr>
                  </pic:nvPicPr>
                  <pic:blipFill>
                    <a:blip r:embed="rId3146"/>
                    <a:stretch>
                      <a:fillRect/>
                    </a:stretch>
                  </pic:blipFill>
                  <pic:spPr bwMode="auto">
                    <a:xfrm>
                      <a:off x="0" y="0"/>
                      <a:ext cx="5334000" cy="1563505"/>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application sends ordinary work directly to each resource manager, tagged with a global transaction ID; the transaction manager never sees the data. At commit, the TM runs 2PC over the XA interface and keeps its decisions in its own durable log, a separate storage boundary from every RM. All arrows are synchronous calls. Failure points: the TM log (lose it and in-doubt XIDs must be resolved by hand) and any RM that cannot answer</w:t>
      </w:r>
      <w:r>
        <w:t xml:space="preserve"> </w:t>
      </w:r>
      <w:r>
        <w:rPr>
          <w:rStyle w:val="VerbatimChar"/>
        </w:rPr>
        <w:t xml:space="preserve">xa_recover</w:t>
      </w:r>
      <w:r>
        <w:t xml:space="preserve">. Java’s JTA is the best-known binding of this model.</w:t>
      </w:r>
    </w:p>
    <w:p>
      <w:pPr>
        <w:pStyle w:val="BodyText"/>
      </w:pPr>
      <w:r>
        <w:t xml:space="preserve">PostgreSQL exposes the participant side directly.</w:t>
      </w:r>
      <w:r>
        <w:t xml:space="preserve"> </w:t>
      </w:r>
      <w:r>
        <w:rPr>
          <w:rStyle w:val="VerbatimChar"/>
        </w:rPr>
        <w:t xml:space="preserve">PREPARE TRANSACTION 'gid'</w:t>
      </w:r>
      <w:r>
        <w:t xml:space="preserve"> </w:t>
      </w:r>
      <w:r>
        <w:t xml:space="preserve">performs phase 1, writing the transaction’s state durably and dissociating it from the session;</w:t>
      </w:r>
      <w:r>
        <w:t xml:space="preserve"> </w:t>
      </w:r>
      <w:r>
        <w:rPr>
          <w:rStyle w:val="VerbatimChar"/>
        </w:rPr>
        <w:t xml:space="preserve">COMMIT PREPARED</w:t>
      </w:r>
      <w:r>
        <w:t xml:space="preserve"> </w:t>
      </w:r>
      <w:r>
        <w:t xml:space="preserve">or</w:t>
      </w:r>
      <w:r>
        <w:t xml:space="preserve"> </w:t>
      </w:r>
      <w:r>
        <w:rPr>
          <w:rStyle w:val="VerbatimChar"/>
        </w:rPr>
        <w:t xml:space="preserve">ROLLBACK PREPARED</w:t>
      </w:r>
      <w:r>
        <w:t xml:space="preserve"> </w:t>
      </w:r>
      <w:r>
        <w:t xml:space="preserve">performs phase 2, from any session; the view</w:t>
      </w:r>
      <w:r>
        <w:t xml:space="preserve"> </w:t>
      </w:r>
      <w:r>
        <w:rPr>
          <w:rStyle w:val="VerbatimChar"/>
        </w:rPr>
        <w:t xml:space="preserve">pg_prepared_xacts</w:t>
      </w:r>
      <w:r>
        <w:t xml:space="preserve"> </w:t>
      </w:r>
      <w:r>
        <w:t xml:space="preserve">lists in-doubt transactions. The feature is disabled by default (</w:t>
      </w:r>
      <w:r>
        <w:rPr>
          <w:rStyle w:val="VerbatimChar"/>
        </w:rPr>
        <w:t xml:space="preserve">max_prepared_transactions = 0</w:t>
      </w:r>
      <w:r>
        <w:t xml:space="preserve">) because orphaned prepared transactions are dangerous [PostgreSQL Docs: PREPARE TRANSACTION]. MySQL offers</w:t>
      </w:r>
      <w:r>
        <w:t xml:space="preserve"> </w:t>
      </w:r>
      <w:r>
        <w:rPr>
          <w:rStyle w:val="VerbatimChar"/>
        </w:rPr>
        <w:t xml:space="preserve">XA START</w:t>
      </w:r>
      <w:r>
        <w:t xml:space="preserve">,</w:t>
      </w:r>
      <w:r>
        <w:t xml:space="preserve"> </w:t>
      </w:r>
      <w:r>
        <w:rPr>
          <w:rStyle w:val="VerbatimChar"/>
        </w:rPr>
        <w:t xml:space="preserve">XA END</w:t>
      </w:r>
      <w:r>
        <w:t xml:space="preserve">,</w:t>
      </w:r>
      <w:r>
        <w:t xml:space="preserve"> </w:t>
      </w:r>
      <w:r>
        <w:rPr>
          <w:rStyle w:val="VerbatimChar"/>
        </w:rPr>
        <w:t xml:space="preserve">XA PREPARE</w:t>
      </w:r>
      <w:r>
        <w:t xml:space="preserve">,</w:t>
      </w:r>
      <w:r>
        <w:t xml:space="preserve"> </w:t>
      </w:r>
      <w:r>
        <w:rPr>
          <w:rStyle w:val="VerbatimChar"/>
        </w:rPr>
        <w:t xml:space="preserve">XA COMMIT</w:t>
      </w:r>
      <w:r>
        <w:t xml:space="preserve"> </w:t>
      </w:r>
      <w:r>
        <w:t xml:space="preserve">and</w:t>
      </w:r>
      <w:r>
        <w:t xml:space="preserve"> </w:t>
      </w:r>
      <w:r>
        <w:rPr>
          <w:rStyle w:val="VerbatimChar"/>
        </w:rPr>
        <w:t xml:space="preserve">XA RECOVER</w:t>
      </w:r>
      <w:r>
        <w:t xml:space="preserve"> </w:t>
      </w:r>
      <w:r>
        <w:t xml:space="preserve">[MySQL Docs: XA Transactions].</w:t>
      </w:r>
    </w:p>
    <w:p>
      <w:pPr>
        <w:pStyle w:val="BodyText"/>
      </w:pPr>
      <w:r>
        <w:t xml:space="preserve">The following session ran against two PostgreSQL 16 servers (shard A on port 5433, shard B on 5434, both with</w:t>
      </w:r>
      <w:r>
        <w:t xml:space="preserve"> </w:t>
      </w:r>
      <w:r>
        <w:rPr>
          <w:rStyle w:val="VerbatimChar"/>
        </w:rPr>
        <w:t xml:space="preserve">max_prepared_transactions = 10</w:t>
      </w:r>
      <w:r>
        <w:t xml:space="preserve">), with the human operator acting as coordinator:</w:t>
      </w:r>
    </w:p>
    <w:p>
      <w:pPr>
        <w:pStyle w:val="SourceCode"/>
      </w:pPr>
      <w:r>
        <w:rPr>
          <w:rStyle w:val="CommentTok"/>
        </w:rPr>
        <w:t xml:space="preserve">-- On shard A (acct 7 = 50000 cents) and shard B (acct 9 = 0): phase 1</w:t>
      </w:r>
      <w:r>
        <w:br/>
      </w:r>
      <w:r>
        <w:rPr>
          <w:rStyle w:val="ControlFlowTok"/>
        </w:rPr>
        <w:t xml:space="preserve">BEGIN</w:t>
      </w:r>
      <w:r>
        <w:rPr>
          <w:rStyle w:val="NormalTok"/>
        </w:rPr>
        <w:t xml:space="preserve">;                                            </w:t>
      </w:r>
      <w:r>
        <w:rPr>
          <w:rStyle w:val="CommentTok"/>
        </w:rPr>
        <w:t xml:space="preserve">-- shard A</w:t>
      </w:r>
      <w:r>
        <w:br/>
      </w:r>
      <w:r>
        <w:rPr>
          <w:rStyle w:val="KeywordTok"/>
        </w:rPr>
        <w:t xml:space="preserve">UPDATE</w:t>
      </w:r>
      <w:r>
        <w:rPr>
          <w:rStyle w:val="NormalTok"/>
        </w:rPr>
        <w:t xml:space="preserve"> accounts </w:t>
      </w:r>
      <w:r>
        <w:rPr>
          <w:rStyle w:val="KeywordTok"/>
        </w:rPr>
        <w:t xml:space="preserve">SET</w:t>
      </w:r>
      <w:r>
        <w:rPr>
          <w:rStyle w:val="NormalTok"/>
        </w:rPr>
        <w:t xml:space="preserve"> balance_cents </w:t>
      </w:r>
      <w:r>
        <w:rPr>
          <w:rStyle w:val="OperatorTok"/>
        </w:rPr>
        <w:t xml:space="preserve">=</w:t>
      </w:r>
      <w:r>
        <w:rPr>
          <w:rStyle w:val="NormalTok"/>
        </w:rPr>
        <w:t xml:space="preserve"> balance_cents </w:t>
      </w:r>
      <w:r>
        <w:rPr>
          <w:rStyle w:val="OperatorTok"/>
        </w:rPr>
        <w:t xml:space="preserve">-</w:t>
      </w:r>
      <w:r>
        <w:rPr>
          <w:rStyle w:val="NormalTok"/>
        </w:rPr>
        <w:t xml:space="preserve"> </w:t>
      </w:r>
      <w:r>
        <w:rPr>
          <w:rStyle w:val="DecValTok"/>
        </w:rPr>
        <w:t xml:space="preserve">10000</w:t>
      </w:r>
      <w:r>
        <w:rPr>
          <w:rStyle w:val="NormalTok"/>
        </w:rPr>
        <w:t xml:space="preserve"> </w:t>
      </w:r>
      <w:r>
        <w:rPr>
          <w:rStyle w:val="KeywordTok"/>
        </w:rPr>
        <w:t xml:space="preserve">WHERE</w:t>
      </w:r>
      <w:r>
        <w:rPr>
          <w:rStyle w:val="NormalTok"/>
        </w:rPr>
        <w:t xml:space="preserve"> account_id </w:t>
      </w:r>
      <w:r>
        <w:rPr>
          <w:rStyle w:val="OperatorTok"/>
        </w:rPr>
        <w:t xml:space="preserve">=</w:t>
      </w:r>
      <w:r>
        <w:rPr>
          <w:rStyle w:val="NormalTok"/>
        </w:rPr>
        <w:t xml:space="preserve"> </w:t>
      </w:r>
      <w:r>
        <w:rPr>
          <w:rStyle w:val="DecValTok"/>
        </w:rPr>
        <w:t xml:space="preserve">7</w:t>
      </w:r>
      <w:r>
        <w:rPr>
          <w:rStyle w:val="NormalTok"/>
        </w:rPr>
        <w:t xml:space="preserve">;</w:t>
      </w:r>
      <w:r>
        <w:br/>
      </w:r>
      <w:r>
        <w:rPr>
          <w:rStyle w:val="KeywordTok"/>
        </w:rPr>
        <w:t xml:space="preserve">PREPARE</w:t>
      </w:r>
      <w:r>
        <w:rPr>
          <w:rStyle w:val="NormalTok"/>
        </w:rPr>
        <w:t xml:space="preserve"> </w:t>
      </w:r>
      <w:r>
        <w:rPr>
          <w:rStyle w:val="KeywordTok"/>
        </w:rPr>
        <w:t xml:space="preserve">TRANSACTION</w:t>
      </w:r>
      <w:r>
        <w:rPr>
          <w:rStyle w:val="NormalTok"/>
        </w:rPr>
        <w:t xml:space="preserve"> </w:t>
      </w:r>
      <w:r>
        <w:rPr>
          <w:rStyle w:val="StringTok"/>
        </w:rPr>
        <w:t xml:space="preserve">'xfer-42'</w:t>
      </w:r>
      <w:r>
        <w:rPr>
          <w:rStyle w:val="NormalTok"/>
        </w:rPr>
        <w:t xml:space="preserve">;</w:t>
      </w:r>
      <w:r>
        <w:br/>
      </w:r>
      <w:r>
        <w:rPr>
          <w:rStyle w:val="ControlFlowTok"/>
        </w:rPr>
        <w:t xml:space="preserve">BEGIN</w:t>
      </w:r>
      <w:r>
        <w:rPr>
          <w:rStyle w:val="NormalTok"/>
        </w:rPr>
        <w:t xml:space="preserve">;                                            </w:t>
      </w:r>
      <w:r>
        <w:rPr>
          <w:rStyle w:val="CommentTok"/>
        </w:rPr>
        <w:t xml:space="preserve">-- shard B</w:t>
      </w:r>
      <w:r>
        <w:br/>
      </w:r>
      <w:r>
        <w:rPr>
          <w:rStyle w:val="KeywordTok"/>
        </w:rPr>
        <w:t xml:space="preserve">UPDATE</w:t>
      </w:r>
      <w:r>
        <w:rPr>
          <w:rStyle w:val="NormalTok"/>
        </w:rPr>
        <w:t xml:space="preserve"> accounts </w:t>
      </w:r>
      <w:r>
        <w:rPr>
          <w:rStyle w:val="KeywordTok"/>
        </w:rPr>
        <w:t xml:space="preserve">SET</w:t>
      </w:r>
      <w:r>
        <w:rPr>
          <w:rStyle w:val="NormalTok"/>
        </w:rPr>
        <w:t xml:space="preserve"> balance_cents </w:t>
      </w:r>
      <w:r>
        <w:rPr>
          <w:rStyle w:val="OperatorTok"/>
        </w:rPr>
        <w:t xml:space="preserve">=</w:t>
      </w:r>
      <w:r>
        <w:rPr>
          <w:rStyle w:val="NormalTok"/>
        </w:rPr>
        <w:t xml:space="preserve"> balance_cents </w:t>
      </w:r>
      <w:r>
        <w:rPr>
          <w:rStyle w:val="OperatorTok"/>
        </w:rPr>
        <w:t xml:space="preserve">+</w:t>
      </w:r>
      <w:r>
        <w:rPr>
          <w:rStyle w:val="NormalTok"/>
        </w:rPr>
        <w:t xml:space="preserve"> </w:t>
      </w:r>
      <w:r>
        <w:rPr>
          <w:rStyle w:val="DecValTok"/>
        </w:rPr>
        <w:t xml:space="preserve">10000</w:t>
      </w:r>
      <w:r>
        <w:rPr>
          <w:rStyle w:val="NormalTok"/>
        </w:rPr>
        <w:t xml:space="preserve"> </w:t>
      </w:r>
      <w:r>
        <w:rPr>
          <w:rStyle w:val="KeywordTok"/>
        </w:rPr>
        <w:t xml:space="preserve">WHERE</w:t>
      </w:r>
      <w:r>
        <w:rPr>
          <w:rStyle w:val="NormalTok"/>
        </w:rPr>
        <w:t xml:space="preserve"> account_id </w:t>
      </w:r>
      <w:r>
        <w:rPr>
          <w:rStyle w:val="OperatorTok"/>
        </w:rPr>
        <w:t xml:space="preserve">=</w:t>
      </w:r>
      <w:r>
        <w:rPr>
          <w:rStyle w:val="NormalTok"/>
        </w:rPr>
        <w:t xml:space="preserve"> </w:t>
      </w:r>
      <w:r>
        <w:rPr>
          <w:rStyle w:val="DecValTok"/>
        </w:rPr>
        <w:t xml:space="preserve">9</w:t>
      </w:r>
      <w:r>
        <w:rPr>
          <w:rStyle w:val="NormalTok"/>
        </w:rPr>
        <w:t xml:space="preserve">;</w:t>
      </w:r>
      <w:r>
        <w:br/>
      </w:r>
      <w:r>
        <w:rPr>
          <w:rStyle w:val="KeywordTok"/>
        </w:rPr>
        <w:t xml:space="preserve">PREPARE</w:t>
      </w:r>
      <w:r>
        <w:rPr>
          <w:rStyle w:val="NormalTok"/>
        </w:rPr>
        <w:t xml:space="preserve"> </w:t>
      </w:r>
      <w:r>
        <w:rPr>
          <w:rStyle w:val="KeywordTok"/>
        </w:rPr>
        <w:t xml:space="preserve">TRANSACTION</w:t>
      </w:r>
      <w:r>
        <w:rPr>
          <w:rStyle w:val="NormalTok"/>
        </w:rPr>
        <w:t xml:space="preserve"> </w:t>
      </w:r>
      <w:r>
        <w:rPr>
          <w:rStyle w:val="StringTok"/>
        </w:rPr>
        <w:t xml:space="preserve">'xfer-42'</w:t>
      </w:r>
      <w:r>
        <w:rPr>
          <w:rStyle w:val="NormalTok"/>
        </w:rPr>
        <w:t xml:space="preserve">;</w:t>
      </w:r>
      <w:r>
        <w:br/>
      </w:r>
      <w:r>
        <w:br/>
      </w:r>
      <w:r>
        <w:rPr>
          <w:rStyle w:val="CommentTok"/>
        </w:rPr>
        <w:t xml:space="preserve">-- The "coordinator" disappears. On shard A:</w:t>
      </w:r>
      <w:r>
        <w:br/>
      </w:r>
      <w:r>
        <w:rPr>
          <w:rStyle w:val="KeywordTok"/>
        </w:rPr>
        <w:t xml:space="preserve">SELECT</w:t>
      </w:r>
      <w:r>
        <w:rPr>
          <w:rStyle w:val="NormalTok"/>
        </w:rPr>
        <w:t xml:space="preserve"> gid, prepared </w:t>
      </w:r>
      <w:r>
        <w:rPr>
          <w:rStyle w:val="KeywordTok"/>
        </w:rPr>
        <w:t xml:space="preserve">FROM</w:t>
      </w:r>
      <w:r>
        <w:rPr>
          <w:rStyle w:val="NormalTok"/>
        </w:rPr>
        <w:t xml:space="preserve"> pg_prepared_xacts;</w:t>
      </w:r>
      <w:r>
        <w:br/>
      </w:r>
      <w:r>
        <w:rPr>
          <w:rStyle w:val="KeywordTok"/>
        </w:rPr>
        <w:t xml:space="preserve">SET</w:t>
      </w:r>
      <w:r>
        <w:rPr>
          <w:rStyle w:val="NormalTok"/>
        </w:rPr>
        <w:t xml:space="preserve"> lock_timeout </w:t>
      </w:r>
      <w:r>
        <w:rPr>
          <w:rStyle w:val="OperatorTok"/>
        </w:rPr>
        <w:t xml:space="preserve">=</w:t>
      </w:r>
      <w:r>
        <w:rPr>
          <w:rStyle w:val="NormalTok"/>
        </w:rPr>
        <w:t xml:space="preserve"> </w:t>
      </w:r>
      <w:r>
        <w:rPr>
          <w:rStyle w:val="StringTok"/>
        </w:rPr>
        <w:t xml:space="preserve">'1s'</w:t>
      </w:r>
      <w:r>
        <w:rPr>
          <w:rStyle w:val="NormalTok"/>
        </w:rPr>
        <w:t xml:space="preserve">;</w:t>
      </w:r>
      <w:r>
        <w:br/>
      </w:r>
      <w:r>
        <w:rPr>
          <w:rStyle w:val="KeywordTok"/>
        </w:rPr>
        <w:t xml:space="preserve">UPDATE</w:t>
      </w:r>
      <w:r>
        <w:rPr>
          <w:rStyle w:val="NormalTok"/>
        </w:rPr>
        <w:t xml:space="preserve"> accounts </w:t>
      </w:r>
      <w:r>
        <w:rPr>
          <w:rStyle w:val="KeywordTok"/>
        </w:rPr>
        <w:t xml:space="preserve">SET</w:t>
      </w:r>
      <w:r>
        <w:rPr>
          <w:rStyle w:val="NormalTok"/>
        </w:rPr>
        <w:t xml:space="preserve"> balance_cents </w:t>
      </w:r>
      <w:r>
        <w:rPr>
          <w:rStyle w:val="OperatorTok"/>
        </w:rPr>
        <w:t xml:space="preserve">=</w:t>
      </w:r>
      <w:r>
        <w:rPr>
          <w:rStyle w:val="NormalTok"/>
        </w:rPr>
        <w:t xml:space="preserve"> balance_cents </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WHERE</w:t>
      </w:r>
      <w:r>
        <w:rPr>
          <w:rStyle w:val="NormalTok"/>
        </w:rPr>
        <w:t xml:space="preserve"> account_id </w:t>
      </w:r>
      <w:r>
        <w:rPr>
          <w:rStyle w:val="OperatorTok"/>
        </w:rPr>
        <w:t xml:space="preserve">=</w:t>
      </w:r>
      <w:r>
        <w:rPr>
          <w:rStyle w:val="NormalTok"/>
        </w:rPr>
        <w:t xml:space="preserve"> </w:t>
      </w:r>
      <w:r>
        <w:rPr>
          <w:rStyle w:val="DecValTok"/>
        </w:rPr>
        <w:t xml:space="preserve">7</w:t>
      </w:r>
      <w:r>
        <w:rPr>
          <w:rStyle w:val="NormalTok"/>
        </w:rPr>
        <w:t xml:space="preserve">;</w:t>
      </w:r>
      <w:r>
        <w:br/>
      </w:r>
      <w:r>
        <w:br/>
      </w:r>
      <w:r>
        <w:rPr>
          <w:rStyle w:val="CommentTok"/>
        </w:rPr>
        <w:t xml:space="preserve">-- Restart shard A (pg_ctl restart), then:</w:t>
      </w:r>
      <w:r>
        <w:br/>
      </w:r>
      <w:r>
        <w:rPr>
          <w:rStyle w:val="KeywordTok"/>
        </w:rPr>
        <w:t xml:space="preserve">SELECT</w:t>
      </w:r>
      <w:r>
        <w:rPr>
          <w:rStyle w:val="NormalTok"/>
        </w:rPr>
        <w:t xml:space="preserve"> gid </w:t>
      </w:r>
      <w:r>
        <w:rPr>
          <w:rStyle w:val="KeywordTok"/>
        </w:rPr>
        <w:t xml:space="preserve">FROM</w:t>
      </w:r>
      <w:r>
        <w:rPr>
          <w:rStyle w:val="NormalTok"/>
        </w:rPr>
        <w:t xml:space="preserve"> pg_prepared_xacts;</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accounts;</w:t>
      </w:r>
      <w:r>
        <w:br/>
      </w:r>
      <w:r>
        <w:br/>
      </w:r>
      <w:r>
        <w:rPr>
          <w:rStyle w:val="CommentTok"/>
        </w:rPr>
        <w:t xml:space="preserve">-- The coordinator's log says COMMIT: phase 2 on both shards</w:t>
      </w:r>
      <w:r>
        <w:br/>
      </w:r>
      <w:r>
        <w:rPr>
          <w:rStyle w:val="KeywordTok"/>
        </w:rPr>
        <w:t xml:space="preserve">COMMIT</w:t>
      </w:r>
      <w:r>
        <w:rPr>
          <w:rStyle w:val="NormalTok"/>
        </w:rPr>
        <w:t xml:space="preserve"> PREPARED </w:t>
      </w:r>
      <w:r>
        <w:rPr>
          <w:rStyle w:val="StringTok"/>
        </w:rPr>
        <w:t xml:space="preserve">'xfer-42'</w:t>
      </w:r>
      <w:r>
        <w:rPr>
          <w:rStyle w:val="NormalTok"/>
        </w:rPr>
        <w:t xml:space="preserve">;                        </w:t>
      </w:r>
      <w:r>
        <w:rPr>
          <w:rStyle w:val="CommentTok"/>
        </w:rPr>
        <w:t xml:space="preserve">-- shard A, then shard B</w:t>
      </w:r>
    </w:p>
    <w:p>
      <w:pPr>
        <w:pStyle w:val="FirstParagraph"/>
      </w:pPr>
      <w:r>
        <w:t xml:space="preserve">Output (shard A unless noted):</w:t>
      </w:r>
    </w:p>
    <w:p>
      <w:pPr>
        <w:pStyle w:val="SourceCode"/>
      </w:pPr>
      <w:r>
        <w:rPr>
          <w:rStyle w:val="VerbatimChar"/>
        </w:rPr>
        <w:t xml:space="preserve">   gid   |          prepared</w:t>
      </w:r>
      <w:r>
        <w:br/>
      </w:r>
      <w:r>
        <w:rPr>
          <w:rStyle w:val="VerbatimChar"/>
        </w:rPr>
        <w:t xml:space="preserve">---------+----------------------------</w:t>
      </w:r>
      <w:r>
        <w:br/>
      </w:r>
      <w:r>
        <w:rPr>
          <w:rStyle w:val="VerbatimChar"/>
        </w:rPr>
        <w:t xml:space="preserve"> xfer-42 | 2026-10-30 11:08:33.859+00</w:t>
      </w:r>
      <w:r>
        <w:br/>
      </w:r>
      <w:r>
        <w:br/>
      </w:r>
      <w:r>
        <w:rPr>
          <w:rStyle w:val="VerbatimChar"/>
        </w:rPr>
        <w:t xml:space="preserve">ERROR:  canceling statement due to lock timeout</w:t>
      </w:r>
      <w:r>
        <w:br/>
      </w:r>
      <w:r>
        <w:rPr>
          <w:rStyle w:val="VerbatimChar"/>
        </w:rPr>
        <w:t xml:space="preserve">CONTEXT:  while updating tuple (0,1) in relation "accounts"</w:t>
      </w:r>
      <w:r>
        <w:br/>
      </w:r>
      <w:r>
        <w:br/>
      </w:r>
      <w:r>
        <w:rPr>
          <w:rStyle w:val="VerbatimChar"/>
        </w:rPr>
        <w:t xml:space="preserve">   gid          &lt;- after restart: the prepared transaction survived</w:t>
      </w:r>
      <w:r>
        <w:br/>
      </w:r>
      <w:r>
        <w:rPr>
          <w:rStyle w:val="VerbatimChar"/>
        </w:rPr>
        <w:t xml:space="preserve">---------</w:t>
      </w:r>
      <w:r>
        <w:br/>
      </w:r>
      <w:r>
        <w:rPr>
          <w:rStyle w:val="VerbatimChar"/>
        </w:rPr>
        <w:t xml:space="preserve"> xfer-42</w:t>
      </w:r>
      <w:r>
        <w:br/>
      </w:r>
      <w:r>
        <w:br/>
      </w:r>
      <w:r>
        <w:rPr>
          <w:rStyle w:val="VerbatimChar"/>
        </w:rPr>
        <w:t xml:space="preserve"> account_id | balance_cents      &lt;- still invisible before COMMIT PREPARED</w:t>
      </w:r>
      <w:r>
        <w:br/>
      </w:r>
      <w:r>
        <w:rPr>
          <w:rStyle w:val="VerbatimChar"/>
        </w:rPr>
        <w:t xml:space="preserve">------------+---------------</w:t>
      </w:r>
      <w:r>
        <w:br/>
      </w:r>
      <w:r>
        <w:rPr>
          <w:rStyle w:val="VerbatimChar"/>
        </w:rPr>
        <w:t xml:space="preserve">          7 |         50000</w:t>
      </w:r>
      <w:r>
        <w:br/>
      </w:r>
      <w:r>
        <w:br/>
      </w:r>
      <w:r>
        <w:rPr>
          <w:rStyle w:val="VerbatimChar"/>
        </w:rPr>
        <w:t xml:space="preserve"> account_id | balance_cents      &lt;- after COMMIT PREPARED on both shards</w:t>
      </w:r>
      <w:r>
        <w:br/>
      </w:r>
      <w:r>
        <w:rPr>
          <w:rStyle w:val="VerbatimChar"/>
        </w:rPr>
        <w:t xml:space="preserve">------------+---------------</w:t>
      </w:r>
      <w:r>
        <w:br/>
      </w:r>
      <w:r>
        <w:rPr>
          <w:rStyle w:val="VerbatimChar"/>
        </w:rPr>
        <w:t xml:space="preserve">          7 |         40000      (shard B: account 9 = 10000)</w:t>
      </w:r>
    </w:p>
    <w:p>
      <w:pPr>
        <w:pStyle w:val="FirstParagraph"/>
      </w:pPr>
      <w:r>
        <w:t xml:space="preserve">What to notice:</w:t>
      </w:r>
    </w:p>
    <w:p>
      <w:pPr>
        <w:numPr>
          <w:ilvl w:val="0"/>
          <w:numId w:val="1917"/>
        </w:numPr>
        <w:pStyle w:val="Compact"/>
      </w:pPr>
      <w:r>
        <w:t xml:space="preserve">The prepared transaction outlives its session</w:t>
      </w:r>
      <w:r>
        <w:t xml:space="preserve"> </w:t>
      </w:r>
      <w:r>
        <w:rPr>
          <w:iCs/>
          <w:i/>
        </w:rPr>
        <w:t xml:space="preserve">and a server restart</w:t>
      </w:r>
      <w:r>
        <w:t xml:space="preserve">: that is the durable promise of phase 1, taken from the PREPARED record in the WAL.</w:t>
      </w:r>
    </w:p>
    <w:p>
      <w:pPr>
        <w:numPr>
          <w:ilvl w:val="0"/>
          <w:numId w:val="1917"/>
        </w:numPr>
        <w:pStyle w:val="Compact"/>
      </w:pPr>
      <w:r>
        <w:t xml:space="preserve">An unrelated update to account 7 blocks and times out: in-doubt transactions hold row locks indefinitely. PostgreSQL will never resolve them on its own, and they also hold back VACUUM (§11.14.2).</w:t>
      </w:r>
    </w:p>
    <w:p>
      <w:pPr>
        <w:pStyle w:val="CalloutWarning"/>
      </w:pPr>
      <w:r>
        <w:rPr>
          <w:bCs/>
          <w:b/>
        </w:rPr>
        <w:t xml:space="preserve">WARNING / TRADE-OFF</w:t>
      </w:r>
    </w:p>
    <w:p>
      <w:pPr>
        <w:pStyle w:val="CalloutWarning"/>
      </w:pPr>
      <w:r>
        <w:rPr>
          <w:bCs/>
          <w:b/>
        </w:rPr>
        <w:t xml:space="preserve">Warning — Heuristic decisions break atomicity.</w:t>
      </w:r>
      <w:r>
        <w:t xml:space="preserve"> </w:t>
      </w:r>
      <w:r>
        <w:t xml:space="preserve">When an in-doubt transaction blocks production for too long, operators (or XA resource managers configured to do so) may force a</w:t>
      </w:r>
      <w:r>
        <w:t xml:space="preserve"> </w:t>
      </w:r>
      <w:r>
        <w:rPr>
          <w:bCs/>
          <w:b/>
        </w:rPr>
        <w:t xml:space="preserve">heuristic commit</w:t>
      </w:r>
      <w:r>
        <w:t xml:space="preserve"> </w:t>
      </w:r>
      <w:r>
        <w:t xml:space="preserve">or</w:t>
      </w:r>
      <w:r>
        <w:t xml:space="preserve"> </w:t>
      </w:r>
      <w:r>
        <w:rPr>
          <w:bCs/>
          <w:b/>
        </w:rPr>
        <w:t xml:space="preserve">heuristic abort</w:t>
      </w:r>
      <w:r>
        <w:t xml:space="preserve"> </w:t>
      </w:r>
      <w:r>
        <w:t xml:space="preserve">without the coordinator. If the guess contradicts the coordinator’s logged decision, the transaction is no longer atomic and the damage must be repaired by hand. XA reports this as a</w:t>
      </w:r>
      <w:r>
        <w:t xml:space="preserve"> </w:t>
      </w:r>
      <w:r>
        <w:rPr>
          <w:iCs/>
          <w:i/>
        </w:rPr>
        <w:t xml:space="preserve">heuristic hazard</w:t>
      </w:r>
      <w:r>
        <w:t xml:space="preserve"> </w:t>
      </w:r>
      <w:r>
        <w:t xml:space="preserve">or</w:t>
      </w:r>
      <w:r>
        <w:t xml:space="preserve"> </w:t>
      </w:r>
      <w:r>
        <w:rPr>
          <w:iCs/>
          <w:i/>
        </w:rPr>
        <w:t xml:space="preserve">heuristic mixed</w:t>
      </w:r>
      <w:r>
        <w:t xml:space="preserve"> </w:t>
      </w:r>
      <w:r>
        <w:t xml:space="preserve">outcome. Treat a heuristic decision as an incident, and record which XIDs were forced.</w:t>
      </w:r>
    </w:p>
    <w:bookmarkEnd w:id="3149"/>
    <w:bookmarkStart w:id="3150" w:name="Xce578125a313a7e83d287d5c69ae9822222f1ed"/>
    <w:p>
      <w:pPr>
        <w:pStyle w:val="Heading3"/>
      </w:pPr>
      <w:r>
        <w:t xml:space="preserve">28.4.7 A 2PC simulation with coordinator crash and recovery</w:t>
      </w:r>
    </w:p>
    <w:p>
      <w:pPr>
        <w:pStyle w:val="FirstParagraph"/>
      </w:pPr>
      <w:r>
        <w:t xml:space="preserve">The program below implements presumed-abort 2PC with durable logs that survive crashes and volatile lock tables that do not. Crash points can be injected into the coordinator, and the tests check that recovery from the logs alone always restores atomicity.</w:t>
      </w:r>
    </w:p>
    <w:p>
      <w:pPr>
        <w:pStyle w:val="SourceCode"/>
      </w:pPr>
      <w:r>
        <w:rPr>
          <w:rStyle w:val="CommentTok"/>
        </w:rPr>
        <w:t xml:space="preserve">"""Two-phase commit with presumed abort: coordinator crash and recovery from its log.</w:t>
      </w:r>
      <w:r>
        <w:br/>
      </w:r>
      <w:r>
        <w:br/>
      </w:r>
      <w:r>
        <w:rPr>
          <w:rStyle w:val="CommentTok"/>
        </w:rPr>
        <w:t xml:space="preserve">Each node has a durable log (a list that survives crash()) and volatile state</w:t>
      </w:r>
      <w:r>
        <w:br/>
      </w:r>
      <w:r>
        <w:rPr>
          <w:rStyle w:val="CommentTok"/>
        </w:rPr>
        <w:t xml:space="preserve">(locks, pending writes) that is lost on a crash and rebuilt from the log.</w:t>
      </w:r>
      <w:r>
        <w:br/>
      </w:r>
      <w:r>
        <w:rPr>
          <w:rStyle w:val="CommentTok"/>
        </w:rPr>
        <w:t xml:space="preserve">Run it directly with python3 to execute the scenario tests.</w:t>
      </w:r>
      <w:r>
        <w:br/>
      </w:r>
      <w:r>
        <w:rPr>
          <w:rStyle w:val="CommentTok"/>
        </w:rPr>
        <w:t xml:space="preserve">"""</w:t>
      </w:r>
      <w:r>
        <w:br/>
      </w:r>
      <w:r>
        <w:rPr>
          <w:rStyle w:val="ImportTok"/>
        </w:rPr>
        <w:t xml:space="preserve">import</w:t>
      </w:r>
      <w:r>
        <w:rPr>
          <w:rStyle w:val="NormalTok"/>
        </w:rPr>
        <w:t xml:space="preserve"> unittest</w:t>
      </w:r>
      <w:r>
        <w:br/>
      </w:r>
      <w:r>
        <w:br/>
      </w:r>
      <w:r>
        <w:br/>
      </w:r>
      <w:r>
        <w:rPr>
          <w:rStyle w:val="KeywordTok"/>
        </w:rPr>
        <w:t xml:space="preserve">class</w:t>
      </w:r>
      <w:r>
        <w:rPr>
          <w:rStyle w:val="NormalTok"/>
        </w:rPr>
        <w:t xml:space="preserve"> Crash(</w:t>
      </w:r>
      <w:r>
        <w:rPr>
          <w:rStyle w:val="PreprocessorTok"/>
        </w:rPr>
        <w:t xml:space="preserve">Exception</w:t>
      </w:r>
      <w:r>
        <w:rPr>
          <w:rStyle w:val="NormalTok"/>
        </w:rPr>
        <w:t xml:space="preserve">):</w:t>
      </w:r>
      <w:r>
        <w:br/>
      </w:r>
      <w:r>
        <w:rPr>
          <w:rStyle w:val="NormalTok"/>
        </w:rPr>
        <w:t xml:space="preserve">    </w:t>
      </w:r>
      <w:r>
        <w:rPr>
          <w:rStyle w:val="CommentTok"/>
        </w:rPr>
        <w:t xml:space="preserve">"""Raised when a node is killed at an injected crash point."""</w:t>
      </w:r>
      <w:r>
        <w:br/>
      </w:r>
      <w:r>
        <w:br/>
      </w:r>
      <w:r>
        <w:br/>
      </w:r>
      <w:r>
        <w:rPr>
          <w:rStyle w:val="KeywordTok"/>
        </w:rPr>
        <w:t xml:space="preserve">class</w:t>
      </w:r>
      <w:r>
        <w:rPr>
          <w:rStyle w:val="NormalTok"/>
        </w:rPr>
        <w:t xml:space="preserve"> Participant: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 balances):</w:t>
      </w:r>
      <w:r>
        <w:br/>
      </w:r>
      <w:r>
        <w:rPr>
          <w:rStyle w:val="NormalTok"/>
        </w:rPr>
        <w:t xml:space="preserve">        </w:t>
      </w:r>
      <w:r>
        <w:rPr>
          <w:rStyle w:val="VariableTok"/>
        </w:rPr>
        <w:t xml:space="preserve">self</w:t>
      </w:r>
      <w:r>
        <w:rPr>
          <w:rStyle w:val="NormalTok"/>
        </w:rPr>
        <w:t xml:space="preserve">.name, </w:t>
      </w:r>
      <w:r>
        <w:rPr>
          <w:rStyle w:val="VariableTok"/>
        </w:rPr>
        <w:t xml:space="preserve">self</w:t>
      </w:r>
      <w:r>
        <w:rPr>
          <w:rStyle w:val="NormalTok"/>
        </w:rPr>
        <w:t xml:space="preserve">.up </w:t>
      </w:r>
      <w:r>
        <w:rPr>
          <w:rStyle w:val="OperatorTok"/>
        </w:rPr>
        <w:t xml:space="preserve">=</w:t>
      </w:r>
      <w:r>
        <w:rPr>
          <w:rStyle w:val="NormalTok"/>
        </w:rPr>
        <w:t xml:space="preserve"> name, </w:t>
      </w:r>
      <w:r>
        <w:rPr>
          <w:rStyle w:val="VariableTok"/>
        </w:rPr>
        <w:t xml:space="preserve">True</w:t>
      </w:r>
      <w:r>
        <w:br/>
      </w:r>
      <w:r>
        <w:rPr>
          <w:rStyle w:val="NormalTok"/>
        </w:rPr>
        <w:t xml:space="preserve">        </w:t>
      </w:r>
      <w:r>
        <w:rPr>
          <w:rStyle w:val="VariableTok"/>
        </w:rPr>
        <w:t xml:space="preserve">self</w:t>
      </w:r>
      <w:r>
        <w:rPr>
          <w:rStyle w:val="NormalTok"/>
        </w:rPr>
        <w:t xml:space="preserve">.data </w:t>
      </w:r>
      <w:r>
        <w:rPr>
          <w:rStyle w:val="OperatorTok"/>
        </w:rPr>
        <w:t xml:space="preserve">=</w:t>
      </w:r>
      <w:r>
        <w:rPr>
          <w:rStyle w:val="NormalTok"/>
        </w:rPr>
        <w:t xml:space="preserve"> </w:t>
      </w:r>
      <w:r>
        <w:rPr>
          <w:rStyle w:val="BuiltInTok"/>
        </w:rPr>
        <w:t xml:space="preserve">dict</w:t>
      </w:r>
      <w:r>
        <w:rPr>
          <w:rStyle w:val="NormalTok"/>
        </w:rPr>
        <w:t xml:space="preserve">(balances)        </w:t>
      </w:r>
      <w:r>
        <w:rPr>
          <w:rStyle w:val="CommentTok"/>
        </w:rPr>
        <w:t xml:space="preserve"># committed state (durable)</w:t>
      </w:r>
      <w:r>
        <w:br/>
      </w:r>
      <w:r>
        <w:rPr>
          <w:rStyle w:val="NormalTok"/>
        </w:rPr>
        <w:t xml:space="preserve">        </w:t>
      </w:r>
      <w:r>
        <w:rPr>
          <w:rStyle w:val="VariableTok"/>
        </w:rPr>
        <w:t xml:space="preserve">self</w:t>
      </w:r>
      <w:r>
        <w:rPr>
          <w:rStyle w:val="NormalTok"/>
        </w:rPr>
        <w:t xml:space="preserve">.log </w:t>
      </w:r>
      <w:r>
        <w:rPr>
          <w:rStyle w:val="OperatorTok"/>
        </w:rPr>
        <w:t xml:space="preserve">=</w:t>
      </w:r>
      <w:r>
        <w:rPr>
          <w:rStyle w:val="NormalTok"/>
        </w:rPr>
        <w:t xml:space="preserve"> []                     </w:t>
      </w:r>
      <w:r>
        <w:rPr>
          <w:rStyle w:val="CommentTok"/>
        </w:rPr>
        <w:t xml:space="preserve"># durable log: (record, txid, payload)</w:t>
      </w:r>
      <w:r>
        <w:br/>
      </w:r>
      <w:r>
        <w:rPr>
          <w:rStyle w:val="NormalTok"/>
        </w:rPr>
        <w:t xml:space="preserve">        </w:t>
      </w:r>
      <w:r>
        <w:rPr>
          <w:rStyle w:val="VariableTok"/>
        </w:rPr>
        <w:t xml:space="preserve">self</w:t>
      </w:r>
      <w:r>
        <w:rPr>
          <w:rStyle w:val="NormalTok"/>
        </w:rPr>
        <w:t xml:space="preserve">.locks, </w:t>
      </w:r>
      <w:r>
        <w:rPr>
          <w:rStyle w:val="VariableTok"/>
        </w:rPr>
        <w:t xml:space="preserve">self</w:t>
      </w:r>
      <w:r>
        <w:rPr>
          <w:rStyle w:val="NormalTok"/>
        </w:rPr>
        <w:t xml:space="preserve">.pending </w:t>
      </w:r>
      <w:r>
        <w:rPr>
          <w:rStyle w:val="OperatorTok"/>
        </w:rPr>
        <w:t xml:space="preserve">=</w:t>
      </w:r>
      <w:r>
        <w:rPr>
          <w:rStyle w:val="NormalTok"/>
        </w:rPr>
        <w:t xml:space="preserve"> {}, {}  </w:t>
      </w:r>
      <w:r>
        <w:rPr>
          <w:rStyle w:val="CommentTok"/>
        </w:rPr>
        <w:t xml:space="preserve"># volatile: key -&gt; txid, txid -&gt; new values</w:t>
      </w:r>
      <w:r>
        <w:br/>
      </w:r>
      <w:r>
        <w:br/>
      </w:r>
      <w:r>
        <w:rPr>
          <w:rStyle w:val="NormalTok"/>
        </w:rPr>
        <w:t xml:space="preserve">    </w:t>
      </w:r>
      <w:r>
        <w:rPr>
          <w:rStyle w:val="KeywordTok"/>
        </w:rPr>
        <w:t xml:space="preserve">def</w:t>
      </w:r>
      <w:r>
        <w:rPr>
          <w:rStyle w:val="NormalTok"/>
        </w:rPr>
        <w:t xml:space="preserve"> prepare(</w:t>
      </w:r>
      <w:r>
        <w:rPr>
          <w:rStyle w:val="VariableTok"/>
        </w:rPr>
        <w:t xml:space="preserve">self</w:t>
      </w:r>
      <w:r>
        <w:rPr>
          <w:rStyle w:val="NormalTok"/>
        </w:rPr>
        <w:t xml:space="preserve">, txid, deltas):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.up:</w:t>
      </w:r>
      <w:r>
        <w:br/>
      </w:r>
      <w:r>
        <w:rPr>
          <w:rStyle w:val="NormalTok"/>
        </w:rPr>
        <w:t xml:space="preserve">            </w:t>
      </w:r>
      <w:r>
        <w:rPr>
          <w:rStyle w:val="ControlFlowTok"/>
        </w:rPr>
        <w:t xml:space="preserve">raise</w:t>
      </w:r>
      <w:r>
        <w:rPr>
          <w:rStyle w:val="NormalTok"/>
        </w:rPr>
        <w:t xml:space="preserve"> Crash(</w:t>
      </w:r>
      <w:r>
        <w:rPr>
          <w:rStyle w:val="VariableTok"/>
        </w:rPr>
        <w:t xml:space="preserve">self</w:t>
      </w:r>
      <w:r>
        <w:rPr>
          <w:rStyle w:val="NormalTok"/>
        </w:rPr>
        <w:t xml:space="preserve">.name)        </w:t>
      </w:r>
      <w:r>
        <w:rPr>
          <w:rStyle w:val="CommentTok"/>
        </w:rPr>
        <w:t xml:space="preserve"># the coordinator sees a timeout</w:t>
      </w:r>
      <w:r>
        <w:br/>
      </w:r>
      <w:r>
        <w:rPr>
          <w:rStyle w:val="NormalTok"/>
        </w:rPr>
        <w:t xml:space="preserve">        new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key, delta </w:t>
      </w:r>
      <w:r>
        <w:rPr>
          <w:rStyle w:val="KeywordTok"/>
        </w:rPr>
        <w:t xml:space="preserve">in</w:t>
      </w:r>
      <w:r>
        <w:rPr>
          <w:rStyle w:val="NormalTok"/>
        </w:rPr>
        <w:t xml:space="preserve"> deltas.items():</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.locks.get(key, txid) </w:t>
      </w:r>
      <w:r>
        <w:rPr>
          <w:rStyle w:val="OperatorTok"/>
        </w:rPr>
        <w:t xml:space="preserve">!=</w:t>
      </w:r>
      <w:r>
        <w:rPr>
          <w:rStyle w:val="NormalTok"/>
        </w:rPr>
        <w:t xml:space="preserve"> txid:</w:t>
      </w:r>
      <w:r>
        <w:br/>
      </w:r>
      <w:r>
        <w:rPr>
          <w:rStyle w:val="NormalTok"/>
        </w:rPr>
        <w:t xml:space="preserve">                </w:t>
      </w:r>
      <w:r>
        <w:rPr>
          <w:rStyle w:val="ControlFlowTok"/>
        </w:rPr>
        <w:t xml:space="preserve">return</w:t>
      </w:r>
      <w:r>
        <w:rPr>
          <w:rStyle w:val="NormalTok"/>
        </w:rPr>
        <w:t xml:space="preserve"> </w:t>
      </w:r>
      <w:r>
        <w:rPr>
          <w:rStyle w:val="StringTok"/>
        </w:rPr>
        <w:t xml:space="preserve">"NO"</w:t>
      </w:r>
      <w:r>
        <w:rPr>
          <w:rStyle w:val="NormalTok"/>
        </w:rPr>
        <w:t xml:space="preserve">               </w:t>
      </w:r>
      <w:r>
        <w:rPr>
          <w:rStyle w:val="CommentTok"/>
        </w:rPr>
        <w:t xml:space="preserve"># row locked by an in-doubt or active txn</w:t>
      </w:r>
      <w:r>
        <w:br/>
      </w:r>
      <w:r>
        <w:rPr>
          <w:rStyle w:val="NormalTok"/>
        </w:rPr>
        <w:t xml:space="preserve">            new[key] </w:t>
      </w:r>
      <w:r>
        <w:rPr>
          <w:rStyle w:val="OperatorTok"/>
        </w:rPr>
        <w:t xml:space="preserve">=</w:t>
      </w:r>
      <w:r>
        <w:rPr>
          <w:rStyle w:val="NormalTok"/>
        </w:rPr>
        <w:t xml:space="preserve"> </w:t>
      </w:r>
      <w:r>
        <w:rPr>
          <w:rStyle w:val="VariableTok"/>
        </w:rPr>
        <w:t xml:space="preserve">self</w:t>
      </w:r>
      <w:r>
        <w:rPr>
          <w:rStyle w:val="NormalTok"/>
        </w:rPr>
        <w:t xml:space="preserve">.data[key] </w:t>
      </w:r>
      <w:r>
        <w:rPr>
          <w:rStyle w:val="OperatorTok"/>
        </w:rPr>
        <w:t xml:space="preserve">+</w:t>
      </w:r>
      <w:r>
        <w:rPr>
          <w:rStyle w:val="NormalTok"/>
        </w:rPr>
        <w:t xml:space="preserve"> delta</w:t>
      </w:r>
      <w:r>
        <w:br/>
      </w:r>
      <w:r>
        <w:rPr>
          <w:rStyle w:val="NormalTok"/>
        </w:rPr>
        <w:t xml:space="preserve">            </w:t>
      </w:r>
      <w:r>
        <w:rPr>
          <w:rStyle w:val="ControlFlowTok"/>
        </w:rPr>
        <w:t xml:space="preserve">if</w:t>
      </w:r>
      <w:r>
        <w:rPr>
          <w:rStyle w:val="NormalTok"/>
        </w:rPr>
        <w:t xml:space="preserve"> new[key]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"NO"</w:t>
      </w:r>
      <w:r>
        <w:rPr>
          <w:rStyle w:val="NormalTok"/>
        </w:rPr>
        <w:t xml:space="preserve">               </w:t>
      </w:r>
      <w:r>
        <w:rPr>
          <w:rStyle w:val="CommentTok"/>
        </w:rPr>
        <w:t xml:space="preserve"># invariant: no overdraft</w:t>
      </w:r>
      <w:r>
        <w:br/>
      </w:r>
      <w:r>
        <w:rPr>
          <w:rStyle w:val="NormalTok"/>
        </w:rPr>
        <w:t xml:space="preserve">        </w:t>
      </w:r>
      <w:r>
        <w:rPr>
          <w:rStyle w:val="ControlFlowTok"/>
        </w:rPr>
        <w:t xml:space="preserve">for</w:t>
      </w:r>
      <w:r>
        <w:rPr>
          <w:rStyle w:val="NormalTok"/>
        </w:rPr>
        <w:t xml:space="preserve"> key </w:t>
      </w:r>
      <w:r>
        <w:rPr>
          <w:rStyle w:val="KeywordTok"/>
        </w:rPr>
        <w:t xml:space="preserve">in</w:t>
      </w:r>
      <w:r>
        <w:rPr>
          <w:rStyle w:val="NormalTok"/>
        </w:rPr>
        <w:t xml:space="preserve"> new:</w:t>
      </w:r>
      <w:r>
        <w:br/>
      </w:r>
      <w:r>
        <w:rPr>
          <w:rStyle w:val="NormalTok"/>
        </w:rPr>
        <w:t xml:space="preserve">            </w:t>
      </w:r>
      <w:r>
        <w:rPr>
          <w:rStyle w:val="VariableTok"/>
        </w:rPr>
        <w:t xml:space="preserve">self</w:t>
      </w:r>
      <w:r>
        <w:rPr>
          <w:rStyle w:val="NormalTok"/>
        </w:rPr>
        <w:t xml:space="preserve">.locks[key] </w:t>
      </w:r>
      <w:r>
        <w:rPr>
          <w:rStyle w:val="OperatorTok"/>
        </w:rPr>
        <w:t xml:space="preserve">=</w:t>
      </w:r>
      <w:r>
        <w:rPr>
          <w:rStyle w:val="NormalTok"/>
        </w:rPr>
        <w:t xml:space="preserve"> txid</w:t>
      </w:r>
      <w:r>
        <w:br/>
      </w:r>
      <w:r>
        <w:rPr>
          <w:rStyle w:val="NormalTok"/>
        </w:rPr>
        <w:t xml:space="preserve">        </w:t>
      </w:r>
      <w:r>
        <w:rPr>
          <w:rStyle w:val="VariableTok"/>
        </w:rPr>
        <w:t xml:space="preserve">self</w:t>
      </w:r>
      <w:r>
        <w:rPr>
          <w:rStyle w:val="NormalTok"/>
        </w:rPr>
        <w:t xml:space="preserve">.pending[txid] </w:t>
      </w:r>
      <w:r>
        <w:rPr>
          <w:rStyle w:val="OperatorTok"/>
        </w:rPr>
        <w:t xml:space="preserve">=</w:t>
      </w:r>
      <w:r>
        <w:rPr>
          <w:rStyle w:val="NormalTok"/>
        </w:rPr>
        <w:t xml:space="preserve"> new</w:t>
      </w:r>
      <w:r>
        <w:br/>
      </w:r>
      <w:r>
        <w:rPr>
          <w:rStyle w:val="NormalTok"/>
        </w:rPr>
        <w:t xml:space="preserve">        </w:t>
      </w:r>
      <w:r>
        <w:rPr>
          <w:rStyle w:val="VariableTok"/>
        </w:rPr>
        <w:t xml:space="preserve">self</w:t>
      </w:r>
      <w:r>
        <w:rPr>
          <w:rStyle w:val="NormalTok"/>
        </w:rPr>
        <w:t xml:space="preserve">.log.append((</w:t>
      </w:r>
      <w:r>
        <w:rPr>
          <w:rStyle w:val="StringTok"/>
        </w:rPr>
        <w:t xml:space="preserve">"PREPARED"</w:t>
      </w:r>
      <w:r>
        <w:rPr>
          <w:rStyle w:val="NormalTok"/>
        </w:rPr>
        <w:t xml:space="preserve">, txid, new))   </w:t>
      </w:r>
      <w:r>
        <w:rPr>
          <w:rStyle w:val="CommentTok"/>
        </w:rPr>
        <w:t xml:space="preserve"># forced before voting YES</w:t>
      </w:r>
      <w:r>
        <w:br/>
      </w:r>
      <w:r>
        <w:rPr>
          <w:rStyle w:val="NormalTok"/>
        </w:rPr>
        <w:t xml:space="preserve">        </w:t>
      </w:r>
      <w:r>
        <w:rPr>
          <w:rStyle w:val="ControlFlowTok"/>
        </w:rPr>
        <w:t xml:space="preserve">return</w:t>
      </w:r>
      <w:r>
        <w:rPr>
          <w:rStyle w:val="NormalTok"/>
        </w:rPr>
        <w:t xml:space="preserve"> </w:t>
      </w:r>
      <w:r>
        <w:rPr>
          <w:rStyle w:val="StringTok"/>
        </w:rPr>
        <w:t xml:space="preserve">"YES"</w:t>
      </w:r>
      <w:r>
        <w:br/>
      </w:r>
      <w:r>
        <w:br/>
      </w:r>
      <w:r>
        <w:rPr>
          <w:rStyle w:val="NormalTok"/>
        </w:rPr>
        <w:t xml:space="preserve">    </w:t>
      </w:r>
      <w:r>
        <w:rPr>
          <w:rStyle w:val="KeywordTok"/>
        </w:rPr>
        <w:t xml:space="preserve">def</w:t>
      </w:r>
      <w:r>
        <w:rPr>
          <w:rStyle w:val="NormalTok"/>
        </w:rPr>
        <w:t xml:space="preserve"> finish(</w:t>
      </w:r>
      <w:r>
        <w:rPr>
          <w:rStyle w:val="VariableTok"/>
        </w:rPr>
        <w:t xml:space="preserve">self</w:t>
      </w:r>
      <w:r>
        <w:rPr>
          <w:rStyle w:val="NormalTok"/>
        </w:rPr>
        <w:t xml:space="preserve">, txid, decision):</w:t>
      </w:r>
      <w:r>
        <w:br/>
      </w:r>
      <w:r>
        <w:rPr>
          <w:rStyle w:val="NormalTok"/>
        </w:rPr>
        <w:t xml:space="preserve">        </w:t>
      </w:r>
      <w:r>
        <w:rPr>
          <w:rStyle w:val="CommentTok"/>
        </w:rPr>
        <w:t xml:space="preserve">"""Apply COMMIT or ABORT. Idempotent: duplicates are harmless."""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.up:</w:t>
      </w:r>
      <w:r>
        <w:br/>
      </w:r>
      <w:r>
        <w:rPr>
          <w:rStyle w:val="NormalTok"/>
        </w:rPr>
        <w:t xml:space="preserve">            </w:t>
      </w:r>
      <w:r>
        <w:rPr>
          <w:rStyle w:val="ControlFlowTok"/>
        </w:rPr>
        <w:t xml:space="preserve">raise</w:t>
      </w:r>
      <w:r>
        <w:rPr>
          <w:rStyle w:val="NormalTok"/>
        </w:rPr>
        <w:t xml:space="preserve"> Crash(</w:t>
      </w:r>
      <w:r>
        <w:rPr>
          <w:rStyle w:val="VariableTok"/>
        </w:rPr>
        <w:t xml:space="preserve">self</w:t>
      </w:r>
      <w:r>
        <w:rPr>
          <w:rStyle w:val="NormalTok"/>
        </w:rPr>
        <w:t xml:space="preserve">.name)</w:t>
      </w:r>
      <w:r>
        <w:br/>
      </w:r>
      <w:r>
        <w:rPr>
          <w:rStyle w:val="NormalTok"/>
        </w:rPr>
        <w:t xml:space="preserve">        new </w:t>
      </w:r>
      <w:r>
        <w:rPr>
          <w:rStyle w:val="OperatorTok"/>
        </w:rPr>
        <w:t xml:space="preserve">=</w:t>
      </w:r>
      <w:r>
        <w:rPr>
          <w:rStyle w:val="NormalTok"/>
        </w:rPr>
        <w:t xml:space="preserve"> </w:t>
      </w:r>
      <w:r>
        <w:rPr>
          <w:rStyle w:val="VariableTok"/>
        </w:rPr>
        <w:t xml:space="preserve">self</w:t>
      </w:r>
      <w:r>
        <w:rPr>
          <w:rStyle w:val="NormalTok"/>
        </w:rPr>
        <w:t xml:space="preserve">.pending.pop(txid,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new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"ACK"</w:t>
      </w:r>
      <w:r>
        <w:rPr>
          <w:rStyle w:val="NormalTok"/>
        </w:rPr>
        <w:t xml:space="preserve">                  </w:t>
      </w:r>
      <w:r>
        <w:rPr>
          <w:rStyle w:val="CommentTok"/>
        </w:rPr>
        <w:t xml:space="preserve"># already finished, or never prepared</w:t>
      </w:r>
      <w:r>
        <w:br/>
      </w:r>
      <w:r>
        <w:rPr>
          <w:rStyle w:val="NormalTok"/>
        </w:rPr>
        <w:t xml:space="preserve">        </w:t>
      </w:r>
      <w:r>
        <w:rPr>
          <w:rStyle w:val="ControlFlowTok"/>
        </w:rPr>
        <w:t xml:space="preserve">if</w:t>
      </w:r>
      <w:r>
        <w:rPr>
          <w:rStyle w:val="NormalTok"/>
        </w:rPr>
        <w:t xml:space="preserve"> decision </w:t>
      </w:r>
      <w:r>
        <w:rPr>
          <w:rStyle w:val="OperatorTok"/>
        </w:rPr>
        <w:t xml:space="preserve">==</w:t>
      </w:r>
      <w:r>
        <w:rPr>
          <w:rStyle w:val="NormalTok"/>
        </w:rPr>
        <w:t xml:space="preserve"> </w:t>
      </w:r>
      <w:r>
        <w:rPr>
          <w:rStyle w:val="StringTok"/>
        </w:rPr>
        <w:t xml:space="preserve">"COMMIT"</w:t>
      </w:r>
      <w:r>
        <w:rPr>
          <w:rStyle w:val="NormalTok"/>
        </w:rPr>
        <w:t xml:space="preserve">:</w:t>
      </w:r>
      <w:r>
        <w:br/>
      </w:r>
      <w:r>
        <w:rPr>
          <w:rStyle w:val="NormalTok"/>
        </w:rPr>
        <w:t xml:space="preserve">            </w:t>
      </w:r>
      <w:r>
        <w:rPr>
          <w:rStyle w:val="VariableTok"/>
        </w:rPr>
        <w:t xml:space="preserve">self</w:t>
      </w:r>
      <w:r>
        <w:rPr>
          <w:rStyle w:val="NormalTok"/>
        </w:rPr>
        <w:t xml:space="preserve">.data.update(new)</w:t>
      </w:r>
      <w:r>
        <w:br/>
      </w:r>
      <w:r>
        <w:rPr>
          <w:rStyle w:val="NormalTok"/>
        </w:rPr>
        <w:t xml:space="preserve">            </w:t>
      </w:r>
      <w:r>
        <w:rPr>
          <w:rStyle w:val="VariableTok"/>
        </w:rPr>
        <w:t xml:space="preserve">self</w:t>
      </w:r>
      <w:r>
        <w:rPr>
          <w:rStyle w:val="NormalTok"/>
        </w:rPr>
        <w:t xml:space="preserve">.log.append((</w:t>
      </w:r>
      <w:r>
        <w:rPr>
          <w:rStyle w:val="StringTok"/>
        </w:rPr>
        <w:t xml:space="preserve">"COMMIT"</w:t>
      </w:r>
      <w:r>
        <w:rPr>
          <w:rStyle w:val="NormalTok"/>
        </w:rPr>
        <w:t xml:space="preserve">, txid, </w:t>
      </w:r>
      <w:r>
        <w:rPr>
          <w:rStyle w:val="VariableTok"/>
        </w:rPr>
        <w:t xml:space="preserve">None</w:t>
      </w:r>
      <w:r>
        <w:rPr>
          <w:rStyle w:val="NormalTok"/>
        </w:rPr>
        <w:t xml:space="preserve">))   </w:t>
      </w:r>
      <w:r>
        <w:rPr>
          <w:rStyle w:val="CommentTok"/>
        </w:rPr>
        <w:t xml:space="preserve"># forced, then ACK</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VariableTok"/>
        </w:rPr>
        <w:t xml:space="preserve">self</w:t>
      </w:r>
      <w:r>
        <w:rPr>
          <w:rStyle w:val="NormalTok"/>
        </w:rPr>
        <w:t xml:space="preserve">.log.append((</w:t>
      </w:r>
      <w:r>
        <w:rPr>
          <w:rStyle w:val="StringTok"/>
        </w:rPr>
        <w:t xml:space="preserve">"ABORT"</w:t>
      </w:r>
      <w:r>
        <w:rPr>
          <w:rStyle w:val="NormalTok"/>
        </w:rPr>
        <w:t xml:space="preserve">, txid, </w:t>
      </w:r>
      <w:r>
        <w:rPr>
          <w:rStyle w:val="VariableTok"/>
        </w:rPr>
        <w:t xml:space="preserve">None</w:t>
      </w:r>
      <w:r>
        <w:rPr>
          <w:rStyle w:val="NormalTok"/>
        </w:rPr>
        <w:t xml:space="preserve">))    </w:t>
      </w:r>
      <w:r>
        <w:rPr>
          <w:rStyle w:val="CommentTok"/>
        </w:rPr>
        <w:t xml:space="preserve"># not forced under presumed abort</w:t>
      </w:r>
      <w:r>
        <w:br/>
      </w:r>
      <w:r>
        <w:rPr>
          <w:rStyle w:val="NormalTok"/>
        </w:rPr>
        <w:t xml:space="preserve">        </w:t>
      </w:r>
      <w:r>
        <w:rPr>
          <w:rStyle w:val="ControlFlowTok"/>
        </w:rPr>
        <w:t xml:space="preserve">for</w:t>
      </w:r>
      <w:r>
        <w:rPr>
          <w:rStyle w:val="NormalTok"/>
        </w:rPr>
        <w:t xml:space="preserve"> key </w:t>
      </w:r>
      <w:r>
        <w:rPr>
          <w:rStyle w:val="KeywordTok"/>
        </w:rPr>
        <w:t xml:space="preserve">in</w:t>
      </w:r>
      <w:r>
        <w:rPr>
          <w:rStyle w:val="NormalTok"/>
        </w:rPr>
        <w:t xml:space="preserve"> new:</w:t>
      </w:r>
      <w:r>
        <w:br/>
      </w:r>
      <w:r>
        <w:rPr>
          <w:rStyle w:val="NormalTok"/>
        </w:rPr>
        <w:t xml:space="preserve">            </w:t>
      </w:r>
      <w:r>
        <w:rPr>
          <w:rStyle w:val="KeywordTok"/>
        </w:rPr>
        <w:t xml:space="preserve">del</w:t>
      </w:r>
      <w:r>
        <w:rPr>
          <w:rStyle w:val="NormalTok"/>
        </w:rPr>
        <w:t xml:space="preserve"> </w:t>
      </w:r>
      <w:r>
        <w:rPr>
          <w:rStyle w:val="VariableTok"/>
        </w:rPr>
        <w:t xml:space="preserve">self</w:t>
      </w:r>
      <w:r>
        <w:rPr>
          <w:rStyle w:val="NormalTok"/>
        </w:rPr>
        <w:t xml:space="preserve">.locks[key]</w:t>
      </w:r>
      <w:r>
        <w:br/>
      </w:r>
      <w:r>
        <w:rPr>
          <w:rStyle w:val="NormalTok"/>
        </w:rPr>
        <w:t xml:space="preserve">        </w:t>
      </w:r>
      <w:r>
        <w:rPr>
          <w:rStyle w:val="ControlFlowTok"/>
        </w:rPr>
        <w:t xml:space="preserve">return</w:t>
      </w:r>
      <w:r>
        <w:rPr>
          <w:rStyle w:val="NormalTok"/>
        </w:rPr>
        <w:t xml:space="preserve"> </w:t>
      </w:r>
      <w:r>
        <w:rPr>
          <w:rStyle w:val="StringTok"/>
        </w:rPr>
        <w:t xml:space="preserve">"ACK"</w:t>
      </w:r>
      <w:r>
        <w:br/>
      </w:r>
      <w:r>
        <w:br/>
      </w:r>
      <w:r>
        <w:rPr>
          <w:rStyle w:val="NormalTok"/>
        </w:rPr>
        <w:t xml:space="preserve">    </w:t>
      </w:r>
      <w:r>
        <w:rPr>
          <w:rStyle w:val="KeywordTok"/>
        </w:rPr>
        <w:t xml:space="preserve">def</w:t>
      </w:r>
      <w:r>
        <w:rPr>
          <w:rStyle w:val="NormalTok"/>
        </w:rPr>
        <w:t xml:space="preserve"> crash(</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.up, </w:t>
      </w:r>
      <w:r>
        <w:rPr>
          <w:rStyle w:val="VariableTok"/>
        </w:rPr>
        <w:t xml:space="preserve">self</w:t>
      </w:r>
      <w:r>
        <w:rPr>
          <w:rStyle w:val="NormalTok"/>
        </w:rPr>
        <w:t xml:space="preserve">.locks, </w:t>
      </w:r>
      <w:r>
        <w:rPr>
          <w:rStyle w:val="VariableTok"/>
        </w:rPr>
        <w:t xml:space="preserve">self</w:t>
      </w:r>
      <w:r>
        <w:rPr>
          <w:rStyle w:val="NormalTok"/>
        </w:rPr>
        <w:t xml:space="preserve">.pending </w:t>
      </w:r>
      <w:r>
        <w:rPr>
          <w:rStyle w:val="OperatorTok"/>
        </w:rPr>
        <w:t xml:space="preserve">=</w:t>
      </w:r>
      <w:r>
        <w:rPr>
          <w:rStyle w:val="NormalTok"/>
        </w:rPr>
        <w:t xml:space="preserve"> </w:t>
      </w:r>
      <w:r>
        <w:rPr>
          <w:rStyle w:val="VariableTok"/>
        </w:rPr>
        <w:t xml:space="preserve">False</w:t>
      </w:r>
      <w:r>
        <w:rPr>
          <w:rStyle w:val="NormalTok"/>
        </w:rPr>
        <w:t xml:space="preserve">, {}, {}</w:t>
      </w:r>
      <w:r>
        <w:br/>
      </w:r>
      <w:r>
        <w:br/>
      </w:r>
      <w:r>
        <w:rPr>
          <w:rStyle w:val="NormalTok"/>
        </w:rPr>
        <w:t xml:space="preserve">    </w:t>
      </w:r>
      <w:r>
        <w:rPr>
          <w:rStyle w:val="KeywordTok"/>
        </w:rPr>
        <w:t xml:space="preserve">def</w:t>
      </w:r>
      <w:r>
        <w:rPr>
          <w:rStyle w:val="NormalTok"/>
        </w:rPr>
        <w:t xml:space="preserve"> recover(</w:t>
      </w:r>
      <w:r>
        <w:rPr>
          <w:rStyle w:val="VariableTok"/>
        </w:rPr>
        <w:t xml:space="preserve">self</w:t>
      </w:r>
      <w:r>
        <w:rPr>
          <w:rStyle w:val="NormalTok"/>
        </w:rPr>
        <w:t xml:space="preserve">):</w:t>
      </w:r>
      <w:r>
        <w:br/>
      </w:r>
      <w:r>
        <w:rPr>
          <w:rStyle w:val="NormalTok"/>
        </w:rPr>
        <w:t xml:space="preserve">        </w:t>
      </w:r>
      <w:r>
        <w:rPr>
          <w:rStyle w:val="CommentTok"/>
        </w:rPr>
        <w:t xml:space="preserve">"""Redo from the log: a PREPARED txn with no outcome is in doubt and relocked."""</w:t>
      </w:r>
      <w:r>
        <w:br/>
      </w:r>
      <w:r>
        <w:rPr>
          <w:rStyle w:val="NormalTok"/>
        </w:rPr>
        <w:t xml:space="preserve">        </w:t>
      </w:r>
      <w:r>
        <w:rPr>
          <w:rStyle w:val="VariableTok"/>
        </w:rPr>
        <w:t xml:space="preserve">self</w:t>
      </w:r>
      <w:r>
        <w:rPr>
          <w:rStyle w:val="NormalTok"/>
        </w:rPr>
        <w:t xml:space="preserve">.up </w:t>
      </w:r>
      <w:r>
        <w:rPr>
          <w:rStyle w:val="OperatorTok"/>
        </w:rPr>
        <w:t xml:space="preserve">=</w:t>
      </w:r>
      <w:r>
        <w:rPr>
          <w:rStyle w:val="NormalTok"/>
        </w:rPr>
        <w:t xml:space="preserve"> </w:t>
      </w:r>
      <w:r>
        <w:rPr>
          <w:rStyle w:val="VariableTok"/>
        </w:rPr>
        <w:t xml:space="preserve">True</w:t>
      </w:r>
      <w:r>
        <w:br/>
      </w:r>
      <w:r>
        <w:rPr>
          <w:rStyle w:val="NormalTok"/>
        </w:rPr>
        <w:t xml:space="preserve">        done </w:t>
      </w:r>
      <w:r>
        <w:rPr>
          <w:rStyle w:val="OperatorTok"/>
        </w:rPr>
        <w:t xml:space="preserve">=</w:t>
      </w:r>
      <w:r>
        <w:rPr>
          <w:rStyle w:val="NormalTok"/>
        </w:rPr>
        <w:t xml:space="preserve"> {txid </w:t>
      </w:r>
      <w:r>
        <w:rPr>
          <w:rStyle w:val="ControlFlowTok"/>
        </w:rPr>
        <w:t xml:space="preserve">for</w:t>
      </w:r>
      <w:r>
        <w:rPr>
          <w:rStyle w:val="NormalTok"/>
        </w:rPr>
        <w:t xml:space="preserve"> rec, txid, _ </w:t>
      </w:r>
      <w:r>
        <w:rPr>
          <w:rStyle w:val="KeywordTok"/>
        </w:rPr>
        <w:t xml:space="preserve">in</w:t>
      </w:r>
      <w:r>
        <w:rPr>
          <w:rStyle w:val="NormalTok"/>
        </w:rPr>
        <w:t xml:space="preserve"> </w:t>
      </w:r>
      <w:r>
        <w:rPr>
          <w:rStyle w:val="VariableTok"/>
        </w:rPr>
        <w:t xml:space="preserve">self</w:t>
      </w:r>
      <w:r>
        <w:rPr>
          <w:rStyle w:val="NormalTok"/>
        </w:rPr>
        <w:t xml:space="preserve">.log </w:t>
      </w:r>
      <w:r>
        <w:rPr>
          <w:rStyle w:val="ControlFlowTok"/>
        </w:rPr>
        <w:t xml:space="preserve">if</w:t>
      </w:r>
      <w:r>
        <w:rPr>
          <w:rStyle w:val="NormalTok"/>
        </w:rPr>
        <w:t xml:space="preserve"> rec </w:t>
      </w:r>
      <w:r>
        <w:rPr>
          <w:rStyle w:val="KeywordTok"/>
        </w:rPr>
        <w:t xml:space="preserve">in</w:t>
      </w:r>
      <w:r>
        <w:rPr>
          <w:rStyle w:val="NormalTok"/>
        </w:rPr>
        <w:t xml:space="preserve"> (</w:t>
      </w:r>
      <w:r>
        <w:rPr>
          <w:rStyle w:val="StringTok"/>
        </w:rPr>
        <w:t xml:space="preserve">"COMMIT"</w:t>
      </w:r>
      <w:r>
        <w:rPr>
          <w:rStyle w:val="NormalTok"/>
        </w:rPr>
        <w:t xml:space="preserve">, </w:t>
      </w:r>
      <w:r>
        <w:rPr>
          <w:rStyle w:val="StringTok"/>
        </w:rPr>
        <w:t xml:space="preserve">"ABORT"</w:t>
      </w:r>
      <w:r>
        <w:rPr>
          <w:rStyle w:val="NormalTok"/>
        </w:rPr>
        <w:t xml:space="preserve">)}</w:t>
      </w:r>
      <w:r>
        <w:br/>
      </w:r>
      <w:r>
        <w:rPr>
          <w:rStyle w:val="NormalTok"/>
        </w:rPr>
        <w:t xml:space="preserve">        </w:t>
      </w:r>
      <w:r>
        <w:rPr>
          <w:rStyle w:val="ControlFlowTok"/>
        </w:rPr>
        <w:t xml:space="preserve">for</w:t>
      </w:r>
      <w:r>
        <w:rPr>
          <w:rStyle w:val="NormalTok"/>
        </w:rPr>
        <w:t xml:space="preserve"> rec, txid, new </w:t>
      </w:r>
      <w:r>
        <w:rPr>
          <w:rStyle w:val="KeywordTok"/>
        </w:rPr>
        <w:t xml:space="preserve">in</w:t>
      </w:r>
      <w:r>
        <w:rPr>
          <w:rStyle w:val="NormalTok"/>
        </w:rPr>
        <w:t xml:space="preserve"> </w:t>
      </w:r>
      <w:r>
        <w:rPr>
          <w:rStyle w:val="VariableTok"/>
        </w:rPr>
        <w:t xml:space="preserve">self</w:t>
      </w:r>
      <w:r>
        <w:rPr>
          <w:rStyle w:val="NormalTok"/>
        </w:rPr>
        <w:t xml:space="preserve">.log:</w:t>
      </w:r>
      <w:r>
        <w:br/>
      </w:r>
      <w:r>
        <w:rPr>
          <w:rStyle w:val="NormalTok"/>
        </w:rPr>
        <w:t xml:space="preserve">            </w:t>
      </w:r>
      <w:r>
        <w:rPr>
          <w:rStyle w:val="ControlFlowTok"/>
        </w:rPr>
        <w:t xml:space="preserve">if</w:t>
      </w:r>
      <w:r>
        <w:rPr>
          <w:rStyle w:val="NormalTok"/>
        </w:rPr>
        <w:t xml:space="preserve"> rec </w:t>
      </w:r>
      <w:r>
        <w:rPr>
          <w:rStyle w:val="OperatorTok"/>
        </w:rPr>
        <w:t xml:space="preserve">==</w:t>
      </w:r>
      <w:r>
        <w:rPr>
          <w:rStyle w:val="NormalTok"/>
        </w:rPr>
        <w:t xml:space="preserve"> </w:t>
      </w:r>
      <w:r>
        <w:rPr>
          <w:rStyle w:val="StringTok"/>
        </w:rPr>
        <w:t xml:space="preserve">"PREPARED"</w:t>
      </w:r>
      <w:r>
        <w:rPr>
          <w:rStyle w:val="NormalTok"/>
        </w:rPr>
        <w:t xml:space="preserve"> </w:t>
      </w:r>
      <w:r>
        <w:rPr>
          <w:rStyle w:val="KeywordTok"/>
        </w:rPr>
        <w:t xml:space="preserve">and</w:t>
      </w:r>
      <w:r>
        <w:rPr>
          <w:rStyle w:val="NormalTok"/>
        </w:rPr>
        <w:t xml:space="preserve"> txid </w:t>
      </w:r>
      <w:r>
        <w:rPr>
          <w:rStyle w:val="KeywordTok"/>
        </w:rPr>
        <w:t xml:space="preserve">not</w:t>
      </w:r>
      <w:r>
        <w:rPr>
          <w:rStyle w:val="NormalTok"/>
        </w:rPr>
        <w:t xml:space="preserve"> </w:t>
      </w:r>
      <w:r>
        <w:rPr>
          <w:rStyle w:val="KeywordTok"/>
        </w:rPr>
        <w:t xml:space="preserve">in</w:t>
      </w:r>
      <w:r>
        <w:rPr>
          <w:rStyle w:val="NormalTok"/>
        </w:rPr>
        <w:t xml:space="preserve"> done:</w:t>
      </w:r>
      <w:r>
        <w:br/>
      </w:r>
      <w:r>
        <w:rPr>
          <w:rStyle w:val="NormalTok"/>
        </w:rPr>
        <w:t xml:space="preserve">                </w:t>
      </w:r>
      <w:r>
        <w:rPr>
          <w:rStyle w:val="VariableTok"/>
        </w:rPr>
        <w:t xml:space="preserve">self</w:t>
      </w:r>
      <w:r>
        <w:rPr>
          <w:rStyle w:val="NormalTok"/>
        </w:rPr>
        <w:t xml:space="preserve">.pending[txid] </w:t>
      </w:r>
      <w:r>
        <w:rPr>
          <w:rStyle w:val="OperatorTok"/>
        </w:rPr>
        <w:t xml:space="preserve">=</w:t>
      </w:r>
      <w:r>
        <w:rPr>
          <w:rStyle w:val="NormalTok"/>
        </w:rPr>
        <w:t xml:space="preserve"> new</w:t>
      </w:r>
      <w:r>
        <w:br/>
      </w:r>
      <w:r>
        <w:rPr>
          <w:rStyle w:val="NormalTok"/>
        </w:rPr>
        <w:t xml:space="preserve">                </w:t>
      </w:r>
      <w:r>
        <w:rPr>
          <w:rStyle w:val="ControlFlowTok"/>
        </w:rPr>
        <w:t xml:space="preserve">for</w:t>
      </w:r>
      <w:r>
        <w:rPr>
          <w:rStyle w:val="NormalTok"/>
        </w:rPr>
        <w:t xml:space="preserve"> key </w:t>
      </w:r>
      <w:r>
        <w:rPr>
          <w:rStyle w:val="KeywordTok"/>
        </w:rPr>
        <w:t xml:space="preserve">in</w:t>
      </w:r>
      <w:r>
        <w:rPr>
          <w:rStyle w:val="NormalTok"/>
        </w:rPr>
        <w:t xml:space="preserve"> new:</w:t>
      </w:r>
      <w:r>
        <w:br/>
      </w:r>
      <w:r>
        <w:rPr>
          <w:rStyle w:val="NormalTok"/>
        </w:rPr>
        <w:t xml:space="preserve">                    </w:t>
      </w:r>
      <w:r>
        <w:rPr>
          <w:rStyle w:val="VariableTok"/>
        </w:rPr>
        <w:t xml:space="preserve">self</w:t>
      </w:r>
      <w:r>
        <w:rPr>
          <w:rStyle w:val="NormalTok"/>
        </w:rPr>
        <w:t xml:space="preserve">.locks[key] </w:t>
      </w:r>
      <w:r>
        <w:rPr>
          <w:rStyle w:val="OperatorTok"/>
        </w:rPr>
        <w:t xml:space="preserve">=</w:t>
      </w:r>
      <w:r>
        <w:rPr>
          <w:rStyle w:val="NormalTok"/>
        </w:rPr>
        <w:t xml:space="preserve"> txid</w:t>
      </w:r>
      <w:r>
        <w:br/>
      </w:r>
      <w:r>
        <w:br/>
      </w:r>
      <w:r>
        <w:rPr>
          <w:rStyle w:val="NormalTok"/>
        </w:rPr>
        <w:t xml:space="preserve">    </w:t>
      </w:r>
      <w:r>
        <w:rPr>
          <w:rStyle w:val="KeywordTok"/>
        </w:rPr>
        <w:t xml:space="preserve">def</w:t>
      </w:r>
      <w:r>
        <w:rPr>
          <w:rStyle w:val="NormalTok"/>
        </w:rPr>
        <w:t xml:space="preserve"> in_doubt(</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sorted</w:t>
      </w:r>
      <w:r>
        <w:rPr>
          <w:rStyle w:val="NormalTok"/>
        </w:rPr>
        <w:t xml:space="preserve">(</w:t>
      </w:r>
      <w:r>
        <w:rPr>
          <w:rStyle w:val="VariableTok"/>
        </w:rPr>
        <w:t xml:space="preserve">self</w:t>
      </w:r>
      <w:r>
        <w:rPr>
          <w:rStyle w:val="NormalTok"/>
        </w:rPr>
        <w:t xml:space="preserve">.pending)</w:t>
      </w:r>
      <w:r>
        <w:br/>
      </w:r>
      <w:r>
        <w:br/>
      </w:r>
      <w:r>
        <w:rPr>
          <w:rStyle w:val="NormalTok"/>
        </w:rPr>
        <w:t xml:space="preserve">    </w:t>
      </w:r>
      <w:r>
        <w:rPr>
          <w:rStyle w:val="KeywordTok"/>
        </w:rPr>
        <w:t xml:space="preserve">def</w:t>
      </w:r>
      <w:r>
        <w:rPr>
          <w:rStyle w:val="NormalTok"/>
        </w:rPr>
        <w:t xml:space="preserve"> resolve(</w:t>
      </w:r>
      <w:r>
        <w:rPr>
          <w:rStyle w:val="VariableTok"/>
        </w:rPr>
        <w:t xml:space="preserve">self</w:t>
      </w:r>
      <w:r>
        <w:rPr>
          <w:rStyle w:val="NormalTok"/>
        </w:rPr>
        <w:t xml:space="preserve">, coordinator):</w:t>
      </w:r>
      <w:r>
        <w:br/>
      </w:r>
      <w:r>
        <w:rPr>
          <w:rStyle w:val="NormalTok"/>
        </w:rPr>
        <w:t xml:space="preserve">        </w:t>
      </w:r>
      <w:r>
        <w:rPr>
          <w:rStyle w:val="CommentTok"/>
        </w:rPr>
        <w:t xml:space="preserve">"""Termination protocol: ask the coordinator about each in-doubt txn."""</w:t>
      </w:r>
      <w:r>
        <w:br/>
      </w:r>
      <w:r>
        <w:rPr>
          <w:rStyle w:val="NormalTok"/>
        </w:rPr>
        <w:t xml:space="preserve">        </w:t>
      </w:r>
      <w:r>
        <w:rPr>
          <w:rStyle w:val="ControlFlowTok"/>
        </w:rPr>
        <w:t xml:space="preserve">for</w:t>
      </w:r>
      <w:r>
        <w:rPr>
          <w:rStyle w:val="NormalTok"/>
        </w:rPr>
        <w:t xml:space="preserve"> txid </w:t>
      </w:r>
      <w:r>
        <w:rPr>
          <w:rStyle w:val="KeywordTok"/>
        </w:rPr>
        <w:t xml:space="preserve">in</w:t>
      </w:r>
      <w:r>
        <w:rPr>
          <w:rStyle w:val="NormalTok"/>
        </w:rPr>
        <w:t xml:space="preserve"> </w:t>
      </w:r>
      <w:r>
        <w:rPr>
          <w:rStyle w:val="VariableTok"/>
        </w:rPr>
        <w:t xml:space="preserve">self</w:t>
      </w:r>
      <w:r>
        <w:rPr>
          <w:rStyle w:val="NormalTok"/>
        </w:rPr>
        <w:t xml:space="preserve">.in_doubt():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coordinator.up:</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CommentTok"/>
        </w:rPr>
        <w:t xml:space="preserve"># blocked: cannot decide alone</w:t>
      </w:r>
      <w:r>
        <w:br/>
      </w:r>
      <w:r>
        <w:rPr>
          <w:rStyle w:val="NormalTok"/>
        </w:rPr>
        <w:t xml:space="preserve">            </w:t>
      </w:r>
      <w:r>
        <w:rPr>
          <w:rStyle w:val="VariableTok"/>
        </w:rPr>
        <w:t xml:space="preserve">self</w:t>
      </w:r>
      <w:r>
        <w:rPr>
          <w:rStyle w:val="NormalTok"/>
        </w:rPr>
        <w:t xml:space="preserve">.finish(txid, coordinator.outcome(txid))</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br/>
      </w:r>
      <w:r>
        <w:rPr>
          <w:rStyle w:val="KeywordTok"/>
        </w:rPr>
        <w:t xml:space="preserve">class</w:t>
      </w:r>
      <w:r>
        <w:rPr>
          <w:rStyle w:val="NormalTok"/>
        </w:rPr>
        <w:t xml:space="preserve"> Coordinator: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participants):</w:t>
      </w:r>
      <w:r>
        <w:br/>
      </w:r>
      <w:r>
        <w:rPr>
          <w:rStyle w:val="NormalTok"/>
        </w:rPr>
        <w:t xml:space="preserve">        </w:t>
      </w:r>
      <w:r>
        <w:rPr>
          <w:rStyle w:val="VariableTok"/>
        </w:rPr>
        <w:t xml:space="preserve">self</w:t>
      </w:r>
      <w:r>
        <w:rPr>
          <w:rStyle w:val="NormalTok"/>
        </w:rPr>
        <w:t xml:space="preserve">.parts </w:t>
      </w:r>
      <w:r>
        <w:rPr>
          <w:rStyle w:val="OperatorTok"/>
        </w:rPr>
        <w:t xml:space="preserve">=</w:t>
      </w:r>
      <w:r>
        <w:rPr>
          <w:rStyle w:val="NormalTok"/>
        </w:rPr>
        <w:t xml:space="preserve"> {p.name: p </w:t>
      </w:r>
      <w:r>
        <w:rPr>
          <w:rStyle w:val="ControlFlowTok"/>
        </w:rPr>
        <w:t xml:space="preserve">for</w:t>
      </w:r>
      <w:r>
        <w:rPr>
          <w:rStyle w:val="NormalTok"/>
        </w:rPr>
        <w:t xml:space="preserve"> p </w:t>
      </w:r>
      <w:r>
        <w:rPr>
          <w:rStyle w:val="KeywordTok"/>
        </w:rPr>
        <w:t xml:space="preserve">in</w:t>
      </w:r>
      <w:r>
        <w:rPr>
          <w:rStyle w:val="NormalTok"/>
        </w:rPr>
        <w:t xml:space="preserve"> participants}</w:t>
      </w:r>
      <w:r>
        <w:br/>
      </w:r>
      <w:r>
        <w:rPr>
          <w:rStyle w:val="NormalTok"/>
        </w:rPr>
        <w:t xml:space="preserve">        </w:t>
      </w:r>
      <w:r>
        <w:rPr>
          <w:rStyle w:val="VariableTok"/>
        </w:rPr>
        <w:t xml:space="preserve">self</w:t>
      </w:r>
      <w:r>
        <w:rPr>
          <w:rStyle w:val="NormalTok"/>
        </w:rPr>
        <w:t xml:space="preserve">.log </w:t>
      </w:r>
      <w:r>
        <w:rPr>
          <w:rStyle w:val="OperatorTok"/>
        </w:rPr>
        <w:t xml:space="preserve">=</w:t>
      </w:r>
      <w:r>
        <w:rPr>
          <w:rStyle w:val="NormalTok"/>
        </w:rPr>
        <w:t xml:space="preserve"> []                     </w:t>
      </w:r>
      <w:r>
        <w:rPr>
          <w:rStyle w:val="CommentTok"/>
        </w:rPr>
        <w:t xml:space="preserve"># durable</w:t>
      </w:r>
      <w:r>
        <w:br/>
      </w:r>
      <w:r>
        <w:rPr>
          <w:rStyle w:val="NormalTok"/>
        </w:rPr>
        <w:t xml:space="preserve">        </w:t>
      </w:r>
      <w:r>
        <w:rPr>
          <w:rStyle w:val="VariableTok"/>
        </w:rPr>
        <w:t xml:space="preserve">self</w:t>
      </w:r>
      <w:r>
        <w:rPr>
          <w:rStyle w:val="NormalTok"/>
        </w:rPr>
        <w:t xml:space="preserve">.up, </w:t>
      </w:r>
      <w:r>
        <w:rPr>
          <w:rStyle w:val="VariableTok"/>
        </w:rPr>
        <w:t xml:space="preserve">self</w:t>
      </w:r>
      <w:r>
        <w:rPr>
          <w:rStyle w:val="NormalTok"/>
        </w:rPr>
        <w:t xml:space="preserve">.crash_at </w:t>
      </w:r>
      <w:r>
        <w:rPr>
          <w:rStyle w:val="OperatorTok"/>
        </w:rPr>
        <w:t xml:space="preserve">=</w:t>
      </w:r>
      <w:r>
        <w:rPr>
          <w:rStyle w:val="NormalTok"/>
        </w:rPr>
        <w:t xml:space="preserve"> </w:t>
      </w:r>
      <w:r>
        <w:rPr>
          <w:rStyle w:val="VariableTok"/>
        </w:rPr>
        <w:t xml:space="preserve">True</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_point(</w:t>
      </w:r>
      <w:r>
        <w:rPr>
          <w:rStyle w:val="VariableTok"/>
        </w:rPr>
        <w:t xml:space="preserve">self</w:t>
      </w:r>
      <w:r>
        <w:rPr>
          <w:rStyle w:val="NormalTok"/>
        </w:rPr>
        <w:t xml:space="preserve">, where):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.crash_at </w:t>
      </w:r>
      <w:r>
        <w:rPr>
          <w:rStyle w:val="OperatorTok"/>
        </w:rPr>
        <w:t xml:space="preserve">==</w:t>
      </w:r>
      <w:r>
        <w:rPr>
          <w:rStyle w:val="NormalTok"/>
        </w:rPr>
        <w:t xml:space="preserve"> where:</w:t>
      </w:r>
      <w:r>
        <w:br/>
      </w:r>
      <w:r>
        <w:rPr>
          <w:rStyle w:val="NormalTok"/>
        </w:rPr>
        <w:t xml:space="preserve">            </w:t>
      </w:r>
      <w:r>
        <w:rPr>
          <w:rStyle w:val="VariableTok"/>
        </w:rPr>
        <w:t xml:space="preserve">self</w:t>
      </w:r>
      <w:r>
        <w:rPr>
          <w:rStyle w:val="NormalTok"/>
        </w:rPr>
        <w:t xml:space="preserve">.up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ControlFlowTok"/>
        </w:rPr>
        <w:t xml:space="preserve">raise</w:t>
      </w:r>
      <w:r>
        <w:rPr>
          <w:rStyle w:val="NormalTok"/>
        </w:rPr>
        <w:t xml:space="preserve"> Crash(</w:t>
      </w:r>
      <w:r>
        <w:rPr>
          <w:rStyle w:val="StringTok"/>
        </w:rPr>
        <w:t xml:space="preserve">"coordinator at "</w:t>
      </w:r>
      <w:r>
        <w:rPr>
          <w:rStyle w:val="NormalTok"/>
        </w:rPr>
        <w:t xml:space="preserve"> </w:t>
      </w:r>
      <w:r>
        <w:rPr>
          <w:rStyle w:val="OperatorTok"/>
        </w:rPr>
        <w:t xml:space="preserve">+</w:t>
      </w:r>
      <w:r>
        <w:rPr>
          <w:rStyle w:val="NormalTok"/>
        </w:rPr>
        <w:t xml:space="preserve"> where)</w:t>
      </w:r>
      <w:r>
        <w:br/>
      </w:r>
      <w:r>
        <w:br/>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txid, plan):</w:t>
      </w:r>
      <w:r>
        <w:br/>
      </w:r>
      <w:r>
        <w:rPr>
          <w:rStyle w:val="NormalTok"/>
        </w:rPr>
        <w:t xml:space="preserve">        </w:t>
      </w:r>
      <w:r>
        <w:rPr>
          <w:rStyle w:val="CommentTok"/>
        </w:rPr>
        <w:t xml:space="preserve">"""plan: {participant name: {key: delta}}. Returns COMMIT or ABORT."""</w:t>
      </w:r>
      <w:r>
        <w:br/>
      </w:r>
      <w:r>
        <w:rPr>
          <w:rStyle w:val="NormalTok"/>
        </w:rPr>
        <w:t xml:space="preserve">        votes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name, deltas </w:t>
      </w:r>
      <w:r>
        <w:rPr>
          <w:rStyle w:val="KeywordTok"/>
        </w:rPr>
        <w:t xml:space="preserve">in</w:t>
      </w:r>
      <w:r>
        <w:rPr>
          <w:rStyle w:val="NormalTok"/>
        </w:rPr>
        <w:t xml:space="preserve"> plan.items():          </w:t>
      </w:r>
      <w:r>
        <w:rPr>
          <w:rStyle w:val="CommentTok"/>
        </w:rPr>
        <w:t xml:space="preserve"># phase 1: prepare</w:t>
      </w:r>
      <w:r>
        <w:br/>
      </w:r>
      <w:r>
        <w:rPr>
          <w:rStyle w:val="NormalTok"/>
        </w:rPr>
        <w:t xml:space="preserve">            </w:t>
      </w:r>
      <w:r>
        <w:rPr>
          <w:rStyle w:val="ControlFlowTok"/>
        </w:rPr>
        <w:t xml:space="preserve">try</w:t>
      </w:r>
      <w:r>
        <w:rPr>
          <w:rStyle w:val="NormalTok"/>
        </w:rPr>
        <w:t xml:space="preserve">:</w:t>
      </w:r>
      <w:r>
        <w:br/>
      </w:r>
      <w:r>
        <w:rPr>
          <w:rStyle w:val="NormalTok"/>
        </w:rPr>
        <w:t xml:space="preserve">                votes[name] </w:t>
      </w:r>
      <w:r>
        <w:rPr>
          <w:rStyle w:val="OperatorTok"/>
        </w:rPr>
        <w:t xml:space="preserve">=</w:t>
      </w:r>
      <w:r>
        <w:rPr>
          <w:rStyle w:val="NormalTok"/>
        </w:rPr>
        <w:t xml:space="preserve"> </w:t>
      </w:r>
      <w:r>
        <w:rPr>
          <w:rStyle w:val="VariableTok"/>
        </w:rPr>
        <w:t xml:space="preserve">self</w:t>
      </w:r>
      <w:r>
        <w:rPr>
          <w:rStyle w:val="NormalTok"/>
        </w:rPr>
        <w:t xml:space="preserve">.parts[name].prepare(txid, deltas)</w:t>
      </w:r>
      <w:r>
        <w:br/>
      </w:r>
      <w:r>
        <w:rPr>
          <w:rStyle w:val="NormalTok"/>
        </w:rPr>
        <w:t xml:space="preserve">            </w:t>
      </w:r>
      <w:r>
        <w:rPr>
          <w:rStyle w:val="ControlFlowTok"/>
        </w:rPr>
        <w:t xml:space="preserve">except</w:t>
      </w:r>
      <w:r>
        <w:rPr>
          <w:rStyle w:val="NormalTok"/>
        </w:rPr>
        <w:t xml:space="preserve"> Crash:</w:t>
      </w:r>
      <w:r>
        <w:br/>
      </w:r>
      <w:r>
        <w:rPr>
          <w:rStyle w:val="NormalTok"/>
        </w:rPr>
        <w:t xml:space="preserve">                votes[name] </w:t>
      </w:r>
      <w:r>
        <w:rPr>
          <w:rStyle w:val="OperatorTok"/>
        </w:rPr>
        <w:t xml:space="preserve">=</w:t>
      </w:r>
      <w:r>
        <w:rPr>
          <w:rStyle w:val="NormalTok"/>
        </w:rPr>
        <w:t xml:space="preserve"> </w:t>
      </w:r>
      <w:r>
        <w:rPr>
          <w:rStyle w:val="StringTok"/>
        </w:rPr>
        <w:t xml:space="preserve">"NO"</w:t>
      </w:r>
      <w:r>
        <w:rPr>
          <w:rStyle w:val="NormalTok"/>
        </w:rPr>
        <w:t xml:space="preserve">                 </w:t>
      </w:r>
      <w:r>
        <w:rPr>
          <w:rStyle w:val="CommentTok"/>
        </w:rPr>
        <w:t xml:space="preserve"># timeout counts as NO</w:t>
      </w:r>
      <w:r>
        <w:br/>
      </w:r>
      <w:r>
        <w:rPr>
          <w:rStyle w:val="NormalTok"/>
        </w:rPr>
        <w:t xml:space="preserve">        </w:t>
      </w:r>
      <w:r>
        <w:rPr>
          <w:rStyle w:val="VariableTok"/>
        </w:rPr>
        <w:t xml:space="preserve">self</w:t>
      </w:r>
      <w:r>
        <w:rPr>
          <w:rStyle w:val="NormalTok"/>
        </w:rPr>
        <w:t xml:space="preserve">._point(</w:t>
      </w:r>
      <w:r>
        <w:rPr>
          <w:rStyle w:val="StringTok"/>
        </w:rPr>
        <w:t xml:space="preserve">"after_votes"</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all</w:t>
      </w:r>
      <w:r>
        <w:rPr>
          <w:rStyle w:val="NormalTok"/>
        </w:rPr>
        <w:t xml:space="preserve">(v </w:t>
      </w:r>
      <w:r>
        <w:rPr>
          <w:rStyle w:val="OperatorTok"/>
        </w:rPr>
        <w:t xml:space="preserve">==</w:t>
      </w:r>
      <w:r>
        <w:rPr>
          <w:rStyle w:val="NormalTok"/>
        </w:rPr>
        <w:t xml:space="preserve"> </w:t>
      </w:r>
      <w:r>
        <w:rPr>
          <w:rStyle w:val="StringTok"/>
        </w:rPr>
        <w:t xml:space="preserve">"YES"</w:t>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votes.values()):</w:t>
      </w:r>
      <w:r>
        <w:br/>
      </w:r>
      <w:r>
        <w:rPr>
          <w:rStyle w:val="NormalTok"/>
        </w:rPr>
        <w:t xml:space="preserve">            </w:t>
      </w:r>
      <w:r>
        <w:rPr>
          <w:rStyle w:val="VariableTok"/>
        </w:rPr>
        <w:t xml:space="preserve">self</w:t>
      </w:r>
      <w:r>
        <w:rPr>
          <w:rStyle w:val="NormalTok"/>
        </w:rPr>
        <w:t xml:space="preserve">.log.append((</w:t>
      </w:r>
      <w:r>
        <w:rPr>
          <w:rStyle w:val="StringTok"/>
        </w:rPr>
        <w:t xml:space="preserve">"COMMIT"</w:t>
      </w:r>
      <w:r>
        <w:rPr>
          <w:rStyle w:val="NormalTok"/>
        </w:rPr>
        <w:t xml:space="preserve">, txid, </w:t>
      </w:r>
      <w:r>
        <w:rPr>
          <w:rStyle w:val="BuiltInTok"/>
        </w:rPr>
        <w:t xml:space="preserve">sorted</w:t>
      </w:r>
      <w:r>
        <w:rPr>
          <w:rStyle w:val="NormalTok"/>
        </w:rPr>
        <w:t xml:space="preserve">(plan)))   </w:t>
      </w:r>
      <w:r>
        <w:rPr>
          <w:rStyle w:val="CommentTok"/>
        </w:rPr>
        <w:t xml:space="preserve"># forced: commit point</w:t>
      </w:r>
      <w:r>
        <w:br/>
      </w:r>
      <w:r>
        <w:rPr>
          <w:rStyle w:val="NormalTok"/>
        </w:rPr>
        <w:t xml:space="preserve">            </w:t>
      </w:r>
      <w:r>
        <w:rPr>
          <w:rStyle w:val="VariableTok"/>
        </w:rPr>
        <w:t xml:space="preserve">self</w:t>
      </w:r>
      <w:r>
        <w:rPr>
          <w:rStyle w:val="NormalTok"/>
        </w:rPr>
        <w:t xml:space="preserve">._point(</w:t>
      </w:r>
      <w:r>
        <w:rPr>
          <w:rStyle w:val="StringTok"/>
        </w:rPr>
        <w:t xml:space="preserve">"after_decision"</w:t>
      </w:r>
      <w:r>
        <w:rPr>
          <w:rStyle w:val="NormalTok"/>
        </w:rPr>
        <w:t xml:space="preserve">)</w:t>
      </w:r>
      <w:r>
        <w:br/>
      </w:r>
      <w:r>
        <w:rPr>
          <w:rStyle w:val="NormalTok"/>
        </w:rPr>
        <w:t xml:space="preserve">            </w:t>
      </w:r>
      <w:r>
        <w:rPr>
          <w:rStyle w:val="VariableTok"/>
        </w:rPr>
        <w:t xml:space="preserve">self</w:t>
      </w:r>
      <w:r>
        <w:rPr>
          <w:rStyle w:val="NormalTok"/>
        </w:rPr>
        <w:t xml:space="preserve">._send(txid, </w:t>
      </w:r>
      <w:r>
        <w:rPr>
          <w:rStyle w:val="StringTok"/>
        </w:rPr>
        <w:t xml:space="preserve">"COMMIT"</w:t>
      </w:r>
      <w:r>
        <w:rPr>
          <w:rStyle w:val="NormalTok"/>
        </w:rPr>
        <w:t xml:space="preserve">, </w:t>
      </w:r>
      <w:r>
        <w:rPr>
          <w:rStyle w:val="BuiltInTok"/>
        </w:rPr>
        <w:t xml:space="preserve">sorted</w:t>
      </w:r>
      <w:r>
        <w:rPr>
          <w:rStyle w:val="NormalTok"/>
        </w:rPr>
        <w:t xml:space="preserve">(plan))</w:t>
      </w:r>
      <w:r>
        <w:br/>
      </w:r>
      <w:r>
        <w:rPr>
          <w:rStyle w:val="NormalTok"/>
        </w:rPr>
        <w:t xml:space="preserve">            </w:t>
      </w:r>
      <w:r>
        <w:rPr>
          <w:rStyle w:val="ControlFlowTok"/>
        </w:rPr>
        <w:t xml:space="preserve">return</w:t>
      </w:r>
      <w:r>
        <w:rPr>
          <w:rStyle w:val="NormalTok"/>
        </w:rPr>
        <w:t xml:space="preserve"> </w:t>
      </w:r>
      <w:r>
        <w:rPr>
          <w:rStyle w:val="StringTok"/>
        </w:rPr>
        <w:t xml:space="preserve">"COMMIT"</w:t>
      </w:r>
      <w:r>
        <w:br/>
      </w:r>
      <w:r>
        <w:rPr>
          <w:rStyle w:val="NormalTok"/>
        </w:rPr>
        <w:t xml:space="preserve">        </w:t>
      </w:r>
      <w:r>
        <w:rPr>
          <w:rStyle w:val="CommentTok"/>
        </w:rPr>
        <w:t xml:space="preserve"># presumed abort: no forced log record, no ACKs needed</w:t>
      </w:r>
      <w:r>
        <w:br/>
      </w:r>
      <w:r>
        <w:rPr>
          <w:rStyle w:val="NormalTok"/>
        </w:rPr>
        <w:t xml:space="preserve">        yes </w:t>
      </w:r>
      <w:r>
        <w:rPr>
          <w:rStyle w:val="OperatorTok"/>
        </w:rPr>
        <w:t xml:space="preserve">=</w:t>
      </w:r>
      <w:r>
        <w:rPr>
          <w:rStyle w:val="NormalTok"/>
        </w:rPr>
        <w:t xml:space="preserve"> [n </w:t>
      </w:r>
      <w:r>
        <w:rPr>
          <w:rStyle w:val="ControlFlowTok"/>
        </w:rPr>
        <w:t xml:space="preserve">for</w:t>
      </w:r>
      <w:r>
        <w:rPr>
          <w:rStyle w:val="NormalTok"/>
        </w:rPr>
        <w:t xml:space="preserve"> n, v </w:t>
      </w:r>
      <w:r>
        <w:rPr>
          <w:rStyle w:val="KeywordTok"/>
        </w:rPr>
        <w:t xml:space="preserve">in</w:t>
      </w:r>
      <w:r>
        <w:rPr>
          <w:rStyle w:val="NormalTok"/>
        </w:rPr>
        <w:t xml:space="preserve"> votes.items() </w:t>
      </w:r>
      <w:r>
        <w:rPr>
          <w:rStyle w:val="ControlFlowTok"/>
        </w:rPr>
        <w:t xml:space="preserve">if</w:t>
      </w:r>
      <w:r>
        <w:rPr>
          <w:rStyle w:val="NormalTok"/>
        </w:rPr>
        <w:t xml:space="preserve"> v </w:t>
      </w:r>
      <w:r>
        <w:rPr>
          <w:rStyle w:val="OperatorTok"/>
        </w:rPr>
        <w:t xml:space="preserve">==</w:t>
      </w:r>
      <w:r>
        <w:rPr>
          <w:rStyle w:val="NormalTok"/>
        </w:rPr>
        <w:t xml:space="preserve"> </w:t>
      </w:r>
      <w:r>
        <w:rPr>
          <w:rStyle w:val="StringTok"/>
        </w:rPr>
        <w:t xml:space="preserve">"YES"</w:t>
      </w:r>
      <w:r>
        <w:rPr>
          <w:rStyle w:val="NormalTok"/>
        </w:rPr>
        <w:t xml:space="preserve">]</w:t>
      </w:r>
      <w:r>
        <w:br/>
      </w:r>
      <w:r>
        <w:rPr>
          <w:rStyle w:val="NormalTok"/>
        </w:rPr>
        <w:t xml:space="preserve">        </w:t>
      </w:r>
      <w:r>
        <w:rPr>
          <w:rStyle w:val="ControlFlowTok"/>
        </w:rPr>
        <w:t xml:space="preserve">for</w:t>
      </w:r>
      <w:r>
        <w:rPr>
          <w:rStyle w:val="NormalTok"/>
        </w:rPr>
        <w:t xml:space="preserve"> name </w:t>
      </w:r>
      <w:r>
        <w:rPr>
          <w:rStyle w:val="KeywordTok"/>
        </w:rPr>
        <w:t xml:space="preserve">in</w:t>
      </w:r>
      <w:r>
        <w:rPr>
          <w:rStyle w:val="NormalTok"/>
        </w:rPr>
        <w:t xml:space="preserve"> yes:</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VariableTok"/>
        </w:rPr>
        <w:t xml:space="preserve">self</w:t>
      </w:r>
      <w:r>
        <w:rPr>
          <w:rStyle w:val="NormalTok"/>
        </w:rPr>
        <w:t xml:space="preserve">.parts[name].finish(txid, </w:t>
      </w:r>
      <w:r>
        <w:rPr>
          <w:rStyle w:val="StringTok"/>
        </w:rPr>
        <w:t xml:space="preserve">"ABORT"</w:t>
      </w:r>
      <w:r>
        <w:rPr>
          <w:rStyle w:val="NormalTok"/>
        </w:rPr>
        <w:t xml:space="preserve">)</w:t>
      </w:r>
      <w:r>
        <w:br/>
      </w:r>
      <w:r>
        <w:rPr>
          <w:rStyle w:val="NormalTok"/>
        </w:rPr>
        <w:t xml:space="preserve">            </w:t>
      </w:r>
      <w:r>
        <w:rPr>
          <w:rStyle w:val="ControlFlowTok"/>
        </w:rPr>
        <w:t xml:space="preserve">except</w:t>
      </w:r>
      <w:r>
        <w:rPr>
          <w:rStyle w:val="NormalTok"/>
        </w:rPr>
        <w:t xml:space="preserve"> Crash:</w:t>
      </w:r>
      <w:r>
        <w:br/>
      </w:r>
      <w:r>
        <w:rPr>
          <w:rStyle w:val="NormalTok"/>
        </w:rPr>
        <w:t xml:space="preserve">                </w:t>
      </w:r>
      <w:r>
        <w:rPr>
          <w:rStyle w:val="ControlFlowTok"/>
        </w:rPr>
        <w:t xml:space="preserve">pass</w:t>
      </w:r>
      <w:r>
        <w:rPr>
          <w:rStyle w:val="NormalTok"/>
        </w:rPr>
        <w:t xml:space="preserve">                               </w:t>
      </w:r>
      <w:r>
        <w:rPr>
          <w:rStyle w:val="CommentTok"/>
        </w:rPr>
        <w:t xml:space="preserve"># it will ask later; answer is ABORT</w:t>
      </w:r>
      <w:r>
        <w:br/>
      </w:r>
      <w:r>
        <w:rPr>
          <w:rStyle w:val="NormalTok"/>
        </w:rPr>
        <w:t xml:space="preserve">        </w:t>
      </w:r>
      <w:r>
        <w:rPr>
          <w:rStyle w:val="ControlFlowTok"/>
        </w:rPr>
        <w:t xml:space="preserve">return</w:t>
      </w:r>
      <w:r>
        <w:rPr>
          <w:rStyle w:val="NormalTok"/>
        </w:rPr>
        <w:t xml:space="preserve"> </w:t>
      </w:r>
      <w:r>
        <w:rPr>
          <w:rStyle w:val="StringTok"/>
        </w:rPr>
        <w:t xml:space="preserve">"ABORT"</w:t>
      </w:r>
      <w:r>
        <w:br/>
      </w:r>
      <w:r>
        <w:br/>
      </w:r>
      <w:r>
        <w:rPr>
          <w:rStyle w:val="NormalTok"/>
        </w:rPr>
        <w:t xml:space="preserve">    </w:t>
      </w:r>
      <w:r>
        <w:rPr>
          <w:rStyle w:val="KeywordTok"/>
        </w:rPr>
        <w:t xml:space="preserve">def</w:t>
      </w:r>
      <w:r>
        <w:rPr>
          <w:rStyle w:val="NormalTok"/>
        </w:rPr>
        <w:t xml:space="preserve"> _send(</w:t>
      </w:r>
      <w:r>
        <w:rPr>
          <w:rStyle w:val="VariableTok"/>
        </w:rPr>
        <w:t xml:space="preserve">self</w:t>
      </w:r>
      <w:r>
        <w:rPr>
          <w:rStyle w:val="NormalTok"/>
        </w:rPr>
        <w:t xml:space="preserve">, txid, decision, names):</w:t>
      </w:r>
      <w:r>
        <w:br/>
      </w:r>
      <w:r>
        <w:rPr>
          <w:rStyle w:val="NormalTok"/>
        </w:rPr>
        <w:t xml:space="preserve">        acked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i, name </w:t>
      </w:r>
      <w:r>
        <w:rPr>
          <w:rStyle w:val="KeywordTok"/>
        </w:rPr>
        <w:t xml:space="preserve">in</w:t>
      </w:r>
      <w:r>
        <w:rPr>
          <w:rStyle w:val="NormalTok"/>
        </w:rPr>
        <w:t xml:space="preserve"> </w:t>
      </w:r>
      <w:r>
        <w:rPr>
          <w:rStyle w:val="BuiltInTok"/>
        </w:rPr>
        <w:t xml:space="preserve">enumerate</w:t>
      </w:r>
      <w:r>
        <w:rPr>
          <w:rStyle w:val="NormalTok"/>
        </w:rPr>
        <w:t xml:space="preserve">(names):</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VariableTok"/>
        </w:rPr>
        <w:t xml:space="preserve">self</w:t>
      </w:r>
      <w:r>
        <w:rPr>
          <w:rStyle w:val="NormalTok"/>
        </w:rPr>
        <w:t xml:space="preserve">.parts[name].finish(txid, decision)</w:t>
      </w:r>
      <w:r>
        <w:br/>
      </w:r>
      <w:r>
        <w:rPr>
          <w:rStyle w:val="NormalTok"/>
        </w:rPr>
        <w:t xml:space="preserve">                acked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except</w:t>
      </w:r>
      <w:r>
        <w:rPr>
          <w:rStyle w:val="NormalTok"/>
        </w:rPr>
        <w:t xml:space="preserve"> Crash:</w:t>
      </w:r>
      <w:r>
        <w:br/>
      </w:r>
      <w:r>
        <w:rPr>
          <w:rStyle w:val="NormalTok"/>
        </w:rPr>
        <w:t xml:space="preserve">                </w:t>
      </w:r>
      <w:r>
        <w:rPr>
          <w:rStyle w:val="ControlFlowTok"/>
        </w:rPr>
        <w:t xml:space="preserve">pass</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._point(</w:t>
      </w:r>
      <w:r>
        <w:rPr>
          <w:rStyle w:val="StringTok"/>
        </w:rPr>
        <w:t xml:space="preserve">"mid_phase2"</w:t>
      </w:r>
      <w:r>
        <w:rPr>
          <w:rStyle w:val="NormalTok"/>
        </w:rPr>
        <w:t xml:space="preserve">)</w:t>
      </w:r>
      <w:r>
        <w:br/>
      </w:r>
      <w:r>
        <w:rPr>
          <w:rStyle w:val="NormalTok"/>
        </w:rPr>
        <w:t xml:space="preserve">        </w:t>
      </w:r>
      <w:r>
        <w:rPr>
          <w:rStyle w:val="ControlFlowTok"/>
        </w:rPr>
        <w:t xml:space="preserve">if</w:t>
      </w:r>
      <w:r>
        <w:rPr>
          <w:rStyle w:val="NormalTok"/>
        </w:rPr>
        <w:t xml:space="preserve"> acked </w:t>
      </w:r>
      <w:r>
        <w:rPr>
          <w:rStyle w:val="OperatorTok"/>
        </w:rPr>
        <w:t xml:space="preserve">==</w:t>
      </w:r>
      <w:r>
        <w:rPr>
          <w:rStyle w:val="NormalTok"/>
        </w:rPr>
        <w:t xml:space="preserve"> </w:t>
      </w:r>
      <w:r>
        <w:rPr>
          <w:rStyle w:val="BuiltInTok"/>
        </w:rPr>
        <w:t xml:space="preserve">len</w:t>
      </w:r>
      <w:r>
        <w:rPr>
          <w:rStyle w:val="NormalTok"/>
        </w:rPr>
        <w:t xml:space="preserve">(names):</w:t>
      </w:r>
      <w:r>
        <w:br/>
      </w:r>
      <w:r>
        <w:rPr>
          <w:rStyle w:val="NormalTok"/>
        </w:rPr>
        <w:t xml:space="preserve">            </w:t>
      </w:r>
      <w:r>
        <w:rPr>
          <w:rStyle w:val="VariableTok"/>
        </w:rPr>
        <w:t xml:space="preserve">self</w:t>
      </w:r>
      <w:r>
        <w:rPr>
          <w:rStyle w:val="NormalTok"/>
        </w:rPr>
        <w:t xml:space="preserve">.log.append((</w:t>
      </w:r>
      <w:r>
        <w:rPr>
          <w:rStyle w:val="StringTok"/>
        </w:rPr>
        <w:t xml:space="preserve">"END"</w:t>
      </w:r>
      <w:r>
        <w:rPr>
          <w:rStyle w:val="NormalTok"/>
        </w:rPr>
        <w:t xml:space="preserve">, txid, </w:t>
      </w:r>
      <w:r>
        <w:rPr>
          <w:rStyle w:val="VariableTok"/>
        </w:rPr>
        <w:t xml:space="preserve">None</w:t>
      </w:r>
      <w:r>
        <w:rPr>
          <w:rStyle w:val="NormalTok"/>
        </w:rPr>
        <w:t xml:space="preserve">))   </w:t>
      </w:r>
      <w:r>
        <w:rPr>
          <w:rStyle w:val="CommentTok"/>
        </w:rPr>
        <w:t xml:space="preserve"># not forced; allows log truncation</w:t>
      </w:r>
      <w:r>
        <w:br/>
      </w:r>
      <w:r>
        <w:br/>
      </w:r>
      <w:r>
        <w:rPr>
          <w:rStyle w:val="NormalTok"/>
        </w:rPr>
        <w:t xml:space="preserve">    </w:t>
      </w:r>
      <w:r>
        <w:rPr>
          <w:rStyle w:val="KeywordTok"/>
        </w:rPr>
        <w:t xml:space="preserve">def</w:t>
      </w:r>
      <w:r>
        <w:rPr>
          <w:rStyle w:val="NormalTok"/>
        </w:rPr>
        <w:t xml:space="preserve"> outcome(</w:t>
      </w:r>
      <w:r>
        <w:rPr>
          <w:rStyle w:val="VariableTok"/>
        </w:rPr>
        <w:t xml:space="preserve">self</w:t>
      </w:r>
      <w:r>
        <w:rPr>
          <w:rStyle w:val="NormalTok"/>
        </w:rPr>
        <w:t xml:space="preserve">, txid):</w:t>
      </w:r>
      <w:r>
        <w:br/>
      </w:r>
      <w:r>
        <w:rPr>
          <w:rStyle w:val="NormalTok"/>
        </w:rPr>
        <w:t xml:space="preserve">        </w:t>
      </w:r>
      <w:r>
        <w:rPr>
          <w:rStyle w:val="CommentTok"/>
        </w:rPr>
        <w:t xml:space="preserve">"""Answer an inquiry. No COMMIT record means ABORT (presumed abort)."""</w:t>
      </w:r>
      <w:r>
        <w:br/>
      </w:r>
      <w:r>
        <w:rPr>
          <w:rStyle w:val="NormalTok"/>
        </w:rPr>
        <w:t xml:space="preserve">        </w:t>
      </w:r>
      <w:r>
        <w:rPr>
          <w:rStyle w:val="ControlFlowTok"/>
        </w:rPr>
        <w:t xml:space="preserve">return</w:t>
      </w:r>
      <w:r>
        <w:rPr>
          <w:rStyle w:val="NormalTok"/>
        </w:rPr>
        <w:t xml:space="preserve"> </w:t>
      </w:r>
      <w:r>
        <w:rPr>
          <w:rStyle w:val="StringTok"/>
        </w:rPr>
        <w:t xml:space="preserve">"COMMIT"</w:t>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(r </w:t>
      </w:r>
      <w:r>
        <w:rPr>
          <w:rStyle w:val="OperatorTok"/>
        </w:rPr>
        <w:t xml:space="preserve">==</w:t>
      </w:r>
      <w:r>
        <w:rPr>
          <w:rStyle w:val="NormalTok"/>
        </w:rPr>
        <w:t xml:space="preserve"> </w:t>
      </w:r>
      <w:r>
        <w:rPr>
          <w:rStyle w:val="StringTok"/>
        </w:rPr>
        <w:t xml:space="preserve">"COMMIT"</w:t>
      </w:r>
      <w:r>
        <w:rPr>
          <w:rStyle w:val="NormalTok"/>
        </w:rPr>
        <w:t xml:space="preserve"> </w:t>
      </w:r>
      <w:r>
        <w:rPr>
          <w:rStyle w:val="KeywordTok"/>
        </w:rPr>
        <w:t xml:space="preserve">and</w:t>
      </w:r>
      <w:r>
        <w:rPr>
          <w:rStyle w:val="NormalTok"/>
        </w:rPr>
        <w:t xml:space="preserve"> t </w:t>
      </w:r>
      <w:r>
        <w:rPr>
          <w:rStyle w:val="OperatorTok"/>
        </w:rPr>
        <w:t xml:space="preserve">==</w:t>
      </w:r>
      <w:r>
        <w:rPr>
          <w:rStyle w:val="NormalTok"/>
        </w:rPr>
        <w:t xml:space="preserve"> txid </w:t>
      </w:r>
      <w:r>
        <w:rPr>
          <w:rStyle w:val="ControlFlowTok"/>
        </w:rPr>
        <w:t xml:space="preserve">for</w:t>
      </w:r>
      <w:r>
        <w:rPr>
          <w:rStyle w:val="NormalTok"/>
        </w:rPr>
        <w:t xml:space="preserve"> r, t, _ </w:t>
      </w:r>
      <w:r>
        <w:rPr>
          <w:rStyle w:val="KeywordTok"/>
        </w:rPr>
        <w:t xml:space="preserve">in</w:t>
      </w:r>
      <w:r>
        <w:rPr>
          <w:rStyle w:val="NormalTok"/>
        </w:rPr>
        <w:t xml:space="preserve"> </w:t>
      </w:r>
      <w:r>
        <w:rPr>
          <w:rStyle w:val="VariableTok"/>
        </w:rPr>
        <w:t xml:space="preserve">self</w:t>
      </w:r>
      <w:r>
        <w:rPr>
          <w:rStyle w:val="NormalTok"/>
        </w:rPr>
        <w:t xml:space="preserve">.log) </w:t>
      </w:r>
      <w:r>
        <w:rPr>
          <w:rStyle w:val="ControlFlowTok"/>
        </w:rPr>
        <w:t xml:space="preserve">else</w:t>
      </w:r>
      <w:r>
        <w:rPr>
          <w:rStyle w:val="NormalTok"/>
        </w:rPr>
        <w:t xml:space="preserve"> </w:t>
      </w:r>
      <w:r>
        <w:rPr>
          <w:rStyle w:val="StringTok"/>
        </w:rPr>
        <w:t xml:space="preserve">"ABORT"</w:t>
      </w:r>
      <w:r>
        <w:br/>
      </w:r>
      <w:r>
        <w:br/>
      </w:r>
      <w:r>
        <w:rPr>
          <w:rStyle w:val="NormalTok"/>
        </w:rPr>
        <w:t xml:space="preserve">    </w:t>
      </w:r>
      <w:r>
        <w:rPr>
          <w:rStyle w:val="KeywordTok"/>
        </w:rPr>
        <w:t xml:space="preserve">def</w:t>
      </w:r>
      <w:r>
        <w:rPr>
          <w:rStyle w:val="NormalTok"/>
        </w:rPr>
        <w:t xml:space="preserve"> recover(</w:t>
      </w:r>
      <w:r>
        <w:rPr>
          <w:rStyle w:val="VariableTok"/>
        </w:rPr>
        <w:t xml:space="preserve">self</w:t>
      </w:r>
      <w:r>
        <w:rPr>
          <w:rStyle w:val="NormalTok"/>
        </w:rPr>
        <w:t xml:space="preserve">):</w:t>
      </w:r>
      <w:r>
        <w:br/>
      </w:r>
      <w:r>
        <w:rPr>
          <w:rStyle w:val="NormalTok"/>
        </w:rPr>
        <w:t xml:space="preserve">        </w:t>
      </w:r>
      <w:r>
        <w:rPr>
          <w:rStyle w:val="CommentTok"/>
        </w:rPr>
        <w:t xml:space="preserve">"""Re-drive phase 2 for every COMMIT without </w:t>
      </w:r>
      <w:r>
        <w:rPr>
          <w:rStyle w:val="RegionMarkerTok"/>
        </w:rPr>
        <w:t xml:space="preserve">END</w:t>
      </w:r>
      <w:r>
        <w:rPr>
          <w:rStyle w:val="CommentTok"/>
        </w:rPr>
        <w:t xml:space="preserve">; everything else is aborted."""</w:t>
      </w:r>
      <w:r>
        <w:br/>
      </w:r>
      <w:r>
        <w:rPr>
          <w:rStyle w:val="NormalTok"/>
        </w:rPr>
        <w:t xml:space="preserve">        </w:t>
      </w:r>
      <w:r>
        <w:rPr>
          <w:rStyle w:val="VariableTok"/>
        </w:rPr>
        <w:t xml:space="preserve">self</w:t>
      </w:r>
      <w:r>
        <w:rPr>
          <w:rStyle w:val="NormalTok"/>
        </w:rPr>
        <w:t xml:space="preserve">.up, </w:t>
      </w:r>
      <w:r>
        <w:rPr>
          <w:rStyle w:val="VariableTok"/>
        </w:rPr>
        <w:t xml:space="preserve">self</w:t>
      </w:r>
      <w:r>
        <w:rPr>
          <w:rStyle w:val="NormalTok"/>
        </w:rPr>
        <w:t xml:space="preserve">.crash_at </w:t>
      </w:r>
      <w:r>
        <w:rPr>
          <w:rStyle w:val="OperatorTok"/>
        </w:rPr>
        <w:t xml:space="preserve">=</w:t>
      </w:r>
      <w:r>
        <w:rPr>
          <w:rStyle w:val="NormalTok"/>
        </w:rPr>
        <w:t xml:space="preserve"> </w:t>
      </w:r>
      <w:r>
        <w:rPr>
          <w:rStyle w:val="VariableTok"/>
        </w:rPr>
        <w:t xml:space="preserve">True</w:t>
      </w:r>
      <w:r>
        <w:rPr>
          <w:rStyle w:val="NormalTok"/>
        </w:rPr>
        <w:t xml:space="preserve">, </w:t>
      </w:r>
      <w:r>
        <w:rPr>
          <w:rStyle w:val="VariableTok"/>
        </w:rPr>
        <w:t xml:space="preserve">None</w:t>
      </w:r>
      <w:r>
        <w:br/>
      </w:r>
      <w:r>
        <w:rPr>
          <w:rStyle w:val="NormalTok"/>
        </w:rPr>
        <w:t xml:space="preserve">        ended </w:t>
      </w:r>
      <w:r>
        <w:rPr>
          <w:rStyle w:val="OperatorTok"/>
        </w:rPr>
        <w:t xml:space="preserve">=</w:t>
      </w:r>
      <w:r>
        <w:rPr>
          <w:rStyle w:val="NormalTok"/>
        </w:rPr>
        <w:t xml:space="preserve"> {t </w:t>
      </w:r>
      <w:r>
        <w:rPr>
          <w:rStyle w:val="ControlFlowTok"/>
        </w:rPr>
        <w:t xml:space="preserve">for</w:t>
      </w:r>
      <w:r>
        <w:rPr>
          <w:rStyle w:val="NormalTok"/>
        </w:rPr>
        <w:t xml:space="preserve"> r, t, _ </w:t>
      </w:r>
      <w:r>
        <w:rPr>
          <w:rStyle w:val="KeywordTok"/>
        </w:rPr>
        <w:t xml:space="preserve">in</w:t>
      </w:r>
      <w:r>
        <w:rPr>
          <w:rStyle w:val="NormalTok"/>
        </w:rPr>
        <w:t xml:space="preserve"> </w:t>
      </w:r>
      <w:r>
        <w:rPr>
          <w:rStyle w:val="VariableTok"/>
        </w:rPr>
        <w:t xml:space="preserve">self</w:t>
      </w:r>
      <w:r>
        <w:rPr>
          <w:rStyle w:val="NormalTok"/>
        </w:rPr>
        <w:t xml:space="preserve">.log </w:t>
      </w:r>
      <w:r>
        <w:rPr>
          <w:rStyle w:val="ControlFlowTok"/>
        </w:rPr>
        <w:t xml:space="preserve">if</w:t>
      </w:r>
      <w:r>
        <w:rPr>
          <w:rStyle w:val="NormalTok"/>
        </w:rPr>
        <w:t xml:space="preserve"> r </w:t>
      </w:r>
      <w:r>
        <w:rPr>
          <w:rStyle w:val="OperatorTok"/>
        </w:rPr>
        <w:t xml:space="preserve">==</w:t>
      </w:r>
      <w:r>
        <w:rPr>
          <w:rStyle w:val="NormalTok"/>
        </w:rPr>
        <w:t xml:space="preserve"> </w:t>
      </w:r>
      <w:r>
        <w:rPr>
          <w:rStyle w:val="StringTok"/>
        </w:rPr>
        <w:t xml:space="preserve">"END"</w:t>
      </w:r>
      <w:r>
        <w:rPr>
          <w:rStyle w:val="NormalTok"/>
        </w:rPr>
        <w:t xml:space="preserve">}</w:t>
      </w:r>
      <w:r>
        <w:br/>
      </w:r>
      <w:r>
        <w:rPr>
          <w:rStyle w:val="NormalTok"/>
        </w:rPr>
        <w:t xml:space="preserve">        </w:t>
      </w:r>
      <w:r>
        <w:rPr>
          <w:rStyle w:val="ControlFlowTok"/>
        </w:rPr>
        <w:t xml:space="preserve">for</w:t>
      </w:r>
      <w:r>
        <w:rPr>
          <w:rStyle w:val="NormalTok"/>
        </w:rPr>
        <w:t xml:space="preserve"> rec, txid, names </w:t>
      </w:r>
      <w:r>
        <w:rPr>
          <w:rStyle w:val="KeywordTok"/>
        </w:rPr>
        <w:t xml:space="preserve">in</w:t>
      </w:r>
      <w:r>
        <w:rPr>
          <w:rStyle w:val="NormalTok"/>
        </w:rPr>
        <w:t xml:space="preserve"> </w:t>
      </w:r>
      <w:r>
        <w:rPr>
          <w:rStyle w:val="BuiltInTok"/>
        </w:rPr>
        <w:t xml:space="preserve">list</w:t>
      </w:r>
      <w:r>
        <w:rPr>
          <w:rStyle w:val="NormalTok"/>
        </w:rPr>
        <w:t xml:space="preserve">(</w:t>
      </w:r>
      <w:r>
        <w:rPr>
          <w:rStyle w:val="VariableTok"/>
        </w:rPr>
        <w:t xml:space="preserve">self</w:t>
      </w:r>
      <w:r>
        <w:rPr>
          <w:rStyle w:val="NormalTok"/>
        </w:rPr>
        <w:t xml:space="preserve">.log):</w:t>
      </w:r>
      <w:r>
        <w:br/>
      </w:r>
      <w:r>
        <w:rPr>
          <w:rStyle w:val="NormalTok"/>
        </w:rPr>
        <w:t xml:space="preserve">            </w:t>
      </w:r>
      <w:r>
        <w:rPr>
          <w:rStyle w:val="ControlFlowTok"/>
        </w:rPr>
        <w:t xml:space="preserve">if</w:t>
      </w:r>
      <w:r>
        <w:rPr>
          <w:rStyle w:val="NormalTok"/>
        </w:rPr>
        <w:t xml:space="preserve"> rec </w:t>
      </w:r>
      <w:r>
        <w:rPr>
          <w:rStyle w:val="OperatorTok"/>
        </w:rPr>
        <w:t xml:space="preserve">==</w:t>
      </w:r>
      <w:r>
        <w:rPr>
          <w:rStyle w:val="NormalTok"/>
        </w:rPr>
        <w:t xml:space="preserve"> </w:t>
      </w:r>
      <w:r>
        <w:rPr>
          <w:rStyle w:val="StringTok"/>
        </w:rPr>
        <w:t xml:space="preserve">"COMMIT"</w:t>
      </w:r>
      <w:r>
        <w:rPr>
          <w:rStyle w:val="NormalTok"/>
        </w:rPr>
        <w:t xml:space="preserve"> </w:t>
      </w:r>
      <w:r>
        <w:rPr>
          <w:rStyle w:val="KeywordTok"/>
        </w:rPr>
        <w:t xml:space="preserve">and</w:t>
      </w:r>
      <w:r>
        <w:rPr>
          <w:rStyle w:val="NormalTok"/>
        </w:rPr>
        <w:t xml:space="preserve"> txid </w:t>
      </w:r>
      <w:r>
        <w:rPr>
          <w:rStyle w:val="KeywordTok"/>
        </w:rPr>
        <w:t xml:space="preserve">not</w:t>
      </w:r>
      <w:r>
        <w:rPr>
          <w:rStyle w:val="NormalTok"/>
        </w:rPr>
        <w:t xml:space="preserve"> </w:t>
      </w:r>
      <w:r>
        <w:rPr>
          <w:rStyle w:val="KeywordTok"/>
        </w:rPr>
        <w:t xml:space="preserve">in</w:t>
      </w:r>
      <w:r>
        <w:rPr>
          <w:rStyle w:val="NormalTok"/>
        </w:rPr>
        <w:t xml:space="preserve"> ended:</w:t>
      </w:r>
      <w:r>
        <w:br/>
      </w:r>
      <w:r>
        <w:rPr>
          <w:rStyle w:val="NormalTok"/>
        </w:rPr>
        <w:t xml:space="preserve">                </w:t>
      </w:r>
      <w:r>
        <w:rPr>
          <w:rStyle w:val="VariableTok"/>
        </w:rPr>
        <w:t xml:space="preserve">self</w:t>
      </w:r>
      <w:r>
        <w:rPr>
          <w:rStyle w:val="NormalTok"/>
        </w:rPr>
        <w:t xml:space="preserve">._send(txid, </w:t>
      </w:r>
      <w:r>
        <w:rPr>
          <w:rStyle w:val="StringTok"/>
        </w:rPr>
        <w:t xml:space="preserve">"COMMIT"</w:t>
      </w:r>
      <w:r>
        <w:rPr>
          <w:rStyle w:val="NormalTok"/>
        </w:rPr>
        <w:t xml:space="preserve">, names)</w:t>
      </w:r>
      <w:r>
        <w:br/>
      </w:r>
      <w:r>
        <w:br/>
      </w:r>
      <w:r>
        <w:br/>
      </w:r>
      <w:r>
        <w:rPr>
          <w:rStyle w:val="KeywordTok"/>
        </w:rPr>
        <w:t xml:space="preserve">def</w:t>
      </w:r>
      <w:r>
        <w:rPr>
          <w:rStyle w:val="NormalTok"/>
        </w:rPr>
        <w:t xml:space="preserve"> bank():</w:t>
      </w:r>
      <w:r>
        <w:br/>
      </w:r>
      <w:r>
        <w:rPr>
          <w:rStyle w:val="NormalTok"/>
        </w:rPr>
        <w:t xml:space="preserve">    a, b </w:t>
      </w:r>
      <w:r>
        <w:rPr>
          <w:rStyle w:val="OperatorTok"/>
        </w:rPr>
        <w:t xml:space="preserve">=</w:t>
      </w:r>
      <w:r>
        <w:rPr>
          <w:rStyle w:val="NormalTok"/>
        </w:rPr>
        <w:t xml:space="preserve"> Participant(</w:t>
      </w:r>
      <w:r>
        <w:rPr>
          <w:rStyle w:val="StringTok"/>
        </w:rPr>
        <w:t xml:space="preserve">"A"</w:t>
      </w:r>
      <w:r>
        <w:rPr>
          <w:rStyle w:val="NormalTok"/>
        </w:rPr>
        <w:t xml:space="preserve">, {</w:t>
      </w:r>
      <w:r>
        <w:rPr>
          <w:rStyle w:val="StringTok"/>
        </w:rPr>
        <w:t xml:space="preserve">"acct7"</w:t>
      </w:r>
      <w:r>
        <w:rPr>
          <w:rStyle w:val="NormalTok"/>
        </w:rPr>
        <w:t xml:space="preserve">: </w:t>
      </w:r>
      <w:r>
        <w:rPr>
          <w:rStyle w:val="DecValTok"/>
        </w:rPr>
        <w:t xml:space="preserve">50_000</w:t>
      </w:r>
      <w:r>
        <w:rPr>
          <w:rStyle w:val="NormalTok"/>
        </w:rPr>
        <w:t xml:space="preserve">}), Participant(</w:t>
      </w:r>
      <w:r>
        <w:rPr>
          <w:rStyle w:val="StringTok"/>
        </w:rPr>
        <w:t xml:space="preserve">"B"</w:t>
      </w:r>
      <w:r>
        <w:rPr>
          <w:rStyle w:val="NormalTok"/>
        </w:rPr>
        <w:t xml:space="preserve">, {</w:t>
      </w:r>
      <w:r>
        <w:rPr>
          <w:rStyle w:val="StringTok"/>
        </w:rPr>
        <w:t xml:space="preserve">"acct9"</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a, b, Coordinator([a, b])</w:t>
      </w:r>
      <w:r>
        <w:br/>
      </w:r>
      <w:r>
        <w:br/>
      </w:r>
      <w:r>
        <w:br/>
      </w:r>
      <w:r>
        <w:rPr>
          <w:rStyle w:val="NormalTok"/>
        </w:rPr>
        <w:t xml:space="preserve">TRANSFER </w:t>
      </w:r>
      <w:r>
        <w:rPr>
          <w:rStyle w:val="OperatorTok"/>
        </w:rPr>
        <w:t xml:space="preserve">=</w:t>
      </w:r>
      <w:r>
        <w:rPr>
          <w:rStyle w:val="NormalTok"/>
        </w:rPr>
        <w:t xml:space="preserve"> {</w:t>
      </w:r>
      <w:r>
        <w:rPr>
          <w:rStyle w:val="StringTok"/>
        </w:rPr>
        <w:t xml:space="preserve">"A"</w:t>
      </w:r>
      <w:r>
        <w:rPr>
          <w:rStyle w:val="NormalTok"/>
        </w:rPr>
        <w:t xml:space="preserve">: {</w:t>
      </w:r>
      <w:r>
        <w:rPr>
          <w:rStyle w:val="StringTok"/>
        </w:rPr>
        <w:t xml:space="preserve">"acct7"</w:t>
      </w:r>
      <w:r>
        <w:rPr>
          <w:rStyle w:val="NormalTok"/>
        </w:rPr>
        <w:t xml:space="preserve">: </w:t>
      </w:r>
      <w:r>
        <w:rPr>
          <w:rStyle w:val="OperatorTok"/>
        </w:rPr>
        <w:t xml:space="preserve">-</w:t>
      </w:r>
      <w:r>
        <w:rPr>
          <w:rStyle w:val="DecValTok"/>
        </w:rPr>
        <w:t xml:space="preserve">10_000</w:t>
      </w:r>
      <w:r>
        <w:rPr>
          <w:rStyle w:val="NormalTok"/>
        </w:rPr>
        <w:t xml:space="preserve">}, </w:t>
      </w:r>
      <w:r>
        <w:rPr>
          <w:rStyle w:val="StringTok"/>
        </w:rPr>
        <w:t xml:space="preserve">"B"</w:t>
      </w:r>
      <w:r>
        <w:rPr>
          <w:rStyle w:val="NormalTok"/>
        </w:rPr>
        <w:t xml:space="preserve">: {</w:t>
      </w:r>
      <w:r>
        <w:rPr>
          <w:rStyle w:val="StringTok"/>
        </w:rPr>
        <w:t xml:space="preserve">"acct9"</w:t>
      </w:r>
      <w:r>
        <w:rPr>
          <w:rStyle w:val="NormalTok"/>
        </w:rPr>
        <w:t xml:space="preserve">: </w:t>
      </w:r>
      <w:r>
        <w:rPr>
          <w:rStyle w:val="OperatorTok"/>
        </w:rPr>
        <w:t xml:space="preserve">+</w:t>
      </w:r>
      <w:r>
        <w:rPr>
          <w:rStyle w:val="DecValTok"/>
        </w:rPr>
        <w:t xml:space="preserve">10_000</w:t>
      </w:r>
      <w:r>
        <w:rPr>
          <w:rStyle w:val="NormalTok"/>
        </w:rPr>
        <w:t xml:space="preserve">}}</w:t>
      </w:r>
      <w:r>
        <w:br/>
      </w:r>
      <w:r>
        <w:br/>
      </w:r>
      <w:r>
        <w:br/>
      </w:r>
      <w:r>
        <w:rPr>
          <w:rStyle w:val="KeywordTok"/>
        </w:rPr>
        <w:t xml:space="preserve">class</w:t>
      </w:r>
      <w:r>
        <w:rPr>
          <w:rStyle w:val="NormalTok"/>
        </w:rPr>
        <w:t xml:space="preserve"> TwoPhaseCommitTests(unittest.TestCase):</w:t>
      </w:r>
      <w:r>
        <w:br/>
      </w:r>
      <w:r>
        <w:rPr>
          <w:rStyle w:val="NormalTok"/>
        </w:rPr>
        <w:t xml:space="preserve">    </w:t>
      </w:r>
      <w:r>
        <w:rPr>
          <w:rStyle w:val="KeywordTok"/>
        </w:rPr>
        <w:t xml:space="preserve">def</w:t>
      </w:r>
      <w:r>
        <w:rPr>
          <w:rStyle w:val="NormalTok"/>
        </w:rPr>
        <w:t xml:space="preserve"> total(</w:t>
      </w:r>
      <w:r>
        <w:rPr>
          <w:rStyle w:val="VariableTok"/>
        </w:rPr>
        <w:t xml:space="preserve">self</w:t>
      </w:r>
      <w:r>
        <w:rPr>
          <w:rStyle w:val="NormalTok"/>
        </w:rPr>
        <w:t xml:space="preserve">, a, b):</w:t>
      </w:r>
      <w:r>
        <w:br/>
      </w:r>
      <w:r>
        <w:rPr>
          <w:rStyle w:val="NormalTok"/>
        </w:rPr>
        <w:t xml:space="preserve">        </w:t>
      </w:r>
      <w:r>
        <w:rPr>
          <w:rStyle w:val="ControlFlowTok"/>
        </w:rPr>
        <w:t xml:space="preserve">return</w:t>
      </w:r>
      <w:r>
        <w:rPr>
          <w:rStyle w:val="NormalTok"/>
        </w:rPr>
        <w:t xml:space="preserve"> a.data[</w:t>
      </w:r>
      <w:r>
        <w:rPr>
          <w:rStyle w:val="StringTok"/>
        </w:rPr>
        <w:t xml:space="preserve">"acct7"</w:t>
      </w:r>
      <w:r>
        <w:rPr>
          <w:rStyle w:val="NormalTok"/>
        </w:rPr>
        <w:t xml:space="preserve">] </w:t>
      </w:r>
      <w:r>
        <w:rPr>
          <w:rStyle w:val="OperatorTok"/>
        </w:rPr>
        <w:t xml:space="preserve">+</w:t>
      </w:r>
      <w:r>
        <w:rPr>
          <w:rStyle w:val="NormalTok"/>
        </w:rPr>
        <w:t xml:space="preserve"> b.data[</w:t>
      </w:r>
      <w:r>
        <w:rPr>
          <w:rStyle w:val="StringTok"/>
        </w:rPr>
        <w:t xml:space="preserve">"acct9"</w:t>
      </w:r>
      <w:r>
        <w:rPr>
          <w:rStyle w:val="NormalTok"/>
        </w:rPr>
        <w:t xml:space="preserve">]</w:t>
      </w:r>
      <w:r>
        <w:br/>
      </w:r>
      <w:r>
        <w:br/>
      </w:r>
      <w:r>
        <w:rPr>
          <w:rStyle w:val="NormalTok"/>
        </w:rPr>
        <w:t xml:space="preserve">    </w:t>
      </w:r>
      <w:r>
        <w:rPr>
          <w:rStyle w:val="KeywordTok"/>
        </w:rPr>
        <w:t xml:space="preserve">def</w:t>
      </w:r>
      <w:r>
        <w:rPr>
          <w:rStyle w:val="NormalTok"/>
        </w:rPr>
        <w:t xml:space="preserve"> test_happy_path(</w:t>
      </w:r>
      <w:r>
        <w:rPr>
          <w:rStyle w:val="VariableTok"/>
        </w:rPr>
        <w:t xml:space="preserve">self</w:t>
      </w:r>
      <w:r>
        <w:rPr>
          <w:rStyle w:val="NormalTok"/>
        </w:rPr>
        <w:t xml:space="preserve">):</w:t>
      </w:r>
      <w:r>
        <w:br/>
      </w:r>
      <w:r>
        <w:rPr>
          <w:rStyle w:val="NormalTok"/>
        </w:rPr>
        <w:t xml:space="preserve">        a, b, c </w:t>
      </w:r>
      <w:r>
        <w:rPr>
          <w:rStyle w:val="OperatorTok"/>
        </w:rPr>
        <w:t xml:space="preserve">=</w:t>
      </w:r>
      <w:r>
        <w:rPr>
          <w:rStyle w:val="NormalTok"/>
        </w:rPr>
        <w:t xml:space="preserve"> bank()</w:t>
      </w:r>
      <w:r>
        <w:br/>
      </w:r>
      <w:r>
        <w:rPr>
          <w:rStyle w:val="NormalTok"/>
        </w:rPr>
        <w:t xml:space="preserve">        </w:t>
      </w:r>
      <w:r>
        <w:rPr>
          <w:rStyle w:val="VariableTok"/>
        </w:rPr>
        <w:t xml:space="preserve">self</w:t>
      </w:r>
      <w:r>
        <w:rPr>
          <w:rStyle w:val="NormalTok"/>
        </w:rPr>
        <w:t xml:space="preserve">.assertEqual(c.run(</w:t>
      </w:r>
      <w:r>
        <w:rPr>
          <w:rStyle w:val="StringTok"/>
        </w:rPr>
        <w:t xml:space="preserve">"t1"</w:t>
      </w:r>
      <w:r>
        <w:rPr>
          <w:rStyle w:val="NormalTok"/>
        </w:rPr>
        <w:t xml:space="preserve">, TRANSFER), </w:t>
      </w:r>
      <w:r>
        <w:rPr>
          <w:rStyle w:val="StringTok"/>
        </w:rPr>
        <w:t xml:space="preserve">"COMMIT"</w:t>
      </w:r>
      <w:r>
        <w:rPr>
          <w:rStyle w:val="NormalTok"/>
        </w:rPr>
        <w:t xml:space="preserve">)</w:t>
      </w:r>
      <w:r>
        <w:br/>
      </w:r>
      <w:r>
        <w:rPr>
          <w:rStyle w:val="NormalTok"/>
        </w:rPr>
        <w:t xml:space="preserve">        </w:t>
      </w:r>
      <w:r>
        <w:rPr>
          <w:rStyle w:val="VariableTok"/>
        </w:rPr>
        <w:t xml:space="preserve">self</w:t>
      </w:r>
      <w:r>
        <w:rPr>
          <w:rStyle w:val="NormalTok"/>
        </w:rPr>
        <w:t xml:space="preserve">.assertEqual((a.data[</w:t>
      </w:r>
      <w:r>
        <w:rPr>
          <w:rStyle w:val="StringTok"/>
        </w:rPr>
        <w:t xml:space="preserve">"acct7"</w:t>
      </w:r>
      <w:r>
        <w:rPr>
          <w:rStyle w:val="NormalTok"/>
        </w:rPr>
        <w:t xml:space="preserve">], b.data[</w:t>
      </w:r>
      <w:r>
        <w:rPr>
          <w:rStyle w:val="StringTok"/>
        </w:rPr>
        <w:t xml:space="preserve">"acct9"</w:t>
      </w:r>
      <w:r>
        <w:rPr>
          <w:rStyle w:val="NormalTok"/>
        </w:rPr>
        <w:t xml:space="preserve">]), (</w:t>
      </w:r>
      <w:r>
        <w:rPr>
          <w:rStyle w:val="DecValTok"/>
        </w:rPr>
        <w:t xml:space="preserve">40_000</w:t>
      </w:r>
      <w:r>
        <w:rPr>
          <w:rStyle w:val="NormalTok"/>
        </w:rPr>
        <w:t xml:space="preserve">, </w:t>
      </w:r>
      <w:r>
        <w:rPr>
          <w:rStyle w:val="DecValTok"/>
        </w:rPr>
        <w:t xml:space="preserve">10_000</w:t>
      </w:r>
      <w:r>
        <w:rPr>
          <w:rStyle w:val="NormalTok"/>
        </w:rPr>
        <w:t xml:space="preserve">))</w:t>
      </w:r>
      <w:r>
        <w:br/>
      </w:r>
      <w:r>
        <w:rPr>
          <w:rStyle w:val="NormalTok"/>
        </w:rPr>
        <w:t xml:space="preserve">        </w:t>
      </w:r>
      <w:r>
        <w:rPr>
          <w:rStyle w:val="VariableTok"/>
        </w:rPr>
        <w:t xml:space="preserve">self</w:t>
      </w:r>
      <w:r>
        <w:rPr>
          <w:rStyle w:val="NormalTok"/>
        </w:rPr>
        <w:t xml:space="preserve">.assertEqual([r </w:t>
      </w:r>
      <w:r>
        <w:rPr>
          <w:rStyle w:val="ControlFlowTok"/>
        </w:rPr>
        <w:t xml:space="preserve">for</w:t>
      </w:r>
      <w:r>
        <w:rPr>
          <w:rStyle w:val="NormalTok"/>
        </w:rPr>
        <w:t xml:space="preserve"> r, _, _ </w:t>
      </w:r>
      <w:r>
        <w:rPr>
          <w:rStyle w:val="KeywordTok"/>
        </w:rPr>
        <w:t xml:space="preserve">in</w:t>
      </w:r>
      <w:r>
        <w:rPr>
          <w:rStyle w:val="NormalTok"/>
        </w:rPr>
        <w:t xml:space="preserve"> c.log], [</w:t>
      </w:r>
      <w:r>
        <w:rPr>
          <w:rStyle w:val="StringTok"/>
        </w:rPr>
        <w:t xml:space="preserve">"COMMIT"</w:t>
      </w:r>
      <w:r>
        <w:rPr>
          <w:rStyle w:val="NormalTok"/>
        </w:rPr>
        <w:t xml:space="preserve">, </w:t>
      </w:r>
      <w:r>
        <w:rPr>
          <w:rStyle w:val="StringTok"/>
        </w:rPr>
        <w:t xml:space="preserve">"END"</w:t>
      </w:r>
      <w:r>
        <w:rPr>
          <w:rStyle w:val="NormalTok"/>
        </w:rPr>
        <w:t xml:space="preserve">])</w:t>
      </w:r>
      <w:r>
        <w:br/>
      </w:r>
      <w:r>
        <w:rPr>
          <w:rStyle w:val="NormalTok"/>
        </w:rPr>
        <w:t xml:space="preserve">        </w:t>
      </w:r>
      <w:r>
        <w:rPr>
          <w:rStyle w:val="VariableTok"/>
        </w:rPr>
        <w:t xml:space="preserve">self</w:t>
      </w:r>
      <w:r>
        <w:rPr>
          <w:rStyle w:val="NormalTok"/>
        </w:rPr>
        <w:t xml:space="preserve">.assertEqual(a.locks, {})</w:t>
      </w:r>
      <w:r>
        <w:br/>
      </w:r>
      <w:r>
        <w:br/>
      </w:r>
      <w:r>
        <w:rPr>
          <w:rStyle w:val="NormalTok"/>
        </w:rPr>
        <w:t xml:space="preserve">    </w:t>
      </w:r>
      <w:r>
        <w:rPr>
          <w:rStyle w:val="KeywordTok"/>
        </w:rPr>
        <w:t xml:space="preserve">def</w:t>
      </w:r>
      <w:r>
        <w:rPr>
          <w:rStyle w:val="NormalTok"/>
        </w:rPr>
        <w:t xml:space="preserve"> test_no_vote_aborts_without_coordinator_log(</w:t>
      </w:r>
      <w:r>
        <w:rPr>
          <w:rStyle w:val="VariableTok"/>
        </w:rPr>
        <w:t xml:space="preserve">self</w:t>
      </w:r>
      <w:r>
        <w:rPr>
          <w:rStyle w:val="NormalTok"/>
        </w:rPr>
        <w:t xml:space="preserve">):</w:t>
      </w:r>
      <w:r>
        <w:br/>
      </w:r>
      <w:r>
        <w:rPr>
          <w:rStyle w:val="NormalTok"/>
        </w:rPr>
        <w:t xml:space="preserve">        a, b, c </w:t>
      </w:r>
      <w:r>
        <w:rPr>
          <w:rStyle w:val="OperatorTok"/>
        </w:rPr>
        <w:t xml:space="preserve">=</w:t>
      </w:r>
      <w:r>
        <w:rPr>
          <w:rStyle w:val="NormalTok"/>
        </w:rPr>
        <w:t xml:space="preserve"> bank()</w:t>
      </w:r>
      <w:r>
        <w:br/>
      </w:r>
      <w:r>
        <w:rPr>
          <w:rStyle w:val="NormalTok"/>
        </w:rPr>
        <w:t xml:space="preserve">        plan </w:t>
      </w:r>
      <w:r>
        <w:rPr>
          <w:rStyle w:val="OperatorTok"/>
        </w:rPr>
        <w:t xml:space="preserve">=</w:t>
      </w:r>
      <w:r>
        <w:rPr>
          <w:rStyle w:val="NormalTok"/>
        </w:rPr>
        <w:t xml:space="preserve"> {</w:t>
      </w:r>
      <w:r>
        <w:rPr>
          <w:rStyle w:val="StringTok"/>
        </w:rPr>
        <w:t xml:space="preserve">"A"</w:t>
      </w:r>
      <w:r>
        <w:rPr>
          <w:rStyle w:val="NormalTok"/>
        </w:rPr>
        <w:t xml:space="preserve">: {</w:t>
      </w:r>
      <w:r>
        <w:rPr>
          <w:rStyle w:val="StringTok"/>
        </w:rPr>
        <w:t xml:space="preserve">"acct7"</w:t>
      </w:r>
      <w:r>
        <w:rPr>
          <w:rStyle w:val="NormalTok"/>
        </w:rPr>
        <w:t xml:space="preserve">: </w:t>
      </w:r>
      <w:r>
        <w:rPr>
          <w:rStyle w:val="OperatorTok"/>
        </w:rPr>
        <w:t xml:space="preserve">-</w:t>
      </w:r>
      <w:r>
        <w:rPr>
          <w:rStyle w:val="DecValTok"/>
        </w:rPr>
        <w:t xml:space="preserve">60_000</w:t>
      </w:r>
      <w:r>
        <w:rPr>
          <w:rStyle w:val="NormalTok"/>
        </w:rPr>
        <w:t xml:space="preserve">}, </w:t>
      </w:r>
      <w:r>
        <w:rPr>
          <w:rStyle w:val="StringTok"/>
        </w:rPr>
        <w:t xml:space="preserve">"B"</w:t>
      </w:r>
      <w:r>
        <w:rPr>
          <w:rStyle w:val="NormalTok"/>
        </w:rPr>
        <w:t xml:space="preserve">: {</w:t>
      </w:r>
      <w:r>
        <w:rPr>
          <w:rStyle w:val="StringTok"/>
        </w:rPr>
        <w:t xml:space="preserve">"acct9"</w:t>
      </w:r>
      <w:r>
        <w:rPr>
          <w:rStyle w:val="NormalTok"/>
        </w:rPr>
        <w:t xml:space="preserve">: </w:t>
      </w:r>
      <w:r>
        <w:rPr>
          <w:rStyle w:val="OperatorTok"/>
        </w:rPr>
        <w:t xml:space="preserve">+</w:t>
      </w:r>
      <w:r>
        <w:rPr>
          <w:rStyle w:val="DecValTok"/>
        </w:rPr>
        <w:t xml:space="preserve">60_000</w:t>
      </w:r>
      <w:r>
        <w:rPr>
          <w:rStyle w:val="NormalTok"/>
        </w:rPr>
        <w:t xml:space="preserve">}}   </w:t>
      </w:r>
      <w:r>
        <w:rPr>
          <w:rStyle w:val="CommentTok"/>
        </w:rPr>
        <w:t xml:space="preserve"># overdraft</w:t>
      </w:r>
      <w:r>
        <w:br/>
      </w:r>
      <w:r>
        <w:rPr>
          <w:rStyle w:val="NormalTok"/>
        </w:rPr>
        <w:t xml:space="preserve">        </w:t>
      </w:r>
      <w:r>
        <w:rPr>
          <w:rStyle w:val="VariableTok"/>
        </w:rPr>
        <w:t xml:space="preserve">self</w:t>
      </w:r>
      <w:r>
        <w:rPr>
          <w:rStyle w:val="NormalTok"/>
        </w:rPr>
        <w:t xml:space="preserve">.assertEqual(c.run(</w:t>
      </w:r>
      <w:r>
        <w:rPr>
          <w:rStyle w:val="StringTok"/>
        </w:rPr>
        <w:t xml:space="preserve">"t1"</w:t>
      </w:r>
      <w:r>
        <w:rPr>
          <w:rStyle w:val="NormalTok"/>
        </w:rPr>
        <w:t xml:space="preserve">, plan), </w:t>
      </w:r>
      <w:r>
        <w:rPr>
          <w:rStyle w:val="StringTok"/>
        </w:rPr>
        <w:t xml:space="preserve">"ABORT"</w:t>
      </w:r>
      <w:r>
        <w:rPr>
          <w:rStyle w:val="NormalTok"/>
        </w:rPr>
        <w:t xml:space="preserve">)</w:t>
      </w:r>
      <w:r>
        <w:br/>
      </w:r>
      <w:r>
        <w:rPr>
          <w:rStyle w:val="NormalTok"/>
        </w:rPr>
        <w:t xml:space="preserve">        </w:t>
      </w:r>
      <w:r>
        <w:rPr>
          <w:rStyle w:val="VariableTok"/>
        </w:rPr>
        <w:t xml:space="preserve">self</w:t>
      </w:r>
      <w:r>
        <w:rPr>
          <w:rStyle w:val="NormalTok"/>
        </w:rPr>
        <w:t xml:space="preserve">.assertEqual(c.log, [])                </w:t>
      </w:r>
      <w:r>
        <w:rPr>
          <w:rStyle w:val="CommentTok"/>
        </w:rPr>
        <w:t xml:space="preserve"># presumed abort: nothing logged</w:t>
      </w:r>
      <w:r>
        <w:br/>
      </w:r>
      <w:r>
        <w:rPr>
          <w:rStyle w:val="NormalTok"/>
        </w:rPr>
        <w:t xml:space="preserve">        </w:t>
      </w:r>
      <w:r>
        <w:rPr>
          <w:rStyle w:val="VariableTok"/>
        </w:rPr>
        <w:t xml:space="preserve">self</w:t>
      </w:r>
      <w:r>
        <w:rPr>
          <w:rStyle w:val="NormalTok"/>
        </w:rPr>
        <w:t xml:space="preserve">.assertEqual((a.data[</w:t>
      </w:r>
      <w:r>
        <w:rPr>
          <w:rStyle w:val="StringTok"/>
        </w:rPr>
        <w:t xml:space="preserve">"acct7"</w:t>
      </w:r>
      <w:r>
        <w:rPr>
          <w:rStyle w:val="NormalTok"/>
        </w:rPr>
        <w:t xml:space="preserve">], b.data[</w:t>
      </w:r>
      <w:r>
        <w:rPr>
          <w:rStyle w:val="StringTok"/>
        </w:rPr>
        <w:t xml:space="preserve">"acct9"</w:t>
      </w:r>
      <w:r>
        <w:rPr>
          <w:rStyle w:val="NormalTok"/>
        </w:rPr>
        <w:t xml:space="preserve">]), (</w:t>
      </w:r>
      <w:r>
        <w:rPr>
          <w:rStyle w:val="DecValTok"/>
        </w:rPr>
        <w:t xml:space="preserve">50_000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.assertEqual((a.locks, b.locks), ({}, {}))</w:t>
      </w:r>
      <w:r>
        <w:br/>
      </w:r>
      <w:r>
        <w:br/>
      </w:r>
      <w:r>
        <w:rPr>
          <w:rStyle w:val="NormalTok"/>
        </w:rPr>
        <w:t xml:space="preserve">    </w:t>
      </w:r>
      <w:r>
        <w:rPr>
          <w:rStyle w:val="KeywordTok"/>
        </w:rPr>
        <w:t xml:space="preserve">def</w:t>
      </w:r>
      <w:r>
        <w:rPr>
          <w:rStyle w:val="NormalTok"/>
        </w:rPr>
        <w:t xml:space="preserve"> test_crash_before_decision_blocks_then_aborts(</w:t>
      </w:r>
      <w:r>
        <w:rPr>
          <w:rStyle w:val="VariableTok"/>
        </w:rPr>
        <w:t xml:space="preserve">self</w:t>
      </w:r>
      <w:r>
        <w:rPr>
          <w:rStyle w:val="NormalTok"/>
        </w:rPr>
        <w:t xml:space="preserve">):</w:t>
      </w:r>
      <w:r>
        <w:br/>
      </w:r>
      <w:r>
        <w:rPr>
          <w:rStyle w:val="NormalTok"/>
        </w:rPr>
        <w:t xml:space="preserve">        a, b, c </w:t>
      </w:r>
      <w:r>
        <w:rPr>
          <w:rStyle w:val="OperatorTok"/>
        </w:rPr>
        <w:t xml:space="preserve">=</w:t>
      </w:r>
      <w:r>
        <w:rPr>
          <w:rStyle w:val="NormalTok"/>
        </w:rPr>
        <w:t xml:space="preserve"> bank()</w:t>
      </w:r>
      <w:r>
        <w:br/>
      </w:r>
      <w:r>
        <w:rPr>
          <w:rStyle w:val="NormalTok"/>
        </w:rPr>
        <w:t xml:space="preserve">        c.crash_at </w:t>
      </w:r>
      <w:r>
        <w:rPr>
          <w:rStyle w:val="OperatorTok"/>
        </w:rPr>
        <w:t xml:space="preserve">=</w:t>
      </w:r>
      <w:r>
        <w:rPr>
          <w:rStyle w:val="NormalTok"/>
        </w:rPr>
        <w:t xml:space="preserve"> </w:t>
      </w:r>
      <w:r>
        <w:rPr>
          <w:rStyle w:val="StringTok"/>
        </w:rPr>
        <w:t xml:space="preserve">"after_votes"</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.assertRaises(Crash):</w:t>
      </w:r>
      <w:r>
        <w:br/>
      </w:r>
      <w:r>
        <w:rPr>
          <w:rStyle w:val="NormalTok"/>
        </w:rPr>
        <w:t xml:space="preserve">            c.run(</w:t>
      </w:r>
      <w:r>
        <w:rPr>
          <w:rStyle w:val="StringTok"/>
        </w:rPr>
        <w:t xml:space="preserve">"t1"</w:t>
      </w:r>
      <w:r>
        <w:rPr>
          <w:rStyle w:val="NormalTok"/>
        </w:rPr>
        <w:t xml:space="preserve">, TRANSFER)</w:t>
      </w:r>
      <w:r>
        <w:br/>
      </w:r>
      <w:r>
        <w:rPr>
          <w:rStyle w:val="NormalTok"/>
        </w:rPr>
        <w:t xml:space="preserve">        </w:t>
      </w:r>
      <w:r>
        <w:rPr>
          <w:rStyle w:val="VariableTok"/>
        </w:rPr>
        <w:t xml:space="preserve">self</w:t>
      </w:r>
      <w:r>
        <w:rPr>
          <w:rStyle w:val="NormalTok"/>
        </w:rPr>
        <w:t xml:space="preserve">.assertEqual((a.in_doubt(), b.in_doubt()), ([</w:t>
      </w:r>
      <w:r>
        <w:rPr>
          <w:rStyle w:val="StringTok"/>
        </w:rPr>
        <w:t xml:space="preserve">"t1"</w:t>
      </w:r>
      <w:r>
        <w:rPr>
          <w:rStyle w:val="NormalTok"/>
        </w:rPr>
        <w:t xml:space="preserve">], [</w:t>
      </w:r>
      <w:r>
        <w:rPr>
          <w:rStyle w:val="StringTok"/>
        </w:rPr>
        <w:t xml:space="preserve">"t1"</w:t>
      </w:r>
      <w:r>
        <w:rPr>
          <w:rStyle w:val="NormalTok"/>
        </w:rPr>
        <w:t xml:space="preserve">]))</w:t>
      </w:r>
      <w:r>
        <w:br/>
      </w:r>
      <w:r>
        <w:rPr>
          <w:rStyle w:val="NormalTok"/>
        </w:rPr>
        <w:t xml:space="preserve">        </w:t>
      </w:r>
      <w:r>
        <w:rPr>
          <w:rStyle w:val="VariableTok"/>
        </w:rPr>
        <w:t xml:space="preserve">self</w:t>
      </w:r>
      <w:r>
        <w:rPr>
          <w:rStyle w:val="NormalTok"/>
        </w:rPr>
        <w:t xml:space="preserve">.assertFalse(a.resolve(c))             </w:t>
      </w:r>
      <w:r>
        <w:rPr>
          <w:rStyle w:val="CommentTok"/>
        </w:rPr>
        <w:t xml:space="preserve"># blocked while coordinator is down</w:t>
      </w:r>
      <w:r>
        <w:br/>
      </w:r>
      <w:r>
        <w:rPr>
          <w:rStyle w:val="NormalTok"/>
        </w:rPr>
        <w:t xml:space="preserve">        </w:t>
      </w:r>
      <w:r>
        <w:rPr>
          <w:rStyle w:val="VariableTok"/>
        </w:rPr>
        <w:t xml:space="preserve">self</w:t>
      </w:r>
      <w:r>
        <w:rPr>
          <w:rStyle w:val="NormalTok"/>
        </w:rPr>
        <w:t xml:space="preserve">.assertEqual(a.prepare(</w:t>
      </w:r>
      <w:r>
        <w:rPr>
          <w:rStyle w:val="StringTok"/>
        </w:rPr>
        <w:t xml:space="preserve">"t2"</w:t>
      </w:r>
      <w:r>
        <w:rPr>
          <w:rStyle w:val="NormalTok"/>
        </w:rPr>
        <w:t xml:space="preserve">, {</w:t>
      </w:r>
      <w:r>
        <w:rPr>
          <w:rStyle w:val="StringTok"/>
        </w:rPr>
        <w:t xml:space="preserve">"acct7"</w:t>
      </w:r>
      <w:r>
        <w:rPr>
          <w:rStyle w:val="NormalTok"/>
        </w:rPr>
        <w:t xml:space="preserve">: </w:t>
      </w:r>
      <w:r>
        <w:rPr>
          <w:rStyle w:val="OperatorTok"/>
        </w:rPr>
        <w:t xml:space="preserve">-</w:t>
      </w:r>
      <w:r>
        <w:rPr>
          <w:rStyle w:val="DecValTok"/>
        </w:rPr>
        <w:t xml:space="preserve">1</w:t>
      </w:r>
      <w:r>
        <w:rPr>
          <w:rStyle w:val="NormalTok"/>
        </w:rPr>
        <w:t xml:space="preserve">}), </w:t>
      </w:r>
      <w:r>
        <w:rPr>
          <w:rStyle w:val="StringTok"/>
        </w:rPr>
        <w:t xml:space="preserve">"NO"</w:t>
      </w:r>
      <w:r>
        <w:rPr>
          <w:rStyle w:val="NormalTok"/>
        </w:rPr>
        <w:t xml:space="preserve">)   </w:t>
      </w:r>
      <w:r>
        <w:rPr>
          <w:rStyle w:val="CommentTok"/>
        </w:rPr>
        <w:t xml:space="preserve"># row is locked</w:t>
      </w:r>
      <w:r>
        <w:br/>
      </w:r>
      <w:r>
        <w:rPr>
          <w:rStyle w:val="NormalTok"/>
        </w:rPr>
        <w:t xml:space="preserve">        c.recover()</w:t>
      </w:r>
      <w:r>
        <w:br/>
      </w:r>
      <w:r>
        <w:rPr>
          <w:rStyle w:val="NormalTok"/>
        </w:rPr>
        <w:t xml:space="preserve">        </w:t>
      </w:r>
      <w:r>
        <w:rPr>
          <w:rStyle w:val="VariableTok"/>
        </w:rPr>
        <w:t xml:space="preserve">self</w:t>
      </w:r>
      <w:r>
        <w:rPr>
          <w:rStyle w:val="NormalTok"/>
        </w:rPr>
        <w:t xml:space="preserve">.assertTrue(a.resolve(c) </w:t>
      </w:r>
      <w:r>
        <w:rPr>
          <w:rStyle w:val="KeywordTok"/>
        </w:rPr>
        <w:t xml:space="preserve">and</w:t>
      </w:r>
      <w:r>
        <w:rPr>
          <w:rStyle w:val="NormalTok"/>
        </w:rPr>
        <w:t xml:space="preserve"> b.resolve(c))</w:t>
      </w:r>
      <w:r>
        <w:br/>
      </w:r>
      <w:r>
        <w:rPr>
          <w:rStyle w:val="NormalTok"/>
        </w:rPr>
        <w:t xml:space="preserve">        </w:t>
      </w:r>
      <w:r>
        <w:rPr>
          <w:rStyle w:val="VariableTok"/>
        </w:rPr>
        <w:t xml:space="preserve">self</w:t>
      </w:r>
      <w:r>
        <w:rPr>
          <w:rStyle w:val="NormalTok"/>
        </w:rPr>
        <w:t xml:space="preserve">.assertEqual((a.data[</w:t>
      </w:r>
      <w:r>
        <w:rPr>
          <w:rStyle w:val="StringTok"/>
        </w:rPr>
        <w:t xml:space="preserve">"acct7"</w:t>
      </w:r>
      <w:r>
        <w:rPr>
          <w:rStyle w:val="NormalTok"/>
        </w:rPr>
        <w:t xml:space="preserve">], b.data[</w:t>
      </w:r>
      <w:r>
        <w:rPr>
          <w:rStyle w:val="StringTok"/>
        </w:rPr>
        <w:t xml:space="preserve">"acct9"</w:t>
      </w:r>
      <w:r>
        <w:rPr>
          <w:rStyle w:val="NormalTok"/>
        </w:rPr>
        <w:t xml:space="preserve">]), (</w:t>
      </w:r>
      <w:r>
        <w:rPr>
          <w:rStyle w:val="DecValTok"/>
        </w:rPr>
        <w:t xml:space="preserve">50_000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.assertEqual((a.locks, b.locks), ({}, {}))</w:t>
      </w:r>
      <w:r>
        <w:br/>
      </w:r>
      <w:r>
        <w:br/>
      </w:r>
      <w:r>
        <w:rPr>
          <w:rStyle w:val="NormalTok"/>
        </w:rPr>
        <w:t xml:space="preserve">    </w:t>
      </w:r>
      <w:r>
        <w:rPr>
          <w:rStyle w:val="KeywordTok"/>
        </w:rPr>
        <w:t xml:space="preserve">def</w:t>
      </w:r>
      <w:r>
        <w:rPr>
          <w:rStyle w:val="NormalTok"/>
        </w:rPr>
        <w:t xml:space="preserve"> test_crash_after_decision_commits_on_recovery(</w:t>
      </w:r>
      <w:r>
        <w:rPr>
          <w:rStyle w:val="VariableTok"/>
        </w:rPr>
        <w:t xml:space="preserve">self</w:t>
      </w:r>
      <w:r>
        <w:rPr>
          <w:rStyle w:val="NormalTok"/>
        </w:rPr>
        <w:t xml:space="preserve">):</w:t>
      </w:r>
      <w:r>
        <w:br/>
      </w:r>
      <w:r>
        <w:rPr>
          <w:rStyle w:val="NormalTok"/>
        </w:rPr>
        <w:t xml:space="preserve">        a, b, c </w:t>
      </w:r>
      <w:r>
        <w:rPr>
          <w:rStyle w:val="OperatorTok"/>
        </w:rPr>
        <w:t xml:space="preserve">=</w:t>
      </w:r>
      <w:r>
        <w:rPr>
          <w:rStyle w:val="NormalTok"/>
        </w:rPr>
        <w:t xml:space="preserve"> bank()</w:t>
      </w:r>
      <w:r>
        <w:br/>
      </w:r>
      <w:r>
        <w:rPr>
          <w:rStyle w:val="NormalTok"/>
        </w:rPr>
        <w:t xml:space="preserve">        c.crash_at </w:t>
      </w:r>
      <w:r>
        <w:rPr>
          <w:rStyle w:val="OperatorTok"/>
        </w:rPr>
        <w:t xml:space="preserve">=</w:t>
      </w:r>
      <w:r>
        <w:rPr>
          <w:rStyle w:val="NormalTok"/>
        </w:rPr>
        <w:t xml:space="preserve"> </w:t>
      </w:r>
      <w:r>
        <w:rPr>
          <w:rStyle w:val="StringTok"/>
        </w:rPr>
        <w:t xml:space="preserve">"after_decision"</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.assertRaises(Crash):</w:t>
      </w:r>
      <w:r>
        <w:br/>
      </w:r>
      <w:r>
        <w:rPr>
          <w:rStyle w:val="NormalTok"/>
        </w:rPr>
        <w:t xml:space="preserve">            c.run(</w:t>
      </w:r>
      <w:r>
        <w:rPr>
          <w:rStyle w:val="StringTok"/>
        </w:rPr>
        <w:t xml:space="preserve">"t1"</w:t>
      </w:r>
      <w:r>
        <w:rPr>
          <w:rStyle w:val="NormalTok"/>
        </w:rPr>
        <w:t xml:space="preserve">, TRANSFER)</w:t>
      </w:r>
      <w:r>
        <w:br/>
      </w:r>
      <w:r>
        <w:rPr>
          <w:rStyle w:val="NormalTok"/>
        </w:rPr>
        <w:t xml:space="preserve">        </w:t>
      </w:r>
      <w:r>
        <w:rPr>
          <w:rStyle w:val="VariableTok"/>
        </w:rPr>
        <w:t xml:space="preserve">self</w:t>
      </w:r>
      <w:r>
        <w:rPr>
          <w:rStyle w:val="NormalTok"/>
        </w:rPr>
        <w:t xml:space="preserve">.assertEqual(</w:t>
      </w:r>
      <w:r>
        <w:rPr>
          <w:rStyle w:val="VariableTok"/>
        </w:rPr>
        <w:t xml:space="preserve">self</w:t>
      </w:r>
      <w:r>
        <w:rPr>
          <w:rStyle w:val="NormalTok"/>
        </w:rPr>
        <w:t xml:space="preserve">.total(a, b), </w:t>
      </w:r>
      <w:r>
        <w:rPr>
          <w:rStyle w:val="DecValTok"/>
        </w:rPr>
        <w:t xml:space="preserve">50_000</w:t>
      </w:r>
      <w:r>
        <w:rPr>
          <w:rStyle w:val="NormalTok"/>
        </w:rPr>
        <w:t xml:space="preserve">)</w:t>
      </w:r>
      <w:r>
        <w:br/>
      </w:r>
      <w:r>
        <w:rPr>
          <w:rStyle w:val="NormalTok"/>
        </w:rPr>
        <w:t xml:space="preserve">        </w:t>
      </w:r>
      <w:r>
        <w:rPr>
          <w:rStyle w:val="VariableTok"/>
        </w:rPr>
        <w:t xml:space="preserve">self</w:t>
      </w:r>
      <w:r>
        <w:rPr>
          <w:rStyle w:val="NormalTok"/>
        </w:rPr>
        <w:t xml:space="preserve">.assertEqual(a.data[</w:t>
      </w:r>
      <w:r>
        <w:rPr>
          <w:rStyle w:val="StringTok"/>
        </w:rPr>
        <w:t xml:space="preserve">"acct7"</w:t>
      </w:r>
      <w:r>
        <w:rPr>
          <w:rStyle w:val="NormalTok"/>
        </w:rPr>
        <w:t xml:space="preserve">], </w:t>
      </w:r>
      <w:r>
        <w:rPr>
          <w:rStyle w:val="DecValTok"/>
        </w:rPr>
        <w:t xml:space="preserve">50_000</w:t>
      </w:r>
      <w:r>
        <w:rPr>
          <w:rStyle w:val="NormalTok"/>
        </w:rPr>
        <w:t xml:space="preserve">)  </w:t>
      </w:r>
      <w:r>
        <w:rPr>
          <w:rStyle w:val="CommentTok"/>
        </w:rPr>
        <w:t xml:space="preserve"># nothing applied yet</w:t>
      </w:r>
      <w:r>
        <w:br/>
      </w:r>
      <w:r>
        <w:rPr>
          <w:rStyle w:val="NormalTok"/>
        </w:rPr>
        <w:t xml:space="preserve">        c.recover()                                </w:t>
      </w:r>
      <w:r>
        <w:rPr>
          <w:rStyle w:val="CommentTok"/>
        </w:rPr>
        <w:t xml:space="preserve"># finds COMMIT without </w:t>
      </w:r>
      <w:r>
        <w:rPr>
          <w:rStyle w:val="RegionMarkerTok"/>
        </w:rPr>
        <w:t xml:space="preserve">END</w:t>
      </w:r>
      <w:r>
        <w:br/>
      </w:r>
      <w:r>
        <w:rPr>
          <w:rStyle w:val="NormalTok"/>
        </w:rPr>
        <w:t xml:space="preserve">        </w:t>
      </w:r>
      <w:r>
        <w:rPr>
          <w:rStyle w:val="VariableTok"/>
        </w:rPr>
        <w:t xml:space="preserve">self</w:t>
      </w:r>
      <w:r>
        <w:rPr>
          <w:rStyle w:val="NormalTok"/>
        </w:rPr>
        <w:t xml:space="preserve">.assertEqual((a.data[</w:t>
      </w:r>
      <w:r>
        <w:rPr>
          <w:rStyle w:val="StringTok"/>
        </w:rPr>
        <w:t xml:space="preserve">"acct7"</w:t>
      </w:r>
      <w:r>
        <w:rPr>
          <w:rStyle w:val="NormalTok"/>
        </w:rPr>
        <w:t xml:space="preserve">], b.data[</w:t>
      </w:r>
      <w:r>
        <w:rPr>
          <w:rStyle w:val="StringTok"/>
        </w:rPr>
        <w:t xml:space="preserve">"acct9"</w:t>
      </w:r>
      <w:r>
        <w:rPr>
          <w:rStyle w:val="NormalTok"/>
        </w:rPr>
        <w:t xml:space="preserve">]), (</w:t>
      </w:r>
      <w:r>
        <w:rPr>
          <w:rStyle w:val="DecValTok"/>
        </w:rPr>
        <w:t xml:space="preserve">40_000</w:t>
      </w:r>
      <w:r>
        <w:rPr>
          <w:rStyle w:val="NormalTok"/>
        </w:rPr>
        <w:t xml:space="preserve">, </w:t>
      </w:r>
      <w:r>
        <w:rPr>
          <w:rStyle w:val="DecValTok"/>
        </w:rPr>
        <w:t xml:space="preserve">10_000</w:t>
      </w:r>
      <w:r>
        <w:rPr>
          <w:rStyle w:val="NormalTok"/>
        </w:rPr>
        <w:t xml:space="preserve">))</w:t>
      </w:r>
      <w:r>
        <w:br/>
      </w:r>
      <w:r>
        <w:rPr>
          <w:rStyle w:val="NormalTok"/>
        </w:rPr>
        <w:t xml:space="preserve">        </w:t>
      </w:r>
      <w:r>
        <w:rPr>
          <w:rStyle w:val="VariableTok"/>
        </w:rPr>
        <w:t xml:space="preserve">self</w:t>
      </w:r>
      <w:r>
        <w:rPr>
          <w:rStyle w:val="NormalTok"/>
        </w:rPr>
        <w:t xml:space="preserve">.assertEqual(c.log[</w:t>
      </w:r>
      <w:r>
        <w:rPr>
          <w:rStyle w:val="OperatorTok"/>
        </w:rPr>
        <w:t xml:space="preserve">-</w:t>
      </w:r>
      <w:r>
        <w:rPr>
          <w:rStyle w:val="DecValTok"/>
        </w:rPr>
        <w:t xml:space="preserve">1</w:t>
      </w:r>
      <w:r>
        <w:rPr>
          <w:rStyle w:val="NormalTok"/>
        </w:rPr>
        <w:t xml:space="preserve">][</w:t>
      </w:r>
      <w:r>
        <w:rPr>
          <w:rStyle w:val="DecValTok"/>
        </w:rPr>
        <w:t xml:space="preserve">0</w:t>
      </w:r>
      <w:r>
        <w:rPr>
          <w:rStyle w:val="NormalTok"/>
        </w:rPr>
        <w:t xml:space="preserve">], </w:t>
      </w:r>
      <w:r>
        <w:rPr>
          <w:rStyle w:val="StringTok"/>
        </w:rPr>
        <w:t xml:space="preserve">"END"</w:t>
      </w:r>
      <w:r>
        <w:rPr>
          <w:rStyle w:val="NormalTok"/>
        </w:rPr>
        <w:t xml:space="preserve">)</w:t>
      </w:r>
      <w:r>
        <w:br/>
      </w:r>
      <w:r>
        <w:br/>
      </w:r>
      <w:r>
        <w:rPr>
          <w:rStyle w:val="NormalTok"/>
        </w:rPr>
        <w:t xml:space="preserve">    </w:t>
      </w:r>
      <w:r>
        <w:rPr>
          <w:rStyle w:val="KeywordTok"/>
        </w:rPr>
        <w:t xml:space="preserve">def</w:t>
      </w:r>
      <w:r>
        <w:rPr>
          <w:rStyle w:val="NormalTok"/>
        </w:rPr>
        <w:t xml:space="preserve"> test_crash_mid_phase2_is_completed(</w:t>
      </w:r>
      <w:r>
        <w:rPr>
          <w:rStyle w:val="VariableTok"/>
        </w:rPr>
        <w:t xml:space="preserve">self</w:t>
      </w:r>
      <w:r>
        <w:rPr>
          <w:rStyle w:val="NormalTok"/>
        </w:rPr>
        <w:t xml:space="preserve">):</w:t>
      </w:r>
      <w:r>
        <w:br/>
      </w:r>
      <w:r>
        <w:rPr>
          <w:rStyle w:val="NormalTok"/>
        </w:rPr>
        <w:t xml:space="preserve">        a, b, c </w:t>
      </w:r>
      <w:r>
        <w:rPr>
          <w:rStyle w:val="OperatorTok"/>
        </w:rPr>
        <w:t xml:space="preserve">=</w:t>
      </w:r>
      <w:r>
        <w:rPr>
          <w:rStyle w:val="NormalTok"/>
        </w:rPr>
        <w:t xml:space="preserve"> bank()</w:t>
      </w:r>
      <w:r>
        <w:br/>
      </w:r>
      <w:r>
        <w:rPr>
          <w:rStyle w:val="NormalTok"/>
        </w:rPr>
        <w:t xml:space="preserve">        c.crash_at </w:t>
      </w:r>
      <w:r>
        <w:rPr>
          <w:rStyle w:val="OperatorTok"/>
        </w:rPr>
        <w:t xml:space="preserve">=</w:t>
      </w:r>
      <w:r>
        <w:rPr>
          <w:rStyle w:val="NormalTok"/>
        </w:rPr>
        <w:t xml:space="preserve"> </w:t>
      </w:r>
      <w:r>
        <w:rPr>
          <w:rStyle w:val="StringTok"/>
        </w:rPr>
        <w:t xml:space="preserve">"mid_phase2"</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.assertRaises(Crash):</w:t>
      </w:r>
      <w:r>
        <w:br/>
      </w:r>
      <w:r>
        <w:rPr>
          <w:rStyle w:val="NormalTok"/>
        </w:rPr>
        <w:t xml:space="preserve">            c.run(</w:t>
      </w:r>
      <w:r>
        <w:rPr>
          <w:rStyle w:val="StringTok"/>
        </w:rPr>
        <w:t xml:space="preserve">"t1"</w:t>
      </w:r>
      <w:r>
        <w:rPr>
          <w:rStyle w:val="NormalTok"/>
        </w:rPr>
        <w:t xml:space="preserve">, TRANSFER)</w:t>
      </w:r>
      <w:r>
        <w:br/>
      </w:r>
      <w:r>
        <w:rPr>
          <w:rStyle w:val="NormalTok"/>
        </w:rPr>
        <w:t xml:space="preserve">        </w:t>
      </w:r>
      <w:r>
        <w:rPr>
          <w:rStyle w:val="VariableTok"/>
        </w:rPr>
        <w:t xml:space="preserve">self</w:t>
      </w:r>
      <w:r>
        <w:rPr>
          <w:rStyle w:val="NormalTok"/>
        </w:rPr>
        <w:t xml:space="preserve">.assertEqual((a.data[</w:t>
      </w:r>
      <w:r>
        <w:rPr>
          <w:rStyle w:val="StringTok"/>
        </w:rPr>
        <w:t xml:space="preserve">"acct7"</w:t>
      </w:r>
      <w:r>
        <w:rPr>
          <w:rStyle w:val="NormalTok"/>
        </w:rPr>
        <w:t xml:space="preserve">], b.in_doubt()), (</w:t>
      </w:r>
      <w:r>
        <w:rPr>
          <w:rStyle w:val="DecValTok"/>
        </w:rPr>
        <w:t xml:space="preserve">40_000</w:t>
      </w:r>
      <w:r>
        <w:rPr>
          <w:rStyle w:val="NormalTok"/>
        </w:rPr>
        <w:t xml:space="preserve">, [</w:t>
      </w:r>
      <w:r>
        <w:rPr>
          <w:rStyle w:val="StringTok"/>
        </w:rPr>
        <w:t xml:space="preserve">"t1"</w:t>
      </w:r>
      <w:r>
        <w:rPr>
          <w:rStyle w:val="NormalTok"/>
        </w:rPr>
        <w:t xml:space="preserve">]))</w:t>
      </w:r>
      <w:r>
        <w:br/>
      </w:r>
      <w:r>
        <w:rPr>
          <w:rStyle w:val="NormalTok"/>
        </w:rPr>
        <w:t xml:space="preserve">        </w:t>
      </w:r>
      <w:r>
        <w:rPr>
          <w:rStyle w:val="VariableTok"/>
        </w:rPr>
        <w:t xml:space="preserve">self</w:t>
      </w:r>
      <w:r>
        <w:rPr>
          <w:rStyle w:val="NormalTok"/>
        </w:rPr>
        <w:t xml:space="preserve">.assertFalse(b.resolve(c))             </w:t>
      </w:r>
      <w:r>
        <w:rPr>
          <w:rStyle w:val="CommentTok"/>
        </w:rPr>
        <w:t xml:space="preserve"># still down</w:t>
      </w:r>
      <w:r>
        <w:br/>
      </w:r>
      <w:r>
        <w:rPr>
          <w:rStyle w:val="NormalTok"/>
        </w:rPr>
        <w:t xml:space="preserve">        c.recover()</w:t>
      </w:r>
      <w:r>
        <w:br/>
      </w:r>
      <w:r>
        <w:rPr>
          <w:rStyle w:val="NormalTok"/>
        </w:rPr>
        <w:t xml:space="preserve">        </w:t>
      </w:r>
      <w:r>
        <w:rPr>
          <w:rStyle w:val="VariableTok"/>
        </w:rPr>
        <w:t xml:space="preserve">self</w:t>
      </w:r>
      <w:r>
        <w:rPr>
          <w:rStyle w:val="NormalTok"/>
        </w:rPr>
        <w:t xml:space="preserve">.assertEqual(b.data[</w:t>
      </w:r>
      <w:r>
        <w:rPr>
          <w:rStyle w:val="StringTok"/>
        </w:rPr>
        <w:t xml:space="preserve">"acct9"</w:t>
      </w:r>
      <w:r>
        <w:rPr>
          <w:rStyle w:val="NormalTok"/>
        </w:rPr>
        <w:t xml:space="preserve">], </w:t>
      </w:r>
      <w:r>
        <w:rPr>
          <w:rStyle w:val="DecValTok"/>
        </w:rPr>
        <w:t xml:space="preserve">10_000</w:t>
      </w:r>
      <w:r>
        <w:rPr>
          <w:rStyle w:val="NormalTok"/>
        </w:rPr>
        <w:t xml:space="preserve">)</w:t>
      </w:r>
      <w:r>
        <w:br/>
      </w:r>
      <w:r>
        <w:rPr>
          <w:rStyle w:val="NormalTok"/>
        </w:rPr>
        <w:t xml:space="preserve">        </w:t>
      </w:r>
      <w:r>
        <w:rPr>
          <w:rStyle w:val="VariableTok"/>
        </w:rPr>
        <w:t xml:space="preserve">self</w:t>
      </w:r>
      <w:r>
        <w:rPr>
          <w:rStyle w:val="NormalTok"/>
        </w:rPr>
        <w:t xml:space="preserve">.assertEqual(</w:t>
      </w:r>
      <w:r>
        <w:rPr>
          <w:rStyle w:val="VariableTok"/>
        </w:rPr>
        <w:t xml:space="preserve">self</w:t>
      </w:r>
      <w:r>
        <w:rPr>
          <w:rStyle w:val="NormalTok"/>
        </w:rPr>
        <w:t xml:space="preserve">.total(a, b), </w:t>
      </w:r>
      <w:r>
        <w:rPr>
          <w:rStyle w:val="DecValTok"/>
        </w:rPr>
        <w:t xml:space="preserve">50_000</w:t>
      </w:r>
      <w:r>
        <w:rPr>
          <w:rStyle w:val="NormalTok"/>
        </w:rPr>
        <w:t xml:space="preserve">)  </w:t>
      </w:r>
      <w:r>
        <w:rPr>
          <w:rStyle w:val="CommentTok"/>
        </w:rPr>
        <w:t xml:space="preserve"># money conserved</w:t>
      </w:r>
      <w:r>
        <w:br/>
      </w:r>
      <w:r>
        <w:br/>
      </w:r>
      <w:r>
        <w:rPr>
          <w:rStyle w:val="NormalTok"/>
        </w:rPr>
        <w:t xml:space="preserve">    </w:t>
      </w:r>
      <w:r>
        <w:rPr>
          <w:rStyle w:val="KeywordTok"/>
        </w:rPr>
        <w:t xml:space="preserve">def</w:t>
      </w:r>
      <w:r>
        <w:rPr>
          <w:rStyle w:val="NormalTok"/>
        </w:rPr>
        <w:t xml:space="preserve"> test_participant_crash_after_prepare_recovers_from_its_log(</w:t>
      </w:r>
      <w:r>
        <w:rPr>
          <w:rStyle w:val="VariableTok"/>
        </w:rPr>
        <w:t xml:space="preserve">self</w:t>
      </w:r>
      <w:r>
        <w:rPr>
          <w:rStyle w:val="NormalTok"/>
        </w:rPr>
        <w:t xml:space="preserve">):</w:t>
      </w:r>
      <w:r>
        <w:br/>
      </w:r>
      <w:r>
        <w:rPr>
          <w:rStyle w:val="NormalTok"/>
        </w:rPr>
        <w:t xml:space="preserve">        a, b, c </w:t>
      </w:r>
      <w:r>
        <w:rPr>
          <w:rStyle w:val="OperatorTok"/>
        </w:rPr>
        <w:t xml:space="preserve">=</w:t>
      </w:r>
      <w:r>
        <w:rPr>
          <w:rStyle w:val="NormalTok"/>
        </w:rPr>
        <w:t xml:space="preserve"> bank()</w:t>
      </w:r>
      <w:r>
        <w:br/>
      </w:r>
      <w:r>
        <w:rPr>
          <w:rStyle w:val="NormalTok"/>
        </w:rPr>
        <w:t xml:space="preserve">        c.crash_at </w:t>
      </w:r>
      <w:r>
        <w:rPr>
          <w:rStyle w:val="OperatorTok"/>
        </w:rPr>
        <w:t xml:space="preserve">=</w:t>
      </w:r>
      <w:r>
        <w:rPr>
          <w:rStyle w:val="NormalTok"/>
        </w:rPr>
        <w:t xml:space="preserve"> </w:t>
      </w:r>
      <w:r>
        <w:rPr>
          <w:rStyle w:val="StringTok"/>
        </w:rPr>
        <w:t xml:space="preserve">"after_decision"</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.assertRaises(Crash):</w:t>
      </w:r>
      <w:r>
        <w:br/>
      </w:r>
      <w:r>
        <w:rPr>
          <w:rStyle w:val="NormalTok"/>
        </w:rPr>
        <w:t xml:space="preserve">            c.run(</w:t>
      </w:r>
      <w:r>
        <w:rPr>
          <w:rStyle w:val="StringTok"/>
        </w:rPr>
        <w:t xml:space="preserve">"t1"</w:t>
      </w:r>
      <w:r>
        <w:rPr>
          <w:rStyle w:val="NormalTok"/>
        </w:rPr>
        <w:t xml:space="preserve">, TRANSFER)</w:t>
      </w:r>
      <w:r>
        <w:br/>
      </w:r>
      <w:r>
        <w:rPr>
          <w:rStyle w:val="NormalTok"/>
        </w:rPr>
        <w:t xml:space="preserve">        b.crash()                                  </w:t>
      </w:r>
      <w:r>
        <w:rPr>
          <w:rStyle w:val="CommentTok"/>
        </w:rPr>
        <w:t xml:space="preserve"># loses locks and pending writes</w:t>
      </w:r>
      <w:r>
        <w:br/>
      </w:r>
      <w:r>
        <w:rPr>
          <w:rStyle w:val="NormalTok"/>
        </w:rPr>
        <w:t xml:space="preserve">        b.recover()                                </w:t>
      </w:r>
      <w:r>
        <w:rPr>
          <w:rStyle w:val="CommentTok"/>
        </w:rPr>
        <w:t xml:space="preserve"># rebuilds them from PREPARED</w:t>
      </w:r>
      <w:r>
        <w:br/>
      </w:r>
      <w:r>
        <w:rPr>
          <w:rStyle w:val="NormalTok"/>
        </w:rPr>
        <w:t xml:space="preserve">        </w:t>
      </w:r>
      <w:r>
        <w:rPr>
          <w:rStyle w:val="VariableTok"/>
        </w:rPr>
        <w:t xml:space="preserve">self</w:t>
      </w:r>
      <w:r>
        <w:rPr>
          <w:rStyle w:val="NormalTok"/>
        </w:rPr>
        <w:t xml:space="preserve">.assertEqual((b.in_doubt(), b.locks), ([</w:t>
      </w:r>
      <w:r>
        <w:rPr>
          <w:rStyle w:val="StringTok"/>
        </w:rPr>
        <w:t xml:space="preserve">"t1"</w:t>
      </w:r>
      <w:r>
        <w:rPr>
          <w:rStyle w:val="NormalTok"/>
        </w:rPr>
        <w:t xml:space="preserve">], {</w:t>
      </w:r>
      <w:r>
        <w:rPr>
          <w:rStyle w:val="StringTok"/>
        </w:rPr>
        <w:t xml:space="preserve">"acct9"</w:t>
      </w:r>
      <w:r>
        <w:rPr>
          <w:rStyle w:val="NormalTok"/>
        </w:rPr>
        <w:t xml:space="preserve">: </w:t>
      </w:r>
      <w:r>
        <w:rPr>
          <w:rStyle w:val="StringTok"/>
        </w:rPr>
        <w:t xml:space="preserve">"t1"</w:t>
      </w:r>
      <w:r>
        <w:rPr>
          <w:rStyle w:val="NormalTok"/>
        </w:rPr>
        <w:t xml:space="preserve">}))</w:t>
      </w:r>
      <w:r>
        <w:br/>
      </w:r>
      <w:r>
        <w:rPr>
          <w:rStyle w:val="NormalTok"/>
        </w:rPr>
        <w:t xml:space="preserve">        c.recover()</w:t>
      </w:r>
      <w:r>
        <w:br/>
      </w:r>
      <w:r>
        <w:rPr>
          <w:rStyle w:val="NormalTok"/>
        </w:rPr>
        <w:t xml:space="preserve">        </w:t>
      </w:r>
      <w:r>
        <w:rPr>
          <w:rStyle w:val="VariableTok"/>
        </w:rPr>
        <w:t xml:space="preserve">self</w:t>
      </w:r>
      <w:r>
        <w:rPr>
          <w:rStyle w:val="NormalTok"/>
        </w:rPr>
        <w:t xml:space="preserve">.assertEqual(b.data[</w:t>
      </w:r>
      <w:r>
        <w:rPr>
          <w:rStyle w:val="StringTok"/>
        </w:rPr>
        <w:t xml:space="preserve">"acct9"</w:t>
      </w:r>
      <w:r>
        <w:rPr>
          <w:rStyle w:val="NormalTok"/>
        </w:rPr>
        <w:t xml:space="preserve">], </w:t>
      </w:r>
      <w:r>
        <w:rPr>
          <w:rStyle w:val="DecValTok"/>
        </w:rPr>
        <w:t xml:space="preserve">10_000</w:t>
      </w:r>
      <w:r>
        <w:rPr>
          <w:rStyle w:val="NormalTok"/>
        </w:rPr>
        <w:t xml:space="preserve">)</w:t>
      </w:r>
      <w:r>
        <w:br/>
      </w:r>
      <w:r>
        <w:br/>
      </w:r>
      <w:r>
        <w:rPr>
          <w:rStyle w:val="NormalTok"/>
        </w:rPr>
        <w:t xml:space="preserve">    </w:t>
      </w:r>
      <w:r>
        <w:rPr>
          <w:rStyle w:val="KeywordTok"/>
        </w:rPr>
        <w:t xml:space="preserve">def</w:t>
      </w:r>
      <w:r>
        <w:rPr>
          <w:rStyle w:val="NormalTok"/>
        </w:rPr>
        <w:t xml:space="preserve"> test_unreachable_participant_means_abort(</w:t>
      </w:r>
      <w:r>
        <w:rPr>
          <w:rStyle w:val="VariableTok"/>
        </w:rPr>
        <w:t xml:space="preserve">self</w:t>
      </w:r>
      <w:r>
        <w:rPr>
          <w:rStyle w:val="NormalTok"/>
        </w:rPr>
        <w:t xml:space="preserve">):</w:t>
      </w:r>
      <w:r>
        <w:br/>
      </w:r>
      <w:r>
        <w:rPr>
          <w:rStyle w:val="NormalTok"/>
        </w:rPr>
        <w:t xml:space="preserve">        a, b, c </w:t>
      </w:r>
      <w:r>
        <w:rPr>
          <w:rStyle w:val="OperatorTok"/>
        </w:rPr>
        <w:t xml:space="preserve">=</w:t>
      </w:r>
      <w:r>
        <w:rPr>
          <w:rStyle w:val="NormalTok"/>
        </w:rPr>
        <w:t xml:space="preserve"> bank()</w:t>
      </w:r>
      <w:r>
        <w:br/>
      </w:r>
      <w:r>
        <w:rPr>
          <w:rStyle w:val="NormalTok"/>
        </w:rPr>
        <w:t xml:space="preserve">        b.crash()</w:t>
      </w:r>
      <w:r>
        <w:br/>
      </w:r>
      <w:r>
        <w:rPr>
          <w:rStyle w:val="NormalTok"/>
        </w:rPr>
        <w:t xml:space="preserve">        </w:t>
      </w:r>
      <w:r>
        <w:rPr>
          <w:rStyle w:val="VariableTok"/>
        </w:rPr>
        <w:t xml:space="preserve">self</w:t>
      </w:r>
      <w:r>
        <w:rPr>
          <w:rStyle w:val="NormalTok"/>
        </w:rPr>
        <w:t xml:space="preserve">.assertEqual(c.run(</w:t>
      </w:r>
      <w:r>
        <w:rPr>
          <w:rStyle w:val="StringTok"/>
        </w:rPr>
        <w:t xml:space="preserve">"t1"</w:t>
      </w:r>
      <w:r>
        <w:rPr>
          <w:rStyle w:val="NormalTok"/>
        </w:rPr>
        <w:t xml:space="preserve">, TRANSFER), </w:t>
      </w:r>
      <w:r>
        <w:rPr>
          <w:rStyle w:val="StringTok"/>
        </w:rPr>
        <w:t xml:space="preserve">"ABORT"</w:t>
      </w:r>
      <w:r>
        <w:rPr>
          <w:rStyle w:val="NormalTok"/>
        </w:rPr>
        <w:t xml:space="preserve">)</w:t>
      </w:r>
      <w:r>
        <w:br/>
      </w:r>
      <w:r>
        <w:rPr>
          <w:rStyle w:val="NormalTok"/>
        </w:rPr>
        <w:t xml:space="preserve">        </w:t>
      </w:r>
      <w:r>
        <w:rPr>
          <w:rStyle w:val="VariableTok"/>
        </w:rPr>
        <w:t xml:space="preserve">self</w:t>
      </w:r>
      <w:r>
        <w:rPr>
          <w:rStyle w:val="NormalTok"/>
        </w:rPr>
        <w:t xml:space="preserve">.assertEqual((a.data[</w:t>
      </w:r>
      <w:r>
        <w:rPr>
          <w:rStyle w:val="StringTok"/>
        </w:rPr>
        <w:t xml:space="preserve">"acct7"</w:t>
      </w:r>
      <w:r>
        <w:rPr>
          <w:rStyle w:val="NormalTok"/>
        </w:rPr>
        <w:t xml:space="preserve">], a.locks), (</w:t>
      </w:r>
      <w:r>
        <w:rPr>
          <w:rStyle w:val="DecValTok"/>
        </w:rPr>
        <w:t xml:space="preserve">50_000</w:t>
      </w:r>
      <w:r>
        <w:rPr>
          <w:rStyle w:val="NormalTok"/>
        </w:rPr>
        <w:t xml:space="preserve">, {}))</w:t>
      </w:r>
      <w:r>
        <w:br/>
      </w:r>
      <w:r>
        <w:br/>
      </w:r>
      <w:r>
        <w:rPr>
          <w:rStyle w:val="NormalTok"/>
        </w:rPr>
        <w:t xml:space="preserve">    </w:t>
      </w:r>
      <w:r>
        <w:rPr>
          <w:rStyle w:val="KeywordTok"/>
        </w:rPr>
        <w:t xml:space="preserve">def</w:t>
      </w:r>
      <w:r>
        <w:rPr>
          <w:rStyle w:val="NormalTok"/>
        </w:rPr>
        <w:t xml:space="preserve"> test_duplicate_commit_is_idempotent(</w:t>
      </w:r>
      <w:r>
        <w:rPr>
          <w:rStyle w:val="VariableTok"/>
        </w:rPr>
        <w:t xml:space="preserve">self</w:t>
      </w:r>
      <w:r>
        <w:rPr>
          <w:rStyle w:val="NormalTok"/>
        </w:rPr>
        <w:t xml:space="preserve">):</w:t>
      </w:r>
      <w:r>
        <w:br/>
      </w:r>
      <w:r>
        <w:rPr>
          <w:rStyle w:val="NormalTok"/>
        </w:rPr>
        <w:t xml:space="preserve">        a, b, c </w:t>
      </w:r>
      <w:r>
        <w:rPr>
          <w:rStyle w:val="OperatorTok"/>
        </w:rPr>
        <w:t xml:space="preserve">=</w:t>
      </w:r>
      <w:r>
        <w:rPr>
          <w:rStyle w:val="NormalTok"/>
        </w:rPr>
        <w:t xml:space="preserve"> bank()</w:t>
      </w:r>
      <w:r>
        <w:br/>
      </w:r>
      <w:r>
        <w:rPr>
          <w:rStyle w:val="NormalTok"/>
        </w:rPr>
        <w:t xml:space="preserve">        c.run(</w:t>
      </w:r>
      <w:r>
        <w:rPr>
          <w:rStyle w:val="StringTok"/>
        </w:rPr>
        <w:t xml:space="preserve">"t1"</w:t>
      </w:r>
      <w:r>
        <w:rPr>
          <w:rStyle w:val="NormalTok"/>
        </w:rPr>
        <w:t xml:space="preserve">, TRANSFER)</w:t>
      </w:r>
      <w:r>
        <w:br/>
      </w:r>
      <w:r>
        <w:rPr>
          <w:rStyle w:val="NormalTok"/>
        </w:rPr>
        <w:t xml:space="preserve">        a.finish(</w:t>
      </w:r>
      <w:r>
        <w:rPr>
          <w:rStyle w:val="StringTok"/>
        </w:rPr>
        <w:t xml:space="preserve">"t1"</w:t>
      </w:r>
      <w:r>
        <w:rPr>
          <w:rStyle w:val="NormalTok"/>
        </w:rPr>
        <w:t xml:space="preserve">, </w:t>
      </w:r>
      <w:r>
        <w:rPr>
          <w:rStyle w:val="StringTok"/>
        </w:rPr>
        <w:t xml:space="preserve">"COMMIT"</w:t>
      </w:r>
      <w:r>
        <w:rPr>
          <w:rStyle w:val="NormalTok"/>
        </w:rPr>
        <w:t xml:space="preserve">)</w:t>
      </w:r>
      <w:r>
        <w:br/>
      </w:r>
      <w:r>
        <w:rPr>
          <w:rStyle w:val="NormalTok"/>
        </w:rPr>
        <w:t xml:space="preserve">        c.recover()</w:t>
      </w:r>
      <w:r>
        <w:br/>
      </w:r>
      <w:r>
        <w:rPr>
          <w:rStyle w:val="NormalTok"/>
        </w:rPr>
        <w:t xml:space="preserve">        </w:t>
      </w:r>
      <w:r>
        <w:rPr>
          <w:rStyle w:val="VariableTok"/>
        </w:rPr>
        <w:t xml:space="preserve">self</w:t>
      </w:r>
      <w:r>
        <w:rPr>
          <w:rStyle w:val="NormalTok"/>
        </w:rPr>
        <w:t xml:space="preserve">.assertEqual(a.data[</w:t>
      </w:r>
      <w:r>
        <w:rPr>
          <w:rStyle w:val="StringTok"/>
        </w:rPr>
        <w:t xml:space="preserve">"acct7"</w:t>
      </w:r>
      <w:r>
        <w:rPr>
          <w:rStyle w:val="NormalTok"/>
        </w:rPr>
        <w:t xml:space="preserve">], </w:t>
      </w:r>
      <w:r>
        <w:rPr>
          <w:rStyle w:val="DecValTok"/>
        </w:rPr>
        <w:t xml:space="preserve">40_000</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unittest.main(verbosity</w:t>
      </w:r>
      <w:r>
        <w:rPr>
          <w:rStyle w:val="OperatorTok"/>
        </w:rPr>
        <w:t xml:space="preserve">=</w:t>
      </w:r>
      <w:r>
        <w:rPr>
          <w:rStyle w:val="DecValTok"/>
        </w:rPr>
        <w:t xml:space="preserve">1</w:t>
      </w:r>
      <w:r>
        <w:rPr>
          <w:rStyle w:val="NormalTok"/>
        </w:rPr>
        <w:t xml:space="preserve">)</w:t>
      </w:r>
    </w:p>
    <w:p>
      <w:pPr>
        <w:pStyle w:val="FirstParagraph"/>
      </w:pPr>
      <w:r>
        <w:t xml:space="preserve">Output (Python 3.13; the timing varies):</w:t>
      </w:r>
    </w:p>
    <w:p>
      <w:pPr>
        <w:pStyle w:val="SourceCode"/>
      </w:pPr>
      <w:r>
        <w:rPr>
          <w:rStyle w:val="VerbatimChar"/>
        </w:rPr>
        <w:t xml:space="preserve">........</w:t>
      </w:r>
      <w:r>
        <w:br/>
      </w:r>
      <w:r>
        <w:rPr>
          <w:rStyle w:val="VerbatimChar"/>
        </w:rPr>
        <w:t xml:space="preserve">----------------------------------------------------------------------</w:t>
      </w:r>
      <w:r>
        <w:br/>
      </w:r>
      <w:r>
        <w:rPr>
          <w:rStyle w:val="VerbatimChar"/>
        </w:rPr>
        <w:t xml:space="preserve">Ran 8 tests in 0.000s</w:t>
      </w:r>
      <w:r>
        <w:br/>
      </w:r>
      <w:r>
        <w:br/>
      </w:r>
      <w:r>
        <w:rPr>
          <w:rStyle w:val="VerbatimChar"/>
        </w:rPr>
        <w:t xml:space="preserve">OK</w:t>
      </w:r>
    </w:p>
    <w:p>
      <w:pPr>
        <w:pStyle w:val="FirstParagraph"/>
      </w:pPr>
      <w:r>
        <w:t xml:space="preserve">What to notice:</w:t>
      </w:r>
    </w:p>
    <w:p>
      <w:pPr>
        <w:numPr>
          <w:ilvl w:val="0"/>
          <w:numId w:val="1918"/>
        </w:numPr>
        <w:pStyle w:val="Compact"/>
      </w:pPr>
      <w:r>
        <w:t xml:space="preserve">The only thing that survives a coordinator crash is</w:t>
      </w:r>
      <w:r>
        <w:t xml:space="preserve"> </w:t>
      </w:r>
      <w:r>
        <w:rPr>
          <w:rStyle w:val="VerbatimChar"/>
        </w:rPr>
        <w:t xml:space="preserve">self.log</w:t>
      </w:r>
      <w:r>
        <w:t xml:space="preserve">, and recovery reads nothing else. A</w:t>
      </w:r>
      <w:r>
        <w:t xml:space="preserve"> </w:t>
      </w:r>
      <w:r>
        <w:rPr>
          <w:rStyle w:val="VerbatimChar"/>
        </w:rPr>
        <w:t xml:space="preserve">COMMIT</w:t>
      </w:r>
      <w:r>
        <w:t xml:space="preserve"> </w:t>
      </w:r>
      <w:r>
        <w:t xml:space="preserve">without</w:t>
      </w:r>
      <w:r>
        <w:t xml:space="preserve"> </w:t>
      </w:r>
      <w:r>
        <w:rPr>
          <w:rStyle w:val="VerbatimChar"/>
        </w:rPr>
        <w:t xml:space="preserve">END</w:t>
      </w:r>
      <w:r>
        <w:t xml:space="preserve"> </w:t>
      </w:r>
      <w:r>
        <w:t xml:space="preserve">is re-driven; any other transaction is aborted by presumption, which is why</w:t>
      </w:r>
      <w:r>
        <w:t xml:space="preserve"> </w:t>
      </w:r>
      <w:r>
        <w:rPr>
          <w:rStyle w:val="VerbatimChar"/>
        </w:rPr>
        <w:t xml:space="preserve">test_no_vote_aborts_without_coordinator_log</w:t>
      </w:r>
      <w:r>
        <w:t xml:space="preserve"> </w:t>
      </w:r>
      <w:r>
        <w:t xml:space="preserve">can assert an empty log.</w:t>
      </w:r>
    </w:p>
    <w:p>
      <w:pPr>
        <w:numPr>
          <w:ilvl w:val="0"/>
          <w:numId w:val="1918"/>
        </w:numPr>
        <w:pStyle w:val="Compact"/>
      </w:pPr>
      <w:r>
        <w:rPr>
          <w:rStyle w:val="VerbatimChar"/>
        </w:rPr>
        <w:t xml:space="preserve">test_crash_before_decision_blocks_then_aborts</w:t>
      </w:r>
      <w:r>
        <w:t xml:space="preserve"> </w:t>
      </w:r>
      <w:r>
        <w:t xml:space="preserve">reproduces Figure 28.4: while the coordinator is down,</w:t>
      </w:r>
      <w:r>
        <w:t xml:space="preserve"> </w:t>
      </w:r>
      <w:r>
        <w:rPr>
          <w:rStyle w:val="VerbatimChar"/>
        </w:rPr>
        <w:t xml:space="preserve">resolve</w:t>
      </w:r>
      <w:r>
        <w:t xml:space="preserve"> </w:t>
      </w:r>
      <w:r>
        <w:t xml:space="preserve">returns</w:t>
      </w:r>
      <w:r>
        <w:t xml:space="preserve"> </w:t>
      </w:r>
      <w:r>
        <w:rPr>
          <w:rStyle w:val="VerbatimChar"/>
        </w:rPr>
        <w:t xml:space="preserve">False</w:t>
      </w:r>
      <w:r>
        <w:t xml:space="preserve"> </w:t>
      </w:r>
      <w:r>
        <w:t xml:space="preserve">and a competing transaction on account 7 is refused because the in-doubt transaction still holds the lock.</w:t>
      </w:r>
    </w:p>
    <w:p>
      <w:pPr>
        <w:numPr>
          <w:ilvl w:val="0"/>
          <w:numId w:val="1918"/>
        </w:numPr>
        <w:pStyle w:val="Compact"/>
      </w:pPr>
      <w:r>
        <w:rPr>
          <w:rStyle w:val="VerbatimChar"/>
        </w:rPr>
        <w:t xml:space="preserve">test_crash_mid_phase2_is_completed</w:t>
      </w:r>
      <w:r>
        <w:t xml:space="preserve"> </w:t>
      </w:r>
      <w:r>
        <w:t xml:space="preserve">shows a moment where A has committed and B has not. This is not an atomicity violation: the outcome was fixed at the commit record and recovery converges B to it.</w:t>
      </w:r>
    </w:p>
    <w:p>
      <w:pPr>
        <w:numPr>
          <w:ilvl w:val="0"/>
          <w:numId w:val="1918"/>
        </w:numPr>
        <w:pStyle w:val="Compact"/>
      </w:pPr>
      <w:r>
        <w:rPr>
          <w:rStyle w:val="VerbatimChar"/>
        </w:rPr>
        <w:t xml:space="preserve">outcome</w:t>
      </w:r>
      <w:r>
        <w:t xml:space="preserve"> </w:t>
      </w:r>
      <w:r>
        <w:t xml:space="preserve">is valid only for transactions the coordinator is no longer running; a real coordinator answers</w:t>
      </w:r>
      <w:r>
        <w:t xml:space="preserve"> </w:t>
      </w:r>
      <w:r>
        <w:t xml:space="preserve">“</w:t>
      </w:r>
      <w:r>
        <w:t xml:space="preserve">ask later</w:t>
      </w:r>
      <w:r>
        <w:t xml:space="preserve">”</w:t>
      </w:r>
      <w:r>
        <w:t xml:space="preserve"> </w:t>
      </w:r>
      <w:r>
        <w:t xml:space="preserve">for active ones.</w:t>
      </w:r>
    </w:p>
    <w:p>
      <w:pPr>
        <w:numPr>
          <w:ilvl w:val="0"/>
          <w:numId w:val="1918"/>
        </w:numPr>
        <w:pStyle w:val="Compact"/>
      </w:pPr>
      <w:r>
        <w:rPr>
          <w:rStyle w:val="VerbatimChar"/>
        </w:rPr>
        <w:t xml:space="preserve">finish</w:t>
      </w:r>
      <w:r>
        <w:t xml:space="preserve"> </w:t>
      </w:r>
      <w:r>
        <w:t xml:space="preserve">is idempotent because phase 2 messages are retried (§22.15).</w:t>
      </w:r>
    </w:p>
    <w:bookmarkEnd w:id="3150"/>
    <w:bookmarkStart w:id="3154" w:name="two-phase-commit-over-consensus-groups"/>
    <w:p>
      <w:pPr>
        <w:pStyle w:val="Heading3"/>
      </w:pPr>
      <w:r>
        <w:t xml:space="preserve">28.4.8 Two-phase commit over consensus groups</w:t>
      </w:r>
    </w:p>
    <w:p>
      <w:pPr>
        <w:pStyle w:val="FirstParagraph"/>
      </w:pPr>
      <w:r>
        <w:t xml:space="preserve">Every blocking scenario above has the same cause: the decision lives in one node’s log. Replace that log with a</w:t>
      </w:r>
      <w:r>
        <w:t xml:space="preserve"> </w:t>
      </w:r>
      <w:r>
        <w:rPr>
          <w:bCs/>
          <w:b/>
        </w:rPr>
        <w:t xml:space="preserve">replicated log</w:t>
      </w:r>
      <w:r>
        <w:t xml:space="preserve"> </w:t>
      </w:r>
      <w:r>
        <w:t xml:space="preserve">(Raft or Multi-Paxos, §26.6–§26.7) and the coordinator’s crash is no longer a long outage, because a new leader of the coordinator’s group takes over within an election timeout, reads the decision from the replicated log and finishes phase 2. Do the same for each participant, and a participant’s prepared record survives the loss of any minority of its replicas.</w:t>
      </w:r>
    </w:p>
    <w:p>
      <w:pPr>
        <w:pStyle w:val="BodyText"/>
      </w:pPr>
      <w:r>
        <w:rPr>
          <w:bCs/>
          <w:b/>
        </w:rPr>
        <w:t xml:space="preserve">Figure 28.6 — Two-phase commit across consensus groups.</w:t>
      </w:r>
    </w:p>
    <w:p>
      <w:pPr>
        <w:pStyle w:val="BodyText"/>
      </w:pPr>
      <w:r>
        <w:drawing>
          <wp:inline>
            <wp:extent cx="5334000" cy="2826851"/>
            <wp:effectExtent b="0" l="0" r="0" t="0"/>
            <wp:docPr descr="" title="" id="3152" name="Picture"/>
            <a:graphic>
              <a:graphicData uri="http://schemas.openxmlformats.org/drawingml/2006/picture">
                <pic:pic>
                  <pic:nvPicPr>
                    <pic:cNvPr descr="/home/user/System-Design/build/.cache/diagrams/e8219132f6d9.png" id="3153" name="Picture"/>
                    <pic:cNvPicPr>
                      <a:picLocks noChangeArrowheads="1" noChangeAspect="1"/>
                    </pic:cNvPicPr>
                  </pic:nvPicPr>
                  <pic:blipFill>
                    <a:blip r:embed="rId3151"/>
                    <a:stretch>
                      <a:fillRect/>
                    </a:stretch>
                  </pic:blipFill>
                  <pic:spPr bwMode="auto">
                    <a:xfrm>
                      <a:off x="0" y="0"/>
                      <a:ext cx="5334000" cy="2826851"/>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Each subgraph is a consensus group of three replicas, typically in three availability zones;</w:t>
      </w:r>
      <w:r>
        <w:t xml:space="preserve"> </w:t>
      </w:r>
      <w:r>
        <w:t xml:space="preserve">“</w:t>
      </w:r>
      <w:r>
        <w:t xml:space="preserve">forcing a log record</w:t>
      </w:r>
      <w:r>
        <w:t xml:space="preserve">”</w:t>
      </w:r>
      <w:r>
        <w:t xml:space="preserve"> </w:t>
      </w:r>
      <w:r>
        <w:t xml:space="preserve">now means replicating it to a quorum (two of three) of the group. The coordinator is the leader of one group, often a group that is also a participant. Solid arrows are synchronous requests; the dotted votes are replies that arrive only after the participant’s prepared record is replicated. Failure points move from nodes to groups: losing one replica of any group is invisible to the transaction; losing a majority of one group blocks the transactions that touch it, as for any consensus system. Each transaction pays its slowest group’s quorum write, twice.</w:t>
      </w:r>
    </w:p>
    <w:p>
      <w:pPr>
        <w:pStyle w:val="BodyText"/>
      </w:pPr>
      <w:r>
        <w:t xml:space="preserve">Gray and Lamport generalized the idea as</w:t>
      </w:r>
      <w:r>
        <w:t xml:space="preserve"> </w:t>
      </w:r>
      <w:r>
        <w:rPr>
          <w:bCs/>
          <w:b/>
        </w:rPr>
        <w:t xml:space="preserve">Paxos Commit</w:t>
      </w:r>
      <w:r>
        <w:t xml:space="preserve">, which runs one Paxos instance per participant’s vote and tolerates</w:t>
      </w:r>
      <w:r>
        <w:t xml:space="preserve"> </w:t>
      </w:r>
      <m:oMath>
        <m:r>
          <m:t>F</m:t>
        </m:r>
      </m:oMath>
      <w:r>
        <w:t xml:space="preserve"> </w:t>
      </w:r>
      <w:r>
        <w:t xml:space="preserve">failures of the acceptors with</w:t>
      </w:r>
      <w:r>
        <w:t xml:space="preserve"> </w:t>
      </w:r>
      <m:oMath>
        <m:r>
          <m:t>2</m:t>
        </m:r>
        <m:r>
          <m:t>F</m:t>
        </m:r>
        <m:r>
          <m:rPr>
            <m:sty m:val="p"/>
          </m:rPr>
          <m:t>+</m:t>
        </m:r>
        <m:r>
          <m:t>1</m:t>
        </m:r>
      </m:oMath>
      <w:r>
        <w:t xml:space="preserve"> </w:t>
      </w:r>
      <w:r>
        <w:t xml:space="preserve">acceptors; with</w:t>
      </w:r>
      <w:r>
        <w:t xml:space="preserve"> </w:t>
      </w:r>
      <m:oMath>
        <m:r>
          <m:t>F</m:t>
        </m:r>
        <m:r>
          <m:rPr>
            <m:sty m:val="p"/>
          </m:rPr>
          <m:t>=</m:t>
        </m:r>
        <m:r>
          <m:t>0</m:t>
        </m:r>
      </m:oMath>
      <w:r>
        <w:t xml:space="preserve"> </w:t>
      </w:r>
      <w:r>
        <w:t xml:space="preserve">it reduces to 2PC [Gray and Lamport 2006]. Most production systems use the simpler structure of Figure 28.6, and so does nearly every system in the rest of this chapter.</w:t>
      </w:r>
    </w:p>
    <w:p>
      <w:pPr>
        <w:pStyle w:val="CalloutIndustry"/>
      </w:pPr>
      <w:r>
        <w:rPr>
          <w:bCs/>
          <w:b/>
        </w:rPr>
        <w:t xml:space="preserve">INDUSTRY EXAMPLE</w:t>
      </w:r>
    </w:p>
    <w:p>
      <w:pPr>
        <w:pStyle w:val="CalloutIndustry"/>
      </w:pPr>
      <w:r>
        <w:rPr>
          <w:bCs/>
          <w:b/>
        </w:rPr>
        <w:t xml:space="preserve">Apache Kafka — 2PC with a replicated coordinator log.</w:t>
      </w:r>
      <w:r>
        <w:t xml:space="preserve"> </w:t>
      </w:r>
      <w:r>
        <w:t xml:space="preserve">Kafka transactions let a producer write atomically to several partitions and commit consumer offsets. A</w:t>
      </w:r>
      <w:r>
        <w:t xml:space="preserve"> </w:t>
      </w:r>
      <w:r>
        <w:rPr>
          <w:iCs/>
          <w:i/>
        </w:rPr>
        <w:t xml:space="preserve">transaction coordinator</w:t>
      </w:r>
      <w:r>
        <w:t xml:space="preserve"> </w:t>
      </w:r>
      <w:r>
        <w:t xml:space="preserve">records each transaction’s state in the internal, replicated</w:t>
      </w:r>
      <w:r>
        <w:t xml:space="preserve"> </w:t>
      </w:r>
      <w:r>
        <w:rPr>
          <w:rStyle w:val="VerbatimChar"/>
        </w:rPr>
        <w:t xml:space="preserve">__transaction_state</w:t>
      </w:r>
      <w:r>
        <w:t xml:space="preserve"> </w:t>
      </w:r>
      <w:r>
        <w:t xml:space="preserve">topic: it writes a prepare-commit entry (the commit point), then writes commit markers into every partition involved, then a completion entry. If the coordinator broker fails, a new leader for that</w:t>
      </w:r>
      <w:r>
        <w:t xml:space="preserve"> </w:t>
      </w:r>
      <w:r>
        <w:rPr>
          <w:rStyle w:val="VerbatimChar"/>
        </w:rPr>
        <w:t xml:space="preserve">__transaction_state</w:t>
      </w:r>
      <w:r>
        <w:t xml:space="preserve"> </w:t>
      </w:r>
      <w:r>
        <w:t xml:space="preserve">partition reads the log and finishes the markers. Consumers in</w:t>
      </w:r>
      <w:r>
        <w:t xml:space="preserve"> </w:t>
      </w:r>
      <w:r>
        <w:rPr>
          <w:rStyle w:val="VerbatimChar"/>
        </w:rPr>
        <w:t xml:space="preserve">read_committed</w:t>
      </w:r>
      <w:r>
        <w:t xml:space="preserve"> </w:t>
      </w:r>
      <w:r>
        <w:t xml:space="preserve">mode skip data whose markers are not yet written. See §31.11.</w:t>
      </w:r>
      <w:r>
        <w:t xml:space="preserve"> </w:t>
      </w:r>
      <w:r>
        <w:rPr>
          <w:iCs/>
          <w:i/>
        </w:rPr>
        <w:t xml:space="preserve">Evidence: Primary</w:t>
      </w:r>
      <w:r>
        <w:t xml:space="preserve"> </w:t>
      </w:r>
      <w:r>
        <w:t xml:space="preserve">— [Kafka KIP-98 2017]</w:t>
      </w:r>
    </w:p>
    <w:bookmarkEnd w:id="3154"/>
    <w:bookmarkStart w:id="3155" w:name="Xae5e7520cbd8e0d7e59a6f32f4b8668dcac5b56"/>
    <w:p>
      <w:pPr>
        <w:pStyle w:val="Heading3"/>
      </w:pPr>
      <w:r>
        <w:t xml:space="preserve">28.4.9 Advantages, disadvantages and failure scenarios</w:t>
      </w:r>
    </w:p>
    <w:p>
      <w:pPr>
        <w:pStyle w:val="FirstParagraph"/>
      </w:pPr>
      <w:r>
        <w:rPr>
          <w:bCs/>
          <w:b/>
        </w:rPr>
        <w:t xml:space="preserve">Advantages.</w:t>
      </w:r>
      <w:r>
        <w:t xml:space="preserve"> </w:t>
      </w:r>
      <w:r>
        <w:t xml:space="preserve">2PC gives true atomicity and, combined with locking, serializability across independent resource managers. It is standardized (XA), supported by most relational databases and several brokers, and its logic is simple enough to verify.</w:t>
      </w:r>
    </w:p>
    <w:p>
      <w:pPr>
        <w:pStyle w:val="BodyText"/>
      </w:pPr>
      <w:r>
        <w:rPr>
          <w:bCs/>
          <w:b/>
        </w:rPr>
        <w:t xml:space="preserve">Disadvantages.</w:t>
      </w:r>
      <w:r>
        <w:t xml:space="preserve"> </w:t>
      </w:r>
      <w:r>
        <w:t xml:space="preserve">It blocks when the coordinator fails after votes; it holds locks across at least one round trip plus two forced writes; its availability is the product of its participants’; and it couples otherwise independent services in time, which is why microservice architectures avoid it (§28.6, Chapter 34).</w:t>
      </w:r>
    </w:p>
    <w:p>
      <w:pPr>
        <w:pStyle w:val="BodyText"/>
      </w:pPr>
      <w:r>
        <w:rPr>
          <w:bCs/>
          <w:b/>
        </w:rPr>
        <w:t xml:space="preserve">Table 28.3 — Two-phase commit 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Rows locked for minutes</w:t>
            </w:r>
          </w:p>
        </w:tc>
        <w:tc>
          <w:tcPr/>
          <w:p>
            <w:pPr>
              <w:pStyle w:val="Compact"/>
              <w:jc w:val="left"/>
            </w:pPr>
            <w:r>
              <w:t xml:space="preserve">Coordinator down while participants are in doubt</w:t>
            </w:r>
          </w:p>
        </w:tc>
        <w:tc>
          <w:tcPr/>
          <w:p>
            <w:pPr>
              <w:pStyle w:val="Compact"/>
              <w:jc w:val="left"/>
            </w:pPr>
            <w:r>
              <w:t xml:space="preserve">Age of</w:t>
            </w:r>
            <w:r>
              <w:t xml:space="preserve"> </w:t>
            </w:r>
            <w:r>
              <w:rPr>
                <w:rStyle w:val="VerbatimChar"/>
              </w:rPr>
              <w:t xml:space="preserve">pg_prepared_xacts</w:t>
            </w:r>
            <w:r>
              <w:t xml:space="preserve"> </w:t>
            </w:r>
            <w:r>
              <w:t xml:space="preserve">/</w:t>
            </w:r>
            <w:r>
              <w:t xml:space="preserve"> </w:t>
            </w:r>
            <w:r>
              <w:rPr>
                <w:rStyle w:val="VerbatimChar"/>
              </w:rPr>
              <w:t xml:space="preserve">XA RECOVER</w:t>
            </w:r>
            <w:r>
              <w:t xml:space="preserve"> </w:t>
            </w:r>
            <w:r>
              <w:t xml:space="preserve">entries</w:t>
            </w:r>
          </w:p>
        </w:tc>
        <w:tc>
          <w:tcPr/>
          <w:p>
            <w:pPr>
              <w:pStyle w:val="Compact"/>
              <w:jc w:val="left"/>
            </w:pPr>
            <w:r>
              <w:t xml:space="preserve">Restart coordinator from its log; resolve by GID</w:t>
            </w:r>
          </w:p>
        </w:tc>
        <w:tc>
          <w:tcPr/>
          <w:p>
            <w:pPr>
              <w:pStyle w:val="Compact"/>
              <w:jc w:val="left"/>
            </w:pPr>
            <w:r>
              <w:t xml:space="preserve">Replicated coordinator log; fast automatic restart</w:t>
            </w:r>
          </w:p>
        </w:tc>
      </w:tr>
      <w:tr>
        <w:tc>
          <w:tcPr/>
          <w:p>
            <w:pPr>
              <w:pStyle w:val="Compact"/>
              <w:jc w:val="left"/>
            </w:pPr>
            <w:r>
              <w:t xml:space="preserve">Orphaned prepared transaction</w:t>
            </w:r>
          </w:p>
        </w:tc>
        <w:tc>
          <w:tcPr/>
          <w:p>
            <w:pPr>
              <w:pStyle w:val="Compact"/>
              <w:jc w:val="left"/>
            </w:pPr>
            <w:r>
              <w:t xml:space="preserve">Coordinator’s log lost or GID never recorded</w:t>
            </w:r>
          </w:p>
        </w:tc>
        <w:tc>
          <w:tcPr/>
          <w:p>
            <w:pPr>
              <w:pStyle w:val="Compact"/>
              <w:jc w:val="left"/>
            </w:pPr>
            <w:r>
              <w:t xml:space="preserve">Prepared transactions with unknown GID</w:t>
            </w:r>
          </w:p>
        </w:tc>
        <w:tc>
          <w:tcPr/>
          <w:p>
            <w:pPr>
              <w:pStyle w:val="Compact"/>
              <w:jc w:val="left"/>
            </w:pPr>
            <w:r>
              <w:t xml:space="preserve">Manual heuristic decision, then audit</w:t>
            </w:r>
          </w:p>
        </w:tc>
        <w:tc>
          <w:tcPr/>
          <w:p>
            <w:pPr>
              <w:pStyle w:val="Compact"/>
              <w:jc w:val="left"/>
            </w:pPr>
            <w:r>
              <w:t xml:space="preserve">Log GID and participant list before phase 2; never lose the TM log</w:t>
            </w:r>
          </w:p>
        </w:tc>
      </w:tr>
      <w:tr>
        <w:tc>
          <w:tcPr/>
          <w:p>
            <w:pPr>
              <w:pStyle w:val="Compact"/>
              <w:jc w:val="left"/>
            </w:pPr>
            <w:r>
              <w:t xml:space="preserve">Inconsistent outcome</w:t>
            </w:r>
          </w:p>
        </w:tc>
        <w:tc>
          <w:tcPr/>
          <w:p>
            <w:pPr>
              <w:pStyle w:val="Compact"/>
              <w:jc w:val="left"/>
            </w:pPr>
            <w:r>
              <w:t xml:space="preserve">Heuristic commit/abort contradicting the coordinator</w:t>
            </w:r>
          </w:p>
        </w:tc>
        <w:tc>
          <w:tcPr/>
          <w:p>
            <w:pPr>
              <w:pStyle w:val="Compact"/>
              <w:jc w:val="left"/>
            </w:pPr>
            <w:r>
              <w:t xml:space="preserve">Heuristic-mixed report; reconciliation</w:t>
            </w:r>
          </w:p>
        </w:tc>
        <w:tc>
          <w:tcPr/>
          <w:p>
            <w:pPr>
              <w:pStyle w:val="Compact"/>
              <w:jc w:val="left"/>
            </w:pPr>
            <w:r>
              <w:t xml:space="preserve">Manual compensation</w:t>
            </w:r>
          </w:p>
        </w:tc>
        <w:tc>
          <w:tcPr/>
          <w:p>
            <w:pPr>
              <w:pStyle w:val="Compact"/>
              <w:jc w:val="left"/>
            </w:pPr>
            <w:r>
              <w:t xml:space="preserve">Forbid heuristics without the coordinator’s log</w:t>
            </w:r>
          </w:p>
        </w:tc>
      </w:tr>
      <w:tr>
        <w:tc>
          <w:tcPr/>
          <w:p>
            <w:pPr>
              <w:pStyle w:val="Compact"/>
              <w:jc w:val="left"/>
            </w:pPr>
            <w:r>
              <w:t xml:space="preserve">Transaction aborts under load</w:t>
            </w:r>
          </w:p>
        </w:tc>
        <w:tc>
          <w:tcPr/>
          <w:p>
            <w:pPr>
              <w:pStyle w:val="Compact"/>
              <w:jc w:val="left"/>
            </w:pPr>
            <w:r>
              <w:t xml:space="preserve">Participant times out waiting for</w:t>
            </w:r>
            <w:r>
              <w:t xml:space="preserve"> </w:t>
            </w:r>
            <w:r>
              <w:rPr>
                <w:rStyle w:val="VerbatimChar"/>
              </w:rPr>
              <w:t xml:space="preserve">PREPARE</w:t>
            </w:r>
            <w:r>
              <w:t xml:space="preserve"> </w:t>
            </w:r>
            <w:r>
              <w:t xml:space="preserve">and aborts unilaterally</w:t>
            </w:r>
          </w:p>
        </w:tc>
        <w:tc>
          <w:tcPr/>
          <w:p>
            <w:pPr>
              <w:pStyle w:val="Compact"/>
              <w:jc w:val="left"/>
            </w:pPr>
            <w:r>
              <w:t xml:space="preserve">Abort rate and reason codes</w:t>
            </w:r>
          </w:p>
        </w:tc>
        <w:tc>
          <w:tcPr/>
          <w:p>
            <w:pPr>
              <w:pStyle w:val="Compact"/>
              <w:jc w:val="left"/>
            </w:pPr>
            <w:r>
              <w:t xml:space="preserve">Retry the transaction</w:t>
            </w:r>
          </w:p>
        </w:tc>
        <w:tc>
          <w:tcPr/>
          <w:p>
            <w:pPr>
              <w:pStyle w:val="Compact"/>
              <w:jc w:val="left"/>
            </w:pPr>
            <w:r>
              <w:t xml:space="preserve">Tune timeouts; avoid slow work between execution and commit</w:t>
            </w:r>
          </w:p>
        </w:tc>
      </w:tr>
      <w:tr>
        <w:tc>
          <w:tcPr/>
          <w:p>
            <w:pPr>
              <w:pStyle w:val="Compact"/>
              <w:jc w:val="left"/>
            </w:pPr>
            <w:r>
              <w:t xml:space="preserve">Duplicate commit applied twice</w:t>
            </w:r>
          </w:p>
        </w:tc>
        <w:tc>
          <w:tcPr/>
          <w:p>
            <w:pPr>
              <w:pStyle w:val="Compact"/>
              <w:jc w:val="left"/>
            </w:pPr>
            <w:r>
              <w:t xml:space="preserve">Retried phase 2 message not deduplicated</w:t>
            </w:r>
          </w:p>
        </w:tc>
        <w:tc>
          <w:tcPr/>
          <w:p>
            <w:pPr>
              <w:pStyle w:val="Compact"/>
              <w:jc w:val="left"/>
            </w:pPr>
            <w:r>
              <w:t xml:space="preserve">Balance reconciliation</w:t>
            </w:r>
          </w:p>
        </w:tc>
        <w:tc>
          <w:tcPr/>
          <w:p>
            <w:pPr>
              <w:pStyle w:val="Compact"/>
              <w:jc w:val="left"/>
            </w:pPr>
            <w:r>
              <w:t xml:space="preserve">Repair data</w:t>
            </w:r>
          </w:p>
        </w:tc>
        <w:tc>
          <w:tcPr/>
          <w:p>
            <w:pPr>
              <w:pStyle w:val="Compact"/>
              <w:jc w:val="left"/>
            </w:pPr>
            <w:r>
              <w:t xml:space="preserve">Idempotent</w:t>
            </w:r>
            <w:r>
              <w:t xml:space="preserve"> </w:t>
            </w:r>
            <w:r>
              <w:rPr>
                <w:rStyle w:val="VerbatimChar"/>
              </w:rPr>
              <w:t xml:space="preserve">finish</w:t>
            </w:r>
            <w:r>
              <w:t xml:space="preserve"> </w:t>
            </w:r>
            <w:r>
              <w:t xml:space="preserve">keyed by transaction ID</w:t>
            </w:r>
          </w:p>
        </w:tc>
      </w:tr>
      <w:tr>
        <w:tc>
          <w:tcPr/>
          <w:p>
            <w:pPr>
              <w:pStyle w:val="Compact"/>
              <w:jc w:val="left"/>
            </w:pPr>
            <w:r>
              <w:t xml:space="preserve">VACUUM or purge stalls</w:t>
            </w:r>
          </w:p>
        </w:tc>
        <w:tc>
          <w:tcPr/>
          <w:p>
            <w:pPr>
              <w:pStyle w:val="Compact"/>
              <w:jc w:val="left"/>
            </w:pPr>
            <w:r>
              <w:t xml:space="preserve">Long-lived prepared transaction pins old versions</w:t>
            </w:r>
          </w:p>
        </w:tc>
        <w:tc>
          <w:tcPr/>
          <w:p>
            <w:pPr>
              <w:pStyle w:val="Compact"/>
              <w:jc w:val="left"/>
            </w:pPr>
            <w:r>
              <w:t xml:space="preserve">Table bloat,</w:t>
            </w:r>
            <w:r>
              <w:t xml:space="preserve"> </w:t>
            </w:r>
            <w:r>
              <w:rPr>
                <w:rStyle w:val="VerbatimChar"/>
              </w:rPr>
              <w:t xml:space="preserve">age(datfrozenxid)</w:t>
            </w:r>
          </w:p>
        </w:tc>
        <w:tc>
          <w:tcPr/>
          <w:p>
            <w:pPr>
              <w:pStyle w:val="Compact"/>
              <w:jc w:val="left"/>
            </w:pPr>
            <w:r>
              <w:t xml:space="preserve">Resolve the prepared transaction</w:t>
            </w:r>
          </w:p>
        </w:tc>
        <w:tc>
          <w:tcPr/>
          <w:p>
            <w:pPr>
              <w:pStyle w:val="Compact"/>
              <w:jc w:val="left"/>
            </w:pPr>
            <w:r>
              <w:t xml:space="preserve">Alert on prepared transactions older than seconds</w:t>
            </w:r>
          </w:p>
        </w:tc>
      </w:tr>
    </w:tbl>
    <w:p>
      <w:pPr>
        <w:pStyle w:val="CalloutMistake"/>
      </w:pPr>
      <w:r>
        <w:rPr>
          <w:bCs/>
          <w:b/>
        </w:rPr>
        <w:t xml:space="preserve">COMMON MISTAKE</w:t>
      </w:r>
    </w:p>
    <w:p>
      <w:pPr>
        <w:pStyle w:val="CalloutMistake"/>
      </w:pPr>
      <w:r>
        <w:rPr>
          <w:bCs/>
          <w:b/>
        </w:rPr>
        <w:t xml:space="preserve">Common misconception —</w:t>
      </w:r>
      <w:r>
        <w:rPr>
          <w:bCs/>
          <w:b/>
        </w:rPr>
        <w:t xml:space="preserve"> </w:t>
      </w:r>
      <w:r>
        <w:rPr>
          <w:bCs/>
          <w:b/>
        </w:rPr>
        <w:t xml:space="preserve">“</w:t>
      </w:r>
      <w:r>
        <w:rPr>
          <w:bCs/>
          <w:b/>
        </w:rPr>
        <w:t xml:space="preserve">If the coordinator dies, participants can just time out and abort.</w:t>
      </w:r>
      <w:r>
        <w:rPr>
          <w:bCs/>
          <w:b/>
        </w:rPr>
        <w:t xml:space="preserve">”</w:t>
      </w:r>
      <w:r>
        <w:t xml:space="preserve"> </w:t>
      </w:r>
      <w:r>
        <w:t xml:space="preserve">Before voting yes, they can. After voting yes, they cannot: the coordinator may have logged commit and told another participant, which has already made its half visible. A timeout-driven abort at that point violates atomicity.</w:t>
      </w:r>
    </w:p>
    <w:p>
      <w:pPr>
        <w:pStyle w:val="CalloutMistake"/>
      </w:pPr>
      <w:r>
        <w:rPr>
          <w:bCs/>
          <w:b/>
        </w:rPr>
        <w:t xml:space="preserve">COMMON MISTAKE</w:t>
      </w:r>
    </w:p>
    <w:p>
      <w:pPr>
        <w:pStyle w:val="CalloutMistake"/>
      </w:pPr>
      <w:r>
        <w:rPr>
          <w:bCs/>
          <w:b/>
        </w:rPr>
        <w:t xml:space="preserve">Common misconception —</w:t>
      </w:r>
      <w:r>
        <w:rPr>
          <w:bCs/>
          <w:b/>
        </w:rPr>
        <w:t xml:space="preserve"> </w:t>
      </w:r>
      <w:r>
        <w:rPr>
          <w:bCs/>
          <w:b/>
        </w:rPr>
        <w:t xml:space="preserve">“</w:t>
      </w:r>
      <w:r>
        <w:rPr>
          <w:bCs/>
          <w:b/>
        </w:rPr>
        <w:t xml:space="preserve">2PC guarantees all participants commit at the same instant.</w:t>
      </w:r>
      <w:r>
        <w:rPr>
          <w:bCs/>
          <w:b/>
        </w:rPr>
        <w:t xml:space="preserve">”</w:t>
      </w:r>
      <w:r>
        <w:t xml:space="preserve"> </w:t>
      </w:r>
      <w:r>
        <w:t xml:space="preserve">It guarantees they reach the same</w:t>
      </w:r>
      <w:r>
        <w:t xml:space="preserve"> </w:t>
      </w:r>
      <w:r>
        <w:rPr>
          <w:iCs/>
          <w:i/>
        </w:rPr>
        <w:t xml:space="preserve">decision</w:t>
      </w:r>
      <w:r>
        <w:t xml:space="preserve">. Participants apply it at different times, so a reader can see A’s half before B’s unless the system also provides consistent snapshots, which is what Percolator’s timestamps and Spanner’s commit wait add.</w:t>
      </w:r>
    </w:p>
    <w:bookmarkEnd w:id="3155"/>
    <w:bookmarkEnd w:id="3156"/>
    <w:bookmarkStart w:id="3167" w:name="three-phase-commit"/>
    <w:p>
      <w:pPr>
        <w:pStyle w:val="Heading2"/>
      </w:pPr>
      <w:r>
        <w:t xml:space="preserve">28.5 Three-phase commit</w:t>
      </w:r>
    </w:p>
    <w:bookmarkStart w:id="3162" w:name="how-3pc-removes-blocking"/>
    <w:p>
      <w:pPr>
        <w:pStyle w:val="Heading3"/>
      </w:pPr>
      <w:r>
        <w:t xml:space="preserve">28.5.1 How 3PC removes blocking</w:t>
      </w:r>
    </w:p>
    <w:p>
      <w:pPr>
        <w:pStyle w:val="CalloutDefinition"/>
      </w:pPr>
      <w:r>
        <w:rPr>
          <w:bCs/>
          <w:b/>
        </w:rPr>
        <w:t xml:space="preserve">DEFINITION</w:t>
      </w:r>
    </w:p>
    <w:p>
      <w:pPr>
        <w:pStyle w:val="CalloutDefinition"/>
      </w:pPr>
      <w:r>
        <w:rPr>
          <w:bCs/>
          <w:b/>
        </w:rPr>
        <w:t xml:space="preserve">Definition — Three-phase commit (3PC).</w:t>
      </w:r>
      <w:r>
        <w:t xml:space="preserve"> </w:t>
      </w:r>
      <w:r>
        <w:t xml:space="preserve">A commit protocol that inserts a</w:t>
      </w:r>
      <w:r>
        <w:t xml:space="preserve"> </w:t>
      </w:r>
      <w:r>
        <w:rPr>
          <w:bCs/>
          <w:b/>
        </w:rPr>
        <w:t xml:space="preserve">pre-commit</w:t>
      </w:r>
      <w:r>
        <w:t xml:space="preserve"> </w:t>
      </w:r>
      <w:r>
        <w:t xml:space="preserve">phase between voting and committing, so that no participant can commit until every operational participant knows that all voted yes. Under a synchronous system model with reliable failure detection and no network partitions, it lets the surviving participants always reach a decision without the failed coordinator [Skeen 1981].</w:t>
      </w:r>
    </w:p>
    <w:bookmarkStart w:id="3157" w:name="why-does-this-exist-96"/>
    <w:p>
      <w:pPr>
        <w:pStyle w:val="Heading4"/>
      </w:pPr>
      <w:r>
        <w:t xml:space="preserve">Why does this exist?</w:t>
      </w:r>
    </w:p>
    <w:p>
      <w:pPr>
        <w:pStyle w:val="FirstParagraph"/>
      </w:pPr>
      <w:r>
        <w:t xml:space="preserve">2PC blocks because a prepared participant cannot tell whether some other node has already committed. Skeen proved that a commit protocol is non-blocking (for crash failures, in a synchronous system) only if no participant can be in a state from which</w:t>
      </w:r>
      <w:r>
        <w:t xml:space="preserve"> </w:t>
      </w:r>
      <w:r>
        <w:rPr>
          <w:iCs/>
          <w:i/>
        </w:rPr>
        <w:t xml:space="preserve">both</w:t>
      </w:r>
      <w:r>
        <w:t xml:space="preserve"> </w:t>
      </w:r>
      <w:r>
        <w:t xml:space="preserve">commit and abort are reachable in one step, and no non-committable state is adjacent to commit [Skeen 1981]. 2PC’s PREPARED state violates the first rule. 3PC adds a buffer state so that</w:t>
      </w:r>
      <w:r>
        <w:t xml:space="preserve"> </w:t>
      </w:r>
      <w:r>
        <w:t xml:space="preserve">“</w:t>
      </w:r>
      <w:r>
        <w:t xml:space="preserve">someone may have committed</w:t>
      </w:r>
      <w:r>
        <w:t xml:space="preserve">”</w:t>
      </w:r>
      <w:r>
        <w:t xml:space="preserve"> </w:t>
      </w:r>
      <w:r>
        <w:t xml:space="preserve">implies</w:t>
      </w:r>
      <w:r>
        <w:t xml:space="preserve"> </w:t>
      </w:r>
      <w:r>
        <w:t xml:space="preserve">“</w:t>
      </w:r>
      <w:r>
        <w:t xml:space="preserve">everyone already knows the vote was unanimous</w:t>
      </w:r>
      <w:r>
        <w:t xml:space="preserve">”</w:t>
      </w:r>
      <w:r>
        <w:t xml:space="preserve">.</w:t>
      </w:r>
    </w:p>
    <w:bookmarkEnd w:id="3157"/>
    <w:bookmarkStart w:id="3161" w:name="how-it-works-internally-105"/>
    <w:p>
      <w:pPr>
        <w:pStyle w:val="Heading4"/>
      </w:pPr>
      <w:r>
        <w:t xml:space="preserve">How it works internally</w:t>
      </w:r>
    </w:p>
    <w:p>
      <w:pPr>
        <w:numPr>
          <w:ilvl w:val="0"/>
          <w:numId w:val="1919"/>
        </w:numPr>
        <w:pStyle w:val="Compact"/>
      </w:pPr>
      <w:r>
        <w:rPr>
          <w:bCs/>
          <w:b/>
        </w:rPr>
        <w:t xml:space="preserve">CanCommit.</w:t>
      </w:r>
      <w:r>
        <w:t xml:space="preserve"> </w:t>
      </w:r>
      <w:r>
        <w:t xml:space="preserve">The coordinator asks each participant whether it can commit; each replies yes (and becomes</w:t>
      </w:r>
      <w:r>
        <w:t xml:space="preserve"> </w:t>
      </w:r>
      <w:r>
        <w:rPr>
          <w:iCs/>
          <w:i/>
        </w:rPr>
        <w:t xml:space="preserve">uncertain</w:t>
      </w:r>
      <w:r>
        <w:t xml:space="preserve">, as in 2PC’s PREPARED) or no.</w:t>
      </w:r>
    </w:p>
    <w:p>
      <w:pPr>
        <w:numPr>
          <w:ilvl w:val="0"/>
          <w:numId w:val="1919"/>
        </w:numPr>
        <w:pStyle w:val="Compact"/>
      </w:pPr>
      <w:r>
        <w:rPr>
          <w:bCs/>
          <w:b/>
        </w:rPr>
        <w:t xml:space="preserve">PreCommit.</w:t>
      </w:r>
      <w:r>
        <w:t xml:space="preserve"> </w:t>
      </w:r>
      <w:r>
        <w:t xml:space="preserve">If all said yes, the coordinator sends</w:t>
      </w:r>
      <w:r>
        <w:t xml:space="preserve"> </w:t>
      </w:r>
      <w:r>
        <w:rPr>
          <w:rStyle w:val="VerbatimChar"/>
        </w:rPr>
        <w:t xml:space="preserve">PRE-COMMIT</w:t>
      </w:r>
      <w:r>
        <w:t xml:space="preserve">; each participant logs it, enters the</w:t>
      </w:r>
      <w:r>
        <w:t xml:space="preserve"> </w:t>
      </w:r>
      <w:r>
        <w:rPr>
          <w:iCs/>
          <w:i/>
        </w:rPr>
        <w:t xml:space="preserve">pre-committed</w:t>
      </w:r>
      <w:r>
        <w:t xml:space="preserve"> </w:t>
      </w:r>
      <w:r>
        <w:t xml:space="preserve">state and acknowledges. Pre-committed means</w:t>
      </w:r>
      <w:r>
        <w:t xml:space="preserve"> </w:t>
      </w:r>
      <w:r>
        <w:t xml:space="preserve">“</w:t>
      </w:r>
      <w:r>
        <w:t xml:space="preserve">everyone voted yes; I will commit unless I fail</w:t>
      </w:r>
      <w:r>
        <w:t xml:space="preserve">”</w:t>
      </w:r>
      <w:r>
        <w:t xml:space="preserve">.</w:t>
      </w:r>
    </w:p>
    <w:p>
      <w:pPr>
        <w:numPr>
          <w:ilvl w:val="0"/>
          <w:numId w:val="1919"/>
        </w:numPr>
        <w:pStyle w:val="Compact"/>
      </w:pPr>
      <w:r>
        <w:rPr>
          <w:bCs/>
          <w:b/>
        </w:rPr>
        <w:t xml:space="preserve">DoCommit.</w:t>
      </w:r>
      <w:r>
        <w:t xml:space="preserve"> </w:t>
      </w:r>
      <w:r>
        <w:t xml:space="preserve">After all acknowledgments, the coordinator sends</w:t>
      </w:r>
      <w:r>
        <w:t xml:space="preserve"> </w:t>
      </w:r>
      <w:r>
        <w:rPr>
          <w:rStyle w:val="VerbatimChar"/>
        </w:rPr>
        <w:t xml:space="preserve">COMMIT</w:t>
      </w:r>
      <w:r>
        <w:t xml:space="preserve">.</w:t>
      </w:r>
    </w:p>
    <w:p>
      <w:pPr>
        <w:numPr>
          <w:ilvl w:val="0"/>
          <w:numId w:val="1919"/>
        </w:numPr>
        <w:pStyle w:val="Compact"/>
      </w:pPr>
      <w:r>
        <w:rPr>
          <w:bCs/>
          <w:b/>
        </w:rPr>
        <w:t xml:space="preserve">Termination when the coordinator fails.</w:t>
      </w:r>
      <w:r>
        <w:t xml:space="preserve"> </w:t>
      </w:r>
      <w:r>
        <w:t xml:space="preserve">The survivors elect a new coordinator, which collects their states. If any has committed, or any is pre-committed, it drives everyone to commit (sending</w:t>
      </w:r>
      <w:r>
        <w:t xml:space="preserve"> </w:t>
      </w:r>
      <w:r>
        <w:rPr>
          <w:rStyle w:val="VerbatimChar"/>
        </w:rPr>
        <w:t xml:space="preserve">PRE-COMMIT</w:t>
      </w:r>
      <w:r>
        <w:t xml:space="preserve"> </w:t>
      </w:r>
      <w:r>
        <w:t xml:space="preserve">first to those still uncertain). If any has aborted, or</w:t>
      </w:r>
      <w:r>
        <w:t xml:space="preserve"> </w:t>
      </w:r>
      <w:r>
        <w:rPr>
          <w:iCs/>
          <w:i/>
        </w:rPr>
        <w:t xml:space="preserve">all</w:t>
      </w:r>
      <w:r>
        <w:t xml:space="preserve"> </w:t>
      </w:r>
      <w:r>
        <w:t xml:space="preserve">are merely uncertain, it aborts. Aborting is safe in the last case because nobody can have committed without first being pre-committed.</w:t>
      </w:r>
    </w:p>
    <w:p>
      <w:pPr>
        <w:pStyle w:val="FirstParagraph"/>
      </w:pPr>
      <w:r>
        <w:rPr>
          <w:bCs/>
          <w:b/>
        </w:rPr>
        <w:t xml:space="preserve">Figure 28.7 — Three-phase commit.</w:t>
      </w:r>
    </w:p>
    <w:p>
      <w:pPr>
        <w:pStyle w:val="BodyText"/>
      </w:pPr>
      <w:r>
        <w:drawing>
          <wp:inline>
            <wp:extent cx="5334000" cy="4646213"/>
            <wp:effectExtent b="0" l="0" r="0" t="0"/>
            <wp:docPr descr="" title="" id="3159" name="Picture"/>
            <a:graphic>
              <a:graphicData uri="http://schemas.openxmlformats.org/drawingml/2006/picture">
                <pic:pic>
                  <pic:nvPicPr>
                    <pic:cNvPr descr="/home/user/System-Design/build/.cache/diagrams/adef4f256356.png" id="3160" name="Picture"/>
                    <pic:cNvPicPr>
                      <a:picLocks noChangeArrowheads="1" noChangeAspect="1"/>
                    </pic:cNvPicPr>
                  </pic:nvPicPr>
                  <pic:blipFill>
                    <a:blip r:embed="rId3158"/>
                    <a:stretch>
                      <a:fillRect/>
                    </a:stretch>
                  </pic:blipFill>
                  <pic:spPr bwMode="auto">
                    <a:xfrm>
                      <a:off x="0" y="0"/>
                      <a:ext cx="5334000" cy="4646213"/>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Each phase is a synchronous parallel fan-out, so 3PC costs three round trips instead of two; in a datacenter with RTT</w:t>
      </w:r>
      <w:r>
        <w:t xml:space="preserve"> </w:t>
      </w:r>
      <m:oMath>
        <m:r>
          <m:rPr>
            <m:sty m:val="p"/>
          </m:rPr>
          <m:t>=</m:t>
        </m:r>
        <m:r>
          <m:t>0.5</m:t>
        </m:r>
      </m:oMath>
      <w:r>
        <w:t xml:space="preserve"> </w:t>
      </w:r>
      <w:r>
        <w:t xml:space="preserve">ms and 1 ms forced writes, about</w:t>
      </w:r>
      <w:r>
        <w:t xml:space="preserve"> </w:t>
      </w:r>
      <m:oMath>
        <m:r>
          <m:t>3</m:t>
        </m:r>
        <m:d>
          <m:dPr>
            <m:begChr m:val="("/>
            <m:endChr m:val=")"/>
            <m:sepChr m:val=""/>
            <m:grow/>
          </m:dPr>
          <m:e>
            <m:r>
              <m:t>0.5</m:t>
            </m:r>
          </m:e>
        </m:d>
        <m:r>
          <m:rPr>
            <m:sty m:val="p"/>
          </m:rPr>
          <m:t>+</m:t>
        </m:r>
        <m:r>
          <m:t>2</m:t>
        </m:r>
        <m:d>
          <m:dPr>
            <m:begChr m:val="("/>
            <m:endChr m:val=")"/>
            <m:sepChr m:val=""/>
            <m:grow/>
          </m:dPr>
          <m:e>
            <m:r>
              <m:t>1</m:t>
            </m:r>
          </m:e>
        </m:d>
        <m:r>
          <m:rPr>
            <m:sty m:val="p"/>
          </m:rPr>
          <m:t>=</m:t>
        </m:r>
        <m:r>
          <m:t>3.5</m:t>
        </m:r>
      </m:oMath>
      <w:r>
        <w:t xml:space="preserve"> </w:t>
      </w:r>
      <w:r>
        <w:t xml:space="preserve">ms before the decision is known everywhere, versus 3 ms for 2PC. The extra round trip buys the invariant shown in the note: whenever any node may have committed, every live node is at least pre-committed, so the survivors can always decide among themselves. Failure points are the timeouts used to declare the coordinator dead, which must be accurate for the protocol to be safe.</w:t>
      </w:r>
    </w:p>
    <w:bookmarkEnd w:id="3161"/>
    <w:bookmarkEnd w:id="3162"/>
    <w:bookmarkStart w:id="3166" w:name="why-3pc-fails-under-network-partitions"/>
    <w:p>
      <w:pPr>
        <w:pStyle w:val="Heading3"/>
      </w:pPr>
      <w:r>
        <w:t xml:space="preserve">28.5.2 Why 3PC fails under network partitions</w:t>
      </w:r>
    </w:p>
    <w:p>
      <w:pPr>
        <w:pStyle w:val="FirstParagraph"/>
      </w:pPr>
      <w:r>
        <w:t xml:space="preserve">The termination rule</w:t>
      </w:r>
      <w:r>
        <w:t xml:space="preserve"> </w:t>
      </w:r>
      <w:r>
        <w:t xml:space="preserve">“</w:t>
      </w:r>
      <w:r>
        <w:t xml:space="preserve">all uncertain means abort</w:t>
      </w:r>
      <w:r>
        <w:t xml:space="preserve">”</w:t>
      </w:r>
      <w:r>
        <w:t xml:space="preserve"> </w:t>
      </w:r>
      <w:r>
        <w:t xml:space="preserve">assumes that a node which cannot be reached has</w:t>
      </w:r>
      <w:r>
        <w:t xml:space="preserve"> </w:t>
      </w:r>
      <w:r>
        <w:rPr>
          <w:iCs/>
          <w:i/>
        </w:rPr>
        <w:t xml:space="preserve">crashed</w:t>
      </w:r>
      <w:r>
        <w:t xml:space="preserve">. In an asynchronous network it may simply be on the other side of a partition (§24.7).</w:t>
      </w:r>
    </w:p>
    <w:p>
      <w:pPr>
        <w:pStyle w:val="BodyText"/>
      </w:pPr>
      <w:r>
        <w:rPr>
          <w:bCs/>
          <w:b/>
        </w:rPr>
        <w:t xml:space="preserve">Figure 28.8 — A partition makes 3PC decide both ways.</w:t>
      </w:r>
    </w:p>
    <w:p>
      <w:pPr>
        <w:pStyle w:val="BodyText"/>
      </w:pPr>
      <w:r>
        <w:drawing>
          <wp:inline>
            <wp:extent cx="5334000" cy="2408658"/>
            <wp:effectExtent b="0" l="0" r="0" t="0"/>
            <wp:docPr descr="" title="" id="3164" name="Picture"/>
            <a:graphic>
              <a:graphicData uri="http://schemas.openxmlformats.org/drawingml/2006/picture">
                <pic:pic>
                  <pic:nvPicPr>
                    <pic:cNvPr descr="/home/user/System-Design/build/.cache/diagrams/44f3ee494a78.png" id="3165" name="Picture"/>
                    <pic:cNvPicPr>
                      <a:picLocks noChangeArrowheads="1" noChangeAspect="1"/>
                    </pic:cNvPicPr>
                  </pic:nvPicPr>
                  <pic:blipFill>
                    <a:blip r:embed="rId3163"/>
                    <a:stretch>
                      <a:fillRect/>
                    </a:stretch>
                  </pic:blipFill>
                  <pic:spPr bwMode="auto">
                    <a:xfrm>
                      <a:off x="0" y="0"/>
                      <a:ext cx="5334000" cy="2408658"/>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original coordinator sent</w:t>
      </w:r>
      <w:r>
        <w:t xml:space="preserve"> </w:t>
      </w:r>
      <w:r>
        <w:rPr>
          <w:rStyle w:val="VerbatimChar"/>
        </w:rPr>
        <w:t xml:space="preserve">PRE-COMMIT</w:t>
      </w:r>
      <w:r>
        <w:t xml:space="preserve"> </w:t>
      </w:r>
      <w:r>
        <w:t xml:space="preserve">to A and then lost connectivity; the network splits A from B and D. Each side runs the termination protocol with the nodes it can see. Side 1 contains a pre-committed node, so it commits; side 2 sees only uncertain nodes, so it aborts. Both decisions are durable, and the transaction is no longer atomic. The failure point is the timeout-based failure detector, which cannot distinguish crashed from partitioned. No amount of scaling fixes it; only a majority-based decision does.</w:t>
      </w:r>
    </w:p>
    <w:p>
      <w:pPr>
        <w:pStyle w:val="BodyText"/>
      </w:pPr>
      <w:r>
        <w:t xml:space="preserve">3PC is rarely deployed for three reasons: real networks partition and timeouts misfire under GC pauses and overload (§23.9); it adds a round trip and a forced write to every commit; and running 2PC over consensus groups (§28.4.8) tolerates crashes</w:t>
      </w:r>
      <w:r>
        <w:t xml:space="preserve"> </w:t>
      </w:r>
      <w:r>
        <w:rPr>
          <w:iCs/>
          <w:i/>
        </w:rPr>
        <w:t xml:space="preserve">and</w:t>
      </w:r>
      <w:r>
        <w:t xml:space="preserve"> </w:t>
      </w:r>
      <w:r>
        <w:t xml:space="preserve">partitions, staying safe even when timeouts are wrong.</w:t>
      </w:r>
    </w:p>
    <w:p>
      <w:pPr>
        <w:pStyle w:val="BodyText"/>
      </w:pPr>
      <w:r>
        <w:rPr>
          <w:bCs/>
          <w:b/>
        </w:rPr>
        <w:t xml:space="preserve">Table 28.4 — Commit protocols compared.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Property</w:t>
            </w:r>
          </w:p>
        </w:tc>
        <w:tc>
          <w:tcPr/>
          <w:p>
            <w:pPr>
              <w:pStyle w:val="Compact"/>
              <w:jc w:val="left"/>
            </w:pPr>
            <w:r>
              <w:t xml:space="preserve">2PC</w:t>
            </w:r>
          </w:p>
        </w:tc>
        <w:tc>
          <w:tcPr/>
          <w:p>
            <w:pPr>
              <w:pStyle w:val="Compact"/>
              <w:jc w:val="left"/>
            </w:pPr>
            <w:r>
              <w:t xml:space="preserve">3PC</w:t>
            </w:r>
          </w:p>
        </w:tc>
        <w:tc>
          <w:tcPr/>
          <w:p>
            <w:pPr>
              <w:pStyle w:val="Compact"/>
              <w:jc w:val="left"/>
            </w:pPr>
            <w:r>
              <w:t xml:space="preserve">2PC over consensus groups</w:t>
            </w:r>
          </w:p>
        </w:tc>
      </w:tr>
      <w:tr>
        <w:tc>
          <w:tcPr/>
          <w:p>
            <w:pPr>
              <w:pStyle w:val="Compact"/>
              <w:jc w:val="left"/>
            </w:pPr>
            <w:r>
              <w:t xml:space="preserve">Message rounds to decide</w:t>
            </w:r>
          </w:p>
        </w:tc>
        <w:tc>
          <w:tcPr/>
          <w:p>
            <w:pPr>
              <w:pStyle w:val="Compact"/>
              <w:jc w:val="left"/>
            </w:pPr>
            <w:r>
              <w:t xml:space="preserve">2</w:t>
            </w:r>
          </w:p>
        </w:tc>
        <w:tc>
          <w:tcPr/>
          <w:p>
            <w:pPr>
              <w:pStyle w:val="Compact"/>
              <w:jc w:val="left"/>
            </w:pPr>
            <w:r>
              <w:t xml:space="preserve">3</w:t>
            </w:r>
          </w:p>
        </w:tc>
        <w:tc>
          <w:tcPr/>
          <w:p>
            <w:pPr>
              <w:pStyle w:val="Compact"/>
              <w:jc w:val="left"/>
            </w:pPr>
            <w:r>
              <w:t xml:space="preserve">2 (each a quorum write)</w:t>
            </w:r>
          </w:p>
        </w:tc>
      </w:tr>
      <w:tr>
        <w:tc>
          <w:tcPr/>
          <w:p>
            <w:pPr>
              <w:pStyle w:val="Compact"/>
              <w:jc w:val="left"/>
            </w:pPr>
            <w:r>
              <w:t xml:space="preserve">Blocks if coordinator crashes</w:t>
            </w:r>
          </w:p>
        </w:tc>
        <w:tc>
          <w:tcPr/>
          <w:p>
            <w:pPr>
              <w:pStyle w:val="Compact"/>
              <w:jc w:val="left"/>
            </w:pPr>
            <w:r>
              <w:t xml:space="preserve">Yes, until it recovers</w:t>
            </w:r>
          </w:p>
        </w:tc>
        <w:tc>
          <w:tcPr/>
          <w:p>
            <w:pPr>
              <w:pStyle w:val="Compact"/>
              <w:jc w:val="left"/>
            </w:pPr>
            <w:r>
              <w:t xml:space="preserve">No (synchronous model)</w:t>
            </w:r>
          </w:p>
        </w:tc>
        <w:tc>
          <w:tcPr/>
          <w:p>
            <w:pPr>
              <w:pStyle w:val="Compact"/>
              <w:jc w:val="left"/>
            </w:pPr>
            <w:r>
              <w:t xml:space="preserve">Only until a new leader is elected</w:t>
            </w:r>
          </w:p>
        </w:tc>
      </w:tr>
      <w:tr>
        <w:tc>
          <w:tcPr/>
          <w:p>
            <w:pPr>
              <w:pStyle w:val="Compact"/>
              <w:jc w:val="left"/>
            </w:pPr>
            <w:r>
              <w:t xml:space="preserve">Safe under network partition</w:t>
            </w:r>
          </w:p>
        </w:tc>
        <w:tc>
          <w:tcPr/>
          <w:p>
            <w:pPr>
              <w:pStyle w:val="Compact"/>
              <w:jc w:val="left"/>
            </w:pPr>
            <w:r>
              <w:t xml:space="preserve">Yes (blocks, never inconsistent)</w:t>
            </w:r>
          </w:p>
        </w:tc>
        <w:tc>
          <w:tcPr/>
          <w:p>
            <w:pPr>
              <w:pStyle w:val="Compact"/>
              <w:jc w:val="left"/>
            </w:pPr>
            <w:r>
              <w:t xml:space="preserve">No</w:t>
            </w:r>
          </w:p>
        </w:tc>
        <w:tc>
          <w:tcPr/>
          <w:p>
            <w:pPr>
              <w:pStyle w:val="Compact"/>
              <w:jc w:val="left"/>
            </w:pPr>
            <w:r>
              <w:t xml:space="preserve">Yes (minority side blocks)</w:t>
            </w:r>
          </w:p>
        </w:tc>
      </w:tr>
      <w:tr>
        <w:tc>
          <w:tcPr/>
          <w:p>
            <w:pPr>
              <w:pStyle w:val="Compact"/>
              <w:jc w:val="left"/>
            </w:pPr>
            <w:r>
              <w:t xml:space="preserve">Failure assumption</w:t>
            </w:r>
          </w:p>
        </w:tc>
        <w:tc>
          <w:tcPr/>
          <w:p>
            <w:pPr>
              <w:pStyle w:val="Compact"/>
              <w:jc w:val="left"/>
            </w:pPr>
            <w:r>
              <w:t xml:space="preserve">Crash-recovery</w:t>
            </w:r>
          </w:p>
        </w:tc>
        <w:tc>
          <w:tcPr/>
          <w:p>
            <w:pPr>
              <w:pStyle w:val="Compact"/>
              <w:jc w:val="left"/>
            </w:pPr>
            <w:r>
              <w:t xml:space="preserve">Crash-stop, bounded delays</w:t>
            </w:r>
          </w:p>
        </w:tc>
        <w:tc>
          <w:tcPr/>
          <w:p>
            <w:pPr>
              <w:pStyle w:val="Compact"/>
              <w:jc w:val="left"/>
            </w:pPr>
            <w:r>
              <w:t xml:space="preserve">Crash-recovery, majority up</w:t>
            </w:r>
          </w:p>
        </w:tc>
      </w:tr>
      <w:tr>
        <w:tc>
          <w:tcPr/>
          <w:p>
            <w:pPr>
              <w:pStyle w:val="Compact"/>
              <w:jc w:val="left"/>
            </w:pPr>
            <w:r>
              <w:t xml:space="preserve">Used in practice</w:t>
            </w:r>
          </w:p>
        </w:tc>
        <w:tc>
          <w:tcPr/>
          <w:p>
            <w:pPr>
              <w:pStyle w:val="Compact"/>
              <w:jc w:val="left"/>
            </w:pPr>
            <w:r>
              <w:t xml:space="preserve">XA, databases, brokers</w:t>
            </w:r>
          </w:p>
        </w:tc>
        <w:tc>
          <w:tcPr/>
          <w:p>
            <w:pPr>
              <w:pStyle w:val="Compact"/>
              <w:jc w:val="left"/>
            </w:pPr>
            <w:r>
              <w:t xml:space="preserve">Rarely</w:t>
            </w:r>
          </w:p>
        </w:tc>
        <w:tc>
          <w:tcPr/>
          <w:p>
            <w:pPr>
              <w:pStyle w:val="Compact"/>
              <w:jc w:val="left"/>
            </w:pPr>
            <w:r>
              <w:t xml:space="preserve">Spanner, CockroachDB, TiDB, YugabyteDB, Kafka</w:t>
            </w:r>
          </w:p>
        </w:tc>
      </w:tr>
    </w:tbl>
    <w:p>
      <w:pPr>
        <w:pStyle w:val="CalloutMistake"/>
      </w:pPr>
      <w:r>
        <w:rPr>
          <w:bCs/>
          <w:b/>
        </w:rPr>
        <w:t xml:space="preserve">COMMON MISTAKE</w:t>
      </w:r>
    </w:p>
    <w:p>
      <w:pPr>
        <w:pStyle w:val="CalloutMistake"/>
      </w:pPr>
      <w:r>
        <w:rPr>
          <w:bCs/>
          <w:b/>
        </w:rPr>
        <w:t xml:space="preserve">Common misconception —</w:t>
      </w:r>
      <w:r>
        <w:rPr>
          <w:bCs/>
          <w:b/>
        </w:rPr>
        <w:t xml:space="preserve"> </w:t>
      </w:r>
      <w:r>
        <w:rPr>
          <w:bCs/>
          <w:b/>
        </w:rPr>
        <w:t xml:space="preserve">“</w:t>
      </w:r>
      <w:r>
        <w:rPr>
          <w:bCs/>
          <w:b/>
        </w:rPr>
        <w:t xml:space="preserve">3PC is 2PC without blocking.</w:t>
      </w:r>
      <w:r>
        <w:rPr>
          <w:bCs/>
          <w:b/>
        </w:rPr>
        <w:t xml:space="preserve">”</w:t>
      </w:r>
      <w:r>
        <w:t xml:space="preserve"> </w:t>
      </w:r>
      <w:r>
        <w:t xml:space="preserve">It removes blocking only by assuming perfect failure detection. In an asynchronous network it trades 2PC’s</w:t>
      </w:r>
      <w:r>
        <w:t xml:space="preserve"> </w:t>
      </w:r>
      <w:r>
        <w:rPr>
          <w:iCs/>
          <w:i/>
        </w:rPr>
        <w:t xml:space="preserve">blocking</w:t>
      </w:r>
      <w:r>
        <w:t xml:space="preserve"> </w:t>
      </w:r>
      <w:r>
        <w:t xml:space="preserve">for the far worse possibility of</w:t>
      </w:r>
      <w:r>
        <w:t xml:space="preserve"> </w:t>
      </w:r>
      <w:r>
        <w:rPr>
          <w:iCs/>
          <w:i/>
        </w:rPr>
        <w:t xml:space="preserve">inconsistency</w:t>
      </w:r>
      <w:r>
        <w:t xml:space="preserve">.</w:t>
      </w:r>
    </w:p>
    <w:bookmarkEnd w:id="3166"/>
    <w:bookmarkEnd w:id="3167"/>
    <w:bookmarkStart w:id="3171" w:name="sagas-a-preview"/>
    <w:p>
      <w:pPr>
        <w:pStyle w:val="Heading2"/>
      </w:pPr>
      <w:r>
        <w:t xml:space="preserve">28.6 Sagas: a preview</w:t>
      </w:r>
    </w:p>
    <w:p>
      <w:pPr>
        <w:pStyle w:val="CalloutDefinition"/>
      </w:pPr>
      <w:r>
        <w:rPr>
          <w:bCs/>
          <w:b/>
        </w:rPr>
        <w:t xml:space="preserve">DEFINITION</w:t>
      </w:r>
    </w:p>
    <w:p>
      <w:pPr>
        <w:pStyle w:val="CalloutDefinition"/>
      </w:pPr>
      <w:r>
        <w:rPr>
          <w:bCs/>
          <w:b/>
        </w:rPr>
        <w:t xml:space="preserve">Definition — Saga.</w:t>
      </w:r>
      <w:r>
        <w:t xml:space="preserve"> </w:t>
      </w:r>
      <w:r>
        <w:t xml:space="preserve">A long-lived transaction written as a sequence of local transactions</w:t>
      </w:r>
      <w:r>
        <w:t xml:space="preserve"> </w:t>
      </w:r>
      <m:oMath>
        <m:sSub>
          <m:e>
            <m:r>
              <m:t>T</m:t>
            </m:r>
          </m:e>
          <m:sub>
            <m:r>
              <m:t>1</m:t>
            </m:r>
          </m:sub>
        </m:sSub>
        <m:r>
          <m:rPr>
            <m:sty m:val="p"/>
          </m:rPr>
          <m:t>,</m:t>
        </m:r>
        <m:sSub>
          <m:e>
            <m:r>
              <m:t>T</m:t>
            </m:r>
          </m:e>
          <m:sub>
            <m:r>
              <m:t>2</m:t>
            </m:r>
          </m:sub>
        </m:sSub>
        <m:r>
          <m:rPr>
            <m:sty m:val="p"/>
          </m:rPr>
          <m:t>,</m:t>
        </m:r>
        <m:r>
          <m:rPr>
            <m:sty m:val="p"/>
          </m:rPr>
          <m:t>…</m:t>
        </m:r>
        <m:r>
          <m:rPr>
            <m:sty m:val="p"/>
          </m:rPr>
          <m:t>,</m:t>
        </m:r>
        <m:sSub>
          <m:e>
            <m:r>
              <m:t>T</m:t>
            </m:r>
          </m:e>
          <m:sub>
            <m:r>
              <m:t>n</m:t>
            </m:r>
          </m:sub>
        </m:sSub>
      </m:oMath>
      <w:r>
        <w:t xml:space="preserve">, each committed independently, where each</w:t>
      </w:r>
      <w:r>
        <w:t xml:space="preserve"> </w:t>
      </w:r>
      <m:oMath>
        <m:sSub>
          <m:e>
            <m:r>
              <m:t>T</m:t>
            </m:r>
          </m:e>
          <m:sub>
            <m:r>
              <m:t>i</m:t>
            </m:r>
          </m:sub>
        </m:sSub>
      </m:oMath>
      <w:r>
        <w:t xml:space="preserve"> </w:t>
      </w:r>
      <w:r>
        <w:t xml:space="preserve">has a</w:t>
      </w:r>
      <w:r>
        <w:t xml:space="preserve"> </w:t>
      </w:r>
      <w:r>
        <w:rPr>
          <w:bCs/>
          <w:b/>
        </w:rPr>
        <w:t xml:space="preserve">compensating transaction</w:t>
      </w:r>
      <w:r>
        <w:t xml:space="preserve"> </w:t>
      </w:r>
      <m:oMath>
        <m:sSub>
          <m:e>
            <m:r>
              <m:t>C</m:t>
            </m:r>
          </m:e>
          <m:sub>
            <m:r>
              <m:t>i</m:t>
            </m:r>
          </m:sub>
        </m:sSub>
      </m:oMath>
      <w:r>
        <w:t xml:space="preserve"> </w:t>
      </w:r>
      <w:r>
        <w:t xml:space="preserve">that semantically undoes it. Either</w:t>
      </w:r>
      <w:r>
        <w:t xml:space="preserve"> </w:t>
      </w:r>
      <m:oMath>
        <m:sSub>
          <m:e>
            <m:r>
              <m:t>T</m:t>
            </m:r>
          </m:e>
          <m:sub>
            <m:r>
              <m:t>1</m:t>
            </m:r>
          </m:sub>
        </m:sSub>
        <m:r>
          <m:rPr>
            <m:sty m:val="p"/>
          </m:rPr>
          <m:t>…</m:t>
        </m:r>
        <m:sSub>
          <m:e>
            <m:r>
              <m:t>T</m:t>
            </m:r>
          </m:e>
          <m:sub>
            <m:r>
              <m:t>n</m:t>
            </m:r>
          </m:sub>
        </m:sSub>
      </m:oMath>
      <w:r>
        <w:t xml:space="preserve"> </w:t>
      </w:r>
      <w:r>
        <w:t xml:space="preserve">all complete, or</w:t>
      </w:r>
      <w:r>
        <w:t xml:space="preserve"> </w:t>
      </w:r>
      <m:oMath>
        <m:sSub>
          <m:e>
            <m:r>
              <m:t>T</m:t>
            </m:r>
          </m:e>
          <m:sub>
            <m:r>
              <m:t>1</m:t>
            </m:r>
          </m:sub>
        </m:sSub>
        <m:r>
          <m:rPr>
            <m:sty m:val="p"/>
          </m:rPr>
          <m:t>…</m:t>
        </m:r>
        <m:sSub>
          <m:e>
            <m:r>
              <m:t>T</m:t>
            </m:r>
          </m:e>
          <m:sub>
            <m:r>
              <m:t>j</m:t>
            </m:r>
          </m:sub>
        </m:sSub>
        <m:r>
          <m:rPr>
            <m:sty m:val="p"/>
          </m:rPr>
          <m:t>,</m:t>
        </m:r>
        <m:sSub>
          <m:e>
            <m:r>
              <m:t>C</m:t>
            </m:r>
          </m:e>
          <m:sub>
            <m:r>
              <m:t>j</m:t>
            </m:r>
          </m:sub>
        </m:sSub>
        <m:r>
          <m:rPr>
            <m:sty m:val="p"/>
          </m:rPr>
          <m:t>…</m:t>
        </m:r>
        <m:sSub>
          <m:e>
            <m:r>
              <m:t>C</m:t>
            </m:r>
          </m:e>
          <m:sub>
            <m:r>
              <m:t>1</m:t>
            </m:r>
          </m:sub>
        </m:sSub>
      </m:oMath>
      <w:r>
        <w:t xml:space="preserve"> </w:t>
      </w:r>
      <w:r>
        <w:t xml:space="preserve">run [Garcia-Molina and Salem 1987].</w:t>
      </w:r>
    </w:p>
    <w:p>
      <w:pPr>
        <w:pStyle w:val="BodyText"/>
      </w:pPr>
      <w:r>
        <w:t xml:space="preserve">A saga replaces atomicity with</w:t>
      </w:r>
      <w:r>
        <w:t xml:space="preserve"> </w:t>
      </w:r>
      <w:r>
        <w:rPr>
          <w:bCs/>
          <w:b/>
        </w:rPr>
        <w:t xml:space="preserve">semantic atomicity</w:t>
      </w:r>
      <w:r>
        <w:t xml:space="preserve">: the system ends in a state equivalent to</w:t>
      </w:r>
      <w:r>
        <w:t xml:space="preserve"> </w:t>
      </w:r>
      <w:r>
        <w:t xml:space="preserve">“</w:t>
      </w:r>
      <w:r>
        <w:t xml:space="preserve">all happened</w:t>
      </w:r>
      <w:r>
        <w:t xml:space="preserve">”</w:t>
      </w:r>
      <w:r>
        <w:t xml:space="preserve"> </w:t>
      </w:r>
      <w:r>
        <w:t xml:space="preserve">or</w:t>
      </w:r>
      <w:r>
        <w:t xml:space="preserve"> </w:t>
      </w:r>
      <w:r>
        <w:t xml:space="preserve">“</w:t>
      </w:r>
      <w:r>
        <w:t xml:space="preserve">none happened</w:t>
      </w:r>
      <w:r>
        <w:t xml:space="preserve">”</w:t>
      </w:r>
      <w:r>
        <w:t xml:space="preserve"> </w:t>
      </w:r>
      <w:r>
        <w:t xml:space="preserve">as the</w:t>
      </w:r>
      <w:r>
        <w:t xml:space="preserve"> </w:t>
      </w:r>
      <w:r>
        <w:rPr>
          <w:iCs/>
          <w:i/>
        </w:rPr>
        <w:t xml:space="preserve">business</w:t>
      </w:r>
      <w:r>
        <w:t xml:space="preserve"> </w:t>
      </w:r>
      <w:r>
        <w:t xml:space="preserve">defines it, not byte for byte. Refunding a charge does not erase the charge; it adds a refund. Because each step commits locally, a saga holds no locks across services and never blocks on a coordinator, which is why it suits long-running business processes and microservices.</w:t>
      </w:r>
    </w:p>
    <w:p>
      <w:pPr>
        <w:pStyle w:val="BodyText"/>
      </w:pPr>
      <w:r>
        <w:rPr>
          <w:bCs/>
          <w:b/>
        </w:rPr>
        <w:t xml:space="preserve">Figure 28.9 — A transfer saga with compensation.</w:t>
      </w:r>
    </w:p>
    <w:p>
      <w:pPr>
        <w:pStyle w:val="BodyText"/>
      </w:pPr>
      <w:r>
        <w:drawing>
          <wp:inline>
            <wp:extent cx="5334000" cy="718765"/>
            <wp:effectExtent b="0" l="0" r="0" t="0"/>
            <wp:docPr descr="" title="" id="3169" name="Picture"/>
            <a:graphic>
              <a:graphicData uri="http://schemas.openxmlformats.org/drawingml/2006/picture">
                <pic:pic>
                  <pic:nvPicPr>
                    <pic:cNvPr descr="/home/user/System-Design/build/.cache/diagrams/e0d2c9b0bfd3.png" id="3170" name="Picture"/>
                    <pic:cNvPicPr>
                      <a:picLocks noChangeArrowheads="1" noChangeAspect="1"/>
                    </pic:cNvPicPr>
                  </pic:nvPicPr>
                  <pic:blipFill>
                    <a:blip r:embed="rId3168"/>
                    <a:stretch>
                      <a:fillRect/>
                    </a:stretch>
                  </pic:blipFill>
                  <pic:spPr bwMode="auto">
                    <a:xfrm>
                      <a:off x="0" y="0"/>
                      <a:ext cx="5334000" cy="718765"/>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Each box is a local transaction in a different service with its own database; between steps, other transactions can see the intermediate state (account 7 debited, account 9 not yet credited). The orchestrator persists its progress and drives steps asynchronously (dotted arrows), retrying each step until it succeeds, so steps and compensations must be idempotent (§22.15). The failure point is the gap between steps: a saga provides no isolation, so another transaction might read the debited balance and refuse a payment it should have allowed.</w:t>
      </w:r>
    </w:p>
    <w:p>
      <w:pPr>
        <w:pStyle w:val="BodyText"/>
      </w:pPr>
      <w:r>
        <w:t xml:space="preserve">The price is isolation, plus a compensation for every step, even steps that cannot truly be undone (an email sent). Chapter 32 covers sagas in depth (§32.7–§32.8) and the</w:t>
      </w:r>
      <w:r>
        <w:t xml:space="preserve"> </w:t>
      </w:r>
      <w:r>
        <w:rPr>
          <w:bCs/>
          <w:b/>
        </w:rPr>
        <w:t xml:space="preserve">transactional outbox</w:t>
      </w:r>
      <w:r>
        <w:t xml:space="preserve"> </w:t>
      </w:r>
      <w:r>
        <w:t xml:space="preserve">(§32.5), which makes</w:t>
      </w:r>
      <w:r>
        <w:t xml:space="preserve"> </w:t>
      </w:r>
      <w:r>
        <w:t xml:space="preserve">“</w:t>
      </w:r>
      <w:r>
        <w:t xml:space="preserve">commit locally</w:t>
      </w:r>
      <w:r>
        <w:t xml:space="preserve"> </w:t>
      </w:r>
      <w:r>
        <w:rPr>
          <w:iCs/>
          <w:i/>
        </w:rPr>
        <w:t xml:space="preserve">and</w:t>
      </w:r>
      <w:r>
        <w:t xml:space="preserve"> </w:t>
      </w:r>
      <w:r>
        <w:t xml:space="preserve">publish a message</w:t>
      </w:r>
      <w:r>
        <w:t xml:space="preserve">”</w:t>
      </w:r>
      <w:r>
        <w:t xml:space="preserve"> </w:t>
      </w:r>
      <w:r>
        <w:t xml:space="preserve">atomic without 2PC.</w:t>
      </w:r>
    </w:p>
    <w:bookmarkEnd w:id="3171"/>
    <w:bookmarkStart w:id="3181" w:name="percolator-style-transactions"/>
    <w:p>
      <w:pPr>
        <w:pStyle w:val="Heading2"/>
      </w:pPr>
      <w:r>
        <w:t xml:space="preserve">28.7 Percolator-style transactions</w:t>
      </w:r>
    </w:p>
    <w:bookmarkStart w:id="3174" w:name="the-problem-percolator-solved"/>
    <w:p>
      <w:pPr>
        <w:pStyle w:val="Heading3"/>
      </w:pPr>
      <w:r>
        <w:t xml:space="preserve">28.7.1 The problem Percolator solved</w:t>
      </w:r>
    </w:p>
    <w:p>
      <w:pPr>
        <w:pStyle w:val="CalloutDefinition"/>
      </w:pPr>
      <w:r>
        <w:rPr>
          <w:bCs/>
          <w:b/>
        </w:rPr>
        <w:t xml:space="preserve">DEFINITION</w:t>
      </w:r>
    </w:p>
    <w:p>
      <w:pPr>
        <w:pStyle w:val="CalloutDefinition"/>
      </w:pPr>
      <w:r>
        <w:rPr>
          <w:bCs/>
          <w:b/>
        </w:rPr>
        <w:t xml:space="preserve">Definition — Percolator transaction.</w:t>
      </w:r>
      <w:r>
        <w:t xml:space="preserve"> </w:t>
      </w:r>
      <w:r>
        <w:t xml:space="preserve">A snapshot-isolated, multi-row, multi-table transaction built entirely by a client library on top of a store that offers only single-row atomic updates and multiple timestamped versions per cell. Ordering comes from a central</w:t>
      </w:r>
      <w:r>
        <w:t xml:space="preserve"> </w:t>
      </w:r>
      <w:r>
        <w:rPr>
          <w:bCs/>
          <w:b/>
        </w:rPr>
        <w:t xml:space="preserve">timestamp oracle</w:t>
      </w:r>
      <w:r>
        <w:t xml:space="preserve">; atomicity comes from making one row’s lock, the</w:t>
      </w:r>
      <w:r>
        <w:t xml:space="preserve"> </w:t>
      </w:r>
      <w:r>
        <w:rPr>
          <w:bCs/>
          <w:b/>
        </w:rPr>
        <w:t xml:space="preserve">primary lock</w:t>
      </w:r>
      <w:r>
        <w:t xml:space="preserve">, the commit point for the whole transaction [Peng and Dabek 2010].</w:t>
      </w:r>
    </w:p>
    <w:bookmarkStart w:id="3172" w:name="first-principles-explanation-152"/>
    <w:p>
      <w:pPr>
        <w:pStyle w:val="Heading4"/>
      </w:pPr>
      <w:r>
        <w:t xml:space="preserve">First-principles explanation</w:t>
      </w:r>
    </w:p>
    <w:p>
      <w:pPr>
        <w:pStyle w:val="FirstParagraph"/>
      </w:pPr>
      <w:r>
        <w:t xml:space="preserve">Think of a team editing many pages of a shared binder. Before editing, each writer clips a sticky note to every page they will change, and every note says</w:t>
      </w:r>
      <w:r>
        <w:t xml:space="preserve"> </w:t>
      </w:r>
      <w:r>
        <w:t xml:space="preserve">“</w:t>
      </w:r>
      <w:r>
        <w:t xml:space="preserve">see page 1</w:t>
      </w:r>
      <w:r>
        <w:t xml:space="preserve">”</w:t>
      </w:r>
      <w:r>
        <w:t xml:space="preserve">. Page 1’s note is special: whoever removes it and stamps page 1</w:t>
      </w:r>
      <w:r>
        <w:t xml:space="preserve"> </w:t>
      </w:r>
      <w:r>
        <w:t xml:space="preserve">“</w:t>
      </w:r>
      <w:r>
        <w:t xml:space="preserve">done at 14:02</w:t>
      </w:r>
      <w:r>
        <w:t xml:space="preserve">”</w:t>
      </w:r>
      <w:r>
        <w:t xml:space="preserve"> </w:t>
      </w:r>
      <w:r>
        <w:t xml:space="preserve">has committed the whole edit, even if they collapse before unclipping the other notes. A reader who finds a stale note on page 37 just turns to page 1 to learn whether that edit happened.</w:t>
      </w:r>
    </w:p>
    <w:bookmarkEnd w:id="3172"/>
    <w:bookmarkStart w:id="3173" w:name="why-does-this-exist-97"/>
    <w:p>
      <w:pPr>
        <w:pStyle w:val="Heading4"/>
      </w:pPr>
      <w:r>
        <w:t xml:space="preserve">Why does this exist?</w:t>
      </w:r>
    </w:p>
    <w:p>
      <w:pPr>
        <w:pStyle w:val="FirstParagraph"/>
      </w:pPr>
      <w:r>
        <w:t xml:space="preserve">Google’s web index was rebuilt in large MapReduce batches, so a newly crawled page could take days to appear in search. Updating the index</w:t>
      </w:r>
      <w:r>
        <w:t xml:space="preserve"> </w:t>
      </w:r>
      <w:r>
        <w:rPr>
          <w:iCs/>
          <w:i/>
        </w:rPr>
        <w:t xml:space="preserve">incrementally</w:t>
      </w:r>
      <w:r>
        <w:t xml:space="preserve"> </w:t>
      </w:r>
      <w:r>
        <w:t xml:space="preserve">meant many concurrent workers changing billions of Bigtable rows (§14.6), each document touching many rows, with no stale or half-applied results. Bigtable offered only single-row transactions. Percolator added cross-row snapshot-isolated transactions and notifications on top, and Google reported that moving indexing to it cut the average age of documents in search results by 50% [Peng and Dabek 2010].</w:t>
      </w:r>
    </w:p>
    <w:bookmarkEnd w:id="3173"/>
    <w:bookmarkEnd w:id="3174"/>
    <w:bookmarkStart w:id="3178" w:name="how-it-works-internally-106"/>
    <w:p>
      <w:pPr>
        <w:pStyle w:val="Heading3"/>
      </w:pPr>
      <w:r>
        <w:t xml:space="preserve">28.7.2 How it works internally</w:t>
      </w:r>
    </w:p>
    <w:p>
      <w:pPr>
        <w:pStyle w:val="FirstParagraph"/>
      </w:pPr>
      <w:r>
        <w:t xml:space="preserve">Every logical column is stored as several Bigtable columns, each holding timestamped versions.</w:t>
      </w:r>
    </w:p>
    <w:p>
      <w:pPr>
        <w:pStyle w:val="BodyText"/>
      </w:pPr>
      <w:r>
        <w:rPr>
          <w:bCs/>
          <w:b/>
        </w:rPr>
        <w:t xml:space="preserve">Table 28.5 — Percolator’s columns for one logical cell.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Column</w:t>
            </w:r>
          </w:p>
        </w:tc>
        <w:tc>
          <w:tcPr/>
          <w:p>
            <w:pPr>
              <w:pStyle w:val="Compact"/>
              <w:jc w:val="left"/>
            </w:pPr>
            <w:r>
              <w:t xml:space="preserve">Version timestamp</w:t>
            </w:r>
          </w:p>
        </w:tc>
        <w:tc>
          <w:tcPr/>
          <w:p>
            <w:pPr>
              <w:pStyle w:val="Compact"/>
              <w:jc w:val="left"/>
            </w:pPr>
            <w:r>
              <w:t xml:space="preserve">Contents</w:t>
            </w:r>
          </w:p>
        </w:tc>
        <w:tc>
          <w:tcPr/>
          <w:p>
            <w:pPr>
              <w:pStyle w:val="Compact"/>
              <w:jc w:val="left"/>
            </w:pPr>
            <w:r>
              <w:t xml:space="preserve">Meaning</w:t>
            </w:r>
          </w:p>
        </w:tc>
      </w:tr>
      <w:tr>
        <w:tc>
          <w:tcPr/>
          <w:p>
            <w:pPr>
              <w:pStyle w:val="Compact"/>
              <w:jc w:val="left"/>
            </w:pPr>
            <w:r>
              <w:rPr>
                <w:rStyle w:val="VerbatimChar"/>
              </w:rPr>
              <w:t xml:space="preserve">data</w:t>
            </w:r>
          </w:p>
        </w:tc>
        <w:tc>
          <w:tcPr/>
          <w:p>
            <w:pPr>
              <w:pStyle w:val="Compact"/>
              <w:jc w:val="left"/>
            </w:pPr>
            <w:r>
              <w:t xml:space="preserve">transaction start timestamp</w:t>
            </w:r>
          </w:p>
        </w:tc>
        <w:tc>
          <w:tcPr/>
          <w:p>
            <w:pPr>
              <w:pStyle w:val="Compact"/>
              <w:jc w:val="left"/>
            </w:pPr>
            <w:r>
              <w:t xml:space="preserve">The value</w:t>
            </w:r>
          </w:p>
        </w:tc>
        <w:tc>
          <w:tcPr/>
          <w:p>
            <w:pPr>
              <w:pStyle w:val="Compact"/>
              <w:jc w:val="left"/>
            </w:pPr>
            <w:r>
              <w:t xml:space="preserve">Written during prewrite, invisible until a</w:t>
            </w:r>
            <w:r>
              <w:t xml:space="preserve"> </w:t>
            </w:r>
            <w:r>
              <w:rPr>
                <w:rStyle w:val="VerbatimChar"/>
              </w:rPr>
              <w:t xml:space="preserve">write</w:t>
            </w:r>
            <w:r>
              <w:t xml:space="preserve"> </w:t>
            </w:r>
            <w:r>
              <w:t xml:space="preserve">record points to it</w:t>
            </w:r>
          </w:p>
        </w:tc>
      </w:tr>
      <w:tr>
        <w:tc>
          <w:tcPr/>
          <w:p>
            <w:pPr>
              <w:pStyle w:val="Compact"/>
              <w:jc w:val="left"/>
            </w:pPr>
            <w:r>
              <w:rPr>
                <w:rStyle w:val="VerbatimChar"/>
              </w:rPr>
              <w:t xml:space="preserve">lock</w:t>
            </w:r>
          </w:p>
        </w:tc>
        <w:tc>
          <w:tcPr/>
          <w:p>
            <w:pPr>
              <w:pStyle w:val="Compact"/>
              <w:jc w:val="left"/>
            </w:pPr>
            <w:r>
              <w:t xml:space="preserve">transaction start timestamp</w:t>
            </w:r>
          </w:p>
        </w:tc>
        <w:tc>
          <w:tcPr/>
          <w:p>
            <w:pPr>
              <w:pStyle w:val="Compact"/>
              <w:jc w:val="left"/>
            </w:pPr>
            <w:r>
              <w:t xml:space="preserve">Location of the primary lock (or</w:t>
            </w:r>
            <w:r>
              <w:t xml:space="preserve"> </w:t>
            </w:r>
            <w:r>
              <w:t xml:space="preserve">“</w:t>
            </w:r>
            <w:r>
              <w:t xml:space="preserve">primary</w:t>
            </w:r>
            <w:r>
              <w:t xml:space="preserve">”</w:t>
            </w:r>
            <w:r>
              <w:t xml:space="preserve">)</w:t>
            </w:r>
          </w:p>
        </w:tc>
        <w:tc>
          <w:tcPr/>
          <w:p>
            <w:pPr>
              <w:pStyle w:val="Compact"/>
              <w:jc w:val="left"/>
            </w:pPr>
            <w:r>
              <w:t xml:space="preserve">An uncommitted transaction holds this cell</w:t>
            </w:r>
          </w:p>
        </w:tc>
      </w:tr>
      <w:tr>
        <w:tc>
          <w:tcPr/>
          <w:p>
            <w:pPr>
              <w:pStyle w:val="Compact"/>
              <w:jc w:val="left"/>
            </w:pPr>
            <w:r>
              <w:rPr>
                <w:rStyle w:val="VerbatimChar"/>
              </w:rPr>
              <w:t xml:space="preserve">write</w:t>
            </w:r>
          </w:p>
        </w:tc>
        <w:tc>
          <w:tcPr/>
          <w:p>
            <w:pPr>
              <w:pStyle w:val="Compact"/>
              <w:jc w:val="left"/>
            </w:pPr>
            <w:r>
              <w:t xml:space="preserve">transaction commit timestamp</w:t>
            </w:r>
          </w:p>
        </w:tc>
        <w:tc>
          <w:tcPr/>
          <w:p>
            <w:pPr>
              <w:pStyle w:val="Compact"/>
              <w:jc w:val="left"/>
            </w:pPr>
            <w:r>
              <w:t xml:space="preserve">Start timestamp of the committed</w:t>
            </w:r>
            <w:r>
              <w:t xml:space="preserve"> </w:t>
            </w:r>
            <w:r>
              <w:rPr>
                <w:rStyle w:val="VerbatimChar"/>
              </w:rPr>
              <w:t xml:space="preserve">data</w:t>
            </w:r>
            <w:r>
              <w:t xml:space="preserve"> </w:t>
            </w:r>
            <w:r>
              <w:t xml:space="preserve">version</w:t>
            </w:r>
          </w:p>
        </w:tc>
        <w:tc>
          <w:tcPr/>
          <w:p>
            <w:pPr>
              <w:pStyle w:val="Compact"/>
              <w:jc w:val="left"/>
            </w:pPr>
            <w:r>
              <w:t xml:space="preserve">Makes</w:t>
            </w:r>
            <w:r>
              <w:t xml:space="preserve"> </w:t>
            </w:r>
            <w:r>
              <w:rPr>
                <w:rStyle w:val="VerbatimChar"/>
              </w:rPr>
              <w:t xml:space="preserve">data@start_ts</w:t>
            </w:r>
            <w:r>
              <w:t xml:space="preserve"> </w:t>
            </w:r>
            <w:r>
              <w:t xml:space="preserve">visible to snapshots at or after</w:t>
            </w:r>
            <w:r>
              <w:t xml:space="preserve"> </w:t>
            </w:r>
            <w:r>
              <w:rPr>
                <w:rStyle w:val="VerbatimChar"/>
              </w:rPr>
              <w:t xml:space="preserve">commit_ts</w:t>
            </w:r>
          </w:p>
        </w:tc>
      </w:tr>
    </w:tbl>
    <w:p>
      <w:pPr>
        <w:pStyle w:val="BodyText"/>
      </w:pPr>
      <w:r>
        <w:rPr>
          <w:bCs/>
          <w:b/>
        </w:rPr>
        <w:t xml:space="preserve">Write path.</w:t>
      </w:r>
    </w:p>
    <w:p>
      <w:pPr>
        <w:numPr>
          <w:ilvl w:val="0"/>
          <w:numId w:val="1920"/>
        </w:numPr>
        <w:pStyle w:val="Compact"/>
      </w:pPr>
      <w:r>
        <w:rPr>
          <w:bCs/>
          <w:b/>
        </w:rPr>
        <w:t xml:space="preserve">Start.</w:t>
      </w:r>
      <w:r>
        <w:t xml:space="preserve"> </w:t>
      </w:r>
      <w:r>
        <w:t xml:space="preserve">Get</w:t>
      </w:r>
      <w:r>
        <w:t xml:space="preserve"> </w:t>
      </w:r>
      <w:r>
        <w:rPr>
          <w:rStyle w:val="VerbatimChar"/>
        </w:rPr>
        <w:t xml:space="preserve">start_ts</w:t>
      </w:r>
      <w:r>
        <w:t xml:space="preserve"> </w:t>
      </w:r>
      <w:r>
        <w:t xml:space="preserve">from the timestamp oracle. Buffer writes at the client.</w:t>
      </w:r>
    </w:p>
    <w:p>
      <w:pPr>
        <w:numPr>
          <w:ilvl w:val="0"/>
          <w:numId w:val="1920"/>
        </w:numPr>
        <w:pStyle w:val="Compact"/>
      </w:pPr>
      <w:r>
        <w:rPr>
          <w:bCs/>
          <w:b/>
        </w:rPr>
        <w:t xml:space="preserve">Prewrite (phase 1).</w:t>
      </w:r>
      <w:r>
        <w:t xml:space="preserve"> </w:t>
      </w:r>
      <w:r>
        <w:t xml:space="preserve">Pick one written cell as the</w:t>
      </w:r>
      <w:r>
        <w:t xml:space="preserve"> </w:t>
      </w:r>
      <w:r>
        <w:rPr>
          <w:bCs/>
          <w:b/>
        </w:rPr>
        <w:t xml:space="preserve">primary</w:t>
      </w:r>
      <w:r>
        <w:t xml:space="preserve">; the rest are secondaries. For each cell, primary first, run a Bigtable single-row transaction that aborts if there is a</w:t>
      </w:r>
      <w:r>
        <w:t xml:space="preserve"> </w:t>
      </w:r>
      <w:r>
        <w:rPr>
          <w:rStyle w:val="VerbatimChar"/>
        </w:rPr>
        <w:t xml:space="preserve">write</w:t>
      </w:r>
      <w:r>
        <w:t xml:space="preserve"> </w:t>
      </w:r>
      <w:r>
        <w:t xml:space="preserve">record with timestamp</w:t>
      </w:r>
      <w:r>
        <w:t xml:space="preserve"> </w:t>
      </w:r>
      <m:oMath>
        <m:r>
          <m:rPr>
            <m:sty m:val="p"/>
          </m:rPr>
          <m:t>≥</m:t>
        </m:r>
      </m:oMath>
      <w:r>
        <w:t xml:space="preserve"> </w:t>
      </w:r>
      <w:r>
        <w:rPr>
          <w:rStyle w:val="VerbatimChar"/>
        </w:rPr>
        <w:t xml:space="preserve">start_ts</w:t>
      </w:r>
      <w:r>
        <w:t xml:space="preserve"> </w:t>
      </w:r>
      <w:r>
        <w:t xml:space="preserve">(a write-write conflict with a transaction that committed after our snapshot) or</w:t>
      </w:r>
      <w:r>
        <w:t xml:space="preserve"> </w:t>
      </w:r>
      <w:r>
        <w:rPr>
          <w:iCs/>
          <w:i/>
        </w:rPr>
        <w:t xml:space="preserve">any</w:t>
      </w:r>
      <w:r>
        <w:t xml:space="preserve"> </w:t>
      </w:r>
      <w:r>
        <w:rPr>
          <w:rStyle w:val="VerbatimChar"/>
        </w:rPr>
        <w:t xml:space="preserve">lock</w:t>
      </w:r>
      <w:r>
        <w:t xml:space="preserve"> </w:t>
      </w:r>
      <w:r>
        <w:t xml:space="preserve">(a concurrent writer); otherwise it writes</w:t>
      </w:r>
      <w:r>
        <w:t xml:space="preserve"> </w:t>
      </w:r>
      <w:r>
        <w:rPr>
          <w:rStyle w:val="VerbatimChar"/>
        </w:rPr>
        <w:t xml:space="preserve">data@start_ts</w:t>
      </w:r>
      <w:r>
        <w:t xml:space="preserve"> </w:t>
      </w:r>
      <w:r>
        <w:t xml:space="preserve">and</w:t>
      </w:r>
      <w:r>
        <w:t xml:space="preserve"> </w:t>
      </w:r>
      <w:r>
        <w:rPr>
          <w:rStyle w:val="VerbatimChar"/>
        </w:rPr>
        <w:t xml:space="preserve">lock@start_ts</w:t>
      </w:r>
      <w:r>
        <w:t xml:space="preserve"> </w:t>
      </w:r>
      <w:r>
        <w:t xml:space="preserve">pointing at the primary.</w:t>
      </w:r>
    </w:p>
    <w:p>
      <w:pPr>
        <w:numPr>
          <w:ilvl w:val="0"/>
          <w:numId w:val="1920"/>
        </w:numPr>
        <w:pStyle w:val="Compact"/>
      </w:pPr>
      <w:r>
        <w:rPr>
          <w:bCs/>
          <w:b/>
        </w:rPr>
        <w:t xml:space="preserve">Commit (phase 2).</w:t>
      </w:r>
      <w:r>
        <w:t xml:space="preserve"> </w:t>
      </w:r>
      <w:r>
        <w:t xml:space="preserve">Get</w:t>
      </w:r>
      <w:r>
        <w:t xml:space="preserve"> </w:t>
      </w:r>
      <w:r>
        <w:rPr>
          <w:rStyle w:val="VerbatimChar"/>
        </w:rPr>
        <w:t xml:space="preserve">commit_ts</w:t>
      </w:r>
      <w:r>
        <w:t xml:space="preserve"> </w:t>
      </w:r>
      <w:r>
        <w:t xml:space="preserve">from the oracle. In one single-row transaction on the primary, check that our lock is still there, write</w:t>
      </w:r>
      <w:r>
        <w:t xml:space="preserve"> </w:t>
      </w:r>
      <w:r>
        <w:rPr>
          <w:rStyle w:val="VerbatimChar"/>
        </w:rPr>
        <w:t xml:space="preserve">write@commit_ts</w:t>
      </w:r>
      <w:r>
        <w:t xml:space="preserve"> </w:t>
      </w:r>
      <m:oMath>
        <m:r>
          <m:rPr>
            <m:sty m:val="p"/>
          </m:rPr>
          <m:t>→</m:t>
        </m:r>
      </m:oMath>
      <w:r>
        <w:t xml:space="preserve"> </w:t>
      </w:r>
      <w:r>
        <w:rPr>
          <w:rStyle w:val="VerbatimChar"/>
        </w:rPr>
        <w:t xml:space="preserve">start_ts</w:t>
      </w:r>
      <w:r>
        <w:t xml:space="preserve"> </w:t>
      </w:r>
      <w:r>
        <w:t xml:space="preserve">and erase the lock.</w:t>
      </w:r>
      <w:r>
        <w:t xml:space="preserve"> </w:t>
      </w:r>
      <w:r>
        <w:rPr>
          <w:bCs/>
          <w:b/>
        </w:rPr>
        <w:t xml:space="preserve">This is the commit point.</w:t>
      </w:r>
    </w:p>
    <w:p>
      <w:pPr>
        <w:numPr>
          <w:ilvl w:val="0"/>
          <w:numId w:val="1920"/>
        </w:numPr>
        <w:pStyle w:val="Compact"/>
      </w:pPr>
      <w:r>
        <w:rPr>
          <w:bCs/>
          <w:b/>
        </w:rPr>
        <w:t xml:space="preserve">Secondaries.</w:t>
      </w:r>
      <w:r>
        <w:t xml:space="preserve"> </w:t>
      </w:r>
      <w:r>
        <w:t xml:space="preserve">Write</w:t>
      </w:r>
      <w:r>
        <w:t xml:space="preserve"> </w:t>
      </w:r>
      <w:r>
        <w:rPr>
          <w:rStyle w:val="VerbatimChar"/>
        </w:rPr>
        <w:t xml:space="preserve">write@commit_ts</w:t>
      </w:r>
      <w:r>
        <w:t xml:space="preserve"> </w:t>
      </w:r>
      <w:r>
        <w:t xml:space="preserve">and erase the lock on each secondary. This step can happen lazily, after replying to the client, because the outcome is already fixed.</w:t>
      </w:r>
    </w:p>
    <w:p>
      <w:pPr>
        <w:pStyle w:val="FirstParagraph"/>
      </w:pPr>
      <w:r>
        <w:rPr>
          <w:bCs/>
          <w:b/>
        </w:rPr>
        <w:t xml:space="preserve">Figure 28.10 — A Percolator write of two cells.</w:t>
      </w:r>
    </w:p>
    <w:p>
      <w:pPr>
        <w:pStyle w:val="BodyText"/>
      </w:pPr>
      <w:r>
        <w:drawing>
          <wp:inline>
            <wp:extent cx="5334000" cy="3661718"/>
            <wp:effectExtent b="0" l="0" r="0" t="0"/>
            <wp:docPr descr="" title="" id="3176" name="Picture"/>
            <a:graphic>
              <a:graphicData uri="http://schemas.openxmlformats.org/drawingml/2006/picture">
                <pic:pic>
                  <pic:nvPicPr>
                    <pic:cNvPr descr="/home/user/System-Design/build/.cache/diagrams/b1adaeacece7.png" id="3177" name="Picture"/>
                    <pic:cNvPicPr>
                      <a:picLocks noChangeArrowheads="1" noChangeAspect="1"/>
                    </pic:cNvPicPr>
                  </pic:nvPicPr>
                  <pic:blipFill>
                    <a:blip r:embed="rId3175"/>
                    <a:stretch>
                      <a:fillRect/>
                    </a:stretch>
                  </pic:blipFill>
                  <pic:spPr bwMode="auto">
                    <a:xfrm>
                      <a:off x="0" y="0"/>
                      <a:ext cx="5334000" cy="3661718"/>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All coordination lives in the client library; there is no coordinator process and no coordinator log, because the primary row’s lock</w:t>
      </w:r>
      <w:r>
        <w:t xml:space="preserve"> </w:t>
      </w:r>
      <w:r>
        <w:rPr>
          <w:iCs/>
          <w:i/>
        </w:rPr>
        <w:t xml:space="preserve">is</w:t>
      </w:r>
      <w:r>
        <w:t xml:space="preserve"> </w:t>
      </w:r>
      <w:r>
        <w:t xml:space="preserve">the coordinator’s state, stored durably in replicated Bigtable. The oracle is a single logical service on every transaction’s path, twice. Phase 1 messages to different rows can run in parallel after the primary’s. The final secondary update is asynchronous (open arrowhead). Failure points: the client can die anywhere; after the primary’s</w:t>
      </w:r>
      <w:r>
        <w:t xml:space="preserve"> </w:t>
      </w:r>
      <w:r>
        <w:rPr>
          <w:rStyle w:val="VerbatimChar"/>
        </w:rPr>
        <w:t xml:space="preserve">write</w:t>
      </w:r>
      <w:r>
        <w:t xml:space="preserve"> </w:t>
      </w:r>
      <w:r>
        <w:t xml:space="preserve">record exists the transaction is committed and readers will roll the secondaries forward, before it they will roll everything back. Scaling: the oracle batches requests, and Peng and Dabek report a single oracle machine serving about two million timestamps per second.</w:t>
      </w:r>
    </w:p>
    <w:p>
      <w:pPr>
        <w:pStyle w:val="BodyText"/>
      </w:pPr>
      <w:r>
        <w:rPr>
          <w:bCs/>
          <w:b/>
        </w:rPr>
        <w:t xml:space="preserve">Read path and lazy cleanup.</w:t>
      </w:r>
      <w:r>
        <w:t xml:space="preserve"> </w:t>
      </w:r>
      <w:r>
        <w:t xml:space="preserve">A reader with snapshot</w:t>
      </w:r>
      <w:r>
        <w:t xml:space="preserve"> </w:t>
      </w:r>
      <w:r>
        <w:rPr>
          <w:rStyle w:val="VerbatimChar"/>
        </w:rPr>
        <w:t xml:space="preserve">start_ts</w:t>
      </w:r>
      <w:r>
        <w:t xml:space="preserve"> </w:t>
      </w:r>
      <w:r>
        <w:t xml:space="preserve">checks for a</w:t>
      </w:r>
      <w:r>
        <w:t xml:space="preserve"> </w:t>
      </w:r>
      <w:r>
        <w:rPr>
          <w:rStyle w:val="VerbatimChar"/>
        </w:rPr>
        <w:t xml:space="preserve">lock</w:t>
      </w:r>
      <w:r>
        <w:t xml:space="preserve"> </w:t>
      </w:r>
      <w:r>
        <w:t xml:space="preserve">with timestamp</w:t>
      </w:r>
      <w:r>
        <w:t xml:space="preserve"> </w:t>
      </w:r>
      <m:oMath>
        <m:r>
          <m:rPr>
            <m:sty m:val="p"/>
          </m:rPr>
          <m:t>≤</m:t>
        </m:r>
      </m:oMath>
      <w:r>
        <w:t xml:space="preserve"> </w:t>
      </w:r>
      <w:r>
        <w:rPr>
          <w:rStyle w:val="VerbatimChar"/>
        </w:rPr>
        <w:t xml:space="preserve">start_ts</w:t>
      </w:r>
      <w:r>
        <w:t xml:space="preserve"> </w:t>
      </w:r>
      <w:r>
        <w:t xml:space="preserve">on the cell. If one exists, a writer that may commit</w:t>
      </w:r>
      <w:r>
        <w:t xml:space="preserve"> </w:t>
      </w:r>
      <w:r>
        <w:rPr>
          <w:iCs/>
          <w:i/>
        </w:rPr>
        <w:t xml:space="preserve">before</w:t>
      </w:r>
      <w:r>
        <w:t xml:space="preserve"> </w:t>
      </w:r>
      <w:r>
        <w:t xml:space="preserve">our snapshot is in flight, so the reader waits. If the lock looks abandoned (Percolator checks writer liveness through Chubby, §26.14, and lock age), the reader cleans up by looking at the primary: if the primary’s lock is still there, it erases it, rolling the transaction back; if the primary has a</w:t>
      </w:r>
      <w:r>
        <w:t xml:space="preserve"> </w:t>
      </w:r>
      <w:r>
        <w:rPr>
          <w:rStyle w:val="VerbatimChar"/>
        </w:rPr>
        <w:t xml:space="preserve">write</w:t>
      </w:r>
      <w:r>
        <w:t xml:space="preserve"> </w:t>
      </w:r>
      <w:r>
        <w:t xml:space="preserve">record for that</w:t>
      </w:r>
      <w:r>
        <w:t xml:space="preserve"> </w:t>
      </w:r>
      <w:r>
        <w:rPr>
          <w:rStyle w:val="VerbatimChar"/>
        </w:rPr>
        <w:t xml:space="preserve">start_ts</w:t>
      </w:r>
      <w:r>
        <w:t xml:space="preserve">, it rolls this secondary forward by writing the same</w:t>
      </w:r>
      <w:r>
        <w:t xml:space="preserve"> </w:t>
      </w:r>
      <w:r>
        <w:rPr>
          <w:rStyle w:val="VerbatimChar"/>
        </w:rPr>
        <w:t xml:space="preserve">write</w:t>
      </w:r>
      <w:r>
        <w:t xml:space="preserve"> </w:t>
      </w:r>
      <w:r>
        <w:t xml:space="preserve">record. Otherwise the reader returns the newest</w:t>
      </w:r>
      <w:r>
        <w:t xml:space="preserve"> </w:t>
      </w:r>
      <w:r>
        <w:rPr>
          <w:rStyle w:val="VerbatimChar"/>
        </w:rPr>
        <w:t xml:space="preserve">data</w:t>
      </w:r>
      <w:r>
        <w:t xml:space="preserve"> </w:t>
      </w:r>
      <w:r>
        <w:t xml:space="preserve">version referenced by a</w:t>
      </w:r>
      <w:r>
        <w:t xml:space="preserve"> </w:t>
      </w:r>
      <w:r>
        <w:rPr>
          <w:rStyle w:val="VerbatimChar"/>
        </w:rPr>
        <w:t xml:space="preserve">write</w:t>
      </w:r>
      <w:r>
        <w:t xml:space="preserve"> </w:t>
      </w:r>
      <w:r>
        <w:t xml:space="preserve">record with timestamp</w:t>
      </w:r>
      <w:r>
        <w:t xml:space="preserve"> </w:t>
      </w:r>
      <m:oMath>
        <m:r>
          <m:rPr>
            <m:sty m:val="p"/>
          </m:rPr>
          <m:t>≤</m:t>
        </m:r>
      </m:oMath>
      <w:r>
        <w:t xml:space="preserve"> </w:t>
      </w:r>
      <w:r>
        <w:rPr>
          <w:rStyle w:val="VerbatimChar"/>
        </w:rPr>
        <w:t xml:space="preserve">start_ts</w:t>
      </w:r>
      <w:r>
        <w:t xml:space="preserve">.</w:t>
      </w:r>
    </w:p>
    <w:p>
      <w:pPr>
        <w:pStyle w:val="CalloutConcept"/>
      </w:pPr>
      <w:r>
        <w:rPr>
          <w:bCs/>
          <w:b/>
        </w:rPr>
        <w:t xml:space="preserve">KEY CONCEPT</w:t>
      </w:r>
    </w:p>
    <w:p>
      <w:pPr>
        <w:pStyle w:val="CalloutConcept"/>
      </w:pPr>
      <w:r>
        <w:rPr>
          <w:bCs/>
          <w:b/>
        </w:rPr>
        <w:t xml:space="preserve">Concept — Why a single-row atomic operation is enough.</w:t>
      </w:r>
      <w:r>
        <w:t xml:space="preserve"> </w:t>
      </w:r>
      <w:r>
        <w:t xml:space="preserve">2PC needs a coordinator log so that one durable record decides the outcome. Percolator makes that record the primary cell’s</w:t>
      </w:r>
      <w:r>
        <w:t xml:space="preserve"> </w:t>
      </w:r>
      <w:r>
        <w:rPr>
          <w:rStyle w:val="VerbatimChar"/>
        </w:rPr>
        <w:t xml:space="preserve">write</w:t>
      </w:r>
      <w:r>
        <w:t xml:space="preserve"> </w:t>
      </w:r>
      <w:r>
        <w:t xml:space="preserve">entry, written by a single-row transaction in a replicated store. Every participant (every secondary lock) names the primary, so anyone can find the decision. There is no blocking on a coordinator: the decision is always readable, and an abandoned transaction can be resolved by whichever reader trips over it.</w:t>
      </w:r>
    </w:p>
    <w:bookmarkEnd w:id="3178"/>
    <w:bookmarkStart w:id="3179" w:name="tikv-and-tidb"/>
    <w:p>
      <w:pPr>
        <w:pStyle w:val="Heading3"/>
      </w:pPr>
      <w:r>
        <w:t xml:space="preserve">28.7.3 TiKV and TiDB</w:t>
      </w:r>
    </w:p>
    <w:p>
      <w:pPr>
        <w:pStyle w:val="FirstParagraph"/>
      </w:pPr>
      <w:r>
        <w:t xml:space="preserve">TiDB is a MySQL-compatible distributed SQL database. Its storage layer, TiKV, implements Percolator’s protocol over</w:t>
      </w:r>
      <w:r>
        <w:t xml:space="preserve"> </w:t>
      </w:r>
      <w:r>
        <w:rPr>
          <w:bCs/>
          <w:b/>
        </w:rPr>
        <w:t xml:space="preserve">Regions</w:t>
      </w:r>
      <w:r>
        <w:t xml:space="preserve">, contiguous key ranges each replicated by Raft, and its</w:t>
      </w:r>
      <w:r>
        <w:t xml:space="preserve"> </w:t>
      </w:r>
      <w:r>
        <w:rPr>
          <w:bCs/>
          <w:b/>
        </w:rPr>
        <w:t xml:space="preserve">Placement Driver</w:t>
      </w:r>
      <w:r>
        <w:t xml:space="preserve"> </w:t>
      </w:r>
      <w:r>
        <w:t xml:space="preserve">(PD) acts as the timestamp oracle, handing out hybrid timestamps (physical milliseconds plus a logical counter) in batches [Huang et al. 2020]. Since v3.0.8, new clusters default to</w:t>
      </w:r>
      <w:r>
        <w:t xml:space="preserve"> </w:t>
      </w:r>
      <w:r>
        <w:rPr>
          <w:bCs/>
          <w:b/>
        </w:rPr>
        <w:t xml:space="preserve">pessimistic transactions</w:t>
      </w:r>
      <w:r>
        <w:t xml:space="preserve">, which acquire Percolator-style locks during statement execution, as MySQL users expect, rather than discovering conflicts only at commit [TiDB Docs: Transactions]. Two later optimizations shorten the protocol:</w:t>
      </w:r>
      <w:r>
        <w:t xml:space="preserve"> </w:t>
      </w:r>
      <w:r>
        <w:rPr>
          <w:bCs/>
          <w:b/>
        </w:rPr>
        <w:t xml:space="preserve">async commit</w:t>
      </w:r>
      <w:r>
        <w:t xml:space="preserve"> </w:t>
      </w:r>
      <w:r>
        <w:t xml:space="preserve">returns to the client once all prewrites succeed, computing the commit timestamp from the participants’ prewrite responses instead of a second oracle call; and</w:t>
      </w:r>
      <w:r>
        <w:t xml:space="preserve"> </w:t>
      </w:r>
      <w:r>
        <w:rPr>
          <w:bCs/>
          <w:b/>
        </w:rPr>
        <w:t xml:space="preserve">one-phase commit</w:t>
      </w:r>
      <w:r>
        <w:t xml:space="preserve"> </w:t>
      </w:r>
      <w:r>
        <w:t xml:space="preserve">writes a transaction confined to one Region in a single step.</w:t>
      </w:r>
    </w:p>
    <w:p>
      <w:pPr>
        <w:pStyle w:val="CalloutFormula"/>
      </w:pPr>
      <w:r>
        <w:rPr>
          <w:bCs/>
          <w:b/>
        </w:rPr>
        <w:t xml:space="preserve">FORMULA</w:t>
      </w:r>
    </w:p>
    <w:p>
      <w:pPr>
        <w:pStyle w:val="CalloutFormula"/>
      </w:pPr>
      <w:r>
        <w:rPr>
          <w:bCs/>
          <w:b/>
        </w:rPr>
        <w:t xml:space="preserve">Percolator commit latency</w:t>
      </w:r>
    </w:p>
    <w:p>
      <w:pPr>
        <w:pStyle w:val="CalloutFormula"/>
      </w:pPr>
      <m:oMathPara>
        <m:oMathParaPr>
          <m:jc m:val="center"/>
        </m:oMathParaPr>
        <m:oMath>
          <m:sSub>
            <m:e>
              <m:r>
                <m:t>T</m:t>
              </m:r>
            </m:e>
            <m:sub>
              <m:r>
                <m:rPr>
                  <m:nor/>
                  <m:sty m:val="p"/>
                </m:rPr>
                <m:t>perc</m:t>
              </m:r>
            </m:sub>
          </m:sSub>
          <m:r>
            <m:rPr>
              <m:sty m:val="p"/>
            </m:rPr>
            <m:t>≈</m:t>
          </m:r>
          <m:r>
            <m:t>2</m:t>
          </m:r>
          <m:r>
            <m:t> </m:t>
          </m:r>
          <m:sSub>
            <m:e>
              <m:r>
                <m:rPr>
                  <m:nor/>
                  <m:sty m:val="p"/>
                </m:rPr>
                <m:t>RTT</m:t>
              </m:r>
            </m:e>
            <m:sub>
              <m:r>
                <m:rPr>
                  <m:nor/>
                  <m:sty m:val="p"/>
                </m:rPr>
                <m:t>TSO</m:t>
              </m:r>
            </m:sub>
          </m:sSub>
          <m:r>
            <m:rPr>
              <m:sty m:val="p"/>
            </m:rPr>
            <m:t>+</m:t>
          </m:r>
          <m:r>
            <m:t>2</m:t>
          </m:r>
          <m:r>
            <m:t> </m:t>
          </m:r>
          <m:d>
            <m:dPr>
              <m:begChr m:val="("/>
              <m:endChr m:val=")"/>
              <m:sepChr m:val=""/>
              <m:grow/>
            </m:dPr>
            <m:e>
              <m:r>
                <m:rPr>
                  <m:nor/>
                  <m:sty m:val="p"/>
                </m:rPr>
                <m:t>RTT</m:t>
              </m:r>
              <m:r>
                <m:rPr>
                  <m:sty m:val="p"/>
                </m:rPr>
                <m:t>+</m:t>
              </m:r>
              <m:sSub>
                <m:e>
                  <m:r>
                    <m:t>t</m:t>
                  </m:r>
                </m:e>
                <m:sub>
                  <m:r>
                    <m:t>w</m:t>
                  </m:r>
                </m:sub>
              </m:sSub>
            </m:e>
          </m:d>
          <m:r>
            <m:t>  </m:t>
          </m:r>
          <m:sSub>
            <m:e>
              <m:r>
                <m:t>T</m:t>
              </m:r>
            </m:e>
            <m:sub>
              <m:r>
                <m:rPr>
                  <m:nor/>
                  <m:sty m:val="p"/>
                </m:rPr>
                <m:t>async</m:t>
              </m:r>
            </m:sub>
          </m:sSub>
          <m:r>
            <m:rPr>
              <m:sty m:val="p"/>
            </m:rPr>
            <m:t>≈</m:t>
          </m:r>
          <m:sSub>
            <m:e>
              <m:r>
                <m:rPr>
                  <m:nor/>
                  <m:sty m:val="p"/>
                </m:rPr>
                <m:t>RTT</m:t>
              </m:r>
            </m:e>
            <m:sub>
              <m:r>
                <m:rPr>
                  <m:nor/>
                  <m:sty m:val="p"/>
                </m:rPr>
                <m:t>TSO</m:t>
              </m:r>
            </m:sub>
          </m:sSub>
          <m:r>
            <m:rPr>
              <m:sty m:val="p"/>
            </m:rPr>
            <m:t>+</m:t>
          </m:r>
          <m:r>
            <m:rPr>
              <m:nor/>
              <m:sty m:val="p"/>
            </m:rPr>
            <m:t>RTT</m:t>
          </m:r>
          <m:r>
            <m:rPr>
              <m:sty m:val="p"/>
            </m:rPr>
            <m:t>+</m:t>
          </m:r>
          <m:sSub>
            <m:e>
              <m:r>
                <m:t>t</m:t>
              </m:r>
            </m:e>
            <m:sub>
              <m:r>
                <m:t>w</m:t>
              </m:r>
            </m:sub>
          </m:sSub>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T</m:t>
                  </m:r>
                </m:e>
                <m:sub>
                  <m:r>
                    <m:rPr>
                      <m:nor/>
                      <m:sty m:val="p"/>
                    </m:rPr>
                    <m:t>perc</m:t>
                  </m:r>
                </m:sub>
              </m:sSub>
            </m:oMath>
          </w:p>
        </w:tc>
        <w:tc>
          <w:tcPr/>
          <w:p>
            <w:pPr>
              <w:pStyle w:val="Compact"/>
              <w:jc w:val="left"/>
            </w:pPr>
            <w:r>
              <w:t xml:space="preserve">Timestamp and commit overhead of a classic Percolator transaction (start and commit timestamps, prewrite, primary commit)</w:t>
            </w:r>
          </w:p>
        </w:tc>
        <w:tc>
          <w:tcPr/>
          <w:p>
            <w:pPr>
              <w:pStyle w:val="Compact"/>
              <w:jc w:val="left"/>
            </w:pPr>
            <w:r>
              <w:t xml:space="preserve">ms</w:t>
            </w:r>
          </w:p>
        </w:tc>
      </w:tr>
      <w:tr>
        <w:tc>
          <w:tcPr/>
          <w:p>
            <w:pPr>
              <w:pStyle w:val="Compact"/>
              <w:jc w:val="left"/>
            </w:pPr>
            <m:oMath>
              <m:sSub>
                <m:e>
                  <m:r>
                    <m:t>T</m:t>
                  </m:r>
                </m:e>
                <m:sub>
                  <m:r>
                    <m:rPr>
                      <m:nor/>
                      <m:sty m:val="p"/>
                    </m:rPr>
                    <m:t>async</m:t>
                  </m:r>
                </m:sub>
              </m:sSub>
            </m:oMath>
          </w:p>
        </w:tc>
        <w:tc>
          <w:tcPr/>
          <w:p>
            <w:pPr>
              <w:pStyle w:val="Compact"/>
              <w:jc w:val="left"/>
            </w:pPr>
            <w:r>
              <w:t xml:space="preserve">The same with async commit (no commit timestamp fetch, no wait for the primary commit)</w:t>
            </w:r>
          </w:p>
        </w:tc>
        <w:tc>
          <w:tcPr/>
          <w:p>
            <w:pPr>
              <w:pStyle w:val="Compact"/>
              <w:jc w:val="left"/>
            </w:pPr>
            <w:r>
              <w:t xml:space="preserve">ms</w:t>
            </w:r>
          </w:p>
        </w:tc>
      </w:tr>
      <w:tr>
        <w:tc>
          <w:tcPr/>
          <w:p>
            <w:pPr>
              <w:pStyle w:val="Compact"/>
              <w:jc w:val="left"/>
            </w:pPr>
            <m:oMath>
              <m:sSub>
                <m:e>
                  <m:r>
                    <m:rPr>
                      <m:nor/>
                      <m:sty m:val="p"/>
                    </m:rPr>
                    <m:t>RTT</m:t>
                  </m:r>
                </m:e>
                <m:sub>
                  <m:r>
                    <m:rPr>
                      <m:nor/>
                      <m:sty m:val="p"/>
                    </m:rPr>
                    <m:t>TSO</m:t>
                  </m:r>
                </m:sub>
              </m:sSub>
            </m:oMath>
          </w:p>
        </w:tc>
        <w:tc>
          <w:tcPr/>
          <w:p>
            <w:pPr>
              <w:pStyle w:val="Compact"/>
              <w:jc w:val="left"/>
            </w:pPr>
            <w:r>
              <w:t xml:space="preserve">Round trip to the timestamp oracle</w:t>
            </w:r>
          </w:p>
        </w:tc>
        <w:tc>
          <w:tcPr/>
          <w:p>
            <w:pPr>
              <w:pStyle w:val="Compact"/>
              <w:jc w:val="left"/>
            </w:pPr>
            <w:r>
              <w:t xml:space="preserve">ms</w:t>
            </w:r>
          </w:p>
        </w:tc>
      </w:tr>
      <w:tr>
        <w:tc>
          <w:tcPr/>
          <w:p>
            <w:pPr>
              <w:pStyle w:val="Compact"/>
              <w:jc w:val="left"/>
            </w:pPr>
            <m:oMath>
              <m:r>
                <m:rPr>
                  <m:nor/>
                  <m:sty m:val="p"/>
                </m:rPr>
                <m:t>RTT</m:t>
              </m:r>
            </m:oMath>
          </w:p>
        </w:tc>
        <w:tc>
          <w:tcPr/>
          <w:p>
            <w:pPr>
              <w:pStyle w:val="Compact"/>
              <w:jc w:val="left"/>
            </w:pPr>
            <w:r>
              <w:t xml:space="preserve">Round trip from the client to the storage node</w:t>
            </w:r>
          </w:p>
        </w:tc>
        <w:tc>
          <w:tcPr/>
          <w:p>
            <w:pPr>
              <w:pStyle w:val="Compact"/>
              <w:jc w:val="left"/>
            </w:pPr>
            <w:r>
              <w:t xml:space="preserve">ms</w:t>
            </w:r>
          </w:p>
        </w:tc>
      </w:tr>
      <w:tr>
        <w:tc>
          <w:tcPr/>
          <w:p>
            <w:pPr>
              <w:pStyle w:val="Compact"/>
              <w:jc w:val="left"/>
            </w:pPr>
            <m:oMath>
              <m:sSub>
                <m:e>
                  <m:r>
                    <m:t>t</m:t>
                  </m:r>
                </m:e>
                <m:sub>
                  <m:r>
                    <m:t>w</m:t>
                  </m:r>
                </m:sub>
              </m:sSub>
            </m:oMath>
          </w:p>
        </w:tc>
        <w:tc>
          <w:tcPr/>
          <w:p>
            <w:pPr>
              <w:pStyle w:val="Compact"/>
              <w:jc w:val="left"/>
            </w:pPr>
            <w:r>
              <w:t xml:space="preserve">Durable, replicated write on the storage node (Raft quorum plus</w:t>
            </w:r>
            <w:r>
              <w:t xml:space="preserve"> </w:t>
            </w:r>
            <w:r>
              <w:rPr>
                <w:rStyle w:val="VerbatimChar"/>
              </w:rPr>
              <w:t xml:space="preserve">fsync</w:t>
            </w:r>
            <w:r>
              <w:t xml:space="preserve">)</w:t>
            </w:r>
          </w:p>
        </w:tc>
        <w:tc>
          <w:tcPr/>
          <w:p>
            <w:pPr>
              <w:pStyle w:val="Compact"/>
              <w:jc w:val="left"/>
            </w:pPr>
            <w:r>
              <w:t xml:space="preserve">ms</w:t>
            </w:r>
          </w:p>
        </w:tc>
      </w:tr>
    </w:tbl>
    <w:p>
      <w:pPr>
        <w:pStyle w:val="CalloutExample"/>
      </w:pPr>
      <w:r>
        <w:rPr>
          <w:bCs/>
          <w:b/>
        </w:rPr>
        <w:t xml:space="preserve">WORKED EXAMPLE</w:t>
      </w:r>
    </w:p>
    <w:p>
      <w:pPr>
        <w:pStyle w:val="CalloutExample"/>
      </w:pPr>
      <w:r>
        <w:rPr>
          <w:bCs/>
          <w:b/>
        </w:rPr>
        <w:t xml:space="preserve">Worked example — TiDB in one region.</w:t>
      </w:r>
      <w:r>
        <w:t xml:space="preserve"> </w:t>
      </w:r>
      <w:r>
        <w:t xml:space="preserve">Take</w:t>
      </w:r>
      <w:r>
        <w:t xml:space="preserve"> </w:t>
      </w:r>
      <m:oMath>
        <m:sSub>
          <m:e>
            <m:r>
              <m:rPr>
                <m:nor/>
                <m:sty m:val="p"/>
              </m:rPr>
              <m:t>RTT</m:t>
            </m:r>
          </m:e>
          <m:sub>
            <m:r>
              <m:rPr>
                <m:nor/>
                <m:sty m:val="p"/>
              </m:rPr>
              <m:t>TSO</m:t>
            </m:r>
          </m:sub>
        </m:sSub>
        <m:r>
          <m:rPr>
            <m:sty m:val="p"/>
          </m:rPr>
          <m:t>=</m:t>
        </m:r>
        <m:r>
          <m:t>0.5</m:t>
        </m:r>
      </m:oMath>
      <w:r>
        <w:t xml:space="preserve"> </w:t>
      </w:r>
      <w:r>
        <w:t xml:space="preserve">ms,</w:t>
      </w:r>
      <w:r>
        <w:t xml:space="preserve"> </w:t>
      </w:r>
      <m:oMath>
        <m:r>
          <m:rPr>
            <m:nor/>
            <m:sty m:val="p"/>
          </m:rPr>
          <m:t>RTT</m:t>
        </m:r>
        <m:r>
          <m:rPr>
            <m:sty m:val="p"/>
          </m:rPr>
          <m:t>=</m:t>
        </m:r>
        <m:r>
          <m:t>0.5</m:t>
        </m:r>
      </m:oMath>
      <w:r>
        <w:t xml:space="preserve"> </w:t>
      </w:r>
      <w:r>
        <w:t xml:space="preserve">ms and</w:t>
      </w:r>
      <w:r>
        <w:t xml:space="preserve"> </w:t>
      </w:r>
      <m:oMath>
        <m:sSub>
          <m:e>
            <m:r>
              <m:t>t</m:t>
            </m:r>
          </m:e>
          <m:sub>
            <m:r>
              <m:t>w</m:t>
            </m:r>
          </m:sub>
        </m:sSub>
        <m:r>
          <m:rPr>
            <m:sty m:val="p"/>
          </m:rPr>
          <m:t>=</m:t>
        </m:r>
        <m:r>
          <m:t>2</m:t>
        </m:r>
      </m:oMath>
      <w:r>
        <w:t xml:space="preserve"> </w:t>
      </w:r>
      <w:r>
        <w:t xml:space="preserve">ms for a Raft write across three availability zones.</w:t>
      </w:r>
    </w:p>
    <w:p>
      <w:pPr>
        <w:numPr>
          <w:ilvl w:val="0"/>
          <w:numId w:val="1921"/>
        </w:numPr>
        <w:pStyle w:val="Compact"/>
      </w:pPr>
      <w:r>
        <w:t xml:space="preserve">Classic:</w:t>
      </w:r>
      <w:r>
        <w:t xml:space="preserve"> </w:t>
      </w:r>
      <m:oMath>
        <m:r>
          <m:t>2</m:t>
        </m:r>
        <m:d>
          <m:dPr>
            <m:begChr m:val="("/>
            <m:endChr m:val=")"/>
            <m:sepChr m:val=""/>
            <m:grow/>
          </m:dPr>
          <m:e>
            <m:r>
              <m:t>0.5</m:t>
            </m:r>
          </m:e>
        </m:d>
        <m:r>
          <m:rPr>
            <m:sty m:val="p"/>
          </m:rPr>
          <m:t>+</m:t>
        </m:r>
        <m:r>
          <m:t>2</m:t>
        </m:r>
        <m:d>
          <m:dPr>
            <m:begChr m:val="("/>
            <m:endChr m:val=")"/>
            <m:sepChr m:val=""/>
            <m:grow/>
          </m:dPr>
          <m:e>
            <m:r>
              <m:t>0.5</m:t>
            </m:r>
            <m:r>
              <m:rPr>
                <m:sty m:val="p"/>
              </m:rPr>
              <m:t>+</m:t>
            </m:r>
            <m:r>
              <m:t>2</m:t>
            </m:r>
          </m:e>
        </m:d>
        <m:r>
          <m:rPr>
            <m:sty m:val="p"/>
          </m:rPr>
          <m:t>=</m:t>
        </m:r>
        <m:r>
          <m:t>1</m:t>
        </m:r>
        <m:r>
          <m:rPr>
            <m:sty m:val="p"/>
          </m:rPr>
          <m:t>+</m:t>
        </m:r>
        <m:r>
          <m:t>5</m:t>
        </m:r>
        <m:r>
          <m:rPr>
            <m:sty m:val="p"/>
          </m:rPr>
          <m:t>=</m:t>
        </m:r>
        <m:r>
          <m:t>6</m:t>
        </m:r>
      </m:oMath>
      <w:r>
        <w:t xml:space="preserve"> </w:t>
      </w:r>
      <w:r>
        <w:t xml:space="preserve">ms.</w:t>
      </w:r>
    </w:p>
    <w:p>
      <w:pPr>
        <w:numPr>
          <w:ilvl w:val="0"/>
          <w:numId w:val="1921"/>
        </w:numPr>
        <w:pStyle w:val="Compact"/>
      </w:pPr>
      <w:r>
        <w:t xml:space="preserve">Async commit:</w:t>
      </w:r>
      <w:r>
        <w:t xml:space="preserve"> </w:t>
      </w:r>
      <m:oMath>
        <m:r>
          <m:t>0.5</m:t>
        </m:r>
        <m:r>
          <m:rPr>
            <m:sty m:val="p"/>
          </m:rPr>
          <m:t>+</m:t>
        </m:r>
        <m:r>
          <m:t>0.5</m:t>
        </m:r>
        <m:r>
          <m:rPr>
            <m:sty m:val="p"/>
          </m:rPr>
          <m:t>+</m:t>
        </m:r>
        <m:r>
          <m:t>2</m:t>
        </m:r>
        <m:r>
          <m:rPr>
            <m:sty m:val="p"/>
          </m:rPr>
          <m:t>=</m:t>
        </m:r>
        <m:r>
          <m:t>3</m:t>
        </m:r>
      </m:oMath>
      <w:r>
        <w:t xml:space="preserve"> </w:t>
      </w:r>
      <w:r>
        <w:t xml:space="preserve">ms, half the overhead.</w:t>
      </w:r>
    </w:p>
    <w:p>
      <w:pPr>
        <w:numPr>
          <w:ilvl w:val="0"/>
          <w:numId w:val="1921"/>
        </w:numPr>
        <w:pStyle w:val="Compact"/>
      </w:pPr>
      <w:r>
        <w:t xml:space="preserve">If the PD leader is in another region with</w:t>
      </w:r>
      <w:r>
        <w:t xml:space="preserve"> </w:t>
      </w:r>
      <m:oMath>
        <m:sSub>
          <m:e>
            <m:r>
              <m:rPr>
                <m:nor/>
                <m:sty m:val="p"/>
              </m:rPr>
              <m:t>RTT</m:t>
            </m:r>
          </m:e>
          <m:sub>
            <m:r>
              <m:rPr>
                <m:nor/>
                <m:sty m:val="p"/>
              </m:rPr>
              <m:t>TSO</m:t>
            </m:r>
          </m:sub>
        </m:sSub>
        <m:r>
          <m:rPr>
            <m:sty m:val="p"/>
          </m:rPr>
          <m:t>=</m:t>
        </m:r>
        <m:r>
          <m:t>60</m:t>
        </m:r>
      </m:oMath>
      <w:r>
        <w:t xml:space="preserve"> </w:t>
      </w:r>
      <w:r>
        <w:t xml:space="preserve">ms, classic costs</w:t>
      </w:r>
      <w:r>
        <w:t xml:space="preserve"> </w:t>
      </w:r>
      <m:oMath>
        <m:r>
          <m:t>120</m:t>
        </m:r>
        <m:r>
          <m:rPr>
            <m:sty m:val="p"/>
          </m:rPr>
          <m:t>+</m:t>
        </m:r>
        <m:r>
          <m:t>5</m:t>
        </m:r>
        <m:r>
          <m:rPr>
            <m:sty m:val="p"/>
          </m:rPr>
          <m:t>=</m:t>
        </m:r>
        <m:r>
          <m:t>125</m:t>
        </m:r>
      </m:oMath>
      <w:r>
        <w:t xml:space="preserve"> </w:t>
      </w:r>
      <w:r>
        <w:t xml:space="preserve">ms.</w:t>
      </w:r>
    </w:p>
    <w:p>
      <w:pPr>
        <w:pStyle w:val="CalloutExample"/>
      </w:pPr>
      <w:r>
        <w:rPr>
          <w:bCs/>
          <w:b/>
        </w:rPr>
        <w:t xml:space="preserve">Interpretation.</w:t>
      </w:r>
      <w:r>
        <w:t xml:space="preserve"> </w:t>
      </w:r>
      <w:r>
        <w:t xml:space="preserve">Percolator’s latency is dominated by replicated writes inside a region, and by the oracle as soon as it is far away.</w:t>
      </w:r>
      <w:r>
        <w:t xml:space="preserve"> </w:t>
      </w:r>
      <w:r>
        <w:rPr>
          <w:bCs/>
          <w:b/>
        </w:rPr>
        <w:t xml:space="preserve">Engineering implication.</w:t>
      </w:r>
      <w:r>
        <w:t xml:space="preserve"> </w:t>
      </w:r>
      <w:r>
        <w:t xml:space="preserve">Keep the timestamp oracle in the region where transactions run, and treat a single global oracle as the scaling and geo-distribution limit of this design; Spanner (§28.8) removes it with clocks.</w:t>
      </w:r>
    </w:p>
    <w:bookmarkEnd w:id="3179"/>
    <w:bookmarkStart w:id="3180" w:name="a-percolator-model-you-can-run"/>
    <w:p>
      <w:pPr>
        <w:pStyle w:val="Heading3"/>
      </w:pPr>
      <w:r>
        <w:t xml:space="preserve">28.7.4 A Percolator model you can run</w:t>
      </w:r>
    </w:p>
    <w:p>
      <w:pPr>
        <w:pStyle w:val="SourceCode"/>
      </w:pPr>
      <w:r>
        <w:rPr>
          <w:rStyle w:val="CommentTok"/>
        </w:rPr>
        <w:t xml:space="preserve">"""A Percolator-style transaction on a multi-version key-value store.</w:t>
      </w:r>
      <w:r>
        <w:br/>
      </w:r>
      <w:r>
        <w:br/>
      </w:r>
      <w:r>
        <w:rPr>
          <w:rStyle w:val="CommentTok"/>
        </w:rPr>
        <w:t xml:space="preserve">Each row has three columns, each a map timestamp -&gt; value (as in Bigtable):</w:t>
      </w:r>
      <w:r>
        <w:br/>
      </w:r>
      <w:r>
        <w:rPr>
          <w:rStyle w:val="CommentTok"/>
        </w:rPr>
        <w:t xml:space="preserve">  data[ts]  = value written by the txn that started at ts</w:t>
      </w:r>
      <w:r>
        <w:br/>
      </w:r>
      <w:r>
        <w:rPr>
          <w:rStyle w:val="CommentTok"/>
        </w:rPr>
        <w:t xml:space="preserve">  lock[ts]  = name of the primary row, while the txn that started at ts is in flight</w:t>
      </w:r>
      <w:r>
        <w:br/>
      </w:r>
      <w:r>
        <w:rPr>
          <w:rStyle w:val="CommentTok"/>
        </w:rPr>
        <w:t xml:space="preserve">  write[cts] = start ts of the txn whose data became visible at commit ts cts</w:t>
      </w:r>
      <w:r>
        <w:br/>
      </w:r>
      <w:r>
        <w:rPr>
          <w:rStyle w:val="CommentTok"/>
        </w:rPr>
        <w:t xml:space="preserve">Assumes the holder of any lock a reader finds is dead (Percolator checks liveness first).</w:t>
      </w:r>
      <w:r>
        <w:br/>
      </w:r>
      <w:r>
        <w:rPr>
          <w:rStyle w:val="CommentTok"/>
        </w:rPr>
        <w:t xml:space="preserve">"""</w:t>
      </w:r>
      <w:r>
        <w:br/>
      </w:r>
      <w:r>
        <w:rPr>
          <w:rStyle w:val="ImportTok"/>
        </w:rPr>
        <w:t xml:space="preserve">import</w:t>
      </w:r>
      <w:r>
        <w:rPr>
          <w:rStyle w:val="NormalTok"/>
        </w:rPr>
        <w:t xml:space="preserve"> itertools</w:t>
      </w:r>
      <w:r>
        <w:br/>
      </w:r>
      <w:r>
        <w:br/>
      </w:r>
      <w:r>
        <w:br/>
      </w:r>
      <w:r>
        <w:rPr>
          <w:rStyle w:val="KeywordTok"/>
        </w:rPr>
        <w:t xml:space="preserve">class</w:t>
      </w:r>
      <w:r>
        <w:rPr>
          <w:rStyle w:val="NormalTok"/>
        </w:rPr>
        <w:t xml:space="preserve"> Store: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.rows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row(</w:t>
      </w:r>
      <w:r>
        <w:rPr>
          <w:rStyle w:val="VariableTok"/>
        </w:rPr>
        <w:t xml:space="preserve">self</w:t>
      </w:r>
      <w:r>
        <w:rPr>
          <w:rStyle w:val="NormalTok"/>
        </w:rPr>
        <w:t xml:space="preserve">, key):</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.rows.setdefault(key, {</w:t>
      </w:r>
      <w:r>
        <w:rPr>
          <w:rStyle w:val="StringTok"/>
        </w:rPr>
        <w:t xml:space="preserve">"data"</w:t>
      </w:r>
      <w:r>
        <w:rPr>
          <w:rStyle w:val="NormalTok"/>
        </w:rPr>
        <w:t xml:space="preserve">: {}, </w:t>
      </w:r>
      <w:r>
        <w:rPr>
          <w:rStyle w:val="StringTok"/>
        </w:rPr>
        <w:t xml:space="preserve">"lock"</w:t>
      </w:r>
      <w:r>
        <w:rPr>
          <w:rStyle w:val="NormalTok"/>
        </w:rPr>
        <w:t xml:space="preserve">: {}, </w:t>
      </w:r>
      <w:r>
        <w:rPr>
          <w:rStyle w:val="StringTok"/>
        </w:rPr>
        <w:t xml:space="preserve">"write"</w:t>
      </w:r>
      <w:r>
        <w:rPr>
          <w:rStyle w:val="NormalTok"/>
        </w:rPr>
        <w:t xml:space="preserve">: {}})</w:t>
      </w:r>
      <w:r>
        <w:br/>
      </w:r>
      <w:r>
        <w:br/>
      </w:r>
      <w:r>
        <w:br/>
      </w:r>
      <w:r>
        <w:rPr>
          <w:rStyle w:val="KeywordTok"/>
        </w:rPr>
        <w:t xml:space="preserve">class</w:t>
      </w:r>
      <w:r>
        <w:rPr>
          <w:rStyle w:val="NormalTok"/>
        </w:rPr>
        <w:t xml:space="preserve"> Oracle:                                     </w:t>
      </w:r>
      <w:r>
        <w:rPr>
          <w:rStyle w:val="CommentTok"/>
        </w:rPr>
        <w:t xml:space="preserve"># the timestamp oracle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._next </w:t>
      </w:r>
      <w:r>
        <w:rPr>
          <w:rStyle w:val="OperatorTok"/>
        </w:rPr>
        <w:t xml:space="preserve">=</w:t>
      </w:r>
      <w:r>
        <w:rPr>
          <w:rStyle w:val="NormalTok"/>
        </w:rPr>
        <w:t xml:space="preserve"> itertools.count(</w:t>
      </w:r>
      <w:r>
        <w:rPr>
          <w:rStyle w:val="DecValTok"/>
        </w:rPr>
        <w:t xml:space="preserve">1</w:t>
      </w:r>
      <w:r>
        <w:rPr>
          <w:rStyle w:val="NormalTok"/>
        </w:rPr>
        <w:t xml:space="preserve">)</w:t>
      </w:r>
      <w:r>
        <w:br/>
      </w:r>
      <w:r>
        <w:br/>
      </w:r>
      <w:r>
        <w:rPr>
          <w:rStyle w:val="NormalTok"/>
        </w:rPr>
        <w:t xml:space="preserve">    </w:t>
      </w:r>
      <w:r>
        <w:rPr>
          <w:rStyle w:val="KeywordTok"/>
        </w:rPr>
        <w:t xml:space="preserve">def</w:t>
      </w:r>
      <w:r>
        <w:rPr>
          <w:rStyle w:val="NormalTok"/>
        </w:rPr>
        <w:t xml:space="preserve"> ts(</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next</w:t>
      </w:r>
      <w:r>
        <w:rPr>
          <w:rStyle w:val="NormalTok"/>
        </w:rPr>
        <w:t xml:space="preserve">(</w:t>
      </w:r>
      <w:r>
        <w:rPr>
          <w:rStyle w:val="VariableTok"/>
        </w:rPr>
        <w:t xml:space="preserve">self</w:t>
      </w:r>
      <w:r>
        <w:rPr>
          <w:rStyle w:val="NormalTok"/>
        </w:rPr>
        <w:t xml:space="preserve">._next)</w:t>
      </w:r>
      <w:r>
        <w:br/>
      </w:r>
      <w:r>
        <w:br/>
      </w:r>
      <w:r>
        <w:br/>
      </w:r>
      <w:r>
        <w:rPr>
          <w:rStyle w:val="KeywordTok"/>
        </w:rPr>
        <w:t xml:space="preserve">class</w:t>
      </w:r>
      <w:r>
        <w:rPr>
          <w:rStyle w:val="NormalTok"/>
        </w:rPr>
        <w:t xml:space="preserve"> Txn:</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store, oracle):</w:t>
      </w:r>
      <w:r>
        <w:br/>
      </w:r>
      <w:r>
        <w:rPr>
          <w:rStyle w:val="NormalTok"/>
        </w:rPr>
        <w:t xml:space="preserve">        </w:t>
      </w:r>
      <w:r>
        <w:rPr>
          <w:rStyle w:val="VariableTok"/>
        </w:rPr>
        <w:t xml:space="preserve">self</w:t>
      </w:r>
      <w:r>
        <w:rPr>
          <w:rStyle w:val="NormalTok"/>
        </w:rPr>
        <w:t xml:space="preserve">.s, </w:t>
      </w:r>
      <w:r>
        <w:rPr>
          <w:rStyle w:val="VariableTok"/>
        </w:rPr>
        <w:t xml:space="preserve">self</w:t>
      </w:r>
      <w:r>
        <w:rPr>
          <w:rStyle w:val="NormalTok"/>
        </w:rPr>
        <w:t xml:space="preserve">.o </w:t>
      </w:r>
      <w:r>
        <w:rPr>
          <w:rStyle w:val="OperatorTok"/>
        </w:rPr>
        <w:t xml:space="preserve">=</w:t>
      </w:r>
      <w:r>
        <w:rPr>
          <w:rStyle w:val="NormalTok"/>
        </w:rPr>
        <w:t xml:space="preserve"> store, oracle</w:t>
      </w:r>
      <w:r>
        <w:br/>
      </w:r>
      <w:r>
        <w:rPr>
          <w:rStyle w:val="NormalTok"/>
        </w:rPr>
        <w:t xml:space="preserve">        </w:t>
      </w:r>
      <w:r>
        <w:rPr>
          <w:rStyle w:val="VariableTok"/>
        </w:rPr>
        <w:t xml:space="preserve">self</w:t>
      </w:r>
      <w:r>
        <w:rPr>
          <w:rStyle w:val="NormalTok"/>
        </w:rPr>
        <w:t xml:space="preserve">.start </w:t>
      </w:r>
      <w:r>
        <w:rPr>
          <w:rStyle w:val="OperatorTok"/>
        </w:rPr>
        <w:t xml:space="preserve">=</w:t>
      </w:r>
      <w:r>
        <w:rPr>
          <w:rStyle w:val="NormalTok"/>
        </w:rPr>
        <w:t xml:space="preserve"> oracle.ts()                  </w:t>
      </w:r>
      <w:r>
        <w:rPr>
          <w:rStyle w:val="CommentTok"/>
        </w:rPr>
        <w:t xml:space="preserve"># snapshot timestamp</w:t>
      </w:r>
      <w:r>
        <w:br/>
      </w:r>
      <w:r>
        <w:rPr>
          <w:rStyle w:val="NormalTok"/>
        </w:rPr>
        <w:t xml:space="preserve">        </w:t>
      </w:r>
      <w:r>
        <w:rPr>
          <w:rStyle w:val="VariableTok"/>
        </w:rPr>
        <w:t xml:space="preserve">self</w:t>
      </w:r>
      <w:r>
        <w:rPr>
          <w:rStyle w:val="NormalTok"/>
        </w:rPr>
        <w:t xml:space="preserve">.writes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get(</w:t>
      </w:r>
      <w:r>
        <w:rPr>
          <w:rStyle w:val="VariableTok"/>
        </w:rPr>
        <w:t xml:space="preserve">self</w:t>
      </w:r>
      <w:r>
        <w:rPr>
          <w:rStyle w:val="NormalTok"/>
        </w:rPr>
        <w:t xml:space="preserve">, key):</w:t>
      </w:r>
      <w:r>
        <w:br/>
      </w:r>
      <w:r>
        <w:rPr>
          <w:rStyle w:val="NormalTok"/>
        </w:rPr>
        <w:t xml:space="preserve">        r </w:t>
      </w:r>
      <w:r>
        <w:rPr>
          <w:rStyle w:val="OperatorTok"/>
        </w:rPr>
        <w:t xml:space="preserve">=</w:t>
      </w:r>
      <w:r>
        <w:rPr>
          <w:rStyle w:val="NormalTok"/>
        </w:rPr>
        <w:t xml:space="preserve"> </w:t>
      </w:r>
      <w:r>
        <w:rPr>
          <w:rStyle w:val="VariableTok"/>
        </w:rPr>
        <w:t xml:space="preserve">self</w:t>
      </w:r>
      <w:r>
        <w:rPr>
          <w:rStyle w:val="NormalTok"/>
        </w:rPr>
        <w:t xml:space="preserve">.s.row(key)</w:t>
      </w:r>
      <w:r>
        <w:br/>
      </w:r>
      <w:r>
        <w:rPr>
          <w:rStyle w:val="NormalTok"/>
        </w:rPr>
        <w:t xml:space="preserve">        </w:t>
      </w:r>
      <w:r>
        <w:rPr>
          <w:rStyle w:val="ControlFlowTok"/>
        </w:rPr>
        <w:t xml:space="preserve">for</w:t>
      </w:r>
      <w:r>
        <w:rPr>
          <w:rStyle w:val="NormalTok"/>
        </w:rPr>
        <w:t xml:space="preserve"> lts </w:t>
      </w:r>
      <w:r>
        <w:rPr>
          <w:rStyle w:val="KeywordTok"/>
        </w:rPr>
        <w:t xml:space="preserve">in</w:t>
      </w:r>
      <w:r>
        <w:rPr>
          <w:rStyle w:val="NormalTok"/>
        </w:rPr>
        <w:t xml:space="preserve"> [t </w:t>
      </w:r>
      <w:r>
        <w:rPr>
          <w:rStyle w:val="ControlFlowTok"/>
        </w:rPr>
        <w:t xml:space="preserve">for</w:t>
      </w:r>
      <w:r>
        <w:rPr>
          <w:rStyle w:val="NormalTok"/>
        </w:rPr>
        <w:t xml:space="preserve"> t </w:t>
      </w:r>
      <w:r>
        <w:rPr>
          <w:rStyle w:val="KeywordTok"/>
        </w:rPr>
        <w:t xml:space="preserve">in</w:t>
      </w:r>
      <w:r>
        <w:rPr>
          <w:rStyle w:val="NormalTok"/>
        </w:rPr>
        <w:t xml:space="preserve"> r[</w:t>
      </w:r>
      <w:r>
        <w:rPr>
          <w:rStyle w:val="StringTok"/>
        </w:rPr>
        <w:t xml:space="preserve">"lock"</w:t>
      </w:r>
      <w:r>
        <w:rPr>
          <w:rStyle w:val="NormalTok"/>
        </w:rPr>
        <w:t xml:space="preserve">] </w:t>
      </w:r>
      <w:r>
        <w:rPr>
          <w:rStyle w:val="ControlFlowTok"/>
        </w:rPr>
        <w:t xml:space="preserve">if</w:t>
      </w:r>
      <w:r>
        <w:rPr>
          <w:rStyle w:val="NormalTok"/>
        </w:rPr>
        <w:t xml:space="preserve"> t </w:t>
      </w:r>
      <w:r>
        <w:rPr>
          <w:rStyle w:val="OperatorTok"/>
        </w:rPr>
        <w:t xml:space="preserve">&lt;=</w:t>
      </w:r>
      <w:r>
        <w:rPr>
          <w:rStyle w:val="NormalTok"/>
        </w:rPr>
        <w:t xml:space="preserve"> </w:t>
      </w:r>
      <w:r>
        <w:rPr>
          <w:rStyle w:val="VariableTok"/>
        </w:rPr>
        <w:t xml:space="preserve">self</w:t>
      </w:r>
      <w:r>
        <w:rPr>
          <w:rStyle w:val="NormalTok"/>
        </w:rPr>
        <w:t xml:space="preserve">.start]:</w:t>
      </w:r>
      <w:r>
        <w:br/>
      </w:r>
      <w:r>
        <w:rPr>
          <w:rStyle w:val="NormalTok"/>
        </w:rPr>
        <w:t xml:space="preserve">            </w:t>
      </w:r>
      <w:r>
        <w:rPr>
          <w:rStyle w:val="VariableTok"/>
        </w:rPr>
        <w:t xml:space="preserve">self</w:t>
      </w:r>
      <w:r>
        <w:rPr>
          <w:rStyle w:val="NormalTok"/>
        </w:rPr>
        <w:t xml:space="preserve">._cleanup(key, lts)               </w:t>
      </w:r>
      <w:r>
        <w:rPr>
          <w:rStyle w:val="CommentTok"/>
        </w:rPr>
        <w:t xml:space="preserve"># stale lock below our snapshot</w:t>
      </w:r>
      <w:r>
        <w:br/>
      </w:r>
      <w:r>
        <w:rPr>
          <w:rStyle w:val="NormalTok"/>
        </w:rPr>
        <w:t xml:space="preserve">        visible </w:t>
      </w:r>
      <w:r>
        <w:rPr>
          <w:rStyle w:val="OperatorTok"/>
        </w:rPr>
        <w:t xml:space="preserve">=</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r[</w:t>
      </w:r>
      <w:r>
        <w:rPr>
          <w:rStyle w:val="StringTok"/>
        </w:rPr>
        <w:t xml:space="preserve">"write"</w:t>
      </w:r>
      <w:r>
        <w:rPr>
          <w:rStyle w:val="NormalTok"/>
        </w:rPr>
        <w:t xml:space="preserve">] </w:t>
      </w:r>
      <w:r>
        <w:rPr>
          <w:rStyle w:val="ControlFlowTok"/>
        </w:rPr>
        <w:t xml:space="preserve">if</w:t>
      </w:r>
      <w:r>
        <w:rPr>
          <w:rStyle w:val="NormalTok"/>
        </w:rPr>
        <w:t xml:space="preserve"> c </w:t>
      </w:r>
      <w:r>
        <w:rPr>
          <w:rStyle w:val="OperatorTok"/>
        </w:rPr>
        <w:t xml:space="preserve">&lt;=</w:t>
      </w:r>
      <w:r>
        <w:rPr>
          <w:rStyle w:val="NormalTok"/>
        </w:rPr>
        <w:t xml:space="preserve"> </w:t>
      </w:r>
      <w:r>
        <w:rPr>
          <w:rStyle w:val="VariableTok"/>
        </w:rPr>
        <w:t xml:space="preserve">self</w:t>
      </w:r>
      <w:r>
        <w:rPr>
          <w:rStyle w:val="NormalTok"/>
        </w:rPr>
        <w:t xml:space="preserve">.start]</w:t>
      </w:r>
      <w:r>
        <w:br/>
      </w:r>
      <w:r>
        <w:rPr>
          <w:rStyle w:val="NormalTok"/>
        </w:rPr>
        <w:t xml:space="preserve">        </w:t>
      </w:r>
      <w:r>
        <w:rPr>
          <w:rStyle w:val="ControlFlowTok"/>
        </w:rPr>
        <w:t xml:space="preserve">return</w:t>
      </w:r>
      <w:r>
        <w:rPr>
          <w:rStyle w:val="NormalTok"/>
        </w:rPr>
        <w:t xml:space="preserve"> r[</w:t>
      </w:r>
      <w:r>
        <w:rPr>
          <w:rStyle w:val="StringTok"/>
        </w:rPr>
        <w:t xml:space="preserve">"data"</w:t>
      </w:r>
      <w:r>
        <w:rPr>
          <w:rStyle w:val="NormalTok"/>
        </w:rPr>
        <w:t xml:space="preserve">][r[</w:t>
      </w:r>
      <w:r>
        <w:rPr>
          <w:rStyle w:val="StringTok"/>
        </w:rPr>
        <w:t xml:space="preserve">"write"</w:t>
      </w:r>
      <w:r>
        <w:rPr>
          <w:rStyle w:val="NormalTok"/>
        </w:rPr>
        <w:t xml:space="preserve">][</w:t>
      </w:r>
      <w:r>
        <w:rPr>
          <w:rStyle w:val="BuiltInTok"/>
        </w:rPr>
        <w:t xml:space="preserve">max</w:t>
      </w:r>
      <w:r>
        <w:rPr>
          <w:rStyle w:val="NormalTok"/>
        </w:rPr>
        <w:t xml:space="preserve">(visible)]] </w:t>
      </w:r>
      <w:r>
        <w:rPr>
          <w:rStyle w:val="ControlFlowTok"/>
        </w:rPr>
        <w:t xml:space="preserve">if</w:t>
      </w:r>
      <w:r>
        <w:rPr>
          <w:rStyle w:val="NormalTok"/>
        </w:rPr>
        <w:t xml:space="preserve"> visible </w:t>
      </w:r>
      <w:r>
        <w:rPr>
          <w:rStyle w:val="ControlFlowTok"/>
        </w:rPr>
        <w:t xml:space="preserve">else</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w:t>
      </w:r>
      <w:r>
        <w:rPr>
          <w:rStyle w:val="BuiltInTok"/>
        </w:rPr>
        <w:t xml:space="preserve">set</w:t>
      </w:r>
      <w:r>
        <w:rPr>
          <w:rStyle w:val="NormalTok"/>
        </w:rPr>
        <w:t xml:space="preserve">(</w:t>
      </w:r>
      <w:r>
        <w:rPr>
          <w:rStyle w:val="VariableTok"/>
        </w:rPr>
        <w:t xml:space="preserve">self</w:t>
      </w:r>
      <w:r>
        <w:rPr>
          <w:rStyle w:val="NormalTok"/>
        </w:rPr>
        <w:t xml:space="preserve">, key, value):</w:t>
      </w:r>
      <w:r>
        <w:br/>
      </w:r>
      <w:r>
        <w:rPr>
          <w:rStyle w:val="NormalTok"/>
        </w:rPr>
        <w:t xml:space="preserve">        </w:t>
      </w:r>
      <w:r>
        <w:rPr>
          <w:rStyle w:val="VariableTok"/>
        </w:rPr>
        <w:t xml:space="preserve">self</w:t>
      </w:r>
      <w:r>
        <w:rPr>
          <w:rStyle w:val="NormalTok"/>
        </w:rPr>
        <w:t xml:space="preserve">.writes[key] </w:t>
      </w:r>
      <w:r>
        <w:rPr>
          <w:rStyle w:val="OperatorTok"/>
        </w:rPr>
        <w:t xml:space="preserve">=</w:t>
      </w:r>
      <w:r>
        <w:rPr>
          <w:rStyle w:val="NormalTok"/>
        </w:rPr>
        <w:t xml:space="preserve"> value</w:t>
      </w:r>
      <w:r>
        <w:br/>
      </w:r>
      <w:r>
        <w:br/>
      </w:r>
      <w:r>
        <w:rPr>
          <w:rStyle w:val="NormalTok"/>
        </w:rPr>
        <w:t xml:space="preserve">    </w:t>
      </w:r>
      <w:r>
        <w:rPr>
          <w:rStyle w:val="KeywordTok"/>
        </w:rPr>
        <w:t xml:space="preserve">def</w:t>
      </w:r>
      <w:r>
        <w:rPr>
          <w:rStyle w:val="NormalTok"/>
        </w:rPr>
        <w:t xml:space="preserve"> _prewrite(</w:t>
      </w:r>
      <w:r>
        <w:rPr>
          <w:rStyle w:val="VariableTok"/>
        </w:rPr>
        <w:t xml:space="preserve">self</w:t>
      </w:r>
      <w:r>
        <w:rPr>
          <w:rStyle w:val="NormalTok"/>
        </w:rPr>
        <w:t xml:space="preserve">, key, primary):</w:t>
      </w:r>
      <w:r>
        <w:br/>
      </w:r>
      <w:r>
        <w:rPr>
          <w:rStyle w:val="NormalTok"/>
        </w:rPr>
        <w:t xml:space="preserve">        r </w:t>
      </w:r>
      <w:r>
        <w:rPr>
          <w:rStyle w:val="OperatorTok"/>
        </w:rPr>
        <w:t xml:space="preserve">=</w:t>
      </w:r>
      <w:r>
        <w:rPr>
          <w:rStyle w:val="NormalTok"/>
        </w:rPr>
        <w:t xml:space="preserve"> </w:t>
      </w:r>
      <w:r>
        <w:rPr>
          <w:rStyle w:val="VariableTok"/>
        </w:rPr>
        <w:t xml:space="preserve">self</w:t>
      </w:r>
      <w:r>
        <w:rPr>
          <w:rStyle w:val="NormalTok"/>
        </w:rPr>
        <w:t xml:space="preserve">.s.row(key)</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(c </w:t>
      </w:r>
      <w:r>
        <w:rPr>
          <w:rStyle w:val="OperatorTok"/>
        </w:rPr>
        <w:t xml:space="preserve">&gt;=</w:t>
      </w:r>
      <w:r>
        <w:rPr>
          <w:rStyle w:val="NormalTok"/>
        </w:rPr>
        <w:t xml:space="preserve"> </w:t>
      </w:r>
      <w:r>
        <w:rPr>
          <w:rStyle w:val="VariableTok"/>
        </w:rPr>
        <w:t xml:space="preserve">self</w:t>
      </w:r>
      <w:r>
        <w:rPr>
          <w:rStyle w:val="NormalTok"/>
        </w:rPr>
        <w:t xml:space="preserve">.start </w:t>
      </w:r>
      <w:r>
        <w:rPr>
          <w:rStyle w:val="ControlFlowTok"/>
        </w:rPr>
        <w:t xml:space="preserve">for</w:t>
      </w:r>
      <w:r>
        <w:rPr>
          <w:rStyle w:val="NormalTok"/>
        </w:rPr>
        <w:t xml:space="preserve"> c </w:t>
      </w:r>
      <w:r>
        <w:rPr>
          <w:rStyle w:val="KeywordTok"/>
        </w:rPr>
        <w:t xml:space="preserve">in</w:t>
      </w:r>
      <w:r>
        <w:rPr>
          <w:rStyle w:val="NormalTok"/>
        </w:rPr>
        <w:t xml:space="preserve"> r[</w:t>
      </w:r>
      <w:r>
        <w:rPr>
          <w:rStyle w:val="StringTok"/>
        </w:rPr>
        <w:t xml:space="preserve">"write"</w:t>
      </w:r>
      <w:r>
        <w:rPr>
          <w:rStyle w:val="NormalTok"/>
        </w:rPr>
        <w:t xml:space="preserve">]) </w:t>
      </w:r>
      <w:r>
        <w:rPr>
          <w:rStyle w:val="KeywordTok"/>
        </w:rPr>
        <w:t xml:space="preserve">or</w:t>
      </w:r>
      <w:r>
        <w:rPr>
          <w:rStyle w:val="NormalTok"/>
        </w:rPr>
        <w:t xml:space="preserve"> r[</w:t>
      </w:r>
      <w:r>
        <w:rPr>
          <w:rStyle w:val="StringTok"/>
        </w:rPr>
        <w:t xml:space="preserve">"lock"</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CommentTok"/>
        </w:rPr>
        <w:t xml:space="preserve"># write-write conflict or locked</w:t>
      </w:r>
      <w:r>
        <w:br/>
      </w:r>
      <w:r>
        <w:rPr>
          <w:rStyle w:val="NormalTok"/>
        </w:rPr>
        <w:t xml:space="preserve">        r[</w:t>
      </w:r>
      <w:r>
        <w:rPr>
          <w:rStyle w:val="StringTok"/>
        </w:rPr>
        <w:t xml:space="preserve">"data"</w:t>
      </w:r>
      <w:r>
        <w:rPr>
          <w:rStyle w:val="NormalTok"/>
        </w:rPr>
        <w:t xml:space="preserve">][</w:t>
      </w:r>
      <w:r>
        <w:rPr>
          <w:rStyle w:val="VariableTok"/>
        </w:rPr>
        <w:t xml:space="preserve">self</w:t>
      </w:r>
      <w:r>
        <w:rPr>
          <w:rStyle w:val="NormalTok"/>
        </w:rPr>
        <w:t xml:space="preserve">.start] </w:t>
      </w:r>
      <w:r>
        <w:rPr>
          <w:rStyle w:val="OperatorTok"/>
        </w:rPr>
        <w:t xml:space="preserve">=</w:t>
      </w:r>
      <w:r>
        <w:rPr>
          <w:rStyle w:val="NormalTok"/>
        </w:rPr>
        <w:t xml:space="preserve"> </w:t>
      </w:r>
      <w:r>
        <w:rPr>
          <w:rStyle w:val="VariableTok"/>
        </w:rPr>
        <w:t xml:space="preserve">self</w:t>
      </w:r>
      <w:r>
        <w:rPr>
          <w:rStyle w:val="NormalTok"/>
        </w:rPr>
        <w:t xml:space="preserve">.writes[key]</w:t>
      </w:r>
      <w:r>
        <w:br/>
      </w:r>
      <w:r>
        <w:rPr>
          <w:rStyle w:val="NormalTok"/>
        </w:rPr>
        <w:t xml:space="preserve">        r[</w:t>
      </w:r>
      <w:r>
        <w:rPr>
          <w:rStyle w:val="StringTok"/>
        </w:rPr>
        <w:t xml:space="preserve">"lock"</w:t>
      </w:r>
      <w:r>
        <w:rPr>
          <w:rStyle w:val="NormalTok"/>
        </w:rPr>
        <w:t xml:space="preserve">][</w:t>
      </w:r>
      <w:r>
        <w:rPr>
          <w:rStyle w:val="VariableTok"/>
        </w:rPr>
        <w:t xml:space="preserve">self</w:t>
      </w:r>
      <w:r>
        <w:rPr>
          <w:rStyle w:val="NormalTok"/>
        </w:rPr>
        <w:t xml:space="preserve">.start] </w:t>
      </w:r>
      <w:r>
        <w:rPr>
          <w:rStyle w:val="OperatorTok"/>
        </w:rPr>
        <w:t xml:space="preserve">=</w:t>
      </w:r>
      <w:r>
        <w:rPr>
          <w:rStyle w:val="NormalTok"/>
        </w:rPr>
        <w:t xml:space="preserve"> primary</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rPr>
          <w:rStyle w:val="NormalTok"/>
        </w:rPr>
        <w:t xml:space="preserve">    </w:t>
      </w:r>
      <w:r>
        <w:rPr>
          <w:rStyle w:val="KeywordTok"/>
        </w:rPr>
        <w:t xml:space="preserve">def</w:t>
      </w:r>
      <w:r>
        <w:rPr>
          <w:rStyle w:val="NormalTok"/>
        </w:rPr>
        <w:t xml:space="preserve"> commit(</w:t>
      </w:r>
      <w:r>
        <w:rPr>
          <w:rStyle w:val="VariableTok"/>
        </w:rPr>
        <w:t xml:space="preserve">self</w:t>
      </w:r>
      <w:r>
        <w:rPr>
          <w:rStyle w:val="NormalTok"/>
        </w:rPr>
        <w:t xml:space="preserve">, crash</w:t>
      </w:r>
      <w:r>
        <w:rPr>
          <w:rStyle w:val="OperatorTok"/>
        </w:rPr>
        <w:t xml:space="preserve">=</w:t>
      </w:r>
      <w:r>
        <w:rPr>
          <w:rStyle w:val="VariableTok"/>
        </w:rPr>
        <w:t xml:space="preserve">None</w:t>
      </w:r>
      <w:r>
        <w:rPr>
          <w:rStyle w:val="NormalTok"/>
        </w:rPr>
        <w:t xml:space="preserve">):</w:t>
      </w:r>
      <w:r>
        <w:br/>
      </w:r>
      <w:r>
        <w:rPr>
          <w:rStyle w:val="NormalTok"/>
        </w:rPr>
        <w:t xml:space="preserve">        keys </w:t>
      </w:r>
      <w:r>
        <w:rPr>
          <w:rStyle w:val="OperatorTok"/>
        </w:rPr>
        <w:t xml:space="preserve">=</w:t>
      </w:r>
      <w:r>
        <w:rPr>
          <w:rStyle w:val="NormalTok"/>
        </w:rPr>
        <w:t xml:space="preserve"> </w:t>
      </w:r>
      <w:r>
        <w:rPr>
          <w:rStyle w:val="BuiltInTok"/>
        </w:rPr>
        <w:t xml:space="preserve">sorted</w:t>
      </w:r>
      <w:r>
        <w:rPr>
          <w:rStyle w:val="NormalTok"/>
        </w:rPr>
        <w:t xml:space="preserve">(</w:t>
      </w:r>
      <w:r>
        <w:rPr>
          <w:rStyle w:val="VariableTok"/>
        </w:rPr>
        <w:t xml:space="preserve">self</w:t>
      </w:r>
      <w:r>
        <w:rPr>
          <w:rStyle w:val="NormalTok"/>
        </w:rPr>
        <w:t xml:space="preserve">.writes)</w:t>
      </w:r>
      <w:r>
        <w:br/>
      </w:r>
      <w:r>
        <w:rPr>
          <w:rStyle w:val="NormalTok"/>
        </w:rPr>
        <w:t xml:space="preserve">        primary, secondaries </w:t>
      </w:r>
      <w:r>
        <w:rPr>
          <w:rStyle w:val="OperatorTok"/>
        </w:rPr>
        <w:t xml:space="preserve">=</w:t>
      </w:r>
      <w:r>
        <w:rPr>
          <w:rStyle w:val="NormalTok"/>
        </w:rPr>
        <w:t xml:space="preserve"> keys[</w:t>
      </w:r>
      <w:r>
        <w:rPr>
          <w:rStyle w:val="DecValTok"/>
        </w:rPr>
        <w:t xml:space="preserve">0</w:t>
      </w:r>
      <w:r>
        <w:rPr>
          <w:rStyle w:val="NormalTok"/>
        </w:rPr>
        <w:t xml:space="preserve">], keys[</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keys:                            </w:t>
      </w:r>
      <w:r>
        <w:rPr>
          <w:rStyle w:val="CommentTok"/>
        </w:rPr>
        <w:t xml:space="preserve"># phase 1: prewrite, primary first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._prewrite(k, primary):</w:t>
      </w:r>
      <w:r>
        <w:br/>
      </w:r>
      <w:r>
        <w:rPr>
          <w:rStyle w:val="NormalTok"/>
        </w:rPr>
        <w:t xml:space="preserve">                </w:t>
      </w:r>
      <w:r>
        <w:rPr>
          <w:rStyle w:val="VariableTok"/>
        </w:rPr>
        <w:t xml:space="preserve">self</w:t>
      </w:r>
      <w:r>
        <w:rPr>
          <w:rStyle w:val="NormalTok"/>
        </w:rPr>
        <w:t xml:space="preserve">._rollback(keys)</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ntrolFlowTok"/>
        </w:rPr>
        <w:t xml:space="preserve">if</w:t>
      </w:r>
      <w:r>
        <w:rPr>
          <w:rStyle w:val="NormalTok"/>
        </w:rPr>
        <w:t xml:space="preserve"> crash </w:t>
      </w:r>
      <w:r>
        <w:rPr>
          <w:rStyle w:val="OperatorTok"/>
        </w:rPr>
        <w:t xml:space="preserve">==</w:t>
      </w:r>
      <w:r>
        <w:rPr>
          <w:rStyle w:val="NormalTok"/>
        </w:rPr>
        <w:t xml:space="preserve"> </w:t>
      </w:r>
      <w:r>
        <w:rPr>
          <w:rStyle w:val="StringTok"/>
        </w:rPr>
        <w:t xml:space="preserve">"before_primary"</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rPr>
          <w:rStyle w:val="NormalTok"/>
        </w:rPr>
        <w:t xml:space="preserve">                           </w:t>
      </w:r>
      <w:r>
        <w:rPr>
          <w:rStyle w:val="CommentTok"/>
        </w:rPr>
        <w:t xml:space="preserve"># client dies holding all locks</w:t>
      </w:r>
      <w:r>
        <w:br/>
      </w:r>
      <w:r>
        <w:rPr>
          <w:rStyle w:val="NormalTok"/>
        </w:rPr>
        <w:t xml:space="preserve">        commit_ts </w:t>
      </w:r>
      <w:r>
        <w:rPr>
          <w:rStyle w:val="OperatorTok"/>
        </w:rPr>
        <w:t xml:space="preserve">=</w:t>
      </w:r>
      <w:r>
        <w:rPr>
          <w:rStyle w:val="NormalTok"/>
        </w:rPr>
        <w:t xml:space="preserve"> </w:t>
      </w:r>
      <w:r>
        <w:rPr>
          <w:rStyle w:val="VariableTok"/>
        </w:rPr>
        <w:t xml:space="preserve">self</w:t>
      </w:r>
      <w:r>
        <w:rPr>
          <w:rStyle w:val="NormalTok"/>
        </w:rPr>
        <w:t xml:space="preserve">.o.ts()</w:t>
      </w:r>
      <w:r>
        <w:br/>
      </w:r>
      <w:r>
        <w:rPr>
          <w:rStyle w:val="NormalTok"/>
        </w:rPr>
        <w:t xml:space="preserve">        p </w:t>
      </w:r>
      <w:r>
        <w:rPr>
          <w:rStyle w:val="OperatorTok"/>
        </w:rPr>
        <w:t xml:space="preserve">=</w:t>
      </w:r>
      <w:r>
        <w:rPr>
          <w:rStyle w:val="NormalTok"/>
        </w:rPr>
        <w:t xml:space="preserve"> </w:t>
      </w:r>
      <w:r>
        <w:rPr>
          <w:rStyle w:val="VariableTok"/>
        </w:rPr>
        <w:t xml:space="preserve">self</w:t>
      </w:r>
      <w:r>
        <w:rPr>
          <w:rStyle w:val="NormalTok"/>
        </w:rPr>
        <w:t xml:space="preserve">.s.row(primary)                   </w:t>
      </w:r>
      <w:r>
        <w:rPr>
          <w:rStyle w:val="CommentTok"/>
        </w:rPr>
        <w:t xml:space="preserve"># phase 2: single-row txn on primary</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.start </w:t>
      </w:r>
      <w:r>
        <w:rPr>
          <w:rStyle w:val="KeywordTok"/>
        </w:rPr>
        <w:t xml:space="preserve">not</w:t>
      </w:r>
      <w:r>
        <w:rPr>
          <w:rStyle w:val="NormalTok"/>
        </w:rPr>
        <w:t xml:space="preserve"> </w:t>
      </w:r>
      <w:r>
        <w:rPr>
          <w:rStyle w:val="KeywordTok"/>
        </w:rPr>
        <w:t xml:space="preserve">in</w:t>
      </w:r>
      <w:r>
        <w:rPr>
          <w:rStyle w:val="NormalTok"/>
        </w:rPr>
        <w:t xml:space="preserve"> p[</w:t>
      </w:r>
      <w:r>
        <w:rPr>
          <w:rStyle w:val="StringTok"/>
        </w:rPr>
        <w:t xml:space="preserve">"lock"</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CommentTok"/>
        </w:rPr>
        <w:t xml:space="preserve"># someone rolled us back</w:t>
      </w:r>
      <w:r>
        <w:br/>
      </w:r>
      <w:r>
        <w:rPr>
          <w:rStyle w:val="NormalTok"/>
        </w:rPr>
        <w:t xml:space="preserve">        p[</w:t>
      </w:r>
      <w:r>
        <w:rPr>
          <w:rStyle w:val="StringTok"/>
        </w:rPr>
        <w:t xml:space="preserve">"write"</w:t>
      </w:r>
      <w:r>
        <w:rPr>
          <w:rStyle w:val="NormalTok"/>
        </w:rPr>
        <w:t xml:space="preserve">][commit_ts] </w:t>
      </w:r>
      <w:r>
        <w:rPr>
          <w:rStyle w:val="OperatorTok"/>
        </w:rPr>
        <w:t xml:space="preserve">=</w:t>
      </w:r>
      <w:r>
        <w:rPr>
          <w:rStyle w:val="NormalTok"/>
        </w:rPr>
        <w:t xml:space="preserve"> </w:t>
      </w:r>
      <w:r>
        <w:rPr>
          <w:rStyle w:val="VariableTok"/>
        </w:rPr>
        <w:t xml:space="preserve">self</w:t>
      </w:r>
      <w:r>
        <w:rPr>
          <w:rStyle w:val="NormalTok"/>
        </w:rPr>
        <w:t xml:space="preserve">.start</w:t>
      </w:r>
      <w:r>
        <w:br/>
      </w:r>
      <w:r>
        <w:rPr>
          <w:rStyle w:val="NormalTok"/>
        </w:rPr>
        <w:t xml:space="preserve">        </w:t>
      </w:r>
      <w:r>
        <w:rPr>
          <w:rStyle w:val="KeywordTok"/>
        </w:rPr>
        <w:t xml:space="preserve">del</w:t>
      </w:r>
      <w:r>
        <w:rPr>
          <w:rStyle w:val="NormalTok"/>
        </w:rPr>
        <w:t xml:space="preserve"> p[</w:t>
      </w:r>
      <w:r>
        <w:rPr>
          <w:rStyle w:val="StringTok"/>
        </w:rPr>
        <w:t xml:space="preserve">"lock"</w:t>
      </w:r>
      <w:r>
        <w:rPr>
          <w:rStyle w:val="NormalTok"/>
        </w:rPr>
        <w:t xml:space="preserve">][</w:t>
      </w:r>
      <w:r>
        <w:rPr>
          <w:rStyle w:val="VariableTok"/>
        </w:rPr>
        <w:t xml:space="preserve">self</w:t>
      </w:r>
      <w:r>
        <w:rPr>
          <w:rStyle w:val="NormalTok"/>
        </w:rPr>
        <w:t xml:space="preserve">.start]                 </w:t>
      </w:r>
      <w:r>
        <w:rPr>
          <w:rStyle w:val="CommentTok"/>
        </w:rPr>
        <w:t xml:space="preserve"># &lt;- the commit point</w:t>
      </w:r>
      <w:r>
        <w:br/>
      </w:r>
      <w:r>
        <w:rPr>
          <w:rStyle w:val="NormalTok"/>
        </w:rPr>
        <w:t xml:space="preserve">        </w:t>
      </w:r>
      <w:r>
        <w:rPr>
          <w:rStyle w:val="ControlFlowTok"/>
        </w:rPr>
        <w:t xml:space="preserve">if</w:t>
      </w:r>
      <w:r>
        <w:rPr>
          <w:rStyle w:val="NormalTok"/>
        </w:rPr>
        <w:t xml:space="preserve"> crash </w:t>
      </w:r>
      <w:r>
        <w:rPr>
          <w:rStyle w:val="OperatorTok"/>
        </w:rPr>
        <w:t xml:space="preserve">==</w:t>
      </w:r>
      <w:r>
        <w:rPr>
          <w:rStyle w:val="NormalTok"/>
        </w:rPr>
        <w:t xml:space="preserve"> </w:t>
      </w:r>
      <w:r>
        <w:rPr>
          <w:rStyle w:val="StringTok"/>
        </w:rPr>
        <w:t xml:space="preserve">"after_primary"</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CommentTok"/>
        </w:rPr>
        <w:t xml:space="preserve"># committed; secondaries still locked</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secondaries:</w:t>
      </w:r>
      <w:r>
        <w:br/>
      </w:r>
      <w:r>
        <w:rPr>
          <w:rStyle w:val="NormalTok"/>
        </w:rPr>
        <w:t xml:space="preserve">            r </w:t>
      </w:r>
      <w:r>
        <w:rPr>
          <w:rStyle w:val="OperatorTok"/>
        </w:rPr>
        <w:t xml:space="preserve">=</w:t>
      </w:r>
      <w:r>
        <w:rPr>
          <w:rStyle w:val="NormalTok"/>
        </w:rPr>
        <w:t xml:space="preserve"> </w:t>
      </w:r>
      <w:r>
        <w:rPr>
          <w:rStyle w:val="VariableTok"/>
        </w:rPr>
        <w:t xml:space="preserve">self</w:t>
      </w:r>
      <w:r>
        <w:rPr>
          <w:rStyle w:val="NormalTok"/>
        </w:rPr>
        <w:t xml:space="preserve">.s.row(k)</w:t>
      </w:r>
      <w:r>
        <w:br/>
      </w:r>
      <w:r>
        <w:rPr>
          <w:rStyle w:val="NormalTok"/>
        </w:rPr>
        <w:t xml:space="preserve">            r[</w:t>
      </w:r>
      <w:r>
        <w:rPr>
          <w:rStyle w:val="StringTok"/>
        </w:rPr>
        <w:t xml:space="preserve">"write"</w:t>
      </w:r>
      <w:r>
        <w:rPr>
          <w:rStyle w:val="NormalTok"/>
        </w:rPr>
        <w:t xml:space="preserve">][commit_ts] </w:t>
      </w:r>
      <w:r>
        <w:rPr>
          <w:rStyle w:val="OperatorTok"/>
        </w:rPr>
        <w:t xml:space="preserve">=</w:t>
      </w:r>
      <w:r>
        <w:rPr>
          <w:rStyle w:val="NormalTok"/>
        </w:rPr>
        <w:t xml:space="preserve"> </w:t>
      </w:r>
      <w:r>
        <w:rPr>
          <w:rStyle w:val="VariableTok"/>
        </w:rPr>
        <w:t xml:space="preserve">self</w:t>
      </w:r>
      <w:r>
        <w:rPr>
          <w:rStyle w:val="NormalTok"/>
        </w:rPr>
        <w:t xml:space="preserve">.start</w:t>
      </w:r>
      <w:r>
        <w:br/>
      </w:r>
      <w:r>
        <w:rPr>
          <w:rStyle w:val="NormalTok"/>
        </w:rPr>
        <w:t xml:space="preserve">            r[</w:t>
      </w:r>
      <w:r>
        <w:rPr>
          <w:rStyle w:val="StringTok"/>
        </w:rPr>
        <w:t xml:space="preserve">"lock"</w:t>
      </w:r>
      <w:r>
        <w:rPr>
          <w:rStyle w:val="NormalTok"/>
        </w:rPr>
        <w:t xml:space="preserve">].pop(</w:t>
      </w:r>
      <w:r>
        <w:rPr>
          <w:rStyle w:val="VariableTok"/>
        </w:rPr>
        <w:t xml:space="preserve">self</w:t>
      </w:r>
      <w:r>
        <w:rPr>
          <w:rStyle w:val="NormalTok"/>
        </w:rPr>
        <w:t xml:space="preserve">.start,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rPr>
          <w:rStyle w:val="NormalTok"/>
        </w:rPr>
        <w:t xml:space="preserve">    </w:t>
      </w:r>
      <w:r>
        <w:rPr>
          <w:rStyle w:val="KeywordTok"/>
        </w:rPr>
        <w:t xml:space="preserve">def</w:t>
      </w:r>
      <w:r>
        <w:rPr>
          <w:rStyle w:val="NormalTok"/>
        </w:rPr>
        <w:t xml:space="preserve"> _rollback(</w:t>
      </w:r>
      <w:r>
        <w:rPr>
          <w:rStyle w:val="VariableTok"/>
        </w:rPr>
        <w:t xml:space="preserve">self</w:t>
      </w:r>
      <w:r>
        <w:rPr>
          <w:rStyle w:val="NormalTok"/>
        </w:rPr>
        <w:t xml:space="preserve">, keys):</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keys:</w:t>
      </w:r>
      <w:r>
        <w:br/>
      </w:r>
      <w:r>
        <w:rPr>
          <w:rStyle w:val="NormalTok"/>
        </w:rPr>
        <w:t xml:space="preserve">            r </w:t>
      </w:r>
      <w:r>
        <w:rPr>
          <w:rStyle w:val="OperatorTok"/>
        </w:rPr>
        <w:t xml:space="preserve">=</w:t>
      </w:r>
      <w:r>
        <w:rPr>
          <w:rStyle w:val="NormalTok"/>
        </w:rPr>
        <w:t xml:space="preserve"> </w:t>
      </w:r>
      <w:r>
        <w:rPr>
          <w:rStyle w:val="VariableTok"/>
        </w:rPr>
        <w:t xml:space="preserve">self</w:t>
      </w:r>
      <w:r>
        <w:rPr>
          <w:rStyle w:val="NormalTok"/>
        </w:rPr>
        <w:t xml:space="preserve">.s.row(k)</w:t>
      </w:r>
      <w:r>
        <w:br/>
      </w:r>
      <w:r>
        <w:rPr>
          <w:rStyle w:val="NormalTok"/>
        </w:rPr>
        <w:t xml:space="preserve">            </w:t>
      </w:r>
      <w:r>
        <w:rPr>
          <w:rStyle w:val="ControlFlowTok"/>
        </w:rPr>
        <w:t xml:space="preserve">if</w:t>
      </w:r>
      <w:r>
        <w:rPr>
          <w:rStyle w:val="NormalTok"/>
        </w:rPr>
        <w:t xml:space="preserve"> r[</w:t>
      </w:r>
      <w:r>
        <w:rPr>
          <w:rStyle w:val="StringTok"/>
        </w:rPr>
        <w:t xml:space="preserve">"lock"</w:t>
      </w:r>
      <w:r>
        <w:rPr>
          <w:rStyle w:val="NormalTok"/>
        </w:rPr>
        <w:t xml:space="preserve">].get(</w:t>
      </w:r>
      <w:r>
        <w:rPr>
          <w:rStyle w:val="VariableTok"/>
        </w:rPr>
        <w:t xml:space="preserve">self</w:t>
      </w:r>
      <w:r>
        <w:rPr>
          <w:rStyle w:val="NormalTok"/>
        </w:rPr>
        <w:t xml:space="preserve">.start)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KeywordTok"/>
        </w:rPr>
        <w:t xml:space="preserve">del</w:t>
      </w:r>
      <w:r>
        <w:rPr>
          <w:rStyle w:val="NormalTok"/>
        </w:rPr>
        <w:t xml:space="preserve"> r[</w:t>
      </w:r>
      <w:r>
        <w:rPr>
          <w:rStyle w:val="StringTok"/>
        </w:rPr>
        <w:t xml:space="preserve">"lock"</w:t>
      </w:r>
      <w:r>
        <w:rPr>
          <w:rStyle w:val="NormalTok"/>
        </w:rPr>
        <w:t xml:space="preserve">][</w:t>
      </w:r>
      <w:r>
        <w:rPr>
          <w:rStyle w:val="VariableTok"/>
        </w:rPr>
        <w:t xml:space="preserve">self</w:t>
      </w:r>
      <w:r>
        <w:rPr>
          <w:rStyle w:val="NormalTok"/>
        </w:rPr>
        <w:t xml:space="preserve">.start]</w:t>
      </w:r>
      <w:r>
        <w:br/>
      </w:r>
      <w:r>
        <w:rPr>
          <w:rStyle w:val="NormalTok"/>
        </w:rPr>
        <w:t xml:space="preserve">                </w:t>
      </w:r>
      <w:r>
        <w:rPr>
          <w:rStyle w:val="KeywordTok"/>
        </w:rPr>
        <w:t xml:space="preserve">del</w:t>
      </w:r>
      <w:r>
        <w:rPr>
          <w:rStyle w:val="NormalTok"/>
        </w:rPr>
        <w:t xml:space="preserve"> r[</w:t>
      </w:r>
      <w:r>
        <w:rPr>
          <w:rStyle w:val="StringTok"/>
        </w:rPr>
        <w:t xml:space="preserve">"data"</w:t>
      </w:r>
      <w:r>
        <w:rPr>
          <w:rStyle w:val="NormalTok"/>
        </w:rPr>
        <w:t xml:space="preserve">][</w:t>
      </w:r>
      <w:r>
        <w:rPr>
          <w:rStyle w:val="VariableTok"/>
        </w:rPr>
        <w:t xml:space="preserve">self</w:t>
      </w:r>
      <w:r>
        <w:rPr>
          <w:rStyle w:val="NormalTok"/>
        </w:rPr>
        <w:t xml:space="preserve">.start]</w:t>
      </w:r>
      <w:r>
        <w:br/>
      </w:r>
      <w:r>
        <w:br/>
      </w:r>
      <w:r>
        <w:rPr>
          <w:rStyle w:val="NormalTok"/>
        </w:rPr>
        <w:t xml:space="preserve">    </w:t>
      </w:r>
      <w:r>
        <w:rPr>
          <w:rStyle w:val="KeywordTok"/>
        </w:rPr>
        <w:t xml:space="preserve">def</w:t>
      </w:r>
      <w:r>
        <w:rPr>
          <w:rStyle w:val="NormalTok"/>
        </w:rPr>
        <w:t xml:space="preserve"> _cleanup(</w:t>
      </w:r>
      <w:r>
        <w:rPr>
          <w:rStyle w:val="VariableTok"/>
        </w:rPr>
        <w:t xml:space="preserve">self</w:t>
      </w:r>
      <w:r>
        <w:rPr>
          <w:rStyle w:val="NormalTok"/>
        </w:rPr>
        <w:t xml:space="preserve">, key, lts):</w:t>
      </w:r>
      <w:r>
        <w:br/>
      </w:r>
      <w:r>
        <w:rPr>
          <w:rStyle w:val="NormalTok"/>
        </w:rPr>
        <w:t xml:space="preserve">        </w:t>
      </w:r>
      <w:r>
        <w:rPr>
          <w:rStyle w:val="CommentTok"/>
        </w:rPr>
        <w:t xml:space="preserve">"""Roll a dead transaction forward or back, decided by its primary row."""</w:t>
      </w:r>
      <w:r>
        <w:br/>
      </w:r>
      <w:r>
        <w:rPr>
          <w:rStyle w:val="NormalTok"/>
        </w:rPr>
        <w:t xml:space="preserve">        r, primary </w:t>
      </w:r>
      <w:r>
        <w:rPr>
          <w:rStyle w:val="OperatorTok"/>
        </w:rPr>
        <w:t xml:space="preserve">=</w:t>
      </w:r>
      <w:r>
        <w:rPr>
          <w:rStyle w:val="NormalTok"/>
        </w:rPr>
        <w:t xml:space="preserve"> </w:t>
      </w:r>
      <w:r>
        <w:rPr>
          <w:rStyle w:val="VariableTok"/>
        </w:rPr>
        <w:t xml:space="preserve">self</w:t>
      </w:r>
      <w:r>
        <w:rPr>
          <w:rStyle w:val="NormalTok"/>
        </w:rPr>
        <w:t xml:space="preserve">.s.row(key), </w:t>
      </w:r>
      <w:r>
        <w:rPr>
          <w:rStyle w:val="VariableTok"/>
        </w:rPr>
        <w:t xml:space="preserve">self</w:t>
      </w:r>
      <w:r>
        <w:rPr>
          <w:rStyle w:val="NormalTok"/>
        </w:rPr>
        <w:t xml:space="preserve">.s.row(key)[</w:t>
      </w:r>
      <w:r>
        <w:rPr>
          <w:rStyle w:val="StringTok"/>
        </w:rPr>
        <w:t xml:space="preserve">"lock"</w:t>
      </w:r>
      <w:r>
        <w:rPr>
          <w:rStyle w:val="NormalTok"/>
        </w:rPr>
        <w:t xml:space="preserve">][lts]</w:t>
      </w:r>
      <w:r>
        <w:br/>
      </w:r>
      <w:r>
        <w:rPr>
          <w:rStyle w:val="NormalTok"/>
        </w:rPr>
        <w:t xml:space="preserve">        p </w:t>
      </w:r>
      <w:r>
        <w:rPr>
          <w:rStyle w:val="OperatorTok"/>
        </w:rPr>
        <w:t xml:space="preserve">=</w:t>
      </w:r>
      <w:r>
        <w:rPr>
          <w:rStyle w:val="NormalTok"/>
        </w:rPr>
        <w:t xml:space="preserve"> </w:t>
      </w:r>
      <w:r>
        <w:rPr>
          <w:rStyle w:val="VariableTok"/>
        </w:rPr>
        <w:t xml:space="preserve">self</w:t>
      </w:r>
      <w:r>
        <w:rPr>
          <w:rStyle w:val="NormalTok"/>
        </w:rPr>
        <w:t xml:space="preserve">.s.row(primary)</w:t>
      </w:r>
      <w:r>
        <w:br/>
      </w:r>
      <w:r>
        <w:rPr>
          <w:rStyle w:val="NormalTok"/>
        </w:rPr>
        <w:t xml:space="preserve">        </w:t>
      </w:r>
      <w:r>
        <w:rPr>
          <w:rStyle w:val="ControlFlowTok"/>
        </w:rPr>
        <w:t xml:space="preserve">if</w:t>
      </w:r>
      <w:r>
        <w:rPr>
          <w:rStyle w:val="NormalTok"/>
        </w:rPr>
        <w:t xml:space="preserve"> lts </w:t>
      </w:r>
      <w:r>
        <w:rPr>
          <w:rStyle w:val="KeywordTok"/>
        </w:rPr>
        <w:t xml:space="preserve">in</w:t>
      </w:r>
      <w:r>
        <w:rPr>
          <w:rStyle w:val="NormalTok"/>
        </w:rPr>
        <w:t xml:space="preserve"> p[</w:t>
      </w:r>
      <w:r>
        <w:rPr>
          <w:rStyle w:val="StringTok"/>
        </w:rPr>
        <w:t xml:space="preserve">"lock"</w:t>
      </w:r>
      <w:r>
        <w:rPr>
          <w:rStyle w:val="NormalTok"/>
        </w:rPr>
        <w:t xml:space="preserve">]:                      </w:t>
      </w:r>
      <w:r>
        <w:rPr>
          <w:rStyle w:val="CommentTok"/>
        </w:rPr>
        <w:t xml:space="preserve"># primary never committed: roll back</w:t>
      </w:r>
      <w:r>
        <w:br/>
      </w:r>
      <w:r>
        <w:rPr>
          <w:rStyle w:val="NormalTok"/>
        </w:rPr>
        <w:t xml:space="preserve">            </w:t>
      </w:r>
      <w:r>
        <w:rPr>
          <w:rStyle w:val="KeywordTok"/>
        </w:rPr>
        <w:t xml:space="preserve">del</w:t>
      </w:r>
      <w:r>
        <w:rPr>
          <w:rStyle w:val="NormalTok"/>
        </w:rPr>
        <w:t xml:space="preserve"> p[</w:t>
      </w:r>
      <w:r>
        <w:rPr>
          <w:rStyle w:val="StringTok"/>
        </w:rPr>
        <w:t xml:space="preserve">"lock"</w:t>
      </w:r>
      <w:r>
        <w:rPr>
          <w:rStyle w:val="NormalTok"/>
        </w:rPr>
        <w:t xml:space="preserve">][lts]</w:t>
      </w:r>
      <w:r>
        <w:br/>
      </w:r>
      <w:r>
        <w:rPr>
          <w:rStyle w:val="NormalTok"/>
        </w:rPr>
        <w:t xml:space="preserve">            p[</w:t>
      </w:r>
      <w:r>
        <w:rPr>
          <w:rStyle w:val="StringTok"/>
        </w:rPr>
        <w:t xml:space="preserve">"data"</w:t>
      </w:r>
      <w:r>
        <w:rPr>
          <w:rStyle w:val="NormalTok"/>
        </w:rPr>
        <w:t xml:space="preserve">].pop(lts, </w:t>
      </w:r>
      <w:r>
        <w:rPr>
          <w:rStyle w:val="VariableTok"/>
        </w:rPr>
        <w:t xml:space="preserve">None</w:t>
      </w:r>
      <w:r>
        <w:rPr>
          <w:rStyle w:val="NormalTok"/>
        </w:rPr>
        <w:t xml:space="preserve">)</w:t>
      </w:r>
      <w:r>
        <w:br/>
      </w:r>
      <w:r>
        <w:rPr>
          <w:rStyle w:val="NormalTok"/>
        </w:rPr>
        <w:t xml:space="preserve">        committed </w:t>
      </w:r>
      <w:r>
        <w:rPr>
          <w:rStyle w:val="OperatorTok"/>
        </w:rPr>
        <w:t xml:space="preserve">=</w:t>
      </w:r>
      <w:r>
        <w:rPr>
          <w:rStyle w:val="NormalTok"/>
        </w:rPr>
        <w:t xml:space="preserve"> [c </w:t>
      </w:r>
      <w:r>
        <w:rPr>
          <w:rStyle w:val="ControlFlowTok"/>
        </w:rPr>
        <w:t xml:space="preserve">for</w:t>
      </w:r>
      <w:r>
        <w:rPr>
          <w:rStyle w:val="NormalTok"/>
        </w:rPr>
        <w:t xml:space="preserve"> c, st </w:t>
      </w:r>
      <w:r>
        <w:rPr>
          <w:rStyle w:val="KeywordTok"/>
        </w:rPr>
        <w:t xml:space="preserve">in</w:t>
      </w:r>
      <w:r>
        <w:rPr>
          <w:rStyle w:val="NormalTok"/>
        </w:rPr>
        <w:t xml:space="preserve"> p[</w:t>
      </w:r>
      <w:r>
        <w:rPr>
          <w:rStyle w:val="StringTok"/>
        </w:rPr>
        <w:t xml:space="preserve">"write"</w:t>
      </w:r>
      <w:r>
        <w:rPr>
          <w:rStyle w:val="NormalTok"/>
        </w:rPr>
        <w:t xml:space="preserve">].items() </w:t>
      </w:r>
      <w:r>
        <w:rPr>
          <w:rStyle w:val="ControlFlowTok"/>
        </w:rPr>
        <w:t xml:space="preserve">if</w:t>
      </w:r>
      <w:r>
        <w:rPr>
          <w:rStyle w:val="NormalTok"/>
        </w:rPr>
        <w:t xml:space="preserve"> st </w:t>
      </w:r>
      <w:r>
        <w:rPr>
          <w:rStyle w:val="OperatorTok"/>
        </w:rPr>
        <w:t xml:space="preserve">==</w:t>
      </w:r>
      <w:r>
        <w:rPr>
          <w:rStyle w:val="NormalTok"/>
        </w:rPr>
        <w:t xml:space="preserve"> lts]</w:t>
      </w:r>
      <w:r>
        <w:br/>
      </w:r>
      <w:r>
        <w:rPr>
          <w:rStyle w:val="NormalTok"/>
        </w:rPr>
        <w:t xml:space="preserve">        </w:t>
      </w:r>
      <w:r>
        <w:rPr>
          <w:rStyle w:val="ControlFlowTok"/>
        </w:rPr>
        <w:t xml:space="preserve">if</w:t>
      </w:r>
      <w:r>
        <w:rPr>
          <w:rStyle w:val="NormalTok"/>
        </w:rPr>
        <w:t xml:space="preserve"> committed </w:t>
      </w:r>
      <w:r>
        <w:rPr>
          <w:rStyle w:val="KeywordTok"/>
        </w:rPr>
        <w:t xml:space="preserve">and</w:t>
      </w:r>
      <w:r>
        <w:rPr>
          <w:rStyle w:val="NormalTok"/>
        </w:rPr>
        <w:t xml:space="preserve"> key </w:t>
      </w:r>
      <w:r>
        <w:rPr>
          <w:rStyle w:val="OperatorTok"/>
        </w:rPr>
        <w:t xml:space="preserve">!=</w:t>
      </w:r>
      <w:r>
        <w:rPr>
          <w:rStyle w:val="NormalTok"/>
        </w:rPr>
        <w:t xml:space="preserve"> primary:          </w:t>
      </w:r>
      <w:r>
        <w:rPr>
          <w:rStyle w:val="CommentTok"/>
        </w:rPr>
        <w:t xml:space="preserve"># roll forward this secondary</w:t>
      </w:r>
      <w:r>
        <w:br/>
      </w:r>
      <w:r>
        <w:rPr>
          <w:rStyle w:val="NormalTok"/>
        </w:rPr>
        <w:t xml:space="preserve">            r[</w:t>
      </w:r>
      <w:r>
        <w:rPr>
          <w:rStyle w:val="StringTok"/>
        </w:rPr>
        <w:t xml:space="preserve">"write"</w:t>
      </w:r>
      <w:r>
        <w:rPr>
          <w:rStyle w:val="NormalTok"/>
        </w:rPr>
        <w:t xml:space="preserve">][committed[</w:t>
      </w:r>
      <w:r>
        <w:rPr>
          <w:rStyle w:val="DecValTok"/>
        </w:rPr>
        <w:t xml:space="preserve">0</w:t>
      </w:r>
      <w:r>
        <w:rPr>
          <w:rStyle w:val="NormalTok"/>
        </w:rPr>
        <w:t xml:space="preserve">]] </w:t>
      </w:r>
      <w:r>
        <w:rPr>
          <w:rStyle w:val="OperatorTok"/>
        </w:rPr>
        <w:t xml:space="preserve">=</w:t>
      </w:r>
      <w:r>
        <w:rPr>
          <w:rStyle w:val="NormalTok"/>
        </w:rPr>
        <w:t xml:space="preserve"> lts</w:t>
      </w:r>
      <w:r>
        <w:br/>
      </w:r>
      <w:r>
        <w:rPr>
          <w:rStyle w:val="NormalTok"/>
        </w:rPr>
        <w:t xml:space="preserve">        </w:t>
      </w:r>
      <w:r>
        <w:rPr>
          <w:rStyle w:val="ControlFlowTok"/>
        </w:rPr>
        <w:t xml:space="preserve">elif</w:t>
      </w:r>
      <w:r>
        <w:rPr>
          <w:rStyle w:val="NormalTok"/>
        </w:rPr>
        <w:t xml:space="preserve"> </w:t>
      </w:r>
      <w:r>
        <w:rPr>
          <w:rStyle w:val="KeywordTok"/>
        </w:rPr>
        <w:t xml:space="preserve">not</w:t>
      </w:r>
      <w:r>
        <w:rPr>
          <w:rStyle w:val="NormalTok"/>
        </w:rPr>
        <w:t xml:space="preserve"> committed:</w:t>
      </w:r>
      <w:r>
        <w:br/>
      </w:r>
      <w:r>
        <w:rPr>
          <w:rStyle w:val="NormalTok"/>
        </w:rPr>
        <w:t xml:space="preserve">            r[</w:t>
      </w:r>
      <w:r>
        <w:rPr>
          <w:rStyle w:val="StringTok"/>
        </w:rPr>
        <w:t xml:space="preserve">"data"</w:t>
      </w:r>
      <w:r>
        <w:rPr>
          <w:rStyle w:val="NormalTok"/>
        </w:rPr>
        <w:t xml:space="preserve">].pop(lts, </w:t>
      </w:r>
      <w:r>
        <w:rPr>
          <w:rStyle w:val="VariableTok"/>
        </w:rPr>
        <w:t xml:space="preserve">None</w:t>
      </w:r>
      <w:r>
        <w:rPr>
          <w:rStyle w:val="NormalTok"/>
        </w:rPr>
        <w:t xml:space="preserve">)</w:t>
      </w:r>
      <w:r>
        <w:br/>
      </w:r>
      <w:r>
        <w:rPr>
          <w:rStyle w:val="NormalTok"/>
        </w:rPr>
        <w:t xml:space="preserve">        r[</w:t>
      </w:r>
      <w:r>
        <w:rPr>
          <w:rStyle w:val="StringTok"/>
        </w:rPr>
        <w:t xml:space="preserve">"lock"</w:t>
      </w:r>
      <w:r>
        <w:rPr>
          <w:rStyle w:val="NormalTok"/>
        </w:rPr>
        <w:t xml:space="preserve">].pop(lts, </w:t>
      </w:r>
      <w:r>
        <w:rPr>
          <w:rStyle w:val="VariableTok"/>
        </w:rPr>
        <w:t xml:space="preserve">None</w:t>
      </w:r>
      <w:r>
        <w:rPr>
          <w:rStyle w:val="NormalTok"/>
        </w:rPr>
        <w:t xml:space="preserve">)</w:t>
      </w:r>
      <w:r>
        <w:br/>
      </w:r>
      <w:r>
        <w:br/>
      </w:r>
      <w:r>
        <w:br/>
      </w:r>
      <w:r>
        <w:rPr>
          <w:rStyle w:val="KeywordTok"/>
        </w:rPr>
        <w:t xml:space="preserve">def</w:t>
      </w:r>
      <w:r>
        <w:rPr>
          <w:rStyle w:val="NormalTok"/>
        </w:rPr>
        <w:t xml:space="preserve"> setup():</w:t>
      </w:r>
      <w:r>
        <w:br/>
      </w:r>
      <w:r>
        <w:rPr>
          <w:rStyle w:val="NormalTok"/>
        </w:rPr>
        <w:t xml:space="preserve">    s, o </w:t>
      </w:r>
      <w:r>
        <w:rPr>
          <w:rStyle w:val="OperatorTok"/>
        </w:rPr>
        <w:t xml:space="preserve">=</w:t>
      </w:r>
      <w:r>
        <w:rPr>
          <w:rStyle w:val="NormalTok"/>
        </w:rPr>
        <w:t xml:space="preserve"> Store(), Oracle()</w:t>
      </w:r>
      <w:r>
        <w:br/>
      </w:r>
      <w:r>
        <w:rPr>
          <w:rStyle w:val="NormalTok"/>
        </w:rPr>
        <w:t xml:space="preserve">    t </w:t>
      </w:r>
      <w:r>
        <w:rPr>
          <w:rStyle w:val="OperatorTok"/>
        </w:rPr>
        <w:t xml:space="preserve">=</w:t>
      </w:r>
      <w:r>
        <w:rPr>
          <w:rStyle w:val="NormalTok"/>
        </w:rPr>
        <w:t xml:space="preserve"> Txn(s, o)</w:t>
      </w:r>
      <w:r>
        <w:br/>
      </w:r>
      <w:r>
        <w:rPr>
          <w:rStyle w:val="NormalTok"/>
        </w:rPr>
        <w:t xml:space="preserve">    t.</w:t>
      </w:r>
      <w:r>
        <w:rPr>
          <w:rStyle w:val="BuiltInTok"/>
        </w:rPr>
        <w:t xml:space="preserve">set</w:t>
      </w:r>
      <w:r>
        <w:rPr>
          <w:rStyle w:val="NormalTok"/>
        </w:rPr>
        <w:t xml:space="preserve">(</w:t>
      </w:r>
      <w:r>
        <w:rPr>
          <w:rStyle w:val="StringTok"/>
        </w:rPr>
        <w:t xml:space="preserve">"acct7"</w:t>
      </w:r>
      <w:r>
        <w:rPr>
          <w:rStyle w:val="NormalTok"/>
        </w:rPr>
        <w:t xml:space="preserve">, </w:t>
      </w:r>
      <w:r>
        <w:rPr>
          <w:rStyle w:val="DecValTok"/>
        </w:rPr>
        <w:t xml:space="preserve">500</w:t>
      </w:r>
      <w:r>
        <w:rPr>
          <w:rStyle w:val="NormalTok"/>
        </w:rPr>
        <w:t xml:space="preserve">)</w:t>
      </w:r>
      <w:r>
        <w:br/>
      </w:r>
      <w:r>
        <w:rPr>
          <w:rStyle w:val="NormalTok"/>
        </w:rPr>
        <w:t xml:space="preserve">    t.</w:t>
      </w:r>
      <w:r>
        <w:rPr>
          <w:rStyle w:val="BuiltInTok"/>
        </w:rPr>
        <w:t xml:space="preserve">set</w:t>
      </w:r>
      <w:r>
        <w:rPr>
          <w:rStyle w:val="NormalTok"/>
        </w:rPr>
        <w:t xml:space="preserve">(</w:t>
      </w:r>
      <w:r>
        <w:rPr>
          <w:rStyle w:val="StringTok"/>
        </w:rPr>
        <w:t xml:space="preserve">"acct9"</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assert</w:t>
      </w:r>
      <w:r>
        <w:rPr>
          <w:rStyle w:val="NormalTok"/>
        </w:rPr>
        <w:t xml:space="preserve"> t.commit()</w:t>
      </w:r>
      <w:r>
        <w:br/>
      </w:r>
      <w:r>
        <w:rPr>
          <w:rStyle w:val="NormalTok"/>
        </w:rPr>
        <w:t xml:space="preserve">    </w:t>
      </w:r>
      <w:r>
        <w:rPr>
          <w:rStyle w:val="ControlFlowTok"/>
        </w:rPr>
        <w:t xml:space="preserve">return</w:t>
      </w:r>
      <w:r>
        <w:rPr>
          <w:rStyle w:val="NormalTok"/>
        </w:rPr>
        <w:t xml:space="preserve"> s, o</w:t>
      </w:r>
      <w:r>
        <w:br/>
      </w:r>
      <w:r>
        <w:br/>
      </w:r>
      <w:r>
        <w:br/>
      </w:r>
      <w:r>
        <w:rPr>
          <w:rStyle w:val="KeywordTok"/>
        </w:rPr>
        <w:t xml:space="preserve">def</w:t>
      </w:r>
      <w:r>
        <w:rPr>
          <w:rStyle w:val="NormalTok"/>
        </w:rPr>
        <w:t xml:space="preserve"> transfer(s, o, amount, crash</w:t>
      </w:r>
      <w:r>
        <w:rPr>
          <w:rStyle w:val="OperatorTok"/>
        </w:rPr>
        <w:t xml:space="preserve">=</w:t>
      </w:r>
      <w:r>
        <w:rPr>
          <w:rStyle w:val="VariableTok"/>
        </w:rPr>
        <w:t xml:space="preserve">None</w:t>
      </w:r>
      <w:r>
        <w:rPr>
          <w:rStyle w:val="NormalTok"/>
        </w:rPr>
        <w:t xml:space="preserve">):</w:t>
      </w:r>
      <w:r>
        <w:br/>
      </w:r>
      <w:r>
        <w:rPr>
          <w:rStyle w:val="NormalTok"/>
        </w:rPr>
        <w:t xml:space="preserve">    t </w:t>
      </w:r>
      <w:r>
        <w:rPr>
          <w:rStyle w:val="OperatorTok"/>
        </w:rPr>
        <w:t xml:space="preserve">=</w:t>
      </w:r>
      <w:r>
        <w:rPr>
          <w:rStyle w:val="NormalTok"/>
        </w:rPr>
        <w:t xml:space="preserve"> Txn(s, o)</w:t>
      </w:r>
      <w:r>
        <w:br/>
      </w:r>
      <w:r>
        <w:rPr>
          <w:rStyle w:val="NormalTok"/>
        </w:rPr>
        <w:t xml:space="preserve">    t.</w:t>
      </w:r>
      <w:r>
        <w:rPr>
          <w:rStyle w:val="BuiltInTok"/>
        </w:rPr>
        <w:t xml:space="preserve">set</w:t>
      </w:r>
      <w:r>
        <w:rPr>
          <w:rStyle w:val="NormalTok"/>
        </w:rPr>
        <w:t xml:space="preserve">(</w:t>
      </w:r>
      <w:r>
        <w:rPr>
          <w:rStyle w:val="StringTok"/>
        </w:rPr>
        <w:t xml:space="preserve">"acct7"</w:t>
      </w:r>
      <w:r>
        <w:rPr>
          <w:rStyle w:val="NormalTok"/>
        </w:rPr>
        <w:t xml:space="preserve">, t.get(</w:t>
      </w:r>
      <w:r>
        <w:rPr>
          <w:rStyle w:val="StringTok"/>
        </w:rPr>
        <w:t xml:space="preserve">"acct7"</w:t>
      </w:r>
      <w:r>
        <w:rPr>
          <w:rStyle w:val="NormalTok"/>
        </w:rPr>
        <w:t xml:space="preserve">) </w:t>
      </w:r>
      <w:r>
        <w:rPr>
          <w:rStyle w:val="OperatorTok"/>
        </w:rPr>
        <w:t xml:space="preserve">-</w:t>
      </w:r>
      <w:r>
        <w:rPr>
          <w:rStyle w:val="NormalTok"/>
        </w:rPr>
        <w:t xml:space="preserve"> amount)</w:t>
      </w:r>
      <w:r>
        <w:br/>
      </w:r>
      <w:r>
        <w:rPr>
          <w:rStyle w:val="NormalTok"/>
        </w:rPr>
        <w:t xml:space="preserve">    t.</w:t>
      </w:r>
      <w:r>
        <w:rPr>
          <w:rStyle w:val="BuiltInTok"/>
        </w:rPr>
        <w:t xml:space="preserve">set</w:t>
      </w:r>
      <w:r>
        <w:rPr>
          <w:rStyle w:val="NormalTok"/>
        </w:rPr>
        <w:t xml:space="preserve">(</w:t>
      </w:r>
      <w:r>
        <w:rPr>
          <w:rStyle w:val="StringTok"/>
        </w:rPr>
        <w:t xml:space="preserve">"acct9"</w:t>
      </w:r>
      <w:r>
        <w:rPr>
          <w:rStyle w:val="NormalTok"/>
        </w:rPr>
        <w:t xml:space="preserve">, t.get(</w:t>
      </w:r>
      <w:r>
        <w:rPr>
          <w:rStyle w:val="StringTok"/>
        </w:rPr>
        <w:t xml:space="preserve">"acct9"</w:t>
      </w:r>
      <w:r>
        <w:rPr>
          <w:rStyle w:val="NormalTok"/>
        </w:rPr>
        <w:t xml:space="preserve">) </w:t>
      </w:r>
      <w:r>
        <w:rPr>
          <w:rStyle w:val="OperatorTok"/>
        </w:rPr>
        <w:t xml:space="preserve">+</w:t>
      </w:r>
      <w:r>
        <w:rPr>
          <w:rStyle w:val="NormalTok"/>
        </w:rPr>
        <w:t xml:space="preserve"> amount)</w:t>
      </w:r>
      <w:r>
        <w:br/>
      </w:r>
      <w:r>
        <w:rPr>
          <w:rStyle w:val="NormalTok"/>
        </w:rPr>
        <w:t xml:space="preserve">    </w:t>
      </w:r>
      <w:r>
        <w:rPr>
          <w:rStyle w:val="ControlFlowTok"/>
        </w:rPr>
        <w:t xml:space="preserve">return</w:t>
      </w:r>
      <w:r>
        <w:rPr>
          <w:rStyle w:val="NormalTok"/>
        </w:rPr>
        <w:t xml:space="preserve"> t.commit(crash)</w:t>
      </w:r>
      <w:r>
        <w:br/>
      </w:r>
      <w:r>
        <w:br/>
      </w:r>
      <w:r>
        <w:br/>
      </w:r>
      <w:r>
        <w:rPr>
          <w:rStyle w:val="KeywordTok"/>
        </w:rPr>
        <w:t xml:space="preserve">def</w:t>
      </w:r>
      <w:r>
        <w:rPr>
          <w:rStyle w:val="NormalTok"/>
        </w:rPr>
        <w:t xml:space="preserve"> balances(s, o):</w:t>
      </w:r>
      <w:r>
        <w:br/>
      </w:r>
      <w:r>
        <w:rPr>
          <w:rStyle w:val="NormalTok"/>
        </w:rPr>
        <w:t xml:space="preserve">    t </w:t>
      </w:r>
      <w:r>
        <w:rPr>
          <w:rStyle w:val="OperatorTok"/>
        </w:rPr>
        <w:t xml:space="preserve">=</w:t>
      </w:r>
      <w:r>
        <w:rPr>
          <w:rStyle w:val="NormalTok"/>
        </w:rPr>
        <w:t xml:space="preserve"> Txn(s, o)</w:t>
      </w:r>
      <w:r>
        <w:br/>
      </w:r>
      <w:r>
        <w:rPr>
          <w:rStyle w:val="NormalTok"/>
        </w:rPr>
        <w:t xml:space="preserve">    </w:t>
      </w:r>
      <w:r>
        <w:rPr>
          <w:rStyle w:val="ControlFlowTok"/>
        </w:rPr>
        <w:t xml:space="preserve">return</w:t>
      </w:r>
      <w:r>
        <w:rPr>
          <w:rStyle w:val="NormalTok"/>
        </w:rPr>
        <w:t xml:space="preserve"> t.get(</w:t>
      </w:r>
      <w:r>
        <w:rPr>
          <w:rStyle w:val="StringTok"/>
        </w:rPr>
        <w:t xml:space="preserve">"acct7"</w:t>
      </w:r>
      <w:r>
        <w:rPr>
          <w:rStyle w:val="NormalTok"/>
        </w:rPr>
        <w:t xml:space="preserve">), t.get(</w:t>
      </w:r>
      <w:r>
        <w:rPr>
          <w:rStyle w:val="StringTok"/>
        </w:rPr>
        <w:t xml:space="preserve">"acct9"</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mmentTok"/>
        </w:rPr>
        <w:t xml:space="preserve"># 1. Snapshot isolation: a reader that started earlier keeps its snapshot.</w:t>
      </w:r>
      <w:r>
        <w:br/>
      </w:r>
      <w:r>
        <w:rPr>
          <w:rStyle w:val="NormalTok"/>
        </w:rPr>
        <w:t xml:space="preserve">    s, o </w:t>
      </w:r>
      <w:r>
        <w:rPr>
          <w:rStyle w:val="OperatorTok"/>
        </w:rPr>
        <w:t xml:space="preserve">=</w:t>
      </w:r>
      <w:r>
        <w:rPr>
          <w:rStyle w:val="NormalTok"/>
        </w:rPr>
        <w:t xml:space="preserve"> setup()</w:t>
      </w:r>
      <w:r>
        <w:br/>
      </w:r>
      <w:r>
        <w:rPr>
          <w:rStyle w:val="NormalTok"/>
        </w:rPr>
        <w:t xml:space="preserve">    old_reader </w:t>
      </w:r>
      <w:r>
        <w:rPr>
          <w:rStyle w:val="OperatorTok"/>
        </w:rPr>
        <w:t xml:space="preserve">=</w:t>
      </w:r>
      <w:r>
        <w:rPr>
          <w:rStyle w:val="NormalTok"/>
        </w:rPr>
        <w:t xml:space="preserve"> Txn(s, o)</w:t>
      </w:r>
      <w:r>
        <w:br/>
      </w:r>
      <w:r>
        <w:rPr>
          <w:rStyle w:val="NormalTok"/>
        </w:rPr>
        <w:t xml:space="preserve">    </w:t>
      </w:r>
      <w:r>
        <w:rPr>
          <w:rStyle w:val="ControlFlowTok"/>
        </w:rPr>
        <w:t xml:space="preserve">assert</w:t>
      </w:r>
      <w:r>
        <w:rPr>
          <w:rStyle w:val="NormalTok"/>
        </w:rPr>
        <w:t xml:space="preserve"> transfer(s, o, </w:t>
      </w:r>
      <w:r>
        <w:rPr>
          <w:rStyle w:val="DecValTok"/>
        </w:rPr>
        <w:t xml:space="preserve">100</w:t>
      </w:r>
      <w:r>
        <w:rPr>
          <w:rStyle w:val="NormalTok"/>
        </w:rPr>
        <w:t xml:space="preserve">)</w:t>
      </w:r>
      <w:r>
        <w:br/>
      </w:r>
      <w:r>
        <w:rPr>
          <w:rStyle w:val="NormalTok"/>
        </w:rPr>
        <w:t xml:space="preserve">    </w:t>
      </w:r>
      <w:r>
        <w:rPr>
          <w:rStyle w:val="ControlFlowTok"/>
        </w:rPr>
        <w:t xml:space="preserve">assert</w:t>
      </w:r>
      <w:r>
        <w:rPr>
          <w:rStyle w:val="NormalTok"/>
        </w:rPr>
        <w:t xml:space="preserve"> (old_reader.get(</w:t>
      </w:r>
      <w:r>
        <w:rPr>
          <w:rStyle w:val="StringTok"/>
        </w:rPr>
        <w:t xml:space="preserve">"acct7"</w:t>
      </w:r>
      <w:r>
        <w:rPr>
          <w:rStyle w:val="NormalTok"/>
        </w:rPr>
        <w:t xml:space="preserve">), old_reader.get(</w:t>
      </w:r>
      <w:r>
        <w:rPr>
          <w:rStyle w:val="StringTok"/>
        </w:rPr>
        <w:t xml:space="preserve">"acct9"</w:t>
      </w:r>
      <w:r>
        <w:rPr>
          <w:rStyle w:val="NormalTok"/>
        </w:rPr>
        <w:t xml:space="preserve">)) </w:t>
      </w:r>
      <w:r>
        <w:rPr>
          <w:rStyle w:val="OperatorTok"/>
        </w:rPr>
        <w:t xml:space="preserve">==</w:t>
      </w:r>
      <w:r>
        <w:rPr>
          <w:rStyle w:val="NormalTok"/>
        </w:rPr>
        <w:t xml:space="preserve"> (</w:t>
      </w:r>
      <w:r>
        <w:rPr>
          <w:rStyle w:val="DecValTok"/>
        </w:rPr>
        <w:t xml:space="preserve">500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assert</w:t>
      </w:r>
      <w:r>
        <w:rPr>
          <w:rStyle w:val="NormalTok"/>
        </w:rPr>
        <w:t xml:space="preserve"> balances(s, o) </w:t>
      </w:r>
      <w:r>
        <w:rPr>
          <w:rStyle w:val="OperatorTok"/>
        </w:rPr>
        <w:t xml:space="preserve">==</w:t>
      </w:r>
      <w:r>
        <w:rPr>
          <w:rStyle w:val="NormalTok"/>
        </w:rPr>
        <w:t xml:space="preserve"> (</w:t>
      </w:r>
      <w:r>
        <w:rPr>
          <w:rStyle w:val="DecValTok"/>
        </w:rPr>
        <w:t xml:space="preserve">400</w:t>
      </w:r>
      <w:r>
        <w:rPr>
          <w:rStyle w:val="NormalTok"/>
        </w:rPr>
        <w:t xml:space="preserve">, </w:t>
      </w:r>
      <w:r>
        <w:rPr>
          <w:rStyle w:val="DecValTok"/>
        </w:rPr>
        <w:t xml:space="preserve">100</w:t>
      </w:r>
      <w:r>
        <w:rPr>
          <w:rStyle w:val="NormalTok"/>
        </w:rPr>
        <w:t xml:space="preserve">)</w:t>
      </w:r>
      <w:r>
        <w:br/>
      </w:r>
      <w:r>
        <w:br/>
      </w:r>
      <w:r>
        <w:rPr>
          <w:rStyle w:val="NormalTok"/>
        </w:rPr>
        <w:t xml:space="preserve">    </w:t>
      </w:r>
      <w:r>
        <w:rPr>
          <w:rStyle w:val="CommentTok"/>
        </w:rPr>
        <w:t xml:space="preserve"># 2. Write-write conflict: the second concurrent writer aborts.</w:t>
      </w:r>
      <w:r>
        <w:br/>
      </w:r>
      <w:r>
        <w:rPr>
          <w:rStyle w:val="NormalTok"/>
        </w:rPr>
        <w:t xml:space="preserve">    s, o </w:t>
      </w:r>
      <w:r>
        <w:rPr>
          <w:rStyle w:val="OperatorTok"/>
        </w:rPr>
        <w:t xml:space="preserve">=</w:t>
      </w:r>
      <w:r>
        <w:rPr>
          <w:rStyle w:val="NormalTok"/>
        </w:rPr>
        <w:t xml:space="preserve"> setup()</w:t>
      </w:r>
      <w:r>
        <w:br/>
      </w:r>
      <w:r>
        <w:rPr>
          <w:rStyle w:val="NormalTok"/>
        </w:rPr>
        <w:t xml:space="preserve">    t1, t2 </w:t>
      </w:r>
      <w:r>
        <w:rPr>
          <w:rStyle w:val="OperatorTok"/>
        </w:rPr>
        <w:t xml:space="preserve">=</w:t>
      </w:r>
      <w:r>
        <w:rPr>
          <w:rStyle w:val="NormalTok"/>
        </w:rPr>
        <w:t xml:space="preserve"> Txn(s, o), Txn(s, o)</w:t>
      </w:r>
      <w:r>
        <w:br/>
      </w:r>
      <w:r>
        <w:rPr>
          <w:rStyle w:val="NormalTok"/>
        </w:rPr>
        <w:t xml:space="preserve">    t1.</w:t>
      </w:r>
      <w:r>
        <w:rPr>
          <w:rStyle w:val="BuiltInTok"/>
        </w:rPr>
        <w:t xml:space="preserve">set</w:t>
      </w:r>
      <w:r>
        <w:rPr>
          <w:rStyle w:val="NormalTok"/>
        </w:rPr>
        <w:t xml:space="preserve">(</w:t>
      </w:r>
      <w:r>
        <w:rPr>
          <w:rStyle w:val="StringTok"/>
        </w:rPr>
        <w:t xml:space="preserve">"acct7"</w:t>
      </w:r>
      <w:r>
        <w:rPr>
          <w:rStyle w:val="NormalTok"/>
        </w:rPr>
        <w:t xml:space="preserve">, </w:t>
      </w:r>
      <w:r>
        <w:rPr>
          <w:rStyle w:val="DecValTok"/>
        </w:rPr>
        <w:t xml:space="preserve">1</w:t>
      </w:r>
      <w:r>
        <w:rPr>
          <w:rStyle w:val="NormalTok"/>
        </w:rPr>
        <w:t xml:space="preserve">)</w:t>
      </w:r>
      <w:r>
        <w:br/>
      </w:r>
      <w:r>
        <w:rPr>
          <w:rStyle w:val="NormalTok"/>
        </w:rPr>
        <w:t xml:space="preserve">    t2.</w:t>
      </w:r>
      <w:r>
        <w:rPr>
          <w:rStyle w:val="BuiltInTok"/>
        </w:rPr>
        <w:t xml:space="preserve">set</w:t>
      </w:r>
      <w:r>
        <w:rPr>
          <w:rStyle w:val="NormalTok"/>
        </w:rPr>
        <w:t xml:space="preserve">(</w:t>
      </w:r>
      <w:r>
        <w:rPr>
          <w:rStyle w:val="StringTok"/>
        </w:rPr>
        <w:t xml:space="preserve">"acct7"</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assert</w:t>
      </w:r>
      <w:r>
        <w:rPr>
          <w:rStyle w:val="NormalTok"/>
        </w:rPr>
        <w:t xml:space="preserve"> t1.commit() </w:t>
      </w:r>
      <w:r>
        <w:rPr>
          <w:rStyle w:val="KeywordTok"/>
        </w:rPr>
        <w:t xml:space="preserve">and</w:t>
      </w:r>
      <w:r>
        <w:rPr>
          <w:rStyle w:val="NormalTok"/>
        </w:rPr>
        <w:t xml:space="preserve"> </w:t>
      </w:r>
      <w:r>
        <w:rPr>
          <w:rStyle w:val="KeywordTok"/>
        </w:rPr>
        <w:t xml:space="preserve">not</w:t>
      </w:r>
      <w:r>
        <w:rPr>
          <w:rStyle w:val="NormalTok"/>
        </w:rPr>
        <w:t xml:space="preserve"> t2.commit()</w:t>
      </w:r>
      <w:r>
        <w:br/>
      </w:r>
      <w:r>
        <w:br/>
      </w:r>
      <w:r>
        <w:rPr>
          <w:rStyle w:val="NormalTok"/>
        </w:rPr>
        <w:t xml:space="preserve">    </w:t>
      </w:r>
      <w:r>
        <w:rPr>
          <w:rStyle w:val="CommentTok"/>
        </w:rPr>
        <w:t xml:space="preserve"># 3. Client dies after committing the primary: a reader rolls the secondary forward.</w:t>
      </w:r>
      <w:r>
        <w:br/>
      </w:r>
      <w:r>
        <w:rPr>
          <w:rStyle w:val="NormalTok"/>
        </w:rPr>
        <w:t xml:space="preserve">    s, o </w:t>
      </w:r>
      <w:r>
        <w:rPr>
          <w:rStyle w:val="OperatorTok"/>
        </w:rPr>
        <w:t xml:space="preserve">=</w:t>
      </w:r>
      <w:r>
        <w:rPr>
          <w:rStyle w:val="NormalTok"/>
        </w:rPr>
        <w:t xml:space="preserve"> setup()</w:t>
      </w:r>
      <w:r>
        <w:br/>
      </w:r>
      <w:r>
        <w:rPr>
          <w:rStyle w:val="NormalTok"/>
        </w:rPr>
        <w:t xml:space="preserve">    </w:t>
      </w:r>
      <w:r>
        <w:rPr>
          <w:rStyle w:val="ControlFlowTok"/>
        </w:rPr>
        <w:t xml:space="preserve">assert</w:t>
      </w:r>
      <w:r>
        <w:rPr>
          <w:rStyle w:val="NormalTok"/>
        </w:rPr>
        <w:t xml:space="preserve"> transfer(s, o, </w:t>
      </w:r>
      <w:r>
        <w:rPr>
          <w:rStyle w:val="DecValTok"/>
        </w:rPr>
        <w:t xml:space="preserve">100</w:t>
      </w:r>
      <w:r>
        <w:rPr>
          <w:rStyle w:val="NormalTok"/>
        </w:rPr>
        <w:t xml:space="preserve">, crash</w:t>
      </w:r>
      <w:r>
        <w:rPr>
          <w:rStyle w:val="OperatorTok"/>
        </w:rPr>
        <w:t xml:space="preserve">=</w:t>
      </w:r>
      <w:r>
        <w:rPr>
          <w:rStyle w:val="StringTok"/>
        </w:rPr>
        <w:t xml:space="preserve">"after_primary"</w:t>
      </w:r>
      <w:r>
        <w:rPr>
          <w:rStyle w:val="NormalTok"/>
        </w:rPr>
        <w:t xml:space="preserve">)</w:t>
      </w:r>
      <w:r>
        <w:br/>
      </w:r>
      <w:r>
        <w:rPr>
          <w:rStyle w:val="NormalTok"/>
        </w:rPr>
        <w:t xml:space="preserve">    </w:t>
      </w:r>
      <w:r>
        <w:rPr>
          <w:rStyle w:val="ControlFlowTok"/>
        </w:rPr>
        <w:t xml:space="preserve">assert</w:t>
      </w:r>
      <w:r>
        <w:rPr>
          <w:rStyle w:val="NormalTok"/>
        </w:rPr>
        <w:t xml:space="preserve"> balances(s, o) </w:t>
      </w:r>
      <w:r>
        <w:rPr>
          <w:rStyle w:val="OperatorTok"/>
        </w:rPr>
        <w:t xml:space="preserve">==</w:t>
      </w:r>
      <w:r>
        <w:rPr>
          <w:rStyle w:val="NormalTok"/>
        </w:rPr>
        <w:t xml:space="preserve"> (</w:t>
      </w:r>
      <w:r>
        <w:rPr>
          <w:rStyle w:val="DecValTok"/>
        </w:rPr>
        <w:t xml:space="preserve">400</w:t>
      </w:r>
      <w:r>
        <w:rPr>
          <w:rStyle w:val="NormalTok"/>
        </w:rPr>
        <w:t xml:space="preserve">, </w:t>
      </w:r>
      <w:r>
        <w:rPr>
          <w:rStyle w:val="DecValTok"/>
        </w:rPr>
        <w:t xml:space="preserve">100</w:t>
      </w:r>
      <w:r>
        <w:rPr>
          <w:rStyle w:val="NormalTok"/>
        </w:rPr>
        <w:t xml:space="preserve">)</w:t>
      </w:r>
      <w:r>
        <w:br/>
      </w:r>
      <w:r>
        <w:br/>
      </w:r>
      <w:r>
        <w:rPr>
          <w:rStyle w:val="NormalTok"/>
        </w:rPr>
        <w:t xml:space="preserve">    </w:t>
      </w:r>
      <w:r>
        <w:rPr>
          <w:rStyle w:val="CommentTok"/>
        </w:rPr>
        <w:t xml:space="preserve"># 4. Client dies before the commit point: a reader rolls everything back.</w:t>
      </w:r>
      <w:r>
        <w:br/>
      </w:r>
      <w:r>
        <w:rPr>
          <w:rStyle w:val="NormalTok"/>
        </w:rPr>
        <w:t xml:space="preserve">    s, o </w:t>
      </w:r>
      <w:r>
        <w:rPr>
          <w:rStyle w:val="OperatorTok"/>
        </w:rPr>
        <w:t xml:space="preserve">=</w:t>
      </w:r>
      <w:r>
        <w:rPr>
          <w:rStyle w:val="NormalTok"/>
        </w:rPr>
        <w:t xml:space="preserve"> setup()</w:t>
      </w:r>
      <w:r>
        <w:br/>
      </w:r>
      <w:r>
        <w:rPr>
          <w:rStyle w:val="NormalTok"/>
        </w:rPr>
        <w:t xml:space="preserve">    transfer(s, o, </w:t>
      </w:r>
      <w:r>
        <w:rPr>
          <w:rStyle w:val="DecValTok"/>
        </w:rPr>
        <w:t xml:space="preserve">100</w:t>
      </w:r>
      <w:r>
        <w:rPr>
          <w:rStyle w:val="NormalTok"/>
        </w:rPr>
        <w:t xml:space="preserve">, crash</w:t>
      </w:r>
      <w:r>
        <w:rPr>
          <w:rStyle w:val="OperatorTok"/>
        </w:rPr>
        <w:t xml:space="preserve">=</w:t>
      </w:r>
      <w:r>
        <w:rPr>
          <w:rStyle w:val="StringTok"/>
        </w:rPr>
        <w:t xml:space="preserve">"before_primary"</w:t>
      </w:r>
      <w:r>
        <w:rPr>
          <w:rStyle w:val="NormalTok"/>
        </w:rPr>
        <w:t xml:space="preserve">)</w:t>
      </w:r>
      <w:r>
        <w:br/>
      </w:r>
      <w:r>
        <w:rPr>
          <w:rStyle w:val="NormalTok"/>
        </w:rPr>
        <w:t xml:space="preserve">    </w:t>
      </w:r>
      <w:r>
        <w:rPr>
          <w:rStyle w:val="ControlFlowTok"/>
        </w:rPr>
        <w:t xml:space="preserve">assert</w:t>
      </w:r>
      <w:r>
        <w:rPr>
          <w:rStyle w:val="NormalTok"/>
        </w:rPr>
        <w:t xml:space="preserve"> balances(s, o) </w:t>
      </w:r>
      <w:r>
        <w:rPr>
          <w:rStyle w:val="OperatorTok"/>
        </w:rPr>
        <w:t xml:space="preserve">==</w:t>
      </w:r>
      <w:r>
        <w:rPr>
          <w:rStyle w:val="NormalTok"/>
        </w:rPr>
        <w:t xml:space="preserve"> (</w:t>
      </w:r>
      <w:r>
        <w:rPr>
          <w:rStyle w:val="DecValTok"/>
        </w:rPr>
        <w:t xml:space="preserve">500</w:t>
      </w:r>
      <w:r>
        <w:rPr>
          <w:rStyle w:val="NormalTok"/>
        </w:rPr>
        <w:t xml:space="preserve">, </w:t>
      </w:r>
      <w:r>
        <w:rPr>
          <w:rStyle w:val="DecValTok"/>
        </w:rPr>
        <w:t xml:space="preserve">0</w:t>
      </w:r>
      <w:r>
        <w:rPr>
          <w:rStyle w:val="NormalTok"/>
        </w:rPr>
        <w:t xml:space="preserve">)</w:t>
      </w:r>
      <w:r>
        <w:br/>
      </w:r>
      <w:r>
        <w:br/>
      </w:r>
      <w:r>
        <w:rPr>
          <w:rStyle w:val="NormalTok"/>
        </w:rPr>
        <w:t xml:space="preserve">    </w:t>
      </w:r>
      <w:r>
        <w:rPr>
          <w:rStyle w:val="CommentTok"/>
        </w:rPr>
        <w:t xml:space="preserve"># 5. Write skew is allowed: invariant acct7 + acct9 &gt;= 0 is violated.</w:t>
      </w:r>
      <w:r>
        <w:br/>
      </w:r>
      <w:r>
        <w:rPr>
          <w:rStyle w:val="NormalTok"/>
        </w:rPr>
        <w:t xml:space="preserve">    s, o </w:t>
      </w:r>
      <w:r>
        <w:rPr>
          <w:rStyle w:val="OperatorTok"/>
        </w:rPr>
        <w:t xml:space="preserve">=</w:t>
      </w:r>
      <w:r>
        <w:rPr>
          <w:rStyle w:val="NormalTok"/>
        </w:rPr>
        <w:t xml:space="preserve"> setup()</w:t>
      </w:r>
      <w:r>
        <w:br/>
      </w:r>
      <w:r>
        <w:rPr>
          <w:rStyle w:val="NormalTok"/>
        </w:rPr>
        <w:t xml:space="preserve">    a, b </w:t>
      </w:r>
      <w:r>
        <w:rPr>
          <w:rStyle w:val="OperatorTok"/>
        </w:rPr>
        <w:t xml:space="preserve">=</w:t>
      </w:r>
      <w:r>
        <w:rPr>
          <w:rStyle w:val="NormalTok"/>
        </w:rPr>
        <w:t xml:space="preserve"> Txn(s, o), Txn(s, o)</w:t>
      </w:r>
      <w:r>
        <w:br/>
      </w:r>
      <w:r>
        <w:rPr>
          <w:rStyle w:val="NormalTok"/>
        </w:rPr>
        <w:t xml:space="preserve">    </w:t>
      </w:r>
      <w:r>
        <w:rPr>
          <w:rStyle w:val="ControlFlowTok"/>
        </w:rPr>
        <w:t xml:space="preserve">if</w:t>
      </w:r>
      <w:r>
        <w:rPr>
          <w:rStyle w:val="NormalTok"/>
        </w:rPr>
        <w:t xml:space="preserve"> a.get(</w:t>
      </w:r>
      <w:r>
        <w:rPr>
          <w:rStyle w:val="StringTok"/>
        </w:rPr>
        <w:t xml:space="preserve">"acct7"</w:t>
      </w:r>
      <w:r>
        <w:rPr>
          <w:rStyle w:val="NormalTok"/>
        </w:rPr>
        <w:t xml:space="preserve">) </w:t>
      </w:r>
      <w:r>
        <w:rPr>
          <w:rStyle w:val="OperatorTok"/>
        </w:rPr>
        <w:t xml:space="preserve">+</w:t>
      </w:r>
      <w:r>
        <w:rPr>
          <w:rStyle w:val="NormalTok"/>
        </w:rPr>
        <w:t xml:space="preserve"> a.get(</w:t>
      </w:r>
      <w:r>
        <w:rPr>
          <w:rStyle w:val="StringTok"/>
        </w:rPr>
        <w:t xml:space="preserve">"acct9"</w:t>
      </w:r>
      <w:r>
        <w:rPr>
          <w:rStyle w:val="NormalTok"/>
        </w:rPr>
        <w:t xml:space="preserve">) </w:t>
      </w:r>
      <w:r>
        <w:rPr>
          <w:rStyle w:val="OperatorTok"/>
        </w:rPr>
        <w:t xml:space="preserve">&gt;=</w:t>
      </w:r>
      <w:r>
        <w:rPr>
          <w:rStyle w:val="NormalTok"/>
        </w:rPr>
        <w:t xml:space="preserve"> </w:t>
      </w:r>
      <w:r>
        <w:rPr>
          <w:rStyle w:val="DecValTok"/>
        </w:rPr>
        <w:t xml:space="preserve">400</w:t>
      </w:r>
      <w:r>
        <w:rPr>
          <w:rStyle w:val="NormalTok"/>
        </w:rPr>
        <w:t xml:space="preserve">:</w:t>
      </w:r>
      <w:r>
        <w:br/>
      </w:r>
      <w:r>
        <w:rPr>
          <w:rStyle w:val="NormalTok"/>
        </w:rPr>
        <w:t xml:space="preserve">        a.</w:t>
      </w:r>
      <w:r>
        <w:rPr>
          <w:rStyle w:val="BuiltInTok"/>
        </w:rPr>
        <w:t xml:space="preserve">set</w:t>
      </w:r>
      <w:r>
        <w:rPr>
          <w:rStyle w:val="NormalTok"/>
        </w:rPr>
        <w:t xml:space="preserve">(</w:t>
      </w:r>
      <w:r>
        <w:rPr>
          <w:rStyle w:val="StringTok"/>
        </w:rPr>
        <w:t xml:space="preserve">"acct7"</w:t>
      </w:r>
      <w:r>
        <w:rPr>
          <w:rStyle w:val="NormalTok"/>
        </w:rPr>
        <w:t xml:space="preserve">, a.get(</w:t>
      </w:r>
      <w:r>
        <w:rPr>
          <w:rStyle w:val="StringTok"/>
        </w:rPr>
        <w:t xml:space="preserve">"acct7"</w:t>
      </w:r>
      <w:r>
        <w:rPr>
          <w:rStyle w:val="NormalTok"/>
        </w:rPr>
        <w:t xml:space="preserve">) </w:t>
      </w:r>
      <w:r>
        <w:rPr>
          <w:rStyle w:val="OperatorTok"/>
        </w:rPr>
        <w:t xml:space="preserve">-</w:t>
      </w:r>
      <w:r>
        <w:rPr>
          <w:rStyle w:val="NormalTok"/>
        </w:rPr>
        <w:t xml:space="preserve"> </w:t>
      </w:r>
      <w:r>
        <w:rPr>
          <w:rStyle w:val="DecValTok"/>
        </w:rPr>
        <w:t xml:space="preserve">400</w:t>
      </w:r>
      <w:r>
        <w:rPr>
          <w:rStyle w:val="NormalTok"/>
        </w:rPr>
        <w:t xml:space="preserve">)      </w:t>
      </w:r>
      <w:r>
        <w:rPr>
          <w:rStyle w:val="CommentTok"/>
        </w:rPr>
        <w:t xml:space="preserve"># writes acct7 only</w:t>
      </w:r>
      <w:r>
        <w:br/>
      </w:r>
      <w:r>
        <w:rPr>
          <w:rStyle w:val="NormalTok"/>
        </w:rPr>
        <w:t xml:space="preserve">    </w:t>
      </w:r>
      <w:r>
        <w:rPr>
          <w:rStyle w:val="ControlFlowTok"/>
        </w:rPr>
        <w:t xml:space="preserve">if</w:t>
      </w:r>
      <w:r>
        <w:rPr>
          <w:rStyle w:val="NormalTok"/>
        </w:rPr>
        <w:t xml:space="preserve"> b.get(</w:t>
      </w:r>
      <w:r>
        <w:rPr>
          <w:rStyle w:val="StringTok"/>
        </w:rPr>
        <w:t xml:space="preserve">"acct7"</w:t>
      </w:r>
      <w:r>
        <w:rPr>
          <w:rStyle w:val="NormalTok"/>
        </w:rPr>
        <w:t xml:space="preserve">) </w:t>
      </w:r>
      <w:r>
        <w:rPr>
          <w:rStyle w:val="OperatorTok"/>
        </w:rPr>
        <w:t xml:space="preserve">+</w:t>
      </w:r>
      <w:r>
        <w:rPr>
          <w:rStyle w:val="NormalTok"/>
        </w:rPr>
        <w:t xml:space="preserve"> b.get(</w:t>
      </w:r>
      <w:r>
        <w:rPr>
          <w:rStyle w:val="StringTok"/>
        </w:rPr>
        <w:t xml:space="preserve">"acct9"</w:t>
      </w:r>
      <w:r>
        <w:rPr>
          <w:rStyle w:val="NormalTok"/>
        </w:rPr>
        <w:t xml:space="preserve">) </w:t>
      </w:r>
      <w:r>
        <w:rPr>
          <w:rStyle w:val="OperatorTok"/>
        </w:rPr>
        <w:t xml:space="preserve">&gt;=</w:t>
      </w:r>
      <w:r>
        <w:rPr>
          <w:rStyle w:val="NormalTok"/>
        </w:rPr>
        <w:t xml:space="preserve"> </w:t>
      </w:r>
      <w:r>
        <w:rPr>
          <w:rStyle w:val="DecValTok"/>
        </w:rPr>
        <w:t xml:space="preserve">400</w:t>
      </w:r>
      <w:r>
        <w:rPr>
          <w:rStyle w:val="NormalTok"/>
        </w:rPr>
        <w:t xml:space="preserve">:</w:t>
      </w:r>
      <w:r>
        <w:br/>
      </w:r>
      <w:r>
        <w:rPr>
          <w:rStyle w:val="NormalTok"/>
        </w:rPr>
        <w:t xml:space="preserve">        b.</w:t>
      </w:r>
      <w:r>
        <w:rPr>
          <w:rStyle w:val="BuiltInTok"/>
        </w:rPr>
        <w:t xml:space="preserve">set</w:t>
      </w:r>
      <w:r>
        <w:rPr>
          <w:rStyle w:val="NormalTok"/>
        </w:rPr>
        <w:t xml:space="preserve">(</w:t>
      </w:r>
      <w:r>
        <w:rPr>
          <w:rStyle w:val="StringTok"/>
        </w:rPr>
        <w:t xml:space="preserve">"acct9"</w:t>
      </w:r>
      <w:r>
        <w:rPr>
          <w:rStyle w:val="NormalTok"/>
        </w:rPr>
        <w:t xml:space="preserve">, b.get(</w:t>
      </w:r>
      <w:r>
        <w:rPr>
          <w:rStyle w:val="StringTok"/>
        </w:rPr>
        <w:t xml:space="preserve">"acct9"</w:t>
      </w:r>
      <w:r>
        <w:rPr>
          <w:rStyle w:val="NormalTok"/>
        </w:rPr>
        <w:t xml:space="preserve">) </w:t>
      </w:r>
      <w:r>
        <w:rPr>
          <w:rStyle w:val="OperatorTok"/>
        </w:rPr>
        <w:t xml:space="preserve">-</w:t>
      </w:r>
      <w:r>
        <w:rPr>
          <w:rStyle w:val="NormalTok"/>
        </w:rPr>
        <w:t xml:space="preserve"> </w:t>
      </w:r>
      <w:r>
        <w:rPr>
          <w:rStyle w:val="DecValTok"/>
        </w:rPr>
        <w:t xml:space="preserve">400</w:t>
      </w:r>
      <w:r>
        <w:rPr>
          <w:rStyle w:val="NormalTok"/>
        </w:rPr>
        <w:t xml:space="preserve">)      </w:t>
      </w:r>
      <w:r>
        <w:rPr>
          <w:rStyle w:val="CommentTok"/>
        </w:rPr>
        <w:t xml:space="preserve"># writes acct9 only</w:t>
      </w:r>
      <w:r>
        <w:br/>
      </w:r>
      <w:r>
        <w:rPr>
          <w:rStyle w:val="NormalTok"/>
        </w:rPr>
        <w:t xml:space="preserve">    </w:t>
      </w:r>
      <w:r>
        <w:rPr>
          <w:rStyle w:val="ControlFlowTok"/>
        </w:rPr>
        <w:t xml:space="preserve">assert</w:t>
      </w:r>
      <w:r>
        <w:rPr>
          <w:rStyle w:val="NormalTok"/>
        </w:rPr>
        <w:t xml:space="preserve"> a.commit() </w:t>
      </w:r>
      <w:r>
        <w:rPr>
          <w:rStyle w:val="KeywordTok"/>
        </w:rPr>
        <w:t xml:space="preserve">and</w:t>
      </w:r>
      <w:r>
        <w:rPr>
          <w:rStyle w:val="NormalTok"/>
        </w:rPr>
        <w:t xml:space="preserve"> b.commit()</w:t>
      </w:r>
      <w:r>
        <w:br/>
      </w:r>
      <w:r>
        <w:rPr>
          <w:rStyle w:val="NormalTok"/>
        </w:rPr>
        <w:t xml:space="preserve">    </w:t>
      </w:r>
      <w:r>
        <w:rPr>
          <w:rStyle w:val="BuiltInTok"/>
        </w:rPr>
        <w:t xml:space="preserve">print</w:t>
      </w:r>
      <w:r>
        <w:rPr>
          <w:rStyle w:val="NormalTok"/>
        </w:rPr>
        <w:t xml:space="preserve">(</w:t>
      </w:r>
      <w:r>
        <w:rPr>
          <w:rStyle w:val="StringTok"/>
        </w:rPr>
        <w:t xml:space="preserve">"after write skew:"</w:t>
      </w:r>
      <w:r>
        <w:rPr>
          <w:rStyle w:val="NormalTok"/>
        </w:rPr>
        <w:t xml:space="preserve">, balances(s, o), </w:t>
      </w:r>
      <w:r>
        <w:rPr>
          <w:rStyle w:val="StringTok"/>
        </w:rPr>
        <w:t xml:space="preserve">"sum ="</w:t>
      </w:r>
      <w:r>
        <w:rPr>
          <w:rStyle w:val="NormalTok"/>
        </w:rPr>
        <w:t xml:space="preserve">, </w:t>
      </w:r>
      <w:r>
        <w:rPr>
          <w:rStyle w:val="BuiltInTok"/>
        </w:rPr>
        <w:t xml:space="preserve">sum</w:t>
      </w:r>
      <w:r>
        <w:rPr>
          <w:rStyle w:val="NormalTok"/>
        </w:rPr>
        <w:t xml:space="preserve">(balances(s, o)))</w:t>
      </w:r>
      <w:r>
        <w:br/>
      </w:r>
      <w:r>
        <w:rPr>
          <w:rStyle w:val="NormalTok"/>
        </w:rPr>
        <w:t xml:space="preserve">    </w:t>
      </w:r>
      <w:r>
        <w:rPr>
          <w:rStyle w:val="BuiltInTok"/>
        </w:rPr>
        <w:t xml:space="preserve">print</w:t>
      </w:r>
      <w:r>
        <w:rPr>
          <w:rStyle w:val="NormalTok"/>
        </w:rPr>
        <w:t xml:space="preserve">(</w:t>
      </w:r>
      <w:r>
        <w:rPr>
          <w:rStyle w:val="StringTok"/>
        </w:rPr>
        <w:t xml:space="preserve">"all Percolator scenarios passed"</w:t>
      </w:r>
      <w:r>
        <w:rPr>
          <w:rStyle w:val="NormalTok"/>
        </w:rPr>
        <w:t xml:space="preserve">)</w:t>
      </w:r>
    </w:p>
    <w:p>
      <w:pPr>
        <w:pStyle w:val="FirstParagraph"/>
      </w:pPr>
      <w:r>
        <w:t xml:space="preserve">Output:</w:t>
      </w:r>
    </w:p>
    <w:p>
      <w:pPr>
        <w:pStyle w:val="SourceCode"/>
      </w:pPr>
      <w:r>
        <w:rPr>
          <w:rStyle w:val="VerbatimChar"/>
        </w:rPr>
        <w:t xml:space="preserve">after write skew: (100, -400) sum = -300</w:t>
      </w:r>
      <w:r>
        <w:br/>
      </w:r>
      <w:r>
        <w:rPr>
          <w:rStyle w:val="VerbatimChar"/>
        </w:rPr>
        <w:t xml:space="preserve">all Percolator scenarios passed</w:t>
      </w:r>
    </w:p>
    <w:p>
      <w:pPr>
        <w:pStyle w:val="FirstParagraph"/>
      </w:pPr>
      <w:r>
        <w:t xml:space="preserve">What to notice:</w:t>
      </w:r>
    </w:p>
    <w:p>
      <w:pPr>
        <w:numPr>
          <w:ilvl w:val="0"/>
          <w:numId w:val="1922"/>
        </w:numPr>
        <w:pStyle w:val="Compact"/>
      </w:pPr>
      <w:r>
        <w:t xml:space="preserve">Scenario 3 is the heart of the protocol: the client</w:t>
      </w:r>
      <w:r>
        <w:t xml:space="preserve"> </w:t>
      </w:r>
      <w:r>
        <w:t xml:space="preserve">“</w:t>
      </w:r>
      <w:r>
        <w:t xml:space="preserve">dies</w:t>
      </w:r>
      <w:r>
        <w:t xml:space="preserve">”</w:t>
      </w:r>
      <w:r>
        <w:t xml:space="preserve"> </w:t>
      </w:r>
      <w:r>
        <w:t xml:space="preserve">right after deleting the primary lock, yet the next reader returns (400, 100) because</w:t>
      </w:r>
      <w:r>
        <w:t xml:space="preserve"> </w:t>
      </w:r>
      <w:r>
        <w:rPr>
          <w:rStyle w:val="VerbatimChar"/>
        </w:rPr>
        <w:t xml:space="preserve">_cleanup</w:t>
      </w:r>
      <w:r>
        <w:t xml:space="preserve"> </w:t>
      </w:r>
      <w:r>
        <w:t xml:space="preserve">finds the primary’s</w:t>
      </w:r>
      <w:r>
        <w:t xml:space="preserve"> </w:t>
      </w:r>
      <w:r>
        <w:rPr>
          <w:rStyle w:val="VerbatimChar"/>
        </w:rPr>
        <w:t xml:space="preserve">write</w:t>
      </w:r>
      <w:r>
        <w:t xml:space="preserve"> </w:t>
      </w:r>
      <w:r>
        <w:t xml:space="preserve">record and rolls</w:t>
      </w:r>
      <w:r>
        <w:t xml:space="preserve"> </w:t>
      </w:r>
      <w:r>
        <w:rPr>
          <w:rStyle w:val="VerbatimChar"/>
        </w:rPr>
        <w:t xml:space="preserve">acct9</w:t>
      </w:r>
      <w:r>
        <w:t xml:space="preserve"> </w:t>
      </w:r>
      <w:r>
        <w:t xml:space="preserve">forward.</w:t>
      </w:r>
    </w:p>
    <w:p>
      <w:pPr>
        <w:numPr>
          <w:ilvl w:val="0"/>
          <w:numId w:val="1922"/>
        </w:numPr>
        <w:pStyle w:val="Compact"/>
      </w:pPr>
      <w:r>
        <w:t xml:space="preserve">Scenario 4 is the mirror image: with the primary lock still present, the reader rolls the whole transaction back. No coordinator was needed in either case.</w:t>
      </w:r>
    </w:p>
    <w:p>
      <w:pPr>
        <w:numPr>
          <w:ilvl w:val="0"/>
          <w:numId w:val="1922"/>
        </w:numPr>
        <w:pStyle w:val="Compact"/>
      </w:pPr>
      <w:r>
        <w:t xml:space="preserve">Scenario 5 is write skew (§28.3.3). The two transactions write disjoint rows, so no write-write check fires, and the customer ends $300 overdrawn. TiDB users avoid this with</w:t>
      </w:r>
      <w:r>
        <w:t xml:space="preserve"> </w:t>
      </w:r>
      <w:r>
        <w:rPr>
          <w:rStyle w:val="VerbatimChar"/>
        </w:rPr>
        <w:t xml:space="preserve">SELECT ... FOR UPDATE</w:t>
      </w:r>
      <w:r>
        <w:t xml:space="preserve"> </w:t>
      </w:r>
      <w:r>
        <w:t xml:space="preserve">on both rows.</w:t>
      </w:r>
    </w:p>
    <w:p>
      <w:pPr>
        <w:pStyle w:val="CalloutIndustry"/>
      </w:pPr>
      <w:r>
        <w:rPr>
          <w:bCs/>
          <w:b/>
        </w:rPr>
        <w:t xml:space="preserve">INDUSTRY EXAMPLE</w:t>
      </w:r>
    </w:p>
    <w:p>
      <w:pPr>
        <w:pStyle w:val="CalloutIndustry"/>
      </w:pPr>
      <w:r>
        <w:rPr>
          <w:bCs/>
          <w:b/>
        </w:rPr>
        <w:t xml:space="preserve">Google Percolator — incremental web indexing.</w:t>
      </w:r>
      <w:r>
        <w:t xml:space="preserve"> </w:t>
      </w:r>
      <w:r>
        <w:t xml:space="preserve">Google replaced batch MapReduce index builds with Percolator-based incremental processing for its Caffeine indexing system. Transactions spanning many Bigtable rows and tables update the index as each document is crawled, with observers triggered by notifications. The trade-off was explicit: per-document processing used substantially more resources than batch processing, in exchange for much fresher results.</w:t>
      </w:r>
      <w:r>
        <w:t xml:space="preserve"> </w:t>
      </w:r>
      <w:r>
        <w:rPr>
          <w:iCs/>
          <w:i/>
        </w:rPr>
        <w:t xml:space="preserve">Evidence: Primary</w:t>
      </w:r>
      <w:r>
        <w:t xml:space="preserve"> </w:t>
      </w:r>
      <w:r>
        <w:t xml:space="preserve">— [Peng and Dabek 2010]</w:t>
      </w:r>
    </w:p>
    <w:p>
      <w:pPr>
        <w:pStyle w:val="CalloutMistake"/>
      </w:pPr>
      <w:r>
        <w:rPr>
          <w:bCs/>
          <w:b/>
        </w:rPr>
        <w:t xml:space="preserve">COMMON MISTAKE</w:t>
      </w:r>
    </w:p>
    <w:p>
      <w:pPr>
        <w:pStyle w:val="CalloutMistake"/>
      </w:pPr>
      <w:r>
        <w:rPr>
          <w:bCs/>
          <w:b/>
        </w:rPr>
        <w:t xml:space="preserve">Common misconception —</w:t>
      </w:r>
      <w:r>
        <w:rPr>
          <w:bCs/>
          <w:b/>
        </w:rPr>
        <w:t xml:space="preserve"> </w:t>
      </w:r>
      <w:r>
        <w:rPr>
          <w:bCs/>
          <w:b/>
        </w:rPr>
        <w:t xml:space="preserve">“</w:t>
      </w:r>
      <w:r>
        <w:rPr>
          <w:bCs/>
          <w:b/>
        </w:rPr>
        <w:t xml:space="preserve">A leftover lock means data loss.</w:t>
      </w:r>
      <w:r>
        <w:rPr>
          <w:bCs/>
          <w:b/>
        </w:rPr>
        <w:t xml:space="preserve">”</w:t>
      </w:r>
      <w:r>
        <w:t xml:space="preserve"> </w:t>
      </w:r>
      <w:r>
        <w:t xml:space="preserve">A Percolator lock left by a dead client is an unresolved, not a lost, transaction. Its fate is already fixed by the primary row; the first reader that needs the cell resolves it. What it costs is latency: readers wait, then pay for the cleanup.</w:t>
      </w:r>
    </w:p>
    <w:bookmarkEnd w:id="3180"/>
    <w:bookmarkEnd w:id="3181"/>
    <w:bookmarkStart w:id="3195" w:name="spanner-and-truetime"/>
    <w:p>
      <w:pPr>
        <w:pStyle w:val="Heading2"/>
      </w:pPr>
      <w:r>
        <w:t xml:space="preserve">28.8 Spanner and TrueTime</w:t>
      </w:r>
    </w:p>
    <w:bookmarkStart w:id="3184" w:name="the-truetime-api"/>
    <w:p>
      <w:pPr>
        <w:pStyle w:val="Heading3"/>
      </w:pPr>
      <w:r>
        <w:t xml:space="preserve">28.8.1 The TrueTime API</w:t>
      </w:r>
    </w:p>
    <w:p>
      <w:pPr>
        <w:pStyle w:val="CalloutDefinition"/>
      </w:pPr>
      <w:r>
        <w:rPr>
          <w:bCs/>
          <w:b/>
        </w:rPr>
        <w:t xml:space="preserve">DEFINITION</w:t>
      </w:r>
    </w:p>
    <w:p>
      <w:pPr>
        <w:pStyle w:val="CalloutDefinition"/>
      </w:pPr>
      <w:r>
        <w:rPr>
          <w:bCs/>
          <w:b/>
        </w:rPr>
        <w:t xml:space="preserve">Definition — TrueTime.</w:t>
      </w:r>
      <w:r>
        <w:t xml:space="preserve"> </w:t>
      </w:r>
      <w:r>
        <w:t xml:space="preserve">Google’s clock API that returns time as an interval with a guaranteed error bound instead of a single value.</w:t>
      </w:r>
      <w:r>
        <w:t xml:space="preserve"> </w:t>
      </w:r>
      <w:r>
        <w:rPr>
          <w:rStyle w:val="VerbatimChar"/>
        </w:rPr>
        <w:t xml:space="preserve">TT.now()</w:t>
      </w:r>
      <w:r>
        <w:t xml:space="preserve"> </w:t>
      </w:r>
      <w:r>
        <w:t xml:space="preserve">returns</w:t>
      </w:r>
      <w:r>
        <w:t xml:space="preserve"> </w:t>
      </w:r>
      <m:oMath>
        <m:d>
          <m:dPr>
            <m:begChr m:val="["/>
            <m:endChr m:val="]"/>
            <m:sepChr m:val=""/>
            <m:grow/>
          </m:dPr>
          <m:e>
            <m:r>
              <m:rPr>
                <m:nor/>
                <m:sty m:val="i"/>
              </m:rPr>
              <m:t>earliest</m:t>
            </m:r>
            <m:r>
              <m:rPr>
                <m:sty m:val="p"/>
              </m:rPr>
              <m:t>,</m:t>
            </m:r>
            <m:r>
              <m:rPr>
                <m:nor/>
                <m:sty m:val="i"/>
              </m:rPr>
              <m:t>latest</m:t>
            </m:r>
          </m:e>
        </m:d>
      </m:oMath>
      <w:r>
        <w:t xml:space="preserve">, guaranteed to contain the absolute time at which it was called;</w:t>
      </w:r>
      <w:r>
        <w:t xml:space="preserve"> </w:t>
      </w:r>
      <w:r>
        <w:rPr>
          <w:rStyle w:val="VerbatimChar"/>
        </w:rPr>
        <w:t xml:space="preserve">TT.after(t)</w:t>
      </w:r>
      <w:r>
        <w:t xml:space="preserve"> </w:t>
      </w:r>
      <w:r>
        <w:t xml:space="preserve">is true if</w:t>
      </w:r>
      <w:r>
        <w:t xml:space="preserve"> </w:t>
      </w:r>
      <m:oMath>
        <m:r>
          <m:t>t</m:t>
        </m:r>
      </m:oMath>
      <w:r>
        <w:t xml:space="preserve"> </w:t>
      </w:r>
      <w:r>
        <w:t xml:space="preserve">has definitely passed, and</w:t>
      </w:r>
      <w:r>
        <w:t xml:space="preserve"> </w:t>
      </w:r>
      <w:r>
        <w:rPr>
          <w:rStyle w:val="VerbatimChar"/>
        </w:rPr>
        <w:t xml:space="preserve">TT.before(t)</w:t>
      </w:r>
      <w:r>
        <w:t xml:space="preserve"> </w:t>
      </w:r>
      <w:r>
        <w:t xml:space="preserve">is true if</w:t>
      </w:r>
      <w:r>
        <w:t xml:space="preserve"> </w:t>
      </w:r>
      <m:oMath>
        <m:r>
          <m:t>t</m:t>
        </m:r>
      </m:oMath>
      <w:r>
        <w:t xml:space="preserve"> </w:t>
      </w:r>
      <w:r>
        <w:t xml:space="preserve">has definitely not arrived. The half-width of the interval is the</w:t>
      </w:r>
      <w:r>
        <w:t xml:space="preserve"> </w:t>
      </w:r>
      <w:r>
        <w:rPr>
          <w:bCs/>
          <w:b/>
        </w:rPr>
        <w:t xml:space="preserve">uncertainty</w:t>
      </w:r>
      <w:r>
        <w:t xml:space="preserve"> </w:t>
      </w:r>
      <m:oMath>
        <m:r>
          <m:t>ε</m:t>
        </m:r>
      </m:oMath>
      <w:r>
        <w:t xml:space="preserve"> </w:t>
      </w:r>
      <w:r>
        <w:t xml:space="preserve">[Corbett et al. 2012].</w:t>
      </w:r>
    </w:p>
    <w:bookmarkStart w:id="3182" w:name="first-principles-explanation-153"/>
    <w:p>
      <w:pPr>
        <w:pStyle w:val="Heading4"/>
      </w:pPr>
      <w:r>
        <w:t xml:space="preserve">First-principles explanation</w:t>
      </w:r>
    </w:p>
    <w:p>
      <w:pPr>
        <w:pStyle w:val="FirstParagraph"/>
      </w:pPr>
      <w:r>
        <w:t xml:space="preserve">Ordinary clocks lie with confidence: a server says 12:00:00.000 when the true time might be 11:59:59.950 (§24.9). TrueTime is a clock that admits its error:</w:t>
      </w:r>
      <w:r>
        <w:t xml:space="preserve"> </w:t>
      </w:r>
      <w:r>
        <w:t xml:space="preserve">“</w:t>
      </w:r>
      <w:r>
        <w:t xml:space="preserve">it is between 11:59:59.996 and 12:00:00.004</w:t>
      </w:r>
      <w:r>
        <w:t xml:space="preserve">”</w:t>
      </w:r>
      <w:r>
        <w:t xml:space="preserve">. To be sure an event happens after time</w:t>
      </w:r>
      <w:r>
        <w:t xml:space="preserve"> </w:t>
      </w:r>
      <m:oMath>
        <m:r>
          <m:t>s</m:t>
        </m:r>
      </m:oMath>
      <w:r>
        <w:t xml:space="preserve"> </w:t>
      </w:r>
      <w:r>
        <w:t xml:space="preserve">everywhere, wait until your clock’s</w:t>
      </w:r>
      <w:r>
        <w:t xml:space="preserve"> </w:t>
      </w:r>
      <w:r>
        <w:rPr>
          <w:iCs/>
          <w:i/>
        </w:rPr>
        <w:t xml:space="preserve">earliest</w:t>
      </w:r>
      <w:r>
        <w:t xml:space="preserve"> </w:t>
      </w:r>
      <w:r>
        <w:t xml:space="preserve">possible reading has passed</w:t>
      </w:r>
      <w:r>
        <w:t xml:space="preserve"> </w:t>
      </w:r>
      <m:oMath>
        <m:r>
          <m:t>s</m:t>
        </m:r>
      </m:oMath>
      <w:r>
        <w:t xml:space="preserve">.</w:t>
      </w:r>
    </w:p>
    <w:bookmarkEnd w:id="3182"/>
    <w:bookmarkStart w:id="3183" w:name="how-it-works-internally-107"/>
    <w:p>
      <w:pPr>
        <w:pStyle w:val="Heading4"/>
      </w:pPr>
      <w:r>
        <w:t xml:space="preserve">How it works internally</w:t>
      </w:r>
    </w:p>
    <w:p>
      <w:pPr>
        <w:pStyle w:val="FirstParagraph"/>
      </w:pPr>
      <w:r>
        <w:t xml:space="preserve">Each datacenter has</w:t>
      </w:r>
      <w:r>
        <w:t xml:space="preserve"> </w:t>
      </w:r>
      <w:r>
        <w:rPr>
          <w:bCs/>
          <w:b/>
        </w:rPr>
        <w:t xml:space="preserve">time masters</w:t>
      </w:r>
      <w:r>
        <w:t xml:space="preserve"> </w:t>
      </w:r>
      <w:r>
        <w:t xml:space="preserve">with GPS receivers and some with atomic clocks, which fail in different ways. A daemon on every machine polls several masters, rejects outliers and derives</w:t>
      </w:r>
      <w:r>
        <w:t xml:space="preserve"> </w:t>
      </w:r>
      <m:oMath>
        <m:r>
          <m:t>ε</m:t>
        </m:r>
      </m:oMath>
      <w:r>
        <w:t xml:space="preserve"> </w:t>
      </w:r>
      <w:r>
        <w:t xml:space="preserve">from the masters’ uncertainty, communication delay and a conservatively assumed local drift between polls (the paper uses 200 µs/s). In the 2012 paper,</w:t>
      </w:r>
      <w:r>
        <w:t xml:space="preserve"> </w:t>
      </w:r>
      <m:oMath>
        <m:r>
          <m:t>ε</m:t>
        </m:r>
      </m:oMath>
      <w:r>
        <w:t xml:space="preserve"> </w:t>
      </w:r>
      <w:r>
        <w:t xml:space="preserve">followed a sawtooth from about 1 to 7 ms over each 30-second polling interval, averaging about 4 ms [Corbett et al. 2012]. If a machine’s clock drifts or loses contact with masters,</w:t>
      </w:r>
      <w:r>
        <w:t xml:space="preserve"> </w:t>
      </w:r>
      <m:oMath>
        <m:r>
          <m:t>ε</m:t>
        </m:r>
      </m:oMath>
      <w:r>
        <w:t xml:space="preserve"> </w:t>
      </w:r>
      <w:r>
        <w:t xml:space="preserve">grows; it never silently becomes wrong.</w:t>
      </w:r>
    </w:p>
    <w:bookmarkEnd w:id="3183"/>
    <w:bookmarkEnd w:id="3184"/>
    <w:bookmarkStart w:id="3191" w:name="read-write-transactions-and-commit-wait"/>
    <w:p>
      <w:pPr>
        <w:pStyle w:val="Heading3"/>
      </w:pPr>
      <w:r>
        <w:t xml:space="preserve">28.8.2 Read-write transactions and commit wait</w:t>
      </w:r>
    </w:p>
    <w:p>
      <w:pPr>
        <w:pStyle w:val="FirstParagraph"/>
      </w:pPr>
      <w:r>
        <w:t xml:space="preserve">Spanner shards data into</w:t>
      </w:r>
      <w:r>
        <w:t xml:space="preserve"> </w:t>
      </w:r>
      <w:r>
        <w:rPr>
          <w:bCs/>
          <w:b/>
        </w:rPr>
        <w:t xml:space="preserve">splits</w:t>
      </w:r>
      <w:r>
        <w:t xml:space="preserve"> </w:t>
      </w:r>
      <w:r>
        <w:t xml:space="preserve">replicated by Multi-Paxos groups spread over zones; each group’s leader holds a time-based leader lease (§26.11) and a lock table, and runs two-phase locking for read-write transactions. A transaction that touches several groups runs 2PC across them (§28.4.8), with one group’s leader as coordinator.</w:t>
      </w:r>
    </w:p>
    <w:p>
      <w:pPr>
        <w:numPr>
          <w:ilvl w:val="0"/>
          <w:numId w:val="1923"/>
        </w:numPr>
        <w:pStyle w:val="Compact"/>
      </w:pPr>
      <w:r>
        <w:t xml:space="preserve">The client buffers writes and acquires read locks at participant leaders as it reads.</w:t>
      </w:r>
    </w:p>
    <w:p>
      <w:pPr>
        <w:numPr>
          <w:ilvl w:val="0"/>
          <w:numId w:val="1923"/>
        </w:numPr>
        <w:pStyle w:val="Compact"/>
      </w:pPr>
      <w:r>
        <w:t xml:space="preserve">At commit, each participant leader acquires write locks, chooses a</w:t>
      </w:r>
      <w:r>
        <w:t xml:space="preserve"> </w:t>
      </w:r>
      <w:r>
        <w:rPr>
          <w:bCs/>
          <w:b/>
        </w:rPr>
        <w:t xml:space="preserve">prepare timestamp</w:t>
      </w:r>
      <w:r>
        <w:t xml:space="preserve"> </w:t>
      </w:r>
      <w:r>
        <w:t xml:space="preserve">larger than any timestamp it has assigned, and logs a prepare record through Paxos.</w:t>
      </w:r>
    </w:p>
    <w:p>
      <w:pPr>
        <w:numPr>
          <w:ilvl w:val="0"/>
          <w:numId w:val="1923"/>
        </w:numPr>
        <w:pStyle w:val="Compact"/>
      </w:pPr>
      <w:r>
        <w:t xml:space="preserve">The coordinator leader, after receiving all prepare timestamps, chooses the</w:t>
      </w:r>
      <w:r>
        <w:t xml:space="preserve"> </w:t>
      </w:r>
      <w:r>
        <w:rPr>
          <w:bCs/>
          <w:b/>
        </w:rPr>
        <w:t xml:space="preserve">commit timestamp</w:t>
      </w:r>
      <w:r>
        <w:t xml:space="preserve"> </w:t>
      </w:r>
      <m:oMath>
        <m:r>
          <m:t>s</m:t>
        </m:r>
      </m:oMath>
      <w:r>
        <w:t xml:space="preserve">: at least every prepare timestamp, greater than</w:t>
      </w:r>
      <w:r>
        <w:t xml:space="preserve"> </w:t>
      </w:r>
      <w:r>
        <w:rPr>
          <w:rStyle w:val="VerbatimChar"/>
        </w:rPr>
        <w:t xml:space="preserve">TT.now().latest</w:t>
      </w:r>
      <w:r>
        <w:t xml:space="preserve"> </w:t>
      </w:r>
      <w:r>
        <w:t xml:space="preserve">at the moment it received the commit request, and greater than any timestamp it has assigned.</w:t>
      </w:r>
    </w:p>
    <w:p>
      <w:pPr>
        <w:numPr>
          <w:ilvl w:val="0"/>
          <w:numId w:val="1923"/>
        </w:numPr>
        <w:pStyle w:val="Compact"/>
      </w:pPr>
      <w:r>
        <w:t xml:space="preserve">It logs the commit record through Paxos and,</w:t>
      </w:r>
      <w:r>
        <w:t xml:space="preserve"> </w:t>
      </w:r>
      <w:r>
        <w:rPr>
          <w:iCs/>
          <w:i/>
        </w:rPr>
        <w:t xml:space="preserve">in parallel</w:t>
      </w:r>
      <w:r>
        <w:t xml:space="preserve">, performs</w:t>
      </w:r>
      <w:r>
        <w:t xml:space="preserve"> </w:t>
      </w:r>
      <w:r>
        <w:rPr>
          <w:bCs/>
          <w:b/>
        </w:rPr>
        <w:t xml:space="preserve">commit wait</w:t>
      </w:r>
      <w:r>
        <w:t xml:space="preserve">: it does not let anyone see the commit until</w:t>
      </w:r>
      <w:r>
        <w:t xml:space="preserve"> </w:t>
      </w:r>
      <w:r>
        <w:rPr>
          <w:rStyle w:val="VerbatimChar"/>
        </w:rPr>
        <w:t xml:space="preserve">TT.after(s)</w:t>
      </w:r>
      <w:r>
        <w:t xml:space="preserve"> </w:t>
      </w:r>
      <w:r>
        <w:t xml:space="preserve">is true.</w:t>
      </w:r>
    </w:p>
    <w:p>
      <w:pPr>
        <w:numPr>
          <w:ilvl w:val="0"/>
          <w:numId w:val="1923"/>
        </w:numPr>
        <w:pStyle w:val="Compact"/>
      </w:pPr>
      <w:r>
        <w:t xml:space="preserve">It then tells the client and the participants, which apply the writes at timestamp</w:t>
      </w:r>
      <w:r>
        <w:t xml:space="preserve"> </w:t>
      </w:r>
      <m:oMath>
        <m:r>
          <m:t>s</m:t>
        </m:r>
      </m:oMath>
      <w:r>
        <w:t xml:space="preserve"> </w:t>
      </w:r>
      <w:r>
        <w:t xml:space="preserve">and release locks.</w:t>
      </w:r>
    </w:p>
    <w:p>
      <w:pPr>
        <w:pStyle w:val="FirstParagraph"/>
      </w:pPr>
      <w:r>
        <w:rPr>
          <w:bCs/>
          <w:b/>
        </w:rPr>
        <w:t xml:space="preserve">Figure 28.11 — Spanner: transactions across Paxos groups.</w:t>
      </w:r>
    </w:p>
    <w:p>
      <w:pPr>
        <w:pStyle w:val="BodyText"/>
      </w:pPr>
      <w:r>
        <w:drawing>
          <wp:inline>
            <wp:extent cx="5334000" cy="4106333"/>
            <wp:effectExtent b="0" l="0" r="0" t="0"/>
            <wp:docPr descr="" title="" id="3186" name="Picture"/>
            <a:graphic>
              <a:graphicData uri="http://schemas.openxmlformats.org/drawingml/2006/picture">
                <pic:pic>
                  <pic:nvPicPr>
                    <pic:cNvPr descr="/home/user/System-Design/build/.cache/diagrams/636872d6c145.png" id="3187" name="Picture"/>
                    <pic:cNvPicPr>
                      <a:picLocks noChangeArrowheads="1" noChangeAspect="1"/>
                    </pic:cNvPicPr>
                  </pic:nvPicPr>
                  <pic:blipFill>
                    <a:blip r:embed="rId3185"/>
                    <a:stretch>
                      <a:fillRect/>
                    </a:stretch>
                  </pic:blipFill>
                  <pic:spPr bwMode="auto">
                    <a:xfrm>
                      <a:off x="0" y="0"/>
                      <a:ext cx="5334000" cy="4106333"/>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Each subgraph is a Paxos group whose leader serves locks and timestamps; replicas live in other zones or regions, so every</w:t>
      </w:r>
      <w:r>
        <w:t xml:space="preserve"> </w:t>
      </w:r>
      <w:r>
        <w:t xml:space="preserve">“</w:t>
      </w:r>
      <w:r>
        <w:t xml:space="preserve">log</w:t>
      </w:r>
      <w:r>
        <w:t xml:space="preserve">”</w:t>
      </w:r>
      <w:r>
        <w:t xml:space="preserve"> </w:t>
      </w:r>
      <w:r>
        <w:t xml:space="preserve">step is a Paxos round. 2PC runs only between leaders, synchronously. The time masters are an external dependency polled asynchronously (dotted); they bound</w:t>
      </w:r>
      <w:r>
        <w:t xml:space="preserve"> </w:t>
      </w:r>
      <m:oMath>
        <m:r>
          <m:t>ε</m:t>
        </m:r>
      </m:oMath>
      <w:r>
        <w:t xml:space="preserve"> </w:t>
      </w:r>
      <w:r>
        <w:t xml:space="preserve">but sit on no transaction’s critical path. Failure points: a leader failure costs a lease expiry and election; time master failures or network trouble widen</w:t>
      </w:r>
      <w:r>
        <w:t xml:space="preserve"> </w:t>
      </w:r>
      <m:oMath>
        <m:r>
          <m:t>ε</m:t>
        </m:r>
      </m:oMath>
      <w:r>
        <w:t xml:space="preserve">, which slows commits but never breaks correctness. Scaling comes from adding splits and groups.</w:t>
      </w:r>
    </w:p>
    <w:p>
      <w:pPr>
        <w:pStyle w:val="BodyText"/>
      </w:pPr>
      <w:r>
        <w:rPr>
          <w:bCs/>
          <w:b/>
        </w:rPr>
        <w:t xml:space="preserve">Figure 28.12 — Commit wait timeline at the coordinator leader.</w:t>
      </w:r>
    </w:p>
    <w:p>
      <w:pPr>
        <w:pStyle w:val="BodyText"/>
      </w:pPr>
      <w:r>
        <w:drawing>
          <wp:inline>
            <wp:extent cx="5334000" cy="3322107"/>
            <wp:effectExtent b="0" l="0" r="0" t="0"/>
            <wp:docPr descr="" title="" id="3189" name="Picture"/>
            <a:graphic>
              <a:graphicData uri="http://schemas.openxmlformats.org/drawingml/2006/picture">
                <pic:pic>
                  <pic:nvPicPr>
                    <pic:cNvPr descr="/home/user/System-Design/build/.cache/diagrams/597900936119.png" id="3190" name="Picture"/>
                    <pic:cNvPicPr>
                      <a:picLocks noChangeArrowheads="1" noChangeAspect="1"/>
                    </pic:cNvPicPr>
                  </pic:nvPicPr>
                  <pic:blipFill>
                    <a:blip r:embed="rId3188"/>
                    <a:stretch>
                      <a:fillRect/>
                    </a:stretch>
                  </pic:blipFill>
                  <pic:spPr bwMode="auto">
                    <a:xfrm>
                      <a:off x="0" y="0"/>
                      <a:ext cx="5334000" cy="3322107"/>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All times are milliseconds on an illustrative scale. When the request arrives, true time is somewhere in [996, 1004], so the leader picks</w:t>
      </w:r>
      <w:r>
        <w:t xml:space="preserve"> </w:t>
      </w:r>
      <m:oMath>
        <m:r>
          <m:t>s</m:t>
        </m:r>
        <m:r>
          <m:rPr>
            <m:sty m:val="p"/>
          </m:rPr>
          <m:t>=</m:t>
        </m:r>
        <m:r>
          <m:t>1004</m:t>
        </m:r>
      </m:oMath>
      <w:r>
        <w:t xml:space="preserve">, the latest possible</w:t>
      </w:r>
      <w:r>
        <w:t xml:space="preserve"> </w:t>
      </w:r>
      <w:r>
        <w:t xml:space="preserve">“</w:t>
      </w:r>
      <w:r>
        <w:t xml:space="preserve">now</w:t>
      </w:r>
      <w:r>
        <w:t xml:space="preserve">”</w:t>
      </w:r>
      <w:r>
        <w:t xml:space="preserve">. It then waits until even the earliest possible reading exceeds 1004, which takes about</w:t>
      </w:r>
      <w:r>
        <w:t xml:space="preserve"> </w:t>
      </w:r>
      <m:oMath>
        <m:r>
          <m:t>2</m:t>
        </m:r>
        <m:r>
          <m:t>ε</m:t>
        </m:r>
        <m:r>
          <m:rPr>
            <m:sty m:val="p"/>
          </m:rPr>
          <m:t>=</m:t>
        </m:r>
        <m:r>
          <m:t>8</m:t>
        </m:r>
      </m:oMath>
      <w:r>
        <w:t xml:space="preserve"> </w:t>
      </w:r>
      <w:r>
        <w:t xml:space="preserve">ms if</w:t>
      </w:r>
      <w:r>
        <w:t xml:space="preserve"> </w:t>
      </w:r>
      <m:oMath>
        <m:r>
          <m:t>ε</m:t>
        </m:r>
      </m:oMath>
      <w:r>
        <w:t xml:space="preserve"> </w:t>
      </w:r>
      <w:r>
        <w:t xml:space="preserve">stays at 4 ms. Paxos replication runs in parallel, so the client sees roughly the larger of the two delays. The storage boundary is the Paxos log; locks are held until the end of commit wait, so wait time directly adds to contention on hot rows.</w:t>
      </w:r>
    </w:p>
    <w:p>
      <w:pPr>
        <w:pStyle w:val="CalloutFormula"/>
      </w:pPr>
      <w:r>
        <w:rPr>
          <w:bCs/>
          <w:b/>
        </w:rPr>
        <w:t xml:space="preserve">FORMULA</w:t>
      </w:r>
    </w:p>
    <w:p>
      <w:pPr>
        <w:pStyle w:val="CalloutFormula"/>
      </w:pPr>
      <w:r>
        <w:rPr>
          <w:bCs/>
          <w:b/>
        </w:rPr>
        <w:t xml:space="preserve">Commit wait</w:t>
      </w:r>
    </w:p>
    <w:p>
      <w:pPr>
        <w:pStyle w:val="CalloutFormula"/>
      </w:pPr>
      <m:oMathPara>
        <m:oMathParaPr>
          <m:jc m:val="center"/>
        </m:oMathParaPr>
        <m:oMath>
          <m:sSub>
            <m:e>
              <m:r>
                <m:t>T</m:t>
              </m:r>
            </m:e>
            <m:sub>
              <m:r>
                <m:rPr>
                  <m:nor/>
                  <m:sty m:val="p"/>
                </m:rPr>
                <m:t>wait</m:t>
              </m:r>
            </m:sub>
          </m:sSub>
          <m:r>
            <m:rPr>
              <m:sty m:val="p"/>
            </m:rPr>
            <m:t>≈</m:t>
          </m:r>
          <m:r>
            <m:t>2</m:t>
          </m:r>
          <m:r>
            <m:t> </m:t>
          </m:r>
          <m:acc>
            <m:accPr>
              <m:chr m:val="‾"/>
            </m:accPr>
            <m:e>
              <m:r>
                <m:t>ε</m:t>
              </m:r>
            </m:e>
          </m:acc>
          <m:r>
            <m:t>  </m:t>
          </m:r>
          <m:sSub>
            <m:e>
              <m:r>
                <m:t>T</m:t>
              </m:r>
            </m:e>
            <m:sub>
              <m:r>
                <m:rPr>
                  <m:nor/>
                  <m:sty m:val="p"/>
                </m:rPr>
                <m:t>commit</m:t>
              </m:r>
            </m:sub>
          </m:sSub>
          <m:r>
            <m:rPr>
              <m:sty m:val="p"/>
            </m:rPr>
            <m:t>≈</m:t>
          </m:r>
          <m:r>
            <m:rPr>
              <m:sty m:val="p"/>
            </m:rPr>
            <m:t>max</m:t>
          </m:r>
          <m:d>
            <m:dPr>
              <m:begChr m:val="("/>
              <m:endChr m:val=")"/>
              <m:sepChr m:val=""/>
              <m:grow/>
            </m:dPr>
            <m:e>
              <m:sSub>
                <m:e>
                  <m:r>
                    <m:t>T</m:t>
                  </m:r>
                </m:e>
                <m:sub>
                  <m:r>
                    <m:rPr>
                      <m:nor/>
                      <m:sty m:val="p"/>
                    </m:rPr>
                    <m:t>Paxos</m:t>
                  </m:r>
                </m:sub>
              </m:sSub>
              <m:r>
                <m:rPr>
                  <m:sty m:val="p"/>
                </m:rPr>
                <m:t>,</m:t>
              </m:r>
              <m:r>
                <m:t> </m:t>
              </m:r>
              <m:r>
                <m:t>2</m:t>
              </m:r>
              <m:r>
                <m:t> </m:t>
              </m:r>
              <m:acc>
                <m:accPr>
                  <m:chr m:val="‾"/>
                </m:accPr>
                <m:e>
                  <m:r>
                    <m:t>ε</m:t>
                  </m:r>
                </m:e>
              </m:acc>
            </m:e>
          </m:d>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T</m:t>
                  </m:r>
                </m:e>
                <m:sub>
                  <m:r>
                    <m:rPr>
                      <m:nor/>
                      <m:sty m:val="p"/>
                    </m:rPr>
                    <m:t>wait</m:t>
                  </m:r>
                </m:sub>
              </m:sSub>
            </m:oMath>
          </w:p>
        </w:tc>
        <w:tc>
          <w:tcPr/>
          <w:p>
            <w:pPr>
              <w:pStyle w:val="Compact"/>
              <w:jc w:val="left"/>
            </w:pPr>
            <w:r>
              <w:t xml:space="preserve">Time from choosing</w:t>
            </w:r>
            <w:r>
              <w:t xml:space="preserve"> </w:t>
            </w:r>
            <m:oMath>
              <m:r>
                <m:t>s</m:t>
              </m:r>
            </m:oMath>
            <w:r>
              <w:t xml:space="preserve"> </w:t>
            </w:r>
            <w:r>
              <w:t xml:space="preserve">=</w:t>
            </w:r>
            <w:r>
              <w:t xml:space="preserve"> </w:t>
            </w:r>
            <w:r>
              <w:rPr>
                <w:rStyle w:val="VerbatimChar"/>
              </w:rPr>
              <w:t xml:space="preserve">TT.now().latest</w:t>
            </w:r>
            <w:r>
              <w:t xml:space="preserve"> </w:t>
            </w:r>
            <w:r>
              <w:t xml:space="preserve">until</w:t>
            </w:r>
            <w:r>
              <w:t xml:space="preserve"> </w:t>
            </w:r>
            <w:r>
              <w:rPr>
                <w:rStyle w:val="VerbatimChar"/>
              </w:rPr>
              <w:t xml:space="preserve">TT.after(s)</w:t>
            </w:r>
            <w:r>
              <w:t xml:space="preserve"> </w:t>
            </w:r>
            <w:r>
              <w:t xml:space="preserve">holds</w:t>
            </w:r>
          </w:p>
        </w:tc>
        <w:tc>
          <w:tcPr/>
          <w:p>
            <w:pPr>
              <w:pStyle w:val="Compact"/>
              <w:jc w:val="left"/>
            </w:pPr>
            <w:r>
              <w:t xml:space="preserve">ms</w:t>
            </w:r>
          </w:p>
        </w:tc>
      </w:tr>
      <w:tr>
        <w:tc>
          <w:tcPr/>
          <w:p>
            <w:pPr>
              <w:pStyle w:val="Compact"/>
              <w:jc w:val="left"/>
            </w:pPr>
            <m:oMath>
              <m:acc>
                <m:accPr>
                  <m:chr m:val="‾"/>
                </m:accPr>
                <m:e>
                  <m:r>
                    <m:t>ε</m:t>
                  </m:r>
                </m:e>
              </m:acc>
            </m:oMath>
          </w:p>
        </w:tc>
        <w:tc>
          <w:tcPr/>
          <w:p>
            <w:pPr>
              <w:pStyle w:val="Compact"/>
              <w:jc w:val="left"/>
            </w:pPr>
            <w:r>
              <w:t xml:space="preserve">Average TrueTime uncertainty (half-width) during the wait</w:t>
            </w:r>
          </w:p>
        </w:tc>
        <w:tc>
          <w:tcPr/>
          <w:p>
            <w:pPr>
              <w:pStyle w:val="Compact"/>
              <w:jc w:val="left"/>
            </w:pPr>
            <w:r>
              <w:t xml:space="preserve">ms</w:t>
            </w:r>
          </w:p>
        </w:tc>
      </w:tr>
      <w:tr>
        <w:tc>
          <w:tcPr/>
          <w:p>
            <w:pPr>
              <w:pStyle w:val="Compact"/>
              <w:jc w:val="left"/>
            </w:pPr>
            <m:oMath>
              <m:sSub>
                <m:e>
                  <m:r>
                    <m:t>T</m:t>
                  </m:r>
                </m:e>
                <m:sub>
                  <m:r>
                    <m:rPr>
                      <m:nor/>
                      <m:sty m:val="p"/>
                    </m:rPr>
                    <m:t>Paxos</m:t>
                  </m:r>
                </m:sub>
              </m:sSub>
            </m:oMath>
          </w:p>
        </w:tc>
        <w:tc>
          <w:tcPr/>
          <w:p>
            <w:pPr>
              <w:pStyle w:val="Compact"/>
              <w:jc w:val="left"/>
            </w:pPr>
            <w:r>
              <w:t xml:space="preserve">Time to replicate the commit record to a quorum</w:t>
            </w:r>
          </w:p>
        </w:tc>
        <w:tc>
          <w:tcPr/>
          <w:p>
            <w:pPr>
              <w:pStyle w:val="Compact"/>
              <w:jc w:val="left"/>
            </w:pPr>
            <w:r>
              <w:t xml:space="preserve">ms</w:t>
            </w:r>
          </w:p>
        </w:tc>
      </w:tr>
      <w:tr>
        <w:tc>
          <w:tcPr/>
          <w:p>
            <w:pPr>
              <w:pStyle w:val="Compact"/>
              <w:jc w:val="left"/>
            </w:pPr>
            <m:oMath>
              <m:sSub>
                <m:e>
                  <m:r>
                    <m:t>T</m:t>
                  </m:r>
                </m:e>
                <m:sub>
                  <m:r>
                    <m:rPr>
                      <m:nor/>
                      <m:sty m:val="p"/>
                    </m:rPr>
                    <m:t>commit</m:t>
                  </m:r>
                </m:sub>
              </m:sSub>
            </m:oMath>
          </w:p>
        </w:tc>
        <w:tc>
          <w:tcPr/>
          <w:p>
            <w:pPr>
              <w:pStyle w:val="Compact"/>
              <w:jc w:val="left"/>
            </w:pPr>
            <w:r>
              <w:t xml:space="preserve">Commit latency at the coordinator leader, ignoring 2PC phase 1</w:t>
            </w:r>
          </w:p>
        </w:tc>
        <w:tc>
          <w:tcPr/>
          <w:p>
            <w:pPr>
              <w:pStyle w:val="Compact"/>
              <w:jc w:val="left"/>
            </w:pPr>
            <w:r>
              <w:t xml:space="preserve">ms</w:t>
            </w:r>
          </w:p>
        </w:tc>
      </w:tr>
    </w:tbl>
    <w:p>
      <w:pPr>
        <w:pStyle w:val="CalloutExample"/>
      </w:pPr>
      <w:r>
        <w:rPr>
          <w:bCs/>
          <w:b/>
        </w:rPr>
        <w:t xml:space="preserve">WORKED EXAMPLE</w:t>
      </w:r>
    </w:p>
    <w:p>
      <w:pPr>
        <w:pStyle w:val="CalloutExample"/>
      </w:pPr>
      <w:r>
        <w:rPr>
          <w:bCs/>
          <w:b/>
        </w:rPr>
        <w:t xml:space="preserve">Worked example — When does commit wait hurt?</w:t>
      </w:r>
    </w:p>
    <w:p>
      <w:pPr>
        <w:numPr>
          <w:ilvl w:val="0"/>
          <w:numId w:val="1924"/>
        </w:numPr>
        <w:pStyle w:val="Compact"/>
      </w:pPr>
      <w:r>
        <w:t xml:space="preserve">Regional configuration, replicas 1 ms apart,</w:t>
      </w:r>
      <w:r>
        <w:t xml:space="preserve"> </w:t>
      </w:r>
      <m:oMath>
        <m:sSub>
          <m:e>
            <m:r>
              <m:t>T</m:t>
            </m:r>
          </m:e>
          <m:sub>
            <m:r>
              <m:rPr>
                <m:nor/>
                <m:sty m:val="p"/>
              </m:rPr>
              <m:t>Paxos</m:t>
            </m:r>
          </m:sub>
        </m:sSub>
        <m:r>
          <m:rPr>
            <m:sty m:val="p"/>
          </m:rPr>
          <m:t>≈</m:t>
        </m:r>
        <m:r>
          <m:t>2</m:t>
        </m:r>
      </m:oMath>
      <w:r>
        <w:t xml:space="preserve"> </w:t>
      </w:r>
      <w:r>
        <w:t xml:space="preserve">ms; with</w:t>
      </w:r>
      <w:r>
        <w:t xml:space="preserve"> </w:t>
      </w:r>
      <m:oMath>
        <m:acc>
          <m:accPr>
            <m:chr m:val="‾"/>
          </m:accPr>
          <m:e>
            <m:r>
              <m:t>ε</m:t>
            </m:r>
          </m:e>
        </m:acc>
        <m:r>
          <m:rPr>
            <m:sty m:val="p"/>
          </m:rPr>
          <m:t>=</m:t>
        </m:r>
        <m:r>
          <m:t>4</m:t>
        </m:r>
      </m:oMath>
      <w:r>
        <w:t xml:space="preserve"> </w:t>
      </w:r>
      <w:r>
        <w:t xml:space="preserve">ms,</w:t>
      </w:r>
      <w:r>
        <w:t xml:space="preserve"> </w:t>
      </w:r>
      <m:oMath>
        <m:sSub>
          <m:e>
            <m:r>
              <m:t>T</m:t>
            </m:r>
          </m:e>
          <m:sub>
            <m:r>
              <m:rPr>
                <m:nor/>
                <m:sty m:val="p"/>
              </m:rPr>
              <m:t>wait</m:t>
            </m:r>
          </m:sub>
        </m:sSub>
        <m:r>
          <m:rPr>
            <m:sty m:val="p"/>
          </m:rPr>
          <m:t>=</m:t>
        </m:r>
        <m:r>
          <m:t>8</m:t>
        </m:r>
      </m:oMath>
      <w:r>
        <w:t xml:space="preserve"> </w:t>
      </w:r>
      <w:r>
        <w:t xml:space="preserve">ms.</w:t>
      </w:r>
      <w:r>
        <w:t xml:space="preserve"> </w:t>
      </w:r>
      <m:oMath>
        <m:sSub>
          <m:e>
            <m:r>
              <m:t>T</m:t>
            </m:r>
          </m:e>
          <m:sub>
            <m:r>
              <m:rPr>
                <m:nor/>
                <m:sty m:val="p"/>
              </m:rPr>
              <m:t>commit</m:t>
            </m:r>
          </m:sub>
        </m:sSub>
        <m:r>
          <m:rPr>
            <m:sty m:val="p"/>
          </m:rPr>
          <m:t>=</m:t>
        </m:r>
        <m:r>
          <m:rPr>
            <m:sty m:val="p"/>
          </m:rPr>
          <m:t>max</m:t>
        </m:r>
        <m:d>
          <m:dPr>
            <m:begChr m:val="("/>
            <m:endChr m:val=")"/>
            <m:sepChr m:val=""/>
            <m:grow/>
          </m:dPr>
          <m:e>
            <m:r>
              <m:t>2</m:t>
            </m:r>
            <m:r>
              <m:rPr>
                <m:sty m:val="p"/>
              </m:rPr>
              <m:t>,</m:t>
            </m:r>
            <m:r>
              <m:t>8</m:t>
            </m:r>
          </m:e>
        </m:d>
        <m:r>
          <m:rPr>
            <m:sty m:val="p"/>
          </m:rPr>
          <m:t>=</m:t>
        </m:r>
        <m:r>
          <m:t>8</m:t>
        </m:r>
      </m:oMath>
      <w:r>
        <w:t xml:space="preserve"> </w:t>
      </w:r>
      <w:r>
        <w:t xml:space="preserve">ms: commit wait dominates.</w:t>
      </w:r>
    </w:p>
    <w:p>
      <w:pPr>
        <w:numPr>
          <w:ilvl w:val="0"/>
          <w:numId w:val="1924"/>
        </w:numPr>
        <w:pStyle w:val="Compact"/>
      </w:pPr>
      <w:r>
        <w:t xml:space="preserve">Multi-region configuration, quorum RTT 50 ms:</w:t>
      </w:r>
      <w:r>
        <w:t xml:space="preserve"> </w:t>
      </w:r>
      <m:oMath>
        <m:sSub>
          <m:e>
            <m:r>
              <m:t>T</m:t>
            </m:r>
          </m:e>
          <m:sub>
            <m:r>
              <m:rPr>
                <m:nor/>
                <m:sty m:val="p"/>
              </m:rPr>
              <m:t>commit</m:t>
            </m:r>
          </m:sub>
        </m:sSub>
        <m:r>
          <m:rPr>
            <m:sty m:val="p"/>
          </m:rPr>
          <m:t>=</m:t>
        </m:r>
        <m:r>
          <m:rPr>
            <m:sty m:val="p"/>
          </m:rPr>
          <m:t>max</m:t>
        </m:r>
        <m:d>
          <m:dPr>
            <m:begChr m:val="("/>
            <m:endChr m:val=")"/>
            <m:sepChr m:val=""/>
            <m:grow/>
          </m:dPr>
          <m:e>
            <m:r>
              <m:t>50</m:t>
            </m:r>
            <m:r>
              <m:rPr>
                <m:sty m:val="p"/>
              </m:rPr>
              <m:t>,</m:t>
            </m:r>
            <m:r>
              <m:t>8</m:t>
            </m:r>
          </m:e>
        </m:d>
        <m:r>
          <m:rPr>
            <m:sty m:val="p"/>
          </m:rPr>
          <m:t>=</m:t>
        </m:r>
        <m:r>
          <m:t>50</m:t>
        </m:r>
      </m:oMath>
      <w:r>
        <w:t xml:space="preserve"> </w:t>
      </w:r>
      <w:r>
        <w:t xml:space="preserve">ms: commit wait is hidden entirely.</w:t>
      </w:r>
    </w:p>
    <w:p>
      <w:pPr>
        <w:numPr>
          <w:ilvl w:val="0"/>
          <w:numId w:val="1924"/>
        </w:numPr>
        <w:pStyle w:val="Compact"/>
      </w:pPr>
      <w:r>
        <w:t xml:space="preserve">Clock trouble widens</w:t>
      </w:r>
      <w:r>
        <w:t xml:space="preserve"> </w:t>
      </w:r>
      <m:oMath>
        <m:acc>
          <m:accPr>
            <m:chr m:val="‾"/>
          </m:accPr>
          <m:e>
            <m:r>
              <m:t>ε</m:t>
            </m:r>
          </m:e>
        </m:acc>
      </m:oMath>
      <w:r>
        <w:t xml:space="preserve"> </w:t>
      </w:r>
      <w:r>
        <w:t xml:space="preserve">to 100 ms:</w:t>
      </w:r>
      <w:r>
        <w:t xml:space="preserve"> </w:t>
      </w:r>
      <m:oMath>
        <m:sSub>
          <m:e>
            <m:r>
              <m:t>T</m:t>
            </m:r>
          </m:e>
          <m:sub>
            <m:r>
              <m:rPr>
                <m:nor/>
                <m:sty m:val="p"/>
              </m:rPr>
              <m:t>wait</m:t>
            </m:r>
          </m:sub>
        </m:sSub>
        <m:r>
          <m:rPr>
            <m:sty m:val="p"/>
          </m:rPr>
          <m:t>=</m:t>
        </m:r>
        <m:r>
          <m:t>200</m:t>
        </m:r>
      </m:oMath>
      <w:r>
        <w:t xml:space="preserve"> </w:t>
      </w:r>
      <w:r>
        <w:t xml:space="preserve">ms in both configurations, and hot-row throughput under locking falls to at most</w:t>
      </w:r>
      <w:r>
        <w:t xml:space="preserve"> </w:t>
      </w:r>
      <m:oMath>
        <m:r>
          <m:t>1</m:t>
        </m:r>
        <m:r>
          <m:rPr>
            <m:sty m:val="p"/>
          </m:rPr>
          <m:t>/</m:t>
        </m:r>
        <m:r>
          <m:t>0.2</m:t>
        </m:r>
        <m:r>
          <m:rPr>
            <m:sty m:val="p"/>
          </m:rPr>
          <m:t>=</m:t>
        </m:r>
        <m:r>
          <m:t>5</m:t>
        </m:r>
      </m:oMath>
      <w:r>
        <w:t xml:space="preserve"> </w:t>
      </w:r>
      <w:r>
        <w:t xml:space="preserve">commits/s.</w:t>
      </w:r>
    </w:p>
    <w:p>
      <w:pPr>
        <w:pStyle w:val="CalloutExample"/>
      </w:pPr>
      <w:r>
        <w:rPr>
          <w:bCs/>
          <w:b/>
        </w:rPr>
        <w:t xml:space="preserve">Interpretation.</w:t>
      </w:r>
      <w:r>
        <w:t xml:space="preserve"> </w:t>
      </w:r>
      <w:r>
        <w:t xml:space="preserve">Spanner converts clock uncertainty directly into commit latency, so the quality of the time infrastructure is a performance parameter.</w:t>
      </w:r>
      <w:r>
        <w:t xml:space="preserve"> </w:t>
      </w:r>
      <w:r>
        <w:rPr>
          <w:bCs/>
          <w:b/>
        </w:rPr>
        <w:t xml:space="preserve">Engineering implication.</w:t>
      </w:r>
      <w:r>
        <w:t xml:space="preserve"> </w:t>
      </w:r>
      <w:r>
        <w:t xml:space="preserve">Commodity NTP is usually accurate to milliseconds but gives no guaranteed bound (§24.9), so a safe configured bound must be hundreds of milliseconds (CockroachDB’s default maximum offset is 500 ms, §28.10.1), which would make commit wait unacceptable; this is why systems without TrueTime-class clocks use HLCs and uncertainty intervals instead (§28.10).</w:t>
      </w:r>
    </w:p>
    <w:bookmarkEnd w:id="3191"/>
    <w:bookmarkStart w:id="3192" w:name="external-consistency-a-proof-sketch"/>
    <w:p>
      <w:pPr>
        <w:pStyle w:val="Heading3"/>
      </w:pPr>
      <w:r>
        <w:t xml:space="preserve">28.8.3 External consistency: a proof sketch</w:t>
      </w:r>
    </w:p>
    <w:p>
      <w:pPr>
        <w:pStyle w:val="CalloutDefinition"/>
      </w:pPr>
      <w:r>
        <w:rPr>
          <w:bCs/>
          <w:b/>
        </w:rPr>
        <w:t xml:space="preserve">DEFINITION</w:t>
      </w:r>
    </w:p>
    <w:p>
      <w:pPr>
        <w:pStyle w:val="CalloutDefinition"/>
      </w:pPr>
      <w:r>
        <w:rPr>
          <w:bCs/>
          <w:b/>
        </w:rPr>
        <w:t xml:space="preserve">Definition — External consistency.</w:t>
      </w:r>
      <w:r>
        <w:t xml:space="preserve"> </w:t>
      </w:r>
      <w:r>
        <w:t xml:space="preserve">If transaction</w:t>
      </w:r>
      <w:r>
        <w:t xml:space="preserve"> </w:t>
      </w:r>
      <m:oMath>
        <m:sSub>
          <m:e>
            <m:r>
              <m:t>T</m:t>
            </m:r>
          </m:e>
          <m:sub>
            <m:r>
              <m:t>1</m:t>
            </m:r>
          </m:sub>
        </m:sSub>
      </m:oMath>
      <w:r>
        <w:t xml:space="preserve"> </w:t>
      </w:r>
      <w:r>
        <w:t xml:space="preserve">commits before</w:t>
      </w:r>
      <w:r>
        <w:t xml:space="preserve"> </w:t>
      </w:r>
      <m:oMath>
        <m:sSub>
          <m:e>
            <m:r>
              <m:t>T</m:t>
            </m:r>
          </m:e>
          <m:sub>
            <m:r>
              <m:t>2</m:t>
            </m:r>
          </m:sub>
        </m:sSub>
      </m:oMath>
      <w:r>
        <w:t xml:space="preserve"> </w:t>
      </w:r>
      <w:r>
        <w:t xml:space="preserve">starts, in absolute (wall-clock) time, then</w:t>
      </w:r>
      <w:r>
        <w:t xml:space="preserve"> </w:t>
      </w:r>
      <m:oMath>
        <m:sSub>
          <m:e>
            <m:r>
              <m:t>T</m:t>
            </m:r>
          </m:e>
          <m:sub>
            <m:r>
              <m:t>1</m:t>
            </m:r>
          </m:sub>
        </m:sSub>
      </m:oMath>
      <w:r>
        <w:t xml:space="preserve">’s commit timestamp is smaller than</w:t>
      </w:r>
      <w:r>
        <w:t xml:space="preserve"> </w:t>
      </w:r>
      <m:oMath>
        <m:sSub>
          <m:e>
            <m:r>
              <m:t>T</m:t>
            </m:r>
          </m:e>
          <m:sub>
            <m:r>
              <m:t>2</m:t>
            </m:r>
          </m:sub>
        </m:sSub>
      </m:oMath>
      <w:r>
        <w:t xml:space="preserve">’s. Combined with serializability, this is</w:t>
      </w:r>
      <w:r>
        <w:t xml:space="preserve"> </w:t>
      </w:r>
      <w:r>
        <w:rPr>
          <w:bCs/>
          <w:b/>
        </w:rPr>
        <w:t xml:space="preserve">strict serializability</w:t>
      </w:r>
      <w:r>
        <w:t xml:space="preserve">: the serial order respects real-time order, as linearizability does for single objects (§25.3).</w:t>
      </w:r>
    </w:p>
    <w:p>
      <w:pPr>
        <w:pStyle w:val="BodyText"/>
      </w:pPr>
      <w:r>
        <w:t xml:space="preserve">Let</w:t>
      </w:r>
      <w:r>
        <w:t xml:space="preserve"> </w:t>
      </w:r>
      <m:oMath>
        <m:sSubSup>
          <m:e>
            <m:r>
              <m:t>e</m:t>
            </m:r>
          </m:e>
          <m:sub>
            <m:r>
              <m:t>i</m:t>
            </m:r>
          </m:sub>
          <m:sup>
            <m:r>
              <m:rPr>
                <m:nor/>
                <m:sty m:val="p"/>
              </m:rPr>
              <m:t>start</m:t>
            </m:r>
          </m:sup>
        </m:sSubSup>
      </m:oMath>
      <w:r>
        <w:t xml:space="preserve">,</w:t>
      </w:r>
      <w:r>
        <w:t xml:space="preserve"> </w:t>
      </w:r>
      <m:oMath>
        <m:sSubSup>
          <m:e>
            <m:r>
              <m:t>e</m:t>
            </m:r>
          </m:e>
          <m:sub>
            <m:r>
              <m:t>i</m:t>
            </m:r>
          </m:sub>
          <m:sup>
            <m:r>
              <m:rPr>
                <m:nor/>
                <m:sty m:val="p"/>
              </m:rPr>
              <m:t>server</m:t>
            </m:r>
          </m:sup>
        </m:sSubSup>
      </m:oMath>
      <w:r>
        <w:t xml:space="preserve"> </w:t>
      </w:r>
      <w:r>
        <w:t xml:space="preserve">and</w:t>
      </w:r>
      <w:r>
        <w:t xml:space="preserve"> </w:t>
      </w:r>
      <m:oMath>
        <m:sSubSup>
          <m:e>
            <m:r>
              <m:t>e</m:t>
            </m:r>
          </m:e>
          <m:sub>
            <m:r>
              <m:t>i</m:t>
            </m:r>
          </m:sub>
          <m:sup>
            <m:r>
              <m:rPr>
                <m:nor/>
                <m:sty m:val="p"/>
              </m:rPr>
              <m:t>commit</m:t>
            </m:r>
          </m:sup>
        </m:sSubSup>
      </m:oMath>
      <w:r>
        <w:t xml:space="preserve"> </w:t>
      </w:r>
      <w:r>
        <w:t xml:space="preserve">be the events where</w:t>
      </w:r>
      <w:r>
        <w:t xml:space="preserve"> </w:t>
      </w:r>
      <m:oMath>
        <m:sSub>
          <m:e>
            <m:r>
              <m:t>T</m:t>
            </m:r>
          </m:e>
          <m:sub>
            <m:r>
              <m:t>i</m:t>
            </m:r>
          </m:sub>
        </m:sSub>
      </m:oMath>
      <w:r>
        <w:t xml:space="preserve">’s commit request reaches the coordinator, where it is assigned timestamp</w:t>
      </w:r>
      <w:r>
        <w:t xml:space="preserve"> </w:t>
      </w:r>
      <m:oMath>
        <m:sSub>
          <m:e>
            <m:r>
              <m:t>s</m:t>
            </m:r>
          </m:e>
          <m:sub>
            <m:r>
              <m:t>i</m:t>
            </m:r>
          </m:sub>
        </m:sSub>
      </m:oMath>
      <w:r>
        <w:t xml:space="preserve">, and where it becomes visible; let</w:t>
      </w:r>
      <w:r>
        <w:t xml:space="preserve"> </w:t>
      </w:r>
      <m:oMath>
        <m:sSub>
          <m:e>
            <m:r>
              <m:t>t</m:t>
            </m:r>
          </m:e>
          <m:sub>
            <m:r>
              <m:rPr>
                <m:nor/>
                <m:sty m:val="p"/>
              </m:rPr>
              <m:t>abs</m:t>
            </m:r>
          </m:sub>
        </m:sSub>
        <m:d>
          <m:dPr>
            <m:begChr m:val="("/>
            <m:endChr m:val=")"/>
            <m:sepChr m:val=""/>
            <m:grow/>
          </m:dPr>
          <m:e>
            <m:r>
              <m:t>e</m:t>
            </m:r>
          </m:e>
        </m:d>
      </m:oMath>
      <w:r>
        <w:t xml:space="preserve"> </w:t>
      </w:r>
      <w:r>
        <w:t xml:space="preserve">be absolute time. Suppose</w:t>
      </w:r>
      <w:r>
        <w:t xml:space="preserve"> </w:t>
      </w:r>
      <m:oMath>
        <m:sSub>
          <m:e>
            <m:r>
              <m:t>t</m:t>
            </m:r>
          </m:e>
          <m:sub>
            <m:r>
              <m:rPr>
                <m:nor/>
                <m:sty m:val="p"/>
              </m:rPr>
              <m:t>abs</m:t>
            </m:r>
          </m:sub>
        </m:sSub>
        <m:d>
          <m:dPr>
            <m:begChr m:val="("/>
            <m:endChr m:val=")"/>
            <m:sepChr m:val=""/>
            <m:grow/>
          </m:dPr>
          <m:e>
            <m:sSubSup>
              <m:e>
                <m:r>
                  <m:t>e</m:t>
                </m:r>
              </m:e>
              <m:sub>
                <m:r>
                  <m:t>1</m:t>
                </m:r>
              </m:sub>
              <m:sup>
                <m:r>
                  <m:rPr>
                    <m:nor/>
                    <m:sty m:val="p"/>
                  </m:rPr>
                  <m:t>commit</m:t>
                </m:r>
              </m:sup>
            </m:sSubSup>
          </m:e>
        </m:d>
        <m:r>
          <m:rPr>
            <m:sty m:val="p"/>
          </m:rPr>
          <m:t>&lt;</m:t>
        </m:r>
        <m:sSub>
          <m:e>
            <m:r>
              <m:t>t</m:t>
            </m:r>
          </m:e>
          <m:sub>
            <m:r>
              <m:rPr>
                <m:nor/>
                <m:sty m:val="p"/>
              </m:rPr>
              <m:t>abs</m:t>
            </m:r>
          </m:sub>
        </m:sSub>
        <m:d>
          <m:dPr>
            <m:begChr m:val="("/>
            <m:endChr m:val=")"/>
            <m:sepChr m:val=""/>
            <m:grow/>
          </m:dPr>
          <m:e>
            <m:sSubSup>
              <m:e>
                <m:r>
                  <m:t>e</m:t>
                </m:r>
              </m:e>
              <m:sub>
                <m:r>
                  <m:t>2</m:t>
                </m:r>
              </m:sub>
              <m:sup>
                <m:r>
                  <m:rPr>
                    <m:nor/>
                    <m:sty m:val="p"/>
                  </m:rPr>
                  <m:t>start</m:t>
                </m:r>
              </m:sup>
            </m:sSubSup>
          </m:e>
        </m:d>
      </m:oMath>
      <w:r>
        <w:t xml:space="preserve">. Then [Corbett et al. 2012]:</w:t>
      </w:r>
    </w:p>
    <w:p>
      <w:pPr>
        <w:numPr>
          <w:ilvl w:val="0"/>
          <w:numId w:val="1925"/>
        </w:numPr>
        <w:pStyle w:val="Compact"/>
      </w:pPr>
      <m:oMath>
        <m:sSub>
          <m:e>
            <m:r>
              <m:t>s</m:t>
            </m:r>
          </m:e>
          <m:sub>
            <m:r>
              <m:t>1</m:t>
            </m:r>
          </m:sub>
        </m:sSub>
        <m:r>
          <m:rPr>
            <m:sty m:val="p"/>
          </m:rPr>
          <m:t>&lt;</m:t>
        </m:r>
        <m:sSub>
          <m:e>
            <m:r>
              <m:t>t</m:t>
            </m:r>
          </m:e>
          <m:sub>
            <m:r>
              <m:rPr>
                <m:nor/>
                <m:sty m:val="p"/>
              </m:rPr>
              <m:t>abs</m:t>
            </m:r>
          </m:sub>
        </m:sSub>
        <m:d>
          <m:dPr>
            <m:begChr m:val="("/>
            <m:endChr m:val=")"/>
            <m:sepChr m:val=""/>
            <m:grow/>
          </m:dPr>
          <m:e>
            <m:sSubSup>
              <m:e>
                <m:r>
                  <m:t>e</m:t>
                </m:r>
              </m:e>
              <m:sub>
                <m:r>
                  <m:t>1</m:t>
                </m:r>
              </m:sub>
              <m:sup>
                <m:r>
                  <m:rPr>
                    <m:nor/>
                    <m:sty m:val="p"/>
                  </m:rPr>
                  <m:t>commit</m:t>
                </m:r>
              </m:sup>
            </m:sSubSup>
          </m:e>
        </m:d>
      </m:oMath>
      <w:r>
        <w:t xml:space="preserve">, by</w:t>
      </w:r>
      <w:r>
        <w:t xml:space="preserve"> </w:t>
      </w:r>
      <w:r>
        <w:rPr>
          <w:bCs/>
          <w:b/>
        </w:rPr>
        <w:t xml:space="preserve">commit wait</w:t>
      </w:r>
      <w:r>
        <w:t xml:space="preserve">:</w:t>
      </w:r>
      <w:r>
        <w:t xml:space="preserve"> </w:t>
      </w:r>
      <m:oMath>
        <m:sSub>
          <m:e>
            <m:r>
              <m:t>T</m:t>
            </m:r>
          </m:e>
          <m:sub>
            <m:r>
              <m:t>1</m:t>
            </m:r>
          </m:sub>
        </m:sSub>
      </m:oMath>
      <w:r>
        <w:t xml:space="preserve"> </w:t>
      </w:r>
      <w:r>
        <w:t xml:space="preserve">is not visible until</w:t>
      </w:r>
      <w:r>
        <w:t xml:space="preserve"> </w:t>
      </w:r>
      <w:r>
        <w:rPr>
          <w:rStyle w:val="VerbatimChar"/>
        </w:rPr>
        <w:t xml:space="preserve">TT.after(s_1)</w:t>
      </w:r>
      <w:r>
        <w:t xml:space="preserve">.</w:t>
      </w:r>
    </w:p>
    <w:p>
      <w:pPr>
        <w:numPr>
          <w:ilvl w:val="0"/>
          <w:numId w:val="1925"/>
        </w:numPr>
        <w:pStyle w:val="Compact"/>
      </w:pPr>
      <m:oMath>
        <m:sSub>
          <m:e>
            <m:r>
              <m:t>t</m:t>
            </m:r>
          </m:e>
          <m:sub>
            <m:r>
              <m:rPr>
                <m:nor/>
                <m:sty m:val="p"/>
              </m:rPr>
              <m:t>abs</m:t>
            </m:r>
          </m:sub>
        </m:sSub>
        <m:d>
          <m:dPr>
            <m:begChr m:val="("/>
            <m:endChr m:val=")"/>
            <m:sepChr m:val=""/>
            <m:grow/>
          </m:dPr>
          <m:e>
            <m:sSubSup>
              <m:e>
                <m:r>
                  <m:t>e</m:t>
                </m:r>
              </m:e>
              <m:sub>
                <m:r>
                  <m:t>1</m:t>
                </m:r>
              </m:sub>
              <m:sup>
                <m:r>
                  <m:rPr>
                    <m:nor/>
                    <m:sty m:val="p"/>
                  </m:rPr>
                  <m:t>commit</m:t>
                </m:r>
              </m:sup>
            </m:sSubSup>
          </m:e>
        </m:d>
        <m:r>
          <m:rPr>
            <m:sty m:val="p"/>
          </m:rPr>
          <m:t>&lt;</m:t>
        </m:r>
        <m:sSub>
          <m:e>
            <m:r>
              <m:t>t</m:t>
            </m:r>
          </m:e>
          <m:sub>
            <m:r>
              <m:rPr>
                <m:nor/>
                <m:sty m:val="p"/>
              </m:rPr>
              <m:t>abs</m:t>
            </m:r>
          </m:sub>
        </m:sSub>
        <m:d>
          <m:dPr>
            <m:begChr m:val="("/>
            <m:endChr m:val=")"/>
            <m:sepChr m:val=""/>
            <m:grow/>
          </m:dPr>
          <m:e>
            <m:sSubSup>
              <m:e>
                <m:r>
                  <m:t>e</m:t>
                </m:r>
              </m:e>
              <m:sub>
                <m:r>
                  <m:t>2</m:t>
                </m:r>
              </m:sub>
              <m:sup>
                <m:r>
                  <m:rPr>
                    <m:nor/>
                    <m:sty m:val="p"/>
                  </m:rPr>
                  <m:t>start</m:t>
                </m:r>
              </m:sup>
            </m:sSubSup>
          </m:e>
        </m:d>
      </m:oMath>
      <w:r>
        <w:t xml:space="preserve">, the assumption.</w:t>
      </w:r>
    </w:p>
    <w:p>
      <w:pPr>
        <w:numPr>
          <w:ilvl w:val="0"/>
          <w:numId w:val="1925"/>
        </w:numPr>
        <w:pStyle w:val="Compact"/>
      </w:pPr>
      <m:oMath>
        <m:sSub>
          <m:e>
            <m:r>
              <m:t>t</m:t>
            </m:r>
          </m:e>
          <m:sub>
            <m:r>
              <m:rPr>
                <m:nor/>
                <m:sty m:val="p"/>
              </m:rPr>
              <m:t>abs</m:t>
            </m:r>
          </m:sub>
        </m:sSub>
        <m:d>
          <m:dPr>
            <m:begChr m:val="("/>
            <m:endChr m:val=")"/>
            <m:sepChr m:val=""/>
            <m:grow/>
          </m:dPr>
          <m:e>
            <m:sSubSup>
              <m:e>
                <m:r>
                  <m:t>e</m:t>
                </m:r>
              </m:e>
              <m:sub>
                <m:r>
                  <m:t>2</m:t>
                </m:r>
              </m:sub>
              <m:sup>
                <m:r>
                  <m:rPr>
                    <m:nor/>
                    <m:sty m:val="p"/>
                  </m:rPr>
                  <m:t>start</m:t>
                </m:r>
              </m:sup>
            </m:sSubSup>
          </m:e>
        </m:d>
        <m:r>
          <m:rPr>
            <m:sty m:val="p"/>
          </m:rPr>
          <m:t>≤</m:t>
        </m:r>
        <m:sSub>
          <m:e>
            <m:r>
              <m:t>t</m:t>
            </m:r>
          </m:e>
          <m:sub>
            <m:r>
              <m:rPr>
                <m:nor/>
                <m:sty m:val="p"/>
              </m:rPr>
              <m:t>abs</m:t>
            </m:r>
          </m:sub>
        </m:sSub>
        <m:d>
          <m:dPr>
            <m:begChr m:val="("/>
            <m:endChr m:val=")"/>
            <m:sepChr m:val=""/>
            <m:grow/>
          </m:dPr>
          <m:e>
            <m:sSubSup>
              <m:e>
                <m:r>
                  <m:t>e</m:t>
                </m:r>
              </m:e>
              <m:sub>
                <m:r>
                  <m:t>2</m:t>
                </m:r>
              </m:sub>
              <m:sup>
                <m:r>
                  <m:rPr>
                    <m:nor/>
                    <m:sty m:val="p"/>
                  </m:rPr>
                  <m:t>server</m:t>
                </m:r>
              </m:sup>
            </m:sSubSup>
          </m:e>
        </m:d>
      </m:oMath>
      <w:r>
        <w:t xml:space="preserve">, by causality.</w:t>
      </w:r>
    </w:p>
    <w:p>
      <w:pPr>
        <w:numPr>
          <w:ilvl w:val="0"/>
          <w:numId w:val="1925"/>
        </w:numPr>
        <w:pStyle w:val="Compact"/>
      </w:pPr>
      <m:oMath>
        <m:sSub>
          <m:e>
            <m:r>
              <m:t>t</m:t>
            </m:r>
          </m:e>
          <m:sub>
            <m:r>
              <m:rPr>
                <m:nor/>
                <m:sty m:val="p"/>
              </m:rPr>
              <m:t>abs</m:t>
            </m:r>
          </m:sub>
        </m:sSub>
        <m:d>
          <m:dPr>
            <m:begChr m:val="("/>
            <m:endChr m:val=")"/>
            <m:sepChr m:val=""/>
            <m:grow/>
          </m:dPr>
          <m:e>
            <m:sSubSup>
              <m:e>
                <m:r>
                  <m:t>e</m:t>
                </m:r>
              </m:e>
              <m:sub>
                <m:r>
                  <m:t>2</m:t>
                </m:r>
              </m:sub>
              <m:sup>
                <m:r>
                  <m:rPr>
                    <m:nor/>
                    <m:sty m:val="p"/>
                  </m:rPr>
                  <m:t>server</m:t>
                </m:r>
              </m:sup>
            </m:sSubSup>
          </m:e>
        </m:d>
        <m:r>
          <m:rPr>
            <m:sty m:val="p"/>
          </m:rPr>
          <m:t>≤</m:t>
        </m:r>
        <m:sSub>
          <m:e>
            <m:r>
              <m:t>s</m:t>
            </m:r>
          </m:e>
          <m:sub>
            <m:r>
              <m:t>2</m:t>
            </m:r>
          </m:sub>
        </m:sSub>
      </m:oMath>
      <w:r>
        <w:t xml:space="preserve">, by the</w:t>
      </w:r>
      <w:r>
        <w:t xml:space="preserve"> </w:t>
      </w:r>
      <w:r>
        <w:rPr>
          <w:bCs/>
          <w:b/>
        </w:rPr>
        <w:t xml:space="preserve">start rule</w:t>
      </w:r>
      <w:r>
        <w:t xml:space="preserve">:</w:t>
      </w:r>
      <w:r>
        <w:t xml:space="preserve"> </w:t>
      </w:r>
      <m:oMath>
        <m:sSub>
          <m:e>
            <m:r>
              <m:t>s</m:t>
            </m:r>
          </m:e>
          <m:sub>
            <m:r>
              <m:t>2</m:t>
            </m:r>
          </m:sub>
        </m:sSub>
        <m:r>
          <m:rPr>
            <m:sty m:val="p"/>
          </m:rPr>
          <m:t>≥</m:t>
        </m:r>
      </m:oMath>
      <w:r>
        <w:t xml:space="preserve"> </w:t>
      </w:r>
      <w:r>
        <w:rPr>
          <w:rStyle w:val="VerbatimChar"/>
        </w:rPr>
        <w:t xml:space="preserve">TT.now().latest</w:t>
      </w:r>
      <w:r>
        <w:t xml:space="preserve"> </w:t>
      </w:r>
      <w:r>
        <w:t xml:space="preserve">at that moment, which is at least the absolute time.</w:t>
      </w:r>
    </w:p>
    <w:p>
      <w:pPr>
        <w:pStyle w:val="FirstParagraph"/>
      </w:pPr>
      <w:r>
        <w:t xml:space="preserve">Chaining the inequalities gives</w:t>
      </w:r>
      <w:r>
        <w:t xml:space="preserve"> </w:t>
      </w:r>
      <m:oMath>
        <m:sSub>
          <m:e>
            <m:r>
              <m:t>s</m:t>
            </m:r>
          </m:e>
          <m:sub>
            <m:r>
              <m:t>1</m:t>
            </m:r>
          </m:sub>
        </m:sSub>
        <m:r>
          <m:rPr>
            <m:sty m:val="p"/>
          </m:rPr>
          <m:t>&lt;</m:t>
        </m:r>
        <m:sSub>
          <m:e>
            <m:r>
              <m:t>s</m:t>
            </m:r>
          </m:e>
          <m:sub>
            <m:r>
              <m:t>2</m:t>
            </m:r>
          </m:sub>
        </m:sSub>
      </m:oMath>
      <w:r>
        <w:t xml:space="preserve">. Both rules are needed: without commit wait,</w:t>
      </w:r>
      <w:r>
        <w:t xml:space="preserve"> </w:t>
      </w:r>
      <m:oMath>
        <m:sSub>
          <m:e>
            <m:r>
              <m:t>s</m:t>
            </m:r>
          </m:e>
          <m:sub>
            <m:r>
              <m:t>1</m:t>
            </m:r>
          </m:sub>
        </m:sSub>
      </m:oMath>
      <w:r>
        <w:t xml:space="preserve"> </w:t>
      </w:r>
      <w:r>
        <w:t xml:space="preserve">could be in the future of</w:t>
      </w:r>
      <w:r>
        <w:t xml:space="preserve"> </w:t>
      </w:r>
      <m:oMath>
        <m:sSub>
          <m:e>
            <m:r>
              <m:t>T</m:t>
            </m:r>
          </m:e>
          <m:sub>
            <m:r>
              <m:t>2</m:t>
            </m:r>
          </m:sub>
        </m:sSub>
      </m:oMath>
      <w:r>
        <w:t xml:space="preserve">’s start; without the start rule,</w:t>
      </w:r>
      <w:r>
        <w:t xml:space="preserve"> </w:t>
      </w:r>
      <m:oMath>
        <m:sSub>
          <m:e>
            <m:r>
              <m:t>s</m:t>
            </m:r>
          </m:e>
          <m:sub>
            <m:r>
              <m:t>2</m:t>
            </m:r>
          </m:sub>
        </m:sSub>
      </m:oMath>
      <w:r>
        <w:t xml:space="preserve"> </w:t>
      </w:r>
      <w:r>
        <w:t xml:space="preserve">could lag real time.</w:t>
      </w:r>
    </w:p>
    <w:bookmarkEnd w:id="3192"/>
    <w:bookmarkStart w:id="3193" w:name="X0e47ea223cb1f2a6925466b3400ae98fef811bc"/>
    <w:p>
      <w:pPr>
        <w:pStyle w:val="Heading3"/>
      </w:pPr>
      <w:r>
        <w:t xml:space="preserve">28.8.4 Read-only transactions and snapshot reads</w:t>
      </w:r>
    </w:p>
    <w:p>
      <w:pPr>
        <w:pStyle w:val="FirstParagraph"/>
      </w:pPr>
      <w:r>
        <w:t xml:space="preserve">A read-only transaction takes</w:t>
      </w:r>
      <w:r>
        <w:t xml:space="preserve"> </w:t>
      </w:r>
      <m:oMath>
        <m:sSub>
          <m:e>
            <m:r>
              <m:t>s</m:t>
            </m:r>
          </m:e>
          <m:sub>
            <m:r>
              <m:rPr>
                <m:nor/>
                <m:sty m:val="p"/>
              </m:rPr>
              <m:t>read</m:t>
            </m:r>
          </m:sub>
        </m:sSub>
        <m:r>
          <m:rPr>
            <m:sty m:val="p"/>
          </m:rPr>
          <m:t>=</m:t>
        </m:r>
      </m:oMath>
      <w:r>
        <w:t xml:space="preserve"> </w:t>
      </w:r>
      <w:r>
        <w:rPr>
          <w:rStyle w:val="VerbatimChar"/>
        </w:rPr>
        <w:t xml:space="preserve">TT.now().latest</w:t>
      </w:r>
      <w:r>
        <w:t xml:space="preserve"> </w:t>
      </w:r>
      <w:r>
        <w:t xml:space="preserve">and reads at that timestamp, without locks, from</w:t>
      </w:r>
      <w:r>
        <w:t xml:space="preserve"> </w:t>
      </w:r>
      <w:r>
        <w:rPr>
          <w:iCs/>
          <w:i/>
        </w:rPr>
        <w:t xml:space="preserve">any</w:t>
      </w:r>
      <w:r>
        <w:t xml:space="preserve"> </w:t>
      </w:r>
      <w:r>
        <w:t xml:space="preserve">replica that is sufficiently up to date. A replica can serve a read at</w:t>
      </w:r>
      <w:r>
        <w:t xml:space="preserve"> </w:t>
      </w:r>
      <m:oMath>
        <m:r>
          <m:t>t</m:t>
        </m:r>
      </m:oMath>
      <w:r>
        <w:t xml:space="preserve"> </w:t>
      </w:r>
      <w:r>
        <w:t xml:space="preserve">once</w:t>
      </w:r>
      <w:r>
        <w:t xml:space="preserve"> </w:t>
      </w:r>
      <m:oMath>
        <m:r>
          <m:t>t</m:t>
        </m:r>
        <m:r>
          <m:rPr>
            <m:sty m:val="p"/>
          </m:rPr>
          <m:t>≤</m:t>
        </m:r>
        <m:sSub>
          <m:e>
            <m:r>
              <m:t>t</m:t>
            </m:r>
          </m:e>
          <m:sub>
            <m:r>
              <m:rPr>
                <m:nor/>
                <m:sty m:val="p"/>
              </m:rPr>
              <m:t>safe</m:t>
            </m:r>
          </m:sub>
        </m:sSub>
        <m:r>
          <m:rPr>
            <m:sty m:val="p"/>
          </m:rPr>
          <m:t>=</m:t>
        </m:r>
        <m:r>
          <m:rPr>
            <m:sty m:val="p"/>
          </m:rPr>
          <m:t>min</m:t>
        </m:r>
        <m:d>
          <m:dPr>
            <m:begChr m:val="("/>
            <m:endChr m:val=")"/>
            <m:sepChr m:val=""/>
            <m:grow/>
          </m:dPr>
          <m:e>
            <m:sSubSup>
              <m:e>
                <m:r>
                  <m:t>t</m:t>
                </m:r>
              </m:e>
              <m:sub>
                <m:r>
                  <m:rPr>
                    <m:nor/>
                    <m:sty m:val="p"/>
                  </m:rPr>
                  <m:t>safe</m:t>
                </m:r>
              </m:sub>
              <m:sup>
                <m:r>
                  <m:rPr>
                    <m:nor/>
                    <m:sty m:val="p"/>
                  </m:rPr>
                  <m:t>Paxos</m:t>
                </m:r>
              </m:sup>
            </m:sSubSup>
            <m:r>
              <m:rPr>
                <m:sty m:val="p"/>
              </m:rPr>
              <m:t>,</m:t>
            </m:r>
            <m:sSubSup>
              <m:e>
                <m:r>
                  <m:t>t</m:t>
                </m:r>
              </m:e>
              <m:sub>
                <m:r>
                  <m:rPr>
                    <m:nor/>
                    <m:sty m:val="p"/>
                  </m:rPr>
                  <m:t>safe</m:t>
                </m:r>
              </m:sub>
              <m:sup>
                <m:r>
                  <m:rPr>
                    <m:nor/>
                    <m:sty m:val="p"/>
                  </m:rPr>
                  <m:t>TM</m:t>
                </m:r>
              </m:sup>
            </m:sSubSup>
          </m:e>
        </m:d>
      </m:oMath>
      <w:r>
        <w:t xml:space="preserve">: it has applied every Paxos write up to</w:t>
      </w:r>
      <w:r>
        <w:t xml:space="preserve"> </w:t>
      </w:r>
      <m:oMath>
        <m:r>
          <m:t>t</m:t>
        </m:r>
      </m:oMath>
      <w:r>
        <w:t xml:space="preserve">, and no prepared-but-undecided transaction could still commit at or below</w:t>
      </w:r>
      <w:r>
        <w:t xml:space="preserve"> </w:t>
      </w:r>
      <m:oMath>
        <m:r>
          <m:t>t</m:t>
        </m:r>
      </m:oMath>
      <w:r>
        <w:t xml:space="preserve">. Because commit timestamps are externally consistent, such a read sees every transaction that committed before it started. Reads at a timestamp in the past (</w:t>
      </w:r>
      <w:r>
        <w:rPr>
          <w:bCs/>
          <w:b/>
        </w:rPr>
        <w:t xml:space="preserve">stale reads</w:t>
      </w:r>
      <w:r>
        <w:t xml:space="preserve">, for example 10 s old) are cheaper still: any replica can serve them immediately. Read-only transactions are therefore never blocked by, and never block, read-write transactions.</w:t>
      </w:r>
    </w:p>
    <w:bookmarkEnd w:id="3193"/>
    <w:bookmarkStart w:id="3194" w:name="spanner-and-the-cap-theorem"/>
    <w:p>
      <w:pPr>
        <w:pStyle w:val="Heading3"/>
      </w:pPr>
      <w:r>
        <w:t xml:space="preserve">28.8.5 Spanner and the CAP theorem</w:t>
      </w:r>
    </w:p>
    <w:p>
      <w:pPr>
        <w:pStyle w:val="FirstParagraph"/>
      </w:pPr>
      <w:r>
        <w:t xml:space="preserve">CAP (§25.8) says that during a network partition a system must give up either consistency or availability. Spanner chooses consistency: a minority side of a partition cannot commit. Brewer argues that Spanner is nevertheless</w:t>
      </w:r>
      <w:r>
        <w:t xml:space="preserve"> </w:t>
      </w:r>
      <w:r>
        <w:t xml:space="preserve">“</w:t>
      </w:r>
      <w:r>
        <w:t xml:space="preserve">effectively CA</w:t>
      </w:r>
      <w:r>
        <w:t xml:space="preserve">”</w:t>
      </w:r>
      <w:r>
        <w:t xml:space="preserve">: partitions are rare on Google’s private network, and Spanner’s measured availability exceeds five nines, so users experience a system that is both consistent and available. In the incident data he reports, network problems were a small minority of Spanner’s outages, below user error, overload and bugs [Brewer 2017]. The lesson: availability is an engineering number, and a consistent system on a well-run network can beat a weakly consistent one on a poor network.</w:t>
      </w:r>
    </w:p>
    <w:p>
      <w:pPr>
        <w:pStyle w:val="CalloutIndustry"/>
      </w:pPr>
      <w:r>
        <w:rPr>
          <w:bCs/>
          <w:b/>
        </w:rPr>
        <w:t xml:space="preserve">INDUSTRY EXAMPLE</w:t>
      </w:r>
    </w:p>
    <w:p>
      <w:pPr>
        <w:pStyle w:val="CalloutIndustry"/>
      </w:pPr>
      <w:r>
        <w:rPr>
          <w:bCs/>
          <w:b/>
        </w:rPr>
        <w:t xml:space="preserve">Google F1 on Spanner — the AdWords backend.</w:t>
      </w:r>
      <w:r>
        <w:t xml:space="preserve"> </w:t>
      </w:r>
      <w:r>
        <w:t xml:space="preserve">Google migrated its advertising backend from a sharded MySQL deployment to F1, a distributed SQL system built on Spanner, to get cross-shard transactions, consistent secondary indexes and resharding without application changes. The authors describe higher commit latency than MySQL, offset by hierarchical schemas that cluster related rows and by batching and parallelism.</w:t>
      </w:r>
      <w:r>
        <w:t xml:space="preserve"> </w:t>
      </w:r>
      <w:r>
        <w:rPr>
          <w:iCs/>
          <w:i/>
        </w:rPr>
        <w:t xml:space="preserve">Evidence: Primary</w:t>
      </w:r>
      <w:r>
        <w:t xml:space="preserve"> </w:t>
      </w:r>
      <w:r>
        <w:t xml:space="preserve">— [Shute et al. 2013]</w:t>
      </w:r>
    </w:p>
    <w:p>
      <w:pPr>
        <w:pStyle w:val="CalloutMistake"/>
      </w:pPr>
      <w:r>
        <w:rPr>
          <w:bCs/>
          <w:b/>
        </w:rPr>
        <w:t xml:space="preserve">COMMON MISTAKE</w:t>
      </w:r>
    </w:p>
    <w:p>
      <w:pPr>
        <w:pStyle w:val="CalloutMistake"/>
      </w:pPr>
      <w:r>
        <w:rPr>
          <w:bCs/>
          <w:b/>
        </w:rPr>
        <w:t xml:space="preserve">Common misconception —</w:t>
      </w:r>
      <w:r>
        <w:rPr>
          <w:bCs/>
          <w:b/>
        </w:rPr>
        <w:t xml:space="preserve"> </w:t>
      </w:r>
      <w:r>
        <w:rPr>
          <w:bCs/>
          <w:b/>
        </w:rPr>
        <w:t xml:space="preserve">“</w:t>
      </w:r>
      <w:r>
        <w:rPr>
          <w:bCs/>
          <w:b/>
        </w:rPr>
        <w:t xml:space="preserve">Spanner works because Google’s clocks are perfectly synchronized.</w:t>
      </w:r>
      <w:r>
        <w:rPr>
          <w:bCs/>
          <w:b/>
        </w:rPr>
        <w:t xml:space="preserve">”</w:t>
      </w:r>
      <w:r>
        <w:t xml:space="preserve"> </w:t>
      </w:r>
      <w:r>
        <w:t xml:space="preserve">Its clocks are not perfect; they are</w:t>
      </w:r>
      <w:r>
        <w:t xml:space="preserve"> </w:t>
      </w:r>
      <w:r>
        <w:rPr>
          <w:iCs/>
          <w:i/>
        </w:rPr>
        <w:t xml:space="preserve">honest</w:t>
      </w:r>
      <w:r>
        <w:t xml:space="preserve">. Correctness requires only that the true time lie inside TrueTime’s interval. Tight intervals determine performance, not correctness.</w:t>
      </w:r>
    </w:p>
    <w:bookmarkEnd w:id="3194"/>
    <w:bookmarkEnd w:id="3195"/>
    <w:bookmarkStart w:id="3204" w:name="calvin-and-deterministic-databases"/>
    <w:p>
      <w:pPr>
        <w:pStyle w:val="Heading2"/>
      </w:pPr>
      <w:r>
        <w:t xml:space="preserve">28.9 Calvin and deterministic databases</w:t>
      </w:r>
    </w:p>
    <w:bookmarkStart w:id="3202" w:name="agree-on-the-order-first-then-execute"/>
    <w:p>
      <w:pPr>
        <w:pStyle w:val="Heading3"/>
      </w:pPr>
      <w:r>
        <w:t xml:space="preserve">28.9.1 Agree on the order first, then execute</w:t>
      </w:r>
    </w:p>
    <w:p>
      <w:pPr>
        <w:pStyle w:val="CalloutDefinition"/>
      </w:pPr>
      <w:r>
        <w:rPr>
          <w:bCs/>
          <w:b/>
        </w:rPr>
        <w:t xml:space="preserve">DEFINITION</w:t>
      </w:r>
    </w:p>
    <w:p>
      <w:pPr>
        <w:pStyle w:val="CalloutDefinition"/>
      </w:pPr>
      <w:r>
        <w:rPr>
          <w:bCs/>
          <w:b/>
        </w:rPr>
        <w:t xml:space="preserve">Definition — Deterministic database.</w:t>
      </w:r>
      <w:r>
        <w:t xml:space="preserve"> </w:t>
      </w:r>
      <w:r>
        <w:t xml:space="preserve">A database in which replicas and partitions first agree on a global order of transaction</w:t>
      </w:r>
      <w:r>
        <w:t xml:space="preserve"> </w:t>
      </w:r>
      <w:r>
        <w:rPr>
          <w:iCs/>
          <w:i/>
        </w:rPr>
        <w:t xml:space="preserve">inputs</w:t>
      </w:r>
      <w:r>
        <w:t xml:space="preserve">, then execute transactions so that the outcome depends only on that order and the initial state. Every node that executes the same log reaches the same state, so no node needs to ask another whether to commit [Thomson et al. 2012].</w:t>
      </w:r>
    </w:p>
    <w:bookmarkStart w:id="3196" w:name="first-principles-explanation-154"/>
    <w:p>
      <w:pPr>
        <w:pStyle w:val="Heading4"/>
      </w:pPr>
      <w:r>
        <w:t xml:space="preserve">First-principles explanation</w:t>
      </w:r>
    </w:p>
    <w:p>
      <w:pPr>
        <w:pStyle w:val="FirstParagraph"/>
      </w:pPr>
      <w:r>
        <w:t xml:space="preserve">2PC is a meeting held</w:t>
      </w:r>
      <w:r>
        <w:t xml:space="preserve"> </w:t>
      </w:r>
      <w:r>
        <w:rPr>
          <w:iCs/>
          <w:i/>
        </w:rPr>
        <w:t xml:space="preserve">after</w:t>
      </w:r>
      <w:r>
        <w:t xml:space="preserve"> </w:t>
      </w:r>
      <w:r>
        <w:t xml:space="preserve">the work:</w:t>
      </w:r>
      <w:r>
        <w:t xml:space="preserve"> </w:t>
      </w:r>
      <w:r>
        <w:t xml:space="preserve">“</w:t>
      </w:r>
      <w:r>
        <w:t xml:space="preserve">did everyone manage to do their part?</w:t>
      </w:r>
      <w:r>
        <w:t xml:space="preserve">”</w:t>
      </w:r>
      <w:r>
        <w:t xml:space="preserve"> </w:t>
      </w:r>
      <w:r>
        <w:t xml:space="preserve">Calvin holds the meeting</w:t>
      </w:r>
      <w:r>
        <w:t xml:space="preserve"> </w:t>
      </w:r>
      <w:r>
        <w:rPr>
          <w:iCs/>
          <w:i/>
        </w:rPr>
        <w:t xml:space="preserve">before</w:t>
      </w:r>
      <w:r>
        <w:t xml:space="preserve">: everyone agrees on the list of jobs and their order, then works through the list independently. If every worker follows the same list with the same rules, they cannot disagree about the outcome, so there is nothing to vote on.</w:t>
      </w:r>
    </w:p>
    <w:bookmarkEnd w:id="3196"/>
    <w:bookmarkStart w:id="3197" w:name="why-does-this-exist-98"/>
    <w:p>
      <w:pPr>
        <w:pStyle w:val="Heading4"/>
      </w:pPr>
      <w:r>
        <w:t xml:space="preserve">Why does this exist?</w:t>
      </w:r>
    </w:p>
    <w:p>
      <w:pPr>
        <w:pStyle w:val="FirstParagraph"/>
      </w:pPr>
      <w:r>
        <w:t xml:space="preserve">In 2PC a participant can abort for</w:t>
      </w:r>
      <w:r>
        <w:t xml:space="preserve"> </w:t>
      </w:r>
      <w:r>
        <w:rPr>
          <w:iCs/>
          <w:i/>
        </w:rPr>
        <w:t xml:space="preserve">nondeterministic</w:t>
      </w:r>
      <w:r>
        <w:t xml:space="preserve"> </w:t>
      </w:r>
      <w:r>
        <w:t xml:space="preserve">reasons: a deadlock victim, a node crash, a timeout. The vote exists to catch those. Thomson and colleagues observed that if the system removes nondeterministic aborts, the vote becomes unnecessary, and locks no longer need to be held across a commit protocol. Contended transactions then hold locks only for their execution time, which is where Calvin’s throughput advantage under contention comes from.</w:t>
      </w:r>
    </w:p>
    <w:bookmarkEnd w:id="3197"/>
    <w:bookmarkStart w:id="3201" w:name="how-it-works-internally-108"/>
    <w:p>
      <w:pPr>
        <w:pStyle w:val="Heading4"/>
      </w:pPr>
      <w:r>
        <w:t xml:space="preserve">How it works internally</w:t>
      </w:r>
    </w:p>
    <w:p>
      <w:pPr>
        <w:numPr>
          <w:ilvl w:val="0"/>
          <w:numId w:val="1926"/>
        </w:numPr>
        <w:pStyle w:val="Compact"/>
      </w:pPr>
      <w:r>
        <w:rPr>
          <w:bCs/>
          <w:b/>
        </w:rPr>
        <w:t xml:space="preserve">Sequencing.</w:t>
      </w:r>
      <w:r>
        <w:t xml:space="preserve"> </w:t>
      </w:r>
      <w:r>
        <w:t xml:space="preserve">Clients send transaction requests to a sequencer on any node. Sequencers collect requests into</w:t>
      </w:r>
      <w:r>
        <w:t xml:space="preserve"> </w:t>
      </w:r>
      <w:r>
        <w:rPr>
          <w:bCs/>
          <w:b/>
        </w:rPr>
        <w:t xml:space="preserve">epochs</w:t>
      </w:r>
      <w:r>
        <w:t xml:space="preserve"> </w:t>
      </w:r>
      <w:r>
        <w:t xml:space="preserve">of 10 ms, replicate each batch (with Paxos, or asynchronously for lower latency and weaker durability) and send it to the schedulers of every partition the transactions touch. The merged batches form the global input log.</w:t>
      </w:r>
    </w:p>
    <w:p>
      <w:pPr>
        <w:numPr>
          <w:ilvl w:val="0"/>
          <w:numId w:val="1926"/>
        </w:numPr>
        <w:pStyle w:val="Compact"/>
      </w:pPr>
      <w:r>
        <w:rPr>
          <w:bCs/>
          <w:b/>
        </w:rPr>
        <w:t xml:space="preserve">Scheduling.</w:t>
      </w:r>
      <w:r>
        <w:t xml:space="preserve"> </w:t>
      </w:r>
      <w:r>
        <w:t xml:space="preserve">Each partition’s scheduler acquires locks in global log order, deterministically: if T5 precedes T9 in the log and both want key</w:t>
      </w:r>
      <w:r>
        <w:t xml:space="preserve"> </w:t>
      </w:r>
      <m:oMath>
        <m:r>
          <m:t>x</m:t>
        </m:r>
      </m:oMath>
      <w:r>
        <w:t xml:space="preserve">, T5 always gets it first. This rules out deadlocks.</w:t>
      </w:r>
    </w:p>
    <w:p>
      <w:pPr>
        <w:numPr>
          <w:ilvl w:val="0"/>
          <w:numId w:val="1926"/>
        </w:numPr>
        <w:pStyle w:val="Compact"/>
      </w:pPr>
      <w:r>
        <w:rPr>
          <w:bCs/>
          <w:b/>
        </w:rPr>
        <w:t xml:space="preserve">Execution.</w:t>
      </w:r>
      <w:r>
        <w:t xml:space="preserve"> </w:t>
      </w:r>
      <w:r>
        <w:t xml:space="preserve">Each participating partition performs its local reads and sends the results to the partitions that have writes; each of those runs the transaction logic and applies its own writes. A transaction that fails a constraint aborts on every partition alike, because every partition computes the same result.</w:t>
      </w:r>
    </w:p>
    <w:p>
      <w:pPr>
        <w:numPr>
          <w:ilvl w:val="0"/>
          <w:numId w:val="1926"/>
        </w:numPr>
        <w:pStyle w:val="Compact"/>
      </w:pPr>
      <w:r>
        <w:rPr>
          <w:bCs/>
          <w:b/>
        </w:rPr>
        <w:t xml:space="preserve">Failures.</w:t>
      </w:r>
      <w:r>
        <w:t xml:space="preserve"> </w:t>
      </w:r>
      <w:r>
        <w:t xml:space="preserve">A crashed node does not cause aborts; a replica, or the node after restart, replays the input log from a checkpoint and reaches the same state.</w:t>
      </w:r>
    </w:p>
    <w:p>
      <w:pPr>
        <w:pStyle w:val="FirstParagraph"/>
      </w:pPr>
      <w:r>
        <w:rPr>
          <w:bCs/>
          <w:b/>
        </w:rPr>
        <w:t xml:space="preserve">Figure 28.13 — Calvin’s architecture.</w:t>
      </w:r>
    </w:p>
    <w:p>
      <w:pPr>
        <w:pStyle w:val="BodyText"/>
      </w:pPr>
      <w:r>
        <w:drawing>
          <wp:inline>
            <wp:extent cx="5334000" cy="3370950"/>
            <wp:effectExtent b="0" l="0" r="0" t="0"/>
            <wp:docPr descr="" title="" id="3199" name="Picture"/>
            <a:graphic>
              <a:graphicData uri="http://schemas.openxmlformats.org/drawingml/2006/picture">
                <pic:pic>
                  <pic:nvPicPr>
                    <pic:cNvPr descr="/home/user/System-Design/build/.cache/diagrams/db4c637e64f3.png" id="3200" name="Picture"/>
                    <pic:cNvPicPr>
                      <a:picLocks noChangeArrowheads="1" noChangeAspect="1"/>
                    </pic:cNvPicPr>
                  </pic:nvPicPr>
                  <pic:blipFill>
                    <a:blip r:embed="rId3198"/>
                    <a:stretch>
                      <a:fillRect/>
                    </a:stretch>
                  </pic:blipFill>
                  <pic:spPr bwMode="auto">
                    <a:xfrm>
                      <a:off x="0" y="0"/>
                      <a:ext cx="5334000" cy="3370950"/>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sequencing layer is the only place where nodes coordinate synchronously, and what it replicates is the</w:t>
      </w:r>
      <w:r>
        <w:t xml:space="preserve"> </w:t>
      </w:r>
      <w:r>
        <w:rPr>
          <w:iCs/>
          <w:i/>
        </w:rPr>
        <w:t xml:space="preserve">input</w:t>
      </w:r>
      <w:r>
        <w:t xml:space="preserve"> </w:t>
      </w:r>
      <w:r>
        <w:t xml:space="preserve">(subroutine shape: a log), not the resulting data. Schedulers within a replica exchange read results directly (two-way arrow) and never exchange votes. Replica 2 receives the same log asynchronously or through Paxos and computes the same state independently, so storage on each replica is a pure function of the log. Failure points: an unreplicated batch lost with its sequencer, and a slow transaction stalling later conflicting ones. Scaling: add partitions; throughput grew nearly linearly in the paper’s experiments on up to 100 machines.</w:t>
      </w:r>
    </w:p>
    <w:p>
      <w:pPr>
        <w:pStyle w:val="CalloutFormula"/>
      </w:pPr>
      <w:r>
        <w:rPr>
          <w:bCs/>
          <w:b/>
        </w:rPr>
        <w:t xml:space="preserve">FORMULA</w:t>
      </w:r>
    </w:p>
    <w:p>
      <w:pPr>
        <w:pStyle w:val="CalloutFormula"/>
      </w:pPr>
      <w:r>
        <w:rPr>
          <w:bCs/>
          <w:b/>
        </w:rPr>
        <w:t xml:space="preserve">Calvin transaction latency</w:t>
      </w:r>
    </w:p>
    <w:p>
      <w:pPr>
        <w:pStyle w:val="CalloutFormula"/>
      </w:pPr>
      <m:oMathPara>
        <m:oMathParaPr>
          <m:jc m:val="center"/>
        </m:oMathParaPr>
        <m:oMath>
          <m:sSub>
            <m:e>
              <m:r>
                <m:t>T</m:t>
              </m:r>
            </m:e>
            <m:sub>
              <m:r>
                <m:rPr>
                  <m:nor/>
                  <m:sty m:val="p"/>
                </m:rPr>
                <m:t>Calvin</m:t>
              </m:r>
            </m:sub>
          </m:sSub>
          <m:r>
            <m:rPr>
              <m:sty m:val="p"/>
            </m:rPr>
            <m:t>≈</m:t>
          </m:r>
          <m:f>
            <m:fPr>
              <m:type m:val="bar"/>
            </m:fPr>
            <m:num>
              <m:r>
                <m:t>e</m:t>
              </m:r>
            </m:num>
            <m:den>
              <m:r>
                <m:t>2</m:t>
              </m:r>
            </m:den>
          </m:f>
          <m:r>
            <m:rPr>
              <m:sty m:val="p"/>
            </m:rPr>
            <m:t>+</m:t>
          </m:r>
          <m:sSub>
            <m:e>
              <m:r>
                <m:t>T</m:t>
              </m:r>
            </m:e>
            <m:sub>
              <m:r>
                <m:rPr>
                  <m:nor/>
                  <m:sty m:val="p"/>
                </m:rPr>
                <m:t>rep</m:t>
              </m:r>
            </m:sub>
          </m:sSub>
          <m:r>
            <m:rPr>
              <m:sty m:val="p"/>
            </m:rPr>
            <m:t>+</m:t>
          </m:r>
          <m:sSub>
            <m:e>
              <m:r>
                <m:t>T</m:t>
              </m:r>
            </m:e>
            <m:sub>
              <m:r>
                <m:rPr>
                  <m:nor/>
                  <m:sty m:val="p"/>
                </m:rPr>
                <m:t>exec</m:t>
              </m:r>
            </m:sub>
          </m:sSub>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e</m:t>
              </m:r>
            </m:oMath>
          </w:p>
        </w:tc>
        <w:tc>
          <w:tcPr/>
          <w:p>
            <w:pPr>
              <w:pStyle w:val="Compact"/>
              <w:jc w:val="left"/>
            </w:pPr>
            <w:r>
              <w:t xml:space="preserve">Epoch length; a request waits on average half an epoch to be batched</w:t>
            </w:r>
          </w:p>
        </w:tc>
        <w:tc>
          <w:tcPr/>
          <w:p>
            <w:pPr>
              <w:pStyle w:val="Compact"/>
              <w:jc w:val="left"/>
            </w:pPr>
            <w:r>
              <w:t xml:space="preserve">ms</w:t>
            </w:r>
          </w:p>
        </w:tc>
      </w:tr>
      <w:tr>
        <w:tc>
          <w:tcPr/>
          <w:p>
            <w:pPr>
              <w:pStyle w:val="Compact"/>
              <w:jc w:val="left"/>
            </w:pPr>
            <m:oMath>
              <m:sSub>
                <m:e>
                  <m:r>
                    <m:t>T</m:t>
                  </m:r>
                </m:e>
                <m:sub>
                  <m:r>
                    <m:rPr>
                      <m:nor/>
                      <m:sty m:val="p"/>
                    </m:rPr>
                    <m:t>rep</m:t>
                  </m:r>
                </m:sub>
              </m:sSub>
            </m:oMath>
          </w:p>
        </w:tc>
        <w:tc>
          <w:tcPr/>
          <w:p>
            <w:pPr>
              <w:pStyle w:val="Compact"/>
              <w:jc w:val="left"/>
            </w:pPr>
            <w:r>
              <w:t xml:space="preserve">Time to replicate the batch (Paxos round, or 0 for asynchronous)</w:t>
            </w:r>
          </w:p>
        </w:tc>
        <w:tc>
          <w:tcPr/>
          <w:p>
            <w:pPr>
              <w:pStyle w:val="Compact"/>
              <w:jc w:val="left"/>
            </w:pPr>
            <w:r>
              <w:t xml:space="preserve">ms</w:t>
            </w:r>
          </w:p>
        </w:tc>
      </w:tr>
      <w:tr>
        <w:tc>
          <w:tcPr/>
          <w:p>
            <w:pPr>
              <w:pStyle w:val="Compact"/>
              <w:jc w:val="left"/>
            </w:pPr>
            <m:oMath>
              <m:sSub>
                <m:e>
                  <m:r>
                    <m:t>T</m:t>
                  </m:r>
                </m:e>
                <m:sub>
                  <m:r>
                    <m:rPr>
                      <m:nor/>
                      <m:sty m:val="p"/>
                    </m:rPr>
                    <m:t>exec</m:t>
                  </m:r>
                </m:sub>
              </m:sSub>
            </m:oMath>
          </w:p>
        </w:tc>
        <w:tc>
          <w:tcPr/>
          <w:p>
            <w:pPr>
              <w:pStyle w:val="Compact"/>
              <w:jc w:val="left"/>
            </w:pPr>
            <w:r>
              <w:t xml:space="preserve">Lock wait, read forwarding and execution</w:t>
            </w:r>
          </w:p>
        </w:tc>
        <w:tc>
          <w:tcPr/>
          <w:p>
            <w:pPr>
              <w:pStyle w:val="Compact"/>
              <w:jc w:val="left"/>
            </w:pPr>
            <w:r>
              <w:t xml:space="preserve">ms</w:t>
            </w:r>
          </w:p>
        </w:tc>
      </w:tr>
      <w:tr>
        <w:tc>
          <w:tcPr/>
          <w:p>
            <w:pPr>
              <w:pStyle w:val="Compact"/>
              <w:jc w:val="left"/>
            </w:pPr>
            <m:oMath>
              <m:sSub>
                <m:e>
                  <m:r>
                    <m:t>T</m:t>
                  </m:r>
                </m:e>
                <m:sub>
                  <m:r>
                    <m:rPr>
                      <m:nor/>
                      <m:sty m:val="p"/>
                    </m:rPr>
                    <m:t>Calvin</m:t>
                  </m:r>
                </m:sub>
              </m:sSub>
            </m:oMath>
          </w:p>
        </w:tc>
        <w:tc>
          <w:tcPr/>
          <w:p>
            <w:pPr>
              <w:pStyle w:val="Compact"/>
              <w:jc w:val="left"/>
            </w:pPr>
            <w:r>
              <w:t xml:space="preserve">Expected time from request to result</w:t>
            </w:r>
          </w:p>
        </w:tc>
        <w:tc>
          <w:tcPr/>
          <w:p>
            <w:pPr>
              <w:pStyle w:val="Compact"/>
              <w:jc w:val="left"/>
            </w:pPr>
            <w:r>
              <w:t xml:space="preserve">ms</w:t>
            </w:r>
          </w:p>
        </w:tc>
      </w:tr>
    </w:tbl>
    <w:p>
      <w:pPr>
        <w:pStyle w:val="CalloutExample"/>
      </w:pPr>
      <w:r>
        <w:rPr>
          <w:bCs/>
          <w:b/>
        </w:rPr>
        <w:t xml:space="preserve">WORKED EXAMPLE</w:t>
      </w:r>
    </w:p>
    <w:p>
      <w:pPr>
        <w:pStyle w:val="CalloutExample"/>
      </w:pPr>
      <w:r>
        <w:rPr>
          <w:bCs/>
          <w:b/>
        </w:rPr>
        <w:t xml:space="preserve">Worked example — Calvin versus 2PC across regions.</w:t>
      </w:r>
      <w:r>
        <w:t xml:space="preserve"> </w:t>
      </w:r>
      <w:r>
        <w:t xml:space="preserve">Epoch</w:t>
      </w:r>
      <w:r>
        <w:t xml:space="preserve"> </w:t>
      </w:r>
      <m:oMath>
        <m:r>
          <m:t>e</m:t>
        </m:r>
        <m:r>
          <m:rPr>
            <m:sty m:val="p"/>
          </m:rPr>
          <m:t>=</m:t>
        </m:r>
        <m:r>
          <m:t>10</m:t>
        </m:r>
      </m:oMath>
      <w:r>
        <w:t xml:space="preserve"> </w:t>
      </w:r>
      <w:r>
        <w:t xml:space="preserve">ms; three replicas in three regions with quorum RTT 70 ms;</w:t>
      </w:r>
      <w:r>
        <w:t xml:space="preserve"> </w:t>
      </w:r>
      <m:oMath>
        <m:sSub>
          <m:e>
            <m:r>
              <m:t>T</m:t>
            </m:r>
          </m:e>
          <m:sub>
            <m:r>
              <m:rPr>
                <m:nor/>
                <m:sty m:val="p"/>
              </m:rPr>
              <m:t>exec</m:t>
            </m:r>
          </m:sub>
        </m:sSub>
        <m:r>
          <m:rPr>
            <m:sty m:val="p"/>
          </m:rPr>
          <m:t>=</m:t>
        </m:r>
        <m:r>
          <m:t>2</m:t>
        </m:r>
      </m:oMath>
      <w:r>
        <w:t xml:space="preserve"> </w:t>
      </w:r>
      <w:r>
        <w:t xml:space="preserve">ms.</w:t>
      </w:r>
    </w:p>
    <w:p>
      <w:pPr>
        <w:numPr>
          <w:ilvl w:val="0"/>
          <w:numId w:val="1927"/>
        </w:numPr>
        <w:pStyle w:val="Compact"/>
      </w:pPr>
      <w:r>
        <w:t xml:space="preserve">Calvin:</w:t>
      </w:r>
      <w:r>
        <w:t xml:space="preserve"> </w:t>
      </w:r>
      <m:oMath>
        <m:r>
          <m:t>5</m:t>
        </m:r>
        <m:r>
          <m:rPr>
            <m:sty m:val="p"/>
          </m:rPr>
          <m:t>+</m:t>
        </m:r>
        <m:r>
          <m:t>70</m:t>
        </m:r>
        <m:r>
          <m:rPr>
            <m:sty m:val="p"/>
          </m:rPr>
          <m:t>+</m:t>
        </m:r>
        <m:r>
          <m:t>2</m:t>
        </m:r>
        <m:r>
          <m:rPr>
            <m:sty m:val="p"/>
          </m:rPr>
          <m:t>=</m:t>
        </m:r>
        <m:r>
          <m:t>77</m:t>
        </m:r>
      </m:oMath>
      <w:r>
        <w:t xml:space="preserve"> </w:t>
      </w:r>
      <w:r>
        <w:t xml:space="preserve">ms, and locks are held for only about 2 ms.</w:t>
      </w:r>
    </w:p>
    <w:p>
      <w:pPr>
        <w:numPr>
          <w:ilvl w:val="0"/>
          <w:numId w:val="1927"/>
        </w:numPr>
        <w:pStyle w:val="Compact"/>
      </w:pPr>
      <w:r>
        <w:t xml:space="preserve">2PC over geo-replicated consensus groups: two quorum rounds,</w:t>
      </w:r>
      <w:r>
        <w:t xml:space="preserve"> </w:t>
      </w:r>
      <m:oMath>
        <m:r>
          <m:rPr>
            <m:sty m:val="p"/>
          </m:rPr>
          <m:t>≈</m:t>
        </m:r>
        <m:r>
          <m:t>140</m:t>
        </m:r>
      </m:oMath>
      <w:r>
        <w:t xml:space="preserve"> </w:t>
      </w:r>
      <w:r>
        <w:t xml:space="preserve">ms, with locks held across the second round of 70 ms or more.</w:t>
      </w:r>
    </w:p>
    <w:p>
      <w:pPr>
        <w:numPr>
          <w:ilvl w:val="0"/>
          <w:numId w:val="1927"/>
        </w:numPr>
        <w:pStyle w:val="Compact"/>
      </w:pPr>
      <w:r>
        <w:t xml:space="preserve">In one region with</w:t>
      </w:r>
      <w:r>
        <w:t xml:space="preserve"> </w:t>
      </w:r>
      <m:oMath>
        <m:sSub>
          <m:e>
            <m:r>
              <m:t>T</m:t>
            </m:r>
          </m:e>
          <m:sub>
            <m:r>
              <m:rPr>
                <m:nor/>
                <m:sty m:val="p"/>
              </m:rPr>
              <m:t>rep</m:t>
            </m:r>
          </m:sub>
        </m:sSub>
        <m:r>
          <m:rPr>
            <m:sty m:val="p"/>
          </m:rPr>
          <m:t>=</m:t>
        </m:r>
        <m:r>
          <m:t>2</m:t>
        </m:r>
      </m:oMath>
      <w:r>
        <w:t xml:space="preserve"> </w:t>
      </w:r>
      <w:r>
        <w:t xml:space="preserve">ms: Calvin needs</w:t>
      </w:r>
      <w:r>
        <w:t xml:space="preserve"> </w:t>
      </w:r>
      <m:oMath>
        <m:r>
          <m:t>5</m:t>
        </m:r>
        <m:r>
          <m:rPr>
            <m:sty m:val="p"/>
          </m:rPr>
          <m:t>+</m:t>
        </m:r>
        <m:r>
          <m:t>2</m:t>
        </m:r>
        <m:r>
          <m:rPr>
            <m:sty m:val="p"/>
          </m:rPr>
          <m:t>+</m:t>
        </m:r>
        <m:r>
          <m:t>2</m:t>
        </m:r>
        <m:r>
          <m:rPr>
            <m:sty m:val="p"/>
          </m:rPr>
          <m:t>=</m:t>
        </m:r>
        <m:r>
          <m:t>9</m:t>
        </m:r>
      </m:oMath>
      <w:r>
        <w:t xml:space="preserve"> </w:t>
      </w:r>
      <w:r>
        <w:t xml:space="preserve">ms, slower than about 5 ms for 2PC over consensus groups.</w:t>
      </w:r>
    </w:p>
    <w:p>
      <w:pPr>
        <w:pStyle w:val="CalloutExample"/>
      </w:pPr>
      <w:r>
        <w:rPr>
          <w:bCs/>
          <w:b/>
        </w:rPr>
        <w:t xml:space="preserve">Interpretation.</w:t>
      </w:r>
      <w:r>
        <w:t xml:space="preserve"> </w:t>
      </w:r>
      <w:r>
        <w:t xml:space="preserve">Calvin wins across regions and under contention, because one agreement round replaces two and locks are not held during it; in a single region, batching delay can make it slower.</w:t>
      </w:r>
      <w:r>
        <w:t xml:space="preserve"> </w:t>
      </w:r>
      <w:r>
        <w:rPr>
          <w:bCs/>
          <w:b/>
        </w:rPr>
        <w:t xml:space="preserve">Engineering implication.</w:t>
      </w:r>
      <w:r>
        <w:t xml:space="preserve"> </w:t>
      </w:r>
      <w:r>
        <w:t xml:space="preserve">Calvin’s lock hold time, not its latency, is what makes it attractive for high-contention workloads such as inventory or ticketing.</w:t>
      </w:r>
    </w:p>
    <w:bookmarkEnd w:id="3201"/>
    <w:bookmarkEnd w:id="3202"/>
    <w:bookmarkStart w:id="3203" w:name="trade-offs-and-lineage"/>
    <w:p>
      <w:pPr>
        <w:pStyle w:val="Heading3"/>
      </w:pPr>
      <w:r>
        <w:t xml:space="preserve">28.9.2 Trade-offs and lineage</w:t>
      </w:r>
    </w:p>
    <w:p>
      <w:pPr>
        <w:pStyle w:val="FirstParagraph"/>
      </w:pPr>
      <w:r>
        <w:rPr>
          <w:bCs/>
          <w:b/>
        </w:rPr>
        <w:t xml:space="preserve">Advantages.</w:t>
      </w:r>
      <w:r>
        <w:t xml:space="preserve"> </w:t>
      </w:r>
      <w:r>
        <w:t xml:space="preserve">No 2PC and no distributed deadlocks; cheap active replication of inputs instead of data; high throughput on contended keys; easy recovery by replay.</w:t>
      </w:r>
    </w:p>
    <w:p>
      <w:pPr>
        <w:pStyle w:val="BodyText"/>
      </w:pPr>
      <w:r>
        <w:rPr>
          <w:bCs/>
          <w:b/>
        </w:rPr>
        <w:t xml:space="preserve">Disadvantages.</w:t>
      </w:r>
      <w:r>
        <w:t xml:space="preserve"> </w:t>
      </w:r>
      <w:r>
        <w:t xml:space="preserve">Transactions must declare their read and write sets before execution. A transaction whose keys depend on data it reads (look up an index, then update the row it points to) needs a</w:t>
      </w:r>
      <w:r>
        <w:t xml:space="preserve"> </w:t>
      </w:r>
      <w:r>
        <w:rPr>
          <w:bCs/>
          <w:b/>
        </w:rPr>
        <w:t xml:space="preserve">reconnaissance</w:t>
      </w:r>
      <w:r>
        <w:t xml:space="preserve"> </w:t>
      </w:r>
      <w:r>
        <w:t xml:space="preserve">read first and must restart if the prediction proves wrong; the paper calls this optimistic lock location prediction. Interactive SQL sessions (</w:t>
      </w:r>
      <w:r>
        <w:rPr>
          <w:rStyle w:val="VerbatimChar"/>
        </w:rPr>
        <w:t xml:space="preserve">BEGIN</w:t>
      </w:r>
      <w:r>
        <w:t xml:space="preserve">, think,</w:t>
      </w:r>
      <w:r>
        <w:t xml:space="preserve"> </w:t>
      </w:r>
      <w:r>
        <w:rPr>
          <w:rStyle w:val="VerbatimChar"/>
        </w:rPr>
        <w:t xml:space="preserve">UPDATE</w:t>
      </w:r>
      <w:r>
        <w:t xml:space="preserve">, think,</w:t>
      </w:r>
      <w:r>
        <w:t xml:space="preserve"> </w:t>
      </w:r>
      <w:r>
        <w:rPr>
          <w:rStyle w:val="VerbatimChar"/>
        </w:rPr>
        <w:t xml:space="preserve">COMMIT</w:t>
      </w:r>
      <w:r>
        <w:t xml:space="preserve">) do not fit at all. Every request pays half an epoch of batching. One slow or stalled transaction delays every later transaction that conflicts with it, because the order is fixed.</w:t>
      </w:r>
    </w:p>
    <w:p>
      <w:pPr>
        <w:pStyle w:val="BodyText"/>
      </w:pPr>
      <w:r>
        <w:t xml:space="preserve">Calvin influenced commercial systems most visibly through</w:t>
      </w:r>
      <w:r>
        <w:t xml:space="preserve"> </w:t>
      </w:r>
      <w:r>
        <w:rPr>
          <w:bCs/>
          <w:b/>
        </w:rPr>
        <w:t xml:space="preserve">FaunaDB</w:t>
      </w:r>
      <w:r>
        <w:t xml:space="preserve">, whose transaction engine was publicly described as Calvin-inspired; Fauna’s hosted service shut down on 30 May 2025 [Fauna Docs: End of Life FAQ]. Later research, such as SLOG, extends deterministic ordering to geo-distributed data with region-local</w:t>
      </w:r>
      <w:r>
        <w:t xml:space="preserve"> </w:t>
      </w:r>
      <w:r>
        <w:t xml:space="preserve">“</w:t>
      </w:r>
      <w:r>
        <w:t xml:space="preserve">home</w:t>
      </w:r>
      <w:r>
        <w:t xml:space="preserve">”</w:t>
      </w:r>
      <w:r>
        <w:t xml:space="preserve"> </w:t>
      </w:r>
      <w:r>
        <w:t xml:space="preserve">data, so that single-home transactions avoid cross-region ordering [Ren et al. 2019].</w:t>
      </w:r>
    </w:p>
    <w:p>
      <w:pPr>
        <w:pStyle w:val="CalloutMistake"/>
      </w:pPr>
      <w:r>
        <w:rPr>
          <w:bCs/>
          <w:b/>
        </w:rPr>
        <w:t xml:space="preserve">COMMON MISTAKE</w:t>
      </w:r>
    </w:p>
    <w:p>
      <w:pPr>
        <w:pStyle w:val="CalloutMistake"/>
      </w:pPr>
      <w:r>
        <w:rPr>
          <w:bCs/>
          <w:b/>
        </w:rPr>
        <w:t xml:space="preserve">Common misconception —</w:t>
      </w:r>
      <w:r>
        <w:rPr>
          <w:bCs/>
          <w:b/>
        </w:rPr>
        <w:t xml:space="preserve"> </w:t>
      </w:r>
      <w:r>
        <w:rPr>
          <w:bCs/>
          <w:b/>
        </w:rPr>
        <w:t xml:space="preserve">“</w:t>
      </w:r>
      <w:r>
        <w:rPr>
          <w:bCs/>
          <w:b/>
        </w:rPr>
        <w:t xml:space="preserve">Deterministic databases have no coordination.</w:t>
      </w:r>
      <w:r>
        <w:rPr>
          <w:bCs/>
          <w:b/>
        </w:rPr>
        <w:t xml:space="preserve">”</w:t>
      </w:r>
      <w:r>
        <w:t xml:space="preserve"> </w:t>
      </w:r>
      <w:r>
        <w:t xml:space="preserve">They move all coordination to one place, before execution. The global sequencer is still a consensus problem; it is simply solved once per batch rather than once per transaction.</w:t>
      </w:r>
    </w:p>
    <w:bookmarkEnd w:id="3203"/>
    <w:bookmarkEnd w:id="3204"/>
    <w:bookmarkStart w:id="3213" w:name="Xfee821366cd5d658b1464821a17e17b3965323d"/>
    <w:p>
      <w:pPr>
        <w:pStyle w:val="Heading2"/>
      </w:pPr>
      <w:r>
        <w:t xml:space="preserve">28.10 Distributed SQL: CockroachDB, YugabyteDB and TiDB</w:t>
      </w:r>
    </w:p>
    <w:bookmarkStart w:id="3209" w:name="cockroachdb"/>
    <w:p>
      <w:pPr>
        <w:pStyle w:val="Heading3"/>
      </w:pPr>
      <w:r>
        <w:t xml:space="preserve">28.10.1 CockroachDB</w:t>
      </w:r>
    </w:p>
    <w:p>
      <w:pPr>
        <w:pStyle w:val="FirstParagraph"/>
      </w:pPr>
      <w:r>
        <w:t xml:space="preserve">CockroachDB is a PostgreSQL-wire-compatible distributed SQL database that runs serializable transactions without specialized clocks [Taft et al. 2020].</w:t>
      </w:r>
    </w:p>
    <w:bookmarkStart w:id="3208" w:name="how-it-works-internally-109"/>
    <w:p>
      <w:pPr>
        <w:pStyle w:val="Heading4"/>
      </w:pPr>
      <w:r>
        <w:t xml:space="preserve">How it works internally</w:t>
      </w:r>
    </w:p>
    <w:p>
      <w:pPr>
        <w:numPr>
          <w:ilvl w:val="0"/>
          <w:numId w:val="1928"/>
        </w:numPr>
        <w:pStyle w:val="Compact"/>
      </w:pPr>
      <w:r>
        <w:rPr>
          <w:bCs/>
          <w:b/>
        </w:rPr>
        <w:t xml:space="preserve">Ranges and leaseholders.</w:t>
      </w:r>
      <w:r>
        <w:t xml:space="preserve"> </w:t>
      </w:r>
      <w:r>
        <w:t xml:space="preserve">Data is a sorted key space split into</w:t>
      </w:r>
      <w:r>
        <w:t xml:space="preserve"> </w:t>
      </w:r>
      <w:r>
        <w:rPr>
          <w:bCs/>
          <w:b/>
        </w:rPr>
        <w:t xml:space="preserve">ranges</w:t>
      </w:r>
      <w:r>
        <w:t xml:space="preserve"> </w:t>
      </w:r>
      <w:r>
        <w:t xml:space="preserve">(512 MiB maximum by default in recent versions) each replicated with Raft. One replica holds a lease and serves reads and coordinates writes for the range.</w:t>
      </w:r>
    </w:p>
    <w:p>
      <w:pPr>
        <w:numPr>
          <w:ilvl w:val="0"/>
          <w:numId w:val="1928"/>
        </w:numPr>
        <w:pStyle w:val="Compact"/>
      </w:pPr>
      <w:r>
        <w:rPr>
          <w:bCs/>
          <w:b/>
        </w:rPr>
        <w:t xml:space="preserve">HLC timestamps.</w:t>
      </w:r>
      <w:r>
        <w:t xml:space="preserve"> </w:t>
      </w:r>
      <w:r>
        <w:t xml:space="preserve">Every transaction gets a timestamp from the gateway node’s</w:t>
      </w:r>
      <w:r>
        <w:t xml:space="preserve"> </w:t>
      </w:r>
      <w:r>
        <w:rPr>
          <w:bCs/>
          <w:b/>
        </w:rPr>
        <w:t xml:space="preserve">hybrid logical clock</w:t>
      </w:r>
      <w:r>
        <w:t xml:space="preserve"> </w:t>
      </w:r>
      <w:r>
        <w:t xml:space="preserve">(§24.12), and MVCC versions are tagged with HLC timestamps.</w:t>
      </w:r>
    </w:p>
    <w:p>
      <w:pPr>
        <w:numPr>
          <w:ilvl w:val="0"/>
          <w:numId w:val="1928"/>
        </w:numPr>
        <w:pStyle w:val="Compact"/>
      </w:pPr>
      <w:r>
        <w:rPr>
          <w:bCs/>
          <w:b/>
        </w:rPr>
        <w:t xml:space="preserve">Transaction record and write intents.</w:t>
      </w:r>
      <w:r>
        <w:t xml:space="preserve"> </w:t>
      </w:r>
      <w:r>
        <w:t xml:space="preserve">A transaction writes provisional values called</w:t>
      </w:r>
      <w:r>
        <w:t xml:space="preserve"> </w:t>
      </w:r>
      <w:r>
        <w:rPr>
          <w:bCs/>
          <w:b/>
        </w:rPr>
        <w:t xml:space="preserve">write intents</w:t>
      </w:r>
      <w:r>
        <w:t xml:space="preserve">, each pointing to a</w:t>
      </w:r>
      <w:r>
        <w:t xml:space="preserve"> </w:t>
      </w:r>
      <w:r>
        <w:rPr>
          <w:bCs/>
          <w:b/>
        </w:rPr>
        <w:t xml:space="preserve">transaction record</w:t>
      </w:r>
      <w:r>
        <w:t xml:space="preserve"> </w:t>
      </w:r>
      <w:r>
        <w:t xml:space="preserve">stored in the range of the transaction’s first key. The record’s status (</w:t>
      </w:r>
      <w:r>
        <w:rPr>
          <w:rStyle w:val="VerbatimChar"/>
        </w:rPr>
        <w:t xml:space="preserve">PENDING</w:t>
      </w:r>
      <w:r>
        <w:t xml:space="preserve">,</w:t>
      </w:r>
      <w:r>
        <w:t xml:space="preserve"> </w:t>
      </w:r>
      <w:r>
        <w:rPr>
          <w:rStyle w:val="VerbatimChar"/>
        </w:rPr>
        <w:t xml:space="preserve">STAGING</w:t>
      </w:r>
      <w:r>
        <w:t xml:space="preserve">,</w:t>
      </w:r>
      <w:r>
        <w:t xml:space="preserve"> </w:t>
      </w:r>
      <w:r>
        <w:rPr>
          <w:rStyle w:val="VerbatimChar"/>
        </w:rPr>
        <w:t xml:space="preserve">COMMITTED</w:t>
      </w:r>
      <w:r>
        <w:t xml:space="preserve">,</w:t>
      </w:r>
      <w:r>
        <w:t xml:space="preserve"> </w:t>
      </w:r>
      <w:r>
        <w:rPr>
          <w:rStyle w:val="VerbatimChar"/>
        </w:rPr>
        <w:t xml:space="preserve">ABORTED</w:t>
      </w:r>
      <w:r>
        <w:t xml:space="preserve">) is the single source of truth, playing the role of Percolator’s primary lock. Readers that meet an intent consult the record and may push or wait for the writer.</w:t>
      </w:r>
    </w:p>
    <w:p>
      <w:pPr>
        <w:numPr>
          <w:ilvl w:val="0"/>
          <w:numId w:val="1928"/>
        </w:numPr>
        <w:pStyle w:val="Compact"/>
      </w:pPr>
      <w:r>
        <w:rPr>
          <w:bCs/>
          <w:b/>
        </w:rPr>
        <w:t xml:space="preserve">Serializability by timestamp ordering.</w:t>
      </w:r>
      <w:r>
        <w:t xml:space="preserve"> </w:t>
      </w:r>
      <w:r>
        <w:t xml:space="preserve">Each leaseholder remembers the latest timestamp at which each key was read (the timestamp cache). A write below that timestamp is pushed to a higher one; before committing at the higher timestamp the transaction must</w:t>
      </w:r>
      <w:r>
        <w:t xml:space="preserve"> </w:t>
      </w:r>
      <w:r>
        <w:rPr>
          <w:bCs/>
          <w:b/>
        </w:rPr>
        <w:t xml:space="preserve">refresh</w:t>
      </w:r>
      <w:r>
        <w:t xml:space="preserve"> </w:t>
      </w:r>
      <w:r>
        <w:t xml:space="preserve">its reads, checking they are unchanged in between, or else retry.</w:t>
      </w:r>
    </w:p>
    <w:p>
      <w:pPr>
        <w:numPr>
          <w:ilvl w:val="0"/>
          <w:numId w:val="1928"/>
        </w:numPr>
        <w:pStyle w:val="Compact"/>
      </w:pPr>
      <w:r>
        <w:rPr>
          <w:bCs/>
          <w:b/>
        </w:rPr>
        <w:t xml:space="preserve">Uncertainty intervals.</w:t>
      </w:r>
      <w:r>
        <w:t xml:space="preserve"> </w:t>
      </w:r>
      <w:r>
        <w:t xml:space="preserve">Clocks may differ by up to a configured maximum offset (500 ms by default). A read at timestamp</w:t>
      </w:r>
      <w:r>
        <w:t xml:space="preserve"> </w:t>
      </w:r>
      <m:oMath>
        <m:r>
          <m:t>t</m:t>
        </m:r>
      </m:oMath>
      <w:r>
        <w:t xml:space="preserve"> </w:t>
      </w:r>
      <w:r>
        <w:t xml:space="preserve">that finds a value with timestamp in</w:t>
      </w:r>
      <w:r>
        <w:t xml:space="preserve"> </w:t>
      </w:r>
      <m:oMath>
        <m:r>
          <m:rPr>
            <m:sty m:val="p"/>
          </m:rPr>
          <m:t>(</m:t>
        </m:r>
        <m:r>
          <m:t>t</m:t>
        </m:r>
        <m:r>
          <m:rPr>
            <m:sty m:val="p"/>
          </m:rPr>
          <m:t>,</m:t>
        </m:r>
        <m:r>
          <m:t>t</m:t>
        </m:r>
        <m:r>
          <m:rPr>
            <m:sty m:val="p"/>
          </m:rPr>
          <m:t>+</m:t>
        </m:r>
        <m:r>
          <m:rPr>
            <m:nor/>
            <m:sty m:val="p"/>
          </m:rPr>
          <m:t>max offset</m:t>
        </m:r>
        <m:r>
          <m:rPr>
            <m:sty m:val="p"/>
          </m:rPr>
          <m:t>]</m:t>
        </m:r>
      </m:oMath>
      <w:r>
        <w:t xml:space="preserve"> </w:t>
      </w:r>
      <w:r>
        <w:t xml:space="preserve">cannot know whether that write happened before it in real time, so it restarts at a higher timestamp. Nodes whose clocks drift too far from their peers shut themselves down rather than risk anomalies.</w:t>
      </w:r>
    </w:p>
    <w:p>
      <w:pPr>
        <w:numPr>
          <w:ilvl w:val="0"/>
          <w:numId w:val="1928"/>
        </w:numPr>
        <w:pStyle w:val="Compact"/>
      </w:pPr>
      <w:r>
        <w:rPr>
          <w:bCs/>
          <w:b/>
        </w:rPr>
        <w:t xml:space="preserve">Parallel commits.</w:t>
      </w:r>
      <w:r>
        <w:t xml:space="preserve"> </w:t>
      </w:r>
      <w:r>
        <w:t xml:space="preserve">Instead of writing intents and</w:t>
      </w:r>
      <w:r>
        <w:t xml:space="preserve"> </w:t>
      </w:r>
      <w:r>
        <w:rPr>
          <w:iCs/>
          <w:i/>
        </w:rPr>
        <w:t xml:space="preserve">then</w:t>
      </w:r>
      <w:r>
        <w:t xml:space="preserve"> </w:t>
      </w:r>
      <w:r>
        <w:t xml:space="preserve">a committed record (two sequential consensus rounds), the coordinator writes the intents and a</w:t>
      </w:r>
      <w:r>
        <w:t xml:space="preserve"> </w:t>
      </w:r>
      <w:r>
        <w:rPr>
          <w:rStyle w:val="VerbatimChar"/>
        </w:rPr>
        <w:t xml:space="preserve">STAGING</w:t>
      </w:r>
      <w:r>
        <w:t xml:space="preserve"> </w:t>
      </w:r>
      <w:r>
        <w:t xml:space="preserve">record listing them in parallel. A transaction is</w:t>
      </w:r>
      <w:r>
        <w:t xml:space="preserve"> </w:t>
      </w:r>
      <w:r>
        <w:rPr>
          <w:bCs/>
          <w:b/>
        </w:rPr>
        <w:t xml:space="preserve">implicitly committed</w:t>
      </w:r>
      <w:r>
        <w:t xml:space="preserve"> </w:t>
      </w:r>
      <w:r>
        <w:t xml:space="preserve">once the staging record and all its intents are replicated; the client is answered then, and the record is marked</w:t>
      </w:r>
      <w:r>
        <w:t xml:space="preserve"> </w:t>
      </w:r>
      <w:r>
        <w:rPr>
          <w:rStyle w:val="VerbatimChar"/>
        </w:rPr>
        <w:t xml:space="preserve">COMMITTED</w:t>
      </w:r>
      <w:r>
        <w:t xml:space="preserve"> </w:t>
      </w:r>
      <w:r>
        <w:t xml:space="preserve">asynchronously [Cockroach Labs 2019].</w:t>
      </w:r>
    </w:p>
    <w:p>
      <w:pPr>
        <w:pStyle w:val="FirstParagraph"/>
      </w:pPr>
      <w:r>
        <w:rPr>
          <w:bCs/>
          <w:b/>
        </w:rPr>
        <w:t xml:space="preserve">Figure 28.14 — CockroachDB parallel commits.</w:t>
      </w:r>
    </w:p>
    <w:p>
      <w:pPr>
        <w:pStyle w:val="BodyText"/>
      </w:pPr>
      <w:r>
        <w:drawing>
          <wp:inline>
            <wp:extent cx="5334000" cy="2840442"/>
            <wp:effectExtent b="0" l="0" r="0" t="0"/>
            <wp:docPr descr="" title="" id="3206" name="Picture"/>
            <a:graphic>
              <a:graphicData uri="http://schemas.openxmlformats.org/drawingml/2006/picture">
                <pic:pic>
                  <pic:nvPicPr>
                    <pic:cNvPr descr="/home/user/System-Design/build/.cache/diagrams/e06888d74edc.png" id="3207" name="Picture"/>
                    <pic:cNvPicPr>
                      <a:picLocks noChangeArrowheads="1" noChangeAspect="1"/>
                    </pic:cNvPicPr>
                  </pic:nvPicPr>
                  <pic:blipFill>
                    <a:blip r:embed="rId3205"/>
                    <a:stretch>
                      <a:fillRect/>
                    </a:stretch>
                  </pic:blipFill>
                  <pic:spPr bwMode="auto">
                    <a:xfrm>
                      <a:off x="0" y="0"/>
                      <a:ext cx="5334000" cy="2840442"/>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three writes are independent Raft proposals in different ranges, issued concurrently, so the client waits for one consensus round, not two.</w:t>
      </w:r>
      <w:r>
        <w:t xml:space="preserve"> </w:t>
      </w:r>
      <w:r>
        <w:t xml:space="preserve">“</w:t>
      </w:r>
      <w:r>
        <w:t xml:space="preserve">Implicitly committed</w:t>
      </w:r>
      <w:r>
        <w:t xml:space="preserve">”</w:t>
      </w:r>
      <w:r>
        <w:t xml:space="preserve"> </w:t>
      </w:r>
      <w:r>
        <w:t xml:space="preserve">is a property any node can verify: a reader that finds a</w:t>
      </w:r>
      <w:r>
        <w:t xml:space="preserve"> </w:t>
      </w:r>
      <w:r>
        <w:rPr>
          <w:rStyle w:val="VerbatimChar"/>
        </w:rPr>
        <w:t xml:space="preserve">STAGING</w:t>
      </w:r>
      <w:r>
        <w:t xml:space="preserve"> </w:t>
      </w:r>
      <w:r>
        <w:t xml:space="preserve">record checks whether every listed intent exists at the staged timestamp, and if so treats the transaction as committed. The asynchronous arrows clean up afterwards. If the gateway dies, a recovering transaction completes it if all intents exist, or prevents the missing intent from being written and aborts it.</w:t>
      </w:r>
    </w:p>
    <w:p>
      <w:pPr>
        <w:pStyle w:val="CalloutFormula"/>
      </w:pPr>
      <w:r>
        <w:rPr>
          <w:bCs/>
          <w:b/>
        </w:rPr>
        <w:t xml:space="preserve">FORMULA</w:t>
      </w:r>
    </w:p>
    <w:p>
      <w:pPr>
        <w:pStyle w:val="CalloutFormula"/>
      </w:pPr>
      <w:r>
        <w:rPr>
          <w:bCs/>
          <w:b/>
        </w:rPr>
        <w:t xml:space="preserve">Commit latency in consensus rounds</w:t>
      </w:r>
    </w:p>
    <w:p>
      <w:pPr>
        <w:pStyle w:val="CalloutFormula"/>
      </w:pPr>
      <m:oMathPara>
        <m:oMathParaPr>
          <m:jc m:val="center"/>
        </m:oMathParaPr>
        <m:oMath>
          <m:sSub>
            <m:e>
              <m:r>
                <m:t>T</m:t>
              </m:r>
            </m:e>
            <m:sub>
              <m:r>
                <m:rPr>
                  <m:nor/>
                  <m:sty m:val="p"/>
                </m:rPr>
                <m:t>serial</m:t>
              </m:r>
            </m:sub>
          </m:sSub>
          <m:r>
            <m:rPr>
              <m:sty m:val="p"/>
            </m:rPr>
            <m:t>≈</m:t>
          </m:r>
          <m:r>
            <m:t>2</m:t>
          </m:r>
          <m:r>
            <m:t> </m:t>
          </m:r>
          <m:sSub>
            <m:e>
              <m:r>
                <m:t>T</m:t>
              </m:r>
            </m:e>
            <m:sub>
              <m:r>
                <m:rPr>
                  <m:nor/>
                  <m:sty m:val="p"/>
                </m:rPr>
                <m:t>c</m:t>
              </m:r>
            </m:sub>
          </m:sSub>
          <m:r>
            <m:t>  </m:t>
          </m:r>
          <m:sSub>
            <m:e>
              <m:r>
                <m:t>T</m:t>
              </m:r>
            </m:e>
            <m:sub>
              <m:r>
                <m:rPr>
                  <m:nor/>
                  <m:sty m:val="p"/>
                </m:rPr>
                <m:t>parallel</m:t>
              </m:r>
            </m:sub>
          </m:sSub>
          <m:r>
            <m:rPr>
              <m:sty m:val="p"/>
            </m:rPr>
            <m:t>≈</m:t>
          </m:r>
          <m:sSub>
            <m:e>
              <m:r>
                <m:t>T</m:t>
              </m:r>
            </m:e>
            <m:sub>
              <m:r>
                <m:rPr>
                  <m:nor/>
                  <m:sty m:val="p"/>
                </m:rPr>
                <m:t>c</m:t>
              </m:r>
            </m:sub>
          </m:sSub>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T</m:t>
                  </m:r>
                </m:e>
                <m:sub>
                  <m:r>
                    <m:rPr>
                      <m:nor/>
                      <m:sty m:val="p"/>
                    </m:rPr>
                    <m:t>c</m:t>
                  </m:r>
                </m:sub>
              </m:sSub>
            </m:oMath>
          </w:p>
        </w:tc>
        <w:tc>
          <w:tcPr/>
          <w:p>
            <w:pPr>
              <w:pStyle w:val="Compact"/>
              <w:jc w:val="left"/>
            </w:pPr>
            <w:r>
              <w:t xml:space="preserve">One consensus (Raft) round for the slowest range</w:t>
            </w:r>
          </w:p>
        </w:tc>
        <w:tc>
          <w:tcPr/>
          <w:p>
            <w:pPr>
              <w:pStyle w:val="Compact"/>
              <w:jc w:val="left"/>
            </w:pPr>
            <w:r>
              <w:t xml:space="preserve">ms</w:t>
            </w:r>
          </w:p>
        </w:tc>
      </w:tr>
      <w:tr>
        <w:tc>
          <w:tcPr/>
          <w:p>
            <w:pPr>
              <w:pStyle w:val="Compact"/>
              <w:jc w:val="left"/>
            </w:pPr>
            <m:oMath>
              <m:sSub>
                <m:e>
                  <m:r>
                    <m:t>T</m:t>
                  </m:r>
                </m:e>
                <m:sub>
                  <m:r>
                    <m:rPr>
                      <m:nor/>
                      <m:sty m:val="p"/>
                    </m:rPr>
                    <m:t>serial</m:t>
                  </m:r>
                </m:sub>
              </m:sSub>
            </m:oMath>
          </w:p>
        </w:tc>
        <w:tc>
          <w:tcPr/>
          <w:p>
            <w:pPr>
              <w:pStyle w:val="Compact"/>
              <w:jc w:val="left"/>
            </w:pPr>
            <w:r>
              <w:t xml:space="preserve">Commit with intents then a committed record</w:t>
            </w:r>
          </w:p>
        </w:tc>
        <w:tc>
          <w:tcPr/>
          <w:p>
            <w:pPr>
              <w:pStyle w:val="Compact"/>
              <w:jc w:val="left"/>
            </w:pPr>
            <w:r>
              <w:t xml:space="preserve">ms</w:t>
            </w:r>
          </w:p>
        </w:tc>
      </w:tr>
      <w:tr>
        <w:tc>
          <w:tcPr/>
          <w:p>
            <w:pPr>
              <w:pStyle w:val="Compact"/>
              <w:jc w:val="left"/>
            </w:pPr>
            <m:oMath>
              <m:sSub>
                <m:e>
                  <m:r>
                    <m:t>T</m:t>
                  </m:r>
                </m:e>
                <m:sub>
                  <m:r>
                    <m:rPr>
                      <m:nor/>
                      <m:sty m:val="p"/>
                    </m:rPr>
                    <m:t>parallel</m:t>
                  </m:r>
                </m:sub>
              </m:sSub>
            </m:oMath>
          </w:p>
        </w:tc>
        <w:tc>
          <w:tcPr/>
          <w:p>
            <w:pPr>
              <w:pStyle w:val="Compact"/>
              <w:jc w:val="left"/>
            </w:pPr>
            <w:r>
              <w:t xml:space="preserve">Commit with parallel commits</w:t>
            </w:r>
          </w:p>
        </w:tc>
        <w:tc>
          <w:tcPr/>
          <w:p>
            <w:pPr>
              <w:pStyle w:val="Compact"/>
              <w:jc w:val="left"/>
            </w:pPr>
            <w:r>
              <w:t xml:space="preserve">ms</w:t>
            </w:r>
          </w:p>
        </w:tc>
      </w:tr>
    </w:tbl>
    <w:p>
      <w:pPr>
        <w:pStyle w:val="CalloutExample"/>
      </w:pPr>
      <w:r>
        <w:rPr>
          <w:bCs/>
          <w:b/>
        </w:rPr>
        <w:t xml:space="preserve">WORKED EXAMPLE</w:t>
      </w:r>
    </w:p>
    <w:p>
      <w:pPr>
        <w:pStyle w:val="CalloutExample"/>
      </w:pPr>
      <w:r>
        <w:rPr>
          <w:bCs/>
          <w:b/>
        </w:rPr>
        <w:t xml:space="preserve">Worked example — A multi-region cluster.</w:t>
      </w:r>
      <w:r>
        <w:t xml:space="preserve"> </w:t>
      </w:r>
      <w:r>
        <w:t xml:space="preserve">Ranges have voters in three regions and</w:t>
      </w:r>
      <w:r>
        <w:t xml:space="preserve"> </w:t>
      </w:r>
      <m:oMath>
        <m:sSub>
          <m:e>
            <m:r>
              <m:t>T</m:t>
            </m:r>
          </m:e>
          <m:sub>
            <m:r>
              <m:rPr>
                <m:nor/>
                <m:sty m:val="p"/>
              </m:rPr>
              <m:t>c</m:t>
            </m:r>
          </m:sub>
        </m:sSub>
        <m:r>
          <m:rPr>
            <m:sty m:val="p"/>
          </m:rPr>
          <m:t>=</m:t>
        </m:r>
        <m:r>
          <m:t>40</m:t>
        </m:r>
      </m:oMath>
      <w:r>
        <w:t xml:space="preserve"> </w:t>
      </w:r>
      <w:r>
        <w:t xml:space="preserve">ms. Serial commit:</w:t>
      </w:r>
      <w:r>
        <w:t xml:space="preserve"> </w:t>
      </w:r>
      <m:oMath>
        <m:r>
          <m:t>2</m:t>
        </m:r>
        <m:r>
          <m:rPr>
            <m:sty m:val="p"/>
          </m:rPr>
          <m:t>×</m:t>
        </m:r>
        <m:r>
          <m:t>40</m:t>
        </m:r>
        <m:r>
          <m:rPr>
            <m:sty m:val="p"/>
          </m:rPr>
          <m:t>=</m:t>
        </m:r>
        <m:r>
          <m:t>80</m:t>
        </m:r>
      </m:oMath>
      <w:r>
        <w:t xml:space="preserve"> </w:t>
      </w:r>
      <w:r>
        <w:t xml:space="preserve">ms. Parallel commit: 40 ms, halving commit latency. In one region with</w:t>
      </w:r>
      <w:r>
        <w:t xml:space="preserve"> </w:t>
      </w:r>
      <m:oMath>
        <m:sSub>
          <m:e>
            <m:r>
              <m:t>T</m:t>
            </m:r>
          </m:e>
          <m:sub>
            <m:r>
              <m:rPr>
                <m:nor/>
                <m:sty m:val="p"/>
              </m:rPr>
              <m:t>c</m:t>
            </m:r>
          </m:sub>
        </m:sSub>
        <m:r>
          <m:rPr>
            <m:sty m:val="p"/>
          </m:rPr>
          <m:t>=</m:t>
        </m:r>
        <m:r>
          <m:t>2</m:t>
        </m:r>
      </m:oMath>
      <w:r>
        <w:t xml:space="preserve"> </w:t>
      </w:r>
      <w:r>
        <w:t xml:space="preserve">ms the saving is 2 ms, worth having but not decisive.</w:t>
      </w:r>
      <w:r>
        <w:t xml:space="preserve"> </w:t>
      </w:r>
      <w:r>
        <w:rPr>
          <w:bCs/>
          <w:b/>
        </w:rPr>
        <w:t xml:space="preserve">Engineering implication.</w:t>
      </w:r>
      <w:r>
        <w:t xml:space="preserve"> </w:t>
      </w:r>
      <w:r>
        <w:t xml:space="preserve">Commit protocols matter most where consensus rounds are expensive, which is exactly where geo-distributed SQL is deployed.</w:t>
      </w:r>
    </w:p>
    <w:bookmarkEnd w:id="3208"/>
    <w:bookmarkEnd w:id="3209"/>
    <w:bookmarkStart w:id="3210" w:name="yugabytedb"/>
    <w:p>
      <w:pPr>
        <w:pStyle w:val="Heading3"/>
      </w:pPr>
      <w:r>
        <w:t xml:space="preserve">28.10.2 YugabyteDB</w:t>
      </w:r>
    </w:p>
    <w:p>
      <w:pPr>
        <w:pStyle w:val="FirstParagraph"/>
      </w:pPr>
      <w:r>
        <w:t xml:space="preserve">YugabyteDB reuses PostgreSQL’s query layer code above a distributed storage engine,</w:t>
      </w:r>
      <w:r>
        <w:t xml:space="preserve"> </w:t>
      </w:r>
      <w:r>
        <w:rPr>
          <w:bCs/>
          <w:b/>
        </w:rPr>
        <w:t xml:space="preserve">DocDB</w:t>
      </w:r>
      <w:r>
        <w:t xml:space="preserve">, which splits tables into</w:t>
      </w:r>
      <w:r>
        <w:t xml:space="preserve"> </w:t>
      </w:r>
      <w:r>
        <w:rPr>
          <w:bCs/>
          <w:b/>
        </w:rPr>
        <w:t xml:space="preserve">tablets</w:t>
      </w:r>
      <w:r>
        <w:t xml:space="preserve"> </w:t>
      </w:r>
      <w:r>
        <w:t xml:space="preserve">replicated by Raft. Multi-tablet transactions write</w:t>
      </w:r>
      <w:r>
        <w:t xml:space="preserve"> </w:t>
      </w:r>
      <w:r>
        <w:rPr>
          <w:bCs/>
          <w:b/>
        </w:rPr>
        <w:t xml:space="preserve">provisional records</w:t>
      </w:r>
      <w:r>
        <w:t xml:space="preserve"> </w:t>
      </w:r>
      <w:r>
        <w:t xml:space="preserve">(intents) to each tablet and keep their state in a</w:t>
      </w:r>
      <w:r>
        <w:t xml:space="preserve"> </w:t>
      </w:r>
      <w:r>
        <w:rPr>
          <w:bCs/>
          <w:b/>
        </w:rPr>
        <w:t xml:space="preserve">transaction status tablet</w:t>
      </w:r>
      <w:r>
        <w:t xml:space="preserve">, again a replicated record that decides the outcome. Timestamps come from</w:t>
      </w:r>
      <w:r>
        <w:t xml:space="preserve"> </w:t>
      </w:r>
      <w:r>
        <w:rPr>
          <w:bCs/>
          <w:b/>
        </w:rPr>
        <w:t xml:space="preserve">hybrid time</w:t>
      </w:r>
      <w:r>
        <w:t xml:space="preserve">, an HLC, with a bounded maximum clock skew used for read uncertainty, as in CockroachDB. Single-row and single-tablet operations take a fast path without a status record. It supports snapshot, serializable and read committed isolation [YugabyteDB Docs: Distributed Transactions].</w:t>
      </w:r>
    </w:p>
    <w:bookmarkEnd w:id="3210"/>
    <w:bookmarkStart w:id="3212" w:name="tidb"/>
    <w:p>
      <w:pPr>
        <w:pStyle w:val="Heading3"/>
      </w:pPr>
      <w:r>
        <w:t xml:space="preserve">28.10.3 TiDB</w:t>
      </w:r>
    </w:p>
    <w:p>
      <w:pPr>
        <w:pStyle w:val="FirstParagraph"/>
      </w:pPr>
      <w:r>
        <w:t xml:space="preserve">TiDB, described in §28.7.3, runs Percolator over Raft Regions with a central timestamp oracle in PD, defaulting to snapshot isolation with pessimistic locking, with async commit and one-phase commit as optimizations [Huang et al. 2020].</w:t>
      </w:r>
    </w:p>
    <w:p>
      <w:pPr>
        <w:pStyle w:val="BodyText"/>
      </w:pPr>
      <w:r>
        <w:rPr>
          <w:bCs/>
          <w:b/>
        </w:rPr>
        <w:t xml:space="preserve">Table 28.6 — Distributed SQL databases compared (as of 2026).</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Row</w:t>
            </w:r>
          </w:p>
        </w:tc>
        <w:tc>
          <w:tcPr/>
          <w:p>
            <w:pPr>
              <w:pStyle w:val="Compact"/>
              <w:jc w:val="left"/>
            </w:pPr>
            <w:r>
              <w:t xml:space="preserve">Spanner</w:t>
            </w:r>
          </w:p>
        </w:tc>
        <w:tc>
          <w:tcPr/>
          <w:p>
            <w:pPr>
              <w:pStyle w:val="Compact"/>
              <w:jc w:val="left"/>
            </w:pPr>
            <w:r>
              <w:t xml:space="preserve">CockroachDB</w:t>
            </w:r>
          </w:p>
        </w:tc>
        <w:tc>
          <w:tcPr/>
          <w:p>
            <w:pPr>
              <w:pStyle w:val="Compact"/>
              <w:jc w:val="left"/>
            </w:pPr>
            <w:r>
              <w:t xml:space="preserve">YugabyteDB</w:t>
            </w:r>
          </w:p>
        </w:tc>
        <w:tc>
          <w:tcPr/>
          <w:p>
            <w:pPr>
              <w:pStyle w:val="Compact"/>
              <w:jc w:val="left"/>
            </w:pPr>
            <w:r>
              <w:t xml:space="preserve">TiDB</w:t>
            </w:r>
          </w:p>
        </w:tc>
      </w:tr>
      <w:tr>
        <w:tc>
          <w:tcPr/>
          <w:p>
            <w:pPr>
              <w:pStyle w:val="Compact"/>
              <w:jc w:val="left"/>
            </w:pPr>
            <w:r>
              <w:t xml:space="preserve">What it is</w:t>
            </w:r>
          </w:p>
        </w:tc>
        <w:tc>
          <w:tcPr/>
          <w:p>
            <w:pPr>
              <w:pStyle w:val="Compact"/>
              <w:jc w:val="left"/>
            </w:pPr>
            <w:r>
              <w:t xml:space="preserve">Google’s globally distributed database, managed service</w:t>
            </w:r>
          </w:p>
        </w:tc>
        <w:tc>
          <w:tcPr/>
          <w:p>
            <w:pPr>
              <w:pStyle w:val="Compact"/>
              <w:jc w:val="left"/>
            </w:pPr>
            <w:r>
              <w:t xml:space="preserve">PostgreSQL-wire-compatible distributed SQL</w:t>
            </w:r>
          </w:p>
        </w:tc>
        <w:tc>
          <w:tcPr/>
          <w:p>
            <w:pPr>
              <w:pStyle w:val="Compact"/>
              <w:jc w:val="left"/>
            </w:pPr>
            <w:r>
              <w:t xml:space="preserve">PostgreSQL-compatible distributed SQL</w:t>
            </w:r>
          </w:p>
        </w:tc>
        <w:tc>
          <w:tcPr/>
          <w:p>
            <w:pPr>
              <w:pStyle w:val="Compact"/>
              <w:jc w:val="left"/>
            </w:pPr>
            <w:r>
              <w:t xml:space="preserve">MySQL-compatible distributed SQL with HTAP</w:t>
            </w:r>
          </w:p>
        </w:tc>
      </w:tr>
      <w:tr>
        <w:tc>
          <w:tcPr/>
          <w:p>
            <w:pPr>
              <w:pStyle w:val="Compact"/>
              <w:jc w:val="left"/>
            </w:pPr>
            <w:r>
              <w:t xml:space="preserve">How it works</w:t>
            </w:r>
          </w:p>
        </w:tc>
        <w:tc>
          <w:tcPr/>
          <w:p>
            <w:pPr>
              <w:pStyle w:val="Compact"/>
              <w:jc w:val="left"/>
            </w:pPr>
            <w:r>
              <w:t xml:space="preserve">Paxos groups, 2PL, 2PC across groups, TrueTime commit wait</w:t>
            </w:r>
          </w:p>
        </w:tc>
        <w:tc>
          <w:tcPr/>
          <w:p>
            <w:pPr>
              <w:pStyle w:val="Compact"/>
              <w:jc w:val="left"/>
            </w:pPr>
            <w:r>
              <w:t xml:space="preserve">Raft ranges, HLC, intents, transaction record, parallel commits</w:t>
            </w:r>
          </w:p>
        </w:tc>
        <w:tc>
          <w:tcPr/>
          <w:p>
            <w:pPr>
              <w:pStyle w:val="Compact"/>
              <w:jc w:val="left"/>
            </w:pPr>
            <w:r>
              <w:t xml:space="preserve">Raft tablets, hybrid time, intents, status tablet</w:t>
            </w:r>
          </w:p>
        </w:tc>
        <w:tc>
          <w:tcPr/>
          <w:p>
            <w:pPr>
              <w:pStyle w:val="Compact"/>
              <w:jc w:val="left"/>
            </w:pPr>
            <w:r>
              <w:t xml:space="preserve">Raft Regions, PD timestamp oracle, Percolator 2PC</w:t>
            </w:r>
          </w:p>
        </w:tc>
      </w:tr>
      <w:tr>
        <w:tc>
          <w:tcPr/>
          <w:p>
            <w:pPr>
              <w:pStyle w:val="Compact"/>
              <w:jc w:val="left"/>
            </w:pPr>
            <w:r>
              <w:t xml:space="preserve">Default isolation</w:t>
            </w:r>
          </w:p>
        </w:tc>
        <w:tc>
          <w:tcPr/>
          <w:p>
            <w:pPr>
              <w:pStyle w:val="Compact"/>
              <w:jc w:val="left"/>
            </w:pPr>
            <w:r>
              <w:t xml:space="preserve">Serializable, externally consistent</w:t>
            </w:r>
          </w:p>
        </w:tc>
        <w:tc>
          <w:tcPr/>
          <w:p>
            <w:pPr>
              <w:pStyle w:val="Compact"/>
              <w:jc w:val="left"/>
            </w:pPr>
            <w:r>
              <w:t xml:space="preserve">Serializable</w:t>
            </w:r>
          </w:p>
        </w:tc>
        <w:tc>
          <w:tcPr/>
          <w:p>
            <w:pPr>
              <w:pStyle w:val="Compact"/>
              <w:jc w:val="left"/>
            </w:pPr>
            <w:r>
              <w:t xml:space="preserve">Snapshot (YSQL)</w:t>
            </w:r>
          </w:p>
        </w:tc>
        <w:tc>
          <w:tcPr/>
          <w:p>
            <w:pPr>
              <w:pStyle w:val="Compact"/>
              <w:jc w:val="left"/>
            </w:pPr>
            <w:r>
              <w:t xml:space="preserve">Snapshot (</w:t>
            </w:r>
            <w:r>
              <w:rPr>
                <w:rStyle w:val="VerbatimChar"/>
              </w:rPr>
              <w:t xml:space="preserve">REPEATABLE READ</w:t>
            </w:r>
            <w:r>
              <w:t xml:space="preserve">), pessimistic locking</w:t>
            </w:r>
          </w:p>
        </w:tc>
      </w:tr>
      <w:tr>
        <w:tc>
          <w:tcPr/>
          <w:p>
            <w:pPr>
              <w:pStyle w:val="Compact"/>
              <w:jc w:val="left"/>
            </w:pPr>
            <w:r>
              <w:t xml:space="preserve">Advantages</w:t>
            </w:r>
          </w:p>
        </w:tc>
        <w:tc>
          <w:tcPr/>
          <w:p>
            <w:pPr>
              <w:pStyle w:val="Compact"/>
              <w:jc w:val="left"/>
            </w:pPr>
            <w:r>
              <w:t xml:space="preserve">Strongest guarantee; lock-free snapshot reads anywhere</w:t>
            </w:r>
          </w:p>
        </w:tc>
        <w:tc>
          <w:tcPr/>
          <w:p>
            <w:pPr>
              <w:pStyle w:val="Compact"/>
              <w:jc w:val="left"/>
            </w:pPr>
            <w:r>
              <w:t xml:space="preserve">No special clocks; geo-partitioning; serializable default</w:t>
            </w:r>
          </w:p>
        </w:tc>
        <w:tc>
          <w:tcPr/>
          <w:p>
            <w:pPr>
              <w:pStyle w:val="Compact"/>
              <w:jc w:val="left"/>
            </w:pPr>
            <w:r>
              <w:t xml:space="preserve">PostgreSQL feature compatibility; flexible isolation</w:t>
            </w:r>
          </w:p>
        </w:tc>
        <w:tc>
          <w:tcPr/>
          <w:p>
            <w:pPr>
              <w:pStyle w:val="Compact"/>
              <w:jc w:val="left"/>
            </w:pPr>
            <w:r>
              <w:t xml:space="preserve">MySQL compatibility; columnar replicas for analytics</w:t>
            </w:r>
          </w:p>
        </w:tc>
      </w:tr>
      <w:tr>
        <w:tc>
          <w:tcPr/>
          <w:p>
            <w:pPr>
              <w:pStyle w:val="Compact"/>
              <w:jc w:val="left"/>
            </w:pPr>
            <w:r>
              <w:t xml:space="preserve">Disadvantages</w:t>
            </w:r>
          </w:p>
        </w:tc>
        <w:tc>
          <w:tcPr/>
          <w:p>
            <w:pPr>
              <w:pStyle w:val="Compact"/>
              <w:jc w:val="left"/>
            </w:pPr>
            <w:r>
              <w:t xml:space="preserve">Google Cloud only; commit wait</w:t>
            </w:r>
          </w:p>
        </w:tc>
        <w:tc>
          <w:tcPr/>
          <w:p>
            <w:pPr>
              <w:pStyle w:val="Compact"/>
              <w:jc w:val="left"/>
            </w:pPr>
            <w:r>
              <w:t xml:space="preserve">Retries under contention; uncertainty restarts</w:t>
            </w:r>
          </w:p>
        </w:tc>
        <w:tc>
          <w:tcPr/>
          <w:p>
            <w:pPr>
              <w:pStyle w:val="Compact"/>
              <w:jc w:val="left"/>
            </w:pPr>
            <w:r>
              <w:t xml:space="preserve">Clock-skew bound; younger ecosystem</w:t>
            </w:r>
          </w:p>
        </w:tc>
        <w:tc>
          <w:tcPr/>
          <w:p>
            <w:pPr>
              <w:pStyle w:val="Compact"/>
              <w:jc w:val="left"/>
            </w:pPr>
            <w:r>
              <w:t xml:space="preserve">Central oracle limits geo-distribution</w:t>
            </w:r>
          </w:p>
        </w:tc>
      </w:tr>
      <w:tr>
        <w:tc>
          <w:tcPr/>
          <w:p>
            <w:pPr>
              <w:pStyle w:val="Compact"/>
              <w:jc w:val="left"/>
            </w:pPr>
            <w:r>
              <w:t xml:space="preserve">Performance</w:t>
            </w:r>
          </w:p>
        </w:tc>
        <w:tc>
          <w:tcPr/>
          <w:p>
            <w:pPr>
              <w:pStyle w:val="Compact"/>
              <w:jc w:val="left"/>
            </w:pPr>
            <w:r>
              <w:t xml:space="preserve">Bounded by Paxos RTT and</w:t>
            </w:r>
            <w:r>
              <w:t xml:space="preserve"> </w:t>
            </w:r>
            <m:oMath>
              <m:r>
                <m:t>2</m:t>
              </m:r>
              <m:acc>
                <m:accPr>
                  <m:chr m:val="‾"/>
                </m:accPr>
                <m:e>
                  <m:r>
                    <m:t>ε</m:t>
                  </m:r>
                </m:e>
              </m:acc>
            </m:oMath>
          </w:p>
        </w:tc>
        <w:tc>
          <w:tcPr/>
          <w:p>
            <w:pPr>
              <w:pStyle w:val="Compact"/>
              <w:jc w:val="left"/>
            </w:pPr>
            <w:r>
              <w:t xml:space="preserve">One consensus round per commit with parallel commits</w:t>
            </w:r>
          </w:p>
        </w:tc>
        <w:tc>
          <w:tcPr/>
          <w:p>
            <w:pPr>
              <w:pStyle w:val="Compact"/>
              <w:jc w:val="left"/>
            </w:pPr>
            <w:r>
              <w:t xml:space="preserve">One consensus round for single-tablet writes</w:t>
            </w:r>
          </w:p>
        </w:tc>
        <w:tc>
          <w:tcPr/>
          <w:p>
            <w:pPr>
              <w:pStyle w:val="Compact"/>
              <w:jc w:val="left"/>
            </w:pPr>
            <w:r>
              <w:t xml:space="preserve">Oracle RTTs plus prewrite and commit; async commit saves one</w:t>
            </w:r>
          </w:p>
        </w:tc>
      </w:tr>
      <w:tr>
        <w:tc>
          <w:tcPr/>
          <w:p>
            <w:pPr>
              <w:pStyle w:val="Compact"/>
              <w:jc w:val="left"/>
            </w:pPr>
            <w:r>
              <w:t xml:space="preserve">Operational complexity</w:t>
            </w:r>
          </w:p>
        </w:tc>
        <w:tc>
          <w:tcPr/>
          <w:p>
            <w:pPr>
              <w:pStyle w:val="Compact"/>
              <w:jc w:val="left"/>
            </w:pPr>
            <w:r>
              <w:t xml:space="preserve">Low (managed)</w:t>
            </w:r>
          </w:p>
        </w:tc>
        <w:tc>
          <w:tcPr/>
          <w:p>
            <w:pPr>
              <w:pStyle w:val="Compact"/>
              <w:jc w:val="left"/>
            </w:pPr>
            <w:r>
              <w:t xml:space="preserve">Moderate; clock sync must be monitored</w:t>
            </w:r>
          </w:p>
        </w:tc>
        <w:tc>
          <w:tcPr/>
          <w:p>
            <w:pPr>
              <w:pStyle w:val="Compact"/>
              <w:jc w:val="left"/>
            </w:pPr>
            <w:r>
              <w:t xml:space="preserve">Moderate</w:t>
            </w:r>
          </w:p>
        </w:tc>
        <w:tc>
          <w:tcPr/>
          <w:p>
            <w:pPr>
              <w:pStyle w:val="Compact"/>
              <w:jc w:val="left"/>
            </w:pPr>
            <w:r>
              <w:t xml:space="preserve">Moderate to high: TiDB, TiKV, PD, TiFlash</w:t>
            </w:r>
          </w:p>
        </w:tc>
      </w:tr>
      <w:tr>
        <w:tc>
          <w:tcPr/>
          <w:p>
            <w:pPr>
              <w:pStyle w:val="Compact"/>
              <w:jc w:val="left"/>
            </w:pPr>
            <w:r>
              <w:t xml:space="preserve">Cost</w:t>
            </w:r>
          </w:p>
        </w:tc>
        <w:tc>
          <w:tcPr/>
          <w:p>
            <w:pPr>
              <w:pStyle w:val="Compact"/>
              <w:jc w:val="left"/>
            </w:pPr>
            <w:r>
              <w:t xml:space="preserve">Managed pricing per node or processing unit</w:t>
            </w:r>
          </w:p>
        </w:tc>
        <w:tc>
          <w:tcPr/>
          <w:p>
            <w:pPr>
              <w:pStyle w:val="Compact"/>
              <w:jc w:val="left"/>
            </w:pPr>
            <w:r>
              <w:t xml:space="preserve">Open-source core and commercial licenses; managed cloud</w:t>
            </w:r>
          </w:p>
        </w:tc>
        <w:tc>
          <w:tcPr/>
          <w:p>
            <w:pPr>
              <w:pStyle w:val="Compact"/>
              <w:jc w:val="left"/>
            </w:pPr>
            <w:r>
              <w:t xml:space="preserve">Open source; managed cloud</w:t>
            </w:r>
          </w:p>
        </w:tc>
        <w:tc>
          <w:tcPr/>
          <w:p>
            <w:pPr>
              <w:pStyle w:val="Compact"/>
              <w:jc w:val="left"/>
            </w:pPr>
            <w:r>
              <w:t xml:space="preserve">Open source; managed cloud</w:t>
            </w:r>
          </w:p>
        </w:tc>
      </w:tr>
      <w:tr>
        <w:tc>
          <w:tcPr/>
          <w:p>
            <w:pPr>
              <w:pStyle w:val="Compact"/>
              <w:jc w:val="left"/>
            </w:pPr>
            <w:r>
              <w:t xml:space="preserve">Use cases</w:t>
            </w:r>
          </w:p>
        </w:tc>
        <w:tc>
          <w:tcPr/>
          <w:p>
            <w:pPr>
              <w:pStyle w:val="Compact"/>
              <w:jc w:val="left"/>
            </w:pPr>
            <w:r>
              <w:t xml:space="preserve">Global financial, advertising, inventory systems</w:t>
            </w:r>
          </w:p>
        </w:tc>
        <w:tc>
          <w:tcPr/>
          <w:p>
            <w:pPr>
              <w:pStyle w:val="Compact"/>
              <w:jc w:val="left"/>
            </w:pPr>
            <w:r>
              <w:t xml:space="preserve">Multi-region OLTP with data residency</w:t>
            </w:r>
          </w:p>
        </w:tc>
        <w:tc>
          <w:tcPr/>
          <w:p>
            <w:pPr>
              <w:pStyle w:val="Compact"/>
              <w:jc w:val="left"/>
            </w:pPr>
            <w:r>
              <w:t xml:space="preserve">Migrating PostgreSQL apps that outgrew one node</w:t>
            </w:r>
          </w:p>
        </w:tc>
        <w:tc>
          <w:tcPr/>
          <w:p>
            <w:pPr>
              <w:pStyle w:val="Compact"/>
              <w:jc w:val="left"/>
            </w:pPr>
            <w:r>
              <w:t xml:space="preserve">Migrating sharded MySQL; real-time analytics on OLTP data</w:t>
            </w:r>
          </w:p>
        </w:tc>
      </w:tr>
      <w:tr>
        <w:tc>
          <w:tcPr/>
          <w:p>
            <w:pPr>
              <w:pStyle w:val="Compact"/>
              <w:jc w:val="left"/>
            </w:pPr>
            <w:r>
              <w:t xml:space="preserve">Choose when</w:t>
            </w:r>
          </w:p>
        </w:tc>
        <w:tc>
          <w:tcPr/>
          <w:p>
            <w:pPr>
              <w:pStyle w:val="Compact"/>
              <w:jc w:val="left"/>
            </w:pPr>
            <w:r>
              <w:t xml:space="preserve">You are on Google Cloud and need strict serializability globally</w:t>
            </w:r>
          </w:p>
        </w:tc>
        <w:tc>
          <w:tcPr/>
          <w:p>
            <w:pPr>
              <w:pStyle w:val="Compact"/>
              <w:jc w:val="left"/>
            </w:pPr>
            <w:r>
              <w:t xml:space="preserve">You need serializable SQL across regions on any cloud</w:t>
            </w:r>
          </w:p>
        </w:tc>
        <w:tc>
          <w:tcPr/>
          <w:p>
            <w:pPr>
              <w:pStyle w:val="Compact"/>
              <w:jc w:val="left"/>
            </w:pPr>
            <w:r>
              <w:t xml:space="preserve">You need PostgreSQL semantics at scale</w:t>
            </w:r>
          </w:p>
        </w:tc>
        <w:tc>
          <w:tcPr/>
          <w:p>
            <w:pPr>
              <w:pStyle w:val="Compact"/>
              <w:jc w:val="left"/>
            </w:pPr>
            <w:r>
              <w:t xml:space="preserve">You run MySQL and want to drop manual sharding</w:t>
            </w:r>
          </w:p>
        </w:tc>
      </w:tr>
    </w:tbl>
    <w:p>
      <w:pPr>
        <w:pStyle w:val="CalloutIndustry"/>
      </w:pPr>
      <w:r>
        <w:rPr>
          <w:bCs/>
          <w:b/>
        </w:rPr>
        <w:t xml:space="preserve">INDUSTRY EXAMPLE</w:t>
      </w:r>
    </w:p>
    <w:p>
      <w:pPr>
        <w:pStyle w:val="CalloutIndustry"/>
      </w:pPr>
      <w:r>
        <w:rPr>
          <w:bCs/>
          <w:b/>
        </w:rPr>
        <w:t xml:space="preserve">CockroachDB — geo-distributed OLTP.</w:t>
      </w:r>
      <w:r>
        <w:t xml:space="preserve"> </w:t>
      </w:r>
      <w:r>
        <w:t xml:space="preserve">Taft and colleagues give the goals as surviving zone and region failures automatically while keeping serializable SQL, with per-table or per-row placement for latency and residency; parallel commits and pipelined writes help most in multi-region deployments.</w:t>
      </w:r>
      <w:r>
        <w:t xml:space="preserve"> </w:t>
      </w:r>
      <w:r>
        <w:rPr>
          <w:iCs/>
          <w:i/>
        </w:rPr>
        <w:t xml:space="preserve">Evidence: Primary</w:t>
      </w:r>
      <w:r>
        <w:t xml:space="preserve"> </w:t>
      </w:r>
      <w:r>
        <w:t xml:space="preserve">— [Taft et al. 2020]</w:t>
      </w:r>
    </w:p>
    <w:p>
      <w:pPr>
        <w:pStyle w:val="CalloutMistake"/>
      </w:pPr>
      <w:r>
        <w:rPr>
          <w:bCs/>
          <w:b/>
        </w:rPr>
        <w:t xml:space="preserve">COMMON MISTAKE</w:t>
      </w:r>
    </w:p>
    <w:p>
      <w:pPr>
        <w:pStyle w:val="CalloutMistake"/>
      </w:pPr>
      <w:r>
        <w:rPr>
          <w:bCs/>
          <w:b/>
        </w:rPr>
        <w:t xml:space="preserve">Common misconception —</w:t>
      </w:r>
      <w:r>
        <w:rPr>
          <w:bCs/>
          <w:b/>
        </w:rPr>
        <w:t xml:space="preserve"> </w:t>
      </w:r>
      <w:r>
        <w:rPr>
          <w:bCs/>
          <w:b/>
        </w:rPr>
        <w:t xml:space="preserve">“</w:t>
      </w:r>
      <w:r>
        <w:rPr>
          <w:bCs/>
          <w:b/>
        </w:rPr>
        <w:t xml:space="preserve">A distributed SQL database makes cross-region transactions fast.</w:t>
      </w:r>
      <w:r>
        <w:rPr>
          <w:bCs/>
          <w:b/>
        </w:rPr>
        <w:t xml:space="preserve">”</w:t>
      </w:r>
      <w:r>
        <w:t xml:space="preserve"> </w:t>
      </w:r>
      <w:r>
        <w:t xml:space="preserve">It makes them</w:t>
      </w:r>
      <w:r>
        <w:t xml:space="preserve"> </w:t>
      </w:r>
      <w:r>
        <w:rPr>
          <w:iCs/>
          <w:i/>
        </w:rPr>
        <w:t xml:space="preserve">correct</w:t>
      </w:r>
      <w:r>
        <w:t xml:space="preserve">. Physics still sets the cost: any transaction whose data has voters in several regions pays at least one cross-region consensus round. Fast systems place data so that most transactions are regional.</w:t>
      </w:r>
    </w:p>
    <w:bookmarkStart w:id="3211" w:name="failure-scenarios-in-distributed-sql"/>
    <w:p>
      <w:pPr>
        <w:pStyle w:val="Heading4"/>
      </w:pPr>
      <w:r>
        <w:t xml:space="preserve">Failure scenarios in distributed SQL</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Spike in transaction retry errors</w:t>
            </w:r>
          </w:p>
        </w:tc>
        <w:tc>
          <w:tcPr/>
          <w:p>
            <w:pPr>
              <w:pStyle w:val="Compact"/>
              <w:jc w:val="left"/>
            </w:pPr>
            <w:r>
              <w:t xml:space="preserve">Contention, timestamp pushes failing read refresh</w:t>
            </w:r>
          </w:p>
        </w:tc>
        <w:tc>
          <w:tcPr/>
          <w:p>
            <w:pPr>
              <w:pStyle w:val="Compact"/>
              <w:jc w:val="left"/>
            </w:pPr>
            <w:r>
              <w:t xml:space="preserve">Retry and restart metrics by statement</w:t>
            </w:r>
          </w:p>
        </w:tc>
        <w:tc>
          <w:tcPr/>
          <w:p>
            <w:pPr>
              <w:pStyle w:val="Compact"/>
              <w:jc w:val="left"/>
            </w:pPr>
            <w:r>
              <w:t xml:space="preserve">Client retry loop with backoff</w:t>
            </w:r>
          </w:p>
        </w:tc>
        <w:tc>
          <w:tcPr/>
          <w:p>
            <w:pPr>
              <w:pStyle w:val="Compact"/>
              <w:jc w:val="left"/>
            </w:pPr>
            <w:r>
              <w:t xml:space="preserve">Shorter transactions; avoid hot keys;</w:t>
            </w:r>
            <w:r>
              <w:t xml:space="preserve"> </w:t>
            </w:r>
            <w:r>
              <w:rPr>
                <w:rStyle w:val="VerbatimChar"/>
              </w:rPr>
              <w:t xml:space="preserve">SELECT ... FOR UPDATE</w:t>
            </w:r>
          </w:p>
        </w:tc>
      </w:tr>
      <w:tr>
        <w:tc>
          <w:tcPr/>
          <w:p>
            <w:pPr>
              <w:pStyle w:val="Compact"/>
              <w:jc w:val="left"/>
            </w:pPr>
            <w:r>
              <w:t xml:space="preserve">Clock offset alarms, nodes exiting</w:t>
            </w:r>
          </w:p>
        </w:tc>
        <w:tc>
          <w:tcPr/>
          <w:p>
            <w:pPr>
              <w:pStyle w:val="Compact"/>
              <w:jc w:val="left"/>
            </w:pPr>
            <w:r>
              <w:t xml:space="preserve">NTP failure or VM pause beyond max offset</w:t>
            </w:r>
          </w:p>
        </w:tc>
        <w:tc>
          <w:tcPr/>
          <w:p>
            <w:pPr>
              <w:pStyle w:val="Compact"/>
              <w:jc w:val="left"/>
            </w:pPr>
            <w:r>
              <w:t xml:space="preserve">Clock-offset metrics</w:t>
            </w:r>
          </w:p>
        </w:tc>
        <w:tc>
          <w:tcPr/>
          <w:p>
            <w:pPr>
              <w:pStyle w:val="Compact"/>
              <w:jc w:val="left"/>
            </w:pPr>
            <w:r>
              <w:t xml:space="preserve">Fix time sync; restart nodes</w:t>
            </w:r>
          </w:p>
        </w:tc>
        <w:tc>
          <w:tcPr/>
          <w:p>
            <w:pPr>
              <w:pStyle w:val="Compact"/>
              <w:jc w:val="left"/>
            </w:pPr>
            <w:r>
              <w:t xml:space="preserve">Reliable time sync (PTP or cloud time service); alert early</w:t>
            </w:r>
          </w:p>
        </w:tc>
      </w:tr>
      <w:tr>
        <w:tc>
          <w:tcPr/>
          <w:p>
            <w:pPr>
              <w:pStyle w:val="Compact"/>
              <w:jc w:val="left"/>
            </w:pPr>
            <w:r>
              <w:t xml:space="preserve">Long-held locks after client crash</w:t>
            </w:r>
          </w:p>
        </w:tc>
        <w:tc>
          <w:tcPr/>
          <w:p>
            <w:pPr>
              <w:pStyle w:val="Compact"/>
              <w:jc w:val="left"/>
            </w:pPr>
            <w:r>
              <w:t xml:space="preserve">Abandoned intents or Percolator locks</w:t>
            </w:r>
          </w:p>
        </w:tc>
        <w:tc>
          <w:tcPr/>
          <w:p>
            <w:pPr>
              <w:pStyle w:val="Compact"/>
              <w:jc w:val="left"/>
            </w:pPr>
            <w:r>
              <w:t xml:space="preserve">Lock wait time</w:t>
            </w:r>
          </w:p>
        </w:tc>
        <w:tc>
          <w:tcPr/>
          <w:p>
            <w:pPr>
              <w:pStyle w:val="Compact"/>
              <w:jc w:val="left"/>
            </w:pPr>
            <w:r>
              <w:t xml:space="preserve">Lock resolution by readers, TTL expiry</w:t>
            </w:r>
          </w:p>
        </w:tc>
        <w:tc>
          <w:tcPr/>
          <w:p>
            <w:pPr>
              <w:pStyle w:val="Compact"/>
              <w:jc w:val="left"/>
            </w:pPr>
            <w:r>
              <w:t xml:space="preserve">Heartbeating transaction records; short TTLs</w:t>
            </w:r>
          </w:p>
        </w:tc>
      </w:tr>
    </w:tbl>
    <w:bookmarkEnd w:id="3211"/>
    <w:bookmarkEnd w:id="3212"/>
    <w:bookmarkEnd w:id="3213"/>
    <w:bookmarkStart w:id="3217" w:name="choosing-a-transaction-strategy"/>
    <w:p>
      <w:pPr>
        <w:pStyle w:val="Heading2"/>
      </w:pPr>
      <w:r>
        <w:t xml:space="preserve">28.11 Choosing a transaction strategy</w:t>
      </w:r>
    </w:p>
    <w:p>
      <w:pPr>
        <w:pStyle w:val="FirstParagraph"/>
      </w:pPr>
      <w:r>
        <w:t xml:space="preserve">Every mechanism in this chapter costs latency, availability or isolation. The best strategy therefore starts by</w:t>
      </w:r>
      <w:r>
        <w:t xml:space="preserve"> </w:t>
      </w:r>
      <w:r>
        <w:rPr>
          <w:iCs/>
          <w:i/>
        </w:rPr>
        <w:t xml:space="preserve">not needing</w:t>
      </w:r>
      <w:r>
        <w:t xml:space="preserve"> </w:t>
      </w:r>
      <w:r>
        <w:t xml:space="preserve">a distributed transaction, and climbs the ladder only as far as the requirements force it.</w:t>
      </w:r>
    </w:p>
    <w:p>
      <w:pPr>
        <w:pStyle w:val="BodyText"/>
      </w:pPr>
      <w:r>
        <w:rPr>
          <w:bCs/>
          <w:b/>
        </w:rPr>
        <w:t xml:space="preserve">Figure 28.15 — Choosing a transaction strategy.</w:t>
      </w:r>
    </w:p>
    <w:p>
      <w:pPr>
        <w:pStyle w:val="BodyText"/>
      </w:pPr>
      <w:r>
        <w:drawing>
          <wp:inline>
            <wp:extent cx="5334000" cy="9616906"/>
            <wp:effectExtent b="0" l="0" r="0" t="0"/>
            <wp:docPr descr="" title="" id="3215" name="Picture"/>
            <a:graphic>
              <a:graphicData uri="http://schemas.openxmlformats.org/drawingml/2006/picture">
                <pic:pic>
                  <pic:nvPicPr>
                    <pic:cNvPr descr="/home/user/System-Design/build/.cache/diagrams/31f823c7ac01.png" id="3216" name="Picture"/>
                    <pic:cNvPicPr>
                      <a:picLocks noChangeArrowheads="1" noChangeAspect="1"/>
                    </pic:cNvPicPr>
                  </pic:nvPicPr>
                  <pic:blipFill>
                    <a:blip r:embed="rId3214"/>
                    <a:stretch>
                      <a:fillRect/>
                    </a:stretch>
                  </pic:blipFill>
                  <pic:spPr bwMode="auto">
                    <a:xfrm>
                      <a:off x="0" y="0"/>
                      <a:ext cx="5334000" cy="9616906"/>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Decision nodes are questions about the data and the business, not the technology. The first question removes most distributed transactions: if a customer’s orders and order lines share</w:t>
      </w:r>
      <w:r>
        <w:t xml:space="preserve"> </w:t>
      </w:r>
      <w:r>
        <w:rPr>
          <w:rStyle w:val="VerbatimChar"/>
        </w:rPr>
        <w:t xml:space="preserve">customer_id</w:t>
      </w:r>
      <w:r>
        <w:t xml:space="preserve"> </w:t>
      </w:r>
      <w:r>
        <w:t xml:space="preserve">as partition key (§14.7), the transaction is local. Inside one distributed database, its own 2PC over consensus groups is the right tool when intermediate states must stay invisible; if they may be visible, the cheaper cross-service patterns also apply. Across services with separate databases, sagas (asynchronous, compensating) and the outbox (atomic local write plus at-least-once publication) replace atomic commitment with eventual, semantic consistency. Explicit XA across heterogeneous systems is the last resort.</w:t>
      </w:r>
    </w:p>
    <w:p>
      <w:pPr>
        <w:pStyle w:val="BodyText"/>
      </w:pPr>
      <w:r>
        <w:rPr>
          <w:bCs/>
          <w:b/>
        </w:rPr>
        <w:t xml:space="preserve">Table 28.7 — Transaction strategies compared.</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Strategy</w:t>
            </w:r>
          </w:p>
        </w:tc>
        <w:tc>
          <w:tcPr/>
          <w:p>
            <w:pPr>
              <w:pStyle w:val="Compact"/>
              <w:jc w:val="left"/>
            </w:pPr>
            <w:r>
              <w:t xml:space="preserve">Atomicity</w:t>
            </w:r>
          </w:p>
        </w:tc>
        <w:tc>
          <w:tcPr/>
          <w:p>
            <w:pPr>
              <w:pStyle w:val="Compact"/>
              <w:jc w:val="left"/>
            </w:pPr>
            <w:r>
              <w:t xml:space="preserve">Isolation</w:t>
            </w:r>
          </w:p>
        </w:tc>
        <w:tc>
          <w:tcPr/>
          <w:p>
            <w:pPr>
              <w:pStyle w:val="Compact"/>
              <w:jc w:val="left"/>
            </w:pPr>
            <w:r>
              <w:t xml:space="preserve">Latency</w:t>
            </w:r>
          </w:p>
        </w:tc>
        <w:tc>
          <w:tcPr/>
          <w:p>
            <w:pPr>
              <w:pStyle w:val="Compact"/>
              <w:jc w:val="left"/>
            </w:pPr>
            <w:r>
              <w:t xml:space="preserve">Availability</w:t>
            </w:r>
          </w:p>
        </w:tc>
        <w:tc>
          <w:tcPr/>
          <w:p>
            <w:pPr>
              <w:pStyle w:val="Compact"/>
              <w:jc w:val="left"/>
            </w:pPr>
            <w:r>
              <w:t xml:space="preserve">Choose when</w:t>
            </w:r>
          </w:p>
        </w:tc>
      </w:tr>
      <w:tr>
        <w:tc>
          <w:tcPr/>
          <w:p>
            <w:pPr>
              <w:pStyle w:val="Compact"/>
              <w:jc w:val="left"/>
            </w:pPr>
            <w:r>
              <w:t xml:space="preserve">Single-partition transaction</w:t>
            </w:r>
          </w:p>
        </w:tc>
        <w:tc>
          <w:tcPr/>
          <w:p>
            <w:pPr>
              <w:pStyle w:val="Compact"/>
              <w:jc w:val="left"/>
            </w:pPr>
            <w:r>
              <w:t xml:space="preserve">Full</w:t>
            </w:r>
          </w:p>
        </w:tc>
        <w:tc>
          <w:tcPr/>
          <w:p>
            <w:pPr>
              <w:pStyle w:val="Compact"/>
              <w:jc w:val="left"/>
            </w:pPr>
            <w:r>
              <w:t xml:space="preserve">Full (local)</w:t>
            </w:r>
          </w:p>
        </w:tc>
        <w:tc>
          <w:tcPr/>
          <w:p>
            <w:pPr>
              <w:pStyle w:val="Compact"/>
              <w:jc w:val="left"/>
            </w:pPr>
            <w:r>
              <w:t xml:space="preserve">One local or quorum write</w:t>
            </w:r>
          </w:p>
        </w:tc>
        <w:tc>
          <w:tcPr/>
          <w:p>
            <w:pPr>
              <w:pStyle w:val="Compact"/>
              <w:jc w:val="left"/>
            </w:pPr>
            <w:r>
              <w:t xml:space="preserve">One partition’s</w:t>
            </w:r>
          </w:p>
        </w:tc>
        <w:tc>
          <w:tcPr/>
          <w:p>
            <w:pPr>
              <w:pStyle w:val="Compact"/>
              <w:jc w:val="left"/>
            </w:pPr>
            <w:r>
              <w:t xml:space="preserve">You can choose the partition key</w:t>
            </w:r>
          </w:p>
        </w:tc>
      </w:tr>
      <w:tr>
        <w:tc>
          <w:tcPr/>
          <w:p>
            <w:pPr>
              <w:pStyle w:val="Compact"/>
              <w:jc w:val="left"/>
            </w:pPr>
            <w:r>
              <w:t xml:space="preserve">2PC over consensus groups</w:t>
            </w:r>
          </w:p>
        </w:tc>
        <w:tc>
          <w:tcPr/>
          <w:p>
            <w:pPr>
              <w:pStyle w:val="Compact"/>
              <w:jc w:val="left"/>
            </w:pPr>
            <w:r>
              <w:t xml:space="preserve">Full</w:t>
            </w:r>
          </w:p>
        </w:tc>
        <w:tc>
          <w:tcPr/>
          <w:p>
            <w:pPr>
              <w:pStyle w:val="Compact"/>
              <w:jc w:val="left"/>
            </w:pPr>
            <w:r>
              <w:t xml:space="preserve">Serializable or SI</w:t>
            </w:r>
          </w:p>
        </w:tc>
        <w:tc>
          <w:tcPr/>
          <w:p>
            <w:pPr>
              <w:pStyle w:val="Compact"/>
              <w:jc w:val="left"/>
            </w:pPr>
            <w:r>
              <w:t xml:space="preserve">2 quorum rounds (1 with parallel commits)</w:t>
            </w:r>
          </w:p>
        </w:tc>
        <w:tc>
          <w:tcPr/>
          <w:p>
            <w:pPr>
              <w:pStyle w:val="Compact"/>
              <w:jc w:val="left"/>
            </w:pPr>
            <w:r>
              <w:t xml:space="preserve">Product over groups, each highly available</w:t>
            </w:r>
          </w:p>
        </w:tc>
        <w:tc>
          <w:tcPr/>
          <w:p>
            <w:pPr>
              <w:pStyle w:val="Compact"/>
              <w:jc w:val="left"/>
            </w:pPr>
            <w:r>
              <w:t xml:space="preserve">Data is in one distributed database</w:t>
            </w:r>
          </w:p>
        </w:tc>
      </w:tr>
      <w:tr>
        <w:tc>
          <w:tcPr/>
          <w:p>
            <w:pPr>
              <w:pStyle w:val="Compact"/>
              <w:jc w:val="left"/>
            </w:pPr>
            <w:r>
              <w:t xml:space="preserve">Explicit 2PC / XA</w:t>
            </w:r>
          </w:p>
        </w:tc>
        <w:tc>
          <w:tcPr/>
          <w:p>
            <w:pPr>
              <w:pStyle w:val="Compact"/>
              <w:jc w:val="left"/>
            </w:pPr>
            <w:r>
              <w:t xml:space="preserve">Full</w:t>
            </w:r>
          </w:p>
        </w:tc>
        <w:tc>
          <w:tcPr/>
          <w:p>
            <w:pPr>
              <w:pStyle w:val="Compact"/>
              <w:jc w:val="left"/>
            </w:pPr>
            <w:r>
              <w:t xml:space="preserve">Depends on RMs</w:t>
            </w:r>
          </w:p>
        </w:tc>
        <w:tc>
          <w:tcPr/>
          <w:p>
            <w:pPr>
              <w:pStyle w:val="Compact"/>
              <w:jc w:val="left"/>
            </w:pPr>
            <w:r>
              <w:t xml:space="preserve">2 RTT + 2 forced writes</w:t>
            </w:r>
          </w:p>
        </w:tc>
        <w:tc>
          <w:tcPr/>
          <w:p>
            <w:pPr>
              <w:pStyle w:val="Compact"/>
              <w:jc w:val="left"/>
            </w:pPr>
            <w:r>
              <w:t xml:space="preserve">Product over unreplicated RMs; blocks</w:t>
            </w:r>
          </w:p>
        </w:tc>
        <w:tc>
          <w:tcPr/>
          <w:p>
            <w:pPr>
              <w:pStyle w:val="Compact"/>
              <w:jc w:val="left"/>
            </w:pPr>
            <w:r>
              <w:t xml:space="preserve">Heterogeneous resources, short transactions, no alternative</w:t>
            </w:r>
          </w:p>
        </w:tc>
      </w:tr>
      <w:tr>
        <w:tc>
          <w:tcPr/>
          <w:p>
            <w:pPr>
              <w:pStyle w:val="Compact"/>
              <w:jc w:val="left"/>
            </w:pPr>
            <w:r>
              <w:t xml:space="preserve">Saga</w:t>
            </w:r>
          </w:p>
        </w:tc>
        <w:tc>
          <w:tcPr/>
          <w:p>
            <w:pPr>
              <w:pStyle w:val="Compact"/>
              <w:jc w:val="left"/>
            </w:pPr>
            <w:r>
              <w:t xml:space="preserve">Semantic</w:t>
            </w:r>
          </w:p>
        </w:tc>
        <w:tc>
          <w:tcPr/>
          <w:p>
            <w:pPr>
              <w:pStyle w:val="Compact"/>
              <w:jc w:val="left"/>
            </w:pPr>
            <w:r>
              <w:t xml:space="preserve">None between steps</w:t>
            </w:r>
          </w:p>
        </w:tc>
        <w:tc>
          <w:tcPr/>
          <w:p>
            <w:pPr>
              <w:pStyle w:val="Compact"/>
              <w:jc w:val="left"/>
            </w:pPr>
            <w:r>
              <w:t xml:space="preserve">Sum of local steps, asynchronous</w:t>
            </w:r>
          </w:p>
        </w:tc>
        <w:tc>
          <w:tcPr/>
          <w:p>
            <w:pPr>
              <w:pStyle w:val="Compact"/>
              <w:jc w:val="left"/>
            </w:pPr>
            <w:r>
              <w:t xml:space="preserve">High; steps retry independently</w:t>
            </w:r>
          </w:p>
        </w:tc>
        <w:tc>
          <w:tcPr/>
          <w:p>
            <w:pPr>
              <w:pStyle w:val="Compact"/>
              <w:jc w:val="left"/>
            </w:pPr>
            <w:r>
              <w:t xml:space="preserve">Long-running cross-service processes</w:t>
            </w:r>
          </w:p>
        </w:tc>
      </w:tr>
      <w:tr>
        <w:tc>
          <w:tcPr/>
          <w:p>
            <w:pPr>
              <w:pStyle w:val="Compact"/>
              <w:jc w:val="left"/>
            </w:pPr>
            <w:r>
              <w:t xml:space="preserve">Transactional outbox</w:t>
            </w:r>
          </w:p>
        </w:tc>
        <w:tc>
          <w:tcPr/>
          <w:p>
            <w:pPr>
              <w:pStyle w:val="Compact"/>
              <w:jc w:val="left"/>
            </w:pPr>
            <w:r>
              <w:t xml:space="preserve">Local write plus guaranteed publish</w:t>
            </w:r>
          </w:p>
        </w:tc>
        <w:tc>
          <w:tcPr/>
          <w:p>
            <w:pPr>
              <w:pStyle w:val="Compact"/>
              <w:jc w:val="left"/>
            </w:pPr>
            <w:r>
              <w:t xml:space="preserve">Local only</w:t>
            </w:r>
          </w:p>
        </w:tc>
        <w:tc>
          <w:tcPr/>
          <w:p>
            <w:pPr>
              <w:pStyle w:val="Compact"/>
              <w:jc w:val="left"/>
            </w:pPr>
            <w:r>
              <w:t xml:space="preserve">One local commit</w:t>
            </w:r>
          </w:p>
        </w:tc>
        <w:tc>
          <w:tcPr/>
          <w:p>
            <w:pPr>
              <w:pStyle w:val="Compact"/>
              <w:jc w:val="left"/>
            </w:pPr>
            <w:r>
              <w:t xml:space="preserve">One service’s</w:t>
            </w:r>
          </w:p>
        </w:tc>
        <w:tc>
          <w:tcPr/>
          <w:p>
            <w:pPr>
              <w:pStyle w:val="Compact"/>
              <w:jc w:val="left"/>
            </w:pPr>
            <w:r>
              <w:t xml:space="preserve">One owner of the write, others react</w:t>
            </w:r>
          </w:p>
        </w:tc>
      </w:tr>
    </w:tbl>
    <w:p>
      <w:pPr>
        <w:pStyle w:val="CalloutRecommendation"/>
      </w:pPr>
      <w:r>
        <w:rPr>
          <w:bCs/>
          <w:b/>
        </w:rPr>
        <w:t xml:space="preserve">RECOMMENDATION</w:t>
      </w:r>
    </w:p>
    <w:p>
      <w:pPr>
        <w:pStyle w:val="CalloutRecommendation"/>
      </w:pPr>
      <w:r>
        <w:rPr>
          <w:bCs/>
          <w:b/>
        </w:rPr>
        <w:t xml:space="preserve">Recommendation — A default order of preference.</w:t>
      </w:r>
      <w:r>
        <w:t xml:space="preserve"> </w:t>
      </w:r>
      <w:r>
        <w:t xml:space="preserve">(1) Model data so that transactions are single-partition. (2) If not possible and the data lives in one system, use a distributed SQL database’s native transactions and keep them short and regional. (3) Across service boundaries, use sagas and the outbox (Chapter 32), with idempotent consumers. (4) Use XA only for short transactions between a few resources you control, and operate its recovery deliberately: monitor in-doubt transactions, protect the transaction manager’s log, forbid heuristic decisions without its records.</w:t>
      </w:r>
    </w:p>
    <w:p>
      <w:pPr>
        <w:pStyle w:val="CalloutExample"/>
      </w:pPr>
      <w:r>
        <w:rPr>
          <w:bCs/>
          <w:b/>
        </w:rPr>
        <w:t xml:space="preserve">WORKED EXAMPLE</w:t>
      </w:r>
    </w:p>
    <w:p>
      <w:pPr>
        <w:pStyle w:val="CalloutExample"/>
      </w:pPr>
      <w:r>
        <w:rPr>
          <w:bCs/>
          <w:b/>
        </w:rPr>
        <w:t xml:space="preserve">Worked example — A wallet service.</w:t>
      </w:r>
      <w:r>
        <w:t xml:space="preserve"> </w:t>
      </w:r>
      <w:r>
        <w:t xml:space="preserve">Each user’s wallet and transaction history share partition key</w:t>
      </w:r>
      <w:r>
        <w:t xml:space="preserve"> </w:t>
      </w:r>
      <w:r>
        <w:rPr>
          <w:rStyle w:val="VerbatimChar"/>
        </w:rPr>
        <w:t xml:space="preserve">user_id</w:t>
      </w:r>
      <w:r>
        <w:t xml:space="preserve">, so a purchase is single-partition (step 1). Peer-to-peer transfers touch two users. At 500 transfers/s in one region on CockroachDB, a parallel commit adds one consensus round, about 2 ms, which is acceptable, so native transactions are chosen (step 2). Paying out to an external bank cannot join any transaction, so the payout is a saga: debit the wallet, call the bank, and refund on rejection; the debit and the</w:t>
      </w:r>
      <w:r>
        <w:t xml:space="preserve"> </w:t>
      </w:r>
      <w:r>
        <w:t xml:space="preserve">“</w:t>
      </w:r>
      <w:r>
        <w:t xml:space="preserve">payout requested</w:t>
      </w:r>
      <w:r>
        <w:t xml:space="preserve">”</w:t>
      </w:r>
      <w:r>
        <w:t xml:space="preserve"> </w:t>
      </w:r>
      <w:r>
        <w:t xml:space="preserve">event are written together with an outbox (step 3).</w:t>
      </w:r>
    </w:p>
    <w:bookmarkEnd w:id="3217"/>
    <w:bookmarkStart w:id="3218" w:name="summary-and-revision-notes-27"/>
    <w:p>
      <w:pPr>
        <w:pStyle w:val="Heading2"/>
      </w:pPr>
      <w:r>
        <w:t xml:space="preserve">28.12 Summary and revision notes</w:t>
      </w:r>
    </w:p>
    <w:p>
      <w:pPr>
        <w:pStyle w:val="CalloutSummary"/>
      </w:pPr>
      <w:r>
        <w:rPr>
          <w:bCs/>
          <w:b/>
        </w:rPr>
        <w:t xml:space="preserve">SUMMARY</w:t>
      </w:r>
    </w:p>
    <w:p>
      <w:pPr>
        <w:numPr>
          <w:ilvl w:val="0"/>
          <w:numId w:val="1929"/>
        </w:numPr>
        <w:pStyle w:val="Compact"/>
      </w:pPr>
      <w:r>
        <w:rPr>
          <w:bCs/>
          <w:b/>
        </w:rPr>
        <w:t xml:space="preserve">Atomic commitment</w:t>
      </w:r>
      <w:r>
        <w:t xml:space="preserve"> </w:t>
      </w:r>
      <w:r>
        <w:t xml:space="preserve">needs every participant to reach the same irreversible decision, with any one able to veto. Partial failure and ambiguous silence make independent local commits unsafe (Figure 28.1).</w:t>
      </w:r>
    </w:p>
    <w:p>
      <w:pPr>
        <w:numPr>
          <w:ilvl w:val="0"/>
          <w:numId w:val="1929"/>
        </w:numPr>
        <w:pStyle w:val="Compact"/>
      </w:pPr>
      <w:r>
        <w:rPr>
          <w:bCs/>
          <w:b/>
        </w:rPr>
        <w:t xml:space="preserve">2PC</w:t>
      </w:r>
      <w:r>
        <w:t xml:space="preserve">: participants force a PREPARED record and vote; the coordinator forces the COMMIT record (the commit point) and propagates it. A prepared participant cannot decide alone, so a coordinator crash</w:t>
      </w:r>
      <w:r>
        <w:t xml:space="preserve"> </w:t>
      </w:r>
      <w:r>
        <w:rPr>
          <w:bCs/>
          <w:b/>
        </w:rPr>
        <w:t xml:space="preserve">blocks</w:t>
      </w:r>
      <w:r>
        <w:t xml:space="preserve"> </w:t>
      </w:r>
      <w:r>
        <w:t xml:space="preserve">in-doubt transactions and their locks.</w:t>
      </w:r>
    </w:p>
    <w:p>
      <w:pPr>
        <w:numPr>
          <w:ilvl w:val="0"/>
          <w:numId w:val="1929"/>
        </w:numPr>
        <w:pStyle w:val="Compact"/>
      </w:pPr>
      <w:r>
        <w:t xml:space="preserve">Exposure per crash is</w:t>
      </w:r>
      <w:r>
        <w:t xml:space="preserve"> </w:t>
      </w:r>
      <m:oMath>
        <m:sSub>
          <m:e>
            <m:r>
              <m:t>N</m:t>
            </m:r>
          </m:e>
          <m:sub>
            <m:r>
              <m:rPr>
                <m:nor/>
                <m:sty m:val="p"/>
              </m:rPr>
              <m:t>doubt</m:t>
            </m:r>
          </m:sub>
        </m:sSub>
        <m:r>
          <m:rPr>
            <m:sty m:val="p"/>
          </m:rPr>
          <m:t>=</m:t>
        </m:r>
        <m:r>
          <m:t>X</m:t>
        </m:r>
        <m:r>
          <m:t>w</m:t>
        </m:r>
      </m:oMath>
      <w:r>
        <w:t xml:space="preserve"> </w:t>
      </w:r>
      <w:r>
        <w:t xml:space="preserve">with</w:t>
      </w:r>
      <w:r>
        <w:t xml:space="preserve"> </w:t>
      </w:r>
      <m:oMath>
        <m:r>
          <m:t>w</m:t>
        </m:r>
        <m:r>
          <m:rPr>
            <m:sty m:val="p"/>
          </m:rPr>
          <m:t>≈</m:t>
        </m:r>
        <m:r>
          <m:rPr>
            <m:nor/>
            <m:sty m:val="p"/>
          </m:rPr>
          <m:t>RTT</m:t>
        </m:r>
        <m:r>
          <m:rPr>
            <m:sty m:val="p"/>
          </m:rPr>
          <m:t>+</m:t>
        </m:r>
        <m:sSub>
          <m:e>
            <m:r>
              <m:t>t</m:t>
            </m:r>
          </m:e>
          <m:sub>
            <m:r>
              <m:t>f</m:t>
            </m:r>
            <m:r>
              <m:rPr>
                <m:sty m:val="p"/>
              </m:rPr>
              <m:t>,</m:t>
            </m:r>
            <m:r>
              <m:t>c</m:t>
            </m:r>
          </m:sub>
        </m:sSub>
      </m:oMath>
      <w:r>
        <w:t xml:space="preserve">; latency is about</w:t>
      </w:r>
      <w:r>
        <w:t xml:space="preserve"> </w:t>
      </w:r>
      <m:oMath>
        <m:r>
          <m:t>2</m:t>
        </m:r>
        <m:r>
          <m:t> </m:t>
        </m:r>
        <m:r>
          <m:rPr>
            <m:nor/>
            <m:sty m:val="p"/>
          </m:rPr>
          <m:t>RTT</m:t>
        </m:r>
        <m:r>
          <m:rPr>
            <m:sty m:val="p"/>
          </m:rPr>
          <m:t>+</m:t>
        </m:r>
        <m:r>
          <m:t>2</m:t>
        </m:r>
        <m:sSub>
          <m:e>
            <m:r>
              <m:t>t</m:t>
            </m:r>
          </m:e>
          <m:sub>
            <m:r>
              <m:t>f</m:t>
            </m:r>
          </m:sub>
        </m:sSub>
      </m:oMath>
      <w:r>
        <w:t xml:space="preserve">; availability is</w:t>
      </w:r>
      <w:r>
        <w:t xml:space="preserve"> </w:t>
      </w:r>
      <m:oMath>
        <m:sSup>
          <m:e>
            <m:r>
              <m:t>A</m:t>
            </m:r>
          </m:e>
          <m:sup>
            <m:r>
              <m:t>k</m:t>
            </m:r>
          </m:sup>
        </m:sSup>
      </m:oMath>
      <w:r>
        <w:t xml:space="preserve">.</w:t>
      </w:r>
    </w:p>
    <w:p>
      <w:pPr>
        <w:numPr>
          <w:ilvl w:val="0"/>
          <w:numId w:val="1929"/>
        </w:numPr>
        <w:pStyle w:val="Compact"/>
      </w:pPr>
      <w:r>
        <w:rPr>
          <w:bCs/>
          <w:b/>
        </w:rPr>
        <w:t xml:space="preserve">Presumed abort</w:t>
      </w:r>
      <w:r>
        <w:t xml:space="preserve"> </w:t>
      </w:r>
      <w:r>
        <w:t xml:space="preserve">removes forced writes and acknowledgments for aborts; read-only and one-phase optimizations remove 2PC for many transactions. XA and PostgreSQL</w:t>
      </w:r>
      <w:r>
        <w:t xml:space="preserve"> </w:t>
      </w:r>
      <w:r>
        <w:rPr>
          <w:rStyle w:val="VerbatimChar"/>
        </w:rPr>
        <w:t xml:space="preserve">PREPARE TRANSACTION</w:t>
      </w:r>
      <w:r>
        <w:t xml:space="preserve"> </w:t>
      </w:r>
      <w:r>
        <w:t xml:space="preserve">expose 2PC; heuristic decisions break atomicity.</w:t>
      </w:r>
    </w:p>
    <w:p>
      <w:pPr>
        <w:numPr>
          <w:ilvl w:val="0"/>
          <w:numId w:val="1929"/>
        </w:numPr>
        <w:pStyle w:val="Compact"/>
      </w:pPr>
      <w:r>
        <w:rPr>
          <w:bCs/>
          <w:b/>
        </w:rPr>
        <w:t xml:space="preserve">3PC</w:t>
      </w:r>
      <w:r>
        <w:t xml:space="preserve"> </w:t>
      </w:r>
      <w:r>
        <w:t xml:space="preserve">avoids blocking only with perfect failure detection; partitions make it inconsistent. Production systems run</w:t>
      </w:r>
      <w:r>
        <w:t xml:space="preserve"> </w:t>
      </w:r>
      <w:r>
        <w:rPr>
          <w:bCs/>
          <w:b/>
        </w:rPr>
        <w:t xml:space="preserve">2PC over consensus groups</w:t>
      </w:r>
      <w:r>
        <w:t xml:space="preserve"> </w:t>
      </w:r>
      <w:r>
        <w:t xml:space="preserve">instead.</w:t>
      </w:r>
    </w:p>
    <w:p>
      <w:pPr>
        <w:numPr>
          <w:ilvl w:val="0"/>
          <w:numId w:val="1929"/>
        </w:numPr>
        <w:pStyle w:val="Compact"/>
      </w:pPr>
      <w:r>
        <w:rPr>
          <w:bCs/>
          <w:b/>
        </w:rPr>
        <w:t xml:space="preserve">Sagas</w:t>
      </w:r>
      <w:r>
        <w:t xml:space="preserve"> </w:t>
      </w:r>
      <w:r>
        <w:t xml:space="preserve">trade isolation for availability with compensations (Chapter 32).</w:t>
      </w:r>
    </w:p>
    <w:p>
      <w:pPr>
        <w:numPr>
          <w:ilvl w:val="0"/>
          <w:numId w:val="1929"/>
        </w:numPr>
        <w:pStyle w:val="Compact"/>
      </w:pPr>
      <w:r>
        <w:rPr>
          <w:bCs/>
          <w:b/>
        </w:rPr>
        <w:t xml:space="preserve">Percolator</w:t>
      </w:r>
      <w:r>
        <w:t xml:space="preserve"> </w:t>
      </w:r>
      <w:r>
        <w:t xml:space="preserve">builds SI transactions from single-row atomicity: a timestamp oracle, prewrite locks pointing to a primary, and the primary’s</w:t>
      </w:r>
      <w:r>
        <w:t xml:space="preserve"> </w:t>
      </w:r>
      <w:r>
        <w:rPr>
          <w:rStyle w:val="VerbatimChar"/>
        </w:rPr>
        <w:t xml:space="preserve">write</w:t>
      </w:r>
      <w:r>
        <w:t xml:space="preserve"> </w:t>
      </w:r>
      <w:r>
        <w:t xml:space="preserve">record as commit point; readers roll abandoned transactions forward or back. TiDB uses it over Raft.</w:t>
      </w:r>
    </w:p>
    <w:p>
      <w:pPr>
        <w:numPr>
          <w:ilvl w:val="0"/>
          <w:numId w:val="1929"/>
        </w:numPr>
        <w:pStyle w:val="Compact"/>
      </w:pPr>
      <w:r>
        <w:rPr>
          <w:bCs/>
          <w:b/>
        </w:rPr>
        <w:t xml:space="preserve">Spanner</w:t>
      </w:r>
      <w:r>
        <w:t xml:space="preserve"> </w:t>
      </w:r>
      <w:r>
        <w:t xml:space="preserve">assigns commit timestamps from TrueTime and waits about</w:t>
      </w:r>
      <w:r>
        <w:t xml:space="preserve"> </w:t>
      </w:r>
      <m:oMath>
        <m:r>
          <m:t>2</m:t>
        </m:r>
        <m:acc>
          <m:accPr>
            <m:chr m:val="‾"/>
          </m:accPr>
          <m:e>
            <m:r>
              <m:t>ε</m:t>
            </m:r>
          </m:e>
        </m:acc>
      </m:oMath>
      <w:r>
        <w:t xml:space="preserve"> </w:t>
      </w:r>
      <w:r>
        <w:t xml:space="preserve">before exposing a commit, yielding external consistency and lock-free snapshot reads.</w:t>
      </w:r>
    </w:p>
    <w:p>
      <w:pPr>
        <w:numPr>
          <w:ilvl w:val="0"/>
          <w:numId w:val="1929"/>
        </w:numPr>
        <w:pStyle w:val="Compact"/>
      </w:pPr>
      <w:r>
        <w:rPr>
          <w:bCs/>
          <w:b/>
        </w:rPr>
        <w:t xml:space="preserve">Calvin</w:t>
      </w:r>
      <w:r>
        <w:t xml:space="preserve"> </w:t>
      </w:r>
      <w:r>
        <w:t xml:space="preserve">agrees on input order first and executes deterministically, eliminating 2PC at the cost of declared read/write sets and batching delay.</w:t>
      </w:r>
    </w:p>
    <w:p>
      <w:pPr>
        <w:numPr>
          <w:ilvl w:val="0"/>
          <w:numId w:val="1929"/>
        </w:numPr>
        <w:pStyle w:val="Compact"/>
      </w:pPr>
      <w:r>
        <w:rPr>
          <w:bCs/>
          <w:b/>
        </w:rPr>
        <w:t xml:space="preserve">CockroachDB</w:t>
      </w:r>
      <w:r>
        <w:t xml:space="preserve"> </w:t>
      </w:r>
      <w:r>
        <w:t xml:space="preserve">uses HLCs, uncertainty intervals, transaction records and parallel commits (one consensus round); YugabyteDB uses hybrid time and a status tablet.</w:t>
      </w:r>
    </w:p>
    <w:p>
      <w:pPr>
        <w:numPr>
          <w:ilvl w:val="0"/>
          <w:numId w:val="1929"/>
        </w:numPr>
        <w:pStyle w:val="Compact"/>
      </w:pPr>
      <w:r>
        <w:t xml:space="preserve">Snapshot isolation distributes cheaply but permits</w:t>
      </w:r>
      <w:r>
        <w:t xml:space="preserve"> </w:t>
      </w:r>
      <w:r>
        <w:rPr>
          <w:bCs/>
          <w:b/>
        </w:rPr>
        <w:t xml:space="preserve">write skew</w:t>
      </w:r>
      <w:r>
        <w:t xml:space="preserve">; serializability needs read locks or read validation.</w:t>
      </w:r>
    </w:p>
    <w:p>
      <w:pPr>
        <w:numPr>
          <w:ilvl w:val="0"/>
          <w:numId w:val="1929"/>
        </w:numPr>
        <w:pStyle w:val="Compact"/>
      </w:pPr>
      <w:r>
        <w:t xml:space="preserve">Prefer single-partition design, then native distributed transactions, then sagas and the outbox; use XA last.</w:t>
      </w:r>
    </w:p>
    <w:bookmarkEnd w:id="3218"/>
    <w:bookmarkStart w:id="3219" w:name="knowledge-checkpoint-27"/>
    <w:p>
      <w:pPr>
        <w:pStyle w:val="Heading2"/>
      </w:pPr>
      <w:r>
        <w:t xml:space="preserve">28.13 Knowledge checkpoint</w:t>
      </w:r>
    </w:p>
    <w:p>
      <w:pPr>
        <w:numPr>
          <w:ilvl w:val="0"/>
          <w:numId w:val="1930"/>
        </w:numPr>
        <w:pStyle w:val="Compact"/>
      </w:pPr>
      <w:r>
        <w:t xml:space="preserve">Why can a participant abort unilaterally before voting yes but not after?</w:t>
      </w:r>
    </w:p>
    <w:p>
      <w:pPr>
        <w:numPr>
          <w:ilvl w:val="0"/>
          <w:numId w:val="1930"/>
        </w:numPr>
        <w:pStyle w:val="Compact"/>
      </w:pPr>
      <w:r>
        <w:t xml:space="preserve">Which two log writes must be forced in 2PC’s commit path, and what goes wrong if each is not?</w:t>
      </w:r>
    </w:p>
    <w:p>
      <w:pPr>
        <w:numPr>
          <w:ilvl w:val="0"/>
          <w:numId w:val="1930"/>
        </w:numPr>
        <w:pStyle w:val="Compact"/>
      </w:pPr>
      <w:r>
        <w:t xml:space="preserve">What does a recovering coordinator do with a COMMIT record that has no END record?</w:t>
      </w:r>
    </w:p>
    <w:p>
      <w:pPr>
        <w:numPr>
          <w:ilvl w:val="0"/>
          <w:numId w:val="1930"/>
        </w:numPr>
        <w:pStyle w:val="Compact"/>
      </w:pPr>
      <w:r>
        <w:t xml:space="preserve">Under presumed abort, why may the coordinator forget an aborted transaction immediately?</w:t>
      </w:r>
    </w:p>
    <w:p>
      <w:pPr>
        <w:numPr>
          <w:ilvl w:val="0"/>
          <w:numId w:val="1930"/>
        </w:numPr>
        <w:pStyle w:val="Compact"/>
      </w:pPr>
      <w:r>
        <w:t xml:space="preserve">A coordinator handles 5,000 distributed transactions/s with RTT 1 ms and a 2 ms forced write. How many are left in doubt by a crash?</w:t>
      </w:r>
    </w:p>
    <w:p>
      <w:pPr>
        <w:numPr>
          <w:ilvl w:val="0"/>
          <w:numId w:val="1930"/>
        </w:numPr>
        <w:pStyle w:val="Compact"/>
      </w:pPr>
      <w:r>
        <w:t xml:space="preserve">What is the availability of a transaction spanning 4 partitions at 99.9 % each?</w:t>
      </w:r>
    </w:p>
    <w:p>
      <w:pPr>
        <w:numPr>
          <w:ilvl w:val="0"/>
          <w:numId w:val="1930"/>
        </w:numPr>
        <w:pStyle w:val="Compact"/>
      </w:pPr>
      <w:r>
        <w:t xml:space="preserve">Why does 3PC become unsafe under a network partition?</w:t>
      </w:r>
    </w:p>
    <w:p>
      <w:pPr>
        <w:numPr>
          <w:ilvl w:val="0"/>
          <w:numId w:val="1930"/>
        </w:numPr>
        <w:pStyle w:val="Compact"/>
      </w:pPr>
      <w:r>
        <w:t xml:space="preserve">What is Percolator’s commit point, and how does a reader resolve a lock left by a dead client?</w:t>
      </w:r>
    </w:p>
    <w:p>
      <w:pPr>
        <w:numPr>
          <w:ilvl w:val="0"/>
          <w:numId w:val="1930"/>
        </w:numPr>
        <w:pStyle w:val="Compact"/>
      </w:pPr>
      <w:r>
        <w:t xml:space="preserve">Why must Spanner’s coordinator perform commit wait?</w:t>
      </w:r>
    </w:p>
    <w:p>
      <w:pPr>
        <w:numPr>
          <w:ilvl w:val="0"/>
          <w:numId w:val="1930"/>
        </w:numPr>
        <w:pStyle w:val="Compact"/>
      </w:pPr>
      <w:r>
        <w:t xml:space="preserve">With</w:t>
      </w:r>
      <w:r>
        <w:t xml:space="preserve"> </w:t>
      </w:r>
      <m:oMath>
        <m:acc>
          <m:accPr>
            <m:chr m:val="‾"/>
          </m:accPr>
          <m:e>
            <m:r>
              <m:t>ε</m:t>
            </m:r>
          </m:e>
        </m:acc>
        <m:r>
          <m:rPr>
            <m:sty m:val="p"/>
          </m:rPr>
          <m:t>=</m:t>
        </m:r>
        <m:r>
          <m:t>3</m:t>
        </m:r>
      </m:oMath>
      <w:r>
        <w:t xml:space="preserve"> </w:t>
      </w:r>
      <w:r>
        <w:t xml:space="preserve">ms and regional Paxos latency 4 ms, what is Spanner’s approximate commit latency?</w:t>
      </w:r>
    </w:p>
    <w:p>
      <w:pPr>
        <w:numPr>
          <w:ilvl w:val="0"/>
          <w:numId w:val="1930"/>
        </w:numPr>
        <w:pStyle w:val="Compact"/>
      </w:pPr>
      <w:r>
        <w:t xml:space="preserve">How does Calvin avoid 2PC, and what does it require from transactions?</w:t>
      </w:r>
    </w:p>
    <w:p>
      <w:pPr>
        <w:numPr>
          <w:ilvl w:val="0"/>
          <w:numId w:val="1930"/>
        </w:numPr>
        <w:pStyle w:val="Compact"/>
      </w:pPr>
      <w:r>
        <w:t xml:space="preserve">What makes a CockroachDB transaction</w:t>
      </w:r>
      <w:r>
        <w:t xml:space="preserve"> </w:t>
      </w:r>
      <w:r>
        <w:t xml:space="preserve">“</w:t>
      </w:r>
      <w:r>
        <w:t xml:space="preserve">implicitly committed</w:t>
      </w:r>
      <w:r>
        <w:t xml:space="preserve">”</w:t>
      </w:r>
      <w:r>
        <w:t xml:space="preserve">?</w:t>
      </w:r>
    </w:p>
    <w:p>
      <w:pPr>
        <w:numPr>
          <w:ilvl w:val="0"/>
          <w:numId w:val="1930"/>
        </w:numPr>
        <w:pStyle w:val="Compact"/>
      </w:pPr>
      <w:r>
        <w:t xml:space="preserve">Why does snapshot isolation allow write skew across partitions?</w:t>
      </w:r>
    </w:p>
    <w:p>
      <w:pPr>
        <w:numPr>
          <w:ilvl w:val="0"/>
          <w:numId w:val="1930"/>
        </w:numPr>
        <w:pStyle w:val="Compact"/>
      </w:pPr>
      <w:r>
        <w:t xml:space="preserve">Give the first strategy to try before any distributed transaction.</w:t>
      </w:r>
    </w:p>
    <w:p>
      <w:pPr>
        <w:pStyle w:val="FirstParagraph"/>
      </w:pPr>
      <w:r>
        <w:t xml:space="preserve">Answers</w:t>
      </w:r>
    </w:p>
    <w:p>
      <w:pPr>
        <w:numPr>
          <w:ilvl w:val="0"/>
          <w:numId w:val="1931"/>
        </w:numPr>
        <w:pStyle w:val="Compact"/>
      </w:pPr>
      <w:r>
        <w:t xml:space="preserve">Before voting, no decision can include its yes vote, so abort is safe. After voting yes, the coordinator may already have logged commit.</w:t>
      </w:r>
    </w:p>
    <w:p>
      <w:pPr>
        <w:numPr>
          <w:ilvl w:val="0"/>
          <w:numId w:val="1931"/>
        </w:numPr>
        <w:pStyle w:val="Compact"/>
      </w:pPr>
      <w:r>
        <w:t xml:space="preserve">The participant’s PREPARED record (else a crash loses the promise and the participant might later be unable to commit) and the coordinator’s COMMIT record (else a recovered coordinator could presume abort while some participant has committed).</w:t>
      </w:r>
    </w:p>
    <w:p>
      <w:pPr>
        <w:numPr>
          <w:ilvl w:val="0"/>
          <w:numId w:val="1931"/>
        </w:numPr>
        <w:pStyle w:val="Compact"/>
      </w:pPr>
      <w:r>
        <w:t xml:space="preserve">Resends COMMIT to every listed participant until all acknowledge, then writes END.</w:t>
      </w:r>
    </w:p>
    <w:p>
      <w:pPr>
        <w:numPr>
          <w:ilvl w:val="0"/>
          <w:numId w:val="1931"/>
        </w:numPr>
        <w:pStyle w:val="Compact"/>
      </w:pPr>
      <w:r>
        <w:t xml:space="preserve">Inquiries about a transaction it has no record of are answered</w:t>
      </w:r>
      <w:r>
        <w:t xml:space="preserve"> </w:t>
      </w:r>
      <w:r>
        <w:t xml:space="preserve">“</w:t>
      </w:r>
      <w:r>
        <w:t xml:space="preserve">abort</w:t>
      </w:r>
      <w:r>
        <w:t xml:space="preserve">”</w:t>
      </w:r>
      <w:r>
        <w:t xml:space="preserve">, which is correct for aborted transactions.</w:t>
      </w:r>
    </w:p>
    <w:p>
      <w:pPr>
        <w:numPr>
          <w:ilvl w:val="0"/>
          <w:numId w:val="1931"/>
        </w:numPr>
        <w:pStyle w:val="Compact"/>
      </w:pPr>
      <m:oMath>
        <m:r>
          <m:t>w</m:t>
        </m:r>
        <m:r>
          <m:rPr>
            <m:sty m:val="p"/>
          </m:rPr>
          <m:t>=</m:t>
        </m:r>
        <m:r>
          <m:t>1</m:t>
        </m:r>
        <m:r>
          <m:rPr>
            <m:sty m:val="p"/>
          </m:rPr>
          <m:t>+</m:t>
        </m:r>
        <m:r>
          <m:t>2</m:t>
        </m:r>
        <m:r>
          <m:rPr>
            <m:sty m:val="p"/>
          </m:rPr>
          <m:t>=</m:t>
        </m:r>
        <m:r>
          <m:t>3</m:t>
        </m:r>
      </m:oMath>
      <w:r>
        <w:t xml:space="preserve"> </w:t>
      </w:r>
      <w:r>
        <w:t xml:space="preserve">ms;</w:t>
      </w:r>
      <w:r>
        <w:t xml:space="preserve"> </w:t>
      </w:r>
      <m:oMath>
        <m:r>
          <m:t>N</m:t>
        </m:r>
        <m:r>
          <m:rPr>
            <m:sty m:val="p"/>
          </m:rPr>
          <m:t>=</m:t>
        </m:r>
        <m:r>
          <m:t>5</m:t>
        </m:r>
        <m:r>
          <m:rPr>
            <m:sty m:val="p"/>
          </m:rPr>
          <m:t>,</m:t>
        </m:r>
        <m:r>
          <m:t>000</m:t>
        </m:r>
        <m:r>
          <m:rPr>
            <m:sty m:val="p"/>
          </m:rPr>
          <m:t>×</m:t>
        </m:r>
        <m:r>
          <m:t>0.003</m:t>
        </m:r>
        <m:r>
          <m:rPr>
            <m:sty m:val="p"/>
          </m:rPr>
          <m:t>=</m:t>
        </m:r>
        <m:r>
          <m:t>15</m:t>
        </m:r>
      </m:oMath>
      <w:r>
        <w:t xml:space="preserve">.</w:t>
      </w:r>
    </w:p>
    <w:p>
      <w:pPr>
        <w:numPr>
          <w:ilvl w:val="0"/>
          <w:numId w:val="1931"/>
        </w:numPr>
        <w:pStyle w:val="Compact"/>
      </w:pPr>
      <m:oMath>
        <m:sSup>
          <m:e>
            <m:r>
              <m:t>0.999</m:t>
            </m:r>
          </m:e>
          <m:sup>
            <m:r>
              <m:t>4</m:t>
            </m:r>
          </m:sup>
        </m:sSup>
        <m:r>
          <m:rPr>
            <m:sty m:val="p"/>
          </m:rPr>
          <m:t>≈</m:t>
        </m:r>
        <m:r>
          <m:t>0.996</m:t>
        </m:r>
      </m:oMath>
      <w:r>
        <w:t xml:space="preserve">, about 173 minutes of unavailability per 30 days.</w:t>
      </w:r>
    </w:p>
    <w:p>
      <w:pPr>
        <w:numPr>
          <w:ilvl w:val="0"/>
          <w:numId w:val="1931"/>
        </w:numPr>
        <w:pStyle w:val="Compact"/>
      </w:pPr>
      <w:r>
        <w:t xml:space="preserve">Each side runs the termination protocol; one side may see a pre-committed node and commit while the other sees only uncertain nodes and aborts.</w:t>
      </w:r>
    </w:p>
    <w:p>
      <w:pPr>
        <w:numPr>
          <w:ilvl w:val="0"/>
          <w:numId w:val="1931"/>
        </w:numPr>
        <w:pStyle w:val="Compact"/>
      </w:pPr>
      <w:r>
        <w:t xml:space="preserve">Writing the primary cell’s</w:t>
      </w:r>
      <w:r>
        <w:t xml:space="preserve"> </w:t>
      </w:r>
      <w:r>
        <w:rPr>
          <w:rStyle w:val="VerbatimChar"/>
        </w:rPr>
        <w:t xml:space="preserve">write</w:t>
      </w:r>
      <w:r>
        <w:t xml:space="preserve"> </w:t>
      </w:r>
      <w:r>
        <w:t xml:space="preserve">record and erasing its lock. A reader checks the primary: lock still present means roll back; a</w:t>
      </w:r>
      <w:r>
        <w:t xml:space="preserve"> </w:t>
      </w:r>
      <w:r>
        <w:rPr>
          <w:rStyle w:val="VerbatimChar"/>
        </w:rPr>
        <w:t xml:space="preserve">write</w:t>
      </w:r>
      <w:r>
        <w:t xml:space="preserve"> </w:t>
      </w:r>
      <w:r>
        <w:t xml:space="preserve">record for that start timestamp means roll the secondary forward.</w:t>
      </w:r>
    </w:p>
    <w:p>
      <w:pPr>
        <w:numPr>
          <w:ilvl w:val="0"/>
          <w:numId w:val="1931"/>
        </w:numPr>
        <w:pStyle w:val="Compact"/>
      </w:pPr>
      <w:r>
        <w:t xml:space="preserve">To guarantee that its timestamp</w:t>
      </w:r>
      <w:r>
        <w:t xml:space="preserve"> </w:t>
      </w:r>
      <m:oMath>
        <m:r>
          <m:t>s</m:t>
        </m:r>
      </m:oMath>
      <w:r>
        <w:t xml:space="preserve"> </w:t>
      </w:r>
      <w:r>
        <w:t xml:space="preserve">is in the past everywhere before anyone sees the commit, so any later transaction gets a larger timestamp (external consistency).</w:t>
      </w:r>
    </w:p>
    <w:p>
      <w:pPr>
        <w:numPr>
          <w:ilvl w:val="0"/>
          <w:numId w:val="1931"/>
        </w:numPr>
        <w:pStyle w:val="Compact"/>
      </w:pPr>
      <m:oMath>
        <m:r>
          <m:rPr>
            <m:sty m:val="p"/>
          </m:rPr>
          <m:t>max</m:t>
        </m:r>
        <m:d>
          <m:dPr>
            <m:begChr m:val="("/>
            <m:endChr m:val=")"/>
            <m:sepChr m:val=""/>
            <m:grow/>
          </m:dPr>
          <m:e>
            <m:r>
              <m:t>4</m:t>
            </m:r>
            <m:r>
              <m:rPr>
                <m:sty m:val="p"/>
              </m:rPr>
              <m:t>,</m:t>
            </m:r>
            <m:r>
              <m:t>2</m:t>
            </m:r>
            <m:r>
              <m:rPr>
                <m:sty m:val="p"/>
              </m:rPr>
              <m:t>×</m:t>
            </m:r>
            <m:r>
              <m:t>3</m:t>
            </m:r>
          </m:e>
        </m:d>
        <m:r>
          <m:rPr>
            <m:sty m:val="p"/>
          </m:rPr>
          <m:t>=</m:t>
        </m:r>
        <m:r>
          <m:t>6</m:t>
        </m:r>
      </m:oMath>
      <w:r>
        <w:t xml:space="preserve"> </w:t>
      </w:r>
      <w:r>
        <w:t xml:space="preserve">ms.</w:t>
      </w:r>
    </w:p>
    <w:p>
      <w:pPr>
        <w:numPr>
          <w:ilvl w:val="0"/>
          <w:numId w:val="1931"/>
        </w:numPr>
        <w:pStyle w:val="Compact"/>
      </w:pPr>
      <w:r>
        <w:t xml:space="preserve">It fixes a global input order before execution and executes deterministically, so there are no nondeterministic aborts to vote on. Transactions must declare read and write sets in advance.</w:t>
      </w:r>
    </w:p>
    <w:p>
      <w:pPr>
        <w:numPr>
          <w:ilvl w:val="0"/>
          <w:numId w:val="1931"/>
        </w:numPr>
        <w:pStyle w:val="Compact"/>
      </w:pPr>
      <w:r>
        <w:t xml:space="preserve">A STAGING transaction record and all intents it lists are durably written at the staged timestamp.</w:t>
      </w:r>
    </w:p>
    <w:p>
      <w:pPr>
        <w:numPr>
          <w:ilvl w:val="0"/>
          <w:numId w:val="1931"/>
        </w:numPr>
        <w:pStyle w:val="Compact"/>
      </w:pPr>
      <w:r>
        <w:t xml:space="preserve">SI checks only write-write conflicts; the two transactions write different keys, and the read-write dependencies span partitions that never compare notes.</w:t>
      </w:r>
    </w:p>
    <w:p>
      <w:pPr>
        <w:numPr>
          <w:ilvl w:val="0"/>
          <w:numId w:val="1931"/>
        </w:numPr>
        <w:pStyle w:val="Compact"/>
      </w:pPr>
      <w:r>
        <w:t xml:space="preserve">Choose partition keys so the entities written together share a partition, making the transaction local.</w:t>
      </w:r>
    </w:p>
    <w:bookmarkEnd w:id="3219"/>
    <w:bookmarkStart w:id="3223" w:name="interview-questions-27"/>
    <w:p>
      <w:pPr>
        <w:pStyle w:val="Heading2"/>
      </w:pPr>
      <w:r>
        <w:t xml:space="preserve">28.14 Interview questions</w:t>
      </w:r>
    </w:p>
    <w:bookmarkStart w:id="3220" w:name="basic-27"/>
    <w:p>
      <w:pPr>
        <w:pStyle w:val="Heading3"/>
      </w:pPr>
      <w:r>
        <w:t xml:space="preserve">Basic</w:t>
      </w:r>
    </w:p>
    <w:p>
      <w:pPr>
        <w:pStyle w:val="FirstParagraph"/>
      </w:pPr>
      <w:r>
        <w:rPr>
          <w:bCs/>
          <w:b/>
        </w:rPr>
        <w:t xml:space="preserve">Q1. Explain two-phase commit and its main weakness.</w:t>
      </w:r>
      <w:r>
        <w:t xml:space="preserve"> </w:t>
      </w:r>
      <w:r>
        <w:rPr>
          <w:bCs/>
          <w:b/>
        </w:rPr>
        <w:t xml:space="preserve">Answer.</w:t>
      </w:r>
      <w:r>
        <w:t xml:space="preserve"> </w:t>
      </w:r>
      <w:r>
        <w:t xml:space="preserve">A coordinator sends prepare; each participant forces a prepared record and votes; if all vote yes, the coordinator forces a commit record and tells everyone to commit, otherwise abort. The weakness is blocking: participants that voted yes cannot decide if the coordinator fails, and hold locks until it recovers. Also mention two round trips, two forced writes and</w:t>
      </w:r>
      <w:r>
        <w:t xml:space="preserve"> </w:t>
      </w:r>
      <m:oMath>
        <m:sSup>
          <m:e>
            <m:r>
              <m:t>A</m:t>
            </m:r>
          </m:e>
          <m:sup>
            <m:r>
              <m:t>k</m:t>
            </m:r>
          </m:sup>
        </m:sSup>
      </m:oMath>
      <w:r>
        <w:t xml:space="preserve"> </w:t>
      </w:r>
      <w:r>
        <w:t xml:space="preserve">availability.</w:t>
      </w:r>
    </w:p>
    <w:p>
      <w:pPr>
        <w:pStyle w:val="BodyText"/>
      </w:pPr>
      <w:r>
        <w:rPr>
          <w:bCs/>
          <w:b/>
        </w:rPr>
        <w:t xml:space="preserve">Q2. When would you use a saga instead of 2PC?</w:t>
      </w:r>
      <w:r>
        <w:t xml:space="preserve"> </w:t>
      </w:r>
      <w:r>
        <w:rPr>
          <w:bCs/>
          <w:b/>
        </w:rPr>
        <w:t xml:space="preserve">Answer.</w:t>
      </w:r>
      <w:r>
        <w:t xml:space="preserve"> </w:t>
      </w:r>
      <w:r>
        <w:t xml:space="preserve">When the steps cross service or organizational boundaries, run for seconds to days, involve external APIs that cannot participate in 2PC, or must stay available when one service is down. Each step must have a compensation and be idempotent, and the business must tolerate visible intermediate states.</w:t>
      </w:r>
    </w:p>
    <w:bookmarkEnd w:id="3220"/>
    <w:bookmarkStart w:id="3221" w:name="intermediate-27"/>
    <w:p>
      <w:pPr>
        <w:pStyle w:val="Heading3"/>
      </w:pPr>
      <w:r>
        <w:t xml:space="preserve">Intermediate</w:t>
      </w:r>
    </w:p>
    <w:p>
      <w:pPr>
        <w:pStyle w:val="FirstParagraph"/>
      </w:pPr>
      <w:r>
        <w:rPr>
          <w:bCs/>
          <w:b/>
        </w:rPr>
        <w:t xml:space="preserve">Q3. How does Percolator achieve atomicity without a coordinator process?</w:t>
      </w:r>
      <w:r>
        <w:t xml:space="preserve"> </w:t>
      </w:r>
      <w:r>
        <w:rPr>
          <w:bCs/>
          <w:b/>
        </w:rPr>
        <w:t xml:space="preserve">Answer.</w:t>
      </w:r>
      <w:r>
        <w:t xml:space="preserve"> </w:t>
      </w:r>
      <w:r>
        <w:t xml:space="preserve">The primary lock stores the coordinator’s state. Prewrite locks every cell, each secondary lock pointing to the primary. Committing writes the primary’s</w:t>
      </w:r>
      <w:r>
        <w:t xml:space="preserve"> </w:t>
      </w:r>
      <w:r>
        <w:rPr>
          <w:rStyle w:val="VerbatimChar"/>
        </w:rPr>
        <w:t xml:space="preserve">write</w:t>
      </w:r>
      <w:r>
        <w:t xml:space="preserve"> </w:t>
      </w:r>
      <w:r>
        <w:t xml:space="preserve">record at the commit timestamp in one single-row transaction; that is the commit point. Any reader finding a stale secondary lock looks at the primary to roll forward or back. Timestamps from the oracle give snapshot isolation; costs are two oracle calls and SI’s write skew.</w:t>
      </w:r>
    </w:p>
    <w:p>
      <w:pPr>
        <w:pStyle w:val="BodyText"/>
      </w:pPr>
      <w:r>
        <w:rPr>
          <w:bCs/>
          <w:b/>
        </w:rPr>
        <w:t xml:space="preserve">Q4. Your XA-based order system has rows locked for 20 minutes after a deploy. Diagnose.</w:t>
      </w:r>
      <w:r>
        <w:t xml:space="preserve"> </w:t>
      </w:r>
      <w:r>
        <w:rPr>
          <w:bCs/>
          <w:b/>
        </w:rPr>
        <w:t xml:space="preserve">Answer.</w:t>
      </w:r>
      <w:r>
        <w:t xml:space="preserve"> </w:t>
      </w:r>
      <w:r>
        <w:t xml:space="preserve">Likely in-doubt prepared transactions: the deploy killed the transaction manager after participants voted yes. Check</w:t>
      </w:r>
      <w:r>
        <w:t xml:space="preserve"> </w:t>
      </w:r>
      <w:r>
        <w:rPr>
          <w:rStyle w:val="VerbatimChar"/>
        </w:rPr>
        <w:t xml:space="preserve">pg_prepared_xacts</w:t>
      </w:r>
      <w:r>
        <w:t xml:space="preserve"> </w:t>
      </w:r>
      <w:r>
        <w:t xml:space="preserve">or</w:t>
      </w:r>
      <w:r>
        <w:t xml:space="preserve"> </w:t>
      </w:r>
      <w:r>
        <w:rPr>
          <w:rStyle w:val="VerbatimChar"/>
        </w:rPr>
        <w:t xml:space="preserve">XA RECOVER</w:t>
      </w:r>
      <w:r>
        <w:t xml:space="preserve"> </w:t>
      </w:r>
      <w:r>
        <w:t xml:space="preserve">for old XIDs; bring the transaction manager back with its log so it re-drives outcomes; if the log is lost, resolve manually by auditing each XID. Prevent with graceful shutdown that drains transactions, a durable replicated TM log, and alerts on prepared-transaction age.</w:t>
      </w:r>
    </w:p>
    <w:bookmarkEnd w:id="3221"/>
    <w:bookmarkStart w:id="3222" w:name="advanced-27"/>
    <w:p>
      <w:pPr>
        <w:pStyle w:val="Heading3"/>
      </w:pPr>
      <w:r>
        <w:t xml:space="preserve">Advanced</w:t>
      </w:r>
    </w:p>
    <w:p>
      <w:pPr>
        <w:pStyle w:val="FirstParagraph"/>
      </w:pPr>
      <w:r>
        <w:rPr>
          <w:bCs/>
          <w:b/>
        </w:rPr>
        <w:t xml:space="preserve">Q5. Explain why Spanner’s commit wait gives external consistency, and its cost.</w:t>
      </w:r>
      <w:r>
        <w:t xml:space="preserve"> </w:t>
      </w:r>
      <w:r>
        <w:rPr>
          <w:bCs/>
          <w:b/>
        </w:rPr>
        <w:t xml:space="preserve">Answer.</w:t>
      </w:r>
      <w:r>
        <w:t xml:space="preserve"> </w:t>
      </w:r>
      <w:r>
        <w:t xml:space="preserve">The coordinator picks</w:t>
      </w:r>
      <w:r>
        <w:t xml:space="preserve"> </w:t>
      </w:r>
      <m:oMath>
        <m:r>
          <m:t>s</m:t>
        </m:r>
        <m:r>
          <m:rPr>
            <m:sty m:val="p"/>
          </m:rPr>
          <m:t>≥</m:t>
        </m:r>
      </m:oMath>
      <w:r>
        <w:t xml:space="preserve"> </w:t>
      </w:r>
      <w:r>
        <w:rPr>
          <w:rStyle w:val="VerbatimChar"/>
        </w:rPr>
        <w:t xml:space="preserve">TT.now().latest</w:t>
      </w:r>
      <w:r>
        <w:t xml:space="preserve"> </w:t>
      </w:r>
      <w:r>
        <w:t xml:space="preserve">and does not expose the commit until</w:t>
      </w:r>
      <w:r>
        <w:t xml:space="preserve"> </w:t>
      </w:r>
      <w:r>
        <w:rPr>
          <w:rStyle w:val="VerbatimChar"/>
        </w:rPr>
        <w:t xml:space="preserve">TT.after(s)</w:t>
      </w:r>
      <w:r>
        <w:t xml:space="preserve">, so</w:t>
      </w:r>
      <w:r>
        <w:t xml:space="preserve"> </w:t>
      </w:r>
      <m:oMath>
        <m:r>
          <m:t>s</m:t>
        </m:r>
      </m:oMath>
      <w:r>
        <w:t xml:space="preserve"> </w:t>
      </w:r>
      <w:r>
        <w:t xml:space="preserve">is in the past when anyone can observe it. A transaction starting later gets a timestamp at least its own</w:t>
      </w:r>
      <w:r>
        <w:t xml:space="preserve"> </w:t>
      </w:r>
      <w:r>
        <w:rPr>
          <w:rStyle w:val="VerbatimChar"/>
        </w:rPr>
        <w:t xml:space="preserve">TT.now().latest</w:t>
      </w:r>
      <w:r>
        <w:t xml:space="preserve">, which exceeds true time and therefore</w:t>
      </w:r>
      <w:r>
        <w:t xml:space="preserve"> </w:t>
      </w:r>
      <m:oMath>
        <m:r>
          <m:t>s</m:t>
        </m:r>
      </m:oMath>
      <w:r>
        <w:t xml:space="preserve">. Cost: about</w:t>
      </w:r>
      <w:r>
        <w:t xml:space="preserve"> </w:t>
      </w:r>
      <m:oMath>
        <m:r>
          <m:t>2</m:t>
        </m:r>
        <m:acc>
          <m:accPr>
            <m:chr m:val="‾"/>
          </m:accPr>
          <m:e>
            <m:r>
              <m:t>ε</m:t>
            </m:r>
          </m:e>
        </m:acc>
      </m:oMath>
      <w:r>
        <w:t xml:space="preserve"> </w:t>
      </w:r>
      <w:r>
        <w:t xml:space="preserve">per commit with locks held, overlapped with Paxos replication; it grows if clock uncertainty grows.</w:t>
      </w:r>
    </w:p>
    <w:p>
      <w:pPr>
        <w:pStyle w:val="BodyText"/>
      </w:pPr>
      <w:r>
        <w:rPr>
          <w:bCs/>
          <w:b/>
        </w:rPr>
        <w:t xml:space="preserve">Q6. Design transfers between accounts in a multi-region bank where most accounts are regional.</w:t>
      </w:r>
      <w:r>
        <w:t xml:space="preserve"> </w:t>
      </w:r>
      <w:r>
        <w:rPr>
          <w:bCs/>
          <w:b/>
        </w:rPr>
        <w:t xml:space="preserve">Answer.</w:t>
      </w:r>
      <w:r>
        <w:t xml:space="preserve"> </w:t>
      </w:r>
      <w:r>
        <w:t xml:space="preserve">Partition by home region and customer so most transfers are regional single- or multi-range transactions in a distributed SQL database with serializable isolation and parallel commits. Cross-region transfers either pay one cross-region consensus round, or become a saga through a regional clearing account with idempotent steps and an outbox. Quantify: regional commit about 2–5 ms, cross-region 70+ ms. Discuss write skew on overdraft checks and hot merchant accounts.</w:t>
      </w:r>
    </w:p>
    <w:bookmarkEnd w:id="3222"/>
    <w:bookmarkEnd w:id="3223"/>
    <w:bookmarkStart w:id="3224" w:name="practical-exercises-27"/>
    <w:p>
      <w:pPr>
        <w:pStyle w:val="Heading2"/>
      </w:pPr>
      <w:r>
        <w:t xml:space="preserve">28.15 Practical exercises</w:t>
      </w:r>
    </w:p>
    <w:p>
      <w:pPr>
        <w:numPr>
          <w:ilvl w:val="0"/>
          <w:numId w:val="1932"/>
        </w:numPr>
        <w:pStyle w:val="Compact"/>
      </w:pPr>
      <w:r>
        <w:t xml:space="preserve">Extend the simulation in §28.4.7 with a cooperative termination protocol: an in-doubt participant asks the others, and decides if any knows the outcome or has not voted. Add a test where it succeeds.</w:t>
      </w:r>
    </w:p>
    <w:p>
      <w:pPr>
        <w:numPr>
          <w:ilvl w:val="0"/>
          <w:numId w:val="1932"/>
        </w:numPr>
        <w:pStyle w:val="Compact"/>
      </w:pPr>
      <w:r>
        <w:t xml:space="preserve">Convert the simulation to presumed commit and count forced writes and messages in both outcomes; compare with Table 28.2.</w:t>
      </w:r>
    </w:p>
    <w:p>
      <w:pPr>
        <w:numPr>
          <w:ilvl w:val="0"/>
          <w:numId w:val="1932"/>
        </w:numPr>
        <w:pStyle w:val="Compact"/>
      </w:pPr>
      <w:r>
        <w:t xml:space="preserve">Repeat the PostgreSQL session of §28.4.6 and measure how long an unrelated</w:t>
      </w:r>
      <w:r>
        <w:t xml:space="preserve"> </w:t>
      </w:r>
      <w:r>
        <w:rPr>
          <w:rStyle w:val="VerbatimChar"/>
        </w:rPr>
        <w:t xml:space="preserve">UPDATE</w:t>
      </w:r>
      <w:r>
        <w:t xml:space="preserve"> </w:t>
      </w:r>
      <w:r>
        <w:t xml:space="preserve">waits; then watch</w:t>
      </w:r>
      <w:r>
        <w:t xml:space="preserve"> </w:t>
      </w:r>
      <w:r>
        <w:rPr>
          <w:rStyle w:val="VerbatimChar"/>
        </w:rPr>
        <w:t xml:space="preserve">age(datfrozenxid)</w:t>
      </w:r>
      <w:r>
        <w:t xml:space="preserve"> </w:t>
      </w:r>
      <w:r>
        <w:t xml:space="preserve">while a prepared transaction stays open.</w:t>
      </w:r>
    </w:p>
    <w:p>
      <w:pPr>
        <w:numPr>
          <w:ilvl w:val="0"/>
          <w:numId w:val="1932"/>
        </w:numPr>
        <w:pStyle w:val="Compact"/>
      </w:pPr>
      <w:r>
        <w:t xml:space="preserve">Modify the Percolator model to prevent write skew in scenario 5 by having each transaction also lock the row it only read.</w:t>
      </w:r>
    </w:p>
    <w:p>
      <w:pPr>
        <w:numPr>
          <w:ilvl w:val="0"/>
          <w:numId w:val="1932"/>
        </w:numPr>
        <w:pStyle w:val="Compact"/>
      </w:pPr>
      <w:r>
        <w:t xml:space="preserve">Compute Spanner commit latency for</w:t>
      </w:r>
      <w:r>
        <w:t xml:space="preserve"> </w:t>
      </w:r>
      <m:oMath>
        <m:acc>
          <m:accPr>
            <m:chr m:val="‾"/>
          </m:accPr>
          <m:e>
            <m:r>
              <m:t>ε</m:t>
            </m:r>
          </m:e>
        </m:acc>
        <m:r>
          <m:rPr>
            <m:sty m:val="p"/>
          </m:rPr>
          <m:t>∈</m:t>
        </m:r>
        <m:r>
          <m:rPr>
            <m:sty m:val="p"/>
          </m:rPr>
          <m:t>{</m:t>
        </m:r>
        <m:r>
          <m:t>1</m:t>
        </m:r>
        <m:r>
          <m:rPr>
            <m:sty m:val="p"/>
          </m:rPr>
          <m:t>,</m:t>
        </m:r>
        <m:r>
          <m:t>4</m:t>
        </m:r>
        <m:r>
          <m:rPr>
            <m:sty m:val="p"/>
          </m:rPr>
          <m:t>,</m:t>
        </m:r>
        <m:r>
          <m:t>10</m:t>
        </m:r>
        <m:r>
          <m:rPr>
            <m:sty m:val="p"/>
          </m:rPr>
          <m:t>}</m:t>
        </m:r>
      </m:oMath>
      <w:r>
        <w:t xml:space="preserve"> </w:t>
      </w:r>
      <w:r>
        <w:t xml:space="preserve">ms against Paxos latencies of 2, 20 and 80 ms, and identify where commit wait matters.</w:t>
      </w:r>
    </w:p>
    <w:bookmarkEnd w:id="3224"/>
    <w:bookmarkStart w:id="3225" w:name="design-challenges-27"/>
    <w:p>
      <w:pPr>
        <w:pStyle w:val="Heading2"/>
      </w:pPr>
      <w:r>
        <w:t xml:space="preserve">28.16 Design challenges</w:t>
      </w:r>
    </w:p>
    <w:p>
      <w:pPr>
        <w:numPr>
          <w:ilvl w:val="0"/>
          <w:numId w:val="1933"/>
        </w:numPr>
        <w:pStyle w:val="Compact"/>
      </w:pPr>
      <w:r>
        <w:rPr>
          <w:bCs/>
          <w:b/>
        </w:rPr>
        <w:t xml:space="preserve">Ticketing flash sale.</w:t>
      </w:r>
      <w:r>
        <w:t xml:space="preserve"> </w:t>
      </w:r>
      <w:r>
        <w:t xml:space="preserve">100,000 buyers compete for 5,000 seats in one stadium. Compare Calvin-style deterministic ordering, a single-partition design and 2PC across seat partitions on contention and latency.</w:t>
      </w:r>
    </w:p>
    <w:p>
      <w:pPr>
        <w:numPr>
          <w:ilvl w:val="0"/>
          <w:numId w:val="1933"/>
        </w:numPr>
        <w:pStyle w:val="Compact"/>
      </w:pPr>
      <w:r>
        <w:rPr>
          <w:bCs/>
          <w:b/>
        </w:rPr>
        <w:t xml:space="preserve">Cross-service checkout.</w:t>
      </w:r>
      <w:r>
        <w:t xml:space="preserve"> </w:t>
      </w:r>
      <w:r>
        <w:t xml:space="preserve">Order, inventory, payment and shipping services each own a database. Design checkout using sagas and an outbox; list each compensation and the isolation anomalies you accept.</w:t>
      </w:r>
    </w:p>
    <w:p>
      <w:pPr>
        <w:numPr>
          <w:ilvl w:val="0"/>
          <w:numId w:val="1933"/>
        </w:numPr>
        <w:pStyle w:val="Compact"/>
      </w:pPr>
      <w:r>
        <w:rPr>
          <w:bCs/>
          <w:b/>
        </w:rPr>
        <w:t xml:space="preserve">Global ledger.</w:t>
      </w:r>
      <w:r>
        <w:t xml:space="preserve"> </w:t>
      </w:r>
      <w:r>
        <w:t xml:space="preserve">A ledger must be strictly serializable across three continents with p99 commit below 200 ms. Choose a database, data placement and transaction pattern, and estimate latency.</w:t>
      </w:r>
    </w:p>
    <w:bookmarkEnd w:id="3225"/>
    <w:bookmarkStart w:id="3226" w:name="references-27"/>
    <w:p>
      <w:pPr>
        <w:pStyle w:val="Heading2"/>
      </w:pPr>
      <w:r>
        <w:t xml:space="preserve">28.17 References</w:t>
      </w:r>
    </w:p>
    <w:p>
      <w:pPr>
        <w:numPr>
          <w:ilvl w:val="0"/>
          <w:numId w:val="1934"/>
        </w:numPr>
        <w:pStyle w:val="Compact"/>
      </w:pPr>
      <w:r>
        <w:t xml:space="preserve">Gray, J.</w:t>
      </w:r>
      <w:r>
        <w:t xml:space="preserve"> </w:t>
      </w:r>
      <w:r>
        <w:rPr>
          <w:iCs/>
          <w:i/>
        </w:rPr>
        <w:t xml:space="preserve">Notes on Data Base Operating Systems</w:t>
      </w:r>
      <w:r>
        <w:t xml:space="preserve">. In</w:t>
      </w:r>
      <w:r>
        <w:t xml:space="preserve"> </w:t>
      </w:r>
      <w:r>
        <w:rPr>
          <w:iCs/>
          <w:i/>
        </w:rPr>
        <w:t xml:space="preserve">Operating Systems: An Advanced Course</w:t>
      </w:r>
      <w:r>
        <w:t xml:space="preserve">, LNCS 60, Springer, 1978.</w:t>
      </w:r>
    </w:p>
    <w:p>
      <w:pPr>
        <w:numPr>
          <w:ilvl w:val="0"/>
          <w:numId w:val="1934"/>
        </w:numPr>
        <w:pStyle w:val="Compact"/>
      </w:pPr>
      <w:r>
        <w:t xml:space="preserve">Bernstein, P. A., Hadzilacos, V., Goodman, N.</w:t>
      </w:r>
      <w:r>
        <w:t xml:space="preserve"> </w:t>
      </w:r>
      <w:r>
        <w:rPr>
          <w:iCs/>
          <w:i/>
        </w:rPr>
        <w:t xml:space="preserve">Concurrency Control and Recovery in Database Systems</w:t>
      </w:r>
      <w:r>
        <w:t xml:space="preserve">. Addison-Wesley, 1987. Free online from Microsoft Research.</w:t>
      </w:r>
    </w:p>
    <w:p>
      <w:pPr>
        <w:numPr>
          <w:ilvl w:val="0"/>
          <w:numId w:val="1934"/>
        </w:numPr>
        <w:pStyle w:val="Compact"/>
      </w:pPr>
      <w:r>
        <w:t xml:space="preserve">Skeen, D.</w:t>
      </w:r>
      <w:r>
        <w:t xml:space="preserve"> </w:t>
      </w:r>
      <w:r>
        <w:rPr>
          <w:iCs/>
          <w:i/>
        </w:rPr>
        <w:t xml:space="preserve">Nonblocking Commit Protocols</w:t>
      </w:r>
      <w:r>
        <w:t xml:space="preserve">. ACM SIGMOD, 1981.</w:t>
      </w:r>
    </w:p>
    <w:p>
      <w:pPr>
        <w:numPr>
          <w:ilvl w:val="0"/>
          <w:numId w:val="1934"/>
        </w:numPr>
        <w:pStyle w:val="Compact"/>
      </w:pPr>
      <w:r>
        <w:t xml:space="preserve">Mohan, C., Lindsay, B., Obermarck, R.</w:t>
      </w:r>
      <w:r>
        <w:t xml:space="preserve"> </w:t>
      </w:r>
      <w:r>
        <w:rPr>
          <w:iCs/>
          <w:i/>
        </w:rPr>
        <w:t xml:space="preserve">Transaction Management in the R* Distributed Database Management System</w:t>
      </w:r>
      <w:r>
        <w:t xml:space="preserve">. ACM Transactions on Database Systems 11(4), 1986.</w:t>
      </w:r>
    </w:p>
    <w:p>
      <w:pPr>
        <w:numPr>
          <w:ilvl w:val="0"/>
          <w:numId w:val="1934"/>
        </w:numPr>
        <w:pStyle w:val="Compact"/>
      </w:pPr>
      <w:r>
        <w:t xml:space="preserve">Gray, J., Lamport, L.</w:t>
      </w:r>
      <w:r>
        <w:t xml:space="preserve"> </w:t>
      </w:r>
      <w:r>
        <w:rPr>
          <w:iCs/>
          <w:i/>
        </w:rPr>
        <w:t xml:space="preserve">Consensus on Transaction Commit</w:t>
      </w:r>
      <w:r>
        <w:t xml:space="preserve">. ACM Transactions on Database Systems 31(1), 2006.</w:t>
      </w:r>
    </w:p>
    <w:p>
      <w:pPr>
        <w:numPr>
          <w:ilvl w:val="0"/>
          <w:numId w:val="1934"/>
        </w:numPr>
        <w:pStyle w:val="Compact"/>
      </w:pPr>
      <w:r>
        <w:t xml:space="preserve">The Open Group (X/Open).</w:t>
      </w:r>
      <w:r>
        <w:t xml:space="preserve"> </w:t>
      </w:r>
      <w:r>
        <w:rPr>
          <w:iCs/>
          <w:i/>
        </w:rPr>
        <w:t xml:space="preserve">Distributed Transaction Processing: The XA Specification</w:t>
      </w:r>
      <w:r>
        <w:t xml:space="preserve">. 1991.</w:t>
      </w:r>
    </w:p>
    <w:p>
      <w:pPr>
        <w:numPr>
          <w:ilvl w:val="0"/>
          <w:numId w:val="1934"/>
        </w:numPr>
        <w:pStyle w:val="Compact"/>
      </w:pPr>
      <w:r>
        <w:t xml:space="preserve">Garcia-Molina, H., Salem, K.</w:t>
      </w:r>
      <w:r>
        <w:t xml:space="preserve"> </w:t>
      </w:r>
      <w:r>
        <w:rPr>
          <w:iCs/>
          <w:i/>
        </w:rPr>
        <w:t xml:space="preserve">Sagas</w:t>
      </w:r>
      <w:r>
        <w:t xml:space="preserve">. ACM SIGMOD, 1987.</w:t>
      </w:r>
    </w:p>
    <w:p>
      <w:pPr>
        <w:numPr>
          <w:ilvl w:val="0"/>
          <w:numId w:val="1934"/>
        </w:numPr>
        <w:pStyle w:val="Compact"/>
      </w:pPr>
      <w:r>
        <w:t xml:space="preserve">Peng, D., Dabek, F.</w:t>
      </w:r>
      <w:r>
        <w:t xml:space="preserve"> </w:t>
      </w:r>
      <w:r>
        <w:rPr>
          <w:iCs/>
          <w:i/>
        </w:rPr>
        <w:t xml:space="preserve">Large-scale Incremental Processing Using Distributed Transactions and Notifications</w:t>
      </w:r>
      <w:r>
        <w:t xml:space="preserve">. USENIX OSDI, 2010.</w:t>
      </w:r>
    </w:p>
    <w:p>
      <w:pPr>
        <w:numPr>
          <w:ilvl w:val="0"/>
          <w:numId w:val="1934"/>
        </w:numPr>
        <w:pStyle w:val="Compact"/>
      </w:pPr>
      <w:r>
        <w:t xml:space="preserve">Corbett, J. C., et al. </w:t>
      </w:r>
      <w:r>
        <w:rPr>
          <w:iCs/>
          <w:i/>
        </w:rPr>
        <w:t xml:space="preserve">Spanner: Google’s Globally-Distributed Database</w:t>
      </w:r>
      <w:r>
        <w:t xml:space="preserve">. USENIX OSDI, 2012.</w:t>
      </w:r>
    </w:p>
    <w:p>
      <w:pPr>
        <w:numPr>
          <w:ilvl w:val="0"/>
          <w:numId w:val="1934"/>
        </w:numPr>
        <w:pStyle w:val="Compact"/>
      </w:pPr>
      <w:r>
        <w:t xml:space="preserve">Brewer, E.</w:t>
      </w:r>
      <w:r>
        <w:t xml:space="preserve"> </w:t>
      </w:r>
      <w:r>
        <w:rPr>
          <w:iCs/>
          <w:i/>
        </w:rPr>
        <w:t xml:space="preserve">Spanner, TrueTime and the CAP Theorem</w:t>
      </w:r>
      <w:r>
        <w:t xml:space="preserve">. Google, 2017.</w:t>
      </w:r>
    </w:p>
    <w:p>
      <w:pPr>
        <w:numPr>
          <w:ilvl w:val="0"/>
          <w:numId w:val="1934"/>
        </w:numPr>
        <w:pStyle w:val="Compact"/>
      </w:pPr>
      <w:r>
        <w:t xml:space="preserve">Shute, J., et al. </w:t>
      </w:r>
      <w:r>
        <w:rPr>
          <w:iCs/>
          <w:i/>
        </w:rPr>
        <w:t xml:space="preserve">F1: A Distributed SQL Database That Scales</w:t>
      </w:r>
      <w:r>
        <w:t xml:space="preserve">. PVLDB 6(11), 2013.</w:t>
      </w:r>
    </w:p>
    <w:p>
      <w:pPr>
        <w:numPr>
          <w:ilvl w:val="0"/>
          <w:numId w:val="1934"/>
        </w:numPr>
        <w:pStyle w:val="Compact"/>
      </w:pPr>
      <w:r>
        <w:t xml:space="preserve">Thomson, A., Diamond, T., Weng, S.-C., Ren, K., Shao, P., Abadi, D. J.</w:t>
      </w:r>
      <w:r>
        <w:t xml:space="preserve"> </w:t>
      </w:r>
      <w:r>
        <w:rPr>
          <w:iCs/>
          <w:i/>
        </w:rPr>
        <w:t xml:space="preserve">Calvin: Fast Distributed Transactions for Partitioned Database Systems</w:t>
      </w:r>
      <w:r>
        <w:t xml:space="preserve">. ACM SIGMOD, 2012.</w:t>
      </w:r>
    </w:p>
    <w:p>
      <w:pPr>
        <w:numPr>
          <w:ilvl w:val="0"/>
          <w:numId w:val="1934"/>
        </w:numPr>
        <w:pStyle w:val="Compact"/>
      </w:pPr>
      <w:r>
        <w:t xml:space="preserve">Ren, K., Li, D., Abadi, D. J.</w:t>
      </w:r>
      <w:r>
        <w:t xml:space="preserve"> </w:t>
      </w:r>
      <w:r>
        <w:rPr>
          <w:iCs/>
          <w:i/>
        </w:rPr>
        <w:t xml:space="preserve">SLOG: Serializable, Low-latency, Geo-replicated Transactions</w:t>
      </w:r>
      <w:r>
        <w:t xml:space="preserve">. PVLDB 12(11), 2019.</w:t>
      </w:r>
    </w:p>
    <w:p>
      <w:pPr>
        <w:numPr>
          <w:ilvl w:val="0"/>
          <w:numId w:val="1934"/>
        </w:numPr>
        <w:pStyle w:val="Compact"/>
      </w:pPr>
      <w:r>
        <w:t xml:space="preserve">Taft, R., et al. </w:t>
      </w:r>
      <w:r>
        <w:rPr>
          <w:iCs/>
          <w:i/>
        </w:rPr>
        <w:t xml:space="preserve">CockroachDB: The Resilient Geo-Distributed SQL Database</w:t>
      </w:r>
      <w:r>
        <w:t xml:space="preserve">. ACM SIGMOD, 2020.</w:t>
      </w:r>
    </w:p>
    <w:p>
      <w:pPr>
        <w:numPr>
          <w:ilvl w:val="0"/>
          <w:numId w:val="1934"/>
        </w:numPr>
        <w:pStyle w:val="Compact"/>
      </w:pPr>
      <w:r>
        <w:t xml:space="preserve">Cockroach Labs.</w:t>
      </w:r>
      <w:r>
        <w:t xml:space="preserve"> </w:t>
      </w:r>
      <w:r>
        <w:rPr>
          <w:iCs/>
          <w:i/>
        </w:rPr>
        <w:t xml:space="preserve">Parallel Commits: An Atomic Commit Protocol for Globally Distributed Transactions</w:t>
      </w:r>
      <w:r>
        <w:t xml:space="preserve">. Cockroach Labs Blog, 2019. https://www.cockroachlabs.com/blog/parallel-commits/</w:t>
      </w:r>
    </w:p>
    <w:p>
      <w:pPr>
        <w:numPr>
          <w:ilvl w:val="0"/>
          <w:numId w:val="1934"/>
        </w:numPr>
        <w:pStyle w:val="Compact"/>
      </w:pPr>
      <w:r>
        <w:t xml:space="preserve">Huang, D., et al. </w:t>
      </w:r>
      <w:r>
        <w:rPr>
          <w:iCs/>
          <w:i/>
        </w:rPr>
        <w:t xml:space="preserve">TiDB: A Raft-based HTAP Database</w:t>
      </w:r>
      <w:r>
        <w:t xml:space="preserve">. PVLDB 13(12), 2020.</w:t>
      </w:r>
    </w:p>
    <w:p>
      <w:pPr>
        <w:numPr>
          <w:ilvl w:val="0"/>
          <w:numId w:val="1934"/>
        </w:numPr>
        <w:pStyle w:val="Compact"/>
      </w:pPr>
      <w:r>
        <w:t xml:space="preserve">PingCAP.</w:t>
      </w:r>
      <w:r>
        <w:t xml:space="preserve"> </w:t>
      </w:r>
      <w:r>
        <w:rPr>
          <w:iCs/>
          <w:i/>
        </w:rPr>
        <w:t xml:space="preserve">TiDB Documentation: Transactions Overview; Pessimistic Transaction Mode</w:t>
      </w:r>
      <w:r>
        <w:t xml:space="preserve">. https://docs.pingcap.com/tidb/stable/transaction-overview</w:t>
      </w:r>
    </w:p>
    <w:p>
      <w:pPr>
        <w:numPr>
          <w:ilvl w:val="0"/>
          <w:numId w:val="1934"/>
        </w:numPr>
        <w:pStyle w:val="Compact"/>
      </w:pPr>
      <w:r>
        <w:t xml:space="preserve">Yugabyte.</w:t>
      </w:r>
      <w:r>
        <w:t xml:space="preserve"> </w:t>
      </w:r>
      <w:r>
        <w:rPr>
          <w:iCs/>
          <w:i/>
        </w:rPr>
        <w:t xml:space="preserve">YugabyteDB Documentation: Distributed Transactions</w:t>
      </w:r>
      <w:r>
        <w:t xml:space="preserve">. https://docs.yugabyte.com/</w:t>
      </w:r>
    </w:p>
    <w:p>
      <w:pPr>
        <w:numPr>
          <w:ilvl w:val="0"/>
          <w:numId w:val="1934"/>
        </w:numPr>
        <w:pStyle w:val="Compact"/>
      </w:pPr>
      <w:r>
        <w:t xml:space="preserve">Apache Kafka.</w:t>
      </w:r>
      <w:r>
        <w:t xml:space="preserve"> </w:t>
      </w:r>
      <w:r>
        <w:rPr>
          <w:iCs/>
          <w:i/>
        </w:rPr>
        <w:t xml:space="preserve">KIP-98: Exactly Once Delivery and Transactional Messaging</w:t>
      </w:r>
      <w:r>
        <w:t xml:space="preserve">. 2017. https://cwiki.apache.org/confluence/display/KAFKA/KIP-98+-+Exactly+Once+Delivery+and+Transactional+Messaging</w:t>
      </w:r>
    </w:p>
    <w:p>
      <w:pPr>
        <w:numPr>
          <w:ilvl w:val="0"/>
          <w:numId w:val="1934"/>
        </w:numPr>
        <w:pStyle w:val="Compact"/>
      </w:pPr>
      <w:r>
        <w:t xml:space="preserve">Cahill, M. J., Röhm, U., Fekete, A. D.</w:t>
      </w:r>
      <w:r>
        <w:t xml:space="preserve"> </w:t>
      </w:r>
      <w:r>
        <w:rPr>
          <w:iCs/>
          <w:i/>
        </w:rPr>
        <w:t xml:space="preserve">Serializable Isolation for Snapshot Databases</w:t>
      </w:r>
      <w:r>
        <w:t xml:space="preserve">. ACM SIGMOD, 2008.</w:t>
      </w:r>
    </w:p>
    <w:p>
      <w:pPr>
        <w:numPr>
          <w:ilvl w:val="0"/>
          <w:numId w:val="1934"/>
        </w:numPr>
        <w:pStyle w:val="Compact"/>
      </w:pPr>
      <w:r>
        <w:t xml:space="preserve">PostgreSQL Global Development Group.</w:t>
      </w:r>
      <w:r>
        <w:t xml:space="preserve"> </w:t>
      </w:r>
      <w:r>
        <w:rPr>
          <w:iCs/>
          <w:i/>
        </w:rPr>
        <w:t xml:space="preserve">PostgreSQL 16 Documentation: PREPARE TRANSACTION; pg_prepared_xacts</w:t>
      </w:r>
      <w:r>
        <w:t xml:space="preserve">. https://www.postgresql.org/docs/16/sql-prepare-transaction.html</w:t>
      </w:r>
    </w:p>
    <w:p>
      <w:pPr>
        <w:numPr>
          <w:ilvl w:val="0"/>
          <w:numId w:val="1934"/>
        </w:numPr>
        <w:pStyle w:val="Compact"/>
      </w:pPr>
      <w:r>
        <w:t xml:space="preserve">Oracle.</w:t>
      </w:r>
      <w:r>
        <w:t xml:space="preserve"> </w:t>
      </w:r>
      <w:r>
        <w:rPr>
          <w:iCs/>
          <w:i/>
        </w:rPr>
        <w:t xml:space="preserve">MySQL 8.4 Reference Manual: XA Transactions</w:t>
      </w:r>
      <w:r>
        <w:t xml:space="preserve">. https://dev.mysql.com/doc/refman/8.4/en/xa.html</w:t>
      </w:r>
    </w:p>
    <w:p>
      <w:pPr>
        <w:numPr>
          <w:ilvl w:val="0"/>
          <w:numId w:val="1934"/>
        </w:numPr>
        <w:pStyle w:val="Compact"/>
      </w:pPr>
      <w:r>
        <w:t xml:space="preserve">Fauna.</w:t>
      </w:r>
      <w:r>
        <w:t xml:space="preserve"> </w:t>
      </w:r>
      <w:r>
        <w:rPr>
          <w:iCs/>
          <w:i/>
        </w:rPr>
        <w:t xml:space="preserve">Fauna Service End of Life FAQ</w:t>
      </w:r>
      <w:r>
        <w:t xml:space="preserve">. https://docs.fauna.com/fauna/current/eol-faq</w:t>
      </w:r>
    </w:p>
    <w:p>
      <w:pPr>
        <w:numPr>
          <w:ilvl w:val="0"/>
          <w:numId w:val="1934"/>
        </w:numPr>
        <w:pStyle w:val="Compact"/>
      </w:pPr>
      <w:r>
        <w:t xml:space="preserve">Kleppmann, M.</w:t>
      </w:r>
      <w:r>
        <w:t xml:space="preserve"> </w:t>
      </w:r>
      <w:r>
        <w:rPr>
          <w:iCs/>
          <w:i/>
        </w:rPr>
        <w:t xml:space="preserve">Designing Data-Intensive Applications</w:t>
      </w:r>
      <w:r>
        <w:t xml:space="preserve"> </w:t>
      </w:r>
      <w:r>
        <w:t xml:space="preserve">(Ch. 7</w:t>
      </w:r>
      <w:r>
        <w:t xml:space="preserve"> </w:t>
      </w:r>
      <w:r>
        <w:t xml:space="preserve">“</w:t>
      </w:r>
      <w:r>
        <w:t xml:space="preserve">Transactions</w:t>
      </w:r>
      <w:r>
        <w:t xml:space="preserve">”</w:t>
      </w:r>
      <w:r>
        <w:t xml:space="preserve">, Ch. 9</w:t>
      </w:r>
      <w:r>
        <w:t xml:space="preserve"> </w:t>
      </w:r>
      <w:r>
        <w:t xml:space="preserve">“</w:t>
      </w:r>
      <w:r>
        <w:t xml:space="preserve">Consistency and Consensus</w:t>
      </w:r>
      <w:r>
        <w:t xml:space="preserve">”</w:t>
      </w:r>
      <w:r>
        <w:t xml:space="preserve">). O’Reilly, 2017.</w:t>
      </w:r>
    </w:p>
    <w:bookmarkEnd w:id="3226"/>
    <w:bookmarkStart w:id="3227" w:name="open-verification-items-27"/>
    <w:p>
      <w:pPr>
        <w:pStyle w:val="Heading2"/>
      </w:pPr>
      <w:r>
        <w:t xml:space="preserve">28.18 Open verification items</w:t>
      </w:r>
    </w:p>
    <w:p>
      <w:pPr>
        <w:numPr>
          <w:ilvl w:val="0"/>
          <w:numId w:val="1935"/>
        </w:numPr>
        <w:pStyle w:val="Compact"/>
      </w:pPr>
      <w:r>
        <w:t xml:space="preserve">Table 28.2 forced-write and message counts for presumed abort and presumed commit, against Mohan et al. 1986.</w:t>
      </w:r>
    </w:p>
    <w:p>
      <w:pPr>
        <w:numPr>
          <w:ilvl w:val="0"/>
          <w:numId w:val="1935"/>
        </w:numPr>
        <w:pStyle w:val="Compact"/>
      </w:pPr>
      <w:r>
        <w:t xml:space="preserve">Percolator oracle throughput (~2 million timestamps/s) and the 50 % document-age reduction.</w:t>
      </w:r>
    </w:p>
    <w:p>
      <w:pPr>
        <w:numPr>
          <w:ilvl w:val="0"/>
          <w:numId w:val="1935"/>
        </w:numPr>
        <w:pStyle w:val="Compact"/>
      </w:pPr>
      <w:r>
        <w:t xml:space="preserve">Brewer 2017: exact share of Spanner incidents attributed to the network (a secondary source says under 8 %).</w:t>
      </w:r>
    </w:p>
    <w:p>
      <w:pPr>
        <w:numPr>
          <w:ilvl w:val="0"/>
          <w:numId w:val="1935"/>
        </w:numPr>
        <w:pStyle w:val="Compact"/>
      </w:pPr>
      <w:r>
        <w:t xml:space="preserve">Calvin’s near-linear scaling to 100 machines; FaunaDB’s description as Calvin-inspired.</w:t>
      </w:r>
    </w:p>
    <w:p>
      <w:pPr>
        <w:numPr>
          <w:ilvl w:val="0"/>
          <w:numId w:val="1935"/>
        </w:numPr>
        <w:pStyle w:val="Compact"/>
      </w:pPr>
      <w:r>
        <w:t xml:space="preserve">Defaults as of 2026: CockroachDB range size (512 MiB), max offset (500 ms); YugabyteDB YSQL default isolation; TiDB async commit and 1PC status.</w:t>
      </w:r>
    </w:p>
    <w:bookmarkEnd w:id="3227"/>
    <w:bookmarkEnd w:id="3228"/>
    <w:bookmarkStart w:id="3338" w:name="chapter-29-distributed-data-processing"/>
    <w:p>
      <w:pPr>
        <w:pStyle w:val="Heading1"/>
      </w:pPr>
      <w:r>
        <w:t xml:space="preserve">Chapter 29 — Distributed Data Processing</w:t>
      </w:r>
    </w:p>
    <w:p>
      <w:pPr>
        <w:pStyle w:val="BlockText"/>
      </w:pPr>
      <w:r>
        <w:rPr>
          <w:bCs/>
          <w:b/>
        </w:rPr>
        <w:t xml:space="preserve">Level:</w:t>
      </w:r>
      <w:r>
        <w:t xml:space="preserve"> </w:t>
      </w:r>
      <w:r>
        <w:t xml:space="preserve">3 ·</w:t>
      </w:r>
      <w:r>
        <w:t xml:space="preserve"> </w:t>
      </w:r>
      <w:r>
        <w:rPr>
          <w:bCs/>
          <w:b/>
        </w:rPr>
        <w:t xml:space="preserve">Track:</w:t>
      </w:r>
      <w:r>
        <w:t xml:space="preserve"> </w:t>
      </w:r>
      <w:r>
        <w:t xml:space="preserve">Shared (A Traditional and B ML/AI) ·</w:t>
      </w:r>
      <w:r>
        <w:t xml:space="preserve"> </w:t>
      </w:r>
      <w:r>
        <w:rPr>
          <w:bCs/>
          <w:b/>
        </w:rPr>
        <w:t xml:space="preserve">Estimated reading time:</w:t>
      </w:r>
      <w:r>
        <w:t xml:space="preserve"> </w:t>
      </w:r>
      <w:r>
        <w:t xml:space="preserve">3 h</w:t>
      </w:r>
    </w:p>
    <w:p>
      <w:pPr>
        <w:pStyle w:val="FirstParagraph"/>
      </w:pPr>
      <w:r>
        <w:t xml:space="preserve">Chapters 11–15 stored data; Chapters 24–28 kept copies of it consistent. This chapter is about</w:t>
      </w:r>
      <w:r>
        <w:t xml:space="preserve"> </w:t>
      </w:r>
      <w:r>
        <w:rPr>
          <w:iCs/>
          <w:i/>
        </w:rPr>
        <w:t xml:space="preserve">computing over</w:t>
      </w:r>
      <w:r>
        <w:t xml:space="preserve"> </w:t>
      </w:r>
      <w:r>
        <w:t xml:space="preserve">data too large for one machine: counting a month of click logs, joining two billion orders with their customers, or keeping a live per-minute fraud score for every card. The same few ideas recur in every engine: split the input, run the same function on each piece, move records with the same key to the same place (the</w:t>
      </w:r>
      <w:r>
        <w:t xml:space="preserve"> </w:t>
      </w:r>
      <w:r>
        <w:rPr>
          <w:bCs/>
          <w:b/>
        </w:rPr>
        <w:t xml:space="preserve">shuffle</w:t>
      </w:r>
      <w:r>
        <w:t xml:space="preserve">), and recover from failures by recomputing rather than replicating. You will meet them in MapReduce, where every step is visible; in Apache Spark, which keeps data in memory and plans jobs as graphs; and in stream processing and Apache Flink, where the input never ends. Chapter 61 (ML data pipelines) builds directly on this chapter.</w:t>
      </w:r>
    </w:p>
    <w:bookmarkStart w:id="3229" w:name="learning-objectives-28"/>
    <w:p>
      <w:pPr>
        <w:pStyle w:val="Heading2"/>
      </w:pPr>
      <w:r>
        <w:t xml:space="preserve">29.1 Learning objectives</w:t>
      </w:r>
    </w:p>
    <w:p>
      <w:pPr>
        <w:pStyle w:val="FirstParagraph"/>
      </w:pPr>
      <w:r>
        <w:t xml:space="preserve">After this chapter you should be able to:</w:t>
      </w:r>
    </w:p>
    <w:p>
      <w:pPr>
        <w:numPr>
          <w:ilvl w:val="0"/>
          <w:numId w:val="1936"/>
        </w:numPr>
        <w:pStyle w:val="Compact"/>
      </w:pPr>
      <w:r>
        <w:t xml:space="preserve">Explain immutable inputs and throughput-first design, and estimate a job’s scan time.</w:t>
      </w:r>
    </w:p>
    <w:p>
      <w:pPr>
        <w:numPr>
          <w:ilvl w:val="0"/>
          <w:numId w:val="1936"/>
        </w:numPr>
        <w:pStyle w:val="Compact"/>
      </w:pPr>
      <w:r>
        <w:t xml:space="preserve">Trace a MapReduce job from splits to reduce, estimate its run time, and quantify what a combiner saves.</w:t>
      </w:r>
    </w:p>
    <w:p>
      <w:pPr>
        <w:numPr>
          <w:ilvl w:val="0"/>
          <w:numId w:val="1936"/>
        </w:numPr>
        <w:pStyle w:val="Compact"/>
      </w:pPr>
      <w:r>
        <w:t xml:space="preserve">Explain recovery by re-execution and lineage, and how backup tasks cut straggler delay.</w:t>
      </w:r>
    </w:p>
    <w:p>
      <w:pPr>
        <w:numPr>
          <w:ilvl w:val="0"/>
          <w:numId w:val="1936"/>
        </w:numPr>
        <w:pStyle w:val="Compact"/>
      </w:pPr>
      <w:r>
        <w:t xml:space="preserve">Choose between a sort-merge join and a broadcast join by cost.</w:t>
      </w:r>
    </w:p>
    <w:p>
      <w:pPr>
        <w:numPr>
          <w:ilvl w:val="0"/>
          <w:numId w:val="1936"/>
        </w:numPr>
        <w:pStyle w:val="Compact"/>
      </w:pPr>
      <w:r>
        <w:t xml:space="preserve">Describe RDDs, narrow and wide dependencies, stages, caching, DataFrames, Catalyst and Adaptive Query Execution, and write a correct PySpark job.</w:t>
      </w:r>
    </w:p>
    <w:p>
      <w:pPr>
        <w:numPr>
          <w:ilvl w:val="0"/>
          <w:numId w:val="1936"/>
        </w:numPr>
        <w:pStyle w:val="Compact"/>
      </w:pPr>
      <w:r>
        <w:t xml:space="preserve">Calculate shuffle time on a rack-structured cluster, the slowdown from key skew, and the effect of salting.</w:t>
      </w:r>
    </w:p>
    <w:p>
      <w:pPr>
        <w:numPr>
          <w:ilvl w:val="0"/>
          <w:numId w:val="1936"/>
        </w:numPr>
        <w:pStyle w:val="Compact"/>
      </w:pPr>
      <w:r>
        <w:t xml:space="preserve">Explain data locality and why disaggregated storage changed its importance.</w:t>
      </w:r>
    </w:p>
    <w:p>
      <w:pPr>
        <w:numPr>
          <w:ilvl w:val="0"/>
          <w:numId w:val="1936"/>
        </w:numPr>
        <w:pStyle w:val="Compact"/>
      </w:pPr>
      <w:r>
        <w:t xml:space="preserve">Define event time, windows, watermarks, triggers and allowed lateness, and compute the late fraction for a watermark delay.</w:t>
      </w:r>
    </w:p>
    <w:p>
      <w:pPr>
        <w:numPr>
          <w:ilvl w:val="0"/>
          <w:numId w:val="1936"/>
        </w:numPr>
        <w:pStyle w:val="Compact"/>
      </w:pPr>
      <w:r>
        <w:t xml:space="preserve">Explain Flink’s state, barrier snapshots and savepoints, and size a checkpoint interval.</w:t>
      </w:r>
    </w:p>
    <w:p>
      <w:pPr>
        <w:numPr>
          <w:ilvl w:val="0"/>
          <w:numId w:val="1936"/>
        </w:numPr>
        <w:pStyle w:val="Compact"/>
      </w:pPr>
      <w:r>
        <w:t xml:space="preserve">Compare Lambda and Kappa, batch and stream, and Spark and Flink, and place Apache Beam.</w:t>
      </w:r>
    </w:p>
    <w:bookmarkEnd w:id="3229"/>
    <w:bookmarkStart w:id="3230" w:name="prerequisites-28"/>
    <w:p>
      <w:pPr>
        <w:pStyle w:val="Heading2"/>
      </w:pPr>
      <w:r>
        <w:t xml:space="preserve">29.2 Prerequisites</w:t>
      </w:r>
    </w:p>
    <w:p>
      <w:pPr>
        <w:numPr>
          <w:ilvl w:val="0"/>
          <w:numId w:val="1937"/>
        </w:numPr>
        <w:pStyle w:val="Compact"/>
      </w:pPr>
      <w:r>
        <w:t xml:space="preserve">Object storage and GFS/HDFS — §15.4–§15.5 (where batch inputs live).</w:t>
      </w:r>
    </w:p>
    <w:p>
      <w:pPr>
        <w:numPr>
          <w:ilvl w:val="0"/>
          <w:numId w:val="1937"/>
        </w:numPr>
        <w:pStyle w:val="Compact"/>
      </w:pPr>
      <w:r>
        <w:t xml:space="preserve">Columnar storage and Parquet — §13.13.</w:t>
      </w:r>
    </w:p>
    <w:p>
      <w:pPr>
        <w:numPr>
          <w:ilvl w:val="0"/>
          <w:numId w:val="1937"/>
        </w:numPr>
        <w:pStyle w:val="Compact"/>
      </w:pPr>
      <w:r>
        <w:t xml:space="preserve">Partitioning, hash and range — §14.6 and hot partitions §14.10 (the shuffle is partitioning on the fly).</w:t>
      </w:r>
    </w:p>
    <w:p>
      <w:pPr>
        <w:numPr>
          <w:ilvl w:val="0"/>
          <w:numId w:val="1937"/>
        </w:numPr>
        <w:pStyle w:val="Compact"/>
      </w:pPr>
      <w:r>
        <w:t xml:space="preserve">Datacenter networking and oversubscription — §7.17 (shuffle time is a network problem).</w:t>
      </w:r>
    </w:p>
    <w:p>
      <w:pPr>
        <w:numPr>
          <w:ilvl w:val="0"/>
          <w:numId w:val="1937"/>
        </w:numPr>
        <w:pStyle w:val="Compact"/>
      </w:pPr>
      <w:r>
        <w:t xml:space="preserve">Probability and Amdahl’s Law — §4.6 and §4.12 (stragglers and the serial parts of a job).</w:t>
      </w:r>
    </w:p>
    <w:p>
      <w:pPr>
        <w:numPr>
          <w:ilvl w:val="0"/>
          <w:numId w:val="1937"/>
        </w:numPr>
        <w:pStyle w:val="Compact"/>
      </w:pPr>
      <w:r>
        <w:t xml:space="preserve">Clocks and logical time — §24.9–§24.10 (event time; the happens-before reasoning behind the Chandy–Lamport snapshots of §29.9.2).</w:t>
      </w:r>
    </w:p>
    <w:p>
      <w:pPr>
        <w:numPr>
          <w:ilvl w:val="0"/>
          <w:numId w:val="1937"/>
        </w:numPr>
        <w:pStyle w:val="Compact"/>
      </w:pPr>
      <w:r>
        <w:t xml:space="preserve">Backpressure and idempotency — §22.10 and §22.15 (streaming operators slow their sources; sinks must tolerate replays).</w:t>
      </w:r>
    </w:p>
    <w:p>
      <w:pPr>
        <w:numPr>
          <w:ilvl w:val="0"/>
          <w:numId w:val="1937"/>
        </w:numPr>
        <w:pStyle w:val="Compact"/>
      </w:pPr>
      <w:r>
        <w:t xml:space="preserve">Units:</w:t>
      </w:r>
      <w:r>
        <w:t xml:space="preserve"> </w:t>
      </w:r>
      <w:r>
        <w:rPr>
          <w:bCs/>
          <w:b/>
        </w:rPr>
        <w:t xml:space="preserve">MB/GB/TB</w:t>
      </w:r>
      <w:r>
        <w:t xml:space="preserve"> </w:t>
      </w:r>
      <w:r>
        <w:t xml:space="preserve">are powers of ten; network speeds are in bits per second (Gb/s), so 25 Gb/s = 3.125 GB/s.</w:t>
      </w:r>
    </w:p>
    <w:bookmarkEnd w:id="3230"/>
    <w:bookmarkStart w:id="3239" w:name="batch-processing-concepts"/>
    <w:p>
      <w:pPr>
        <w:pStyle w:val="Heading2"/>
      </w:pPr>
      <w:r>
        <w:t xml:space="preserve">29.3 Batch processing concepts</w:t>
      </w:r>
    </w:p>
    <w:bookmarkStart w:id="3238" w:name="X79df22a5a58d07e4ebb255c2af0396d42a374d0"/>
    <w:p>
      <w:pPr>
        <w:pStyle w:val="Heading3"/>
      </w:pPr>
      <w:r>
        <w:t xml:space="preserve">29.3.1 Bounded, immutable inputs and throughput-first design</w:t>
      </w:r>
    </w:p>
    <w:p>
      <w:pPr>
        <w:pStyle w:val="CalloutDefinition"/>
      </w:pPr>
      <w:r>
        <w:rPr>
          <w:bCs/>
          <w:b/>
        </w:rPr>
        <w:t xml:space="preserve">DEFINITION</w:t>
      </w:r>
    </w:p>
    <w:p>
      <w:pPr>
        <w:pStyle w:val="CalloutDefinition"/>
      </w:pPr>
      <w:r>
        <w:rPr>
          <w:bCs/>
          <w:b/>
        </w:rPr>
        <w:t xml:space="preserve">Definition — Batch processing.</w:t>
      </w:r>
      <w:r>
        <w:t xml:space="preserve"> </w:t>
      </w:r>
      <w:r>
        <w:t xml:space="preserve">Running a computation over a</w:t>
      </w:r>
      <w:r>
        <w:t xml:space="preserve"> </w:t>
      </w:r>
      <w:r>
        <w:rPr>
          <w:bCs/>
          <w:b/>
        </w:rPr>
        <w:t xml:space="preserve">bounded</w:t>
      </w:r>
      <w:r>
        <w:t xml:space="preserve"> </w:t>
      </w:r>
      <w:r>
        <w:t xml:space="preserve">dataset (one whose size is known when the job starts, such as</w:t>
      </w:r>
      <w:r>
        <w:t xml:space="preserve"> </w:t>
      </w:r>
      <w:r>
        <w:t xml:space="preserve">“</w:t>
      </w:r>
      <w:r>
        <w:t xml:space="preserve">yesterday’s logs</w:t>
      </w:r>
      <w:r>
        <w:t xml:space="preserve">”</w:t>
      </w:r>
      <w:r>
        <w:t xml:space="preserve">) that reads immutable input files, writes new output files, and is judged mainly by</w:t>
      </w:r>
      <w:r>
        <w:t xml:space="preserve"> </w:t>
      </w:r>
      <w:r>
        <w:rPr>
          <w:bCs/>
          <w:b/>
        </w:rPr>
        <w:t xml:space="preserve">throughput</w:t>
      </w:r>
      <w:r>
        <w:t xml:space="preserve"> </w:t>
      </w:r>
      <w:r>
        <w:t xml:space="preserve">(bytes or records processed per second) and total completion time rather than by the latency of individual records.</w:t>
      </w:r>
    </w:p>
    <w:bookmarkStart w:id="3231" w:name="first-principles-explanation-155"/>
    <w:p>
      <w:pPr>
        <w:pStyle w:val="Heading4"/>
      </w:pPr>
      <w:r>
        <w:t xml:space="preserve">First-principles explanation</w:t>
      </w:r>
    </w:p>
    <w:p>
      <w:pPr>
        <w:pStyle w:val="FirstParagraph"/>
      </w:pPr>
      <w:r>
        <w:t xml:space="preserve">Imagine counting every word in a library. You could ask one person to read every book: correct, but it takes years. Or you could give each of 1,000 volunteers a shelf, have each write a tally sheet, then have a second group add the tally sheets together letter by letter: one person totals words beginning with</w:t>
      </w:r>
      <w:r>
        <w:t xml:space="preserve"> </w:t>
      </w:r>
      <w:r>
        <w:t xml:space="preserve">“</w:t>
      </w:r>
      <w:r>
        <w:t xml:space="preserve">a</w:t>
      </w:r>
      <w:r>
        <w:t xml:space="preserve">”</w:t>
      </w:r>
      <w:r>
        <w:t xml:space="preserve">, another</w:t>
      </w:r>
      <w:r>
        <w:t xml:space="preserve"> </w:t>
      </w:r>
      <w:r>
        <w:t xml:space="preserve">“</w:t>
      </w:r>
      <w:r>
        <w:t xml:space="preserve">b</w:t>
      </w:r>
      <w:r>
        <w:t xml:space="preserve">”</w:t>
      </w:r>
      <w:r>
        <w:t xml:space="preserve">, and so on. Nobody edits a book; the books are only read. If a volunteer goes home sick, someone else redoes the same shelf. That is batch processing:</w:t>
      </w:r>
      <w:r>
        <w:t xml:space="preserve"> </w:t>
      </w:r>
      <w:r>
        <w:rPr>
          <w:bCs/>
          <w:b/>
        </w:rPr>
        <w:t xml:space="preserve">split, process in parallel, regroup by key, combine</w:t>
      </w:r>
      <w:r>
        <w:t xml:space="preserve">, over inputs that do not change.</w:t>
      </w:r>
    </w:p>
    <w:p>
      <w:pPr>
        <w:pStyle w:val="BodyText"/>
      </w:pPr>
      <w:r>
        <w:t xml:space="preserve">The Unix shell already works this way on one machine. To find the five most common URLs in a web server log you can write:</w:t>
      </w:r>
    </w:p>
    <w:p>
      <w:pPr>
        <w:pStyle w:val="SourceCode"/>
      </w:pPr>
      <w:r>
        <w:rPr>
          <w:rStyle w:val="FunctionTok"/>
        </w:rPr>
        <w:t xml:space="preserve">cat</w:t>
      </w:r>
      <w:r>
        <w:rPr>
          <w:rStyle w:val="NormalTok"/>
        </w:rPr>
        <w:t xml:space="preserve"> access.log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'{print $7}'</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KeywordTok"/>
        </w:rPr>
        <w:t xml:space="preserve">|</w:t>
      </w:r>
      <w:r>
        <w:rPr>
          <w:rStyle w:val="NormalTok"/>
        </w:rPr>
        <w:t xml:space="preserve"> </w:t>
      </w:r>
      <w:r>
        <w:rPr>
          <w:rStyle w:val="FunctionTok"/>
        </w:rPr>
        <w:t xml:space="preserve">uniq</w:t>
      </w:r>
      <w:r>
        <w:rPr>
          <w:rStyle w:val="NormalTok"/>
        </w:rPr>
        <w:t xml:space="preserve"> </w:t>
      </w:r>
      <w:r>
        <w:rPr>
          <w:rStyle w:val="AttributeTok"/>
        </w:rPr>
        <w:t xml:space="preserve">-c</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AttributeTok"/>
        </w:rPr>
        <w:t xml:space="preserve">-rn</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-5</w:t>
      </w:r>
    </w:p>
    <w:p>
      <w:pPr>
        <w:pStyle w:val="FirstParagraph"/>
      </w:pPr>
      <w:r>
        <w:t xml:space="preserve">Each program reads a stream, does one job, and writes a stream; the input file is never modified; and</w:t>
      </w:r>
      <w:r>
        <w:t xml:space="preserve"> </w:t>
      </w:r>
      <w:r>
        <w:rPr>
          <w:rStyle w:val="VerbatimChar"/>
        </w:rPr>
        <w:t xml:space="preserve">sort</w:t>
      </w:r>
      <w:r>
        <w:t xml:space="preserve"> </w:t>
      </w:r>
      <w:r>
        <w:t xml:space="preserve">is the step that brings equal keys together so</w:t>
      </w:r>
      <w:r>
        <w:t xml:space="preserve"> </w:t>
      </w:r>
      <w:r>
        <w:rPr>
          <w:rStyle w:val="VerbatimChar"/>
        </w:rPr>
        <w:t xml:space="preserve">uniq -c</w:t>
      </w:r>
      <w:r>
        <w:t xml:space="preserve"> </w:t>
      </w:r>
      <w:r>
        <w:t xml:space="preserve">can count them. MapReduce and its successors are this pipeline spread over thousands of machines, with the distributed file system playing the role of the pipe [Kleppmann 2017, ch. 10].</w:t>
      </w:r>
    </w:p>
    <w:bookmarkEnd w:id="3231"/>
    <w:bookmarkStart w:id="3232" w:name="why-does-this-exist-99"/>
    <w:p>
      <w:pPr>
        <w:pStyle w:val="Heading4"/>
      </w:pPr>
      <w:r>
        <w:t xml:space="preserve">Why does this exist?</w:t>
      </w:r>
    </w:p>
    <w:p>
      <w:pPr>
        <w:pStyle w:val="FirstParagraph"/>
      </w:pPr>
      <w:r>
        <w:t xml:space="preserve">Three properties make large computations tractable:</w:t>
      </w:r>
    </w:p>
    <w:p>
      <w:pPr>
        <w:numPr>
          <w:ilvl w:val="0"/>
          <w:numId w:val="1938"/>
        </w:numPr>
        <w:pStyle w:val="Compact"/>
      </w:pPr>
      <w:r>
        <w:rPr>
          <w:bCs/>
          <w:b/>
        </w:rPr>
        <w:t xml:space="preserve">Immutable inputs.</w:t>
      </w:r>
      <w:r>
        <w:t xml:space="preserve"> </w:t>
      </w:r>
      <w:r>
        <w:t xml:space="preserve">If inputs are never modified, any piece of work can be rerun and will produce the same output. Fault tolerance becomes</w:t>
      </w:r>
      <w:r>
        <w:t xml:space="preserve"> </w:t>
      </w:r>
      <w:r>
        <w:t xml:space="preserve">“</w:t>
      </w:r>
      <w:r>
        <w:t xml:space="preserve">do it again</w:t>
      </w:r>
      <w:r>
        <w:t xml:space="preserve">”</w:t>
      </w:r>
      <w:r>
        <w:t xml:space="preserve"> </w:t>
      </w:r>
      <w:r>
        <w:t xml:space="preserve">rather than distributed transactions (Chapter 28). A buggy job can simply be fixed and rerun.</w:t>
      </w:r>
    </w:p>
    <w:p>
      <w:pPr>
        <w:numPr>
          <w:ilvl w:val="0"/>
          <w:numId w:val="1938"/>
        </w:numPr>
        <w:pStyle w:val="Compact"/>
      </w:pPr>
      <w:r>
        <w:rPr>
          <w:bCs/>
          <w:b/>
        </w:rPr>
        <w:t xml:space="preserve">Bounded datasets.</w:t>
      </w:r>
      <w:r>
        <w:t xml:space="preserve"> </w:t>
      </w:r>
      <w:r>
        <w:t xml:space="preserve">Knowing the whole input exists lets the system sort it, count it, plan the work in waves, and decide when the job is finished.</w:t>
      </w:r>
    </w:p>
    <w:p>
      <w:pPr>
        <w:numPr>
          <w:ilvl w:val="0"/>
          <w:numId w:val="1938"/>
        </w:numPr>
        <w:pStyle w:val="Compact"/>
      </w:pPr>
      <w:r>
        <w:rPr>
          <w:bCs/>
          <w:b/>
        </w:rPr>
        <w:t xml:space="preserve">Throughput over latency.</w:t>
      </w:r>
      <w:r>
        <w:t xml:space="preserve"> </w:t>
      </w:r>
      <w:r>
        <w:t xml:space="preserve">Nobody waits on one record, so the system can use large sequential I/O, keep every disk and core busy, and accept tens of seconds of scheduling overhead.</w:t>
      </w:r>
    </w:p>
    <w:bookmarkEnd w:id="3232"/>
    <w:bookmarkStart w:id="3236" w:name="how-it-works-internally-110"/>
    <w:p>
      <w:pPr>
        <w:pStyle w:val="Heading4"/>
      </w:pPr>
      <w:r>
        <w:t xml:space="preserve">How it works internally</w:t>
      </w:r>
    </w:p>
    <w:p>
      <w:pPr>
        <w:numPr>
          <w:ilvl w:val="0"/>
          <w:numId w:val="1939"/>
        </w:numPr>
        <w:pStyle w:val="Compact"/>
      </w:pPr>
      <w:r>
        <w:t xml:space="preserve">Store the input as large files split into blocks (128 MB in HDFS, §15.5.2) or objects.</w:t>
      </w:r>
    </w:p>
    <w:p>
      <w:pPr>
        <w:numPr>
          <w:ilvl w:val="0"/>
          <w:numId w:val="1939"/>
        </w:numPr>
        <w:pStyle w:val="Compact"/>
      </w:pPr>
      <w:r>
        <w:t xml:space="preserve">Divide the input into</w:t>
      </w:r>
      <w:r>
        <w:t xml:space="preserve"> </w:t>
      </w:r>
      <w:r>
        <w:rPr>
          <w:bCs/>
          <w:b/>
        </w:rPr>
        <w:t xml:space="preserve">splits</w:t>
      </w:r>
      <w:r>
        <w:t xml:space="preserve">, usually one per block, and run one</w:t>
      </w:r>
      <w:r>
        <w:t xml:space="preserve"> </w:t>
      </w:r>
      <w:r>
        <w:rPr>
          <w:bCs/>
          <w:b/>
        </w:rPr>
        <w:t xml:space="preserve">task</w:t>
      </w:r>
      <w:r>
        <w:t xml:space="preserve"> </w:t>
      </w:r>
      <w:r>
        <w:t xml:space="preserve">per split.</w:t>
      </w:r>
    </w:p>
    <w:p>
      <w:pPr>
        <w:numPr>
          <w:ilvl w:val="0"/>
          <w:numId w:val="1939"/>
        </w:numPr>
        <w:pStyle w:val="Compact"/>
      </w:pPr>
      <w:r>
        <w:t xml:space="preserve">Run tasks in parallel on many nodes, each writing intermediate output locally.</w:t>
      </w:r>
    </w:p>
    <w:p>
      <w:pPr>
        <w:numPr>
          <w:ilvl w:val="0"/>
          <w:numId w:val="1939"/>
        </w:numPr>
        <w:pStyle w:val="Compact"/>
      </w:pPr>
      <w:r>
        <w:t xml:space="preserve">Regroup intermediate records by key across the network.</w:t>
      </w:r>
    </w:p>
    <w:p>
      <w:pPr>
        <w:numPr>
          <w:ilvl w:val="0"/>
          <w:numId w:val="1939"/>
        </w:numPr>
        <w:pStyle w:val="Compact"/>
      </w:pPr>
      <w:r>
        <w:t xml:space="preserve">Write the final output as new immutable files; a job</w:t>
      </w:r>
      <w:r>
        <w:t xml:space="preserve"> </w:t>
      </w:r>
      <w:r>
        <w:t xml:space="preserve">“</w:t>
      </w:r>
      <w:r>
        <w:t xml:space="preserve">commits</w:t>
      </w:r>
      <w:r>
        <w:t xml:space="preserve">”</w:t>
      </w:r>
      <w:r>
        <w:t xml:space="preserve"> </w:t>
      </w:r>
      <w:r>
        <w:t xml:space="preserve">by atomically renaming or registering its output directory.</w:t>
      </w:r>
    </w:p>
    <w:p>
      <w:pPr>
        <w:pStyle w:val="FirstParagraph"/>
      </w:pPr>
      <w:r>
        <w:rPr>
          <w:bCs/>
          <w:b/>
        </w:rPr>
        <w:t xml:space="preserve">Figure 29.1 — A Unix pipeline and the distributed batch job that generalizes it.</w:t>
      </w:r>
    </w:p>
    <w:p>
      <w:pPr>
        <w:pStyle w:val="BodyText"/>
      </w:pPr>
      <w:r>
        <w:drawing>
          <wp:inline>
            <wp:extent cx="5334000" cy="24720176"/>
            <wp:effectExtent b="0" l="0" r="0" t="0"/>
            <wp:docPr descr="" title="" id="3234" name="Picture"/>
            <a:graphic>
              <a:graphicData uri="http://schemas.openxmlformats.org/drawingml/2006/picture">
                <pic:pic>
                  <pic:nvPicPr>
                    <pic:cNvPr descr="/home/user/System-Design/build/.cache/diagrams/9aa96b4cc727.png" id="3235" name="Picture"/>
                    <pic:cNvPicPr>
                      <a:picLocks noChangeArrowheads="1" noChangeAspect="1"/>
                    </pic:cNvPicPr>
                  </pic:nvPicPr>
                  <pic:blipFill>
                    <a:blip r:embed="rId3233"/>
                    <a:stretch>
                      <a:fillRect/>
                    </a:stretch>
                  </pic:blipFill>
                  <pic:spPr bwMode="auto">
                    <a:xfrm>
                      <a:off x="0" y="0"/>
                      <a:ext cx="5334000" cy="24720176"/>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top row is a single-machine pipeline:</w:t>
      </w:r>
      <w:r>
        <w:t xml:space="preserve"> </w:t>
      </w:r>
      <w:r>
        <w:rPr>
          <w:rStyle w:val="VerbatimChar"/>
        </w:rPr>
        <w:t xml:space="preserve">awk</w:t>
      </w:r>
      <w:r>
        <w:t xml:space="preserve"> </w:t>
      </w:r>
      <w:r>
        <w:t xml:space="preserve">extracts the URL,</w:t>
      </w:r>
      <w:r>
        <w:t xml:space="preserve"> </w:t>
      </w:r>
      <w:r>
        <w:rPr>
          <w:rStyle w:val="VerbatimChar"/>
        </w:rPr>
        <w:t xml:space="preserve">sort</w:t>
      </w:r>
      <w:r>
        <w:t xml:space="preserve"> </w:t>
      </w:r>
      <w:r>
        <w:t xml:space="preserve">brings equal URLs together,</w:t>
      </w:r>
      <w:r>
        <w:t xml:space="preserve"> </w:t>
      </w:r>
      <w:r>
        <w:rPr>
          <w:rStyle w:val="VerbatimChar"/>
        </w:rPr>
        <w:t xml:space="preserve">uniq -c</w:t>
      </w:r>
      <w:r>
        <w:t xml:space="preserve"> </w:t>
      </w:r>
      <w:r>
        <w:t xml:space="preserve">counts them, and the input file is only read. The bottom row is the cluster equivalent:</w:t>
      </w:r>
      <w:r>
        <w:t xml:space="preserve"> </w:t>
      </w:r>
      <w:r>
        <w:rPr>
          <w:iCs/>
          <w:i/>
        </w:rPr>
        <w:t xml:space="preserve">input blocks</w:t>
      </w:r>
      <w:r>
        <w:t xml:space="preserve"> </w:t>
      </w:r>
      <w:r>
        <w:t xml:space="preserve">feed</w:t>
      </w:r>
      <w:r>
        <w:t xml:space="preserve"> </w:t>
      </w:r>
      <w:r>
        <w:rPr>
          <w:iCs/>
          <w:i/>
        </w:rPr>
        <w:t xml:space="preserve">M map tasks</w:t>
      </w:r>
      <w:r>
        <w:t xml:space="preserve"> </w:t>
      </w:r>
      <w:r>
        <w:t xml:space="preserve">in parallel; the</w:t>
      </w:r>
      <w:r>
        <w:t xml:space="preserve"> </w:t>
      </w:r>
      <w:r>
        <w:rPr>
          <w:iCs/>
          <w:i/>
        </w:rPr>
        <w:t xml:space="preserve">shuffle</w:t>
      </w:r>
      <w:r>
        <w:t xml:space="preserve"> </w:t>
      </w:r>
      <w:r>
        <w:t xml:space="preserve">(asynchronous, all-to-all) plays the role of</w:t>
      </w:r>
      <w:r>
        <w:t xml:space="preserve"> </w:t>
      </w:r>
      <w:r>
        <w:rPr>
          <w:rStyle w:val="VerbatimChar"/>
        </w:rPr>
        <w:t xml:space="preserve">sort</w:t>
      </w:r>
      <w:r>
        <w:t xml:space="preserve">, delivering every record with one key to one of</w:t>
      </w:r>
      <w:r>
        <w:t xml:space="preserve"> </w:t>
      </w:r>
      <w:r>
        <w:rPr>
          <w:iCs/>
          <w:i/>
        </w:rPr>
        <w:t xml:space="preserve">R reduce tasks</w:t>
      </w:r>
      <w:r>
        <w:t xml:space="preserve">, which write</w:t>
      </w:r>
      <w:r>
        <w:t xml:space="preserve"> </w:t>
      </w:r>
      <w:r>
        <w:rPr>
          <w:iCs/>
          <w:i/>
        </w:rPr>
        <w:t xml:space="preserve">new output files</w:t>
      </w:r>
      <w:r>
        <w:t xml:space="preserve">. Storage: inputs and outputs are durable and replicated; intermediate output sits on local disks. Failure points: a dead node loses running tasks and local files, recovered by rerunning tasks. Scaling: add nodes to raise M and R.</w:t>
      </w:r>
    </w:p>
    <w:bookmarkEnd w:id="3236"/>
    <w:bookmarkStart w:id="3237" w:name="mathematical-foundations-57"/>
    <w:p>
      <w:pPr>
        <w:pStyle w:val="Heading4"/>
      </w:pPr>
      <w:r>
        <w:t xml:space="preserve">Mathematical foundations</w:t>
      </w:r>
    </w:p>
    <w:p>
      <w:pPr>
        <w:pStyle w:val="FirstParagraph"/>
      </w:pPr>
      <w:r>
        <w:t xml:space="preserve">The first estimate for any batch job is how long it takes just to read the input.</w:t>
      </w:r>
    </w:p>
    <w:p>
      <w:pPr>
        <w:pStyle w:val="CalloutFormula"/>
      </w:pPr>
      <w:r>
        <w:rPr>
          <w:bCs/>
          <w:b/>
        </w:rPr>
        <w:t xml:space="preserve">FORMULA</w:t>
      </w:r>
    </w:p>
    <w:p>
      <w:pPr>
        <w:pStyle w:val="CalloutFormula"/>
      </w:pPr>
      <w:r>
        <w:rPr>
          <w:bCs/>
          <w:b/>
        </w:rPr>
        <w:t xml:space="preserve">Scan time of a bounded dataset</w:t>
      </w:r>
    </w:p>
    <w:p>
      <w:pPr>
        <w:pStyle w:val="CalloutFormula"/>
      </w:pPr>
      <m:oMathPara>
        <m:oMathParaPr>
          <m:jc m:val="center"/>
        </m:oMathParaPr>
        <m:oMath>
          <m:sSub>
            <m:e>
              <m:r>
                <m:t>T</m:t>
              </m:r>
            </m:e>
            <m:sub>
              <m:r>
                <m:rPr>
                  <m:nor/>
                  <m:sty m:val="p"/>
                </m:rPr>
                <m:t>scan</m:t>
              </m:r>
            </m:sub>
          </m:sSub>
          <m:r>
            <m:rPr>
              <m:sty m:val="p"/>
            </m:rPr>
            <m:t>=</m:t>
          </m:r>
          <m:f>
            <m:fPr>
              <m:type m:val="bar"/>
            </m:fPr>
            <m:num>
              <m:r>
                <m:t>D</m:t>
              </m:r>
            </m:num>
            <m:den>
              <m:r>
                <m:t>N</m:t>
              </m:r>
              <m:r>
                <m:rPr>
                  <m:sty m:val="p"/>
                </m:rPr>
                <m:t>⋅</m:t>
              </m:r>
              <m:r>
                <m:t>b</m:t>
              </m:r>
            </m:den>
          </m:f>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T</m:t>
                  </m:r>
                </m:e>
                <m:sub>
                  <m:r>
                    <m:rPr>
                      <m:nor/>
                      <m:sty m:val="p"/>
                    </m:rPr>
                    <m:t>scan</m:t>
                  </m:r>
                </m:sub>
              </m:sSub>
            </m:oMath>
          </w:p>
        </w:tc>
        <w:tc>
          <w:tcPr/>
          <w:p>
            <w:pPr>
              <w:pStyle w:val="Compact"/>
              <w:jc w:val="left"/>
            </w:pPr>
            <w:r>
              <w:t xml:space="preserve">Time to read the whole input once, ignoring stragglers</w:t>
            </w:r>
          </w:p>
        </w:tc>
        <w:tc>
          <w:tcPr/>
          <w:p>
            <w:pPr>
              <w:pStyle w:val="Compact"/>
              <w:jc w:val="left"/>
            </w:pPr>
            <w:r>
              <w:t xml:space="preserve">s</w:t>
            </w:r>
          </w:p>
        </w:tc>
      </w:tr>
      <w:tr>
        <w:tc>
          <w:tcPr/>
          <w:p>
            <w:pPr>
              <w:pStyle w:val="Compact"/>
              <w:jc w:val="left"/>
            </w:pPr>
            <m:oMath>
              <m:r>
                <m:t>D</m:t>
              </m:r>
            </m:oMath>
          </w:p>
        </w:tc>
        <w:tc>
          <w:tcPr/>
          <w:p>
            <w:pPr>
              <w:pStyle w:val="Compact"/>
              <w:jc w:val="left"/>
            </w:pPr>
            <w:r>
              <w:t xml:space="preserve">Input size</w:t>
            </w:r>
          </w:p>
        </w:tc>
        <w:tc>
          <w:tcPr/>
          <w:p>
            <w:pPr>
              <w:pStyle w:val="Compact"/>
              <w:jc w:val="left"/>
            </w:pPr>
            <w:r>
              <w:t xml:space="preserve">bytes</w:t>
            </w:r>
          </w:p>
        </w:tc>
      </w:tr>
      <w:tr>
        <w:tc>
          <w:tcPr/>
          <w:p>
            <w:pPr>
              <w:pStyle w:val="Compact"/>
              <w:jc w:val="left"/>
            </w:pPr>
            <m:oMath>
              <m:r>
                <m:t>N</m:t>
              </m:r>
            </m:oMath>
          </w:p>
        </w:tc>
        <w:tc>
          <w:tcPr/>
          <w:p>
            <w:pPr>
              <w:pStyle w:val="Compact"/>
              <w:jc w:val="left"/>
            </w:pPr>
            <w:r>
              <w:t xml:space="preserve">Number of nodes reading in parallel</w:t>
            </w:r>
          </w:p>
        </w:tc>
        <w:tc>
          <w:tcPr/>
          <w:p>
            <w:pPr>
              <w:pStyle w:val="Compact"/>
              <w:jc w:val="left"/>
            </w:pPr>
            <w:r>
              <w:t xml:space="preserve">count</w:t>
            </w:r>
          </w:p>
        </w:tc>
      </w:tr>
      <w:tr>
        <w:tc>
          <w:tcPr/>
          <w:p>
            <w:pPr>
              <w:pStyle w:val="Compact"/>
              <w:jc w:val="left"/>
            </w:pPr>
            <m:oMath>
              <m:r>
                <m:t>b</m:t>
              </m:r>
            </m:oMath>
          </w:p>
        </w:tc>
        <w:tc>
          <w:tcPr/>
          <w:p>
            <w:pPr>
              <w:pStyle w:val="Compact"/>
              <w:jc w:val="left"/>
            </w:pPr>
            <w:r>
              <w:t xml:space="preserve">Sustained read-and-process rate per node</w:t>
            </w:r>
          </w:p>
        </w:tc>
        <w:tc>
          <w:tcPr/>
          <w:p>
            <w:pPr>
              <w:pStyle w:val="Compact"/>
              <w:jc w:val="left"/>
            </w:pPr>
            <w:r>
              <w:t xml:space="preserve">bytes/s</w:t>
            </w:r>
          </w:p>
        </w:tc>
      </w:tr>
    </w:tbl>
    <w:p>
      <w:pPr>
        <w:pStyle w:val="CalloutExample"/>
      </w:pPr>
      <w:r>
        <w:rPr>
          <w:bCs/>
          <w:b/>
        </w:rPr>
        <w:t xml:space="preserve">WORKED EXAMPLE</w:t>
      </w:r>
    </w:p>
    <w:p>
      <w:pPr>
        <w:pStyle w:val="CalloutExample"/>
      </w:pPr>
      <w:r>
        <w:rPr>
          <w:bCs/>
          <w:b/>
        </w:rPr>
        <w:t xml:space="preserve">Worked example — Why a 10 TB log needs a cluster.</w:t>
      </w:r>
      <w:r>
        <w:t xml:space="preserve"> </w:t>
      </w:r>
      <w:r>
        <w:t xml:space="preserve">A day of clickstream logs is</w:t>
      </w:r>
      <w:r>
        <w:t xml:space="preserve"> </w:t>
      </w:r>
      <m:oMath>
        <m:r>
          <m:t>D</m:t>
        </m:r>
        <m:r>
          <m:rPr>
            <m:sty m:val="p"/>
          </m:rPr>
          <m:t>=</m:t>
        </m:r>
        <m:r>
          <m:t>10</m:t>
        </m:r>
      </m:oMath>
      <w:r>
        <w:t xml:space="preserve"> </w:t>
      </w:r>
      <w:r>
        <w:t xml:space="preserve">TB</w:t>
      </w:r>
      <w:r>
        <w:t xml:space="preserve"> </w:t>
      </w:r>
      <m:oMath>
        <m:r>
          <m:rPr>
            <m:sty m:val="p"/>
          </m:rPr>
          <m:t>=</m:t>
        </m:r>
        <m:sSup>
          <m:e>
            <m:r>
              <m:t>10</m:t>
            </m:r>
          </m:e>
          <m:sup>
            <m:r>
              <m:t>13</m:t>
            </m:r>
          </m:sup>
        </m:sSup>
      </m:oMath>
      <w:r>
        <w:t xml:space="preserve"> </w:t>
      </w:r>
      <w:r>
        <w:t xml:space="preserve">B. One node can read and parse at</w:t>
      </w:r>
      <w:r>
        <w:t xml:space="preserve"> </w:t>
      </w:r>
      <m:oMath>
        <m:r>
          <m:t>b</m:t>
        </m:r>
        <m:r>
          <m:rPr>
            <m:sty m:val="p"/>
          </m:rPr>
          <m:t>=</m:t>
        </m:r>
        <m:r>
          <m:t>500</m:t>
        </m:r>
      </m:oMath>
      <w:r>
        <w:t xml:space="preserve"> </w:t>
      </w:r>
      <w:r>
        <w:t xml:space="preserve">MB/s.</w:t>
      </w:r>
    </w:p>
    <w:p>
      <w:pPr>
        <w:numPr>
          <w:ilvl w:val="0"/>
          <w:numId w:val="1940"/>
        </w:numPr>
        <w:pStyle w:val="Compact"/>
      </w:pPr>
      <w:r>
        <w:t xml:space="preserve">One node:</w:t>
      </w:r>
      <w:r>
        <w:t xml:space="preserve"> </w:t>
      </w:r>
      <m:oMath>
        <m:sSup>
          <m:e>
            <m:r>
              <m:t>10</m:t>
            </m:r>
          </m:e>
          <m:sup>
            <m:r>
              <m:t>13</m:t>
            </m:r>
          </m:sup>
        </m:sSup>
        <m:r>
          <m:rPr>
            <m:sty m:val="p"/>
          </m:rPr>
          <m:t>/</m:t>
        </m:r>
        <m:d>
          <m:dPr>
            <m:begChr m:val="("/>
            <m:endChr m:val=")"/>
            <m:sepChr m:val=""/>
            <m:grow/>
          </m:dPr>
          <m:e>
            <m:r>
              <m:t>5</m:t>
            </m:r>
            <m:r>
              <m:rPr>
                <m:sty m:val="p"/>
              </m:rPr>
              <m:t>×</m:t>
            </m:r>
            <m:sSup>
              <m:e>
                <m:r>
                  <m:t>10</m:t>
                </m:r>
              </m:e>
              <m:sup>
                <m:r>
                  <m:t>8</m:t>
                </m:r>
              </m:sup>
            </m:sSup>
          </m:e>
        </m:d>
        <m:r>
          <m:rPr>
            <m:sty m:val="p"/>
          </m:rPr>
          <m:t>=</m:t>
        </m:r>
        <m:r>
          <m:t>20</m:t>
        </m:r>
        <m:r>
          <m:rPr>
            <m:sty m:val="p"/>
          </m:rPr>
          <m:t>,</m:t>
        </m:r>
        <m:r>
          <m:t>000</m:t>
        </m:r>
      </m:oMath>
      <w:r>
        <w:t xml:space="preserve"> </w:t>
      </w:r>
      <w:r>
        <w:t xml:space="preserve">s</w:t>
      </w:r>
      <w:r>
        <w:t xml:space="preserve"> </w:t>
      </w:r>
      <m:oMath>
        <m:r>
          <m:rPr>
            <m:sty m:val="p"/>
          </m:rPr>
          <m:t>≈</m:t>
        </m:r>
        <m:r>
          <m:t>5.6</m:t>
        </m:r>
      </m:oMath>
      <w:r>
        <w:t xml:space="preserve"> </w:t>
      </w:r>
      <w:r>
        <w:t xml:space="preserve">hours.</w:t>
      </w:r>
    </w:p>
    <w:p>
      <w:pPr>
        <w:numPr>
          <w:ilvl w:val="0"/>
          <w:numId w:val="1940"/>
        </w:numPr>
        <w:pStyle w:val="Compact"/>
      </w:pPr>
      <w:r>
        <w:t xml:space="preserve">100 nodes:</w:t>
      </w:r>
      <w:r>
        <w:t xml:space="preserve"> </w:t>
      </w:r>
      <m:oMath>
        <m:sSup>
          <m:e>
            <m:r>
              <m:t>10</m:t>
            </m:r>
          </m:e>
          <m:sup>
            <m:r>
              <m:t>13</m:t>
            </m:r>
          </m:sup>
        </m:sSup>
        <m:r>
          <m:rPr>
            <m:sty m:val="p"/>
          </m:rPr>
          <m:t>/</m:t>
        </m:r>
        <m:d>
          <m:dPr>
            <m:begChr m:val="("/>
            <m:endChr m:val=")"/>
            <m:sepChr m:val=""/>
            <m:grow/>
          </m:dPr>
          <m:e>
            <m:r>
              <m:t>100</m:t>
            </m:r>
            <m:r>
              <m:rPr>
                <m:sty m:val="p"/>
              </m:rPr>
              <m:t>×</m:t>
            </m:r>
            <m:r>
              <m:t>5</m:t>
            </m:r>
            <m:r>
              <m:rPr>
                <m:sty m:val="p"/>
              </m:rPr>
              <m:t>×</m:t>
            </m:r>
            <m:sSup>
              <m:e>
                <m:r>
                  <m:t>10</m:t>
                </m:r>
              </m:e>
              <m:sup>
                <m:r>
                  <m:t>8</m:t>
                </m:r>
              </m:sup>
            </m:sSup>
          </m:e>
        </m:d>
        <m:r>
          <m:rPr>
            <m:sty m:val="p"/>
          </m:rPr>
          <m:t>=</m:t>
        </m:r>
        <m:r>
          <m:t>200</m:t>
        </m:r>
      </m:oMath>
      <w:r>
        <w:t xml:space="preserve"> </w:t>
      </w:r>
      <w:r>
        <w:t xml:space="preserve">s</w:t>
      </w:r>
      <w:r>
        <w:t xml:space="preserve"> </w:t>
      </w:r>
      <m:oMath>
        <m:r>
          <m:rPr>
            <m:sty m:val="p"/>
          </m:rPr>
          <m:t>≈</m:t>
        </m:r>
        <m:r>
          <m:t>3.3</m:t>
        </m:r>
      </m:oMath>
      <w:r>
        <w:t xml:space="preserve"> </w:t>
      </w:r>
      <w:r>
        <w:t xml:space="preserve">minutes.</w:t>
      </w:r>
    </w:p>
    <w:p>
      <w:pPr>
        <w:numPr>
          <w:ilvl w:val="0"/>
          <w:numId w:val="1940"/>
        </w:numPr>
        <w:pStyle w:val="Compact"/>
      </w:pPr>
      <w:r>
        <w:t xml:space="preserve">Reading only 3 of 30 columns from Parquet (§13.13) cuts effective</w:t>
      </w:r>
      <w:r>
        <w:t xml:space="preserve"> </w:t>
      </w:r>
      <m:oMath>
        <m:r>
          <m:t>D</m:t>
        </m:r>
      </m:oMath>
      <w:r>
        <w:t xml:space="preserve"> </w:t>
      </w:r>
      <w:r>
        <w:t xml:space="preserve">to about 1 TB: 20 s on 100 nodes.</w:t>
      </w:r>
    </w:p>
    <w:p>
      <w:pPr>
        <w:pStyle w:val="CalloutExample"/>
      </w:pPr>
      <w:r>
        <w:rPr>
          <w:bCs/>
          <w:b/>
        </w:rPr>
        <w:t xml:space="preserve">Interpretation.</w:t>
      </w:r>
      <w:r>
        <w:t xml:space="preserve"> </w:t>
      </w:r>
      <w:r>
        <w:t xml:space="preserve">Parallelism turns hours into minutes, but start-up, the slowest task and serial steps do not shrink (Amdahl’s Law, §4.12).</w:t>
      </w:r>
      <w:r>
        <w:t xml:space="preserve"> </w:t>
      </w:r>
      <w:r>
        <w:rPr>
          <w:bCs/>
          <w:b/>
        </w:rPr>
        <w:t xml:space="preserve">Engineering implication.</w:t>
      </w:r>
      <w:r>
        <w:t xml:space="preserve"> </w:t>
      </w:r>
      <w:r>
        <w:t xml:space="preserve">Reduce</w:t>
      </w:r>
      <w:r>
        <w:t xml:space="preserve"> </w:t>
      </w:r>
      <m:oMath>
        <m:r>
          <m:t>D</m:t>
        </m:r>
      </m:oMath>
      <w:r>
        <w:t xml:space="preserve"> </w:t>
      </w:r>
      <w:r>
        <w:t xml:space="preserve">first (columnar formats, date pruning), then raise</w:t>
      </w:r>
      <w:r>
        <w:t xml:space="preserve"> </w:t>
      </w:r>
      <m:oMath>
        <m:r>
          <m:t>N</m:t>
        </m:r>
      </m:oMath>
      <w:r>
        <w:t xml:space="preserve">; later sections add shuffle and straggler terms.</w:t>
      </w:r>
    </w:p>
    <w:p>
      <w:pPr>
        <w:pStyle w:val="CalloutMistake"/>
      </w:pPr>
      <w:r>
        <w:rPr>
          <w:bCs/>
          <w:b/>
        </w:rPr>
        <w:t xml:space="preserve">COMMON MISTAKE</w:t>
      </w:r>
    </w:p>
    <w:p>
      <w:pPr>
        <w:pStyle w:val="CalloutMistake"/>
      </w:pPr>
      <w:r>
        <w:rPr>
          <w:bCs/>
          <w:b/>
        </w:rPr>
        <w:t xml:space="preserve">“</w:t>
      </w:r>
      <w:r>
        <w:rPr>
          <w:bCs/>
          <w:b/>
        </w:rPr>
        <w:t xml:space="preserve">Batch means old-fashioned or slow.</w:t>
      </w:r>
      <w:r>
        <w:rPr>
          <w:bCs/>
          <w:b/>
        </w:rPr>
        <w:t xml:space="preserve">”</w:t>
      </w:r>
      <w:r>
        <w:t xml:space="preserve"> </w:t>
      </w:r>
      <w:r>
        <w:t xml:space="preserve">Batch is a contract about bounded inputs and throughput, not about hardware. A modern Spark job over Parquet can finish in seconds; a streaming job can lag hours behind. Choose by whether the input is bounded and how fresh the output must be (§29.11).</w:t>
      </w:r>
    </w:p>
    <w:bookmarkEnd w:id="3237"/>
    <w:bookmarkEnd w:id="3238"/>
    <w:bookmarkEnd w:id="3239"/>
    <w:bookmarkStart w:id="3266" w:name="mapreduce"/>
    <w:p>
      <w:pPr>
        <w:pStyle w:val="Heading2"/>
      </w:pPr>
      <w:r>
        <w:t xml:space="preserve">29.4 MapReduce</w:t>
      </w:r>
    </w:p>
    <w:bookmarkStart w:id="3242" w:name="the-programming-model-and-word-count"/>
    <w:p>
      <w:pPr>
        <w:pStyle w:val="Heading3"/>
      </w:pPr>
      <w:r>
        <w:t xml:space="preserve">29.4.1 The programming model and word count</w:t>
      </w:r>
    </w:p>
    <w:p>
      <w:pPr>
        <w:pStyle w:val="CalloutDefinition"/>
      </w:pPr>
      <w:r>
        <w:rPr>
          <w:bCs/>
          <w:b/>
        </w:rPr>
        <w:t xml:space="preserve">DEFINITION</w:t>
      </w:r>
    </w:p>
    <w:p>
      <w:pPr>
        <w:pStyle w:val="CalloutDefinition"/>
      </w:pPr>
      <w:r>
        <w:rPr>
          <w:bCs/>
          <w:b/>
        </w:rPr>
        <w:t xml:space="preserve">Definition — MapReduce.</w:t>
      </w:r>
      <w:r>
        <w:t xml:space="preserve"> </w:t>
      </w:r>
      <w:r>
        <w:t xml:space="preserve">A programming model and execution system in which the user writes two functions:</w:t>
      </w:r>
      <w:r>
        <w:t xml:space="preserve"> </w:t>
      </w:r>
      <w:r>
        <w:rPr>
          <w:bCs/>
          <w:b/>
        </w:rPr>
        <w:t xml:space="preserve">map</w:t>
      </w:r>
      <w:r>
        <w:t xml:space="preserve">, which turns one input record into zero or more intermediate key–value pairs, and</w:t>
      </w:r>
      <w:r>
        <w:t xml:space="preserve"> </w:t>
      </w:r>
      <w:r>
        <w:rPr>
          <w:bCs/>
          <w:b/>
        </w:rPr>
        <w:t xml:space="preserve">reduce</w:t>
      </w:r>
      <w:r>
        <w:t xml:space="preserve">, which receives one intermediate key with</w:t>
      </w:r>
      <w:r>
        <w:t xml:space="preserve"> </w:t>
      </w:r>
      <w:r>
        <w:rPr>
          <w:iCs/>
          <w:i/>
        </w:rPr>
        <w:t xml:space="preserve">all</w:t>
      </w:r>
      <w:r>
        <w:t xml:space="preserve"> </w:t>
      </w:r>
      <w:r>
        <w:t xml:space="preserve">values emitted for it and produces output. The system handles splitting, scheduling, regrouping by key, and failures [Dean and Ghemawat 2004].</w:t>
      </w:r>
    </w:p>
    <w:bookmarkStart w:id="3240" w:name="first-principles-explanation-156"/>
    <w:p>
      <w:pPr>
        <w:pStyle w:val="Heading4"/>
      </w:pPr>
      <w:r>
        <w:t xml:space="preserve">First-principles explanation</w:t>
      </w:r>
    </w:p>
    <w:p>
      <w:pPr>
        <w:pStyle w:val="FirstParagraph"/>
      </w:pPr>
      <w:r>
        <w:t xml:space="preserve">The model works because many computations have the same shape:</w:t>
      </w:r>
      <w:r>
        <w:t xml:space="preserve"> </w:t>
      </w:r>
      <w:r>
        <w:rPr>
          <w:iCs/>
          <w:i/>
        </w:rPr>
        <w:t xml:space="preserve">look at each record independently</w:t>
      </w:r>
      <w:r>
        <w:t xml:space="preserve"> </w:t>
      </w:r>
      <w:r>
        <w:t xml:space="preserve">(map), then</w:t>
      </w:r>
      <w:r>
        <w:t xml:space="preserve"> </w:t>
      </w:r>
      <w:r>
        <w:rPr>
          <w:iCs/>
          <w:i/>
        </w:rPr>
        <w:t xml:space="preserve">combine everything that shares a key</w:t>
      </w:r>
      <w:r>
        <w:t xml:space="preserve"> </w:t>
      </w:r>
      <w:r>
        <w:t xml:space="preserve">(reduce). Counting words, building an inverted index (word → documents), computing per-user totals and joining two tables by ID all fit. The user writes only the two functions; the framework supplies the parallelism. The signatures are:</w:t>
      </w:r>
    </w:p>
    <w:p>
      <w:pPr>
        <w:pStyle w:val="SourceCode"/>
      </w:pPr>
      <w:r>
        <w:rPr>
          <w:rStyle w:val="VerbatimChar"/>
        </w:rPr>
        <w:t xml:space="preserve">map:    (k1, v1)        -&gt; list of (k2, v2)</w:t>
      </w:r>
      <w:r>
        <w:br/>
      </w:r>
      <w:r>
        <w:rPr>
          <w:rStyle w:val="VerbatimChar"/>
        </w:rPr>
        <w:t xml:space="preserve">reduce: (k2, list of v2) -&gt; list of v3</w:t>
      </w:r>
    </w:p>
    <w:p>
      <w:pPr>
        <w:pStyle w:val="FirstParagraph"/>
      </w:pPr>
      <w:r>
        <w:t xml:space="preserve">For word count, map receives one line of text and emits</w:t>
      </w:r>
      <w:r>
        <w:t xml:space="preserve"> </w:t>
      </w:r>
      <w:r>
        <w:rPr>
          <w:rStyle w:val="VerbatimChar"/>
        </w:rPr>
        <w:t xml:space="preserve">(word, 1)</w:t>
      </w:r>
      <w:r>
        <w:t xml:space="preserve"> </w:t>
      </w:r>
      <w:r>
        <w:t xml:space="preserve">for each word; reduce receives</w:t>
      </w:r>
      <w:r>
        <w:t xml:space="preserve"> </w:t>
      </w:r>
      <w:r>
        <w:rPr>
          <w:rStyle w:val="VerbatimChar"/>
        </w:rPr>
        <w:t xml:space="preserve">("the", [1, 1, 1, …])</w:t>
      </w:r>
      <w:r>
        <w:t xml:space="preserve"> </w:t>
      </w:r>
      <w:r>
        <w:t xml:space="preserve">and emits</w:t>
      </w:r>
      <w:r>
        <w:t xml:space="preserve"> </w:t>
      </w:r>
      <w:r>
        <w:rPr>
          <w:rStyle w:val="VerbatimChar"/>
        </w:rPr>
        <w:t xml:space="preserve">("the", count)</w:t>
      </w:r>
      <w:r>
        <w:t xml:space="preserve">.</w:t>
      </w:r>
    </w:p>
    <w:bookmarkEnd w:id="3240"/>
    <w:bookmarkStart w:id="3241" w:name="why-does-this-exist-100"/>
    <w:p>
      <w:pPr>
        <w:pStyle w:val="Heading4"/>
      </w:pPr>
      <w:r>
        <w:t xml:space="preserve">Why does this exist?</w:t>
      </w:r>
    </w:p>
    <w:p>
      <w:pPr>
        <w:pStyle w:val="FirstParagraph"/>
      </w:pPr>
      <w:r>
        <w:t xml:space="preserve">Google in the early 2000s ran hundreds of special-purpose programs over crawled documents and request logs. Each reimplemented parallelization, data distribution and failure handling. MapReduce moved that plumbing into a library so engineers without distributed-systems experience could use thousands of machines, and Google rewrote its production indexing system on it [Dean and Ghemawat 2004]. Hadoop MapReduce, the open-source reimplementation on HDFS, brought the same model to the rest of the industry.</w:t>
      </w:r>
    </w:p>
    <w:bookmarkEnd w:id="3241"/>
    <w:bookmarkEnd w:id="3242"/>
    <w:bookmarkStart w:id="3252" w:name="X18d79c8ebf6b3de67e4fb71854317aaef00eee8"/>
    <w:p>
      <w:pPr>
        <w:pStyle w:val="Heading3"/>
      </w:pPr>
      <w:r>
        <w:t xml:space="preserve">29.4.2 Execution: splits, map, partition, sort and spill, shuffle, reduce</w:t>
      </w:r>
    </w:p>
    <w:bookmarkStart w:id="3249" w:name="how-it-works-internally-111"/>
    <w:p>
      <w:pPr>
        <w:pStyle w:val="Heading4"/>
      </w:pPr>
      <w:r>
        <w:t xml:space="preserve">How it works internally</w:t>
      </w:r>
    </w:p>
    <w:p>
      <w:pPr>
        <w:numPr>
          <w:ilvl w:val="0"/>
          <w:numId w:val="1941"/>
        </w:numPr>
        <w:pStyle w:val="Compact"/>
      </w:pPr>
      <w:r>
        <w:rPr>
          <w:bCs/>
          <w:b/>
        </w:rPr>
        <w:t xml:space="preserve">Split.</w:t>
      </w:r>
      <w:r>
        <w:t xml:space="preserve"> </w:t>
      </w:r>
      <w:r>
        <w:t xml:space="preserve">The input is divided into</w:t>
      </w:r>
      <w:r>
        <w:t xml:space="preserve"> </w:t>
      </w:r>
      <m:oMath>
        <m:r>
          <m:t>M</m:t>
        </m:r>
      </m:oMath>
      <w:r>
        <w:t xml:space="preserve"> </w:t>
      </w:r>
      <w:r>
        <w:t xml:space="preserve">splits, typically one per 64–128 MB block. A single</w:t>
      </w:r>
      <w:r>
        <w:t xml:space="preserve"> </w:t>
      </w:r>
      <w:r>
        <w:rPr>
          <w:bCs/>
          <w:b/>
        </w:rPr>
        <w:t xml:space="preserve">coordinator</w:t>
      </w:r>
      <w:r>
        <w:t xml:space="preserve"> </w:t>
      </w:r>
      <w:r>
        <w:t xml:space="preserve">(Google’s</w:t>
      </w:r>
      <w:r>
        <w:t xml:space="preserve"> </w:t>
      </w:r>
      <w:r>
        <w:t xml:space="preserve">“</w:t>
      </w:r>
      <w:r>
        <w:t xml:space="preserve">master</w:t>
      </w:r>
      <w:r>
        <w:t xml:space="preserve">”</w:t>
      </w:r>
      <w:r>
        <w:t xml:space="preserve">; on YARN an ApplicationMaster) assigns map tasks to idle workers, preferring a worker that stores the split locally (§29.7).</w:t>
      </w:r>
    </w:p>
    <w:p>
      <w:pPr>
        <w:numPr>
          <w:ilvl w:val="0"/>
          <w:numId w:val="1941"/>
        </w:numPr>
        <w:pStyle w:val="Compact"/>
      </w:pPr>
      <w:r>
        <w:rPr>
          <w:bCs/>
          <w:b/>
        </w:rPr>
        <w:t xml:space="preserve">Map.</w:t>
      </w:r>
      <w:r>
        <w:t xml:space="preserve"> </w:t>
      </w:r>
      <w:r>
        <w:t xml:space="preserve">The worker parses records from its split and calls</w:t>
      </w:r>
      <w:r>
        <w:t xml:space="preserve"> </w:t>
      </w:r>
      <w:r>
        <w:rPr>
          <w:rStyle w:val="VerbatimChar"/>
        </w:rPr>
        <w:t xml:space="preserve">map</w:t>
      </w:r>
      <w:r>
        <w:t xml:space="preserve"> </w:t>
      </w:r>
      <w:r>
        <w:t xml:space="preserve">on each one.</w:t>
      </w:r>
    </w:p>
    <w:p>
      <w:pPr>
        <w:numPr>
          <w:ilvl w:val="0"/>
          <w:numId w:val="1941"/>
        </w:numPr>
        <w:pStyle w:val="Compact"/>
      </w:pPr>
      <w:r>
        <w:rPr>
          <w:bCs/>
          <w:b/>
        </w:rPr>
        <w:t xml:space="preserve">Partition.</w:t>
      </w:r>
      <w:r>
        <w:t xml:space="preserve"> </w:t>
      </w:r>
      <w:r>
        <w:t xml:space="preserve">Each intermediate pair is assigned to one of</w:t>
      </w:r>
      <w:r>
        <w:t xml:space="preserve"> </w:t>
      </w:r>
      <m:oMath>
        <m:r>
          <m:t>R</m:t>
        </m:r>
      </m:oMath>
      <w:r>
        <w:t xml:space="preserve"> </w:t>
      </w:r>
      <w:r>
        <w:t xml:space="preserve">reduce partitions, by default</w:t>
      </w:r>
      <w:r>
        <w:t xml:space="preserve"> </w:t>
      </w:r>
      <m:oMath>
        <m:r>
          <m:rPr>
            <m:nor/>
            <m:sty m:val="p"/>
          </m:rPr>
          <m:t>hash</m:t>
        </m:r>
        <m:d>
          <m:dPr>
            <m:begChr m:val="("/>
            <m:endChr m:val=")"/>
            <m:sepChr m:val=""/>
            <m:grow/>
          </m:dPr>
          <m:e>
            <m:r>
              <m:t>k</m:t>
            </m:r>
          </m:e>
        </m:d>
        <m:r>
          <m:t> </m:t>
        </m:r>
        <m:r>
          <m:rPr>
            <m:sty m:val="p"/>
          </m:rPr>
          <m:t>mod</m:t>
        </m:r>
        <m:r>
          <m:t> </m:t>
        </m:r>
        <m:r>
          <m:t>R</m:t>
        </m:r>
      </m:oMath>
      <w:r>
        <w:t xml:space="preserve">, so every pair with the same key goes to the same reducer no matter which mapper emitted it.</w:t>
      </w:r>
    </w:p>
    <w:p>
      <w:pPr>
        <w:numPr>
          <w:ilvl w:val="0"/>
          <w:numId w:val="1941"/>
        </w:numPr>
        <w:pStyle w:val="Compact"/>
      </w:pPr>
      <w:r>
        <w:rPr>
          <w:bCs/>
          <w:b/>
        </w:rPr>
        <w:t xml:space="preserve">Buffer, sort and spill.</w:t>
      </w:r>
      <w:r>
        <w:t xml:space="preserve"> </w:t>
      </w:r>
      <w:r>
        <w:t xml:space="preserve">Pairs accumulate in a memory buffer (100 MB by default in Hadoop). When it fills, the worker sorts the buffer by (partition, key), optionally runs the</w:t>
      </w:r>
      <w:r>
        <w:t xml:space="preserve"> </w:t>
      </w:r>
      <w:r>
        <w:rPr>
          <w:bCs/>
          <w:b/>
        </w:rPr>
        <w:t xml:space="preserve">combiner</w:t>
      </w:r>
      <w:r>
        <w:t xml:space="preserve">, and</w:t>
      </w:r>
      <w:r>
        <w:t xml:space="preserve"> </w:t>
      </w:r>
      <w:r>
        <w:rPr>
          <w:bCs/>
          <w:b/>
        </w:rPr>
        <w:t xml:space="preserve">spills</w:t>
      </w:r>
      <w:r>
        <w:t xml:space="preserve"> </w:t>
      </w:r>
      <w:r>
        <w:t xml:space="preserve">a sorted run to local disk. At task end, spills are merged into one partitioned, indexed file.</w:t>
      </w:r>
    </w:p>
    <w:p>
      <w:pPr>
        <w:numPr>
          <w:ilvl w:val="0"/>
          <w:numId w:val="1941"/>
        </w:numPr>
        <w:pStyle w:val="Compact"/>
      </w:pPr>
      <w:r>
        <w:rPr>
          <w:bCs/>
          <w:b/>
        </w:rPr>
        <w:t xml:space="preserve">Shuffle.</w:t>
      </w:r>
      <w:r>
        <w:t xml:space="preserve"> </w:t>
      </w:r>
      <w:r>
        <w:t xml:space="preserve">Each reduce task fetches its partition from</w:t>
      </w:r>
      <w:r>
        <w:t xml:space="preserve"> </w:t>
      </w:r>
      <w:r>
        <w:rPr>
          <w:iCs/>
          <w:i/>
        </w:rPr>
        <w:t xml:space="preserve">every</w:t>
      </w:r>
      <w:r>
        <w:t xml:space="preserve"> </w:t>
      </w:r>
      <w:r>
        <w:t xml:space="preserve">map task’s output over the network, usually starting while maps are still finishing. This all-to-all copy is the shuffle.</w:t>
      </w:r>
    </w:p>
    <w:p>
      <w:pPr>
        <w:numPr>
          <w:ilvl w:val="0"/>
          <w:numId w:val="1941"/>
        </w:numPr>
        <w:pStyle w:val="Compact"/>
      </w:pPr>
      <w:r>
        <w:rPr>
          <w:bCs/>
          <w:b/>
        </w:rPr>
        <w:t xml:space="preserve">Merge.</w:t>
      </w:r>
      <w:r>
        <w:t xml:space="preserve"> </w:t>
      </w:r>
      <w:r>
        <w:t xml:space="preserve">The reducer merge-sorts the</w:t>
      </w:r>
      <w:r>
        <w:t xml:space="preserve"> </w:t>
      </w:r>
      <m:oMath>
        <m:r>
          <m:t>M</m:t>
        </m:r>
      </m:oMath>
      <w:r>
        <w:t xml:space="preserve"> </w:t>
      </w:r>
      <w:r>
        <w:t xml:space="preserve">sorted runs it fetched, spilling to disk if they do not fit in memory, so that all values for a key are adjacent.</w:t>
      </w:r>
    </w:p>
    <w:p>
      <w:pPr>
        <w:numPr>
          <w:ilvl w:val="0"/>
          <w:numId w:val="1941"/>
        </w:numPr>
        <w:pStyle w:val="Compact"/>
      </w:pPr>
      <w:r>
        <w:rPr>
          <w:bCs/>
          <w:b/>
        </w:rPr>
        <w:t xml:space="preserve">Reduce.</w:t>
      </w:r>
      <w:r>
        <w:t xml:space="preserve"> </w:t>
      </w:r>
      <w:r>
        <w:t xml:space="preserve">The reducer calls</w:t>
      </w:r>
      <w:r>
        <w:t xml:space="preserve"> </w:t>
      </w:r>
      <w:r>
        <w:rPr>
          <w:rStyle w:val="VerbatimChar"/>
        </w:rPr>
        <w:t xml:space="preserve">reduce</w:t>
      </w:r>
      <w:r>
        <w:t xml:space="preserve"> </w:t>
      </w:r>
      <w:r>
        <w:t xml:space="preserve">once per key, streaming the sorted values, and writes one output file per reduce task (</w:t>
      </w:r>
      <w:r>
        <w:rPr>
          <w:rStyle w:val="VerbatimChar"/>
        </w:rPr>
        <w:t xml:space="preserve">part-00000</w:t>
      </w:r>
      <w:r>
        <w:t xml:space="preserve">, …), made visible by an atomic rename on commit.</w:t>
      </w:r>
    </w:p>
    <w:p>
      <w:pPr>
        <w:pStyle w:val="FirstParagraph"/>
      </w:pPr>
      <w:r>
        <w:t xml:space="preserve">A</w:t>
      </w:r>
      <w:r>
        <w:t xml:space="preserve"> </w:t>
      </w:r>
      <w:r>
        <w:rPr>
          <w:bCs/>
          <w:b/>
        </w:rPr>
        <w:t xml:space="preserve">combiner</w:t>
      </w:r>
      <w:r>
        <w:t xml:space="preserve"> </w:t>
      </w:r>
      <w:r>
        <w:t xml:space="preserve">is a reduce function run on the map side, on one mapper’s output, before the shuffle. It is legal only for associative and commutative operations (sum, count, max).</w:t>
      </w:r>
    </w:p>
    <w:p>
      <w:pPr>
        <w:pStyle w:val="BodyText"/>
      </w:pPr>
      <w:r>
        <w:rPr>
          <w:bCs/>
          <w:b/>
        </w:rPr>
        <w:t xml:space="preserve">Figure 29.2 — MapReduce job execution.</w:t>
      </w:r>
    </w:p>
    <w:p>
      <w:pPr>
        <w:pStyle w:val="BodyText"/>
      </w:pPr>
      <w:r>
        <w:drawing>
          <wp:inline>
            <wp:extent cx="5334000" cy="2175909"/>
            <wp:effectExtent b="0" l="0" r="0" t="0"/>
            <wp:docPr descr="" title="" id="3244" name="Picture"/>
            <a:graphic>
              <a:graphicData uri="http://schemas.openxmlformats.org/drawingml/2006/picture">
                <pic:pic>
                  <pic:nvPicPr>
                    <pic:cNvPr descr="/home/user/System-Design/build/.cache/diagrams/8b7b8b11ba9f.png" id="3245" name="Picture"/>
                    <pic:cNvPicPr>
                      <a:picLocks noChangeArrowheads="1" noChangeAspect="1"/>
                    </pic:cNvPicPr>
                  </pic:nvPicPr>
                  <pic:blipFill>
                    <a:blip r:embed="rId3243"/>
                    <a:stretch>
                      <a:fillRect/>
                    </a:stretch>
                  </pic:blipFill>
                  <pic:spPr bwMode="auto">
                    <a:xfrm>
                      <a:off x="0" y="0"/>
                      <a:ext cx="5334000" cy="2175909"/>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w:t>
      </w:r>
      <w:r>
        <w:t xml:space="preserve"> </w:t>
      </w:r>
      <w:r>
        <w:rPr>
          <w:iCs/>
          <w:i/>
        </w:rPr>
        <w:t xml:space="preserve">coordinator</w:t>
      </w:r>
      <w:r>
        <w:t xml:space="preserve"> </w:t>
      </w:r>
      <w:r>
        <w:t xml:space="preserve">(dotted arrows) assigns tasks and receives heartbeats; it never touches data. Each</w:t>
      </w:r>
      <w:r>
        <w:t xml:space="preserve"> </w:t>
      </w:r>
      <w:r>
        <w:rPr>
          <w:iCs/>
          <w:i/>
        </w:rPr>
        <w:t xml:space="preserve">map task</w:t>
      </w:r>
      <w:r>
        <w:t xml:space="preserve"> </w:t>
      </w:r>
      <w:r>
        <w:t xml:space="preserve">reads one split of the replicated</w:t>
      </w:r>
      <w:r>
        <w:t xml:space="preserve"> </w:t>
      </w:r>
      <w:r>
        <w:rPr>
          <w:iCs/>
          <w:i/>
        </w:rPr>
        <w:t xml:space="preserve">input</w:t>
      </w:r>
      <w:r>
        <w:t xml:space="preserve"> </w:t>
      </w:r>
      <w:r>
        <w:t xml:space="preserve">and writes R sorted partitions to</w:t>
      </w:r>
      <w:r>
        <w:t xml:space="preserve"> </w:t>
      </w:r>
      <w:r>
        <w:rPr>
          <w:iCs/>
          <w:i/>
        </w:rPr>
        <w:t xml:space="preserve">local disk</w:t>
      </w:r>
      <w:r>
        <w:t xml:space="preserve">. Each</w:t>
      </w:r>
      <w:r>
        <w:t xml:space="preserve"> </w:t>
      </w:r>
      <w:r>
        <w:rPr>
          <w:iCs/>
          <w:i/>
        </w:rPr>
        <w:t xml:space="preserve">reduce task</w:t>
      </w:r>
      <w:r>
        <w:t xml:space="preserve"> </w:t>
      </w:r>
      <w:r>
        <w:t xml:space="preserve">fetches its partition from every map output (synchronous HTTP fetches), merges, reduces and writes one</w:t>
      </w:r>
      <w:r>
        <w:t xml:space="preserve"> </w:t>
      </w:r>
      <w:r>
        <w:rPr>
          <w:iCs/>
          <w:i/>
        </w:rPr>
        <w:t xml:space="preserve">output</w:t>
      </w:r>
      <w:r>
        <w:t xml:space="preserve"> </w:t>
      </w:r>
      <w:r>
        <w:t xml:space="preserve">file to the distributed file system. Storage: input and output are replicated; intermediate data is not, so a lost node forces its map tasks to rerun. Scaling: M follows input size, R is chosen by the user, and the shuffle is</w:t>
      </w:r>
      <w:r>
        <w:t xml:space="preserve"> </w:t>
      </w:r>
      <m:oMath>
        <m:r>
          <m:t>M</m:t>
        </m:r>
        <m:r>
          <m:rPr>
            <m:sty m:val="p"/>
          </m:rPr>
          <m:t>×</m:t>
        </m:r>
        <m:r>
          <m:t>R</m:t>
        </m:r>
      </m:oMath>
      <w:r>
        <w:t xml:space="preserve"> </w:t>
      </w:r>
      <w:r>
        <w:t xml:space="preserve">transfers.</w:t>
      </w:r>
    </w:p>
    <w:p>
      <w:pPr>
        <w:pStyle w:val="BodyText"/>
      </w:pPr>
      <w:r>
        <w:rPr>
          <w:bCs/>
          <w:b/>
        </w:rPr>
        <w:t xml:space="preserve">Figure 29.3 — Inside a map task and a reduce task.</w:t>
      </w:r>
    </w:p>
    <w:p>
      <w:pPr>
        <w:pStyle w:val="BodyText"/>
      </w:pPr>
      <w:r>
        <w:drawing>
          <wp:inline>
            <wp:extent cx="5334000" cy="443854"/>
            <wp:effectExtent b="0" l="0" r="0" t="0"/>
            <wp:docPr descr="" title="" id="3247" name="Picture"/>
            <a:graphic>
              <a:graphicData uri="http://schemas.openxmlformats.org/drawingml/2006/picture">
                <pic:pic>
                  <pic:nvPicPr>
                    <pic:cNvPr descr="/home/user/System-Design/build/.cache/diagrams/4eb8c65d2638.png" id="3248" name="Picture"/>
                    <pic:cNvPicPr>
                      <a:picLocks noChangeArrowheads="1" noChangeAspect="1"/>
                    </pic:cNvPicPr>
                  </pic:nvPicPr>
                  <pic:blipFill>
                    <a:blip r:embed="rId3246"/>
                    <a:stretch>
                      <a:fillRect/>
                    </a:stretch>
                  </pic:blipFill>
                  <pic:spPr bwMode="auto">
                    <a:xfrm>
                      <a:off x="0" y="0"/>
                      <a:ext cx="5334000" cy="443854"/>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Within a map task, records flow from the</w:t>
      </w:r>
      <w:r>
        <w:t xml:space="preserve"> </w:t>
      </w:r>
      <w:r>
        <w:rPr>
          <w:iCs/>
          <w:i/>
        </w:rPr>
        <w:t xml:space="preserve">record reader</w:t>
      </w:r>
      <w:r>
        <w:t xml:space="preserve"> </w:t>
      </w:r>
      <w:r>
        <w:t xml:space="preserve">through the user’s</w:t>
      </w:r>
      <w:r>
        <w:t xml:space="preserve"> </w:t>
      </w:r>
      <w:r>
        <w:rPr>
          <w:iCs/>
          <w:i/>
        </w:rPr>
        <w:t xml:space="preserve">map function</w:t>
      </w:r>
      <w:r>
        <w:t xml:space="preserve"> </w:t>
      </w:r>
      <w:r>
        <w:t xml:space="preserve">and the</w:t>
      </w:r>
      <w:r>
        <w:t xml:space="preserve"> </w:t>
      </w:r>
      <w:r>
        <w:rPr>
          <w:iCs/>
          <w:i/>
        </w:rPr>
        <w:t xml:space="preserve">partitioner</w:t>
      </w:r>
      <w:r>
        <w:t xml:space="preserve"> </w:t>
      </w:r>
      <w:r>
        <w:t xml:space="preserve">into a memory</w:t>
      </w:r>
      <w:r>
        <w:t xml:space="preserve"> </w:t>
      </w:r>
      <w:r>
        <w:rPr>
          <w:iCs/>
          <w:i/>
        </w:rPr>
        <w:t xml:space="preserve">buffer</w:t>
      </w:r>
      <w:r>
        <w:t xml:space="preserve">. Each time the buffer fills, it is sorted by (partition, key), the</w:t>
      </w:r>
      <w:r>
        <w:t xml:space="preserve"> </w:t>
      </w:r>
      <w:r>
        <w:rPr>
          <w:iCs/>
          <w:i/>
        </w:rPr>
        <w:t xml:space="preserve">combiner</w:t>
      </w:r>
      <w:r>
        <w:t xml:space="preserve"> </w:t>
      </w:r>
      <w:r>
        <w:t xml:space="preserve">runs, and a</w:t>
      </w:r>
      <w:r>
        <w:t xml:space="preserve"> </w:t>
      </w:r>
      <w:r>
        <w:rPr>
          <w:iCs/>
          <w:i/>
        </w:rPr>
        <w:t xml:space="preserve">spill file</w:t>
      </w:r>
      <w:r>
        <w:t xml:space="preserve"> </w:t>
      </w:r>
      <w:r>
        <w:t xml:space="preserve">is written; at the end all spills are merged into one partitioned file with an index giving each partition’s byte range. The reduce task’s</w:t>
      </w:r>
      <w:r>
        <w:t xml:space="preserve"> </w:t>
      </w:r>
      <w:r>
        <w:rPr>
          <w:iCs/>
          <w:i/>
        </w:rPr>
        <w:t xml:space="preserve">fetchers</w:t>
      </w:r>
      <w:r>
        <w:t xml:space="preserve"> </w:t>
      </w:r>
      <w:r>
        <w:t xml:space="preserve">pull its partition from every map output, the</w:t>
      </w:r>
      <w:r>
        <w:t xml:space="preserve"> </w:t>
      </w:r>
      <w:r>
        <w:rPr>
          <w:iCs/>
          <w:i/>
        </w:rPr>
        <w:t xml:space="preserve">merge</w:t>
      </w:r>
      <w:r>
        <w:t xml:space="preserve"> </w:t>
      </w:r>
      <w:r>
        <w:t xml:space="preserve">step produces one sorted stream, and the</w:t>
      </w:r>
      <w:r>
        <w:t xml:space="preserve"> </w:t>
      </w:r>
      <w:r>
        <w:rPr>
          <w:iCs/>
          <w:i/>
        </w:rPr>
        <w:t xml:space="preserve">reduce function</w:t>
      </w:r>
      <w:r>
        <w:t xml:space="preserve"> </w:t>
      </w:r>
      <w:r>
        <w:t xml:space="preserve">writes a part file to HDFS. Failure points: a full disk fails the task; a fetch failure reruns the map. Scaling: larger buffers mean fewer spills.</w:t>
      </w:r>
    </w:p>
    <w:bookmarkEnd w:id="3249"/>
    <w:bookmarkStart w:id="3250" w:name="code-example-35"/>
    <w:p>
      <w:pPr>
        <w:pStyle w:val="Heading4"/>
      </w:pPr>
      <w:r>
        <w:t xml:space="preserve">Code example</w:t>
      </w:r>
    </w:p>
    <w:p>
      <w:pPr>
        <w:pStyle w:val="FirstParagraph"/>
      </w:pPr>
      <w:r>
        <w:t xml:space="preserve">The program below is a complete MapReduce engine in about 70 lines: map tasks with partitioning, per-partition sorting and an optional combiner; a shuffle that gives reducer</w:t>
      </w:r>
      <w:r>
        <w:t xml:space="preserve"> </w:t>
      </w:r>
      <m:oMath>
        <m:r>
          <m:t>r</m:t>
        </m:r>
      </m:oMath>
      <w:r>
        <w:t xml:space="preserve"> </w:t>
      </w:r>
      <w:r>
        <w:t xml:space="preserve">run</w:t>
      </w:r>
      <w:r>
        <w:t xml:space="preserve"> </w:t>
      </w:r>
      <m:oMath>
        <m:r>
          <m:t>r</m:t>
        </m:r>
      </m:oMath>
      <w:r>
        <w:t xml:space="preserve"> </w:t>
      </w:r>
      <w:r>
        <w:t xml:space="preserve">from every mapper; a k-way merge; and reduce. Map tasks that</w:t>
      </w:r>
      <w:r>
        <w:t xml:space="preserve"> </w:t>
      </w:r>
      <w:r>
        <w:t xml:space="preserve">“</w:t>
      </w:r>
      <w:r>
        <w:t xml:space="preserve">crash</w:t>
      </w:r>
      <w:r>
        <w:t xml:space="preserve">”</w:t>
      </w:r>
      <w:r>
        <w:t xml:space="preserve"> </w:t>
      </w:r>
      <w:r>
        <w:t xml:space="preserve">are re-executed. It runs word count with and without a combiner and a reduce-side join, and checks every answer against plain Python.</w:t>
      </w:r>
    </w:p>
    <w:p>
      <w:pPr>
        <w:pStyle w:val="SourceCode"/>
      </w:pPr>
      <w:r>
        <w:rPr>
          <w:rStyle w:val="CommentTok"/>
        </w:rPr>
        <w:t xml:space="preserve">"""A mini MapReduce engine: splits -&gt; map -&gt; (combine) -&gt; partition -&gt; sort -&gt; shuffle -&gt; reduce.</w:t>
      </w:r>
      <w:r>
        <w:br/>
      </w:r>
      <w:r>
        <w:rPr>
          <w:rStyle w:val="CommentTok"/>
        </w:rPr>
        <w:t xml:space="preserve">Map tasks are pure functions of their split, so a failed task is simply re-executed."""</w:t>
      </w:r>
      <w:r>
        <w:br/>
      </w:r>
      <w:r>
        <w:rPr>
          <w:rStyle w:val="ImportTok"/>
        </w:rPr>
        <w:t xml:space="preserve">import</w:t>
      </w:r>
      <w:r>
        <w:rPr>
          <w:rStyle w:val="NormalTok"/>
        </w:rPr>
        <w:t xml:space="preserve"> heapq</w:t>
      </w:r>
      <w:r>
        <w:br/>
      </w:r>
      <w:r>
        <w:rPr>
          <w:rStyle w:val="ImportTok"/>
        </w:rPr>
        <w:t xml:space="preserve">import</w:t>
      </w:r>
      <w:r>
        <w:rPr>
          <w:rStyle w:val="NormalTok"/>
        </w:rPr>
        <w:t xml:space="preserve"> itertools</w:t>
      </w:r>
      <w:r>
        <w:br/>
      </w:r>
      <w:r>
        <w:rPr>
          <w:rStyle w:val="ImportTok"/>
        </w:rPr>
        <w:t xml:space="preserve">import</w:t>
      </w:r>
      <w:r>
        <w:rPr>
          <w:rStyle w:val="NormalTok"/>
        </w:rPr>
        <w:t xml:space="preserve"> zlib</w:t>
      </w:r>
      <w:r>
        <w:br/>
      </w:r>
      <w:r>
        <w:rPr>
          <w:rStyle w:val="ImportTok"/>
        </w:rPr>
        <w:t xml:space="preserve">from</w:t>
      </w:r>
      <w:r>
        <w:rPr>
          <w:rStyle w:val="NormalTok"/>
        </w:rPr>
        <w:t xml:space="preserve"> collections </w:t>
      </w:r>
      <w:r>
        <w:rPr>
          <w:rStyle w:val="ImportTok"/>
        </w:rPr>
        <w:t xml:space="preserve">import</w:t>
      </w:r>
      <w:r>
        <w:rPr>
          <w:rStyle w:val="NormalTok"/>
        </w:rPr>
        <w:t xml:space="preserve"> Counter, defaultdict</w:t>
      </w:r>
      <w:r>
        <w:br/>
      </w:r>
      <w:r>
        <w:br/>
      </w:r>
      <w:r>
        <w:br/>
      </w:r>
      <w:r>
        <w:rPr>
          <w:rStyle w:val="KeywordTok"/>
        </w:rPr>
        <w:t xml:space="preserve">def</w:t>
      </w:r>
      <w:r>
        <w:rPr>
          <w:rStyle w:val="NormalTok"/>
        </w:rPr>
        <w:t xml:space="preserve"> hash_partition(key, num_reducers):</w:t>
      </w:r>
      <w:r>
        <w:br/>
      </w:r>
      <w:r>
        <w:rPr>
          <w:rStyle w:val="NormalTok"/>
        </w:rPr>
        <w:t xml:space="preserve">    </w:t>
      </w:r>
      <w:r>
        <w:rPr>
          <w:rStyle w:val="CommentTok"/>
        </w:rPr>
        <w:t xml:space="preserve"># Deterministic across processes (Python's built-in hash() is salted per process).</w:t>
      </w:r>
      <w:r>
        <w:br/>
      </w:r>
      <w:r>
        <w:rPr>
          <w:rStyle w:val="NormalTok"/>
        </w:rPr>
        <w:t xml:space="preserve">    </w:t>
      </w:r>
      <w:r>
        <w:rPr>
          <w:rStyle w:val="ControlFlowTok"/>
        </w:rPr>
        <w:t xml:space="preserve">return</w:t>
      </w:r>
      <w:r>
        <w:rPr>
          <w:rStyle w:val="NormalTok"/>
        </w:rPr>
        <w:t xml:space="preserve"> zlib.crc32(</w:t>
      </w:r>
      <w:r>
        <w:rPr>
          <w:rStyle w:val="BuiltInTok"/>
        </w:rPr>
        <w:t xml:space="preserve">repr</w:t>
      </w:r>
      <w:r>
        <w:rPr>
          <w:rStyle w:val="NormalTok"/>
        </w:rPr>
        <w:t xml:space="preserve">(key).encode()) </w:t>
      </w:r>
      <w:r>
        <w:rPr>
          <w:rStyle w:val="OperatorTok"/>
        </w:rPr>
        <w:t xml:space="preserve">%</w:t>
      </w:r>
      <w:r>
        <w:rPr>
          <w:rStyle w:val="NormalTok"/>
        </w:rPr>
        <w:t xml:space="preserve"> num_reducers</w:t>
      </w:r>
      <w:r>
        <w:br/>
      </w:r>
      <w:r>
        <w:br/>
      </w:r>
      <w:r>
        <w:br/>
      </w:r>
      <w:r>
        <w:rPr>
          <w:rStyle w:val="KeywordTok"/>
        </w:rPr>
        <w:t xml:space="preserve">class</w:t>
      </w:r>
      <w:r>
        <w:rPr>
          <w:rStyle w:val="NormalTok"/>
        </w:rPr>
        <w:t xml:space="preserve"> TaskFailure(</w:t>
      </w:r>
      <w:r>
        <w:rPr>
          <w:rStyle w:val="PreprocessorTok"/>
        </w:rPr>
        <w:t xml:space="preserve">Exception</w:t>
      </w:r>
      <w:r>
        <w:rPr>
          <w:rStyle w:val="NormalTok"/>
        </w:rPr>
        <w:t xml:space="preserve">):</w:t>
      </w:r>
      <w:r>
        <w:br/>
      </w:r>
      <w:r>
        <w:rPr>
          <w:rStyle w:val="NormalTok"/>
        </w:rPr>
        <w:t xml:space="preserve">    </w:t>
      </w:r>
      <w:r>
        <w:rPr>
          <w:rStyle w:val="ControlFlowTok"/>
        </w:rPr>
        <w:t xml:space="preserve">pass</w:t>
      </w:r>
      <w:r>
        <w:br/>
      </w:r>
      <w:r>
        <w:br/>
      </w:r>
      <w:r>
        <w:br/>
      </w:r>
      <w:r>
        <w:rPr>
          <w:rStyle w:val="KeywordTok"/>
        </w:rPr>
        <w:t xml:space="preserve">class</w:t>
      </w:r>
      <w:r>
        <w:rPr>
          <w:rStyle w:val="NormalTok"/>
        </w:rPr>
        <w:t xml:space="preserve"> MiniMapReduce: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mapper, reducer, num_reducers</w:t>
      </w:r>
      <w:r>
        <w:rPr>
          <w:rStyle w:val="OperatorTok"/>
        </w:rPr>
        <w:t xml:space="preserve">=</w:t>
      </w:r>
      <w:r>
        <w:rPr>
          <w:rStyle w:val="DecValTok"/>
        </w:rPr>
        <w:t xml:space="preserve">4</w:t>
      </w:r>
      <w:r>
        <w:rPr>
          <w:rStyle w:val="NormalTok"/>
        </w:rPr>
        <w:t xml:space="preserve">, combiner</w:t>
      </w:r>
      <w:r>
        <w:rPr>
          <w:rStyle w:val="OperatorTok"/>
        </w:rPr>
        <w:t xml:space="preserve">=</w:t>
      </w:r>
      <w:r>
        <w:rPr>
          <w:rStyle w:val="VariableTok"/>
        </w:rPr>
        <w:t xml:space="preserve">None</w:t>
      </w:r>
      <w:r>
        <w:rPr>
          <w:rStyle w:val="NormalTok"/>
        </w:rPr>
        <w:t xml:space="preserve">,</w:t>
      </w:r>
      <w:r>
        <w:br/>
      </w:r>
      <w:r>
        <w:rPr>
          <w:rStyle w:val="NormalTok"/>
        </w:rPr>
        <w:t xml:space="preserve">                 partitioner</w:t>
      </w:r>
      <w:r>
        <w:rPr>
          <w:rStyle w:val="OperatorTok"/>
        </w:rPr>
        <w:t xml:space="preserve">=</w:t>
      </w:r>
      <w:r>
        <w:rPr>
          <w:rStyle w:val="NormalTok"/>
        </w:rPr>
        <w:t xml:space="preserve">hash_partition, max_attempts</w:t>
      </w:r>
      <w:r>
        <w:rPr>
          <w:rStyle w:val="OperatorTok"/>
        </w:rPr>
        <w:t xml:space="preserve">=</w:t>
      </w:r>
      <w:r>
        <w:rPr>
          <w:rStyle w:val="DecValTok"/>
        </w:rPr>
        <w:t xml:space="preserve">4</w:t>
      </w:r>
      <w:r>
        <w:rPr>
          <w:rStyle w:val="NormalTok"/>
        </w:rPr>
        <w:t xml:space="preserve">):</w:t>
      </w:r>
      <w:r>
        <w:br/>
      </w:r>
      <w:r>
        <w:rPr>
          <w:rStyle w:val="NormalTok"/>
        </w:rPr>
        <w:t xml:space="preserve">        </w:t>
      </w:r>
      <w:r>
        <w:rPr>
          <w:rStyle w:val="VariableTok"/>
        </w:rPr>
        <w:t xml:space="preserve">self</w:t>
      </w:r>
      <w:r>
        <w:rPr>
          <w:rStyle w:val="NormalTok"/>
        </w:rPr>
        <w:t xml:space="preserve">.mapper, </w:t>
      </w:r>
      <w:r>
        <w:rPr>
          <w:rStyle w:val="VariableTok"/>
        </w:rPr>
        <w:t xml:space="preserve">self</w:t>
      </w:r>
      <w:r>
        <w:rPr>
          <w:rStyle w:val="NormalTok"/>
        </w:rPr>
        <w:t xml:space="preserve">.reducer, </w:t>
      </w:r>
      <w:r>
        <w:rPr>
          <w:rStyle w:val="VariableTok"/>
        </w:rPr>
        <w:t xml:space="preserve">self</w:t>
      </w:r>
      <w:r>
        <w:rPr>
          <w:rStyle w:val="NormalTok"/>
        </w:rPr>
        <w:t xml:space="preserve">.combiner </w:t>
      </w:r>
      <w:r>
        <w:rPr>
          <w:rStyle w:val="OperatorTok"/>
        </w:rPr>
        <w:t xml:space="preserve">=</w:t>
      </w:r>
      <w:r>
        <w:rPr>
          <w:rStyle w:val="NormalTok"/>
        </w:rPr>
        <w:t xml:space="preserve"> mapper, reducer, combiner</w:t>
      </w:r>
      <w:r>
        <w:br/>
      </w:r>
      <w:r>
        <w:rPr>
          <w:rStyle w:val="NormalTok"/>
        </w:rPr>
        <w:t xml:space="preserve">        </w:t>
      </w:r>
      <w:r>
        <w:rPr>
          <w:rStyle w:val="VariableTok"/>
        </w:rPr>
        <w:t xml:space="preserve">self</w:t>
      </w:r>
      <w:r>
        <w:rPr>
          <w:rStyle w:val="NormalTok"/>
        </w:rPr>
        <w:t xml:space="preserve">.R, </w:t>
      </w:r>
      <w:r>
        <w:rPr>
          <w:rStyle w:val="VariableTok"/>
        </w:rPr>
        <w:t xml:space="preserve">self</w:t>
      </w:r>
      <w:r>
        <w:rPr>
          <w:rStyle w:val="NormalTok"/>
        </w:rPr>
        <w:t xml:space="preserve">.partitioner, </w:t>
      </w:r>
      <w:r>
        <w:rPr>
          <w:rStyle w:val="VariableTok"/>
        </w:rPr>
        <w:t xml:space="preserve">self</w:t>
      </w:r>
      <w:r>
        <w:rPr>
          <w:rStyle w:val="NormalTok"/>
        </w:rPr>
        <w:t xml:space="preserve">.max_attempts </w:t>
      </w:r>
      <w:r>
        <w:rPr>
          <w:rStyle w:val="OperatorTok"/>
        </w:rPr>
        <w:t xml:space="preserve">=</w:t>
      </w:r>
      <w:r>
        <w:rPr>
          <w:rStyle w:val="NormalTok"/>
        </w:rPr>
        <w:t xml:space="preserve"> num_reducers, partitioner, max_attempts</w:t>
      </w:r>
      <w:r>
        <w:br/>
      </w:r>
      <w:r>
        <w:rPr>
          <w:rStyle w:val="NormalTok"/>
        </w:rPr>
        <w:t xml:space="preserve">        </w:t>
      </w:r>
      <w:r>
        <w:rPr>
          <w:rStyle w:val="VariableTok"/>
        </w:rPr>
        <w:t xml:space="preserve">self</w:t>
      </w:r>
      <w:r>
        <w:rPr>
          <w:rStyle w:val="NormalTok"/>
        </w:rPr>
        <w:t xml:space="preserve">.stats </w:t>
      </w:r>
      <w:r>
        <w:rPr>
          <w:rStyle w:val="OperatorTok"/>
        </w:rPr>
        <w:t xml:space="preserve">=</w:t>
      </w:r>
      <w:r>
        <w:rPr>
          <w:rStyle w:val="NormalTok"/>
        </w:rPr>
        <w:t xml:space="preserve"> Counter()</w:t>
      </w:r>
      <w:r>
        <w:br/>
      </w:r>
      <w:r>
        <w:br/>
      </w:r>
      <w:r>
        <w:rPr>
          <w:rStyle w:val="NormalTok"/>
        </w:rPr>
        <w:t xml:space="preserve">    </w:t>
      </w:r>
      <w:r>
        <w:rPr>
          <w:rStyle w:val="KeywordTok"/>
        </w:rPr>
        <w:t xml:space="preserve">def</w:t>
      </w:r>
      <w:r>
        <w:rPr>
          <w:rStyle w:val="NormalTok"/>
        </w:rPr>
        <w:t xml:space="preserve"> _map_task(</w:t>
      </w:r>
      <w:r>
        <w:rPr>
          <w:rStyle w:val="VariableTok"/>
        </w:rPr>
        <w:t xml:space="preserve">self</w:t>
      </w:r>
      <w:r>
        <w:rPr>
          <w:rStyle w:val="NormalTok"/>
        </w:rPr>
        <w:t xml:space="preserve">, split, crash):</w:t>
      </w:r>
      <w:r>
        <w:br/>
      </w:r>
      <w:r>
        <w:rPr>
          <w:rStyle w:val="NormalTok"/>
        </w:rPr>
        <w:t xml:space="preserve">        </w:t>
      </w:r>
      <w:r>
        <w:rPr>
          <w:rStyle w:val="ControlFlowTok"/>
        </w:rPr>
        <w:t xml:space="preserve">if</w:t>
      </w:r>
      <w:r>
        <w:rPr>
          <w:rStyle w:val="NormalTok"/>
        </w:rPr>
        <w:t xml:space="preserve"> crash:                               </w:t>
      </w:r>
      <w:r>
        <w:rPr>
          <w:rStyle w:val="CommentTok"/>
        </w:rPr>
        <w:t xml:space="preserve"># simulate a worker dying mid-task</w:t>
      </w:r>
      <w:r>
        <w:br/>
      </w:r>
      <w:r>
        <w:rPr>
          <w:rStyle w:val="NormalTok"/>
        </w:rPr>
        <w:t xml:space="preserve">            </w:t>
      </w:r>
      <w:r>
        <w:rPr>
          <w:rStyle w:val="ControlFlowTok"/>
        </w:rPr>
        <w:t xml:space="preserve">raise</w:t>
      </w:r>
      <w:r>
        <w:rPr>
          <w:rStyle w:val="NormalTok"/>
        </w:rPr>
        <w:t xml:space="preserve"> TaskFailure(</w:t>
      </w:r>
      <w:r>
        <w:rPr>
          <w:rStyle w:val="StringTok"/>
        </w:rPr>
        <w:t xml:space="preserve">"worker lost"</w:t>
      </w:r>
      <w:r>
        <w:rPr>
          <w:rStyle w:val="NormalTok"/>
        </w:rPr>
        <w:t xml:space="preserve">)</w:t>
      </w:r>
      <w:r>
        <w:br/>
      </w:r>
      <w:r>
        <w:rPr>
          <w:rStyle w:val="NormalTok"/>
        </w:rPr>
        <w:t xml:space="preserve">        buckets </w:t>
      </w:r>
      <w:r>
        <w:rPr>
          <w:rStyle w:val="OperatorTok"/>
        </w:rPr>
        <w:t xml:space="preserve">=</w:t>
      </w:r>
      <w:r>
        <w:rPr>
          <w:rStyle w:val="NormalTok"/>
        </w:rPr>
        <w:t xml:space="preserve"> [defaultdict(</w:t>
      </w:r>
      <w:r>
        <w:rPr>
          <w:rStyle w:val="BuiltInTok"/>
        </w:rPr>
        <w:t xml:space="preserve">list</w:t>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.R)]</w:t>
      </w:r>
      <w:r>
        <w:br/>
      </w:r>
      <w:r>
        <w:rPr>
          <w:rStyle w:val="NormalTok"/>
        </w:rPr>
        <w:t xml:space="preserve">        </w:t>
      </w:r>
      <w:r>
        <w:rPr>
          <w:rStyle w:val="ControlFlowTok"/>
        </w:rPr>
        <w:t xml:space="preserve">for</w:t>
      </w:r>
      <w:r>
        <w:rPr>
          <w:rStyle w:val="NormalTok"/>
        </w:rPr>
        <w:t xml:space="preserve"> record </w:t>
      </w:r>
      <w:r>
        <w:rPr>
          <w:rStyle w:val="KeywordTok"/>
        </w:rPr>
        <w:t xml:space="preserve">in</w:t>
      </w:r>
      <w:r>
        <w:rPr>
          <w:rStyle w:val="NormalTok"/>
        </w:rPr>
        <w:t xml:space="preserve"> split:</w:t>
      </w:r>
      <w:r>
        <w:br/>
      </w:r>
      <w:r>
        <w:rPr>
          <w:rStyle w:val="NormalTok"/>
        </w:rPr>
        <w:t xml:space="preserve">            </w:t>
      </w:r>
      <w:r>
        <w:rPr>
          <w:rStyle w:val="ControlFlowTok"/>
        </w:rPr>
        <w:t xml:space="preserve">for</w:t>
      </w:r>
      <w:r>
        <w:rPr>
          <w:rStyle w:val="NormalTok"/>
        </w:rPr>
        <w:t xml:space="preserve"> key, value </w:t>
      </w:r>
      <w:r>
        <w:rPr>
          <w:rStyle w:val="KeywordTok"/>
        </w:rPr>
        <w:t xml:space="preserve">in</w:t>
      </w:r>
      <w:r>
        <w:rPr>
          <w:rStyle w:val="NormalTok"/>
        </w:rPr>
        <w:t xml:space="preserve"> </w:t>
      </w:r>
      <w:r>
        <w:rPr>
          <w:rStyle w:val="VariableTok"/>
        </w:rPr>
        <w:t xml:space="preserve">self</w:t>
      </w:r>
      <w:r>
        <w:rPr>
          <w:rStyle w:val="NormalTok"/>
        </w:rPr>
        <w:t xml:space="preserve">.mapper(record):</w:t>
      </w:r>
      <w:r>
        <w:br/>
      </w:r>
      <w:r>
        <w:rPr>
          <w:rStyle w:val="NormalTok"/>
        </w:rPr>
        <w:t xml:space="preserve">                </w:t>
      </w:r>
      <w:r>
        <w:rPr>
          <w:rStyle w:val="VariableTok"/>
        </w:rPr>
        <w:t xml:space="preserve">self</w:t>
      </w:r>
      <w:r>
        <w:rPr>
          <w:rStyle w:val="NormalTok"/>
        </w:rPr>
        <w:t xml:space="preserve">.stats[</w:t>
      </w:r>
      <w:r>
        <w:rPr>
          <w:rStyle w:val="StringTok"/>
        </w:rPr>
        <w:t xml:space="preserve">"map_output_records"</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buckets[</w:t>
      </w:r>
      <w:r>
        <w:rPr>
          <w:rStyle w:val="VariableTok"/>
        </w:rPr>
        <w:t xml:space="preserve">self</w:t>
      </w:r>
      <w:r>
        <w:rPr>
          <w:rStyle w:val="NormalTok"/>
        </w:rPr>
        <w:t xml:space="preserve">.partitioner(key, </w:t>
      </w:r>
      <w:r>
        <w:rPr>
          <w:rStyle w:val="VariableTok"/>
        </w:rPr>
        <w:t xml:space="preserve">self</w:t>
      </w:r>
      <w:r>
        <w:rPr>
          <w:rStyle w:val="NormalTok"/>
        </w:rPr>
        <w:t xml:space="preserve">.R)][key].append(value)</w:t>
      </w:r>
      <w:r>
        <w:br/>
      </w:r>
      <w:r>
        <w:rPr>
          <w:rStyle w:val="NormalTok"/>
        </w:rPr>
        <w:t xml:space="preserve">        runs </w:t>
      </w:r>
      <w:r>
        <w:rPr>
          <w:rStyle w:val="OperatorTok"/>
        </w:rPr>
        <w:t xml:space="preserve">=</w:t>
      </w:r>
      <w:r>
        <w:rPr>
          <w:rStyle w:val="NormalTok"/>
        </w:rPr>
        <w:t xml:space="preserve"> []                               </w:t>
      </w:r>
      <w:r>
        <w:rPr>
          <w:rStyle w:val="CommentTok"/>
        </w:rPr>
        <w:t xml:space="preserve"># one sorted run per reducer partition</w:t>
      </w:r>
      <w:r>
        <w:br/>
      </w:r>
      <w:r>
        <w:rPr>
          <w:rStyle w:val="NormalTok"/>
        </w:rPr>
        <w:t xml:space="preserve">        </w:t>
      </w:r>
      <w:r>
        <w:rPr>
          <w:rStyle w:val="ControlFlowTok"/>
        </w:rPr>
        <w:t xml:space="preserve">for</w:t>
      </w:r>
      <w:r>
        <w:rPr>
          <w:rStyle w:val="NormalTok"/>
        </w:rPr>
        <w:t xml:space="preserve"> bucket </w:t>
      </w:r>
      <w:r>
        <w:rPr>
          <w:rStyle w:val="KeywordTok"/>
        </w:rPr>
        <w:t xml:space="preserve">in</w:t>
      </w:r>
      <w:r>
        <w:rPr>
          <w:rStyle w:val="NormalTok"/>
        </w:rPr>
        <w:t xml:space="preserve"> buckets:</w:t>
      </w:r>
      <w:r>
        <w:br/>
      </w:r>
      <w:r>
        <w:rPr>
          <w:rStyle w:val="NormalTok"/>
        </w:rPr>
        <w:t xml:space="preserve">            run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key </w:t>
      </w:r>
      <w:r>
        <w:rPr>
          <w:rStyle w:val="KeywordTok"/>
        </w:rPr>
        <w:t xml:space="preserve">in</w:t>
      </w:r>
      <w:r>
        <w:rPr>
          <w:rStyle w:val="NormalTok"/>
        </w:rPr>
        <w:t xml:space="preserve"> </w:t>
      </w:r>
      <w:r>
        <w:rPr>
          <w:rStyle w:val="BuiltInTok"/>
        </w:rPr>
        <w:t xml:space="preserve">sorted</w:t>
      </w:r>
      <w:r>
        <w:rPr>
          <w:rStyle w:val="NormalTok"/>
        </w:rPr>
        <w:t xml:space="preserve">(bucket):</w:t>
      </w:r>
      <w:r>
        <w:br/>
      </w:r>
      <w:r>
        <w:rPr>
          <w:rStyle w:val="NormalTok"/>
        </w:rPr>
        <w:t xml:space="preserve">                values </w:t>
      </w:r>
      <w:r>
        <w:rPr>
          <w:rStyle w:val="OperatorTok"/>
        </w:rPr>
        <w:t xml:space="preserve">=</w:t>
      </w:r>
      <w:r>
        <w:rPr>
          <w:rStyle w:val="NormalTok"/>
        </w:rPr>
        <w:t xml:space="preserve"> bucket[key]</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.combiner:               </w:t>
      </w:r>
      <w:r>
        <w:rPr>
          <w:rStyle w:val="CommentTok"/>
        </w:rPr>
        <w:t xml:space="preserve"># local pre-aggregation before the shuffle</w:t>
      </w:r>
      <w:r>
        <w:br/>
      </w:r>
      <w:r>
        <w:rPr>
          <w:rStyle w:val="NormalTok"/>
        </w:rPr>
        <w:t xml:space="preserve">                    values </w:t>
      </w:r>
      <w:r>
        <w:rPr>
          <w:rStyle w:val="OperatorTok"/>
        </w:rPr>
        <w:t xml:space="preserve">=</w:t>
      </w:r>
      <w:r>
        <w:rPr>
          <w:rStyle w:val="NormalTok"/>
        </w:rPr>
        <w:t xml:space="preserve"> </w:t>
      </w:r>
      <w:r>
        <w:rPr>
          <w:rStyle w:val="BuiltInTok"/>
        </w:rPr>
        <w:t xml:space="preserve">list</w:t>
      </w:r>
      <w:r>
        <w:rPr>
          <w:rStyle w:val="NormalTok"/>
        </w:rPr>
        <w:t xml:space="preserve">(</w:t>
      </w:r>
      <w:r>
        <w:rPr>
          <w:rStyle w:val="VariableTok"/>
        </w:rPr>
        <w:t xml:space="preserve">self</w:t>
      </w:r>
      <w:r>
        <w:rPr>
          <w:rStyle w:val="NormalTok"/>
        </w:rPr>
        <w:t xml:space="preserve">.combiner(key, values))</w:t>
      </w:r>
      <w:r>
        <w:br/>
      </w:r>
      <w:r>
        <w:rPr>
          <w:rStyle w:val="NormalTok"/>
        </w:rPr>
        <w:t xml:space="preserve">                run.extend((key, v) </w:t>
      </w:r>
      <w:r>
        <w:rPr>
          <w:rStyle w:val="ControlFlowTok"/>
        </w:rPr>
        <w:t xml:space="preserve">for</w:t>
      </w:r>
      <w:r>
        <w:rPr>
          <w:rStyle w:val="NormalTok"/>
        </w:rPr>
        <w:t xml:space="preserve"> v </w:t>
      </w:r>
      <w:r>
        <w:rPr>
          <w:rStyle w:val="KeywordTok"/>
        </w:rPr>
        <w:t xml:space="preserve">in</w:t>
      </w:r>
      <w:r>
        <w:rPr>
          <w:rStyle w:val="NormalTok"/>
        </w:rPr>
        <w:t xml:space="preserve"> values)</w:t>
      </w:r>
      <w:r>
        <w:br/>
      </w:r>
      <w:r>
        <w:rPr>
          <w:rStyle w:val="NormalTok"/>
        </w:rPr>
        <w:t xml:space="preserve">            runs.append(run)</w:t>
      </w:r>
      <w:r>
        <w:br/>
      </w:r>
      <w:r>
        <w:rPr>
          <w:rStyle w:val="NormalTok"/>
        </w:rPr>
        <w:t xml:space="preserve">        </w:t>
      </w:r>
      <w:r>
        <w:rPr>
          <w:rStyle w:val="ControlFlowTok"/>
        </w:rPr>
        <w:t xml:space="preserve">return</w:t>
      </w:r>
      <w:r>
        <w:rPr>
          <w:rStyle w:val="NormalTok"/>
        </w:rPr>
        <w:t xml:space="preserve"> runs</w:t>
      </w:r>
      <w:r>
        <w:br/>
      </w:r>
      <w:r>
        <w:br/>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splits, crash_first_attempt</w:t>
      </w:r>
      <w:r>
        <w:rPr>
          <w:rStyle w:val="OperatorTok"/>
        </w:rPr>
        <w:t xml:space="preserve">=</w:t>
      </w:r>
      <w:r>
        <w:rPr>
          <w:rStyle w:val="NormalTok"/>
        </w:rPr>
        <w:t xml:space="preserve">()):</w:t>
      </w:r>
      <w:r>
        <w:br/>
      </w:r>
      <w:r>
        <w:rPr>
          <w:rStyle w:val="NormalTok"/>
        </w:rPr>
        <w:t xml:space="preserve">        map_outputs </w:t>
      </w:r>
      <w:r>
        <w:rPr>
          <w:rStyle w:val="OperatorTok"/>
        </w:rPr>
        <w:t xml:space="preserve">=</w:t>
      </w:r>
      <w:r>
        <w:rPr>
          <w:rStyle w:val="NormalTok"/>
        </w:rPr>
        <w:t xml:space="preserve"> []                        </w:t>
      </w:r>
      <w:r>
        <w:rPr>
          <w:rStyle w:val="CommentTok"/>
        </w:rPr>
        <w:t xml:space="preserve"># map_outputs[m][r] = sorted run</w:t>
      </w:r>
      <w:r>
        <w:br/>
      </w:r>
      <w:r>
        <w:rPr>
          <w:rStyle w:val="NormalTok"/>
        </w:rPr>
        <w:t xml:space="preserve">        </w:t>
      </w:r>
      <w:r>
        <w:rPr>
          <w:rStyle w:val="ControlFlowTok"/>
        </w:rPr>
        <w:t xml:space="preserve">for</w:t>
      </w:r>
      <w:r>
        <w:rPr>
          <w:rStyle w:val="NormalTok"/>
        </w:rPr>
        <w:t xml:space="preserve"> m, split </w:t>
      </w:r>
      <w:r>
        <w:rPr>
          <w:rStyle w:val="KeywordTok"/>
        </w:rPr>
        <w:t xml:space="preserve">in</w:t>
      </w:r>
      <w:r>
        <w:rPr>
          <w:rStyle w:val="NormalTok"/>
        </w:rPr>
        <w:t xml:space="preserve"> </w:t>
      </w:r>
      <w:r>
        <w:rPr>
          <w:rStyle w:val="BuiltInTok"/>
        </w:rPr>
        <w:t xml:space="preserve">enumerate</w:t>
      </w:r>
      <w:r>
        <w:rPr>
          <w:rStyle w:val="NormalTok"/>
        </w:rPr>
        <w:t xml:space="preserve">(splits):</w:t>
      </w:r>
      <w:r>
        <w:br/>
      </w:r>
      <w:r>
        <w:rPr>
          <w:rStyle w:val="NormalTok"/>
        </w:rPr>
        <w:t xml:space="preserve">            </w:t>
      </w:r>
      <w:r>
        <w:rPr>
          <w:rStyle w:val="ControlFlowTok"/>
        </w:rPr>
        <w:t xml:space="preserve">for</w:t>
      </w:r>
      <w:r>
        <w:rPr>
          <w:rStyle w:val="NormalTok"/>
        </w:rPr>
        <w:t xml:space="preserve"> attempt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VariableTok"/>
        </w:rPr>
        <w:t xml:space="preserve">self</w:t>
      </w:r>
      <w:r>
        <w:rPr>
          <w:rStyle w:val="NormalTok"/>
        </w:rPr>
        <w:t xml:space="preserve">.max_attempts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crash </w:t>
      </w:r>
      <w:r>
        <w:rPr>
          <w:rStyle w:val="OperatorTok"/>
        </w:rPr>
        <w:t xml:space="preserve">=</w:t>
      </w:r>
      <w:r>
        <w:rPr>
          <w:rStyle w:val="NormalTok"/>
        </w:rPr>
        <w:t xml:space="preserve"> m </w:t>
      </w:r>
      <w:r>
        <w:rPr>
          <w:rStyle w:val="KeywordTok"/>
        </w:rPr>
        <w:t xml:space="preserve">in</w:t>
      </w:r>
      <w:r>
        <w:rPr>
          <w:rStyle w:val="NormalTok"/>
        </w:rPr>
        <w:t xml:space="preserve"> crash_first_attempt </w:t>
      </w:r>
      <w:r>
        <w:rPr>
          <w:rStyle w:val="KeywordTok"/>
        </w:rPr>
        <w:t xml:space="preserve">and</w:t>
      </w:r>
      <w:r>
        <w:rPr>
          <w:rStyle w:val="NormalTok"/>
        </w:rPr>
        <w:t xml:space="preserve"> attempt </w:t>
      </w:r>
      <w:r>
        <w:rPr>
          <w:rStyle w:val="OperatorTok"/>
        </w:rPr>
        <w:t xml:space="preserve">==</w:t>
      </w:r>
      <w:r>
        <w:rPr>
          <w:rStyle w:val="NormalTok"/>
        </w:rPr>
        <w:t xml:space="preserve"> </w:t>
      </w:r>
      <w:r>
        <w:rPr>
          <w:rStyle w:val="DecValTok"/>
        </w:rPr>
        <w:t xml:space="preserve">1</w:t>
      </w:r>
      <w:r>
        <w:br/>
      </w:r>
      <w:r>
        <w:rPr>
          <w:rStyle w:val="NormalTok"/>
        </w:rPr>
        <w:t xml:space="preserve">                    map_outputs.append(</w:t>
      </w:r>
      <w:r>
        <w:rPr>
          <w:rStyle w:val="VariableTok"/>
        </w:rPr>
        <w:t xml:space="preserve">self</w:t>
      </w:r>
      <w:r>
        <w:rPr>
          <w:rStyle w:val="NormalTok"/>
        </w:rPr>
        <w:t xml:space="preserve">._map_task(split, crash))</w:t>
      </w:r>
      <w:r>
        <w:br/>
      </w:r>
      <w:r>
        <w:rPr>
          <w:rStyle w:val="NormalTok"/>
        </w:rPr>
        <w:t xml:space="preserve">                    </w:t>
      </w:r>
      <w:r>
        <w:rPr>
          <w:rStyle w:val="ControlFlowTok"/>
        </w:rPr>
        <w:t xml:space="preserve">break</w:t>
      </w:r>
      <w:r>
        <w:br/>
      </w:r>
      <w:r>
        <w:rPr>
          <w:rStyle w:val="NormalTok"/>
        </w:rPr>
        <w:t xml:space="preserve">                </w:t>
      </w:r>
      <w:r>
        <w:rPr>
          <w:rStyle w:val="ControlFlowTok"/>
        </w:rPr>
        <w:t xml:space="preserve">except</w:t>
      </w:r>
      <w:r>
        <w:rPr>
          <w:rStyle w:val="NormalTok"/>
        </w:rPr>
        <w:t xml:space="preserve"> TaskFailure:</w:t>
      </w:r>
      <w:r>
        <w:br/>
      </w:r>
      <w:r>
        <w:rPr>
          <w:rStyle w:val="NormalTok"/>
        </w:rPr>
        <w:t xml:space="preserve">                    </w:t>
      </w:r>
      <w:r>
        <w:rPr>
          <w:rStyle w:val="VariableTok"/>
        </w:rPr>
        <w:t xml:space="preserve">self</w:t>
      </w:r>
      <w:r>
        <w:rPr>
          <w:rStyle w:val="NormalTok"/>
        </w:rPr>
        <w:t xml:space="preserve">.stats[</w:t>
      </w:r>
      <w:r>
        <w:rPr>
          <w:rStyle w:val="StringTok"/>
        </w:rPr>
        <w:t xml:space="preserve">"map_reexecutions"</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pecialStringTok"/>
        </w:rPr>
        <w:t xml:space="preserve">f"map task </w:t>
      </w:r>
      <w:r>
        <w:rPr>
          <w:rStyle w:val="SpecialCharTok"/>
        </w:rPr>
        <w:t xml:space="preserve">{</w:t>
      </w:r>
      <w:r>
        <w:rPr>
          <w:rStyle w:val="NormalTok"/>
        </w:rPr>
        <w:t xml:space="preserve">m</w:t>
      </w:r>
      <w:r>
        <w:rPr>
          <w:rStyle w:val="SpecialCharTok"/>
        </w:rPr>
        <w:t xml:space="preserve">}</w:t>
      </w:r>
      <w:r>
        <w:rPr>
          <w:rStyle w:val="SpecialStringTok"/>
        </w:rPr>
        <w:t xml:space="preserve"> failed </w:t>
      </w:r>
      <w:r>
        <w:rPr>
          <w:rStyle w:val="SpecialCharTok"/>
        </w:rPr>
        <w:t xml:space="preserve">{</w:t>
      </w:r>
      <w:r>
        <w:rPr>
          <w:rStyle w:val="VariableTok"/>
        </w:rPr>
        <w:t xml:space="preserve">self</w:t>
      </w:r>
      <w:r>
        <w:rPr>
          <w:rStyle w:val="SpecialCharTok"/>
        </w:rPr>
        <w:t xml:space="preserve">.</w:t>
      </w:r>
      <w:r>
        <w:rPr>
          <w:rStyle w:val="NormalTok"/>
        </w:rPr>
        <w:t xml:space="preserve">max_attempts</w:t>
      </w:r>
      <w:r>
        <w:rPr>
          <w:rStyle w:val="SpecialCharTok"/>
        </w:rPr>
        <w:t xml:space="preserve">}</w:t>
      </w:r>
      <w:r>
        <w:rPr>
          <w:rStyle w:val="SpecialStringTok"/>
        </w:rPr>
        <w:t xml:space="preserve"> times"</w:t>
      </w:r>
      <w:r>
        <w:rPr>
          <w:rStyle w:val="NormalTok"/>
        </w:rPr>
        <w:t xml:space="preserve">)</w:t>
      </w:r>
      <w:r>
        <w:br/>
      </w:r>
      <w:r>
        <w:rPr>
          <w:rStyle w:val="NormalTok"/>
        </w:rPr>
        <w:t xml:space="preserve">        result, reducer_input </w:t>
      </w:r>
      <w:r>
        <w:rPr>
          <w:rStyle w:val="OperatorTok"/>
        </w:rPr>
        <w:t xml:space="preserve">=</w:t>
      </w:r>
      <w:r>
        <w:rPr>
          <w:rStyle w:val="NormalTok"/>
        </w:rPr>
        <w:t xml:space="preserve"> {}, []</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.R):                 </w:t>
      </w:r>
      <w:r>
        <w:rPr>
          <w:rStyle w:val="CommentTok"/>
        </w:rPr>
        <w:t xml:space="preserve"># shuffle: reducer r fetches run r from every mapper</w:t>
      </w:r>
      <w:r>
        <w:br/>
      </w:r>
      <w:r>
        <w:rPr>
          <w:rStyle w:val="NormalTok"/>
        </w:rPr>
        <w:t xml:space="preserve">            runs </w:t>
      </w:r>
      <w:r>
        <w:rPr>
          <w:rStyle w:val="OperatorTok"/>
        </w:rPr>
        <w:t xml:space="preserve">=</w:t>
      </w:r>
      <w:r>
        <w:rPr>
          <w:rStyle w:val="NormalTok"/>
        </w:rPr>
        <w:t xml:space="preserve"> [map_outputs[m][r] </w:t>
      </w:r>
      <w:r>
        <w:rPr>
          <w:rStyle w:val="ControlFlowTok"/>
        </w:rPr>
        <w:t xml:space="preserve">for</w:t>
      </w:r>
      <w:r>
        <w:rPr>
          <w:rStyle w:val="NormalTok"/>
        </w:rPr>
        <w:t xml:space="preserve"> m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(map_outputs))]</w:t>
      </w:r>
      <w:r>
        <w:br/>
      </w:r>
      <w:r>
        <w:rPr>
          <w:rStyle w:val="NormalTok"/>
        </w:rPr>
        <w:t xml:space="preserve">            </w:t>
      </w:r>
      <w:r>
        <w:rPr>
          <w:rStyle w:val="VariableTok"/>
        </w:rPr>
        <w:t xml:space="preserve">self</w:t>
      </w:r>
      <w:r>
        <w:rPr>
          <w:rStyle w:val="NormalTok"/>
        </w:rPr>
        <w:t xml:space="preserve">.stats[</w:t>
      </w:r>
      <w:r>
        <w:rPr>
          <w:rStyle w:val="StringTok"/>
        </w:rPr>
        <w:t xml:space="preserve">"shuffled_records"</w:t>
      </w:r>
      <w:r>
        <w:rPr>
          <w:rStyle w:val="NormalTok"/>
        </w:rPr>
        <w:t xml:space="preserve">] </w:t>
      </w:r>
      <w:r>
        <w:rPr>
          <w:rStyle w:val="OperatorTok"/>
        </w:rPr>
        <w:t xml:space="preserve">+=</w:t>
      </w:r>
      <w:r>
        <w:rPr>
          <w:rStyle w:val="NormalTok"/>
        </w:rPr>
        <w:t xml:space="preserve"> </w:t>
      </w:r>
      <w:r>
        <w:rPr>
          <w:rStyle w:val="BuiltInTok"/>
        </w:rPr>
        <w:t xml:space="preserve">sum</w:t>
      </w:r>
      <w:r>
        <w:rPr>
          <w:rStyle w:val="NormalTok"/>
        </w:rPr>
        <w:t xml:space="preserve">(</w:t>
      </w:r>
      <w:r>
        <w:rPr>
          <w:rStyle w:val="BuiltInTok"/>
        </w:rPr>
        <w:t xml:space="preserve">len</w:t>
      </w:r>
      <w:r>
        <w:rPr>
          <w:rStyle w:val="NormalTok"/>
        </w:rPr>
        <w:t xml:space="preserve">(run) </w:t>
      </w:r>
      <w:r>
        <w:rPr>
          <w:rStyle w:val="ControlFlowTok"/>
        </w:rPr>
        <w:t xml:space="preserve">for</w:t>
      </w:r>
      <w:r>
        <w:rPr>
          <w:rStyle w:val="NormalTok"/>
        </w:rPr>
        <w:t xml:space="preserve"> run </w:t>
      </w:r>
      <w:r>
        <w:rPr>
          <w:rStyle w:val="KeywordTok"/>
        </w:rPr>
        <w:t xml:space="preserve">in</w:t>
      </w:r>
      <w:r>
        <w:rPr>
          <w:rStyle w:val="NormalTok"/>
        </w:rPr>
        <w:t xml:space="preserve"> runs)</w:t>
      </w:r>
      <w:r>
        <w:br/>
      </w:r>
      <w:r>
        <w:rPr>
          <w:rStyle w:val="NormalTok"/>
        </w:rPr>
        <w:t xml:space="preserve">            reducer_input.append(</w:t>
      </w:r>
      <w:r>
        <w:rPr>
          <w:rStyle w:val="BuiltInTok"/>
        </w:rPr>
        <w:t xml:space="preserve">sum</w:t>
      </w:r>
      <w:r>
        <w:rPr>
          <w:rStyle w:val="NormalTok"/>
        </w:rPr>
        <w:t xml:space="preserve">(</w:t>
      </w:r>
      <w:r>
        <w:rPr>
          <w:rStyle w:val="BuiltInTok"/>
        </w:rPr>
        <w:t xml:space="preserve">len</w:t>
      </w:r>
      <w:r>
        <w:rPr>
          <w:rStyle w:val="NormalTok"/>
        </w:rPr>
        <w:t xml:space="preserve">(run) </w:t>
      </w:r>
      <w:r>
        <w:rPr>
          <w:rStyle w:val="ControlFlowTok"/>
        </w:rPr>
        <w:t xml:space="preserve">for</w:t>
      </w:r>
      <w:r>
        <w:rPr>
          <w:rStyle w:val="NormalTok"/>
        </w:rPr>
        <w:t xml:space="preserve"> run </w:t>
      </w:r>
      <w:r>
        <w:rPr>
          <w:rStyle w:val="KeywordTok"/>
        </w:rPr>
        <w:t xml:space="preserve">in</w:t>
      </w:r>
      <w:r>
        <w:rPr>
          <w:rStyle w:val="NormalTok"/>
        </w:rPr>
        <w:t xml:space="preserve"> runs))</w:t>
      </w:r>
      <w:r>
        <w:br/>
      </w:r>
      <w:r>
        <w:rPr>
          <w:rStyle w:val="NormalTok"/>
        </w:rPr>
        <w:t xml:space="preserve">            merged </w:t>
      </w:r>
      <w:r>
        <w:rPr>
          <w:rStyle w:val="OperatorTok"/>
        </w:rPr>
        <w:t xml:space="preserve">=</w:t>
      </w:r>
      <w:r>
        <w:rPr>
          <w:rStyle w:val="NormalTok"/>
        </w:rPr>
        <w:t xml:space="preserve"> heapq.merge(</w:t>
      </w:r>
      <w:r>
        <w:rPr>
          <w:rStyle w:val="OperatorTok"/>
        </w:rPr>
        <w:t xml:space="preserve">*</w:t>
      </w:r>
      <w:r>
        <w:rPr>
          <w:rStyle w:val="NormalTok"/>
        </w:rPr>
        <w:t xml:space="preserve">runs, key</w:t>
      </w:r>
      <w:r>
        <w:rPr>
          <w:rStyle w:val="OperatorTok"/>
        </w:rPr>
        <w:t xml:space="preserve">=</w:t>
      </w:r>
      <w:r>
        <w:rPr>
          <w:rStyle w:val="KeywordTok"/>
        </w:rPr>
        <w:t xml:space="preserve">lambda</w:t>
      </w:r>
      <w:r>
        <w:rPr>
          <w:rStyle w:val="NormalTok"/>
        </w:rPr>
        <w:t xml:space="preserve"> kv: kv[</w:t>
      </w:r>
      <w:r>
        <w:rPr>
          <w:rStyle w:val="DecValTok"/>
        </w:rPr>
        <w:t xml:space="preserve">0</w:t>
      </w:r>
      <w:r>
        <w:rPr>
          <w:rStyle w:val="NormalTok"/>
        </w:rPr>
        <w:t xml:space="preserve">])   </w:t>
      </w:r>
      <w:r>
        <w:rPr>
          <w:rStyle w:val="CommentTok"/>
        </w:rPr>
        <w:t xml:space="preserve"># k-way merge of sorted runs</w:t>
      </w:r>
      <w:r>
        <w:br/>
      </w:r>
      <w:r>
        <w:rPr>
          <w:rStyle w:val="NormalTok"/>
        </w:rPr>
        <w:t xml:space="preserve">            </w:t>
      </w:r>
      <w:r>
        <w:rPr>
          <w:rStyle w:val="ControlFlowTok"/>
        </w:rPr>
        <w:t xml:space="preserve">for</w:t>
      </w:r>
      <w:r>
        <w:rPr>
          <w:rStyle w:val="NormalTok"/>
        </w:rPr>
        <w:t xml:space="preserve"> key, group </w:t>
      </w:r>
      <w:r>
        <w:rPr>
          <w:rStyle w:val="KeywordTok"/>
        </w:rPr>
        <w:t xml:space="preserve">in</w:t>
      </w:r>
      <w:r>
        <w:rPr>
          <w:rStyle w:val="NormalTok"/>
        </w:rPr>
        <w:t xml:space="preserve"> itertools.groupby(merged, key</w:t>
      </w:r>
      <w:r>
        <w:rPr>
          <w:rStyle w:val="OperatorTok"/>
        </w:rPr>
        <w:t xml:space="preserve">=</w:t>
      </w:r>
      <w:r>
        <w:rPr>
          <w:rStyle w:val="KeywordTok"/>
        </w:rPr>
        <w:t xml:space="preserve">lambda</w:t>
      </w:r>
      <w:r>
        <w:rPr>
          <w:rStyle w:val="NormalTok"/>
        </w:rPr>
        <w:t xml:space="preserve"> kv: kv[</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out </w:t>
      </w:r>
      <w:r>
        <w:rPr>
          <w:rStyle w:val="KeywordTok"/>
        </w:rPr>
        <w:t xml:space="preserve">in</w:t>
      </w:r>
      <w:r>
        <w:rPr>
          <w:rStyle w:val="NormalTok"/>
        </w:rPr>
        <w:t xml:space="preserve"> </w:t>
      </w:r>
      <w:r>
        <w:rPr>
          <w:rStyle w:val="VariableTok"/>
        </w:rPr>
        <w:t xml:space="preserve">self</w:t>
      </w:r>
      <w:r>
        <w:rPr>
          <w:rStyle w:val="NormalTok"/>
        </w:rPr>
        <w:t xml:space="preserve">.reducer(key, (v </w:t>
      </w:r>
      <w:r>
        <w:rPr>
          <w:rStyle w:val="ControlFlowTok"/>
        </w:rPr>
        <w:t xml:space="preserve">for</w:t>
      </w:r>
      <w:r>
        <w:rPr>
          <w:rStyle w:val="NormalTok"/>
        </w:rPr>
        <w:t xml:space="preserve"> _, v </w:t>
      </w:r>
      <w:r>
        <w:rPr>
          <w:rStyle w:val="KeywordTok"/>
        </w:rPr>
        <w:t xml:space="preserve">in</w:t>
      </w:r>
      <w:r>
        <w:rPr>
          <w:rStyle w:val="NormalTok"/>
        </w:rPr>
        <w:t xml:space="preserve"> group)):</w:t>
      </w:r>
      <w:r>
        <w:br/>
      </w:r>
      <w:r>
        <w:rPr>
          <w:rStyle w:val="NormalTok"/>
        </w:rPr>
        <w:t xml:space="preserve">                    result[key] </w:t>
      </w:r>
      <w:r>
        <w:rPr>
          <w:rStyle w:val="OperatorTok"/>
        </w:rPr>
        <w:t xml:space="preserve">=</w:t>
      </w:r>
      <w:r>
        <w:rPr>
          <w:rStyle w:val="NormalTok"/>
        </w:rPr>
        <w:t xml:space="preserve"> out</w:t>
      </w:r>
      <w:r>
        <w:br/>
      </w:r>
      <w:r>
        <w:rPr>
          <w:rStyle w:val="NormalTok"/>
        </w:rPr>
        <w:t xml:space="preserve">        </w:t>
      </w:r>
      <w:r>
        <w:rPr>
          <w:rStyle w:val="VariableTok"/>
        </w:rPr>
        <w:t xml:space="preserve">self</w:t>
      </w:r>
      <w:r>
        <w:rPr>
          <w:rStyle w:val="NormalTok"/>
        </w:rPr>
        <w:t xml:space="preserve">.stats[</w:t>
      </w:r>
      <w:r>
        <w:rPr>
          <w:rStyle w:val="StringTok"/>
        </w:rPr>
        <w:t xml:space="preserve">"max_reducer_input"</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(reducer_input)</w:t>
      </w:r>
      <w:r>
        <w:br/>
      </w:r>
      <w:r>
        <w:rPr>
          <w:rStyle w:val="NormalTok"/>
        </w:rPr>
        <w:t xml:space="preserve">        </w:t>
      </w:r>
      <w:r>
        <w:rPr>
          <w:rStyle w:val="ControlFlowTok"/>
        </w:rPr>
        <w:t xml:space="preserve">return</w:t>
      </w:r>
      <w:r>
        <w:rPr>
          <w:rStyle w:val="NormalTok"/>
        </w:rPr>
        <w:t xml:space="preserve"> result</w:t>
      </w:r>
      <w:r>
        <w:br/>
      </w:r>
      <w:r>
        <w:br/>
      </w:r>
      <w:r>
        <w:br/>
      </w:r>
      <w:r>
        <w:rPr>
          <w:rStyle w:val="CommentTok"/>
        </w:rPr>
        <w:t xml:space="preserve"># ---- Job 1: word count ------------------------------------------------------</w:t>
      </w:r>
      <w:r>
        <w:br/>
      </w:r>
      <w:r>
        <w:rPr>
          <w:rStyle w:val="KeywordTok"/>
        </w:rPr>
        <w:t xml:space="preserve">def</w:t>
      </w:r>
      <w:r>
        <w:rPr>
          <w:rStyle w:val="NormalTok"/>
        </w:rPr>
        <w:t xml:space="preserve"> wc_map(line):</w:t>
      </w:r>
      <w:r>
        <w:br/>
      </w:r>
      <w:r>
        <w:rPr>
          <w:rStyle w:val="NormalTok"/>
        </w:rPr>
        <w:t xml:space="preserve">    </w:t>
      </w:r>
      <w:r>
        <w:rPr>
          <w:rStyle w:val="ControlFlowTok"/>
        </w:rPr>
        <w:t xml:space="preserve">for</w:t>
      </w:r>
      <w:r>
        <w:rPr>
          <w:rStyle w:val="NormalTok"/>
        </w:rPr>
        <w:t xml:space="preserve"> word </w:t>
      </w:r>
      <w:r>
        <w:rPr>
          <w:rStyle w:val="KeywordTok"/>
        </w:rPr>
        <w:t xml:space="preserve">in</w:t>
      </w:r>
      <w:r>
        <w:rPr>
          <w:rStyle w:val="NormalTok"/>
        </w:rPr>
        <w:t xml:space="preserve"> line.lower().split():</w:t>
      </w:r>
      <w:r>
        <w:br/>
      </w:r>
      <w:r>
        <w:rPr>
          <w:rStyle w:val="NormalTok"/>
        </w:rPr>
        <w:t xml:space="preserve">        </w:t>
      </w:r>
      <w:r>
        <w:rPr>
          <w:rStyle w:val="ControlFlowTok"/>
        </w:rPr>
        <w:t xml:space="preserve">yield</w:t>
      </w:r>
      <w:r>
        <w:rPr>
          <w:rStyle w:val="NormalTok"/>
        </w:rPr>
        <w:t xml:space="preserve"> word.strip(</w:t>
      </w:r>
      <w:r>
        <w:rPr>
          <w:rStyle w:val="StringTok"/>
        </w:rPr>
        <w:t xml:space="preserve">".,;:!?</w:t>
      </w:r>
      <w:r>
        <w:rPr>
          <w:rStyle w:val="CharTok"/>
        </w:rPr>
        <w:t xml:space="preserve">\"</w:t>
      </w:r>
      <w:r>
        <w:rPr>
          <w:rStyle w:val="StringTok"/>
        </w:rPr>
        <w:t xml:space="preserve">'"</w:t>
      </w:r>
      <w:r>
        <w:rPr>
          <w:rStyle w:val="NormalTok"/>
        </w:rPr>
        <w:t xml:space="preserve">), </w:t>
      </w:r>
      <w:r>
        <w:rPr>
          <w:rStyle w:val="DecValTok"/>
        </w:rPr>
        <w:t xml:space="preserve">1</w:t>
      </w:r>
      <w:r>
        <w:br/>
      </w:r>
      <w:r>
        <w:br/>
      </w:r>
      <w:r>
        <w:br/>
      </w:r>
      <w:r>
        <w:rPr>
          <w:rStyle w:val="KeywordTok"/>
        </w:rPr>
        <w:t xml:space="preserve">def</w:t>
      </w:r>
      <w:r>
        <w:rPr>
          <w:rStyle w:val="NormalTok"/>
        </w:rPr>
        <w:t xml:space="preserve"> wc_sum(key, values):</w:t>
      </w:r>
      <w:r>
        <w:br/>
      </w:r>
      <w:r>
        <w:rPr>
          <w:rStyle w:val="NormalTok"/>
        </w:rPr>
        <w:t xml:space="preserve">    </w:t>
      </w:r>
      <w:r>
        <w:rPr>
          <w:rStyle w:val="ControlFlowTok"/>
        </w:rPr>
        <w:t xml:space="preserve">yield</w:t>
      </w:r>
      <w:r>
        <w:rPr>
          <w:rStyle w:val="NormalTok"/>
        </w:rPr>
        <w:t xml:space="preserve"> </w:t>
      </w:r>
      <w:r>
        <w:rPr>
          <w:rStyle w:val="BuiltInTok"/>
        </w:rPr>
        <w:t xml:space="preserve">sum</w:t>
      </w:r>
      <w:r>
        <w:rPr>
          <w:rStyle w:val="NormalTok"/>
        </w:rPr>
        <w:t xml:space="preserve">(values)</w:t>
      </w:r>
      <w:r>
        <w:br/>
      </w:r>
      <w:r>
        <w:br/>
      </w:r>
      <w:r>
        <w:br/>
      </w:r>
      <w:r>
        <w:rPr>
          <w:rStyle w:val="CommentTok"/>
        </w:rPr>
        <w:t xml:space="preserve"># ---- Job 2: reduce-side (sort-merge) join of users and orders ----------------</w:t>
      </w:r>
      <w:r>
        <w:br/>
      </w:r>
      <w:r>
        <w:rPr>
          <w:rStyle w:val="KeywordTok"/>
        </w:rPr>
        <w:t xml:space="preserve">def</w:t>
      </w:r>
      <w:r>
        <w:rPr>
          <w:rStyle w:val="NormalTok"/>
        </w:rPr>
        <w:t xml:space="preserve"> join_map(record):</w:t>
      </w:r>
      <w:r>
        <w:br/>
      </w:r>
      <w:r>
        <w:rPr>
          <w:rStyle w:val="NormalTok"/>
        </w:rPr>
        <w:t xml:space="preserve">    table, row </w:t>
      </w:r>
      <w:r>
        <w:rPr>
          <w:rStyle w:val="OperatorTok"/>
        </w:rPr>
        <w:t xml:space="preserve">=</w:t>
      </w:r>
      <w:r>
        <w:rPr>
          <w:rStyle w:val="NormalTok"/>
        </w:rPr>
        <w:t xml:space="preserve"> record</w:t>
      </w:r>
      <w:r>
        <w:br/>
      </w:r>
      <w:r>
        <w:rPr>
          <w:rStyle w:val="NormalTok"/>
        </w:rPr>
        <w:t xml:space="preserve">    </w:t>
      </w:r>
      <w:r>
        <w:rPr>
          <w:rStyle w:val="ControlFlowTok"/>
        </w:rPr>
        <w:t xml:space="preserve">if</w:t>
      </w:r>
      <w:r>
        <w:rPr>
          <w:rStyle w:val="NormalTok"/>
        </w:rPr>
        <w:t xml:space="preserve"> table </w:t>
      </w:r>
      <w:r>
        <w:rPr>
          <w:rStyle w:val="OperatorTok"/>
        </w:rPr>
        <w:t xml:space="preserve">==</w:t>
      </w:r>
      <w:r>
        <w:rPr>
          <w:rStyle w:val="NormalTok"/>
        </w:rPr>
        <w:t xml:space="preserve"> </w:t>
      </w:r>
      <w:r>
        <w:rPr>
          <w:rStyle w:val="StringTok"/>
        </w:rPr>
        <w:t xml:space="preserve">"users"</w:t>
      </w:r>
      <w:r>
        <w:rPr>
          <w:rStyle w:val="NormalTok"/>
        </w:rPr>
        <w:t xml:space="preserve">:                        </w:t>
      </w:r>
      <w:r>
        <w:rPr>
          <w:rStyle w:val="CommentTok"/>
        </w:rPr>
        <w:t xml:space="preserve"># ("users", (user_id, country))</w:t>
      </w:r>
      <w:r>
        <w:br/>
      </w:r>
      <w:r>
        <w:rPr>
          <w:rStyle w:val="NormalTok"/>
        </w:rPr>
        <w:t xml:space="preserve">        </w:t>
      </w:r>
      <w:r>
        <w:rPr>
          <w:rStyle w:val="ControlFlowTok"/>
        </w:rPr>
        <w:t xml:space="preserve">yield</w:t>
      </w:r>
      <w:r>
        <w:rPr>
          <w:rStyle w:val="NormalTok"/>
        </w:rPr>
        <w:t xml:space="preserve"> row[</w:t>
      </w:r>
      <w:r>
        <w:rPr>
          <w:rStyle w:val="DecValTok"/>
        </w:rPr>
        <w:t xml:space="preserve">0</w:t>
      </w:r>
      <w:r>
        <w:rPr>
          <w:rStyle w:val="NormalTok"/>
        </w:rPr>
        <w:t xml:space="preserve">], (</w:t>
      </w:r>
      <w:r>
        <w:rPr>
          <w:rStyle w:val="StringTok"/>
        </w:rPr>
        <w:t xml:space="preserve">"U"</w:t>
      </w:r>
      <w:r>
        <w:rPr>
          <w:rStyle w:val="NormalTok"/>
        </w:rPr>
        <w:t xml:space="preserve">, row[</w:t>
      </w:r>
      <w:r>
        <w:rPr>
          <w:rStyle w:val="DecValTok"/>
        </w:rPr>
        <w:t xml:space="preserve">1</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mmentTok"/>
        </w:rPr>
        <w:t xml:space="preserve"># ("orders", (order_id, user_id, amount))</w:t>
      </w:r>
      <w:r>
        <w:br/>
      </w:r>
      <w:r>
        <w:rPr>
          <w:rStyle w:val="NormalTok"/>
        </w:rPr>
        <w:t xml:space="preserve">        </w:t>
      </w:r>
      <w:r>
        <w:rPr>
          <w:rStyle w:val="ControlFlowTok"/>
        </w:rPr>
        <w:t xml:space="preserve">yield</w:t>
      </w:r>
      <w:r>
        <w:rPr>
          <w:rStyle w:val="NormalTok"/>
        </w:rPr>
        <w:t xml:space="preserve"> row[</w:t>
      </w:r>
      <w:r>
        <w:rPr>
          <w:rStyle w:val="DecValTok"/>
        </w:rPr>
        <w:t xml:space="preserve">1</w:t>
      </w:r>
      <w:r>
        <w:rPr>
          <w:rStyle w:val="NormalTok"/>
        </w:rPr>
        <w:t xml:space="preserve">], (</w:t>
      </w:r>
      <w:r>
        <w:rPr>
          <w:rStyle w:val="StringTok"/>
        </w:rPr>
        <w:t xml:space="preserve">"O"</w:t>
      </w:r>
      <w:r>
        <w:rPr>
          <w:rStyle w:val="NormalTok"/>
        </w:rPr>
        <w:t xml:space="preserve">, (row[</w:t>
      </w:r>
      <w:r>
        <w:rPr>
          <w:rStyle w:val="DecValTok"/>
        </w:rPr>
        <w:t xml:space="preserve">0</w:t>
      </w:r>
      <w:r>
        <w:rPr>
          <w:rStyle w:val="NormalTok"/>
        </w:rPr>
        <w:t xml:space="preserve">], row[</w:t>
      </w:r>
      <w:r>
        <w:rPr>
          <w:rStyle w:val="DecValTok"/>
        </w:rPr>
        <w:t xml:space="preserve">2</w:t>
      </w:r>
      <w:r>
        <w:rPr>
          <w:rStyle w:val="NormalTok"/>
        </w:rPr>
        <w:t xml:space="preserve">]))</w:t>
      </w:r>
      <w:r>
        <w:br/>
      </w:r>
      <w:r>
        <w:br/>
      </w:r>
      <w:r>
        <w:br/>
      </w:r>
      <w:r>
        <w:rPr>
          <w:rStyle w:val="KeywordTok"/>
        </w:rPr>
        <w:t xml:space="preserve">def</w:t>
      </w:r>
      <w:r>
        <w:rPr>
          <w:rStyle w:val="NormalTok"/>
        </w:rPr>
        <w:t xml:space="preserve"> join_reduce(user_id, tagged):</w:t>
      </w:r>
      <w:r>
        <w:br/>
      </w:r>
      <w:r>
        <w:rPr>
          <w:rStyle w:val="NormalTok"/>
        </w:rPr>
        <w:t xml:space="preserve">    country, orders </w:t>
      </w:r>
      <w:r>
        <w:rPr>
          <w:rStyle w:val="OperatorTok"/>
        </w:rPr>
        <w:t xml:space="preserve">=</w:t>
      </w:r>
      <w:r>
        <w:rPr>
          <w:rStyle w:val="NormalTok"/>
        </w:rPr>
        <w:t xml:space="preserve"> </w:t>
      </w:r>
      <w:r>
        <w:rPr>
          <w:rStyle w:val="VariableTok"/>
        </w:rPr>
        <w:t xml:space="preserve">None</w:t>
      </w:r>
      <w:r>
        <w:rPr>
          <w:rStyle w:val="NormalTok"/>
        </w:rPr>
        <w:t xml:space="preserve">, []</w:t>
      </w:r>
      <w:r>
        <w:br/>
      </w:r>
      <w:r>
        <w:rPr>
          <w:rStyle w:val="NormalTok"/>
        </w:rPr>
        <w:t xml:space="preserve">    </w:t>
      </w:r>
      <w:r>
        <w:rPr>
          <w:rStyle w:val="ControlFlowTok"/>
        </w:rPr>
        <w:t xml:space="preserve">for</w:t>
      </w:r>
      <w:r>
        <w:rPr>
          <w:rStyle w:val="NormalTok"/>
        </w:rPr>
        <w:t xml:space="preserve"> tag, payload </w:t>
      </w:r>
      <w:r>
        <w:rPr>
          <w:rStyle w:val="KeywordTok"/>
        </w:rPr>
        <w:t xml:space="preserve">in</w:t>
      </w:r>
      <w:r>
        <w:rPr>
          <w:rStyle w:val="NormalTok"/>
        </w:rPr>
        <w:t xml:space="preserve"> tagged:</w:t>
      </w:r>
      <w:r>
        <w:br/>
      </w:r>
      <w:r>
        <w:rPr>
          <w:rStyle w:val="NormalTok"/>
        </w:rPr>
        <w:t xml:space="preserve">        </w:t>
      </w:r>
      <w:r>
        <w:rPr>
          <w:rStyle w:val="ControlFlowTok"/>
        </w:rPr>
        <w:t xml:space="preserve">if</w:t>
      </w:r>
      <w:r>
        <w:rPr>
          <w:rStyle w:val="NormalTok"/>
        </w:rPr>
        <w:t xml:space="preserve"> tag </w:t>
      </w:r>
      <w:r>
        <w:rPr>
          <w:rStyle w:val="OperatorTok"/>
        </w:rPr>
        <w:t xml:space="preserve">==</w:t>
      </w:r>
      <w:r>
        <w:rPr>
          <w:rStyle w:val="NormalTok"/>
        </w:rPr>
        <w:t xml:space="preserve"> </w:t>
      </w:r>
      <w:r>
        <w:rPr>
          <w:rStyle w:val="StringTok"/>
        </w:rPr>
        <w:t xml:space="preserve">"U"</w:t>
      </w:r>
      <w:r>
        <w:rPr>
          <w:rStyle w:val="NormalTok"/>
        </w:rPr>
        <w:t xml:space="preserve">:</w:t>
      </w:r>
      <w:r>
        <w:br/>
      </w:r>
      <w:r>
        <w:rPr>
          <w:rStyle w:val="NormalTok"/>
        </w:rPr>
        <w:t xml:space="preserve">            country </w:t>
      </w:r>
      <w:r>
        <w:rPr>
          <w:rStyle w:val="OperatorTok"/>
        </w:rPr>
        <w:t xml:space="preserve">=</w:t>
      </w:r>
      <w:r>
        <w:rPr>
          <w:rStyle w:val="NormalTok"/>
        </w:rPr>
        <w:t xml:space="preserve"> payload</w:t>
      </w:r>
      <w:r>
        <w:br/>
      </w:r>
      <w:r>
        <w:rPr>
          <w:rStyle w:val="NormalTok"/>
        </w:rPr>
        <w:t xml:space="preserve">        </w:t>
      </w:r>
      <w:r>
        <w:rPr>
          <w:rStyle w:val="ControlFlowTok"/>
        </w:rPr>
        <w:t xml:space="preserve">else</w:t>
      </w:r>
      <w:r>
        <w:rPr>
          <w:rStyle w:val="NormalTok"/>
        </w:rPr>
        <w:t xml:space="preserve">:</w:t>
      </w:r>
      <w:r>
        <w:br/>
      </w:r>
      <w:r>
        <w:rPr>
          <w:rStyle w:val="NormalTok"/>
        </w:rPr>
        <w:t xml:space="preserve">            orders.append(payload)</w:t>
      </w:r>
      <w:r>
        <w:br/>
      </w:r>
      <w:r>
        <w:rPr>
          <w:rStyle w:val="NormalTok"/>
        </w:rPr>
        <w:t xml:space="preserve">    </w:t>
      </w:r>
      <w:r>
        <w:rPr>
          <w:rStyle w:val="ControlFlowTok"/>
        </w:rPr>
        <w:t xml:space="preserve">yield</w:t>
      </w:r>
      <w:r>
        <w:rPr>
          <w:rStyle w:val="NormalTok"/>
        </w:rPr>
        <w:t xml:space="preserve"> </w:t>
      </w:r>
      <w:r>
        <w:rPr>
          <w:rStyle w:val="BuiltInTok"/>
        </w:rPr>
        <w:t xml:space="preserve">sorted</w:t>
      </w:r>
      <w:r>
        <w:rPr>
          <w:rStyle w:val="NormalTok"/>
        </w:rPr>
        <w:t xml:space="preserve">((oid, amt, country) </w:t>
      </w:r>
      <w:r>
        <w:rPr>
          <w:rStyle w:val="ControlFlowTok"/>
        </w:rPr>
        <w:t xml:space="preserve">for</w:t>
      </w:r>
      <w:r>
        <w:rPr>
          <w:rStyle w:val="NormalTok"/>
        </w:rPr>
        <w:t xml:space="preserve"> oid, amt </w:t>
      </w:r>
      <w:r>
        <w:rPr>
          <w:rStyle w:val="KeywordTok"/>
        </w:rPr>
        <w:t xml:space="preserve">in</w:t>
      </w:r>
      <w:r>
        <w:rPr>
          <w:rStyle w:val="NormalTok"/>
        </w:rPr>
        <w:t xml:space="preserve"> orders)   </w:t>
      </w:r>
      <w:r>
        <w:rPr>
          <w:rStyle w:val="CommentTok"/>
        </w:rPr>
        <w:t xml:space="preserve"># orders enriched; None = no profile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text </w:t>
      </w:r>
      <w:r>
        <w:rPr>
          <w:rStyle w:val="OperatorTok"/>
        </w:rPr>
        <w:t xml:space="preserve">=</w:t>
      </w:r>
      <w:r>
        <w:rPr>
          <w:rStyle w:val="NormalTok"/>
        </w:rPr>
        <w:t xml:space="preserve"> [</w:t>
      </w:r>
      <w:r>
        <w:rPr>
          <w:rStyle w:val="StringTok"/>
        </w:rPr>
        <w:t xml:space="preserve">"the quick brown fox"</w:t>
      </w:r>
      <w:r>
        <w:rPr>
          <w:rStyle w:val="NormalTok"/>
        </w:rPr>
        <w:t xml:space="preserve">, </w:t>
      </w:r>
      <w:r>
        <w:rPr>
          <w:rStyle w:val="StringTok"/>
        </w:rPr>
        <w:t xml:space="preserve">"jumps over the lazy dog"</w:t>
      </w:r>
      <w:r>
        <w:rPr>
          <w:rStyle w:val="NormalTok"/>
        </w:rPr>
        <w:t xml:space="preserve">, </w:t>
      </w:r>
      <w:r>
        <w:rPr>
          <w:rStyle w:val="StringTok"/>
        </w:rPr>
        <w:t xml:space="preserve">"the dog barks"</w:t>
      </w:r>
      <w:r>
        <w:rPr>
          <w:rStyle w:val="NormalTok"/>
        </w:rPr>
        <w:t xml:space="preserve">,</w:t>
      </w:r>
      <w:r>
        <w:br/>
      </w:r>
      <w:r>
        <w:rPr>
          <w:rStyle w:val="NormalTok"/>
        </w:rPr>
        <w:t xml:space="preserve">            </w:t>
      </w:r>
      <w:r>
        <w:rPr>
          <w:rStyle w:val="StringTok"/>
        </w:rPr>
        <w:t xml:space="preserve">"The fox runs. The dog sleeps!"</w:t>
      </w:r>
      <w:r>
        <w:rPr>
          <w:rStyle w:val="NormalTok"/>
        </w:rPr>
        <w:t xml:space="preserve">, </w:t>
      </w:r>
      <w:r>
        <w:rPr>
          <w:rStyle w:val="StringTok"/>
        </w:rPr>
        <w:t xml:space="preserve">"a quick test of the engine"</w:t>
      </w:r>
      <w:r>
        <w:rPr>
          <w:rStyle w:val="NormalTok"/>
        </w:rPr>
        <w:t xml:space="preserve">] </w:t>
      </w:r>
      <w:r>
        <w:rPr>
          <w:rStyle w:val="OperatorTok"/>
        </w:rPr>
        <w:t xml:space="preserve">*</w:t>
      </w:r>
      <w:r>
        <w:rPr>
          <w:rStyle w:val="NormalTok"/>
        </w:rPr>
        <w:t xml:space="preserve"> </w:t>
      </w:r>
      <w:r>
        <w:rPr>
          <w:rStyle w:val="DecValTok"/>
        </w:rPr>
        <w:t xml:space="preserve">200</w:t>
      </w:r>
      <w:r>
        <w:br/>
      </w:r>
      <w:r>
        <w:rPr>
          <w:rStyle w:val="NormalTok"/>
        </w:rPr>
        <w:t xml:space="preserve">    splits </w:t>
      </w:r>
      <w:r>
        <w:rPr>
          <w:rStyle w:val="OperatorTok"/>
        </w:rPr>
        <w:t xml:space="preserve">=</w:t>
      </w:r>
      <w:r>
        <w:rPr>
          <w:rStyle w:val="NormalTok"/>
        </w:rPr>
        <w:t xml:space="preserve"> [text[i:i </w:t>
      </w:r>
      <w:r>
        <w:rPr>
          <w:rStyle w:val="OperatorTok"/>
        </w:rPr>
        <w:t xml:space="preserve">+</w:t>
      </w:r>
      <w:r>
        <w:rPr>
          <w:rStyle w:val="NormalTok"/>
        </w:rPr>
        <w:t xml:space="preserve"> </w:t>
      </w:r>
      <w:r>
        <w:rPr>
          <w:rStyle w:val="DecValTok"/>
        </w:rPr>
        <w:t xml:space="preserve">100</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 </w:t>
      </w:r>
      <w:r>
        <w:rPr>
          <w:rStyle w:val="BuiltInTok"/>
        </w:rPr>
        <w:t xml:space="preserve">len</w:t>
      </w:r>
      <w:r>
        <w:rPr>
          <w:rStyle w:val="NormalTok"/>
        </w:rPr>
        <w:t xml:space="preserve">(text), </w:t>
      </w:r>
      <w:r>
        <w:rPr>
          <w:rStyle w:val="DecValTok"/>
        </w:rPr>
        <w:t xml:space="preserve">100</w:t>
      </w:r>
      <w:r>
        <w:rPr>
          <w:rStyle w:val="NormalTok"/>
        </w:rPr>
        <w:t xml:space="preserve">)]        </w:t>
      </w:r>
      <w:r>
        <w:rPr>
          <w:rStyle w:val="CommentTok"/>
        </w:rPr>
        <w:t xml:space="preserve"># 10 input splits</w:t>
      </w:r>
      <w:r>
        <w:br/>
      </w:r>
      <w:r>
        <w:rPr>
          <w:rStyle w:val="NormalTok"/>
        </w:rPr>
        <w:t xml:space="preserve">    expected </w:t>
      </w:r>
      <w:r>
        <w:rPr>
          <w:rStyle w:val="OperatorTok"/>
        </w:rPr>
        <w:t xml:space="preserve">=</w:t>
      </w:r>
      <w:r>
        <w:rPr>
          <w:rStyle w:val="NormalTok"/>
        </w:rPr>
        <w:t xml:space="preserve"> Counter(w.strip(</w:t>
      </w:r>
      <w:r>
        <w:rPr>
          <w:rStyle w:val="StringTok"/>
        </w:rPr>
        <w:t xml:space="preserve">".,;:!?</w:t>
      </w:r>
      <w:r>
        <w:rPr>
          <w:rStyle w:val="CharTok"/>
        </w:rPr>
        <w:t xml:space="preserve">\"</w:t>
      </w:r>
      <w:r>
        <w:rPr>
          <w:rStyle w:val="StringTok"/>
        </w:rPr>
        <w:t xml:space="preserve">'"</w:t>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text </w:t>
      </w:r>
      <w:r>
        <w:rPr>
          <w:rStyle w:val="ControlFlowTok"/>
        </w:rPr>
        <w:t xml:space="preserve">for</w:t>
      </w:r>
      <w:r>
        <w:rPr>
          <w:rStyle w:val="NormalTok"/>
        </w:rPr>
        <w:t xml:space="preserve"> w </w:t>
      </w:r>
      <w:r>
        <w:rPr>
          <w:rStyle w:val="KeywordTok"/>
        </w:rPr>
        <w:t xml:space="preserve">in</w:t>
      </w:r>
      <w:r>
        <w:rPr>
          <w:rStyle w:val="NormalTok"/>
        </w:rPr>
        <w:t xml:space="preserve"> line.lower().split())</w:t>
      </w:r>
      <w:r>
        <w:br/>
      </w:r>
      <w:r>
        <w:br/>
      </w:r>
      <w:r>
        <w:rPr>
          <w:rStyle w:val="NormalTok"/>
        </w:rPr>
        <w:t xml:space="preserve">    plain </w:t>
      </w:r>
      <w:r>
        <w:rPr>
          <w:rStyle w:val="OperatorTok"/>
        </w:rPr>
        <w:t xml:space="preserve">=</w:t>
      </w:r>
      <w:r>
        <w:rPr>
          <w:rStyle w:val="NormalTok"/>
        </w:rPr>
        <w:t xml:space="preserve"> MiniMapReduce(wc_map, wc_sum, num_reducers</w:t>
      </w:r>
      <w:r>
        <w:rPr>
          <w:rStyle w:val="OperatorTok"/>
        </w:rPr>
        <w:t xml:space="preserve">=</w:t>
      </w:r>
      <w:r>
        <w:rPr>
          <w:rStyle w:val="DecValTok"/>
        </w:rPr>
        <w:t xml:space="preserve">4</w:t>
      </w:r>
      <w:r>
        <w:rPr>
          <w:rStyle w:val="NormalTok"/>
        </w:rPr>
        <w:t xml:space="preserve">)</w:t>
      </w:r>
      <w:r>
        <w:br/>
      </w:r>
      <w:r>
        <w:rPr>
          <w:rStyle w:val="NormalTok"/>
        </w:rPr>
        <w:t xml:space="preserve">    out_plain </w:t>
      </w:r>
      <w:r>
        <w:rPr>
          <w:rStyle w:val="OperatorTok"/>
        </w:rPr>
        <w:t xml:space="preserve">=</w:t>
      </w:r>
      <w:r>
        <w:rPr>
          <w:rStyle w:val="NormalTok"/>
        </w:rPr>
        <w:t xml:space="preserve"> plain.run(splits)</w:t>
      </w:r>
      <w:r>
        <w:br/>
      </w:r>
      <w:r>
        <w:rPr>
          <w:rStyle w:val="NormalTok"/>
        </w:rPr>
        <w:t xml:space="preserve">    combined </w:t>
      </w:r>
      <w:r>
        <w:rPr>
          <w:rStyle w:val="OperatorTok"/>
        </w:rPr>
        <w:t xml:space="preserve">=</w:t>
      </w:r>
      <w:r>
        <w:rPr>
          <w:rStyle w:val="NormalTok"/>
        </w:rPr>
        <w:t xml:space="preserve"> MiniMapReduce(wc_map, wc_sum, num_reducers</w:t>
      </w:r>
      <w:r>
        <w:rPr>
          <w:rStyle w:val="OperatorTok"/>
        </w:rPr>
        <w:t xml:space="preserve">=</w:t>
      </w:r>
      <w:r>
        <w:rPr>
          <w:rStyle w:val="DecValTok"/>
        </w:rPr>
        <w:t xml:space="preserve">4</w:t>
      </w:r>
      <w:r>
        <w:rPr>
          <w:rStyle w:val="NormalTok"/>
        </w:rPr>
        <w:t xml:space="preserve">, combiner</w:t>
      </w:r>
      <w:r>
        <w:rPr>
          <w:rStyle w:val="OperatorTok"/>
        </w:rPr>
        <w:t xml:space="preserve">=</w:t>
      </w:r>
      <w:r>
        <w:rPr>
          <w:rStyle w:val="NormalTok"/>
        </w:rPr>
        <w:t xml:space="preserve">wc_sum)</w:t>
      </w:r>
      <w:r>
        <w:br/>
      </w:r>
      <w:r>
        <w:rPr>
          <w:rStyle w:val="NormalTok"/>
        </w:rPr>
        <w:t xml:space="preserve">    out_comb </w:t>
      </w:r>
      <w:r>
        <w:rPr>
          <w:rStyle w:val="OperatorTok"/>
        </w:rPr>
        <w:t xml:space="preserve">=</w:t>
      </w:r>
      <w:r>
        <w:rPr>
          <w:rStyle w:val="NormalTok"/>
        </w:rPr>
        <w:t xml:space="preserve"> combined.run(splits, crash_first_attempt</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7</w:t>
      </w:r>
      <w:r>
        <w:rPr>
          <w:rStyle w:val="NormalTok"/>
        </w:rPr>
        <w:t xml:space="preserve">})</w:t>
      </w:r>
      <w:r>
        <w:br/>
      </w:r>
      <w:r>
        <w:rPr>
          <w:rStyle w:val="NormalTok"/>
        </w:rPr>
        <w:t xml:space="preserve">    </w:t>
      </w:r>
      <w:r>
        <w:rPr>
          <w:rStyle w:val="ControlFlowTok"/>
        </w:rPr>
        <w:t xml:space="preserve">assert</w:t>
      </w:r>
      <w:r>
        <w:rPr>
          <w:rStyle w:val="NormalTok"/>
        </w:rPr>
        <w:t xml:space="preserve"> out_plain </w:t>
      </w:r>
      <w:r>
        <w:rPr>
          <w:rStyle w:val="OperatorTok"/>
        </w:rPr>
        <w:t xml:space="preserve">==</w:t>
      </w:r>
      <w:r>
        <w:rPr>
          <w:rStyle w:val="NormalTok"/>
        </w:rPr>
        <w:t xml:space="preserve"> </w:t>
      </w:r>
      <w:r>
        <w:rPr>
          <w:rStyle w:val="BuiltInTok"/>
        </w:rPr>
        <w:t xml:space="preserve">dict</w:t>
      </w:r>
      <w:r>
        <w:rPr>
          <w:rStyle w:val="NormalTok"/>
        </w:rPr>
        <w:t xml:space="preserve">(expected) </w:t>
      </w:r>
      <w:r>
        <w:rPr>
          <w:rStyle w:val="OperatorTok"/>
        </w:rPr>
        <w:t xml:space="preserve">==</w:t>
      </w:r>
      <w:r>
        <w:rPr>
          <w:rStyle w:val="NormalTok"/>
        </w:rPr>
        <w:t xml:space="preserve"> out_comb</w:t>
      </w:r>
      <w:r>
        <w:br/>
      </w:r>
      <w:r>
        <w:rPr>
          <w:rStyle w:val="NormalTok"/>
        </w:rPr>
        <w:t xml:space="preserve">    </w:t>
      </w:r>
      <w:r>
        <w:rPr>
          <w:rStyle w:val="BuiltInTok"/>
        </w:rPr>
        <w:t xml:space="preserve">print</w:t>
      </w:r>
      <w:r>
        <w:rPr>
          <w:rStyle w:val="NormalTok"/>
        </w:rPr>
        <w:t xml:space="preserve">(</w:t>
      </w:r>
      <w:r>
        <w:rPr>
          <w:rStyle w:val="StringTok"/>
        </w:rPr>
        <w:t xml:space="preserve">"distinct words:"</w:t>
      </w:r>
      <w:r>
        <w:rPr>
          <w:rStyle w:val="NormalTok"/>
        </w:rPr>
        <w:t xml:space="preserve">, </w:t>
      </w:r>
      <w:r>
        <w:rPr>
          <w:rStyle w:val="BuiltInTok"/>
        </w:rPr>
        <w:t xml:space="preserve">len</w:t>
      </w:r>
      <w:r>
        <w:rPr>
          <w:rStyle w:val="NormalTok"/>
        </w:rPr>
        <w:t xml:space="preserve">(out_comb), </w:t>
      </w:r>
      <w:r>
        <w:rPr>
          <w:rStyle w:val="StringTok"/>
        </w:rPr>
        <w:t xml:space="preserve">" 'the' ="</w:t>
      </w:r>
      <w:r>
        <w:rPr>
          <w:rStyle w:val="NormalTok"/>
        </w:rPr>
        <w:t xml:space="preserve">, out_comb[</w:t>
      </w:r>
      <w:r>
        <w:rPr>
          <w:rStyle w:val="StringTok"/>
        </w:rPr>
        <w:t xml:space="preserve">"the"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"map output records:"</w:t>
      </w:r>
      <w:r>
        <w:rPr>
          <w:rStyle w:val="NormalTok"/>
        </w:rPr>
        <w:t xml:space="preserve">, plain.stats[</w:t>
      </w:r>
      <w:r>
        <w:rPr>
          <w:rStyle w:val="StringTok"/>
        </w:rPr>
        <w:t xml:space="preserve">"map_output_records"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"shuffled without combiner:"</w:t>
      </w:r>
      <w:r>
        <w:rPr>
          <w:rStyle w:val="NormalTok"/>
        </w:rPr>
        <w:t xml:space="preserve">, plain.stats[</w:t>
      </w:r>
      <w:r>
        <w:rPr>
          <w:rStyle w:val="StringTok"/>
        </w:rPr>
        <w:t xml:space="preserve">"shuffled_records"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"shuffled with combiner:   "</w:t>
      </w:r>
      <w:r>
        <w:rPr>
          <w:rStyle w:val="NormalTok"/>
        </w:rPr>
        <w:t xml:space="preserve">, combined.stats[</w:t>
      </w:r>
      <w:r>
        <w:rPr>
          <w:rStyle w:val="StringTok"/>
        </w:rPr>
        <w:t xml:space="preserve">"shuffled_records"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"re-executed map tasks:"</w:t>
      </w:r>
      <w:r>
        <w:rPr>
          <w:rStyle w:val="NormalTok"/>
        </w:rPr>
        <w:t xml:space="preserve">, combined.stats[</w:t>
      </w:r>
      <w:r>
        <w:rPr>
          <w:rStyle w:val="StringTok"/>
        </w:rPr>
        <w:t xml:space="preserve">"map_reexecutions"</w:t>
      </w:r>
      <w:r>
        <w:rPr>
          <w:rStyle w:val="NormalTok"/>
        </w:rPr>
        <w:t xml:space="preserve">])</w:t>
      </w:r>
      <w:r>
        <w:br/>
      </w:r>
      <w:r>
        <w:br/>
      </w:r>
      <w:r>
        <w:rPr>
          <w:rStyle w:val="NormalTok"/>
        </w:rPr>
        <w:t xml:space="preserve">    users </w:t>
      </w:r>
      <w:r>
        <w:rPr>
          <w:rStyle w:val="OperatorTok"/>
        </w:rPr>
        <w:t xml:space="preserve">=</w:t>
      </w:r>
      <w:r>
        <w:rPr>
          <w:rStyle w:val="NormalTok"/>
        </w:rPr>
        <w:t xml:space="preserve"> [(</w:t>
      </w:r>
      <w:r>
        <w:rPr>
          <w:rStyle w:val="StringTok"/>
        </w:rPr>
        <w:t xml:space="preserve">"users"</w:t>
      </w:r>
      <w:r>
        <w:rPr>
          <w:rStyle w:val="NormalTok"/>
        </w:rPr>
        <w:t xml:space="preserve">, (u, c)) </w:t>
      </w:r>
      <w:r>
        <w:rPr>
          <w:rStyle w:val="ControlFlowTok"/>
        </w:rPr>
        <w:t xml:space="preserve">for</w:t>
      </w:r>
      <w:r>
        <w:rPr>
          <w:rStyle w:val="NormalTok"/>
        </w:rPr>
        <w:t xml:space="preserve"> u, c </w:t>
      </w:r>
      <w:r>
        <w:rPr>
          <w:rStyle w:val="KeywordTok"/>
        </w:rPr>
        <w:t xml:space="preserve">in</w:t>
      </w:r>
      <w:r>
        <w:rPr>
          <w:rStyle w:val="NormalTok"/>
        </w:rPr>
        <w:t xml:space="preserve"> [(</w:t>
      </w:r>
      <w:r>
        <w:rPr>
          <w:rStyle w:val="DecValTok"/>
        </w:rPr>
        <w:t xml:space="preserve">1</w:t>
      </w:r>
      <w:r>
        <w:rPr>
          <w:rStyle w:val="NormalTok"/>
        </w:rPr>
        <w:t xml:space="preserve">, </w:t>
      </w:r>
      <w:r>
        <w:rPr>
          <w:rStyle w:val="StringTok"/>
        </w:rPr>
        <w:t xml:space="preserve">"IN"</w:t>
      </w:r>
      <w:r>
        <w:rPr>
          <w:rStyle w:val="NormalTok"/>
        </w:rPr>
        <w:t xml:space="preserve">), (</w:t>
      </w:r>
      <w:r>
        <w:rPr>
          <w:rStyle w:val="DecValTok"/>
        </w:rPr>
        <w:t xml:space="preserve">2</w:t>
      </w:r>
      <w:r>
        <w:rPr>
          <w:rStyle w:val="NormalTok"/>
        </w:rPr>
        <w:t xml:space="preserve">, </w:t>
      </w:r>
      <w:r>
        <w:rPr>
          <w:rStyle w:val="StringTok"/>
        </w:rPr>
        <w:t xml:space="preserve">"US"</w:t>
      </w:r>
      <w:r>
        <w:rPr>
          <w:rStyle w:val="NormalTok"/>
        </w:rPr>
        <w:t xml:space="preserve">), (</w:t>
      </w:r>
      <w:r>
        <w:rPr>
          <w:rStyle w:val="DecValTok"/>
        </w:rPr>
        <w:t xml:space="preserve">3</w:t>
      </w:r>
      <w:r>
        <w:rPr>
          <w:rStyle w:val="NormalTok"/>
        </w:rPr>
        <w:t xml:space="preserve">, </w:t>
      </w:r>
      <w:r>
        <w:rPr>
          <w:rStyle w:val="StringTok"/>
        </w:rPr>
        <w:t xml:space="preserve">"DE"</w:t>
      </w:r>
      <w:r>
        <w:rPr>
          <w:rStyle w:val="NormalTok"/>
        </w:rPr>
        <w:t xml:space="preserve">)]]</w:t>
      </w:r>
      <w:r>
        <w:br/>
      </w:r>
      <w:r>
        <w:rPr>
          <w:rStyle w:val="NormalTok"/>
        </w:rPr>
        <w:t xml:space="preserve">    orders </w:t>
      </w:r>
      <w:r>
        <w:rPr>
          <w:rStyle w:val="OperatorTok"/>
        </w:rPr>
        <w:t xml:space="preserve">=</w:t>
      </w:r>
      <w:r>
        <w:rPr>
          <w:rStyle w:val="NormalTok"/>
        </w:rPr>
        <w:t xml:space="preserve"> [(</w:t>
      </w:r>
      <w:r>
        <w:rPr>
          <w:rStyle w:val="StringTok"/>
        </w:rPr>
        <w:t xml:space="preserve">"orders"</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i, </w:t>
      </w:r>
      <w:r>
        <w:rPr>
          <w:rStyle w:val="DecValTok"/>
        </w:rPr>
        <w:t xml:space="preserve">1</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4</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8</w:t>
      </w:r>
      <w:r>
        <w:rPr>
          <w:rStyle w:val="NormalTok"/>
        </w:rPr>
        <w:t xml:space="preserve">)]   </w:t>
      </w:r>
      <w:r>
        <w:rPr>
          <w:rStyle w:val="CommentTok"/>
        </w:rPr>
        <w:t xml:space="preserve"># user 4 has no profile</w:t>
      </w:r>
      <w:r>
        <w:br/>
      </w:r>
      <w:r>
        <w:rPr>
          <w:rStyle w:val="NormalTok"/>
        </w:rPr>
        <w:t xml:space="preserve">    joined </w:t>
      </w:r>
      <w:r>
        <w:rPr>
          <w:rStyle w:val="OperatorTok"/>
        </w:rPr>
        <w:t xml:space="preserve">=</w:t>
      </w:r>
      <w:r>
        <w:rPr>
          <w:rStyle w:val="NormalTok"/>
        </w:rPr>
        <w:t xml:space="preserve"> MiniMapReduce(join_map, join_reduce, num_reducers</w:t>
      </w:r>
      <w:r>
        <w:rPr>
          <w:rStyle w:val="OperatorTok"/>
        </w:rPr>
        <w:t xml:space="preserve">=</w:t>
      </w:r>
      <w:r>
        <w:rPr>
          <w:rStyle w:val="DecValTok"/>
        </w:rPr>
        <w:t xml:space="preserve">2</w:t>
      </w:r>
      <w:r>
        <w:rPr>
          <w:rStyle w:val="NormalTok"/>
        </w:rPr>
        <w:t xml:space="preserve">).run([users, orders[:</w:t>
      </w:r>
      <w:r>
        <w:rPr>
          <w:rStyle w:val="DecValTok"/>
        </w:rPr>
        <w:t xml:space="preserve">4</w:t>
      </w:r>
      <w:r>
        <w:rPr>
          <w:rStyle w:val="NormalTok"/>
        </w:rPr>
        <w:t xml:space="preserve">], orders[</w:t>
      </w:r>
      <w:r>
        <w:rPr>
          <w:rStyle w:val="DecValTok"/>
        </w:rPr>
        <w:t xml:space="preserve">4</w:t>
      </w:r>
      <w:r>
        <w:rPr>
          <w:rStyle w:val="NormalTok"/>
        </w:rPr>
        <w:t xml:space="preserve">:]])</w:t>
      </w:r>
      <w:r>
        <w:br/>
      </w:r>
      <w:r>
        <w:rPr>
          <w:rStyle w:val="NormalTok"/>
        </w:rPr>
        <w:t xml:space="preserve">    </w:t>
      </w:r>
      <w:r>
        <w:rPr>
          <w:rStyle w:val="ControlFlowTok"/>
        </w:rPr>
        <w:t xml:space="preserve">assert</w:t>
      </w:r>
      <w:r>
        <w:rPr>
          <w:rStyle w:val="NormalTok"/>
        </w:rPr>
        <w:t xml:space="preserve"> joined[</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DecValTok"/>
        </w:rPr>
        <w:t xml:space="preserve">0</w:t>
      </w:r>
      <w:r>
        <w:rPr>
          <w:rStyle w:val="NormalTok"/>
        </w:rPr>
        <w:t xml:space="preserve">, </w:t>
      </w:r>
      <w:r>
        <w:rPr>
          <w:rStyle w:val="StringTok"/>
        </w:rPr>
        <w:t xml:space="preserve">"IN"</w:t>
      </w:r>
      <w:r>
        <w:rPr>
          <w:rStyle w:val="NormalTok"/>
        </w:rPr>
        <w:t xml:space="preserve">), (</w:t>
      </w:r>
      <w:r>
        <w:rPr>
          <w:rStyle w:val="DecValTok"/>
        </w:rPr>
        <w:t xml:space="preserve">104</w:t>
      </w:r>
      <w:r>
        <w:rPr>
          <w:rStyle w:val="NormalTok"/>
        </w:rPr>
        <w:t xml:space="preserve">, </w:t>
      </w:r>
      <w:r>
        <w:rPr>
          <w:rStyle w:val="DecValTok"/>
        </w:rPr>
        <w:t xml:space="preserve">40</w:t>
      </w:r>
      <w:r>
        <w:rPr>
          <w:rStyle w:val="NormalTok"/>
        </w:rPr>
        <w:t xml:space="preserve">, </w:t>
      </w:r>
      <w:r>
        <w:rPr>
          <w:rStyle w:val="StringTok"/>
        </w:rPr>
        <w:t xml:space="preserve">"IN"</w:t>
      </w:r>
      <w:r>
        <w:rPr>
          <w:rStyle w:val="NormalTok"/>
        </w:rPr>
        <w:t xml:space="preserve">)]</w:t>
      </w:r>
      <w:r>
        <w:br/>
      </w:r>
      <w:r>
        <w:rPr>
          <w:rStyle w:val="NormalTok"/>
        </w:rPr>
        <w:t xml:space="preserve">    </w:t>
      </w:r>
      <w:r>
        <w:rPr>
          <w:rStyle w:val="ControlFlowTok"/>
        </w:rPr>
        <w:t xml:space="preserve">assert</w:t>
      </w:r>
      <w:r>
        <w:rPr>
          <w:rStyle w:val="NormalTok"/>
        </w:rPr>
        <w:t xml:space="preserve"> joined[</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103</w:t>
      </w:r>
      <w:r>
        <w:rPr>
          <w:rStyle w:val="NormalTok"/>
        </w:rPr>
        <w:t xml:space="preserve">, </w:t>
      </w:r>
      <w:r>
        <w:rPr>
          <w:rStyle w:val="DecValTok"/>
        </w:rPr>
        <w:t xml:space="preserve">30</w:t>
      </w:r>
      <w:r>
        <w:rPr>
          <w:rStyle w:val="NormalTok"/>
        </w:rPr>
        <w:t xml:space="preserve">, </w:t>
      </w:r>
      <w:r>
        <w:rPr>
          <w:rStyle w:val="VariableTok"/>
        </w:rPr>
        <w:t xml:space="preserve">None</w:t>
      </w:r>
      <w:r>
        <w:rPr>
          <w:rStyle w:val="NormalTok"/>
        </w:rPr>
        <w:t xml:space="preserve">), (</w:t>
      </w:r>
      <w:r>
        <w:rPr>
          <w:rStyle w:val="DecValTok"/>
        </w:rPr>
        <w:t xml:space="preserve">107</w:t>
      </w:r>
      <w:r>
        <w:rPr>
          <w:rStyle w:val="NormalTok"/>
        </w:rPr>
        <w:t xml:space="preserve">, </w:t>
      </w:r>
      <w:r>
        <w:rPr>
          <w:rStyle w:val="DecValTok"/>
        </w:rPr>
        <w:t xml:space="preserve">70</w:t>
      </w:r>
      <w:r>
        <w:rPr>
          <w:rStyle w:val="NormalTok"/>
        </w:rPr>
        <w:t xml:space="preserve">, </w:t>
      </w:r>
      <w:r>
        <w:rPr>
          <w:rStyle w:val="VariableTok"/>
        </w:rPr>
        <w:t xml:space="preserve">None</w:t>
      </w:r>
      <w:r>
        <w:rPr>
          <w:rStyle w:val="NormalTok"/>
        </w:rPr>
        <w:t xml:space="preserve">)]   </w:t>
      </w:r>
      <w:r>
        <w:rPr>
          <w:rStyle w:val="CommentTok"/>
        </w:rPr>
        <w:t xml:space="preserve"># orphan orders keep country None</w:t>
      </w:r>
      <w:r>
        <w:br/>
      </w:r>
      <w:r>
        <w:rPr>
          <w:rStyle w:val="NormalTok"/>
        </w:rPr>
        <w:t xml:space="preserve">    </w:t>
      </w:r>
      <w:r>
        <w:rPr>
          <w:rStyle w:val="BuiltInTok"/>
        </w:rPr>
        <w:t xml:space="preserve">print</w:t>
      </w:r>
      <w:r>
        <w:rPr>
          <w:rStyle w:val="NormalTok"/>
        </w:rPr>
        <w:t xml:space="preserve">(</w:t>
      </w:r>
      <w:r>
        <w:rPr>
          <w:rStyle w:val="StringTok"/>
        </w:rPr>
        <w:t xml:space="preserve">"join, user 2:"</w:t>
      </w:r>
      <w:r>
        <w:rPr>
          <w:rStyle w:val="NormalTok"/>
        </w:rPr>
        <w:t xml:space="preserve">, joined[</w:t>
      </w:r>
      <w:r>
        <w:rPr>
          <w:rStyle w:val="DecValTok"/>
        </w:rPr>
        <w:t xml:space="preserve">2</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"all tests passed"</w:t>
      </w:r>
      <w:r>
        <w:rPr>
          <w:rStyle w:val="NormalTok"/>
        </w:rPr>
        <w:t xml:space="preserve">)</w:t>
      </w:r>
    </w:p>
    <w:p>
      <w:pPr>
        <w:pStyle w:val="FirstParagraph"/>
      </w:pPr>
      <w:r>
        <w:t xml:space="preserve">Output:</w:t>
      </w:r>
    </w:p>
    <w:p>
      <w:pPr>
        <w:pStyle w:val="SourceCode"/>
      </w:pPr>
      <w:r>
        <w:rPr>
          <w:rStyle w:val="VerbatimChar"/>
        </w:rPr>
        <w:t xml:space="preserve">distinct words: 15  'the' = 1200</w:t>
      </w:r>
      <w:r>
        <w:br/>
      </w:r>
      <w:r>
        <w:rPr>
          <w:rStyle w:val="VerbatimChar"/>
        </w:rPr>
        <w:t xml:space="preserve">map output records: 4800</w:t>
      </w:r>
      <w:r>
        <w:br/>
      </w:r>
      <w:r>
        <w:rPr>
          <w:rStyle w:val="VerbatimChar"/>
        </w:rPr>
        <w:t xml:space="preserve">shuffled without combiner: 4800</w:t>
      </w:r>
      <w:r>
        <w:br/>
      </w:r>
      <w:r>
        <w:rPr>
          <w:rStyle w:val="VerbatimChar"/>
        </w:rPr>
        <w:t xml:space="preserve">shuffled with combiner:    150</w:t>
      </w:r>
      <w:r>
        <w:br/>
      </w:r>
      <w:r>
        <w:rPr>
          <w:rStyle w:val="VerbatimChar"/>
        </w:rPr>
        <w:t xml:space="preserve">re-executed map tasks: 2</w:t>
      </w:r>
      <w:r>
        <w:br/>
      </w:r>
      <w:r>
        <w:rPr>
          <w:rStyle w:val="VerbatimChar"/>
        </w:rPr>
        <w:t xml:space="preserve">join, user 2: [(101, 10, 'US'), (105, 50, 'US')]</w:t>
      </w:r>
      <w:r>
        <w:br/>
      </w:r>
      <w:r>
        <w:rPr>
          <w:rStyle w:val="VerbatimChar"/>
        </w:rPr>
        <w:t xml:space="preserve">all tests passed</w:t>
      </w:r>
    </w:p>
    <w:p>
      <w:pPr>
        <w:pStyle w:val="FirstParagraph"/>
      </w:pPr>
      <w:r>
        <w:t xml:space="preserve">What to notice:</w:t>
      </w:r>
    </w:p>
    <w:p>
      <w:pPr>
        <w:numPr>
          <w:ilvl w:val="0"/>
          <w:numId w:val="1942"/>
        </w:numPr>
        <w:pStyle w:val="Compact"/>
      </w:pPr>
      <w:r>
        <w:rPr>
          <w:rStyle w:val="VerbatimChar"/>
        </w:rPr>
        <w:t xml:space="preserve">hash_partition</w:t>
      </w:r>
      <w:r>
        <w:t xml:space="preserve"> </w:t>
      </w:r>
      <w:r>
        <w:t xml:space="preserve">uses CRC32, not Python’s</w:t>
      </w:r>
      <w:r>
        <w:t xml:space="preserve"> </w:t>
      </w:r>
      <w:r>
        <w:rPr>
          <w:rStyle w:val="VerbatimChar"/>
        </w:rPr>
        <w:t xml:space="preserve">hash()</w:t>
      </w:r>
      <w:r>
        <w:t xml:space="preserve">, because every mapper must send a key to the</w:t>
      </w:r>
      <w:r>
        <w:t xml:space="preserve"> </w:t>
      </w:r>
      <w:r>
        <w:rPr>
          <w:iCs/>
          <w:i/>
        </w:rPr>
        <w:t xml:space="preserve">same</w:t>
      </w:r>
      <w:r>
        <w:t xml:space="preserve"> </w:t>
      </w:r>
      <w:r>
        <w:t xml:space="preserve">reducer; a per-process salted hash would scatter a key across reducers and give wrong counts.</w:t>
      </w:r>
    </w:p>
    <w:p>
      <w:pPr>
        <w:numPr>
          <w:ilvl w:val="0"/>
          <w:numId w:val="1942"/>
        </w:numPr>
        <w:pStyle w:val="Compact"/>
      </w:pPr>
      <w:r>
        <w:t xml:space="preserve">The combiner cut shuffled records from 4,800 to 150 (10 splits × 15 distinct words) without changing the answer, because addition is associative and commutative.</w:t>
      </w:r>
    </w:p>
    <w:p>
      <w:pPr>
        <w:numPr>
          <w:ilvl w:val="0"/>
          <w:numId w:val="1942"/>
        </w:numPr>
        <w:pStyle w:val="Compact"/>
      </w:pPr>
      <w:r>
        <w:t xml:space="preserve">Two map tasks crashed and were rerun; the output is identical, because a map task depends only on its immutable split.</w:t>
      </w:r>
    </w:p>
    <w:p>
      <w:pPr>
        <w:numPr>
          <w:ilvl w:val="0"/>
          <w:numId w:val="1942"/>
        </w:numPr>
        <w:pStyle w:val="Compact"/>
      </w:pPr>
      <w:r>
        <w:rPr>
          <w:rStyle w:val="VerbatimChar"/>
        </w:rPr>
        <w:t xml:space="preserve">heapq.merge</w:t>
      </w:r>
      <w:r>
        <w:t xml:space="preserve"> </w:t>
      </w:r>
      <w:r>
        <w:t xml:space="preserve">is the reduce-side merge of sorted runs: it never loads all values for all keys at once, which is how real reducers handle partitions larger than memory.</w:t>
      </w:r>
    </w:p>
    <w:bookmarkEnd w:id="3250"/>
    <w:bookmarkStart w:id="3251" w:name="mathematical-foundations-58"/>
    <w:p>
      <w:pPr>
        <w:pStyle w:val="Heading4"/>
      </w:pPr>
      <w:r>
        <w:t xml:space="preserve">Mathematical foundations</w:t>
      </w:r>
    </w:p>
    <w:p>
      <w:pPr>
        <w:pStyle w:val="CalloutFormula"/>
      </w:pPr>
      <w:r>
        <w:rPr>
          <w:bCs/>
          <w:b/>
        </w:rPr>
        <w:t xml:space="preserve">FORMULA</w:t>
      </w:r>
    </w:p>
    <w:p>
      <w:pPr>
        <w:pStyle w:val="CalloutFormula"/>
      </w:pPr>
      <w:r>
        <w:rPr>
          <w:bCs/>
          <w:b/>
        </w:rPr>
        <w:t xml:space="preserve">MapReduce job time (first-order estimate)</w:t>
      </w:r>
    </w:p>
    <w:p>
      <w:pPr>
        <w:pStyle w:val="CalloutFormula"/>
      </w:pPr>
      <m:oMathPara>
        <m:oMathParaPr>
          <m:jc m:val="center"/>
        </m:oMathParaPr>
        <m:oMath>
          <m:sSub>
            <m:e>
              <m:r>
                <m:t>T</m:t>
              </m:r>
            </m:e>
            <m:sub>
              <m:r>
                <m:rPr>
                  <m:nor/>
                  <m:sty m:val="p"/>
                </m:rPr>
                <m:t>job</m:t>
              </m:r>
            </m:sub>
          </m:sSub>
          <m:r>
            <m:rPr>
              <m:sty m:val="p"/>
            </m:rPr>
            <m:t>≈</m:t>
          </m:r>
          <m:sSub>
            <m:e>
              <m:r>
                <m:t>T</m:t>
              </m:r>
            </m:e>
            <m:sub>
              <m:r>
                <m:t>0</m:t>
              </m:r>
            </m:sub>
          </m:sSub>
          <m:r>
            <m:rPr>
              <m:sty m:val="p"/>
            </m:rPr>
            <m:t>+</m:t>
          </m:r>
          <m:d>
            <m:dPr>
              <m:begChr m:val="⌈"/>
              <m:endChr m:val="⌉"/>
              <m:sepChr m:val=""/>
              <m:grow/>
            </m:dPr>
            <m:e>
              <m:f>
                <m:fPr>
                  <m:type m:val="bar"/>
                </m:fPr>
                <m:num>
                  <m:r>
                    <m:t>M</m:t>
                  </m:r>
                </m:num>
                <m:den>
                  <m:r>
                    <m:t>N</m:t>
                  </m:r>
                  <m:sSub>
                    <m:e>
                      <m:r>
                        <m:t>s</m:t>
                      </m:r>
                    </m:e>
                    <m:sub>
                      <m:r>
                        <m:t>m</m:t>
                      </m:r>
                    </m:sub>
                  </m:sSub>
                </m:den>
              </m:f>
            </m:e>
          </m:d>
          <m:f>
            <m:fPr>
              <m:type m:val="bar"/>
            </m:fPr>
            <m:num>
              <m:r>
                <m:t>C</m:t>
              </m:r>
            </m:num>
            <m:den>
              <m:sSub>
                <m:e>
                  <m:r>
                    <m:t>r</m:t>
                  </m:r>
                </m:e>
                <m:sub>
                  <m:r>
                    <m:t>m</m:t>
                  </m:r>
                </m:sub>
              </m:sSub>
            </m:den>
          </m:f>
          <m:r>
            <m:rPr>
              <m:sty m:val="p"/>
            </m:rPr>
            <m:t>+</m:t>
          </m:r>
          <m:f>
            <m:fPr>
              <m:type m:val="bar"/>
            </m:fPr>
            <m:num>
              <m:r>
                <m:t>σ</m:t>
              </m:r>
              <m:r>
                <m:t>D</m:t>
              </m:r>
            </m:num>
            <m:den>
              <m:r>
                <m:t>N</m:t>
              </m:r>
              <m:r>
                <m:t>B</m:t>
              </m:r>
            </m:den>
          </m:f>
          <m:r>
            <m:rPr>
              <m:sty m:val="p"/>
            </m:rPr>
            <m:t>+</m:t>
          </m:r>
          <m:d>
            <m:dPr>
              <m:begChr m:val="⌈"/>
              <m:endChr m:val="⌉"/>
              <m:sepChr m:val=""/>
              <m:grow/>
            </m:dPr>
            <m:e>
              <m:f>
                <m:fPr>
                  <m:type m:val="bar"/>
                </m:fPr>
                <m:num>
                  <m:r>
                    <m:t>R</m:t>
                  </m:r>
                </m:num>
                <m:den>
                  <m:r>
                    <m:t>N</m:t>
                  </m:r>
                  <m:sSub>
                    <m:e>
                      <m:r>
                        <m:t>s</m:t>
                      </m:r>
                    </m:e>
                    <m:sub>
                      <m:r>
                        <m:t>r</m:t>
                      </m:r>
                    </m:sub>
                  </m:sSub>
                </m:den>
              </m:f>
            </m:e>
          </m:d>
          <m:f>
            <m:fPr>
              <m:type m:val="bar"/>
            </m:fPr>
            <m:num>
              <m:r>
                <m:t>σ</m:t>
              </m:r>
              <m:r>
                <m:t>D</m:t>
              </m:r>
              <m:r>
                <m:rPr>
                  <m:sty m:val="p"/>
                </m:rPr>
                <m:t>/</m:t>
              </m:r>
              <m:r>
                <m:t>R</m:t>
              </m:r>
            </m:num>
            <m:den>
              <m:sSub>
                <m:e>
                  <m:r>
                    <m:t>r</m:t>
                  </m:r>
                </m:e>
                <m:sub>
                  <m:r>
                    <m:t>r</m:t>
                  </m:r>
                </m:sub>
              </m:sSub>
            </m:den>
          </m:f>
          <m:r>
            <m:rPr>
              <m:sty m:val="p"/>
            </m:rPr>
            <m:t>,</m:t>
          </m:r>
          <m:r>
            <m:t>  </m:t>
          </m:r>
          <m:r>
            <m:t>M</m:t>
          </m:r>
          <m:r>
            <m:rPr>
              <m:sty m:val="p"/>
            </m:rPr>
            <m:t>=</m:t>
          </m:r>
          <m:d>
            <m:dPr>
              <m:begChr m:val="⌈"/>
              <m:endChr m:val="⌉"/>
              <m:sepChr m:val=""/>
              <m:grow/>
            </m:dPr>
            <m:e>
              <m:f>
                <m:fPr>
                  <m:type m:val="bar"/>
                </m:fPr>
                <m:num>
                  <m:r>
                    <m:t>D</m:t>
                  </m:r>
                </m:num>
                <m:den>
                  <m:r>
                    <m:t>C</m:t>
                  </m:r>
                </m:den>
              </m:f>
            </m:e>
          </m:d>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T</m:t>
                  </m:r>
                </m:e>
                <m:sub>
                  <m:r>
                    <m:t>0</m:t>
                  </m:r>
                </m:sub>
              </m:sSub>
            </m:oMath>
          </w:p>
        </w:tc>
        <w:tc>
          <w:tcPr/>
          <w:p>
            <w:pPr>
              <w:pStyle w:val="Compact"/>
              <w:jc w:val="left"/>
            </w:pPr>
            <w:r>
              <w:t xml:space="preserve">Job start-up and commit overhead</w:t>
            </w:r>
          </w:p>
        </w:tc>
        <w:tc>
          <w:tcPr/>
          <w:p>
            <w:pPr>
              <w:pStyle w:val="Compact"/>
              <w:jc w:val="left"/>
            </w:pPr>
            <w:r>
              <w:t xml:space="preserve">s</w:t>
            </w:r>
          </w:p>
        </w:tc>
      </w:tr>
      <w:tr>
        <w:tc>
          <w:tcPr/>
          <w:p>
            <w:pPr>
              <w:pStyle w:val="Compact"/>
              <w:jc w:val="left"/>
            </w:pPr>
            <m:oMath>
              <m:r>
                <m:t>D</m:t>
              </m:r>
            </m:oMath>
          </w:p>
        </w:tc>
        <w:tc>
          <w:tcPr/>
          <w:p>
            <w:pPr>
              <w:pStyle w:val="Compact"/>
              <w:jc w:val="left"/>
            </w:pPr>
            <w:r>
              <w:t xml:space="preserve">Input size</w:t>
            </w:r>
          </w:p>
        </w:tc>
        <w:tc>
          <w:tcPr/>
          <w:p>
            <w:pPr>
              <w:pStyle w:val="Compact"/>
              <w:jc w:val="left"/>
            </w:pPr>
            <w:r>
              <w:t xml:space="preserve">bytes</w:t>
            </w:r>
          </w:p>
        </w:tc>
      </w:tr>
      <w:tr>
        <w:tc>
          <w:tcPr/>
          <w:p>
            <w:pPr>
              <w:pStyle w:val="Compact"/>
              <w:jc w:val="left"/>
            </w:pPr>
            <m:oMath>
              <m:r>
                <m:t>C</m:t>
              </m:r>
            </m:oMath>
          </w:p>
        </w:tc>
        <w:tc>
          <w:tcPr/>
          <w:p>
            <w:pPr>
              <w:pStyle w:val="Compact"/>
              <w:jc w:val="left"/>
            </w:pPr>
            <w:r>
              <w:t xml:space="preserve">Split size</w:t>
            </w:r>
          </w:p>
        </w:tc>
        <w:tc>
          <w:tcPr/>
          <w:p>
            <w:pPr>
              <w:pStyle w:val="Compact"/>
              <w:jc w:val="left"/>
            </w:pPr>
            <w:r>
              <w:t xml:space="preserve">bytes</w:t>
            </w:r>
          </w:p>
        </w:tc>
      </w:tr>
      <w:tr>
        <w:tc>
          <w:tcPr/>
          <w:p>
            <w:pPr>
              <w:pStyle w:val="Compact"/>
              <w:jc w:val="left"/>
            </w:pPr>
            <m:oMath>
              <m:r>
                <m:t>M</m:t>
              </m:r>
              <m:r>
                <m:rPr>
                  <m:sty m:val="p"/>
                </m:rPr>
                <m:t>,</m:t>
              </m:r>
              <m:r>
                <m:t>R</m:t>
              </m:r>
            </m:oMath>
          </w:p>
        </w:tc>
        <w:tc>
          <w:tcPr/>
          <w:p>
            <w:pPr>
              <w:pStyle w:val="Compact"/>
              <w:jc w:val="left"/>
            </w:pPr>
            <w:r>
              <w:t xml:space="preserve">Number of map and reduce tasks</w:t>
            </w:r>
          </w:p>
        </w:tc>
        <w:tc>
          <w:tcPr/>
          <w:p>
            <w:pPr>
              <w:pStyle w:val="Compact"/>
              <w:jc w:val="left"/>
            </w:pPr>
            <w:r>
              <w:t xml:space="preserve">count</w:t>
            </w:r>
          </w:p>
        </w:tc>
      </w:tr>
      <w:tr>
        <w:tc>
          <w:tcPr/>
          <w:p>
            <w:pPr>
              <w:pStyle w:val="Compact"/>
              <w:jc w:val="left"/>
            </w:pPr>
            <m:oMath>
              <m:r>
                <m:t>N</m:t>
              </m:r>
            </m:oMath>
          </w:p>
        </w:tc>
        <w:tc>
          <w:tcPr/>
          <w:p>
            <w:pPr>
              <w:pStyle w:val="Compact"/>
              <w:jc w:val="left"/>
            </w:pPr>
            <w:r>
              <w:t xml:space="preserve">Worker nodes</w:t>
            </w:r>
          </w:p>
        </w:tc>
        <w:tc>
          <w:tcPr/>
          <w:p>
            <w:pPr>
              <w:pStyle w:val="Compact"/>
              <w:jc w:val="left"/>
            </w:pPr>
            <w:r>
              <w:t xml:space="preserve">count</w:t>
            </w:r>
          </w:p>
        </w:tc>
      </w:tr>
      <w:tr>
        <w:tc>
          <w:tcPr/>
          <w:p>
            <w:pPr>
              <w:pStyle w:val="Compact"/>
              <w:jc w:val="left"/>
            </w:pPr>
            <m:oMath>
              <m:sSub>
                <m:e>
                  <m:r>
                    <m:t>s</m:t>
                  </m:r>
                </m:e>
                <m:sub>
                  <m:r>
                    <m:t>m</m:t>
                  </m:r>
                </m:sub>
              </m:sSub>
              <m:r>
                <m:rPr>
                  <m:sty m:val="p"/>
                </m:rPr>
                <m:t>,</m:t>
              </m:r>
              <m:sSub>
                <m:e>
                  <m:r>
                    <m:t>s</m:t>
                  </m:r>
                </m:e>
                <m:sub>
                  <m:r>
                    <m:t>r</m:t>
                  </m:r>
                </m:sub>
              </m:sSub>
            </m:oMath>
          </w:p>
        </w:tc>
        <w:tc>
          <w:tcPr/>
          <w:p>
            <w:pPr>
              <w:pStyle w:val="Compact"/>
              <w:jc w:val="left"/>
            </w:pPr>
            <w:r>
              <w:t xml:space="preserve">Map and reduce slots (concurrent tasks) per node</w:t>
            </w:r>
          </w:p>
        </w:tc>
        <w:tc>
          <w:tcPr/>
          <w:p>
            <w:pPr>
              <w:pStyle w:val="Compact"/>
              <w:jc w:val="left"/>
            </w:pPr>
            <w:r>
              <w:t xml:space="preserve">count</w:t>
            </w:r>
          </w:p>
        </w:tc>
      </w:tr>
      <w:tr>
        <w:tc>
          <w:tcPr/>
          <w:p>
            <w:pPr>
              <w:pStyle w:val="Compact"/>
              <w:jc w:val="left"/>
            </w:pPr>
            <m:oMath>
              <m:sSub>
                <m:e>
                  <m:r>
                    <m:t>r</m:t>
                  </m:r>
                </m:e>
                <m:sub>
                  <m:r>
                    <m:t>m</m:t>
                  </m:r>
                </m:sub>
              </m:sSub>
              <m:r>
                <m:rPr>
                  <m:sty m:val="p"/>
                </m:rPr>
                <m:t>,</m:t>
              </m:r>
              <m:sSub>
                <m:e>
                  <m:r>
                    <m:t>r</m:t>
                  </m:r>
                </m:e>
                <m:sub>
                  <m:r>
                    <m:t>r</m:t>
                  </m:r>
                </m:sub>
              </m:sSub>
            </m:oMath>
          </w:p>
        </w:tc>
        <w:tc>
          <w:tcPr/>
          <w:p>
            <w:pPr>
              <w:pStyle w:val="Compact"/>
              <w:jc w:val="left"/>
            </w:pPr>
            <w:r>
              <w:t xml:space="preserve">Per-task processing rate of map and reduce</w:t>
            </w:r>
          </w:p>
        </w:tc>
        <w:tc>
          <w:tcPr/>
          <w:p>
            <w:pPr>
              <w:pStyle w:val="Compact"/>
              <w:jc w:val="left"/>
            </w:pPr>
            <w:r>
              <w:t xml:space="preserve">bytes/s</w:t>
            </w:r>
          </w:p>
        </w:tc>
      </w:tr>
      <w:tr>
        <w:tc>
          <w:tcPr/>
          <w:p>
            <w:pPr>
              <w:pStyle w:val="Compact"/>
              <w:jc w:val="left"/>
            </w:pPr>
            <m:oMath>
              <m:r>
                <m:t>σ</m:t>
              </m:r>
            </m:oMath>
          </w:p>
        </w:tc>
        <w:tc>
          <w:tcPr/>
          <w:p>
            <w:pPr>
              <w:pStyle w:val="Compact"/>
              <w:jc w:val="left"/>
            </w:pPr>
            <w:r>
              <w:t xml:space="preserve">Shuffle ratio: map output bytes ÷ input bytes, after any combiner</w:t>
            </w:r>
          </w:p>
        </w:tc>
        <w:tc>
          <w:tcPr/>
          <w:p>
            <w:pPr>
              <w:pStyle w:val="Compact"/>
              <w:jc w:val="left"/>
            </w:pPr>
            <w:r>
              <w:t xml:space="preserve">dimensionless</w:t>
            </w:r>
          </w:p>
        </w:tc>
      </w:tr>
      <w:tr>
        <w:tc>
          <w:tcPr/>
          <w:p>
            <w:pPr>
              <w:pStyle w:val="Compact"/>
              <w:jc w:val="left"/>
            </w:pPr>
            <m:oMath>
              <m:r>
                <m:t>B</m:t>
              </m:r>
            </m:oMath>
          </w:p>
        </w:tc>
        <w:tc>
          <w:tcPr/>
          <w:p>
            <w:pPr>
              <w:pStyle w:val="Compact"/>
              <w:jc w:val="left"/>
            </w:pPr>
            <w:r>
              <w:t xml:space="preserve">Effective per-node shuffle network bandwidth</w:t>
            </w:r>
          </w:p>
        </w:tc>
        <w:tc>
          <w:tcPr/>
          <w:p>
            <w:pPr>
              <w:pStyle w:val="Compact"/>
              <w:jc w:val="left"/>
            </w:pPr>
            <w:r>
              <w:t xml:space="preserve">bytes/s</w:t>
            </w:r>
          </w:p>
        </w:tc>
      </w:tr>
    </w:tbl>
    <w:p>
      <w:pPr>
        <w:pStyle w:val="CalloutExample"/>
      </w:pPr>
      <w:r>
        <w:rPr>
          <w:bCs/>
          <w:b/>
        </w:rPr>
        <w:t xml:space="preserve">WORKED EXAMPLE</w:t>
      </w:r>
    </w:p>
    <w:p>
      <w:pPr>
        <w:pStyle w:val="CalloutExample"/>
      </w:pPr>
      <w:r>
        <w:rPr>
          <w:bCs/>
          <w:b/>
        </w:rPr>
        <w:t xml:space="preserve">Worked example — A 1 TB log aggregation on 50 nodes.</w:t>
      </w:r>
      <w:r>
        <w:t xml:space="preserve"> </w:t>
      </w:r>
      <m:oMath>
        <m:r>
          <m:t>D</m:t>
        </m:r>
        <m:r>
          <m:rPr>
            <m:sty m:val="p"/>
          </m:rPr>
          <m:t>=</m:t>
        </m:r>
        <m:sSup>
          <m:e>
            <m:r>
              <m:t>10</m:t>
            </m:r>
          </m:e>
          <m:sup>
            <m:r>
              <m:t>12</m:t>
            </m:r>
          </m:sup>
        </m:sSup>
      </m:oMath>
      <w:r>
        <w:t xml:space="preserve"> </w:t>
      </w:r>
      <w:r>
        <w:t xml:space="preserve">B,</w:t>
      </w:r>
      <w:r>
        <w:t xml:space="preserve"> </w:t>
      </w:r>
      <m:oMath>
        <m:r>
          <m:t>C</m:t>
        </m:r>
        <m:r>
          <m:rPr>
            <m:sty m:val="p"/>
          </m:rPr>
          <m:t>=</m:t>
        </m:r>
        <m:r>
          <m:t>128</m:t>
        </m:r>
      </m:oMath>
      <w:r>
        <w:t xml:space="preserve"> </w:t>
      </w:r>
      <w:r>
        <w:t xml:space="preserve">MB,</w:t>
      </w:r>
      <w:r>
        <w:t xml:space="preserve"> </w:t>
      </w:r>
      <m:oMath>
        <m:r>
          <m:t>N</m:t>
        </m:r>
        <m:r>
          <m:rPr>
            <m:sty m:val="p"/>
          </m:rPr>
          <m:t>=</m:t>
        </m:r>
        <m:r>
          <m:t>50</m:t>
        </m:r>
      </m:oMath>
      <w:r>
        <w:t xml:space="preserve"> </w:t>
      </w:r>
      <w:r>
        <w:t xml:space="preserve">nodes with</w:t>
      </w:r>
      <w:r>
        <w:t xml:space="preserve"> </w:t>
      </w:r>
      <m:oMath>
        <m:sSub>
          <m:e>
            <m:r>
              <m:t>s</m:t>
            </m:r>
          </m:e>
          <m:sub>
            <m:r>
              <m:t>m</m:t>
            </m:r>
          </m:sub>
        </m:sSub>
        <m:r>
          <m:rPr>
            <m:sty m:val="p"/>
          </m:rPr>
          <m:t>=</m:t>
        </m:r>
        <m:r>
          <m:t>16</m:t>
        </m:r>
      </m:oMath>
      <w:r>
        <w:t xml:space="preserve"> </w:t>
      </w:r>
      <w:r>
        <w:t xml:space="preserve">map slots and</w:t>
      </w:r>
      <w:r>
        <w:t xml:space="preserve"> </w:t>
      </w:r>
      <m:oMath>
        <m:sSub>
          <m:e>
            <m:r>
              <m:t>s</m:t>
            </m:r>
          </m:e>
          <m:sub>
            <m:r>
              <m:t>r</m:t>
            </m:r>
          </m:sub>
        </m:sSub>
        <m:r>
          <m:rPr>
            <m:sty m:val="p"/>
          </m:rPr>
          <m:t>=</m:t>
        </m:r>
        <m:r>
          <m:t>8</m:t>
        </m:r>
      </m:oMath>
      <w:r>
        <w:t xml:space="preserve"> </w:t>
      </w:r>
      <w:r>
        <w:t xml:space="preserve">reduce slots,</w:t>
      </w:r>
      <w:r>
        <w:t xml:space="preserve"> </w:t>
      </w:r>
      <m:oMath>
        <m:sSub>
          <m:e>
            <m:r>
              <m:t>r</m:t>
            </m:r>
          </m:e>
          <m:sub>
            <m:r>
              <m:t>m</m:t>
            </m:r>
          </m:sub>
        </m:sSub>
        <m:r>
          <m:rPr>
            <m:sty m:val="p"/>
          </m:rPr>
          <m:t>=</m:t>
        </m:r>
        <m:r>
          <m:t>10</m:t>
        </m:r>
      </m:oMath>
      <w:r>
        <w:t xml:space="preserve"> </w:t>
      </w:r>
      <w:r>
        <w:t xml:space="preserve">MB/s (parsing-heavy),</w:t>
      </w:r>
      <w:r>
        <w:t xml:space="preserve"> </w:t>
      </w:r>
      <m:oMath>
        <m:r>
          <m:t>σ</m:t>
        </m:r>
        <m:r>
          <m:rPr>
            <m:sty m:val="p"/>
          </m:rPr>
          <m:t>=</m:t>
        </m:r>
        <m:r>
          <m:t>0.3</m:t>
        </m:r>
      </m:oMath>
      <w:r>
        <w:t xml:space="preserve">,</w:t>
      </w:r>
      <w:r>
        <w:t xml:space="preserve"> </w:t>
      </w:r>
      <m:oMath>
        <m:r>
          <m:t>B</m:t>
        </m:r>
        <m:r>
          <m:rPr>
            <m:sty m:val="p"/>
          </m:rPr>
          <m:t>=</m:t>
        </m:r>
        <m:r>
          <m:t>1</m:t>
        </m:r>
      </m:oMath>
      <w:r>
        <w:t xml:space="preserve"> </w:t>
      </w:r>
      <w:r>
        <w:t xml:space="preserve">GB/s,</w:t>
      </w:r>
      <w:r>
        <w:t xml:space="preserve"> </w:t>
      </w:r>
      <m:oMath>
        <m:r>
          <m:t>R</m:t>
        </m:r>
        <m:r>
          <m:rPr>
            <m:sty m:val="p"/>
          </m:rPr>
          <m:t>=</m:t>
        </m:r>
        <m:r>
          <m:t>400</m:t>
        </m:r>
      </m:oMath>
      <w:r>
        <w:t xml:space="preserve">,</w:t>
      </w:r>
      <w:r>
        <w:t xml:space="preserve"> </w:t>
      </w:r>
      <m:oMath>
        <m:sSub>
          <m:e>
            <m:r>
              <m:t>r</m:t>
            </m:r>
          </m:e>
          <m:sub>
            <m:r>
              <m:t>r</m:t>
            </m:r>
          </m:sub>
        </m:sSub>
        <m:r>
          <m:rPr>
            <m:sty m:val="p"/>
          </m:rPr>
          <m:t>=</m:t>
        </m:r>
        <m:r>
          <m:t>20</m:t>
        </m:r>
      </m:oMath>
      <w:r>
        <w:t xml:space="preserve"> </w:t>
      </w:r>
      <w:r>
        <w:t xml:space="preserve">MB/s,</w:t>
      </w:r>
      <w:r>
        <w:t xml:space="preserve"> </w:t>
      </w:r>
      <m:oMath>
        <m:sSub>
          <m:e>
            <m:r>
              <m:t>T</m:t>
            </m:r>
          </m:e>
          <m:sub>
            <m:r>
              <m:t>0</m:t>
            </m:r>
          </m:sub>
        </m:sSub>
        <m:r>
          <m:rPr>
            <m:sty m:val="p"/>
          </m:rPr>
          <m:t>=</m:t>
        </m:r>
        <m:r>
          <m:t>20</m:t>
        </m:r>
      </m:oMath>
      <w:r>
        <w:t xml:space="preserve"> </w:t>
      </w:r>
      <w:r>
        <w:t xml:space="preserve">s.</w:t>
      </w:r>
    </w:p>
    <w:p>
      <w:pPr>
        <w:numPr>
          <w:ilvl w:val="0"/>
          <w:numId w:val="1943"/>
        </w:numPr>
        <w:pStyle w:val="Compact"/>
      </w:pPr>
      <w:r>
        <w:t xml:space="preserve">Map tasks:</w:t>
      </w:r>
      <w:r>
        <w:t xml:space="preserve"> </w:t>
      </w:r>
      <m:oMath>
        <m:r>
          <m:t>M</m:t>
        </m:r>
        <m:r>
          <m:rPr>
            <m:sty m:val="p"/>
          </m:rPr>
          <m:t>=</m:t>
        </m:r>
        <m:r>
          <m:rPr>
            <m:sty m:val="p"/>
          </m:rPr>
          <m:t>⌈</m:t>
        </m:r>
        <m:sSup>
          <m:e>
            <m:r>
              <m:t>10</m:t>
            </m:r>
          </m:e>
          <m:sup>
            <m:r>
              <m:t>12</m:t>
            </m:r>
          </m:sup>
        </m:sSup>
        <m:r>
          <m:rPr>
            <m:sty m:val="p"/>
          </m:rPr>
          <m:t>/</m:t>
        </m:r>
        <m:r>
          <m:t>1.28</m:t>
        </m:r>
        <m:r>
          <m:rPr>
            <m:sty m:val="p"/>
          </m:rPr>
          <m:t>×</m:t>
        </m:r>
        <m:sSup>
          <m:e>
            <m:r>
              <m:t>10</m:t>
            </m:r>
          </m:e>
          <m:sup>
            <m:r>
              <m:t>8</m:t>
            </m:r>
          </m:sup>
        </m:sSup>
        <m:r>
          <m:rPr>
            <m:sty m:val="p"/>
          </m:rPr>
          <m:t>⌉</m:t>
        </m:r>
        <m:r>
          <m:rPr>
            <m:sty m:val="p"/>
          </m:rPr>
          <m:t>=</m:t>
        </m:r>
        <m:r>
          <m:t>7</m:t>
        </m:r>
        <m:r>
          <m:rPr>
            <m:sty m:val="p"/>
          </m:rPr>
          <m:t>,</m:t>
        </m:r>
        <m:r>
          <m:t>813</m:t>
        </m:r>
      </m:oMath>
      <w:r>
        <w:t xml:space="preserve">. Slots:</w:t>
      </w:r>
      <w:r>
        <w:t xml:space="preserve"> </w:t>
      </w:r>
      <m:oMath>
        <m:r>
          <m:t>50</m:t>
        </m:r>
        <m:r>
          <m:rPr>
            <m:sty m:val="p"/>
          </m:rPr>
          <m:t>×</m:t>
        </m:r>
        <m:r>
          <m:t>16</m:t>
        </m:r>
        <m:r>
          <m:rPr>
            <m:sty m:val="p"/>
          </m:rPr>
          <m:t>=</m:t>
        </m:r>
        <m:r>
          <m:t>800</m:t>
        </m:r>
      </m:oMath>
      <w:r>
        <w:t xml:space="preserve">. Waves:</w:t>
      </w:r>
      <w:r>
        <w:t xml:space="preserve"> </w:t>
      </w:r>
      <m:oMath>
        <m:r>
          <m:rPr>
            <m:sty m:val="p"/>
          </m:rPr>
          <m:t>⌈</m:t>
        </m:r>
        <m:r>
          <m:t>7</m:t>
        </m:r>
        <m:r>
          <m:rPr>
            <m:sty m:val="p"/>
          </m:rPr>
          <m:t>,</m:t>
        </m:r>
        <m:r>
          <m:t>813</m:t>
        </m:r>
        <m:r>
          <m:rPr>
            <m:sty m:val="p"/>
          </m:rPr>
          <m:t>/</m:t>
        </m:r>
        <m:r>
          <m:t>800</m:t>
        </m:r>
        <m:r>
          <m:rPr>
            <m:sty m:val="p"/>
          </m:rPr>
          <m:t>⌉</m:t>
        </m:r>
        <m:r>
          <m:rPr>
            <m:sty m:val="p"/>
          </m:rPr>
          <m:t>=</m:t>
        </m:r>
        <m:r>
          <m:t>10</m:t>
        </m:r>
      </m:oMath>
      <w:r>
        <w:t xml:space="preserve">.</w:t>
      </w:r>
    </w:p>
    <w:p>
      <w:pPr>
        <w:numPr>
          <w:ilvl w:val="0"/>
          <w:numId w:val="1943"/>
        </w:numPr>
        <w:pStyle w:val="Compact"/>
      </w:pPr>
      <w:r>
        <w:t xml:space="preserve">One map task:</w:t>
      </w:r>
      <w:r>
        <w:t xml:space="preserve"> </w:t>
      </w:r>
      <m:oMath>
        <m:r>
          <m:t>128</m:t>
        </m:r>
        <m:r>
          <m:rPr>
            <m:sty m:val="p"/>
          </m:rPr>
          <m:t>/</m:t>
        </m:r>
        <m:r>
          <m:t>10</m:t>
        </m:r>
        <m:r>
          <m:rPr>
            <m:sty m:val="p"/>
          </m:rPr>
          <m:t>=</m:t>
        </m:r>
        <m:r>
          <m:t>12.8</m:t>
        </m:r>
      </m:oMath>
      <w:r>
        <w:t xml:space="preserve"> </w:t>
      </w:r>
      <w:r>
        <w:t xml:space="preserve">s, so the map phase takes</w:t>
      </w:r>
      <w:r>
        <w:t xml:space="preserve"> </w:t>
      </w:r>
      <m:oMath>
        <m:r>
          <m:t>10</m:t>
        </m:r>
        <m:r>
          <m:rPr>
            <m:sty m:val="p"/>
          </m:rPr>
          <m:t>×</m:t>
        </m:r>
        <m:r>
          <m:t>12.8</m:t>
        </m:r>
        <m:r>
          <m:rPr>
            <m:sty m:val="p"/>
          </m:rPr>
          <m:t>=</m:t>
        </m:r>
        <m:r>
          <m:t>128</m:t>
        </m:r>
      </m:oMath>
      <w:r>
        <w:t xml:space="preserve"> </w:t>
      </w:r>
      <w:r>
        <w:t xml:space="preserve">s.</w:t>
      </w:r>
    </w:p>
    <w:p>
      <w:pPr>
        <w:numPr>
          <w:ilvl w:val="0"/>
          <w:numId w:val="1943"/>
        </w:numPr>
        <w:pStyle w:val="Compact"/>
      </w:pPr>
      <w:r>
        <w:t xml:space="preserve">Shuffle:</w:t>
      </w:r>
      <w:r>
        <w:t xml:space="preserve"> </w:t>
      </w:r>
      <m:oMath>
        <m:r>
          <m:t>σ</m:t>
        </m:r>
        <m:r>
          <m:t>D</m:t>
        </m:r>
        <m:r>
          <m:rPr>
            <m:sty m:val="p"/>
          </m:rPr>
          <m:t>=</m:t>
        </m:r>
        <m:r>
          <m:t>300</m:t>
        </m:r>
      </m:oMath>
      <w:r>
        <w:t xml:space="preserve"> </w:t>
      </w:r>
      <w:r>
        <w:t xml:space="preserve">GB; per node</w:t>
      </w:r>
      <w:r>
        <w:t xml:space="preserve"> </w:t>
      </w:r>
      <m:oMath>
        <m:r>
          <m:t>300</m:t>
        </m:r>
        <m:r>
          <m:rPr>
            <m:sty m:val="p"/>
          </m:rPr>
          <m:t>/</m:t>
        </m:r>
        <m:r>
          <m:t>50</m:t>
        </m:r>
        <m:r>
          <m:rPr>
            <m:sty m:val="p"/>
          </m:rPr>
          <m:t>=</m:t>
        </m:r>
        <m:r>
          <m:t>6</m:t>
        </m:r>
      </m:oMath>
      <w:r>
        <w:t xml:space="preserve"> </w:t>
      </w:r>
      <w:r>
        <w:t xml:space="preserve">GB at 1 GB/s</w:t>
      </w:r>
      <w:r>
        <w:t xml:space="preserve"> </w:t>
      </w:r>
      <m:oMath>
        <m:r>
          <m:rPr>
            <m:sty m:val="p"/>
          </m:rPr>
          <m:t>=</m:t>
        </m:r>
        <m:r>
          <m:t>6</m:t>
        </m:r>
      </m:oMath>
      <w:r>
        <w:t xml:space="preserve"> </w:t>
      </w:r>
      <w:r>
        <w:t xml:space="preserve">s (much of it overlaps the map phase).</w:t>
      </w:r>
    </w:p>
    <w:p>
      <w:pPr>
        <w:numPr>
          <w:ilvl w:val="0"/>
          <w:numId w:val="1943"/>
        </w:numPr>
        <w:pStyle w:val="Compact"/>
      </w:pPr>
      <w:r>
        <w:t xml:space="preserve">Reduce:</w:t>
      </w:r>
      <w:r>
        <w:t xml:space="preserve"> </w:t>
      </w:r>
      <m:oMath>
        <m:r>
          <m:t>50</m:t>
        </m:r>
        <m:r>
          <m:rPr>
            <m:sty m:val="p"/>
          </m:rPr>
          <m:t>×</m:t>
        </m:r>
        <m:r>
          <m:t>8</m:t>
        </m:r>
        <m:r>
          <m:rPr>
            <m:sty m:val="p"/>
          </m:rPr>
          <m:t>=</m:t>
        </m:r>
        <m:r>
          <m:t>400</m:t>
        </m:r>
      </m:oMath>
      <w:r>
        <w:t xml:space="preserve"> </w:t>
      </w:r>
      <w:r>
        <w:t xml:space="preserve">slots, so one wave. Each reducer gets</w:t>
      </w:r>
      <w:r>
        <w:t xml:space="preserve"> </w:t>
      </w:r>
      <m:oMath>
        <m:r>
          <m:t>300</m:t>
        </m:r>
        <m:r>
          <m:rPr>
            <m:nor/>
            <m:sty m:val="p"/>
          </m:rPr>
          <m:t> GB</m:t>
        </m:r>
        <m:r>
          <m:rPr>
            <m:sty m:val="p"/>
          </m:rPr>
          <m:t>/</m:t>
        </m:r>
        <m:r>
          <m:t>400</m:t>
        </m:r>
        <m:r>
          <m:rPr>
            <m:sty m:val="p"/>
          </m:rPr>
          <m:t>=</m:t>
        </m:r>
        <m:r>
          <m:t>750</m:t>
        </m:r>
      </m:oMath>
      <w:r>
        <w:t xml:space="preserve"> </w:t>
      </w:r>
      <w:r>
        <w:t xml:space="preserve">MB, taking</w:t>
      </w:r>
      <w:r>
        <w:t xml:space="preserve"> </w:t>
      </w:r>
      <m:oMath>
        <m:r>
          <m:t>750</m:t>
        </m:r>
        <m:r>
          <m:rPr>
            <m:sty m:val="p"/>
          </m:rPr>
          <m:t>/</m:t>
        </m:r>
        <m:r>
          <m:t>20</m:t>
        </m:r>
        <m:r>
          <m:rPr>
            <m:sty m:val="p"/>
          </m:rPr>
          <m:t>=</m:t>
        </m:r>
        <m:r>
          <m:t>37.5</m:t>
        </m:r>
      </m:oMath>
      <w:r>
        <w:t xml:space="preserve"> </w:t>
      </w:r>
      <w:r>
        <w:t xml:space="preserve">s.</w:t>
      </w:r>
    </w:p>
    <w:p>
      <w:pPr>
        <w:numPr>
          <w:ilvl w:val="0"/>
          <w:numId w:val="1943"/>
        </w:numPr>
        <w:pStyle w:val="Compact"/>
      </w:pPr>
      <w:r>
        <w:t xml:space="preserve">Total:</w:t>
      </w:r>
      <w:r>
        <w:t xml:space="preserve"> </w:t>
      </w:r>
      <m:oMath>
        <m:r>
          <m:t>20</m:t>
        </m:r>
        <m:r>
          <m:rPr>
            <m:sty m:val="p"/>
          </m:rPr>
          <m:t>+</m:t>
        </m:r>
        <m:r>
          <m:t>128</m:t>
        </m:r>
        <m:r>
          <m:rPr>
            <m:sty m:val="p"/>
          </m:rPr>
          <m:t>+</m:t>
        </m:r>
        <m:r>
          <m:t>6</m:t>
        </m:r>
        <m:r>
          <m:rPr>
            <m:sty m:val="p"/>
          </m:rPr>
          <m:t>+</m:t>
        </m:r>
        <m:r>
          <m:t>37.5</m:t>
        </m:r>
        <m:r>
          <m:rPr>
            <m:sty m:val="p"/>
          </m:rPr>
          <m:t>≈</m:t>
        </m:r>
        <m:r>
          <m:t>192</m:t>
        </m:r>
      </m:oMath>
      <w:r>
        <w:t xml:space="preserve"> </w:t>
      </w:r>
      <w:r>
        <w:t xml:space="preserve">s, about 3.2 minutes.</w:t>
      </w:r>
    </w:p>
    <w:p>
      <w:pPr>
        <w:pStyle w:val="CalloutExample"/>
      </w:pPr>
      <w:r>
        <w:rPr>
          <w:bCs/>
          <w:b/>
        </w:rPr>
        <w:t xml:space="preserve">Interpretation.</w:t>
      </w:r>
      <w:r>
        <w:t xml:space="preserve"> </w:t>
      </w:r>
      <w:r>
        <w:t xml:space="preserve">The map phase dominates, and since</w:t>
      </w:r>
      <w:r>
        <w:t xml:space="preserve"> </w:t>
      </w:r>
      <m:oMath>
        <m:r>
          <m:t>7</m:t>
        </m:r>
        <m:r>
          <m:rPr>
            <m:sty m:val="p"/>
          </m:rPr>
          <m:t>,</m:t>
        </m:r>
        <m:r>
          <m:t>813</m:t>
        </m:r>
        <m:r>
          <m:rPr>
            <m:sty m:val="p"/>
          </m:rPr>
          <m:t>/</m:t>
        </m:r>
        <m:r>
          <m:t>800</m:t>
        </m:r>
        <m:r>
          <m:rPr>
            <m:sty m:val="p"/>
          </m:rPr>
          <m:t>=</m:t>
        </m:r>
        <m:r>
          <m:t>9.77</m:t>
        </m:r>
      </m:oMath>
      <w:r>
        <w:t xml:space="preserve">, the last wave runs 77% full.</w:t>
      </w:r>
      <w:r>
        <w:t xml:space="preserve"> </w:t>
      </w:r>
      <w:r>
        <w:rPr>
          <w:bCs/>
          <w:b/>
        </w:rPr>
        <w:t xml:space="preserve">Engineering implication.</w:t>
      </w:r>
      <w:r>
        <w:t xml:space="preserve"> </w:t>
      </w:r>
      <w:r>
        <w:t xml:space="preserve">Keep tasks to tens of seconds so the last wave is short, and treat the estimate as a</w:t>
      </w:r>
      <w:r>
        <w:t xml:space="preserve"> </w:t>
      </w:r>
      <w:r>
        <w:rPr>
          <w:iCs/>
          <w:i/>
        </w:rPr>
        <w:t xml:space="preserve">lower bound</w:t>
      </w:r>
      <w:r>
        <w:t xml:space="preserve">: one slow last-wave task adds its whole delay (§29.4.3).</w:t>
      </w:r>
    </w:p>
    <w:p>
      <w:pPr>
        <w:pStyle w:val="CalloutFormula"/>
      </w:pPr>
      <w:r>
        <w:rPr>
          <w:bCs/>
          <w:b/>
        </w:rPr>
        <w:t xml:space="preserve">FORMULA</w:t>
      </w:r>
    </w:p>
    <w:p>
      <w:pPr>
        <w:pStyle w:val="CalloutFormula"/>
      </w:pPr>
      <w:r>
        <w:rPr>
          <w:bCs/>
          <w:b/>
        </w:rPr>
        <w:t xml:space="preserve">Shuffle volume with and without a combiner</w:t>
      </w:r>
    </w:p>
    <w:p>
      <w:pPr>
        <w:pStyle w:val="CalloutFormula"/>
      </w:pPr>
      <m:oMathPara>
        <m:oMathParaPr>
          <m:jc m:val="center"/>
        </m:oMathParaPr>
        <m:oMath>
          <m:sSub>
            <m:e>
              <m:r>
                <m:t>V</m:t>
              </m:r>
            </m:e>
            <m:sub>
              <m:r>
                <m:rPr>
                  <m:nor/>
                  <m:sty m:val="p"/>
                </m:rPr>
                <m:t>no comb</m:t>
              </m:r>
            </m:sub>
          </m:sSub>
          <m:r>
            <m:rPr>
              <m:sty m:val="p"/>
            </m:rPr>
            <m:t>=</m:t>
          </m:r>
          <m:sSub>
            <m:e>
              <m:r>
                <m:t>n</m:t>
              </m:r>
            </m:e>
            <m:sub>
              <m:r>
                <m:rPr>
                  <m:nor/>
                  <m:sty m:val="p"/>
                </m:rPr>
                <m:t>pairs</m:t>
              </m:r>
            </m:sub>
          </m:sSub>
          <m:r>
            <m:rPr>
              <m:sty m:val="p"/>
            </m:rPr>
            <m:t>⋅</m:t>
          </m:r>
          <m:sSub>
            <m:e>
              <m:r>
                <m:t>b</m:t>
              </m:r>
            </m:e>
            <m:sub>
              <m:r>
                <m:rPr>
                  <m:nor/>
                  <m:sty m:val="p"/>
                </m:rPr>
                <m:t>pair</m:t>
              </m:r>
            </m:sub>
          </m:sSub>
          <m:r>
            <m:rPr>
              <m:sty m:val="p"/>
            </m:rPr>
            <m:t>,</m:t>
          </m:r>
          <m:r>
            <m:t>  </m:t>
          </m:r>
          <m:sSub>
            <m:e>
              <m:r>
                <m:t>V</m:t>
              </m:r>
            </m:e>
            <m:sub>
              <m:r>
                <m:rPr>
                  <m:nor/>
                  <m:sty m:val="p"/>
                </m:rPr>
                <m:t>comb</m:t>
              </m:r>
            </m:sub>
          </m:sSub>
          <m:r>
            <m:rPr>
              <m:sty m:val="p"/>
            </m:rPr>
            <m:t>≈</m:t>
          </m:r>
          <m:r>
            <m:t>M</m:t>
          </m:r>
          <m:r>
            <m:rPr>
              <m:sty m:val="p"/>
            </m:rPr>
            <m:t>⋅</m:t>
          </m:r>
          <m:r>
            <m:t>u</m:t>
          </m:r>
          <m:r>
            <m:rPr>
              <m:sty m:val="p"/>
            </m:rPr>
            <m:t>⋅</m:t>
          </m:r>
          <m:sSub>
            <m:e>
              <m:r>
                <m:t>b</m:t>
              </m:r>
            </m:e>
            <m:sub>
              <m:r>
                <m:rPr>
                  <m:nor/>
                  <m:sty m:val="p"/>
                </m:rPr>
                <m:t>pair</m:t>
              </m:r>
            </m:sub>
          </m:sSub>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V</m:t>
              </m:r>
            </m:oMath>
          </w:p>
        </w:tc>
        <w:tc>
          <w:tcPr/>
          <w:p>
            <w:pPr>
              <w:pStyle w:val="Compact"/>
              <w:jc w:val="left"/>
            </w:pPr>
            <w:r>
              <w:t xml:space="preserve">Bytes moved across the network in the shuffle</w:t>
            </w:r>
          </w:p>
        </w:tc>
        <w:tc>
          <w:tcPr/>
          <w:p>
            <w:pPr>
              <w:pStyle w:val="Compact"/>
              <w:jc w:val="left"/>
            </w:pPr>
            <w:r>
              <w:t xml:space="preserve">bytes</w:t>
            </w:r>
          </w:p>
        </w:tc>
      </w:tr>
      <w:tr>
        <w:tc>
          <w:tcPr/>
          <w:p>
            <w:pPr>
              <w:pStyle w:val="Compact"/>
              <w:jc w:val="left"/>
            </w:pPr>
            <m:oMath>
              <m:sSub>
                <m:e>
                  <m:r>
                    <m:t>n</m:t>
                  </m:r>
                </m:e>
                <m:sub>
                  <m:r>
                    <m:rPr>
                      <m:nor/>
                      <m:sty m:val="p"/>
                    </m:rPr>
                    <m:t>pairs</m:t>
                  </m:r>
                </m:sub>
              </m:sSub>
            </m:oMath>
          </w:p>
        </w:tc>
        <w:tc>
          <w:tcPr/>
          <w:p>
            <w:pPr>
              <w:pStyle w:val="Compact"/>
              <w:jc w:val="left"/>
            </w:pPr>
            <w:r>
              <w:t xml:space="preserve">Total intermediate pairs emitted by all mappers</w:t>
            </w:r>
          </w:p>
        </w:tc>
        <w:tc>
          <w:tcPr/>
          <w:p>
            <w:pPr>
              <w:pStyle w:val="Compact"/>
              <w:jc w:val="left"/>
            </w:pPr>
            <w:r>
              <w:t xml:space="preserve">count</w:t>
            </w:r>
          </w:p>
        </w:tc>
      </w:tr>
      <w:tr>
        <w:tc>
          <w:tcPr/>
          <w:p>
            <w:pPr>
              <w:pStyle w:val="Compact"/>
              <w:jc w:val="left"/>
            </w:pPr>
            <m:oMath>
              <m:sSub>
                <m:e>
                  <m:r>
                    <m:t>b</m:t>
                  </m:r>
                </m:e>
                <m:sub>
                  <m:r>
                    <m:rPr>
                      <m:nor/>
                      <m:sty m:val="p"/>
                    </m:rPr>
                    <m:t>pair</m:t>
                  </m:r>
                </m:sub>
              </m:sSub>
            </m:oMath>
          </w:p>
        </w:tc>
        <w:tc>
          <w:tcPr/>
          <w:p>
            <w:pPr>
              <w:pStyle w:val="Compact"/>
              <w:jc w:val="left"/>
            </w:pPr>
            <w:r>
              <w:t xml:space="preserve">Average serialized size of one key–value pair</w:t>
            </w:r>
          </w:p>
        </w:tc>
        <w:tc>
          <w:tcPr/>
          <w:p>
            <w:pPr>
              <w:pStyle w:val="Compact"/>
              <w:jc w:val="left"/>
            </w:pPr>
            <w:r>
              <w:t xml:space="preserve">bytes</w:t>
            </w:r>
          </w:p>
        </w:tc>
      </w:tr>
      <w:tr>
        <w:tc>
          <w:tcPr/>
          <w:p>
            <w:pPr>
              <w:pStyle w:val="Compact"/>
              <w:jc w:val="left"/>
            </w:pPr>
            <m:oMath>
              <m:r>
                <m:t>M</m:t>
              </m:r>
            </m:oMath>
          </w:p>
        </w:tc>
        <w:tc>
          <w:tcPr/>
          <w:p>
            <w:pPr>
              <w:pStyle w:val="Compact"/>
              <w:jc w:val="left"/>
            </w:pPr>
            <w:r>
              <w:t xml:space="preserve">Map tasks</w:t>
            </w:r>
          </w:p>
        </w:tc>
        <w:tc>
          <w:tcPr/>
          <w:p>
            <w:pPr>
              <w:pStyle w:val="Compact"/>
              <w:jc w:val="left"/>
            </w:pPr>
            <w:r>
              <w:t xml:space="preserve">count</w:t>
            </w:r>
          </w:p>
        </w:tc>
      </w:tr>
      <w:tr>
        <w:tc>
          <w:tcPr/>
          <w:p>
            <w:pPr>
              <w:pStyle w:val="Compact"/>
              <w:jc w:val="left"/>
            </w:pPr>
            <m:oMath>
              <m:r>
                <m:t>u</m:t>
              </m:r>
            </m:oMath>
          </w:p>
        </w:tc>
        <w:tc>
          <w:tcPr/>
          <w:p>
            <w:pPr>
              <w:pStyle w:val="Compact"/>
              <w:jc w:val="left"/>
            </w:pPr>
            <w:r>
              <w:t xml:space="preserve">Distinct keys per map task after combining (</w:t>
            </w:r>
            <m:oMath>
              <m:r>
                <m:t>u</m:t>
              </m:r>
              <m:r>
                <m:rPr>
                  <m:sty m:val="p"/>
                </m:rPr>
                <m:t>≤</m:t>
              </m:r>
            </m:oMath>
            <w:r>
              <w:t xml:space="preserve"> </w:t>
            </w:r>
            <w:r>
              <w:t xml:space="preserve">pairs per task)</w:t>
            </w:r>
          </w:p>
        </w:tc>
        <w:tc>
          <w:tcPr/>
          <w:p>
            <w:pPr>
              <w:pStyle w:val="Compact"/>
              <w:jc w:val="left"/>
            </w:pPr>
            <w:r>
              <w:t xml:space="preserve">count</w:t>
            </w:r>
          </w:p>
        </w:tc>
      </w:tr>
    </w:tbl>
    <w:p>
      <w:pPr>
        <w:pStyle w:val="CalloutExample"/>
      </w:pPr>
      <w:r>
        <w:rPr>
          <w:bCs/>
          <w:b/>
        </w:rPr>
        <w:t xml:space="preserve">WORKED EXAMPLE</w:t>
      </w:r>
    </w:p>
    <w:p>
      <w:pPr>
        <w:pStyle w:val="CalloutExample"/>
      </w:pPr>
      <w:r>
        <w:rPr>
          <w:bCs/>
          <w:b/>
        </w:rPr>
        <w:t xml:space="preserve">Worked example — Word count over 1 TB of text.</w:t>
      </w:r>
      <w:r>
        <w:t xml:space="preserve"> </w:t>
      </w:r>
      <w:r>
        <w:t xml:space="preserve">Assume 6 bytes per word on average (including the space), so a 128 MB split holds about</w:t>
      </w:r>
      <w:r>
        <w:t xml:space="preserve"> </w:t>
      </w:r>
      <m:oMath>
        <m:r>
          <m:t>1.28</m:t>
        </m:r>
        <m:r>
          <m:rPr>
            <m:sty m:val="p"/>
          </m:rPr>
          <m:t>×</m:t>
        </m:r>
        <m:sSup>
          <m:e>
            <m:r>
              <m:t>10</m:t>
            </m:r>
          </m:e>
          <m:sup>
            <m:r>
              <m:t>8</m:t>
            </m:r>
          </m:sup>
        </m:sSup>
        <m:r>
          <m:rPr>
            <m:sty m:val="p"/>
          </m:rPr>
          <m:t>/</m:t>
        </m:r>
        <m:r>
          <m:t>6</m:t>
        </m:r>
        <m:r>
          <m:rPr>
            <m:sty m:val="p"/>
          </m:rPr>
          <m:t>≈</m:t>
        </m:r>
        <m:r>
          <m:t>2.1</m:t>
        </m:r>
        <m:r>
          <m:rPr>
            <m:sty m:val="p"/>
          </m:rPr>
          <m:t>×</m:t>
        </m:r>
        <m:sSup>
          <m:e>
            <m:r>
              <m:t>10</m:t>
            </m:r>
          </m:e>
          <m:sup>
            <m:r>
              <m:t>7</m:t>
            </m:r>
          </m:sup>
        </m:sSup>
      </m:oMath>
      <w:r>
        <w:t xml:space="preserve"> </w:t>
      </w:r>
      <w:r>
        <w:t xml:space="preserve">words;</w:t>
      </w:r>
      <w:r>
        <w:t xml:space="preserve"> </w:t>
      </w:r>
      <m:oMath>
        <m:r>
          <m:t>M</m:t>
        </m:r>
        <m:r>
          <m:rPr>
            <m:sty m:val="p"/>
          </m:rPr>
          <m:t>=</m:t>
        </m:r>
        <m:r>
          <m:t>7</m:t>
        </m:r>
        <m:r>
          <m:rPr>
            <m:sty m:val="p"/>
          </m:rPr>
          <m:t>,</m:t>
        </m:r>
        <m:r>
          <m:t>813</m:t>
        </m:r>
      </m:oMath>
      <w:r>
        <w:t xml:space="preserve">;</w:t>
      </w:r>
      <w:r>
        <w:t xml:space="preserve"> </w:t>
      </w:r>
      <m:oMath>
        <m:sSub>
          <m:e>
            <m:r>
              <m:t>b</m:t>
            </m:r>
          </m:e>
          <m:sub>
            <m:r>
              <m:rPr>
                <m:nor/>
                <m:sty m:val="p"/>
              </m:rPr>
              <m:t>pair</m:t>
            </m:r>
          </m:sub>
        </m:sSub>
        <m:r>
          <m:rPr>
            <m:sty m:val="p"/>
          </m:rPr>
          <m:t>=</m:t>
        </m:r>
        <m:r>
          <m:t>12</m:t>
        </m:r>
      </m:oMath>
      <w:r>
        <w:t xml:space="preserve"> </w:t>
      </w:r>
      <w:r>
        <w:t xml:space="preserve">B; about</w:t>
      </w:r>
      <w:r>
        <w:t xml:space="preserve"> </w:t>
      </w:r>
      <m:oMath>
        <m:r>
          <m:t>u</m:t>
        </m:r>
        <m:r>
          <m:rPr>
            <m:sty m:val="p"/>
          </m:rPr>
          <m:t>=</m:t>
        </m:r>
        <m:r>
          <m:t>200</m:t>
        </m:r>
        <m:r>
          <m:rPr>
            <m:sty m:val="p"/>
          </m:rPr>
          <m:t>,</m:t>
        </m:r>
        <m:r>
          <m:t>000</m:t>
        </m:r>
      </m:oMath>
      <w:r>
        <w:t xml:space="preserve"> </w:t>
      </w:r>
      <w:r>
        <w:t xml:space="preserve">distinct words per split.</w:t>
      </w:r>
    </w:p>
    <w:p>
      <w:pPr>
        <w:numPr>
          <w:ilvl w:val="0"/>
          <w:numId w:val="1944"/>
        </w:numPr>
        <w:pStyle w:val="Compact"/>
      </w:pPr>
      <w:r>
        <w:t xml:space="preserve">Without a combiner:</w:t>
      </w:r>
      <w:r>
        <w:t xml:space="preserve"> </w:t>
      </w:r>
      <m:oMath>
        <m:sSub>
          <m:e>
            <m:r>
              <m:t>n</m:t>
            </m:r>
          </m:e>
          <m:sub>
            <m:r>
              <m:rPr>
                <m:nor/>
                <m:sty m:val="p"/>
              </m:rPr>
              <m:t>pairs</m:t>
            </m:r>
          </m:sub>
        </m:sSub>
        <m:r>
          <m:rPr>
            <m:sty m:val="p"/>
          </m:rPr>
          <m:t>=</m:t>
        </m:r>
        <m:sSup>
          <m:e>
            <m:r>
              <m:t>10</m:t>
            </m:r>
          </m:e>
          <m:sup>
            <m:r>
              <m:t>12</m:t>
            </m:r>
          </m:sup>
        </m:sSup>
        <m:r>
          <m:rPr>
            <m:sty m:val="p"/>
          </m:rPr>
          <m:t>/</m:t>
        </m:r>
        <m:r>
          <m:t>6</m:t>
        </m:r>
        <m:r>
          <m:rPr>
            <m:sty m:val="p"/>
          </m:rPr>
          <m:t>=</m:t>
        </m:r>
        <m:r>
          <m:t>1.67</m:t>
        </m:r>
        <m:r>
          <m:rPr>
            <m:sty m:val="p"/>
          </m:rPr>
          <m:t>×</m:t>
        </m:r>
        <m:sSup>
          <m:e>
            <m:r>
              <m:t>10</m:t>
            </m:r>
          </m:e>
          <m:sup>
            <m:r>
              <m:t>11</m:t>
            </m:r>
          </m:sup>
        </m:sSup>
      </m:oMath>
      <w:r>
        <w:t xml:space="preserve"> </w:t>
      </w:r>
      <w:r>
        <w:t xml:space="preserve">pairs;</w:t>
      </w:r>
      <w:r>
        <w:t xml:space="preserve"> </w:t>
      </w:r>
      <m:oMath>
        <m:r>
          <m:t>V</m:t>
        </m:r>
        <m:r>
          <m:rPr>
            <m:sty m:val="p"/>
          </m:rPr>
          <m:t>=</m:t>
        </m:r>
        <m:r>
          <m:t>1.67</m:t>
        </m:r>
        <m:r>
          <m:rPr>
            <m:sty m:val="p"/>
          </m:rPr>
          <m:t>×</m:t>
        </m:r>
        <m:sSup>
          <m:e>
            <m:r>
              <m:t>10</m:t>
            </m:r>
          </m:e>
          <m:sup>
            <m:r>
              <m:t>11</m:t>
            </m:r>
          </m:sup>
        </m:sSup>
        <m:r>
          <m:rPr>
            <m:sty m:val="p"/>
          </m:rPr>
          <m:t>×</m:t>
        </m:r>
        <m:r>
          <m:t>12</m:t>
        </m:r>
        <m:r>
          <m:rPr>
            <m:sty m:val="p"/>
          </m:rPr>
          <m:t>=</m:t>
        </m:r>
        <m:r>
          <m:t>2.0</m:t>
        </m:r>
        <m:r>
          <m:rPr>
            <m:sty m:val="p"/>
          </m:rPr>
          <m:t>×</m:t>
        </m:r>
        <m:sSup>
          <m:e>
            <m:r>
              <m:t>10</m:t>
            </m:r>
          </m:e>
          <m:sup>
            <m:r>
              <m:t>12</m:t>
            </m:r>
          </m:sup>
        </m:sSup>
      </m:oMath>
      <w:r>
        <w:t xml:space="preserve"> </w:t>
      </w:r>
      <w:r>
        <w:t xml:space="preserve">B</w:t>
      </w:r>
      <w:r>
        <w:t xml:space="preserve"> </w:t>
      </w:r>
      <m:oMath>
        <m:r>
          <m:rPr>
            <m:sty m:val="p"/>
          </m:rPr>
          <m:t>=</m:t>
        </m:r>
        <m:r>
          <m:t>2</m:t>
        </m:r>
      </m:oMath>
      <w:r>
        <w:t xml:space="preserve"> </w:t>
      </w:r>
      <w:r>
        <w:t xml:space="preserve">TB, twice the input.</w:t>
      </w:r>
    </w:p>
    <w:p>
      <w:pPr>
        <w:numPr>
          <w:ilvl w:val="0"/>
          <w:numId w:val="1944"/>
        </w:numPr>
        <w:pStyle w:val="Compact"/>
      </w:pPr>
      <w:r>
        <w:t xml:space="preserve">With a combiner:</w:t>
      </w:r>
      <w:r>
        <w:t xml:space="preserve"> </w:t>
      </w:r>
      <m:oMath>
        <m:r>
          <m:t>V</m:t>
        </m:r>
        <m:r>
          <m:rPr>
            <m:sty m:val="p"/>
          </m:rPr>
          <m:t>=</m:t>
        </m:r>
        <m:r>
          <m:t>7</m:t>
        </m:r>
        <m:r>
          <m:rPr>
            <m:sty m:val="p"/>
          </m:rPr>
          <m:t>,</m:t>
        </m:r>
        <m:r>
          <m:t>813</m:t>
        </m:r>
        <m:r>
          <m:rPr>
            <m:sty m:val="p"/>
          </m:rPr>
          <m:t>×</m:t>
        </m:r>
        <m:r>
          <m:t>2</m:t>
        </m:r>
        <m:r>
          <m:rPr>
            <m:sty m:val="p"/>
          </m:rPr>
          <m:t>×</m:t>
        </m:r>
        <m:sSup>
          <m:e>
            <m:r>
              <m:t>10</m:t>
            </m:r>
          </m:e>
          <m:sup>
            <m:r>
              <m:t>5</m:t>
            </m:r>
          </m:sup>
        </m:sSup>
        <m:r>
          <m:rPr>
            <m:sty m:val="p"/>
          </m:rPr>
          <m:t>×</m:t>
        </m:r>
        <m:r>
          <m:t>12</m:t>
        </m:r>
        <m:r>
          <m:rPr>
            <m:sty m:val="p"/>
          </m:rPr>
          <m:t>=</m:t>
        </m:r>
        <m:r>
          <m:t>1.9</m:t>
        </m:r>
        <m:r>
          <m:rPr>
            <m:sty m:val="p"/>
          </m:rPr>
          <m:t>×</m:t>
        </m:r>
        <m:sSup>
          <m:e>
            <m:r>
              <m:t>10</m:t>
            </m:r>
          </m:e>
          <m:sup>
            <m:r>
              <m:t>10</m:t>
            </m:r>
          </m:sup>
        </m:sSup>
      </m:oMath>
      <w:r>
        <w:t xml:space="preserve"> </w:t>
      </w:r>
      <w:r>
        <w:t xml:space="preserve">B</w:t>
      </w:r>
      <w:r>
        <w:t xml:space="preserve"> </w:t>
      </w:r>
      <m:oMath>
        <m:r>
          <m:rPr>
            <m:sty m:val="p"/>
          </m:rPr>
          <m:t>≈</m:t>
        </m:r>
        <m:r>
          <m:t>19</m:t>
        </m:r>
      </m:oMath>
      <w:r>
        <w:t xml:space="preserve"> </w:t>
      </w:r>
      <w:r>
        <w:t xml:space="preserve">GB.</w:t>
      </w:r>
    </w:p>
    <w:p>
      <w:pPr>
        <w:numPr>
          <w:ilvl w:val="0"/>
          <w:numId w:val="1944"/>
        </w:numPr>
        <w:pStyle w:val="Compact"/>
      </w:pPr>
      <w:r>
        <w:t xml:space="preserve">Reduction:</w:t>
      </w:r>
      <w:r>
        <w:t xml:space="preserve"> </w:t>
      </w:r>
      <m:oMath>
        <m:r>
          <m:t>2</m:t>
        </m:r>
        <m:r>
          <m:rPr>
            <m:sty m:val="p"/>
          </m:rPr>
          <m:t>,</m:t>
        </m:r>
        <m:r>
          <m:t>000</m:t>
        </m:r>
        <m:r>
          <m:rPr>
            <m:sty m:val="p"/>
          </m:rPr>
          <m:t>/</m:t>
        </m:r>
        <m:r>
          <m:t>19</m:t>
        </m:r>
        <m:r>
          <m:rPr>
            <m:sty m:val="p"/>
          </m:rPr>
          <m:t>≈</m:t>
        </m:r>
        <m:r>
          <m:t>105</m:t>
        </m:r>
        <m:r>
          <m:rPr>
            <m:sty m:val="p"/>
          </m:rPr>
          <m:t>×</m:t>
        </m:r>
      </m:oMath>
      <w:r>
        <w:t xml:space="preserve">.</w:t>
      </w:r>
    </w:p>
    <w:p>
      <w:pPr>
        <w:pStyle w:val="CalloutExample"/>
      </w:pPr>
      <w:r>
        <w:rPr>
          <w:bCs/>
          <w:b/>
        </w:rPr>
        <w:t xml:space="preserve">Interpretation.</w:t>
      </w:r>
      <w:r>
        <w:t xml:space="preserve"> </w:t>
      </w:r>
      <w:r>
        <w:t xml:space="preserve">A 12-byte pair replaces a 6-byte word, so naive map output doubles the data; words repeat heavily within a split, so local aggregation removes almost all of it.</w:t>
      </w:r>
      <w:r>
        <w:t xml:space="preserve"> </w:t>
      </w:r>
      <w:r>
        <w:rPr>
          <w:bCs/>
          <w:b/>
        </w:rPr>
        <w:t xml:space="preserve">Engineering implication.</w:t>
      </w:r>
      <w:r>
        <w:t xml:space="preserve"> </w:t>
      </w:r>
      <w:r>
        <w:t xml:space="preserve">Always pre-aggregate before a shuffle when the operation allows it; Spark’s</w:t>
      </w:r>
      <w:r>
        <w:t xml:space="preserve"> </w:t>
      </w:r>
      <w:r>
        <w:rPr>
          <w:rStyle w:val="VerbatimChar"/>
        </w:rPr>
        <w:t xml:space="preserve">reduceByKey</w:t>
      </w:r>
      <w:r>
        <w:t xml:space="preserve"> </w:t>
      </w:r>
      <w:r>
        <w:t xml:space="preserve">and DataFrame</w:t>
      </w:r>
      <w:r>
        <w:t xml:space="preserve"> </w:t>
      </w:r>
      <w:r>
        <w:rPr>
          <w:rStyle w:val="VerbatimChar"/>
        </w:rPr>
        <w:t xml:space="preserve">groupBy().agg()</w:t>
      </w:r>
      <w:r>
        <w:t xml:space="preserve"> </w:t>
      </w:r>
      <w:r>
        <w:t xml:space="preserve">do this automatically (the</w:t>
      </w:r>
      <w:r>
        <w:t xml:space="preserve"> </w:t>
      </w:r>
      <w:r>
        <w:rPr>
          <w:rStyle w:val="VerbatimChar"/>
        </w:rPr>
        <w:t xml:space="preserve">partial_count</w:t>
      </w:r>
      <w:r>
        <w:t xml:space="preserve"> </w:t>
      </w:r>
      <w:r>
        <w:t xml:space="preserve">step in the Spark plan of §29.5.4), while</w:t>
      </w:r>
      <w:r>
        <w:t xml:space="preserve"> </w:t>
      </w:r>
      <w:r>
        <w:rPr>
          <w:rStyle w:val="VerbatimChar"/>
        </w:rPr>
        <w:t xml:space="preserve">groupByKey</w:t>
      </w:r>
      <w:r>
        <w:t xml:space="preserve"> </w:t>
      </w:r>
      <w:r>
        <w:t xml:space="preserve">does not.</w:t>
      </w:r>
    </w:p>
    <w:bookmarkEnd w:id="3251"/>
    <w:bookmarkEnd w:id="3252"/>
    <w:bookmarkStart w:id="3258" w:name="Xb14218eecb8d646e52d1d57382d626146b72949"/>
    <w:p>
      <w:pPr>
        <w:pStyle w:val="Heading3"/>
      </w:pPr>
      <w:r>
        <w:t xml:space="preserve">29.4.3 Fault tolerance: re-execution, stragglers and backup tasks</w:t>
      </w:r>
    </w:p>
    <w:bookmarkStart w:id="3256" w:name="how-it-works-internally-112"/>
    <w:p>
      <w:pPr>
        <w:pStyle w:val="Heading4"/>
      </w:pPr>
      <w:r>
        <w:t xml:space="preserve">How it works internally</w:t>
      </w:r>
    </w:p>
    <w:p>
      <w:pPr>
        <w:numPr>
          <w:ilvl w:val="0"/>
          <w:numId w:val="1945"/>
        </w:numPr>
        <w:pStyle w:val="Compact"/>
      </w:pPr>
      <w:r>
        <w:rPr>
          <w:bCs/>
          <w:b/>
        </w:rPr>
        <w:t xml:space="preserve">Worker failure.</w:t>
      </w:r>
      <w:r>
        <w:t xml:space="preserve"> </w:t>
      </w:r>
      <w:r>
        <w:t xml:space="preserve">The coordinator pings workers. If one stops responding, every map task it</w:t>
      </w:r>
      <w:r>
        <w:t xml:space="preserve"> </w:t>
      </w:r>
      <w:r>
        <w:rPr>
          <w:iCs/>
          <w:i/>
        </w:rPr>
        <w:t xml:space="preserve">completed</w:t>
      </w:r>
      <w:r>
        <w:t xml:space="preserve"> </w:t>
      </w:r>
      <w:r>
        <w:t xml:space="preserve">is reset to idle and rescheduled, because its output lived on that worker’s local disk and is now unreachable; its in-progress map and reduce tasks are rescheduled too. Completed reduce tasks are not rerun, because their output is already in the replicated file system. Reducers that had not yet fetched from the dead worker are told to fetch from the new attempt.</w:t>
      </w:r>
    </w:p>
    <w:p>
      <w:pPr>
        <w:numPr>
          <w:ilvl w:val="0"/>
          <w:numId w:val="1945"/>
        </w:numPr>
        <w:pStyle w:val="Compact"/>
      </w:pPr>
      <w:r>
        <w:rPr>
          <w:bCs/>
          <w:b/>
        </w:rPr>
        <w:t xml:space="preserve">Deterministic re-execution.</w:t>
      </w:r>
      <w:r>
        <w:t xml:space="preserve"> </w:t>
      </w:r>
      <w:r>
        <w:t xml:space="preserve">Because tasks are functions of immutable inputs, a rerun produces the same output; atomic commit keeps only one attempt’s output.</w:t>
      </w:r>
    </w:p>
    <w:p>
      <w:pPr>
        <w:numPr>
          <w:ilvl w:val="0"/>
          <w:numId w:val="1945"/>
        </w:numPr>
        <w:pStyle w:val="Compact"/>
      </w:pPr>
      <w:r>
        <w:rPr>
          <w:bCs/>
          <w:b/>
        </w:rPr>
        <w:t xml:space="preserve">Stragglers and backup tasks.</w:t>
      </w:r>
      <w:r>
        <w:t xml:space="preserve"> </w:t>
      </w:r>
      <w:r>
        <w:t xml:space="preserve">A</w:t>
      </w:r>
      <w:r>
        <w:t xml:space="preserve"> </w:t>
      </w:r>
      <w:r>
        <w:rPr>
          <w:bCs/>
          <w:b/>
        </w:rPr>
        <w:t xml:space="preserve">straggler</w:t>
      </w:r>
      <w:r>
        <w:t xml:space="preserve"> </w:t>
      </w:r>
      <w:r>
        <w:t xml:space="preserve">is a task that runs far slower than its peers because of a bad disk, a noisy neighbor, or a misconfigured machine. Near the end of a phase the coordinator launches</w:t>
      </w:r>
      <w:r>
        <w:t xml:space="preserve"> </w:t>
      </w:r>
      <w:r>
        <w:rPr>
          <w:bCs/>
          <w:b/>
        </w:rPr>
        <w:t xml:space="preserve">backup</w:t>
      </w:r>
      <w:r>
        <w:t xml:space="preserve"> </w:t>
      </w:r>
      <w:r>
        <w:t xml:space="preserve">(speculative) copies of the remaining in-progress tasks on other workers and takes whichever finishes first. Google reported that a sort of 1 TB took 44% longer with backup tasks disabled [Dean and Ghemawat 2004].</w:t>
      </w:r>
    </w:p>
    <w:p>
      <w:pPr>
        <w:numPr>
          <w:ilvl w:val="0"/>
          <w:numId w:val="1945"/>
        </w:numPr>
        <w:pStyle w:val="Compact"/>
      </w:pPr>
      <w:r>
        <w:rPr>
          <w:bCs/>
          <w:b/>
        </w:rPr>
        <w:t xml:space="preserve">Bad records</w:t>
      </w:r>
      <w:r>
        <w:t xml:space="preserve"> </w:t>
      </w:r>
      <w:r>
        <w:t xml:space="preserve">that crash user code deterministically can be skipped after repeated failures.</w:t>
      </w:r>
    </w:p>
    <w:p>
      <w:pPr>
        <w:pStyle w:val="FirstParagraph"/>
      </w:pPr>
      <w:r>
        <w:rPr>
          <w:bCs/>
          <w:b/>
        </w:rPr>
        <w:t xml:space="preserve">Figure 29.4 — Lifecycle of a task under re-execution and speculation.</w:t>
      </w:r>
    </w:p>
    <w:p>
      <w:pPr>
        <w:pStyle w:val="BodyText"/>
      </w:pPr>
      <w:r>
        <w:drawing>
          <wp:inline>
            <wp:extent cx="5334000" cy="4718538"/>
            <wp:effectExtent b="0" l="0" r="0" t="0"/>
            <wp:docPr descr="" title="" id="3254" name="Picture"/>
            <a:graphic>
              <a:graphicData uri="http://schemas.openxmlformats.org/drawingml/2006/picture">
                <pic:pic>
                  <pic:nvPicPr>
                    <pic:cNvPr descr="/home/user/System-Design/build/.cache/diagrams/300a31b006c7.png" id="3255" name="Picture"/>
                    <pic:cNvPicPr>
                      <a:picLocks noChangeArrowheads="1" noChangeAspect="1"/>
                    </pic:cNvPicPr>
                  </pic:nvPicPr>
                  <pic:blipFill>
                    <a:blip r:embed="rId3253"/>
                    <a:stretch>
                      <a:fillRect/>
                    </a:stretch>
                  </pic:blipFill>
                  <pic:spPr bwMode="auto">
                    <a:xfrm>
                      <a:off x="0" y="0"/>
                      <a:ext cx="5334000" cy="4718538"/>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Each</w:t>
      </w:r>
      <w:r>
        <w:t xml:space="preserve"> </w:t>
      </w:r>
      <w:r>
        <w:rPr>
          <w:iCs/>
          <w:i/>
        </w:rPr>
        <w:t xml:space="preserve">task</w:t>
      </w:r>
      <w:r>
        <w:t xml:space="preserve"> </w:t>
      </w:r>
      <w:r>
        <w:t xml:space="preserve">starts</w:t>
      </w:r>
      <w:r>
        <w:t xml:space="preserve"> </w:t>
      </w:r>
      <w:r>
        <w:rPr>
          <w:iCs/>
          <w:i/>
        </w:rPr>
        <w:t xml:space="preserve">Idle</w:t>
      </w:r>
      <w:r>
        <w:t xml:space="preserve">, is</w:t>
      </w:r>
      <w:r>
        <w:t xml:space="preserve"> </w:t>
      </w:r>
      <w:r>
        <w:rPr>
          <w:iCs/>
          <w:i/>
        </w:rPr>
        <w:t xml:space="preserve">Running</w:t>
      </w:r>
      <w:r>
        <w:t xml:space="preserve"> </w:t>
      </w:r>
      <w:r>
        <w:t xml:space="preserve">once a worker accepts it, and becomes</w:t>
      </w:r>
      <w:r>
        <w:t xml:space="preserve"> </w:t>
      </w:r>
      <w:r>
        <w:rPr>
          <w:iCs/>
          <w:i/>
        </w:rPr>
        <w:t xml:space="preserve">Completed</w:t>
      </w:r>
      <w:r>
        <w:t xml:space="preserve"> </w:t>
      </w:r>
      <w:r>
        <w:t xml:space="preserve">when its output is committed. A lost worker or task error sends it back to</w:t>
      </w:r>
      <w:r>
        <w:t xml:space="preserve"> </w:t>
      </w:r>
      <w:r>
        <w:rPr>
          <w:iCs/>
          <w:i/>
        </w:rPr>
        <w:t xml:space="preserve">Idle</w:t>
      </w:r>
      <w:r>
        <w:t xml:space="preserve"> </w:t>
      </w:r>
      <w:r>
        <w:t xml:space="preserve">for another attempt (up to a retry limit, four by default in Hadoop). A slow task near the end of a phase enters</w:t>
      </w:r>
      <w:r>
        <w:t xml:space="preserve"> </w:t>
      </w:r>
      <w:r>
        <w:rPr>
          <w:iCs/>
          <w:i/>
        </w:rPr>
        <w:t xml:space="preserve">Speculating</w:t>
      </w:r>
      <w:r>
        <w:t xml:space="preserve">: a second attempt runs elsewhere, the first to commit wins and the other is killed. The unusual edge is</w:t>
      </w:r>
      <w:r>
        <w:t xml:space="preserve"> </w:t>
      </w:r>
      <w:r>
        <w:rPr>
          <w:iCs/>
          <w:i/>
        </w:rPr>
        <w:t xml:space="preserve">Completed → Idle</w:t>
      </w:r>
      <w:r>
        <w:t xml:space="preserve">: a completed map task’s output sits on unreplicated local disk, so losing the node invalidates it. Storage boundary: only committed reduce output is durable. Scaling: speculation costs a few percent extra work and removes most of the tail.</w:t>
      </w:r>
    </w:p>
    <w:bookmarkEnd w:id="3256"/>
    <w:bookmarkStart w:id="3257" w:name="mathematical-foundations-59"/>
    <w:p>
      <w:pPr>
        <w:pStyle w:val="Heading4"/>
      </w:pPr>
      <w:r>
        <w:t xml:space="preserve">Mathematical foundations</w:t>
      </w:r>
    </w:p>
    <w:p>
      <w:pPr>
        <w:pStyle w:val="CalloutFormula"/>
      </w:pPr>
      <w:r>
        <w:rPr>
          <w:bCs/>
          <w:b/>
        </w:rPr>
        <w:t xml:space="preserve">FORMULA</w:t>
      </w:r>
    </w:p>
    <w:p>
      <w:pPr>
        <w:pStyle w:val="CalloutFormula"/>
      </w:pPr>
      <w:r>
        <w:rPr>
          <w:bCs/>
          <w:b/>
        </w:rPr>
        <w:t xml:space="preserve">Probability that a phase contains at least one straggler</w:t>
      </w:r>
    </w:p>
    <w:p>
      <w:pPr>
        <w:pStyle w:val="CalloutFormula"/>
      </w:pPr>
      <m:oMathPara>
        <m:oMathParaPr>
          <m:jc m:val="center"/>
        </m:oMathParaPr>
        <m:oMath>
          <m:r>
            <m:t>P</m:t>
          </m:r>
          <m:d>
            <m:dPr>
              <m:begChr m:val="("/>
              <m:endChr m:val=")"/>
              <m:sepChr m:val=""/>
              <m:grow/>
            </m:dPr>
            <m:e>
              <m:r>
                <m:rPr>
                  <m:nor/>
                  <m:sty m:val="p"/>
                </m:rPr>
                <m:t>at least one straggler</m:t>
              </m:r>
            </m:e>
          </m:d>
          <m:r>
            <m:rPr>
              <m:sty m:val="p"/>
            </m:rPr>
            <m:t>=</m:t>
          </m:r>
          <m:r>
            <m:t>1</m:t>
          </m:r>
          <m:r>
            <m:rPr>
              <m:sty m:val="p"/>
            </m:rPr>
            <m:t>−</m:t>
          </m:r>
          <m:sSup>
            <m:e>
              <m:d>
                <m:dPr>
                  <m:begChr m:val="("/>
                  <m:endChr m:val=")"/>
                  <m:sepChr m:val=""/>
                  <m:grow/>
                </m:dPr>
                <m:e>
                  <m:r>
                    <m:t>1</m:t>
                  </m:r>
                  <m:r>
                    <m:rPr>
                      <m:sty m:val="p"/>
                    </m:rPr>
                    <m:t>−</m:t>
                  </m:r>
                  <m:r>
                    <m:t>p</m:t>
                  </m:r>
                </m:e>
              </m:d>
            </m:e>
            <m:sup>
              <m:r>
                <m:t>n</m:t>
              </m:r>
            </m:sup>
          </m:sSup>
          <m:r>
            <m:rPr>
              <m:sty m:val="p"/>
            </m:rPr>
            <m:t>≈</m:t>
          </m:r>
          <m:r>
            <m:t>1</m:t>
          </m:r>
          <m:r>
            <m:rPr>
              <m:sty m:val="p"/>
            </m:rPr>
            <m:t>−</m:t>
          </m:r>
          <m:sSup>
            <m:e>
              <m:r>
                <m:t>e</m:t>
              </m:r>
            </m:e>
            <m:sup>
              <m:r>
                <m:rPr>
                  <m:sty m:val="p"/>
                </m:rPr>
                <m:t>−</m:t>
              </m:r>
              <m:r>
                <m:t>n</m:t>
              </m:r>
              <m:r>
                <m:t>p</m:t>
              </m:r>
            </m:sup>
          </m:sSup>
        </m:oMath>
      </m:oMathPara>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p</m:t>
              </m:r>
            </m:oMath>
          </w:p>
        </w:tc>
        <w:tc>
          <w:tcPr/>
          <w:p>
            <w:pPr>
              <w:pStyle w:val="Compact"/>
              <w:jc w:val="left"/>
            </w:pPr>
            <w:r>
              <w:t xml:space="preserve">Probability that any one task is a straggler</w:t>
            </w:r>
          </w:p>
        </w:tc>
        <w:tc>
          <w:tcPr/>
          <w:p>
            <w:pPr>
              <w:pStyle w:val="Compact"/>
              <w:jc w:val="left"/>
            </w:pPr>
            <w:r>
              <w:t xml:space="preserve">probability</w:t>
            </w:r>
          </w:p>
        </w:tc>
      </w:tr>
      <w:tr>
        <w:tc>
          <w:tcPr/>
          <w:p>
            <w:pPr>
              <w:pStyle w:val="Compact"/>
              <w:jc w:val="left"/>
            </w:pPr>
            <m:oMath>
              <m:r>
                <m:t>n</m:t>
              </m:r>
            </m:oMath>
          </w:p>
        </w:tc>
        <w:tc>
          <w:tcPr/>
          <w:p>
            <w:pPr>
              <w:pStyle w:val="Compact"/>
              <w:jc w:val="left"/>
            </w:pPr>
            <w:r>
              <w:t xml:space="preserve">Number of tasks in the phase (or in its last wave)</w:t>
            </w:r>
          </w:p>
        </w:tc>
        <w:tc>
          <w:tcPr/>
          <w:p>
            <w:pPr>
              <w:pStyle w:val="Compact"/>
              <w:jc w:val="left"/>
            </w:pPr>
            <w:r>
              <w:t xml:space="preserve">count</w:t>
            </w:r>
          </w:p>
        </w:tc>
      </w:tr>
    </w:tbl>
    <w:p>
      <w:pPr>
        <w:pStyle w:val="CalloutExample"/>
      </w:pPr>
      <w:r>
        <w:rPr>
          <w:bCs/>
          <w:b/>
        </w:rPr>
        <w:t xml:space="preserve">WORKED EXAMPLE</w:t>
      </w:r>
    </w:p>
    <w:p>
      <w:pPr>
        <w:pStyle w:val="CalloutExample"/>
      </w:pPr>
      <w:r>
        <w:rPr>
          <w:bCs/>
          <w:b/>
        </w:rPr>
        <w:t xml:space="preserve">Worked example — Why big jobs always have a straggler.</w:t>
      </w:r>
      <w:r>
        <w:t xml:space="preserve"> </w:t>
      </w:r>
      <w:r>
        <w:t xml:space="preserve">Suppose</w:t>
      </w:r>
      <w:r>
        <w:t xml:space="preserve"> </w:t>
      </w:r>
      <m:oMath>
        <m:r>
          <m:t>p</m:t>
        </m:r>
        <m:r>
          <m:rPr>
            <m:sty m:val="p"/>
          </m:rPr>
          <m:t>=</m:t>
        </m:r>
        <m:r>
          <m:t>0.001</m:t>
        </m:r>
      </m:oMath>
      <w:r>
        <w:t xml:space="preserve">: one task in a thousand lands on a machine that runs it 5× slower.</w:t>
      </w:r>
    </w:p>
    <w:p>
      <w:pPr>
        <w:numPr>
          <w:ilvl w:val="0"/>
          <w:numId w:val="1946"/>
        </w:numPr>
        <w:pStyle w:val="Compact"/>
      </w:pPr>
      <w:r>
        <w:t xml:space="preserve">Whole map phase of the previous example:</w:t>
      </w:r>
      <w:r>
        <w:t xml:space="preserve"> </w:t>
      </w:r>
      <m:oMath>
        <m:r>
          <m:t>n</m:t>
        </m:r>
        <m:r>
          <m:rPr>
            <m:sty m:val="p"/>
          </m:rPr>
          <m:t>=</m:t>
        </m:r>
        <m:r>
          <m:t>7</m:t>
        </m:r>
        <m:r>
          <m:rPr>
            <m:sty m:val="p"/>
          </m:rPr>
          <m:t>,</m:t>
        </m:r>
        <m:r>
          <m:t>813</m:t>
        </m:r>
      </m:oMath>
      <w:r>
        <w:t xml:space="preserve">;</w:t>
      </w:r>
      <w:r>
        <w:t xml:space="preserve"> </w:t>
      </w:r>
      <m:oMath>
        <m:r>
          <m:t>n</m:t>
        </m:r>
        <m:r>
          <m:t>p</m:t>
        </m:r>
        <m:r>
          <m:rPr>
            <m:sty m:val="p"/>
          </m:rPr>
          <m:t>=</m:t>
        </m:r>
        <m:r>
          <m:t>7.8</m:t>
        </m:r>
      </m:oMath>
      <w:r>
        <w:t xml:space="preserve">;</w:t>
      </w:r>
      <w:r>
        <w:t xml:space="preserve"> </w:t>
      </w:r>
      <m:oMath>
        <m:r>
          <m:t>P</m:t>
        </m:r>
        <m:r>
          <m:rPr>
            <m:sty m:val="p"/>
          </m:rPr>
          <m:t>=</m:t>
        </m:r>
        <m:r>
          <m:t>1</m:t>
        </m:r>
        <m:r>
          <m:rPr>
            <m:sty m:val="p"/>
          </m:rPr>
          <m:t>−</m:t>
        </m:r>
        <m:sSup>
          <m:e>
            <m:r>
              <m:t>e</m:t>
            </m:r>
          </m:e>
          <m:sup>
            <m:r>
              <m:rPr>
                <m:sty m:val="p"/>
              </m:rPr>
              <m:t>−</m:t>
            </m:r>
            <m:r>
              <m:t>7.8</m:t>
            </m:r>
          </m:sup>
        </m:sSup>
        <m:r>
          <m:rPr>
            <m:sty m:val="p"/>
          </m:rPr>
          <m:t>=</m:t>
        </m:r>
        <m:r>
          <m:t>0.9996</m:t>
        </m:r>
      </m:oMath>
      <w:r>
        <w:t xml:space="preserve">.</w:t>
      </w:r>
    </w:p>
    <w:p>
      <w:pPr>
        <w:numPr>
          <w:ilvl w:val="0"/>
          <w:numId w:val="1946"/>
        </w:numPr>
        <w:pStyle w:val="Compact"/>
      </w:pPr>
      <w:r>
        <w:t xml:space="preserve">Only the last wave matters for completion time, because earlier slow tasks are hidden by later waves:</w:t>
      </w:r>
      <w:r>
        <w:t xml:space="preserve"> </w:t>
      </w:r>
      <m:oMath>
        <m:r>
          <m:t>n</m:t>
        </m:r>
        <m:r>
          <m:rPr>
            <m:sty m:val="p"/>
          </m:rPr>
          <m:t>=</m:t>
        </m:r>
        <m:r>
          <m:t>613</m:t>
        </m:r>
      </m:oMath>
      <w:r>
        <w:t xml:space="preserve"> </w:t>
      </w:r>
      <w:r>
        <w:t xml:space="preserve">(the tasks in wave 10);</w:t>
      </w:r>
      <w:r>
        <w:t xml:space="preserve"> </w:t>
      </w:r>
      <m:oMath>
        <m:r>
          <m:t>n</m:t>
        </m:r>
        <m:r>
          <m:t>p</m:t>
        </m:r>
        <m:r>
          <m:rPr>
            <m:sty m:val="p"/>
          </m:rPr>
          <m:t>=</m:t>
        </m:r>
        <m:r>
          <m:t>0.613</m:t>
        </m:r>
      </m:oMath>
      <w:r>
        <w:t xml:space="preserve">;</w:t>
      </w:r>
      <w:r>
        <w:t xml:space="preserve"> </w:t>
      </w:r>
      <m:oMath>
        <m:r>
          <m:t>P</m:t>
        </m:r>
        <m:r>
          <m:rPr>
            <m:sty m:val="p"/>
          </m:rPr>
          <m:t>=</m:t>
        </m:r>
        <m:r>
          <m:t>1</m:t>
        </m:r>
        <m:r>
          <m:rPr>
            <m:sty m:val="p"/>
          </m:rPr>
          <m:t>−</m:t>
        </m:r>
        <m:sSup>
          <m:e>
            <m:r>
              <m:t>e</m:t>
            </m:r>
          </m:e>
          <m:sup>
            <m:r>
              <m:rPr>
                <m:sty m:val="p"/>
              </m:rPr>
              <m:t>−</m:t>
            </m:r>
            <m:r>
              <m:t>0.613</m:t>
            </m:r>
          </m:sup>
        </m:sSup>
        <m:r>
          <m:rPr>
            <m:sty m:val="p"/>
          </m:rPr>
          <m:t>=</m:t>
        </m:r>
        <m:r>
          <m:t>0.46</m:t>
        </m:r>
      </m:oMath>
      <w:r>
        <w:t xml:space="preserve">.</w:t>
      </w:r>
    </w:p>
    <w:p>
      <w:pPr>
        <w:numPr>
          <w:ilvl w:val="0"/>
          <w:numId w:val="1946"/>
        </w:numPr>
        <w:pStyle w:val="Compact"/>
      </w:pPr>
      <w:r>
        <w:t xml:space="preserve">Cost of that straggler:</w:t>
      </w:r>
      <w:r>
        <w:t xml:space="preserve"> </w:t>
      </w:r>
      <m:oMath>
        <m:r>
          <m:t>5</m:t>
        </m:r>
        <m:r>
          <m:rPr>
            <m:sty m:val="p"/>
          </m:rPr>
          <m:t>×</m:t>
        </m:r>
        <m:r>
          <m:t>12.8</m:t>
        </m:r>
        <m:r>
          <m:rPr>
            <m:sty m:val="p"/>
          </m:rPr>
          <m:t>=</m:t>
        </m:r>
        <m:r>
          <m:t>64</m:t>
        </m:r>
      </m:oMath>
      <w:r>
        <w:t xml:space="preserve"> </w:t>
      </w:r>
      <w:r>
        <w:t xml:space="preserve">s instead of 12.8 s, adding about 51 s to a 192 s job (+27%).</w:t>
      </w:r>
    </w:p>
    <w:p>
      <w:pPr>
        <w:numPr>
          <w:ilvl w:val="0"/>
          <w:numId w:val="1946"/>
        </w:numPr>
        <w:pStyle w:val="Compact"/>
      </w:pPr>
      <w:r>
        <w:t xml:space="preserve">With a backup task launched when the phase is about 95% done, the copy finishes about 13 s after launch, so the delay drops to roughly one task duration.</w:t>
      </w:r>
    </w:p>
    <w:p>
      <w:pPr>
        <w:pStyle w:val="CalloutExample"/>
      </w:pPr>
      <w:r>
        <w:rPr>
          <w:bCs/>
          <w:b/>
        </w:rPr>
        <w:t xml:space="preserve">Interpretation.</w:t>
      </w:r>
      <w:r>
        <w:t xml:space="preserve"> </w:t>
      </w:r>
      <w:r>
        <w:t xml:space="preserve">At scale,</w:t>
      </w:r>
      <w:r>
        <w:t xml:space="preserve"> </w:t>
      </w:r>
      <w:r>
        <w:t xml:space="preserve">“</w:t>
      </w:r>
      <w:r>
        <w:t xml:space="preserve">rare</w:t>
      </w:r>
      <w:r>
        <w:t xml:space="preserve">”</w:t>
      </w:r>
      <w:r>
        <w:t xml:space="preserve"> </w:t>
      </w:r>
      <w:r>
        <w:t xml:space="preserve">slow machines are present in almost every job, and the slowest task, not the average, sets the finish time (the same tail effect as in §23.6).</w:t>
      </w:r>
      <w:r>
        <w:t xml:space="preserve"> </w:t>
      </w:r>
      <w:r>
        <w:rPr>
          <w:bCs/>
          <w:b/>
        </w:rPr>
        <w:t xml:space="preserve">Engineering implication.</w:t>
      </w:r>
      <w:r>
        <w:t xml:space="preserve"> </w:t>
      </w:r>
      <w:r>
        <w:t xml:space="preserve">Enable speculative execution for idempotent tasks, keep tasks short, and do not speculate tasks with side effects (writes to external databases) unless the writes are idempotent (§22.15).</w:t>
      </w:r>
    </w:p>
    <w:p>
      <w:pPr>
        <w:pStyle w:val="CalloutIndustry"/>
      </w:pPr>
      <w:r>
        <w:rPr>
          <w:bCs/>
          <w:b/>
        </w:rPr>
        <w:t xml:space="preserve">INDUSTRY EXAMPLE</w:t>
      </w:r>
    </w:p>
    <w:p>
      <w:pPr>
        <w:pStyle w:val="CalloutIndustry"/>
      </w:pPr>
      <w:r>
        <w:rPr>
          <w:bCs/>
          <w:b/>
        </w:rPr>
        <w:t xml:space="preserve">Google MapReduce (2004).</w:t>
      </w:r>
      <w:r>
        <w:t xml:space="preserve"> </w:t>
      </w:r>
      <w:r>
        <w:t xml:space="preserve">The paper describes commodity PCs with 2–4 GB of RAM, 100 Mb/s or 1 Gb/s networking and local disks, with GFS storing input and output. In its sort benchmark (</w:t>
      </w:r>
      <m:oMath>
        <m:sSup>
          <m:e>
            <m:r>
              <m:t>10</m:t>
            </m:r>
          </m:e>
          <m:sup>
            <m:r>
              <m:t>10</m:t>
            </m:r>
          </m:sup>
        </m:sSup>
      </m:oMath>
      <w:r>
        <w:t xml:space="preserve"> </w:t>
      </w:r>
      <w:r>
        <w:t xml:space="preserve">100-byte records, about 1 TB, on roughly 1,800 machines), normal execution took 891 s; with backup tasks disabled it took 1,283 s, 44% longer; and deliberately killing 200 worker processes mid-job increased the time by only about 5%, because the lost tasks were simply re-executed.</w:t>
      </w:r>
      <w:r>
        <w:t xml:space="preserve"> </w:t>
      </w:r>
      <w:r>
        <w:rPr>
          <w:iCs/>
          <w:i/>
        </w:rPr>
        <w:t xml:space="preserve">Evidence: Primary</w:t>
      </w:r>
      <w:r>
        <w:t xml:space="preserve"> </w:t>
      </w:r>
      <w:r>
        <w:t xml:space="preserve">— [Dean and Ghemawat 2004]</w:t>
      </w:r>
    </w:p>
    <w:bookmarkEnd w:id="3257"/>
    <w:bookmarkEnd w:id="3258"/>
    <w:bookmarkStart w:id="3265" w:name="Xc0710e72a8b962fbbd5c79ad1ffa8eb2aa450ea"/>
    <w:p>
      <w:pPr>
        <w:pStyle w:val="Heading3"/>
      </w:pPr>
      <w:r>
        <w:t xml:space="preserve">29.4.4 Joins in MapReduce: sort-merge and broadcast</w:t>
      </w:r>
    </w:p>
    <w:p>
      <w:pPr>
        <w:pStyle w:val="CalloutDefinition"/>
      </w:pPr>
      <w:r>
        <w:rPr>
          <w:bCs/>
          <w:b/>
        </w:rPr>
        <w:t xml:space="preserve">DEFINITION</w:t>
      </w:r>
    </w:p>
    <w:p>
      <w:pPr>
        <w:pStyle w:val="CalloutDefinition"/>
      </w:pPr>
      <w:r>
        <w:rPr>
          <w:bCs/>
          <w:b/>
        </w:rPr>
        <w:t xml:space="preserve">Definition — Reduce-side (sort-merge) join and broadcast (map-side) join.</w:t>
      </w:r>
      <w:r>
        <w:t xml:space="preserve"> </w:t>
      </w:r>
      <w:r>
        <w:t xml:space="preserve">In a</w:t>
      </w:r>
      <w:r>
        <w:t xml:space="preserve"> </w:t>
      </w:r>
      <w:r>
        <w:rPr>
          <w:bCs/>
          <w:b/>
        </w:rPr>
        <w:t xml:space="preserve">reduce-side join</w:t>
      </w:r>
      <w:r>
        <w:t xml:space="preserve">, both inputs are mapped to</w:t>
      </w:r>
      <w:r>
        <w:t xml:space="preserve"> </w:t>
      </w:r>
      <w:r>
        <w:rPr>
          <w:rStyle w:val="VerbatimChar"/>
        </w:rPr>
        <w:t xml:space="preserve">(join key, tagged record)</w:t>
      </w:r>
      <w:r>
        <w:t xml:space="preserve">, shuffled so that all records with the same key meet at one reducer, sorted, and combined there. In a</w:t>
      </w:r>
      <w:r>
        <w:t xml:space="preserve"> </w:t>
      </w:r>
      <w:r>
        <w:rPr>
          <w:bCs/>
          <w:b/>
        </w:rPr>
        <w:t xml:space="preserve">broadcast join</w:t>
      </w:r>
      <w:r>
        <w:t xml:space="preserve">, the smaller input is copied in full to every map task, loaded into an in-memory hash table, and each record of the larger input is joined locally by lookup, with no shuffle of the larger input.</w:t>
      </w:r>
    </w:p>
    <w:bookmarkStart w:id="3262" w:name="how-it-works-internally-113"/>
    <w:p>
      <w:pPr>
        <w:pStyle w:val="Heading4"/>
      </w:pPr>
      <w:r>
        <w:t xml:space="preserve">How it works internally</w:t>
      </w:r>
    </w:p>
    <w:p>
      <w:pPr>
        <w:numPr>
          <w:ilvl w:val="0"/>
          <w:numId w:val="1947"/>
        </w:numPr>
        <w:pStyle w:val="Compact"/>
      </w:pPr>
      <w:r>
        <w:rPr>
          <w:bCs/>
          <w:b/>
        </w:rPr>
        <w:t xml:space="preserve">Reduce-side join.</w:t>
      </w:r>
      <w:r>
        <w:t xml:space="preserve"> </w:t>
      </w:r>
      <w:r>
        <w:t xml:space="preserve">Mappers tag each record with its source (</w:t>
      </w:r>
      <w:r>
        <w:rPr>
          <w:rStyle w:val="VerbatimChar"/>
        </w:rPr>
        <w:t xml:space="preserve">U</w:t>
      </w:r>
      <w:r>
        <w:t xml:space="preserve"> </w:t>
      </w:r>
      <w:r>
        <w:t xml:space="preserve">or</w:t>
      </w:r>
      <w:r>
        <w:t xml:space="preserve"> </w:t>
      </w:r>
      <w:r>
        <w:rPr>
          <w:rStyle w:val="VerbatimChar"/>
        </w:rPr>
        <w:t xml:space="preserve">O</w:t>
      </w:r>
      <w:r>
        <w:t xml:space="preserve"> </w:t>
      </w:r>
      <w:r>
        <w:t xml:space="preserve">in the code above) and both tables are partitioned by key. A</w:t>
      </w:r>
      <w:r>
        <w:t xml:space="preserve"> </w:t>
      </w:r>
      <w:r>
        <w:rPr>
          <w:bCs/>
          <w:b/>
        </w:rPr>
        <w:t xml:space="preserve">secondary sort</w:t>
      </w:r>
      <w:r>
        <w:t xml:space="preserve"> </w:t>
      </w:r>
      <w:r>
        <w:t xml:space="preserve">can put the user record before its orders, so the reducer streams orders past one buffered user. It works for any sizes but shuffles</w:t>
      </w:r>
      <w:r>
        <w:t xml:space="preserve"> </w:t>
      </w:r>
      <w:r>
        <w:rPr>
          <w:iCs/>
          <w:i/>
        </w:rPr>
        <w:t xml:space="preserve">both</w:t>
      </w:r>
      <w:r>
        <w:t xml:space="preserve"> </w:t>
      </w:r>
      <w:r>
        <w:t xml:space="preserve">tables.</w:t>
      </w:r>
    </w:p>
    <w:p>
      <w:pPr>
        <w:numPr>
          <w:ilvl w:val="0"/>
          <w:numId w:val="1947"/>
        </w:numPr>
        <w:pStyle w:val="Compact"/>
      </w:pPr>
      <w:r>
        <w:rPr>
          <w:bCs/>
          <w:b/>
        </w:rPr>
        <w:t xml:space="preserve">Broadcast hash join.</w:t>
      </w:r>
      <w:r>
        <w:t xml:space="preserve"> </w:t>
      </w:r>
      <w:r>
        <w:t xml:space="preserve">The small table (say 5 GB of user profiles) is shipped to every task. Each mapper streams the large table and probes the hash table. Nothing large crosses the network, and no sort is needed. It fails if the small side does not fit in a task’s memory.</w:t>
      </w:r>
    </w:p>
    <w:p>
      <w:pPr>
        <w:numPr>
          <w:ilvl w:val="0"/>
          <w:numId w:val="1947"/>
        </w:numPr>
        <w:pStyle w:val="Compact"/>
      </w:pPr>
      <w:r>
        <w:rPr>
          <w:bCs/>
          <w:b/>
        </w:rPr>
        <w:t xml:space="preserve">Bucketed map-side join.</w:t>
      </w:r>
      <w:r>
        <w:t xml:space="preserve"> </w:t>
      </w:r>
      <w:r>
        <w:t xml:space="preserve">If both inputs were</w:t>
      </w:r>
      <w:r>
        <w:t xml:space="preserve"> </w:t>
      </w:r>
      <w:r>
        <w:rPr>
          <w:iCs/>
          <w:i/>
        </w:rPr>
        <w:t xml:space="preserve">already</w:t>
      </w:r>
      <w:r>
        <w:t xml:space="preserve"> </w:t>
      </w:r>
      <w:r>
        <w:t xml:space="preserve">written sorted into the same number of buckets by the join key, task</w:t>
      </w:r>
      <w:r>
        <w:t xml:space="preserve"> </w:t>
      </w:r>
      <m:oMath>
        <m:r>
          <m:t>i</m:t>
        </m:r>
      </m:oMath>
      <w:r>
        <w:t xml:space="preserve"> </w:t>
      </w:r>
      <w:r>
        <w:t xml:space="preserve">merges bucket</w:t>
      </w:r>
      <w:r>
        <w:t xml:space="preserve"> </w:t>
      </w:r>
      <m:oMath>
        <m:r>
          <m:t>i</m:t>
        </m:r>
      </m:oMath>
      <w:r>
        <w:t xml:space="preserve"> </w:t>
      </w:r>
      <w:r>
        <w:t xml:space="preserve">of each without a shuffle.</w:t>
      </w:r>
    </w:p>
    <w:p>
      <w:pPr>
        <w:pStyle w:val="FirstParagraph"/>
      </w:pPr>
      <w:r>
        <w:rPr>
          <w:bCs/>
          <w:b/>
        </w:rPr>
        <w:t xml:space="preserve">Figure 29.5 — Reduce-side join versus broadcast join.</w:t>
      </w:r>
    </w:p>
    <w:p>
      <w:pPr>
        <w:pStyle w:val="BodyText"/>
      </w:pPr>
      <w:r>
        <w:drawing>
          <wp:inline>
            <wp:extent cx="5334000" cy="754020"/>
            <wp:effectExtent b="0" l="0" r="0" t="0"/>
            <wp:docPr descr="" title="" id="3260" name="Picture"/>
            <a:graphic>
              <a:graphicData uri="http://schemas.openxmlformats.org/drawingml/2006/picture">
                <pic:pic>
                  <pic:nvPicPr>
                    <pic:cNvPr descr="/home/user/System-Design/build/.cache/diagrams/315f41ac3d1c.png" id="3261" name="Picture"/>
                    <pic:cNvPicPr>
                      <a:picLocks noChangeArrowheads="1" noChangeAspect="1"/>
                    </pic:cNvPicPr>
                  </pic:nvPicPr>
                  <pic:blipFill>
                    <a:blip r:embed="rId3259"/>
                    <a:stretch>
                      <a:fillRect/>
                    </a:stretch>
                  </pic:blipFill>
                  <pic:spPr bwMode="auto">
                    <a:xfrm>
                      <a:off x="0" y="0"/>
                      <a:ext cx="5334000" cy="754020"/>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In the</w:t>
      </w:r>
      <w:r>
        <w:t xml:space="preserve"> </w:t>
      </w:r>
      <w:r>
        <w:rPr>
          <w:iCs/>
          <w:i/>
        </w:rPr>
        <w:t xml:space="preserve">reduce-side join</w:t>
      </w:r>
      <w:r>
        <w:t xml:space="preserve">, mappers key both tables by</w:t>
      </w:r>
      <w:r>
        <w:t xml:space="preserve"> </w:t>
      </w:r>
      <w:r>
        <w:rPr>
          <w:rStyle w:val="VerbatimChar"/>
        </w:rPr>
        <w:t xml:space="preserve">user_id</w:t>
      </w:r>
      <w:r>
        <w:t xml:space="preserve"> </w:t>
      </w:r>
      <w:r>
        <w:t xml:space="preserve">and the</w:t>
      </w:r>
      <w:r>
        <w:t xml:space="preserve"> </w:t>
      </w:r>
      <w:r>
        <w:rPr>
          <w:iCs/>
          <w:i/>
        </w:rPr>
        <w:t xml:space="preserve">shuffle</w:t>
      </w:r>
      <w:r>
        <w:t xml:space="preserve"> </w:t>
      </w:r>
      <w:r>
        <w:t xml:space="preserve">(asynchronous, all-to-all) brings matching records to one</w:t>
      </w:r>
      <w:r>
        <w:t xml:space="preserve"> </w:t>
      </w:r>
      <w:r>
        <w:rPr>
          <w:iCs/>
          <w:i/>
        </w:rPr>
        <w:t xml:space="preserve">reducer</w:t>
      </w:r>
      <w:r>
        <w:t xml:space="preserve">. In the</w:t>
      </w:r>
      <w:r>
        <w:t xml:space="preserve"> </w:t>
      </w:r>
      <w:r>
        <w:rPr>
          <w:iCs/>
          <w:i/>
        </w:rPr>
        <w:t xml:space="preserve">broadcast join</w:t>
      </w:r>
      <w:r>
        <w:t xml:space="preserve">,</w:t>
      </w:r>
      <w:r>
        <w:t xml:space="preserve"> </w:t>
      </w:r>
      <w:r>
        <w:rPr>
          <w:iCs/>
          <w:i/>
        </w:rPr>
        <w:t xml:space="preserve">users</w:t>
      </w:r>
      <w:r>
        <w:t xml:space="preserve"> </w:t>
      </w:r>
      <w:r>
        <w:t xml:space="preserve">are copied to every task as a</w:t>
      </w:r>
      <w:r>
        <w:t xml:space="preserve"> </w:t>
      </w:r>
      <w:r>
        <w:rPr>
          <w:iCs/>
          <w:i/>
        </w:rPr>
        <w:t xml:space="preserve">hash table</w:t>
      </w:r>
      <w:r>
        <w:t xml:space="preserve"> </w:t>
      </w:r>
      <w:r>
        <w:t xml:space="preserve">and</w:t>
      </w:r>
      <w:r>
        <w:t xml:space="preserve"> </w:t>
      </w:r>
      <w:r>
        <w:rPr>
          <w:iCs/>
          <w:i/>
        </w:rPr>
        <w:t xml:space="preserve">orders</w:t>
      </w:r>
      <w:r>
        <w:t xml:space="preserve"> </w:t>
      </w:r>
      <w:r>
        <w:t xml:space="preserve">are streamed and joined in place. Storage: inputs and outputs are durable; the hash table lives in task memory. Failure points: a broadcast side larger than memory causes out-of-memory failures; a skewed key overloads one reducer (§29.6.3). Scaling: broadcast cost grows with the number of tasks, shuffle cost with both inputs.</w:t>
      </w:r>
    </w:p>
    <w:bookmarkEnd w:id="3262"/>
    <w:bookmarkStart w:id="3263" w:name="mathematical-foundations-60"/>
    <w:p>
      <w:pPr>
        <w:pStyle w:val="Heading4"/>
      </w:pPr>
      <w:r>
        <w:t xml:space="preserve">Mathematical foundations</w:t>
      </w:r>
    </w:p>
    <w:p>
      <w:pPr>
        <w:pStyle w:val="CalloutFormula"/>
      </w:pPr>
      <w:r>
        <w:rPr>
          <w:bCs/>
          <w:b/>
        </w:rPr>
        <w:t xml:space="preserve">FORMULA</w:t>
      </w:r>
    </w:p>
    <w:p>
      <w:pPr>
        <w:pStyle w:val="CalloutFormula"/>
      </w:pPr>
      <w:r>
        <w:rPr>
          <w:bCs/>
          <w:b/>
        </w:rPr>
        <w:t xml:space="preserve">Network cost of a shuffle join versus a broadcast join</w:t>
      </w:r>
    </w:p>
    <w:p>
      <w:pPr>
        <w:pStyle w:val="CalloutFormula"/>
      </w:pPr>
      <m:oMathPara>
        <m:oMathParaPr>
          <m:jc m:val="center"/>
        </m:oMathParaPr>
        <m:oMath>
          <m:sSub>
            <m:e>
              <m:r>
                <m:t>V</m:t>
              </m:r>
            </m:e>
            <m:sub>
              <m:r>
                <m:rPr>
                  <m:nor/>
                  <m:sty m:val="p"/>
                </m:rPr>
                <m:t>shuffle</m:t>
              </m:r>
            </m:sub>
          </m:sSub>
          <m:r>
            <m:rPr>
              <m:sty m:val="p"/>
            </m:rPr>
            <m:t>≈</m:t>
          </m:r>
          <m:d>
            <m:dPr>
              <m:begChr m:val="("/>
              <m:endChr m:val=")"/>
              <m:sepChr m:val=""/>
              <m:grow/>
            </m:dPr>
            <m:e>
              <m:d>
                <m:dPr>
                  <m:begChr m:val="|"/>
                  <m:endChr m:val="|"/>
                  <m:sepChr m:val=""/>
                  <m:grow/>
                </m:dPr>
                <m:e>
                  <m:r>
                    <m:t>L</m:t>
                  </m:r>
                </m:e>
              </m:d>
              <m:r>
                <m:rPr>
                  <m:sty m:val="p"/>
                </m:rPr>
                <m:t>+</m:t>
              </m:r>
              <m:d>
                <m:dPr>
                  <m:begChr m:val="|"/>
                  <m:endChr m:val="|"/>
                  <m:sepChr m:val=""/>
                  <m:grow/>
                </m:dPr>
                <m:e>
                  <m:r>
                    <m:t>S</m:t>
                  </m:r>
                </m:e>
              </m:d>
            </m:e>
          </m:d>
          <m:r>
            <m:rPr>
              <m:sty m:val="p"/>
            </m:rPr>
            <m:t>⋅</m:t>
          </m:r>
          <m:f>
            <m:fPr>
              <m:type m:val="bar"/>
            </m:fPr>
            <m:num>
              <m:r>
                <m:t>N</m:t>
              </m:r>
              <m:r>
                <m:rPr>
                  <m:sty m:val="p"/>
                </m:rPr>
                <m:t>−</m:t>
              </m:r>
              <m:r>
                <m:t>1</m:t>
              </m:r>
            </m:num>
            <m:den>
              <m:r>
                <m:t>N</m:t>
              </m:r>
            </m:den>
          </m:f>
          <m:r>
            <m:rPr>
              <m:sty m:val="p"/>
            </m:rPr>
            <m:t>,</m:t>
          </m:r>
          <m:r>
            <m:t>  </m:t>
          </m:r>
          <m:sSub>
            <m:e>
              <m:r>
                <m:t>V</m:t>
              </m:r>
            </m:e>
            <m:sub>
              <m:r>
                <m:rPr>
                  <m:nor/>
                  <m:sty m:val="p"/>
                </m:rPr>
                <m:t>broadcast</m:t>
              </m:r>
            </m:sub>
          </m:sSub>
          <m:r>
            <m:rPr>
              <m:sty m:val="p"/>
            </m:rPr>
            <m:t>≈</m:t>
          </m:r>
          <m:d>
            <m:dPr>
              <m:begChr m:val="|"/>
              <m:endChr m:val="|"/>
              <m:sepChr m:val=""/>
              <m:grow/>
            </m:dPr>
            <m:e>
              <m:r>
                <m:t>S</m:t>
              </m:r>
            </m:e>
          </m:d>
          <m:r>
            <m:rPr>
              <m:sty m:val="p"/>
            </m:rPr>
            <m:t>⋅</m:t>
          </m:r>
          <m:d>
            <m:dPr>
              <m:begChr m:val="("/>
              <m:endChr m:val=")"/>
              <m:sepChr m:val=""/>
              <m:grow/>
            </m:dPr>
            <m:e>
              <m:r>
                <m:t>N</m:t>
              </m:r>
              <m:r>
                <m:rPr>
                  <m:sty m:val="p"/>
                </m:rPr>
                <m:t>−</m:t>
              </m:r>
              <m:r>
                <m:t>1</m:t>
              </m:r>
            </m:e>
          </m:d>
        </m:oMath>
      </m:oMathPara>
    </w:p>
    <w:p>
      <w:pPr>
        <w:pStyle w:val="CalloutFormula"/>
      </w:pPr>
      <w:r>
        <w:t xml:space="preserve">Broadcast is cheaper when</w:t>
      </w:r>
      <w:r>
        <w:t xml:space="preserve"> </w:t>
      </w:r>
      <m:oMath>
        <m:d>
          <m:dPr>
            <m:begChr m:val="|"/>
            <m:endChr m:val="|"/>
            <m:sepChr m:val=""/>
            <m:grow/>
          </m:dPr>
          <m:e>
            <m:r>
              <m:t>S</m:t>
            </m:r>
          </m:e>
        </m:d>
        <m:r>
          <m:rPr>
            <m:sty m:val="p"/>
          </m:rPr>
          <m:t>⋅</m:t>
        </m:r>
        <m:r>
          <m:t>N</m:t>
        </m:r>
        <m:r>
          <m:rPr>
            <m:sty m:val="p"/>
          </m:rPr>
          <m:t>&lt;</m:t>
        </m:r>
        <m:d>
          <m:dPr>
            <m:begChr m:val="|"/>
            <m:endChr m:val="|"/>
            <m:sepChr m:val=""/>
            <m:grow/>
          </m:dPr>
          <m:e>
            <m:r>
              <m:t>L</m:t>
            </m:r>
          </m:e>
        </m:d>
        <m:r>
          <m:rPr>
            <m:sty m:val="p"/>
          </m:rPr>
          <m:t>+</m:t>
        </m:r>
        <m:d>
          <m:dPr>
            <m:begChr m:val="|"/>
            <m:endChr m:val="|"/>
            <m:sepChr m:val=""/>
            <m:grow/>
          </m:dPr>
          <m:e>
            <m:r>
              <m:t>S</m:t>
            </m:r>
          </m:e>
        </m:d>
      </m:oMath>
      <w:r>
        <w:t xml:space="preserve">, roughly</w:t>
      </w:r>
      <w:r>
        <w:t xml:space="preserve"> </w:t>
      </w:r>
      <m:oMath>
        <m:d>
          <m:dPr>
            <m:begChr m:val="|"/>
            <m:endChr m:val="|"/>
            <m:sepChr m:val=""/>
            <m:grow/>
          </m:dPr>
          <m:e>
            <m:r>
              <m:t>S</m:t>
            </m:r>
          </m:e>
        </m:d>
        <m:r>
          <m:rPr>
            <m:sty m:val="p"/>
          </m:rPr>
          <m:t>&lt;</m:t>
        </m:r>
        <m:d>
          <m:dPr>
            <m:begChr m:val="|"/>
            <m:endChr m:val="|"/>
            <m:sepChr m:val=""/>
            <m:grow/>
          </m:dPr>
          <m:e>
            <m:r>
              <m:t>L</m:t>
            </m:r>
          </m:e>
        </m:d>
        <m:r>
          <m:rPr>
            <m:sty m:val="p"/>
          </m:rPr>
          <m:t>/</m:t>
        </m:r>
        <m:d>
          <m:dPr>
            <m:begChr m:val="("/>
            <m:endChr m:val=")"/>
            <m:sepChr m:val=""/>
            <m:grow/>
          </m:dPr>
          <m:e>
            <m:r>
              <m:t>N</m:t>
            </m:r>
            <m:r>
              <m:rPr>
                <m:sty m:val="p"/>
              </m:rPr>
              <m:t>−</m:t>
            </m:r>
            <m:r>
              <m:t>1</m:t>
            </m:r>
          </m:e>
        </m:d>
      </m:oMath>
      <w:r>
        <w:t xml:space="preserve">, and</w:t>
      </w:r>
      <w:r>
        <w:t xml:space="preserve"> </w:t>
      </w:r>
      <m:oMath>
        <m:d>
          <m:dPr>
            <m:begChr m:val="|"/>
            <m:endChr m:val="|"/>
            <m:sepChr m:val=""/>
            <m:grow/>
          </m:dPr>
          <m:e>
            <m:r>
              <m:t>S</m:t>
            </m:r>
          </m:e>
        </m:d>
      </m:oMath>
      <w:r>
        <w:t xml:space="preserve"> </w:t>
      </w:r>
      <w:r>
        <w:t xml:space="preserve">fits in each executor’s memory.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rPr>
                  <m:sty m:val="p"/>
                </m:rPr>
                <m:t>|</m:t>
              </m:r>
              <m:r>
                <m:t>L</m:t>
              </m:r>
              <m:r>
                <m:rPr>
                  <m:sty m:val="p"/>
                </m:rPr>
                <m:t>|</m:t>
              </m:r>
              <m:r>
                <m:rPr>
                  <m:sty m:val="p"/>
                </m:rPr>
                <m:t>,</m:t>
              </m:r>
              <m:r>
                <m:rPr>
                  <m:sty m:val="p"/>
                </m:rPr>
                <m:t>|</m:t>
              </m:r>
              <m:r>
                <m:t>S</m:t>
              </m:r>
              <m:r>
                <m:rPr>
                  <m:sty m:val="p"/>
                </m:rPr>
                <m:t>|</m:t>
              </m:r>
            </m:oMath>
          </w:p>
        </w:tc>
        <w:tc>
          <w:tcPr/>
          <w:p>
            <w:pPr>
              <w:pStyle w:val="Compact"/>
              <w:jc w:val="left"/>
            </w:pPr>
            <w:r>
              <w:t xml:space="preserve">Size of the large and small input</w:t>
            </w:r>
          </w:p>
        </w:tc>
        <w:tc>
          <w:tcPr/>
          <w:p>
            <w:pPr>
              <w:pStyle w:val="Compact"/>
              <w:jc w:val="left"/>
            </w:pPr>
            <w:r>
              <w:t xml:space="preserve">bytes</w:t>
            </w:r>
          </w:p>
        </w:tc>
      </w:tr>
      <w:tr>
        <w:tc>
          <w:tcPr/>
          <w:p>
            <w:pPr>
              <w:pStyle w:val="Compact"/>
              <w:jc w:val="left"/>
            </w:pPr>
            <m:oMath>
              <m:r>
                <m:t>N</m:t>
              </m:r>
            </m:oMath>
          </w:p>
        </w:tc>
        <w:tc>
          <w:tcPr/>
          <w:p>
            <w:pPr>
              <w:pStyle w:val="Compact"/>
              <w:jc w:val="left"/>
            </w:pPr>
            <w:r>
              <w:t xml:space="preserve">Number of executors or nodes receiving data</w:t>
            </w:r>
          </w:p>
        </w:tc>
        <w:tc>
          <w:tcPr/>
          <w:p>
            <w:pPr>
              <w:pStyle w:val="Compact"/>
              <w:jc w:val="left"/>
            </w:pPr>
            <w:r>
              <w:t xml:space="preserve">count</w:t>
            </w:r>
          </w:p>
        </w:tc>
      </w:tr>
      <w:tr>
        <w:tc>
          <w:tcPr/>
          <w:p>
            <w:pPr>
              <w:pStyle w:val="Compact"/>
              <w:jc w:val="left"/>
            </w:pPr>
            <m:oMath>
              <m:r>
                <m:t>V</m:t>
              </m:r>
            </m:oMath>
          </w:p>
        </w:tc>
        <w:tc>
          <w:tcPr/>
          <w:p>
            <w:pPr>
              <w:pStyle w:val="Compact"/>
              <w:jc w:val="left"/>
            </w:pPr>
            <w:r>
              <w:t xml:space="preserve">Bytes sent over the network</w:t>
            </w:r>
          </w:p>
        </w:tc>
        <w:tc>
          <w:tcPr/>
          <w:p>
            <w:pPr>
              <w:pStyle w:val="Compact"/>
              <w:jc w:val="left"/>
            </w:pPr>
            <w:r>
              <w:t xml:space="preserve">bytes</w:t>
            </w:r>
          </w:p>
        </w:tc>
      </w:tr>
    </w:tbl>
    <w:p>
      <w:pPr>
        <w:pStyle w:val="CalloutExample"/>
      </w:pPr>
      <w:r>
        <w:rPr>
          <w:bCs/>
          <w:b/>
        </w:rPr>
        <w:t xml:space="preserve">WORKED EXAMPLE</w:t>
      </w:r>
    </w:p>
    <w:p>
      <w:pPr>
        <w:pStyle w:val="CalloutExample"/>
      </w:pPr>
      <w:r>
        <w:rPr>
          <w:bCs/>
          <w:b/>
        </w:rPr>
        <w:t xml:space="preserve">Worked example — Orders and users on 100 executors.</w:t>
      </w:r>
      <w:r>
        <w:t xml:space="preserve"> </w:t>
      </w:r>
      <m:oMath>
        <m:d>
          <m:dPr>
            <m:begChr m:val="|"/>
            <m:endChr m:val="|"/>
            <m:sepChr m:val=""/>
            <m:grow/>
          </m:dPr>
          <m:e>
            <m:r>
              <m:t>L</m:t>
            </m:r>
          </m:e>
        </m:d>
        <m:r>
          <m:rPr>
            <m:sty m:val="p"/>
          </m:rPr>
          <m:t>=</m:t>
        </m:r>
        <m:r>
          <m:t>2</m:t>
        </m:r>
      </m:oMath>
      <w:r>
        <w:t xml:space="preserve"> </w:t>
      </w:r>
      <w:r>
        <w:t xml:space="preserve">TB of orders,</w:t>
      </w:r>
      <w:r>
        <w:t xml:space="preserve"> </w:t>
      </w:r>
      <m:oMath>
        <m:r>
          <m:t>N</m:t>
        </m:r>
        <m:r>
          <m:rPr>
            <m:sty m:val="p"/>
          </m:rPr>
          <m:t>=</m:t>
        </m:r>
        <m:r>
          <m:t>100</m:t>
        </m:r>
      </m:oMath>
      <w:r>
        <w:t xml:space="preserve">.</w:t>
      </w:r>
    </w:p>
    <w:p>
      <w:pPr>
        <w:numPr>
          <w:ilvl w:val="0"/>
          <w:numId w:val="1948"/>
        </w:numPr>
        <w:pStyle w:val="Compact"/>
      </w:pPr>
      <m:oMath>
        <m:d>
          <m:dPr>
            <m:begChr m:val="|"/>
            <m:endChr m:val="|"/>
            <m:sepChr m:val=""/>
            <m:grow/>
          </m:dPr>
          <m:e>
            <m:r>
              <m:t>S</m:t>
            </m:r>
          </m:e>
        </m:d>
        <m:r>
          <m:rPr>
            <m:sty m:val="p"/>
          </m:rPr>
          <m:t>=</m:t>
        </m:r>
        <m:r>
          <m:t>5</m:t>
        </m:r>
      </m:oMath>
      <w:r>
        <w:t xml:space="preserve"> </w:t>
      </w:r>
      <w:r>
        <w:t xml:space="preserve">GB. Shuffle:</w:t>
      </w:r>
      <w:r>
        <w:t xml:space="preserve"> </w:t>
      </w:r>
      <m:oMath>
        <m:r>
          <m:t>2.005</m:t>
        </m:r>
        <m:r>
          <m:rPr>
            <m:nor/>
            <m:sty m:val="p"/>
          </m:rPr>
          <m:t> TB</m:t>
        </m:r>
        <m:r>
          <m:rPr>
            <m:sty m:val="p"/>
          </m:rPr>
          <m:t>×</m:t>
        </m:r>
        <m:r>
          <m:t>0.99</m:t>
        </m:r>
        <m:r>
          <m:rPr>
            <m:sty m:val="p"/>
          </m:rPr>
          <m:t>=</m:t>
        </m:r>
        <m:r>
          <m:t>1.985</m:t>
        </m:r>
      </m:oMath>
      <w:r>
        <w:t xml:space="preserve"> </w:t>
      </w:r>
      <w:r>
        <w:t xml:space="preserve">TB. Broadcast:</w:t>
      </w:r>
      <w:r>
        <w:t xml:space="preserve"> </w:t>
      </w:r>
      <m:oMath>
        <m:r>
          <m:t>5</m:t>
        </m:r>
        <m:r>
          <m:rPr>
            <m:nor/>
            <m:sty m:val="p"/>
          </m:rPr>
          <m:t> GB</m:t>
        </m:r>
        <m:r>
          <m:rPr>
            <m:sty m:val="p"/>
          </m:rPr>
          <m:t>×</m:t>
        </m:r>
        <m:r>
          <m:t>99</m:t>
        </m:r>
        <m:r>
          <m:rPr>
            <m:sty m:val="p"/>
          </m:rPr>
          <m:t>=</m:t>
        </m:r>
        <m:r>
          <m:t>495</m:t>
        </m:r>
      </m:oMath>
      <w:r>
        <w:t xml:space="preserve"> </w:t>
      </w:r>
      <w:r>
        <w:t xml:space="preserve">GB. Broadcast moves 4× less and skips sorting 2 TB.</w:t>
      </w:r>
    </w:p>
    <w:p>
      <w:pPr>
        <w:numPr>
          <w:ilvl w:val="0"/>
          <w:numId w:val="1948"/>
        </w:numPr>
        <w:pStyle w:val="Compact"/>
      </w:pPr>
      <m:oMath>
        <m:d>
          <m:dPr>
            <m:begChr m:val="|"/>
            <m:endChr m:val="|"/>
            <m:sepChr m:val=""/>
            <m:grow/>
          </m:dPr>
          <m:e>
            <m:r>
              <m:t>S</m:t>
            </m:r>
          </m:e>
        </m:d>
        <m:r>
          <m:rPr>
            <m:sty m:val="p"/>
          </m:rPr>
          <m:t>=</m:t>
        </m:r>
        <m:r>
          <m:t>50</m:t>
        </m:r>
      </m:oMath>
      <w:r>
        <w:t xml:space="preserve"> </w:t>
      </w:r>
      <w:r>
        <w:t xml:space="preserve">GB. Broadcast:</w:t>
      </w:r>
      <w:r>
        <w:t xml:space="preserve"> </w:t>
      </w:r>
      <m:oMath>
        <m:r>
          <m:t>50</m:t>
        </m:r>
        <m:r>
          <m:rPr>
            <m:sty m:val="p"/>
          </m:rPr>
          <m:t>×</m:t>
        </m:r>
        <m:r>
          <m:t>99</m:t>
        </m:r>
        <m:r>
          <m:rPr>
            <m:sty m:val="p"/>
          </m:rPr>
          <m:t>=</m:t>
        </m:r>
        <m:r>
          <m:t>4.95</m:t>
        </m:r>
      </m:oMath>
      <w:r>
        <w:t xml:space="preserve"> </w:t>
      </w:r>
      <w:r>
        <w:t xml:space="preserve">TB versus a shuffle of</w:t>
      </w:r>
      <w:r>
        <w:t xml:space="preserve"> </w:t>
      </w:r>
      <m:oMath>
        <m:r>
          <m:t>2.05</m:t>
        </m:r>
        <m:r>
          <m:rPr>
            <m:sty m:val="p"/>
          </m:rPr>
          <m:t>×</m:t>
        </m:r>
        <m:r>
          <m:t>0.99</m:t>
        </m:r>
        <m:r>
          <m:rPr>
            <m:sty m:val="p"/>
          </m:rPr>
          <m:t>=</m:t>
        </m:r>
        <m:r>
          <m:t>2.03</m:t>
        </m:r>
      </m:oMath>
      <w:r>
        <w:t xml:space="preserve"> </w:t>
      </w:r>
      <w:r>
        <w:t xml:space="preserve">TB. Shuffle wins, and 50 GB would not fit in most executors anyway.</w:t>
      </w:r>
    </w:p>
    <w:p>
      <w:pPr>
        <w:numPr>
          <w:ilvl w:val="0"/>
          <w:numId w:val="1948"/>
        </w:numPr>
        <w:pStyle w:val="Compact"/>
      </w:pPr>
      <w:r>
        <w:t xml:space="preserve">Break-even:</w:t>
      </w:r>
      <w:r>
        <w:t xml:space="preserve"> </w:t>
      </w:r>
      <m:oMath>
        <m:d>
          <m:dPr>
            <m:begChr m:val="|"/>
            <m:endChr m:val="|"/>
            <m:sepChr m:val=""/>
            <m:grow/>
          </m:dPr>
          <m:e>
            <m:r>
              <m:t>S</m:t>
            </m:r>
          </m:e>
        </m:d>
        <m:r>
          <m:rPr>
            <m:sty m:val="p"/>
          </m:rPr>
          <m:t>≈</m:t>
        </m:r>
        <m:r>
          <m:t>2</m:t>
        </m:r>
        <m:r>
          <m:rPr>
            <m:nor/>
            <m:sty m:val="p"/>
          </m:rPr>
          <m:t> TB</m:t>
        </m:r>
        <m:r>
          <m:rPr>
            <m:sty m:val="p"/>
          </m:rPr>
          <m:t>/</m:t>
        </m:r>
        <m:r>
          <m:t>99</m:t>
        </m:r>
        <m:r>
          <m:rPr>
            <m:sty m:val="p"/>
          </m:rPr>
          <m:t>≈</m:t>
        </m:r>
        <m:r>
          <m:t>20</m:t>
        </m:r>
      </m:oMath>
      <w:r>
        <w:t xml:space="preserve"> </w:t>
      </w:r>
      <w:r>
        <w:t xml:space="preserve">GB.</w:t>
      </w:r>
    </w:p>
    <w:p>
      <w:pPr>
        <w:pStyle w:val="CalloutExample"/>
      </w:pPr>
      <w:r>
        <w:rPr>
          <w:bCs/>
          <w:b/>
        </w:rPr>
        <w:t xml:space="preserve">Interpretation.</w:t>
      </w:r>
      <w:r>
        <w:t xml:space="preserve"> </w:t>
      </w:r>
      <w:r>
        <w:t xml:space="preserve">Broadcasting trades a copy per executor for avoiding a shuffle of the big side, which pays only while the small side is really small.</w:t>
      </w:r>
      <w:r>
        <w:t xml:space="preserve"> </w:t>
      </w:r>
      <w:r>
        <w:rPr>
          <w:bCs/>
          <w:b/>
        </w:rPr>
        <w:t xml:space="preserve">Engineering implication.</w:t>
      </w:r>
      <w:r>
        <w:t xml:space="preserve"> </w:t>
      </w:r>
      <w:r>
        <w:t xml:space="preserve">Spark broadcasts automatically below</w:t>
      </w:r>
      <w:r>
        <w:t xml:space="preserve"> </w:t>
      </w:r>
      <w:r>
        <w:rPr>
          <w:rStyle w:val="VerbatimChar"/>
        </w:rPr>
        <w:t xml:space="preserve">spark.sql.autoBroadcastJoinThreshold</w:t>
      </w:r>
      <w:r>
        <w:t xml:space="preserve"> </w:t>
      </w:r>
      <w:r>
        <w:t xml:space="preserve">(10 MB by default, deliberately conservative), and Adaptive Query Execution can switch to a broadcast at run time when the actual size after filtering turns out small (§29.5.4). Raise the threshold cautiously and only with memory headroom.</w:t>
      </w:r>
    </w:p>
    <w:bookmarkEnd w:id="3263"/>
    <w:bookmarkStart w:id="3264" w:name="failure-scenarios-62"/>
    <w:p>
      <w:pPr>
        <w:pStyle w:val="Heading4"/>
      </w:pPr>
      <w:r>
        <w:t xml:space="preserve">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Job never finishes; one reducer at 99%</w:t>
            </w:r>
          </w:p>
        </w:tc>
        <w:tc>
          <w:tcPr/>
          <w:p>
            <w:pPr>
              <w:pStyle w:val="Compact"/>
              <w:jc w:val="left"/>
            </w:pPr>
            <w:r>
              <w:t xml:space="preserve">Hot key or straggler</w:t>
            </w:r>
          </w:p>
        </w:tc>
        <w:tc>
          <w:tcPr/>
          <w:p>
            <w:pPr>
              <w:pStyle w:val="Compact"/>
              <w:jc w:val="left"/>
            </w:pPr>
            <w:r>
              <w:t xml:space="preserve">Task duration histogram; one task 10–100× median</w:t>
            </w:r>
          </w:p>
        </w:tc>
        <w:tc>
          <w:tcPr/>
          <w:p>
            <w:pPr>
              <w:pStyle w:val="Compact"/>
              <w:jc w:val="left"/>
            </w:pPr>
            <w:r>
              <w:t xml:space="preserve">Kill and resubmit with salting or speculation</w:t>
            </w:r>
          </w:p>
        </w:tc>
        <w:tc>
          <w:tcPr/>
          <w:p>
            <w:pPr>
              <w:pStyle w:val="Compact"/>
              <w:jc w:val="left"/>
            </w:pPr>
            <w:r>
              <w:t xml:space="preserve">Sample key frequencies; salting (§29.6.3); speculation</w:t>
            </w:r>
          </w:p>
        </w:tc>
      </w:tr>
      <w:tr>
        <w:tc>
          <w:tcPr/>
          <w:p>
            <w:pPr>
              <w:pStyle w:val="Compact"/>
              <w:jc w:val="left"/>
            </w:pPr>
            <w:r>
              <w:t xml:space="preserve">Map phase restarts late in the job</w:t>
            </w:r>
          </w:p>
        </w:tc>
        <w:tc>
          <w:tcPr/>
          <w:p>
            <w:pPr>
              <w:pStyle w:val="Compact"/>
              <w:jc w:val="left"/>
            </w:pPr>
            <w:r>
              <w:t xml:space="preserve">Node holding completed map output died</w:t>
            </w:r>
          </w:p>
        </w:tc>
        <w:tc>
          <w:tcPr/>
          <w:p>
            <w:pPr>
              <w:pStyle w:val="Compact"/>
              <w:jc w:val="left"/>
            </w:pPr>
            <w:r>
              <w:t xml:space="preserve">Fetch-failure counters in reducers</w:t>
            </w:r>
          </w:p>
        </w:tc>
        <w:tc>
          <w:tcPr/>
          <w:p>
            <w:pPr>
              <w:pStyle w:val="Compact"/>
              <w:jc w:val="left"/>
            </w:pPr>
            <w:r>
              <w:t xml:space="preserve">Coordinator reruns those maps</w:t>
            </w:r>
          </w:p>
        </w:tc>
        <w:tc>
          <w:tcPr/>
          <w:p>
            <w:pPr>
              <w:pStyle w:val="Compact"/>
              <w:jc w:val="left"/>
            </w:pPr>
            <w:r>
              <w:t xml:space="preserve">External shuffle service or replicated shuffle storage</w:t>
            </w:r>
          </w:p>
        </w:tc>
      </w:tr>
      <w:tr>
        <w:tc>
          <w:tcPr/>
          <w:p>
            <w:pPr>
              <w:pStyle w:val="Compact"/>
              <w:jc w:val="left"/>
            </w:pPr>
            <w:r>
              <w:t xml:space="preserve">Executors die with out-of-memory errors in a join</w:t>
            </w:r>
          </w:p>
        </w:tc>
        <w:tc>
          <w:tcPr/>
          <w:p>
            <w:pPr>
              <w:pStyle w:val="Compact"/>
              <w:jc w:val="left"/>
            </w:pPr>
            <w:r>
              <w:t xml:space="preserve">Broadcast side bigger than estimated</w:t>
            </w:r>
          </w:p>
        </w:tc>
        <w:tc>
          <w:tcPr/>
          <w:p>
            <w:pPr>
              <w:pStyle w:val="Compact"/>
              <w:jc w:val="left"/>
            </w:pPr>
            <w:r>
              <w:t xml:space="preserve">OOM logs; broadcast size in plan</w:t>
            </w:r>
          </w:p>
        </w:tc>
        <w:tc>
          <w:tcPr/>
          <w:p>
            <w:pPr>
              <w:pStyle w:val="Compact"/>
              <w:jc w:val="left"/>
            </w:pPr>
            <w:r>
              <w:t xml:space="preserve">Fall back to sort-merge join</w:t>
            </w:r>
          </w:p>
        </w:tc>
        <w:tc>
          <w:tcPr/>
          <w:p>
            <w:pPr>
              <w:pStyle w:val="Compact"/>
              <w:jc w:val="left"/>
            </w:pPr>
            <w:r>
              <w:t xml:space="preserve">Fresh table statistics; AQE</w:t>
            </w:r>
          </w:p>
        </w:tc>
      </w:tr>
      <w:tr>
        <w:tc>
          <w:tcPr/>
          <w:p>
            <w:pPr>
              <w:pStyle w:val="Compact"/>
              <w:jc w:val="left"/>
            </w:pPr>
            <w:r>
              <w:t xml:space="preserve">Duplicate rows in output</w:t>
            </w:r>
          </w:p>
        </w:tc>
        <w:tc>
          <w:tcPr/>
          <w:p>
            <w:pPr>
              <w:pStyle w:val="Compact"/>
              <w:jc w:val="left"/>
            </w:pPr>
            <w:r>
              <w:t xml:space="preserve">Two attempts both wrote output without atomic commit</w:t>
            </w:r>
          </w:p>
        </w:tc>
        <w:tc>
          <w:tcPr/>
          <w:p>
            <w:pPr>
              <w:pStyle w:val="Compact"/>
              <w:jc w:val="left"/>
            </w:pPr>
            <w:r>
              <w:t xml:space="preserve">Row counts exceed input-derived bound</w:t>
            </w:r>
          </w:p>
        </w:tc>
        <w:tc>
          <w:tcPr/>
          <w:p>
            <w:pPr>
              <w:pStyle w:val="Compact"/>
              <w:jc w:val="left"/>
            </w:pPr>
            <w:r>
              <w:t xml:space="preserve">Rerun with commit protocol</w:t>
            </w:r>
          </w:p>
        </w:tc>
        <w:tc>
          <w:tcPr/>
          <w:p>
            <w:pPr>
              <w:pStyle w:val="Compact"/>
              <w:jc w:val="left"/>
            </w:pPr>
            <w:r>
              <w:t xml:space="preserve">Commit by rename or table-format transaction</w:t>
            </w:r>
          </w:p>
        </w:tc>
      </w:tr>
    </w:tbl>
    <w:p>
      <w:pPr>
        <w:pStyle w:val="CalloutMistake"/>
      </w:pPr>
      <w:r>
        <w:rPr>
          <w:bCs/>
          <w:b/>
        </w:rPr>
        <w:t xml:space="preserve">COMMON MISTAKE</w:t>
      </w:r>
    </w:p>
    <w:p>
      <w:pPr>
        <w:pStyle w:val="CalloutMistake"/>
      </w:pPr>
      <w:r>
        <w:rPr>
          <w:bCs/>
          <w:b/>
        </w:rPr>
        <w:t xml:space="preserve">“</w:t>
      </w:r>
      <w:r>
        <w:rPr>
          <w:bCs/>
          <w:b/>
        </w:rPr>
        <w:t xml:space="preserve">A combiner is just the reducer run early, so any reducer can be a combiner.</w:t>
      </w:r>
      <w:r>
        <w:rPr>
          <w:bCs/>
          <w:b/>
        </w:rPr>
        <w:t xml:space="preserve">”</w:t>
      </w:r>
      <w:r>
        <w:t xml:space="preserve"> </w:t>
      </w:r>
      <w:r>
        <w:t xml:space="preserve">Only associative and commutative operations qualify, and the combiner may run zero, one or many times. An average computed in the combiner and then averaged again in the reducer is wrong; emit</w:t>
      </w:r>
      <w:r>
        <w:t xml:space="preserve"> </w:t>
      </w:r>
      <w:r>
        <w:rPr>
          <w:rStyle w:val="VerbatimChar"/>
        </w:rPr>
        <w:t xml:space="preserve">(sum, count)</w:t>
      </w:r>
      <w:r>
        <w:t xml:space="preserve"> </w:t>
      </w:r>
      <w:r>
        <w:t xml:space="preserve">pairs and divide only in the reducer.</w:t>
      </w:r>
    </w:p>
    <w:bookmarkEnd w:id="3264"/>
    <w:bookmarkEnd w:id="3265"/>
    <w:bookmarkEnd w:id="3266"/>
    <w:bookmarkStart w:id="3286" w:name="apache-spark"/>
    <w:p>
      <w:pPr>
        <w:pStyle w:val="Heading2"/>
      </w:pPr>
      <w:r>
        <w:t xml:space="preserve">29.5 Apache Spark</w:t>
      </w:r>
    </w:p>
    <w:bookmarkStart w:id="3273" w:name="Xba54774f528e163461cc59e126380c1886174e1"/>
    <w:p>
      <w:pPr>
        <w:pStyle w:val="Heading3"/>
      </w:pPr>
      <w:r>
        <w:t xml:space="preserve">29.5.1 Resilient Distributed Datasets and lineage</w:t>
      </w:r>
    </w:p>
    <w:p>
      <w:pPr>
        <w:pStyle w:val="CalloutDefinition"/>
      </w:pPr>
      <w:r>
        <w:rPr>
          <w:bCs/>
          <w:b/>
        </w:rPr>
        <w:t xml:space="preserve">DEFINITION</w:t>
      </w:r>
    </w:p>
    <w:p>
      <w:pPr>
        <w:pStyle w:val="CalloutDefinition"/>
      </w:pPr>
      <w:r>
        <w:rPr>
          <w:bCs/>
          <w:b/>
        </w:rPr>
        <w:t xml:space="preserve">Definition — Resilient Distributed Dataset (RDD).</w:t>
      </w:r>
      <w:r>
        <w:t xml:space="preserve"> </w:t>
      </w:r>
      <w:r>
        <w:t xml:space="preserve">A read-only, partitioned collection of records that can be created only by deterministic operations (</w:t>
      </w:r>
      <w:r>
        <w:rPr>
          <w:bCs/>
          <w:b/>
        </w:rPr>
        <w:t xml:space="preserve">transformations</w:t>
      </w:r>
      <w:r>
        <w:t xml:space="preserve"> </w:t>
      </w:r>
      <w:r>
        <w:t xml:space="preserve">such as</w:t>
      </w:r>
      <w:r>
        <w:t xml:space="preserve"> </w:t>
      </w:r>
      <w:r>
        <w:rPr>
          <w:rStyle w:val="VerbatimChar"/>
        </w:rPr>
        <w:t xml:space="preserve">map</w:t>
      </w:r>
      <w:r>
        <w:t xml:space="preserve">,</w:t>
      </w:r>
      <w:r>
        <w:t xml:space="preserve"> </w:t>
      </w:r>
      <w:r>
        <w:rPr>
          <w:rStyle w:val="VerbatimChar"/>
        </w:rPr>
        <w:t xml:space="preserve">filter</w:t>
      </w:r>
      <w:r>
        <w:t xml:space="preserve">,</w:t>
      </w:r>
      <w:r>
        <w:t xml:space="preserve"> </w:t>
      </w:r>
      <w:r>
        <w:rPr>
          <w:rStyle w:val="VerbatimChar"/>
        </w:rPr>
        <w:t xml:space="preserve">join</w:t>
      </w:r>
      <w:r>
        <w:t xml:space="preserve">) on stable storage or on other RDDs. Each RDD records its</w:t>
      </w:r>
      <w:r>
        <w:t xml:space="preserve"> </w:t>
      </w:r>
      <w:r>
        <w:rPr>
          <w:bCs/>
          <w:b/>
        </w:rPr>
        <w:t xml:space="preserve">lineage</w:t>
      </w:r>
      <w:r>
        <w:t xml:space="preserve">, the graph of transformations that produced it, so a lost partition can be recomputed from its parents instead of being restored from a replica [Zaharia et al. 2012].</w:t>
      </w:r>
    </w:p>
    <w:bookmarkStart w:id="3267" w:name="first-principles-explanation-157"/>
    <w:p>
      <w:pPr>
        <w:pStyle w:val="Heading4"/>
      </w:pPr>
      <w:r>
        <w:t xml:space="preserve">First-principles explanation</w:t>
      </w:r>
    </w:p>
    <w:p>
      <w:pPr>
        <w:pStyle w:val="FirstParagraph"/>
      </w:pPr>
      <w:r>
        <w:t xml:space="preserve">A recipe card is cheaper to keep than a fridge full of prepared dishes. If someone drops the sauce, you do not need a backup sauce; you need the recipe and the raw ingredients, and you redo only the sauce. An RDD is a recipe plus a pointer to ingredients in durable storage. Spark keeps the dishes (partitions) in memory when it can, and if a node dies it reruns the recipe only for the partitions that node held.</w:t>
      </w:r>
    </w:p>
    <w:bookmarkEnd w:id="3267"/>
    <w:bookmarkStart w:id="3268" w:name="why-does-this-exist-101"/>
    <w:p>
      <w:pPr>
        <w:pStyle w:val="Heading4"/>
      </w:pPr>
      <w:r>
        <w:t xml:space="preserve">Why does this exist?</w:t>
      </w:r>
    </w:p>
    <w:p>
      <w:pPr>
        <w:pStyle w:val="FirstParagraph"/>
      </w:pPr>
      <w:r>
        <w:t xml:space="preserve">MapReduce writes every job’s output to the replicated distributed file system, and multi-step pipelines are chains of jobs. That is wasteful for</w:t>
      </w:r>
      <w:r>
        <w:t xml:space="preserve"> </w:t>
      </w:r>
      <w:r>
        <w:rPr>
          <w:bCs/>
          <w:b/>
        </w:rPr>
        <w:t xml:space="preserve">iterative</w:t>
      </w:r>
      <w:r>
        <w:t xml:space="preserve"> </w:t>
      </w:r>
      <w:r>
        <w:t xml:space="preserve">algorithms (logistic regression, k-means, PageRank) that reread the same data many times, and for</w:t>
      </w:r>
      <w:r>
        <w:t xml:space="preserve"> </w:t>
      </w:r>
      <w:r>
        <w:rPr>
          <w:bCs/>
          <w:b/>
        </w:rPr>
        <w:t xml:space="preserve">interactive</w:t>
      </w:r>
      <w:r>
        <w:t xml:space="preserve"> </w:t>
      </w:r>
      <w:r>
        <w:t xml:space="preserve">analysis. Replicating in-memory data instead would cost network bandwidth comparable to the writes it saved. Lineage gives fault tolerance by logging the</w:t>
      </w:r>
      <w:r>
        <w:t xml:space="preserve"> </w:t>
      </w:r>
      <w:r>
        <w:rPr>
          <w:iCs/>
          <w:i/>
        </w:rPr>
        <w:t xml:space="preserve">coarse-grained</w:t>
      </w:r>
      <w:r>
        <w:t xml:space="preserve"> </w:t>
      </w:r>
      <w:r>
        <w:t xml:space="preserve">transformation once per dataset rather than every record [Zaharia et al. 2012].</w:t>
      </w:r>
    </w:p>
    <w:bookmarkEnd w:id="3268"/>
    <w:bookmarkStart w:id="3272" w:name="how-it-works-internally-114"/>
    <w:p>
      <w:pPr>
        <w:pStyle w:val="Heading4"/>
      </w:pPr>
      <w:r>
        <w:t xml:space="preserve">How it works internally</w:t>
      </w:r>
    </w:p>
    <w:p>
      <w:pPr>
        <w:numPr>
          <w:ilvl w:val="0"/>
          <w:numId w:val="1949"/>
        </w:numPr>
        <w:pStyle w:val="Compact"/>
      </w:pPr>
      <w:r>
        <w:rPr>
          <w:bCs/>
          <w:b/>
        </w:rPr>
        <w:t xml:space="preserve">Transformations are lazy.</w:t>
      </w:r>
      <w:r>
        <w:t xml:space="preserve"> </w:t>
      </w:r>
      <w:r>
        <w:rPr>
          <w:rStyle w:val="VerbatimChar"/>
        </w:rPr>
        <w:t xml:space="preserve">rdd.map(f)</w:t>
      </w:r>
      <w:r>
        <w:t xml:space="preserve"> </w:t>
      </w:r>
      <w:r>
        <w:t xml:space="preserve">returns a new RDD object describing the computation; nothing runs.</w:t>
      </w:r>
    </w:p>
    <w:p>
      <w:pPr>
        <w:numPr>
          <w:ilvl w:val="0"/>
          <w:numId w:val="1949"/>
        </w:numPr>
        <w:pStyle w:val="Compact"/>
      </w:pPr>
      <w:r>
        <w:rPr>
          <w:bCs/>
          <w:b/>
        </w:rPr>
        <w:t xml:space="preserve">Actions trigger jobs.</w:t>
      </w:r>
      <w:r>
        <w:t xml:space="preserve"> </w:t>
      </w:r>
      <w:r>
        <w:rPr>
          <w:rStyle w:val="VerbatimChar"/>
        </w:rPr>
        <w:t xml:space="preserve">count()</w:t>
      </w:r>
      <w:r>
        <w:t xml:space="preserve">,</w:t>
      </w:r>
      <w:r>
        <w:t xml:space="preserve"> </w:t>
      </w:r>
      <w:r>
        <w:rPr>
          <w:rStyle w:val="VerbatimChar"/>
        </w:rPr>
        <w:t xml:space="preserve">collect()</w:t>
      </w:r>
      <w:r>
        <w:t xml:space="preserve"> </w:t>
      </w:r>
      <w:r>
        <w:t xml:space="preserve">or</w:t>
      </w:r>
      <w:r>
        <w:t xml:space="preserve"> </w:t>
      </w:r>
      <w:r>
        <w:rPr>
          <w:rStyle w:val="VerbatimChar"/>
        </w:rPr>
        <w:t xml:space="preserve">saveAsTextFile()</w:t>
      </w:r>
      <w:r>
        <w:t xml:space="preserve"> </w:t>
      </w:r>
      <w:r>
        <w:t xml:space="preserve">submit a</w:t>
      </w:r>
      <w:r>
        <w:t xml:space="preserve"> </w:t>
      </w:r>
      <w:r>
        <w:rPr>
          <w:bCs/>
          <w:b/>
        </w:rPr>
        <w:t xml:space="preserve">job</w:t>
      </w:r>
      <w:r>
        <w:t xml:space="preserve"> </w:t>
      </w:r>
      <w:r>
        <w:t xml:space="preserve">for the final RDD’s lineage graph.</w:t>
      </w:r>
    </w:p>
    <w:p>
      <w:pPr>
        <w:numPr>
          <w:ilvl w:val="0"/>
          <w:numId w:val="1949"/>
        </w:numPr>
        <w:pStyle w:val="Compact"/>
      </w:pPr>
      <w:r>
        <w:rPr>
          <w:bCs/>
          <w:b/>
        </w:rPr>
        <w:t xml:space="preserve">The driver plans, executors run.</w:t>
      </w:r>
      <w:r>
        <w:t xml:space="preserve"> </w:t>
      </w:r>
      <w:r>
        <w:t xml:space="preserve">The</w:t>
      </w:r>
      <w:r>
        <w:t xml:space="preserve"> </w:t>
      </w:r>
      <w:r>
        <w:rPr>
          <w:bCs/>
          <w:b/>
        </w:rPr>
        <w:t xml:space="preserve">driver</w:t>
      </w:r>
      <w:r>
        <w:t xml:space="preserve"> </w:t>
      </w:r>
      <w:r>
        <w:t xml:space="preserve">program holds the</w:t>
      </w:r>
      <w:r>
        <w:t xml:space="preserve"> </w:t>
      </w:r>
      <w:r>
        <w:rPr>
          <w:rStyle w:val="VerbatimChar"/>
        </w:rPr>
        <w:t xml:space="preserve">SparkContext</w:t>
      </w:r>
      <w:r>
        <w:t xml:space="preserve">, the</w:t>
      </w:r>
      <w:r>
        <w:t xml:space="preserve"> </w:t>
      </w:r>
      <w:r>
        <w:rPr>
          <w:bCs/>
          <w:b/>
        </w:rPr>
        <w:t xml:space="preserve">DAG scheduler</w:t>
      </w:r>
      <w:r>
        <w:t xml:space="preserve"> </w:t>
      </w:r>
      <w:r>
        <w:t xml:space="preserve">and the</w:t>
      </w:r>
      <w:r>
        <w:t xml:space="preserve"> </w:t>
      </w:r>
      <w:r>
        <w:rPr>
          <w:bCs/>
          <w:b/>
        </w:rPr>
        <w:t xml:space="preserve">task scheduler</w:t>
      </w:r>
      <w:r>
        <w:t xml:space="preserve">. A</w:t>
      </w:r>
      <w:r>
        <w:t xml:space="preserve"> </w:t>
      </w:r>
      <w:r>
        <w:rPr>
          <w:bCs/>
          <w:b/>
        </w:rPr>
        <w:t xml:space="preserve">cluster manager</w:t>
      </w:r>
      <w:r>
        <w:t xml:space="preserve"> </w:t>
      </w:r>
      <w:r>
        <w:t xml:space="preserve">(YARN, Kubernetes or Spark’s standalone manager) grants</w:t>
      </w:r>
      <w:r>
        <w:t xml:space="preserve"> </w:t>
      </w:r>
      <w:r>
        <w:rPr>
          <w:bCs/>
          <w:b/>
        </w:rPr>
        <w:t xml:space="preserve">executors</w:t>
      </w:r>
      <w:r>
        <w:t xml:space="preserve">, long-lived JVM processes on worker nodes, each with a number of cores and a memory region for cached partitions and shuffle buffers.</w:t>
      </w:r>
    </w:p>
    <w:p>
      <w:pPr>
        <w:numPr>
          <w:ilvl w:val="0"/>
          <w:numId w:val="1949"/>
        </w:numPr>
        <w:pStyle w:val="Compact"/>
      </w:pPr>
      <w:r>
        <w:rPr>
          <w:bCs/>
          <w:b/>
        </w:rPr>
        <w:t xml:space="preserve">Recovery.</w:t>
      </w:r>
      <w:r>
        <w:t xml:space="preserve"> </w:t>
      </w:r>
      <w:r>
        <w:t xml:space="preserve">When an executor dies, the driver identifies which partitions it held, walks the lineage back to the nearest available ancestors (cached partitions, surviving shuffle files, or the input), and reruns only the needed tasks.</w:t>
      </w:r>
    </w:p>
    <w:p>
      <w:pPr>
        <w:numPr>
          <w:ilvl w:val="0"/>
          <w:numId w:val="1949"/>
        </w:numPr>
        <w:pStyle w:val="Compact"/>
      </w:pPr>
      <w:r>
        <w:rPr>
          <w:bCs/>
          <w:b/>
        </w:rPr>
        <w:t xml:space="preserve">Checkpointing</w:t>
      </w:r>
      <w:r>
        <w:t xml:space="preserve"> </w:t>
      </w:r>
      <w:r>
        <w:t xml:space="preserve">(</w:t>
      </w:r>
      <w:r>
        <w:rPr>
          <w:rStyle w:val="VerbatimChar"/>
        </w:rPr>
        <w:t xml:space="preserve">rdd.checkpoint()</w:t>
      </w:r>
      <w:r>
        <w:t xml:space="preserve">) writes an RDD to reliable storage and truncates very long lineages.</w:t>
      </w:r>
    </w:p>
    <w:p>
      <w:pPr>
        <w:pStyle w:val="FirstParagraph"/>
      </w:pPr>
      <w:r>
        <w:rPr>
          <w:bCs/>
          <w:b/>
        </w:rPr>
        <w:t xml:space="preserve">Figure 29.6 — Spark runtime: driver, cluster manager and executors.</w:t>
      </w:r>
    </w:p>
    <w:p>
      <w:pPr>
        <w:pStyle w:val="BodyText"/>
      </w:pPr>
      <w:r>
        <w:drawing>
          <wp:inline>
            <wp:extent cx="5334000" cy="737647"/>
            <wp:effectExtent b="0" l="0" r="0" t="0"/>
            <wp:docPr descr="" title="" id="3270" name="Picture"/>
            <a:graphic>
              <a:graphicData uri="http://schemas.openxmlformats.org/drawingml/2006/picture">
                <pic:pic>
                  <pic:nvPicPr>
                    <pic:cNvPr descr="/home/user/System-Design/build/.cache/diagrams/f3244513e909.png" id="3271" name="Picture"/>
                    <pic:cNvPicPr>
                      <a:picLocks noChangeArrowheads="1" noChangeAspect="1"/>
                    </pic:cNvPicPr>
                  </pic:nvPicPr>
                  <pic:blipFill>
                    <a:blip r:embed="rId3269"/>
                    <a:stretch>
                      <a:fillRect/>
                    </a:stretch>
                  </pic:blipFill>
                  <pic:spPr bwMode="auto">
                    <a:xfrm>
                      <a:off x="0" y="0"/>
                      <a:ext cx="5334000" cy="737647"/>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w:t>
      </w:r>
      <w:r>
        <w:t xml:space="preserve"> </w:t>
      </w:r>
      <w:r>
        <w:rPr>
          <w:iCs/>
          <w:i/>
        </w:rPr>
        <w:t xml:space="preserve">driver</w:t>
      </w:r>
      <w:r>
        <w:t xml:space="preserve"> </w:t>
      </w:r>
      <w:r>
        <w:t xml:space="preserve">turns each action into a job; the</w:t>
      </w:r>
      <w:r>
        <w:t xml:space="preserve"> </w:t>
      </w:r>
      <w:r>
        <w:rPr>
          <w:iCs/>
          <w:i/>
        </w:rPr>
        <w:t xml:space="preserve">DAG scheduler</w:t>
      </w:r>
      <w:r>
        <w:t xml:space="preserve"> </w:t>
      </w:r>
      <w:r>
        <w:t xml:space="preserve">splits it into stages and the</w:t>
      </w:r>
      <w:r>
        <w:t xml:space="preserve"> </w:t>
      </w:r>
      <w:r>
        <w:rPr>
          <w:iCs/>
          <w:i/>
        </w:rPr>
        <w:t xml:space="preserve">task scheduler</w:t>
      </w:r>
      <w:r>
        <w:t xml:space="preserve"> </w:t>
      </w:r>
      <w:r>
        <w:t xml:space="preserve">places tasks, preferring executors that hold the data. The</w:t>
      </w:r>
      <w:r>
        <w:t xml:space="preserve"> </w:t>
      </w:r>
      <w:r>
        <w:rPr>
          <w:iCs/>
          <w:i/>
        </w:rPr>
        <w:t xml:space="preserve">cluster manager</w:t>
      </w:r>
      <w:r>
        <w:t xml:space="preserve"> </w:t>
      </w:r>
      <w:r>
        <w:t xml:space="preserve">starts</w:t>
      </w:r>
      <w:r>
        <w:t xml:space="preserve"> </w:t>
      </w:r>
      <w:r>
        <w:rPr>
          <w:iCs/>
          <w:i/>
        </w:rPr>
        <w:t xml:space="preserve">executors</w:t>
      </w:r>
      <w:r>
        <w:t xml:space="preserve"> </w:t>
      </w:r>
      <w:r>
        <w:t xml:space="preserve">asynchronously (dotted). Tasks are sent synchronously; executors read and write</w:t>
      </w:r>
      <w:r>
        <w:t xml:space="preserve"> </w:t>
      </w:r>
      <w:r>
        <w:rPr>
          <w:iCs/>
          <w:i/>
        </w:rPr>
        <w:t xml:space="preserve">durable storage</w:t>
      </w:r>
      <w:r>
        <w:t xml:space="preserve"> </w:t>
      </w:r>
      <w:r>
        <w:t xml:space="preserve">and exchange</w:t>
      </w:r>
      <w:r>
        <w:t xml:space="preserve"> </w:t>
      </w:r>
      <w:r>
        <w:rPr>
          <w:iCs/>
          <w:i/>
        </w:rPr>
        <w:t xml:space="preserve">shuffle blocks</w:t>
      </w:r>
      <w:r>
        <w:t xml:space="preserve">. Storage: cached partitions and shuffle files are unreplicated, on executors. Failure points: a dead executor’s partitions are recomputed from lineage; a dead driver loses the application unless restarted in cluster mode. Scaling: add executors, statically or by dynamic allocation.</w:t>
      </w:r>
    </w:p>
    <w:bookmarkEnd w:id="3272"/>
    <w:bookmarkEnd w:id="3273"/>
    <w:bookmarkStart w:id="3277" w:name="X83ca61b96d2dec3601b4e8a56e5c0e5c0a589d3"/>
    <w:p>
      <w:pPr>
        <w:pStyle w:val="Heading3"/>
      </w:pPr>
      <w:r>
        <w:t xml:space="preserve">29.5.2 Narrow and wide dependencies, stages and tasks</w:t>
      </w:r>
    </w:p>
    <w:p>
      <w:pPr>
        <w:pStyle w:val="CalloutDefinition"/>
      </w:pPr>
      <w:r>
        <w:rPr>
          <w:bCs/>
          <w:b/>
        </w:rPr>
        <w:t xml:space="preserve">DEFINITION</w:t>
      </w:r>
    </w:p>
    <w:p>
      <w:pPr>
        <w:pStyle w:val="CalloutDefinition"/>
      </w:pPr>
      <w:r>
        <w:rPr>
          <w:bCs/>
          <w:b/>
        </w:rPr>
        <w:t xml:space="preserve">Definition — Narrow and wide dependencies.</w:t>
      </w:r>
      <w:r>
        <w:t xml:space="preserve"> </w:t>
      </w:r>
      <w:r>
        <w:t xml:space="preserve">A</w:t>
      </w:r>
      <w:r>
        <w:t xml:space="preserve"> </w:t>
      </w:r>
      <w:r>
        <w:rPr>
          <w:bCs/>
          <w:b/>
        </w:rPr>
        <w:t xml:space="preserve">narrow dependency</w:t>
      </w:r>
      <w:r>
        <w:t xml:space="preserve"> </w:t>
      </w:r>
      <w:r>
        <w:t xml:space="preserve">exists when each partition of the parent RDD is used by at most one partition of the child (</w:t>
      </w:r>
      <w:r>
        <w:rPr>
          <w:rStyle w:val="VerbatimChar"/>
        </w:rPr>
        <w:t xml:space="preserve">map</w:t>
      </w:r>
      <w:r>
        <w:t xml:space="preserve">,</w:t>
      </w:r>
      <w:r>
        <w:t xml:space="preserve"> </w:t>
      </w:r>
      <w:r>
        <w:rPr>
          <w:rStyle w:val="VerbatimChar"/>
        </w:rPr>
        <w:t xml:space="preserve">filter</w:t>
      </w:r>
      <w:r>
        <w:t xml:space="preserve">,</w:t>
      </w:r>
      <w:r>
        <w:t xml:space="preserve"> </w:t>
      </w:r>
      <w:r>
        <w:rPr>
          <w:rStyle w:val="VerbatimChar"/>
        </w:rPr>
        <w:t xml:space="preserve">union</w:t>
      </w:r>
      <w:r>
        <w:t xml:space="preserve">, a join of co-partitioned inputs). A</w:t>
      </w:r>
      <w:r>
        <w:t xml:space="preserve"> </w:t>
      </w:r>
      <w:r>
        <w:rPr>
          <w:bCs/>
          <w:b/>
        </w:rPr>
        <w:t xml:space="preserve">wide (shuffle) dependency</w:t>
      </w:r>
      <w:r>
        <w:t xml:space="preserve"> </w:t>
      </w:r>
      <w:r>
        <w:t xml:space="preserve">exists when a child partition may depend on many or all parent partitions (</w:t>
      </w:r>
      <w:r>
        <w:rPr>
          <w:rStyle w:val="VerbatimChar"/>
        </w:rPr>
        <w:t xml:space="preserve">groupByKey</w:t>
      </w:r>
      <w:r>
        <w:t xml:space="preserve">,</w:t>
      </w:r>
      <w:r>
        <w:t xml:space="preserve"> </w:t>
      </w:r>
      <w:r>
        <w:rPr>
          <w:rStyle w:val="VerbatimChar"/>
        </w:rPr>
        <w:t xml:space="preserve">reduceByKey</w:t>
      </w:r>
      <w:r>
        <w:t xml:space="preserve">, a join of unpartitioned inputs), which requires a shuffle.</w:t>
      </w:r>
    </w:p>
    <w:p>
      <w:pPr>
        <w:pStyle w:val="BodyText"/>
      </w:pPr>
      <w:r>
        <w:t xml:space="preserve">The distinction drives both performance and recovery. Narrow transformations are</w:t>
      </w:r>
      <w:r>
        <w:t xml:space="preserve"> </w:t>
      </w:r>
      <w:r>
        <w:rPr>
          <w:bCs/>
          <w:b/>
        </w:rPr>
        <w:t xml:space="preserve">pipelined</w:t>
      </w:r>
      <w:r>
        <w:t xml:space="preserve">: one task applies</w:t>
      </w:r>
      <w:r>
        <w:t xml:space="preserve"> </w:t>
      </w:r>
      <w:r>
        <w:rPr>
          <w:rStyle w:val="VerbatimChar"/>
        </w:rPr>
        <w:t xml:space="preserve">map</w:t>
      </w:r>
      <w:r>
        <w:t xml:space="preserve">,</w:t>
      </w:r>
      <w:r>
        <w:t xml:space="preserve"> </w:t>
      </w:r>
      <w:r>
        <w:rPr>
          <w:rStyle w:val="VerbatimChar"/>
        </w:rPr>
        <w:t xml:space="preserve">filter</w:t>
      </w:r>
      <w:r>
        <w:t xml:space="preserve"> </w:t>
      </w:r>
      <w:r>
        <w:t xml:space="preserve">and</w:t>
      </w:r>
      <w:r>
        <w:t xml:space="preserve"> </w:t>
      </w:r>
      <w:r>
        <w:rPr>
          <w:rStyle w:val="VerbatimChar"/>
        </w:rPr>
        <w:t xml:space="preserve">map</w:t>
      </w:r>
      <w:r>
        <w:t xml:space="preserve"> </w:t>
      </w:r>
      <w:r>
        <w:t xml:space="preserve">to each record in a single pass, and recovering a child partition needs one parent partition. A wide dependency is a barrier: all parent partitions must write shuffle files before any child starts, and losing a child may require recomputing many parents.</w:t>
      </w:r>
    </w:p>
    <w:p>
      <w:pPr>
        <w:pStyle w:val="BodyText"/>
      </w:pPr>
      <w:r>
        <w:t xml:space="preserve">The DAG scheduler therefore cuts the lineage graph at every wide dependency. Each piece is a</w:t>
      </w:r>
      <w:r>
        <w:t xml:space="preserve"> </w:t>
      </w:r>
      <w:r>
        <w:rPr>
          <w:bCs/>
          <w:b/>
        </w:rPr>
        <w:t xml:space="preserve">stage</w:t>
      </w:r>
      <w:r>
        <w:t xml:space="preserve">: a chain of narrow transformations ending in a shuffle write (a</w:t>
      </w:r>
      <w:r>
        <w:t xml:space="preserve"> </w:t>
      </w:r>
      <w:r>
        <w:rPr>
          <w:iCs/>
          <w:i/>
        </w:rPr>
        <w:t xml:space="preserve">shuffle map stage</w:t>
      </w:r>
      <w:r>
        <w:t xml:space="preserve">) or in the action’s result (a</w:t>
      </w:r>
      <w:r>
        <w:t xml:space="preserve"> </w:t>
      </w:r>
      <w:r>
        <w:rPr>
          <w:iCs/>
          <w:i/>
        </w:rPr>
        <w:t xml:space="preserve">result stage</w:t>
      </w:r>
      <w:r>
        <w:t xml:space="preserve">). Each stage runs as one</w:t>
      </w:r>
      <w:r>
        <w:t xml:space="preserve"> </w:t>
      </w:r>
      <w:r>
        <w:rPr>
          <w:bCs/>
          <w:b/>
        </w:rPr>
        <w:t xml:space="preserve">task</w:t>
      </w:r>
      <w:r>
        <w:t xml:space="preserve"> </w:t>
      </w:r>
      <w:r>
        <w:t xml:space="preserve">per partition. Stages whose shuffle output already exists are skipped.</w:t>
      </w:r>
    </w:p>
    <w:p>
      <w:pPr>
        <w:pStyle w:val="BodyText"/>
      </w:pPr>
      <w:r>
        <w:rPr>
          <w:bCs/>
          <w:b/>
        </w:rPr>
        <w:t xml:space="preserve">Figure 29.7 — Lineage of a word-count job cut into stages at the wide dependency.</w:t>
      </w:r>
    </w:p>
    <w:p>
      <w:pPr>
        <w:pStyle w:val="BodyText"/>
      </w:pPr>
      <w:r>
        <w:drawing>
          <wp:inline>
            <wp:extent cx="5334000" cy="565013"/>
            <wp:effectExtent b="0" l="0" r="0" t="0"/>
            <wp:docPr descr="" title="" id="3275" name="Picture"/>
            <a:graphic>
              <a:graphicData uri="http://schemas.openxmlformats.org/drawingml/2006/picture">
                <pic:pic>
                  <pic:nvPicPr>
                    <pic:cNvPr descr="/home/user/System-Design/build/.cache/diagrams/6f7b85a41a6b.png" id="3276" name="Picture"/>
                    <pic:cNvPicPr>
                      <a:picLocks noChangeArrowheads="1" noChangeAspect="1"/>
                    </pic:cNvPicPr>
                  </pic:nvPicPr>
                  <pic:blipFill>
                    <a:blip r:embed="rId3274"/>
                    <a:stretch>
                      <a:fillRect/>
                    </a:stretch>
                  </pic:blipFill>
                  <pic:spPr bwMode="auto">
                    <a:xfrm>
                      <a:off x="0" y="0"/>
                      <a:ext cx="5334000" cy="565013"/>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Each of Stage 1’s 8 tasks pipelines</w:t>
      </w:r>
      <w:r>
        <w:t xml:space="preserve"> </w:t>
      </w:r>
      <w:r>
        <w:rPr>
          <w:rStyle w:val="VerbatimChar"/>
        </w:rPr>
        <w:t xml:space="preserve">flatMap</w:t>
      </w:r>
      <w:r>
        <w:t xml:space="preserve">,</w:t>
      </w:r>
      <w:r>
        <w:t xml:space="preserve"> </w:t>
      </w:r>
      <w:r>
        <w:rPr>
          <w:rStyle w:val="VerbatimChar"/>
        </w:rPr>
        <w:t xml:space="preserve">map</w:t>
      </w:r>
      <w:r>
        <w:t xml:space="preserve"> </w:t>
      </w:r>
      <w:r>
        <w:t xml:space="preserve">and the partial sum (all narrow) record by record and ends by writing shuffle files partitioned by word. The thick arrow is the</w:t>
      </w:r>
      <w:r>
        <w:t xml:space="preserve"> </w:t>
      </w:r>
      <w:r>
        <w:rPr>
          <w:iCs/>
          <w:i/>
        </w:rPr>
        <w:t xml:space="preserve">wide</w:t>
      </w:r>
      <w:r>
        <w:t xml:space="preserve"> </w:t>
      </w:r>
      <w:r>
        <w:t xml:space="preserve">dependency: each of Stage 2’s 4 tasks fetches its partition from all 8 outputs (asynchronous fetch), then reduces, filters and writes to durable storage. Shuffle files sit on executor disks between stages. Failure points: a lost Stage 2 executor reruns only its tasks if the shuffle files survive, otherwise also the Stage 1 tasks that wrote them. Scaling: Stage 2 parallelism is the shuffle partition count.</w:t>
      </w:r>
    </w:p>
    <w:bookmarkEnd w:id="3277"/>
    <w:bookmarkStart w:id="3278" w:name="caching-and-persistence"/>
    <w:p>
      <w:pPr>
        <w:pStyle w:val="Heading3"/>
      </w:pPr>
      <w:r>
        <w:t xml:space="preserve">29.5.3 Caching and persistence</w:t>
      </w:r>
    </w:p>
    <w:p>
      <w:pPr>
        <w:pStyle w:val="FirstParagraph"/>
      </w:pPr>
      <w:r>
        <w:rPr>
          <w:rStyle w:val="VerbatimChar"/>
        </w:rPr>
        <w:t xml:space="preserve">rdd.persist(level)</w:t>
      </w:r>
      <w:r>
        <w:t xml:space="preserve"> </w:t>
      </w:r>
      <w:r>
        <w:t xml:space="preserve">or</w:t>
      </w:r>
      <w:r>
        <w:t xml:space="preserve"> </w:t>
      </w:r>
      <w:r>
        <w:rPr>
          <w:rStyle w:val="VerbatimChar"/>
        </w:rPr>
        <w:t xml:space="preserve">df.cache()</w:t>
      </w:r>
      <w:r>
        <w:t xml:space="preserve"> </w:t>
      </w:r>
      <w:r>
        <w:t xml:space="preserve">asks Spark to keep the computed partitions after the first action so later actions reuse them.</w:t>
      </w:r>
      <w:r>
        <w:t xml:space="preserve"> </w:t>
      </w:r>
      <w:r>
        <w:rPr>
          <w:bCs/>
          <w:b/>
        </w:rPr>
        <w:t xml:space="preserve">Storage levels</w:t>
      </w:r>
      <w:r>
        <w:t xml:space="preserve"> </w:t>
      </w:r>
      <w:r>
        <w:t xml:space="preserve">choose the trade-off:</w:t>
      </w:r>
      <w:r>
        <w:t xml:space="preserve"> </w:t>
      </w:r>
      <w:r>
        <w:rPr>
          <w:rStyle w:val="VerbatimChar"/>
        </w:rPr>
        <w:t xml:space="preserve">MEMORY_ONLY</w:t>
      </w:r>
      <w:r>
        <w:t xml:space="preserve"> </w:t>
      </w:r>
      <w:r>
        <w:t xml:space="preserve">recomputes partitions that do not fit;</w:t>
      </w:r>
      <w:r>
        <w:t xml:space="preserve"> </w:t>
      </w:r>
      <w:r>
        <w:rPr>
          <w:rStyle w:val="VerbatimChar"/>
        </w:rPr>
        <w:t xml:space="preserve">MEMORY_AND_DISK</w:t>
      </w:r>
      <w:r>
        <w:t xml:space="preserve"> </w:t>
      </w:r>
      <w:r>
        <w:t xml:space="preserve">(the DataFrame</w:t>
      </w:r>
      <w:r>
        <w:t xml:space="preserve"> </w:t>
      </w:r>
      <w:r>
        <w:rPr>
          <w:rStyle w:val="VerbatimChar"/>
        </w:rPr>
        <w:t xml:space="preserve">cache()</w:t>
      </w:r>
      <w:r>
        <w:t xml:space="preserve"> </w:t>
      </w:r>
      <w:r>
        <w:t xml:space="preserve">default) spills them to local disk; serialized and replicated (</w:t>
      </w:r>
      <w:r>
        <w:rPr>
          <w:rStyle w:val="VerbatimChar"/>
        </w:rPr>
        <w:t xml:space="preserve">_2</w:t>
      </w:r>
      <w:r>
        <w:t xml:space="preserve">) variants trade CPU for memory or faster recovery.</w:t>
      </w:r>
      <w:r>
        <w:t xml:space="preserve"> </w:t>
      </w:r>
      <w:r>
        <w:rPr>
          <w:rStyle w:val="VerbatimChar"/>
        </w:rPr>
        <w:t xml:space="preserve">cache()</w:t>
      </w:r>
      <w:r>
        <w:t xml:space="preserve"> </w:t>
      </w:r>
      <w:r>
        <w:t xml:space="preserve">is lazy (the first action fills it), and it is a hint for reuse, not durability: lost cached partitions are recomputed from lineage.</w:t>
      </w:r>
    </w:p>
    <w:p>
      <w:pPr>
        <w:pStyle w:val="CalloutFormula"/>
      </w:pPr>
      <w:r>
        <w:rPr>
          <w:bCs/>
          <w:b/>
        </w:rPr>
        <w:t xml:space="preserve">FORMULA</w:t>
      </w:r>
    </w:p>
    <w:p>
      <w:pPr>
        <w:pStyle w:val="CalloutFormula"/>
      </w:pPr>
      <w:r>
        <w:rPr>
          <w:bCs/>
          <w:b/>
        </w:rPr>
        <w:t xml:space="preserve">Speedup from caching an iterative job</w:t>
      </w:r>
    </w:p>
    <w:p>
      <w:pPr>
        <w:pStyle w:val="CalloutFormula"/>
      </w:pPr>
      <m:oMathPara>
        <m:oMathParaPr>
          <m:jc m:val="center"/>
        </m:oMathParaPr>
        <m:oMath>
          <m:r>
            <m:t>S</m:t>
          </m:r>
          <m:r>
            <m:rPr>
              <m:sty m:val="p"/>
            </m:rPr>
            <m:t>=</m:t>
          </m:r>
          <m:f>
            <m:fPr>
              <m:type m:val="bar"/>
            </m:fPr>
            <m:num>
              <m:r>
                <m:t>k</m:t>
              </m:r>
              <m:r>
                <m:t> </m:t>
              </m:r>
              <m:d>
                <m:dPr>
                  <m:begChr m:val="("/>
                  <m:endChr m:val=")"/>
                  <m:sepChr m:val=""/>
                  <m:grow/>
                </m:dPr>
                <m:e>
                  <m:sSub>
                    <m:e>
                      <m:r>
                        <m:t>T</m:t>
                      </m:r>
                    </m:e>
                    <m:sub>
                      <m:r>
                        <m:rPr>
                          <m:nor/>
                          <m:sty m:val="p"/>
                        </m:rPr>
                        <m:t>load</m:t>
                      </m:r>
                    </m:sub>
                  </m:sSub>
                  <m:r>
                    <m:rPr>
                      <m:sty m:val="p"/>
                    </m:rPr>
                    <m:t>+</m:t>
                  </m:r>
                  <m:sSub>
                    <m:e>
                      <m:r>
                        <m:t>T</m:t>
                      </m:r>
                    </m:e>
                    <m:sub>
                      <m:r>
                        <m:rPr>
                          <m:nor/>
                          <m:sty m:val="p"/>
                        </m:rPr>
                        <m:t>iter</m:t>
                      </m:r>
                    </m:sub>
                  </m:sSub>
                </m:e>
              </m:d>
            </m:num>
            <m:den>
              <m:sSub>
                <m:e>
                  <m:r>
                    <m:t>T</m:t>
                  </m:r>
                </m:e>
                <m:sub>
                  <m:r>
                    <m:rPr>
                      <m:nor/>
                      <m:sty m:val="p"/>
                    </m:rPr>
                    <m:t>load</m:t>
                  </m:r>
                </m:sub>
              </m:sSub>
              <m:r>
                <m:rPr>
                  <m:sty m:val="p"/>
                </m:rPr>
                <m:t>+</m:t>
              </m:r>
              <m:r>
                <m:t>k</m:t>
              </m:r>
              <m:r>
                <m:t> </m:t>
              </m:r>
              <m:sSub>
                <m:e>
                  <m:r>
                    <m:t>T</m:t>
                  </m:r>
                </m:e>
                <m:sub>
                  <m:r>
                    <m:rPr>
                      <m:nor/>
                      <m:sty m:val="p"/>
                    </m:rPr>
                    <m:t>iter</m:t>
                  </m:r>
                </m:sub>
              </m:sSub>
            </m:den>
          </m:f>
          <m:r>
            <m:t> </m:t>
          </m:r>
          <m:limUpp>
            <m:e>
              <m:r>
                <m:rPr>
                  <m:sty m:val="p"/>
                </m:rPr>
                <m:t>→</m:t>
              </m:r>
            </m:e>
            <m:lim>
              <m:r>
                <m:t>k</m:t>
              </m:r>
              <m:r>
                <m:rPr>
                  <m:sty m:val="p"/>
                </m:rPr>
                <m:t>→</m:t>
              </m:r>
              <m:r>
                <m:rPr>
                  <m:sty m:val="p"/>
                </m:rPr>
                <m:t>∞</m:t>
              </m:r>
            </m:lim>
          </m:limUpp>
          <m:r>
            <m:t> </m:t>
          </m:r>
          <m:r>
            <m:t>1</m:t>
          </m:r>
          <m:r>
            <m:rPr>
              <m:sty m:val="p"/>
            </m:rPr>
            <m:t>+</m:t>
          </m:r>
          <m:f>
            <m:fPr>
              <m:type m:val="bar"/>
            </m:fPr>
            <m:num>
              <m:sSub>
                <m:e>
                  <m:r>
                    <m:t>T</m:t>
                  </m:r>
                </m:e>
                <m:sub>
                  <m:r>
                    <m:rPr>
                      <m:nor/>
                      <m:sty m:val="p"/>
                    </m:rPr>
                    <m:t>load</m:t>
                  </m:r>
                </m:sub>
              </m:sSub>
            </m:num>
            <m:den>
              <m:sSub>
                <m:e>
                  <m:r>
                    <m:t>T</m:t>
                  </m:r>
                </m:e>
                <m:sub>
                  <m:r>
                    <m:rPr>
                      <m:nor/>
                      <m:sty m:val="p"/>
                    </m:rPr>
                    <m:t>iter</m:t>
                  </m:r>
                </m:sub>
              </m:sSub>
            </m:den>
          </m:f>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S</m:t>
              </m:r>
            </m:oMath>
          </w:p>
        </w:tc>
        <w:tc>
          <w:tcPr/>
          <w:p>
            <w:pPr>
              <w:pStyle w:val="Compact"/>
              <w:jc w:val="left"/>
            </w:pPr>
            <w:r>
              <w:t xml:space="preserve">Speedup of the cached version over reloading every iteration</w:t>
            </w:r>
          </w:p>
        </w:tc>
        <w:tc>
          <w:tcPr/>
          <w:p>
            <w:pPr>
              <w:pStyle w:val="Compact"/>
              <w:jc w:val="left"/>
            </w:pPr>
            <w:r>
              <w:t xml:space="preserve">dimensionless</w:t>
            </w:r>
          </w:p>
        </w:tc>
      </w:tr>
      <w:tr>
        <w:tc>
          <w:tcPr/>
          <w:p>
            <w:pPr>
              <w:pStyle w:val="Compact"/>
              <w:jc w:val="left"/>
            </w:pPr>
            <m:oMath>
              <m:r>
                <m:t>k</m:t>
              </m:r>
            </m:oMath>
          </w:p>
        </w:tc>
        <w:tc>
          <w:tcPr/>
          <w:p>
            <w:pPr>
              <w:pStyle w:val="Compact"/>
              <w:jc w:val="left"/>
            </w:pPr>
            <w:r>
              <w:t xml:space="preserve">Number of iterations (or repeated queries)</w:t>
            </w:r>
          </w:p>
        </w:tc>
        <w:tc>
          <w:tcPr/>
          <w:p>
            <w:pPr>
              <w:pStyle w:val="Compact"/>
              <w:jc w:val="left"/>
            </w:pPr>
            <w:r>
              <w:t xml:space="preserve">count</w:t>
            </w:r>
          </w:p>
        </w:tc>
      </w:tr>
      <w:tr>
        <w:tc>
          <w:tcPr/>
          <w:p>
            <w:pPr>
              <w:pStyle w:val="Compact"/>
              <w:jc w:val="left"/>
            </w:pPr>
            <m:oMath>
              <m:sSub>
                <m:e>
                  <m:r>
                    <m:t>T</m:t>
                  </m:r>
                </m:e>
                <m:sub>
                  <m:r>
                    <m:rPr>
                      <m:nor/>
                      <m:sty m:val="p"/>
                    </m:rPr>
                    <m:t>load</m:t>
                  </m:r>
                </m:sub>
              </m:sSub>
            </m:oMath>
          </w:p>
        </w:tc>
        <w:tc>
          <w:tcPr/>
          <w:p>
            <w:pPr>
              <w:pStyle w:val="Compact"/>
              <w:jc w:val="left"/>
            </w:pPr>
            <w:r>
              <w:t xml:space="preserve">Time to read, parse and build the working dataset from storage</w:t>
            </w:r>
          </w:p>
        </w:tc>
        <w:tc>
          <w:tcPr/>
          <w:p>
            <w:pPr>
              <w:pStyle w:val="Compact"/>
              <w:jc w:val="left"/>
            </w:pPr>
            <w:r>
              <w:t xml:space="preserve">s</w:t>
            </w:r>
          </w:p>
        </w:tc>
      </w:tr>
      <w:tr>
        <w:tc>
          <w:tcPr/>
          <w:p>
            <w:pPr>
              <w:pStyle w:val="Compact"/>
              <w:jc w:val="left"/>
            </w:pPr>
            <m:oMath>
              <m:sSub>
                <m:e>
                  <m:r>
                    <m:t>T</m:t>
                  </m:r>
                </m:e>
                <m:sub>
                  <m:r>
                    <m:rPr>
                      <m:nor/>
                      <m:sty m:val="p"/>
                    </m:rPr>
                    <m:t>iter</m:t>
                  </m:r>
                </m:sub>
              </m:sSub>
            </m:oMath>
          </w:p>
        </w:tc>
        <w:tc>
          <w:tcPr/>
          <w:p>
            <w:pPr>
              <w:pStyle w:val="Compact"/>
              <w:jc w:val="left"/>
            </w:pPr>
            <w:r>
              <w:t xml:space="preserve">Compute time of one iteration over the in-memory data</w:t>
            </w:r>
          </w:p>
        </w:tc>
        <w:tc>
          <w:tcPr/>
          <w:p>
            <w:pPr>
              <w:pStyle w:val="Compact"/>
              <w:jc w:val="left"/>
            </w:pPr>
            <w:r>
              <w:t xml:space="preserve">s</w:t>
            </w:r>
          </w:p>
        </w:tc>
      </w:tr>
    </w:tbl>
    <w:p>
      <w:pPr>
        <w:pStyle w:val="CalloutExample"/>
      </w:pPr>
      <w:r>
        <w:rPr>
          <w:bCs/>
          <w:b/>
        </w:rPr>
        <w:t xml:space="preserve">WORKED EXAMPLE</w:t>
      </w:r>
    </w:p>
    <w:p>
      <w:pPr>
        <w:pStyle w:val="CalloutExample"/>
      </w:pPr>
      <w:r>
        <w:rPr>
          <w:bCs/>
          <w:b/>
        </w:rPr>
        <w:t xml:space="preserve">Worked example — Ten iterations of a training-feature job.</w:t>
      </w:r>
      <w:r>
        <w:t xml:space="preserve"> </w:t>
      </w:r>
      <w:r>
        <w:t xml:space="preserve">A logistic-regression job reads 1 TB of Parquet from object storage and parses it:</w:t>
      </w:r>
      <w:r>
        <w:t xml:space="preserve"> </w:t>
      </w:r>
      <m:oMath>
        <m:sSub>
          <m:e>
            <m:r>
              <m:t>T</m:t>
            </m:r>
          </m:e>
          <m:sub>
            <m:r>
              <m:rPr>
                <m:nor/>
                <m:sty m:val="p"/>
              </m:rPr>
              <m:t>load</m:t>
            </m:r>
          </m:sub>
        </m:sSub>
        <m:r>
          <m:rPr>
            <m:sty m:val="p"/>
          </m:rPr>
          <m:t>=</m:t>
        </m:r>
        <m:r>
          <m:t>60</m:t>
        </m:r>
      </m:oMath>
      <w:r>
        <w:t xml:space="preserve"> </w:t>
      </w:r>
      <w:r>
        <w:t xml:space="preserve">s on the cluster. Each gradient pass over the in-memory data takes</w:t>
      </w:r>
      <w:r>
        <w:t xml:space="preserve"> </w:t>
      </w:r>
      <m:oMath>
        <m:sSub>
          <m:e>
            <m:r>
              <m:t>T</m:t>
            </m:r>
          </m:e>
          <m:sub>
            <m:r>
              <m:rPr>
                <m:nor/>
                <m:sty m:val="p"/>
              </m:rPr>
              <m:t>iter</m:t>
            </m:r>
          </m:sub>
        </m:sSub>
        <m:r>
          <m:rPr>
            <m:sty m:val="p"/>
          </m:rPr>
          <m:t>=</m:t>
        </m:r>
        <m:r>
          <m:t>6</m:t>
        </m:r>
      </m:oMath>
      <w:r>
        <w:t xml:space="preserve"> </w:t>
      </w:r>
      <w:r>
        <w:t xml:space="preserve">s.</w:t>
      </w:r>
      <w:r>
        <w:t xml:space="preserve"> </w:t>
      </w:r>
      <m:oMath>
        <m:r>
          <m:t>k</m:t>
        </m:r>
        <m:r>
          <m:rPr>
            <m:sty m:val="p"/>
          </m:rPr>
          <m:t>=</m:t>
        </m:r>
        <m:r>
          <m:t>10</m:t>
        </m:r>
      </m:oMath>
      <w:r>
        <w:t xml:space="preserve">.</w:t>
      </w:r>
    </w:p>
    <w:p>
      <w:pPr>
        <w:numPr>
          <w:ilvl w:val="0"/>
          <w:numId w:val="1950"/>
        </w:numPr>
        <w:pStyle w:val="Compact"/>
      </w:pPr>
      <w:r>
        <w:t xml:space="preserve">Without caching:</w:t>
      </w:r>
      <w:r>
        <w:t xml:space="preserve"> </w:t>
      </w:r>
      <m:oMath>
        <m:r>
          <m:t>10</m:t>
        </m:r>
        <m:r>
          <m:rPr>
            <m:sty m:val="p"/>
          </m:rPr>
          <m:t>×</m:t>
        </m:r>
        <m:d>
          <m:dPr>
            <m:begChr m:val="("/>
            <m:endChr m:val=")"/>
            <m:sepChr m:val=""/>
            <m:grow/>
          </m:dPr>
          <m:e>
            <m:r>
              <m:t>60</m:t>
            </m:r>
            <m:r>
              <m:rPr>
                <m:sty m:val="p"/>
              </m:rPr>
              <m:t>+</m:t>
            </m:r>
            <m:r>
              <m:t>6</m:t>
            </m:r>
          </m:e>
        </m:d>
        <m:r>
          <m:rPr>
            <m:sty m:val="p"/>
          </m:rPr>
          <m:t>=</m:t>
        </m:r>
        <m:r>
          <m:t>660</m:t>
        </m:r>
      </m:oMath>
      <w:r>
        <w:t xml:space="preserve"> </w:t>
      </w:r>
      <w:r>
        <w:t xml:space="preserve">s.</w:t>
      </w:r>
    </w:p>
    <w:p>
      <w:pPr>
        <w:numPr>
          <w:ilvl w:val="0"/>
          <w:numId w:val="1950"/>
        </w:numPr>
        <w:pStyle w:val="Compact"/>
      </w:pPr>
      <w:r>
        <w:t xml:space="preserve">With caching:</w:t>
      </w:r>
      <w:r>
        <w:t xml:space="preserve"> </w:t>
      </w:r>
      <m:oMath>
        <m:r>
          <m:t>60</m:t>
        </m:r>
        <m:r>
          <m:rPr>
            <m:sty m:val="p"/>
          </m:rPr>
          <m:t>+</m:t>
        </m:r>
        <m:r>
          <m:t>10</m:t>
        </m:r>
        <m:r>
          <m:rPr>
            <m:sty m:val="p"/>
          </m:rPr>
          <m:t>×</m:t>
        </m:r>
        <m:r>
          <m:t>6</m:t>
        </m:r>
        <m:r>
          <m:rPr>
            <m:sty m:val="p"/>
          </m:rPr>
          <m:t>=</m:t>
        </m:r>
        <m:r>
          <m:t>120</m:t>
        </m:r>
      </m:oMath>
      <w:r>
        <w:t xml:space="preserve"> </w:t>
      </w:r>
      <w:r>
        <w:t xml:space="preserve">s.</w:t>
      </w:r>
    </w:p>
    <w:p>
      <w:pPr>
        <w:numPr>
          <w:ilvl w:val="0"/>
          <w:numId w:val="1950"/>
        </w:numPr>
        <w:pStyle w:val="Compact"/>
      </w:pPr>
      <w:r>
        <w:t xml:space="preserve">Speedup:</w:t>
      </w:r>
      <w:r>
        <w:t xml:space="preserve"> </w:t>
      </w:r>
      <m:oMath>
        <m:r>
          <m:t>660</m:t>
        </m:r>
        <m:r>
          <m:rPr>
            <m:sty m:val="p"/>
          </m:rPr>
          <m:t>/</m:t>
        </m:r>
        <m:r>
          <m:t>120</m:t>
        </m:r>
        <m:r>
          <m:rPr>
            <m:sty m:val="p"/>
          </m:rPr>
          <m:t>=</m:t>
        </m:r>
        <m:r>
          <m:t>5.5</m:t>
        </m:r>
        <m:r>
          <m:rPr>
            <m:sty m:val="p"/>
          </m:rPr>
          <m:t>×</m:t>
        </m:r>
      </m:oMath>
      <w:r>
        <w:t xml:space="preserve">; the asymptotic limit is</w:t>
      </w:r>
      <w:r>
        <w:t xml:space="preserve"> </w:t>
      </w:r>
      <m:oMath>
        <m:r>
          <m:t>1</m:t>
        </m:r>
        <m:r>
          <m:rPr>
            <m:sty m:val="p"/>
          </m:rPr>
          <m:t>+</m:t>
        </m:r>
        <m:r>
          <m:t>60</m:t>
        </m:r>
        <m:r>
          <m:rPr>
            <m:sty m:val="p"/>
          </m:rPr>
          <m:t>/</m:t>
        </m:r>
        <m:r>
          <m:t>6</m:t>
        </m:r>
        <m:r>
          <m:rPr>
            <m:sty m:val="p"/>
          </m:rPr>
          <m:t>=</m:t>
        </m:r>
        <m:r>
          <m:t>11</m:t>
        </m:r>
        <m:r>
          <m:rPr>
            <m:sty m:val="p"/>
          </m:rPr>
          <m:t>×</m:t>
        </m:r>
      </m:oMath>
      <w:r>
        <w:t xml:space="preserve">.</w:t>
      </w:r>
    </w:p>
    <w:p>
      <w:pPr>
        <w:pStyle w:val="CalloutExample"/>
      </w:pPr>
      <w:r>
        <w:rPr>
          <w:bCs/>
          <w:b/>
        </w:rPr>
        <w:t xml:space="preserve">Interpretation.</w:t>
      </w:r>
      <w:r>
        <w:t xml:space="preserve"> </w:t>
      </w:r>
      <w:r>
        <w:t xml:space="preserve">Caching helps when loading dominates and data is reused; for one pass it only costs memory.</w:t>
      </w:r>
      <w:r>
        <w:t xml:space="preserve"> </w:t>
      </w:r>
      <w:r>
        <w:rPr>
          <w:bCs/>
          <w:b/>
        </w:rPr>
        <w:t xml:space="preserve">Engineering implication.</w:t>
      </w:r>
      <w:r>
        <w:t xml:space="preserve"> </w:t>
      </w:r>
      <w:r>
        <w:t xml:space="preserve">Cache the reused dataset after expensive parsing and filtering, check in the Spark UI that it fits (deserialized objects are often several times larger than Parquet), and</w:t>
      </w:r>
      <w:r>
        <w:t xml:space="preserve"> </w:t>
      </w:r>
      <w:r>
        <w:rPr>
          <w:rStyle w:val="VerbatimChar"/>
        </w:rPr>
        <w:t xml:space="preserve">unpersist()</w:t>
      </w:r>
      <w:r>
        <w:t xml:space="preserve"> </w:t>
      </w:r>
      <w:r>
        <w:t xml:space="preserve">it when done.</w:t>
      </w:r>
    </w:p>
    <w:p>
      <w:pPr>
        <w:pStyle w:val="CalloutIndustry"/>
      </w:pPr>
      <w:r>
        <w:rPr>
          <w:bCs/>
          <w:b/>
        </w:rPr>
        <w:t xml:space="preserve">INDUSTRY EXAMPLE</w:t>
      </w:r>
    </w:p>
    <w:p>
      <w:pPr>
        <w:pStyle w:val="CalloutIndustry"/>
      </w:pPr>
      <w:r>
        <w:rPr>
          <w:bCs/>
          <w:b/>
        </w:rPr>
        <w:t xml:space="preserve">RDD paper and the 100 TB sort.</w:t>
      </w:r>
      <w:r>
        <w:t xml:space="preserve"> </w:t>
      </w:r>
      <w:r>
        <w:t xml:space="preserve">The RDD paper reported Spark up to 20× faster than Hadoop for iterative applications and interactive queries over a 1 TB dataset in 5–7 s [Zaharia et al. 2012]. In 2014 Databricks reported sorting 100 TB with Spark in 23 minutes on 206 cloud machines, against a previous Hadoop MapReduce record of 72 minutes on 2,100 machines; the run did not rely on in-memory caching but on a new sort-based shuffle and network layer [Xin 2014].</w:t>
      </w:r>
      <w:r>
        <w:t xml:space="preserve"> </w:t>
      </w:r>
      <w:r>
        <w:rPr>
          <w:iCs/>
          <w:i/>
        </w:rPr>
        <w:t xml:space="preserve">Evidence: Primary</w:t>
      </w:r>
      <w:r>
        <w:t xml:space="preserve"> </w:t>
      </w:r>
      <w:r>
        <w:t xml:space="preserve">— [Zaharia et al. 2012; Xin 2014]</w:t>
      </w:r>
    </w:p>
    <w:bookmarkEnd w:id="3278"/>
    <w:bookmarkStart w:id="3285" w:name="X02639a273cd6448a68d0849714cf2c938ec4e7f"/>
    <w:p>
      <w:pPr>
        <w:pStyle w:val="Heading3"/>
      </w:pPr>
      <w:r>
        <w:t xml:space="preserve">29.5.4 DataFrames, Catalyst, Tungsten and Adaptive Query Execution</w:t>
      </w:r>
    </w:p>
    <w:p>
      <w:pPr>
        <w:pStyle w:val="CalloutDefinition"/>
      </w:pPr>
      <w:r>
        <w:rPr>
          <w:bCs/>
          <w:b/>
        </w:rPr>
        <w:t xml:space="preserve">DEFINITION</w:t>
      </w:r>
    </w:p>
    <w:p>
      <w:pPr>
        <w:pStyle w:val="CalloutDefinition"/>
      </w:pPr>
      <w:r>
        <w:rPr>
          <w:bCs/>
          <w:b/>
        </w:rPr>
        <w:t xml:space="preserve">Definition — DataFrame, Dataset and Catalyst.</w:t>
      </w:r>
      <w:r>
        <w:t xml:space="preserve"> </w:t>
      </w:r>
      <w:r>
        <w:t xml:space="preserve">A</w:t>
      </w:r>
      <w:r>
        <w:t xml:space="preserve"> </w:t>
      </w:r>
      <w:r>
        <w:rPr>
          <w:bCs/>
          <w:b/>
        </w:rPr>
        <w:t xml:space="preserve">DataFrame</w:t>
      </w:r>
      <w:r>
        <w:t xml:space="preserve"> </w:t>
      </w:r>
      <w:r>
        <w:t xml:space="preserve">is a distributed table with a known schema (named, typed columns), manipulated with relational operators or SQL. A</w:t>
      </w:r>
      <w:r>
        <w:t xml:space="preserve"> </w:t>
      </w:r>
      <w:r>
        <w:rPr>
          <w:bCs/>
          <w:b/>
        </w:rPr>
        <w:t xml:space="preserve">Dataset</w:t>
      </w:r>
      <w:r>
        <w:t xml:space="preserve"> </w:t>
      </w:r>
      <w:r>
        <w:t xml:space="preserve">(Scala and Java) adds compile-time types to the same abstraction; in Python and R, every DataFrame is untyped at compile time.</w:t>
      </w:r>
      <w:r>
        <w:t xml:space="preserve"> </w:t>
      </w:r>
      <w:r>
        <w:rPr>
          <w:bCs/>
          <w:b/>
        </w:rPr>
        <w:t xml:space="preserve">Catalyst</w:t>
      </w:r>
      <w:r>
        <w:t xml:space="preserve"> </w:t>
      </w:r>
      <w:r>
        <w:t xml:space="preserve">is Spark SQL’s extensible query optimizer, which turns DataFrame or SQL queries into an optimized physical plan using rule-based and cost-based transformations of trees [Armbrust et al. 2015].</w:t>
      </w:r>
    </w:p>
    <w:bookmarkStart w:id="3279" w:name="why-does-this-exist-102"/>
    <w:p>
      <w:pPr>
        <w:pStyle w:val="Heading4"/>
      </w:pPr>
      <w:r>
        <w:t xml:space="preserve">Why does this exist?</w:t>
      </w:r>
    </w:p>
    <w:p>
      <w:pPr>
        <w:pStyle w:val="FirstParagraph"/>
      </w:pPr>
      <w:r>
        <w:t xml:space="preserve">An RDD of Python or Java objects is opaque: Spark cannot see that a</w:t>
      </w:r>
      <w:r>
        <w:t xml:space="preserve"> </w:t>
      </w:r>
      <w:r>
        <w:rPr>
          <w:rStyle w:val="VerbatimChar"/>
        </w:rPr>
        <w:t xml:space="preserve">lambda</w:t>
      </w:r>
      <w:r>
        <w:t xml:space="preserve"> </w:t>
      </w:r>
      <w:r>
        <w:t xml:space="preserve">only reads two fields, or that a filter could run before a join. DataFrames make the computation</w:t>
      </w:r>
      <w:r>
        <w:t xml:space="preserve"> </w:t>
      </w:r>
      <w:r>
        <w:rPr>
          <w:bCs/>
          <w:b/>
        </w:rPr>
        <w:t xml:space="preserve">declarative</w:t>
      </w:r>
      <w:r>
        <w:t xml:space="preserve">: you say</w:t>
      </w:r>
      <w:r>
        <w:t xml:space="preserve"> </w:t>
      </w:r>
      <w:r>
        <w:rPr>
          <w:iCs/>
          <w:i/>
        </w:rPr>
        <w:t xml:space="preserve">what</w:t>
      </w:r>
      <w:r>
        <w:t xml:space="preserve"> </w:t>
      </w:r>
      <w:r>
        <w:t xml:space="preserve">(group by country, count), and the engine decides</w:t>
      </w:r>
      <w:r>
        <w:t xml:space="preserve"> </w:t>
      </w:r>
      <w:r>
        <w:rPr>
          <w:iCs/>
          <w:i/>
        </w:rPr>
        <w:t xml:space="preserve">how</w:t>
      </w:r>
      <w:r>
        <w:t xml:space="preserve">. With a schema, Spark can read only needed columns from Parquet, push filters into the scan, choose join strategies from table sizes, and store rows in compact binary form instead of objects.</w:t>
      </w:r>
    </w:p>
    <w:bookmarkEnd w:id="3279"/>
    <w:bookmarkStart w:id="3283" w:name="how-it-works-internally-115"/>
    <w:p>
      <w:pPr>
        <w:pStyle w:val="Heading4"/>
      </w:pPr>
      <w:r>
        <w:t xml:space="preserve">How it works internally</w:t>
      </w:r>
    </w:p>
    <w:p>
      <w:pPr>
        <w:numPr>
          <w:ilvl w:val="0"/>
          <w:numId w:val="1951"/>
        </w:numPr>
        <w:pStyle w:val="Compact"/>
      </w:pPr>
      <w:r>
        <w:rPr>
          <w:bCs/>
          <w:b/>
        </w:rPr>
        <w:t xml:space="preserve">Analysis.</w:t>
      </w:r>
      <w:r>
        <w:t xml:space="preserve"> </w:t>
      </w:r>
      <w:r>
        <w:t xml:space="preserve">The query is parsed into an unresolved logical plan; column and table names are resolved against the catalog.</w:t>
      </w:r>
    </w:p>
    <w:p>
      <w:pPr>
        <w:numPr>
          <w:ilvl w:val="0"/>
          <w:numId w:val="1951"/>
        </w:numPr>
        <w:pStyle w:val="Compact"/>
      </w:pPr>
      <w:r>
        <w:rPr>
          <w:bCs/>
          <w:b/>
        </w:rPr>
        <w:t xml:space="preserve">Logical optimization.</w:t>
      </w:r>
      <w:r>
        <w:t xml:space="preserve"> </w:t>
      </w:r>
      <w:r>
        <w:t xml:space="preserve">Rules rewrite the tree: predicate pushdown, column pruning, constant folding, combining filters and projections.</w:t>
      </w:r>
    </w:p>
    <w:p>
      <w:pPr>
        <w:numPr>
          <w:ilvl w:val="0"/>
          <w:numId w:val="1951"/>
        </w:numPr>
        <w:pStyle w:val="Compact"/>
      </w:pPr>
      <w:r>
        <w:rPr>
          <w:bCs/>
          <w:b/>
        </w:rPr>
        <w:t xml:space="preserve">Physical planning.</w:t>
      </w:r>
      <w:r>
        <w:t xml:space="preserve"> </w:t>
      </w:r>
      <w:r>
        <w:t xml:space="preserve">Candidate physical plans are generated (for example broadcast hash join versus sort-merge join) and one is chosen, using size statistics.</w:t>
      </w:r>
    </w:p>
    <w:p>
      <w:pPr>
        <w:numPr>
          <w:ilvl w:val="0"/>
          <w:numId w:val="1951"/>
        </w:numPr>
        <w:pStyle w:val="Compact"/>
      </w:pPr>
      <w:r>
        <w:rPr>
          <w:bCs/>
          <w:b/>
        </w:rPr>
        <w:t xml:space="preserve">Code generation.</w:t>
      </w:r>
      <w:r>
        <w:t xml:space="preserve"> </w:t>
      </w:r>
      <w:r>
        <w:rPr>
          <w:bCs/>
          <w:b/>
        </w:rPr>
        <w:t xml:space="preserve">Tungsten</w:t>
      </w:r>
      <w:r>
        <w:t xml:space="preserve">, Spark’s execution layer, stores rows in a compact binary format and uses</w:t>
      </w:r>
      <w:r>
        <w:t xml:space="preserve"> </w:t>
      </w:r>
      <w:r>
        <w:rPr>
          <w:bCs/>
          <w:b/>
        </w:rPr>
        <w:t xml:space="preserve">whole-stage code generation</w:t>
      </w:r>
      <w:r>
        <w:t xml:space="preserve"> </w:t>
      </w:r>
      <w:r>
        <w:t xml:space="preserve">to fuse a chain of operators into one generated function (the</w:t>
      </w:r>
      <w:r>
        <w:t xml:space="preserve"> </w:t>
      </w:r>
      <w:r>
        <w:rPr>
          <w:rStyle w:val="VerbatimChar"/>
        </w:rPr>
        <w:t xml:space="preserve">*(1)</w:t>
      </w:r>
      <w:r>
        <w:t xml:space="preserve"> </w:t>
      </w:r>
      <w:r>
        <w:t xml:space="preserve">markers in the plan below).</w:t>
      </w:r>
    </w:p>
    <w:p>
      <w:pPr>
        <w:numPr>
          <w:ilvl w:val="0"/>
          <w:numId w:val="1951"/>
        </w:numPr>
        <w:pStyle w:val="Compact"/>
      </w:pPr>
      <w:r>
        <w:rPr>
          <w:bCs/>
          <w:b/>
        </w:rPr>
        <w:t xml:space="preserve">Adaptive Query Execution (AQE).</w:t>
      </w:r>
      <w:r>
        <w:t xml:space="preserve"> </w:t>
      </w:r>
      <w:r>
        <w:t xml:space="preserve">Statistics guessed before running are often wrong. With AQE (on by default since Spark 3.2), Spark re-optimizes the remaining plan at each shuffle boundary using the</w:t>
      </w:r>
      <w:r>
        <w:t xml:space="preserve"> </w:t>
      </w:r>
      <w:r>
        <w:rPr>
          <w:iCs/>
          <w:i/>
        </w:rPr>
        <w:t xml:space="preserve">actual</w:t>
      </w:r>
      <w:r>
        <w:t xml:space="preserve"> </w:t>
      </w:r>
      <w:r>
        <w:t xml:space="preserve">sizes of completed shuffle outputs. It can (a) coalesce many small shuffle partitions into fewer, right-sized ones (target 64 MB by default); (b) switch a sort-merge join to a broadcast join when one side turned out small; and (c) split skewed partitions, those over 5× the median and over 256 MB by default, into smaller tasks [Apache Spark Docs: Performance Tuning].</w:t>
      </w:r>
    </w:p>
    <w:p>
      <w:pPr>
        <w:pStyle w:val="FirstParagraph"/>
      </w:pPr>
      <w:r>
        <w:rPr>
          <w:bCs/>
          <w:b/>
        </w:rPr>
        <w:t xml:space="preserve">Figure 29.8 — Catalyst query planning with Adaptive Query Execution.</w:t>
      </w:r>
    </w:p>
    <w:p>
      <w:pPr>
        <w:pStyle w:val="BodyText"/>
      </w:pPr>
      <w:r>
        <w:drawing>
          <wp:inline>
            <wp:extent cx="5334000" cy="608335"/>
            <wp:effectExtent b="0" l="0" r="0" t="0"/>
            <wp:docPr descr="" title="" id="3281" name="Picture"/>
            <a:graphic>
              <a:graphicData uri="http://schemas.openxmlformats.org/drawingml/2006/picture">
                <pic:pic>
                  <pic:nvPicPr>
                    <pic:cNvPr descr="/home/user/System-Design/build/.cache/diagrams/0ddb0c3811d8.png" id="3282" name="Picture"/>
                    <pic:cNvPicPr>
                      <a:picLocks noChangeArrowheads="1" noChangeAspect="1"/>
                    </pic:cNvPicPr>
                  </pic:nvPicPr>
                  <pic:blipFill>
                    <a:blip r:embed="rId3280"/>
                    <a:stretch>
                      <a:fillRect/>
                    </a:stretch>
                  </pic:blipFill>
                  <pic:spPr bwMode="auto">
                    <a:xfrm>
                      <a:off x="0" y="0"/>
                      <a:ext cx="5334000" cy="608335"/>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w:t>
      </w:r>
      <w:r>
        <w:t xml:space="preserve"> </w:t>
      </w:r>
      <w:r>
        <w:rPr>
          <w:iCs/>
          <w:i/>
        </w:rPr>
        <w:t xml:space="preserve">analyzer</w:t>
      </w:r>
      <w:r>
        <w:t xml:space="preserve"> </w:t>
      </w:r>
      <w:r>
        <w:t xml:space="preserve">resolves names against the</w:t>
      </w:r>
      <w:r>
        <w:t xml:space="preserve"> </w:t>
      </w:r>
      <w:r>
        <w:rPr>
          <w:iCs/>
          <w:i/>
        </w:rPr>
        <w:t xml:space="preserve">catalog</w:t>
      </w:r>
      <w:r>
        <w:t xml:space="preserve">; the</w:t>
      </w:r>
      <w:r>
        <w:t xml:space="preserve"> </w:t>
      </w:r>
      <w:r>
        <w:rPr>
          <w:iCs/>
          <w:i/>
        </w:rPr>
        <w:t xml:space="preserve">optimizer</w:t>
      </w:r>
      <w:r>
        <w:t xml:space="preserve"> </w:t>
      </w:r>
      <w:r>
        <w:t xml:space="preserve">applies rewrite rules;</w:t>
      </w:r>
      <w:r>
        <w:t xml:space="preserve"> </w:t>
      </w:r>
      <w:r>
        <w:rPr>
          <w:iCs/>
          <w:i/>
        </w:rPr>
        <w:t xml:space="preserve">physical planning</w:t>
      </w:r>
      <w:r>
        <w:t xml:space="preserve"> </w:t>
      </w:r>
      <w:r>
        <w:t xml:space="preserve">picks operators using statistics;</w:t>
      </w:r>
      <w:r>
        <w:t xml:space="preserve"> </w:t>
      </w:r>
      <w:r>
        <w:rPr>
          <w:iCs/>
          <w:i/>
        </w:rPr>
        <w:t xml:space="preserve">code generation</w:t>
      </w:r>
      <w:r>
        <w:t xml:space="preserve"> </w:t>
      </w:r>
      <w:r>
        <w:t xml:space="preserve">compiles each stage; stages</w:t>
      </w:r>
      <w:r>
        <w:t xml:space="preserve"> </w:t>
      </w:r>
      <w:r>
        <w:rPr>
          <w:iCs/>
          <w:i/>
        </w:rPr>
        <w:t xml:space="preserve">execute</w:t>
      </w:r>
      <w:r>
        <w:t xml:space="preserve"> </w:t>
      </w:r>
      <w:r>
        <w:t xml:space="preserve">on executors. The dotted loop is AQE: when a shuffle-producing stage finishes, real partition sizes flow back asynchronously and the remaining plan is re-optimized. Planning happens in the driver. Failure points: stale statistics cause bad initial choices, which AQE corrects only at shuffle boundaries. Scaling: planning cost is independent of data size.</w:t>
      </w:r>
    </w:p>
    <w:bookmarkEnd w:id="3283"/>
    <w:bookmarkStart w:id="3284" w:name="code-example-36"/>
    <w:p>
      <w:pPr>
        <w:pStyle w:val="Heading4"/>
      </w:pPr>
      <w:r>
        <w:t xml:space="preserve">Code example</w:t>
      </w:r>
    </w:p>
    <w:p>
      <w:pPr>
        <w:pStyle w:val="FirstParagraph"/>
      </w:pPr>
      <w:r>
        <w:t xml:space="preserve">The PySpark program computes page views with the RDD API and the DataFrame API, joins events with users using a broadcast hint, prints the physical plan, and checks every result against plain Python. It was executed with PySpark 4.0.1 in local mode on Java 21.</w:t>
      </w:r>
    </w:p>
    <w:p>
      <w:pPr>
        <w:pStyle w:val="SourceCode"/>
      </w:pPr>
      <w:r>
        <w:rPr>
          <w:rStyle w:val="CommentTok"/>
        </w:rPr>
        <w:t xml:space="preserve">"""PySpark: the same aggregation with the RDD API and the DataFrame API, plus a broadcast join.</w:t>
      </w:r>
      <w:r>
        <w:br/>
      </w:r>
      <w:r>
        <w:rPr>
          <w:rStyle w:val="CommentTok"/>
        </w:rPr>
        <w:t xml:space="preserve">Tested with PySpark 4.0.1 in local mode (Java 21); results are checked against plain Python."""</w:t>
      </w:r>
      <w:r>
        <w:br/>
      </w:r>
      <w:r>
        <w:rPr>
          <w:rStyle w:val="ImportTok"/>
        </w:rPr>
        <w:t xml:space="preserve">import</w:t>
      </w:r>
      <w:r>
        <w:rPr>
          <w:rStyle w:val="NormalTok"/>
        </w:rPr>
        <w:t xml:space="preserve"> random</w:t>
      </w:r>
      <w:r>
        <w:br/>
      </w:r>
      <w:r>
        <w:rPr>
          <w:rStyle w:val="ImportTok"/>
        </w:rPr>
        <w:t xml:space="preserve">from</w:t>
      </w:r>
      <w:r>
        <w:rPr>
          <w:rStyle w:val="NormalTok"/>
        </w:rPr>
        <w:t xml:space="preserve"> collections </w:t>
      </w:r>
      <w:r>
        <w:rPr>
          <w:rStyle w:val="ImportTok"/>
        </w:rPr>
        <w:t xml:space="preserve">import</w:t>
      </w:r>
      <w:r>
        <w:rPr>
          <w:rStyle w:val="NormalTok"/>
        </w:rPr>
        <w:t xml:space="preserve"> Counter</w:t>
      </w:r>
      <w:r>
        <w:br/>
      </w:r>
      <w:r>
        <w:br/>
      </w:r>
      <w:r>
        <w:rPr>
          <w:rStyle w:val="ImportTok"/>
        </w:rPr>
        <w:t xml:space="preserve">from</w:t>
      </w:r>
      <w:r>
        <w:rPr>
          <w:rStyle w:val="NormalTok"/>
        </w:rPr>
        <w:t xml:space="preserve"> pyspark.sql </w:t>
      </w:r>
      <w:r>
        <w:rPr>
          <w:rStyle w:val="ImportTok"/>
        </w:rPr>
        <w:t xml:space="preserve">import</w:t>
      </w:r>
      <w:r>
        <w:rPr>
          <w:rStyle w:val="NormalTok"/>
        </w:rPr>
        <w:t xml:space="preserve"> SparkSession, functions </w:t>
      </w:r>
      <w:r>
        <w:rPr>
          <w:rStyle w:val="ImportTok"/>
        </w:rPr>
        <w:t xml:space="preserve">as</w:t>
      </w:r>
      <w:r>
        <w:rPr>
          <w:rStyle w:val="NormalTok"/>
        </w:rPr>
        <w:t xml:space="preserve"> F</w:t>
      </w:r>
      <w:r>
        <w:br/>
      </w:r>
      <w:r>
        <w:br/>
      </w:r>
      <w:r>
        <w:rPr>
          <w:rStyle w:val="NormalTok"/>
        </w:rPr>
        <w:t xml:space="preserve">spark </w:t>
      </w:r>
      <w:r>
        <w:rPr>
          <w:rStyle w:val="OperatorTok"/>
        </w:rPr>
        <w:t xml:space="preserve">=</w:t>
      </w:r>
      <w:r>
        <w:rPr>
          <w:rStyle w:val="NormalTok"/>
        </w:rPr>
        <w:t xml:space="preserve"> (SparkSession.builder.master(</w:t>
      </w:r>
      <w:r>
        <w:rPr>
          <w:rStyle w:val="StringTok"/>
        </w:rPr>
        <w:t xml:space="preserve">"local[4]"</w:t>
      </w:r>
      <w:r>
        <w:rPr>
          <w:rStyle w:val="NormalTok"/>
        </w:rPr>
        <w:t xml:space="preserve">).appName(</w:t>
      </w:r>
      <w:r>
        <w:rPr>
          <w:rStyle w:val="StringTok"/>
        </w:rPr>
        <w:t xml:space="preserve">"ch29-demo"</w:t>
      </w:r>
      <w:r>
        <w:rPr>
          <w:rStyle w:val="NormalTok"/>
        </w:rPr>
        <w:t xml:space="preserve">)</w:t>
      </w:r>
      <w:r>
        <w:br/>
      </w:r>
      <w:r>
        <w:rPr>
          <w:rStyle w:val="NormalTok"/>
        </w:rPr>
        <w:t xml:space="preserve">         .config(</w:t>
      </w:r>
      <w:r>
        <w:rPr>
          <w:rStyle w:val="StringTok"/>
        </w:rPr>
        <w:t xml:space="preserve">"spark.sql.shuffle.partitions"</w:t>
      </w:r>
      <w:r>
        <w:rPr>
          <w:rStyle w:val="NormalTok"/>
        </w:rPr>
        <w:t xml:space="preserve">, </w:t>
      </w:r>
      <w:r>
        <w:rPr>
          <w:rStyle w:val="StringTok"/>
        </w:rPr>
        <w:t xml:space="preserve">"8"</w:t>
      </w:r>
      <w:r>
        <w:rPr>
          <w:rStyle w:val="NormalTok"/>
        </w:rPr>
        <w:t xml:space="preserve">)          </w:t>
      </w:r>
      <w:r>
        <w:rPr>
          <w:rStyle w:val="CommentTok"/>
        </w:rPr>
        <w:t xml:space="preserve"># default is 200</w:t>
      </w:r>
      <w:r>
        <w:br/>
      </w:r>
      <w:r>
        <w:rPr>
          <w:rStyle w:val="NormalTok"/>
        </w:rPr>
        <w:t xml:space="preserve">         .config(</w:t>
      </w:r>
      <w:r>
        <w:rPr>
          <w:rStyle w:val="StringTok"/>
        </w:rPr>
        <w:t xml:space="preserve">"spark.sql.adaptive.enabled"</w:t>
      </w:r>
      <w:r>
        <w:rPr>
          <w:rStyle w:val="NormalTok"/>
        </w:rPr>
        <w:t xml:space="preserve">, </w:t>
      </w:r>
      <w:r>
        <w:rPr>
          <w:rStyle w:val="StringTok"/>
        </w:rPr>
        <w:t xml:space="preserve">"true"</w:t>
      </w:r>
      <w:r>
        <w:rPr>
          <w:rStyle w:val="NormalTok"/>
        </w:rPr>
        <w:t xml:space="preserve">)          </w:t>
      </w:r>
      <w:r>
        <w:rPr>
          <w:rStyle w:val="CommentTok"/>
        </w:rPr>
        <w:t xml:space="preserve"># AQE (default on since 3.2)</w:t>
      </w:r>
      <w:r>
        <w:br/>
      </w:r>
      <w:r>
        <w:rPr>
          <w:rStyle w:val="NormalTok"/>
        </w:rPr>
        <w:t xml:space="preserve">         .getOrCreate())</w:t>
      </w:r>
      <w:r>
        <w:br/>
      </w:r>
      <w:r>
        <w:rPr>
          <w:rStyle w:val="NormalTok"/>
        </w:rPr>
        <w:t xml:space="preserve">spark.sparkContext.setLogLevel(</w:t>
      </w:r>
      <w:r>
        <w:rPr>
          <w:rStyle w:val="StringTok"/>
        </w:rPr>
        <w:t xml:space="preserve">"ERROR"</w:t>
      </w:r>
      <w:r>
        <w:rPr>
          <w:rStyle w:val="NormalTok"/>
        </w:rPr>
        <w:t xml:space="preserve">)</w:t>
      </w:r>
      <w:r>
        <w:br/>
      </w:r>
      <w:r>
        <w:br/>
      </w:r>
      <w:r>
        <w:rPr>
          <w:rStyle w:val="NormalTok"/>
        </w:rPr>
        <w:t xml:space="preserve">rng </w:t>
      </w:r>
      <w:r>
        <w:rPr>
          <w:rStyle w:val="OperatorTok"/>
        </w:rPr>
        <w:t xml:space="preserve">=</w:t>
      </w:r>
      <w:r>
        <w:rPr>
          <w:rStyle w:val="NormalTok"/>
        </w:rPr>
        <w:t xml:space="preserve"> random.Random(</w:t>
      </w:r>
      <w:r>
        <w:rPr>
          <w:rStyle w:val="DecValTok"/>
        </w:rPr>
        <w:t xml:space="preserve">29</w:t>
      </w:r>
      <w:r>
        <w:rPr>
          <w:rStyle w:val="NormalTok"/>
        </w:rPr>
        <w:t xml:space="preserve">)</w:t>
      </w:r>
      <w:r>
        <w:br/>
      </w:r>
      <w:r>
        <w:rPr>
          <w:rStyle w:val="NormalTok"/>
        </w:rPr>
        <w:t xml:space="preserve">pages </w:t>
      </w:r>
      <w:r>
        <w:rPr>
          <w:rStyle w:val="OperatorTok"/>
        </w:rPr>
        <w:t xml:space="preserve">=</w:t>
      </w:r>
      <w:r>
        <w:rPr>
          <w:rStyle w:val="NormalTok"/>
        </w:rPr>
        <w:t xml:space="preserve"> [</w:t>
      </w:r>
      <w:r>
        <w:rPr>
          <w:rStyle w:val="StringTok"/>
        </w:rPr>
        <w:t xml:space="preserve">"/home"</w:t>
      </w:r>
      <w:r>
        <w:rPr>
          <w:rStyle w:val="NormalTok"/>
        </w:rPr>
        <w:t xml:space="preserve">, </w:t>
      </w:r>
      <w:r>
        <w:rPr>
          <w:rStyle w:val="StringTok"/>
        </w:rPr>
        <w:t xml:space="preserve">"/search"</w:t>
      </w:r>
      <w:r>
        <w:rPr>
          <w:rStyle w:val="NormalTok"/>
        </w:rPr>
        <w:t xml:space="preserve">, </w:t>
      </w:r>
      <w:r>
        <w:rPr>
          <w:rStyle w:val="StringTok"/>
        </w:rPr>
        <w:t xml:space="preserve">"/item"</w:t>
      </w:r>
      <w:r>
        <w:rPr>
          <w:rStyle w:val="NormalTok"/>
        </w:rPr>
        <w:t xml:space="preserve">, </w:t>
      </w:r>
      <w:r>
        <w:rPr>
          <w:rStyle w:val="StringTok"/>
        </w:rPr>
        <w:t xml:space="preserve">"/cart"</w:t>
      </w:r>
      <w:r>
        <w:rPr>
          <w:rStyle w:val="NormalTok"/>
        </w:rPr>
        <w:t xml:space="preserve">, </w:t>
      </w:r>
      <w:r>
        <w:rPr>
          <w:rStyle w:val="StringTok"/>
        </w:rPr>
        <w:t xml:space="preserve">"/checkout"</w:t>
      </w:r>
      <w:r>
        <w:rPr>
          <w:rStyle w:val="NormalTok"/>
        </w:rPr>
        <w:t xml:space="preserve">]</w:t>
      </w:r>
      <w:r>
        <w:br/>
      </w:r>
      <w:r>
        <w:rPr>
          <w:rStyle w:val="NormalTok"/>
        </w:rPr>
        <w:t xml:space="preserve">events </w:t>
      </w:r>
      <w:r>
        <w:rPr>
          <w:rStyle w:val="OperatorTok"/>
        </w:rPr>
        <w:t xml:space="preserve">=</w:t>
      </w:r>
      <w:r>
        <w:rPr>
          <w:rStyle w:val="NormalTok"/>
        </w:rPr>
        <w:t xml:space="preserve"> [(rng.randrange(</w:t>
      </w:r>
      <w:r>
        <w:rPr>
          <w:rStyle w:val="DecValTok"/>
        </w:rPr>
        <w:t xml:space="preserve">1_000</w:t>
      </w:r>
      <w:r>
        <w:rPr>
          <w:rStyle w:val="NormalTok"/>
        </w:rPr>
        <w:t xml:space="preserve">), rng.choice(pages))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50_000</w:t>
      </w:r>
      <w:r>
        <w:rPr>
          <w:rStyle w:val="NormalTok"/>
        </w:rPr>
        <w:t xml:space="preserve">)]</w:t>
      </w:r>
      <w:r>
        <w:br/>
      </w:r>
      <w:r>
        <w:rPr>
          <w:rStyle w:val="NormalTok"/>
        </w:rPr>
        <w:t xml:space="preserve">users </w:t>
      </w:r>
      <w:r>
        <w:rPr>
          <w:rStyle w:val="OperatorTok"/>
        </w:rPr>
        <w:t xml:space="preserve">=</w:t>
      </w:r>
      <w:r>
        <w:rPr>
          <w:rStyle w:val="NormalTok"/>
        </w:rPr>
        <w:t xml:space="preserve"> [(u, rng.choice([</w:t>
      </w:r>
      <w:r>
        <w:rPr>
          <w:rStyle w:val="StringTok"/>
        </w:rPr>
        <w:t xml:space="preserve">"IN"</w:t>
      </w:r>
      <w:r>
        <w:rPr>
          <w:rStyle w:val="NormalTok"/>
        </w:rPr>
        <w:t xml:space="preserve">, </w:t>
      </w:r>
      <w:r>
        <w:rPr>
          <w:rStyle w:val="StringTok"/>
        </w:rPr>
        <w:t xml:space="preserve">"US"</w:t>
      </w:r>
      <w:r>
        <w:rPr>
          <w:rStyle w:val="NormalTok"/>
        </w:rPr>
        <w:t xml:space="preserve">, </w:t>
      </w:r>
      <w:r>
        <w:rPr>
          <w:rStyle w:val="StringTok"/>
        </w:rPr>
        <w:t xml:space="preserve">"DE"</w:t>
      </w:r>
      <w:r>
        <w:rPr>
          <w:rStyle w:val="NormalTok"/>
        </w:rPr>
        <w:t xml:space="preserve">, </w:t>
      </w:r>
      <w:r>
        <w:rPr>
          <w:rStyle w:val="StringTok"/>
        </w:rPr>
        <w:t xml:space="preserve">"BR"</w:t>
      </w:r>
      <w:r>
        <w:rPr>
          <w:rStyle w:val="NormalTok"/>
        </w:rPr>
        <w:t xml:space="preserve">])) </w:t>
      </w:r>
      <w:r>
        <w:rPr>
          <w:rStyle w:val="ControlFlowTok"/>
        </w:rPr>
        <w:t xml:space="preserve">for</w:t>
      </w:r>
      <w:r>
        <w:rPr>
          <w:rStyle w:val="NormalTok"/>
        </w:rPr>
        <w:t xml:space="preserve"> u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1_000</w:t>
      </w:r>
      <w:r>
        <w:rPr>
          <w:rStyle w:val="NormalTok"/>
        </w:rPr>
        <w:t xml:space="preserve">)]</w:t>
      </w:r>
      <w:r>
        <w:br/>
      </w:r>
      <w:r>
        <w:br/>
      </w:r>
      <w:r>
        <w:rPr>
          <w:rStyle w:val="CommentTok"/>
        </w:rPr>
        <w:t xml:space="preserve"># 1. RDD API: explicit functions, lineage parallelize -&gt; map -&gt; reduceByKey</w:t>
      </w:r>
      <w:r>
        <w:br/>
      </w:r>
      <w:r>
        <w:rPr>
          <w:rStyle w:val="NormalTok"/>
        </w:rPr>
        <w:t xml:space="preserve">rdd </w:t>
      </w:r>
      <w:r>
        <w:rPr>
          <w:rStyle w:val="OperatorTok"/>
        </w:rPr>
        <w:t xml:space="preserve">=</w:t>
      </w:r>
      <w:r>
        <w:rPr>
          <w:rStyle w:val="NormalTok"/>
        </w:rPr>
        <w:t xml:space="preserve"> spark.sparkContext.parallelize(events, numSlices</w:t>
      </w:r>
      <w:r>
        <w:rPr>
          <w:rStyle w:val="OperatorTok"/>
        </w:rPr>
        <w:t xml:space="preserve">=</w:t>
      </w:r>
      <w:r>
        <w:rPr>
          <w:rStyle w:val="DecValTok"/>
        </w:rPr>
        <w:t xml:space="preserve">8</w:t>
      </w:r>
      <w:r>
        <w:rPr>
          <w:rStyle w:val="NormalTok"/>
        </w:rPr>
        <w:t xml:space="preserve">)</w:t>
      </w:r>
      <w:r>
        <w:br/>
      </w:r>
      <w:r>
        <w:rPr>
          <w:rStyle w:val="NormalTok"/>
        </w:rPr>
        <w:t xml:space="preserve">views_rdd </w:t>
      </w:r>
      <w:r>
        <w:rPr>
          <w:rStyle w:val="OperatorTok"/>
        </w:rPr>
        <w:t xml:space="preserve">=</w:t>
      </w:r>
      <w:r>
        <w:rPr>
          <w:rStyle w:val="NormalTok"/>
        </w:rPr>
        <w:t xml:space="preserve"> </w:t>
      </w:r>
      <w:r>
        <w:rPr>
          <w:rStyle w:val="BuiltInTok"/>
        </w:rPr>
        <w:t xml:space="preserve">dict</w:t>
      </w:r>
      <w:r>
        <w:rPr>
          <w:rStyle w:val="NormalTok"/>
        </w:rPr>
        <w:t xml:space="preserve">(rdd.</w:t>
      </w:r>
      <w:r>
        <w:rPr>
          <w:rStyle w:val="BuiltInTok"/>
        </w:rPr>
        <w:t xml:space="preserve">map</w:t>
      </w:r>
      <w:r>
        <w:rPr>
          <w:rStyle w:val="NormalTok"/>
        </w:rPr>
        <w:t xml:space="preserve">(</w:t>
      </w:r>
      <w:r>
        <w:rPr>
          <w:rStyle w:val="KeywordTok"/>
        </w:rPr>
        <w:t xml:space="preserve">lambda</w:t>
      </w:r>
      <w:r>
        <w:rPr>
          <w:rStyle w:val="NormalTok"/>
        </w:rPr>
        <w:t xml:space="preserve"> e: (e[</w:t>
      </w:r>
      <w:r>
        <w:rPr>
          <w:rStyle w:val="DecValTok"/>
        </w:rPr>
        <w:t xml:space="preserve">1</w:t>
      </w:r>
      <w:r>
        <w:rPr>
          <w:rStyle w:val="NormalTok"/>
        </w:rPr>
        <w:t xml:space="preserve">], </w:t>
      </w:r>
      <w:r>
        <w:rPr>
          <w:rStyle w:val="DecValTok"/>
        </w:rPr>
        <w:t xml:space="preserve">1</w:t>
      </w:r>
      <w:r>
        <w:rPr>
          <w:rStyle w:val="NormalTok"/>
        </w:rPr>
        <w:t xml:space="preserve">)).reduceByKey(</w:t>
      </w:r>
      <w:r>
        <w:rPr>
          <w:rStyle w:val="KeywordTok"/>
        </w:rPr>
        <w:t xml:space="preserve">lambda</w:t>
      </w:r>
      <w:r>
        <w:rPr>
          <w:rStyle w:val="NormalTok"/>
        </w:rPr>
        <w:t xml:space="preserve"> a, b: a </w:t>
      </w:r>
      <w:r>
        <w:rPr>
          <w:rStyle w:val="OperatorTok"/>
        </w:rPr>
        <w:t xml:space="preserve">+</w:t>
      </w:r>
      <w:r>
        <w:rPr>
          <w:rStyle w:val="NormalTok"/>
        </w:rPr>
        <w:t xml:space="preserve"> b).collect())</w:t>
      </w:r>
      <w:r>
        <w:br/>
      </w:r>
      <w:r>
        <w:br/>
      </w:r>
      <w:r>
        <w:rPr>
          <w:rStyle w:val="CommentTok"/>
        </w:rPr>
        <w:t xml:space="preserve"># 2. DataFrame API: declarative, optimized by Catalyst</w:t>
      </w:r>
      <w:r>
        <w:br/>
      </w:r>
      <w:r>
        <w:rPr>
          <w:rStyle w:val="NormalTok"/>
        </w:rPr>
        <w:t xml:space="preserve">ev </w:t>
      </w:r>
      <w:r>
        <w:rPr>
          <w:rStyle w:val="OperatorTok"/>
        </w:rPr>
        <w:t xml:space="preserve">=</w:t>
      </w:r>
      <w:r>
        <w:rPr>
          <w:rStyle w:val="NormalTok"/>
        </w:rPr>
        <w:t xml:space="preserve"> spark.createDataFrame(events, [</w:t>
      </w:r>
      <w:r>
        <w:rPr>
          <w:rStyle w:val="StringTok"/>
        </w:rPr>
        <w:t xml:space="preserve">"user_id"</w:t>
      </w:r>
      <w:r>
        <w:rPr>
          <w:rStyle w:val="NormalTok"/>
        </w:rPr>
        <w:t xml:space="preserve">, </w:t>
      </w:r>
      <w:r>
        <w:rPr>
          <w:rStyle w:val="StringTok"/>
        </w:rPr>
        <w:t xml:space="preserve">"page"</w:t>
      </w:r>
      <w:r>
        <w:rPr>
          <w:rStyle w:val="NormalTok"/>
        </w:rPr>
        <w:t xml:space="preserve">]).cache()      </w:t>
      </w:r>
      <w:r>
        <w:rPr>
          <w:rStyle w:val="CommentTok"/>
        </w:rPr>
        <w:t xml:space="preserve"># reused twice below</w:t>
      </w:r>
      <w:r>
        <w:br/>
      </w:r>
      <w:r>
        <w:rPr>
          <w:rStyle w:val="NormalTok"/>
        </w:rPr>
        <w:t xml:space="preserve">us </w:t>
      </w:r>
      <w:r>
        <w:rPr>
          <w:rStyle w:val="OperatorTok"/>
        </w:rPr>
        <w:t xml:space="preserve">=</w:t>
      </w:r>
      <w:r>
        <w:rPr>
          <w:rStyle w:val="NormalTok"/>
        </w:rPr>
        <w:t xml:space="preserve"> spark.createDataFrame(users, [</w:t>
      </w:r>
      <w:r>
        <w:rPr>
          <w:rStyle w:val="StringTok"/>
        </w:rPr>
        <w:t xml:space="preserve">"user_id"</w:t>
      </w:r>
      <w:r>
        <w:rPr>
          <w:rStyle w:val="NormalTok"/>
        </w:rPr>
        <w:t xml:space="preserve">, </w:t>
      </w:r>
      <w:r>
        <w:rPr>
          <w:rStyle w:val="StringTok"/>
        </w:rPr>
        <w:t xml:space="preserve">"country"</w:t>
      </w:r>
      <w:r>
        <w:rPr>
          <w:rStyle w:val="NormalTok"/>
        </w:rPr>
        <w:t xml:space="preserve">])</w:t>
      </w:r>
      <w:r>
        <w:br/>
      </w:r>
      <w:r>
        <w:rPr>
          <w:rStyle w:val="NormalTok"/>
        </w:rPr>
        <w:t xml:space="preserve">views_df </w:t>
      </w:r>
      <w:r>
        <w:rPr>
          <w:rStyle w:val="OperatorTok"/>
        </w:rPr>
        <w:t xml:space="preserve">=</w:t>
      </w:r>
      <w:r>
        <w:rPr>
          <w:rStyle w:val="NormalTok"/>
        </w:rPr>
        <w:t xml:space="preserve"> {r[</w:t>
      </w:r>
      <w:r>
        <w:rPr>
          <w:rStyle w:val="StringTok"/>
        </w:rPr>
        <w:t xml:space="preserve">"page"</w:t>
      </w:r>
      <w:r>
        <w:rPr>
          <w:rStyle w:val="NormalTok"/>
        </w:rPr>
        <w:t xml:space="preserve">]: r[</w:t>
      </w:r>
      <w:r>
        <w:rPr>
          <w:rStyle w:val="StringTok"/>
        </w:rPr>
        <w:t xml:space="preserve">"n"</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ev.groupBy(</w:t>
      </w:r>
      <w:r>
        <w:rPr>
          <w:rStyle w:val="StringTok"/>
        </w:rPr>
        <w:t xml:space="preserve">"page"</w:t>
      </w:r>
      <w:r>
        <w:rPr>
          <w:rStyle w:val="NormalTok"/>
        </w:rPr>
        <w:t xml:space="preserve">).agg(F.count(</w:t>
      </w:r>
      <w:r>
        <w:rPr>
          <w:rStyle w:val="StringTok"/>
        </w:rPr>
        <w:t xml:space="preserve">"*"</w:t>
      </w:r>
      <w:r>
        <w:rPr>
          <w:rStyle w:val="NormalTok"/>
        </w:rPr>
        <w:t xml:space="preserve">).alias(</w:t>
      </w:r>
      <w:r>
        <w:rPr>
          <w:rStyle w:val="StringTok"/>
        </w:rPr>
        <w:t xml:space="preserve">"n"</w:t>
      </w:r>
      <w:r>
        <w:rPr>
          <w:rStyle w:val="NormalTok"/>
        </w:rPr>
        <w:t xml:space="preserve">)).collect()}</w:t>
      </w:r>
      <w:r>
        <w:br/>
      </w:r>
      <w:r>
        <w:br/>
      </w:r>
      <w:r>
        <w:rPr>
          <w:rStyle w:val="CommentTok"/>
        </w:rPr>
        <w:t xml:space="preserve"># 3. Join + aggregate; the small side is broadcast, so the large side is never shuffled for the join</w:t>
      </w:r>
      <w:r>
        <w:br/>
      </w:r>
      <w:r>
        <w:rPr>
          <w:rStyle w:val="NormalTok"/>
        </w:rPr>
        <w:t xml:space="preserve">by_country </w:t>
      </w:r>
      <w:r>
        <w:rPr>
          <w:rStyle w:val="OperatorTok"/>
        </w:rPr>
        <w:t xml:space="preserve">=</w:t>
      </w:r>
      <w:r>
        <w:rPr>
          <w:rStyle w:val="NormalTok"/>
        </w:rPr>
        <w:t xml:space="preserve"> (ev.join(F.broadcast(us), </w:t>
      </w:r>
      <w:r>
        <w:rPr>
          <w:rStyle w:val="StringTok"/>
        </w:rPr>
        <w:t xml:space="preserve">"user_id"</w:t>
      </w:r>
      <w:r>
        <w:rPr>
          <w:rStyle w:val="NormalTok"/>
        </w:rPr>
        <w:t xml:space="preserve">)</w:t>
      </w:r>
      <w:r>
        <w:br/>
      </w:r>
      <w:r>
        <w:rPr>
          <w:rStyle w:val="NormalTok"/>
        </w:rPr>
        <w:t xml:space="preserve">                .groupBy(</w:t>
      </w:r>
      <w:r>
        <w:rPr>
          <w:rStyle w:val="StringTok"/>
        </w:rPr>
        <w:t xml:space="preserve">"country"</w:t>
      </w:r>
      <w:r>
        <w:rPr>
          <w:rStyle w:val="NormalTok"/>
        </w:rPr>
        <w:t xml:space="preserve">, </w:t>
      </w:r>
      <w:r>
        <w:rPr>
          <w:rStyle w:val="StringTok"/>
        </w:rPr>
        <w:t xml:space="preserve">"page"</w:t>
      </w:r>
      <w:r>
        <w:rPr>
          <w:rStyle w:val="NormalTok"/>
        </w:rPr>
        <w:t xml:space="preserve">).agg(F.count(</w:t>
      </w:r>
      <w:r>
        <w:rPr>
          <w:rStyle w:val="StringTok"/>
        </w:rPr>
        <w:t xml:space="preserve">"*"</w:t>
      </w:r>
      <w:r>
        <w:rPr>
          <w:rStyle w:val="NormalTok"/>
        </w:rPr>
        <w:t xml:space="preserve">).alias(</w:t>
      </w:r>
      <w:r>
        <w:rPr>
          <w:rStyle w:val="StringTok"/>
        </w:rPr>
        <w:t xml:space="preserve">"views"</w:t>
      </w:r>
      <w:r>
        <w:rPr>
          <w:rStyle w:val="NormalTok"/>
        </w:rPr>
        <w:t xml:space="preserve">)))</w:t>
      </w:r>
      <w:r>
        <w:br/>
      </w:r>
      <w:r>
        <w:rPr>
          <w:rStyle w:val="NormalTok"/>
        </w:rPr>
        <w:t xml:space="preserve">by_country.explain()                        </w:t>
      </w:r>
      <w:r>
        <w:rPr>
          <w:rStyle w:val="CommentTok"/>
        </w:rPr>
        <w:t xml:space="preserve"># physical plan: BroadcastHashJoin, then one Exchange</w:t>
      </w:r>
      <w:r>
        <w:br/>
      </w:r>
      <w:r>
        <w:rPr>
          <w:rStyle w:val="NormalTok"/>
        </w:rPr>
        <w:t xml:space="preserve">result </w:t>
      </w:r>
      <w:r>
        <w:rPr>
          <w:rStyle w:val="OperatorTok"/>
        </w:rPr>
        <w:t xml:space="preserve">=</w:t>
      </w:r>
      <w:r>
        <w:rPr>
          <w:rStyle w:val="NormalTok"/>
        </w:rPr>
        <w:t xml:space="preserve"> {(r[</w:t>
      </w:r>
      <w:r>
        <w:rPr>
          <w:rStyle w:val="StringTok"/>
        </w:rPr>
        <w:t xml:space="preserve">"country"</w:t>
      </w:r>
      <w:r>
        <w:rPr>
          <w:rStyle w:val="NormalTok"/>
        </w:rPr>
        <w:t xml:space="preserve">], r[</w:t>
      </w:r>
      <w:r>
        <w:rPr>
          <w:rStyle w:val="StringTok"/>
        </w:rPr>
        <w:t xml:space="preserve">"page"</w:t>
      </w:r>
      <w:r>
        <w:rPr>
          <w:rStyle w:val="NormalTok"/>
        </w:rPr>
        <w:t xml:space="preserve">]): r[</w:t>
      </w:r>
      <w:r>
        <w:rPr>
          <w:rStyle w:val="StringTok"/>
        </w:rPr>
        <w:t xml:space="preserve">"views"</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by_country.collect()}</w:t>
      </w:r>
      <w:r>
        <w:br/>
      </w:r>
      <w:r>
        <w:br/>
      </w:r>
      <w:r>
        <w:rPr>
          <w:rStyle w:val="CommentTok"/>
        </w:rPr>
        <w:t xml:space="preserve"># Check against plain Python</w:t>
      </w:r>
      <w:r>
        <w:br/>
      </w:r>
      <w:r>
        <w:rPr>
          <w:rStyle w:val="NormalTok"/>
        </w:rPr>
        <w:t xml:space="preserve">truth_pages </w:t>
      </w:r>
      <w:r>
        <w:rPr>
          <w:rStyle w:val="OperatorTok"/>
        </w:rPr>
        <w:t xml:space="preserve">=</w:t>
      </w:r>
      <w:r>
        <w:rPr>
          <w:rStyle w:val="NormalTok"/>
        </w:rPr>
        <w:t xml:space="preserve"> Counter(p </w:t>
      </w:r>
      <w:r>
        <w:rPr>
          <w:rStyle w:val="ControlFlowTok"/>
        </w:rPr>
        <w:t xml:space="preserve">for</w:t>
      </w:r>
      <w:r>
        <w:rPr>
          <w:rStyle w:val="NormalTok"/>
        </w:rPr>
        <w:t xml:space="preserve"> _, p </w:t>
      </w:r>
      <w:r>
        <w:rPr>
          <w:rStyle w:val="KeywordTok"/>
        </w:rPr>
        <w:t xml:space="preserve">in</w:t>
      </w:r>
      <w:r>
        <w:rPr>
          <w:rStyle w:val="NormalTok"/>
        </w:rPr>
        <w:t xml:space="preserve"> events)</w:t>
      </w:r>
      <w:r>
        <w:br/>
      </w:r>
      <w:r>
        <w:rPr>
          <w:rStyle w:val="NormalTok"/>
        </w:rPr>
        <w:t xml:space="preserve">country </w:t>
      </w:r>
      <w:r>
        <w:rPr>
          <w:rStyle w:val="OperatorTok"/>
        </w:rPr>
        <w:t xml:space="preserve">=</w:t>
      </w:r>
      <w:r>
        <w:rPr>
          <w:rStyle w:val="NormalTok"/>
        </w:rPr>
        <w:t xml:space="preserve"> </w:t>
      </w:r>
      <w:r>
        <w:rPr>
          <w:rStyle w:val="BuiltInTok"/>
        </w:rPr>
        <w:t xml:space="preserve">dict</w:t>
      </w:r>
      <w:r>
        <w:rPr>
          <w:rStyle w:val="NormalTok"/>
        </w:rPr>
        <w:t xml:space="preserve">(users)</w:t>
      </w:r>
      <w:r>
        <w:br/>
      </w:r>
      <w:r>
        <w:rPr>
          <w:rStyle w:val="NormalTok"/>
        </w:rPr>
        <w:t xml:space="preserve">truth_join </w:t>
      </w:r>
      <w:r>
        <w:rPr>
          <w:rStyle w:val="OperatorTok"/>
        </w:rPr>
        <w:t xml:space="preserve">=</w:t>
      </w:r>
      <w:r>
        <w:rPr>
          <w:rStyle w:val="NormalTok"/>
        </w:rPr>
        <w:t xml:space="preserve"> Counter((country[u], p) </w:t>
      </w:r>
      <w:r>
        <w:rPr>
          <w:rStyle w:val="ControlFlowTok"/>
        </w:rPr>
        <w:t xml:space="preserve">for</w:t>
      </w:r>
      <w:r>
        <w:rPr>
          <w:rStyle w:val="NormalTok"/>
        </w:rPr>
        <w:t xml:space="preserve"> u, p </w:t>
      </w:r>
      <w:r>
        <w:rPr>
          <w:rStyle w:val="KeywordTok"/>
        </w:rPr>
        <w:t xml:space="preserve">in</w:t>
      </w:r>
      <w:r>
        <w:rPr>
          <w:rStyle w:val="NormalTok"/>
        </w:rPr>
        <w:t xml:space="preserve"> events)</w:t>
      </w:r>
      <w:r>
        <w:br/>
      </w:r>
      <w:r>
        <w:rPr>
          <w:rStyle w:val="ControlFlowTok"/>
        </w:rPr>
        <w:t xml:space="preserve">assert</w:t>
      </w:r>
      <w:r>
        <w:rPr>
          <w:rStyle w:val="NormalTok"/>
        </w:rPr>
        <w:t xml:space="preserve"> views_rdd </w:t>
      </w:r>
      <w:r>
        <w:rPr>
          <w:rStyle w:val="OperatorTok"/>
        </w:rPr>
        <w:t xml:space="preserve">==</w:t>
      </w:r>
      <w:r>
        <w:rPr>
          <w:rStyle w:val="NormalTok"/>
        </w:rPr>
        <w:t xml:space="preserve"> views_df </w:t>
      </w:r>
      <w:r>
        <w:rPr>
          <w:rStyle w:val="OperatorTok"/>
        </w:rPr>
        <w:t xml:space="preserve">==</w:t>
      </w:r>
      <w:r>
        <w:rPr>
          <w:rStyle w:val="NormalTok"/>
        </w:rPr>
        <w:t xml:space="preserve"> </w:t>
      </w:r>
      <w:r>
        <w:rPr>
          <w:rStyle w:val="BuiltInTok"/>
        </w:rPr>
        <w:t xml:space="preserve">dict</w:t>
      </w:r>
      <w:r>
        <w:rPr>
          <w:rStyle w:val="NormalTok"/>
        </w:rPr>
        <w:t xml:space="preserve">(truth_pages)</w:t>
      </w:r>
      <w:r>
        <w:br/>
      </w:r>
      <w:r>
        <w:rPr>
          <w:rStyle w:val="ControlFlowTok"/>
        </w:rPr>
        <w:t xml:space="preserve">assert</w:t>
      </w:r>
      <w:r>
        <w:rPr>
          <w:rStyle w:val="NormalTok"/>
        </w:rPr>
        <w:t xml:space="preserve"> result </w:t>
      </w:r>
      <w:r>
        <w:rPr>
          <w:rStyle w:val="OperatorTok"/>
        </w:rPr>
        <w:t xml:space="preserve">==</w:t>
      </w:r>
      <w:r>
        <w:rPr>
          <w:rStyle w:val="NormalTok"/>
        </w:rPr>
        <w:t xml:space="preserve"> </w:t>
      </w:r>
      <w:r>
        <w:rPr>
          <w:rStyle w:val="BuiltInTok"/>
        </w:rPr>
        <w:t xml:space="preserve">dict</w:t>
      </w:r>
      <w:r>
        <w:rPr>
          <w:rStyle w:val="NormalTok"/>
        </w:rPr>
        <w:t xml:space="preserve">(truth_join)</w:t>
      </w:r>
      <w:r>
        <w:br/>
      </w:r>
      <w:r>
        <w:rPr>
          <w:rStyle w:val="BuiltInTok"/>
        </w:rPr>
        <w:t xml:space="preserve">print</w:t>
      </w:r>
      <w:r>
        <w:rPr>
          <w:rStyle w:val="NormalTok"/>
        </w:rPr>
        <w:t xml:space="preserve">(</w:t>
      </w:r>
      <w:r>
        <w:rPr>
          <w:rStyle w:val="StringTok"/>
        </w:rPr>
        <w:t xml:space="preserve">"views per page:"</w:t>
      </w:r>
      <w:r>
        <w:rPr>
          <w:rStyle w:val="NormalTok"/>
        </w:rPr>
        <w:t xml:space="preserve">, </w:t>
      </w:r>
      <w:r>
        <w:rPr>
          <w:rStyle w:val="BuiltInTok"/>
        </w:rPr>
        <w:t xml:space="preserve">dict</w:t>
      </w:r>
      <w:r>
        <w:rPr>
          <w:rStyle w:val="NormalTok"/>
        </w:rPr>
        <w:t xml:space="preserve">(</w:t>
      </w:r>
      <w:r>
        <w:rPr>
          <w:rStyle w:val="BuiltInTok"/>
        </w:rPr>
        <w:t xml:space="preserve">sorted</w:t>
      </w:r>
      <w:r>
        <w:rPr>
          <w:rStyle w:val="NormalTok"/>
        </w:rPr>
        <w:t xml:space="preserve">(views_df.items())))</w:t>
      </w:r>
      <w:r>
        <w:br/>
      </w:r>
      <w:r>
        <w:rPr>
          <w:rStyle w:val="BuiltInTok"/>
        </w:rPr>
        <w:t xml:space="preserve">print</w:t>
      </w:r>
      <w:r>
        <w:rPr>
          <w:rStyle w:val="NormalTok"/>
        </w:rPr>
        <w:t xml:space="preserve">(</w:t>
      </w:r>
      <w:r>
        <w:rPr>
          <w:rStyle w:val="StringTok"/>
        </w:rPr>
        <w:t xml:space="preserve">"country/page groups:"</w:t>
      </w:r>
      <w:r>
        <w:rPr>
          <w:rStyle w:val="NormalTok"/>
        </w:rPr>
        <w:t xml:space="preserve">, </w:t>
      </w:r>
      <w:r>
        <w:rPr>
          <w:rStyle w:val="BuiltInTok"/>
        </w:rPr>
        <w:t xml:space="preserve">len</w:t>
      </w:r>
      <w:r>
        <w:rPr>
          <w:rStyle w:val="NormalTok"/>
        </w:rPr>
        <w:t xml:space="preserve">(result), </w:t>
      </w:r>
      <w:r>
        <w:rPr>
          <w:rStyle w:val="StringTok"/>
        </w:rPr>
        <w:t xml:space="preserve">"- all checks passed"</w:t>
      </w:r>
      <w:r>
        <w:rPr>
          <w:rStyle w:val="NormalTok"/>
        </w:rPr>
        <w:t xml:space="preserve">)</w:t>
      </w:r>
      <w:r>
        <w:br/>
      </w:r>
      <w:r>
        <w:rPr>
          <w:rStyle w:val="NormalTok"/>
        </w:rPr>
        <w:t xml:space="preserve">spark.stop()</w:t>
      </w:r>
    </w:p>
    <w:p>
      <w:pPr>
        <w:pStyle w:val="FirstParagraph"/>
      </w:pPr>
      <w:r>
        <w:t xml:space="preserve">Output (log lines removed; plan identifiers such as</w:t>
      </w:r>
      <w:r>
        <w:t xml:space="preserve"> </w:t>
      </w:r>
      <w:r>
        <w:rPr>
          <w:rStyle w:val="VerbatimChar"/>
        </w:rPr>
        <w:t xml:space="preserve">#13</w:t>
      </w:r>
      <w:r>
        <w:t xml:space="preserve"> </w:t>
      </w:r>
      <w:r>
        <w:t xml:space="preserve">vary between runs):</w:t>
      </w:r>
    </w:p>
    <w:p>
      <w:pPr>
        <w:pStyle w:val="SourceCode"/>
      </w:pPr>
      <w:r>
        <w:rPr>
          <w:rStyle w:val="VerbatimChar"/>
        </w:rPr>
        <w:t xml:space="preserve">== Physical Plan ==</w:t>
      </w:r>
      <w:r>
        <w:br/>
      </w:r>
      <w:r>
        <w:rPr>
          <w:rStyle w:val="VerbatimChar"/>
        </w:rPr>
        <w:t xml:space="preserve">AdaptiveSparkPlan isFinalPlan=false</w:t>
      </w:r>
      <w:r>
        <w:br/>
      </w:r>
      <w:r>
        <w:rPr>
          <w:rStyle w:val="VerbatimChar"/>
        </w:rPr>
        <w:t xml:space="preserve">+- HashAggregate(keys=[country#13, page#1], functions=[count(1)])</w:t>
      </w:r>
      <w:r>
        <w:br/>
      </w:r>
      <w:r>
        <w:rPr>
          <w:rStyle w:val="VerbatimChar"/>
        </w:rPr>
        <w:t xml:space="preserve">   +- Exchange hashpartitioning(country#13, page#1, 8), ENSURE_REQUIREMENTS, [plan_id=90]</w:t>
      </w:r>
      <w:r>
        <w:br/>
      </w:r>
      <w:r>
        <w:rPr>
          <w:rStyle w:val="VerbatimChar"/>
        </w:rPr>
        <w:t xml:space="preserve">      +- HashAggregate(keys=[country#13, page#1], functions=[partial_count(1)])</w:t>
      </w:r>
      <w:r>
        <w:br/>
      </w:r>
      <w:r>
        <w:rPr>
          <w:rStyle w:val="VerbatimChar"/>
        </w:rPr>
        <w:t xml:space="preserve">         +- Project [page#1, country#13]</w:t>
      </w:r>
      <w:r>
        <w:br/>
      </w:r>
      <w:r>
        <w:rPr>
          <w:rStyle w:val="VerbatimChar"/>
        </w:rPr>
        <w:t xml:space="preserve">            +- BroadcastHashJoin [user_id#0L], [user_id#12L], Inner, BuildRight, false</w:t>
      </w:r>
      <w:r>
        <w:br/>
      </w:r>
      <w:r>
        <w:rPr>
          <w:rStyle w:val="VerbatimChar"/>
        </w:rPr>
        <w:t xml:space="preserve">               :- Filter isnotnull(user_id#0L)</w:t>
      </w:r>
      <w:r>
        <w:br/>
      </w:r>
      <w:r>
        <w:rPr>
          <w:rStyle w:val="VerbatimChar"/>
        </w:rPr>
        <w:t xml:space="preserve">               :  +- InMemoryTableScan [user_id#0L, page#1], [isnotnull(user_id#0L)]</w:t>
      </w:r>
      <w:r>
        <w:br/>
      </w:r>
      <w:r>
        <w:rPr>
          <w:rStyle w:val="VerbatimChar"/>
        </w:rPr>
        <w:t xml:space="preserve">               :        +- InMemoryRelation [user_id#0L, page#1], StorageLevel(disk, memory, deserialized, 1 replicas)</w:t>
      </w:r>
      <w:r>
        <w:br/>
      </w:r>
      <w:r>
        <w:rPr>
          <w:rStyle w:val="VerbatimChar"/>
        </w:rPr>
        <w:t xml:space="preserve">               :              +- *(1) Scan ExistingRDD[user_id#0L,page#1]</w:t>
      </w:r>
      <w:r>
        <w:br/>
      </w:r>
      <w:r>
        <w:rPr>
          <w:rStyle w:val="VerbatimChar"/>
        </w:rPr>
        <w:t xml:space="preserve">               +- BroadcastExchange HashedRelationBroadcastMode(List(input[0, bigint, false]),false), [plan_id=85]</w:t>
      </w:r>
      <w:r>
        <w:br/>
      </w:r>
      <w:r>
        <w:rPr>
          <w:rStyle w:val="VerbatimChar"/>
        </w:rPr>
        <w:t xml:space="preserve">                  +- Filter isnotnull(user_id#12L)</w:t>
      </w:r>
      <w:r>
        <w:br/>
      </w:r>
      <w:r>
        <w:rPr>
          <w:rStyle w:val="VerbatimChar"/>
        </w:rPr>
        <w:t xml:space="preserve">                     +- Scan ExistingRDD[user_id#12L,country#13]</w:t>
      </w:r>
      <w:r>
        <w:br/>
      </w:r>
      <w:r>
        <w:br/>
      </w:r>
      <w:r>
        <w:rPr>
          <w:rStyle w:val="VerbatimChar"/>
        </w:rPr>
        <w:t xml:space="preserve">views per page: {'/cart': 9945, '/checkout': 10053, '/home': 10073, '/item': 9954, '/search': 9975}</w:t>
      </w:r>
      <w:r>
        <w:br/>
      </w:r>
      <w:r>
        <w:rPr>
          <w:rStyle w:val="VerbatimChar"/>
        </w:rPr>
        <w:t xml:space="preserve">country/page groups: 20 - all checks passed</w:t>
      </w:r>
    </w:p>
    <w:p>
      <w:pPr>
        <w:pStyle w:val="FirstParagraph"/>
      </w:pPr>
      <w:r>
        <w:t xml:space="preserve">What to notice:</w:t>
      </w:r>
    </w:p>
    <w:p>
      <w:pPr>
        <w:numPr>
          <w:ilvl w:val="0"/>
          <w:numId w:val="1952"/>
        </w:numPr>
        <w:pStyle w:val="Compact"/>
      </w:pPr>
      <w:r>
        <w:t xml:space="preserve">Read the plan bottom-up. The users side goes through a</w:t>
      </w:r>
      <w:r>
        <w:t xml:space="preserve"> </w:t>
      </w:r>
      <w:r>
        <w:rPr>
          <w:rStyle w:val="VerbatimChar"/>
        </w:rPr>
        <w:t xml:space="preserve">BroadcastExchange</w:t>
      </w:r>
      <w:r>
        <w:t xml:space="preserve">; the events side is joined in place by</w:t>
      </w:r>
      <w:r>
        <w:t xml:space="preserve"> </w:t>
      </w:r>
      <w:r>
        <w:rPr>
          <w:rStyle w:val="VerbatimChar"/>
        </w:rPr>
        <w:t xml:space="preserve">BroadcastHashJoin</w:t>
      </w:r>
      <w:r>
        <w:t xml:space="preserve">, so the large input is never shuffled for the join.</w:t>
      </w:r>
    </w:p>
    <w:p>
      <w:pPr>
        <w:numPr>
          <w:ilvl w:val="0"/>
          <w:numId w:val="1952"/>
        </w:numPr>
        <w:pStyle w:val="Compact"/>
      </w:pPr>
      <w:r>
        <w:t xml:space="preserve">There is exactly one</w:t>
      </w:r>
      <w:r>
        <w:t xml:space="preserve"> </w:t>
      </w:r>
      <w:r>
        <w:rPr>
          <w:rStyle w:val="VerbatimChar"/>
        </w:rPr>
        <w:t xml:space="preserve">Exchange</w:t>
      </w:r>
      <w:r>
        <w:t xml:space="preserve"> </w:t>
      </w:r>
      <w:r>
        <w:t xml:space="preserve">(shuffle), for the</w:t>
      </w:r>
      <w:r>
        <w:t xml:space="preserve"> </w:t>
      </w:r>
      <w:r>
        <w:rPr>
          <w:rStyle w:val="VerbatimChar"/>
        </w:rPr>
        <w:t xml:space="preserve">groupBy</w:t>
      </w:r>
      <w:r>
        <w:t xml:space="preserve">. Before it,</w:t>
      </w:r>
      <w:r>
        <w:t xml:space="preserve"> </w:t>
      </w:r>
      <w:r>
        <w:rPr>
          <w:rStyle w:val="VerbatimChar"/>
        </w:rPr>
        <w:t xml:space="preserve">partial_count</w:t>
      </w:r>
      <w:r>
        <w:t xml:space="preserve"> </w:t>
      </w:r>
      <w:r>
        <w:t xml:space="preserve">is the map-side combiner of §29.4.2; after it, the final</w:t>
      </w:r>
      <w:r>
        <w:t xml:space="preserve"> </w:t>
      </w:r>
      <w:r>
        <w:rPr>
          <w:rStyle w:val="VerbatimChar"/>
        </w:rPr>
        <w:t xml:space="preserve">count</w:t>
      </w:r>
      <w:r>
        <w:t xml:space="preserve"> </w:t>
      </w:r>
      <w:r>
        <w:t xml:space="preserve">merges partial counts.</w:t>
      </w:r>
    </w:p>
    <w:p>
      <w:pPr>
        <w:numPr>
          <w:ilvl w:val="0"/>
          <w:numId w:val="1952"/>
        </w:numPr>
        <w:pStyle w:val="Compact"/>
      </w:pPr>
      <w:r>
        <w:t xml:space="preserve">Catalyst added</w:t>
      </w:r>
      <w:r>
        <w:t xml:space="preserve"> </w:t>
      </w:r>
      <w:r>
        <w:rPr>
          <w:rStyle w:val="VerbatimChar"/>
        </w:rPr>
        <w:t xml:space="preserve">Filter isnotnull(user_id)</w:t>
      </w:r>
      <w:r>
        <w:t xml:space="preserve"> </w:t>
      </w:r>
      <w:r>
        <w:t xml:space="preserve">itself: an inner join never matches a null key.</w:t>
      </w:r>
    </w:p>
    <w:p>
      <w:pPr>
        <w:numPr>
          <w:ilvl w:val="0"/>
          <w:numId w:val="1952"/>
        </w:numPr>
        <w:pStyle w:val="Compact"/>
      </w:pPr>
      <w:r>
        <w:rPr>
          <w:rStyle w:val="VerbatimChar"/>
        </w:rPr>
        <w:t xml:space="preserve">AdaptiveSparkPlan isFinalPlan=false</w:t>
      </w:r>
      <w:r>
        <w:t xml:space="preserve">: AQE may still rewrite the plan after the shuffle.</w:t>
      </w:r>
    </w:p>
    <w:p>
      <w:pPr>
        <w:numPr>
          <w:ilvl w:val="0"/>
          <w:numId w:val="1952"/>
        </w:numPr>
        <w:pStyle w:val="Compact"/>
      </w:pPr>
      <w:r>
        <w:t xml:space="preserve">The RDD version gives the same answer, but Catalyst cannot see inside its lambdas and every record crosses the JVM–Python boundary. Prefer DataFrames and built-in functions.</w:t>
      </w:r>
    </w:p>
    <w:bookmarkEnd w:id="3284"/>
    <w:bookmarkEnd w:id="3285"/>
    <w:bookmarkEnd w:id="3286"/>
    <w:bookmarkStart w:id="3296" w:name="partitioning-and-shuffle"/>
    <w:p>
      <w:pPr>
        <w:pStyle w:val="Heading2"/>
      </w:pPr>
      <w:r>
        <w:t xml:space="preserve">29.6 Partitioning and shuffle</w:t>
      </w:r>
    </w:p>
    <w:bookmarkStart w:id="3287" w:name="hash-and-range-partitioning"/>
    <w:p>
      <w:pPr>
        <w:pStyle w:val="Heading3"/>
      </w:pPr>
      <w:r>
        <w:t xml:space="preserve">29.6.1 Hash and range partitioning</w:t>
      </w:r>
    </w:p>
    <w:p>
      <w:pPr>
        <w:pStyle w:val="FirstParagraph"/>
      </w:pPr>
      <w:r>
        <w:t xml:space="preserve">Every shuffle must decide which partition each key goes to. The two schemes are the same ones databases use for storage (§14.6), applied on the fly:</w:t>
      </w:r>
    </w:p>
    <w:p>
      <w:pPr>
        <w:numPr>
          <w:ilvl w:val="0"/>
          <w:numId w:val="1953"/>
        </w:numPr>
        <w:pStyle w:val="Compact"/>
      </w:pPr>
      <w:r>
        <w:rPr>
          <w:bCs/>
          <w:b/>
        </w:rPr>
        <w:t xml:space="preserve">Hash partitioning</w:t>
      </w:r>
      <w:r>
        <w:t xml:space="preserve">,</w:t>
      </w:r>
      <w:r>
        <w:t xml:space="preserve"> </w:t>
      </w:r>
      <m:oMath>
        <m:r>
          <m:t>p</m:t>
        </m:r>
        <m:r>
          <m:rPr>
            <m:sty m:val="p"/>
          </m:rPr>
          <m:t>=</m:t>
        </m:r>
        <m:r>
          <m:rPr>
            <m:nor/>
            <m:sty m:val="p"/>
          </m:rPr>
          <m:t>hash</m:t>
        </m:r>
        <m:d>
          <m:dPr>
            <m:begChr m:val="("/>
            <m:endChr m:val=")"/>
            <m:sepChr m:val=""/>
            <m:grow/>
          </m:dPr>
          <m:e>
            <m:r>
              <m:t>k</m:t>
            </m:r>
          </m:e>
        </m:d>
        <m:r>
          <m:t> </m:t>
        </m:r>
        <m:r>
          <m:rPr>
            <m:sty m:val="p"/>
          </m:rPr>
          <m:t>mod</m:t>
        </m:r>
        <m:r>
          <m:t> </m:t>
        </m:r>
        <m:r>
          <m:t>P</m:t>
        </m:r>
      </m:oMath>
      <w:r>
        <w:t xml:space="preserve">, spreads keys evenly regardless of their values and is the default for aggregations and joins. Keys in one partition are in no useful order.</w:t>
      </w:r>
    </w:p>
    <w:p>
      <w:pPr>
        <w:numPr>
          <w:ilvl w:val="0"/>
          <w:numId w:val="1953"/>
        </w:numPr>
        <w:pStyle w:val="Compact"/>
      </w:pPr>
      <w:r>
        <w:rPr>
          <w:bCs/>
          <w:b/>
        </w:rPr>
        <w:t xml:space="preserve">Range partitioning</w:t>
      </w:r>
      <w:r>
        <w:t xml:space="preserve"> </w:t>
      </w:r>
      <w:r>
        <w:t xml:space="preserve">assigns contiguous key ranges to partitions, so partition</w:t>
      </w:r>
      <w:r>
        <w:t xml:space="preserve"> </w:t>
      </w:r>
      <m:oMath>
        <m:r>
          <m:t>i</m:t>
        </m:r>
      </m:oMath>
      <w:r>
        <w:t xml:space="preserve"> </w:t>
      </w:r>
      <w:r>
        <w:t xml:space="preserve">holds keys smaller than those in partition</w:t>
      </w:r>
      <w:r>
        <w:t xml:space="preserve"> </w:t>
      </w:r>
      <m:oMath>
        <m:r>
          <m:t>i</m:t>
        </m:r>
        <m:r>
          <m:rPr>
            <m:sty m:val="p"/>
          </m:rPr>
          <m:t>+</m:t>
        </m:r>
        <m:r>
          <m:t>1</m:t>
        </m:r>
      </m:oMath>
      <w:r>
        <w:t xml:space="preserve">. Concatenating sorted partitions gives a globally sorted output (</w:t>
      </w:r>
      <w:r>
        <w:rPr>
          <w:rStyle w:val="VerbatimChar"/>
        </w:rPr>
        <w:t xml:space="preserve">ORDER BY</w:t>
      </w:r>
      <w:r>
        <w:t xml:space="preserve">, sort benchmarks); the engine first</w:t>
      </w:r>
      <w:r>
        <w:t xml:space="preserve"> </w:t>
      </w:r>
      <w:r>
        <w:rPr>
          <w:bCs/>
          <w:b/>
        </w:rPr>
        <w:t xml:space="preserve">samples</w:t>
      </w:r>
      <w:r>
        <w:t xml:space="preserve"> </w:t>
      </w:r>
      <w:r>
        <w:t xml:space="preserve">the input to choose balanced boundaries.</w:t>
      </w:r>
    </w:p>
    <w:p>
      <w:pPr>
        <w:pStyle w:val="FirstParagraph"/>
      </w:pPr>
      <w:r>
        <w:t xml:space="preserve">Both schemes balance</w:t>
      </w:r>
      <w:r>
        <w:t xml:space="preserve"> </w:t>
      </w:r>
      <w:r>
        <w:rPr>
          <w:iCs/>
          <w:i/>
        </w:rPr>
        <w:t xml:space="preserve">keys</w:t>
      </w:r>
      <w:r>
        <w:t xml:space="preserve">, not</w:t>
      </w:r>
      <w:r>
        <w:t xml:space="preserve"> </w:t>
      </w:r>
      <w:r>
        <w:rPr>
          <w:iCs/>
          <w:i/>
        </w:rPr>
        <w:t xml:space="preserve">records</w:t>
      </w:r>
      <w:r>
        <w:t xml:space="preserve">: a key with 20% of the records lands entirely in one partition under either. That is the skew problem of §29.6.3.</w:t>
      </w:r>
    </w:p>
    <w:bookmarkEnd w:id="3287"/>
    <w:bookmarkStart w:id="3291" w:name="the-cost-of-a-shuffle"/>
    <w:p>
      <w:pPr>
        <w:pStyle w:val="Heading3"/>
      </w:pPr>
      <w:r>
        <w:t xml:space="preserve">29.6.2 The cost of a shuffle</w:t>
      </w:r>
    </w:p>
    <w:p>
      <w:pPr>
        <w:pStyle w:val="CalloutDefinition"/>
      </w:pPr>
      <w:r>
        <w:rPr>
          <w:bCs/>
          <w:b/>
        </w:rPr>
        <w:t xml:space="preserve">DEFINITION</w:t>
      </w:r>
    </w:p>
    <w:p>
      <w:pPr>
        <w:pStyle w:val="CalloutDefinition"/>
      </w:pPr>
      <w:r>
        <w:rPr>
          <w:bCs/>
          <w:b/>
        </w:rPr>
        <w:t xml:space="preserve">Definition — Shuffle.</w:t>
      </w:r>
      <w:r>
        <w:t xml:space="preserve"> </w:t>
      </w:r>
      <w:r>
        <w:t xml:space="preserve">The all-to-all redistribution of intermediate data between two stages, in which every task of the producing stage writes its output partitioned by key and every task of the consuming stage reads its partition from every producer. It costs serialization, local disk writes and reads, and network transfer, and it is a barrier between stages.</w:t>
      </w:r>
    </w:p>
    <w:p>
      <w:pPr>
        <w:pStyle w:val="BodyText"/>
      </w:pPr>
      <w:r>
        <w:t xml:space="preserve">On a cluster of</w:t>
      </w:r>
      <w:r>
        <w:t xml:space="preserve"> </w:t>
      </w:r>
      <m:oMath>
        <m:r>
          <m:t>N</m:t>
        </m:r>
      </m:oMath>
      <w:r>
        <w:t xml:space="preserve"> </w:t>
      </w:r>
      <w:r>
        <w:t xml:space="preserve">nodes with keys spread evenly, a fraction</w:t>
      </w:r>
      <w:r>
        <w:t xml:space="preserve"> </w:t>
      </w:r>
      <m:oMath>
        <m:d>
          <m:dPr>
            <m:begChr m:val="("/>
            <m:endChr m:val=")"/>
            <m:sepChr m:val=""/>
            <m:grow/>
          </m:dPr>
          <m:e>
            <m:r>
              <m:t>N</m:t>
            </m:r>
            <m:r>
              <m:rPr>
                <m:sty m:val="p"/>
              </m:rPr>
              <m:t>−</m:t>
            </m:r>
            <m:r>
              <m:t>1</m:t>
            </m:r>
          </m:e>
        </m:d>
        <m:r>
          <m:rPr>
            <m:sty m:val="p"/>
          </m:rPr>
          <m:t>/</m:t>
        </m:r>
        <m:r>
          <m:t>N</m:t>
        </m:r>
      </m:oMath>
      <w:r>
        <w:t xml:space="preserve"> </w:t>
      </w:r>
      <w:r>
        <w:t xml:space="preserve">of the shuffled data leaves its node. In a datacenter built from racks behind oversubscribed uplinks (§7.17), a fraction</w:t>
      </w:r>
      <w:r>
        <w:t xml:space="preserve"> </w:t>
      </w:r>
      <m:oMath>
        <m:d>
          <m:dPr>
            <m:begChr m:val="("/>
            <m:endChr m:val=")"/>
            <m:sepChr m:val=""/>
            <m:grow/>
          </m:dPr>
          <m:e>
            <m:r>
              <m:t>K</m:t>
            </m:r>
            <m:r>
              <m:rPr>
                <m:sty m:val="p"/>
              </m:rPr>
              <m:t>−</m:t>
            </m:r>
            <m:r>
              <m:t>1</m:t>
            </m:r>
          </m:e>
        </m:d>
        <m:r>
          <m:rPr>
            <m:sty m:val="p"/>
          </m:rPr>
          <m:t>/</m:t>
        </m:r>
        <m:r>
          <m:t>K</m:t>
        </m:r>
      </m:oMath>
      <w:r>
        <w:t xml:space="preserve"> </w:t>
      </w:r>
      <w:r>
        <w:t xml:space="preserve">of it also leaves its rack when there are</w:t>
      </w:r>
      <w:r>
        <w:t xml:space="preserve"> </w:t>
      </w:r>
      <m:oMath>
        <m:r>
          <m:t>K</m:t>
        </m:r>
      </m:oMath>
      <w:r>
        <w:t xml:space="preserve"> </w:t>
      </w:r>
      <w:r>
        <w:t xml:space="preserve">racks, and the rack uplinks are usually the tightest pipe.</w:t>
      </w:r>
    </w:p>
    <w:p>
      <w:pPr>
        <w:pStyle w:val="BodyText"/>
      </w:pPr>
      <w:r>
        <w:rPr>
          <w:bCs/>
          <w:b/>
        </w:rPr>
        <w:t xml:space="preserve">Figure 29.9 — A shuffle crossing rack uplinks.</w:t>
      </w:r>
    </w:p>
    <w:p>
      <w:pPr>
        <w:pStyle w:val="BodyText"/>
      </w:pPr>
      <w:r>
        <w:drawing>
          <wp:inline>
            <wp:extent cx="5334000" cy="1796315"/>
            <wp:effectExtent b="0" l="0" r="0" t="0"/>
            <wp:docPr descr="" title="" id="3289" name="Picture"/>
            <a:graphic>
              <a:graphicData uri="http://schemas.openxmlformats.org/drawingml/2006/picture">
                <pic:pic>
                  <pic:nvPicPr>
                    <pic:cNvPr descr="/home/user/System-Design/build/.cache/diagrams/940f2ee4b689.png" id="3290" name="Picture"/>
                    <pic:cNvPicPr>
                      <a:picLocks noChangeArrowheads="1" noChangeAspect="1"/>
                    </pic:cNvPicPr>
                  </pic:nvPicPr>
                  <pic:blipFill>
                    <a:blip r:embed="rId3288"/>
                    <a:stretch>
                      <a:fillRect/>
                    </a:stretch>
                  </pic:blipFill>
                  <pic:spPr bwMode="auto">
                    <a:xfrm>
                      <a:off x="0" y="0"/>
                      <a:ext cx="5334000" cy="1796315"/>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Map tasks in each rack write partitioned</w:t>
      </w:r>
      <w:r>
        <w:t xml:space="preserve"> </w:t>
      </w:r>
      <w:r>
        <w:rPr>
          <w:iCs/>
          <w:i/>
        </w:rPr>
        <w:t xml:space="preserve">shuffle files</w:t>
      </w:r>
      <w:r>
        <w:t xml:space="preserve"> </w:t>
      </w:r>
      <w:r>
        <w:t xml:space="preserve">to local disk. Reduce tasks fetch their partition from every file: fetches within a rack go through the top-of-rack switch only, while cross-rack fetches climb through the</w:t>
      </w:r>
      <w:r>
        <w:t xml:space="preserve"> </w:t>
      </w:r>
      <w:r>
        <w:rPr>
          <w:iCs/>
          <w:i/>
        </w:rPr>
        <w:t xml:space="preserve">ToR switch</w:t>
      </w:r>
      <w:r>
        <w:t xml:space="preserve">, an</w:t>
      </w:r>
      <w:r>
        <w:t xml:space="preserve"> </w:t>
      </w:r>
      <w:r>
        <w:rPr>
          <w:iCs/>
          <w:i/>
        </w:rPr>
        <w:t xml:space="preserve">oversubscribed uplink</w:t>
      </w:r>
      <w:r>
        <w:t xml:space="preserve"> </w:t>
      </w:r>
      <w:r>
        <w:t xml:space="preserve">and the</w:t>
      </w:r>
      <w:r>
        <w:t xml:space="preserve"> </w:t>
      </w:r>
      <w:r>
        <w:rPr>
          <w:iCs/>
          <w:i/>
        </w:rPr>
        <w:t xml:space="preserve">spine</w:t>
      </w:r>
      <w:r>
        <w:t xml:space="preserve">. All fetches are pull-based TCP transfers that start as soon as producers finish. Shuffle files are on unreplicated local disks. Failure points: a congested uplink slows every reducer; a lost node invalidates its files. Scaling: more partitions create</w:t>
      </w:r>
      <w:r>
        <w:t xml:space="preserve"> </w:t>
      </w:r>
      <m:oMath>
        <m:r>
          <m:t>M</m:t>
        </m:r>
        <m:r>
          <m:rPr>
            <m:sty m:val="p"/>
          </m:rPr>
          <m:t>×</m:t>
        </m:r>
        <m:r>
          <m:t>R</m:t>
        </m:r>
      </m:oMath>
      <w:r>
        <w:t xml:space="preserve"> </w:t>
      </w:r>
      <w:r>
        <w:t xml:space="preserve">ever-smaller blocks and random I/O.</w:t>
      </w:r>
    </w:p>
    <w:p>
      <w:pPr>
        <w:pStyle w:val="CalloutFormula"/>
      </w:pPr>
      <w:r>
        <w:rPr>
          <w:bCs/>
          <w:b/>
        </w:rPr>
        <w:t xml:space="preserve">FORMULA</w:t>
      </w:r>
    </w:p>
    <w:p>
      <w:pPr>
        <w:pStyle w:val="CalloutFormula"/>
      </w:pPr>
      <w:r>
        <w:rPr>
          <w:bCs/>
          <w:b/>
        </w:rPr>
        <w:t xml:space="preserve">Shuffle time lower bound on a rack-structured cluster</w:t>
      </w:r>
    </w:p>
    <w:p>
      <w:pPr>
        <w:pStyle w:val="CalloutFormula"/>
      </w:pPr>
      <m:oMathPara>
        <m:oMathParaPr>
          <m:jc m:val="center"/>
        </m:oMathParaPr>
        <m:oMath>
          <m:sSub>
            <m:e>
              <m:r>
                <m:t>T</m:t>
              </m:r>
            </m:e>
            <m:sub>
              <m:r>
                <m:rPr>
                  <m:nor/>
                  <m:sty m:val="p"/>
                </m:rPr>
                <m:t>shuffle</m:t>
              </m:r>
            </m:sub>
          </m:sSub>
          <m:r>
            <m:rPr>
              <m:sty m:val="p"/>
            </m:rPr>
            <m:t>≈</m:t>
          </m:r>
          <m:r>
            <m:rPr>
              <m:sty m:val="p"/>
            </m:rPr>
            <m:t>max</m:t>
          </m:r>
          <m:r>
            <m:t>​</m:t>
          </m:r>
          <m:d>
            <m:dPr>
              <m:begChr m:val="("/>
              <m:endChr m:val=")"/>
              <m:sepChr m:val=""/>
              <m:grow/>
            </m:dPr>
            <m:e>
              <m:f>
                <m:fPr>
                  <m:type m:val="bar"/>
                </m:fPr>
                <m:num>
                  <m:r>
                    <m:t>V</m:t>
                  </m:r>
                  <m:d>
                    <m:dPr>
                      <m:begChr m:val="("/>
                      <m:endChr m:val=")"/>
                      <m:sepChr m:val=""/>
                      <m:grow/>
                    </m:dPr>
                    <m:e>
                      <m:r>
                        <m:t>N</m:t>
                      </m:r>
                      <m:r>
                        <m:rPr>
                          <m:sty m:val="p"/>
                        </m:rPr>
                        <m:t>−</m:t>
                      </m:r>
                      <m:r>
                        <m:t>1</m:t>
                      </m:r>
                    </m:e>
                  </m:d>
                  <m:r>
                    <m:rPr>
                      <m:sty m:val="p"/>
                    </m:rPr>
                    <m:t>/</m:t>
                  </m:r>
                  <m:r>
                    <m:t>N</m:t>
                  </m:r>
                </m:num>
                <m:den>
                  <m:r>
                    <m:t>N</m:t>
                  </m:r>
                  <m:r>
                    <m:t> </m:t>
                  </m:r>
                  <m:r>
                    <m:t>η</m:t>
                  </m:r>
                  <m:sSub>
                    <m:e>
                      <m:r>
                        <m:t>B</m:t>
                      </m:r>
                    </m:e>
                    <m:sub>
                      <m:r>
                        <m:rPr>
                          <m:nor/>
                          <m:sty m:val="p"/>
                        </m:rPr>
                        <m:t>NIC</m:t>
                      </m:r>
                    </m:sub>
                  </m:sSub>
                </m:den>
              </m:f>
              <m:r>
                <m:rPr>
                  <m:sty m:val="p"/>
                </m:rPr>
                <m:t>,</m:t>
              </m:r>
              <m:r>
                <m:t> </m:t>
              </m:r>
              <m:r>
                <m:t> </m:t>
              </m:r>
              <m:f>
                <m:fPr>
                  <m:type m:val="bar"/>
                </m:fPr>
                <m:num>
                  <m:r>
                    <m:t>V</m:t>
                  </m:r>
                  <m:d>
                    <m:dPr>
                      <m:begChr m:val="("/>
                      <m:endChr m:val=")"/>
                      <m:sepChr m:val=""/>
                      <m:grow/>
                    </m:dPr>
                    <m:e>
                      <m:r>
                        <m:t>K</m:t>
                      </m:r>
                      <m:r>
                        <m:rPr>
                          <m:sty m:val="p"/>
                        </m:rPr>
                        <m:t>−</m:t>
                      </m:r>
                      <m:r>
                        <m:t>1</m:t>
                      </m:r>
                    </m:e>
                  </m:d>
                  <m:r>
                    <m:rPr>
                      <m:sty m:val="p"/>
                    </m:rPr>
                    <m:t>/</m:t>
                  </m:r>
                  <m:r>
                    <m:t>K</m:t>
                  </m:r>
                </m:num>
                <m:den>
                  <m:r>
                    <m:t>K</m:t>
                  </m:r>
                  <m:r>
                    <m:t> </m:t>
                  </m:r>
                  <m:r>
                    <m:t>U</m:t>
                  </m:r>
                </m:den>
              </m:f>
              <m:r>
                <m:rPr>
                  <m:sty m:val="p"/>
                </m:rPr>
                <m:t>,</m:t>
              </m:r>
              <m:r>
                <m:t> </m:t>
              </m:r>
              <m:r>
                <m:t> </m:t>
              </m:r>
              <m:f>
                <m:fPr>
                  <m:type m:val="bar"/>
                </m:fPr>
                <m:num>
                  <m:r>
                    <m:t>2</m:t>
                  </m:r>
                  <m:r>
                    <m:t>V</m:t>
                  </m:r>
                </m:num>
                <m:den>
                  <m:r>
                    <m:t>N</m:t>
                  </m:r>
                  <m:sSub>
                    <m:e>
                      <m:r>
                        <m:t>B</m:t>
                      </m:r>
                    </m:e>
                    <m:sub>
                      <m:r>
                        <m:rPr>
                          <m:nor/>
                          <m:sty m:val="p"/>
                        </m:rPr>
                        <m:t>disk</m:t>
                      </m:r>
                    </m:sub>
                  </m:sSub>
                </m:den>
              </m:f>
            </m:e>
          </m:d>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V</m:t>
              </m:r>
            </m:oMath>
          </w:p>
        </w:tc>
        <w:tc>
          <w:tcPr/>
          <w:p>
            <w:pPr>
              <w:pStyle w:val="Compact"/>
              <w:jc w:val="left"/>
            </w:pPr>
            <w:r>
              <w:t xml:space="preserve">Shuffled data volume</w:t>
            </w:r>
          </w:p>
        </w:tc>
        <w:tc>
          <w:tcPr/>
          <w:p>
            <w:pPr>
              <w:pStyle w:val="Compact"/>
              <w:jc w:val="left"/>
            </w:pPr>
            <w:r>
              <w:t xml:space="preserve">bytes</w:t>
            </w:r>
          </w:p>
        </w:tc>
      </w:tr>
      <w:tr>
        <w:tc>
          <w:tcPr/>
          <w:p>
            <w:pPr>
              <w:pStyle w:val="Compact"/>
              <w:jc w:val="left"/>
            </w:pPr>
            <m:oMath>
              <m:r>
                <m:t>N</m:t>
              </m:r>
            </m:oMath>
            <w:r>
              <w:t xml:space="preserve">,</w:t>
            </w:r>
            <w:r>
              <w:t xml:space="preserve"> </w:t>
            </w:r>
            <m:oMath>
              <m:r>
                <m:t>K</m:t>
              </m:r>
            </m:oMath>
          </w:p>
        </w:tc>
        <w:tc>
          <w:tcPr/>
          <w:p>
            <w:pPr>
              <w:pStyle w:val="Compact"/>
              <w:jc w:val="left"/>
            </w:pPr>
            <w:r>
              <w:t xml:space="preserve">Nodes and racks</w:t>
            </w:r>
          </w:p>
        </w:tc>
        <w:tc>
          <w:tcPr/>
          <w:p>
            <w:pPr>
              <w:pStyle w:val="Compact"/>
              <w:jc w:val="left"/>
            </w:pPr>
            <w:r>
              <w:t xml:space="preserve">count</w:t>
            </w:r>
          </w:p>
        </w:tc>
      </w:tr>
      <w:tr>
        <w:tc>
          <w:tcPr/>
          <w:p>
            <w:pPr>
              <w:pStyle w:val="Compact"/>
              <w:jc w:val="left"/>
            </w:pPr>
            <m:oMath>
              <m:sSub>
                <m:e>
                  <m:r>
                    <m:t>B</m:t>
                  </m:r>
                </m:e>
                <m:sub>
                  <m:r>
                    <m:rPr>
                      <m:nor/>
                      <m:sty m:val="p"/>
                    </m:rPr>
                    <m:t>NIC</m:t>
                  </m:r>
                </m:sub>
              </m:sSub>
            </m:oMath>
          </w:p>
        </w:tc>
        <w:tc>
          <w:tcPr/>
          <w:p>
            <w:pPr>
              <w:pStyle w:val="Compact"/>
              <w:jc w:val="left"/>
            </w:pPr>
            <w:r>
              <w:t xml:space="preserve">Network interface speed per node</w:t>
            </w:r>
          </w:p>
        </w:tc>
        <w:tc>
          <w:tcPr/>
          <w:p>
            <w:pPr>
              <w:pStyle w:val="Compact"/>
              <w:jc w:val="left"/>
            </w:pPr>
            <w:r>
              <w:t xml:space="preserve">bytes/s</w:t>
            </w:r>
          </w:p>
        </w:tc>
      </w:tr>
      <w:tr>
        <w:tc>
          <w:tcPr/>
          <w:p>
            <w:pPr>
              <w:pStyle w:val="Compact"/>
              <w:jc w:val="left"/>
            </w:pPr>
            <m:oMath>
              <m:r>
                <m:t>η</m:t>
              </m:r>
            </m:oMath>
          </w:p>
        </w:tc>
        <w:tc>
          <w:tcPr/>
          <w:p>
            <w:pPr>
              <w:pStyle w:val="Compact"/>
              <w:jc w:val="left"/>
            </w:pPr>
            <w:r>
              <w:t xml:space="preserve">Achievable fraction of line rate</w:t>
            </w:r>
          </w:p>
        </w:tc>
        <w:tc>
          <w:tcPr/>
          <w:p>
            <w:pPr>
              <w:pStyle w:val="Compact"/>
              <w:jc w:val="left"/>
            </w:pPr>
            <w:r>
              <w:t xml:space="preserve">dimensionless</w:t>
            </w:r>
          </w:p>
        </w:tc>
      </w:tr>
      <w:tr>
        <w:tc>
          <w:tcPr/>
          <w:p>
            <w:pPr>
              <w:pStyle w:val="Compact"/>
              <w:jc w:val="left"/>
            </w:pPr>
            <m:oMath>
              <m:r>
                <m:t>U</m:t>
              </m:r>
            </m:oMath>
          </w:p>
        </w:tc>
        <w:tc>
          <w:tcPr/>
          <w:p>
            <w:pPr>
              <w:pStyle w:val="Compact"/>
              <w:jc w:val="left"/>
            </w:pPr>
            <w:r>
              <w:t xml:space="preserve">Uplink capacity per rack</w:t>
            </w:r>
          </w:p>
        </w:tc>
        <w:tc>
          <w:tcPr/>
          <w:p>
            <w:pPr>
              <w:pStyle w:val="Compact"/>
              <w:jc w:val="left"/>
            </w:pPr>
            <w:r>
              <w:t xml:space="preserve">bytes/s</w:t>
            </w:r>
          </w:p>
        </w:tc>
      </w:tr>
      <w:tr>
        <w:tc>
          <w:tcPr/>
          <w:p>
            <w:pPr>
              <w:pStyle w:val="Compact"/>
              <w:jc w:val="left"/>
            </w:pPr>
            <m:oMath>
              <m:sSub>
                <m:e>
                  <m:r>
                    <m:t>B</m:t>
                  </m:r>
                </m:e>
                <m:sub>
                  <m:r>
                    <m:rPr>
                      <m:nor/>
                      <m:sty m:val="p"/>
                    </m:rPr>
                    <m:t>disk</m:t>
                  </m:r>
                </m:sub>
              </m:sSub>
            </m:oMath>
          </w:p>
        </w:tc>
        <w:tc>
          <w:tcPr/>
          <w:p>
            <w:pPr>
              <w:pStyle w:val="Compact"/>
              <w:jc w:val="left"/>
            </w:pPr>
            <w:r>
              <w:t xml:space="preserve">Local disk throughput per node (each byte written once, read once)</w:t>
            </w:r>
          </w:p>
        </w:tc>
        <w:tc>
          <w:tcPr/>
          <w:p>
            <w:pPr>
              <w:pStyle w:val="Compact"/>
              <w:jc w:val="left"/>
            </w:pPr>
            <w:r>
              <w:t xml:space="preserve">bytes/s</w:t>
            </w:r>
          </w:p>
        </w:tc>
      </w:tr>
    </w:tbl>
    <w:p>
      <w:pPr>
        <w:pStyle w:val="CalloutExample"/>
      </w:pPr>
      <w:r>
        <w:rPr>
          <w:bCs/>
          <w:b/>
        </w:rPr>
        <w:t xml:space="preserve">WORKED EXAMPLE</w:t>
      </w:r>
    </w:p>
    <w:p>
      <w:pPr>
        <w:pStyle w:val="CalloutExample"/>
      </w:pPr>
      <w:r>
        <w:rPr>
          <w:bCs/>
          <w:b/>
        </w:rPr>
        <w:t xml:space="preserve">Worked example — Shuffling 10 TB on a 100-node cluster.</w:t>
      </w:r>
      <w:r>
        <w:t xml:space="preserve"> </w:t>
      </w:r>
      <m:oMath>
        <m:r>
          <m:t>V</m:t>
        </m:r>
        <m:r>
          <m:rPr>
            <m:sty m:val="p"/>
          </m:rPr>
          <m:t>=</m:t>
        </m:r>
        <m:r>
          <m:t>10</m:t>
        </m:r>
      </m:oMath>
      <w:r>
        <w:t xml:space="preserve"> </w:t>
      </w:r>
      <w:r>
        <w:t xml:space="preserve">TB;</w:t>
      </w:r>
      <w:r>
        <w:t xml:space="preserve"> </w:t>
      </w:r>
      <m:oMath>
        <m:r>
          <m:t>N</m:t>
        </m:r>
        <m:r>
          <m:rPr>
            <m:sty m:val="p"/>
          </m:rPr>
          <m:t>=</m:t>
        </m:r>
        <m:r>
          <m:t>100</m:t>
        </m:r>
      </m:oMath>
      <w:r>
        <w:t xml:space="preserve"> </w:t>
      </w:r>
      <w:r>
        <w:t xml:space="preserve">in</w:t>
      </w:r>
      <w:r>
        <w:t xml:space="preserve"> </w:t>
      </w:r>
      <m:oMath>
        <m:r>
          <m:t>K</m:t>
        </m:r>
        <m:r>
          <m:rPr>
            <m:sty m:val="p"/>
          </m:rPr>
          <m:t>=</m:t>
        </m:r>
        <m:r>
          <m:t>5</m:t>
        </m:r>
      </m:oMath>
      <w:r>
        <w:t xml:space="preserve"> </w:t>
      </w:r>
      <w:r>
        <w:t xml:space="preserve">racks of 20; 25 Gb/s NICs (</w:t>
      </w:r>
      <m:oMath>
        <m:sSub>
          <m:e>
            <m:r>
              <m:t>B</m:t>
            </m:r>
          </m:e>
          <m:sub>
            <m:r>
              <m:rPr>
                <m:nor/>
                <m:sty m:val="p"/>
              </m:rPr>
              <m:t>NIC</m:t>
            </m:r>
          </m:sub>
        </m:sSub>
        <m:r>
          <m:rPr>
            <m:sty m:val="p"/>
          </m:rPr>
          <m:t>=</m:t>
        </m:r>
        <m:r>
          <m:t>3.125</m:t>
        </m:r>
      </m:oMath>
      <w:r>
        <w:t xml:space="preserve"> </w:t>
      </w:r>
      <w:r>
        <w:t xml:space="preserve">GB/s) at</w:t>
      </w:r>
      <w:r>
        <w:t xml:space="preserve"> </w:t>
      </w:r>
      <m:oMath>
        <m:r>
          <m:t>η</m:t>
        </m:r>
        <m:r>
          <m:rPr>
            <m:sty m:val="p"/>
          </m:rPr>
          <m:t>=</m:t>
        </m:r>
        <m:r>
          <m:t>0.7</m:t>
        </m:r>
      </m:oMath>
      <w:r>
        <w:t xml:space="preserve">; rack uplinks oversubscribed 4:1, so</w:t>
      </w:r>
      <w:r>
        <w:t xml:space="preserve"> </w:t>
      </w:r>
      <m:oMath>
        <m:r>
          <m:t>U</m:t>
        </m:r>
        <m:r>
          <m:rPr>
            <m:sty m:val="p"/>
          </m:rPr>
          <m:t>=</m:t>
        </m:r>
        <m:r>
          <m:t>20</m:t>
        </m:r>
        <m:r>
          <m:rPr>
            <m:sty m:val="p"/>
          </m:rPr>
          <m:t>×</m:t>
        </m:r>
        <m:r>
          <m:t>3.125</m:t>
        </m:r>
        <m:r>
          <m:rPr>
            <m:sty m:val="p"/>
          </m:rPr>
          <m:t>/</m:t>
        </m:r>
        <m:r>
          <m:t>4</m:t>
        </m:r>
        <m:r>
          <m:rPr>
            <m:sty m:val="p"/>
          </m:rPr>
          <m:t>=</m:t>
        </m:r>
        <m:r>
          <m:t>15.6</m:t>
        </m:r>
      </m:oMath>
      <w:r>
        <w:t xml:space="preserve"> </w:t>
      </w:r>
      <w:r>
        <w:t xml:space="preserve">GB/s; NVMe</w:t>
      </w:r>
      <w:r>
        <w:t xml:space="preserve"> </w:t>
      </w:r>
      <m:oMath>
        <m:sSub>
          <m:e>
            <m:r>
              <m:t>B</m:t>
            </m:r>
          </m:e>
          <m:sub>
            <m:r>
              <m:rPr>
                <m:nor/>
                <m:sty m:val="p"/>
              </m:rPr>
              <m:t>disk</m:t>
            </m:r>
          </m:sub>
        </m:sSub>
        <m:r>
          <m:rPr>
            <m:sty m:val="p"/>
          </m:rPr>
          <m:t>=</m:t>
        </m:r>
        <m:r>
          <m:t>2</m:t>
        </m:r>
      </m:oMath>
      <w:r>
        <w:t xml:space="preserve"> </w:t>
      </w:r>
      <w:r>
        <w:t xml:space="preserve">GB/s.</w:t>
      </w:r>
    </w:p>
    <w:p>
      <w:pPr>
        <w:numPr>
          <w:ilvl w:val="0"/>
          <w:numId w:val="1954"/>
        </w:numPr>
        <w:pStyle w:val="Compact"/>
      </w:pPr>
      <w:r>
        <w:t xml:space="preserve">NIC: each node sends</w:t>
      </w:r>
      <w:r>
        <w:t xml:space="preserve"> </w:t>
      </w:r>
      <m:oMath>
        <m:r>
          <m:t>10</m:t>
        </m:r>
        <m:r>
          <m:rPr>
            <m:nor/>
            <m:sty m:val="p"/>
          </m:rPr>
          <m:t> TB</m:t>
        </m:r>
        <m:r>
          <m:rPr>
            <m:sty m:val="p"/>
          </m:rPr>
          <m:t>/</m:t>
        </m:r>
        <m:r>
          <m:t>100</m:t>
        </m:r>
        <m:r>
          <m:rPr>
            <m:sty m:val="p"/>
          </m:rPr>
          <m:t>×</m:t>
        </m:r>
        <m:r>
          <m:t>0.99</m:t>
        </m:r>
        <m:r>
          <m:rPr>
            <m:sty m:val="p"/>
          </m:rPr>
          <m:t>=</m:t>
        </m:r>
        <m:r>
          <m:t>99</m:t>
        </m:r>
      </m:oMath>
      <w:r>
        <w:t xml:space="preserve"> </w:t>
      </w:r>
      <w:r>
        <w:t xml:space="preserve">GB at</w:t>
      </w:r>
      <w:r>
        <w:t xml:space="preserve"> </w:t>
      </w:r>
      <m:oMath>
        <m:r>
          <m:t>0.7</m:t>
        </m:r>
        <m:r>
          <m:rPr>
            <m:sty m:val="p"/>
          </m:rPr>
          <m:t>×</m:t>
        </m:r>
        <m:r>
          <m:t>3.125</m:t>
        </m:r>
        <m:r>
          <m:rPr>
            <m:sty m:val="p"/>
          </m:rPr>
          <m:t>=</m:t>
        </m:r>
        <m:r>
          <m:t>2.19</m:t>
        </m:r>
      </m:oMath>
      <w:r>
        <w:t xml:space="preserve"> </w:t>
      </w:r>
      <w:r>
        <w:t xml:space="preserve">GB/s:</w:t>
      </w:r>
      <w:r>
        <w:t xml:space="preserve"> </w:t>
      </w:r>
      <m:oMath>
        <m:r>
          <m:t>45</m:t>
        </m:r>
      </m:oMath>
      <w:r>
        <w:t xml:space="preserve"> </w:t>
      </w:r>
      <w:r>
        <w:t xml:space="preserve">s.</w:t>
      </w:r>
    </w:p>
    <w:p>
      <w:pPr>
        <w:numPr>
          <w:ilvl w:val="0"/>
          <w:numId w:val="1954"/>
        </w:numPr>
        <w:pStyle w:val="Compact"/>
      </w:pPr>
      <w:r>
        <w:t xml:space="preserve">Uplinks: cross-rack data</w:t>
      </w:r>
      <w:r>
        <w:t xml:space="preserve"> </w:t>
      </w:r>
      <m:oMath>
        <m:r>
          <m:rPr>
            <m:sty m:val="p"/>
          </m:rPr>
          <m:t>=</m:t>
        </m:r>
        <m:r>
          <m:t>10</m:t>
        </m:r>
        <m:r>
          <m:rPr>
            <m:sty m:val="p"/>
          </m:rPr>
          <m:t>×</m:t>
        </m:r>
        <m:r>
          <m:t>0.8</m:t>
        </m:r>
        <m:r>
          <m:rPr>
            <m:sty m:val="p"/>
          </m:rPr>
          <m:t>=</m:t>
        </m:r>
        <m:r>
          <m:t>8</m:t>
        </m:r>
      </m:oMath>
      <w:r>
        <w:t xml:space="preserve"> </w:t>
      </w:r>
      <w:r>
        <w:t xml:space="preserve">TB, so each rack sends</w:t>
      </w:r>
      <w:r>
        <w:t xml:space="preserve"> </w:t>
      </w:r>
      <m:oMath>
        <m:r>
          <m:t>1.6</m:t>
        </m:r>
      </m:oMath>
      <w:r>
        <w:t xml:space="preserve"> </w:t>
      </w:r>
      <w:r>
        <w:t xml:space="preserve">TB through</w:t>
      </w:r>
      <w:r>
        <w:t xml:space="preserve"> </w:t>
      </w:r>
      <m:oMath>
        <m:r>
          <m:t>15.6</m:t>
        </m:r>
      </m:oMath>
      <w:r>
        <w:t xml:space="preserve"> </w:t>
      </w:r>
      <w:r>
        <w:t xml:space="preserve">GB/s:</w:t>
      </w:r>
      <w:r>
        <w:t xml:space="preserve"> </w:t>
      </w:r>
      <m:oMath>
        <m:r>
          <m:t>102</m:t>
        </m:r>
      </m:oMath>
      <w:r>
        <w:t xml:space="preserve"> </w:t>
      </w:r>
      <w:r>
        <w:t xml:space="preserve">s.</w:t>
      </w:r>
    </w:p>
    <w:p>
      <w:pPr>
        <w:numPr>
          <w:ilvl w:val="0"/>
          <w:numId w:val="1954"/>
        </w:numPr>
        <w:pStyle w:val="Compact"/>
      </w:pPr>
      <w:r>
        <w:t xml:space="preserve">Disk: each node writes 100 GB and reads 100 GB at 2 GB/s:</w:t>
      </w:r>
      <w:r>
        <w:t xml:space="preserve"> </w:t>
      </w:r>
      <m:oMath>
        <m:r>
          <m:t>100</m:t>
        </m:r>
      </m:oMath>
      <w:r>
        <w:t xml:space="preserve"> </w:t>
      </w:r>
      <w:r>
        <w:t xml:space="preserve">s.</w:t>
      </w:r>
    </w:p>
    <w:p>
      <w:pPr>
        <w:numPr>
          <w:ilvl w:val="0"/>
          <w:numId w:val="1954"/>
        </w:numPr>
        <w:pStyle w:val="Compact"/>
      </w:pPr>
      <w:r>
        <w:t xml:space="preserve">Lower bound:</w:t>
      </w:r>
      <w:r>
        <w:t xml:space="preserve"> </w:t>
      </w:r>
      <m:oMath>
        <m:r>
          <m:rPr>
            <m:sty m:val="p"/>
          </m:rPr>
          <m:t>max</m:t>
        </m:r>
        <m:d>
          <m:dPr>
            <m:begChr m:val="("/>
            <m:endChr m:val=")"/>
            <m:sepChr m:val=""/>
            <m:grow/>
          </m:dPr>
          <m:e>
            <m:r>
              <m:t>45</m:t>
            </m:r>
            <m:r>
              <m:rPr>
                <m:sty m:val="p"/>
              </m:rPr>
              <m:t>,</m:t>
            </m:r>
            <m:r>
              <m:t>102</m:t>
            </m:r>
            <m:r>
              <m:rPr>
                <m:sty m:val="p"/>
              </m:rPr>
              <m:t>,</m:t>
            </m:r>
            <m:r>
              <m:t>100</m:t>
            </m:r>
          </m:e>
        </m:d>
        <m:r>
          <m:rPr>
            <m:sty m:val="p"/>
          </m:rPr>
          <m:t>≈</m:t>
        </m:r>
        <m:r>
          <m:t>102</m:t>
        </m:r>
      </m:oMath>
      <w:r>
        <w:t xml:space="preserve"> </w:t>
      </w:r>
      <w:r>
        <w:t xml:space="preserve">s, about 1.7 minutes; serialization, compression and stragglers typically add 2–3× in practice.</w:t>
      </w:r>
    </w:p>
    <w:p>
      <w:pPr>
        <w:numPr>
          <w:ilvl w:val="0"/>
          <w:numId w:val="1954"/>
        </w:numPr>
        <w:pStyle w:val="Compact"/>
      </w:pPr>
      <w:r>
        <w:t xml:space="preserve">Block count: with 128 MB input splits from 10 TB of input,</w:t>
      </w:r>
      <w:r>
        <w:t xml:space="preserve"> </w:t>
      </w:r>
      <m:oMath>
        <m:r>
          <m:t>M</m:t>
        </m:r>
        <m:r>
          <m:rPr>
            <m:sty m:val="p"/>
          </m:rPr>
          <m:t>≈</m:t>
        </m:r>
        <m:r>
          <m:t>78</m:t>
        </m:r>
        <m:r>
          <m:rPr>
            <m:sty m:val="p"/>
          </m:rPr>
          <m:t>,</m:t>
        </m:r>
        <m:r>
          <m:t>000</m:t>
        </m:r>
      </m:oMath>
      <w:r>
        <w:t xml:space="preserve"> </w:t>
      </w:r>
      <w:r>
        <w:t xml:space="preserve">map tasks; with</w:t>
      </w:r>
      <w:r>
        <w:t xml:space="preserve"> </w:t>
      </w:r>
      <m:oMath>
        <m:r>
          <m:t>R</m:t>
        </m:r>
        <m:r>
          <m:rPr>
            <m:sty m:val="p"/>
          </m:rPr>
          <m:t>=</m:t>
        </m:r>
        <m:r>
          <m:t>2</m:t>
        </m:r>
        <m:r>
          <m:rPr>
            <m:sty m:val="p"/>
          </m:rPr>
          <m:t>,</m:t>
        </m:r>
        <m:r>
          <m:t>000</m:t>
        </m:r>
      </m:oMath>
      <w:r>
        <w:t xml:space="preserve"> </w:t>
      </w:r>
      <w:r>
        <w:t xml:space="preserve">reducers there are</w:t>
      </w:r>
      <w:r>
        <w:t xml:space="preserve"> </w:t>
      </w:r>
      <m:oMath>
        <m:r>
          <m:t>1.56</m:t>
        </m:r>
        <m:r>
          <m:rPr>
            <m:sty m:val="p"/>
          </m:rPr>
          <m:t>×</m:t>
        </m:r>
        <m:sSup>
          <m:e>
            <m:r>
              <m:t>10</m:t>
            </m:r>
          </m:e>
          <m:sup>
            <m:r>
              <m:t>8</m:t>
            </m:r>
          </m:sup>
        </m:sSup>
      </m:oMath>
      <w:r>
        <w:t xml:space="preserve"> </w:t>
      </w:r>
      <w:r>
        <w:t xml:space="preserve">shuffle blocks averaging</w:t>
      </w:r>
      <w:r>
        <w:t xml:space="preserve"> </w:t>
      </w:r>
      <m:oMath>
        <m:sSup>
          <m:e>
            <m:r>
              <m:t>10</m:t>
            </m:r>
          </m:e>
          <m:sup>
            <m:r>
              <m:t>13</m:t>
            </m:r>
          </m:sup>
        </m:sSup>
        <m:r>
          <m:rPr>
            <m:sty m:val="p"/>
          </m:rPr>
          <m:t>/</m:t>
        </m:r>
        <m:r>
          <m:t>1.56</m:t>
        </m:r>
        <m:r>
          <m:rPr>
            <m:sty m:val="p"/>
          </m:rPr>
          <m:t>×</m:t>
        </m:r>
        <m:sSup>
          <m:e>
            <m:r>
              <m:t>10</m:t>
            </m:r>
          </m:e>
          <m:sup>
            <m:r>
              <m:t>8</m:t>
            </m:r>
          </m:sup>
        </m:sSup>
        <m:r>
          <m:rPr>
            <m:sty m:val="p"/>
          </m:rPr>
          <m:t>=</m:t>
        </m:r>
        <m:r>
          <m:t>64</m:t>
        </m:r>
      </m:oMath>
      <w:r>
        <w:t xml:space="preserve"> </w:t>
      </w:r>
      <w:r>
        <w:t xml:space="preserve">KB each.</w:t>
      </w:r>
    </w:p>
    <w:p>
      <w:pPr>
        <w:pStyle w:val="CalloutExample"/>
      </w:pPr>
      <w:r>
        <w:rPr>
          <w:bCs/>
          <w:b/>
        </w:rPr>
        <w:t xml:space="preserve">Interpretation.</w:t>
      </w:r>
      <w:r>
        <w:t xml:space="preserve"> </w:t>
      </w:r>
      <w:r>
        <w:t xml:space="preserve">Moving 10 TB is dominated by oversubscribed uplinks and local disks, not NICs; and over a hundred million 64 KB random reads would cripple hard disks.</w:t>
      </w:r>
      <w:r>
        <w:t xml:space="preserve"> </w:t>
      </w:r>
      <w:r>
        <w:rPr>
          <w:bCs/>
          <w:b/>
        </w:rPr>
        <w:t xml:space="preserve">Engineering implication.</w:t>
      </w:r>
      <w:r>
        <w:t xml:space="preserve"> </w:t>
      </w:r>
      <w:r>
        <w:t xml:space="preserve">Shrink</w:t>
      </w:r>
      <w:r>
        <w:t xml:space="preserve"> </w:t>
      </w:r>
      <m:oMath>
        <m:r>
          <m:t>V</m:t>
        </m:r>
      </m:oMath>
      <w:r>
        <w:t xml:space="preserve"> </w:t>
      </w:r>
      <w:r>
        <w:t xml:space="preserve">first (filter and project before the shuffle, pre-aggregate, compress), then avoid it (broadcast joins, co-partitioned or bucketed inputs), and keep partitions around 100–200 MB so blocks stay large.</w:t>
      </w:r>
    </w:p>
    <w:p>
      <w:pPr>
        <w:pStyle w:val="CalloutIndustry"/>
      </w:pPr>
      <w:r>
        <w:rPr>
          <w:bCs/>
          <w:b/>
        </w:rPr>
        <w:t xml:space="preserve">INDUSTRY EXAMPLE</w:t>
      </w:r>
    </w:p>
    <w:p>
      <w:pPr>
        <w:pStyle w:val="CalloutIndustry"/>
      </w:pPr>
      <w:r>
        <w:rPr>
          <w:bCs/>
          <w:b/>
        </w:rPr>
        <w:t xml:space="preserve">LinkedIn Magnet: push-based shuffle.</w:t>
      </w:r>
      <w:r>
        <w:t xml:space="preserve"> </w:t>
      </w:r>
      <w:r>
        <w:t xml:space="preserve">LinkedIn found that pull-based shuffle on hard disks produced huge numbers of small random reads and frequent fetch failures. In Magnet, map tasks</w:t>
      </w:r>
      <w:r>
        <w:t xml:space="preserve"> </w:t>
      </w:r>
      <w:r>
        <w:rPr>
          <w:iCs/>
          <w:i/>
        </w:rPr>
        <w:t xml:space="preserve">push</w:t>
      </w:r>
      <w:r>
        <w:t xml:space="preserve"> </w:t>
      </w:r>
      <w:r>
        <w:t xml:space="preserve">blocks to remote shuffle services that merge each reduce partition into larger files, turning random reads into sequential ones and keeping a second copy. It became Spark’s push-based shuffle for YARN in Spark 3.2.</w:t>
      </w:r>
      <w:r>
        <w:t xml:space="preserve"> </w:t>
      </w:r>
      <w:r>
        <w:rPr>
          <w:iCs/>
          <w:i/>
        </w:rPr>
        <w:t xml:space="preserve">Evidence: Primary</w:t>
      </w:r>
      <w:r>
        <w:t xml:space="preserve"> </w:t>
      </w:r>
      <w:r>
        <w:t xml:space="preserve">— [Shen et al. 2020; Apache Spark Docs: Configuration]</w:t>
      </w:r>
    </w:p>
    <w:bookmarkEnd w:id="3291"/>
    <w:bookmarkStart w:id="3295" w:name="skew-and-salting"/>
    <w:p>
      <w:pPr>
        <w:pStyle w:val="Heading3"/>
      </w:pPr>
      <w:r>
        <w:t xml:space="preserve">29.6.3 Skew and salting</w:t>
      </w:r>
    </w:p>
    <w:p>
      <w:pPr>
        <w:pStyle w:val="CalloutDefinition"/>
      </w:pPr>
      <w:r>
        <w:rPr>
          <w:bCs/>
          <w:b/>
        </w:rPr>
        <w:t xml:space="preserve">DEFINITION</w:t>
      </w:r>
    </w:p>
    <w:p>
      <w:pPr>
        <w:pStyle w:val="CalloutDefinition"/>
      </w:pPr>
      <w:r>
        <w:rPr>
          <w:bCs/>
          <w:b/>
        </w:rPr>
        <w:t xml:space="preserve">Definition — Partition skew and salting.</w:t>
      </w:r>
      <w:r>
        <w:t xml:space="preserve"> </w:t>
      </w:r>
      <w:r>
        <w:rPr>
          <w:bCs/>
          <w:b/>
        </w:rPr>
        <w:t xml:space="preserve">Skew</w:t>
      </w:r>
      <w:r>
        <w:t xml:space="preserve"> </w:t>
      </w:r>
      <w:r>
        <w:t xml:space="preserve">is an uneven distribution of records across partitions, usually caused by a few very frequent keys (a celebrity user, a null or default value, a bot).</w:t>
      </w:r>
      <w:r>
        <w:t xml:space="preserve"> </w:t>
      </w:r>
      <w:r>
        <w:rPr>
          <w:bCs/>
          <w:b/>
        </w:rPr>
        <w:t xml:space="preserve">Salting</w:t>
      </w:r>
      <w:r>
        <w:t xml:space="preserve"> </w:t>
      </w:r>
      <w:r>
        <w:t xml:space="preserve">appends a random suffix from a small range to hot keys so their records spread over several partitions, then removes the suffix in a second, much smaller aggregation (or, for joins, replicates the matching rows of the other side once per salt value).</w:t>
      </w:r>
    </w:p>
    <w:p>
      <w:pPr>
        <w:pStyle w:val="BodyText"/>
      </w:pPr>
      <w:r>
        <w:t xml:space="preserve">A stage finishes only when its slowest task finishes, so the largest partition, not the average, sets the stage time.</w:t>
      </w:r>
    </w:p>
    <w:p>
      <w:pPr>
        <w:pStyle w:val="CalloutFormula"/>
      </w:pPr>
      <w:r>
        <w:rPr>
          <w:bCs/>
          <w:b/>
        </w:rPr>
        <w:t xml:space="preserve">FORMULA</w:t>
      </w:r>
    </w:p>
    <w:p>
      <w:pPr>
        <w:pStyle w:val="CalloutFormula"/>
      </w:pPr>
      <w:r>
        <w:rPr>
          <w:bCs/>
          <w:b/>
        </w:rPr>
        <w:t xml:space="preserve">Slowdown from a single hot key</w:t>
      </w:r>
    </w:p>
    <w:p>
      <w:pPr>
        <w:pStyle w:val="CalloutFormula"/>
      </w:pPr>
      <m:oMathPara>
        <m:oMathParaPr>
          <m:jc m:val="center"/>
        </m:oMathParaPr>
        <m:oMath>
          <m:r>
            <m:rPr>
              <m:nor/>
              <m:sty m:val="p"/>
            </m:rPr>
            <m:t>skew</m:t>
          </m:r>
          <m:r>
            <m:rPr>
              <m:sty m:val="p"/>
            </m:rPr>
            <m:t>=</m:t>
          </m:r>
          <m:f>
            <m:fPr>
              <m:type m:val="bar"/>
            </m:fPr>
            <m:num>
              <m:limLow>
                <m:e>
                  <m:r>
                    <m:rPr>
                      <m:sty m:val="p"/>
                    </m:rPr>
                    <m:t>max</m:t>
                  </m:r>
                </m:e>
                <m:lim>
                  <m:r>
                    <m:t>i</m:t>
                  </m:r>
                </m:lim>
              </m:limLow>
              <m:sSub>
                <m:e>
                  <m:r>
                    <m:t>L</m:t>
                  </m:r>
                </m:e>
                <m:sub>
                  <m:r>
                    <m:t>i</m:t>
                  </m:r>
                </m:sub>
              </m:sSub>
            </m:num>
            <m:den>
              <m:acc>
                <m:accPr>
                  <m:chr m:val="‾"/>
                </m:accPr>
                <m:e>
                  <m:r>
                    <m:t>L</m:t>
                  </m:r>
                </m:e>
              </m:acc>
            </m:den>
          </m:f>
          <m:r>
            <m:rPr>
              <m:sty m:val="p"/>
            </m:rPr>
            <m:t>≈</m:t>
          </m:r>
          <m:r>
            <m:t>f</m:t>
          </m:r>
          <m:r>
            <m:t>P</m:t>
          </m:r>
          <m:r>
            <m:rPr>
              <m:sty m:val="p"/>
            </m:rPr>
            <m:t>+</m:t>
          </m:r>
          <m:d>
            <m:dPr>
              <m:begChr m:val="("/>
              <m:endChr m:val=")"/>
              <m:sepChr m:val=""/>
              <m:grow/>
            </m:dPr>
            <m:e>
              <m:r>
                <m:t>1</m:t>
              </m:r>
              <m:r>
                <m:rPr>
                  <m:sty m:val="p"/>
                </m:rPr>
                <m:t>−</m:t>
              </m:r>
              <m:r>
                <m:t>f</m:t>
              </m:r>
            </m:e>
          </m:d>
          <m:r>
            <m:rPr>
              <m:sty m:val="p"/>
            </m:rPr>
            <m:t>,</m:t>
          </m:r>
          <m:r>
            <m:t>  </m:t>
          </m:r>
          <m:r>
            <m:rPr>
              <m:nor/>
              <m:sty m:val="p"/>
            </m:rPr>
            <m:t>with salt </m:t>
          </m:r>
          <m:r>
            <m:t>s</m:t>
          </m:r>
          <m:r>
            <m:rPr>
              <m:sty m:val="p"/>
            </m:rPr>
            <m:t>:</m:t>
          </m:r>
          <m:r>
            <m:t> </m:t>
          </m:r>
          <m:r>
            <m:rPr>
              <m:nor/>
              <m:sty m:val="p"/>
            </m:rPr>
            <m:t>skew</m:t>
          </m:r>
          <m:r>
            <m:rPr>
              <m:sty m:val="p"/>
            </m:rPr>
            <m:t>≈</m:t>
          </m:r>
          <m:f>
            <m:fPr>
              <m:type m:val="bar"/>
            </m:fPr>
            <m:num>
              <m:r>
                <m:t>f</m:t>
              </m:r>
              <m:r>
                <m:t>P</m:t>
              </m:r>
            </m:num>
            <m:den>
              <m:r>
                <m:t>s</m:t>
              </m:r>
            </m:den>
          </m:f>
          <m:r>
            <m:rPr>
              <m:sty m:val="p"/>
            </m:rPr>
            <m:t>+</m:t>
          </m:r>
          <m:d>
            <m:dPr>
              <m:begChr m:val="("/>
              <m:endChr m:val=")"/>
              <m:sepChr m:val=""/>
              <m:grow/>
            </m:dPr>
            <m:e>
              <m:r>
                <m:t>1</m:t>
              </m:r>
              <m:r>
                <m:rPr>
                  <m:sty m:val="p"/>
                </m:rPr>
                <m:t>−</m:t>
              </m:r>
              <m:r>
                <m:t>f</m:t>
              </m:r>
            </m:e>
          </m:d>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L</m:t>
                  </m:r>
                </m:e>
                <m:sub>
                  <m:r>
                    <m:t>i</m:t>
                  </m:r>
                </m:sub>
              </m:sSub>
            </m:oMath>
            <w:r>
              <w:t xml:space="preserve">,</w:t>
            </w:r>
            <w:r>
              <w:t xml:space="preserve"> </w:t>
            </w:r>
            <m:oMath>
              <m:acc>
                <m:accPr>
                  <m:chr m:val="‾"/>
                </m:accPr>
                <m:e>
                  <m:r>
                    <m:t>L</m:t>
                  </m:r>
                </m:e>
              </m:acc>
            </m:oMath>
          </w:p>
        </w:tc>
        <w:tc>
          <w:tcPr/>
          <w:p>
            <w:pPr>
              <w:pStyle w:val="Compact"/>
              <w:jc w:val="left"/>
            </w:pPr>
            <w:r>
              <w:t xml:space="preserve">Records in partition</w:t>
            </w:r>
            <w:r>
              <w:t xml:space="preserve"> </w:t>
            </w:r>
            <m:oMath>
              <m:r>
                <m:t>i</m:t>
              </m:r>
            </m:oMath>
            <w:r>
              <w:t xml:space="preserve">; mean records per partition</w:t>
            </w:r>
          </w:p>
        </w:tc>
        <w:tc>
          <w:tcPr/>
          <w:p>
            <w:pPr>
              <w:pStyle w:val="Compact"/>
              <w:jc w:val="left"/>
            </w:pPr>
            <w:r>
              <w:t xml:space="preserve">records</w:t>
            </w:r>
          </w:p>
        </w:tc>
      </w:tr>
      <w:tr>
        <w:tc>
          <w:tcPr/>
          <w:p>
            <w:pPr>
              <w:pStyle w:val="Compact"/>
              <w:jc w:val="left"/>
            </w:pPr>
            <m:oMath>
              <m:r>
                <m:t>f</m:t>
              </m:r>
            </m:oMath>
          </w:p>
        </w:tc>
        <w:tc>
          <w:tcPr/>
          <w:p>
            <w:pPr>
              <w:pStyle w:val="Compact"/>
              <w:jc w:val="left"/>
            </w:pPr>
            <w:r>
              <w:t xml:space="preserve">Fraction of all records carrying the hot key</w:t>
            </w:r>
          </w:p>
        </w:tc>
        <w:tc>
          <w:tcPr/>
          <w:p>
            <w:pPr>
              <w:pStyle w:val="Compact"/>
              <w:jc w:val="left"/>
            </w:pPr>
            <w:r>
              <w:t xml:space="preserve">dimensionless</w:t>
            </w:r>
          </w:p>
        </w:tc>
      </w:tr>
      <w:tr>
        <w:tc>
          <w:tcPr/>
          <w:p>
            <w:pPr>
              <w:pStyle w:val="Compact"/>
              <w:jc w:val="left"/>
            </w:pPr>
            <m:oMath>
              <m:r>
                <m:t>P</m:t>
              </m:r>
            </m:oMath>
          </w:p>
        </w:tc>
        <w:tc>
          <w:tcPr/>
          <w:p>
            <w:pPr>
              <w:pStyle w:val="Compact"/>
              <w:jc w:val="left"/>
            </w:pPr>
            <w:r>
              <w:t xml:space="preserve">Number of shuffle partitions</w:t>
            </w:r>
          </w:p>
        </w:tc>
        <w:tc>
          <w:tcPr/>
          <w:p>
            <w:pPr>
              <w:pStyle w:val="Compact"/>
              <w:jc w:val="left"/>
            </w:pPr>
            <w:r>
              <w:t xml:space="preserve">count</w:t>
            </w:r>
          </w:p>
        </w:tc>
      </w:tr>
      <w:tr>
        <w:tc>
          <w:tcPr/>
          <w:p>
            <w:pPr>
              <w:pStyle w:val="Compact"/>
              <w:jc w:val="left"/>
            </w:pPr>
            <m:oMath>
              <m:r>
                <m:t>s</m:t>
              </m:r>
            </m:oMath>
          </w:p>
        </w:tc>
        <w:tc>
          <w:tcPr/>
          <w:p>
            <w:pPr>
              <w:pStyle w:val="Compact"/>
              <w:jc w:val="left"/>
            </w:pPr>
            <w:r>
              <w:t xml:space="preserve">Salt range (hot key spread over</w:t>
            </w:r>
            <w:r>
              <w:t xml:space="preserve"> </w:t>
            </w:r>
            <m:oMath>
              <m:r>
                <m:t>s</m:t>
              </m:r>
            </m:oMath>
            <w:r>
              <w:t xml:space="preserve"> </w:t>
            </w:r>
            <w:r>
              <w:t xml:space="preserve">partitions),</w:t>
            </w:r>
            <w:r>
              <w:t xml:space="preserve"> </w:t>
            </w:r>
            <m:oMath>
              <m:r>
                <m:t>s</m:t>
              </m:r>
              <m:r>
                <m:rPr>
                  <m:sty m:val="p"/>
                </m:rPr>
                <m:t>≤</m:t>
              </m:r>
              <m:r>
                <m:t>P</m:t>
              </m:r>
            </m:oMath>
          </w:p>
        </w:tc>
        <w:tc>
          <w:tcPr/>
          <w:p>
            <w:pPr>
              <w:pStyle w:val="Compact"/>
              <w:jc w:val="left"/>
            </w:pPr>
            <w:r>
              <w:t xml:space="preserve">count</w:t>
            </w:r>
          </w:p>
        </w:tc>
      </w:tr>
    </w:tbl>
    <w:p>
      <w:pPr>
        <w:pStyle w:val="CalloutExample"/>
      </w:pPr>
      <w:r>
        <w:rPr>
          <w:bCs/>
          <w:b/>
        </w:rPr>
        <w:t xml:space="preserve">WORKED EXAMPLE</w:t>
      </w:r>
    </w:p>
    <w:p>
      <w:pPr>
        <w:pStyle w:val="CalloutExample"/>
      </w:pPr>
      <w:r>
        <w:rPr>
          <w:bCs/>
          <w:b/>
        </w:rPr>
        <w:t xml:space="preserve">Worked example — A bot account with 20% of the events.</w:t>
      </w:r>
      <w:r>
        <w:t xml:space="preserve"> </w:t>
      </w:r>
      <m:oMath>
        <m:r>
          <m:t>P</m:t>
        </m:r>
        <m:r>
          <m:rPr>
            <m:sty m:val="p"/>
          </m:rPr>
          <m:t>=</m:t>
        </m:r>
        <m:r>
          <m:t>200</m:t>
        </m:r>
      </m:oMath>
      <w:r>
        <w:t xml:space="preserve">,</w:t>
      </w:r>
      <w:r>
        <w:t xml:space="preserve"> </w:t>
      </w:r>
      <m:oMath>
        <m:r>
          <m:t>f</m:t>
        </m:r>
        <m:r>
          <m:rPr>
            <m:sty m:val="p"/>
          </m:rPr>
          <m:t>=</m:t>
        </m:r>
        <m:r>
          <m:t>0.2</m:t>
        </m:r>
      </m:oMath>
      <w:r>
        <w:t xml:space="preserve">, and an average task takes 30 s.</w:t>
      </w:r>
    </w:p>
    <w:p>
      <w:pPr>
        <w:numPr>
          <w:ilvl w:val="0"/>
          <w:numId w:val="1955"/>
        </w:numPr>
        <w:pStyle w:val="Compact"/>
      </w:pPr>
      <w:r>
        <w:t xml:space="preserve">Unsalted:</w:t>
      </w:r>
      <w:r>
        <w:t xml:space="preserve"> </w:t>
      </w:r>
      <m:oMath>
        <m:r>
          <m:rPr>
            <m:nor/>
            <m:sty m:val="p"/>
          </m:rPr>
          <m:t>skew</m:t>
        </m:r>
        <m:r>
          <m:rPr>
            <m:sty m:val="p"/>
          </m:rPr>
          <m:t>=</m:t>
        </m:r>
        <m:r>
          <m:t>0.2</m:t>
        </m:r>
        <m:r>
          <m:rPr>
            <m:sty m:val="p"/>
          </m:rPr>
          <m:t>×</m:t>
        </m:r>
        <m:r>
          <m:t>200</m:t>
        </m:r>
        <m:r>
          <m:rPr>
            <m:sty m:val="p"/>
          </m:rPr>
          <m:t>+</m:t>
        </m:r>
        <m:r>
          <m:t>0.8</m:t>
        </m:r>
        <m:r>
          <m:rPr>
            <m:sty m:val="p"/>
          </m:rPr>
          <m:t>=</m:t>
        </m:r>
        <m:r>
          <m:t>40.8</m:t>
        </m:r>
      </m:oMath>
      <w:r>
        <w:t xml:space="preserve">. The hot partition takes</w:t>
      </w:r>
      <w:r>
        <w:t xml:space="preserve"> </w:t>
      </w:r>
      <m:oMath>
        <m:r>
          <m:t>40.8</m:t>
        </m:r>
        <m:r>
          <m:rPr>
            <m:sty m:val="p"/>
          </m:rPr>
          <m:t>×</m:t>
        </m:r>
        <m:r>
          <m:t>30</m:t>
        </m:r>
        <m:r>
          <m:rPr>
            <m:sty m:val="p"/>
          </m:rPr>
          <m:t>=</m:t>
        </m:r>
        <m:r>
          <m:t>1</m:t>
        </m:r>
        <m:r>
          <m:rPr>
            <m:sty m:val="p"/>
          </m:rPr>
          <m:t>,</m:t>
        </m:r>
        <m:r>
          <m:t>224</m:t>
        </m:r>
      </m:oMath>
      <w:r>
        <w:t xml:space="preserve"> </w:t>
      </w:r>
      <w:r>
        <w:t xml:space="preserve">s (20 minutes) while 199 tasks finish in 30 s.</w:t>
      </w:r>
    </w:p>
    <w:p>
      <w:pPr>
        <w:numPr>
          <w:ilvl w:val="0"/>
          <w:numId w:val="1955"/>
        </w:numPr>
        <w:pStyle w:val="Compact"/>
      </w:pPr>
      <w:r>
        <w:t xml:space="preserve">Salt</w:t>
      </w:r>
      <w:r>
        <w:t xml:space="preserve"> </w:t>
      </w:r>
      <m:oMath>
        <m:r>
          <m:t>s</m:t>
        </m:r>
        <m:r>
          <m:rPr>
            <m:sty m:val="p"/>
          </m:rPr>
          <m:t>=</m:t>
        </m:r>
        <m:r>
          <m:t>8</m:t>
        </m:r>
      </m:oMath>
      <w:r>
        <w:t xml:space="preserve">:</w:t>
      </w:r>
      <w:r>
        <w:t xml:space="preserve"> </w:t>
      </w:r>
      <m:oMath>
        <m:r>
          <m:t>40</m:t>
        </m:r>
        <m:r>
          <m:rPr>
            <m:sty m:val="p"/>
          </m:rPr>
          <m:t>/</m:t>
        </m:r>
        <m:r>
          <m:t>8</m:t>
        </m:r>
        <m:r>
          <m:rPr>
            <m:sty m:val="p"/>
          </m:rPr>
          <m:t>+</m:t>
        </m:r>
        <m:r>
          <m:t>0.8</m:t>
        </m:r>
        <m:r>
          <m:rPr>
            <m:sty m:val="p"/>
          </m:rPr>
          <m:t>=</m:t>
        </m:r>
        <m:r>
          <m:t>5.8</m:t>
        </m:r>
      </m:oMath>
      <w:r>
        <w:t xml:space="preserve">, so 174 s.</w:t>
      </w:r>
    </w:p>
    <w:p>
      <w:pPr>
        <w:numPr>
          <w:ilvl w:val="0"/>
          <w:numId w:val="1955"/>
        </w:numPr>
        <w:pStyle w:val="Compact"/>
      </w:pPr>
      <w:r>
        <w:t xml:space="preserve">Salt</w:t>
      </w:r>
      <w:r>
        <w:t xml:space="preserve"> </w:t>
      </w:r>
      <m:oMath>
        <m:r>
          <m:t>s</m:t>
        </m:r>
        <m:r>
          <m:rPr>
            <m:sty m:val="p"/>
          </m:rPr>
          <m:t>=</m:t>
        </m:r>
        <m:r>
          <m:t>64</m:t>
        </m:r>
      </m:oMath>
      <w:r>
        <w:t xml:space="preserve">:</w:t>
      </w:r>
      <w:r>
        <w:t xml:space="preserve"> </w:t>
      </w:r>
      <m:oMath>
        <m:r>
          <m:t>40</m:t>
        </m:r>
        <m:r>
          <m:rPr>
            <m:sty m:val="p"/>
          </m:rPr>
          <m:t>/</m:t>
        </m:r>
        <m:r>
          <m:t>64</m:t>
        </m:r>
        <m:r>
          <m:rPr>
            <m:sty m:val="p"/>
          </m:rPr>
          <m:t>+</m:t>
        </m:r>
        <m:r>
          <m:t>0.8</m:t>
        </m:r>
        <m:r>
          <m:rPr>
            <m:sty m:val="p"/>
          </m:rPr>
          <m:t>=</m:t>
        </m:r>
        <m:r>
          <m:t>1.4</m:t>
        </m:r>
      </m:oMath>
      <w:r>
        <w:t xml:space="preserve"> </w:t>
      </w:r>
      <w:r>
        <w:t xml:space="preserve">in theory; the simulation below measures 2.1 because 64 salted keys hashed into 200 partitions collide.</w:t>
      </w:r>
    </w:p>
    <w:p>
      <w:pPr>
        <w:pStyle w:val="CalloutExample"/>
      </w:pPr>
      <w:r>
        <w:rPr>
          <w:bCs/>
          <w:b/>
        </w:rPr>
        <w:t xml:space="preserve">Interpretation.</w:t>
      </w:r>
      <w:r>
        <w:t xml:space="preserve"> </w:t>
      </w:r>
      <w:r>
        <w:t xml:space="preserve">Adding partitions does not help: one key goes to one partition however many there are, and</w:t>
      </w:r>
      <w:r>
        <w:t xml:space="preserve"> </w:t>
      </w:r>
      <m:oMath>
        <m:r>
          <m:t>f</m:t>
        </m:r>
        <m:r>
          <m:t>P</m:t>
        </m:r>
      </m:oMath>
      <w:r>
        <w:t xml:space="preserve"> </w:t>
      </w:r>
      <w:r>
        <w:t xml:space="preserve">even grows with</w:t>
      </w:r>
      <w:r>
        <w:t xml:space="preserve"> </w:t>
      </w:r>
      <m:oMath>
        <m:r>
          <m:t>P</m:t>
        </m:r>
      </m:oMath>
      <w:r>
        <w:t xml:space="preserve">.</w:t>
      </w:r>
      <w:r>
        <w:t xml:space="preserve"> </w:t>
      </w:r>
      <w:r>
        <w:rPr>
          <w:bCs/>
          <w:b/>
        </w:rPr>
        <w:t xml:space="preserve">Engineering implication.</w:t>
      </w:r>
      <w:r>
        <w:t xml:space="preserve"> </w:t>
      </w:r>
      <w:r>
        <w:t xml:space="preserve">Find hot keys by sampling, salt only those, and let AQE’s skew-join handling split oversized join partitions; filter out junk keys (nulls, test accounts) before the shuffle.</w:t>
      </w:r>
    </w:p>
    <w:p>
      <w:pPr>
        <w:pStyle w:val="SourceCode"/>
      </w:pPr>
      <w:r>
        <w:rPr>
          <w:rStyle w:val="CommentTok"/>
        </w:rPr>
        <w:t xml:space="preserve">"""Partition skew and key salting: per-partition load before and after a two-stage aggregation."""</w:t>
      </w:r>
      <w:r>
        <w:br/>
      </w:r>
      <w:r>
        <w:rPr>
          <w:rStyle w:val="ImportTok"/>
        </w:rPr>
        <w:t xml:space="preserve">import</w:t>
      </w:r>
      <w:r>
        <w:rPr>
          <w:rStyle w:val="NormalTok"/>
        </w:rPr>
        <w:t xml:space="preserve"> random</w:t>
      </w:r>
      <w:r>
        <w:br/>
      </w:r>
      <w:r>
        <w:rPr>
          <w:rStyle w:val="ImportTok"/>
        </w:rPr>
        <w:t xml:space="preserve">import</w:t>
      </w:r>
      <w:r>
        <w:rPr>
          <w:rStyle w:val="NormalTok"/>
        </w:rPr>
        <w:t xml:space="preserve"> zlib</w:t>
      </w:r>
      <w:r>
        <w:br/>
      </w:r>
      <w:r>
        <w:rPr>
          <w:rStyle w:val="ImportTok"/>
        </w:rPr>
        <w:t xml:space="preserve">from</w:t>
      </w:r>
      <w:r>
        <w:rPr>
          <w:rStyle w:val="NormalTok"/>
        </w:rPr>
        <w:t xml:space="preserve"> collections </w:t>
      </w:r>
      <w:r>
        <w:rPr>
          <w:rStyle w:val="ImportTok"/>
        </w:rPr>
        <w:t xml:space="preserve">import</w:t>
      </w:r>
      <w:r>
        <w:rPr>
          <w:rStyle w:val="NormalTok"/>
        </w:rPr>
        <w:t xml:space="preserve"> Counter</w:t>
      </w:r>
      <w:r>
        <w:br/>
      </w:r>
      <w:r>
        <w:br/>
      </w:r>
      <w:r>
        <w:br/>
      </w:r>
      <w:r>
        <w:rPr>
          <w:rStyle w:val="KeywordTok"/>
        </w:rPr>
        <w:t xml:space="preserve">def</w:t>
      </w:r>
      <w:r>
        <w:rPr>
          <w:rStyle w:val="NormalTok"/>
        </w:rPr>
        <w:t xml:space="preserve"> partition(key, n):</w:t>
      </w:r>
      <w:r>
        <w:br/>
      </w:r>
      <w:r>
        <w:rPr>
          <w:rStyle w:val="NormalTok"/>
        </w:rPr>
        <w:t xml:space="preserve">    </w:t>
      </w:r>
      <w:r>
        <w:rPr>
          <w:rStyle w:val="ControlFlowTok"/>
        </w:rPr>
        <w:t xml:space="preserve">return</w:t>
      </w:r>
      <w:r>
        <w:rPr>
          <w:rStyle w:val="NormalTok"/>
        </w:rPr>
        <w:t xml:space="preserve"> zlib.crc32(</w:t>
      </w:r>
      <w:r>
        <w:rPr>
          <w:rStyle w:val="BuiltInTok"/>
        </w:rPr>
        <w:t xml:space="preserve">repr</w:t>
      </w:r>
      <w:r>
        <w:rPr>
          <w:rStyle w:val="NormalTok"/>
        </w:rPr>
        <w:t xml:space="preserve">(key).encode()) </w:t>
      </w:r>
      <w:r>
        <w:rPr>
          <w:rStyle w:val="OperatorTok"/>
        </w:rPr>
        <w:t xml:space="preserve">%</w:t>
      </w:r>
      <w:r>
        <w:rPr>
          <w:rStyle w:val="NormalTok"/>
        </w:rPr>
        <w:t xml:space="preserve"> n</w:t>
      </w:r>
      <w:r>
        <w:br/>
      </w:r>
      <w:r>
        <w:br/>
      </w:r>
      <w:r>
        <w:br/>
      </w:r>
      <w:r>
        <w:rPr>
          <w:rStyle w:val="KeywordTok"/>
        </w:rPr>
        <w:t xml:space="preserve">def</w:t>
      </w:r>
      <w:r>
        <w:rPr>
          <w:rStyle w:val="NormalTok"/>
        </w:rPr>
        <w:t xml:space="preserve"> stage_loads(keys, n):</w:t>
      </w:r>
      <w:r>
        <w:br/>
      </w:r>
      <w:r>
        <w:rPr>
          <w:rStyle w:val="NormalTok"/>
        </w:rPr>
        <w:t xml:space="preserve">    loads </w:t>
      </w:r>
      <w:r>
        <w:rPr>
          <w:rStyle w:val="OperatorTok"/>
        </w:rPr>
        <w:t xml:space="preserve">=</w:t>
      </w:r>
      <w:r>
        <w:rPr>
          <w:rStyle w:val="NormalTok"/>
        </w:rPr>
        <w:t xml:space="preserve"> Counter(partition(k, n) </w:t>
      </w:r>
      <w:r>
        <w:rPr>
          <w:rStyle w:val="ControlFlowTok"/>
        </w:rPr>
        <w:t xml:space="preserve">for</w:t>
      </w:r>
      <w:r>
        <w:rPr>
          <w:rStyle w:val="NormalTok"/>
        </w:rPr>
        <w:t xml:space="preserve"> k </w:t>
      </w:r>
      <w:r>
        <w:rPr>
          <w:rStyle w:val="KeywordTok"/>
        </w:rPr>
        <w:t xml:space="preserve">in</w:t>
      </w:r>
      <w:r>
        <w:rPr>
          <w:rStyle w:val="NormalTok"/>
        </w:rPr>
        <w:t xml:space="preserve"> keys)</w:t>
      </w:r>
      <w:r>
        <w:br/>
      </w:r>
      <w:r>
        <w:rPr>
          <w:rStyle w:val="NormalTok"/>
        </w:rPr>
        <w:t xml:space="preserve">    </w:t>
      </w:r>
      <w:r>
        <w:rPr>
          <w:rStyle w:val="ControlFlowTok"/>
        </w:rPr>
        <w:t xml:space="preserve">return</w:t>
      </w:r>
      <w:r>
        <w:rPr>
          <w:rStyle w:val="NormalTok"/>
        </w:rPr>
        <w:t xml:space="preserve"> [loads.get(p, </w:t>
      </w:r>
      <w:r>
        <w:rPr>
          <w:rStyle w:val="DecValTok"/>
        </w:rPr>
        <w:t xml:space="preserve">0</w:t>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w:t>
      </w:r>
      <w:r>
        <w:rPr>
          <w:rStyle w:val="BuiltInTok"/>
        </w:rPr>
        <w:t xml:space="preserve">range</w:t>
      </w:r>
      <w:r>
        <w:rPr>
          <w:rStyle w:val="NormalTok"/>
        </w:rPr>
        <w:t xml:space="preserve">(n)]</w:t>
      </w:r>
      <w:r>
        <w:br/>
      </w:r>
      <w:r>
        <w:br/>
      </w:r>
      <w:r>
        <w:br/>
      </w:r>
      <w:r>
        <w:rPr>
          <w:rStyle w:val="KeywordTok"/>
        </w:rPr>
        <w:t xml:space="preserve">def</w:t>
      </w:r>
      <w:r>
        <w:rPr>
          <w:rStyle w:val="NormalTok"/>
        </w:rPr>
        <w:t xml:space="preserve"> skew_ratio(loads):</w:t>
      </w:r>
      <w:r>
        <w:br/>
      </w:r>
      <w:r>
        <w:rPr>
          <w:rStyle w:val="NormalTok"/>
        </w:rPr>
        <w:t xml:space="preserve">    </w:t>
      </w:r>
      <w:r>
        <w:rPr>
          <w:rStyle w:val="ControlFlowTok"/>
        </w:rPr>
        <w:t xml:space="preserve">return</w:t>
      </w:r>
      <w:r>
        <w:rPr>
          <w:rStyle w:val="NormalTok"/>
        </w:rPr>
        <w:t xml:space="preserve"> </w:t>
      </w:r>
      <w:r>
        <w:rPr>
          <w:rStyle w:val="BuiltInTok"/>
        </w:rPr>
        <w:t xml:space="preserve">max</w:t>
      </w:r>
      <w:r>
        <w:rPr>
          <w:rStyle w:val="NormalTok"/>
        </w:rPr>
        <w:t xml:space="preserve">(loads) </w:t>
      </w:r>
      <w:r>
        <w:rPr>
          <w:rStyle w:val="OperatorTok"/>
        </w:rPr>
        <w:t xml:space="preserve">/</w:t>
      </w:r>
      <w:r>
        <w:rPr>
          <w:rStyle w:val="NormalTok"/>
        </w:rPr>
        <w:t xml:space="preserve"> (</w:t>
      </w:r>
      <w:r>
        <w:rPr>
          <w:rStyle w:val="BuiltInTok"/>
        </w:rPr>
        <w:t xml:space="preserve">sum</w:t>
      </w:r>
      <w:r>
        <w:rPr>
          <w:rStyle w:val="NormalTok"/>
        </w:rPr>
        <w:t xml:space="preserve">(loads) </w:t>
      </w:r>
      <w:r>
        <w:rPr>
          <w:rStyle w:val="OperatorTok"/>
        </w:rPr>
        <w:t xml:space="preserve">/</w:t>
      </w:r>
      <w:r>
        <w:rPr>
          <w:rStyle w:val="NormalTok"/>
        </w:rPr>
        <w:t xml:space="preserve"> </w:t>
      </w:r>
      <w:r>
        <w:rPr>
          <w:rStyle w:val="BuiltInTok"/>
        </w:rPr>
        <w:t xml:space="preserve">len</w:t>
      </w:r>
      <w:r>
        <w:rPr>
          <w:rStyle w:val="NormalTok"/>
        </w:rPr>
        <w:t xml:space="preserve">(loads))     </w:t>
      </w:r>
      <w:r>
        <w:rPr>
          <w:rStyle w:val="CommentTok"/>
        </w:rPr>
        <w:t xml:space="preserve"># slowest task / average task</w:t>
      </w:r>
      <w:r>
        <w:br/>
      </w:r>
      <w:r>
        <w:br/>
      </w:r>
      <w:r>
        <w:br/>
      </w:r>
      <w:r>
        <w:rPr>
          <w:rStyle w:val="NormalTok"/>
        </w:rPr>
        <w:t xml:space="preserve">rng </w:t>
      </w:r>
      <w:r>
        <w:rPr>
          <w:rStyle w:val="OperatorTok"/>
        </w:rPr>
        <w:t xml:space="preserve">=</w:t>
      </w:r>
      <w:r>
        <w:rPr>
          <w:rStyle w:val="NormalTok"/>
        </w:rPr>
        <w:t xml:space="preserve"> random.Random(</w:t>
      </w:r>
      <w:r>
        <w:rPr>
          <w:rStyle w:val="DecValTok"/>
        </w:rPr>
        <w:t xml:space="preserve">1</w:t>
      </w:r>
      <w:r>
        <w:rPr>
          <w:rStyle w:val="NormalTok"/>
        </w:rPr>
        <w:t xml:space="preserve">)</w:t>
      </w:r>
      <w:r>
        <w:br/>
      </w:r>
      <w:r>
        <w:rPr>
          <w:rStyle w:val="NormalTok"/>
        </w:rPr>
        <w:t xml:space="preserve">P </w:t>
      </w:r>
      <w:r>
        <w:rPr>
          <w:rStyle w:val="OperatorTok"/>
        </w:rPr>
        <w:t xml:space="preserve">=</w:t>
      </w:r>
      <w:r>
        <w:rPr>
          <w:rStyle w:val="NormalTok"/>
        </w:rPr>
        <w:t xml:space="preserve"> </w:t>
      </w:r>
      <w:r>
        <w:rPr>
          <w:rStyle w:val="DecValTok"/>
        </w:rPr>
        <w:t xml:space="preserve">200</w:t>
      </w:r>
      <w:r>
        <w:rPr>
          <w:rStyle w:val="NormalTok"/>
        </w:rPr>
        <w:t xml:space="preserve">                                              </w:t>
      </w:r>
      <w:r>
        <w:rPr>
          <w:rStyle w:val="CommentTok"/>
        </w:rPr>
        <w:t xml:space="preserve"># shuffle partitions</w:t>
      </w:r>
      <w:r>
        <w:br/>
      </w:r>
      <w:r>
        <w:rPr>
          <w:rStyle w:val="NormalTok"/>
        </w:rPr>
        <w:t xml:space="preserve">records </w:t>
      </w:r>
      <w:r>
        <w:rPr>
          <w:rStyle w:val="OperatorTok"/>
        </w:rPr>
        <w:t xml:space="preserve">=</w:t>
      </w:r>
      <w:r>
        <w:rPr>
          <w:rStyle w:val="NormalTok"/>
        </w:rPr>
        <w:t xml:space="preserve"> [(</w:t>
      </w:r>
      <w:r>
        <w:rPr>
          <w:rStyle w:val="StringTok"/>
        </w:rPr>
        <w:t xml:space="preserve">"hot"</w:t>
      </w:r>
      <w:r>
        <w:rPr>
          <w:rStyle w:val="NormalTok"/>
        </w:rPr>
        <w:t xml:space="preserve"> </w:t>
      </w:r>
      <w:r>
        <w:rPr>
          <w:rStyle w:val="ControlFlowTok"/>
        </w:rPr>
        <w:t xml:space="preserve">if</w:t>
      </w:r>
      <w:r>
        <w:rPr>
          <w:rStyle w:val="NormalTok"/>
        </w:rPr>
        <w:t xml:space="preserve"> rng.random() </w:t>
      </w:r>
      <w:r>
        <w:rPr>
          <w:rStyle w:val="OperatorTok"/>
        </w:rPr>
        <w:t xml:space="preserve">&lt;</w:t>
      </w:r>
      <w:r>
        <w:rPr>
          <w:rStyle w:val="NormalTok"/>
        </w:rPr>
        <w:t xml:space="preserve"> </w:t>
      </w:r>
      <w:r>
        <w:rPr>
          <w:rStyle w:val="FloatTok"/>
        </w:rPr>
        <w:t xml:space="preserve">0.20</w:t>
      </w:r>
      <w:r>
        <w:rPr>
          <w:rStyle w:val="NormalTok"/>
        </w:rPr>
        <w:t xml:space="preserve"> </w:t>
      </w:r>
      <w:r>
        <w:rPr>
          <w:rStyle w:val="ControlFlowTok"/>
        </w:rPr>
        <w:t xml:space="preserve">else</w:t>
      </w:r>
      <w:r>
        <w:rPr>
          <w:rStyle w:val="NormalTok"/>
        </w:rPr>
        <w:t xml:space="preserve"> </w:t>
      </w:r>
      <w:r>
        <w:rPr>
          <w:rStyle w:val="SpecialStringTok"/>
        </w:rPr>
        <w:t xml:space="preserve">f"user</w:t>
      </w:r>
      <w:r>
        <w:rPr>
          <w:rStyle w:val="SpecialCharTok"/>
        </w:rPr>
        <w:t xml:space="preserve">{</w:t>
      </w:r>
      <w:r>
        <w:rPr>
          <w:rStyle w:val="NormalTok"/>
        </w:rPr>
        <w:t xml:space="preserve">rng</w:t>
      </w:r>
      <w:r>
        <w:rPr>
          <w:rStyle w:val="SpecialCharTok"/>
        </w:rPr>
        <w:t xml:space="preserve">.</w:t>
      </w:r>
      <w:r>
        <w:rPr>
          <w:rStyle w:val="NormalTok"/>
        </w:rPr>
        <w:t xml:space="preserve">randrange(</w:t>
      </w:r>
      <w:r>
        <w:rPr>
          <w:rStyle w:val="DecValTok"/>
        </w:rPr>
        <w:t xml:space="preserve">100_000</w:t>
      </w:r>
      <w:r>
        <w:rPr>
          <w:rStyle w:val="NormalTok"/>
        </w:rPr>
        <w:t xml:space="preserve">)</w:t>
      </w:r>
      <w:r>
        <w:rPr>
          <w:rStyle w:val="SpecialCharTok"/>
        </w:rPr>
        <w:t xml:space="preserve">}</w:t>
      </w:r>
      <w:r>
        <w:rPr>
          <w:rStyle w:val="SpecialString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1_000_000</w:t>
      </w:r>
      <w:r>
        <w:rPr>
          <w:rStyle w:val="NormalTok"/>
        </w:rPr>
        <w:t xml:space="preserve">)]                </w:t>
      </w:r>
      <w:r>
        <w:rPr>
          <w:rStyle w:val="CommentTok"/>
        </w:rPr>
        <w:t xml:space="preserve"># one key carries 20% of all rows</w:t>
      </w:r>
      <w:r>
        <w:br/>
      </w:r>
      <w:r>
        <w:rPr>
          <w:rStyle w:val="NormalTok"/>
        </w:rPr>
        <w:t xml:space="preserve">truth </w:t>
      </w:r>
      <w:r>
        <w:rPr>
          <w:rStyle w:val="OperatorTok"/>
        </w:rPr>
        <w:t xml:space="preserve">=</w:t>
      </w:r>
      <w:r>
        <w:rPr>
          <w:rStyle w:val="NormalTok"/>
        </w:rPr>
        <w:t xml:space="preserve"> Counter()</w:t>
      </w:r>
      <w:r>
        <w:br/>
      </w:r>
      <w:r>
        <w:rPr>
          <w:rStyle w:val="ControlFlowTok"/>
        </w:rPr>
        <w:t xml:space="preserve">for</w:t>
      </w:r>
      <w:r>
        <w:rPr>
          <w:rStyle w:val="NormalTok"/>
        </w:rPr>
        <w:t xml:space="preserve"> k, v </w:t>
      </w:r>
      <w:r>
        <w:rPr>
          <w:rStyle w:val="KeywordTok"/>
        </w:rPr>
        <w:t xml:space="preserve">in</w:t>
      </w:r>
      <w:r>
        <w:rPr>
          <w:rStyle w:val="NormalTok"/>
        </w:rPr>
        <w:t xml:space="preserve"> records:</w:t>
      </w:r>
      <w:r>
        <w:br/>
      </w:r>
      <w:r>
        <w:rPr>
          <w:rStyle w:val="NormalTok"/>
        </w:rPr>
        <w:t xml:space="preserve">    truth[k] </w:t>
      </w:r>
      <w:r>
        <w:rPr>
          <w:rStyle w:val="OperatorTok"/>
        </w:rPr>
        <w:t xml:space="preserve">+=</w:t>
      </w:r>
      <w:r>
        <w:rPr>
          <w:rStyle w:val="NormalTok"/>
        </w:rPr>
        <w:t xml:space="preserve"> v</w:t>
      </w:r>
      <w:r>
        <w:br/>
      </w:r>
      <w:r>
        <w:br/>
      </w:r>
      <w:r>
        <w:rPr>
          <w:rStyle w:val="CommentTok"/>
        </w:rPr>
        <w:t xml:space="preserve"># Plain aggregation: every row of a key goes to one partition.</w:t>
      </w:r>
      <w:r>
        <w:br/>
      </w:r>
      <w:r>
        <w:rPr>
          <w:rStyle w:val="NormalTok"/>
        </w:rPr>
        <w:t xml:space="preserve">plain </w:t>
      </w:r>
      <w:r>
        <w:rPr>
          <w:rStyle w:val="OperatorTok"/>
        </w:rPr>
        <w:t xml:space="preserve">=</w:t>
      </w:r>
      <w:r>
        <w:rPr>
          <w:rStyle w:val="NormalTok"/>
        </w:rPr>
        <w:t xml:space="preserve"> stage_loads((k </w:t>
      </w:r>
      <w:r>
        <w:rPr>
          <w:rStyle w:val="ControlFlowTok"/>
        </w:rPr>
        <w:t xml:space="preserve">for</w:t>
      </w:r>
      <w:r>
        <w:rPr>
          <w:rStyle w:val="NormalTok"/>
        </w:rPr>
        <w:t xml:space="preserve"> k, _ </w:t>
      </w:r>
      <w:r>
        <w:rPr>
          <w:rStyle w:val="KeywordTok"/>
        </w:rPr>
        <w:t xml:space="preserve">in</w:t>
      </w:r>
      <w:r>
        <w:rPr>
          <w:rStyle w:val="NormalTok"/>
        </w:rPr>
        <w:t xml:space="preserve"> records), P)</w:t>
      </w:r>
      <w:r>
        <w:br/>
      </w:r>
      <w:r>
        <w:rPr>
          <w:rStyle w:val="BuiltInTok"/>
        </w:rPr>
        <w:t xml:space="preserve">print</w:t>
      </w:r>
      <w:r>
        <w:rPr>
          <w:rStyle w:val="NormalTok"/>
        </w:rPr>
        <w:t xml:space="preserve">(</w:t>
      </w:r>
      <w:r>
        <w:rPr>
          <w:rStyle w:val="SpecialStringTok"/>
        </w:rPr>
        <w:t xml:space="preserve">f"plain  : max=</w:t>
      </w:r>
      <w:r>
        <w:rPr>
          <w:rStyle w:val="SpecialCharTok"/>
        </w:rPr>
        <w:t xml:space="preserve">{</w:t>
      </w:r>
      <w:r>
        <w:rPr>
          <w:rStyle w:val="BuiltInTok"/>
        </w:rPr>
        <w:t xml:space="preserve">max</w:t>
      </w:r>
      <w:r>
        <w:rPr>
          <w:rStyle w:val="NormalTok"/>
        </w:rPr>
        <w:t xml:space="preserve">(plain)</w:t>
      </w:r>
      <w:r>
        <w:rPr>
          <w:rStyle w:val="SpecialCharTok"/>
        </w:rPr>
        <w:t xml:space="preserve">:&gt;7,}</w:t>
      </w:r>
      <w:r>
        <w:rPr>
          <w:rStyle w:val="SpecialStringTok"/>
        </w:rPr>
        <w:t xml:space="preserve">  mean=</w:t>
      </w:r>
      <w:r>
        <w:rPr>
          <w:rStyle w:val="SpecialCharTok"/>
        </w:rPr>
        <w:t xml:space="preserve">{</w:t>
      </w:r>
      <w:r>
        <w:rPr>
          <w:rStyle w:val="BuiltInTok"/>
        </w:rPr>
        <w:t xml:space="preserve">sum</w:t>
      </w:r>
      <w:r>
        <w:rPr>
          <w:rStyle w:val="NormalTok"/>
        </w:rPr>
        <w:t xml:space="preserve">(plain) </w:t>
      </w:r>
      <w:r>
        <w:rPr>
          <w:rStyle w:val="OperatorTok"/>
        </w:rPr>
        <w:t xml:space="preserve">/</w:t>
      </w:r>
      <w:r>
        <w:rPr>
          <w:rStyle w:val="NormalTok"/>
        </w:rPr>
        <w:t xml:space="preserve"> P</w:t>
      </w:r>
      <w:r>
        <w:rPr>
          <w:rStyle w:val="SpecialCharTok"/>
        </w:rPr>
        <w:t xml:space="preserve">:&gt;7,.0f}</w:t>
      </w:r>
      <w:r>
        <w:rPr>
          <w:rStyle w:val="SpecialStringTok"/>
        </w:rPr>
        <w:t xml:space="preserve">  skew=</w:t>
      </w:r>
      <w:r>
        <w:rPr>
          <w:rStyle w:val="SpecialCharTok"/>
        </w:rPr>
        <w:t xml:space="preserve">{</w:t>
      </w:r>
      <w:r>
        <w:rPr>
          <w:rStyle w:val="NormalTok"/>
        </w:rPr>
        <w:t xml:space="preserve">skew_ratio(plain)</w:t>
      </w:r>
      <w:r>
        <w:rPr>
          <w:rStyle w:val="SpecialCharTok"/>
        </w:rPr>
        <w:t xml:space="preserve">:5.1f}</w:t>
      </w:r>
      <w:r>
        <w:rPr>
          <w:rStyle w:val="SpecialStringTok"/>
        </w:rPr>
        <w:t xml:space="preserve">x"</w:t>
      </w:r>
      <w:r>
        <w:rPr>
          <w:rStyle w:val="NormalTok"/>
        </w:rPr>
        <w:t xml:space="preserve">)</w:t>
      </w:r>
      <w:r>
        <w:br/>
      </w:r>
      <w:r>
        <w:br/>
      </w:r>
      <w:r>
        <w:rPr>
          <w:rStyle w:val="NormalTok"/>
        </w:rPr>
        <w:t xml:space="preserve">sample </w:t>
      </w:r>
      <w:r>
        <w:rPr>
          <w:rStyle w:val="OperatorTok"/>
        </w:rPr>
        <w:t xml:space="preserve">=</w:t>
      </w:r>
      <w:r>
        <w:rPr>
          <w:rStyle w:val="NormalTok"/>
        </w:rPr>
        <w:t xml:space="preserve"> Counter(k </w:t>
      </w:r>
      <w:r>
        <w:rPr>
          <w:rStyle w:val="ControlFlowTok"/>
        </w:rPr>
        <w:t xml:space="preserve">for</w:t>
      </w:r>
      <w:r>
        <w:rPr>
          <w:rStyle w:val="NormalTok"/>
        </w:rPr>
        <w:t xml:space="preserve"> k, _ </w:t>
      </w:r>
      <w:r>
        <w:rPr>
          <w:rStyle w:val="KeywordTok"/>
        </w:rPr>
        <w:t xml:space="preserve">in</w:t>
      </w:r>
      <w:r>
        <w:rPr>
          <w:rStyle w:val="NormalTok"/>
        </w:rPr>
        <w:t xml:space="preserve"> rng.sample(records, </w:t>
      </w:r>
      <w:r>
        <w:rPr>
          <w:rStyle w:val="DecValTok"/>
        </w:rPr>
        <w:t xml:space="preserve">10_000</w:t>
      </w:r>
      <w:r>
        <w:rPr>
          <w:rStyle w:val="NormalTok"/>
        </w:rPr>
        <w:t xml:space="preserve">))   </w:t>
      </w:r>
      <w:r>
        <w:rPr>
          <w:rStyle w:val="CommentTok"/>
        </w:rPr>
        <w:t xml:space="preserve"># find hot keys from a 1% sample</w:t>
      </w:r>
      <w:r>
        <w:br/>
      </w:r>
      <w:r>
        <w:rPr>
          <w:rStyle w:val="NormalTok"/>
        </w:rPr>
        <w:t xml:space="preserve">hot </w:t>
      </w:r>
      <w:r>
        <w:rPr>
          <w:rStyle w:val="OperatorTok"/>
        </w:rPr>
        <w:t xml:space="preserve">=</w:t>
      </w:r>
      <w:r>
        <w:rPr>
          <w:rStyle w:val="NormalTok"/>
        </w:rPr>
        <w:t xml:space="preserve"> {k </w:t>
      </w:r>
      <w:r>
        <w:rPr>
          <w:rStyle w:val="ControlFlowTok"/>
        </w:rPr>
        <w:t xml:space="preserve">for</w:t>
      </w:r>
      <w:r>
        <w:rPr>
          <w:rStyle w:val="NormalTok"/>
        </w:rPr>
        <w:t xml:space="preserve"> k, c </w:t>
      </w:r>
      <w:r>
        <w:rPr>
          <w:rStyle w:val="KeywordTok"/>
        </w:rPr>
        <w:t xml:space="preserve">in</w:t>
      </w:r>
      <w:r>
        <w:rPr>
          <w:rStyle w:val="NormalTok"/>
        </w:rPr>
        <w:t xml:space="preserve"> sample.items() </w:t>
      </w:r>
      <w:r>
        <w:rPr>
          <w:rStyle w:val="ControlFlowTok"/>
        </w:rPr>
        <w:t xml:space="preserve">if</w:t>
      </w:r>
      <w:r>
        <w:rPr>
          <w:rStyle w:val="NormalTok"/>
        </w:rPr>
        <w:t xml:space="preserve"> c </w:t>
      </w:r>
      <w:r>
        <w:rPr>
          <w:rStyle w:val="OperatorTok"/>
        </w:rPr>
        <w:t xml:space="preserve">&gt;</w:t>
      </w:r>
      <w:r>
        <w:rPr>
          <w:rStyle w:val="NormalTok"/>
        </w:rPr>
        <w:t xml:space="preserve"> </w:t>
      </w:r>
      <w:r>
        <w:rPr>
          <w:rStyle w:val="FloatTok"/>
        </w:rPr>
        <w:t xml:space="preserve">0.01</w:t>
      </w:r>
      <w:r>
        <w:rPr>
          <w:rStyle w:val="NormalTok"/>
        </w:rPr>
        <w:t xml:space="preserve"> </w:t>
      </w:r>
      <w:r>
        <w:rPr>
          <w:rStyle w:val="OperatorTok"/>
        </w:rPr>
        <w:t xml:space="preserve">*</w:t>
      </w:r>
      <w:r>
        <w:rPr>
          <w:rStyle w:val="NormalTok"/>
        </w:rPr>
        <w:t xml:space="preserve"> </w:t>
      </w:r>
      <w:r>
        <w:rPr>
          <w:rStyle w:val="DecValTok"/>
        </w:rPr>
        <w:t xml:space="preserve">10_000</w:t>
      </w:r>
      <w:r>
        <w:rPr>
          <w:rStyle w:val="NormalTok"/>
        </w:rPr>
        <w:t xml:space="preserve">}</w:t>
      </w:r>
      <w:r>
        <w:br/>
      </w:r>
      <w:r>
        <w:rPr>
          <w:rStyle w:val="BuiltInTok"/>
        </w:rPr>
        <w:t xml:space="preserve">print</w:t>
      </w:r>
      <w:r>
        <w:rPr>
          <w:rStyle w:val="NormalTok"/>
        </w:rPr>
        <w:t xml:space="preserve">(</w:t>
      </w:r>
      <w:r>
        <w:rPr>
          <w:rStyle w:val="StringTok"/>
        </w:rPr>
        <w:t xml:space="preserve">"hot keys found by sampling:"</w:t>
      </w:r>
      <w:r>
        <w:rPr>
          <w:rStyle w:val="NormalTok"/>
        </w:rPr>
        <w:t xml:space="preserve">, hot)</w:t>
      </w:r>
      <w:r>
        <w:br/>
      </w:r>
      <w:r>
        <w:br/>
      </w:r>
      <w:r>
        <w:rPr>
          <w:rStyle w:val="ControlFlowTok"/>
        </w:rPr>
        <w:t xml:space="preserve">for</w:t>
      </w:r>
      <w:r>
        <w:rPr>
          <w:rStyle w:val="NormalTok"/>
        </w:rPr>
        <w:t xml:space="preserve"> salt </w:t>
      </w:r>
      <w:r>
        <w:rPr>
          <w:rStyle w:val="KeywordTok"/>
        </w:rPr>
        <w:t xml:space="preserve">in</w:t>
      </w:r>
      <w:r>
        <w:rPr>
          <w:rStyle w:val="NormalTok"/>
        </w:rPr>
        <w:t xml:space="preserve"> (</w:t>
      </w:r>
      <w:r>
        <w:rPr>
          <w:rStyle w:val="DecValTok"/>
        </w:rPr>
        <w:t xml:space="preserve">8</w:t>
      </w:r>
      <w:r>
        <w:rPr>
          <w:rStyle w:val="NormalTok"/>
        </w:rPr>
        <w:t xml:space="preserve">, </w:t>
      </w:r>
      <w:r>
        <w:rPr>
          <w:rStyle w:val="DecValTok"/>
        </w:rPr>
        <w:t xml:space="preserve">64</w:t>
      </w:r>
      <w:r>
        <w:rPr>
          <w:rStyle w:val="NormalTok"/>
        </w:rPr>
        <w:t xml:space="preserve">):</w:t>
      </w:r>
      <w:r>
        <w:br/>
      </w:r>
      <w:r>
        <w:rPr>
          <w:rStyle w:val="NormalTok"/>
        </w:rPr>
        <w:t xml:space="preserve">    </w:t>
      </w:r>
      <w:r>
        <w:rPr>
          <w:rStyle w:val="CommentTok"/>
        </w:rPr>
        <w:t xml:space="preserve"># Stage 1: append a random salt to hot keys only, spreading each over `salt` partitions.</w:t>
      </w:r>
      <w:r>
        <w:br/>
      </w:r>
      <w:r>
        <w:rPr>
          <w:rStyle w:val="NormalTok"/>
        </w:rPr>
        <w:t xml:space="preserve">    salted </w:t>
      </w:r>
      <w:r>
        <w:rPr>
          <w:rStyle w:val="OperatorTok"/>
        </w:rPr>
        <w:t xml:space="preserve">=</w:t>
      </w:r>
      <w:r>
        <w:rPr>
          <w:rStyle w:val="NormalTok"/>
        </w:rPr>
        <w:t xml:space="preserve"> [((k, rng.randrange(salt) </w:t>
      </w:r>
      <w:r>
        <w:rPr>
          <w:rStyle w:val="ControlFlowTok"/>
        </w:rPr>
        <w:t xml:space="preserve">if</w:t>
      </w:r>
      <w:r>
        <w:rPr>
          <w:rStyle w:val="NormalTok"/>
        </w:rPr>
        <w:t xml:space="preserve"> k </w:t>
      </w:r>
      <w:r>
        <w:rPr>
          <w:rStyle w:val="KeywordTok"/>
        </w:rPr>
        <w:t xml:space="preserve">in</w:t>
      </w:r>
      <w:r>
        <w:rPr>
          <w:rStyle w:val="NormalTok"/>
        </w:rPr>
        <w:t xml:space="preserve"> hot </w:t>
      </w:r>
      <w:r>
        <w:rPr>
          <w:rStyle w:val="ControlFlowTok"/>
        </w:rPr>
        <w:t xml:space="preserve">else</w:t>
      </w:r>
      <w:r>
        <w:rPr>
          <w:rStyle w:val="NormalTok"/>
        </w:rPr>
        <w:t xml:space="preserve"> </w:t>
      </w:r>
      <w:r>
        <w:rPr>
          <w:rStyle w:val="DecValTok"/>
        </w:rPr>
        <w:t xml:space="preserve">0</w:t>
      </w:r>
      <w:r>
        <w:rPr>
          <w:rStyle w:val="NormalTok"/>
        </w:rPr>
        <w:t xml:space="preserve">), v) </w:t>
      </w:r>
      <w:r>
        <w:rPr>
          <w:rStyle w:val="ControlFlowTok"/>
        </w:rPr>
        <w:t xml:space="preserve">for</w:t>
      </w:r>
      <w:r>
        <w:rPr>
          <w:rStyle w:val="NormalTok"/>
        </w:rPr>
        <w:t xml:space="preserve"> k, v </w:t>
      </w:r>
      <w:r>
        <w:rPr>
          <w:rStyle w:val="KeywordTok"/>
        </w:rPr>
        <w:t xml:space="preserve">in</w:t>
      </w:r>
      <w:r>
        <w:rPr>
          <w:rStyle w:val="NormalTok"/>
        </w:rPr>
        <w:t xml:space="preserve"> records]</w:t>
      </w:r>
      <w:r>
        <w:br/>
      </w:r>
      <w:r>
        <w:rPr>
          <w:rStyle w:val="NormalTok"/>
        </w:rPr>
        <w:t xml:space="preserve">    s1 </w:t>
      </w:r>
      <w:r>
        <w:rPr>
          <w:rStyle w:val="OperatorTok"/>
        </w:rPr>
        <w:t xml:space="preserve">=</w:t>
      </w:r>
      <w:r>
        <w:rPr>
          <w:rStyle w:val="NormalTok"/>
        </w:rPr>
        <w:t xml:space="preserve"> stage_loads((sk </w:t>
      </w:r>
      <w:r>
        <w:rPr>
          <w:rStyle w:val="ControlFlowTok"/>
        </w:rPr>
        <w:t xml:space="preserve">for</w:t>
      </w:r>
      <w:r>
        <w:rPr>
          <w:rStyle w:val="NormalTok"/>
        </w:rPr>
        <w:t xml:space="preserve"> sk, _ </w:t>
      </w:r>
      <w:r>
        <w:rPr>
          <w:rStyle w:val="KeywordTok"/>
        </w:rPr>
        <w:t xml:space="preserve">in</w:t>
      </w:r>
      <w:r>
        <w:rPr>
          <w:rStyle w:val="NormalTok"/>
        </w:rPr>
        <w:t xml:space="preserve"> salted), P)</w:t>
      </w:r>
      <w:r>
        <w:br/>
      </w:r>
      <w:r>
        <w:rPr>
          <w:rStyle w:val="NormalTok"/>
        </w:rPr>
        <w:t xml:space="preserve">    partial </w:t>
      </w:r>
      <w:r>
        <w:rPr>
          <w:rStyle w:val="OperatorTok"/>
        </w:rPr>
        <w:t xml:space="preserve">=</w:t>
      </w:r>
      <w:r>
        <w:rPr>
          <w:rStyle w:val="NormalTok"/>
        </w:rPr>
        <w:t xml:space="preserve"> Counter()</w:t>
      </w:r>
      <w:r>
        <w:br/>
      </w:r>
      <w:r>
        <w:rPr>
          <w:rStyle w:val="NormalTok"/>
        </w:rPr>
        <w:t xml:space="preserve">    </w:t>
      </w:r>
      <w:r>
        <w:rPr>
          <w:rStyle w:val="ControlFlowTok"/>
        </w:rPr>
        <w:t xml:space="preserve">for</w:t>
      </w:r>
      <w:r>
        <w:rPr>
          <w:rStyle w:val="NormalTok"/>
        </w:rPr>
        <w:t xml:space="preserve"> (k, s), v </w:t>
      </w:r>
      <w:r>
        <w:rPr>
          <w:rStyle w:val="KeywordTok"/>
        </w:rPr>
        <w:t xml:space="preserve">in</w:t>
      </w:r>
      <w:r>
        <w:rPr>
          <w:rStyle w:val="NormalTok"/>
        </w:rPr>
        <w:t xml:space="preserve"> salted:</w:t>
      </w:r>
      <w:r>
        <w:br/>
      </w:r>
      <w:r>
        <w:rPr>
          <w:rStyle w:val="NormalTok"/>
        </w:rPr>
        <w:t xml:space="preserve">        partial[(k, s)] </w:t>
      </w:r>
      <w:r>
        <w:rPr>
          <w:rStyle w:val="OperatorTok"/>
        </w:rPr>
        <w:t xml:space="preserve">+=</w:t>
      </w:r>
      <w:r>
        <w:rPr>
          <w:rStyle w:val="NormalTok"/>
        </w:rPr>
        <w:t xml:space="preserve"> v                         </w:t>
      </w:r>
      <w:r>
        <w:rPr>
          <w:rStyle w:val="CommentTok"/>
        </w:rPr>
        <w:t xml:space="preserve"># partial sums per (key, salt)</w:t>
      </w:r>
      <w:r>
        <w:br/>
      </w:r>
      <w:r>
        <w:rPr>
          <w:rStyle w:val="NormalTok"/>
        </w:rPr>
        <w:t xml:space="preserve">    </w:t>
      </w:r>
      <w:r>
        <w:rPr>
          <w:rStyle w:val="CommentTok"/>
        </w:rPr>
        <w:t xml:space="preserve"># Stage 2: strip the salt and combine at most `salt` partial sums per key.</w:t>
      </w:r>
      <w:r>
        <w:br/>
      </w:r>
      <w:r>
        <w:rPr>
          <w:rStyle w:val="NormalTok"/>
        </w:rPr>
        <w:t xml:space="preserve">    s2 </w:t>
      </w:r>
      <w:r>
        <w:rPr>
          <w:rStyle w:val="OperatorTok"/>
        </w:rPr>
        <w:t xml:space="preserve">=</w:t>
      </w:r>
      <w:r>
        <w:rPr>
          <w:rStyle w:val="NormalTok"/>
        </w:rPr>
        <w:t xml:space="preserve"> stage_loads((k </w:t>
      </w:r>
      <w:r>
        <w:rPr>
          <w:rStyle w:val="ControlFlowTok"/>
        </w:rPr>
        <w:t xml:space="preserve">for</w:t>
      </w:r>
      <w:r>
        <w:rPr>
          <w:rStyle w:val="NormalTok"/>
        </w:rPr>
        <w:t xml:space="preserve"> k, _ </w:t>
      </w:r>
      <w:r>
        <w:rPr>
          <w:rStyle w:val="KeywordTok"/>
        </w:rPr>
        <w:t xml:space="preserve">in</w:t>
      </w:r>
      <w:r>
        <w:rPr>
          <w:rStyle w:val="NormalTok"/>
        </w:rPr>
        <w:t xml:space="preserve"> partial), P)</w:t>
      </w:r>
      <w:r>
        <w:br/>
      </w:r>
      <w:r>
        <w:rPr>
          <w:rStyle w:val="NormalTok"/>
        </w:rPr>
        <w:t xml:space="preserve">    final </w:t>
      </w:r>
      <w:r>
        <w:rPr>
          <w:rStyle w:val="OperatorTok"/>
        </w:rPr>
        <w:t xml:space="preserve">=</w:t>
      </w:r>
      <w:r>
        <w:rPr>
          <w:rStyle w:val="NormalTok"/>
        </w:rPr>
        <w:t xml:space="preserve"> Counter()</w:t>
      </w:r>
      <w:r>
        <w:br/>
      </w:r>
      <w:r>
        <w:rPr>
          <w:rStyle w:val="NormalTok"/>
        </w:rPr>
        <w:t xml:space="preserve">    </w:t>
      </w:r>
      <w:r>
        <w:rPr>
          <w:rStyle w:val="ControlFlowTok"/>
        </w:rPr>
        <w:t xml:space="preserve">for</w:t>
      </w:r>
      <w:r>
        <w:rPr>
          <w:rStyle w:val="NormalTok"/>
        </w:rPr>
        <w:t xml:space="preserve"> (k, _), v </w:t>
      </w:r>
      <w:r>
        <w:rPr>
          <w:rStyle w:val="KeywordTok"/>
        </w:rPr>
        <w:t xml:space="preserve">in</w:t>
      </w:r>
      <w:r>
        <w:rPr>
          <w:rStyle w:val="NormalTok"/>
        </w:rPr>
        <w:t xml:space="preserve"> partial.items():</w:t>
      </w:r>
      <w:r>
        <w:br/>
      </w:r>
      <w:r>
        <w:rPr>
          <w:rStyle w:val="NormalTok"/>
        </w:rPr>
        <w:t xml:space="preserve">        final[k] </w:t>
      </w:r>
      <w:r>
        <w:rPr>
          <w:rStyle w:val="OperatorTok"/>
        </w:rPr>
        <w:t xml:space="preserve">+=</w:t>
      </w:r>
      <w:r>
        <w:rPr>
          <w:rStyle w:val="NormalTok"/>
        </w:rPr>
        <w:t xml:space="preserve"> v</w:t>
      </w:r>
      <w:r>
        <w:br/>
      </w:r>
      <w:r>
        <w:rPr>
          <w:rStyle w:val="NormalTok"/>
        </w:rPr>
        <w:t xml:space="preserve">    </w:t>
      </w:r>
      <w:r>
        <w:rPr>
          <w:rStyle w:val="ControlFlowTok"/>
        </w:rPr>
        <w:t xml:space="preserve">assert</w:t>
      </w:r>
      <w:r>
        <w:rPr>
          <w:rStyle w:val="NormalTok"/>
        </w:rPr>
        <w:t xml:space="preserve"> final </w:t>
      </w:r>
      <w:r>
        <w:rPr>
          <w:rStyle w:val="OperatorTok"/>
        </w:rPr>
        <w:t xml:space="preserve">==</w:t>
      </w:r>
      <w:r>
        <w:rPr>
          <w:rStyle w:val="NormalTok"/>
        </w:rPr>
        <w:t xml:space="preserve"> truth                            </w:t>
      </w:r>
      <w:r>
        <w:rPr>
          <w:rStyle w:val="CommentTok"/>
        </w:rPr>
        <w:t xml:space="preserve"># salting never changes the answer</w:t>
      </w:r>
      <w:r>
        <w:br/>
      </w:r>
      <w:r>
        <w:rPr>
          <w:rStyle w:val="NormalTok"/>
        </w:rPr>
        <w:t xml:space="preserve">    </w:t>
      </w:r>
      <w:r>
        <w:rPr>
          <w:rStyle w:val="BuiltInTok"/>
        </w:rPr>
        <w:t xml:space="preserve">print</w:t>
      </w:r>
      <w:r>
        <w:rPr>
          <w:rStyle w:val="NormalTok"/>
        </w:rPr>
        <w:t xml:space="preserve">(</w:t>
      </w:r>
      <w:r>
        <w:rPr>
          <w:rStyle w:val="SpecialStringTok"/>
        </w:rPr>
        <w:t xml:space="preserve">f"salt=</w:t>
      </w:r>
      <w:r>
        <w:rPr>
          <w:rStyle w:val="SpecialCharTok"/>
        </w:rPr>
        <w:t xml:space="preserve">{</w:t>
      </w:r>
      <w:r>
        <w:rPr>
          <w:rStyle w:val="NormalTok"/>
        </w:rPr>
        <w:t xml:space="preserve">salt</w:t>
      </w:r>
      <w:r>
        <w:rPr>
          <w:rStyle w:val="SpecialCharTok"/>
        </w:rPr>
        <w:t xml:space="preserve">:&lt;3}</w:t>
      </w:r>
      <w:r>
        <w:rPr>
          <w:rStyle w:val="SpecialStringTok"/>
        </w:rPr>
        <w:t xml:space="preserve">: stage1 max=</w:t>
      </w:r>
      <w:r>
        <w:rPr>
          <w:rStyle w:val="SpecialCharTok"/>
        </w:rPr>
        <w:t xml:space="preserve">{</w:t>
      </w:r>
      <w:r>
        <w:rPr>
          <w:rStyle w:val="BuiltInTok"/>
        </w:rPr>
        <w:t xml:space="preserve">max</w:t>
      </w:r>
      <w:r>
        <w:rPr>
          <w:rStyle w:val="NormalTok"/>
        </w:rPr>
        <w:t xml:space="preserve">(s1)</w:t>
      </w:r>
      <w:r>
        <w:rPr>
          <w:rStyle w:val="SpecialCharTok"/>
        </w:rPr>
        <w:t xml:space="preserve">:&gt;7,}</w:t>
      </w:r>
      <w:r>
        <w:rPr>
          <w:rStyle w:val="SpecialStringTok"/>
        </w:rPr>
        <w:t xml:space="preserve"> skew=</w:t>
      </w:r>
      <w:r>
        <w:rPr>
          <w:rStyle w:val="SpecialCharTok"/>
        </w:rPr>
        <w:t xml:space="preserve">{</w:t>
      </w:r>
      <w:r>
        <w:rPr>
          <w:rStyle w:val="NormalTok"/>
        </w:rPr>
        <w:t xml:space="preserve">skew_ratio(s1)</w:t>
      </w:r>
      <w:r>
        <w:rPr>
          <w:rStyle w:val="SpecialCharTok"/>
        </w:rPr>
        <w:t xml:space="preserve">:5.1f}</w:t>
      </w:r>
      <w:r>
        <w:rPr>
          <w:rStyle w:val="SpecialStringTok"/>
        </w:rPr>
        <w:t xml:space="preserve">x | "</w:t>
      </w:r>
      <w:r>
        <w:br/>
      </w:r>
      <w:r>
        <w:rPr>
          <w:rStyle w:val="NormalTok"/>
        </w:rPr>
        <w:t xml:space="preserve">          </w:t>
      </w:r>
      <w:r>
        <w:rPr>
          <w:rStyle w:val="SpecialStringTok"/>
        </w:rPr>
        <w:t xml:space="preserve">f"stage2 rows=</w:t>
      </w:r>
      <w:r>
        <w:rPr>
          <w:rStyle w:val="SpecialCharTok"/>
        </w:rPr>
        <w:t xml:space="preserve">{</w:t>
      </w:r>
      <w:r>
        <w:rPr>
          <w:rStyle w:val="BuiltInTok"/>
        </w:rPr>
        <w:t xml:space="preserve">len</w:t>
      </w:r>
      <w:r>
        <w:rPr>
          <w:rStyle w:val="NormalTok"/>
        </w:rPr>
        <w:t xml:space="preserve">(partial)</w:t>
      </w:r>
      <w:r>
        <w:rPr>
          <w:rStyle w:val="SpecialCharTok"/>
        </w:rPr>
        <w:t xml:space="preserve">:,}</w:t>
      </w:r>
      <w:r>
        <w:rPr>
          <w:rStyle w:val="SpecialStringTok"/>
        </w:rPr>
        <w:t xml:space="preserve"> skew=</w:t>
      </w:r>
      <w:r>
        <w:rPr>
          <w:rStyle w:val="SpecialCharTok"/>
        </w:rPr>
        <w:t xml:space="preserve">{</w:t>
      </w:r>
      <w:r>
        <w:rPr>
          <w:rStyle w:val="NormalTok"/>
        </w:rPr>
        <w:t xml:space="preserve">skew_ratio(s2)</w:t>
      </w:r>
      <w:r>
        <w:rPr>
          <w:rStyle w:val="SpecialCharTok"/>
        </w:rPr>
        <w:t xml:space="preserve">:4.1f}</w:t>
      </w:r>
      <w:r>
        <w:rPr>
          <w:rStyle w:val="SpecialStringTok"/>
        </w:rPr>
        <w:t xml:space="preserve">x"</w:t>
      </w:r>
      <w:r>
        <w:rPr>
          <w:rStyle w:val="NormalTok"/>
        </w:rPr>
        <w:t xml:space="preserve">)</w:t>
      </w:r>
    </w:p>
    <w:p>
      <w:pPr>
        <w:pStyle w:val="FirstParagraph"/>
      </w:pPr>
      <w:r>
        <w:t xml:space="preserve">Output:</w:t>
      </w:r>
    </w:p>
    <w:p>
      <w:pPr>
        <w:pStyle w:val="SourceCode"/>
      </w:pPr>
      <w:r>
        <w:rPr>
          <w:rStyle w:val="VerbatimChar"/>
        </w:rPr>
        <w:t xml:space="preserve">plain  : max=204,210  mean=  5,000  skew= 40.8x</w:t>
      </w:r>
      <w:r>
        <w:br/>
      </w:r>
      <w:r>
        <w:rPr>
          <w:rStyle w:val="VerbatimChar"/>
        </w:rPr>
        <w:t xml:space="preserve">hot keys found by sampling: {'hot'}</w:t>
      </w:r>
      <w:r>
        <w:br/>
      </w:r>
      <w:r>
        <w:rPr>
          <w:rStyle w:val="VerbatimChar"/>
        </w:rPr>
        <w:t xml:space="preserve">salt=8  : stage1 max= 29,459 skew=  5.9x | stage2 rows=99,975 skew= 1.1x</w:t>
      </w:r>
      <w:r>
        <w:br/>
      </w:r>
      <w:r>
        <w:rPr>
          <w:rStyle w:val="VerbatimChar"/>
        </w:rPr>
        <w:t xml:space="preserve">salt=64 : stage1 max= 10,306 skew=  2.1x | stage2 rows=100,031 skew= 1.1x</w:t>
      </w:r>
    </w:p>
    <w:p>
      <w:pPr>
        <w:pStyle w:val="FirstParagraph"/>
      </w:pPr>
      <w:r>
        <w:t xml:space="preserve">What to notice: the measured unsalted skew (40.8×) matches the formula exactly; stage 2 handles only about 100,000 partial sums, so its cost is negligible; and the assertion proves the two-stage aggregation gives the same totals.</w:t>
      </w:r>
    </w:p>
    <w:p>
      <w:pPr>
        <w:pStyle w:val="BodyText"/>
      </w:pPr>
      <w:r>
        <w:rPr>
          <w:bCs/>
          <w:b/>
        </w:rPr>
        <w:t xml:space="preserve">Figure 29.10 — Two-stage aggregation with a salted hot key.</w:t>
      </w:r>
    </w:p>
    <w:p>
      <w:pPr>
        <w:pStyle w:val="BodyText"/>
      </w:pPr>
      <w:r>
        <w:drawing>
          <wp:inline>
            <wp:extent cx="5334000" cy="2067353"/>
            <wp:effectExtent b="0" l="0" r="0" t="0"/>
            <wp:docPr descr="" title="" id="3293" name="Picture"/>
            <a:graphic>
              <a:graphicData uri="http://schemas.openxmlformats.org/drawingml/2006/picture">
                <pic:pic>
                  <pic:nvPicPr>
                    <pic:cNvPr descr="/home/user/System-Design/build/.cache/diagrams/dd92e27ff1f5.png" id="3294" name="Picture"/>
                    <pic:cNvPicPr>
                      <a:picLocks noChangeArrowheads="1" noChangeAspect="1"/>
                    </pic:cNvPicPr>
                  </pic:nvPicPr>
                  <pic:blipFill>
                    <a:blip r:embed="rId3292"/>
                    <a:stretch>
                      <a:fillRect/>
                    </a:stretch>
                  </pic:blipFill>
                  <pic:spPr bwMode="auto">
                    <a:xfrm>
                      <a:off x="0" y="0"/>
                      <a:ext cx="5334000" cy="2067353"/>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first map step appends a salt (0–7) to the hot key only; the first shuffle spreads</w:t>
      </w:r>
      <w:r>
        <w:t xml:space="preserve"> </w:t>
      </w:r>
      <w:r>
        <w:rPr>
          <w:rStyle w:val="VerbatimChar"/>
        </w:rPr>
        <w:t xml:space="preserve">hot</w:t>
      </w:r>
      <w:r>
        <w:t xml:space="preserve"> </w:t>
      </w:r>
      <w:r>
        <w:t xml:space="preserve">over eight partitions, each computing a</w:t>
      </w:r>
      <w:r>
        <w:t xml:space="preserve"> </w:t>
      </w:r>
      <w:r>
        <w:rPr>
          <w:iCs/>
          <w:i/>
        </w:rPr>
        <w:t xml:space="preserve">partial sum</w:t>
      </w:r>
      <w:r>
        <w:t xml:space="preserve">, while other keys aggregate normally. The second shuffle carries at most eight rows per hot key, so it is tiny; the final stage removes the salt and adds the partial sums. Both shuffles are asynchronous all-to-all transfers. Failure point: salting a non-associative operation (a median) gives wrong answers. Scaling: choose</w:t>
      </w:r>
      <w:r>
        <w:t xml:space="preserve"> </w:t>
      </w:r>
      <m:oMath>
        <m:r>
          <m:t>s</m:t>
        </m:r>
      </m:oMath>
      <w:r>
        <w:t xml:space="preserve"> </w:t>
      </w:r>
      <w:r>
        <w:t xml:space="preserve">so each salted piece is near the average partition size.</w:t>
      </w:r>
    </w:p>
    <w:bookmarkEnd w:id="3295"/>
    <w:bookmarkEnd w:id="3296"/>
    <w:bookmarkStart w:id="3297" w:name="data-locality"/>
    <w:p>
      <w:pPr>
        <w:pStyle w:val="Heading2"/>
      </w:pPr>
      <w:r>
        <w:t xml:space="preserve">29.7 Data locality</w:t>
      </w:r>
    </w:p>
    <w:p>
      <w:pPr>
        <w:pStyle w:val="CalloutDefinition"/>
      </w:pPr>
      <w:r>
        <w:rPr>
          <w:bCs/>
          <w:b/>
        </w:rPr>
        <w:t xml:space="preserve">DEFINITION</w:t>
      </w:r>
    </w:p>
    <w:p>
      <w:pPr>
        <w:pStyle w:val="CalloutDefinition"/>
      </w:pPr>
      <w:r>
        <w:rPr>
          <w:bCs/>
          <w:b/>
        </w:rPr>
        <w:t xml:space="preserve">Definition — Data locality.</w:t>
      </w:r>
      <w:r>
        <w:t xml:space="preserve"> </w:t>
      </w:r>
      <w:r>
        <w:t xml:space="preserve">Scheduling a task on or near the node that stores its input, so that the input is read from local disk or memory instead of over the network. Schedulers rank placements as</w:t>
      </w:r>
      <w:r>
        <w:t xml:space="preserve"> </w:t>
      </w:r>
      <w:r>
        <w:rPr>
          <w:bCs/>
          <w:b/>
        </w:rPr>
        <w:t xml:space="preserve">process-local</w:t>
      </w:r>
      <w:r>
        <w:t xml:space="preserve"> </w:t>
      </w:r>
      <w:r>
        <w:t xml:space="preserve">(data cached in the same executor),</w:t>
      </w:r>
      <w:r>
        <w:t xml:space="preserve"> </w:t>
      </w:r>
      <w:r>
        <w:rPr>
          <w:bCs/>
          <w:b/>
        </w:rPr>
        <w:t xml:space="preserve">node-local</w:t>
      </w:r>
      <w:r>
        <w:t xml:space="preserve">,</w:t>
      </w:r>
      <w:r>
        <w:t xml:space="preserve"> </w:t>
      </w:r>
      <w:r>
        <w:rPr>
          <w:bCs/>
          <w:b/>
        </w:rPr>
        <w:t xml:space="preserve">rack-local</w:t>
      </w:r>
      <w:r>
        <w:t xml:space="preserve"> </w:t>
      </w:r>
      <w:r>
        <w:t xml:space="preserve">and</w:t>
      </w:r>
      <w:r>
        <w:t xml:space="preserve"> </w:t>
      </w:r>
      <w:r>
        <w:rPr>
          <w:bCs/>
          <w:b/>
        </w:rPr>
        <w:t xml:space="preserve">off-rack</w:t>
      </w:r>
      <w:r>
        <w:t xml:space="preserve"> </w:t>
      </w:r>
      <w:r>
        <w:t xml:space="preserve">(any).</w:t>
      </w:r>
    </w:p>
    <w:p>
      <w:pPr>
        <w:pStyle w:val="BodyText"/>
      </w:pPr>
      <w:r>
        <w:t xml:space="preserve">In 2004 the network was the scarcest resource: 1 Gb/s NICs behind oversubscribed rack uplinks, while local disks delivered a few hundred MB/s per node. Moving computation to data was essential: GFS and HDFS expose block locations (§15.5), the MapReduce coordinator tried node-local then rack-local placement, and most input in large jobs was read locally [Dean and Ghemawat 2004]. Spark waits briefly for a better locality level before accepting a worse one (</w:t>
      </w:r>
      <w:r>
        <w:rPr>
          <w:rStyle w:val="VerbatimChar"/>
        </w:rPr>
        <w:t xml:space="preserve">spark.locality.wait</w:t>
      </w:r>
      <w:r>
        <w:t xml:space="preserve">, 3 s by default), a technique called</w:t>
      </w:r>
      <w:r>
        <w:t xml:space="preserve"> </w:t>
      </w:r>
      <w:r>
        <w:rPr>
          <w:bCs/>
          <w:b/>
        </w:rPr>
        <w:t xml:space="preserve">delay scheduling</w:t>
      </w:r>
      <w:r>
        <w:t xml:space="preserve"> </w:t>
      </w:r>
      <w:r>
        <w:t xml:space="preserve">[Zaharia et al. 2010].</w:t>
      </w:r>
    </w:p>
    <w:p>
      <w:pPr>
        <w:pStyle w:val="BodyText"/>
      </w:pPr>
      <w:r>
        <w:t xml:space="preserve">Two changes reduced locality’s importance. Networks moved to 25–100 Gb/s NICs and fabrics with low oversubscription (§7.17), so remote reads approach local NVMe speed. And cloud deployments</w:t>
      </w:r>
      <w:r>
        <w:t xml:space="preserve"> </w:t>
      </w:r>
      <w:r>
        <w:rPr>
          <w:bCs/>
          <w:b/>
        </w:rPr>
        <w:t xml:space="preserve">disaggregated storage from compute</w:t>
      </w:r>
      <w:r>
        <w:t xml:space="preserve">: data lives in object stores (§15.4) or shared file systems such as Colossus or Tectonic (§15.5.3), while stateless compute clusters scale independently, even to zero. Parquet decoding often becomes the bottleneck before the network does.</w:t>
      </w:r>
    </w:p>
    <w:p>
      <w:pPr>
        <w:pStyle w:val="CalloutExample"/>
      </w:pPr>
      <w:r>
        <w:rPr>
          <w:bCs/>
          <w:b/>
        </w:rPr>
        <w:t xml:space="preserve">WORKED EXAMPLE</w:t>
      </w:r>
    </w:p>
    <w:p>
      <w:pPr>
        <w:pStyle w:val="CalloutExample"/>
      </w:pPr>
      <w:r>
        <w:rPr>
          <w:bCs/>
          <w:b/>
        </w:rPr>
        <w:t xml:space="preserve">Worked example — How much locality is worth, then and now.</w:t>
      </w:r>
      <w:r>
        <w:t xml:space="preserve"> </w:t>
      </w:r>
      <w:r>
        <w:t xml:space="preserve">Each node must read 100 GB of input.</w:t>
      </w:r>
    </w:p>
    <w:p>
      <w:pPr>
        <w:numPr>
          <w:ilvl w:val="0"/>
          <w:numId w:val="1956"/>
        </w:numPr>
        <w:pStyle w:val="Compact"/>
      </w:pPr>
      <w:r>
        <w:t xml:space="preserve">2004-style node: local disks 200 MB/s, effective remote rate about 25 MB/s (125 MB/s NIC behind 5:1 rack oversubscription). Fully local:</w:t>
      </w:r>
      <w:r>
        <w:t xml:space="preserve"> </w:t>
      </w:r>
      <m:oMath>
        <m:r>
          <m:t>100</m:t>
        </m:r>
        <m:r>
          <m:rPr>
            <m:sty m:val="p"/>
          </m:rPr>
          <m:t>,</m:t>
        </m:r>
        <m:r>
          <m:t>000</m:t>
        </m:r>
        <m:r>
          <m:rPr>
            <m:sty m:val="p"/>
          </m:rPr>
          <m:t>/</m:t>
        </m:r>
        <m:r>
          <m:t>200</m:t>
        </m:r>
        <m:r>
          <m:rPr>
            <m:sty m:val="p"/>
          </m:rPr>
          <m:t>=</m:t>
        </m:r>
        <m:r>
          <m:t>500</m:t>
        </m:r>
      </m:oMath>
      <w:r>
        <w:t xml:space="preserve"> </w:t>
      </w:r>
      <w:r>
        <w:t xml:space="preserve">s. Fully remote:</w:t>
      </w:r>
      <w:r>
        <w:t xml:space="preserve"> </w:t>
      </w:r>
      <m:oMath>
        <m:r>
          <m:t>100</m:t>
        </m:r>
        <m:r>
          <m:rPr>
            <m:sty m:val="p"/>
          </m:rPr>
          <m:t>,</m:t>
        </m:r>
        <m:r>
          <m:t>000</m:t>
        </m:r>
        <m:r>
          <m:rPr>
            <m:sty m:val="p"/>
          </m:rPr>
          <m:t>/</m:t>
        </m:r>
        <m:r>
          <m:t>25</m:t>
        </m:r>
        <m:r>
          <m:rPr>
            <m:sty m:val="p"/>
          </m:rPr>
          <m:t>=</m:t>
        </m:r>
        <m:r>
          <m:t>4</m:t>
        </m:r>
        <m:r>
          <m:rPr>
            <m:sty m:val="p"/>
          </m:rPr>
          <m:t>,</m:t>
        </m:r>
        <m:r>
          <m:t>000</m:t>
        </m:r>
      </m:oMath>
      <w:r>
        <w:t xml:space="preserve"> </w:t>
      </w:r>
      <w:r>
        <w:t xml:space="preserve">s, 8× slower.</w:t>
      </w:r>
    </w:p>
    <w:p>
      <w:pPr>
        <w:numPr>
          <w:ilvl w:val="0"/>
          <w:numId w:val="1956"/>
        </w:numPr>
        <w:pStyle w:val="Compact"/>
      </w:pPr>
      <w:r>
        <w:t xml:space="preserve">2026-style node: local NVMe 6 GB/s; 100 Gb/s NIC delivering about 3 GB/s from an object store with parallel range reads. Local:</w:t>
      </w:r>
      <w:r>
        <w:t xml:space="preserve"> </w:t>
      </w:r>
      <m:oMath>
        <m:r>
          <m:t>100</m:t>
        </m:r>
        <m:r>
          <m:rPr>
            <m:sty m:val="p"/>
          </m:rPr>
          <m:t>/</m:t>
        </m:r>
        <m:r>
          <m:t>6</m:t>
        </m:r>
        <m:r>
          <m:rPr>
            <m:sty m:val="p"/>
          </m:rPr>
          <m:t>=</m:t>
        </m:r>
        <m:r>
          <m:t>17</m:t>
        </m:r>
      </m:oMath>
      <w:r>
        <w:t xml:space="preserve"> </w:t>
      </w:r>
      <w:r>
        <w:t xml:space="preserve">s; remote:</w:t>
      </w:r>
      <w:r>
        <w:t xml:space="preserve"> </w:t>
      </w:r>
      <m:oMath>
        <m:r>
          <m:t>100</m:t>
        </m:r>
        <m:r>
          <m:rPr>
            <m:sty m:val="p"/>
          </m:rPr>
          <m:t>/</m:t>
        </m:r>
        <m:r>
          <m:t>3</m:t>
        </m:r>
        <m:r>
          <m:rPr>
            <m:sty m:val="p"/>
          </m:rPr>
          <m:t>=</m:t>
        </m:r>
        <m:r>
          <m:t>33</m:t>
        </m:r>
      </m:oMath>
      <w:r>
        <w:t xml:space="preserve"> </w:t>
      </w:r>
      <w:r>
        <w:t xml:space="preserve">s, 2× slower, before columnar pruning, which applies equally to both.</w:t>
      </w:r>
    </w:p>
    <w:p>
      <w:pPr>
        <w:pStyle w:val="CalloutExample"/>
      </w:pPr>
      <w:r>
        <w:rPr>
          <w:bCs/>
          <w:b/>
        </w:rPr>
        <w:t xml:space="preserve">Interpretation.</w:t>
      </w:r>
      <w:r>
        <w:t xml:space="preserve"> </w:t>
      </w:r>
      <w:r>
        <w:t xml:space="preserve">Locality shrank from an 8× factor to 2×, which elasticity usually outweighs.</w:t>
      </w:r>
      <w:r>
        <w:t xml:space="preserve"> </w:t>
      </w:r>
      <w:r>
        <w:rPr>
          <w:bCs/>
          <w:b/>
        </w:rPr>
        <w:t xml:space="preserve">Engineering implication.</w:t>
      </w:r>
      <w:r>
        <w:t xml:space="preserve"> </w:t>
      </w:r>
      <w:r>
        <w:t xml:space="preserve">Keep columnar tables in object storage, cache hot data on local SSDs, and tune shuffle and skew instead; the shuffle remains node-to-node.</w:t>
      </w:r>
    </w:p>
    <w:p>
      <w:pPr>
        <w:pStyle w:val="BodyText"/>
      </w:pPr>
      <w:r>
        <w:t xml:space="preserve">Object stores bring their own limits: per-prefix request rates (Amazon S3 documents at least 3,500 writes and 5,500 reads per second per prefix, as of 2026), slow listing, and rename-as-copy. Table formats such as Apache Iceberg, Delta Lake and Apache Hudi therefore track files in metadata and commit by swapping a metadata pointer (Chapter 61).</w:t>
      </w:r>
    </w:p>
    <w:bookmarkEnd w:id="3297"/>
    <w:bookmarkStart w:id="3312" w:name="stream-processing-concepts"/>
    <w:p>
      <w:pPr>
        <w:pStyle w:val="Heading2"/>
      </w:pPr>
      <w:r>
        <w:t xml:space="preserve">29.8 Stream processing concepts</w:t>
      </w:r>
    </w:p>
    <w:bookmarkStart w:id="3300" w:name="X4e13dc3ee40fcc95410b5a7c7ba8528b8ba2720"/>
    <w:p>
      <w:pPr>
        <w:pStyle w:val="Heading3"/>
      </w:pPr>
      <w:r>
        <w:t xml:space="preserve">29.8.1 Unbounded data, event time and processing time</w:t>
      </w:r>
    </w:p>
    <w:p>
      <w:pPr>
        <w:pStyle w:val="CalloutDefinition"/>
      </w:pPr>
      <w:r>
        <w:rPr>
          <w:bCs/>
          <w:b/>
        </w:rPr>
        <w:t xml:space="preserve">DEFINITION</w:t>
      </w:r>
    </w:p>
    <w:p>
      <w:pPr>
        <w:pStyle w:val="CalloutDefinition"/>
      </w:pPr>
      <w:r>
        <w:rPr>
          <w:bCs/>
          <w:b/>
        </w:rPr>
        <w:t xml:space="preserve">Definition — Stream processing, event time and processing time.</w:t>
      </w:r>
      <w:r>
        <w:t xml:space="preserve"> </w:t>
      </w:r>
      <w:r>
        <w:rPr>
          <w:bCs/>
          <w:b/>
        </w:rPr>
        <w:t xml:space="preserve">Stream processing</w:t>
      </w:r>
      <w:r>
        <w:t xml:space="preserve"> </w:t>
      </w:r>
      <w:r>
        <w:t xml:space="preserve">runs a long-lived computation over an</w:t>
      </w:r>
      <w:r>
        <w:t xml:space="preserve"> </w:t>
      </w:r>
      <w:r>
        <w:rPr>
          <w:bCs/>
          <w:b/>
        </w:rPr>
        <w:t xml:space="preserve">unbounded</w:t>
      </w:r>
      <w:r>
        <w:t xml:space="preserve"> </w:t>
      </w:r>
      <w:r>
        <w:t xml:space="preserve">dataset, one that grows forever, producing results incrementally. Each record has an</w:t>
      </w:r>
      <w:r>
        <w:t xml:space="preserve"> </w:t>
      </w:r>
      <w:r>
        <w:rPr>
          <w:bCs/>
          <w:b/>
        </w:rPr>
        <w:t xml:space="preserve">event time</w:t>
      </w:r>
      <w:r>
        <w:t xml:space="preserve">, when the event actually happened (stamped by the device or service that produced it), and a</w:t>
      </w:r>
      <w:r>
        <w:t xml:space="preserve"> </w:t>
      </w:r>
      <w:r>
        <w:rPr>
          <w:bCs/>
          <w:b/>
        </w:rPr>
        <w:t xml:space="preserve">processing time</w:t>
      </w:r>
      <w:r>
        <w:t xml:space="preserve">, when the system observes it. The difference is the record’s</w:t>
      </w:r>
      <w:r>
        <w:t xml:space="preserve"> </w:t>
      </w:r>
      <w:r>
        <w:rPr>
          <w:bCs/>
          <w:b/>
        </w:rPr>
        <w:t xml:space="preserve">event-time skew</w:t>
      </w:r>
      <w:r>
        <w:t xml:space="preserve">, which is variable and unbounded in the worst case.</w:t>
      </w:r>
    </w:p>
    <w:bookmarkStart w:id="3298" w:name="first-principles-explanation-158"/>
    <w:p>
      <w:pPr>
        <w:pStyle w:val="Heading4"/>
      </w:pPr>
      <w:r>
        <w:t xml:space="preserve">First-principles explanation</w:t>
      </w:r>
    </w:p>
    <w:p>
      <w:pPr>
        <w:pStyle w:val="FirstParagraph"/>
      </w:pPr>
      <w:r>
        <w:t xml:space="preserve">Picture postcards from a group holiday. Each card shows the date it was written (event time), but they arrive in your mailbox days apart and out of order (processing time); one is stuck in a mailbag for a month. If you want</w:t>
      </w:r>
      <w:r>
        <w:t xml:space="preserve"> </w:t>
      </w:r>
      <w:r>
        <w:t xml:space="preserve">“</w:t>
      </w:r>
      <w:r>
        <w:t xml:space="preserve">how many cards were written on Tuesday</w:t>
      </w:r>
      <w:r>
        <w:t xml:space="preserve">”</w:t>
      </w:r>
      <w:r>
        <w:t xml:space="preserve">, you cannot answer when the first Wednesday card arrives; you have to decide how long to wait for stragglers, and what to do if a Tuesday card turns up after you announced the answer. Every streaming system makes exactly those two decisions.</w:t>
      </w:r>
    </w:p>
    <w:bookmarkEnd w:id="3298"/>
    <w:bookmarkStart w:id="3299" w:name="why-does-this-exist-103"/>
    <w:p>
      <w:pPr>
        <w:pStyle w:val="Heading4"/>
      </w:pPr>
      <w:r>
        <w:t xml:space="preserve">Why does this exist?</w:t>
      </w:r>
    </w:p>
    <w:p>
      <w:pPr>
        <w:pStyle w:val="FirstParagraph"/>
      </w:pPr>
      <w:r>
        <w:t xml:space="preserve">Fraud scores, live dashboards and ML features over the last five minutes (Chapter 62) need answers continuously, and rerunning batch jobs every few minutes is wasteful. Grouping by processing time is easy but wrong: a phone that reconnects after a flight delivers yesterday’s events today, and a consumer that restarts reprocesses old events in a burst, so processing-time counts change with operational accidents. Correct results require grouping by</w:t>
      </w:r>
      <w:r>
        <w:t xml:space="preserve"> </w:t>
      </w:r>
      <w:r>
        <w:rPr>
          <w:bCs/>
          <w:b/>
        </w:rPr>
        <w:t xml:space="preserve">event time</w:t>
      </w:r>
      <w:r>
        <w:t xml:space="preserve"> </w:t>
      </w:r>
      <w:r>
        <w:t xml:space="preserve">while data arrives out of order.</w:t>
      </w:r>
    </w:p>
    <w:bookmarkEnd w:id="3299"/>
    <w:bookmarkEnd w:id="3300"/>
    <w:bookmarkStart w:id="3304" w:name="windows"/>
    <w:p>
      <w:pPr>
        <w:pStyle w:val="Heading3"/>
      </w:pPr>
      <w:r>
        <w:t xml:space="preserve">29.8.2 Windows</w:t>
      </w:r>
    </w:p>
    <w:p>
      <w:pPr>
        <w:pStyle w:val="FirstParagraph"/>
      </w:pPr>
      <w:r>
        <w:t xml:space="preserve">A</w:t>
      </w:r>
      <w:r>
        <w:t xml:space="preserve"> </w:t>
      </w:r>
      <w:r>
        <w:rPr>
          <w:bCs/>
          <w:b/>
        </w:rPr>
        <w:t xml:space="preserve">window</w:t>
      </w:r>
      <w:r>
        <w:t xml:space="preserve"> </w:t>
      </w:r>
      <w:r>
        <w:t xml:space="preserve">cuts an unbounded stream into finite chunks of event time so that aggregates can be computed and emitted.</w:t>
      </w:r>
    </w:p>
    <w:p>
      <w:pPr>
        <w:numPr>
          <w:ilvl w:val="0"/>
          <w:numId w:val="1957"/>
        </w:numPr>
        <w:pStyle w:val="Compact"/>
      </w:pPr>
      <w:r>
        <w:rPr>
          <w:bCs/>
          <w:b/>
        </w:rPr>
        <w:t xml:space="preserve">Tumbling (fixed) windows</w:t>
      </w:r>
      <w:r>
        <w:t xml:space="preserve"> </w:t>
      </w:r>
      <w:r>
        <w:t xml:space="preserve">have size</w:t>
      </w:r>
      <w:r>
        <w:t xml:space="preserve"> </w:t>
      </w:r>
      <m:oMath>
        <m:r>
          <m:t>W</m:t>
        </m:r>
      </m:oMath>
      <w:r>
        <w:t xml:space="preserve"> </w:t>
      </w:r>
      <w:r>
        <w:t xml:space="preserve">and do not overlap: [12:00, 12:01), [12:01, 12:02). Each event belongs to exactly one.</w:t>
      </w:r>
    </w:p>
    <w:p>
      <w:pPr>
        <w:numPr>
          <w:ilvl w:val="0"/>
          <w:numId w:val="1957"/>
        </w:numPr>
        <w:pStyle w:val="Compact"/>
      </w:pPr>
      <w:r>
        <w:rPr>
          <w:bCs/>
          <w:b/>
        </w:rPr>
        <w:t xml:space="preserve">Sliding (hopping) windows</w:t>
      </w:r>
      <w:r>
        <w:t xml:space="preserve"> </w:t>
      </w:r>
      <w:r>
        <w:t xml:space="preserve">have size</w:t>
      </w:r>
      <w:r>
        <w:t xml:space="preserve"> </w:t>
      </w:r>
      <m:oMath>
        <m:r>
          <m:t>W</m:t>
        </m:r>
      </m:oMath>
      <w:r>
        <w:t xml:space="preserve"> </w:t>
      </w:r>
      <w:r>
        <w:t xml:space="preserve">and slide</w:t>
      </w:r>
      <w:r>
        <w:t xml:space="preserve"> </w:t>
      </w:r>
      <m:oMath>
        <m:r>
          <m:t>S</m:t>
        </m:r>
        <m:r>
          <m:rPr>
            <m:sty m:val="p"/>
          </m:rPr>
          <m:t>&lt;</m:t>
        </m:r>
        <m:r>
          <m:t>W</m:t>
        </m:r>
      </m:oMath>
      <w:r>
        <w:t xml:space="preserve">, so they overlap and each event belongs to</w:t>
      </w:r>
      <w:r>
        <w:t xml:space="preserve"> </w:t>
      </w:r>
      <m:oMath>
        <m:r>
          <m:t>W</m:t>
        </m:r>
        <m:r>
          <m:rPr>
            <m:sty m:val="p"/>
          </m:rPr>
          <m:t>/</m:t>
        </m:r>
        <m:r>
          <m:t>S</m:t>
        </m:r>
      </m:oMath>
      <w:r>
        <w:t xml:space="preserve"> </w:t>
      </w:r>
      <w:r>
        <w:t xml:space="preserve">windows (</w:t>
      </w:r>
      <w:r>
        <w:t xml:space="preserve">“</w:t>
      </w:r>
      <w:r>
        <w:t xml:space="preserve">last 10 minutes, updated every minute</w:t>
      </w:r>
      <w:r>
        <w:t xml:space="preserve">”</w:t>
      </w:r>
      <w:r>
        <w:t xml:space="preserve"> </w:t>
      </w:r>
      <w:r>
        <w:t xml:space="preserve">puts each event in 10 windows, multiplying state and output).</w:t>
      </w:r>
    </w:p>
    <w:p>
      <w:pPr>
        <w:numPr>
          <w:ilvl w:val="0"/>
          <w:numId w:val="1957"/>
        </w:numPr>
        <w:pStyle w:val="Compact"/>
      </w:pPr>
      <w:r>
        <w:rPr>
          <w:bCs/>
          <w:b/>
        </w:rPr>
        <w:t xml:space="preserve">Session windows</w:t>
      </w:r>
      <w:r>
        <w:t xml:space="preserve"> </w:t>
      </w:r>
      <w:r>
        <w:t xml:space="preserve">are per key and data-driven: a session continues while events arrive within a</w:t>
      </w:r>
      <w:r>
        <w:t xml:space="preserve"> </w:t>
      </w:r>
      <w:r>
        <w:rPr>
          <w:bCs/>
          <w:b/>
        </w:rPr>
        <w:t xml:space="preserve">gap</w:t>
      </w:r>
      <w:r>
        <w:t xml:space="preserve"> </w:t>
      </w:r>
      <m:oMath>
        <m:r>
          <m:t>g</m:t>
        </m:r>
      </m:oMath>
      <w:r>
        <w:t xml:space="preserve"> </w:t>
      </w:r>
      <w:r>
        <w:t xml:space="preserve">of each other and closes after</w:t>
      </w:r>
      <w:r>
        <w:t xml:space="preserve"> </w:t>
      </w:r>
      <m:oMath>
        <m:r>
          <m:t>g</m:t>
        </m:r>
      </m:oMath>
      <w:r>
        <w:t xml:space="preserve"> </w:t>
      </w:r>
      <w:r>
        <w:t xml:space="preserve">of inactivity. Windows are merged when a new event bridges two of them.</w:t>
      </w:r>
    </w:p>
    <w:p>
      <w:pPr>
        <w:pStyle w:val="FirstParagraph"/>
      </w:pPr>
      <w:r>
        <w:rPr>
          <w:bCs/>
          <w:b/>
        </w:rPr>
        <w:t xml:space="preserve">Figure 29.11 — Tumbling, sliding and session windows over the same events.</w:t>
      </w:r>
    </w:p>
    <w:p>
      <w:pPr>
        <w:pStyle w:val="BodyText"/>
      </w:pPr>
      <w:r>
        <w:drawing>
          <wp:inline>
            <wp:extent cx="5334000" cy="1203960"/>
            <wp:effectExtent b="0" l="0" r="0" t="0"/>
            <wp:docPr descr="" title="" id="3302" name="Picture"/>
            <a:graphic>
              <a:graphicData uri="http://schemas.openxmlformats.org/drawingml/2006/picture">
                <pic:pic>
                  <pic:nvPicPr>
                    <pic:cNvPr descr="/home/user/System-Design/build/.cache/diagrams/e2fb2af19833.png" id="3303" name="Picture"/>
                    <pic:cNvPicPr>
                      <a:picLocks noChangeArrowheads="1" noChangeAspect="1"/>
                    </pic:cNvPicPr>
                  </pic:nvPicPr>
                  <pic:blipFill>
                    <a:blip r:embed="rId3301"/>
                    <a:stretch>
                      <a:fillRect/>
                    </a:stretch>
                  </pic:blipFill>
                  <pic:spPr bwMode="auto">
                    <a:xfrm>
                      <a:off x="0" y="0"/>
                      <a:ext cx="5334000" cy="1203960"/>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horizontal axis is event time in minutes.</w:t>
      </w:r>
      <w:r>
        <w:t xml:space="preserve"> </w:t>
      </w:r>
      <w:r>
        <w:rPr>
          <w:iCs/>
          <w:i/>
        </w:rPr>
        <w:t xml:space="preserve">Tumbling</w:t>
      </w:r>
      <w:r>
        <w:t xml:space="preserve"> </w:t>
      </w:r>
      <w:r>
        <w:t xml:space="preserve">windows tile the axis without overlap.</w:t>
      </w:r>
      <w:r>
        <w:t xml:space="preserve"> </w:t>
      </w:r>
      <w:r>
        <w:rPr>
          <w:iCs/>
          <w:i/>
        </w:rPr>
        <w:t xml:space="preserve">Sliding</w:t>
      </w:r>
      <w:r>
        <w:t xml:space="preserve"> </w:t>
      </w:r>
      <w:r>
        <w:t xml:space="preserve">windows of two minutes start every minute, so any instant is covered by two windows.</w:t>
      </w:r>
      <w:r>
        <w:t xml:space="preserve"> </w:t>
      </w:r>
      <w:r>
        <w:rPr>
          <w:iCs/>
          <w:i/>
        </w:rPr>
        <w:t xml:space="preserve">Session</w:t>
      </w:r>
      <w:r>
        <w:t xml:space="preserve"> </w:t>
      </w:r>
      <w:r>
        <w:t xml:space="preserve">windows belong to one key (user A): events from minute 0 to minute 3 arrived less than a minute apart and form one session, then a gap of over a minute closes it, and a new session starts at minute 5. The engine keeps state per key per open window, so sliding windows multiply state by</w:t>
      </w:r>
      <w:r>
        <w:t xml:space="preserve"> </w:t>
      </w:r>
      <m:oMath>
        <m:r>
          <m:t>W</m:t>
        </m:r>
        <m:r>
          <m:rPr>
            <m:sty m:val="p"/>
          </m:rPr>
          <m:t>/</m:t>
        </m:r>
        <m:r>
          <m:t>S</m:t>
        </m:r>
      </m:oMath>
      <w:r>
        <w:t xml:space="preserve">. Failure point: a bot sending every 30 s keeps a session open forever unless capped.</w:t>
      </w:r>
    </w:p>
    <w:bookmarkEnd w:id="3304"/>
    <w:bookmarkStart w:id="3310" w:name="X0774e6f866154cb2f6f2a72e1a0280ee514d69b"/>
    <w:p>
      <w:pPr>
        <w:pStyle w:val="Heading3"/>
      </w:pPr>
      <w:r>
        <w:t xml:space="preserve">29.8.3 Watermarks, triggers, late data and accumulation</w:t>
      </w:r>
    </w:p>
    <w:p>
      <w:pPr>
        <w:pStyle w:val="CalloutDefinition"/>
      </w:pPr>
      <w:r>
        <w:rPr>
          <w:bCs/>
          <w:b/>
        </w:rPr>
        <w:t xml:space="preserve">DEFINITION</w:t>
      </w:r>
    </w:p>
    <w:p>
      <w:pPr>
        <w:pStyle w:val="CalloutDefinition"/>
      </w:pPr>
      <w:r>
        <w:rPr>
          <w:bCs/>
          <w:b/>
        </w:rPr>
        <w:t xml:space="preserve">Definition — Watermark.</w:t>
      </w:r>
      <w:r>
        <w:t xml:space="preserve"> </w:t>
      </w:r>
      <w:r>
        <w:t xml:space="preserve">A watermark with value</w:t>
      </w:r>
      <w:r>
        <w:t xml:space="preserve"> </w:t>
      </w:r>
      <m:oMath>
        <m:r>
          <m:t>t</m:t>
        </m:r>
      </m:oMath>
      <w:r>
        <w:t xml:space="preserve"> </w:t>
      </w:r>
      <w:r>
        <w:t xml:space="preserve">is a statement flowing through the stream:</w:t>
      </w:r>
      <w:r>
        <w:t xml:space="preserve"> </w:t>
      </w:r>
      <w:r>
        <w:t xml:space="preserve">“</w:t>
      </w:r>
      <w:r>
        <w:t xml:space="preserve">no more events with event time</w:t>
      </w:r>
      <w:r>
        <w:t xml:space="preserve"> </w:t>
      </w:r>
      <m:oMath>
        <m:r>
          <m:rPr>
            <m:sty m:val="p"/>
          </m:rPr>
          <m:t>≤</m:t>
        </m:r>
        <m:r>
          <m:t>t</m:t>
        </m:r>
      </m:oMath>
      <w:r>
        <w:t xml:space="preserve"> </w:t>
      </w:r>
      <w:r>
        <w:t xml:space="preserve">are expected.</w:t>
      </w:r>
      <w:r>
        <w:t xml:space="preserve">”</w:t>
      </w:r>
      <w:r>
        <w:t xml:space="preserve"> </w:t>
      </w:r>
      <w:r>
        <w:t xml:space="preserve">It lets event-time operators decide that a window is complete. A</w:t>
      </w:r>
      <w:r>
        <w:t xml:space="preserve"> </w:t>
      </w:r>
      <w:r>
        <w:rPr>
          <w:bCs/>
          <w:b/>
        </w:rPr>
        <w:t xml:space="preserve">perfect</w:t>
      </w:r>
      <w:r>
        <w:t xml:space="preserve"> </w:t>
      </w:r>
      <w:r>
        <w:t xml:space="preserve">watermark is possible only with full knowledge of the sources; real systems use</w:t>
      </w:r>
      <w:r>
        <w:t xml:space="preserve"> </w:t>
      </w:r>
      <w:r>
        <w:rPr>
          <w:bCs/>
          <w:b/>
        </w:rPr>
        <w:t xml:space="preserve">heuristic</w:t>
      </w:r>
      <w:r>
        <w:t xml:space="preserve"> </w:t>
      </w:r>
      <w:r>
        <w:t xml:space="preserve">watermarks, such as the maximum event time seen minus a bound</w:t>
      </w:r>
      <w:r>
        <w:t xml:space="preserve"> </w:t>
      </w:r>
      <m:oMath>
        <m:r>
          <m:t>δ</m:t>
        </m:r>
      </m:oMath>
      <w:r>
        <w:t xml:space="preserve"> </w:t>
      </w:r>
      <w:r>
        <w:t xml:space="preserve">on out-of-orderness, which can be wrong. Events that arrive with event time behind the watermark are</w:t>
      </w:r>
      <w:r>
        <w:t xml:space="preserve"> </w:t>
      </w:r>
      <w:r>
        <w:rPr>
          <w:bCs/>
          <w:b/>
        </w:rPr>
        <w:t xml:space="preserve">late data</w:t>
      </w:r>
      <w:r>
        <w:t xml:space="preserve">.</w:t>
      </w:r>
    </w:p>
    <w:p>
      <w:pPr>
        <w:pStyle w:val="BodyText"/>
      </w:pPr>
      <w:r>
        <w:t xml:space="preserve">The Dataflow Model, published by Google and the basis of Google Cloud Dataflow and Apache Beam, separates four questions [Akidau et al. 2015]:</w:t>
      </w:r>
    </w:p>
    <w:p>
      <w:pPr>
        <w:numPr>
          <w:ilvl w:val="0"/>
          <w:numId w:val="1958"/>
        </w:numPr>
        <w:pStyle w:val="Compact"/>
      </w:pPr>
      <w:r>
        <w:rPr>
          <w:bCs/>
          <w:b/>
        </w:rPr>
        <w:t xml:space="preserve">What</w:t>
      </w:r>
      <w:r>
        <w:t xml:space="preserve"> </w:t>
      </w:r>
      <w:r>
        <w:t xml:space="preserve">results are computed? The transformation: sums, joins, model features.</w:t>
      </w:r>
    </w:p>
    <w:p>
      <w:pPr>
        <w:numPr>
          <w:ilvl w:val="0"/>
          <w:numId w:val="1958"/>
        </w:numPr>
        <w:pStyle w:val="Compact"/>
      </w:pPr>
      <w:r>
        <w:rPr>
          <w:bCs/>
          <w:b/>
        </w:rPr>
        <w:t xml:space="preserve">Where</w:t>
      </w:r>
      <w:r>
        <w:t xml:space="preserve"> </w:t>
      </w:r>
      <w:r>
        <w:t xml:space="preserve">in event time are they grouped? The windowing.</w:t>
      </w:r>
    </w:p>
    <w:p>
      <w:pPr>
        <w:numPr>
          <w:ilvl w:val="0"/>
          <w:numId w:val="1958"/>
        </w:numPr>
        <w:pStyle w:val="Compact"/>
      </w:pPr>
      <w:r>
        <w:rPr>
          <w:bCs/>
          <w:b/>
        </w:rPr>
        <w:t xml:space="preserve">When</w:t>
      </w:r>
      <w:r>
        <w:t xml:space="preserve"> </w:t>
      </w:r>
      <w:r>
        <w:t xml:space="preserve">in processing time are results emitted?</w:t>
      </w:r>
      <w:r>
        <w:t xml:space="preserve"> </w:t>
      </w:r>
      <w:r>
        <w:rPr>
          <w:bCs/>
          <w:b/>
        </w:rPr>
        <w:t xml:space="preserve">Triggers</w:t>
      </w:r>
      <w:r>
        <w:t xml:space="preserve">: at the watermark (the on-time result), optionally early (speculative results every minute before the watermark) and late (an update for each late event).</w:t>
      </w:r>
    </w:p>
    <w:p>
      <w:pPr>
        <w:numPr>
          <w:ilvl w:val="0"/>
          <w:numId w:val="1958"/>
        </w:numPr>
        <w:pStyle w:val="Compact"/>
      </w:pPr>
      <w:r>
        <w:rPr>
          <w:bCs/>
          <w:b/>
        </w:rPr>
        <w:t xml:space="preserve">How</w:t>
      </w:r>
      <w:r>
        <w:t xml:space="preserve"> </w:t>
      </w:r>
      <w:r>
        <w:t xml:space="preserve">do successive results for one window relate?</w:t>
      </w:r>
      <w:r>
        <w:t xml:space="preserve"> </w:t>
      </w:r>
      <w:r>
        <w:rPr>
          <w:bCs/>
          <w:b/>
        </w:rPr>
        <w:t xml:space="preserve">Accumulation mode</w:t>
      </w:r>
      <w:r>
        <w:t xml:space="preserve">:</w:t>
      </w:r>
      <w:r>
        <w:t xml:space="preserve"> </w:t>
      </w:r>
      <w:r>
        <w:rPr>
          <w:iCs/>
          <w:i/>
        </w:rPr>
        <w:t xml:space="preserve">discarding</w:t>
      </w:r>
      <w:r>
        <w:t xml:space="preserve"> </w:t>
      </w:r>
      <w:r>
        <w:t xml:space="preserve">(only new data),</w:t>
      </w:r>
      <w:r>
        <w:t xml:space="preserve"> </w:t>
      </w:r>
      <w:r>
        <w:rPr>
          <w:iCs/>
          <w:i/>
        </w:rPr>
        <w:t xml:space="preserve">accumulating</w:t>
      </w:r>
      <w:r>
        <w:t xml:space="preserve"> </w:t>
      </w:r>
      <w:r>
        <w:t xml:space="preserve">(the full total so far) or</w:t>
      </w:r>
      <w:r>
        <w:t xml:space="preserve"> </w:t>
      </w:r>
      <w:r>
        <w:rPr>
          <w:iCs/>
          <w:i/>
        </w:rPr>
        <w:t xml:space="preserve">accumulating and retracting</w:t>
      </w:r>
      <w:r>
        <w:t xml:space="preserve"> </w:t>
      </w:r>
      <w:r>
        <w:t xml:space="preserve">(also withdrawing the previous value).</w:t>
      </w:r>
    </w:p>
    <w:p>
      <w:pPr>
        <w:pStyle w:val="FirstParagraph"/>
      </w:pPr>
      <w:r>
        <w:rPr>
          <w:bCs/>
          <w:b/>
        </w:rPr>
        <w:t xml:space="preserve">Allowed lateness</w:t>
      </w:r>
      <w:r>
        <w:t xml:space="preserve"> </w:t>
      </w:r>
      <w:r>
        <w:t xml:space="preserve">bounds how long a window’s state is kept after the watermark passes its end. Late events within it update the result; events beyond it are dropped or sent to a</w:t>
      </w:r>
      <w:r>
        <w:t xml:space="preserve"> </w:t>
      </w:r>
      <w:r>
        <w:rPr>
          <w:bCs/>
          <w:b/>
        </w:rPr>
        <w:t xml:space="preserve">side output</w:t>
      </w:r>
      <w:r>
        <w:t xml:space="preserve"> </w:t>
      </w:r>
      <w:r>
        <w:t xml:space="preserve">for separate handling. Without such a bound, state for every window ever opened would be kept forever.</w:t>
      </w:r>
    </w:p>
    <w:p>
      <w:pPr>
        <w:pStyle w:val="BodyText"/>
      </w:pPr>
      <w:r>
        <w:rPr>
          <w:bCs/>
          <w:b/>
        </w:rPr>
        <w:t xml:space="preserve">Figure 29.12 — A 10 s window with a watermark, a late update and a dropped event.</w:t>
      </w:r>
    </w:p>
    <w:p>
      <w:pPr>
        <w:pStyle w:val="BodyText"/>
      </w:pPr>
      <w:r>
        <w:drawing>
          <wp:inline>
            <wp:extent cx="5334000" cy="3945617"/>
            <wp:effectExtent b="0" l="0" r="0" t="0"/>
            <wp:docPr descr="" title="" id="3306" name="Picture"/>
            <a:graphic>
              <a:graphicData uri="http://schemas.openxmlformats.org/drawingml/2006/picture">
                <pic:pic>
                  <pic:nvPicPr>
                    <pic:cNvPr descr="/home/user/System-Design/build/.cache/diagrams/3ad2895f2d71.png" id="3307" name="Picture"/>
                    <pic:cNvPicPr>
                      <a:picLocks noChangeArrowheads="1" noChangeAspect="1"/>
                    </pic:cNvPicPr>
                  </pic:nvPicPr>
                  <pic:blipFill>
                    <a:blip r:embed="rId3305"/>
                    <a:stretch>
                      <a:fillRect/>
                    </a:stretch>
                  </pic:blipFill>
                  <pic:spPr bwMode="auto">
                    <a:xfrm>
                      <a:off x="0" y="0"/>
                      <a:ext cx="5334000" cy="3945617"/>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This is the scenario tested by the simulator below: 10 s tumbling windows, watermark = maximum event time − 2 s, allowed lateness 5 s, accumulating mode. Event 13 moves the watermark to 11, past the end of [0, 10), so the</w:t>
      </w:r>
      <w:r>
        <w:t xml:space="preserve"> </w:t>
      </w:r>
      <w:r>
        <w:rPr>
          <w:iCs/>
          <w:i/>
        </w:rPr>
        <w:t xml:space="preserve">operator</w:t>
      </w:r>
      <w:r>
        <w:t xml:space="preserve"> </w:t>
      </w:r>
      <w:r>
        <w:t xml:space="preserve">emits its on-time count. Event 9 is late but within allowed lateness, so it triggers an update. At watermark 21 the state for [0, 10) is purged (</w:t>
      </w:r>
      <m:oMath>
        <m:r>
          <m:t>21</m:t>
        </m:r>
        <m:r>
          <m:rPr>
            <m:sty m:val="p"/>
          </m:rPr>
          <m:t>≥</m:t>
        </m:r>
        <m:r>
          <m:t>10</m:t>
        </m:r>
        <m:r>
          <m:rPr>
            <m:sty m:val="p"/>
          </m:rPr>
          <m:t>+</m:t>
        </m:r>
        <m:r>
          <m:t>5</m:t>
        </m:r>
      </m:oMath>
      <w:r>
        <w:t xml:space="preserve">), so event 7 goes to the</w:t>
      </w:r>
      <w:r>
        <w:t xml:space="preserve"> </w:t>
      </w:r>
      <w:r>
        <w:rPr>
          <w:iCs/>
          <w:i/>
        </w:rPr>
        <w:t xml:space="preserve">side output</w:t>
      </w:r>
      <w:r>
        <w:t xml:space="preserve">. Emissions are asynchronous. Failure point: a consumer that adds every emission would double-count; with accumulating mode it must upsert per window.</w:t>
      </w:r>
    </w:p>
    <w:bookmarkStart w:id="3308" w:name="mathematical-foundations-61"/>
    <w:p>
      <w:pPr>
        <w:pStyle w:val="Heading4"/>
      </w:pPr>
      <w:r>
        <w:t xml:space="preserve">Mathematical foundations</w:t>
      </w:r>
    </w:p>
    <w:p>
      <w:pPr>
        <w:pStyle w:val="CalloutFormula"/>
      </w:pPr>
      <w:r>
        <w:rPr>
          <w:bCs/>
          <w:b/>
        </w:rPr>
        <w:t xml:space="preserve">FORMULA</w:t>
      </w:r>
    </w:p>
    <w:p>
      <w:pPr>
        <w:pStyle w:val="CalloutFormula"/>
      </w:pPr>
      <w:r>
        <w:rPr>
          <w:bCs/>
          <w:b/>
        </w:rPr>
        <w:t xml:space="preserve">Fraction of events that miss their tumbling window</w:t>
      </w:r>
    </w:p>
    <w:p>
      <w:pPr>
        <w:pStyle w:val="CalloutFormula"/>
      </w:pPr>
      <m:oMathPara>
        <m:oMathParaPr>
          <m:jc m:val="center"/>
        </m:oMathParaPr>
        <m:oMath>
          <m:sSub>
            <m:e>
              <m:r>
                <m:t>f</m:t>
              </m:r>
            </m:e>
            <m:sub>
              <m:r>
                <m:rPr>
                  <m:nor/>
                  <m:sty m:val="p"/>
                </m:rPr>
                <m:t>late</m:t>
              </m:r>
            </m:sub>
          </m:sSub>
          <m:r>
            <m:rPr>
              <m:sty m:val="p"/>
            </m:rPr>
            <m:t>≈</m:t>
          </m:r>
          <m:f>
            <m:fPr>
              <m:type m:val="bar"/>
            </m:fPr>
            <m:num>
              <m:r>
                <m:t>μ</m:t>
              </m:r>
            </m:num>
            <m:den>
              <m:r>
                <m:t>W</m:t>
              </m:r>
            </m:den>
          </m:f>
          <m:r>
            <m:t> </m:t>
          </m:r>
          <m:sSup>
            <m:e>
              <m:r>
                <m:t>e</m:t>
              </m:r>
            </m:e>
            <m:sup>
              <m:r>
                <m:rPr>
                  <m:sty m:val="p"/>
                </m:rPr>
                <m:t>−</m:t>
              </m:r>
              <m:r>
                <m:t>δ</m:t>
              </m:r>
              <m:r>
                <m:rPr>
                  <m:sty m:val="p"/>
                </m:rPr>
                <m:t>/</m:t>
              </m:r>
              <m:r>
                <m:t>μ</m:t>
              </m:r>
            </m:sup>
          </m:sSup>
          <m:d>
            <m:dPr>
              <m:begChr m:val="("/>
              <m:endChr m:val=")"/>
              <m:sepChr m:val=""/>
              <m:grow/>
            </m:dPr>
            <m:e>
              <m:r>
                <m:t>1</m:t>
              </m:r>
              <m:r>
                <m:rPr>
                  <m:sty m:val="p"/>
                </m:rPr>
                <m:t>−</m:t>
              </m:r>
              <m:sSup>
                <m:e>
                  <m:r>
                    <m:t>e</m:t>
                  </m:r>
                </m:e>
                <m:sup>
                  <m:r>
                    <m:rPr>
                      <m:sty m:val="p"/>
                    </m:rPr>
                    <m:t>−</m:t>
                  </m:r>
                  <m:r>
                    <m:t>W</m:t>
                  </m:r>
                  <m:r>
                    <m:rPr>
                      <m:sty m:val="p"/>
                    </m:rPr>
                    <m:t>/</m:t>
                  </m:r>
                  <m:r>
                    <m:t>μ</m:t>
                  </m:r>
                </m:sup>
              </m:sSup>
            </m:e>
          </m:d>
          <m:r>
            <m:t>  </m:t>
          </m:r>
          <m:r>
            <m:rPr>
              <m:nor/>
              <m:sty m:val="p"/>
            </m:rPr>
            <m:t>added output latency</m:t>
          </m:r>
          <m:r>
            <m:rPr>
              <m:sty m:val="p"/>
            </m:rPr>
            <m:t>≈</m:t>
          </m:r>
          <m:r>
            <m:t>δ</m:t>
          </m:r>
        </m:oMath>
      </m:oMathPara>
    </w:p>
    <w:p>
      <w:pPr>
        <w:pStyle w:val="CalloutFormula"/>
      </w:pPr>
      <w:r>
        <w:t xml:space="preserve">Derivation: with exponentially distributed delay</w:t>
      </w:r>
      <w:r>
        <w:t xml:space="preserve"> </w:t>
      </w:r>
      <m:oMath>
        <m:r>
          <m:t>d</m:t>
        </m:r>
      </m:oMath>
      <w:r>
        <w:t xml:space="preserve"> </w:t>
      </w:r>
      <w:r>
        <w:t xml:space="preserve">(mean</w:t>
      </w:r>
      <w:r>
        <w:t xml:space="preserve"> </w:t>
      </w:r>
      <m:oMath>
        <m:r>
          <m:t>μ</m:t>
        </m:r>
      </m:oMath>
      <w:r>
        <w:t xml:space="preserve">) and the watermark close to arrival time minus</w:t>
      </w:r>
      <w:r>
        <w:t xml:space="preserve"> </w:t>
      </w:r>
      <m:oMath>
        <m:r>
          <m:t>δ</m:t>
        </m:r>
      </m:oMath>
      <w:r>
        <w:t xml:space="preserve">, an event at offset</w:t>
      </w:r>
      <w:r>
        <w:t xml:space="preserve"> </w:t>
      </w:r>
      <m:oMath>
        <m:r>
          <m:t>u</m:t>
        </m:r>
      </m:oMath>
      <w:r>
        <w:t xml:space="preserve"> </w:t>
      </w:r>
      <w:r>
        <w:t xml:space="preserve">before its window’s end misses the window if</w:t>
      </w:r>
      <w:r>
        <w:t xml:space="preserve"> </w:t>
      </w:r>
      <m:oMath>
        <m:r>
          <m:t>d</m:t>
        </m:r>
        <m:r>
          <m:rPr>
            <m:sty m:val="p"/>
          </m:rPr>
          <m:t>&gt;</m:t>
        </m:r>
        <m:r>
          <m:t>δ</m:t>
        </m:r>
        <m:r>
          <m:rPr>
            <m:sty m:val="p"/>
          </m:rPr>
          <m:t>+</m:t>
        </m:r>
        <m:r>
          <m:t>u</m:t>
        </m:r>
      </m:oMath>
      <w:r>
        <w:t xml:space="preserve">; averaging</w:t>
      </w:r>
      <w:r>
        <w:t xml:space="preserve"> </w:t>
      </w:r>
      <m:oMath>
        <m:sSup>
          <m:e>
            <m:r>
              <m:t>e</m:t>
            </m:r>
          </m:e>
          <m:sup>
            <m:r>
              <m:rPr>
                <m:sty m:val="p"/>
              </m:rPr>
              <m:t>−</m:t>
            </m:r>
            <m:d>
              <m:dPr>
                <m:begChr m:val="("/>
                <m:endChr m:val=")"/>
                <m:sepChr m:val=""/>
                <m:grow/>
              </m:dPr>
              <m:e>
                <m:r>
                  <m:t>δ</m:t>
                </m:r>
                <m:r>
                  <m:rPr>
                    <m:sty m:val="p"/>
                  </m:rPr>
                  <m:t>+</m:t>
                </m:r>
                <m:r>
                  <m:t>u</m:t>
                </m:r>
              </m:e>
            </m:d>
            <m:r>
              <m:rPr>
                <m:sty m:val="p"/>
              </m:rPr>
              <m:t>/</m:t>
            </m:r>
            <m:r>
              <m:t>μ</m:t>
            </m:r>
          </m:sup>
        </m:sSup>
      </m:oMath>
      <w:r>
        <w:t xml:space="preserve"> </w:t>
      </w:r>
      <w:r>
        <w:t xml:space="preserve">over</w:t>
      </w:r>
      <w:r>
        <w:t xml:space="preserve"> </w:t>
      </w:r>
      <m:oMath>
        <m:r>
          <m:t>u</m:t>
        </m:r>
      </m:oMath>
      <w:r>
        <w:t xml:space="preserve"> </w:t>
      </w:r>
      <w:r>
        <w:t xml:space="preserve">uniform on</w:t>
      </w:r>
      <w:r>
        <w:t xml:space="preserve"> </w:t>
      </w:r>
      <m:oMath>
        <m:r>
          <m:rPr>
            <m:sty m:val="p"/>
          </m:rPr>
          <m:t>[</m:t>
        </m:r>
        <m:r>
          <m:t>0</m:t>
        </m:r>
        <m:r>
          <m:rPr>
            <m:sty m:val="p"/>
          </m:rPr>
          <m:t>,</m:t>
        </m:r>
        <m:r>
          <m:t>W</m:t>
        </m:r>
        <m:r>
          <m:rPr>
            <m:sty m:val="p"/>
          </m:rPr>
          <m:t>)</m:t>
        </m:r>
      </m:oMath>
      <w:r>
        <w:t xml:space="preserve"> </w:t>
      </w:r>
      <w:r>
        <w:t xml:space="preserve">gives the formula.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f</m:t>
                  </m:r>
                </m:e>
                <m:sub>
                  <m:r>
                    <m:rPr>
                      <m:nor/>
                      <m:sty m:val="p"/>
                    </m:rPr>
                    <m:t>late</m:t>
                  </m:r>
                </m:sub>
              </m:sSub>
            </m:oMath>
          </w:p>
        </w:tc>
        <w:tc>
          <w:tcPr/>
          <w:p>
            <w:pPr>
              <w:pStyle w:val="Compact"/>
              <w:jc w:val="left"/>
            </w:pPr>
            <w:r>
              <w:t xml:space="preserve">Fraction of events arriving after their window fired</w:t>
            </w:r>
          </w:p>
        </w:tc>
        <w:tc>
          <w:tcPr/>
          <w:p>
            <w:pPr>
              <w:pStyle w:val="Compact"/>
              <w:jc w:val="left"/>
            </w:pPr>
            <w:r>
              <w:t xml:space="preserve">dimensionless</w:t>
            </w:r>
          </w:p>
        </w:tc>
      </w:tr>
      <w:tr>
        <w:tc>
          <w:tcPr/>
          <w:p>
            <w:pPr>
              <w:pStyle w:val="Compact"/>
              <w:jc w:val="left"/>
            </w:pPr>
            <m:oMath>
              <m:r>
                <m:t>μ</m:t>
              </m:r>
            </m:oMath>
          </w:p>
        </w:tc>
        <w:tc>
          <w:tcPr/>
          <w:p>
            <w:pPr>
              <w:pStyle w:val="Compact"/>
              <w:jc w:val="left"/>
            </w:pPr>
            <w:r>
              <w:t xml:space="preserve">Mean delay between event time and arrival</w:t>
            </w:r>
          </w:p>
        </w:tc>
        <w:tc>
          <w:tcPr/>
          <w:p>
            <w:pPr>
              <w:pStyle w:val="Compact"/>
              <w:jc w:val="left"/>
            </w:pPr>
            <w:r>
              <w:t xml:space="preserve">s</w:t>
            </w:r>
          </w:p>
        </w:tc>
      </w:tr>
      <w:tr>
        <w:tc>
          <w:tcPr/>
          <w:p>
            <w:pPr>
              <w:pStyle w:val="Compact"/>
              <w:jc w:val="left"/>
            </w:pPr>
            <m:oMath>
              <m:r>
                <m:t>δ</m:t>
              </m:r>
            </m:oMath>
          </w:p>
        </w:tc>
        <w:tc>
          <w:tcPr/>
          <w:p>
            <w:pPr>
              <w:pStyle w:val="Compact"/>
              <w:jc w:val="left"/>
            </w:pPr>
            <w:r>
              <w:t xml:space="preserve">Watermark delay (bounded out-of-orderness)</w:t>
            </w:r>
          </w:p>
        </w:tc>
        <w:tc>
          <w:tcPr/>
          <w:p>
            <w:pPr>
              <w:pStyle w:val="Compact"/>
              <w:jc w:val="left"/>
            </w:pPr>
            <w:r>
              <w:t xml:space="preserve">s</w:t>
            </w:r>
          </w:p>
        </w:tc>
      </w:tr>
      <w:tr>
        <w:tc>
          <w:tcPr/>
          <w:p>
            <w:pPr>
              <w:pStyle w:val="Compact"/>
              <w:jc w:val="left"/>
            </w:pPr>
            <m:oMath>
              <m:r>
                <m:t>W</m:t>
              </m:r>
            </m:oMath>
          </w:p>
        </w:tc>
        <w:tc>
          <w:tcPr/>
          <w:p>
            <w:pPr>
              <w:pStyle w:val="Compact"/>
              <w:jc w:val="left"/>
            </w:pPr>
            <w:r>
              <w:t xml:space="preserve">Window size</w:t>
            </w:r>
          </w:p>
        </w:tc>
        <w:tc>
          <w:tcPr/>
          <w:p>
            <w:pPr>
              <w:pStyle w:val="Compact"/>
              <w:jc w:val="left"/>
            </w:pPr>
            <w:r>
              <w:t xml:space="preserve">s</w:t>
            </w:r>
          </w:p>
        </w:tc>
      </w:tr>
    </w:tbl>
    <w:p>
      <w:pPr>
        <w:pStyle w:val="CalloutExample"/>
      </w:pPr>
      <w:r>
        <w:rPr>
          <w:bCs/>
          <w:b/>
        </w:rPr>
        <w:t xml:space="preserve">WORKED EXAMPLE</w:t>
      </w:r>
    </w:p>
    <w:p>
      <w:pPr>
        <w:pStyle w:val="CalloutExample"/>
      </w:pPr>
      <w:r>
        <w:rPr>
          <w:bCs/>
          <w:b/>
        </w:rPr>
        <w:t xml:space="preserve">Worked example — Choosing a watermark delay.</w:t>
      </w:r>
      <w:r>
        <w:t xml:space="preserve"> </w:t>
      </w:r>
      <w:r>
        <w:t xml:space="preserve">Mobile click events have mean delay</w:t>
      </w:r>
      <w:r>
        <w:t xml:space="preserve"> </w:t>
      </w:r>
      <m:oMath>
        <m:r>
          <m:t>μ</m:t>
        </m:r>
        <m:r>
          <m:rPr>
            <m:sty m:val="p"/>
          </m:rPr>
          <m:t>=</m:t>
        </m:r>
        <m:r>
          <m:t>2</m:t>
        </m:r>
      </m:oMath>
      <w:r>
        <w:t xml:space="preserve"> </w:t>
      </w:r>
      <w:r>
        <w:t xml:space="preserve">s; windows are</w:t>
      </w:r>
      <w:r>
        <w:t xml:space="preserve"> </w:t>
      </w:r>
      <m:oMath>
        <m:r>
          <m:t>W</m:t>
        </m:r>
        <m:r>
          <m:rPr>
            <m:sty m:val="p"/>
          </m:rPr>
          <m:t>=</m:t>
        </m:r>
        <m:r>
          <m:t>60</m:t>
        </m:r>
      </m:oMath>
      <w:r>
        <w:t xml:space="preserve"> </w:t>
      </w:r>
      <w:r>
        <w:t xml:space="preserve">s.</w:t>
      </w:r>
    </w:p>
    <w:p>
      <w:pPr>
        <w:numPr>
          <w:ilvl w:val="0"/>
          <w:numId w:val="1959"/>
        </w:numPr>
        <w:pStyle w:val="Compact"/>
      </w:pPr>
      <m:oMath>
        <m:r>
          <m:t>δ</m:t>
        </m:r>
        <m:r>
          <m:rPr>
            <m:sty m:val="p"/>
          </m:rPr>
          <m:t>=</m:t>
        </m:r>
        <m:r>
          <m:t>0</m:t>
        </m:r>
      </m:oMath>
      <w:r>
        <w:t xml:space="preserve">:</w:t>
      </w:r>
      <w:r>
        <w:t xml:space="preserve"> </w:t>
      </w:r>
      <m:oMath>
        <m:r>
          <m:t>f</m:t>
        </m:r>
        <m:r>
          <m:rPr>
            <m:sty m:val="p"/>
          </m:rPr>
          <m:t>=</m:t>
        </m:r>
        <m:d>
          <m:dPr>
            <m:begChr m:val="("/>
            <m:endChr m:val=")"/>
            <m:sepChr m:val=""/>
            <m:grow/>
          </m:dPr>
          <m:e>
            <m:r>
              <m:t>2</m:t>
            </m:r>
            <m:r>
              <m:rPr>
                <m:sty m:val="p"/>
              </m:rPr>
              <m:t>/</m:t>
            </m:r>
            <m:r>
              <m:t>60</m:t>
            </m:r>
          </m:e>
        </m:d>
        <m:d>
          <m:dPr>
            <m:begChr m:val="("/>
            <m:endChr m:val=")"/>
            <m:sepChr m:val=""/>
            <m:grow/>
          </m:dPr>
          <m:e>
            <m:r>
              <m:t>1</m:t>
            </m:r>
          </m:e>
        </m:d>
        <m:d>
          <m:dPr>
            <m:begChr m:val="("/>
            <m:endChr m:val=")"/>
            <m:sepChr m:val=""/>
            <m:grow/>
          </m:dPr>
          <m:e>
            <m:r>
              <m:t>1</m:t>
            </m:r>
            <m:r>
              <m:rPr>
                <m:sty m:val="p"/>
              </m:rPr>
              <m:t>−</m:t>
            </m:r>
            <m:sSup>
              <m:e>
                <m:r>
                  <m:t>e</m:t>
                </m:r>
              </m:e>
              <m:sup>
                <m:r>
                  <m:rPr>
                    <m:sty m:val="p"/>
                  </m:rPr>
                  <m:t>−</m:t>
                </m:r>
                <m:r>
                  <m:t>30</m:t>
                </m:r>
              </m:sup>
            </m:sSup>
          </m:e>
        </m:d>
        <m:r>
          <m:rPr>
            <m:sty m:val="p"/>
          </m:rPr>
          <m:t>=</m:t>
        </m:r>
        <m:r>
          <m:t>0.0333</m:t>
        </m:r>
      </m:oMath>
      <w:r>
        <w:t xml:space="preserve">, so 3.3% of events miss their window.</w:t>
      </w:r>
    </w:p>
    <w:p>
      <w:pPr>
        <w:numPr>
          <w:ilvl w:val="0"/>
          <w:numId w:val="1959"/>
        </w:numPr>
        <w:pStyle w:val="Compact"/>
      </w:pPr>
      <m:oMath>
        <m:r>
          <m:t>δ</m:t>
        </m:r>
        <m:r>
          <m:rPr>
            <m:sty m:val="p"/>
          </m:rPr>
          <m:t>=</m:t>
        </m:r>
        <m:r>
          <m:t>5</m:t>
        </m:r>
      </m:oMath>
      <w:r>
        <w:t xml:space="preserve"> </w:t>
      </w:r>
      <w:r>
        <w:t xml:space="preserve">s:</w:t>
      </w:r>
      <w:r>
        <w:t xml:space="preserve"> </w:t>
      </w:r>
      <m:oMath>
        <m:sSup>
          <m:e>
            <m:r>
              <m:t>e</m:t>
            </m:r>
          </m:e>
          <m:sup>
            <m:r>
              <m:rPr>
                <m:sty m:val="p"/>
              </m:rPr>
              <m:t>−</m:t>
            </m:r>
            <m:r>
              <m:t>2.5</m:t>
            </m:r>
          </m:sup>
        </m:sSup>
        <m:r>
          <m:rPr>
            <m:sty m:val="p"/>
          </m:rPr>
          <m:t>=</m:t>
        </m:r>
        <m:r>
          <m:t>0.0821</m:t>
        </m:r>
      </m:oMath>
      <w:r>
        <w:t xml:space="preserve">;</w:t>
      </w:r>
      <w:r>
        <w:t xml:space="preserve"> </w:t>
      </w:r>
      <m:oMath>
        <m:r>
          <m:t>f</m:t>
        </m:r>
        <m:r>
          <m:rPr>
            <m:sty m:val="p"/>
          </m:rPr>
          <m:t>=</m:t>
        </m:r>
        <m:r>
          <m:t>0.0333</m:t>
        </m:r>
        <m:r>
          <m:rPr>
            <m:sty m:val="p"/>
          </m:rPr>
          <m:t>×</m:t>
        </m:r>
        <m:r>
          <m:t>0.0821</m:t>
        </m:r>
        <m:r>
          <m:rPr>
            <m:sty m:val="p"/>
          </m:rPr>
          <m:t>=</m:t>
        </m:r>
        <m:r>
          <m:t>0.0027</m:t>
        </m:r>
      </m:oMath>
      <w:r>
        <w:t xml:space="preserve"> </w:t>
      </w:r>
      <w:r>
        <w:t xml:space="preserve">(0.27%), and every result is emitted 5 s later.</w:t>
      </w:r>
    </w:p>
    <w:p>
      <w:pPr>
        <w:numPr>
          <w:ilvl w:val="0"/>
          <w:numId w:val="1959"/>
        </w:numPr>
        <w:pStyle w:val="Compact"/>
      </w:pPr>
      <m:oMath>
        <m:r>
          <m:t>δ</m:t>
        </m:r>
        <m:r>
          <m:rPr>
            <m:sty m:val="p"/>
          </m:rPr>
          <m:t>=</m:t>
        </m:r>
        <m:r>
          <m:t>10</m:t>
        </m:r>
      </m:oMath>
      <w:r>
        <w:t xml:space="preserve"> </w:t>
      </w:r>
      <w:r>
        <w:t xml:space="preserve">s:</w:t>
      </w:r>
      <w:r>
        <w:t xml:space="preserve"> </w:t>
      </w:r>
      <m:oMath>
        <m:sSup>
          <m:e>
            <m:r>
              <m:t>e</m:t>
            </m:r>
          </m:e>
          <m:sup>
            <m:r>
              <m:rPr>
                <m:sty m:val="p"/>
              </m:rPr>
              <m:t>−</m:t>
            </m:r>
            <m:r>
              <m:t>5</m:t>
            </m:r>
          </m:sup>
        </m:sSup>
        <m:r>
          <m:rPr>
            <m:sty m:val="p"/>
          </m:rPr>
          <m:t>=</m:t>
        </m:r>
        <m:r>
          <m:t>0.0067</m:t>
        </m:r>
      </m:oMath>
      <w:r>
        <w:t xml:space="preserve">;</w:t>
      </w:r>
      <w:r>
        <w:t xml:space="preserve"> </w:t>
      </w:r>
      <m:oMath>
        <m:r>
          <m:t>f</m:t>
        </m:r>
        <m:r>
          <m:rPr>
            <m:sty m:val="p"/>
          </m:rPr>
          <m:t>=</m:t>
        </m:r>
        <m:r>
          <m:t>0.022</m:t>
        </m:r>
        <m:r>
          <m:rPr>
            <m:sty m:val="p"/>
          </m:rPr>
          <m:t>%</m:t>
        </m:r>
      </m:oMath>
      <w:r>
        <w:t xml:space="preserve">, for 10 s of extra latency.</w:t>
      </w:r>
    </w:p>
    <w:p>
      <w:pPr>
        <w:pStyle w:val="CalloutExample"/>
      </w:pPr>
      <w:r>
        <w:rPr>
          <w:bCs/>
          <w:b/>
        </w:rPr>
        <w:t xml:space="preserve">Interpretation.</w:t>
      </w:r>
      <w:r>
        <w:t xml:space="preserve"> </w:t>
      </w:r>
      <w:r>
        <w:t xml:space="preserve">Each extra</w:t>
      </w:r>
      <w:r>
        <w:t xml:space="preserve"> </w:t>
      </w:r>
      <m:oMath>
        <m:r>
          <m:t>μ</m:t>
        </m:r>
      </m:oMath>
      <w:r>
        <w:t xml:space="preserve"> </w:t>
      </w:r>
      <w:r>
        <w:t xml:space="preserve">of waiting cuts late data by</w:t>
      </w:r>
      <w:r>
        <w:t xml:space="preserve"> </w:t>
      </w:r>
      <m:oMath>
        <m:r>
          <m:t>e</m:t>
        </m:r>
        <m:r>
          <m:rPr>
            <m:sty m:val="p"/>
          </m:rPr>
          <m:t>≈</m:t>
        </m:r>
        <m:r>
          <m:t>2.7</m:t>
        </m:r>
        <m:r>
          <m:rPr>
            <m:sty m:val="p"/>
          </m:rPr>
          <m:t>×</m:t>
        </m:r>
      </m:oMath>
      <w:r>
        <w:t xml:space="preserve">, and costs that much latency on</w:t>
      </w:r>
      <w:r>
        <w:t xml:space="preserve"> </w:t>
      </w:r>
      <w:r>
        <w:rPr>
          <w:iCs/>
          <w:i/>
        </w:rPr>
        <w:t xml:space="preserve">every</w:t>
      </w:r>
      <w:r>
        <w:t xml:space="preserve"> </w:t>
      </w:r>
      <w:r>
        <w:t xml:space="preserve">result. Real delay distributions have heavy tails (phones offline for hours), so no practical</w:t>
      </w:r>
      <w:r>
        <w:t xml:space="preserve"> </w:t>
      </w:r>
      <m:oMath>
        <m:r>
          <m:t>δ</m:t>
        </m:r>
      </m:oMath>
      <w:r>
        <w:t xml:space="preserve"> </w:t>
      </w:r>
      <w:r>
        <w:t xml:space="preserve">makes</w:t>
      </w:r>
      <w:r>
        <w:t xml:space="preserve"> </w:t>
      </w:r>
      <m:oMath>
        <m:r>
          <m:t>f</m:t>
        </m:r>
      </m:oMath>
      <w:r>
        <w:t xml:space="preserve"> </w:t>
      </w:r>
      <w:r>
        <w:t xml:space="preserve">zero.</w:t>
      </w:r>
      <w:r>
        <w:t xml:space="preserve"> </w:t>
      </w:r>
      <w:r>
        <w:rPr>
          <w:bCs/>
          <w:b/>
        </w:rPr>
        <w:t xml:space="preserve">Engineering implication.</w:t>
      </w:r>
      <w:r>
        <w:t xml:space="preserve"> </w:t>
      </w:r>
      <w:r>
        <w:t xml:space="preserve">Pick</w:t>
      </w:r>
      <w:r>
        <w:t xml:space="preserve"> </w:t>
      </w:r>
      <m:oMath>
        <m:r>
          <m:t>δ</m:t>
        </m:r>
      </m:oMath>
      <w:r>
        <w:t xml:space="preserve"> </w:t>
      </w:r>
      <w:r>
        <w:t xml:space="preserve">for the latency the consumer can accept, set allowed lateness to absorb the tail (with late firings as updates), route anything later to a side output, and monitor the late fraction as a data-quality metric.</w:t>
      </w:r>
    </w:p>
    <w:bookmarkEnd w:id="3308"/>
    <w:bookmarkStart w:id="3309" w:name="code-example-37"/>
    <w:p>
      <w:pPr>
        <w:pStyle w:val="Heading4"/>
      </w:pPr>
      <w:r>
        <w:t xml:space="preserve">Code example</w:t>
      </w:r>
    </w:p>
    <w:p>
      <w:pPr>
        <w:pStyle w:val="FirstParagraph"/>
      </w:pPr>
      <w:r>
        <w:t xml:space="preserve">The simulator implements tumbling and sliding event-time windows with a bounded-out-of-orderness watermark, allowed lateness, on-time and late firings, state garbage collection and a side output. It checks the scenario of Figure 29.12, sliding-window membership, and that no event is ever lost silently, then measures the late fraction for several watermark delays against the formula.</w:t>
      </w:r>
    </w:p>
    <w:p>
      <w:pPr>
        <w:pStyle w:val="SourceCode"/>
      </w:pPr>
      <w:r>
        <w:rPr>
          <w:rStyle w:val="CommentTok"/>
        </w:rPr>
        <w:t xml:space="preserve">"""Event-time windowing with a bounded-out-of-orderness watermark, allowed lateness,</w:t>
      </w:r>
      <w:r>
        <w:br/>
      </w:r>
      <w:r>
        <w:rPr>
          <w:rStyle w:val="CommentTok"/>
        </w:rPr>
        <w:t xml:space="preserve">on-time and late firings, and a side output for events that arrive too late."""</w:t>
      </w:r>
      <w:r>
        <w:br/>
      </w:r>
      <w:r>
        <w:rPr>
          <w:rStyle w:val="ImportTok"/>
        </w:rPr>
        <w:t xml:space="preserve">import</w:t>
      </w:r>
      <w:r>
        <w:rPr>
          <w:rStyle w:val="NormalTok"/>
        </w:rPr>
        <w:t xml:space="preserve"> math</w:t>
      </w:r>
      <w:r>
        <w:br/>
      </w:r>
      <w:r>
        <w:rPr>
          <w:rStyle w:val="ImportTok"/>
        </w:rPr>
        <w:t xml:space="preserve">import</w:t>
      </w:r>
      <w:r>
        <w:rPr>
          <w:rStyle w:val="NormalTok"/>
        </w:rPr>
        <w:t xml:space="preserve"> random</w:t>
      </w:r>
      <w:r>
        <w:br/>
      </w:r>
      <w:r>
        <w:br/>
      </w:r>
      <w:r>
        <w:br/>
      </w:r>
      <w:r>
        <w:rPr>
          <w:rStyle w:val="KeywordTok"/>
        </w:rPr>
        <w:t xml:space="preserve">class</w:t>
      </w:r>
      <w:r>
        <w:rPr>
          <w:rStyle w:val="NormalTok"/>
        </w:rPr>
        <w:t xml:space="preserve"> EventTimeWindower: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size, slide</w:t>
      </w:r>
      <w:r>
        <w:rPr>
          <w:rStyle w:val="OperatorTok"/>
        </w:rPr>
        <w:t xml:space="preserve">=</w:t>
      </w:r>
      <w:r>
        <w:rPr>
          <w:rStyle w:val="VariableTok"/>
        </w:rPr>
        <w:t xml:space="preserve">None</w:t>
      </w:r>
      <w:r>
        <w:rPr>
          <w:rStyle w:val="NormalTok"/>
        </w:rPr>
        <w:t xml:space="preserve">, max_out_of_orderness</w:t>
      </w:r>
      <w:r>
        <w:rPr>
          <w:rStyle w:val="OperatorTok"/>
        </w:rPr>
        <w:t xml:space="preserve">=</w:t>
      </w:r>
      <w:r>
        <w:rPr>
          <w:rStyle w:val="FloatTok"/>
        </w:rPr>
        <w:t xml:space="preserve">0.0</w:t>
      </w:r>
      <w:r>
        <w:rPr>
          <w:rStyle w:val="NormalTok"/>
        </w:rPr>
        <w:t xml:space="preserve">, allowed_lateness</w:t>
      </w:r>
      <w:r>
        <w:rPr>
          <w:rStyle w:val="OperatorTok"/>
        </w:rPr>
        <w:t xml:space="preserve">=</w:t>
      </w:r>
      <w:r>
        <w:rPr>
          <w:rStyle w:val="FloatTok"/>
        </w:rPr>
        <w:t xml:space="preserve">0.0</w:t>
      </w:r>
      <w:r>
        <w:rPr>
          <w:rStyle w:val="NormalTok"/>
        </w:rPr>
        <w:t xml:space="preserve">):</w:t>
      </w:r>
      <w:r>
        <w:br/>
      </w:r>
      <w:r>
        <w:rPr>
          <w:rStyle w:val="NormalTok"/>
        </w:rPr>
        <w:t xml:space="preserve">        </w:t>
      </w:r>
      <w:r>
        <w:rPr>
          <w:rStyle w:val="VariableTok"/>
        </w:rPr>
        <w:t xml:space="preserve">self</w:t>
      </w:r>
      <w:r>
        <w:rPr>
          <w:rStyle w:val="NormalTok"/>
        </w:rPr>
        <w:t xml:space="preserve">.size, </w:t>
      </w:r>
      <w:r>
        <w:rPr>
          <w:rStyle w:val="VariableTok"/>
        </w:rPr>
        <w:t xml:space="preserve">self</w:t>
      </w:r>
      <w:r>
        <w:rPr>
          <w:rStyle w:val="NormalTok"/>
        </w:rPr>
        <w:t xml:space="preserve">.slide </w:t>
      </w:r>
      <w:r>
        <w:rPr>
          <w:rStyle w:val="OperatorTok"/>
        </w:rPr>
        <w:t xml:space="preserve">=</w:t>
      </w:r>
      <w:r>
        <w:rPr>
          <w:rStyle w:val="NormalTok"/>
        </w:rPr>
        <w:t xml:space="preserve"> size, slide </w:t>
      </w:r>
      <w:r>
        <w:rPr>
          <w:rStyle w:val="KeywordTok"/>
        </w:rPr>
        <w:t xml:space="preserve">or</w:t>
      </w:r>
      <w:r>
        <w:rPr>
          <w:rStyle w:val="NormalTok"/>
        </w:rPr>
        <w:t xml:space="preserve"> size        </w:t>
      </w:r>
      <w:r>
        <w:rPr>
          <w:rStyle w:val="CommentTok"/>
        </w:rPr>
        <w:t xml:space="preserve"># slide == size -&gt; tumbling windows</w:t>
      </w:r>
      <w:r>
        <w:br/>
      </w:r>
      <w:r>
        <w:rPr>
          <w:rStyle w:val="NormalTok"/>
        </w:rPr>
        <w:t xml:space="preserve">        </w:t>
      </w:r>
      <w:r>
        <w:rPr>
          <w:rStyle w:val="VariableTok"/>
        </w:rPr>
        <w:t xml:space="preserve">self</w:t>
      </w:r>
      <w:r>
        <w:rPr>
          <w:rStyle w:val="NormalTok"/>
        </w:rPr>
        <w:t xml:space="preserve">.delta, </w:t>
      </w:r>
      <w:r>
        <w:rPr>
          <w:rStyle w:val="VariableTok"/>
        </w:rPr>
        <w:t xml:space="preserve">self</w:t>
      </w:r>
      <w:r>
        <w:rPr>
          <w:rStyle w:val="NormalTok"/>
        </w:rPr>
        <w:t xml:space="preserve">.lateness </w:t>
      </w:r>
      <w:r>
        <w:rPr>
          <w:rStyle w:val="OperatorTok"/>
        </w:rPr>
        <w:t xml:space="preserve">=</w:t>
      </w:r>
      <w:r>
        <w:rPr>
          <w:rStyle w:val="NormalTok"/>
        </w:rPr>
        <w:t xml:space="preserve"> max_out_of_orderness, allowed_lateness</w:t>
      </w:r>
      <w:r>
        <w:br/>
      </w:r>
      <w:r>
        <w:rPr>
          <w:rStyle w:val="NormalTok"/>
        </w:rPr>
        <w:t xml:space="preserve">        </w:t>
      </w:r>
      <w:r>
        <w:rPr>
          <w:rStyle w:val="VariableTok"/>
        </w:rPr>
        <w:t xml:space="preserve">self</w:t>
      </w:r>
      <w:r>
        <w:rPr>
          <w:rStyle w:val="NormalTok"/>
        </w:rPr>
        <w:t xml:space="preserve">.max_ts </w:t>
      </w:r>
      <w:r>
        <w:rPr>
          <w:rStyle w:val="OperatorTok"/>
        </w:rPr>
        <w:t xml:space="preserve">=</w:t>
      </w:r>
      <w:r>
        <w:rPr>
          <w:rStyle w:val="NormalTok"/>
        </w:rPr>
        <w:t xml:space="preserve"> </w:t>
      </w:r>
      <w:r>
        <w:rPr>
          <w:rStyle w:val="OperatorTok"/>
        </w:rPr>
        <w:t xml:space="preserve">-</w:t>
      </w:r>
      <w:r>
        <w:rPr>
          <w:rStyle w:val="NormalTok"/>
        </w:rPr>
        <w:t xml:space="preserve">math.inf</w:t>
      </w:r>
      <w:r>
        <w:br/>
      </w:r>
      <w:r>
        <w:rPr>
          <w:rStyle w:val="NormalTok"/>
        </w:rPr>
        <w:t xml:space="preserve">        </w:t>
      </w:r>
      <w:r>
        <w:rPr>
          <w:rStyle w:val="VariableTok"/>
        </w:rPr>
        <w:t xml:space="preserve">self</w:t>
      </w:r>
      <w:r>
        <w:rPr>
          <w:rStyle w:val="NormalTok"/>
        </w:rPr>
        <w:t xml:space="preserve">.state </w:t>
      </w:r>
      <w:r>
        <w:rPr>
          <w:rStyle w:val="OperatorTok"/>
        </w:rPr>
        <w:t xml:space="preserve">=</w:t>
      </w:r>
      <w:r>
        <w:rPr>
          <w:rStyle w:val="NormalTok"/>
        </w:rPr>
        <w:t xml:space="preserve"> {}             </w:t>
      </w:r>
      <w:r>
        <w:rPr>
          <w:rStyle w:val="CommentTok"/>
        </w:rPr>
        <w:t xml:space="preserve"># keyed window state: (key, window_start) -&gt; count</w:t>
      </w:r>
      <w:r>
        <w:br/>
      </w:r>
      <w:r>
        <w:rPr>
          <w:rStyle w:val="NormalTok"/>
        </w:rPr>
        <w:t xml:space="preserve">        </w:t>
      </w:r>
      <w:r>
        <w:rPr>
          <w:rStyle w:val="VariableTok"/>
        </w:rPr>
        <w:t xml:space="preserve">self</w:t>
      </w:r>
      <w:r>
        <w:rPr>
          <w:rStyle w:val="NormalTok"/>
        </w:rPr>
        <w:t xml:space="preserve">.fired </w:t>
      </w:r>
      <w:r>
        <w:rPr>
          <w:rStyle w:val="OperatorTok"/>
        </w:rPr>
        <w:t xml:space="preserve">=</w:t>
      </w:r>
      <w:r>
        <w:rPr>
          <w:rStyle w:val="NormalTok"/>
        </w:rPr>
        <w:t xml:space="preserve"> </w:t>
      </w:r>
      <w:r>
        <w:rPr>
          <w:rStyle w:val="BuiltInTok"/>
        </w:rPr>
        <w:t xml:space="preserve">set</w:t>
      </w:r>
      <w:r>
        <w:rPr>
          <w:rStyle w:val="NormalTok"/>
        </w:rPr>
        <w:t xml:space="preserve">()          </w:t>
      </w:r>
      <w:r>
        <w:rPr>
          <w:rStyle w:val="CommentTok"/>
        </w:rPr>
        <w:t xml:space="preserve"># windows that already emitted their on-time result</w:t>
      </w:r>
      <w:r>
        <w:br/>
      </w:r>
      <w:r>
        <w:rPr>
          <w:rStyle w:val="NormalTok"/>
        </w:rPr>
        <w:t xml:space="preserve">        </w:t>
      </w:r>
      <w:r>
        <w:rPr>
          <w:rStyle w:val="VariableTok"/>
        </w:rPr>
        <w:t xml:space="preserve">self</w:t>
      </w:r>
      <w:r>
        <w:rPr>
          <w:rStyle w:val="NormalTok"/>
        </w:rPr>
        <w:t xml:space="preserve">.output </w:t>
      </w:r>
      <w:r>
        <w:rPr>
          <w:rStyle w:val="OperatorTok"/>
        </w:rPr>
        <w:t xml:space="preserve">=</w:t>
      </w:r>
      <w:r>
        <w:rPr>
          <w:rStyle w:val="NormalTok"/>
        </w:rPr>
        <w:t xml:space="preserve"> []            </w:t>
      </w:r>
      <w:r>
        <w:rPr>
          <w:rStyle w:val="CommentTok"/>
        </w:rPr>
        <w:t xml:space="preserve"># (kind, key, start, end, count, emitted_at)</w:t>
      </w:r>
      <w:r>
        <w:br/>
      </w:r>
      <w:r>
        <w:rPr>
          <w:rStyle w:val="NormalTok"/>
        </w:rPr>
        <w:t xml:space="preserve">        </w:t>
      </w:r>
      <w:r>
        <w:rPr>
          <w:rStyle w:val="VariableTok"/>
        </w:rPr>
        <w:t xml:space="preserve">self</w:t>
      </w:r>
      <w:r>
        <w:rPr>
          <w:rStyle w:val="NormalTok"/>
        </w:rPr>
        <w:t xml:space="preserve">.dropped </w:t>
      </w:r>
      <w:r>
        <w:rPr>
          <w:rStyle w:val="OperatorTok"/>
        </w:rPr>
        <w:t xml:space="preserve">=</w:t>
      </w:r>
      <w:r>
        <w:rPr>
          <w:rStyle w:val="NormalTok"/>
        </w:rPr>
        <w:t xml:space="preserve"> []           </w:t>
      </w:r>
      <w:r>
        <w:rPr>
          <w:rStyle w:val="CommentTok"/>
        </w:rPr>
        <w:t xml:space="preserve"># side output: (event_time, key, window_start)</w:t>
      </w:r>
      <w:r>
        <w:br/>
      </w:r>
      <w:r>
        <w:br/>
      </w:r>
      <w:r>
        <w:rPr>
          <w:rStyle w:val="NormalTok"/>
        </w:rPr>
        <w:t xml:space="preserve">    </w:t>
      </w:r>
      <w:r>
        <w:rPr>
          <w:rStyle w:val="AttributeTok"/>
        </w:rPr>
        <w:t xml:space="preserve">@property</w:t>
      </w:r>
      <w:r>
        <w:br/>
      </w:r>
      <w:r>
        <w:rPr>
          <w:rStyle w:val="NormalTok"/>
        </w:rPr>
        <w:t xml:space="preserve">    </w:t>
      </w:r>
      <w:r>
        <w:rPr>
          <w:rStyle w:val="KeywordTok"/>
        </w:rPr>
        <w:t xml:space="preserve">def</w:t>
      </w:r>
      <w:r>
        <w:rPr>
          <w:rStyle w:val="NormalTok"/>
        </w:rPr>
        <w:t xml:space="preserve"> watermark(</w:t>
      </w:r>
      <w:r>
        <w:rPr>
          <w:rStyle w:val="VariableTok"/>
        </w:rPr>
        <w:t xml:space="preserve">self</w:t>
      </w:r>
      <w:r>
        <w:rPr>
          <w:rStyle w:val="NormalTok"/>
        </w:rPr>
        <w:t xml:space="preserve">):            </w:t>
      </w:r>
      <w:r>
        <w:rPr>
          <w:rStyle w:val="CommentTok"/>
        </w:rPr>
        <w:t xml:space="preserve"># "no more events older than this are expected"</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.max_ts </w:t>
      </w:r>
      <w:r>
        <w:rPr>
          <w:rStyle w:val="OperatorTok"/>
        </w:rPr>
        <w:t xml:space="preserve">-</w:t>
      </w:r>
      <w:r>
        <w:rPr>
          <w:rStyle w:val="NormalTok"/>
        </w:rPr>
        <w:t xml:space="preserve"> </w:t>
      </w:r>
      <w:r>
        <w:rPr>
          <w:rStyle w:val="VariableTok"/>
        </w:rPr>
        <w:t xml:space="preserve">self</w:t>
      </w:r>
      <w:r>
        <w:rPr>
          <w:rStyle w:val="NormalTok"/>
        </w:rPr>
        <w:t xml:space="preserve">.delta</w:t>
      </w:r>
      <w:r>
        <w:br/>
      </w:r>
      <w:r>
        <w:br/>
      </w:r>
      <w:r>
        <w:rPr>
          <w:rStyle w:val="NormalTok"/>
        </w:rPr>
        <w:t xml:space="preserve">    </w:t>
      </w:r>
      <w:r>
        <w:rPr>
          <w:rStyle w:val="KeywordTok"/>
        </w:rPr>
        <w:t xml:space="preserve">def</w:t>
      </w:r>
      <w:r>
        <w:rPr>
          <w:rStyle w:val="NormalTok"/>
        </w:rPr>
        <w:t xml:space="preserve"> window_starts(</w:t>
      </w:r>
      <w:r>
        <w:rPr>
          <w:rStyle w:val="VariableTok"/>
        </w:rPr>
        <w:t xml:space="preserve">self</w:t>
      </w:r>
      <w:r>
        <w:rPr>
          <w:rStyle w:val="NormalTok"/>
        </w:rPr>
        <w:t xml:space="preserve">, ts):</w:t>
      </w:r>
      <w:r>
        <w:br/>
      </w:r>
      <w:r>
        <w:rPr>
          <w:rStyle w:val="NormalTok"/>
        </w:rPr>
        <w:t xml:space="preserve">        start </w:t>
      </w:r>
      <w:r>
        <w:rPr>
          <w:rStyle w:val="OperatorTok"/>
        </w:rPr>
        <w:t xml:space="preserve">=</w:t>
      </w:r>
      <w:r>
        <w:rPr>
          <w:rStyle w:val="NormalTok"/>
        </w:rPr>
        <w:t xml:space="preserve"> math.floor(ts </w:t>
      </w:r>
      <w:r>
        <w:rPr>
          <w:rStyle w:val="OperatorTok"/>
        </w:rPr>
        <w:t xml:space="preserve">/</w:t>
      </w:r>
      <w:r>
        <w:rPr>
          <w:rStyle w:val="NormalTok"/>
        </w:rPr>
        <w:t xml:space="preserve"> </w:t>
      </w:r>
      <w:r>
        <w:rPr>
          <w:rStyle w:val="VariableTok"/>
        </w:rPr>
        <w:t xml:space="preserve">self</w:t>
      </w:r>
      <w:r>
        <w:rPr>
          <w:rStyle w:val="NormalTok"/>
        </w:rPr>
        <w:t xml:space="preserve">.slide) </w:t>
      </w:r>
      <w:r>
        <w:rPr>
          <w:rStyle w:val="OperatorTok"/>
        </w:rPr>
        <w:t xml:space="preserve">*</w:t>
      </w:r>
      <w:r>
        <w:rPr>
          <w:rStyle w:val="NormalTok"/>
        </w:rPr>
        <w:t xml:space="preserve"> </w:t>
      </w:r>
      <w:r>
        <w:rPr>
          <w:rStyle w:val="VariableTok"/>
        </w:rPr>
        <w:t xml:space="preserve">self</w:t>
      </w:r>
      <w:r>
        <w:rPr>
          <w:rStyle w:val="NormalTok"/>
        </w:rPr>
        <w:t xml:space="preserve">.slide</w:t>
      </w:r>
      <w:r>
        <w:br/>
      </w:r>
      <w:r>
        <w:rPr>
          <w:rStyle w:val="NormalTok"/>
        </w:rPr>
        <w:t xml:space="preserve">        starts </w:t>
      </w:r>
      <w:r>
        <w:rPr>
          <w:rStyle w:val="OperatorTok"/>
        </w:rPr>
        <w:t xml:space="preserve">=</w:t>
      </w:r>
      <w:r>
        <w:rPr>
          <w:rStyle w:val="NormalTok"/>
        </w:rPr>
        <w:t xml:space="preserve"> []</w:t>
      </w:r>
      <w:r>
        <w:br/>
      </w:r>
      <w:r>
        <w:rPr>
          <w:rStyle w:val="NormalTok"/>
        </w:rPr>
        <w:t xml:space="preserve">        </w:t>
      </w:r>
      <w:r>
        <w:rPr>
          <w:rStyle w:val="ControlFlowTok"/>
        </w:rPr>
        <w:t xml:space="preserve">while</w:t>
      </w:r>
      <w:r>
        <w:rPr>
          <w:rStyle w:val="NormalTok"/>
        </w:rPr>
        <w:t xml:space="preserve"> start </w:t>
      </w:r>
      <w:r>
        <w:rPr>
          <w:rStyle w:val="OperatorTok"/>
        </w:rPr>
        <w:t xml:space="preserve">&gt;</w:t>
      </w:r>
      <w:r>
        <w:rPr>
          <w:rStyle w:val="NormalTok"/>
        </w:rPr>
        <w:t xml:space="preserve"> ts </w:t>
      </w:r>
      <w:r>
        <w:rPr>
          <w:rStyle w:val="OperatorTok"/>
        </w:rPr>
        <w:t xml:space="preserve">-</w:t>
      </w:r>
      <w:r>
        <w:rPr>
          <w:rStyle w:val="NormalTok"/>
        </w:rPr>
        <w:t xml:space="preserve"> </w:t>
      </w:r>
      <w:r>
        <w:rPr>
          <w:rStyle w:val="VariableTok"/>
        </w:rPr>
        <w:t xml:space="preserve">self</w:t>
      </w:r>
      <w:r>
        <w:rPr>
          <w:rStyle w:val="NormalTok"/>
        </w:rPr>
        <w:t xml:space="preserve">.size:                       </w:t>
      </w:r>
      <w:r>
        <w:rPr>
          <w:rStyle w:val="CommentTok"/>
        </w:rPr>
        <w:t xml:space="preserve"># every window [s, s+size) holding ts</w:t>
      </w:r>
      <w:r>
        <w:br/>
      </w:r>
      <w:r>
        <w:rPr>
          <w:rStyle w:val="NormalTok"/>
        </w:rPr>
        <w:t xml:space="preserve">            starts.append(start)</w:t>
      </w:r>
      <w:r>
        <w:br/>
      </w:r>
      <w:r>
        <w:rPr>
          <w:rStyle w:val="NormalTok"/>
        </w:rPr>
        <w:t xml:space="preserve">            start </w:t>
      </w:r>
      <w:r>
        <w:rPr>
          <w:rStyle w:val="OperatorTok"/>
        </w:rPr>
        <w:t xml:space="preserve">-=</w:t>
      </w:r>
      <w:r>
        <w:rPr>
          <w:rStyle w:val="NormalTok"/>
        </w:rPr>
        <w:t xml:space="preserve"> </w:t>
      </w:r>
      <w:r>
        <w:rPr>
          <w:rStyle w:val="VariableTok"/>
        </w:rPr>
        <w:t xml:space="preserve">self</w:t>
      </w:r>
      <w:r>
        <w:rPr>
          <w:rStyle w:val="NormalTok"/>
        </w:rPr>
        <w:t xml:space="preserve">.slide</w:t>
      </w:r>
      <w:r>
        <w:br/>
      </w:r>
      <w:r>
        <w:rPr>
          <w:rStyle w:val="NormalTok"/>
        </w:rPr>
        <w:t xml:space="preserve">        </w:t>
      </w:r>
      <w:r>
        <w:rPr>
          <w:rStyle w:val="ControlFlowTok"/>
        </w:rPr>
        <w:t xml:space="preserve">return</w:t>
      </w:r>
      <w:r>
        <w:rPr>
          <w:rStyle w:val="NormalTok"/>
        </w:rPr>
        <w:t xml:space="preserve"> starts</w:t>
      </w:r>
      <w:r>
        <w:br/>
      </w:r>
      <w:r>
        <w:br/>
      </w:r>
      <w:r>
        <w:rPr>
          <w:rStyle w:val="NormalTok"/>
        </w:rPr>
        <w:t xml:space="preserve">    </w:t>
      </w:r>
      <w:r>
        <w:rPr>
          <w:rStyle w:val="KeywordTok"/>
        </w:rPr>
        <w:t xml:space="preserve">def</w:t>
      </w:r>
      <w:r>
        <w:rPr>
          <w:rStyle w:val="NormalTok"/>
        </w:rPr>
        <w:t xml:space="preserve"> on_event(</w:t>
      </w:r>
      <w:r>
        <w:rPr>
          <w:rStyle w:val="VariableTok"/>
        </w:rPr>
        <w:t xml:space="preserve">self</w:t>
      </w:r>
      <w:r>
        <w:rPr>
          <w:rStyle w:val="NormalTok"/>
        </w:rPr>
        <w:t xml:space="preserve">, ts, key, now):</w:t>
      </w:r>
      <w:r>
        <w:br/>
      </w:r>
      <w:r>
        <w:rPr>
          <w:rStyle w:val="NormalTok"/>
        </w:rPr>
        <w:t xml:space="preserve">        </w:t>
      </w:r>
      <w:r>
        <w:rPr>
          <w:rStyle w:val="ControlFlowTok"/>
        </w:rPr>
        <w:t xml:space="preserve">for</w:t>
      </w:r>
      <w:r>
        <w:rPr>
          <w:rStyle w:val="NormalTok"/>
        </w:rPr>
        <w:t xml:space="preserve"> start </w:t>
      </w:r>
      <w:r>
        <w:rPr>
          <w:rStyle w:val="KeywordTok"/>
        </w:rPr>
        <w:t xml:space="preserve">in</w:t>
      </w:r>
      <w:r>
        <w:rPr>
          <w:rStyle w:val="NormalTok"/>
        </w:rPr>
        <w:t xml:space="preserve"> </w:t>
      </w:r>
      <w:r>
        <w:rPr>
          <w:rStyle w:val="VariableTok"/>
        </w:rPr>
        <w:t xml:space="preserve">self</w:t>
      </w:r>
      <w:r>
        <w:rPr>
          <w:rStyle w:val="NormalTok"/>
        </w:rPr>
        <w:t xml:space="preserve">.window_starts(ts):</w:t>
      </w:r>
      <w:r>
        <w:br/>
      </w:r>
      <w:r>
        <w:rPr>
          <w:rStyle w:val="NormalTok"/>
        </w:rPr>
        <w:t xml:space="preserve">            w </w:t>
      </w:r>
      <w:r>
        <w:rPr>
          <w:rStyle w:val="OperatorTok"/>
        </w:rPr>
        <w:t xml:space="preserve">=</w:t>
      </w:r>
      <w:r>
        <w:rPr>
          <w:rStyle w:val="NormalTok"/>
        </w:rPr>
        <w:t xml:space="preserve"> (key, start)</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.watermark </w:t>
      </w:r>
      <w:r>
        <w:rPr>
          <w:rStyle w:val="OperatorTok"/>
        </w:rPr>
        <w:t xml:space="preserve">&gt;=</w:t>
      </w:r>
      <w:r>
        <w:rPr>
          <w:rStyle w:val="NormalTok"/>
        </w:rPr>
        <w:t xml:space="preserve"> start </w:t>
      </w:r>
      <w:r>
        <w:rPr>
          <w:rStyle w:val="OperatorTok"/>
        </w:rPr>
        <w:t xml:space="preserve">+</w:t>
      </w:r>
      <w:r>
        <w:rPr>
          <w:rStyle w:val="NormalTok"/>
        </w:rPr>
        <w:t xml:space="preserve"> </w:t>
      </w:r>
      <w:r>
        <w:rPr>
          <w:rStyle w:val="VariableTok"/>
        </w:rPr>
        <w:t xml:space="preserve">self</w:t>
      </w:r>
      <w:r>
        <w:rPr>
          <w:rStyle w:val="NormalTok"/>
        </w:rPr>
        <w:t xml:space="preserve">.size </w:t>
      </w:r>
      <w:r>
        <w:rPr>
          <w:rStyle w:val="OperatorTok"/>
        </w:rPr>
        <w:t xml:space="preserve">+</w:t>
      </w:r>
      <w:r>
        <w:rPr>
          <w:rStyle w:val="NormalTok"/>
        </w:rPr>
        <w:t xml:space="preserve"> </w:t>
      </w:r>
      <w:r>
        <w:rPr>
          <w:rStyle w:val="VariableTok"/>
        </w:rPr>
        <w:t xml:space="preserve">self</w:t>
      </w:r>
      <w:r>
        <w:rPr>
          <w:rStyle w:val="NormalTok"/>
        </w:rPr>
        <w:t xml:space="preserve">.lateness:</w:t>
      </w:r>
      <w:r>
        <w:br/>
      </w:r>
      <w:r>
        <w:rPr>
          <w:rStyle w:val="NormalTok"/>
        </w:rPr>
        <w:t xml:space="preserve">                </w:t>
      </w:r>
      <w:r>
        <w:rPr>
          <w:rStyle w:val="VariableTok"/>
        </w:rPr>
        <w:t xml:space="preserve">self</w:t>
      </w:r>
      <w:r>
        <w:rPr>
          <w:rStyle w:val="NormalTok"/>
        </w:rPr>
        <w:t xml:space="preserve">.dropped.append((ts, key, start))       </w:t>
      </w:r>
      <w:r>
        <w:rPr>
          <w:rStyle w:val="CommentTok"/>
        </w:rPr>
        <w:t xml:space="preserve"># state already purged: too late</w:t>
      </w:r>
      <w:r>
        <w:br/>
      </w:r>
      <w:r>
        <w:rPr>
          <w:rStyle w:val="NormalTok"/>
        </w:rPr>
        <w:t xml:space="preserve">                </w:t>
      </w:r>
      <w:r>
        <w:rPr>
          <w:rStyle w:val="ControlFlowTok"/>
        </w:rPr>
        <w:t xml:space="preserve">continue</w:t>
      </w:r>
      <w:r>
        <w:br/>
      </w:r>
      <w:r>
        <w:rPr>
          <w:rStyle w:val="NormalTok"/>
        </w:rPr>
        <w:t xml:space="preserve">            </w:t>
      </w:r>
      <w:r>
        <w:rPr>
          <w:rStyle w:val="VariableTok"/>
        </w:rPr>
        <w:t xml:space="preserve">self</w:t>
      </w:r>
      <w:r>
        <w:rPr>
          <w:rStyle w:val="NormalTok"/>
        </w:rPr>
        <w:t xml:space="preserve">.state[w] </w:t>
      </w:r>
      <w:r>
        <w:rPr>
          <w:rStyle w:val="OperatorTok"/>
        </w:rPr>
        <w:t xml:space="preserve">=</w:t>
      </w:r>
      <w:r>
        <w:rPr>
          <w:rStyle w:val="NormalTok"/>
        </w:rPr>
        <w:t xml:space="preserve"> </w:t>
      </w:r>
      <w:r>
        <w:rPr>
          <w:rStyle w:val="VariableTok"/>
        </w:rPr>
        <w:t xml:space="preserve">self</w:t>
      </w:r>
      <w:r>
        <w:rPr>
          <w:rStyle w:val="NormalTok"/>
        </w:rPr>
        <w:t xml:space="preserve">.state.get(w,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w </w:t>
      </w:r>
      <w:r>
        <w:rPr>
          <w:rStyle w:val="KeywordTok"/>
        </w:rPr>
        <w:t xml:space="preserve">in</w:t>
      </w:r>
      <w:r>
        <w:rPr>
          <w:rStyle w:val="NormalTok"/>
        </w:rPr>
        <w:t xml:space="preserve"> </w:t>
      </w:r>
      <w:r>
        <w:rPr>
          <w:rStyle w:val="VariableTok"/>
        </w:rPr>
        <w:t xml:space="preserve">self</w:t>
      </w:r>
      <w:r>
        <w:rPr>
          <w:rStyle w:val="NormalTok"/>
        </w:rPr>
        <w:t xml:space="preserve">.fired:                             </w:t>
      </w:r>
      <w:r>
        <w:rPr>
          <w:rStyle w:val="CommentTok"/>
        </w:rPr>
        <w:t xml:space="preserve"># late, but within allowed lateness</w:t>
      </w:r>
      <w:r>
        <w:br/>
      </w:r>
      <w:r>
        <w:rPr>
          <w:rStyle w:val="NormalTok"/>
        </w:rPr>
        <w:t xml:space="preserve">                </w:t>
      </w:r>
      <w:r>
        <w:rPr>
          <w:rStyle w:val="VariableTok"/>
        </w:rPr>
        <w:t xml:space="preserve">self</w:t>
      </w:r>
      <w:r>
        <w:rPr>
          <w:rStyle w:val="NormalTok"/>
        </w:rPr>
        <w:t xml:space="preserve">.output.append((</w:t>
      </w:r>
      <w:r>
        <w:rPr>
          <w:rStyle w:val="StringTok"/>
        </w:rPr>
        <w:t xml:space="preserve">"LATE"</w:t>
      </w:r>
      <w:r>
        <w:rPr>
          <w:rStyle w:val="NormalTok"/>
        </w:rPr>
        <w:t xml:space="preserve">, key, start, start </w:t>
      </w:r>
      <w:r>
        <w:rPr>
          <w:rStyle w:val="OperatorTok"/>
        </w:rPr>
        <w:t xml:space="preserve">+</w:t>
      </w:r>
      <w:r>
        <w:rPr>
          <w:rStyle w:val="NormalTok"/>
        </w:rPr>
        <w:t xml:space="preserve"> </w:t>
      </w:r>
      <w:r>
        <w:rPr>
          <w:rStyle w:val="VariableTok"/>
        </w:rPr>
        <w:t xml:space="preserve">self</w:t>
      </w:r>
      <w:r>
        <w:rPr>
          <w:rStyle w:val="NormalTok"/>
        </w:rPr>
        <w:t xml:space="preserve">.size, </w:t>
      </w:r>
      <w:r>
        <w:rPr>
          <w:rStyle w:val="VariableTok"/>
        </w:rPr>
        <w:t xml:space="preserve">self</w:t>
      </w:r>
      <w:r>
        <w:rPr>
          <w:rStyle w:val="NormalTok"/>
        </w:rPr>
        <w:t xml:space="preserve">.state[w], now))</w:t>
      </w:r>
      <w:r>
        <w:br/>
      </w:r>
      <w:r>
        <w:rPr>
          <w:rStyle w:val="NormalTok"/>
        </w:rPr>
        <w:t xml:space="preserve">        </w:t>
      </w:r>
      <w:r>
        <w:rPr>
          <w:rStyle w:val="VariableTok"/>
        </w:rPr>
        <w:t xml:space="preserve">self</w:t>
      </w:r>
      <w:r>
        <w:rPr>
          <w:rStyle w:val="NormalTok"/>
        </w:rPr>
        <w:t xml:space="preserve">.max_ts </w:t>
      </w:r>
      <w:r>
        <w:rPr>
          <w:rStyle w:val="OperatorTok"/>
        </w:rPr>
        <w:t xml:space="preserve">=</w:t>
      </w:r>
      <w:r>
        <w:rPr>
          <w:rStyle w:val="NormalTok"/>
        </w:rPr>
        <w:t xml:space="preserve"> </w:t>
      </w:r>
      <w:r>
        <w:rPr>
          <w:rStyle w:val="BuiltInTok"/>
        </w:rPr>
        <w:t xml:space="preserve">max</w:t>
      </w:r>
      <w:r>
        <w:rPr>
          <w:rStyle w:val="NormalTok"/>
        </w:rPr>
        <w:t xml:space="preserve">(</w:t>
      </w:r>
      <w:r>
        <w:rPr>
          <w:rStyle w:val="VariableTok"/>
        </w:rPr>
        <w:t xml:space="preserve">self</w:t>
      </w:r>
      <w:r>
        <w:rPr>
          <w:rStyle w:val="NormalTok"/>
        </w:rPr>
        <w:t xml:space="preserve">.max_ts, ts)</w:t>
      </w:r>
      <w:r>
        <w:br/>
      </w:r>
      <w:r>
        <w:rPr>
          <w:rStyle w:val="NormalTok"/>
        </w:rPr>
        <w:t xml:space="preserve">        </w:t>
      </w:r>
      <w:r>
        <w:rPr>
          <w:rStyle w:val="VariableTok"/>
        </w:rPr>
        <w:t xml:space="preserve">self</w:t>
      </w:r>
      <w:r>
        <w:rPr>
          <w:rStyle w:val="NormalTok"/>
        </w:rPr>
        <w:t xml:space="preserve">._on_watermark(now)</w:t>
      </w:r>
      <w:r>
        <w:br/>
      </w:r>
      <w:r>
        <w:br/>
      </w:r>
      <w:r>
        <w:rPr>
          <w:rStyle w:val="NormalTok"/>
        </w:rPr>
        <w:t xml:space="preserve">    </w:t>
      </w:r>
      <w:r>
        <w:rPr>
          <w:rStyle w:val="KeywordTok"/>
        </w:rPr>
        <w:t xml:space="preserve">def</w:t>
      </w:r>
      <w:r>
        <w:rPr>
          <w:rStyle w:val="NormalTok"/>
        </w:rPr>
        <w:t xml:space="preserve"> _on_watermark(</w:t>
      </w:r>
      <w:r>
        <w:rPr>
          <w:rStyle w:val="VariableTok"/>
        </w:rPr>
        <w:t xml:space="preserve">self</w:t>
      </w:r>
      <w:r>
        <w:rPr>
          <w:rStyle w:val="NormalTok"/>
        </w:rPr>
        <w:t xml:space="preserve">, now):</w:t>
      </w:r>
      <w:r>
        <w:br/>
      </w:r>
      <w:r>
        <w:rPr>
          <w:rStyle w:val="NormalTok"/>
        </w:rPr>
        <w:t xml:space="preserve">        wm </w:t>
      </w:r>
      <w:r>
        <w:rPr>
          <w:rStyle w:val="OperatorTok"/>
        </w:rPr>
        <w:t xml:space="preserve">=</w:t>
      </w:r>
      <w:r>
        <w:rPr>
          <w:rStyle w:val="NormalTok"/>
        </w:rPr>
        <w:t xml:space="preserve"> </w:t>
      </w:r>
      <w:r>
        <w:rPr>
          <w:rStyle w:val="VariableTok"/>
        </w:rPr>
        <w:t xml:space="preserve">self</w:t>
      </w:r>
      <w:r>
        <w:rPr>
          <w:rStyle w:val="NormalTok"/>
        </w:rPr>
        <w:t xml:space="preserve">.watermark</w:t>
      </w:r>
      <w:r>
        <w:br/>
      </w:r>
      <w:r>
        <w:rPr>
          <w:rStyle w:val="NormalTok"/>
        </w:rPr>
        <w:t xml:space="preserve">        </w:t>
      </w:r>
      <w:r>
        <w:rPr>
          <w:rStyle w:val="ControlFlowTok"/>
        </w:rPr>
        <w:t xml:space="preserve">for</w:t>
      </w:r>
      <w:r>
        <w:rPr>
          <w:rStyle w:val="NormalTok"/>
        </w:rPr>
        <w:t xml:space="preserve"> w </w:t>
      </w:r>
      <w:r>
        <w:rPr>
          <w:rStyle w:val="KeywordTok"/>
        </w:rPr>
        <w:t xml:space="preserve">in</w:t>
      </w:r>
      <w:r>
        <w:rPr>
          <w:rStyle w:val="NormalTok"/>
        </w:rPr>
        <w:t xml:space="preserve"> </w:t>
      </w:r>
      <w:r>
        <w:rPr>
          <w:rStyle w:val="BuiltInTok"/>
        </w:rPr>
        <w:t xml:space="preserve">sorted</w:t>
      </w:r>
      <w:r>
        <w:rPr>
          <w:rStyle w:val="NormalTok"/>
        </w:rPr>
        <w:t xml:space="preserve">(</w:t>
      </w:r>
      <w:r>
        <w:rPr>
          <w:rStyle w:val="VariableTok"/>
        </w:rPr>
        <w:t xml:space="preserve">self</w:t>
      </w:r>
      <w:r>
        <w:rPr>
          <w:rStyle w:val="NormalTok"/>
        </w:rPr>
        <w:t xml:space="preserve">.state):</w:t>
      </w:r>
      <w:r>
        <w:br/>
      </w:r>
      <w:r>
        <w:rPr>
          <w:rStyle w:val="NormalTok"/>
        </w:rPr>
        <w:t xml:space="preserve">            key, start </w:t>
      </w:r>
      <w:r>
        <w:rPr>
          <w:rStyle w:val="OperatorTok"/>
        </w:rPr>
        <w:t xml:space="preserve">=</w:t>
      </w:r>
      <w:r>
        <w:rPr>
          <w:rStyle w:val="NormalTok"/>
        </w:rPr>
        <w:t xml:space="preserve"> w</w:t>
      </w:r>
      <w:r>
        <w:br/>
      </w:r>
      <w:r>
        <w:rPr>
          <w:rStyle w:val="NormalTok"/>
        </w:rPr>
        <w:t xml:space="preserve">            end </w:t>
      </w:r>
      <w:r>
        <w:rPr>
          <w:rStyle w:val="OperatorTok"/>
        </w:rPr>
        <w:t xml:space="preserve">=</w:t>
      </w:r>
      <w:r>
        <w:rPr>
          <w:rStyle w:val="NormalTok"/>
        </w:rPr>
        <w:t xml:space="preserve"> start </w:t>
      </w:r>
      <w:r>
        <w:rPr>
          <w:rStyle w:val="OperatorTok"/>
        </w:rPr>
        <w:t xml:space="preserve">+</w:t>
      </w:r>
      <w:r>
        <w:rPr>
          <w:rStyle w:val="NormalTok"/>
        </w:rPr>
        <w:t xml:space="preserve"> </w:t>
      </w:r>
      <w:r>
        <w:rPr>
          <w:rStyle w:val="VariableTok"/>
        </w:rPr>
        <w:t xml:space="preserve">self</w:t>
      </w:r>
      <w:r>
        <w:rPr>
          <w:rStyle w:val="NormalTok"/>
        </w:rPr>
        <w:t xml:space="preserve">.size</w:t>
      </w:r>
      <w:r>
        <w:br/>
      </w:r>
      <w:r>
        <w:rPr>
          <w:rStyle w:val="NormalTok"/>
        </w:rPr>
        <w:t xml:space="preserve">            </w:t>
      </w:r>
      <w:r>
        <w:rPr>
          <w:rStyle w:val="ControlFlowTok"/>
        </w:rPr>
        <w:t xml:space="preserve">if</w:t>
      </w:r>
      <w:r>
        <w:rPr>
          <w:rStyle w:val="NormalTok"/>
        </w:rPr>
        <w:t xml:space="preserve"> wm </w:t>
      </w:r>
      <w:r>
        <w:rPr>
          <w:rStyle w:val="OperatorTok"/>
        </w:rPr>
        <w:t xml:space="preserve">&gt;=</w:t>
      </w:r>
      <w:r>
        <w:rPr>
          <w:rStyle w:val="NormalTok"/>
        </w:rPr>
        <w:t xml:space="preserve"> end </w:t>
      </w:r>
      <w:r>
        <w:rPr>
          <w:rStyle w:val="KeywordTok"/>
        </w:rPr>
        <w:t xml:space="preserve">and</w:t>
      </w:r>
      <w:r>
        <w:rPr>
          <w:rStyle w:val="NormalTok"/>
        </w:rPr>
        <w:t xml:space="preserve"> w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.fired:           </w:t>
      </w:r>
      <w:r>
        <w:rPr>
          <w:rStyle w:val="CommentTok"/>
        </w:rPr>
        <w:t xml:space="preserve"># event-time trigger</w:t>
      </w:r>
      <w:r>
        <w:br/>
      </w:r>
      <w:r>
        <w:rPr>
          <w:rStyle w:val="NormalTok"/>
        </w:rPr>
        <w:t xml:space="preserve">                </w:t>
      </w:r>
      <w:r>
        <w:rPr>
          <w:rStyle w:val="VariableTok"/>
        </w:rPr>
        <w:t xml:space="preserve">self</w:t>
      </w:r>
      <w:r>
        <w:rPr>
          <w:rStyle w:val="NormalTok"/>
        </w:rPr>
        <w:t xml:space="preserve">.fired.add(w)</w:t>
      </w:r>
      <w:r>
        <w:br/>
      </w:r>
      <w:r>
        <w:rPr>
          <w:rStyle w:val="NormalTok"/>
        </w:rPr>
        <w:t xml:space="preserve">                </w:t>
      </w:r>
      <w:r>
        <w:rPr>
          <w:rStyle w:val="VariableTok"/>
        </w:rPr>
        <w:t xml:space="preserve">self</w:t>
      </w:r>
      <w:r>
        <w:rPr>
          <w:rStyle w:val="NormalTok"/>
        </w:rPr>
        <w:t xml:space="preserve">.output.append((</w:t>
      </w:r>
      <w:r>
        <w:rPr>
          <w:rStyle w:val="StringTok"/>
        </w:rPr>
        <w:t xml:space="preserve">"ON_TIME"</w:t>
      </w:r>
      <w:r>
        <w:rPr>
          <w:rStyle w:val="NormalTok"/>
        </w:rPr>
        <w:t xml:space="preserve">, key, start, end, </w:t>
      </w:r>
      <w:r>
        <w:rPr>
          <w:rStyle w:val="VariableTok"/>
        </w:rPr>
        <w:t xml:space="preserve">self</w:t>
      </w:r>
      <w:r>
        <w:rPr>
          <w:rStyle w:val="NormalTok"/>
        </w:rPr>
        <w:t xml:space="preserve">.state[w], now))</w:t>
      </w:r>
      <w:r>
        <w:br/>
      </w:r>
      <w:r>
        <w:rPr>
          <w:rStyle w:val="NormalTok"/>
        </w:rPr>
        <w:t xml:space="preserve">            </w:t>
      </w:r>
      <w:r>
        <w:rPr>
          <w:rStyle w:val="ControlFlowTok"/>
        </w:rPr>
        <w:t xml:space="preserve">if</w:t>
      </w:r>
      <w:r>
        <w:rPr>
          <w:rStyle w:val="NormalTok"/>
        </w:rPr>
        <w:t xml:space="preserve"> wm </w:t>
      </w:r>
      <w:r>
        <w:rPr>
          <w:rStyle w:val="OperatorTok"/>
        </w:rPr>
        <w:t xml:space="preserve">&gt;=</w:t>
      </w:r>
      <w:r>
        <w:rPr>
          <w:rStyle w:val="NormalTok"/>
        </w:rPr>
        <w:t xml:space="preserve"> end </w:t>
      </w:r>
      <w:r>
        <w:rPr>
          <w:rStyle w:val="OperatorTok"/>
        </w:rPr>
        <w:t xml:space="preserve">+</w:t>
      </w:r>
      <w:r>
        <w:rPr>
          <w:rStyle w:val="NormalTok"/>
        </w:rPr>
        <w:t xml:space="preserve"> </w:t>
      </w:r>
      <w:r>
        <w:rPr>
          <w:rStyle w:val="VariableTok"/>
        </w:rPr>
        <w:t xml:space="preserve">self</w:t>
      </w:r>
      <w:r>
        <w:rPr>
          <w:rStyle w:val="NormalTok"/>
        </w:rPr>
        <w:t xml:space="preserve">.lateness:                   </w:t>
      </w:r>
      <w:r>
        <w:rPr>
          <w:rStyle w:val="CommentTok"/>
        </w:rPr>
        <w:t xml:space="preserve"># garbage-collect window state</w:t>
      </w:r>
      <w:r>
        <w:br/>
      </w:r>
      <w:r>
        <w:rPr>
          <w:rStyle w:val="NormalTok"/>
        </w:rPr>
        <w:t xml:space="preserve">                </w:t>
      </w:r>
      <w:r>
        <w:rPr>
          <w:rStyle w:val="KeywordTok"/>
        </w:rPr>
        <w:t xml:space="preserve">del</w:t>
      </w:r>
      <w:r>
        <w:rPr>
          <w:rStyle w:val="NormalTok"/>
        </w:rPr>
        <w:t xml:space="preserve"> </w:t>
      </w:r>
      <w:r>
        <w:rPr>
          <w:rStyle w:val="VariableTok"/>
        </w:rPr>
        <w:t xml:space="preserve">self</w:t>
      </w:r>
      <w:r>
        <w:rPr>
          <w:rStyle w:val="NormalTok"/>
        </w:rPr>
        <w:t xml:space="preserve">.state[w]</w:t>
      </w:r>
      <w:r>
        <w:br/>
      </w:r>
      <w:r>
        <w:rPr>
          <w:rStyle w:val="NormalTok"/>
        </w:rPr>
        <w:t xml:space="preserve">                </w:t>
      </w:r>
      <w:r>
        <w:rPr>
          <w:rStyle w:val="VariableTok"/>
        </w:rPr>
        <w:t xml:space="preserve">self</w:t>
      </w:r>
      <w:r>
        <w:rPr>
          <w:rStyle w:val="NormalTok"/>
        </w:rPr>
        <w:t xml:space="preserve">.fired.discard(w)</w:t>
      </w:r>
      <w:r>
        <w:br/>
      </w:r>
      <w:r>
        <w:br/>
      </w:r>
      <w:r>
        <w:rPr>
          <w:rStyle w:val="NormalTok"/>
        </w:rPr>
        <w:t xml:space="preserve">    </w:t>
      </w:r>
      <w:r>
        <w:rPr>
          <w:rStyle w:val="KeywordTok"/>
        </w:rPr>
        <w:t xml:space="preserve">def</w:t>
      </w:r>
      <w:r>
        <w:rPr>
          <w:rStyle w:val="NormalTok"/>
        </w:rPr>
        <w:t xml:space="preserve"> end_of_input(</w:t>
      </w:r>
      <w:r>
        <w:rPr>
          <w:rStyle w:val="VariableTok"/>
        </w:rPr>
        <w:t xml:space="preserve">self</w:t>
      </w:r>
      <w:r>
        <w:rPr>
          <w:rStyle w:val="NormalTok"/>
        </w:rPr>
        <w:t xml:space="preserve">, now):</w:t>
      </w:r>
      <w:r>
        <w:br/>
      </w:r>
      <w:r>
        <w:rPr>
          <w:rStyle w:val="NormalTok"/>
        </w:rPr>
        <w:t xml:space="preserve">        </w:t>
      </w:r>
      <w:r>
        <w:rPr>
          <w:rStyle w:val="VariableTok"/>
        </w:rPr>
        <w:t xml:space="preserve">self</w:t>
      </w:r>
      <w:r>
        <w:rPr>
          <w:rStyle w:val="NormalTok"/>
        </w:rPr>
        <w:t xml:space="preserve">.max_ts </w:t>
      </w:r>
      <w:r>
        <w:rPr>
          <w:rStyle w:val="OperatorTok"/>
        </w:rPr>
        <w:t xml:space="preserve">=</w:t>
      </w:r>
      <w:r>
        <w:rPr>
          <w:rStyle w:val="NormalTok"/>
        </w:rPr>
        <w:t xml:space="preserve"> math.inf                              </w:t>
      </w:r>
      <w:r>
        <w:rPr>
          <w:rStyle w:val="CommentTok"/>
        </w:rPr>
        <w:t xml:space="preserve"># final watermark flushes everything</w:t>
      </w:r>
      <w:r>
        <w:br/>
      </w:r>
      <w:r>
        <w:rPr>
          <w:rStyle w:val="NormalTok"/>
        </w:rPr>
        <w:t xml:space="preserve">        </w:t>
      </w:r>
      <w:r>
        <w:rPr>
          <w:rStyle w:val="VariableTok"/>
        </w:rPr>
        <w:t xml:space="preserve">self</w:t>
      </w:r>
      <w:r>
        <w:rPr>
          <w:rStyle w:val="NormalTok"/>
        </w:rPr>
        <w:t xml:space="preserve">._on_watermark(now)</w:t>
      </w:r>
      <w:r>
        <w:br/>
      </w:r>
      <w:r>
        <w:br/>
      </w:r>
      <w:r>
        <w:br/>
      </w:r>
      <w:r>
        <w:rPr>
          <w:rStyle w:val="KeywordTok"/>
        </w:rPr>
        <w:t xml:space="preserve">def</w:t>
      </w:r>
      <w:r>
        <w:rPr>
          <w:rStyle w:val="NormalTok"/>
        </w:rPr>
        <w:t xml:space="preserve"> run(events, </w:t>
      </w:r>
      <w:r>
        <w:rPr>
          <w:rStyle w:val="OperatorTok"/>
        </w:rPr>
        <w:t xml:space="preserve">**</w:t>
      </w:r>
      <w:r>
        <w:rPr>
          <w:rStyle w:val="NormalTok"/>
        </w:rPr>
        <w:t xml:space="preserve">cfg):</w:t>
      </w:r>
      <w:r>
        <w:br/>
      </w:r>
      <w:r>
        <w:rPr>
          <w:rStyle w:val="NormalTok"/>
        </w:rPr>
        <w:t xml:space="preserve">    </w:t>
      </w:r>
      <w:r>
        <w:rPr>
          <w:rStyle w:val="CommentTok"/>
        </w:rPr>
        <w:t xml:space="preserve">"""events: (event_time, key, arrival_time); processed in arrival order."""</w:t>
      </w:r>
      <w:r>
        <w:br/>
      </w:r>
      <w:r>
        <w:rPr>
          <w:rStyle w:val="NormalTok"/>
        </w:rPr>
        <w:t xml:space="preserve">    op </w:t>
      </w:r>
      <w:r>
        <w:rPr>
          <w:rStyle w:val="OperatorTok"/>
        </w:rPr>
        <w:t xml:space="preserve">=</w:t>
      </w:r>
      <w:r>
        <w:rPr>
          <w:rStyle w:val="NormalTok"/>
        </w:rPr>
        <w:t xml:space="preserve"> EventTimeWindower(</w:t>
      </w:r>
      <w:r>
        <w:rPr>
          <w:rStyle w:val="OperatorTok"/>
        </w:rPr>
        <w:t xml:space="preserve">**</w:t>
      </w:r>
      <w:r>
        <w:rPr>
          <w:rStyle w:val="NormalTok"/>
        </w:rPr>
        <w:t xml:space="preserve">cfg)</w:t>
      </w:r>
      <w:r>
        <w:br/>
      </w:r>
      <w:r>
        <w:rPr>
          <w:rStyle w:val="NormalTok"/>
        </w:rPr>
        <w:t xml:space="preserve">    </w:t>
      </w:r>
      <w:r>
        <w:rPr>
          <w:rStyle w:val="ControlFlowTok"/>
        </w:rPr>
        <w:t xml:space="preserve">for</w:t>
      </w:r>
      <w:r>
        <w:rPr>
          <w:rStyle w:val="NormalTok"/>
        </w:rPr>
        <w:t xml:space="preserve"> ts, key, arrival </w:t>
      </w:r>
      <w:r>
        <w:rPr>
          <w:rStyle w:val="KeywordTok"/>
        </w:rPr>
        <w:t xml:space="preserve">in</w:t>
      </w:r>
      <w:r>
        <w:rPr>
          <w:rStyle w:val="NormalTok"/>
        </w:rPr>
        <w:t xml:space="preserve"> </w:t>
      </w:r>
      <w:r>
        <w:rPr>
          <w:rStyle w:val="BuiltInTok"/>
        </w:rPr>
        <w:t xml:space="preserve">sorted</w:t>
      </w:r>
      <w:r>
        <w:rPr>
          <w:rStyle w:val="NormalTok"/>
        </w:rPr>
        <w:t xml:space="preserve">(events, key</w:t>
      </w:r>
      <w:r>
        <w:rPr>
          <w:rStyle w:val="OperatorTok"/>
        </w:rPr>
        <w:t xml:space="preserve">=</w:t>
      </w:r>
      <w:r>
        <w:rPr>
          <w:rStyle w:val="KeywordTok"/>
        </w:rPr>
        <w:t xml:space="preserve">lambda</w:t>
      </w:r>
      <w:r>
        <w:rPr>
          <w:rStyle w:val="NormalTok"/>
        </w:rPr>
        <w:t xml:space="preserve"> e: e[</w:t>
      </w:r>
      <w:r>
        <w:rPr>
          <w:rStyle w:val="DecValTok"/>
        </w:rPr>
        <w:t xml:space="preserve">2</w:t>
      </w:r>
      <w:r>
        <w:rPr>
          <w:rStyle w:val="NormalTok"/>
        </w:rPr>
        <w:t xml:space="preserve">]):</w:t>
      </w:r>
      <w:r>
        <w:br/>
      </w:r>
      <w:r>
        <w:rPr>
          <w:rStyle w:val="NormalTok"/>
        </w:rPr>
        <w:t xml:space="preserve">        op.on_event(ts, key, arrival)</w:t>
      </w:r>
      <w:r>
        <w:br/>
      </w:r>
      <w:r>
        <w:rPr>
          <w:rStyle w:val="NormalTok"/>
        </w:rPr>
        <w:t xml:space="preserve">    op.end_of_input(</w:t>
      </w:r>
      <w:r>
        <w:rPr>
          <w:rStyle w:val="BuiltInTok"/>
        </w:rPr>
        <w:t xml:space="preserve">max</w:t>
      </w:r>
      <w:r>
        <w:rPr>
          <w:rStyle w:val="NormalTok"/>
        </w:rPr>
        <w:t xml:space="preserve">(e[</w:t>
      </w:r>
      <w:r>
        <w:rPr>
          <w:rStyle w:val="DecValTok"/>
        </w:rPr>
        <w:t xml:space="preserve">2</w:t>
      </w:r>
      <w:r>
        <w:rPr>
          <w:rStyle w:val="NormalTok"/>
        </w:rPr>
        <w:t xml:space="preserve">] </w:t>
      </w:r>
      <w:r>
        <w:rPr>
          <w:rStyle w:val="ControlFlowTok"/>
        </w:rPr>
        <w:t xml:space="preserve">for</w:t>
      </w:r>
      <w:r>
        <w:rPr>
          <w:rStyle w:val="NormalTok"/>
        </w:rPr>
        <w:t xml:space="preserve"> e </w:t>
      </w:r>
      <w:r>
        <w:rPr>
          <w:rStyle w:val="KeywordTok"/>
        </w:rPr>
        <w:t xml:space="preserve">in</w:t>
      </w:r>
      <w:r>
        <w:rPr>
          <w:rStyle w:val="NormalTok"/>
        </w:rPr>
        <w:t xml:space="preserve"> events))</w:t>
      </w:r>
      <w:r>
        <w:br/>
      </w:r>
      <w:r>
        <w:rPr>
          <w:rStyle w:val="NormalTok"/>
        </w:rPr>
        <w:t xml:space="preserve">    </w:t>
      </w:r>
      <w:r>
        <w:rPr>
          <w:rStyle w:val="ControlFlowTok"/>
        </w:rPr>
        <w:t xml:space="preserve">return</w:t>
      </w:r>
      <w:r>
        <w:rPr>
          <w:rStyle w:val="NormalTok"/>
        </w:rPr>
        <w:t xml:space="preserve"> op</w:t>
      </w:r>
      <w:r>
        <w:br/>
      </w:r>
      <w:r>
        <w:br/>
      </w:r>
      <w:r>
        <w:br/>
      </w:r>
      <w:r>
        <w:rPr>
          <w:rStyle w:val="KeywordTok"/>
        </w:rPr>
        <w:t xml:space="preserve">def</w:t>
      </w:r>
      <w:r>
        <w:rPr>
          <w:rStyle w:val="NormalTok"/>
        </w:rPr>
        <w:t xml:space="preserve"> late_fraction_model(mean_delay, delta, size):</w:t>
      </w:r>
      <w:r>
        <w:br/>
      </w:r>
      <w:r>
        <w:rPr>
          <w:rStyle w:val="NormalTok"/>
        </w:rPr>
        <w:t xml:space="preserve">    </w:t>
      </w:r>
      <w:r>
        <w:rPr>
          <w:rStyle w:val="CommentTok"/>
        </w:rPr>
        <w:t xml:space="preserve">"""P(event misses its tumbling window) for exponential delays, uniform position in window."""</w:t>
      </w:r>
      <w:r>
        <w:br/>
      </w:r>
      <w:r>
        <w:rPr>
          <w:rStyle w:val="NormalTok"/>
        </w:rPr>
        <w:t xml:space="preserve">    </w:t>
      </w:r>
      <w:r>
        <w:rPr>
          <w:rStyle w:val="ControlFlowTok"/>
        </w:rPr>
        <w:t xml:space="preserve">return</w:t>
      </w:r>
      <w:r>
        <w:rPr>
          <w:rStyle w:val="NormalTok"/>
        </w:rPr>
        <w:t xml:space="preserve"> (mean_delay </w:t>
      </w:r>
      <w:r>
        <w:rPr>
          <w:rStyle w:val="OperatorTok"/>
        </w:rPr>
        <w:t xml:space="preserve">/</w:t>
      </w:r>
      <w:r>
        <w:rPr>
          <w:rStyle w:val="NormalTok"/>
        </w:rPr>
        <w:t xml:space="preserve"> size) </w:t>
      </w:r>
      <w:r>
        <w:rPr>
          <w:rStyle w:val="OperatorTok"/>
        </w:rPr>
        <w:t xml:space="preserve">*</w:t>
      </w:r>
      <w:r>
        <w:rPr>
          <w:rStyle w:val="NormalTok"/>
        </w:rPr>
        <w:t xml:space="preserve"> math.exp(</w:t>
      </w:r>
      <w:r>
        <w:rPr>
          <w:rStyle w:val="OperatorTok"/>
        </w:rPr>
        <w:t xml:space="preserve">-</w:t>
      </w:r>
      <w:r>
        <w:rPr>
          <w:rStyle w:val="NormalTok"/>
        </w:rPr>
        <w:t xml:space="preserve">delta </w:t>
      </w:r>
      <w:r>
        <w:rPr>
          <w:rStyle w:val="OperatorTok"/>
        </w:rPr>
        <w:t xml:space="preserve">/</w:t>
      </w:r>
      <w:r>
        <w:rPr>
          <w:rStyle w:val="NormalTok"/>
        </w:rPr>
        <w:t xml:space="preserve"> mean_delay)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math.exp(</w:t>
      </w:r>
      <w:r>
        <w:rPr>
          <w:rStyle w:val="OperatorTok"/>
        </w:rPr>
        <w:t xml:space="preserve">-</w:t>
      </w:r>
      <w:r>
        <w:rPr>
          <w:rStyle w:val="NormalTok"/>
        </w:rPr>
        <w:t xml:space="preserve">size </w:t>
      </w:r>
      <w:r>
        <w:rPr>
          <w:rStyle w:val="OperatorTok"/>
        </w:rPr>
        <w:t xml:space="preserve">/</w:t>
      </w:r>
      <w:r>
        <w:rPr>
          <w:rStyle w:val="NormalTok"/>
        </w:rPr>
        <w:t xml:space="preserve"> mean_delay))</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mmentTok"/>
        </w:rPr>
        <w:t xml:space="preserve"># Scenario: 10 s tumbling windows, watermark 2 s behind max event time, 5 s allowed lateness.</w:t>
      </w:r>
      <w:r>
        <w:br/>
      </w:r>
      <w:r>
        <w:rPr>
          <w:rStyle w:val="NormalTok"/>
        </w:rPr>
        <w:t xml:space="preserve">    ev </w:t>
      </w:r>
      <w:r>
        <w:rPr>
          <w:rStyle w:val="OperatorTok"/>
        </w:rPr>
        <w:t xml:space="preserve">=</w:t>
      </w:r>
      <w:r>
        <w:rPr>
          <w:rStyle w:val="NormalTok"/>
        </w:rPr>
        <w:t xml:space="preserve"> [(</w:t>
      </w:r>
      <w:r>
        <w:rPr>
          <w:rStyle w:val="DecValTok"/>
        </w:rPr>
        <w:t xml:space="preserve">1</w:t>
      </w:r>
      <w:r>
        <w:rPr>
          <w:rStyle w:val="NormalTok"/>
        </w:rPr>
        <w:t xml:space="preserve">, </w:t>
      </w:r>
      <w:r>
        <w:rPr>
          <w:rStyle w:val="StringTok"/>
        </w:rPr>
        <w:t xml:space="preserve">"a"</w:t>
      </w:r>
      <w:r>
        <w:rPr>
          <w:rStyle w:val="NormalTok"/>
        </w:rPr>
        <w:t xml:space="preserve">, </w:t>
      </w:r>
      <w:r>
        <w:rPr>
          <w:rStyle w:val="FloatTok"/>
        </w:rPr>
        <w:t xml:space="preserve">1.2</w:t>
      </w:r>
      <w:r>
        <w:rPr>
          <w:rStyle w:val="NormalTok"/>
        </w:rPr>
        <w:t xml:space="preserve">), (</w:t>
      </w:r>
      <w:r>
        <w:rPr>
          <w:rStyle w:val="DecValTok"/>
        </w:rPr>
        <w:t xml:space="preserve">4</w:t>
      </w:r>
      <w:r>
        <w:rPr>
          <w:rStyle w:val="NormalTok"/>
        </w:rPr>
        <w:t xml:space="preserve">, </w:t>
      </w:r>
      <w:r>
        <w:rPr>
          <w:rStyle w:val="StringTok"/>
        </w:rPr>
        <w:t xml:space="preserve">"a"</w:t>
      </w:r>
      <w:r>
        <w:rPr>
          <w:rStyle w:val="NormalTok"/>
        </w:rPr>
        <w:t xml:space="preserve">, </w:t>
      </w:r>
      <w:r>
        <w:rPr>
          <w:rStyle w:val="FloatTok"/>
        </w:rPr>
        <w:t xml:space="preserve">4.1</w:t>
      </w:r>
      <w:r>
        <w:rPr>
          <w:rStyle w:val="NormalTok"/>
        </w:rPr>
        <w:t xml:space="preserve">), (</w:t>
      </w:r>
      <w:r>
        <w:rPr>
          <w:rStyle w:val="DecValTok"/>
        </w:rPr>
        <w:t xml:space="preserve">8</w:t>
      </w:r>
      <w:r>
        <w:rPr>
          <w:rStyle w:val="NormalTok"/>
        </w:rPr>
        <w:t xml:space="preserve">, </w:t>
      </w:r>
      <w:r>
        <w:rPr>
          <w:rStyle w:val="StringTok"/>
        </w:rPr>
        <w:t xml:space="preserve">"a"</w:t>
      </w:r>
      <w:r>
        <w:rPr>
          <w:rStyle w:val="NormalTok"/>
        </w:rPr>
        <w:t xml:space="preserve">, </w:t>
      </w:r>
      <w:r>
        <w:rPr>
          <w:rStyle w:val="FloatTok"/>
        </w:rPr>
        <w:t xml:space="preserve">8.3</w:t>
      </w:r>
      <w:r>
        <w:rPr>
          <w:rStyle w:val="NormalTok"/>
        </w:rPr>
        <w:t xml:space="preserve">), (</w:t>
      </w:r>
      <w:r>
        <w:rPr>
          <w:rStyle w:val="DecValTok"/>
        </w:rPr>
        <w:t xml:space="preserve">13</w:t>
      </w:r>
      <w:r>
        <w:rPr>
          <w:rStyle w:val="NormalTok"/>
        </w:rPr>
        <w:t xml:space="preserve">, </w:t>
      </w:r>
      <w:r>
        <w:rPr>
          <w:rStyle w:val="StringTok"/>
        </w:rPr>
        <w:t xml:space="preserve">"a"</w:t>
      </w:r>
      <w:r>
        <w:rPr>
          <w:rStyle w:val="NormalTok"/>
        </w:rPr>
        <w:t xml:space="preserve">, </w:t>
      </w:r>
      <w:r>
        <w:rPr>
          <w:rStyle w:val="FloatTok"/>
        </w:rPr>
        <w:t xml:space="preserve">13.0</w:t>
      </w:r>
      <w:r>
        <w:rPr>
          <w:rStyle w:val="NormalTok"/>
        </w:rPr>
        <w:t xml:space="preserve">),   </w:t>
      </w:r>
      <w:r>
        <w:rPr>
          <w:rStyle w:val="CommentTok"/>
        </w:rPr>
        <w:t xml:space="preserve"># wm reaches 11 -&gt; fire [0,10)</w:t>
      </w:r>
      <w:r>
        <w:br/>
      </w:r>
      <w:r>
        <w:rPr>
          <w:rStyle w:val="NormalTok"/>
        </w:rPr>
        <w:t xml:space="preserve">          (</w:t>
      </w:r>
      <w:r>
        <w:rPr>
          <w:rStyle w:val="DecValTok"/>
        </w:rPr>
        <w:t xml:space="preserve">9</w:t>
      </w:r>
      <w:r>
        <w:rPr>
          <w:rStyle w:val="NormalTok"/>
        </w:rPr>
        <w:t xml:space="preserve">, </w:t>
      </w:r>
      <w:r>
        <w:rPr>
          <w:rStyle w:val="StringTok"/>
        </w:rPr>
        <w:t xml:space="preserve">"a"</w:t>
      </w:r>
      <w:r>
        <w:rPr>
          <w:rStyle w:val="NormalTok"/>
        </w:rPr>
        <w:t xml:space="preserve">, </w:t>
      </w:r>
      <w:r>
        <w:rPr>
          <w:rStyle w:val="FloatTok"/>
        </w:rPr>
        <w:t xml:space="preserve">13.5</w:t>
      </w:r>
      <w:r>
        <w:rPr>
          <w:rStyle w:val="NormalTok"/>
        </w:rPr>
        <w:t xml:space="preserve">),                                                 </w:t>
      </w:r>
      <w:r>
        <w:rPr>
          <w:rStyle w:val="CommentTok"/>
        </w:rPr>
        <w:t xml:space="preserve"># late, within lateness</w:t>
      </w:r>
      <w:r>
        <w:br/>
      </w:r>
      <w:r>
        <w:rPr>
          <w:rStyle w:val="NormalTok"/>
        </w:rPr>
        <w:t xml:space="preserve">          (</w:t>
      </w:r>
      <w:r>
        <w:rPr>
          <w:rStyle w:val="DecValTok"/>
        </w:rPr>
        <w:t xml:space="preserve">23</w:t>
      </w:r>
      <w:r>
        <w:rPr>
          <w:rStyle w:val="NormalTok"/>
        </w:rPr>
        <w:t xml:space="preserve">, </w:t>
      </w:r>
      <w:r>
        <w:rPr>
          <w:rStyle w:val="StringTok"/>
        </w:rPr>
        <w:t xml:space="preserve">"a"</w:t>
      </w:r>
      <w:r>
        <w:rPr>
          <w:rStyle w:val="NormalTok"/>
        </w:rPr>
        <w:t xml:space="preserve">, </w:t>
      </w:r>
      <w:r>
        <w:rPr>
          <w:rStyle w:val="FloatTok"/>
        </w:rPr>
        <w:t xml:space="preserve">23.0</w:t>
      </w:r>
      <w:r>
        <w:rPr>
          <w:rStyle w:val="NormalTok"/>
        </w:rPr>
        <w:t xml:space="preserve">),                                                </w:t>
      </w:r>
      <w:r>
        <w:rPr>
          <w:rStyle w:val="CommentTok"/>
        </w:rPr>
        <w:t xml:space="preserve"># wm 21 -&gt; fire [10,20)</w:t>
      </w:r>
      <w:r>
        <w:br/>
      </w:r>
      <w:r>
        <w:rPr>
          <w:rStyle w:val="NormalTok"/>
        </w:rPr>
        <w:t xml:space="preserve">          (</w:t>
      </w:r>
      <w:r>
        <w:rPr>
          <w:rStyle w:val="DecValTok"/>
        </w:rPr>
        <w:t xml:space="preserve">7</w:t>
      </w:r>
      <w:r>
        <w:rPr>
          <w:rStyle w:val="NormalTok"/>
        </w:rPr>
        <w:t xml:space="preserve">, </w:t>
      </w:r>
      <w:r>
        <w:rPr>
          <w:rStyle w:val="StringTok"/>
        </w:rPr>
        <w:t xml:space="preserve">"a"</w:t>
      </w:r>
      <w:r>
        <w:rPr>
          <w:rStyle w:val="NormalTok"/>
        </w:rPr>
        <w:t xml:space="preserve">, </w:t>
      </w:r>
      <w:r>
        <w:rPr>
          <w:rStyle w:val="FloatTok"/>
        </w:rPr>
        <w:t xml:space="preserve">23.4</w:t>
      </w:r>
      <w:r>
        <w:rPr>
          <w:rStyle w:val="NormalTok"/>
        </w:rPr>
        <w:t xml:space="preserve">),                                                 </w:t>
      </w:r>
      <w:r>
        <w:rPr>
          <w:rStyle w:val="CommentTok"/>
        </w:rPr>
        <w:t xml:space="preserve"># wm 21 &gt;= 10+5 -&gt; dropped</w:t>
      </w:r>
      <w:r>
        <w:br/>
      </w:r>
      <w:r>
        <w:rPr>
          <w:rStyle w:val="NormalTok"/>
        </w:rPr>
        <w:t xml:space="preserve">          (</w:t>
      </w:r>
      <w:r>
        <w:rPr>
          <w:rStyle w:val="DecValTok"/>
        </w:rPr>
        <w:t xml:space="preserve">15</w:t>
      </w:r>
      <w:r>
        <w:rPr>
          <w:rStyle w:val="NormalTok"/>
        </w:rPr>
        <w:t xml:space="preserve">, </w:t>
      </w:r>
      <w:r>
        <w:rPr>
          <w:rStyle w:val="StringTok"/>
        </w:rPr>
        <w:t xml:space="preserve">"a"</w:t>
      </w:r>
      <w:r>
        <w:rPr>
          <w:rStyle w:val="NormalTok"/>
        </w:rPr>
        <w:t xml:space="preserve">, </w:t>
      </w:r>
      <w:r>
        <w:rPr>
          <w:rStyle w:val="FloatTok"/>
        </w:rPr>
        <w:t xml:space="preserve">23.6</w:t>
      </w:r>
      <w:r>
        <w:rPr>
          <w:rStyle w:val="NormalTok"/>
        </w:rPr>
        <w:t xml:space="preserve">)]                                                </w:t>
      </w:r>
      <w:r>
        <w:rPr>
          <w:rStyle w:val="CommentTok"/>
        </w:rPr>
        <w:t xml:space="preserve"># late update for [10,20)</w:t>
      </w:r>
      <w:r>
        <w:br/>
      </w:r>
      <w:r>
        <w:rPr>
          <w:rStyle w:val="NormalTok"/>
        </w:rPr>
        <w:t xml:space="preserve">    op </w:t>
      </w:r>
      <w:r>
        <w:rPr>
          <w:rStyle w:val="OperatorTok"/>
        </w:rPr>
        <w:t xml:space="preserve">=</w:t>
      </w:r>
      <w:r>
        <w:rPr>
          <w:rStyle w:val="NormalTok"/>
        </w:rPr>
        <w:t xml:space="preserve"> run(ev, size</w:t>
      </w:r>
      <w:r>
        <w:rPr>
          <w:rStyle w:val="OperatorTok"/>
        </w:rPr>
        <w:t xml:space="preserve">=</w:t>
      </w:r>
      <w:r>
        <w:rPr>
          <w:rStyle w:val="DecValTok"/>
        </w:rPr>
        <w:t xml:space="preserve">10</w:t>
      </w:r>
      <w:r>
        <w:rPr>
          <w:rStyle w:val="NormalTok"/>
        </w:rPr>
        <w:t xml:space="preserve">, max_out_of_orderness</w:t>
      </w:r>
      <w:r>
        <w:rPr>
          <w:rStyle w:val="OperatorTok"/>
        </w:rPr>
        <w:t xml:space="preserve">=</w:t>
      </w:r>
      <w:r>
        <w:rPr>
          <w:rStyle w:val="DecValTok"/>
        </w:rPr>
        <w:t xml:space="preserve">2</w:t>
      </w:r>
      <w:r>
        <w:rPr>
          <w:rStyle w:val="NormalTok"/>
        </w:rPr>
        <w:t xml:space="preserve">, allowed_lateness</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op.output:</w:t>
      </w:r>
      <w:r>
        <w:br/>
      </w:r>
      <w:r>
        <w:rPr>
          <w:rStyle w:val="NormalTok"/>
        </w:rPr>
        <w:t xml:space="preserve">        </w:t>
      </w:r>
      <w:r>
        <w:rPr>
          <w:rStyle w:val="BuiltInTok"/>
        </w:rPr>
        <w:t xml:space="preserve">print</w:t>
      </w:r>
      <w:r>
        <w:rPr>
          <w:rStyle w:val="NormalTok"/>
        </w:rPr>
        <w:t xml:space="preserve">(row)</w:t>
      </w:r>
      <w:r>
        <w:br/>
      </w:r>
      <w:r>
        <w:rPr>
          <w:rStyle w:val="NormalTok"/>
        </w:rPr>
        <w:t xml:space="preserve">    </w:t>
      </w:r>
      <w:r>
        <w:rPr>
          <w:rStyle w:val="BuiltInTok"/>
        </w:rPr>
        <w:t xml:space="preserve">print</w:t>
      </w:r>
      <w:r>
        <w:rPr>
          <w:rStyle w:val="NormalTok"/>
        </w:rPr>
        <w:t xml:space="preserve">(</w:t>
      </w:r>
      <w:r>
        <w:rPr>
          <w:rStyle w:val="StringTok"/>
        </w:rPr>
        <w:t xml:space="preserve">"dropped:"</w:t>
      </w:r>
      <w:r>
        <w:rPr>
          <w:rStyle w:val="NormalTok"/>
        </w:rPr>
        <w:t xml:space="preserve">, op.dropped)</w:t>
      </w:r>
      <w:r>
        <w:br/>
      </w:r>
      <w:r>
        <w:rPr>
          <w:rStyle w:val="NormalTok"/>
        </w:rPr>
        <w:t xml:space="preserve">    </w:t>
      </w:r>
      <w:r>
        <w:rPr>
          <w:rStyle w:val="ControlFlowTok"/>
        </w:rPr>
        <w:t xml:space="preserve">assert</w:t>
      </w:r>
      <w:r>
        <w:rPr>
          <w:rStyle w:val="NormalTok"/>
        </w:rPr>
        <w:t xml:space="preserve"> op.output[</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"ON_TIME"</w:t>
      </w:r>
      <w:r>
        <w:rPr>
          <w:rStyle w:val="NormalTok"/>
        </w:rPr>
        <w:t xml:space="preserve">, </w:t>
      </w:r>
      <w:r>
        <w:rPr>
          <w:rStyle w:val="StringTok"/>
        </w:rPr>
        <w:t xml:space="preserve">"a"</w:t>
      </w:r>
      <w:r>
        <w:rPr>
          <w:rStyle w:val="NormalTok"/>
        </w:rPr>
        <w:t xml:space="preserve">, </w:t>
      </w:r>
      <w:r>
        <w:rPr>
          <w:rStyle w:val="DecValTok"/>
        </w:rPr>
        <w:t xml:space="preserve">0</w:t>
      </w:r>
      <w:r>
        <w:rPr>
          <w:rStyle w:val="NormalTok"/>
        </w:rPr>
        <w:t xml:space="preserve">, </w:t>
      </w:r>
      <w:r>
        <w:rPr>
          <w:rStyle w:val="DecValTok"/>
        </w:rPr>
        <w:t xml:space="preserve">10</w:t>
      </w:r>
      <w:r>
        <w:rPr>
          <w:rStyle w:val="NormalTok"/>
        </w:rPr>
        <w:t xml:space="preserve">, </w:t>
      </w:r>
      <w:r>
        <w:rPr>
          <w:rStyle w:val="DecValTok"/>
        </w:rPr>
        <w:t xml:space="preserve">3</w:t>
      </w:r>
      <w:r>
        <w:rPr>
          <w:rStyle w:val="NormalTok"/>
        </w:rPr>
        <w:t xml:space="preserve">, </w:t>
      </w:r>
      <w:r>
        <w:rPr>
          <w:rStyle w:val="FloatTok"/>
        </w:rPr>
        <w:t xml:space="preserve">13.0</w:t>
      </w:r>
      <w:r>
        <w:rPr>
          <w:rStyle w:val="NormalTok"/>
        </w:rPr>
        <w:t xml:space="preserve">)</w:t>
      </w:r>
      <w:r>
        <w:br/>
      </w:r>
      <w:r>
        <w:rPr>
          <w:rStyle w:val="NormalTok"/>
        </w:rPr>
        <w:t xml:space="preserve">    </w:t>
      </w:r>
      <w:r>
        <w:rPr>
          <w:rStyle w:val="ControlFlowTok"/>
        </w:rPr>
        <w:t xml:space="preserve">assert</w:t>
      </w:r>
      <w:r>
        <w:rPr>
          <w:rStyle w:val="NormalTok"/>
        </w:rPr>
        <w:t xml:space="preserve"> op.output[</w:t>
      </w:r>
      <w:r>
        <w:rPr>
          <w:rStyle w:val="DecValTok"/>
        </w:rPr>
        <w:t xml:space="preserve">1</w:t>
      </w:r>
      <w:r>
        <w:rPr>
          <w:rStyle w:val="NormalTok"/>
        </w:rPr>
        <w:t xml:space="preserve">] </w:t>
      </w:r>
      <w:r>
        <w:rPr>
          <w:rStyle w:val="OperatorTok"/>
        </w:rPr>
        <w:t xml:space="preserve">==</w:t>
      </w:r>
      <w:r>
        <w:rPr>
          <w:rStyle w:val="NormalTok"/>
        </w:rPr>
        <w:t xml:space="preserve"> (</w:t>
      </w:r>
      <w:r>
        <w:rPr>
          <w:rStyle w:val="StringTok"/>
        </w:rPr>
        <w:t xml:space="preserve">"LATE"</w:t>
      </w:r>
      <w:r>
        <w:rPr>
          <w:rStyle w:val="NormalTok"/>
        </w:rPr>
        <w:t xml:space="preserve">, </w:t>
      </w:r>
      <w:r>
        <w:rPr>
          <w:rStyle w:val="StringTok"/>
        </w:rPr>
        <w:t xml:space="preserve">"a"</w:t>
      </w:r>
      <w:r>
        <w:rPr>
          <w:rStyle w:val="NormalTok"/>
        </w:rPr>
        <w:t xml:space="preserve">, </w:t>
      </w:r>
      <w:r>
        <w:rPr>
          <w:rStyle w:val="DecValTok"/>
        </w:rPr>
        <w:t xml:space="preserve">0</w:t>
      </w:r>
      <w:r>
        <w:rPr>
          <w:rStyle w:val="NormalTok"/>
        </w:rPr>
        <w:t xml:space="preserve">, </w:t>
      </w:r>
      <w:r>
        <w:rPr>
          <w:rStyle w:val="DecValTok"/>
        </w:rPr>
        <w:t xml:space="preserve">10</w:t>
      </w:r>
      <w:r>
        <w:rPr>
          <w:rStyle w:val="NormalTok"/>
        </w:rPr>
        <w:t xml:space="preserve">, </w:t>
      </w:r>
      <w:r>
        <w:rPr>
          <w:rStyle w:val="DecValTok"/>
        </w:rPr>
        <w:t xml:space="preserve">4</w:t>
      </w:r>
      <w:r>
        <w:rPr>
          <w:rStyle w:val="NormalTok"/>
        </w:rPr>
        <w:t xml:space="preserve">, </w:t>
      </w:r>
      <w:r>
        <w:rPr>
          <w:rStyle w:val="FloatTok"/>
        </w:rPr>
        <w:t xml:space="preserve">13.5</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StringTok"/>
        </w:rPr>
        <w:t xml:space="preserve">"ON_TIME"</w:t>
      </w:r>
      <w:r>
        <w:rPr>
          <w:rStyle w:val="NormalTok"/>
        </w:rPr>
        <w:t xml:space="preserve">, </w:t>
      </w:r>
      <w:r>
        <w:rPr>
          <w:rStyle w:val="StringTok"/>
        </w:rPr>
        <w:t xml:space="preserve">"a"</w:t>
      </w:r>
      <w:r>
        <w:rPr>
          <w:rStyle w:val="NormalTok"/>
        </w:rPr>
        <w:t xml:space="preserve">, </w:t>
      </w:r>
      <w:r>
        <w:rPr>
          <w:rStyle w:val="DecValTok"/>
        </w:rPr>
        <w:t xml:space="preserve">10</w:t>
      </w:r>
      <w:r>
        <w:rPr>
          <w:rStyle w:val="NormalTok"/>
        </w:rPr>
        <w:t xml:space="preserve">, </w:t>
      </w:r>
      <w:r>
        <w:rPr>
          <w:rStyle w:val="DecValTok"/>
        </w:rPr>
        <w:t xml:space="preserve">20</w:t>
      </w:r>
      <w:r>
        <w:rPr>
          <w:rStyle w:val="NormalTok"/>
        </w:rPr>
        <w:t xml:space="preserve">, </w:t>
      </w:r>
      <w:r>
        <w:rPr>
          <w:rStyle w:val="DecValTok"/>
        </w:rPr>
        <w:t xml:space="preserve">1</w:t>
      </w:r>
      <w:r>
        <w:rPr>
          <w:rStyle w:val="NormalTok"/>
        </w:rPr>
        <w:t xml:space="preserve">, </w:t>
      </w:r>
      <w:r>
        <w:rPr>
          <w:rStyle w:val="FloatTok"/>
        </w:rPr>
        <w:t xml:space="preserve">23.0</w:t>
      </w:r>
      <w:r>
        <w:rPr>
          <w:rStyle w:val="NormalTok"/>
        </w:rPr>
        <w:t xml:space="preserve">) </w:t>
      </w:r>
      <w:r>
        <w:rPr>
          <w:rStyle w:val="KeywordTok"/>
        </w:rPr>
        <w:t xml:space="preserve">in</w:t>
      </w:r>
      <w:r>
        <w:rPr>
          <w:rStyle w:val="NormalTok"/>
        </w:rPr>
        <w:t xml:space="preserve"> op.output</w:t>
      </w:r>
      <w:r>
        <w:br/>
      </w:r>
      <w:r>
        <w:rPr>
          <w:rStyle w:val="NormalTok"/>
        </w:rPr>
        <w:t xml:space="preserve">    </w:t>
      </w:r>
      <w:r>
        <w:rPr>
          <w:rStyle w:val="ControlFlowTok"/>
        </w:rPr>
        <w:t xml:space="preserve">assert</w:t>
      </w:r>
      <w:r>
        <w:rPr>
          <w:rStyle w:val="NormalTok"/>
        </w:rPr>
        <w:t xml:space="preserve"> (</w:t>
      </w:r>
      <w:r>
        <w:rPr>
          <w:rStyle w:val="StringTok"/>
        </w:rPr>
        <w:t xml:space="preserve">"LATE"</w:t>
      </w:r>
      <w:r>
        <w:rPr>
          <w:rStyle w:val="NormalTok"/>
        </w:rPr>
        <w:t xml:space="preserve">, </w:t>
      </w:r>
      <w:r>
        <w:rPr>
          <w:rStyle w:val="StringTok"/>
        </w:rPr>
        <w:t xml:space="preserve">"a"</w:t>
      </w:r>
      <w:r>
        <w:rPr>
          <w:rStyle w:val="NormalTok"/>
        </w:rPr>
        <w:t xml:space="preserve">, </w:t>
      </w:r>
      <w:r>
        <w:rPr>
          <w:rStyle w:val="DecValTok"/>
        </w:rPr>
        <w:t xml:space="preserve">10</w:t>
      </w:r>
      <w:r>
        <w:rPr>
          <w:rStyle w:val="NormalTok"/>
        </w:rPr>
        <w:t xml:space="preserve">, </w:t>
      </w:r>
      <w:r>
        <w:rPr>
          <w:rStyle w:val="DecValTok"/>
        </w:rPr>
        <w:t xml:space="preserve">20</w:t>
      </w:r>
      <w:r>
        <w:rPr>
          <w:rStyle w:val="NormalTok"/>
        </w:rPr>
        <w:t xml:space="preserve">, </w:t>
      </w:r>
      <w:r>
        <w:rPr>
          <w:rStyle w:val="DecValTok"/>
        </w:rPr>
        <w:t xml:space="preserve">2</w:t>
      </w:r>
      <w:r>
        <w:rPr>
          <w:rStyle w:val="NormalTok"/>
        </w:rPr>
        <w:t xml:space="preserve">, </w:t>
      </w:r>
      <w:r>
        <w:rPr>
          <w:rStyle w:val="FloatTok"/>
        </w:rPr>
        <w:t xml:space="preserve">23.6</w:t>
      </w:r>
      <w:r>
        <w:rPr>
          <w:rStyle w:val="NormalTok"/>
        </w:rPr>
        <w:t xml:space="preserve">) </w:t>
      </w:r>
      <w:r>
        <w:rPr>
          <w:rStyle w:val="KeywordTok"/>
        </w:rPr>
        <w:t xml:space="preserve">in</w:t>
      </w:r>
      <w:r>
        <w:rPr>
          <w:rStyle w:val="NormalTok"/>
        </w:rPr>
        <w:t xml:space="preserve"> op.output</w:t>
      </w:r>
      <w:r>
        <w:br/>
      </w:r>
      <w:r>
        <w:rPr>
          <w:rStyle w:val="NormalTok"/>
        </w:rPr>
        <w:t xml:space="preserve">    </w:t>
      </w:r>
      <w:r>
        <w:rPr>
          <w:rStyle w:val="ControlFlowTok"/>
        </w:rPr>
        <w:t xml:space="preserve">assert</w:t>
      </w:r>
      <w:r>
        <w:rPr>
          <w:rStyle w:val="NormalTok"/>
        </w:rPr>
        <w:t xml:space="preserve"> op.dropped </w:t>
      </w:r>
      <w:r>
        <w:rPr>
          <w:rStyle w:val="OperatorTok"/>
        </w:rPr>
        <w:t xml:space="preserve">==</w:t>
      </w:r>
      <w:r>
        <w:rPr>
          <w:rStyle w:val="NormalTok"/>
        </w:rPr>
        <w:t xml:space="preserve"> [(</w:t>
      </w:r>
      <w:r>
        <w:rPr>
          <w:rStyle w:val="DecValTok"/>
        </w:rPr>
        <w:t xml:space="preserve">7</w:t>
      </w:r>
      <w:r>
        <w:rPr>
          <w:rStyle w:val="NormalTok"/>
        </w:rPr>
        <w:t xml:space="preserve">, </w:t>
      </w:r>
      <w:r>
        <w:rPr>
          <w:rStyle w:val="StringTok"/>
        </w:rPr>
        <w:t xml:space="preserve">"a"</w:t>
      </w:r>
      <w:r>
        <w:rPr>
          <w:rStyle w:val="NormalTok"/>
        </w:rPr>
        <w:t xml:space="preserve">, </w:t>
      </w:r>
      <w:r>
        <w:rPr>
          <w:rStyle w:val="DecValTok"/>
        </w:rPr>
        <w:t xml:space="preserve">0</w:t>
      </w:r>
      <w:r>
        <w:rPr>
          <w:rStyle w:val="NormalTok"/>
        </w:rPr>
        <w:t xml:space="preserve">)]</w:t>
      </w:r>
      <w:r>
        <w:br/>
      </w:r>
      <w:r>
        <w:br/>
      </w:r>
      <w:r>
        <w:rPr>
          <w:rStyle w:val="NormalTok"/>
        </w:rPr>
        <w:t xml:space="preserve">    </w:t>
      </w:r>
      <w:r>
        <w:rPr>
          <w:rStyle w:val="CommentTok"/>
        </w:rPr>
        <w:t xml:space="preserve"># Sliding windows: size 10, slide 5 -&gt; each event lands in two windows.</w:t>
      </w:r>
      <w:r>
        <w:br/>
      </w:r>
      <w:r>
        <w:rPr>
          <w:rStyle w:val="NormalTok"/>
        </w:rPr>
        <w:t xml:space="preserve">    sl </w:t>
      </w:r>
      <w:r>
        <w:rPr>
          <w:rStyle w:val="OperatorTok"/>
        </w:rPr>
        <w:t xml:space="preserve">=</w:t>
      </w:r>
      <w:r>
        <w:rPr>
          <w:rStyle w:val="NormalTok"/>
        </w:rPr>
        <w:t xml:space="preserve"> run([(</w:t>
      </w:r>
      <w:r>
        <w:rPr>
          <w:rStyle w:val="DecValTok"/>
        </w:rPr>
        <w:t xml:space="preserve">7</w:t>
      </w:r>
      <w:r>
        <w:rPr>
          <w:rStyle w:val="NormalTok"/>
        </w:rPr>
        <w:t xml:space="preserve">, </w:t>
      </w:r>
      <w:r>
        <w:rPr>
          <w:rStyle w:val="StringTok"/>
        </w:rPr>
        <w:t xml:space="preserve">"k"</w:t>
      </w:r>
      <w:r>
        <w:rPr>
          <w:rStyle w:val="NormalTok"/>
        </w:rPr>
        <w:t xml:space="preserve">, </w:t>
      </w:r>
      <w:r>
        <w:rPr>
          <w:rStyle w:val="DecValTok"/>
        </w:rPr>
        <w:t xml:space="preserve">7</w:t>
      </w:r>
      <w:r>
        <w:rPr>
          <w:rStyle w:val="NormalTok"/>
        </w:rPr>
        <w:t xml:space="preserve">), (</w:t>
      </w:r>
      <w:r>
        <w:rPr>
          <w:rStyle w:val="DecValTok"/>
        </w:rPr>
        <w:t xml:space="preserve">12</w:t>
      </w:r>
      <w:r>
        <w:rPr>
          <w:rStyle w:val="NormalTok"/>
        </w:rPr>
        <w:t xml:space="preserve">, </w:t>
      </w:r>
      <w:r>
        <w:rPr>
          <w:rStyle w:val="StringTok"/>
        </w:rPr>
        <w:t xml:space="preserve">"k"</w:t>
      </w:r>
      <w:r>
        <w:rPr>
          <w:rStyle w:val="NormalTok"/>
        </w:rPr>
        <w:t xml:space="preserve">, </w:t>
      </w:r>
      <w:r>
        <w:rPr>
          <w:rStyle w:val="DecValTok"/>
        </w:rPr>
        <w:t xml:space="preserve">12</w:t>
      </w:r>
      <w:r>
        <w:rPr>
          <w:rStyle w:val="NormalTok"/>
        </w:rPr>
        <w:t xml:space="preserve">), (</w:t>
      </w:r>
      <w:r>
        <w:rPr>
          <w:rStyle w:val="DecValTok"/>
        </w:rPr>
        <w:t xml:space="preserve">40</w:t>
      </w:r>
      <w:r>
        <w:rPr>
          <w:rStyle w:val="NormalTok"/>
        </w:rPr>
        <w:t xml:space="preserve">, </w:t>
      </w:r>
      <w:r>
        <w:rPr>
          <w:rStyle w:val="StringTok"/>
        </w:rPr>
        <w:t xml:space="preserve">"k"</w:t>
      </w:r>
      <w:r>
        <w:rPr>
          <w:rStyle w:val="NormalTok"/>
        </w:rPr>
        <w:t xml:space="preserve">, </w:t>
      </w:r>
      <w:r>
        <w:rPr>
          <w:rStyle w:val="DecValTok"/>
        </w:rPr>
        <w:t xml:space="preserve">40</w:t>
      </w:r>
      <w:r>
        <w:rPr>
          <w:rStyle w:val="NormalTok"/>
        </w:rPr>
        <w:t xml:space="preserve">)], size</w:t>
      </w:r>
      <w:r>
        <w:rPr>
          <w:rStyle w:val="OperatorTok"/>
        </w:rPr>
        <w:t xml:space="preserve">=</w:t>
      </w:r>
      <w:r>
        <w:rPr>
          <w:rStyle w:val="DecValTok"/>
        </w:rPr>
        <w:t xml:space="preserve">10</w:t>
      </w:r>
      <w:r>
        <w:rPr>
          <w:rStyle w:val="NormalTok"/>
        </w:rPr>
        <w:t xml:space="preserve">, slide</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ControlFlowTok"/>
        </w:rPr>
        <w:t xml:space="preserve">assert</w:t>
      </w:r>
      <w:r>
        <w:rPr>
          <w:rStyle w:val="NormalTok"/>
        </w:rPr>
        <w:t xml:space="preserve"> [(r[</w:t>
      </w:r>
      <w:r>
        <w:rPr>
          <w:rStyle w:val="DecValTok"/>
        </w:rPr>
        <w:t xml:space="preserve">2</w:t>
      </w:r>
      <w:r>
        <w:rPr>
          <w:rStyle w:val="NormalTok"/>
        </w:rPr>
        <w:t xml:space="preserve">], r[</w:t>
      </w:r>
      <w:r>
        <w:rPr>
          <w:rStyle w:val="DecValTok"/>
        </w:rPr>
        <w:t xml:space="preserve">4</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sl.output </w:t>
      </w:r>
      <w:r>
        <w:rPr>
          <w:rStyle w:val="ControlFlowTok"/>
        </w:rPr>
        <w:t xml:space="preserve">if</w:t>
      </w:r>
      <w:r>
        <w:rPr>
          <w:rStyle w:val="NormalTok"/>
        </w:rPr>
        <w:t xml:space="preserve"> r[</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"ON_TIME"</w:t>
      </w:r>
      <w:r>
        <w:rPr>
          <w:rStyle w:val="NormalTok"/>
        </w:rPr>
        <w:t xml:space="preserve">][:</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5</w:t>
      </w:r>
      <w:r>
        <w:rPr>
          <w:rStyle w:val="NormalTok"/>
        </w:rPr>
        <w:t xml:space="preserve">, </w:t>
      </w:r>
      <w:r>
        <w:rPr>
          <w:rStyle w:val="DecValTok"/>
        </w:rPr>
        <w:t xml:space="preserve">2</w:t>
      </w:r>
      <w:r>
        <w:rPr>
          <w:rStyle w:val="NormalTok"/>
        </w:rPr>
        <w:t xml:space="preserve">), (</w:t>
      </w:r>
      <w:r>
        <w:rPr>
          <w:rStyle w:val="DecValTok"/>
        </w:rPr>
        <w:t xml:space="preserve">10</w:t>
      </w:r>
      <w:r>
        <w:rPr>
          <w:rStyle w:val="NormalTok"/>
        </w:rPr>
        <w:t xml:space="preserve">, </w:t>
      </w:r>
      <w:r>
        <w:rPr>
          <w:rStyle w:val="DecValTok"/>
        </w:rPr>
        <w:t xml:space="preserve">1</w:t>
      </w:r>
      <w:r>
        <w:rPr>
          <w:rStyle w:val="NormalTok"/>
        </w:rPr>
        <w:t xml:space="preserve">)]</w:t>
      </w:r>
      <w:r>
        <w:br/>
      </w:r>
      <w:r>
        <w:br/>
      </w:r>
      <w:r>
        <w:rPr>
          <w:rStyle w:val="NormalTok"/>
        </w:rPr>
        <w:t xml:space="preserve">    </w:t>
      </w:r>
      <w:r>
        <w:rPr>
          <w:rStyle w:val="CommentTok"/>
        </w:rPr>
        <w:t xml:space="preserve"># Simulation: 50 events/s for 2 h, exponential network delay (mean 2 s), 60 s windows.</w:t>
      </w:r>
      <w:r>
        <w:br/>
      </w:r>
      <w:r>
        <w:rPr>
          <w:rStyle w:val="NormalTok"/>
        </w:rPr>
        <w:t xml:space="preserve">    rng </w:t>
      </w:r>
      <w:r>
        <w:rPr>
          <w:rStyle w:val="OperatorTok"/>
        </w:rPr>
        <w:t xml:space="preserve">=</w:t>
      </w:r>
      <w:r>
        <w:rPr>
          <w:rStyle w:val="NormalTok"/>
        </w:rPr>
        <w:t xml:space="preserve"> random.Random(</w:t>
      </w:r>
      <w:r>
        <w:rPr>
          <w:rStyle w:val="DecValTok"/>
        </w:rPr>
        <w:t xml:space="preserve">42</w:t>
      </w:r>
      <w:r>
        <w:rPr>
          <w:rStyle w:val="NormalTok"/>
        </w:rPr>
        <w:t xml:space="preserve">)</w:t>
      </w:r>
      <w:r>
        <w:br/>
      </w:r>
      <w:r>
        <w:rPr>
          <w:rStyle w:val="NormalTok"/>
        </w:rPr>
        <w:t xml:space="preserve">    events, t </w:t>
      </w:r>
      <w:r>
        <w:rPr>
          <w:rStyle w:val="OperatorTok"/>
        </w:rPr>
        <w:t xml:space="preserve">=</w:t>
      </w:r>
      <w:r>
        <w:rPr>
          <w:rStyle w:val="NormalTok"/>
        </w:rPr>
        <w:t xml:space="preserve"> [], </w:t>
      </w:r>
      <w:r>
        <w:rPr>
          <w:rStyle w:val="FloatTok"/>
        </w:rPr>
        <w:t xml:space="preserve">0.0</w:t>
      </w:r>
      <w:r>
        <w:br/>
      </w:r>
      <w:r>
        <w:rPr>
          <w:rStyle w:val="NormalTok"/>
        </w:rPr>
        <w:t xml:space="preserve">    </w:t>
      </w:r>
      <w:r>
        <w:rPr>
          <w:rStyle w:val="ControlFlowTok"/>
        </w:rPr>
        <w:t xml:space="preserve">while</w:t>
      </w:r>
      <w:r>
        <w:rPr>
          <w:rStyle w:val="NormalTok"/>
        </w:rPr>
        <w:t xml:space="preserve"> t </w:t>
      </w:r>
      <w:r>
        <w:rPr>
          <w:rStyle w:val="OperatorTok"/>
        </w:rPr>
        <w:t xml:space="preserve">&lt;</w:t>
      </w:r>
      <w:r>
        <w:rPr>
          <w:rStyle w:val="NormalTok"/>
        </w:rPr>
        <w:t xml:space="preserve"> </w:t>
      </w:r>
      <w:r>
        <w:rPr>
          <w:rStyle w:val="DecValTok"/>
        </w:rPr>
        <w:t xml:space="preserve">7200</w:t>
      </w:r>
      <w:r>
        <w:rPr>
          <w:rStyle w:val="NormalTok"/>
        </w:rPr>
        <w:t xml:space="preserve">:</w:t>
      </w:r>
      <w:r>
        <w:br/>
      </w:r>
      <w:r>
        <w:rPr>
          <w:rStyle w:val="NormalTok"/>
        </w:rPr>
        <w:t xml:space="preserve">        t </w:t>
      </w:r>
      <w:r>
        <w:rPr>
          <w:rStyle w:val="OperatorTok"/>
        </w:rPr>
        <w:t xml:space="preserve">+=</w:t>
      </w:r>
      <w:r>
        <w:rPr>
          <w:rStyle w:val="NormalTok"/>
        </w:rPr>
        <w:t xml:space="preserve"> rng.expovariate(</w:t>
      </w:r>
      <w:r>
        <w:rPr>
          <w:rStyle w:val="DecValTok"/>
        </w:rPr>
        <w:t xml:space="preserve">50</w:t>
      </w:r>
      <w:r>
        <w:rPr>
          <w:rStyle w:val="NormalTok"/>
        </w:rPr>
        <w:t xml:space="preserve">)</w:t>
      </w:r>
      <w:r>
        <w:br/>
      </w:r>
      <w:r>
        <w:rPr>
          <w:rStyle w:val="NormalTok"/>
        </w:rPr>
        <w:t xml:space="preserve">        events.append((t, </w:t>
      </w:r>
      <w:r>
        <w:rPr>
          <w:rStyle w:val="StringTok"/>
        </w:rPr>
        <w:t xml:space="preserve">"clicks"</w:t>
      </w:r>
      <w:r>
        <w:rPr>
          <w:rStyle w:val="NormalTok"/>
        </w:rPr>
        <w:t xml:space="preserve">, t </w:t>
      </w:r>
      <w:r>
        <w:rPr>
          <w:rStyle w:val="OperatorTok"/>
        </w:rPr>
        <w:t xml:space="preserve">+</w:t>
      </w:r>
      <w:r>
        <w:rPr>
          <w:rStyle w:val="NormalTok"/>
        </w:rPr>
        <w:t xml:space="preserve"> rng.expovariate(</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2.0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'delta s'</w:t>
      </w:r>
      <w:r>
        <w:rPr>
          <w:rStyle w:val="SpecialCharTok"/>
        </w:rPr>
        <w:t xml:space="preserve">:&gt;7}</w:t>
      </w:r>
      <w:r>
        <w:rPr>
          <w:rStyle w:val="SpecialStringTok"/>
        </w:rPr>
        <w:t xml:space="preserve"> </w:t>
      </w:r>
      <w:r>
        <w:rPr>
          <w:rStyle w:val="SpecialCharTok"/>
        </w:rPr>
        <w:t xml:space="preserve">{</w:t>
      </w:r>
      <w:r>
        <w:rPr>
          <w:rStyle w:val="StringTok"/>
        </w:rPr>
        <w:t xml:space="preserve">'late model'</w:t>
      </w:r>
      <w:r>
        <w:rPr>
          <w:rStyle w:val="SpecialCharTok"/>
        </w:rPr>
        <w:t xml:space="preserve">:&gt;10}</w:t>
      </w:r>
      <w:r>
        <w:rPr>
          <w:rStyle w:val="SpecialStringTok"/>
        </w:rPr>
        <w:t xml:space="preserve"> </w:t>
      </w:r>
      <w:r>
        <w:rPr>
          <w:rStyle w:val="SpecialCharTok"/>
        </w:rPr>
        <w:t xml:space="preserve">{</w:t>
      </w:r>
      <w:r>
        <w:rPr>
          <w:rStyle w:val="StringTok"/>
        </w:rPr>
        <w:t xml:space="preserve">'late sim'</w:t>
      </w:r>
      <w:r>
        <w:rPr>
          <w:rStyle w:val="SpecialCharTok"/>
        </w:rPr>
        <w:t xml:space="preserve">:&gt;9}</w:t>
      </w:r>
      <w:r>
        <w:rPr>
          <w:rStyle w:val="SpecialStringTok"/>
        </w:rPr>
        <w:t xml:space="preserve"> </w:t>
      </w:r>
      <w:r>
        <w:rPr>
          <w:rStyle w:val="SpecialCharTok"/>
        </w:rPr>
        <w:t xml:space="preserve">{</w:t>
      </w:r>
      <w:r>
        <w:rPr>
          <w:rStyle w:val="StringTok"/>
        </w:rPr>
        <w:t xml:space="preserve">'emit delay s'</w:t>
      </w:r>
      <w:r>
        <w:rPr>
          <w:rStyle w:val="SpecialCharTok"/>
        </w:rPr>
        <w:t xml:space="preserve">:&gt;12}</w:t>
      </w:r>
      <w:r>
        <w:rPr>
          <w:rStyle w:val="Speci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delta </w:t>
      </w:r>
      <w:r>
        <w:rPr>
          <w:rStyle w:val="KeywordTok"/>
        </w:rPr>
        <w:t xml:space="preserve">in</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 </w:t>
      </w:r>
      <w:r>
        <w:rPr>
          <w:rStyle w:val="DecValTok"/>
        </w:rPr>
        <w:t xml:space="preserve">5</w:t>
      </w:r>
      <w:r>
        <w:rPr>
          <w:rStyle w:val="NormalTok"/>
        </w:rPr>
        <w:t xml:space="preserve">, </w:t>
      </w:r>
      <w:r>
        <w:rPr>
          <w:rStyle w:val="DecValTok"/>
        </w:rPr>
        <w:t xml:space="preserve">10</w:t>
      </w:r>
      <w:r>
        <w:rPr>
          <w:rStyle w:val="NormalTok"/>
        </w:rPr>
        <w:t xml:space="preserve">):</w:t>
      </w:r>
      <w:r>
        <w:br/>
      </w:r>
      <w:r>
        <w:rPr>
          <w:rStyle w:val="NormalTok"/>
        </w:rPr>
        <w:t xml:space="preserve">        op </w:t>
      </w:r>
      <w:r>
        <w:rPr>
          <w:rStyle w:val="OperatorTok"/>
        </w:rPr>
        <w:t xml:space="preserve">=</w:t>
      </w:r>
      <w:r>
        <w:rPr>
          <w:rStyle w:val="NormalTok"/>
        </w:rPr>
        <w:t xml:space="preserve"> run(events, size</w:t>
      </w:r>
      <w:r>
        <w:rPr>
          <w:rStyle w:val="OperatorTok"/>
        </w:rPr>
        <w:t xml:space="preserve">=</w:t>
      </w:r>
      <w:r>
        <w:rPr>
          <w:rStyle w:val="DecValTok"/>
        </w:rPr>
        <w:t xml:space="preserve">60</w:t>
      </w:r>
      <w:r>
        <w:rPr>
          <w:rStyle w:val="NormalTok"/>
        </w:rPr>
        <w:t xml:space="preserve">, max_out_of_orderness</w:t>
      </w:r>
      <w:r>
        <w:rPr>
          <w:rStyle w:val="OperatorTok"/>
        </w:rPr>
        <w:t xml:space="preserve">=</w:t>
      </w:r>
      <w:r>
        <w:rPr>
          <w:rStyle w:val="NormalTok"/>
        </w:rPr>
        <w:t xml:space="preserve">delta, allowed_lateness</w:t>
      </w:r>
      <w:r>
        <w:rPr>
          <w:rStyle w:val="OperatorTok"/>
        </w:rPr>
        <w:t xml:space="preserve">=</w:t>
      </w:r>
      <w:r>
        <w:rPr>
          <w:rStyle w:val="DecValTok"/>
        </w:rPr>
        <w:t xml:space="preserve">0</w:t>
      </w:r>
      <w:r>
        <w:rPr>
          <w:rStyle w:val="NormalTok"/>
        </w:rPr>
        <w:t xml:space="preserve">)</w:t>
      </w:r>
      <w:r>
        <w:br/>
      </w:r>
      <w:r>
        <w:rPr>
          <w:rStyle w:val="NormalTok"/>
        </w:rPr>
        <w:t xml:space="preserve">        sim </w:t>
      </w:r>
      <w:r>
        <w:rPr>
          <w:rStyle w:val="OperatorTok"/>
        </w:rPr>
        <w:t xml:space="preserve">=</w:t>
      </w:r>
      <w:r>
        <w:rPr>
          <w:rStyle w:val="NormalTok"/>
        </w:rPr>
        <w:t xml:space="preserve"> </w:t>
      </w:r>
      <w:r>
        <w:rPr>
          <w:rStyle w:val="BuiltInTok"/>
        </w:rPr>
        <w:t xml:space="preserve">len</w:t>
      </w:r>
      <w:r>
        <w:rPr>
          <w:rStyle w:val="NormalTok"/>
        </w:rPr>
        <w:t xml:space="preserve">(op.dropped) </w:t>
      </w:r>
      <w:r>
        <w:rPr>
          <w:rStyle w:val="OperatorTok"/>
        </w:rPr>
        <w:t xml:space="preserve">/</w:t>
      </w:r>
      <w:r>
        <w:rPr>
          <w:rStyle w:val="NormalTok"/>
        </w:rPr>
        <w:t xml:space="preserve"> </w:t>
      </w:r>
      <w:r>
        <w:rPr>
          <w:rStyle w:val="BuiltInTok"/>
        </w:rPr>
        <w:t xml:space="preserve">len</w:t>
      </w:r>
      <w:r>
        <w:rPr>
          <w:rStyle w:val="NormalTok"/>
        </w:rPr>
        <w:t xml:space="preserve">(events)</w:t>
      </w:r>
      <w:r>
        <w:br/>
      </w:r>
      <w:r>
        <w:rPr>
          <w:rStyle w:val="NormalTok"/>
        </w:rPr>
        <w:t xml:space="preserve">        counted </w:t>
      </w:r>
      <w:r>
        <w:rPr>
          <w:rStyle w:val="OperatorTok"/>
        </w:rPr>
        <w:t xml:space="preserve">=</w:t>
      </w:r>
      <w:r>
        <w:rPr>
          <w:rStyle w:val="NormalTok"/>
        </w:rPr>
        <w:t xml:space="preserve"> </w:t>
      </w:r>
      <w:r>
        <w:rPr>
          <w:rStyle w:val="BuiltInTok"/>
        </w:rPr>
        <w:t xml:space="preserve">sum</w:t>
      </w:r>
      <w:r>
        <w:rPr>
          <w:rStyle w:val="NormalTok"/>
        </w:rPr>
        <w:t xml:space="preserve">(r[</w:t>
      </w:r>
      <w:r>
        <w:rPr>
          <w:rStyle w:val="DecValTok"/>
        </w:rPr>
        <w:t xml:space="preserve">4</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op.output </w:t>
      </w:r>
      <w:r>
        <w:rPr>
          <w:rStyle w:val="ControlFlowTok"/>
        </w:rPr>
        <w:t xml:space="preserve">if</w:t>
      </w:r>
      <w:r>
        <w:rPr>
          <w:rStyle w:val="NormalTok"/>
        </w:rPr>
        <w:t xml:space="preserve"> r[</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"ON_TIME"</w:t>
      </w:r>
      <w:r>
        <w:rPr>
          <w:rStyle w:val="NormalTok"/>
        </w:rPr>
        <w:t xml:space="preserve">)</w:t>
      </w:r>
      <w:r>
        <w:br/>
      </w:r>
      <w:r>
        <w:rPr>
          <w:rStyle w:val="NormalTok"/>
        </w:rPr>
        <w:t xml:space="preserve">        </w:t>
      </w:r>
      <w:r>
        <w:rPr>
          <w:rStyle w:val="ControlFlowTok"/>
        </w:rPr>
        <w:t xml:space="preserve">assert</w:t>
      </w:r>
      <w:r>
        <w:rPr>
          <w:rStyle w:val="NormalTok"/>
        </w:rPr>
        <w:t xml:space="preserve"> counted </w:t>
      </w:r>
      <w:r>
        <w:rPr>
          <w:rStyle w:val="OperatorTok"/>
        </w:rPr>
        <w:t xml:space="preserve">+</w:t>
      </w:r>
      <w:r>
        <w:rPr>
          <w:rStyle w:val="NormalTok"/>
        </w:rPr>
        <w:t xml:space="preserve"> </w:t>
      </w:r>
      <w:r>
        <w:rPr>
          <w:rStyle w:val="BuiltInTok"/>
        </w:rPr>
        <w:t xml:space="preserve">len</w:t>
      </w:r>
      <w:r>
        <w:rPr>
          <w:rStyle w:val="NormalTok"/>
        </w:rPr>
        <w:t xml:space="preserve">(op.dropped) </w:t>
      </w:r>
      <w:r>
        <w:rPr>
          <w:rStyle w:val="OperatorTok"/>
        </w:rPr>
        <w:t xml:space="preserve">==</w:t>
      </w:r>
      <w:r>
        <w:rPr>
          <w:rStyle w:val="NormalTok"/>
        </w:rPr>
        <w:t xml:space="preserve"> </w:t>
      </w:r>
      <w:r>
        <w:rPr>
          <w:rStyle w:val="BuiltInTok"/>
        </w:rPr>
        <w:t xml:space="preserve">len</w:t>
      </w:r>
      <w:r>
        <w:rPr>
          <w:rStyle w:val="NormalTok"/>
        </w:rPr>
        <w:t xml:space="preserve">(events)            </w:t>
      </w:r>
      <w:r>
        <w:rPr>
          <w:rStyle w:val="CommentTok"/>
        </w:rPr>
        <w:t xml:space="preserve"># nothing lost silently</w:t>
      </w:r>
      <w:r>
        <w:br/>
      </w:r>
      <w:r>
        <w:rPr>
          <w:rStyle w:val="NormalTok"/>
        </w:rPr>
        <w:t xml:space="preserve">        on_time </w:t>
      </w:r>
      <w:r>
        <w:rPr>
          <w:rStyle w:val="OperatorTok"/>
        </w:rPr>
        <w:t xml:space="preserve">=</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op.output </w:t>
      </w:r>
      <w:r>
        <w:rPr>
          <w:rStyle w:val="ControlFlowTok"/>
        </w:rPr>
        <w:t xml:space="preserve">if</w:t>
      </w:r>
      <w:r>
        <w:rPr>
          <w:rStyle w:val="NormalTok"/>
        </w:rPr>
        <w:t xml:space="preserve"> r[</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"ON_TIME"</w:t>
      </w:r>
      <w:r>
        <w:rPr>
          <w:rStyle w:val="NormalTok"/>
        </w:rPr>
        <w:t xml:space="preserve"> </w:t>
      </w:r>
      <w:r>
        <w:rPr>
          <w:rStyle w:val="KeywordTok"/>
        </w:rPr>
        <w:t xml:space="preserve">and</w:t>
      </w:r>
      <w:r>
        <w:rPr>
          <w:rStyle w:val="NormalTok"/>
        </w:rPr>
        <w:t xml:space="preserve"> r[</w:t>
      </w:r>
      <w:r>
        <w:rPr>
          <w:rStyle w:val="DecValTok"/>
        </w:rPr>
        <w:t xml:space="preserve">3</w:t>
      </w:r>
      <w:r>
        <w:rPr>
          <w:rStyle w:val="NormalTok"/>
        </w:rPr>
        <w:t xml:space="preserve">] </w:t>
      </w:r>
      <w:r>
        <w:rPr>
          <w:rStyle w:val="OperatorTok"/>
        </w:rPr>
        <w:t xml:space="preserve">&lt;</w:t>
      </w:r>
      <w:r>
        <w:rPr>
          <w:rStyle w:val="NormalTok"/>
        </w:rPr>
        <w:t xml:space="preserve"> </w:t>
      </w:r>
      <w:r>
        <w:rPr>
          <w:rStyle w:val="DecValTok"/>
        </w:rPr>
        <w:t xml:space="preserve">7200</w:t>
      </w:r>
      <w:r>
        <w:rPr>
          <w:rStyle w:val="NormalTok"/>
        </w:rPr>
        <w:t xml:space="preserve">]</w:t>
      </w:r>
      <w:r>
        <w:br/>
      </w:r>
      <w:r>
        <w:rPr>
          <w:rStyle w:val="NormalTok"/>
        </w:rPr>
        <w:t xml:space="preserve">        lag </w:t>
      </w:r>
      <w:r>
        <w:rPr>
          <w:rStyle w:val="OperatorTok"/>
        </w:rPr>
        <w:t xml:space="preserve">=</w:t>
      </w:r>
      <w:r>
        <w:rPr>
          <w:rStyle w:val="NormalTok"/>
        </w:rPr>
        <w:t xml:space="preserve"> </w:t>
      </w:r>
      <w:r>
        <w:rPr>
          <w:rStyle w:val="BuiltInTok"/>
        </w:rPr>
        <w:t xml:space="preserve">sum</w:t>
      </w:r>
      <w:r>
        <w:rPr>
          <w:rStyle w:val="NormalTok"/>
        </w:rPr>
        <w:t xml:space="preserve">(r[</w:t>
      </w:r>
      <w:r>
        <w:rPr>
          <w:rStyle w:val="DecValTok"/>
        </w:rPr>
        <w:t xml:space="preserve">5</w:t>
      </w:r>
      <w:r>
        <w:rPr>
          <w:rStyle w:val="NormalTok"/>
        </w:rPr>
        <w:t xml:space="preserve">] </w:t>
      </w:r>
      <w:r>
        <w:rPr>
          <w:rStyle w:val="OperatorTok"/>
        </w:rPr>
        <w:t xml:space="preserve">-</w:t>
      </w:r>
      <w:r>
        <w:rPr>
          <w:rStyle w:val="NormalTok"/>
        </w:rPr>
        <w:t xml:space="preserve"> r[</w:t>
      </w:r>
      <w:r>
        <w:rPr>
          <w:rStyle w:val="DecValTok"/>
        </w:rPr>
        <w:t xml:space="preserve">3</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on_time) </w:t>
      </w:r>
      <w:r>
        <w:rPr>
          <w:rStyle w:val="OperatorTok"/>
        </w:rPr>
        <w:t xml:space="preserve">/</w:t>
      </w:r>
      <w:r>
        <w:rPr>
          <w:rStyle w:val="NormalTok"/>
        </w:rPr>
        <w:t xml:space="preserve"> </w:t>
      </w:r>
      <w:r>
        <w:rPr>
          <w:rStyle w:val="BuiltInTok"/>
        </w:rPr>
        <w:t xml:space="preserve">len</w:t>
      </w:r>
      <w:r>
        <w:rPr>
          <w:rStyle w:val="NormalTok"/>
        </w:rPr>
        <w:t xml:space="preserve">(on_time)      </w:t>
      </w:r>
      <w:r>
        <w:rPr>
          <w:rStyle w:val="CommentTok"/>
        </w:rPr>
        <w:t xml:space="preserve"># emission time - window end</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delta</w:t>
      </w:r>
      <w:r>
        <w:rPr>
          <w:rStyle w:val="SpecialCharTok"/>
        </w:rPr>
        <w:t xml:space="preserve">:&gt;7}</w:t>
      </w:r>
      <w:r>
        <w:rPr>
          <w:rStyle w:val="SpecialStringTok"/>
        </w:rPr>
        <w:t xml:space="preserve"> </w:t>
      </w:r>
      <w:r>
        <w:rPr>
          <w:rStyle w:val="SpecialCharTok"/>
        </w:rPr>
        <w:t xml:space="preserve">{</w:t>
      </w:r>
      <w:r>
        <w:rPr>
          <w:rStyle w:val="NormalTok"/>
        </w:rPr>
        <w:t xml:space="preserve">late_fraction_model(</w:t>
      </w:r>
      <w:r>
        <w:rPr>
          <w:rStyle w:val="FloatTok"/>
        </w:rPr>
        <w:t xml:space="preserve">2.0</w:t>
      </w:r>
      <w:r>
        <w:rPr>
          <w:rStyle w:val="NormalTok"/>
        </w:rPr>
        <w:t xml:space="preserve">, delta, </w:t>
      </w:r>
      <w:r>
        <w:rPr>
          <w:rStyle w:val="DecValTok"/>
        </w:rPr>
        <w:t xml:space="preserve">60</w:t>
      </w:r>
      <w:r>
        <w:rPr>
          <w:rStyle w:val="NormalTok"/>
        </w:rPr>
        <w:t xml:space="preserve">)</w:t>
      </w:r>
      <w:r>
        <w:rPr>
          <w:rStyle w:val="SpecialCharTok"/>
        </w:rPr>
        <w:t xml:space="preserve">:&gt;10.4%}</w:t>
      </w:r>
      <w:r>
        <w:rPr>
          <w:rStyle w:val="SpecialStringTok"/>
        </w:rPr>
        <w:t xml:space="preserve"> </w:t>
      </w:r>
      <w:r>
        <w:rPr>
          <w:rStyle w:val="SpecialCharTok"/>
        </w:rPr>
        <w:t xml:space="preserve">{</w:t>
      </w:r>
      <w:r>
        <w:rPr>
          <w:rStyle w:val="NormalTok"/>
        </w:rPr>
        <w:t xml:space="preserve">sim</w:t>
      </w:r>
      <w:r>
        <w:rPr>
          <w:rStyle w:val="SpecialCharTok"/>
        </w:rPr>
        <w:t xml:space="preserve">:&gt;9.4%}</w:t>
      </w:r>
      <w:r>
        <w:rPr>
          <w:rStyle w:val="SpecialStringTok"/>
        </w:rPr>
        <w:t xml:space="preserve"> </w:t>
      </w:r>
      <w:r>
        <w:rPr>
          <w:rStyle w:val="SpecialCharTok"/>
        </w:rPr>
        <w:t xml:space="preserve">{</w:t>
      </w:r>
      <w:r>
        <w:rPr>
          <w:rStyle w:val="NormalTok"/>
        </w:rPr>
        <w:t xml:space="preserve">lag</w:t>
      </w:r>
      <w:r>
        <w:rPr>
          <w:rStyle w:val="SpecialCharTok"/>
        </w:rPr>
        <w:t xml:space="preserve">:&gt;12.2f}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"all tests passed"</w:t>
      </w:r>
      <w:r>
        <w:rPr>
          <w:rStyle w:val="NormalTok"/>
        </w:rPr>
        <w:t xml:space="preserve">)</w:t>
      </w:r>
    </w:p>
    <w:p>
      <w:pPr>
        <w:pStyle w:val="FirstParagraph"/>
      </w:pPr>
      <w:r>
        <w:t xml:space="preserve">Output:</w:t>
      </w:r>
    </w:p>
    <w:p>
      <w:pPr>
        <w:pStyle w:val="SourceCode"/>
      </w:pPr>
      <w:r>
        <w:rPr>
          <w:rStyle w:val="VerbatimChar"/>
        </w:rPr>
        <w:t xml:space="preserve">('ON_TIME', 'a', 0, 10, 3, 13.0)</w:t>
      </w:r>
      <w:r>
        <w:br/>
      </w:r>
      <w:r>
        <w:rPr>
          <w:rStyle w:val="VerbatimChar"/>
        </w:rPr>
        <w:t xml:space="preserve">('LATE', 'a', 0, 10, 4, 13.5)</w:t>
      </w:r>
      <w:r>
        <w:br/>
      </w:r>
      <w:r>
        <w:rPr>
          <w:rStyle w:val="VerbatimChar"/>
        </w:rPr>
        <w:t xml:space="preserve">('ON_TIME', 'a', 10, 20, 1, 23.0)</w:t>
      </w:r>
      <w:r>
        <w:br/>
      </w:r>
      <w:r>
        <w:rPr>
          <w:rStyle w:val="VerbatimChar"/>
        </w:rPr>
        <w:t xml:space="preserve">('LATE', 'a', 10, 20, 2, 23.6)</w:t>
      </w:r>
      <w:r>
        <w:br/>
      </w:r>
      <w:r>
        <w:rPr>
          <w:rStyle w:val="VerbatimChar"/>
        </w:rPr>
        <w:t xml:space="preserve">('ON_TIME', 'a', 20, 30, 1, 23.6)</w:t>
      </w:r>
      <w:r>
        <w:br/>
      </w:r>
      <w:r>
        <w:rPr>
          <w:rStyle w:val="VerbatimChar"/>
        </w:rPr>
        <w:t xml:space="preserve">dropped: [(7, 'a', 0)]</w:t>
      </w:r>
      <w:r>
        <w:br/>
      </w:r>
      <w:r>
        <w:rPr>
          <w:rStyle w:val="VerbatimChar"/>
        </w:rPr>
        <w:t xml:space="preserve">delta s late model  late sim emit delay s</w:t>
      </w:r>
      <w:r>
        <w:br/>
      </w:r>
      <w:r>
        <w:rPr>
          <w:rStyle w:val="VerbatimChar"/>
        </w:rPr>
        <w:t xml:space="preserve">      0    3.3333%   2.9084%         0.25</w:t>
      </w:r>
      <w:r>
        <w:br/>
      </w:r>
      <w:r>
        <w:rPr>
          <w:rStyle w:val="VerbatimChar"/>
        </w:rPr>
        <w:t xml:space="preserve">      2    1.2263%   1.0811%         2.27</w:t>
      </w:r>
      <w:r>
        <w:br/>
      </w:r>
      <w:r>
        <w:rPr>
          <w:rStyle w:val="VerbatimChar"/>
        </w:rPr>
        <w:t xml:space="preserve">      5    0.2736%   0.2373%         5.25</w:t>
      </w:r>
      <w:r>
        <w:br/>
      </w:r>
      <w:r>
        <w:rPr>
          <w:rStyle w:val="VerbatimChar"/>
        </w:rPr>
        <w:t xml:space="preserve">     10    0.0225%   0.0172%        10.24</w:t>
      </w:r>
      <w:r>
        <w:br/>
      </w:r>
      <w:r>
        <w:rPr>
          <w:rStyle w:val="VerbatimChar"/>
        </w:rPr>
        <w:t xml:space="preserve">all tests passed</w:t>
      </w:r>
    </w:p>
    <w:p>
      <w:pPr>
        <w:pStyle w:val="FirstParagraph"/>
      </w:pPr>
      <w:r>
        <w:t xml:space="preserve">What to notice:</w:t>
      </w:r>
    </w:p>
    <w:p>
      <w:pPr>
        <w:numPr>
          <w:ilvl w:val="0"/>
          <w:numId w:val="1960"/>
        </w:numPr>
        <w:pStyle w:val="Compact"/>
      </w:pPr>
      <w:r>
        <w:t xml:space="preserve">The late check uses the watermark</w:t>
      </w:r>
      <w:r>
        <w:t xml:space="preserve"> </w:t>
      </w:r>
      <w:r>
        <w:rPr>
          <w:iCs/>
          <w:i/>
        </w:rPr>
        <w:t xml:space="preserve">before</w:t>
      </w:r>
      <w:r>
        <w:t xml:space="preserve"> </w:t>
      </w:r>
      <w:r>
        <w:t xml:space="preserve">the event advances it, so an event cannot rescue its own window.</w:t>
      </w:r>
    </w:p>
    <w:p>
      <w:pPr>
        <w:numPr>
          <w:ilvl w:val="0"/>
          <w:numId w:val="1960"/>
        </w:numPr>
        <w:pStyle w:val="Compact"/>
      </w:pPr>
      <w:r>
        <w:t xml:space="preserve">Window [20, 30) fires only at</w:t>
      </w:r>
      <w:r>
        <w:t xml:space="preserve"> </w:t>
      </w:r>
      <w:r>
        <w:rPr>
          <w:rStyle w:val="VerbatimChar"/>
        </w:rPr>
        <w:t xml:space="preserve">end_of_input</w:t>
      </w:r>
      <w:r>
        <w:t xml:space="preserve">, which sends a final infinite watermark; Flink does the same when a bounded source finishes.</w:t>
      </w:r>
    </w:p>
    <w:p>
      <w:pPr>
        <w:numPr>
          <w:ilvl w:val="0"/>
          <w:numId w:val="1960"/>
        </w:numPr>
        <w:pStyle w:val="Compact"/>
      </w:pPr>
      <w:r>
        <w:t xml:space="preserve">The simulation tracks the model closely but slightly below it: the maximum event time trails the arrival clock by about 0.25 s, adding that much extra slack (the</w:t>
      </w:r>
      <w:r>
        <w:t xml:space="preserve"> </w:t>
      </w:r>
      <w:r>
        <w:t xml:space="preserve">“</w:t>
      </w:r>
      <w:r>
        <w:t xml:space="preserve">emit delay</w:t>
      </w:r>
      <w:r>
        <w:t xml:space="preserve">”</w:t>
      </w:r>
      <w:r>
        <w:t xml:space="preserve"> </w:t>
      </w:r>
      <w:r>
        <w:t xml:space="preserve">column), and</w:t>
      </w:r>
      <w:r>
        <w:t xml:space="preserve"> </w:t>
      </w:r>
      <m:oMath>
        <m:sSup>
          <m:e>
            <m:r>
              <m:t>e</m:t>
            </m:r>
          </m:e>
          <m:sup>
            <m:r>
              <m:rPr>
                <m:sty m:val="p"/>
              </m:rPr>
              <m:t>−</m:t>
            </m:r>
            <m:r>
              <m:t>0.25</m:t>
            </m:r>
            <m:r>
              <m:rPr>
                <m:sty m:val="p"/>
              </m:rPr>
              <m:t>/</m:t>
            </m:r>
            <m:r>
              <m:t>2</m:t>
            </m:r>
          </m:sup>
        </m:sSup>
        <m:r>
          <m:rPr>
            <m:sty m:val="p"/>
          </m:rPr>
          <m:t>=</m:t>
        </m:r>
        <m:r>
          <m:t>0.88</m:t>
        </m:r>
      </m:oMath>
      <w:r>
        <w:t xml:space="preserve"> </w:t>
      </w:r>
      <w:r>
        <w:t xml:space="preserve">explains the gap.</w:t>
      </w:r>
    </w:p>
    <w:p>
      <w:pPr>
        <w:numPr>
          <w:ilvl w:val="0"/>
          <w:numId w:val="1960"/>
        </w:numPr>
        <w:pStyle w:val="Compact"/>
      </w:pPr>
      <w:r>
        <w:t xml:space="preserve">With</w:t>
      </w:r>
      <w:r>
        <w:t xml:space="preserve"> </w:t>
      </w:r>
      <m:oMath>
        <m:r>
          <m:t>δ</m:t>
        </m:r>
        <m:r>
          <m:rPr>
            <m:sty m:val="p"/>
          </m:rPr>
          <m:t>=</m:t>
        </m:r>
        <m:r>
          <m:t>0</m:t>
        </m:r>
      </m:oMath>
      <w:r>
        <w:t xml:space="preserve"> </w:t>
      </w:r>
      <w:r>
        <w:t xml:space="preserve">the operator is fast but loses about 3% of events; each extra 2 s of delay divides losses by about</w:t>
      </w:r>
      <w:r>
        <w:t xml:space="preserve"> </w:t>
      </w:r>
      <m:oMath>
        <m:r>
          <m:t>e</m:t>
        </m:r>
      </m:oMath>
      <w:r>
        <w:t xml:space="preserve">.</w:t>
      </w:r>
    </w:p>
    <w:bookmarkEnd w:id="3309"/>
    <w:bookmarkEnd w:id="3310"/>
    <w:bookmarkStart w:id="3311" w:name="state-and-exactly-once-processing"/>
    <w:p>
      <w:pPr>
        <w:pStyle w:val="Heading3"/>
      </w:pPr>
      <w:r>
        <w:t xml:space="preserve">29.8.4 State and exactly-once processing</w:t>
      </w:r>
    </w:p>
    <w:p>
      <w:pPr>
        <w:pStyle w:val="FirstParagraph"/>
      </w:pPr>
      <w:r>
        <w:t xml:space="preserve">Windows, joins, deduplication and per-user features all need</w:t>
      </w:r>
      <w:r>
        <w:t xml:space="preserve"> </w:t>
      </w:r>
      <w:r>
        <w:rPr>
          <w:bCs/>
          <w:b/>
        </w:rPr>
        <w:t xml:space="preserve">state</w:t>
      </w:r>
      <w:r>
        <w:t xml:space="preserve"> </w:t>
      </w:r>
      <w:r>
        <w:t xml:space="preserve">that outlives individual events: counts per open window, the last event per user, a model’s running statistics. State is partitioned by key like a shuffle. After a failure it must be recovered</w:t>
      </w:r>
      <w:r>
        <w:t xml:space="preserve"> </w:t>
      </w:r>
      <w:r>
        <w:rPr>
          <w:iCs/>
          <w:i/>
        </w:rPr>
        <w:t xml:space="preserve">consistently with the input position</w:t>
      </w:r>
      <w:r>
        <w:t xml:space="preserve">: restoring counts from 12:00 but resuming input from 12:05 loses five minutes; resuming from 11:55 double-counts five.</w:t>
      </w:r>
    </w:p>
    <w:p>
      <w:pPr>
        <w:pStyle w:val="BodyText"/>
      </w:pPr>
      <w:r>
        <w:t xml:space="preserve">Engines achieve</w:t>
      </w:r>
      <w:r>
        <w:t xml:space="preserve"> </w:t>
      </w:r>
      <w:r>
        <w:rPr>
          <w:bCs/>
          <w:b/>
        </w:rPr>
        <w:t xml:space="preserve">exactly-once state semantics</w:t>
      </w:r>
      <w:r>
        <w:t xml:space="preserve"> </w:t>
      </w:r>
      <w:r>
        <w:t xml:space="preserve">(effectively-once) by periodically taking a</w:t>
      </w:r>
      <w:r>
        <w:t xml:space="preserve"> </w:t>
      </w:r>
      <w:r>
        <w:rPr>
          <w:bCs/>
          <w:b/>
        </w:rPr>
        <w:t xml:space="preserve">consistent distributed snapshot</w:t>
      </w:r>
      <w:r>
        <w:t xml:space="preserve"> </w:t>
      </w:r>
      <w:r>
        <w:t xml:space="preserve">of all operator state plus source offsets and, on failure, rolling back to it and replaying input from those offsets. Events may be</w:t>
      </w:r>
      <w:r>
        <w:t xml:space="preserve"> </w:t>
      </w:r>
      <w:r>
        <w:rPr>
          <w:iCs/>
          <w:i/>
        </w:rPr>
        <w:t xml:space="preserve">processed</w:t>
      </w:r>
      <w:r>
        <w:t xml:space="preserve"> </w:t>
      </w:r>
      <w:r>
        <w:t xml:space="preserve">twice, but each affects state once. The classic algorithm is Chandy and Lamport’s: a</w:t>
      </w:r>
      <w:r>
        <w:t xml:space="preserve"> </w:t>
      </w:r>
      <w:r>
        <w:rPr>
          <w:bCs/>
          <w:b/>
        </w:rPr>
        <w:t xml:space="preserve">marker</w:t>
      </w:r>
      <w:r>
        <w:t xml:space="preserve"> </w:t>
      </w:r>
      <w:r>
        <w:t xml:space="preserve">travels along every channel; a process records its state at the first marker and records in-flight messages on channels whose markers have not arrived, yielding a consistent global state without stopping the system [Chandy and Lamport 1985]. Flink’s adaptation is in §29.9.2. External results are exactly-once only with idempotent or transactional sinks (§32.9; Kafka transactions in Chapter 31).</w:t>
      </w:r>
    </w:p>
    <w:p>
      <w:pPr>
        <w:pStyle w:val="CalloutIndustry"/>
      </w:pPr>
      <w:r>
        <w:rPr>
          <w:bCs/>
          <w:b/>
        </w:rPr>
        <w:t xml:space="preserve">INDUSTRY EXAMPLE</w:t>
      </w:r>
    </w:p>
    <w:p>
      <w:pPr>
        <w:pStyle w:val="CalloutIndustry"/>
      </w:pPr>
      <w:r>
        <w:rPr>
          <w:bCs/>
          <w:b/>
        </w:rPr>
        <w:t xml:space="preserve">Google MillWheel and Cloud Dataflow.</w:t>
      </w:r>
      <w:r>
        <w:t xml:space="preserve"> </w:t>
      </w:r>
      <w:r>
        <w:t xml:space="preserve">MillWheel, Google’s earlier stream processor, introduced low watermarks computed from the oldest pending work, per-key persistent state, and exactly-once delivery by deduplicating record IDs [Akidau et al. 2013]. The Dataflow Model generalized these ideas and underlies Google Cloud Dataflow; Apache Beam is its open-source SDK [Akidau et al. 2015].</w:t>
      </w:r>
      <w:r>
        <w:t xml:space="preserve"> </w:t>
      </w:r>
      <w:r>
        <w:rPr>
          <w:iCs/>
          <w:i/>
        </w:rPr>
        <w:t xml:space="preserve">Evidence: Primary</w:t>
      </w:r>
      <w:r>
        <w:t xml:space="preserve"> </w:t>
      </w:r>
      <w:r>
        <w:t xml:space="preserve">— [Akidau et al. 2013; Akidau et al. 2015]</w:t>
      </w:r>
    </w:p>
    <w:p>
      <w:pPr>
        <w:pStyle w:val="CalloutMistake"/>
      </w:pPr>
      <w:r>
        <w:rPr>
          <w:bCs/>
          <w:b/>
        </w:rPr>
        <w:t xml:space="preserve">COMMON MISTAKE</w:t>
      </w:r>
    </w:p>
    <w:p>
      <w:pPr>
        <w:pStyle w:val="CalloutMistake"/>
      </w:pPr>
      <w:r>
        <w:rPr>
          <w:bCs/>
          <w:b/>
        </w:rPr>
        <w:t xml:space="preserve">“</w:t>
      </w:r>
      <w:r>
        <w:rPr>
          <w:bCs/>
          <w:b/>
        </w:rPr>
        <w:t xml:space="preserve">Exactly-once means every event is processed exactly once.</w:t>
      </w:r>
      <w:r>
        <w:rPr>
          <w:bCs/>
          <w:b/>
        </w:rPr>
        <w:t xml:space="preserve">”</w:t>
      </w:r>
      <w:r>
        <w:t xml:space="preserve"> </w:t>
      </w:r>
      <w:r>
        <w:t xml:space="preserve">It means the</w:t>
      </w:r>
      <w:r>
        <w:t xml:space="preserve"> </w:t>
      </w:r>
      <w:r>
        <w:rPr>
          <w:iCs/>
          <w:i/>
        </w:rPr>
        <w:t xml:space="preserve">effect on managed state</w:t>
      </w:r>
      <w:r>
        <w:t xml:space="preserve"> </w:t>
      </w:r>
      <w:r>
        <w:t xml:space="preserve">is as if each event were processed once. After a failure, events since the last checkpoint are reprocessed, and any non-transactional side effect (an email, an HTTP call, a write to a database without an idempotency key) happens again.</w:t>
      </w:r>
    </w:p>
    <w:bookmarkEnd w:id="3311"/>
    <w:bookmarkEnd w:id="3312"/>
    <w:bookmarkStart w:id="3322" w:name="apache-flink"/>
    <w:p>
      <w:pPr>
        <w:pStyle w:val="Heading2"/>
      </w:pPr>
      <w:r>
        <w:t xml:space="preserve">29.9 Apache Flink</w:t>
      </w:r>
    </w:p>
    <w:bookmarkStart w:id="3316" w:name="architecture-and-state"/>
    <w:p>
      <w:pPr>
        <w:pStyle w:val="Heading3"/>
      </w:pPr>
      <w:r>
        <w:t xml:space="preserve">29.9.1 Architecture and state</w:t>
      </w:r>
    </w:p>
    <w:p>
      <w:pPr>
        <w:pStyle w:val="CalloutDefinition"/>
      </w:pPr>
      <w:r>
        <w:rPr>
          <w:bCs/>
          <w:b/>
        </w:rPr>
        <w:t xml:space="preserve">DEFINITION</w:t>
      </w:r>
    </w:p>
    <w:p>
      <w:pPr>
        <w:pStyle w:val="CalloutDefinition"/>
      </w:pPr>
      <w:r>
        <w:rPr>
          <w:bCs/>
          <w:b/>
        </w:rPr>
        <w:t xml:space="preserve">Definition — Apache Flink.</w:t>
      </w:r>
      <w:r>
        <w:t xml:space="preserve"> </w:t>
      </w:r>
      <w:r>
        <w:t xml:space="preserve">An open-source distributed engine that executes dataflow programs as a graph of long-running, pipelined operators, treating batch as a bounded special case of streaming. It provides event-time processing with watermarks, large keyed state, and exactly-once state consistency through asynchronous distributed snapshots [Carbone et al. 2015a].</w:t>
      </w:r>
    </w:p>
    <w:p>
      <w:pPr>
        <w:pStyle w:val="BodyText"/>
      </w:pPr>
      <w:r>
        <w:t xml:space="preserve">A Flink cluster has a</w:t>
      </w:r>
      <w:r>
        <w:t xml:space="preserve"> </w:t>
      </w:r>
      <w:r>
        <w:rPr>
          <w:bCs/>
          <w:b/>
        </w:rPr>
        <w:t xml:space="preserve">JobManager</w:t>
      </w:r>
      <w:r>
        <w:t xml:space="preserve"> </w:t>
      </w:r>
      <w:r>
        <w:t xml:space="preserve">(a resource manager, a dispatcher, and one</w:t>
      </w:r>
      <w:r>
        <w:t xml:space="preserve"> </w:t>
      </w:r>
      <w:r>
        <w:rPr>
          <w:bCs/>
          <w:b/>
        </w:rPr>
        <w:t xml:space="preserve">JobMaster</w:t>
      </w:r>
      <w:r>
        <w:t xml:space="preserve"> </w:t>
      </w:r>
      <w:r>
        <w:t xml:space="preserve">per job that schedules tasks and coordinates checkpoints) and several</w:t>
      </w:r>
      <w:r>
        <w:t xml:space="preserve"> </w:t>
      </w:r>
      <w:r>
        <w:rPr>
          <w:bCs/>
          <w:b/>
        </w:rPr>
        <w:t xml:space="preserve">TaskManagers</w:t>
      </w:r>
      <w:r>
        <w:t xml:space="preserve">, worker processes that each offer a fixed number of</w:t>
      </w:r>
      <w:r>
        <w:t xml:space="preserve"> </w:t>
      </w:r>
      <w:r>
        <w:rPr>
          <w:bCs/>
          <w:b/>
        </w:rPr>
        <w:t xml:space="preserve">task slots</w:t>
      </w:r>
      <w:r>
        <w:t xml:space="preserve">. A job graph is turned into parallel subtasks; consecutive operators with the same parallelism and a one-to-one connection are</w:t>
      </w:r>
      <w:r>
        <w:t xml:space="preserve"> </w:t>
      </w:r>
      <w:r>
        <w:rPr>
          <w:bCs/>
          <w:b/>
        </w:rPr>
        <w:t xml:space="preserve">chained</w:t>
      </w:r>
      <w:r>
        <w:t xml:space="preserve"> </w:t>
      </w:r>
      <w:r>
        <w:t xml:space="preserve">into one task, so records pass between them as method calls. Unlike Spark’s stage-at-a-time batch model, all stages of a streaming job run at once, and records flow continuously through network buffers between them, with</w:t>
      </w:r>
      <w:r>
        <w:t xml:space="preserve"> </w:t>
      </w:r>
      <w:r>
        <w:rPr>
          <w:bCs/>
          <w:b/>
        </w:rPr>
        <w:t xml:space="preserve">credit-based flow control</w:t>
      </w:r>
      <w:r>
        <w:t xml:space="preserve"> </w:t>
      </w:r>
      <w:r>
        <w:t xml:space="preserve">providing backpressure when a downstream task is slow (§22.10).</w:t>
      </w:r>
    </w:p>
    <w:p>
      <w:pPr>
        <w:pStyle w:val="BodyText"/>
      </w:pPr>
      <w:r>
        <w:t xml:space="preserve">State comes in two kinds.</w:t>
      </w:r>
      <w:r>
        <w:t xml:space="preserve"> </w:t>
      </w:r>
      <w:r>
        <w:rPr>
          <w:bCs/>
          <w:b/>
        </w:rPr>
        <w:t xml:space="preserve">Keyed state</w:t>
      </w:r>
      <w:r>
        <w:t xml:space="preserve"> </w:t>
      </w:r>
      <w:r>
        <w:t xml:space="preserve">(value, list, map state) is scoped to the current key of a</w:t>
      </w:r>
      <w:r>
        <w:t xml:space="preserve"> </w:t>
      </w:r>
      <w:r>
        <w:rPr>
          <w:rStyle w:val="VerbatimChar"/>
        </w:rPr>
        <w:t xml:space="preserve">keyBy</w:t>
      </w:r>
      <w:r>
        <w:t xml:space="preserve"> </w:t>
      </w:r>
      <w:r>
        <w:t xml:space="preserve">stream and partitioned with the stream; it is organized into</w:t>
      </w:r>
      <w:r>
        <w:t xml:space="preserve"> </w:t>
      </w:r>
      <w:r>
        <w:rPr>
          <w:bCs/>
          <w:b/>
        </w:rPr>
        <w:t xml:space="preserve">key groups</w:t>
      </w:r>
      <w:r>
        <w:t xml:space="preserve">, whose number equals the job’s</w:t>
      </w:r>
      <w:r>
        <w:t xml:space="preserve"> </w:t>
      </w:r>
      <w:r>
        <w:rPr>
          <w:bCs/>
          <w:b/>
        </w:rPr>
        <w:t xml:space="preserve">maximum parallelism</w:t>
      </w:r>
      <w:r>
        <w:t xml:space="preserve">, so rescaling moves whole key groups between subtasks without rehashing keys.</w:t>
      </w:r>
      <w:r>
        <w:t xml:space="preserve"> </w:t>
      </w:r>
      <w:r>
        <w:rPr>
          <w:bCs/>
          <w:b/>
        </w:rPr>
        <w:t xml:space="preserve">Operator state</w:t>
      </w:r>
      <w:r>
        <w:t xml:space="preserve"> </w:t>
      </w:r>
      <w:r>
        <w:t xml:space="preserve">belongs to a parallel operator instance regardless of key; the classic example is a source’s partition offsets.</w:t>
      </w:r>
    </w:p>
    <w:p>
      <w:pPr>
        <w:pStyle w:val="BodyText"/>
      </w:pPr>
      <w:r>
        <w:rPr>
          <w:bCs/>
          <w:b/>
        </w:rPr>
        <w:t xml:space="preserve">State backends</w:t>
      </w:r>
      <w:r>
        <w:t xml:space="preserve"> </w:t>
      </w:r>
      <w:r>
        <w:t xml:space="preserve">decide where working state lives. The</w:t>
      </w:r>
      <w:r>
        <w:t xml:space="preserve"> </w:t>
      </w:r>
      <w:r>
        <w:rPr>
          <w:bCs/>
          <w:b/>
        </w:rPr>
        <w:t xml:space="preserve">HashMapStateBackend</w:t>
      </w:r>
      <w:r>
        <w:t xml:space="preserve"> </w:t>
      </w:r>
      <w:r>
        <w:t xml:space="preserve">keeps state as heap objects: fastest, but bounded by memory and GC pressure. The</w:t>
      </w:r>
      <w:r>
        <w:t xml:space="preserve"> </w:t>
      </w:r>
      <w:r>
        <w:rPr>
          <w:bCs/>
          <w:b/>
        </w:rPr>
        <w:t xml:space="preserve">EmbeddedRocksDBStateBackend</w:t>
      </w:r>
      <w:r>
        <w:t xml:space="preserve"> </w:t>
      </w:r>
      <w:r>
        <w:t xml:space="preserve">keeps state in an embedded RocksDB LSM tree (§13.8) on local disk, serialized, so state can exceed memory by orders of magnitude at the cost of serialization on every access; it supports</w:t>
      </w:r>
      <w:r>
        <w:t xml:space="preserve"> </w:t>
      </w:r>
      <w:r>
        <w:rPr>
          <w:bCs/>
          <w:b/>
        </w:rPr>
        <w:t xml:space="preserve">incremental checkpoints</w:t>
      </w:r>
      <w:r>
        <w:t xml:space="preserve"> </w:t>
      </w:r>
      <w:r>
        <w:t xml:space="preserve">that upload only new SST files. Flink 2.0 (2025) added a disaggregated state backend, ForSt, that keeps the primary copy of state in remote storage (as of 2026). Checkpoints go to durable storage such as S3 or HDFS [Apache Flink Docs: State Backends; Carbone et al. 2017].</w:t>
      </w:r>
    </w:p>
    <w:p>
      <w:pPr>
        <w:pStyle w:val="BodyText"/>
      </w:pPr>
      <w:r>
        <w:rPr>
          <w:bCs/>
          <w:b/>
        </w:rPr>
        <w:t xml:space="preserve">Figure 29.13 — Flink cluster architecture.</w:t>
      </w:r>
    </w:p>
    <w:p>
      <w:pPr>
        <w:pStyle w:val="BodyText"/>
      </w:pPr>
      <w:r>
        <w:drawing>
          <wp:inline>
            <wp:extent cx="5334000" cy="1967772"/>
            <wp:effectExtent b="0" l="0" r="0" t="0"/>
            <wp:docPr descr="" title="" id="3314" name="Picture"/>
            <a:graphic>
              <a:graphicData uri="http://schemas.openxmlformats.org/drawingml/2006/picture">
                <pic:pic>
                  <pic:nvPicPr>
                    <pic:cNvPr descr="/home/user/System-Design/build/.cache/diagrams/08b3e3c971e8.png" id="3315" name="Picture"/>
                    <pic:cNvPicPr>
                      <a:picLocks noChangeArrowheads="1" noChangeAspect="1"/>
                    </pic:cNvPicPr>
                  </pic:nvPicPr>
                  <pic:blipFill>
                    <a:blip r:embed="rId3313"/>
                    <a:stretch>
                      <a:fillRect/>
                    </a:stretch>
                  </pic:blipFill>
                  <pic:spPr bwMode="auto">
                    <a:xfrm>
                      <a:off x="0" y="0"/>
                      <a:ext cx="5334000" cy="1967772"/>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w:t>
      </w:r>
      <w:r>
        <w:t xml:space="preserve"> </w:t>
      </w:r>
      <w:r>
        <w:rPr>
          <w:iCs/>
          <w:i/>
        </w:rPr>
        <w:t xml:space="preserve">client</w:t>
      </w:r>
      <w:r>
        <w:t xml:space="preserve"> </w:t>
      </w:r>
      <w:r>
        <w:t xml:space="preserve">submits a job graph to the</w:t>
      </w:r>
      <w:r>
        <w:t xml:space="preserve"> </w:t>
      </w:r>
      <w:r>
        <w:rPr>
          <w:iCs/>
          <w:i/>
        </w:rPr>
        <w:t xml:space="preserve">JobManager</w:t>
      </w:r>
      <w:r>
        <w:t xml:space="preserve">, whose JobMaster deploys tasks into</w:t>
      </w:r>
      <w:r>
        <w:t xml:space="preserve"> </w:t>
      </w:r>
      <w:r>
        <w:rPr>
          <w:iCs/>
          <w:i/>
        </w:rPr>
        <w:t xml:space="preserve">TaskManager</w:t>
      </w:r>
      <w:r>
        <w:t xml:space="preserve"> </w:t>
      </w:r>
      <w:r>
        <w:t xml:space="preserve">slots and coordinates checkpoints. Sources read</w:t>
      </w:r>
      <w:r>
        <w:t xml:space="preserve"> </w:t>
      </w:r>
      <w:r>
        <w:rPr>
          <w:iCs/>
          <w:i/>
        </w:rPr>
        <w:t xml:space="preserve">Kafka partitions</w:t>
      </w:r>
      <w:r>
        <w:t xml:space="preserve"> </w:t>
      </w:r>
      <w:r>
        <w:t xml:space="preserve">and re-partition records by key to the</w:t>
      </w:r>
      <w:r>
        <w:t xml:space="preserve"> </w:t>
      </w:r>
      <w:r>
        <w:rPr>
          <w:iCs/>
          <w:i/>
        </w:rPr>
        <w:t xml:space="preserve">window operators</w:t>
      </w:r>
      <w:r>
        <w:t xml:space="preserve">, which keep state in RocksDB on local disk. Solid arrows are pipelined record streams with backpressure; dotted arrows are asynchronous snapshot uploads and leader election for high availability. Failure points: a lost TaskManager restarts tasks from the last checkpoint; a lost JobManager fails over to a standby. Scaling: restart from a savepoint with higher parallelism.</w:t>
      </w:r>
    </w:p>
    <w:bookmarkEnd w:id="3316"/>
    <w:bookmarkStart w:id="3321" w:name="X34a82d945ca98ab95d14e0411329b9848133755"/>
    <w:p>
      <w:pPr>
        <w:pStyle w:val="Heading3"/>
      </w:pPr>
      <w:r>
        <w:t xml:space="preserve">29.9.2 Asynchronous barrier snapshotting and savepoints</w:t>
      </w:r>
    </w:p>
    <w:p>
      <w:pPr>
        <w:pStyle w:val="FirstParagraph"/>
      </w:pPr>
      <w:r>
        <w:t xml:space="preserve">Flink’s checkpointing is a variant of Chandy–Lamport for directed dataflow graphs, called</w:t>
      </w:r>
      <w:r>
        <w:t xml:space="preserve"> </w:t>
      </w:r>
      <w:r>
        <w:rPr>
          <w:bCs/>
          <w:b/>
        </w:rPr>
        <w:t xml:space="preserve">asynchronous barrier snapshotting</w:t>
      </w:r>
      <w:r>
        <w:t xml:space="preserve"> </w:t>
      </w:r>
      <w:r>
        <w:t xml:space="preserve">[Carbone et al. 2015b]:</w:t>
      </w:r>
    </w:p>
    <w:p>
      <w:pPr>
        <w:numPr>
          <w:ilvl w:val="0"/>
          <w:numId w:val="1961"/>
        </w:numPr>
        <w:pStyle w:val="Compact"/>
      </w:pPr>
      <w:r>
        <w:t xml:space="preserve">The checkpoint coordinator tells every source to start checkpoint</w:t>
      </w:r>
      <w:r>
        <w:t xml:space="preserve"> </w:t>
      </w:r>
      <m:oMath>
        <m:r>
          <m:t>n</m:t>
        </m:r>
      </m:oMath>
      <w:r>
        <w:t xml:space="preserve">. Each source records its input offset and emits a</w:t>
      </w:r>
      <w:r>
        <w:t xml:space="preserve"> </w:t>
      </w:r>
      <w:r>
        <w:rPr>
          <w:bCs/>
          <w:b/>
        </w:rPr>
        <w:t xml:space="preserve">barrier</w:t>
      </w:r>
      <w:r>
        <w:t xml:space="preserve"> </w:t>
      </w:r>
      <m:oMath>
        <m:r>
          <m:t>n</m:t>
        </m:r>
      </m:oMath>
      <w:r>
        <w:t xml:space="preserve"> </w:t>
      </w:r>
      <w:r>
        <w:t xml:space="preserve">into its output streams, between records.</w:t>
      </w:r>
    </w:p>
    <w:p>
      <w:pPr>
        <w:numPr>
          <w:ilvl w:val="0"/>
          <w:numId w:val="1961"/>
        </w:numPr>
        <w:pStyle w:val="Compact"/>
      </w:pPr>
      <w:r>
        <w:t xml:space="preserve">An operator with several inputs</w:t>
      </w:r>
      <w:r>
        <w:t xml:space="preserve"> </w:t>
      </w:r>
      <w:r>
        <w:rPr>
          <w:bCs/>
          <w:b/>
        </w:rPr>
        <w:t xml:space="preserve">aligns</w:t>
      </w:r>
      <w:r>
        <w:t xml:space="preserve">: once barrier</w:t>
      </w:r>
      <w:r>
        <w:t xml:space="preserve"> </w:t>
      </w:r>
      <m:oMath>
        <m:r>
          <m:t>n</m:t>
        </m:r>
      </m:oMath>
      <w:r>
        <w:t xml:space="preserve"> </w:t>
      </w:r>
      <w:r>
        <w:t xml:space="preserve">arrives on one input, it buffers further records from that input until barrier</w:t>
      </w:r>
      <w:r>
        <w:t xml:space="preserve"> </w:t>
      </w:r>
      <m:oMath>
        <m:r>
          <m:t>n</m:t>
        </m:r>
      </m:oMath>
      <w:r>
        <w:t xml:space="preserve"> </w:t>
      </w:r>
      <w:r>
        <w:t xml:space="preserve">has arrived on all inputs. Records before the barrier belong to checkpoint</w:t>
      </w:r>
      <w:r>
        <w:t xml:space="preserve"> </w:t>
      </w:r>
      <m:oMath>
        <m:r>
          <m:t>n</m:t>
        </m:r>
      </m:oMath>
      <w:r>
        <w:t xml:space="preserve">; records after it to</w:t>
      </w:r>
      <w:r>
        <w:t xml:space="preserve"> </w:t>
      </w:r>
      <m:oMath>
        <m:r>
          <m:t>n</m:t>
        </m:r>
        <m:r>
          <m:rPr>
            <m:sty m:val="p"/>
          </m:rPr>
          <m:t>+</m:t>
        </m:r>
        <m:r>
          <m:t>1</m:t>
        </m:r>
      </m:oMath>
      <w:r>
        <w:t xml:space="preserve">.</w:t>
      </w:r>
    </w:p>
    <w:p>
      <w:pPr>
        <w:numPr>
          <w:ilvl w:val="0"/>
          <w:numId w:val="1961"/>
        </w:numPr>
        <w:pStyle w:val="Compact"/>
      </w:pPr>
      <w:r>
        <w:t xml:space="preserve">When aligned, the operator takes a snapshot of its state and forwards barrier</w:t>
      </w:r>
      <w:r>
        <w:t xml:space="preserve"> </w:t>
      </w:r>
      <m:oMath>
        <m:r>
          <m:t>n</m:t>
        </m:r>
      </m:oMath>
      <w:r>
        <w:t xml:space="preserve"> </w:t>
      </w:r>
      <w:r>
        <w:t xml:space="preserve">downstream. The snapshot is</w:t>
      </w:r>
      <w:r>
        <w:t xml:space="preserve"> </w:t>
      </w:r>
      <w:r>
        <w:rPr>
          <w:bCs/>
          <w:b/>
        </w:rPr>
        <w:t xml:space="preserve">asynchronous</w:t>
      </w:r>
      <w:r>
        <w:t xml:space="preserve">: a quick copy-on-write or RocksDB snapshot is taken synchronously, and the upload to durable storage happens in the background while processing continues.</w:t>
      </w:r>
    </w:p>
    <w:p>
      <w:pPr>
        <w:numPr>
          <w:ilvl w:val="0"/>
          <w:numId w:val="1961"/>
        </w:numPr>
        <w:pStyle w:val="Compact"/>
      </w:pPr>
      <w:r>
        <w:t xml:space="preserve">Sinks acknowledge; when every task has acknowledged, the coordinator marks checkpoint</w:t>
      </w:r>
      <w:r>
        <w:t xml:space="preserve"> </w:t>
      </w:r>
      <m:oMath>
        <m:r>
          <m:t>n</m:t>
        </m:r>
      </m:oMath>
      <w:r>
        <w:t xml:space="preserve"> </w:t>
      </w:r>
      <w:r>
        <w:t xml:space="preserve">complete. Transactional sinks then commit the output written during that checkpoint (two-phase commit), which is how Flink achieves end-to-end exactly-once with Kafka.</w:t>
      </w:r>
    </w:p>
    <w:p>
      <w:pPr>
        <w:numPr>
          <w:ilvl w:val="0"/>
          <w:numId w:val="1961"/>
        </w:numPr>
        <w:pStyle w:val="Compact"/>
      </w:pPr>
      <w:r>
        <w:t xml:space="preserve">On failure, all tasks restart, load their state from checkpoint</w:t>
      </w:r>
      <w:r>
        <w:t xml:space="preserve"> </w:t>
      </w:r>
      <m:oMath>
        <m:r>
          <m:t>n</m:t>
        </m:r>
      </m:oMath>
      <w:r>
        <w:t xml:space="preserve">, and sources rewind to the recorded offsets.</w:t>
      </w:r>
    </w:p>
    <w:p>
      <w:pPr>
        <w:pStyle w:val="FirstParagraph"/>
      </w:pPr>
      <w:r>
        <w:t xml:space="preserve">For acyclic graphs, alignment means in-flight channel contents need not be saved, unlike in Chandy–Lamport. Under heavy backpressure, barriers queue behind buffered data;</w:t>
      </w:r>
      <w:r>
        <w:t xml:space="preserve"> </w:t>
      </w:r>
      <w:r>
        <w:rPr>
          <w:bCs/>
          <w:b/>
        </w:rPr>
        <w:t xml:space="preserve">unaligned checkpoints</w:t>
      </w:r>
      <w:r>
        <w:t xml:space="preserve"> </w:t>
      </w:r>
      <w:r>
        <w:t xml:space="preserve">(Flink 1.11+) let barriers overtake buffered records and save those buffers in the snapshot.</w:t>
      </w:r>
    </w:p>
    <w:p>
      <w:pPr>
        <w:pStyle w:val="BodyText"/>
      </w:pPr>
      <w:r>
        <w:rPr>
          <w:bCs/>
          <w:b/>
        </w:rPr>
        <w:t xml:space="preserve">Figure 29.14 — Barrier alignment in a two-input operator.</w:t>
      </w:r>
    </w:p>
    <w:p>
      <w:pPr>
        <w:pStyle w:val="BodyText"/>
      </w:pPr>
      <w:r>
        <w:drawing>
          <wp:inline>
            <wp:extent cx="5334000" cy="2915344"/>
            <wp:effectExtent b="0" l="0" r="0" t="0"/>
            <wp:docPr descr="" title="" id="3318" name="Picture"/>
            <a:graphic>
              <a:graphicData uri="http://schemas.openxmlformats.org/drawingml/2006/picture">
                <pic:pic>
                  <pic:nvPicPr>
                    <pic:cNvPr descr="/home/user/System-Design/build/.cache/diagrams/ecd858f8423a.png" id="3319" name="Picture"/>
                    <pic:cNvPicPr>
                      <a:picLocks noChangeArrowheads="1" noChangeAspect="1"/>
                    </pic:cNvPicPr>
                  </pic:nvPicPr>
                  <pic:blipFill>
                    <a:blip r:embed="rId3317"/>
                    <a:stretch>
                      <a:fillRect/>
                    </a:stretch>
                  </pic:blipFill>
                  <pic:spPr bwMode="auto">
                    <a:xfrm>
                      <a:off x="0" y="0"/>
                      <a:ext cx="5334000" cy="2915344"/>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w:t>
      </w:r>
      <w:r>
        <w:t xml:space="preserve"> </w:t>
      </w:r>
      <w:r>
        <w:rPr>
          <w:iCs/>
          <w:i/>
        </w:rPr>
        <w:t xml:space="preserve">coordinator</w:t>
      </w:r>
      <w:r>
        <w:t xml:space="preserve"> </w:t>
      </w:r>
      <w:r>
        <w:t xml:space="preserve">triggers checkpoint 7 at both</w:t>
      </w:r>
      <w:r>
        <w:t xml:space="preserve"> </w:t>
      </w:r>
      <w:r>
        <w:rPr>
          <w:iCs/>
          <w:i/>
        </w:rPr>
        <w:t xml:space="preserve">sources</w:t>
      </w:r>
      <w:r>
        <w:t xml:space="preserve">, which record their offsets and inject barriers. Barrier 7 reaches the</w:t>
      </w:r>
      <w:r>
        <w:t xml:space="preserve"> </w:t>
      </w:r>
      <w:r>
        <w:rPr>
          <w:iCs/>
          <w:i/>
        </w:rPr>
        <w:t xml:space="preserve">join operator</w:t>
      </w:r>
      <w:r>
        <w:t xml:space="preserve"> </w:t>
      </w:r>
      <w:r>
        <w:t xml:space="preserve">first from source A, so the operator pauses input A (buffering) while it keeps consuming B until B’s barrier arrives. Then it snapshots state, forwards the barrier, uploads state asynchronously (dotted) to</w:t>
      </w:r>
      <w:r>
        <w:t xml:space="preserve"> </w:t>
      </w:r>
      <w:r>
        <w:rPr>
          <w:iCs/>
          <w:i/>
        </w:rPr>
        <w:t xml:space="preserve">durable storage</w:t>
      </w:r>
      <w:r>
        <w:t xml:space="preserve"> </w:t>
      </w:r>
      <w:r>
        <w:t xml:space="preserve">and acknowledges. Failure points: if any task fails before acknowledging, checkpoint 7 is abandoned and recovery uses checkpoint 6. Scaling: alignment time grows with backpressure and skew between inputs, which is what unaligned checkpoints address.</w:t>
      </w:r>
    </w:p>
    <w:p>
      <w:pPr>
        <w:pStyle w:val="BodyText"/>
      </w:pPr>
      <w:r>
        <w:t xml:space="preserve">A</w:t>
      </w:r>
      <w:r>
        <w:t xml:space="preserve"> </w:t>
      </w:r>
      <w:r>
        <w:rPr>
          <w:bCs/>
          <w:b/>
        </w:rPr>
        <w:t xml:space="preserve">savepoint</w:t>
      </w:r>
      <w:r>
        <w:t xml:space="preserve"> </w:t>
      </w:r>
      <w:r>
        <w:t xml:space="preserve">is a user-triggered checkpoint in a canonical format that is never deleted automatically. To upgrade code, change parallelism or migrate clusters, stop with a savepoint, deploy the new version and resume from it; operators need stable IDs (</w:t>
      </w:r>
      <w:r>
        <w:rPr>
          <w:rStyle w:val="VerbatimChar"/>
        </w:rPr>
        <w:t xml:space="preserve">uid</w:t>
      </w:r>
      <w:r>
        <w:t xml:space="preserve">) so state maps to the new graph.</w:t>
      </w:r>
    </w:p>
    <w:p>
      <w:pPr>
        <w:pStyle w:val="CalloutFormula"/>
      </w:pPr>
      <w:r>
        <w:rPr>
          <w:bCs/>
          <w:b/>
        </w:rPr>
        <w:t xml:space="preserve">FORMULA</w:t>
      </w:r>
    </w:p>
    <w:p>
      <w:pPr>
        <w:pStyle w:val="CalloutFormula"/>
      </w:pPr>
      <w:r>
        <w:rPr>
          <w:bCs/>
          <w:b/>
        </w:rPr>
        <w:t xml:space="preserve">Checkpoint interval: overhead versus recovery</w:t>
      </w:r>
    </w:p>
    <w:p>
      <w:pPr>
        <w:pStyle w:val="CalloutFormula"/>
      </w:pPr>
      <m:oMathPara>
        <m:oMathParaPr>
          <m:jc m:val="center"/>
        </m:oMathParaPr>
        <m:oMath>
          <m:sSub>
            <m:e>
              <m:r>
                <m:t>T</m:t>
              </m:r>
            </m:e>
            <m:sub>
              <m:r>
                <m:rPr>
                  <m:nor/>
                  <m:sty m:val="p"/>
                </m:rPr>
                <m:t>opt</m:t>
              </m:r>
            </m:sub>
          </m:sSub>
          <m:r>
            <m:rPr>
              <m:sty m:val="p"/>
            </m:rPr>
            <m:t>≈</m:t>
          </m:r>
          <m:rad>
            <m:radPr>
              <m:degHide m:val="on"/>
            </m:radPr>
            <m:deg/>
            <m:e>
              <m:r>
                <m:t>2</m:t>
              </m:r>
              <m:r>
                <m:t> </m:t>
              </m:r>
              <m:r>
                <m:t>C</m:t>
              </m:r>
              <m:r>
                <m:t> </m:t>
              </m:r>
              <m:sSub>
                <m:e>
                  <m:r>
                    <m:t>M</m:t>
                  </m:r>
                </m:e>
                <m:sub>
                  <m:r>
                    <m:t>f</m:t>
                  </m:r>
                </m:sub>
              </m:sSub>
            </m:e>
          </m:rad>
          <m:r>
            <m:rPr>
              <m:sty m:val="p"/>
            </m:rPr>
            <m:t>,</m:t>
          </m:r>
          <m:r>
            <m:t>  </m:t>
          </m:r>
          <m:sSub>
            <m:e>
              <m:r>
                <m:t>T</m:t>
              </m:r>
            </m:e>
            <m:sub>
              <m:r>
                <m:rPr>
                  <m:nor/>
                  <m:sty m:val="p"/>
                </m:rPr>
                <m:t>catch-up</m:t>
              </m:r>
            </m:sub>
          </m:sSub>
          <m:r>
            <m:rPr>
              <m:sty m:val="p"/>
            </m:rPr>
            <m:t>≈</m:t>
          </m:r>
          <m:f>
            <m:fPr>
              <m:type m:val="bar"/>
            </m:fPr>
            <m:num>
              <m:r>
                <m:t>λ</m:t>
              </m:r>
              <m:d>
                <m:dPr>
                  <m:begChr m:val="("/>
                  <m:endChr m:val=")"/>
                  <m:sepChr m:val=""/>
                  <m:grow/>
                </m:dPr>
                <m:e>
                  <m:r>
                    <m:t>T</m:t>
                  </m:r>
                  <m:r>
                    <m:rPr>
                      <m:sty m:val="p"/>
                    </m:rPr>
                    <m:t>/</m:t>
                  </m:r>
                  <m:r>
                    <m:t>2</m:t>
                  </m:r>
                  <m:r>
                    <m:rPr>
                      <m:sty m:val="p"/>
                    </m:rPr>
                    <m:t>+</m:t>
                  </m:r>
                  <m:sSub>
                    <m:e>
                      <m:r>
                        <m:t>T</m:t>
                      </m:r>
                    </m:e>
                    <m:sub>
                      <m:r>
                        <m:rPr>
                          <m:nor/>
                          <m:sty m:val="p"/>
                        </m:rPr>
                        <m:t>restart</m:t>
                      </m:r>
                    </m:sub>
                  </m:sSub>
                  <m:r>
                    <m:rPr>
                      <m:sty m:val="p"/>
                    </m:rPr>
                    <m:t>+</m:t>
                  </m:r>
                  <m:sSub>
                    <m:e>
                      <m:r>
                        <m:t>T</m:t>
                      </m:r>
                    </m:e>
                    <m:sub>
                      <m:r>
                        <m:rPr>
                          <m:nor/>
                          <m:sty m:val="p"/>
                        </m:rPr>
                        <m:t>restore</m:t>
                      </m:r>
                    </m:sub>
                  </m:sSub>
                </m:e>
              </m:d>
            </m:num>
            <m:den>
              <m:r>
                <m:t>μ</m:t>
              </m:r>
              <m:r>
                <m:rPr>
                  <m:sty m:val="p"/>
                </m:rPr>
                <m:t>−</m:t>
              </m:r>
              <m:r>
                <m:t>λ</m:t>
              </m:r>
            </m:den>
          </m:f>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T</m:t>
              </m:r>
            </m:oMath>
            <w:r>
              <w:t xml:space="preserve">,</w:t>
            </w:r>
            <w:r>
              <w:t xml:space="preserve"> </w:t>
            </w:r>
            <m:oMath>
              <m:sSub>
                <m:e>
                  <m:r>
                    <m:t>T</m:t>
                  </m:r>
                </m:e>
                <m:sub>
                  <m:r>
                    <m:rPr>
                      <m:nor/>
                      <m:sty m:val="p"/>
                    </m:rPr>
                    <m:t>opt</m:t>
                  </m:r>
                </m:sub>
              </m:sSub>
            </m:oMath>
          </w:p>
        </w:tc>
        <w:tc>
          <w:tcPr/>
          <w:p>
            <w:pPr>
              <w:pStyle w:val="Compact"/>
              <w:jc w:val="left"/>
            </w:pPr>
            <w:r>
              <w:t xml:space="preserve">Checkpoint interval; interval minimizing total lost time (Young’s approximation)</w:t>
            </w:r>
          </w:p>
        </w:tc>
        <w:tc>
          <w:tcPr/>
          <w:p>
            <w:pPr>
              <w:pStyle w:val="Compact"/>
              <w:jc w:val="left"/>
            </w:pPr>
            <w:r>
              <w:t xml:space="preserve">s</w:t>
            </w:r>
          </w:p>
        </w:tc>
      </w:tr>
      <w:tr>
        <w:tc>
          <w:tcPr/>
          <w:p>
            <w:pPr>
              <w:pStyle w:val="Compact"/>
              <w:jc w:val="left"/>
            </w:pPr>
            <m:oMath>
              <m:r>
                <m:t>C</m:t>
              </m:r>
            </m:oMath>
          </w:p>
        </w:tc>
        <w:tc>
          <w:tcPr/>
          <w:p>
            <w:pPr>
              <w:pStyle w:val="Compact"/>
              <w:jc w:val="left"/>
            </w:pPr>
            <w:r>
              <w:t xml:space="preserve">Throughput-equivalent cost of one checkpoint</w:t>
            </w:r>
          </w:p>
        </w:tc>
        <w:tc>
          <w:tcPr/>
          <w:p>
            <w:pPr>
              <w:pStyle w:val="Compact"/>
              <w:jc w:val="left"/>
            </w:pPr>
            <w:r>
              <w:t xml:space="preserve">s</w:t>
            </w:r>
          </w:p>
        </w:tc>
      </w:tr>
      <w:tr>
        <w:tc>
          <w:tcPr/>
          <w:p>
            <w:pPr>
              <w:pStyle w:val="Compact"/>
              <w:jc w:val="left"/>
            </w:pPr>
            <m:oMath>
              <m:sSub>
                <m:e>
                  <m:r>
                    <m:t>M</m:t>
                  </m:r>
                </m:e>
                <m:sub>
                  <m:r>
                    <m:t>f</m:t>
                  </m:r>
                </m:sub>
              </m:sSub>
            </m:oMath>
          </w:p>
        </w:tc>
        <w:tc>
          <w:tcPr/>
          <w:p>
            <w:pPr>
              <w:pStyle w:val="Compact"/>
              <w:jc w:val="left"/>
            </w:pPr>
            <w:r>
              <w:t xml:space="preserve">Mean time between failures of the job</w:t>
            </w:r>
          </w:p>
        </w:tc>
        <w:tc>
          <w:tcPr/>
          <w:p>
            <w:pPr>
              <w:pStyle w:val="Compact"/>
              <w:jc w:val="left"/>
            </w:pPr>
            <w:r>
              <w:t xml:space="preserve">s</w:t>
            </w:r>
          </w:p>
        </w:tc>
      </w:tr>
      <w:tr>
        <w:tc>
          <w:tcPr/>
          <w:p>
            <w:pPr>
              <w:pStyle w:val="Compact"/>
              <w:jc w:val="left"/>
            </w:pPr>
            <m:oMath>
              <m:r>
                <m:t>λ</m:t>
              </m:r>
            </m:oMath>
          </w:p>
        </w:tc>
        <w:tc>
          <w:tcPr/>
          <w:p>
            <w:pPr>
              <w:pStyle w:val="Compact"/>
              <w:jc w:val="left"/>
            </w:pPr>
            <w:r>
              <w:t xml:space="preserve">Input rate</w:t>
            </w:r>
          </w:p>
        </w:tc>
        <w:tc>
          <w:tcPr/>
          <w:p>
            <w:pPr>
              <w:pStyle w:val="Compact"/>
              <w:jc w:val="left"/>
            </w:pPr>
            <w:r>
              <w:t xml:space="preserve">events/s</w:t>
            </w:r>
          </w:p>
        </w:tc>
      </w:tr>
      <w:tr>
        <w:tc>
          <w:tcPr/>
          <w:p>
            <w:pPr>
              <w:pStyle w:val="Compact"/>
              <w:jc w:val="left"/>
            </w:pPr>
            <m:oMath>
              <m:r>
                <m:t>μ</m:t>
              </m:r>
            </m:oMath>
          </w:p>
        </w:tc>
        <w:tc>
          <w:tcPr/>
          <w:p>
            <w:pPr>
              <w:pStyle w:val="Compact"/>
              <w:jc w:val="left"/>
            </w:pPr>
            <w:r>
              <w:t xml:space="preserve">Maximum processing rate of the job</w:t>
            </w:r>
          </w:p>
        </w:tc>
        <w:tc>
          <w:tcPr/>
          <w:p>
            <w:pPr>
              <w:pStyle w:val="Compact"/>
              <w:jc w:val="left"/>
            </w:pPr>
            <w:r>
              <w:t xml:space="preserve">events/s</w:t>
            </w:r>
          </w:p>
        </w:tc>
      </w:tr>
      <w:tr>
        <w:tc>
          <w:tcPr/>
          <w:p>
            <w:pPr>
              <w:pStyle w:val="Compact"/>
              <w:jc w:val="left"/>
            </w:pPr>
            <m:oMath>
              <m:sSub>
                <m:e>
                  <m:r>
                    <m:t>T</m:t>
                  </m:r>
                </m:e>
                <m:sub>
                  <m:r>
                    <m:rPr>
                      <m:nor/>
                      <m:sty m:val="p"/>
                    </m:rPr>
                    <m:t>restart</m:t>
                  </m:r>
                </m:sub>
              </m:sSub>
            </m:oMath>
            <w:r>
              <w:t xml:space="preserve">,</w:t>
            </w:r>
            <w:r>
              <w:t xml:space="preserve"> </w:t>
            </w:r>
            <m:oMath>
              <m:sSub>
                <m:e>
                  <m:r>
                    <m:t>T</m:t>
                  </m:r>
                </m:e>
                <m:sub>
                  <m:r>
                    <m:rPr>
                      <m:nor/>
                      <m:sty m:val="p"/>
                    </m:rPr>
                    <m:t>restore</m:t>
                  </m:r>
                </m:sub>
              </m:sSub>
            </m:oMath>
          </w:p>
        </w:tc>
        <w:tc>
          <w:tcPr/>
          <w:p>
            <w:pPr>
              <w:pStyle w:val="Compact"/>
              <w:jc w:val="left"/>
            </w:pPr>
            <w:r>
              <w:t xml:space="preserve">Time to reschedule tasks; time to download state</w:t>
            </w:r>
          </w:p>
        </w:tc>
        <w:tc>
          <w:tcPr/>
          <w:p>
            <w:pPr>
              <w:pStyle w:val="Compact"/>
              <w:jc w:val="left"/>
            </w:pPr>
            <w:r>
              <w:t xml:space="preserve">s</w:t>
            </w:r>
          </w:p>
        </w:tc>
      </w:tr>
      <w:tr>
        <w:tc>
          <w:tcPr/>
          <w:p>
            <w:pPr>
              <w:pStyle w:val="Compact"/>
              <w:jc w:val="left"/>
            </w:pPr>
            <m:oMath>
              <m:sSub>
                <m:e>
                  <m:r>
                    <m:t>T</m:t>
                  </m:r>
                </m:e>
                <m:sub>
                  <m:r>
                    <m:rPr>
                      <m:nor/>
                      <m:sty m:val="p"/>
                    </m:rPr>
                    <m:t>catch-up</m:t>
                  </m:r>
                </m:sub>
              </m:sSub>
            </m:oMath>
          </w:p>
        </w:tc>
        <w:tc>
          <w:tcPr/>
          <w:p>
            <w:pPr>
              <w:pStyle w:val="Compact"/>
              <w:jc w:val="left"/>
            </w:pPr>
            <w:r>
              <w:t xml:space="preserve">Time to work off the backlog after restoring</w:t>
            </w:r>
          </w:p>
        </w:tc>
        <w:tc>
          <w:tcPr/>
          <w:p>
            <w:pPr>
              <w:pStyle w:val="Compact"/>
              <w:jc w:val="left"/>
            </w:pPr>
            <w:r>
              <w:t xml:space="preserve">s</w:t>
            </w:r>
          </w:p>
        </w:tc>
      </w:tr>
    </w:tbl>
    <w:p>
      <w:pPr>
        <w:pStyle w:val="CalloutExample"/>
      </w:pPr>
      <w:r>
        <w:rPr>
          <w:bCs/>
          <w:b/>
        </w:rPr>
        <w:t xml:space="preserve">WORKED EXAMPLE</w:t>
      </w:r>
    </w:p>
    <w:p>
      <w:pPr>
        <w:pStyle w:val="CalloutExample"/>
      </w:pPr>
      <w:r>
        <w:rPr>
          <w:bCs/>
          <w:b/>
        </w:rPr>
        <w:t xml:space="preserve">Worked example — A fraud-feature job with 2 TB of state.</w:t>
      </w:r>
      <w:r>
        <w:t xml:space="preserve"> </w:t>
      </w:r>
      <m:oMath>
        <m:r>
          <m:t>λ</m:t>
        </m:r>
        <m:r>
          <m:rPr>
            <m:sty m:val="p"/>
          </m:rPr>
          <m:t>=</m:t>
        </m:r>
        <m:r>
          <m:t>200</m:t>
        </m:r>
        <m:r>
          <m:rPr>
            <m:sty m:val="p"/>
          </m:rPr>
          <m:t>,</m:t>
        </m:r>
        <m:r>
          <m:t>000</m:t>
        </m:r>
      </m:oMath>
      <w:r>
        <w:t xml:space="preserve"> </w:t>
      </w:r>
      <w:r>
        <w:t xml:space="preserve">events/s,</w:t>
      </w:r>
      <w:r>
        <w:t xml:space="preserve"> </w:t>
      </w:r>
      <m:oMath>
        <m:r>
          <m:t>μ</m:t>
        </m:r>
        <m:r>
          <m:rPr>
            <m:sty m:val="p"/>
          </m:rPr>
          <m:t>=</m:t>
        </m:r>
        <m:r>
          <m:t>500</m:t>
        </m:r>
        <m:r>
          <m:rPr>
            <m:sty m:val="p"/>
          </m:rPr>
          <m:t>,</m:t>
        </m:r>
        <m:r>
          <m:t>000</m:t>
        </m:r>
      </m:oMath>
      <w:r>
        <w:t xml:space="preserve"> </w:t>
      </w:r>
      <w:r>
        <w:t xml:space="preserve">events/s; state is 2 TB over 50 TaskManagers (40 GB each), restored at 1 GB/s per node, so</w:t>
      </w:r>
      <w:r>
        <w:t xml:space="preserve"> </w:t>
      </w:r>
      <m:oMath>
        <m:sSub>
          <m:e>
            <m:r>
              <m:t>T</m:t>
            </m:r>
          </m:e>
          <m:sub>
            <m:r>
              <m:rPr>
                <m:nor/>
                <m:sty m:val="p"/>
              </m:rPr>
              <m:t>restore</m:t>
            </m:r>
          </m:sub>
        </m:sSub>
        <m:r>
          <m:rPr>
            <m:sty m:val="p"/>
          </m:rPr>
          <m:t>=</m:t>
        </m:r>
        <m:r>
          <m:t>40</m:t>
        </m:r>
      </m:oMath>
      <w:r>
        <w:t xml:space="preserve"> </w:t>
      </w:r>
      <w:r>
        <w:t xml:space="preserve">s;</w:t>
      </w:r>
      <w:r>
        <w:t xml:space="preserve"> </w:t>
      </w:r>
      <m:oMath>
        <m:sSub>
          <m:e>
            <m:r>
              <m:t>T</m:t>
            </m:r>
          </m:e>
          <m:sub>
            <m:r>
              <m:rPr>
                <m:nor/>
                <m:sty m:val="p"/>
              </m:rPr>
              <m:t>restart</m:t>
            </m:r>
          </m:sub>
        </m:sSub>
        <m:r>
          <m:rPr>
            <m:sty m:val="p"/>
          </m:rPr>
          <m:t>=</m:t>
        </m:r>
        <m:r>
          <m:t>20</m:t>
        </m:r>
      </m:oMath>
      <w:r>
        <w:t xml:space="preserve"> </w:t>
      </w:r>
      <w:r>
        <w:t xml:space="preserve">s; the job fails about once a day (</w:t>
      </w:r>
      <m:oMath>
        <m:sSub>
          <m:e>
            <m:r>
              <m:t>M</m:t>
            </m:r>
          </m:e>
          <m:sub>
            <m:r>
              <m:t>f</m:t>
            </m:r>
          </m:sub>
        </m:sSub>
        <m:r>
          <m:rPr>
            <m:sty m:val="p"/>
          </m:rPr>
          <m:t>=</m:t>
        </m:r>
        <m:r>
          <m:t>86</m:t>
        </m:r>
        <m:r>
          <m:rPr>
            <m:sty m:val="p"/>
          </m:rPr>
          <m:t>,</m:t>
        </m:r>
        <m:r>
          <m:t>400</m:t>
        </m:r>
      </m:oMath>
      <w:r>
        <w:t xml:space="preserve"> </w:t>
      </w:r>
      <w:r>
        <w:t xml:space="preserve">s); each asynchronous checkpoint costs about</w:t>
      </w:r>
      <w:r>
        <w:t xml:space="preserve"> </w:t>
      </w:r>
      <m:oMath>
        <m:r>
          <m:t>C</m:t>
        </m:r>
        <m:r>
          <m:rPr>
            <m:sty m:val="p"/>
          </m:rPr>
          <m:t>=</m:t>
        </m:r>
        <m:r>
          <m:t>2</m:t>
        </m:r>
      </m:oMath>
      <w:r>
        <w:t xml:space="preserve"> </w:t>
      </w:r>
      <w:r>
        <w:t xml:space="preserve">s of throughput.</w:t>
      </w:r>
    </w:p>
    <w:p>
      <w:pPr>
        <w:numPr>
          <w:ilvl w:val="0"/>
          <w:numId w:val="1962"/>
        </w:numPr>
        <w:pStyle w:val="Compact"/>
      </w:pPr>
      <w:r>
        <w:t xml:space="preserve">Young’s interval:</w:t>
      </w:r>
      <w:r>
        <w:t xml:space="preserve"> </w:t>
      </w:r>
      <m:oMath>
        <m:rad>
          <m:radPr>
            <m:degHide m:val="on"/>
          </m:radPr>
          <m:deg/>
          <m:e>
            <m:r>
              <m:t>2</m:t>
            </m:r>
            <m:r>
              <m:rPr>
                <m:sty m:val="p"/>
              </m:rPr>
              <m:t>×</m:t>
            </m:r>
            <m:r>
              <m:t>2</m:t>
            </m:r>
            <m:r>
              <m:rPr>
                <m:sty m:val="p"/>
              </m:rPr>
              <m:t>×</m:t>
            </m:r>
            <m:r>
              <m:t>86</m:t>
            </m:r>
            <m:r>
              <m:rPr>
                <m:sty m:val="p"/>
              </m:rPr>
              <m:t>,</m:t>
            </m:r>
            <m:r>
              <m:t>400</m:t>
            </m:r>
          </m:e>
        </m:rad>
        <m:r>
          <m:rPr>
            <m:sty m:val="p"/>
          </m:rPr>
          <m:t>=</m:t>
        </m:r>
        <m:rad>
          <m:radPr>
            <m:degHide m:val="on"/>
          </m:radPr>
          <m:deg/>
          <m:e>
            <m:r>
              <m:t>345</m:t>
            </m:r>
            <m:r>
              <m:rPr>
                <m:sty m:val="p"/>
              </m:rPr>
              <m:t>,</m:t>
            </m:r>
            <m:r>
              <m:t>600</m:t>
            </m:r>
          </m:e>
        </m:rad>
        <m:r>
          <m:rPr>
            <m:sty m:val="p"/>
          </m:rPr>
          <m:t>=</m:t>
        </m:r>
        <m:r>
          <m:t>588</m:t>
        </m:r>
      </m:oMath>
      <w:r>
        <w:t xml:space="preserve"> </w:t>
      </w:r>
      <w:r>
        <w:t xml:space="preserve">s, about 10 minutes.</w:t>
      </w:r>
    </w:p>
    <w:p>
      <w:pPr>
        <w:numPr>
          <w:ilvl w:val="0"/>
          <w:numId w:val="1962"/>
        </w:numPr>
        <w:pStyle w:val="Compact"/>
      </w:pPr>
      <w:r>
        <w:t xml:space="preserve">Catch-up at</w:t>
      </w:r>
      <w:r>
        <w:t xml:space="preserve"> </w:t>
      </w:r>
      <m:oMath>
        <m:r>
          <m:t>T</m:t>
        </m:r>
        <m:r>
          <m:rPr>
            <m:sty m:val="p"/>
          </m:rPr>
          <m:t>=</m:t>
        </m:r>
        <m:r>
          <m:t>600</m:t>
        </m:r>
      </m:oMath>
      <w:r>
        <w:t xml:space="preserve"> </w:t>
      </w:r>
      <w:r>
        <w:t xml:space="preserve">s: backlog</w:t>
      </w:r>
      <w:r>
        <w:t xml:space="preserve"> </w:t>
      </w:r>
      <m:oMath>
        <m:r>
          <m:rPr>
            <m:sty m:val="p"/>
          </m:rPr>
          <m:t>=</m:t>
        </m:r>
        <m:r>
          <m:t>200</m:t>
        </m:r>
        <m:r>
          <m:rPr>
            <m:sty m:val="p"/>
          </m:rPr>
          <m:t>,</m:t>
        </m:r>
        <m:r>
          <m:t>000</m:t>
        </m:r>
        <m:r>
          <m:rPr>
            <m:sty m:val="p"/>
          </m:rPr>
          <m:t>×</m:t>
        </m:r>
        <m:d>
          <m:dPr>
            <m:begChr m:val="("/>
            <m:endChr m:val=")"/>
            <m:sepChr m:val=""/>
            <m:grow/>
          </m:dPr>
          <m:e>
            <m:r>
              <m:t>300</m:t>
            </m:r>
            <m:r>
              <m:rPr>
                <m:sty m:val="p"/>
              </m:rPr>
              <m:t>+</m:t>
            </m:r>
            <m:r>
              <m:t>20</m:t>
            </m:r>
            <m:r>
              <m:rPr>
                <m:sty m:val="p"/>
              </m:rPr>
              <m:t>+</m:t>
            </m:r>
            <m:r>
              <m:t>40</m:t>
            </m:r>
          </m:e>
        </m:d>
        <m:r>
          <m:rPr>
            <m:sty m:val="p"/>
          </m:rPr>
          <m:t>=</m:t>
        </m:r>
        <m:r>
          <m:t>7.2</m:t>
        </m:r>
        <m:r>
          <m:rPr>
            <m:sty m:val="p"/>
          </m:rPr>
          <m:t>×</m:t>
        </m:r>
        <m:sSup>
          <m:e>
            <m:r>
              <m:t>10</m:t>
            </m:r>
          </m:e>
          <m:sup>
            <m:r>
              <m:t>7</m:t>
            </m:r>
          </m:sup>
        </m:sSup>
      </m:oMath>
      <w:r>
        <w:t xml:space="preserve"> </w:t>
      </w:r>
      <w:r>
        <w:t xml:space="preserve">events;</w:t>
      </w:r>
      <w:r>
        <w:t xml:space="preserve"> </w:t>
      </w:r>
      <m:oMath>
        <m:r>
          <m:t>7.2</m:t>
        </m:r>
        <m:r>
          <m:rPr>
            <m:sty m:val="p"/>
          </m:rPr>
          <m:t>×</m:t>
        </m:r>
        <m:sSup>
          <m:e>
            <m:r>
              <m:t>10</m:t>
            </m:r>
          </m:e>
          <m:sup>
            <m:r>
              <m:t>7</m:t>
            </m:r>
          </m:sup>
        </m:sSup>
        <m:r>
          <m:rPr>
            <m:sty m:val="p"/>
          </m:rPr>
          <m:t>/</m:t>
        </m:r>
        <m:r>
          <m:t>300</m:t>
        </m:r>
        <m:r>
          <m:rPr>
            <m:sty m:val="p"/>
          </m:rPr>
          <m:t>,</m:t>
        </m:r>
        <m:r>
          <m:t>000</m:t>
        </m:r>
        <m:r>
          <m:rPr>
            <m:sty m:val="p"/>
          </m:rPr>
          <m:t>=</m:t>
        </m:r>
        <m:r>
          <m:t>240</m:t>
        </m:r>
      </m:oMath>
      <w:r>
        <w:t xml:space="preserve"> </w:t>
      </w:r>
      <w:r>
        <w:t xml:space="preserve">s. Results are stale for</w:t>
      </w:r>
      <w:r>
        <w:t xml:space="preserve"> </w:t>
      </w:r>
      <m:oMath>
        <m:r>
          <m:t>20</m:t>
        </m:r>
        <m:r>
          <m:rPr>
            <m:sty m:val="p"/>
          </m:rPr>
          <m:t>+</m:t>
        </m:r>
        <m:r>
          <m:t>40</m:t>
        </m:r>
        <m:r>
          <m:rPr>
            <m:sty m:val="p"/>
          </m:rPr>
          <m:t>+</m:t>
        </m:r>
        <m:r>
          <m:t>240</m:t>
        </m:r>
        <m:r>
          <m:rPr>
            <m:sty m:val="p"/>
          </m:rPr>
          <m:t>=</m:t>
        </m:r>
        <m:r>
          <m:t>300</m:t>
        </m:r>
      </m:oMath>
      <w:r>
        <w:t xml:space="preserve"> </w:t>
      </w:r>
      <w:r>
        <w:t xml:space="preserve">s.</w:t>
      </w:r>
    </w:p>
    <w:p>
      <w:pPr>
        <w:numPr>
          <w:ilvl w:val="0"/>
          <w:numId w:val="1962"/>
        </w:numPr>
        <w:pStyle w:val="Compact"/>
      </w:pPr>
      <w:r>
        <w:t xml:space="preserve">At</w:t>
      </w:r>
      <w:r>
        <w:t xml:space="preserve"> </w:t>
      </w:r>
      <m:oMath>
        <m:r>
          <m:t>T</m:t>
        </m:r>
        <m:r>
          <m:rPr>
            <m:sty m:val="p"/>
          </m:rPr>
          <m:t>=</m:t>
        </m:r>
        <m:r>
          <m:t>60</m:t>
        </m:r>
      </m:oMath>
      <w:r>
        <w:t xml:space="preserve"> </w:t>
      </w:r>
      <w:r>
        <w:t xml:space="preserve">s: backlog</w:t>
      </w:r>
      <w:r>
        <w:t xml:space="preserve"> </w:t>
      </w:r>
      <m:oMath>
        <m:r>
          <m:rPr>
            <m:sty m:val="p"/>
          </m:rPr>
          <m:t>=</m:t>
        </m:r>
        <m:r>
          <m:t>200</m:t>
        </m:r>
        <m:r>
          <m:rPr>
            <m:sty m:val="p"/>
          </m:rPr>
          <m:t>,</m:t>
        </m:r>
        <m:r>
          <m:t>000</m:t>
        </m:r>
        <m:r>
          <m:rPr>
            <m:sty m:val="p"/>
          </m:rPr>
          <m:t>×</m:t>
        </m:r>
        <m:r>
          <m:t>90</m:t>
        </m:r>
        <m:r>
          <m:rPr>
            <m:sty m:val="p"/>
          </m:rPr>
          <m:t>=</m:t>
        </m:r>
        <m:r>
          <m:t>1.8</m:t>
        </m:r>
        <m:r>
          <m:rPr>
            <m:sty m:val="p"/>
          </m:rPr>
          <m:t>×</m:t>
        </m:r>
        <m:sSup>
          <m:e>
            <m:r>
              <m:t>10</m:t>
            </m:r>
          </m:e>
          <m:sup>
            <m:r>
              <m:t>7</m:t>
            </m:r>
          </m:sup>
        </m:sSup>
      </m:oMath>
      <w:r>
        <w:t xml:space="preserve">; catch-up 60 s; stale for 120 s. Overhead rises to</w:t>
      </w:r>
      <w:r>
        <w:t xml:space="preserve"> </w:t>
      </w:r>
      <m:oMath>
        <m:r>
          <m:t>2</m:t>
        </m:r>
        <m:r>
          <m:rPr>
            <m:sty m:val="p"/>
          </m:rPr>
          <m:t>/</m:t>
        </m:r>
        <m:r>
          <m:t>60</m:t>
        </m:r>
        <m:r>
          <m:rPr>
            <m:sty m:val="p"/>
          </m:rPr>
          <m:t>=</m:t>
        </m:r>
        <m:r>
          <m:t>3.3</m:t>
        </m:r>
        <m:r>
          <m:rPr>
            <m:sty m:val="p"/>
          </m:rPr>
          <m:t>%</m:t>
        </m:r>
      </m:oMath>
      <w:r>
        <w:t xml:space="preserve"> </w:t>
      </w:r>
      <w:r>
        <w:t xml:space="preserve">of throughput, from 0.3%.</w:t>
      </w:r>
    </w:p>
    <w:p>
      <w:pPr>
        <w:numPr>
          <w:ilvl w:val="0"/>
          <w:numId w:val="1962"/>
        </w:numPr>
        <w:pStyle w:val="Compact"/>
      </w:pPr>
      <w:r>
        <w:t xml:space="preserve">With a transactional sink, output is visible only at checkpoint completion, so</w:t>
      </w:r>
      <w:r>
        <w:t xml:space="preserve"> </w:t>
      </w:r>
      <m:oMath>
        <m:r>
          <m:t>T</m:t>
        </m:r>
        <m:r>
          <m:rPr>
            <m:sty m:val="p"/>
          </m:rPr>
          <m:t>=</m:t>
        </m:r>
        <m:r>
          <m:t>600</m:t>
        </m:r>
      </m:oMath>
      <w:r>
        <w:t xml:space="preserve"> </w:t>
      </w:r>
      <w:r>
        <w:t xml:space="preserve">s adds up to 10 minutes of latency.</w:t>
      </w:r>
    </w:p>
    <w:p>
      <w:pPr>
        <w:pStyle w:val="CalloutExample"/>
      </w:pPr>
      <w:r>
        <w:rPr>
          <w:bCs/>
          <w:b/>
        </w:rPr>
        <w:t xml:space="preserve">Interpretation.</w:t>
      </w:r>
      <w:r>
        <w:t xml:space="preserve"> </w:t>
      </w:r>
      <w:r>
        <w:t xml:space="preserve">Young’s formula ignores two streaming costs: catch-up, which grows with</w:t>
      </w:r>
      <w:r>
        <w:t xml:space="preserve"> </w:t>
      </w:r>
      <m:oMath>
        <m:r>
          <m:t>T</m:t>
        </m:r>
      </m:oMath>
      <w:r>
        <w:t xml:space="preserve"> </w:t>
      </w:r>
      <w:r>
        <w:t xml:space="preserve">and explodes as</w:t>
      </w:r>
      <w:r>
        <w:t xml:space="preserve"> </w:t>
      </w:r>
      <m:oMath>
        <m:r>
          <m:t>λ</m:t>
        </m:r>
        <m:r>
          <m:rPr>
            <m:sty m:val="p"/>
          </m:rPr>
          <m:t>→</m:t>
        </m:r>
        <m:r>
          <m:t>μ</m:t>
        </m:r>
      </m:oMath>
      <w:r>
        <w:t xml:space="preserve">, and sink visibility latency, which equals</w:t>
      </w:r>
      <w:r>
        <w:t xml:space="preserve"> </w:t>
      </w:r>
      <m:oMath>
        <m:r>
          <m:t>T</m:t>
        </m:r>
      </m:oMath>
      <w:r>
        <w:t xml:space="preserve">.</w:t>
      </w:r>
      <w:r>
        <w:t xml:space="preserve"> </w:t>
      </w:r>
      <w:r>
        <w:rPr>
          <w:bCs/>
          <w:b/>
        </w:rPr>
        <w:t xml:space="preserve">Engineering implication.</w:t>
      </w:r>
      <w:r>
        <w:t xml:space="preserve"> </w:t>
      </w:r>
      <w:r>
        <w:t xml:space="preserve">Checkpoint every 10 s to a few minutes, keep</w:t>
      </w:r>
      <w:r>
        <w:t xml:space="preserve"> </w:t>
      </w:r>
      <m:oMath>
        <m:r>
          <m:t>μ</m:t>
        </m:r>
        <m:r>
          <m:rPr>
            <m:sty m:val="p"/>
          </m:rPr>
          <m:t>≥</m:t>
        </m:r>
        <m:r>
          <m:t>2</m:t>
        </m:r>
        <m:r>
          <m:t>λ</m:t>
        </m:r>
      </m:oMath>
      <w:r>
        <w:t xml:space="preserve">, use incremental checkpoints and local recovery to cut</w:t>
      </w:r>
      <w:r>
        <w:t xml:space="preserve"> </w:t>
      </w:r>
      <m:oMath>
        <m:sSub>
          <m:e>
            <m:r>
              <m:t>T</m:t>
            </m:r>
          </m:e>
          <m:sub>
            <m:r>
              <m:rPr>
                <m:nor/>
                <m:sty m:val="p"/>
              </m:rPr>
              <m:t>restore</m:t>
            </m:r>
          </m:sub>
        </m:sSub>
      </m:oMath>
      <w:r>
        <w:t xml:space="preserve">, and alert when checkpoint duration nears the interval.</w:t>
      </w:r>
    </w:p>
    <w:bookmarkStart w:id="3320" w:name="failure-scenarios-63"/>
    <w:p>
      <w:pPr>
        <w:pStyle w:val="Heading4"/>
      </w:pPr>
      <w:r>
        <w:t xml:space="preserve">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Checkpoints time out repeatedly</w:t>
            </w:r>
          </w:p>
        </w:tc>
        <w:tc>
          <w:tcPr/>
          <w:p>
            <w:pPr>
              <w:pStyle w:val="Compact"/>
              <w:jc w:val="left"/>
            </w:pPr>
            <w:r>
              <w:t xml:space="preserve">Backpressure delays barriers; slow uploads</w:t>
            </w:r>
          </w:p>
        </w:tc>
        <w:tc>
          <w:tcPr/>
          <w:p>
            <w:pPr>
              <w:pStyle w:val="Compact"/>
              <w:jc w:val="left"/>
            </w:pPr>
            <w:r>
              <w:t xml:space="preserve">Checkpoint duration and alignment metrics</w:t>
            </w:r>
          </w:p>
        </w:tc>
        <w:tc>
          <w:tcPr/>
          <w:p>
            <w:pPr>
              <w:pStyle w:val="Compact"/>
              <w:jc w:val="left"/>
            </w:pPr>
            <w:r>
              <w:t xml:space="preserve">Unaligned checkpoints; scale out the slow operator</w:t>
            </w:r>
          </w:p>
        </w:tc>
        <w:tc>
          <w:tcPr/>
          <w:p>
            <w:pPr>
              <w:pStyle w:val="Compact"/>
              <w:jc w:val="left"/>
            </w:pPr>
            <w:r>
              <w:t xml:space="preserve">Capacity headroom; incremental checkpoints</w:t>
            </w:r>
          </w:p>
        </w:tc>
      </w:tr>
      <w:tr>
        <w:tc>
          <w:tcPr/>
          <w:p>
            <w:pPr>
              <w:pStyle w:val="Compact"/>
              <w:jc w:val="left"/>
            </w:pPr>
            <w:r>
              <w:t xml:space="preserve">State grows without bound</w:t>
            </w:r>
          </w:p>
        </w:tc>
        <w:tc>
          <w:tcPr/>
          <w:p>
            <w:pPr>
              <w:pStyle w:val="Compact"/>
              <w:jc w:val="left"/>
            </w:pPr>
            <w:r>
              <w:t xml:space="preserve">Session windows or keys never expire</w:t>
            </w:r>
          </w:p>
        </w:tc>
        <w:tc>
          <w:tcPr/>
          <w:p>
            <w:pPr>
              <w:pStyle w:val="Compact"/>
              <w:jc w:val="left"/>
            </w:pPr>
            <w:r>
              <w:t xml:space="preserve">State size per checkpoint rising steadily</w:t>
            </w:r>
          </w:p>
        </w:tc>
        <w:tc>
          <w:tcPr/>
          <w:p>
            <w:pPr>
              <w:pStyle w:val="Compact"/>
              <w:jc w:val="left"/>
            </w:pPr>
            <w:r>
              <w:t xml:space="preserve">Restart from savepoint with state TTL</w:t>
            </w:r>
          </w:p>
        </w:tc>
        <w:tc>
          <w:tcPr/>
          <w:p>
            <w:pPr>
              <w:pStyle w:val="Compact"/>
              <w:jc w:val="left"/>
            </w:pPr>
            <w:r>
              <w:t xml:space="preserve">State TTL, allowed-lateness bounds</w:t>
            </w:r>
          </w:p>
        </w:tc>
      </w:tr>
      <w:tr>
        <w:tc>
          <w:tcPr/>
          <w:p>
            <w:pPr>
              <w:pStyle w:val="Compact"/>
              <w:jc w:val="left"/>
            </w:pPr>
            <w:r>
              <w:t xml:space="preserve">Watermark stops advancing</w:t>
            </w:r>
          </w:p>
        </w:tc>
        <w:tc>
          <w:tcPr/>
          <w:p>
            <w:pPr>
              <w:pStyle w:val="Compact"/>
              <w:jc w:val="left"/>
            </w:pPr>
            <w:r>
              <w:t xml:space="preserve">An idle source partition emits no events</w:t>
            </w:r>
          </w:p>
        </w:tc>
        <w:tc>
          <w:tcPr/>
          <w:p>
            <w:pPr>
              <w:pStyle w:val="Compact"/>
              <w:jc w:val="left"/>
            </w:pPr>
            <w:r>
              <w:t xml:space="preserve">Watermark lag metric flat</w:t>
            </w:r>
          </w:p>
        </w:tc>
        <w:tc>
          <w:tcPr/>
          <w:p>
            <w:pPr>
              <w:pStyle w:val="Compact"/>
              <w:jc w:val="left"/>
            </w:pPr>
            <w:r>
              <w:t xml:space="preserve">Mark idle sources (</w:t>
            </w:r>
            <w:r>
              <w:rPr>
                <w:rStyle w:val="VerbatimChar"/>
              </w:rPr>
              <w:t xml:space="preserve">withIdleness</w:t>
            </w:r>
            <w:r>
              <w:t xml:space="preserve">)</w:t>
            </w:r>
          </w:p>
        </w:tc>
        <w:tc>
          <w:tcPr/>
          <w:p>
            <w:pPr>
              <w:pStyle w:val="Compact"/>
              <w:jc w:val="left"/>
            </w:pPr>
            <w:r>
              <w:t xml:space="preserve">Idleness timeouts on every source</w:t>
            </w:r>
          </w:p>
        </w:tc>
      </w:tr>
      <w:tr>
        <w:tc>
          <w:tcPr/>
          <w:p>
            <w:pPr>
              <w:pStyle w:val="Compact"/>
              <w:jc w:val="left"/>
            </w:pPr>
            <w:r>
              <w:t xml:space="preserve">Duplicates downstream after restart</w:t>
            </w:r>
          </w:p>
        </w:tc>
        <w:tc>
          <w:tcPr/>
          <w:p>
            <w:pPr>
              <w:pStyle w:val="Compact"/>
              <w:jc w:val="left"/>
            </w:pPr>
            <w:r>
              <w:t xml:space="preserve">Non-transactional sink replayed</w:t>
            </w:r>
          </w:p>
        </w:tc>
        <w:tc>
          <w:tcPr/>
          <w:p>
            <w:pPr>
              <w:pStyle w:val="Compact"/>
              <w:jc w:val="left"/>
            </w:pPr>
            <w:r>
              <w:t xml:space="preserve">Duplicate keys in sink</w:t>
            </w:r>
          </w:p>
        </w:tc>
        <w:tc>
          <w:tcPr/>
          <w:p>
            <w:pPr>
              <w:pStyle w:val="Compact"/>
              <w:jc w:val="left"/>
            </w:pPr>
            <w:r>
              <w:t xml:space="preserve">Deduplicate by event ID</w:t>
            </w:r>
          </w:p>
        </w:tc>
        <w:tc>
          <w:tcPr/>
          <w:p>
            <w:pPr>
              <w:pStyle w:val="Compact"/>
              <w:jc w:val="left"/>
            </w:pPr>
            <w:r>
              <w:t xml:space="preserve">Transactional or idempotent sink</w:t>
            </w:r>
          </w:p>
        </w:tc>
      </w:tr>
    </w:tbl>
    <w:bookmarkEnd w:id="3320"/>
    <w:bookmarkEnd w:id="3321"/>
    <w:bookmarkEnd w:id="3322"/>
    <w:bookmarkStart w:id="3326" w:name="lambda-and-kappa-architectures"/>
    <w:p>
      <w:pPr>
        <w:pStyle w:val="Heading2"/>
      </w:pPr>
      <w:r>
        <w:t xml:space="preserve">29.10 Lambda and Kappa architectures</w:t>
      </w:r>
    </w:p>
    <w:p>
      <w:pPr>
        <w:pStyle w:val="CalloutDefinition"/>
      </w:pPr>
      <w:r>
        <w:rPr>
          <w:bCs/>
          <w:b/>
        </w:rPr>
        <w:t xml:space="preserve">DEFINITION</w:t>
      </w:r>
    </w:p>
    <w:p>
      <w:pPr>
        <w:pStyle w:val="CalloutDefinition"/>
      </w:pPr>
      <w:r>
        <w:rPr>
          <w:bCs/>
          <w:b/>
        </w:rPr>
        <w:t xml:space="preserve">Definition — Lambda and Kappa architectures.</w:t>
      </w:r>
      <w:r>
        <w:t xml:space="preserve"> </w:t>
      </w:r>
      <w:r>
        <w:t xml:space="preserve">The</w:t>
      </w:r>
      <w:r>
        <w:t xml:space="preserve"> </w:t>
      </w:r>
      <w:r>
        <w:rPr>
          <w:bCs/>
          <w:b/>
        </w:rPr>
        <w:t xml:space="preserve">Lambda architecture</w:t>
      </w:r>
      <w:r>
        <w:t xml:space="preserve"> </w:t>
      </w:r>
      <w:r>
        <w:t xml:space="preserve">runs two parallel paths over the same immutable master dataset: a</w:t>
      </w:r>
      <w:r>
        <w:t xml:space="preserve"> </w:t>
      </w:r>
      <w:r>
        <w:rPr>
          <w:bCs/>
          <w:b/>
        </w:rPr>
        <w:t xml:space="preserve">batch layer</w:t>
      </w:r>
      <w:r>
        <w:t xml:space="preserve"> </w:t>
      </w:r>
      <w:r>
        <w:t xml:space="preserve">that periodically recomputes complete, accurate views from all history, and a</w:t>
      </w:r>
      <w:r>
        <w:t xml:space="preserve"> </w:t>
      </w:r>
      <w:r>
        <w:rPr>
          <w:bCs/>
          <w:b/>
        </w:rPr>
        <w:t xml:space="preserve">speed layer</w:t>
      </w:r>
      <w:r>
        <w:t xml:space="preserve"> </w:t>
      </w:r>
      <w:r>
        <w:t xml:space="preserve">that processes recent data incrementally with low latency; a</w:t>
      </w:r>
      <w:r>
        <w:t xml:space="preserve"> </w:t>
      </w:r>
      <w:r>
        <w:rPr>
          <w:bCs/>
          <w:b/>
        </w:rPr>
        <w:t xml:space="preserve">serving layer</w:t>
      </w:r>
      <w:r>
        <w:t xml:space="preserve"> </w:t>
      </w:r>
      <w:r>
        <w:t xml:space="preserve">merges the two at query time [Marz and Warren 2015]. The</w:t>
      </w:r>
      <w:r>
        <w:t xml:space="preserve"> </w:t>
      </w:r>
      <w:r>
        <w:rPr>
          <w:bCs/>
          <w:b/>
        </w:rPr>
        <w:t xml:space="preserve">Kappa architecture</w:t>
      </w:r>
      <w:r>
        <w:t xml:space="preserve"> </w:t>
      </w:r>
      <w:r>
        <w:t xml:space="preserve">uses a single stream-processing path over a replayable log; to change logic or fix a bug, it reprocesses history by replaying the log through a new version of the job [Kreps 2014].</w:t>
      </w:r>
    </w:p>
    <w:p>
      <w:pPr>
        <w:pStyle w:val="BodyText"/>
      </w:pPr>
      <w:r>
        <w:t xml:space="preserve">Lambda arose when stream processors were approximate (early Storm offered at-least-once processing and no consistent state) while batch jobs were trustworthy but hours behind; batch recomputation healed the speed layer’s errors. The cost, as Kreps argued, is maintaining</w:t>
      </w:r>
      <w:r>
        <w:t xml:space="preserve"> </w:t>
      </w:r>
      <w:r>
        <w:rPr>
          <w:bCs/>
          <w:b/>
        </w:rPr>
        <w:t xml:space="preserve">the same logic twice</w:t>
      </w:r>
      <w:r>
        <w:t xml:space="preserve"> </w:t>
      </w:r>
      <w:r>
        <w:t xml:space="preserve">in two frameworks and keeping them identical. Kappa removes the duplication once the stream engine is correct (exactly-once state, event time) and the log retains enough history: to deploy version 2, run a second job from the start of the log into a new table, let it catch up, switch readers, and delete version 1’s output.</w:t>
      </w:r>
    </w:p>
    <w:p>
      <w:pPr>
        <w:pStyle w:val="BodyText"/>
      </w:pPr>
      <w:r>
        <w:rPr>
          <w:bCs/>
          <w:b/>
        </w:rPr>
        <w:t xml:space="preserve">Figure 29.15 — Lambda versus Kappa.</w:t>
      </w:r>
    </w:p>
    <w:p>
      <w:pPr>
        <w:pStyle w:val="BodyText"/>
      </w:pPr>
      <w:r>
        <w:drawing>
          <wp:inline>
            <wp:extent cx="5334000" cy="8545512"/>
            <wp:effectExtent b="0" l="0" r="0" t="0"/>
            <wp:docPr descr="" title="" id="3324" name="Picture"/>
            <a:graphic>
              <a:graphicData uri="http://schemas.openxmlformats.org/drawingml/2006/picture">
                <pic:pic>
                  <pic:nvPicPr>
                    <pic:cNvPr descr="/home/user/System-Design/build/.cache/diagrams/27da664167b2.png" id="3325" name="Picture"/>
                    <pic:cNvPicPr>
                      <a:picLocks noChangeArrowheads="1" noChangeAspect="1"/>
                    </pic:cNvPicPr>
                  </pic:nvPicPr>
                  <pic:blipFill>
                    <a:blip r:embed="rId3323"/>
                    <a:stretch>
                      <a:fillRect/>
                    </a:stretch>
                  </pic:blipFill>
                  <pic:spPr bwMode="auto">
                    <a:xfrm>
                      <a:off x="0" y="0"/>
                      <a:ext cx="5334000" cy="8545512"/>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In</w:t>
      </w:r>
      <w:r>
        <w:t xml:space="preserve"> </w:t>
      </w:r>
      <w:r>
        <w:rPr>
          <w:iCs/>
          <w:i/>
        </w:rPr>
        <w:t xml:space="preserve">Lambda</w:t>
      </w:r>
      <w:r>
        <w:t xml:space="preserve">, one</w:t>
      </w:r>
      <w:r>
        <w:t xml:space="preserve"> </w:t>
      </w:r>
      <w:r>
        <w:rPr>
          <w:iCs/>
          <w:i/>
        </w:rPr>
        <w:t xml:space="preserve">event log</w:t>
      </w:r>
      <w:r>
        <w:t xml:space="preserve"> </w:t>
      </w:r>
      <w:r>
        <w:t xml:space="preserve">feeds a</w:t>
      </w:r>
      <w:r>
        <w:t xml:space="preserve"> </w:t>
      </w:r>
      <w:r>
        <w:rPr>
          <w:iCs/>
          <w:i/>
        </w:rPr>
        <w:t xml:space="preserve">batch layer</w:t>
      </w:r>
      <w:r>
        <w:t xml:space="preserve"> </w:t>
      </w:r>
      <w:r>
        <w:t xml:space="preserve">that recomputes</w:t>
      </w:r>
      <w:r>
        <w:t xml:space="preserve"> </w:t>
      </w:r>
      <w:r>
        <w:rPr>
          <w:iCs/>
          <w:i/>
        </w:rPr>
        <w:t xml:space="preserve">batch views</w:t>
      </w:r>
      <w:r>
        <w:t xml:space="preserve"> </w:t>
      </w:r>
      <w:r>
        <w:t xml:space="preserve">from all history every few hours and a</w:t>
      </w:r>
      <w:r>
        <w:t xml:space="preserve"> </w:t>
      </w:r>
      <w:r>
        <w:rPr>
          <w:iCs/>
          <w:i/>
        </w:rPr>
        <w:t xml:space="preserve">speed layer</w:t>
      </w:r>
      <w:r>
        <w:t xml:space="preserve"> </w:t>
      </w:r>
      <w:r>
        <w:t xml:space="preserve">that covers data since the last batch run; the</w:t>
      </w:r>
      <w:r>
        <w:t xml:space="preserve"> </w:t>
      </w:r>
      <w:r>
        <w:rPr>
          <w:iCs/>
          <w:i/>
        </w:rPr>
        <w:t xml:space="preserve">serving layer</w:t>
      </w:r>
      <w:r>
        <w:t xml:space="preserve"> </w:t>
      </w:r>
      <w:r>
        <w:t xml:space="preserve">merges both. In</w:t>
      </w:r>
      <w:r>
        <w:t xml:space="preserve"> </w:t>
      </w:r>
      <w:r>
        <w:rPr>
          <w:iCs/>
          <w:i/>
        </w:rPr>
        <w:t xml:space="preserve">Kappa</w:t>
      </w:r>
      <w:r>
        <w:t xml:space="preserve">, one</w:t>
      </w:r>
      <w:r>
        <w:t xml:space="preserve"> </w:t>
      </w:r>
      <w:r>
        <w:rPr>
          <w:iCs/>
          <w:i/>
        </w:rPr>
        <w:t xml:space="preserve">stream job</w:t>
      </w:r>
      <w:r>
        <w:t xml:space="preserve"> </w:t>
      </w:r>
      <w:r>
        <w:t xml:space="preserve">consumes a</w:t>
      </w:r>
      <w:r>
        <w:t xml:space="preserve"> </w:t>
      </w:r>
      <w:r>
        <w:rPr>
          <w:iCs/>
          <w:i/>
        </w:rPr>
        <w:t xml:space="preserve">replayable log</w:t>
      </w:r>
      <w:r>
        <w:t xml:space="preserve">; to change logic,</w:t>
      </w:r>
      <w:r>
        <w:t xml:space="preserve"> </w:t>
      </w:r>
      <w:r>
        <w:rPr>
          <w:iCs/>
          <w:i/>
        </w:rPr>
        <w:t xml:space="preserve">job v2</w:t>
      </w:r>
      <w:r>
        <w:t xml:space="preserve"> </w:t>
      </w:r>
      <w:r>
        <w:t xml:space="preserve">replays the log (dotted, asynchronous) into a new table and readers switch once it catches up. Storage: Lambda keeps history in files or objects; Kappa needs the log (Chapter 31) or tiered storage. Failure points: divergent logic (Lambda); slow replay (Kappa). Scaling: replay parallelism is bounded by the log’s partition count.</w:t>
      </w:r>
    </w:p>
    <w:p>
      <w:pPr>
        <w:pStyle w:val="BodyText"/>
      </w:pPr>
      <w:r>
        <w:t xml:space="preserve">Replay speed decides whether Kappa is practical. Reprocessing 30 days of events at an average of 100,000 events/s means</w:t>
      </w:r>
      <w:r>
        <w:t xml:space="preserve"> </w:t>
      </w:r>
      <m:oMath>
        <m:r>
          <m:t>2.6</m:t>
        </m:r>
        <m:r>
          <m:rPr>
            <m:sty m:val="p"/>
          </m:rPr>
          <m:t>×</m:t>
        </m:r>
        <m:sSup>
          <m:e>
            <m:r>
              <m:t>10</m:t>
            </m:r>
          </m:e>
          <m:sup>
            <m:r>
              <m:t>11</m:t>
            </m:r>
          </m:sup>
        </m:sSup>
      </m:oMath>
      <w:r>
        <w:t xml:space="preserve"> </w:t>
      </w:r>
      <w:r>
        <w:t xml:space="preserve">events; with 200 parallel tasks at 50,000 events/s each (10 million events/s), replay takes</w:t>
      </w:r>
      <w:r>
        <w:t xml:space="preserve"> </w:t>
      </w:r>
      <m:oMath>
        <m:r>
          <m:t>2.6</m:t>
        </m:r>
        <m:r>
          <m:rPr>
            <m:sty m:val="p"/>
          </m:rPr>
          <m:t>×</m:t>
        </m:r>
        <m:sSup>
          <m:e>
            <m:r>
              <m:t>10</m:t>
            </m:r>
          </m:e>
          <m:sup>
            <m:r>
              <m:t>11</m:t>
            </m:r>
          </m:sup>
        </m:sSup>
        <m:r>
          <m:rPr>
            <m:sty m:val="p"/>
          </m:rPr>
          <m:t>/</m:t>
        </m:r>
        <m:sSup>
          <m:e>
            <m:r>
              <m:t>10</m:t>
            </m:r>
          </m:e>
          <m:sup>
            <m:r>
              <m:t>7</m:t>
            </m:r>
          </m:sup>
        </m:sSup>
        <m:r>
          <m:rPr>
            <m:sty m:val="p"/>
          </m:rPr>
          <m:t>=</m:t>
        </m:r>
        <m:r>
          <m:t>26</m:t>
        </m:r>
        <m:r>
          <m:rPr>
            <m:sty m:val="p"/>
          </m:rPr>
          <m:t>,</m:t>
        </m:r>
        <m:r>
          <m:t>000</m:t>
        </m:r>
      </m:oMath>
      <w:r>
        <w:t xml:space="preserve"> </w:t>
      </w:r>
      <w:r>
        <w:t xml:space="preserve">s, about 7.2 hours, which is acceptable for a logic change but not for an urgent fix.</w:t>
      </w:r>
    </w:p>
    <w:p>
      <w:pPr>
        <w:pStyle w:val="CalloutIndustry"/>
      </w:pPr>
      <w:r>
        <w:rPr>
          <w:bCs/>
          <w:b/>
        </w:rPr>
        <w:t xml:space="preserve">INDUSTRY EXAMPLE</w:t>
      </w:r>
    </w:p>
    <w:p>
      <w:pPr>
        <w:pStyle w:val="CalloutIndustry"/>
      </w:pPr>
      <w:r>
        <w:rPr>
          <w:bCs/>
          <w:b/>
        </w:rPr>
        <w:t xml:space="preserve">Summingbird at Twitter and Kappa at LinkedIn.</w:t>
      </w:r>
      <w:r>
        <w:t xml:space="preserve"> </w:t>
      </w:r>
      <w:r>
        <w:t xml:space="preserve">Twitter built Summingbird to reduce Lambda’s double implementation: one Scala program is compiled to both a Hadoop batch job and a Storm streaming job, with results merged at query time [Boykin et al. 2014]. Kreps, then at LinkedIn, proposed instead reprocessing by replaying Kafka into a new job instance, which became known as the Kappa architecture [Kreps 2014].</w:t>
      </w:r>
      <w:r>
        <w:t xml:space="preserve"> </w:t>
      </w:r>
      <w:r>
        <w:rPr>
          <w:iCs/>
          <w:i/>
        </w:rPr>
        <w:t xml:space="preserve">Evidence: Primary</w:t>
      </w:r>
      <w:r>
        <w:t xml:space="preserve"> </w:t>
      </w:r>
      <w:r>
        <w:t xml:space="preserve">— [Boykin et al. 2014; Kreps 2014]</w:t>
      </w:r>
    </w:p>
    <w:p>
      <w:pPr>
        <w:pStyle w:val="BodyText"/>
      </w:pPr>
      <w:r>
        <w:rPr>
          <w:bCs/>
          <w:b/>
        </w:rPr>
        <w:t xml:space="preserve">Table 29.1 — Lambda and Kappa compared.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Lambda</w:t>
            </w:r>
          </w:p>
        </w:tc>
        <w:tc>
          <w:tcPr/>
          <w:p>
            <w:pPr>
              <w:pStyle w:val="Compact"/>
              <w:jc w:val="left"/>
            </w:pPr>
            <w:r>
              <w:t xml:space="preserve">Kappa</w:t>
            </w:r>
          </w:p>
        </w:tc>
      </w:tr>
      <w:tr>
        <w:tc>
          <w:tcPr/>
          <w:p>
            <w:pPr>
              <w:pStyle w:val="Compact"/>
              <w:jc w:val="left"/>
            </w:pPr>
            <w:r>
              <w:t xml:space="preserve">What it is</w:t>
            </w:r>
          </w:p>
        </w:tc>
        <w:tc>
          <w:tcPr/>
          <w:p>
            <w:pPr>
              <w:pStyle w:val="Compact"/>
              <w:jc w:val="left"/>
            </w:pPr>
            <w:r>
              <w:t xml:space="preserve">Batch layer plus speed layer, merged at serving</w:t>
            </w:r>
          </w:p>
        </w:tc>
        <w:tc>
          <w:tcPr/>
          <w:p>
            <w:pPr>
              <w:pStyle w:val="Compact"/>
              <w:jc w:val="left"/>
            </w:pPr>
            <w:r>
              <w:t xml:space="preserve">One stream path; reprocess by replay</w:t>
            </w:r>
          </w:p>
        </w:tc>
      </w:tr>
      <w:tr>
        <w:tc>
          <w:tcPr/>
          <w:p>
            <w:pPr>
              <w:pStyle w:val="Compact"/>
              <w:jc w:val="left"/>
            </w:pPr>
            <w:r>
              <w:t xml:space="preserve">Code paths</w:t>
            </w:r>
          </w:p>
        </w:tc>
        <w:tc>
          <w:tcPr/>
          <w:p>
            <w:pPr>
              <w:pStyle w:val="Compact"/>
              <w:jc w:val="left"/>
            </w:pPr>
            <w:r>
              <w:t xml:space="preserve">Two, kept semantically equal</w:t>
            </w:r>
          </w:p>
        </w:tc>
        <w:tc>
          <w:tcPr/>
          <w:p>
            <w:pPr>
              <w:pStyle w:val="Compact"/>
              <w:jc w:val="left"/>
            </w:pPr>
            <w:r>
              <w:t xml:space="preserve">One</w:t>
            </w:r>
          </w:p>
        </w:tc>
      </w:tr>
      <w:tr>
        <w:tc>
          <w:tcPr/>
          <w:p>
            <w:pPr>
              <w:pStyle w:val="Compact"/>
              <w:jc w:val="left"/>
            </w:pPr>
            <w:r>
              <w:t xml:space="preserve">Correctness source</w:t>
            </w:r>
          </w:p>
        </w:tc>
        <w:tc>
          <w:tcPr/>
          <w:p>
            <w:pPr>
              <w:pStyle w:val="Compact"/>
              <w:jc w:val="left"/>
            </w:pPr>
            <w:r>
              <w:t xml:space="preserve">Batch recomputation heals stream errors</w:t>
            </w:r>
          </w:p>
        </w:tc>
        <w:tc>
          <w:tcPr/>
          <w:p>
            <w:pPr>
              <w:pStyle w:val="Compact"/>
              <w:jc w:val="left"/>
            </w:pPr>
            <w:r>
              <w:t xml:space="preserve">Exactly-once stream engine with event time</w:t>
            </w:r>
          </w:p>
        </w:tc>
      </w:tr>
      <w:tr>
        <w:tc>
          <w:tcPr/>
          <w:p>
            <w:pPr>
              <w:pStyle w:val="Compact"/>
              <w:jc w:val="left"/>
            </w:pPr>
            <w:r>
              <w:t xml:space="preserve">History store</w:t>
            </w:r>
          </w:p>
        </w:tc>
        <w:tc>
          <w:tcPr/>
          <w:p>
            <w:pPr>
              <w:pStyle w:val="Compact"/>
              <w:jc w:val="left"/>
            </w:pPr>
            <w:r>
              <w:t xml:space="preserve">Files or objects (cheap, columnar)</w:t>
            </w:r>
          </w:p>
        </w:tc>
        <w:tc>
          <w:tcPr/>
          <w:p>
            <w:pPr>
              <w:pStyle w:val="Compact"/>
              <w:jc w:val="left"/>
            </w:pPr>
            <w:r>
              <w:t xml:space="preserve">Log with long retention or tiered storage</w:t>
            </w:r>
          </w:p>
        </w:tc>
      </w:tr>
      <w:tr>
        <w:tc>
          <w:tcPr/>
          <w:p>
            <w:pPr>
              <w:pStyle w:val="Compact"/>
              <w:jc w:val="left"/>
            </w:pPr>
            <w:r>
              <w:t xml:space="preserve">Reprocessing</w:t>
            </w:r>
          </w:p>
        </w:tc>
        <w:tc>
          <w:tcPr/>
          <w:p>
            <w:pPr>
              <w:pStyle w:val="Compact"/>
              <w:jc w:val="left"/>
            </w:pPr>
            <w:r>
              <w:t xml:space="preserve">Rerun batch job</w:t>
            </w:r>
          </w:p>
        </w:tc>
        <w:tc>
          <w:tcPr/>
          <w:p>
            <w:pPr>
              <w:pStyle w:val="Compact"/>
              <w:jc w:val="left"/>
            </w:pPr>
            <w:r>
              <w:t xml:space="preserve">Replay log into a new job version</w:t>
            </w:r>
          </w:p>
        </w:tc>
      </w:tr>
      <w:tr>
        <w:tc>
          <w:tcPr/>
          <w:p>
            <w:pPr>
              <w:pStyle w:val="Compact"/>
              <w:jc w:val="left"/>
            </w:pPr>
            <w:r>
              <w:t xml:space="preserve">Operational complexity</w:t>
            </w:r>
          </w:p>
        </w:tc>
        <w:tc>
          <w:tcPr/>
          <w:p>
            <w:pPr>
              <w:pStyle w:val="Compact"/>
              <w:jc w:val="left"/>
            </w:pPr>
            <w:r>
              <w:t xml:space="preserve">High: two systems, merge logic</w:t>
            </w:r>
          </w:p>
        </w:tc>
        <w:tc>
          <w:tcPr/>
          <w:p>
            <w:pPr>
              <w:pStyle w:val="Compact"/>
              <w:jc w:val="left"/>
            </w:pPr>
            <w:r>
              <w:t xml:space="preserve">Medium: one system, replay capacity</w:t>
            </w:r>
          </w:p>
        </w:tc>
      </w:tr>
      <w:tr>
        <w:tc>
          <w:tcPr/>
          <w:p>
            <w:pPr>
              <w:pStyle w:val="Compact"/>
              <w:jc w:val="left"/>
            </w:pPr>
            <w:r>
              <w:t xml:space="preserve">Choose when</w:t>
            </w:r>
          </w:p>
        </w:tc>
        <w:tc>
          <w:tcPr/>
          <w:p>
            <w:pPr>
              <w:pStyle w:val="Compact"/>
              <w:jc w:val="left"/>
            </w:pPr>
            <w:r>
              <w:t xml:space="preserve">Heavy historical recomputation; stream engine cannot be trusted</w:t>
            </w:r>
          </w:p>
        </w:tc>
        <w:tc>
          <w:tcPr/>
          <w:p>
            <w:pPr>
              <w:pStyle w:val="Compact"/>
              <w:jc w:val="left"/>
            </w:pPr>
            <w:r>
              <w:t xml:space="preserve">Logic fits streaming; log retains enough history</w:t>
            </w:r>
          </w:p>
        </w:tc>
      </w:tr>
    </w:tbl>
    <w:p>
      <w:pPr>
        <w:pStyle w:val="BodyText"/>
      </w:pPr>
      <w:r>
        <w:t xml:space="preserve">In practice many teams now run a hybrid: one engine (Spark or Flink, or Beam over either) with shared code, writing streaming results into lakehouse tables that batch jobs also read and backfill (Chapters 61–62).</w:t>
      </w:r>
    </w:p>
    <w:bookmarkEnd w:id="3326"/>
    <w:bookmarkStart w:id="3327" w:name="batch-versus-stream-spark-versus-flink"/>
    <w:p>
      <w:pPr>
        <w:pStyle w:val="Heading2"/>
      </w:pPr>
      <w:r>
        <w:t xml:space="preserve">29.11 Batch versus stream; Spark versus Flink</w:t>
      </w:r>
    </w:p>
    <w:p>
      <w:pPr>
        <w:pStyle w:val="FirstParagraph"/>
      </w:pPr>
      <w:r>
        <w:t xml:space="preserve">Batch and streaming are two points on one spectrum: a batch job is a stream job over a bounded input whose watermark jumps to infinity at the end. The Dataflow Model and Flink both treat them this way; Spark Structured Streaming does the reverse, running a stream as a series of small incremental batch queries [Armbrust et al. 2018].</w:t>
      </w:r>
    </w:p>
    <w:p>
      <w:pPr>
        <w:pStyle w:val="BodyText"/>
      </w:pPr>
      <w:r>
        <w:rPr>
          <w:bCs/>
          <w:b/>
        </w:rPr>
        <w:t xml:space="preserve">Table 29.2 — Batch versus stream processing.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Batch</w:t>
            </w:r>
          </w:p>
        </w:tc>
        <w:tc>
          <w:tcPr/>
          <w:p>
            <w:pPr>
              <w:pStyle w:val="Compact"/>
              <w:jc w:val="left"/>
            </w:pPr>
            <w:r>
              <w:t xml:space="preserve">Stream</w:t>
            </w:r>
          </w:p>
        </w:tc>
      </w:tr>
      <w:tr>
        <w:tc>
          <w:tcPr/>
          <w:p>
            <w:pPr>
              <w:pStyle w:val="Compact"/>
              <w:jc w:val="left"/>
            </w:pPr>
            <w:r>
              <w:t xml:space="preserve">What it is</w:t>
            </w:r>
          </w:p>
        </w:tc>
        <w:tc>
          <w:tcPr/>
          <w:p>
            <w:pPr>
              <w:pStyle w:val="Compact"/>
              <w:jc w:val="left"/>
            </w:pPr>
            <w:r>
              <w:t xml:space="preserve">Computation over a bounded, complete dataset</w:t>
            </w:r>
          </w:p>
        </w:tc>
        <w:tc>
          <w:tcPr/>
          <w:p>
            <w:pPr>
              <w:pStyle w:val="Compact"/>
              <w:jc w:val="left"/>
            </w:pPr>
            <w:r>
              <w:t xml:space="preserve">Continuous computation over an unbounded dataset</w:t>
            </w:r>
          </w:p>
        </w:tc>
      </w:tr>
      <w:tr>
        <w:tc>
          <w:tcPr/>
          <w:p>
            <w:pPr>
              <w:pStyle w:val="Compact"/>
              <w:jc w:val="left"/>
            </w:pPr>
            <w:r>
              <w:t xml:space="preserve">How it works</w:t>
            </w:r>
          </w:p>
        </w:tc>
        <w:tc>
          <w:tcPr/>
          <w:p>
            <w:pPr>
              <w:pStyle w:val="Compact"/>
              <w:jc w:val="left"/>
            </w:pPr>
            <w:r>
              <w:t xml:space="preserve">Read all input, stage by stage, write output</w:t>
            </w:r>
          </w:p>
        </w:tc>
        <w:tc>
          <w:tcPr/>
          <w:p>
            <w:pPr>
              <w:pStyle w:val="Compact"/>
              <w:jc w:val="left"/>
            </w:pPr>
            <w:r>
              <w:t xml:space="preserve">Long-running operators, state, watermarks, checkpoints</w:t>
            </w:r>
          </w:p>
        </w:tc>
      </w:tr>
      <w:tr>
        <w:tc>
          <w:tcPr/>
          <w:p>
            <w:pPr>
              <w:pStyle w:val="Compact"/>
              <w:jc w:val="left"/>
            </w:pPr>
            <w:r>
              <w:t xml:space="preserve">Advantages</w:t>
            </w:r>
          </w:p>
        </w:tc>
        <w:tc>
          <w:tcPr/>
          <w:p>
            <w:pPr>
              <w:pStyle w:val="Compact"/>
              <w:jc w:val="left"/>
            </w:pPr>
            <w:r>
              <w:t xml:space="preserve">Simple reasoning, easy reruns, cheap per byte</w:t>
            </w:r>
          </w:p>
        </w:tc>
        <w:tc>
          <w:tcPr/>
          <w:p>
            <w:pPr>
              <w:pStyle w:val="Compact"/>
              <w:jc w:val="left"/>
            </w:pPr>
            <w:r>
              <w:t xml:space="preserve">Seconds of freshness, incremental cost</w:t>
            </w:r>
          </w:p>
        </w:tc>
      </w:tr>
      <w:tr>
        <w:tc>
          <w:tcPr/>
          <w:p>
            <w:pPr>
              <w:pStyle w:val="Compact"/>
              <w:jc w:val="left"/>
            </w:pPr>
            <w:r>
              <w:t xml:space="preserve">Disadvantages</w:t>
            </w:r>
          </w:p>
        </w:tc>
        <w:tc>
          <w:tcPr/>
          <w:p>
            <w:pPr>
              <w:pStyle w:val="Compact"/>
              <w:jc w:val="left"/>
            </w:pPr>
            <w:r>
              <w:t xml:space="preserve">Hours of latency; recomputes unchanged data</w:t>
            </w:r>
          </w:p>
        </w:tc>
        <w:tc>
          <w:tcPr/>
          <w:p>
            <w:pPr>
              <w:pStyle w:val="Compact"/>
              <w:jc w:val="left"/>
            </w:pPr>
            <w:r>
              <w:t xml:space="preserve">Completeness is a heuristic; state and late data to manage</w:t>
            </w:r>
          </w:p>
        </w:tc>
      </w:tr>
      <w:tr>
        <w:tc>
          <w:tcPr/>
          <w:p>
            <w:pPr>
              <w:pStyle w:val="Compact"/>
              <w:jc w:val="left"/>
            </w:pPr>
            <w:r>
              <w:t xml:space="preserve">Performance</w:t>
            </w:r>
          </w:p>
        </w:tc>
        <w:tc>
          <w:tcPr/>
          <w:p>
            <w:pPr>
              <w:pStyle w:val="Compact"/>
              <w:jc w:val="left"/>
            </w:pPr>
            <w:r>
              <w:t xml:space="preserve">Throughput-optimized, minutes to hours</w:t>
            </w:r>
          </w:p>
        </w:tc>
        <w:tc>
          <w:tcPr/>
          <w:p>
            <w:pPr>
              <w:pStyle w:val="Compact"/>
              <w:jc w:val="left"/>
            </w:pPr>
            <w:r>
              <w:t xml:space="preserve">Latency of milliseconds to seconds</w:t>
            </w:r>
          </w:p>
        </w:tc>
      </w:tr>
      <w:tr>
        <w:tc>
          <w:tcPr/>
          <w:p>
            <w:pPr>
              <w:pStyle w:val="Compact"/>
              <w:jc w:val="left"/>
            </w:pPr>
            <w:r>
              <w:t xml:space="preserve">Operational complexity</w:t>
            </w:r>
          </w:p>
        </w:tc>
        <w:tc>
          <w:tcPr/>
          <w:p>
            <w:pPr>
              <w:pStyle w:val="Compact"/>
              <w:jc w:val="left"/>
            </w:pPr>
            <w:r>
              <w:t xml:space="preserve">Scheduler, retries, backfills</w:t>
            </w:r>
          </w:p>
        </w:tc>
        <w:tc>
          <w:tcPr/>
          <w:p>
            <w:pPr>
              <w:pStyle w:val="Compact"/>
              <w:jc w:val="left"/>
            </w:pPr>
            <w:r>
              <w:t xml:space="preserve">24×7 on-call, state migrations, lag monitoring</w:t>
            </w:r>
          </w:p>
        </w:tc>
      </w:tr>
      <w:tr>
        <w:tc>
          <w:tcPr/>
          <w:p>
            <w:pPr>
              <w:pStyle w:val="Compact"/>
              <w:jc w:val="left"/>
            </w:pPr>
            <w:r>
              <w:t xml:space="preserve">Cost</w:t>
            </w:r>
          </w:p>
        </w:tc>
        <w:tc>
          <w:tcPr/>
          <w:p>
            <w:pPr>
              <w:pStyle w:val="Compact"/>
              <w:jc w:val="left"/>
            </w:pPr>
            <w:r>
              <w:t xml:space="preserve">Pay per run; can use spot capacity</w:t>
            </w:r>
          </w:p>
        </w:tc>
        <w:tc>
          <w:tcPr/>
          <w:p>
            <w:pPr>
              <w:pStyle w:val="Compact"/>
              <w:jc w:val="left"/>
            </w:pPr>
            <w:r>
              <w:t xml:space="preserve">Always-on resources</w:t>
            </w:r>
          </w:p>
        </w:tc>
      </w:tr>
      <w:tr>
        <w:tc>
          <w:tcPr/>
          <w:p>
            <w:pPr>
              <w:pStyle w:val="Compact"/>
              <w:jc w:val="left"/>
            </w:pPr>
            <w:r>
              <w:t xml:space="preserve">Use cases</w:t>
            </w:r>
          </w:p>
        </w:tc>
        <w:tc>
          <w:tcPr/>
          <w:p>
            <w:pPr>
              <w:pStyle w:val="Compact"/>
              <w:jc w:val="left"/>
            </w:pPr>
            <w:r>
              <w:t xml:space="preserve">Reports, model training sets, backfills, index builds</w:t>
            </w:r>
          </w:p>
        </w:tc>
        <w:tc>
          <w:tcPr/>
          <w:p>
            <w:pPr>
              <w:pStyle w:val="Compact"/>
              <w:jc w:val="left"/>
            </w:pPr>
            <w:r>
              <w:t xml:space="preserve">Fraud, alerting, live features, dashboards</w:t>
            </w:r>
          </w:p>
        </w:tc>
      </w:tr>
      <w:tr>
        <w:tc>
          <w:tcPr/>
          <w:p>
            <w:pPr>
              <w:pStyle w:val="Compact"/>
              <w:jc w:val="left"/>
            </w:pPr>
            <w:r>
              <w:t xml:space="preserve">Choose when</w:t>
            </w:r>
          </w:p>
        </w:tc>
        <w:tc>
          <w:tcPr/>
          <w:p>
            <w:pPr>
              <w:pStyle w:val="Compact"/>
              <w:jc w:val="left"/>
            </w:pPr>
            <w:r>
              <w:t xml:space="preserve">Freshness of an hour or more is acceptable</w:t>
            </w:r>
          </w:p>
        </w:tc>
        <w:tc>
          <w:tcPr/>
          <w:p>
            <w:pPr>
              <w:pStyle w:val="Compact"/>
              <w:jc w:val="left"/>
            </w:pPr>
            <w:r>
              <w:t xml:space="preserve">Value decays within minutes</w:t>
            </w:r>
          </w:p>
        </w:tc>
      </w:tr>
    </w:tbl>
    <w:p>
      <w:pPr>
        <w:pStyle w:val="BodyText"/>
      </w:pPr>
      <w:r>
        <w:rPr>
          <w:bCs/>
          <w:b/>
        </w:rPr>
        <w:t xml:space="preserve">Table 29.3 — Apache Spark versus Apache Flink (as of 2026).</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Spark (incl. Structured Streaming)</w:t>
            </w:r>
          </w:p>
        </w:tc>
        <w:tc>
          <w:tcPr/>
          <w:p>
            <w:pPr>
              <w:pStyle w:val="Compact"/>
              <w:jc w:val="left"/>
            </w:pPr>
            <w:r>
              <w:t xml:space="preserve">Flink</w:t>
            </w:r>
          </w:p>
        </w:tc>
      </w:tr>
      <w:tr>
        <w:tc>
          <w:tcPr/>
          <w:p>
            <w:pPr>
              <w:pStyle w:val="Compact"/>
              <w:jc w:val="left"/>
            </w:pPr>
            <w:r>
              <w:t xml:space="preserve">What it is</w:t>
            </w:r>
          </w:p>
        </w:tc>
        <w:tc>
          <w:tcPr/>
          <w:p>
            <w:pPr>
              <w:pStyle w:val="Compact"/>
              <w:jc w:val="left"/>
            </w:pPr>
            <w:r>
              <w:t xml:space="preserve">Batch-first engine with SQL, ML and streaming</w:t>
            </w:r>
          </w:p>
        </w:tc>
        <w:tc>
          <w:tcPr/>
          <w:p>
            <w:pPr>
              <w:pStyle w:val="Compact"/>
              <w:jc w:val="left"/>
            </w:pPr>
            <w:r>
              <w:t xml:space="preserve">Stream-first engine; batch as bounded streams</w:t>
            </w:r>
          </w:p>
        </w:tc>
      </w:tr>
      <w:tr>
        <w:tc>
          <w:tcPr/>
          <w:p>
            <w:pPr>
              <w:pStyle w:val="Compact"/>
              <w:jc w:val="left"/>
            </w:pPr>
            <w:r>
              <w:t xml:space="preserve">How it works</w:t>
            </w:r>
          </w:p>
        </w:tc>
        <w:tc>
          <w:tcPr/>
          <w:p>
            <w:pPr>
              <w:pStyle w:val="Compact"/>
              <w:jc w:val="left"/>
            </w:pPr>
            <w:r>
              <w:t xml:space="preserve">Stages of tasks; streaming as micro-batches, plus experimental continuous mode</w:t>
            </w:r>
          </w:p>
        </w:tc>
        <w:tc>
          <w:tcPr/>
          <w:p>
            <w:pPr>
              <w:pStyle w:val="Compact"/>
              <w:jc w:val="left"/>
            </w:pPr>
            <w:r>
              <w:t xml:space="preserve">Pipelined long-running operators; continuous record flow</w:t>
            </w:r>
          </w:p>
        </w:tc>
      </w:tr>
      <w:tr>
        <w:tc>
          <w:tcPr/>
          <w:p>
            <w:pPr>
              <w:pStyle w:val="Compact"/>
              <w:jc w:val="left"/>
            </w:pPr>
            <w:r>
              <w:t xml:space="preserve">Advantages</w:t>
            </w:r>
          </w:p>
        </w:tc>
        <w:tc>
          <w:tcPr/>
          <w:p>
            <w:pPr>
              <w:pStyle w:val="Compact"/>
              <w:jc w:val="left"/>
            </w:pPr>
            <w:r>
              <w:t xml:space="preserve">Best-in-class batch SQL (Catalyst, AQE), huge ecosystem, Python support</w:t>
            </w:r>
          </w:p>
        </w:tc>
        <w:tc>
          <w:tcPr/>
          <w:p>
            <w:pPr>
              <w:pStyle w:val="Compact"/>
              <w:jc w:val="left"/>
            </w:pPr>
            <w:r>
              <w:t xml:space="preserve">Low latency, rich event-time and state APIs, large state on RocksDB</w:t>
            </w:r>
          </w:p>
        </w:tc>
      </w:tr>
      <w:tr>
        <w:tc>
          <w:tcPr/>
          <w:p>
            <w:pPr>
              <w:pStyle w:val="Compact"/>
              <w:jc w:val="left"/>
            </w:pPr>
            <w:r>
              <w:t xml:space="preserve">Disadvantages</w:t>
            </w:r>
          </w:p>
        </w:tc>
        <w:tc>
          <w:tcPr/>
          <w:p>
            <w:pPr>
              <w:pStyle w:val="Compact"/>
              <w:jc w:val="left"/>
            </w:pPr>
            <w:r>
              <w:t xml:space="preserve">Micro-batch latency floor; less flexible custom state and timers</w:t>
            </w:r>
          </w:p>
        </w:tc>
        <w:tc>
          <w:tcPr/>
          <w:p>
            <w:pPr>
              <w:pStyle w:val="Compact"/>
              <w:jc w:val="left"/>
            </w:pPr>
            <w:r>
              <w:t xml:space="preserve">Smaller batch and Python ecosystem; more operational tuning</w:t>
            </w:r>
          </w:p>
        </w:tc>
      </w:tr>
      <w:tr>
        <w:tc>
          <w:tcPr/>
          <w:p>
            <w:pPr>
              <w:pStyle w:val="Compact"/>
              <w:jc w:val="left"/>
            </w:pPr>
            <w:r>
              <w:t xml:space="preserve">Performance</w:t>
            </w:r>
          </w:p>
        </w:tc>
        <w:tc>
          <w:tcPr/>
          <w:p>
            <w:pPr>
              <w:pStyle w:val="Compact"/>
              <w:jc w:val="left"/>
            </w:pPr>
            <w:r>
              <w:t xml:space="preserve">Micro-batch latency of about 100 ms and up, exactly-once; continuous mode about 1 ms, at-least-once</w:t>
            </w:r>
          </w:p>
        </w:tc>
        <w:tc>
          <w:tcPr/>
          <w:p>
            <w:pPr>
              <w:pStyle w:val="Compact"/>
              <w:jc w:val="left"/>
            </w:pPr>
            <w:r>
              <w:t xml:space="preserve">Milliseconds, exactly-once state</w:t>
            </w:r>
          </w:p>
        </w:tc>
      </w:tr>
      <w:tr>
        <w:tc>
          <w:tcPr/>
          <w:p>
            <w:pPr>
              <w:pStyle w:val="Compact"/>
              <w:jc w:val="left"/>
            </w:pPr>
            <w:r>
              <w:t xml:space="preserve">Operational complexity</w:t>
            </w:r>
          </w:p>
        </w:tc>
        <w:tc>
          <w:tcPr/>
          <w:p>
            <w:pPr>
              <w:pStyle w:val="Compact"/>
              <w:jc w:val="left"/>
            </w:pPr>
            <w:r>
              <w:t xml:space="preserve">Lower for batch; streaming state stores simpler</w:t>
            </w:r>
          </w:p>
        </w:tc>
        <w:tc>
          <w:tcPr/>
          <w:p>
            <w:pPr>
              <w:pStyle w:val="Compact"/>
              <w:jc w:val="left"/>
            </w:pPr>
            <w:r>
              <w:t xml:space="preserve">Higher: checkpoints, savepoints, state backends</w:t>
            </w:r>
          </w:p>
        </w:tc>
      </w:tr>
      <w:tr>
        <w:tc>
          <w:tcPr/>
          <w:p>
            <w:pPr>
              <w:pStyle w:val="Compact"/>
              <w:jc w:val="left"/>
            </w:pPr>
            <w:r>
              <w:t xml:space="preserve">Cost</w:t>
            </w:r>
          </w:p>
        </w:tc>
        <w:tc>
          <w:tcPr/>
          <w:p>
            <w:pPr>
              <w:pStyle w:val="Compact"/>
              <w:jc w:val="left"/>
            </w:pPr>
            <w:r>
              <w:t xml:space="preserve">Efficient for large scans; can stop between runs</w:t>
            </w:r>
          </w:p>
        </w:tc>
        <w:tc>
          <w:tcPr/>
          <w:p>
            <w:pPr>
              <w:pStyle w:val="Compact"/>
              <w:jc w:val="left"/>
            </w:pPr>
            <w:r>
              <w:t xml:space="preserve">Always-on clusters sized for peak plus recovery headroom</w:t>
            </w:r>
          </w:p>
        </w:tc>
      </w:tr>
      <w:tr>
        <w:tc>
          <w:tcPr/>
          <w:p>
            <w:pPr>
              <w:pStyle w:val="Compact"/>
              <w:jc w:val="left"/>
            </w:pPr>
            <w:r>
              <w:t xml:space="preserve">Use cases</w:t>
            </w:r>
          </w:p>
        </w:tc>
        <w:tc>
          <w:tcPr/>
          <w:p>
            <w:pPr>
              <w:pStyle w:val="Compact"/>
              <w:jc w:val="left"/>
            </w:pPr>
            <w:r>
              <w:t xml:space="preserve">ETL, analytics, feature backfills, ML preprocessing</w:t>
            </w:r>
          </w:p>
        </w:tc>
        <w:tc>
          <w:tcPr/>
          <w:p>
            <w:pPr>
              <w:pStyle w:val="Compact"/>
              <w:jc w:val="left"/>
            </w:pPr>
            <w:r>
              <w:t xml:space="preserve">Fraud, CEP, real-time features, streaming ETL</w:t>
            </w:r>
          </w:p>
        </w:tc>
      </w:tr>
      <w:tr>
        <w:tc>
          <w:tcPr/>
          <w:p>
            <w:pPr>
              <w:pStyle w:val="Compact"/>
              <w:jc w:val="left"/>
            </w:pPr>
            <w:r>
              <w:t xml:space="preserve">Choose when</w:t>
            </w:r>
          </w:p>
        </w:tc>
        <w:tc>
          <w:tcPr/>
          <w:p>
            <w:pPr>
              <w:pStyle w:val="Compact"/>
              <w:jc w:val="left"/>
            </w:pPr>
            <w:r>
              <w:t xml:space="preserve">Batch dominates, latency of seconds is fine</w:t>
            </w:r>
          </w:p>
        </w:tc>
        <w:tc>
          <w:tcPr/>
          <w:p>
            <w:pPr>
              <w:pStyle w:val="Compact"/>
              <w:jc w:val="left"/>
            </w:pPr>
            <w:r>
              <w:t xml:space="preserve">Sub-second latency or complex event-time state</w:t>
            </w:r>
          </w:p>
        </w:tc>
      </w:tr>
    </w:tbl>
    <w:p>
      <w:pPr>
        <w:pStyle w:val="BodyText"/>
      </w:pPr>
      <w:r>
        <w:t xml:space="preserve">The micro-batch and continuous-mode figures are from the Spark documentation [Apache Spark Docs: Structured Streaming].</w:t>
      </w:r>
      <w:r>
        <w:t xml:space="preserve"> </w:t>
      </w:r>
      <w:r>
        <w:rPr>
          <w:bCs/>
          <w:b/>
        </w:rPr>
        <w:t xml:space="preserve">Apache Beam</w:t>
      </w:r>
      <w:r>
        <w:t xml:space="preserve"> </w:t>
      </w:r>
      <w:r>
        <w:t xml:space="preserve">sits above both: a pipeline written once with the Dataflow Model’s windowing, triggers and accumulation runs on a chosen</w:t>
      </w:r>
      <w:r>
        <w:t xml:space="preserve"> </w:t>
      </w:r>
      <w:r>
        <w:rPr>
          <w:bCs/>
          <w:b/>
        </w:rPr>
        <w:t xml:space="preserve">runner</w:t>
      </w:r>
      <w:r>
        <w:t xml:space="preserve"> </w:t>
      </w:r>
      <w:r>
        <w:t xml:space="preserve">(Google Cloud Dataflow, Flink, Spark), trading some engine-specific features for portability. Chapter 61 uses Beam and Spark for ML data pipelines.</w:t>
      </w:r>
    </w:p>
    <w:bookmarkEnd w:id="3327"/>
    <w:bookmarkStart w:id="3328" w:name="summary-and-revision-notes-28"/>
    <w:p>
      <w:pPr>
        <w:pStyle w:val="Heading2"/>
      </w:pPr>
      <w:r>
        <w:t xml:space="preserve">29.12 Summary and revision notes</w:t>
      </w:r>
    </w:p>
    <w:p>
      <w:pPr>
        <w:pStyle w:val="CalloutSummary"/>
      </w:pPr>
      <w:r>
        <w:rPr>
          <w:bCs/>
          <w:b/>
        </w:rPr>
        <w:t xml:space="preserve">SUMMARY</w:t>
      </w:r>
    </w:p>
    <w:p>
      <w:pPr>
        <w:numPr>
          <w:ilvl w:val="0"/>
          <w:numId w:val="1963"/>
        </w:numPr>
        <w:pStyle w:val="Compact"/>
      </w:pPr>
      <w:r>
        <w:rPr>
          <w:bCs/>
          <w:b/>
        </w:rPr>
        <w:t xml:space="preserve">Batch</w:t>
      </w:r>
      <w:r>
        <w:t xml:space="preserve"> </w:t>
      </w:r>
      <w:r>
        <w:t xml:space="preserve">processes bounded, immutable inputs for throughput; rerunning a task is safe. Scan time is</w:t>
      </w:r>
      <w:r>
        <w:t xml:space="preserve"> </w:t>
      </w:r>
      <m:oMath>
        <m:r>
          <m:t>D</m:t>
        </m:r>
        <m:r>
          <m:rPr>
            <m:sty m:val="p"/>
          </m:rPr>
          <m:t>/</m:t>
        </m:r>
        <m:d>
          <m:dPr>
            <m:begChr m:val="("/>
            <m:endChr m:val=")"/>
            <m:sepChr m:val=""/>
            <m:grow/>
          </m:dPr>
          <m:e>
            <m:r>
              <m:t>N</m:t>
            </m:r>
            <m:r>
              <m:t>b</m:t>
            </m:r>
          </m:e>
        </m:d>
      </m:oMath>
      <w:r>
        <w:t xml:space="preserve">: shrink</w:t>
      </w:r>
      <w:r>
        <w:t xml:space="preserve"> </w:t>
      </w:r>
      <m:oMath>
        <m:r>
          <m:t>D</m:t>
        </m:r>
      </m:oMath>
      <w:r>
        <w:t xml:space="preserve"> </w:t>
      </w:r>
      <w:r>
        <w:t xml:space="preserve">before adding nodes.</w:t>
      </w:r>
    </w:p>
    <w:p>
      <w:pPr>
        <w:numPr>
          <w:ilvl w:val="0"/>
          <w:numId w:val="1963"/>
        </w:numPr>
        <w:pStyle w:val="Compact"/>
      </w:pPr>
      <w:r>
        <w:rPr>
          <w:bCs/>
          <w:b/>
        </w:rPr>
        <w:t xml:space="preserve">MapReduce</w:t>
      </w:r>
      <w:r>
        <w:t xml:space="preserve">: map → partition → sort/spill → shuffle → merge → reduce. A combiner pre-aggregates associative, commutative operations and can cut shuffle volume by 100×. Failures are handled by re-executing tasks; backup tasks tame stragglers, which appear in almost every large job (</w:t>
      </w:r>
      <m:oMath>
        <m:r>
          <m:t>1</m:t>
        </m:r>
        <m:r>
          <m:rPr>
            <m:sty m:val="p"/>
          </m:rPr>
          <m:t>−</m:t>
        </m:r>
        <m:sSup>
          <m:e>
            <m:d>
              <m:dPr>
                <m:begChr m:val="("/>
                <m:endChr m:val=")"/>
                <m:sepChr m:val=""/>
                <m:grow/>
              </m:dPr>
              <m:e>
                <m:r>
                  <m:t>1</m:t>
                </m:r>
                <m:r>
                  <m:rPr>
                    <m:sty m:val="p"/>
                  </m:rPr>
                  <m:t>−</m:t>
                </m:r>
                <m:r>
                  <m:t>p</m:t>
                </m:r>
              </m:e>
            </m:d>
          </m:e>
          <m:sup>
            <m:r>
              <m:t>n</m:t>
            </m:r>
          </m:sup>
        </m:sSup>
      </m:oMath>
      <w:r>
        <w:t xml:space="preserve">).</w:t>
      </w:r>
    </w:p>
    <w:p>
      <w:pPr>
        <w:numPr>
          <w:ilvl w:val="0"/>
          <w:numId w:val="1963"/>
        </w:numPr>
        <w:pStyle w:val="Compact"/>
      </w:pPr>
      <w:r>
        <w:rPr>
          <w:bCs/>
          <w:b/>
        </w:rPr>
        <w:t xml:space="preserve">Joins</w:t>
      </w:r>
      <w:r>
        <w:t xml:space="preserve">: sort-merge shuffles both sides; broadcast copies the small side to every task and wins while</w:t>
      </w:r>
      <w:r>
        <w:t xml:space="preserve"> </w:t>
      </w:r>
      <m:oMath>
        <m:d>
          <m:dPr>
            <m:begChr m:val="|"/>
            <m:endChr m:val="|"/>
            <m:sepChr m:val=""/>
            <m:grow/>
          </m:dPr>
          <m:e>
            <m:r>
              <m:t>S</m:t>
            </m:r>
          </m:e>
        </m:d>
        <m:r>
          <m:rPr>
            <m:sty m:val="p"/>
          </m:rPr>
          <m:t>&lt;</m:t>
        </m:r>
        <m:d>
          <m:dPr>
            <m:begChr m:val="|"/>
            <m:endChr m:val="|"/>
            <m:sepChr m:val=""/>
            <m:grow/>
          </m:dPr>
          <m:e>
            <m:r>
              <m:t>L</m:t>
            </m:r>
          </m:e>
        </m:d>
        <m:r>
          <m:rPr>
            <m:sty m:val="p"/>
          </m:rPr>
          <m:t>/</m:t>
        </m:r>
        <m:d>
          <m:dPr>
            <m:begChr m:val="("/>
            <m:endChr m:val=")"/>
            <m:sepChr m:val=""/>
            <m:grow/>
          </m:dPr>
          <m:e>
            <m:r>
              <m:t>N</m:t>
            </m:r>
            <m:r>
              <m:rPr>
                <m:sty m:val="p"/>
              </m:rPr>
              <m:t>−</m:t>
            </m:r>
            <m:r>
              <m:t>1</m:t>
            </m:r>
          </m:e>
        </m:d>
      </m:oMath>
      <w:r>
        <w:t xml:space="preserve"> </w:t>
      </w:r>
      <w:r>
        <w:t xml:space="preserve">and</w:t>
      </w:r>
      <w:r>
        <w:t xml:space="preserve"> </w:t>
      </w:r>
      <m:oMath>
        <m:d>
          <m:dPr>
            <m:begChr m:val="|"/>
            <m:endChr m:val="|"/>
            <m:sepChr m:val=""/>
            <m:grow/>
          </m:dPr>
          <m:e>
            <m:r>
              <m:t>S</m:t>
            </m:r>
          </m:e>
        </m:d>
      </m:oMath>
      <w:r>
        <w:t xml:space="preserve"> </w:t>
      </w:r>
      <w:r>
        <w:t xml:space="preserve">fits in memory.</w:t>
      </w:r>
    </w:p>
    <w:p>
      <w:pPr>
        <w:numPr>
          <w:ilvl w:val="0"/>
          <w:numId w:val="1963"/>
        </w:numPr>
        <w:pStyle w:val="Compact"/>
      </w:pPr>
      <w:r>
        <w:rPr>
          <w:bCs/>
          <w:b/>
        </w:rPr>
        <w:t xml:space="preserve">Spark</w:t>
      </w:r>
      <w:r>
        <w:t xml:space="preserve">: RDD lineage replaces replication; narrow dependencies pipeline within a stage, wide dependencies end it with a shuffle. Cache reused data. DataFrames let Catalyst prune, push down and choose joins; Tungsten generates code; AQE re-plans at shuffle boundaries (coalesce, switch to broadcast, split skew).</w:t>
      </w:r>
    </w:p>
    <w:p>
      <w:pPr>
        <w:numPr>
          <w:ilvl w:val="0"/>
          <w:numId w:val="1963"/>
        </w:numPr>
        <w:pStyle w:val="Compact"/>
      </w:pPr>
      <w:r>
        <w:rPr>
          <w:bCs/>
          <w:b/>
        </w:rPr>
        <w:t xml:space="preserve">Shuffle</w:t>
      </w:r>
      <w:r>
        <w:t xml:space="preserve"> </w:t>
      </w:r>
      <w:r>
        <w:t xml:space="preserve">cost is set by the tightest of NIC, rack uplink and local disk; a 10 TB shuffle on 100 nodes needs about 100 s at best. A hot key with fraction</w:t>
      </w:r>
      <w:r>
        <w:t xml:space="preserve"> </w:t>
      </w:r>
      <m:oMath>
        <m:r>
          <m:t>f</m:t>
        </m:r>
      </m:oMath>
      <w:r>
        <w:t xml:space="preserve"> </w:t>
      </w:r>
      <w:r>
        <w:t xml:space="preserve">slows a stage by</w:t>
      </w:r>
      <w:r>
        <w:t xml:space="preserve"> </w:t>
      </w:r>
      <m:oMath>
        <m:r>
          <m:t>f</m:t>
        </m:r>
        <m:r>
          <m:t>P</m:t>
        </m:r>
      </m:oMath>
      <w:r>
        <w:t xml:space="preserve">; salt hot keys and aggregate in two stages.</w:t>
      </w:r>
    </w:p>
    <w:p>
      <w:pPr>
        <w:numPr>
          <w:ilvl w:val="0"/>
          <w:numId w:val="1963"/>
        </w:numPr>
        <w:pStyle w:val="Compact"/>
      </w:pPr>
      <w:r>
        <w:rPr>
          <w:bCs/>
          <w:b/>
        </w:rPr>
        <w:t xml:space="preserve">Locality</w:t>
      </w:r>
      <w:r>
        <w:t xml:space="preserve"> </w:t>
      </w:r>
      <w:r>
        <w:t xml:space="preserve">mattered when networks were slow; today compute and storage are disaggregated.</w:t>
      </w:r>
    </w:p>
    <w:p>
      <w:pPr>
        <w:numPr>
          <w:ilvl w:val="0"/>
          <w:numId w:val="1963"/>
        </w:numPr>
        <w:pStyle w:val="Compact"/>
      </w:pPr>
      <w:r>
        <w:rPr>
          <w:bCs/>
          <w:b/>
        </w:rPr>
        <w:t xml:space="preserve">Streams</w:t>
      </w:r>
      <w:r>
        <w:t xml:space="preserve">: group by event time; windows are tumbling, sliding or session; watermarks trade latency (</w:t>
      </w:r>
      <m:oMath>
        <m:r>
          <m:t>δ</m:t>
        </m:r>
      </m:oMath>
      <w:r>
        <w:t xml:space="preserve">) against late data (</w:t>
      </w:r>
      <m:oMath>
        <m:r>
          <m:rPr>
            <m:sty m:val="p"/>
          </m:rPr>
          <m:t>∝</m:t>
        </m:r>
        <m:sSup>
          <m:e>
            <m:r>
              <m:t>e</m:t>
            </m:r>
          </m:e>
          <m:sup>
            <m:r>
              <m:rPr>
                <m:sty m:val="p"/>
              </m:rPr>
              <m:t>−</m:t>
            </m:r>
            <m:r>
              <m:t>δ</m:t>
            </m:r>
            <m:r>
              <m:rPr>
                <m:sty m:val="p"/>
              </m:rPr>
              <m:t>/</m:t>
            </m:r>
            <m:r>
              <m:t>μ</m:t>
            </m:r>
          </m:sup>
        </m:sSup>
      </m:oMath>
      <w:r>
        <w:t xml:space="preserve">); triggers and accumulation modes say when and how results are emitted; allowed lateness bounds state.</w:t>
      </w:r>
    </w:p>
    <w:p>
      <w:pPr>
        <w:numPr>
          <w:ilvl w:val="0"/>
          <w:numId w:val="1963"/>
        </w:numPr>
        <w:pStyle w:val="Compact"/>
      </w:pPr>
      <w:r>
        <w:rPr>
          <w:bCs/>
          <w:b/>
        </w:rPr>
        <w:t xml:space="preserve">Flink</w:t>
      </w:r>
      <w:r>
        <w:t xml:space="preserve">: JobManager and TaskManagers; keyed state in key groups; RocksDB for large state; asynchronous barrier snapshots give exactly-once state; savepoints enable upgrades and rescaling. Checkpoint interval trades overhead against catch-up time and sink latency.</w:t>
      </w:r>
    </w:p>
    <w:p>
      <w:pPr>
        <w:numPr>
          <w:ilvl w:val="0"/>
          <w:numId w:val="1963"/>
        </w:numPr>
        <w:pStyle w:val="Compact"/>
      </w:pPr>
      <w:r>
        <w:rPr>
          <w:bCs/>
          <w:b/>
        </w:rPr>
        <w:t xml:space="preserve">Lambda</w:t>
      </w:r>
      <w:r>
        <w:t xml:space="preserve"> </w:t>
      </w:r>
      <w:r>
        <w:t xml:space="preserve">duplicates logic for freshness plus correctness;</w:t>
      </w:r>
      <w:r>
        <w:t xml:space="preserve"> </w:t>
      </w:r>
      <w:r>
        <w:rPr>
          <w:bCs/>
          <w:b/>
        </w:rPr>
        <w:t xml:space="preserve">Kappa</w:t>
      </w:r>
      <w:r>
        <w:t xml:space="preserve"> </w:t>
      </w:r>
      <w:r>
        <w:t xml:space="preserve">reprocesses by replay. Spark leads for batch, Flink for low-latency stateful streaming; Beam provides portability.</w:t>
      </w:r>
    </w:p>
    <w:bookmarkEnd w:id="3328"/>
    <w:bookmarkStart w:id="3329" w:name="knowledge-checkpoint-28"/>
    <w:p>
      <w:pPr>
        <w:pStyle w:val="Heading2"/>
      </w:pPr>
      <w:r>
        <w:t xml:space="preserve">29.13 Knowledge checkpoint</w:t>
      </w:r>
    </w:p>
    <w:p>
      <w:pPr>
        <w:numPr>
          <w:ilvl w:val="0"/>
          <w:numId w:val="1964"/>
        </w:numPr>
        <w:pStyle w:val="Compact"/>
      </w:pPr>
      <w:r>
        <w:t xml:space="preserve">Why do immutable inputs make batch fault tolerance simple?</w:t>
      </w:r>
    </w:p>
    <w:p>
      <w:pPr>
        <w:numPr>
          <w:ilvl w:val="0"/>
          <w:numId w:val="1964"/>
        </w:numPr>
        <w:pStyle w:val="Compact"/>
      </w:pPr>
      <w:r>
        <w:t xml:space="preserve">List the steps between a map function’s output and a reduce function’s input.</w:t>
      </w:r>
    </w:p>
    <w:p>
      <w:pPr>
        <w:numPr>
          <w:ilvl w:val="0"/>
          <w:numId w:val="1964"/>
        </w:numPr>
        <w:pStyle w:val="Compact"/>
      </w:pPr>
      <w:r>
        <w:t xml:space="preserve">When may the reduce function be used as a combiner?</w:t>
      </w:r>
    </w:p>
    <w:p>
      <w:pPr>
        <w:numPr>
          <w:ilvl w:val="0"/>
          <w:numId w:val="1964"/>
        </w:numPr>
        <w:pStyle w:val="Compact"/>
      </w:pPr>
      <w:r>
        <w:t xml:space="preserve">A phase has 2,000 tasks and each is a straggler with probability 0.0005. What is the chance of at least one straggler?</w:t>
      </w:r>
    </w:p>
    <w:p>
      <w:pPr>
        <w:numPr>
          <w:ilvl w:val="0"/>
          <w:numId w:val="1964"/>
        </w:numPr>
        <w:pStyle w:val="Compact"/>
      </w:pPr>
      <w:r>
        <w:t xml:space="preserve">Using the join-cost formula, should you broadcast a 1 GB table to 200 executors when the other side is 500 GB?</w:t>
      </w:r>
    </w:p>
    <w:p>
      <w:pPr>
        <w:numPr>
          <w:ilvl w:val="0"/>
          <w:numId w:val="1964"/>
        </w:numPr>
        <w:pStyle w:val="Compact"/>
      </w:pPr>
      <w:r>
        <w:t xml:space="preserve">What is the difference between a narrow and a wide dependency, and why does it define stage boundaries?</w:t>
      </w:r>
    </w:p>
    <w:p>
      <w:pPr>
        <w:numPr>
          <w:ilvl w:val="0"/>
          <w:numId w:val="1964"/>
        </w:numPr>
        <w:pStyle w:val="Compact"/>
      </w:pPr>
      <w:r>
        <w:t xml:space="preserve">What three things can Adaptive Query Execution change at run time?</w:t>
      </w:r>
    </w:p>
    <w:p>
      <w:pPr>
        <w:numPr>
          <w:ilvl w:val="0"/>
          <w:numId w:val="1964"/>
        </w:numPr>
        <w:pStyle w:val="Compact"/>
      </w:pPr>
      <w:r>
        <w:t xml:space="preserve">A hot key carries 10% of rows over 400 partitions. What is the skew ratio, and what is it with a salt of 20?</w:t>
      </w:r>
    </w:p>
    <w:p>
      <w:pPr>
        <w:numPr>
          <w:ilvl w:val="0"/>
          <w:numId w:val="1964"/>
        </w:numPr>
        <w:pStyle w:val="Compact"/>
      </w:pPr>
      <w:r>
        <w:t xml:space="preserve">Define event time, processing time and watermark.</w:t>
      </w:r>
    </w:p>
    <w:p>
      <w:pPr>
        <w:numPr>
          <w:ilvl w:val="0"/>
          <w:numId w:val="1964"/>
        </w:numPr>
        <w:pStyle w:val="Compact"/>
      </w:pPr>
      <w:r>
        <w:t xml:space="preserve">For</w:t>
      </w:r>
      <w:r>
        <w:t xml:space="preserve"> </w:t>
      </w:r>
      <m:oMath>
        <m:r>
          <m:t>μ</m:t>
        </m:r>
        <m:r>
          <m:rPr>
            <m:sty m:val="p"/>
          </m:rPr>
          <m:t>=</m:t>
        </m:r>
        <m:r>
          <m:t>3</m:t>
        </m:r>
      </m:oMath>
      <w:r>
        <w:t xml:space="preserve"> </w:t>
      </w:r>
      <w:r>
        <w:t xml:space="preserve">s,</w:t>
      </w:r>
      <w:r>
        <w:t xml:space="preserve"> </w:t>
      </w:r>
      <m:oMath>
        <m:r>
          <m:t>W</m:t>
        </m:r>
        <m:r>
          <m:rPr>
            <m:sty m:val="p"/>
          </m:rPr>
          <m:t>=</m:t>
        </m:r>
        <m:r>
          <m:t>60</m:t>
        </m:r>
      </m:oMath>
      <w:r>
        <w:t xml:space="preserve"> </w:t>
      </w:r>
      <w:r>
        <w:t xml:space="preserve">s and</w:t>
      </w:r>
      <w:r>
        <w:t xml:space="preserve"> </w:t>
      </w:r>
      <m:oMath>
        <m:r>
          <m:t>δ</m:t>
        </m:r>
        <m:r>
          <m:rPr>
            <m:sty m:val="p"/>
          </m:rPr>
          <m:t>=</m:t>
        </m:r>
        <m:r>
          <m:t>6</m:t>
        </m:r>
      </m:oMath>
      <w:r>
        <w:t xml:space="preserve"> </w:t>
      </w:r>
      <w:r>
        <w:t xml:space="preserve">s, what fraction of events misses its window?</w:t>
      </w:r>
    </w:p>
    <w:p>
      <w:pPr>
        <w:numPr>
          <w:ilvl w:val="0"/>
          <w:numId w:val="1964"/>
        </w:numPr>
        <w:pStyle w:val="Compact"/>
      </w:pPr>
      <w:r>
        <w:t xml:space="preserve">What do allowed lateness and side outputs each protect against?</w:t>
      </w:r>
    </w:p>
    <w:p>
      <w:pPr>
        <w:numPr>
          <w:ilvl w:val="0"/>
          <w:numId w:val="1964"/>
        </w:numPr>
        <w:pStyle w:val="Compact"/>
      </w:pPr>
      <w:r>
        <w:t xml:space="preserve">Why does a two-input Flink operator align barriers, and what do unaligned checkpoints change?</w:t>
      </w:r>
    </w:p>
    <w:p>
      <w:pPr>
        <w:numPr>
          <w:ilvl w:val="0"/>
          <w:numId w:val="1964"/>
        </w:numPr>
        <w:pStyle w:val="Compact"/>
      </w:pPr>
      <w:r>
        <w:t xml:space="preserve">What is the main cost of Lambda that Kappa removes, and what does Kappa require instead?</w:t>
      </w:r>
    </w:p>
    <w:p>
      <w:pPr>
        <w:pStyle w:val="FirstParagraph"/>
      </w:pPr>
      <w:r>
        <w:t xml:space="preserve">Answers</w:t>
      </w:r>
    </w:p>
    <w:p>
      <w:pPr>
        <w:numPr>
          <w:ilvl w:val="0"/>
          <w:numId w:val="1965"/>
        </w:numPr>
        <w:pStyle w:val="Compact"/>
      </w:pPr>
      <w:r>
        <w:t xml:space="preserve">A task’s output depends only on its input, so rerunning it gives the same result; no undo or coordination is needed.</w:t>
      </w:r>
    </w:p>
    <w:p>
      <w:pPr>
        <w:numPr>
          <w:ilvl w:val="0"/>
          <w:numId w:val="1965"/>
        </w:numPr>
        <w:pStyle w:val="Compact"/>
      </w:pPr>
      <w:r>
        <w:t xml:space="preserve">Partitioning by key, buffering, sorting by (partition, key), optional combining, spilling and merging on the map side; fetching (shuffle) and merge-sorting on the reduce side.</w:t>
      </w:r>
    </w:p>
    <w:p>
      <w:pPr>
        <w:numPr>
          <w:ilvl w:val="0"/>
          <w:numId w:val="1965"/>
        </w:numPr>
        <w:pStyle w:val="Compact"/>
      </w:pPr>
      <w:r>
        <w:t xml:space="preserve">When the operation is associative and commutative and its input and output types match, so applying it zero or more times to partial groups does not change the result.</w:t>
      </w:r>
    </w:p>
    <w:p>
      <w:pPr>
        <w:numPr>
          <w:ilvl w:val="0"/>
          <w:numId w:val="1965"/>
        </w:numPr>
        <w:pStyle w:val="Compact"/>
      </w:pPr>
      <m:oMath>
        <m:r>
          <m:t>1</m:t>
        </m:r>
        <m:r>
          <m:rPr>
            <m:sty m:val="p"/>
          </m:rPr>
          <m:t>−</m:t>
        </m:r>
        <m:sSup>
          <m:e>
            <m:r>
              <m:t>e</m:t>
            </m:r>
          </m:e>
          <m:sup>
            <m:r>
              <m:rPr>
                <m:sty m:val="p"/>
              </m:rPr>
              <m:t>−</m:t>
            </m:r>
            <m:r>
              <m:t>2</m:t>
            </m:r>
            <m:r>
              <m:rPr>
                <m:sty m:val="p"/>
              </m:rPr>
              <m:t>,</m:t>
            </m:r>
            <m:r>
              <m:t>000</m:t>
            </m:r>
            <m:r>
              <m:rPr>
                <m:sty m:val="p"/>
              </m:rPr>
              <m:t>×</m:t>
            </m:r>
            <m:r>
              <m:t>0.0005</m:t>
            </m:r>
          </m:sup>
        </m:sSup>
        <m:r>
          <m:rPr>
            <m:sty m:val="p"/>
          </m:rPr>
          <m:t>=</m:t>
        </m:r>
        <m:r>
          <m:t>1</m:t>
        </m:r>
        <m:r>
          <m:rPr>
            <m:sty m:val="p"/>
          </m:rPr>
          <m:t>−</m:t>
        </m:r>
        <m:sSup>
          <m:e>
            <m:r>
              <m:t>e</m:t>
            </m:r>
          </m:e>
          <m:sup>
            <m:r>
              <m:rPr>
                <m:sty m:val="p"/>
              </m:rPr>
              <m:t>−</m:t>
            </m:r>
            <m:r>
              <m:t>1</m:t>
            </m:r>
          </m:sup>
        </m:sSup>
        <m:r>
          <m:rPr>
            <m:sty m:val="p"/>
          </m:rPr>
          <m:t>=</m:t>
        </m:r>
        <m:r>
          <m:t>0.63</m:t>
        </m:r>
      </m:oMath>
      <w:r>
        <w:t xml:space="preserve">.</w:t>
      </w:r>
    </w:p>
    <w:p>
      <w:pPr>
        <w:numPr>
          <w:ilvl w:val="0"/>
          <w:numId w:val="1965"/>
        </w:numPr>
        <w:pStyle w:val="Compact"/>
      </w:pPr>
      <w:r>
        <w:t xml:space="preserve">Broadcast moves</w:t>
      </w:r>
      <w:r>
        <w:t xml:space="preserve"> </w:t>
      </w:r>
      <m:oMath>
        <m:r>
          <m:t>1</m:t>
        </m:r>
        <m:r>
          <m:rPr>
            <m:sty m:val="p"/>
          </m:rPr>
          <m:t>×</m:t>
        </m:r>
        <m:r>
          <m:t>199</m:t>
        </m:r>
        <m:r>
          <m:rPr>
            <m:sty m:val="p"/>
          </m:rPr>
          <m:t>=</m:t>
        </m:r>
        <m:r>
          <m:t>199</m:t>
        </m:r>
      </m:oMath>
      <w:r>
        <w:t xml:space="preserve"> </w:t>
      </w:r>
      <w:r>
        <w:t xml:space="preserve">GB; shuffle moves about</w:t>
      </w:r>
      <w:r>
        <w:t xml:space="preserve"> </w:t>
      </w:r>
      <m:oMath>
        <m:r>
          <m:t>501</m:t>
        </m:r>
        <m:r>
          <m:rPr>
            <m:sty m:val="p"/>
          </m:rPr>
          <m:t>×</m:t>
        </m:r>
        <m:r>
          <m:t>0.995</m:t>
        </m:r>
        <m:r>
          <m:rPr>
            <m:sty m:val="p"/>
          </m:rPr>
          <m:t>=</m:t>
        </m:r>
        <m:r>
          <m:t>499</m:t>
        </m:r>
      </m:oMath>
      <w:r>
        <w:t xml:space="preserve"> </w:t>
      </w:r>
      <w:r>
        <w:t xml:space="preserve">GB. Broadcast is cheaper if 1 GB fits comfortably in each executor’s memory.</w:t>
      </w:r>
    </w:p>
    <w:p>
      <w:pPr>
        <w:numPr>
          <w:ilvl w:val="0"/>
          <w:numId w:val="1965"/>
        </w:numPr>
        <w:pStyle w:val="Compact"/>
      </w:pPr>
      <w:r>
        <w:t xml:space="preserve">Narrow: each parent partition feeds at most one child partition, so operators pipeline in one task. Wide: a child needs many parents, requiring a shuffle and a barrier, so the scheduler starts a new stage.</w:t>
      </w:r>
    </w:p>
    <w:p>
      <w:pPr>
        <w:numPr>
          <w:ilvl w:val="0"/>
          <w:numId w:val="1965"/>
        </w:numPr>
        <w:pStyle w:val="Compact"/>
      </w:pPr>
      <w:r>
        <w:t xml:space="preserve">It coalesces small shuffle partitions, converts a sort-merge join to a broadcast join, and splits skewed join partitions.</w:t>
      </w:r>
    </w:p>
    <w:p>
      <w:pPr>
        <w:numPr>
          <w:ilvl w:val="0"/>
          <w:numId w:val="1965"/>
        </w:numPr>
        <w:pStyle w:val="Compact"/>
      </w:pPr>
      <m:oMath>
        <m:r>
          <m:t>0.1</m:t>
        </m:r>
        <m:r>
          <m:rPr>
            <m:sty m:val="p"/>
          </m:rPr>
          <m:t>×</m:t>
        </m:r>
        <m:r>
          <m:t>400</m:t>
        </m:r>
        <m:r>
          <m:rPr>
            <m:sty m:val="p"/>
          </m:rPr>
          <m:t>+</m:t>
        </m:r>
        <m:r>
          <m:t>0.9</m:t>
        </m:r>
        <m:r>
          <m:rPr>
            <m:sty m:val="p"/>
          </m:rPr>
          <m:t>=</m:t>
        </m:r>
        <m:r>
          <m:t>40.9</m:t>
        </m:r>
      </m:oMath>
      <w:r>
        <w:t xml:space="preserve">; with salt 20:</w:t>
      </w:r>
      <w:r>
        <w:t xml:space="preserve"> </w:t>
      </w:r>
      <m:oMath>
        <m:r>
          <m:t>40</m:t>
        </m:r>
        <m:r>
          <m:rPr>
            <m:sty m:val="p"/>
          </m:rPr>
          <m:t>/</m:t>
        </m:r>
        <m:r>
          <m:t>20</m:t>
        </m:r>
        <m:r>
          <m:rPr>
            <m:sty m:val="p"/>
          </m:rPr>
          <m:t>+</m:t>
        </m:r>
        <m:r>
          <m:t>0.9</m:t>
        </m:r>
        <m:r>
          <m:rPr>
            <m:sty m:val="p"/>
          </m:rPr>
          <m:t>=</m:t>
        </m:r>
        <m:r>
          <m:t>2.9</m:t>
        </m:r>
      </m:oMath>
      <w:r>
        <w:t xml:space="preserve">.</w:t>
      </w:r>
    </w:p>
    <w:p>
      <w:pPr>
        <w:numPr>
          <w:ilvl w:val="0"/>
          <w:numId w:val="1965"/>
        </w:numPr>
        <w:pStyle w:val="Compact"/>
      </w:pPr>
      <w:r>
        <w:t xml:space="preserve">Event time: when the event happened. Processing time: when the system observes it. Watermark: an assertion that no events with earlier event time are expected.</w:t>
      </w:r>
    </w:p>
    <w:p>
      <w:pPr>
        <w:numPr>
          <w:ilvl w:val="0"/>
          <w:numId w:val="1965"/>
        </w:numPr>
        <w:pStyle w:val="Compact"/>
      </w:pPr>
      <m:oMath>
        <m:d>
          <m:dPr>
            <m:begChr m:val="("/>
            <m:endChr m:val=")"/>
            <m:sepChr m:val=""/>
            <m:grow/>
          </m:dPr>
          <m:e>
            <m:r>
              <m:t>3</m:t>
            </m:r>
            <m:r>
              <m:rPr>
                <m:sty m:val="p"/>
              </m:rPr>
              <m:t>/</m:t>
            </m:r>
            <m:r>
              <m:t>60</m:t>
            </m:r>
          </m:e>
        </m:d>
        <m:r>
          <m:t> </m:t>
        </m:r>
        <m:sSup>
          <m:e>
            <m:r>
              <m:t>e</m:t>
            </m:r>
          </m:e>
          <m:sup>
            <m:r>
              <m:rPr>
                <m:sty m:val="p"/>
              </m:rPr>
              <m:t>−</m:t>
            </m:r>
            <m:r>
              <m:t>2</m:t>
            </m:r>
          </m:sup>
        </m:sSup>
        <m:d>
          <m:dPr>
            <m:begChr m:val="("/>
            <m:endChr m:val=")"/>
            <m:sepChr m:val=""/>
            <m:grow/>
          </m:dPr>
          <m:e>
            <m:r>
              <m:t>1</m:t>
            </m:r>
            <m:r>
              <m:rPr>
                <m:sty m:val="p"/>
              </m:rPr>
              <m:t>−</m:t>
            </m:r>
            <m:sSup>
              <m:e>
                <m:r>
                  <m:t>e</m:t>
                </m:r>
              </m:e>
              <m:sup>
                <m:r>
                  <m:rPr>
                    <m:sty m:val="p"/>
                  </m:rPr>
                  <m:t>−</m:t>
                </m:r>
                <m:r>
                  <m:t>20</m:t>
                </m:r>
              </m:sup>
            </m:sSup>
          </m:e>
        </m:d>
        <m:r>
          <m:rPr>
            <m:sty m:val="p"/>
          </m:rPr>
          <m:t>=</m:t>
        </m:r>
        <m:r>
          <m:t>0.05</m:t>
        </m:r>
        <m:r>
          <m:rPr>
            <m:sty m:val="p"/>
          </m:rPr>
          <m:t>×</m:t>
        </m:r>
        <m:r>
          <m:t>0.135</m:t>
        </m:r>
        <m:r>
          <m:rPr>
            <m:sty m:val="p"/>
          </m:rPr>
          <m:t>=</m:t>
        </m:r>
        <m:r>
          <m:t>0.68</m:t>
        </m:r>
        <m:r>
          <m:rPr>
            <m:sty m:val="p"/>
          </m:rPr>
          <m:t>%</m:t>
        </m:r>
      </m:oMath>
      <w:r>
        <w:t xml:space="preserve">.</w:t>
      </w:r>
    </w:p>
    <w:p>
      <w:pPr>
        <w:numPr>
          <w:ilvl w:val="0"/>
          <w:numId w:val="1965"/>
        </w:numPr>
        <w:pStyle w:val="Compact"/>
      </w:pPr>
      <w:r>
        <w:t xml:space="preserve">Allowed lateness bounds state retention while still updating results for moderately late data; side outputs keep events that arrive later still from being silently lost.</w:t>
      </w:r>
    </w:p>
    <w:p>
      <w:pPr>
        <w:numPr>
          <w:ilvl w:val="0"/>
          <w:numId w:val="1965"/>
        </w:numPr>
        <w:pStyle w:val="Compact"/>
      </w:pPr>
      <w:r>
        <w:t xml:space="preserve">So that the snapshot reflects exactly the records before the barrier on every input. Unaligned checkpoints let barriers overtake buffered records and save in-flight data, avoiding long alignment under backpressure.</w:t>
      </w:r>
    </w:p>
    <w:p>
      <w:pPr>
        <w:numPr>
          <w:ilvl w:val="0"/>
          <w:numId w:val="1965"/>
        </w:numPr>
        <w:pStyle w:val="Compact"/>
      </w:pPr>
      <w:r>
        <w:t xml:space="preserve">Lambda maintains the same logic in two systems; Kappa needs a correct stream engine and a log retaining enough history to replay fast enough.</w:t>
      </w:r>
    </w:p>
    <w:bookmarkEnd w:id="3329"/>
    <w:bookmarkStart w:id="3333" w:name="interview-questions-28"/>
    <w:p>
      <w:pPr>
        <w:pStyle w:val="Heading2"/>
      </w:pPr>
      <w:r>
        <w:t xml:space="preserve">29.14 Interview questions</w:t>
      </w:r>
    </w:p>
    <w:bookmarkStart w:id="3330" w:name="basic-28"/>
    <w:p>
      <w:pPr>
        <w:pStyle w:val="Heading3"/>
      </w:pPr>
      <w:r>
        <w:t xml:space="preserve">Basic</w:t>
      </w:r>
    </w:p>
    <w:p>
      <w:pPr>
        <w:pStyle w:val="FirstParagraph"/>
      </w:pPr>
      <w:r>
        <w:rPr>
          <w:bCs/>
          <w:b/>
        </w:rPr>
        <w:t xml:space="preserve">Q1. Explain MapReduce with word count.</w:t>
      </w:r>
      <w:r>
        <w:t xml:space="preserve"> </w:t>
      </w:r>
      <w:r>
        <w:rPr>
          <w:bCs/>
          <w:b/>
        </w:rPr>
        <w:t xml:space="preserve">Answer.</w:t>
      </w:r>
      <w:r>
        <w:t xml:space="preserve"> </w:t>
      </w:r>
      <w:r>
        <w:t xml:space="preserve">Map emits</w:t>
      </w:r>
      <w:r>
        <w:t xml:space="preserve"> </w:t>
      </w:r>
      <w:r>
        <w:rPr>
          <w:rStyle w:val="VerbatimChar"/>
        </w:rPr>
        <w:t xml:space="preserve">(word, 1)</w:t>
      </w:r>
      <w:r>
        <w:t xml:space="preserve"> </w:t>
      </w:r>
      <w:r>
        <w:t xml:space="preserve">per word; a combiner sums locally; pairs are hash-partitioned by word, sorted and shuffled so every count for a word reaches one reducer, which sums them and writes the result. Failed tasks rerun because inputs are immutable.</w:t>
      </w:r>
    </w:p>
    <w:p>
      <w:pPr>
        <w:pStyle w:val="BodyText"/>
      </w:pPr>
      <w:r>
        <w:rPr>
          <w:bCs/>
          <w:b/>
        </w:rPr>
        <w:t xml:space="preserve">Q2. Why is Spark faster than MapReduce for iterative jobs?</w:t>
      </w:r>
      <w:r>
        <w:t xml:space="preserve"> </w:t>
      </w:r>
      <w:r>
        <w:rPr>
          <w:bCs/>
          <w:b/>
        </w:rPr>
        <w:t xml:space="preserve">Answer.</w:t>
      </w:r>
      <w:r>
        <w:t xml:space="preserve"> </w:t>
      </w:r>
      <w:r>
        <w:t xml:space="preserve">MapReduce writes each job’s output to replicated storage and rereads it; Spark keeps reused datasets in memory, pipelines narrow transformations within a stage, and recovers lost partitions from lineage rather than replicas. Catalyst and code generation add CPU efficiency for DataFrames.</w:t>
      </w:r>
    </w:p>
    <w:bookmarkEnd w:id="3330"/>
    <w:bookmarkStart w:id="3331" w:name="intermediate-28"/>
    <w:p>
      <w:pPr>
        <w:pStyle w:val="Heading3"/>
      </w:pPr>
      <w:r>
        <w:t xml:space="preserve">Intermediate</w:t>
      </w:r>
    </w:p>
    <w:p>
      <w:pPr>
        <w:pStyle w:val="FirstParagraph"/>
      </w:pPr>
      <w:r>
        <w:rPr>
          <w:bCs/>
          <w:b/>
        </w:rPr>
        <w:t xml:space="preserve">Q3. A Spark job’s last task runs for an hour while others take a minute. Diagnose and fix.</w:t>
      </w:r>
      <w:r>
        <w:t xml:space="preserve"> </w:t>
      </w:r>
      <w:r>
        <w:rPr>
          <w:bCs/>
          <w:b/>
        </w:rPr>
        <w:t xml:space="preserve">Answer.</w:t>
      </w:r>
      <w:r>
        <w:t xml:space="preserve"> </w:t>
      </w:r>
      <w:r>
        <w:t xml:space="preserve">Check the stage’s task-duration and shuffle-read-size distributions. If one task reads far more data, it is key skew: find hot keys by sampling, filter junk keys, enable AQE skew-join handling, or salt and aggregate in two stages; broadcast the small side if one exists. If sizes are equal, it is a straggling node: enable speculation and check that machine.</w:t>
      </w:r>
    </w:p>
    <w:p>
      <w:pPr>
        <w:pStyle w:val="BodyText"/>
      </w:pPr>
      <w:r>
        <w:rPr>
          <w:bCs/>
          <w:b/>
        </w:rPr>
        <w:t xml:space="preserve">Q4. Design per-minute click counts per page from mobile clients with delayed uploads.</w:t>
      </w:r>
      <w:r>
        <w:t xml:space="preserve"> </w:t>
      </w:r>
      <w:r>
        <w:rPr>
          <w:bCs/>
          <w:b/>
        </w:rPr>
        <w:t xml:space="preserve">Answer.</w:t>
      </w:r>
      <w:r>
        <w:t xml:space="preserve"> </w:t>
      </w:r>
      <w:r>
        <w:t xml:space="preserve">Key by page, one-minute tumbling event-time windows, a bounded-out-of-orderness watermark (for example 10 s from measured delay), allowed lateness of hours with accumulating late firings upserted by (page, window), a side output for later events, a nightly batch reconciliation if needed, Kafka source with checkpointed offsets, and an idempotent or transactional sink.</w:t>
      </w:r>
    </w:p>
    <w:bookmarkEnd w:id="3331"/>
    <w:bookmarkStart w:id="3332" w:name="advanced-28"/>
    <w:p>
      <w:pPr>
        <w:pStyle w:val="Heading3"/>
      </w:pPr>
      <w:r>
        <w:t xml:space="preserve">Advanced</w:t>
      </w:r>
    </w:p>
    <w:p>
      <w:pPr>
        <w:pStyle w:val="FirstParagraph"/>
      </w:pPr>
      <w:r>
        <w:rPr>
          <w:bCs/>
          <w:b/>
        </w:rPr>
        <w:t xml:space="preserve">Q5. How does Flink provide exactly-once results end to end with Kafka?</w:t>
      </w:r>
      <w:r>
        <w:t xml:space="preserve"> </w:t>
      </w:r>
      <w:r>
        <w:rPr>
          <w:bCs/>
          <w:b/>
        </w:rPr>
        <w:t xml:space="preserve">Answer.</w:t>
      </w:r>
      <w:r>
        <w:t xml:space="preserve"> </w:t>
      </w:r>
      <w:r>
        <w:t xml:space="preserve">Sources store Kafka offsets in checkpoints; barriers create consistent snapshots of all operator state; on failure, state and offsets roll back together. The Kafka sink writes inside a transaction per checkpoint, pre-commits on the barrier, and commits when the checkpoint completes; consumers read with</w:t>
      </w:r>
      <w:r>
        <w:t xml:space="preserve"> </w:t>
      </w:r>
      <w:r>
        <w:rPr>
          <w:rStyle w:val="VerbatimChar"/>
        </w:rPr>
        <w:t xml:space="preserve">read_committed</w:t>
      </w:r>
      <w:r>
        <w:t xml:space="preserve">. External side effects outside this protocol still need idempotency keys.</w:t>
      </w:r>
    </w:p>
    <w:p>
      <w:pPr>
        <w:pStyle w:val="BodyText"/>
      </w:pPr>
      <w:r>
        <w:rPr>
          <w:bCs/>
          <w:b/>
        </w:rPr>
        <w:t xml:space="preserve">Q6. Estimate the shuffle time of a 20 TB join on 200 nodes with 25 Gb/s NICs, 10 racks and 4:1 oversubscription.</w:t>
      </w:r>
      <w:r>
        <w:t xml:space="preserve"> </w:t>
      </w:r>
      <w:r>
        <w:rPr>
          <w:bCs/>
          <w:b/>
        </w:rPr>
        <w:t xml:space="preserve">Answer.</w:t>
      </w:r>
      <w:r>
        <w:t xml:space="preserve"> </w:t>
      </w:r>
      <w:r>
        <w:t xml:space="preserve">NIC: about 100 GB per node at 2.19 GB/s ≈ 46 s. Uplinks (10 racks of 20): cross-rack</w:t>
      </w:r>
      <w:r>
        <w:t xml:space="preserve"> </w:t>
      </w:r>
      <m:oMath>
        <m:r>
          <m:t>20</m:t>
        </m:r>
        <m:r>
          <m:rPr>
            <m:sty m:val="p"/>
          </m:rPr>
          <m:t>×</m:t>
        </m:r>
        <m:r>
          <m:t>0.9</m:t>
        </m:r>
        <m:r>
          <m:rPr>
            <m:sty m:val="p"/>
          </m:rPr>
          <m:t>=</m:t>
        </m:r>
        <m:r>
          <m:t>18</m:t>
        </m:r>
      </m:oMath>
      <w:r>
        <w:t xml:space="preserve"> </w:t>
      </w:r>
      <w:r>
        <w:t xml:space="preserve">TB, 1.8 TB per rack through</w:t>
      </w:r>
      <w:r>
        <w:t xml:space="preserve"> </w:t>
      </w:r>
      <m:oMath>
        <m:r>
          <m:t>20</m:t>
        </m:r>
        <m:r>
          <m:rPr>
            <m:sty m:val="p"/>
          </m:rPr>
          <m:t>×</m:t>
        </m:r>
        <m:r>
          <m:t>3.125</m:t>
        </m:r>
        <m:r>
          <m:rPr>
            <m:sty m:val="p"/>
          </m:rPr>
          <m:t>/</m:t>
        </m:r>
        <m:r>
          <m:t>4</m:t>
        </m:r>
        <m:r>
          <m:rPr>
            <m:sty m:val="p"/>
          </m:rPr>
          <m:t>=</m:t>
        </m:r>
        <m:r>
          <m:t>15.6</m:t>
        </m:r>
      </m:oMath>
      <w:r>
        <w:t xml:space="preserve"> </w:t>
      </w:r>
      <w:r>
        <w:t xml:space="preserve">GB/s ≈ 115 s. Disk (2 GB/s): 200 GB per node ≈ 100 s. Bound ≈ 2 minutes; expect 4–6 minutes. Then question the shuffle: can one side be broadcast or pre-bucketed?</w:t>
      </w:r>
    </w:p>
    <w:bookmarkEnd w:id="3332"/>
    <w:bookmarkEnd w:id="3333"/>
    <w:bookmarkStart w:id="3334" w:name="practical-exercises-28"/>
    <w:p>
      <w:pPr>
        <w:pStyle w:val="Heading2"/>
      </w:pPr>
      <w:r>
        <w:t xml:space="preserve">29.15 Practical exercises</w:t>
      </w:r>
    </w:p>
    <w:p>
      <w:pPr>
        <w:numPr>
          <w:ilvl w:val="0"/>
          <w:numId w:val="1966"/>
        </w:numPr>
        <w:pStyle w:val="Compact"/>
      </w:pPr>
      <w:r>
        <w:t xml:space="preserve">Extend the mini MapReduce engine with a range partitioner built from a sample, and verify that concatenating reducer outputs gives globally sorted keys.</w:t>
      </w:r>
    </w:p>
    <w:p>
      <w:pPr>
        <w:numPr>
          <w:ilvl w:val="0"/>
          <w:numId w:val="1966"/>
        </w:numPr>
        <w:pStyle w:val="Compact"/>
      </w:pPr>
      <w:r>
        <w:t xml:space="preserve">Add speculative execution to the engine: give each map task a random duration with 1% stragglers at 5×, and measure job time with and without backup tasks.</w:t>
      </w:r>
    </w:p>
    <w:p>
      <w:pPr>
        <w:numPr>
          <w:ilvl w:val="0"/>
          <w:numId w:val="1966"/>
        </w:numPr>
        <w:pStyle w:val="Compact"/>
      </w:pPr>
      <w:r>
        <w:t xml:space="preserve">Run the PySpark program with</w:t>
      </w:r>
      <w:r>
        <w:t xml:space="preserve"> </w:t>
      </w:r>
      <w:r>
        <w:rPr>
          <w:rStyle w:val="VerbatimChar"/>
        </w:rPr>
        <w:t xml:space="preserve">spark.sql.autoBroadcastJoinThreshold=-1</w:t>
      </w:r>
      <w:r>
        <w:t xml:space="preserve"> </w:t>
      </w:r>
      <w:r>
        <w:t xml:space="preserve">and without the broadcast hint; compare the physical plans and count the</w:t>
      </w:r>
      <w:r>
        <w:t xml:space="preserve"> </w:t>
      </w:r>
      <w:r>
        <w:rPr>
          <w:rStyle w:val="VerbatimChar"/>
        </w:rPr>
        <w:t xml:space="preserve">Exchange</w:t>
      </w:r>
      <w:r>
        <w:t xml:space="preserve"> </w:t>
      </w:r>
      <w:r>
        <w:t xml:space="preserve">operators.</w:t>
      </w:r>
    </w:p>
    <w:p>
      <w:pPr>
        <w:numPr>
          <w:ilvl w:val="0"/>
          <w:numId w:val="1966"/>
        </w:numPr>
        <w:pStyle w:val="Compact"/>
      </w:pPr>
      <w:r>
        <w:t xml:space="preserve">Add session windows (gap</w:t>
      </w:r>
      <w:r>
        <w:t xml:space="preserve"> </w:t>
      </w:r>
      <m:oMath>
        <m:r>
          <m:t>g</m:t>
        </m:r>
      </m:oMath>
      <w:r>
        <w:t xml:space="preserve">) to the windowing simulator, including merging two sessions when a late event bridges them.</w:t>
      </w:r>
    </w:p>
    <w:p>
      <w:pPr>
        <w:numPr>
          <w:ilvl w:val="0"/>
          <w:numId w:val="1966"/>
        </w:numPr>
        <w:pStyle w:val="Compact"/>
      </w:pPr>
      <w:r>
        <w:t xml:space="preserve">Rerun the simulator with lognormal delays of the same mean and compare the late fraction with the exponential model.</w:t>
      </w:r>
    </w:p>
    <w:bookmarkEnd w:id="3334"/>
    <w:bookmarkStart w:id="3335" w:name="design-challenges-28"/>
    <w:p>
      <w:pPr>
        <w:pStyle w:val="Heading2"/>
      </w:pPr>
      <w:r>
        <w:t xml:space="preserve">29.16 Design challenges</w:t>
      </w:r>
    </w:p>
    <w:p>
      <w:pPr>
        <w:numPr>
          <w:ilvl w:val="0"/>
          <w:numId w:val="1967"/>
        </w:numPr>
        <w:pStyle w:val="Compact"/>
      </w:pPr>
      <w:r>
        <w:rPr>
          <w:bCs/>
          <w:b/>
        </w:rPr>
        <w:t xml:space="preserve">Daily training-set build.</w:t>
      </w:r>
      <w:r>
        <w:t xml:space="preserve"> </w:t>
      </w:r>
      <w:r>
        <w:t xml:space="preserve">50 TB of events must be joined with a 200 GB user table and a 2 GB product table and aggregated into per-user features by 06:00 each day. Choose join strategies, partition counts and cluster size, and estimate run time and shuffle volume.</w:t>
      </w:r>
    </w:p>
    <w:p>
      <w:pPr>
        <w:numPr>
          <w:ilvl w:val="0"/>
          <w:numId w:val="1967"/>
        </w:numPr>
        <w:pStyle w:val="Compact"/>
      </w:pPr>
      <w:r>
        <w:rPr>
          <w:bCs/>
          <w:b/>
        </w:rPr>
        <w:t xml:space="preserve">Real-time fraud features.</w:t>
      </w:r>
      <w:r>
        <w:t xml:space="preserve"> </w:t>
      </w:r>
      <w:r>
        <w:t xml:space="preserve">Compute per-card counts and amounts over 1-minute, 1-hour and 24-hour sliding windows for 300,000 events/s with p99 freshness under 5 s. Choose the engine, state backend, watermark, checkpoint interval and sink, and size the state.</w:t>
      </w:r>
    </w:p>
    <w:bookmarkEnd w:id="3335"/>
    <w:bookmarkStart w:id="3336" w:name="references-28"/>
    <w:p>
      <w:pPr>
        <w:pStyle w:val="Heading2"/>
      </w:pPr>
      <w:r>
        <w:t xml:space="preserve">29.17 References</w:t>
      </w:r>
    </w:p>
    <w:p>
      <w:pPr>
        <w:numPr>
          <w:ilvl w:val="0"/>
          <w:numId w:val="1968"/>
        </w:numPr>
        <w:pStyle w:val="Compact"/>
      </w:pPr>
      <w:r>
        <w:t xml:space="preserve">Akidau, T., et al. </w:t>
      </w:r>
      <w:r>
        <w:t xml:space="preserve">“</w:t>
      </w:r>
      <w:r>
        <w:t xml:space="preserve">MillWheel: Fault-Tolerant Stream Processing at Internet Scale.</w:t>
      </w:r>
      <w:r>
        <w:t xml:space="preserve">”</w:t>
      </w:r>
      <w:r>
        <w:t xml:space="preserve"> </w:t>
      </w:r>
      <w:r>
        <w:rPr>
          <w:iCs/>
          <w:i/>
        </w:rPr>
        <w:t xml:space="preserve">Proceedings of the VLDB Endowment</w:t>
      </w:r>
      <w:r>
        <w:t xml:space="preserve"> </w:t>
      </w:r>
      <w:r>
        <w:t xml:space="preserve">6(11), 2013.</w:t>
      </w:r>
    </w:p>
    <w:p>
      <w:pPr>
        <w:numPr>
          <w:ilvl w:val="0"/>
          <w:numId w:val="1968"/>
        </w:numPr>
        <w:pStyle w:val="Compact"/>
      </w:pPr>
      <w:r>
        <w:t xml:space="preserve">Akidau, T., et al. </w:t>
      </w:r>
      <w:r>
        <w:t xml:space="preserve">“</w:t>
      </w:r>
      <w:r>
        <w:t xml:space="preserve">The Dataflow Model: A Practical Approach to Balancing Correctness, Latency, and Cost in Massive-Scale, Unbounded, Out-of-Order Data Processing.</w:t>
      </w:r>
      <w:r>
        <w:t xml:space="preserve">”</w:t>
      </w:r>
      <w:r>
        <w:t xml:space="preserve"> </w:t>
      </w:r>
      <w:r>
        <w:rPr>
          <w:iCs/>
          <w:i/>
        </w:rPr>
        <w:t xml:space="preserve">Proceedings of the VLDB Endowment</w:t>
      </w:r>
      <w:r>
        <w:t xml:space="preserve"> </w:t>
      </w:r>
      <w:r>
        <w:t xml:space="preserve">8(12), 2015.</w:t>
      </w:r>
    </w:p>
    <w:p>
      <w:pPr>
        <w:numPr>
          <w:ilvl w:val="0"/>
          <w:numId w:val="1968"/>
        </w:numPr>
        <w:pStyle w:val="Compact"/>
      </w:pPr>
      <w:r>
        <w:t xml:space="preserve">Akidau, T., Chernyak, S., Lax, R.</w:t>
      </w:r>
      <w:r>
        <w:t xml:space="preserve"> </w:t>
      </w:r>
      <w:r>
        <w:rPr>
          <w:iCs/>
          <w:i/>
        </w:rPr>
        <w:t xml:space="preserve">Streaming Systems</w:t>
      </w:r>
      <w:r>
        <w:t xml:space="preserve">. O’Reilly Media, 2018.</w:t>
      </w:r>
    </w:p>
    <w:p>
      <w:pPr>
        <w:numPr>
          <w:ilvl w:val="0"/>
          <w:numId w:val="1968"/>
        </w:numPr>
        <w:pStyle w:val="Compact"/>
      </w:pPr>
      <w:r>
        <w:t xml:space="preserve">Apache Flink.</w:t>
      </w:r>
      <w:r>
        <w:t xml:space="preserve"> </w:t>
      </w:r>
      <w:r>
        <w:rPr>
          <w:iCs/>
          <w:i/>
        </w:rPr>
        <w:t xml:space="preserve">Documentation: Flink Architecture; State Backends; Checkpointing; Savepoints</w:t>
      </w:r>
      <w:r>
        <w:t xml:space="preserve">. https://nightlies.apache.org/flink/</w:t>
      </w:r>
    </w:p>
    <w:p>
      <w:pPr>
        <w:numPr>
          <w:ilvl w:val="0"/>
          <w:numId w:val="1968"/>
        </w:numPr>
        <w:pStyle w:val="Compact"/>
      </w:pPr>
      <w:r>
        <w:t xml:space="preserve">Apache Spark.</w:t>
      </w:r>
      <w:r>
        <w:t xml:space="preserve"> </w:t>
      </w:r>
      <w:r>
        <w:rPr>
          <w:iCs/>
          <w:i/>
        </w:rPr>
        <w:t xml:space="preserve">Documentation: Performance Tuning (Adaptive Query Execution); Configuration; RDD Programming Guide; Structured Streaming Programming Guide</w:t>
      </w:r>
      <w:r>
        <w:t xml:space="preserve">. https://spark.apache.org/docs/latest/</w:t>
      </w:r>
    </w:p>
    <w:p>
      <w:pPr>
        <w:numPr>
          <w:ilvl w:val="0"/>
          <w:numId w:val="1968"/>
        </w:numPr>
        <w:pStyle w:val="Compact"/>
      </w:pPr>
      <w:r>
        <w:t xml:space="preserve">Armbrust, M., et al. </w:t>
      </w:r>
      <w:r>
        <w:t xml:space="preserve">“</w:t>
      </w:r>
      <w:r>
        <w:t xml:space="preserve">Spark SQL: Relational Data Processing in Spark.</w:t>
      </w:r>
      <w:r>
        <w:t xml:space="preserve">”</w:t>
      </w:r>
      <w:r>
        <w:t xml:space="preserve"> </w:t>
      </w:r>
      <w:r>
        <w:rPr>
          <w:iCs/>
          <w:i/>
        </w:rPr>
        <w:t xml:space="preserve">ACM SIGMOD</w:t>
      </w:r>
      <w:r>
        <w:t xml:space="preserve">, 2015.</w:t>
      </w:r>
    </w:p>
    <w:p>
      <w:pPr>
        <w:numPr>
          <w:ilvl w:val="0"/>
          <w:numId w:val="1968"/>
        </w:numPr>
        <w:pStyle w:val="Compact"/>
      </w:pPr>
      <w:r>
        <w:t xml:space="preserve">Armbrust, M., et al. </w:t>
      </w:r>
      <w:r>
        <w:t xml:space="preserve">“</w:t>
      </w:r>
      <w:r>
        <w:t xml:space="preserve">Structured Streaming: A Declarative API for Real-Time Applications in Apache Spark.</w:t>
      </w:r>
      <w:r>
        <w:t xml:space="preserve">”</w:t>
      </w:r>
      <w:r>
        <w:t xml:space="preserve"> </w:t>
      </w:r>
      <w:r>
        <w:rPr>
          <w:iCs/>
          <w:i/>
        </w:rPr>
        <w:t xml:space="preserve">ACM SIGMOD</w:t>
      </w:r>
      <w:r>
        <w:t xml:space="preserve">, 2018.</w:t>
      </w:r>
    </w:p>
    <w:p>
      <w:pPr>
        <w:numPr>
          <w:ilvl w:val="0"/>
          <w:numId w:val="1968"/>
        </w:numPr>
        <w:pStyle w:val="Compact"/>
      </w:pPr>
      <w:r>
        <w:t xml:space="preserve">Boykin, O., et al. </w:t>
      </w:r>
      <w:r>
        <w:t xml:space="preserve">“</w:t>
      </w:r>
      <w:r>
        <w:t xml:space="preserve">Summingbird: A Framework for Integrating Batch and Online MapReduce Computations.</w:t>
      </w:r>
      <w:r>
        <w:t xml:space="preserve">”</w:t>
      </w:r>
      <w:r>
        <w:t xml:space="preserve"> </w:t>
      </w:r>
      <w:r>
        <w:rPr>
          <w:iCs/>
          <w:i/>
        </w:rPr>
        <w:t xml:space="preserve">Proceedings of the VLDB Endowment</w:t>
      </w:r>
      <w:r>
        <w:t xml:space="preserve"> </w:t>
      </w:r>
      <w:r>
        <w:t xml:space="preserve">7(13), 2014.</w:t>
      </w:r>
    </w:p>
    <w:p>
      <w:pPr>
        <w:numPr>
          <w:ilvl w:val="0"/>
          <w:numId w:val="1968"/>
        </w:numPr>
        <w:pStyle w:val="Compact"/>
      </w:pPr>
      <w:r>
        <w:t xml:space="preserve">Carbone, P., et al. </w:t>
      </w:r>
      <w:r>
        <w:t xml:space="preserve">“</w:t>
      </w:r>
      <w:r>
        <w:t xml:space="preserve">Apache Flink: Stream and Batch Processing in a Single Engine.</w:t>
      </w:r>
      <w:r>
        <w:t xml:space="preserve">”</w:t>
      </w:r>
      <w:r>
        <w:t xml:space="preserve"> </w:t>
      </w:r>
      <w:r>
        <w:rPr>
          <w:iCs/>
          <w:i/>
        </w:rPr>
        <w:t xml:space="preserve">Bulletin of the IEEE Computer Society Technical Committee on Data Engineering</w:t>
      </w:r>
      <w:r>
        <w:t xml:space="preserve"> </w:t>
      </w:r>
      <w:r>
        <w:t xml:space="preserve">38(4), 2015. (Carbone et al. 2015a)</w:t>
      </w:r>
    </w:p>
    <w:p>
      <w:pPr>
        <w:numPr>
          <w:ilvl w:val="0"/>
          <w:numId w:val="1968"/>
        </w:numPr>
        <w:pStyle w:val="Compact"/>
      </w:pPr>
      <w:r>
        <w:t xml:space="preserve">Carbone, P., et al. </w:t>
      </w:r>
      <w:r>
        <w:t xml:space="preserve">“</w:t>
      </w:r>
      <w:r>
        <w:t xml:space="preserve">Lightweight Asynchronous Snapshots for Distributed Dataflows.</w:t>
      </w:r>
      <w:r>
        <w:t xml:space="preserve">”</w:t>
      </w:r>
      <w:r>
        <w:t xml:space="preserve"> </w:t>
      </w:r>
      <w:r>
        <w:t xml:space="preserve">arXiv:1506.08603, 2015. (Carbone et al. 2015b)</w:t>
      </w:r>
    </w:p>
    <w:p>
      <w:pPr>
        <w:numPr>
          <w:ilvl w:val="0"/>
          <w:numId w:val="1968"/>
        </w:numPr>
        <w:pStyle w:val="Compact"/>
      </w:pPr>
      <w:r>
        <w:t xml:space="preserve">Carbone, P., et al. </w:t>
      </w:r>
      <w:r>
        <w:t xml:space="preserve">“</w:t>
      </w:r>
      <w:r>
        <w:t xml:space="preserve">State Management in Apache Flink: Consistent Stateful Distributed Stream Processing.</w:t>
      </w:r>
      <w:r>
        <w:t xml:space="preserve">”</w:t>
      </w:r>
      <w:r>
        <w:t xml:space="preserve"> </w:t>
      </w:r>
      <w:r>
        <w:rPr>
          <w:iCs/>
          <w:i/>
        </w:rPr>
        <w:t xml:space="preserve">Proceedings of the VLDB Endowment</w:t>
      </w:r>
      <w:r>
        <w:t xml:space="preserve"> </w:t>
      </w:r>
      <w:r>
        <w:t xml:space="preserve">10(12), 2017.</w:t>
      </w:r>
    </w:p>
    <w:p>
      <w:pPr>
        <w:numPr>
          <w:ilvl w:val="0"/>
          <w:numId w:val="1968"/>
        </w:numPr>
        <w:pStyle w:val="Compact"/>
      </w:pPr>
      <w:r>
        <w:t xml:space="preserve">Chandy, K. M., Lamport, L.</w:t>
      </w:r>
      <w:r>
        <w:t xml:space="preserve"> </w:t>
      </w:r>
      <w:r>
        <w:t xml:space="preserve">“</w:t>
      </w:r>
      <w:r>
        <w:t xml:space="preserve">Distributed Snapshots: Determining Global States of Distributed Systems.</w:t>
      </w:r>
      <w:r>
        <w:t xml:space="preserve">”</w:t>
      </w:r>
      <w:r>
        <w:t xml:space="preserve"> </w:t>
      </w:r>
      <w:r>
        <w:rPr>
          <w:iCs/>
          <w:i/>
        </w:rPr>
        <w:t xml:space="preserve">ACM Transactions on Computer Systems</w:t>
      </w:r>
      <w:r>
        <w:t xml:space="preserve"> </w:t>
      </w:r>
      <w:r>
        <w:t xml:space="preserve">3(1):63–75, 1985.</w:t>
      </w:r>
    </w:p>
    <w:p>
      <w:pPr>
        <w:numPr>
          <w:ilvl w:val="0"/>
          <w:numId w:val="1968"/>
        </w:numPr>
        <w:pStyle w:val="Compact"/>
      </w:pPr>
      <w:r>
        <w:t xml:space="preserve">Dean, J., Ghemawat, S.</w:t>
      </w:r>
      <w:r>
        <w:t xml:space="preserve"> </w:t>
      </w:r>
      <w:r>
        <w:t xml:space="preserve">“</w:t>
      </w:r>
      <w:r>
        <w:t xml:space="preserve">MapReduce: Simplified Data Processing on Large Clusters.</w:t>
      </w:r>
      <w:r>
        <w:t xml:space="preserve">”</w:t>
      </w:r>
      <w:r>
        <w:t xml:space="preserve"> </w:t>
      </w:r>
      <w:r>
        <w:rPr>
          <w:iCs/>
          <w:i/>
        </w:rPr>
        <w:t xml:space="preserve">USENIX OSDI</w:t>
      </w:r>
      <w:r>
        <w:t xml:space="preserve">, 2004.</w:t>
      </w:r>
    </w:p>
    <w:p>
      <w:pPr>
        <w:numPr>
          <w:ilvl w:val="0"/>
          <w:numId w:val="1968"/>
        </w:numPr>
        <w:pStyle w:val="Compact"/>
      </w:pPr>
      <w:r>
        <w:t xml:space="preserve">Kleppmann, M.</w:t>
      </w:r>
      <w:r>
        <w:t xml:space="preserve"> </w:t>
      </w:r>
      <w:r>
        <w:rPr>
          <w:iCs/>
          <w:i/>
        </w:rPr>
        <w:t xml:space="preserve">Designing Data-Intensive Applications</w:t>
      </w:r>
      <w:r>
        <w:t xml:space="preserve">, ch. 10–11. O’Reilly Media, 2017.</w:t>
      </w:r>
    </w:p>
    <w:p>
      <w:pPr>
        <w:numPr>
          <w:ilvl w:val="0"/>
          <w:numId w:val="1968"/>
        </w:numPr>
        <w:pStyle w:val="Compact"/>
      </w:pPr>
      <w:r>
        <w:t xml:space="preserve">Kreps, J.</w:t>
      </w:r>
      <w:r>
        <w:t xml:space="preserve"> </w:t>
      </w:r>
      <w:r>
        <w:t xml:space="preserve">“</w:t>
      </w:r>
      <w:r>
        <w:t xml:space="preserve">Questioning the Lambda Architecture.</w:t>
      </w:r>
      <w:r>
        <w:t xml:space="preserve">”</w:t>
      </w:r>
      <w:r>
        <w:t xml:space="preserve"> </w:t>
      </w:r>
      <w:r>
        <w:t xml:space="preserve">O’Reilly Radar, 2014. https://www.oreilly.com/radar/questioning-the-lambda-architecture/</w:t>
      </w:r>
    </w:p>
    <w:p>
      <w:pPr>
        <w:numPr>
          <w:ilvl w:val="0"/>
          <w:numId w:val="1968"/>
        </w:numPr>
        <w:pStyle w:val="Compact"/>
      </w:pPr>
      <w:r>
        <w:t xml:space="preserve">Marz, N., Warren, J.</w:t>
      </w:r>
      <w:r>
        <w:t xml:space="preserve"> </w:t>
      </w:r>
      <w:r>
        <w:rPr>
          <w:iCs/>
          <w:i/>
        </w:rPr>
        <w:t xml:space="preserve">Big Data: Principles and Best Practices of Scalable Realtime Data Systems</w:t>
      </w:r>
      <w:r>
        <w:t xml:space="preserve">. Manning, 2015.</w:t>
      </w:r>
    </w:p>
    <w:p>
      <w:pPr>
        <w:numPr>
          <w:ilvl w:val="0"/>
          <w:numId w:val="1968"/>
        </w:numPr>
        <w:pStyle w:val="Compact"/>
      </w:pPr>
      <w:r>
        <w:t xml:space="preserve">Shen, M., Zhou, Y., Singh, C.</w:t>
      </w:r>
      <w:r>
        <w:t xml:space="preserve"> </w:t>
      </w:r>
      <w:r>
        <w:t xml:space="preserve">“</w:t>
      </w:r>
      <w:r>
        <w:t xml:space="preserve">Magnet: Push-based Shuffle Service for Large-scale Data Processing.</w:t>
      </w:r>
      <w:r>
        <w:t xml:space="preserve">”</w:t>
      </w:r>
      <w:r>
        <w:t xml:space="preserve"> </w:t>
      </w:r>
      <w:r>
        <w:rPr>
          <w:iCs/>
          <w:i/>
        </w:rPr>
        <w:t xml:space="preserve">Proceedings of the VLDB Endowment</w:t>
      </w:r>
      <w:r>
        <w:t xml:space="preserve"> </w:t>
      </w:r>
      <w:r>
        <w:t xml:space="preserve">13(12), 2020.</w:t>
      </w:r>
    </w:p>
    <w:p>
      <w:pPr>
        <w:numPr>
          <w:ilvl w:val="0"/>
          <w:numId w:val="1968"/>
        </w:numPr>
        <w:pStyle w:val="Compact"/>
      </w:pPr>
      <w:r>
        <w:t xml:space="preserve">Xin, R.</w:t>
      </w:r>
      <w:r>
        <w:t xml:space="preserve"> </w:t>
      </w:r>
      <w:r>
        <w:t xml:space="preserve">“</w:t>
      </w:r>
      <w:r>
        <w:t xml:space="preserve">Apache Spark Officially Sets a New Record in Large-Scale Sorting.</w:t>
      </w:r>
      <w:r>
        <w:t xml:space="preserve">”</w:t>
      </w:r>
      <w:r>
        <w:t xml:space="preserve"> </w:t>
      </w:r>
      <w:r>
        <w:t xml:space="preserve">Databricks Blog, 2014.</w:t>
      </w:r>
    </w:p>
    <w:p>
      <w:pPr>
        <w:numPr>
          <w:ilvl w:val="0"/>
          <w:numId w:val="1968"/>
        </w:numPr>
        <w:pStyle w:val="Compact"/>
      </w:pPr>
      <w:r>
        <w:t xml:space="preserve">Young, J. W.</w:t>
      </w:r>
      <w:r>
        <w:t xml:space="preserve"> </w:t>
      </w:r>
      <w:r>
        <w:t xml:space="preserve">“</w:t>
      </w:r>
      <w:r>
        <w:t xml:space="preserve">A First Order Approximation to the Optimum Checkpoint Interval.</w:t>
      </w:r>
      <w:r>
        <w:t xml:space="preserve">”</w:t>
      </w:r>
      <w:r>
        <w:t xml:space="preserve"> </w:t>
      </w:r>
      <w:r>
        <w:rPr>
          <w:iCs/>
          <w:i/>
        </w:rPr>
        <w:t xml:space="preserve">Communications of the ACM</w:t>
      </w:r>
      <w:r>
        <w:t xml:space="preserve"> </w:t>
      </w:r>
      <w:r>
        <w:t xml:space="preserve">17(9):530–531, 1974.</w:t>
      </w:r>
    </w:p>
    <w:p>
      <w:pPr>
        <w:numPr>
          <w:ilvl w:val="0"/>
          <w:numId w:val="1968"/>
        </w:numPr>
        <w:pStyle w:val="Compact"/>
      </w:pPr>
      <w:r>
        <w:t xml:space="preserve">Zaharia, M., et al. </w:t>
      </w:r>
      <w:r>
        <w:t xml:space="preserve">“</w:t>
      </w:r>
      <w:r>
        <w:t xml:space="preserve">Improving MapReduce Performance in Heterogeneous Environments.</w:t>
      </w:r>
      <w:r>
        <w:t xml:space="preserve">”</w:t>
      </w:r>
      <w:r>
        <w:t xml:space="preserve"> </w:t>
      </w:r>
      <w:r>
        <w:rPr>
          <w:iCs/>
          <w:i/>
        </w:rPr>
        <w:t xml:space="preserve">USENIX OSDI</w:t>
      </w:r>
      <w:r>
        <w:t xml:space="preserve">, 2008.</w:t>
      </w:r>
    </w:p>
    <w:p>
      <w:pPr>
        <w:numPr>
          <w:ilvl w:val="0"/>
          <w:numId w:val="1968"/>
        </w:numPr>
        <w:pStyle w:val="Compact"/>
      </w:pPr>
      <w:r>
        <w:t xml:space="preserve">Zaharia, M., et al. </w:t>
      </w:r>
      <w:r>
        <w:t xml:space="preserve">“</w:t>
      </w:r>
      <w:r>
        <w:t xml:space="preserve">Delay Scheduling: A Simple Technique for Achieving Locality and Fairness in Cluster Scheduling.</w:t>
      </w:r>
      <w:r>
        <w:t xml:space="preserve">”</w:t>
      </w:r>
      <w:r>
        <w:t xml:space="preserve"> </w:t>
      </w:r>
      <w:r>
        <w:rPr>
          <w:iCs/>
          <w:i/>
        </w:rPr>
        <w:t xml:space="preserve">EuroSys</w:t>
      </w:r>
      <w:r>
        <w:t xml:space="preserve">, 2010.</w:t>
      </w:r>
    </w:p>
    <w:p>
      <w:pPr>
        <w:numPr>
          <w:ilvl w:val="0"/>
          <w:numId w:val="1968"/>
        </w:numPr>
        <w:pStyle w:val="Compact"/>
      </w:pPr>
      <w:r>
        <w:t xml:space="preserve">Zaharia, M., et al. </w:t>
      </w:r>
      <w:r>
        <w:t xml:space="preserve">“</w:t>
      </w:r>
      <w:r>
        <w:t xml:space="preserve">Resilient Distributed Datasets: A Fault-Tolerant Abstraction for In-Memory Cluster Computing.</w:t>
      </w:r>
      <w:r>
        <w:t xml:space="preserve">”</w:t>
      </w:r>
      <w:r>
        <w:t xml:space="preserve"> </w:t>
      </w:r>
      <w:r>
        <w:rPr>
          <w:iCs/>
          <w:i/>
        </w:rPr>
        <w:t xml:space="preserve">USENIX NSDI</w:t>
      </w:r>
      <w:r>
        <w:t xml:space="preserve">, 2012.</w:t>
      </w:r>
    </w:p>
    <w:p>
      <w:pPr>
        <w:numPr>
          <w:ilvl w:val="0"/>
          <w:numId w:val="1968"/>
        </w:numPr>
        <w:pStyle w:val="Compact"/>
      </w:pPr>
      <w:r>
        <w:t xml:space="preserve">Amazon Web Services.</w:t>
      </w:r>
      <w:r>
        <w:t xml:space="preserve"> </w:t>
      </w:r>
      <w:r>
        <w:rPr>
          <w:iCs/>
          <w:i/>
        </w:rPr>
        <w:t xml:space="preserve">Amazon S3 User Guide: Best practices design patterns — optimizing Amazon S3 performance</w:t>
      </w:r>
      <w:r>
        <w:t xml:space="preserve">. https://docs.aws.amazon.com/AmazonS3/latest/userguide/optimizing-performance.html</w:t>
      </w:r>
    </w:p>
    <w:bookmarkEnd w:id="3336"/>
    <w:bookmarkStart w:id="3337" w:name="open-verification-items-28"/>
    <w:p>
      <w:pPr>
        <w:pStyle w:val="Heading2"/>
      </w:pPr>
      <w:r>
        <w:t xml:space="preserve">29.18 Open verification items</w:t>
      </w:r>
    </w:p>
    <w:p>
      <w:pPr>
        <w:numPr>
          <w:ilvl w:val="0"/>
          <w:numId w:val="1969"/>
        </w:numPr>
        <w:pStyle w:val="Compact"/>
      </w:pPr>
      <w:r>
        <w:t xml:space="preserve">Dean and Ghemawat (2004) sort benchmark figures (891 s; 1,283 s without backup tasks; about 5% slower with 200 workers killed; ~1,800 machines).</w:t>
      </w:r>
    </w:p>
    <w:p>
      <w:pPr>
        <w:numPr>
          <w:ilvl w:val="0"/>
          <w:numId w:val="1969"/>
        </w:numPr>
        <w:pStyle w:val="Compact"/>
      </w:pPr>
      <w:r>
        <w:t xml:space="preserve">Xin (2014): 100 TB in 23 minutes on 206 machines versus 72 minutes on 2,100 machines; exact blog title and URL.</w:t>
      </w:r>
    </w:p>
    <w:p>
      <w:pPr>
        <w:numPr>
          <w:ilvl w:val="0"/>
          <w:numId w:val="1969"/>
        </w:numPr>
        <w:pStyle w:val="Compact"/>
      </w:pPr>
      <w:r>
        <w:t xml:space="preserve">Zaharia et al. (2012):</w:t>
      </w:r>
      <w:r>
        <w:t xml:space="preserve"> </w:t>
      </w:r>
      <w:r>
        <w:t xml:space="preserve">“</w:t>
      </w:r>
      <w:r>
        <w:t xml:space="preserve">up to 20×</w:t>
      </w:r>
      <w:r>
        <w:t xml:space="preserve">”</w:t>
      </w:r>
      <w:r>
        <w:t xml:space="preserve"> </w:t>
      </w:r>
      <w:r>
        <w:t xml:space="preserve">and</w:t>
      </w:r>
      <w:r>
        <w:t xml:space="preserve"> </w:t>
      </w:r>
      <w:r>
        <w:t xml:space="preserve">“</w:t>
      </w:r>
      <w:r>
        <w:t xml:space="preserve">5–7 s</w:t>
      </w:r>
      <w:r>
        <w:t xml:space="preserve">”</w:t>
      </w:r>
      <w:r>
        <w:t xml:space="preserve"> </w:t>
      </w:r>
      <w:r>
        <w:t xml:space="preserve">interactive figures.</w:t>
      </w:r>
    </w:p>
    <w:p>
      <w:pPr>
        <w:numPr>
          <w:ilvl w:val="0"/>
          <w:numId w:val="1969"/>
        </w:numPr>
        <w:pStyle w:val="Compact"/>
      </w:pPr>
      <w:r>
        <w:t xml:space="preserve">Magnet: Spark 3.2 as the release adding push-based shuffle; author list.</w:t>
      </w:r>
    </w:p>
    <w:p>
      <w:pPr>
        <w:numPr>
          <w:ilvl w:val="0"/>
          <w:numId w:val="1969"/>
        </w:numPr>
        <w:pStyle w:val="Compact"/>
      </w:pPr>
      <w:r>
        <w:t xml:space="preserve">Flink 2.0 ForSt disaggregated state backend status and naming (as of 2026); unaligned checkpoints introduced in 1.11.</w:t>
      </w:r>
    </w:p>
    <w:p>
      <w:pPr>
        <w:numPr>
          <w:ilvl w:val="0"/>
          <w:numId w:val="1969"/>
        </w:numPr>
        <w:pStyle w:val="Compact"/>
      </w:pPr>
      <w:r>
        <w:t xml:space="preserve">Spark Structured Streaming latency figures (~100 ms micro-batch, ~1 ms continuous) as stated in current docs.</w:t>
      </w:r>
    </w:p>
    <w:p>
      <w:pPr>
        <w:numPr>
          <w:ilvl w:val="0"/>
          <w:numId w:val="1969"/>
        </w:numPr>
        <w:pStyle w:val="Compact"/>
      </w:pPr>
      <w:r>
        <w:t xml:space="preserve">S3 per-prefix request-rate figures (as of 2026).</w:t>
      </w:r>
    </w:p>
    <w:bookmarkEnd w:id="3337"/>
    <w:bookmarkEnd w:id="3338"/>
    <w:bookmarkStart w:id="3351" w:name="Xb21fd76178f932e769817dfc4144bea520309b9"/>
    <w:p>
      <w:pPr>
        <w:pStyle w:val="Heading1"/>
      </w:pPr>
      <w:r>
        <w:t xml:space="preserve">Appendix E — Learning Roadmap and Proficiency Levels</w:t>
      </w:r>
    </w:p>
    <w:p>
      <w:pPr>
        <w:pStyle w:val="BlockText"/>
      </w:pPr>
      <w:r>
        <w:rPr>
          <w:bCs/>
          <w:b/>
        </w:rPr>
        <w:t xml:space="preserve">Deliverable 3.</w:t>
      </w:r>
      <w:r>
        <w:t xml:space="preserve"> </w:t>
      </w:r>
      <w:r>
        <w:t xml:space="preserve">This appendix turns the 93 chapters into a schedule. It defines five proficiency levels, what you must know and be able to do at each, and week-by-week milestones for three tracks: the full 12-month program, a 16-week interview track, and a 24-week ML/AI infrastructure track for working engineers.</w:t>
      </w:r>
    </w:p>
    <w:bookmarkStart w:id="3339" w:name="e.1-how-to-use-this-roadmap"/>
    <w:p>
      <w:pPr>
        <w:pStyle w:val="Heading2"/>
      </w:pPr>
      <w:r>
        <w:t xml:space="preserve">E.1 How to use this roadmap</w:t>
      </w:r>
    </w:p>
    <w:p>
      <w:pPr>
        <w:numPr>
          <w:ilvl w:val="0"/>
          <w:numId w:val="1970"/>
        </w:numPr>
        <w:pStyle w:val="Compact"/>
      </w:pPr>
      <w:r>
        <w:t xml:space="preserve">Find your starting level with the self-assessment in §E.3. Do not skip a level because a topic</w:t>
      </w:r>
      <w:r>
        <w:t xml:space="preserve"> </w:t>
      </w:r>
      <w:r>
        <w:t xml:space="preserve">“</w:t>
      </w:r>
      <w:r>
        <w:t xml:space="preserve">sounds familiar</w:t>
      </w:r>
      <w:r>
        <w:t xml:space="preserve">”</w:t>
      </w:r>
      <w:r>
        <w:t xml:space="preserve"> </w:t>
      </w:r>
      <w:r>
        <w:t xml:space="preserve">— the readiness criteria test whether you can</w:t>
      </w:r>
      <w:r>
        <w:t xml:space="preserve"> </w:t>
      </w:r>
      <w:r>
        <w:rPr>
          <w:iCs/>
          <w:i/>
        </w:rPr>
        <w:t xml:space="preserve">explain and apply</w:t>
      </w:r>
      <w:r>
        <w:t xml:space="preserve"> </w:t>
      </w:r>
      <w:r>
        <w:t xml:space="preserve">a concept, not whether you recognize its name.</w:t>
      </w:r>
    </w:p>
    <w:p>
      <w:pPr>
        <w:numPr>
          <w:ilvl w:val="0"/>
          <w:numId w:val="1970"/>
        </w:numPr>
        <w:pStyle w:val="Compact"/>
      </w:pPr>
      <w:r>
        <w:t xml:space="preserve">Pick a track (§E.4–E.6). Each week lists chapters, a hands-on task and a checkpoint. Budget the stated hours; if a week overruns, extend it rather than skipping the exercise — implementation is where understanding consolidates (Ch 3, §3.7).</w:t>
      </w:r>
    </w:p>
    <w:p>
      <w:pPr>
        <w:numPr>
          <w:ilvl w:val="0"/>
          <w:numId w:val="1970"/>
        </w:numPr>
        <w:pStyle w:val="Compact"/>
      </w:pPr>
      <w:r>
        <w:t xml:space="preserve">At the end of every month, run the month’s</w:t>
      </w:r>
      <w:r>
        <w:t xml:space="preserve"> </w:t>
      </w:r>
      <w:r>
        <w:rPr>
          <w:bCs/>
          <w:b/>
        </w:rPr>
        <w:t xml:space="preserve">milestone review</w:t>
      </w:r>
      <w:r>
        <w:t xml:space="preserve">: answer the knowledge checkpoints of each chapter from memory, redraw the month’s key architecture diagrams without notes, and solve one design challenge aloud in 45 minutes.</w:t>
      </w:r>
    </w:p>
    <w:p>
      <w:pPr>
        <w:numPr>
          <w:ilvl w:val="0"/>
          <w:numId w:val="1970"/>
        </w:numPr>
        <w:pStyle w:val="Compact"/>
      </w:pPr>
      <w:r>
        <w:t xml:space="preserve">Record progress in a design journal (template in Ch 3, §3.10).</w:t>
      </w:r>
    </w:p>
    <w:bookmarkEnd w:id="3339"/>
    <w:bookmarkStart w:id="3345" w:name="e.2-the-five-proficiency-levels"/>
    <w:p>
      <w:pPr>
        <w:pStyle w:val="Heading2"/>
      </w:pPr>
      <w:r>
        <w:t xml:space="preserve">E.2 The five proficiency levels</w:t>
      </w:r>
    </w:p>
    <w:p>
      <w:pPr>
        <w:pStyle w:val="FirstParagraph"/>
      </w:pPr>
      <w:r>
        <w:rPr>
          <w:bCs/>
          <w:b/>
        </w:rPr>
        <w:t xml:space="preserve">Figure E.1 — Proficiency ladder.</w:t>
      </w:r>
    </w:p>
    <w:p>
      <w:pPr>
        <w:pStyle w:val="CalloutWarning"/>
      </w:pPr>
      <w:r>
        <w:rPr>
          <w:bCs/>
          <w:b/>
        </w:rPr>
        <w:t xml:space="preserve">WARNING / TRADE-OFF</w:t>
      </w:r>
    </w:p>
    <w:p>
      <w:pPr>
        <w:pStyle w:val="CalloutWarning"/>
      </w:pPr>
      <w:r>
        <w:rPr>
          <w:bCs/>
          <w:b/>
        </w:rPr>
        <w:t xml:space="preserve">Diagram failed to render.</w:t>
      </w:r>
      <w:r>
        <w:t xml:space="preserve"> </w:t>
      </w:r>
      <w:r>
        <w:t xml:space="preserve">Source:</w:t>
      </w:r>
    </w:p>
    <w:p>
      <w:pPr>
        <w:pStyle w:val="SourceCode"/>
      </w:pPr>
      <w:r>
        <w:rPr>
          <w:rStyle w:val="VerbatimChar"/>
        </w:rPr>
        <w:t xml:space="preserve">flowchart LR</w:t>
      </w:r>
      <w:r>
        <w:br/>
      </w:r>
      <w:r>
        <w:rPr>
          <w:rStyle w:val="VerbatimChar"/>
        </w:rPr>
        <w:t xml:space="preserve">  L1["Level 1&lt;br/&gt;Absolute beginner"] --&gt; L2["Level 2&lt;br/&gt;Intermediate engineer"]</w:t>
      </w:r>
      <w:r>
        <w:br/>
      </w:r>
      <w:r>
        <w:rPr>
          <w:rStyle w:val="VerbatimChar"/>
        </w:rPr>
        <w:t xml:space="preserve">  L2 --&gt; L3["Level 3&lt;br/&gt;Advanced engineer"]</w:t>
      </w:r>
      <w:r>
        <w:br/>
      </w:r>
      <w:r>
        <w:rPr>
          <w:rStyle w:val="VerbatimChar"/>
        </w:rPr>
        <w:t xml:space="preserve">  L3 --&gt; L4["Level 4&lt;br/&gt;Senior / Staff"]</w:t>
      </w:r>
      <w:r>
        <w:br/>
      </w:r>
      <w:r>
        <w:rPr>
          <w:rStyle w:val="VerbatimChar"/>
        </w:rPr>
        <w:t xml:space="preserve">  L4 --&gt; L5["Level 5&lt;br/&gt;Expert / Principal"]</w:t>
      </w:r>
    </w:p>
    <w:p>
      <w:pPr>
        <w:pStyle w:val="FirstParagraph"/>
      </w:pPr>
      <w:r>
        <w:rPr>
          <w:bCs/>
          <w:b/>
        </w:rPr>
        <w:t xml:space="preserve">Reading the diagram.</w:t>
      </w:r>
      <w:r>
        <w:t xml:space="preserve"> </w:t>
      </w:r>
      <w:r>
        <w:t xml:space="preserve">The levels are cumulative: each assumes every competency of the previous one. The arrows are not time-boxed — a strong backend engineer may already sit at Level 3 for traditional systems but at Level 1 for ML infrastructure. Assess each track (A: traditional, B: ML/AI) separately.</w:t>
      </w:r>
    </w:p>
    <w:bookmarkStart w:id="3340" w:name="level-1-absolute-beginner"/>
    <w:p>
      <w:pPr>
        <w:pStyle w:val="Heading3"/>
      </w:pPr>
      <w:r>
        <w:t xml:space="preserve">Level 1 — Absolute beginner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Dimension</w:t>
            </w:r>
          </w:p>
        </w:tc>
        <w:tc>
          <w:tcPr/>
          <w:p>
            <w:pPr>
              <w:pStyle w:val="Compact"/>
              <w:jc w:val="left"/>
            </w:pPr>
            <w:r>
              <w:t xml:space="preserve">Definition</w:t>
            </w:r>
          </w:p>
        </w:tc>
      </w:tr>
      <w:tr>
        <w:tc>
          <w:tcPr/>
          <w:p>
            <w:pPr>
              <w:pStyle w:val="Compact"/>
              <w:jc w:val="left"/>
            </w:pPr>
            <w:r>
              <w:rPr>
                <w:bCs/>
                <w:b/>
              </w:rPr>
              <w:t xml:space="preserve">Required knowledge</w:t>
            </w:r>
          </w:p>
        </w:tc>
        <w:tc>
          <w:tcPr/>
          <w:p>
            <w:pPr>
              <w:pStyle w:val="Compact"/>
              <w:jc w:val="left"/>
            </w:pPr>
            <w:r>
              <w:t xml:space="preserve">Ch 1–8, 11, 35. What a client, server, API, database, process, thread, IP address, DNS lookup and HTTP request are; functional vs non-functional requirements; powers of ten and basic percentiles.</w:t>
            </w:r>
          </w:p>
        </w:tc>
      </w:tr>
      <w:tr>
        <w:tc>
          <w:tcPr/>
          <w:p>
            <w:pPr>
              <w:pStyle w:val="Compact"/>
              <w:jc w:val="left"/>
            </w:pPr>
            <w:r>
              <w:rPr>
                <w:bCs/>
                <w:b/>
              </w:rPr>
              <w:t xml:space="preserve">Expected competencies</w:t>
            </w:r>
          </w:p>
        </w:tc>
        <w:tc>
          <w:tcPr/>
          <w:p>
            <w:pPr>
              <w:pStyle w:val="Compact"/>
              <w:jc w:val="left"/>
            </w:pPr>
            <w:r>
              <w:t xml:space="preserve">Trace one HTTP request from browser to database and back, naming every hop. Write a CRUD REST API with a relational database. Model a simple domain in tables with primary/foreign keys. Do a back-of-the-envelope estimate of requests per second from daily active users.</w:t>
            </w:r>
          </w:p>
        </w:tc>
      </w:tr>
      <w:tr>
        <w:tc>
          <w:tcPr/>
          <w:p>
            <w:pPr>
              <w:pStyle w:val="Compact"/>
              <w:jc w:val="left"/>
            </w:pPr>
            <w:r>
              <w:rPr>
                <w:bCs/>
                <w:b/>
              </w:rPr>
              <w:t xml:space="preserve">Practical projects</w:t>
            </w:r>
          </w:p>
        </w:tc>
        <w:tc>
          <w:tcPr/>
          <w:p>
            <w:pPr>
              <w:pStyle w:val="Compact"/>
              <w:jc w:val="left"/>
            </w:pPr>
            <w:r>
              <w:t xml:space="preserve">P-01 REST API service; P-02 URL shortener (single node).</w:t>
            </w:r>
          </w:p>
        </w:tc>
      </w:tr>
      <w:tr>
        <w:tc>
          <w:tcPr/>
          <w:p>
            <w:pPr>
              <w:pStyle w:val="Compact"/>
              <w:jc w:val="left"/>
            </w:pPr>
            <w:r>
              <w:rPr>
                <w:bCs/>
                <w:b/>
              </w:rPr>
              <w:t xml:space="preserve">Architecture exercises</w:t>
            </w:r>
          </w:p>
        </w:tc>
        <w:tc>
          <w:tcPr/>
          <w:p>
            <w:pPr>
              <w:pStyle w:val="Compact"/>
              <w:jc w:val="left"/>
            </w:pPr>
            <w:r>
              <w:t xml:space="preserve">Draw a single-server web app; then add a load balancer and a second app server and explain what breaks (sessions).</w:t>
            </w:r>
          </w:p>
        </w:tc>
      </w:tr>
      <w:tr>
        <w:tc>
          <w:tcPr/>
          <w:p>
            <w:pPr>
              <w:pStyle w:val="Compact"/>
              <w:jc w:val="left"/>
            </w:pPr>
            <w:r>
              <w:rPr>
                <w:bCs/>
                <w:b/>
              </w:rPr>
              <w:t xml:space="preserve">Interview readiness</w:t>
            </w:r>
          </w:p>
        </w:tc>
        <w:tc>
          <w:tcPr/>
          <w:p>
            <w:pPr>
              <w:pStyle w:val="Compact"/>
              <w:jc w:val="left"/>
            </w:pPr>
            <w:r>
              <w:t xml:space="preserve">Not yet ready for system design rounds. Can answer</w:t>
            </w:r>
            <w:r>
              <w:t xml:space="preserve"> </w:t>
            </w:r>
            <w:r>
              <w:t xml:space="preserve">“</w:t>
            </w:r>
            <w:r>
              <w:t xml:space="preserve">what happens when you type a URL?</w:t>
            </w:r>
            <w:r>
              <w:t xml:space="preserve">”</w:t>
            </w:r>
            <w:r>
              <w:t xml:space="preserve"> </w:t>
            </w:r>
            <w:r>
              <w:t xml:space="preserve">thoroughly.</w:t>
            </w:r>
          </w:p>
        </w:tc>
      </w:tr>
      <w:tr>
        <w:tc>
          <w:tcPr/>
          <w:p>
            <w:pPr>
              <w:pStyle w:val="Compact"/>
              <w:jc w:val="left"/>
            </w:pPr>
            <w:r>
              <w:rPr>
                <w:bCs/>
                <w:b/>
              </w:rPr>
              <w:t xml:space="preserve">Explain independently</w:t>
            </w:r>
          </w:p>
        </w:tc>
        <w:tc>
          <w:tcPr/>
          <w:p>
            <w:pPr>
              <w:pStyle w:val="Compact"/>
              <w:jc w:val="left"/>
            </w:pPr>
            <w:r>
              <w:t xml:space="preserve">TCP vs UDP; what an index is and why it speeds reads but slows writes; what latency vs throughput mean; why HTTPS needs certificates.</w:t>
            </w:r>
          </w:p>
        </w:tc>
      </w:tr>
    </w:tbl>
    <w:bookmarkEnd w:id="3340"/>
    <w:bookmarkStart w:id="3341" w:name="level-2-intermediate-engineer"/>
    <w:p>
      <w:pPr>
        <w:pStyle w:val="Heading3"/>
      </w:pPr>
      <w:r>
        <w:t xml:space="preserve">Level 2 — Intermediate engineer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Dimension</w:t>
            </w:r>
          </w:p>
        </w:tc>
        <w:tc>
          <w:tcPr/>
          <w:p>
            <w:pPr>
              <w:pStyle w:val="Compact"/>
              <w:jc w:val="left"/>
            </w:pPr>
            <w:r>
              <w:t xml:space="preserve">Definition</w:t>
            </w:r>
          </w:p>
        </w:tc>
      </w:tr>
      <w:tr>
        <w:tc>
          <w:tcPr/>
          <w:p>
            <w:pPr>
              <w:pStyle w:val="Compact"/>
              <w:jc w:val="left"/>
            </w:pPr>
            <w:r>
              <w:rPr>
                <w:bCs/>
                <w:b/>
              </w:rPr>
              <w:t xml:space="preserve">Required knowledge</w:t>
            </w:r>
          </w:p>
        </w:tc>
        <w:tc>
          <w:tcPr/>
          <w:p>
            <w:pPr>
              <w:pStyle w:val="Compact"/>
              <w:jc w:val="left"/>
            </w:pPr>
            <w:r>
              <w:t xml:space="preserve">Ch 9–10, 12, 14, 17–22, 24, 30, 33, 36–37, 57. Replication, sharding, consistent hashing, caching patterns, CDNs, load-balancing algorithms, rate limiting, queues and pub/sub, monolith vs microservices, ML basics.</w:t>
            </w:r>
          </w:p>
        </w:tc>
      </w:tr>
      <w:tr>
        <w:tc>
          <w:tcPr/>
          <w:p>
            <w:pPr>
              <w:pStyle w:val="Compact"/>
              <w:jc w:val="left"/>
            </w:pPr>
            <w:r>
              <w:rPr>
                <w:bCs/>
                <w:b/>
              </w:rPr>
              <w:t xml:space="preserve">Expected competencies</w:t>
            </w:r>
          </w:p>
        </w:tc>
        <w:tc>
          <w:tcPr/>
          <w:p>
            <w:pPr>
              <w:pStyle w:val="Compact"/>
              <w:jc w:val="left"/>
            </w:pPr>
            <w:r>
              <w:t xml:space="preserve">Turn a vague prompt into numbered FRs/NFRs with targets. Estimate storage, bandwidth and RPS with peak factors. Choose SQL vs NoSQL with justification. Add a cache and explain invalidation and stampede protection. Design a rate limiter and pick an algorithm.</w:t>
            </w:r>
          </w:p>
        </w:tc>
      </w:tr>
      <w:tr>
        <w:tc>
          <w:tcPr/>
          <w:p>
            <w:pPr>
              <w:pStyle w:val="Compact"/>
              <w:jc w:val="left"/>
            </w:pPr>
            <w:r>
              <w:rPr>
                <w:bCs/>
                <w:b/>
              </w:rPr>
              <w:t xml:space="preserve">Practical projects</w:t>
            </w:r>
          </w:p>
        </w:tc>
        <w:tc>
          <w:tcPr/>
          <w:p>
            <w:pPr>
              <w:pStyle w:val="Compact"/>
              <w:jc w:val="left"/>
            </w:pPr>
            <w:r>
              <w:t xml:space="preserve">P-03 Redis cache; P-04 rate limiter; P-05 load-balancer simulation; P-06 message queue.</w:t>
            </w:r>
          </w:p>
        </w:tc>
      </w:tr>
      <w:tr>
        <w:tc>
          <w:tcPr/>
          <w:p>
            <w:pPr>
              <w:pStyle w:val="Compact"/>
              <w:jc w:val="left"/>
            </w:pPr>
            <w:r>
              <w:rPr>
                <w:bCs/>
                <w:b/>
              </w:rPr>
              <w:t xml:space="preserve">Architecture exercises</w:t>
            </w:r>
          </w:p>
        </w:tc>
        <w:tc>
          <w:tcPr/>
          <w:p>
            <w:pPr>
              <w:pStyle w:val="Compact"/>
              <w:jc w:val="left"/>
            </w:pPr>
            <w:r>
              <w:t xml:space="preserve">URL shortener, Pastebin, rate limiter and notification system (Ch 52) at 10⁷ DAU.</w:t>
            </w:r>
          </w:p>
        </w:tc>
      </w:tr>
      <w:tr>
        <w:tc>
          <w:tcPr/>
          <w:p>
            <w:pPr>
              <w:pStyle w:val="Compact"/>
              <w:jc w:val="left"/>
            </w:pPr>
            <w:r>
              <w:rPr>
                <w:bCs/>
                <w:b/>
              </w:rPr>
              <w:t xml:space="preserve">Interview readiness</w:t>
            </w:r>
          </w:p>
        </w:tc>
        <w:tc>
          <w:tcPr/>
          <w:p>
            <w:pPr>
              <w:pStyle w:val="Compact"/>
              <w:jc w:val="left"/>
            </w:pPr>
            <w:r>
              <w:t xml:space="preserve">Can complete an entry-level (new-grad / mid-level) system design round: correct high-level architecture, reasonable estimates, identifies the main bottleneck.</w:t>
            </w:r>
          </w:p>
        </w:tc>
      </w:tr>
      <w:tr>
        <w:tc>
          <w:tcPr/>
          <w:p>
            <w:pPr>
              <w:pStyle w:val="Compact"/>
              <w:jc w:val="left"/>
            </w:pPr>
            <w:r>
              <w:rPr>
                <w:bCs/>
                <w:b/>
              </w:rPr>
              <w:t xml:space="preserve">Explain independently</w:t>
            </w:r>
          </w:p>
        </w:tc>
        <w:tc>
          <w:tcPr/>
          <w:p>
            <w:pPr>
              <w:pStyle w:val="Compact"/>
              <w:jc w:val="left"/>
            </w:pPr>
            <w:r>
              <w:t xml:space="preserve">Cache-aside vs write-through; why sharding needs a good key; at-least-once delivery and why consumers must be idempotent; Little’s Law applied to a thread pool.</w:t>
            </w:r>
          </w:p>
        </w:tc>
      </w:tr>
    </w:tbl>
    <w:bookmarkEnd w:id="3341"/>
    <w:bookmarkStart w:id="3342" w:name="level-3-advanced-engineer"/>
    <w:p>
      <w:pPr>
        <w:pStyle w:val="Heading3"/>
      </w:pPr>
      <w:r>
        <w:t xml:space="preserve">Level 3 — Advanced engineer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Dimension</w:t>
            </w:r>
          </w:p>
        </w:tc>
        <w:tc>
          <w:tcPr/>
          <w:p>
            <w:pPr>
              <w:pStyle w:val="Compact"/>
              <w:jc w:val="left"/>
            </w:pPr>
            <w:r>
              <w:t xml:space="preserve">Definition</w:t>
            </w:r>
          </w:p>
        </w:tc>
      </w:tr>
      <w:tr>
        <w:tc>
          <w:tcPr/>
          <w:p>
            <w:pPr>
              <w:pStyle w:val="Compact"/>
              <w:jc w:val="left"/>
            </w:pPr>
            <w:r>
              <w:rPr>
                <w:bCs/>
                <w:b/>
              </w:rPr>
              <w:t xml:space="preserve">Required knowledge</w:t>
            </w:r>
          </w:p>
        </w:tc>
        <w:tc>
          <w:tcPr/>
          <w:p>
            <w:pPr>
              <w:pStyle w:val="Compact"/>
              <w:jc w:val="left"/>
            </w:pPr>
            <w:r>
              <w:t xml:space="preserve">Ch 13, 15–16, 23, 25–27, 29, 31–32, 34, 38–43, 58–62, 66. Storage engines, consistency models, Raft, quorums, Kafka internals, outbox/saga/CQRS, observability, Kubernetes, CI/CD, ML lifecycle, feature stores, model serving.</w:t>
            </w:r>
          </w:p>
        </w:tc>
      </w:tr>
      <w:tr>
        <w:tc>
          <w:tcPr/>
          <w:p>
            <w:pPr>
              <w:pStyle w:val="Compact"/>
              <w:jc w:val="left"/>
            </w:pPr>
            <w:r>
              <w:rPr>
                <w:bCs/>
                <w:b/>
              </w:rPr>
              <w:t xml:space="preserve">Expected competencies</w:t>
            </w:r>
          </w:p>
        </w:tc>
        <w:tc>
          <w:tcPr/>
          <w:p>
            <w:pPr>
              <w:pStyle w:val="Compact"/>
              <w:jc w:val="left"/>
            </w:pPr>
            <w:r>
              <w:t xml:space="preserve">Design a complete distributed application with explicit consistency choices, failure handling and observability. Explain a database’s write path down to WAL and fsync. Design an ML system from problem formulation to online serving with a feature store.</w:t>
            </w:r>
          </w:p>
        </w:tc>
      </w:tr>
      <w:tr>
        <w:tc>
          <w:tcPr/>
          <w:p>
            <w:pPr>
              <w:pStyle w:val="Compact"/>
              <w:jc w:val="left"/>
            </w:pPr>
            <w:r>
              <w:rPr>
                <w:bCs/>
                <w:b/>
              </w:rPr>
              <w:t xml:space="preserve">Practical projects</w:t>
            </w:r>
          </w:p>
        </w:tc>
        <w:tc>
          <w:tcPr/>
          <w:p>
            <w:pPr>
              <w:pStyle w:val="Compact"/>
              <w:jc w:val="left"/>
            </w:pPr>
            <w:r>
              <w:t xml:space="preserve">P-07 distributed KV store; P-08 replicated DB simulation; P-09 notification service; P-10 real-time chat; P-11 distributed job scheduler.</w:t>
            </w:r>
          </w:p>
        </w:tc>
      </w:tr>
      <w:tr>
        <w:tc>
          <w:tcPr/>
          <w:p>
            <w:pPr>
              <w:pStyle w:val="Compact"/>
              <w:jc w:val="left"/>
            </w:pPr>
            <w:r>
              <w:rPr>
                <w:bCs/>
                <w:b/>
              </w:rPr>
              <w:t xml:space="preserve">Architecture exercises</w:t>
            </w:r>
          </w:p>
        </w:tc>
        <w:tc>
          <w:tcPr/>
          <w:p>
            <w:pPr>
              <w:pStyle w:val="Compact"/>
              <w:jc w:val="left"/>
            </w:pPr>
            <w:r>
              <w:t xml:space="preserve">All of Ch 52–53; ML case studies 81.5 (product recommendation) and 82.3 (spam detection).</w:t>
            </w:r>
          </w:p>
        </w:tc>
      </w:tr>
      <w:tr>
        <w:tc>
          <w:tcPr/>
          <w:p>
            <w:pPr>
              <w:pStyle w:val="Compact"/>
              <w:jc w:val="left"/>
            </w:pPr>
            <w:r>
              <w:rPr>
                <w:bCs/>
                <w:b/>
              </w:rPr>
              <w:t xml:space="preserve">Interview readiness</w:t>
            </w:r>
          </w:p>
        </w:tc>
        <w:tc>
          <w:tcPr/>
          <w:p>
            <w:pPr>
              <w:pStyle w:val="Compact"/>
              <w:jc w:val="left"/>
            </w:pPr>
            <w:r>
              <w:t xml:space="preserve">Passes a senior-level (L5/E5 equivalent) traditional round and a mid-level ML system design round: deep-dives on request, quantifies trade-offs, discusses failure modes unprompted.</w:t>
            </w:r>
          </w:p>
        </w:tc>
      </w:tr>
      <w:tr>
        <w:tc>
          <w:tcPr/>
          <w:p>
            <w:pPr>
              <w:pStyle w:val="Compact"/>
              <w:jc w:val="left"/>
            </w:pPr>
            <w:r>
              <w:rPr>
                <w:bCs/>
                <w:b/>
              </w:rPr>
              <w:t xml:space="preserve">Explain independently</w:t>
            </w:r>
          </w:p>
        </w:tc>
        <w:tc>
          <w:tcPr/>
          <w:p>
            <w:pPr>
              <w:pStyle w:val="Compact"/>
              <w:jc w:val="left"/>
            </w:pPr>
            <w:r>
              <w:t xml:space="preserve">Raft leader election and log matching; why</w:t>
            </w:r>
            <w:r>
              <w:t xml:space="preserve"> </w:t>
            </w:r>
            <w:r>
              <w:rPr>
                <w:rStyle w:val="VerbatimChar"/>
              </w:rPr>
              <w:t xml:space="preserve">R + W &gt; N</w:t>
            </w:r>
            <w:r>
              <w:t xml:space="preserve"> </w:t>
            </w:r>
            <w:r>
              <w:t xml:space="preserve">gives read-your-writes only under certain conditions; Kafka ISR and</w:t>
            </w:r>
            <w:r>
              <w:t xml:space="preserve"> </w:t>
            </w:r>
            <w:r>
              <w:rPr>
                <w:rStyle w:val="VerbatimChar"/>
              </w:rPr>
              <w:t xml:space="preserve">acks=all</w:t>
            </w:r>
            <w:r>
              <w:t xml:space="preserve">; point-in-time feature joins and training–serving skew.</w:t>
            </w:r>
          </w:p>
        </w:tc>
      </w:tr>
    </w:tbl>
    <w:bookmarkEnd w:id="3342"/>
    <w:bookmarkStart w:id="3343" w:name="level-4-senior-staff-engineer"/>
    <w:p>
      <w:pPr>
        <w:pStyle w:val="Heading3"/>
      </w:pPr>
      <w:r>
        <w:t xml:space="preserve">Level 4 — Senior / Staff engineer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Dimension</w:t>
            </w:r>
          </w:p>
        </w:tc>
        <w:tc>
          <w:tcPr/>
          <w:p>
            <w:pPr>
              <w:pStyle w:val="Compact"/>
              <w:jc w:val="left"/>
            </w:pPr>
            <w:r>
              <w:t xml:space="preserve">Definition</w:t>
            </w:r>
          </w:p>
        </w:tc>
      </w:tr>
      <w:tr>
        <w:tc>
          <w:tcPr/>
          <w:p>
            <w:pPr>
              <w:pStyle w:val="Compact"/>
              <w:jc w:val="left"/>
            </w:pPr>
            <w:r>
              <w:rPr>
                <w:bCs/>
                <w:b/>
              </w:rPr>
              <w:t xml:space="preserve">Required knowledge</w:t>
            </w:r>
          </w:p>
        </w:tc>
        <w:tc>
          <w:tcPr/>
          <w:p>
            <w:pPr>
              <w:pStyle w:val="Compact"/>
              <w:jc w:val="left"/>
            </w:pPr>
            <w:r>
              <w:t xml:space="preserve">Ch 28, 44, 46–48, 50–51, 63–65, 67–80. Distributed transactions, multi-region design, cluster scheduling, multi-tenancy, security architecture, cost; GPU performance, distributed training, model optimization, recommendation architecture, MLOps, LLM inference, RAG, agents, AI platforms.</w:t>
            </w:r>
          </w:p>
        </w:tc>
      </w:tr>
      <w:tr>
        <w:tc>
          <w:tcPr/>
          <w:p>
            <w:pPr>
              <w:pStyle w:val="Compact"/>
              <w:jc w:val="left"/>
            </w:pPr>
            <w:r>
              <w:rPr>
                <w:bCs/>
                <w:b/>
              </w:rPr>
              <w:t xml:space="preserve">Expected competencies</w:t>
            </w:r>
          </w:p>
        </w:tc>
        <w:tc>
          <w:tcPr/>
          <w:p>
            <w:pPr>
              <w:pStyle w:val="Compact"/>
              <w:jc w:val="left"/>
            </w:pPr>
            <w:r>
              <w:t xml:space="preserve">Make and defend architecture decisions spanning teams: multi-region active–active, tenant isolation, SLOs and error budgets, cost models. Size a GPU fleet for training and for LLM serving from first principles. Design a RAG or agent platform with evaluation, guardrails and observability.</w:t>
            </w:r>
          </w:p>
        </w:tc>
      </w:tr>
      <w:tr>
        <w:tc>
          <w:tcPr/>
          <w:p>
            <w:pPr>
              <w:pStyle w:val="Compact"/>
              <w:jc w:val="left"/>
            </w:pPr>
            <w:r>
              <w:rPr>
                <w:bCs/>
                <w:b/>
              </w:rPr>
              <w:t xml:space="preserve">Practical projects</w:t>
            </w:r>
          </w:p>
        </w:tc>
        <w:tc>
          <w:tcPr/>
          <w:p>
            <w:pPr>
              <w:pStyle w:val="Compact"/>
              <w:jc w:val="left"/>
            </w:pPr>
            <w:r>
              <w:t xml:space="preserve">P-12 event-driven microservices; P-13 real-time analytics pipeline; P-14 recommendation engine; P-15 distributed ML inference; P-18 production RAG; P-19 scalable LLM inference.</w:t>
            </w:r>
          </w:p>
        </w:tc>
      </w:tr>
      <w:tr>
        <w:tc>
          <w:tcPr/>
          <w:p>
            <w:pPr>
              <w:pStyle w:val="Compact"/>
              <w:jc w:val="left"/>
            </w:pPr>
            <w:r>
              <w:rPr>
                <w:bCs/>
                <w:b/>
              </w:rPr>
              <w:t xml:space="preserve">Architecture exercises</w:t>
            </w:r>
          </w:p>
        </w:tc>
        <w:tc>
          <w:tcPr/>
          <w:p>
            <w:pPr>
              <w:pStyle w:val="Compact"/>
              <w:jc w:val="left"/>
            </w:pPr>
            <w:r>
              <w:t xml:space="preserve">All of Ch 54–56 and 81–86. Write a design document with ADRs for one case study and have it reviewed.</w:t>
            </w:r>
          </w:p>
        </w:tc>
      </w:tr>
      <w:tr>
        <w:tc>
          <w:tcPr/>
          <w:p>
            <w:pPr>
              <w:pStyle w:val="Compact"/>
              <w:jc w:val="left"/>
            </w:pPr>
            <w:r>
              <w:rPr>
                <w:bCs/>
                <w:b/>
              </w:rPr>
              <w:t xml:space="preserve">Interview readiness</w:t>
            </w:r>
          </w:p>
        </w:tc>
        <w:tc>
          <w:tcPr/>
          <w:p>
            <w:pPr>
              <w:pStyle w:val="Compact"/>
              <w:jc w:val="left"/>
            </w:pPr>
            <w:r>
              <w:t xml:space="preserve">Passes staff-level rounds: drives the conversation, scopes ambiguity, prioritizes the hardest sub-problem, connects technical choices to business, cost and organizational constraints.</w:t>
            </w:r>
          </w:p>
        </w:tc>
      </w:tr>
      <w:tr>
        <w:tc>
          <w:tcPr/>
          <w:p>
            <w:pPr>
              <w:pStyle w:val="Compact"/>
              <w:jc w:val="left"/>
            </w:pPr>
            <w:r>
              <w:rPr>
                <w:bCs/>
                <w:b/>
              </w:rPr>
              <w:t xml:space="preserve">Explain independently</w:t>
            </w:r>
          </w:p>
        </w:tc>
        <w:tc>
          <w:tcPr/>
          <w:p>
            <w:pPr>
              <w:pStyle w:val="Compact"/>
              <w:jc w:val="left"/>
            </w:pPr>
            <w:r>
              <w:t xml:space="preserve">Spanner commit-wait; why cells limit blast radius; ZeRO stage 3 memory math; continuous batching and PagedAttention; when RAG beats fine-tuning; how to evaluate an agent.</w:t>
            </w:r>
          </w:p>
        </w:tc>
      </w:tr>
    </w:tbl>
    <w:bookmarkEnd w:id="3343"/>
    <w:bookmarkStart w:id="3344" w:name="level-5-expert-principal-architect"/>
    <w:p>
      <w:pPr>
        <w:pStyle w:val="Heading3"/>
      </w:pPr>
      <w:r>
        <w:t xml:space="preserve">Level 5 — Expert / Principal architect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Dimension</w:t>
            </w:r>
          </w:p>
        </w:tc>
        <w:tc>
          <w:tcPr/>
          <w:p>
            <w:pPr>
              <w:pStyle w:val="Compact"/>
              <w:jc w:val="left"/>
            </w:pPr>
            <w:r>
              <w:t xml:space="preserve">Definition</w:t>
            </w:r>
          </w:p>
        </w:tc>
      </w:tr>
      <w:tr>
        <w:tc>
          <w:tcPr/>
          <w:p>
            <w:pPr>
              <w:pStyle w:val="Compact"/>
              <w:jc w:val="left"/>
            </w:pPr>
            <w:r>
              <w:rPr>
                <w:bCs/>
                <w:b/>
              </w:rPr>
              <w:t xml:space="preserve">Required knowledge</w:t>
            </w:r>
          </w:p>
        </w:tc>
        <w:tc>
          <w:tcPr/>
          <w:p>
            <w:pPr>
              <w:pStyle w:val="Compact"/>
              <w:jc w:val="left"/>
            </w:pPr>
            <w:r>
              <w:t xml:space="preserve">Ch 45, 49, 80 plus the primary papers cited across Parts V, IX, XIII and XVI. Theory (FLP, CAP proofs, BFT bounds, consistency hierarchies, scaling laws) and practice at 10⁴–10⁵ machine scale.</w:t>
            </w:r>
          </w:p>
        </w:tc>
      </w:tr>
      <w:tr>
        <w:tc>
          <w:tcPr/>
          <w:p>
            <w:pPr>
              <w:pStyle w:val="Compact"/>
              <w:jc w:val="left"/>
            </w:pPr>
            <w:r>
              <w:rPr>
                <w:bCs/>
                <w:b/>
              </w:rPr>
              <w:t xml:space="preserve">Expected competencies</w:t>
            </w:r>
          </w:p>
        </w:tc>
        <w:tc>
          <w:tcPr/>
          <w:p>
            <w:pPr>
              <w:pStyle w:val="Compact"/>
              <w:jc w:val="left"/>
            </w:pPr>
            <w:r>
              <w:t xml:space="preserve">Set multi-year technical direction; evaluate novel systems from papers; reason about organization-wide failure domains, reliability economics and sustainability; design platforms other teams build on.</w:t>
            </w:r>
          </w:p>
        </w:tc>
      </w:tr>
      <w:tr>
        <w:tc>
          <w:tcPr/>
          <w:p>
            <w:pPr>
              <w:pStyle w:val="Compact"/>
              <w:jc w:val="left"/>
            </w:pPr>
            <w:r>
              <w:rPr>
                <w:bCs/>
                <w:b/>
              </w:rPr>
              <w:t xml:space="preserve">Practical projects</w:t>
            </w:r>
          </w:p>
        </w:tc>
        <w:tc>
          <w:tcPr/>
          <w:p>
            <w:pPr>
              <w:pStyle w:val="Compact"/>
              <w:jc w:val="left"/>
            </w:pPr>
            <w:r>
              <w:t xml:space="preserve">P-16 distributed training platform; P-17 multi-tenant feature store; P-20 multi-agent orchestration platform.</w:t>
            </w:r>
          </w:p>
        </w:tc>
      </w:tr>
      <w:tr>
        <w:tc>
          <w:tcPr/>
          <w:p>
            <w:pPr>
              <w:pStyle w:val="Compact"/>
              <w:jc w:val="left"/>
            </w:pPr>
            <w:r>
              <w:rPr>
                <w:bCs/>
                <w:b/>
              </w:rPr>
              <w:t xml:space="preserve">Architecture exercises</w:t>
            </w:r>
          </w:p>
        </w:tc>
        <w:tc>
          <w:tcPr/>
          <w:p>
            <w:pPr>
              <w:pStyle w:val="Compact"/>
              <w:jc w:val="left"/>
            </w:pPr>
            <w:r>
              <w:t xml:space="preserve">Critique a published architecture (e.g., a Dynamo, Spanner or PagedAttention paper) and propose a design for a changed constraint. Lead a postmortem-driven redesign.</w:t>
            </w:r>
          </w:p>
        </w:tc>
      </w:tr>
      <w:tr>
        <w:tc>
          <w:tcPr/>
          <w:p>
            <w:pPr>
              <w:pStyle w:val="Compact"/>
              <w:jc w:val="left"/>
            </w:pPr>
            <w:r>
              <w:rPr>
                <w:bCs/>
                <w:b/>
              </w:rPr>
              <w:t xml:space="preserve">Interview readiness</w:t>
            </w:r>
          </w:p>
        </w:tc>
        <w:tc>
          <w:tcPr/>
          <w:p>
            <w:pPr>
              <w:pStyle w:val="Compact"/>
              <w:jc w:val="left"/>
            </w:pPr>
            <w:r>
              <w:t xml:space="preserve">Principal-level: articulates long-term trade-offs, migration strategy, organizational design (Conway’s law), and the economics of the platform.</w:t>
            </w:r>
          </w:p>
        </w:tc>
      </w:tr>
      <w:tr>
        <w:tc>
          <w:tcPr/>
          <w:p>
            <w:pPr>
              <w:pStyle w:val="Compact"/>
              <w:jc w:val="left"/>
            </w:pPr>
            <w:r>
              <w:rPr>
                <w:bCs/>
                <w:b/>
              </w:rPr>
              <w:t xml:space="preserve">Explain independently</w:t>
            </w:r>
          </w:p>
        </w:tc>
        <w:tc>
          <w:tcPr/>
          <w:p>
            <w:pPr>
              <w:pStyle w:val="Compact"/>
              <w:jc w:val="left"/>
            </w:pPr>
            <w:r>
              <w:t xml:space="preserve">Why consensus is impossible in a fully asynchronous system with one crash failure and how real systems sidestep it; goodput at 16k-GPU scale; the cost/latency frontier of an LLM product.</w:t>
            </w:r>
          </w:p>
        </w:tc>
      </w:tr>
    </w:tbl>
    <w:bookmarkEnd w:id="3344"/>
    <w:bookmarkEnd w:id="3345"/>
    <w:bookmarkStart w:id="3346" w:name="e.3-self-assessment"/>
    <w:p>
      <w:pPr>
        <w:pStyle w:val="Heading2"/>
      </w:pPr>
      <w:r>
        <w:t xml:space="preserve">E.3 Self-assessment</w:t>
      </w:r>
    </w:p>
    <w:p>
      <w:pPr>
        <w:pStyle w:val="FirstParagraph"/>
      </w:pPr>
      <w:r>
        <w:t xml:space="preserve">Score yourself 0–2 on each statement (0 = cannot, 1 = with notes, 2 = from memory, aloud, in under five minutes). Start at the first level where your total is below 14 of 20.</w:t>
      </w:r>
    </w:p>
    <w:p>
      <w:pPr>
        <w:pStyle w:val="BodyText"/>
      </w:pPr>
      <w:r>
        <w:rPr>
          <w:bCs/>
          <w:b/>
        </w:rPr>
        <w:t xml:space="preserve">Table E.1 — Placement self-assessment.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Level</w:t>
            </w:r>
          </w:p>
        </w:tc>
        <w:tc>
          <w:tcPr/>
          <w:p>
            <w:pPr>
              <w:pStyle w:val="Compact"/>
              <w:jc w:val="left"/>
            </w:pPr>
            <w:r>
              <w:t xml:space="preserve">Ten statements to score</w:t>
            </w:r>
          </w:p>
        </w:tc>
      </w:tr>
      <w:tr>
        <w:tc>
          <w:tcPr/>
          <w:p>
            <w:pPr>
              <w:pStyle w:val="Compact"/>
              <w:jc w:val="left"/>
            </w:pPr>
            <w:r>
              <w:t xml:space="preserve">1</w:t>
            </w:r>
          </w:p>
        </w:tc>
        <w:tc>
          <w:tcPr/>
          <w:p>
            <w:pPr>
              <w:pStyle w:val="Compact"/>
              <w:jc w:val="left"/>
            </w:pPr>
            <w:r>
              <w:t xml:space="preserve">Explain DNS resolution · TCP handshake · HTTP request/response · process vs thread · what an index is · primary/foreign keys · REST verbs and status codes · latency vs throughput · p99 · RPS from DAU</w:t>
            </w:r>
          </w:p>
        </w:tc>
      </w:tr>
      <w:tr>
        <w:tc>
          <w:tcPr/>
          <w:p>
            <w:pPr>
              <w:pStyle w:val="Compact"/>
              <w:jc w:val="left"/>
            </w:pPr>
            <w:r>
              <w:t xml:space="preserve">2</w:t>
            </w:r>
          </w:p>
        </w:tc>
        <w:tc>
          <w:tcPr/>
          <w:p>
            <w:pPr>
              <w:pStyle w:val="Compact"/>
              <w:jc w:val="left"/>
            </w:pPr>
            <w:r>
              <w:t xml:space="preserve">Cache-aside and invalidation · consistent hashing · token bucket · L4 vs L7 load balancing · replication lag · sharding keys · at-least-once delivery · CDN pull vs push · SQL vs NoSQL choice · precision vs recall</w:t>
            </w:r>
          </w:p>
        </w:tc>
      </w:tr>
      <w:tr>
        <w:tc>
          <w:tcPr/>
          <w:p>
            <w:pPr>
              <w:pStyle w:val="Compact"/>
              <w:jc w:val="left"/>
            </w:pPr>
            <w:r>
              <w:t xml:space="preserve">3</w:t>
            </w:r>
          </w:p>
        </w:tc>
        <w:tc>
          <w:tcPr/>
          <w:p>
            <w:pPr>
              <w:pStyle w:val="Compact"/>
              <w:jc w:val="left"/>
            </w:pPr>
            <w:r>
              <w:t xml:space="preserve">Raft election · quorum math · Kafka partitions/ISR · outbox pattern · LSM vs B-tree · Kubernetes control plane · SLO/error budget · feature store PIT join · dynamic batching · canary analysis</w:t>
            </w:r>
          </w:p>
        </w:tc>
      </w:tr>
      <w:tr>
        <w:tc>
          <w:tcPr/>
          <w:p>
            <w:pPr>
              <w:pStyle w:val="Compact"/>
              <w:jc w:val="left"/>
            </w:pPr>
            <w:r>
              <w:t xml:space="preserve">4</w:t>
            </w:r>
          </w:p>
        </w:tc>
        <w:tc>
          <w:tcPr/>
          <w:p>
            <w:pPr>
              <w:pStyle w:val="Compact"/>
              <w:jc w:val="left"/>
            </w:pPr>
            <w:r>
              <w:t xml:space="preserve">2PC failure modes · multi-region active–active · tenant isolation options · cost model of a service · data/tensor/pipeline parallelism · KV-cache memory · RAG evaluation · agent guardrails · model routing · DRF scheduling</w:t>
            </w:r>
          </w:p>
        </w:tc>
      </w:tr>
      <w:tr>
        <w:tc>
          <w:tcPr/>
          <w:p>
            <w:pPr>
              <w:pStyle w:val="Compact"/>
              <w:jc w:val="left"/>
            </w:pPr>
            <w:r>
              <w:t xml:space="preserve">5</w:t>
            </w:r>
          </w:p>
        </w:tc>
        <w:tc>
          <w:tcPr/>
          <w:p>
            <w:pPr>
              <w:pStyle w:val="Compact"/>
              <w:jc w:val="left"/>
            </w:pPr>
            <w:r>
              <w:t xml:space="preserve">FLP intuition · linearizability vs serializability · PBFT bound · TrueTime · ZeRO-3 communication · MFU at scale · scaling laws · disaggregated serving · failure rates at 10k GPUs · multi-year platform migration</w:t>
            </w:r>
          </w:p>
        </w:tc>
      </w:tr>
    </w:tbl>
    <w:bookmarkEnd w:id="3346"/>
    <w:bookmarkStart w:id="3347" w:name="X9fcb7867317ff6189957112ec15f8b77e9aa2a0"/>
    <w:p>
      <w:pPr>
        <w:pStyle w:val="Heading2"/>
      </w:pPr>
      <w:r>
        <w:t xml:space="preserve">E.4 Track 1 — Full 12-month program (beginner to Level 4)</w:t>
      </w:r>
    </w:p>
    <w:p>
      <w:pPr>
        <w:pStyle w:val="FirstParagraph"/>
      </w:pPr>
      <w:r>
        <w:rPr>
          <w:bCs/>
          <w:b/>
        </w:rPr>
        <w:t xml:space="preserve">Budget:</w:t>
      </w:r>
      <w:r>
        <w:t xml:space="preserve"> </w:t>
      </w:r>
      <w:r>
        <w:t xml:space="preserve">10–12 hours per week · 52 weeks · Levels 1 → 4. Each week: read (≈ 60%), implement or exercise (≈ 30%), recall and explain (≈ 10%).</w:t>
      </w:r>
    </w:p>
    <w:p>
      <w:pPr>
        <w:pStyle w:val="BodyText"/>
      </w:pPr>
      <w:r>
        <w:rPr>
          <w:bCs/>
          <w:b/>
        </w:rPr>
        <w:t xml:space="preserve">Figure E.2 — Twelve-month program at a glance.</w:t>
      </w:r>
    </w:p>
    <w:p>
      <w:pPr>
        <w:pStyle w:val="CalloutWarning"/>
      </w:pPr>
      <w:r>
        <w:rPr>
          <w:bCs/>
          <w:b/>
        </w:rPr>
        <w:t xml:space="preserve">WARNING / TRADE-OFF</w:t>
      </w:r>
    </w:p>
    <w:p>
      <w:pPr>
        <w:pStyle w:val="CalloutWarning"/>
      </w:pPr>
      <w:r>
        <w:rPr>
          <w:bCs/>
          <w:b/>
        </w:rPr>
        <w:t xml:space="preserve">Diagram failed to render.</w:t>
      </w:r>
      <w:r>
        <w:t xml:space="preserve"> </w:t>
      </w:r>
      <w:r>
        <w:t xml:space="preserve">Source:</w:t>
      </w:r>
    </w:p>
    <w:p>
      <w:pPr>
        <w:pStyle w:val="SourceCode"/>
      </w:pPr>
      <w:r>
        <w:rPr>
          <w:rStyle w:val="VerbatimChar"/>
        </w:rPr>
        <w:t xml:space="preserve">gantt</w:t>
      </w:r>
      <w:r>
        <w:br/>
      </w:r>
      <w:r>
        <w:rPr>
          <w:rStyle w:val="VerbatimChar"/>
        </w:rPr>
        <w:t xml:space="preserve">  title Twelve-month program</w:t>
      </w:r>
      <w:r>
        <w:br/>
      </w:r>
      <w:r>
        <w:rPr>
          <w:rStyle w:val="VerbatimChar"/>
        </w:rPr>
        <w:t xml:space="preserve">  dateFormat  YYYY-MM-DD</w:t>
      </w:r>
      <w:r>
        <w:br/>
      </w:r>
      <w:r>
        <w:rPr>
          <w:rStyle w:val="VerbatimChar"/>
        </w:rPr>
        <w:t xml:space="preserve">  axisFormat  M%m</w:t>
      </w:r>
      <w:r>
        <w:br/>
      </w:r>
      <w:r>
        <w:rPr>
          <w:rStyle w:val="VerbatimChar"/>
        </w:rPr>
        <w:t xml:space="preserve">  section Level 1</w:t>
      </w:r>
      <w:r>
        <w:br/>
      </w:r>
      <w:r>
        <w:rPr>
          <w:rStyle w:val="VerbatimChar"/>
        </w:rPr>
        <w:t xml:space="preserve">  Thinking, maths, CS foundations      :a1, 2027-01-04, 8w</w:t>
      </w:r>
      <w:r>
        <w:br/>
      </w:r>
      <w:r>
        <w:rPr>
          <w:rStyle w:val="VerbatimChar"/>
        </w:rPr>
        <w:t xml:space="preserve">  Web, data basics, OOD                :a2, after a1, 5w</w:t>
      </w:r>
      <w:r>
        <w:br/>
      </w:r>
      <w:r>
        <w:rPr>
          <w:rStyle w:val="VerbatimChar"/>
        </w:rPr>
        <w:t xml:space="preserve">  section Level 2</w:t>
      </w:r>
      <w:r>
        <w:br/>
      </w:r>
      <w:r>
        <w:rPr>
          <w:rStyle w:val="VerbatimChar"/>
        </w:rPr>
        <w:t xml:space="preserve">  Data systems, scale, caching         :b1, after a2, 7w</w:t>
      </w:r>
      <w:r>
        <w:br/>
      </w:r>
      <w:r>
        <w:rPr>
          <w:rStyle w:val="VerbatimChar"/>
        </w:rPr>
        <w:t xml:space="preserve">  Distributed basics, messaging        :b2, after b1, 5w</w:t>
      </w:r>
      <w:r>
        <w:br/>
      </w:r>
      <w:r>
        <w:rPr>
          <w:rStyle w:val="VerbatimChar"/>
        </w:rPr>
        <w:t xml:space="preserve">  section Level 3</w:t>
      </w:r>
      <w:r>
        <w:br/>
      </w:r>
      <w:r>
        <w:rPr>
          <w:rStyle w:val="VerbatimChar"/>
        </w:rPr>
        <w:t xml:space="preserve">  Distributed depth, Kafka, EDA        :c1, after b2, 5w</w:t>
      </w:r>
      <w:r>
        <w:br/>
      </w:r>
      <w:r>
        <w:rPr>
          <w:rStyle w:val="VerbatimChar"/>
        </w:rPr>
        <w:t xml:space="preserve">  Production infra, case studies I-II  :c2, after c1, 6w</w:t>
      </w:r>
      <w:r>
        <w:br/>
      </w:r>
      <w:r>
        <w:rPr>
          <w:rStyle w:val="VerbatimChar"/>
        </w:rPr>
        <w:t xml:space="preserve">  section Level 3-4 ML</w:t>
      </w:r>
      <w:r>
        <w:br/>
      </w:r>
      <w:r>
        <w:rPr>
          <w:rStyle w:val="VerbatimChar"/>
        </w:rPr>
        <w:t xml:space="preserve">  ML foundations, data, GPUs, serving  :d1, after c2, 8w</w:t>
      </w:r>
      <w:r>
        <w:br/>
      </w:r>
      <w:r>
        <w:rPr>
          <w:rStyle w:val="VerbatimChar"/>
        </w:rPr>
        <w:t xml:space="preserve">  section Level 4</w:t>
      </w:r>
      <w:r>
        <w:br/>
      </w:r>
      <w:r>
        <w:rPr>
          <w:rStyle w:val="VerbatimChar"/>
        </w:rPr>
        <w:t xml:space="preserve">  LLMs, RAG, agents, AI infra          :e1, after d1, 5w</w:t>
      </w:r>
      <w:r>
        <w:br/>
      </w:r>
      <w:r>
        <w:rPr>
          <w:rStyle w:val="VerbatimChar"/>
        </w:rPr>
        <w:t xml:space="preserve">  Expert topics, case studies, interviews :e2, after e1, 3w</w:t>
      </w:r>
    </w:p>
    <w:p>
      <w:pPr>
        <w:pStyle w:val="FirstParagraph"/>
      </w:pPr>
      <w:r>
        <w:rPr>
          <w:bCs/>
          <w:b/>
        </w:rPr>
        <w:t xml:space="preserve">Reading the diagram.</w:t>
      </w:r>
      <w:r>
        <w:t xml:space="preserve"> </w:t>
      </w:r>
      <w:r>
        <w:t xml:space="preserve">Bars are sequential phases; the dates are an example start (any Monday works). Levels overlap at the boundaries because review weeks consolidate the previous level while starting the next. The ML phase begins only after production infrastructure because serving, MLOps and AI-infrastructure chapters assume Kubernetes, observability and deployment knowledge.</w:t>
      </w:r>
    </w:p>
    <w:p>
      <w:pPr>
        <w:pStyle w:val="BodyText"/>
      </w:pPr>
      <w:r>
        <w:rPr>
          <w:bCs/>
          <w:b/>
        </w:rPr>
        <w:t xml:space="preserve">Table E.2 — Weekly milestones, 12-month program.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Wk</w:t>
            </w:r>
          </w:p>
        </w:tc>
        <w:tc>
          <w:tcPr/>
          <w:p>
            <w:pPr>
              <w:pStyle w:val="Compact"/>
              <w:jc w:val="left"/>
            </w:pPr>
            <w:r>
              <w:t xml:space="preserve">Chapters</w:t>
            </w:r>
          </w:p>
        </w:tc>
        <w:tc>
          <w:tcPr/>
          <w:p>
            <w:pPr>
              <w:pStyle w:val="Compact"/>
              <w:jc w:val="left"/>
            </w:pPr>
            <w:r>
              <w:t xml:space="preserve">Hands-on task</w:t>
            </w:r>
          </w:p>
        </w:tc>
        <w:tc>
          <w:tcPr/>
          <w:p>
            <w:pPr>
              <w:pStyle w:val="Compact"/>
              <w:jc w:val="left"/>
            </w:pPr>
            <w:r>
              <w:t xml:space="preserve">Checkpoint</w:t>
            </w:r>
          </w:p>
        </w:tc>
      </w:tr>
      <w:tr>
        <w:tc>
          <w:tcPr/>
          <w:p>
            <w:pPr>
              <w:pStyle w:val="Compact"/>
              <w:jc w:val="left"/>
            </w:pPr>
            <w:r>
              <w:t xml:space="preserve">1</w:t>
            </w:r>
          </w:p>
        </w:tc>
        <w:tc>
          <w:tcPr/>
          <w:p>
            <w:pPr>
              <w:pStyle w:val="Compact"/>
              <w:jc w:val="left"/>
            </w:pPr>
            <w:r>
              <w:t xml:space="preserve">1, 3</w:t>
            </w:r>
          </w:p>
        </w:tc>
        <w:tc>
          <w:tcPr/>
          <w:p>
            <w:pPr>
              <w:pStyle w:val="Compact"/>
              <w:jc w:val="left"/>
            </w:pPr>
            <w:r>
              <w:t xml:space="preserve">Set up design journal and flashcard deck</w:t>
            </w:r>
          </w:p>
        </w:tc>
        <w:tc>
          <w:tcPr/>
          <w:p>
            <w:pPr>
              <w:pStyle w:val="Compact"/>
              <w:jc w:val="left"/>
            </w:pPr>
            <w:r>
              <w:t xml:space="preserve">Explain FR vs NFR with three examples each</w:t>
            </w:r>
          </w:p>
        </w:tc>
      </w:tr>
      <w:tr>
        <w:tc>
          <w:tcPr/>
          <w:p>
            <w:pPr>
              <w:pStyle w:val="Compact"/>
              <w:jc w:val="left"/>
            </w:pPr>
            <w:r>
              <w:t xml:space="preserve">2</w:t>
            </w:r>
          </w:p>
        </w:tc>
        <w:tc>
          <w:tcPr/>
          <w:p>
            <w:pPr>
              <w:pStyle w:val="Compact"/>
              <w:jc w:val="left"/>
            </w:pPr>
            <w:r>
              <w:t xml:space="preserve">2</w:t>
            </w:r>
          </w:p>
        </w:tc>
        <w:tc>
          <w:tcPr/>
          <w:p>
            <w:pPr>
              <w:pStyle w:val="Compact"/>
              <w:jc w:val="left"/>
            </w:pPr>
            <w:r>
              <w:t xml:space="preserve">Write requirements + context diagram for a food-ordering app</w:t>
            </w:r>
          </w:p>
        </w:tc>
        <w:tc>
          <w:tcPr/>
          <w:p>
            <w:pPr>
              <w:pStyle w:val="Compact"/>
              <w:jc w:val="left"/>
            </w:pPr>
            <w:r>
              <w:t xml:space="preserve">Present it in 10 minutes</w:t>
            </w:r>
          </w:p>
        </w:tc>
      </w:tr>
      <w:tr>
        <w:tc>
          <w:tcPr/>
          <w:p>
            <w:pPr>
              <w:pStyle w:val="Compact"/>
              <w:jc w:val="left"/>
            </w:pPr>
            <w:r>
              <w:t xml:space="preserve">3</w:t>
            </w:r>
          </w:p>
        </w:tc>
        <w:tc>
          <w:tcPr/>
          <w:p>
            <w:pPr>
              <w:pStyle w:val="Compact"/>
              <w:jc w:val="left"/>
            </w:pPr>
            <w:r>
              <w:t xml:space="preserve">4 (§4.3–4.9)</w:t>
            </w:r>
          </w:p>
        </w:tc>
        <w:tc>
          <w:tcPr/>
          <w:p>
            <w:pPr>
              <w:pStyle w:val="Compact"/>
              <w:jc w:val="left"/>
            </w:pPr>
            <w:r>
              <w:t xml:space="preserve">Estimation drills: 20 powers-of-ten problems</w:t>
            </w:r>
          </w:p>
        </w:tc>
        <w:tc>
          <w:tcPr/>
          <w:p>
            <w:pPr>
              <w:pStyle w:val="Compact"/>
              <w:jc w:val="left"/>
            </w:pPr>
            <w:r>
              <w:t xml:space="preserve">Score ≥ 18/20</w:t>
            </w:r>
          </w:p>
        </w:tc>
      </w:tr>
      <w:tr>
        <w:tc>
          <w:tcPr/>
          <w:p>
            <w:pPr>
              <w:pStyle w:val="Compact"/>
              <w:jc w:val="left"/>
            </w:pPr>
            <w:r>
              <w:t xml:space="preserve">4</w:t>
            </w:r>
          </w:p>
        </w:tc>
        <w:tc>
          <w:tcPr/>
          <w:p>
            <w:pPr>
              <w:pStyle w:val="Compact"/>
              <w:jc w:val="left"/>
            </w:pPr>
            <w:r>
              <w:t xml:space="preserve">4 (§4.10–4.18)</w:t>
            </w:r>
          </w:p>
        </w:tc>
        <w:tc>
          <w:tcPr/>
          <w:p>
            <w:pPr>
              <w:pStyle w:val="Compact"/>
              <w:jc w:val="left"/>
            </w:pPr>
            <w:r>
              <w:t xml:space="preserve">Simulate an M/M/1 queue in Python; compare with formula</w:t>
            </w:r>
          </w:p>
        </w:tc>
        <w:tc>
          <w:tcPr/>
          <w:p>
            <w:pPr>
              <w:pStyle w:val="Compact"/>
              <w:jc w:val="left"/>
            </w:pPr>
            <w:r>
              <w:t xml:space="preserve">Explain why latency explodes near 100% utilization</w:t>
            </w:r>
          </w:p>
        </w:tc>
      </w:tr>
      <w:tr>
        <w:tc>
          <w:tcPr/>
          <w:p>
            <w:pPr>
              <w:pStyle w:val="Compact"/>
              <w:jc w:val="left"/>
            </w:pPr>
            <w:r>
              <w:t xml:space="preserve">5</w:t>
            </w:r>
          </w:p>
        </w:tc>
        <w:tc>
          <w:tcPr/>
          <w:p>
            <w:pPr>
              <w:pStyle w:val="Compact"/>
              <w:jc w:val="left"/>
            </w:pPr>
            <w:r>
              <w:t xml:space="preserve">5</w:t>
            </w:r>
          </w:p>
        </w:tc>
        <w:tc>
          <w:tcPr/>
          <w:p>
            <w:pPr>
              <w:pStyle w:val="Compact"/>
              <w:jc w:val="left"/>
            </w:pPr>
            <w:r>
              <w:t xml:space="preserve">Cache-stride benchmark</w:t>
            </w:r>
          </w:p>
        </w:tc>
        <w:tc>
          <w:tcPr/>
          <w:p>
            <w:pPr>
              <w:pStyle w:val="Compact"/>
              <w:jc w:val="left"/>
            </w:pPr>
            <w:r>
              <w:t xml:space="preserve">Draw the memory hierarchy with latencies from memory</w:t>
            </w:r>
          </w:p>
        </w:tc>
      </w:tr>
      <w:tr>
        <w:tc>
          <w:tcPr/>
          <w:p>
            <w:pPr>
              <w:pStyle w:val="Compact"/>
              <w:jc w:val="left"/>
            </w:pPr>
            <w:r>
              <w:t xml:space="preserve">6</w:t>
            </w:r>
          </w:p>
        </w:tc>
        <w:tc>
          <w:tcPr/>
          <w:p>
            <w:pPr>
              <w:pStyle w:val="Compact"/>
              <w:jc w:val="left"/>
            </w:pPr>
            <w:r>
              <w:t xml:space="preserve">6</w:t>
            </w:r>
          </w:p>
        </w:tc>
        <w:tc>
          <w:tcPr/>
          <w:p>
            <w:pPr>
              <w:pStyle w:val="Compact"/>
              <w:jc w:val="left"/>
            </w:pPr>
            <w:r>
              <w:t xml:space="preserve">Race condition + mutex fix; event-loop echo server</w:t>
            </w:r>
          </w:p>
        </w:tc>
        <w:tc>
          <w:tcPr/>
          <w:p>
            <w:pPr>
              <w:pStyle w:val="Compact"/>
              <w:jc w:val="left"/>
            </w:pPr>
            <w:r>
              <w:t xml:space="preserve">Explain epoll vs thread-per-connection</w:t>
            </w:r>
          </w:p>
        </w:tc>
      </w:tr>
      <w:tr>
        <w:tc>
          <w:tcPr/>
          <w:p>
            <w:pPr>
              <w:pStyle w:val="Compact"/>
              <w:jc w:val="left"/>
            </w:pPr>
            <w:r>
              <w:t xml:space="preserve">7</w:t>
            </w:r>
          </w:p>
        </w:tc>
        <w:tc>
          <w:tcPr/>
          <w:p>
            <w:pPr>
              <w:pStyle w:val="Compact"/>
              <w:jc w:val="left"/>
            </w:pPr>
            <w:r>
              <w:t xml:space="preserve">7</w:t>
            </w:r>
          </w:p>
        </w:tc>
        <w:tc>
          <w:tcPr/>
          <w:p>
            <w:pPr>
              <w:pStyle w:val="Compact"/>
              <w:jc w:val="left"/>
            </w:pPr>
            <w:r>
              <w:rPr>
                <w:rStyle w:val="VerbatimChar"/>
              </w:rPr>
              <w:t xml:space="preserve">dig</w:t>
            </w:r>
            <w:r>
              <w:t xml:space="preserve">,</w:t>
            </w:r>
            <w:r>
              <w:t xml:space="preserve"> </w:t>
            </w:r>
            <w:r>
              <w:rPr>
                <w:rStyle w:val="VerbatimChar"/>
              </w:rPr>
              <w:t xml:space="preserve">curl -w</w:t>
            </w:r>
            <w:r>
              <w:t xml:space="preserve">, Wireshark on a TLS handshake</w:t>
            </w:r>
          </w:p>
        </w:tc>
        <w:tc>
          <w:tcPr/>
          <w:p>
            <w:pPr>
              <w:pStyle w:val="Compact"/>
              <w:jc w:val="left"/>
            </w:pPr>
            <w:r>
              <w:t xml:space="preserve">Narrate</w:t>
            </w:r>
            <w:r>
              <w:t xml:space="preserve"> </w:t>
            </w:r>
            <w:r>
              <w:t xml:space="preserve">“</w:t>
            </w:r>
            <w:r>
              <w:t xml:space="preserve">type a URL</w:t>
            </w:r>
            <w:r>
              <w:t xml:space="preserve">”</w:t>
            </w:r>
            <w:r>
              <w:t xml:space="preserve"> </w:t>
            </w:r>
            <w:r>
              <w:t xml:space="preserve">end to end</w:t>
            </w:r>
          </w:p>
        </w:tc>
      </w:tr>
      <w:tr>
        <w:tc>
          <w:tcPr/>
          <w:p>
            <w:pPr>
              <w:pStyle w:val="Compact"/>
              <w:jc w:val="left"/>
            </w:pPr>
            <w:r>
              <w:t xml:space="preserve">8</w:t>
            </w:r>
          </w:p>
        </w:tc>
        <w:tc>
          <w:tcPr/>
          <w:p>
            <w:pPr>
              <w:pStyle w:val="Compact"/>
              <w:jc w:val="left"/>
            </w:pPr>
            <w:r>
              <w:t xml:space="preserve">Review</w:t>
            </w:r>
          </w:p>
        </w:tc>
        <w:tc>
          <w:tcPr/>
          <w:p>
            <w:pPr>
              <w:pStyle w:val="Compact"/>
              <w:jc w:val="left"/>
            </w:pPr>
            <w:r>
              <w:t xml:space="preserve">Redo checkpoints Ch 1–7</w:t>
            </w:r>
          </w:p>
        </w:tc>
        <w:tc>
          <w:tcPr/>
          <w:p>
            <w:pPr>
              <w:pStyle w:val="Compact"/>
              <w:jc w:val="left"/>
            </w:pPr>
            <w:r>
              <w:rPr>
                <w:bCs/>
                <w:b/>
              </w:rPr>
              <w:t xml:space="preserve">Month 2 milestone review</w:t>
            </w:r>
          </w:p>
        </w:tc>
      </w:tr>
      <w:tr>
        <w:tc>
          <w:tcPr/>
          <w:p>
            <w:pPr>
              <w:pStyle w:val="Compact"/>
              <w:jc w:val="left"/>
            </w:pPr>
            <w:r>
              <w:t xml:space="preserve">9</w:t>
            </w:r>
          </w:p>
        </w:tc>
        <w:tc>
          <w:tcPr/>
          <w:p>
            <w:pPr>
              <w:pStyle w:val="Compact"/>
              <w:jc w:val="left"/>
            </w:pPr>
            <w:r>
              <w:t xml:space="preserve">8</w:t>
            </w:r>
          </w:p>
        </w:tc>
        <w:tc>
          <w:tcPr/>
          <w:p>
            <w:pPr>
              <w:pStyle w:val="Compact"/>
              <w:jc w:val="left"/>
            </w:pPr>
            <w:r>
              <w:t xml:space="preserve">P-01 REST API with pagination and JWT</w:t>
            </w:r>
          </w:p>
        </w:tc>
        <w:tc>
          <w:tcPr/>
          <w:p>
            <w:pPr>
              <w:pStyle w:val="Compact"/>
              <w:jc w:val="left"/>
            </w:pPr>
            <w:r>
              <w:t xml:space="preserve">Defend cursor vs offset pagination</w:t>
            </w:r>
          </w:p>
        </w:tc>
      </w:tr>
      <w:tr>
        <w:tc>
          <w:tcPr/>
          <w:p>
            <w:pPr>
              <w:pStyle w:val="Compact"/>
              <w:jc w:val="left"/>
            </w:pPr>
            <w:r>
              <w:t xml:space="preserve">10</w:t>
            </w:r>
          </w:p>
        </w:tc>
        <w:tc>
          <w:tcPr/>
          <w:p>
            <w:pPr>
              <w:pStyle w:val="Compact"/>
              <w:jc w:val="left"/>
            </w:pPr>
            <w:r>
              <w:t xml:space="preserve">11</w:t>
            </w:r>
          </w:p>
        </w:tc>
        <w:tc>
          <w:tcPr/>
          <w:p>
            <w:pPr>
              <w:pStyle w:val="Compact"/>
              <w:jc w:val="left"/>
            </w:pPr>
            <w:r>
              <w:t xml:space="preserve">Schema design +</w:t>
            </w:r>
            <w:r>
              <w:t xml:space="preserve"> </w:t>
            </w:r>
            <w:r>
              <w:rPr>
                <w:rStyle w:val="VerbatimChar"/>
              </w:rPr>
              <w:t xml:space="preserve">EXPLAIN</w:t>
            </w:r>
            <w:r>
              <w:t xml:space="preserve"> </w:t>
            </w:r>
            <w:r>
              <w:t xml:space="preserve">on indexed vs unindexed queries</w:t>
            </w:r>
          </w:p>
        </w:tc>
        <w:tc>
          <w:tcPr/>
          <w:p>
            <w:pPr>
              <w:pStyle w:val="Compact"/>
              <w:jc w:val="left"/>
            </w:pPr>
            <w:r>
              <w:t xml:space="preserve">Explain B+ tree lookups in I/Os</w:t>
            </w:r>
          </w:p>
        </w:tc>
      </w:tr>
      <w:tr>
        <w:tc>
          <w:tcPr/>
          <w:p>
            <w:pPr>
              <w:pStyle w:val="Compact"/>
              <w:jc w:val="left"/>
            </w:pPr>
            <w:r>
              <w:t xml:space="preserve">11</w:t>
            </w:r>
          </w:p>
        </w:tc>
        <w:tc>
          <w:tcPr/>
          <w:p>
            <w:pPr>
              <w:pStyle w:val="Compact"/>
              <w:jc w:val="left"/>
            </w:pPr>
            <w:r>
              <w:t xml:space="preserve">35, 36</w:t>
            </w:r>
          </w:p>
        </w:tc>
        <w:tc>
          <w:tcPr/>
          <w:p>
            <w:pPr>
              <w:pStyle w:val="Compact"/>
              <w:jc w:val="left"/>
            </w:pPr>
            <w:r>
              <w:t xml:space="preserve">Refactor a small codebase with SOLID</w:t>
            </w:r>
          </w:p>
        </w:tc>
        <w:tc>
          <w:tcPr/>
          <w:p>
            <w:pPr>
              <w:pStyle w:val="Compact"/>
              <w:jc w:val="left"/>
            </w:pPr>
            <w:r>
              <w:t xml:space="preserve">Class diagram from memory</w:t>
            </w:r>
          </w:p>
        </w:tc>
      </w:tr>
      <w:tr>
        <w:tc>
          <w:tcPr/>
          <w:p>
            <w:pPr>
              <w:pStyle w:val="Compact"/>
              <w:jc w:val="left"/>
            </w:pPr>
            <w:r>
              <w:t xml:space="preserve">12</w:t>
            </w:r>
          </w:p>
        </w:tc>
        <w:tc>
          <w:tcPr/>
          <w:p>
            <w:pPr>
              <w:pStyle w:val="Compact"/>
              <w:jc w:val="left"/>
            </w:pPr>
            <w:r>
              <w:t xml:space="preserve">9, 10</w:t>
            </w:r>
          </w:p>
        </w:tc>
        <w:tc>
          <w:tcPr/>
          <w:p>
            <w:pPr>
              <w:pStyle w:val="Compact"/>
              <w:jc w:val="left"/>
            </w:pPr>
            <w:r>
              <w:t xml:space="preserve">SSE + WebSocket demo; password hashing</w:t>
            </w:r>
          </w:p>
        </w:tc>
        <w:tc>
          <w:tcPr/>
          <w:p>
            <w:pPr>
              <w:pStyle w:val="Compact"/>
              <w:jc w:val="left"/>
            </w:pPr>
            <w:r>
              <w:t xml:space="preserve">Choose a real-time technique for 3 scenarios</w:t>
            </w:r>
          </w:p>
        </w:tc>
      </w:tr>
      <w:tr>
        <w:tc>
          <w:tcPr/>
          <w:p>
            <w:pPr>
              <w:pStyle w:val="Compact"/>
              <w:jc w:val="left"/>
            </w:pPr>
            <w:r>
              <w:t xml:space="preserve">13</w:t>
            </w:r>
          </w:p>
        </w:tc>
        <w:tc>
          <w:tcPr/>
          <w:p>
            <w:pPr>
              <w:pStyle w:val="Compact"/>
              <w:jc w:val="left"/>
            </w:pPr>
            <w:r>
              <w:t xml:space="preserve">Review</w:t>
            </w:r>
          </w:p>
        </w:tc>
        <w:tc>
          <w:tcPr/>
          <w:p>
            <w:pPr>
              <w:pStyle w:val="Compact"/>
              <w:jc w:val="left"/>
            </w:pPr>
            <w:r>
              <w:t xml:space="preserve">P-02 URL shortener (single node)</w:t>
            </w:r>
          </w:p>
        </w:tc>
        <w:tc>
          <w:tcPr/>
          <w:p>
            <w:pPr>
              <w:pStyle w:val="Compact"/>
              <w:jc w:val="left"/>
            </w:pPr>
            <w:r>
              <w:rPr>
                <w:bCs/>
                <w:b/>
              </w:rPr>
              <w:t xml:space="preserve">Level 1 exit</w:t>
            </w:r>
            <w:r>
              <w:t xml:space="preserve">: self-assessment ≥ 14</w:t>
            </w:r>
          </w:p>
        </w:tc>
      </w:tr>
      <w:tr>
        <w:tc>
          <w:tcPr/>
          <w:p>
            <w:pPr>
              <w:pStyle w:val="Compact"/>
              <w:jc w:val="left"/>
            </w:pPr>
            <w:r>
              <w:t xml:space="preserve">14</w:t>
            </w:r>
          </w:p>
        </w:tc>
        <w:tc>
          <w:tcPr/>
          <w:p>
            <w:pPr>
              <w:pStyle w:val="Compact"/>
              <w:jc w:val="left"/>
            </w:pPr>
            <w:r>
              <w:t xml:space="preserve">12</w:t>
            </w:r>
          </w:p>
        </w:tc>
        <w:tc>
          <w:tcPr/>
          <w:p>
            <w:pPr>
              <w:pStyle w:val="Compact"/>
              <w:jc w:val="left"/>
            </w:pPr>
            <w:r>
              <w:t xml:space="preserve">Model one domain in a document DB and a wide-column DB</w:t>
            </w:r>
          </w:p>
        </w:tc>
        <w:tc>
          <w:tcPr/>
          <w:p>
            <w:pPr>
              <w:pStyle w:val="Compact"/>
              <w:jc w:val="left"/>
            </w:pPr>
            <w:r>
              <w:t xml:space="preserve">SQL vs NoSQL decision for 5 prompts</w:t>
            </w:r>
          </w:p>
        </w:tc>
      </w:tr>
      <w:tr>
        <w:tc>
          <w:tcPr/>
          <w:p>
            <w:pPr>
              <w:pStyle w:val="Compact"/>
              <w:jc w:val="left"/>
            </w:pPr>
            <w:r>
              <w:t xml:space="preserve">15</w:t>
            </w:r>
          </w:p>
        </w:tc>
        <w:tc>
          <w:tcPr/>
          <w:p>
            <w:pPr>
              <w:pStyle w:val="Compact"/>
              <w:jc w:val="left"/>
            </w:pPr>
            <w:r>
              <w:t xml:space="preserve">13</w:t>
            </w:r>
          </w:p>
        </w:tc>
        <w:tc>
          <w:tcPr/>
          <w:p>
            <w:pPr>
              <w:pStyle w:val="Compact"/>
              <w:jc w:val="left"/>
            </w:pPr>
            <w:r>
              <w:t xml:space="preserve">Toy LSM tree (memtable + SSTables + compaction)</w:t>
            </w:r>
          </w:p>
        </w:tc>
        <w:tc>
          <w:tcPr/>
          <w:p>
            <w:pPr>
              <w:pStyle w:val="Compact"/>
              <w:jc w:val="left"/>
            </w:pPr>
            <w:r>
              <w:t xml:space="preserve">Draw write path with WAL</w:t>
            </w:r>
          </w:p>
        </w:tc>
      </w:tr>
      <w:tr>
        <w:tc>
          <w:tcPr/>
          <w:p>
            <w:pPr>
              <w:pStyle w:val="Compact"/>
              <w:jc w:val="left"/>
            </w:pPr>
            <w:r>
              <w:t xml:space="preserve">16</w:t>
            </w:r>
          </w:p>
        </w:tc>
        <w:tc>
          <w:tcPr/>
          <w:p>
            <w:pPr>
              <w:pStyle w:val="Compact"/>
              <w:jc w:val="left"/>
            </w:pPr>
            <w:r>
              <w:t xml:space="preserve">14</w:t>
            </w:r>
          </w:p>
        </w:tc>
        <w:tc>
          <w:tcPr/>
          <w:p>
            <w:pPr>
              <w:pStyle w:val="Compact"/>
              <w:jc w:val="left"/>
            </w:pPr>
            <w:r>
              <w:t xml:space="preserve">Consistent-hashing ring with virtual nodes</w:t>
            </w:r>
          </w:p>
        </w:tc>
        <w:tc>
          <w:tcPr/>
          <w:p>
            <w:pPr>
              <w:pStyle w:val="Compact"/>
              <w:jc w:val="left"/>
            </w:pPr>
            <w:r>
              <w:t xml:space="preserve">Keys moved when adding a node</w:t>
            </w:r>
          </w:p>
        </w:tc>
      </w:tr>
      <w:tr>
        <w:tc>
          <w:tcPr/>
          <w:p>
            <w:pPr>
              <w:pStyle w:val="Compact"/>
              <w:jc w:val="left"/>
            </w:pPr>
            <w:r>
              <w:t xml:space="preserve">17</w:t>
            </w:r>
          </w:p>
        </w:tc>
        <w:tc>
          <w:tcPr/>
          <w:p>
            <w:pPr>
              <w:pStyle w:val="Compact"/>
              <w:jc w:val="left"/>
            </w:pPr>
            <w:r>
              <w:t xml:space="preserve">15, 16</w:t>
            </w:r>
          </w:p>
        </w:tc>
        <w:tc>
          <w:tcPr/>
          <w:p>
            <w:pPr>
              <w:pStyle w:val="Compact"/>
              <w:jc w:val="left"/>
            </w:pPr>
            <w:r>
              <w:t xml:space="preserve">Inverted index + BM25 in Python</w:t>
            </w:r>
          </w:p>
        </w:tc>
        <w:tc>
          <w:tcPr/>
          <w:p>
            <w:pPr>
              <w:pStyle w:val="Compact"/>
              <w:jc w:val="left"/>
            </w:pPr>
            <w:r>
              <w:t xml:space="preserve">Explain erasure coding overhead</w:t>
            </w:r>
          </w:p>
        </w:tc>
      </w:tr>
      <w:tr>
        <w:tc>
          <w:tcPr/>
          <w:p>
            <w:pPr>
              <w:pStyle w:val="Compact"/>
              <w:jc w:val="left"/>
            </w:pPr>
            <w:r>
              <w:t xml:space="preserve">18</w:t>
            </w:r>
          </w:p>
        </w:tc>
        <w:tc>
          <w:tcPr/>
          <w:p>
            <w:pPr>
              <w:pStyle w:val="Compact"/>
              <w:jc w:val="left"/>
            </w:pPr>
            <w:r>
              <w:t xml:space="preserve">17</w:t>
            </w:r>
          </w:p>
        </w:tc>
        <w:tc>
          <w:tcPr/>
          <w:p>
            <w:pPr>
              <w:pStyle w:val="Compact"/>
              <w:jc w:val="left"/>
            </w:pPr>
            <w:r>
              <w:t xml:space="preserve">Bloom filter, HyperLogLog, Snowflake IDs</w:t>
            </w:r>
          </w:p>
        </w:tc>
        <w:tc>
          <w:tcPr/>
          <w:p>
            <w:pPr>
              <w:pStyle w:val="Compact"/>
              <w:jc w:val="left"/>
            </w:pPr>
            <w:r>
              <w:t xml:space="preserve">False-positive-rate calculation</w:t>
            </w:r>
          </w:p>
        </w:tc>
      </w:tr>
      <w:tr>
        <w:tc>
          <w:tcPr/>
          <w:p>
            <w:pPr>
              <w:pStyle w:val="Compact"/>
              <w:jc w:val="left"/>
            </w:pPr>
            <w:r>
              <w:t xml:space="preserve">19</w:t>
            </w:r>
          </w:p>
        </w:tc>
        <w:tc>
          <w:tcPr/>
          <w:p>
            <w:pPr>
              <w:pStyle w:val="Compact"/>
              <w:jc w:val="left"/>
            </w:pPr>
            <w:r>
              <w:t xml:space="preserve">18, 19</w:t>
            </w:r>
          </w:p>
        </w:tc>
        <w:tc>
          <w:tcPr/>
          <w:p>
            <w:pPr>
              <w:pStyle w:val="Compact"/>
              <w:jc w:val="left"/>
            </w:pPr>
            <w:r>
              <w:t xml:space="preserve">P-05 load-balancer simulation</w:t>
            </w:r>
          </w:p>
        </w:tc>
        <w:tc>
          <w:tcPr/>
          <w:p>
            <w:pPr>
              <w:pStyle w:val="Compact"/>
              <w:jc w:val="left"/>
            </w:pPr>
            <w:r>
              <w:t xml:space="preserve">Power-of-two-choices intuition</w:t>
            </w:r>
          </w:p>
        </w:tc>
      </w:tr>
      <w:tr>
        <w:tc>
          <w:tcPr/>
          <w:p>
            <w:pPr>
              <w:pStyle w:val="Compact"/>
              <w:jc w:val="left"/>
            </w:pPr>
            <w:r>
              <w:t xml:space="preserve">20</w:t>
            </w:r>
          </w:p>
        </w:tc>
        <w:tc>
          <w:tcPr/>
          <w:p>
            <w:pPr>
              <w:pStyle w:val="Compact"/>
              <w:jc w:val="left"/>
            </w:pPr>
            <w:r>
              <w:t xml:space="preserve">20, 21</w:t>
            </w:r>
          </w:p>
        </w:tc>
        <w:tc>
          <w:tcPr/>
          <w:p>
            <w:pPr>
              <w:pStyle w:val="Compact"/>
              <w:jc w:val="left"/>
            </w:pPr>
            <w:r>
              <w:t xml:space="preserve">P-03 Redis cache-aside with stampede protection</w:t>
            </w:r>
          </w:p>
        </w:tc>
        <w:tc>
          <w:tcPr/>
          <w:p>
            <w:pPr>
              <w:pStyle w:val="Compact"/>
              <w:jc w:val="left"/>
            </w:pPr>
            <w:r>
              <w:t xml:space="preserve">Five caching patterns from memory</w:t>
            </w:r>
          </w:p>
        </w:tc>
      </w:tr>
      <w:tr>
        <w:tc>
          <w:tcPr/>
          <w:p>
            <w:pPr>
              <w:pStyle w:val="Compact"/>
              <w:jc w:val="left"/>
            </w:pPr>
            <w:r>
              <w:t xml:space="preserve">21</w:t>
            </w:r>
          </w:p>
        </w:tc>
        <w:tc>
          <w:tcPr/>
          <w:p>
            <w:pPr>
              <w:pStyle w:val="Compact"/>
              <w:jc w:val="left"/>
            </w:pPr>
            <w:r>
              <w:t xml:space="preserve">22</w:t>
            </w:r>
          </w:p>
        </w:tc>
        <w:tc>
          <w:tcPr/>
          <w:p>
            <w:pPr>
              <w:pStyle w:val="Compact"/>
              <w:jc w:val="left"/>
            </w:pPr>
            <w:r>
              <w:t xml:space="preserve">P-04 distributed rate limiter</w:t>
            </w:r>
          </w:p>
        </w:tc>
        <w:tc>
          <w:tcPr/>
          <w:p>
            <w:pPr>
              <w:pStyle w:val="Compact"/>
              <w:jc w:val="left"/>
            </w:pPr>
            <w:r>
              <w:t xml:space="preserve">Token bucket parameters for a given SLA</w:t>
            </w:r>
          </w:p>
        </w:tc>
      </w:tr>
      <w:tr>
        <w:tc>
          <w:tcPr/>
          <w:p>
            <w:pPr>
              <w:pStyle w:val="Compact"/>
              <w:jc w:val="left"/>
            </w:pPr>
            <w:r>
              <w:t xml:space="preserve">22</w:t>
            </w:r>
          </w:p>
        </w:tc>
        <w:tc>
          <w:tcPr/>
          <w:p>
            <w:pPr>
              <w:pStyle w:val="Compact"/>
              <w:jc w:val="left"/>
            </w:pPr>
            <w:r>
              <w:t xml:space="preserve">23</w:t>
            </w:r>
          </w:p>
        </w:tc>
        <w:tc>
          <w:tcPr/>
          <w:p>
            <w:pPr>
              <w:pStyle w:val="Compact"/>
              <w:jc w:val="left"/>
            </w:pPr>
            <w:r>
              <w:t xml:space="preserve">Load test with</w:t>
            </w:r>
            <w:r>
              <w:t xml:space="preserve"> </w:t>
            </w:r>
            <w:r>
              <w:rPr>
                <w:rStyle w:val="VerbatimChar"/>
              </w:rPr>
              <w:t xml:space="preserve">wrk</w:t>
            </w:r>
            <w:r>
              <w:t xml:space="preserve">/</w:t>
            </w:r>
            <w:r>
              <w:rPr>
                <w:rStyle w:val="VerbatimChar"/>
              </w:rPr>
              <w:t xml:space="preserve">k6</w:t>
            </w:r>
            <w:r>
              <w:t xml:space="preserve">; find the bottleneck</w:t>
            </w:r>
          </w:p>
        </w:tc>
        <w:tc>
          <w:tcPr/>
          <w:p>
            <w:pPr>
              <w:pStyle w:val="Compact"/>
              <w:jc w:val="left"/>
            </w:pPr>
            <w:r>
              <w:t xml:space="preserve">Explain coordinated omission</w:t>
            </w:r>
          </w:p>
        </w:tc>
      </w:tr>
      <w:tr>
        <w:tc>
          <w:tcPr/>
          <w:p>
            <w:pPr>
              <w:pStyle w:val="Compact"/>
              <w:jc w:val="left"/>
            </w:pPr>
            <w:r>
              <w:t xml:space="preserve">23</w:t>
            </w:r>
          </w:p>
        </w:tc>
        <w:tc>
          <w:tcPr/>
          <w:p>
            <w:pPr>
              <w:pStyle w:val="Compact"/>
              <w:jc w:val="left"/>
            </w:pPr>
            <w:r>
              <w:t xml:space="preserve">24</w:t>
            </w:r>
          </w:p>
        </w:tc>
        <w:tc>
          <w:tcPr/>
          <w:p>
            <w:pPr>
              <w:pStyle w:val="Compact"/>
              <w:jc w:val="left"/>
            </w:pPr>
            <w:r>
              <w:t xml:space="preserve">Lamport and vector clocks implementation</w:t>
            </w:r>
          </w:p>
        </w:tc>
        <w:tc>
          <w:tcPr/>
          <w:p>
            <w:pPr>
              <w:pStyle w:val="Compact"/>
              <w:jc w:val="left"/>
            </w:pPr>
            <w:r>
              <w:t xml:space="preserve">Two partial-failure stories</w:t>
            </w:r>
          </w:p>
        </w:tc>
      </w:tr>
      <w:tr>
        <w:tc>
          <w:tcPr/>
          <w:p>
            <w:pPr>
              <w:pStyle w:val="Compact"/>
              <w:jc w:val="left"/>
            </w:pPr>
            <w:r>
              <w:t xml:space="preserve">24</w:t>
            </w:r>
          </w:p>
        </w:tc>
        <w:tc>
          <w:tcPr/>
          <w:p>
            <w:pPr>
              <w:pStyle w:val="Compact"/>
              <w:jc w:val="left"/>
            </w:pPr>
            <w:r>
              <w:t xml:space="preserve">30</w:t>
            </w:r>
          </w:p>
        </w:tc>
        <w:tc>
          <w:tcPr/>
          <w:p>
            <w:pPr>
              <w:pStyle w:val="Compact"/>
              <w:jc w:val="left"/>
            </w:pPr>
            <w:r>
              <w:t xml:space="preserve">P-06 message queue with acks and DLQ</w:t>
            </w:r>
          </w:p>
        </w:tc>
        <w:tc>
          <w:tcPr/>
          <w:p>
            <w:pPr>
              <w:pStyle w:val="Compact"/>
              <w:jc w:val="left"/>
            </w:pPr>
            <w:r>
              <w:t xml:space="preserve">Delivery semantics table from memory</w:t>
            </w:r>
          </w:p>
        </w:tc>
      </w:tr>
      <w:tr>
        <w:tc>
          <w:tcPr/>
          <w:p>
            <w:pPr>
              <w:pStyle w:val="Compact"/>
              <w:jc w:val="left"/>
            </w:pPr>
            <w:r>
              <w:t xml:space="preserve">25</w:t>
            </w:r>
          </w:p>
        </w:tc>
        <w:tc>
          <w:tcPr/>
          <w:p>
            <w:pPr>
              <w:pStyle w:val="Compact"/>
              <w:jc w:val="left"/>
            </w:pPr>
            <w:r>
              <w:t xml:space="preserve">33, 37</w:t>
            </w:r>
          </w:p>
        </w:tc>
        <w:tc>
          <w:tcPr/>
          <w:p>
            <w:pPr>
              <w:pStyle w:val="Compact"/>
              <w:jc w:val="left"/>
            </w:pPr>
            <w:r>
              <w:t xml:space="preserve">Implement 6 design patterns</w:t>
            </w:r>
          </w:p>
        </w:tc>
        <w:tc>
          <w:tcPr/>
          <w:p>
            <w:pPr>
              <w:pStyle w:val="Compact"/>
              <w:jc w:val="left"/>
            </w:pPr>
            <w:r>
              <w:t xml:space="preserve">Monolith vs microservices debate</w:t>
            </w:r>
          </w:p>
        </w:tc>
      </w:tr>
      <w:tr>
        <w:tc>
          <w:tcPr/>
          <w:p>
            <w:pPr>
              <w:pStyle w:val="Compact"/>
              <w:jc w:val="left"/>
            </w:pPr>
            <w:r>
              <w:t xml:space="preserve">26</w:t>
            </w:r>
          </w:p>
        </w:tc>
        <w:tc>
          <w:tcPr/>
          <w:p>
            <w:pPr>
              <w:pStyle w:val="Compact"/>
              <w:jc w:val="left"/>
            </w:pPr>
            <w:r>
              <w:t xml:space="preserve">Review</w:t>
            </w:r>
          </w:p>
        </w:tc>
        <w:tc>
          <w:tcPr/>
          <w:p>
            <w:pPr>
              <w:pStyle w:val="Compact"/>
              <w:jc w:val="left"/>
            </w:pPr>
            <w:r>
              <w:t xml:space="preserve">Ch 52.1–52.4 case studies</w:t>
            </w:r>
          </w:p>
        </w:tc>
        <w:tc>
          <w:tcPr/>
          <w:p>
            <w:pPr>
              <w:pStyle w:val="Compact"/>
              <w:jc w:val="left"/>
            </w:pPr>
            <w:r>
              <w:rPr>
                <w:bCs/>
                <w:b/>
              </w:rPr>
              <w:t xml:space="preserve">Level 2 exit</w:t>
            </w:r>
            <w:r>
              <w:t xml:space="preserve"> </w:t>
            </w:r>
            <w:r>
              <w:t xml:space="preserve">+</w:t>
            </w:r>
            <w:r>
              <w:t xml:space="preserve"> </w:t>
            </w:r>
            <w:r>
              <w:rPr>
                <w:bCs/>
                <w:b/>
              </w:rPr>
              <w:t xml:space="preserve">Month 6 milestone</w:t>
            </w:r>
          </w:p>
        </w:tc>
      </w:tr>
      <w:tr>
        <w:tc>
          <w:tcPr/>
          <w:p>
            <w:pPr>
              <w:pStyle w:val="Compact"/>
              <w:jc w:val="left"/>
            </w:pPr>
            <w:r>
              <w:t xml:space="preserve">27</w:t>
            </w:r>
          </w:p>
        </w:tc>
        <w:tc>
          <w:tcPr/>
          <w:p>
            <w:pPr>
              <w:pStyle w:val="Compact"/>
              <w:jc w:val="left"/>
            </w:pPr>
            <w:r>
              <w:t xml:space="preserve">25</w:t>
            </w:r>
          </w:p>
        </w:tc>
        <w:tc>
          <w:tcPr/>
          <w:p>
            <w:pPr>
              <w:pStyle w:val="Compact"/>
              <w:jc w:val="left"/>
            </w:pPr>
            <w:r>
              <w:t xml:space="preserve">Jepsen-style anomaly hunt on a toy store</w:t>
            </w:r>
          </w:p>
        </w:tc>
        <w:tc>
          <w:tcPr/>
          <w:p>
            <w:pPr>
              <w:pStyle w:val="Compact"/>
              <w:jc w:val="left"/>
            </w:pPr>
            <w:r>
              <w:t xml:space="preserve">Consistency hierarchy diagram</w:t>
            </w:r>
          </w:p>
        </w:tc>
      </w:tr>
      <w:tr>
        <w:tc>
          <w:tcPr/>
          <w:p>
            <w:pPr>
              <w:pStyle w:val="Compact"/>
              <w:jc w:val="left"/>
            </w:pPr>
            <w:r>
              <w:t xml:space="preserve">28</w:t>
            </w:r>
          </w:p>
        </w:tc>
        <w:tc>
          <w:tcPr/>
          <w:p>
            <w:pPr>
              <w:pStyle w:val="Compact"/>
              <w:jc w:val="left"/>
            </w:pPr>
            <w:r>
              <w:t xml:space="preserve">26</w:t>
            </w:r>
          </w:p>
        </w:tc>
        <w:tc>
          <w:tcPr/>
          <w:p>
            <w:pPr>
              <w:pStyle w:val="Compact"/>
              <w:jc w:val="left"/>
            </w:pPr>
            <w:r>
              <w:t xml:space="preserve">Raft (election + log replication) — MIT 6.5840 style</w:t>
            </w:r>
          </w:p>
        </w:tc>
        <w:tc>
          <w:tcPr/>
          <w:p>
            <w:pPr>
              <w:pStyle w:val="Compact"/>
              <w:jc w:val="left"/>
            </w:pPr>
            <w:r>
              <w:t xml:space="preserve">Explain fencing tokens</w:t>
            </w:r>
          </w:p>
        </w:tc>
      </w:tr>
      <w:tr>
        <w:tc>
          <w:tcPr/>
          <w:p>
            <w:pPr>
              <w:pStyle w:val="Compact"/>
              <w:jc w:val="left"/>
            </w:pPr>
            <w:r>
              <w:t xml:space="preserve">29</w:t>
            </w:r>
          </w:p>
        </w:tc>
        <w:tc>
          <w:tcPr/>
          <w:p>
            <w:pPr>
              <w:pStyle w:val="Compact"/>
              <w:jc w:val="left"/>
            </w:pPr>
            <w:r>
              <w:t xml:space="preserve">27, 28</w:t>
            </w:r>
          </w:p>
        </w:tc>
        <w:tc>
          <w:tcPr/>
          <w:p>
            <w:pPr>
              <w:pStyle w:val="Compact"/>
              <w:jc w:val="left"/>
            </w:pPr>
            <w:r>
              <w:t xml:space="preserve">P-07 distributed KV store with quorums</w:t>
            </w:r>
          </w:p>
        </w:tc>
        <w:tc>
          <w:tcPr/>
          <w:p>
            <w:pPr>
              <w:pStyle w:val="Compact"/>
              <w:jc w:val="left"/>
            </w:pPr>
            <w:r>
              <w:t xml:space="preserve">2PC failure walkthrough</w:t>
            </w:r>
          </w:p>
        </w:tc>
      </w:tr>
      <w:tr>
        <w:tc>
          <w:tcPr/>
          <w:p>
            <w:pPr>
              <w:pStyle w:val="Compact"/>
              <w:jc w:val="left"/>
            </w:pPr>
            <w:r>
              <w:t xml:space="preserve">30</w:t>
            </w:r>
          </w:p>
        </w:tc>
        <w:tc>
          <w:tcPr/>
          <w:p>
            <w:pPr>
              <w:pStyle w:val="Compact"/>
              <w:jc w:val="left"/>
            </w:pPr>
            <w:r>
              <w:t xml:space="preserve">29, 31</w:t>
            </w:r>
          </w:p>
        </w:tc>
        <w:tc>
          <w:tcPr/>
          <w:p>
            <w:pPr>
              <w:pStyle w:val="Compact"/>
              <w:jc w:val="left"/>
            </w:pPr>
            <w:r>
              <w:t xml:space="preserve">Kafka locally: partitions, consumer groups, lag</w:t>
            </w:r>
          </w:p>
        </w:tc>
        <w:tc>
          <w:tcPr/>
          <w:p>
            <w:pPr>
              <w:pStyle w:val="Compact"/>
              <w:jc w:val="left"/>
            </w:pPr>
            <w:r>
              <w:t xml:space="preserve">Partition count sizing</w:t>
            </w:r>
          </w:p>
        </w:tc>
      </w:tr>
      <w:tr>
        <w:tc>
          <w:tcPr/>
          <w:p>
            <w:pPr>
              <w:pStyle w:val="Compact"/>
              <w:jc w:val="left"/>
            </w:pPr>
            <w:r>
              <w:t xml:space="preserve">31</w:t>
            </w:r>
          </w:p>
        </w:tc>
        <w:tc>
          <w:tcPr/>
          <w:p>
            <w:pPr>
              <w:pStyle w:val="Compact"/>
              <w:jc w:val="left"/>
            </w:pPr>
            <w:r>
              <w:t xml:space="preserve">32, 34</w:t>
            </w:r>
          </w:p>
        </w:tc>
        <w:tc>
          <w:tcPr/>
          <w:p>
            <w:pPr>
              <w:pStyle w:val="Compact"/>
              <w:jc w:val="left"/>
            </w:pPr>
            <w:r>
              <w:t xml:space="preserve">Outbox + saga demo</w:t>
            </w:r>
          </w:p>
        </w:tc>
        <w:tc>
          <w:tcPr/>
          <w:p>
            <w:pPr>
              <w:pStyle w:val="Compact"/>
              <w:jc w:val="left"/>
            </w:pPr>
            <w:r>
              <w:t xml:space="preserve">Choreography vs orchestration</w:t>
            </w:r>
          </w:p>
        </w:tc>
      </w:tr>
      <w:tr>
        <w:tc>
          <w:tcPr/>
          <w:p>
            <w:pPr>
              <w:pStyle w:val="Compact"/>
              <w:jc w:val="left"/>
            </w:pPr>
            <w:r>
              <w:t xml:space="preserve">32</w:t>
            </w:r>
          </w:p>
        </w:tc>
        <w:tc>
          <w:tcPr/>
          <w:p>
            <w:pPr>
              <w:pStyle w:val="Compact"/>
              <w:jc w:val="left"/>
            </w:pPr>
            <w:r>
              <w:t xml:space="preserve">38</w:t>
            </w:r>
          </w:p>
        </w:tc>
        <w:tc>
          <w:tcPr/>
          <w:p>
            <w:pPr>
              <w:pStyle w:val="Compact"/>
              <w:jc w:val="left"/>
            </w:pPr>
            <w:r>
              <w:t xml:space="preserve">Four LLD problems (parking lot, elevator, LRU, vending)</w:t>
            </w:r>
          </w:p>
        </w:tc>
        <w:tc>
          <w:tcPr/>
          <w:p>
            <w:pPr>
              <w:pStyle w:val="Compact"/>
              <w:jc w:val="left"/>
            </w:pPr>
            <w:r>
              <w:t xml:space="preserve">45-min LLD mock</w:t>
            </w:r>
          </w:p>
        </w:tc>
      </w:tr>
      <w:tr>
        <w:tc>
          <w:tcPr/>
          <w:p>
            <w:pPr>
              <w:pStyle w:val="Compact"/>
              <w:jc w:val="left"/>
            </w:pPr>
            <w:r>
              <w:t xml:space="preserve">33</w:t>
            </w:r>
          </w:p>
        </w:tc>
        <w:tc>
          <w:tcPr/>
          <w:p>
            <w:pPr>
              <w:pStyle w:val="Compact"/>
              <w:jc w:val="left"/>
            </w:pPr>
            <w:r>
              <w:t xml:space="preserve">39, 40</w:t>
            </w:r>
          </w:p>
        </w:tc>
        <w:tc>
          <w:tcPr/>
          <w:p>
            <w:pPr>
              <w:pStyle w:val="Compact"/>
              <w:jc w:val="left"/>
            </w:pPr>
            <w:r>
              <w:t xml:space="preserve">SLOs, burn-rate alerts, OpenTelemetry tracing</w:t>
            </w:r>
          </w:p>
        </w:tc>
        <w:tc>
          <w:tcPr/>
          <w:p>
            <w:pPr>
              <w:pStyle w:val="Compact"/>
              <w:jc w:val="left"/>
            </w:pPr>
            <w:r>
              <w:t xml:space="preserve">Error-budget policy</w:t>
            </w:r>
          </w:p>
        </w:tc>
      </w:tr>
      <w:tr>
        <w:tc>
          <w:tcPr/>
          <w:p>
            <w:pPr>
              <w:pStyle w:val="Compact"/>
              <w:jc w:val="left"/>
            </w:pPr>
            <w:r>
              <w:t xml:space="preserve">34</w:t>
            </w:r>
          </w:p>
        </w:tc>
        <w:tc>
          <w:tcPr/>
          <w:p>
            <w:pPr>
              <w:pStyle w:val="Compact"/>
              <w:jc w:val="left"/>
            </w:pPr>
            <w:r>
              <w:t xml:space="preserve">41, 42</w:t>
            </w:r>
          </w:p>
        </w:tc>
        <w:tc>
          <w:tcPr/>
          <w:p>
            <w:pPr>
              <w:pStyle w:val="Compact"/>
              <w:jc w:val="left"/>
            </w:pPr>
            <w:r>
              <w:t xml:space="preserve">Deploy P-01 to Kubernetes with HPA</w:t>
            </w:r>
          </w:p>
        </w:tc>
        <w:tc>
          <w:tcPr/>
          <w:p>
            <w:pPr>
              <w:pStyle w:val="Compact"/>
              <w:jc w:val="left"/>
            </w:pPr>
            <w:r>
              <w:t xml:space="preserve">Kubernetes control-plane walk-through</w:t>
            </w:r>
          </w:p>
        </w:tc>
      </w:tr>
      <w:tr>
        <w:tc>
          <w:tcPr/>
          <w:p>
            <w:pPr>
              <w:pStyle w:val="Compact"/>
              <w:jc w:val="left"/>
            </w:pPr>
            <w:r>
              <w:t xml:space="preserve">35</w:t>
            </w:r>
          </w:p>
        </w:tc>
        <w:tc>
          <w:tcPr/>
          <w:p>
            <w:pPr>
              <w:pStyle w:val="Compact"/>
              <w:jc w:val="left"/>
            </w:pPr>
            <w:r>
              <w:t xml:space="preserve">43</w:t>
            </w:r>
          </w:p>
        </w:tc>
        <w:tc>
          <w:tcPr/>
          <w:p>
            <w:pPr>
              <w:pStyle w:val="Compact"/>
              <w:jc w:val="left"/>
            </w:pPr>
            <w:r>
              <w:t xml:space="preserve">CI/CD with canary; Terraform a VPC</w:t>
            </w:r>
          </w:p>
        </w:tc>
        <w:tc>
          <w:tcPr/>
          <w:p>
            <w:pPr>
              <w:pStyle w:val="Compact"/>
              <w:jc w:val="left"/>
            </w:pPr>
            <w:r>
              <w:t xml:space="preserve">Rollback plan</w:t>
            </w:r>
          </w:p>
        </w:tc>
      </w:tr>
      <w:tr>
        <w:tc>
          <w:tcPr/>
          <w:p>
            <w:pPr>
              <w:pStyle w:val="Compact"/>
              <w:jc w:val="left"/>
            </w:pPr>
            <w:r>
              <w:t xml:space="preserve">36</w:t>
            </w:r>
          </w:p>
        </w:tc>
        <w:tc>
          <w:tcPr/>
          <w:p>
            <w:pPr>
              <w:pStyle w:val="Compact"/>
              <w:jc w:val="left"/>
            </w:pPr>
            <w:r>
              <w:t xml:space="preserve">52, 53</w:t>
            </w:r>
          </w:p>
        </w:tc>
        <w:tc>
          <w:tcPr/>
          <w:p>
            <w:pPr>
              <w:pStyle w:val="Compact"/>
              <w:jc w:val="left"/>
            </w:pPr>
            <w:r>
              <w:t xml:space="preserve">P-09 notification service; P-10 chat</w:t>
            </w:r>
          </w:p>
        </w:tc>
        <w:tc>
          <w:tcPr/>
          <w:p>
            <w:pPr>
              <w:pStyle w:val="Compact"/>
              <w:jc w:val="left"/>
            </w:pPr>
            <w:r>
              <w:t xml:space="preserve">Two 45-min mocks</w:t>
            </w:r>
          </w:p>
        </w:tc>
      </w:tr>
      <w:tr>
        <w:tc>
          <w:tcPr/>
          <w:p>
            <w:pPr>
              <w:pStyle w:val="Compact"/>
              <w:jc w:val="left"/>
            </w:pPr>
            <w:r>
              <w:t xml:space="preserve">37</w:t>
            </w:r>
          </w:p>
        </w:tc>
        <w:tc>
          <w:tcPr/>
          <w:p>
            <w:pPr>
              <w:pStyle w:val="Compact"/>
              <w:jc w:val="left"/>
            </w:pPr>
            <w:r>
              <w:t xml:space="preserve">54, 55</w:t>
            </w:r>
          </w:p>
        </w:tc>
        <w:tc>
          <w:tcPr/>
          <w:p>
            <w:pPr>
              <w:pStyle w:val="Compact"/>
              <w:jc w:val="left"/>
            </w:pPr>
            <w:r>
              <w:t xml:space="preserve">YouTube, Uber, payment system cases</w:t>
            </w:r>
          </w:p>
        </w:tc>
        <w:tc>
          <w:tcPr/>
          <w:p>
            <w:pPr>
              <w:pStyle w:val="Compact"/>
              <w:jc w:val="left"/>
            </w:pPr>
            <w:r>
              <w:t xml:space="preserve">Two 45-min mocks</w:t>
            </w:r>
          </w:p>
        </w:tc>
      </w:tr>
      <w:tr>
        <w:tc>
          <w:tcPr/>
          <w:p>
            <w:pPr>
              <w:pStyle w:val="Compact"/>
              <w:jc w:val="left"/>
            </w:pPr>
            <w:r>
              <w:t xml:space="preserve">38</w:t>
            </w:r>
          </w:p>
        </w:tc>
        <w:tc>
          <w:tcPr/>
          <w:p>
            <w:pPr>
              <w:pStyle w:val="Compact"/>
              <w:jc w:val="left"/>
            </w:pPr>
            <w:r>
              <w:t xml:space="preserve">Review</w:t>
            </w:r>
          </w:p>
        </w:tc>
        <w:tc>
          <w:tcPr/>
          <w:p>
            <w:pPr>
              <w:pStyle w:val="Compact"/>
              <w:jc w:val="left"/>
            </w:pPr>
            <w:r>
              <w:t xml:space="preserve">56 + P-11 job scheduler</w:t>
            </w:r>
          </w:p>
        </w:tc>
        <w:tc>
          <w:tcPr/>
          <w:p>
            <w:pPr>
              <w:pStyle w:val="Compact"/>
              <w:jc w:val="left"/>
            </w:pPr>
            <w:r>
              <w:rPr>
                <w:bCs/>
                <w:b/>
              </w:rPr>
              <w:t xml:space="preserve">Level 3 exit (Track A)</w:t>
            </w:r>
          </w:p>
        </w:tc>
      </w:tr>
      <w:tr>
        <w:tc>
          <w:tcPr/>
          <w:p>
            <w:pPr>
              <w:pStyle w:val="Compact"/>
              <w:jc w:val="left"/>
            </w:pPr>
            <w:r>
              <w:t xml:space="preserve">39</w:t>
            </w:r>
          </w:p>
        </w:tc>
        <w:tc>
          <w:tcPr/>
          <w:p>
            <w:pPr>
              <w:pStyle w:val="Compact"/>
              <w:jc w:val="left"/>
            </w:pPr>
            <w:r>
              <w:t xml:space="preserve">57</w:t>
            </w:r>
          </w:p>
        </w:tc>
        <w:tc>
          <w:tcPr/>
          <w:p>
            <w:pPr>
              <w:pStyle w:val="Compact"/>
              <w:jc w:val="left"/>
            </w:pPr>
            <w:r>
              <w:t xml:space="preserve">Train/evaluate a classifier; compute all metrics</w:t>
            </w:r>
          </w:p>
        </w:tc>
        <w:tc>
          <w:tcPr/>
          <w:p>
            <w:pPr>
              <w:pStyle w:val="Compact"/>
              <w:jc w:val="left"/>
            </w:pPr>
            <w:r>
              <w:t xml:space="preserve">Precision/recall trade-off for fraud</w:t>
            </w:r>
          </w:p>
        </w:tc>
      </w:tr>
      <w:tr>
        <w:tc>
          <w:tcPr/>
          <w:p>
            <w:pPr>
              <w:pStyle w:val="Compact"/>
              <w:jc w:val="left"/>
            </w:pPr>
            <w:r>
              <w:t xml:space="preserve">40</w:t>
            </w:r>
          </w:p>
        </w:tc>
        <w:tc>
          <w:tcPr/>
          <w:p>
            <w:pPr>
              <w:pStyle w:val="Compact"/>
              <w:jc w:val="left"/>
            </w:pPr>
            <w:r>
              <w:t xml:space="preserve">58, 59</w:t>
            </w:r>
          </w:p>
        </w:tc>
        <w:tc>
          <w:tcPr/>
          <w:p>
            <w:pPr>
              <w:pStyle w:val="Compact"/>
              <w:jc w:val="left"/>
            </w:pPr>
            <w:r>
              <w:t xml:space="preserve">Small MLP in PyTorch; memory math</w:t>
            </w:r>
          </w:p>
        </w:tc>
        <w:tc>
          <w:tcPr/>
          <w:p>
            <w:pPr>
              <w:pStyle w:val="Compact"/>
              <w:jc w:val="left"/>
            </w:pPr>
            <w:r>
              <w:t xml:space="preserve">ML lifecycle diagram</w:t>
            </w:r>
          </w:p>
        </w:tc>
      </w:tr>
      <w:tr>
        <w:tc>
          <w:tcPr/>
          <w:p>
            <w:pPr>
              <w:pStyle w:val="Compact"/>
              <w:jc w:val="left"/>
            </w:pPr>
            <w:r>
              <w:t xml:space="preserve">41</w:t>
            </w:r>
          </w:p>
        </w:tc>
        <w:tc>
          <w:tcPr/>
          <w:p>
            <w:pPr>
              <w:pStyle w:val="Compact"/>
              <w:jc w:val="left"/>
            </w:pPr>
            <w:r>
              <w:t xml:space="preserve">60, 61</w:t>
            </w:r>
          </w:p>
        </w:tc>
        <w:tc>
          <w:tcPr/>
          <w:p>
            <w:pPr>
              <w:pStyle w:val="Compact"/>
              <w:jc w:val="left"/>
            </w:pPr>
            <w:r>
              <w:t xml:space="preserve">Batch + streaming feature pipeline</w:t>
            </w:r>
          </w:p>
        </w:tc>
        <w:tc>
          <w:tcPr/>
          <w:p>
            <w:pPr>
              <w:pStyle w:val="Compact"/>
              <w:jc w:val="left"/>
            </w:pPr>
            <w:r>
              <w:t xml:space="preserve">Lambda vs Kappa</w:t>
            </w:r>
          </w:p>
        </w:tc>
      </w:tr>
      <w:tr>
        <w:tc>
          <w:tcPr/>
          <w:p>
            <w:pPr>
              <w:pStyle w:val="Compact"/>
              <w:jc w:val="left"/>
            </w:pPr>
            <w:r>
              <w:t xml:space="preserve">42</w:t>
            </w:r>
          </w:p>
        </w:tc>
        <w:tc>
          <w:tcPr/>
          <w:p>
            <w:pPr>
              <w:pStyle w:val="Compact"/>
              <w:jc w:val="left"/>
            </w:pPr>
            <w:r>
              <w:t xml:space="preserve">62, 63</w:t>
            </w:r>
          </w:p>
        </w:tc>
        <w:tc>
          <w:tcPr/>
          <w:p>
            <w:pPr>
              <w:pStyle w:val="Compact"/>
              <w:jc w:val="left"/>
            </w:pPr>
            <w:r>
              <w:t xml:space="preserve">Feast feature store with PIT join</w:t>
            </w:r>
          </w:p>
        </w:tc>
        <w:tc>
          <w:tcPr/>
          <w:p>
            <w:pPr>
              <w:pStyle w:val="Compact"/>
              <w:jc w:val="left"/>
            </w:pPr>
            <w:r>
              <w:t xml:space="preserve">Training–serving skew causes</w:t>
            </w:r>
          </w:p>
        </w:tc>
      </w:tr>
      <w:tr>
        <w:tc>
          <w:tcPr/>
          <w:p>
            <w:pPr>
              <w:pStyle w:val="Compact"/>
              <w:jc w:val="left"/>
            </w:pPr>
            <w:r>
              <w:t xml:space="preserve">43</w:t>
            </w:r>
          </w:p>
        </w:tc>
        <w:tc>
          <w:tcPr/>
          <w:p>
            <w:pPr>
              <w:pStyle w:val="Compact"/>
              <w:jc w:val="left"/>
            </w:pPr>
            <w:r>
              <w:t xml:space="preserve">64</w:t>
            </w:r>
          </w:p>
        </w:tc>
        <w:tc>
          <w:tcPr/>
          <w:p>
            <w:pPr>
              <w:pStyle w:val="Compact"/>
              <w:jc w:val="left"/>
            </w:pPr>
            <w:r>
              <w:t xml:space="preserve">Roofline analysis of a matmul</w:t>
            </w:r>
          </w:p>
        </w:tc>
        <w:tc>
          <w:tcPr/>
          <w:p>
            <w:pPr>
              <w:pStyle w:val="Compact"/>
              <w:jc w:val="left"/>
            </w:pPr>
            <w:r>
              <w:t xml:space="preserve">Compute- vs memory-bound</w:t>
            </w:r>
          </w:p>
        </w:tc>
      </w:tr>
      <w:tr>
        <w:tc>
          <w:tcPr/>
          <w:p>
            <w:pPr>
              <w:pStyle w:val="Compact"/>
              <w:jc w:val="left"/>
            </w:pPr>
            <w:r>
              <w:t xml:space="preserve">44</w:t>
            </w:r>
          </w:p>
        </w:tc>
        <w:tc>
          <w:tcPr/>
          <w:p>
            <w:pPr>
              <w:pStyle w:val="Compact"/>
              <w:jc w:val="left"/>
            </w:pPr>
            <w:r>
              <w:t xml:space="preserve">65</w:t>
            </w:r>
          </w:p>
        </w:tc>
        <w:tc>
          <w:tcPr/>
          <w:p>
            <w:pPr>
              <w:pStyle w:val="Compact"/>
              <w:jc w:val="left"/>
            </w:pPr>
            <w:r>
              <w:t xml:space="preserve">DDP on 2 GPUs (or simulated); FLOPs estimate</w:t>
            </w:r>
          </w:p>
        </w:tc>
        <w:tc>
          <w:tcPr/>
          <w:p>
            <w:pPr>
              <w:pStyle w:val="Compact"/>
              <w:jc w:val="left"/>
            </w:pPr>
            <w:r>
              <w:t xml:space="preserve">6ND estimate for a model</w:t>
            </w:r>
          </w:p>
        </w:tc>
      </w:tr>
      <w:tr>
        <w:tc>
          <w:tcPr/>
          <w:p>
            <w:pPr>
              <w:pStyle w:val="Compact"/>
              <w:jc w:val="left"/>
            </w:pPr>
            <w:r>
              <w:t xml:space="preserve">45</w:t>
            </w:r>
          </w:p>
        </w:tc>
        <w:tc>
          <w:tcPr/>
          <w:p>
            <w:pPr>
              <w:pStyle w:val="Compact"/>
              <w:jc w:val="left"/>
            </w:pPr>
            <w:r>
              <w:t xml:space="preserve">66, 67</w:t>
            </w:r>
          </w:p>
        </w:tc>
        <w:tc>
          <w:tcPr/>
          <w:p>
            <w:pPr>
              <w:pStyle w:val="Compact"/>
              <w:jc w:val="left"/>
            </w:pPr>
            <w:r>
              <w:t xml:space="preserve">Serve a model with dynamic batching; quantize it</w:t>
            </w:r>
          </w:p>
        </w:tc>
        <w:tc>
          <w:tcPr/>
          <w:p>
            <w:pPr>
              <w:pStyle w:val="Compact"/>
              <w:jc w:val="left"/>
            </w:pPr>
            <w:r>
              <w:t xml:space="preserve">Batch size vs latency curve</w:t>
            </w:r>
          </w:p>
        </w:tc>
      </w:tr>
      <w:tr>
        <w:tc>
          <w:tcPr/>
          <w:p>
            <w:pPr>
              <w:pStyle w:val="Compact"/>
              <w:jc w:val="left"/>
            </w:pPr>
            <w:r>
              <w:t xml:space="preserve">46</w:t>
            </w:r>
          </w:p>
        </w:tc>
        <w:tc>
          <w:tcPr/>
          <w:p>
            <w:pPr>
              <w:pStyle w:val="Compact"/>
              <w:jc w:val="left"/>
            </w:pPr>
            <w:r>
              <w:t xml:space="preserve">68–71</w:t>
            </w:r>
          </w:p>
        </w:tc>
        <w:tc>
          <w:tcPr/>
          <w:p>
            <w:pPr>
              <w:pStyle w:val="Compact"/>
              <w:jc w:val="left"/>
            </w:pPr>
            <w:r>
              <w:t xml:space="preserve">P-14 two-tower recommender; drift monitor</w:t>
            </w:r>
          </w:p>
        </w:tc>
        <w:tc>
          <w:tcPr/>
          <w:p>
            <w:pPr>
              <w:pStyle w:val="Compact"/>
              <w:jc w:val="left"/>
            </w:pPr>
            <w:r>
              <w:t xml:space="preserve">Multi-stage funnel sizing</w:t>
            </w:r>
          </w:p>
        </w:tc>
      </w:tr>
      <w:tr>
        <w:tc>
          <w:tcPr/>
          <w:p>
            <w:pPr>
              <w:pStyle w:val="Compact"/>
              <w:jc w:val="left"/>
            </w:pPr>
            <w:r>
              <w:t xml:space="preserve">47</w:t>
            </w:r>
          </w:p>
        </w:tc>
        <w:tc>
          <w:tcPr/>
          <w:p>
            <w:pPr>
              <w:pStyle w:val="Compact"/>
              <w:jc w:val="left"/>
            </w:pPr>
            <w:r>
              <w:t xml:space="preserve">72</w:t>
            </w:r>
          </w:p>
        </w:tc>
        <w:tc>
          <w:tcPr/>
          <w:p>
            <w:pPr>
              <w:pStyle w:val="Compact"/>
              <w:jc w:val="left"/>
            </w:pPr>
            <w:r>
              <w:t xml:space="preserve">Implement attention + KV cache in NumPy</w:t>
            </w:r>
          </w:p>
        </w:tc>
        <w:tc>
          <w:tcPr/>
          <w:p>
            <w:pPr>
              <w:pStyle w:val="Compact"/>
              <w:jc w:val="left"/>
            </w:pPr>
            <w:r>
              <w:t xml:space="preserve">KV-cache size for a 70B model</w:t>
            </w:r>
          </w:p>
        </w:tc>
      </w:tr>
      <w:tr>
        <w:tc>
          <w:tcPr/>
          <w:p>
            <w:pPr>
              <w:pStyle w:val="Compact"/>
              <w:jc w:val="left"/>
            </w:pPr>
            <w:r>
              <w:t xml:space="preserve">48</w:t>
            </w:r>
          </w:p>
        </w:tc>
        <w:tc>
          <w:tcPr/>
          <w:p>
            <w:pPr>
              <w:pStyle w:val="Compact"/>
              <w:jc w:val="left"/>
            </w:pPr>
            <w:r>
              <w:t xml:space="preserve">73</w:t>
            </w:r>
          </w:p>
        </w:tc>
        <w:tc>
          <w:tcPr/>
          <w:p>
            <w:pPr>
              <w:pStyle w:val="Compact"/>
              <w:jc w:val="left"/>
            </w:pPr>
            <w:r>
              <w:t xml:space="preserve">Run vLLM; measure TTFT/TPOT vs concurrency</w:t>
            </w:r>
          </w:p>
        </w:tc>
        <w:tc>
          <w:tcPr/>
          <w:p>
            <w:pPr>
              <w:pStyle w:val="Compact"/>
              <w:jc w:val="left"/>
            </w:pPr>
            <w:r>
              <w:t xml:space="preserve">Continuous batching explanation</w:t>
            </w:r>
          </w:p>
        </w:tc>
      </w:tr>
      <w:tr>
        <w:tc>
          <w:tcPr/>
          <w:p>
            <w:pPr>
              <w:pStyle w:val="Compact"/>
              <w:jc w:val="left"/>
            </w:pPr>
            <w:r>
              <w:t xml:space="preserve">49</w:t>
            </w:r>
          </w:p>
        </w:tc>
        <w:tc>
          <w:tcPr/>
          <w:p>
            <w:pPr>
              <w:pStyle w:val="Compact"/>
              <w:jc w:val="left"/>
            </w:pPr>
            <w:r>
              <w:t xml:space="preserve">74, 75</w:t>
            </w:r>
          </w:p>
        </w:tc>
        <w:tc>
          <w:tcPr/>
          <w:p>
            <w:pPr>
              <w:pStyle w:val="Compact"/>
              <w:jc w:val="left"/>
            </w:pPr>
            <w:r>
              <w:t xml:space="preserve">P-18 production RAG with hybrid search + reranking</w:t>
            </w:r>
          </w:p>
        </w:tc>
        <w:tc>
          <w:tcPr/>
          <w:p>
            <w:pPr>
              <w:pStyle w:val="Compact"/>
              <w:jc w:val="left"/>
            </w:pPr>
            <w:r>
              <w:t xml:space="preserve">Retrieval metrics</w:t>
            </w:r>
          </w:p>
        </w:tc>
      </w:tr>
      <w:tr>
        <w:tc>
          <w:tcPr/>
          <w:p>
            <w:pPr>
              <w:pStyle w:val="Compact"/>
              <w:jc w:val="left"/>
            </w:pPr>
            <w:r>
              <w:t xml:space="preserve">50</w:t>
            </w:r>
          </w:p>
        </w:tc>
        <w:tc>
          <w:tcPr/>
          <w:p>
            <w:pPr>
              <w:pStyle w:val="Compact"/>
              <w:jc w:val="left"/>
            </w:pPr>
            <w:r>
              <w:t xml:space="preserve">76–78</w:t>
            </w:r>
          </w:p>
        </w:tc>
        <w:tc>
          <w:tcPr/>
          <w:p>
            <w:pPr>
              <w:pStyle w:val="Compact"/>
              <w:jc w:val="left"/>
            </w:pPr>
            <w:r>
              <w:t xml:space="preserve">Agent with tool calling, guardrails and eval set</w:t>
            </w:r>
          </w:p>
        </w:tc>
        <w:tc>
          <w:tcPr/>
          <w:p>
            <w:pPr>
              <w:pStyle w:val="Compact"/>
              <w:jc w:val="left"/>
            </w:pPr>
            <w:r>
              <w:t xml:space="preserve">Prompt-injection defenses</w:t>
            </w:r>
          </w:p>
        </w:tc>
      </w:tr>
      <w:tr>
        <w:tc>
          <w:tcPr/>
          <w:p>
            <w:pPr>
              <w:pStyle w:val="Compact"/>
              <w:jc w:val="left"/>
            </w:pPr>
            <w:r>
              <w:t xml:space="preserve">51</w:t>
            </w:r>
          </w:p>
        </w:tc>
        <w:tc>
          <w:tcPr/>
          <w:p>
            <w:pPr>
              <w:pStyle w:val="Compact"/>
              <w:jc w:val="left"/>
            </w:pPr>
            <w:r>
              <w:t xml:space="preserve">79, 80, 81–86 (2 cases)</w:t>
            </w:r>
          </w:p>
        </w:tc>
        <w:tc>
          <w:tcPr/>
          <w:p>
            <w:pPr>
              <w:pStyle w:val="Compact"/>
              <w:jc w:val="left"/>
            </w:pPr>
            <w:r>
              <w:t xml:space="preserve">Model gateway with token-based rate limits</w:t>
            </w:r>
          </w:p>
        </w:tc>
        <w:tc>
          <w:tcPr/>
          <w:p>
            <w:pPr>
              <w:pStyle w:val="Compact"/>
              <w:jc w:val="left"/>
            </w:pPr>
            <w:r>
              <w:t xml:space="preserve">Two ML/AI mocks</w:t>
            </w:r>
          </w:p>
        </w:tc>
      </w:tr>
      <w:tr>
        <w:tc>
          <w:tcPr/>
          <w:p>
            <w:pPr>
              <w:pStyle w:val="Compact"/>
              <w:jc w:val="left"/>
            </w:pPr>
            <w:r>
              <w:t xml:space="preserve">52</w:t>
            </w:r>
          </w:p>
        </w:tc>
        <w:tc>
          <w:tcPr/>
          <w:p>
            <w:pPr>
              <w:pStyle w:val="Compact"/>
              <w:jc w:val="left"/>
            </w:pPr>
            <w:r>
              <w:t xml:space="preserve">87–92</w:t>
            </w:r>
          </w:p>
        </w:tc>
        <w:tc>
          <w:tcPr/>
          <w:p>
            <w:pPr>
              <w:pStyle w:val="Compact"/>
              <w:jc w:val="left"/>
            </w:pPr>
            <w:r>
              <w:t xml:space="preserve">Full mock loop: 2 traditional + 2 ML/AI</w:t>
            </w:r>
          </w:p>
        </w:tc>
        <w:tc>
          <w:tcPr/>
          <w:p>
            <w:pPr>
              <w:pStyle w:val="Compact"/>
              <w:jc w:val="left"/>
            </w:pPr>
            <w:r>
              <w:rPr>
                <w:bCs/>
                <w:b/>
              </w:rPr>
              <w:t xml:space="preserve">Level 4 readiness review</w:t>
            </w:r>
          </w:p>
        </w:tc>
      </w:tr>
    </w:tbl>
    <w:p>
      <w:pPr>
        <w:pStyle w:val="BodyText"/>
      </w:pPr>
      <w:r>
        <w:t xml:space="preserve">Level 5 content (Ch 45, 49, 80 deep dives, primary-paper reading) is a continuing program after week 52: one paper and one design critique per week.</w:t>
      </w:r>
    </w:p>
    <w:bookmarkEnd w:id="3347"/>
    <w:bookmarkStart w:id="3348" w:name="X6bad20a274ee3089543a24720af05e2a4c55667"/>
    <w:p>
      <w:pPr>
        <w:pStyle w:val="Heading2"/>
      </w:pPr>
      <w:r>
        <w:t xml:space="preserve">E.5 Track 2 — 16-week interview track (Level 2–3 engineer → senior interviews)</w:t>
      </w:r>
    </w:p>
    <w:p>
      <w:pPr>
        <w:pStyle w:val="FirstParagraph"/>
      </w:pPr>
      <w:r>
        <w:rPr>
          <w:bCs/>
          <w:b/>
        </w:rPr>
        <w:t xml:space="preserve">Budget:</w:t>
      </w:r>
      <w:r>
        <w:t xml:space="preserve"> </w:t>
      </w:r>
      <w:r>
        <w:t xml:space="preserve">12–15 hours/week. Assumes Level 2 fundamentals.</w:t>
      </w:r>
    </w:p>
    <w:p>
      <w:pPr>
        <w:pStyle w:val="BodyText"/>
      </w:pPr>
      <w:r>
        <w:rPr>
          <w:bCs/>
          <w:b/>
        </w:rPr>
        <w:t xml:space="preserve">Table E.3 — Interview track.</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Wk</w:t>
            </w:r>
          </w:p>
        </w:tc>
        <w:tc>
          <w:tcPr/>
          <w:p>
            <w:pPr>
              <w:pStyle w:val="Compact"/>
              <w:jc w:val="left"/>
            </w:pPr>
            <w:r>
              <w:t xml:space="preserve">Focus</w:t>
            </w:r>
          </w:p>
        </w:tc>
        <w:tc>
          <w:tcPr/>
          <w:p>
            <w:pPr>
              <w:pStyle w:val="Compact"/>
              <w:jc w:val="left"/>
            </w:pPr>
            <w:r>
              <w:t xml:space="preserve">Chapters</w:t>
            </w:r>
          </w:p>
        </w:tc>
        <w:tc>
          <w:tcPr/>
          <w:p>
            <w:pPr>
              <w:pStyle w:val="Compact"/>
              <w:jc w:val="left"/>
            </w:pPr>
            <w:r>
              <w:t xml:space="preserve">Practice</w:t>
            </w:r>
          </w:p>
        </w:tc>
      </w:tr>
      <w:tr>
        <w:tc>
          <w:tcPr/>
          <w:p>
            <w:pPr>
              <w:pStyle w:val="Compact"/>
              <w:jc w:val="left"/>
            </w:pPr>
            <w:r>
              <w:t xml:space="preserve">1</w:t>
            </w:r>
          </w:p>
        </w:tc>
        <w:tc>
          <w:tcPr/>
          <w:p>
            <w:pPr>
              <w:pStyle w:val="Compact"/>
              <w:jc w:val="left"/>
            </w:pPr>
            <w:r>
              <w:t xml:space="preserve">Framework and estimation</w:t>
            </w:r>
          </w:p>
        </w:tc>
        <w:tc>
          <w:tcPr/>
          <w:p>
            <w:pPr>
              <w:pStyle w:val="Compact"/>
              <w:jc w:val="left"/>
            </w:pPr>
            <w:r>
              <w:t xml:space="preserve">2, 4, 87, 88, 89</w:t>
            </w:r>
          </w:p>
        </w:tc>
        <w:tc>
          <w:tcPr/>
          <w:p>
            <w:pPr>
              <w:pStyle w:val="Compact"/>
              <w:jc w:val="left"/>
            </w:pPr>
            <w:r>
              <w:t xml:space="preserve">30 estimation drills</w:t>
            </w:r>
          </w:p>
        </w:tc>
      </w:tr>
      <w:tr>
        <w:tc>
          <w:tcPr/>
          <w:p>
            <w:pPr>
              <w:pStyle w:val="Compact"/>
              <w:jc w:val="left"/>
            </w:pPr>
            <w:r>
              <w:t xml:space="preserve">2</w:t>
            </w:r>
          </w:p>
        </w:tc>
        <w:tc>
          <w:tcPr/>
          <w:p>
            <w:pPr>
              <w:pStyle w:val="Compact"/>
              <w:jc w:val="left"/>
            </w:pPr>
            <w:r>
              <w:t xml:space="preserve">Data systems refresh</w:t>
            </w:r>
          </w:p>
        </w:tc>
        <w:tc>
          <w:tcPr/>
          <w:p>
            <w:pPr>
              <w:pStyle w:val="Compact"/>
              <w:jc w:val="left"/>
            </w:pPr>
            <w:r>
              <w:t xml:space="preserve">11, 12, 14</w:t>
            </w:r>
          </w:p>
        </w:tc>
        <w:tc>
          <w:tcPr/>
          <w:p>
            <w:pPr>
              <w:pStyle w:val="Compact"/>
              <w:jc w:val="left"/>
            </w:pPr>
            <w:r>
              <w:t xml:space="preserve">Q-T-01 … Q-T-04</w:t>
            </w:r>
          </w:p>
        </w:tc>
      </w:tr>
      <w:tr>
        <w:tc>
          <w:tcPr/>
          <w:p>
            <w:pPr>
              <w:pStyle w:val="Compact"/>
              <w:jc w:val="left"/>
            </w:pPr>
            <w:r>
              <w:t xml:space="preserve">3</w:t>
            </w:r>
          </w:p>
        </w:tc>
        <w:tc>
          <w:tcPr/>
          <w:p>
            <w:pPr>
              <w:pStyle w:val="Compact"/>
              <w:jc w:val="left"/>
            </w:pPr>
            <w:r>
              <w:t xml:space="preserve">Caching, CDN, LB</w:t>
            </w:r>
          </w:p>
        </w:tc>
        <w:tc>
          <w:tcPr/>
          <w:p>
            <w:pPr>
              <w:pStyle w:val="Compact"/>
              <w:jc w:val="left"/>
            </w:pPr>
            <w:r>
              <w:t xml:space="preserve">19, 20, 21</w:t>
            </w:r>
          </w:p>
        </w:tc>
        <w:tc>
          <w:tcPr/>
          <w:p>
            <w:pPr>
              <w:pStyle w:val="Compact"/>
              <w:jc w:val="left"/>
            </w:pPr>
            <w:r>
              <w:t xml:space="preserve">Q-T-05 … Q-T-08</w:t>
            </w:r>
          </w:p>
        </w:tc>
      </w:tr>
      <w:tr>
        <w:tc>
          <w:tcPr/>
          <w:p>
            <w:pPr>
              <w:pStyle w:val="Compact"/>
              <w:jc w:val="left"/>
            </w:pPr>
            <w:r>
              <w:t xml:space="preserve">4</w:t>
            </w:r>
          </w:p>
        </w:tc>
        <w:tc>
          <w:tcPr/>
          <w:p>
            <w:pPr>
              <w:pStyle w:val="Compact"/>
              <w:jc w:val="left"/>
            </w:pPr>
            <w:r>
              <w:t xml:space="preserve">Traffic management</w:t>
            </w:r>
          </w:p>
        </w:tc>
        <w:tc>
          <w:tcPr/>
          <w:p>
            <w:pPr>
              <w:pStyle w:val="Compact"/>
              <w:jc w:val="left"/>
            </w:pPr>
            <w:r>
              <w:t xml:space="preserve">22, 17</w:t>
            </w:r>
          </w:p>
        </w:tc>
        <w:tc>
          <w:tcPr/>
          <w:p>
            <w:pPr>
              <w:pStyle w:val="Compact"/>
              <w:jc w:val="left"/>
            </w:pPr>
            <w:r>
              <w:t xml:space="preserve">Rate limiter + URL shortener mocks</w:t>
            </w:r>
          </w:p>
        </w:tc>
      </w:tr>
      <w:tr>
        <w:tc>
          <w:tcPr/>
          <w:p>
            <w:pPr>
              <w:pStyle w:val="Compact"/>
              <w:jc w:val="left"/>
            </w:pPr>
            <w:r>
              <w:t xml:space="preserve">5</w:t>
            </w:r>
          </w:p>
        </w:tc>
        <w:tc>
          <w:tcPr/>
          <w:p>
            <w:pPr>
              <w:pStyle w:val="Compact"/>
              <w:jc w:val="left"/>
            </w:pPr>
            <w:r>
              <w:t xml:space="preserve">Distributed core</w:t>
            </w:r>
          </w:p>
        </w:tc>
        <w:tc>
          <w:tcPr/>
          <w:p>
            <w:pPr>
              <w:pStyle w:val="Compact"/>
              <w:jc w:val="left"/>
            </w:pPr>
            <w:r>
              <w:t xml:space="preserve">24, 25, 26</w:t>
            </w:r>
          </w:p>
        </w:tc>
        <w:tc>
          <w:tcPr/>
          <w:p>
            <w:pPr>
              <w:pStyle w:val="Compact"/>
              <w:jc w:val="left"/>
            </w:pPr>
            <w:r>
              <w:t xml:space="preserve">KV-store mock</w:t>
            </w:r>
          </w:p>
        </w:tc>
      </w:tr>
      <w:tr>
        <w:tc>
          <w:tcPr/>
          <w:p>
            <w:pPr>
              <w:pStyle w:val="Compact"/>
              <w:jc w:val="left"/>
            </w:pPr>
            <w:r>
              <w:t xml:space="preserve">6</w:t>
            </w:r>
          </w:p>
        </w:tc>
        <w:tc>
          <w:tcPr/>
          <w:p>
            <w:pPr>
              <w:pStyle w:val="Compact"/>
              <w:jc w:val="left"/>
            </w:pPr>
            <w:r>
              <w:t xml:space="preserve">Replication and transactions</w:t>
            </w:r>
          </w:p>
        </w:tc>
        <w:tc>
          <w:tcPr/>
          <w:p>
            <w:pPr>
              <w:pStyle w:val="Compact"/>
              <w:jc w:val="left"/>
            </w:pPr>
            <w:r>
              <w:t xml:space="preserve">27, 28</w:t>
            </w:r>
          </w:p>
        </w:tc>
        <w:tc>
          <w:tcPr/>
          <w:p>
            <w:pPr>
              <w:pStyle w:val="Compact"/>
              <w:jc w:val="left"/>
            </w:pPr>
            <w:r>
              <w:t xml:space="preserve">Payment-system mock</w:t>
            </w:r>
          </w:p>
        </w:tc>
      </w:tr>
      <w:tr>
        <w:tc>
          <w:tcPr/>
          <w:p>
            <w:pPr>
              <w:pStyle w:val="Compact"/>
              <w:jc w:val="left"/>
            </w:pPr>
            <w:r>
              <w:t xml:space="preserve">7</w:t>
            </w:r>
          </w:p>
        </w:tc>
        <w:tc>
          <w:tcPr/>
          <w:p>
            <w:pPr>
              <w:pStyle w:val="Compact"/>
              <w:jc w:val="left"/>
            </w:pPr>
            <w:r>
              <w:t xml:space="preserve">Messaging</w:t>
            </w:r>
          </w:p>
        </w:tc>
        <w:tc>
          <w:tcPr/>
          <w:p>
            <w:pPr>
              <w:pStyle w:val="Compact"/>
              <w:jc w:val="left"/>
            </w:pPr>
            <w:r>
              <w:t xml:space="preserve">30, 31, 32</w:t>
            </w:r>
          </w:p>
        </w:tc>
        <w:tc>
          <w:tcPr/>
          <w:p>
            <w:pPr>
              <w:pStyle w:val="Compact"/>
              <w:jc w:val="left"/>
            </w:pPr>
            <w:r>
              <w:t xml:space="preserve">Notification-system mock</w:t>
            </w:r>
          </w:p>
        </w:tc>
      </w:tr>
      <w:tr>
        <w:tc>
          <w:tcPr/>
          <w:p>
            <w:pPr>
              <w:pStyle w:val="Compact"/>
              <w:jc w:val="left"/>
            </w:pPr>
            <w:r>
              <w:t xml:space="preserve">8</w:t>
            </w:r>
          </w:p>
        </w:tc>
        <w:tc>
          <w:tcPr/>
          <w:p>
            <w:pPr>
              <w:pStyle w:val="Compact"/>
              <w:jc w:val="left"/>
            </w:pPr>
            <w:r>
              <w:t xml:space="preserve">Microservices and reliability</w:t>
            </w:r>
          </w:p>
        </w:tc>
        <w:tc>
          <w:tcPr/>
          <w:p>
            <w:pPr>
              <w:pStyle w:val="Compact"/>
              <w:jc w:val="left"/>
            </w:pPr>
            <w:r>
              <w:t xml:space="preserve">34, 39, 40</w:t>
            </w:r>
          </w:p>
        </w:tc>
        <w:tc>
          <w:tcPr/>
          <w:p>
            <w:pPr>
              <w:pStyle w:val="Compact"/>
              <w:jc w:val="left"/>
            </w:pPr>
            <w:r>
              <w:t xml:space="preserve">Mid-point mock with a peer</w:t>
            </w:r>
          </w:p>
        </w:tc>
      </w:tr>
      <w:tr>
        <w:tc>
          <w:tcPr/>
          <w:p>
            <w:pPr>
              <w:pStyle w:val="Compact"/>
              <w:jc w:val="left"/>
            </w:pPr>
            <w:r>
              <w:t xml:space="preserve">9</w:t>
            </w:r>
          </w:p>
        </w:tc>
        <w:tc>
          <w:tcPr/>
          <w:p>
            <w:pPr>
              <w:pStyle w:val="Compact"/>
              <w:jc w:val="left"/>
            </w:pPr>
            <w:r>
              <w:t xml:space="preserve">Social systems</w:t>
            </w:r>
          </w:p>
        </w:tc>
        <w:tc>
          <w:tcPr/>
          <w:p>
            <w:pPr>
              <w:pStyle w:val="Compact"/>
              <w:jc w:val="left"/>
            </w:pPr>
            <w:r>
              <w:t xml:space="preserve">53</w:t>
            </w:r>
          </w:p>
        </w:tc>
        <w:tc>
          <w:tcPr/>
          <w:p>
            <w:pPr>
              <w:pStyle w:val="Compact"/>
              <w:jc w:val="left"/>
            </w:pPr>
            <w:r>
              <w:t xml:space="preserve">News feed, chat, Twitter mocks</w:t>
            </w:r>
          </w:p>
        </w:tc>
      </w:tr>
      <w:tr>
        <w:tc>
          <w:tcPr/>
          <w:p>
            <w:pPr>
              <w:pStyle w:val="Compact"/>
              <w:jc w:val="left"/>
            </w:pPr>
            <w:r>
              <w:t xml:space="preserve">10</w:t>
            </w:r>
          </w:p>
        </w:tc>
        <w:tc>
          <w:tcPr/>
          <w:p>
            <w:pPr>
              <w:pStyle w:val="Compact"/>
              <w:jc w:val="left"/>
            </w:pPr>
            <w:r>
              <w:t xml:space="preserve">Media and files</w:t>
            </w:r>
          </w:p>
        </w:tc>
        <w:tc>
          <w:tcPr/>
          <w:p>
            <w:pPr>
              <w:pStyle w:val="Compact"/>
              <w:jc w:val="left"/>
            </w:pPr>
            <w:r>
              <w:t xml:space="preserve">54</w:t>
            </w:r>
          </w:p>
        </w:tc>
        <w:tc>
          <w:tcPr/>
          <w:p>
            <w:pPr>
              <w:pStyle w:val="Compact"/>
              <w:jc w:val="left"/>
            </w:pPr>
            <w:r>
              <w:t xml:space="preserve">YouTube, Dropbox mocks</w:t>
            </w:r>
          </w:p>
        </w:tc>
      </w:tr>
      <w:tr>
        <w:tc>
          <w:tcPr/>
          <w:p>
            <w:pPr>
              <w:pStyle w:val="Compact"/>
              <w:jc w:val="left"/>
            </w:pPr>
            <w:r>
              <w:t xml:space="preserve">11</w:t>
            </w:r>
          </w:p>
        </w:tc>
        <w:tc>
          <w:tcPr/>
          <w:p>
            <w:pPr>
              <w:pStyle w:val="Compact"/>
              <w:jc w:val="left"/>
            </w:pPr>
            <w:r>
              <w:t xml:space="preserve">Location and commerce</w:t>
            </w:r>
          </w:p>
        </w:tc>
        <w:tc>
          <w:tcPr/>
          <w:p>
            <w:pPr>
              <w:pStyle w:val="Compact"/>
              <w:jc w:val="left"/>
            </w:pPr>
            <w:r>
              <w:t xml:space="preserve">55</w:t>
            </w:r>
          </w:p>
        </w:tc>
        <w:tc>
          <w:tcPr/>
          <w:p>
            <w:pPr>
              <w:pStyle w:val="Compact"/>
              <w:jc w:val="left"/>
            </w:pPr>
            <w:r>
              <w:t xml:space="preserve">Uber, ticketing mocks</w:t>
            </w:r>
          </w:p>
        </w:tc>
      </w:tr>
      <w:tr>
        <w:tc>
          <w:tcPr/>
          <w:p>
            <w:pPr>
              <w:pStyle w:val="Compact"/>
              <w:jc w:val="left"/>
            </w:pPr>
            <w:r>
              <w:t xml:space="preserve">12</w:t>
            </w:r>
          </w:p>
        </w:tc>
        <w:tc>
          <w:tcPr/>
          <w:p>
            <w:pPr>
              <w:pStyle w:val="Compact"/>
              <w:jc w:val="left"/>
            </w:pPr>
            <w:r>
              <w:t xml:space="preserve">Data platforms</w:t>
            </w:r>
          </w:p>
        </w:tc>
        <w:tc>
          <w:tcPr/>
          <w:p>
            <w:pPr>
              <w:pStyle w:val="Compact"/>
              <w:jc w:val="left"/>
            </w:pPr>
            <w:r>
              <w:t xml:space="preserve">56, 16</w:t>
            </w:r>
          </w:p>
        </w:tc>
        <w:tc>
          <w:tcPr/>
          <w:p>
            <w:pPr>
              <w:pStyle w:val="Compact"/>
              <w:jc w:val="left"/>
            </w:pPr>
            <w:r>
              <w:t xml:space="preserve">Search, logging mocks</w:t>
            </w:r>
          </w:p>
        </w:tc>
      </w:tr>
      <w:tr>
        <w:tc>
          <w:tcPr/>
          <w:p>
            <w:pPr>
              <w:pStyle w:val="Compact"/>
              <w:jc w:val="left"/>
            </w:pPr>
            <w:r>
              <w:t xml:space="preserve">13</w:t>
            </w:r>
          </w:p>
        </w:tc>
        <w:tc>
          <w:tcPr/>
          <w:p>
            <w:pPr>
              <w:pStyle w:val="Compact"/>
              <w:jc w:val="left"/>
            </w:pPr>
            <w:r>
              <w:t xml:space="preserve">Senior depth</w:t>
            </w:r>
          </w:p>
        </w:tc>
        <w:tc>
          <w:tcPr/>
          <w:p>
            <w:pPr>
              <w:pStyle w:val="Compact"/>
              <w:jc w:val="left"/>
            </w:pPr>
            <w:r>
              <w:t xml:space="preserve">44, 47</w:t>
            </w:r>
          </w:p>
        </w:tc>
        <w:tc>
          <w:tcPr/>
          <w:p>
            <w:pPr>
              <w:pStyle w:val="Compact"/>
              <w:jc w:val="left"/>
            </w:pPr>
            <w:r>
              <w:t xml:space="preserve">Multi-region mock</w:t>
            </w:r>
          </w:p>
        </w:tc>
      </w:tr>
      <w:tr>
        <w:tc>
          <w:tcPr/>
          <w:p>
            <w:pPr>
              <w:pStyle w:val="Compact"/>
              <w:jc w:val="left"/>
            </w:pPr>
            <w:r>
              <w:t xml:space="preserve">14</w:t>
            </w:r>
          </w:p>
        </w:tc>
        <w:tc>
          <w:tcPr/>
          <w:p>
            <w:pPr>
              <w:pStyle w:val="Compact"/>
              <w:jc w:val="left"/>
            </w:pPr>
            <w:r>
              <w:t xml:space="preserve">Company preparation</w:t>
            </w:r>
          </w:p>
        </w:tc>
        <w:tc>
          <w:tcPr/>
          <w:p>
            <w:pPr>
              <w:pStyle w:val="Compact"/>
              <w:jc w:val="left"/>
            </w:pPr>
            <w:r>
              <w:t xml:space="preserve">90</w:t>
            </w:r>
          </w:p>
        </w:tc>
        <w:tc>
          <w:tcPr/>
          <w:p>
            <w:pPr>
              <w:pStyle w:val="Compact"/>
              <w:jc w:val="left"/>
            </w:pPr>
            <w:r>
              <w:t xml:space="preserve">Company-specific mocks</w:t>
            </w:r>
          </w:p>
        </w:tc>
      </w:tr>
      <w:tr>
        <w:tc>
          <w:tcPr/>
          <w:p>
            <w:pPr>
              <w:pStyle w:val="Compact"/>
              <w:jc w:val="left"/>
            </w:pPr>
            <w:r>
              <w:t xml:space="preserve">15</w:t>
            </w:r>
          </w:p>
        </w:tc>
        <w:tc>
          <w:tcPr/>
          <w:p>
            <w:pPr>
              <w:pStyle w:val="Compact"/>
              <w:jc w:val="left"/>
            </w:pPr>
            <w:r>
              <w:t xml:space="preserve">Practice library sweep</w:t>
            </w:r>
          </w:p>
        </w:tc>
        <w:tc>
          <w:tcPr/>
          <w:p>
            <w:pPr>
              <w:pStyle w:val="Compact"/>
              <w:jc w:val="left"/>
            </w:pPr>
            <w:r>
              <w:t xml:space="preserve">91</w:t>
            </w:r>
          </w:p>
        </w:tc>
        <w:tc>
          <w:tcPr/>
          <w:p>
            <w:pPr>
              <w:pStyle w:val="Compact"/>
              <w:jc w:val="left"/>
            </w:pPr>
            <w:r>
              <w:t xml:space="preserve">10 timed questions</w:t>
            </w:r>
          </w:p>
        </w:tc>
      </w:tr>
      <w:tr>
        <w:tc>
          <w:tcPr/>
          <w:p>
            <w:pPr>
              <w:pStyle w:val="Compact"/>
              <w:jc w:val="left"/>
            </w:pPr>
            <w:r>
              <w:t xml:space="preserve">16</w:t>
            </w:r>
          </w:p>
        </w:tc>
        <w:tc>
          <w:tcPr/>
          <w:p>
            <w:pPr>
              <w:pStyle w:val="Compact"/>
              <w:jc w:val="left"/>
            </w:pPr>
            <w:r>
              <w:t xml:space="preserve">Final review</w:t>
            </w:r>
          </w:p>
        </w:tc>
        <w:tc>
          <w:tcPr/>
          <w:p>
            <w:pPr>
              <w:pStyle w:val="Compact"/>
              <w:jc w:val="left"/>
            </w:pPr>
            <w:r>
              <w:t xml:space="preserve">Summaries of all above</w:t>
            </w:r>
          </w:p>
        </w:tc>
        <w:tc>
          <w:tcPr/>
          <w:p>
            <w:pPr>
              <w:pStyle w:val="Compact"/>
              <w:jc w:val="left"/>
            </w:pPr>
            <w:r>
              <w:t xml:space="preserve">3 full mocks; rubric self-score ≥</w:t>
            </w:r>
            <w:r>
              <w:t xml:space="preserve"> </w:t>
            </w:r>
            <w:r>
              <w:t xml:space="preserve">“</w:t>
            </w:r>
            <w:r>
              <w:t xml:space="preserve">Hire</w:t>
            </w:r>
            <w:r>
              <w:t xml:space="preserve">”</w:t>
            </w:r>
          </w:p>
        </w:tc>
      </w:tr>
    </w:tbl>
    <w:bookmarkEnd w:id="3348"/>
    <w:bookmarkStart w:id="3349" w:name="Xec84b93adb643e870991b86487ba601614d0a1e"/>
    <w:p>
      <w:pPr>
        <w:pStyle w:val="Heading2"/>
      </w:pPr>
      <w:r>
        <w:t xml:space="preserve">E.6 Track 3 — 24-week ML/AI infrastructure track (software engineer → ML/AI systems)</w:t>
      </w:r>
    </w:p>
    <w:p>
      <w:pPr>
        <w:pStyle w:val="FirstParagraph"/>
      </w:pPr>
      <w:r>
        <w:rPr>
          <w:bCs/>
          <w:b/>
        </w:rPr>
        <w:t xml:space="preserve">Budget:</w:t>
      </w:r>
      <w:r>
        <w:t xml:space="preserve"> </w:t>
      </w:r>
      <w:r>
        <w:t xml:space="preserve">10–12 hours/week. Assumes Level 3 on Track A.</w:t>
      </w:r>
    </w:p>
    <w:p>
      <w:pPr>
        <w:pStyle w:val="BodyText"/>
      </w:pPr>
      <w:r>
        <w:rPr>
          <w:bCs/>
          <w:b/>
        </w:rPr>
        <w:t xml:space="preserve">Table E.4 — ML/AI track.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Wk</w:t>
            </w:r>
          </w:p>
        </w:tc>
        <w:tc>
          <w:tcPr/>
          <w:p>
            <w:pPr>
              <w:pStyle w:val="Compact"/>
              <w:jc w:val="left"/>
            </w:pPr>
            <w:r>
              <w:t xml:space="preserve">Chapters</w:t>
            </w:r>
          </w:p>
        </w:tc>
        <w:tc>
          <w:tcPr/>
          <w:p>
            <w:pPr>
              <w:pStyle w:val="Compact"/>
              <w:jc w:val="left"/>
            </w:pPr>
            <w:r>
              <w:t xml:space="preserve">Deliverable</w:t>
            </w:r>
          </w:p>
        </w:tc>
      </w:tr>
      <w:tr>
        <w:tc>
          <w:tcPr/>
          <w:p>
            <w:pPr>
              <w:pStyle w:val="Compact"/>
              <w:jc w:val="left"/>
            </w:pPr>
            <w:r>
              <w:t xml:space="preserve">1–2</w:t>
            </w:r>
          </w:p>
        </w:tc>
        <w:tc>
          <w:tcPr/>
          <w:p>
            <w:pPr>
              <w:pStyle w:val="Compact"/>
              <w:jc w:val="left"/>
            </w:pPr>
            <w:r>
              <w:t xml:space="preserve">4.9, 57</w:t>
            </w:r>
          </w:p>
        </w:tc>
        <w:tc>
          <w:tcPr/>
          <w:p>
            <w:pPr>
              <w:pStyle w:val="Compact"/>
              <w:jc w:val="left"/>
            </w:pPr>
            <w:r>
              <w:t xml:space="preserve">Metrics notebook; A/B test sample-size calculator</w:t>
            </w:r>
          </w:p>
        </w:tc>
      </w:tr>
      <w:tr>
        <w:tc>
          <w:tcPr/>
          <w:p>
            <w:pPr>
              <w:pStyle w:val="Compact"/>
              <w:jc w:val="left"/>
            </w:pPr>
            <w:r>
              <w:t xml:space="preserve">3</w:t>
            </w:r>
          </w:p>
        </w:tc>
        <w:tc>
          <w:tcPr/>
          <w:p>
            <w:pPr>
              <w:pStyle w:val="Compact"/>
              <w:jc w:val="left"/>
            </w:pPr>
            <w:r>
              <w:t xml:space="preserve">58</w:t>
            </w:r>
          </w:p>
        </w:tc>
        <w:tc>
          <w:tcPr/>
          <w:p>
            <w:pPr>
              <w:pStyle w:val="Compact"/>
              <w:jc w:val="left"/>
            </w:pPr>
            <w:r>
              <w:t xml:space="preserve">PyTorch MLP; parameter/activation memory worksheet</w:t>
            </w:r>
          </w:p>
        </w:tc>
      </w:tr>
      <w:tr>
        <w:tc>
          <w:tcPr/>
          <w:p>
            <w:pPr>
              <w:pStyle w:val="Compact"/>
              <w:jc w:val="left"/>
            </w:pPr>
            <w:r>
              <w:t xml:space="preserve">4</w:t>
            </w:r>
          </w:p>
        </w:tc>
        <w:tc>
          <w:tcPr/>
          <w:p>
            <w:pPr>
              <w:pStyle w:val="Compact"/>
              <w:jc w:val="left"/>
            </w:pPr>
            <w:r>
              <w:t xml:space="preserve">59, 60</w:t>
            </w:r>
          </w:p>
        </w:tc>
        <w:tc>
          <w:tcPr/>
          <w:p>
            <w:pPr>
              <w:pStyle w:val="Compact"/>
              <w:jc w:val="left"/>
            </w:pPr>
            <w:r>
              <w:t xml:space="preserve">Architecture diagram of an end-to-end ML system</w:t>
            </w:r>
          </w:p>
        </w:tc>
      </w:tr>
      <w:tr>
        <w:tc>
          <w:tcPr/>
          <w:p>
            <w:pPr>
              <w:pStyle w:val="Compact"/>
              <w:jc w:val="left"/>
            </w:pPr>
            <w:r>
              <w:t xml:space="preserve">5–6</w:t>
            </w:r>
          </w:p>
        </w:tc>
        <w:tc>
          <w:tcPr/>
          <w:p>
            <w:pPr>
              <w:pStyle w:val="Compact"/>
              <w:jc w:val="left"/>
            </w:pPr>
            <w:r>
              <w:t xml:space="preserve">61, 29</w:t>
            </w:r>
          </w:p>
        </w:tc>
        <w:tc>
          <w:tcPr/>
          <w:p>
            <w:pPr>
              <w:pStyle w:val="Compact"/>
              <w:jc w:val="left"/>
            </w:pPr>
            <w:r>
              <w:t xml:space="preserve">Lakehouse table + streaming feature job</w:t>
            </w:r>
          </w:p>
        </w:tc>
      </w:tr>
      <w:tr>
        <w:tc>
          <w:tcPr/>
          <w:p>
            <w:pPr>
              <w:pStyle w:val="Compact"/>
              <w:jc w:val="left"/>
            </w:pPr>
            <w:r>
              <w:t xml:space="preserve">7</w:t>
            </w:r>
          </w:p>
        </w:tc>
        <w:tc>
          <w:tcPr/>
          <w:p>
            <w:pPr>
              <w:pStyle w:val="Compact"/>
              <w:jc w:val="left"/>
            </w:pPr>
            <w:r>
              <w:t xml:space="preserve">62, 63</w:t>
            </w:r>
          </w:p>
        </w:tc>
        <w:tc>
          <w:tcPr/>
          <w:p>
            <w:pPr>
              <w:pStyle w:val="Compact"/>
              <w:jc w:val="left"/>
            </w:pPr>
            <w:r>
              <w:t xml:space="preserve">Feature store with PIT-correct training set</w:t>
            </w:r>
          </w:p>
        </w:tc>
      </w:tr>
      <w:tr>
        <w:tc>
          <w:tcPr/>
          <w:p>
            <w:pPr>
              <w:pStyle w:val="Compact"/>
              <w:jc w:val="left"/>
            </w:pPr>
            <w:r>
              <w:t xml:space="preserve">8–9</w:t>
            </w:r>
          </w:p>
        </w:tc>
        <w:tc>
          <w:tcPr/>
          <w:p>
            <w:pPr>
              <w:pStyle w:val="Compact"/>
              <w:jc w:val="left"/>
            </w:pPr>
            <w:r>
              <w:t xml:space="preserve">64</w:t>
            </w:r>
          </w:p>
        </w:tc>
        <w:tc>
          <w:tcPr/>
          <w:p>
            <w:pPr>
              <w:pStyle w:val="Compact"/>
              <w:jc w:val="left"/>
            </w:pPr>
            <w:r>
              <w:t xml:space="preserve">GPU profiling exercise; roofline worksheet</w:t>
            </w:r>
          </w:p>
        </w:tc>
      </w:tr>
      <w:tr>
        <w:tc>
          <w:tcPr/>
          <w:p>
            <w:pPr>
              <w:pStyle w:val="Compact"/>
              <w:jc w:val="left"/>
            </w:pPr>
            <w:r>
              <w:t xml:space="preserve">10–11</w:t>
            </w:r>
          </w:p>
        </w:tc>
        <w:tc>
          <w:tcPr/>
          <w:p>
            <w:pPr>
              <w:pStyle w:val="Compact"/>
              <w:jc w:val="left"/>
            </w:pPr>
            <w:r>
              <w:t xml:space="preserve">65</w:t>
            </w:r>
          </w:p>
        </w:tc>
        <w:tc>
          <w:tcPr/>
          <w:p>
            <w:pPr>
              <w:pStyle w:val="Compact"/>
              <w:jc w:val="left"/>
            </w:pPr>
            <w:r>
              <w:t xml:space="preserve">Multi-GPU training run; parallelism plan for a 70B model</w:t>
            </w:r>
          </w:p>
        </w:tc>
      </w:tr>
      <w:tr>
        <w:tc>
          <w:tcPr/>
          <w:p>
            <w:pPr>
              <w:pStyle w:val="Compact"/>
              <w:jc w:val="left"/>
            </w:pPr>
            <w:r>
              <w:t xml:space="preserve">12</w:t>
            </w:r>
          </w:p>
        </w:tc>
        <w:tc>
          <w:tcPr/>
          <w:p>
            <w:pPr>
              <w:pStyle w:val="Compact"/>
              <w:jc w:val="left"/>
            </w:pPr>
            <w:r>
              <w:t xml:space="preserve">66</w:t>
            </w:r>
          </w:p>
        </w:tc>
        <w:tc>
          <w:tcPr/>
          <w:p>
            <w:pPr>
              <w:pStyle w:val="Compact"/>
              <w:jc w:val="left"/>
            </w:pPr>
            <w:r>
              <w:t xml:space="preserve">Model server with dynamic batching and autoscaling</w:t>
            </w:r>
          </w:p>
        </w:tc>
      </w:tr>
      <w:tr>
        <w:tc>
          <w:tcPr/>
          <w:p>
            <w:pPr>
              <w:pStyle w:val="Compact"/>
              <w:jc w:val="left"/>
            </w:pPr>
            <w:r>
              <w:t xml:space="preserve">13</w:t>
            </w:r>
          </w:p>
        </w:tc>
        <w:tc>
          <w:tcPr/>
          <w:p>
            <w:pPr>
              <w:pStyle w:val="Compact"/>
              <w:jc w:val="left"/>
            </w:pPr>
            <w:r>
              <w:t xml:space="preserve">67</w:t>
            </w:r>
          </w:p>
        </w:tc>
        <w:tc>
          <w:tcPr/>
          <w:p>
            <w:pPr>
              <w:pStyle w:val="Compact"/>
              <w:jc w:val="left"/>
            </w:pPr>
            <w:r>
              <w:t xml:space="preserve">Quantization + ONNX/TensorRT comparison</w:t>
            </w:r>
          </w:p>
        </w:tc>
      </w:tr>
      <w:tr>
        <w:tc>
          <w:tcPr/>
          <w:p>
            <w:pPr>
              <w:pStyle w:val="Compact"/>
              <w:jc w:val="left"/>
            </w:pPr>
            <w:r>
              <w:t xml:space="preserve">14</w:t>
            </w:r>
          </w:p>
        </w:tc>
        <w:tc>
          <w:tcPr/>
          <w:p>
            <w:pPr>
              <w:pStyle w:val="Compact"/>
              <w:jc w:val="left"/>
            </w:pPr>
            <w:r>
              <w:t xml:space="preserve">68</w:t>
            </w:r>
          </w:p>
        </w:tc>
        <w:tc>
          <w:tcPr/>
          <w:p>
            <w:pPr>
              <w:pStyle w:val="Compact"/>
              <w:jc w:val="left"/>
            </w:pPr>
            <w:r>
              <w:t xml:space="preserve">Two-tower retrieval + ranker</w:t>
            </w:r>
          </w:p>
        </w:tc>
      </w:tr>
      <w:tr>
        <w:tc>
          <w:tcPr/>
          <w:p>
            <w:pPr>
              <w:pStyle w:val="Compact"/>
              <w:jc w:val="left"/>
            </w:pPr>
            <w:r>
              <w:t xml:space="preserve">15</w:t>
            </w:r>
          </w:p>
        </w:tc>
        <w:tc>
          <w:tcPr/>
          <w:p>
            <w:pPr>
              <w:pStyle w:val="Compact"/>
              <w:jc w:val="left"/>
            </w:pPr>
            <w:r>
              <w:t xml:space="preserve">69, 70</w:t>
            </w:r>
          </w:p>
        </w:tc>
        <w:tc>
          <w:tcPr/>
          <w:p>
            <w:pPr>
              <w:pStyle w:val="Compact"/>
              <w:jc w:val="left"/>
            </w:pPr>
            <w:r>
              <w:t xml:space="preserve">CI/CD/CT pipeline with drift-triggered retraining</w:t>
            </w:r>
          </w:p>
        </w:tc>
      </w:tr>
      <w:tr>
        <w:tc>
          <w:tcPr/>
          <w:p>
            <w:pPr>
              <w:pStyle w:val="Compact"/>
              <w:jc w:val="left"/>
            </w:pPr>
            <w:r>
              <w:t xml:space="preserve">16</w:t>
            </w:r>
          </w:p>
        </w:tc>
        <w:tc>
          <w:tcPr/>
          <w:p>
            <w:pPr>
              <w:pStyle w:val="Compact"/>
              <w:jc w:val="left"/>
            </w:pPr>
            <w:r>
              <w:t xml:space="preserve">71</w:t>
            </w:r>
          </w:p>
        </w:tc>
        <w:tc>
          <w:tcPr/>
          <w:p>
            <w:pPr>
              <w:pStyle w:val="Compact"/>
              <w:jc w:val="left"/>
            </w:pPr>
            <w:r>
              <w:t xml:space="preserve">Fairness audit and model card</w:t>
            </w:r>
          </w:p>
        </w:tc>
      </w:tr>
      <w:tr>
        <w:tc>
          <w:tcPr/>
          <w:p>
            <w:pPr>
              <w:pStyle w:val="Compact"/>
              <w:jc w:val="left"/>
            </w:pPr>
            <w:r>
              <w:t xml:space="preserve">17</w:t>
            </w:r>
          </w:p>
        </w:tc>
        <w:tc>
          <w:tcPr/>
          <w:p>
            <w:pPr>
              <w:pStyle w:val="Compact"/>
              <w:jc w:val="left"/>
            </w:pPr>
            <w:r>
              <w:t xml:space="preserve">72</w:t>
            </w:r>
          </w:p>
        </w:tc>
        <w:tc>
          <w:tcPr/>
          <w:p>
            <w:pPr>
              <w:pStyle w:val="Compact"/>
              <w:jc w:val="left"/>
            </w:pPr>
            <w:r>
              <w:t xml:space="preserve">Transformer from scratch (small)</w:t>
            </w:r>
          </w:p>
        </w:tc>
      </w:tr>
      <w:tr>
        <w:tc>
          <w:tcPr/>
          <w:p>
            <w:pPr>
              <w:pStyle w:val="Compact"/>
              <w:jc w:val="left"/>
            </w:pPr>
            <w:r>
              <w:t xml:space="preserve">18–19</w:t>
            </w:r>
          </w:p>
        </w:tc>
        <w:tc>
          <w:tcPr/>
          <w:p>
            <w:pPr>
              <w:pStyle w:val="Compact"/>
              <w:jc w:val="left"/>
            </w:pPr>
            <w:r>
              <w:t xml:space="preserve">73</w:t>
            </w:r>
          </w:p>
        </w:tc>
        <w:tc>
          <w:tcPr/>
          <w:p>
            <w:pPr>
              <w:pStyle w:val="Compact"/>
              <w:jc w:val="left"/>
            </w:pPr>
            <w:r>
              <w:t xml:space="preserve">LLM serving benchmark; capacity plan</w:t>
            </w:r>
          </w:p>
        </w:tc>
      </w:tr>
      <w:tr>
        <w:tc>
          <w:tcPr/>
          <w:p>
            <w:pPr>
              <w:pStyle w:val="Compact"/>
              <w:jc w:val="left"/>
            </w:pPr>
            <w:r>
              <w:t xml:space="preserve">20</w:t>
            </w:r>
          </w:p>
        </w:tc>
        <w:tc>
          <w:tcPr/>
          <w:p>
            <w:pPr>
              <w:pStyle w:val="Compact"/>
              <w:jc w:val="left"/>
            </w:pPr>
            <w:r>
              <w:t xml:space="preserve">74, 75</w:t>
            </w:r>
          </w:p>
        </w:tc>
        <w:tc>
          <w:tcPr/>
          <w:p>
            <w:pPr>
              <w:pStyle w:val="Compact"/>
              <w:jc w:val="left"/>
            </w:pPr>
            <w:r>
              <w:t xml:space="preserve">Production RAG with evaluation harness</w:t>
            </w:r>
          </w:p>
        </w:tc>
      </w:tr>
      <w:tr>
        <w:tc>
          <w:tcPr/>
          <w:p>
            <w:pPr>
              <w:pStyle w:val="Compact"/>
              <w:jc w:val="left"/>
            </w:pPr>
            <w:r>
              <w:t xml:space="preserve">21</w:t>
            </w:r>
          </w:p>
        </w:tc>
        <w:tc>
          <w:tcPr/>
          <w:p>
            <w:pPr>
              <w:pStyle w:val="Compact"/>
              <w:jc w:val="left"/>
            </w:pPr>
            <w:r>
              <w:t xml:space="preserve">76, 77</w:t>
            </w:r>
          </w:p>
        </w:tc>
        <w:tc>
          <w:tcPr/>
          <w:p>
            <w:pPr>
              <w:pStyle w:val="Compact"/>
              <w:jc w:val="left"/>
            </w:pPr>
            <w:r>
              <w:t xml:space="preserve">LoRA fine-tune; tool-using agent</w:t>
            </w:r>
          </w:p>
        </w:tc>
      </w:tr>
      <w:tr>
        <w:tc>
          <w:tcPr/>
          <w:p>
            <w:pPr>
              <w:pStyle w:val="Compact"/>
              <w:jc w:val="left"/>
            </w:pPr>
            <w:r>
              <w:t xml:space="preserve">22</w:t>
            </w:r>
          </w:p>
        </w:tc>
        <w:tc>
          <w:tcPr/>
          <w:p>
            <w:pPr>
              <w:pStyle w:val="Compact"/>
              <w:jc w:val="left"/>
            </w:pPr>
            <w:r>
              <w:t xml:space="preserve">78, 79</w:t>
            </w:r>
          </w:p>
        </w:tc>
        <w:tc>
          <w:tcPr/>
          <w:p>
            <w:pPr>
              <w:pStyle w:val="Compact"/>
              <w:jc w:val="left"/>
            </w:pPr>
            <w:r>
              <w:t xml:space="preserve">Eval pipeline; model gateway with routing and fallback</w:t>
            </w:r>
          </w:p>
        </w:tc>
      </w:tr>
      <w:tr>
        <w:tc>
          <w:tcPr/>
          <w:p>
            <w:pPr>
              <w:pStyle w:val="Compact"/>
              <w:jc w:val="left"/>
            </w:pPr>
            <w:r>
              <w:t xml:space="preserve">23</w:t>
            </w:r>
          </w:p>
        </w:tc>
        <w:tc>
          <w:tcPr/>
          <w:p>
            <w:pPr>
              <w:pStyle w:val="Compact"/>
              <w:jc w:val="left"/>
            </w:pPr>
            <w:r>
              <w:t xml:space="preserve">80, 81–85</w:t>
            </w:r>
          </w:p>
        </w:tc>
        <w:tc>
          <w:tcPr/>
          <w:p>
            <w:pPr>
              <w:pStyle w:val="Compact"/>
              <w:jc w:val="left"/>
            </w:pPr>
            <w:r>
              <w:t xml:space="preserve">Two case studies written as design docs</w:t>
            </w:r>
          </w:p>
        </w:tc>
      </w:tr>
      <w:tr>
        <w:tc>
          <w:tcPr/>
          <w:p>
            <w:pPr>
              <w:pStyle w:val="Compact"/>
              <w:jc w:val="left"/>
            </w:pPr>
            <w:r>
              <w:t xml:space="preserve">24</w:t>
            </w:r>
          </w:p>
        </w:tc>
        <w:tc>
          <w:tcPr/>
          <w:p>
            <w:pPr>
              <w:pStyle w:val="Compact"/>
              <w:jc w:val="left"/>
            </w:pPr>
            <w:r>
              <w:t xml:space="preserve">86, 92</w:t>
            </w:r>
          </w:p>
        </w:tc>
        <w:tc>
          <w:tcPr/>
          <w:p>
            <w:pPr>
              <w:pStyle w:val="Compact"/>
              <w:jc w:val="left"/>
            </w:pPr>
            <w:r>
              <w:t xml:space="preserve">Four ML/AI mock interviews</w:t>
            </w:r>
          </w:p>
        </w:tc>
      </w:tr>
    </w:tbl>
    <w:bookmarkEnd w:id="3349"/>
    <w:bookmarkStart w:id="3350" w:name="e.7-monthly-milestone-review-template"/>
    <w:p>
      <w:pPr>
        <w:pStyle w:val="Heading2"/>
      </w:pPr>
      <w:r>
        <w:t xml:space="preserve">E.7 Monthly milestone review template</w:t>
      </w:r>
    </w:p>
    <w:p>
      <w:pPr>
        <w:numPr>
          <w:ilvl w:val="0"/>
          <w:numId w:val="1971"/>
        </w:numPr>
        <w:pStyle w:val="Compact"/>
      </w:pPr>
      <w:r>
        <w:rPr>
          <w:bCs/>
          <w:b/>
        </w:rPr>
        <w:t xml:space="preserve">Recall:</w:t>
      </w:r>
      <w:r>
        <w:t xml:space="preserve"> </w:t>
      </w:r>
      <w:r>
        <w:t xml:space="preserve">answer every knowledge-checkpoint question for the month’s chapters without notes; mark misses for spaced repetition.</w:t>
      </w:r>
    </w:p>
    <w:p>
      <w:pPr>
        <w:numPr>
          <w:ilvl w:val="0"/>
          <w:numId w:val="1971"/>
        </w:numPr>
        <w:pStyle w:val="Compact"/>
      </w:pPr>
      <w:r>
        <w:rPr>
          <w:bCs/>
          <w:b/>
        </w:rPr>
        <w:t xml:space="preserve">Redraw:</w:t>
      </w:r>
      <w:r>
        <w:t xml:space="preserve"> </w:t>
      </w:r>
      <w:r>
        <w:t xml:space="preserve">reproduce the month’s three most important architecture diagrams from memory; compare with the book.</w:t>
      </w:r>
    </w:p>
    <w:p>
      <w:pPr>
        <w:numPr>
          <w:ilvl w:val="0"/>
          <w:numId w:val="1971"/>
        </w:numPr>
        <w:pStyle w:val="Compact"/>
      </w:pPr>
      <w:r>
        <w:rPr>
          <w:bCs/>
          <w:b/>
        </w:rPr>
        <w:t xml:space="preserve">Quantify:</w:t>
      </w:r>
      <w:r>
        <w:t xml:space="preserve"> </w:t>
      </w:r>
      <w:r>
        <w:t xml:space="preserve">solve three estimation problems from Ch 89 in under five minutes each.</w:t>
      </w:r>
    </w:p>
    <w:p>
      <w:pPr>
        <w:numPr>
          <w:ilvl w:val="0"/>
          <w:numId w:val="1971"/>
        </w:numPr>
        <w:pStyle w:val="Compact"/>
      </w:pPr>
      <w:r>
        <w:rPr>
          <w:bCs/>
          <w:b/>
        </w:rPr>
        <w:t xml:space="preserve">Design:</w:t>
      </w:r>
      <w:r>
        <w:t xml:space="preserve"> </w:t>
      </w:r>
      <w:r>
        <w:t xml:space="preserve">solve one design challenge aloud in 45 minutes; self-score with the Ch 88 rubric.</w:t>
      </w:r>
    </w:p>
    <w:p>
      <w:pPr>
        <w:numPr>
          <w:ilvl w:val="0"/>
          <w:numId w:val="1971"/>
        </w:numPr>
        <w:pStyle w:val="Compact"/>
      </w:pPr>
      <w:r>
        <w:rPr>
          <w:bCs/>
          <w:b/>
        </w:rPr>
        <w:t xml:space="preserve">Build:</w:t>
      </w:r>
      <w:r>
        <w:t xml:space="preserve"> </w:t>
      </w:r>
      <w:r>
        <w:t xml:space="preserve">demo the month’s project to someone else, including one injected failure.</w:t>
      </w:r>
    </w:p>
    <w:p>
      <w:pPr>
        <w:numPr>
          <w:ilvl w:val="0"/>
          <w:numId w:val="1971"/>
        </w:numPr>
        <w:pStyle w:val="Compact"/>
      </w:pPr>
      <w:r>
        <w:rPr>
          <w:bCs/>
          <w:b/>
        </w:rPr>
        <w:t xml:space="preserve">Reflect:</w:t>
      </w:r>
      <w:r>
        <w:t xml:space="preserve"> </w:t>
      </w:r>
      <w:r>
        <w:t xml:space="preserve">write half a page in the design journal — what is still unclear, which open question to research next.</w:t>
      </w:r>
    </w:p>
    <w:bookmarkEnd w:id="3350"/>
    <w:bookmarkEnd w:id="3351"/>
    <w:bookmarkStart w:id="3377" w:name="appendix-a-glossary"/>
    <w:p>
      <w:pPr>
        <w:pStyle w:val="Heading1"/>
      </w:pPr>
      <w:r>
        <w:t xml:space="preserve">Appendix A — Glossary</w:t>
      </w:r>
    </w:p>
    <w:p>
      <w:pPr>
        <w:pStyle w:val="BlockText"/>
      </w:pPr>
      <w:r>
        <w:t xml:space="preserve">Generated by</w:t>
      </w:r>
      <w:r>
        <w:t xml:space="preserve"> </w:t>
      </w:r>
      <w:r>
        <w:rPr>
          <w:rStyle w:val="VerbatimChar"/>
        </w:rPr>
        <w:t xml:space="preserve">build/build.py</w:t>
      </w:r>
      <w:r>
        <w:t xml:space="preserve"> </w:t>
      </w:r>
      <w:r>
        <w:t xml:space="preserve">from the definition callouts in every chapter; the first (defining) occurrence of each term is used. Canonical usage rules are in</w:t>
      </w:r>
      <w:r>
        <w:t xml:space="preserve"> </w:t>
      </w:r>
      <w:r>
        <w:rPr>
          <w:rStyle w:val="VerbatimChar"/>
        </w:rPr>
        <w:t xml:space="preserve">docs/project/terminology.md</w:t>
      </w:r>
      <w:r>
        <w:t xml:space="preserve">.</w:t>
      </w:r>
    </w:p>
    <w:bookmarkStart w:id="3352" w:name="a"/>
    <w:p>
      <w:pPr>
        <w:pStyle w:val="Heading2"/>
      </w:pPr>
      <w:r>
        <w:t xml:space="preserve">A</w:t>
      </w:r>
    </w:p>
    <w:p>
      <w:pPr>
        <w:pStyle w:val="FirstParagraph"/>
      </w:pPr>
      <w:r>
        <w:rPr>
          <w:bCs/>
          <w:b/>
        </w:rPr>
        <w:t xml:space="preserve">Access-control model</w:t>
      </w:r>
      <w:r>
        <w:t xml:space="preserve"> </w:t>
      </w:r>
      <w:r>
        <w:t xml:space="preserve">— A rule system that answers</w:t>
      </w:r>
      <w:r>
        <w:t xml:space="preserve"> </w:t>
      </w:r>
      <w:r>
        <w:t xml:space="preserve">“</w:t>
      </w:r>
      <w:r>
        <w:t xml:space="preserve">may subject</w:t>
      </w:r>
      <w:r>
        <w:t xml:space="preserve"> </w:t>
      </w:r>
      <w:r>
        <w:rPr>
          <w:iCs/>
          <w:i/>
        </w:rPr>
        <w:t xml:space="preserve">S</w:t>
      </w:r>
      <w:r>
        <w:t xml:space="preserve"> </w:t>
      </w:r>
      <w:r>
        <w:t xml:space="preserve">perform action</w:t>
      </w:r>
      <w:r>
        <w:t xml:space="preserve"> </w:t>
      </w:r>
      <w:r>
        <w:rPr>
          <w:iCs/>
          <w:i/>
        </w:rPr>
        <w:t xml:space="preserve">A</w:t>
      </w:r>
      <w:r>
        <w:t xml:space="preserve"> </w:t>
      </w:r>
      <w:r>
        <w:t xml:space="preserve">on resource</w:t>
      </w:r>
      <w:r>
        <w:t xml:space="preserve"> </w:t>
      </w:r>
      <w:r>
        <w:rPr>
          <w:iCs/>
          <w:i/>
        </w:rPr>
        <w:t xml:space="preserve">R</w:t>
      </w:r>
      <w:r>
        <w:t xml:space="preserve"> </w:t>
      </w:r>
      <w:r>
        <w:t xml:space="preserve">(in context</w:t>
      </w:r>
      <w:r>
        <w:t xml:space="preserve"> </w:t>
      </w:r>
      <w:r>
        <w:rPr>
          <w:iCs/>
          <w:i/>
        </w:rPr>
        <w:t xml:space="preserve">C</w:t>
      </w:r>
      <w:r>
        <w:t xml:space="preserve">)?</w:t>
      </w:r>
      <w:r>
        <w:t xml:space="preserve">”</w:t>
      </w:r>
      <w:r>
        <w:t xml:space="preserve"> </w:t>
      </w:r>
      <w:r>
        <w:t xml:space="preserve">The three models in common use differ in what the rules are written in terms of:</w:t>
      </w:r>
      <w:r>
        <w:t xml:space="preserve"> </w:t>
      </w:r>
      <w:r>
        <w:rPr>
          <w:bCs/>
          <w:b/>
        </w:rPr>
        <w:t xml:space="preserve">roles</w:t>
      </w:r>
      <w:r>
        <w:t xml:space="preserve"> </w:t>
      </w:r>
      <w:r>
        <w:t xml:space="preserve">(RBAC),</w:t>
      </w:r>
      <w:r>
        <w:t xml:space="preserve"> </w:t>
      </w:r>
      <w:r>
        <w:rPr>
          <w:bCs/>
          <w:b/>
        </w:rPr>
        <w:t xml:space="preserve">attributes</w:t>
      </w:r>
      <w:r>
        <w:t xml:space="preserve"> </w:t>
      </w:r>
      <w:r>
        <w:t xml:space="preserve">(ABAC) or</w:t>
      </w:r>
      <w:r>
        <w:t xml:space="preserve"> </w:t>
      </w:r>
      <w:r>
        <w:rPr>
          <w:bCs/>
          <w:b/>
        </w:rPr>
        <w:t xml:space="preserve">relationships</w:t>
      </w:r>
      <w:r>
        <w:t xml:space="preserve"> </w:t>
      </w:r>
      <w:r>
        <w:t xml:space="preserve">(ReBAC).</w:t>
      </w:r>
      <w:r>
        <w:t xml:space="preserve"> </w:t>
      </w:r>
      <w:r>
        <w:rPr>
          <w:iCs/>
          <w:i/>
        </w:rPr>
        <w:t xml:space="preserve">(§8.12.1)</w:t>
      </w:r>
    </w:p>
    <w:p>
      <w:pPr>
        <w:pStyle w:val="BodyText"/>
      </w:pPr>
      <w:r>
        <w:rPr>
          <w:bCs/>
          <w:b/>
        </w:rPr>
        <w:t xml:space="preserve">ACID</w:t>
      </w:r>
      <w:r>
        <w:t xml:space="preserve"> </w:t>
      </w:r>
      <w:r>
        <w:t xml:space="preserve">— The four guarantees of a database transaction, named by Härder and Reuter [Härder and Reuter 1983]:</w:t>
      </w:r>
      <w:r>
        <w:t xml:space="preserve"> </w:t>
      </w:r>
      <w:r>
        <w:rPr>
          <w:bCs/>
          <w:b/>
        </w:rPr>
        <w:t xml:space="preserve">Atomicity</w:t>
      </w:r>
      <w:r>
        <w:t xml:space="preserve"> </w:t>
      </w:r>
      <w:r>
        <w:t xml:space="preserve">— all of a transaction’s writes take effect, or none do.</w:t>
      </w:r>
      <w:r>
        <w:t xml:space="preserve"> </w:t>
      </w:r>
      <w:r>
        <w:rPr>
          <w:bCs/>
          <w:b/>
        </w:rPr>
        <w:t xml:space="preserve">Consistency</w:t>
      </w:r>
      <w:r>
        <w:t xml:space="preserve"> </w:t>
      </w:r>
      <w:r>
        <w:t xml:space="preserve">— a transaction takes the database from one state satisfying all declared invariants (constraints) to another.</w:t>
      </w:r>
      <w:r>
        <w:t xml:space="preserve"> </w:t>
      </w:r>
      <w:r>
        <w:rPr>
          <w:bCs/>
          <w:b/>
        </w:rPr>
        <w:t xml:space="preserve">Isolation</w:t>
      </w:r>
      <w:r>
        <w:t xml:space="preserve"> </w:t>
      </w:r>
      <w:r>
        <w:t xml:space="preserve">— concurrently executing transactions do not see each other’s partial effects; at the strongest level, the outcome equals some serial execution.</w:t>
      </w:r>
      <w:r>
        <w:t xml:space="preserve"> </w:t>
      </w:r>
      <w:r>
        <w:rPr>
          <w:bCs/>
          <w:b/>
        </w:rPr>
        <w:t xml:space="preserve">Durability</w:t>
      </w:r>
      <w:r>
        <w:t xml:space="preserve"> </w:t>
      </w:r>
      <w:r>
        <w:t xml:space="preserve">— once a commit is acknowledged, its effects survive crashes.</w:t>
      </w:r>
      <w:r>
        <w:t xml:space="preserve"> </w:t>
      </w:r>
      <w:r>
        <w:rPr>
          <w:iCs/>
          <w:i/>
        </w:rPr>
        <w:t xml:space="preserve">(§11.12)</w:t>
      </w:r>
    </w:p>
    <w:p>
      <w:pPr>
        <w:pStyle w:val="BodyText"/>
      </w:pPr>
      <w:r>
        <w:rPr>
          <w:bCs/>
          <w:b/>
        </w:rPr>
        <w:t xml:space="preserve">Active–passive and active–active</w:t>
      </w:r>
      <w:r>
        <w:t xml:space="preserve"> </w:t>
      </w:r>
      <w:r>
        <w:t xml:space="preserve">— In an</w:t>
      </w:r>
      <w:r>
        <w:t xml:space="preserve"> </w:t>
      </w:r>
      <w:r>
        <w:rPr>
          <w:bCs/>
          <w:b/>
        </w:rPr>
        <w:t xml:space="preserve">active–passive</w:t>
      </w:r>
      <w:r>
        <w:t xml:space="preserve"> </w:t>
      </w:r>
      <w:r>
        <w:t xml:space="preserve">pair, one balancer carries all traffic while a standby monitors it and takes over the VIP on failure. In</w:t>
      </w:r>
      <w:r>
        <w:t xml:space="preserve"> </w:t>
      </w:r>
      <w:r>
        <w:rPr>
          <w:bCs/>
          <w:b/>
        </w:rPr>
        <w:t xml:space="preserve">active–active</w:t>
      </w:r>
      <w:r>
        <w:t xml:space="preserve">, all balancers carry traffic at once (spread by DNS, ECMP or anycast), and survivors absorb a failed member’s share.</w:t>
      </w:r>
      <w:r>
        <w:t xml:space="preserve"> </w:t>
      </w:r>
      <w:r>
        <w:rPr>
          <w:iCs/>
          <w:i/>
        </w:rPr>
        <w:t xml:space="preserve">(§19.7)</w:t>
      </w:r>
    </w:p>
    <w:p>
      <w:pPr>
        <w:pStyle w:val="BodyText"/>
      </w:pPr>
      <w:r>
        <w:rPr>
          <w:bCs/>
          <w:b/>
        </w:rPr>
        <w:t xml:space="preserve">Active recall</w:t>
      </w:r>
      <w:r>
        <w:t xml:space="preserve"> </w:t>
      </w:r>
      <w:r>
        <w:t xml:space="preserve">— Deliberately retrieving information from memory without looking at the source, for example by answering a question, drawing a diagram or explaining aloud. Its measured benefit for later retention is called the</w:t>
      </w:r>
      <w:r>
        <w:t xml:space="preserve"> </w:t>
      </w:r>
      <w:r>
        <w:rPr>
          <w:bCs/>
          <w:b/>
        </w:rPr>
        <w:t xml:space="preserve">testing effect</w:t>
      </w:r>
      <w:r>
        <w:t xml:space="preserve">.</w:t>
      </w:r>
      <w:r>
        <w:t xml:space="preserve"> </w:t>
      </w:r>
      <w:r>
        <w:rPr>
          <w:iCs/>
          <w:i/>
        </w:rPr>
        <w:t xml:space="preserve">(§3.4.2)</w:t>
      </w:r>
    </w:p>
    <w:p>
      <w:pPr>
        <w:pStyle w:val="BodyText"/>
      </w:pPr>
      <w:r>
        <w:rPr>
          <w:bCs/>
          <w:b/>
        </w:rPr>
        <w:t xml:space="preserve">Address space</w:t>
      </w:r>
      <w:r>
        <w:t xml:space="preserve"> </w:t>
      </w:r>
      <w:r>
        <w:t xml:space="preserve">— The range of memory addresses a process can use. On Linux x86-64 with 4-level page tables, user space spans 2⁴⁷ bytes = 128 TiB of</w:t>
      </w:r>
      <w:r>
        <w:t xml:space="preserve"> </w:t>
      </w:r>
      <w:r>
        <w:rPr>
          <w:iCs/>
          <w:i/>
        </w:rPr>
        <w:t xml:space="preserve">virtual</w:t>
      </w:r>
      <w:r>
        <w:t xml:space="preserve"> </w:t>
      </w:r>
      <w:r>
        <w:t xml:space="preserve">addresses; the kernel occupies the upper half and is not accessible from user mode.</w:t>
      </w:r>
      <w:r>
        <w:t xml:space="preserve"> </w:t>
      </w:r>
      <w:r>
        <w:rPr>
          <w:iCs/>
          <w:i/>
        </w:rPr>
        <w:t xml:space="preserve">(§6.3.2)</w:t>
      </w:r>
    </w:p>
    <w:p>
      <w:pPr>
        <w:pStyle w:val="BodyText"/>
      </w:pPr>
      <w:r>
        <w:rPr>
          <w:bCs/>
          <w:b/>
        </w:rPr>
        <w:t xml:space="preserve">Analysis</w:t>
      </w:r>
      <w:r>
        <w:t xml:space="preserve"> </w:t>
      </w:r>
      <w:r>
        <w:t xml:space="preserve">— The process that converts raw text into the terms stored in (or looked up from) an inverted index. An</w:t>
      </w:r>
      <w:r>
        <w:t xml:space="preserve"> </w:t>
      </w:r>
      <w:r>
        <w:rPr>
          <w:bCs/>
          <w:b/>
        </w:rPr>
        <w:t xml:space="preserve">analyzer</w:t>
      </w:r>
      <w:r>
        <w:t xml:space="preserve"> </w:t>
      </w:r>
      <w:r>
        <w:t xml:space="preserve">is a pipeline of zero or more</w:t>
      </w:r>
      <w:r>
        <w:t xml:space="preserve"> </w:t>
      </w:r>
      <w:r>
        <w:rPr>
          <w:bCs/>
          <w:b/>
        </w:rPr>
        <w:t xml:space="preserve">character filters</w:t>
      </w:r>
      <w:r>
        <w:t xml:space="preserve"> </w:t>
      </w:r>
      <w:r>
        <w:t xml:space="preserve">(rewrite the raw character stream), exactly one</w:t>
      </w:r>
      <w:r>
        <w:t xml:space="preserve"> </w:t>
      </w:r>
      <w:r>
        <w:rPr>
          <w:bCs/>
          <w:b/>
        </w:rPr>
        <w:t xml:space="preserve">tokenizer</w:t>
      </w:r>
      <w:r>
        <w:t xml:space="preserve"> </w:t>
      </w:r>
      <w:r>
        <w:t xml:space="preserve">(split the stream into tokens with positions and offsets) and zero or more</w:t>
      </w:r>
      <w:r>
        <w:t xml:space="preserve"> </w:t>
      </w:r>
      <w:r>
        <w:rPr>
          <w:bCs/>
          <w:b/>
        </w:rPr>
        <w:t xml:space="preserve">token filters</w:t>
      </w:r>
      <w:r>
        <w:t xml:space="preserve"> </w:t>
      </w:r>
      <w:r>
        <w:t xml:space="preserve">(modify, remove or add tokens).</w:t>
      </w:r>
      <w:r>
        <w:t xml:space="preserve"> </w:t>
      </w:r>
      <w:r>
        <w:rPr>
          <w:iCs/>
          <w:i/>
        </w:rPr>
        <w:t xml:space="preserve">(§16.4.1)</w:t>
      </w:r>
    </w:p>
    <w:p>
      <w:pPr>
        <w:pStyle w:val="BodyText"/>
      </w:pPr>
      <w:r>
        <w:rPr>
          <w:bCs/>
          <w:b/>
        </w:rPr>
        <w:t xml:space="preserve">Anycast</w:t>
      </w:r>
      <w:r>
        <w:t xml:space="preserve"> </w:t>
      </w:r>
      <w:r>
        <w:t xml:space="preserve">— An addressing scheme in which the same IP prefix is announced via BGP from many locations at once. Each client’s packets are routed to whichever announcing location is</w:t>
      </w:r>
      <w:r>
        <w:t xml:space="preserve"> </w:t>
      </w:r>
      <w:r>
        <w:t xml:space="preserve">“</w:t>
      </w:r>
      <w:r>
        <w:t xml:space="preserve">closest</w:t>
      </w:r>
      <w:r>
        <w:t xml:space="preserve">”</w:t>
      </w:r>
      <w:r>
        <w:t xml:space="preserve"> </w:t>
      </w:r>
      <w:r>
        <w:t xml:space="preserve">according to BGP path selection.</w:t>
      </w:r>
      <w:r>
        <w:t xml:space="preserve"> </w:t>
      </w:r>
      <w:r>
        <w:rPr>
          <w:iCs/>
          <w:i/>
        </w:rPr>
        <w:t xml:space="preserve">(§7.5.3)</w:t>
      </w:r>
    </w:p>
    <w:p>
      <w:pPr>
        <w:pStyle w:val="BodyText"/>
      </w:pPr>
      <w:r>
        <w:rPr>
          <w:bCs/>
          <w:b/>
        </w:rPr>
        <w:t xml:space="preserve">Apache Flink</w:t>
      </w:r>
      <w:r>
        <w:t xml:space="preserve"> </w:t>
      </w:r>
      <w:r>
        <w:t xml:space="preserve">— An open-source distributed engine that executes dataflow programs as a graph of long-running, pipelined operators, treating batch as a bounded special case of streaming. It provides event-time processing with watermarks, large keyed state, and exactly-once state consistency through asynchronous distributed snapshots [Carbone et al. 2015a].</w:t>
      </w:r>
      <w:r>
        <w:t xml:space="preserve"> </w:t>
      </w:r>
      <w:r>
        <w:rPr>
          <w:iCs/>
          <w:i/>
        </w:rPr>
        <w:t xml:space="preserve">(§29.9.1)</w:t>
      </w:r>
    </w:p>
    <w:p>
      <w:pPr>
        <w:pStyle w:val="BodyText"/>
      </w:pPr>
      <w:r>
        <w:rPr>
          <w:bCs/>
          <w:b/>
        </w:rPr>
        <w:t xml:space="preserve">Architectural decision</w:t>
      </w:r>
      <w:r>
        <w:t xml:space="preserve"> </w:t>
      </w:r>
      <w:r>
        <w:t xml:space="preserve">— A design choice that addresses an architecturally significant requirement — one that affects structure, quality attributes, interfaces or technology in a way that is costly to change later. Examples: choosing a relational database over a key-value store; storing files in object storage; making photo processing asynchronous.</w:t>
      </w:r>
      <w:r>
        <w:t xml:space="preserve"> </w:t>
      </w:r>
      <w:r>
        <w:rPr>
          <w:iCs/>
          <w:i/>
        </w:rPr>
        <w:t xml:space="preserve">(§1.8.1)</w:t>
      </w:r>
    </w:p>
    <w:p>
      <w:pPr>
        <w:pStyle w:val="BodyText"/>
      </w:pPr>
      <w:r>
        <w:rPr>
          <w:bCs/>
          <w:b/>
        </w:rPr>
        <w:t xml:space="preserve">Architecture Decision Record (ADR)</w:t>
      </w:r>
      <w:r>
        <w:t xml:space="preserve"> </w:t>
      </w:r>
      <w:r>
        <w:t xml:space="preserve">— A short document that captures one architectural decision: its context, the decision itself, its status, and its consequences. ADRs are numbered, kept in sequence (often in the code repository), and never edited to reverse a decision — a new ADR</w:t>
      </w:r>
      <w:r>
        <w:t xml:space="preserve"> </w:t>
      </w:r>
      <w:r>
        <w:rPr>
          <w:iCs/>
          <w:i/>
        </w:rPr>
        <w:t xml:space="preserve">supersedes</w:t>
      </w:r>
      <w:r>
        <w:t xml:space="preserve"> </w:t>
      </w:r>
      <w:r>
        <w:t xml:space="preserve">the old one [Nygard 2011].</w:t>
      </w:r>
      <w:r>
        <w:t xml:space="preserve"> </w:t>
      </w:r>
      <w:r>
        <w:rPr>
          <w:iCs/>
          <w:i/>
        </w:rPr>
        <w:t xml:space="preserve">(§1.8.1)</w:t>
      </w:r>
    </w:p>
    <w:p>
      <w:pPr>
        <w:pStyle w:val="BodyText"/>
      </w:pPr>
      <w:r>
        <w:rPr>
          <w:bCs/>
          <w:b/>
        </w:rPr>
        <w:t xml:space="preserve">Architecture documentation</w:t>
      </w:r>
      <w:r>
        <w:t xml:space="preserve"> </w:t>
      </w:r>
      <w:r>
        <w:t xml:space="preserve">— The written and diagrammed record of a system’s structure and of the decisions that shaped it. It is written so that people who were not in the room (new team members, reviewers, your future self) can understand</w:t>
      </w:r>
      <w:r>
        <w:t xml:space="preserve"> </w:t>
      </w:r>
      <w:r>
        <w:rPr>
          <w:iCs/>
          <w:i/>
        </w:rPr>
        <w:t xml:space="preserve">what</w:t>
      </w:r>
      <w:r>
        <w:t xml:space="preserve"> </w:t>
      </w:r>
      <w:r>
        <w:t xml:space="preserve">the system is and</w:t>
      </w:r>
      <w:r>
        <w:t xml:space="preserve"> </w:t>
      </w:r>
      <w:r>
        <w:rPr>
          <w:iCs/>
          <w:i/>
        </w:rPr>
        <w:t xml:space="preserve">why</w:t>
      </w:r>
      <w:r>
        <w:t xml:space="preserve"> </w:t>
      </w:r>
      <w:r>
        <w:t xml:space="preserve">it is that way.</w:t>
      </w:r>
      <w:r>
        <w:t xml:space="preserve"> </w:t>
      </w:r>
      <w:r>
        <w:rPr>
          <w:iCs/>
          <w:i/>
        </w:rPr>
        <w:t xml:space="preserve">(§2.12.1)</w:t>
      </w:r>
    </w:p>
    <w:p>
      <w:pPr>
        <w:pStyle w:val="BodyText"/>
      </w:pPr>
      <w:r>
        <w:rPr>
          <w:bCs/>
          <w:b/>
        </w:rPr>
        <w:t xml:space="preserve">Asymmetric (public-key) cryptography</w:t>
      </w:r>
      <w:r>
        <w:t xml:space="preserve"> </w:t>
      </w:r>
      <w:r>
        <w:t xml:space="preserve">— Cryptography using a mathematically linked</w:t>
      </w:r>
      <w:r>
        <w:t xml:space="preserve"> </w:t>
      </w:r>
      <w:r>
        <w:rPr>
          <w:bCs/>
          <w:b/>
        </w:rPr>
        <w:t xml:space="preserve">key pair</w:t>
      </w:r>
      <w:r>
        <w:t xml:space="preserve">: a</w:t>
      </w:r>
      <w:r>
        <w:t xml:space="preserve"> </w:t>
      </w:r>
      <w:r>
        <w:rPr>
          <w:bCs/>
          <w:b/>
        </w:rPr>
        <w:t xml:space="preserve">public key</w:t>
      </w:r>
      <w:r>
        <w:t xml:space="preserve"> </w:t>
      </w:r>
      <w:r>
        <w:t xml:space="preserve">that can be shared with anyone and a</w:t>
      </w:r>
      <w:r>
        <w:t xml:space="preserve"> </w:t>
      </w:r>
      <w:r>
        <w:rPr>
          <w:bCs/>
          <w:b/>
        </w:rPr>
        <w:t xml:space="preserve">private key</w:t>
      </w:r>
      <w:r>
        <w:t xml:space="preserve"> </w:t>
      </w:r>
      <w:r>
        <w:t xml:space="preserve">kept secret by its owner. What one key does, only the other can undo or verify. Security rests on problems believed hard to invert: factoring large integers (RSA) or computing discrete logarithms on elliptic curves (ECC).</w:t>
      </w:r>
      <w:r>
        <w:t xml:space="preserve"> </w:t>
      </w:r>
      <w:r>
        <w:rPr>
          <w:iCs/>
          <w:i/>
        </w:rPr>
        <w:t xml:space="preserve">(§10.4.3)</w:t>
      </w:r>
    </w:p>
    <w:p>
      <w:pPr>
        <w:pStyle w:val="BodyText"/>
      </w:pPr>
      <w:r>
        <w:rPr>
          <w:bCs/>
          <w:b/>
        </w:rPr>
        <w:t xml:space="preserve">Atomic commitment</w:t>
      </w:r>
      <w:r>
        <w:t xml:space="preserve"> </w:t>
      </w:r>
      <w:r>
        <w:t xml:space="preserve">— A protocol by which a set of</w:t>
      </w:r>
      <w:r>
        <w:t xml:space="preserve"> </w:t>
      </w:r>
      <w:r>
        <w:rPr>
          <w:bCs/>
          <w:b/>
        </w:rPr>
        <w:t xml:space="preserve">participants</w:t>
      </w:r>
      <w:r>
        <w:t xml:space="preserve"> </w:t>
      </w:r>
      <w:r>
        <w:t xml:space="preserve">(nodes that each executed part of a transaction) reach a single outcome, commit or abort, such that: (1) all participants that decide reach the same decision; (2) a participant cannot reverse a decision once made; (3) commit is decided only if every participant voted yes; (4) if there are no failures and every participant voted yes, the decision is commit; and (5) once failures are repaired and no new ones occur for long enough, every participant eventually decides [Bernstein et al. 1987].</w:t>
      </w:r>
      <w:r>
        <w:t xml:space="preserve"> </w:t>
      </w:r>
      <w:r>
        <w:rPr>
          <w:iCs/>
          <w:i/>
        </w:rPr>
        <w:t xml:space="preserve">(§28.3.1)</w:t>
      </w:r>
    </w:p>
    <w:p>
      <w:pPr>
        <w:pStyle w:val="BodyText"/>
      </w:pPr>
      <w:r>
        <w:rPr>
          <w:bCs/>
          <w:b/>
        </w:rPr>
        <w:t xml:space="preserve">Audit log</w:t>
      </w:r>
      <w:r>
        <w:t xml:space="preserve"> </w:t>
      </w:r>
      <w:r>
        <w:t xml:space="preserve">— An append-only record of security-relevant events — who (actor), did what (action), to which resource, when, from where, and with what result — retained so that actions can be investigated and attributed. A log is</w:t>
      </w:r>
      <w:r>
        <w:t xml:space="preserve"> </w:t>
      </w:r>
      <w:r>
        <w:rPr>
          <w:bCs/>
          <w:b/>
        </w:rPr>
        <w:t xml:space="preserve">tamper-evident</w:t>
      </w:r>
      <w:r>
        <w:t xml:space="preserve"> </w:t>
      </w:r>
      <w:r>
        <w:t xml:space="preserve">if any modification, deletion or reordering of past entries can be detected.</w:t>
      </w:r>
      <w:r>
        <w:t xml:space="preserve"> </w:t>
      </w:r>
      <w:r>
        <w:rPr>
          <w:iCs/>
          <w:i/>
        </w:rPr>
        <w:t xml:space="preserve">(§10.12)</w:t>
      </w:r>
    </w:p>
    <w:p>
      <w:pPr>
        <w:pStyle w:val="BodyText"/>
      </w:pPr>
      <w:r>
        <w:rPr>
          <w:bCs/>
          <w:b/>
        </w:rPr>
        <w:t xml:space="preserve">Authenticated encryption with associated data (AEAD)</w:t>
      </w:r>
      <w:r>
        <w:t xml:space="preserve"> </w:t>
      </w:r>
      <w:r>
        <w:t xml:space="preserve">— A symmetric scheme that provides confidentiality for the plaintext</w:t>
      </w:r>
      <w:r>
        <w:t xml:space="preserve"> </w:t>
      </w:r>
      <w:r>
        <w:rPr>
          <w:iCs/>
          <w:i/>
        </w:rPr>
        <w:t xml:space="preserve">and</w:t>
      </w:r>
      <w:r>
        <w:t xml:space="preserve"> </w:t>
      </w:r>
      <w:r>
        <w:t xml:space="preserve">integrity for both the ciphertext and optional unencrypted</w:t>
      </w:r>
      <w:r>
        <w:t xml:space="preserve"> </w:t>
      </w:r>
      <w:r>
        <w:rPr>
          <w:bCs/>
          <w:b/>
        </w:rPr>
        <w:t xml:space="preserve">associated data</w:t>
      </w:r>
      <w:r>
        <w:t xml:space="preserve"> </w:t>
      </w:r>
      <w:r>
        <w:t xml:space="preserve">(AAD), producing an authentication</w:t>
      </w:r>
      <w:r>
        <w:t xml:space="preserve"> </w:t>
      </w:r>
      <w:r>
        <w:rPr>
          <w:bCs/>
          <w:b/>
        </w:rPr>
        <w:t xml:space="preserve">tag</w:t>
      </w:r>
      <w:r>
        <w:t xml:space="preserve"> </w:t>
      </w:r>
      <w:r>
        <w:t xml:space="preserve">that decryption checks before releasing any plaintext. AES-GCM and ChaCha20-Poly1305 are AEAD schemes.</w:t>
      </w:r>
      <w:r>
        <w:t xml:space="preserve"> </w:t>
      </w:r>
      <w:r>
        <w:rPr>
          <w:iCs/>
          <w:i/>
        </w:rPr>
        <w:t xml:space="preserve">(§10.4.2)</w:t>
      </w:r>
    </w:p>
    <w:p>
      <w:pPr>
        <w:pStyle w:val="BodyText"/>
      </w:pPr>
      <w:r>
        <w:rPr>
          <w:bCs/>
          <w:b/>
        </w:rPr>
        <w:t xml:space="preserve">Authentication (AuthN)</w:t>
      </w:r>
      <w:r>
        <w:t xml:space="preserve"> </w:t>
      </w:r>
      <w:r>
        <w:t xml:space="preserve">— Verifying</w:t>
      </w:r>
      <w:r>
        <w:t xml:space="preserve"> </w:t>
      </w:r>
      <w:r>
        <w:rPr>
          <w:iCs/>
          <w:i/>
        </w:rPr>
        <w:t xml:space="preserve">who</w:t>
      </w:r>
      <w:r>
        <w:t xml:space="preserve"> </w:t>
      </w:r>
      <w:r>
        <w:t xml:space="preserve">a client is.</w:t>
      </w:r>
      <w:r>
        <w:t xml:space="preserve"> </w:t>
      </w:r>
      <w:r>
        <w:rPr>
          <w:bCs/>
          <w:b/>
        </w:rPr>
        <w:t xml:space="preserve">Authorization (AuthZ)</w:t>
      </w:r>
      <w:r>
        <w:t xml:space="preserve"> </w:t>
      </w:r>
      <w:r>
        <w:t xml:space="preserve">is deciding</w:t>
      </w:r>
      <w:r>
        <w:t xml:space="preserve"> </w:t>
      </w:r>
      <w:r>
        <w:rPr>
          <w:iCs/>
          <w:i/>
        </w:rPr>
        <w:t xml:space="preserve">what</w:t>
      </w:r>
      <w:r>
        <w:t xml:space="preserve"> </w:t>
      </w:r>
      <w:r>
        <w:t xml:space="preserve">that verified identity may do (§8.12). AuthN failures return</w:t>
      </w:r>
      <w:r>
        <w:t xml:space="preserve"> </w:t>
      </w:r>
      <w:r>
        <w:rPr>
          <w:rStyle w:val="VerbatimChar"/>
        </w:rPr>
        <w:t xml:space="preserve">401</w:t>
      </w:r>
      <w:r>
        <w:t xml:space="preserve">; AuthZ failures return</w:t>
      </w:r>
      <w:r>
        <w:t xml:space="preserve"> </w:t>
      </w:r>
      <w:r>
        <w:rPr>
          <w:rStyle w:val="VerbatimChar"/>
        </w:rPr>
        <w:t xml:space="preserve">403</w:t>
      </w:r>
      <w:r>
        <w:t xml:space="preserve">.</w:t>
      </w:r>
      <w:r>
        <w:t xml:space="preserve"> </w:t>
      </w:r>
      <w:r>
        <w:rPr>
          <w:iCs/>
          <w:i/>
        </w:rPr>
        <w:t xml:space="preserve">(§8.11)</w:t>
      </w:r>
    </w:p>
    <w:p>
      <w:pPr>
        <w:pStyle w:val="BodyText"/>
      </w:pPr>
      <w:r>
        <w:rPr>
          <w:bCs/>
          <w:b/>
        </w:rPr>
        <w:t xml:space="preserve">Autocomplete (typeahead)</w:t>
      </w:r>
      <w:r>
        <w:t xml:space="preserve"> </w:t>
      </w:r>
      <w:r>
        <w:t xml:space="preserve">— A service that, given the prefix a user has typed so far, returns a short ranked list (typically 5–10) of likely completions, usually popular past queries or entity names, on every keystroke or after a short pause.</w:t>
      </w:r>
      <w:r>
        <w:t xml:space="preserve"> </w:t>
      </w:r>
      <w:r>
        <w:rPr>
          <w:iCs/>
          <w:i/>
        </w:rPr>
        <w:t xml:space="preserve">(§16.9.1)</w:t>
      </w:r>
    </w:p>
    <w:p>
      <w:pPr>
        <w:pStyle w:val="BodyText"/>
      </w:pPr>
      <w:r>
        <w:rPr>
          <w:bCs/>
          <w:b/>
        </w:rPr>
        <w:t xml:space="preserve">Autoscaling</w:t>
      </w:r>
      <w:r>
        <w:t xml:space="preserve"> </w:t>
      </w:r>
      <w:r>
        <w:t xml:space="preserve">— Automatically changing the number of instances of a service in response to a measured or forecast signal, within configured minimum and maximum bounds.</w:t>
      </w:r>
      <w:r>
        <w:t xml:space="preserve"> </w:t>
      </w:r>
      <w:r>
        <w:rPr>
          <w:bCs/>
          <w:b/>
        </w:rPr>
        <w:t xml:space="preserve">Reactive</w:t>
      </w:r>
      <w:r>
        <w:t xml:space="preserve"> </w:t>
      </w:r>
      <w:r>
        <w:t xml:space="preserve">autoscaling responds to current metrics;</w:t>
      </w:r>
      <w:r>
        <w:t xml:space="preserve"> </w:t>
      </w:r>
      <w:r>
        <w:rPr>
          <w:bCs/>
          <w:b/>
        </w:rPr>
        <w:t xml:space="preserve">scheduled</w:t>
      </w:r>
      <w:r>
        <w:t xml:space="preserve"> </w:t>
      </w:r>
      <w:r>
        <w:t xml:space="preserve">autoscaling follows a calendar;</w:t>
      </w:r>
      <w:r>
        <w:t xml:space="preserve"> </w:t>
      </w:r>
      <w:r>
        <w:rPr>
          <w:bCs/>
          <w:b/>
        </w:rPr>
        <w:t xml:space="preserve">predictive</w:t>
      </w:r>
      <w:r>
        <w:t xml:space="preserve"> </w:t>
      </w:r>
      <w:r>
        <w:t xml:space="preserve">autoscaling acts on a forecast.</w:t>
      </w:r>
      <w:r>
        <w:t xml:space="preserve"> </w:t>
      </w:r>
      <w:r>
        <w:rPr>
          <w:iCs/>
          <w:i/>
        </w:rPr>
        <w:t xml:space="preserve">(§18.8.2)</w:t>
      </w:r>
    </w:p>
    <w:p>
      <w:pPr>
        <w:pStyle w:val="BodyText"/>
      </w:pPr>
      <w:r>
        <w:rPr>
          <w:bCs/>
          <w:b/>
        </w:rPr>
        <w:t xml:space="preserve">Availability</w:t>
      </w:r>
      <w:r>
        <w:t xml:space="preserve"> </w:t>
      </w:r>
      <w:r>
        <w:t xml:space="preserve">— The fraction of time (or of requests) for which a system serves correctly:</w:t>
      </w:r>
      <w:r>
        <w:t xml:space="preserve"> </w:t>
      </w:r>
      <m:oMath>
        <m:r>
          <m:t>A</m:t>
        </m:r>
        <m:r>
          <m:rPr>
            <m:sty m:val="p"/>
          </m:rPr>
          <m:t>=</m:t>
        </m:r>
        <m:r>
          <m:rPr>
            <m:nor/>
            <m:sty m:val="p"/>
          </m:rPr>
          <m:t>uptime</m:t>
        </m:r>
        <m:r>
          <m:rPr>
            <m:sty m:val="p"/>
          </m:rPr>
          <m:t>/</m:t>
        </m:r>
        <m:d>
          <m:dPr>
            <m:begChr m:val="("/>
            <m:endChr m:val=")"/>
            <m:sepChr m:val=""/>
            <m:grow/>
          </m:dPr>
          <m:e>
            <m:r>
              <m:rPr>
                <m:nor/>
                <m:sty m:val="p"/>
              </m:rPr>
              <m:t>uptime</m:t>
            </m:r>
            <m:r>
              <m:rPr>
                <m:sty m:val="p"/>
              </m:rPr>
              <m:t>+</m:t>
            </m:r>
            <m:r>
              <m:rPr>
                <m:nor/>
                <m:sty m:val="p"/>
              </m:rPr>
              <m:t>downtime</m:t>
            </m:r>
          </m:e>
        </m:d>
      </m:oMath>
      <w:r>
        <w:t xml:space="preserve">, or, request-based,</w:t>
      </w:r>
      <w:r>
        <w:t xml:space="preserve"> </w:t>
      </w:r>
      <m:oMath>
        <m:r>
          <m:t>A</m:t>
        </m:r>
        <m:r>
          <m:rPr>
            <m:sty m:val="p"/>
          </m:rPr>
          <m:t>=</m:t>
        </m:r>
        <m:r>
          <m:rPr>
            <m:nor/>
            <m:sty m:val="p"/>
          </m:rPr>
          <m:t>successful requests</m:t>
        </m:r>
        <m:r>
          <m:rPr>
            <m:sty m:val="p"/>
          </m:rPr>
          <m:t>/</m:t>
        </m:r>
        <m:r>
          <m:rPr>
            <m:nor/>
            <m:sty m:val="p"/>
          </m:rPr>
          <m:t>valid requests</m:t>
        </m:r>
      </m:oMath>
      <w:r>
        <w:t xml:space="preserve">. It is commonly quoted in</w:t>
      </w:r>
      <w:r>
        <w:t xml:space="preserve"> </w:t>
      </w:r>
      <w:r>
        <w:t xml:space="preserve">“</w:t>
      </w:r>
      <w:r>
        <w:t xml:space="preserve">nines</w:t>
      </w:r>
      <w:r>
        <w:t xml:space="preserve">”</w:t>
      </w:r>
      <w:r>
        <w:t xml:space="preserve">: 99.9% is</w:t>
      </w:r>
      <w:r>
        <w:t xml:space="preserve"> </w:t>
      </w:r>
      <w:r>
        <w:t xml:space="preserve">“</w:t>
      </w:r>
      <w:r>
        <w:t xml:space="preserve">three nines</w:t>
      </w:r>
      <w:r>
        <w:t xml:space="preserve">”</w:t>
      </w:r>
      <w:r>
        <w:t xml:space="preserve">.</w:t>
      </w:r>
      <w:r>
        <w:t xml:space="preserve"> </w:t>
      </w:r>
      <w:r>
        <w:rPr>
          <w:iCs/>
          <w:i/>
        </w:rPr>
        <w:t xml:space="preserve">(§4.14.1)</w:t>
      </w:r>
    </w:p>
    <w:bookmarkEnd w:id="3352"/>
    <w:bookmarkStart w:id="3353" w:name="b"/>
    <w:p>
      <w:pPr>
        <w:pStyle w:val="Heading2"/>
      </w:pPr>
      <w:r>
        <w:t xml:space="preserve">B</w:t>
      </w:r>
    </w:p>
    <w:p>
      <w:pPr>
        <w:pStyle w:val="FirstParagraph"/>
      </w:pPr>
      <w:r>
        <w:rPr>
          <w:bCs/>
          <w:b/>
        </w:rPr>
        <w:t xml:space="preserve">Back-of-the-envelope estimation</w:t>
      </w:r>
      <w:r>
        <w:t xml:space="preserve"> </w:t>
      </w:r>
      <w:r>
        <w:t xml:space="preserve">— A quick calculation, done with round numbers and stated assumptions, that gives the order of magnitude of a system’s load and resource needs (requests per second, storage, bandwidth, memory, number of nodes). The aim is to be within a factor of about 2–3 of the truth with a few minutes of arithmetic. This section introduces the method. Chapter 89 is the full handbook.</w:t>
      </w:r>
      <w:r>
        <w:t xml:space="preserve"> </w:t>
      </w:r>
      <w:r>
        <w:rPr>
          <w:iCs/>
          <w:i/>
        </w:rPr>
        <w:t xml:space="preserve">(§2.11.1)</w:t>
      </w:r>
    </w:p>
    <w:p>
      <w:pPr>
        <w:pStyle w:val="BodyText"/>
      </w:pPr>
      <w:r>
        <w:rPr>
          <w:bCs/>
          <w:b/>
        </w:rPr>
        <w:t xml:space="preserve">Backpressure</w:t>
      </w:r>
      <w:r>
        <w:t xml:space="preserve"> </w:t>
      </w:r>
      <w:r>
        <w:t xml:space="preserve">— A flow-control mechanism in which a slower downstream component signals upstream components to reduce their sending rate, by blocking, by advertising available capacity, or by rejecting, so that work in progress stays bounded instead of piling up in unbounded buffers.</w:t>
      </w:r>
      <w:r>
        <w:t xml:space="preserve"> </w:t>
      </w:r>
      <w:r>
        <w:rPr>
          <w:iCs/>
          <w:i/>
        </w:rPr>
        <w:t xml:space="preserve">(§22.10)</w:t>
      </w:r>
    </w:p>
    <w:p>
      <w:pPr>
        <w:pStyle w:val="BodyText"/>
      </w:pPr>
      <w:r>
        <w:rPr>
          <w:bCs/>
          <w:b/>
        </w:rPr>
        <w:t xml:space="preserve">Backward and forward compatibility</w:t>
      </w:r>
      <w:r>
        <w:t xml:space="preserve"> </w:t>
      </w:r>
      <w:r>
        <w:t xml:space="preserve">—</w:t>
      </w:r>
      <w:r>
        <w:t xml:space="preserve"> </w:t>
      </w:r>
      <w:r>
        <w:rPr>
          <w:bCs/>
          <w:b/>
        </w:rPr>
        <w:t xml:space="preserve">Backward compatibility</w:t>
      </w:r>
      <w:r>
        <w:t xml:space="preserve">: newer code can read data written by older code.</w:t>
      </w:r>
      <w:r>
        <w:t xml:space="preserve"> </w:t>
      </w:r>
      <w:r>
        <w:rPr>
          <w:bCs/>
          <w:b/>
        </w:rPr>
        <w:t xml:space="preserve">Forward compatibility</w:t>
      </w:r>
      <w:r>
        <w:t xml:space="preserve">: older code can read data written by newer code [Kleppmann 2017, ch. 4].</w:t>
      </w:r>
      <w:r>
        <w:t xml:space="preserve"> </w:t>
      </w:r>
      <w:r>
        <w:rPr>
          <w:iCs/>
          <w:i/>
        </w:rPr>
        <w:t xml:space="preserve">(§8.9.3)</w:t>
      </w:r>
    </w:p>
    <w:p>
      <w:pPr>
        <w:pStyle w:val="BodyText"/>
      </w:pPr>
      <w:r>
        <w:rPr>
          <w:bCs/>
          <w:b/>
        </w:rPr>
        <w:t xml:space="preserve">Batch processing</w:t>
      </w:r>
      <w:r>
        <w:t xml:space="preserve"> </w:t>
      </w:r>
      <w:r>
        <w:t xml:space="preserve">— Running a computation over a</w:t>
      </w:r>
      <w:r>
        <w:t xml:space="preserve"> </w:t>
      </w:r>
      <w:r>
        <w:rPr>
          <w:bCs/>
          <w:b/>
        </w:rPr>
        <w:t xml:space="preserve">bounded</w:t>
      </w:r>
      <w:r>
        <w:t xml:space="preserve"> </w:t>
      </w:r>
      <w:r>
        <w:t xml:space="preserve">dataset (one whose size is known when the job starts, such as</w:t>
      </w:r>
      <w:r>
        <w:t xml:space="preserve"> </w:t>
      </w:r>
      <w:r>
        <w:t xml:space="preserve">“</w:t>
      </w:r>
      <w:r>
        <w:t xml:space="preserve">yesterday’s logs</w:t>
      </w:r>
      <w:r>
        <w:t xml:space="preserve">”</w:t>
      </w:r>
      <w:r>
        <w:t xml:space="preserve">) that reads immutable input files, writes new output files, and is judged mainly by</w:t>
      </w:r>
      <w:r>
        <w:t xml:space="preserve"> </w:t>
      </w:r>
      <w:r>
        <w:rPr>
          <w:bCs/>
          <w:b/>
        </w:rPr>
        <w:t xml:space="preserve">throughput</w:t>
      </w:r>
      <w:r>
        <w:t xml:space="preserve"> </w:t>
      </w:r>
      <w:r>
        <w:t xml:space="preserve">(bytes or records processed per second) and total completion time rather than by the latency of individual records.</w:t>
      </w:r>
      <w:r>
        <w:t xml:space="preserve"> </w:t>
      </w:r>
      <w:r>
        <w:rPr>
          <w:iCs/>
          <w:i/>
        </w:rPr>
        <w:t xml:space="preserve">(§29.3.1)</w:t>
      </w:r>
    </w:p>
    <w:p>
      <w:pPr>
        <w:pStyle w:val="BodyText"/>
      </w:pPr>
      <w:r>
        <w:rPr>
          <w:bCs/>
          <w:b/>
        </w:rPr>
        <w:t xml:space="preserve">BGP</w:t>
      </w:r>
      <w:r>
        <w:t xml:space="preserve"> </w:t>
      </w:r>
      <w:r>
        <w:t xml:space="preserve">— A</w:t>
      </w:r>
      <w:r>
        <w:t xml:space="preserve"> </w:t>
      </w:r>
      <w:r>
        <w:rPr>
          <w:bCs/>
          <w:b/>
        </w:rPr>
        <w:t xml:space="preserve">path-vector</w:t>
      </w:r>
      <w:r>
        <w:t xml:space="preserve"> </w:t>
      </w:r>
      <w:r>
        <w:t xml:space="preserve">routing protocol in which neighboring routers (peers) exchange, over a TCP session on port 179, announcements of the form</w:t>
      </w:r>
      <w:r>
        <w:t xml:space="preserve"> </w:t>
      </w:r>
      <w:r>
        <w:t xml:space="preserve">“</w:t>
      </w:r>
      <w:r>
        <w:t xml:space="preserve">prefix P is reachable via AS path [X, Y, Z]</w:t>
      </w:r>
      <w:r>
        <w:t xml:space="preserve">”</w:t>
      </w:r>
      <w:r>
        <w:t xml:space="preserve">. Each AS chooses among the paths it hears according to its own</w:t>
      </w:r>
      <w:r>
        <w:t xml:space="preserve"> </w:t>
      </w:r>
      <w:r>
        <w:rPr>
          <w:bCs/>
          <w:b/>
        </w:rPr>
        <w:t xml:space="preserve">policy</w:t>
      </w:r>
      <w:r>
        <w:t xml:space="preserve">, then re-announces its chosen path (with its own ASN prepended) to the peers its policy allows.</w:t>
      </w:r>
      <w:r>
        <w:t xml:space="preserve"> </w:t>
      </w:r>
      <w:r>
        <w:rPr>
          <w:iCs/>
          <w:i/>
        </w:rPr>
        <w:t xml:space="preserve">(§7.5.2)</w:t>
      </w:r>
    </w:p>
    <w:p>
      <w:pPr>
        <w:pStyle w:val="BodyText"/>
      </w:pPr>
      <w:r>
        <w:rPr>
          <w:bCs/>
          <w:b/>
        </w:rPr>
        <w:t xml:space="preserve">Bit and byte</w:t>
      </w:r>
      <w:r>
        <w:t xml:space="preserve"> </w:t>
      </w:r>
      <w:r>
        <w:t xml:space="preserve">— A</w:t>
      </w:r>
      <w:r>
        <w:t xml:space="preserve"> </w:t>
      </w:r>
      <w:r>
        <w:rPr>
          <w:bCs/>
          <w:b/>
        </w:rPr>
        <w:t xml:space="preserve">bit</w:t>
      </w:r>
      <w:r>
        <w:t xml:space="preserve"> </w:t>
      </w:r>
      <w:r>
        <w:t xml:space="preserve">(symbol b) is a single binary digit, 0 or 1. A</w:t>
      </w:r>
      <w:r>
        <w:t xml:space="preserve"> </w:t>
      </w:r>
      <w:r>
        <w:rPr>
          <w:bCs/>
          <w:b/>
        </w:rPr>
        <w:t xml:space="preserve">byte</w:t>
      </w:r>
      <w:r>
        <w:t xml:space="preserve"> </w:t>
      </w:r>
      <w:r>
        <w:t xml:space="preserve">(symbol B) is 8 bits. Storage and memory are conventionally measured in bytes; network link speeds are conventionally measured in bits per second (bps).</w:t>
      </w:r>
      <w:r>
        <w:t xml:space="preserve"> </w:t>
      </w:r>
      <w:r>
        <w:rPr>
          <w:iCs/>
          <w:i/>
        </w:rPr>
        <w:t xml:space="preserve">(§4.5.1)</w:t>
      </w:r>
    </w:p>
    <w:p>
      <w:pPr>
        <w:pStyle w:val="BodyText"/>
      </w:pPr>
      <w:r>
        <w:rPr>
          <w:bCs/>
          <w:b/>
        </w:rPr>
        <w:t xml:space="preserve">Block, file and object storage</w:t>
      </w:r>
      <w:r>
        <w:t xml:space="preserve"> </w:t>
      </w:r>
      <w:r>
        <w:t xml:space="preserve">—</w:t>
      </w:r>
      <w:r>
        <w:t xml:space="preserve"> </w:t>
      </w:r>
      <w:r>
        <w:rPr>
          <w:bCs/>
          <w:b/>
        </w:rPr>
        <w:t xml:space="preserve">Block storage</w:t>
      </w:r>
      <w:r>
        <w:t xml:space="preserve"> </w:t>
      </w:r>
      <w:r>
        <w:t xml:space="preserve">exposes a numbered array of fixed-size blocks (typically 512 B or 4 KiB) that a client reads and writes by offset; the client’s own file system or database gives the blocks meaning.</w:t>
      </w:r>
      <w:r>
        <w:t xml:space="preserve"> </w:t>
      </w:r>
      <w:r>
        <w:rPr>
          <w:bCs/>
          <w:b/>
        </w:rPr>
        <w:t xml:space="preserve">File storage</w:t>
      </w:r>
      <w:r>
        <w:t xml:space="preserve"> </w:t>
      </w:r>
      <w:r>
        <w:t xml:space="preserve">exposes a hierarchical namespace of directories and byte-addressable files with POSIX-like operations (open, read at offset, write at offset, rename, lock), shared by many clients over a protocol such as NFS or SMB.</w:t>
      </w:r>
      <w:r>
        <w:t xml:space="preserve"> </w:t>
      </w:r>
      <w:r>
        <w:rPr>
          <w:bCs/>
          <w:b/>
        </w:rPr>
        <w:t xml:space="preserve">Object storage</w:t>
      </w:r>
      <w:r>
        <w:t xml:space="preserve"> </w:t>
      </w:r>
      <w:r>
        <w:t xml:space="preserve">exposes a flat namespace of immutable</w:t>
      </w:r>
      <w:r>
        <w:t xml:space="preserve"> </w:t>
      </w:r>
      <w:r>
        <w:rPr>
          <w:bCs/>
          <w:b/>
        </w:rPr>
        <w:t xml:space="preserve">objects</w:t>
      </w:r>
      <w:r>
        <w:t xml:space="preserve">, each a byte string plus metadata addressed by a key within a</w:t>
      </w:r>
      <w:r>
        <w:t xml:space="preserve"> </w:t>
      </w:r>
      <w:r>
        <w:rPr>
          <w:bCs/>
          <w:b/>
        </w:rPr>
        <w:t xml:space="preserve">bucket</w:t>
      </w:r>
      <w:r>
        <w:t xml:space="preserve">, accessed over HTTP with whole-object PUT, GET (optionally a byte range), DELETE and LIST.</w:t>
      </w:r>
      <w:r>
        <w:t xml:space="preserve"> </w:t>
      </w:r>
      <w:r>
        <w:rPr>
          <w:iCs/>
          <w:i/>
        </w:rPr>
        <w:t xml:space="preserve">(§15.3.1)</w:t>
      </w:r>
    </w:p>
    <w:p>
      <w:pPr>
        <w:pStyle w:val="BodyText"/>
      </w:pPr>
      <w:r>
        <w:rPr>
          <w:bCs/>
          <w:b/>
        </w:rPr>
        <w:t xml:space="preserve">Bloom filter</w:t>
      </w:r>
      <w:r>
        <w:t xml:space="preserve"> </w:t>
      </w:r>
      <w:r>
        <w:t xml:space="preserve">— A probabilistic data structure for set membership, introduced by Burton Bloom in 1970, that stores a set of</w:t>
      </w:r>
      <w:r>
        <w:t xml:space="preserve"> </w:t>
      </w:r>
      <m:oMath>
        <m:r>
          <m:t>n</m:t>
        </m:r>
      </m:oMath>
      <w:r>
        <w:t xml:space="preserve"> </w:t>
      </w:r>
      <w:r>
        <w:t xml:space="preserve">items in an array of</w:t>
      </w:r>
      <w:r>
        <w:t xml:space="preserve"> </w:t>
      </w:r>
      <m:oMath>
        <m:r>
          <m:t>m</m:t>
        </m:r>
      </m:oMath>
      <w:r>
        <w:t xml:space="preserve"> </w:t>
      </w:r>
      <w:r>
        <w:t xml:space="preserve">bits using</w:t>
      </w:r>
      <w:r>
        <w:t xml:space="preserve"> </w:t>
      </w:r>
      <m:oMath>
        <m:r>
          <m:t>k</m:t>
        </m:r>
      </m:oMath>
      <w:r>
        <w:t xml:space="preserve"> </w:t>
      </w:r>
      <w:r>
        <w:t xml:space="preserve">hash functions [Bloom 1970]. A query answers either</w:t>
      </w:r>
      <w:r>
        <w:t xml:space="preserve"> </w:t>
      </w:r>
      <w:r>
        <w:t xml:space="preserve">“</w:t>
      </w:r>
      <w:r>
        <w:t xml:space="preserve">definitely not in the set</w:t>
      </w:r>
      <w:r>
        <w:t xml:space="preserve">”</w:t>
      </w:r>
      <w:r>
        <w:t xml:space="preserve"> </w:t>
      </w:r>
      <w:r>
        <w:t xml:space="preserve">or</w:t>
      </w:r>
      <w:r>
        <w:t xml:space="preserve"> </w:t>
      </w:r>
      <w:r>
        <w:t xml:space="preserve">“</w:t>
      </w:r>
      <w:r>
        <w:t xml:space="preserve">probably in the set</w:t>
      </w:r>
      <w:r>
        <w:t xml:space="preserve">”</w:t>
      </w:r>
      <w:r>
        <w:t xml:space="preserve">. It never gives a</w:t>
      </w:r>
      <w:r>
        <w:t xml:space="preserve"> </w:t>
      </w:r>
      <w:r>
        <w:rPr>
          <w:bCs/>
          <w:b/>
        </w:rPr>
        <w:t xml:space="preserve">false negative</w:t>
      </w:r>
      <w:r>
        <w:t xml:space="preserve"> </w:t>
      </w:r>
      <w:r>
        <w:t xml:space="preserve">(saying</w:t>
      </w:r>
      <w:r>
        <w:t xml:space="preserve"> </w:t>
      </w:r>
      <w:r>
        <w:t xml:space="preserve">“</w:t>
      </w:r>
      <w:r>
        <w:t xml:space="preserve">no</w:t>
      </w:r>
      <w:r>
        <w:t xml:space="preserve">”</w:t>
      </w:r>
      <w:r>
        <w:t xml:space="preserve"> </w:t>
      </w:r>
      <w:r>
        <w:t xml:space="preserve">for an item that was added), and gives a</w:t>
      </w:r>
      <w:r>
        <w:t xml:space="preserve"> </w:t>
      </w:r>
      <w:r>
        <w:rPr>
          <w:bCs/>
          <w:b/>
        </w:rPr>
        <w:t xml:space="preserve">false positive</w:t>
      </w:r>
      <w:r>
        <w:t xml:space="preserve"> </w:t>
      </w:r>
      <w:r>
        <w:t xml:space="preserve">(saying</w:t>
      </w:r>
      <w:r>
        <w:t xml:space="preserve"> </w:t>
      </w:r>
      <w:r>
        <w:t xml:space="preserve">“</w:t>
      </w:r>
      <w:r>
        <w:t xml:space="preserve">yes</w:t>
      </w:r>
      <w:r>
        <w:t xml:space="preserve">”</w:t>
      </w:r>
      <w:r>
        <w:t xml:space="preserve"> </w:t>
      </w:r>
      <w:r>
        <w:t xml:space="preserve">for an item that was not added) with a probability</w:t>
      </w:r>
      <w:r>
        <w:t xml:space="preserve"> </w:t>
      </w:r>
      <m:oMath>
        <m:r>
          <m:t>p</m:t>
        </m:r>
      </m:oMath>
      <w:r>
        <w:t xml:space="preserve"> </w:t>
      </w:r>
      <w:r>
        <w:t xml:space="preserve">that depends on</w:t>
      </w:r>
      <w:r>
        <w:t xml:space="preserve"> </w:t>
      </w:r>
      <m:oMath>
        <m:r>
          <m:t>m</m:t>
        </m:r>
      </m:oMath>
      <w:r>
        <w:t xml:space="preserve">,</w:t>
      </w:r>
      <w:r>
        <w:t xml:space="preserve"> </w:t>
      </w:r>
      <m:oMath>
        <m:r>
          <m:t>n</m:t>
        </m:r>
      </m:oMath>
      <w:r>
        <w:t xml:space="preserve"> </w:t>
      </w:r>
      <w:r>
        <w:t xml:space="preserve">and</w:t>
      </w:r>
      <w:r>
        <w:t xml:space="preserve"> </w:t>
      </w:r>
      <m:oMath>
        <m:r>
          <m:t>k</m:t>
        </m:r>
      </m:oMath>
      <w:r>
        <w:t xml:space="preserve">.</w:t>
      </w:r>
      <w:r>
        <w:t xml:space="preserve"> </w:t>
      </w:r>
      <w:r>
        <w:rPr>
          <w:iCs/>
          <w:i/>
        </w:rPr>
        <w:t xml:space="preserve">(§17.4.1)</w:t>
      </w:r>
    </w:p>
    <w:p>
      <w:pPr>
        <w:pStyle w:val="BodyText"/>
      </w:pPr>
      <w:r>
        <w:rPr>
          <w:bCs/>
          <w:b/>
        </w:rPr>
        <w:t xml:space="preserve">Bottleneck</w:t>
      </w:r>
      <w:r>
        <w:t xml:space="preserve"> </w:t>
      </w:r>
      <w:r>
        <w:t xml:space="preserve">— The resource whose capacity limits the throughput of the whole system for a given workload. Throughput cannot rise above the bottleneck’s capacity no matter how much the other resources are improved. Formally, it is the resource with the highest</w:t>
      </w:r>
      <w:r>
        <w:t xml:space="preserve"> </w:t>
      </w:r>
      <w:r>
        <w:rPr>
          <w:bCs/>
          <w:b/>
        </w:rPr>
        <w:t xml:space="preserve">service demand</w:t>
      </w:r>
      <w:r>
        <w:t xml:space="preserve"> </w:t>
      </w:r>
      <w:r>
        <w:t xml:space="preserve">per request (defined below).</w:t>
      </w:r>
      <w:r>
        <w:t xml:space="preserve"> </w:t>
      </w:r>
      <w:r>
        <w:rPr>
          <w:iCs/>
          <w:i/>
        </w:rPr>
        <w:t xml:space="preserve">(§2.6.1)</w:t>
      </w:r>
    </w:p>
    <w:p>
      <w:pPr>
        <w:pStyle w:val="BodyText"/>
      </w:pPr>
      <w:r>
        <w:rPr>
          <w:bCs/>
          <w:b/>
        </w:rPr>
        <w:t xml:space="preserve">Branch prediction</w:t>
      </w:r>
      <w:r>
        <w:t xml:space="preserve"> </w:t>
      </w:r>
      <w:r>
        <w:t xml:space="preserve">— Hardware that guesses the outcome of a conditional jump (a</w:t>
      </w:r>
      <w:r>
        <w:t xml:space="preserve"> </w:t>
      </w:r>
      <w:r>
        <w:rPr>
          <w:bCs/>
          <w:b/>
        </w:rPr>
        <w:t xml:space="preserve">branch</w:t>
      </w:r>
      <w:r>
        <w:t xml:space="preserve">, e.g. an</w:t>
      </w:r>
      <w:r>
        <w:t xml:space="preserve"> </w:t>
      </w:r>
      <w:r>
        <w:rPr>
          <w:rStyle w:val="VerbatimChar"/>
        </w:rPr>
        <w:t xml:space="preserve">if</w:t>
      </w:r>
      <w:r>
        <w:t xml:space="preserve"> </w:t>
      </w:r>
      <w:r>
        <w:t xml:space="preserve">or a loop condition) before it is computed, so that the pipeline can keep fetching instructions. A wrong guess is a</w:t>
      </w:r>
      <w:r>
        <w:t xml:space="preserve"> </w:t>
      </w:r>
      <w:r>
        <w:rPr>
          <w:bCs/>
          <w:b/>
        </w:rPr>
        <w:t xml:space="preserve">misprediction</w:t>
      </w:r>
      <w:r>
        <w:t xml:space="preserve"> </w:t>
      </w:r>
      <w:r>
        <w:t xml:space="preserve">and forces a pipeline flush.</w:t>
      </w:r>
      <w:r>
        <w:t xml:space="preserve"> </w:t>
      </w:r>
      <w:r>
        <w:rPr>
          <w:iCs/>
          <w:i/>
        </w:rPr>
        <w:t xml:space="preserve">(§5.3.4)</w:t>
      </w:r>
    </w:p>
    <w:p>
      <w:pPr>
        <w:pStyle w:val="BodyText"/>
      </w:pPr>
      <w:r>
        <w:rPr>
          <w:bCs/>
          <w:b/>
        </w:rPr>
        <w:t xml:space="preserve">B-tree and B+ tree</w:t>
      </w:r>
      <w:r>
        <w:t xml:space="preserve"> </w:t>
      </w:r>
      <w:r>
        <w:t xml:space="preserve">— A</w:t>
      </w:r>
      <w:r>
        <w:t xml:space="preserve"> </w:t>
      </w:r>
      <w:r>
        <w:rPr>
          <w:bCs/>
          <w:b/>
        </w:rPr>
        <w:t xml:space="preserve">B-tree</w:t>
      </w:r>
      <w:r>
        <w:t xml:space="preserve"> </w:t>
      </w:r>
      <w:r>
        <w:t xml:space="preserve">is a balanced search tree whose nodes are disk pages holding many sorted keys; every leaf is at the same depth, and nodes split and merge to stay between half-full and full [Bayer and McCreight 1972]. A</w:t>
      </w:r>
      <w:r>
        <w:t xml:space="preserve"> </w:t>
      </w:r>
      <w:r>
        <w:rPr>
          <w:bCs/>
          <w:b/>
        </w:rPr>
        <w:t xml:space="preserve">B+ tree</w:t>
      </w:r>
      <w:r>
        <w:t xml:space="preserve"> </w:t>
      </w:r>
      <w:r>
        <w:t xml:space="preserve">is the variant used by almost every relational database: internal nodes hold only separator keys and child pointers, all keys and values (or row pointers) live in the leaves, and leaves are linked to their siblings so range scans can walk sideways [Comer 1979; Petrov 2019].</w:t>
      </w:r>
      <w:r>
        <w:t xml:space="preserve"> </w:t>
      </w:r>
      <w:r>
        <w:rPr>
          <w:iCs/>
          <w:i/>
        </w:rPr>
        <w:t xml:space="preserve">(§11.8.1)</w:t>
      </w:r>
    </w:p>
    <w:p>
      <w:pPr>
        <w:pStyle w:val="BodyText"/>
      </w:pPr>
      <w:r>
        <w:rPr>
          <w:bCs/>
          <w:b/>
        </w:rPr>
        <w:t xml:space="preserve">B-tree storage engine</w:t>
      </w:r>
      <w:r>
        <w:t xml:space="preserve"> </w:t>
      </w:r>
      <w:r>
        <w:t xml:space="preserve">— A storage engine that keeps each table or index as a B+ tree of fixed-size pages and</w:t>
      </w:r>
      <w:r>
        <w:t xml:space="preserve"> </w:t>
      </w:r>
      <w:r>
        <w:rPr>
          <w:bCs/>
          <w:b/>
        </w:rPr>
        <w:t xml:space="preserve">updates pages in place</w:t>
      </w:r>
      <w:r>
        <w:t xml:space="preserve">: a change to a key rewrites the page that holds it. Internal pages hold separator keys and child page numbers; leaf pages hold the keys with either the rows themselves (a clustered index) or pointers to them.</w:t>
      </w:r>
      <w:r>
        <w:t xml:space="preserve"> </w:t>
      </w:r>
      <w:r>
        <w:rPr>
          <w:iCs/>
          <w:i/>
        </w:rPr>
        <w:t xml:space="preserve">(§13.6.1)</w:t>
      </w:r>
    </w:p>
    <w:p>
      <w:pPr>
        <w:pStyle w:val="BodyText"/>
      </w:pPr>
      <w:r>
        <w:rPr>
          <w:bCs/>
          <w:b/>
        </w:rPr>
        <w:t xml:space="preserve">Bucket, key, object and flat namespace</w:t>
      </w:r>
      <w:r>
        <w:t xml:space="preserve"> </w:t>
      </w:r>
      <w:r>
        <w:t xml:space="preserve">— A</w:t>
      </w:r>
      <w:r>
        <w:t xml:space="preserve"> </w:t>
      </w:r>
      <w:r>
        <w:rPr>
          <w:bCs/>
          <w:b/>
        </w:rPr>
        <w:t xml:space="preserve">bucket</w:t>
      </w:r>
      <w:r>
        <w:t xml:space="preserve"> </w:t>
      </w:r>
      <w:r>
        <w:t xml:space="preserve">is a named container with its own access policy, region and configuration. An</w:t>
      </w:r>
      <w:r>
        <w:t xml:space="preserve"> </w:t>
      </w:r>
      <w:r>
        <w:rPr>
          <w:bCs/>
          <w:b/>
        </w:rPr>
        <w:t xml:space="preserve">object</w:t>
      </w:r>
      <w:r>
        <w:t xml:space="preserve"> </w:t>
      </w:r>
      <w:r>
        <w:t xml:space="preserve">is an immutable byte string (from zero bytes to tens of terabytes) plus system metadata (size, content type, checksum, version ID) and user metadata. A</w:t>
      </w:r>
      <w:r>
        <w:t xml:space="preserve"> </w:t>
      </w:r>
      <w:r>
        <w:rPr>
          <w:bCs/>
          <w:b/>
        </w:rPr>
        <w:t xml:space="preserve">key</w:t>
      </w:r>
      <w:r>
        <w:t xml:space="preserve"> </w:t>
      </w:r>
      <w:r>
        <w:t xml:space="preserve">is the object’s full name within the bucket, for example</w:t>
      </w:r>
      <w:r>
        <w:t xml:space="preserve"> </w:t>
      </w:r>
      <w:r>
        <w:rPr>
          <w:rStyle w:val="VerbatimChar"/>
        </w:rPr>
        <w:t xml:space="preserve">photos/2026/10/u42/abc.jpg</w:t>
      </w:r>
      <w:r>
        <w:t xml:space="preserve">. The namespace is</w:t>
      </w:r>
      <w:r>
        <w:t xml:space="preserve"> </w:t>
      </w:r>
      <w:r>
        <w:rPr>
          <w:bCs/>
          <w:b/>
        </w:rPr>
        <w:t xml:space="preserve">flat</w:t>
      </w:r>
      <w:r>
        <w:t xml:space="preserve">: the slashes are ordinary characters, and</w:t>
      </w:r>
      <w:r>
        <w:t xml:space="preserve"> </w:t>
      </w:r>
      <w:r>
        <w:t xml:space="preserve">“</w:t>
      </w:r>
      <w:r>
        <w:t xml:space="preserve">folders</w:t>
      </w:r>
      <w:r>
        <w:t xml:space="preserve">”</w:t>
      </w:r>
      <w:r>
        <w:t xml:space="preserve"> </w:t>
      </w:r>
      <w:r>
        <w:t xml:space="preserve">are an illusion produced by listing keys that share a</w:t>
      </w:r>
      <w:r>
        <w:t xml:space="preserve"> </w:t>
      </w:r>
      <w:r>
        <w:rPr>
          <w:bCs/>
          <w:b/>
        </w:rPr>
        <w:t xml:space="preserve">prefix</w:t>
      </w:r>
      <w:r>
        <w:t xml:space="preserve"> </w:t>
      </w:r>
      <w:r>
        <w:t xml:space="preserve">and grouping them at a</w:t>
      </w:r>
      <w:r>
        <w:t xml:space="preserve"> </w:t>
      </w:r>
      <w:r>
        <w:rPr>
          <w:bCs/>
          <w:b/>
        </w:rPr>
        <w:t xml:space="preserve">delimiter</w:t>
      </w:r>
      <w:r>
        <w:t xml:space="preserve"> </w:t>
      </w:r>
      <w:r>
        <w:t xml:space="preserve">(usually</w:t>
      </w:r>
      <w:r>
        <w:t xml:space="preserve"> </w:t>
      </w:r>
      <w:r>
        <w:rPr>
          <w:rStyle w:val="VerbatimChar"/>
        </w:rPr>
        <w:t xml:space="preserve">/</w:t>
      </w:r>
      <w:r>
        <w:t xml:space="preserve">).</w:t>
      </w:r>
      <w:r>
        <w:t xml:space="preserve"> </w:t>
      </w:r>
      <w:r>
        <w:rPr>
          <w:iCs/>
          <w:i/>
        </w:rPr>
        <w:t xml:space="preserve">(§15.4.1)</w:t>
      </w:r>
    </w:p>
    <w:p>
      <w:pPr>
        <w:pStyle w:val="BodyText"/>
      </w:pPr>
      <w:r>
        <w:rPr>
          <w:bCs/>
          <w:b/>
        </w:rPr>
        <w:t xml:space="preserve">Buffer pool</w:t>
      </w:r>
      <w:r>
        <w:t xml:space="preserve"> </w:t>
      </w:r>
      <w:r>
        <w:t xml:space="preserve">— A region of memory, managed by the database itself, divided into page-sized</w:t>
      </w:r>
      <w:r>
        <w:t xml:space="preserve"> </w:t>
      </w:r>
      <w:r>
        <w:rPr>
          <w:bCs/>
          <w:b/>
        </w:rPr>
        <w:t xml:space="preserve">frames</w:t>
      </w:r>
      <w:r>
        <w:t xml:space="preserve"> </w:t>
      </w:r>
      <w:r>
        <w:t xml:space="preserve">that cache disk pages. A</w:t>
      </w:r>
      <w:r>
        <w:t xml:space="preserve"> </w:t>
      </w:r>
      <w:r>
        <w:rPr>
          <w:bCs/>
          <w:b/>
        </w:rPr>
        <w:t xml:space="preserve">page table</w:t>
      </w:r>
      <w:r>
        <w:t xml:space="preserve"> </w:t>
      </w:r>
      <w:r>
        <w:t xml:space="preserve">maps page IDs to frames; each frame carries a</w:t>
      </w:r>
      <w:r>
        <w:t xml:space="preserve"> </w:t>
      </w:r>
      <w:r>
        <w:rPr>
          <w:bCs/>
          <w:b/>
        </w:rPr>
        <w:t xml:space="preserve">pin count</w:t>
      </w:r>
      <w:r>
        <w:t xml:space="preserve"> </w:t>
      </w:r>
      <w:r>
        <w:t xml:space="preserve">(how many threads are using it right now), a</w:t>
      </w:r>
      <w:r>
        <w:t xml:space="preserve"> </w:t>
      </w:r>
      <w:r>
        <w:rPr>
          <w:bCs/>
          <w:b/>
        </w:rPr>
        <w:t xml:space="preserve">dirty flag</w:t>
      </w:r>
      <w:r>
        <w:t xml:space="preserve"> </w:t>
      </w:r>
      <w:r>
        <w:t xml:space="preserve">(whether it differs from the disk copy) and bookkeeping for the</w:t>
      </w:r>
      <w:r>
        <w:t xml:space="preserve"> </w:t>
      </w:r>
      <w:r>
        <w:rPr>
          <w:bCs/>
          <w:b/>
        </w:rPr>
        <w:t xml:space="preserve">replacement policy</w:t>
      </w:r>
      <w:r>
        <w:t xml:space="preserve"> </w:t>
      </w:r>
      <w:r>
        <w:t xml:space="preserve">that chooses which page to evict.</w:t>
      </w:r>
      <w:r>
        <w:t xml:space="preserve"> </w:t>
      </w:r>
      <w:r>
        <w:rPr>
          <w:iCs/>
          <w:i/>
        </w:rPr>
        <w:t xml:space="preserve">(§13.4.1)</w:t>
      </w:r>
    </w:p>
    <w:p>
      <w:pPr>
        <w:pStyle w:val="BodyText"/>
      </w:pPr>
      <w:r>
        <w:rPr>
          <w:bCs/>
          <w:b/>
        </w:rPr>
        <w:t xml:space="preserve">Bulkhead</w:t>
      </w:r>
      <w:r>
        <w:t xml:space="preserve"> </w:t>
      </w:r>
      <w:r>
        <w:t xml:space="preserve">— Partitioning a service’s limited resources (threads, connections, memory, instances) into isolated pools, one per dependency, tenant or workload class, so that exhaustion of one pool cannot starve the others.</w:t>
      </w:r>
      <w:r>
        <w:t xml:space="preserve"> </w:t>
      </w:r>
      <w:r>
        <w:rPr>
          <w:iCs/>
          <w:i/>
        </w:rPr>
        <w:t xml:space="preserve">(§22.14)</w:t>
      </w:r>
    </w:p>
    <w:bookmarkEnd w:id="3353"/>
    <w:bookmarkStart w:id="3354" w:name="c"/>
    <w:p>
      <w:pPr>
        <w:pStyle w:val="Heading2"/>
      </w:pPr>
      <w:r>
        <w:t xml:space="preserve">C</w:t>
      </w:r>
    </w:p>
    <w:p>
      <w:pPr>
        <w:pStyle w:val="FirstParagraph"/>
      </w:pPr>
      <w:r>
        <w:rPr>
          <w:bCs/>
          <w:b/>
        </w:rPr>
        <w:t xml:space="preserve">Cache</w:t>
      </w:r>
      <w:r>
        <w:t xml:space="preserve"> </w:t>
      </w:r>
      <w:r>
        <w:t xml:space="preserve">— A store that holds copies of data whose authoritative version lives elsewhere (the</w:t>
      </w:r>
      <w:r>
        <w:t xml:space="preserve"> </w:t>
      </w:r>
      <w:r>
        <w:rPr>
          <w:bCs/>
          <w:b/>
        </w:rPr>
        <w:t xml:space="preserve">backing store</w:t>
      </w:r>
      <w:r>
        <w:t xml:space="preserve"> </w:t>
      </w:r>
      <w:r>
        <w:t xml:space="preserve">or</w:t>
      </w:r>
      <w:r>
        <w:t xml:space="preserve"> </w:t>
      </w:r>
      <w:r>
        <w:rPr>
          <w:bCs/>
          <w:b/>
        </w:rPr>
        <w:t xml:space="preserve">source of truth</w:t>
      </w:r>
      <w:r>
        <w:t xml:space="preserve">), placed so that reading the copy is faster or cheaper than reading the original. A lookup that finds the data is a</w:t>
      </w:r>
      <w:r>
        <w:t xml:space="preserve"> </w:t>
      </w:r>
      <w:r>
        <w:rPr>
          <w:bCs/>
          <w:b/>
        </w:rPr>
        <w:t xml:space="preserve">hit</w:t>
      </w:r>
      <w:r>
        <w:t xml:space="preserve">; one that does not is a</w:t>
      </w:r>
      <w:r>
        <w:t xml:space="preserve"> </w:t>
      </w:r>
      <w:r>
        <w:rPr>
          <w:bCs/>
          <w:b/>
        </w:rPr>
        <w:t xml:space="preserve">miss</w:t>
      </w:r>
      <w:r>
        <w:t xml:space="preserve">. The</w:t>
      </w:r>
      <w:r>
        <w:t xml:space="preserve"> </w:t>
      </w:r>
      <w:r>
        <w:rPr>
          <w:bCs/>
          <w:b/>
        </w:rPr>
        <w:t xml:space="preserve">cache hit ratio</w:t>
      </w:r>
      <w:r>
        <w:t xml:space="preserve"> </w:t>
      </w:r>
      <m:oMath>
        <m:r>
          <m:t>h</m:t>
        </m:r>
      </m:oMath>
      <w:r>
        <w:t xml:space="preserve"> </w:t>
      </w:r>
      <w:r>
        <w:t xml:space="preserve">is hits divided by lookups; the</w:t>
      </w:r>
      <w:r>
        <w:t xml:space="preserve"> </w:t>
      </w:r>
      <w:r>
        <w:rPr>
          <w:bCs/>
          <w:b/>
        </w:rPr>
        <w:t xml:space="preserve">miss ratio</w:t>
      </w:r>
      <w:r>
        <w:t xml:space="preserve"> </w:t>
      </w:r>
      <w:r>
        <w:t xml:space="preserve">is</w:t>
      </w:r>
      <w:r>
        <w:t xml:space="preserve"> </w:t>
      </w:r>
      <m:oMath>
        <m:r>
          <m:t>1</m:t>
        </m:r>
        <m:r>
          <m:rPr>
            <m:sty m:val="p"/>
          </m:rPr>
          <m:t>−</m:t>
        </m:r>
        <m:r>
          <m:t>h</m:t>
        </m:r>
      </m:oMath>
      <w:r>
        <w:t xml:space="preserve">.</w:t>
      </w:r>
      <w:r>
        <w:t xml:space="preserve"> </w:t>
      </w:r>
      <w:r>
        <w:rPr>
          <w:iCs/>
          <w:i/>
        </w:rPr>
        <w:t xml:space="preserve">(§20.3.1)</w:t>
      </w:r>
    </w:p>
    <w:p>
      <w:pPr>
        <w:pStyle w:val="BodyText"/>
      </w:pPr>
      <w:r>
        <w:rPr>
          <w:bCs/>
          <w:b/>
        </w:rPr>
        <w:t xml:space="preserve">Cache-aside</w:t>
      </w:r>
      <w:r>
        <w:t xml:space="preserve"> </w:t>
      </w:r>
      <w:r>
        <w:t xml:space="preserve">— The application reads the cache first; on a miss it reads the database and populates the cache itself. On a write it updates the database and then</w:t>
      </w:r>
      <w:r>
        <w:t xml:space="preserve"> </w:t>
      </w:r>
      <w:r>
        <w:rPr>
          <w:bCs/>
          <w:b/>
        </w:rPr>
        <w:t xml:space="preserve">deletes</w:t>
      </w:r>
      <w:r>
        <w:t xml:space="preserve"> </w:t>
      </w:r>
      <w:r>
        <w:t xml:space="preserve">(invalidates) the cache entry. The cache never talks to the database. Also called</w:t>
      </w:r>
      <w:r>
        <w:t xml:space="preserve"> </w:t>
      </w:r>
      <w:r>
        <w:rPr>
          <w:bCs/>
          <w:b/>
        </w:rPr>
        <w:t xml:space="preserve">look-aside</w:t>
      </w:r>
      <w:r>
        <w:t xml:space="preserve"> </w:t>
      </w:r>
      <w:r>
        <w:t xml:space="preserve">or</w:t>
      </w:r>
      <w:r>
        <w:t xml:space="preserve"> </w:t>
      </w:r>
      <w:r>
        <w:rPr>
          <w:bCs/>
          <w:b/>
        </w:rPr>
        <w:t xml:space="preserve">demand-filled</w:t>
      </w:r>
      <w:r>
        <w:t xml:space="preserve"> </w:t>
      </w:r>
      <w:r>
        <w:t xml:space="preserve">caching.</w:t>
      </w:r>
      <w:r>
        <w:t xml:space="preserve"> </w:t>
      </w:r>
      <w:r>
        <w:rPr>
          <w:iCs/>
          <w:i/>
        </w:rPr>
        <w:t xml:space="preserve">(§20.7.1)</w:t>
      </w:r>
    </w:p>
    <w:p>
      <w:pPr>
        <w:pStyle w:val="BodyText"/>
      </w:pPr>
      <w:r>
        <w:rPr>
          <w:bCs/>
          <w:b/>
        </w:rPr>
        <w:t xml:space="preserve">Cache avalanche</w:t>
      </w:r>
      <w:r>
        <w:t xml:space="preserve"> </w:t>
      </w:r>
      <w:r>
        <w:t xml:space="preserve">— A large fraction of cache entries becomes unavailable at once, because many keys expire together or because cache nodes fail or restart, so the database suddenly receives the full read load.</w:t>
      </w:r>
      <w:r>
        <w:t xml:space="preserve"> </w:t>
      </w:r>
      <w:r>
        <w:rPr>
          <w:iCs/>
          <w:i/>
        </w:rPr>
        <w:t xml:space="preserve">(§20.13)</w:t>
      </w:r>
    </w:p>
    <w:p>
      <w:pPr>
        <w:pStyle w:val="BodyText"/>
      </w:pPr>
      <w:r>
        <w:rPr>
          <w:bCs/>
          <w:b/>
        </w:rPr>
        <w:t xml:space="preserve">Cache coherence</w:t>
      </w:r>
      <w:r>
        <w:t xml:space="preserve"> </w:t>
      </w:r>
      <w:r>
        <w:t xml:space="preserve">— The guarantee that all cores observe a single, consistent sequence of values for each memory location, even though each core keeps private copies in its own caches.</w:t>
      </w:r>
      <w:r>
        <w:t xml:space="preserve"> </w:t>
      </w:r>
      <w:r>
        <w:rPr>
          <w:iCs/>
          <w:i/>
        </w:rPr>
        <w:t xml:space="preserve">(§5.4.6)</w:t>
      </w:r>
    </w:p>
    <w:p>
      <w:pPr>
        <w:pStyle w:val="BodyText"/>
      </w:pPr>
      <w:r>
        <w:rPr>
          <w:bCs/>
          <w:b/>
        </w:rPr>
        <w:t xml:space="preserve">Cache key</w:t>
      </w:r>
      <w:r>
        <w:t xml:space="preserve"> </w:t>
      </w:r>
      <w:r>
        <w:t xml:space="preserve">— The value a cache uses to decide whether two requests may receive the same stored response. By default it is the method plus the full URL (scheme, host, path and query string), extended by any request headers listed in the response’s</w:t>
      </w:r>
      <w:r>
        <w:t xml:space="preserve"> </w:t>
      </w:r>
      <w:r>
        <w:rPr>
          <w:rStyle w:val="VerbatimChar"/>
        </w:rPr>
        <w:t xml:space="preserve">Vary</w:t>
      </w:r>
      <w:r>
        <w:t xml:space="preserve"> </w:t>
      </w:r>
      <w:r>
        <w:t xml:space="preserve">header.</w:t>
      </w:r>
      <w:r>
        <w:t xml:space="preserve"> </w:t>
      </w:r>
      <w:r>
        <w:rPr>
          <w:iCs/>
          <w:i/>
        </w:rPr>
        <w:t xml:space="preserve">(§21.6.2)</w:t>
      </w:r>
    </w:p>
    <w:p>
      <w:pPr>
        <w:pStyle w:val="BodyText"/>
      </w:pPr>
      <w:r>
        <w:rPr>
          <w:bCs/>
          <w:b/>
        </w:rPr>
        <w:t xml:space="preserve">Cache line</w:t>
      </w:r>
      <w:r>
        <w:t xml:space="preserve"> </w:t>
      </w:r>
      <w:r>
        <w:t xml:space="preserve">— The fixed-size unit in which data moves between memory and caches. On x86-64 and most ARM server cores a line is 64 bytes; some designs (for example Apple’s M-series cores) use 128 bytes (as of 2024). A load of a single byte brings its whole line into the cache.</w:t>
      </w:r>
      <w:r>
        <w:t xml:space="preserve"> </w:t>
      </w:r>
      <w:r>
        <w:rPr>
          <w:iCs/>
          <w:i/>
        </w:rPr>
        <w:t xml:space="preserve">(§5.4.3)</w:t>
      </w:r>
    </w:p>
    <w:p>
      <w:pPr>
        <w:pStyle w:val="BodyText"/>
      </w:pPr>
      <w:r>
        <w:rPr>
          <w:bCs/>
          <w:b/>
        </w:rPr>
        <w:t xml:space="preserve">Cache penetration</w:t>
      </w:r>
      <w:r>
        <w:t xml:space="preserve"> </w:t>
      </w:r>
      <w:r>
        <w:t xml:space="preserve">— Requests for keys that do not exist in the database. Because there is nothing to cache, every such request misses and reaches the database. A bug or an attacker iterating random IDs can push the database’s full read load through the cache.</w:t>
      </w:r>
      <w:r>
        <w:t xml:space="preserve"> </w:t>
      </w:r>
      <w:r>
        <w:rPr>
          <w:iCs/>
          <w:i/>
        </w:rPr>
        <w:t xml:space="preserve">(§20.12)</w:t>
      </w:r>
    </w:p>
    <w:p>
      <w:pPr>
        <w:pStyle w:val="BodyText"/>
      </w:pPr>
      <w:r>
        <w:rPr>
          <w:bCs/>
          <w:b/>
        </w:rPr>
        <w:t xml:space="preserve">Cache stampede (thundering herd, dog-piling)</w:t>
      </w:r>
      <w:r>
        <w:t xml:space="preserve"> </w:t>
      </w:r>
      <w:r>
        <w:t xml:space="preserve">— When a popular entry expires or is evicted, many concurrent requests miss at once and all recompute or reload it, multiplying load on the backend exactly when it is busiest.</w:t>
      </w:r>
      <w:r>
        <w:t xml:space="preserve"> </w:t>
      </w:r>
      <w:r>
        <w:rPr>
          <w:iCs/>
          <w:i/>
        </w:rPr>
        <w:t xml:space="preserve">(§20.11)</w:t>
      </w:r>
    </w:p>
    <w:p>
      <w:pPr>
        <w:pStyle w:val="BodyText"/>
      </w:pPr>
      <w:r>
        <w:rPr>
          <w:bCs/>
          <w:b/>
        </w:rPr>
        <w:t xml:space="preserve">Cache tiers</w:t>
      </w:r>
      <w:r>
        <w:t xml:space="preserve"> </w:t>
      </w:r>
      <w:r>
        <w:t xml:space="preserve">— The</w:t>
      </w:r>
      <w:r>
        <w:t xml:space="preserve"> </w:t>
      </w:r>
      <w:r>
        <w:rPr>
          <w:bCs/>
          <w:b/>
        </w:rPr>
        <w:t xml:space="preserve">edge</w:t>
      </w:r>
      <w:r>
        <w:t xml:space="preserve"> </w:t>
      </w:r>
      <w:r>
        <w:t xml:space="preserve">tier is the set of PoPs that accept user connections. A</w:t>
      </w:r>
      <w:r>
        <w:t xml:space="preserve"> </w:t>
      </w:r>
      <w:r>
        <w:rPr>
          <w:bCs/>
          <w:b/>
        </w:rPr>
        <w:t xml:space="preserve">mid-tier</w:t>
      </w:r>
      <w:r>
        <w:t xml:space="preserve"> </w:t>
      </w:r>
      <w:r>
        <w:t xml:space="preserve">(also</w:t>
      </w:r>
      <w:r>
        <w:t xml:space="preserve"> </w:t>
      </w:r>
      <w:r>
        <w:rPr>
          <w:iCs/>
          <w:i/>
        </w:rPr>
        <w:t xml:space="preserve">parent</w:t>
      </w:r>
      <w:r>
        <w:t xml:space="preserve">,</w:t>
      </w:r>
      <w:r>
        <w:t xml:space="preserve"> </w:t>
      </w:r>
      <w:r>
        <w:rPr>
          <w:iCs/>
          <w:i/>
        </w:rPr>
        <w:t xml:space="preserve">regional</w:t>
      </w:r>
      <w:r>
        <w:t xml:space="preserve"> </w:t>
      </w:r>
      <w:r>
        <w:t xml:space="preserve">or</w:t>
      </w:r>
      <w:r>
        <w:t xml:space="preserve"> </w:t>
      </w:r>
      <w:r>
        <w:rPr>
          <w:iCs/>
          <w:i/>
        </w:rPr>
        <w:t xml:space="preserve">upper-tier</w:t>
      </w:r>
      <w:r>
        <w:t xml:space="preserve"> </w:t>
      </w:r>
      <w:r>
        <w:t xml:space="preserve">cache) is a smaller set of larger caches that edges consult on a miss. An</w:t>
      </w:r>
      <w:r>
        <w:t xml:space="preserve"> </w:t>
      </w:r>
      <w:r>
        <w:rPr>
          <w:bCs/>
          <w:b/>
        </w:rPr>
        <w:t xml:space="preserve">origin shield</w:t>
      </w:r>
      <w:r>
        <w:t xml:space="preserve"> </w:t>
      </w:r>
      <w:r>
        <w:t xml:space="preserve">is a mid-tier designated as the single path to a given origin. The</w:t>
      </w:r>
      <w:r>
        <w:t xml:space="preserve"> </w:t>
      </w:r>
      <w:r>
        <w:rPr>
          <w:bCs/>
          <w:b/>
        </w:rPr>
        <w:t xml:space="preserve">origin</w:t>
      </w:r>
      <w:r>
        <w:t xml:space="preserve"> </w:t>
      </w:r>
      <w:r>
        <w:t xml:space="preserve">is the customer’s own infrastructure that holds the authoritative content.</w:t>
      </w:r>
      <w:r>
        <w:t xml:space="preserve"> </w:t>
      </w:r>
      <w:r>
        <w:rPr>
          <w:iCs/>
          <w:i/>
        </w:rPr>
        <w:t xml:space="preserve">(§21.4.1)</w:t>
      </w:r>
    </w:p>
    <w:p>
      <w:pPr>
        <w:pStyle w:val="BodyText"/>
      </w:pPr>
      <w:r>
        <w:rPr>
          <w:bCs/>
          <w:b/>
        </w:rPr>
        <w:t xml:space="preserve">Capacity planning</w:t>
      </w:r>
      <w:r>
        <w:t xml:space="preserve"> </w:t>
      </w:r>
      <w:r>
        <w:t xml:space="preserve">— The recurring process of forecasting demand, translating it into the resources needed to serve it within the service-level objective with stated headroom and redundancy, and acquiring those resources before they are needed, allowing for the lead time to obtain them.</w:t>
      </w:r>
      <w:r>
        <w:t xml:space="preserve"> </w:t>
      </w:r>
      <w:r>
        <w:rPr>
          <w:iCs/>
          <w:i/>
        </w:rPr>
        <w:t xml:space="preserve">(§18.11.1)</w:t>
      </w:r>
    </w:p>
    <w:p>
      <w:pPr>
        <w:pStyle w:val="BodyText"/>
      </w:pPr>
      <w:r>
        <w:rPr>
          <w:bCs/>
          <w:b/>
        </w:rPr>
        <w:t xml:space="preserve">CAP theorem (Gilbert and Lynch)</w:t>
      </w:r>
      <w:r>
        <w:t xml:space="preserve"> </w:t>
      </w:r>
      <w:r>
        <w:t xml:space="preserve">— In an asynchronous network model, where messages may be delayed arbitrarily and there are no clocks, it is impossible to implement a read/write data object that guarantees both of the following in all fair executions, including those in which messages are lost:</w:t>
      </w:r>
      <w:r>
        <w:t xml:space="preserve"> </w:t>
      </w:r>
      <w:r>
        <w:rPr>
          <w:bCs/>
          <w:b/>
        </w:rPr>
        <w:t xml:space="preserve">Consistency (C):</w:t>
      </w:r>
      <w:r>
        <w:t xml:space="preserve"> </w:t>
      </w:r>
      <w:r>
        <w:t xml:space="preserve">the object is</w:t>
      </w:r>
      <w:r>
        <w:t xml:space="preserve"> </w:t>
      </w:r>
      <w:r>
        <w:rPr>
          <w:bCs/>
          <w:b/>
        </w:rPr>
        <w:t xml:space="preserve">atomic</w:t>
      </w:r>
      <w:r>
        <w:t xml:space="preserve">, that is, linearizable (§25.3).</w:t>
      </w:r>
      <w:r>
        <w:t xml:space="preserve"> </w:t>
      </w:r>
      <w:r>
        <w:rPr>
          <w:bCs/>
          <w:b/>
        </w:rPr>
        <w:t xml:space="preserve">Availability (A):</w:t>
      </w:r>
      <w:r>
        <w:t xml:space="preserve"> </w:t>
      </w:r>
      <w:r>
        <w:t xml:space="preserve">every request received by a non-failing node must eventually result in a response.</w:t>
      </w:r>
      <w:r>
        <w:t xml:space="preserve"> </w:t>
      </w:r>
      <w:r>
        <w:rPr>
          <w:bCs/>
          <w:b/>
        </w:rPr>
        <w:t xml:space="preserve">Partition tolerance (P)</w:t>
      </w:r>
      <w:r>
        <w:t xml:space="preserve"> </w:t>
      </w:r>
      <w:r>
        <w:t xml:space="preserve">is not a property the system chooses; it is the assumption that the network may lose arbitrarily many messages between nodes.</w:t>
      </w:r>
      <w:r>
        <w:t xml:space="preserve"> </w:t>
      </w:r>
      <w:r>
        <w:rPr>
          <w:iCs/>
          <w:i/>
        </w:rPr>
        <w:t xml:space="preserve">(§25.8.1)</w:t>
      </w:r>
    </w:p>
    <w:p>
      <w:pPr>
        <w:pStyle w:val="BodyText"/>
      </w:pPr>
      <w:r>
        <w:rPr>
          <w:bCs/>
          <w:b/>
        </w:rPr>
        <w:t xml:space="preserve">Causal consistency</w:t>
      </w:r>
      <w:r>
        <w:t xml:space="preserve"> </w:t>
      </w:r>
      <w:r>
        <w:t xml:space="preserve">— Writes that are</w:t>
      </w:r>
      <w:r>
        <w:t xml:space="preserve"> </w:t>
      </w:r>
      <w:r>
        <w:rPr>
          <w:bCs/>
          <w:b/>
        </w:rPr>
        <w:t xml:space="preserve">causally related</w:t>
      </w:r>
      <w:r>
        <w:t xml:space="preserve"> </w:t>
      </w:r>
      <w:r>
        <w:t xml:space="preserve">must be seen by every client in their causal order; writes that are</w:t>
      </w:r>
      <w:r>
        <w:t xml:space="preserve"> </w:t>
      </w:r>
      <w:r>
        <w:rPr>
          <w:bCs/>
          <w:b/>
        </w:rPr>
        <w:t xml:space="preserve">concurrent</w:t>
      </w:r>
      <w:r>
        <w:t xml:space="preserve"> </w:t>
      </w:r>
      <w:r>
        <w:t xml:space="preserve">(neither happens before the other) may be seen in different orders by different clients. Formally, each client’s view must be a legal sequential history that respects the causal order induced by program order and reads-from [Ahamad et al. 1995].</w:t>
      </w:r>
      <w:r>
        <w:t xml:space="preserve"> </w:t>
      </w:r>
      <w:r>
        <w:rPr>
          <w:iCs/>
          <w:i/>
        </w:rPr>
        <w:t xml:space="preserve">(§25.5.1)</w:t>
      </w:r>
    </w:p>
    <w:p>
      <w:pPr>
        <w:pStyle w:val="BodyText"/>
      </w:pPr>
      <w:r>
        <w:rPr>
          <w:bCs/>
          <w:b/>
        </w:rPr>
        <w:t xml:space="preserve">Central processing unit (CPU)</w:t>
      </w:r>
      <w:r>
        <w:t xml:space="preserve"> </w:t>
      </w:r>
      <w:r>
        <w:t xml:space="preserve">— The hardware that executes a program’s</w:t>
      </w:r>
      <w:r>
        <w:t xml:space="preserve"> </w:t>
      </w:r>
      <w:r>
        <w:rPr>
          <w:bCs/>
          <w:b/>
        </w:rPr>
        <w:t xml:space="preserve">instructions</w:t>
      </w:r>
      <w:r>
        <w:t xml:space="preserve">: simple operations such as</w:t>
      </w:r>
      <w:r>
        <w:t xml:space="preserve"> </w:t>
      </w:r>
      <w:r>
        <w:t xml:space="preserve">“</w:t>
      </w:r>
      <w:r>
        <w:t xml:space="preserve">add these two numbers</w:t>
      </w:r>
      <w:r>
        <w:t xml:space="preserve">”</w:t>
      </w:r>
      <w:r>
        <w:t xml:space="preserve">,</w:t>
      </w:r>
      <w:r>
        <w:t xml:space="preserve"> </w:t>
      </w:r>
      <w:r>
        <w:t xml:space="preserve">“</w:t>
      </w:r>
      <w:r>
        <w:t xml:space="preserve">load a value from memory address X</w:t>
      </w:r>
      <w:r>
        <w:t xml:space="preserve">”</w:t>
      </w:r>
      <w:r>
        <w:t xml:space="preserve">, or</w:t>
      </w:r>
      <w:r>
        <w:t xml:space="preserve"> </w:t>
      </w:r>
      <w:r>
        <w:t xml:space="preserve">“</w:t>
      </w:r>
      <w:r>
        <w:t xml:space="preserve">if this value is zero, jump to instruction Y</w:t>
      </w:r>
      <w:r>
        <w:t xml:space="preserve">”</w:t>
      </w:r>
      <w:r>
        <w:t xml:space="preserve">. A modern CPU package contains several independent</w:t>
      </w:r>
      <w:r>
        <w:t xml:space="preserve"> </w:t>
      </w:r>
      <w:r>
        <w:rPr>
          <w:bCs/>
          <w:b/>
        </w:rPr>
        <w:t xml:space="preserve">cores</w:t>
      </w:r>
      <w:r>
        <w:t xml:space="preserve">, each of which can execute its own stream of instructions.</w:t>
      </w:r>
      <w:r>
        <w:t xml:space="preserve"> </w:t>
      </w:r>
      <w:r>
        <w:rPr>
          <w:iCs/>
          <w:i/>
        </w:rPr>
        <w:t xml:space="preserve">(§5.3.1)</w:t>
      </w:r>
    </w:p>
    <w:p>
      <w:pPr>
        <w:pStyle w:val="BodyText"/>
      </w:pPr>
      <w:r>
        <w:rPr>
          <w:bCs/>
          <w:b/>
        </w:rPr>
        <w:t xml:space="preserve">Certificate Transparency (CT)</w:t>
      </w:r>
      <w:r>
        <w:t xml:space="preserve"> </w:t>
      </w:r>
      <w:r>
        <w:t xml:space="preserve">— A system of public, append-only, Merkle-tree-based logs into which CAs record every certificate they issue, so that mis-issued certificates become publicly detectable [RFC 6962].</w:t>
      </w:r>
      <w:r>
        <w:t xml:space="preserve"> </w:t>
      </w:r>
      <w:r>
        <w:rPr>
          <w:iCs/>
          <w:i/>
        </w:rPr>
        <w:t xml:space="preserve">(§10.5)</w:t>
      </w:r>
    </w:p>
    <w:p>
      <w:pPr>
        <w:pStyle w:val="BodyText"/>
      </w:pPr>
      <w:r>
        <w:rPr>
          <w:bCs/>
          <w:b/>
        </w:rPr>
        <w:t xml:space="preserve">Chain replication</w:t>
      </w:r>
      <w:r>
        <w:t xml:space="preserve"> </w:t>
      </w:r>
      <w:r>
        <w:t xml:space="preserve">— Replicas are arranged in a linear</w:t>
      </w:r>
      <w:r>
        <w:t xml:space="preserve"> </w:t>
      </w:r>
      <w:r>
        <w:rPr>
          <w:bCs/>
          <w:b/>
        </w:rPr>
        <w:t xml:space="preserve">chain</w:t>
      </w:r>
      <w:r>
        <w:t xml:space="preserve">. Every update enters at the</w:t>
      </w:r>
      <w:r>
        <w:t xml:space="preserve"> </w:t>
      </w:r>
      <w:r>
        <w:rPr>
          <w:bCs/>
          <w:b/>
        </w:rPr>
        <w:t xml:space="preserve">head</w:t>
      </w:r>
      <w:r>
        <w:t xml:space="preserve"> </w:t>
      </w:r>
      <w:r>
        <w:t xml:space="preserve">and is forwarded node by node to the</w:t>
      </w:r>
      <w:r>
        <w:t xml:space="preserve"> </w:t>
      </w:r>
      <w:r>
        <w:rPr>
          <w:bCs/>
          <w:b/>
        </w:rPr>
        <w:t xml:space="preserve">tail</w:t>
      </w:r>
      <w:r>
        <w:t xml:space="preserve">; the tail replies to the client. Every query is answered by the tail. A separate, fault-tolerant</w:t>
      </w:r>
      <w:r>
        <w:t xml:space="preserve"> </w:t>
      </w:r>
      <w:r>
        <w:rPr>
          <w:bCs/>
          <w:b/>
        </w:rPr>
        <w:t xml:space="preserve">master</w:t>
      </w:r>
      <w:r>
        <w:t xml:space="preserve"> </w:t>
      </w:r>
      <w:r>
        <w:t xml:space="preserve">service detects failures and reconfigures the chain [van Renesse and Schneider 2004].</w:t>
      </w:r>
      <w:r>
        <w:t xml:space="preserve"> </w:t>
      </w:r>
      <w:r>
        <w:rPr>
          <w:iCs/>
          <w:i/>
        </w:rPr>
        <w:t xml:space="preserve">(§27.5.1)</w:t>
      </w:r>
    </w:p>
    <w:p>
      <w:pPr>
        <w:pStyle w:val="BodyText"/>
      </w:pPr>
      <w:r>
        <w:rPr>
          <w:bCs/>
          <w:b/>
        </w:rPr>
        <w:t xml:space="preserve">Chubby</w:t>
      </w:r>
      <w:r>
        <w:t xml:space="preserve"> </w:t>
      </w:r>
      <w:r>
        <w:t xml:space="preserve">— Google’s lock service, providing coarse-grained advisory locks and small files in a file-system-like namespace, replicated across a five-node</w:t>
      </w:r>
      <w:r>
        <w:t xml:space="preserve"> </w:t>
      </w:r>
      <w:r>
        <w:rPr>
          <w:bCs/>
          <w:b/>
        </w:rPr>
        <w:t xml:space="preserve">cell</w:t>
      </w:r>
      <w:r>
        <w:t xml:space="preserve"> </w:t>
      </w:r>
      <w:r>
        <w:t xml:space="preserve">with Paxos, and used chiefly for leader election, naming and storing small amounts of configuration [Burrows 2006].</w:t>
      </w:r>
      <w:r>
        <w:t xml:space="preserve"> </w:t>
      </w:r>
      <w:r>
        <w:rPr>
          <w:iCs/>
          <w:i/>
        </w:rPr>
        <w:t xml:space="preserve">(§26.14.1)</w:t>
      </w:r>
    </w:p>
    <w:p>
      <w:pPr>
        <w:pStyle w:val="BodyText"/>
      </w:pPr>
      <w:r>
        <w:rPr>
          <w:bCs/>
          <w:b/>
        </w:rPr>
        <w:t xml:space="preserve">CIDR block</w:t>
      </w:r>
      <w:r>
        <w:t xml:space="preserve"> </w:t>
      </w:r>
      <w:r>
        <w:t xml:space="preserve">— An address range written as</w:t>
      </w:r>
      <w:r>
        <w:t xml:space="preserve"> </w:t>
      </w:r>
      <w:r>
        <w:rPr>
          <w:rStyle w:val="VerbatimChar"/>
        </w:rPr>
        <w:t xml:space="preserve">address/prefix-length</w:t>
      </w:r>
      <w:r>
        <w:t xml:space="preserve">, for example</w:t>
      </w:r>
      <w:r>
        <w:t xml:space="preserve"> </w:t>
      </w:r>
      <w:r>
        <w:rPr>
          <w:rStyle w:val="VerbatimChar"/>
        </w:rPr>
        <w:t xml:space="preserve">192.168.10.64/26</w:t>
      </w:r>
      <w:r>
        <w:t xml:space="preserve">. The prefix length</w:t>
      </w:r>
      <w:r>
        <w:t xml:space="preserve"> </w:t>
      </w:r>
      <m:oMath>
        <m:r>
          <m:t>n</m:t>
        </m:r>
      </m:oMath>
      <w:r>
        <w:t xml:space="preserve"> </w:t>
      </w:r>
      <w:r>
        <w:t xml:space="preserve">says that the first</w:t>
      </w:r>
      <w:r>
        <w:t xml:space="preserve"> </w:t>
      </w:r>
      <m:oMath>
        <m:r>
          <m:t>n</m:t>
        </m:r>
      </m:oMath>
      <w:r>
        <w:t xml:space="preserve"> </w:t>
      </w:r>
      <w:r>
        <w:t xml:space="preserve">bits identify the network; the remaining</w:t>
      </w:r>
      <w:r>
        <w:t xml:space="preserve"> </w:t>
      </w:r>
      <m:oMath>
        <m:r>
          <m:t>32</m:t>
        </m:r>
        <m:r>
          <m:rPr>
            <m:sty m:val="p"/>
          </m:rPr>
          <m:t>−</m:t>
        </m:r>
        <m:r>
          <m:t>n</m:t>
        </m:r>
      </m:oMath>
      <w:r>
        <w:t xml:space="preserve"> </w:t>
      </w:r>
      <w:r>
        <w:t xml:space="preserve">bits (IPv4) or</w:t>
      </w:r>
      <w:r>
        <w:t xml:space="preserve"> </w:t>
      </w:r>
      <m:oMath>
        <m:r>
          <m:t>128</m:t>
        </m:r>
        <m:r>
          <m:rPr>
            <m:sty m:val="p"/>
          </m:rPr>
          <m:t>−</m:t>
        </m:r>
        <m:r>
          <m:t>n</m:t>
        </m:r>
      </m:oMath>
      <w:r>
        <w:t xml:space="preserve"> </w:t>
      </w:r>
      <w:r>
        <w:t xml:space="preserve">bits (IPv6) identify hosts. The</w:t>
      </w:r>
      <w:r>
        <w:t xml:space="preserve"> </w:t>
      </w:r>
      <w:r>
        <w:rPr>
          <w:bCs/>
          <w:b/>
        </w:rPr>
        <w:t xml:space="preserve">subnet mask</w:t>
      </w:r>
      <w:r>
        <w:t xml:space="preserve"> </w:t>
      </w:r>
      <w:r>
        <w:t xml:space="preserve">is the same information as a dotted number with</w:t>
      </w:r>
      <w:r>
        <w:t xml:space="preserve"> </w:t>
      </w:r>
      <m:oMath>
        <m:r>
          <m:t>n</m:t>
        </m:r>
      </m:oMath>
      <w:r>
        <w:t xml:space="preserve"> </w:t>
      </w:r>
      <w:r>
        <w:t xml:space="preserve">one-bits followed by zeros (</w:t>
      </w:r>
      <w:r>
        <w:rPr>
          <w:rStyle w:val="VerbatimChar"/>
        </w:rPr>
        <w:t xml:space="preserve">/26</w:t>
      </w:r>
      <w:r>
        <w:t xml:space="preserve"> </w:t>
      </w:r>
      <w:r>
        <w:t xml:space="preserve">=</w:t>
      </w:r>
      <w:r>
        <w:t xml:space="preserve"> </w:t>
      </w:r>
      <w:r>
        <w:rPr>
          <w:rStyle w:val="VerbatimChar"/>
        </w:rPr>
        <w:t xml:space="preserve">255.255.255.192</w:t>
      </w:r>
      <w:r>
        <w:t xml:space="preserve">).</w:t>
      </w:r>
      <w:r>
        <w:t xml:space="preserve"> </w:t>
      </w:r>
      <w:r>
        <w:rPr>
          <w:iCs/>
          <w:i/>
        </w:rPr>
        <w:t xml:space="preserve">(§7.4.2)</w:t>
      </w:r>
    </w:p>
    <w:p>
      <w:pPr>
        <w:pStyle w:val="BodyText"/>
      </w:pPr>
      <w:r>
        <w:rPr>
          <w:bCs/>
          <w:b/>
        </w:rPr>
        <w:t xml:space="preserve">Circuit breaker</w:t>
      </w:r>
      <w:r>
        <w:t xml:space="preserve"> </w:t>
      </w:r>
      <w:r>
        <w:t xml:space="preserve">— A client-side proxy for calls to a dependency that tracks recent failures and, when they cross a threshold,</w:t>
      </w:r>
      <w:r>
        <w:t xml:space="preserve"> </w:t>
      </w:r>
      <w:r>
        <w:rPr>
          <w:bCs/>
          <w:b/>
        </w:rPr>
        <w:t xml:space="preserve">opens</w:t>
      </w:r>
      <w:r>
        <w:t xml:space="preserve">: it fails calls immediately without contacting the dependency for a cool-down period, then lets a few trial calls through (</w:t>
      </w:r>
      <w:r>
        <w:rPr>
          <w:bCs/>
          <w:b/>
        </w:rPr>
        <w:t xml:space="preserve">half-open</w:t>
      </w:r>
      <w:r>
        <w:t xml:space="preserve">) and</w:t>
      </w:r>
      <w:r>
        <w:t xml:space="preserve"> </w:t>
      </w:r>
      <w:r>
        <w:rPr>
          <w:bCs/>
          <w:b/>
        </w:rPr>
        <w:t xml:space="preserve">closes</w:t>
      </w:r>
      <w:r>
        <w:t xml:space="preserve"> </w:t>
      </w:r>
      <w:r>
        <w:t xml:space="preserve">again only if they succeed.</w:t>
      </w:r>
      <w:r>
        <w:t xml:space="preserve"> </w:t>
      </w:r>
      <w:r>
        <w:rPr>
          <w:iCs/>
          <w:i/>
        </w:rPr>
        <w:t xml:space="preserve">(§22.13)</w:t>
      </w:r>
    </w:p>
    <w:p>
      <w:pPr>
        <w:pStyle w:val="BodyText"/>
      </w:pPr>
      <w:r>
        <w:rPr>
          <w:bCs/>
          <w:b/>
        </w:rPr>
        <w:t xml:space="preserve">Client–server architecture</w:t>
      </w:r>
      <w:r>
        <w:t xml:space="preserve"> </w:t>
      </w:r>
      <w:r>
        <w:t xml:space="preserve">— A way of dividing a system into two roles: a</w:t>
      </w:r>
      <w:r>
        <w:t xml:space="preserve"> </w:t>
      </w:r>
      <w:r>
        <w:rPr>
          <w:bCs/>
          <w:b/>
        </w:rPr>
        <w:t xml:space="preserve">client</w:t>
      </w:r>
      <w:r>
        <w:t xml:space="preserve">, which initiates requests on behalf of a user or another program, and a</w:t>
      </w:r>
      <w:r>
        <w:t xml:space="preserve"> </w:t>
      </w:r>
      <w:r>
        <w:rPr>
          <w:bCs/>
          <w:b/>
        </w:rPr>
        <w:t xml:space="preserve">server</w:t>
      </w:r>
      <w:r>
        <w:t xml:space="preserve">, which waits for requests, performs work on shared resources (data, computation) and returns responses. The two communicate over a network using an agreed</w:t>
      </w:r>
      <w:r>
        <w:t xml:space="preserve"> </w:t>
      </w:r>
      <w:r>
        <w:rPr>
          <w:bCs/>
          <w:b/>
        </w:rPr>
        <w:t xml:space="preserve">protocol</w:t>
      </w:r>
      <w:r>
        <w:t xml:space="preserve">.</w:t>
      </w:r>
      <w:r>
        <w:t xml:space="preserve"> </w:t>
      </w:r>
      <w:r>
        <w:rPr>
          <w:iCs/>
          <w:i/>
        </w:rPr>
        <w:t xml:space="preserve">(§8.3.1)</w:t>
      </w:r>
    </w:p>
    <w:p>
      <w:pPr>
        <w:pStyle w:val="BodyText"/>
      </w:pPr>
      <w:r>
        <w:rPr>
          <w:bCs/>
          <w:b/>
        </w:rPr>
        <w:t xml:space="preserve">Client-side load balancing</w:t>
      </w:r>
      <w:r>
        <w:t xml:space="preserve"> </w:t>
      </w:r>
      <w:r>
        <w:t xml:space="preserve">— The calling process obtains the list of backend endpoints from service discovery (§34.7) and chooses a backend for each request itself, with no proxy in the path. A</w:t>
      </w:r>
      <w:r>
        <w:t xml:space="preserve"> </w:t>
      </w:r>
      <w:r>
        <w:rPr>
          <w:bCs/>
          <w:b/>
        </w:rPr>
        <w:t xml:space="preserve">lookaside</w:t>
      </w:r>
      <w:r>
        <w:t xml:space="preserve"> </w:t>
      </w:r>
      <w:r>
        <w:t xml:space="preserve">balancer is an external service that tells clients</w:t>
      </w:r>
      <w:r>
        <w:t xml:space="preserve"> </w:t>
      </w:r>
      <w:r>
        <w:rPr>
          <w:iCs/>
          <w:i/>
        </w:rPr>
        <w:t xml:space="preserve">which</w:t>
      </w:r>
      <w:r>
        <w:t xml:space="preserve"> </w:t>
      </w:r>
      <w:r>
        <w:t xml:space="preserve">backends to use (and with what weights) while the traffic still flows directly from client to backend.</w:t>
      </w:r>
      <w:r>
        <w:t xml:space="preserve"> </w:t>
      </w:r>
      <w:r>
        <w:rPr>
          <w:iCs/>
          <w:i/>
        </w:rPr>
        <w:t xml:space="preserve">(§19.10)</w:t>
      </w:r>
    </w:p>
    <w:p>
      <w:pPr>
        <w:pStyle w:val="BodyText"/>
      </w:pPr>
      <w:r>
        <w:rPr>
          <w:bCs/>
          <w:b/>
        </w:rPr>
        <w:t xml:space="preserve">Clock rate</w:t>
      </w:r>
      <w:r>
        <w:t xml:space="preserve"> </w:t>
      </w:r>
      <w:r>
        <w:t xml:space="preserve">— The frequency at which a core’s internal circuitry steps from one state to the next, measured in hertz (cycles per second). A 4 GHz core has a</w:t>
      </w:r>
      <w:r>
        <w:t xml:space="preserve"> </w:t>
      </w:r>
      <w:r>
        <w:rPr>
          <w:bCs/>
          <w:b/>
        </w:rPr>
        <w:t xml:space="preserve">cycle time</w:t>
      </w:r>
      <w:r>
        <w:t xml:space="preserve"> </w:t>
      </w:r>
      <w:r>
        <w:t xml:space="preserve">of 1 / (4 × 10⁹) s = 0.25 ns.</w:t>
      </w:r>
      <w:r>
        <w:t xml:space="preserve"> </w:t>
      </w:r>
      <w:r>
        <w:rPr>
          <w:iCs/>
          <w:i/>
        </w:rPr>
        <w:t xml:space="preserve">(§5.3.2)</w:t>
      </w:r>
    </w:p>
    <w:p>
      <w:pPr>
        <w:pStyle w:val="BodyText"/>
      </w:pPr>
      <w:r>
        <w:rPr>
          <w:bCs/>
          <w:b/>
        </w:rPr>
        <w:t xml:space="preserve">Clustered and secondary index</w:t>
      </w:r>
      <w:r>
        <w:t xml:space="preserve"> </w:t>
      </w:r>
      <w:r>
        <w:t xml:space="preserve">— In a</w:t>
      </w:r>
      <w:r>
        <w:t xml:space="preserve"> </w:t>
      </w:r>
      <w:r>
        <w:rPr>
          <w:bCs/>
          <w:b/>
        </w:rPr>
        <w:t xml:space="preserve">clustered index</w:t>
      </w:r>
      <w:r>
        <w:t xml:space="preserve"> </w:t>
      </w:r>
      <w:r>
        <w:t xml:space="preserve">(an index-organized table), the leaf level of the index</w:t>
      </w:r>
      <w:r>
        <w:t xml:space="preserve"> </w:t>
      </w:r>
      <w:r>
        <w:rPr>
          <w:iCs/>
          <w:i/>
        </w:rPr>
        <w:t xml:space="preserve">is</w:t>
      </w:r>
      <w:r>
        <w:t xml:space="preserve"> </w:t>
      </w:r>
      <w:r>
        <w:t xml:space="preserve">the table: rows are stored in key order inside the index’s leaf pages. A table can have at most one. A</w:t>
      </w:r>
      <w:r>
        <w:t xml:space="preserve"> </w:t>
      </w:r>
      <w:r>
        <w:rPr>
          <w:bCs/>
          <w:b/>
        </w:rPr>
        <w:t xml:space="preserve">secondary index</w:t>
      </w:r>
      <w:r>
        <w:t xml:space="preserve"> </w:t>
      </w:r>
      <w:r>
        <w:t xml:space="preserve">stores, for each key, a pointer to the row; the table can have many.</w:t>
      </w:r>
      <w:r>
        <w:t xml:space="preserve"> </w:t>
      </w:r>
      <w:r>
        <w:rPr>
          <w:iCs/>
          <w:i/>
        </w:rPr>
        <w:t xml:space="preserve">(§11.7.2)</w:t>
      </w:r>
    </w:p>
    <w:p>
      <w:pPr>
        <w:pStyle w:val="BodyText"/>
      </w:pPr>
      <w:r>
        <w:rPr>
          <w:bCs/>
          <w:b/>
        </w:rPr>
        <w:t xml:space="preserve">Columnar storage (column store)</w:t>
      </w:r>
      <w:r>
        <w:t xml:space="preserve"> </w:t>
      </w:r>
      <w:r>
        <w:t xml:space="preserve">— A layout that stores each column of a table contiguously — all values of</w:t>
      </w:r>
      <w:r>
        <w:t xml:space="preserve"> </w:t>
      </w:r>
      <w:r>
        <w:rPr>
          <w:rStyle w:val="VerbatimChar"/>
        </w:rPr>
        <w:t xml:space="preserve">price</w:t>
      </w:r>
      <w:r>
        <w:t xml:space="preserve">, then all values of</w:t>
      </w:r>
      <w:r>
        <w:t xml:space="preserve"> </w:t>
      </w:r>
      <w:r>
        <w:rPr>
          <w:rStyle w:val="VerbatimChar"/>
        </w:rPr>
        <w:t xml:space="preserve">country</w:t>
      </w:r>
      <w:r>
        <w:t xml:space="preserve"> </w:t>
      </w:r>
      <w:r>
        <w:t xml:space="preserve">— instead of storing each row’s fields together. Column stores are optimized for analytical queries that read a few columns of many rows [Abadi et al. 2013].</w:t>
      </w:r>
      <w:r>
        <w:t xml:space="preserve"> </w:t>
      </w:r>
      <w:r>
        <w:rPr>
          <w:iCs/>
          <w:i/>
        </w:rPr>
        <w:t xml:space="preserve">(§13.13.1)</w:t>
      </w:r>
    </w:p>
    <w:p>
      <w:pPr>
        <w:pStyle w:val="BodyText"/>
      </w:pPr>
      <w:r>
        <w:rPr>
          <w:bCs/>
          <w:b/>
        </w:rPr>
        <w:t xml:space="preserve">Compaction</w:t>
      </w:r>
      <w:r>
        <w:t xml:space="preserve"> </w:t>
      </w:r>
      <w:r>
        <w:t xml:space="preserve">— The background merge of sorted runs in an LSM tree that removes overwritten values and tombstones and bounds the number of runs a read must consult. A</w:t>
      </w:r>
      <w:r>
        <w:t xml:space="preserve"> </w:t>
      </w:r>
      <w:r>
        <w:rPr>
          <w:bCs/>
          <w:b/>
        </w:rPr>
        <w:t xml:space="preserve">compaction strategy</w:t>
      </w:r>
      <w:r>
        <w:t xml:space="preserve"> </w:t>
      </w:r>
      <w:r>
        <w:t xml:space="preserve">decides which runs to merge and when; it sets the engine’s read, write and space amplification.</w:t>
      </w:r>
      <w:r>
        <w:t xml:space="preserve"> </w:t>
      </w:r>
      <w:r>
        <w:rPr>
          <w:iCs/>
          <w:i/>
        </w:rPr>
        <w:t xml:space="preserve">(§13.9.1)</w:t>
      </w:r>
    </w:p>
    <w:p>
      <w:pPr>
        <w:pStyle w:val="BodyText"/>
      </w:pPr>
      <w:r>
        <w:rPr>
          <w:bCs/>
          <w:b/>
        </w:rPr>
        <w:t xml:space="preserve">Compare-and-swap (CAS)</w:t>
      </w:r>
      <w:r>
        <w:t xml:space="preserve"> </w:t>
      </w:r>
      <w:r>
        <w:t xml:space="preserve">— An atomic CPU instruction that, in one indivisible step, compares a memory location with an expected value and, only if they are equal, replaces it with a new value, reporting whether it succeeded. On x86-64 it is</w:t>
      </w:r>
      <w:r>
        <w:t xml:space="preserve"> </w:t>
      </w:r>
      <w:r>
        <w:rPr>
          <w:rStyle w:val="VerbatimChar"/>
        </w:rPr>
        <w:t xml:space="preserve">LOCK CMPXCHG</w:t>
      </w:r>
      <w:r>
        <w:t xml:space="preserve">; ARMv8.1 and later provide</w:t>
      </w:r>
      <w:r>
        <w:t xml:space="preserve"> </w:t>
      </w:r>
      <w:r>
        <w:rPr>
          <w:rStyle w:val="VerbatimChar"/>
        </w:rPr>
        <w:t xml:space="preserve">CAS</w:t>
      </w:r>
      <w:r>
        <w:t xml:space="preserve">, and earlier ARM uses load-linked/store-conditional pairs.</w:t>
      </w:r>
      <w:r>
        <w:t xml:space="preserve"> </w:t>
      </w:r>
      <w:r>
        <w:rPr>
          <w:iCs/>
          <w:i/>
        </w:rPr>
        <w:t xml:space="preserve">(§6.10.4)</w:t>
      </w:r>
    </w:p>
    <w:p>
      <w:pPr>
        <w:pStyle w:val="BodyText"/>
      </w:pPr>
      <w:r>
        <w:rPr>
          <w:bCs/>
          <w:b/>
        </w:rPr>
        <w:t xml:space="preserve">Component</w:t>
      </w:r>
      <w:r>
        <w:t xml:space="preserve"> </w:t>
      </w:r>
      <w:r>
        <w:t xml:space="preserve">— A unit of a system with a clear responsibility and an interface — for example a web service, a database, a cache, a message queue, a load balancer or a third-party payment provider.</w:t>
      </w:r>
      <w:r>
        <w:t xml:space="preserve"> </w:t>
      </w:r>
      <w:r>
        <w:rPr>
          <w:iCs/>
          <w:i/>
        </w:rPr>
        <w:t xml:space="preserve">(§1.3.1)</w:t>
      </w:r>
    </w:p>
    <w:p>
      <w:pPr>
        <w:pStyle w:val="BodyText"/>
      </w:pPr>
      <w:r>
        <w:rPr>
          <w:bCs/>
          <w:b/>
        </w:rPr>
        <w:t xml:space="preserve">Components of network delay</w:t>
      </w:r>
      <w:r>
        <w:t xml:space="preserve"> </w:t>
      </w:r>
      <w:r>
        <w:t xml:space="preserve">—</w:t>
      </w:r>
      <w:r>
        <w:t xml:space="preserve"> </w:t>
      </w:r>
      <w:r>
        <w:rPr>
          <w:bCs/>
          <w:b/>
        </w:rPr>
        <w:t xml:space="preserve">Propagation delay</w:t>
      </w:r>
      <w:r>
        <w:t xml:space="preserve">: time for a signal to travel the physical distance.</w:t>
      </w:r>
      <w:r>
        <w:t xml:space="preserve"> </w:t>
      </w:r>
      <w:r>
        <w:rPr>
          <w:bCs/>
          <w:b/>
        </w:rPr>
        <w:t xml:space="preserve">Transmission (serialization) delay</w:t>
      </w:r>
      <w:r>
        <w:t xml:space="preserve">: time to push all of a packet’s bits onto the link.</w:t>
      </w:r>
      <w:r>
        <w:t xml:space="preserve"> </w:t>
      </w:r>
      <w:r>
        <w:rPr>
          <w:bCs/>
          <w:b/>
        </w:rPr>
        <w:t xml:space="preserve">Queuing delay</w:t>
      </w:r>
      <w:r>
        <w:t xml:space="preserve">: time spent waiting in buffers behind other packets.</w:t>
      </w:r>
      <w:r>
        <w:t xml:space="preserve"> </w:t>
      </w:r>
      <w:r>
        <w:rPr>
          <w:bCs/>
          <w:b/>
        </w:rPr>
        <w:t xml:space="preserve">Processing delay</w:t>
      </w:r>
      <w:r>
        <w:t xml:space="preserve">: time for a device to examine headers, look up routes and copy the packet.</w:t>
      </w:r>
      <w:r>
        <w:t xml:space="preserve"> </w:t>
      </w:r>
      <w:r>
        <w:rPr>
          <w:iCs/>
          <w:i/>
        </w:rPr>
        <w:t xml:space="preserve">(§7.15.1)</w:t>
      </w:r>
    </w:p>
    <w:p>
      <w:pPr>
        <w:pStyle w:val="BodyText"/>
      </w:pPr>
      <w:r>
        <w:rPr>
          <w:bCs/>
          <w:b/>
        </w:rPr>
        <w:t xml:space="preserve">Concept-mastery loop</w:t>
      </w:r>
      <w:r>
        <w:t xml:space="preserve"> </w:t>
      </w:r>
      <w:r>
        <w:t xml:space="preserve">— A fixed sequence of ten learning activities applied to one system-design concept. Each activity produces a concrete artifact (a definition, a diagram, a program, a design). The concept counts as mastered only when you can rebuild every artifact without notes.</w:t>
      </w:r>
      <w:r>
        <w:t xml:space="preserve"> </w:t>
      </w:r>
      <w:r>
        <w:rPr>
          <w:iCs/>
          <w:i/>
        </w:rPr>
        <w:t xml:space="preserve">(§3.3.1)</w:t>
      </w:r>
    </w:p>
    <w:p>
      <w:pPr>
        <w:pStyle w:val="BodyText"/>
      </w:pPr>
      <w:r>
        <w:rPr>
          <w:bCs/>
          <w:b/>
        </w:rPr>
        <w:t xml:space="preserve">Concurrency and parallelism</w:t>
      </w:r>
      <w:r>
        <w:t xml:space="preserve"> </w:t>
      </w:r>
      <w:r>
        <w:t xml:space="preserve">—</w:t>
      </w:r>
      <w:r>
        <w:t xml:space="preserve"> </w:t>
      </w:r>
      <w:r>
        <w:rPr>
          <w:bCs/>
          <w:b/>
        </w:rPr>
        <w:t xml:space="preserve">Concurrency</w:t>
      </w:r>
      <w:r>
        <w:t xml:space="preserve"> </w:t>
      </w:r>
      <w:r>
        <w:t xml:space="preserve">is the</w:t>
      </w:r>
      <w:r>
        <w:t xml:space="preserve"> </w:t>
      </w:r>
      <w:r>
        <w:rPr>
          <w:iCs/>
          <w:i/>
        </w:rPr>
        <w:t xml:space="preserve">structuring</w:t>
      </w:r>
      <w:r>
        <w:t xml:space="preserve"> </w:t>
      </w:r>
      <w:r>
        <w:t xml:space="preserve">of a program as multiple tasks whose lifetimes overlap, so that progress on one does not wait for the others to finish.</w:t>
      </w:r>
      <w:r>
        <w:t xml:space="preserve"> </w:t>
      </w:r>
      <w:r>
        <w:rPr>
          <w:bCs/>
          <w:b/>
        </w:rPr>
        <w:t xml:space="preserve">Parallelism</w:t>
      </w:r>
      <w:r>
        <w:t xml:space="preserve"> </w:t>
      </w:r>
      <w:r>
        <w:t xml:space="preserve">is the</w:t>
      </w:r>
      <w:r>
        <w:t xml:space="preserve"> </w:t>
      </w:r>
      <w:r>
        <w:rPr>
          <w:iCs/>
          <w:i/>
        </w:rPr>
        <w:t xml:space="preserve">simultaneous execution</w:t>
      </w:r>
      <w:r>
        <w:t xml:space="preserve"> </w:t>
      </w:r>
      <w:r>
        <w:t xml:space="preserve">of multiple computations on multiple hardware units (cores, CPUs, GPUs).</w:t>
      </w:r>
      <w:r>
        <w:t xml:space="preserve"> </w:t>
      </w:r>
      <w:r>
        <w:rPr>
          <w:iCs/>
          <w:i/>
        </w:rPr>
        <w:t xml:space="preserve">(§6.8)</w:t>
      </w:r>
    </w:p>
    <w:p>
      <w:pPr>
        <w:pStyle w:val="BodyText"/>
      </w:pPr>
      <w:r>
        <w:rPr>
          <w:bCs/>
          <w:b/>
        </w:rPr>
        <w:t xml:space="preserve">Condition variable</w:t>
      </w:r>
      <w:r>
        <w:t xml:space="preserve"> </w:t>
      </w:r>
      <w:r>
        <w:t xml:space="preserve">— A queue of threads waiting for some condition on shared state to become true, always used together with a mutex.</w:t>
      </w:r>
      <w:r>
        <w:t xml:space="preserve"> </w:t>
      </w:r>
      <w:r>
        <w:rPr>
          <w:rStyle w:val="VerbatimChar"/>
        </w:rPr>
        <w:t xml:space="preserve">wait</w:t>
      </w:r>
      <w:r>
        <w:t xml:space="preserve"> </w:t>
      </w:r>
      <w:r>
        <w:t xml:space="preserve">atomically releases the mutex and sleeps;</w:t>
      </w:r>
      <w:r>
        <w:t xml:space="preserve"> </w:t>
      </w:r>
      <w:r>
        <w:rPr>
          <w:rStyle w:val="VerbatimChar"/>
        </w:rPr>
        <w:t xml:space="preserve">notify</w:t>
      </w:r>
      <w:r>
        <w:t xml:space="preserve"> </w:t>
      </w:r>
      <w:r>
        <w:t xml:space="preserve">(</w:t>
      </w:r>
      <w:r>
        <w:rPr>
          <w:rStyle w:val="VerbatimChar"/>
        </w:rPr>
        <w:t xml:space="preserve">signal</w:t>
      </w:r>
      <w:r>
        <w:t xml:space="preserve">) wakes one waiter and</w:t>
      </w:r>
      <w:r>
        <w:t xml:space="preserve"> </w:t>
      </w:r>
      <w:r>
        <w:rPr>
          <w:rStyle w:val="VerbatimChar"/>
        </w:rPr>
        <w:t xml:space="preserve">notify_all</w:t>
      </w:r>
      <w:r>
        <w:t xml:space="preserve"> </w:t>
      </w:r>
      <w:r>
        <w:t xml:space="preserve">(</w:t>
      </w:r>
      <w:r>
        <w:rPr>
          <w:rStyle w:val="VerbatimChar"/>
        </w:rPr>
        <w:t xml:space="preserve">broadcast</w:t>
      </w:r>
      <w:r>
        <w:t xml:space="preserve">) wakes all.</w:t>
      </w:r>
      <w:r>
        <w:t xml:space="preserve"> </w:t>
      </w:r>
      <w:r>
        <w:rPr>
          <w:iCs/>
          <w:i/>
        </w:rPr>
        <w:t xml:space="preserve">(§6.10.3)</w:t>
      </w:r>
    </w:p>
    <w:p>
      <w:pPr>
        <w:pStyle w:val="BodyText"/>
      </w:pPr>
      <w:r>
        <w:rPr>
          <w:bCs/>
          <w:b/>
        </w:rPr>
        <w:t xml:space="preserve">Conflict-free replicated data type (CRDT)</w:t>
      </w:r>
      <w:r>
        <w:t xml:space="preserve"> </w:t>
      </w:r>
      <w:r>
        <w:t xml:space="preserve">— A data type whose replicas can be updated independently and concurrently without coordination and are guaranteed to converge to the same state once they have received the same updates, a property called</w:t>
      </w:r>
      <w:r>
        <w:t xml:space="preserve"> </w:t>
      </w:r>
      <w:r>
        <w:rPr>
          <w:bCs/>
          <w:b/>
        </w:rPr>
        <w:t xml:space="preserve">strong eventual consistency</w:t>
      </w:r>
      <w:r>
        <w:t xml:space="preserve"> </w:t>
      </w:r>
      <w:r>
        <w:t xml:space="preserve">[Shapiro et al. 2011a].</w:t>
      </w:r>
      <w:r>
        <w:t xml:space="preserve"> </w:t>
      </w:r>
      <w:r>
        <w:rPr>
          <w:iCs/>
          <w:i/>
        </w:rPr>
        <w:t xml:space="preserve">(§27.14.3)</w:t>
      </w:r>
    </w:p>
    <w:p>
      <w:pPr>
        <w:pStyle w:val="BodyText"/>
      </w:pPr>
      <w:r>
        <w:rPr>
          <w:bCs/>
          <w:b/>
        </w:rPr>
        <w:t xml:space="preserve">Congestion window (cwnd)</w:t>
      </w:r>
      <w:r>
        <w:t xml:space="preserve"> </w:t>
      </w:r>
      <w:r>
        <w:t xml:space="preserve">— A sender-side limit, in bytes or segments, on unacknowledged data in flight, based on the sender’s estimate of what the network path can absorb. The sender may have at most</w:t>
      </w:r>
      <w:r>
        <w:t xml:space="preserve"> </w:t>
      </w:r>
      <m:oMath>
        <m:r>
          <m:rPr>
            <m:sty m:val="p"/>
          </m:rPr>
          <m:t>min</m:t>
        </m:r>
        <m:d>
          <m:dPr>
            <m:begChr m:val="("/>
            <m:endChr m:val=")"/>
            <m:sepChr m:val=""/>
            <m:grow/>
          </m:dPr>
          <m:e>
            <m:r>
              <m:rPr>
                <m:nor/>
                <m:sty m:val="p"/>
              </m:rPr>
              <m:t>cwnd</m:t>
            </m:r>
            <m:r>
              <m:rPr>
                <m:sty m:val="p"/>
              </m:rPr>
              <m:t>,</m:t>
            </m:r>
            <m:r>
              <m:rPr>
                <m:nor/>
                <m:sty m:val="p"/>
              </m:rPr>
              <m:t>rwnd</m:t>
            </m:r>
          </m:e>
        </m:d>
      </m:oMath>
      <w:r>
        <w:t xml:space="preserve"> </w:t>
      </w:r>
      <w:r>
        <w:t xml:space="preserve">bytes outstanding.</w:t>
      </w:r>
      <w:r>
        <w:t xml:space="preserve"> </w:t>
      </w:r>
      <w:r>
        <w:rPr>
          <w:iCs/>
          <w:i/>
        </w:rPr>
        <w:t xml:space="preserve">(§7.7.7)</w:t>
      </w:r>
    </w:p>
    <w:p>
      <w:pPr>
        <w:pStyle w:val="BodyText"/>
      </w:pPr>
      <w:r>
        <w:rPr>
          <w:bCs/>
          <w:b/>
        </w:rPr>
        <w:t xml:space="preserve">Connection gateway</w:t>
      </w:r>
      <w:r>
        <w:t xml:space="preserve"> </w:t>
      </w:r>
      <w:r>
        <w:t xml:space="preserve">— A dedicated, thin service tier whose only job is to terminate long-lived client connections (WebSocket, SSE, long polling), authenticate them, track which user and topics each connection belongs to, and move messages between those connections and back-end services through a messaging layer. It contains no business logic.</w:t>
      </w:r>
      <w:r>
        <w:t xml:space="preserve"> </w:t>
      </w:r>
      <w:r>
        <w:rPr>
          <w:iCs/>
          <w:i/>
        </w:rPr>
        <w:t xml:space="preserve">(§9.9.1)</w:t>
      </w:r>
    </w:p>
    <w:p>
      <w:pPr>
        <w:pStyle w:val="BodyText"/>
      </w:pPr>
      <w:r>
        <w:rPr>
          <w:bCs/>
          <w:b/>
        </w:rPr>
        <w:t xml:space="preserve">Connection pooler</w:t>
      </w:r>
      <w:r>
        <w:t xml:space="preserve"> </w:t>
      </w:r>
      <w:r>
        <w:t xml:space="preserve">— A component that keeps a few open database connections and lends them to many clients per session, transaction or statement, either inside the application or as a shared proxy.</w:t>
      </w:r>
      <w:r>
        <w:t xml:space="preserve"> </w:t>
      </w:r>
      <w:r>
        <w:rPr>
          <w:iCs/>
          <w:i/>
        </w:rPr>
        <w:t xml:space="preserve">(§14.13.1)</w:t>
      </w:r>
    </w:p>
    <w:p>
      <w:pPr>
        <w:pStyle w:val="BodyText"/>
      </w:pPr>
      <w:r>
        <w:rPr>
          <w:bCs/>
          <w:b/>
        </w:rPr>
        <w:t xml:space="preserve">Consensus</w:t>
      </w:r>
      <w:r>
        <w:t xml:space="preserve"> </w:t>
      </w:r>
      <w:r>
        <w:t xml:space="preserve">— A set of processes, each of which may</w:t>
      </w:r>
      <w:r>
        <w:t xml:space="preserve"> </w:t>
      </w:r>
      <w:r>
        <w:rPr>
          <w:bCs/>
          <w:b/>
        </w:rPr>
        <w:t xml:space="preserve">propose</w:t>
      </w:r>
      <w:r>
        <w:t xml:space="preserve"> </w:t>
      </w:r>
      <w:r>
        <w:t xml:space="preserve">a value, must</w:t>
      </w:r>
      <w:r>
        <w:t xml:space="preserve"> </w:t>
      </w:r>
      <w:r>
        <w:rPr>
          <w:bCs/>
          <w:b/>
        </w:rPr>
        <w:t xml:space="preserve">decide</w:t>
      </w:r>
      <w:r>
        <w:t xml:space="preserve"> </w:t>
      </w:r>
      <w:r>
        <w:t xml:space="preserve">on a single value such that:</w:t>
      </w:r>
      <w:r>
        <w:t xml:space="preserve"> </w:t>
      </w:r>
      <w:r>
        <w:rPr>
          <w:bCs/>
          <w:b/>
        </w:rPr>
        <w:t xml:space="preserve">agreement</w:t>
      </w:r>
      <w:r>
        <w:t xml:space="preserve"> </w:t>
      </w:r>
      <w:r>
        <w:t xml:space="preserve">— no two correct processes decide differently;</w:t>
      </w:r>
      <w:r>
        <w:t xml:space="preserve"> </w:t>
      </w:r>
      <w:r>
        <w:rPr>
          <w:bCs/>
          <w:b/>
        </w:rPr>
        <w:t xml:space="preserve">validity</w:t>
      </w:r>
      <w:r>
        <w:t xml:space="preserve"> </w:t>
      </w:r>
      <w:r>
        <w:t xml:space="preserve">(integrity) — the decided value was proposed by some process;</w:t>
      </w:r>
      <w:r>
        <w:t xml:space="preserve"> </w:t>
      </w:r>
      <w:r>
        <w:rPr>
          <w:bCs/>
          <w:b/>
        </w:rPr>
        <w:t xml:space="preserve">termination</w:t>
      </w:r>
      <w:r>
        <w:t xml:space="preserve"> </w:t>
      </w:r>
      <w:r>
        <w:t xml:space="preserve">— every correct process eventually decides. Once decided, a value never changes.</w:t>
      </w:r>
      <w:r>
        <w:t xml:space="preserve"> </w:t>
      </w:r>
      <w:r>
        <w:rPr>
          <w:iCs/>
          <w:i/>
        </w:rPr>
        <w:t xml:space="preserve">(§26.3.1)</w:t>
      </w:r>
    </w:p>
    <w:p>
      <w:pPr>
        <w:pStyle w:val="BodyText"/>
      </w:pPr>
      <w:r>
        <w:rPr>
          <w:bCs/>
          <w:b/>
        </w:rPr>
        <w:t xml:space="preserve">Consistent hashing</w:t>
      </w:r>
      <w:r>
        <w:t xml:space="preserve"> </w:t>
      </w:r>
      <w:r>
        <w:t xml:space="preserve">— A way of assigning keys to nodes so that, when a node is added or removed, only about</w:t>
      </w:r>
      <w:r>
        <w:t xml:space="preserve"> </w:t>
      </w:r>
      <m:oMath>
        <m:r>
          <m:t>K</m:t>
        </m:r>
        <m:r>
          <m:rPr>
            <m:sty m:val="p"/>
          </m:rPr>
          <m:t>/</m:t>
        </m:r>
        <m:r>
          <m:t>N</m:t>
        </m:r>
      </m:oMath>
      <w:r>
        <w:t xml:space="preserve"> </w:t>
      </w:r>
      <w:r>
        <w:t xml:space="preserve">of the</w:t>
      </w:r>
      <w:r>
        <w:t xml:space="preserve"> </w:t>
      </w:r>
      <m:oMath>
        <m:r>
          <m:t>K</m:t>
        </m:r>
      </m:oMath>
      <w:r>
        <w:t xml:space="preserve"> </w:t>
      </w:r>
      <w:r>
        <w:t xml:space="preserve">keys change owner, where</w:t>
      </w:r>
      <w:r>
        <w:t xml:space="preserve"> </w:t>
      </w:r>
      <m:oMath>
        <m:r>
          <m:t>N</m:t>
        </m:r>
      </m:oMath>
      <w:r>
        <w:t xml:space="preserve"> </w:t>
      </w:r>
      <w:r>
        <w:t xml:space="preserve">is the number of nodes. Both keys and nodes are hashed onto the same circular number space (the</w:t>
      </w:r>
      <w:r>
        <w:t xml:space="preserve"> </w:t>
      </w:r>
      <w:r>
        <w:rPr>
          <w:bCs/>
          <w:b/>
        </w:rPr>
        <w:t xml:space="preserve">ring</w:t>
      </w:r>
      <w:r>
        <w:t xml:space="preserve">). Each key belongs to the first node found by moving clockwise from the key’s position [Karger et al. 1997].</w:t>
      </w:r>
      <w:r>
        <w:t xml:space="preserve"> </w:t>
      </w:r>
      <w:r>
        <w:rPr>
          <w:iCs/>
          <w:i/>
        </w:rPr>
        <w:t xml:space="preserve">(§3.3.2)</w:t>
      </w:r>
    </w:p>
    <w:p>
      <w:pPr>
        <w:pStyle w:val="BodyText"/>
      </w:pPr>
      <w:r>
        <w:rPr>
          <w:bCs/>
          <w:b/>
        </w:rPr>
        <w:t xml:space="preserve">Consistent hashing with bounded loads</w:t>
      </w:r>
      <w:r>
        <w:t xml:space="preserve"> </w:t>
      </w:r>
      <w:r>
        <w:t xml:space="preserve">— A variant of consistent hashing in which every backend has a</w:t>
      </w:r>
      <w:r>
        <w:t xml:space="preserve"> </w:t>
      </w:r>
      <w:r>
        <w:rPr>
          <w:bCs/>
          <w:b/>
        </w:rPr>
        <w:t xml:space="preserve">capacity</w:t>
      </w:r>
      <w:r>
        <w:t xml:space="preserve"> </w:t>
      </w:r>
      <w:r>
        <w:t xml:space="preserve">of</w:t>
      </w:r>
      <w:r>
        <w:t xml:space="preserve"> </w:t>
      </w:r>
      <m:oMath>
        <m:r>
          <m:rPr>
            <m:sty m:val="p"/>
          </m:rPr>
          <m:t>⌈</m:t>
        </m:r>
        <m:d>
          <m:dPr>
            <m:begChr m:val="("/>
            <m:endChr m:val=")"/>
            <m:sepChr m:val=""/>
            <m:grow/>
          </m:dPr>
          <m:e>
            <m:r>
              <m:t>1</m:t>
            </m:r>
            <m:r>
              <m:rPr>
                <m:sty m:val="p"/>
              </m:rPr>
              <m:t>+</m:t>
            </m:r>
            <m:r>
              <m:t>ε</m:t>
            </m:r>
          </m:e>
        </m:d>
        <m:r>
          <m:t> </m:t>
        </m:r>
        <m:r>
          <m:t>m</m:t>
        </m:r>
        <m:r>
          <m:rPr>
            <m:sty m:val="p"/>
          </m:rPr>
          <m:t>/</m:t>
        </m:r>
        <m:r>
          <m:t>n</m:t>
        </m:r>
        <m:r>
          <m:rPr>
            <m:sty m:val="p"/>
          </m:rPr>
          <m:t>⌉</m:t>
        </m:r>
      </m:oMath>
      <w:r>
        <w:t xml:space="preserve"> </w:t>
      </w:r>
      <w:r>
        <w:t xml:space="preserve">for</w:t>
      </w:r>
      <w:r>
        <w:t xml:space="preserve"> </w:t>
      </w:r>
      <m:oMath>
        <m:r>
          <m:t>m</m:t>
        </m:r>
      </m:oMath>
      <w:r>
        <w:t xml:space="preserve"> </w:t>
      </w:r>
      <w:r>
        <w:t xml:space="preserve">current items (requests, sessions) and</w:t>
      </w:r>
      <w:r>
        <w:t xml:space="preserve"> </w:t>
      </w:r>
      <m:oMath>
        <m:r>
          <m:t>n</m:t>
        </m:r>
      </m:oMath>
      <w:r>
        <w:t xml:space="preserve"> </w:t>
      </w:r>
      <w:r>
        <w:t xml:space="preserve">backends. An item goes to the first backend clockwise from its hash that is below capacity, so overflow from a full backend walks on to the next [Mirrokni, Thorup &amp; Zadimoghaddam 2018].</w:t>
      </w:r>
      <w:r>
        <w:t xml:space="preserve"> </w:t>
      </w:r>
      <w:r>
        <w:rPr>
          <w:iCs/>
          <w:i/>
        </w:rPr>
        <w:t xml:space="preserve">(§19.4.7)</w:t>
      </w:r>
    </w:p>
    <w:p>
      <w:pPr>
        <w:pStyle w:val="BodyText"/>
      </w:pPr>
      <w:r>
        <w:rPr>
          <w:bCs/>
          <w:b/>
        </w:rPr>
        <w:t xml:space="preserve">Content-defined chunking (CDC)</w:t>
      </w:r>
      <w:r>
        <w:t xml:space="preserve"> </w:t>
      </w:r>
      <w:r>
        <w:t xml:space="preserve">— Splitting a byte stream into variable-size chunks whose boundaries are chosen by the content itself: a rolling hash is computed over a small sliding window, and a boundary is declared wherever the hash matches a pattern (for example, its low 13 bits equal a fixed value). Each chunk is then identified by a cryptographic hash of its bytes, so identical chunks are stored once (</w:t>
      </w:r>
      <w:r>
        <w:rPr>
          <w:bCs/>
          <w:b/>
        </w:rPr>
        <w:t xml:space="preserve">deduplication</w:t>
      </w:r>
      <w:r>
        <w:t xml:space="preserve">).</w:t>
      </w:r>
      <w:r>
        <w:t xml:space="preserve"> </w:t>
      </w:r>
      <w:r>
        <w:rPr>
          <w:iCs/>
          <w:i/>
        </w:rPr>
        <w:t xml:space="preserve">(§15.8.3)</w:t>
      </w:r>
    </w:p>
    <w:p>
      <w:pPr>
        <w:pStyle w:val="BodyText"/>
      </w:pPr>
      <w:r>
        <w:rPr>
          <w:bCs/>
          <w:b/>
        </w:rPr>
        <w:t xml:space="preserve">Content delivery network (CDN)</w:t>
      </w:r>
      <w:r>
        <w:t xml:space="preserve"> </w:t>
      </w:r>
      <w:r>
        <w:t xml:space="preserve">— A distributed system of caching reverse proxies (§7.12) deployed in many network locations, which serves content on behalf of an</w:t>
      </w:r>
      <w:r>
        <w:t xml:space="preserve"> </w:t>
      </w:r>
      <w:r>
        <w:rPr>
          <w:bCs/>
          <w:b/>
        </w:rPr>
        <w:t xml:space="preserve">origin</w:t>
      </w:r>
      <w:r>
        <w:t xml:space="preserve"> </w:t>
      </w:r>
      <w:r>
        <w:t xml:space="preserve">(the authoritative server for the content) from the location nearest each user, fetching from the origin only on a cache miss.</w:t>
      </w:r>
      <w:r>
        <w:t xml:space="preserve"> </w:t>
      </w:r>
      <w:r>
        <w:rPr>
          <w:iCs/>
          <w:i/>
        </w:rPr>
        <w:t xml:space="preserve">(§21.3.1)</w:t>
      </w:r>
    </w:p>
    <w:p>
      <w:pPr>
        <w:pStyle w:val="BodyText"/>
      </w:pPr>
      <w:r>
        <w:rPr>
          <w:bCs/>
          <w:b/>
        </w:rPr>
        <w:t xml:space="preserve">Context diagram</w:t>
      </w:r>
      <w:r>
        <w:t xml:space="preserve"> </w:t>
      </w:r>
      <w:r>
        <w:t xml:space="preserve">— A diagram that shows the whole system as a single box, surrounded by the people (actors) and external systems that interact with it, with each interaction labeled. Context diagrams come from structured analysis [DeMarco 1979] and are Level 1 of the C4 model [Brown C4].</w:t>
      </w:r>
      <w:r>
        <w:t xml:space="preserve"> </w:t>
      </w:r>
      <w:r>
        <w:rPr>
          <w:iCs/>
          <w:i/>
        </w:rPr>
        <w:t xml:space="preserve">(§2.4.1)</w:t>
      </w:r>
    </w:p>
    <w:p>
      <w:pPr>
        <w:pStyle w:val="BodyText"/>
      </w:pPr>
      <w:r>
        <w:rPr>
          <w:bCs/>
          <w:b/>
        </w:rPr>
        <w:t xml:space="preserve">Context switch</w:t>
      </w:r>
      <w:r>
        <w:t xml:space="preserve"> </w:t>
      </w:r>
      <w:r>
        <w:t xml:space="preserve">— The kernel operation that stops one thread running on a CPU core, saves its CPU state into its PCB, and loads the saved state of another thread so that it resumes where it left off.</w:t>
      </w:r>
      <w:r>
        <w:t xml:space="preserve"> </w:t>
      </w:r>
      <w:r>
        <w:rPr>
          <w:iCs/>
          <w:i/>
        </w:rPr>
        <w:t xml:space="preserve">(§6.4)</w:t>
      </w:r>
    </w:p>
    <w:p>
      <w:pPr>
        <w:pStyle w:val="BodyText"/>
      </w:pPr>
      <w:r>
        <w:rPr>
          <w:bCs/>
          <w:b/>
        </w:rPr>
        <w:t xml:space="preserve">Coordinated omission</w:t>
      </w:r>
      <w:r>
        <w:t xml:space="preserve"> </w:t>
      </w:r>
      <w:r>
        <w:t xml:space="preserve">— A measurement error in which the load generator, by waiting for slow responses before sending more requests, fails to send (and therefore fails to measure) the requests that would have experienced the slowness. The tester and the system</w:t>
      </w:r>
      <w:r>
        <w:t xml:space="preserve"> </w:t>
      </w:r>
      <w:r>
        <w:t xml:space="preserve">“</w:t>
      </w:r>
      <w:r>
        <w:t xml:space="preserve">coordinate</w:t>
      </w:r>
      <w:r>
        <w:t xml:space="preserve">”</w:t>
      </w:r>
      <w:r>
        <w:t xml:space="preserve"> </w:t>
      </w:r>
      <w:r>
        <w:t xml:space="preserve">to omit the worst samples. The term and diagnosis are due to Gil Tene [Tene, How NOT to Measure Latency].</w:t>
      </w:r>
      <w:r>
        <w:t xml:space="preserve"> </w:t>
      </w:r>
      <w:r>
        <w:rPr>
          <w:iCs/>
          <w:i/>
        </w:rPr>
        <w:t xml:space="preserve">(§23.5.3)</w:t>
      </w:r>
    </w:p>
    <w:p>
      <w:pPr>
        <w:pStyle w:val="BodyText"/>
      </w:pPr>
      <w:r>
        <w:rPr>
          <w:bCs/>
          <w:b/>
        </w:rPr>
        <w:t xml:space="preserve">Cost-based optimizer</w:t>
      </w:r>
      <w:r>
        <w:t xml:space="preserve"> </w:t>
      </w:r>
      <w:r>
        <w:t xml:space="preserve">— The component that enumerates equivalent physical plans for a query (access paths, join orders, join algorithms), estimates each plan’s cost from</w:t>
      </w:r>
      <w:r>
        <w:t xml:space="preserve"> </w:t>
      </w:r>
      <w:r>
        <w:rPr>
          <w:bCs/>
          <w:b/>
        </w:rPr>
        <w:t xml:space="preserve">statistics</w:t>
      </w:r>
      <w:r>
        <w:t xml:space="preserve"> </w:t>
      </w:r>
      <w:r>
        <w:t xml:space="preserve">about the data using a</w:t>
      </w:r>
      <w:r>
        <w:t xml:space="preserve"> </w:t>
      </w:r>
      <w:r>
        <w:rPr>
          <w:bCs/>
          <w:b/>
        </w:rPr>
        <w:t xml:space="preserve">cost model</w:t>
      </w:r>
      <w:r>
        <w:t xml:space="preserve">, and returns the plan with the lowest estimated cost.</w:t>
      </w:r>
      <w:r>
        <w:t xml:space="preserve"> </w:t>
      </w:r>
      <w:r>
        <w:rPr>
          <w:iCs/>
          <w:i/>
        </w:rPr>
        <w:t xml:space="preserve">(§11.10.1)</w:t>
      </w:r>
    </w:p>
    <w:p>
      <w:pPr>
        <w:pStyle w:val="BodyText"/>
      </w:pPr>
      <w:r>
        <w:rPr>
          <w:bCs/>
          <w:b/>
        </w:rPr>
        <w:t xml:space="preserve">Count-Min sketch</w:t>
      </w:r>
      <w:r>
        <w:t xml:space="preserve"> </w:t>
      </w:r>
      <w:r>
        <w:t xml:space="preserve">— A</w:t>
      </w:r>
      <w:r>
        <w:t xml:space="preserve"> </w:t>
      </w:r>
      <m:oMath>
        <m:r>
          <m:t>d</m:t>
        </m:r>
        <m:r>
          <m:rPr>
            <m:sty m:val="p"/>
          </m:rPr>
          <m:t>×</m:t>
        </m:r>
        <m:r>
          <m:t>w</m:t>
        </m:r>
      </m:oMath>
      <w:r>
        <w:t xml:space="preserve"> </w:t>
      </w:r>
      <w:r>
        <w:t xml:space="preserve">array of counters with one hash function per row that estimates the frequency of any item in a stream. Each update increments one counter per row; each query returns the minimum of the item’s</w:t>
      </w:r>
      <w:r>
        <w:t xml:space="preserve"> </w:t>
      </w:r>
      <m:oMath>
        <m:r>
          <m:t>d</m:t>
        </m:r>
      </m:oMath>
      <w:r>
        <w:t xml:space="preserve"> </w:t>
      </w:r>
      <w:r>
        <w:t xml:space="preserve">counters. The estimate never underestimates and, with probability at least</w:t>
      </w:r>
      <w:r>
        <w:t xml:space="preserve"> </w:t>
      </w:r>
      <m:oMath>
        <m:r>
          <m:t>1</m:t>
        </m:r>
        <m:r>
          <m:rPr>
            <m:sty m:val="p"/>
          </m:rPr>
          <m:t>−</m:t>
        </m:r>
        <m:r>
          <m:t>δ</m:t>
        </m:r>
      </m:oMath>
      <w:r>
        <w:t xml:space="preserve">, overestimates by at most</w:t>
      </w:r>
      <w:r>
        <w:t xml:space="preserve"> </w:t>
      </w:r>
      <m:oMath>
        <m:r>
          <m:t>ε</m:t>
        </m:r>
        <m:r>
          <m:t>N</m:t>
        </m:r>
      </m:oMath>
      <w:r>
        <w:t xml:space="preserve">, where</w:t>
      </w:r>
      <w:r>
        <w:t xml:space="preserve"> </w:t>
      </w:r>
      <m:oMath>
        <m:r>
          <m:t>N</m:t>
        </m:r>
      </m:oMath>
      <w:r>
        <w:t xml:space="preserve"> </w:t>
      </w:r>
      <w:r>
        <w:t xml:space="preserve">is the total of all updates [Cormode &amp; Muthukrishnan 2005].</w:t>
      </w:r>
      <w:r>
        <w:t xml:space="preserve"> </w:t>
      </w:r>
      <w:r>
        <w:rPr>
          <w:iCs/>
          <w:i/>
        </w:rPr>
        <w:t xml:space="preserve">(§17.6.1)</w:t>
      </w:r>
    </w:p>
    <w:p>
      <w:pPr>
        <w:pStyle w:val="BodyText"/>
      </w:pPr>
      <w:r>
        <w:rPr>
          <w:bCs/>
          <w:b/>
        </w:rPr>
        <w:t xml:space="preserve">CPU-bound and I/O-bound</w:t>
      </w:r>
      <w:r>
        <w:t xml:space="preserve"> </w:t>
      </w:r>
      <w:r>
        <w:t xml:space="preserve">— A workload is</w:t>
      </w:r>
      <w:r>
        <w:t xml:space="preserve"> </w:t>
      </w:r>
      <w:r>
        <w:rPr>
          <w:bCs/>
          <w:b/>
        </w:rPr>
        <w:t xml:space="preserve">CPU-bound</w:t>
      </w:r>
      <w:r>
        <w:t xml:space="preserve"> </w:t>
      </w:r>
      <w:r>
        <w:t xml:space="preserve">when its speed is limited by how fast the processor can execute instructions; giving it a faster CPU or more cores speeds it up. It is</w:t>
      </w:r>
      <w:r>
        <w:t xml:space="preserve"> </w:t>
      </w:r>
      <w:r>
        <w:rPr>
          <w:bCs/>
          <w:b/>
        </w:rPr>
        <w:t xml:space="preserve">I/O-bound</w:t>
      </w:r>
      <w:r>
        <w:t xml:space="preserve"> </w:t>
      </w:r>
      <w:r>
        <w:t xml:space="preserve">when it spends most of its time waiting for storage or the network; a faster CPU barely helps, but more concurrency or faster devices do. A related category,</w:t>
      </w:r>
      <w:r>
        <w:t xml:space="preserve"> </w:t>
      </w:r>
      <w:r>
        <w:rPr>
          <w:bCs/>
          <w:b/>
        </w:rPr>
        <w:t xml:space="preserve">memory-bound</w:t>
      </w:r>
      <w:r>
        <w:t xml:space="preserve">, is limited by memory latency or bandwidth (§5.9) — the CPU looks</w:t>
      </w:r>
      <w:r>
        <w:t xml:space="preserve"> </w:t>
      </w:r>
      <w:r>
        <w:t xml:space="preserve">“</w:t>
      </w:r>
      <w:r>
        <w:t xml:space="preserve">busy</w:t>
      </w:r>
      <w:r>
        <w:t xml:space="preserve">”</w:t>
      </w:r>
      <w:r>
        <w:t xml:space="preserve"> </w:t>
      </w:r>
      <w:r>
        <w:t xml:space="preserve">but is mostly stalled.</w:t>
      </w:r>
      <w:r>
        <w:t xml:space="preserve"> </w:t>
      </w:r>
      <w:r>
        <w:rPr>
          <w:iCs/>
          <w:i/>
        </w:rPr>
        <w:t xml:space="preserve">(§5.8)</w:t>
      </w:r>
    </w:p>
    <w:p>
      <w:pPr>
        <w:pStyle w:val="BodyText"/>
      </w:pPr>
      <w:r>
        <w:rPr>
          <w:bCs/>
          <w:b/>
        </w:rPr>
        <w:t xml:space="preserve">CPU cache</w:t>
      </w:r>
      <w:r>
        <w:t xml:space="preserve"> </w:t>
      </w:r>
      <w:r>
        <w:t xml:space="preserve">— A small, fast memory built from SRAM (static RAM) on the processor chip that holds copies of recently used main-memory data, so that most loads and stores do not have to wait for DRAM.</w:t>
      </w:r>
      <w:r>
        <w:t xml:space="preserve"> </w:t>
      </w:r>
      <w:r>
        <w:rPr>
          <w:iCs/>
          <w:i/>
        </w:rPr>
        <w:t xml:space="preserve">(§5.4.1)</w:t>
      </w:r>
    </w:p>
    <w:p>
      <w:pPr>
        <w:pStyle w:val="BodyText"/>
      </w:pPr>
      <w:r>
        <w:rPr>
          <w:bCs/>
          <w:b/>
        </w:rPr>
        <w:t xml:space="preserve">CPU scheduler</w:t>
      </w:r>
      <w:r>
        <w:t xml:space="preserve"> </w:t>
      </w:r>
      <w:r>
        <w:t xml:space="preserve">— The part of the kernel that decides which ready thread runs next on each core and for how long. The rule it follows is the</w:t>
      </w:r>
      <w:r>
        <w:t xml:space="preserve"> </w:t>
      </w:r>
      <w:r>
        <w:rPr>
          <w:bCs/>
          <w:b/>
        </w:rPr>
        <w:t xml:space="preserve">scheduling policy</w:t>
      </w:r>
      <w:r>
        <w:t xml:space="preserve">; the mechanism that performs the switch is the dispatcher (§6.4).</w:t>
      </w:r>
      <w:r>
        <w:t xml:space="preserve"> </w:t>
      </w:r>
      <w:r>
        <w:rPr>
          <w:iCs/>
          <w:i/>
        </w:rPr>
        <w:t xml:space="preserve">(§6.5)</w:t>
      </w:r>
    </w:p>
    <w:p>
      <w:pPr>
        <w:pStyle w:val="BodyText"/>
      </w:pPr>
      <w:r>
        <w:rPr>
          <w:bCs/>
          <w:b/>
        </w:rPr>
        <w:t xml:space="preserve">Critical section</w:t>
      </w:r>
      <w:r>
        <w:t xml:space="preserve"> </w:t>
      </w:r>
      <w:r>
        <w:t xml:space="preserve">— A region of code that accesses shared state and must not be executed by more than one thread at a time. Guaranteeing this is</w:t>
      </w:r>
      <w:r>
        <w:t xml:space="preserve"> </w:t>
      </w:r>
      <w:r>
        <w:rPr>
          <w:bCs/>
          <w:b/>
        </w:rPr>
        <w:t xml:space="preserve">mutual exclusion</w:t>
      </w:r>
      <w:r>
        <w:t xml:space="preserve">.</w:t>
      </w:r>
      <w:r>
        <w:t xml:space="preserve"> </w:t>
      </w:r>
      <w:r>
        <w:rPr>
          <w:iCs/>
          <w:i/>
        </w:rPr>
        <w:t xml:space="preserve">(§6.9)</w:t>
      </w:r>
    </w:p>
    <w:p>
      <w:pPr>
        <w:pStyle w:val="BodyText"/>
      </w:pPr>
      <w:r>
        <w:rPr>
          <w:bCs/>
          <w:b/>
        </w:rPr>
        <w:t xml:space="preserve">Cryptographic hash function</w:t>
      </w:r>
      <w:r>
        <w:t xml:space="preserve"> </w:t>
      </w:r>
      <w:r>
        <w:t xml:space="preserve">— A deterministic function</w:t>
      </w:r>
      <w:r>
        <w:t xml:space="preserve"> </w:t>
      </w:r>
      <m:oMath>
        <m:r>
          <m:t>H</m:t>
        </m:r>
      </m:oMath>
      <w:r>
        <w:t xml:space="preserve"> </w:t>
      </w:r>
      <w:r>
        <w:t xml:space="preserve">that maps an input of any length to a fixed-length output (the</w:t>
      </w:r>
      <w:r>
        <w:t xml:space="preserve"> </w:t>
      </w:r>
      <w:r>
        <w:rPr>
          <w:bCs/>
          <w:b/>
        </w:rPr>
        <w:t xml:space="preserve">digest</w:t>
      </w:r>
      <w:r>
        <w:t xml:space="preserve">), such that it is computationally infeasible to (1) find an input that hashes to a given digest (</w:t>
      </w:r>
      <w:r>
        <w:rPr>
          <w:bCs/>
          <w:b/>
        </w:rPr>
        <w:t xml:space="preserve">preimage resistance</w:t>
      </w:r>
      <w:r>
        <w:t xml:space="preserve">), (2) given one input, find a different input with the same digest (</w:t>
      </w:r>
      <w:r>
        <w:rPr>
          <w:bCs/>
          <w:b/>
        </w:rPr>
        <w:t xml:space="preserve">second-preimage resistance</w:t>
      </w:r>
      <w:r>
        <w:t xml:space="preserve">), and (3) find any two distinct inputs with the same digest (</w:t>
      </w:r>
      <w:r>
        <w:rPr>
          <w:bCs/>
          <w:b/>
        </w:rPr>
        <w:t xml:space="preserve">collision resistance</w:t>
      </w:r>
      <w:r>
        <w:t xml:space="preserve">).</w:t>
      </w:r>
      <w:r>
        <w:t xml:space="preserve"> </w:t>
      </w:r>
      <w:r>
        <w:rPr>
          <w:iCs/>
          <w:i/>
        </w:rPr>
        <w:t xml:space="preserve">(§10.4.1)</w:t>
      </w:r>
    </w:p>
    <w:p>
      <w:pPr>
        <w:pStyle w:val="BodyText"/>
      </w:pPr>
      <w:r>
        <w:rPr>
          <w:bCs/>
          <w:b/>
        </w:rPr>
        <w:t xml:space="preserve">Cuckoo filter</w:t>
      </w:r>
      <w:r>
        <w:t xml:space="preserve"> </w:t>
      </w:r>
      <w:r>
        <w:t xml:space="preserve">— A hash table of</w:t>
      </w:r>
      <w:r>
        <w:t xml:space="preserve"> </w:t>
      </w:r>
      <m:oMath>
        <m:r>
          <m:t>b</m:t>
        </m:r>
      </m:oMath>
      <w:r>
        <w:t xml:space="preserve">-slot buckets that stores a short</w:t>
      </w:r>
      <w:r>
        <w:t xml:space="preserve"> </w:t>
      </w:r>
      <w:r>
        <w:rPr>
          <w:bCs/>
          <w:b/>
        </w:rPr>
        <w:t xml:space="preserve">fingerprint</w:t>
      </w:r>
      <w:r>
        <w:t xml:space="preserve"> </w:t>
      </w:r>
      <w:r>
        <w:t xml:space="preserve">of each item (an</w:t>
      </w:r>
      <w:r>
        <w:t xml:space="preserve"> </w:t>
      </w:r>
      <m:oMath>
        <m:r>
          <m:t>f</m:t>
        </m:r>
      </m:oMath>
      <w:r>
        <w:t xml:space="preserve">-bit hash) in one of two candidate buckets. Membership checks two buckets for a matching fingerprint; deletion removes one copy of the fingerprint.</w:t>
      </w:r>
      <w:r>
        <w:t xml:space="preserve"> </w:t>
      </w:r>
      <w:r>
        <w:rPr>
          <w:iCs/>
          <w:i/>
        </w:rPr>
        <w:t xml:space="preserve">(§17.4.7)</w:t>
      </w:r>
    </w:p>
    <w:bookmarkEnd w:id="3354"/>
    <w:bookmarkStart w:id="3355" w:name="d"/>
    <w:p>
      <w:pPr>
        <w:pStyle w:val="Heading2"/>
      </w:pPr>
      <w:r>
        <w:t xml:space="preserve">D</w:t>
      </w:r>
    </w:p>
    <w:p>
      <w:pPr>
        <w:pStyle w:val="FirstParagraph"/>
      </w:pPr>
      <w:r>
        <w:rPr>
          <w:bCs/>
          <w:b/>
        </w:rPr>
        <w:t xml:space="preserve">DataFrame, Dataset and Catalyst</w:t>
      </w:r>
      <w:r>
        <w:t xml:space="preserve"> </w:t>
      </w:r>
      <w:r>
        <w:t xml:space="preserve">— A</w:t>
      </w:r>
      <w:r>
        <w:t xml:space="preserve"> </w:t>
      </w:r>
      <w:r>
        <w:rPr>
          <w:bCs/>
          <w:b/>
        </w:rPr>
        <w:t xml:space="preserve">DataFrame</w:t>
      </w:r>
      <w:r>
        <w:t xml:space="preserve"> </w:t>
      </w:r>
      <w:r>
        <w:t xml:space="preserve">is a distributed table with a known schema (named, typed columns), manipulated with relational operators or SQL. A</w:t>
      </w:r>
      <w:r>
        <w:t xml:space="preserve"> </w:t>
      </w:r>
      <w:r>
        <w:rPr>
          <w:bCs/>
          <w:b/>
        </w:rPr>
        <w:t xml:space="preserve">Dataset</w:t>
      </w:r>
      <w:r>
        <w:t xml:space="preserve"> </w:t>
      </w:r>
      <w:r>
        <w:t xml:space="preserve">(Scala and Java) adds compile-time types to the same abstraction; in Python and R, every DataFrame is untyped at compile time.</w:t>
      </w:r>
      <w:r>
        <w:t xml:space="preserve"> </w:t>
      </w:r>
      <w:r>
        <w:rPr>
          <w:bCs/>
          <w:b/>
        </w:rPr>
        <w:t xml:space="preserve">Catalyst</w:t>
      </w:r>
      <w:r>
        <w:t xml:space="preserve"> </w:t>
      </w:r>
      <w:r>
        <w:t xml:space="preserve">is Spark SQL’s extensible query optimizer, which turns DataFrame or SQL queries into an optimized physical plan using rule-based and cost-based transformations of trees [Armbrust et al. 2015].</w:t>
      </w:r>
      <w:r>
        <w:t xml:space="preserve"> </w:t>
      </w:r>
      <w:r>
        <w:rPr>
          <w:iCs/>
          <w:i/>
        </w:rPr>
        <w:t xml:space="preserve">(§29.5.4)</w:t>
      </w:r>
    </w:p>
    <w:p>
      <w:pPr>
        <w:pStyle w:val="BodyText"/>
      </w:pPr>
      <w:r>
        <w:rPr>
          <w:bCs/>
          <w:b/>
        </w:rPr>
        <w:t xml:space="preserve">Data locality</w:t>
      </w:r>
      <w:r>
        <w:t xml:space="preserve"> </w:t>
      </w:r>
      <w:r>
        <w:t xml:space="preserve">— Scheduling a task on or near the node that stores its input, so that the input is read from local disk or memory instead of over the network. Schedulers rank placements as</w:t>
      </w:r>
      <w:r>
        <w:t xml:space="preserve"> </w:t>
      </w:r>
      <w:r>
        <w:rPr>
          <w:bCs/>
          <w:b/>
        </w:rPr>
        <w:t xml:space="preserve">process-local</w:t>
      </w:r>
      <w:r>
        <w:t xml:space="preserve"> </w:t>
      </w:r>
      <w:r>
        <w:t xml:space="preserve">(data cached in the same executor),</w:t>
      </w:r>
      <w:r>
        <w:t xml:space="preserve"> </w:t>
      </w:r>
      <w:r>
        <w:rPr>
          <w:bCs/>
          <w:b/>
        </w:rPr>
        <w:t xml:space="preserve">node-local</w:t>
      </w:r>
      <w:r>
        <w:t xml:space="preserve">,</w:t>
      </w:r>
      <w:r>
        <w:t xml:space="preserve"> </w:t>
      </w:r>
      <w:r>
        <w:rPr>
          <w:bCs/>
          <w:b/>
        </w:rPr>
        <w:t xml:space="preserve">rack-local</w:t>
      </w:r>
      <w:r>
        <w:t xml:space="preserve"> </w:t>
      </w:r>
      <w:r>
        <w:t xml:space="preserve">and</w:t>
      </w:r>
      <w:r>
        <w:t xml:space="preserve"> </w:t>
      </w:r>
      <w:r>
        <w:rPr>
          <w:bCs/>
          <w:b/>
        </w:rPr>
        <w:t xml:space="preserve">off-rack</w:t>
      </w:r>
      <w:r>
        <w:t xml:space="preserve"> </w:t>
      </w:r>
      <w:r>
        <w:t xml:space="preserve">(any).</w:t>
      </w:r>
      <w:r>
        <w:t xml:space="preserve"> </w:t>
      </w:r>
      <w:r>
        <w:rPr>
          <w:iCs/>
          <w:i/>
        </w:rPr>
        <w:t xml:space="preserve">(§29.7)</w:t>
      </w:r>
    </w:p>
    <w:p>
      <w:pPr>
        <w:pStyle w:val="BodyText"/>
      </w:pPr>
      <w:r>
        <w:rPr>
          <w:bCs/>
          <w:b/>
        </w:rPr>
        <w:t xml:space="preserve">Deadline</w:t>
      </w:r>
      <w:r>
        <w:t xml:space="preserve"> </w:t>
      </w:r>
      <w:r>
        <w:t xml:space="preserve">— An absolute point in time by which a client needs an RPC to complete. gRPC transmits it as a remaining timeout; when it passes, the client stops waiting with</w:t>
      </w:r>
      <w:r>
        <w:t xml:space="preserve"> </w:t>
      </w:r>
      <w:r>
        <w:rPr>
          <w:rStyle w:val="VerbatimChar"/>
        </w:rPr>
        <w:t xml:space="preserve">DEADLINE_EXCEEDED</w:t>
      </w:r>
      <w:r>
        <w:t xml:space="preserve"> </w:t>
      </w:r>
      <w:r>
        <w:t xml:space="preserve">and the server can see that the call was canceled [gRPC Docs: Deadlines].</w:t>
      </w:r>
      <w:r>
        <w:t xml:space="preserve"> </w:t>
      </w:r>
      <w:r>
        <w:rPr>
          <w:iCs/>
          <w:i/>
        </w:rPr>
        <w:t xml:space="preserve">(§8.8.4)</w:t>
      </w:r>
    </w:p>
    <w:p>
      <w:pPr>
        <w:pStyle w:val="BodyText"/>
      </w:pPr>
      <w:r>
        <w:rPr>
          <w:bCs/>
          <w:b/>
        </w:rPr>
        <w:t xml:space="preserve">Deadlock</w:t>
      </w:r>
      <w:r>
        <w:t xml:space="preserve"> </w:t>
      </w:r>
      <w:r>
        <w:t xml:space="preserve">— A state in which each thread in a set is waiting for a resource held by another thread in the same set, so none can ever proceed.</w:t>
      </w:r>
      <w:r>
        <w:t xml:space="preserve"> </w:t>
      </w:r>
      <w:r>
        <w:rPr>
          <w:iCs/>
          <w:i/>
        </w:rPr>
        <w:t xml:space="preserve">(§6.11.1)</w:t>
      </w:r>
    </w:p>
    <w:p>
      <w:pPr>
        <w:pStyle w:val="BodyText"/>
      </w:pPr>
      <w:r>
        <w:rPr>
          <w:bCs/>
          <w:b/>
        </w:rPr>
        <w:t xml:space="preserve">Decomposition</w:t>
      </w:r>
      <w:r>
        <w:t xml:space="preserve"> </w:t>
      </w:r>
      <w:r>
        <w:t xml:space="preserve">— Dividing a system into smaller parts (</w:t>
      </w:r>
      <w:r>
        <w:rPr>
          <w:bCs/>
          <w:b/>
        </w:rPr>
        <w:t xml:space="preserve">components</w:t>
      </w:r>
      <w:r>
        <w:t xml:space="preserve">) so that each part has one clear responsibility, a well-defined interface, and as few dependencies on other parts as possible. Each part can then be understood, built, scaled and changed mostly on its own.</w:t>
      </w:r>
      <w:r>
        <w:t xml:space="preserve"> </w:t>
      </w:r>
      <w:r>
        <w:rPr>
          <w:iCs/>
          <w:i/>
        </w:rPr>
        <w:t xml:space="preserve">(§2.3.2)</w:t>
      </w:r>
    </w:p>
    <w:p>
      <w:pPr>
        <w:pStyle w:val="BodyText"/>
      </w:pPr>
      <w:r>
        <w:rPr>
          <w:bCs/>
          <w:b/>
        </w:rPr>
        <w:t xml:space="preserve">Deliberate practice</w:t>
      </w:r>
      <w:r>
        <w:t xml:space="preserve"> </w:t>
      </w:r>
      <w:r>
        <w:t xml:space="preserve">— Effortful practice designed to improve performance. It targets specific weaknesses, has clear goals, gives immediate feedback and is usually guided by a teacher or coach [Ericsson et al. 1993].</w:t>
      </w:r>
      <w:r>
        <w:t xml:space="preserve"> </w:t>
      </w:r>
      <w:r>
        <w:rPr>
          <w:iCs/>
          <w:i/>
        </w:rPr>
        <w:t xml:space="preserve">(§3.4.6)</w:t>
      </w:r>
    </w:p>
    <w:p>
      <w:pPr>
        <w:pStyle w:val="BodyText"/>
      </w:pPr>
      <w:r>
        <w:rPr>
          <w:bCs/>
          <w:b/>
        </w:rPr>
        <w:t xml:space="preserve">Denormalization</w:t>
      </w:r>
      <w:r>
        <w:t xml:space="preserve"> </w:t>
      </w:r>
      <w:r>
        <w:t xml:space="preserve">— Deliberately storing a fact more than once, or storing a derived value, to make important reads cheaper, while accepting the cost of keeping the copies consistent.</w:t>
      </w:r>
      <w:r>
        <w:t xml:space="preserve"> </w:t>
      </w:r>
      <w:r>
        <w:rPr>
          <w:iCs/>
          <w:i/>
        </w:rPr>
        <w:t xml:space="preserve">(§11.5.5)</w:t>
      </w:r>
    </w:p>
    <w:p>
      <w:pPr>
        <w:pStyle w:val="BodyText"/>
      </w:pPr>
      <w:r>
        <w:rPr>
          <w:bCs/>
          <w:b/>
        </w:rPr>
        <w:t xml:space="preserve">Design assumption</w:t>
      </w:r>
      <w:r>
        <w:t xml:space="preserve"> </w:t>
      </w:r>
      <w:r>
        <w:t xml:space="preserve">— A belief about the workload, the environment or the business that the design depends on but that has not yet been verified, for example</w:t>
      </w:r>
      <w:r>
        <w:t xml:space="preserve"> </w:t>
      </w:r>
      <w:r>
        <w:t xml:space="preserve">“</w:t>
      </w:r>
      <w:r>
        <w:t xml:space="preserve">80% of requests are reads</w:t>
      </w:r>
      <w:r>
        <w:t xml:space="preserve">”</w:t>
      </w:r>
      <w:r>
        <w:t xml:space="preserve"> </w:t>
      </w:r>
      <w:r>
        <w:t xml:space="preserve">or</w:t>
      </w:r>
      <w:r>
        <w:t xml:space="preserve"> </w:t>
      </w:r>
      <w:r>
        <w:t xml:space="preserve">“</w:t>
      </w:r>
      <w:r>
        <w:t xml:space="preserve">the payment provider responds within 1 s at p99</w:t>
      </w:r>
      <w:r>
        <w:t xml:space="preserve">”</w:t>
      </w:r>
      <w:r>
        <w:t xml:space="preserve">. An assumption is</w:t>
      </w:r>
      <w:r>
        <w:t xml:space="preserve"> </w:t>
      </w:r>
      <w:r>
        <w:rPr>
          <w:bCs/>
          <w:b/>
        </w:rPr>
        <w:t xml:space="preserve">stated</w:t>
      </w:r>
      <w:r>
        <w:t xml:space="preserve"> </w:t>
      </w:r>
      <w:r>
        <w:t xml:space="preserve">when it is written down with its value, its source, your confidence in it and how it will be checked.</w:t>
      </w:r>
      <w:r>
        <w:t xml:space="preserve"> </w:t>
      </w:r>
      <w:r>
        <w:rPr>
          <w:iCs/>
          <w:i/>
        </w:rPr>
        <w:t xml:space="preserve">(§2.7.1)</w:t>
      </w:r>
    </w:p>
    <w:p>
      <w:pPr>
        <w:pStyle w:val="BodyText"/>
      </w:pPr>
      <w:r>
        <w:rPr>
          <w:bCs/>
          <w:b/>
        </w:rPr>
        <w:t xml:space="preserve">Design document (design doc)</w:t>
      </w:r>
      <w:r>
        <w:t xml:space="preserve"> </w:t>
      </w:r>
      <w:r>
        <w:t xml:space="preserve">— A written proposal, produced before significant implementation, that states a problem, its goals and non-goals, a proposed design, the alternatives considered, and cross-cutting concerns (security, privacy, operations, cost), so that others can review it while changes are still cheap.</w:t>
      </w:r>
      <w:r>
        <w:t xml:space="preserve"> </w:t>
      </w:r>
      <w:r>
        <w:rPr>
          <w:iCs/>
          <w:i/>
        </w:rPr>
        <w:t xml:space="preserve">(§1.10.1)</w:t>
      </w:r>
    </w:p>
    <w:p>
      <w:pPr>
        <w:pStyle w:val="BodyText"/>
      </w:pPr>
      <w:r>
        <w:rPr>
          <w:bCs/>
          <w:b/>
        </w:rPr>
        <w:t xml:space="preserve">Designing for failure</w:t>
      </w:r>
      <w:r>
        <w:t xml:space="preserve"> </w:t>
      </w:r>
      <w:r>
        <w:t xml:space="preserve">— Treating component failure as a</w:t>
      </w:r>
      <w:r>
        <w:t xml:space="preserve"> </w:t>
      </w:r>
      <w:r>
        <w:rPr>
          <w:iCs/>
          <w:i/>
        </w:rPr>
        <w:t xml:space="preserve">normal, expected event</w:t>
      </w:r>
      <w:r>
        <w:t xml:space="preserve"> </w:t>
      </w:r>
      <w:r>
        <w:t xml:space="preserve">rather than an exception. For every component and dependency, the design states what happens when it is slow, returns errors or disappears, and makes sure the</w:t>
      </w:r>
      <w:r>
        <w:t xml:space="preserve"> </w:t>
      </w:r>
      <w:r>
        <w:rPr>
          <w:bCs/>
          <w:b/>
        </w:rPr>
        <w:t xml:space="preserve">blast radius</w:t>
      </w:r>
      <w:r>
        <w:t xml:space="preserve"> </w:t>
      </w:r>
      <w:r>
        <w:t xml:space="preserve">(the set of users and features affected) is as small as possible.</w:t>
      </w:r>
      <w:r>
        <w:t xml:space="preserve"> </w:t>
      </w:r>
      <w:r>
        <w:rPr>
          <w:iCs/>
          <w:i/>
        </w:rPr>
        <w:t xml:space="preserve">(§2.9.1)</w:t>
      </w:r>
    </w:p>
    <w:p>
      <w:pPr>
        <w:pStyle w:val="BodyText"/>
      </w:pPr>
      <w:r>
        <w:rPr>
          <w:bCs/>
          <w:b/>
        </w:rPr>
        <w:t xml:space="preserve">Deterministic database</w:t>
      </w:r>
      <w:r>
        <w:t xml:space="preserve"> </w:t>
      </w:r>
      <w:r>
        <w:t xml:space="preserve">— A database in which replicas and partitions first agree on a global order of transaction</w:t>
      </w:r>
      <w:r>
        <w:t xml:space="preserve"> </w:t>
      </w:r>
      <w:r>
        <w:rPr>
          <w:iCs/>
          <w:i/>
        </w:rPr>
        <w:t xml:space="preserve">inputs</w:t>
      </w:r>
      <w:r>
        <w:t xml:space="preserve">, then execute transactions so that the outcome depends only on that order and the initial state. Every node that executes the same log reaches the same state, so no node needs to ask another whether to commit [Thomson et al. 2012].</w:t>
      </w:r>
      <w:r>
        <w:t xml:space="preserve"> </w:t>
      </w:r>
      <w:r>
        <w:rPr>
          <w:iCs/>
          <w:i/>
        </w:rPr>
        <w:t xml:space="preserve">(§28.9.1)</w:t>
      </w:r>
    </w:p>
    <w:p>
      <w:pPr>
        <w:pStyle w:val="BodyText"/>
      </w:pPr>
      <w:r>
        <w:rPr>
          <w:bCs/>
          <w:b/>
        </w:rPr>
        <w:t xml:space="preserve">Digital signature</w:t>
      </w:r>
      <w:r>
        <w:t xml:space="preserve"> </w:t>
      </w:r>
      <w:r>
        <w:t xml:space="preserve">— A scheme with three algorithms: key generation,</w:t>
      </w:r>
      <w:r>
        <w:t xml:space="preserve"> </w:t>
      </w:r>
      <w:r>
        <w:rPr>
          <w:bCs/>
          <w:b/>
        </w:rPr>
        <w:t xml:space="preserve">sign</w:t>
      </w:r>
      <w:r>
        <w:t xml:space="preserve"> </w:t>
      </w:r>
      <w:r>
        <w:t xml:space="preserve">(using the private key, produces a signature over a message) and</w:t>
      </w:r>
      <w:r>
        <w:t xml:space="preserve"> </w:t>
      </w:r>
      <w:r>
        <w:rPr>
          <w:bCs/>
          <w:b/>
        </w:rPr>
        <w:t xml:space="preserve">verify</w:t>
      </w:r>
      <w:r>
        <w:t xml:space="preserve"> </w:t>
      </w:r>
      <w:r>
        <w:t xml:space="preserve">(using the public key, checks a signature against a message). A valid signature shows that the message was approved by the holder of the private key and has not changed since. Because verification needs only the public key,</w:t>
      </w:r>
      <w:r>
        <w:t xml:space="preserve"> </w:t>
      </w:r>
      <w:r>
        <w:rPr>
          <w:iCs/>
          <w:i/>
        </w:rPr>
        <w:t xml:space="preserve">anyone</w:t>
      </w:r>
      <w:r>
        <w:t xml:space="preserve"> </w:t>
      </w:r>
      <w:r>
        <w:t xml:space="preserve">can verify, which provides non-repudiation.</w:t>
      </w:r>
      <w:r>
        <w:t xml:space="preserve"> </w:t>
      </w:r>
      <w:r>
        <w:rPr>
          <w:iCs/>
          <w:i/>
        </w:rPr>
        <w:t xml:space="preserve">(§10.4.5)</w:t>
      </w:r>
    </w:p>
    <w:p>
      <w:pPr>
        <w:pStyle w:val="BodyText"/>
      </w:pPr>
      <w:r>
        <w:rPr>
          <w:bCs/>
          <w:b/>
        </w:rPr>
        <w:t xml:space="preserve">Direct memory access (DMA)</w:t>
      </w:r>
      <w:r>
        <w:t xml:space="preserve"> </w:t>
      </w:r>
      <w:r>
        <w:t xml:space="preserve">— A mechanism that lets a device controller read from or write to main memory directly, without the CPU copying each word; the CPU only sets up the transfer and is told when it finishes.</w:t>
      </w:r>
      <w:r>
        <w:t xml:space="preserve"> </w:t>
      </w:r>
      <w:r>
        <w:rPr>
          <w:iCs/>
          <w:i/>
        </w:rPr>
        <w:t xml:space="preserve">(§5.7.3)</w:t>
      </w:r>
    </w:p>
    <w:p>
      <w:pPr>
        <w:pStyle w:val="BodyText"/>
      </w:pPr>
      <w:r>
        <w:rPr>
          <w:bCs/>
          <w:b/>
        </w:rPr>
        <w:t xml:space="preserve">Direct server return (DSR)</w:t>
      </w:r>
      <w:r>
        <w:t xml:space="preserve"> </w:t>
      </w:r>
      <w:r>
        <w:t xml:space="preserve">— A forwarding mode in which the balancer delivers request packets to the backend but the backend sends responses</w:t>
      </w:r>
      <w:r>
        <w:t xml:space="preserve"> </w:t>
      </w:r>
      <w:r>
        <w:rPr>
          <w:bCs/>
          <w:b/>
        </w:rPr>
        <w:t xml:space="preserve">directly to the client</w:t>
      </w:r>
      <w:r>
        <w:t xml:space="preserve">, using the VIP as its source address, bypassing the balancer on the return path.</w:t>
      </w:r>
      <w:r>
        <w:t xml:space="preserve"> </w:t>
      </w:r>
      <w:r>
        <w:rPr>
          <w:iCs/>
          <w:i/>
        </w:rPr>
        <w:t xml:space="preserve">(§19.3.1)</w:t>
      </w:r>
    </w:p>
    <w:p>
      <w:pPr>
        <w:pStyle w:val="BodyText"/>
      </w:pPr>
      <w:r>
        <w:rPr>
          <w:bCs/>
          <w:b/>
        </w:rPr>
        <w:t xml:space="preserve">Distributed denial of service (DDoS)</w:t>
      </w:r>
      <w:r>
        <w:t xml:space="preserve"> </w:t>
      </w:r>
      <w:r>
        <w:t xml:space="preserve">— An attack that makes a service unavailable by overwhelming some finite resource — network bandwidth, packet-processing capacity, connection-state tables, or application CPU, memory and database capacity — with traffic from many sources at once, typically a</w:t>
      </w:r>
      <w:r>
        <w:t xml:space="preserve"> </w:t>
      </w:r>
      <w:r>
        <w:rPr>
          <w:bCs/>
          <w:b/>
        </w:rPr>
        <w:t xml:space="preserve">botnet</w:t>
      </w:r>
      <w:r>
        <w:t xml:space="preserve"> </w:t>
      </w:r>
      <w:r>
        <w:t xml:space="preserve">of compromised devices or abused open servers.</w:t>
      </w:r>
      <w:r>
        <w:t xml:space="preserve"> </w:t>
      </w:r>
      <w:r>
        <w:rPr>
          <w:iCs/>
          <w:i/>
        </w:rPr>
        <w:t xml:space="preserve">(§10.11)</w:t>
      </w:r>
    </w:p>
    <w:p>
      <w:pPr>
        <w:pStyle w:val="BodyText"/>
      </w:pPr>
      <w:r>
        <w:rPr>
          <w:bCs/>
          <w:b/>
        </w:rPr>
        <w:t xml:space="preserve">Distributed file system</w:t>
      </w:r>
      <w:r>
        <w:t xml:space="preserve"> </w:t>
      </w:r>
      <w:r>
        <w:t xml:space="preserve">— A file system whose namespace and data are spread across many machines, so that files can be larger than any one disk and throughput can grow with the number of machines, while clients still use file-like operations (create, open, read, write or append, delete).</w:t>
      </w:r>
      <w:r>
        <w:t xml:space="preserve"> </w:t>
      </w:r>
      <w:r>
        <w:rPr>
          <w:iCs/>
          <w:i/>
        </w:rPr>
        <w:t xml:space="preserve">(§15.5.1)</w:t>
      </w:r>
    </w:p>
    <w:p>
      <w:pPr>
        <w:pStyle w:val="BodyText"/>
      </w:pPr>
      <w:r>
        <w:rPr>
          <w:bCs/>
          <w:b/>
        </w:rPr>
        <w:t xml:space="preserve">Distributed system</w:t>
      </w:r>
      <w:r>
        <w:t xml:space="preserve"> </w:t>
      </w:r>
      <w:r>
        <w:t xml:space="preserve">— A set of independent computers (</w:t>
      </w:r>
      <w:r>
        <w:rPr>
          <w:bCs/>
          <w:b/>
        </w:rPr>
        <w:t xml:space="preserve">nodes</w:t>
      </w:r>
      <w:r>
        <w:t xml:space="preserve">) that have no shared memory and no shared clock, communicate only by exchanging messages over a network, and cooperate to provide a service. Van Steen and Tanenbaum describe it from the user’s side as</w:t>
      </w:r>
      <w:r>
        <w:t xml:space="preserve"> </w:t>
      </w:r>
      <w:r>
        <w:t xml:space="preserve">“</w:t>
      </w:r>
      <w:r>
        <w:t xml:space="preserve">a collection of autonomous computing elements that appears to its users as a single coherent system</w:t>
      </w:r>
      <w:r>
        <w:t xml:space="preserve">”</w:t>
      </w:r>
      <w:r>
        <w:t xml:space="preserve"> </w:t>
      </w:r>
      <w:r>
        <w:t xml:space="preserve">[van Steen and Tanenbaum 2017].</w:t>
      </w:r>
      <w:r>
        <w:t xml:space="preserve"> </w:t>
      </w:r>
      <w:r>
        <w:rPr>
          <w:iCs/>
          <w:i/>
        </w:rPr>
        <w:t xml:space="preserve">(§24.3.1)</w:t>
      </w:r>
    </w:p>
    <w:p>
      <w:pPr>
        <w:pStyle w:val="BodyText"/>
      </w:pPr>
      <w:r>
        <w:rPr>
          <w:bCs/>
          <w:b/>
        </w:rPr>
        <w:t xml:space="preserve">DNS time to live (TTL)</w:t>
      </w:r>
      <w:r>
        <w:t xml:space="preserve"> </w:t>
      </w:r>
      <w:r>
        <w:t xml:space="preserve">— A per-record value, in seconds, that tells any cache how long it may reuse the record before asking again.</w:t>
      </w:r>
      <w:r>
        <w:t xml:space="preserve"> </w:t>
      </w:r>
      <w:r>
        <w:rPr>
          <w:bCs/>
          <w:b/>
        </w:rPr>
        <w:t xml:space="preserve">Negative caching</w:t>
      </w:r>
      <w:r>
        <w:t xml:space="preserve"> </w:t>
      </w:r>
      <w:r>
        <w:t xml:space="preserve">stores</w:t>
      </w:r>
      <w:r>
        <w:t xml:space="preserve"> </w:t>
      </w:r>
      <w:r>
        <w:t xml:space="preserve">“</w:t>
      </w:r>
      <w:r>
        <w:t xml:space="preserve">this name does not exist</w:t>
      </w:r>
      <w:r>
        <w:t xml:space="preserve">”</w:t>
      </w:r>
      <w:r>
        <w:t xml:space="preserve"> </w:t>
      </w:r>
      <w:r>
        <w:t xml:space="preserve">(NXDOMAIN) answers for a duration derived from the zone’s SOA record [RFC 2308].</w:t>
      </w:r>
      <w:r>
        <w:t xml:space="preserve"> </w:t>
      </w:r>
      <w:r>
        <w:rPr>
          <w:iCs/>
          <w:i/>
        </w:rPr>
        <w:t xml:space="preserve">(§7.6.4)</w:t>
      </w:r>
    </w:p>
    <w:p>
      <w:pPr>
        <w:pStyle w:val="BodyText"/>
      </w:pPr>
      <w:r>
        <w:rPr>
          <w:bCs/>
          <w:b/>
        </w:rPr>
        <w:t xml:space="preserve">Document database</w:t>
      </w:r>
      <w:r>
        <w:t xml:space="preserve"> </w:t>
      </w:r>
      <w:r>
        <w:t xml:space="preserve">— A database that stores self-describing, hierarchical records —</w:t>
      </w:r>
      <w:r>
        <w:t xml:space="preserve"> </w:t>
      </w:r>
      <w:r>
        <w:rPr>
          <w:bCs/>
          <w:b/>
        </w:rPr>
        <w:t xml:space="preserve">documents</w:t>
      </w:r>
      <w:r>
        <w:t xml:space="preserve">, usually JSON or a binary encoding of it such as BSON — grouped into</w:t>
      </w:r>
      <w:r>
        <w:t xml:space="preserve"> </w:t>
      </w:r>
      <w:r>
        <w:rPr>
          <w:bCs/>
          <w:b/>
        </w:rPr>
        <w:t xml:space="preserve">collections</w:t>
      </w:r>
      <w:r>
        <w:t xml:space="preserve">, and that can index and query fields inside the documents, including nested fields and array elements.</w:t>
      </w:r>
      <w:r>
        <w:t xml:space="preserve"> </w:t>
      </w:r>
      <w:r>
        <w:rPr>
          <w:iCs/>
          <w:i/>
        </w:rPr>
        <w:t xml:space="preserve">(§12.5.1)</w:t>
      </w:r>
    </w:p>
    <w:p>
      <w:pPr>
        <w:pStyle w:val="BodyText"/>
      </w:pPr>
      <w:r>
        <w:rPr>
          <w:bCs/>
          <w:b/>
        </w:rPr>
        <w:t xml:space="preserve">Domain Name System (DNS)</w:t>
      </w:r>
      <w:r>
        <w:t xml:space="preserve"> </w:t>
      </w:r>
      <w:r>
        <w:t xml:space="preserve">— A hierarchical, distributed database that maps human-readable</w:t>
      </w:r>
      <w:r>
        <w:t xml:space="preserve"> </w:t>
      </w:r>
      <w:r>
        <w:rPr>
          <w:bCs/>
          <w:b/>
        </w:rPr>
        <w:t xml:space="preserve">domain names</w:t>
      </w:r>
      <w:r>
        <w:t xml:space="preserve"> </w:t>
      </w:r>
      <w:r>
        <w:t xml:space="preserve">(such as</w:t>
      </w:r>
      <w:r>
        <w:t xml:space="preserve"> </w:t>
      </w:r>
      <w:r>
        <w:rPr>
          <w:rStyle w:val="VerbatimChar"/>
        </w:rPr>
        <w:t xml:space="preserve">www.example.com</w:t>
      </w:r>
      <w:r>
        <w:t xml:space="preserve">) to data, most often IP addresses, and the protocol used to query it [RFC 1034; RFC 1035].</w:t>
      </w:r>
      <w:r>
        <w:t xml:space="preserve"> </w:t>
      </w:r>
      <w:r>
        <w:rPr>
          <w:iCs/>
          <w:i/>
        </w:rPr>
        <w:t xml:space="preserve">(§7.6.1)</w:t>
      </w:r>
    </w:p>
    <w:p>
      <w:pPr>
        <w:pStyle w:val="BodyText"/>
      </w:pPr>
      <w:r>
        <w:rPr>
          <w:bCs/>
          <w:b/>
        </w:rPr>
        <w:t xml:space="preserve">DRAM (dynamic random-access memory)</w:t>
      </w:r>
      <w:r>
        <w:t xml:space="preserve"> </w:t>
      </w:r>
      <w:r>
        <w:t xml:space="preserve">— The technology used for main memory. Each bit is stored as charge in a tiny capacitor that leaks and must be</w:t>
      </w:r>
      <w:r>
        <w:t xml:space="preserve"> </w:t>
      </w:r>
      <w:r>
        <w:rPr>
          <w:bCs/>
          <w:b/>
        </w:rPr>
        <w:t xml:space="preserve">refreshed</w:t>
      </w:r>
      <w:r>
        <w:t xml:space="preserve"> </w:t>
      </w:r>
      <w:r>
        <w:t xml:space="preserve">every few tens of milliseconds. DRAM is</w:t>
      </w:r>
      <w:r>
        <w:t xml:space="preserve"> </w:t>
      </w:r>
      <w:r>
        <w:rPr>
          <w:bCs/>
          <w:b/>
        </w:rPr>
        <w:t xml:space="preserve">volatile</w:t>
      </w:r>
      <w:r>
        <w:t xml:space="preserve">: its contents are lost when power is removed.</w:t>
      </w:r>
      <w:r>
        <w:t xml:space="preserve"> </w:t>
      </w:r>
      <w:r>
        <w:rPr>
          <w:iCs/>
          <w:i/>
        </w:rPr>
        <w:t xml:space="preserve">(§5.5.1)</w:t>
      </w:r>
    </w:p>
    <w:p>
      <w:pPr>
        <w:pStyle w:val="BodyText"/>
      </w:pPr>
      <w:r>
        <w:rPr>
          <w:bCs/>
          <w:b/>
        </w:rPr>
        <w:t xml:space="preserve">Durability</w:t>
      </w:r>
      <w:r>
        <w:t xml:space="preserve"> </w:t>
      </w:r>
      <w:r>
        <w:t xml:space="preserve">— The probability that data, once acknowledged as written, is not lost over a given period (usually a year). It is quoted in nines like availability:</w:t>
      </w:r>
      <w:r>
        <w:t xml:space="preserve"> </w:t>
      </w:r>
      <w:r>
        <w:t xml:space="preserve">“</w:t>
      </w:r>
      <w:r>
        <w:t xml:space="preserve">eleven nines of durability</w:t>
      </w:r>
      <w:r>
        <w:t xml:space="preserve">”</w:t>
      </w:r>
      <w:r>
        <w:t xml:space="preserve"> </w:t>
      </w:r>
      <w:r>
        <w:t xml:space="preserve">means an annual loss probability of</w:t>
      </w:r>
      <w:r>
        <w:t xml:space="preserve"> </w:t>
      </w:r>
      <m:oMath>
        <m:sSup>
          <m:e>
            <m:r>
              <m:t>10</m:t>
            </m:r>
          </m:e>
          <m:sup>
            <m:r>
              <m:rPr>
                <m:sty m:val="p"/>
              </m:rPr>
              <m:t>−</m:t>
            </m:r>
            <m:r>
              <m:t>11</m:t>
            </m:r>
          </m:sup>
        </m:sSup>
      </m:oMath>
      <w:r>
        <w:t xml:space="preserve"> </w:t>
      </w:r>
      <w:r>
        <w:t xml:space="preserve">per object.</w:t>
      </w:r>
      <w:r>
        <w:t xml:space="preserve"> </w:t>
      </w:r>
      <w:r>
        <w:rPr>
          <w:iCs/>
          <w:i/>
        </w:rPr>
        <w:t xml:space="preserve">(§4.16.1)</w:t>
      </w:r>
    </w:p>
    <w:p>
      <w:pPr>
        <w:pStyle w:val="BodyText"/>
      </w:pPr>
      <w:r>
        <w:rPr>
          <w:bCs/>
          <w:b/>
        </w:rPr>
        <w:t xml:space="preserve">Dynamic site acceleration (DSA)</w:t>
      </w:r>
      <w:r>
        <w:t xml:space="preserve"> </w:t>
      </w:r>
      <w:r>
        <w:t xml:space="preserve">— Routing uncacheable requests through the CDN anyway, so that TCP and TLS terminate near the user and the edge forwards each request to the origin over pre-established, tuned, long-lived connections, sometimes along an overlay path chosen from measurements.</w:t>
      </w:r>
      <w:r>
        <w:t xml:space="preserve"> </w:t>
      </w:r>
      <w:r>
        <w:rPr>
          <w:iCs/>
          <w:i/>
        </w:rPr>
        <w:t xml:space="preserve">(§21.7.2)</w:t>
      </w:r>
    </w:p>
    <w:bookmarkEnd w:id="3355"/>
    <w:bookmarkStart w:id="3356" w:name="e"/>
    <w:p>
      <w:pPr>
        <w:pStyle w:val="Heading2"/>
      </w:pPr>
      <w:r>
        <w:t xml:space="preserve">E</w:t>
      </w:r>
    </w:p>
    <w:p>
      <w:pPr>
        <w:pStyle w:val="FirstParagraph"/>
      </w:pPr>
      <w:r>
        <w:rPr>
          <w:bCs/>
          <w:b/>
        </w:rPr>
        <w:t xml:space="preserve">Elasticsearch cluster</w:t>
      </w:r>
      <w:r>
        <w:t xml:space="preserve"> </w:t>
      </w:r>
      <w:r>
        <w:t xml:space="preserve">— A set of nodes that share one cluster state (index definitions, mappings and the location of every shard copy). An</w:t>
      </w:r>
      <w:r>
        <w:t xml:space="preserve"> </w:t>
      </w:r>
      <w:r>
        <w:rPr>
          <w:bCs/>
          <w:b/>
        </w:rPr>
        <w:t xml:space="preserve">index</w:t>
      </w:r>
      <w:r>
        <w:t xml:space="preserve"> </w:t>
      </w:r>
      <w:r>
        <w:t xml:space="preserve">is a logical collection of documents divided into</w:t>
      </w:r>
      <w:r>
        <w:t xml:space="preserve"> </w:t>
      </w:r>
      <w:r>
        <w:rPr>
          <w:bCs/>
          <w:b/>
        </w:rPr>
        <w:t xml:space="preserve">primary shards</w:t>
      </w:r>
      <w:r>
        <w:t xml:space="preserve">; each primary has zero or more</w:t>
      </w:r>
      <w:r>
        <w:t xml:space="preserve"> </w:t>
      </w:r>
      <w:r>
        <w:rPr>
          <w:bCs/>
          <w:b/>
        </w:rPr>
        <w:t xml:space="preserve">replica shards</w:t>
      </w:r>
      <w:r>
        <w:t xml:space="preserve">; every shard is one Lucene index.</w:t>
      </w:r>
      <w:r>
        <w:t xml:space="preserve"> </w:t>
      </w:r>
      <w:r>
        <w:rPr>
          <w:iCs/>
          <w:i/>
        </w:rPr>
        <w:t xml:space="preserve">(§16.8.1)</w:t>
      </w:r>
    </w:p>
    <w:p>
      <w:pPr>
        <w:pStyle w:val="BodyText"/>
      </w:pPr>
      <w:r>
        <w:rPr>
          <w:bCs/>
          <w:b/>
        </w:rPr>
        <w:t xml:space="preserve">Encapsulation</w:t>
      </w:r>
      <w:r>
        <w:t xml:space="preserve"> </w:t>
      </w:r>
      <w:r>
        <w:t xml:space="preserve">— The process by which each layer of the stack prepends its own header (and sometimes appends a trailer) to the data unit handed down by the layer above, treating that data unit as an opaque payload.</w:t>
      </w:r>
      <w:r>
        <w:t xml:space="preserve"> </w:t>
      </w:r>
      <w:r>
        <w:rPr>
          <w:bCs/>
          <w:b/>
        </w:rPr>
        <w:t xml:space="preserve">Decapsulation</w:t>
      </w:r>
      <w:r>
        <w:t xml:space="preserve"> </w:t>
      </w:r>
      <w:r>
        <w:t xml:space="preserve">is the reverse at the receiver.</w:t>
      </w:r>
      <w:r>
        <w:t xml:space="preserve"> </w:t>
      </w:r>
      <w:r>
        <w:rPr>
          <w:iCs/>
          <w:i/>
        </w:rPr>
        <w:t xml:space="preserve">(§7.3.1)</w:t>
      </w:r>
    </w:p>
    <w:p>
      <w:pPr>
        <w:pStyle w:val="BodyText"/>
      </w:pPr>
      <w:r>
        <w:rPr>
          <w:bCs/>
          <w:b/>
        </w:rPr>
        <w:t xml:space="preserve">Envelope encryption</w:t>
      </w:r>
      <w:r>
        <w:t xml:space="preserve"> </w:t>
      </w:r>
      <w:r>
        <w:t xml:space="preserve">— Encrypting data with a</w:t>
      </w:r>
      <w:r>
        <w:t xml:space="preserve"> </w:t>
      </w:r>
      <w:r>
        <w:rPr>
          <w:bCs/>
          <w:b/>
        </w:rPr>
        <w:t xml:space="preserve">data-encryption key (DEK)</w:t>
      </w:r>
      <w:r>
        <w:t xml:space="preserve"> </w:t>
      </w:r>
      <w:r>
        <w:t xml:space="preserve">generated for that data, then encrypting (</w:t>
      </w:r>
      <w:r>
        <w:t xml:space="preserve">“</w:t>
      </w:r>
      <w:r>
        <w:t xml:space="preserve">wrapping</w:t>
      </w:r>
      <w:r>
        <w:t xml:space="preserve">”</w:t>
      </w:r>
      <w:r>
        <w:t xml:space="preserve">) the DEK with a KEK held in a KMS, and storing the wrapped DEK alongside the ciphertext [AWS Docs: KMS concepts].</w:t>
      </w:r>
      <w:r>
        <w:t xml:space="preserve"> </w:t>
      </w:r>
      <w:r>
        <w:rPr>
          <w:iCs/>
          <w:i/>
        </w:rPr>
        <w:t xml:space="preserve">(§10.9.2)</w:t>
      </w:r>
    </w:p>
    <w:p>
      <w:pPr>
        <w:pStyle w:val="BodyText"/>
      </w:pPr>
      <w:r>
        <w:rPr>
          <w:bCs/>
          <w:b/>
        </w:rPr>
        <w:t xml:space="preserve">Erasure code and RS(k, m)</w:t>
      </w:r>
      <w:r>
        <w:t xml:space="preserve"> </w:t>
      </w:r>
      <w:r>
        <w:t xml:space="preserve">— An</w:t>
      </w:r>
      <w:r>
        <w:t xml:space="preserve"> </w:t>
      </w:r>
      <w:r>
        <w:rPr>
          <w:bCs/>
          <w:b/>
        </w:rPr>
        <w:t xml:space="preserve">erasure code</w:t>
      </w:r>
      <w:r>
        <w:t xml:space="preserve"> </w:t>
      </w:r>
      <w:r>
        <w:t xml:space="preserve">transforms</w:t>
      </w:r>
      <w:r>
        <w:t xml:space="preserve"> </w:t>
      </w:r>
      <m:oMath>
        <m:r>
          <m:t>k</m:t>
        </m:r>
      </m:oMath>
      <w:r>
        <w:t xml:space="preserve"> </w:t>
      </w:r>
      <w:r>
        <w:t xml:space="preserve">data fragments into</w:t>
      </w:r>
      <w:r>
        <w:t xml:space="preserve"> </w:t>
      </w:r>
      <m:oMath>
        <m:r>
          <m:t>k</m:t>
        </m:r>
        <m:r>
          <m:rPr>
            <m:sty m:val="p"/>
          </m:rPr>
          <m:t>+</m:t>
        </m:r>
        <m:r>
          <m:t>m</m:t>
        </m:r>
      </m:oMath>
      <w:r>
        <w:t xml:space="preserve"> </w:t>
      </w:r>
      <w:r>
        <w:t xml:space="preserve">fragments such that the original data can be rebuilt from some subset of them after the others are lost (</w:t>
      </w:r>
      <w:r>
        <w:t xml:space="preserve">“</w:t>
      </w:r>
      <w:r>
        <w:t xml:space="preserve">erased</w:t>
      </w:r>
      <w:r>
        <w:t xml:space="preserve">”</w:t>
      </w:r>
      <w:r>
        <w:t xml:space="preserve">). A</w:t>
      </w:r>
      <w:r>
        <w:t xml:space="preserve"> </w:t>
      </w:r>
      <w:r>
        <w:rPr>
          <w:bCs/>
          <w:b/>
        </w:rPr>
        <w:t xml:space="preserve">Reed–Solomon</w:t>
      </w:r>
      <w:r>
        <w:t xml:space="preserve"> </w:t>
      </w:r>
      <w:r>
        <w:t xml:space="preserve">code RS(</w:t>
      </w:r>
      <m:oMath>
        <m:r>
          <m:t>k</m:t>
        </m:r>
      </m:oMath>
      <w:r>
        <w:t xml:space="preserve">,</w:t>
      </w:r>
      <w:r>
        <w:t xml:space="preserve"> </w:t>
      </w:r>
      <m:oMath>
        <m:r>
          <m:t>m</m:t>
        </m:r>
      </m:oMath>
      <w:r>
        <w:t xml:space="preserve">) is a</w:t>
      </w:r>
      <w:r>
        <w:t xml:space="preserve"> </w:t>
      </w:r>
      <w:r>
        <w:rPr>
          <w:bCs/>
          <w:b/>
        </w:rPr>
        <w:t xml:space="preserve">maximum distance separable (MDS)</w:t>
      </w:r>
      <w:r>
        <w:t xml:space="preserve"> </w:t>
      </w:r>
      <w:r>
        <w:t xml:space="preserve">code:</w:t>
      </w:r>
      <w:r>
        <w:t xml:space="preserve"> </w:t>
      </w:r>
      <w:r>
        <w:rPr>
          <w:iCs/>
          <w:i/>
        </w:rPr>
        <w:t xml:space="preserve">any</w:t>
      </w:r>
      <w:r>
        <w:t xml:space="preserve"> </w:t>
      </w:r>
      <m:oMath>
        <m:r>
          <m:t>k</m:t>
        </m:r>
      </m:oMath>
      <w:r>
        <w:t xml:space="preserve"> </w:t>
      </w:r>
      <w:r>
        <w:t xml:space="preserve">of the</w:t>
      </w:r>
      <w:r>
        <w:t xml:space="preserve"> </w:t>
      </w:r>
      <m:oMath>
        <m:r>
          <m:t>k</m:t>
        </m:r>
        <m:r>
          <m:rPr>
            <m:sty m:val="p"/>
          </m:rPr>
          <m:t>+</m:t>
        </m:r>
        <m:r>
          <m:t>m</m:t>
        </m:r>
      </m:oMath>
      <w:r>
        <w:t xml:space="preserve"> </w:t>
      </w:r>
      <w:r>
        <w:t xml:space="preserve">fragments suffice, so it tolerates the loss of any</w:t>
      </w:r>
      <w:r>
        <w:t xml:space="preserve"> </w:t>
      </w:r>
      <m:oMath>
        <m:r>
          <m:t>m</m:t>
        </m:r>
      </m:oMath>
      <w:r>
        <w:t xml:space="preserve"> </w:t>
      </w:r>
      <w:r>
        <w:t xml:space="preserve">fragments. A code is</w:t>
      </w:r>
      <w:r>
        <w:t xml:space="preserve"> </w:t>
      </w:r>
      <w:r>
        <w:rPr>
          <w:bCs/>
          <w:b/>
        </w:rPr>
        <w:t xml:space="preserve">systematic</w:t>
      </w:r>
      <w:r>
        <w:t xml:space="preserve"> </w:t>
      </w:r>
      <w:r>
        <w:t xml:space="preserve">when the first</w:t>
      </w:r>
      <w:r>
        <w:t xml:space="preserve"> </w:t>
      </w:r>
      <m:oMath>
        <m:r>
          <m:t>k</m:t>
        </m:r>
      </m:oMath>
      <w:r>
        <w:t xml:space="preserve"> </w:t>
      </w:r>
      <w:r>
        <w:t xml:space="preserve">fragments are the unmodified data, so healthy reads need no decoding.</w:t>
      </w:r>
      <w:r>
        <w:t xml:space="preserve"> </w:t>
      </w:r>
      <w:r>
        <w:rPr>
          <w:iCs/>
          <w:i/>
        </w:rPr>
        <w:t xml:space="preserve">(§15.6.1)</w:t>
      </w:r>
    </w:p>
    <w:p>
      <w:pPr>
        <w:pStyle w:val="BodyText"/>
      </w:pPr>
      <w:r>
        <w:rPr>
          <w:bCs/>
          <w:b/>
        </w:rPr>
        <w:t xml:space="preserve">Event loop</w:t>
      </w:r>
      <w:r>
        <w:t xml:space="preserve"> </w:t>
      </w:r>
      <w:r>
        <w:t xml:space="preserve">— A single thread that repeatedly waits for events (ready sockets, expired timers, completed tasks) using an I/O multiplexing call, and dispatches each event to a short, non-blocking handler.</w:t>
      </w:r>
      <w:r>
        <w:t xml:space="preserve"> </w:t>
      </w:r>
      <w:r>
        <w:rPr>
          <w:iCs/>
          <w:i/>
        </w:rPr>
        <w:t xml:space="preserve">(§6.13.4)</w:t>
      </w:r>
    </w:p>
    <w:p>
      <w:pPr>
        <w:pStyle w:val="BodyText"/>
      </w:pPr>
      <w:r>
        <w:rPr>
          <w:bCs/>
          <w:b/>
        </w:rPr>
        <w:t xml:space="preserve">Eventual consistency</w:t>
      </w:r>
      <w:r>
        <w:t xml:space="preserve"> </w:t>
      </w:r>
      <w:r>
        <w:t xml:space="preserve">— If no new updates are made to an object, eventually all reads return the last updated value [Vogels 2009]. Equivalently, replicas that have received the same set of updates</w:t>
      </w:r>
      <w:r>
        <w:t xml:space="preserve"> </w:t>
      </w:r>
      <w:r>
        <w:rPr>
          <w:bCs/>
          <w:b/>
        </w:rPr>
        <w:t xml:space="preserve">converge</w:t>
      </w:r>
      <w:r>
        <w:t xml:space="preserve"> </w:t>
      </w:r>
      <w:r>
        <w:t xml:space="preserve">to the same state.</w:t>
      </w:r>
      <w:r>
        <w:t xml:space="preserve"> </w:t>
      </w:r>
      <w:r>
        <w:rPr>
          <w:bCs/>
          <w:b/>
        </w:rPr>
        <w:t xml:space="preserve">Strong eventual consistency</w:t>
      </w:r>
      <w:r>
        <w:t xml:space="preserve"> </w:t>
      </w:r>
      <w:r>
        <w:t xml:space="preserve">strengthens this: replicas that have received the same updates are in the same state immediately, with no further coordination, which is what conflict-free replicated data types (CRDTs) guarantee (§27.14).</w:t>
      </w:r>
      <w:r>
        <w:t xml:space="preserve"> </w:t>
      </w:r>
      <w:r>
        <w:rPr>
          <w:iCs/>
          <w:i/>
        </w:rPr>
        <w:t xml:space="preserve">(§25.7.1)</w:t>
      </w:r>
    </w:p>
    <w:p>
      <w:pPr>
        <w:pStyle w:val="BodyText"/>
      </w:pPr>
      <w:r>
        <w:rPr>
          <w:bCs/>
          <w:b/>
        </w:rPr>
        <w:t xml:space="preserve">Expected value</w:t>
      </w:r>
      <w:r>
        <w:t xml:space="preserve"> </w:t>
      </w:r>
      <w:r>
        <w:t xml:space="preserve">— The probability-weighted average outcome of a random quantity</w:t>
      </w:r>
      <w:r>
        <w:t xml:space="preserve"> </w:t>
      </w:r>
      <m:oMath>
        <m:r>
          <m:t>X</m:t>
        </m:r>
      </m:oMath>
      <w:r>
        <w:t xml:space="preserve">:</w:t>
      </w:r>
      <w:r>
        <w:t xml:space="preserve"> </w:t>
      </w:r>
      <m:oMath>
        <m:r>
          <m:t>E</m:t>
        </m:r>
        <m:d>
          <m:dPr>
            <m:begChr m:val="["/>
            <m:endChr m:val="]"/>
            <m:sepChr m:val=""/>
            <m:grow/>
          </m:dPr>
          <m:e>
            <m:r>
              <m:t>X</m:t>
            </m:r>
          </m:e>
        </m:d>
        <m:r>
          <m:rPr>
            <m:sty m:val="p"/>
          </m:rPr>
          <m:t>=</m:t>
        </m:r>
        <m:nary>
          <m:naryPr>
            <m:chr m:val="∑"/>
            <m:limLoc m:val="undOvr"/>
            <m:subHide m:val="off"/>
            <m:supHide m:val="on"/>
          </m:naryPr>
          <m:sub>
            <m:r>
              <m:t>i</m:t>
            </m:r>
          </m:sub>
          <m:sup>
            <m:r>
              <m:t>​</m:t>
            </m:r>
          </m:sup>
          <m:e>
            <m:sSub>
              <m:e>
                <m:r>
                  <m:t>x</m:t>
                </m:r>
              </m:e>
              <m:sub>
                <m:r>
                  <m:t>i</m:t>
                </m:r>
              </m:sub>
            </m:sSub>
          </m:e>
        </m:nary>
        <m:r>
          <m:t> </m:t>
        </m:r>
        <m:r>
          <m:t>P</m:t>
        </m:r>
        <m:d>
          <m:dPr>
            <m:begChr m:val="("/>
            <m:endChr m:val=")"/>
            <m:sepChr m:val=""/>
            <m:grow/>
          </m:dPr>
          <m:e>
            <m:r>
              <m:t>X</m:t>
            </m:r>
            <m:r>
              <m:rPr>
                <m:sty m:val="p"/>
              </m:rPr>
              <m:t>=</m:t>
            </m:r>
            <m:sSub>
              <m:e>
                <m:r>
                  <m:t>x</m:t>
                </m:r>
              </m:e>
              <m:sub>
                <m:r>
                  <m:t>i</m:t>
                </m:r>
              </m:sub>
            </m:sSub>
          </m:e>
        </m:d>
      </m:oMath>
      <w:r>
        <w:t xml:space="preserve">. It is the long-run average over many repetitions.</w:t>
      </w:r>
      <w:r>
        <w:t xml:space="preserve"> </w:t>
      </w:r>
      <w:r>
        <w:rPr>
          <w:iCs/>
          <w:i/>
        </w:rPr>
        <w:t xml:space="preserve">(§4.6.3)</w:t>
      </w:r>
    </w:p>
    <w:p>
      <w:pPr>
        <w:pStyle w:val="BodyText"/>
      </w:pPr>
      <w:r>
        <w:rPr>
          <w:bCs/>
          <w:b/>
        </w:rPr>
        <w:t xml:space="preserve">Exponent</w:t>
      </w:r>
      <w:r>
        <w:t xml:space="preserve"> </w:t>
      </w:r>
      <w:r>
        <w:t xml:space="preserve">— In</w:t>
      </w:r>
      <w:r>
        <w:t xml:space="preserve"> </w:t>
      </w:r>
      <m:oMath>
        <m:sSup>
          <m:e>
            <m:r>
              <m:t>b</m:t>
            </m:r>
          </m:e>
          <m:sup>
            <m:r>
              <m:t>n</m:t>
            </m:r>
          </m:sup>
        </m:sSup>
      </m:oMath>
      <w:r>
        <w:t xml:space="preserve">, the</w:t>
      </w:r>
      <w:r>
        <w:t xml:space="preserve"> </w:t>
      </w:r>
      <w:r>
        <w:rPr>
          <w:bCs/>
          <w:b/>
        </w:rPr>
        <w:t xml:space="preserve">base</w:t>
      </w:r>
      <w:r>
        <w:t xml:space="preserve"> </w:t>
      </w:r>
      <m:oMath>
        <m:r>
          <m:t>b</m:t>
        </m:r>
      </m:oMath>
      <w:r>
        <w:t xml:space="preserve"> </w:t>
      </w:r>
      <w:r>
        <w:t xml:space="preserve">is multiplied by itself</w:t>
      </w:r>
      <w:r>
        <w:t xml:space="preserve"> </w:t>
      </w:r>
      <m:oMath>
        <m:r>
          <m:t>n</m:t>
        </m:r>
      </m:oMath>
      <w:r>
        <w:t xml:space="preserve"> </w:t>
      </w:r>
      <w:r>
        <w:t xml:space="preserve">times;</w:t>
      </w:r>
      <w:r>
        <w:t xml:space="preserve"> </w:t>
      </w:r>
      <m:oMath>
        <m:r>
          <m:t>n</m:t>
        </m:r>
      </m:oMath>
      <w:r>
        <w:t xml:space="preserve"> </w:t>
      </w:r>
      <w:r>
        <w:t xml:space="preserve">is the</w:t>
      </w:r>
      <w:r>
        <w:t xml:space="preserve"> </w:t>
      </w:r>
      <w:r>
        <w:rPr>
          <w:bCs/>
          <w:b/>
        </w:rPr>
        <w:t xml:space="preserve">exponent</w:t>
      </w:r>
      <w:r>
        <w:t xml:space="preserve"> </w:t>
      </w:r>
      <w:r>
        <w:t xml:space="preserve">(or power). By convention</w:t>
      </w:r>
      <w:r>
        <w:t xml:space="preserve"> </w:t>
      </w:r>
      <m:oMath>
        <m:sSup>
          <m:e>
            <m:r>
              <m:t>b</m:t>
            </m:r>
          </m:e>
          <m:sup>
            <m:r>
              <m:t>0</m:t>
            </m:r>
          </m:sup>
        </m:sSup>
        <m:r>
          <m:rPr>
            <m:sty m:val="p"/>
          </m:rPr>
          <m:t>=</m:t>
        </m:r>
        <m:r>
          <m:t>1</m:t>
        </m:r>
      </m:oMath>
      <w:r>
        <w:t xml:space="preserve"> </w:t>
      </w:r>
      <w:r>
        <w:t xml:space="preserve">and</w:t>
      </w:r>
      <w:r>
        <w:t xml:space="preserve"> </w:t>
      </w:r>
      <m:oMath>
        <m:sSup>
          <m:e>
            <m:r>
              <m:t>b</m:t>
            </m:r>
          </m:e>
          <m:sup>
            <m:r>
              <m:rPr>
                <m:sty m:val="p"/>
              </m:rPr>
              <m:t>−</m:t>
            </m:r>
            <m:r>
              <m:t>n</m:t>
            </m:r>
          </m:sup>
        </m:sSup>
        <m:r>
          <m:rPr>
            <m:sty m:val="p"/>
          </m:rPr>
          <m:t>=</m:t>
        </m:r>
        <m:r>
          <m:t>1</m:t>
        </m:r>
        <m:r>
          <m:rPr>
            <m:sty m:val="p"/>
          </m:rPr>
          <m:t>/</m:t>
        </m:r>
        <m:sSup>
          <m:e>
            <m:r>
              <m:t>b</m:t>
            </m:r>
          </m:e>
          <m:sup>
            <m:r>
              <m:t>n</m:t>
            </m:r>
          </m:sup>
        </m:sSup>
      </m:oMath>
      <w:r>
        <w:t xml:space="preserve">.</w:t>
      </w:r>
      <w:r>
        <w:t xml:space="preserve"> </w:t>
      </w:r>
      <w:r>
        <w:rPr>
          <w:iCs/>
          <w:i/>
        </w:rPr>
        <w:t xml:space="preserve">(§4.3.1)</w:t>
      </w:r>
    </w:p>
    <w:p>
      <w:pPr>
        <w:pStyle w:val="BodyText"/>
      </w:pPr>
      <w:r>
        <w:rPr>
          <w:bCs/>
          <w:b/>
        </w:rPr>
        <w:t xml:space="preserve">External consistency</w:t>
      </w:r>
      <w:r>
        <w:t xml:space="preserve"> </w:t>
      </w:r>
      <w:r>
        <w:t xml:space="preserve">— If transaction</w:t>
      </w:r>
      <w:r>
        <w:t xml:space="preserve"> </w:t>
      </w:r>
      <m:oMath>
        <m:sSub>
          <m:e>
            <m:r>
              <m:t>T</m:t>
            </m:r>
          </m:e>
          <m:sub>
            <m:r>
              <m:t>1</m:t>
            </m:r>
          </m:sub>
        </m:sSub>
      </m:oMath>
      <w:r>
        <w:t xml:space="preserve"> </w:t>
      </w:r>
      <w:r>
        <w:t xml:space="preserve">commits before</w:t>
      </w:r>
      <w:r>
        <w:t xml:space="preserve"> </w:t>
      </w:r>
      <m:oMath>
        <m:sSub>
          <m:e>
            <m:r>
              <m:t>T</m:t>
            </m:r>
          </m:e>
          <m:sub>
            <m:r>
              <m:t>2</m:t>
            </m:r>
          </m:sub>
        </m:sSub>
      </m:oMath>
      <w:r>
        <w:t xml:space="preserve"> </w:t>
      </w:r>
      <w:r>
        <w:t xml:space="preserve">starts, in absolute (wall-clock) time, then</w:t>
      </w:r>
      <w:r>
        <w:t xml:space="preserve"> </w:t>
      </w:r>
      <m:oMath>
        <m:sSub>
          <m:e>
            <m:r>
              <m:t>T</m:t>
            </m:r>
          </m:e>
          <m:sub>
            <m:r>
              <m:t>1</m:t>
            </m:r>
          </m:sub>
        </m:sSub>
      </m:oMath>
      <w:r>
        <w:t xml:space="preserve">’s commit timestamp is smaller than</w:t>
      </w:r>
      <w:r>
        <w:t xml:space="preserve"> </w:t>
      </w:r>
      <m:oMath>
        <m:sSub>
          <m:e>
            <m:r>
              <m:t>T</m:t>
            </m:r>
          </m:e>
          <m:sub>
            <m:r>
              <m:t>2</m:t>
            </m:r>
          </m:sub>
        </m:sSub>
      </m:oMath>
      <w:r>
        <w:t xml:space="preserve">’s. Combined with serializability, this is</w:t>
      </w:r>
      <w:r>
        <w:t xml:space="preserve"> </w:t>
      </w:r>
      <w:r>
        <w:rPr>
          <w:bCs/>
          <w:b/>
        </w:rPr>
        <w:t xml:space="preserve">strict serializability</w:t>
      </w:r>
      <w:r>
        <w:t xml:space="preserve">: the serial order respects real-time order, as linearizability does for single objects (§25.3).</w:t>
      </w:r>
      <w:r>
        <w:t xml:space="preserve"> </w:t>
      </w:r>
      <w:r>
        <w:rPr>
          <w:iCs/>
          <w:i/>
        </w:rPr>
        <w:t xml:space="preserve">(§28.8.3)</w:t>
      </w:r>
    </w:p>
    <w:bookmarkEnd w:id="3356"/>
    <w:bookmarkStart w:id="3357" w:name="f"/>
    <w:p>
      <w:pPr>
        <w:pStyle w:val="Heading2"/>
      </w:pPr>
      <w:r>
        <w:t xml:space="preserve">F</w:t>
      </w:r>
    </w:p>
    <w:p>
      <w:pPr>
        <w:pStyle w:val="FirstParagraph"/>
      </w:pPr>
      <w:r>
        <w:rPr>
          <w:bCs/>
          <w:b/>
        </w:rPr>
        <w:t xml:space="preserve">Failover</w:t>
      </w:r>
      <w:r>
        <w:t xml:space="preserve"> </w:t>
      </w:r>
      <w:r>
        <w:t xml:space="preserve">— The sequence that replaces a failed node in a role:</w:t>
      </w:r>
      <w:r>
        <w:t xml:space="preserve"> </w:t>
      </w:r>
      <w:r>
        <w:rPr>
          <w:bCs/>
          <w:b/>
        </w:rPr>
        <w:t xml:space="preserve">detection</w:t>
      </w:r>
      <w:r>
        <w:t xml:space="preserve">,</w:t>
      </w:r>
      <w:r>
        <w:t xml:space="preserve"> </w:t>
      </w:r>
      <w:r>
        <w:rPr>
          <w:bCs/>
          <w:b/>
        </w:rPr>
        <w:t xml:space="preserve">election</w:t>
      </w:r>
      <w:r>
        <w:t xml:space="preserve"> </w:t>
      </w:r>
      <w:r>
        <w:t xml:space="preserve">of a replacement,</w:t>
      </w:r>
      <w:r>
        <w:t xml:space="preserve"> </w:t>
      </w:r>
      <w:r>
        <w:rPr>
          <w:bCs/>
          <w:b/>
        </w:rPr>
        <w:t xml:space="preserve">reconfiguration</w:t>
      </w:r>
      <w:r>
        <w:t xml:space="preserve"> </w:t>
      </w:r>
      <w:r>
        <w:t xml:space="preserve">(making the replacement consistent and fencing the old node) and</w:t>
      </w:r>
      <w:r>
        <w:t xml:space="preserve"> </w:t>
      </w:r>
      <w:r>
        <w:rPr>
          <w:bCs/>
          <w:b/>
        </w:rPr>
        <w:t xml:space="preserve">client redirection</w:t>
      </w:r>
      <w:r>
        <w:t xml:space="preserve">.</w:t>
      </w:r>
      <w:r>
        <w:t xml:space="preserve"> </w:t>
      </w:r>
      <w:r>
        <w:rPr>
          <w:iCs/>
          <w:i/>
        </w:rPr>
        <w:t xml:space="preserve">(§27.11.1)</w:t>
      </w:r>
    </w:p>
    <w:p>
      <w:pPr>
        <w:pStyle w:val="BodyText"/>
      </w:pPr>
      <w:r>
        <w:rPr>
          <w:bCs/>
          <w:b/>
        </w:rPr>
        <w:t xml:space="preserve">Failure detector</w:t>
      </w:r>
      <w:r>
        <w:t xml:space="preserve"> </w:t>
      </w:r>
      <w:r>
        <w:t xml:space="preserve">— A component that outputs, for each monitored process, whether it currently</w:t>
      </w:r>
      <w:r>
        <w:t xml:space="preserve"> </w:t>
      </w:r>
      <w:r>
        <w:rPr>
          <w:bCs/>
          <w:b/>
        </w:rPr>
        <w:t xml:space="preserve">suspects</w:t>
      </w:r>
      <w:r>
        <w:t xml:space="preserve"> </w:t>
      </w:r>
      <w:r>
        <w:t xml:space="preserve">that process has crashed. It is</w:t>
      </w:r>
      <w:r>
        <w:t xml:space="preserve"> </w:t>
      </w:r>
      <w:r>
        <w:rPr>
          <w:bCs/>
          <w:b/>
        </w:rPr>
        <w:t xml:space="preserve">complete</w:t>
      </w:r>
      <w:r>
        <w:t xml:space="preserve"> </w:t>
      </w:r>
      <w:r>
        <w:t xml:space="preserve">if every crashed process is eventually suspected and</w:t>
      </w:r>
      <w:r>
        <w:t xml:space="preserve"> </w:t>
      </w:r>
      <w:r>
        <w:rPr>
          <w:bCs/>
          <w:b/>
        </w:rPr>
        <w:t xml:space="preserve">accurate</w:t>
      </w:r>
      <w:r>
        <w:t xml:space="preserve"> </w:t>
      </w:r>
      <w:r>
        <w:t xml:space="preserve">if live processes are not suspected. In an asynchronous network no detector can be both perfectly complete and perfectly accurate, because a slow process is indistinguishable from a dead one [Chandra and Toueg 1996].</w:t>
      </w:r>
      <w:r>
        <w:t xml:space="preserve"> </w:t>
      </w:r>
      <w:r>
        <w:rPr>
          <w:iCs/>
          <w:i/>
        </w:rPr>
        <w:t xml:space="preserve">(§27.10.1)</w:t>
      </w:r>
    </w:p>
    <w:p>
      <w:pPr>
        <w:pStyle w:val="BodyText"/>
      </w:pPr>
      <w:r>
        <w:rPr>
          <w:bCs/>
          <w:b/>
        </w:rPr>
        <w:t xml:space="preserve">False sharing</w:t>
      </w:r>
      <w:r>
        <w:t xml:space="preserve"> </w:t>
      </w:r>
      <w:r>
        <w:t xml:space="preserve">— A performance problem in which threads on different cores write to</w:t>
      </w:r>
      <w:r>
        <w:t xml:space="preserve"> </w:t>
      </w:r>
      <w:r>
        <w:rPr>
          <w:iCs/>
          <w:i/>
        </w:rPr>
        <w:t xml:space="preserve">different</w:t>
      </w:r>
      <w:r>
        <w:t xml:space="preserve"> </w:t>
      </w:r>
      <w:r>
        <w:t xml:space="preserve">variables that happen to sit in the</w:t>
      </w:r>
      <w:r>
        <w:t xml:space="preserve"> </w:t>
      </w:r>
      <w:r>
        <w:rPr>
          <w:iCs/>
          <w:i/>
        </w:rPr>
        <w:t xml:space="preserve">same</w:t>
      </w:r>
      <w:r>
        <w:t xml:space="preserve"> </w:t>
      </w:r>
      <w:r>
        <w:t xml:space="preserve">cache line, so the coherence protocol bounces the line between cores as if they were sharing data.</w:t>
      </w:r>
      <w:r>
        <w:t xml:space="preserve"> </w:t>
      </w:r>
      <w:r>
        <w:rPr>
          <w:iCs/>
          <w:i/>
        </w:rPr>
        <w:t xml:space="preserve">(§5.4.7)</w:t>
      </w:r>
    </w:p>
    <w:p>
      <w:pPr>
        <w:pStyle w:val="BodyText"/>
      </w:pPr>
      <w:r>
        <w:rPr>
          <w:bCs/>
          <w:b/>
        </w:rPr>
        <w:t xml:space="preserve">Fencing token</w:t>
      </w:r>
      <w:r>
        <w:t xml:space="preserve"> </w:t>
      </w:r>
      <w:r>
        <w:t xml:space="preserve">— A number, increasing with every grant of a lock or lease, that the holder attaches to every request to the protected resource. The resource remembers the highest token it has accepted and rejects any request carrying a lower one.</w:t>
      </w:r>
      <w:r>
        <w:t xml:space="preserve"> </w:t>
      </w:r>
      <w:r>
        <w:rPr>
          <w:iCs/>
          <w:i/>
        </w:rPr>
        <w:t xml:space="preserve">(§26.13)</w:t>
      </w:r>
    </w:p>
    <w:p>
      <w:pPr>
        <w:pStyle w:val="BodyText"/>
      </w:pPr>
      <w:r>
        <w:rPr>
          <w:bCs/>
          <w:b/>
        </w:rPr>
        <w:t xml:space="preserve">Firewall</w:t>
      </w:r>
      <w:r>
        <w:t xml:space="preserve"> </w:t>
      </w:r>
      <w:r>
        <w:t xml:space="preserve">— A device or software function that permits or denies traffic according to rules. A</w:t>
      </w:r>
      <w:r>
        <w:t xml:space="preserve"> </w:t>
      </w:r>
      <w:r>
        <w:rPr>
          <w:bCs/>
          <w:b/>
        </w:rPr>
        <w:t xml:space="preserve">stateless</w:t>
      </w:r>
      <w:r>
        <w:t xml:space="preserve"> </w:t>
      </w:r>
      <w:r>
        <w:t xml:space="preserve">(packet-filter) firewall evaluates each packet independently against rules on addresses, ports and protocol. A</w:t>
      </w:r>
      <w:r>
        <w:t xml:space="preserve"> </w:t>
      </w:r>
      <w:r>
        <w:rPr>
          <w:bCs/>
          <w:b/>
        </w:rPr>
        <w:t xml:space="preserve">stateful</w:t>
      </w:r>
      <w:r>
        <w:t xml:space="preserve"> </w:t>
      </w:r>
      <w:r>
        <w:t xml:space="preserve">firewall tracks connections, so a reply to an allowed outbound connection is automatically permitted.</w:t>
      </w:r>
      <w:r>
        <w:t xml:space="preserve"> </w:t>
      </w:r>
      <w:r>
        <w:rPr>
          <w:bCs/>
          <w:b/>
        </w:rPr>
        <w:t xml:space="preserve">Application-layer firewalls</w:t>
      </w:r>
      <w:r>
        <w:t xml:space="preserve">, including web application firewalls (WAFs), parse protocols such as HTTP to block malicious requests.</w:t>
      </w:r>
      <w:r>
        <w:t xml:space="preserve"> </w:t>
      </w:r>
      <w:r>
        <w:rPr>
          <w:iCs/>
          <w:i/>
        </w:rPr>
        <w:t xml:space="preserve">(§7.14)</w:t>
      </w:r>
    </w:p>
    <w:p>
      <w:pPr>
        <w:pStyle w:val="BodyText"/>
      </w:pPr>
      <w:r>
        <w:rPr>
          <w:bCs/>
          <w:b/>
        </w:rPr>
        <w:t xml:space="preserve">Fixed window counter</w:t>
      </w:r>
      <w:r>
        <w:t xml:space="preserve"> </w:t>
      </w:r>
      <w:r>
        <w:t xml:space="preserve">— A limiter that divides time into aligned windows of length</w:t>
      </w:r>
      <w:r>
        <w:t xml:space="preserve"> </w:t>
      </w:r>
      <m:oMath>
        <m:r>
          <m:t>W</m:t>
        </m:r>
      </m:oMath>
      <w:r>
        <w:t xml:space="preserve"> </w:t>
      </w:r>
      <w:r>
        <w:t xml:space="preserve">(for example each clock minute), keeps one counter per key per window, and admits a request if the current window’s counter is below the limit</w:t>
      </w:r>
      <w:r>
        <w:t xml:space="preserve"> </w:t>
      </w:r>
      <m:oMath>
        <m:r>
          <m:t>L</m:t>
        </m:r>
      </m:oMath>
      <w:r>
        <w:t xml:space="preserve">. The counter resets at each window boundary.</w:t>
      </w:r>
      <w:r>
        <w:t xml:space="preserve"> </w:t>
      </w:r>
      <w:r>
        <w:rPr>
          <w:iCs/>
          <w:i/>
        </w:rPr>
        <w:t xml:space="preserve">(§22.6.1)</w:t>
      </w:r>
    </w:p>
    <w:p>
      <w:pPr>
        <w:pStyle w:val="BodyText"/>
      </w:pPr>
      <w:r>
        <w:rPr>
          <w:bCs/>
          <w:b/>
        </w:rPr>
        <w:t xml:space="preserve">FLP impossibility</w:t>
      </w:r>
      <w:r>
        <w:t xml:space="preserve"> </w:t>
      </w:r>
      <w:r>
        <w:t xml:space="preserve">— In a fully asynchronous message-passing system with reliable links, no</w:t>
      </w:r>
      <w:r>
        <w:t xml:space="preserve"> </w:t>
      </w:r>
      <w:r>
        <w:rPr>
          <w:iCs/>
          <w:i/>
        </w:rPr>
        <w:t xml:space="preserve">deterministic</w:t>
      </w:r>
      <w:r>
        <w:t xml:space="preserve"> </w:t>
      </w:r>
      <w:r>
        <w:t xml:space="preserve">protocol can solve</w:t>
      </w:r>
      <w:r>
        <w:t xml:space="preserve"> </w:t>
      </w:r>
      <w:r>
        <w:rPr>
          <w:bCs/>
          <w:b/>
        </w:rPr>
        <w:t xml:space="preserve">consensus</w:t>
      </w:r>
      <w:r>
        <w:t xml:space="preserve"> </w:t>
      </w:r>
      <w:r>
        <w:t xml:space="preserve">(all correct processes decide the same value, the value was proposed by some process, and every correct process eventually decides) if even one process may crash-stop [Fischer et al. 1985].</w:t>
      </w:r>
      <w:r>
        <w:t xml:space="preserve"> </w:t>
      </w:r>
      <w:r>
        <w:rPr>
          <w:iCs/>
          <w:i/>
        </w:rPr>
        <w:t xml:space="preserve">(§24.13.1)</w:t>
      </w:r>
    </w:p>
    <w:p>
      <w:pPr>
        <w:pStyle w:val="BodyText"/>
      </w:pPr>
      <w:r>
        <w:rPr>
          <w:bCs/>
          <w:b/>
        </w:rPr>
        <w:t xml:space="preserve">Forward secrecy</w:t>
      </w:r>
      <w:r>
        <w:t xml:space="preserve"> </w:t>
      </w:r>
      <w:r>
        <w:t xml:space="preserve">— A property of a key-exchange protocol whereby compromise of a party’s long-term private key does not reveal session keys from past sessions. It is achieved by using fresh</w:t>
      </w:r>
      <w:r>
        <w:t xml:space="preserve"> </w:t>
      </w:r>
      <w:r>
        <w:rPr>
          <w:bCs/>
          <w:b/>
        </w:rPr>
        <w:t xml:space="preserve">ephemeral</w:t>
      </w:r>
      <w:r>
        <w:t xml:space="preserve"> </w:t>
      </w:r>
      <w:r>
        <w:t xml:space="preserve">key pairs for every session (the</w:t>
      </w:r>
      <w:r>
        <w:t xml:space="preserve"> </w:t>
      </w:r>
      <w:r>
        <w:t xml:space="preserve">“</w:t>
      </w:r>
      <w:r>
        <w:t xml:space="preserve">E</w:t>
      </w:r>
      <w:r>
        <w:t xml:space="preserve">”</w:t>
      </w:r>
      <w:r>
        <w:t xml:space="preserve"> </w:t>
      </w:r>
      <w:r>
        <w:t xml:space="preserve">in ECDHE) and deleting them afterward.</w:t>
      </w:r>
      <w:r>
        <w:t xml:space="preserve"> </w:t>
      </w:r>
      <w:r>
        <w:rPr>
          <w:iCs/>
          <w:i/>
        </w:rPr>
        <w:t xml:space="preserve">(§10.4.4)</w:t>
      </w:r>
    </w:p>
    <w:p>
      <w:pPr>
        <w:pStyle w:val="BodyText"/>
      </w:pPr>
      <w:r>
        <w:rPr>
          <w:bCs/>
          <w:b/>
        </w:rPr>
        <w:t xml:space="preserve">Four golden signals</w:t>
      </w:r>
      <w:r>
        <w:t xml:space="preserve"> </w:t>
      </w:r>
      <w:r>
        <w:t xml:space="preserve">— Google’s site reliability engineering guidance says that if you can measure only four metrics of a user-facing system, measure</w:t>
      </w:r>
      <w:r>
        <w:t xml:space="preserve"> </w:t>
      </w:r>
      <w:r>
        <w:rPr>
          <w:bCs/>
          <w:b/>
        </w:rPr>
        <w:t xml:space="preserve">latency</w:t>
      </w:r>
      <w:r>
        <w:t xml:space="preserve"> </w:t>
      </w:r>
      <w:r>
        <w:t xml:space="preserve">(time to serve a request, tracking successful and failed requests separately),</w:t>
      </w:r>
      <w:r>
        <w:t xml:space="preserve"> </w:t>
      </w:r>
      <w:r>
        <w:rPr>
          <w:bCs/>
          <w:b/>
        </w:rPr>
        <w:t xml:space="preserve">traffic</w:t>
      </w:r>
      <w:r>
        <w:t xml:space="preserve"> </w:t>
      </w:r>
      <w:r>
        <w:t xml:space="preserve">(demand, such as requests per second),</w:t>
      </w:r>
      <w:r>
        <w:t xml:space="preserve"> </w:t>
      </w:r>
      <w:r>
        <w:rPr>
          <w:bCs/>
          <w:b/>
        </w:rPr>
        <w:t xml:space="preserve">errors</w:t>
      </w:r>
      <w:r>
        <w:t xml:space="preserve"> </w:t>
      </w:r>
      <w:r>
        <w:t xml:space="preserve">(rate of failed requests, explicit or implicit) and</w:t>
      </w:r>
      <w:r>
        <w:t xml:space="preserve"> </w:t>
      </w:r>
      <w:r>
        <w:rPr>
          <w:bCs/>
          <w:b/>
        </w:rPr>
        <w:t xml:space="preserve">saturation</w:t>
      </w:r>
      <w:r>
        <w:t xml:space="preserve"> </w:t>
      </w:r>
      <w:r>
        <w:t xml:space="preserve">(how</w:t>
      </w:r>
      <w:r>
        <w:t xml:space="preserve"> </w:t>
      </w:r>
      <w:r>
        <w:t xml:space="preserve">“</w:t>
      </w:r>
      <w:r>
        <w:t xml:space="preserve">full</w:t>
      </w:r>
      <w:r>
        <w:t xml:space="preserve">”</w:t>
      </w:r>
      <w:r>
        <w:t xml:space="preserve"> </w:t>
      </w:r>
      <w:r>
        <w:t xml:space="preserve">the service is, emphasizing its most constrained resource) [Beyer et al. 2016, ch. 6].</w:t>
      </w:r>
      <w:r>
        <w:t xml:space="preserve"> </w:t>
      </w:r>
      <w:r>
        <w:rPr>
          <w:iCs/>
          <w:i/>
        </w:rPr>
        <w:t xml:space="preserve">(§23.3.3)</w:t>
      </w:r>
    </w:p>
    <w:p>
      <w:pPr>
        <w:pStyle w:val="BodyText"/>
      </w:pPr>
      <w:r>
        <w:rPr>
          <w:bCs/>
          <w:b/>
        </w:rPr>
        <w:t xml:space="preserve">Freshness and validation</w:t>
      </w:r>
      <w:r>
        <w:t xml:space="preserve"> </w:t>
      </w:r>
      <w:r>
        <w:t xml:space="preserve">— A stored response is</w:t>
      </w:r>
      <w:r>
        <w:t xml:space="preserve"> </w:t>
      </w:r>
      <w:r>
        <w:rPr>
          <w:bCs/>
          <w:b/>
        </w:rPr>
        <w:t xml:space="preserve">fresh</w:t>
      </w:r>
      <w:r>
        <w:t xml:space="preserve"> </w:t>
      </w:r>
      <w:r>
        <w:t xml:space="preserve">while its age is below its</w:t>
      </w:r>
      <w:r>
        <w:t xml:space="preserve"> </w:t>
      </w:r>
      <w:r>
        <w:rPr>
          <w:bCs/>
          <w:b/>
        </w:rPr>
        <w:t xml:space="preserve">freshness lifetime</w:t>
      </w:r>
      <w:r>
        <w:t xml:space="preserve"> </w:t>
      </w:r>
      <w:r>
        <w:t xml:space="preserve">and may then be served without contacting the origin; once</w:t>
      </w:r>
      <w:r>
        <w:t xml:space="preserve"> </w:t>
      </w:r>
      <w:r>
        <w:rPr>
          <w:bCs/>
          <w:b/>
        </w:rPr>
        <w:t xml:space="preserve">stale</w:t>
      </w:r>
      <w:r>
        <w:t xml:space="preserve">, it must normally be</w:t>
      </w:r>
      <w:r>
        <w:t xml:space="preserve"> </w:t>
      </w:r>
      <w:r>
        <w:rPr>
          <w:bCs/>
          <w:b/>
        </w:rPr>
        <w:t xml:space="preserve">revalidated</w:t>
      </w:r>
      <w:r>
        <w:t xml:space="preserve">, by sending a conditional request (</w:t>
      </w:r>
      <w:r>
        <w:rPr>
          <w:rStyle w:val="VerbatimChar"/>
        </w:rPr>
        <w:t xml:space="preserve">If-None-Match</w:t>
      </w:r>
      <w:r>
        <w:t xml:space="preserve"> </w:t>
      </w:r>
      <w:r>
        <w:t xml:space="preserve">with the stored</w:t>
      </w:r>
      <w:r>
        <w:t xml:space="preserve"> </w:t>
      </w:r>
      <w:r>
        <w:rPr>
          <w:rStyle w:val="VerbatimChar"/>
        </w:rPr>
        <w:t xml:space="preserve">ETag</w:t>
      </w:r>
      <w:r>
        <w:t xml:space="preserve">, or</w:t>
      </w:r>
      <w:r>
        <w:t xml:space="preserve"> </w:t>
      </w:r>
      <w:r>
        <w:rPr>
          <w:rStyle w:val="VerbatimChar"/>
        </w:rPr>
        <w:t xml:space="preserve">If-Modified-Since</w:t>
      </w:r>
      <w:r>
        <w:t xml:space="preserve">), to which the origin answers</w:t>
      </w:r>
      <w:r>
        <w:t xml:space="preserve"> </w:t>
      </w:r>
      <w:r>
        <w:rPr>
          <w:rStyle w:val="VerbatimChar"/>
        </w:rPr>
        <w:t xml:space="preserve">304 Not Modified</w:t>
      </w:r>
      <w:r>
        <w:t xml:space="preserve"> </w:t>
      </w:r>
      <w:r>
        <w:t xml:space="preserve">(keep using the copy) or</w:t>
      </w:r>
      <w:r>
        <w:t xml:space="preserve"> </w:t>
      </w:r>
      <w:r>
        <w:rPr>
          <w:rStyle w:val="VerbatimChar"/>
        </w:rPr>
        <w:t xml:space="preserve">200 OK</w:t>
      </w:r>
      <w:r>
        <w:t xml:space="preserve"> </w:t>
      </w:r>
      <w:r>
        <w:t xml:space="preserve">with a new body [RFC 9111; RFC 9110].</w:t>
      </w:r>
      <w:r>
        <w:t xml:space="preserve"> </w:t>
      </w:r>
      <w:r>
        <w:rPr>
          <w:iCs/>
          <w:i/>
        </w:rPr>
        <w:t xml:space="preserve">(§21.6.1)</w:t>
      </w:r>
    </w:p>
    <w:p>
      <w:pPr>
        <w:pStyle w:val="BodyText"/>
      </w:pPr>
      <w:r>
        <w:rPr>
          <w:bCs/>
          <w:b/>
        </w:rPr>
        <w:t xml:space="preserve">Functional dependency</w:t>
      </w:r>
      <w:r>
        <w:t xml:space="preserve"> </w:t>
      </w:r>
      <w:r>
        <w:t xml:space="preserve">— In a relation</w:t>
      </w:r>
      <w:r>
        <w:t xml:space="preserve"> </w:t>
      </w:r>
      <m:oMath>
        <m:r>
          <m:t>R</m:t>
        </m:r>
      </m:oMath>
      <w:r>
        <w:t xml:space="preserve">, the functional dependency</w:t>
      </w:r>
      <w:r>
        <w:t xml:space="preserve"> </w:t>
      </w:r>
      <m:oMath>
        <m:r>
          <m:t>X</m:t>
        </m:r>
        <m:r>
          <m:rPr>
            <m:sty m:val="p"/>
          </m:rPr>
          <m:t>→</m:t>
        </m:r>
        <m:r>
          <m:t>Y</m:t>
        </m:r>
      </m:oMath>
      <w:r>
        <w:t xml:space="preserve"> </w:t>
      </w:r>
      <w:r>
        <w:t xml:space="preserve">holds if any two rows that agree on the columns</w:t>
      </w:r>
      <w:r>
        <w:t xml:space="preserve"> </w:t>
      </w:r>
      <m:oMath>
        <m:r>
          <m:t>X</m:t>
        </m:r>
      </m:oMath>
      <w:r>
        <w:t xml:space="preserve"> </w:t>
      </w:r>
      <w:r>
        <w:t xml:space="preserve">also agree on the columns</w:t>
      </w:r>
      <w:r>
        <w:t xml:space="preserve"> </w:t>
      </w:r>
      <m:oMath>
        <m:r>
          <m:t>Y</m:t>
        </m:r>
      </m:oMath>
      <w:r>
        <w:t xml:space="preserve">.</w:t>
      </w:r>
      <w:r>
        <w:t xml:space="preserve"> </w:t>
      </w:r>
      <m:oMath>
        <m:r>
          <m:t>X</m:t>
        </m:r>
      </m:oMath>
      <w:r>
        <w:t xml:space="preserve"> </w:t>
      </w:r>
      <w:r>
        <w:t xml:space="preserve">is the</w:t>
      </w:r>
      <w:r>
        <w:t xml:space="preserve"> </w:t>
      </w:r>
      <w:r>
        <w:rPr>
          <w:bCs/>
          <w:b/>
        </w:rPr>
        <w:t xml:space="preserve">determinant</w:t>
      </w:r>
      <w:r>
        <w:t xml:space="preserve">. Example:</w:t>
      </w:r>
      <w:r>
        <w:t xml:space="preserve"> </w:t>
      </w:r>
      <w:r>
        <w:rPr>
          <w:rStyle w:val="VerbatimChar"/>
        </w:rPr>
        <w:t xml:space="preserve">product_id → product_name</w:t>
      </w:r>
      <w:r>
        <w:t xml:space="preserve"> </w:t>
      </w:r>
      <w:r>
        <w:t xml:space="preserve">because one product ID always has one name.</w:t>
      </w:r>
      <w:r>
        <w:t xml:space="preserve"> </w:t>
      </w:r>
      <w:r>
        <w:rPr>
          <w:iCs/>
          <w:i/>
        </w:rPr>
        <w:t xml:space="preserve">(§11.5.1)</w:t>
      </w:r>
    </w:p>
    <w:p>
      <w:pPr>
        <w:pStyle w:val="BodyText"/>
      </w:pPr>
      <w:r>
        <w:rPr>
          <w:bCs/>
          <w:b/>
        </w:rPr>
        <w:t xml:space="preserve">Functional requirement (FR)</w:t>
      </w:r>
      <w:r>
        <w:t xml:space="preserve"> </w:t>
      </w:r>
      <w:r>
        <w:t xml:space="preserve">— A statement of a behavior the system must provide: an input, action or event, and the observable result. Functional requirements describe</w:t>
      </w:r>
      <w:r>
        <w:t xml:space="preserve"> </w:t>
      </w:r>
      <w:r>
        <w:rPr>
          <w:iCs/>
          <w:i/>
        </w:rPr>
        <w:t xml:space="preserve">what</w:t>
      </w:r>
      <w:r>
        <w:t xml:space="preserve"> </w:t>
      </w:r>
      <w:r>
        <w:t xml:space="preserve">the system does — for example,</w:t>
      </w:r>
      <w:r>
        <w:t xml:space="preserve"> </w:t>
      </w:r>
      <w:r>
        <w:t xml:space="preserve">“</w:t>
      </w:r>
      <w:r>
        <w:t xml:space="preserve">a signed-in user can upload a JPEG or PNG photo up to 20 MB, and it appears in their followers’ feeds</w:t>
      </w:r>
      <w:r>
        <w:t xml:space="preserve">”</w:t>
      </w:r>
      <w:r>
        <w:t xml:space="preserve">.</w:t>
      </w:r>
      <w:r>
        <w:t xml:space="preserve"> </w:t>
      </w:r>
      <w:r>
        <w:rPr>
          <w:iCs/>
          <w:i/>
        </w:rPr>
        <w:t xml:space="preserve">(§1.6.1)</w:t>
      </w:r>
    </w:p>
    <w:bookmarkEnd w:id="3357"/>
    <w:bookmarkStart w:id="3358" w:name="g"/>
    <w:p>
      <w:pPr>
        <w:pStyle w:val="Heading2"/>
      </w:pPr>
      <w:r>
        <w:t xml:space="preserve">G</w:t>
      </w:r>
    </w:p>
    <w:p>
      <w:pPr>
        <w:pStyle w:val="FirstParagraph"/>
      </w:pPr>
      <w:r>
        <w:rPr>
          <w:bCs/>
          <w:b/>
        </w:rPr>
        <w:t xml:space="preserve">Garbage collection (GC)</w:t>
      </w:r>
      <w:r>
        <w:t xml:space="preserve"> </w:t>
      </w:r>
      <w:r>
        <w:t xml:space="preserve">— Automatic reclamation of heap memory that the program can no longer reach. A</w:t>
      </w:r>
      <w:r>
        <w:t xml:space="preserve"> </w:t>
      </w:r>
      <w:r>
        <w:rPr>
          <w:bCs/>
          <w:b/>
        </w:rPr>
        <w:t xml:space="preserve">tracing</w:t>
      </w:r>
      <w:r>
        <w:t xml:space="preserve"> </w:t>
      </w:r>
      <w:r>
        <w:t xml:space="preserve">collector finds live objects by following references from</w:t>
      </w:r>
      <w:r>
        <w:t xml:space="preserve"> </w:t>
      </w:r>
      <w:r>
        <w:rPr>
          <w:bCs/>
          <w:b/>
        </w:rPr>
        <w:t xml:space="preserve">roots</w:t>
      </w:r>
      <w:r>
        <w:t xml:space="preserve"> </w:t>
      </w:r>
      <w:r>
        <w:t xml:space="preserve">(stacks, globals, registers) and reclaims everything else. A</w:t>
      </w:r>
      <w:r>
        <w:t xml:space="preserve"> </w:t>
      </w:r>
      <w:r>
        <w:rPr>
          <w:bCs/>
          <w:b/>
        </w:rPr>
        <w:t xml:space="preserve">stop-the-world (STW) pause</w:t>
      </w:r>
      <w:r>
        <w:t xml:space="preserve"> </w:t>
      </w:r>
      <w:r>
        <w:t xml:space="preserve">is an interval in which all application threads (the</w:t>
      </w:r>
      <w:r>
        <w:t xml:space="preserve"> </w:t>
      </w:r>
      <w:r>
        <w:rPr>
          <w:bCs/>
          <w:b/>
        </w:rPr>
        <w:t xml:space="preserve">mutator</w:t>
      </w:r>
      <w:r>
        <w:t xml:space="preserve">) are halted so the collector can work on a consistent heap [Jones et al. 2023].</w:t>
      </w:r>
      <w:r>
        <w:t xml:space="preserve"> </w:t>
      </w:r>
      <w:r>
        <w:rPr>
          <w:iCs/>
          <w:i/>
        </w:rPr>
        <w:t xml:space="preserve">(§23.9.1)</w:t>
      </w:r>
    </w:p>
    <w:p>
      <w:pPr>
        <w:pStyle w:val="BodyText"/>
      </w:pPr>
      <w:r>
        <w:rPr>
          <w:bCs/>
          <w:b/>
        </w:rPr>
        <w:t xml:space="preserve">Geohash</w:t>
      </w:r>
      <w:r>
        <w:t xml:space="preserve"> </w:t>
      </w:r>
      <w:r>
        <w:t xml:space="preserve">— A string encoding of a latitude/longitude cell, published by Gustavo Niemeyer in 2008, formed by alternately bisecting the longitude and latitude ranges, interleaving the resulting bits (longitude first) and writing every 5 bits as one base-32 character [Niemeyer 2008]. Each additional character subdivides the cell into 32 smaller cells, so a geohash that is a prefix of another names a cell containing it.</w:t>
      </w:r>
      <w:r>
        <w:t xml:space="preserve"> </w:t>
      </w:r>
      <w:r>
        <w:rPr>
          <w:iCs/>
          <w:i/>
        </w:rPr>
        <w:t xml:space="preserve">(§17.9.2)</w:t>
      </w:r>
    </w:p>
    <w:p>
      <w:pPr>
        <w:pStyle w:val="BodyText"/>
      </w:pPr>
      <w:r>
        <w:rPr>
          <w:bCs/>
          <w:b/>
        </w:rPr>
        <w:t xml:space="preserve">Gossip protocol</w:t>
      </w:r>
      <w:r>
        <w:t xml:space="preserve"> </w:t>
      </w:r>
      <w:r>
        <w:t xml:space="preserve">— A protocol in which, every round, each node exchanges state with</w:t>
      </w:r>
      <w:r>
        <w:t xml:space="preserve"> </w:t>
      </w:r>
      <m:oMath>
        <m:r>
          <m:t>f</m:t>
        </m:r>
      </m:oMath>
      <w:r>
        <w:t xml:space="preserve"> </w:t>
      </w:r>
      <w:r>
        <w:t xml:space="preserve">randomly chosen peers (the</w:t>
      </w:r>
      <w:r>
        <w:t xml:space="preserve"> </w:t>
      </w:r>
      <w:r>
        <w:rPr>
          <w:bCs/>
          <w:b/>
        </w:rPr>
        <w:t xml:space="preserve">fanout</w:t>
      </w:r>
      <w:r>
        <w:t xml:space="preserve">). In</w:t>
      </w:r>
      <w:r>
        <w:t xml:space="preserve"> </w:t>
      </w:r>
      <w:r>
        <w:rPr>
          <w:bCs/>
          <w:b/>
        </w:rPr>
        <w:t xml:space="preserve">push</w:t>
      </w:r>
      <w:r>
        <w:t xml:space="preserve"> </w:t>
      </w:r>
      <w:r>
        <w:t xml:space="preserve">gossip informed nodes send updates; in</w:t>
      </w:r>
      <w:r>
        <w:t xml:space="preserve"> </w:t>
      </w:r>
      <w:r>
        <w:rPr>
          <w:bCs/>
          <w:b/>
        </w:rPr>
        <w:t xml:space="preserve">pull</w:t>
      </w:r>
      <w:r>
        <w:t xml:space="preserve"> </w:t>
      </w:r>
      <w:r>
        <w:t xml:space="preserve">gossip nodes ask peers for news;</w:t>
      </w:r>
      <w:r>
        <w:t xml:space="preserve"> </w:t>
      </w:r>
      <w:r>
        <w:rPr>
          <w:bCs/>
          <w:b/>
        </w:rPr>
        <w:t xml:space="preserve">push–pull</w:t>
      </w:r>
      <w:r>
        <w:t xml:space="preserve"> </w:t>
      </w:r>
      <w:r>
        <w:t xml:space="preserve">does both.</w:t>
      </w:r>
      <w:r>
        <w:t xml:space="preserve"> </w:t>
      </w:r>
      <w:r>
        <w:rPr>
          <w:bCs/>
          <w:b/>
        </w:rPr>
        <w:t xml:space="preserve">Anti-entropy</w:t>
      </w:r>
      <w:r>
        <w:t xml:space="preserve"> </w:t>
      </w:r>
      <w:r>
        <w:t xml:space="preserve">gossip exchanges full state;</w:t>
      </w:r>
      <w:r>
        <w:t xml:space="preserve"> </w:t>
      </w:r>
      <w:r>
        <w:rPr>
          <w:bCs/>
          <w:b/>
        </w:rPr>
        <w:t xml:space="preserve">rumor mongering</w:t>
      </w:r>
      <w:r>
        <w:t xml:space="preserve"> </w:t>
      </w:r>
      <w:r>
        <w:t xml:space="preserve">spreads only recent updates and stops after a while [Demers et al. 1987].</w:t>
      </w:r>
      <w:r>
        <w:t xml:space="preserve"> </w:t>
      </w:r>
      <w:r>
        <w:rPr>
          <w:iCs/>
          <w:i/>
        </w:rPr>
        <w:t xml:space="preserve">(§27.10.3)</w:t>
      </w:r>
    </w:p>
    <w:p>
      <w:pPr>
        <w:pStyle w:val="BodyText"/>
      </w:pPr>
      <w:r>
        <w:rPr>
          <w:bCs/>
          <w:b/>
        </w:rPr>
        <w:t xml:space="preserve">Graph database</w:t>
      </w:r>
      <w:r>
        <w:t xml:space="preserve"> </w:t>
      </w:r>
      <w:r>
        <w:t xml:space="preserve">— A database whose data model is a graph of</w:t>
      </w:r>
      <w:r>
        <w:t xml:space="preserve"> </w:t>
      </w:r>
      <w:r>
        <w:rPr>
          <w:bCs/>
          <w:b/>
        </w:rPr>
        <w:t xml:space="preserve">vertices</w:t>
      </w:r>
      <w:r>
        <w:t xml:space="preserve"> </w:t>
      </w:r>
      <w:r>
        <w:t xml:space="preserve">(nodes) and</w:t>
      </w:r>
      <w:r>
        <w:t xml:space="preserve"> </w:t>
      </w:r>
      <w:r>
        <w:rPr>
          <w:bCs/>
          <w:b/>
        </w:rPr>
        <w:t xml:space="preserve">edges</w:t>
      </w:r>
      <w:r>
        <w:t xml:space="preserve"> </w:t>
      </w:r>
      <w:r>
        <w:t xml:space="preserve">(relationships), optimized for traversing edges. In the</w:t>
      </w:r>
      <w:r>
        <w:t xml:space="preserve"> </w:t>
      </w:r>
      <w:r>
        <w:rPr>
          <w:bCs/>
          <w:b/>
        </w:rPr>
        <w:t xml:space="preserve">property graph</w:t>
      </w:r>
      <w:r>
        <w:t xml:space="preserve"> </w:t>
      </w:r>
      <w:r>
        <w:t xml:space="preserve">model, nodes carry labels, edges carry a type and a direction, and both carry key-value properties. In the</w:t>
      </w:r>
      <w:r>
        <w:t xml:space="preserve"> </w:t>
      </w:r>
      <w:r>
        <w:rPr>
          <w:bCs/>
          <w:b/>
        </w:rPr>
        <w:t xml:space="preserve">RDF</w:t>
      </w:r>
      <w:r>
        <w:t xml:space="preserve"> </w:t>
      </w:r>
      <w:r>
        <w:t xml:space="preserve">model, all data is a set of subject–predicate–object</w:t>
      </w:r>
      <w:r>
        <w:t xml:space="preserve"> </w:t>
      </w:r>
      <w:r>
        <w:rPr>
          <w:bCs/>
          <w:b/>
        </w:rPr>
        <w:t xml:space="preserve">triples</w:t>
      </w:r>
      <w:r>
        <w:t xml:space="preserve">.</w:t>
      </w:r>
      <w:r>
        <w:t xml:space="preserve"> </w:t>
      </w:r>
      <w:r>
        <w:rPr>
          <w:iCs/>
          <w:i/>
        </w:rPr>
        <w:t xml:space="preserve">(§12.7.1)</w:t>
      </w:r>
    </w:p>
    <w:p>
      <w:pPr>
        <w:pStyle w:val="BodyText"/>
      </w:pPr>
      <w:r>
        <w:rPr>
          <w:bCs/>
          <w:b/>
        </w:rPr>
        <w:t xml:space="preserve">GraphQL</w:t>
      </w:r>
      <w:r>
        <w:t xml:space="preserve"> </w:t>
      </w:r>
      <w:r>
        <w:t xml:space="preserve">— A query language for APIs and a runtime for executing those queries against a strongly typed</w:t>
      </w:r>
      <w:r>
        <w:t xml:space="preserve"> </w:t>
      </w:r>
      <w:r>
        <w:rPr>
          <w:bCs/>
          <w:b/>
        </w:rPr>
        <w:t xml:space="preserve">schema</w:t>
      </w:r>
      <w:r>
        <w:t xml:space="preserve">. The client sends a document describing exactly the fields it wants; the server returns JSON of the same shape [GraphQL Spec].</w:t>
      </w:r>
      <w:r>
        <w:t xml:space="preserve"> </w:t>
      </w:r>
      <w:r>
        <w:rPr>
          <w:iCs/>
          <w:i/>
        </w:rPr>
        <w:t xml:space="preserve">(§8.7.1)</w:t>
      </w:r>
    </w:p>
    <w:p>
      <w:pPr>
        <w:pStyle w:val="BodyText"/>
      </w:pPr>
      <w:r>
        <w:rPr>
          <w:bCs/>
          <w:b/>
        </w:rPr>
        <w:t xml:space="preserve">Gray failure</w:t>
      </w:r>
      <w:r>
        <w:t xml:space="preserve"> </w:t>
      </w:r>
      <w:r>
        <w:t xml:space="preserve">— A component failure that is</w:t>
      </w:r>
      <w:r>
        <w:t xml:space="preserve"> </w:t>
      </w:r>
      <w:r>
        <w:rPr>
          <w:iCs/>
          <w:i/>
        </w:rPr>
        <w:t xml:space="preserve">differentially observable</w:t>
      </w:r>
      <w:r>
        <w:t xml:space="preserve">: some observers (often the system’s own failure detector) consider the component healthy, while others (often the applications using it) experience it as failed or badly degraded.</w:t>
      </w:r>
      <w:r>
        <w:t xml:space="preserve"> </w:t>
      </w:r>
      <w:r>
        <w:rPr>
          <w:iCs/>
          <w:i/>
        </w:rPr>
        <w:t xml:space="preserve">(§24.8.2)</w:t>
      </w:r>
    </w:p>
    <w:p>
      <w:pPr>
        <w:pStyle w:val="BodyText"/>
      </w:pPr>
      <w:r>
        <w:rPr>
          <w:bCs/>
          <w:b/>
        </w:rPr>
        <w:t xml:space="preserve">gRPC</w:t>
      </w:r>
      <w:r>
        <w:t xml:space="preserve"> </w:t>
      </w:r>
      <w:r>
        <w:t xml:space="preserve">— An open-source RPC framework, originally developed at Google and released in 2015, that uses Protocol Buffers as its interface definition language and message format and HTTP/2 as its transport [gRPC Docs].</w:t>
      </w:r>
      <w:r>
        <w:t xml:space="preserve"> </w:t>
      </w:r>
      <w:r>
        <w:rPr>
          <w:iCs/>
          <w:i/>
        </w:rPr>
        <w:t xml:space="preserve">(§8.8.2)</w:t>
      </w:r>
    </w:p>
    <w:bookmarkEnd w:id="3358"/>
    <w:bookmarkStart w:id="3359" w:name="h"/>
    <w:p>
      <w:pPr>
        <w:pStyle w:val="Heading2"/>
      </w:pPr>
      <w:r>
        <w:t xml:space="preserve">H</w:t>
      </w:r>
    </w:p>
    <w:p>
      <w:pPr>
        <w:pStyle w:val="FirstParagraph"/>
      </w:pPr>
      <w:r>
        <w:rPr>
          <w:bCs/>
          <w:b/>
        </w:rPr>
        <w:t xml:space="preserve">Happened-before (→)</w:t>
      </w:r>
      <w:r>
        <w:t xml:space="preserve"> </w:t>
      </w:r>
      <w:r>
        <w:t xml:space="preserve">— The smallest relation on events such that: (1) if</w:t>
      </w:r>
      <w:r>
        <w:t xml:space="preserve"> </w:t>
      </w:r>
      <m:oMath>
        <m:r>
          <m:t>a</m:t>
        </m:r>
      </m:oMath>
      <w:r>
        <w:t xml:space="preserve"> </w:t>
      </w:r>
      <w:r>
        <w:t xml:space="preserve">and</w:t>
      </w:r>
      <w:r>
        <w:t xml:space="preserve"> </w:t>
      </w:r>
      <m:oMath>
        <m:r>
          <m:t>b</m:t>
        </m:r>
      </m:oMath>
      <w:r>
        <w:t xml:space="preserve"> </w:t>
      </w:r>
      <w:r>
        <w:t xml:space="preserve">occur in the same process and</w:t>
      </w:r>
      <w:r>
        <w:t xml:space="preserve"> </w:t>
      </w:r>
      <m:oMath>
        <m:r>
          <m:t>a</m:t>
        </m:r>
      </m:oMath>
      <w:r>
        <w:t xml:space="preserve"> </w:t>
      </w:r>
      <w:r>
        <w:t xml:space="preserve">comes first,</w:t>
      </w:r>
      <w:r>
        <w:t xml:space="preserve"> </w:t>
      </w:r>
      <m:oMath>
        <m:r>
          <m:t>a</m:t>
        </m:r>
        <m:r>
          <m:rPr>
            <m:sty m:val="p"/>
          </m:rPr>
          <m:t>→</m:t>
        </m:r>
        <m:r>
          <m:t>b</m:t>
        </m:r>
      </m:oMath>
      <w:r>
        <w:t xml:space="preserve">; (2) if</w:t>
      </w:r>
      <w:r>
        <w:t xml:space="preserve"> </w:t>
      </w:r>
      <m:oMath>
        <m:r>
          <m:t>a</m:t>
        </m:r>
      </m:oMath>
      <w:r>
        <w:t xml:space="preserve"> </w:t>
      </w:r>
      <w:r>
        <w:t xml:space="preserve">is the sending of a message and</w:t>
      </w:r>
      <w:r>
        <w:t xml:space="preserve"> </w:t>
      </w:r>
      <m:oMath>
        <m:r>
          <m:t>b</m:t>
        </m:r>
      </m:oMath>
      <w:r>
        <w:t xml:space="preserve"> </w:t>
      </w:r>
      <w:r>
        <w:t xml:space="preserve">its receipt,</w:t>
      </w:r>
      <w:r>
        <w:t xml:space="preserve"> </w:t>
      </w:r>
      <m:oMath>
        <m:r>
          <m:t>a</m:t>
        </m:r>
        <m:r>
          <m:rPr>
            <m:sty m:val="p"/>
          </m:rPr>
          <m:t>→</m:t>
        </m:r>
        <m:r>
          <m:t>b</m:t>
        </m:r>
      </m:oMath>
      <w:r>
        <w:t xml:space="preserve">; (3) if</w:t>
      </w:r>
      <w:r>
        <w:t xml:space="preserve"> </w:t>
      </w:r>
      <m:oMath>
        <m:r>
          <m:t>a</m:t>
        </m:r>
        <m:r>
          <m:rPr>
            <m:sty m:val="p"/>
          </m:rPr>
          <m:t>→</m:t>
        </m:r>
        <m:r>
          <m:t>b</m:t>
        </m:r>
      </m:oMath>
      <w:r>
        <w:t xml:space="preserve"> </w:t>
      </w:r>
      <w:r>
        <w:t xml:space="preserve">and</w:t>
      </w:r>
      <w:r>
        <w:t xml:space="preserve"> </w:t>
      </w:r>
      <m:oMath>
        <m:r>
          <m:t>b</m:t>
        </m:r>
        <m:r>
          <m:rPr>
            <m:sty m:val="p"/>
          </m:rPr>
          <m:t>→</m:t>
        </m:r>
        <m:r>
          <m:t>c</m:t>
        </m:r>
      </m:oMath>
      <w:r>
        <w:t xml:space="preserve">, then</w:t>
      </w:r>
      <w:r>
        <w:t xml:space="preserve"> </w:t>
      </w:r>
      <m:oMath>
        <m:r>
          <m:t>a</m:t>
        </m:r>
        <m:r>
          <m:rPr>
            <m:sty m:val="p"/>
          </m:rPr>
          <m:t>→</m:t>
        </m:r>
        <m:r>
          <m:t>c</m:t>
        </m:r>
      </m:oMath>
      <w:r>
        <w:t xml:space="preserve">. Two distinct events are</w:t>
      </w:r>
      <w:r>
        <w:t xml:space="preserve"> </w:t>
      </w:r>
      <w:r>
        <w:rPr>
          <w:bCs/>
          <w:b/>
        </w:rPr>
        <w:t xml:space="preserve">concurrent</w:t>
      </w:r>
      <w:r>
        <w:t xml:space="preserve"> </w:t>
      </w:r>
      <w:r>
        <w:t xml:space="preserve">(</w:t>
      </w:r>
      <m:oMath>
        <m:r>
          <m:t>a</m:t>
        </m:r>
        <m:r>
          <m:rPr>
            <m:sty m:val="p"/>
          </m:rPr>
          <m:t>∥</m:t>
        </m:r>
        <m:r>
          <m:t>b</m:t>
        </m:r>
      </m:oMath>
      <w:r>
        <w:t xml:space="preserve">) if neither</w:t>
      </w:r>
      <w:r>
        <w:t xml:space="preserve"> </w:t>
      </w:r>
      <m:oMath>
        <m:r>
          <m:t>a</m:t>
        </m:r>
        <m:r>
          <m:rPr>
            <m:sty m:val="p"/>
          </m:rPr>
          <m:t>→</m:t>
        </m:r>
        <m:r>
          <m:t>b</m:t>
        </m:r>
      </m:oMath>
      <w:r>
        <w:t xml:space="preserve"> </w:t>
      </w:r>
      <w:r>
        <w:t xml:space="preserve">nor</w:t>
      </w:r>
      <w:r>
        <w:t xml:space="preserve"> </w:t>
      </w:r>
      <m:oMath>
        <m:r>
          <m:t>b</m:t>
        </m:r>
        <m:r>
          <m:rPr>
            <m:sty m:val="p"/>
          </m:rPr>
          <m:t>→</m:t>
        </m:r>
        <m:r>
          <m:t>a</m:t>
        </m:r>
      </m:oMath>
      <w:r>
        <w:t xml:space="preserve">.</w:t>
      </w:r>
      <w:r>
        <w:t xml:space="preserve"> </w:t>
      </w:r>
      <w:r>
        <w:rPr>
          <w:iCs/>
          <w:i/>
        </w:rPr>
        <w:t xml:space="preserve">(§24.10.1)</w:t>
      </w:r>
    </w:p>
    <w:p>
      <w:pPr>
        <w:pStyle w:val="BodyText"/>
      </w:pPr>
      <w:r>
        <w:rPr>
          <w:bCs/>
          <w:b/>
        </w:rPr>
        <w:t xml:space="preserve">Hard disk drive (HDD)</w:t>
      </w:r>
      <w:r>
        <w:t xml:space="preserve"> </w:t>
      </w:r>
      <w:r>
        <w:t xml:space="preserve">— A storage device that records data magnetically on spinning platters, read and written by heads mounted on a moving arm (the</w:t>
      </w:r>
      <w:r>
        <w:t xml:space="preserve"> </w:t>
      </w:r>
      <w:r>
        <w:rPr>
          <w:bCs/>
          <w:b/>
        </w:rPr>
        <w:t xml:space="preserve">actuator</w:t>
      </w:r>
      <w:r>
        <w:t xml:space="preserve">). Data is organized in concentric</w:t>
      </w:r>
      <w:r>
        <w:t xml:space="preserve"> </w:t>
      </w:r>
      <w:r>
        <w:rPr>
          <w:bCs/>
          <w:b/>
        </w:rPr>
        <w:t xml:space="preserve">tracks</w:t>
      </w:r>
      <w:r>
        <w:t xml:space="preserve"> </w:t>
      </w:r>
      <w:r>
        <w:t xml:space="preserve">divided into</w:t>
      </w:r>
      <w:r>
        <w:t xml:space="preserve"> </w:t>
      </w:r>
      <w:r>
        <w:rPr>
          <w:bCs/>
          <w:b/>
        </w:rPr>
        <w:t xml:space="preserve">sectors</w:t>
      </w:r>
      <w:r>
        <w:t xml:space="preserve"> </w:t>
      </w:r>
      <w:r>
        <w:t xml:space="preserve">of 512 or 4096 bytes.</w:t>
      </w:r>
      <w:r>
        <w:t xml:space="preserve"> </w:t>
      </w:r>
      <w:r>
        <w:rPr>
          <w:iCs/>
          <w:i/>
        </w:rPr>
        <w:t xml:space="preserve">(§5.6.1)</w:t>
      </w:r>
    </w:p>
    <w:p>
      <w:pPr>
        <w:pStyle w:val="BodyText"/>
      </w:pPr>
      <w:r>
        <w:rPr>
          <w:bCs/>
          <w:b/>
        </w:rPr>
        <w:t xml:space="preserve">Hash function</w:t>
      </w:r>
      <w:r>
        <w:t xml:space="preserve"> </w:t>
      </w:r>
      <w:r>
        <w:t xml:space="preserve">— A deterministic function</w:t>
      </w:r>
      <w:r>
        <w:t xml:space="preserve"> </w:t>
      </w:r>
      <m:oMath>
        <m:r>
          <m:t>h</m:t>
        </m:r>
      </m:oMath>
      <w:r>
        <w:t xml:space="preserve"> </w:t>
      </w:r>
      <w:r>
        <w:t xml:space="preserve">that maps an input of any length to a fixed-size integer (for example 32, 64 or 128 bits), called the</w:t>
      </w:r>
      <w:r>
        <w:t xml:space="preserve"> </w:t>
      </w:r>
      <w:r>
        <w:rPr>
          <w:bCs/>
          <w:b/>
        </w:rPr>
        <w:t xml:space="preserve">hash</w:t>
      </w:r>
      <w:r>
        <w:t xml:space="preserve"> </w:t>
      </w:r>
      <w:r>
        <w:t xml:space="preserve">or</w:t>
      </w:r>
      <w:r>
        <w:t xml:space="preserve"> </w:t>
      </w:r>
      <w:r>
        <w:rPr>
          <w:bCs/>
          <w:b/>
        </w:rPr>
        <w:t xml:space="preserve">digest</w:t>
      </w:r>
      <w:r>
        <w:t xml:space="preserve">. A</w:t>
      </w:r>
      <w:r>
        <w:t xml:space="preserve"> </w:t>
      </w:r>
      <w:r>
        <w:rPr>
          <w:bCs/>
          <w:b/>
        </w:rPr>
        <w:t xml:space="preserve">non-cryptographic hash function</w:t>
      </w:r>
      <w:r>
        <w:t xml:space="preserve"> </w:t>
      </w:r>
      <w:r>
        <w:t xml:space="preserve">is designed for speed and statistical uniformity on ordinary inputs. A</w:t>
      </w:r>
      <w:r>
        <w:t xml:space="preserve"> </w:t>
      </w:r>
      <w:r>
        <w:rPr>
          <w:bCs/>
          <w:b/>
        </w:rPr>
        <w:t xml:space="preserve">cryptographic hash function</w:t>
      </w:r>
      <w:r>
        <w:t xml:space="preserve"> </w:t>
      </w:r>
      <w:r>
        <w:t xml:space="preserve">additionally resists an adversary who tries to find collisions or preimages (§10.4.1).</w:t>
      </w:r>
      <w:r>
        <w:t xml:space="preserve"> </w:t>
      </w:r>
      <w:r>
        <w:rPr>
          <w:iCs/>
          <w:i/>
        </w:rPr>
        <w:t xml:space="preserve">(§17.3.1)</w:t>
      </w:r>
    </w:p>
    <w:p>
      <w:pPr>
        <w:pStyle w:val="BodyText"/>
      </w:pPr>
      <w:r>
        <w:rPr>
          <w:bCs/>
          <w:b/>
        </w:rPr>
        <w:t xml:space="preserve">Hash slot (Redis Cluster)</w:t>
      </w:r>
      <w:r>
        <w:t xml:space="preserve"> </w:t>
      </w:r>
      <w:r>
        <w:t xml:space="preserve">— One of 16,384 buckets into which Redis Cluster divides the keyspace:</w:t>
      </w:r>
      <w:r>
        <w:t xml:space="preserve"> </w:t>
      </w:r>
      <w:r>
        <w:rPr>
          <w:rStyle w:val="VerbatimChar"/>
        </w:rPr>
        <w:t xml:space="preserve">slot = CRC16(key) mod 16384</w:t>
      </w:r>
      <w:r>
        <w:t xml:space="preserve">. Each primary owns a set of slots. If a key contains</w:t>
      </w:r>
      <w:r>
        <w:t xml:space="preserve"> </w:t>
      </w:r>
      <w:r>
        <w:rPr>
          <w:rStyle w:val="VerbatimChar"/>
        </w:rPr>
        <w:t xml:space="preserve">{...}</w:t>
      </w:r>
      <w:r>
        <w:t xml:space="preserve">, only the substring inside the braces (a</w:t>
      </w:r>
      <w:r>
        <w:t xml:space="preserve"> </w:t>
      </w:r>
      <w:r>
        <w:rPr>
          <w:bCs/>
          <w:b/>
        </w:rPr>
        <w:t xml:space="preserve">hash tag</w:t>
      </w:r>
      <w:r>
        <w:t xml:space="preserve">) is hashed, so related keys can be forced into one slot [Redis Docs: Cluster specification].</w:t>
      </w:r>
      <w:r>
        <w:t xml:space="preserve"> </w:t>
      </w:r>
      <w:r>
        <w:rPr>
          <w:iCs/>
          <w:i/>
        </w:rPr>
        <w:t xml:space="preserve">(§20.6.4)</w:t>
      </w:r>
    </w:p>
    <w:p>
      <w:pPr>
        <w:pStyle w:val="BodyText"/>
      </w:pPr>
      <w:r>
        <w:rPr>
          <w:bCs/>
          <w:b/>
        </w:rPr>
        <w:t xml:space="preserve">Health check</w:t>
      </w:r>
      <w:r>
        <w:t xml:space="preserve"> </w:t>
      </w:r>
      <w:r>
        <w:t xml:space="preserve">— A mechanism by which a balancer decides whether a backend should receive traffic. An</w:t>
      </w:r>
      <w:r>
        <w:t xml:space="preserve"> </w:t>
      </w:r>
      <w:r>
        <w:rPr>
          <w:bCs/>
          <w:b/>
        </w:rPr>
        <w:t xml:space="preserve">active</w:t>
      </w:r>
      <w:r>
        <w:t xml:space="preserve"> </w:t>
      </w:r>
      <w:r>
        <w:t xml:space="preserve">check sends synthetic probes (a TCP connect, an HTTP</w:t>
      </w:r>
      <w:r>
        <w:t xml:space="preserve"> </w:t>
      </w:r>
      <w:r>
        <w:rPr>
          <w:rStyle w:val="VerbatimChar"/>
        </w:rPr>
        <w:t xml:space="preserve">GET /healthz</w:t>
      </w:r>
      <w:r>
        <w:t xml:space="preserve">, a gRPC health RPC) on a timer. A</w:t>
      </w:r>
      <w:r>
        <w:t xml:space="preserve"> </w:t>
      </w:r>
      <w:r>
        <w:rPr>
          <w:bCs/>
          <w:b/>
        </w:rPr>
        <w:t xml:space="preserve">passive</w:t>
      </w:r>
      <w:r>
        <w:t xml:space="preserve"> </w:t>
      </w:r>
      <w:r>
        <w:t xml:space="preserve">check, also called</w:t>
      </w:r>
      <w:r>
        <w:t xml:space="preserve"> </w:t>
      </w:r>
      <w:r>
        <w:rPr>
          <w:bCs/>
          <w:b/>
        </w:rPr>
        <w:t xml:space="preserve">outlier detection</w:t>
      </w:r>
      <w:r>
        <w:t xml:space="preserve">, watches real traffic for errors, timeouts or latency and</w:t>
      </w:r>
      <w:r>
        <w:t xml:space="preserve"> </w:t>
      </w:r>
      <w:r>
        <w:rPr>
          <w:bCs/>
          <w:b/>
        </w:rPr>
        <w:t xml:space="preserve">ejects</w:t>
      </w:r>
      <w:r>
        <w:t xml:space="preserve"> </w:t>
      </w:r>
      <w:r>
        <w:t xml:space="preserve">misbehaving backends for a period.</w:t>
      </w:r>
      <w:r>
        <w:t xml:space="preserve"> </w:t>
      </w:r>
      <w:r>
        <w:rPr>
          <w:iCs/>
          <w:i/>
        </w:rPr>
        <w:t xml:space="preserve">(§19.5.1)</w:t>
      </w:r>
    </w:p>
    <w:p>
      <w:pPr>
        <w:pStyle w:val="BodyText"/>
      </w:pPr>
      <w:r>
        <w:rPr>
          <w:bCs/>
          <w:b/>
        </w:rPr>
        <w:t xml:space="preserve">Hedged request</w:t>
      </w:r>
      <w:r>
        <w:t xml:space="preserve"> </w:t>
      </w:r>
      <w:r>
        <w:t xml:space="preserve">— A request sent to one replica and, if no response arrives within a</w:t>
      </w:r>
      <w:r>
        <w:t xml:space="preserve"> </w:t>
      </w:r>
      <w:r>
        <w:rPr>
          <w:bCs/>
          <w:b/>
        </w:rPr>
        <w:t xml:space="preserve">hedge delay</w:t>
      </w:r>
      <w:r>
        <w:t xml:space="preserve"> </w:t>
      </w:r>
      <m:oMath>
        <m:r>
          <m:t>d</m:t>
        </m:r>
      </m:oMath>
      <w:r>
        <w:t xml:space="preserve">, sent again to a second replica; the client uses whichever response arrives first and cancels or ignores the other [Dean and Barroso 2013].</w:t>
      </w:r>
      <w:r>
        <w:t xml:space="preserve"> </w:t>
      </w:r>
      <w:r>
        <w:rPr>
          <w:iCs/>
          <w:i/>
        </w:rPr>
        <w:t xml:space="preserve">(§23.7.1)</w:t>
      </w:r>
    </w:p>
    <w:p>
      <w:pPr>
        <w:pStyle w:val="BodyText"/>
      </w:pPr>
      <w:r>
        <w:rPr>
          <w:bCs/>
          <w:b/>
        </w:rPr>
        <w:t xml:space="preserve">High-level design (HLD)</w:t>
      </w:r>
      <w:r>
        <w:t xml:space="preserve"> </w:t>
      </w:r>
      <w:r>
        <w:t xml:space="preserve">— A description of a system as a set of major components (services, data stores, queues, caches, external dependencies), their responsibilities, the interfaces and protocols between them, data flows, and deployment topology — at a level of detail where each component is a box whose internals are not yet specified.</w:t>
      </w:r>
      <w:r>
        <w:t xml:space="preserve"> </w:t>
      </w:r>
      <w:r>
        <w:rPr>
          <w:iCs/>
          <w:i/>
        </w:rPr>
        <w:t xml:space="preserve">(§1.5.1)</w:t>
      </w:r>
    </w:p>
    <w:p>
      <w:pPr>
        <w:pStyle w:val="BodyText"/>
      </w:pPr>
      <w:r>
        <w:rPr>
          <w:bCs/>
          <w:b/>
        </w:rPr>
        <w:t xml:space="preserve">Horizontal scaling (scaling out)</w:t>
      </w:r>
      <w:r>
        <w:t xml:space="preserve"> </w:t>
      </w:r>
      <w:r>
        <w:t xml:space="preserve">— Increasing capacity by adding more nodes that share the workload, for example by running 20 identical application servers behind a load balancer instead of one. Removing nodes when load falls is</w:t>
      </w:r>
      <w:r>
        <w:t xml:space="preserve"> </w:t>
      </w:r>
      <w:r>
        <w:rPr>
          <w:bCs/>
          <w:b/>
        </w:rPr>
        <w:t xml:space="preserve">scaling in</w:t>
      </w:r>
      <w:r>
        <w:t xml:space="preserve">.</w:t>
      </w:r>
      <w:r>
        <w:t xml:space="preserve"> </w:t>
      </w:r>
      <w:r>
        <w:rPr>
          <w:iCs/>
          <w:i/>
        </w:rPr>
        <w:t xml:space="preserve">(§18.4.1)</w:t>
      </w:r>
    </w:p>
    <w:p>
      <w:pPr>
        <w:pStyle w:val="BodyText"/>
      </w:pPr>
      <w:r>
        <w:rPr>
          <w:bCs/>
          <w:b/>
        </w:rPr>
        <w:t xml:space="preserve">Hot key</w:t>
      </w:r>
      <w:r>
        <w:t xml:space="preserve"> </w:t>
      </w:r>
      <w:r>
        <w:t xml:space="preserve">— A single key whose request rate exceeds what the node holding it can serve, so partitioning cannot help: all requests for one key go to one node.</w:t>
      </w:r>
      <w:r>
        <w:t xml:space="preserve"> </w:t>
      </w:r>
      <w:r>
        <w:rPr>
          <w:iCs/>
          <w:i/>
        </w:rPr>
        <w:t xml:space="preserve">(§20.15)</w:t>
      </w:r>
    </w:p>
    <w:p>
      <w:pPr>
        <w:pStyle w:val="BodyText"/>
      </w:pPr>
      <w:r>
        <w:rPr>
          <w:bCs/>
          <w:b/>
        </w:rPr>
        <w:t xml:space="preserve">Hot partition and hot key</w:t>
      </w:r>
      <w:r>
        <w:t xml:space="preserve"> </w:t>
      </w:r>
      <w:r>
        <w:t xml:space="preserve">— A</w:t>
      </w:r>
      <w:r>
        <w:t xml:space="preserve"> </w:t>
      </w:r>
      <w:r>
        <w:rPr>
          <w:bCs/>
          <w:b/>
        </w:rPr>
        <w:t xml:space="preserve">hot partition</w:t>
      </w:r>
      <w:r>
        <w:t xml:space="preserve"> </w:t>
      </w:r>
      <w:r>
        <w:t xml:space="preserve">receives enough excess requests or data to saturate its node while peers idle. A</w:t>
      </w:r>
      <w:r>
        <w:t xml:space="preserve"> </w:t>
      </w:r>
      <w:r>
        <w:rPr>
          <w:bCs/>
          <w:b/>
        </w:rPr>
        <w:t xml:space="preserve">hot key</w:t>
      </w:r>
      <w:r>
        <w:t xml:space="preserve"> </w:t>
      </w:r>
      <w:r>
        <w:t xml:space="preserve">is a single key causing that excess.</w:t>
      </w:r>
      <w:r>
        <w:t xml:space="preserve"> </w:t>
      </w:r>
      <w:r>
        <w:rPr>
          <w:bCs/>
          <w:b/>
        </w:rPr>
        <w:t xml:space="preserve">Skew</w:t>
      </w:r>
      <w:r>
        <w:t xml:space="preserve"> </w:t>
      </w:r>
      <w:r>
        <w:t xml:space="preserve">is uneven distribution of data or load in general.</w:t>
      </w:r>
      <w:r>
        <w:t xml:space="preserve"> </w:t>
      </w:r>
      <w:r>
        <w:rPr>
          <w:iCs/>
          <w:i/>
        </w:rPr>
        <w:t xml:space="preserve">(§14.10.1)</w:t>
      </w:r>
    </w:p>
    <w:p>
      <w:pPr>
        <w:pStyle w:val="BodyText"/>
      </w:pPr>
      <w:r>
        <w:rPr>
          <w:bCs/>
          <w:b/>
        </w:rPr>
        <w:t xml:space="preserve">HTTP adaptive streaming</w:t>
      </w:r>
      <w:r>
        <w:t xml:space="preserve"> </w:t>
      </w:r>
      <w:r>
        <w:t xml:space="preserve">— Video is encoded at several quality levels (a</w:t>
      </w:r>
      <w:r>
        <w:t xml:space="preserve"> </w:t>
      </w:r>
      <w:r>
        <w:rPr>
          <w:bCs/>
          <w:b/>
        </w:rPr>
        <w:t xml:space="preserve">bitrate ladder</w:t>
      </w:r>
      <w:r>
        <w:t xml:space="preserve">), each cut into</w:t>
      </w:r>
      <w:r>
        <w:t xml:space="preserve"> </w:t>
      </w:r>
      <w:r>
        <w:rPr>
          <w:bCs/>
          <w:b/>
        </w:rPr>
        <w:t xml:space="preserve">segments</w:t>
      </w:r>
      <w:r>
        <w:t xml:space="preserve"> </w:t>
      </w:r>
      <w:r>
        <w:t xml:space="preserve">of a few seconds stored as ordinary files. A</w:t>
      </w:r>
      <w:r>
        <w:t xml:space="preserve"> </w:t>
      </w:r>
      <w:r>
        <w:rPr>
          <w:bCs/>
          <w:b/>
        </w:rPr>
        <w:t xml:space="preserve">manifest</w:t>
      </w:r>
      <w:r>
        <w:t xml:space="preserve"> </w:t>
      </w:r>
      <w:r>
        <w:t xml:space="preserve">lists the levels and segment URLs. The player downloads the manifest, then fetches segments one by one over HTTP, choosing a level for each segment.</w:t>
      </w:r>
      <w:r>
        <w:t xml:space="preserve"> </w:t>
      </w:r>
      <w:r>
        <w:rPr>
          <w:iCs/>
          <w:i/>
        </w:rPr>
        <w:t xml:space="preserve">(§21.8.1)</w:t>
      </w:r>
    </w:p>
    <w:p>
      <w:pPr>
        <w:pStyle w:val="BodyText"/>
      </w:pPr>
      <w:r>
        <w:rPr>
          <w:bCs/>
          <w:b/>
        </w:rPr>
        <w:t xml:space="preserve">HTTP cookie</w:t>
      </w:r>
      <w:r>
        <w:t xml:space="preserve"> </w:t>
      </w:r>
      <w:r>
        <w:t xml:space="preserve">— A small name–value pair that a server asks the browser to store, via the</w:t>
      </w:r>
      <w:r>
        <w:t xml:space="preserve"> </w:t>
      </w:r>
      <w:r>
        <w:rPr>
          <w:rStyle w:val="VerbatimChar"/>
        </w:rPr>
        <w:t xml:space="preserve">Set-Cookie</w:t>
      </w:r>
      <w:r>
        <w:t xml:space="preserve"> </w:t>
      </w:r>
      <w:r>
        <w:t xml:space="preserve">response header, and that the browser automatically returns in the</w:t>
      </w:r>
      <w:r>
        <w:t xml:space="preserve"> </w:t>
      </w:r>
      <w:r>
        <w:rPr>
          <w:rStyle w:val="VerbatimChar"/>
        </w:rPr>
        <w:t xml:space="preserve">Cookie</w:t>
      </w:r>
      <w:r>
        <w:t xml:space="preserve"> </w:t>
      </w:r>
      <w:r>
        <w:t xml:space="preserve">request header on later requests to matching URLs [RFC 6265].</w:t>
      </w:r>
      <w:r>
        <w:t xml:space="preserve"> </w:t>
      </w:r>
      <w:r>
        <w:rPr>
          <w:iCs/>
          <w:i/>
        </w:rPr>
        <w:t xml:space="preserve">(§8.10.1)</w:t>
      </w:r>
    </w:p>
    <w:p>
      <w:pPr>
        <w:pStyle w:val="BodyText"/>
      </w:pPr>
      <w:r>
        <w:rPr>
          <w:bCs/>
          <w:b/>
        </w:rPr>
        <w:t xml:space="preserve">Hybrid logical clock</w:t>
      </w:r>
      <w:r>
        <w:t xml:space="preserve"> </w:t>
      </w:r>
      <w:r>
        <w:t xml:space="preserve">— A timestamp</w:t>
      </w:r>
      <w:r>
        <w:t xml:space="preserve"> </w:t>
      </w:r>
      <m:oMath>
        <m:d>
          <m:dPr>
            <m:begChr m:val="("/>
            <m:endChr m:val=")"/>
            <m:sepChr m:val=""/>
            <m:grow/>
          </m:dPr>
          <m:e>
            <m:r>
              <m:t>l</m:t>
            </m:r>
            <m:r>
              <m:rPr>
                <m:sty m:val="p"/>
              </m:rPr>
              <m:t>,</m:t>
            </m:r>
            <m:r>
              <m:t>c</m:t>
            </m:r>
          </m:e>
        </m:d>
      </m:oMath>
      <w:r>
        <w:t xml:space="preserve"> </w:t>
      </w:r>
      <w:r>
        <w:t xml:space="preserve">where</w:t>
      </w:r>
      <w:r>
        <w:t xml:space="preserve"> </w:t>
      </w:r>
      <m:oMath>
        <m:r>
          <m:t>l</m:t>
        </m:r>
      </m:oMath>
      <w:r>
        <w:t xml:space="preserve"> </w:t>
      </w:r>
      <w:r>
        <w:t xml:space="preserve">is the largest physical clock value the node has seen (from its own clock or from any message) and</w:t>
      </w:r>
      <w:r>
        <w:t xml:space="preserve"> </w:t>
      </w:r>
      <m:oMath>
        <m:r>
          <m:t>c</m:t>
        </m:r>
      </m:oMath>
      <w:r>
        <w:t xml:space="preserve"> </w:t>
      </w:r>
      <w:r>
        <w:t xml:space="preserve">is a logical counter that orders events sharing the same</w:t>
      </w:r>
      <w:r>
        <w:t xml:space="preserve"> </w:t>
      </w:r>
      <m:oMath>
        <m:r>
          <m:t>l</m:t>
        </m:r>
      </m:oMath>
      <w:r>
        <w:t xml:space="preserve">. Timestamps compare lexicographically: first by</w:t>
      </w:r>
      <w:r>
        <w:t xml:space="preserve"> </w:t>
      </w:r>
      <m:oMath>
        <m:r>
          <m:t>l</m:t>
        </m:r>
      </m:oMath>
      <w:r>
        <w:t xml:space="preserve">, then by</w:t>
      </w:r>
      <w:r>
        <w:t xml:space="preserve"> </w:t>
      </w:r>
      <m:oMath>
        <m:r>
          <m:t>c</m:t>
        </m:r>
      </m:oMath>
      <w:r>
        <w:t xml:space="preserve">.</w:t>
      </w:r>
      <w:r>
        <w:t xml:space="preserve"> </w:t>
      </w:r>
      <w:r>
        <w:rPr>
          <w:iCs/>
          <w:i/>
        </w:rPr>
        <w:t xml:space="preserve">(§24.12.1)</w:t>
      </w:r>
    </w:p>
    <w:p>
      <w:pPr>
        <w:pStyle w:val="BodyText"/>
      </w:pPr>
      <w:r>
        <w:rPr>
          <w:bCs/>
          <w:b/>
        </w:rPr>
        <w:t xml:space="preserve">HyperLogLog (HLL)</w:t>
      </w:r>
      <w:r>
        <w:t xml:space="preserve"> </w:t>
      </w:r>
      <w:r>
        <w:t xml:space="preserve">— A probabilistic algorithm that estimates the number of distinct items (the</w:t>
      </w:r>
      <w:r>
        <w:t xml:space="preserve"> </w:t>
      </w:r>
      <w:r>
        <w:rPr>
          <w:bCs/>
          <w:b/>
        </w:rPr>
        <w:t xml:space="preserve">cardinality</w:t>
      </w:r>
      <w:r>
        <w:t xml:space="preserve">) in a multiset using</w:t>
      </w:r>
      <w:r>
        <w:t xml:space="preserve"> </w:t>
      </w:r>
      <m:oMath>
        <m:r>
          <m:t>m</m:t>
        </m:r>
      </m:oMath>
      <w:r>
        <w:t xml:space="preserve"> </w:t>
      </w:r>
      <w:r>
        <w:t xml:space="preserve">small registers, with relative standard error about</w:t>
      </w:r>
      <w:r>
        <w:t xml:space="preserve"> </w:t>
      </w:r>
      <m:oMath>
        <m:r>
          <m:t>1.04</m:t>
        </m:r>
        <m:r>
          <m:rPr>
            <m:sty m:val="p"/>
          </m:rPr>
          <m:t>/</m:t>
        </m:r>
        <m:rad>
          <m:radPr>
            <m:degHide m:val="on"/>
          </m:radPr>
          <m:deg/>
          <m:e>
            <m:r>
              <m:t>m</m:t>
            </m:r>
          </m:e>
        </m:rad>
      </m:oMath>
      <w:r>
        <w:t xml:space="preserve">, independent of the cardinality itself [Flajolet et al. 2007].</w:t>
      </w:r>
      <w:r>
        <w:t xml:space="preserve"> </w:t>
      </w:r>
      <w:r>
        <w:rPr>
          <w:iCs/>
          <w:i/>
        </w:rPr>
        <w:t xml:space="preserve">(§17.5.1)</w:t>
      </w:r>
    </w:p>
    <w:bookmarkEnd w:id="3359"/>
    <w:bookmarkStart w:id="3360" w:name="i"/>
    <w:p>
      <w:pPr>
        <w:pStyle w:val="Heading2"/>
      </w:pPr>
      <w:r>
        <w:t xml:space="preserve">I</w:t>
      </w:r>
    </w:p>
    <w:p>
      <w:pPr>
        <w:pStyle w:val="FirstParagraph"/>
      </w:pPr>
      <w:r>
        <w:rPr>
          <w:bCs/>
          <w:b/>
        </w:rPr>
        <w:t xml:space="preserve">Idempotency key</w:t>
      </w:r>
      <w:r>
        <w:t xml:space="preserve"> </w:t>
      </w:r>
      <w:r>
        <w:t xml:space="preserve">— A unique value, generated by the client once per</w:t>
      </w:r>
      <w:r>
        <w:t xml:space="preserve"> </w:t>
      </w:r>
      <w:r>
        <w:rPr>
          <w:iCs/>
          <w:i/>
        </w:rPr>
        <w:t xml:space="preserve">logical</w:t>
      </w:r>
      <w:r>
        <w:t xml:space="preserve"> </w:t>
      </w:r>
      <w:r>
        <w:t xml:space="preserve">operation and sent with every attempt of that operation (for example in an</w:t>
      </w:r>
      <w:r>
        <w:t xml:space="preserve"> </w:t>
      </w:r>
      <w:r>
        <w:rPr>
          <w:rStyle w:val="VerbatimChar"/>
        </w:rPr>
        <w:t xml:space="preserve">Idempotency-Key</w:t>
      </w:r>
      <w:r>
        <w:t xml:space="preserve"> </w:t>
      </w:r>
      <w:r>
        <w:t xml:space="preserve">header), that the server uses to recognize retries: the first attempt executes and its result is stored under the key; later attempts with the same key return the stored result instead of executing again.</w:t>
      </w:r>
      <w:r>
        <w:t xml:space="preserve"> </w:t>
      </w:r>
      <w:r>
        <w:rPr>
          <w:iCs/>
          <w:i/>
        </w:rPr>
        <w:t xml:space="preserve">(§22.15.1)</w:t>
      </w:r>
    </w:p>
    <w:p>
      <w:pPr>
        <w:pStyle w:val="BodyText"/>
      </w:pPr>
      <w:r>
        <w:rPr>
          <w:bCs/>
          <w:b/>
        </w:rPr>
        <w:t xml:space="preserve">Idempotent method</w:t>
      </w:r>
      <w:r>
        <w:t xml:space="preserve"> </w:t>
      </w:r>
      <w:r>
        <w:t xml:space="preserve">— A method for which the intended effect on the server of sending the same request</w:t>
      </w:r>
      <w:r>
        <w:t xml:space="preserve"> </w:t>
      </w:r>
      <m:oMath>
        <m:r>
          <m:t>N</m:t>
        </m:r>
        <m:r>
          <m:rPr>
            <m:sty m:val="p"/>
          </m:rPr>
          <m:t>&gt;</m:t>
        </m:r>
        <m:r>
          <m:t>0</m:t>
        </m:r>
      </m:oMath>
      <w:r>
        <w:t xml:space="preserve"> </w:t>
      </w:r>
      <w:r>
        <w:t xml:space="preserve">times is the same as sending it once [RFC 9110 §9.2.2]. The</w:t>
      </w:r>
      <w:r>
        <w:t xml:space="preserve"> </w:t>
      </w:r>
      <w:r>
        <w:rPr>
          <w:iCs/>
          <w:i/>
        </w:rPr>
        <w:t xml:space="preserve">response</w:t>
      </w:r>
      <w:r>
        <w:t xml:space="preserve"> </w:t>
      </w:r>
      <w:r>
        <w:t xml:space="preserve">may differ (a second</w:t>
      </w:r>
      <w:r>
        <w:t xml:space="preserve"> </w:t>
      </w:r>
      <w:r>
        <w:rPr>
          <w:rStyle w:val="VerbatimChar"/>
        </w:rPr>
        <w:t xml:space="preserve">DELETE</w:t>
      </w:r>
      <w:r>
        <w:t xml:space="preserve"> </w:t>
      </w:r>
      <w:r>
        <w:t xml:space="preserve">may return 404); the</w:t>
      </w:r>
      <w:r>
        <w:t xml:space="preserve"> </w:t>
      </w:r>
      <w:r>
        <w:rPr>
          <w:iCs/>
          <w:i/>
        </w:rPr>
        <w:t xml:space="preserve">state</w:t>
      </w:r>
      <w:r>
        <w:t xml:space="preserve"> </w:t>
      </w:r>
      <w:r>
        <w:t xml:space="preserve">does not.</w:t>
      </w:r>
      <w:r>
        <w:t xml:space="preserve"> </w:t>
      </w:r>
      <w:r>
        <w:rPr>
          <w:iCs/>
          <w:i/>
        </w:rPr>
        <w:t xml:space="preserve">(§8.6.3)</w:t>
      </w:r>
    </w:p>
    <w:p>
      <w:pPr>
        <w:pStyle w:val="BodyText"/>
      </w:pPr>
      <w:r>
        <w:rPr>
          <w:bCs/>
          <w:b/>
        </w:rPr>
        <w:t xml:space="preserve">Index</w:t>
      </w:r>
      <w:r>
        <w:t xml:space="preserve"> </w:t>
      </w:r>
      <w:r>
        <w:t xml:space="preserve">— A secondary data structure, kept in sync with a table by the database, that maps values of one or more</w:t>
      </w:r>
      <w:r>
        <w:t xml:space="preserve"> </w:t>
      </w:r>
      <w:r>
        <w:rPr>
          <w:bCs/>
          <w:b/>
        </w:rPr>
        <w:t xml:space="preserve">key columns</w:t>
      </w:r>
      <w:r>
        <w:t xml:space="preserve"> </w:t>
      </w:r>
      <w:r>
        <w:t xml:space="preserve">to the locations of the rows holding them, so that rows can be found without scanning the whole table. Most relational indexes are B+ trees (§11.8); others include hash, GiST, GIN and BRIN indexes in PostgreSQL and full-text and spatial indexes in MySQL.</w:t>
      </w:r>
      <w:r>
        <w:t xml:space="preserve"> </w:t>
      </w:r>
      <w:r>
        <w:rPr>
          <w:iCs/>
          <w:i/>
        </w:rPr>
        <w:t xml:space="preserve">(§11.7.1)</w:t>
      </w:r>
    </w:p>
    <w:p>
      <w:pPr>
        <w:pStyle w:val="BodyText"/>
      </w:pPr>
      <w:r>
        <w:rPr>
          <w:bCs/>
          <w:b/>
        </w:rPr>
        <w:t xml:space="preserve">In-doubt (blocked) transaction</w:t>
      </w:r>
      <w:r>
        <w:t xml:space="preserve"> </w:t>
      </w:r>
      <w:r>
        <w:t xml:space="preserve">— A transaction at a participant that has voted yes but has not learned the outcome. It must hold its locks and cannot decide until the coordinator, or another participant that knows the outcome, answers.</w:t>
      </w:r>
      <w:r>
        <w:t xml:space="preserve"> </w:t>
      </w:r>
      <w:r>
        <w:rPr>
          <w:iCs/>
          <w:i/>
        </w:rPr>
        <w:t xml:space="preserve">(§28.4.3)</w:t>
      </w:r>
    </w:p>
    <w:p>
      <w:pPr>
        <w:pStyle w:val="BodyText"/>
      </w:pPr>
      <w:r>
        <w:rPr>
          <w:bCs/>
          <w:b/>
        </w:rPr>
        <w:t xml:space="preserve">Instruction pipeline</w:t>
      </w:r>
      <w:r>
        <w:t xml:space="preserve"> </w:t>
      </w:r>
      <w:r>
        <w:t xml:space="preserve">— A technique in which the core splits instruction execution into stages and works on different stages of several consecutive instructions at the same time, like an assembly line.</w:t>
      </w:r>
      <w:r>
        <w:t xml:space="preserve"> </w:t>
      </w:r>
      <w:r>
        <w:rPr>
          <w:iCs/>
          <w:i/>
        </w:rPr>
        <w:t xml:space="preserve">(§5.3.3)</w:t>
      </w:r>
    </w:p>
    <w:p>
      <w:pPr>
        <w:pStyle w:val="BodyText"/>
      </w:pPr>
      <w:r>
        <w:rPr>
          <w:bCs/>
          <w:b/>
        </w:rPr>
        <w:t xml:space="preserve">Interleaving</w:t>
      </w:r>
      <w:r>
        <w:t xml:space="preserve"> </w:t>
      </w:r>
      <w:r>
        <w:t xml:space="preserve">— Mixing different kinds of problems or concepts within one practice session (A B C A C B), instead of finishing all practice on one kind before moving to the next (AAA BBB CCC, called</w:t>
      </w:r>
      <w:r>
        <w:t xml:space="preserve"> </w:t>
      </w:r>
      <w:r>
        <w:rPr>
          <w:bCs/>
          <w:b/>
        </w:rPr>
        <w:t xml:space="preserve">blocking</w:t>
      </w:r>
      <w:r>
        <w:t xml:space="preserve">).</w:t>
      </w:r>
      <w:r>
        <w:t xml:space="preserve"> </w:t>
      </w:r>
      <w:r>
        <w:rPr>
          <w:iCs/>
          <w:i/>
        </w:rPr>
        <w:t xml:space="preserve">(§3.4.5)</w:t>
      </w:r>
    </w:p>
    <w:p>
      <w:pPr>
        <w:pStyle w:val="BodyText"/>
      </w:pPr>
      <w:r>
        <w:rPr>
          <w:bCs/>
          <w:b/>
        </w:rPr>
        <w:t xml:space="preserve">Inverted index</w:t>
      </w:r>
      <w:r>
        <w:t xml:space="preserve"> </w:t>
      </w:r>
      <w:r>
        <w:t xml:space="preserve">— A mapping from each distinct</w:t>
      </w:r>
      <w:r>
        <w:t xml:space="preserve"> </w:t>
      </w:r>
      <w:r>
        <w:rPr>
          <w:bCs/>
          <w:b/>
        </w:rPr>
        <w:t xml:space="preserve">term</w:t>
      </w:r>
      <w:r>
        <w:t xml:space="preserve"> </w:t>
      </w:r>
      <w:r>
        <w:t xml:space="preserve">(a normalized word or token) to a</w:t>
      </w:r>
      <w:r>
        <w:t xml:space="preserve"> </w:t>
      </w:r>
      <w:r>
        <w:rPr>
          <w:bCs/>
          <w:b/>
        </w:rPr>
        <w:t xml:space="preserve">postings list</w:t>
      </w:r>
      <w:r>
        <w:t xml:space="preserve">: the sorted list of identifiers of the documents that contain the term, optionally with the term’s frequency and positions in each document. The set of all terms is the</w:t>
      </w:r>
      <w:r>
        <w:t xml:space="preserve"> </w:t>
      </w:r>
      <w:r>
        <w:rPr>
          <w:bCs/>
          <w:b/>
        </w:rPr>
        <w:t xml:space="preserve">dictionary</w:t>
      </w:r>
      <w:r>
        <w:t xml:space="preserve"> </w:t>
      </w:r>
      <w:r>
        <w:t xml:space="preserve">(or</w:t>
      </w:r>
      <w:r>
        <w:t xml:space="preserve"> </w:t>
      </w:r>
      <w:r>
        <w:rPr>
          <w:bCs/>
          <w:b/>
        </w:rPr>
        <w:t xml:space="preserve">vocabulary</w:t>
      </w:r>
      <w:r>
        <w:t xml:space="preserve">, or</w:t>
      </w:r>
      <w:r>
        <w:t xml:space="preserve"> </w:t>
      </w:r>
      <w:r>
        <w:rPr>
          <w:bCs/>
          <w:b/>
        </w:rPr>
        <w:t xml:space="preserve">lexicon</w:t>
      </w:r>
      <w:r>
        <w:t xml:space="preserve">).</w:t>
      </w:r>
      <w:r>
        <w:t xml:space="preserve"> </w:t>
      </w:r>
      <w:r>
        <w:rPr>
          <w:iCs/>
          <w:i/>
        </w:rPr>
        <w:t xml:space="preserve">(§16.3.1)</w:t>
      </w:r>
    </w:p>
    <w:p>
      <w:pPr>
        <w:pStyle w:val="BodyText"/>
      </w:pPr>
      <w:r>
        <w:rPr>
          <w:bCs/>
          <w:b/>
        </w:rPr>
        <w:t xml:space="preserve">I/O (input/output)</w:t>
      </w:r>
      <w:r>
        <w:t xml:space="preserve"> </w:t>
      </w:r>
      <w:r>
        <w:t xml:space="preserve">— Any transfer of data between the CPU/memory and a device outside it: storage, network cards, GPUs, keyboards. A</w:t>
      </w:r>
      <w:r>
        <w:t xml:space="preserve"> </w:t>
      </w:r>
      <w:r>
        <w:rPr>
          <w:bCs/>
          <w:b/>
        </w:rPr>
        <w:t xml:space="preserve">device controller</w:t>
      </w:r>
      <w:r>
        <w:t xml:space="preserve"> </w:t>
      </w:r>
      <w:r>
        <w:t xml:space="preserve">on each device does the physical work; the CPU communicates with it through</w:t>
      </w:r>
      <w:r>
        <w:t xml:space="preserve"> </w:t>
      </w:r>
      <w:r>
        <w:rPr>
          <w:bCs/>
          <w:b/>
        </w:rPr>
        <w:t xml:space="preserve">device registers</w:t>
      </w:r>
      <w:r>
        <w:t xml:space="preserve"> </w:t>
      </w:r>
      <w:r>
        <w:t xml:space="preserve">and shared memory.</w:t>
      </w:r>
      <w:r>
        <w:t xml:space="preserve"> </w:t>
      </w:r>
      <w:r>
        <w:rPr>
          <w:iCs/>
          <w:i/>
        </w:rPr>
        <w:t xml:space="preserve">(§5.7)</w:t>
      </w:r>
    </w:p>
    <w:p>
      <w:pPr>
        <w:pStyle w:val="BodyText"/>
      </w:pPr>
      <w:r>
        <w:rPr>
          <w:bCs/>
          <w:b/>
        </w:rPr>
        <w:t xml:space="preserve">IOPS</w:t>
      </w:r>
      <w:r>
        <w:t xml:space="preserve"> </w:t>
      </w:r>
      <w:r>
        <w:t xml:space="preserve">— Input/output operations per second: the number of independent read or write requests a device completes per second, quoted for a stated request size (usually 4 KiB) and</w:t>
      </w:r>
      <w:r>
        <w:t xml:space="preserve"> </w:t>
      </w:r>
      <w:r>
        <w:rPr>
          <w:bCs/>
          <w:b/>
        </w:rPr>
        <w:t xml:space="preserve">queue depth</w:t>
      </w:r>
      <w:r>
        <w:t xml:space="preserve"> </w:t>
      </w:r>
      <w:r>
        <w:t xml:space="preserve">(number of requests outstanding at once).</w:t>
      </w:r>
      <w:r>
        <w:t xml:space="preserve"> </w:t>
      </w:r>
      <w:r>
        <w:rPr>
          <w:iCs/>
          <w:i/>
        </w:rPr>
        <w:t xml:space="preserve">(§5.6.5)</w:t>
      </w:r>
    </w:p>
    <w:p>
      <w:pPr>
        <w:pStyle w:val="BodyText"/>
      </w:pPr>
      <w:r>
        <w:rPr>
          <w:bCs/>
          <w:b/>
        </w:rPr>
        <w:t xml:space="preserve">IP address</w:t>
      </w:r>
      <w:r>
        <w:t xml:space="preserve"> </w:t>
      </w:r>
      <w:r>
        <w:t xml:space="preserve">— A numeric identifier assigned to a network interface that the Internet Protocol uses to deliver packets. An</w:t>
      </w:r>
      <w:r>
        <w:t xml:space="preserve"> </w:t>
      </w:r>
      <w:r>
        <w:rPr>
          <w:bCs/>
          <w:b/>
        </w:rPr>
        <w:t xml:space="preserve">IPv4</w:t>
      </w:r>
      <w:r>
        <w:t xml:space="preserve"> </w:t>
      </w:r>
      <w:r>
        <w:t xml:space="preserve">address is 32 bits, written as four decimal octets (</w:t>
      </w:r>
      <w:r>
        <w:rPr>
          <w:rStyle w:val="VerbatimChar"/>
        </w:rPr>
        <w:t xml:space="preserve">203.0.113.25</w:t>
      </w:r>
      <w:r>
        <w:t xml:space="preserve">) [RFC 791]. An</w:t>
      </w:r>
      <w:r>
        <w:t xml:space="preserve"> </w:t>
      </w:r>
      <w:r>
        <w:rPr>
          <w:bCs/>
          <w:b/>
        </w:rPr>
        <w:t xml:space="preserve">IPv6</w:t>
      </w:r>
      <w:r>
        <w:t xml:space="preserve"> </w:t>
      </w:r>
      <w:r>
        <w:t xml:space="preserve">address is 128 bits, written as eight groups of four hexadecimal digits separated by colons (</w:t>
      </w:r>
      <w:r>
        <w:rPr>
          <w:rStyle w:val="VerbatimChar"/>
        </w:rPr>
        <w:t xml:space="preserve">2001:db8:0:1::25</w:t>
      </w:r>
      <w:r>
        <w:t xml:space="preserve">) [RFC 8200].</w:t>
      </w:r>
      <w:r>
        <w:t xml:space="preserve"> </w:t>
      </w:r>
      <w:r>
        <w:rPr>
          <w:iCs/>
          <w:i/>
        </w:rPr>
        <w:t xml:space="preserve">(§7.4.1)</w:t>
      </w:r>
    </w:p>
    <w:p>
      <w:pPr>
        <w:pStyle w:val="BodyText"/>
      </w:pPr>
      <w:r>
        <w:rPr>
          <w:bCs/>
          <w:b/>
        </w:rPr>
        <w:t xml:space="preserve">Isolation anomalies</w:t>
      </w:r>
      <w:r>
        <w:t xml:space="preserve"> </w:t>
      </w:r>
      <w:r>
        <w:t xml:space="preserve">—</w:t>
      </w:r>
      <w:r>
        <w:t xml:space="preserve"> </w:t>
      </w:r>
      <w:r>
        <w:rPr>
          <w:bCs/>
          <w:b/>
        </w:rPr>
        <w:t xml:space="preserve">Dirty write:</w:t>
      </w:r>
      <w:r>
        <w:t xml:space="preserve"> </w:t>
      </w:r>
      <w:r>
        <w:t xml:space="preserve">a transaction overwrites another’s uncommitted write.</w:t>
      </w:r>
      <w:r>
        <w:t xml:space="preserve"> </w:t>
      </w:r>
      <w:r>
        <w:rPr>
          <w:bCs/>
          <w:b/>
        </w:rPr>
        <w:t xml:space="preserve">Dirty read:</w:t>
      </w:r>
      <w:r>
        <w:t xml:space="preserve"> </w:t>
      </w:r>
      <w:r>
        <w:t xml:space="preserve">a transaction reads another’s uncommitted write (which may later roll back).</w:t>
      </w:r>
      <w:r>
        <w:t xml:space="preserve"> </w:t>
      </w:r>
      <w:r>
        <w:rPr>
          <w:bCs/>
          <w:b/>
        </w:rPr>
        <w:t xml:space="preserve">Non-repeatable (fuzzy) read:</w:t>
      </w:r>
      <w:r>
        <w:t xml:space="preserve"> </w:t>
      </w:r>
      <w:r>
        <w:t xml:space="preserve">a transaction reads a row twice and sees different committed values because another transaction updated it in between.</w:t>
      </w:r>
      <w:r>
        <w:t xml:space="preserve"> </w:t>
      </w:r>
      <w:r>
        <w:rPr>
          <w:bCs/>
          <w:b/>
        </w:rPr>
        <w:t xml:space="preserve">Phantom:</w:t>
      </w:r>
      <w:r>
        <w:t xml:space="preserve"> </w:t>
      </w:r>
      <w:r>
        <w:t xml:space="preserve">a transaction runs the same</w:t>
      </w:r>
      <w:r>
        <w:t xml:space="preserve"> </w:t>
      </w:r>
      <w:r>
        <w:rPr>
          <w:iCs/>
          <w:i/>
        </w:rPr>
        <w:t xml:space="preserve">predicate</w:t>
      </w:r>
      <w:r>
        <w:t xml:space="preserve"> </w:t>
      </w:r>
      <w:r>
        <w:t xml:space="preserve">query twice (</w:t>
      </w:r>
      <w:r>
        <w:rPr>
          <w:rStyle w:val="VerbatimChar"/>
        </w:rPr>
        <w:t xml:space="preserve">WHERE status = 'pending'</w:t>
      </w:r>
      <w:r>
        <w:t xml:space="preserve">) and gets a different set of rows because another transaction inserted or deleted matching rows.</w:t>
      </w:r>
      <w:r>
        <w:t xml:space="preserve"> </w:t>
      </w:r>
      <w:r>
        <w:rPr>
          <w:bCs/>
          <w:b/>
        </w:rPr>
        <w:t xml:space="preserve">Lost update:</w:t>
      </w:r>
      <w:r>
        <w:t xml:space="preserve"> </w:t>
      </w:r>
      <w:r>
        <w:t xml:space="preserve">two transactions read the same value, both compute a new value from it and write; the second write silently overwrites the first.</w:t>
      </w:r>
      <w:r>
        <w:t xml:space="preserve"> </w:t>
      </w:r>
      <w:r>
        <w:rPr>
          <w:bCs/>
          <w:b/>
        </w:rPr>
        <w:t xml:space="preserve">Read skew:</w:t>
      </w:r>
      <w:r>
        <w:t xml:space="preserve"> </w:t>
      </w:r>
      <w:r>
        <w:t xml:space="preserve">a transaction sees part of another transaction’s effects (reads account A before a transfer commits and account B after it).</w:t>
      </w:r>
      <w:r>
        <w:t xml:space="preserve"> </w:t>
      </w:r>
      <w:r>
        <w:rPr>
          <w:bCs/>
          <w:b/>
        </w:rPr>
        <w:t xml:space="preserve">Write skew:</w:t>
      </w:r>
      <w:r>
        <w:t xml:space="preserve"> </w:t>
      </w:r>
      <w:r>
        <w:t xml:space="preserve">two transactions read an overlapping set of rows, each checks an invariant, then each writes a</w:t>
      </w:r>
      <w:r>
        <w:t xml:space="preserve"> </w:t>
      </w:r>
      <w:r>
        <w:rPr>
          <w:iCs/>
          <w:i/>
        </w:rPr>
        <w:t xml:space="preserve">different</w:t>
      </w:r>
      <w:r>
        <w:t xml:space="preserve"> </w:t>
      </w:r>
      <w:r>
        <w:t xml:space="preserve">row; each write is valid alone but together they violate the invariant.</w:t>
      </w:r>
      <w:r>
        <w:t xml:space="preserve"> </w:t>
      </w:r>
      <w:r>
        <w:rPr>
          <w:iCs/>
          <w:i/>
        </w:rPr>
        <w:t xml:space="preserve">(§11.13.1)</w:t>
      </w:r>
    </w:p>
    <w:bookmarkEnd w:id="3360"/>
    <w:bookmarkStart w:id="3361" w:name="j"/>
    <w:p>
      <w:pPr>
        <w:pStyle w:val="Heading2"/>
      </w:pPr>
      <w:r>
        <w:t xml:space="preserve">J</w:t>
      </w:r>
    </w:p>
    <w:p>
      <w:pPr>
        <w:pStyle w:val="FirstParagraph"/>
      </w:pPr>
      <w:r>
        <w:rPr>
          <w:bCs/>
          <w:b/>
        </w:rPr>
        <w:t xml:space="preserve">JSON Web Token (JWT)</w:t>
      </w:r>
      <w:r>
        <w:t xml:space="preserve"> </w:t>
      </w:r>
      <w:r>
        <w:t xml:space="preserve">— A compact, URL-safe string representing a set of</w:t>
      </w:r>
      <w:r>
        <w:t xml:space="preserve"> </w:t>
      </w:r>
      <w:r>
        <w:rPr>
          <w:bCs/>
          <w:b/>
        </w:rPr>
        <w:t xml:space="preserve">claims</w:t>
      </w:r>
      <w:r>
        <w:t xml:space="preserve"> </w:t>
      </w:r>
      <w:r>
        <w:t xml:space="preserve">(statements about a subject) as a JSON object, digitally signed (JWS) or encrypted (JWE) so its integrity can be verified [RFC 7519]. This section covers the signed form, which is by far the most common.</w:t>
      </w:r>
      <w:r>
        <w:t xml:space="preserve"> </w:t>
      </w:r>
      <w:r>
        <w:rPr>
          <w:iCs/>
          <w:i/>
        </w:rPr>
        <w:t xml:space="preserve">(§8.13.1)</w:t>
      </w:r>
    </w:p>
    <w:bookmarkEnd w:id="3361"/>
    <w:bookmarkStart w:id="3362" w:name="k"/>
    <w:p>
      <w:pPr>
        <w:pStyle w:val="Heading2"/>
      </w:pPr>
      <w:r>
        <w:t xml:space="preserve">K</w:t>
      </w:r>
    </w:p>
    <w:p>
      <w:pPr>
        <w:pStyle w:val="FirstParagraph"/>
      </w:pPr>
      <w:r>
        <w:rPr>
          <w:bCs/>
          <w:b/>
        </w:rPr>
        <w:t xml:space="preserve">Key management service (KMS)</w:t>
      </w:r>
      <w:r>
        <w:t xml:space="preserve"> </w:t>
      </w:r>
      <w:r>
        <w:t xml:space="preserve">— A managed service, backed by hardware security modules (HSMs), that generates and stores</w:t>
      </w:r>
      <w:r>
        <w:t xml:space="preserve"> </w:t>
      </w:r>
      <w:r>
        <w:rPr>
          <w:bCs/>
          <w:b/>
        </w:rPr>
        <w:t xml:space="preserve">key-encryption keys (KEKs)</w:t>
      </w:r>
      <w:r>
        <w:t xml:space="preserve"> </w:t>
      </w:r>
      <w:r>
        <w:t xml:space="preserve">that never leave it in plaintext, performs cryptographic operations with them on request, enforces access policies on every use and logs every call. Examples: AWS KMS, Google Cloud KMS, Azure Key Vault, HashiCorp Vault’s Transit engine.</w:t>
      </w:r>
      <w:r>
        <w:t xml:space="preserve"> </w:t>
      </w:r>
      <w:r>
        <w:rPr>
          <w:iCs/>
          <w:i/>
        </w:rPr>
        <w:t xml:space="preserve">(§10.9.2)</w:t>
      </w:r>
    </w:p>
    <w:p>
      <w:pPr>
        <w:pStyle w:val="BodyText"/>
      </w:pPr>
      <w:r>
        <w:rPr>
          <w:bCs/>
          <w:b/>
        </w:rPr>
        <w:t xml:space="preserve">Keys</w:t>
      </w:r>
      <w:r>
        <w:t xml:space="preserve"> </w:t>
      </w:r>
      <w:r>
        <w:t xml:space="preserve">— A</w:t>
      </w:r>
      <w:r>
        <w:t xml:space="preserve"> </w:t>
      </w:r>
      <w:r>
        <w:rPr>
          <w:bCs/>
          <w:b/>
        </w:rPr>
        <w:t xml:space="preserve">superkey</w:t>
      </w:r>
      <w:r>
        <w:t xml:space="preserve"> </w:t>
      </w:r>
      <w:r>
        <w:t xml:space="preserve">is a set of columns whose values are unique across all rows. A</w:t>
      </w:r>
      <w:r>
        <w:t xml:space="preserve"> </w:t>
      </w:r>
      <w:r>
        <w:rPr>
          <w:bCs/>
          <w:b/>
        </w:rPr>
        <w:t xml:space="preserve">candidate key</w:t>
      </w:r>
      <w:r>
        <w:t xml:space="preserve"> </w:t>
      </w:r>
      <w:r>
        <w:t xml:space="preserve">is a minimal superkey: remove any column and it stops being unique. The</w:t>
      </w:r>
      <w:r>
        <w:t xml:space="preserve"> </w:t>
      </w:r>
      <w:r>
        <w:rPr>
          <w:bCs/>
          <w:b/>
        </w:rPr>
        <w:t xml:space="preserve">primary key</w:t>
      </w:r>
      <w:r>
        <w:t xml:space="preserve"> </w:t>
      </w:r>
      <w:r>
        <w:t xml:space="preserve">is the candidate key chosen as the row’s main identifier; it must be unique and NOT NULL. Other candidate keys are enforced with</w:t>
      </w:r>
      <w:r>
        <w:t xml:space="preserve"> </w:t>
      </w:r>
      <w:r>
        <w:rPr>
          <w:rStyle w:val="VerbatimChar"/>
        </w:rPr>
        <w:t xml:space="preserve">UNIQUE</w:t>
      </w:r>
      <w:r>
        <w:t xml:space="preserve"> </w:t>
      </w:r>
      <w:r>
        <w:t xml:space="preserve">constraints. A</w:t>
      </w:r>
      <w:r>
        <w:t xml:space="preserve"> </w:t>
      </w:r>
      <w:r>
        <w:rPr>
          <w:bCs/>
          <w:b/>
        </w:rPr>
        <w:t xml:space="preserve">foreign key</w:t>
      </w:r>
      <w:r>
        <w:t xml:space="preserve"> </w:t>
      </w:r>
      <w:r>
        <w:t xml:space="preserve">is a column (or set) in one table whose values must match a key of another table, a rule called</w:t>
      </w:r>
      <w:r>
        <w:t xml:space="preserve"> </w:t>
      </w:r>
      <w:r>
        <w:rPr>
          <w:bCs/>
          <w:b/>
        </w:rPr>
        <w:t xml:space="preserve">referential integrity</w:t>
      </w:r>
      <w:r>
        <w:t xml:space="preserve">.</w:t>
      </w:r>
      <w:r>
        <w:t xml:space="preserve"> </w:t>
      </w:r>
      <w:r>
        <w:rPr>
          <w:iCs/>
          <w:i/>
        </w:rPr>
        <w:t xml:space="preserve">(§11.4.1)</w:t>
      </w:r>
    </w:p>
    <w:p>
      <w:pPr>
        <w:pStyle w:val="BodyText"/>
      </w:pPr>
      <w:r>
        <w:rPr>
          <w:bCs/>
          <w:b/>
        </w:rPr>
        <w:t xml:space="preserve">Key-value store</w:t>
      </w:r>
      <w:r>
        <w:t xml:space="preserve"> </w:t>
      </w:r>
      <w:r>
        <w:t xml:space="preserve">— A database whose primary interface is</w:t>
      </w:r>
      <w:r>
        <w:t xml:space="preserve"> </w:t>
      </w:r>
      <w:r>
        <w:rPr>
          <w:rStyle w:val="VerbatimChar"/>
        </w:rPr>
        <w:t xml:space="preserve">get(key)</w:t>
      </w:r>
      <w:r>
        <w:t xml:space="preserve">,</w:t>
      </w:r>
      <w:r>
        <w:t xml:space="preserve"> </w:t>
      </w:r>
      <w:r>
        <w:rPr>
          <w:rStyle w:val="VerbatimChar"/>
        </w:rPr>
        <w:t xml:space="preserve">put(key, value)</w:t>
      </w:r>
      <w:r>
        <w:t xml:space="preserve"> </w:t>
      </w:r>
      <w:r>
        <w:t xml:space="preserve">and</w:t>
      </w:r>
      <w:r>
        <w:t xml:space="preserve"> </w:t>
      </w:r>
      <w:r>
        <w:rPr>
          <w:rStyle w:val="VerbatimChar"/>
        </w:rPr>
        <w:t xml:space="preserve">delete(key)</w:t>
      </w:r>
      <w:r>
        <w:t xml:space="preserve">, where the value is opaque to the database or has a small set of built-in types. The key alone determines where the value lives.</w:t>
      </w:r>
      <w:r>
        <w:t xml:space="preserve"> </w:t>
      </w:r>
      <w:r>
        <w:rPr>
          <w:iCs/>
          <w:i/>
        </w:rPr>
        <w:t xml:space="preserve">(§12.4.1)</w:t>
      </w:r>
    </w:p>
    <w:bookmarkEnd w:id="3362"/>
    <w:bookmarkStart w:id="3363" w:name="l"/>
    <w:p>
      <w:pPr>
        <w:pStyle w:val="Heading2"/>
      </w:pPr>
      <w:r>
        <w:t xml:space="preserve">L</w:t>
      </w:r>
    </w:p>
    <w:p>
      <w:pPr>
        <w:pStyle w:val="FirstParagraph"/>
      </w:pPr>
      <w:r>
        <w:rPr>
          <w:bCs/>
          <w:b/>
        </w:rPr>
        <w:t xml:space="preserve">Lambda and Kappa architectures</w:t>
      </w:r>
      <w:r>
        <w:t xml:space="preserve"> </w:t>
      </w:r>
      <w:r>
        <w:t xml:space="preserve">— The</w:t>
      </w:r>
      <w:r>
        <w:t xml:space="preserve"> </w:t>
      </w:r>
      <w:r>
        <w:rPr>
          <w:bCs/>
          <w:b/>
        </w:rPr>
        <w:t xml:space="preserve">Lambda architecture</w:t>
      </w:r>
      <w:r>
        <w:t xml:space="preserve"> </w:t>
      </w:r>
      <w:r>
        <w:t xml:space="preserve">runs two parallel paths over the same immutable master dataset: a</w:t>
      </w:r>
      <w:r>
        <w:t xml:space="preserve"> </w:t>
      </w:r>
      <w:r>
        <w:rPr>
          <w:bCs/>
          <w:b/>
        </w:rPr>
        <w:t xml:space="preserve">batch layer</w:t>
      </w:r>
      <w:r>
        <w:t xml:space="preserve"> </w:t>
      </w:r>
      <w:r>
        <w:t xml:space="preserve">that periodically recomputes complete, accurate views from all history, and a</w:t>
      </w:r>
      <w:r>
        <w:t xml:space="preserve"> </w:t>
      </w:r>
      <w:r>
        <w:rPr>
          <w:bCs/>
          <w:b/>
        </w:rPr>
        <w:t xml:space="preserve">speed layer</w:t>
      </w:r>
      <w:r>
        <w:t xml:space="preserve"> </w:t>
      </w:r>
      <w:r>
        <w:t xml:space="preserve">that processes recent data incrementally with low latency; a</w:t>
      </w:r>
      <w:r>
        <w:t xml:space="preserve"> </w:t>
      </w:r>
      <w:r>
        <w:rPr>
          <w:bCs/>
          <w:b/>
        </w:rPr>
        <w:t xml:space="preserve">serving layer</w:t>
      </w:r>
      <w:r>
        <w:t xml:space="preserve"> </w:t>
      </w:r>
      <w:r>
        <w:t xml:space="preserve">merges the two at query time [Marz and Warren 2015]. The</w:t>
      </w:r>
      <w:r>
        <w:t xml:space="preserve"> </w:t>
      </w:r>
      <w:r>
        <w:rPr>
          <w:bCs/>
          <w:b/>
        </w:rPr>
        <w:t xml:space="preserve">Kappa architecture</w:t>
      </w:r>
      <w:r>
        <w:t xml:space="preserve"> </w:t>
      </w:r>
      <w:r>
        <w:t xml:space="preserve">uses a single stream-processing path over a replayable log; to change logic or fix a bug, it reprocesses history by replaying the log through a new version of the job [Kreps 2014].</w:t>
      </w:r>
      <w:r>
        <w:t xml:space="preserve"> </w:t>
      </w:r>
      <w:r>
        <w:rPr>
          <w:iCs/>
          <w:i/>
        </w:rPr>
        <w:t xml:space="preserve">(§29.10)</w:t>
      </w:r>
    </w:p>
    <w:p>
      <w:pPr>
        <w:pStyle w:val="BodyText"/>
      </w:pPr>
      <w:r>
        <w:rPr>
          <w:bCs/>
          <w:b/>
        </w:rPr>
        <w:t xml:space="preserve">Lamport clock</w:t>
      </w:r>
      <w:r>
        <w:t xml:space="preserve"> </w:t>
      </w:r>
      <w:r>
        <w:t xml:space="preserve">— Each process</w:t>
      </w:r>
      <w:r>
        <w:t xml:space="preserve"> </w:t>
      </w:r>
      <m:oMath>
        <m:sSub>
          <m:e>
            <m:r>
              <m:t>P</m:t>
            </m:r>
          </m:e>
          <m:sub>
            <m:r>
              <m:t>i</m:t>
            </m:r>
          </m:sub>
        </m:sSub>
      </m:oMath>
      <w:r>
        <w:t xml:space="preserve"> </w:t>
      </w:r>
      <w:r>
        <w:t xml:space="preserve">keeps an integer counter</w:t>
      </w:r>
      <w:r>
        <w:t xml:space="preserve"> </w:t>
      </w:r>
      <m:oMath>
        <m:sSub>
          <m:e>
            <m:r>
              <m:t>C</m:t>
            </m:r>
          </m:e>
          <m:sub>
            <m:r>
              <m:t>i</m:t>
            </m:r>
          </m:sub>
        </m:sSub>
      </m:oMath>
      <w:r>
        <w:t xml:space="preserve">, initially 0.</w:t>
      </w:r>
      <w:r>
        <w:t xml:space="preserve"> </w:t>
      </w:r>
      <w:r>
        <w:rPr>
          <w:bCs/>
          <w:b/>
        </w:rPr>
        <w:t xml:space="preserve">Rule 1:</w:t>
      </w:r>
      <w:r>
        <w:t xml:space="preserve"> </w:t>
      </w:r>
      <w:r>
        <w:t xml:space="preserve">before each event (local, send or receive),</w:t>
      </w:r>
      <w:r>
        <w:t xml:space="preserve"> </w:t>
      </w:r>
      <m:oMath>
        <m:sSub>
          <m:e>
            <m:r>
              <m:t>C</m:t>
            </m:r>
          </m:e>
          <m:sub>
            <m:r>
              <m:t>i</m:t>
            </m:r>
          </m:sub>
        </m:sSub>
        <m:r>
          <m:rPr>
            <m:sty m:val="p"/>
          </m:rPr>
          <m:t>←</m:t>
        </m:r>
        <m:sSub>
          <m:e>
            <m:r>
              <m:t>C</m:t>
            </m:r>
          </m:e>
          <m:sub>
            <m:r>
              <m:t>i</m:t>
            </m:r>
          </m:sub>
        </m:sSub>
        <m:r>
          <m:rPr>
            <m:sty m:val="p"/>
          </m:rPr>
          <m:t>+</m:t>
        </m:r>
        <m:r>
          <m:t>1</m:t>
        </m:r>
      </m:oMath>
      <w:r>
        <w:t xml:space="preserve">; a send attaches the new</w:t>
      </w:r>
      <w:r>
        <w:t xml:space="preserve"> </w:t>
      </w:r>
      <m:oMath>
        <m:sSub>
          <m:e>
            <m:r>
              <m:t>C</m:t>
            </m:r>
          </m:e>
          <m:sub>
            <m:r>
              <m:t>i</m:t>
            </m:r>
          </m:sub>
        </m:sSub>
      </m:oMath>
      <w:r>
        <w:t xml:space="preserve"> </w:t>
      </w:r>
      <w:r>
        <w:t xml:space="preserve">to the message.</w:t>
      </w:r>
      <w:r>
        <w:t xml:space="preserve"> </w:t>
      </w:r>
      <w:r>
        <w:rPr>
          <w:bCs/>
          <w:b/>
        </w:rPr>
        <w:t xml:space="preserve">Rule 2:</w:t>
      </w:r>
      <w:r>
        <w:t xml:space="preserve"> </w:t>
      </w:r>
      <w:r>
        <w:t xml:space="preserve">on receiving a message with timestamp</w:t>
      </w:r>
      <w:r>
        <w:t xml:space="preserve"> </w:t>
      </w:r>
      <m:oMath>
        <m:sSub>
          <m:e>
            <m:r>
              <m:t>t</m:t>
            </m:r>
          </m:e>
          <m:sub>
            <m:r>
              <m:t>m</m:t>
            </m:r>
          </m:sub>
        </m:sSub>
      </m:oMath>
      <w:r>
        <w:t xml:space="preserve">, set</w:t>
      </w:r>
      <w:r>
        <w:t xml:space="preserve"> </w:t>
      </w:r>
      <m:oMath>
        <m:sSub>
          <m:e>
            <m:r>
              <m:t>C</m:t>
            </m:r>
          </m:e>
          <m:sub>
            <m:r>
              <m:t>i</m:t>
            </m:r>
          </m:sub>
        </m:sSub>
        <m:r>
          <m:rPr>
            <m:sty m:val="p"/>
          </m:rPr>
          <m:t>←</m:t>
        </m:r>
        <m:r>
          <m:rPr>
            <m:sty m:val="p"/>
          </m:rPr>
          <m:t>max</m:t>
        </m:r>
        <m:d>
          <m:dPr>
            <m:begChr m:val="("/>
            <m:endChr m:val=")"/>
            <m:sepChr m:val=""/>
            <m:grow/>
          </m:dPr>
          <m:e>
            <m:sSub>
              <m:e>
                <m:r>
                  <m:t>C</m:t>
                </m:r>
              </m:e>
              <m:sub>
                <m:r>
                  <m:t>i</m:t>
                </m:r>
              </m:sub>
            </m:sSub>
            <m:r>
              <m:rPr>
                <m:sty m:val="p"/>
              </m:rPr>
              <m:t>,</m:t>
            </m:r>
            <m:sSub>
              <m:e>
                <m:r>
                  <m:t>t</m:t>
                </m:r>
              </m:e>
              <m:sub>
                <m:r>
                  <m:t>m</m:t>
                </m:r>
              </m:sub>
            </m:sSub>
          </m:e>
        </m:d>
      </m:oMath>
      <w:r>
        <w:t xml:space="preserve">, then apply rule 1. The event’s timestamp is the resulting</w:t>
      </w:r>
      <w:r>
        <w:t xml:space="preserve"> </w:t>
      </w:r>
      <m:oMath>
        <m:sSub>
          <m:e>
            <m:r>
              <m:t>C</m:t>
            </m:r>
          </m:e>
          <m:sub>
            <m:r>
              <m:t>i</m:t>
            </m:r>
          </m:sub>
        </m:sSub>
      </m:oMath>
      <w:r>
        <w:t xml:space="preserve">.</w:t>
      </w:r>
      <w:r>
        <w:t xml:space="preserve"> </w:t>
      </w:r>
      <w:r>
        <w:rPr>
          <w:iCs/>
          <w:i/>
        </w:rPr>
        <w:t xml:space="preserve">(§24.10.2)</w:t>
      </w:r>
    </w:p>
    <w:p>
      <w:pPr>
        <w:pStyle w:val="BodyText"/>
      </w:pPr>
      <w:r>
        <w:rPr>
          <w:bCs/>
          <w:b/>
        </w:rPr>
        <w:t xml:space="preserve">Last-writer-wins (LWW)</w:t>
      </w:r>
      <w:r>
        <w:t xml:space="preserve"> </w:t>
      </w:r>
      <w:r>
        <w:t xml:space="preserve">— Each write carries a timestamp, and when replicas hold different values for an item, the one with the greatest timestamp is kept and the others are discarded.</w:t>
      </w:r>
      <w:r>
        <w:t xml:space="preserve"> </w:t>
      </w:r>
      <w:r>
        <w:rPr>
          <w:iCs/>
          <w:i/>
        </w:rPr>
        <w:t xml:space="preserve">(§27.14.1)</w:t>
      </w:r>
    </w:p>
    <w:p>
      <w:pPr>
        <w:pStyle w:val="BodyText"/>
      </w:pPr>
      <w:r>
        <w:rPr>
          <w:bCs/>
          <w:b/>
        </w:rPr>
        <w:t xml:space="preserve">Latency and bandwidth (hardware)</w:t>
      </w:r>
      <w:r>
        <w:t xml:space="preserve"> </w:t>
      </w:r>
      <w:r>
        <w:t xml:space="preserve">—</w:t>
      </w:r>
      <w:r>
        <w:t xml:space="preserve"> </w:t>
      </w:r>
      <w:r>
        <w:rPr>
          <w:bCs/>
          <w:b/>
        </w:rPr>
        <w:t xml:space="preserve">Latency</w:t>
      </w:r>
      <w:r>
        <w:t xml:space="preserve"> </w:t>
      </w:r>
      <w:r>
        <w:t xml:space="preserve">is the time from issuing one request to receiving its first byte (for example, ~100 ns for a DRAM load).</w:t>
      </w:r>
      <w:r>
        <w:t xml:space="preserve"> </w:t>
      </w:r>
      <w:r>
        <w:rPr>
          <w:bCs/>
          <w:b/>
        </w:rPr>
        <w:t xml:space="preserve">Bandwidth</w:t>
      </w:r>
      <w:r>
        <w:t xml:space="preserve"> </w:t>
      </w:r>
      <w:r>
        <w:t xml:space="preserve">is the maximum rate at which data can be moved once transfers are flowing (for example, ~38 GB/s for one DDR5-4800 channel). Achieved bandwidth is</w:t>
      </w:r>
      <w:r>
        <w:t xml:space="preserve"> </w:t>
      </w:r>
      <w:r>
        <w:rPr>
          <w:bCs/>
          <w:b/>
        </w:rPr>
        <w:t xml:space="preserve">throughput</w:t>
      </w:r>
      <w:r>
        <w:t xml:space="preserve">.</w:t>
      </w:r>
      <w:r>
        <w:t xml:space="preserve"> </w:t>
      </w:r>
      <w:r>
        <w:rPr>
          <w:iCs/>
          <w:i/>
        </w:rPr>
        <w:t xml:space="preserve">(§5.9.1)</w:t>
      </w:r>
    </w:p>
    <w:p>
      <w:pPr>
        <w:pStyle w:val="BodyText"/>
      </w:pPr>
      <w:r>
        <w:rPr>
          <w:bCs/>
          <w:b/>
        </w:rPr>
        <w:t xml:space="preserve">Layer 4 (L4) and layer 7 (L7) load balancing</w:t>
      </w:r>
      <w:r>
        <w:t xml:space="preserve"> </w:t>
      </w:r>
      <w:r>
        <w:t xml:space="preserve">— An</w:t>
      </w:r>
      <w:r>
        <w:t xml:space="preserve"> </w:t>
      </w:r>
      <w:r>
        <w:rPr>
          <w:bCs/>
          <w:b/>
        </w:rPr>
        <w:t xml:space="preserve">L4 load balancer</w:t>
      </w:r>
      <w:r>
        <w:t xml:space="preserve"> </w:t>
      </w:r>
      <w:r>
        <w:t xml:space="preserve">makes its decision from transport-layer information (IP addresses, ports, protocol) and balances</w:t>
      </w:r>
      <w:r>
        <w:t xml:space="preserve"> </w:t>
      </w:r>
      <w:r>
        <w:rPr>
          <w:bCs/>
          <w:b/>
        </w:rPr>
        <w:t xml:space="preserve">connections or flows</w:t>
      </w:r>
      <w:r>
        <w:t xml:space="preserve">: every packet of one TCP connection goes to the same backend. An</w:t>
      </w:r>
      <w:r>
        <w:t xml:space="preserve"> </w:t>
      </w:r>
      <w:r>
        <w:rPr>
          <w:bCs/>
          <w:b/>
        </w:rPr>
        <w:t xml:space="preserve">L7 load balancer</w:t>
      </w:r>
      <w:r>
        <w:t xml:space="preserve"> </w:t>
      </w:r>
      <w:r>
        <w:t xml:space="preserve">terminates the client connection, parses the application protocol (usually HTTP), and balances</w:t>
      </w:r>
      <w:r>
        <w:t xml:space="preserve"> </w:t>
      </w:r>
      <w:r>
        <w:rPr>
          <w:bCs/>
          <w:b/>
        </w:rPr>
        <w:t xml:space="preserve">requests</w:t>
      </w:r>
      <w:r>
        <w:t xml:space="preserve">: two requests on one connection may go to different backends.</w:t>
      </w:r>
      <w:r>
        <w:t xml:space="preserve"> </w:t>
      </w:r>
      <w:r>
        <w:rPr>
          <w:iCs/>
          <w:i/>
        </w:rPr>
        <w:t xml:space="preserve">(§19.3.1)</w:t>
      </w:r>
    </w:p>
    <w:p>
      <w:pPr>
        <w:pStyle w:val="BodyText"/>
      </w:pPr>
      <w:r>
        <w:rPr>
          <w:bCs/>
          <w:b/>
        </w:rPr>
        <w:t xml:space="preserve">Leader election</w:t>
      </w:r>
      <w:r>
        <w:t xml:space="preserve"> </w:t>
      </w:r>
      <w:r>
        <w:t xml:space="preserve">— A protocol by which the nodes of a group choose one node, the</w:t>
      </w:r>
      <w:r>
        <w:t xml:space="preserve"> </w:t>
      </w:r>
      <w:r>
        <w:rPr>
          <w:bCs/>
          <w:b/>
        </w:rPr>
        <w:t xml:space="preserve">leader</w:t>
      </w:r>
      <w:r>
        <w:t xml:space="preserve">, to coordinate some activity (ordering writes, running a scheduler, owning a partition), and choose a replacement when it fails. The goal is</w:t>
      </w:r>
      <w:r>
        <w:t xml:space="preserve"> </w:t>
      </w:r>
      <w:r>
        <w:rPr>
          <w:iCs/>
          <w:i/>
        </w:rPr>
        <w:t xml:space="preserve">at most one</w:t>
      </w:r>
      <w:r>
        <w:t xml:space="preserve"> </w:t>
      </w:r>
      <w:r>
        <w:t xml:space="preserve">leader at a time (safety) and</w:t>
      </w:r>
      <w:r>
        <w:t xml:space="preserve"> </w:t>
      </w:r>
      <w:r>
        <w:rPr>
          <w:iCs/>
          <w:i/>
        </w:rPr>
        <w:t xml:space="preserve">eventually some</w:t>
      </w:r>
      <w:r>
        <w:t xml:space="preserve"> </w:t>
      </w:r>
      <w:r>
        <w:t xml:space="preserve">leader (liveness).</w:t>
      </w:r>
      <w:r>
        <w:t xml:space="preserve"> </w:t>
      </w:r>
      <w:r>
        <w:rPr>
          <w:iCs/>
          <w:i/>
        </w:rPr>
        <w:t xml:space="preserve">(§26.5.1)</w:t>
      </w:r>
    </w:p>
    <w:p>
      <w:pPr>
        <w:pStyle w:val="BodyText"/>
      </w:pPr>
      <w:r>
        <w:rPr>
          <w:bCs/>
          <w:b/>
        </w:rPr>
        <w:t xml:space="preserve">Leaderless replication</w:t>
      </w:r>
      <w:r>
        <w:t xml:space="preserve"> </w:t>
      </w:r>
      <w:r>
        <w:t xml:space="preserve">— Any replica of a key may accept reads and writes; the client, or a</w:t>
      </w:r>
      <w:r>
        <w:t xml:space="preserve"> </w:t>
      </w:r>
      <w:r>
        <w:rPr>
          <w:bCs/>
          <w:b/>
        </w:rPr>
        <w:t xml:space="preserve">coordinator</w:t>
      </w:r>
      <w:r>
        <w:t xml:space="preserve"> </w:t>
      </w:r>
      <w:r>
        <w:t xml:space="preserve">node acting for it, sends each request to several replicas in parallel and treats it as successful once enough of them respond. There is no failover because there is no leader [DeCandia et al. 2007].</w:t>
      </w:r>
      <w:r>
        <w:t xml:space="preserve"> </w:t>
      </w:r>
      <w:r>
        <w:rPr>
          <w:iCs/>
          <w:i/>
        </w:rPr>
        <w:t xml:space="preserve">(§27.7.1)</w:t>
      </w:r>
    </w:p>
    <w:p>
      <w:pPr>
        <w:pStyle w:val="BodyText"/>
      </w:pPr>
      <w:r>
        <w:rPr>
          <w:bCs/>
          <w:b/>
        </w:rPr>
        <w:t xml:space="preserve">Leaf–spine (folded Clos) network</w:t>
      </w:r>
      <w:r>
        <w:t xml:space="preserve"> </w:t>
      </w:r>
      <w:r>
        <w:t xml:space="preserve">— A two-tier topology in which every</w:t>
      </w:r>
      <w:r>
        <w:t xml:space="preserve"> </w:t>
      </w:r>
      <w:r>
        <w:rPr>
          <w:bCs/>
          <w:b/>
        </w:rPr>
        <w:t xml:space="preserve">leaf</w:t>
      </w:r>
      <w:r>
        <w:t xml:space="preserve"> </w:t>
      </w:r>
      <w:r>
        <w:t xml:space="preserve">(top-of-rack) switch connects to every</w:t>
      </w:r>
      <w:r>
        <w:t xml:space="preserve"> </w:t>
      </w:r>
      <w:r>
        <w:rPr>
          <w:bCs/>
          <w:b/>
        </w:rPr>
        <w:t xml:space="preserve">spine</w:t>
      </w:r>
      <w:r>
        <w:t xml:space="preserve"> </w:t>
      </w:r>
      <w:r>
        <w:t xml:space="preserve">switch, and servers attach only to leaves. Any two servers on different leaves are exactly two switch hops apart (leaf → spine → leaf), and traffic is spread across all spines with ECMP. It is a form of the multistage</w:t>
      </w:r>
      <w:r>
        <w:t xml:space="preserve"> </w:t>
      </w:r>
      <w:r>
        <w:rPr>
          <w:bCs/>
          <w:b/>
        </w:rPr>
        <w:t xml:space="preserve">Clos network</w:t>
      </w:r>
      <w:r>
        <w:t xml:space="preserve">, first described by Charles Clos in 1953 for telephone switching. Larger fabrics add a third tier.</w:t>
      </w:r>
      <w:r>
        <w:t xml:space="preserve"> </w:t>
      </w:r>
      <w:r>
        <w:rPr>
          <w:iCs/>
          <w:i/>
        </w:rPr>
        <w:t xml:space="preserve">(§7.17.1)</w:t>
      </w:r>
    </w:p>
    <w:p>
      <w:pPr>
        <w:pStyle w:val="BodyText"/>
      </w:pPr>
      <w:r>
        <w:rPr>
          <w:bCs/>
          <w:b/>
        </w:rPr>
        <w:t xml:space="preserve">Leaky bucket</w:t>
      </w:r>
      <w:r>
        <w:t xml:space="preserve"> </w:t>
      </w:r>
      <w:r>
        <w:t xml:space="preserve">— (a)</w:t>
      </w:r>
      <w:r>
        <w:t xml:space="preserve"> </w:t>
      </w:r>
      <w:r>
        <w:rPr>
          <w:bCs/>
          <w:b/>
        </w:rPr>
        <w:t xml:space="preserve">As a queue:</w:t>
      </w:r>
      <w:r>
        <w:t xml:space="preserve"> </w:t>
      </w:r>
      <w:r>
        <w:t xml:space="preserve">requests enter a FIFO buffer of capacity</w:t>
      </w:r>
      <w:r>
        <w:t xml:space="preserve"> </w:t>
      </w:r>
      <m:oMath>
        <m:r>
          <m:t>Q</m:t>
        </m:r>
      </m:oMath>
      <w:r>
        <w:t xml:space="preserve"> </w:t>
      </w:r>
      <w:r>
        <w:t xml:space="preserve">that is drained at a constant rate</w:t>
      </w:r>
      <w:r>
        <w:t xml:space="preserve"> </w:t>
      </w:r>
      <m:oMath>
        <m:r>
          <m:t>r</m:t>
        </m:r>
      </m:oMath>
      <w:r>
        <w:t xml:space="preserve">; arrivals that find the buffer full are dropped. Output is perfectly smooth. (b)</w:t>
      </w:r>
      <w:r>
        <w:t xml:space="preserve"> </w:t>
      </w:r>
      <w:r>
        <w:rPr>
          <w:bCs/>
          <w:b/>
        </w:rPr>
        <w:t xml:space="preserve">As a meter:</w:t>
      </w:r>
      <w:r>
        <w:t xml:space="preserve"> </w:t>
      </w:r>
      <w:r>
        <w:t xml:space="preserve">a counter (the</w:t>
      </w:r>
      <w:r>
        <w:t xml:space="preserve"> </w:t>
      </w:r>
      <w:r>
        <w:t xml:space="preserve">“</w:t>
      </w:r>
      <w:r>
        <w:t xml:space="preserve">water level</w:t>
      </w:r>
      <w:r>
        <w:t xml:space="preserve">”</w:t>
      </w:r>
      <w:r>
        <w:t xml:space="preserve">) increases by one per admitted request and leaks at rate</w:t>
      </w:r>
      <w:r>
        <w:t xml:space="preserve"> </w:t>
      </w:r>
      <m:oMath>
        <m:r>
          <m:t>r</m:t>
        </m:r>
      </m:oMath>
      <w:r>
        <w:t xml:space="preserve">; a request that would overflow capacity is rejected immediately. The meter form makes the same admit/reject decisions as a token bucket with the same rate and capacity.</w:t>
      </w:r>
      <w:r>
        <w:t xml:space="preserve"> </w:t>
      </w:r>
      <w:r>
        <w:rPr>
          <w:iCs/>
          <w:i/>
        </w:rPr>
        <w:t xml:space="preserve">(§22.5.1)</w:t>
      </w:r>
    </w:p>
    <w:p>
      <w:pPr>
        <w:pStyle w:val="BodyText"/>
      </w:pPr>
      <w:r>
        <w:rPr>
          <w:bCs/>
          <w:b/>
        </w:rPr>
        <w:t xml:space="preserve">Lease</w:t>
      </w:r>
      <w:r>
        <w:t xml:space="preserve"> </w:t>
      </w:r>
      <w:r>
        <w:t xml:space="preserve">— A time-bounded grant of a right (to cache data, to act as leader, to hold a lock) from a grantor to a holder. Within the term the holder may act without consulting the grantor; after the term, the right lapses automatically, even if the holder has crashed or is unreachable [Gray and Cheriton 1989].</w:t>
      </w:r>
      <w:r>
        <w:t xml:space="preserve"> </w:t>
      </w:r>
      <w:r>
        <w:rPr>
          <w:iCs/>
          <w:i/>
        </w:rPr>
        <w:t xml:space="preserve">(§26.11.1)</w:t>
      </w:r>
    </w:p>
    <w:p>
      <w:pPr>
        <w:pStyle w:val="BodyText"/>
      </w:pPr>
      <w:r>
        <w:rPr>
          <w:bCs/>
          <w:b/>
        </w:rPr>
        <w:t xml:space="preserve">Least connections</w:t>
      </w:r>
      <w:r>
        <w:t xml:space="preserve"> </w:t>
      </w:r>
      <w:r>
        <w:t xml:space="preserve">— Send each new connection or request to the backend with the fewest</w:t>
      </w:r>
      <w:r>
        <w:t xml:space="preserve"> </w:t>
      </w:r>
      <w:r>
        <w:rPr>
          <w:bCs/>
          <w:b/>
        </w:rPr>
        <w:t xml:space="preserve">active</w:t>
      </w:r>
      <w:r>
        <w:t xml:space="preserve"> </w:t>
      </w:r>
      <w:r>
        <w:t xml:space="preserve">(in-flight) connections or requests, as counted by the balancer.</w:t>
      </w:r>
      <w:r>
        <w:t xml:space="preserve"> </w:t>
      </w:r>
      <w:r>
        <w:rPr>
          <w:iCs/>
          <w:i/>
        </w:rPr>
        <w:t xml:space="preserve">Weighted least connections</w:t>
      </w:r>
      <w:r>
        <w:t xml:space="preserve"> </w:t>
      </w:r>
      <w:r>
        <w:t xml:space="preserve">divides each count by the backend’s weight. Envoy calls the request-counting variant</w:t>
      </w:r>
      <w:r>
        <w:t xml:space="preserve"> </w:t>
      </w:r>
      <w:r>
        <w:rPr>
          <w:bCs/>
          <w:b/>
        </w:rPr>
        <w:t xml:space="preserve">least request</w:t>
      </w:r>
      <w:r>
        <w:t xml:space="preserve">; AWS ALB calls it</w:t>
      </w:r>
      <w:r>
        <w:t xml:space="preserve"> </w:t>
      </w:r>
      <w:r>
        <w:rPr>
          <w:bCs/>
          <w:b/>
        </w:rPr>
        <w:t xml:space="preserve">least outstanding requests</w:t>
      </w:r>
      <w:r>
        <w:t xml:space="preserve">.</w:t>
      </w:r>
      <w:r>
        <w:t xml:space="preserve"> </w:t>
      </w:r>
      <w:r>
        <w:rPr>
          <w:iCs/>
          <w:i/>
        </w:rPr>
        <w:t xml:space="preserve">(§19.4.2)</w:t>
      </w:r>
    </w:p>
    <w:p>
      <w:pPr>
        <w:pStyle w:val="BodyText"/>
      </w:pPr>
      <w:r>
        <w:rPr>
          <w:bCs/>
          <w:b/>
        </w:rPr>
        <w:t xml:space="preserve">Least response time</w:t>
      </w:r>
      <w:r>
        <w:t xml:space="preserve"> </w:t>
      </w:r>
      <w:r>
        <w:t xml:space="preserve">— Choose the backend with the lowest recent latency, usually an</w:t>
      </w:r>
      <w:r>
        <w:t xml:space="preserve"> </w:t>
      </w:r>
      <w:r>
        <w:rPr>
          <w:bCs/>
          <w:b/>
        </w:rPr>
        <w:t xml:space="preserve">exponentially weighted moving average (EWMA)</w:t>
      </w:r>
      <w:r>
        <w:t xml:space="preserve"> </w:t>
      </w:r>
      <w:r>
        <w:t xml:space="preserve">of observed response times, often multiplied by the in-flight count so that both queue length and speed count.</w:t>
      </w:r>
      <w:r>
        <w:t xml:space="preserve"> </w:t>
      </w:r>
      <w:r>
        <w:rPr>
          <w:iCs/>
          <w:i/>
        </w:rPr>
        <w:t xml:space="preserve">(§19.4.3)</w:t>
      </w:r>
    </w:p>
    <w:p>
      <w:pPr>
        <w:pStyle w:val="BodyText"/>
      </w:pPr>
      <w:r>
        <w:rPr>
          <w:bCs/>
          <w:b/>
        </w:rPr>
        <w:t xml:space="preserve">Linearizability</w:t>
      </w:r>
      <w:r>
        <w:t xml:space="preserve"> </w:t>
      </w:r>
      <w:r>
        <w:t xml:space="preserve">— A history is</w:t>
      </w:r>
      <w:r>
        <w:t xml:space="preserve"> </w:t>
      </w:r>
      <w:r>
        <w:rPr>
          <w:bCs/>
          <w:b/>
        </w:rPr>
        <w:t xml:space="preserve">linearizable</w:t>
      </w:r>
      <w:r>
        <w:t xml:space="preserve"> </w:t>
      </w:r>
      <w:r>
        <w:t xml:space="preserve">if each operation can be assigned a single instant, its</w:t>
      </w:r>
      <w:r>
        <w:t xml:space="preserve"> </w:t>
      </w:r>
      <w:r>
        <w:rPr>
          <w:bCs/>
          <w:b/>
        </w:rPr>
        <w:t xml:space="preserve">linearization point</w:t>
      </w:r>
      <w:r>
        <w:t xml:space="preserve">, somewhere between its invocation and its response, such that (1) the operations, ordered by these points, form a</w:t>
      </w:r>
      <w:r>
        <w:t xml:space="preserve"> </w:t>
      </w:r>
      <w:r>
        <w:rPr>
          <w:bCs/>
          <w:b/>
        </w:rPr>
        <w:t xml:space="preserve">legal sequential history</w:t>
      </w:r>
      <w:r>
        <w:t xml:space="preserve"> </w:t>
      </w:r>
      <w:r>
        <w:t xml:space="preserve">of the object (every read returns the value of the most recent preceding write), and (2) therefore whenever</w:t>
      </w:r>
      <w:r>
        <w:t xml:space="preserve"> </w:t>
      </w:r>
      <m:oMath>
        <m:r>
          <m:t>a</m:t>
        </m:r>
      </m:oMath>
      <w:r>
        <w:t xml:space="preserve"> </w:t>
      </w:r>
      <w:r>
        <w:t xml:space="preserve">precedes</w:t>
      </w:r>
      <w:r>
        <w:t xml:space="preserve"> </w:t>
      </w:r>
      <m:oMath>
        <m:r>
          <m:t>b</m:t>
        </m:r>
      </m:oMath>
      <w:r>
        <w:t xml:space="preserve"> </w:t>
      </w:r>
      <w:r>
        <w:t xml:space="preserve">in real time,</w:t>
      </w:r>
      <w:r>
        <w:t xml:space="preserve"> </w:t>
      </w:r>
      <m:oMath>
        <m:r>
          <m:t>a</m:t>
        </m:r>
      </m:oMath>
      <w:r>
        <w:t xml:space="preserve"> </w:t>
      </w:r>
      <w:r>
        <w:t xml:space="preserve">comes before</w:t>
      </w:r>
      <w:r>
        <w:t xml:space="preserve"> </w:t>
      </w:r>
      <m:oMath>
        <m:r>
          <m:t>b</m:t>
        </m:r>
      </m:oMath>
      <w:r>
        <w:t xml:space="preserve"> </w:t>
      </w:r>
      <w:r>
        <w:t xml:space="preserve">in that order. Pending operations may be either included (with a linearization point after their invocation) or dropped. An object is linearizable if all its histories are [Herlihy &amp; Wing 1990].</w:t>
      </w:r>
      <w:r>
        <w:t xml:space="preserve"> </w:t>
      </w:r>
      <w:r>
        <w:rPr>
          <w:iCs/>
          <w:i/>
        </w:rPr>
        <w:t xml:space="preserve">(§25.3.2)</w:t>
      </w:r>
    </w:p>
    <w:p>
      <w:pPr>
        <w:pStyle w:val="BodyText"/>
      </w:pPr>
      <w:r>
        <w:rPr>
          <w:bCs/>
          <w:b/>
        </w:rPr>
        <w:t xml:space="preserve">Little’s Law</w:t>
      </w:r>
      <w:r>
        <w:t xml:space="preserve"> </w:t>
      </w:r>
      <w:r>
        <w:t xml:space="preserve">— For any stable system observed over a long period, the average number of items in the system equals the average arrival rate multiplied by the average time each item spends in the system:</w:t>
      </w:r>
      <w:r>
        <w:t xml:space="preserve"> </w:t>
      </w:r>
      <m:oMath>
        <m:r>
          <m:t>L</m:t>
        </m:r>
        <m:r>
          <m:rPr>
            <m:sty m:val="p"/>
          </m:rPr>
          <m:t>=</m:t>
        </m:r>
        <m:r>
          <m:t>λ</m:t>
        </m:r>
        <m:r>
          <m:t>W</m:t>
        </m:r>
      </m:oMath>
      <w:r>
        <w:t xml:space="preserve"> </w:t>
      </w:r>
      <w:r>
        <w:t xml:space="preserve">[Little 1961].</w:t>
      </w:r>
      <w:r>
        <w:t xml:space="preserve"> </w:t>
      </w:r>
      <w:r>
        <w:rPr>
          <w:iCs/>
          <w:i/>
        </w:rPr>
        <w:t xml:space="preserve">(§4.11.1)</w:t>
      </w:r>
    </w:p>
    <w:p>
      <w:pPr>
        <w:pStyle w:val="BodyText"/>
      </w:pPr>
      <w:r>
        <w:rPr>
          <w:bCs/>
          <w:b/>
        </w:rPr>
        <w:t xml:space="preserve">Load balancer</w:t>
      </w:r>
      <w:r>
        <w:t xml:space="preserve"> </w:t>
      </w:r>
      <w:r>
        <w:t xml:space="preserve">— A component that receives traffic addressed to a single service endpoint, the</w:t>
      </w:r>
      <w:r>
        <w:t xml:space="preserve"> </w:t>
      </w:r>
      <w:r>
        <w:rPr>
          <w:bCs/>
          <w:b/>
        </w:rPr>
        <w:t xml:space="preserve">virtual IP address (VIP)</w:t>
      </w:r>
      <w:r>
        <w:t xml:space="preserve"> </w:t>
      </w:r>
      <w:r>
        <w:t xml:space="preserve">or service name, and distributes it across a</w:t>
      </w:r>
      <w:r>
        <w:t xml:space="preserve"> </w:t>
      </w:r>
      <w:r>
        <w:rPr>
          <w:bCs/>
          <w:b/>
        </w:rPr>
        <w:t xml:space="preserve">pool</w:t>
      </w:r>
      <w:r>
        <w:t xml:space="preserve"> </w:t>
      </w:r>
      <w:r>
        <w:t xml:space="preserve">of</w:t>
      </w:r>
      <w:r>
        <w:t xml:space="preserve"> </w:t>
      </w:r>
      <w:r>
        <w:rPr>
          <w:bCs/>
          <w:b/>
        </w:rPr>
        <w:t xml:space="preserve">backends</w:t>
      </w:r>
      <w:r>
        <w:t xml:space="preserve"> </w:t>
      </w:r>
      <w:r>
        <w:t xml:space="preserve">(also called</w:t>
      </w:r>
      <w:r>
        <w:t xml:space="preserve"> </w:t>
      </w:r>
      <w:r>
        <w:rPr>
          <w:iCs/>
          <w:i/>
        </w:rPr>
        <w:t xml:space="preserve">upstreams</w:t>
      </w:r>
      <w:r>
        <w:t xml:space="preserve">,</w:t>
      </w:r>
      <w:r>
        <w:t xml:space="preserve"> </w:t>
      </w:r>
      <w:r>
        <w:rPr>
          <w:iCs/>
          <w:i/>
        </w:rPr>
        <w:t xml:space="preserve">targets</w:t>
      </w:r>
      <w:r>
        <w:t xml:space="preserve"> </w:t>
      </w:r>
      <w:r>
        <w:t xml:space="preserve">or</w:t>
      </w:r>
      <w:r>
        <w:t xml:space="preserve"> </w:t>
      </w:r>
      <w:r>
        <w:rPr>
          <w:iCs/>
          <w:i/>
        </w:rPr>
        <w:t xml:space="preserve">real servers</w:t>
      </w:r>
      <w:r>
        <w:t xml:space="preserve">) according to a</w:t>
      </w:r>
      <w:r>
        <w:t xml:space="preserve"> </w:t>
      </w:r>
      <w:r>
        <w:rPr>
          <w:bCs/>
          <w:b/>
        </w:rPr>
        <w:t xml:space="preserve">balancing algorithm</w:t>
      </w:r>
      <w:r>
        <w:t xml:space="preserve">, while excluding backends that are unhealthy.</w:t>
      </w:r>
      <w:r>
        <w:t xml:space="preserve"> </w:t>
      </w:r>
      <w:r>
        <w:rPr>
          <w:iCs/>
          <w:i/>
        </w:rPr>
        <w:t xml:space="preserve">(§19.3.1)</w:t>
      </w:r>
    </w:p>
    <w:p>
      <w:pPr>
        <w:pStyle w:val="BodyText"/>
      </w:pPr>
      <w:r>
        <w:rPr>
          <w:bCs/>
          <w:b/>
        </w:rPr>
        <w:t xml:space="preserve">Load shedding and throttling</w:t>
      </w:r>
      <w:r>
        <w:t xml:space="preserve"> </w:t>
      </w:r>
      <w:r>
        <w:t xml:space="preserve">—</w:t>
      </w:r>
      <w:r>
        <w:t xml:space="preserve"> </w:t>
      </w:r>
      <w:r>
        <w:rPr>
          <w:bCs/>
          <w:b/>
        </w:rPr>
        <w:t xml:space="preserve">Load shedding</w:t>
      </w:r>
      <w:r>
        <w:t xml:space="preserve"> </w:t>
      </w:r>
      <w:r>
        <w:t xml:space="preserve">is a server rejecting some requests early and cheaply (usually with 503) because accepting them would push it past capacity, regardless of whether each client is within its quota.</w:t>
      </w:r>
      <w:r>
        <w:t xml:space="preserve"> </w:t>
      </w:r>
      <w:r>
        <w:rPr>
          <w:bCs/>
          <w:b/>
        </w:rPr>
        <w:t xml:space="preserve">Throttling</w:t>
      </w:r>
      <w:r>
        <w:t xml:space="preserve"> </w:t>
      </w:r>
      <w:r>
        <w:t xml:space="preserve">is slowing a client down, by delaying or rejecting its requests; rate limiting is the quota-based form.</w:t>
      </w:r>
      <w:r>
        <w:t xml:space="preserve"> </w:t>
      </w:r>
      <w:r>
        <w:rPr>
          <w:bCs/>
          <w:b/>
        </w:rPr>
        <w:t xml:space="preserve">Goodput</w:t>
      </w:r>
      <w:r>
        <w:t xml:space="preserve"> </w:t>
      </w:r>
      <w:r>
        <w:t xml:space="preserve">is the rate of requests completed</w:t>
      </w:r>
      <w:r>
        <w:t xml:space="preserve"> </w:t>
      </w:r>
      <w:r>
        <w:rPr>
          <w:iCs/>
          <w:i/>
        </w:rPr>
        <w:t xml:space="preserve">usefully</w:t>
      </w:r>
      <w:r>
        <w:t xml:space="preserve">: correctly and before the client gave up.</w:t>
      </w:r>
      <w:r>
        <w:t xml:space="preserve"> </w:t>
      </w:r>
      <w:r>
        <w:rPr>
          <w:iCs/>
          <w:i/>
        </w:rPr>
        <w:t xml:space="preserve">(§22.9.1)</w:t>
      </w:r>
    </w:p>
    <w:p>
      <w:pPr>
        <w:pStyle w:val="BodyText"/>
      </w:pPr>
      <w:r>
        <w:rPr>
          <w:bCs/>
          <w:b/>
        </w:rPr>
        <w:t xml:space="preserve">Local and global secondary indexes</w:t>
      </w:r>
      <w:r>
        <w:t xml:space="preserve"> </w:t>
      </w:r>
      <w:r>
        <w:t xml:space="preserve">— A</w:t>
      </w:r>
      <w:r>
        <w:t xml:space="preserve"> </w:t>
      </w:r>
      <w:r>
        <w:rPr>
          <w:bCs/>
          <w:b/>
        </w:rPr>
        <w:t xml:space="preserve">local</w:t>
      </w:r>
      <w:r>
        <w:t xml:space="preserve"> </w:t>
      </w:r>
      <w:r>
        <w:t xml:space="preserve">(document-partitioned) index lives in each partition and covers only its rows. A</w:t>
      </w:r>
      <w:r>
        <w:t xml:space="preserve"> </w:t>
      </w:r>
      <w:r>
        <w:rPr>
          <w:bCs/>
          <w:b/>
        </w:rPr>
        <w:t xml:space="preserve">global</w:t>
      </w:r>
      <w:r>
        <w:t xml:space="preserve"> </w:t>
      </w:r>
      <w:r>
        <w:t xml:space="preserve">(term-partitioned) index covers all rows and is partitioned by the</w:t>
      </w:r>
      <w:r>
        <w:t xml:space="preserve"> </w:t>
      </w:r>
      <w:r>
        <w:rPr>
          <w:iCs/>
          <w:i/>
        </w:rPr>
        <w:t xml:space="preserve">indexed value</w:t>
      </w:r>
      <w:r>
        <w:t xml:space="preserve">, so all entries for one value live together [Kleppmann 2017].</w:t>
      </w:r>
      <w:r>
        <w:t xml:space="preserve"> </w:t>
      </w:r>
      <w:r>
        <w:rPr>
          <w:iCs/>
          <w:i/>
        </w:rPr>
        <w:t xml:space="preserve">(§14.11.1)</w:t>
      </w:r>
    </w:p>
    <w:p>
      <w:pPr>
        <w:pStyle w:val="BodyText"/>
      </w:pPr>
      <w:r>
        <w:rPr>
          <w:bCs/>
          <w:b/>
        </w:rPr>
        <w:t xml:space="preserve">Logarithm</w:t>
      </w:r>
      <w:r>
        <w:t xml:space="preserve"> </w:t>
      </w:r>
      <w:r>
        <w:t xml:space="preserve">— The logarithm base</w:t>
      </w:r>
      <w:r>
        <w:t xml:space="preserve"> </w:t>
      </w:r>
      <m:oMath>
        <m:r>
          <m:t>b</m:t>
        </m:r>
      </m:oMath>
      <w:r>
        <w:t xml:space="preserve"> </w:t>
      </w:r>
      <w:r>
        <w:t xml:space="preserve">of</w:t>
      </w:r>
      <w:r>
        <w:t xml:space="preserve"> </w:t>
      </w:r>
      <m:oMath>
        <m:r>
          <m:t>x</m:t>
        </m:r>
      </m:oMath>
      <w:r>
        <w:t xml:space="preserve">, written</w:t>
      </w:r>
      <w:r>
        <w:t xml:space="preserve"> </w:t>
      </w:r>
      <m:oMath>
        <m:sSub>
          <m:e>
            <m:r>
              <m:rPr>
                <m:sty m:val="p"/>
              </m:rPr>
              <m:t>log</m:t>
            </m:r>
          </m:e>
          <m:sub>
            <m:r>
              <m:t>b</m:t>
            </m:r>
          </m:sub>
        </m:sSub>
        <m:r>
          <m:t>x</m:t>
        </m:r>
      </m:oMath>
      <w:r>
        <w:t xml:space="preserve">, is the exponent to which</w:t>
      </w:r>
      <w:r>
        <w:t xml:space="preserve"> </w:t>
      </w:r>
      <m:oMath>
        <m:r>
          <m:t>b</m:t>
        </m:r>
      </m:oMath>
      <w:r>
        <w:t xml:space="preserve"> </w:t>
      </w:r>
      <w:r>
        <w:t xml:space="preserve">must be raised to give</w:t>
      </w:r>
      <w:r>
        <w:t xml:space="preserve"> </w:t>
      </w:r>
      <m:oMath>
        <m:r>
          <m:t>x</m:t>
        </m:r>
      </m:oMath>
      <w:r>
        <w:t xml:space="preserve">: if</w:t>
      </w:r>
      <w:r>
        <w:t xml:space="preserve"> </w:t>
      </w:r>
      <m:oMath>
        <m:sSup>
          <m:e>
            <m:r>
              <m:t>b</m:t>
            </m:r>
          </m:e>
          <m:sup>
            <m:r>
              <m:t>y</m:t>
            </m:r>
          </m:sup>
        </m:sSup>
        <m:r>
          <m:rPr>
            <m:sty m:val="p"/>
          </m:rPr>
          <m:t>=</m:t>
        </m:r>
        <m:r>
          <m:t>x</m:t>
        </m:r>
      </m:oMath>
      <w:r>
        <w:t xml:space="preserve"> </w:t>
      </w:r>
      <w:r>
        <w:t xml:space="preserve">then</w:t>
      </w:r>
      <w:r>
        <w:t xml:space="preserve"> </w:t>
      </w:r>
      <m:oMath>
        <m:r>
          <m:t>y</m:t>
        </m:r>
        <m:r>
          <m:rPr>
            <m:sty m:val="p"/>
          </m:rPr>
          <m:t>=</m:t>
        </m:r>
        <m:sSub>
          <m:e>
            <m:r>
              <m:rPr>
                <m:sty m:val="p"/>
              </m:rPr>
              <m:t>log</m:t>
            </m:r>
          </m:e>
          <m:sub>
            <m:r>
              <m:t>b</m:t>
            </m:r>
          </m:sub>
        </m:sSub>
        <m:r>
          <m:t>x</m:t>
        </m:r>
      </m:oMath>
      <w:r>
        <w:t xml:space="preserve">.</w:t>
      </w:r>
      <w:r>
        <w:t xml:space="preserve"> </w:t>
      </w:r>
      <w:r>
        <w:rPr>
          <w:iCs/>
          <w:i/>
        </w:rPr>
        <w:t xml:space="preserve">(§4.4.1)</w:t>
      </w:r>
    </w:p>
    <w:p>
      <w:pPr>
        <w:pStyle w:val="BodyText"/>
      </w:pPr>
      <w:r>
        <w:rPr>
          <w:bCs/>
          <w:b/>
        </w:rPr>
        <w:t xml:space="preserve">Log matching property</w:t>
      </w:r>
      <w:r>
        <w:t xml:space="preserve"> </w:t>
      </w:r>
      <w:r>
        <w:t xml:space="preserve">— If two logs contain an entry with the same index and term, then (1) the entries store the same command, and (2) the logs are identical in all preceding entries.</w:t>
      </w:r>
      <w:r>
        <w:t xml:space="preserve"> </w:t>
      </w:r>
      <w:r>
        <w:rPr>
          <w:iCs/>
          <w:i/>
        </w:rPr>
        <w:t xml:space="preserve">(§26.7.4)</w:t>
      </w:r>
    </w:p>
    <w:p>
      <w:pPr>
        <w:pStyle w:val="BodyText"/>
      </w:pPr>
      <w:r>
        <w:rPr>
          <w:bCs/>
          <w:b/>
        </w:rPr>
        <w:t xml:space="preserve">Log-structured merge tree (LSM tree)</w:t>
      </w:r>
      <w:r>
        <w:t xml:space="preserve"> </w:t>
      </w:r>
      <w:r>
        <w:t xml:space="preserve">— A storage structure that buffers writes in a sorted in-memory table (the</w:t>
      </w:r>
      <w:r>
        <w:t xml:space="preserve"> </w:t>
      </w:r>
      <w:r>
        <w:rPr>
          <w:bCs/>
          <w:b/>
        </w:rPr>
        <w:t xml:space="preserve">memtable</w:t>
      </w:r>
      <w:r>
        <w:t xml:space="preserve">), periodically writes it out as an immutable sorted file (a</w:t>
      </w:r>
      <w:r>
        <w:t xml:space="preserve"> </w:t>
      </w:r>
      <w:r>
        <w:rPr>
          <w:bCs/>
          <w:b/>
        </w:rPr>
        <w:t xml:space="preserve">sorted string table, SSTable</w:t>
      </w:r>
      <w:r>
        <w:t xml:space="preserve">), and merges SSTables in the background (</w:t>
      </w:r>
      <w:r>
        <w:rPr>
          <w:bCs/>
          <w:b/>
        </w:rPr>
        <w:t xml:space="preserve">compaction</w:t>
      </w:r>
      <w:r>
        <w:t xml:space="preserve">) into progressively larger sorted runs organized in</w:t>
      </w:r>
      <w:r>
        <w:t xml:space="preserve"> </w:t>
      </w:r>
      <w:r>
        <w:rPr>
          <w:bCs/>
          <w:b/>
        </w:rPr>
        <w:t xml:space="preserve">levels</w:t>
      </w:r>
      <w:r>
        <w:t xml:space="preserve">. Introduced by O’Neil, Cheng, Gawlick and O’Neil [O’Neil et al. 1996]; the memtable/SSTable design popularized by Google’s Bigtable [Chang et al. 2006] and implemented in LevelDB, RocksDB, Cassandra, HBase, ScyllaDB and many others.</w:t>
      </w:r>
      <w:r>
        <w:t xml:space="preserve"> </w:t>
      </w:r>
      <w:r>
        <w:rPr>
          <w:iCs/>
          <w:i/>
        </w:rPr>
        <w:t xml:space="preserve">(§13.8.1)</w:t>
      </w:r>
    </w:p>
    <w:p>
      <w:pPr>
        <w:pStyle w:val="BodyText"/>
      </w:pPr>
      <w:r>
        <w:rPr>
          <w:bCs/>
          <w:b/>
        </w:rPr>
        <w:t xml:space="preserve">Log-structured storage</w:t>
      </w:r>
      <w:r>
        <w:t xml:space="preserve"> </w:t>
      </w:r>
      <w:r>
        <w:t xml:space="preserve">— A storage design in which every write — insert, update or delete — is appended to the end of a file, and existing data is never modified in place. Old versions become garbage that a background</w:t>
      </w:r>
      <w:r>
        <w:t xml:space="preserve"> </w:t>
      </w:r>
      <w:r>
        <w:rPr>
          <w:bCs/>
          <w:b/>
        </w:rPr>
        <w:t xml:space="preserve">compaction</w:t>
      </w:r>
      <w:r>
        <w:t xml:space="preserve"> </w:t>
      </w:r>
      <w:r>
        <w:t xml:space="preserve">(or merge) process removes by copying live data into new files.</w:t>
      </w:r>
      <w:r>
        <w:t xml:space="preserve"> </w:t>
      </w:r>
      <w:r>
        <w:rPr>
          <w:iCs/>
          <w:i/>
        </w:rPr>
        <w:t xml:space="preserve">(§13.7.1)</w:t>
      </w:r>
    </w:p>
    <w:p>
      <w:pPr>
        <w:pStyle w:val="BodyText"/>
      </w:pPr>
      <w:r>
        <w:rPr>
          <w:bCs/>
          <w:b/>
        </w:rPr>
        <w:t xml:space="preserve">Long polling</w:t>
      </w:r>
      <w:r>
        <w:t xml:space="preserve"> </w:t>
      </w:r>
      <w:r>
        <w:t xml:space="preserve">— A technique in which the client sends an HTTP request that the server deliberately does not answer until either new data is available or a server-side timeout</w:t>
      </w:r>
      <w:r>
        <w:t xml:space="preserve"> </w:t>
      </w:r>
      <w:r>
        <w:rPr>
          <w:iCs/>
          <w:i/>
        </w:rPr>
        <w:t xml:space="preserve">T</w:t>
      </w:r>
      <w:r>
        <w:t xml:space="preserve">hold</w:t>
      </w:r>
      <w:r>
        <w:t xml:space="preserve"> </w:t>
      </w:r>
      <w:r>
        <w:t xml:space="preserve">expires; on receiving any response, the client immediately sends the next request.</w:t>
      </w:r>
      <w:r>
        <w:t xml:space="preserve"> </w:t>
      </w:r>
      <w:r>
        <w:rPr>
          <w:iCs/>
          <w:i/>
        </w:rPr>
        <w:t xml:space="preserve">(§9.4.1)</w:t>
      </w:r>
    </w:p>
    <w:p>
      <w:pPr>
        <w:pStyle w:val="BodyText"/>
      </w:pPr>
      <w:r>
        <w:rPr>
          <w:bCs/>
          <w:b/>
        </w:rPr>
        <w:t xml:space="preserve">Low-level design (LLD)</w:t>
      </w:r>
      <w:r>
        <w:t xml:space="preserve"> </w:t>
      </w:r>
      <w:r>
        <w:t xml:space="preserve">— A description of the internals of one component: its modules, classes or functions, data structures, algorithms, database schemas, API request and response formats, error handling and state transitions — at a level of detail from which an engineer can write code.</w:t>
      </w:r>
      <w:r>
        <w:t xml:space="preserve"> </w:t>
      </w:r>
      <w:r>
        <w:rPr>
          <w:iCs/>
          <w:i/>
        </w:rPr>
        <w:t xml:space="preserve">(§1.5.1)</w:t>
      </w:r>
    </w:p>
    <w:bookmarkEnd w:id="3363"/>
    <w:bookmarkStart w:id="3364" w:name="m"/>
    <w:p>
      <w:pPr>
        <w:pStyle w:val="Heading2"/>
      </w:pPr>
      <w:r>
        <w:t xml:space="preserve">M</w:t>
      </w:r>
    </w:p>
    <w:p>
      <w:pPr>
        <w:pStyle w:val="FirstParagraph"/>
      </w:pPr>
      <w:r>
        <w:rPr>
          <w:bCs/>
          <w:b/>
        </w:rPr>
        <w:t xml:space="preserve">Maglev hashing</w:t>
      </w:r>
      <w:r>
        <w:t xml:space="preserve"> </w:t>
      </w:r>
      <w:r>
        <w:t xml:space="preserve">— A consistent-hashing scheme that builds a</w:t>
      </w:r>
      <w:r>
        <w:t xml:space="preserve"> </w:t>
      </w:r>
      <w:r>
        <w:rPr>
          <w:bCs/>
          <w:b/>
        </w:rPr>
        <w:t xml:space="preserve">lookup table</w:t>
      </w:r>
      <w:r>
        <w:t xml:space="preserve"> </w:t>
      </w:r>
      <w:r>
        <w:t xml:space="preserve">of prime size</w:t>
      </w:r>
      <w:r>
        <w:t xml:space="preserve"> </w:t>
      </w:r>
      <m:oMath>
        <m:r>
          <m:t>M</m:t>
        </m:r>
      </m:oMath>
      <w:r>
        <w:t xml:space="preserve"> </w:t>
      </w:r>
      <w:r>
        <w:t xml:space="preserve">in which every entry names a backend. Each backend has its own pseudo-random</w:t>
      </w:r>
      <w:r>
        <w:t xml:space="preserve"> </w:t>
      </w:r>
      <w:r>
        <w:rPr>
          <w:bCs/>
          <w:b/>
        </w:rPr>
        <w:t xml:space="preserve">preference permutation</w:t>
      </w:r>
      <w:r>
        <w:t xml:space="preserve"> </w:t>
      </w:r>
      <w:r>
        <w:t xml:space="preserve">of table positions; backends take turns claiming their next preferred empty position until the table is full. A packet’s backend is</w:t>
      </w:r>
      <w:r>
        <w:t xml:space="preserve"> </w:t>
      </w:r>
      <w:r>
        <w:rPr>
          <w:rStyle w:val="VerbatimChar"/>
        </w:rPr>
        <w:t xml:space="preserve">table[hash(5-tuple) mod M]</w:t>
      </w:r>
      <w:r>
        <w:t xml:space="preserve">: one array read [Eisenbud et al. 2016].</w:t>
      </w:r>
      <w:r>
        <w:t xml:space="preserve"> </w:t>
      </w:r>
      <w:r>
        <w:rPr>
          <w:iCs/>
          <w:i/>
        </w:rPr>
        <w:t xml:space="preserve">(§19.4.8)</w:t>
      </w:r>
    </w:p>
    <w:p>
      <w:pPr>
        <w:pStyle w:val="BodyText"/>
      </w:pPr>
      <w:r>
        <w:rPr>
          <w:bCs/>
          <w:b/>
        </w:rPr>
        <w:t xml:space="preserve">MapReduce</w:t>
      </w:r>
      <w:r>
        <w:t xml:space="preserve"> </w:t>
      </w:r>
      <w:r>
        <w:t xml:space="preserve">— A programming model and execution system in which the user writes two functions:</w:t>
      </w:r>
      <w:r>
        <w:t xml:space="preserve"> </w:t>
      </w:r>
      <w:r>
        <w:rPr>
          <w:bCs/>
          <w:b/>
        </w:rPr>
        <w:t xml:space="preserve">map</w:t>
      </w:r>
      <w:r>
        <w:t xml:space="preserve">, which turns one input record into zero or more intermediate key–value pairs, and</w:t>
      </w:r>
      <w:r>
        <w:t xml:space="preserve"> </w:t>
      </w:r>
      <w:r>
        <w:rPr>
          <w:bCs/>
          <w:b/>
        </w:rPr>
        <w:t xml:space="preserve">reduce</w:t>
      </w:r>
      <w:r>
        <w:t xml:space="preserve">, which receives one intermediate key with</w:t>
      </w:r>
      <w:r>
        <w:t xml:space="preserve"> </w:t>
      </w:r>
      <w:r>
        <w:rPr>
          <w:iCs/>
          <w:i/>
        </w:rPr>
        <w:t xml:space="preserve">all</w:t>
      </w:r>
      <w:r>
        <w:t xml:space="preserve"> </w:t>
      </w:r>
      <w:r>
        <w:t xml:space="preserve">values emitted for it and produces output. The system handles splitting, scheduling, regrouping by key, and failures [Dean and Ghemawat 2004].</w:t>
      </w:r>
      <w:r>
        <w:t xml:space="preserve"> </w:t>
      </w:r>
      <w:r>
        <w:rPr>
          <w:iCs/>
          <w:i/>
        </w:rPr>
        <w:t xml:space="preserve">(§29.4.1)</w:t>
      </w:r>
    </w:p>
    <w:p>
      <w:pPr>
        <w:pStyle w:val="BodyText"/>
      </w:pPr>
      <w:r>
        <w:rPr>
          <w:bCs/>
          <w:b/>
        </w:rPr>
        <w:t xml:space="preserve">Matrix</w:t>
      </w:r>
      <w:r>
        <w:t xml:space="preserve"> </w:t>
      </w:r>
      <w:r>
        <w:t xml:space="preserve">— A rectangular grid of numbers with</w:t>
      </w:r>
      <w:r>
        <w:t xml:space="preserve"> </w:t>
      </w:r>
      <m:oMath>
        <m:r>
          <m:t>m</m:t>
        </m:r>
      </m:oMath>
      <w:r>
        <w:t xml:space="preserve"> </w:t>
      </w:r>
      <w:r>
        <w:t xml:space="preserve">rows and</w:t>
      </w:r>
      <w:r>
        <w:t xml:space="preserve"> </w:t>
      </w:r>
      <m:oMath>
        <m:r>
          <m:t>n</m:t>
        </m:r>
      </m:oMath>
      <w:r>
        <w:t xml:space="preserve"> </w:t>
      </w:r>
      <w:r>
        <w:t xml:space="preserve">columns (an</w:t>
      </w:r>
      <w:r>
        <w:t xml:space="preserve"> </w:t>
      </w:r>
      <m:oMath>
        <m:r>
          <m:t>m</m:t>
        </m:r>
        <m:r>
          <m:rPr>
            <m:sty m:val="p"/>
          </m:rPr>
          <m:t>×</m:t>
        </m:r>
        <m:r>
          <m:t>n</m:t>
        </m:r>
      </m:oMath>
      <w:r>
        <w:t xml:space="preserve"> </w:t>
      </w:r>
      <w:r>
        <w:t xml:space="preserve">matrix). A set of</w:t>
      </w:r>
      <w:r>
        <w:t xml:space="preserve"> </w:t>
      </w:r>
      <m:oMath>
        <m:r>
          <m:t>n</m:t>
        </m:r>
      </m:oMath>
      <w:r>
        <w:t xml:space="preserve"> </w:t>
      </w:r>
      <w:r>
        <w:t xml:space="preserve">embeddings of dimension</w:t>
      </w:r>
      <w:r>
        <w:t xml:space="preserve"> </w:t>
      </w:r>
      <m:oMath>
        <m:r>
          <m:t>d</m:t>
        </m:r>
      </m:oMath>
      <w:r>
        <w:t xml:space="preserve"> </w:t>
      </w:r>
      <w:r>
        <w:t xml:space="preserve">is naturally stored as an</w:t>
      </w:r>
      <w:r>
        <w:t xml:space="preserve"> </w:t>
      </w:r>
      <m:oMath>
        <m:r>
          <m:t>n</m:t>
        </m:r>
        <m:r>
          <m:rPr>
            <m:sty m:val="p"/>
          </m:rPr>
          <m:t>×</m:t>
        </m:r>
        <m:r>
          <m:t>d</m:t>
        </m:r>
      </m:oMath>
      <w:r>
        <w:t xml:space="preserve"> </w:t>
      </w:r>
      <w:r>
        <w:t xml:space="preserve">matrix, one embedding per row.</w:t>
      </w:r>
      <w:r>
        <w:t xml:space="preserve"> </w:t>
      </w:r>
      <w:r>
        <w:rPr>
          <w:iCs/>
          <w:i/>
        </w:rPr>
        <w:t xml:space="preserve">(§4.9.3)</w:t>
      </w:r>
    </w:p>
    <w:p>
      <w:pPr>
        <w:pStyle w:val="BodyText"/>
      </w:pPr>
      <w:r>
        <w:rPr>
          <w:bCs/>
          <w:b/>
        </w:rPr>
        <w:t xml:space="preserve">Mean and median</w:t>
      </w:r>
      <w:r>
        <w:t xml:space="preserve"> </w:t>
      </w:r>
      <w:r>
        <w:t xml:space="preserve">— The</w:t>
      </w:r>
      <w:r>
        <w:t xml:space="preserve"> </w:t>
      </w:r>
      <w:r>
        <w:rPr>
          <w:bCs/>
          <w:b/>
        </w:rPr>
        <w:t xml:space="preserve">mean</w:t>
      </w:r>
      <w:r>
        <w:t xml:space="preserve"> </w:t>
      </w:r>
      <w:r>
        <w:t xml:space="preserve">(arithmetic average) of</w:t>
      </w:r>
      <w:r>
        <w:t xml:space="preserve"> </w:t>
      </w:r>
      <m:oMath>
        <m:r>
          <m:t>n</m:t>
        </m:r>
      </m:oMath>
      <w:r>
        <w:t xml:space="preserve"> </w:t>
      </w:r>
      <w:r>
        <w:t xml:space="preserve">values is their sum divided by</w:t>
      </w:r>
      <w:r>
        <w:t xml:space="preserve"> </w:t>
      </w:r>
      <m:oMath>
        <m:r>
          <m:t>n</m:t>
        </m:r>
      </m:oMath>
      <w:r>
        <w:t xml:space="preserve">. The</w:t>
      </w:r>
      <w:r>
        <w:t xml:space="preserve"> </w:t>
      </w:r>
      <w:r>
        <w:rPr>
          <w:bCs/>
          <w:b/>
        </w:rPr>
        <w:t xml:space="preserve">median</w:t>
      </w:r>
      <w:r>
        <w:t xml:space="preserve"> </w:t>
      </w:r>
      <w:r>
        <w:t xml:space="preserve">is the middle value after sorting (the average of the two middle values when</w:t>
      </w:r>
      <w:r>
        <w:t xml:space="preserve"> </w:t>
      </w:r>
      <m:oMath>
        <m:r>
          <m:t>n</m:t>
        </m:r>
      </m:oMath>
      <w:r>
        <w:t xml:space="preserve"> </w:t>
      </w:r>
      <w:r>
        <w:t xml:space="preserve">is even); half of the values are at or below it.</w:t>
      </w:r>
      <w:r>
        <w:t xml:space="preserve"> </w:t>
      </w:r>
      <w:r>
        <w:rPr>
          <w:iCs/>
          <w:i/>
        </w:rPr>
        <w:t xml:space="preserve">(§4.7.1)</w:t>
      </w:r>
    </w:p>
    <w:p>
      <w:pPr>
        <w:pStyle w:val="BodyText"/>
      </w:pPr>
      <w:r>
        <w:rPr>
          <w:bCs/>
          <w:b/>
        </w:rPr>
        <w:t xml:space="preserve">Memory hierarchy</w:t>
      </w:r>
      <w:r>
        <w:t xml:space="preserve"> </w:t>
      </w:r>
      <w:r>
        <w:t xml:space="preserve">— The layered arrangement of storage technologies in a computer, from small, fast and expensive per byte (registers, caches) to large, slow and cheap per byte (disks, tape), in which each level acts as a cache for the level below it.</w:t>
      </w:r>
      <w:r>
        <w:t xml:space="preserve"> </w:t>
      </w:r>
      <w:r>
        <w:rPr>
          <w:iCs/>
          <w:i/>
        </w:rPr>
        <w:t xml:space="preserve">(§5.5.2)</w:t>
      </w:r>
    </w:p>
    <w:p>
      <w:pPr>
        <w:pStyle w:val="BodyText"/>
      </w:pPr>
      <w:r>
        <w:rPr>
          <w:bCs/>
          <w:b/>
        </w:rPr>
        <w:t xml:space="preserve">Merkle tree (hash tree)</w:t>
      </w:r>
      <w:r>
        <w:t xml:space="preserve"> </w:t>
      </w:r>
      <w:r>
        <w:t xml:space="preserve">— A tree in which every leaf holds the hash of a data block and every interior node holds the hash of its children’s hashes. The</w:t>
      </w:r>
      <w:r>
        <w:t xml:space="preserve"> </w:t>
      </w:r>
      <w:r>
        <w:rPr>
          <w:bCs/>
          <w:b/>
        </w:rPr>
        <w:t xml:space="preserve">root hash</w:t>
      </w:r>
      <w:r>
        <w:t xml:space="preserve"> </w:t>
      </w:r>
      <w:r>
        <w:t xml:space="preserve">summarizes the entire data set: changing any block changes the root [Merkle 1987].</w:t>
      </w:r>
      <w:r>
        <w:t xml:space="preserve"> </w:t>
      </w:r>
      <w:r>
        <w:rPr>
          <w:iCs/>
          <w:i/>
        </w:rPr>
        <w:t xml:space="preserve">(§17.8.1)</w:t>
      </w:r>
    </w:p>
    <w:p>
      <w:pPr>
        <w:pStyle w:val="BodyText"/>
      </w:pPr>
      <w:r>
        <w:rPr>
          <w:bCs/>
          <w:b/>
        </w:rPr>
        <w:t xml:space="preserve">Message authentication code (MAC)</w:t>
      </w:r>
      <w:r>
        <w:t xml:space="preserve"> </w:t>
      </w:r>
      <w:r>
        <w:t xml:space="preserve">— A short tag computed from a message and a secret key,</w:t>
      </w:r>
      <w:r>
        <w:t xml:space="preserve"> </w:t>
      </w:r>
      <m:oMath>
        <m:r>
          <m:t>t</m:t>
        </m:r>
        <m:r>
          <m:rPr>
            <m:sty m:val="p"/>
          </m:rPr>
          <m:t>=</m:t>
        </m:r>
        <m:sSub>
          <m:e>
            <m:r>
              <m:rPr>
                <m:nor/>
                <m:sty m:val="p"/>
              </m:rPr>
              <m:t>MAC</m:t>
            </m:r>
          </m:e>
          <m:sub>
            <m:r>
              <m:t>K</m:t>
            </m:r>
          </m:sub>
        </m:sSub>
        <m:d>
          <m:dPr>
            <m:begChr m:val="("/>
            <m:endChr m:val=")"/>
            <m:sepChr m:val=""/>
            <m:grow/>
          </m:dPr>
          <m:e>
            <m:r>
              <m:t>m</m:t>
            </m:r>
          </m:e>
        </m:d>
      </m:oMath>
      <w:r>
        <w:t xml:space="preserve">, such that without</w:t>
      </w:r>
      <w:r>
        <w:t xml:space="preserve"> </w:t>
      </w:r>
      <m:oMath>
        <m:r>
          <m:t>K</m:t>
        </m:r>
      </m:oMath>
      <w:r>
        <w:t xml:space="preserve"> </w:t>
      </w:r>
      <w:r>
        <w:t xml:space="preserve">it is infeasible to produce a valid tag for any new message.</w:t>
      </w:r>
      <w:r>
        <w:t xml:space="preserve"> </w:t>
      </w:r>
      <w:r>
        <w:rPr>
          <w:bCs/>
          <w:b/>
        </w:rPr>
        <w:t xml:space="preserve">HMAC</w:t>
      </w:r>
      <w:r>
        <w:t xml:space="preserve"> </w:t>
      </w:r>
      <w:r>
        <w:t xml:space="preserve">is the standard construction from a hash function:</w:t>
      </w:r>
      <w:r>
        <w:t xml:space="preserve"> </w:t>
      </w:r>
      <m:oMath>
        <m:sSub>
          <m:e>
            <m:r>
              <m:rPr>
                <m:nor/>
                <m:sty m:val="p"/>
              </m:rPr>
              <m:t>HMAC</m:t>
            </m:r>
          </m:e>
          <m:sub>
            <m:r>
              <m:t>K</m:t>
            </m:r>
          </m:sub>
        </m:sSub>
        <m:d>
          <m:dPr>
            <m:begChr m:val="("/>
            <m:endChr m:val=")"/>
            <m:sepChr m:val=""/>
            <m:grow/>
          </m:dPr>
          <m:e>
            <m:r>
              <m:t>m</m:t>
            </m:r>
          </m:e>
        </m:d>
        <m:r>
          <m:rPr>
            <m:sty m:val="p"/>
          </m:rPr>
          <m:t>=</m:t>
        </m:r>
        <m:r>
          <m:t>H</m:t>
        </m:r>
        <m:d>
          <m:dPr>
            <m:begChr m:val="("/>
            <m:endChr m:val=")"/>
            <m:sepChr m:val=""/>
            <m:grow/>
          </m:dPr>
          <m:e>
            <m:d>
              <m:dPr>
                <m:begChr m:val="("/>
                <m:endChr m:val=")"/>
                <m:sepChr m:val=""/>
                <m:grow/>
              </m:dPr>
              <m:e>
                <m:r>
                  <m:t>K</m:t>
                </m:r>
                <m:r>
                  <m:rPr>
                    <m:sty m:val="p"/>
                  </m:rPr>
                  <m:t>⊕</m:t>
                </m:r>
                <m:r>
                  <m:rPr>
                    <m:nor/>
                    <m:sty m:val="p"/>
                  </m:rPr>
                  <m:t>opad</m:t>
                </m:r>
              </m:e>
            </m:d>
            <m:r>
              <m:t> </m:t>
            </m:r>
            <m:r>
              <m:rPr>
                <m:sty m:val="p"/>
              </m:rPr>
              <m:t>∥</m:t>
            </m:r>
            <m:r>
              <m:t> </m:t>
            </m:r>
            <m:r>
              <m:t>H</m:t>
            </m:r>
            <m:d>
              <m:dPr>
                <m:begChr m:val="("/>
                <m:endChr m:val=")"/>
                <m:sepChr m:val=""/>
                <m:grow/>
              </m:dPr>
              <m:e>
                <m:d>
                  <m:dPr>
                    <m:begChr m:val="("/>
                    <m:endChr m:val=")"/>
                    <m:sepChr m:val=""/>
                    <m:grow/>
                  </m:dPr>
                  <m:e>
                    <m:r>
                      <m:t>K</m:t>
                    </m:r>
                    <m:r>
                      <m:rPr>
                        <m:sty m:val="p"/>
                      </m:rPr>
                      <m:t>⊕</m:t>
                    </m:r>
                    <m:r>
                      <m:rPr>
                        <m:nor/>
                        <m:sty m:val="p"/>
                      </m:rPr>
                      <m:t>ipad</m:t>
                    </m:r>
                  </m:e>
                </m:d>
                <m:r>
                  <m:t> </m:t>
                </m:r>
                <m:r>
                  <m:rPr>
                    <m:sty m:val="p"/>
                  </m:rPr>
                  <m:t>∥</m:t>
                </m:r>
                <m:r>
                  <m:t> </m:t>
                </m:r>
                <m:r>
                  <m:t>m</m:t>
                </m:r>
              </m:e>
            </m:d>
          </m:e>
        </m:d>
      </m:oMath>
      <w:r>
        <w:t xml:space="preserve"> </w:t>
      </w:r>
      <w:r>
        <w:t xml:space="preserve">[Krawczyk et al. 1997].</w:t>
      </w:r>
      <w:r>
        <w:t xml:space="preserve"> </w:t>
      </w:r>
      <w:r>
        <w:rPr>
          <w:iCs/>
          <w:i/>
        </w:rPr>
        <w:t xml:space="preserve">(§10.4.6)</w:t>
      </w:r>
    </w:p>
    <w:p>
      <w:pPr>
        <w:pStyle w:val="BodyText"/>
      </w:pPr>
      <w:r>
        <w:rPr>
          <w:bCs/>
          <w:b/>
        </w:rPr>
        <w:t xml:space="preserve">Metadata service</w:t>
      </w:r>
      <w:r>
        <w:t xml:space="preserve"> </w:t>
      </w:r>
      <w:r>
        <w:t xml:space="preserve">— The component that maps names to data: directory entries, file or object attributes (size, owner, permissions, version, checksum) and the locations of each chunk or fragment. It is on the path of every open, create, list and delete, while the data path bypasses it.</w:t>
      </w:r>
      <w:r>
        <w:t xml:space="preserve"> </w:t>
      </w:r>
      <w:r>
        <w:rPr>
          <w:iCs/>
          <w:i/>
        </w:rPr>
        <w:t xml:space="preserve">(§15.7.1)</w:t>
      </w:r>
    </w:p>
    <w:p>
      <w:pPr>
        <w:pStyle w:val="BodyText"/>
      </w:pPr>
      <w:r>
        <w:rPr>
          <w:bCs/>
          <w:b/>
        </w:rPr>
        <w:t xml:space="preserve">Mobile push notification</w:t>
      </w:r>
      <w:r>
        <w:t xml:space="preserve"> </w:t>
      </w:r>
      <w:r>
        <w:t xml:space="preserve">— A message sent by an application’s server to a platform-operated push service — Apple Push Notification service (</w:t>
      </w:r>
      <w:r>
        <w:rPr>
          <w:bCs/>
          <w:b/>
        </w:rPr>
        <w:t xml:space="preserve">APNs</w:t>
      </w:r>
      <w:r>
        <w:t xml:space="preserve">) for Apple platforms, Firebase Cloud Messaging (</w:t>
      </w:r>
      <w:r>
        <w:rPr>
          <w:bCs/>
          <w:b/>
        </w:rPr>
        <w:t xml:space="preserve">FCM</w:t>
      </w:r>
      <w:r>
        <w:t xml:space="preserve">) for Android (and optionally iOS and web) — which delivers it, on a best-effort basis, over a single persistent connection that the operating system maintains to that service on behalf of all apps.</w:t>
      </w:r>
      <w:r>
        <w:t xml:space="preserve"> </w:t>
      </w:r>
      <w:r>
        <w:rPr>
          <w:iCs/>
          <w:i/>
        </w:rPr>
        <w:t xml:space="preserve">(§9.8.1)</w:t>
      </w:r>
    </w:p>
    <w:p>
      <w:pPr>
        <w:pStyle w:val="BodyText"/>
      </w:pPr>
      <w:r>
        <w:rPr>
          <w:bCs/>
          <w:b/>
        </w:rPr>
        <w:t xml:space="preserve">Monotonic reads</w:t>
      </w:r>
      <w:r>
        <w:t xml:space="preserve"> </w:t>
      </w:r>
      <w:r>
        <w:t xml:space="preserve">— A client never sees data move backwards: after reading some version, its later reads return that version or newer.</w:t>
      </w:r>
      <w:r>
        <w:t xml:space="preserve"> </w:t>
      </w:r>
      <w:r>
        <w:rPr>
          <w:iCs/>
          <w:i/>
        </w:rPr>
        <w:t xml:space="preserve">(§14.4.3)</w:t>
      </w:r>
    </w:p>
    <w:p>
      <w:pPr>
        <w:pStyle w:val="BodyText"/>
      </w:pPr>
      <w:r>
        <w:rPr>
          <w:bCs/>
          <w:b/>
        </w:rPr>
        <w:t xml:space="preserve">Multi-core processor</w:t>
      </w:r>
      <w:r>
        <w:t xml:space="preserve"> </w:t>
      </w:r>
      <w:r>
        <w:t xml:space="preserve">— A single chip containing several complete cores, each with its own pipeline and private caches, sharing the last-level cache and memory.</w:t>
      </w:r>
      <w:r>
        <w:t xml:space="preserve"> </w:t>
      </w:r>
      <w:r>
        <w:rPr>
          <w:iCs/>
          <w:i/>
        </w:rPr>
        <w:t xml:space="preserve">(§5.3.6)</w:t>
      </w:r>
    </w:p>
    <w:p>
      <w:pPr>
        <w:pStyle w:val="BodyText"/>
      </w:pPr>
      <w:r>
        <w:rPr>
          <w:bCs/>
          <w:b/>
        </w:rPr>
        <w:t xml:space="preserve">Multipart upload</w:t>
      </w:r>
      <w:r>
        <w:t xml:space="preserve"> </w:t>
      </w:r>
      <w:r>
        <w:t xml:space="preserve">— A protocol for uploading one large object as independently uploaded</w:t>
      </w:r>
      <w:r>
        <w:t xml:space="preserve"> </w:t>
      </w:r>
      <w:r>
        <w:rPr>
          <w:bCs/>
          <w:b/>
        </w:rPr>
        <w:t xml:space="preserve">parts</w:t>
      </w:r>
      <w:r>
        <w:t xml:space="preserve">: the client</w:t>
      </w:r>
      <w:r>
        <w:t xml:space="preserve"> </w:t>
      </w:r>
      <w:r>
        <w:rPr>
          <w:iCs/>
          <w:i/>
        </w:rPr>
        <w:t xml:space="preserve">initiates</w:t>
      </w:r>
      <w:r>
        <w:t xml:space="preserve"> </w:t>
      </w:r>
      <w:r>
        <w:t xml:space="preserve">an upload and receives an upload ID, uploads numbered parts (in any order, in parallel, retrying any part), then</w:t>
      </w:r>
      <w:r>
        <w:t xml:space="preserve"> </w:t>
      </w:r>
      <w:r>
        <w:rPr>
          <w:iCs/>
          <w:i/>
        </w:rPr>
        <w:t xml:space="preserve">completes</w:t>
      </w:r>
      <w:r>
        <w:t xml:space="preserve"> </w:t>
      </w:r>
      <w:r>
        <w:t xml:space="preserve">the upload with the list of part numbers and their ETags, at which point the store assembles the object atomically. Until completion, or after an</w:t>
      </w:r>
      <w:r>
        <w:t xml:space="preserve"> </w:t>
      </w:r>
      <w:r>
        <w:rPr>
          <w:iCs/>
          <w:i/>
        </w:rPr>
        <w:t xml:space="preserve">abort</w:t>
      </w:r>
      <w:r>
        <w:t xml:space="preserve">, the object is not visible.</w:t>
      </w:r>
      <w:r>
        <w:t xml:space="preserve"> </w:t>
      </w:r>
      <w:r>
        <w:rPr>
          <w:iCs/>
          <w:i/>
        </w:rPr>
        <w:t xml:space="preserve">(§15.8.1)</w:t>
      </w:r>
    </w:p>
    <w:p>
      <w:pPr>
        <w:pStyle w:val="BodyText"/>
      </w:pPr>
      <w:r>
        <w:rPr>
          <w:bCs/>
          <w:b/>
        </w:rPr>
        <w:t xml:space="preserve">Multi-primary replication</w:t>
      </w:r>
      <w:r>
        <w:t xml:space="preserve"> </w:t>
      </w:r>
      <w:r>
        <w:t xml:space="preserve">— More than one node accepts writes for the same data and replicates to the others (also</w:t>
      </w:r>
      <w:r>
        <w:t xml:space="preserve"> </w:t>
      </w:r>
      <w:r>
        <w:rPr>
          <w:bCs/>
          <w:b/>
        </w:rPr>
        <w:t xml:space="preserve">multi-leader</w:t>
      </w:r>
      <w:r>
        <w:t xml:space="preserve"> </w:t>
      </w:r>
      <w:r>
        <w:t xml:space="preserve">or</w:t>
      </w:r>
      <w:r>
        <w:t xml:space="preserve"> </w:t>
      </w:r>
      <w:r>
        <w:rPr>
          <w:bCs/>
          <w:b/>
        </w:rPr>
        <w:t xml:space="preserve">active–active</w:t>
      </w:r>
      <w:r>
        <w:t xml:space="preserve">). Concurrent uncoordinated changes to the same row create</w:t>
      </w:r>
      <w:r>
        <w:t xml:space="preserve"> </w:t>
      </w:r>
      <w:r>
        <w:rPr>
          <w:bCs/>
          <w:b/>
        </w:rPr>
        <w:t xml:space="preserve">write conflicts</w:t>
      </w:r>
      <w:r>
        <w:t xml:space="preserve"> </w:t>
      </w:r>
      <w:r>
        <w:t xml:space="preserve">that must be detected and resolved.</w:t>
      </w:r>
      <w:r>
        <w:t xml:space="preserve"> </w:t>
      </w:r>
      <w:r>
        <w:rPr>
          <w:iCs/>
          <w:i/>
        </w:rPr>
        <w:t xml:space="preserve">(§14.5.1)</w:t>
      </w:r>
    </w:p>
    <w:p>
      <w:pPr>
        <w:pStyle w:val="BodyText"/>
      </w:pPr>
      <w:r>
        <w:rPr>
          <w:bCs/>
          <w:b/>
        </w:rPr>
        <w:t xml:space="preserve">Mutex (mutual-exclusion lock)</w:t>
      </w:r>
      <w:r>
        <w:t xml:space="preserve"> </w:t>
      </w:r>
      <w:r>
        <w:t xml:space="preserve">— An object with two operations,</w:t>
      </w:r>
      <w:r>
        <w:t xml:space="preserve"> </w:t>
      </w:r>
      <w:r>
        <w:rPr>
          <w:rStyle w:val="VerbatimChar"/>
        </w:rPr>
        <w:t xml:space="preserve">lock</w:t>
      </w:r>
      <w:r>
        <w:t xml:space="preserve"> </w:t>
      </w:r>
      <w:r>
        <w:t xml:space="preserve">and</w:t>
      </w:r>
      <w:r>
        <w:t xml:space="preserve"> </w:t>
      </w:r>
      <w:r>
        <w:rPr>
          <w:rStyle w:val="VerbatimChar"/>
        </w:rPr>
        <w:t xml:space="preserve">unlock</w:t>
      </w:r>
      <w:r>
        <w:t xml:space="preserve">, guaranteeing that at most one thread holds it at a time. A thread that calls</w:t>
      </w:r>
      <w:r>
        <w:t xml:space="preserve"> </w:t>
      </w:r>
      <w:r>
        <w:rPr>
          <w:rStyle w:val="VerbatimChar"/>
        </w:rPr>
        <w:t xml:space="preserve">lock</w:t>
      </w:r>
      <w:r>
        <w:t xml:space="preserve"> </w:t>
      </w:r>
      <w:r>
        <w:t xml:space="preserve">while another holds it waits.</w:t>
      </w:r>
      <w:r>
        <w:t xml:space="preserve"> </w:t>
      </w:r>
      <w:r>
        <w:rPr>
          <w:iCs/>
          <w:i/>
        </w:rPr>
        <w:t xml:space="preserve">(§6.10.1)</w:t>
      </w:r>
    </w:p>
    <w:p>
      <w:pPr>
        <w:pStyle w:val="BodyText"/>
      </w:pPr>
      <w:r>
        <w:rPr>
          <w:bCs/>
          <w:b/>
        </w:rPr>
        <w:t xml:space="preserve">MVCC</w:t>
      </w:r>
      <w:r>
        <w:t xml:space="preserve"> </w:t>
      </w:r>
      <w:r>
        <w:t xml:space="preserve">— A concurrency-control technique in which a write creates a new</w:t>
      </w:r>
      <w:r>
        <w:t xml:space="preserve"> </w:t>
      </w:r>
      <w:r>
        <w:rPr>
          <w:bCs/>
          <w:b/>
        </w:rPr>
        <w:t xml:space="preserve">version</w:t>
      </w:r>
      <w:r>
        <w:t xml:space="preserve"> </w:t>
      </w:r>
      <w:r>
        <w:t xml:space="preserve">of a row instead of overwriting it in place, and each transaction reads the versions visible in its</w:t>
      </w:r>
      <w:r>
        <w:t xml:space="preserve"> </w:t>
      </w:r>
      <w:r>
        <w:rPr>
          <w:bCs/>
          <w:b/>
        </w:rPr>
        <w:t xml:space="preserve">snapshot</w:t>
      </w:r>
      <w:r>
        <w:t xml:space="preserve">: the set of transactions that had committed when the snapshot was taken. Readers therefore never block writers and writers never block readers; only writers of the same row wait for each other.</w:t>
      </w:r>
      <w:r>
        <w:t xml:space="preserve"> </w:t>
      </w:r>
      <w:r>
        <w:rPr>
          <w:iCs/>
          <w:i/>
        </w:rPr>
        <w:t xml:space="preserve">(§11.14.1)</w:t>
      </w:r>
    </w:p>
    <w:bookmarkEnd w:id="3364"/>
    <w:bookmarkStart w:id="3365" w:name="n"/>
    <w:p>
      <w:pPr>
        <w:pStyle w:val="Heading2"/>
      </w:pPr>
      <w:r>
        <w:t xml:space="preserve">N</w:t>
      </w:r>
    </w:p>
    <w:p>
      <w:pPr>
        <w:pStyle w:val="FirstParagraph"/>
      </w:pPr>
      <w:r>
        <w:rPr>
          <w:bCs/>
          <w:b/>
        </w:rPr>
        <w:t xml:space="preserve">Narrow and wide dependencies</w:t>
      </w:r>
      <w:r>
        <w:t xml:space="preserve"> </w:t>
      </w:r>
      <w:r>
        <w:t xml:space="preserve">— A</w:t>
      </w:r>
      <w:r>
        <w:t xml:space="preserve"> </w:t>
      </w:r>
      <w:r>
        <w:rPr>
          <w:bCs/>
          <w:b/>
        </w:rPr>
        <w:t xml:space="preserve">narrow dependency</w:t>
      </w:r>
      <w:r>
        <w:t xml:space="preserve"> </w:t>
      </w:r>
      <w:r>
        <w:t xml:space="preserve">exists when each partition of the parent RDD is used by at most one partition of the child (</w:t>
      </w:r>
      <w:r>
        <w:rPr>
          <w:rStyle w:val="VerbatimChar"/>
        </w:rPr>
        <w:t xml:space="preserve">map</w:t>
      </w:r>
      <w:r>
        <w:t xml:space="preserve">,</w:t>
      </w:r>
      <w:r>
        <w:t xml:space="preserve"> </w:t>
      </w:r>
      <w:r>
        <w:rPr>
          <w:rStyle w:val="VerbatimChar"/>
        </w:rPr>
        <w:t xml:space="preserve">filter</w:t>
      </w:r>
      <w:r>
        <w:t xml:space="preserve">,</w:t>
      </w:r>
      <w:r>
        <w:t xml:space="preserve"> </w:t>
      </w:r>
      <w:r>
        <w:rPr>
          <w:rStyle w:val="VerbatimChar"/>
        </w:rPr>
        <w:t xml:space="preserve">union</w:t>
      </w:r>
      <w:r>
        <w:t xml:space="preserve">, a join of co-partitioned inputs). A</w:t>
      </w:r>
      <w:r>
        <w:t xml:space="preserve"> </w:t>
      </w:r>
      <w:r>
        <w:rPr>
          <w:bCs/>
          <w:b/>
        </w:rPr>
        <w:t xml:space="preserve">wide (shuffle) dependency</w:t>
      </w:r>
      <w:r>
        <w:t xml:space="preserve"> </w:t>
      </w:r>
      <w:r>
        <w:t xml:space="preserve">exists when a child partition may depend on many or all parent partitions (</w:t>
      </w:r>
      <w:r>
        <w:rPr>
          <w:rStyle w:val="VerbatimChar"/>
        </w:rPr>
        <w:t xml:space="preserve">groupByKey</w:t>
      </w:r>
      <w:r>
        <w:t xml:space="preserve">,</w:t>
      </w:r>
      <w:r>
        <w:t xml:space="preserve"> </w:t>
      </w:r>
      <w:r>
        <w:rPr>
          <w:rStyle w:val="VerbatimChar"/>
        </w:rPr>
        <w:t xml:space="preserve">reduceByKey</w:t>
      </w:r>
      <w:r>
        <w:t xml:space="preserve">, a join of unpartitioned inputs), which requires a shuffle.</w:t>
      </w:r>
      <w:r>
        <w:t xml:space="preserve"> </w:t>
      </w:r>
      <w:r>
        <w:rPr>
          <w:iCs/>
          <w:i/>
        </w:rPr>
        <w:t xml:space="preserve">(§29.5.2)</w:t>
      </w:r>
    </w:p>
    <w:p>
      <w:pPr>
        <w:pStyle w:val="BodyText"/>
      </w:pPr>
      <w:r>
        <w:rPr>
          <w:bCs/>
          <w:b/>
        </w:rPr>
        <w:t xml:space="preserve">Natural and surrogate keys</w:t>
      </w:r>
      <w:r>
        <w:t xml:space="preserve"> </w:t>
      </w:r>
      <w:r>
        <w:t xml:space="preserve">— A</w:t>
      </w:r>
      <w:r>
        <w:t xml:space="preserve"> </w:t>
      </w:r>
      <w:r>
        <w:rPr>
          <w:bCs/>
          <w:b/>
        </w:rPr>
        <w:t xml:space="preserve">natural key</w:t>
      </w:r>
      <w:r>
        <w:t xml:space="preserve"> </w:t>
      </w:r>
      <w:r>
        <w:t xml:space="preserve">is a candidate key with business meaning (email address, ISBN, country code). A</w:t>
      </w:r>
      <w:r>
        <w:t xml:space="preserve"> </w:t>
      </w:r>
      <w:r>
        <w:rPr>
          <w:bCs/>
          <w:b/>
        </w:rPr>
        <w:t xml:space="preserve">surrogate key</w:t>
      </w:r>
      <w:r>
        <w:t xml:space="preserve"> </w:t>
      </w:r>
      <w:r>
        <w:t xml:space="preserve">is a meaningless value generated by the system (an auto-increment integer, a UUID) whose only job is identification.</w:t>
      </w:r>
      <w:r>
        <w:t xml:space="preserve"> </w:t>
      </w:r>
      <w:r>
        <w:rPr>
          <w:iCs/>
          <w:i/>
        </w:rPr>
        <w:t xml:space="preserve">(§11.4.2)</w:t>
      </w:r>
    </w:p>
    <w:p>
      <w:pPr>
        <w:pStyle w:val="BodyText"/>
      </w:pPr>
      <w:r>
        <w:rPr>
          <w:bCs/>
          <w:b/>
        </w:rPr>
        <w:t xml:space="preserve">Near-real-time (NRT) search</w:t>
      </w:r>
      <w:r>
        <w:t xml:space="preserve"> </w:t>
      </w:r>
      <w:r>
        <w:t xml:space="preserve">— A search system in which newly written documents become searchable after a short, bounded delay (typically one second to a minute) rather than immediately, because making them visible requires creating a new segment and reopening the searcher.</w:t>
      </w:r>
      <w:r>
        <w:t xml:space="preserve"> </w:t>
      </w:r>
      <w:r>
        <w:rPr>
          <w:iCs/>
          <w:i/>
        </w:rPr>
        <w:t xml:space="preserve">(§16.10.1)</w:t>
      </w:r>
    </w:p>
    <w:p>
      <w:pPr>
        <w:pStyle w:val="BodyText"/>
      </w:pPr>
      <w:r>
        <w:rPr>
          <w:bCs/>
          <w:b/>
        </w:rPr>
        <w:t xml:space="preserve">Network Address Translation (NAT)</w:t>
      </w:r>
      <w:r>
        <w:t xml:space="preserve"> </w:t>
      </w:r>
      <w:r>
        <w:t xml:space="preserve">— A function, usually in a router or gateway, that rewrites the source and/or destination IP addresses (and usually ports) of packets as they pass, keeping a</w:t>
      </w:r>
      <w:r>
        <w:t xml:space="preserve"> </w:t>
      </w:r>
      <w:r>
        <w:rPr>
          <w:bCs/>
          <w:b/>
        </w:rPr>
        <w:t xml:space="preserve">translation table</w:t>
      </w:r>
      <w:r>
        <w:t xml:space="preserve"> </w:t>
      </w:r>
      <w:r>
        <w:t xml:space="preserve">so that replies can be rewritten back. The most common form,</w:t>
      </w:r>
      <w:r>
        <w:t xml:space="preserve"> </w:t>
      </w:r>
      <w:r>
        <w:rPr>
          <w:bCs/>
          <w:b/>
        </w:rPr>
        <w:t xml:space="preserve">source NAT with port translation</w:t>
      </w:r>
      <w:r>
        <w:t xml:space="preserve"> </w:t>
      </w:r>
      <w:r>
        <w:t xml:space="preserve">(NAPT, often just</w:t>
      </w:r>
      <w:r>
        <w:t xml:space="preserve"> </w:t>
      </w:r>
      <w:r>
        <w:t xml:space="preserve">“</w:t>
      </w:r>
      <w:r>
        <w:t xml:space="preserve">NAT</w:t>
      </w:r>
      <w:r>
        <w:t xml:space="preserve">”</w:t>
      </w:r>
      <w:r>
        <w:t xml:space="preserve">), lets many hosts with private addresses share one public address [RFC 3022].</w:t>
      </w:r>
      <w:r>
        <w:t xml:space="preserve"> </w:t>
      </w:r>
      <w:r>
        <w:rPr>
          <w:iCs/>
          <w:i/>
        </w:rPr>
        <w:t xml:space="preserve">(§7.13)</w:t>
      </w:r>
    </w:p>
    <w:p>
      <w:pPr>
        <w:pStyle w:val="BodyText"/>
      </w:pPr>
      <w:r>
        <w:rPr>
          <w:bCs/>
          <w:b/>
        </w:rPr>
        <w:t xml:space="preserve">Network partition</w:t>
      </w:r>
      <w:r>
        <w:t xml:space="preserve"> </w:t>
      </w:r>
      <w:r>
        <w:t xml:space="preserve">— A network fault after which some nodes that are running correctly cannot exchange messages with some other running nodes for a period of time. (This book reserves</w:t>
      </w:r>
      <w:r>
        <w:t xml:space="preserve"> </w:t>
      </w:r>
      <w:r>
        <w:t xml:space="preserve">“</w:t>
      </w:r>
      <w:r>
        <w:t xml:space="preserve">partition</w:t>
      </w:r>
      <w:r>
        <w:t xml:space="preserve">”</w:t>
      </w:r>
      <w:r>
        <w:t xml:space="preserve"> </w:t>
      </w:r>
      <w:r>
        <w:t xml:space="preserve">alone for a subset of data, §14.6; a network fault is always a</w:t>
      </w:r>
      <w:r>
        <w:t xml:space="preserve"> </w:t>
      </w:r>
      <w:r>
        <w:rPr>
          <w:bCs/>
          <w:b/>
        </w:rPr>
        <w:t xml:space="preserve">network partition</w:t>
      </w:r>
      <w:r>
        <w:t xml:space="preserve">.)</w:t>
      </w:r>
      <w:r>
        <w:t xml:space="preserve"> </w:t>
      </w:r>
      <w:r>
        <w:rPr>
          <w:iCs/>
          <w:i/>
        </w:rPr>
        <w:t xml:space="preserve">(§24.7.1)</w:t>
      </w:r>
    </w:p>
    <w:p>
      <w:pPr>
        <w:pStyle w:val="BodyText"/>
      </w:pPr>
      <w:r>
        <w:rPr>
          <w:bCs/>
          <w:b/>
        </w:rPr>
        <w:t xml:space="preserve">NewSQL (distributed SQL)</w:t>
      </w:r>
      <w:r>
        <w:t xml:space="preserve"> </w:t>
      </w:r>
      <w:r>
        <w:t xml:space="preserve">— Relational databases that keep SQL and ACID transactions with serializable or strong isolation while scaling horizontally across nodes and regions, by partitioning data into ranges replicated with a consensus protocol. The term was coined by analyst Matthew Aslett in 2011 [Pavlo &amp; Aslett 2016].</w:t>
      </w:r>
      <w:r>
        <w:t xml:space="preserve"> </w:t>
      </w:r>
      <w:r>
        <w:rPr>
          <w:iCs/>
          <w:i/>
        </w:rPr>
        <w:t xml:space="preserve">(§12.11)</w:t>
      </w:r>
    </w:p>
    <w:p>
      <w:pPr>
        <w:pStyle w:val="BodyText"/>
      </w:pPr>
      <w:r>
        <w:rPr>
          <w:bCs/>
          <w:b/>
        </w:rPr>
        <w:t xml:space="preserve">Non-functional requirement (NFR)</w:t>
      </w:r>
      <w:r>
        <w:t xml:space="preserve"> </w:t>
      </w:r>
      <w:r>
        <w:t xml:space="preserve">— A requirement on</w:t>
      </w:r>
      <w:r>
        <w:t xml:space="preserve"> </w:t>
      </w:r>
      <w:r>
        <w:rPr>
          <w:iCs/>
          <w:i/>
        </w:rPr>
        <w:t xml:space="preserve">how well</w:t>
      </w:r>
      <w:r>
        <w:t xml:space="preserve"> </w:t>
      </w:r>
      <w:r>
        <w:t xml:space="preserve">the system performs its functions, or on constraints under which it operates, expressed as a measurable target — for example</w:t>
      </w:r>
      <w:r>
        <w:t xml:space="preserve"> </w:t>
      </w:r>
      <w:r>
        <w:t xml:space="preserve">“</w:t>
      </w:r>
      <w:r>
        <w:t xml:space="preserve">p99 feed latency ≤ 300 ms at 2,000 RPS</w:t>
      </w:r>
      <w:r>
        <w:t xml:space="preserve">”</w:t>
      </w:r>
      <w:r>
        <w:t xml:space="preserve"> </w:t>
      </w:r>
      <w:r>
        <w:t xml:space="preserve">or</w:t>
      </w:r>
      <w:r>
        <w:t xml:space="preserve"> </w:t>
      </w:r>
      <w:r>
        <w:t xml:space="preserve">“</w:t>
      </w:r>
      <w:r>
        <w:t xml:space="preserve">monthly availability ≥ 99.9%</w:t>
      </w:r>
      <w:r>
        <w:t xml:space="preserve">”</w:t>
      </w:r>
      <w:r>
        <w:t xml:space="preserve">. NFRs are also called</w:t>
      </w:r>
      <w:r>
        <w:t xml:space="preserve"> </w:t>
      </w:r>
      <w:r>
        <w:rPr>
          <w:bCs/>
          <w:b/>
        </w:rPr>
        <w:t xml:space="preserve">quality attributes</w:t>
      </w:r>
      <w:r>
        <w:t xml:space="preserve"> </w:t>
      </w:r>
      <w:r>
        <w:t xml:space="preserve">or, informally, the</w:t>
      </w:r>
      <w:r>
        <w:t xml:space="preserve"> </w:t>
      </w:r>
      <w:r>
        <w:rPr>
          <w:bCs/>
          <w:b/>
        </w:rPr>
        <w:t xml:space="preserve">“</w:t>
      </w:r>
      <w:r>
        <w:rPr>
          <w:bCs/>
          <w:b/>
        </w:rPr>
        <w:t xml:space="preserve">-ilities</w:t>
      </w:r>
      <w:r>
        <w:rPr>
          <w:bCs/>
          <w:b/>
        </w:rPr>
        <w:t xml:space="preserve">”</w:t>
      </w:r>
      <w:r>
        <w:t xml:space="preserve"> </w:t>
      </w:r>
      <w:r>
        <w:t xml:space="preserve">(scalability, availability, durability, …).</w:t>
      </w:r>
      <w:r>
        <w:t xml:space="preserve"> </w:t>
      </w:r>
      <w:r>
        <w:rPr>
          <w:iCs/>
          <w:i/>
        </w:rPr>
        <w:t xml:space="preserve">(§1.7.1)</w:t>
      </w:r>
    </w:p>
    <w:p>
      <w:pPr>
        <w:pStyle w:val="BodyText"/>
      </w:pPr>
      <w:r>
        <w:rPr>
          <w:bCs/>
          <w:b/>
        </w:rPr>
        <w:t xml:space="preserve">Normal forms (1NF to BCNF)</w:t>
      </w:r>
      <w:r>
        <w:t xml:space="preserve"> </w:t>
      </w:r>
      <w:r>
        <w:t xml:space="preserve">—</w:t>
      </w:r>
      <w:r>
        <w:t xml:space="preserve"> </w:t>
      </w:r>
      <w:r>
        <w:rPr>
          <w:bCs/>
          <w:b/>
        </w:rPr>
        <w:t xml:space="preserve">1NF:</w:t>
      </w:r>
      <w:r>
        <w:t xml:space="preserve"> </w:t>
      </w:r>
      <w:r>
        <w:t xml:space="preserve">every column holds a single atomic value (no lists or repeating groups).</w:t>
      </w:r>
      <w:r>
        <w:t xml:space="preserve"> </w:t>
      </w:r>
      <w:r>
        <w:rPr>
          <w:bCs/>
          <w:b/>
        </w:rPr>
        <w:t xml:space="preserve">2NF:</w:t>
      </w:r>
      <w:r>
        <w:t xml:space="preserve"> </w:t>
      </w:r>
      <w:r>
        <w:t xml:space="preserve">1NF, and no non-key column depends on only</w:t>
      </w:r>
      <w:r>
        <w:t xml:space="preserve"> </w:t>
      </w:r>
      <w:r>
        <w:rPr>
          <w:iCs/>
          <w:i/>
        </w:rPr>
        <w:t xml:space="preserve">part</w:t>
      </w:r>
      <w:r>
        <w:t xml:space="preserve"> </w:t>
      </w:r>
      <w:r>
        <w:t xml:space="preserve">of a composite candidate key.</w:t>
      </w:r>
      <w:r>
        <w:t xml:space="preserve"> </w:t>
      </w:r>
      <w:r>
        <w:rPr>
          <w:bCs/>
          <w:b/>
        </w:rPr>
        <w:t xml:space="preserve">3NF:</w:t>
      </w:r>
      <w:r>
        <w:t xml:space="preserve"> </w:t>
      </w:r>
      <w:r>
        <w:t xml:space="preserve">2NF, and no non-key column depends on another non-key column (no transitive dependency); formally, for every non-trivial</w:t>
      </w:r>
      <w:r>
        <w:t xml:space="preserve"> </w:t>
      </w:r>
      <m:oMath>
        <m:r>
          <m:t>X</m:t>
        </m:r>
        <m:r>
          <m:rPr>
            <m:sty m:val="p"/>
          </m:rPr>
          <m:t>→</m:t>
        </m:r>
        <m:r>
          <m:t>A</m:t>
        </m:r>
      </m:oMath>
      <w:r>
        <w:t xml:space="preserve">, either</w:t>
      </w:r>
      <w:r>
        <w:t xml:space="preserve"> </w:t>
      </w:r>
      <m:oMath>
        <m:r>
          <m:t>X</m:t>
        </m:r>
      </m:oMath>
      <w:r>
        <w:t xml:space="preserve"> </w:t>
      </w:r>
      <w:r>
        <w:t xml:space="preserve">is a superkey or</w:t>
      </w:r>
      <w:r>
        <w:t xml:space="preserve"> </w:t>
      </w:r>
      <m:oMath>
        <m:r>
          <m:t>A</m:t>
        </m:r>
      </m:oMath>
      <w:r>
        <w:t xml:space="preserve"> </w:t>
      </w:r>
      <w:r>
        <w:t xml:space="preserve">is part of some candidate key.</w:t>
      </w:r>
      <w:r>
        <w:t xml:space="preserve"> </w:t>
      </w:r>
      <w:r>
        <w:rPr>
          <w:bCs/>
          <w:b/>
        </w:rPr>
        <w:t xml:space="preserve">BCNF (Boyce–Codd normal form):</w:t>
      </w:r>
      <w:r>
        <w:t xml:space="preserve"> </w:t>
      </w:r>
      <w:r>
        <w:t xml:space="preserve">for every non-trivial</w:t>
      </w:r>
      <w:r>
        <w:t xml:space="preserve"> </w:t>
      </w:r>
      <m:oMath>
        <m:r>
          <m:t>X</m:t>
        </m:r>
        <m:r>
          <m:rPr>
            <m:sty m:val="p"/>
          </m:rPr>
          <m:t>→</m:t>
        </m:r>
        <m:r>
          <m:t>A</m:t>
        </m:r>
      </m:oMath>
      <w:r>
        <w:t xml:space="preserve">,</w:t>
      </w:r>
      <w:r>
        <w:t xml:space="preserve"> </w:t>
      </w:r>
      <m:oMath>
        <m:r>
          <m:t>X</m:t>
        </m:r>
      </m:oMath>
      <w:r>
        <w:t xml:space="preserve"> </w:t>
      </w:r>
      <w:r>
        <w:t xml:space="preserve">is a superkey. BCNF removes 3NF’s exception for key columns.</w:t>
      </w:r>
      <w:r>
        <w:t xml:space="preserve"> </w:t>
      </w:r>
      <w:r>
        <w:rPr>
          <w:iCs/>
          <w:i/>
        </w:rPr>
        <w:t xml:space="preserve">(§11.5.2)</w:t>
      </w:r>
    </w:p>
    <w:p>
      <w:pPr>
        <w:pStyle w:val="BodyText"/>
      </w:pPr>
      <w:r>
        <w:rPr>
          <w:bCs/>
          <w:b/>
        </w:rPr>
        <w:t xml:space="preserve">NoSQL database</w:t>
      </w:r>
      <w:r>
        <w:t xml:space="preserve"> </w:t>
      </w:r>
      <w:r>
        <w:t xml:space="preserve">— A database that does not use the relational table-and-join model as its primary data model and typically trades some combination of cross-record transactions, ad-hoc querying and fixed schemas for horizontal scale-out, flexible schemas or availability during failures. The name is usually read as</w:t>
      </w:r>
      <w:r>
        <w:t xml:space="preserve"> </w:t>
      </w:r>
      <w:r>
        <w:t xml:space="preserve">“</w:t>
      </w:r>
      <w:r>
        <w:t xml:space="preserve">not only SQL</w:t>
      </w:r>
      <w:r>
        <w:t xml:space="preserve">”</w:t>
      </w:r>
      <w:r>
        <w:t xml:space="preserve">; it describes a movement, not a specification.</w:t>
      </w:r>
      <w:r>
        <w:t xml:space="preserve"> </w:t>
      </w:r>
      <w:r>
        <w:rPr>
          <w:iCs/>
          <w:i/>
        </w:rPr>
        <w:t xml:space="preserve">(§12.3.1)</w:t>
      </w:r>
    </w:p>
    <w:p>
      <w:pPr>
        <w:pStyle w:val="BodyText"/>
      </w:pPr>
      <w:r>
        <w:rPr>
          <w:bCs/>
          <w:b/>
        </w:rPr>
        <w:t xml:space="preserve">NUMA (non-uniform memory access)</w:t>
      </w:r>
      <w:r>
        <w:t xml:space="preserve"> </w:t>
      </w:r>
      <w:r>
        <w:t xml:space="preserve">— A memory architecture in which each processor socket (or each chiplet group within a socket) has its own directly attached memory. A core can access all memory in the machine, but accessing its</w:t>
      </w:r>
      <w:r>
        <w:t xml:space="preserve"> </w:t>
      </w:r>
      <w:r>
        <w:rPr>
          <w:bCs/>
          <w:b/>
        </w:rPr>
        <w:t xml:space="preserve">local</w:t>
      </w:r>
      <w:r>
        <w:t xml:space="preserve"> </w:t>
      </w:r>
      <w:r>
        <w:t xml:space="preserve">memory is faster than accessing</w:t>
      </w:r>
      <w:r>
        <w:t xml:space="preserve"> </w:t>
      </w:r>
      <w:r>
        <w:rPr>
          <w:bCs/>
          <w:b/>
        </w:rPr>
        <w:t xml:space="preserve">remote</w:t>
      </w:r>
      <w:r>
        <w:t xml:space="preserve"> </w:t>
      </w:r>
      <w:r>
        <w:t xml:space="preserve">memory attached to another socket.</w:t>
      </w:r>
      <w:r>
        <w:t xml:space="preserve"> </w:t>
      </w:r>
      <w:r>
        <w:rPr>
          <w:iCs/>
          <w:i/>
        </w:rPr>
        <w:t xml:space="preserve">(§5.10)</w:t>
      </w:r>
    </w:p>
    <w:bookmarkEnd w:id="3365"/>
    <w:bookmarkStart w:id="3366" w:name="o"/>
    <w:p>
      <w:pPr>
        <w:pStyle w:val="Heading2"/>
      </w:pPr>
      <w:r>
        <w:t xml:space="preserve">O</w:t>
      </w:r>
    </w:p>
    <w:p>
      <w:pPr>
        <w:pStyle w:val="FirstParagraph"/>
      </w:pPr>
      <w:r>
        <w:rPr>
          <w:bCs/>
          <w:b/>
        </w:rPr>
        <w:t xml:space="preserve">OAuth 2.0</w:t>
      </w:r>
      <w:r>
        <w:t xml:space="preserve"> </w:t>
      </w:r>
      <w:r>
        <w:t xml:space="preserve">— An authorization framework that lets a third-party application obtain</w:t>
      </w:r>
      <w:r>
        <w:t xml:space="preserve"> </w:t>
      </w:r>
      <w:r>
        <w:rPr>
          <w:iCs/>
          <w:i/>
        </w:rPr>
        <w:t xml:space="preserve">limited</w:t>
      </w:r>
      <w:r>
        <w:t xml:space="preserve"> </w:t>
      </w:r>
      <w:r>
        <w:t xml:space="preserve">access to an HTTP service on behalf of a resource owner, by obtaining an</w:t>
      </w:r>
      <w:r>
        <w:t xml:space="preserve"> </w:t>
      </w:r>
      <w:r>
        <w:rPr>
          <w:bCs/>
          <w:b/>
        </w:rPr>
        <w:t xml:space="preserve">access token</w:t>
      </w:r>
      <w:r>
        <w:t xml:space="preserve"> </w:t>
      </w:r>
      <w:r>
        <w:t xml:space="preserve">from an authorization server instead of using the owner’s credentials [RFC 6749].</w:t>
      </w:r>
      <w:r>
        <w:t xml:space="preserve"> </w:t>
      </w:r>
      <w:r>
        <w:rPr>
          <w:iCs/>
          <w:i/>
        </w:rPr>
        <w:t xml:space="preserve">(§8.14.1)</w:t>
      </w:r>
    </w:p>
    <w:p>
      <w:pPr>
        <w:pStyle w:val="BodyText"/>
      </w:pPr>
      <w:r>
        <w:rPr>
          <w:bCs/>
          <w:b/>
        </w:rPr>
        <w:t xml:space="preserve">Offload ratio</w:t>
      </w:r>
      <w:r>
        <w:t xml:space="preserve"> </w:t>
      </w:r>
      <w:r>
        <w:t xml:space="preserve">— The fraction of traffic a CDN serves without contacting the origin.</w:t>
      </w:r>
      <w:r>
        <w:t xml:space="preserve"> </w:t>
      </w:r>
      <w:r>
        <w:rPr>
          <w:bCs/>
          <w:b/>
        </w:rPr>
        <w:t xml:space="preserve">Request offload</w:t>
      </w:r>
      <w:r>
        <w:t xml:space="preserve"> </w:t>
      </w:r>
      <w:r>
        <w:t xml:space="preserve">counts requests;</w:t>
      </w:r>
      <w:r>
        <w:t xml:space="preserve"> </w:t>
      </w:r>
      <w:r>
        <w:rPr>
          <w:bCs/>
          <w:b/>
        </w:rPr>
        <w:t xml:space="preserve">byte offload</w:t>
      </w:r>
      <w:r>
        <w:t xml:space="preserve"> </w:t>
      </w:r>
      <w:r>
        <w:t xml:space="preserve">counts bytes. Both are a cache hit ratio (§20.3) measured at the boundary between the CDN and the origin.</w:t>
      </w:r>
      <w:r>
        <w:t xml:space="preserve"> </w:t>
      </w:r>
      <w:r>
        <w:rPr>
          <w:iCs/>
          <w:i/>
        </w:rPr>
        <w:t xml:space="preserve">(§21.5.1)</w:t>
      </w:r>
    </w:p>
    <w:p>
      <w:pPr>
        <w:pStyle w:val="BodyText"/>
      </w:pPr>
      <w:r>
        <w:rPr>
          <w:bCs/>
          <w:b/>
        </w:rPr>
        <w:t xml:space="preserve">Open and closed workload models</w:t>
      </w:r>
      <w:r>
        <w:t xml:space="preserve"> </w:t>
      </w:r>
      <w:r>
        <w:t xml:space="preserve">— In an</w:t>
      </w:r>
      <w:r>
        <w:t xml:space="preserve"> </w:t>
      </w:r>
      <w:r>
        <w:rPr>
          <w:bCs/>
          <w:b/>
        </w:rPr>
        <w:t xml:space="preserve">open</w:t>
      </w:r>
      <w:r>
        <w:t xml:space="preserve"> </w:t>
      </w:r>
      <w:r>
        <w:t xml:space="preserve">model, new requests arrive at a rate that is independent of how fast the system answers: users on the internet do not wait for each other. In a</w:t>
      </w:r>
      <w:r>
        <w:t xml:space="preserve"> </w:t>
      </w:r>
      <w:r>
        <w:rPr>
          <w:bCs/>
          <w:b/>
        </w:rPr>
        <w:t xml:space="preserve">closed</w:t>
      </w:r>
      <w:r>
        <w:t xml:space="preserve"> </w:t>
      </w:r>
      <w:r>
        <w:t xml:space="preserve">model, a fixed population of</w:t>
      </w:r>
      <w:r>
        <w:t xml:space="preserve"> </w:t>
      </w:r>
      <m:oMath>
        <m:r>
          <m:t>N</m:t>
        </m:r>
      </m:oMath>
      <w:r>
        <w:t xml:space="preserve"> </w:t>
      </w:r>
      <w:r>
        <w:t xml:space="preserve">users (or load-generator threads) each sends a request, waits for the response, optionally pauses for a</w:t>
      </w:r>
      <w:r>
        <w:t xml:space="preserve"> </w:t>
      </w:r>
      <w:r>
        <w:rPr>
          <w:bCs/>
          <w:b/>
        </w:rPr>
        <w:t xml:space="preserve">think time</w:t>
      </w:r>
      <w:r>
        <w:t xml:space="preserve"> </w:t>
      </w:r>
      <m:oMath>
        <m:r>
          <m:t>Z</m:t>
        </m:r>
      </m:oMath>
      <w:r>
        <w:t xml:space="preserve">, and only then sends the next. A</w:t>
      </w:r>
      <w:r>
        <w:t xml:space="preserve"> </w:t>
      </w:r>
      <w:r>
        <w:rPr>
          <w:bCs/>
          <w:b/>
        </w:rPr>
        <w:t xml:space="preserve">partly open</w:t>
      </w:r>
      <w:r>
        <w:t xml:space="preserve"> </w:t>
      </w:r>
      <w:r>
        <w:t xml:space="preserve">model has sessions that arrive openly but issue several requests each, closed-loop, within the session [Schroeder et al. 2006].</w:t>
      </w:r>
      <w:r>
        <w:t xml:space="preserve"> </w:t>
      </w:r>
      <w:r>
        <w:rPr>
          <w:iCs/>
          <w:i/>
        </w:rPr>
        <w:t xml:space="preserve">(§23.5.2)</w:t>
      </w:r>
    </w:p>
    <w:p>
      <w:pPr>
        <w:pStyle w:val="BodyText"/>
      </w:pPr>
      <w:r>
        <w:rPr>
          <w:bCs/>
          <w:b/>
        </w:rPr>
        <w:t xml:space="preserve">OpenAPI Specification (OAS)</w:t>
      </w:r>
      <w:r>
        <w:t xml:space="preserve"> </w:t>
      </w:r>
      <w:r>
        <w:t xml:space="preserve">— A vendor-neutral, machine-readable format (YAML or JSON) for describing HTTP APIs: paths, operations, parameters, request and response bodies (as JSON Schema), status codes and security schemes [OpenAPI Specification]. It grew out of Swagger and is maintained by the OpenAPI Initiative; version 3.1 aligned its schemas with JSON Schema, and version 3.2.0 was released in September 2025.</w:t>
      </w:r>
      <w:r>
        <w:t xml:space="preserve"> </w:t>
      </w:r>
      <w:r>
        <w:rPr>
          <w:iCs/>
          <w:i/>
        </w:rPr>
        <w:t xml:space="preserve">(§8.16)</w:t>
      </w:r>
    </w:p>
    <w:p>
      <w:pPr>
        <w:pStyle w:val="BodyText"/>
      </w:pPr>
      <w:r>
        <w:rPr>
          <w:bCs/>
          <w:b/>
        </w:rPr>
        <w:t xml:space="preserve">Operating system (OS)</w:t>
      </w:r>
      <w:r>
        <w:t xml:space="preserve"> </w:t>
      </w:r>
      <w:r>
        <w:t xml:space="preserve">— The software layer that manages a computer’s hardware (CPU, memory, storage, network) and provides running programs with safe, shared, abstract access to it. The privileged core of the OS that runs with full hardware access is the</w:t>
      </w:r>
      <w:r>
        <w:t xml:space="preserve"> </w:t>
      </w:r>
      <w:r>
        <w:rPr>
          <w:bCs/>
          <w:b/>
        </w:rPr>
        <w:t xml:space="preserve">kernel</w:t>
      </w:r>
      <w:r>
        <w:t xml:space="preserve">.</w:t>
      </w:r>
      <w:r>
        <w:t xml:space="preserve"> </w:t>
      </w:r>
      <w:r>
        <w:rPr>
          <w:iCs/>
          <w:i/>
        </w:rPr>
        <w:t xml:space="preserve">(§6.3.1)</w:t>
      </w:r>
    </w:p>
    <w:p>
      <w:pPr>
        <w:pStyle w:val="BodyText"/>
      </w:pPr>
      <w:r>
        <w:rPr>
          <w:bCs/>
          <w:b/>
        </w:rPr>
        <w:t xml:space="preserve">Operation, history</w:t>
      </w:r>
      <w:r>
        <w:t xml:space="preserve"> </w:t>
      </w:r>
      <w:r>
        <w:t xml:space="preserve">— An</w:t>
      </w:r>
      <w:r>
        <w:t xml:space="preserve"> </w:t>
      </w:r>
      <w:r>
        <w:rPr>
          <w:bCs/>
          <w:b/>
        </w:rPr>
        <w:t xml:space="preserve">operation</w:t>
      </w:r>
      <w:r>
        <w:t xml:space="preserve"> </w:t>
      </w:r>
      <w:r>
        <w:t xml:space="preserve">is one call by a client on a shared object, such as</w:t>
      </w:r>
      <w:r>
        <w:t xml:space="preserve"> </w:t>
      </w:r>
      <w:r>
        <w:rPr>
          <w:rStyle w:val="VerbatimChar"/>
        </w:rPr>
        <w:t xml:space="preserve">write(x, 1)</w:t>
      </w:r>
      <w:r>
        <w:t xml:space="preserve"> </w:t>
      </w:r>
      <w:r>
        <w:t xml:space="preserve">or</w:t>
      </w:r>
      <w:r>
        <w:t xml:space="preserve"> </w:t>
      </w:r>
      <w:r>
        <w:rPr>
          <w:rStyle w:val="VerbatimChar"/>
        </w:rPr>
        <w:t xml:space="preserve">read(x)</w:t>
      </w:r>
      <w:r>
        <w:t xml:space="preserve">. It has an</w:t>
      </w:r>
      <w:r>
        <w:t xml:space="preserve"> </w:t>
      </w:r>
      <w:r>
        <w:rPr>
          <w:bCs/>
          <w:b/>
        </w:rPr>
        <w:t xml:space="preserve">invocation</w:t>
      </w:r>
      <w:r>
        <w:t xml:space="preserve"> </w:t>
      </w:r>
      <w:r>
        <w:t xml:space="preserve">event (the client sends the request, at real time</w:t>
      </w:r>
      <w:r>
        <w:t xml:space="preserve"> </w:t>
      </w:r>
      <m:oMath>
        <m:sSub>
          <m:e>
            <m:r>
              <m:t>t</m:t>
            </m:r>
          </m:e>
          <m:sub>
            <m:r>
              <m:rPr>
                <m:nor/>
                <m:sty m:val="p"/>
              </m:rPr>
              <m:t>inv</m:t>
            </m:r>
          </m:sub>
        </m:sSub>
      </m:oMath>
      <w:r>
        <w:t xml:space="preserve">) and, if the client hears back, a</w:t>
      </w:r>
      <w:r>
        <w:t xml:space="preserve"> </w:t>
      </w:r>
      <w:r>
        <w:rPr>
          <w:bCs/>
          <w:b/>
        </w:rPr>
        <w:t xml:space="preserve">response</w:t>
      </w:r>
      <w:r>
        <w:t xml:space="preserve"> </w:t>
      </w:r>
      <w:r>
        <w:t xml:space="preserve">event (at</w:t>
      </w:r>
      <w:r>
        <w:t xml:space="preserve"> </w:t>
      </w:r>
      <m:oMath>
        <m:sSub>
          <m:e>
            <m:r>
              <m:t>t</m:t>
            </m:r>
          </m:e>
          <m:sub>
            <m:r>
              <m:rPr>
                <m:nor/>
                <m:sty m:val="p"/>
              </m:rPr>
              <m:t>resp</m:t>
            </m:r>
          </m:sub>
        </m:sSub>
      </m:oMath>
      <w:r>
        <w:t xml:space="preserve">, carrying the return value). A</w:t>
      </w:r>
      <w:r>
        <w:t xml:space="preserve"> </w:t>
      </w:r>
      <w:r>
        <w:rPr>
          <w:bCs/>
          <w:b/>
        </w:rPr>
        <w:t xml:space="preserve">history</w:t>
      </w:r>
      <w:r>
        <w:t xml:space="preserve"> </w:t>
      </w:r>
      <w:r>
        <w:t xml:space="preserve">is the sequence of invocation and response events observed in one execution. An operation without a response is</w:t>
      </w:r>
      <w:r>
        <w:t xml:space="preserve"> </w:t>
      </w:r>
      <w:r>
        <w:rPr>
          <w:bCs/>
          <w:b/>
        </w:rPr>
        <w:t xml:space="preserve">pending</w:t>
      </w:r>
      <w:r>
        <w:t xml:space="preserve">: it may or may not have taken effect.</w:t>
      </w:r>
      <w:r>
        <w:t xml:space="preserve"> </w:t>
      </w:r>
      <w:r>
        <w:rPr>
          <w:iCs/>
          <w:i/>
        </w:rPr>
        <w:t xml:space="preserve">(§25.3.1)</w:t>
      </w:r>
    </w:p>
    <w:p>
      <w:pPr>
        <w:pStyle w:val="BodyText"/>
      </w:pPr>
      <w:r>
        <w:rPr>
          <w:bCs/>
          <w:b/>
        </w:rPr>
        <w:t xml:space="preserve">Order of magnitude</w:t>
      </w:r>
      <w:r>
        <w:t xml:space="preserve"> </w:t>
      </w:r>
      <w:r>
        <w:t xml:space="preserve">— A factor of ten. Two quantities differ by</w:t>
      </w:r>
      <w:r>
        <w:t xml:space="preserve"> </w:t>
      </w:r>
      <w:r>
        <w:rPr>
          <w:iCs/>
          <w:i/>
        </w:rPr>
        <w:t xml:space="preserve">k</w:t>
      </w:r>
      <w:r>
        <w:t xml:space="preserve"> </w:t>
      </w:r>
      <w:r>
        <w:t xml:space="preserve">orders of magnitude when their ratio is about</w:t>
      </w:r>
      <w:r>
        <w:t xml:space="preserve"> </w:t>
      </w:r>
      <m:oMath>
        <m:sSup>
          <m:e>
            <m:r>
              <m:t>10</m:t>
            </m:r>
          </m:e>
          <m:sup>
            <m:r>
              <m:t>k</m:t>
            </m:r>
          </m:sup>
        </m:sSup>
      </m:oMath>
      <w:r>
        <w:t xml:space="preserve">. Reasoning in orders of magnitude means estimating only the</w:t>
      </w:r>
      <w:r>
        <w:t xml:space="preserve"> </w:t>
      </w:r>
      <w:r>
        <w:rPr>
          <w:iCs/>
          <w:i/>
        </w:rPr>
        <w:t xml:space="preserve">power of ten</w:t>
      </w:r>
      <w:r>
        <w:t xml:space="preserve"> </w:t>
      </w:r>
      <w:r>
        <w:t xml:space="preserve">of a quantity (is it 10, 1,000 or 1,000,000 requests per second?) because that, not the exact value, decides the architecture.</w:t>
      </w:r>
      <w:r>
        <w:t xml:space="preserve"> </w:t>
      </w:r>
      <w:r>
        <w:rPr>
          <w:iCs/>
          <w:i/>
        </w:rPr>
        <w:t xml:space="preserve">(§2.10.1)</w:t>
      </w:r>
    </w:p>
    <w:p>
      <w:pPr>
        <w:pStyle w:val="BodyText"/>
      </w:pPr>
      <w:r>
        <w:rPr>
          <w:bCs/>
          <w:b/>
        </w:rPr>
        <w:t xml:space="preserve">Origin shielding</w:t>
      </w:r>
      <w:r>
        <w:t xml:space="preserve"> </w:t>
      </w:r>
      <w:r>
        <w:t xml:space="preserve">— Routing every cache miss for an origin through one designated cache tier (the</w:t>
      </w:r>
      <w:r>
        <w:t xml:space="preserve"> </w:t>
      </w:r>
      <w:r>
        <w:rPr>
          <w:bCs/>
          <w:b/>
        </w:rPr>
        <w:t xml:space="preserve">shield</w:t>
      </w:r>
      <w:r>
        <w:t xml:space="preserve">), so that the origin sees at most one request per object per freshness period, regardless of how many edge PoPs missed.</w:t>
      </w:r>
      <w:r>
        <w:t xml:space="preserve"> </w:t>
      </w:r>
      <w:r>
        <w:rPr>
          <w:iCs/>
          <w:i/>
        </w:rPr>
        <w:t xml:space="preserve">(§21.5.3)</w:t>
      </w:r>
    </w:p>
    <w:p>
      <w:pPr>
        <w:pStyle w:val="BodyText"/>
      </w:pPr>
      <w:r>
        <w:rPr>
          <w:bCs/>
          <w:b/>
        </w:rPr>
        <w:t xml:space="preserve">Out-of-order (OoO) execution</w:t>
      </w:r>
      <w:r>
        <w:t xml:space="preserve"> </w:t>
      </w:r>
      <w:r>
        <w:t xml:space="preserve">— A technique in which the core executes instructions as soon as their inputs are ready rather than strictly in program order, while still making the results</w:t>
      </w:r>
      <w:r>
        <w:t xml:space="preserve"> </w:t>
      </w:r>
      <w:r>
        <w:rPr>
          <w:iCs/>
          <w:i/>
        </w:rPr>
        <w:t xml:space="preserve">appear</w:t>
      </w:r>
      <w:r>
        <w:t xml:space="preserve"> </w:t>
      </w:r>
      <w:r>
        <w:t xml:space="preserve">in program order (it</w:t>
      </w:r>
      <w:r>
        <w:t xml:space="preserve"> </w:t>
      </w:r>
      <w:r>
        <w:rPr>
          <w:bCs/>
          <w:b/>
        </w:rPr>
        <w:t xml:space="preserve">retires</w:t>
      </w:r>
      <w:r>
        <w:t xml:space="preserve"> </w:t>
      </w:r>
      <w:r>
        <w:t xml:space="preserve">them in order).</w:t>
      </w:r>
      <w:r>
        <w:t xml:space="preserve"> </w:t>
      </w:r>
      <w:r>
        <w:rPr>
          <w:iCs/>
          <w:i/>
        </w:rPr>
        <w:t xml:space="preserve">(§5.3.5)</w:t>
      </w:r>
    </w:p>
    <w:p>
      <w:pPr>
        <w:pStyle w:val="BodyText"/>
      </w:pPr>
      <w:r>
        <w:rPr>
          <w:bCs/>
          <w:b/>
        </w:rPr>
        <w:t xml:space="preserve">OWASP Top 10</w:t>
      </w:r>
      <w:r>
        <w:t xml:space="preserve"> </w:t>
      </w:r>
      <w:r>
        <w:t xml:space="preserve">— A consensus ranking of the most critical web application security risk categories, published by the Open Worldwide Application Security Project from vulnerability data contributed by testing organizations plus a community survey. This section uses the</w:t>
      </w:r>
      <w:r>
        <w:t xml:space="preserve"> </w:t>
      </w:r>
      <w:r>
        <w:rPr>
          <w:bCs/>
          <w:b/>
        </w:rPr>
        <w:t xml:space="preserve">2021 edition</w:t>
      </w:r>
      <w:r>
        <w:t xml:space="preserve"> </w:t>
      </w:r>
      <w:r>
        <w:t xml:space="preserve">[OWASP 2021]. A 2025 edition has since been published; it keeps broken access control at #1, folds SSRF into it, and adds categories for software supply-chain failures and mishandling of exceptional conditions, so the architectural controls below remain applicable.</w:t>
      </w:r>
      <w:r>
        <w:t xml:space="preserve"> </w:t>
      </w:r>
      <w:r>
        <w:rPr>
          <w:iCs/>
          <w:i/>
        </w:rPr>
        <w:t xml:space="preserve">(§10.7)</w:t>
      </w:r>
    </w:p>
    <w:bookmarkEnd w:id="3366"/>
    <w:bookmarkStart w:id="3367" w:name="p"/>
    <w:p>
      <w:pPr>
        <w:pStyle w:val="Heading2"/>
      </w:pPr>
      <w:r>
        <w:t xml:space="preserve">P</w:t>
      </w:r>
    </w:p>
    <w:p>
      <w:pPr>
        <w:pStyle w:val="FirstParagraph"/>
      </w:pPr>
      <w:r>
        <w:rPr>
          <w:bCs/>
          <w:b/>
        </w:rPr>
        <w:t xml:space="preserve">PACELC</w:t>
      </w:r>
      <w:r>
        <w:t xml:space="preserve"> </w:t>
      </w:r>
      <w:r>
        <w:t xml:space="preserve">— If there is a</w:t>
      </w:r>
      <w:r>
        <w:t xml:space="preserve"> </w:t>
      </w:r>
      <w:r>
        <w:rPr>
          <w:bCs/>
          <w:b/>
        </w:rPr>
        <w:t xml:space="preserve">P</w:t>
      </w:r>
      <w:r>
        <w:t xml:space="preserve">artition, how does the system trade off</w:t>
      </w:r>
      <w:r>
        <w:t xml:space="preserve"> </w:t>
      </w:r>
      <w:r>
        <w:rPr>
          <w:bCs/>
          <w:b/>
        </w:rPr>
        <w:t xml:space="preserve">A</w:t>
      </w:r>
      <w:r>
        <w:t xml:space="preserve">vailability and</w:t>
      </w:r>
      <w:r>
        <w:t xml:space="preserve"> </w:t>
      </w:r>
      <w:r>
        <w:rPr>
          <w:bCs/>
          <w:b/>
        </w:rPr>
        <w:t xml:space="preserve">C</w:t>
      </w:r>
      <w:r>
        <w:t xml:space="preserve">onsistency;</w:t>
      </w:r>
      <w:r>
        <w:t xml:space="preserve"> </w:t>
      </w:r>
      <w:r>
        <w:rPr>
          <w:bCs/>
          <w:b/>
        </w:rPr>
        <w:t xml:space="preserve">E</w:t>
      </w:r>
      <w:r>
        <w:t xml:space="preserve">lse, when the system is running normally, how does it trade off</w:t>
      </w:r>
      <w:r>
        <w:t xml:space="preserve"> </w:t>
      </w:r>
      <w:r>
        <w:rPr>
          <w:bCs/>
          <w:b/>
        </w:rPr>
        <w:t xml:space="preserve">L</w:t>
      </w:r>
      <w:r>
        <w:t xml:space="preserve">atency and</w:t>
      </w:r>
      <w:r>
        <w:t xml:space="preserve"> </w:t>
      </w:r>
      <w:r>
        <w:rPr>
          <w:bCs/>
          <w:b/>
        </w:rPr>
        <w:t xml:space="preserve">C</w:t>
      </w:r>
      <w:r>
        <w:t xml:space="preserve">onsistency? A system is labeled by its two choices, for example PA/EL or PC/EC.</w:t>
      </w:r>
      <w:r>
        <w:t xml:space="preserve"> </w:t>
      </w:r>
      <w:r>
        <w:rPr>
          <w:iCs/>
          <w:i/>
        </w:rPr>
        <w:t xml:space="preserve">(§25.9.1)</w:t>
      </w:r>
    </w:p>
    <w:p>
      <w:pPr>
        <w:pStyle w:val="BodyText"/>
      </w:pPr>
      <w:r>
        <w:rPr>
          <w:bCs/>
          <w:b/>
        </w:rPr>
        <w:t xml:space="preserve">Page</w:t>
      </w:r>
      <w:r>
        <w:t xml:space="preserve"> </w:t>
      </w:r>
      <w:r>
        <w:t xml:space="preserve">— The fixed-size unit (typically 4–16 KiB) in which a storage engine reads, writes, caches and logs data. A page on disk is sometimes called a</w:t>
      </w:r>
      <w:r>
        <w:t xml:space="preserve"> </w:t>
      </w:r>
      <w:r>
        <w:rPr>
          <w:bCs/>
          <w:b/>
        </w:rPr>
        <w:t xml:space="preserve">block</w:t>
      </w:r>
      <w:r>
        <w:t xml:space="preserve">; the engine keeps a copy of a page in memory in a</w:t>
      </w:r>
      <w:r>
        <w:t xml:space="preserve"> </w:t>
      </w:r>
      <w:r>
        <w:rPr>
          <w:bCs/>
          <w:b/>
        </w:rPr>
        <w:t xml:space="preserve">frame</w:t>
      </w:r>
      <w:r>
        <w:t xml:space="preserve"> </w:t>
      </w:r>
      <w:r>
        <w:t xml:space="preserve">of its buffer pool.</w:t>
      </w:r>
      <w:r>
        <w:t xml:space="preserve"> </w:t>
      </w:r>
      <w:r>
        <w:rPr>
          <w:iCs/>
          <w:i/>
        </w:rPr>
        <w:t xml:space="preserve">(§13.3.1)</w:t>
      </w:r>
    </w:p>
    <w:p>
      <w:pPr>
        <w:pStyle w:val="BodyText"/>
      </w:pPr>
      <w:r>
        <w:rPr>
          <w:bCs/>
          <w:b/>
        </w:rPr>
        <w:t xml:space="preserve">Page cache</w:t>
      </w:r>
      <w:r>
        <w:t xml:space="preserve"> </w:t>
      </w:r>
      <w:r>
        <w:t xml:space="preserve">— The kernel’s in-RAM cache of file contents, organized in pages. Reads are served from it when possible; writes normally modify pages in it (marking them</w:t>
      </w:r>
      <w:r>
        <w:t xml:space="preserve"> </w:t>
      </w:r>
      <w:r>
        <w:rPr>
          <w:bCs/>
          <w:b/>
        </w:rPr>
        <w:t xml:space="preserve">dirty</w:t>
      </w:r>
      <w:r>
        <w:t xml:space="preserve">) and return immediately, with the kernel writing them back to storage later.</w:t>
      </w:r>
      <w:r>
        <w:t xml:space="preserve"> </w:t>
      </w:r>
      <w:r>
        <w:rPr>
          <w:iCs/>
          <w:i/>
        </w:rPr>
        <w:t xml:space="preserve">(§6.6.6)</w:t>
      </w:r>
    </w:p>
    <w:p>
      <w:pPr>
        <w:pStyle w:val="BodyText"/>
      </w:pPr>
      <w:r>
        <w:rPr>
          <w:bCs/>
          <w:b/>
        </w:rPr>
        <w:t xml:space="preserve">Partial failure</w:t>
      </w:r>
      <w:r>
        <w:t xml:space="preserve"> </w:t>
      </w:r>
      <w:r>
        <w:t xml:space="preserve">— A state in which some components of a system have failed while others continue to work, so that an operation may be applied in some places and not others, and the working components cannot reliably tell which components failed.</w:t>
      </w:r>
      <w:r>
        <w:t xml:space="preserve"> </w:t>
      </w:r>
      <w:r>
        <w:rPr>
          <w:iCs/>
          <w:i/>
        </w:rPr>
        <w:t xml:space="preserve">(§24.8.1)</w:t>
      </w:r>
    </w:p>
    <w:p>
      <w:pPr>
        <w:pStyle w:val="BodyText"/>
      </w:pPr>
      <w:r>
        <w:rPr>
          <w:bCs/>
          <w:b/>
        </w:rPr>
        <w:t xml:space="preserve">Partition key, sort key and item collection</w:t>
      </w:r>
      <w:r>
        <w:t xml:space="preserve"> </w:t>
      </w:r>
      <w:r>
        <w:t xml:space="preserve">— In DynamoDB every</w:t>
      </w:r>
      <w:r>
        <w:t xml:space="preserve"> </w:t>
      </w:r>
      <w:r>
        <w:rPr>
          <w:bCs/>
          <w:b/>
        </w:rPr>
        <w:t xml:space="preserve">item</w:t>
      </w:r>
      <w:r>
        <w:t xml:space="preserve"> </w:t>
      </w:r>
      <w:r>
        <w:t xml:space="preserve">(a record of up to 400 KB, as of 2026) has a primary key made of a</w:t>
      </w:r>
      <w:r>
        <w:t xml:space="preserve"> </w:t>
      </w:r>
      <w:r>
        <w:rPr>
          <w:bCs/>
          <w:b/>
        </w:rPr>
        <w:t xml:space="preserve">partition key</w:t>
      </w:r>
      <w:r>
        <w:t xml:space="preserve"> </w:t>
      </w:r>
      <w:r>
        <w:t xml:space="preserve">and, optionally, a</w:t>
      </w:r>
      <w:r>
        <w:t xml:space="preserve"> </w:t>
      </w:r>
      <w:r>
        <w:rPr>
          <w:bCs/>
          <w:b/>
        </w:rPr>
        <w:t xml:space="preserve">sort key</w:t>
      </w:r>
      <w:r>
        <w:t xml:space="preserve">. DynamoDB hashes the partition key to choose the storage partition. All items sharing a partition key form an</w:t>
      </w:r>
      <w:r>
        <w:t xml:space="preserve"> </w:t>
      </w:r>
      <w:r>
        <w:rPr>
          <w:bCs/>
          <w:b/>
        </w:rPr>
        <w:t xml:space="preserve">item collection</w:t>
      </w:r>
      <w:r>
        <w:t xml:space="preserve">, stored together and ordered by sort key, so a single</w:t>
      </w:r>
      <w:r>
        <w:t xml:space="preserve"> </w:t>
      </w:r>
      <w:r>
        <w:rPr>
          <w:bCs/>
          <w:b/>
        </w:rPr>
        <w:t xml:space="preserve">Query</w:t>
      </w:r>
      <w:r>
        <w:t xml:space="preserve"> </w:t>
      </w:r>
      <w:r>
        <w:t xml:space="preserve">can return a contiguous, sorted range of them.</w:t>
      </w:r>
      <w:r>
        <w:t xml:space="preserve"> </w:t>
      </w:r>
      <w:r>
        <w:rPr>
          <w:iCs/>
          <w:i/>
        </w:rPr>
        <w:t xml:space="preserve">(§12.4.3)</w:t>
      </w:r>
    </w:p>
    <w:p>
      <w:pPr>
        <w:pStyle w:val="BodyText"/>
      </w:pPr>
      <w:r>
        <w:rPr>
          <w:bCs/>
          <w:b/>
        </w:rPr>
        <w:t xml:space="preserve">Partition (shard)</w:t>
      </w:r>
      <w:r>
        <w:t xml:space="preserve"> </w:t>
      </w:r>
      <w:r>
        <w:t xml:space="preserve">— A subset of a dataset’s rows, stored and served together, such that every row belongs to exactly one partition.</w:t>
      </w:r>
      <w:r>
        <w:t xml:space="preserve"> </w:t>
      </w:r>
      <w:r>
        <w:rPr>
          <w:bCs/>
          <w:b/>
        </w:rPr>
        <w:t xml:space="preserve">Partitioning</w:t>
      </w:r>
      <w:r>
        <w:t xml:space="preserve"> </w:t>
      </w:r>
      <w:r>
        <w:t xml:space="preserve">spreads partitions over nodes;</w:t>
      </w:r>
      <w:r>
        <w:t xml:space="preserve"> </w:t>
      </w:r>
      <w:r>
        <w:rPr>
          <w:bCs/>
          <w:b/>
        </w:rPr>
        <w:t xml:space="preserve">sharding</w:t>
      </w:r>
      <w:r>
        <w:t xml:space="preserve"> </w:t>
      </w:r>
      <w:r>
        <w:t xml:space="preserve">is a synonym used mostly for separate database servers. This book uses</w:t>
      </w:r>
      <w:r>
        <w:t xml:space="preserve"> </w:t>
      </w:r>
      <w:r>
        <w:rPr>
          <w:iCs/>
          <w:i/>
        </w:rPr>
        <w:t xml:space="preserve">partition</w:t>
      </w:r>
      <w:r>
        <w:t xml:space="preserve"> </w:t>
      </w:r>
      <w:r>
        <w:t xml:space="preserve">and</w:t>
      </w:r>
      <w:r>
        <w:t xml:space="preserve"> </w:t>
      </w:r>
      <w:r>
        <w:rPr>
          <w:iCs/>
          <w:i/>
        </w:rPr>
        <w:t xml:space="preserve">shard</w:t>
      </w:r>
      <w:r>
        <w:t xml:space="preserve"> </w:t>
      </w:r>
      <w:r>
        <w:t xml:space="preserve">interchangeably and reserves</w:t>
      </w:r>
      <w:r>
        <w:t xml:space="preserve"> </w:t>
      </w:r>
      <w:r>
        <w:rPr>
          <w:bCs/>
          <w:b/>
        </w:rPr>
        <w:t xml:space="preserve">network partition</w:t>
      </w:r>
      <w:r>
        <w:t xml:space="preserve"> </w:t>
      </w:r>
      <w:r>
        <w:t xml:space="preserve">for network splits (§24.7). The columns that choose a row’s partition form the</w:t>
      </w:r>
      <w:r>
        <w:t xml:space="preserve"> </w:t>
      </w:r>
      <w:r>
        <w:rPr>
          <w:bCs/>
          <w:b/>
        </w:rPr>
        <w:t xml:space="preserve">partition key</w:t>
      </w:r>
      <w:r>
        <w:t xml:space="preserve"> </w:t>
      </w:r>
      <w:r>
        <w:t xml:space="preserve">(or</w:t>
      </w:r>
      <w:r>
        <w:t xml:space="preserve"> </w:t>
      </w:r>
      <w:r>
        <w:rPr>
          <w:bCs/>
          <w:b/>
        </w:rPr>
        <w:t xml:space="preserve">shard key</w:t>
      </w:r>
      <w:r>
        <w:t xml:space="preserve">).</w:t>
      </w:r>
      <w:r>
        <w:t xml:space="preserve"> </w:t>
      </w:r>
      <w:r>
        <w:rPr>
          <w:iCs/>
          <w:i/>
        </w:rPr>
        <w:t xml:space="preserve">(§14.6.1)</w:t>
      </w:r>
    </w:p>
    <w:p>
      <w:pPr>
        <w:pStyle w:val="BodyText"/>
      </w:pPr>
      <w:r>
        <w:rPr>
          <w:bCs/>
          <w:b/>
        </w:rPr>
        <w:t xml:space="preserve">Partition skew and salting</w:t>
      </w:r>
      <w:r>
        <w:t xml:space="preserve"> </w:t>
      </w:r>
      <w:r>
        <w:t xml:space="preserve">—</w:t>
      </w:r>
      <w:r>
        <w:t xml:space="preserve"> </w:t>
      </w:r>
      <w:r>
        <w:rPr>
          <w:bCs/>
          <w:b/>
        </w:rPr>
        <w:t xml:space="preserve">Skew</w:t>
      </w:r>
      <w:r>
        <w:t xml:space="preserve"> </w:t>
      </w:r>
      <w:r>
        <w:t xml:space="preserve">is an uneven distribution of records across partitions, usually caused by a few very frequent keys (a celebrity user, a null or default value, a bot).</w:t>
      </w:r>
      <w:r>
        <w:t xml:space="preserve"> </w:t>
      </w:r>
      <w:r>
        <w:rPr>
          <w:bCs/>
          <w:b/>
        </w:rPr>
        <w:t xml:space="preserve">Salting</w:t>
      </w:r>
      <w:r>
        <w:t xml:space="preserve"> </w:t>
      </w:r>
      <w:r>
        <w:t xml:space="preserve">appends a random suffix from a small range to hot keys so their records spread over several partitions, then removes the suffix in a second, much smaller aggregation (or, for joins, replicates the matching rows of the other side once per salt value).</w:t>
      </w:r>
      <w:r>
        <w:t xml:space="preserve"> </w:t>
      </w:r>
      <w:r>
        <w:rPr>
          <w:iCs/>
          <w:i/>
        </w:rPr>
        <w:t xml:space="preserve">(§29.6.3)</w:t>
      </w:r>
    </w:p>
    <w:p>
      <w:pPr>
        <w:pStyle w:val="BodyText"/>
      </w:pPr>
      <w:r>
        <w:rPr>
          <w:bCs/>
          <w:b/>
        </w:rPr>
        <w:t xml:space="preserve">Percentile</w:t>
      </w:r>
      <w:r>
        <w:t xml:space="preserve"> </w:t>
      </w:r>
      <w:r>
        <w:t xml:space="preserve">— The</w:t>
      </w:r>
      <w:r>
        <w:t xml:space="preserve"> </w:t>
      </w:r>
      <m:oMath>
        <m:r>
          <m:t>q</m:t>
        </m:r>
      </m:oMath>
      <w:r>
        <w:t xml:space="preserve">-th percentile of a set of measurements is the value at or below which</w:t>
      </w:r>
      <w:r>
        <w:t xml:space="preserve"> </w:t>
      </w:r>
      <m:oMath>
        <m:r>
          <m:t>q</m:t>
        </m:r>
      </m:oMath>
      <w:r>
        <w:t xml:space="preserve">% of the measurements fall. Latency percentiles are written</w:t>
      </w:r>
      <w:r>
        <w:t xml:space="preserve"> </w:t>
      </w:r>
      <w:r>
        <w:rPr>
          <w:bCs/>
          <w:b/>
        </w:rPr>
        <w:t xml:space="preserve">p50</w:t>
      </w:r>
      <w:r>
        <w:t xml:space="preserve"> </w:t>
      </w:r>
      <w:r>
        <w:t xml:space="preserve">(the median),</w:t>
      </w:r>
      <w:r>
        <w:t xml:space="preserve"> </w:t>
      </w:r>
      <w:r>
        <w:rPr>
          <w:bCs/>
          <w:b/>
        </w:rPr>
        <w:t xml:space="preserve">p95</w:t>
      </w:r>
      <w:r>
        <w:t xml:space="preserve">,</w:t>
      </w:r>
      <w:r>
        <w:t xml:space="preserve"> </w:t>
      </w:r>
      <w:r>
        <w:rPr>
          <w:bCs/>
          <w:b/>
        </w:rPr>
        <w:t xml:space="preserve">p99</w:t>
      </w:r>
      <w:r>
        <w:t xml:space="preserve"> </w:t>
      </w:r>
      <w:r>
        <w:t xml:space="preserve">and</w:t>
      </w:r>
      <w:r>
        <w:t xml:space="preserve"> </w:t>
      </w:r>
      <w:r>
        <w:rPr>
          <w:bCs/>
          <w:b/>
        </w:rPr>
        <w:t xml:space="preserve">p99.9</w:t>
      </w:r>
      <w:r>
        <w:t xml:space="preserve"> </w:t>
      </w:r>
      <w:r>
        <w:t xml:space="preserve">(also written p999): the 50th, 95th, 99th and 99.9th percentiles.</w:t>
      </w:r>
      <w:r>
        <w:t xml:space="preserve"> </w:t>
      </w:r>
      <w:r>
        <w:rPr>
          <w:iCs/>
          <w:i/>
        </w:rPr>
        <w:t xml:space="preserve">(§4.8.1)</w:t>
      </w:r>
    </w:p>
    <w:p>
      <w:pPr>
        <w:pStyle w:val="BodyText"/>
      </w:pPr>
      <w:r>
        <w:rPr>
          <w:bCs/>
          <w:b/>
        </w:rPr>
        <w:t xml:space="preserve">Percentile latency (p50, p95, p99, p99.9)</w:t>
      </w:r>
      <w:r>
        <w:t xml:space="preserve"> </w:t>
      </w:r>
      <w:r>
        <w:t xml:space="preserve">— The latency value below which the given percentage of requests fall. If p99 latency is 300 ms, 99% of requests completed in 300 ms or less and 1% took longer. p50 is the median.</w:t>
      </w:r>
      <w:r>
        <w:t xml:space="preserve"> </w:t>
      </w:r>
      <w:r>
        <w:rPr>
          <w:iCs/>
          <w:i/>
        </w:rPr>
        <w:t xml:space="preserve">(§1.7.1)</w:t>
      </w:r>
    </w:p>
    <w:p>
      <w:pPr>
        <w:pStyle w:val="BodyText"/>
      </w:pPr>
      <w:r>
        <w:rPr>
          <w:bCs/>
          <w:b/>
        </w:rPr>
        <w:t xml:space="preserve">Percolator transaction</w:t>
      </w:r>
      <w:r>
        <w:t xml:space="preserve"> </w:t>
      </w:r>
      <w:r>
        <w:t xml:space="preserve">— A snapshot-isolated, multi-row, multi-table transaction built entirely by a client library on top of a store that offers only single-row atomic updates and multiple timestamped versions per cell. Ordering comes from a central</w:t>
      </w:r>
      <w:r>
        <w:t xml:space="preserve"> </w:t>
      </w:r>
      <w:r>
        <w:rPr>
          <w:bCs/>
          <w:b/>
        </w:rPr>
        <w:t xml:space="preserve">timestamp oracle</w:t>
      </w:r>
      <w:r>
        <w:t xml:space="preserve">; atomicity comes from making one row’s lock, the</w:t>
      </w:r>
      <w:r>
        <w:t xml:space="preserve"> </w:t>
      </w:r>
      <w:r>
        <w:rPr>
          <w:bCs/>
          <w:b/>
        </w:rPr>
        <w:t xml:space="preserve">primary lock</w:t>
      </w:r>
      <w:r>
        <w:t xml:space="preserve">, the commit point for the whole transaction [Peng and Dabek 2010].</w:t>
      </w:r>
      <w:r>
        <w:t xml:space="preserve"> </w:t>
      </w:r>
      <w:r>
        <w:rPr>
          <w:iCs/>
          <w:i/>
        </w:rPr>
        <w:t xml:space="preserve">(§28.7.1)</w:t>
      </w:r>
    </w:p>
    <w:p>
      <w:pPr>
        <w:pStyle w:val="BodyText"/>
      </w:pPr>
      <w:r>
        <w:rPr>
          <w:bCs/>
          <w:b/>
        </w:rPr>
        <w:t xml:space="preserve">Performance engineering</w:t>
      </w:r>
      <w:r>
        <w:t xml:space="preserve"> </w:t>
      </w:r>
      <w:r>
        <w:t xml:space="preserve">— The practice of measuring, explaining and improving the</w:t>
      </w:r>
      <w:r>
        <w:t xml:space="preserve"> </w:t>
      </w:r>
      <w:r>
        <w:rPr>
          <w:bCs/>
          <w:b/>
        </w:rPr>
        <w:t xml:space="preserve">latency</w:t>
      </w:r>
      <w:r>
        <w:t xml:space="preserve">,</w:t>
      </w:r>
      <w:r>
        <w:t xml:space="preserve"> </w:t>
      </w:r>
      <w:r>
        <w:rPr>
          <w:bCs/>
          <w:b/>
        </w:rPr>
        <w:t xml:space="preserve">throughput</w:t>
      </w:r>
      <w:r>
        <w:t xml:space="preserve"> </w:t>
      </w:r>
      <w:r>
        <w:t xml:space="preserve">and</w:t>
      </w:r>
      <w:r>
        <w:t xml:space="preserve"> </w:t>
      </w:r>
      <w:r>
        <w:rPr>
          <w:bCs/>
          <w:b/>
        </w:rPr>
        <w:t xml:space="preserve">resource efficiency</w:t>
      </w:r>
      <w:r>
        <w:t xml:space="preserve"> </w:t>
      </w:r>
      <w:r>
        <w:t xml:space="preserve">of a system against explicit targets, using repeatable methods rather than intuition. Its outputs are diagnoses (why is it slow?), changes (make it faster or cheaper) and predictions (how much capacity will we need?).</w:t>
      </w:r>
      <w:r>
        <w:t xml:space="preserve"> </w:t>
      </w:r>
      <w:r>
        <w:rPr>
          <w:iCs/>
          <w:i/>
        </w:rPr>
        <w:t xml:space="preserve">(§23.3.1)</w:t>
      </w:r>
    </w:p>
    <w:p>
      <w:pPr>
        <w:pStyle w:val="BodyText"/>
      </w:pPr>
      <w:r>
        <w:rPr>
          <w:bCs/>
          <w:b/>
        </w:rPr>
        <w:t xml:space="preserve">PKCE (Proof Key for Code Exchange,</w:t>
      </w:r>
      <w:r>
        <w:rPr>
          <w:bCs/>
          <w:b/>
        </w:rPr>
        <w:t xml:space="preserve"> </w:t>
      </w:r>
      <w:r>
        <w:rPr>
          <w:bCs/>
          <w:b/>
        </w:rPr>
        <w:t xml:space="preserve">“</w:t>
      </w:r>
      <w:r>
        <w:rPr>
          <w:bCs/>
          <w:b/>
        </w:rPr>
        <w:t xml:space="preserve">pixy</w:t>
      </w:r>
      <w:r>
        <w:rPr>
          <w:bCs/>
          <w:b/>
        </w:rPr>
        <w:t xml:space="preserve">”</w:t>
      </w:r>
      <w:r>
        <w:rPr>
          <w:bCs/>
          <w:b/>
        </w:rPr>
        <w:t xml:space="preserve">)</w:t>
      </w:r>
      <w:r>
        <w:t xml:space="preserve"> </w:t>
      </w:r>
      <w:r>
        <w:t xml:space="preserve">— An extension in which the client creates a random secret, the</w:t>
      </w:r>
      <w:r>
        <w:t xml:space="preserve"> </w:t>
      </w:r>
      <w:r>
        <w:rPr>
          <w:bCs/>
          <w:b/>
        </w:rPr>
        <w:t xml:space="preserve">code verifier</w:t>
      </w:r>
      <w:r>
        <w:t xml:space="preserve">, sends only its SHA-256 hash, the</w:t>
      </w:r>
      <w:r>
        <w:t xml:space="preserve"> </w:t>
      </w:r>
      <w:r>
        <w:rPr>
          <w:bCs/>
          <w:b/>
        </w:rPr>
        <w:t xml:space="preserve">code challenge</w:t>
      </w:r>
      <w:r>
        <w:t xml:space="preserve">, with the authorization request, and must present the verifier when redeeming the authorization code. An attacker who intercepts the code cannot redeem it without the verifier [RFC 7636].</w:t>
      </w:r>
      <w:r>
        <w:t xml:space="preserve"> </w:t>
      </w:r>
      <w:r>
        <w:rPr>
          <w:iCs/>
          <w:i/>
        </w:rPr>
        <w:t xml:space="preserve">(§8.14.3)</w:t>
      </w:r>
    </w:p>
    <w:p>
      <w:pPr>
        <w:pStyle w:val="BodyText"/>
      </w:pPr>
      <w:r>
        <w:rPr>
          <w:bCs/>
          <w:b/>
        </w:rPr>
        <w:t xml:space="preserve">Point of presence (PoP)</w:t>
      </w:r>
      <w:r>
        <w:t xml:space="preserve"> </w:t>
      </w:r>
      <w:r>
        <w:t xml:space="preserve">— A CDN site in one metropolitan area or interconnection facility, containing load balancers, caching proxy servers with RAM and SSD storage, and connections to local networks. Large CDNs operate hundreds of PoPs; some also place servers inside Internet service provider (ISP) networks.</w:t>
      </w:r>
      <w:r>
        <w:t xml:space="preserve"> </w:t>
      </w:r>
      <w:r>
        <w:rPr>
          <w:iCs/>
          <w:i/>
        </w:rPr>
        <w:t xml:space="preserve">(§21.3.2)</w:t>
      </w:r>
    </w:p>
    <w:p>
      <w:pPr>
        <w:pStyle w:val="BodyText"/>
      </w:pPr>
      <w:r>
        <w:rPr>
          <w:bCs/>
          <w:b/>
        </w:rPr>
        <w:t xml:space="preserve">Polyglot persistence</w:t>
      </w:r>
      <w:r>
        <w:t xml:space="preserve"> </w:t>
      </w:r>
      <w:r>
        <w:t xml:space="preserve">— Using several different data-storage technologies within one system, each chosen for the access pattern it serves best, rather than forcing all data into one database [Fowler 2011; Sadalage &amp; Fowler 2012].</w:t>
      </w:r>
      <w:r>
        <w:t xml:space="preserve"> </w:t>
      </w:r>
      <w:r>
        <w:rPr>
          <w:iCs/>
          <w:i/>
        </w:rPr>
        <w:t xml:space="preserve">(§12.13.1)</w:t>
      </w:r>
    </w:p>
    <w:p>
      <w:pPr>
        <w:pStyle w:val="BodyText"/>
      </w:pPr>
      <w:r>
        <w:rPr>
          <w:bCs/>
          <w:b/>
        </w:rPr>
        <w:t xml:space="preserve">Power of two choices (P2C)</w:t>
      </w:r>
      <w:r>
        <w:t xml:space="preserve"> </w:t>
      </w:r>
      <w:r>
        <w:t xml:space="preserve">— For each request, pick</w:t>
      </w:r>
      <w:r>
        <w:t xml:space="preserve"> </w:t>
      </w:r>
      <w:r>
        <w:rPr>
          <w:bCs/>
          <w:b/>
        </w:rPr>
        <w:t xml:space="preserve">two</w:t>
      </w:r>
      <w:r>
        <w:t xml:space="preserve"> </w:t>
      </w:r>
      <w:r>
        <w:t xml:space="preserve">backends uniformly at random and send the request to the less loaded of the two (by in-flight count, EWMA latency or another load signal).</w:t>
      </w:r>
      <w:r>
        <w:t xml:space="preserve"> </w:t>
      </w:r>
      <w:r>
        <w:rPr>
          <w:iCs/>
          <w:i/>
        </w:rPr>
        <w:t xml:space="preserve">(§19.4.4)</w:t>
      </w:r>
    </w:p>
    <w:p>
      <w:pPr>
        <w:pStyle w:val="BodyText"/>
      </w:pPr>
      <w:r>
        <w:rPr>
          <w:bCs/>
          <w:b/>
        </w:rPr>
        <w:t xml:space="preserve">Presumed abort (PA)</w:t>
      </w:r>
      <w:r>
        <w:t xml:space="preserve"> </w:t>
      </w:r>
      <w:r>
        <w:t xml:space="preserve">— A 2PC variant in which a coordinator that has no information about a transaction answers inquiries with</w:t>
      </w:r>
      <w:r>
        <w:t xml:space="preserve"> </w:t>
      </w:r>
      <w:r>
        <w:t xml:space="preserve">“</w:t>
      </w:r>
      <w:r>
        <w:t xml:space="preserve">abort</w:t>
      </w:r>
      <w:r>
        <w:t xml:space="preserve">”</w:t>
      </w:r>
      <w:r>
        <w:t xml:space="preserve">. Aborts therefore need no forced coordinator record, no forced participant record and no acknowledgments.</w:t>
      </w:r>
      <w:r>
        <w:t xml:space="preserve"> </w:t>
      </w:r>
      <w:r>
        <w:rPr>
          <w:iCs/>
          <w:i/>
        </w:rPr>
        <w:t xml:space="preserve">(§28.4.5)</w:t>
      </w:r>
    </w:p>
    <w:p>
      <w:pPr>
        <w:pStyle w:val="BodyText"/>
      </w:pPr>
      <w:r>
        <w:rPr>
          <w:bCs/>
          <w:b/>
        </w:rPr>
        <w:t xml:space="preserve">Primary–backup replication</w:t>
      </w:r>
      <w:r>
        <w:t xml:space="preserve"> </w:t>
      </w:r>
      <w:r>
        <w:t xml:space="preserve">— One replica, the</w:t>
      </w:r>
      <w:r>
        <w:t xml:space="preserve"> </w:t>
      </w:r>
      <w:r>
        <w:rPr>
          <w:bCs/>
          <w:b/>
        </w:rPr>
        <w:t xml:space="preserve">primary</w:t>
      </w:r>
      <w:r>
        <w:t xml:space="preserve">, receives all requests, executes them and propagates the result to one or more</w:t>
      </w:r>
      <w:r>
        <w:t xml:space="preserve"> </w:t>
      </w:r>
      <w:r>
        <w:rPr>
          <w:bCs/>
          <w:b/>
        </w:rPr>
        <w:t xml:space="preserve">backups</w:t>
      </w:r>
      <w:r>
        <w:t xml:space="preserve">. If the primary fails, a backup is</w:t>
      </w:r>
      <w:r>
        <w:t xml:space="preserve"> </w:t>
      </w:r>
      <w:r>
        <w:rPr>
          <w:bCs/>
          <w:b/>
        </w:rPr>
        <w:t xml:space="preserve">promoted</w:t>
      </w:r>
      <w:r>
        <w:t xml:space="preserve"> </w:t>
      </w:r>
      <w:r>
        <w:t xml:space="preserve">to primary. It is also called</w:t>
      </w:r>
      <w:r>
        <w:t xml:space="preserve"> </w:t>
      </w:r>
      <w:r>
        <w:rPr>
          <w:bCs/>
          <w:b/>
        </w:rPr>
        <w:t xml:space="preserve">passive replication</w:t>
      </w:r>
      <w:r>
        <w:t xml:space="preserve"> </w:t>
      </w:r>
      <w:r>
        <w:t xml:space="preserve">[Alsberg and Day 1976; Budhiraja et al. 1993].</w:t>
      </w:r>
      <w:r>
        <w:t xml:space="preserve"> </w:t>
      </w:r>
      <w:r>
        <w:rPr>
          <w:iCs/>
          <w:i/>
        </w:rPr>
        <w:t xml:space="preserve">(§27.4.1)</w:t>
      </w:r>
    </w:p>
    <w:p>
      <w:pPr>
        <w:pStyle w:val="BodyText"/>
      </w:pPr>
      <w:r>
        <w:rPr>
          <w:bCs/>
          <w:b/>
        </w:rPr>
        <w:t xml:space="preserve">Primary key in CQL</w:t>
      </w:r>
      <w:r>
        <w:t xml:space="preserve"> </w:t>
      </w:r>
      <w:r>
        <w:t xml:space="preserve">— In Cassandra Query Language,</w:t>
      </w:r>
      <w:r>
        <w:t xml:space="preserve"> </w:t>
      </w:r>
      <w:r>
        <w:rPr>
          <w:rStyle w:val="VerbatimChar"/>
        </w:rPr>
        <w:t xml:space="preserve">PRIMARY KEY ((a, b), c, d)</w:t>
      </w:r>
      <w:r>
        <w:t xml:space="preserve"> </w:t>
      </w:r>
      <w:r>
        <w:t xml:space="preserve">declares</w:t>
      </w:r>
      <w:r>
        <w:t xml:space="preserve"> </w:t>
      </w:r>
      <w:r>
        <w:rPr>
          <w:rStyle w:val="VerbatimChar"/>
        </w:rPr>
        <w:t xml:space="preserve">(a, b)</w:t>
      </w:r>
      <w:r>
        <w:t xml:space="preserve"> </w:t>
      </w:r>
      <w:r>
        <w:t xml:space="preserve">as the</w:t>
      </w:r>
      <w:r>
        <w:t xml:space="preserve"> </w:t>
      </w:r>
      <w:r>
        <w:rPr>
          <w:bCs/>
          <w:b/>
        </w:rPr>
        <w:t xml:space="preserve">partition key</w:t>
      </w:r>
      <w:r>
        <w:t xml:space="preserve"> </w:t>
      </w:r>
      <w:r>
        <w:t xml:space="preserve">— hashed to choose the replicas and defining what is stored together — and</w:t>
      </w:r>
      <w:r>
        <w:t xml:space="preserve"> </w:t>
      </w:r>
      <w:r>
        <w:rPr>
          <w:rStyle w:val="VerbatimChar"/>
        </w:rPr>
        <w:t xml:space="preserve">c, d</w:t>
      </w:r>
      <w:r>
        <w:t xml:space="preserve"> </w:t>
      </w:r>
      <w:r>
        <w:t xml:space="preserve">as</w:t>
      </w:r>
      <w:r>
        <w:t xml:space="preserve"> </w:t>
      </w:r>
      <w:r>
        <w:rPr>
          <w:bCs/>
          <w:b/>
        </w:rPr>
        <w:t xml:space="preserve">clustering columns</w:t>
      </w:r>
      <w:r>
        <w:t xml:space="preserve">, which order rows</w:t>
      </w:r>
      <w:r>
        <w:t xml:space="preserve"> </w:t>
      </w:r>
      <w:r>
        <w:rPr>
          <w:iCs/>
          <w:i/>
        </w:rPr>
        <w:t xml:space="preserve">within</w:t>
      </w:r>
      <w:r>
        <w:t xml:space="preserve"> </w:t>
      </w:r>
      <w:r>
        <w:t xml:space="preserve">the partition on disk.</w:t>
      </w:r>
      <w:r>
        <w:t xml:space="preserve"> </w:t>
      </w:r>
      <w:r>
        <w:rPr>
          <w:iCs/>
          <w:i/>
        </w:rPr>
        <w:t xml:space="preserve">(§12.6.2)</w:t>
      </w:r>
    </w:p>
    <w:p>
      <w:pPr>
        <w:pStyle w:val="BodyText"/>
      </w:pPr>
      <w:r>
        <w:rPr>
          <w:bCs/>
          <w:b/>
        </w:rPr>
        <w:t xml:space="preserve">Priority inversion</w:t>
      </w:r>
      <w:r>
        <w:t xml:space="preserve"> </w:t>
      </w:r>
      <w:r>
        <w:t xml:space="preserve">— A situation in which a high-priority thread is blocked waiting for a lock held by a low-priority thread, while a medium-priority thread, which needs no lock, preempts the low-priority one, so the high-priority thread effectively runs at the lowest priority.</w:t>
      </w:r>
      <w:r>
        <w:t xml:space="preserve"> </w:t>
      </w:r>
      <w:r>
        <w:rPr>
          <w:iCs/>
          <w:i/>
        </w:rPr>
        <w:t xml:space="preserve">(§6.11.5)</w:t>
      </w:r>
    </w:p>
    <w:p>
      <w:pPr>
        <w:pStyle w:val="BodyText"/>
      </w:pPr>
      <w:r>
        <w:rPr>
          <w:bCs/>
          <w:b/>
        </w:rPr>
        <w:t xml:space="preserve">Probability</w:t>
      </w:r>
      <w:r>
        <w:t xml:space="preserve"> </w:t>
      </w:r>
      <w:r>
        <w:t xml:space="preserve">— A number between 0 and 1 that measures how likely an event is: 0 means impossible, 1 means certain. If an experiment is repeated many times, the probability of event</w:t>
      </w:r>
      <w:r>
        <w:t xml:space="preserve"> </w:t>
      </w:r>
      <m:oMath>
        <m:r>
          <m:t>A</m:t>
        </m:r>
      </m:oMath>
      <w:r>
        <w:t xml:space="preserve">, written</w:t>
      </w:r>
      <w:r>
        <w:t xml:space="preserve"> </w:t>
      </w:r>
      <m:oMath>
        <m:r>
          <m:t>P</m:t>
        </m:r>
        <m:d>
          <m:dPr>
            <m:begChr m:val="("/>
            <m:endChr m:val=")"/>
            <m:sepChr m:val=""/>
            <m:grow/>
          </m:dPr>
          <m:e>
            <m:r>
              <m:t>A</m:t>
            </m:r>
          </m:e>
        </m:d>
      </m:oMath>
      <w:r>
        <w:t xml:space="preserve">, is the long-run fraction of repetitions in which</w:t>
      </w:r>
      <w:r>
        <w:t xml:space="preserve"> </w:t>
      </w:r>
      <m:oMath>
        <m:r>
          <m:t>A</m:t>
        </m:r>
      </m:oMath>
      <w:r>
        <w:t xml:space="preserve"> </w:t>
      </w:r>
      <w:r>
        <w:t xml:space="preserve">happens.</w:t>
      </w:r>
      <w:r>
        <w:t xml:space="preserve"> </w:t>
      </w:r>
      <w:r>
        <w:rPr>
          <w:iCs/>
          <w:i/>
        </w:rPr>
        <w:t xml:space="preserve">(§4.6.1)</w:t>
      </w:r>
    </w:p>
    <w:p>
      <w:pPr>
        <w:pStyle w:val="BodyText"/>
      </w:pPr>
      <w:r>
        <w:rPr>
          <w:bCs/>
          <w:b/>
        </w:rPr>
        <w:t xml:space="preserve">Process</w:t>
      </w:r>
      <w:r>
        <w:t xml:space="preserve"> </w:t>
      </w:r>
      <w:r>
        <w:t xml:space="preserve">— A running instance of a program: its code, its private</w:t>
      </w:r>
      <w:r>
        <w:t xml:space="preserve"> </w:t>
      </w:r>
      <w:r>
        <w:rPr>
          <w:bCs/>
          <w:b/>
        </w:rPr>
        <w:t xml:space="preserve">virtual address space</w:t>
      </w:r>
      <w:r>
        <w:t xml:space="preserve">, one or more threads of execution, and the OS resources it holds (open files, sockets, signal handlers, credentials).</w:t>
      </w:r>
      <w:r>
        <w:t xml:space="preserve"> </w:t>
      </w:r>
      <w:r>
        <w:rPr>
          <w:iCs/>
          <w:i/>
        </w:rPr>
        <w:t xml:space="preserve">(§6.3.2)</w:t>
      </w:r>
    </w:p>
    <w:p>
      <w:pPr>
        <w:pStyle w:val="BodyText"/>
      </w:pPr>
      <w:r>
        <w:rPr>
          <w:bCs/>
          <w:b/>
        </w:rPr>
        <w:t xml:space="preserve">Process control block (PCB)</w:t>
      </w:r>
      <w:r>
        <w:t xml:space="preserve"> </w:t>
      </w:r>
      <w:r>
        <w:t xml:space="preserve">— The kernel data structure that records everything needed to stop a process and later resume it exactly where it left off. In Linux it is</w:t>
      </w:r>
      <w:r>
        <w:t xml:space="preserve"> </w:t>
      </w:r>
      <w:r>
        <w:rPr>
          <w:rStyle w:val="VerbatimChar"/>
        </w:rPr>
        <w:t xml:space="preserve">struct task_struct</w:t>
      </w:r>
      <w:r>
        <w:t xml:space="preserve">.</w:t>
      </w:r>
      <w:r>
        <w:t xml:space="preserve"> </w:t>
      </w:r>
      <w:r>
        <w:rPr>
          <w:iCs/>
          <w:i/>
        </w:rPr>
        <w:t xml:space="preserve">(§6.3.3)</w:t>
      </w:r>
    </w:p>
    <w:p>
      <w:pPr>
        <w:pStyle w:val="BodyText"/>
      </w:pPr>
      <w:r>
        <w:rPr>
          <w:bCs/>
          <w:b/>
        </w:rPr>
        <w:t xml:space="preserve">Process state</w:t>
      </w:r>
      <w:r>
        <w:t xml:space="preserve"> </w:t>
      </w:r>
      <w:r>
        <w:t xml:space="preserve">— The scheduling status of a process (or thread): whether it is running on a CPU, ready and waiting for a CPU, or blocked waiting for an event.</w:t>
      </w:r>
      <w:r>
        <w:t xml:space="preserve"> </w:t>
      </w:r>
      <w:r>
        <w:rPr>
          <w:iCs/>
          <w:i/>
        </w:rPr>
        <w:t xml:space="preserve">(§6.3.4)</w:t>
      </w:r>
    </w:p>
    <w:p>
      <w:pPr>
        <w:pStyle w:val="BodyText"/>
      </w:pPr>
      <w:r>
        <w:rPr>
          <w:bCs/>
          <w:b/>
        </w:rPr>
        <w:t xml:space="preserve">Profiler</w:t>
      </w:r>
      <w:r>
        <w:t xml:space="preserve"> </w:t>
      </w:r>
      <w:r>
        <w:t xml:space="preserve">— A tool that attributes a resource (CPU time, wall-clock time, allocated bytes, lock wait time) to the code locations that consumed it. A</w:t>
      </w:r>
      <w:r>
        <w:t xml:space="preserve"> </w:t>
      </w:r>
      <w:r>
        <w:rPr>
          <w:bCs/>
          <w:b/>
        </w:rPr>
        <w:t xml:space="preserve">sampling profiler</w:t>
      </w:r>
      <w:r>
        <w:t xml:space="preserve"> </w:t>
      </w:r>
      <w:r>
        <w:t xml:space="preserve">interrupts the program at a fixed frequency and records the current call stack; a function’s share of samples estimates its share of time. An</w:t>
      </w:r>
      <w:r>
        <w:t xml:space="preserve"> </w:t>
      </w:r>
      <w:r>
        <w:rPr>
          <w:bCs/>
          <w:b/>
        </w:rPr>
        <w:t xml:space="preserve">instrumenting</w:t>
      </w:r>
      <w:r>
        <w:t xml:space="preserve"> </w:t>
      </w:r>
      <w:r>
        <w:t xml:space="preserve">(deterministic, tracing) profiler inserts hooks at every function entry and exit and records exact call counts and durations.</w:t>
      </w:r>
      <w:r>
        <w:t xml:space="preserve"> </w:t>
      </w:r>
      <w:r>
        <w:rPr>
          <w:iCs/>
          <w:i/>
        </w:rPr>
        <w:t xml:space="preserve">(§23.4.1)</w:t>
      </w:r>
    </w:p>
    <w:p>
      <w:pPr>
        <w:pStyle w:val="BodyText"/>
      </w:pPr>
      <w:r>
        <w:rPr>
          <w:bCs/>
          <w:b/>
        </w:rPr>
        <w:t xml:space="preserve">Protocol</w:t>
      </w:r>
      <w:r>
        <w:t xml:space="preserve"> </w:t>
      </w:r>
      <w:r>
        <w:t xml:space="preserve">— A set of rules two parties agree on for exchanging messages: message formats, the meaning of each field, and the actions each side takes on sending, receiving or timing out. A</w:t>
      </w:r>
      <w:r>
        <w:t xml:space="preserve"> </w:t>
      </w:r>
      <w:r>
        <w:rPr>
          <w:bCs/>
          <w:b/>
        </w:rPr>
        <w:t xml:space="preserve">protocol stack</w:t>
      </w:r>
      <w:r>
        <w:t xml:space="preserve"> </w:t>
      </w:r>
      <w:r>
        <w:t xml:space="preserve">is a set of protocols layered so that each uses the service provided by the layer below and offers a service to the layer above.</w:t>
      </w:r>
      <w:r>
        <w:t xml:space="preserve"> </w:t>
      </w:r>
      <w:r>
        <w:rPr>
          <w:iCs/>
          <w:i/>
        </w:rPr>
        <w:t xml:space="preserve">(§7.3.1)</w:t>
      </w:r>
    </w:p>
    <w:p>
      <w:pPr>
        <w:pStyle w:val="BodyText"/>
      </w:pPr>
      <w:r>
        <w:rPr>
          <w:bCs/>
          <w:b/>
        </w:rPr>
        <w:t xml:space="preserve">Proxy</w:t>
      </w:r>
      <w:r>
        <w:t xml:space="preserve"> </w:t>
      </w:r>
      <w:r>
        <w:t xml:space="preserve">— An intermediary that terminates a client’s connection and opens its own connection onward, relaying requests and responses. A</w:t>
      </w:r>
      <w:r>
        <w:t xml:space="preserve"> </w:t>
      </w:r>
      <w:r>
        <w:rPr>
          <w:bCs/>
          <w:b/>
        </w:rPr>
        <w:t xml:space="preserve">forward proxy</w:t>
      </w:r>
      <w:r>
        <w:t xml:space="preserve"> </w:t>
      </w:r>
      <w:r>
        <w:t xml:space="preserve">acts on behalf of</w:t>
      </w:r>
      <w:r>
        <w:t xml:space="preserve"> </w:t>
      </w:r>
      <w:r>
        <w:rPr>
          <w:bCs/>
          <w:b/>
        </w:rPr>
        <w:t xml:space="preserve">clients</w:t>
      </w:r>
      <w:r>
        <w:t xml:space="preserve"> </w:t>
      </w:r>
      <w:r>
        <w:t xml:space="preserve">and is chosen by them (or their network administrator). A</w:t>
      </w:r>
      <w:r>
        <w:t xml:space="preserve"> </w:t>
      </w:r>
      <w:r>
        <w:rPr>
          <w:bCs/>
          <w:b/>
        </w:rPr>
        <w:t xml:space="preserve">reverse proxy</w:t>
      </w:r>
      <w:r>
        <w:t xml:space="preserve"> </w:t>
      </w:r>
      <w:r>
        <w:t xml:space="preserve">acts on behalf of</w:t>
      </w:r>
      <w:r>
        <w:t xml:space="preserve"> </w:t>
      </w:r>
      <w:r>
        <w:rPr>
          <w:bCs/>
          <w:b/>
        </w:rPr>
        <w:t xml:space="preserve">servers</w:t>
      </w:r>
      <w:r>
        <w:t xml:space="preserve"> </w:t>
      </w:r>
      <w:r>
        <w:t xml:space="preserve">and is chosen by the site operator; clients usually do not know it exists.</w:t>
      </w:r>
      <w:r>
        <w:t xml:space="preserve"> </w:t>
      </w:r>
      <w:r>
        <w:rPr>
          <w:iCs/>
          <w:i/>
        </w:rPr>
        <w:t xml:space="preserve">(§7.12)</w:t>
      </w:r>
    </w:p>
    <w:p>
      <w:pPr>
        <w:pStyle w:val="BodyText"/>
      </w:pPr>
      <w:r>
        <w:rPr>
          <w:bCs/>
          <w:b/>
        </w:rPr>
        <w:t xml:space="preserve">Public key infrastructure (PKI)</w:t>
      </w:r>
      <w:r>
        <w:t xml:space="preserve"> </w:t>
      </w:r>
      <w:r>
        <w:t xml:space="preserve">— The set of roles, policies and systems that bind public keys to identities. A</w:t>
      </w:r>
      <w:r>
        <w:t xml:space="preserve"> </w:t>
      </w:r>
      <w:r>
        <w:rPr>
          <w:bCs/>
          <w:b/>
        </w:rPr>
        <w:t xml:space="preserve">certificate</w:t>
      </w:r>
      <w:r>
        <w:t xml:space="preserve"> </w:t>
      </w:r>
      <w:r>
        <w:t xml:space="preserve">(X.509) is a document stating</w:t>
      </w:r>
      <w:r>
        <w:t xml:space="preserve"> </w:t>
      </w:r>
      <w:r>
        <w:t xml:space="preserve">“</w:t>
      </w:r>
      <w:r>
        <w:t xml:space="preserve">this public key belongs to this name (for example</w:t>
      </w:r>
      <w:r>
        <w:t xml:space="preserve"> </w:t>
      </w:r>
      <w:r>
        <w:rPr>
          <w:rStyle w:val="VerbatimChar"/>
        </w:rPr>
        <w:t xml:space="preserve">api.example.com</w:t>
      </w:r>
      <w:r>
        <w:t xml:space="preserve">), valid from date A to date B</w:t>
      </w:r>
      <w:r>
        <w:t xml:space="preserve">”</w:t>
      </w:r>
      <w:r>
        <w:t xml:space="preserve">, signed by a</w:t>
      </w:r>
      <w:r>
        <w:t xml:space="preserve"> </w:t>
      </w:r>
      <w:r>
        <w:rPr>
          <w:bCs/>
          <w:b/>
        </w:rPr>
        <w:t xml:space="preserve">certificate authority (CA)</w:t>
      </w:r>
      <w:r>
        <w:t xml:space="preserve">. A client trusts a certificate if it can build a</w:t>
      </w:r>
      <w:r>
        <w:t xml:space="preserve"> </w:t>
      </w:r>
      <w:r>
        <w:rPr>
          <w:bCs/>
          <w:b/>
        </w:rPr>
        <w:t xml:space="preserve">chain</w:t>
      </w:r>
      <w:r>
        <w:t xml:space="preserve"> </w:t>
      </w:r>
      <w:r>
        <w:t xml:space="preserve">of valid signatures from it to a</w:t>
      </w:r>
      <w:r>
        <w:t xml:space="preserve"> </w:t>
      </w:r>
      <w:r>
        <w:rPr>
          <w:bCs/>
          <w:b/>
        </w:rPr>
        <w:t xml:space="preserve">root CA</w:t>
      </w:r>
      <w:r>
        <w:t xml:space="preserve"> </w:t>
      </w:r>
      <w:r>
        <w:t xml:space="preserve">certificate in its local</w:t>
      </w:r>
      <w:r>
        <w:t xml:space="preserve"> </w:t>
      </w:r>
      <w:r>
        <w:rPr>
          <w:bCs/>
          <w:b/>
        </w:rPr>
        <w:t xml:space="preserve">trust store</w:t>
      </w:r>
      <w:r>
        <w:t xml:space="preserve">.</w:t>
      </w:r>
      <w:r>
        <w:t xml:space="preserve"> </w:t>
      </w:r>
      <w:r>
        <w:rPr>
          <w:iCs/>
          <w:i/>
        </w:rPr>
        <w:t xml:space="preserve">(§10.5)</w:t>
      </w:r>
    </w:p>
    <w:bookmarkEnd w:id="3367"/>
    <w:bookmarkStart w:id="3368" w:name="q"/>
    <w:p>
      <w:pPr>
        <w:pStyle w:val="Heading2"/>
      </w:pPr>
      <w:r>
        <w:t xml:space="preserve">Q</w:t>
      </w:r>
    </w:p>
    <w:p>
      <w:pPr>
        <w:pStyle w:val="FirstParagraph"/>
      </w:pPr>
      <w:r>
        <w:rPr>
          <w:bCs/>
          <w:b/>
        </w:rPr>
        <w:t xml:space="preserve">Queueing system</w:t>
      </w:r>
      <w:r>
        <w:t xml:space="preserve"> </w:t>
      </w:r>
      <w:r>
        <w:t xml:space="preserve">— A model in which</w:t>
      </w:r>
      <w:r>
        <w:t xml:space="preserve"> </w:t>
      </w:r>
      <w:r>
        <w:rPr>
          <w:bCs/>
          <w:b/>
        </w:rPr>
        <w:t xml:space="preserve">jobs</w:t>
      </w:r>
      <w:r>
        <w:t xml:space="preserve"> </w:t>
      </w:r>
      <w:r>
        <w:t xml:space="preserve">(requests, messages, packets) arrive at a</w:t>
      </w:r>
      <w:r>
        <w:t xml:space="preserve"> </w:t>
      </w:r>
      <w:r>
        <w:rPr>
          <w:bCs/>
          <w:b/>
        </w:rPr>
        <w:t xml:space="preserve">service center</w:t>
      </w:r>
      <w:r>
        <w:t xml:space="preserve">, wait in a</w:t>
      </w:r>
      <w:r>
        <w:t xml:space="preserve"> </w:t>
      </w:r>
      <w:r>
        <w:rPr>
          <w:bCs/>
          <w:b/>
        </w:rPr>
        <w:t xml:space="preserve">queue</w:t>
      </w:r>
      <w:r>
        <w:t xml:space="preserve"> </w:t>
      </w:r>
      <w:r>
        <w:t xml:space="preserve">if all</w:t>
      </w:r>
      <w:r>
        <w:t xml:space="preserve"> </w:t>
      </w:r>
      <w:r>
        <w:rPr>
          <w:bCs/>
          <w:b/>
        </w:rPr>
        <w:t xml:space="preserve">servers</w:t>
      </w:r>
      <w:r>
        <w:t xml:space="preserve"> </w:t>
      </w:r>
      <w:r>
        <w:t xml:space="preserve">are busy, receive service, and depart. The</w:t>
      </w:r>
      <w:r>
        <w:t xml:space="preserve"> </w:t>
      </w:r>
      <w:r>
        <w:rPr>
          <w:bCs/>
          <w:b/>
        </w:rPr>
        <w:t xml:space="preserve">arrival rate</w:t>
      </w:r>
      <w:r>
        <w:t xml:space="preserve"> </w:t>
      </w:r>
      <m:oMath>
        <m:r>
          <m:t>λ</m:t>
        </m:r>
      </m:oMath>
      <w:r>
        <w:t xml:space="preserve"> </w:t>
      </w:r>
      <w:r>
        <w:t xml:space="preserve">is the average number of jobs arriving per second; the</w:t>
      </w:r>
      <w:r>
        <w:t xml:space="preserve"> </w:t>
      </w:r>
      <w:r>
        <w:rPr>
          <w:bCs/>
          <w:b/>
        </w:rPr>
        <w:t xml:space="preserve">service rate</w:t>
      </w:r>
      <w:r>
        <w:t xml:space="preserve"> </w:t>
      </w:r>
      <m:oMath>
        <m:r>
          <m:t>μ</m:t>
        </m:r>
      </m:oMath>
      <w:r>
        <w:t xml:space="preserve"> </w:t>
      </w:r>
      <w:r>
        <w:t xml:space="preserve">is the average number of jobs one server can complete per second when it is never idle, so the average</w:t>
      </w:r>
      <w:r>
        <w:t xml:space="preserve"> </w:t>
      </w:r>
      <w:r>
        <w:rPr>
          <w:bCs/>
          <w:b/>
        </w:rPr>
        <w:t xml:space="preserve">service time</w:t>
      </w:r>
      <w:r>
        <w:t xml:space="preserve"> </w:t>
      </w:r>
      <w:r>
        <w:t xml:space="preserve">is</w:t>
      </w:r>
      <w:r>
        <w:t xml:space="preserve"> </w:t>
      </w:r>
      <m:oMath>
        <m:r>
          <m:t>S</m:t>
        </m:r>
        <m:r>
          <m:rPr>
            <m:sty m:val="p"/>
          </m:rPr>
          <m:t>=</m:t>
        </m:r>
        <m:r>
          <m:t>1</m:t>
        </m:r>
        <m:r>
          <m:rPr>
            <m:sty m:val="p"/>
          </m:rPr>
          <m:t>/</m:t>
        </m:r>
        <m:r>
          <m:t>μ</m:t>
        </m:r>
      </m:oMath>
      <w:r>
        <w:t xml:space="preserve">.</w:t>
      </w:r>
      <w:r>
        <w:t xml:space="preserve"> </w:t>
      </w:r>
      <w:r>
        <w:rPr>
          <w:iCs/>
          <w:i/>
        </w:rPr>
        <w:t xml:space="preserve">(§4.10.1)</w:t>
      </w:r>
    </w:p>
    <w:p>
      <w:pPr>
        <w:pStyle w:val="BodyText"/>
      </w:pPr>
      <w:r>
        <w:rPr>
          <w:bCs/>
          <w:b/>
        </w:rPr>
        <w:t xml:space="preserve">Quorum</w:t>
      </w:r>
      <w:r>
        <w:t xml:space="preserve"> </w:t>
      </w:r>
      <w:r>
        <w:t xml:space="preserve">— A set of nodes whose agreement is sufficient for an operation to take effect. A</w:t>
      </w:r>
      <w:r>
        <w:t xml:space="preserve"> </w:t>
      </w:r>
      <w:r>
        <w:rPr>
          <w:bCs/>
          <w:b/>
        </w:rPr>
        <w:t xml:space="preserve">majority quorum</w:t>
      </w:r>
      <w:r>
        <w:t xml:space="preserve"> </w:t>
      </w:r>
      <w:r>
        <w:t xml:space="preserve">in a cluster of</w:t>
      </w:r>
      <w:r>
        <w:t xml:space="preserve"> </w:t>
      </w:r>
      <m:oMath>
        <m:r>
          <m:t>N</m:t>
        </m:r>
      </m:oMath>
      <w:r>
        <w:t xml:space="preserve"> </w:t>
      </w:r>
      <w:r>
        <w:t xml:space="preserve">voting nodes is any set of more than</w:t>
      </w:r>
      <w:r>
        <w:t xml:space="preserve"> </w:t>
      </w:r>
      <m:oMath>
        <m:r>
          <m:t>N</m:t>
        </m:r>
        <m:r>
          <m:rPr>
            <m:sty m:val="p"/>
          </m:rPr>
          <m:t>/</m:t>
        </m:r>
        <m:r>
          <m:t>2</m:t>
        </m:r>
      </m:oMath>
      <w:r>
        <w:t xml:space="preserve"> </w:t>
      </w:r>
      <w:r>
        <w:t xml:space="preserve">nodes. The essential</w:t>
      </w:r>
      <w:r>
        <w:t xml:space="preserve"> </w:t>
      </w:r>
      <w:r>
        <w:rPr>
          <w:bCs/>
          <w:b/>
        </w:rPr>
        <w:t xml:space="preserve">intersection property</w:t>
      </w:r>
      <w:r>
        <w:t xml:space="preserve">: any two majority quorums share at least one node.</w:t>
      </w:r>
      <w:r>
        <w:t xml:space="preserve"> </w:t>
      </w:r>
      <w:r>
        <w:rPr>
          <w:iCs/>
          <w:i/>
        </w:rPr>
        <w:t xml:space="preserve">(§26.4.1)</w:t>
      </w:r>
    </w:p>
    <w:bookmarkEnd w:id="3368"/>
    <w:bookmarkStart w:id="3369" w:name="r"/>
    <w:p>
      <w:pPr>
        <w:pStyle w:val="Heading2"/>
      </w:pPr>
      <w:r>
        <w:t xml:space="preserve">R</w:t>
      </w:r>
    </w:p>
    <w:p>
      <w:pPr>
        <w:pStyle w:val="FirstParagraph"/>
      </w:pPr>
      <w:r>
        <w:rPr>
          <w:bCs/>
          <w:b/>
        </w:rPr>
        <w:t xml:space="preserve">Race condition</w:t>
      </w:r>
      <w:r>
        <w:t xml:space="preserve"> </w:t>
      </w:r>
      <w:r>
        <w:t xml:space="preserve">— A bug in which the result of a program depends on the relative timing or interleaving of concurrent operations on shared state. A</w:t>
      </w:r>
      <w:r>
        <w:t xml:space="preserve"> </w:t>
      </w:r>
      <w:r>
        <w:rPr>
          <w:bCs/>
          <w:b/>
        </w:rPr>
        <w:t xml:space="preserve">data race</w:t>
      </w:r>
      <w:r>
        <w:t xml:space="preserve"> </w:t>
      </w:r>
      <w:r>
        <w:t xml:space="preserve">is the specific case where two threads access the same memory location concurrently, at least one access is a write, and nothing orders them.</w:t>
      </w:r>
      <w:r>
        <w:t xml:space="preserve"> </w:t>
      </w:r>
      <w:r>
        <w:rPr>
          <w:iCs/>
          <w:i/>
        </w:rPr>
        <w:t xml:space="preserve">(§6.9)</w:t>
      </w:r>
    </w:p>
    <w:p>
      <w:pPr>
        <w:pStyle w:val="BodyText"/>
      </w:pPr>
      <w:r>
        <w:rPr>
          <w:bCs/>
          <w:b/>
        </w:rPr>
        <w:t xml:space="preserve">Raft term</w:t>
      </w:r>
      <w:r>
        <w:t xml:space="preserve"> </w:t>
      </w:r>
      <w:r>
        <w:t xml:space="preserve">— A logical clock that divides time into consecutive, numbered periods. Each term begins with an election; if a candidate wins, it is the</w:t>
      </w:r>
      <w:r>
        <w:t xml:space="preserve"> </w:t>
      </w:r>
      <w:r>
        <w:rPr>
          <w:bCs/>
          <w:b/>
        </w:rPr>
        <w:t xml:space="preserve">leader</w:t>
      </w:r>
      <w:r>
        <w:t xml:space="preserve"> </w:t>
      </w:r>
      <w:r>
        <w:t xml:space="preserve">for the rest of the term, and there is at most one leader per term. Every RPC carries the sender’s term; a node that sees a higher term immediately adopts it and becomes a follower; a request with a lower term is rejected.</w:t>
      </w:r>
      <w:r>
        <w:t xml:space="preserve"> </w:t>
      </w:r>
      <w:r>
        <w:rPr>
          <w:iCs/>
          <w:i/>
        </w:rPr>
        <w:t xml:space="preserve">(§26.7.1)</w:t>
      </w:r>
    </w:p>
    <w:p>
      <w:pPr>
        <w:pStyle w:val="BodyText"/>
      </w:pPr>
      <w:r>
        <w:rPr>
          <w:bCs/>
          <w:b/>
        </w:rPr>
        <w:t xml:space="preserve">Rate limiting</w:t>
      </w:r>
      <w:r>
        <w:t xml:space="preserve"> </w:t>
      </w:r>
      <w:r>
        <w:t xml:space="preserve">— Enforcing an upper bound on how many requests (or how much work) a given</w:t>
      </w:r>
      <w:r>
        <w:t xml:space="preserve"> </w:t>
      </w:r>
      <w:r>
        <w:rPr>
          <w:bCs/>
          <w:b/>
        </w:rPr>
        <w:t xml:space="preserve">client identity</w:t>
      </w:r>
      <w:r>
        <w:t xml:space="preserve"> </w:t>
      </w:r>
      <w:r>
        <w:t xml:space="preserve">may submit to a resource over time. Requests beyond the bound are rejected (or, less often, delayed). The bound is usually stated as a</w:t>
      </w:r>
      <w:r>
        <w:t xml:space="preserve"> </w:t>
      </w:r>
      <w:r>
        <w:rPr>
          <w:bCs/>
          <w:b/>
        </w:rPr>
        <w:t xml:space="preserve">rate</w:t>
      </w:r>
      <w:r>
        <w:t xml:space="preserve"> </w:t>
      </w:r>
      <w:r>
        <w:t xml:space="preserve">(for example 100 requests per minute) plus a</w:t>
      </w:r>
      <w:r>
        <w:t xml:space="preserve"> </w:t>
      </w:r>
      <w:r>
        <w:rPr>
          <w:bCs/>
          <w:b/>
        </w:rPr>
        <w:t xml:space="preserve">burst</w:t>
      </w:r>
      <w:r>
        <w:t xml:space="preserve"> </w:t>
      </w:r>
      <w:r>
        <w:t xml:space="preserve">allowance.</w:t>
      </w:r>
      <w:r>
        <w:t xml:space="preserve"> </w:t>
      </w:r>
      <w:r>
        <w:rPr>
          <w:iCs/>
          <w:i/>
        </w:rPr>
        <w:t xml:space="preserve">(§22.3.1)</w:t>
      </w:r>
    </w:p>
    <w:p>
      <w:pPr>
        <w:pStyle w:val="BodyText"/>
      </w:pPr>
      <w:r>
        <w:rPr>
          <w:bCs/>
          <w:b/>
        </w:rPr>
        <w:t xml:space="preserve">Read repair and anti-entropy</w:t>
      </w:r>
      <w:r>
        <w:t xml:space="preserve"> </w:t>
      </w:r>
      <w:r>
        <w:t xml:space="preserve">—</w:t>
      </w:r>
      <w:r>
        <w:t xml:space="preserve"> </w:t>
      </w:r>
      <w:r>
        <w:rPr>
          <w:bCs/>
          <w:b/>
        </w:rPr>
        <w:t xml:space="preserve">Read repair</w:t>
      </w:r>
      <w:r>
        <w:t xml:space="preserve"> </w:t>
      </w:r>
      <w:r>
        <w:t xml:space="preserve">fixes stale replicas discovered while serving a read: the coordinator writes the newest version back to replicas that returned older ones.</w:t>
      </w:r>
      <w:r>
        <w:t xml:space="preserve"> </w:t>
      </w:r>
      <w:r>
        <w:rPr>
          <w:bCs/>
          <w:b/>
        </w:rPr>
        <w:t xml:space="preserve">Anti-entropy</w:t>
      </w:r>
      <w:r>
        <w:t xml:space="preserve"> </w:t>
      </w:r>
      <w:r>
        <w:t xml:space="preserve">is a background process that compares whole replicas, typically with Merkle trees, and copies the differences [DeCandia et al. 2007; Demers et al. 1987].</w:t>
      </w:r>
      <w:r>
        <w:t xml:space="preserve"> </w:t>
      </w:r>
      <w:r>
        <w:rPr>
          <w:iCs/>
          <w:i/>
        </w:rPr>
        <w:t xml:space="preserve">(§27.13.1)</w:t>
      </w:r>
    </w:p>
    <w:p>
      <w:pPr>
        <w:pStyle w:val="BodyText"/>
      </w:pPr>
      <w:r>
        <w:rPr>
          <w:bCs/>
          <w:b/>
        </w:rPr>
        <w:t xml:space="preserve">Read-through</w:t>
      </w:r>
      <w:r>
        <w:t xml:space="preserve"> </w:t>
      </w:r>
      <w:r>
        <w:t xml:space="preserve">— The application asks only the cache; on a miss the</w:t>
      </w:r>
      <w:r>
        <w:t xml:space="preserve"> </w:t>
      </w:r>
      <w:r>
        <w:rPr>
          <w:iCs/>
          <w:i/>
        </w:rPr>
        <w:t xml:space="preserve">cache</w:t>
      </w:r>
      <w:r>
        <w:t xml:space="preserve"> </w:t>
      </w:r>
      <w:r>
        <w:t xml:space="preserve">loads the value from the database through a configured loader, stores it and returns it.</w:t>
      </w:r>
      <w:r>
        <w:t xml:space="preserve"> </w:t>
      </w:r>
      <w:r>
        <w:rPr>
          <w:iCs/>
          <w:i/>
        </w:rPr>
        <w:t xml:space="preserve">(§20.7.3)</w:t>
      </w:r>
    </w:p>
    <w:p>
      <w:pPr>
        <w:pStyle w:val="BodyText"/>
      </w:pPr>
      <w:r>
        <w:rPr>
          <w:bCs/>
          <w:b/>
        </w:rPr>
        <w:t xml:space="preserve">Read-your-writes consistency</w:t>
      </w:r>
      <w:r>
        <w:t xml:space="preserve"> </w:t>
      </w:r>
      <w:r>
        <w:t xml:space="preserve">— After a client writes a value, its own later reads return that value or a newer one. Other clients get no such promise.</w:t>
      </w:r>
      <w:r>
        <w:t xml:space="preserve"> </w:t>
      </w:r>
      <w:r>
        <w:rPr>
          <w:iCs/>
          <w:i/>
        </w:rPr>
        <w:t xml:space="preserve">(§14.4.3)</w:t>
      </w:r>
    </w:p>
    <w:p>
      <w:pPr>
        <w:pStyle w:val="BodyText"/>
      </w:pPr>
      <w:r>
        <w:rPr>
          <w:bCs/>
          <w:b/>
        </w:rPr>
        <w:t xml:space="preserve">Rebalancing</w:t>
      </w:r>
      <w:r>
        <w:t xml:space="preserve"> </w:t>
      </w:r>
      <w:r>
        <w:t xml:space="preserve">— Moving partitions, or parts of them, between nodes so that data and load stay even as nodes join, leave or fail and as data grows, while staying available and moving no more data than necessary.</w:t>
      </w:r>
      <w:r>
        <w:t xml:space="preserve"> </w:t>
      </w:r>
      <w:r>
        <w:rPr>
          <w:iCs/>
          <w:i/>
        </w:rPr>
        <w:t xml:space="preserve">(§14.9.1)</w:t>
      </w:r>
    </w:p>
    <w:p>
      <w:pPr>
        <w:pStyle w:val="BodyText"/>
      </w:pPr>
      <w:r>
        <w:rPr>
          <w:bCs/>
          <w:b/>
        </w:rPr>
        <w:t xml:space="preserve">RED method</w:t>
      </w:r>
      <w:r>
        <w:t xml:space="preserve"> </w:t>
      </w:r>
      <w:r>
        <w:t xml:space="preserve">— For every</w:t>
      </w:r>
      <w:r>
        <w:t xml:space="preserve"> </w:t>
      </w:r>
      <w:r>
        <w:rPr>
          <w:bCs/>
          <w:b/>
        </w:rPr>
        <w:t xml:space="preserve">service</w:t>
      </w:r>
      <w:r>
        <w:t xml:space="preserve">, monitor</w:t>
      </w:r>
      <w:r>
        <w:t xml:space="preserve"> </w:t>
      </w:r>
      <w:r>
        <w:rPr>
          <w:bCs/>
          <w:b/>
        </w:rPr>
        <w:t xml:space="preserve">R</w:t>
      </w:r>
      <w:r>
        <w:t xml:space="preserve">ate (requests per second),</w:t>
      </w:r>
      <w:r>
        <w:t xml:space="preserve"> </w:t>
      </w:r>
      <w:r>
        <w:rPr>
          <w:bCs/>
          <w:b/>
        </w:rPr>
        <w:t xml:space="preserve">E</w:t>
      </w:r>
      <w:r>
        <w:t xml:space="preserve">rrors (failed requests per second) and</w:t>
      </w:r>
      <w:r>
        <w:t xml:space="preserve"> </w:t>
      </w:r>
      <w:r>
        <w:rPr>
          <w:bCs/>
          <w:b/>
        </w:rPr>
        <w:t xml:space="preserve">D</w:t>
      </w:r>
      <w:r>
        <w:t xml:space="preserve">uration (the distribution of request latency, as a histogram from which percentiles are read). Tom Wilkie proposed it while at Weaveworks as a service-level complement to USE [Wilkie 2018].</w:t>
      </w:r>
      <w:r>
        <w:t xml:space="preserve"> </w:t>
      </w:r>
      <w:r>
        <w:rPr>
          <w:iCs/>
          <w:i/>
        </w:rPr>
        <w:t xml:space="preserve">(§23.3.3)</w:t>
      </w:r>
    </w:p>
    <w:p>
      <w:pPr>
        <w:pStyle w:val="BodyText"/>
      </w:pPr>
      <w:r>
        <w:rPr>
          <w:bCs/>
          <w:b/>
        </w:rPr>
        <w:t xml:space="preserve">Reduce-side (sort-merge) join and broadcast (map-side) join</w:t>
      </w:r>
      <w:r>
        <w:t xml:space="preserve"> </w:t>
      </w:r>
      <w:r>
        <w:t xml:space="preserve">— In a</w:t>
      </w:r>
      <w:r>
        <w:t xml:space="preserve"> </w:t>
      </w:r>
      <w:r>
        <w:rPr>
          <w:bCs/>
          <w:b/>
        </w:rPr>
        <w:t xml:space="preserve">reduce-side join</w:t>
      </w:r>
      <w:r>
        <w:t xml:space="preserve">, both inputs are mapped to</w:t>
      </w:r>
      <w:r>
        <w:t xml:space="preserve"> </w:t>
      </w:r>
      <w:r>
        <w:rPr>
          <w:rStyle w:val="VerbatimChar"/>
        </w:rPr>
        <w:t xml:space="preserve">(join key, tagged record)</w:t>
      </w:r>
      <w:r>
        <w:t xml:space="preserve">, shuffled so that all records with the same key meet at one reducer, sorted, and combined there. In a</w:t>
      </w:r>
      <w:r>
        <w:t xml:space="preserve"> </w:t>
      </w:r>
      <w:r>
        <w:rPr>
          <w:bCs/>
          <w:b/>
        </w:rPr>
        <w:t xml:space="preserve">broadcast join</w:t>
      </w:r>
      <w:r>
        <w:t xml:space="preserve">, the smaller input is copied in full to every map task, loaded into an in-memory hash table, and each record of the larger input is joined locally by lookup, with no shuffle of the larger input.</w:t>
      </w:r>
      <w:r>
        <w:t xml:space="preserve"> </w:t>
      </w:r>
      <w:r>
        <w:rPr>
          <w:iCs/>
          <w:i/>
        </w:rPr>
        <w:t xml:space="preserve">(§29.4.4)</w:t>
      </w:r>
    </w:p>
    <w:p>
      <w:pPr>
        <w:pStyle w:val="BodyText"/>
      </w:pPr>
      <w:r>
        <w:rPr>
          <w:bCs/>
          <w:b/>
        </w:rPr>
        <w:t xml:space="preserve">Register</w:t>
      </w:r>
      <w:r>
        <w:t xml:space="preserve"> </w:t>
      </w:r>
      <w:r>
        <w:t xml:space="preserve">— A tiny, extremely fast storage slot inside a core, typically 64 bits wide for general-purpose registers. x86-64 exposes 16 general-purpose integer registers to programs; ARMv8-A (AArch64) exposes 31. Reading a register costs essentially nothing beyond the instruction that uses it.</w:t>
      </w:r>
      <w:r>
        <w:t xml:space="preserve"> </w:t>
      </w:r>
      <w:r>
        <w:rPr>
          <w:iCs/>
          <w:i/>
        </w:rPr>
        <w:t xml:space="preserve">(§5.3.2)</w:t>
      </w:r>
    </w:p>
    <w:p>
      <w:pPr>
        <w:pStyle w:val="BodyText"/>
      </w:pPr>
      <w:r>
        <w:rPr>
          <w:bCs/>
          <w:b/>
        </w:rPr>
        <w:t xml:space="preserve">Relation</w:t>
      </w:r>
      <w:r>
        <w:t xml:space="preserve"> </w:t>
      </w:r>
      <w:r>
        <w:t xml:space="preserve">— A</w:t>
      </w:r>
      <w:r>
        <w:t xml:space="preserve"> </w:t>
      </w:r>
      <w:r>
        <w:rPr>
          <w:bCs/>
          <w:b/>
        </w:rPr>
        <w:t xml:space="preserve">relation</w:t>
      </w:r>
      <w:r>
        <w:t xml:space="preserve"> </w:t>
      </w:r>
      <w:r>
        <w:t xml:space="preserve">is a named set of</w:t>
      </w:r>
      <w:r>
        <w:t xml:space="preserve"> </w:t>
      </w:r>
      <w:r>
        <w:rPr>
          <w:bCs/>
          <w:b/>
        </w:rPr>
        <w:t xml:space="preserve">tuples</w:t>
      </w:r>
      <w:r>
        <w:t xml:space="preserve"> </w:t>
      </w:r>
      <w:r>
        <w:t xml:space="preserve">that share the same</w:t>
      </w:r>
      <w:r>
        <w:t xml:space="preserve"> </w:t>
      </w:r>
      <w:r>
        <w:rPr>
          <w:bCs/>
          <w:b/>
        </w:rPr>
        <w:t xml:space="preserve">attributes</w:t>
      </w:r>
      <w:r>
        <w:t xml:space="preserve">. Each attribute has a name and a</w:t>
      </w:r>
      <w:r>
        <w:t xml:space="preserve"> </w:t>
      </w:r>
      <w:r>
        <w:rPr>
          <w:bCs/>
          <w:b/>
        </w:rPr>
        <w:t xml:space="preserve">domain</w:t>
      </w:r>
      <w:r>
        <w:t xml:space="preserve"> </w:t>
      </w:r>
      <w:r>
        <w:t xml:space="preserve">(the set of allowed values, such as 64-bit integers). In SQL a relation is a</w:t>
      </w:r>
      <w:r>
        <w:t xml:space="preserve"> </w:t>
      </w:r>
      <w:r>
        <w:rPr>
          <w:bCs/>
          <w:b/>
        </w:rPr>
        <w:t xml:space="preserve">table</w:t>
      </w:r>
      <w:r>
        <w:t xml:space="preserve">, a tuple is a</w:t>
      </w:r>
      <w:r>
        <w:t xml:space="preserve"> </w:t>
      </w:r>
      <w:r>
        <w:rPr>
          <w:bCs/>
          <w:b/>
        </w:rPr>
        <w:t xml:space="preserve">row</w:t>
      </w:r>
      <w:r>
        <w:t xml:space="preserve"> </w:t>
      </w:r>
      <w:r>
        <w:t xml:space="preserve">and an attribute is a</w:t>
      </w:r>
      <w:r>
        <w:t xml:space="preserve"> </w:t>
      </w:r>
      <w:r>
        <w:rPr>
          <w:bCs/>
          <w:b/>
        </w:rPr>
        <w:t xml:space="preserve">column</w:t>
      </w:r>
      <w:r>
        <w:t xml:space="preserve">. The relation’s name and attributes together form its</w:t>
      </w:r>
      <w:r>
        <w:t xml:space="preserve"> </w:t>
      </w:r>
      <w:r>
        <w:rPr>
          <w:bCs/>
          <w:b/>
        </w:rPr>
        <w:t xml:space="preserve">schema</w:t>
      </w:r>
      <w:r>
        <w:t xml:space="preserve">; the set of rows at a moment is its</w:t>
      </w:r>
      <w:r>
        <w:t xml:space="preserve"> </w:t>
      </w:r>
      <w:r>
        <w:rPr>
          <w:bCs/>
          <w:b/>
        </w:rPr>
        <w:t xml:space="preserve">instance</w:t>
      </w:r>
      <w:r>
        <w:t xml:space="preserve">.</w:t>
      </w:r>
      <w:r>
        <w:t xml:space="preserve"> </w:t>
      </w:r>
      <w:r>
        <w:rPr>
          <w:iCs/>
          <w:i/>
        </w:rPr>
        <w:t xml:space="preserve">(§11.3.1)</w:t>
      </w:r>
    </w:p>
    <w:p>
      <w:pPr>
        <w:pStyle w:val="BodyText"/>
      </w:pPr>
      <w:r>
        <w:rPr>
          <w:bCs/>
          <w:b/>
        </w:rPr>
        <w:t xml:space="preserve">Relevance score</w:t>
      </w:r>
      <w:r>
        <w:t xml:space="preserve"> </w:t>
      </w:r>
      <w:r>
        <w:t xml:space="preserve">— A number computed for each (query, document) pair that estimates how well the document satisfies the query. A</w:t>
      </w:r>
      <w:r>
        <w:t xml:space="preserve"> </w:t>
      </w:r>
      <w:r>
        <w:rPr>
          <w:bCs/>
          <w:b/>
        </w:rPr>
        <w:t xml:space="preserve">ranking function</w:t>
      </w:r>
      <w:r>
        <w:t xml:space="preserve"> </w:t>
      </w:r>
      <w:r>
        <w:t xml:space="preserve">computes it; the engine returns the</w:t>
      </w:r>
      <w:r>
        <w:t xml:space="preserve"> </w:t>
      </w:r>
      <m:oMath>
        <m:r>
          <m:t>k</m:t>
        </m:r>
      </m:oMath>
      <w:r>
        <w:t xml:space="preserve"> </w:t>
      </w:r>
      <w:r>
        <w:t xml:space="preserve">highest-scoring documents.</w:t>
      </w:r>
      <w:r>
        <w:t xml:space="preserve"> </w:t>
      </w:r>
      <w:r>
        <w:rPr>
          <w:iCs/>
          <w:i/>
        </w:rPr>
        <w:t xml:space="preserve">(§16.5.1)</w:t>
      </w:r>
    </w:p>
    <w:p>
      <w:pPr>
        <w:pStyle w:val="BodyText"/>
      </w:pPr>
      <w:r>
        <w:rPr>
          <w:bCs/>
          <w:b/>
        </w:rPr>
        <w:t xml:space="preserve">Reliability, MTBF, MTTR and failure rate</w:t>
      </w:r>
      <w:r>
        <w:t xml:space="preserve"> </w:t>
      </w:r>
      <w:r>
        <w:t xml:space="preserve">—</w:t>
      </w:r>
      <w:r>
        <w:t xml:space="preserve"> </w:t>
      </w:r>
      <w:r>
        <w:rPr>
          <w:bCs/>
          <w:b/>
        </w:rPr>
        <w:t xml:space="preserve">Reliability</w:t>
      </w:r>
      <w:r>
        <w:t xml:space="preserve"> </w:t>
      </w:r>
      <m:oMath>
        <m:r>
          <m:t>R</m:t>
        </m:r>
        <m:d>
          <m:dPr>
            <m:begChr m:val="("/>
            <m:endChr m:val=")"/>
            <m:sepChr m:val=""/>
            <m:grow/>
          </m:dPr>
          <m:e>
            <m:r>
              <m:t>t</m:t>
            </m:r>
          </m:e>
        </m:d>
      </m:oMath>
      <w:r>
        <w:t xml:space="preserve"> </w:t>
      </w:r>
      <w:r>
        <w:t xml:space="preserve">is the probability that a component operates without failure for a period of length</w:t>
      </w:r>
      <w:r>
        <w:t xml:space="preserve"> </w:t>
      </w:r>
      <m:oMath>
        <m:r>
          <m:t>t</m:t>
        </m:r>
      </m:oMath>
      <w:r>
        <w:t xml:space="preserve">. The</w:t>
      </w:r>
      <w:r>
        <w:t xml:space="preserve"> </w:t>
      </w:r>
      <w:r>
        <w:rPr>
          <w:bCs/>
          <w:b/>
        </w:rPr>
        <w:t xml:space="preserve">mean time between failures (MTBF)</w:t>
      </w:r>
      <w:r>
        <w:t xml:space="preserve"> </w:t>
      </w:r>
      <w:r>
        <w:t xml:space="preserve">is the average operating time from the end of one repair to the next failure (for non-repairable parts the same quantity is called</w:t>
      </w:r>
      <w:r>
        <w:t xml:space="preserve"> </w:t>
      </w:r>
      <w:r>
        <w:rPr>
          <w:bCs/>
          <w:b/>
        </w:rPr>
        <w:t xml:space="preserve">MTTF</w:t>
      </w:r>
      <w:r>
        <w:t xml:space="preserve">, mean time to failure). The</w:t>
      </w:r>
      <w:r>
        <w:t xml:space="preserve"> </w:t>
      </w:r>
      <w:r>
        <w:rPr>
          <w:bCs/>
          <w:b/>
        </w:rPr>
        <w:t xml:space="preserve">mean time to repair (MTTR)</w:t>
      </w:r>
      <w:r>
        <w:t xml:space="preserve"> </w:t>
      </w:r>
      <w:r>
        <w:t xml:space="preserve">is the average time from failure to restored service, including detection, diagnosis and repair. The</w:t>
      </w:r>
      <w:r>
        <w:t xml:space="preserve"> </w:t>
      </w:r>
      <w:r>
        <w:rPr>
          <w:bCs/>
          <w:b/>
        </w:rPr>
        <w:t xml:space="preserve">failure rate</w:t>
      </w:r>
      <w:r>
        <w:t xml:space="preserve"> </w:t>
      </w:r>
      <m:oMath>
        <m:r>
          <m:t>λ</m:t>
        </m:r>
      </m:oMath>
      <w:r>
        <w:t xml:space="preserve"> </w:t>
      </w:r>
      <w:r>
        <w:t xml:space="preserve">is the average number of failures per unit of operating time.</w:t>
      </w:r>
      <w:r>
        <w:t xml:space="preserve"> </w:t>
      </w:r>
      <w:r>
        <w:rPr>
          <w:iCs/>
          <w:i/>
        </w:rPr>
        <w:t xml:space="preserve">(§4.15.1)</w:t>
      </w:r>
    </w:p>
    <w:p>
      <w:pPr>
        <w:pStyle w:val="BodyText"/>
      </w:pPr>
      <w:r>
        <w:rPr>
          <w:bCs/>
          <w:b/>
        </w:rPr>
        <w:t xml:space="preserve">Remote procedure call (RPC)</w:t>
      </w:r>
      <w:r>
        <w:t xml:space="preserve"> </w:t>
      </w:r>
      <w:r>
        <w:t xml:space="preserve">— A mechanism that lets a program call a function in another process, usually on another machine, with syntax that resembles a local function call. Generated</w:t>
      </w:r>
      <w:r>
        <w:t xml:space="preserve"> </w:t>
      </w:r>
      <w:r>
        <w:rPr>
          <w:bCs/>
          <w:b/>
        </w:rPr>
        <w:t xml:space="preserve">stubs</w:t>
      </w:r>
      <w:r>
        <w:t xml:space="preserve"> </w:t>
      </w:r>
      <w:r>
        <w:t xml:space="preserve">serialize the arguments, send them over the network, and deserialize the result [Birrell and Nelson 1984].</w:t>
      </w:r>
      <w:r>
        <w:t xml:space="preserve"> </w:t>
      </w:r>
      <w:r>
        <w:rPr>
          <w:iCs/>
          <w:i/>
        </w:rPr>
        <w:t xml:space="preserve">(§8.8.1)</w:t>
      </w:r>
    </w:p>
    <w:p>
      <w:pPr>
        <w:pStyle w:val="BodyText"/>
      </w:pPr>
      <w:r>
        <w:rPr>
          <w:bCs/>
          <w:b/>
        </w:rPr>
        <w:t xml:space="preserve">Replica recovery</w:t>
      </w:r>
      <w:r>
        <w:t xml:space="preserve"> </w:t>
      </w:r>
      <w:r>
        <w:t xml:space="preserve">— Returning a replica to full membership after a crash or replacement, by</w:t>
      </w:r>
      <w:r>
        <w:t xml:space="preserve"> </w:t>
      </w:r>
      <w:r>
        <w:rPr>
          <w:bCs/>
          <w:b/>
        </w:rPr>
        <w:t xml:space="preserve">log catch-up</w:t>
      </w:r>
      <w:r>
        <w:t xml:space="preserve"> </w:t>
      </w:r>
      <w:r>
        <w:t xml:space="preserve">(replaying missed log entries),</w:t>
      </w:r>
      <w:r>
        <w:t xml:space="preserve"> </w:t>
      </w:r>
      <w:r>
        <w:rPr>
          <w:bCs/>
          <w:b/>
        </w:rPr>
        <w:t xml:space="preserve">snapshot plus log</w:t>
      </w:r>
      <w:r>
        <w:t xml:space="preserve"> </w:t>
      </w:r>
      <w:r>
        <w:t xml:space="preserve">(installing a copy of the state, then replaying from the snapshot’s position) or</w:t>
      </w:r>
      <w:r>
        <w:t xml:space="preserve"> </w:t>
      </w:r>
      <w:r>
        <w:rPr>
          <w:bCs/>
          <w:b/>
        </w:rPr>
        <w:t xml:space="preserve">rebuild</w:t>
      </w:r>
      <w:r>
        <w:t xml:space="preserve"> </w:t>
      </w:r>
      <w:r>
        <w:t xml:space="preserve">(copying all data from peers).</w:t>
      </w:r>
      <w:r>
        <w:t xml:space="preserve"> </w:t>
      </w:r>
      <w:r>
        <w:rPr>
          <w:iCs/>
          <w:i/>
        </w:rPr>
        <w:t xml:space="preserve">(§27.12.1)</w:t>
      </w:r>
    </w:p>
    <w:p>
      <w:pPr>
        <w:pStyle w:val="BodyText"/>
      </w:pPr>
      <w:r>
        <w:rPr>
          <w:bCs/>
          <w:b/>
        </w:rPr>
        <w:t xml:space="preserve">Replicated state machine (RSM)</w:t>
      </w:r>
      <w:r>
        <w:t xml:space="preserve"> </w:t>
      </w:r>
      <w:r>
        <w:t xml:space="preserve">— A service implemented as a deterministic state machine that is copied onto several nodes. Each node applies the same sequence of commands, taken from a replicated</w:t>
      </w:r>
      <w:r>
        <w:t xml:space="preserve"> </w:t>
      </w:r>
      <w:r>
        <w:rPr>
          <w:bCs/>
          <w:b/>
        </w:rPr>
        <w:t xml:space="preserve">log</w:t>
      </w:r>
      <w:r>
        <w:t xml:space="preserve">, in the same order, so every node passes through the same sequence of states and produces the same outputs [Schneider 1990].</w:t>
      </w:r>
      <w:r>
        <w:t xml:space="preserve"> </w:t>
      </w:r>
      <w:r>
        <w:rPr>
          <w:iCs/>
          <w:i/>
        </w:rPr>
        <w:t xml:space="preserve">(§26.3.2)</w:t>
      </w:r>
    </w:p>
    <w:p>
      <w:pPr>
        <w:pStyle w:val="BodyText"/>
      </w:pPr>
      <w:r>
        <w:rPr>
          <w:bCs/>
          <w:b/>
        </w:rPr>
        <w:t xml:space="preserve">Replication</w:t>
      </w:r>
      <w:r>
        <w:t xml:space="preserve"> </w:t>
      </w:r>
      <w:r>
        <w:t xml:space="preserve">— Keeping a copy of the same data on more than one node. Each copy is a</w:t>
      </w:r>
      <w:r>
        <w:t xml:space="preserve"> </w:t>
      </w:r>
      <w:r>
        <w:rPr>
          <w:bCs/>
          <w:b/>
        </w:rPr>
        <w:t xml:space="preserve">replica</w:t>
      </w:r>
      <w:r>
        <w:t xml:space="preserve">. In</w:t>
      </w:r>
      <w:r>
        <w:t xml:space="preserve"> </w:t>
      </w:r>
      <w:r>
        <w:rPr>
          <w:bCs/>
          <w:b/>
        </w:rPr>
        <w:t xml:space="preserve">primary–replica replication</w:t>
      </w:r>
      <w:r>
        <w:t xml:space="preserve">, exactly one node, the</w:t>
      </w:r>
      <w:r>
        <w:t xml:space="preserve"> </w:t>
      </w:r>
      <w:r>
        <w:rPr>
          <w:bCs/>
          <w:b/>
        </w:rPr>
        <w:t xml:space="preserve">primary</w:t>
      </w:r>
      <w:r>
        <w:t xml:space="preserve"> </w:t>
      </w:r>
      <w:r>
        <w:t xml:space="preserve">(called the</w:t>
      </w:r>
      <w:r>
        <w:t xml:space="preserve"> </w:t>
      </w:r>
      <w:r>
        <w:t xml:space="preserve">“</w:t>
      </w:r>
      <w:r>
        <w:t xml:space="preserve">master</w:t>
      </w:r>
      <w:r>
        <w:t xml:space="preserve">”</w:t>
      </w:r>
      <w:r>
        <w:t xml:space="preserve"> </w:t>
      </w:r>
      <w:r>
        <w:t xml:space="preserve">in older documentation), accepts writes and streams its changes to the</w:t>
      </w:r>
      <w:r>
        <w:t xml:space="preserve"> </w:t>
      </w:r>
      <w:r>
        <w:rPr>
          <w:bCs/>
          <w:b/>
        </w:rPr>
        <w:t xml:space="preserve">replicas</w:t>
      </w:r>
      <w:r>
        <w:t xml:space="preserve">, which apply them in the same order and serve reads.</w:t>
      </w:r>
      <w:r>
        <w:t xml:space="preserve"> </w:t>
      </w:r>
      <w:r>
        <w:rPr>
          <w:iCs/>
          <w:i/>
        </w:rPr>
        <w:t xml:space="preserve">(§14.3.1)</w:t>
      </w:r>
    </w:p>
    <w:p>
      <w:pPr>
        <w:pStyle w:val="BodyText"/>
      </w:pPr>
      <w:r>
        <w:rPr>
          <w:bCs/>
          <w:b/>
        </w:rPr>
        <w:t xml:space="preserve">Replication lag</w:t>
      </w:r>
      <w:r>
        <w:t xml:space="preserve"> </w:t>
      </w:r>
      <w:r>
        <w:t xml:space="preserve">— The delay between a change committing on the primary and becoming visible on a replica, measured in seconds, bytes of log or transactions.</w:t>
      </w:r>
      <w:r>
        <w:t xml:space="preserve"> </w:t>
      </w:r>
      <w:r>
        <w:rPr>
          <w:iCs/>
          <w:i/>
        </w:rPr>
        <w:t xml:space="preserve">(§14.4.2)</w:t>
      </w:r>
    </w:p>
    <w:p>
      <w:pPr>
        <w:pStyle w:val="BodyText"/>
      </w:pPr>
      <w:r>
        <w:rPr>
          <w:bCs/>
          <w:b/>
        </w:rPr>
        <w:t xml:space="preserve">Replication log formats</w:t>
      </w:r>
      <w:r>
        <w:t xml:space="preserve"> </w:t>
      </w:r>
      <w:r>
        <w:t xml:space="preserve">— What the log describes: the SQL statements executed (</w:t>
      </w:r>
      <w:r>
        <w:rPr>
          <w:bCs/>
          <w:b/>
        </w:rPr>
        <w:t xml:space="preserve">statement-based</w:t>
      </w:r>
      <w:r>
        <w:t xml:space="preserve">), the changed rows (</w:t>
      </w:r>
      <w:r>
        <w:rPr>
          <w:bCs/>
          <w:b/>
        </w:rPr>
        <w:t xml:space="preserve">row-based</w:t>
      </w:r>
      <w:r>
        <w:t xml:space="preserve">), the storage engine’s page-level byte changes (</w:t>
      </w:r>
      <w:r>
        <w:rPr>
          <w:bCs/>
          <w:b/>
        </w:rPr>
        <w:t xml:space="preserve">physical</w:t>
      </w:r>
      <w:r>
        <w:t xml:space="preserve">, or WAL shipping), or decoded, engine-independent row changes per table (</w:t>
      </w:r>
      <w:r>
        <w:rPr>
          <w:bCs/>
          <w:b/>
        </w:rPr>
        <w:t xml:space="preserve">logical</w:t>
      </w:r>
      <w:r>
        <w:t xml:space="preserve">).</w:t>
      </w:r>
      <w:r>
        <w:t xml:space="preserve"> </w:t>
      </w:r>
      <w:r>
        <w:rPr>
          <w:iCs/>
          <w:i/>
        </w:rPr>
        <w:t xml:space="preserve">(§14.4.5)</w:t>
      </w:r>
    </w:p>
    <w:p>
      <w:pPr>
        <w:pStyle w:val="BodyText"/>
      </w:pPr>
      <w:r>
        <w:rPr>
          <w:bCs/>
          <w:b/>
        </w:rPr>
        <w:t xml:space="preserve">Replication modes</w:t>
      </w:r>
      <w:r>
        <w:t xml:space="preserve"> </w:t>
      </w:r>
      <w:r>
        <w:t xml:space="preserve">— In</w:t>
      </w:r>
      <w:r>
        <w:t xml:space="preserve"> </w:t>
      </w:r>
      <w:r>
        <w:rPr>
          <w:bCs/>
          <w:b/>
        </w:rPr>
        <w:t xml:space="preserve">synchronous replication</w:t>
      </w:r>
      <w:r>
        <w:t xml:space="preserve">, the primary reports a commit only after at least one designated replica has durably received (or applied) it. In</w:t>
      </w:r>
      <w:r>
        <w:t xml:space="preserve"> </w:t>
      </w:r>
      <w:r>
        <w:rPr>
          <w:bCs/>
          <w:b/>
        </w:rPr>
        <w:t xml:space="preserve">asynchronous replication</w:t>
      </w:r>
      <w:r>
        <w:t xml:space="preserve">, it reports success after its local commit and ships the change afterwards.</w:t>
      </w:r>
      <w:r>
        <w:t xml:space="preserve"> </w:t>
      </w:r>
      <w:r>
        <w:rPr>
          <w:bCs/>
          <w:b/>
        </w:rPr>
        <w:t xml:space="preserve">Semi-synchronous replication</w:t>
      </w:r>
      <w:r>
        <w:t xml:space="preserve">, MySQL’s middle ground, waits until a replica has</w:t>
      </w:r>
      <w:r>
        <w:t xml:space="preserve"> </w:t>
      </w:r>
      <w:r>
        <w:rPr>
          <w:iCs/>
          <w:i/>
        </w:rPr>
        <w:t xml:space="preserve">received and logged</w:t>
      </w:r>
      <w:r>
        <w:t xml:space="preserve"> </w:t>
      </w:r>
      <w:r>
        <w:t xml:space="preserve">the change and falls back to asynchronous mode after a timeout.</w:t>
      </w:r>
      <w:r>
        <w:t xml:space="preserve"> </w:t>
      </w:r>
      <w:r>
        <w:rPr>
          <w:iCs/>
          <w:i/>
        </w:rPr>
        <w:t xml:space="preserve">(§14.4.1)</w:t>
      </w:r>
    </w:p>
    <w:p>
      <w:pPr>
        <w:pStyle w:val="BodyText"/>
      </w:pPr>
      <w:r>
        <w:rPr>
          <w:bCs/>
          <w:b/>
        </w:rPr>
        <w:t xml:space="preserve">Replication strategy</w:t>
      </w:r>
      <w:r>
        <w:t xml:space="preserve"> </w:t>
      </w:r>
      <w:r>
        <w:t xml:space="preserve">— The rule that decides</w:t>
      </w:r>
      <w:r>
        <w:t xml:space="preserve"> </w:t>
      </w:r>
      <w:r>
        <w:rPr>
          <w:iCs/>
          <w:i/>
        </w:rPr>
        <w:t xml:space="preserve">which</w:t>
      </w:r>
      <w:r>
        <w:t xml:space="preserve"> </w:t>
      </w:r>
      <w:r>
        <w:t xml:space="preserve">replicas may accept a write,</w:t>
      </w:r>
      <w:r>
        <w:t xml:space="preserve"> </w:t>
      </w:r>
      <w:r>
        <w:rPr>
          <w:iCs/>
          <w:i/>
        </w:rPr>
        <w:t xml:space="preserve">in what order</w:t>
      </w:r>
      <w:r>
        <w:t xml:space="preserve"> </w:t>
      </w:r>
      <w:r>
        <w:t xml:space="preserve">the replicas apply writes, and</w:t>
      </w:r>
      <w:r>
        <w:t xml:space="preserve"> </w:t>
      </w:r>
      <w:r>
        <w:rPr>
          <w:iCs/>
          <w:i/>
        </w:rPr>
        <w:t xml:space="preserve">when</w:t>
      </w:r>
      <w:r>
        <w:t xml:space="preserve"> </w:t>
      </w:r>
      <w:r>
        <w:t xml:space="preserve">a write counts as done. The five families are</w:t>
      </w:r>
      <w:r>
        <w:t xml:space="preserve"> </w:t>
      </w:r>
      <w:r>
        <w:rPr>
          <w:bCs/>
          <w:b/>
        </w:rPr>
        <w:t xml:space="preserve">primary–backup</w:t>
      </w:r>
      <w:r>
        <w:t xml:space="preserve">,</w:t>
      </w:r>
      <w:r>
        <w:t xml:space="preserve"> </w:t>
      </w:r>
      <w:r>
        <w:rPr>
          <w:bCs/>
          <w:b/>
        </w:rPr>
        <w:t xml:space="preserve">chain replication</w:t>
      </w:r>
      <w:r>
        <w:t xml:space="preserve">,</w:t>
      </w:r>
      <w:r>
        <w:t xml:space="preserve"> </w:t>
      </w:r>
      <w:r>
        <w:rPr>
          <w:bCs/>
          <w:b/>
        </w:rPr>
        <w:t xml:space="preserve">multi-leader</w:t>
      </w:r>
      <w:r>
        <w:t xml:space="preserve">,</w:t>
      </w:r>
      <w:r>
        <w:t xml:space="preserve"> </w:t>
      </w:r>
      <w:r>
        <w:rPr>
          <w:bCs/>
          <w:b/>
        </w:rPr>
        <w:t xml:space="preserve">leaderless</w:t>
      </w:r>
      <w:r>
        <w:t xml:space="preserve"> </w:t>
      </w:r>
      <w:r>
        <w:t xml:space="preserve">and</w:t>
      </w:r>
      <w:r>
        <w:t xml:space="preserve"> </w:t>
      </w:r>
      <w:r>
        <w:rPr>
          <w:bCs/>
          <w:b/>
        </w:rPr>
        <w:t xml:space="preserve">consensus-based</w:t>
      </w:r>
      <w:r>
        <w:t xml:space="preserve"> </w:t>
      </w:r>
      <w:r>
        <w:t xml:space="preserve">replication.</w:t>
      </w:r>
      <w:r>
        <w:t xml:space="preserve"> </w:t>
      </w:r>
      <w:r>
        <w:rPr>
          <w:iCs/>
          <w:i/>
        </w:rPr>
        <w:t xml:space="preserve">(§27.3.1)</w:t>
      </w:r>
    </w:p>
    <w:p>
      <w:pPr>
        <w:pStyle w:val="BodyText"/>
      </w:pPr>
      <w:r>
        <w:rPr>
          <w:bCs/>
          <w:b/>
        </w:rPr>
        <w:t xml:space="preserve">Replication topology</w:t>
      </w:r>
      <w:r>
        <w:t xml:space="preserve"> </w:t>
      </w:r>
      <w:r>
        <w:t xml:space="preserve">— The graph along which leaders forward writes to each other: a</w:t>
      </w:r>
      <w:r>
        <w:t xml:space="preserve"> </w:t>
      </w:r>
      <w:r>
        <w:rPr>
          <w:bCs/>
          <w:b/>
        </w:rPr>
        <w:t xml:space="preserve">circular</w:t>
      </w:r>
      <w:r>
        <w:t xml:space="preserve"> </w:t>
      </w:r>
      <w:r>
        <w:t xml:space="preserve">ring, a</w:t>
      </w:r>
      <w:r>
        <w:t xml:space="preserve"> </w:t>
      </w:r>
      <w:r>
        <w:rPr>
          <w:bCs/>
          <w:b/>
        </w:rPr>
        <w:t xml:space="preserve">star</w:t>
      </w:r>
      <w:r>
        <w:t xml:space="preserve"> </w:t>
      </w:r>
      <w:r>
        <w:t xml:space="preserve">with a hub, or</w:t>
      </w:r>
      <w:r>
        <w:t xml:space="preserve"> </w:t>
      </w:r>
      <w:r>
        <w:rPr>
          <w:bCs/>
          <w:b/>
        </w:rPr>
        <w:t xml:space="preserve">all-to-all</w:t>
      </w:r>
      <w:r>
        <w:t xml:space="preserve">.</w:t>
      </w:r>
      <w:r>
        <w:t xml:space="preserve"> </w:t>
      </w:r>
      <w:r>
        <w:rPr>
          <w:iCs/>
          <w:i/>
        </w:rPr>
        <w:t xml:space="preserve">(§27.6.1)</w:t>
      </w:r>
    </w:p>
    <w:p>
      <w:pPr>
        <w:pStyle w:val="BodyText"/>
      </w:pPr>
      <w:r>
        <w:rPr>
          <w:bCs/>
          <w:b/>
        </w:rPr>
        <w:t xml:space="preserve">Request–response lifecycle</w:t>
      </w:r>
      <w:r>
        <w:t xml:space="preserve"> </w:t>
      </w:r>
      <w:r>
        <w:t xml:space="preserve">— The complete sequence of network and processing steps between a client issuing a request and receiving the full response, including name resolution, connection establishment, routing through intermediaries, application processing, data access and the return path.</w:t>
      </w:r>
      <w:r>
        <w:t xml:space="preserve"> </w:t>
      </w:r>
      <w:r>
        <w:rPr>
          <w:iCs/>
          <w:i/>
        </w:rPr>
        <w:t xml:space="preserve">(§8.5.1)</w:t>
      </w:r>
    </w:p>
    <w:p>
      <w:pPr>
        <w:pStyle w:val="BodyText"/>
      </w:pPr>
      <w:r>
        <w:rPr>
          <w:bCs/>
          <w:b/>
        </w:rPr>
        <w:t xml:space="preserve">Requirement</w:t>
      </w:r>
      <w:r>
        <w:t xml:space="preserve"> </w:t>
      </w:r>
      <w:r>
        <w:t xml:space="preserve">— A statement of what the system must do (a</w:t>
      </w:r>
      <w:r>
        <w:t xml:space="preserve"> </w:t>
      </w:r>
      <w:r>
        <w:rPr>
          <w:bCs/>
          <w:b/>
        </w:rPr>
        <w:t xml:space="preserve">functional requirement</w:t>
      </w:r>
      <w:r>
        <w:t xml:space="preserve">, e.g. </w:t>
      </w:r>
      <w:r>
        <w:t xml:space="preserve">“</w:t>
      </w:r>
      <w:r>
        <w:t xml:space="preserve">a customer can cancel an order before the restaurant accepts it</w:t>
      </w:r>
      <w:r>
        <w:t xml:space="preserve">”</w:t>
      </w:r>
      <w:r>
        <w:t xml:space="preserve">) or how well it must do it (a</w:t>
      </w:r>
      <w:r>
        <w:t xml:space="preserve"> </w:t>
      </w:r>
      <w:r>
        <w:rPr>
          <w:bCs/>
          <w:b/>
        </w:rPr>
        <w:t xml:space="preserve">non-functional requirement</w:t>
      </w:r>
      <w:r>
        <w:t xml:space="preserve">, e.g. </w:t>
      </w:r>
      <w:r>
        <w:t xml:space="preserve">“</w:t>
      </w:r>
      <w:r>
        <w:t xml:space="preserve">99% of order placements complete within 800 ms</w:t>
      </w:r>
      <w:r>
        <w:t xml:space="preserve">”</w:t>
      </w:r>
      <w:r>
        <w:t xml:space="preserve">). A requirement is</w:t>
      </w:r>
      <w:r>
        <w:t xml:space="preserve"> </w:t>
      </w:r>
      <w:r>
        <w:rPr>
          <w:bCs/>
          <w:b/>
        </w:rPr>
        <w:t xml:space="preserve">testable</w:t>
      </w:r>
      <w:r>
        <w:t xml:space="preserve"> </w:t>
      </w:r>
      <w:r>
        <w:t xml:space="preserve">if you could write an automated check or a measurement that proves it is met.</w:t>
      </w:r>
      <w:r>
        <w:t xml:space="preserve"> </w:t>
      </w:r>
      <w:r>
        <w:rPr>
          <w:iCs/>
          <w:i/>
        </w:rPr>
        <w:t xml:space="preserve">(§2.5.1)</w:t>
      </w:r>
    </w:p>
    <w:p>
      <w:pPr>
        <w:pStyle w:val="BodyText"/>
      </w:pPr>
      <w:r>
        <w:rPr>
          <w:bCs/>
          <w:b/>
        </w:rPr>
        <w:t xml:space="preserve">Reservoir sampling</w:t>
      </w:r>
      <w:r>
        <w:t xml:space="preserve"> </w:t>
      </w:r>
      <w:r>
        <w:t xml:space="preserve">— An algorithm that maintains a uniform random sample of</w:t>
      </w:r>
      <w:r>
        <w:t xml:space="preserve"> </w:t>
      </w:r>
      <m:oMath>
        <m:r>
          <m:t>k</m:t>
        </m:r>
      </m:oMath>
      <w:r>
        <w:t xml:space="preserve"> </w:t>
      </w:r>
      <w:r>
        <w:t xml:space="preserve">items from a stream whose length</w:t>
      </w:r>
      <w:r>
        <w:t xml:space="preserve"> </w:t>
      </w:r>
      <m:oMath>
        <m:r>
          <m:t>n</m:t>
        </m:r>
      </m:oMath>
      <w:r>
        <w:t xml:space="preserve"> </w:t>
      </w:r>
      <w:r>
        <w:t xml:space="preserve">is not known in advance, using</w:t>
      </w:r>
      <w:r>
        <w:t xml:space="preserve"> </w:t>
      </w:r>
      <m:oMath>
        <m:r>
          <m:t>O</m:t>
        </m:r>
        <m:d>
          <m:dPr>
            <m:begChr m:val="("/>
            <m:endChr m:val=")"/>
            <m:sepChr m:val=""/>
            <m:grow/>
          </m:dPr>
          <m:e>
            <m:r>
              <m:t>k</m:t>
            </m:r>
          </m:e>
        </m:d>
      </m:oMath>
      <w:r>
        <w:t xml:space="preserve"> </w:t>
      </w:r>
      <w:r>
        <w:t xml:space="preserve">memory and a single pass: after any number of items, every item seen so far is in the sample with probability</w:t>
      </w:r>
      <w:r>
        <w:t xml:space="preserve"> </w:t>
      </w:r>
      <m:oMath>
        <m:r>
          <m:t>k</m:t>
        </m:r>
        <m:r>
          <m:rPr>
            <m:sty m:val="p"/>
          </m:rPr>
          <m:t>/</m:t>
        </m:r>
        <m:r>
          <m:t>n</m:t>
        </m:r>
      </m:oMath>
      <w:r>
        <w:t xml:space="preserve"> </w:t>
      </w:r>
      <w:r>
        <w:t xml:space="preserve">[Vitter 1985].</w:t>
      </w:r>
      <w:r>
        <w:t xml:space="preserve"> </w:t>
      </w:r>
      <w:r>
        <w:rPr>
          <w:iCs/>
          <w:i/>
        </w:rPr>
        <w:t xml:space="preserve">(§17.12.1)</w:t>
      </w:r>
    </w:p>
    <w:p>
      <w:pPr>
        <w:pStyle w:val="BodyText"/>
      </w:pPr>
      <w:r>
        <w:rPr>
          <w:bCs/>
          <w:b/>
        </w:rPr>
        <w:t xml:space="preserve">Resilient Distributed Dataset (RDD)</w:t>
      </w:r>
      <w:r>
        <w:t xml:space="preserve"> </w:t>
      </w:r>
      <w:r>
        <w:t xml:space="preserve">— A read-only, partitioned collection of records that can be created only by deterministic operations (</w:t>
      </w:r>
      <w:r>
        <w:rPr>
          <w:bCs/>
          <w:b/>
        </w:rPr>
        <w:t xml:space="preserve">transformations</w:t>
      </w:r>
      <w:r>
        <w:t xml:space="preserve"> </w:t>
      </w:r>
      <w:r>
        <w:t xml:space="preserve">such as</w:t>
      </w:r>
      <w:r>
        <w:t xml:space="preserve"> </w:t>
      </w:r>
      <w:r>
        <w:rPr>
          <w:rStyle w:val="VerbatimChar"/>
        </w:rPr>
        <w:t xml:space="preserve">map</w:t>
      </w:r>
      <w:r>
        <w:t xml:space="preserve">,</w:t>
      </w:r>
      <w:r>
        <w:t xml:space="preserve"> </w:t>
      </w:r>
      <w:r>
        <w:rPr>
          <w:rStyle w:val="VerbatimChar"/>
        </w:rPr>
        <w:t xml:space="preserve">filter</w:t>
      </w:r>
      <w:r>
        <w:t xml:space="preserve">,</w:t>
      </w:r>
      <w:r>
        <w:t xml:space="preserve"> </w:t>
      </w:r>
      <w:r>
        <w:rPr>
          <w:rStyle w:val="VerbatimChar"/>
        </w:rPr>
        <w:t xml:space="preserve">join</w:t>
      </w:r>
      <w:r>
        <w:t xml:space="preserve">) on stable storage or on other RDDs. Each RDD records its</w:t>
      </w:r>
      <w:r>
        <w:t xml:space="preserve"> </w:t>
      </w:r>
      <w:r>
        <w:rPr>
          <w:bCs/>
          <w:b/>
        </w:rPr>
        <w:t xml:space="preserve">lineage</w:t>
      </w:r>
      <w:r>
        <w:t xml:space="preserve">, the graph of transformations that produced it, so a lost partition can be recomputed from its parents instead of being restored from a replica [Zaharia et al. 2012].</w:t>
      </w:r>
      <w:r>
        <w:t xml:space="preserve"> </w:t>
      </w:r>
      <w:r>
        <w:rPr>
          <w:iCs/>
          <w:i/>
        </w:rPr>
        <w:t xml:space="preserve">(§29.5.1)</w:t>
      </w:r>
    </w:p>
    <w:p>
      <w:pPr>
        <w:pStyle w:val="BodyText"/>
      </w:pPr>
      <w:r>
        <w:rPr>
          <w:bCs/>
          <w:b/>
        </w:rPr>
        <w:t xml:space="preserve">REST (Representational State Transfer)</w:t>
      </w:r>
      <w:r>
        <w:t xml:space="preserve"> </w:t>
      </w:r>
      <w:r>
        <w:t xml:space="preserve">— An architectural style for distributed hypermedia systems, defined by Roy Fielding in his 2000 doctoral dissertation as a set of constraints on how components interact [Fielding 2000]. In everyday usage, a</w:t>
      </w:r>
      <w:r>
        <w:t xml:space="preserve"> </w:t>
      </w:r>
      <w:r>
        <w:t xml:space="preserve">“</w:t>
      </w:r>
      <w:r>
        <w:t xml:space="preserve">REST API</w:t>
      </w:r>
      <w:r>
        <w:t xml:space="preserve">”</w:t>
      </w:r>
      <w:r>
        <w:t xml:space="preserve"> </w:t>
      </w:r>
      <w:r>
        <w:t xml:space="preserve">is an HTTP API that models its domain as</w:t>
      </w:r>
      <w:r>
        <w:t xml:space="preserve"> </w:t>
      </w:r>
      <w:r>
        <w:rPr>
          <w:bCs/>
          <w:b/>
        </w:rPr>
        <w:t xml:space="preserve">resources</w:t>
      </w:r>
      <w:r>
        <w:t xml:space="preserve"> </w:t>
      </w:r>
      <w:r>
        <w:t xml:space="preserve">identified by URIs and manipulated with the standard HTTP methods.</w:t>
      </w:r>
      <w:r>
        <w:t xml:space="preserve"> </w:t>
      </w:r>
      <w:r>
        <w:rPr>
          <w:iCs/>
          <w:i/>
        </w:rPr>
        <w:t xml:space="preserve">(§8.6.1)</w:t>
      </w:r>
    </w:p>
    <w:p>
      <w:pPr>
        <w:pStyle w:val="BodyText"/>
      </w:pPr>
      <w:r>
        <w:rPr>
          <w:bCs/>
          <w:b/>
        </w:rPr>
        <w:t xml:space="preserve">Round robin (RR)</w:t>
      </w:r>
      <w:r>
        <w:t xml:space="preserve"> </w:t>
      </w:r>
      <w:r>
        <w:t xml:space="preserve">— Send the</w:t>
      </w:r>
      <w:r>
        <w:t xml:space="preserve"> </w:t>
      </w:r>
      <m:oMath>
        <m:r>
          <m:t>k</m:t>
        </m:r>
      </m:oMath>
      <w:r>
        <w:t xml:space="preserve">-th request to backend</w:t>
      </w:r>
      <w:r>
        <w:t xml:space="preserve"> </w:t>
      </w:r>
      <m:oMath>
        <m:r>
          <m:t>k</m:t>
        </m:r>
        <m:r>
          <m:t> </m:t>
        </m:r>
        <m:r>
          <m:rPr>
            <m:sty m:val="p"/>
          </m:rPr>
          <m:t>mod</m:t>
        </m:r>
        <m:r>
          <m:t> </m:t>
        </m:r>
        <m:r>
          <m:t>N</m:t>
        </m:r>
      </m:oMath>
      <w:r>
        <w:t xml:space="preserve">.</w:t>
      </w:r>
      <w:r>
        <w:t xml:space="preserve"> </w:t>
      </w:r>
      <w:r>
        <w:rPr>
          <w:bCs/>
          <w:b/>
        </w:rPr>
        <w:t xml:space="preserve">Weighted round robin (WRR)</w:t>
      </w:r>
      <w:r>
        <w:t xml:space="preserve"> </w:t>
      </w:r>
      <w:r>
        <w:t xml:space="preserve">gives backend</w:t>
      </w:r>
      <w:r>
        <w:t xml:space="preserve"> </w:t>
      </w:r>
      <m:oMath>
        <m:r>
          <m:t>i</m:t>
        </m:r>
      </m:oMath>
      <w:r>
        <w:t xml:space="preserve"> </w:t>
      </w:r>
      <w:r>
        <w:t xml:space="preserve">an integer weight</w:t>
      </w:r>
      <w:r>
        <w:t xml:space="preserve"> </w:t>
      </w:r>
      <m:oMath>
        <m:sSub>
          <m:e>
            <m:r>
              <m:t>w</m:t>
            </m:r>
          </m:e>
          <m:sub>
            <m:r>
              <m:t>i</m:t>
            </m:r>
          </m:sub>
        </m:sSub>
      </m:oMath>
      <w:r>
        <w:t xml:space="preserve"> </w:t>
      </w:r>
      <w:r>
        <w:t xml:space="preserve">and sends it a share</w:t>
      </w:r>
      <w:r>
        <w:t xml:space="preserve"> </w:t>
      </w:r>
      <m:oMath>
        <m:sSub>
          <m:e>
            <m:r>
              <m:t>w</m:t>
            </m:r>
          </m:e>
          <m:sub>
            <m:r>
              <m:t>i</m:t>
            </m:r>
          </m:sub>
        </m:sSub>
        <m:r>
          <m:rPr>
            <m:sty m:val="p"/>
          </m:rPr>
          <m:t>/</m:t>
        </m:r>
        <m:nary>
          <m:naryPr>
            <m:chr m:val="∑"/>
            <m:limLoc m:val="undOvr"/>
            <m:subHide m:val="off"/>
            <m:supHide m:val="on"/>
          </m:naryPr>
          <m:sub>
            <m:r>
              <m:t>j</m:t>
            </m:r>
          </m:sub>
          <m:sup>
            <m:r>
              <m:t>​</m:t>
            </m:r>
          </m:sup>
          <m:e>
            <m:sSub>
              <m:e>
                <m:r>
                  <m:t>w</m:t>
                </m:r>
              </m:e>
              <m:sub>
                <m:r>
                  <m:t>j</m:t>
                </m:r>
              </m:sub>
            </m:sSub>
          </m:e>
        </m:nary>
      </m:oMath>
      <w:r>
        <w:t xml:space="preserve"> </w:t>
      </w:r>
      <w:r>
        <w:t xml:space="preserve">of requests in each cycle.</w:t>
      </w:r>
      <w:r>
        <w:t xml:space="preserve"> </w:t>
      </w:r>
      <w:r>
        <w:rPr>
          <w:iCs/>
          <w:i/>
        </w:rPr>
        <w:t xml:space="preserve">(§19.4.1)</w:t>
      </w:r>
    </w:p>
    <w:p>
      <w:pPr>
        <w:pStyle w:val="BodyText"/>
      </w:pPr>
      <w:r>
        <w:rPr>
          <w:bCs/>
          <w:b/>
        </w:rPr>
        <w:t xml:space="preserve">Routing and forwarding</w:t>
      </w:r>
      <w:r>
        <w:t xml:space="preserve"> </w:t>
      </w:r>
      <w:r>
        <w:t xml:space="preserve">—</w:t>
      </w:r>
      <w:r>
        <w:t xml:space="preserve"> </w:t>
      </w:r>
      <w:r>
        <w:rPr>
          <w:bCs/>
          <w:b/>
        </w:rPr>
        <w:t xml:space="preserve">Forwarding</w:t>
      </w:r>
      <w:r>
        <w:t xml:space="preserve"> </w:t>
      </w:r>
      <w:r>
        <w:t xml:space="preserve">is the per-packet act of choosing an outgoing interface for a packet based on its destination address and the</w:t>
      </w:r>
      <w:r>
        <w:t xml:space="preserve"> </w:t>
      </w:r>
      <w:r>
        <w:rPr>
          <w:bCs/>
          <w:b/>
        </w:rPr>
        <w:t xml:space="preserve">forwarding table</w:t>
      </w:r>
      <w:r>
        <w:t xml:space="preserve">.</w:t>
      </w:r>
      <w:r>
        <w:t xml:space="preserve"> </w:t>
      </w:r>
      <w:r>
        <w:rPr>
          <w:bCs/>
          <w:b/>
        </w:rPr>
        <w:t xml:space="preserve">Routing</w:t>
      </w:r>
      <w:r>
        <w:t xml:space="preserve"> </w:t>
      </w:r>
      <w:r>
        <w:t xml:space="preserve">is the control-plane process of building those tables by exchanging reachability information with other routers.</w:t>
      </w:r>
      <w:r>
        <w:t xml:space="preserve"> </w:t>
      </w:r>
      <w:r>
        <w:rPr>
          <w:iCs/>
          <w:i/>
        </w:rPr>
        <w:t xml:space="preserve">(§7.5.1)</w:t>
      </w:r>
    </w:p>
    <w:p>
      <w:pPr>
        <w:pStyle w:val="BodyText"/>
      </w:pPr>
      <w:r>
        <w:rPr>
          <w:bCs/>
          <w:b/>
        </w:rPr>
        <w:t xml:space="preserve">RUM conjecture</w:t>
      </w:r>
      <w:r>
        <w:t xml:space="preserve"> </w:t>
      </w:r>
      <w:r>
        <w:t xml:space="preserve">— For any access method, bounding two of</w:t>
      </w:r>
      <w:r>
        <w:t xml:space="preserve"> </w:t>
      </w:r>
      <w:r>
        <w:rPr>
          <w:bCs/>
          <w:b/>
        </w:rPr>
        <w:t xml:space="preserve">R</w:t>
      </w:r>
      <w:r>
        <w:t xml:space="preserve">ead overhead,</w:t>
      </w:r>
      <w:r>
        <w:t xml:space="preserve"> </w:t>
      </w:r>
      <w:r>
        <w:rPr>
          <w:bCs/>
          <w:b/>
        </w:rPr>
        <w:t xml:space="preserve">U</w:t>
      </w:r>
      <w:r>
        <w:t xml:space="preserve">pdate overhead and</w:t>
      </w:r>
      <w:r>
        <w:t xml:space="preserve"> </w:t>
      </w:r>
      <w:r>
        <w:rPr>
          <w:bCs/>
          <w:b/>
        </w:rPr>
        <w:t xml:space="preserve">M</w:t>
      </w:r>
      <w:r>
        <w:t xml:space="preserve">emory (space) overhead forces the third to be worse: you can optimize for at most two [Athanassoulis et al. 2016].</w:t>
      </w:r>
      <w:r>
        <w:t xml:space="preserve"> </w:t>
      </w:r>
      <w:r>
        <w:rPr>
          <w:iCs/>
          <w:i/>
        </w:rPr>
        <w:t xml:space="preserve">(§13.11.1)</w:t>
      </w:r>
    </w:p>
    <w:bookmarkEnd w:id="3369"/>
    <w:bookmarkStart w:id="3370" w:name="s"/>
    <w:p>
      <w:pPr>
        <w:pStyle w:val="Heading2"/>
      </w:pPr>
      <w:r>
        <w:t xml:space="preserve">S</w:t>
      </w:r>
    </w:p>
    <w:p>
      <w:pPr>
        <w:pStyle w:val="FirstParagraph"/>
      </w:pPr>
      <w:r>
        <w:rPr>
          <w:bCs/>
          <w:b/>
        </w:rPr>
        <w:t xml:space="preserve">Safe method</w:t>
      </w:r>
      <w:r>
        <w:t xml:space="preserve"> </w:t>
      </w:r>
      <w:r>
        <w:t xml:space="preserve">— A method whose semantics are read-only: the client does not request, and does not expect, any state change on the server [RFC 9110 §9.2.1]. Logging or metrics side effects are allowed.</w:t>
      </w:r>
      <w:r>
        <w:t xml:space="preserve"> </w:t>
      </w:r>
      <w:r>
        <w:rPr>
          <w:iCs/>
          <w:i/>
        </w:rPr>
        <w:t xml:space="preserve">(§8.6.3)</w:t>
      </w:r>
    </w:p>
    <w:p>
      <w:pPr>
        <w:pStyle w:val="BodyText"/>
      </w:pPr>
      <w:r>
        <w:rPr>
          <w:bCs/>
          <w:b/>
        </w:rPr>
        <w:t xml:space="preserve">Saga</w:t>
      </w:r>
      <w:r>
        <w:t xml:space="preserve"> </w:t>
      </w:r>
      <w:r>
        <w:t xml:space="preserve">— A long-lived transaction written as a sequence of local transactions</w:t>
      </w:r>
      <w:r>
        <w:t xml:space="preserve"> </w:t>
      </w:r>
      <m:oMath>
        <m:sSub>
          <m:e>
            <m:r>
              <m:t>T</m:t>
            </m:r>
          </m:e>
          <m:sub>
            <m:r>
              <m:t>1</m:t>
            </m:r>
          </m:sub>
        </m:sSub>
        <m:r>
          <m:rPr>
            <m:sty m:val="p"/>
          </m:rPr>
          <m:t>,</m:t>
        </m:r>
        <m:sSub>
          <m:e>
            <m:r>
              <m:t>T</m:t>
            </m:r>
          </m:e>
          <m:sub>
            <m:r>
              <m:t>2</m:t>
            </m:r>
          </m:sub>
        </m:sSub>
        <m:r>
          <m:rPr>
            <m:sty m:val="p"/>
          </m:rPr>
          <m:t>,</m:t>
        </m:r>
        <m:r>
          <m:rPr>
            <m:sty m:val="p"/>
          </m:rPr>
          <m:t>…</m:t>
        </m:r>
        <m:r>
          <m:rPr>
            <m:sty m:val="p"/>
          </m:rPr>
          <m:t>,</m:t>
        </m:r>
        <m:sSub>
          <m:e>
            <m:r>
              <m:t>T</m:t>
            </m:r>
          </m:e>
          <m:sub>
            <m:r>
              <m:t>n</m:t>
            </m:r>
          </m:sub>
        </m:sSub>
      </m:oMath>
      <w:r>
        <w:t xml:space="preserve">, each committed independently, where each</w:t>
      </w:r>
      <w:r>
        <w:t xml:space="preserve"> </w:t>
      </w:r>
      <m:oMath>
        <m:sSub>
          <m:e>
            <m:r>
              <m:t>T</m:t>
            </m:r>
          </m:e>
          <m:sub>
            <m:r>
              <m:t>i</m:t>
            </m:r>
          </m:sub>
        </m:sSub>
      </m:oMath>
      <w:r>
        <w:t xml:space="preserve"> </w:t>
      </w:r>
      <w:r>
        <w:t xml:space="preserve">has a</w:t>
      </w:r>
      <w:r>
        <w:t xml:space="preserve"> </w:t>
      </w:r>
      <w:r>
        <w:rPr>
          <w:bCs/>
          <w:b/>
        </w:rPr>
        <w:t xml:space="preserve">compensating transaction</w:t>
      </w:r>
      <w:r>
        <w:t xml:space="preserve"> </w:t>
      </w:r>
      <m:oMath>
        <m:sSub>
          <m:e>
            <m:r>
              <m:t>C</m:t>
            </m:r>
          </m:e>
          <m:sub>
            <m:r>
              <m:t>i</m:t>
            </m:r>
          </m:sub>
        </m:sSub>
      </m:oMath>
      <w:r>
        <w:t xml:space="preserve"> </w:t>
      </w:r>
      <w:r>
        <w:t xml:space="preserve">that semantically undoes it. Either</w:t>
      </w:r>
      <w:r>
        <w:t xml:space="preserve"> </w:t>
      </w:r>
      <m:oMath>
        <m:sSub>
          <m:e>
            <m:r>
              <m:t>T</m:t>
            </m:r>
          </m:e>
          <m:sub>
            <m:r>
              <m:t>1</m:t>
            </m:r>
          </m:sub>
        </m:sSub>
        <m:r>
          <m:rPr>
            <m:sty m:val="p"/>
          </m:rPr>
          <m:t>…</m:t>
        </m:r>
        <m:sSub>
          <m:e>
            <m:r>
              <m:t>T</m:t>
            </m:r>
          </m:e>
          <m:sub>
            <m:r>
              <m:t>n</m:t>
            </m:r>
          </m:sub>
        </m:sSub>
      </m:oMath>
      <w:r>
        <w:t xml:space="preserve"> </w:t>
      </w:r>
      <w:r>
        <w:t xml:space="preserve">all complete, or</w:t>
      </w:r>
      <w:r>
        <w:t xml:space="preserve"> </w:t>
      </w:r>
      <m:oMath>
        <m:sSub>
          <m:e>
            <m:r>
              <m:t>T</m:t>
            </m:r>
          </m:e>
          <m:sub>
            <m:r>
              <m:t>1</m:t>
            </m:r>
          </m:sub>
        </m:sSub>
        <m:r>
          <m:rPr>
            <m:sty m:val="p"/>
          </m:rPr>
          <m:t>…</m:t>
        </m:r>
        <m:sSub>
          <m:e>
            <m:r>
              <m:t>T</m:t>
            </m:r>
          </m:e>
          <m:sub>
            <m:r>
              <m:t>j</m:t>
            </m:r>
          </m:sub>
        </m:sSub>
        <m:r>
          <m:rPr>
            <m:sty m:val="p"/>
          </m:rPr>
          <m:t>,</m:t>
        </m:r>
        <m:sSub>
          <m:e>
            <m:r>
              <m:t>C</m:t>
            </m:r>
          </m:e>
          <m:sub>
            <m:r>
              <m:t>j</m:t>
            </m:r>
          </m:sub>
        </m:sSub>
        <m:r>
          <m:rPr>
            <m:sty m:val="p"/>
          </m:rPr>
          <m:t>…</m:t>
        </m:r>
        <m:sSub>
          <m:e>
            <m:r>
              <m:t>C</m:t>
            </m:r>
          </m:e>
          <m:sub>
            <m:r>
              <m:t>1</m:t>
            </m:r>
          </m:sub>
        </m:sSub>
      </m:oMath>
      <w:r>
        <w:t xml:space="preserve"> </w:t>
      </w:r>
      <w:r>
        <w:t xml:space="preserve">run [Garcia-Molina and Salem 1987].</w:t>
      </w:r>
      <w:r>
        <w:t xml:space="preserve"> </w:t>
      </w:r>
      <w:r>
        <w:rPr>
          <w:iCs/>
          <w:i/>
        </w:rPr>
        <w:t xml:space="preserve">(§28.6)</w:t>
      </w:r>
    </w:p>
    <w:p>
      <w:pPr>
        <w:pStyle w:val="BodyText"/>
      </w:pPr>
      <w:r>
        <w:rPr>
          <w:bCs/>
          <w:b/>
        </w:rPr>
        <w:t xml:space="preserve">Scalability</w:t>
      </w:r>
      <w:r>
        <w:t xml:space="preserve"> </w:t>
      </w:r>
      <w:r>
        <w:t xml:space="preserve">— The ability of a system to handle a growing workload by adding resources, with throughput rising roughly in proportion to the resources added and latency staying within its objective. A system is</w:t>
      </w:r>
      <w:r>
        <w:t xml:space="preserve"> </w:t>
      </w:r>
      <w:r>
        <w:rPr>
          <w:iCs/>
          <w:i/>
        </w:rPr>
        <w:t xml:space="preserve">not</w:t>
      </w:r>
      <w:r>
        <w:t xml:space="preserve"> </w:t>
      </w:r>
      <w:r>
        <w:t xml:space="preserve">scalable for a workload if adding resources yields little or no extra throughput, or if the cost per unit of work rises sharply.</w:t>
      </w:r>
      <w:r>
        <w:t xml:space="preserve"> </w:t>
      </w:r>
      <w:r>
        <w:rPr>
          <w:iCs/>
          <w:i/>
        </w:rPr>
        <w:t xml:space="preserve">(§18.3.1)</w:t>
      </w:r>
    </w:p>
    <w:p>
      <w:pPr>
        <w:pStyle w:val="BodyText"/>
      </w:pPr>
      <w:r>
        <w:rPr>
          <w:bCs/>
          <w:b/>
        </w:rPr>
        <w:t xml:space="preserve">Scale cube</w:t>
      </w:r>
      <w:r>
        <w:t xml:space="preserve"> </w:t>
      </w:r>
      <w:r>
        <w:t xml:space="preserve">— A model by Martin Abbott and Michael Fisher that classifies every scaling technique along three independent axes [Abbott and Fisher 2015]: the</w:t>
      </w:r>
      <w:r>
        <w:t xml:space="preserve"> </w:t>
      </w:r>
      <w:r>
        <w:rPr>
          <w:bCs/>
          <w:b/>
        </w:rPr>
        <w:t xml:space="preserve">X axis</w:t>
      </w:r>
      <w:r>
        <w:t xml:space="preserve">, cloning identical copies of a service or its data behind a load balancer; the</w:t>
      </w:r>
      <w:r>
        <w:t xml:space="preserve"> </w:t>
      </w:r>
      <w:r>
        <w:rPr>
          <w:bCs/>
          <w:b/>
        </w:rPr>
        <w:t xml:space="preserve">Y axis</w:t>
      </w:r>
      <w:r>
        <w:t xml:space="preserve">, splitting by function, service or resource so that each part handles different work; and the</w:t>
      </w:r>
      <w:r>
        <w:t xml:space="preserve"> </w:t>
      </w:r>
      <w:r>
        <w:rPr>
          <w:bCs/>
          <w:b/>
        </w:rPr>
        <w:t xml:space="preserve">Z axis</w:t>
      </w:r>
      <w:r>
        <w:t xml:space="preserve">, splitting by customer, requester or other key so that each part handles the same work for a subset of the data or users.</w:t>
      </w:r>
      <w:r>
        <w:t xml:space="preserve"> </w:t>
      </w:r>
      <w:r>
        <w:rPr>
          <w:iCs/>
          <w:i/>
        </w:rPr>
        <w:t xml:space="preserve">(§18.10.1)</w:t>
      </w:r>
    </w:p>
    <w:p>
      <w:pPr>
        <w:pStyle w:val="BodyText"/>
      </w:pPr>
      <w:r>
        <w:rPr>
          <w:bCs/>
          <w:b/>
        </w:rPr>
        <w:t xml:space="preserve">Scaling bottleneck</w:t>
      </w:r>
      <w:r>
        <w:t xml:space="preserve"> </w:t>
      </w:r>
      <w:r>
        <w:t xml:space="preserve">— The resource that limits throughput as load or node count grows: the resource with the largest service demand per unit of capacity (§2.6). For a horizontally scaled system, it is usually a resource that</w:t>
      </w:r>
      <w:r>
        <w:t xml:space="preserve"> </w:t>
      </w:r>
      <w:r>
        <w:rPr>
          <w:iCs/>
          <w:i/>
        </w:rPr>
        <w:t xml:space="preserve">all</w:t>
      </w:r>
      <w:r>
        <w:t xml:space="preserve"> </w:t>
      </w:r>
      <w:r>
        <w:t xml:space="preserve">nodes share and that cannot itself be scaled out by adding application nodes.</w:t>
      </w:r>
      <w:r>
        <w:t xml:space="preserve"> </w:t>
      </w:r>
      <w:r>
        <w:rPr>
          <w:iCs/>
          <w:i/>
        </w:rPr>
        <w:t xml:space="preserve">(§18.7.1)</w:t>
      </w:r>
    </w:p>
    <w:p>
      <w:pPr>
        <w:pStyle w:val="BodyText"/>
      </w:pPr>
      <w:r>
        <w:rPr>
          <w:bCs/>
          <w:b/>
        </w:rPr>
        <w:t xml:space="preserve">Search engine (as a data store)</w:t>
      </w:r>
      <w:r>
        <w:t xml:space="preserve"> </w:t>
      </w:r>
      <w:r>
        <w:t xml:space="preserve">— A system such as Elasticsearch, OpenSearch or Apache Solr that stores JSON documents and builds an</w:t>
      </w:r>
      <w:r>
        <w:t xml:space="preserve"> </w:t>
      </w:r>
      <w:r>
        <w:rPr>
          <w:bCs/>
          <w:b/>
        </w:rPr>
        <w:t xml:space="preserve">inverted index</w:t>
      </w:r>
      <w:r>
        <w:t xml:space="preserve"> </w:t>
      </w:r>
      <w:r>
        <w:t xml:space="preserve">— a map from each term to the list of documents containing it — so it can answer full-text, relevance-ranked, faceted and fuzzy queries.</w:t>
      </w:r>
      <w:r>
        <w:t xml:space="preserve"> </w:t>
      </w:r>
      <w:r>
        <w:rPr>
          <w:iCs/>
          <w:i/>
        </w:rPr>
        <w:t xml:space="preserve">(§12.9)</w:t>
      </w:r>
    </w:p>
    <w:p>
      <w:pPr>
        <w:pStyle w:val="BodyText"/>
      </w:pPr>
      <w:r>
        <w:rPr>
          <w:bCs/>
          <w:b/>
        </w:rPr>
        <w:t xml:space="preserve">Secret</w:t>
      </w:r>
      <w:r>
        <w:t xml:space="preserve"> </w:t>
      </w:r>
      <w:r>
        <w:t xml:space="preserve">— Any value that grants access and must be kept confidential: database passwords, API keys, OAuth client secrets, TLS and signing private keys, encryption keys, webhook HMAC keys.</w:t>
      </w:r>
      <w:r>
        <w:t xml:space="preserve"> </w:t>
      </w:r>
      <w:r>
        <w:rPr>
          <w:bCs/>
          <w:b/>
        </w:rPr>
        <w:t xml:space="preserve">Secrets management</w:t>
      </w:r>
      <w:r>
        <w:t xml:space="preserve"> </w:t>
      </w:r>
      <w:r>
        <w:t xml:space="preserve">is the practice of storing, distributing, rotating, auditing and revoking secrets so that they are available to the workloads that need them and to nobody else.</w:t>
      </w:r>
      <w:r>
        <w:t xml:space="preserve"> </w:t>
      </w:r>
      <w:r>
        <w:rPr>
          <w:iCs/>
          <w:i/>
        </w:rPr>
        <w:t xml:space="preserve">(§10.8)</w:t>
      </w:r>
    </w:p>
    <w:p>
      <w:pPr>
        <w:pStyle w:val="BodyText"/>
      </w:pPr>
      <w:r>
        <w:rPr>
          <w:bCs/>
          <w:b/>
        </w:rPr>
        <w:t xml:space="preserve">Security property</w:t>
      </w:r>
      <w:r>
        <w:t xml:space="preserve"> </w:t>
      </w:r>
      <w:r>
        <w:t xml:space="preserve">— A statement about what must remain true about a system even when an adversary is actively trying to violate it. The classic triad is</w:t>
      </w:r>
      <w:r>
        <w:t xml:space="preserve"> </w:t>
      </w:r>
      <w:r>
        <w:rPr>
          <w:bCs/>
          <w:b/>
        </w:rPr>
        <w:t xml:space="preserve">confidentiality</w:t>
      </w:r>
      <w:r>
        <w:t xml:space="preserve"> </w:t>
      </w:r>
      <w:r>
        <w:t xml:space="preserve">(only authorized parties can read data),</w:t>
      </w:r>
      <w:r>
        <w:t xml:space="preserve"> </w:t>
      </w:r>
      <w:r>
        <w:rPr>
          <w:bCs/>
          <w:b/>
        </w:rPr>
        <w:t xml:space="preserve">integrity</w:t>
      </w:r>
      <w:r>
        <w:t xml:space="preserve"> </w:t>
      </w:r>
      <w:r>
        <w:t xml:space="preserve">(data and behavior cannot be changed without detection) and</w:t>
      </w:r>
      <w:r>
        <w:t xml:space="preserve"> </w:t>
      </w:r>
      <w:r>
        <w:rPr>
          <w:bCs/>
          <w:b/>
        </w:rPr>
        <w:t xml:space="preserve">availability</w:t>
      </w:r>
      <w:r>
        <w:t xml:space="preserve"> </w:t>
      </w:r>
      <w:r>
        <w:t xml:space="preserve">(authorized parties can use the system when they need it), often abbreviated</w:t>
      </w:r>
      <w:r>
        <w:t xml:space="preserve"> </w:t>
      </w:r>
      <w:r>
        <w:rPr>
          <w:bCs/>
          <w:b/>
        </w:rPr>
        <w:t xml:space="preserve">CIA</w:t>
      </w:r>
      <w:r>
        <w:t xml:space="preserve">. System designers add</w:t>
      </w:r>
      <w:r>
        <w:t xml:space="preserve"> </w:t>
      </w:r>
      <w:r>
        <w:rPr>
          <w:bCs/>
          <w:b/>
        </w:rPr>
        <w:t xml:space="preserve">authentication</w:t>
      </w:r>
      <w:r>
        <w:t xml:space="preserve"> </w:t>
      </w:r>
      <w:r>
        <w:t xml:space="preserve">(knowing who is acting),</w:t>
      </w:r>
      <w:r>
        <w:t xml:space="preserve"> </w:t>
      </w:r>
      <w:r>
        <w:rPr>
          <w:bCs/>
          <w:b/>
        </w:rPr>
        <w:t xml:space="preserve">authorization</w:t>
      </w:r>
      <w:r>
        <w:t xml:space="preserve"> </w:t>
      </w:r>
      <w:r>
        <w:t xml:space="preserve">(deciding what that actor may do) and</w:t>
      </w:r>
      <w:r>
        <w:t xml:space="preserve"> </w:t>
      </w:r>
      <w:r>
        <w:rPr>
          <w:bCs/>
          <w:b/>
        </w:rPr>
        <w:t xml:space="preserve">non-repudiation</w:t>
      </w:r>
      <w:r>
        <w:t xml:space="preserve"> </w:t>
      </w:r>
      <w:r>
        <w:t xml:space="preserve">(an actor cannot credibly deny an action they took).</w:t>
      </w:r>
      <w:r>
        <w:t xml:space="preserve"> </w:t>
      </w:r>
      <w:r>
        <w:rPr>
          <w:iCs/>
          <w:i/>
        </w:rPr>
        <w:t xml:space="preserve">(§10.3.1)</w:t>
      </w:r>
    </w:p>
    <w:p>
      <w:pPr>
        <w:pStyle w:val="BodyText"/>
      </w:pPr>
      <w:r>
        <w:rPr>
          <w:bCs/>
          <w:b/>
        </w:rPr>
        <w:t xml:space="preserve">Segment</w:t>
      </w:r>
      <w:r>
        <w:t xml:space="preserve"> </w:t>
      </w:r>
      <w:r>
        <w:t xml:space="preserve">— A self-contained, immutable mini-index (its own dictionary, postings, stored fields, norms and doc values) covering a subset of documents. A Lucene index is a set of segments plus a</w:t>
      </w:r>
      <w:r>
        <w:t xml:space="preserve"> </w:t>
      </w:r>
      <w:r>
        <w:rPr>
          <w:bCs/>
          <w:b/>
        </w:rPr>
        <w:t xml:space="preserve">commit point</w:t>
      </w:r>
      <w:r>
        <w:t xml:space="preserve"> </w:t>
      </w:r>
      <w:r>
        <w:t xml:space="preserve">file (</w:t>
      </w:r>
      <w:r>
        <w:rPr>
          <w:rStyle w:val="VerbatimChar"/>
        </w:rPr>
        <w:t xml:space="preserve">segments_N</w:t>
      </w:r>
      <w:r>
        <w:t xml:space="preserve">) listing which segments are live; a search runs over every live segment and combines the results.</w:t>
      </w:r>
      <w:r>
        <w:t xml:space="preserve"> </w:t>
      </w:r>
      <w:r>
        <w:rPr>
          <w:iCs/>
          <w:i/>
        </w:rPr>
        <w:t xml:space="preserve">(§16.6.1)</w:t>
      </w:r>
    </w:p>
    <w:p>
      <w:pPr>
        <w:pStyle w:val="BodyText"/>
      </w:pPr>
      <w:r>
        <w:rPr>
          <w:bCs/>
          <w:b/>
        </w:rPr>
        <w:t xml:space="preserve">Semaphore</w:t>
      </w:r>
      <w:r>
        <w:t xml:space="preserve"> </w:t>
      </w:r>
      <w:r>
        <w:t xml:space="preserve">— An integer counter with two atomic operations introduced by Dijkstra:</w:t>
      </w:r>
      <w:r>
        <w:t xml:space="preserve"> </w:t>
      </w:r>
      <w:r>
        <w:rPr>
          <w:bCs/>
          <w:b/>
        </w:rPr>
        <w:t xml:space="preserve">wait</w:t>
      </w:r>
      <w:r>
        <w:t xml:space="preserve"> </w:t>
      </w:r>
      <w:r>
        <w:t xml:space="preserve">(P, or</w:t>
      </w:r>
      <w:r>
        <w:t xml:space="preserve"> </w:t>
      </w:r>
      <w:r>
        <w:rPr>
          <w:iCs/>
          <w:i/>
        </w:rPr>
        <w:t xml:space="preserve">acquire</w:t>
      </w:r>
      <w:r>
        <w:t xml:space="preserve">) decrements it and blocks if the result would be negative;</w:t>
      </w:r>
      <w:r>
        <w:t xml:space="preserve"> </w:t>
      </w:r>
      <w:r>
        <w:rPr>
          <w:bCs/>
          <w:b/>
        </w:rPr>
        <w:t xml:space="preserve">signal</w:t>
      </w:r>
      <w:r>
        <w:t xml:space="preserve"> </w:t>
      </w:r>
      <w:r>
        <w:t xml:space="preserve">(V, or</w:t>
      </w:r>
      <w:r>
        <w:t xml:space="preserve"> </w:t>
      </w:r>
      <w:r>
        <w:rPr>
          <w:iCs/>
          <w:i/>
        </w:rPr>
        <w:t xml:space="preserve">release</w:t>
      </w:r>
      <w:r>
        <w:t xml:space="preserve">) increments it and wakes a waiter [Dijkstra 1965].</w:t>
      </w:r>
      <w:r>
        <w:t xml:space="preserve"> </w:t>
      </w:r>
      <w:r>
        <w:rPr>
          <w:iCs/>
          <w:i/>
        </w:rPr>
        <w:t xml:space="preserve">(§6.10.2)</w:t>
      </w:r>
    </w:p>
    <w:p>
      <w:pPr>
        <w:pStyle w:val="BodyText"/>
      </w:pPr>
      <w:r>
        <w:rPr>
          <w:bCs/>
          <w:b/>
        </w:rPr>
        <w:t xml:space="preserve">Sequential consistency</w:t>
      </w:r>
      <w:r>
        <w:t xml:space="preserve"> </w:t>
      </w:r>
      <w:r>
        <w:t xml:space="preserve">— A history is</w:t>
      </w:r>
      <w:r>
        <w:t xml:space="preserve"> </w:t>
      </w:r>
      <w:r>
        <w:rPr>
          <w:bCs/>
          <w:b/>
        </w:rPr>
        <w:t xml:space="preserve">sequentially consistent</w:t>
      </w:r>
      <w:r>
        <w:t xml:space="preserve"> </w:t>
      </w:r>
      <w:r>
        <w:t xml:space="preserve">if there is a single total order of all operations that is a legal sequential history of the objects and that respects each client’s</w:t>
      </w:r>
      <w:r>
        <w:t xml:space="preserve"> </w:t>
      </w:r>
      <w:r>
        <w:rPr>
          <w:bCs/>
          <w:b/>
        </w:rPr>
        <w:t xml:space="preserve">program order</w:t>
      </w:r>
      <w:r>
        <w:t xml:space="preserve"> </w:t>
      </w:r>
      <w:r>
        <w:t xml:space="preserve">(the order in which that client issued its own operations). In Lamport’s words,</w:t>
      </w:r>
      <w:r>
        <w:t xml:space="preserve"> </w:t>
      </w:r>
      <w:r>
        <w:t xml:space="preserve">“</w:t>
      </w:r>
      <w:r>
        <w:t xml:space="preserve">the result of any execution is the same as if the operations of all the processors were executed in some sequential order, and the operations of each individual processor appear in this sequence in the order specified by its program</w:t>
      </w:r>
      <w:r>
        <w:t xml:space="preserve">”</w:t>
      </w:r>
      <w:r>
        <w:t xml:space="preserve"> </w:t>
      </w:r>
      <w:r>
        <w:t xml:space="preserve">[Lamport 1979].</w:t>
      </w:r>
      <w:r>
        <w:t xml:space="preserve"> </w:t>
      </w:r>
      <w:r>
        <w:rPr>
          <w:iCs/>
          <w:i/>
        </w:rPr>
        <w:t xml:space="preserve">(§25.4.1)</w:t>
      </w:r>
    </w:p>
    <w:p>
      <w:pPr>
        <w:pStyle w:val="BodyText"/>
      </w:pPr>
      <w:r>
        <w:rPr>
          <w:bCs/>
          <w:b/>
        </w:rPr>
        <w:t xml:space="preserve">Serialization (encoding)</w:t>
      </w:r>
      <w:r>
        <w:t xml:space="preserve"> </w:t>
      </w:r>
      <w:r>
        <w:t xml:space="preserve">— Translating an in-memory data structure into a sequence of bytes for storage or transmission;</w:t>
      </w:r>
      <w:r>
        <w:t xml:space="preserve"> </w:t>
      </w:r>
      <w:r>
        <w:rPr>
          <w:bCs/>
          <w:b/>
        </w:rPr>
        <w:t xml:space="preserve">deserialization (decoding)</w:t>
      </w:r>
      <w:r>
        <w:t xml:space="preserve"> </w:t>
      </w:r>
      <w:r>
        <w:t xml:space="preserve">is the reverse [Kleppmann 2017, ch. 4].</w:t>
      </w:r>
      <w:r>
        <w:t xml:space="preserve"> </w:t>
      </w:r>
      <w:r>
        <w:rPr>
          <w:iCs/>
          <w:i/>
        </w:rPr>
        <w:t xml:space="preserve">(§8.9.1)</w:t>
      </w:r>
    </w:p>
    <w:p>
      <w:pPr>
        <w:pStyle w:val="BodyText"/>
      </w:pPr>
      <w:r>
        <w:rPr>
          <w:bCs/>
          <w:b/>
        </w:rPr>
        <w:t xml:space="preserve">Server-Sent Events (SSE)</w:t>
      </w:r>
      <w:r>
        <w:t xml:space="preserve"> </w:t>
      </w:r>
      <w:r>
        <w:t xml:space="preserve">— A W3C/WHATWG-standardized mechanism in which a client opens one long-lived HTTP request and the server streams a sequence of UTF-8 text events down the response body using the</w:t>
      </w:r>
      <w:r>
        <w:t xml:space="preserve"> </w:t>
      </w:r>
      <w:r>
        <w:rPr>
          <w:rStyle w:val="VerbatimChar"/>
        </w:rPr>
        <w:t xml:space="preserve">text/event-stream</w:t>
      </w:r>
      <w:r>
        <w:t xml:space="preserve"> </w:t>
      </w:r>
      <w:r>
        <w:t xml:space="preserve">format; browsers expose it through the</w:t>
      </w:r>
      <w:r>
        <w:t xml:space="preserve"> </w:t>
      </w:r>
      <w:r>
        <w:rPr>
          <w:rStyle w:val="VerbatimChar"/>
        </w:rPr>
        <w:t xml:space="preserve">EventSource</w:t>
      </w:r>
      <w:r>
        <w:t xml:space="preserve"> </w:t>
      </w:r>
      <w:r>
        <w:t xml:space="preserve">API, which parses events and reconnects automatically, resuming from the last received event ID [WHATWG HTML §9.2].</w:t>
      </w:r>
      <w:r>
        <w:t xml:space="preserve"> </w:t>
      </w:r>
      <w:r>
        <w:rPr>
          <w:iCs/>
          <w:i/>
        </w:rPr>
        <w:t xml:space="preserve">(§9.5.1)</w:t>
      </w:r>
    </w:p>
    <w:p>
      <w:pPr>
        <w:pStyle w:val="BodyText"/>
      </w:pPr>
      <w:r>
        <w:rPr>
          <w:bCs/>
          <w:b/>
        </w:rPr>
        <w:t xml:space="preserve">Server-side rendering (SSR)</w:t>
      </w:r>
      <w:r>
        <w:t xml:space="preserve"> </w:t>
      </w:r>
      <w:r>
        <w:t xml:space="preserve">— The server produces complete HTML for each request; the browser displays it immediately and then loads JavaScript to make it interactive (</w:t>
      </w:r>
      <w:r>
        <w:rPr>
          <w:bCs/>
          <w:b/>
        </w:rPr>
        <w:t xml:space="preserve">hydration</w:t>
      </w:r>
      <w:r>
        <w:t xml:space="preserve">).</w:t>
      </w:r>
      <w:r>
        <w:t xml:space="preserve"> </w:t>
      </w:r>
      <w:r>
        <w:rPr>
          <w:iCs/>
          <w:i/>
        </w:rPr>
        <w:t xml:space="preserve">(§8.4.2)</w:t>
      </w:r>
    </w:p>
    <w:p>
      <w:pPr>
        <w:pStyle w:val="BodyText"/>
      </w:pPr>
      <w:r>
        <w:rPr>
          <w:bCs/>
          <w:b/>
        </w:rPr>
        <w:t xml:space="preserve">Session</w:t>
      </w:r>
      <w:r>
        <w:t xml:space="preserve"> </w:t>
      </w:r>
      <w:r>
        <w:t xml:space="preserve">— Server-recognized state that links a series of requests to one authenticated user (or anonymous visitor) over time, typically identified by a cookie.</w:t>
      </w:r>
      <w:r>
        <w:t xml:space="preserve"> </w:t>
      </w:r>
      <w:r>
        <w:rPr>
          <w:iCs/>
          <w:i/>
        </w:rPr>
        <w:t xml:space="preserve">(§8.10.2)</w:t>
      </w:r>
    </w:p>
    <w:p>
      <w:pPr>
        <w:pStyle w:val="BodyText"/>
      </w:pPr>
      <w:r>
        <w:rPr>
          <w:bCs/>
          <w:b/>
        </w:rPr>
        <w:t xml:space="preserve">Session affinity (sticky sessions)</w:t>
      </w:r>
      <w:r>
        <w:t xml:space="preserve"> </w:t>
      </w:r>
      <w:r>
        <w:t xml:space="preserve">— A balancer policy that sends all requests of one client session to the same backend, identified by a cookie, the client’s IP address or a request key.</w:t>
      </w:r>
      <w:r>
        <w:t xml:space="preserve"> </w:t>
      </w:r>
      <w:r>
        <w:rPr>
          <w:iCs/>
          <w:i/>
        </w:rPr>
        <w:t xml:space="preserve">(§19.6)</w:t>
      </w:r>
    </w:p>
    <w:p>
      <w:pPr>
        <w:pStyle w:val="BodyText"/>
      </w:pPr>
      <w:r>
        <w:rPr>
          <w:bCs/>
          <w:b/>
        </w:rPr>
        <w:t xml:space="preserve">Session guarantees</w:t>
      </w:r>
      <w:r>
        <w:t xml:space="preserve"> </w:t>
      </w:r>
      <w:r>
        <w:t xml:space="preserve">—</w:t>
      </w:r>
      <w:r>
        <w:t xml:space="preserve"> </w:t>
      </w:r>
      <w:r>
        <w:rPr>
          <w:bCs/>
          <w:b/>
        </w:rPr>
        <w:t xml:space="preserve">Read-your-writes (RYW):</w:t>
      </w:r>
      <w:r>
        <w:t xml:space="preserve"> </w:t>
      </w:r>
      <w:r>
        <w:t xml:space="preserve">if a session writes</w:t>
      </w:r>
      <w:r>
        <w:t xml:space="preserve"> </w:t>
      </w:r>
      <m:oMath>
        <m:r>
          <m:t>w</m:t>
        </m:r>
      </m:oMath>
      <w:r>
        <w:t xml:space="preserve"> </w:t>
      </w:r>
      <w:r>
        <w:t xml:space="preserve">and later reads, the read reflects</w:t>
      </w:r>
      <w:r>
        <w:t xml:space="preserve"> </w:t>
      </w:r>
      <m:oMath>
        <m:r>
          <m:t>w</m:t>
        </m:r>
      </m:oMath>
      <w:r>
        <w:t xml:space="preserve"> </w:t>
      </w:r>
      <w:r>
        <w:t xml:space="preserve">(or a later write).</w:t>
      </w:r>
      <w:r>
        <w:t xml:space="preserve"> </w:t>
      </w:r>
      <w:r>
        <w:rPr>
          <w:bCs/>
          <w:b/>
        </w:rPr>
        <w:t xml:space="preserve">Monotonic reads (MR):</w:t>
      </w:r>
      <w:r>
        <w:t xml:space="preserve"> </w:t>
      </w:r>
      <w:r>
        <w:t xml:space="preserve">if a session reads a value reflecting a set of writes, later reads reflect at least that set; the session never sees time go backwards.</w:t>
      </w:r>
      <w:r>
        <w:t xml:space="preserve"> </w:t>
      </w:r>
      <w:r>
        <w:rPr>
          <w:bCs/>
          <w:b/>
        </w:rPr>
        <w:t xml:space="preserve">Monotonic writes (MW):</w:t>
      </w:r>
      <w:r>
        <w:t xml:space="preserve"> </w:t>
      </w:r>
      <w:r>
        <w:t xml:space="preserve">a session’s writes are applied at every replica in the order the session issued them.</w:t>
      </w:r>
      <w:r>
        <w:t xml:space="preserve"> </w:t>
      </w:r>
      <w:r>
        <w:rPr>
          <w:bCs/>
          <w:b/>
        </w:rPr>
        <w:t xml:space="preserve">Writes-follow-reads (WFR):</w:t>
      </w:r>
      <w:r>
        <w:t xml:space="preserve"> </w:t>
      </w:r>
      <w:r>
        <w:t xml:space="preserve">if a session reads a value produced by write</w:t>
      </w:r>
      <w:r>
        <w:t xml:space="preserve"> </w:t>
      </w:r>
      <m:oMath>
        <m:sSub>
          <m:e>
            <m:r>
              <m:t>w</m:t>
            </m:r>
          </m:e>
          <m:sub>
            <m:r>
              <m:t>1</m:t>
            </m:r>
          </m:sub>
        </m:sSub>
      </m:oMath>
      <w:r>
        <w:t xml:space="preserve"> </w:t>
      </w:r>
      <w:r>
        <w:t xml:space="preserve">and then writes</w:t>
      </w:r>
      <w:r>
        <w:t xml:space="preserve"> </w:t>
      </w:r>
      <m:oMath>
        <m:sSub>
          <m:e>
            <m:r>
              <m:t>w</m:t>
            </m:r>
          </m:e>
          <m:sub>
            <m:r>
              <m:t>2</m:t>
            </m:r>
          </m:sub>
        </m:sSub>
      </m:oMath>
      <w:r>
        <w:t xml:space="preserve">, every replica applies</w:t>
      </w:r>
      <w:r>
        <w:t xml:space="preserve"> </w:t>
      </w:r>
      <m:oMath>
        <m:sSub>
          <m:e>
            <m:r>
              <m:t>w</m:t>
            </m:r>
          </m:e>
          <m:sub>
            <m:r>
              <m:t>1</m:t>
            </m:r>
          </m:sub>
        </m:sSub>
      </m:oMath>
      <w:r>
        <w:t xml:space="preserve"> </w:t>
      </w:r>
      <w:r>
        <w:t xml:space="preserve">before</w:t>
      </w:r>
      <w:r>
        <w:t xml:space="preserve"> </w:t>
      </w:r>
      <m:oMath>
        <m:sSub>
          <m:e>
            <m:r>
              <m:t>w</m:t>
            </m:r>
          </m:e>
          <m:sub>
            <m:r>
              <m:t>2</m:t>
            </m:r>
          </m:sub>
        </m:sSub>
      </m:oMath>
      <w:r>
        <w:t xml:space="preserve"> </w:t>
      </w:r>
      <w:r>
        <w:t xml:space="preserve">(the new write is ordered after what the session saw).</w:t>
      </w:r>
      <w:r>
        <w:t xml:space="preserve"> </w:t>
      </w:r>
      <w:r>
        <w:rPr>
          <w:iCs/>
          <w:i/>
        </w:rPr>
        <w:t xml:space="preserve">(§25.6.1)</w:t>
      </w:r>
    </w:p>
    <w:p>
      <w:pPr>
        <w:pStyle w:val="BodyText"/>
      </w:pPr>
      <w:r>
        <w:rPr>
          <w:bCs/>
          <w:b/>
        </w:rPr>
        <w:t xml:space="preserve">Set-associative cache</w:t>
      </w:r>
      <w:r>
        <w:t xml:space="preserve"> </w:t>
      </w:r>
      <w:r>
        <w:t xml:space="preserve">— A cache divided into</w:t>
      </w:r>
      <w:r>
        <w:t xml:space="preserve"> </w:t>
      </w:r>
      <m:oMath>
        <m:r>
          <m:t>S</m:t>
        </m:r>
      </m:oMath>
      <w:r>
        <w:t xml:space="preserve"> </w:t>
      </w:r>
      <w:r>
        <w:t xml:space="preserve">sets of</w:t>
      </w:r>
      <w:r>
        <w:t xml:space="preserve"> </w:t>
      </w:r>
      <m:oMath>
        <m:r>
          <m:t>W</m:t>
        </m:r>
      </m:oMath>
      <w:r>
        <w:t xml:space="preserve"> </w:t>
      </w:r>
      <w:r>
        <w:t xml:space="preserve">slots (</w:t>
      </w:r>
      <w:r>
        <w:rPr>
          <w:bCs/>
          <w:b/>
        </w:rPr>
        <w:t xml:space="preserve">ways</w:t>
      </w:r>
      <w:r>
        <w:t xml:space="preserve">). A line at a given address may be stored in any of the</w:t>
      </w:r>
      <w:r>
        <w:t xml:space="preserve"> </w:t>
      </w:r>
      <m:oMath>
        <m:r>
          <m:t>W</m:t>
        </m:r>
      </m:oMath>
      <w:r>
        <w:t xml:space="preserve"> </w:t>
      </w:r>
      <w:r>
        <w:t xml:space="preserve">ways of exactly one set.</w:t>
      </w:r>
      <w:r>
        <w:t xml:space="preserve"> </w:t>
      </w:r>
      <m:oMath>
        <m:r>
          <m:t>W</m:t>
        </m:r>
        <m:r>
          <m:rPr>
            <m:sty m:val="p"/>
          </m:rPr>
          <m:t>=</m:t>
        </m:r>
        <m:r>
          <m:t>1</m:t>
        </m:r>
      </m:oMath>
      <w:r>
        <w:t xml:space="preserve"> </w:t>
      </w:r>
      <w:r>
        <w:t xml:space="preserve">is a</w:t>
      </w:r>
      <w:r>
        <w:t xml:space="preserve"> </w:t>
      </w:r>
      <w:r>
        <w:rPr>
          <w:bCs/>
          <w:b/>
        </w:rPr>
        <w:t xml:space="preserve">direct-mapped</w:t>
      </w:r>
      <w:r>
        <w:t xml:space="preserve"> </w:t>
      </w:r>
      <w:r>
        <w:t xml:space="preserve">cache; a cache with a single set holding every line is</w:t>
      </w:r>
      <w:r>
        <w:t xml:space="preserve"> </w:t>
      </w:r>
      <w:r>
        <w:rPr>
          <w:bCs/>
          <w:b/>
        </w:rPr>
        <w:t xml:space="preserve">fully associative</w:t>
      </w:r>
      <w:r>
        <w:t xml:space="preserve">.</w:t>
      </w:r>
      <w:r>
        <w:t xml:space="preserve"> </w:t>
      </w:r>
      <w:r>
        <w:rPr>
          <w:iCs/>
          <w:i/>
        </w:rPr>
        <w:t xml:space="preserve">(§5.4.4)</w:t>
      </w:r>
    </w:p>
    <w:p>
      <w:pPr>
        <w:pStyle w:val="BodyText"/>
      </w:pPr>
      <w:r>
        <w:rPr>
          <w:bCs/>
          <w:b/>
        </w:rPr>
        <w:t xml:space="preserve">Short polling</w:t>
      </w:r>
      <w:r>
        <w:t xml:space="preserve"> </w:t>
      </w:r>
      <w:r>
        <w:t xml:space="preserve">— A technique in which the client sends an ordinary HTTP request at a fixed interval</w:t>
      </w:r>
      <w:r>
        <w:t xml:space="preserve"> </w:t>
      </w:r>
      <w:r>
        <w:rPr>
          <w:iCs/>
          <w:i/>
        </w:rPr>
        <w:t xml:space="preserve">T</w:t>
      </w:r>
      <w:r>
        <w:t xml:space="preserve"> </w:t>
      </w:r>
      <w:r>
        <w:t xml:space="preserve">to ask whether new data exists; the server answers immediately, either with the new data or with an empty response, and the connection’s request ends.</w:t>
      </w:r>
      <w:r>
        <w:t xml:space="preserve"> </w:t>
      </w:r>
      <w:r>
        <w:rPr>
          <w:iCs/>
          <w:i/>
        </w:rPr>
        <w:t xml:space="preserve">(§9.3.1)</w:t>
      </w:r>
    </w:p>
    <w:p>
      <w:pPr>
        <w:pStyle w:val="BodyText"/>
      </w:pPr>
      <w:r>
        <w:rPr>
          <w:bCs/>
          <w:b/>
        </w:rPr>
        <w:t xml:space="preserve">Shuffle</w:t>
      </w:r>
      <w:r>
        <w:t xml:space="preserve"> </w:t>
      </w:r>
      <w:r>
        <w:t xml:space="preserve">— The all-to-all redistribution of intermediate data between two stages, in which every task of the producing stage writes its output partitioned by key and every task of the consuming stage reads its partition from every producer. It costs serialization, local disk writes and reads, and network transfer, and it is a barrier between stages.</w:t>
      </w:r>
      <w:r>
        <w:t xml:space="preserve"> </w:t>
      </w:r>
      <w:r>
        <w:rPr>
          <w:iCs/>
          <w:i/>
        </w:rPr>
        <w:t xml:space="preserve">(§29.6.2)</w:t>
      </w:r>
    </w:p>
    <w:p>
      <w:pPr>
        <w:pStyle w:val="BodyText"/>
      </w:pPr>
      <w:r>
        <w:rPr>
          <w:bCs/>
          <w:b/>
        </w:rPr>
        <w:t xml:space="preserve">SIMD (single instruction, multiple data)</w:t>
      </w:r>
      <w:r>
        <w:t xml:space="preserve"> </w:t>
      </w:r>
      <w:r>
        <w:t xml:space="preserve">— CPU instructions that apply the same operation to several data elements packed into one wide</w:t>
      </w:r>
      <w:r>
        <w:t xml:space="preserve"> </w:t>
      </w:r>
      <w:r>
        <w:rPr>
          <w:bCs/>
          <w:b/>
        </w:rPr>
        <w:t xml:space="preserve">vector register</w:t>
      </w:r>
      <w:r>
        <w:t xml:space="preserve"> </w:t>
      </w:r>
      <w:r>
        <w:t xml:space="preserve">at once — for example, adding eight pairs of 32-bit floats in a single instruction.</w:t>
      </w:r>
      <w:r>
        <w:t xml:space="preserve"> </w:t>
      </w:r>
      <w:r>
        <w:rPr>
          <w:iCs/>
          <w:i/>
        </w:rPr>
        <w:t xml:space="preserve">(§5.11.1)</w:t>
      </w:r>
    </w:p>
    <w:p>
      <w:pPr>
        <w:pStyle w:val="BodyText"/>
      </w:pPr>
      <w:r>
        <w:rPr>
          <w:bCs/>
          <w:b/>
        </w:rPr>
        <w:t xml:space="preserve">Simultaneous multithreading (SMT)</w:t>
      </w:r>
      <w:r>
        <w:t xml:space="preserve"> </w:t>
      </w:r>
      <w:r>
        <w:t xml:space="preserve">— A technique in which one physical core runs two (occasionally more) instruction streams at once, interleaving them through the same execution units. Intel markets its implementation as</w:t>
      </w:r>
      <w:r>
        <w:t xml:space="preserve"> </w:t>
      </w:r>
      <w:r>
        <w:rPr>
          <w:bCs/>
          <w:b/>
        </w:rPr>
        <w:t xml:space="preserve">Hyper-Threading Technology</w:t>
      </w:r>
      <w:r>
        <w:t xml:space="preserve">. Each stream appears to the operating system as a separate</w:t>
      </w:r>
      <w:r>
        <w:t xml:space="preserve"> </w:t>
      </w:r>
      <w:r>
        <w:rPr>
          <w:bCs/>
          <w:b/>
        </w:rPr>
        <w:t xml:space="preserve">logical CPU</w:t>
      </w:r>
      <w:r>
        <w:t xml:space="preserve"> </w:t>
      </w:r>
      <w:r>
        <w:t xml:space="preserve">(or</w:t>
      </w:r>
      <w:r>
        <w:t xml:space="preserve"> </w:t>
      </w:r>
      <w:r>
        <w:rPr>
          <w:bCs/>
          <w:b/>
        </w:rPr>
        <w:t xml:space="preserve">hardware thread</w:t>
      </w:r>
      <w:r>
        <w:t xml:space="preserve">).</w:t>
      </w:r>
      <w:r>
        <w:t xml:space="preserve"> </w:t>
      </w:r>
      <w:r>
        <w:rPr>
          <w:iCs/>
          <w:i/>
        </w:rPr>
        <w:t xml:space="preserve">(§5.3.6)</w:t>
      </w:r>
    </w:p>
    <w:p>
      <w:pPr>
        <w:pStyle w:val="BodyText"/>
      </w:pPr>
      <w:r>
        <w:rPr>
          <w:bCs/>
          <w:b/>
        </w:rPr>
        <w:t xml:space="preserve">Single-decree (basic) Paxos</w:t>
      </w:r>
      <w:r>
        <w:t xml:space="preserve"> </w:t>
      </w:r>
      <w:r>
        <w:t xml:space="preserve">— A consensus algorithm in which</w:t>
      </w:r>
      <w:r>
        <w:t xml:space="preserve"> </w:t>
      </w:r>
      <w:r>
        <w:rPr>
          <w:bCs/>
          <w:b/>
        </w:rPr>
        <w:t xml:space="preserve">proposers</w:t>
      </w:r>
      <w:r>
        <w:t xml:space="preserve"> </w:t>
      </w:r>
      <w:r>
        <w:t xml:space="preserve">suggest values,</w:t>
      </w:r>
      <w:r>
        <w:t xml:space="preserve"> </w:t>
      </w:r>
      <w:r>
        <w:rPr>
          <w:bCs/>
          <w:b/>
        </w:rPr>
        <w:t xml:space="preserve">acceptors</w:t>
      </w:r>
      <w:r>
        <w:t xml:space="preserve"> </w:t>
      </w:r>
      <w:r>
        <w:t xml:space="preserve">vote on them and</w:t>
      </w:r>
      <w:r>
        <w:t xml:space="preserve"> </w:t>
      </w:r>
      <w:r>
        <w:rPr>
          <w:bCs/>
          <w:b/>
        </w:rPr>
        <w:t xml:space="preserve">learners</w:t>
      </w:r>
      <w:r>
        <w:t xml:space="preserve"> </w:t>
      </w:r>
      <w:r>
        <w:t xml:space="preserve">find out the decided value. A value is</w:t>
      </w:r>
      <w:r>
        <w:t xml:space="preserve"> </w:t>
      </w:r>
      <w:r>
        <w:rPr>
          <w:bCs/>
          <w:b/>
        </w:rPr>
        <w:t xml:space="preserve">chosen</w:t>
      </w:r>
      <w:r>
        <w:t xml:space="preserve"> </w:t>
      </w:r>
      <w:r>
        <w:t xml:space="preserve">when a majority of acceptors has accepted it with the same proposal number. Paxos guarantees safety under any message delays, loss or reordering, and makes progress whenever one proposer can run both phases without interference from another.</w:t>
      </w:r>
      <w:r>
        <w:t xml:space="preserve"> </w:t>
      </w:r>
      <w:r>
        <w:rPr>
          <w:iCs/>
          <w:i/>
        </w:rPr>
        <w:t xml:space="preserve">(§26.6.1)</w:t>
      </w:r>
    </w:p>
    <w:p>
      <w:pPr>
        <w:pStyle w:val="BodyText"/>
      </w:pPr>
      <w:r>
        <w:rPr>
          <w:bCs/>
          <w:b/>
        </w:rPr>
        <w:t xml:space="preserve">Single-page application (SPA) / client-side rendering (CSR)</w:t>
      </w:r>
      <w:r>
        <w:t xml:space="preserve"> </w:t>
      </w:r>
      <w:r>
        <w:t xml:space="preserve">— The server sends a nearly empty HTML shell plus a JavaScript bundle; the JavaScript calls JSON APIs and builds the page in the browser. Navigation afterwards happens without full page loads.</w:t>
      </w:r>
      <w:r>
        <w:t xml:space="preserve"> </w:t>
      </w:r>
      <w:r>
        <w:rPr>
          <w:iCs/>
          <w:i/>
        </w:rPr>
        <w:t xml:space="preserve">(§8.4.2)</w:t>
      </w:r>
    </w:p>
    <w:p>
      <w:pPr>
        <w:pStyle w:val="BodyText"/>
      </w:pPr>
      <w:r>
        <w:rPr>
          <w:bCs/>
          <w:b/>
        </w:rPr>
        <w:t xml:space="preserve">Skip list</w:t>
      </w:r>
      <w:r>
        <w:t xml:space="preserve"> </w:t>
      </w:r>
      <w:r>
        <w:t xml:space="preserve">— An ordered linked list augmented with extra levels of</w:t>
      </w:r>
      <w:r>
        <w:t xml:space="preserve"> </w:t>
      </w:r>
      <w:r>
        <w:t xml:space="preserve">“</w:t>
      </w:r>
      <w:r>
        <w:t xml:space="preserve">express</w:t>
      </w:r>
      <w:r>
        <w:t xml:space="preserve">”</w:t>
      </w:r>
      <w:r>
        <w:t xml:space="preserve"> </w:t>
      </w:r>
      <w:r>
        <w:t xml:space="preserve">pointers. Each node is promoted to the next level with probability</w:t>
      </w:r>
      <w:r>
        <w:t xml:space="preserve"> </w:t>
      </w:r>
      <m:oMath>
        <m:r>
          <m:t>p</m:t>
        </m:r>
      </m:oMath>
      <w:r>
        <w:t xml:space="preserve"> </w:t>
      </w:r>
      <w:r>
        <w:t xml:space="preserve">(typically 1/2 or 1/4), so level</w:t>
      </w:r>
      <w:r>
        <w:t xml:space="preserve"> </w:t>
      </w:r>
      <m:oMath>
        <m:r>
          <m:t>i</m:t>
        </m:r>
      </m:oMath>
      <w:r>
        <w:t xml:space="preserve"> </w:t>
      </w:r>
      <w:r>
        <w:t xml:space="preserve">contains about a fraction</w:t>
      </w:r>
      <w:r>
        <w:t xml:space="preserve"> </w:t>
      </w:r>
      <m:oMath>
        <m:sSup>
          <m:e>
            <m:r>
              <m:t>p</m:t>
            </m:r>
          </m:e>
          <m:sup>
            <m:r>
              <m:t>i</m:t>
            </m:r>
          </m:sup>
        </m:sSup>
      </m:oMath>
      <w:r>
        <w:t xml:space="preserve"> </w:t>
      </w:r>
      <w:r>
        <w:t xml:space="preserve">of the nodes. Search, insert and delete take expected</w:t>
      </w:r>
      <w:r>
        <w:t xml:space="preserve"> </w:t>
      </w:r>
      <m:oMath>
        <m:r>
          <m:t>O</m:t>
        </m:r>
        <m:d>
          <m:dPr>
            <m:begChr m:val="("/>
            <m:endChr m:val=")"/>
            <m:sepChr m:val=""/>
            <m:grow/>
          </m:dPr>
          <m:e>
            <m:r>
              <m:rPr>
                <m:sty m:val="p"/>
              </m:rPr>
              <m:t>log</m:t>
            </m:r>
            <m:r>
              <m:t>n</m:t>
            </m:r>
          </m:e>
        </m:d>
      </m:oMath>
      <w:r>
        <w:t xml:space="preserve"> </w:t>
      </w:r>
      <w:r>
        <w:t xml:space="preserve">time [Pugh 1990].</w:t>
      </w:r>
      <w:r>
        <w:t xml:space="preserve"> </w:t>
      </w:r>
      <w:r>
        <w:rPr>
          <w:iCs/>
          <w:i/>
        </w:rPr>
        <w:t xml:space="preserve">(§17.7.1)</w:t>
      </w:r>
    </w:p>
    <w:p>
      <w:pPr>
        <w:pStyle w:val="BodyText"/>
      </w:pPr>
      <w:r>
        <w:rPr>
          <w:bCs/>
          <w:b/>
        </w:rPr>
        <w:t xml:space="preserve">Sliding window counter</w:t>
      </w:r>
      <w:r>
        <w:t xml:space="preserve"> </w:t>
      </w:r>
      <w:r>
        <w:t xml:space="preserve">— A limiter that keeps fixed-window counters for the current and previous windows and estimates the count over the last</w:t>
      </w:r>
      <w:r>
        <w:t xml:space="preserve"> </w:t>
      </w:r>
      <m:oMath>
        <m:r>
          <m:t>W</m:t>
        </m:r>
      </m:oMath>
      <w:r>
        <w:t xml:space="preserve"> </w:t>
      </w:r>
      <w:r>
        <w:t xml:space="preserve">seconds by weighting the previous window’s count by the fraction of it that still overlaps the sliding interval.</w:t>
      </w:r>
      <w:r>
        <w:t xml:space="preserve"> </w:t>
      </w:r>
      <w:r>
        <w:rPr>
          <w:iCs/>
          <w:i/>
        </w:rPr>
        <w:t xml:space="preserve">(§22.7.2)</w:t>
      </w:r>
    </w:p>
    <w:p>
      <w:pPr>
        <w:pStyle w:val="BodyText"/>
      </w:pPr>
      <w:r>
        <w:rPr>
          <w:bCs/>
          <w:b/>
        </w:rPr>
        <w:t xml:space="preserve">Sliding window log</w:t>
      </w:r>
      <w:r>
        <w:t xml:space="preserve"> </w:t>
      </w:r>
      <w:r>
        <w:t xml:space="preserve">— A limiter that stores the timestamp of every admitted request per key and admits a new request only if fewer than</w:t>
      </w:r>
      <w:r>
        <w:t xml:space="preserve"> </w:t>
      </w:r>
      <m:oMath>
        <m:r>
          <m:t>L</m:t>
        </m:r>
      </m:oMath>
      <w:r>
        <w:t xml:space="preserve"> </w:t>
      </w:r>
      <w:r>
        <w:t xml:space="preserve">timestamps fall in the interval</w:t>
      </w:r>
      <w:r>
        <w:t xml:space="preserve"> </w:t>
      </w:r>
      <m:oMath>
        <m:r>
          <m:rPr>
            <m:sty m:val="p"/>
          </m:rPr>
          <m:t>(</m:t>
        </m:r>
        <m:r>
          <m:t>t</m:t>
        </m:r>
        <m:r>
          <m:rPr>
            <m:sty m:val="p"/>
          </m:rPr>
          <m:t>−</m:t>
        </m:r>
        <m:r>
          <m:t>W</m:t>
        </m:r>
        <m:r>
          <m:rPr>
            <m:sty m:val="p"/>
          </m:rPr>
          <m:t>,</m:t>
        </m:r>
        <m:r>
          <m:t>t</m:t>
        </m:r>
        <m:r>
          <m:rPr>
            <m:sty m:val="p"/>
          </m:rPr>
          <m:t>]</m:t>
        </m:r>
      </m:oMath>
      <w:r>
        <w:t xml:space="preserve">.</w:t>
      </w:r>
      <w:r>
        <w:t xml:space="preserve"> </w:t>
      </w:r>
      <w:r>
        <w:rPr>
          <w:iCs/>
          <w:i/>
        </w:rPr>
        <w:t xml:space="preserve">(§22.7.1)</w:t>
      </w:r>
    </w:p>
    <w:p>
      <w:pPr>
        <w:pStyle w:val="BodyText"/>
      </w:pPr>
      <w:r>
        <w:rPr>
          <w:bCs/>
          <w:b/>
        </w:rPr>
        <w:t xml:space="preserve">Sloppy quorum and hinted handoff</w:t>
      </w:r>
      <w:r>
        <w:t xml:space="preserve"> </w:t>
      </w:r>
      <w:r>
        <w:t xml:space="preserve">— In a</w:t>
      </w:r>
      <w:r>
        <w:t xml:space="preserve"> </w:t>
      </w:r>
      <w:r>
        <w:rPr>
          <w:bCs/>
          <w:b/>
        </w:rPr>
        <w:t xml:space="preserve">sloppy quorum</w:t>
      </w:r>
      <w:r>
        <w:t xml:space="preserve">, a write that cannot reach</w:t>
      </w:r>
      <w:r>
        <w:t xml:space="preserve"> </w:t>
      </w:r>
      <m:oMath>
        <m:r>
          <m:t>W</m:t>
        </m:r>
      </m:oMath>
      <w:r>
        <w:t xml:space="preserve"> </w:t>
      </w:r>
      <w:r>
        <w:t xml:space="preserve">of a key’s</w:t>
      </w:r>
      <w:r>
        <w:t xml:space="preserve"> </w:t>
      </w:r>
      <m:oMath>
        <m:r>
          <m:t>N</m:t>
        </m:r>
      </m:oMath>
      <w:r>
        <w:t xml:space="preserve"> </w:t>
      </w:r>
      <w:r>
        <w:t xml:space="preserve">home replicas is accepted by the next healthy nodes on the ring instead, and still counts toward</w:t>
      </w:r>
      <w:r>
        <w:t xml:space="preserve"> </w:t>
      </w:r>
      <m:oMath>
        <m:r>
          <m:t>W</m:t>
        </m:r>
      </m:oMath>
      <w:r>
        <w:t xml:space="preserve">. Each stand-in stores the write with a</w:t>
      </w:r>
      <w:r>
        <w:t xml:space="preserve"> </w:t>
      </w:r>
      <w:r>
        <w:rPr>
          <w:bCs/>
          <w:b/>
        </w:rPr>
        <w:t xml:space="preserve">hint</w:t>
      </w:r>
      <w:r>
        <w:t xml:space="preserve"> </w:t>
      </w:r>
      <w:r>
        <w:t xml:space="preserve">naming the intended home replica and</w:t>
      </w:r>
      <w:r>
        <w:t xml:space="preserve"> </w:t>
      </w:r>
      <w:r>
        <w:rPr>
          <w:bCs/>
          <w:b/>
        </w:rPr>
        <w:t xml:space="preserve">hands it off</w:t>
      </w:r>
      <w:r>
        <w:t xml:space="preserve"> </w:t>
      </w:r>
      <w:r>
        <w:t xml:space="preserve">when that replica recovers [DeCandia et al. 2007].</w:t>
      </w:r>
      <w:r>
        <w:t xml:space="preserve"> </w:t>
      </w:r>
      <w:r>
        <w:rPr>
          <w:iCs/>
          <w:i/>
        </w:rPr>
        <w:t xml:space="preserve">(§27.9.1)</w:t>
      </w:r>
    </w:p>
    <w:p>
      <w:pPr>
        <w:pStyle w:val="BodyText"/>
      </w:pPr>
      <w:r>
        <w:rPr>
          <w:bCs/>
          <w:b/>
        </w:rPr>
        <w:t xml:space="preserve">Slotted page</w:t>
      </w:r>
      <w:r>
        <w:t xml:space="preserve"> </w:t>
      </w:r>
      <w:r>
        <w:t xml:space="preserve">— A page layout in which a</w:t>
      </w:r>
      <w:r>
        <w:t xml:space="preserve"> </w:t>
      </w:r>
      <w:r>
        <w:rPr>
          <w:bCs/>
          <w:b/>
        </w:rPr>
        <w:t xml:space="preserve">header</w:t>
      </w:r>
      <w:r>
        <w:t xml:space="preserve"> </w:t>
      </w:r>
      <w:r>
        <w:t xml:space="preserve">is followed by an array of</w:t>
      </w:r>
      <w:r>
        <w:t xml:space="preserve"> </w:t>
      </w:r>
      <w:r>
        <w:rPr>
          <w:bCs/>
          <w:b/>
        </w:rPr>
        <w:t xml:space="preserve">slots</w:t>
      </w:r>
      <w:r>
        <w:t xml:space="preserve"> </w:t>
      </w:r>
      <w:r>
        <w:t xml:space="preserve">(also called line pointers or item IDs) that grows from the front, while variable-length</w:t>
      </w:r>
      <w:r>
        <w:t xml:space="preserve"> </w:t>
      </w:r>
      <w:r>
        <w:rPr>
          <w:bCs/>
          <w:b/>
        </w:rPr>
        <w:t xml:space="preserve">records</w:t>
      </w:r>
      <w:r>
        <w:t xml:space="preserve"> </w:t>
      </w:r>
      <w:r>
        <w:t xml:space="preserve">(tuples) are packed from the back. Each slot stores the offset and length of one record; free space sits in the middle.</w:t>
      </w:r>
      <w:r>
        <w:t xml:space="preserve"> </w:t>
      </w:r>
      <w:r>
        <w:rPr>
          <w:iCs/>
          <w:i/>
        </w:rPr>
        <w:t xml:space="preserve">(§13.3.2)</w:t>
      </w:r>
    </w:p>
    <w:p>
      <w:pPr>
        <w:pStyle w:val="BodyText"/>
      </w:pPr>
      <w:r>
        <w:rPr>
          <w:bCs/>
          <w:b/>
        </w:rPr>
        <w:t xml:space="preserve">Software architecture</w:t>
      </w:r>
      <w:r>
        <w:t xml:space="preserve"> </w:t>
      </w:r>
      <w:r>
        <w:t xml:space="preserve">—</w:t>
      </w:r>
      <w:r>
        <w:t xml:space="preserve"> </w:t>
      </w:r>
      <w:r>
        <w:t xml:space="preserve">“</w:t>
      </w:r>
      <w:r>
        <w:t xml:space="preserve">The set of structures needed to reason about the system, which comprise software elements, relations among them, and properties of both</w:t>
      </w:r>
      <w:r>
        <w:t xml:space="preserve">”</w:t>
      </w:r>
      <w:r>
        <w:t xml:space="preserve"> </w:t>
      </w:r>
      <w:r>
        <w:t xml:space="preserve">[Bass et al. 2021]. The international standard for architecture description defines it as the fundamental concepts or properties of a system in its environment, embodied in its elements, relationships, and in the principles of its design and evolution [ISO/IEC/IEEE 42010].</w:t>
      </w:r>
      <w:r>
        <w:t xml:space="preserve"> </w:t>
      </w:r>
      <w:r>
        <w:rPr>
          <w:iCs/>
          <w:i/>
        </w:rPr>
        <w:t xml:space="preserve">(§1.4.1)</w:t>
      </w:r>
    </w:p>
    <w:p>
      <w:pPr>
        <w:pStyle w:val="BodyText"/>
      </w:pPr>
      <w:r>
        <w:rPr>
          <w:bCs/>
          <w:b/>
        </w:rPr>
        <w:t xml:space="preserve">Solid-state drive (SSD)</w:t>
      </w:r>
      <w:r>
        <w:t xml:space="preserve"> </w:t>
      </w:r>
      <w:r>
        <w:t xml:space="preserve">— A storage device with no moving parts that stores data in</w:t>
      </w:r>
      <w:r>
        <w:t xml:space="preserve"> </w:t>
      </w:r>
      <w:r>
        <w:rPr>
          <w:bCs/>
          <w:b/>
        </w:rPr>
        <w:t xml:space="preserve">NAND flash</w:t>
      </w:r>
      <w:r>
        <w:t xml:space="preserve"> </w:t>
      </w:r>
      <w:r>
        <w:t xml:space="preserve">memory cells, managed by an on-board controller running a</w:t>
      </w:r>
      <w:r>
        <w:t xml:space="preserve"> </w:t>
      </w:r>
      <w:r>
        <w:rPr>
          <w:bCs/>
          <w:b/>
        </w:rPr>
        <w:t xml:space="preserve">flash translation layer</w:t>
      </w:r>
      <w:r>
        <w:t xml:space="preserve"> </w:t>
      </w:r>
      <w:r>
        <w:t xml:space="preserve">(FTL).</w:t>
      </w:r>
      <w:r>
        <w:t xml:space="preserve"> </w:t>
      </w:r>
      <w:r>
        <w:rPr>
          <w:iCs/>
          <w:i/>
        </w:rPr>
        <w:t xml:space="preserve">(§5.6.2)</w:t>
      </w:r>
    </w:p>
    <w:p>
      <w:pPr>
        <w:pStyle w:val="BodyText"/>
      </w:pPr>
      <w:r>
        <w:rPr>
          <w:bCs/>
          <w:b/>
        </w:rPr>
        <w:t xml:space="preserve">Spaced repetition</w:t>
      </w:r>
      <w:r>
        <w:t xml:space="preserve"> </w:t>
      </w:r>
      <w:r>
        <w:t xml:space="preserve">— Reviewing material at increasing intervals, so that each review happens around the time you would otherwise begin to forget it. The underlying finding, that spacing study sessions apart beats massing them together, is the</w:t>
      </w:r>
      <w:r>
        <w:t xml:space="preserve"> </w:t>
      </w:r>
      <w:r>
        <w:rPr>
          <w:bCs/>
          <w:b/>
        </w:rPr>
        <w:t xml:space="preserve">spacing effect</w:t>
      </w:r>
      <w:r>
        <w:t xml:space="preserve">.</w:t>
      </w:r>
      <w:r>
        <w:t xml:space="preserve"> </w:t>
      </w:r>
      <w:r>
        <w:rPr>
          <w:iCs/>
          <w:i/>
        </w:rPr>
        <w:t xml:space="preserve">(§3.4.3)</w:t>
      </w:r>
    </w:p>
    <w:p>
      <w:pPr>
        <w:pStyle w:val="BodyText"/>
      </w:pPr>
      <w:r>
        <w:rPr>
          <w:bCs/>
          <w:b/>
        </w:rPr>
        <w:t xml:space="preserve">Speedup</w:t>
      </w:r>
      <w:r>
        <w:t xml:space="preserve"> </w:t>
      </w:r>
      <w:r>
        <w:t xml:space="preserve">— The ratio of the time a job takes on one processor (or node) to the time it takes on</w:t>
      </w:r>
      <w:r>
        <w:t xml:space="preserve"> </w:t>
      </w:r>
      <m:oMath>
        <m:r>
          <m:t>N</m:t>
        </m:r>
      </m:oMath>
      <w:r>
        <w:t xml:space="preserve">:</w:t>
      </w:r>
      <w:r>
        <w:t xml:space="preserve"> </w:t>
      </w:r>
      <m:oMath>
        <m:r>
          <m:t>S</m:t>
        </m:r>
        <m:d>
          <m:dPr>
            <m:begChr m:val="("/>
            <m:endChr m:val=")"/>
            <m:sepChr m:val=""/>
            <m:grow/>
          </m:dPr>
          <m:e>
            <m:r>
              <m:t>N</m:t>
            </m:r>
          </m:e>
        </m:d>
        <m:r>
          <m:rPr>
            <m:sty m:val="p"/>
          </m:rPr>
          <m:t>=</m:t>
        </m:r>
        <m:r>
          <m:t>T</m:t>
        </m:r>
        <m:d>
          <m:dPr>
            <m:begChr m:val="("/>
            <m:endChr m:val=")"/>
            <m:sepChr m:val=""/>
            <m:grow/>
          </m:dPr>
          <m:e>
            <m:r>
              <m:t>1</m:t>
            </m:r>
          </m:e>
        </m:d>
        <m:r>
          <m:rPr>
            <m:sty m:val="p"/>
          </m:rPr>
          <m:t>/</m:t>
        </m:r>
        <m:r>
          <m:t>T</m:t>
        </m:r>
        <m:d>
          <m:dPr>
            <m:begChr m:val="("/>
            <m:endChr m:val=")"/>
            <m:sepChr m:val=""/>
            <m:grow/>
          </m:dPr>
          <m:e>
            <m:r>
              <m:t>N</m:t>
            </m:r>
          </m:e>
        </m:d>
      </m:oMath>
      <w:r>
        <w:t xml:space="preserve">. Perfect,</w:t>
      </w:r>
      <w:r>
        <w:t xml:space="preserve"> </w:t>
      </w:r>
      <w:r>
        <w:rPr>
          <w:bCs/>
          <w:b/>
        </w:rPr>
        <w:t xml:space="preserve">linear</w:t>
      </w:r>
      <w:r>
        <w:t xml:space="preserve"> </w:t>
      </w:r>
      <w:r>
        <w:t xml:space="preserve">speedup is</w:t>
      </w:r>
      <w:r>
        <w:t xml:space="preserve"> </w:t>
      </w:r>
      <m:oMath>
        <m:r>
          <m:t>S</m:t>
        </m:r>
        <m:d>
          <m:dPr>
            <m:begChr m:val="("/>
            <m:endChr m:val=")"/>
            <m:sepChr m:val=""/>
            <m:grow/>
          </m:dPr>
          <m:e>
            <m:r>
              <m:t>N</m:t>
            </m:r>
          </m:e>
        </m:d>
        <m:r>
          <m:rPr>
            <m:sty m:val="p"/>
          </m:rPr>
          <m:t>=</m:t>
        </m:r>
        <m:r>
          <m:t>N</m:t>
        </m:r>
      </m:oMath>
      <w:r>
        <w:t xml:space="preserve">.</w:t>
      </w:r>
      <w:r>
        <w:t xml:space="preserve"> </w:t>
      </w:r>
      <w:r>
        <w:rPr>
          <w:iCs/>
          <w:i/>
        </w:rPr>
        <w:t xml:space="preserve">(§4.12.1)</w:t>
      </w:r>
    </w:p>
    <w:p>
      <w:pPr>
        <w:pStyle w:val="BodyText"/>
      </w:pPr>
      <w:r>
        <w:rPr>
          <w:bCs/>
          <w:b/>
        </w:rPr>
        <w:t xml:space="preserve">Split brain</w:t>
      </w:r>
      <w:r>
        <w:t xml:space="preserve"> </w:t>
      </w:r>
      <w:r>
        <w:t xml:space="preserve">— A failure in which two or more parts of a cluster each believe they are the authoritative primary (or leader) and accept conflicting writes, so the system’s state diverges.</w:t>
      </w:r>
      <w:r>
        <w:t xml:space="preserve"> </w:t>
      </w:r>
      <w:r>
        <w:rPr>
          <w:iCs/>
          <w:i/>
        </w:rPr>
        <w:t xml:space="preserve">(§26.12.1)</w:t>
      </w:r>
    </w:p>
    <w:p>
      <w:pPr>
        <w:pStyle w:val="BodyText"/>
      </w:pPr>
      <w:r>
        <w:rPr>
          <w:bCs/>
          <w:b/>
        </w:rPr>
        <w:t xml:space="preserve">SQL</w:t>
      </w:r>
      <w:r>
        <w:t xml:space="preserve"> </w:t>
      </w:r>
      <w:r>
        <w:t xml:space="preserve">— The Structured Query Language, standardized by ANSI/ISO, with sublanguages for defining schema (DDL:</w:t>
      </w:r>
      <w:r>
        <w:t xml:space="preserve"> </w:t>
      </w:r>
      <w:r>
        <w:rPr>
          <w:rStyle w:val="VerbatimChar"/>
        </w:rPr>
        <w:t xml:space="preserve">CREATE</w:t>
      </w:r>
      <w:r>
        <w:t xml:space="preserve">,</w:t>
      </w:r>
      <w:r>
        <w:t xml:space="preserve"> </w:t>
      </w:r>
      <w:r>
        <w:rPr>
          <w:rStyle w:val="VerbatimChar"/>
        </w:rPr>
        <w:t xml:space="preserve">ALTER</w:t>
      </w:r>
      <w:r>
        <w:t xml:space="preserve">,</w:t>
      </w:r>
      <w:r>
        <w:t xml:space="preserve"> </w:t>
      </w:r>
      <w:r>
        <w:rPr>
          <w:rStyle w:val="VerbatimChar"/>
        </w:rPr>
        <w:t xml:space="preserve">DROP</w:t>
      </w:r>
      <w:r>
        <w:t xml:space="preserve">), manipulating data (DML:</w:t>
      </w:r>
      <w:r>
        <w:t xml:space="preserve"> </w:t>
      </w:r>
      <w:r>
        <w:rPr>
          <w:rStyle w:val="VerbatimChar"/>
        </w:rPr>
        <w:t xml:space="preserve">SELECT</w:t>
      </w:r>
      <w:r>
        <w:t xml:space="preserve">,</w:t>
      </w:r>
      <w:r>
        <w:t xml:space="preserve"> </w:t>
      </w:r>
      <w:r>
        <w:rPr>
          <w:rStyle w:val="VerbatimChar"/>
        </w:rPr>
        <w:t xml:space="preserve">INSERT</w:t>
      </w:r>
      <w:r>
        <w:t xml:space="preserve">,</w:t>
      </w:r>
      <w:r>
        <w:t xml:space="preserve"> </w:t>
      </w:r>
      <w:r>
        <w:rPr>
          <w:rStyle w:val="VerbatimChar"/>
        </w:rPr>
        <w:t xml:space="preserve">UPDATE</w:t>
      </w:r>
      <w:r>
        <w:t xml:space="preserve">,</w:t>
      </w:r>
      <w:r>
        <w:t xml:space="preserve"> </w:t>
      </w:r>
      <w:r>
        <w:rPr>
          <w:rStyle w:val="VerbatimChar"/>
        </w:rPr>
        <w:t xml:space="preserve">DELETE</w:t>
      </w:r>
      <w:r>
        <w:t xml:space="preserve">) and controlling transactions (</w:t>
      </w:r>
      <w:r>
        <w:rPr>
          <w:rStyle w:val="VerbatimChar"/>
        </w:rPr>
        <w:t xml:space="preserve">BEGIN</w:t>
      </w:r>
      <w:r>
        <w:t xml:space="preserve">,</w:t>
      </w:r>
      <w:r>
        <w:t xml:space="preserve"> </w:t>
      </w:r>
      <w:r>
        <w:rPr>
          <w:rStyle w:val="VerbatimChar"/>
        </w:rPr>
        <w:t xml:space="preserve">COMMIT</w:t>
      </w:r>
      <w:r>
        <w:t xml:space="preserve">,</w:t>
      </w:r>
      <w:r>
        <w:t xml:space="preserve"> </w:t>
      </w:r>
      <w:r>
        <w:rPr>
          <w:rStyle w:val="VerbatimChar"/>
        </w:rPr>
        <w:t xml:space="preserve">ROLLBACK</w:t>
      </w:r>
      <w:r>
        <w:t xml:space="preserve">). Every major database implements the core standard plus its own dialect.</w:t>
      </w:r>
      <w:r>
        <w:t xml:space="preserve"> </w:t>
      </w:r>
      <w:r>
        <w:rPr>
          <w:iCs/>
          <w:i/>
        </w:rPr>
        <w:t xml:space="preserve">(§11.6.1)</w:t>
      </w:r>
    </w:p>
    <w:p>
      <w:pPr>
        <w:pStyle w:val="BodyText"/>
      </w:pPr>
      <w:r>
        <w:rPr>
          <w:bCs/>
          <w:b/>
        </w:rPr>
        <w:t xml:space="preserve">Stateful service</w:t>
      </w:r>
      <w:r>
        <w:t xml:space="preserve"> </w:t>
      </w:r>
      <w:r>
        <w:t xml:space="preserve">— A service whose instances hold data that must survive between requests and that clients or other instances depend on: a database, a cache node, a WebSocket server holding live connections, or an application server keeping sessions in memory.</w:t>
      </w:r>
      <w:r>
        <w:t xml:space="preserve"> </w:t>
      </w:r>
      <w:r>
        <w:rPr>
          <w:iCs/>
          <w:i/>
        </w:rPr>
        <w:t xml:space="preserve">(§18.5.1)</w:t>
      </w:r>
    </w:p>
    <w:p>
      <w:pPr>
        <w:pStyle w:val="BodyText"/>
      </w:pPr>
      <w:r>
        <w:rPr>
          <w:bCs/>
          <w:b/>
        </w:rPr>
        <w:t xml:space="preserve">Stateless service</w:t>
      </w:r>
      <w:r>
        <w:t xml:space="preserve"> </w:t>
      </w:r>
      <w:r>
        <w:t xml:space="preserve">— A service that keeps no client-specific data in its own memory between requests. Every request carries, or lets the service look up from a shared store, everything needed to process it.</w:t>
      </w:r>
      <w:r>
        <w:t xml:space="preserve"> </w:t>
      </w:r>
      <w:r>
        <w:rPr>
          <w:iCs/>
          <w:i/>
        </w:rPr>
        <w:t xml:space="preserve">(§8.3.2)</w:t>
      </w:r>
    </w:p>
    <w:p>
      <w:pPr>
        <w:pStyle w:val="BodyText"/>
      </w:pPr>
      <w:r>
        <w:rPr>
          <w:bCs/>
          <w:b/>
        </w:rPr>
        <w:t xml:space="preserve">Static site generation (SSG)</w:t>
      </w:r>
      <w:r>
        <w:t xml:space="preserve"> </w:t>
      </w:r>
      <w:r>
        <w:t xml:space="preserve">— HTML is produced at build time and served as static files, usually from a CDN (Chapter 21). Pages that change per user cannot be fully static.</w:t>
      </w:r>
      <w:r>
        <w:t xml:space="preserve"> </w:t>
      </w:r>
      <w:r>
        <w:rPr>
          <w:iCs/>
          <w:i/>
        </w:rPr>
        <w:t xml:space="preserve">(§8.4.2)</w:t>
      </w:r>
    </w:p>
    <w:p>
      <w:pPr>
        <w:pStyle w:val="BodyText"/>
      </w:pPr>
      <w:r>
        <w:rPr>
          <w:bCs/>
          <w:b/>
        </w:rPr>
        <w:t xml:space="preserve">Storage tier and lifecycle policy</w:t>
      </w:r>
      <w:r>
        <w:t xml:space="preserve"> </w:t>
      </w:r>
      <w:r>
        <w:t xml:space="preserve">— A</w:t>
      </w:r>
      <w:r>
        <w:t xml:space="preserve"> </w:t>
      </w:r>
      <w:r>
        <w:rPr>
          <w:bCs/>
          <w:b/>
        </w:rPr>
        <w:t xml:space="preserve">storage tier</w:t>
      </w:r>
      <w:r>
        <w:t xml:space="preserve"> </w:t>
      </w:r>
      <w:r>
        <w:t xml:space="preserve">(storage class) is a price/performance point for the same data:</w:t>
      </w:r>
      <w:r>
        <w:t xml:space="preserve"> </w:t>
      </w:r>
      <w:r>
        <w:rPr>
          <w:bCs/>
          <w:b/>
        </w:rPr>
        <w:t xml:space="preserve">hot</w:t>
      </w:r>
      <w:r>
        <w:t xml:space="preserve"> </w:t>
      </w:r>
      <w:r>
        <w:t xml:space="preserve">(frequent access, highest storage price, no retrieval fee),</w:t>
      </w:r>
      <w:r>
        <w:t xml:space="preserve"> </w:t>
      </w:r>
      <w:r>
        <w:rPr>
          <w:bCs/>
          <w:b/>
        </w:rPr>
        <w:t xml:space="preserve">warm</w:t>
      </w:r>
      <w:r>
        <w:t xml:space="preserve"> </w:t>
      </w:r>
      <w:r>
        <w:t xml:space="preserve">or infrequent access (cheaper storage, per-GB retrieval fee, minimum storage duration),</w:t>
      </w:r>
      <w:r>
        <w:t xml:space="preserve"> </w:t>
      </w:r>
      <w:r>
        <w:rPr>
          <w:bCs/>
          <w:b/>
        </w:rPr>
        <w:t xml:space="preserve">cold</w:t>
      </w:r>
      <w:r>
        <w:t xml:space="preserve"> </w:t>
      </w:r>
      <w:r>
        <w:t xml:space="preserve">(cheaper again, slower or costlier retrieval) and</w:t>
      </w:r>
      <w:r>
        <w:t xml:space="preserve"> </w:t>
      </w:r>
      <w:r>
        <w:rPr>
          <w:bCs/>
          <w:b/>
        </w:rPr>
        <w:t xml:space="preserve">archive</w:t>
      </w:r>
      <w:r>
        <w:t xml:space="preserve"> </w:t>
      </w:r>
      <w:r>
        <w:t xml:space="preserve">(cheapest storage, retrieval in hours). A</w:t>
      </w:r>
      <w:r>
        <w:t xml:space="preserve"> </w:t>
      </w:r>
      <w:r>
        <w:rPr>
          <w:bCs/>
          <w:b/>
        </w:rPr>
        <w:t xml:space="preserve">lifecycle policy</w:t>
      </w:r>
      <w:r>
        <w:t xml:space="preserve"> </w:t>
      </w:r>
      <w:r>
        <w:t xml:space="preserve">is a set of rules, usually by prefix, tag or age, that automatically transitions objects between tiers and expires (deletes) them.</w:t>
      </w:r>
      <w:r>
        <w:t xml:space="preserve"> </w:t>
      </w:r>
      <w:r>
        <w:rPr>
          <w:iCs/>
          <w:i/>
        </w:rPr>
        <w:t xml:space="preserve">(§15.9)</w:t>
      </w:r>
    </w:p>
    <w:p>
      <w:pPr>
        <w:pStyle w:val="BodyText"/>
      </w:pPr>
      <w:r>
        <w:rPr>
          <w:bCs/>
          <w:b/>
        </w:rPr>
        <w:t xml:space="preserve">Stream processing, event time and processing time</w:t>
      </w:r>
      <w:r>
        <w:t xml:space="preserve"> </w:t>
      </w:r>
      <w:r>
        <w:t xml:space="preserve">—</w:t>
      </w:r>
      <w:r>
        <w:t xml:space="preserve"> </w:t>
      </w:r>
      <w:r>
        <w:rPr>
          <w:bCs/>
          <w:b/>
        </w:rPr>
        <w:t xml:space="preserve">Stream processing</w:t>
      </w:r>
      <w:r>
        <w:t xml:space="preserve"> </w:t>
      </w:r>
      <w:r>
        <w:t xml:space="preserve">runs a long-lived computation over an</w:t>
      </w:r>
      <w:r>
        <w:t xml:space="preserve"> </w:t>
      </w:r>
      <w:r>
        <w:rPr>
          <w:bCs/>
          <w:b/>
        </w:rPr>
        <w:t xml:space="preserve">unbounded</w:t>
      </w:r>
      <w:r>
        <w:t xml:space="preserve"> </w:t>
      </w:r>
      <w:r>
        <w:t xml:space="preserve">dataset, one that grows forever, producing results incrementally. Each record has an</w:t>
      </w:r>
      <w:r>
        <w:t xml:space="preserve"> </w:t>
      </w:r>
      <w:r>
        <w:rPr>
          <w:bCs/>
          <w:b/>
        </w:rPr>
        <w:t xml:space="preserve">event time</w:t>
      </w:r>
      <w:r>
        <w:t xml:space="preserve">, when the event actually happened (stamped by the device or service that produced it), and a</w:t>
      </w:r>
      <w:r>
        <w:t xml:space="preserve"> </w:t>
      </w:r>
      <w:r>
        <w:rPr>
          <w:bCs/>
          <w:b/>
        </w:rPr>
        <w:t xml:space="preserve">processing time</w:t>
      </w:r>
      <w:r>
        <w:t xml:space="preserve">, when the system observes it. The difference is the record’s</w:t>
      </w:r>
      <w:r>
        <w:t xml:space="preserve"> </w:t>
      </w:r>
      <w:r>
        <w:rPr>
          <w:bCs/>
          <w:b/>
        </w:rPr>
        <w:t xml:space="preserve">event-time skew</w:t>
      </w:r>
      <w:r>
        <w:t xml:space="preserve">, which is variable and unbounded in the worst case.</w:t>
      </w:r>
      <w:r>
        <w:t xml:space="preserve"> </w:t>
      </w:r>
      <w:r>
        <w:rPr>
          <w:iCs/>
          <w:i/>
        </w:rPr>
        <w:t xml:space="preserve">(§29.8.1)</w:t>
      </w:r>
    </w:p>
    <w:p>
      <w:pPr>
        <w:pStyle w:val="BodyText"/>
      </w:pPr>
      <w:r>
        <w:rPr>
          <w:bCs/>
          <w:b/>
        </w:rPr>
        <w:t xml:space="preserve">STRIDE</w:t>
      </w:r>
      <w:r>
        <w:t xml:space="preserve"> </w:t>
      </w:r>
      <w:r>
        <w:t xml:space="preserve">— A mnemonic for six threat categories, developed at Microsoft in 1999 by Loren Kohnfelder and Praerit Garg and popularized by Shostack [Shostack 2014]:</w:t>
      </w:r>
      <w:r>
        <w:t xml:space="preserve"> </w:t>
      </w:r>
      <w:r>
        <w:rPr>
          <w:bCs/>
          <w:b/>
        </w:rPr>
        <w:t xml:space="preserve">S</w:t>
      </w:r>
      <w:r>
        <w:t xml:space="preserve">poofing,</w:t>
      </w:r>
      <w:r>
        <w:t xml:space="preserve"> </w:t>
      </w:r>
      <w:r>
        <w:rPr>
          <w:bCs/>
          <w:b/>
        </w:rPr>
        <w:t xml:space="preserve">T</w:t>
      </w:r>
      <w:r>
        <w:t xml:space="preserve">ampering,</w:t>
      </w:r>
      <w:r>
        <w:t xml:space="preserve"> </w:t>
      </w:r>
      <w:r>
        <w:rPr>
          <w:bCs/>
          <w:b/>
        </w:rPr>
        <w:t xml:space="preserve">R</w:t>
      </w:r>
      <w:r>
        <w:t xml:space="preserve">epudiation,</w:t>
      </w:r>
      <w:r>
        <w:t xml:space="preserve"> </w:t>
      </w:r>
      <w:r>
        <w:rPr>
          <w:bCs/>
          <w:b/>
        </w:rPr>
        <w:t xml:space="preserve">I</w:t>
      </w:r>
      <w:r>
        <w:t xml:space="preserve">nformation disclosure,</w:t>
      </w:r>
      <w:r>
        <w:t xml:space="preserve"> </w:t>
      </w:r>
      <w:r>
        <w:rPr>
          <w:bCs/>
          <w:b/>
        </w:rPr>
        <w:t xml:space="preserve">D</w:t>
      </w:r>
      <w:r>
        <w:t xml:space="preserve">enial of service and</w:t>
      </w:r>
      <w:r>
        <w:t xml:space="preserve"> </w:t>
      </w:r>
      <w:r>
        <w:rPr>
          <w:bCs/>
          <w:b/>
        </w:rPr>
        <w:t xml:space="preserve">E</w:t>
      </w:r>
      <w:r>
        <w:t xml:space="preserve">levation of privilege. Each category is the violation of one security property.</w:t>
      </w:r>
      <w:r>
        <w:t xml:space="preserve"> </w:t>
      </w:r>
      <w:r>
        <w:rPr>
          <w:iCs/>
          <w:i/>
        </w:rPr>
        <w:t xml:space="preserve">(§10.3.4)</w:t>
      </w:r>
    </w:p>
    <w:p>
      <w:pPr>
        <w:pStyle w:val="BodyText"/>
      </w:pPr>
      <w:r>
        <w:rPr>
          <w:bCs/>
          <w:b/>
        </w:rPr>
        <w:t xml:space="preserve">Superscalar execution</w:t>
      </w:r>
      <w:r>
        <w:t xml:space="preserve"> </w:t>
      </w:r>
      <w:r>
        <w:t xml:space="preserve">— A core that can issue and complete more than one instruction per cycle by having several execution units working in parallel.</w:t>
      </w:r>
      <w:r>
        <w:t xml:space="preserve"> </w:t>
      </w:r>
      <w:r>
        <w:rPr>
          <w:iCs/>
          <w:i/>
        </w:rPr>
        <w:t xml:space="preserve">(§5.3.5)</w:t>
      </w:r>
    </w:p>
    <w:p>
      <w:pPr>
        <w:pStyle w:val="BodyText"/>
      </w:pPr>
      <w:r>
        <w:rPr>
          <w:bCs/>
          <w:b/>
        </w:rPr>
        <w:t xml:space="preserve">Symmetric encryption</w:t>
      </w:r>
      <w:r>
        <w:t xml:space="preserve"> </w:t>
      </w:r>
      <w:r>
        <w:t xml:space="preserve">— Encryption in which the same secret key is used to encrypt and decrypt. A</w:t>
      </w:r>
      <w:r>
        <w:t xml:space="preserve"> </w:t>
      </w:r>
      <w:r>
        <w:rPr>
          <w:bCs/>
          <w:b/>
        </w:rPr>
        <w:t xml:space="preserve">block cipher</w:t>
      </w:r>
      <w:r>
        <w:t xml:space="preserve"> </w:t>
      </w:r>
      <w:r>
        <w:t xml:space="preserve">such as AES (Advanced Encryption Standard) encrypts fixed 128-bit blocks under a 128-, 192- or 256-bit key; a</w:t>
      </w:r>
      <w:r>
        <w:t xml:space="preserve"> </w:t>
      </w:r>
      <w:r>
        <w:rPr>
          <w:bCs/>
          <w:b/>
        </w:rPr>
        <w:t xml:space="preserve">mode of operation</w:t>
      </w:r>
      <w:r>
        <w:t xml:space="preserve"> </w:t>
      </w:r>
      <w:r>
        <w:t xml:space="preserve">turns the block cipher into a scheme for messages of any length.</w:t>
      </w:r>
      <w:r>
        <w:t xml:space="preserve"> </w:t>
      </w:r>
      <w:r>
        <w:rPr>
          <w:iCs/>
          <w:i/>
        </w:rPr>
        <w:t xml:space="preserve">(§10.4.2)</w:t>
      </w:r>
    </w:p>
    <w:p>
      <w:pPr>
        <w:pStyle w:val="BodyText"/>
      </w:pPr>
      <w:r>
        <w:rPr>
          <w:bCs/>
          <w:b/>
        </w:rPr>
        <w:t xml:space="preserve">System</w:t>
      </w:r>
      <w:r>
        <w:t xml:space="preserve"> </w:t>
      </w:r>
      <w:r>
        <w:t xml:space="preserve">— A set of interacting</w:t>
      </w:r>
      <w:r>
        <w:t xml:space="preserve"> </w:t>
      </w:r>
      <w:r>
        <w:rPr>
          <w:bCs/>
          <w:b/>
        </w:rPr>
        <w:t xml:space="preserve">components</w:t>
      </w:r>
      <w:r>
        <w:t xml:space="preserve"> </w:t>
      </w:r>
      <w:r>
        <w:t xml:space="preserve">(programs, machines, data stores, networks and people) that together deliver a capability no single component delivers alone. Components interact only through</w:t>
      </w:r>
      <w:r>
        <w:t xml:space="preserve"> </w:t>
      </w:r>
      <w:r>
        <w:rPr>
          <w:bCs/>
          <w:b/>
        </w:rPr>
        <w:t xml:space="preserve">interfaces</w:t>
      </w:r>
      <w:r>
        <w:t xml:space="preserve">: agreed formats and protocols for exchanging requests, responses and data.</w:t>
      </w:r>
      <w:r>
        <w:t xml:space="preserve"> </w:t>
      </w:r>
      <w:r>
        <w:rPr>
          <w:iCs/>
          <w:i/>
        </w:rPr>
        <w:t xml:space="preserve">(§1.3.1)</w:t>
      </w:r>
    </w:p>
    <w:p>
      <w:pPr>
        <w:pStyle w:val="BodyText"/>
      </w:pPr>
      <w:r>
        <w:rPr>
          <w:bCs/>
          <w:b/>
        </w:rPr>
        <w:t xml:space="preserve">System boundary</w:t>
      </w:r>
      <w:r>
        <w:t xml:space="preserve"> </w:t>
      </w:r>
      <w:r>
        <w:t xml:space="preserve">— The line that separates what you are designing and are responsible for from everything outside it: users, other teams’ systems and third-party services. You control what is inside. You can only</w:t>
      </w:r>
      <w:r>
        <w:t xml:space="preserve"> </w:t>
      </w:r>
      <w:r>
        <w:rPr>
          <w:iCs/>
          <w:i/>
        </w:rPr>
        <w:t xml:space="preserve">depend on</w:t>
      </w:r>
      <w:r>
        <w:t xml:space="preserve"> </w:t>
      </w:r>
      <w:r>
        <w:t xml:space="preserve">what is outside.</w:t>
      </w:r>
      <w:r>
        <w:t xml:space="preserve"> </w:t>
      </w:r>
      <w:r>
        <w:rPr>
          <w:iCs/>
          <w:i/>
        </w:rPr>
        <w:t xml:space="preserve">(§2.4.1)</w:t>
      </w:r>
    </w:p>
    <w:p>
      <w:pPr>
        <w:pStyle w:val="BodyText"/>
      </w:pPr>
      <w:r>
        <w:rPr>
          <w:bCs/>
          <w:b/>
        </w:rPr>
        <w:t xml:space="preserve">System call (syscall)</w:t>
      </w:r>
      <w:r>
        <w:t xml:space="preserve"> </w:t>
      </w:r>
      <w:r>
        <w:t xml:space="preserve">— A controlled entry from user mode into the kernel to request a privileged service, such as reading a file, sending on a socket, allocating memory or creating a process. Linux x86-64 has a few hundred system calls, each identified by a number [Linux man-pages: syscalls(2)].</w:t>
      </w:r>
      <w:r>
        <w:t xml:space="preserve"> </w:t>
      </w:r>
      <w:r>
        <w:rPr>
          <w:iCs/>
          <w:i/>
        </w:rPr>
        <w:t xml:space="preserve">(§6.7)</w:t>
      </w:r>
    </w:p>
    <w:p>
      <w:pPr>
        <w:pStyle w:val="BodyText"/>
      </w:pPr>
      <w:r>
        <w:rPr>
          <w:bCs/>
          <w:b/>
        </w:rPr>
        <w:t xml:space="preserve">System design</w:t>
      </w:r>
      <w:r>
        <w:t xml:space="preserve"> </w:t>
      </w:r>
      <w:r>
        <w:t xml:space="preserve">— The process of deciding the components of a software system, their responsibilities, their interfaces, how data flows and is stored between them, and how they are deployed — so that the system meets its functional requirements</w:t>
      </w:r>
      <w:r>
        <w:t xml:space="preserve"> </w:t>
      </w:r>
      <w:r>
        <w:rPr>
          <w:iCs/>
          <w:i/>
        </w:rPr>
        <w:t xml:space="preserve">and</w:t>
      </w:r>
      <w:r>
        <w:t xml:space="preserve"> </w:t>
      </w:r>
      <w:r>
        <w:t xml:space="preserve">its non-functional requirements (performance, scalability, availability, durability, security, cost and others) under stated assumptions about load and failure. The output of the process is also called the</w:t>
      </w:r>
      <w:r>
        <w:t xml:space="preserve"> </w:t>
      </w:r>
      <w:r>
        <w:rPr>
          <w:iCs/>
          <w:i/>
        </w:rPr>
        <w:t xml:space="preserve">system design</w:t>
      </w:r>
      <w:r>
        <w:t xml:space="preserve">: a set of decisions, diagrams and documents.</w:t>
      </w:r>
      <w:r>
        <w:t xml:space="preserve"> </w:t>
      </w:r>
      <w:r>
        <w:rPr>
          <w:iCs/>
          <w:i/>
        </w:rPr>
        <w:t xml:space="preserve">(§1.3.2)</w:t>
      </w:r>
    </w:p>
    <w:p>
      <w:pPr>
        <w:pStyle w:val="BodyText"/>
      </w:pPr>
      <w:r>
        <w:rPr>
          <w:bCs/>
          <w:b/>
        </w:rPr>
        <w:t xml:space="preserve">System design interview</w:t>
      </w:r>
      <w:r>
        <w:t xml:space="preserve"> </w:t>
      </w:r>
      <w:r>
        <w:t xml:space="preserve">— A 45–60-minute interview in which a candidate designs a system from an open-ended prompt (for example,</w:t>
      </w:r>
      <w:r>
        <w:t xml:space="preserve"> </w:t>
      </w:r>
      <w:r>
        <w:t xml:space="preserve">“</w:t>
      </w:r>
      <w:r>
        <w:t xml:space="preserve">design a photo-sharing service</w:t>
      </w:r>
      <w:r>
        <w:t xml:space="preserve">”</w:t>
      </w:r>
      <w:r>
        <w:t xml:space="preserve">) in conversation with an interviewer, who evaluates the candidate’s process, technical judgment and communication rather than a single correct answer.</w:t>
      </w:r>
      <w:r>
        <w:t xml:space="preserve"> </w:t>
      </w:r>
      <w:r>
        <w:rPr>
          <w:iCs/>
          <w:i/>
        </w:rPr>
        <w:t xml:space="preserve">(§1.11.1)</w:t>
      </w:r>
    </w:p>
    <w:p>
      <w:pPr>
        <w:pStyle w:val="BodyText"/>
      </w:pPr>
      <w:r>
        <w:rPr>
          <w:bCs/>
          <w:b/>
        </w:rPr>
        <w:t xml:space="preserve">System model</w:t>
      </w:r>
      <w:r>
        <w:t xml:space="preserve"> </w:t>
      </w:r>
      <w:r>
        <w:t xml:space="preserve">— A precise statement of what a distributed algorithm may assume about (1)</w:t>
      </w:r>
      <w:r>
        <w:t xml:space="preserve"> </w:t>
      </w:r>
      <w:r>
        <w:rPr>
          <w:bCs/>
          <w:b/>
        </w:rPr>
        <w:t xml:space="preserve">timing</w:t>
      </w:r>
      <w:r>
        <w:t xml:space="preserve">: bounds on message delay, processing speed and clock drift, and (2)</w:t>
      </w:r>
      <w:r>
        <w:t xml:space="preserve"> </w:t>
      </w:r>
      <w:r>
        <w:rPr>
          <w:bCs/>
          <w:b/>
        </w:rPr>
        <w:t xml:space="preserve">faults</w:t>
      </w:r>
      <w:r>
        <w:t xml:space="preserve">: how nodes and links may misbehave. Proofs of correctness hold only within the stated model.</w:t>
      </w:r>
      <w:r>
        <w:t xml:space="preserve"> </w:t>
      </w:r>
      <w:r>
        <w:rPr>
          <w:iCs/>
          <w:i/>
        </w:rPr>
        <w:t xml:space="preserve">(§24.6.1)</w:t>
      </w:r>
    </w:p>
    <w:bookmarkEnd w:id="3370"/>
    <w:bookmarkStart w:id="3371" w:name="t"/>
    <w:p>
      <w:pPr>
        <w:pStyle w:val="Heading2"/>
      </w:pPr>
      <w:r>
        <w:t xml:space="preserve">T</w:t>
      </w:r>
    </w:p>
    <w:p>
      <w:pPr>
        <w:pStyle w:val="FirstParagraph"/>
      </w:pPr>
      <w:r>
        <w:rPr>
          <w:bCs/>
          <w:b/>
        </w:rPr>
        <w:t xml:space="preserve">TCP</w:t>
      </w:r>
      <w:r>
        <w:t xml:space="preserve"> </w:t>
      </w:r>
      <w:r>
        <w:t xml:space="preserve">— A connection-oriented transport protocol that provides a reliable, ordered, full-duplex</w:t>
      </w:r>
      <w:r>
        <w:t xml:space="preserve"> </w:t>
      </w:r>
      <w:r>
        <w:rPr>
          <w:bCs/>
          <w:b/>
        </w:rPr>
        <w:t xml:space="preserve">byte stream</w:t>
      </w:r>
      <w:r>
        <w:t xml:space="preserve"> </w:t>
      </w:r>
      <w:r>
        <w:t xml:space="preserve">between two endpoints identified by (IP address, port) pairs. It achieves reliability with sequence numbers, acknowledgments and retransmission; it protects a slow receiver with</w:t>
      </w:r>
      <w:r>
        <w:t xml:space="preserve"> </w:t>
      </w:r>
      <w:r>
        <w:rPr>
          <w:bCs/>
          <w:b/>
        </w:rPr>
        <w:t xml:space="preserve">flow control</w:t>
      </w:r>
      <w:r>
        <w:t xml:space="preserve">; and it protects the network with</w:t>
      </w:r>
      <w:r>
        <w:t xml:space="preserve"> </w:t>
      </w:r>
      <w:r>
        <w:rPr>
          <w:bCs/>
          <w:b/>
        </w:rPr>
        <w:t xml:space="preserve">congestion control</w:t>
      </w:r>
      <w:r>
        <w:t xml:space="preserve">.</w:t>
      </w:r>
      <w:r>
        <w:t xml:space="preserve"> </w:t>
      </w:r>
      <w:r>
        <w:rPr>
          <w:iCs/>
          <w:i/>
        </w:rPr>
        <w:t xml:space="preserve">(§7.7.1)</w:t>
      </w:r>
    </w:p>
    <w:p>
      <w:pPr>
        <w:pStyle w:val="BodyText"/>
      </w:pPr>
      <w:r>
        <w:rPr>
          <w:bCs/>
          <w:b/>
        </w:rPr>
        <w:t xml:space="preserve">Thread</w:t>
      </w:r>
      <w:r>
        <w:t xml:space="preserve"> </w:t>
      </w:r>
      <w:r>
        <w:t xml:space="preserve">— An independent sequence of execution within a process, with its own program counter, registers and stack, sharing the process’s address space, heap, globals and open files with the process’s other threads.</w:t>
      </w:r>
      <w:r>
        <w:t xml:space="preserve"> </w:t>
      </w:r>
      <w:r>
        <w:rPr>
          <w:iCs/>
          <w:i/>
        </w:rPr>
        <w:t xml:space="preserve">(§6.3.5)</w:t>
      </w:r>
    </w:p>
    <w:p>
      <w:pPr>
        <w:pStyle w:val="BodyText"/>
      </w:pPr>
      <w:r>
        <w:rPr>
          <w:bCs/>
          <w:b/>
        </w:rPr>
        <w:t xml:space="preserve">Threat model</w:t>
      </w:r>
      <w:r>
        <w:t xml:space="preserve"> </w:t>
      </w:r>
      <w:r>
        <w:t xml:space="preserve">— A structured description of a system, the</w:t>
      </w:r>
      <w:r>
        <w:t xml:space="preserve"> </w:t>
      </w:r>
      <w:r>
        <w:rPr>
          <w:bCs/>
          <w:b/>
        </w:rPr>
        <w:t xml:space="preserve">assets</w:t>
      </w:r>
      <w:r>
        <w:t xml:space="preserve"> </w:t>
      </w:r>
      <w:r>
        <w:t xml:space="preserve">in it that are worth protecting, the</w:t>
      </w:r>
      <w:r>
        <w:t xml:space="preserve"> </w:t>
      </w:r>
      <w:r>
        <w:rPr>
          <w:bCs/>
          <w:b/>
        </w:rPr>
        <w:t xml:space="preserve">adversaries</w:t>
      </w:r>
      <w:r>
        <w:t xml:space="preserve"> </w:t>
      </w:r>
      <w:r>
        <w:t xml:space="preserve">who might attack it and their capabilities, the</w:t>
      </w:r>
      <w:r>
        <w:t xml:space="preserve"> </w:t>
      </w:r>
      <w:r>
        <w:rPr>
          <w:bCs/>
          <w:b/>
        </w:rPr>
        <w:t xml:space="preserve">threats</w:t>
      </w:r>
      <w:r>
        <w:t xml:space="preserve"> </w:t>
      </w:r>
      <w:r>
        <w:t xml:space="preserve">(ways a security property could be violated), and the</w:t>
      </w:r>
      <w:r>
        <w:t xml:space="preserve"> </w:t>
      </w:r>
      <w:r>
        <w:rPr>
          <w:bCs/>
          <w:b/>
        </w:rPr>
        <w:t xml:space="preserve">mitigations</w:t>
      </w:r>
      <w:r>
        <w:t xml:space="preserve"> </w:t>
      </w:r>
      <w:r>
        <w:t xml:space="preserve">chosen for each threat [Shostack 2014].</w:t>
      </w:r>
      <w:r>
        <w:t xml:space="preserve"> </w:t>
      </w:r>
      <w:r>
        <w:rPr>
          <w:iCs/>
          <w:i/>
        </w:rPr>
        <w:t xml:space="preserve">(§10.3.2)</w:t>
      </w:r>
    </w:p>
    <w:p>
      <w:pPr>
        <w:pStyle w:val="BodyText"/>
      </w:pPr>
      <w:r>
        <w:rPr>
          <w:bCs/>
          <w:b/>
        </w:rPr>
        <w:t xml:space="preserve">Three-phase commit (3PC)</w:t>
      </w:r>
      <w:r>
        <w:t xml:space="preserve"> </w:t>
      </w:r>
      <w:r>
        <w:t xml:space="preserve">— A commit protocol that inserts a</w:t>
      </w:r>
      <w:r>
        <w:t xml:space="preserve"> </w:t>
      </w:r>
      <w:r>
        <w:rPr>
          <w:bCs/>
          <w:b/>
        </w:rPr>
        <w:t xml:space="preserve">pre-commit</w:t>
      </w:r>
      <w:r>
        <w:t xml:space="preserve"> </w:t>
      </w:r>
      <w:r>
        <w:t xml:space="preserve">phase between voting and committing, so that no participant can commit until every operational participant knows that all voted yes. Under a synchronous system model with reliable failure detection and no network partitions, it lets the surviving participants always reach a decision without the failed coordinator [Skeen 1981].</w:t>
      </w:r>
      <w:r>
        <w:t xml:space="preserve"> </w:t>
      </w:r>
      <w:r>
        <w:rPr>
          <w:iCs/>
          <w:i/>
        </w:rPr>
        <w:t xml:space="preserve">(§28.5.1)</w:t>
      </w:r>
    </w:p>
    <w:p>
      <w:pPr>
        <w:pStyle w:val="BodyText"/>
      </w:pPr>
      <w:r>
        <w:rPr>
          <w:bCs/>
          <w:b/>
        </w:rPr>
        <w:t xml:space="preserve">Time-of-day clock and monotonic clock</w:t>
      </w:r>
      <w:r>
        <w:t xml:space="preserve"> </w:t>
      </w:r>
      <w:r>
        <w:t xml:space="preserve">— A</w:t>
      </w:r>
      <w:r>
        <w:t xml:space="preserve"> </w:t>
      </w:r>
      <w:r>
        <w:rPr>
          <w:bCs/>
          <w:b/>
        </w:rPr>
        <w:t xml:space="preserve">time-of-day</w:t>
      </w:r>
      <w:r>
        <w:t xml:space="preserve"> </w:t>
      </w:r>
      <w:r>
        <w:t xml:space="preserve">(wall-clock) clock returns the current date and time, for example as seconds since the Unix epoch (Linux</w:t>
      </w:r>
      <w:r>
        <w:t xml:space="preserve"> </w:t>
      </w:r>
      <w:r>
        <w:rPr>
          <w:rStyle w:val="VerbatimChar"/>
        </w:rPr>
        <w:t xml:space="preserve">CLOCK_REALTIME</w:t>
      </w:r>
      <w:r>
        <w:t xml:space="preserve">, Python</w:t>
      </w:r>
      <w:r>
        <w:t xml:space="preserve"> </w:t>
      </w:r>
      <w:r>
        <w:rPr>
          <w:rStyle w:val="VerbatimChar"/>
        </w:rPr>
        <w:t xml:space="preserve">time.time()</w:t>
      </w:r>
      <w:r>
        <w:t xml:space="preserve">). It is synchronized with other machines and</w:t>
      </w:r>
      <w:r>
        <w:t xml:space="preserve"> </w:t>
      </w:r>
      <w:r>
        <w:rPr>
          <w:iCs/>
          <w:i/>
        </w:rPr>
        <w:t xml:space="preserve">can jump</w:t>
      </w:r>
      <w:r>
        <w:t xml:space="preserve"> </w:t>
      </w:r>
      <w:r>
        <w:t xml:space="preserve">forward or backward when corrected. A</w:t>
      </w:r>
      <w:r>
        <w:t xml:space="preserve"> </w:t>
      </w:r>
      <w:r>
        <w:rPr>
          <w:bCs/>
          <w:b/>
        </w:rPr>
        <w:t xml:space="preserve">monotonic</w:t>
      </w:r>
      <w:r>
        <w:t xml:space="preserve"> </w:t>
      </w:r>
      <w:r>
        <w:t xml:space="preserve">clock (Linux</w:t>
      </w:r>
      <w:r>
        <w:t xml:space="preserve"> </w:t>
      </w:r>
      <w:r>
        <w:rPr>
          <w:rStyle w:val="VerbatimChar"/>
        </w:rPr>
        <w:t xml:space="preserve">CLOCK_MONOTONIC</w:t>
      </w:r>
      <w:r>
        <w:t xml:space="preserve">, Python</w:t>
      </w:r>
      <w:r>
        <w:t xml:space="preserve"> </w:t>
      </w:r>
      <w:r>
        <w:rPr>
          <w:rStyle w:val="VerbatimChar"/>
        </w:rPr>
        <w:t xml:space="preserve">time.monotonic()</w:t>
      </w:r>
      <w:r>
        <w:t xml:space="preserve">) only moves forward at a steady rate from an arbitrary starting point. It is meaningless across machines but correct for measuring durations on one machine.</w:t>
      </w:r>
      <w:r>
        <w:t xml:space="preserve"> </w:t>
      </w:r>
      <w:r>
        <w:rPr>
          <w:iCs/>
          <w:i/>
        </w:rPr>
        <w:t xml:space="preserve">(§24.9.1)</w:t>
      </w:r>
    </w:p>
    <w:p>
      <w:pPr>
        <w:pStyle w:val="BodyText"/>
      </w:pPr>
      <w:r>
        <w:rPr>
          <w:bCs/>
          <w:b/>
        </w:rPr>
        <w:t xml:space="preserve">Timeout and deadline</w:t>
      </w:r>
      <w:r>
        <w:t xml:space="preserve"> </w:t>
      </w:r>
      <w:r>
        <w:t xml:space="preserve">— A</w:t>
      </w:r>
      <w:r>
        <w:t xml:space="preserve"> </w:t>
      </w:r>
      <w:r>
        <w:rPr>
          <w:bCs/>
          <w:b/>
        </w:rPr>
        <w:t xml:space="preserve">timeout</w:t>
      </w:r>
      <w:r>
        <w:t xml:space="preserve"> </w:t>
      </w:r>
      <w:r>
        <w:t xml:space="preserve">is a relative duration after which a caller stops waiting for one operation (for example 300 ms). A</w:t>
      </w:r>
      <w:r>
        <w:t xml:space="preserve"> </w:t>
      </w:r>
      <w:r>
        <w:rPr>
          <w:bCs/>
          <w:b/>
        </w:rPr>
        <w:t xml:space="preserve">deadline</w:t>
      </w:r>
      <w:r>
        <w:t xml:space="preserve"> </w:t>
      </w:r>
      <w:r>
        <w:t xml:space="preserve">is an absolute point in time by which the</w:t>
      </w:r>
      <w:r>
        <w:t xml:space="preserve"> </w:t>
      </w:r>
      <w:r>
        <w:rPr>
          <w:iCs/>
          <w:i/>
        </w:rPr>
        <w:t xml:space="preserve">whole</w:t>
      </w:r>
      <w:r>
        <w:t xml:space="preserve"> </w:t>
      </w:r>
      <w:r>
        <w:t xml:space="preserve">request must complete; it is passed along the call chain so that every downstream call knows how much time remains.</w:t>
      </w:r>
      <w:r>
        <w:t xml:space="preserve"> </w:t>
      </w:r>
      <w:r>
        <w:rPr>
          <w:iCs/>
          <w:i/>
        </w:rPr>
        <w:t xml:space="preserve">(§22.11)</w:t>
      </w:r>
    </w:p>
    <w:p>
      <w:pPr>
        <w:pStyle w:val="BodyText"/>
      </w:pPr>
      <w:r>
        <w:rPr>
          <w:bCs/>
          <w:b/>
        </w:rPr>
        <w:t xml:space="preserve">Time-series database (TSDB)</w:t>
      </w:r>
      <w:r>
        <w:t xml:space="preserve"> </w:t>
      </w:r>
      <w:r>
        <w:t xml:space="preserve">— A database optimized for sequences of timestamped measurements. Data is organized into</w:t>
      </w:r>
      <w:r>
        <w:t xml:space="preserve"> </w:t>
      </w:r>
      <w:r>
        <w:rPr>
          <w:bCs/>
          <w:b/>
        </w:rPr>
        <w:t xml:space="preserve">series</w:t>
      </w:r>
      <w:r>
        <w:t xml:space="preserve">, each identified by a metric name plus a set of</w:t>
      </w:r>
      <w:r>
        <w:t xml:space="preserve"> </w:t>
      </w:r>
      <w:r>
        <w:rPr>
          <w:bCs/>
          <w:b/>
        </w:rPr>
        <w:t xml:space="preserve">labels</w:t>
      </w:r>
      <w:r>
        <w:t xml:space="preserve"> </w:t>
      </w:r>
      <w:r>
        <w:t xml:space="preserve">(tags) such as</w:t>
      </w:r>
      <w:r>
        <w:t xml:space="preserve"> </w:t>
      </w:r>
      <w:r>
        <w:rPr>
          <w:rStyle w:val="VerbatimChar"/>
        </w:rPr>
        <w:t xml:space="preserve">{host="web-3", region="eu"}</w:t>
      </w:r>
      <w:r>
        <w:t xml:space="preserve">, and each series is an append-only list of</w:t>
      </w:r>
      <w:r>
        <w:t xml:space="preserve"> </w:t>
      </w:r>
      <w:r>
        <w:rPr>
          <w:bCs/>
          <w:b/>
        </w:rPr>
        <w:t xml:space="preserve">samples</w:t>
      </w:r>
      <w:r>
        <w:t xml:space="preserve"> </w:t>
      </w:r>
      <w:r>
        <w:rPr>
          <w:rStyle w:val="VerbatimChar"/>
        </w:rPr>
        <w:t xml:space="preserve">(timestamp, value)</w:t>
      </w:r>
      <w:r>
        <w:t xml:space="preserve">.</w:t>
      </w:r>
      <w:r>
        <w:t xml:space="preserve"> </w:t>
      </w:r>
      <w:r>
        <w:rPr>
          <w:iCs/>
          <w:i/>
        </w:rPr>
        <w:t xml:space="preserve">(§12.8.1)</w:t>
      </w:r>
    </w:p>
    <w:p>
      <w:pPr>
        <w:pStyle w:val="BodyText"/>
      </w:pPr>
      <w:r>
        <w:rPr>
          <w:bCs/>
          <w:b/>
        </w:rPr>
        <w:t xml:space="preserve">Time to live (TTL)</w:t>
      </w:r>
      <w:r>
        <w:t xml:space="preserve"> </w:t>
      </w:r>
      <w:r>
        <w:t xml:space="preserve">— The maximum time an entry may be served after it was stored. After the TTL the entry is treated as absent (or, with stale-while-revalidate, as stale). Redis removes expired keys lazily when they are accessed and actively by periodically sampling keys that have a TTL [Redis Docs: EXPIRE].</w:t>
      </w:r>
      <w:r>
        <w:t xml:space="preserve"> </w:t>
      </w:r>
      <w:r>
        <w:rPr>
          <w:iCs/>
          <w:i/>
        </w:rPr>
        <w:t xml:space="preserve">(§20.8)</w:t>
      </w:r>
    </w:p>
    <w:p>
      <w:pPr>
        <w:pStyle w:val="BodyText"/>
      </w:pPr>
      <w:r>
        <w:rPr>
          <w:bCs/>
          <w:b/>
        </w:rPr>
        <w:t xml:space="preserve">TinyLFU</w:t>
      </w:r>
      <w:r>
        <w:t xml:space="preserve"> </w:t>
      </w:r>
      <w:r>
        <w:t xml:space="preserve">— An</w:t>
      </w:r>
      <w:r>
        <w:t xml:space="preserve"> </w:t>
      </w:r>
      <w:r>
        <w:rPr>
          <w:bCs/>
          <w:b/>
        </w:rPr>
        <w:t xml:space="preserve">admission policy</w:t>
      </w:r>
      <w:r>
        <w:t xml:space="preserve">: when the cache is full and a new candidate arrives, admit it only if its estimated access frequency exceeds that of the victim the eviction policy would remove. Frequencies are estimated by a small approximate sketch (a Count-Min sketch with 4-bit counters, §17.6) over a sample of recent requests, and</w:t>
      </w:r>
      <w:r>
        <w:t xml:space="preserve"> </w:t>
      </w:r>
      <w:r>
        <w:rPr>
          <w:bCs/>
          <w:b/>
        </w:rPr>
        <w:t xml:space="preserve">aged</w:t>
      </w:r>
      <w:r>
        <w:t xml:space="preserve"> </w:t>
      </w:r>
      <w:r>
        <w:t xml:space="preserve">by halving every counter after a fixed number of requests [Einziger, Friedman &amp; Manes 2017].</w:t>
      </w:r>
      <w:r>
        <w:t xml:space="preserve"> </w:t>
      </w:r>
      <w:r>
        <w:rPr>
          <w:iCs/>
          <w:i/>
        </w:rPr>
        <w:t xml:space="preserve">(§20.9.3)</w:t>
      </w:r>
    </w:p>
    <w:p>
      <w:pPr>
        <w:pStyle w:val="BodyText"/>
      </w:pPr>
      <w:r>
        <w:rPr>
          <w:bCs/>
          <w:b/>
        </w:rPr>
        <w:t xml:space="preserve">Token bucket</w:t>
      </w:r>
      <w:r>
        <w:t xml:space="preserve"> </w:t>
      </w:r>
      <w:r>
        <w:t xml:space="preserve">— A rate limiter that keeps a counter of</w:t>
      </w:r>
      <w:r>
        <w:t xml:space="preserve"> </w:t>
      </w:r>
      <w:r>
        <w:rPr>
          <w:bCs/>
          <w:b/>
        </w:rPr>
        <w:t xml:space="preserve">tokens</w:t>
      </w:r>
      <w:r>
        <w:t xml:space="preserve">, refilled continuously at</w:t>
      </w:r>
      <w:r>
        <w:t xml:space="preserve"> </w:t>
      </w:r>
      <w:r>
        <w:rPr>
          <w:bCs/>
          <w:b/>
        </w:rPr>
        <w:t xml:space="preserve">rate</w:t>
      </w:r>
      <w:r>
        <w:t xml:space="preserve"> </w:t>
      </w:r>
      <m:oMath>
        <m:r>
          <m:t>r</m:t>
        </m:r>
      </m:oMath>
      <w:r>
        <w:t xml:space="preserve"> </w:t>
      </w:r>
      <w:r>
        <w:t xml:space="preserve">up to a maximum</w:t>
      </w:r>
      <w:r>
        <w:t xml:space="preserve"> </w:t>
      </w:r>
      <w:r>
        <w:rPr>
          <w:bCs/>
          <w:b/>
        </w:rPr>
        <w:t xml:space="preserve">capacity</w:t>
      </w:r>
      <w:r>
        <w:t xml:space="preserve"> </w:t>
      </w:r>
      <w:r>
        <w:t xml:space="preserve">(burst size)</w:t>
      </w:r>
      <w:r>
        <w:t xml:space="preserve"> </w:t>
      </w:r>
      <m:oMath>
        <m:r>
          <m:t>b</m:t>
        </m:r>
      </m:oMath>
      <w:r>
        <w:t xml:space="preserve">. Each request consumes one token (or a cost</w:t>
      </w:r>
      <w:r>
        <w:t xml:space="preserve"> </w:t>
      </w:r>
      <m:oMath>
        <m:r>
          <m:t>c</m:t>
        </m:r>
      </m:oMath>
      <w:r>
        <w:t xml:space="preserve">); a request that finds too few tokens is rejected. The long-run admitted rate is at most</w:t>
      </w:r>
      <w:r>
        <w:t xml:space="preserve"> </w:t>
      </w:r>
      <m:oMath>
        <m:r>
          <m:t>r</m:t>
        </m:r>
      </m:oMath>
      <w:r>
        <w:t xml:space="preserve">, and up to</w:t>
      </w:r>
      <w:r>
        <w:t xml:space="preserve"> </w:t>
      </w:r>
      <m:oMath>
        <m:r>
          <m:t>b</m:t>
        </m:r>
      </m:oMath>
      <w:r>
        <w:t xml:space="preserve"> </w:t>
      </w:r>
      <w:r>
        <w:t xml:space="preserve">requests may be admitted at once.</w:t>
      </w:r>
      <w:r>
        <w:t xml:space="preserve"> </w:t>
      </w:r>
      <w:r>
        <w:rPr>
          <w:iCs/>
          <w:i/>
        </w:rPr>
        <w:t xml:space="preserve">(§22.4.1)</w:t>
      </w:r>
    </w:p>
    <w:p>
      <w:pPr>
        <w:pStyle w:val="BodyText"/>
      </w:pPr>
      <w:r>
        <w:rPr>
          <w:bCs/>
          <w:b/>
        </w:rPr>
        <w:t xml:space="preserve">Torn write (torn page)</w:t>
      </w:r>
      <w:r>
        <w:t xml:space="preserve"> </w:t>
      </w:r>
      <w:r>
        <w:t xml:space="preserve">— A page write that is interrupted by a crash so that part of the page on disk is new and part is old. It arises because the database page (8 or 16 KiB) is larger than the unit the device or file system writes atomically (commonly 4 KiB or 512 bytes).</w:t>
      </w:r>
      <w:r>
        <w:t xml:space="preserve"> </w:t>
      </w:r>
      <w:r>
        <w:rPr>
          <w:iCs/>
          <w:i/>
        </w:rPr>
        <w:t xml:space="preserve">(§13.12.2)</w:t>
      </w:r>
    </w:p>
    <w:p>
      <w:pPr>
        <w:pStyle w:val="BodyText"/>
      </w:pPr>
      <w:r>
        <w:rPr>
          <w:bCs/>
          <w:b/>
        </w:rPr>
        <w:t xml:space="preserve">Trade-off</w:t>
      </w:r>
      <w:r>
        <w:t xml:space="preserve"> </w:t>
      </w:r>
      <w:r>
        <w:t xml:space="preserve">— A situation where improving one desired property of a system makes another worse. Examples: lower latency at higher cost, stronger consistency at lower availability during network partitions, faster delivery at higher operational risk. Every design decision is a trade-off. If you cannot name what an option makes worse, you have not understood it yet.</w:t>
      </w:r>
      <w:r>
        <w:t xml:space="preserve"> </w:t>
      </w:r>
      <w:r>
        <w:rPr>
          <w:iCs/>
          <w:i/>
        </w:rPr>
        <w:t xml:space="preserve">(§2.8.1)</w:t>
      </w:r>
    </w:p>
    <w:p>
      <w:pPr>
        <w:pStyle w:val="BodyText"/>
      </w:pPr>
      <w:r>
        <w:rPr>
          <w:bCs/>
          <w:b/>
        </w:rPr>
        <w:t xml:space="preserve">Transaction</w:t>
      </w:r>
      <w:r>
        <w:t xml:space="preserve"> </w:t>
      </w:r>
      <w:r>
        <w:t xml:space="preserve">— A sequence of reads and writes that the database treats as one logical unit: either all of its effects become permanent together (</w:t>
      </w:r>
      <w:r>
        <w:rPr>
          <w:bCs/>
          <w:b/>
        </w:rPr>
        <w:t xml:space="preserve">commit</w:t>
      </w:r>
      <w:r>
        <w:t xml:space="preserve">) or none of them do (</w:t>
      </w:r>
      <w:r>
        <w:rPr>
          <w:bCs/>
          <w:b/>
        </w:rPr>
        <w:t xml:space="preserve">abort</w:t>
      </w:r>
      <w:r>
        <w:t xml:space="preserve"> </w:t>
      </w:r>
      <w:r>
        <w:t xml:space="preserve">or</w:t>
      </w:r>
      <w:r>
        <w:t xml:space="preserve"> </w:t>
      </w:r>
      <w:r>
        <w:rPr>
          <w:bCs/>
          <w:b/>
        </w:rPr>
        <w:t xml:space="preserve">rollback</w:t>
      </w:r>
      <w:r>
        <w:t xml:space="preserve">), and concurrently running transactions are isolated from each other’s intermediate states.</w:t>
      </w:r>
      <w:r>
        <w:t xml:space="preserve"> </w:t>
      </w:r>
      <w:r>
        <w:rPr>
          <w:iCs/>
          <w:i/>
        </w:rPr>
        <w:t xml:space="preserve">(§11.11.1)</w:t>
      </w:r>
    </w:p>
    <w:p>
      <w:pPr>
        <w:pStyle w:val="BodyText"/>
      </w:pPr>
      <w:r>
        <w:rPr>
          <w:bCs/>
          <w:b/>
        </w:rPr>
        <w:t xml:space="preserve">Transport Layer Security (TLS)</w:t>
      </w:r>
      <w:r>
        <w:t xml:space="preserve"> </w:t>
      </w:r>
      <w:r>
        <w:t xml:space="preserve">— A protocol that gives two communicating applications</w:t>
      </w:r>
      <w:r>
        <w:t xml:space="preserve"> </w:t>
      </w:r>
      <w:r>
        <w:rPr>
          <w:bCs/>
          <w:b/>
        </w:rPr>
        <w:t xml:space="preserve">confidentiality</w:t>
      </w:r>
      <w:r>
        <w:t xml:space="preserve"> </w:t>
      </w:r>
      <w:r>
        <w:t xml:space="preserve">(eavesdroppers cannot read the data),</w:t>
      </w:r>
      <w:r>
        <w:t xml:space="preserve"> </w:t>
      </w:r>
      <w:r>
        <w:rPr>
          <w:bCs/>
          <w:b/>
        </w:rPr>
        <w:t xml:space="preserve">integrity</w:t>
      </w:r>
      <w:r>
        <w:t xml:space="preserve"> </w:t>
      </w:r>
      <w:r>
        <w:t xml:space="preserve">(tampering is detected) and</w:t>
      </w:r>
      <w:r>
        <w:t xml:space="preserve"> </w:t>
      </w:r>
      <w:r>
        <w:rPr>
          <w:bCs/>
          <w:b/>
        </w:rPr>
        <w:t xml:space="preserve">authentication</w:t>
      </w:r>
      <w:r>
        <w:t xml:space="preserve"> </w:t>
      </w:r>
      <w:r>
        <w:t xml:space="preserve">(at least the server proves its identity, usually with an X.509 certificate).</w:t>
      </w:r>
      <w:r>
        <w:t xml:space="preserve"> </w:t>
      </w:r>
      <w:r>
        <w:rPr>
          <w:bCs/>
          <w:b/>
        </w:rPr>
        <w:t xml:space="preserve">HTTPS</w:t>
      </w:r>
      <w:r>
        <w:t xml:space="preserve"> </w:t>
      </w:r>
      <w:r>
        <w:t xml:space="preserve">is HTTP carried over TLS, on TCP port 443 by default. TLS 1.3 is specified in RFC 8446 (2018).</w:t>
      </w:r>
      <w:r>
        <w:t xml:space="preserve"> </w:t>
      </w:r>
      <w:r>
        <w:rPr>
          <w:iCs/>
          <w:i/>
        </w:rPr>
        <w:t xml:space="preserve">(§7.10.1)</w:t>
      </w:r>
    </w:p>
    <w:p>
      <w:pPr>
        <w:pStyle w:val="BodyText"/>
      </w:pPr>
      <w:r>
        <w:rPr>
          <w:bCs/>
          <w:b/>
        </w:rPr>
        <w:t xml:space="preserve">Trie (prefix tree)</w:t>
      </w:r>
      <w:r>
        <w:t xml:space="preserve"> </w:t>
      </w:r>
      <w:r>
        <w:t xml:space="preserve">— A tree in which each edge is labeled with a character and each node represents the string spelled by the path from the root; nodes that end a stored key are marked. Looking up a key or a prefix of length</w:t>
      </w:r>
      <w:r>
        <w:t xml:space="preserve"> </w:t>
      </w:r>
      <m:oMath>
        <m:r>
          <m:t>L</m:t>
        </m:r>
      </m:oMath>
      <w:r>
        <w:t xml:space="preserve"> </w:t>
      </w:r>
      <w:r>
        <w:t xml:space="preserve">takes</w:t>
      </w:r>
      <w:r>
        <w:t xml:space="preserve"> </w:t>
      </w:r>
      <m:oMath>
        <m:r>
          <m:t>O</m:t>
        </m:r>
        <m:d>
          <m:dPr>
            <m:begChr m:val="("/>
            <m:endChr m:val=")"/>
            <m:sepChr m:val=""/>
            <m:grow/>
          </m:dPr>
          <m:e>
            <m:r>
              <m:t>L</m:t>
            </m:r>
          </m:e>
        </m:d>
      </m:oMath>
      <w:r>
        <w:t xml:space="preserve"> </w:t>
      </w:r>
      <w:r>
        <w:t xml:space="preserve">steps, independent of how many keys are stored [Fredkin 1960].</w:t>
      </w:r>
      <w:r>
        <w:t xml:space="preserve"> </w:t>
      </w:r>
      <w:r>
        <w:rPr>
          <w:iCs/>
          <w:i/>
        </w:rPr>
        <w:t xml:space="preserve">(§17.11.1)</w:t>
      </w:r>
    </w:p>
    <w:p>
      <w:pPr>
        <w:pStyle w:val="BodyText"/>
      </w:pPr>
      <w:r>
        <w:rPr>
          <w:bCs/>
          <w:b/>
        </w:rPr>
        <w:t xml:space="preserve">TrueTime</w:t>
      </w:r>
      <w:r>
        <w:t xml:space="preserve"> </w:t>
      </w:r>
      <w:r>
        <w:t xml:space="preserve">— Google’s clock API that returns time as an interval with a guaranteed error bound instead of a single value.</w:t>
      </w:r>
      <w:r>
        <w:t xml:space="preserve"> </w:t>
      </w:r>
      <w:r>
        <w:rPr>
          <w:rStyle w:val="VerbatimChar"/>
        </w:rPr>
        <w:t xml:space="preserve">TT.now()</w:t>
      </w:r>
      <w:r>
        <w:t xml:space="preserve"> </w:t>
      </w:r>
      <w:r>
        <w:t xml:space="preserve">returns</w:t>
      </w:r>
      <w:r>
        <w:t xml:space="preserve"> </w:t>
      </w:r>
      <m:oMath>
        <m:d>
          <m:dPr>
            <m:begChr m:val="["/>
            <m:endChr m:val="]"/>
            <m:sepChr m:val=""/>
            <m:grow/>
          </m:dPr>
          <m:e>
            <m:r>
              <m:rPr>
                <m:nor/>
                <m:sty m:val="i"/>
              </m:rPr>
              <m:t>earliest</m:t>
            </m:r>
            <m:r>
              <m:rPr>
                <m:sty m:val="p"/>
              </m:rPr>
              <m:t>,</m:t>
            </m:r>
            <m:r>
              <m:rPr>
                <m:nor/>
                <m:sty m:val="i"/>
              </m:rPr>
              <m:t>latest</m:t>
            </m:r>
          </m:e>
        </m:d>
      </m:oMath>
      <w:r>
        <w:t xml:space="preserve">, guaranteed to contain the absolute time at which it was called;</w:t>
      </w:r>
      <w:r>
        <w:t xml:space="preserve"> </w:t>
      </w:r>
      <w:r>
        <w:rPr>
          <w:rStyle w:val="VerbatimChar"/>
        </w:rPr>
        <w:t xml:space="preserve">TT.after(t)</w:t>
      </w:r>
      <w:r>
        <w:t xml:space="preserve"> </w:t>
      </w:r>
      <w:r>
        <w:t xml:space="preserve">is true if</w:t>
      </w:r>
      <w:r>
        <w:t xml:space="preserve"> </w:t>
      </w:r>
      <m:oMath>
        <m:r>
          <m:t>t</m:t>
        </m:r>
      </m:oMath>
      <w:r>
        <w:t xml:space="preserve"> </w:t>
      </w:r>
      <w:r>
        <w:t xml:space="preserve">has definitely passed, and</w:t>
      </w:r>
      <w:r>
        <w:t xml:space="preserve"> </w:t>
      </w:r>
      <w:r>
        <w:rPr>
          <w:rStyle w:val="VerbatimChar"/>
        </w:rPr>
        <w:t xml:space="preserve">TT.before(t)</w:t>
      </w:r>
      <w:r>
        <w:t xml:space="preserve"> </w:t>
      </w:r>
      <w:r>
        <w:t xml:space="preserve">is true if</w:t>
      </w:r>
      <w:r>
        <w:t xml:space="preserve"> </w:t>
      </w:r>
      <m:oMath>
        <m:r>
          <m:t>t</m:t>
        </m:r>
      </m:oMath>
      <w:r>
        <w:t xml:space="preserve"> </w:t>
      </w:r>
      <w:r>
        <w:t xml:space="preserve">has definitely not arrived. The half-width of the interval is the</w:t>
      </w:r>
      <w:r>
        <w:t xml:space="preserve"> </w:t>
      </w:r>
      <w:r>
        <w:rPr>
          <w:bCs/>
          <w:b/>
        </w:rPr>
        <w:t xml:space="preserve">uncertainty</w:t>
      </w:r>
      <w:r>
        <w:t xml:space="preserve"> </w:t>
      </w:r>
      <m:oMath>
        <m:r>
          <m:t>ε</m:t>
        </m:r>
      </m:oMath>
      <w:r>
        <w:t xml:space="preserve"> </w:t>
      </w:r>
      <w:r>
        <w:t xml:space="preserve">[Corbett et al. 2012].</w:t>
      </w:r>
      <w:r>
        <w:t xml:space="preserve"> </w:t>
      </w:r>
      <w:r>
        <w:rPr>
          <w:iCs/>
          <w:i/>
        </w:rPr>
        <w:t xml:space="preserve">(§28.8.1)</w:t>
      </w:r>
    </w:p>
    <w:p>
      <w:pPr>
        <w:pStyle w:val="BodyText"/>
      </w:pPr>
      <w:r>
        <w:rPr>
          <w:bCs/>
          <w:b/>
        </w:rPr>
        <w:t xml:space="preserve">Trust boundary</w:t>
      </w:r>
      <w:r>
        <w:t xml:space="preserve"> </w:t>
      </w:r>
      <w:r>
        <w:t xml:space="preserve">— A line in a system where the level of trust changes: data or requests crossing it come from a party that the receiving side does not fully control or trust. Examples: the internet-to-load-balancer edge, the browser-to-server connection, a service calling a third-party API, a tenant’s code running on shared infrastructure.</w:t>
      </w:r>
      <w:r>
        <w:t xml:space="preserve"> </w:t>
      </w:r>
      <w:r>
        <w:rPr>
          <w:iCs/>
          <w:i/>
        </w:rPr>
        <w:t xml:space="preserve">(§10.3.2)</w:t>
      </w:r>
    </w:p>
    <w:p>
      <w:pPr>
        <w:pStyle w:val="BodyText"/>
      </w:pPr>
      <w:r>
        <w:rPr>
          <w:bCs/>
          <w:b/>
        </w:rPr>
        <w:t xml:space="preserve">Two generals problem</w:t>
      </w:r>
      <w:r>
        <w:t xml:space="preserve"> </w:t>
      </w:r>
      <w:r>
        <w:t xml:space="preserve">— Two armies camped on opposite hills must attack a city in the valley at the same time; either attacking alone is defeated. Their generals can communicate only by messengers who cross the valley and may be captured. The problem is to design a messaging protocol after which both generals are</w:t>
      </w:r>
      <w:r>
        <w:t xml:space="preserve"> </w:t>
      </w:r>
      <w:r>
        <w:rPr>
          <w:iCs/>
          <w:i/>
        </w:rPr>
        <w:t xml:space="preserve">certain</w:t>
      </w:r>
      <w:r>
        <w:t xml:space="preserve"> </w:t>
      </w:r>
      <w:r>
        <w:t xml:space="preserve">that they will attack together. No such protocol with a finite number of messages exists.</w:t>
      </w:r>
      <w:r>
        <w:t xml:space="preserve"> </w:t>
      </w:r>
      <w:r>
        <w:rPr>
          <w:iCs/>
          <w:i/>
        </w:rPr>
        <w:t xml:space="preserve">(§24.3.3)</w:t>
      </w:r>
    </w:p>
    <w:p>
      <w:pPr>
        <w:pStyle w:val="BodyText"/>
      </w:pPr>
      <w:r>
        <w:rPr>
          <w:bCs/>
          <w:b/>
        </w:rPr>
        <w:t xml:space="preserve">Two-phase commit (2PC)</w:t>
      </w:r>
      <w:r>
        <w:t xml:space="preserve"> </w:t>
      </w:r>
      <w:r>
        <w:t xml:space="preserve">— An atomic commitment protocol in which one node, the</w:t>
      </w:r>
      <w:r>
        <w:t xml:space="preserve"> </w:t>
      </w:r>
      <w:r>
        <w:rPr>
          <w:bCs/>
          <w:b/>
        </w:rPr>
        <w:t xml:space="preserve">coordinator</w:t>
      </w:r>
      <w:r>
        <w:t xml:space="preserve"> </w:t>
      </w:r>
      <w:r>
        <w:t xml:space="preserve">(also called the transaction manager), first asks every participant (resource manager) to</w:t>
      </w:r>
      <w:r>
        <w:t xml:space="preserve"> </w:t>
      </w:r>
      <w:r>
        <w:rPr>
          <w:bCs/>
          <w:b/>
        </w:rPr>
        <w:t xml:space="preserve">prepare</w:t>
      </w:r>
      <w:r>
        <w:t xml:space="preserve">, that is, to make its part of the transaction durable while keeping it invisible and to promise to commit on request; and then, only if every participant voted yes, durably records a</w:t>
      </w:r>
      <w:r>
        <w:t xml:space="preserve"> </w:t>
      </w:r>
      <w:r>
        <w:rPr>
          <w:bCs/>
          <w:b/>
        </w:rPr>
        <w:t xml:space="preserve">commit</w:t>
      </w:r>
      <w:r>
        <w:t xml:space="preserve"> </w:t>
      </w:r>
      <w:r>
        <w:t xml:space="preserve">decision and tells all participants to commit. Any no vote or timeout leads to abort [Gray 1978; Bernstein et al. 1987].</w:t>
      </w:r>
      <w:r>
        <w:t xml:space="preserve"> </w:t>
      </w:r>
      <w:r>
        <w:rPr>
          <w:iCs/>
          <w:i/>
        </w:rPr>
        <w:t xml:space="preserve">(§28.4.1)</w:t>
      </w:r>
    </w:p>
    <w:p>
      <w:pPr>
        <w:pStyle w:val="BodyText"/>
      </w:pPr>
      <w:r>
        <w:rPr>
          <w:bCs/>
          <w:b/>
        </w:rPr>
        <w:t xml:space="preserve">Two-phase locking (2PL)</w:t>
      </w:r>
      <w:r>
        <w:t xml:space="preserve"> </w:t>
      </w:r>
      <w:r>
        <w:t xml:space="preserve">— A protocol in which each transaction acquires locks (shared</w:t>
      </w:r>
      <w:r>
        <w:t xml:space="preserve"> </w:t>
      </w:r>
      <w:r>
        <w:rPr>
          <w:bCs/>
          <w:b/>
        </w:rPr>
        <w:t xml:space="preserve">S</w:t>
      </w:r>
      <w:r>
        <w:t xml:space="preserve"> </w:t>
      </w:r>
      <w:r>
        <w:t xml:space="preserve">for reading, exclusive</w:t>
      </w:r>
      <w:r>
        <w:t xml:space="preserve"> </w:t>
      </w:r>
      <w:r>
        <w:rPr>
          <w:bCs/>
          <w:b/>
        </w:rPr>
        <w:t xml:space="preserve">X</w:t>
      </w:r>
      <w:r>
        <w:t xml:space="preserve"> </w:t>
      </w:r>
      <w:r>
        <w:t xml:space="preserve">for writing) before accessing data and, once it releases any lock, acquires no new ones: a</w:t>
      </w:r>
      <w:r>
        <w:t xml:space="preserve"> </w:t>
      </w:r>
      <w:r>
        <w:rPr>
          <w:iCs/>
          <w:i/>
        </w:rPr>
        <w:t xml:space="preserve">growing</w:t>
      </w:r>
      <w:r>
        <w:t xml:space="preserve"> </w:t>
      </w:r>
      <w:r>
        <w:t xml:space="preserve">phase followed by a</w:t>
      </w:r>
      <w:r>
        <w:t xml:space="preserve"> </w:t>
      </w:r>
      <w:r>
        <w:rPr>
          <w:iCs/>
          <w:i/>
        </w:rPr>
        <w:t xml:space="preserve">shrinking</w:t>
      </w:r>
      <w:r>
        <w:t xml:space="preserve"> </w:t>
      </w:r>
      <w:r>
        <w:t xml:space="preserve">phase.</w:t>
      </w:r>
      <w:r>
        <w:t xml:space="preserve"> </w:t>
      </w:r>
      <w:r>
        <w:rPr>
          <w:bCs/>
          <w:b/>
        </w:rPr>
        <w:t xml:space="preserve">Strict 2PL</w:t>
      </w:r>
      <w:r>
        <w:t xml:space="preserve"> </w:t>
      </w:r>
      <w:r>
        <w:t xml:space="preserve">holds all X locks until commit or abort. Any schedule produced by 2PL is serializable [Eswaran et al. 1976].</w:t>
      </w:r>
      <w:r>
        <w:t xml:space="preserve"> </w:t>
      </w:r>
      <w:r>
        <w:rPr>
          <w:iCs/>
          <w:i/>
        </w:rPr>
        <w:t xml:space="preserve">(§11.15.1)</w:t>
      </w:r>
    </w:p>
    <w:bookmarkEnd w:id="3371"/>
    <w:bookmarkStart w:id="3372" w:name="u"/>
    <w:p>
      <w:pPr>
        <w:pStyle w:val="Heading2"/>
      </w:pPr>
      <w:r>
        <w:t xml:space="preserve">U</w:t>
      </w:r>
    </w:p>
    <w:p>
      <w:pPr>
        <w:pStyle w:val="FirstParagraph"/>
      </w:pPr>
      <w:r>
        <w:rPr>
          <w:bCs/>
          <w:b/>
        </w:rPr>
        <w:t xml:space="preserve">UDP</w:t>
      </w:r>
      <w:r>
        <w:t xml:space="preserve"> </w:t>
      </w:r>
      <w:r>
        <w:t xml:space="preserve">— The User Datagram Protocol [RFC 768] is a connectionless transport protocol that adds only port numbers, a length and a checksum to IP. Its 8-byte header provides process-to-process delivery of individual</w:t>
      </w:r>
      <w:r>
        <w:t xml:space="preserve"> </w:t>
      </w:r>
      <w:r>
        <w:rPr>
          <w:bCs/>
          <w:b/>
        </w:rPr>
        <w:t xml:space="preserve">datagrams</w:t>
      </w:r>
      <w:r>
        <w:t xml:space="preserve"> </w:t>
      </w:r>
      <w:r>
        <w:t xml:space="preserve">with no handshake, no acknowledgments, no retransmission, no ordering, and no flow or congestion control.</w:t>
      </w:r>
      <w:r>
        <w:t xml:space="preserve"> </w:t>
      </w:r>
      <w:r>
        <w:rPr>
          <w:iCs/>
          <w:i/>
        </w:rPr>
        <w:t xml:space="preserve">(§7.8)</w:t>
      </w:r>
    </w:p>
    <w:p>
      <w:pPr>
        <w:pStyle w:val="BodyText"/>
      </w:pPr>
      <w:r>
        <w:rPr>
          <w:bCs/>
          <w:b/>
        </w:rPr>
        <w:t xml:space="preserve">USE method</w:t>
      </w:r>
      <w:r>
        <w:t xml:space="preserve"> </w:t>
      </w:r>
      <w:r>
        <w:t xml:space="preserve">— For every</w:t>
      </w:r>
      <w:r>
        <w:t xml:space="preserve"> </w:t>
      </w:r>
      <w:r>
        <w:rPr>
          <w:bCs/>
          <w:b/>
        </w:rPr>
        <w:t xml:space="preserve">resource</w:t>
      </w:r>
      <w:r>
        <w:t xml:space="preserve">, check</w:t>
      </w:r>
      <w:r>
        <w:t xml:space="preserve"> </w:t>
      </w:r>
      <w:r>
        <w:rPr>
          <w:bCs/>
          <w:b/>
        </w:rPr>
        <w:t xml:space="preserve">U</w:t>
      </w:r>
      <w:r>
        <w:t xml:space="preserve">tilization (the fraction of time the resource was busy, or the fraction of its capacity in use),</w:t>
      </w:r>
      <w:r>
        <w:t xml:space="preserve"> </w:t>
      </w:r>
      <w:r>
        <w:rPr>
          <w:bCs/>
          <w:b/>
        </w:rPr>
        <w:t xml:space="preserve">S</w:t>
      </w:r>
      <w:r>
        <w:t xml:space="preserve">aturation (the amount of extra work queued because the resource could not service it) and</w:t>
      </w:r>
      <w:r>
        <w:t xml:space="preserve"> </w:t>
      </w:r>
      <w:r>
        <w:rPr>
          <w:bCs/>
          <w:b/>
        </w:rPr>
        <w:t xml:space="preserve">E</w:t>
      </w:r>
      <w:r>
        <w:t xml:space="preserve">rrors (the count of error events) [Gregg USE]. A resource is any physical or software component with finite capacity: CPUs, memory, disks, network interfaces, controllers and interconnects, but also locks, thread pools, connection pools and file descriptors.</w:t>
      </w:r>
      <w:r>
        <w:t xml:space="preserve"> </w:t>
      </w:r>
      <w:r>
        <w:rPr>
          <w:iCs/>
          <w:i/>
        </w:rPr>
        <w:t xml:space="preserve">(§23.3.2)</w:t>
      </w:r>
    </w:p>
    <w:bookmarkEnd w:id="3372"/>
    <w:bookmarkStart w:id="3373" w:name="v"/>
    <w:p>
      <w:pPr>
        <w:pStyle w:val="Heading2"/>
      </w:pPr>
      <w:r>
        <w:t xml:space="preserve">V</w:t>
      </w:r>
    </w:p>
    <w:p>
      <w:pPr>
        <w:pStyle w:val="FirstParagraph"/>
      </w:pPr>
      <w:r>
        <w:rPr>
          <w:bCs/>
          <w:b/>
        </w:rPr>
        <w:t xml:space="preserve">Varint</w:t>
      </w:r>
      <w:r>
        <w:t xml:space="preserve"> </w:t>
      </w:r>
      <w:r>
        <w:t xml:space="preserve">— A variable-length encoding of an unsigned integer in base 128: each byte carries 7 bits of the number, least-significant group first, and the most significant bit (MSB) of each byte is a continuation flag — 1 means</w:t>
      </w:r>
      <w:r>
        <w:t xml:space="preserve"> </w:t>
      </w:r>
      <w:r>
        <w:t xml:space="preserve">“</w:t>
      </w:r>
      <w:r>
        <w:t xml:space="preserve">another byte follows</w:t>
      </w:r>
      <w:r>
        <w:t xml:space="preserve">”</w:t>
      </w:r>
      <w:r>
        <w:t xml:space="preserve"> </w:t>
      </w:r>
      <w:r>
        <w:t xml:space="preserve">[Protocol Buffers Docs: Encoding].</w:t>
      </w:r>
      <w:r>
        <w:t xml:space="preserve"> </w:t>
      </w:r>
      <w:r>
        <w:rPr>
          <w:iCs/>
          <w:i/>
        </w:rPr>
        <w:t xml:space="preserve">(§8.9.2)</w:t>
      </w:r>
    </w:p>
    <w:p>
      <w:pPr>
        <w:pStyle w:val="BodyText"/>
      </w:pPr>
      <w:r>
        <w:rPr>
          <w:bCs/>
          <w:b/>
        </w:rPr>
        <w:t xml:space="preserve">Vector</w:t>
      </w:r>
      <w:r>
        <w:t xml:space="preserve"> </w:t>
      </w:r>
      <w:r>
        <w:t xml:space="preserve">— An ordered list of</w:t>
      </w:r>
      <w:r>
        <w:t xml:space="preserve"> </w:t>
      </w:r>
      <m:oMath>
        <m:r>
          <m:t>d</m:t>
        </m:r>
      </m:oMath>
      <w:r>
        <w:t xml:space="preserve"> </w:t>
      </w:r>
      <w:r>
        <w:t xml:space="preserve">numbers,</w:t>
      </w:r>
      <w:r>
        <w:t xml:space="preserve"> </w:t>
      </w:r>
      <m:oMath>
        <m:r>
          <m:rPr>
            <m:sty m:val="b"/>
          </m:rPr>
          <m:t>a</m:t>
        </m:r>
        <m:r>
          <m:rPr>
            <m:sty m:val="p"/>
          </m:rPr>
          <m:t>=</m:t>
        </m:r>
        <m:d>
          <m:dPr>
            <m:begChr m:val="("/>
            <m:endChr m:val=")"/>
            <m:sepChr m:val=""/>
            <m:grow/>
          </m:dPr>
          <m:e>
            <m:sSub>
              <m:e>
                <m:r>
                  <m:t>a</m:t>
                </m:r>
              </m:e>
              <m:sub>
                <m:r>
                  <m:t>1</m:t>
                </m:r>
              </m:sub>
            </m:sSub>
            <m:r>
              <m:rPr>
                <m:sty m:val="p"/>
              </m:rPr>
              <m:t>,</m:t>
            </m:r>
            <m:sSub>
              <m:e>
                <m:r>
                  <m:t>a</m:t>
                </m:r>
              </m:e>
              <m:sub>
                <m:r>
                  <m:t>2</m:t>
                </m:r>
              </m:sub>
            </m:sSub>
            <m:r>
              <m:rPr>
                <m:sty m:val="p"/>
              </m:rPr>
              <m:t>,</m:t>
            </m:r>
            <m:r>
              <m:rPr>
                <m:sty m:val="p"/>
              </m:rPr>
              <m:t>…</m:t>
            </m:r>
            <m:r>
              <m:rPr>
                <m:sty m:val="p"/>
              </m:rPr>
              <m:t>,</m:t>
            </m:r>
            <m:sSub>
              <m:e>
                <m:r>
                  <m:t>a</m:t>
                </m:r>
              </m:e>
              <m:sub>
                <m:r>
                  <m:t>d</m:t>
                </m:r>
              </m:sub>
            </m:sSub>
          </m:e>
        </m:d>
      </m:oMath>
      <w:r>
        <w:t xml:space="preserve">, where</w:t>
      </w:r>
      <w:r>
        <w:t xml:space="preserve"> </w:t>
      </w:r>
      <m:oMath>
        <m:r>
          <m:t>d</m:t>
        </m:r>
      </m:oMath>
      <w:r>
        <w:t xml:space="preserve"> </w:t>
      </w:r>
      <w:r>
        <w:t xml:space="preserve">is the</w:t>
      </w:r>
      <w:r>
        <w:t xml:space="preserve"> </w:t>
      </w:r>
      <w:r>
        <w:rPr>
          <w:bCs/>
          <w:b/>
        </w:rPr>
        <w:t xml:space="preserve">dimension</w:t>
      </w:r>
      <w:r>
        <w:t xml:space="preserve">. Geometrically, a vector is an arrow from the origin to a point in</w:t>
      </w:r>
      <w:r>
        <w:t xml:space="preserve"> </w:t>
      </w:r>
      <m:oMath>
        <m:r>
          <m:t>d</m:t>
        </m:r>
      </m:oMath>
      <w:r>
        <w:t xml:space="preserve">-dimensional space; its</w:t>
      </w:r>
      <w:r>
        <w:t xml:space="preserve"> </w:t>
      </w:r>
      <w:r>
        <w:rPr>
          <w:bCs/>
          <w:b/>
        </w:rPr>
        <w:t xml:space="preserve">length</w:t>
      </w:r>
      <w:r>
        <w:t xml:space="preserve"> </w:t>
      </w:r>
      <w:r>
        <w:t xml:space="preserve">(or norm) is</w:t>
      </w:r>
      <w:r>
        <w:t xml:space="preserve"> </w:t>
      </w:r>
      <m:oMath>
        <m:r>
          <m:rPr>
            <m:sty m:val="p"/>
          </m:rPr>
          <m:t>∥</m:t>
        </m:r>
        <m:r>
          <m:rPr>
            <m:sty m:val="b"/>
          </m:rPr>
          <m:t>a</m:t>
        </m:r>
        <m:r>
          <m:rPr>
            <m:sty m:val="p"/>
          </m:rPr>
          <m:t>∥</m:t>
        </m:r>
        <m:r>
          <m:rPr>
            <m:sty m:val="p"/>
          </m:rPr>
          <m:t>=</m:t>
        </m:r>
        <m:rad>
          <m:radPr>
            <m:degHide m:val="on"/>
          </m:radPr>
          <m:deg/>
          <m:e>
            <m:sSubSup>
              <m:e>
                <m:r>
                  <m:t>a</m:t>
                </m:r>
              </m:e>
              <m:sub>
                <m:r>
                  <m:t>1</m:t>
                </m:r>
              </m:sub>
              <m:sup>
                <m:r>
                  <m:t>2</m:t>
                </m:r>
              </m:sup>
            </m:sSubSup>
            <m:r>
              <m:rPr>
                <m:sty m:val="p"/>
              </m:rPr>
              <m:t>+</m:t>
            </m:r>
            <m:r>
              <m:rPr>
                <m:sty m:val="p"/>
              </m:rPr>
              <m:t>⋯</m:t>
            </m:r>
            <m:r>
              <m:rPr>
                <m:sty m:val="p"/>
              </m:rPr>
              <m:t>+</m:t>
            </m:r>
            <m:sSubSup>
              <m:e>
                <m:r>
                  <m:t>a</m:t>
                </m:r>
              </m:e>
              <m:sub>
                <m:r>
                  <m:t>d</m:t>
                </m:r>
              </m:sub>
              <m:sup>
                <m:r>
                  <m:t>2</m:t>
                </m:r>
              </m:sup>
            </m:sSubSup>
          </m:e>
        </m:rad>
      </m:oMath>
      <w:r>
        <w:t xml:space="preserve">.</w:t>
      </w:r>
      <w:r>
        <w:t xml:space="preserve"> </w:t>
      </w:r>
      <w:r>
        <w:rPr>
          <w:iCs/>
          <w:i/>
        </w:rPr>
        <w:t xml:space="preserve">(§4.9.1)</w:t>
      </w:r>
    </w:p>
    <w:p>
      <w:pPr>
        <w:pStyle w:val="BodyText"/>
      </w:pPr>
      <w:r>
        <w:rPr>
          <w:bCs/>
          <w:b/>
        </w:rPr>
        <w:t xml:space="preserve">Vector clock</w:t>
      </w:r>
      <w:r>
        <w:t xml:space="preserve"> </w:t>
      </w:r>
      <w:r>
        <w:t xml:space="preserve">— With</w:t>
      </w:r>
      <w:r>
        <w:t xml:space="preserve"> </w:t>
      </w:r>
      <m:oMath>
        <m:r>
          <m:t>n</m:t>
        </m:r>
      </m:oMath>
      <w:r>
        <w:t xml:space="preserve"> </w:t>
      </w:r>
      <w:r>
        <w:t xml:space="preserve">processes, each process</w:t>
      </w:r>
      <w:r>
        <w:t xml:space="preserve"> </w:t>
      </w:r>
      <m:oMath>
        <m:sSub>
          <m:e>
            <m:r>
              <m:t>P</m:t>
            </m:r>
          </m:e>
          <m:sub>
            <m:r>
              <m:t>i</m:t>
            </m:r>
          </m:sub>
        </m:sSub>
      </m:oMath>
      <w:r>
        <w:t xml:space="preserve"> </w:t>
      </w:r>
      <w:r>
        <w:t xml:space="preserve">keeps a vector</w:t>
      </w:r>
      <w:r>
        <w:t xml:space="preserve"> </w:t>
      </w:r>
      <m:oMath>
        <m:sSub>
          <m:e>
            <m:r>
              <m:t>V</m:t>
            </m:r>
          </m:e>
          <m:sub>
            <m:r>
              <m:t>i</m:t>
            </m:r>
          </m:sub>
        </m:sSub>
        <m:d>
          <m:dPr>
            <m:begChr m:val="["/>
            <m:endChr m:val="]"/>
            <m:sepChr m:val=""/>
            <m:grow/>
          </m:dPr>
          <m:e>
            <m:r>
              <m:t>1</m:t>
            </m:r>
            <m:r>
              <m:rPr>
                <m:sty m:val="p"/>
              </m:rPr>
              <m:t>.</m:t>
            </m:r>
            <m:r>
              <m:rPr>
                <m:sty m:val="p"/>
              </m:rPr>
              <m:t>.</m:t>
            </m:r>
            <m:r>
              <m:t>n</m:t>
            </m:r>
          </m:e>
        </m:d>
      </m:oMath>
      <w:r>
        <w:t xml:space="preserve">, initially all zeros. Before each event,</w:t>
      </w:r>
      <w:r>
        <w:t xml:space="preserve"> </w:t>
      </w:r>
      <m:oMath>
        <m:sSub>
          <m:e>
            <m:r>
              <m:t>P</m:t>
            </m:r>
          </m:e>
          <m:sub>
            <m:r>
              <m:t>i</m:t>
            </m:r>
          </m:sub>
        </m:sSub>
      </m:oMath>
      <w:r>
        <w:t xml:space="preserve"> </w:t>
      </w:r>
      <w:r>
        <w:t xml:space="preserve">increments</w:t>
      </w:r>
      <w:r>
        <w:t xml:space="preserve"> </w:t>
      </w:r>
      <m:oMath>
        <m:sSub>
          <m:e>
            <m:r>
              <m:t>V</m:t>
            </m:r>
          </m:e>
          <m:sub>
            <m:r>
              <m:t>i</m:t>
            </m:r>
          </m:sub>
        </m:sSub>
        <m:d>
          <m:dPr>
            <m:begChr m:val="["/>
            <m:endChr m:val="]"/>
            <m:sepChr m:val=""/>
            <m:grow/>
          </m:dPr>
          <m:e>
            <m:r>
              <m:t>i</m:t>
            </m:r>
          </m:e>
        </m:d>
      </m:oMath>
      <w:r>
        <w:t xml:space="preserve">; a send attaches a copy of</w:t>
      </w:r>
      <w:r>
        <w:t xml:space="preserve"> </w:t>
      </w:r>
      <m:oMath>
        <m:sSub>
          <m:e>
            <m:r>
              <m:t>V</m:t>
            </m:r>
          </m:e>
          <m:sub>
            <m:r>
              <m:t>i</m:t>
            </m:r>
          </m:sub>
        </m:sSub>
      </m:oMath>
      <w:r>
        <w:t xml:space="preserve">. On receiving a message carrying</w:t>
      </w:r>
      <w:r>
        <w:t xml:space="preserve"> </w:t>
      </w:r>
      <m:oMath>
        <m:sSub>
          <m:e>
            <m:r>
              <m:t>V</m:t>
            </m:r>
          </m:e>
          <m:sub>
            <m:r>
              <m:t>m</m:t>
            </m:r>
          </m:sub>
        </m:sSub>
      </m:oMath>
      <w:r>
        <w:t xml:space="preserve">,</w:t>
      </w:r>
      <w:r>
        <w:t xml:space="preserve"> </w:t>
      </w:r>
      <m:oMath>
        <m:sSub>
          <m:e>
            <m:r>
              <m:t>P</m:t>
            </m:r>
          </m:e>
          <m:sub>
            <m:r>
              <m:t>i</m:t>
            </m:r>
          </m:sub>
        </m:sSub>
      </m:oMath>
      <w:r>
        <w:t xml:space="preserve"> </w:t>
      </w:r>
      <w:r>
        <w:t xml:space="preserve">sets</w:t>
      </w:r>
      <w:r>
        <w:t xml:space="preserve"> </w:t>
      </w:r>
      <m:oMath>
        <m:sSub>
          <m:e>
            <m:r>
              <m:t>V</m:t>
            </m:r>
          </m:e>
          <m:sub>
            <m:r>
              <m:t>i</m:t>
            </m:r>
          </m:sub>
        </m:sSub>
        <m:d>
          <m:dPr>
            <m:begChr m:val="["/>
            <m:endChr m:val="]"/>
            <m:sepChr m:val=""/>
            <m:grow/>
          </m:dPr>
          <m:e>
            <m:r>
              <m:t>k</m:t>
            </m:r>
          </m:e>
        </m:d>
        <m:r>
          <m:rPr>
            <m:sty m:val="p"/>
          </m:rPr>
          <m:t>←</m:t>
        </m:r>
        <m:r>
          <m:rPr>
            <m:sty m:val="p"/>
          </m:rPr>
          <m:t>max</m:t>
        </m:r>
        <m:d>
          <m:dPr>
            <m:begChr m:val="("/>
            <m:endChr m:val=")"/>
            <m:sepChr m:val=""/>
            <m:grow/>
          </m:dPr>
          <m:e>
            <m:sSub>
              <m:e>
                <m:r>
                  <m:t>V</m:t>
                </m:r>
              </m:e>
              <m:sub>
                <m:r>
                  <m:t>i</m:t>
                </m:r>
              </m:sub>
            </m:sSub>
            <m:d>
              <m:dPr>
                <m:begChr m:val="["/>
                <m:endChr m:val="]"/>
                <m:sepChr m:val=""/>
                <m:grow/>
              </m:dPr>
              <m:e>
                <m:r>
                  <m:t>k</m:t>
                </m:r>
              </m:e>
            </m:d>
            <m:r>
              <m:rPr>
                <m:sty m:val="p"/>
              </m:rPr>
              <m:t>,</m:t>
            </m:r>
            <m:sSub>
              <m:e>
                <m:r>
                  <m:t>V</m:t>
                </m:r>
              </m:e>
              <m:sub>
                <m:r>
                  <m:t>m</m:t>
                </m:r>
              </m:sub>
            </m:sSub>
            <m:d>
              <m:dPr>
                <m:begChr m:val="["/>
                <m:endChr m:val="]"/>
                <m:sepChr m:val=""/>
                <m:grow/>
              </m:dPr>
              <m:e>
                <m:r>
                  <m:t>k</m:t>
                </m:r>
              </m:e>
            </m:d>
          </m:e>
        </m:d>
      </m:oMath>
      <w:r>
        <w:t xml:space="preserve"> </w:t>
      </w:r>
      <w:r>
        <w:t xml:space="preserve">for every</w:t>
      </w:r>
      <w:r>
        <w:t xml:space="preserve"> </w:t>
      </w:r>
      <m:oMath>
        <m:r>
          <m:t>k</m:t>
        </m:r>
      </m:oMath>
      <w:r>
        <w:t xml:space="preserve">, then increments</w:t>
      </w:r>
      <w:r>
        <w:t xml:space="preserve"> </w:t>
      </w:r>
      <m:oMath>
        <m:sSub>
          <m:e>
            <m:r>
              <m:t>V</m:t>
            </m:r>
          </m:e>
          <m:sub>
            <m:r>
              <m:t>i</m:t>
            </m:r>
          </m:sub>
        </m:sSub>
        <m:d>
          <m:dPr>
            <m:begChr m:val="["/>
            <m:endChr m:val="]"/>
            <m:sepChr m:val=""/>
            <m:grow/>
          </m:dPr>
          <m:e>
            <m:r>
              <m:t>i</m:t>
            </m:r>
          </m:e>
        </m:d>
      </m:oMath>
      <w:r>
        <w:t xml:space="preserve">.</w:t>
      </w:r>
      <w:r>
        <w:t xml:space="preserve"> </w:t>
      </w:r>
      <w:r>
        <w:rPr>
          <w:iCs/>
          <w:i/>
        </w:rPr>
        <w:t xml:space="preserve">(§24.11.1)</w:t>
      </w:r>
    </w:p>
    <w:p>
      <w:pPr>
        <w:pStyle w:val="BodyText"/>
      </w:pPr>
      <w:r>
        <w:rPr>
          <w:bCs/>
          <w:b/>
        </w:rPr>
        <w:t xml:space="preserve">Vector database</w:t>
      </w:r>
      <w:r>
        <w:t xml:space="preserve"> </w:t>
      </w:r>
      <w:r>
        <w:t xml:space="preserve">— A data store that indexes high-dimensional numeric vectors (</w:t>
      </w:r>
      <w:r>
        <w:rPr>
          <w:bCs/>
          <w:b/>
        </w:rPr>
        <w:t xml:space="preserve">embeddings</w:t>
      </w:r>
      <w:r>
        <w:t xml:space="preserve"> </w:t>
      </w:r>
      <w:r>
        <w:t xml:space="preserve">produced by machine-learning models) and answers</w:t>
      </w:r>
      <w:r>
        <w:t xml:space="preserve"> </w:t>
      </w:r>
      <w:r>
        <w:rPr>
          <w:bCs/>
          <w:b/>
        </w:rPr>
        <w:t xml:space="preserve">approximate nearest neighbor (ANN) search</w:t>
      </w:r>
      <w:r>
        <w:t xml:space="preserve"> </w:t>
      </w:r>
      <w:r>
        <w:t xml:space="preserve">queries:</w:t>
      </w:r>
      <w:r>
        <w:t xml:space="preserve"> </w:t>
      </w:r>
      <w:r>
        <w:t xml:space="preserve">“</w:t>
      </w:r>
      <w:r>
        <w:t xml:space="preserve">the</w:t>
      </w:r>
      <w:r>
        <w:t xml:space="preserve"> </w:t>
      </w:r>
      <w:r>
        <w:rPr>
          <w:iCs/>
          <w:i/>
        </w:rPr>
        <w:t xml:space="preserve">k</w:t>
      </w:r>
      <w:r>
        <w:t xml:space="preserve"> </w:t>
      </w:r>
      <w:r>
        <w:t xml:space="preserve">stored vectors most similar to this query vector</w:t>
      </w:r>
      <w:r>
        <w:t xml:space="preserve">”</w:t>
      </w:r>
      <w:r>
        <w:t xml:space="preserve">, by cosine similarity, dot product or Euclidean distance.</w:t>
      </w:r>
      <w:r>
        <w:t xml:space="preserve"> </w:t>
      </w:r>
      <w:r>
        <w:rPr>
          <w:iCs/>
          <w:i/>
        </w:rPr>
        <w:t xml:space="preserve">(§12.10)</w:t>
      </w:r>
    </w:p>
    <w:p>
      <w:pPr>
        <w:pStyle w:val="BodyText"/>
      </w:pPr>
      <w:r>
        <w:rPr>
          <w:bCs/>
          <w:b/>
        </w:rPr>
        <w:t xml:space="preserve">Vertical scaling (scaling up)</w:t>
      </w:r>
      <w:r>
        <w:t xml:space="preserve"> </w:t>
      </w:r>
      <w:r>
        <w:t xml:space="preserve">— Increasing the capacity of a single node by giving it more or faster CPU cores, memory, storage or network bandwidth, for example by moving a database from an 8-core to a 64-core machine.</w:t>
      </w:r>
      <w:r>
        <w:t xml:space="preserve"> </w:t>
      </w:r>
      <w:r>
        <w:rPr>
          <w:iCs/>
          <w:i/>
        </w:rPr>
        <w:t xml:space="preserve">(§18.3.1)</w:t>
      </w:r>
    </w:p>
    <w:p>
      <w:pPr>
        <w:pStyle w:val="BodyText"/>
      </w:pPr>
      <w:r>
        <w:rPr>
          <w:bCs/>
          <w:b/>
        </w:rPr>
        <w:t xml:space="preserve">Virtual memory</w:t>
      </w:r>
      <w:r>
        <w:t xml:space="preserve"> </w:t>
      </w:r>
      <w:r>
        <w:t xml:space="preserve">— A mechanism in which every address a program uses is a</w:t>
      </w:r>
      <w:r>
        <w:t xml:space="preserve"> </w:t>
      </w:r>
      <w:r>
        <w:rPr>
          <w:bCs/>
          <w:b/>
        </w:rPr>
        <w:t xml:space="preserve">virtual address</w:t>
      </w:r>
      <w:r>
        <w:t xml:space="preserve"> </w:t>
      </w:r>
      <w:r>
        <w:t xml:space="preserve">that the hardware’s</w:t>
      </w:r>
      <w:r>
        <w:t xml:space="preserve"> </w:t>
      </w:r>
      <w:r>
        <w:rPr>
          <w:bCs/>
          <w:b/>
        </w:rPr>
        <w:t xml:space="preserve">memory-management unit (MMU)</w:t>
      </w:r>
      <w:r>
        <w:t xml:space="preserve"> </w:t>
      </w:r>
      <w:r>
        <w:t xml:space="preserve">translates, using tables maintained by the kernel, into a</w:t>
      </w:r>
      <w:r>
        <w:t xml:space="preserve"> </w:t>
      </w:r>
      <w:r>
        <w:rPr>
          <w:bCs/>
          <w:b/>
        </w:rPr>
        <w:t xml:space="preserve">physical address</w:t>
      </w:r>
      <w:r>
        <w:t xml:space="preserve"> </w:t>
      </w:r>
      <w:r>
        <w:t xml:space="preserve">in RAM, or into a fault if no valid mapping exists.</w:t>
      </w:r>
      <w:r>
        <w:t xml:space="preserve"> </w:t>
      </w:r>
      <w:r>
        <w:rPr>
          <w:iCs/>
          <w:i/>
        </w:rPr>
        <w:t xml:space="preserve">(§6.6.1)</w:t>
      </w:r>
    </w:p>
    <w:p>
      <w:pPr>
        <w:pStyle w:val="BodyText"/>
      </w:pPr>
      <w:r>
        <w:rPr>
          <w:bCs/>
          <w:b/>
        </w:rPr>
        <w:t xml:space="preserve">Virtual node (vnode)</w:t>
      </w:r>
      <w:r>
        <w:t xml:space="preserve"> </w:t>
      </w:r>
      <w:r>
        <w:t xml:space="preserve">— One of</w:t>
      </w:r>
      <w:r>
        <w:t xml:space="preserve"> </w:t>
      </w:r>
      <m:oMath>
        <m:r>
          <m:t>V</m:t>
        </m:r>
      </m:oMath>
      <w:r>
        <w:t xml:space="preserve"> </w:t>
      </w:r>
      <w:r>
        <w:t xml:space="preserve">ring positions belonging to the same physical node, typically obtained by hashing labels such as</w:t>
      </w:r>
      <w:r>
        <w:t xml:space="preserve"> </w:t>
      </w:r>
      <w:r>
        <w:rPr>
          <w:rStyle w:val="VerbatimChar"/>
        </w:rPr>
        <w:t xml:space="preserve">db-3#vn17</w:t>
      </w:r>
      <w:r>
        <w:t xml:space="preserve">; also called a</w:t>
      </w:r>
      <w:r>
        <w:t xml:space="preserve"> </w:t>
      </w:r>
      <w:r>
        <w:rPr>
          <w:bCs/>
          <w:b/>
        </w:rPr>
        <w:t xml:space="preserve">token</w:t>
      </w:r>
      <w:r>
        <w:t xml:space="preserve">.</w:t>
      </w:r>
      <w:r>
        <w:t xml:space="preserve"> </w:t>
      </w:r>
      <w:r>
        <w:rPr>
          <w:iCs/>
          <w:i/>
        </w:rPr>
        <w:t xml:space="preserve">(§14.8.1)</w:t>
      </w:r>
    </w:p>
    <w:p>
      <w:pPr>
        <w:pStyle w:val="BodyText"/>
      </w:pPr>
      <w:r>
        <w:rPr>
          <w:bCs/>
          <w:b/>
        </w:rPr>
        <w:t xml:space="preserve">Volcano (iterator) model</w:t>
      </w:r>
      <w:r>
        <w:t xml:space="preserve"> </w:t>
      </w:r>
      <w:r>
        <w:t xml:space="preserve">— An execution model in which a query plan is a tree of operators, each implementing the same interface —</w:t>
      </w:r>
      <w:r>
        <w:t xml:space="preserve"> </w:t>
      </w:r>
      <w:r>
        <w:rPr>
          <w:rStyle w:val="VerbatimChar"/>
        </w:rPr>
        <w:t xml:space="preserve">open()</w:t>
      </w:r>
      <w:r>
        <w:t xml:space="preserve">,</w:t>
      </w:r>
      <w:r>
        <w:t xml:space="preserve"> </w:t>
      </w:r>
      <w:r>
        <w:rPr>
          <w:rStyle w:val="VerbatimChar"/>
        </w:rPr>
        <w:t xml:space="preserve">next()</w:t>
      </w:r>
      <w:r>
        <w:t xml:space="preserve"> </w:t>
      </w:r>
      <w:r>
        <w:t xml:space="preserve">and</w:t>
      </w:r>
      <w:r>
        <w:t xml:space="preserve"> </w:t>
      </w:r>
      <w:r>
        <w:rPr>
          <w:rStyle w:val="VerbatimChar"/>
        </w:rPr>
        <w:t xml:space="preserve">close()</w:t>
      </w:r>
      <w:r>
        <w:t xml:space="preserve"> </w:t>
      </w:r>
      <w:r>
        <w:t xml:space="preserve">— and each</w:t>
      </w:r>
      <w:r>
        <w:t xml:space="preserve"> </w:t>
      </w:r>
      <w:r>
        <w:rPr>
          <w:rStyle w:val="VerbatimChar"/>
        </w:rPr>
        <w:t xml:space="preserve">next()</w:t>
      </w:r>
      <w:r>
        <w:t xml:space="preserve"> </w:t>
      </w:r>
      <w:r>
        <w:t xml:space="preserve">call pulls one row from the operator’s children on demand [Graefe 1994].</w:t>
      </w:r>
      <w:r>
        <w:t xml:space="preserve"> </w:t>
      </w:r>
      <w:r>
        <w:rPr>
          <w:iCs/>
          <w:i/>
        </w:rPr>
        <w:t xml:space="preserve">(§11.9.2)</w:t>
      </w:r>
    </w:p>
    <w:bookmarkEnd w:id="3373"/>
    <w:bookmarkStart w:id="3374" w:name="w"/>
    <w:p>
      <w:pPr>
        <w:pStyle w:val="Heading2"/>
      </w:pPr>
      <w:r>
        <w:t xml:space="preserve">W</w:t>
      </w:r>
    </w:p>
    <w:p>
      <w:pPr>
        <w:pStyle w:val="FirstParagraph"/>
      </w:pPr>
      <w:r>
        <w:rPr>
          <w:bCs/>
          <w:b/>
        </w:rPr>
        <w:t xml:space="preserve">Watermark</w:t>
      </w:r>
      <w:r>
        <w:t xml:space="preserve"> </w:t>
      </w:r>
      <w:r>
        <w:t xml:space="preserve">— A watermark with value</w:t>
      </w:r>
      <w:r>
        <w:t xml:space="preserve"> </w:t>
      </w:r>
      <m:oMath>
        <m:r>
          <m:t>t</m:t>
        </m:r>
      </m:oMath>
      <w:r>
        <w:t xml:space="preserve"> </w:t>
      </w:r>
      <w:r>
        <w:t xml:space="preserve">is a statement flowing through the stream:</w:t>
      </w:r>
      <w:r>
        <w:t xml:space="preserve"> </w:t>
      </w:r>
      <w:r>
        <w:t xml:space="preserve">“</w:t>
      </w:r>
      <w:r>
        <w:t xml:space="preserve">no more events with event time</w:t>
      </w:r>
      <w:r>
        <w:t xml:space="preserve"> </w:t>
      </w:r>
      <m:oMath>
        <m:r>
          <m:rPr>
            <m:sty m:val="p"/>
          </m:rPr>
          <m:t>≤</m:t>
        </m:r>
        <m:r>
          <m:t>t</m:t>
        </m:r>
      </m:oMath>
      <w:r>
        <w:t xml:space="preserve"> </w:t>
      </w:r>
      <w:r>
        <w:t xml:space="preserve">are expected.</w:t>
      </w:r>
      <w:r>
        <w:t xml:space="preserve">”</w:t>
      </w:r>
      <w:r>
        <w:t xml:space="preserve"> </w:t>
      </w:r>
      <w:r>
        <w:t xml:space="preserve">It lets event-time operators decide that a window is complete. A</w:t>
      </w:r>
      <w:r>
        <w:t xml:space="preserve"> </w:t>
      </w:r>
      <w:r>
        <w:rPr>
          <w:bCs/>
          <w:b/>
        </w:rPr>
        <w:t xml:space="preserve">perfect</w:t>
      </w:r>
      <w:r>
        <w:t xml:space="preserve"> </w:t>
      </w:r>
      <w:r>
        <w:t xml:space="preserve">watermark is possible only with full knowledge of the sources; real systems use</w:t>
      </w:r>
      <w:r>
        <w:t xml:space="preserve"> </w:t>
      </w:r>
      <w:r>
        <w:rPr>
          <w:bCs/>
          <w:b/>
        </w:rPr>
        <w:t xml:space="preserve">heuristic</w:t>
      </w:r>
      <w:r>
        <w:t xml:space="preserve"> </w:t>
      </w:r>
      <w:r>
        <w:t xml:space="preserve">watermarks, such as the maximum event time seen minus a bound</w:t>
      </w:r>
      <w:r>
        <w:t xml:space="preserve"> </w:t>
      </w:r>
      <m:oMath>
        <m:r>
          <m:t>δ</m:t>
        </m:r>
      </m:oMath>
      <w:r>
        <w:t xml:space="preserve"> </w:t>
      </w:r>
      <w:r>
        <w:t xml:space="preserve">on out-of-orderness, which can be wrong. Events that arrive with event time behind the watermark are</w:t>
      </w:r>
      <w:r>
        <w:t xml:space="preserve"> </w:t>
      </w:r>
      <w:r>
        <w:rPr>
          <w:bCs/>
          <w:b/>
        </w:rPr>
        <w:t xml:space="preserve">late data</w:t>
      </w:r>
      <w:r>
        <w:t xml:space="preserve">.</w:t>
      </w:r>
      <w:r>
        <w:t xml:space="preserve"> </w:t>
      </w:r>
      <w:r>
        <w:rPr>
          <w:iCs/>
          <w:i/>
        </w:rPr>
        <w:t xml:space="preserve">(§29.8.3)</w:t>
      </w:r>
    </w:p>
    <w:p>
      <w:pPr>
        <w:pStyle w:val="BodyText"/>
      </w:pPr>
      <w:r>
        <w:rPr>
          <w:bCs/>
          <w:b/>
        </w:rPr>
        <w:t xml:space="preserve">WebRTC</w:t>
      </w:r>
      <w:r>
        <w:t xml:space="preserve"> </w:t>
      </w:r>
      <w:r>
        <w:t xml:space="preserve">— A set of IETF protocols (overview in RFC 8825 [Alvestrand 2021]) and a W3C browser API [W3C WebRTC] for real-time audio, video and arbitrary data directly between peers. Media travels over SRTP, data over SCTP data channels, both secured by DTLS, typically over UDP; peers discover a working network path using ICE with the help of STUN and TURN servers.</w:t>
      </w:r>
      <w:r>
        <w:t xml:space="preserve"> </w:t>
      </w:r>
      <w:r>
        <w:rPr>
          <w:iCs/>
          <w:i/>
        </w:rPr>
        <w:t xml:space="preserve">(§9.7.1)</w:t>
      </w:r>
    </w:p>
    <w:p>
      <w:pPr>
        <w:pStyle w:val="BodyText"/>
      </w:pPr>
      <w:r>
        <w:rPr>
          <w:bCs/>
          <w:b/>
        </w:rPr>
        <w:t xml:space="preserve">WebSocket</w:t>
      </w:r>
      <w:r>
        <w:t xml:space="preserve"> </w:t>
      </w:r>
      <w:r>
        <w:t xml:space="preserve">— A protocol, standardized in RFC 6455 [Fette &amp; Melnikov 2011], that starts as an HTTP/1.1 request,</w:t>
      </w:r>
      <w:r>
        <w:t xml:space="preserve"> </w:t>
      </w:r>
      <w:r>
        <w:rPr>
          <w:iCs/>
          <w:i/>
        </w:rPr>
        <w:t xml:space="preserve">upgrades</w:t>
      </w:r>
      <w:r>
        <w:t xml:space="preserve"> </w:t>
      </w:r>
      <w:r>
        <w:t xml:space="preserve">the underlying TCP connection, and thereafter carries a full-duplex sequence of framed messages in both directions with 2–14 bytes of framing overhead per frame. URLs use the schemes</w:t>
      </w:r>
      <w:r>
        <w:t xml:space="preserve"> </w:t>
      </w:r>
      <w:r>
        <w:rPr>
          <w:rStyle w:val="VerbatimChar"/>
        </w:rPr>
        <w:t xml:space="preserve">ws://</w:t>
      </w:r>
      <w:r>
        <w:t xml:space="preserve"> </w:t>
      </w:r>
      <w:r>
        <w:t xml:space="preserve">(plain TCP, default port 80) and</w:t>
      </w:r>
      <w:r>
        <w:t xml:space="preserve"> </w:t>
      </w:r>
      <w:r>
        <w:rPr>
          <w:rStyle w:val="VerbatimChar"/>
        </w:rPr>
        <w:t xml:space="preserve">wss://</w:t>
      </w:r>
      <w:r>
        <w:t xml:space="preserve"> </w:t>
      </w:r>
      <w:r>
        <w:t xml:space="preserve">(over TLS, default port 443).</w:t>
      </w:r>
      <w:r>
        <w:t xml:space="preserve"> </w:t>
      </w:r>
      <w:r>
        <w:rPr>
          <w:iCs/>
          <w:i/>
        </w:rPr>
        <w:t xml:space="preserve">(§9.6.1)</w:t>
      </w:r>
    </w:p>
    <w:p>
      <w:pPr>
        <w:pStyle w:val="BodyText"/>
      </w:pPr>
      <w:r>
        <w:rPr>
          <w:bCs/>
          <w:b/>
        </w:rPr>
        <w:t xml:space="preserve">Wide-column store</w:t>
      </w:r>
      <w:r>
        <w:t xml:space="preserve"> </w:t>
      </w:r>
      <w:r>
        <w:t xml:space="preserve">— A database whose rows are identified by a key, sorted (globally or within a partition) by that key, and contain a sparse, variable set of columns grouped into</w:t>
      </w:r>
      <w:r>
        <w:t xml:space="preserve"> </w:t>
      </w:r>
      <w:r>
        <w:rPr>
          <w:bCs/>
          <w:b/>
        </w:rPr>
        <w:t xml:space="preserve">column families</w:t>
      </w:r>
      <w:r>
        <w:t xml:space="preserve">; each row may have millions of columns and each cell may hold several timestamped versions. Bigtable, HBase, Cassandra and ScyllaDB belong to this family.</w:t>
      </w:r>
      <w:r>
        <w:t xml:space="preserve"> </w:t>
      </w:r>
      <w:r>
        <w:rPr>
          <w:iCs/>
          <w:i/>
        </w:rPr>
        <w:t xml:space="preserve">(§12.6.1)</w:t>
      </w:r>
    </w:p>
    <w:p>
      <w:pPr>
        <w:pStyle w:val="BodyText"/>
      </w:pPr>
      <w:r>
        <w:rPr>
          <w:bCs/>
          <w:b/>
        </w:rPr>
        <w:t xml:space="preserve">Write-ahead log (WAL)</w:t>
      </w:r>
      <w:r>
        <w:t xml:space="preserve"> </w:t>
      </w:r>
      <w:r>
        <w:t xml:space="preserve">— An append-only file of</w:t>
      </w:r>
      <w:r>
        <w:t xml:space="preserve"> </w:t>
      </w:r>
      <w:r>
        <w:rPr>
          <w:bCs/>
          <w:b/>
        </w:rPr>
        <w:t xml:space="preserve">log records</w:t>
      </w:r>
      <w:r>
        <w:t xml:space="preserve"> </w:t>
      </w:r>
      <w:r>
        <w:t xml:space="preserve">describing every change to the database, written</w:t>
      </w:r>
      <w:r>
        <w:t xml:space="preserve"> </w:t>
      </w:r>
      <w:r>
        <w:rPr>
          <w:iCs/>
          <w:i/>
        </w:rPr>
        <w:t xml:space="preserve">before</w:t>
      </w:r>
      <w:r>
        <w:t xml:space="preserve"> </w:t>
      </w:r>
      <w:r>
        <w:t xml:space="preserve">the changed pages themselves reach disk. Each record is identified by a monotonically increasing</w:t>
      </w:r>
      <w:r>
        <w:t xml:space="preserve"> </w:t>
      </w:r>
      <w:r>
        <w:rPr>
          <w:bCs/>
          <w:b/>
        </w:rPr>
        <w:t xml:space="preserve">log sequence number (LSN)</w:t>
      </w:r>
      <w:r>
        <w:t xml:space="preserve">, usually its byte offset in the log. Also called the redo log (InnoDB) or journal.</w:t>
      </w:r>
      <w:r>
        <w:t xml:space="preserve"> </w:t>
      </w:r>
      <w:r>
        <w:rPr>
          <w:iCs/>
          <w:i/>
        </w:rPr>
        <w:t xml:space="preserve">(§13.5.1)</w:t>
      </w:r>
    </w:p>
    <w:p>
      <w:pPr>
        <w:pStyle w:val="BodyText"/>
      </w:pPr>
      <w:r>
        <w:rPr>
          <w:bCs/>
          <w:b/>
        </w:rPr>
        <w:t xml:space="preserve">Write-around</w:t>
      </w:r>
      <w:r>
        <w:t xml:space="preserve"> </w:t>
      </w:r>
      <w:r>
        <w:t xml:space="preserve">— Writes go directly to the database and bypass the cache; the cache is populated only by reads (usually cache-aside), and the written key is invalidated or left to expire.</w:t>
      </w:r>
      <w:r>
        <w:t xml:space="preserve"> </w:t>
      </w:r>
      <w:r>
        <w:rPr>
          <w:iCs/>
          <w:i/>
        </w:rPr>
        <w:t xml:space="preserve">(§20.7.6)</w:t>
      </w:r>
    </w:p>
    <w:p>
      <w:pPr>
        <w:pStyle w:val="BodyText"/>
      </w:pPr>
      <w:r>
        <w:rPr>
          <w:bCs/>
          <w:b/>
        </w:rPr>
        <w:t xml:space="preserve">Write-back</w:t>
      </w:r>
      <w:r>
        <w:t xml:space="preserve"> </w:t>
      </w:r>
      <w:r>
        <w:t xml:space="preserve">— Writes update only the cache and are acknowledged immediately; the cache marks entries</w:t>
      </w:r>
      <w:r>
        <w:t xml:space="preserve"> </w:t>
      </w:r>
      <w:r>
        <w:rPr>
          <w:bCs/>
          <w:b/>
        </w:rPr>
        <w:t xml:space="preserve">dirty</w:t>
      </w:r>
      <w:r>
        <w:t xml:space="preserve"> </w:t>
      </w:r>
      <w:r>
        <w:t xml:space="preserve">and flushes them to the database asynchronously, in batches or after a delay.</w:t>
      </w:r>
      <w:r>
        <w:t xml:space="preserve"> </w:t>
      </w:r>
      <w:r>
        <w:rPr>
          <w:iCs/>
          <w:i/>
        </w:rPr>
        <w:t xml:space="preserve">(§20.7.5)</w:t>
      </w:r>
    </w:p>
    <w:p>
      <w:pPr>
        <w:pStyle w:val="BodyText"/>
      </w:pPr>
      <w:r>
        <w:rPr>
          <w:bCs/>
          <w:b/>
        </w:rPr>
        <w:t xml:space="preserve">Write-through</w:t>
      </w:r>
      <w:r>
        <w:t xml:space="preserve"> </w:t>
      </w:r>
      <w:r>
        <w:t xml:space="preserve">— Every write goes to the cache, which synchronously writes it to the database before acknowledging; the cache is updated and the database is updated as one client-visible operation.</w:t>
      </w:r>
      <w:r>
        <w:t xml:space="preserve"> </w:t>
      </w:r>
      <w:r>
        <w:rPr>
          <w:iCs/>
          <w:i/>
        </w:rPr>
        <w:t xml:space="preserve">(§20.7.4)</w:t>
      </w:r>
    </w:p>
    <w:bookmarkEnd w:id="3374"/>
    <w:bookmarkStart w:id="3375" w:name="x"/>
    <w:p>
      <w:pPr>
        <w:pStyle w:val="Heading2"/>
      </w:pPr>
      <w:r>
        <w:t xml:space="preserve">X</w:t>
      </w:r>
    </w:p>
    <w:p>
      <w:pPr>
        <w:pStyle w:val="FirstParagraph"/>
      </w:pPr>
      <w:r>
        <w:rPr>
          <w:bCs/>
          <w:b/>
        </w:rPr>
        <w:t xml:space="preserve">XA</w:t>
      </w:r>
      <w:r>
        <w:t xml:space="preserve"> </w:t>
      </w:r>
      <w:r>
        <w:t xml:space="preserve">— The X/Open Distributed Transaction Processing standard interface between a</w:t>
      </w:r>
      <w:r>
        <w:t xml:space="preserve"> </w:t>
      </w:r>
      <w:r>
        <w:rPr>
          <w:bCs/>
          <w:b/>
        </w:rPr>
        <w:t xml:space="preserve">transaction manager</w:t>
      </w:r>
      <w:r>
        <w:t xml:space="preserve"> </w:t>
      </w:r>
      <w:r>
        <w:t xml:space="preserve">(TM, the coordinator) and</w:t>
      </w:r>
      <w:r>
        <w:t xml:space="preserve"> </w:t>
      </w:r>
      <w:r>
        <w:rPr>
          <w:bCs/>
          <w:b/>
        </w:rPr>
        <w:t xml:space="preserve">resource managers</w:t>
      </w:r>
      <w:r>
        <w:t xml:space="preserve"> </w:t>
      </w:r>
      <w:r>
        <w:t xml:space="preserve">(RMs: databases, message brokers), with an</w:t>
      </w:r>
      <w:r>
        <w:t xml:space="preserve"> </w:t>
      </w:r>
      <w:r>
        <w:rPr>
          <w:bCs/>
          <w:b/>
        </w:rPr>
        <w:t xml:space="preserve">application program</w:t>
      </w:r>
      <w:r>
        <w:t xml:space="preserve"> </w:t>
      </w:r>
      <w:r>
        <w:t xml:space="preserve">(AP) demarcating transactions. Its main calls are</w:t>
      </w:r>
      <w:r>
        <w:t xml:space="preserve"> </w:t>
      </w:r>
      <w:r>
        <w:rPr>
          <w:rStyle w:val="VerbatimChar"/>
        </w:rPr>
        <w:t xml:space="preserve">xa_start</w:t>
      </w:r>
      <w:r>
        <w:t xml:space="preserve"> </w:t>
      </w:r>
      <w:r>
        <w:t xml:space="preserve">and</w:t>
      </w:r>
      <w:r>
        <w:t xml:space="preserve"> </w:t>
      </w:r>
      <w:r>
        <w:rPr>
          <w:rStyle w:val="VerbatimChar"/>
        </w:rPr>
        <w:t xml:space="preserve">xa_end</w:t>
      </w:r>
      <w:r>
        <w:t xml:space="preserve"> </w:t>
      </w:r>
      <w:r>
        <w:t xml:space="preserve">(associate work with a global transaction ID, the XID),</w:t>
      </w:r>
      <w:r>
        <w:t xml:space="preserve"> </w:t>
      </w:r>
      <w:r>
        <w:rPr>
          <w:rStyle w:val="VerbatimChar"/>
        </w:rPr>
        <w:t xml:space="preserve">xa_prepare</w:t>
      </w:r>
      <w:r>
        <w:t xml:space="preserve">,</w:t>
      </w:r>
      <w:r>
        <w:t xml:space="preserve"> </w:t>
      </w:r>
      <w:r>
        <w:rPr>
          <w:rStyle w:val="VerbatimChar"/>
        </w:rPr>
        <w:t xml:space="preserve">xa_commit</w:t>
      </w:r>
      <w:r>
        <w:t xml:space="preserve">,</w:t>
      </w:r>
      <w:r>
        <w:t xml:space="preserve"> </w:t>
      </w:r>
      <w:r>
        <w:rPr>
          <w:rStyle w:val="VerbatimChar"/>
        </w:rPr>
        <w:t xml:space="preserve">xa_rollback</w:t>
      </w:r>
      <w:r>
        <w:t xml:space="preserve"> </w:t>
      </w:r>
      <w:r>
        <w:t xml:space="preserve">and</w:t>
      </w:r>
      <w:r>
        <w:t xml:space="preserve"> </w:t>
      </w:r>
      <w:r>
        <w:rPr>
          <w:rStyle w:val="VerbatimChar"/>
        </w:rPr>
        <w:t xml:space="preserve">xa_recover</w:t>
      </w:r>
      <w:r>
        <w:t xml:space="preserve"> </w:t>
      </w:r>
      <w:r>
        <w:t xml:space="preserve">(list in-doubt XIDs after a crash) [X/Open 1991].</w:t>
      </w:r>
      <w:r>
        <w:t xml:space="preserve"> </w:t>
      </w:r>
      <w:r>
        <w:rPr>
          <w:iCs/>
          <w:i/>
        </w:rPr>
        <w:t xml:space="preserve">(§28.4.6)</w:t>
      </w:r>
    </w:p>
    <w:bookmarkEnd w:id="3375"/>
    <w:bookmarkStart w:id="3376" w:name="z"/>
    <w:p>
      <w:pPr>
        <w:pStyle w:val="Heading2"/>
      </w:pPr>
      <w:r>
        <w:t xml:space="preserve">Z</w:t>
      </w:r>
    </w:p>
    <w:p>
      <w:pPr>
        <w:pStyle w:val="FirstParagraph"/>
      </w:pPr>
      <w:r>
        <w:rPr>
          <w:bCs/>
          <w:b/>
        </w:rPr>
        <w:t xml:space="preserve">Zero trust</w:t>
      </w:r>
      <w:r>
        <w:t xml:space="preserve"> </w:t>
      </w:r>
      <w:r>
        <w:t xml:space="preserve">— A security model in which network location confers no trust: every request is authenticated, authorized and encrypted based on the identity of the user, the device and the workload, plus contextual signals, regardless of where it originates. NIST SP 800-207 describes it as moving defenses</w:t>
      </w:r>
      <w:r>
        <w:t xml:space="preserve"> </w:t>
      </w:r>
      <w:r>
        <w:t xml:space="preserve">“</w:t>
      </w:r>
      <w:r>
        <w:t xml:space="preserve">from static, network-based perimeters to focus on users, assets, and resources</w:t>
      </w:r>
      <w:r>
        <w:t xml:space="preserve">”</w:t>
      </w:r>
      <w:r>
        <w:t xml:space="preserve"> </w:t>
      </w:r>
      <w:r>
        <w:t xml:space="preserve">[NIST SP 800-207].</w:t>
      </w:r>
      <w:r>
        <w:t xml:space="preserve"> </w:t>
      </w:r>
      <w:r>
        <w:rPr>
          <w:iCs/>
          <w:i/>
        </w:rPr>
        <w:t xml:space="preserve">(§10.10.1)</w:t>
      </w:r>
    </w:p>
    <w:p>
      <w:pPr>
        <w:pStyle w:val="BodyText"/>
      </w:pPr>
      <w:r>
        <w:rPr>
          <w:bCs/>
          <w:b/>
        </w:rPr>
        <w:t xml:space="preserve">Zipf (Zipf-like) distribution</w:t>
      </w:r>
      <w:r>
        <w:t xml:space="preserve"> </w:t>
      </w:r>
      <w:r>
        <w:t xml:space="preserve">— A popularity law in which the item of popularity rank</w:t>
      </w:r>
      <w:r>
        <w:t xml:space="preserve"> </w:t>
      </w:r>
      <m:oMath>
        <m:r>
          <m:t>i</m:t>
        </m:r>
      </m:oMath>
      <w:r>
        <w:t xml:space="preserve"> </w:t>
      </w:r>
      <w:r>
        <w:t xml:space="preserve">is requested with probability proportional to</w:t>
      </w:r>
      <w:r>
        <w:t xml:space="preserve"> </w:t>
      </w:r>
      <m:oMath>
        <m:r>
          <m:t>1</m:t>
        </m:r>
        <m:r>
          <m:rPr>
            <m:sty m:val="p"/>
          </m:rPr>
          <m:t>/</m:t>
        </m:r>
        <m:sSup>
          <m:e>
            <m:r>
              <m:t>i</m:t>
            </m:r>
          </m:e>
          <m:sup>
            <m:r>
              <m:t>s</m:t>
            </m:r>
          </m:sup>
        </m:sSup>
      </m:oMath>
      <w:r>
        <w:t xml:space="preserve">, where</w:t>
      </w:r>
      <w:r>
        <w:t xml:space="preserve"> </w:t>
      </w:r>
      <m:oMath>
        <m:r>
          <m:t>s</m:t>
        </m:r>
        <m:r>
          <m:rPr>
            <m:sty m:val="p"/>
          </m:rPr>
          <m:t>&gt;</m:t>
        </m:r>
        <m:r>
          <m:t>0</m:t>
        </m:r>
      </m:oMath>
      <w:r>
        <w:t xml:space="preserve"> </w:t>
      </w:r>
      <w:r>
        <w:t xml:space="preserve">is the</w:t>
      </w:r>
      <w:r>
        <w:t xml:space="preserve"> </w:t>
      </w:r>
      <w:r>
        <w:rPr>
          <w:bCs/>
          <w:b/>
        </w:rPr>
        <w:t xml:space="preserve">skew exponent</w:t>
      </w:r>
      <w:r>
        <w:t xml:space="preserve">. Breslau et al. found that requests to web proxies follow a Zipf-like law with an exponent below 1 and that, as a consequence, hit ratio grows roughly logarithmically with cache size [Breslau et al. 1999].</w:t>
      </w:r>
      <w:r>
        <w:t xml:space="preserve"> </w:t>
      </w:r>
      <w:r>
        <w:rPr>
          <w:iCs/>
          <w:i/>
        </w:rPr>
        <w:t xml:space="preserve">(§20.3.3)</w:t>
      </w:r>
    </w:p>
    <w:p>
      <w:pPr>
        <w:pStyle w:val="BodyText"/>
      </w:pPr>
      <w:r>
        <w:rPr>
          <w:bCs/>
          <w:b/>
        </w:rPr>
        <w:t xml:space="preserve">ZooKeeper</w:t>
      </w:r>
      <w:r>
        <w:t xml:space="preserve"> </w:t>
      </w:r>
      <w:r>
        <w:t xml:space="preserve">— A replicated coordination service that exposes a small, file-system-like tree of data nodes (</w:t>
      </w:r>
      <w:r>
        <w:rPr>
          <w:bCs/>
          <w:b/>
        </w:rPr>
        <w:t xml:space="preserve">znodes</w:t>
      </w:r>
      <w:r>
        <w:t xml:space="preserve">) with linearizable writes, FIFO per-client ordering, ephemeral and sequential nodes, and change notifications (</w:t>
      </w:r>
      <w:r>
        <w:rPr>
          <w:bCs/>
          <w:b/>
        </w:rPr>
        <w:t xml:space="preserve">watches</w:t>
      </w:r>
      <w:r>
        <w:t xml:space="preserve">). Applications build locks, leader election, barriers and configuration management on top of these primitives [Hunt et al. 2010].</w:t>
      </w:r>
      <w:r>
        <w:t xml:space="preserve"> </w:t>
      </w:r>
      <w:r>
        <w:rPr>
          <w:iCs/>
          <w:i/>
        </w:rPr>
        <w:t xml:space="preserve">(§26.8.1)</w:t>
      </w:r>
    </w:p>
    <w:bookmarkEnd w:id="3376"/>
    <w:bookmarkEnd w:id="3377"/>
    <w:sectPr>
      <w:pgMar w:bottom="1247" w:left="1247" w:right="1247"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1"/>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 w:numId="1172">
    <w:abstractNumId w:val="991"/>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1"/>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1"/>
  </w:num>
  <w:num w:numId="1178">
    <w:abstractNumId w:val="991"/>
  </w:num>
  <w:num w:numId="1179">
    <w:abstractNumId w:val="991"/>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1"/>
  </w:num>
  <w:num w:numId="1183">
    <w:abstractNumId w:val="991"/>
  </w:num>
  <w:num w:numId="1184">
    <w:abstractNumId w:val="991"/>
  </w:num>
  <w:num w:numId="1185">
    <w:abstractNumId w:val="991"/>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1"/>
  </w:num>
  <w:num w:numId="1189">
    <w:abstractNumId w:val="991"/>
  </w:num>
  <w:num w:numId="1190">
    <w:abstractNumId w:val="991"/>
  </w:num>
  <w:num w:numId="1191">
    <w:abstractNumId w:val="991"/>
  </w:num>
  <w:num w:numId="1192">
    <w:abstractNumId w:val="991"/>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1"/>
  </w:num>
  <w:num w:numId="1204">
    <w:abstractNumId w:val="991"/>
  </w:num>
  <w:num w:numId="1205">
    <w:abstractNumId w:val="991"/>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1"/>
  </w:num>
  <w:num w:numId="1212">
    <w:abstractNumId w:val="991"/>
  </w:num>
  <w:num w:numId="1213">
    <w:abstractNumId w:val="991"/>
  </w:num>
  <w:num w:numId="12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1"/>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1"/>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1"/>
  </w:num>
  <w:num w:numId="12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1"/>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1"/>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1"/>
  </w:num>
  <w:num w:numId="12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1"/>
  </w:num>
  <w:num w:numId="1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1"/>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1"/>
  </w:num>
  <w:num w:numId="1254">
    <w:abstractNumId w:val="991"/>
  </w:num>
  <w:num w:numId="12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7">
    <w:abstractNumId w:val="991"/>
  </w:num>
  <w:num w:numId="12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1"/>
  </w:num>
  <w:num w:numId="12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1"/>
  </w:num>
  <w:num w:numId="12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6">
    <w:abstractNumId w:val="991"/>
  </w:num>
  <w:num w:numId="1267">
    <w:abstractNumId w:val="991"/>
  </w:num>
  <w:num w:numId="1268">
    <w:abstractNumId w:val="991"/>
  </w:num>
  <w:num w:numId="12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0">
    <w:abstractNumId w:val="991"/>
  </w:num>
  <w:num w:numId="12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1"/>
  </w:num>
  <w:num w:numId="1273">
    <w:abstractNumId w:val="991"/>
  </w:num>
  <w:num w:numId="1274">
    <w:abstractNumId w:val="991"/>
  </w:num>
  <w:num w:numId="12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1"/>
  </w:num>
  <w:num w:numId="12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1"/>
  </w:num>
  <w:num w:numId="1279">
    <w:abstractNumId w:val="991"/>
  </w:num>
  <w:num w:numId="1280">
    <w:abstractNumId w:val="991"/>
  </w:num>
  <w:num w:numId="12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3">
    <w:abstractNumId w:val="991"/>
  </w:num>
  <w:num w:numId="1284">
    <w:abstractNumId w:val="991"/>
  </w:num>
  <w:num w:numId="12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6">
    <w:abstractNumId w:val="991"/>
  </w:num>
  <w:num w:numId="12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2">
    <w:abstractNumId w:val="991"/>
  </w:num>
  <w:num w:numId="1293">
    <w:abstractNumId w:val="991"/>
  </w:num>
  <w:num w:numId="1294">
    <w:abstractNumId w:val="991"/>
  </w:num>
  <w:num w:numId="12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7">
    <w:abstractNumId w:val="991"/>
  </w:num>
  <w:num w:numId="12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0">
    <w:abstractNumId w:val="991"/>
  </w:num>
  <w:num w:numId="13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1"/>
  </w:num>
  <w:num w:numId="1303">
    <w:abstractNumId w:val="991"/>
  </w:num>
  <w:num w:numId="1304">
    <w:abstractNumId w:val="991"/>
  </w:num>
  <w:num w:numId="13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991"/>
  </w:num>
  <w:num w:numId="13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8">
    <w:abstractNumId w:val="991"/>
  </w:num>
  <w:num w:numId="1309">
    <w:abstractNumId w:val="991"/>
  </w:num>
  <w:num w:numId="1310">
    <w:abstractNumId w:val="991"/>
  </w:num>
  <w:num w:numId="13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2">
    <w:abstractNumId w:val="991"/>
  </w:num>
  <w:num w:numId="13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4">
    <w:abstractNumId w:val="991"/>
  </w:num>
  <w:num w:numId="13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7">
    <w:abstractNumId w:val="991"/>
  </w:num>
  <w:num w:numId="1318">
    <w:abstractNumId w:val="991"/>
  </w:num>
  <w:num w:numId="13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1"/>
  </w:num>
  <w:num w:numId="13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8">
    <w:abstractNumId w:val="991"/>
  </w:num>
  <w:num w:numId="13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1">
    <w:abstractNumId w:val="991"/>
  </w:num>
  <w:num w:numId="13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4">
    <w:abstractNumId w:val="991"/>
  </w:num>
  <w:num w:numId="1335">
    <w:abstractNumId w:val="991"/>
  </w:num>
  <w:num w:numId="1336">
    <w:abstractNumId w:val="991"/>
  </w:num>
  <w:num w:numId="13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0">
    <w:abstractNumId w:val="991"/>
  </w:num>
  <w:num w:numId="1341">
    <w:abstractNumId w:val="991"/>
  </w:num>
  <w:num w:numId="1342">
    <w:abstractNumId w:val="991"/>
  </w:num>
  <w:num w:numId="13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6">
    <w:abstractNumId w:val="991"/>
  </w:num>
  <w:num w:numId="1347">
    <w:abstractNumId w:val="991"/>
  </w:num>
  <w:num w:numId="13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9">
    <w:abstractNumId w:val="991"/>
  </w:num>
  <w:num w:numId="1350">
    <w:abstractNumId w:val="991"/>
  </w:num>
  <w:num w:numId="13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7">
    <w:abstractNumId w:val="991"/>
  </w:num>
  <w:num w:numId="1358">
    <w:abstractNumId w:val="991"/>
  </w:num>
  <w:num w:numId="1359">
    <w:abstractNumId w:val="991"/>
  </w:num>
  <w:num w:numId="13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1">
    <w:abstractNumId w:val="991"/>
  </w:num>
  <w:num w:numId="13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4">
    <w:abstractNumId w:val="991"/>
  </w:num>
  <w:num w:numId="13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6">
    <w:abstractNumId w:val="991"/>
  </w:num>
  <w:num w:numId="13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8">
    <w:abstractNumId w:val="991"/>
  </w:num>
  <w:num w:numId="1369">
    <w:abstractNumId w:val="991"/>
  </w:num>
  <w:num w:numId="1370">
    <w:abstractNumId w:val="991"/>
  </w:num>
  <w:num w:numId="1371">
    <w:abstractNumId w:val="991"/>
  </w:num>
  <w:num w:numId="13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5">
    <w:abstractNumId w:val="991"/>
  </w:num>
  <w:num w:numId="1376">
    <w:abstractNumId w:val="991"/>
  </w:num>
  <w:num w:numId="13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8">
    <w:abstractNumId w:val="991"/>
  </w:num>
  <w:num w:numId="13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2">
    <w:abstractNumId w:val="991"/>
  </w:num>
  <w:num w:numId="1383">
    <w:abstractNumId w:val="991"/>
  </w:num>
  <w:num w:numId="1384">
    <w:abstractNumId w:val="991"/>
  </w:num>
  <w:num w:numId="1385">
    <w:abstractNumId w:val="991"/>
  </w:num>
  <w:num w:numId="13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7">
    <w:abstractNumId w:val="991"/>
  </w:num>
  <w:num w:numId="13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9">
    <w:abstractNumId w:val="991"/>
  </w:num>
  <w:num w:numId="13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1">
    <w:abstractNumId w:val="991"/>
  </w:num>
  <w:num w:numId="1392">
    <w:abstractNumId w:val="991"/>
  </w:num>
  <w:num w:numId="1393">
    <w:abstractNumId w:val="991"/>
  </w:num>
  <w:num w:numId="13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0">
    <w:abstractNumId w:val="991"/>
  </w:num>
  <w:num w:numId="1401">
    <w:abstractNumId w:val="991"/>
  </w:num>
  <w:num w:numId="1402">
    <w:abstractNumId w:val="991"/>
  </w:num>
  <w:num w:numId="14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4">
    <w:abstractNumId w:val="991"/>
  </w:num>
  <w:num w:numId="14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6">
    <w:abstractNumId w:val="991"/>
  </w:num>
  <w:num w:numId="14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9">
    <w:abstractNumId w:val="991"/>
  </w:num>
  <w:num w:numId="14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1">
    <w:abstractNumId w:val="991"/>
  </w:num>
  <w:num w:numId="1412">
    <w:abstractNumId w:val="991"/>
  </w:num>
  <w:num w:numId="14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5">
    <w:abstractNumId w:val="991"/>
  </w:num>
  <w:num w:numId="1416">
    <w:abstractNumId w:val="991"/>
  </w:num>
  <w:num w:numId="14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8">
    <w:abstractNumId w:val="991"/>
  </w:num>
  <w:num w:numId="14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0">
    <w:abstractNumId w:val="991"/>
  </w:num>
  <w:num w:numId="14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2">
    <w:abstractNumId w:val="991"/>
  </w:num>
  <w:num w:numId="14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4">
    <w:abstractNumId w:val="991"/>
  </w:num>
  <w:num w:numId="14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8">
    <w:abstractNumId w:val="991"/>
  </w:num>
  <w:num w:numId="14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3">
    <w:abstractNumId w:val="991"/>
  </w:num>
  <w:num w:numId="1434">
    <w:abstractNumId w:val="991"/>
  </w:num>
  <w:num w:numId="1435">
    <w:abstractNumId w:val="991"/>
  </w:num>
  <w:num w:numId="14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8">
    <w:abstractNumId w:val="991"/>
  </w:num>
  <w:num w:numId="14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0">
    <w:abstractNumId w:val="991"/>
  </w:num>
  <w:num w:numId="14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4">
    <w:abstractNumId w:val="991"/>
  </w:num>
  <w:num w:numId="1455">
    <w:abstractNumId w:val="991"/>
  </w:num>
  <w:num w:numId="14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7">
    <w:abstractNumId w:val="991"/>
  </w:num>
  <w:num w:numId="14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3">
    <w:abstractNumId w:val="991"/>
  </w:num>
  <w:num w:numId="1464">
    <w:abstractNumId w:val="991"/>
  </w:num>
  <w:num w:numId="1465">
    <w:abstractNumId w:val="991"/>
  </w:num>
  <w:num w:numId="14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8">
    <w:abstractNumId w:val="991"/>
  </w:num>
  <w:num w:numId="14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2">
    <w:abstractNumId w:val="991"/>
  </w:num>
  <w:num w:numId="1473">
    <w:abstractNumId w:val="991"/>
  </w:num>
  <w:num w:numId="14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8">
    <w:abstractNumId w:val="991"/>
  </w:num>
  <w:num w:numId="14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0">
    <w:abstractNumId w:val="991"/>
  </w:num>
  <w:num w:numId="14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3">
    <w:abstractNumId w:val="991"/>
  </w:num>
  <w:num w:numId="1484">
    <w:abstractNumId w:val="991"/>
  </w:num>
  <w:num w:numId="14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6">
    <w:abstractNumId w:val="991"/>
  </w:num>
  <w:num w:numId="1487">
    <w:abstractNumId w:val="991"/>
  </w:num>
  <w:num w:numId="14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2">
    <w:abstractNumId w:val="991"/>
  </w:num>
  <w:num w:numId="14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5">
    <w:abstractNumId w:val="991"/>
  </w:num>
  <w:num w:numId="14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7">
    <w:abstractNumId w:val="991"/>
  </w:num>
  <w:num w:numId="14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3">
    <w:abstractNumId w:val="991"/>
  </w:num>
  <w:num w:numId="1504">
    <w:abstractNumId w:val="991"/>
  </w:num>
  <w:num w:numId="1505">
    <w:abstractNumId w:val="991"/>
  </w:num>
  <w:num w:numId="15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5">
    <w:abstractNumId w:val="991"/>
  </w:num>
  <w:num w:numId="15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9">
    <w:abstractNumId w:val="991"/>
  </w:num>
  <w:num w:numId="15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1">
    <w:abstractNumId w:val="991"/>
  </w:num>
  <w:num w:numId="15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7">
    <w:abstractNumId w:val="991"/>
  </w:num>
  <w:num w:numId="15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9">
    <w:abstractNumId w:val="991"/>
  </w:num>
  <w:num w:numId="1530">
    <w:abstractNumId w:val="991"/>
  </w:num>
  <w:num w:numId="15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2">
    <w:abstractNumId w:val="991"/>
  </w:num>
  <w:num w:numId="1533">
    <w:abstractNumId w:val="991"/>
  </w:num>
  <w:num w:numId="15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5">
    <w:abstractNumId w:val="991"/>
  </w:num>
  <w:num w:numId="15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7">
    <w:abstractNumId w:val="991"/>
  </w:num>
  <w:num w:numId="15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0">
    <w:abstractNumId w:val="991"/>
  </w:num>
  <w:num w:numId="15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3">
    <w:abstractNumId w:val="991"/>
  </w:num>
  <w:num w:numId="15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9">
    <w:abstractNumId w:val="991"/>
  </w:num>
  <w:num w:numId="15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5">
    <w:abstractNumId w:val="991"/>
  </w:num>
  <w:num w:numId="1556">
    <w:abstractNumId w:val="991"/>
  </w:num>
  <w:num w:numId="1557">
    <w:abstractNumId w:val="991"/>
  </w:num>
  <w:num w:numId="15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0">
    <w:abstractNumId w:val="991"/>
  </w:num>
  <w:num w:numId="15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3">
    <w:abstractNumId w:val="991"/>
  </w:num>
  <w:num w:numId="15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7">
    <w:abstractNumId w:val="991"/>
  </w:num>
  <w:num w:numId="15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0">
    <w:abstractNumId w:val="991"/>
  </w:num>
  <w:num w:numId="15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3">
    <w:abstractNumId w:val="991"/>
  </w:num>
  <w:num w:numId="15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6">
    <w:abstractNumId w:val="991"/>
  </w:num>
  <w:num w:numId="15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9">
    <w:abstractNumId w:val="991"/>
  </w:num>
  <w:num w:numId="15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4">
    <w:abstractNumId w:val="991"/>
  </w:num>
  <w:num w:numId="15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8">
    <w:abstractNumId w:val="991"/>
  </w:num>
  <w:num w:numId="15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0">
    <w:abstractNumId w:val="991"/>
  </w:num>
  <w:num w:numId="15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6">
    <w:abstractNumId w:val="991"/>
  </w:num>
  <w:num w:numId="1597">
    <w:abstractNumId w:val="991"/>
  </w:num>
  <w:num w:numId="1598">
    <w:abstractNumId w:val="991"/>
  </w:num>
  <w:num w:numId="15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1">
    <w:abstractNumId w:val="991"/>
  </w:num>
  <w:num w:numId="16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7">
    <w:abstractNumId w:val="991"/>
  </w:num>
  <w:num w:numId="16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9">
    <w:abstractNumId w:val="991"/>
  </w:num>
  <w:num w:numId="16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4">
    <w:abstractNumId w:val="991"/>
  </w:num>
  <w:num w:numId="16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0">
    <w:abstractNumId w:val="991"/>
  </w:num>
  <w:num w:numId="1621">
    <w:abstractNumId w:val="991"/>
  </w:num>
  <w:num w:numId="1622">
    <w:abstractNumId w:val="991"/>
  </w:num>
  <w:num w:numId="16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8">
    <w:abstractNumId w:val="991"/>
  </w:num>
  <w:num w:numId="16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4">
    <w:abstractNumId w:val="991"/>
  </w:num>
  <w:num w:numId="1635">
    <w:abstractNumId w:val="991"/>
  </w:num>
  <w:num w:numId="16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7">
    <w:abstractNumId w:val="991"/>
  </w:num>
  <w:num w:numId="16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1">
    <w:abstractNumId w:val="991"/>
  </w:num>
  <w:num w:numId="16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8">
    <w:abstractNumId w:val="991"/>
  </w:num>
  <w:num w:numId="16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4">
    <w:abstractNumId w:val="991"/>
  </w:num>
  <w:num w:numId="1655">
    <w:abstractNumId w:val="991"/>
  </w:num>
  <w:num w:numId="1656">
    <w:abstractNumId w:val="991"/>
  </w:num>
  <w:num w:numId="16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0">
    <w:abstractNumId w:val="991"/>
  </w:num>
  <w:num w:numId="1661">
    <w:abstractNumId w:val="991"/>
  </w:num>
  <w:num w:numId="16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7">
    <w:abstractNumId w:val="991"/>
  </w:num>
  <w:num w:numId="1668">
    <w:abstractNumId w:val="991"/>
  </w:num>
  <w:num w:numId="16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0">
    <w:abstractNumId w:val="991"/>
  </w:num>
  <w:num w:numId="16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2">
    <w:abstractNumId w:val="991"/>
  </w:num>
  <w:num w:numId="1673">
    <w:abstractNumId w:val="991"/>
  </w:num>
  <w:num w:numId="16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6">
    <w:abstractNumId w:val="991"/>
  </w:num>
  <w:num w:numId="16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2">
    <w:abstractNumId w:val="991"/>
  </w:num>
  <w:num w:numId="1683">
    <w:abstractNumId w:val="991"/>
  </w:num>
  <w:num w:numId="1684">
    <w:abstractNumId w:val="991"/>
  </w:num>
  <w:num w:numId="16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8">
    <w:abstractNumId w:val="991"/>
  </w:num>
  <w:num w:numId="16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3">
    <w:abstractNumId w:val="991"/>
  </w:num>
  <w:num w:numId="16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5">
    <w:abstractNumId w:val="991"/>
  </w:num>
  <w:num w:numId="16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9">
    <w:abstractNumId w:val="991"/>
  </w:num>
  <w:num w:numId="17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1">
    <w:abstractNumId w:val="991"/>
  </w:num>
  <w:num w:numId="1702">
    <w:abstractNumId w:val="991"/>
  </w:num>
  <w:num w:numId="1703">
    <w:abstractNumId w:val="991"/>
  </w:num>
  <w:num w:numId="17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9">
    <w:abstractNumId w:val="991"/>
  </w:num>
  <w:num w:numId="1710">
    <w:abstractNumId w:val="991"/>
  </w:num>
  <w:num w:numId="1711">
    <w:abstractNumId w:val="991"/>
  </w:num>
  <w:num w:numId="17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3">
    <w:abstractNumId w:val="991"/>
  </w:num>
  <w:num w:numId="1714">
    <w:abstractNumId w:val="991"/>
  </w:num>
  <w:num w:numId="17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7">
    <w:abstractNumId w:val="991"/>
  </w:num>
  <w:num w:numId="17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9">
    <w:abstractNumId w:val="991"/>
  </w:num>
  <w:num w:numId="17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3">
    <w:abstractNumId w:val="991"/>
  </w:num>
  <w:num w:numId="1724">
    <w:abstractNumId w:val="991"/>
  </w:num>
  <w:num w:numId="17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7">
    <w:abstractNumId w:val="991"/>
  </w:num>
  <w:num w:numId="17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5">
    <w:abstractNumId w:val="991"/>
  </w:num>
  <w:num w:numId="17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7">
    <w:abstractNumId w:val="991"/>
  </w:num>
  <w:num w:numId="1738">
    <w:abstractNumId w:val="991"/>
  </w:num>
  <w:num w:numId="17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1">
    <w:abstractNumId w:val="991"/>
  </w:num>
  <w:num w:numId="17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3">
    <w:abstractNumId w:val="991"/>
  </w:num>
  <w:num w:numId="17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9">
    <w:abstractNumId w:val="991"/>
  </w:num>
  <w:num w:numId="1750">
    <w:abstractNumId w:val="991"/>
  </w:num>
  <w:num w:numId="1751">
    <w:abstractNumId w:val="991"/>
  </w:num>
  <w:num w:numId="17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6">
    <w:abstractNumId w:val="991"/>
  </w:num>
  <w:num w:numId="17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9">
    <w:abstractNumId w:val="991"/>
  </w:num>
  <w:num w:numId="1760">
    <w:abstractNumId w:val="991"/>
  </w:num>
  <w:num w:numId="17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5">
    <w:abstractNumId w:val="991"/>
  </w:num>
  <w:num w:numId="17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0">
    <w:abstractNumId w:val="991"/>
  </w:num>
  <w:num w:numId="1771">
    <w:abstractNumId w:val="991"/>
  </w:num>
  <w:num w:numId="17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3">
    <w:abstractNumId w:val="991"/>
  </w:num>
  <w:num w:numId="17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9">
    <w:abstractNumId w:val="991"/>
  </w:num>
  <w:num w:numId="1780">
    <w:abstractNumId w:val="991"/>
  </w:num>
  <w:num w:numId="1781">
    <w:abstractNumId w:val="991"/>
  </w:num>
  <w:num w:numId="17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5">
    <w:abstractNumId w:val="991"/>
  </w:num>
  <w:num w:numId="17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1">
    <w:abstractNumId w:val="991"/>
  </w:num>
  <w:num w:numId="1792">
    <w:abstractNumId w:val="991"/>
  </w:num>
  <w:num w:numId="1793">
    <w:abstractNumId w:val="991"/>
  </w:num>
  <w:num w:numId="17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5">
    <w:abstractNumId w:val="991"/>
  </w:num>
  <w:num w:numId="17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8">
    <w:abstractNumId w:val="991"/>
  </w:num>
  <w:num w:numId="1799">
    <w:abstractNumId w:val="991"/>
  </w:num>
  <w:num w:numId="18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5">
    <w:abstractNumId w:val="991"/>
  </w:num>
  <w:num w:numId="1806">
    <w:abstractNumId w:val="991"/>
  </w:num>
  <w:num w:numId="1807">
    <w:abstractNumId w:val="991"/>
  </w:num>
  <w:num w:numId="18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9">
    <w:abstractNumId w:val="991"/>
  </w:num>
  <w:num w:numId="18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3">
    <w:abstractNumId w:val="991"/>
  </w:num>
  <w:num w:numId="18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5">
    <w:abstractNumId w:val="991"/>
  </w:num>
  <w:num w:numId="1816">
    <w:abstractNumId w:val="991"/>
  </w:num>
  <w:num w:numId="1817">
    <w:abstractNumId w:val="991"/>
  </w:num>
  <w:num w:numId="18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9">
    <w:abstractNumId w:val="991"/>
  </w:num>
  <w:num w:numId="18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3">
    <w:abstractNumId w:val="991"/>
  </w:num>
  <w:num w:numId="18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5">
    <w:abstractNumId w:val="991"/>
  </w:num>
  <w:num w:numId="18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1">
    <w:abstractNumId w:val="991"/>
  </w:num>
  <w:num w:numId="1832">
    <w:abstractNumId w:val="991"/>
  </w:num>
  <w:num w:numId="1833">
    <w:abstractNumId w:val="991"/>
  </w:num>
  <w:num w:numId="18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9">
    <w:abstractNumId w:val="991"/>
  </w:num>
  <w:num w:numId="18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5">
    <w:abstractNumId w:val="991"/>
  </w:num>
  <w:num w:numId="1846">
    <w:abstractNumId w:val="991"/>
  </w:num>
  <w:num w:numId="18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8">
    <w:abstractNumId w:val="991"/>
  </w:num>
  <w:num w:numId="1849">
    <w:abstractNumId w:val="991"/>
  </w:num>
  <w:num w:numId="1850">
    <w:abstractNumId w:val="991"/>
  </w:num>
  <w:num w:numId="18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4">
    <w:abstractNumId w:val="991"/>
  </w:num>
  <w:num w:numId="18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6">
    <w:abstractNumId w:val="991"/>
  </w:num>
  <w:num w:numId="1857">
    <w:abstractNumId w:val="991"/>
  </w:num>
  <w:num w:numId="18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3">
    <w:abstractNumId w:val="991"/>
  </w:num>
  <w:num w:numId="1864">
    <w:abstractNumId w:val="991"/>
  </w:num>
  <w:num w:numId="1865">
    <w:abstractNumId w:val="991"/>
  </w:num>
  <w:num w:numId="18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7">
    <w:abstractNumId w:val="991"/>
  </w:num>
  <w:num w:numId="18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0">
    <w:abstractNumId w:val="991"/>
  </w:num>
  <w:num w:numId="18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0">
    <w:abstractNumId w:val="991"/>
  </w:num>
  <w:num w:numId="1881">
    <w:abstractNumId w:val="991"/>
  </w:num>
  <w:num w:numId="18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9">
    <w:abstractNumId w:val="991"/>
  </w:num>
  <w:num w:numId="18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1">
    <w:abstractNumId w:val="991"/>
  </w:num>
  <w:num w:numId="18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7">
    <w:abstractNumId w:val="991"/>
  </w:num>
  <w:num w:numId="18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9">
    <w:abstractNumId w:val="991"/>
  </w:num>
  <w:num w:numId="1900">
    <w:abstractNumId w:val="991"/>
  </w:num>
  <w:num w:numId="19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6">
    <w:abstractNumId w:val="991"/>
  </w:num>
  <w:num w:numId="1907">
    <w:abstractNumId w:val="991"/>
  </w:num>
  <w:num w:numId="1908">
    <w:abstractNumId w:val="991"/>
  </w:num>
  <w:num w:numId="19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2">
    <w:abstractNumId w:val="991"/>
  </w:num>
  <w:num w:numId="19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7">
    <w:abstractNumId w:val="991"/>
  </w:num>
  <w:num w:numId="1918">
    <w:abstractNumId w:val="991"/>
  </w:num>
  <w:num w:numId="19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2">
    <w:abstractNumId w:val="991"/>
  </w:num>
  <w:num w:numId="19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9">
    <w:abstractNumId w:val="991"/>
  </w:num>
  <w:num w:numId="19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5">
    <w:abstractNumId w:val="991"/>
  </w:num>
  <w:num w:numId="1936">
    <w:abstractNumId w:val="991"/>
  </w:num>
  <w:num w:numId="1937">
    <w:abstractNumId w:val="991"/>
  </w:num>
  <w:num w:numId="19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2">
    <w:abstractNumId w:val="991"/>
  </w:num>
  <w:num w:numId="19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2">
    <w:abstractNumId w:val="991"/>
  </w:num>
  <w:num w:numId="1953">
    <w:abstractNumId w:val="991"/>
  </w:num>
  <w:num w:numId="19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7">
    <w:abstractNumId w:val="991"/>
  </w:num>
  <w:num w:numId="19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0">
    <w:abstractNumId w:val="991"/>
  </w:num>
  <w:num w:numId="19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3">
    <w:abstractNumId w:val="991"/>
  </w:num>
  <w:num w:numId="19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9">
    <w:abstractNumId w:val="991"/>
  </w:num>
  <w:num w:numId="19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Georgia" w:hAnsi="Georgia"/>
      <w:sz w:val="21"/>
    </w:rPr>
  </w:style>
  <w:style w:styleId="BodyText" w:type="paragraph">
    <w:name w:val="Body Text"/>
    <w:basedOn w:val="Normal"/>
    <w:link w:val="BodyTextChar"/>
    <w:pPr>
      <w:spacing w:after="180" w:before="180"/>
    </w:pPr>
    <w:qFormat/>
    <w:rPr>
      <w:rFonts w:ascii="Georgia" w:hAnsi="Georgia"/>
      <w:sz w:val="21"/>
    </w:rPr>
  </w:style>
  <w:style w:customStyle="1" w:styleId="FirstParagraph" w:type="paragraph">
    <w:name w:val="First Paragraph"/>
    <w:basedOn w:val="BodyText"/>
    <w:next w:val="BodyText"/>
    <w:qFormat/>
    <w:rPr>
      <w:rFonts w:ascii="Georgia" w:hAnsi="Georgia"/>
      <w:sz w:val="21"/>
    </w:rPr>
  </w:style>
  <w:style w:customStyle="1" w:styleId="Compact" w:type="paragraph">
    <w:name w:val="Compact"/>
    <w:basedOn w:val="BodyText"/>
    <w:qFormat/>
    <w:pPr>
      <w:spacing w:after="36" w:before="36"/>
    </w:pPr>
    <w:rPr>
      <w:rFonts w:ascii="Georgia" w:hAnsi="Georgia"/>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Inter" w:asciiTheme="majorHAnsi" w:cstheme="majorBidi" w:eastAsiaTheme="majorEastAsia" w:hAnsi="Inter" w:hAnsiTheme="majorHAnsi"/>
      <w:b/>
      <w:bCs/>
      <w:color w:val="1B2A4A"/>
      <w:sz w:val="44"/>
      <w:szCs w:val="32"/>
    </w:rPr>
  </w:style>
  <w:style w:styleId="Heading2" w:type="paragraph">
    <w:name w:val="Heading 2"/>
    <w:basedOn w:val="Normal"/>
    <w:next w:val="BodyText"/>
    <w:uiPriority w:val="9"/>
    <w:unhideWhenUsed/>
    <w:qFormat/>
    <w:pPr>
      <w:keepNext/>
      <w:keepLines/>
      <w:spacing w:after="0" w:before="200"/>
      <w:outlineLvl w:val="1"/>
    </w:pPr>
    <w:rPr>
      <w:rFonts w:ascii="Inter" w:asciiTheme="majorHAnsi" w:cstheme="majorBidi" w:eastAsiaTheme="majorEastAsia" w:hAnsi="Inter" w:hAnsiTheme="majorHAnsi"/>
      <w:b/>
      <w:bCs/>
      <w:color w:val="1B2A4A"/>
      <w:sz w:val="30"/>
      <w:szCs w:val="28"/>
    </w:rPr>
  </w:style>
  <w:style w:styleId="Heading3" w:type="paragraph">
    <w:name w:val="Heading 3"/>
    <w:basedOn w:val="Normal"/>
    <w:next w:val="BodyText"/>
    <w:uiPriority w:val="9"/>
    <w:unhideWhenUsed/>
    <w:qFormat/>
    <w:pPr>
      <w:keepNext/>
      <w:keepLines/>
      <w:spacing w:after="0" w:before="200"/>
      <w:outlineLvl w:val="2"/>
    </w:pPr>
    <w:rPr>
      <w:rFonts w:ascii="Inter" w:asciiTheme="majorHAnsi" w:cstheme="majorBidi" w:eastAsiaTheme="majorEastAsia" w:hAnsi="Inter" w:hAnsiTheme="majorHAnsi"/>
      <w:b/>
      <w:bCs/>
      <w:color w:val="1B2A4A"/>
      <w:sz w:val="25"/>
      <w:szCs w:val="24"/>
    </w:rPr>
  </w:style>
  <w:style w:styleId="Heading4" w:type="paragraph">
    <w:name w:val="Heading 4"/>
    <w:basedOn w:val="Normal"/>
    <w:next w:val="BodyText"/>
    <w:uiPriority w:val="9"/>
    <w:unhideWhenUsed/>
    <w:qFormat/>
    <w:pPr>
      <w:keepNext/>
      <w:keepLines/>
      <w:spacing w:after="0" w:before="200"/>
      <w:outlineLvl w:val="3"/>
    </w:pPr>
    <w:rPr>
      <w:rFonts w:ascii="Inter" w:asciiTheme="majorHAnsi" w:cstheme="majorBidi" w:eastAsiaTheme="majorEastAsia" w:hAnsi="Inter" w:hAnsiTheme="majorHAnsi"/>
      <w:i/>
      <w:b/>
      <w:bCs/>
      <w:color w:val="1F5FA8"/>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alloutDefinition" w:type="paragraph">
    <w:name w:val="Callout Definition"/>
    <w:basedOn w:val="Normal"/>
    <w:pPr>
      <w:spacing w:after="60"/>
      <w:ind w:left="170"/>
      <w:pBdr>
        <w:left w:color="1F5FA8" w:space="8" w:sz="24" w:val="single"/>
      </w:pBdr>
      <w:shd w:color="auto" w:fill="EEF4FB" w:val="clear"/>
    </w:pPr>
    <w:rPr>
      <w:sz w:val="20"/>
    </w:rPr>
  </w:style>
  <w:style w:customStyle="1" w:styleId="CalloutFormula" w:type="paragraph">
    <w:name w:val="Callout Formula"/>
    <w:basedOn w:val="Normal"/>
    <w:pPr>
      <w:spacing w:after="60"/>
      <w:ind w:left="170"/>
      <w:pBdr>
        <w:left w:color="1F5FA8" w:space="8" w:sz="24" w:val="single"/>
      </w:pBdr>
      <w:shd w:color="auto" w:fill="EEF4FB" w:val="clear"/>
    </w:pPr>
    <w:rPr>
      <w:sz w:val="20"/>
    </w:rPr>
  </w:style>
  <w:style w:customStyle="1" w:styleId="CalloutConcept" w:type="paragraph">
    <w:name w:val="Callout Concept"/>
    <w:basedOn w:val="Normal"/>
    <w:pPr>
      <w:spacing w:after="60"/>
      <w:ind w:left="170"/>
      <w:pBdr>
        <w:left w:color="127A7A" w:space="8" w:sz="24" w:val="single"/>
      </w:pBdr>
      <w:shd w:color="auto" w:fill="ECF6F6" w:val="clear"/>
    </w:pPr>
    <w:rPr>
      <w:sz w:val="20"/>
    </w:rPr>
  </w:style>
  <w:style w:customStyle="1" w:styleId="CalloutIndustry" w:type="paragraph">
    <w:name w:val="Callout Industry"/>
    <w:basedOn w:val="Normal"/>
    <w:pPr>
      <w:spacing w:after="60"/>
      <w:ind w:left="170"/>
      <w:pBdr>
        <w:left w:color="127A7A" w:space="8" w:sz="24" w:val="single"/>
      </w:pBdr>
      <w:shd w:color="auto" w:fill="ECF6F6" w:val="clear"/>
    </w:pPr>
    <w:rPr>
      <w:sz w:val="20"/>
    </w:rPr>
  </w:style>
  <w:style w:customStyle="1" w:styleId="CalloutTip" w:type="paragraph">
    <w:name w:val="Callout Tip"/>
    <w:basedOn w:val="Normal"/>
    <w:pPr>
      <w:spacing w:after="60"/>
      <w:ind w:left="170"/>
      <w:pBdr>
        <w:left w:color="3C7A4A" w:space="8" w:sz="24" w:val="single"/>
      </w:pBdr>
      <w:shd w:color="auto" w:fill="EEF5EF" w:val="clear"/>
    </w:pPr>
    <w:rPr>
      <w:sz w:val="20"/>
    </w:rPr>
  </w:style>
  <w:style w:customStyle="1" w:styleId="CalloutRecommendation" w:type="paragraph">
    <w:name w:val="Callout Recommendation"/>
    <w:basedOn w:val="Normal"/>
    <w:pPr>
      <w:spacing w:after="60"/>
      <w:ind w:left="170"/>
      <w:pBdr>
        <w:left w:color="3C7A4A" w:space="8" w:sz="24" w:val="single"/>
      </w:pBdr>
      <w:shd w:color="auto" w:fill="EEF5EF" w:val="clear"/>
    </w:pPr>
    <w:rPr>
      <w:sz w:val="20"/>
    </w:rPr>
  </w:style>
  <w:style w:customStyle="1" w:styleId="CalloutMistake" w:type="paragraph">
    <w:name w:val="Callout Mistake"/>
    <w:basedOn w:val="Normal"/>
    <w:pPr>
      <w:spacing w:after="60"/>
      <w:ind w:left="170"/>
      <w:pBdr>
        <w:left w:color="B7791F" w:space="8" w:sz="24" w:val="single"/>
      </w:pBdr>
      <w:shd w:color="auto" w:fill="FBF4E6" w:val="clear"/>
    </w:pPr>
    <w:rPr>
      <w:sz w:val="20"/>
    </w:rPr>
  </w:style>
  <w:style w:customStyle="1" w:styleId="CalloutWarning" w:type="paragraph">
    <w:name w:val="Callout Warning"/>
    <w:basedOn w:val="Normal"/>
    <w:pPr>
      <w:spacing w:after="60"/>
      <w:ind w:left="170"/>
      <w:pBdr>
        <w:left w:color="B7791F" w:space="8" w:sz="24" w:val="single"/>
      </w:pBdr>
      <w:shd w:color="auto" w:fill="FBF4E6" w:val="clear"/>
    </w:pPr>
    <w:rPr>
      <w:sz w:val="20"/>
    </w:rPr>
  </w:style>
  <w:style w:customStyle="1" w:styleId="CalloutExample" w:type="paragraph">
    <w:name w:val="Callout Example"/>
    <w:basedOn w:val="Normal"/>
    <w:pPr>
      <w:spacing w:after="60"/>
      <w:ind w:left="170"/>
      <w:pBdr>
        <w:left w:color="8A94A6" w:space="8" w:sz="24" w:val="single"/>
      </w:pBdr>
      <w:shd w:color="auto" w:fill="F4F5F7" w:val="clear"/>
    </w:pPr>
    <w:rPr>
      <w:sz w:val="20"/>
    </w:rPr>
  </w:style>
  <w:style w:customStyle="1" w:styleId="CalloutNote" w:type="paragraph">
    <w:name w:val="Callout Note"/>
    <w:basedOn w:val="Normal"/>
    <w:pPr>
      <w:spacing w:after="60"/>
      <w:ind w:left="170"/>
      <w:pBdr>
        <w:left w:color="8A94A6" w:space="8" w:sz="24" w:val="single"/>
      </w:pBdr>
      <w:shd w:color="auto" w:fill="F4F5F7" w:val="clear"/>
    </w:pPr>
    <w:rPr>
      <w:sz w:val="20"/>
    </w:rPr>
  </w:style>
  <w:style w:customStyle="1" w:styleId="CalloutSummary" w:type="paragraph">
    <w:name w:val="Callout Summary"/>
    <w:basedOn w:val="Normal"/>
    <w:pPr>
      <w:spacing w:after="60"/>
      <w:ind w:left="170"/>
      <w:pBdr>
        <w:left w:color="1B2A4A" w:space="8" w:sz="24" w:val="single"/>
      </w:pBdr>
      <w:shd w:color="auto" w:fill="EEF4FB" w:val="clear"/>
    </w:pPr>
    <w:rPr>
      <w:sz w:val="20"/>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93" Target="media/rId2393.png" /><Relationship Type="http://schemas.openxmlformats.org/officeDocument/2006/relationships/image" Id="rId912" Target="media/rId912.png" /><Relationship Type="http://schemas.openxmlformats.org/officeDocument/2006/relationships/image" Id="rId466" Target="media/rId466.png" /><Relationship Type="http://schemas.openxmlformats.org/officeDocument/2006/relationships/image" Id="rId974" Target="media/rId974.png" /><Relationship Type="http://schemas.openxmlformats.org/officeDocument/2006/relationships/image" Id="rId1859" Target="media/rId1859.png" /><Relationship Type="http://schemas.openxmlformats.org/officeDocument/2006/relationships/image" Id="rId1449" Target="media/rId1449.png" /><Relationship Type="http://schemas.openxmlformats.org/officeDocument/2006/relationships/image" Id="rId414" Target="media/rId414.png" /><Relationship Type="http://schemas.openxmlformats.org/officeDocument/2006/relationships/image" Id="rId172" Target="media/rId172.png" /><Relationship Type="http://schemas.openxmlformats.org/officeDocument/2006/relationships/image" Id="rId2788" Target="media/rId2788.png" /><Relationship Type="http://schemas.openxmlformats.org/officeDocument/2006/relationships/image" Id="rId3146" Target="media/rId3146.png" /><Relationship Type="http://schemas.openxmlformats.org/officeDocument/2006/relationships/image" Id="rId246" Target="media/rId246.png" /><Relationship Type="http://schemas.openxmlformats.org/officeDocument/2006/relationships/image" Id="rId1771" Target="media/rId1771.png" /><Relationship Type="http://schemas.openxmlformats.org/officeDocument/2006/relationships/image" Id="rId3313" Target="media/rId3313.png" /><Relationship Type="http://schemas.openxmlformats.org/officeDocument/2006/relationships/image" Id="rId2603" Target="media/rId2603.png" /><Relationship Type="http://schemas.openxmlformats.org/officeDocument/2006/relationships/image" Id="rId733" Target="media/rId733.png" /><Relationship Type="http://schemas.openxmlformats.org/officeDocument/2006/relationships/image" Id="rId1437" Target="media/rId1437.png" /><Relationship Type="http://schemas.openxmlformats.org/officeDocument/2006/relationships/image" Id="rId2519" Target="media/rId2519.png" /><Relationship Type="http://schemas.openxmlformats.org/officeDocument/2006/relationships/image" Id="rId2119" Target="media/rId2119.png" /><Relationship Type="http://schemas.openxmlformats.org/officeDocument/2006/relationships/image" Id="rId1014" Target="media/rId1014.png" /><Relationship Type="http://schemas.openxmlformats.org/officeDocument/2006/relationships/image" Id="rId2863" Target="media/rId2863.png" /><Relationship Type="http://schemas.openxmlformats.org/officeDocument/2006/relationships/image" Id="rId2492" Target="media/rId2492.png" /><Relationship Type="http://schemas.openxmlformats.org/officeDocument/2006/relationships/image" Id="rId192" Target="media/rId192.png" /><Relationship Type="http://schemas.openxmlformats.org/officeDocument/2006/relationships/image" Id="rId3280" Target="media/rId3280.png" /><Relationship Type="http://schemas.openxmlformats.org/officeDocument/2006/relationships/image" Id="rId1112" Target="media/rId1112.png" /><Relationship Type="http://schemas.openxmlformats.org/officeDocument/2006/relationships/image" Id="rId1477" Target="media/rId1477.png" /><Relationship Type="http://schemas.openxmlformats.org/officeDocument/2006/relationships/image" Id="rId937" Target="media/rId937.png" /><Relationship Type="http://schemas.openxmlformats.org/officeDocument/2006/relationships/image" Id="rId2291" Target="media/rId2291.png" /><Relationship Type="http://schemas.openxmlformats.org/officeDocument/2006/relationships/image" Id="rId2852" Target="media/rId2852.png" /><Relationship Type="http://schemas.openxmlformats.org/officeDocument/2006/relationships/image" Id="rId594" Target="media/rId594.png" /><Relationship Type="http://schemas.openxmlformats.org/officeDocument/2006/relationships/image" Id="rId2677" Target="media/rId2677.png" /><Relationship Type="http://schemas.openxmlformats.org/officeDocument/2006/relationships/image" Id="rId2176" Target="media/rId2176.png" /><Relationship Type="http://schemas.openxmlformats.org/officeDocument/2006/relationships/image" Id="rId480" Target="media/rId480.png" /><Relationship Type="http://schemas.openxmlformats.org/officeDocument/2006/relationships/image" Id="rId2071" Target="media/rId2071.png" /><Relationship Type="http://schemas.openxmlformats.org/officeDocument/2006/relationships/image" Id="rId2690" Target="media/rId2690.png" /><Relationship Type="http://schemas.openxmlformats.org/officeDocument/2006/relationships/image" Id="rId2248" Target="media/rId2248.png" /><Relationship Type="http://schemas.openxmlformats.org/officeDocument/2006/relationships/image" Id="rId318" Target="media/rId318.png" /><Relationship Type="http://schemas.openxmlformats.org/officeDocument/2006/relationships/image" Id="rId2539" Target="media/rId2539.png" /><Relationship Type="http://schemas.openxmlformats.org/officeDocument/2006/relationships/image" Id="rId786" Target="media/rId786.png" /><Relationship Type="http://schemas.openxmlformats.org/officeDocument/2006/relationships/image" Id="rId1951" Target="media/rId1951.png" /><Relationship Type="http://schemas.openxmlformats.org/officeDocument/2006/relationships/image" Id="rId105" Target="media/rId105.png" /><Relationship Type="http://schemas.openxmlformats.org/officeDocument/2006/relationships/image" Id="rId2444" Target="media/rId2444.png" /><Relationship Type="http://schemas.openxmlformats.org/officeDocument/2006/relationships/image" Id="rId605" Target="media/rId605.png" /><Relationship Type="http://schemas.openxmlformats.org/officeDocument/2006/relationships/image" Id="rId2218" Target="media/rId2218.png" /><Relationship Type="http://schemas.openxmlformats.org/officeDocument/2006/relationships/image" Id="rId2713" Target="media/rId2713.png" /><Relationship Type="http://schemas.openxmlformats.org/officeDocument/2006/relationships/image" Id="rId2589" Target="media/rId2589.png" /><Relationship Type="http://schemas.openxmlformats.org/officeDocument/2006/relationships/image" Id="rId1490" Target="media/rId1490.png" /><Relationship Type="http://schemas.openxmlformats.org/officeDocument/2006/relationships/image" Id="rId2190" Target="media/rId2190.png" /><Relationship Type="http://schemas.openxmlformats.org/officeDocument/2006/relationships/image" Id="rId2398" Target="media/rId2398.png" /><Relationship Type="http://schemas.openxmlformats.org/officeDocument/2006/relationships/image" Id="rId1132" Target="media/rId1132.png" /><Relationship Type="http://schemas.openxmlformats.org/officeDocument/2006/relationships/image" Id="rId1878" Target="media/rId1878.png" /><Relationship Type="http://schemas.openxmlformats.org/officeDocument/2006/relationships/image" Id="rId1463" Target="media/rId1463.png" /><Relationship Type="http://schemas.openxmlformats.org/officeDocument/2006/relationships/image" Id="rId2979" Target="media/rId2979.png" /><Relationship Type="http://schemas.openxmlformats.org/officeDocument/2006/relationships/image" Id="rId527" Target="media/rId527.png" /><Relationship Type="http://schemas.openxmlformats.org/officeDocument/2006/relationships/image" Id="rId2299" Target="media/rId2299.png" /><Relationship Type="http://schemas.openxmlformats.org/officeDocument/2006/relationships/image" Id="rId2983" Target="media/rId2983.png" /><Relationship Type="http://schemas.openxmlformats.org/officeDocument/2006/relationships/image" Id="rId1915" Target="media/rId1915.png" /><Relationship Type="http://schemas.openxmlformats.org/officeDocument/2006/relationships/image" Id="rId1150" Target="media/rId1150.png" /><Relationship Type="http://schemas.openxmlformats.org/officeDocument/2006/relationships/image" Id="rId2026" Target="media/rId2026.png" /><Relationship Type="http://schemas.openxmlformats.org/officeDocument/2006/relationships/image" Id="rId1222" Target="media/rId1222.png" /><Relationship Type="http://schemas.openxmlformats.org/officeDocument/2006/relationships/image" Id="rId636" Target="media/rId636.png" /><Relationship Type="http://schemas.openxmlformats.org/officeDocument/2006/relationships/image" Id="rId2729" Target="media/rId2729.png" /><Relationship Type="http://schemas.openxmlformats.org/officeDocument/2006/relationships/image" Id="rId2629" Target="media/rId2629.png" /><Relationship Type="http://schemas.openxmlformats.org/officeDocument/2006/relationships/image" Id="rId2622" Target="media/rId2622.png" /><Relationship Type="http://schemas.openxmlformats.org/officeDocument/2006/relationships/image" Id="rId3323" Target="media/rId3323.png" /><Relationship Type="http://schemas.openxmlformats.org/officeDocument/2006/relationships/image" Id="rId1257" Target="media/rId1257.png" /><Relationship Type="http://schemas.openxmlformats.org/officeDocument/2006/relationships/image" Id="rId1412" Target="media/rId1412.png" /><Relationship Type="http://schemas.openxmlformats.org/officeDocument/2006/relationships/image" Id="rId3140" Target="media/rId3140.png" /><Relationship Type="http://schemas.openxmlformats.org/officeDocument/2006/relationships/image" Id="rId3097" Target="media/rId3097.png" /><Relationship Type="http://schemas.openxmlformats.org/officeDocument/2006/relationships/image" Id="rId2410" Target="media/rId2410.png" /><Relationship Type="http://schemas.openxmlformats.org/officeDocument/2006/relationships/image" Id="rId3124" Target="media/rId3124.png" /><Relationship Type="http://schemas.openxmlformats.org/officeDocument/2006/relationships/image" Id="rId1808" Target="media/rId1808.png" /><Relationship Type="http://schemas.openxmlformats.org/officeDocument/2006/relationships/image" Id="rId1232" Target="media/rId1232.png" /><Relationship Type="http://schemas.openxmlformats.org/officeDocument/2006/relationships/image" Id="rId1361" Target="media/rId1361.png" /><Relationship Type="http://schemas.openxmlformats.org/officeDocument/2006/relationships/image" Id="rId904" Target="media/rId904.png" /><Relationship Type="http://schemas.openxmlformats.org/officeDocument/2006/relationships/image" Id="rId520" Target="media/rId520.png" /><Relationship Type="http://schemas.openxmlformats.org/officeDocument/2006/relationships/image" Id="rId1727" Target="media/rId1727.png" /><Relationship Type="http://schemas.openxmlformats.org/officeDocument/2006/relationships/image" Id="rId1976" Target="media/rId1976.png" /><Relationship Type="http://schemas.openxmlformats.org/officeDocument/2006/relationships/image" Id="rId2615" Target="media/rId2615.png" /><Relationship Type="http://schemas.openxmlformats.org/officeDocument/2006/relationships/image" Id="rId1049" Target="media/rId1049.png" /><Relationship Type="http://schemas.openxmlformats.org/officeDocument/2006/relationships/image" Id="rId3253" Target="media/rId3253.png" /><Relationship Type="http://schemas.openxmlformats.org/officeDocument/2006/relationships/image" Id="rId1289" Target="media/rId1289.png" /><Relationship Type="http://schemas.openxmlformats.org/officeDocument/2006/relationships/image" Id="rId3259" Target="media/rId3259.png" /><Relationship Type="http://schemas.openxmlformats.org/officeDocument/2006/relationships/image" Id="rId3214" Target="media/rId3214.png" /><Relationship Type="http://schemas.openxmlformats.org/officeDocument/2006/relationships/image" Id="rId1556" Target="media/rId1556.png" /><Relationship Type="http://schemas.openxmlformats.org/officeDocument/2006/relationships/image" Id="rId1707" Target="media/rId1707.png" /><Relationship Type="http://schemas.openxmlformats.org/officeDocument/2006/relationships/image" Id="rId2106" Target="media/rId2106.png" /><Relationship Type="http://schemas.openxmlformats.org/officeDocument/2006/relationships/image" Id="rId2683" Target="media/rId2683.png" /><Relationship Type="http://schemas.openxmlformats.org/officeDocument/2006/relationships/image" Id="rId1169" Target="media/rId1169.png" /><Relationship Type="http://schemas.openxmlformats.org/officeDocument/2006/relationships/image" Id="rId1838" Target="media/rId1838.png" /><Relationship Type="http://schemas.openxmlformats.org/officeDocument/2006/relationships/image" Id="rId1143" Target="media/rId1143.png" /><Relationship Type="http://schemas.openxmlformats.org/officeDocument/2006/relationships/image" Id="rId1962" Target="media/rId1962.png" /><Relationship Type="http://schemas.openxmlformats.org/officeDocument/2006/relationships/image" Id="rId102" Target="media/rId102.png" /><Relationship Type="http://schemas.openxmlformats.org/officeDocument/2006/relationships/image" Id="rId389" Target="media/rId389.png" /><Relationship Type="http://schemas.openxmlformats.org/officeDocument/2006/relationships/image" Id="rId2060" Target="media/rId2060.png" /><Relationship Type="http://schemas.openxmlformats.org/officeDocument/2006/relationships/image" Id="rId2303" Target="media/rId2303.png" /><Relationship Type="http://schemas.openxmlformats.org/officeDocument/2006/relationships/image" Id="rId2818" Target="media/rId2818.png" /><Relationship Type="http://schemas.openxmlformats.org/officeDocument/2006/relationships/image" Id="rId3305" Target="media/rId3305.png" /><Relationship Type="http://schemas.openxmlformats.org/officeDocument/2006/relationships/image" Id="rId2485" Target="media/rId2485.png" /><Relationship Type="http://schemas.openxmlformats.org/officeDocument/2006/relationships/image" Id="rId1392" Target="media/rId1392.png" /><Relationship Type="http://schemas.openxmlformats.org/officeDocument/2006/relationships/image" Id="rId2261" Target="media/rId2261.png" /><Relationship Type="http://schemas.openxmlformats.org/officeDocument/2006/relationships/image" Id="rId241" Target="media/rId241.png" /><Relationship Type="http://schemas.openxmlformats.org/officeDocument/2006/relationships/image" Id="rId2422" Target="media/rId2422.png" /><Relationship Type="http://schemas.openxmlformats.org/officeDocument/2006/relationships/image" Id="rId1003" Target="media/rId1003.png" /><Relationship Type="http://schemas.openxmlformats.org/officeDocument/2006/relationships/image" Id="rId2703" Target="media/rId2703.png" /><Relationship Type="http://schemas.openxmlformats.org/officeDocument/2006/relationships/image" Id="rId3028" Target="media/rId3028.png" /><Relationship Type="http://schemas.openxmlformats.org/officeDocument/2006/relationships/image" Id="rId692" Target="media/rId692.png" /><Relationship Type="http://schemas.openxmlformats.org/officeDocument/2006/relationships/image" Id="rId2287" Target="media/rId2287.png" /><Relationship Type="http://schemas.openxmlformats.org/officeDocument/2006/relationships/image" Id="rId1650" Target="media/rId1650.png" /><Relationship Type="http://schemas.openxmlformats.org/officeDocument/2006/relationships/image" Id="rId2369" Target="media/rId2369.png" /><Relationship Type="http://schemas.openxmlformats.org/officeDocument/2006/relationships/image" Id="rId1829" Target="media/rId1829.png" /><Relationship Type="http://schemas.openxmlformats.org/officeDocument/2006/relationships/image" Id="rId3163" Target="media/rId3163.png" /><Relationship Type="http://schemas.openxmlformats.org/officeDocument/2006/relationships/image" Id="rId2464" Target="media/rId2464.png" /><Relationship Type="http://schemas.openxmlformats.org/officeDocument/2006/relationships/image" Id="rId425" Target="media/rId425.png" /><Relationship Type="http://schemas.openxmlformats.org/officeDocument/2006/relationships/image" Id="rId1642" Target="media/rId1642.png" /><Relationship Type="http://schemas.openxmlformats.org/officeDocument/2006/relationships/image" Id="rId1032" Target="media/rId1032.png" /><Relationship Type="http://schemas.openxmlformats.org/officeDocument/2006/relationships/image" Id="rId1576" Target="media/rId1576.png" /><Relationship Type="http://schemas.openxmlformats.org/officeDocument/2006/relationships/image" Id="rId828" Target="media/rId828.png" /><Relationship Type="http://schemas.openxmlformats.org/officeDocument/2006/relationships/image" Id="rId764" Target="media/rId764.png" /><Relationship Type="http://schemas.openxmlformats.org/officeDocument/2006/relationships/image" Id="rId292" Target="media/rId292.png" /><Relationship Type="http://schemas.openxmlformats.org/officeDocument/2006/relationships/image" Id="rId3246" Target="media/rId3246.png" /><Relationship Type="http://schemas.openxmlformats.org/officeDocument/2006/relationships/image" Id="rId737" Target="media/rId737.png" /><Relationship Type="http://schemas.openxmlformats.org/officeDocument/2006/relationships/image" Id="rId1737" Target="media/rId1737.png" /><Relationship Type="http://schemas.openxmlformats.org/officeDocument/2006/relationships/image" Id="rId1164" Target="media/rId1164.png" /><Relationship Type="http://schemas.openxmlformats.org/officeDocument/2006/relationships/image" Id="rId1597" Target="media/rId1597.png" /><Relationship Type="http://schemas.openxmlformats.org/officeDocument/2006/relationships/image" Id="rId2657" Target="media/rId2657.png" /><Relationship Type="http://schemas.openxmlformats.org/officeDocument/2006/relationships/image" Id="rId1063" Target="media/rId1063.png" /><Relationship Type="http://schemas.openxmlformats.org/officeDocument/2006/relationships/image" Id="rId1322" Target="media/rId1322.png" /><Relationship Type="http://schemas.openxmlformats.org/officeDocument/2006/relationships/image" Id="rId1665" Target="media/rId1665.png" /><Relationship Type="http://schemas.openxmlformats.org/officeDocument/2006/relationships/image" Id="rId2224" Target="media/rId2224.png" /><Relationship Type="http://schemas.openxmlformats.org/officeDocument/2006/relationships/image" Id="rId1989" Target="media/rId1989.png" /><Relationship Type="http://schemas.openxmlformats.org/officeDocument/2006/relationships/image" Id="rId1884" Target="media/rId1884.png" /><Relationship Type="http://schemas.openxmlformats.org/officeDocument/2006/relationships/image" Id="rId567" Target="media/rId567.png" /><Relationship Type="http://schemas.openxmlformats.org/officeDocument/2006/relationships/image" Id="rId3188" Target="media/rId3188.png" /><Relationship Type="http://schemas.openxmlformats.org/officeDocument/2006/relationships/image" Id="rId2798" Target="media/rId2798.png" /><Relationship Type="http://schemas.openxmlformats.org/officeDocument/2006/relationships/image" Id="rId782" Target="media/rId782.png" /><Relationship Type="http://schemas.openxmlformats.org/officeDocument/2006/relationships/image" Id="rId1986" Target="media/rId1986.png" /><Relationship Type="http://schemas.openxmlformats.org/officeDocument/2006/relationships/image" Id="rId2838" Target="media/rId2838.png" /><Relationship Type="http://schemas.openxmlformats.org/officeDocument/2006/relationships/image" Id="rId1671" Target="media/rId1671.png" /><Relationship Type="http://schemas.openxmlformats.org/officeDocument/2006/relationships/image" Id="rId709" Target="media/rId709.png" /><Relationship Type="http://schemas.openxmlformats.org/officeDocument/2006/relationships/image" Id="rId1511" Target="media/rId1511.png" /><Relationship Type="http://schemas.openxmlformats.org/officeDocument/2006/relationships/image" Id="rId2957" Target="media/rId2957.png" /><Relationship Type="http://schemas.openxmlformats.org/officeDocument/2006/relationships/image" Id="rId488" Target="media/rId488.png" /><Relationship Type="http://schemas.openxmlformats.org/officeDocument/2006/relationships/image" Id="rId3185" Target="media/rId3185.png" /><Relationship Type="http://schemas.openxmlformats.org/officeDocument/2006/relationships/image" Id="rId1587" Target="media/rId1587.png" /><Relationship Type="http://schemas.openxmlformats.org/officeDocument/2006/relationships/image" Id="rId433" Target="media/rId433.png" /><Relationship Type="http://schemas.openxmlformats.org/officeDocument/2006/relationships/image" Id="rId2782" Target="media/rId2782.png" /><Relationship Type="http://schemas.openxmlformats.org/officeDocument/2006/relationships/image" Id="rId399" Target="media/rId399.png" /><Relationship Type="http://schemas.openxmlformats.org/officeDocument/2006/relationships/image" Id="rId2021" Target="media/rId2021.png" /><Relationship Type="http://schemas.openxmlformats.org/officeDocument/2006/relationships/image" Id="rId644" Target="media/rId644.png" /><Relationship Type="http://schemas.openxmlformats.org/officeDocument/2006/relationships/image" Id="rId1786" Target="media/rId1786.png" /><Relationship Type="http://schemas.openxmlformats.org/officeDocument/2006/relationships/image" Id="rId538" Target="media/rId538.png" /><Relationship Type="http://schemas.openxmlformats.org/officeDocument/2006/relationships/image" Id="rId500" Target="media/rId500.png" /><Relationship Type="http://schemas.openxmlformats.org/officeDocument/2006/relationships/image" Id="rId1027" Target="media/rId1027.png" /><Relationship Type="http://schemas.openxmlformats.org/officeDocument/2006/relationships/image" Id="rId1873" Target="media/rId1873.png" /><Relationship Type="http://schemas.openxmlformats.org/officeDocument/2006/relationships/image" Id="rId1933" Target="media/rId1933.png" /><Relationship Type="http://schemas.openxmlformats.org/officeDocument/2006/relationships/image" Id="rId3274" Target="media/rId3274.png" /><Relationship Type="http://schemas.openxmlformats.org/officeDocument/2006/relationships/image" Id="rId1260" Target="media/rId1260.png" /><Relationship Type="http://schemas.openxmlformats.org/officeDocument/2006/relationships/image" Id="rId1202" Target="media/rId1202.png" /><Relationship Type="http://schemas.openxmlformats.org/officeDocument/2006/relationships/image" Id="rId2488" Target="media/rId2488.png" /><Relationship Type="http://schemas.openxmlformats.org/officeDocument/2006/relationships/image" Id="rId2008" Target="media/rId2008.png" /><Relationship Type="http://schemas.openxmlformats.org/officeDocument/2006/relationships/image" Id="rId300" Target="media/rId300.png" /><Relationship Type="http://schemas.openxmlformats.org/officeDocument/2006/relationships/image" Id="rId2453" Target="media/rId2453.png" /><Relationship Type="http://schemas.openxmlformats.org/officeDocument/2006/relationships/image" Id="rId2903" Target="media/rId2903.png" /><Relationship Type="http://schemas.openxmlformats.org/officeDocument/2006/relationships/image" Id="rId2888" Target="media/rId2888.png" /><Relationship Type="http://schemas.openxmlformats.org/officeDocument/2006/relationships/image" Id="rId57" Target="media/rId57.png" /><Relationship Type="http://schemas.openxmlformats.org/officeDocument/2006/relationships/image" Id="rId2131" Target="media/rId2131.png" /><Relationship Type="http://schemas.openxmlformats.org/officeDocument/2006/relationships/image" Id="rId1615" Target="media/rId1615.png" /><Relationship Type="http://schemas.openxmlformats.org/officeDocument/2006/relationships/image" Id="rId2742" Target="media/rId2742.png" /><Relationship Type="http://schemas.openxmlformats.org/officeDocument/2006/relationships/image" Id="rId3023" Target="media/rId3023.png" /><Relationship Type="http://schemas.openxmlformats.org/officeDocument/2006/relationships/image" Id="rId1355" Target="media/rId1355.png" /><Relationship Type="http://schemas.openxmlformats.org/officeDocument/2006/relationships/image" Id="rId2078" Target="media/rId2078.png" /><Relationship Type="http://schemas.openxmlformats.org/officeDocument/2006/relationships/image" Id="rId1123" Target="media/rId1123.png" /><Relationship Type="http://schemas.openxmlformats.org/officeDocument/2006/relationships/image" Id="rId2694" Target="media/rId2694.png" /><Relationship Type="http://schemas.openxmlformats.org/officeDocument/2006/relationships/image" Id="rId2706" Target="media/rId2706.png" /><Relationship Type="http://schemas.openxmlformats.org/officeDocument/2006/relationships/image" Id="rId1704" Target="media/rId1704.png" /><Relationship Type="http://schemas.openxmlformats.org/officeDocument/2006/relationships/image" Id="rId2316" Target="media/rId2316.png" /><Relationship Type="http://schemas.openxmlformats.org/officeDocument/2006/relationships/image" Id="rId1760" Target="media/rId1760.png" /><Relationship Type="http://schemas.openxmlformats.org/officeDocument/2006/relationships/image" Id="rId2002" Target="media/rId2002.png" /><Relationship Type="http://schemas.openxmlformats.org/officeDocument/2006/relationships/image" Id="rId2125" Target="media/rId2125.png" /><Relationship Type="http://schemas.openxmlformats.org/officeDocument/2006/relationships/image" Id="rId394" Target="media/rId394.png" /><Relationship Type="http://schemas.openxmlformats.org/officeDocument/2006/relationships/image" Id="rId121" Target="media/rId121.png" /><Relationship Type="http://schemas.openxmlformats.org/officeDocument/2006/relationships/image" Id="rId130" Target="media/rId130.png" /><Relationship Type="http://schemas.openxmlformats.org/officeDocument/2006/relationships/image" Id="rId1263" Target="media/rId1263.png" /><Relationship Type="http://schemas.openxmlformats.org/officeDocument/2006/relationships/image" Id="rId2663" Target="media/rId2663.png" /><Relationship Type="http://schemas.openxmlformats.org/officeDocument/2006/relationships/image" Id="rId2472" Target="media/rId2472.png" /><Relationship Type="http://schemas.openxmlformats.org/officeDocument/2006/relationships/image" Id="rId898" Target="media/rId898.png" /><Relationship Type="http://schemas.openxmlformats.org/officeDocument/2006/relationships/image" Id="rId1744" Target="media/rId1744.png" /><Relationship Type="http://schemas.openxmlformats.org/officeDocument/2006/relationships/image" Id="rId3243" Target="media/rId3243.png" /><Relationship Type="http://schemas.openxmlformats.org/officeDocument/2006/relationships/image" Id="rId3004" Target="media/rId3004.png" /><Relationship Type="http://schemas.openxmlformats.org/officeDocument/2006/relationships/image" Id="rId583" Target="media/rId583.png" /><Relationship Type="http://schemas.openxmlformats.org/officeDocument/2006/relationships/image" Id="rId266" Target="media/rId266.png" /><Relationship Type="http://schemas.openxmlformats.org/officeDocument/2006/relationships/image" Id="rId839" Target="media/rId839.png" /><Relationship Type="http://schemas.openxmlformats.org/officeDocument/2006/relationships/image" Id="rId2271" Target="media/rId2271.png" /><Relationship Type="http://schemas.openxmlformats.org/officeDocument/2006/relationships/image" Id="rId3288" Target="media/rId3288.png" /><Relationship Type="http://schemas.openxmlformats.org/officeDocument/2006/relationships/image" Id="rId2806" Target="media/rId2806.png" /><Relationship Type="http://schemas.openxmlformats.org/officeDocument/2006/relationships/image" Id="rId2609" Target="media/rId2609.png" /><Relationship Type="http://schemas.openxmlformats.org/officeDocument/2006/relationships/image" Id="rId2927" Target="media/rId2927.png" /><Relationship Type="http://schemas.openxmlformats.org/officeDocument/2006/relationships/image" Id="rId2811" Target="media/rId2811.png" /><Relationship Type="http://schemas.openxmlformats.org/officeDocument/2006/relationships/image" Id="rId3131" Target="media/rId3131.png" /><Relationship Type="http://schemas.openxmlformats.org/officeDocument/2006/relationships/image" Id="rId1467" Target="media/rId1467.png" /><Relationship Type="http://schemas.openxmlformats.org/officeDocument/2006/relationships/image" Id="rId3233" Target="media/rId3233.png" /><Relationship Type="http://schemas.openxmlformats.org/officeDocument/2006/relationships/image" Id="rId2921" Target="media/rId2921.png" /><Relationship Type="http://schemas.openxmlformats.org/officeDocument/2006/relationships/image" Id="rId419" Target="media/rId419.png" /><Relationship Type="http://schemas.openxmlformats.org/officeDocument/2006/relationships/image" Id="rId3085" Target="media/rId3085.png" /><Relationship Type="http://schemas.openxmlformats.org/officeDocument/2006/relationships/image" Id="rId546" Target="media/rId546.png" /><Relationship Type="http://schemas.openxmlformats.org/officeDocument/2006/relationships/image" Id="rId2337" Target="media/rId2337.png" /><Relationship Type="http://schemas.openxmlformats.org/officeDocument/2006/relationships/image" Id="rId1499" Target="media/rId1499.png" /><Relationship Type="http://schemas.openxmlformats.org/officeDocument/2006/relationships/image" Id="rId2503" Target="media/rId2503.png" /><Relationship Type="http://schemas.openxmlformats.org/officeDocument/2006/relationships/image" Id="rId1926" Target="media/rId1926.png" /><Relationship Type="http://schemas.openxmlformats.org/officeDocument/2006/relationships/image" Id="rId2580" Target="media/rId2580.png" /><Relationship Type="http://schemas.openxmlformats.org/officeDocument/2006/relationships/image" Id="rId2508" Target="media/rId2508.png" /><Relationship Type="http://schemas.openxmlformats.org/officeDocument/2006/relationships/image" Id="rId2940" Target="media/rId2940.png" /><Relationship Type="http://schemas.openxmlformats.org/officeDocument/2006/relationships/image" Id="rId2512" Target="media/rId2512.png" /><Relationship Type="http://schemas.openxmlformats.org/officeDocument/2006/relationships/image" Id="rId3136" Target="media/rId3136.png" /><Relationship Type="http://schemas.openxmlformats.org/officeDocument/2006/relationships/image" Id="rId54" Target="media/rId54.png" /><Relationship Type="http://schemas.openxmlformats.org/officeDocument/2006/relationships/image" Id="rId1405" Target="media/rId1405.png" /><Relationship Type="http://schemas.openxmlformats.org/officeDocument/2006/relationships/image" Id="rId1996" Target="media/rId1996.png" /><Relationship Type="http://schemas.openxmlformats.org/officeDocument/2006/relationships/image" Id="rId3037" Target="media/rId3037.png" /><Relationship Type="http://schemas.openxmlformats.org/officeDocument/2006/relationships/image" Id="rId87" Target="media/rId87.png" /><Relationship Type="http://schemas.openxmlformats.org/officeDocument/2006/relationships/image" Id="rId2122" Target="media/rId2122.png" /><Relationship Type="http://schemas.openxmlformats.org/officeDocument/2006/relationships/image" Id="rId1372" Target="media/rId1372.png" /><Relationship Type="http://schemas.openxmlformats.org/officeDocument/2006/relationships/image" Id="rId2821" Target="media/rId2821.png" /><Relationship Type="http://schemas.openxmlformats.org/officeDocument/2006/relationships/image" Id="rId2153" Target="media/rId2153.png" /><Relationship Type="http://schemas.openxmlformats.org/officeDocument/2006/relationships/image" Id="rId2092" Target="media/rId2092.png" /><Relationship Type="http://schemas.openxmlformats.org/officeDocument/2006/relationships/image" Id="rId1529" Target="media/rId1529.png" /><Relationship Type="http://schemas.openxmlformats.org/officeDocument/2006/relationships/image" Id="rId1968" Target="media/rId1968.png" /><Relationship Type="http://schemas.openxmlformats.org/officeDocument/2006/relationships/image" Id="rId28" Target="media/rId28.png" /><Relationship Type="http://schemas.openxmlformats.org/officeDocument/2006/relationships/image" Id="rId2722" Target="media/rId2722.png" /><Relationship Type="http://schemas.openxmlformats.org/officeDocument/2006/relationships/image" Id="rId3158" Target="media/rId3158.png" /><Relationship Type="http://schemas.openxmlformats.org/officeDocument/2006/relationships/image" Id="rId888" Target="media/rId888.png" /><Relationship Type="http://schemas.openxmlformats.org/officeDocument/2006/relationships/image" Id="rId375" Target="media/rId375.png" /><Relationship Type="http://schemas.openxmlformats.org/officeDocument/2006/relationships/image" Id="rId2948" Target="media/rId2948.png" /><Relationship Type="http://schemas.openxmlformats.org/officeDocument/2006/relationships/image" Id="rId1503" Target="media/rId1503.png" /><Relationship Type="http://schemas.openxmlformats.org/officeDocument/2006/relationships/image" Id="rId459" Target="media/rId459.png" /><Relationship Type="http://schemas.openxmlformats.org/officeDocument/2006/relationships/image" Id="rId108" Target="media/rId108.png" /><Relationship Type="http://schemas.openxmlformats.org/officeDocument/2006/relationships/image" Id="rId2205" Target="media/rId2205.png" /><Relationship Type="http://schemas.openxmlformats.org/officeDocument/2006/relationships/image" Id="rId2295" Target="media/rId2295.png" /><Relationship Type="http://schemas.openxmlformats.org/officeDocument/2006/relationships/image" Id="rId3175" Target="media/rId3175.png" /><Relationship Type="http://schemas.openxmlformats.org/officeDocument/2006/relationships/image" Id="rId2083" Target="media/rId2083.png" /><Relationship Type="http://schemas.openxmlformats.org/officeDocument/2006/relationships/image" Id="rId657" Target="media/rId657.png" /><Relationship Type="http://schemas.openxmlformats.org/officeDocument/2006/relationships/image" Id="rId2330" Target="media/rId2330.png" /><Relationship Type="http://schemas.openxmlformats.org/officeDocument/2006/relationships/image" Id="rId3074" Target="media/rId3074.png" /><Relationship Type="http://schemas.openxmlformats.org/officeDocument/2006/relationships/image" Id="rId2576" Target="media/rId2576.png" /><Relationship Type="http://schemas.openxmlformats.org/officeDocument/2006/relationships/image" Id="rId1084" Target="media/rId1084.png" /><Relationship Type="http://schemas.openxmlformats.org/officeDocument/2006/relationships/image" Id="rId2976" Target="media/rId2976.png" /><Relationship Type="http://schemas.openxmlformats.org/officeDocument/2006/relationships/image" Id="rId1846" Target="media/rId1846.png" /><Relationship Type="http://schemas.openxmlformats.org/officeDocument/2006/relationships/image" Id="rId1794" Target="media/rId1794.png" /><Relationship Type="http://schemas.openxmlformats.org/officeDocument/2006/relationships/image" Id="rId2843" Target="media/rId2843.png" /><Relationship Type="http://schemas.openxmlformats.org/officeDocument/2006/relationships/image" Id="rId616" Target="media/rId616.png" /><Relationship Type="http://schemas.openxmlformats.org/officeDocument/2006/relationships/image" Id="rId882" Target="media/rId882.png" /><Relationship Type="http://schemas.openxmlformats.org/officeDocument/2006/relationships/image" Id="rId1240" Target="media/rId1240.png" /><Relationship Type="http://schemas.openxmlformats.org/officeDocument/2006/relationships/image" Id="rId1890" Target="media/rId1890.png" /><Relationship Type="http://schemas.openxmlformats.org/officeDocument/2006/relationships/image" Id="rId275" Target="media/rId275.png" /><Relationship Type="http://schemas.openxmlformats.org/officeDocument/2006/relationships/image" Id="rId151" Target="media/rId151.png" /><Relationship Type="http://schemas.openxmlformats.org/officeDocument/2006/relationships/image" Id="rId2636" Target="media/rId2636.png" /><Relationship Type="http://schemas.openxmlformats.org/officeDocument/2006/relationships/image" Id="rId2756" Target="media/rId2756.png" /><Relationship Type="http://schemas.openxmlformats.org/officeDocument/2006/relationships/image" Id="rId2568" Target="media/rId2568.png" /><Relationship Type="http://schemas.openxmlformats.org/officeDocument/2006/relationships/image" Id="rId807" Target="media/rId807.png" /><Relationship Type="http://schemas.openxmlformats.org/officeDocument/2006/relationships/image" Id="rId2530" Target="media/rId2530.png" /><Relationship Type="http://schemas.openxmlformats.org/officeDocument/2006/relationships/image" Id="rId2415" Target="media/rId2415.png" /><Relationship Type="http://schemas.openxmlformats.org/officeDocument/2006/relationships/image" Id="rId801" Target="media/rId801.png" /><Relationship Type="http://schemas.openxmlformats.org/officeDocument/2006/relationships/image" Id="rId1281" Target="media/rId1281.png" /><Relationship Type="http://schemas.openxmlformats.org/officeDocument/2006/relationships/image" Id="rId3055" Target="media/rId3055.png" /><Relationship Type="http://schemas.openxmlformats.org/officeDocument/2006/relationships/image" Id="rId2893" Target="media/rId2893.png" /><Relationship Type="http://schemas.openxmlformats.org/officeDocument/2006/relationships/image" Id="rId1106" Target="media/rId1106.png" /><Relationship Type="http://schemas.openxmlformats.org/officeDocument/2006/relationships/image" Id="rId653" Target="media/rId653.png" /><Relationship Type="http://schemas.openxmlformats.org/officeDocument/2006/relationships/image" Id="rId1634" Target="media/rId1634.png" /><Relationship Type="http://schemas.openxmlformats.org/officeDocument/2006/relationships/image" Id="rId1864" Target="media/rId1864.png" /><Relationship Type="http://schemas.openxmlformats.org/officeDocument/2006/relationships/image" Id="rId3062" Target="media/rId3062.png" /><Relationship Type="http://schemas.openxmlformats.org/officeDocument/2006/relationships/image" Id="rId2404" Target="media/rId2404.png" /><Relationship Type="http://schemas.openxmlformats.org/officeDocument/2006/relationships/image" Id="rId1568" Target="media/rId1568.png" /><Relationship Type="http://schemas.openxmlformats.org/officeDocument/2006/relationships/image" Id="rId1752" Target="media/rId1752.png" /><Relationship Type="http://schemas.openxmlformats.org/officeDocument/2006/relationships/image" Id="rId989" Target="media/rId989.png" /><Relationship Type="http://schemas.openxmlformats.org/officeDocument/2006/relationships/image" Id="rId846" Target="media/rId846.png" /><Relationship Type="http://schemas.openxmlformats.org/officeDocument/2006/relationships/image" Id="rId778" Target="media/rId778.png" /><Relationship Type="http://schemas.openxmlformats.org/officeDocument/2006/relationships/image" Id="rId623" Target="media/rId623.png" /><Relationship Type="http://schemas.openxmlformats.org/officeDocument/2006/relationships/image" Id="rId2535" Target="media/rId2535.png" /><Relationship Type="http://schemas.openxmlformats.org/officeDocument/2006/relationships/image" Id="rId1605" Target="media/rId1605.png" /><Relationship Type="http://schemas.openxmlformats.org/officeDocument/2006/relationships/image" Id="rId2343" Target="media/rId2343.png" /><Relationship Type="http://schemas.openxmlformats.org/officeDocument/2006/relationships/image" Id="rId1938" Target="media/rId1938.png" /><Relationship Type="http://schemas.openxmlformats.org/officeDocument/2006/relationships/image" Id="rId3091" Target="media/rId3091.png" /><Relationship Type="http://schemas.openxmlformats.org/officeDocument/2006/relationships/image" Id="rId351" Target="media/rId351.png" /><Relationship Type="http://schemas.openxmlformats.org/officeDocument/2006/relationships/image" Id="rId2932" Target="media/rId2932.png" /><Relationship Type="http://schemas.openxmlformats.org/officeDocument/2006/relationships/image" Id="rId1275" Target="media/rId1275.png" /><Relationship Type="http://schemas.openxmlformats.org/officeDocument/2006/relationships/image" Id="rId2128" Target="media/rId2128.png" /><Relationship Type="http://schemas.openxmlformats.org/officeDocument/2006/relationships/image" Id="rId1157" Target="media/rId1157.png" /><Relationship Type="http://schemas.openxmlformats.org/officeDocument/2006/relationships/image" Id="rId214" Target="media/rId214.png" /><Relationship Type="http://schemas.openxmlformats.org/officeDocument/2006/relationships/image" Id="rId1721" Target="media/rId1721.png" /><Relationship Type="http://schemas.openxmlformats.org/officeDocument/2006/relationships/image" Id="rId158" Target="media/rId158.png" /><Relationship Type="http://schemas.openxmlformats.org/officeDocument/2006/relationships/image" Id="rId3198" Target="media/rId3198.png" /><Relationship Type="http://schemas.openxmlformats.org/officeDocument/2006/relationships/image" Id="rId312" Target="media/rId312.png" /><Relationship Type="http://schemas.openxmlformats.org/officeDocument/2006/relationships/image" Id="rId2282" Target="media/rId2282.png" /><Relationship Type="http://schemas.openxmlformats.org/officeDocument/2006/relationships/image" Id="rId2593" Target="media/rId2593.png" /><Relationship Type="http://schemas.openxmlformats.org/officeDocument/2006/relationships/image" Id="rId3012" Target="media/rId3012.png" /><Relationship Type="http://schemas.openxmlformats.org/officeDocument/2006/relationships/image" Id="rId3292" Target="media/rId3292.png" /><Relationship Type="http://schemas.openxmlformats.org/officeDocument/2006/relationships/image" Id="rId2213" Target="media/rId2213.png" /><Relationship Type="http://schemas.openxmlformats.org/officeDocument/2006/relationships/image" Id="rId2098" Target="media/rId2098.png" /><Relationship Type="http://schemas.openxmlformats.org/officeDocument/2006/relationships/image" Id="rId2373" Target="media/rId2373.png" /><Relationship Type="http://schemas.openxmlformats.org/officeDocument/2006/relationships/image" Id="rId1852" Target="media/rId1852.png" /><Relationship Type="http://schemas.openxmlformats.org/officeDocument/2006/relationships/image" Id="rId2384" Target="media/rId2384.png" /><Relationship Type="http://schemas.openxmlformats.org/officeDocument/2006/relationships/image" Id="rId3205" Target="media/rId3205.png" /><Relationship Type="http://schemas.openxmlformats.org/officeDocument/2006/relationships/image" Id="rId3168" Target="media/rId3168.png" /><Relationship Type="http://schemas.openxmlformats.org/officeDocument/2006/relationships/image" Id="rId2750" Target="media/rId2750.png" /><Relationship Type="http://schemas.openxmlformats.org/officeDocument/2006/relationships/image" Id="rId2324" Target="media/rId2324.png" /><Relationship Type="http://schemas.openxmlformats.org/officeDocument/2006/relationships/image" Id="rId2916" Target="media/rId2916.png" /><Relationship Type="http://schemas.openxmlformats.org/officeDocument/2006/relationships/image" Id="rId1692" Target="media/rId1692.png" /><Relationship Type="http://schemas.openxmlformats.org/officeDocument/2006/relationships/image" Id="rId1039" Target="media/rId1039.png" /><Relationship Type="http://schemas.openxmlformats.org/officeDocument/2006/relationships/image" Id="rId3301" Target="media/rId3301.png" /><Relationship Type="http://schemas.openxmlformats.org/officeDocument/2006/relationships/image" Id="rId2525" Target="media/rId2525.png" /><Relationship Type="http://schemas.openxmlformats.org/officeDocument/2006/relationships/image" Id="rId2733" Target="media/rId2733.png" /><Relationship Type="http://schemas.openxmlformats.org/officeDocument/2006/relationships/image" Id="rId2157" Target="media/rId2157.png" /><Relationship Type="http://schemas.openxmlformats.org/officeDocument/2006/relationships/image" Id="rId919" Target="media/rId919.png" /><Relationship Type="http://schemas.openxmlformats.org/officeDocument/2006/relationships/image" Id="rId507" Target="media/rId507.png" /><Relationship Type="http://schemas.openxmlformats.org/officeDocument/2006/relationships/image" Id="rId1328" Target="media/rId1328.png" /><Relationship Type="http://schemas.openxmlformats.org/officeDocument/2006/relationships/image" Id="rId3079" Target="media/rId3079.png" /><Relationship Type="http://schemas.openxmlformats.org/officeDocument/2006/relationships/image" Id="rId3151" Target="media/rId3151.png" /><Relationship Type="http://schemas.openxmlformats.org/officeDocument/2006/relationships/image" Id="rId572" Target="media/rId572.png" /><Relationship Type="http://schemas.openxmlformats.org/officeDocument/2006/relationships/image" Id="rId959" Target="media/rId959.png" /><Relationship Type="http://schemas.openxmlformats.org/officeDocument/2006/relationships/image" Id="rId1212" Target="media/rId1212.png" /><Relationship Type="http://schemas.openxmlformats.org/officeDocument/2006/relationships/image" Id="rId2936" Target="media/rId2936.png" /><Relationship Type="http://schemas.openxmlformats.org/officeDocument/2006/relationships/image" Id="rId2209" Target="media/rId2209.png" /><Relationship Type="http://schemas.openxmlformats.org/officeDocument/2006/relationships/image" Id="rId2197" Target="media/rId2197.png" /><Relationship Type="http://schemas.openxmlformats.org/officeDocument/2006/relationships/image" Id="rId2830" Target="media/rId2830.png" /><Relationship Type="http://schemas.openxmlformats.org/officeDocument/2006/relationships/image" Id="rId2911" Target="media/rId2911.png" /><Relationship Type="http://schemas.openxmlformats.org/officeDocument/2006/relationships/image" Id="rId1271" Target="media/rId1271.png" /><Relationship Type="http://schemas.openxmlformats.org/officeDocument/2006/relationships/image" Id="rId222" Target="media/rId222.png" /><Relationship Type="http://schemas.openxmlformats.org/officeDocument/2006/relationships/image" Id="rId3317" Target="media/rId3317.png" /><Relationship Type="http://schemas.openxmlformats.org/officeDocument/2006/relationships/image" Id="rId2562" Target="media/rId2562.png" /><Relationship Type="http://schemas.openxmlformats.org/officeDocument/2006/relationships/image" Id="rId3269" Target="media/rId3269.png" /><Relationship Type="http://schemas.openxmlformats.org/officeDocument/2006/relationships/image" Id="rId1387" Target="media/rId1387.png" /><Relationship Type="http://schemas.openxmlformats.org/officeDocument/2006/relationships/image" Id="rId1343" Target="media/rId1343.png" /><Relationship Type="http://schemas.openxmlformats.org/officeDocument/2006/relationships/image" Id="rId1524" Target="media/rId1524.png" /><Relationship Type="http://schemas.openxmlformats.org/officeDocument/2006/relationships/image" Id="rId2112" Target="media/rId2112.png" /><Relationship Type="http://schemas.openxmlformats.org/officeDocument/2006/relationships/image" Id="rId1312" Target="media/rId1312.png" /><Relationship Type="http://schemas.openxmlformats.org/officeDocument/2006/relationships/image" Id="rId771" Target="media/rId771.png" /><Relationship Type="http://schemas.openxmlformats.org/officeDocument/2006/relationships/image" Id="rId2015" Target="media/rId2015.png" /><Relationship Type="http://schemas.openxmlformats.org/officeDocument/2006/relationships/image" Id="rId3048" Target="media/rId3048.png" /><Relationship Type="http://schemas.openxmlformats.org/officeDocument/2006/relationships/image" Id="rId1658" Target="media/rId1658.png" /><Relationship Type="http://schemas.openxmlformats.org/officeDocument/2006/relationships/image" Id="rId743" Target="media/rId743.png" /><Relationship Type="http://schemas.openxmlformats.org/officeDocument/2006/relationships/image" Id="rId283" Target="media/rId283.png" /><Relationship Type="http://schemas.openxmlformats.org/officeDocument/2006/relationships/image" Id="rId2278" Target="media/rId2278.png" /><Relationship Type="http://schemas.openxmlformats.org/officeDocument/2006/relationships/image" Id="rId2307" Target="media/rId2307.png" /><Relationship Type="http://schemas.openxmlformats.org/officeDocument/2006/relationships/image" Id="rId2779" Target="media/rId2779.png" /><Relationship Type="http://schemas.openxmlformats.org/officeDocument/2006/relationships/image" Id="rId927" Target="media/rId927.png" /><Relationship Type="http://schemas.openxmlformats.org/officeDocument/2006/relationships/image" Id="rId664" Target="media/rId664.png" /><Relationship Type="http://schemas.openxmlformats.org/officeDocument/2006/relationships/image" Id="rId719" Target="media/rId719.png" /><Relationship Type="http://schemas.openxmlformats.org/officeDocument/2006/relationships/image" Id="rId875" Target="media/rId875.png" /><Relationship Type="http://schemas.openxmlformats.org/officeDocument/2006/relationships/image" Id="rId2228" Target="media/rId2228.png" /><Relationship Type="http://schemas.openxmlformats.org/officeDocument/2006/relationships/image" Id="rId2365" Target="media/rId2365.png" /><Relationship Type="http://schemas.openxmlformats.org/officeDocument/2006/relationships/hyperlink" Id="rId25" Target="confirm%20a%20citable%20passage%20on%20server%20failure%20frequency%20in%20large%20fleets%20supporting%20&#167;1.3.2." TargetMode="External" /><Relationship Type="http://schemas.openxmlformats.org/officeDocument/2006/relationships/hyperlink" Id="rId34" Target="confirm%20the%20specific%20stack%20details%20summarized%20in%20&#167;1.3.2%20against%20the%20original%20post." TargetMode="External" /></Relationships>
</file>

<file path=word/_rels/footnotes.xml.rels><?xml version="1.0" encoding="UTF-8"?><Relationships xmlns="http://schemas.openxmlformats.org/package/2006/relationships"><Relationship Type="http://schemas.openxmlformats.org/officeDocument/2006/relationships/hyperlink" Id="rId25" Target="confirm%20a%20citable%20passage%20on%20server%20failure%20frequency%20in%20large%20fleets%20supporting%20&#167;1.3.2." TargetMode="External" /><Relationship Type="http://schemas.openxmlformats.org/officeDocument/2006/relationships/hyperlink" Id="rId34" Target="confirm%20the%20specific%20stack%20details%20summarized%20in%20&#167;1.3.2%20against%20the%20original%20pos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Complete System Design Knowledge Base</dc:title>
  <dc:creator/>
  <cp:keywords/>
  <dcterms:created xsi:type="dcterms:W3CDTF">2026-10-30T16:30:36Z</dcterms:created>
  <dcterms:modified xsi:type="dcterms:W3CDTF">2026-10-30T16:30:36Z</dcterms:modified>
</cp:coreProperties>
</file>

<file path=docProps/custom.xml><?xml version="1.0" encoding="utf-8"?>
<Properties xmlns="http://schemas.openxmlformats.org/officeDocument/2006/custom-properties" xmlns:vt="http://schemas.openxmlformats.org/officeDocument/2006/docPropsVTypes"/>
</file>